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EF7F33" w:rsidRDefault="006B08A5" w:rsidP="00A33695">
      <w:pPr>
        <w:jc w:val="center"/>
        <w:rPr>
          <w:rFonts w:ascii="Times New Roman" w:hAnsi="Times New Roman"/>
          <w:b/>
          <w:sz w:val="24"/>
        </w:rPr>
      </w:pPr>
      <w:bookmarkStart w:id="0" w:name="_Toc262568021"/>
      <w:bookmarkStart w:id="1" w:name="_Toc295829847"/>
      <w:r w:rsidRPr="00EF7F33">
        <w:rPr>
          <w:rFonts w:ascii="Times New Roman" w:hAnsi="Times New Roman"/>
          <w:b/>
          <w:sz w:val="24"/>
        </w:rPr>
        <w:t>HR</w:t>
      </w:r>
    </w:p>
    <w:p w:rsidR="00453999" w:rsidRPr="00EF7F33" w:rsidRDefault="00453999" w:rsidP="00A33695">
      <w:pPr>
        <w:jc w:val="center"/>
        <w:rPr>
          <w:rFonts w:ascii="Times New Roman" w:hAnsi="Times New Roman"/>
          <w:b/>
          <w:sz w:val="24"/>
        </w:rPr>
      </w:pPr>
      <w:r w:rsidRPr="00EF7F33">
        <w:rPr>
          <w:rFonts w:ascii="Times New Roman" w:hAnsi="Times New Roman"/>
          <w:b/>
          <w:sz w:val="24"/>
        </w:rPr>
        <w:t>PRILOG II.</w:t>
      </w:r>
    </w:p>
    <w:p w:rsidR="007676ED" w:rsidRPr="00EF7F33" w:rsidRDefault="007676ED" w:rsidP="00A33695">
      <w:pPr>
        <w:jc w:val="center"/>
        <w:rPr>
          <w:rFonts w:ascii="Times New Roman" w:hAnsi="Times New Roman"/>
          <w:b/>
          <w:sz w:val="24"/>
        </w:rPr>
      </w:pPr>
    </w:p>
    <w:p w:rsidR="007676ED" w:rsidRPr="00EF7F33" w:rsidRDefault="007676ED" w:rsidP="00A33695">
      <w:pPr>
        <w:jc w:val="center"/>
        <w:rPr>
          <w:rFonts w:ascii="Times New Roman" w:hAnsi="Times New Roman"/>
          <w:b/>
          <w:sz w:val="24"/>
        </w:rPr>
      </w:pPr>
    </w:p>
    <w:p w:rsidR="002648B0" w:rsidRPr="00EF7F33" w:rsidRDefault="002648B0" w:rsidP="00A33695">
      <w:pPr>
        <w:jc w:val="center"/>
        <w:rPr>
          <w:rFonts w:ascii="Times New Roman" w:hAnsi="Times New Roman"/>
          <w:b/>
          <w:sz w:val="24"/>
          <w:u w:val="single"/>
        </w:rPr>
      </w:pPr>
      <w:r w:rsidRPr="00EF7F33">
        <w:rPr>
          <w:rFonts w:ascii="Times New Roman" w:hAnsi="Times New Roman"/>
          <w:b/>
          <w:sz w:val="24"/>
          <w:u w:val="single"/>
        </w:rPr>
        <w:t>PRILOG II.</w:t>
      </w:r>
    </w:p>
    <w:p w:rsidR="002648B0" w:rsidRPr="00EF7F33" w:rsidRDefault="002648B0" w:rsidP="00C87CEE">
      <w:pPr>
        <w:jc w:val="center"/>
        <w:rPr>
          <w:rFonts w:ascii="Times New Roman" w:hAnsi="Times New Roman"/>
          <w:b/>
          <w:sz w:val="24"/>
        </w:rPr>
      </w:pPr>
      <w:r w:rsidRPr="00EF7F33">
        <w:rPr>
          <w:rFonts w:ascii="Times New Roman" w:hAnsi="Times New Roman"/>
          <w:b/>
          <w:sz w:val="24"/>
        </w:rPr>
        <w:t>IZVJEŠĆIVANJE O REGULATORNOM KAPITALU I KAPITALNIM ZAHTJEV</w:t>
      </w:r>
      <w:r w:rsidRPr="00EF7F33">
        <w:rPr>
          <w:rFonts w:ascii="Times New Roman" w:hAnsi="Times New Roman"/>
          <w:b/>
          <w:sz w:val="24"/>
        </w:rPr>
        <w:t>I</w:t>
      </w:r>
      <w:r w:rsidRPr="00EF7F33">
        <w:rPr>
          <w:rFonts w:ascii="Times New Roman" w:hAnsi="Times New Roman"/>
          <w:b/>
          <w:sz w:val="24"/>
        </w:rPr>
        <w:t>MA</w:t>
      </w:r>
    </w:p>
    <w:p w:rsidR="00436204" w:rsidRPr="00EF7F33" w:rsidRDefault="00436204" w:rsidP="00C87CEE">
      <w:pPr>
        <w:jc w:val="center"/>
        <w:rPr>
          <w:rFonts w:ascii="Times New Roman" w:hAnsi="Times New Roman"/>
          <w:b/>
          <w:sz w:val="24"/>
        </w:rPr>
      </w:pPr>
    </w:p>
    <w:p w:rsidR="00783881" w:rsidRPr="00EF7F33" w:rsidRDefault="002648B0" w:rsidP="00FD239F">
      <w:pPr>
        <w:pStyle w:val="InstructionsText"/>
      </w:pPr>
      <w:r w:rsidRPr="00EF7F33">
        <w:t>Sadržaj</w:t>
      </w:r>
    </w:p>
    <w:p w:rsidR="00EF7F33" w:rsidRPr="00EF7F33" w:rsidRDefault="00EF7F33">
      <w:pPr>
        <w:pStyle w:val="TOC2"/>
        <w:rPr>
          <w:rFonts w:asciiTheme="minorHAnsi" w:eastAsiaTheme="minorEastAsia" w:hAnsiTheme="minorHAnsi" w:cstheme="minorBidi"/>
          <w:b w:val="0"/>
          <w:smallCaps w:val="0"/>
          <w:sz w:val="22"/>
          <w:lang w:eastAsia="en-GB" w:bidi="ar-SA"/>
        </w:rPr>
      </w:pPr>
      <w:r w:rsidRPr="00EF7F33">
        <w:rPr>
          <w:rFonts w:ascii="Times New Roman" w:hAnsi="Times New Roman"/>
          <w:sz w:val="24"/>
          <w:szCs w:val="24"/>
        </w:rPr>
        <w:fldChar w:fldCharType="begin"/>
      </w:r>
      <w:r w:rsidR="00745369" w:rsidRPr="00EF7F33">
        <w:rPr>
          <w:rFonts w:ascii="Times New Roman" w:hAnsi="Times New Roman"/>
          <w:sz w:val="24"/>
          <w:szCs w:val="24"/>
        </w:rPr>
        <w:instrText xml:space="preserve"> TOC \o "1-3" \h \z \u </w:instrText>
      </w:r>
      <w:r w:rsidRPr="00EF7F33">
        <w:rPr>
          <w:rFonts w:ascii="Times New Roman" w:hAnsi="Times New Roman"/>
          <w:sz w:val="24"/>
          <w:szCs w:val="24"/>
        </w:rPr>
        <w:fldChar w:fldCharType="separate"/>
      </w:r>
      <w:hyperlink w:anchor="_Toc523998091" w:history="1">
        <w:r w:rsidRPr="00EF7F33">
          <w:rPr>
            <w:rStyle w:val="Hyperlink"/>
            <w:rFonts w:ascii="Times New Roman" w:hAnsi="Times New Roman"/>
          </w:rPr>
          <w:t>DIO I.: OPĆE UPUTE</w:t>
        </w:r>
        <w:r w:rsidRPr="00EF7F33">
          <w:rPr>
            <w:webHidden/>
          </w:rPr>
          <w:tab/>
        </w:r>
        <w:r w:rsidRPr="00EF7F33">
          <w:rPr>
            <w:webHidden/>
          </w:rPr>
          <w:fldChar w:fldCharType="begin"/>
        </w:r>
        <w:r w:rsidRPr="00EF7F33">
          <w:rPr>
            <w:webHidden/>
          </w:rPr>
          <w:instrText xml:space="preserve"> PAGEREF _Toc523998091 \h </w:instrText>
        </w:r>
        <w:r w:rsidRPr="00EF7F33">
          <w:rPr>
            <w:webHidden/>
          </w:rPr>
        </w:r>
        <w:r w:rsidRPr="00EF7F33">
          <w:rPr>
            <w:webHidden/>
          </w:rPr>
          <w:fldChar w:fldCharType="separate"/>
        </w:r>
        <w:r w:rsidRPr="00EF7F33">
          <w:rPr>
            <w:webHidden/>
          </w:rPr>
          <w:t>5</w:t>
        </w:r>
        <w:r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2" w:history="1">
        <w:r w:rsidR="00EF7F33" w:rsidRPr="00EF7F33">
          <w:rPr>
            <w:rStyle w:val="Hyperlink"/>
            <w:rFonts w:ascii="Times New Roman" w:hAnsi="Times New Roman"/>
          </w:rPr>
          <w:t>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STRUKTURA I PRAVILA</w:t>
        </w:r>
        <w:r w:rsidR="00EF7F33" w:rsidRPr="00EF7F33">
          <w:rPr>
            <w:webHidden/>
          </w:rPr>
          <w:tab/>
        </w:r>
        <w:r w:rsidR="00EF7F33" w:rsidRPr="00EF7F33">
          <w:rPr>
            <w:webHidden/>
          </w:rPr>
          <w:fldChar w:fldCharType="begin"/>
        </w:r>
        <w:r w:rsidR="00EF7F33" w:rsidRPr="00EF7F33">
          <w:rPr>
            <w:webHidden/>
          </w:rPr>
          <w:instrText xml:space="preserve"> PAGEREF _Toc523998092 \h </w:instrText>
        </w:r>
        <w:r w:rsidR="00EF7F33" w:rsidRPr="00EF7F33">
          <w:rPr>
            <w:webHidden/>
          </w:rPr>
        </w:r>
        <w:r w:rsidR="00EF7F33" w:rsidRPr="00EF7F33">
          <w:rPr>
            <w:webHidden/>
          </w:rPr>
          <w:fldChar w:fldCharType="separate"/>
        </w:r>
        <w:r w:rsidR="00EF7F33" w:rsidRPr="00EF7F33">
          <w:rPr>
            <w:webHidden/>
          </w:rPr>
          <w:t>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3" w:history="1">
        <w:r w:rsidR="00EF7F33" w:rsidRPr="00EF7F33">
          <w:rPr>
            <w:rStyle w:val="Hyperlink"/>
            <w:rFonts w:ascii="Times New Roman" w:hAnsi="Times New Roman"/>
          </w:rPr>
          <w:t>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Struktura</w:t>
        </w:r>
        <w:r w:rsidR="00EF7F33" w:rsidRPr="00EF7F33">
          <w:rPr>
            <w:webHidden/>
          </w:rPr>
          <w:tab/>
        </w:r>
        <w:r w:rsidR="00EF7F33" w:rsidRPr="00EF7F33">
          <w:rPr>
            <w:webHidden/>
          </w:rPr>
          <w:fldChar w:fldCharType="begin"/>
        </w:r>
        <w:r w:rsidR="00EF7F33" w:rsidRPr="00EF7F33">
          <w:rPr>
            <w:webHidden/>
          </w:rPr>
          <w:instrText xml:space="preserve"> PAGEREF _Toc523998093 \h </w:instrText>
        </w:r>
        <w:r w:rsidR="00EF7F33" w:rsidRPr="00EF7F33">
          <w:rPr>
            <w:webHidden/>
          </w:rPr>
        </w:r>
        <w:r w:rsidR="00EF7F33" w:rsidRPr="00EF7F33">
          <w:rPr>
            <w:webHidden/>
          </w:rPr>
          <w:fldChar w:fldCharType="separate"/>
        </w:r>
        <w:r w:rsidR="00EF7F33" w:rsidRPr="00EF7F33">
          <w:rPr>
            <w:webHidden/>
          </w:rPr>
          <w:t>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4" w:history="1">
        <w:r w:rsidR="00EF7F33" w:rsidRPr="00EF7F33">
          <w:rPr>
            <w:rStyle w:val="Hyperlink"/>
            <w:rFonts w:ascii="Times New Roman" w:hAnsi="Times New Roman"/>
          </w:rPr>
          <w:t>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Pravila označivanja brojevima</w:t>
        </w:r>
        <w:r w:rsidR="00EF7F33" w:rsidRPr="00EF7F33">
          <w:rPr>
            <w:webHidden/>
          </w:rPr>
          <w:tab/>
        </w:r>
        <w:r w:rsidR="00EF7F33" w:rsidRPr="00EF7F33">
          <w:rPr>
            <w:webHidden/>
          </w:rPr>
          <w:fldChar w:fldCharType="begin"/>
        </w:r>
        <w:r w:rsidR="00EF7F33" w:rsidRPr="00EF7F33">
          <w:rPr>
            <w:webHidden/>
          </w:rPr>
          <w:instrText xml:space="preserve"> PAGEREF _Toc523998094 \h </w:instrText>
        </w:r>
        <w:r w:rsidR="00EF7F33" w:rsidRPr="00EF7F33">
          <w:rPr>
            <w:webHidden/>
          </w:rPr>
        </w:r>
        <w:r w:rsidR="00EF7F33" w:rsidRPr="00EF7F33">
          <w:rPr>
            <w:webHidden/>
          </w:rPr>
          <w:fldChar w:fldCharType="separate"/>
        </w:r>
        <w:r w:rsidR="00EF7F33" w:rsidRPr="00EF7F33">
          <w:rPr>
            <w:webHidden/>
          </w:rPr>
          <w:t>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5" w:history="1">
        <w:r w:rsidR="00EF7F33" w:rsidRPr="00EF7F33">
          <w:rPr>
            <w:rStyle w:val="Hyperlink"/>
            <w:rFonts w:ascii="Times New Roman" w:hAnsi="Times New Roman"/>
          </w:rPr>
          <w:t>1.3.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Pravilo o predznaku</w:t>
        </w:r>
        <w:r w:rsidR="00EF7F33" w:rsidRPr="00EF7F33">
          <w:rPr>
            <w:webHidden/>
          </w:rPr>
          <w:tab/>
        </w:r>
        <w:r w:rsidR="00EF7F33" w:rsidRPr="00EF7F33">
          <w:rPr>
            <w:webHidden/>
          </w:rPr>
          <w:fldChar w:fldCharType="begin"/>
        </w:r>
        <w:r w:rsidR="00EF7F33" w:rsidRPr="00EF7F33">
          <w:rPr>
            <w:webHidden/>
          </w:rPr>
          <w:instrText xml:space="preserve"> PAGEREF _Toc523998095 \h </w:instrText>
        </w:r>
        <w:r w:rsidR="00EF7F33" w:rsidRPr="00EF7F33">
          <w:rPr>
            <w:webHidden/>
          </w:rPr>
        </w:r>
        <w:r w:rsidR="00EF7F33" w:rsidRPr="00EF7F33">
          <w:rPr>
            <w:webHidden/>
          </w:rPr>
          <w:fldChar w:fldCharType="separate"/>
        </w:r>
        <w:r w:rsidR="00EF7F33" w:rsidRPr="00EF7F33">
          <w:rPr>
            <w:webHidden/>
          </w:rPr>
          <w:t>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6" w:history="1">
        <w:r w:rsidR="00EF7F33" w:rsidRPr="00EF7F33">
          <w:rPr>
            <w:rStyle w:val="Hyperlink"/>
            <w:rFonts w:ascii="Times New Roman" w:hAnsi="Times New Roman"/>
          </w:rPr>
          <w:t>1.4.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Pokrate</w:t>
        </w:r>
        <w:r w:rsidR="00EF7F33" w:rsidRPr="00EF7F33">
          <w:rPr>
            <w:webHidden/>
          </w:rPr>
          <w:tab/>
        </w:r>
        <w:r w:rsidR="00EF7F33" w:rsidRPr="00EF7F33">
          <w:rPr>
            <w:webHidden/>
          </w:rPr>
          <w:fldChar w:fldCharType="begin"/>
        </w:r>
        <w:r w:rsidR="00EF7F33" w:rsidRPr="00EF7F33">
          <w:rPr>
            <w:webHidden/>
          </w:rPr>
          <w:instrText xml:space="preserve"> PAGEREF _Toc523998096 \h </w:instrText>
        </w:r>
        <w:r w:rsidR="00EF7F33" w:rsidRPr="00EF7F33">
          <w:rPr>
            <w:webHidden/>
          </w:rPr>
        </w:r>
        <w:r w:rsidR="00EF7F33" w:rsidRPr="00EF7F33">
          <w:rPr>
            <w:webHidden/>
          </w:rPr>
          <w:fldChar w:fldCharType="separate"/>
        </w:r>
        <w:r w:rsidR="00EF7F33" w:rsidRPr="00EF7F33">
          <w:rPr>
            <w:webHidden/>
          </w:rPr>
          <w:t>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7" w:history="1">
        <w:r w:rsidR="00EF7F33" w:rsidRPr="00EF7F33">
          <w:rPr>
            <w:rStyle w:val="Hyperlink"/>
            <w:rFonts w:ascii="Times New Roman" w:hAnsi="Times New Roman"/>
          </w:rPr>
          <w:t>DIO II.: UPUTE POVEZANE S POJEDINIM OBRASCEM</w:t>
        </w:r>
        <w:r w:rsidR="00EF7F33" w:rsidRPr="00EF7F33">
          <w:rPr>
            <w:webHidden/>
          </w:rPr>
          <w:tab/>
        </w:r>
        <w:r w:rsidR="00EF7F33" w:rsidRPr="00EF7F33">
          <w:rPr>
            <w:webHidden/>
          </w:rPr>
          <w:fldChar w:fldCharType="begin"/>
        </w:r>
        <w:r w:rsidR="00EF7F33" w:rsidRPr="00EF7F33">
          <w:rPr>
            <w:webHidden/>
          </w:rPr>
          <w:instrText xml:space="preserve"> PAGEREF _Toc523998097 \h </w:instrText>
        </w:r>
        <w:r w:rsidR="00EF7F33" w:rsidRPr="00EF7F33">
          <w:rPr>
            <w:webHidden/>
          </w:rPr>
        </w:r>
        <w:r w:rsidR="00EF7F33" w:rsidRPr="00EF7F33">
          <w:rPr>
            <w:webHidden/>
          </w:rPr>
          <w:fldChar w:fldCharType="separate"/>
        </w:r>
        <w:r w:rsidR="00EF7F33" w:rsidRPr="00EF7F33">
          <w:rPr>
            <w:webHidden/>
          </w:rPr>
          <w:t>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8" w:history="1">
        <w:r w:rsidR="00EF7F33" w:rsidRPr="00EF7F33">
          <w:rPr>
            <w:rStyle w:val="Hyperlink"/>
            <w:rFonts w:ascii="Times New Roman" w:hAnsi="Times New Roman"/>
          </w:rPr>
          <w:t>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PREGLED ADEKVATNOSTI KAPITALA (CA)</w:t>
        </w:r>
        <w:r w:rsidR="00EF7F33" w:rsidRPr="00EF7F33">
          <w:rPr>
            <w:webHidden/>
          </w:rPr>
          <w:tab/>
        </w:r>
        <w:r w:rsidR="00EF7F33" w:rsidRPr="00EF7F33">
          <w:rPr>
            <w:webHidden/>
          </w:rPr>
          <w:fldChar w:fldCharType="begin"/>
        </w:r>
        <w:r w:rsidR="00EF7F33" w:rsidRPr="00EF7F33">
          <w:rPr>
            <w:webHidden/>
          </w:rPr>
          <w:instrText xml:space="preserve"> PAGEREF _Toc523998098 \h </w:instrText>
        </w:r>
        <w:r w:rsidR="00EF7F33" w:rsidRPr="00EF7F33">
          <w:rPr>
            <w:webHidden/>
          </w:rPr>
        </w:r>
        <w:r w:rsidR="00EF7F33" w:rsidRPr="00EF7F33">
          <w:rPr>
            <w:webHidden/>
          </w:rPr>
          <w:fldChar w:fldCharType="separate"/>
        </w:r>
        <w:r w:rsidR="00EF7F33" w:rsidRPr="00EF7F33">
          <w:rPr>
            <w:webHidden/>
          </w:rPr>
          <w:t>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099" w:history="1">
        <w:r w:rsidR="00EF7F33" w:rsidRPr="00EF7F33">
          <w:rPr>
            <w:rStyle w:val="Hyperlink"/>
            <w:rFonts w:ascii="Times New Roman" w:hAnsi="Times New Roman"/>
          </w:rPr>
          <w:t>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_Toc523998099 \h </w:instrText>
        </w:r>
        <w:r w:rsidR="00EF7F33" w:rsidRPr="00EF7F33">
          <w:rPr>
            <w:webHidden/>
          </w:rPr>
        </w:r>
        <w:r w:rsidR="00EF7F33" w:rsidRPr="00EF7F33">
          <w:rPr>
            <w:webHidden/>
          </w:rPr>
          <w:fldChar w:fldCharType="separate"/>
        </w:r>
        <w:r w:rsidR="00EF7F33" w:rsidRPr="00EF7F33">
          <w:rPr>
            <w:webHidden/>
          </w:rPr>
          <w:t>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0" w:history="1">
        <w:r w:rsidR="00EF7F33" w:rsidRPr="00EF7F33">
          <w:rPr>
            <w:rStyle w:val="Hyperlink"/>
            <w:rFonts w:ascii="Times New Roman" w:hAnsi="Times New Roman"/>
          </w:rPr>
          <w:t>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01.00 – REGULATORNI KAPITAL (CA1)</w:t>
        </w:r>
        <w:r w:rsidR="00EF7F33" w:rsidRPr="00EF7F33">
          <w:rPr>
            <w:webHidden/>
          </w:rPr>
          <w:tab/>
        </w:r>
        <w:r w:rsidR="00EF7F33" w:rsidRPr="00EF7F33">
          <w:rPr>
            <w:webHidden/>
          </w:rPr>
          <w:fldChar w:fldCharType="begin"/>
        </w:r>
        <w:r w:rsidR="00EF7F33" w:rsidRPr="00EF7F33">
          <w:rPr>
            <w:webHidden/>
          </w:rPr>
          <w:instrText xml:space="preserve"> PAGEREF _Toc523998100 \h </w:instrText>
        </w:r>
        <w:r w:rsidR="00EF7F33" w:rsidRPr="00EF7F33">
          <w:rPr>
            <w:webHidden/>
          </w:rPr>
        </w:r>
        <w:r w:rsidR="00EF7F33" w:rsidRPr="00EF7F33">
          <w:rPr>
            <w:webHidden/>
          </w:rPr>
          <w:fldChar w:fldCharType="separate"/>
        </w:r>
        <w:r w:rsidR="00EF7F33" w:rsidRPr="00EF7F33">
          <w:rPr>
            <w:webHidden/>
          </w:rPr>
          <w:t>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1" w:history="1">
        <w:r w:rsidR="00EF7F33" w:rsidRPr="00EF7F33">
          <w:rPr>
            <w:rStyle w:val="Hyperlink"/>
            <w:rFonts w:ascii="Times New Roman" w:hAnsi="Times New Roman"/>
          </w:rPr>
          <w:t>1.2.1.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_Toc523998101 \h </w:instrText>
        </w:r>
        <w:r w:rsidR="00EF7F33" w:rsidRPr="00EF7F33">
          <w:rPr>
            <w:webHidden/>
          </w:rPr>
        </w:r>
        <w:r w:rsidR="00EF7F33" w:rsidRPr="00EF7F33">
          <w:rPr>
            <w:webHidden/>
          </w:rPr>
          <w:fldChar w:fldCharType="separate"/>
        </w:r>
        <w:r w:rsidR="00EF7F33" w:rsidRPr="00EF7F33">
          <w:rPr>
            <w:webHidden/>
          </w:rPr>
          <w:t>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2" w:history="1">
        <w:r w:rsidR="00EF7F33" w:rsidRPr="00EF7F33">
          <w:rPr>
            <w:rStyle w:val="Hyperlink"/>
            <w:rFonts w:ascii="Times New Roman" w:hAnsi="Times New Roman"/>
          </w:rPr>
          <w:t>1.3.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02.00 – KAPITALNI ZAHTJEVI (CA2)</w:t>
        </w:r>
        <w:r w:rsidR="00EF7F33" w:rsidRPr="00EF7F33">
          <w:rPr>
            <w:webHidden/>
          </w:rPr>
          <w:tab/>
        </w:r>
        <w:r w:rsidR="00EF7F33" w:rsidRPr="00EF7F33">
          <w:rPr>
            <w:webHidden/>
          </w:rPr>
          <w:fldChar w:fldCharType="begin"/>
        </w:r>
        <w:r w:rsidR="00EF7F33" w:rsidRPr="00EF7F33">
          <w:rPr>
            <w:webHidden/>
          </w:rPr>
          <w:instrText xml:space="preserve"> PAGEREF _Toc523998102 \h </w:instrText>
        </w:r>
        <w:r w:rsidR="00EF7F33" w:rsidRPr="00EF7F33">
          <w:rPr>
            <w:webHidden/>
          </w:rPr>
        </w:r>
        <w:r w:rsidR="00EF7F33" w:rsidRPr="00EF7F33">
          <w:rPr>
            <w:webHidden/>
          </w:rPr>
          <w:fldChar w:fldCharType="separate"/>
        </w:r>
        <w:r w:rsidR="00EF7F33" w:rsidRPr="00EF7F33">
          <w:rPr>
            <w:webHidden/>
          </w:rPr>
          <w:t>24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3" w:history="1">
        <w:r w:rsidR="00EF7F33" w:rsidRPr="00EF7F33">
          <w:rPr>
            <w:rStyle w:val="Hyperlink"/>
            <w:rFonts w:ascii="Times New Roman" w:hAnsi="Times New Roman"/>
          </w:rPr>
          <w:t>1.3.1.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_Toc523998103 \h </w:instrText>
        </w:r>
        <w:r w:rsidR="00EF7F33" w:rsidRPr="00EF7F33">
          <w:rPr>
            <w:webHidden/>
          </w:rPr>
        </w:r>
        <w:r w:rsidR="00EF7F33" w:rsidRPr="00EF7F33">
          <w:rPr>
            <w:webHidden/>
          </w:rPr>
          <w:fldChar w:fldCharType="separate"/>
        </w:r>
        <w:r w:rsidR="00EF7F33" w:rsidRPr="00EF7F33">
          <w:rPr>
            <w:webHidden/>
          </w:rPr>
          <w:t>24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4" w:history="1">
        <w:r w:rsidR="00EF7F33" w:rsidRPr="00EF7F33">
          <w:rPr>
            <w:rStyle w:val="Hyperlink"/>
            <w:rFonts w:ascii="Times New Roman" w:hAnsi="Times New Roman"/>
          </w:rPr>
          <w:t>1.4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03.00 – STOPE KAPITALA I RAZINE KAPITALA (CA3)</w:t>
        </w:r>
        <w:r w:rsidR="00EF7F33" w:rsidRPr="00EF7F33">
          <w:rPr>
            <w:webHidden/>
          </w:rPr>
          <w:tab/>
        </w:r>
        <w:r w:rsidR="00EF7F33" w:rsidRPr="00EF7F33">
          <w:rPr>
            <w:webHidden/>
          </w:rPr>
          <w:fldChar w:fldCharType="begin"/>
        </w:r>
        <w:r w:rsidR="00EF7F33" w:rsidRPr="00EF7F33">
          <w:rPr>
            <w:webHidden/>
          </w:rPr>
          <w:instrText xml:space="preserve"> PAGEREF _Toc523998104 \h </w:instrText>
        </w:r>
        <w:r w:rsidR="00EF7F33" w:rsidRPr="00EF7F33">
          <w:rPr>
            <w:webHidden/>
          </w:rPr>
        </w:r>
        <w:r w:rsidR="00EF7F33" w:rsidRPr="00EF7F33">
          <w:rPr>
            <w:webHidden/>
          </w:rPr>
          <w:fldChar w:fldCharType="separate"/>
        </w:r>
        <w:r w:rsidR="00EF7F33" w:rsidRPr="00EF7F33">
          <w:rPr>
            <w:webHidden/>
          </w:rPr>
          <w:t>34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5" w:history="1">
        <w:r w:rsidR="00EF7F33" w:rsidRPr="00EF7F33">
          <w:rPr>
            <w:rStyle w:val="Hyperlink"/>
            <w:rFonts w:ascii="Times New Roman" w:hAnsi="Times New Roman"/>
          </w:rPr>
          <w:t>1.4.1.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_Toc523998105 \h </w:instrText>
        </w:r>
        <w:r w:rsidR="00EF7F33" w:rsidRPr="00EF7F33">
          <w:rPr>
            <w:webHidden/>
          </w:rPr>
        </w:r>
        <w:r w:rsidR="00EF7F33" w:rsidRPr="00EF7F33">
          <w:rPr>
            <w:webHidden/>
          </w:rPr>
          <w:fldChar w:fldCharType="separate"/>
        </w:r>
        <w:r w:rsidR="00EF7F33" w:rsidRPr="00EF7F33">
          <w:rPr>
            <w:webHidden/>
          </w:rPr>
          <w:t>34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6" w:history="1">
        <w:r w:rsidR="00EF7F33" w:rsidRPr="00EF7F33">
          <w:rPr>
            <w:rStyle w:val="Hyperlink"/>
            <w:rFonts w:ascii="Times New Roman" w:hAnsi="Times New Roman"/>
          </w:rPr>
          <w:t>1.5.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04.00 – BILJEŠKE (CA4)</w:t>
        </w:r>
        <w:r w:rsidR="00EF7F33" w:rsidRPr="00EF7F33">
          <w:rPr>
            <w:webHidden/>
          </w:rPr>
          <w:tab/>
        </w:r>
        <w:r w:rsidR="00EF7F33" w:rsidRPr="00EF7F33">
          <w:rPr>
            <w:webHidden/>
          </w:rPr>
          <w:fldChar w:fldCharType="begin"/>
        </w:r>
        <w:r w:rsidR="00EF7F33" w:rsidRPr="00EF7F33">
          <w:rPr>
            <w:webHidden/>
          </w:rPr>
          <w:instrText xml:space="preserve"> PAGEREF _Toc523998106 \h </w:instrText>
        </w:r>
        <w:r w:rsidR="00EF7F33" w:rsidRPr="00EF7F33">
          <w:rPr>
            <w:webHidden/>
          </w:rPr>
        </w:r>
        <w:r w:rsidR="00EF7F33" w:rsidRPr="00EF7F33">
          <w:rPr>
            <w:webHidden/>
          </w:rPr>
          <w:fldChar w:fldCharType="separate"/>
        </w:r>
        <w:r w:rsidR="00EF7F33" w:rsidRPr="00EF7F33">
          <w:rPr>
            <w:webHidden/>
          </w:rPr>
          <w:t>37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7" w:history="1">
        <w:r w:rsidR="00EF7F33" w:rsidRPr="00EF7F33">
          <w:rPr>
            <w:rStyle w:val="Hyperlink"/>
            <w:rFonts w:ascii="Times New Roman" w:hAnsi="Times New Roman"/>
          </w:rPr>
          <w:t>1.5.1.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_Toc523998107 \h </w:instrText>
        </w:r>
        <w:r w:rsidR="00EF7F33" w:rsidRPr="00EF7F33">
          <w:rPr>
            <w:webHidden/>
          </w:rPr>
        </w:r>
        <w:r w:rsidR="00EF7F33" w:rsidRPr="00EF7F33">
          <w:rPr>
            <w:webHidden/>
          </w:rPr>
          <w:fldChar w:fldCharType="separate"/>
        </w:r>
        <w:r w:rsidR="00EF7F33" w:rsidRPr="00EF7F33">
          <w:rPr>
            <w:webHidden/>
          </w:rPr>
          <w:t>37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8" w:history="1">
        <w:r w:rsidR="00EF7F33" w:rsidRPr="00EF7F33">
          <w:rPr>
            <w:rStyle w:val="Hyperlink"/>
            <w:rFonts w:ascii="Times New Roman" w:hAnsi="Times New Roman"/>
          </w:rPr>
          <w:t>1.6</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PRIJELAZNE ODREDBE i INSTRUMENTI KOJI SE NASTAVLJAJU PRIZNAVATI: INSTRUMENTI KOJI NISU INSTRUMENTI DRŽAVNE POTPORE (CA 5)</w:t>
        </w:r>
        <w:r w:rsidR="00EF7F33" w:rsidRPr="00EF7F33">
          <w:rPr>
            <w:webHidden/>
          </w:rPr>
          <w:tab/>
        </w:r>
        <w:r w:rsidR="00EF7F33" w:rsidRPr="00EF7F33">
          <w:rPr>
            <w:webHidden/>
          </w:rPr>
          <w:fldChar w:fldCharType="begin"/>
        </w:r>
        <w:r w:rsidR="00EF7F33" w:rsidRPr="00EF7F33">
          <w:rPr>
            <w:webHidden/>
          </w:rPr>
          <w:instrText xml:space="preserve"> PAGEREF _Toc523998108 \h </w:instrText>
        </w:r>
        <w:r w:rsidR="00EF7F33" w:rsidRPr="00EF7F33">
          <w:rPr>
            <w:webHidden/>
          </w:rPr>
        </w:r>
        <w:r w:rsidR="00EF7F33" w:rsidRPr="00EF7F33">
          <w:rPr>
            <w:webHidden/>
          </w:rPr>
          <w:fldChar w:fldCharType="separate"/>
        </w:r>
        <w:r w:rsidR="00EF7F33" w:rsidRPr="00EF7F33">
          <w:rPr>
            <w:webHidden/>
          </w:rPr>
          <w:t>54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09" w:history="1">
        <w:r w:rsidR="00EF7F33" w:rsidRPr="00EF7F33">
          <w:rPr>
            <w:rStyle w:val="Hyperlink"/>
            <w:rFonts w:ascii="Times New Roman" w:hAnsi="Times New Roman"/>
          </w:rPr>
          <w:t>1.6.1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_Toc523998109 \h </w:instrText>
        </w:r>
        <w:r w:rsidR="00EF7F33" w:rsidRPr="00EF7F33">
          <w:rPr>
            <w:webHidden/>
          </w:rPr>
        </w:r>
        <w:r w:rsidR="00EF7F33" w:rsidRPr="00EF7F33">
          <w:rPr>
            <w:webHidden/>
          </w:rPr>
          <w:fldChar w:fldCharType="separate"/>
        </w:r>
        <w:r w:rsidR="00EF7F33" w:rsidRPr="00EF7F33">
          <w:rPr>
            <w:webHidden/>
          </w:rPr>
          <w:t>54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0" w:history="1">
        <w:r w:rsidR="00EF7F33" w:rsidRPr="00EF7F33">
          <w:rPr>
            <w:rStyle w:val="Hyperlink"/>
            <w:rFonts w:ascii="Times New Roman" w:hAnsi="Times New Roman"/>
          </w:rPr>
          <w:t>1.6.2.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05.01 – PRIJELAZNE ODREDBE (CA5.1)</w:t>
        </w:r>
        <w:r w:rsidR="00EF7F33" w:rsidRPr="00EF7F33">
          <w:rPr>
            <w:webHidden/>
          </w:rPr>
          <w:tab/>
        </w:r>
        <w:r w:rsidR="00EF7F33" w:rsidRPr="00EF7F33">
          <w:rPr>
            <w:webHidden/>
          </w:rPr>
          <w:fldChar w:fldCharType="begin"/>
        </w:r>
        <w:r w:rsidR="00EF7F33" w:rsidRPr="00EF7F33">
          <w:rPr>
            <w:webHidden/>
          </w:rPr>
          <w:instrText xml:space="preserve"> PAGEREF _Toc523998110 \h </w:instrText>
        </w:r>
        <w:r w:rsidR="00EF7F33" w:rsidRPr="00EF7F33">
          <w:rPr>
            <w:webHidden/>
          </w:rPr>
        </w:r>
        <w:r w:rsidR="00EF7F33" w:rsidRPr="00EF7F33">
          <w:rPr>
            <w:webHidden/>
          </w:rPr>
          <w:fldChar w:fldCharType="separate"/>
        </w:r>
        <w:r w:rsidR="00EF7F33" w:rsidRPr="00EF7F33">
          <w:rPr>
            <w:webHidden/>
          </w:rPr>
          <w:t>54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1" w:history="1">
        <w:r w:rsidR="00EF7F33" w:rsidRPr="00EF7F33">
          <w:rPr>
            <w:rStyle w:val="Hyperlink"/>
            <w:rFonts w:ascii="Times New Roman" w:hAnsi="Times New Roman"/>
          </w:rPr>
          <w:t>1.6.2.1.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_Toc523998111 \h </w:instrText>
        </w:r>
        <w:r w:rsidR="00EF7F33" w:rsidRPr="00EF7F33">
          <w:rPr>
            <w:webHidden/>
          </w:rPr>
        </w:r>
        <w:r w:rsidR="00EF7F33" w:rsidRPr="00EF7F33">
          <w:rPr>
            <w:webHidden/>
          </w:rPr>
          <w:fldChar w:fldCharType="separate"/>
        </w:r>
        <w:r w:rsidR="00EF7F33" w:rsidRPr="00EF7F33">
          <w:rPr>
            <w:webHidden/>
          </w:rPr>
          <w:t>55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2" w:history="1">
        <w:r w:rsidR="00EF7F33" w:rsidRPr="00EF7F33">
          <w:rPr>
            <w:rStyle w:val="Hyperlink"/>
            <w:rFonts w:ascii="Times New Roman" w:hAnsi="Times New Roman"/>
          </w:rPr>
          <w:t>1.6.3.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05.02 – INSTRUMENTI KOJI SE NASTAVLJAJU PRIZNAVATI: INSTRUMENTI KOJI NISU INSTRUMENTI DRŽAVNE POTPORE (CA5.2)</w:t>
        </w:r>
        <w:r w:rsidR="00EF7F33" w:rsidRPr="00EF7F33">
          <w:rPr>
            <w:webHidden/>
          </w:rPr>
          <w:tab/>
        </w:r>
        <w:r w:rsidR="00EF7F33" w:rsidRPr="00EF7F33">
          <w:rPr>
            <w:webHidden/>
          </w:rPr>
          <w:fldChar w:fldCharType="begin"/>
        </w:r>
        <w:r w:rsidR="00EF7F33" w:rsidRPr="00EF7F33">
          <w:rPr>
            <w:webHidden/>
          </w:rPr>
          <w:instrText xml:space="preserve"> PAGEREF _Toc523998112 \h </w:instrText>
        </w:r>
        <w:r w:rsidR="00EF7F33" w:rsidRPr="00EF7F33">
          <w:rPr>
            <w:webHidden/>
          </w:rPr>
        </w:r>
        <w:r w:rsidR="00EF7F33" w:rsidRPr="00EF7F33">
          <w:rPr>
            <w:webHidden/>
          </w:rPr>
          <w:fldChar w:fldCharType="separate"/>
        </w:r>
        <w:r w:rsidR="00EF7F33" w:rsidRPr="00EF7F33">
          <w:rPr>
            <w:webHidden/>
          </w:rPr>
          <w:t>64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3" w:history="1">
        <w:r w:rsidR="00EF7F33" w:rsidRPr="00EF7F33">
          <w:rPr>
            <w:rStyle w:val="Hyperlink"/>
            <w:rFonts w:ascii="Times New Roman" w:hAnsi="Times New Roman"/>
          </w:rPr>
          <w:t>1.6.3.1.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_Toc523998113 \h </w:instrText>
        </w:r>
        <w:r w:rsidR="00EF7F33" w:rsidRPr="00EF7F33">
          <w:rPr>
            <w:webHidden/>
          </w:rPr>
        </w:r>
        <w:r w:rsidR="00EF7F33" w:rsidRPr="00EF7F33">
          <w:rPr>
            <w:webHidden/>
          </w:rPr>
          <w:fldChar w:fldCharType="separate"/>
        </w:r>
        <w:r w:rsidR="00EF7F33" w:rsidRPr="00EF7F33">
          <w:rPr>
            <w:webHidden/>
          </w:rPr>
          <w:t>64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4" w:history="1">
        <w:r w:rsidR="00EF7F33" w:rsidRPr="00EF7F33">
          <w:rPr>
            <w:rStyle w:val="Hyperlink"/>
            <w:rFonts w:ascii="Times New Roman" w:hAnsi="Times New Roman"/>
          </w:rPr>
          <w:t>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SOLVENTNOST GRUPE: INFORMACIJE O POVEZANIM DRUŠTVIMA (GS)</w:t>
        </w:r>
        <w:r w:rsidR="00EF7F33" w:rsidRPr="00EF7F33">
          <w:rPr>
            <w:webHidden/>
          </w:rPr>
          <w:tab/>
        </w:r>
        <w:r w:rsidR="00EF7F33" w:rsidRPr="00EF7F33">
          <w:rPr>
            <w:webHidden/>
          </w:rPr>
          <w:fldChar w:fldCharType="begin"/>
        </w:r>
        <w:r w:rsidR="00EF7F33" w:rsidRPr="00EF7F33">
          <w:rPr>
            <w:webHidden/>
          </w:rPr>
          <w:instrText xml:space="preserve"> PAGEREF _Toc523998114 \h </w:instrText>
        </w:r>
        <w:r w:rsidR="00EF7F33" w:rsidRPr="00EF7F33">
          <w:rPr>
            <w:webHidden/>
          </w:rPr>
        </w:r>
        <w:r w:rsidR="00EF7F33" w:rsidRPr="00EF7F33">
          <w:rPr>
            <w:webHidden/>
          </w:rPr>
          <w:fldChar w:fldCharType="separate"/>
        </w:r>
        <w:r w:rsidR="00EF7F33" w:rsidRPr="00EF7F33">
          <w:rPr>
            <w:webHidden/>
          </w:rPr>
          <w:t>66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5" w:history="1">
        <w:r w:rsidR="00EF7F33" w:rsidRPr="00EF7F33">
          <w:rPr>
            <w:rStyle w:val="Hyperlink"/>
            <w:rFonts w:ascii="Times New Roman" w:hAnsi="Times New Roman"/>
          </w:rPr>
          <w:t>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_Toc523998115 \h </w:instrText>
        </w:r>
        <w:r w:rsidR="00EF7F33" w:rsidRPr="00EF7F33">
          <w:rPr>
            <w:webHidden/>
          </w:rPr>
        </w:r>
        <w:r w:rsidR="00EF7F33" w:rsidRPr="00EF7F33">
          <w:rPr>
            <w:webHidden/>
          </w:rPr>
          <w:fldChar w:fldCharType="separate"/>
        </w:r>
        <w:r w:rsidR="00EF7F33" w:rsidRPr="00EF7F33">
          <w:rPr>
            <w:webHidden/>
          </w:rPr>
          <w:t>66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6" w:history="1">
        <w:r w:rsidR="00EF7F33" w:rsidRPr="00EF7F33">
          <w:rPr>
            <w:rStyle w:val="Hyperlink"/>
            <w:rFonts w:ascii="Times New Roman" w:hAnsi="Times New Roman"/>
          </w:rPr>
          <w:t>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Detaljne informacije o solventnosti grupe</w:t>
        </w:r>
        <w:r w:rsidR="00EF7F33" w:rsidRPr="00EF7F33">
          <w:rPr>
            <w:webHidden/>
          </w:rPr>
          <w:tab/>
        </w:r>
        <w:r w:rsidR="00EF7F33" w:rsidRPr="00EF7F33">
          <w:rPr>
            <w:webHidden/>
          </w:rPr>
          <w:fldChar w:fldCharType="begin"/>
        </w:r>
        <w:r w:rsidR="00EF7F33" w:rsidRPr="00EF7F33">
          <w:rPr>
            <w:webHidden/>
          </w:rPr>
          <w:instrText xml:space="preserve"> PAGEREF _Toc523998116 \h </w:instrText>
        </w:r>
        <w:r w:rsidR="00EF7F33" w:rsidRPr="00EF7F33">
          <w:rPr>
            <w:webHidden/>
          </w:rPr>
        </w:r>
        <w:r w:rsidR="00EF7F33" w:rsidRPr="00EF7F33">
          <w:rPr>
            <w:webHidden/>
          </w:rPr>
          <w:fldChar w:fldCharType="separate"/>
        </w:r>
        <w:r w:rsidR="00EF7F33" w:rsidRPr="00EF7F33">
          <w:rPr>
            <w:webHidden/>
          </w:rPr>
          <w:t>67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7" w:history="1">
        <w:r w:rsidR="00EF7F33" w:rsidRPr="00EF7F33">
          <w:rPr>
            <w:rStyle w:val="Hyperlink"/>
            <w:rFonts w:ascii="Times New Roman" w:hAnsi="Times New Roman"/>
          </w:rPr>
          <w:t>2.3.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Informacije o doprinosima pojedinačnih subjekata solventnosti grupe</w:t>
        </w:r>
        <w:r w:rsidR="00EF7F33" w:rsidRPr="00EF7F33">
          <w:rPr>
            <w:webHidden/>
          </w:rPr>
          <w:tab/>
        </w:r>
        <w:r w:rsidR="00EF7F33" w:rsidRPr="00EF7F33">
          <w:rPr>
            <w:webHidden/>
          </w:rPr>
          <w:fldChar w:fldCharType="begin"/>
        </w:r>
        <w:r w:rsidR="00EF7F33" w:rsidRPr="00EF7F33">
          <w:rPr>
            <w:webHidden/>
          </w:rPr>
          <w:instrText xml:space="preserve"> PAGEREF _Toc523998117 \h </w:instrText>
        </w:r>
        <w:r w:rsidR="00EF7F33" w:rsidRPr="00EF7F33">
          <w:rPr>
            <w:webHidden/>
          </w:rPr>
        </w:r>
        <w:r w:rsidR="00EF7F33" w:rsidRPr="00EF7F33">
          <w:rPr>
            <w:webHidden/>
          </w:rPr>
          <w:fldChar w:fldCharType="separate"/>
        </w:r>
        <w:r w:rsidR="00EF7F33" w:rsidRPr="00EF7F33">
          <w:rPr>
            <w:webHidden/>
          </w:rPr>
          <w:t>67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8" w:history="1">
        <w:r w:rsidR="00EF7F33" w:rsidRPr="00EF7F33">
          <w:rPr>
            <w:rStyle w:val="Hyperlink"/>
            <w:rFonts w:ascii="Times New Roman" w:hAnsi="Times New Roman"/>
          </w:rPr>
          <w:t>2.4.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06.01 – SOLVENTNOST GRUPE: INFORMACIJE O POVEZANIM DRUŠTVIMA - Ukupno (GS Ukupno)</w:t>
        </w:r>
        <w:r w:rsidR="00EF7F33" w:rsidRPr="00EF7F33">
          <w:rPr>
            <w:webHidden/>
          </w:rPr>
          <w:tab/>
        </w:r>
        <w:r w:rsidR="00EF7F33" w:rsidRPr="00EF7F33">
          <w:rPr>
            <w:webHidden/>
          </w:rPr>
          <w:fldChar w:fldCharType="begin"/>
        </w:r>
        <w:r w:rsidR="00EF7F33" w:rsidRPr="00EF7F33">
          <w:rPr>
            <w:webHidden/>
          </w:rPr>
          <w:instrText xml:space="preserve"> PAGEREF _Toc523998118 \h </w:instrText>
        </w:r>
        <w:r w:rsidR="00EF7F33" w:rsidRPr="00EF7F33">
          <w:rPr>
            <w:webHidden/>
          </w:rPr>
        </w:r>
        <w:r w:rsidR="00EF7F33" w:rsidRPr="00EF7F33">
          <w:rPr>
            <w:webHidden/>
          </w:rPr>
          <w:fldChar w:fldCharType="separate"/>
        </w:r>
        <w:r w:rsidR="00EF7F33" w:rsidRPr="00EF7F33">
          <w:rPr>
            <w:webHidden/>
          </w:rPr>
          <w:t>68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19" w:history="1">
        <w:r w:rsidR="00EF7F33" w:rsidRPr="00EF7F33">
          <w:rPr>
            <w:rStyle w:val="Hyperlink"/>
            <w:rFonts w:ascii="Times New Roman" w:hAnsi="Times New Roman"/>
          </w:rPr>
          <w:t>2.5.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06.02 – SOLVENTNOST GRUPE: INFORMACIJE O POVEZANIM DRUŠTVIMA (GS)</w:t>
        </w:r>
        <w:r w:rsidR="00EF7F33" w:rsidRPr="00EF7F33">
          <w:rPr>
            <w:webHidden/>
          </w:rPr>
          <w:tab/>
        </w:r>
        <w:r w:rsidR="00EF7F33" w:rsidRPr="00EF7F33">
          <w:rPr>
            <w:webHidden/>
          </w:rPr>
          <w:fldChar w:fldCharType="begin"/>
        </w:r>
        <w:r w:rsidR="00EF7F33" w:rsidRPr="00EF7F33">
          <w:rPr>
            <w:webHidden/>
          </w:rPr>
          <w:instrText xml:space="preserve"> PAGEREF _Toc523998119 \h </w:instrText>
        </w:r>
        <w:r w:rsidR="00EF7F33" w:rsidRPr="00EF7F33">
          <w:rPr>
            <w:webHidden/>
          </w:rPr>
        </w:r>
        <w:r w:rsidR="00EF7F33" w:rsidRPr="00EF7F33">
          <w:rPr>
            <w:webHidden/>
          </w:rPr>
          <w:fldChar w:fldCharType="separate"/>
        </w:r>
        <w:r w:rsidR="00EF7F33" w:rsidRPr="00EF7F33">
          <w:rPr>
            <w:webHidden/>
          </w:rPr>
          <w:t>68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0" w:history="1">
        <w:r w:rsidR="00EF7F33" w:rsidRPr="00EF7F33">
          <w:rPr>
            <w:rStyle w:val="Hyperlink"/>
            <w:rFonts w:ascii="Times New Roman" w:hAnsi="Times New Roman"/>
          </w:rPr>
          <w:t>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Obrasci za kreditni rizik</w:t>
        </w:r>
        <w:r w:rsidR="00EF7F33" w:rsidRPr="00EF7F33">
          <w:rPr>
            <w:webHidden/>
          </w:rPr>
          <w:tab/>
        </w:r>
        <w:r w:rsidR="00EF7F33" w:rsidRPr="00EF7F33">
          <w:rPr>
            <w:webHidden/>
          </w:rPr>
          <w:fldChar w:fldCharType="begin"/>
        </w:r>
        <w:r w:rsidR="00EF7F33" w:rsidRPr="00EF7F33">
          <w:rPr>
            <w:webHidden/>
          </w:rPr>
          <w:instrText xml:space="preserve"> PAGEREF _Toc523998120 \h </w:instrText>
        </w:r>
        <w:r w:rsidR="00EF7F33" w:rsidRPr="00EF7F33">
          <w:rPr>
            <w:webHidden/>
          </w:rPr>
        </w:r>
        <w:r w:rsidR="00EF7F33" w:rsidRPr="00EF7F33">
          <w:rPr>
            <w:webHidden/>
          </w:rPr>
          <w:fldChar w:fldCharType="separate"/>
        </w:r>
        <w:r w:rsidR="00EF7F33" w:rsidRPr="00EF7F33">
          <w:rPr>
            <w:webHidden/>
          </w:rPr>
          <w:t>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1" w:history="1">
        <w:r w:rsidR="00EF7F33" w:rsidRPr="00EF7F33">
          <w:rPr>
            <w:rStyle w:val="Hyperlink"/>
            <w:rFonts w:ascii="Times New Roman" w:hAnsi="Times New Roman"/>
          </w:rPr>
          <w:t>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_Toc523998121 \h </w:instrText>
        </w:r>
        <w:r w:rsidR="00EF7F33" w:rsidRPr="00EF7F33">
          <w:rPr>
            <w:webHidden/>
          </w:rPr>
        </w:r>
        <w:r w:rsidR="00EF7F33" w:rsidRPr="00EF7F33">
          <w:rPr>
            <w:webHidden/>
          </w:rPr>
          <w:fldChar w:fldCharType="separate"/>
        </w:r>
        <w:r w:rsidR="00EF7F33" w:rsidRPr="00EF7F33">
          <w:rPr>
            <w:webHidden/>
          </w:rPr>
          <w:t>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2" w:history="1">
        <w:r w:rsidR="00EF7F33" w:rsidRPr="00EF7F33">
          <w:rPr>
            <w:rStyle w:val="Hyperlink"/>
            <w:rFonts w:ascii="Times New Roman" w:hAnsi="Times New Roman"/>
          </w:rPr>
          <w:t>3.1.1.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Izvješćivanje o tehnikama smanjenja kreditnog rizika s učinkom zamjene</w:t>
        </w:r>
        <w:r w:rsidR="00EF7F33" w:rsidRPr="00EF7F33">
          <w:rPr>
            <w:webHidden/>
          </w:rPr>
          <w:tab/>
        </w:r>
        <w:r w:rsidR="00EF7F33" w:rsidRPr="00EF7F33">
          <w:rPr>
            <w:webHidden/>
          </w:rPr>
          <w:fldChar w:fldCharType="begin"/>
        </w:r>
        <w:r w:rsidR="00EF7F33" w:rsidRPr="00EF7F33">
          <w:rPr>
            <w:webHidden/>
          </w:rPr>
          <w:instrText xml:space="preserve"> PAGEREF _Toc523998122 \h </w:instrText>
        </w:r>
        <w:r w:rsidR="00EF7F33" w:rsidRPr="00EF7F33">
          <w:rPr>
            <w:webHidden/>
          </w:rPr>
        </w:r>
        <w:r w:rsidR="00EF7F33" w:rsidRPr="00EF7F33">
          <w:rPr>
            <w:webHidden/>
          </w:rPr>
          <w:fldChar w:fldCharType="separate"/>
        </w:r>
        <w:r w:rsidR="00EF7F33" w:rsidRPr="00EF7F33">
          <w:rPr>
            <w:webHidden/>
          </w:rPr>
          <w:t>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3" w:history="1">
        <w:r w:rsidR="00EF7F33" w:rsidRPr="00EF7F33">
          <w:rPr>
            <w:rStyle w:val="Hyperlink"/>
            <w:rFonts w:ascii="Times New Roman" w:hAnsi="Times New Roman"/>
          </w:rPr>
          <w:t>3.1.2.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Izvješćivanje o kreditnom riziku druge ugovorne strane</w:t>
        </w:r>
        <w:r w:rsidR="00EF7F33" w:rsidRPr="00EF7F33">
          <w:rPr>
            <w:webHidden/>
          </w:rPr>
          <w:tab/>
        </w:r>
        <w:r w:rsidR="00EF7F33" w:rsidRPr="00EF7F33">
          <w:rPr>
            <w:webHidden/>
          </w:rPr>
          <w:fldChar w:fldCharType="begin"/>
        </w:r>
        <w:r w:rsidR="00EF7F33" w:rsidRPr="00EF7F33">
          <w:rPr>
            <w:webHidden/>
          </w:rPr>
          <w:instrText xml:space="preserve"> PAGEREF _Toc523998123 \h </w:instrText>
        </w:r>
        <w:r w:rsidR="00EF7F33" w:rsidRPr="00EF7F33">
          <w:rPr>
            <w:webHidden/>
          </w:rPr>
        </w:r>
        <w:r w:rsidR="00EF7F33" w:rsidRPr="00EF7F33">
          <w:rPr>
            <w:webHidden/>
          </w:rPr>
          <w:fldChar w:fldCharType="separate"/>
        </w:r>
        <w:r w:rsidR="00EF7F33" w:rsidRPr="00EF7F33">
          <w:rPr>
            <w:webHidden/>
          </w:rPr>
          <w:t>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4" w:history="1">
        <w:r w:rsidR="00EF7F33" w:rsidRPr="00EF7F33">
          <w:rPr>
            <w:rStyle w:val="Hyperlink"/>
            <w:rFonts w:ascii="Times New Roman" w:hAnsi="Times New Roman"/>
          </w:rPr>
          <w:t>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07.00 – Kreditni rizik, kreditni rizik druge ugovorne strane i slobodne isporuke: Standardizirani pristup kapitalnim zahtjevima (CR SA)</w:t>
        </w:r>
        <w:r w:rsidR="00EF7F33" w:rsidRPr="00EF7F33">
          <w:rPr>
            <w:webHidden/>
          </w:rPr>
          <w:tab/>
        </w:r>
        <w:r w:rsidR="00EF7F33" w:rsidRPr="00EF7F33">
          <w:rPr>
            <w:webHidden/>
          </w:rPr>
          <w:fldChar w:fldCharType="begin"/>
        </w:r>
        <w:r w:rsidR="00EF7F33" w:rsidRPr="00EF7F33">
          <w:rPr>
            <w:webHidden/>
          </w:rPr>
          <w:instrText xml:space="preserve"> PAGEREF _Toc523998124 \h </w:instrText>
        </w:r>
        <w:r w:rsidR="00EF7F33" w:rsidRPr="00EF7F33">
          <w:rPr>
            <w:webHidden/>
          </w:rPr>
        </w:r>
        <w:r w:rsidR="00EF7F33" w:rsidRPr="00EF7F33">
          <w:rPr>
            <w:webHidden/>
          </w:rPr>
          <w:fldChar w:fldCharType="separate"/>
        </w:r>
        <w:r w:rsidR="00EF7F33" w:rsidRPr="00EF7F33">
          <w:rPr>
            <w:webHidden/>
          </w:rPr>
          <w:t>78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5" w:history="1">
        <w:r w:rsidR="00EF7F33" w:rsidRPr="00EF7F33">
          <w:rPr>
            <w:rStyle w:val="Hyperlink"/>
            <w:rFonts w:ascii="Times New Roman" w:hAnsi="Times New Roman"/>
          </w:rPr>
          <w:t>3.2.1.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_Toc523998125 \h </w:instrText>
        </w:r>
        <w:r w:rsidR="00EF7F33" w:rsidRPr="00EF7F33">
          <w:rPr>
            <w:webHidden/>
          </w:rPr>
        </w:r>
        <w:r w:rsidR="00EF7F33" w:rsidRPr="00EF7F33">
          <w:rPr>
            <w:webHidden/>
          </w:rPr>
          <w:fldChar w:fldCharType="separate"/>
        </w:r>
        <w:r w:rsidR="00EF7F33" w:rsidRPr="00EF7F33">
          <w:rPr>
            <w:webHidden/>
          </w:rPr>
          <w:t>78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6" w:history="1">
        <w:r w:rsidR="00EF7F33" w:rsidRPr="00EF7F33">
          <w:rPr>
            <w:rStyle w:val="Hyperlink"/>
            <w:rFonts w:ascii="Times New Roman" w:hAnsi="Times New Roman"/>
          </w:rPr>
          <w:t>3.2.2.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Opseg obrasca CR SA</w:t>
        </w:r>
        <w:r w:rsidR="00EF7F33" w:rsidRPr="00EF7F33">
          <w:rPr>
            <w:webHidden/>
          </w:rPr>
          <w:tab/>
        </w:r>
        <w:r w:rsidR="00EF7F33" w:rsidRPr="00EF7F33">
          <w:rPr>
            <w:webHidden/>
          </w:rPr>
          <w:fldChar w:fldCharType="begin"/>
        </w:r>
        <w:r w:rsidR="00EF7F33" w:rsidRPr="00EF7F33">
          <w:rPr>
            <w:webHidden/>
          </w:rPr>
          <w:instrText xml:space="preserve"> PAGEREF _Toc523998126 \h </w:instrText>
        </w:r>
        <w:r w:rsidR="00EF7F33" w:rsidRPr="00EF7F33">
          <w:rPr>
            <w:webHidden/>
          </w:rPr>
        </w:r>
        <w:r w:rsidR="00EF7F33" w:rsidRPr="00EF7F33">
          <w:rPr>
            <w:webHidden/>
          </w:rPr>
          <w:fldChar w:fldCharType="separate"/>
        </w:r>
        <w:r w:rsidR="00EF7F33" w:rsidRPr="00EF7F33">
          <w:rPr>
            <w:webHidden/>
          </w:rPr>
          <w:t>78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7" w:history="1">
        <w:r w:rsidR="00EF7F33" w:rsidRPr="00EF7F33">
          <w:rPr>
            <w:rStyle w:val="Hyperlink"/>
            <w:rFonts w:ascii="Times New Roman" w:hAnsi="Times New Roman"/>
          </w:rPr>
          <w:t>3.2.3.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 xml:space="preserve"> Raspoređivanje izloženosti u kategorije izloženosti u skladu sa standardiziranim pristupom</w:t>
        </w:r>
        <w:r w:rsidR="00EF7F33" w:rsidRPr="00EF7F33">
          <w:rPr>
            <w:webHidden/>
          </w:rPr>
          <w:tab/>
        </w:r>
        <w:r w:rsidR="00EF7F33" w:rsidRPr="00EF7F33">
          <w:rPr>
            <w:webHidden/>
          </w:rPr>
          <w:fldChar w:fldCharType="begin"/>
        </w:r>
        <w:r w:rsidR="00EF7F33" w:rsidRPr="00EF7F33">
          <w:rPr>
            <w:webHidden/>
          </w:rPr>
          <w:instrText xml:space="preserve"> PAGEREF _Toc523998127 \h </w:instrText>
        </w:r>
        <w:r w:rsidR="00EF7F33" w:rsidRPr="00EF7F33">
          <w:rPr>
            <w:webHidden/>
          </w:rPr>
        </w:r>
        <w:r w:rsidR="00EF7F33" w:rsidRPr="00EF7F33">
          <w:rPr>
            <w:webHidden/>
          </w:rPr>
          <w:fldChar w:fldCharType="separate"/>
        </w:r>
        <w:r w:rsidR="00EF7F33" w:rsidRPr="00EF7F33">
          <w:rPr>
            <w:webHidden/>
          </w:rPr>
          <w:t>80</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8" w:history="1">
        <w:r w:rsidR="00EF7F33" w:rsidRPr="00EF7F33">
          <w:rPr>
            <w:rStyle w:val="Hyperlink"/>
            <w:rFonts w:ascii="Times New Roman" w:hAnsi="Times New Roman"/>
          </w:rPr>
          <w:t>3.2.4.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Pojašnjenja opsega nekih posebnih kategorija izloženosti iz članka 112. CRR-a</w:t>
        </w:r>
        <w:r w:rsidR="00EF7F33" w:rsidRPr="00EF7F33">
          <w:rPr>
            <w:webHidden/>
          </w:rPr>
          <w:tab/>
        </w:r>
        <w:r w:rsidR="00EF7F33" w:rsidRPr="00EF7F33">
          <w:rPr>
            <w:webHidden/>
          </w:rPr>
          <w:fldChar w:fldCharType="begin"/>
        </w:r>
        <w:r w:rsidR="00EF7F33" w:rsidRPr="00EF7F33">
          <w:rPr>
            <w:webHidden/>
          </w:rPr>
          <w:instrText xml:space="preserve"> PAGEREF _Toc523998128 \h </w:instrText>
        </w:r>
        <w:r w:rsidR="00EF7F33" w:rsidRPr="00EF7F33">
          <w:rPr>
            <w:webHidden/>
          </w:rPr>
        </w:r>
        <w:r w:rsidR="00EF7F33" w:rsidRPr="00EF7F33">
          <w:rPr>
            <w:webHidden/>
          </w:rPr>
          <w:fldChar w:fldCharType="separate"/>
        </w:r>
        <w:r w:rsidR="00EF7F33" w:rsidRPr="00EF7F33">
          <w:rPr>
            <w:webHidden/>
          </w:rPr>
          <w:t>85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29" w:history="1">
        <w:r w:rsidR="00EF7F33" w:rsidRPr="00EF7F33">
          <w:rPr>
            <w:rStyle w:val="Hyperlink"/>
            <w:rFonts w:ascii="Times New Roman" w:hAnsi="Times New Roman"/>
          </w:rPr>
          <w:t>3.2.4.1.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Kategorija izloženosti „institucije”</w:t>
        </w:r>
        <w:r w:rsidR="00EF7F33" w:rsidRPr="00EF7F33">
          <w:rPr>
            <w:webHidden/>
          </w:rPr>
          <w:tab/>
        </w:r>
        <w:r w:rsidR="00EF7F33" w:rsidRPr="00EF7F33">
          <w:rPr>
            <w:webHidden/>
          </w:rPr>
          <w:fldChar w:fldCharType="begin"/>
        </w:r>
        <w:r w:rsidR="00EF7F33" w:rsidRPr="00EF7F33">
          <w:rPr>
            <w:webHidden/>
          </w:rPr>
          <w:instrText xml:space="preserve"> PAGEREF _Toc523998129 \h </w:instrText>
        </w:r>
        <w:r w:rsidR="00EF7F33" w:rsidRPr="00EF7F33">
          <w:rPr>
            <w:webHidden/>
          </w:rPr>
        </w:r>
        <w:r w:rsidR="00EF7F33" w:rsidRPr="00EF7F33">
          <w:rPr>
            <w:webHidden/>
          </w:rPr>
          <w:fldChar w:fldCharType="separate"/>
        </w:r>
        <w:r w:rsidR="00EF7F33" w:rsidRPr="00EF7F33">
          <w:rPr>
            <w:webHidden/>
          </w:rPr>
          <w:t>85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0" w:history="1">
        <w:r w:rsidR="00EF7F33" w:rsidRPr="00EF7F33">
          <w:rPr>
            <w:rStyle w:val="Hyperlink"/>
            <w:rFonts w:ascii="Times New Roman" w:hAnsi="Times New Roman"/>
          </w:rPr>
          <w:t>3.2.4.2.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Kategorija izloženosti „pokrivene obveznice”</w:t>
        </w:r>
        <w:r w:rsidR="00EF7F33" w:rsidRPr="00EF7F33">
          <w:rPr>
            <w:webHidden/>
          </w:rPr>
          <w:tab/>
        </w:r>
        <w:r w:rsidR="00EF7F33" w:rsidRPr="00EF7F33">
          <w:rPr>
            <w:webHidden/>
          </w:rPr>
          <w:fldChar w:fldCharType="begin"/>
        </w:r>
        <w:r w:rsidR="00EF7F33" w:rsidRPr="00EF7F33">
          <w:rPr>
            <w:webHidden/>
          </w:rPr>
          <w:instrText xml:space="preserve"> PAGEREF _Toc523998130 \h </w:instrText>
        </w:r>
        <w:r w:rsidR="00EF7F33" w:rsidRPr="00EF7F33">
          <w:rPr>
            <w:webHidden/>
          </w:rPr>
        </w:r>
        <w:r w:rsidR="00EF7F33" w:rsidRPr="00EF7F33">
          <w:rPr>
            <w:webHidden/>
          </w:rPr>
          <w:fldChar w:fldCharType="separate"/>
        </w:r>
        <w:r w:rsidR="00EF7F33" w:rsidRPr="00EF7F33">
          <w:rPr>
            <w:webHidden/>
          </w:rPr>
          <w:t>85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1" w:history="1">
        <w:r w:rsidR="00EF7F33" w:rsidRPr="00EF7F33">
          <w:rPr>
            <w:rStyle w:val="Hyperlink"/>
            <w:rFonts w:ascii="Times New Roman" w:hAnsi="Times New Roman"/>
          </w:rPr>
          <w:t>3.2.4.3.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Kategorija izloženosti „subjekti za zajednička ulaganja”</w:t>
        </w:r>
        <w:r w:rsidR="00EF7F33" w:rsidRPr="00EF7F33">
          <w:rPr>
            <w:webHidden/>
          </w:rPr>
          <w:tab/>
        </w:r>
        <w:r w:rsidR="00EF7F33" w:rsidRPr="00EF7F33">
          <w:rPr>
            <w:webHidden/>
          </w:rPr>
          <w:fldChar w:fldCharType="begin"/>
        </w:r>
        <w:r w:rsidR="00EF7F33" w:rsidRPr="00EF7F33">
          <w:rPr>
            <w:webHidden/>
          </w:rPr>
          <w:instrText xml:space="preserve"> PAGEREF _Toc523998131 \h </w:instrText>
        </w:r>
        <w:r w:rsidR="00EF7F33" w:rsidRPr="00EF7F33">
          <w:rPr>
            <w:webHidden/>
          </w:rPr>
        </w:r>
        <w:r w:rsidR="00EF7F33" w:rsidRPr="00EF7F33">
          <w:rPr>
            <w:webHidden/>
          </w:rPr>
          <w:fldChar w:fldCharType="separate"/>
        </w:r>
        <w:r w:rsidR="00EF7F33" w:rsidRPr="00EF7F33">
          <w:rPr>
            <w:webHidden/>
          </w:rPr>
          <w:t>85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2" w:history="1">
        <w:r w:rsidR="00EF7F33" w:rsidRPr="00EF7F33">
          <w:rPr>
            <w:rStyle w:val="Hyperlink"/>
            <w:rFonts w:ascii="Times New Roman" w:hAnsi="Times New Roman"/>
          </w:rPr>
          <w:t>3.2.5.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_Toc523998132 \h </w:instrText>
        </w:r>
        <w:r w:rsidR="00EF7F33" w:rsidRPr="00EF7F33">
          <w:rPr>
            <w:webHidden/>
          </w:rPr>
        </w:r>
        <w:r w:rsidR="00EF7F33" w:rsidRPr="00EF7F33">
          <w:rPr>
            <w:webHidden/>
          </w:rPr>
          <w:fldChar w:fldCharType="separate"/>
        </w:r>
        <w:r w:rsidR="00EF7F33" w:rsidRPr="00EF7F33">
          <w:rPr>
            <w:webHidden/>
          </w:rPr>
          <w:t>85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3" w:history="1">
        <w:r w:rsidR="00EF7F33" w:rsidRPr="00EF7F33">
          <w:rPr>
            <w:rStyle w:val="Hyperlink"/>
            <w:rFonts w:ascii="Times New Roman" w:hAnsi="Times New Roman"/>
          </w:rPr>
          <w:t>3.3.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Kreditni rizik, kreditni rizik druge ugovorne strane i slobodne isporuke: IRB pristup kapitalnim zahtjevima (CR IRB)</w:t>
        </w:r>
        <w:r w:rsidR="00EF7F33" w:rsidRPr="00EF7F33">
          <w:rPr>
            <w:webHidden/>
          </w:rPr>
          <w:tab/>
        </w:r>
        <w:r w:rsidR="00EF7F33" w:rsidRPr="00EF7F33">
          <w:rPr>
            <w:webHidden/>
          </w:rPr>
          <w:fldChar w:fldCharType="begin"/>
        </w:r>
        <w:r w:rsidR="00EF7F33" w:rsidRPr="00EF7F33">
          <w:rPr>
            <w:webHidden/>
          </w:rPr>
          <w:instrText xml:space="preserve"> PAGEREF _Toc523998133 \h </w:instrText>
        </w:r>
        <w:r w:rsidR="00EF7F33" w:rsidRPr="00EF7F33">
          <w:rPr>
            <w:webHidden/>
          </w:rPr>
        </w:r>
        <w:r w:rsidR="00EF7F33" w:rsidRPr="00EF7F33">
          <w:rPr>
            <w:webHidden/>
          </w:rPr>
          <w:fldChar w:fldCharType="separate"/>
        </w:r>
        <w:r w:rsidR="00EF7F33" w:rsidRPr="00EF7F33">
          <w:rPr>
            <w:webHidden/>
          </w:rPr>
          <w:t>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4" w:history="1">
        <w:r w:rsidR="00EF7F33" w:rsidRPr="00EF7F33">
          <w:rPr>
            <w:rStyle w:val="Hyperlink"/>
            <w:rFonts w:ascii="Times New Roman" w:hAnsi="Times New Roman"/>
          </w:rPr>
          <w:t>3.3.1.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Opseg obrasca CR IRB</w:t>
        </w:r>
        <w:r w:rsidR="00EF7F33" w:rsidRPr="00EF7F33">
          <w:rPr>
            <w:webHidden/>
          </w:rPr>
          <w:tab/>
        </w:r>
        <w:r w:rsidR="00EF7F33" w:rsidRPr="00EF7F33">
          <w:rPr>
            <w:webHidden/>
          </w:rPr>
          <w:fldChar w:fldCharType="begin"/>
        </w:r>
        <w:r w:rsidR="00EF7F33" w:rsidRPr="00EF7F33">
          <w:rPr>
            <w:webHidden/>
          </w:rPr>
          <w:instrText xml:space="preserve"> PAGEREF _Toc523998134 \h </w:instrText>
        </w:r>
        <w:r w:rsidR="00EF7F33" w:rsidRPr="00EF7F33">
          <w:rPr>
            <w:webHidden/>
          </w:rPr>
        </w:r>
        <w:r w:rsidR="00EF7F33" w:rsidRPr="00EF7F33">
          <w:rPr>
            <w:webHidden/>
          </w:rPr>
          <w:fldChar w:fldCharType="separate"/>
        </w:r>
        <w:r w:rsidR="00EF7F33" w:rsidRPr="00EF7F33">
          <w:rPr>
            <w:webHidden/>
          </w:rPr>
          <w:t>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5" w:history="1">
        <w:r w:rsidR="00EF7F33" w:rsidRPr="00EF7F33">
          <w:rPr>
            <w:rStyle w:val="Hyperlink"/>
            <w:rFonts w:ascii="Times New Roman" w:hAnsi="Times New Roman"/>
          </w:rPr>
          <w:t>3.3.2.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Raščlamba obrasca CR IRB</w:t>
        </w:r>
        <w:r w:rsidR="00EF7F33" w:rsidRPr="00EF7F33">
          <w:rPr>
            <w:webHidden/>
          </w:rPr>
          <w:tab/>
        </w:r>
        <w:r w:rsidR="00EF7F33" w:rsidRPr="00EF7F33">
          <w:rPr>
            <w:webHidden/>
          </w:rPr>
          <w:fldChar w:fldCharType="begin"/>
        </w:r>
        <w:r w:rsidR="00EF7F33" w:rsidRPr="00EF7F33">
          <w:rPr>
            <w:webHidden/>
          </w:rPr>
          <w:instrText xml:space="preserve"> PAGEREF _Toc523998135 \h </w:instrText>
        </w:r>
        <w:r w:rsidR="00EF7F33" w:rsidRPr="00EF7F33">
          <w:rPr>
            <w:webHidden/>
          </w:rPr>
        </w:r>
        <w:r w:rsidR="00EF7F33" w:rsidRPr="00EF7F33">
          <w:rPr>
            <w:webHidden/>
          </w:rPr>
          <w:fldChar w:fldCharType="separate"/>
        </w:r>
        <w:r w:rsidR="00EF7F33" w:rsidRPr="00EF7F33">
          <w:rPr>
            <w:webHidden/>
          </w:rPr>
          <w:t>94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6" w:history="1">
        <w:r w:rsidR="00EF7F33" w:rsidRPr="00EF7F33">
          <w:rPr>
            <w:rStyle w:val="Hyperlink"/>
            <w:rFonts w:ascii="Times New Roman" w:hAnsi="Times New Roman"/>
          </w:rPr>
          <w:t>3.3.3.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08.01 – Kreditni rizik, kreditni rizik druge ugovorne strane i slobodne isporuke: IRB pristup kapitalnim zahtjevima (CR IRB 1)</w:t>
        </w:r>
        <w:r w:rsidR="00EF7F33" w:rsidRPr="00EF7F33">
          <w:rPr>
            <w:webHidden/>
          </w:rPr>
          <w:tab/>
        </w:r>
        <w:r w:rsidR="00EF7F33" w:rsidRPr="00EF7F33">
          <w:rPr>
            <w:webHidden/>
          </w:rPr>
          <w:fldChar w:fldCharType="begin"/>
        </w:r>
        <w:r w:rsidR="00EF7F33" w:rsidRPr="00EF7F33">
          <w:rPr>
            <w:webHidden/>
          </w:rPr>
          <w:instrText xml:space="preserve"> PAGEREF _Toc523998136 \h </w:instrText>
        </w:r>
        <w:r w:rsidR="00EF7F33" w:rsidRPr="00EF7F33">
          <w:rPr>
            <w:webHidden/>
          </w:rPr>
        </w:r>
        <w:r w:rsidR="00EF7F33" w:rsidRPr="00EF7F33">
          <w:rPr>
            <w:webHidden/>
          </w:rPr>
          <w:fldChar w:fldCharType="separate"/>
        </w:r>
        <w:r w:rsidR="00EF7F33" w:rsidRPr="00EF7F33">
          <w:rPr>
            <w:webHidden/>
          </w:rPr>
          <w:t>95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7" w:history="1">
        <w:r w:rsidR="00EF7F33" w:rsidRPr="00EF7F33">
          <w:rPr>
            <w:rStyle w:val="Hyperlink"/>
            <w:rFonts w:ascii="Times New Roman" w:hAnsi="Times New Roman"/>
          </w:rPr>
          <w:t>3.3.3.1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_Toc523998137 \h </w:instrText>
        </w:r>
        <w:r w:rsidR="00EF7F33" w:rsidRPr="00EF7F33">
          <w:rPr>
            <w:webHidden/>
          </w:rPr>
        </w:r>
        <w:r w:rsidR="00EF7F33" w:rsidRPr="00EF7F33">
          <w:rPr>
            <w:webHidden/>
          </w:rPr>
          <w:fldChar w:fldCharType="separate"/>
        </w:r>
        <w:r w:rsidR="00EF7F33" w:rsidRPr="00EF7F33">
          <w:rPr>
            <w:webHidden/>
          </w:rPr>
          <w:t>95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8" w:history="1">
        <w:r w:rsidR="00EF7F33" w:rsidRPr="00EF7F33">
          <w:rPr>
            <w:rStyle w:val="Hyperlink"/>
            <w:rFonts w:ascii="Times New Roman" w:hAnsi="Times New Roman"/>
          </w:rPr>
          <w:t>3.3.4.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08.02 – Kreditni rizik, kreditni rizik druge ugovorne strane i slobodne isporuke: IRB pristup kapitalnim zahtjevima (raščlamba prema rejting-kategorijama dužnika ili skupovima izloženosti (obrazac CR IRB 2)</w:t>
        </w:r>
        <w:r w:rsidR="00EF7F33" w:rsidRPr="00EF7F33">
          <w:rPr>
            <w:webHidden/>
          </w:rPr>
          <w:tab/>
        </w:r>
        <w:r w:rsidR="00EF7F33" w:rsidRPr="00EF7F33">
          <w:rPr>
            <w:webHidden/>
          </w:rPr>
          <w:fldChar w:fldCharType="begin"/>
        </w:r>
        <w:r w:rsidR="00EF7F33" w:rsidRPr="00EF7F33">
          <w:rPr>
            <w:webHidden/>
          </w:rPr>
          <w:instrText xml:space="preserve"> PAGEREF _Toc523998138 \h </w:instrText>
        </w:r>
        <w:r w:rsidR="00EF7F33" w:rsidRPr="00EF7F33">
          <w:rPr>
            <w:webHidden/>
          </w:rPr>
        </w:r>
        <w:r w:rsidR="00EF7F33" w:rsidRPr="00EF7F33">
          <w:rPr>
            <w:webHidden/>
          </w:rPr>
          <w:fldChar w:fldCharType="separate"/>
        </w:r>
        <w:r w:rsidR="00EF7F33" w:rsidRPr="00EF7F33">
          <w:rPr>
            <w:webHidden/>
          </w:rPr>
          <w:t>104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39" w:history="1">
        <w:r w:rsidR="00EF7F33" w:rsidRPr="00EF7F33">
          <w:rPr>
            <w:rStyle w:val="Hyperlink"/>
            <w:rFonts w:ascii="Times New Roman" w:hAnsi="Times New Roman"/>
          </w:rPr>
          <w:t>3.4.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Kreditni rizik, kreditni rizik druge ugovorne strane i slobodne isporuke: Informacije s geografskom raščlambom</w:t>
        </w:r>
        <w:r w:rsidR="00EF7F33" w:rsidRPr="00EF7F33">
          <w:rPr>
            <w:webHidden/>
          </w:rPr>
          <w:tab/>
        </w:r>
        <w:r w:rsidR="00EF7F33" w:rsidRPr="00EF7F33">
          <w:rPr>
            <w:webHidden/>
          </w:rPr>
          <w:fldChar w:fldCharType="begin"/>
        </w:r>
        <w:r w:rsidR="00EF7F33" w:rsidRPr="00EF7F33">
          <w:rPr>
            <w:webHidden/>
          </w:rPr>
          <w:instrText xml:space="preserve"> PAGEREF _Toc523998139 \h </w:instrText>
        </w:r>
        <w:r w:rsidR="00EF7F33" w:rsidRPr="00EF7F33">
          <w:rPr>
            <w:webHidden/>
          </w:rPr>
        </w:r>
        <w:r w:rsidR="00EF7F33" w:rsidRPr="00EF7F33">
          <w:rPr>
            <w:webHidden/>
          </w:rPr>
          <w:fldChar w:fldCharType="separate"/>
        </w:r>
        <w:r w:rsidR="00EF7F33" w:rsidRPr="00EF7F33">
          <w:rPr>
            <w:webHidden/>
          </w:rPr>
          <w:t>104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0" w:history="1">
        <w:r w:rsidR="00EF7F33" w:rsidRPr="00EF7F33">
          <w:rPr>
            <w:rStyle w:val="Hyperlink"/>
            <w:rFonts w:ascii="Times New Roman" w:hAnsi="Times New Roman"/>
          </w:rPr>
          <w:t>3.4.1.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09.01 – Geografska raščlamba izloženosti prema boravištu dužnika: izloženosti u skladu sa standardiziranim pristupom (CR GB 1)</w:t>
        </w:r>
        <w:r w:rsidR="00EF7F33" w:rsidRPr="00EF7F33">
          <w:rPr>
            <w:webHidden/>
          </w:rPr>
          <w:tab/>
        </w:r>
        <w:r w:rsidR="00EF7F33" w:rsidRPr="00EF7F33">
          <w:rPr>
            <w:webHidden/>
          </w:rPr>
          <w:fldChar w:fldCharType="begin"/>
        </w:r>
        <w:r w:rsidR="00EF7F33" w:rsidRPr="00EF7F33">
          <w:rPr>
            <w:webHidden/>
          </w:rPr>
          <w:instrText xml:space="preserve"> PAGEREF _Toc523998140 \h </w:instrText>
        </w:r>
        <w:r w:rsidR="00EF7F33" w:rsidRPr="00EF7F33">
          <w:rPr>
            <w:webHidden/>
          </w:rPr>
        </w:r>
        <w:r w:rsidR="00EF7F33" w:rsidRPr="00EF7F33">
          <w:rPr>
            <w:webHidden/>
          </w:rPr>
          <w:fldChar w:fldCharType="separate"/>
        </w:r>
        <w:r w:rsidR="00EF7F33" w:rsidRPr="00EF7F33">
          <w:rPr>
            <w:webHidden/>
          </w:rPr>
          <w:t>105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1" w:history="1">
        <w:r w:rsidR="00EF7F33" w:rsidRPr="00EF7F33">
          <w:rPr>
            <w:rStyle w:val="Hyperlink"/>
            <w:rFonts w:ascii="Times New Roman" w:hAnsi="Times New Roman"/>
          </w:rPr>
          <w:t>3.4.1.1.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_Toc523998141 \h </w:instrText>
        </w:r>
        <w:r w:rsidR="00EF7F33" w:rsidRPr="00EF7F33">
          <w:rPr>
            <w:webHidden/>
          </w:rPr>
        </w:r>
        <w:r w:rsidR="00EF7F33" w:rsidRPr="00EF7F33">
          <w:rPr>
            <w:webHidden/>
          </w:rPr>
          <w:fldChar w:fldCharType="separate"/>
        </w:r>
        <w:r w:rsidR="00EF7F33" w:rsidRPr="00EF7F33">
          <w:rPr>
            <w:webHidden/>
          </w:rPr>
          <w:t>105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2" w:history="1">
        <w:r w:rsidR="00EF7F33" w:rsidRPr="00EF7F33">
          <w:rPr>
            <w:rStyle w:val="Hyperlink"/>
            <w:rFonts w:ascii="Times New Roman" w:hAnsi="Times New Roman"/>
          </w:rPr>
          <w:t>3.4.2.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09.02 – Geografska raščlamba izloženosti prema boravištu dužnika: Izloženosti u skladu s IRB pristupom  (CR GB 2)</w:t>
        </w:r>
        <w:r w:rsidR="00EF7F33" w:rsidRPr="00EF7F33">
          <w:rPr>
            <w:webHidden/>
          </w:rPr>
          <w:tab/>
        </w:r>
        <w:r w:rsidR="00EF7F33" w:rsidRPr="00EF7F33">
          <w:rPr>
            <w:webHidden/>
          </w:rPr>
          <w:fldChar w:fldCharType="begin"/>
        </w:r>
        <w:r w:rsidR="00EF7F33" w:rsidRPr="00EF7F33">
          <w:rPr>
            <w:webHidden/>
          </w:rPr>
          <w:instrText xml:space="preserve"> PAGEREF _Toc523998142 \h </w:instrText>
        </w:r>
        <w:r w:rsidR="00EF7F33" w:rsidRPr="00EF7F33">
          <w:rPr>
            <w:webHidden/>
          </w:rPr>
        </w:r>
        <w:r w:rsidR="00EF7F33" w:rsidRPr="00EF7F33">
          <w:rPr>
            <w:webHidden/>
          </w:rPr>
          <w:fldChar w:fldCharType="separate"/>
        </w:r>
        <w:r w:rsidR="00EF7F33" w:rsidRPr="00EF7F33">
          <w:rPr>
            <w:webHidden/>
          </w:rPr>
          <w:t>108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3" w:history="1">
        <w:r w:rsidR="00EF7F33" w:rsidRPr="00EF7F33">
          <w:rPr>
            <w:rStyle w:val="Hyperlink"/>
            <w:rFonts w:ascii="Times New Roman" w:hAnsi="Times New Roman"/>
          </w:rPr>
          <w:t>3.4.2.1.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_Toc523998143 \h </w:instrText>
        </w:r>
        <w:r w:rsidR="00EF7F33" w:rsidRPr="00EF7F33">
          <w:rPr>
            <w:webHidden/>
          </w:rPr>
        </w:r>
        <w:r w:rsidR="00EF7F33" w:rsidRPr="00EF7F33">
          <w:rPr>
            <w:webHidden/>
          </w:rPr>
          <w:fldChar w:fldCharType="separate"/>
        </w:r>
        <w:r w:rsidR="00EF7F33" w:rsidRPr="00EF7F33">
          <w:rPr>
            <w:webHidden/>
          </w:rPr>
          <w:t>108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4" w:history="1">
        <w:r w:rsidR="00EF7F33" w:rsidRPr="00EF7F33">
          <w:rPr>
            <w:rStyle w:val="Hyperlink"/>
            <w:rFonts w:ascii="Times New Roman" w:hAnsi="Times New Roman"/>
          </w:rPr>
          <w:t>3.4.3.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09.04 – Raščlamba relevantnih kreditnih izloženosti za potrebe izračuna protucikličkog zaštitnog sloja prema zemlji i stope protucikličkog zaštitnog sloja specifičnog za instituciju (CCB)</w:t>
        </w:r>
        <w:r w:rsidR="00EF7F33" w:rsidRPr="00EF7F33">
          <w:rPr>
            <w:webHidden/>
          </w:rPr>
          <w:tab/>
        </w:r>
        <w:r w:rsidR="00EF7F33" w:rsidRPr="00EF7F33">
          <w:rPr>
            <w:webHidden/>
          </w:rPr>
          <w:fldChar w:fldCharType="begin"/>
        </w:r>
        <w:r w:rsidR="00EF7F33" w:rsidRPr="00EF7F33">
          <w:rPr>
            <w:webHidden/>
          </w:rPr>
          <w:instrText xml:space="preserve"> PAGEREF _Toc523998144 \h </w:instrText>
        </w:r>
        <w:r w:rsidR="00EF7F33" w:rsidRPr="00EF7F33">
          <w:rPr>
            <w:webHidden/>
          </w:rPr>
        </w:r>
        <w:r w:rsidR="00EF7F33" w:rsidRPr="00EF7F33">
          <w:rPr>
            <w:webHidden/>
          </w:rPr>
          <w:fldChar w:fldCharType="separate"/>
        </w:r>
        <w:r w:rsidR="00EF7F33" w:rsidRPr="00EF7F33">
          <w:rPr>
            <w:webHidden/>
          </w:rPr>
          <w:t>111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5" w:history="1">
        <w:r w:rsidR="00EF7F33" w:rsidRPr="00EF7F33">
          <w:rPr>
            <w:rStyle w:val="Hyperlink"/>
            <w:rFonts w:ascii="Times New Roman" w:hAnsi="Times New Roman"/>
          </w:rPr>
          <w:t>3.4.3.1.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_Toc523998145 \h </w:instrText>
        </w:r>
        <w:r w:rsidR="00EF7F33" w:rsidRPr="00EF7F33">
          <w:rPr>
            <w:webHidden/>
          </w:rPr>
        </w:r>
        <w:r w:rsidR="00EF7F33" w:rsidRPr="00EF7F33">
          <w:rPr>
            <w:webHidden/>
          </w:rPr>
          <w:fldChar w:fldCharType="separate"/>
        </w:r>
        <w:r w:rsidR="00EF7F33" w:rsidRPr="00EF7F33">
          <w:rPr>
            <w:webHidden/>
          </w:rPr>
          <w:t>111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6" w:history="1">
        <w:r w:rsidR="00EF7F33" w:rsidRPr="00EF7F33">
          <w:rPr>
            <w:rStyle w:val="Hyperlink"/>
            <w:rFonts w:ascii="Times New Roman" w:hAnsi="Times New Roman"/>
          </w:rPr>
          <w:t>3.4.3.2.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_Toc523998146 \h </w:instrText>
        </w:r>
        <w:r w:rsidR="00EF7F33" w:rsidRPr="00EF7F33">
          <w:rPr>
            <w:webHidden/>
          </w:rPr>
        </w:r>
        <w:r w:rsidR="00EF7F33" w:rsidRPr="00EF7F33">
          <w:rPr>
            <w:webHidden/>
          </w:rPr>
          <w:fldChar w:fldCharType="separate"/>
        </w:r>
        <w:r w:rsidR="00EF7F33" w:rsidRPr="00EF7F33">
          <w:rPr>
            <w:webHidden/>
          </w:rPr>
          <w:t>111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7" w:history="1">
        <w:r w:rsidR="00EF7F33" w:rsidRPr="00EF7F33">
          <w:rPr>
            <w:rStyle w:val="Hyperlink"/>
            <w:rFonts w:ascii="Times New Roman" w:hAnsi="Times New Roman"/>
          </w:rPr>
          <w:t>3.5.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10.01 i C 10.02 – Izloženosti na osnovi vlasničkih ulaganja u skladu s pristupom zasnovanim na internim rejting-sustavima  (CR EQU IRB 1 i CR EQU IRB 2)</w:t>
        </w:r>
        <w:r w:rsidR="00EF7F33" w:rsidRPr="00EF7F33">
          <w:rPr>
            <w:webHidden/>
          </w:rPr>
          <w:tab/>
        </w:r>
        <w:r w:rsidR="00EF7F33" w:rsidRPr="00EF7F33">
          <w:rPr>
            <w:webHidden/>
          </w:rPr>
          <w:fldChar w:fldCharType="begin"/>
        </w:r>
        <w:r w:rsidR="00EF7F33" w:rsidRPr="00EF7F33">
          <w:rPr>
            <w:webHidden/>
          </w:rPr>
          <w:instrText xml:space="preserve"> PAGEREF _Toc523998147 \h </w:instrText>
        </w:r>
        <w:r w:rsidR="00EF7F33" w:rsidRPr="00EF7F33">
          <w:rPr>
            <w:webHidden/>
          </w:rPr>
        </w:r>
        <w:r w:rsidR="00EF7F33" w:rsidRPr="00EF7F33">
          <w:rPr>
            <w:webHidden/>
          </w:rPr>
          <w:fldChar w:fldCharType="separate"/>
        </w:r>
        <w:r w:rsidR="00EF7F33" w:rsidRPr="00EF7F33">
          <w:rPr>
            <w:webHidden/>
          </w:rPr>
          <w:t>116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8" w:history="1">
        <w:r w:rsidR="00EF7F33" w:rsidRPr="00EF7F33">
          <w:rPr>
            <w:rStyle w:val="Hyperlink"/>
            <w:rFonts w:ascii="Times New Roman" w:hAnsi="Times New Roman"/>
          </w:rPr>
          <w:t>3.5.1.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_Toc523998148 \h </w:instrText>
        </w:r>
        <w:r w:rsidR="00EF7F33" w:rsidRPr="00EF7F33">
          <w:rPr>
            <w:webHidden/>
          </w:rPr>
        </w:r>
        <w:r w:rsidR="00EF7F33" w:rsidRPr="00EF7F33">
          <w:rPr>
            <w:webHidden/>
          </w:rPr>
          <w:fldChar w:fldCharType="separate"/>
        </w:r>
        <w:r w:rsidR="00EF7F33" w:rsidRPr="00EF7F33">
          <w:rPr>
            <w:webHidden/>
          </w:rPr>
          <w:t>116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49" w:history="1">
        <w:r w:rsidR="00EF7F33" w:rsidRPr="00EF7F33">
          <w:rPr>
            <w:rStyle w:val="Hyperlink"/>
            <w:rFonts w:ascii="Times New Roman" w:hAnsi="Times New Roman"/>
          </w:rPr>
          <w:t>3.5.2.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  (mogu se primijeniti na obrasce CR EQU IRB 1 i CR EQU IRB 2)</w:t>
        </w:r>
        <w:r w:rsidR="00EF7F33" w:rsidRPr="00EF7F33">
          <w:rPr>
            <w:webHidden/>
          </w:rPr>
          <w:tab/>
        </w:r>
        <w:r w:rsidR="00EF7F33" w:rsidRPr="00EF7F33">
          <w:rPr>
            <w:webHidden/>
          </w:rPr>
          <w:fldChar w:fldCharType="begin"/>
        </w:r>
        <w:r w:rsidR="00EF7F33" w:rsidRPr="00EF7F33">
          <w:rPr>
            <w:webHidden/>
          </w:rPr>
          <w:instrText xml:space="preserve"> PAGEREF _Toc523998149 \h </w:instrText>
        </w:r>
        <w:r w:rsidR="00EF7F33" w:rsidRPr="00EF7F33">
          <w:rPr>
            <w:webHidden/>
          </w:rPr>
        </w:r>
        <w:r w:rsidR="00EF7F33" w:rsidRPr="00EF7F33">
          <w:rPr>
            <w:webHidden/>
          </w:rPr>
          <w:fldChar w:fldCharType="separate"/>
        </w:r>
        <w:r w:rsidR="00EF7F33" w:rsidRPr="00EF7F33">
          <w:rPr>
            <w:webHidden/>
          </w:rPr>
          <w:t>117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0" w:history="1">
        <w:r w:rsidR="00EF7F33" w:rsidRPr="00EF7F33">
          <w:rPr>
            <w:rStyle w:val="Hyperlink"/>
            <w:rFonts w:ascii="Times New Roman" w:hAnsi="Times New Roman"/>
          </w:rPr>
          <w:t>3.6.</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11.00 – Rizik namire/isporuke  (CR SETT)</w:t>
        </w:r>
        <w:r w:rsidR="00EF7F33" w:rsidRPr="00EF7F33">
          <w:rPr>
            <w:webHidden/>
          </w:rPr>
          <w:tab/>
        </w:r>
        <w:r w:rsidR="00EF7F33" w:rsidRPr="00EF7F33">
          <w:rPr>
            <w:webHidden/>
          </w:rPr>
          <w:fldChar w:fldCharType="begin"/>
        </w:r>
        <w:r w:rsidR="00EF7F33" w:rsidRPr="00EF7F33">
          <w:rPr>
            <w:webHidden/>
          </w:rPr>
          <w:instrText xml:space="preserve"> PAGEREF _Toc523998150 \h </w:instrText>
        </w:r>
        <w:r w:rsidR="00EF7F33" w:rsidRPr="00EF7F33">
          <w:rPr>
            <w:webHidden/>
          </w:rPr>
        </w:r>
        <w:r w:rsidR="00EF7F33" w:rsidRPr="00EF7F33">
          <w:rPr>
            <w:webHidden/>
          </w:rPr>
          <w:fldChar w:fldCharType="separate"/>
        </w:r>
        <w:r w:rsidR="00EF7F33" w:rsidRPr="00EF7F33">
          <w:rPr>
            <w:webHidden/>
          </w:rPr>
          <w:t>121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1" w:history="1">
        <w:r w:rsidR="00EF7F33" w:rsidRPr="00EF7F33">
          <w:rPr>
            <w:rStyle w:val="Hyperlink"/>
            <w:rFonts w:ascii="Times New Roman" w:hAnsi="Times New Roman"/>
          </w:rPr>
          <w:t>3.6.1.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_Toc523998151 \h </w:instrText>
        </w:r>
        <w:r w:rsidR="00EF7F33" w:rsidRPr="00EF7F33">
          <w:rPr>
            <w:webHidden/>
          </w:rPr>
        </w:r>
        <w:r w:rsidR="00EF7F33" w:rsidRPr="00EF7F33">
          <w:rPr>
            <w:webHidden/>
          </w:rPr>
          <w:fldChar w:fldCharType="separate"/>
        </w:r>
        <w:r w:rsidR="00EF7F33" w:rsidRPr="00EF7F33">
          <w:rPr>
            <w:webHidden/>
          </w:rPr>
          <w:t>121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2" w:history="1">
        <w:r w:rsidR="00EF7F33" w:rsidRPr="00EF7F33">
          <w:rPr>
            <w:rStyle w:val="Hyperlink"/>
            <w:rFonts w:ascii="Times New Roman" w:hAnsi="Times New Roman"/>
          </w:rPr>
          <w:t>3.6.2.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_Toc523998152 \h </w:instrText>
        </w:r>
        <w:r w:rsidR="00EF7F33" w:rsidRPr="00EF7F33">
          <w:rPr>
            <w:webHidden/>
          </w:rPr>
        </w:r>
        <w:r w:rsidR="00EF7F33" w:rsidRPr="00EF7F33">
          <w:rPr>
            <w:webHidden/>
          </w:rPr>
          <w:fldChar w:fldCharType="separate"/>
        </w:r>
        <w:r w:rsidR="00EF7F33" w:rsidRPr="00EF7F33">
          <w:rPr>
            <w:webHidden/>
          </w:rPr>
          <w:t>121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3" w:history="1">
        <w:r w:rsidR="00EF7F33" w:rsidRPr="00EF7F33">
          <w:rPr>
            <w:rStyle w:val="Hyperlink"/>
            <w:rFonts w:ascii="Times New Roman" w:hAnsi="Times New Roman"/>
          </w:rPr>
          <w:t>3.7.</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12.00 – Kreditni rizik: sekuritizacija – standardizirani pristup kapitalnim zahtjevima (CR SEC SA)</w:t>
        </w:r>
        <w:r w:rsidR="00EF7F33" w:rsidRPr="00EF7F33">
          <w:rPr>
            <w:webHidden/>
          </w:rPr>
          <w:tab/>
        </w:r>
        <w:r w:rsidR="00EF7F33" w:rsidRPr="00EF7F33">
          <w:rPr>
            <w:webHidden/>
          </w:rPr>
          <w:fldChar w:fldCharType="begin"/>
        </w:r>
        <w:r w:rsidR="00EF7F33" w:rsidRPr="00EF7F33">
          <w:rPr>
            <w:webHidden/>
          </w:rPr>
          <w:instrText xml:space="preserve"> PAGEREF _Toc523998153 \h </w:instrText>
        </w:r>
        <w:r w:rsidR="00EF7F33" w:rsidRPr="00EF7F33">
          <w:rPr>
            <w:webHidden/>
          </w:rPr>
        </w:r>
        <w:r w:rsidR="00EF7F33" w:rsidRPr="00EF7F33">
          <w:rPr>
            <w:webHidden/>
          </w:rPr>
          <w:fldChar w:fldCharType="separate"/>
        </w:r>
        <w:r w:rsidR="00EF7F33" w:rsidRPr="00EF7F33">
          <w:rPr>
            <w:webHidden/>
          </w:rPr>
          <w:t>124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4" w:history="1">
        <w:r w:rsidR="00EF7F33" w:rsidRPr="00EF7F33">
          <w:rPr>
            <w:rStyle w:val="Hyperlink"/>
            <w:rFonts w:ascii="Times New Roman" w:hAnsi="Times New Roman"/>
          </w:rPr>
          <w:t>3.7.1.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_Toc523998154 \h </w:instrText>
        </w:r>
        <w:r w:rsidR="00EF7F33" w:rsidRPr="00EF7F33">
          <w:rPr>
            <w:webHidden/>
          </w:rPr>
        </w:r>
        <w:r w:rsidR="00EF7F33" w:rsidRPr="00EF7F33">
          <w:rPr>
            <w:webHidden/>
          </w:rPr>
          <w:fldChar w:fldCharType="separate"/>
        </w:r>
        <w:r w:rsidR="00EF7F33" w:rsidRPr="00EF7F33">
          <w:rPr>
            <w:webHidden/>
          </w:rPr>
          <w:t>124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5" w:history="1">
        <w:r w:rsidR="00EF7F33" w:rsidRPr="00EF7F33">
          <w:rPr>
            <w:rStyle w:val="Hyperlink"/>
            <w:rFonts w:ascii="Times New Roman" w:hAnsi="Times New Roman"/>
          </w:rPr>
          <w:t>3.7.2.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_Toc523998155 \h </w:instrText>
        </w:r>
        <w:r w:rsidR="00EF7F33" w:rsidRPr="00EF7F33">
          <w:rPr>
            <w:webHidden/>
          </w:rPr>
        </w:r>
        <w:r w:rsidR="00EF7F33" w:rsidRPr="00EF7F33">
          <w:rPr>
            <w:webHidden/>
          </w:rPr>
          <w:fldChar w:fldCharType="separate"/>
        </w:r>
        <w:r w:rsidR="00EF7F33" w:rsidRPr="00EF7F33">
          <w:rPr>
            <w:webHidden/>
          </w:rPr>
          <w:t>124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6" w:history="1">
        <w:r w:rsidR="00EF7F33" w:rsidRPr="00EF7F33">
          <w:rPr>
            <w:rStyle w:val="Hyperlink"/>
            <w:rFonts w:ascii="Times New Roman" w:hAnsi="Times New Roman"/>
          </w:rPr>
          <w:t>3.8.</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13.00 – Kreditni rizik – sekuritizacije: pristup kapitalnim zahtjevima zasnovan na internim rejting-sustavima  (CR SEC IRB)</w:t>
        </w:r>
        <w:r w:rsidR="00EF7F33" w:rsidRPr="00EF7F33">
          <w:rPr>
            <w:webHidden/>
          </w:rPr>
          <w:tab/>
        </w:r>
        <w:r w:rsidR="00EF7F33" w:rsidRPr="00EF7F33">
          <w:rPr>
            <w:webHidden/>
          </w:rPr>
          <w:fldChar w:fldCharType="begin"/>
        </w:r>
        <w:r w:rsidR="00EF7F33" w:rsidRPr="00EF7F33">
          <w:rPr>
            <w:webHidden/>
          </w:rPr>
          <w:instrText xml:space="preserve"> PAGEREF _Toc523998156 \h </w:instrText>
        </w:r>
        <w:r w:rsidR="00EF7F33" w:rsidRPr="00EF7F33">
          <w:rPr>
            <w:webHidden/>
          </w:rPr>
        </w:r>
        <w:r w:rsidR="00EF7F33" w:rsidRPr="00EF7F33">
          <w:rPr>
            <w:webHidden/>
          </w:rPr>
          <w:fldChar w:fldCharType="separate"/>
        </w:r>
        <w:r w:rsidR="00EF7F33" w:rsidRPr="00EF7F33">
          <w:rPr>
            <w:webHidden/>
          </w:rPr>
          <w:t>133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7" w:history="1">
        <w:r w:rsidR="00EF7F33" w:rsidRPr="00EF7F33">
          <w:rPr>
            <w:rStyle w:val="Hyperlink"/>
            <w:rFonts w:ascii="Times New Roman" w:hAnsi="Times New Roman"/>
          </w:rPr>
          <w:t>3.8.1.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_Toc523998157 \h </w:instrText>
        </w:r>
        <w:r w:rsidR="00EF7F33" w:rsidRPr="00EF7F33">
          <w:rPr>
            <w:webHidden/>
          </w:rPr>
        </w:r>
        <w:r w:rsidR="00EF7F33" w:rsidRPr="00EF7F33">
          <w:rPr>
            <w:webHidden/>
          </w:rPr>
          <w:fldChar w:fldCharType="separate"/>
        </w:r>
        <w:r w:rsidR="00EF7F33" w:rsidRPr="00EF7F33">
          <w:rPr>
            <w:webHidden/>
          </w:rPr>
          <w:t>133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8" w:history="1">
        <w:r w:rsidR="00EF7F33" w:rsidRPr="00EF7F33">
          <w:rPr>
            <w:rStyle w:val="Hyperlink"/>
            <w:rFonts w:ascii="Times New Roman" w:hAnsi="Times New Roman"/>
          </w:rPr>
          <w:t>3.8.2.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_Toc523998158 \h </w:instrText>
        </w:r>
        <w:r w:rsidR="00EF7F33" w:rsidRPr="00EF7F33">
          <w:rPr>
            <w:webHidden/>
          </w:rPr>
        </w:r>
        <w:r w:rsidR="00EF7F33" w:rsidRPr="00EF7F33">
          <w:rPr>
            <w:webHidden/>
          </w:rPr>
          <w:fldChar w:fldCharType="separate"/>
        </w:r>
        <w:r w:rsidR="00EF7F33" w:rsidRPr="00EF7F33">
          <w:rPr>
            <w:webHidden/>
          </w:rPr>
          <w:t>134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59" w:history="1">
        <w:r w:rsidR="00EF7F33" w:rsidRPr="00EF7F33">
          <w:rPr>
            <w:rStyle w:val="Hyperlink"/>
            <w:rFonts w:ascii="Times New Roman" w:hAnsi="Times New Roman"/>
          </w:rPr>
          <w:t>3.9.</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14.00 – Detaljne informacije o sekuritizacijama (SEC DETALJNIJI PODACI)</w:t>
        </w:r>
        <w:r w:rsidR="00EF7F33" w:rsidRPr="00EF7F33">
          <w:rPr>
            <w:webHidden/>
          </w:rPr>
          <w:tab/>
        </w:r>
        <w:r w:rsidR="00EF7F33" w:rsidRPr="00EF7F33">
          <w:rPr>
            <w:webHidden/>
          </w:rPr>
          <w:fldChar w:fldCharType="begin"/>
        </w:r>
        <w:r w:rsidR="00EF7F33" w:rsidRPr="00EF7F33">
          <w:rPr>
            <w:webHidden/>
          </w:rPr>
          <w:instrText xml:space="preserve"> PAGEREF _Toc523998159 \h </w:instrText>
        </w:r>
        <w:r w:rsidR="00EF7F33" w:rsidRPr="00EF7F33">
          <w:rPr>
            <w:webHidden/>
          </w:rPr>
        </w:r>
        <w:r w:rsidR="00EF7F33" w:rsidRPr="00EF7F33">
          <w:rPr>
            <w:webHidden/>
          </w:rPr>
          <w:fldChar w:fldCharType="separate"/>
        </w:r>
        <w:r w:rsidR="00EF7F33" w:rsidRPr="00EF7F33">
          <w:rPr>
            <w:webHidden/>
          </w:rPr>
          <w:t>143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0" w:history="1">
        <w:r w:rsidR="00EF7F33" w:rsidRPr="00EF7F33">
          <w:rPr>
            <w:rStyle w:val="Hyperlink"/>
            <w:rFonts w:ascii="Times New Roman" w:hAnsi="Times New Roman"/>
          </w:rPr>
          <w:t>3.9.1.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_Toc523998160 \h </w:instrText>
        </w:r>
        <w:r w:rsidR="00EF7F33" w:rsidRPr="00EF7F33">
          <w:rPr>
            <w:webHidden/>
          </w:rPr>
        </w:r>
        <w:r w:rsidR="00EF7F33" w:rsidRPr="00EF7F33">
          <w:rPr>
            <w:webHidden/>
          </w:rPr>
          <w:fldChar w:fldCharType="separate"/>
        </w:r>
        <w:r w:rsidR="00EF7F33" w:rsidRPr="00EF7F33">
          <w:rPr>
            <w:webHidden/>
          </w:rPr>
          <w:t>143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1" w:history="1">
        <w:r w:rsidR="00EF7F33" w:rsidRPr="00EF7F33">
          <w:rPr>
            <w:rStyle w:val="Hyperlink"/>
            <w:rFonts w:ascii="Times New Roman" w:hAnsi="Times New Roman"/>
          </w:rPr>
          <w:t>3.9.2.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_Toc523998161 \h </w:instrText>
        </w:r>
        <w:r w:rsidR="00EF7F33" w:rsidRPr="00EF7F33">
          <w:rPr>
            <w:webHidden/>
          </w:rPr>
        </w:r>
        <w:r w:rsidR="00EF7F33" w:rsidRPr="00EF7F33">
          <w:rPr>
            <w:webHidden/>
          </w:rPr>
          <w:fldChar w:fldCharType="separate"/>
        </w:r>
        <w:r w:rsidR="00EF7F33" w:rsidRPr="00EF7F33">
          <w:rPr>
            <w:webHidden/>
          </w:rPr>
          <w:t>144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2" w:history="1">
        <w:r w:rsidR="00EF7F33" w:rsidRPr="00EF7F33">
          <w:rPr>
            <w:rStyle w:val="Hyperlink"/>
            <w:rFonts w:ascii="Times New Roman" w:hAnsi="Times New Roman"/>
          </w:rPr>
          <w:t>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Obrasci za operativni rizik</w:t>
        </w:r>
        <w:r w:rsidR="00EF7F33" w:rsidRPr="00EF7F33">
          <w:rPr>
            <w:webHidden/>
          </w:rPr>
          <w:tab/>
        </w:r>
        <w:r w:rsidR="00EF7F33" w:rsidRPr="00EF7F33">
          <w:rPr>
            <w:webHidden/>
          </w:rPr>
          <w:fldChar w:fldCharType="begin"/>
        </w:r>
        <w:r w:rsidR="00EF7F33" w:rsidRPr="00EF7F33">
          <w:rPr>
            <w:webHidden/>
          </w:rPr>
          <w:instrText xml:space="preserve"> PAGEREF _Toc523998162 \h </w:instrText>
        </w:r>
        <w:r w:rsidR="00EF7F33" w:rsidRPr="00EF7F33">
          <w:rPr>
            <w:webHidden/>
          </w:rPr>
        </w:r>
        <w:r w:rsidR="00EF7F33" w:rsidRPr="00EF7F33">
          <w:rPr>
            <w:webHidden/>
          </w:rPr>
          <w:fldChar w:fldCharType="separate"/>
        </w:r>
        <w:r w:rsidR="00EF7F33" w:rsidRPr="00EF7F33">
          <w:rPr>
            <w:webHidden/>
          </w:rPr>
          <w:t>156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3" w:history="1">
        <w:r w:rsidR="00EF7F33" w:rsidRPr="00EF7F33">
          <w:rPr>
            <w:rStyle w:val="Hyperlink"/>
            <w:rFonts w:ascii="Times New Roman" w:hAnsi="Times New Roman"/>
          </w:rPr>
          <w:t>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Pr>
          <w:t xml:space="preserve"> </w:t>
        </w:r>
        <w:r w:rsidR="00EF7F33" w:rsidRPr="00EF7F33">
          <w:rPr>
            <w:rStyle w:val="Hyperlink"/>
            <w:rFonts w:ascii="Times New Roman" w:hAnsi="Times New Roman"/>
          </w:rPr>
          <w:t>C 16.00 – Operativni rizik  (OPR)</w:t>
        </w:r>
        <w:r w:rsidR="00EF7F33" w:rsidRPr="00EF7F33">
          <w:rPr>
            <w:webHidden/>
          </w:rPr>
          <w:tab/>
        </w:r>
        <w:r w:rsidR="00EF7F33" w:rsidRPr="00EF7F33">
          <w:rPr>
            <w:webHidden/>
          </w:rPr>
          <w:fldChar w:fldCharType="begin"/>
        </w:r>
        <w:r w:rsidR="00EF7F33" w:rsidRPr="00EF7F33">
          <w:rPr>
            <w:webHidden/>
          </w:rPr>
          <w:instrText xml:space="preserve"> PAGEREF _Toc523998163 \h </w:instrText>
        </w:r>
        <w:r w:rsidR="00EF7F33" w:rsidRPr="00EF7F33">
          <w:rPr>
            <w:webHidden/>
          </w:rPr>
        </w:r>
        <w:r w:rsidR="00EF7F33" w:rsidRPr="00EF7F33">
          <w:rPr>
            <w:webHidden/>
          </w:rPr>
          <w:fldChar w:fldCharType="separate"/>
        </w:r>
        <w:r w:rsidR="00EF7F33" w:rsidRPr="00EF7F33">
          <w:rPr>
            <w:webHidden/>
          </w:rPr>
          <w:t>156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4" w:history="1">
        <w:r w:rsidR="00EF7F33" w:rsidRPr="00EF7F33">
          <w:rPr>
            <w:rStyle w:val="Hyperlink"/>
            <w:rFonts w:ascii="Times New Roman" w:hAnsi="Times New Roman"/>
          </w:rPr>
          <w:t>4.1.1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_Toc523998164 \h </w:instrText>
        </w:r>
        <w:r w:rsidR="00EF7F33" w:rsidRPr="00EF7F33">
          <w:rPr>
            <w:webHidden/>
          </w:rPr>
        </w:r>
        <w:r w:rsidR="00EF7F33" w:rsidRPr="00EF7F33">
          <w:rPr>
            <w:webHidden/>
          </w:rPr>
          <w:fldChar w:fldCharType="separate"/>
        </w:r>
        <w:r w:rsidR="00EF7F33" w:rsidRPr="00EF7F33">
          <w:rPr>
            <w:webHidden/>
          </w:rPr>
          <w:t>156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5" w:history="1">
        <w:r w:rsidR="00EF7F33" w:rsidRPr="00EF7F33">
          <w:rPr>
            <w:rStyle w:val="Hyperlink"/>
            <w:rFonts w:ascii="Times New Roman" w:hAnsi="Times New Roman"/>
          </w:rPr>
          <w:t>4.1.2.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_Toc523998165 \h </w:instrText>
        </w:r>
        <w:r w:rsidR="00EF7F33" w:rsidRPr="00EF7F33">
          <w:rPr>
            <w:webHidden/>
          </w:rPr>
        </w:r>
        <w:r w:rsidR="00EF7F33" w:rsidRPr="00EF7F33">
          <w:rPr>
            <w:webHidden/>
          </w:rPr>
          <w:fldChar w:fldCharType="separate"/>
        </w:r>
        <w:r w:rsidR="00EF7F33" w:rsidRPr="00EF7F33">
          <w:rPr>
            <w:webHidden/>
          </w:rPr>
          <w:t>157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6" w:history="1">
        <w:r w:rsidR="00EF7F33" w:rsidRPr="00EF7F33">
          <w:rPr>
            <w:rStyle w:val="Hyperlink"/>
            <w:rFonts w:ascii="Times New Roman" w:hAnsi="Times New Roman"/>
          </w:rPr>
          <w:t>4.2.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Operativni rizik: Detaljne informacije o gubicima iz prethodne godine (OPR DETALJNIJI PODACI)</w:t>
        </w:r>
        <w:r w:rsidR="00EF7F33" w:rsidRPr="00EF7F33">
          <w:rPr>
            <w:webHidden/>
          </w:rPr>
          <w:tab/>
        </w:r>
        <w:r w:rsidR="00EF7F33" w:rsidRPr="00EF7F33">
          <w:rPr>
            <w:webHidden/>
          </w:rPr>
          <w:fldChar w:fldCharType="begin"/>
        </w:r>
        <w:r w:rsidR="00EF7F33" w:rsidRPr="00EF7F33">
          <w:rPr>
            <w:webHidden/>
          </w:rPr>
          <w:instrText xml:space="preserve"> PAGEREF _Toc523998166 \h </w:instrText>
        </w:r>
        <w:r w:rsidR="00EF7F33" w:rsidRPr="00EF7F33">
          <w:rPr>
            <w:webHidden/>
          </w:rPr>
        </w:r>
        <w:r w:rsidR="00EF7F33" w:rsidRPr="00EF7F33">
          <w:rPr>
            <w:webHidden/>
          </w:rPr>
          <w:fldChar w:fldCharType="separate"/>
        </w:r>
        <w:r w:rsidR="00EF7F33" w:rsidRPr="00EF7F33">
          <w:rPr>
            <w:webHidden/>
          </w:rPr>
          <w:t>160</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7" w:history="1">
        <w:r w:rsidR="00EF7F33" w:rsidRPr="00EF7F33">
          <w:rPr>
            <w:rStyle w:val="Hyperlink"/>
            <w:rFonts w:ascii="Times New Roman" w:hAnsi="Times New Roman"/>
          </w:rPr>
          <w:t>4.2.1.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_Toc523998167 \h </w:instrText>
        </w:r>
        <w:r w:rsidR="00EF7F33" w:rsidRPr="00EF7F33">
          <w:rPr>
            <w:webHidden/>
          </w:rPr>
        </w:r>
        <w:r w:rsidR="00EF7F33" w:rsidRPr="00EF7F33">
          <w:rPr>
            <w:webHidden/>
          </w:rPr>
          <w:fldChar w:fldCharType="separate"/>
        </w:r>
        <w:r w:rsidR="00EF7F33" w:rsidRPr="00EF7F33">
          <w:rPr>
            <w:webHidden/>
          </w:rPr>
          <w:t>160</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8" w:history="1">
        <w:r w:rsidR="00EF7F33" w:rsidRPr="00EF7F33">
          <w:rPr>
            <w:rStyle w:val="Hyperlink"/>
            <w:rFonts w:ascii="Times New Roman" w:hAnsi="Times New Roman"/>
          </w:rPr>
          <w:t>4.2.2.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17.01: Operativni rizik: gubici i naknade prema poslovnim linijama i vrsti događaja u prethodnoj godini (OPR DETALJNIJI PODACI 1)</w:t>
        </w:r>
        <w:r w:rsidR="00EF7F33" w:rsidRPr="00EF7F33">
          <w:rPr>
            <w:webHidden/>
          </w:rPr>
          <w:tab/>
        </w:r>
        <w:r w:rsidR="00EF7F33" w:rsidRPr="00EF7F33">
          <w:rPr>
            <w:webHidden/>
          </w:rPr>
          <w:fldChar w:fldCharType="begin"/>
        </w:r>
        <w:r w:rsidR="00EF7F33" w:rsidRPr="00EF7F33">
          <w:rPr>
            <w:webHidden/>
          </w:rPr>
          <w:instrText xml:space="preserve"> PAGEREF _Toc523998168 \h </w:instrText>
        </w:r>
        <w:r w:rsidR="00EF7F33" w:rsidRPr="00EF7F33">
          <w:rPr>
            <w:webHidden/>
          </w:rPr>
        </w:r>
        <w:r w:rsidR="00EF7F33" w:rsidRPr="00EF7F33">
          <w:rPr>
            <w:webHidden/>
          </w:rPr>
          <w:fldChar w:fldCharType="separate"/>
        </w:r>
        <w:r w:rsidR="00EF7F33" w:rsidRPr="00EF7F33">
          <w:rPr>
            <w:webHidden/>
          </w:rPr>
          <w:t>162</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69" w:history="1">
        <w:r w:rsidR="00EF7F33" w:rsidRPr="00EF7F33">
          <w:rPr>
            <w:rStyle w:val="Hyperlink"/>
            <w:rFonts w:ascii="Times New Roman" w:hAnsi="Times New Roman"/>
          </w:rPr>
          <w:t>4.2.2.1.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_Toc523998169 \h </w:instrText>
        </w:r>
        <w:r w:rsidR="00EF7F33" w:rsidRPr="00EF7F33">
          <w:rPr>
            <w:webHidden/>
          </w:rPr>
        </w:r>
        <w:r w:rsidR="00EF7F33" w:rsidRPr="00EF7F33">
          <w:rPr>
            <w:webHidden/>
          </w:rPr>
          <w:fldChar w:fldCharType="separate"/>
        </w:r>
        <w:r w:rsidR="00EF7F33" w:rsidRPr="00EF7F33">
          <w:rPr>
            <w:webHidden/>
          </w:rPr>
          <w:t>162</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0" w:history="1">
        <w:r w:rsidR="00EF7F33" w:rsidRPr="00EF7F33">
          <w:rPr>
            <w:rStyle w:val="Hyperlink"/>
            <w:rFonts w:ascii="Times New Roman" w:hAnsi="Times New Roman"/>
          </w:rPr>
          <w:t>4.2.2.2.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_Toc523998170 \h </w:instrText>
        </w:r>
        <w:r w:rsidR="00EF7F33" w:rsidRPr="00EF7F33">
          <w:rPr>
            <w:webHidden/>
          </w:rPr>
        </w:r>
        <w:r w:rsidR="00EF7F33" w:rsidRPr="00EF7F33">
          <w:rPr>
            <w:webHidden/>
          </w:rPr>
          <w:fldChar w:fldCharType="separate"/>
        </w:r>
        <w:r w:rsidR="00EF7F33" w:rsidRPr="00EF7F33">
          <w:rPr>
            <w:webHidden/>
          </w:rPr>
          <w:t>162</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1" w:history="1">
        <w:r w:rsidR="00EF7F33" w:rsidRPr="00EF7F33">
          <w:rPr>
            <w:rStyle w:val="Hyperlink"/>
            <w:rFonts w:ascii="Times New Roman" w:hAnsi="Times New Roman"/>
          </w:rPr>
          <w:t>4.2.3.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17.02: Operativni rizik: Detaljne informacije o najvećim štetnim događajima iz prethodne godine (OPR DETALJNIJI PODACI 2)</w:t>
        </w:r>
        <w:r w:rsidR="00EF7F33" w:rsidRPr="00EF7F33">
          <w:rPr>
            <w:webHidden/>
          </w:rPr>
          <w:tab/>
        </w:r>
        <w:r w:rsidR="00EF7F33" w:rsidRPr="00EF7F33">
          <w:rPr>
            <w:webHidden/>
          </w:rPr>
          <w:fldChar w:fldCharType="begin"/>
        </w:r>
        <w:r w:rsidR="00EF7F33" w:rsidRPr="00EF7F33">
          <w:rPr>
            <w:webHidden/>
          </w:rPr>
          <w:instrText xml:space="preserve"> PAGEREF _Toc523998171 \h </w:instrText>
        </w:r>
        <w:r w:rsidR="00EF7F33" w:rsidRPr="00EF7F33">
          <w:rPr>
            <w:webHidden/>
          </w:rPr>
        </w:r>
        <w:r w:rsidR="00EF7F33" w:rsidRPr="00EF7F33">
          <w:rPr>
            <w:webHidden/>
          </w:rPr>
          <w:fldChar w:fldCharType="separate"/>
        </w:r>
        <w:r w:rsidR="00EF7F33" w:rsidRPr="00EF7F33">
          <w:rPr>
            <w:webHidden/>
          </w:rPr>
          <w:t>168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2" w:history="1">
        <w:r w:rsidR="00EF7F33" w:rsidRPr="00EF7F33">
          <w:rPr>
            <w:rStyle w:val="Hyperlink"/>
            <w:rFonts w:ascii="Times New Roman" w:hAnsi="Times New Roman"/>
          </w:rPr>
          <w:t>4.2.3.1.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_Toc523998172 \h </w:instrText>
        </w:r>
        <w:r w:rsidR="00EF7F33" w:rsidRPr="00EF7F33">
          <w:rPr>
            <w:webHidden/>
          </w:rPr>
        </w:r>
        <w:r w:rsidR="00EF7F33" w:rsidRPr="00EF7F33">
          <w:rPr>
            <w:webHidden/>
          </w:rPr>
          <w:fldChar w:fldCharType="separate"/>
        </w:r>
        <w:r w:rsidR="00EF7F33" w:rsidRPr="00EF7F33">
          <w:rPr>
            <w:webHidden/>
          </w:rPr>
          <w:t>168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3" w:history="1">
        <w:r w:rsidR="00EF7F33" w:rsidRPr="00EF7F33">
          <w:rPr>
            <w:rStyle w:val="Hyperlink"/>
            <w:rFonts w:ascii="Times New Roman" w:hAnsi="Times New Roman"/>
          </w:rPr>
          <w:t>4.2.3.2.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_Toc523998173 \h </w:instrText>
        </w:r>
        <w:r w:rsidR="00EF7F33" w:rsidRPr="00EF7F33">
          <w:rPr>
            <w:webHidden/>
          </w:rPr>
        </w:r>
        <w:r w:rsidR="00EF7F33" w:rsidRPr="00EF7F33">
          <w:rPr>
            <w:webHidden/>
          </w:rPr>
          <w:fldChar w:fldCharType="separate"/>
        </w:r>
        <w:r w:rsidR="00EF7F33" w:rsidRPr="00EF7F33">
          <w:rPr>
            <w:webHidden/>
          </w:rPr>
          <w:t>169</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4" w:history="1">
        <w:r w:rsidR="00EF7F33" w:rsidRPr="00EF7F33">
          <w:rPr>
            <w:rStyle w:val="Hyperlink"/>
            <w:rFonts w:ascii="Times New Roman" w:hAnsi="Times New Roman"/>
          </w:rPr>
          <w:t>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Obrasci za tržišni rizik</w:t>
        </w:r>
        <w:r w:rsidR="00EF7F33" w:rsidRPr="00EF7F33">
          <w:rPr>
            <w:webHidden/>
          </w:rPr>
          <w:tab/>
        </w:r>
        <w:r w:rsidR="00EF7F33" w:rsidRPr="00EF7F33">
          <w:rPr>
            <w:webHidden/>
          </w:rPr>
          <w:fldChar w:fldCharType="begin"/>
        </w:r>
        <w:r w:rsidR="00EF7F33" w:rsidRPr="00EF7F33">
          <w:rPr>
            <w:webHidden/>
          </w:rPr>
          <w:instrText xml:space="preserve"> PAGEREF _Toc523998174 \h </w:instrText>
        </w:r>
        <w:r w:rsidR="00EF7F33" w:rsidRPr="00EF7F33">
          <w:rPr>
            <w:webHidden/>
          </w:rPr>
        </w:r>
        <w:r w:rsidR="00EF7F33" w:rsidRPr="00EF7F33">
          <w:rPr>
            <w:webHidden/>
          </w:rPr>
          <w:fldChar w:fldCharType="separate"/>
        </w:r>
        <w:r w:rsidR="00EF7F33" w:rsidRPr="00EF7F33">
          <w:rPr>
            <w:webHidden/>
          </w:rPr>
          <w:t>171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5" w:history="1">
        <w:r w:rsidR="00EF7F33" w:rsidRPr="00EF7F33">
          <w:rPr>
            <w:rStyle w:val="Hyperlink"/>
            <w:rFonts w:ascii="Times New Roman" w:hAnsi="Times New Roman"/>
          </w:rPr>
          <w:t>5.1.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18.00 – Tržišni rizik: standardizirani pristup pozicijskim rizicima dužničkih instrumenata kojima se trguje (MKR SA TDI)</w:t>
        </w:r>
        <w:r w:rsidR="00EF7F33" w:rsidRPr="00EF7F33">
          <w:rPr>
            <w:webHidden/>
          </w:rPr>
          <w:tab/>
        </w:r>
        <w:r w:rsidR="00EF7F33" w:rsidRPr="00EF7F33">
          <w:rPr>
            <w:webHidden/>
          </w:rPr>
          <w:fldChar w:fldCharType="begin"/>
        </w:r>
        <w:r w:rsidR="00EF7F33" w:rsidRPr="00EF7F33">
          <w:rPr>
            <w:webHidden/>
          </w:rPr>
          <w:instrText xml:space="preserve"> PAGEREF _Toc523998175 \h </w:instrText>
        </w:r>
        <w:r w:rsidR="00EF7F33" w:rsidRPr="00EF7F33">
          <w:rPr>
            <w:webHidden/>
          </w:rPr>
        </w:r>
        <w:r w:rsidR="00EF7F33" w:rsidRPr="00EF7F33">
          <w:rPr>
            <w:webHidden/>
          </w:rPr>
          <w:fldChar w:fldCharType="separate"/>
        </w:r>
        <w:r w:rsidR="00EF7F33" w:rsidRPr="00EF7F33">
          <w:rPr>
            <w:webHidden/>
          </w:rPr>
          <w:t>171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6" w:history="1">
        <w:r w:rsidR="00EF7F33" w:rsidRPr="00EF7F33">
          <w:rPr>
            <w:rStyle w:val="Hyperlink"/>
            <w:rFonts w:ascii="Times New Roman" w:hAnsi="Times New Roman"/>
          </w:rPr>
          <w:t>5.1.1.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_Toc523998176 \h </w:instrText>
        </w:r>
        <w:r w:rsidR="00EF7F33" w:rsidRPr="00EF7F33">
          <w:rPr>
            <w:webHidden/>
          </w:rPr>
        </w:r>
        <w:r w:rsidR="00EF7F33" w:rsidRPr="00EF7F33">
          <w:rPr>
            <w:webHidden/>
          </w:rPr>
          <w:fldChar w:fldCharType="separate"/>
        </w:r>
        <w:r w:rsidR="00EF7F33" w:rsidRPr="00EF7F33">
          <w:rPr>
            <w:webHidden/>
          </w:rPr>
          <w:t>171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7" w:history="1">
        <w:r w:rsidR="00EF7F33" w:rsidRPr="00EF7F33">
          <w:rPr>
            <w:rStyle w:val="Hyperlink"/>
            <w:rFonts w:ascii="Times New Roman" w:hAnsi="Times New Roman"/>
          </w:rPr>
          <w:t>5.1.2.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_Toc523998177 \h </w:instrText>
        </w:r>
        <w:r w:rsidR="00EF7F33" w:rsidRPr="00EF7F33">
          <w:rPr>
            <w:webHidden/>
          </w:rPr>
        </w:r>
        <w:r w:rsidR="00EF7F33" w:rsidRPr="00EF7F33">
          <w:rPr>
            <w:webHidden/>
          </w:rPr>
          <w:fldChar w:fldCharType="separate"/>
        </w:r>
        <w:r w:rsidR="00EF7F33" w:rsidRPr="00EF7F33">
          <w:rPr>
            <w:webHidden/>
          </w:rPr>
          <w:t>171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8" w:history="1">
        <w:r w:rsidR="00EF7F33" w:rsidRPr="00EF7F33">
          <w:rPr>
            <w:rStyle w:val="Hyperlink"/>
            <w:rFonts w:ascii="Times New Roman" w:hAnsi="Times New Roman"/>
          </w:rPr>
          <w:t>5.2.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19.00 – TRŽIŠNI RIZIK: STANDARDIZIRANI PRISTUP SPECIFIČNOM RIZIKU U SEKURITIZACIJAMA (MKR SA SEC)</w:t>
        </w:r>
        <w:r w:rsidR="00EF7F33" w:rsidRPr="00EF7F33">
          <w:rPr>
            <w:webHidden/>
          </w:rPr>
          <w:tab/>
        </w:r>
        <w:r w:rsidR="00EF7F33" w:rsidRPr="00EF7F33">
          <w:rPr>
            <w:webHidden/>
          </w:rPr>
          <w:fldChar w:fldCharType="begin"/>
        </w:r>
        <w:r w:rsidR="00EF7F33" w:rsidRPr="00EF7F33">
          <w:rPr>
            <w:webHidden/>
          </w:rPr>
          <w:instrText xml:space="preserve"> PAGEREF _Toc523998178 \h </w:instrText>
        </w:r>
        <w:r w:rsidR="00EF7F33" w:rsidRPr="00EF7F33">
          <w:rPr>
            <w:webHidden/>
          </w:rPr>
        </w:r>
        <w:r w:rsidR="00EF7F33" w:rsidRPr="00EF7F33">
          <w:rPr>
            <w:webHidden/>
          </w:rPr>
          <w:fldChar w:fldCharType="separate"/>
        </w:r>
        <w:r w:rsidR="00EF7F33" w:rsidRPr="00EF7F33">
          <w:rPr>
            <w:webHidden/>
          </w:rPr>
          <w:t>174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79" w:history="1">
        <w:r w:rsidR="00EF7F33" w:rsidRPr="00EF7F33">
          <w:rPr>
            <w:rStyle w:val="Hyperlink"/>
            <w:rFonts w:ascii="Times New Roman" w:hAnsi="Times New Roman"/>
          </w:rPr>
          <w:t>5.2.1.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_Toc523998179 \h </w:instrText>
        </w:r>
        <w:r w:rsidR="00EF7F33" w:rsidRPr="00EF7F33">
          <w:rPr>
            <w:webHidden/>
          </w:rPr>
        </w:r>
        <w:r w:rsidR="00EF7F33" w:rsidRPr="00EF7F33">
          <w:rPr>
            <w:webHidden/>
          </w:rPr>
          <w:fldChar w:fldCharType="separate"/>
        </w:r>
        <w:r w:rsidR="00EF7F33" w:rsidRPr="00EF7F33">
          <w:rPr>
            <w:webHidden/>
          </w:rPr>
          <w:t>174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0" w:history="1">
        <w:r w:rsidR="00EF7F33" w:rsidRPr="00EF7F33">
          <w:rPr>
            <w:rStyle w:val="Hyperlink"/>
            <w:rFonts w:ascii="Times New Roman" w:hAnsi="Times New Roman"/>
          </w:rPr>
          <w:t>5.2.2.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_Toc523998180 \h </w:instrText>
        </w:r>
        <w:r w:rsidR="00EF7F33" w:rsidRPr="00EF7F33">
          <w:rPr>
            <w:webHidden/>
          </w:rPr>
        </w:r>
        <w:r w:rsidR="00EF7F33" w:rsidRPr="00EF7F33">
          <w:rPr>
            <w:webHidden/>
          </w:rPr>
          <w:fldChar w:fldCharType="separate"/>
        </w:r>
        <w:r w:rsidR="00EF7F33" w:rsidRPr="00EF7F33">
          <w:rPr>
            <w:webHidden/>
          </w:rPr>
          <w:t>174</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1" w:history="1">
        <w:r w:rsidR="00EF7F33" w:rsidRPr="00EF7F33">
          <w:rPr>
            <w:rStyle w:val="Hyperlink"/>
            <w:rFonts w:ascii="Times New Roman" w:hAnsi="Times New Roman"/>
          </w:rPr>
          <w:t>5.3.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20.00 – TRŽIŠNI RIZIK: STANDARDIZIRANI PRISTUP SPECIFIČNOM RIZIKU ZA POZICIJE RASPOREĐENE U KORELACIJSKI PORTFELJ NAMIJENJEN TRGOVANJU (MKR SA CTP)</w:t>
        </w:r>
        <w:r w:rsidR="00EF7F33" w:rsidRPr="00EF7F33">
          <w:rPr>
            <w:webHidden/>
          </w:rPr>
          <w:tab/>
        </w:r>
        <w:r w:rsidR="00EF7F33" w:rsidRPr="00EF7F33">
          <w:rPr>
            <w:webHidden/>
          </w:rPr>
          <w:fldChar w:fldCharType="begin"/>
        </w:r>
        <w:r w:rsidR="00EF7F33" w:rsidRPr="00EF7F33">
          <w:rPr>
            <w:webHidden/>
          </w:rPr>
          <w:instrText xml:space="preserve"> PAGEREF _Toc523998181 \h </w:instrText>
        </w:r>
        <w:r w:rsidR="00EF7F33" w:rsidRPr="00EF7F33">
          <w:rPr>
            <w:webHidden/>
          </w:rPr>
        </w:r>
        <w:r w:rsidR="00EF7F33" w:rsidRPr="00EF7F33">
          <w:rPr>
            <w:webHidden/>
          </w:rPr>
          <w:fldChar w:fldCharType="separate"/>
        </w:r>
        <w:r w:rsidR="00EF7F33" w:rsidRPr="00EF7F33">
          <w:rPr>
            <w:webHidden/>
          </w:rPr>
          <w:t>177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2" w:history="1">
        <w:r w:rsidR="00EF7F33" w:rsidRPr="00EF7F33">
          <w:rPr>
            <w:rStyle w:val="Hyperlink"/>
            <w:rFonts w:ascii="Times New Roman" w:hAnsi="Times New Roman"/>
          </w:rPr>
          <w:t>5.3.1.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_Toc523998182 \h </w:instrText>
        </w:r>
        <w:r w:rsidR="00EF7F33" w:rsidRPr="00EF7F33">
          <w:rPr>
            <w:webHidden/>
          </w:rPr>
        </w:r>
        <w:r w:rsidR="00EF7F33" w:rsidRPr="00EF7F33">
          <w:rPr>
            <w:webHidden/>
          </w:rPr>
          <w:fldChar w:fldCharType="separate"/>
        </w:r>
        <w:r w:rsidR="00EF7F33" w:rsidRPr="00EF7F33">
          <w:rPr>
            <w:webHidden/>
          </w:rPr>
          <w:t>177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3" w:history="1">
        <w:r w:rsidR="00EF7F33" w:rsidRPr="00EF7F33">
          <w:rPr>
            <w:rStyle w:val="Hyperlink"/>
            <w:rFonts w:ascii="Times New Roman" w:hAnsi="Times New Roman"/>
          </w:rPr>
          <w:t>5.3.2.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_Toc523998183 \h </w:instrText>
        </w:r>
        <w:r w:rsidR="00EF7F33" w:rsidRPr="00EF7F33">
          <w:rPr>
            <w:webHidden/>
          </w:rPr>
        </w:r>
        <w:r w:rsidR="00EF7F33" w:rsidRPr="00EF7F33">
          <w:rPr>
            <w:webHidden/>
          </w:rPr>
          <w:fldChar w:fldCharType="separate"/>
        </w:r>
        <w:r w:rsidR="00EF7F33" w:rsidRPr="00EF7F33">
          <w:rPr>
            <w:webHidden/>
          </w:rPr>
          <w:t>178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4" w:history="1">
        <w:r w:rsidR="00EF7F33" w:rsidRPr="00EF7F33">
          <w:rPr>
            <w:rStyle w:val="Hyperlink"/>
            <w:rFonts w:ascii="Times New Roman" w:hAnsi="Times New Roman"/>
          </w:rPr>
          <w:t>5.4.</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21.00 – Tržišni rizik: standardizirani pristup pozicijskom riziku u vlasničkim instrumentima  (MKR SA EQU)</w:t>
        </w:r>
        <w:r w:rsidR="00EF7F33" w:rsidRPr="00EF7F33">
          <w:rPr>
            <w:webHidden/>
          </w:rPr>
          <w:tab/>
        </w:r>
        <w:r w:rsidR="00EF7F33" w:rsidRPr="00EF7F33">
          <w:rPr>
            <w:webHidden/>
          </w:rPr>
          <w:fldChar w:fldCharType="begin"/>
        </w:r>
        <w:r w:rsidR="00EF7F33" w:rsidRPr="00EF7F33">
          <w:rPr>
            <w:webHidden/>
          </w:rPr>
          <w:instrText xml:space="preserve"> PAGEREF _Toc523998184 \h </w:instrText>
        </w:r>
        <w:r w:rsidR="00EF7F33" w:rsidRPr="00EF7F33">
          <w:rPr>
            <w:webHidden/>
          </w:rPr>
        </w:r>
        <w:r w:rsidR="00EF7F33" w:rsidRPr="00EF7F33">
          <w:rPr>
            <w:webHidden/>
          </w:rPr>
          <w:fldChar w:fldCharType="separate"/>
        </w:r>
        <w:r w:rsidR="00EF7F33" w:rsidRPr="00EF7F33">
          <w:rPr>
            <w:webHidden/>
          </w:rPr>
          <w:t>181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5" w:history="1">
        <w:r w:rsidR="00EF7F33" w:rsidRPr="00EF7F33">
          <w:rPr>
            <w:rStyle w:val="Hyperlink"/>
            <w:rFonts w:ascii="Times New Roman" w:hAnsi="Times New Roman"/>
          </w:rPr>
          <w:t>5.4.1.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_Toc523998185 \h </w:instrText>
        </w:r>
        <w:r w:rsidR="00EF7F33" w:rsidRPr="00EF7F33">
          <w:rPr>
            <w:webHidden/>
          </w:rPr>
        </w:r>
        <w:r w:rsidR="00EF7F33" w:rsidRPr="00EF7F33">
          <w:rPr>
            <w:webHidden/>
          </w:rPr>
          <w:fldChar w:fldCharType="separate"/>
        </w:r>
        <w:r w:rsidR="00EF7F33" w:rsidRPr="00EF7F33">
          <w:rPr>
            <w:webHidden/>
          </w:rPr>
          <w:t>181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6" w:history="1">
        <w:r w:rsidR="00EF7F33" w:rsidRPr="00EF7F33">
          <w:rPr>
            <w:rStyle w:val="Hyperlink"/>
            <w:rFonts w:ascii="Times New Roman" w:hAnsi="Times New Roman"/>
          </w:rPr>
          <w:t>5.4.2.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_Toc523998186 \h </w:instrText>
        </w:r>
        <w:r w:rsidR="00EF7F33" w:rsidRPr="00EF7F33">
          <w:rPr>
            <w:webHidden/>
          </w:rPr>
        </w:r>
        <w:r w:rsidR="00EF7F33" w:rsidRPr="00EF7F33">
          <w:rPr>
            <w:webHidden/>
          </w:rPr>
          <w:fldChar w:fldCharType="separate"/>
        </w:r>
        <w:r w:rsidR="00EF7F33" w:rsidRPr="00EF7F33">
          <w:rPr>
            <w:webHidden/>
          </w:rPr>
          <w:t>181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7" w:history="1">
        <w:r w:rsidR="00EF7F33" w:rsidRPr="00EF7F33">
          <w:rPr>
            <w:rStyle w:val="Hyperlink"/>
            <w:rFonts w:ascii="Times New Roman" w:hAnsi="Times New Roman"/>
          </w:rPr>
          <w:t>5.5.</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22.00 – Tržišni rizik: standardizirani pristup valutnom riziku  (MKR SA FX)</w:t>
        </w:r>
        <w:r w:rsidR="00EF7F33" w:rsidRPr="00EF7F33">
          <w:rPr>
            <w:webHidden/>
          </w:rPr>
          <w:tab/>
        </w:r>
        <w:r w:rsidR="00EF7F33" w:rsidRPr="00EF7F33">
          <w:rPr>
            <w:webHidden/>
          </w:rPr>
          <w:fldChar w:fldCharType="begin"/>
        </w:r>
        <w:r w:rsidR="00EF7F33" w:rsidRPr="00EF7F33">
          <w:rPr>
            <w:webHidden/>
          </w:rPr>
          <w:instrText xml:space="preserve"> PAGEREF _Toc523998187 \h </w:instrText>
        </w:r>
        <w:r w:rsidR="00EF7F33" w:rsidRPr="00EF7F33">
          <w:rPr>
            <w:webHidden/>
          </w:rPr>
        </w:r>
        <w:r w:rsidR="00EF7F33" w:rsidRPr="00EF7F33">
          <w:rPr>
            <w:webHidden/>
          </w:rPr>
          <w:fldChar w:fldCharType="separate"/>
        </w:r>
        <w:r w:rsidR="00EF7F33" w:rsidRPr="00EF7F33">
          <w:rPr>
            <w:webHidden/>
          </w:rPr>
          <w:t>183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8" w:history="1">
        <w:r w:rsidR="00EF7F33" w:rsidRPr="00EF7F33">
          <w:rPr>
            <w:rStyle w:val="Hyperlink"/>
            <w:rFonts w:ascii="Times New Roman" w:hAnsi="Times New Roman"/>
          </w:rPr>
          <w:t>5.5.1.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_Toc523998188 \h </w:instrText>
        </w:r>
        <w:r w:rsidR="00EF7F33" w:rsidRPr="00EF7F33">
          <w:rPr>
            <w:webHidden/>
          </w:rPr>
        </w:r>
        <w:r w:rsidR="00EF7F33" w:rsidRPr="00EF7F33">
          <w:rPr>
            <w:webHidden/>
          </w:rPr>
          <w:fldChar w:fldCharType="separate"/>
        </w:r>
        <w:r w:rsidR="00EF7F33" w:rsidRPr="00EF7F33">
          <w:rPr>
            <w:webHidden/>
          </w:rPr>
          <w:t>183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89" w:history="1">
        <w:r w:rsidR="00EF7F33" w:rsidRPr="00EF7F33">
          <w:rPr>
            <w:rStyle w:val="Hyperlink"/>
            <w:rFonts w:ascii="Times New Roman" w:hAnsi="Times New Roman"/>
          </w:rPr>
          <w:t>5.5.2.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_Toc523998189 \h </w:instrText>
        </w:r>
        <w:r w:rsidR="00EF7F33" w:rsidRPr="00EF7F33">
          <w:rPr>
            <w:webHidden/>
          </w:rPr>
        </w:r>
        <w:r w:rsidR="00EF7F33" w:rsidRPr="00EF7F33">
          <w:rPr>
            <w:webHidden/>
          </w:rPr>
          <w:fldChar w:fldCharType="separate"/>
        </w:r>
        <w:r w:rsidR="00EF7F33" w:rsidRPr="00EF7F33">
          <w:rPr>
            <w:webHidden/>
          </w:rPr>
          <w:t>183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0" w:history="1">
        <w:r w:rsidR="00EF7F33" w:rsidRPr="00EF7F33">
          <w:rPr>
            <w:rStyle w:val="Hyperlink"/>
            <w:rFonts w:ascii="Times New Roman" w:hAnsi="Times New Roman"/>
          </w:rPr>
          <w:t>5.6.</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23.00 – Tržišni rizik: standardizirani pristupi robi  (MKR SA COM)</w:t>
        </w:r>
        <w:r w:rsidR="00EF7F33" w:rsidRPr="00EF7F33">
          <w:rPr>
            <w:webHidden/>
          </w:rPr>
          <w:tab/>
        </w:r>
        <w:r w:rsidR="00EF7F33" w:rsidRPr="00EF7F33">
          <w:rPr>
            <w:webHidden/>
          </w:rPr>
          <w:fldChar w:fldCharType="begin"/>
        </w:r>
        <w:r w:rsidR="00EF7F33" w:rsidRPr="00EF7F33">
          <w:rPr>
            <w:webHidden/>
          </w:rPr>
          <w:instrText xml:space="preserve"> PAGEREF _Toc523998190 \h </w:instrText>
        </w:r>
        <w:r w:rsidR="00EF7F33" w:rsidRPr="00EF7F33">
          <w:rPr>
            <w:webHidden/>
          </w:rPr>
        </w:r>
        <w:r w:rsidR="00EF7F33" w:rsidRPr="00EF7F33">
          <w:rPr>
            <w:webHidden/>
          </w:rPr>
          <w:fldChar w:fldCharType="separate"/>
        </w:r>
        <w:r w:rsidR="00EF7F33" w:rsidRPr="00EF7F33">
          <w:rPr>
            <w:webHidden/>
          </w:rPr>
          <w:t>186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1" w:history="1">
        <w:r w:rsidR="00EF7F33" w:rsidRPr="00EF7F33">
          <w:rPr>
            <w:rStyle w:val="Hyperlink"/>
            <w:rFonts w:ascii="Times New Roman" w:hAnsi="Times New Roman"/>
          </w:rPr>
          <w:t>5.6.1.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_Toc523998191 \h </w:instrText>
        </w:r>
        <w:r w:rsidR="00EF7F33" w:rsidRPr="00EF7F33">
          <w:rPr>
            <w:webHidden/>
          </w:rPr>
        </w:r>
        <w:r w:rsidR="00EF7F33" w:rsidRPr="00EF7F33">
          <w:rPr>
            <w:webHidden/>
          </w:rPr>
          <w:fldChar w:fldCharType="separate"/>
        </w:r>
        <w:r w:rsidR="00EF7F33" w:rsidRPr="00EF7F33">
          <w:rPr>
            <w:webHidden/>
          </w:rPr>
          <w:t>186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2" w:history="1">
        <w:r w:rsidR="00EF7F33" w:rsidRPr="00EF7F33">
          <w:rPr>
            <w:rStyle w:val="Hyperlink"/>
            <w:rFonts w:ascii="Times New Roman" w:hAnsi="Times New Roman"/>
          </w:rPr>
          <w:t>5.6.2.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_Toc523998192 \h </w:instrText>
        </w:r>
        <w:r w:rsidR="00EF7F33" w:rsidRPr="00EF7F33">
          <w:rPr>
            <w:webHidden/>
          </w:rPr>
        </w:r>
        <w:r w:rsidR="00EF7F33" w:rsidRPr="00EF7F33">
          <w:rPr>
            <w:webHidden/>
          </w:rPr>
          <w:fldChar w:fldCharType="separate"/>
        </w:r>
        <w:r w:rsidR="00EF7F33" w:rsidRPr="00EF7F33">
          <w:rPr>
            <w:webHidden/>
          </w:rPr>
          <w:t>186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3" w:history="1">
        <w:r w:rsidR="00EF7F33" w:rsidRPr="00EF7F33">
          <w:rPr>
            <w:rStyle w:val="Hyperlink"/>
            <w:rFonts w:ascii="Times New Roman" w:hAnsi="Times New Roman"/>
          </w:rPr>
          <w:t>5.7.</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24.00 – Interni model za tržišni rizik  (MKR IM)</w:t>
        </w:r>
        <w:r w:rsidR="00EF7F33" w:rsidRPr="00EF7F33">
          <w:rPr>
            <w:webHidden/>
          </w:rPr>
          <w:tab/>
        </w:r>
        <w:r w:rsidR="00EF7F33" w:rsidRPr="00EF7F33">
          <w:rPr>
            <w:webHidden/>
          </w:rPr>
          <w:fldChar w:fldCharType="begin"/>
        </w:r>
        <w:r w:rsidR="00EF7F33" w:rsidRPr="00EF7F33">
          <w:rPr>
            <w:webHidden/>
          </w:rPr>
          <w:instrText xml:space="preserve"> PAGEREF _Toc523998193 \h </w:instrText>
        </w:r>
        <w:r w:rsidR="00EF7F33" w:rsidRPr="00EF7F33">
          <w:rPr>
            <w:webHidden/>
          </w:rPr>
        </w:r>
        <w:r w:rsidR="00EF7F33" w:rsidRPr="00EF7F33">
          <w:rPr>
            <w:webHidden/>
          </w:rPr>
          <w:fldChar w:fldCharType="separate"/>
        </w:r>
        <w:r w:rsidR="00EF7F33" w:rsidRPr="00EF7F33">
          <w:rPr>
            <w:webHidden/>
          </w:rPr>
          <w:t>187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4" w:history="1">
        <w:r w:rsidR="00EF7F33" w:rsidRPr="00EF7F33">
          <w:rPr>
            <w:rStyle w:val="Hyperlink"/>
            <w:rFonts w:ascii="Times New Roman" w:hAnsi="Times New Roman"/>
          </w:rPr>
          <w:t>5.7.1.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_Toc523998194 \h </w:instrText>
        </w:r>
        <w:r w:rsidR="00EF7F33" w:rsidRPr="00EF7F33">
          <w:rPr>
            <w:webHidden/>
          </w:rPr>
        </w:r>
        <w:r w:rsidR="00EF7F33" w:rsidRPr="00EF7F33">
          <w:rPr>
            <w:webHidden/>
          </w:rPr>
          <w:fldChar w:fldCharType="separate"/>
        </w:r>
        <w:r w:rsidR="00EF7F33" w:rsidRPr="00EF7F33">
          <w:rPr>
            <w:webHidden/>
          </w:rPr>
          <w:t>187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5" w:history="1">
        <w:r w:rsidR="00EF7F33" w:rsidRPr="00EF7F33">
          <w:rPr>
            <w:rStyle w:val="Hyperlink"/>
            <w:rFonts w:ascii="Times New Roman" w:hAnsi="Times New Roman"/>
          </w:rPr>
          <w:t>5.7.2.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_Toc523998195 \h </w:instrText>
        </w:r>
        <w:r w:rsidR="00EF7F33" w:rsidRPr="00EF7F33">
          <w:rPr>
            <w:webHidden/>
          </w:rPr>
        </w:r>
        <w:r w:rsidR="00EF7F33" w:rsidRPr="00EF7F33">
          <w:rPr>
            <w:webHidden/>
          </w:rPr>
          <w:fldChar w:fldCharType="separate"/>
        </w:r>
        <w:r w:rsidR="00EF7F33" w:rsidRPr="00EF7F33">
          <w:rPr>
            <w:webHidden/>
          </w:rPr>
          <w:t>187</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6" w:history="1">
        <w:r w:rsidR="00EF7F33" w:rsidRPr="00EF7F33">
          <w:rPr>
            <w:rStyle w:val="Hyperlink"/>
            <w:rFonts w:ascii="Times New Roman" w:hAnsi="Times New Roman"/>
          </w:rPr>
          <w:t>5.8.</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25.00 – RIZIK PRILAGODBE KREDITNOM VREDNOVANJU  (CVA)</w:t>
        </w:r>
        <w:r w:rsidR="00EF7F33" w:rsidRPr="00EF7F33">
          <w:rPr>
            <w:webHidden/>
          </w:rPr>
          <w:tab/>
        </w:r>
        <w:r w:rsidR="00EF7F33" w:rsidRPr="00EF7F33">
          <w:rPr>
            <w:webHidden/>
          </w:rPr>
          <w:fldChar w:fldCharType="begin"/>
        </w:r>
        <w:r w:rsidR="00EF7F33" w:rsidRPr="00EF7F33">
          <w:rPr>
            <w:webHidden/>
          </w:rPr>
          <w:instrText xml:space="preserve"> PAGEREF _Toc523998196 \h </w:instrText>
        </w:r>
        <w:r w:rsidR="00EF7F33" w:rsidRPr="00EF7F33">
          <w:rPr>
            <w:webHidden/>
          </w:rPr>
        </w:r>
        <w:r w:rsidR="00EF7F33" w:rsidRPr="00EF7F33">
          <w:rPr>
            <w:webHidden/>
          </w:rPr>
          <w:fldChar w:fldCharType="separate"/>
        </w:r>
        <w:r w:rsidR="00EF7F33" w:rsidRPr="00EF7F33">
          <w:rPr>
            <w:webHidden/>
          </w:rPr>
          <w:t>191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7" w:history="1">
        <w:r w:rsidR="00EF7F33" w:rsidRPr="00EF7F33">
          <w:rPr>
            <w:rStyle w:val="Hyperlink"/>
            <w:rFonts w:ascii="Times New Roman" w:hAnsi="Times New Roman"/>
          </w:rPr>
          <w:t>5.8.1.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_Toc523998197 \h </w:instrText>
        </w:r>
        <w:r w:rsidR="00EF7F33" w:rsidRPr="00EF7F33">
          <w:rPr>
            <w:webHidden/>
          </w:rPr>
        </w:r>
        <w:r w:rsidR="00EF7F33" w:rsidRPr="00EF7F33">
          <w:rPr>
            <w:webHidden/>
          </w:rPr>
          <w:fldChar w:fldCharType="separate"/>
        </w:r>
        <w:r w:rsidR="00EF7F33" w:rsidRPr="00EF7F33">
          <w:rPr>
            <w:webHidden/>
          </w:rPr>
          <w:t>191</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8" w:history="1">
        <w:r w:rsidR="00EF7F33" w:rsidRPr="00EF7F33">
          <w:rPr>
            <w:rStyle w:val="Hyperlink"/>
            <w:rFonts w:ascii="Times New Roman" w:hAnsi="Times New Roman"/>
          </w:rPr>
          <w:t>6.</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Bonitetno vrednovanje (PruVal)</w:t>
        </w:r>
        <w:r w:rsidR="00EF7F33" w:rsidRPr="00EF7F33">
          <w:rPr>
            <w:webHidden/>
          </w:rPr>
          <w:tab/>
        </w:r>
        <w:r w:rsidR="00EF7F33" w:rsidRPr="00EF7F33">
          <w:rPr>
            <w:webHidden/>
          </w:rPr>
          <w:fldChar w:fldCharType="begin"/>
        </w:r>
        <w:r w:rsidR="00EF7F33" w:rsidRPr="00EF7F33">
          <w:rPr>
            <w:webHidden/>
          </w:rPr>
          <w:instrText xml:space="preserve"> PAGEREF _Toc523998198 \h </w:instrText>
        </w:r>
        <w:r w:rsidR="00EF7F33" w:rsidRPr="00EF7F33">
          <w:rPr>
            <w:webHidden/>
          </w:rPr>
        </w:r>
        <w:r w:rsidR="00EF7F33" w:rsidRPr="00EF7F33">
          <w:rPr>
            <w:webHidden/>
          </w:rPr>
          <w:fldChar w:fldCharType="separate"/>
        </w:r>
        <w:r w:rsidR="00EF7F33" w:rsidRPr="00EF7F33">
          <w:rPr>
            <w:webHidden/>
          </w:rPr>
          <w:t>193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199" w:history="1">
        <w:r w:rsidR="00EF7F33" w:rsidRPr="00EF7F33">
          <w:rPr>
            <w:rStyle w:val="Hyperlink"/>
            <w:rFonts w:ascii="Times New Roman" w:hAnsi="Times New Roman"/>
          </w:rPr>
          <w:t>6.1.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32.01 – Bonitetno vrednovanje: imovina i obveze po fer vrijednosti (PruVal 1)</w:t>
        </w:r>
        <w:r w:rsidR="00EF7F33" w:rsidRPr="00EF7F33">
          <w:rPr>
            <w:webHidden/>
          </w:rPr>
          <w:tab/>
        </w:r>
        <w:r w:rsidR="00EF7F33" w:rsidRPr="00EF7F33">
          <w:rPr>
            <w:webHidden/>
          </w:rPr>
          <w:fldChar w:fldCharType="begin"/>
        </w:r>
        <w:r w:rsidR="00EF7F33" w:rsidRPr="00EF7F33">
          <w:rPr>
            <w:webHidden/>
          </w:rPr>
          <w:instrText xml:space="preserve"> PAGEREF _Toc523998199 \h </w:instrText>
        </w:r>
        <w:r w:rsidR="00EF7F33" w:rsidRPr="00EF7F33">
          <w:rPr>
            <w:webHidden/>
          </w:rPr>
        </w:r>
        <w:r w:rsidR="00EF7F33" w:rsidRPr="00EF7F33">
          <w:rPr>
            <w:webHidden/>
          </w:rPr>
          <w:fldChar w:fldCharType="separate"/>
        </w:r>
        <w:r w:rsidR="00EF7F33" w:rsidRPr="00EF7F33">
          <w:rPr>
            <w:webHidden/>
          </w:rPr>
          <w:t>193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0" w:history="1">
        <w:r w:rsidR="00EF7F33" w:rsidRPr="00EF7F33">
          <w:rPr>
            <w:rStyle w:val="Hyperlink"/>
            <w:rFonts w:ascii="Times New Roman" w:hAnsi="Times New Roman"/>
          </w:rPr>
          <w:t>6.1.1.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_Toc523998200 \h </w:instrText>
        </w:r>
        <w:r w:rsidR="00EF7F33" w:rsidRPr="00EF7F33">
          <w:rPr>
            <w:webHidden/>
          </w:rPr>
        </w:r>
        <w:r w:rsidR="00EF7F33" w:rsidRPr="00EF7F33">
          <w:rPr>
            <w:webHidden/>
          </w:rPr>
          <w:fldChar w:fldCharType="separate"/>
        </w:r>
        <w:r w:rsidR="00EF7F33" w:rsidRPr="00EF7F33">
          <w:rPr>
            <w:webHidden/>
          </w:rPr>
          <w:t>193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1" w:history="1">
        <w:r w:rsidR="00EF7F33" w:rsidRPr="00EF7F33">
          <w:rPr>
            <w:rStyle w:val="Hyperlink"/>
            <w:rFonts w:ascii="Times New Roman" w:hAnsi="Times New Roman"/>
          </w:rPr>
          <w:t>6.1.2.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_Toc523998201 \h </w:instrText>
        </w:r>
        <w:r w:rsidR="00EF7F33" w:rsidRPr="00EF7F33">
          <w:rPr>
            <w:webHidden/>
          </w:rPr>
        </w:r>
        <w:r w:rsidR="00EF7F33" w:rsidRPr="00EF7F33">
          <w:rPr>
            <w:webHidden/>
          </w:rPr>
          <w:fldChar w:fldCharType="separate"/>
        </w:r>
        <w:r w:rsidR="00EF7F33" w:rsidRPr="00EF7F33">
          <w:rPr>
            <w:webHidden/>
          </w:rPr>
          <w:t>193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2" w:history="1">
        <w:r w:rsidR="00EF7F33" w:rsidRPr="00EF7F33">
          <w:rPr>
            <w:rStyle w:val="Hyperlink"/>
            <w:rFonts w:ascii="Times New Roman" w:hAnsi="Times New Roman"/>
          </w:rPr>
          <w:t>6.2.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32.02 – Bonitetno vrednovanje: osnovni pristup (PruVal 2)</w:t>
        </w:r>
        <w:r w:rsidR="00EF7F33" w:rsidRPr="00EF7F33">
          <w:rPr>
            <w:webHidden/>
          </w:rPr>
          <w:tab/>
        </w:r>
        <w:r w:rsidR="00EF7F33" w:rsidRPr="00EF7F33">
          <w:rPr>
            <w:webHidden/>
          </w:rPr>
          <w:fldChar w:fldCharType="begin"/>
        </w:r>
        <w:r w:rsidR="00EF7F33" w:rsidRPr="00EF7F33">
          <w:rPr>
            <w:webHidden/>
          </w:rPr>
          <w:instrText xml:space="preserve"> PAGEREF _Toc523998202 \h </w:instrText>
        </w:r>
        <w:r w:rsidR="00EF7F33" w:rsidRPr="00EF7F33">
          <w:rPr>
            <w:webHidden/>
          </w:rPr>
        </w:r>
        <w:r w:rsidR="00EF7F33" w:rsidRPr="00EF7F33">
          <w:rPr>
            <w:webHidden/>
          </w:rPr>
          <w:fldChar w:fldCharType="separate"/>
        </w:r>
        <w:r w:rsidR="00EF7F33" w:rsidRPr="00EF7F33">
          <w:rPr>
            <w:webHidden/>
          </w:rPr>
          <w:t>198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3" w:history="1">
        <w:r w:rsidR="00EF7F33" w:rsidRPr="00EF7F33">
          <w:rPr>
            <w:rStyle w:val="Hyperlink"/>
            <w:rFonts w:ascii="Times New Roman" w:hAnsi="Times New Roman"/>
          </w:rPr>
          <w:t>6.2.1.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_Toc523998203 \h </w:instrText>
        </w:r>
        <w:r w:rsidR="00EF7F33" w:rsidRPr="00EF7F33">
          <w:rPr>
            <w:webHidden/>
          </w:rPr>
        </w:r>
        <w:r w:rsidR="00EF7F33" w:rsidRPr="00EF7F33">
          <w:rPr>
            <w:webHidden/>
          </w:rPr>
          <w:fldChar w:fldCharType="separate"/>
        </w:r>
        <w:r w:rsidR="00EF7F33" w:rsidRPr="00EF7F33">
          <w:rPr>
            <w:webHidden/>
          </w:rPr>
          <w:t>198</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4" w:history="1">
        <w:r w:rsidR="00EF7F33" w:rsidRPr="00EF7F33">
          <w:rPr>
            <w:rStyle w:val="Hyperlink"/>
            <w:rFonts w:ascii="Times New Roman" w:hAnsi="Times New Roman"/>
          </w:rPr>
          <w:t>6.2.2.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_Toc523998204 \h </w:instrText>
        </w:r>
        <w:r w:rsidR="00EF7F33" w:rsidRPr="00EF7F33">
          <w:rPr>
            <w:webHidden/>
          </w:rPr>
        </w:r>
        <w:r w:rsidR="00EF7F33" w:rsidRPr="00EF7F33">
          <w:rPr>
            <w:webHidden/>
          </w:rPr>
          <w:fldChar w:fldCharType="separate"/>
        </w:r>
        <w:r w:rsidR="00EF7F33" w:rsidRPr="00EF7F33">
          <w:rPr>
            <w:webHidden/>
          </w:rPr>
          <w:t>199</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5" w:history="1">
        <w:r w:rsidR="00EF7F33" w:rsidRPr="00EF7F33">
          <w:rPr>
            <w:rStyle w:val="Hyperlink"/>
            <w:rFonts w:ascii="Times New Roman" w:hAnsi="Times New Roman"/>
          </w:rPr>
          <w:t>6.3. C 32.03 – Bonitetno vrednovanje Dodatna prilagodba vrednovanja za rizik modela (PruVal 3)</w:t>
        </w:r>
        <w:r w:rsidR="00EF7F33" w:rsidRPr="00EF7F33">
          <w:rPr>
            <w:webHidden/>
          </w:rPr>
          <w:tab/>
        </w:r>
        <w:r w:rsidR="00EF7F33" w:rsidRPr="00EF7F33">
          <w:rPr>
            <w:webHidden/>
          </w:rPr>
          <w:fldChar w:fldCharType="begin"/>
        </w:r>
        <w:r w:rsidR="00EF7F33" w:rsidRPr="00EF7F33">
          <w:rPr>
            <w:webHidden/>
          </w:rPr>
          <w:instrText xml:space="preserve"> PAGEREF _Toc523998205 \h </w:instrText>
        </w:r>
        <w:r w:rsidR="00EF7F33" w:rsidRPr="00EF7F33">
          <w:rPr>
            <w:webHidden/>
          </w:rPr>
        </w:r>
        <w:r w:rsidR="00EF7F33" w:rsidRPr="00EF7F33">
          <w:rPr>
            <w:webHidden/>
          </w:rPr>
          <w:fldChar w:fldCharType="separate"/>
        </w:r>
        <w:r w:rsidR="00EF7F33" w:rsidRPr="00EF7F33">
          <w:rPr>
            <w:webHidden/>
          </w:rPr>
          <w:t>209</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6" w:history="1">
        <w:r w:rsidR="00EF7F33" w:rsidRPr="00EF7F33">
          <w:rPr>
            <w:rStyle w:val="Hyperlink"/>
            <w:rFonts w:ascii="Times New Roman" w:hAnsi="Times New Roman"/>
          </w:rPr>
          <w:t>6.3.1.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_Toc523998206 \h </w:instrText>
        </w:r>
        <w:r w:rsidR="00EF7F33" w:rsidRPr="00EF7F33">
          <w:rPr>
            <w:webHidden/>
          </w:rPr>
        </w:r>
        <w:r w:rsidR="00EF7F33" w:rsidRPr="00EF7F33">
          <w:rPr>
            <w:webHidden/>
          </w:rPr>
          <w:fldChar w:fldCharType="separate"/>
        </w:r>
        <w:r w:rsidR="00EF7F33" w:rsidRPr="00EF7F33">
          <w:rPr>
            <w:webHidden/>
          </w:rPr>
          <w:t>209</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7" w:history="1">
        <w:r w:rsidR="00EF7F33" w:rsidRPr="00EF7F33">
          <w:rPr>
            <w:rStyle w:val="Hyperlink"/>
            <w:rFonts w:ascii="Times New Roman" w:hAnsi="Times New Roman"/>
          </w:rPr>
          <w:t>6.3.2.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_Toc523998207 \h </w:instrText>
        </w:r>
        <w:r w:rsidR="00EF7F33" w:rsidRPr="00EF7F33">
          <w:rPr>
            <w:webHidden/>
          </w:rPr>
        </w:r>
        <w:r w:rsidR="00EF7F33" w:rsidRPr="00EF7F33">
          <w:rPr>
            <w:webHidden/>
          </w:rPr>
          <w:fldChar w:fldCharType="separate"/>
        </w:r>
        <w:r w:rsidR="00EF7F33" w:rsidRPr="00EF7F33">
          <w:rPr>
            <w:webHidden/>
          </w:rPr>
          <w:t>210</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8" w:history="1">
        <w:r w:rsidR="00EF7F33" w:rsidRPr="00EF7F33">
          <w:rPr>
            <w:rStyle w:val="Hyperlink"/>
            <w:rFonts w:ascii="Times New Roman" w:hAnsi="Times New Roman"/>
          </w:rPr>
          <w:t>6.4 C 32.04 - Bonitetno vrednovanje: Dodatna prilagodba vrednovanja za koncentrirane pozicije (PruVal 4)</w:t>
        </w:r>
        <w:r w:rsidR="00EF7F33" w:rsidRPr="00EF7F33">
          <w:rPr>
            <w:webHidden/>
          </w:rPr>
          <w:tab/>
        </w:r>
        <w:r w:rsidR="00EF7F33" w:rsidRPr="00EF7F33">
          <w:rPr>
            <w:webHidden/>
          </w:rPr>
          <w:fldChar w:fldCharType="begin"/>
        </w:r>
        <w:r w:rsidR="00EF7F33" w:rsidRPr="00EF7F33">
          <w:rPr>
            <w:webHidden/>
          </w:rPr>
          <w:instrText xml:space="preserve"> PAGEREF _Toc523998208 \h </w:instrText>
        </w:r>
        <w:r w:rsidR="00EF7F33" w:rsidRPr="00EF7F33">
          <w:rPr>
            <w:webHidden/>
          </w:rPr>
        </w:r>
        <w:r w:rsidR="00EF7F33" w:rsidRPr="00EF7F33">
          <w:rPr>
            <w:webHidden/>
          </w:rPr>
          <w:fldChar w:fldCharType="separate"/>
        </w:r>
        <w:r w:rsidR="00EF7F33" w:rsidRPr="00EF7F33">
          <w:rPr>
            <w:webHidden/>
          </w:rPr>
          <w:t>213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09" w:history="1">
        <w:r w:rsidR="00EF7F33" w:rsidRPr="00EF7F33">
          <w:rPr>
            <w:rStyle w:val="Hyperlink"/>
            <w:rFonts w:ascii="Times New Roman" w:hAnsi="Times New Roman"/>
          </w:rPr>
          <w:t>6.4.1.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_Toc523998209 \h </w:instrText>
        </w:r>
        <w:r w:rsidR="00EF7F33" w:rsidRPr="00EF7F33">
          <w:rPr>
            <w:webHidden/>
          </w:rPr>
        </w:r>
        <w:r w:rsidR="00EF7F33" w:rsidRPr="00EF7F33">
          <w:rPr>
            <w:webHidden/>
          </w:rPr>
          <w:fldChar w:fldCharType="separate"/>
        </w:r>
        <w:r w:rsidR="00EF7F33" w:rsidRPr="00EF7F33">
          <w:rPr>
            <w:webHidden/>
          </w:rPr>
          <w:t>213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10" w:history="1">
        <w:r w:rsidR="00EF7F33" w:rsidRPr="00EF7F33">
          <w:rPr>
            <w:rStyle w:val="Hyperlink"/>
            <w:rFonts w:ascii="Times New Roman" w:hAnsi="Times New Roman"/>
          </w:rPr>
          <w:t>6.4.2.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_Toc523998210 \h </w:instrText>
        </w:r>
        <w:r w:rsidR="00EF7F33" w:rsidRPr="00EF7F33">
          <w:rPr>
            <w:webHidden/>
          </w:rPr>
        </w:r>
        <w:r w:rsidR="00EF7F33" w:rsidRPr="00EF7F33">
          <w:rPr>
            <w:webHidden/>
          </w:rPr>
          <w:fldChar w:fldCharType="separate"/>
        </w:r>
        <w:r w:rsidR="00EF7F33" w:rsidRPr="00EF7F33">
          <w:rPr>
            <w:webHidden/>
          </w:rPr>
          <w:t>213</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11" w:history="1">
        <w:r w:rsidR="00EF7F33" w:rsidRPr="00EF7F33">
          <w:rPr>
            <w:rStyle w:val="Hyperlink"/>
            <w:rFonts w:ascii="Times New Roman" w:hAnsi="Times New Roman"/>
          </w:rPr>
          <w:t>7.</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C 33.00 – IZLOŽENOSTI PREMA OPĆIM DRŽAVAMA (GOV)</w:t>
        </w:r>
        <w:r w:rsidR="00EF7F33" w:rsidRPr="00EF7F33">
          <w:rPr>
            <w:webHidden/>
          </w:rPr>
          <w:tab/>
        </w:r>
        <w:r w:rsidR="00EF7F33" w:rsidRPr="00EF7F33">
          <w:rPr>
            <w:webHidden/>
          </w:rPr>
          <w:fldChar w:fldCharType="begin"/>
        </w:r>
        <w:r w:rsidR="00EF7F33" w:rsidRPr="00EF7F33">
          <w:rPr>
            <w:webHidden/>
          </w:rPr>
          <w:instrText xml:space="preserve"> PAGEREF _Toc523998211 \h </w:instrText>
        </w:r>
        <w:r w:rsidR="00EF7F33" w:rsidRPr="00EF7F33">
          <w:rPr>
            <w:webHidden/>
          </w:rPr>
        </w:r>
        <w:r w:rsidR="00EF7F33" w:rsidRPr="00EF7F33">
          <w:rPr>
            <w:webHidden/>
          </w:rPr>
          <w:fldChar w:fldCharType="separate"/>
        </w:r>
        <w:r w:rsidR="00EF7F33" w:rsidRPr="00EF7F33">
          <w:rPr>
            <w:webHidden/>
          </w:rPr>
          <w:t>215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12" w:history="1">
        <w:r w:rsidR="00EF7F33" w:rsidRPr="00EF7F33">
          <w:rPr>
            <w:rStyle w:val="Hyperlink"/>
            <w:rFonts w:ascii="Times New Roman" w:hAnsi="Times New Roman"/>
          </w:rPr>
          <w:t>7.1.</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Opće napomene</w:t>
        </w:r>
        <w:r w:rsidR="00EF7F33" w:rsidRPr="00EF7F33">
          <w:rPr>
            <w:webHidden/>
          </w:rPr>
          <w:tab/>
        </w:r>
        <w:r w:rsidR="00EF7F33" w:rsidRPr="00EF7F33">
          <w:rPr>
            <w:webHidden/>
          </w:rPr>
          <w:fldChar w:fldCharType="begin"/>
        </w:r>
        <w:r w:rsidR="00EF7F33" w:rsidRPr="00EF7F33">
          <w:rPr>
            <w:webHidden/>
          </w:rPr>
          <w:instrText xml:space="preserve"> PAGEREF _Toc523998212 \h </w:instrText>
        </w:r>
        <w:r w:rsidR="00EF7F33" w:rsidRPr="00EF7F33">
          <w:rPr>
            <w:webHidden/>
          </w:rPr>
        </w:r>
        <w:r w:rsidR="00EF7F33" w:rsidRPr="00EF7F33">
          <w:rPr>
            <w:webHidden/>
          </w:rPr>
          <w:fldChar w:fldCharType="separate"/>
        </w:r>
        <w:r w:rsidR="00EF7F33" w:rsidRPr="00EF7F33">
          <w:rPr>
            <w:webHidden/>
          </w:rPr>
          <w:t>215</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13" w:history="1">
        <w:r w:rsidR="00EF7F33" w:rsidRPr="00EF7F33">
          <w:rPr>
            <w:rStyle w:val="Hyperlink"/>
            <w:rFonts w:ascii="Times New Roman" w:hAnsi="Times New Roman"/>
          </w:rPr>
          <w:t>7.2.</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Opseg izvješćivanja u obrascu o izloženostima prema „općim državama”</w:t>
        </w:r>
        <w:r w:rsidR="00EF7F33" w:rsidRPr="00EF7F33">
          <w:rPr>
            <w:webHidden/>
          </w:rPr>
          <w:tab/>
        </w:r>
        <w:r w:rsidR="00EF7F33" w:rsidRPr="00EF7F33">
          <w:rPr>
            <w:webHidden/>
          </w:rPr>
          <w:fldChar w:fldCharType="begin"/>
        </w:r>
        <w:r w:rsidR="00EF7F33" w:rsidRPr="00EF7F33">
          <w:rPr>
            <w:webHidden/>
          </w:rPr>
          <w:instrText xml:space="preserve"> PAGEREF _Toc523998213 \h </w:instrText>
        </w:r>
        <w:r w:rsidR="00EF7F33" w:rsidRPr="00EF7F33">
          <w:rPr>
            <w:webHidden/>
          </w:rPr>
        </w:r>
        <w:r w:rsidR="00EF7F33" w:rsidRPr="00EF7F33">
          <w:rPr>
            <w:webHidden/>
          </w:rPr>
          <w:fldChar w:fldCharType="separate"/>
        </w:r>
        <w:r w:rsidR="00EF7F33" w:rsidRPr="00EF7F33">
          <w:rPr>
            <w:webHidden/>
          </w:rPr>
          <w:t>216</w:t>
        </w:r>
        <w:r w:rsidR="00EF7F33" w:rsidRPr="00EF7F33">
          <w:rPr>
            <w:webHidden/>
          </w:rPr>
          <w:fldChar w:fldCharType="end"/>
        </w:r>
      </w:hyperlink>
    </w:p>
    <w:p w:rsidR="00EF7F33" w:rsidRPr="00EF7F33" w:rsidRDefault="006C517E">
      <w:pPr>
        <w:pStyle w:val="TOC2"/>
        <w:rPr>
          <w:rFonts w:asciiTheme="minorHAnsi" w:eastAsiaTheme="minorEastAsia" w:hAnsiTheme="minorHAnsi" w:cstheme="minorBidi"/>
          <w:b w:val="0"/>
          <w:smallCaps w:val="0"/>
          <w:sz w:val="22"/>
          <w:lang w:eastAsia="en-GB" w:bidi="ar-SA"/>
        </w:rPr>
      </w:pPr>
      <w:hyperlink w:anchor="_Toc523998214" w:history="1">
        <w:r w:rsidR="00EF7F33" w:rsidRPr="00EF7F33">
          <w:rPr>
            <w:rStyle w:val="Hyperlink"/>
            <w:rFonts w:ascii="Times New Roman" w:hAnsi="Times New Roman"/>
          </w:rPr>
          <w:t>7.3.</w:t>
        </w:r>
        <w:r w:rsidR="00EF7F33" w:rsidRPr="00EF7F33">
          <w:rPr>
            <w:rFonts w:asciiTheme="minorHAnsi" w:eastAsiaTheme="minorEastAsia" w:hAnsiTheme="minorHAnsi" w:cstheme="minorBidi"/>
            <w:b w:val="0"/>
            <w:smallCaps w:val="0"/>
            <w:sz w:val="22"/>
            <w:lang w:eastAsia="en-GB" w:bidi="ar-SA"/>
          </w:rPr>
          <w:tab/>
        </w:r>
        <w:r w:rsidR="00EF7F33" w:rsidRPr="00EF7F33">
          <w:rPr>
            <w:rStyle w:val="Hyperlink"/>
            <w:rFonts w:ascii="Times New Roman" w:hAnsi="Times New Roman"/>
          </w:rPr>
          <w:t>Upute za specifične pozicije</w:t>
        </w:r>
        <w:r w:rsidR="00EF7F33" w:rsidRPr="00EF7F33">
          <w:rPr>
            <w:webHidden/>
          </w:rPr>
          <w:tab/>
        </w:r>
        <w:r w:rsidR="00EF7F33" w:rsidRPr="00EF7F33">
          <w:rPr>
            <w:webHidden/>
          </w:rPr>
          <w:fldChar w:fldCharType="begin"/>
        </w:r>
        <w:r w:rsidR="00EF7F33" w:rsidRPr="00EF7F33">
          <w:rPr>
            <w:webHidden/>
          </w:rPr>
          <w:instrText xml:space="preserve"> PAGEREF _Toc523998214 \h </w:instrText>
        </w:r>
        <w:r w:rsidR="00EF7F33" w:rsidRPr="00EF7F33">
          <w:rPr>
            <w:webHidden/>
          </w:rPr>
        </w:r>
        <w:r w:rsidR="00EF7F33" w:rsidRPr="00EF7F33">
          <w:rPr>
            <w:webHidden/>
          </w:rPr>
          <w:fldChar w:fldCharType="separate"/>
        </w:r>
        <w:r w:rsidR="00EF7F33" w:rsidRPr="00EF7F33">
          <w:rPr>
            <w:webHidden/>
          </w:rPr>
          <w:t>216</w:t>
        </w:r>
        <w:r w:rsidR="00EF7F33" w:rsidRPr="00EF7F33">
          <w:rPr>
            <w:webHidden/>
          </w:rPr>
          <w:fldChar w:fldCharType="end"/>
        </w:r>
      </w:hyperlink>
    </w:p>
    <w:p w:rsidR="00F622C3" w:rsidRPr="00EF7F33" w:rsidRDefault="00EF7F33">
      <w:pPr>
        <w:rPr>
          <w:rFonts w:asciiTheme="minorHAnsi" w:eastAsiaTheme="minorEastAsia" w:hAnsiTheme="minorHAnsi" w:cstheme="minorBidi"/>
          <w:sz w:val="22"/>
        </w:rPr>
        <w:sectPr w:rsidR="00F622C3" w:rsidRPr="00EF7F33"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EF7F33">
        <w:rPr>
          <w:rFonts w:ascii="Times New Roman" w:hAnsi="Times New Roman"/>
          <w:sz w:val="24"/>
        </w:rPr>
        <w:fldChar w:fldCharType="end"/>
      </w:r>
    </w:p>
    <w:p w:rsidR="007B4FD3" w:rsidRPr="00EF7F33" w:rsidRDefault="007B4FD3" w:rsidP="00EC5046">
      <w:pPr>
        <w:rPr>
          <w:rFonts w:ascii="Times New Roman" w:hAnsi="Times New Roman"/>
          <w:sz w:val="24"/>
        </w:rPr>
      </w:pPr>
    </w:p>
    <w:p w:rsidR="002648B0" w:rsidRPr="00EF7F33"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998091"/>
      <w:r w:rsidRPr="00EF7F33">
        <w:rPr>
          <w:rFonts w:ascii="Times New Roman" w:hAnsi="Times New Roman"/>
        </w:rPr>
        <w:t>DIO I.:</w:t>
      </w:r>
      <w:bookmarkEnd w:id="2"/>
      <w:r w:rsidRPr="00EF7F33">
        <w:rPr>
          <w:rFonts w:ascii="Times New Roman" w:hAnsi="Times New Roman"/>
        </w:rPr>
        <w:t xml:space="preserve"> OPĆE UPUTE</w:t>
      </w:r>
      <w:bookmarkEnd w:id="3"/>
      <w:bookmarkEnd w:id="4"/>
      <w:bookmarkEnd w:id="5"/>
      <w:bookmarkEnd w:id="6"/>
    </w:p>
    <w:p w:rsidR="002648B0" w:rsidRPr="00EF7F33"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998092"/>
      <w:r w:rsidRPr="00EF7F33">
        <w:rPr>
          <w:rFonts w:ascii="Times New Roman" w:hAnsi="Times New Roman"/>
          <w:sz w:val="24"/>
          <w:u w:val="none"/>
        </w:rPr>
        <w:t>1.</w:t>
      </w:r>
      <w:r w:rsidRPr="00EF7F33">
        <w:tab/>
      </w:r>
      <w:r w:rsidRPr="00EF7F33">
        <w:rPr>
          <w:rFonts w:ascii="Times New Roman" w:hAnsi="Times New Roman"/>
          <w:sz w:val="24"/>
          <w:u w:val="none"/>
        </w:rPr>
        <w:t>STRUKTURA I PRAVILA</w:t>
      </w:r>
      <w:bookmarkEnd w:id="7"/>
      <w:bookmarkEnd w:id="8"/>
      <w:bookmarkEnd w:id="9"/>
      <w:bookmarkEnd w:id="10"/>
    </w:p>
    <w:p w:rsidR="002648B0" w:rsidRPr="00EF7F33"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523998093"/>
      <w:bookmarkStart w:id="15" w:name="_Toc264038399"/>
      <w:bookmarkStart w:id="16" w:name="_Toc294018834"/>
      <w:r w:rsidRPr="00EF7F33">
        <w:rPr>
          <w:rFonts w:ascii="Times New Roman" w:hAnsi="Times New Roman"/>
          <w:sz w:val="24"/>
          <w:u w:val="none"/>
        </w:rPr>
        <w:t>1.1.</w:t>
      </w:r>
      <w:r w:rsidRPr="00EF7F33">
        <w:tab/>
      </w:r>
      <w:r w:rsidRPr="00EF7F33">
        <w:rPr>
          <w:rFonts w:ascii="Times New Roman" w:hAnsi="Times New Roman"/>
          <w:sz w:val="24"/>
          <w:u w:val="none"/>
        </w:rPr>
        <w:t>Struktura</w:t>
      </w:r>
      <w:bookmarkEnd w:id="11"/>
      <w:bookmarkEnd w:id="12"/>
      <w:bookmarkEnd w:id="13"/>
      <w:bookmarkEnd w:id="14"/>
    </w:p>
    <w:p w:rsidR="002648B0" w:rsidRPr="00EF7F33" w:rsidRDefault="00125707" w:rsidP="00C37B29">
      <w:pPr>
        <w:pStyle w:val="InstructionsText2"/>
        <w:numPr>
          <w:ilvl w:val="0"/>
          <w:numId w:val="0"/>
        </w:numPr>
        <w:ind w:left="993"/>
      </w:pPr>
      <w:r w:rsidRPr="00EF7F33">
        <w:t>1.</w:t>
      </w:r>
      <w:r w:rsidRPr="00EF7F33">
        <w:tab/>
        <w:t>Općenito okvir čini pet skupina obrazaca:</w:t>
      </w:r>
    </w:p>
    <w:p w:rsidR="002648B0" w:rsidRPr="00EF7F33" w:rsidRDefault="00125707" w:rsidP="00C37B29">
      <w:pPr>
        <w:pStyle w:val="InstructionsText2"/>
        <w:numPr>
          <w:ilvl w:val="0"/>
          <w:numId w:val="0"/>
        </w:numPr>
        <w:ind w:left="993"/>
      </w:pPr>
      <w:r w:rsidRPr="00EF7F33">
        <w:t>(a)</w:t>
      </w:r>
      <w:r w:rsidRPr="00EF7F33">
        <w:tab/>
        <w:t>adekvatnost kapitala, pregled regulatornog kapitala, ukupni iznos izloženosti riziku;</w:t>
      </w:r>
    </w:p>
    <w:p w:rsidR="00436204" w:rsidRPr="00EF7F33" w:rsidRDefault="00125707" w:rsidP="00C37B29">
      <w:pPr>
        <w:pStyle w:val="InstructionsText2"/>
        <w:numPr>
          <w:ilvl w:val="0"/>
          <w:numId w:val="0"/>
        </w:numPr>
        <w:ind w:left="993"/>
      </w:pPr>
      <w:r w:rsidRPr="00EF7F33">
        <w:t>(b)</w:t>
      </w:r>
      <w:r w:rsidRPr="00EF7F33">
        <w:tab/>
        <w:t>solventnost grupe, pregled načina na koji svi pojedinačni subjekti uključeni u opseg konsolidacije subjekta koji izvješćuje ispunjavaju zahtjeve koji se odnose na solventnost</w:t>
      </w:r>
    </w:p>
    <w:p w:rsidR="002648B0" w:rsidRPr="00EF7F33" w:rsidRDefault="00125707" w:rsidP="00C37B29">
      <w:pPr>
        <w:pStyle w:val="InstructionsText2"/>
        <w:numPr>
          <w:ilvl w:val="0"/>
          <w:numId w:val="0"/>
        </w:numPr>
        <w:ind w:left="993"/>
      </w:pPr>
      <w:r w:rsidRPr="00EF7F33">
        <w:t>(c)</w:t>
      </w:r>
      <w:r w:rsidRPr="00EF7F33">
        <w:tab/>
        <w:t>kreditni rizik (uključujući rizik druge ugovorne strane, razrjeđivački rizik i r</w:t>
      </w:r>
      <w:r w:rsidRPr="00EF7F33">
        <w:t>i</w:t>
      </w:r>
      <w:r w:rsidRPr="00EF7F33">
        <w:t>zik namire);</w:t>
      </w:r>
    </w:p>
    <w:p w:rsidR="002648B0" w:rsidRPr="00EF7F33" w:rsidRDefault="00125707" w:rsidP="00C37B29">
      <w:pPr>
        <w:pStyle w:val="InstructionsText2"/>
        <w:numPr>
          <w:ilvl w:val="0"/>
          <w:numId w:val="0"/>
        </w:numPr>
        <w:ind w:left="993"/>
      </w:pPr>
      <w:r w:rsidRPr="00EF7F33">
        <w:t>(d)</w:t>
      </w:r>
      <w:r w:rsidRPr="00EF7F33">
        <w:tab/>
        <w:t>tržišni rizik (uključujući pozicijski rizik u knjizi trgovanja, valutni rizik, robni rizik i CVA rizik);</w:t>
      </w:r>
    </w:p>
    <w:p w:rsidR="002648B0" w:rsidRPr="00EF7F33" w:rsidRDefault="00125707" w:rsidP="00C37B29">
      <w:pPr>
        <w:pStyle w:val="InstructionsText2"/>
        <w:numPr>
          <w:ilvl w:val="0"/>
          <w:numId w:val="0"/>
        </w:numPr>
        <w:ind w:left="993"/>
      </w:pPr>
      <w:r w:rsidRPr="00EF7F33">
        <w:t>(e)</w:t>
      </w:r>
      <w:r w:rsidRPr="00EF7F33">
        <w:tab/>
        <w:t>operativni rizik.</w:t>
      </w:r>
    </w:p>
    <w:p w:rsidR="002648B0" w:rsidRPr="00EF7F33" w:rsidRDefault="00125707" w:rsidP="00C37B29">
      <w:pPr>
        <w:pStyle w:val="InstructionsText2"/>
        <w:numPr>
          <w:ilvl w:val="0"/>
          <w:numId w:val="0"/>
        </w:numPr>
        <w:ind w:left="993"/>
      </w:pPr>
      <w:r w:rsidRPr="00EF7F33">
        <w:t>2.</w:t>
      </w:r>
      <w:r w:rsidRPr="00EF7F33">
        <w:tab/>
        <w:t>Za svaki obrazac navodi se pravna osnova. Ovaj dio provedbenog tehničkog standarda sadržava dodatne detaljne informacije o općenitijim aspektima izvješć</w:t>
      </w:r>
      <w:r w:rsidRPr="00EF7F33">
        <w:t>i</w:t>
      </w:r>
      <w:r w:rsidRPr="00EF7F33">
        <w:t>vanja o svakoj skupini obrazaca, upute za specifične pozicije te pravila validacije..</w:t>
      </w:r>
    </w:p>
    <w:p w:rsidR="005643EA" w:rsidRPr="00EF7F33" w:rsidRDefault="00125707" w:rsidP="00C37B29">
      <w:pPr>
        <w:pStyle w:val="InstructionsText2"/>
        <w:numPr>
          <w:ilvl w:val="0"/>
          <w:numId w:val="0"/>
        </w:numPr>
        <w:ind w:left="993"/>
      </w:pPr>
      <w:r w:rsidRPr="00EF7F33">
        <w:t>3.</w:t>
      </w:r>
      <w:r w:rsidRPr="00EF7F33">
        <w:tab/>
        <w:t>Institucije izvješćuju samo o obrascima koji su relevantni s obzirom na pristup korišten za određivanje kapitalnih zahtjeva.</w:t>
      </w:r>
    </w:p>
    <w:p w:rsidR="002648B0" w:rsidRPr="00EF7F33"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998094"/>
      <w:r w:rsidRPr="00EF7F33">
        <w:rPr>
          <w:rFonts w:ascii="Times New Roman" w:hAnsi="Times New Roman"/>
          <w:sz w:val="24"/>
          <w:u w:val="none"/>
        </w:rPr>
        <w:t>1.2</w:t>
      </w:r>
      <w:r w:rsidRPr="00EF7F33">
        <w:tab/>
      </w:r>
      <w:r w:rsidRPr="00EF7F33">
        <w:rPr>
          <w:rFonts w:ascii="Times New Roman" w:hAnsi="Times New Roman"/>
          <w:sz w:val="24"/>
          <w:u w:val="none"/>
        </w:rPr>
        <w:t>Pravila označivanja brojevima</w:t>
      </w:r>
      <w:bookmarkEnd w:id="17"/>
      <w:bookmarkEnd w:id="18"/>
      <w:bookmarkEnd w:id="19"/>
      <w:bookmarkEnd w:id="20"/>
    </w:p>
    <w:p w:rsidR="002648B0" w:rsidRPr="00EF7F33" w:rsidRDefault="00125707" w:rsidP="00C37B29">
      <w:pPr>
        <w:pStyle w:val="InstructionsText2"/>
        <w:numPr>
          <w:ilvl w:val="0"/>
          <w:numId w:val="0"/>
        </w:numPr>
        <w:ind w:left="993"/>
      </w:pPr>
      <w:r w:rsidRPr="00EF7F33">
        <w:t>4.</w:t>
      </w:r>
      <w:r w:rsidRPr="00EF7F33">
        <w:tab/>
        <w:t>Pri upućivanju na stupce, retke i rubrike obrazaca u dokumentu se poštuju pr</w:t>
      </w:r>
      <w:r w:rsidRPr="00EF7F33">
        <w:t>a</w:t>
      </w:r>
      <w:r w:rsidRPr="00EF7F33">
        <w:t>vila označivanja iz tablice u nastavku. Te se brojčane oznake u velikoj mjeri upo</w:t>
      </w:r>
      <w:r w:rsidRPr="00EF7F33">
        <w:t>t</w:t>
      </w:r>
      <w:r w:rsidRPr="00EF7F33">
        <w:t>rebljavaju u pravilima validacije.</w:t>
      </w:r>
    </w:p>
    <w:p w:rsidR="005643EA" w:rsidRPr="00EF7F33" w:rsidRDefault="00125707" w:rsidP="00C37B29">
      <w:pPr>
        <w:pStyle w:val="InstructionsText2"/>
        <w:numPr>
          <w:ilvl w:val="0"/>
          <w:numId w:val="0"/>
        </w:numPr>
        <w:ind w:left="993"/>
      </w:pPr>
      <w:r w:rsidRPr="00EF7F33">
        <w:t>5.</w:t>
      </w:r>
      <w:r w:rsidRPr="00EF7F33">
        <w:tab/>
        <w:t>U uputama se primjenjuje sljedeća opća bilješka: {obrazac;redak;stupac}.</w:t>
      </w:r>
    </w:p>
    <w:p w:rsidR="002648B0" w:rsidRPr="00EF7F33" w:rsidRDefault="00125707" w:rsidP="00C37B29">
      <w:pPr>
        <w:pStyle w:val="InstructionsText2"/>
        <w:numPr>
          <w:ilvl w:val="0"/>
          <w:numId w:val="0"/>
        </w:numPr>
        <w:ind w:left="993"/>
      </w:pPr>
      <w:r w:rsidRPr="00EF7F33">
        <w:t>6.</w:t>
      </w:r>
      <w:r w:rsidRPr="00EF7F33">
        <w:tab/>
        <w:t>U slučaju validacija u okviru obrasca, u kojem se upotrebljavaju samo poda</w:t>
      </w:r>
      <w:r w:rsidRPr="00EF7F33">
        <w:t>t</w:t>
      </w:r>
      <w:r w:rsidRPr="00EF7F33">
        <w:t>kovne točke tog obrasca, bilješkama se ne upućuje na obrazac: {redak;stupac}.</w:t>
      </w:r>
    </w:p>
    <w:p w:rsidR="005643EA" w:rsidRPr="00EF7F33" w:rsidRDefault="00125707" w:rsidP="00C37B29">
      <w:pPr>
        <w:pStyle w:val="InstructionsText2"/>
        <w:numPr>
          <w:ilvl w:val="0"/>
          <w:numId w:val="0"/>
        </w:numPr>
        <w:ind w:left="993"/>
      </w:pPr>
      <w:r w:rsidRPr="00EF7F33">
        <w:t>7.</w:t>
      </w:r>
      <w:r w:rsidRPr="00EF7F33">
        <w:tab/>
        <w:t>U slučaju obrazaca samo s jednim stupcem upućuje se samo na retke. {obr</w:t>
      </w:r>
      <w:r w:rsidRPr="00EF7F33">
        <w:t>a</w:t>
      </w:r>
      <w:r w:rsidRPr="00EF7F33">
        <w:t>zac;redak}</w:t>
      </w:r>
    </w:p>
    <w:p w:rsidR="002648B0" w:rsidRPr="00EF7F33" w:rsidRDefault="00125707" w:rsidP="00C37B29">
      <w:pPr>
        <w:pStyle w:val="InstructionsText2"/>
        <w:numPr>
          <w:ilvl w:val="0"/>
          <w:numId w:val="0"/>
        </w:numPr>
        <w:ind w:left="993"/>
      </w:pPr>
      <w:r w:rsidRPr="00EF7F33">
        <w:t>8.</w:t>
      </w:r>
      <w:r w:rsidRPr="00EF7F33">
        <w:tab/>
        <w:t>Znak zvjezdice upotrebljava se kako bi se izrazilo da je validacija provedena za prethodno navedene retke ili stupce.</w:t>
      </w:r>
    </w:p>
    <w:p w:rsidR="002648B0" w:rsidRPr="00EF7F33"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998095"/>
      <w:r w:rsidRPr="00EF7F33">
        <w:rPr>
          <w:rFonts w:ascii="Times New Roman" w:hAnsi="Times New Roman"/>
          <w:sz w:val="24"/>
          <w:u w:val="none"/>
        </w:rPr>
        <w:lastRenderedPageBreak/>
        <w:t>1.3.</w:t>
      </w:r>
      <w:r w:rsidRPr="00EF7F33">
        <w:tab/>
      </w:r>
      <w:r w:rsidRPr="00EF7F33">
        <w:rPr>
          <w:rFonts w:ascii="Times New Roman" w:hAnsi="Times New Roman"/>
          <w:sz w:val="24"/>
          <w:u w:val="none"/>
        </w:rPr>
        <w:t>Pravilo o predznaku</w:t>
      </w:r>
      <w:bookmarkEnd w:id="15"/>
      <w:bookmarkEnd w:id="16"/>
      <w:bookmarkEnd w:id="21"/>
      <w:bookmarkEnd w:id="22"/>
      <w:bookmarkEnd w:id="23"/>
      <w:bookmarkEnd w:id="24"/>
    </w:p>
    <w:p w:rsidR="002648B0" w:rsidRPr="00EF7F33" w:rsidRDefault="00125707" w:rsidP="00C37B29">
      <w:pPr>
        <w:pStyle w:val="InstructionsText2"/>
        <w:numPr>
          <w:ilvl w:val="0"/>
          <w:numId w:val="0"/>
        </w:numPr>
        <w:ind w:left="993"/>
      </w:pPr>
      <w:r w:rsidRPr="00EF7F33">
        <w:t>9.</w:t>
      </w:r>
      <w:r w:rsidRPr="00EF7F33">
        <w:tab/>
        <w:t>Svaki iznos kojim se povećava regulatorni kapital ili kapitalni zahtjevi iskazuje se u pozitivnim vrijednostima. Nasuprot tome, svaki iznos kojim se smanjuje uku</w:t>
      </w:r>
      <w:r w:rsidRPr="00EF7F33">
        <w:t>p</w:t>
      </w:r>
      <w:r w:rsidRPr="00EF7F33">
        <w:t>ni regulatorni kapital ili kapitalni zahtjevi iskazuje se u negativnim vrijednostima. Ako negativni predznak (–) prethodi oznaci stavke, očekuje se da se za tu stavku neće iskazivati pozitivne vrijednosti.</w:t>
      </w:r>
    </w:p>
    <w:p w:rsidR="00304CA5" w:rsidRPr="00EF7F33"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998096"/>
      <w:r w:rsidRPr="00EF7F33">
        <w:rPr>
          <w:rFonts w:ascii="Times New Roman" w:hAnsi="Times New Roman"/>
          <w:sz w:val="24"/>
          <w:u w:val="none"/>
        </w:rPr>
        <w:t>1.4.</w:t>
      </w:r>
      <w:r w:rsidRPr="00EF7F33">
        <w:tab/>
      </w:r>
      <w:r w:rsidRPr="00EF7F33">
        <w:rPr>
          <w:rFonts w:ascii="Times New Roman" w:hAnsi="Times New Roman"/>
          <w:sz w:val="24"/>
          <w:u w:val="none"/>
        </w:rPr>
        <w:t>Pokrate</w:t>
      </w:r>
      <w:bookmarkEnd w:id="25"/>
      <w:bookmarkEnd w:id="26"/>
    </w:p>
    <w:p w:rsidR="00304CA5" w:rsidRPr="00EF7F33" w:rsidRDefault="00304CA5" w:rsidP="00C37B29">
      <w:pPr>
        <w:pStyle w:val="InstructionsText2"/>
        <w:numPr>
          <w:ilvl w:val="0"/>
          <w:numId w:val="0"/>
        </w:numPr>
        <w:ind w:left="993"/>
      </w:pPr>
      <w:r w:rsidRPr="00EF7F33">
        <w:t xml:space="preserve">9a. Za potrebe ovog Priloga Uredba (EU) br. 575/2013 naziva se „CRR”, dok se Direktiva 2013/36/EU Europskog parlamenta i Vijeća naziva „CRD”.  </w:t>
      </w:r>
    </w:p>
    <w:p w:rsidR="00304CA5" w:rsidRPr="00EF7F33" w:rsidRDefault="00304CA5" w:rsidP="00C37B29">
      <w:pPr>
        <w:pStyle w:val="InstructionsText2"/>
        <w:numPr>
          <w:ilvl w:val="0"/>
          <w:numId w:val="0"/>
        </w:numPr>
        <w:ind w:left="993"/>
      </w:pPr>
    </w:p>
    <w:p w:rsidR="002648B0" w:rsidRPr="00EF7F33" w:rsidRDefault="002648B0" w:rsidP="00FD239F">
      <w:pPr>
        <w:pStyle w:val="InstructionsText2"/>
        <w:sectPr w:rsidR="002648B0" w:rsidRPr="00EF7F33"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EF7F33" w:rsidRDefault="002648B0" w:rsidP="00005FFC">
      <w:pPr>
        <w:rPr>
          <w:rFonts w:ascii="Times New Roman" w:hAnsi="Times New Roman"/>
          <w:sz w:val="24"/>
        </w:rPr>
      </w:pPr>
    </w:p>
    <w:p w:rsidR="002648B0" w:rsidRPr="00EF7F33"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998097"/>
      <w:r w:rsidRPr="00EF7F33">
        <w:rPr>
          <w:rFonts w:ascii="Times New Roman" w:hAnsi="Times New Roman"/>
        </w:rPr>
        <w:t>DIO II.: UPUTE POVEZANE S POJEDINIM OBRASCEM</w:t>
      </w:r>
      <w:bookmarkEnd w:id="28"/>
      <w:bookmarkEnd w:id="29"/>
      <w:bookmarkEnd w:id="30"/>
      <w:bookmarkEnd w:id="31"/>
    </w:p>
    <w:p w:rsidR="002648B0" w:rsidRPr="00EF7F33"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998098"/>
      <w:r w:rsidRPr="00EF7F33">
        <w:rPr>
          <w:rFonts w:ascii="Times New Roman" w:hAnsi="Times New Roman"/>
          <w:sz w:val="24"/>
          <w:u w:val="none"/>
        </w:rPr>
        <w:t>1.</w:t>
      </w:r>
      <w:r w:rsidRPr="00EF7F33">
        <w:tab/>
      </w:r>
      <w:r w:rsidRPr="00EF7F33">
        <w:rPr>
          <w:rFonts w:ascii="Times New Roman" w:hAnsi="Times New Roman"/>
          <w:sz w:val="24"/>
          <w:u w:val="none"/>
        </w:rPr>
        <w:t>PREGLED ADEKVATNOSTI KAPITALA (CA)</w:t>
      </w:r>
      <w:bookmarkEnd w:id="32"/>
      <w:bookmarkEnd w:id="33"/>
      <w:bookmarkEnd w:id="34"/>
      <w:bookmarkEnd w:id="35"/>
    </w:p>
    <w:p w:rsidR="002648B0" w:rsidRPr="00EF7F33"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998099"/>
      <w:r w:rsidRPr="00EF7F33">
        <w:rPr>
          <w:rFonts w:ascii="Times New Roman" w:hAnsi="Times New Roman"/>
          <w:sz w:val="24"/>
          <w:u w:val="none"/>
        </w:rPr>
        <w:t>1.1.</w:t>
      </w:r>
      <w:r w:rsidRPr="00EF7F33">
        <w:tab/>
      </w:r>
      <w:r w:rsidRPr="00EF7F33">
        <w:rPr>
          <w:rFonts w:ascii="Times New Roman" w:hAnsi="Times New Roman"/>
          <w:sz w:val="24"/>
          <w:u w:val="none"/>
        </w:rPr>
        <w:t>Opće napomene</w:t>
      </w:r>
      <w:bookmarkEnd w:id="36"/>
      <w:bookmarkEnd w:id="37"/>
      <w:bookmarkEnd w:id="38"/>
      <w:bookmarkEnd w:id="39"/>
      <w:bookmarkEnd w:id="40"/>
    </w:p>
    <w:p w:rsidR="002648B0" w:rsidRPr="00EF7F33" w:rsidRDefault="00125707" w:rsidP="00C37B29">
      <w:pPr>
        <w:pStyle w:val="InstructionsText2"/>
        <w:numPr>
          <w:ilvl w:val="0"/>
          <w:numId w:val="0"/>
        </w:numPr>
        <w:ind w:left="993"/>
      </w:pPr>
      <w:r w:rsidRPr="00EF7F33">
        <w:t>10.</w:t>
      </w:r>
      <w:r w:rsidRPr="00EF7F33">
        <w:tab/>
        <w:t xml:space="preserve">Obrasci CA sadržavaju informacije o brojnicima prvog stupa (regulatornom kapitalu, osnovnom kapitalu, redovnom osnovnom kapitalu), nazivniku (kapitalnim zahtjevima) i prijelaznim odredbama te su strukturirani u pet obrazaca: </w:t>
      </w:r>
    </w:p>
    <w:p w:rsidR="005643EA" w:rsidRPr="00EF7F33" w:rsidRDefault="00125707" w:rsidP="00C37B29">
      <w:pPr>
        <w:pStyle w:val="InstructionsText2"/>
        <w:numPr>
          <w:ilvl w:val="0"/>
          <w:numId w:val="0"/>
        </w:numPr>
        <w:ind w:left="993"/>
      </w:pPr>
      <w:r w:rsidRPr="00EF7F33">
        <w:t>(a)</w:t>
      </w:r>
      <w:r w:rsidRPr="00EF7F33">
        <w:tab/>
        <w:t>Obrazac CA1 sadržava iznos regulatornog kapitala institucija, raščlanjenog na stavke potrebne da bi se došlo do tog iznosa. Dobiveni iznos regulatornog kapitala uključuje zbirni učinak prijelaznih odredbi prema vrsti kapitala</w:t>
      </w:r>
    </w:p>
    <w:p w:rsidR="005643EA" w:rsidRPr="00EF7F33" w:rsidRDefault="00125707" w:rsidP="00C37B29">
      <w:pPr>
        <w:pStyle w:val="InstructionsText2"/>
        <w:numPr>
          <w:ilvl w:val="0"/>
          <w:numId w:val="0"/>
        </w:numPr>
        <w:ind w:left="993"/>
      </w:pPr>
      <w:r w:rsidRPr="00EF7F33">
        <w:t>(b)</w:t>
      </w:r>
      <w:r w:rsidRPr="00EF7F33">
        <w:tab/>
        <w:t>Obrazac CA2 sadržava sažetak ukupnih iznosa izloženosti riziku kako je def</w:t>
      </w:r>
      <w:r w:rsidRPr="00EF7F33">
        <w:t>i</w:t>
      </w:r>
      <w:r w:rsidRPr="00EF7F33">
        <w:t>nirano u članku 92. stavku 3. CRR-a</w:t>
      </w:r>
    </w:p>
    <w:p w:rsidR="005643EA" w:rsidRPr="00EF7F33" w:rsidRDefault="00125707" w:rsidP="00C37B29">
      <w:pPr>
        <w:pStyle w:val="InstructionsText2"/>
        <w:numPr>
          <w:ilvl w:val="0"/>
          <w:numId w:val="0"/>
        </w:numPr>
        <w:ind w:left="993"/>
      </w:pPr>
      <w:r w:rsidRPr="00EF7F33">
        <w:t>(c)</w:t>
      </w:r>
      <w:r w:rsidRPr="00EF7F33">
        <w:tab/>
        <w:t>Obrazac CA3 sadržava stope za koje je CRR-om određena najniža razina i dr</w:t>
      </w:r>
      <w:r w:rsidRPr="00EF7F33">
        <w:t>u</w:t>
      </w:r>
      <w:r w:rsidRPr="00EF7F33">
        <w:t>ge povezane podatke</w:t>
      </w:r>
    </w:p>
    <w:p w:rsidR="005643EA" w:rsidRPr="00EF7F33" w:rsidRDefault="00125707" w:rsidP="00C37B29">
      <w:pPr>
        <w:pStyle w:val="InstructionsText2"/>
        <w:numPr>
          <w:ilvl w:val="0"/>
          <w:numId w:val="0"/>
        </w:numPr>
        <w:ind w:left="993"/>
      </w:pPr>
      <w:r w:rsidRPr="00EF7F33">
        <w:t>(d)</w:t>
      </w:r>
      <w:r w:rsidRPr="00EF7F33">
        <w:tab/>
        <w:t>Obrazac CA4 sadržava bilješke potrebne za izračun stavki iz obrasca CA1 te informacije o zaštitnim slojevima kapitala u skladu s Direktivom o kapitalnim za</w:t>
      </w:r>
      <w:r w:rsidRPr="00EF7F33">
        <w:t>h</w:t>
      </w:r>
      <w:r w:rsidRPr="00EF7F33">
        <w:t xml:space="preserve">tjevima (CRD). </w:t>
      </w:r>
    </w:p>
    <w:p w:rsidR="005643EA" w:rsidRPr="00EF7F33" w:rsidRDefault="00125707" w:rsidP="00C37B29">
      <w:pPr>
        <w:pStyle w:val="InstructionsText2"/>
        <w:numPr>
          <w:ilvl w:val="0"/>
          <w:numId w:val="0"/>
        </w:numPr>
        <w:ind w:left="993"/>
      </w:pPr>
      <w:r w:rsidRPr="00EF7F33">
        <w:t>(e)</w:t>
      </w:r>
      <w:r w:rsidRPr="00EF7F33">
        <w:tab/>
        <w:t>Obrazac CA5 sadržava podatke potrebne za izračun učinka prijelaznih odredbi na regulatorni kapital. Obrazac CA5 prestat će postojati nakon isteka prijelaznih o</w:t>
      </w:r>
      <w:r w:rsidRPr="00EF7F33">
        <w:t>d</w:t>
      </w:r>
      <w:r w:rsidRPr="00EF7F33">
        <w:t>redbi.</w:t>
      </w:r>
    </w:p>
    <w:p w:rsidR="00783881" w:rsidRPr="00EF7F33" w:rsidRDefault="00125707" w:rsidP="00C37B29">
      <w:pPr>
        <w:pStyle w:val="InstructionsText2"/>
        <w:numPr>
          <w:ilvl w:val="0"/>
          <w:numId w:val="0"/>
        </w:numPr>
        <w:ind w:left="993"/>
      </w:pPr>
      <w:r w:rsidRPr="00EF7F33">
        <w:t>11.</w:t>
      </w:r>
      <w:r w:rsidRPr="00EF7F33">
        <w:tab/>
        <w:t>Obrasci se primjenjuju na sve subjekte koji izvješćuju, bez obzira na račun</w:t>
      </w:r>
      <w:r w:rsidRPr="00EF7F33">
        <w:t>o</w:t>
      </w:r>
      <w:r w:rsidRPr="00EF7F33">
        <w:t>vodstvene standarde koje primjenjuju, iako su neke stavke u brojniku specifične za subjekte koji primjenjuju pravila vrednovanja prema MRS-u/MSFI-ju. Općenito su informacije u nazivniku povezane s konačnim rezultatima koji se iskazuju u odg</w:t>
      </w:r>
      <w:r w:rsidRPr="00EF7F33">
        <w:t>o</w:t>
      </w:r>
      <w:r w:rsidRPr="00EF7F33">
        <w:t>varajućim obrascima za izračun ukupnog iznosa izloženosti riziku.</w:t>
      </w:r>
    </w:p>
    <w:p w:rsidR="005643EA" w:rsidRPr="00EF7F33" w:rsidRDefault="00125707" w:rsidP="00C37B29">
      <w:pPr>
        <w:pStyle w:val="InstructionsText2"/>
        <w:numPr>
          <w:ilvl w:val="0"/>
          <w:numId w:val="0"/>
        </w:numPr>
        <w:ind w:left="993"/>
      </w:pPr>
      <w:r w:rsidRPr="00EF7F33">
        <w:t>12.</w:t>
      </w:r>
      <w:r w:rsidRPr="00EF7F33">
        <w:tab/>
        <w:t xml:space="preserve">Ukupni regulatorni kapital čine različite vrste kapitala: osnovni kapital (T1), koji je zbroj redovnog osnovnog kapitala (CET1) i dodatnog osnovnog kapitala (AT1) te dopunskog kapitala (T2). </w:t>
      </w:r>
    </w:p>
    <w:p w:rsidR="00783881" w:rsidRPr="00EF7F33" w:rsidRDefault="00125707" w:rsidP="00C37B29">
      <w:pPr>
        <w:pStyle w:val="InstructionsText2"/>
        <w:numPr>
          <w:ilvl w:val="0"/>
          <w:numId w:val="0"/>
        </w:numPr>
        <w:ind w:left="993"/>
      </w:pPr>
      <w:r w:rsidRPr="00EF7F33">
        <w:t>13.</w:t>
      </w:r>
      <w:r w:rsidRPr="00EF7F33">
        <w:tab/>
        <w:t>Prijelazne se odredbe u obrascima CA tretiraju kako slijedi:</w:t>
      </w:r>
    </w:p>
    <w:p w:rsidR="00783881" w:rsidRPr="00EF7F33" w:rsidRDefault="00125707" w:rsidP="00C37B29">
      <w:pPr>
        <w:pStyle w:val="InstructionsText2"/>
        <w:numPr>
          <w:ilvl w:val="0"/>
          <w:numId w:val="0"/>
        </w:numPr>
        <w:ind w:left="993"/>
      </w:pPr>
      <w:r w:rsidRPr="00EF7F33">
        <w:t>(a)</w:t>
      </w:r>
      <w:r w:rsidRPr="00EF7F33">
        <w:tab/>
        <w:t>Za stavke u obrascu CA1 općenito nisu u obzir uzeta prijelazna usklađenja. To znači da se vrijednosti stavki iz obrasca CA1 izračunavaju u skladu sa završnim o</w:t>
      </w:r>
      <w:r w:rsidRPr="00EF7F33">
        <w:t>d</w:t>
      </w:r>
      <w:r w:rsidRPr="00EF7F33">
        <w:t>redbama (tj. kao da nema prijelaznih odredbi), izuzev stavki kojima se sažima uč</w:t>
      </w:r>
      <w:r w:rsidRPr="00EF7F33">
        <w:t>i</w:t>
      </w:r>
      <w:r w:rsidRPr="00EF7F33">
        <w:t>nak prijelaznih odredbi. Za svaku vrstu kapitala (tj. redovni osnovni kapital, dodatni osnovni kapital i dopunski kapital) postoje tri različite stavke u kojima su uključena sva usklađenja nastala zbog prijelaznih odredbi.</w:t>
      </w:r>
    </w:p>
    <w:p w:rsidR="00113EA5" w:rsidRPr="00EF7F33" w:rsidRDefault="00125707" w:rsidP="00C37B29">
      <w:pPr>
        <w:pStyle w:val="InstructionsText2"/>
        <w:numPr>
          <w:ilvl w:val="0"/>
          <w:numId w:val="0"/>
        </w:numPr>
        <w:ind w:left="993"/>
      </w:pPr>
      <w:r w:rsidRPr="00EF7F33">
        <w:t>(b)</w:t>
      </w:r>
      <w:r w:rsidRPr="00EF7F33">
        <w:tab/>
        <w:t xml:space="preserve">Prijelazne odredbe mogu utjecati i na manjak dodatnog osnovnog i dopunskog kapitala (tj. odbitak koji premašuje dodatni osnovni ili dopunski kapital, uređen člankom 36. stavkom 1. točkom (j) odnosno člankom 56. točkom (e) CRR-a) te </w:t>
      </w:r>
      <w:r w:rsidRPr="00EF7F33">
        <w:lastRenderedPageBreak/>
        <w:t>stoga stavke koje sadržavaju te manjke mogu neizravno odražavati učinak prijela</w:t>
      </w:r>
      <w:r w:rsidRPr="00EF7F33">
        <w:t>z</w:t>
      </w:r>
      <w:r w:rsidRPr="00EF7F33">
        <w:t>nih odredbi.</w:t>
      </w:r>
    </w:p>
    <w:p w:rsidR="005643EA" w:rsidRPr="00EF7F33" w:rsidRDefault="00125707" w:rsidP="00C37B29">
      <w:pPr>
        <w:pStyle w:val="InstructionsText2"/>
        <w:numPr>
          <w:ilvl w:val="0"/>
          <w:numId w:val="0"/>
        </w:numPr>
        <w:ind w:left="993"/>
      </w:pPr>
      <w:r w:rsidRPr="00EF7F33">
        <w:t>(c)</w:t>
      </w:r>
      <w:r w:rsidRPr="00EF7F33">
        <w:tab/>
        <w:t>Obrazac CA5 isključivo se upotrebljava za izvješćivanje o prijelaznim odre</w:t>
      </w:r>
      <w:r w:rsidRPr="00EF7F33">
        <w:t>d</w:t>
      </w:r>
      <w:r w:rsidRPr="00EF7F33">
        <w:t xml:space="preserve">bama. </w:t>
      </w:r>
    </w:p>
    <w:p w:rsidR="00783881" w:rsidRPr="00EF7F33" w:rsidRDefault="00125707" w:rsidP="00C37B29">
      <w:pPr>
        <w:pStyle w:val="InstructionsText2"/>
        <w:numPr>
          <w:ilvl w:val="0"/>
          <w:numId w:val="0"/>
        </w:numPr>
        <w:ind w:left="993"/>
      </w:pPr>
      <w:r w:rsidRPr="00EF7F33">
        <w:t>14.</w:t>
      </w:r>
      <w:r w:rsidRPr="00EF7F33">
        <w:tab/>
        <w:t>Tretman zahtjeva iz stupa II. može se razlikovati u Uniji (članak 104. stavak 2. CRD-a potrebno je prenijeti u nacionalno zakonodavstvo). Samo se utjecaj zahtjeva iz stupa II. na stopu solventnosti ili ciljnu stopu uključuje u izvješćivanje o solve</w:t>
      </w:r>
      <w:r w:rsidRPr="00EF7F33">
        <w:t>n</w:t>
      </w:r>
      <w:r w:rsidRPr="00EF7F33">
        <w:t xml:space="preserve">tnosti u okviru CRR-a. Detaljno izvješćivanje o zahtjevima iz stupa II. ne spada u obveze iz članka 99. CRR-a. </w:t>
      </w:r>
    </w:p>
    <w:p w:rsidR="005643EA" w:rsidRPr="00EF7F33" w:rsidRDefault="00125707" w:rsidP="00C37B29">
      <w:pPr>
        <w:pStyle w:val="InstructionsText2"/>
        <w:numPr>
          <w:ilvl w:val="0"/>
          <w:numId w:val="0"/>
        </w:numPr>
        <w:ind w:left="993"/>
      </w:pPr>
      <w:r w:rsidRPr="00EF7F33">
        <w:t>a)</w:t>
      </w:r>
      <w:r w:rsidRPr="00EF7F33">
        <w:tab/>
        <w:t>Obrasci CA1, CA2 ili CA5 sadržavaju samo podatke o pitanjima iz stupa II.</w:t>
      </w:r>
    </w:p>
    <w:p w:rsidR="005643EA" w:rsidRPr="00EF7F33" w:rsidRDefault="00125707" w:rsidP="00C37B29">
      <w:pPr>
        <w:pStyle w:val="InstructionsText2"/>
        <w:numPr>
          <w:ilvl w:val="0"/>
          <w:numId w:val="0"/>
        </w:numPr>
        <w:ind w:left="993"/>
      </w:pPr>
      <w:r w:rsidRPr="00EF7F33">
        <w:t>b)</w:t>
      </w:r>
      <w:r w:rsidRPr="00EF7F33">
        <w:tab/>
        <w:t>Obrazac CA3 sadržava utjecaj dodatnih zahtjeva iz stupa II. na stopu solve</w:t>
      </w:r>
      <w:r w:rsidRPr="00EF7F33">
        <w:t>n</w:t>
      </w:r>
      <w:r w:rsidRPr="00EF7F33">
        <w:t xml:space="preserve">tnosti na agregiranoj osnovi. Jedna je skupina usmjerena na utjecaj iznosa na stope, dok je druga usmjerena na samu stopu. Te dvije skupine stopa nisu na drugi način povezane s obrascima CA1, CA2 ili CA5. </w:t>
      </w:r>
    </w:p>
    <w:p w:rsidR="005643EA" w:rsidRPr="00EF7F33" w:rsidRDefault="00125707" w:rsidP="00C37B29">
      <w:pPr>
        <w:pStyle w:val="InstructionsText2"/>
        <w:numPr>
          <w:ilvl w:val="0"/>
          <w:numId w:val="0"/>
        </w:numPr>
        <w:ind w:left="993"/>
      </w:pPr>
      <w:r w:rsidRPr="00EF7F33">
        <w:t>c)</w:t>
      </w:r>
      <w:r w:rsidRPr="00EF7F33">
        <w:tab/>
        <w:t>Obrazac CA4 sadržava jednu rubriku o dodatnim kapitalnim zahtjevima koji se odnose na stup II. Ta rubrika nije povezana pravilima validacije sa stopama kapitala iz obrasca CA3 i odražava članak 104. stavak 2. CRD-a u kojem se izričito navode dodatni kapitalni zahtjevi kao jedna mogućnost za odluke u okviru stupa II.</w:t>
      </w: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523998100"/>
      <w:bookmarkStart w:id="44" w:name="_Toc308175820"/>
      <w:bookmarkStart w:id="45" w:name="_Toc360188325"/>
      <w:r w:rsidRPr="00EF7F33">
        <w:rPr>
          <w:rFonts w:ascii="Times New Roman" w:hAnsi="Times New Roman"/>
          <w:sz w:val="24"/>
          <w:u w:val="none"/>
        </w:rPr>
        <w:t>1.2.</w:t>
      </w:r>
      <w:r w:rsidRPr="00EF7F33">
        <w:tab/>
      </w:r>
      <w:r w:rsidRPr="00EF7F33">
        <w:rPr>
          <w:rFonts w:ascii="Times New Roman" w:hAnsi="Times New Roman"/>
          <w:sz w:val="24"/>
        </w:rPr>
        <w:t>C 01.00 – REGULATORNI KAPITAL (CA1)</w:t>
      </w:r>
      <w:bookmarkEnd w:id="41"/>
      <w:bookmarkEnd w:id="42"/>
      <w:bookmarkEnd w:id="43"/>
      <w:r w:rsidRPr="00EF7F33">
        <w:rPr>
          <w:rFonts w:ascii="Times New Roman" w:hAnsi="Times New Roman"/>
          <w:sz w:val="24"/>
        </w:rPr>
        <w:t xml:space="preserve"> </w:t>
      </w:r>
      <w:bookmarkEnd w:id="44"/>
      <w:bookmarkEnd w:id="45"/>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3998101"/>
      <w:r w:rsidRPr="00EF7F33">
        <w:rPr>
          <w:rFonts w:ascii="Times New Roman" w:hAnsi="Times New Roman"/>
          <w:sz w:val="24"/>
          <w:u w:val="none"/>
        </w:rPr>
        <w:t>1.2.1.</w:t>
      </w:r>
      <w:r w:rsidRPr="00EF7F33">
        <w:tab/>
      </w:r>
      <w:r w:rsidRPr="00EF7F33">
        <w:rPr>
          <w:rFonts w:ascii="Times New Roman" w:hAnsi="Times New Roman"/>
          <w:sz w:val="24"/>
        </w:rPr>
        <w:t>Upute za specifične pozicije</w:t>
      </w:r>
      <w:bookmarkEnd w:id="46"/>
      <w:bookmarkEnd w:id="47"/>
      <w:bookmarkEnd w:id="48"/>
      <w:bookmarkEnd w:id="49"/>
      <w:bookmarkEnd w:id="50"/>
      <w:bookmarkEnd w:id="51"/>
    </w:p>
    <w:p w:rsidR="002648B0" w:rsidRPr="00EF7F33"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F7F33" w:rsidTr="00672D2A">
        <w:tc>
          <w:tcPr>
            <w:tcW w:w="1129" w:type="dxa"/>
            <w:shd w:val="clear" w:color="auto" w:fill="D9D9D9"/>
          </w:tcPr>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Redak</w:t>
            </w:r>
          </w:p>
        </w:tc>
        <w:tc>
          <w:tcPr>
            <w:tcW w:w="7620" w:type="dxa"/>
            <w:shd w:val="clear" w:color="auto" w:fill="D9D9D9"/>
          </w:tcPr>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Pravna osnova i upute</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010</w:t>
            </w:r>
          </w:p>
        </w:tc>
        <w:tc>
          <w:tcPr>
            <w:tcW w:w="7620" w:type="dxa"/>
          </w:tcPr>
          <w:p w:rsidR="00D7242F" w:rsidRPr="00EF7F33" w:rsidRDefault="00C66473"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Regulatorni kapital</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118. i članak 72. CRR-a</w:t>
            </w:r>
          </w:p>
          <w:p w:rsidR="005643EA" w:rsidRPr="00EF7F33" w:rsidRDefault="002648B0" w:rsidP="00FD239F">
            <w:pPr>
              <w:pStyle w:val="InstructionsText"/>
              <w:rPr>
                <w:rStyle w:val="InstructionsTabelleberschrift"/>
                <w:rFonts w:ascii="Times New Roman" w:hAnsi="Times New Roman"/>
                <w:sz w:val="24"/>
              </w:rPr>
            </w:pPr>
            <w:r w:rsidRPr="00EF7F33">
              <w:rPr>
                <w:rStyle w:val="FormatvorlageInstructionsTabelleText"/>
                <w:rFonts w:ascii="Times New Roman" w:hAnsi="Times New Roman"/>
                <w:sz w:val="24"/>
              </w:rPr>
              <w:t>Regulatorni kapital institucije sastoji se od zbroja osnovnog kapitala i d</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punskog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015</w:t>
            </w:r>
          </w:p>
        </w:tc>
        <w:tc>
          <w:tcPr>
            <w:tcW w:w="7620" w:type="dxa"/>
          </w:tcPr>
          <w:p w:rsidR="005643EA" w:rsidRPr="00EF7F33" w:rsidRDefault="0066699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w:t>
            </w:r>
            <w:r w:rsidRPr="00EF7F33">
              <w:tab/>
            </w:r>
            <w:r w:rsidRPr="00EF7F33">
              <w:rPr>
                <w:rStyle w:val="InstructionsTabelleberschrift"/>
                <w:rFonts w:ascii="Times New Roman" w:hAnsi="Times New Roman"/>
                <w:sz w:val="24"/>
              </w:rPr>
              <w:t>Osnovni kapital</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25. CRR-a</w:t>
            </w:r>
          </w:p>
          <w:p w:rsidR="005643EA" w:rsidRPr="00EF7F33" w:rsidRDefault="00666996" w:rsidP="00FD239F">
            <w:pPr>
              <w:pStyle w:val="InstructionsText"/>
              <w:rPr>
                <w:rStyle w:val="InstructionsTabelleberschrift"/>
                <w:rFonts w:ascii="Times New Roman" w:hAnsi="Times New Roman"/>
                <w:sz w:val="24"/>
              </w:rPr>
            </w:pPr>
            <w:r w:rsidRPr="00EF7F33">
              <w:rPr>
                <w:rStyle w:val="FormatvorlageInstructionsTabelleText"/>
                <w:rFonts w:ascii="Times New Roman" w:hAnsi="Times New Roman"/>
                <w:sz w:val="24"/>
              </w:rPr>
              <w:t xml:space="preserve">Osnovni kapital zbroj je redovnog osnovnog kapitala i dodatnog osnovnog kapitala. </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020</w:t>
            </w:r>
          </w:p>
        </w:tc>
        <w:tc>
          <w:tcPr>
            <w:tcW w:w="7620" w:type="dxa"/>
          </w:tcPr>
          <w:p w:rsidR="005643EA" w:rsidRPr="00EF7F33" w:rsidRDefault="0066699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w:t>
            </w:r>
            <w:r w:rsidRPr="00EF7F33">
              <w:tab/>
            </w:r>
            <w:r w:rsidRPr="00EF7F33">
              <w:rPr>
                <w:rStyle w:val="InstructionsTabelleberschrift"/>
                <w:rFonts w:ascii="Times New Roman" w:hAnsi="Times New Roman"/>
                <w:sz w:val="24"/>
              </w:rPr>
              <w:t>Redovni osnovni kapital</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50.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030</w:t>
            </w:r>
          </w:p>
        </w:tc>
        <w:tc>
          <w:tcPr>
            <w:tcW w:w="7620" w:type="dxa"/>
          </w:tcPr>
          <w:p w:rsidR="005643EA" w:rsidRPr="00EF7F33" w:rsidRDefault="000120E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w:t>
            </w:r>
            <w:r w:rsidRPr="00EF7F33">
              <w:tab/>
            </w:r>
            <w:r w:rsidRPr="00EF7F33">
              <w:rPr>
                <w:rStyle w:val="InstructionsTabelleberschrift"/>
                <w:rFonts w:ascii="Times New Roman" w:hAnsi="Times New Roman"/>
                <w:sz w:val="24"/>
              </w:rPr>
              <w:t>Instrumenti kapitala koji se priznaju kao redovni osnovni kapital</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26. stavak 1. točke (a) i (b), članci od 27. do 30., članak 36. stavak 1. točka (f) i članak 42.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040</w:t>
            </w:r>
          </w:p>
        </w:tc>
        <w:tc>
          <w:tcPr>
            <w:tcW w:w="7620" w:type="dxa"/>
          </w:tcPr>
          <w:p w:rsidR="005643EA" w:rsidRPr="00EF7F33" w:rsidRDefault="0066699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1.1.1.1.1</w:t>
            </w:r>
            <w:r w:rsidRPr="00EF7F33">
              <w:tab/>
            </w:r>
            <w:r w:rsidRPr="00EF7F33">
              <w:rPr>
                <w:rStyle w:val="InstructionsTabelleberschrift"/>
                <w:rFonts w:ascii="Times New Roman" w:hAnsi="Times New Roman"/>
                <w:sz w:val="24"/>
              </w:rPr>
              <w:t>Plaćeni instrumenti kapitala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26. stavak 1. točka (a) i članci od 27. do 31. CRR-a</w:t>
            </w:r>
          </w:p>
          <w:p w:rsidR="00FE3BD8" w:rsidRPr="00EF7F33" w:rsidRDefault="00543DBD"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Uključuju se instrumenti kapitala uzajamnih institucija, zadruga ili sličnih institucija (članci 27. i 29. CRR-a).</w:t>
            </w:r>
          </w:p>
          <w:p w:rsidR="00FE3BD8"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Ne uključuje se premija na dionice povezana s instrumentima.</w:t>
            </w:r>
          </w:p>
          <w:p w:rsidR="005643EA" w:rsidRPr="00EF7F33" w:rsidRDefault="00543DBD"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Instrumenti kapitala koje upisuju tijela javne vlasti u izvanrednim situacij</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ma uključuju se ako su ispunjeni svi uvjeti iz članka 31. CRR-a.</w:t>
            </w:r>
          </w:p>
        </w:tc>
      </w:tr>
      <w:tr w:rsidR="00216D67" w:rsidRPr="00EF7F33" w:rsidTr="00672D2A">
        <w:tc>
          <w:tcPr>
            <w:tcW w:w="1129" w:type="dxa"/>
          </w:tcPr>
          <w:p w:rsidR="00216D67" w:rsidRPr="00EF7F33" w:rsidRDefault="00216D67"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045</w:t>
            </w:r>
          </w:p>
        </w:tc>
        <w:tc>
          <w:tcPr>
            <w:tcW w:w="7620" w:type="dxa"/>
          </w:tcPr>
          <w:p w:rsidR="00216D67" w:rsidRPr="00EF7F33" w:rsidRDefault="00DD2C1E"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1.1.1.1.1*</w:t>
            </w:r>
            <w:r w:rsidRPr="00EF7F33">
              <w:tab/>
            </w:r>
            <w:r w:rsidRPr="00EF7F33">
              <w:rPr>
                <w:rStyle w:val="InstructionsTabelleberschrift"/>
                <w:rFonts w:ascii="Times New Roman" w:hAnsi="Times New Roman"/>
                <w:sz w:val="24"/>
              </w:rPr>
              <w:t>Od čega: Instrumenti kapitala koje upisuju tijela javne vlasti u izvanrednim situacijama</w:t>
            </w:r>
          </w:p>
          <w:p w:rsidR="00216D67" w:rsidRPr="00EF7F33" w:rsidRDefault="00216D67"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31. CRR-a</w:t>
            </w:r>
          </w:p>
          <w:p w:rsidR="00216D67" w:rsidRPr="00EF7F33" w:rsidRDefault="00216D67"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b w:val="0"/>
                <w:sz w:val="24"/>
                <w:u w:val="none"/>
              </w:rPr>
              <w:t>Instrumenti kapitala koje upisuju tijela javne vlasti u izvanrednim situacij</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ma uključuju se u redovni osnovni kapital ako su ispunjeni svi uvjeti iz članka 31.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050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1.1.1.1.2*</w:t>
            </w:r>
            <w:r w:rsidRPr="00EF7F33">
              <w:tab/>
            </w:r>
            <w:r w:rsidRPr="00EF7F33">
              <w:rPr>
                <w:rStyle w:val="InstructionsTabelleberschrift"/>
                <w:rFonts w:ascii="Times New Roman" w:hAnsi="Times New Roman"/>
                <w:sz w:val="24"/>
              </w:rPr>
              <w:t>Bilješka: Instrumenti kapitala koji se ne priznaju</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28. stavak 1. točke (b), (l) i (m)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Uvjeti u tim točkama odražavaju različite pozicije kapitala koje su reverz</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bilne i stoga se iznos koji se ovdje iskazuje može priznati u naknadnim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dobljima.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premiju na dionice povezanu s instrumentima.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060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1.1.1.1.3</w:t>
            </w:r>
            <w:r w:rsidRPr="00EF7F33">
              <w:tab/>
            </w:r>
            <w:r w:rsidRPr="00EF7F33">
              <w:rPr>
                <w:rStyle w:val="InstructionsTabelleberschrift"/>
                <w:rFonts w:ascii="Times New Roman" w:hAnsi="Times New Roman"/>
                <w:sz w:val="24"/>
              </w:rPr>
              <w:t>Premija na dionice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124., članak 26. stavak 1. točka (b)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Premija na dionice ima isto značenje kao i u primjenjivom računovodstv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 xml:space="preserve">nom standardu. </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Iznos koji je potrebno iskazati u ovoj stavci dio je koji se odnosi na „plaćene instrumente kapitala”. </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070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w:t>
            </w:r>
            <w:r w:rsidRPr="00EF7F33">
              <w:tab/>
            </w:r>
            <w:r w:rsidRPr="00EF7F33">
              <w:rPr>
                <w:rStyle w:val="InstructionsTabelleberschrift"/>
                <w:rFonts w:ascii="Times New Roman" w:hAnsi="Times New Roman"/>
                <w:sz w:val="24"/>
              </w:rPr>
              <w:t>(–) Vlastiti instrumenti redovnog osnovnog kapitala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(f) i članak 42.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Vlastiti instrumenti redovnog osnovnog kapitala koje drži institucija ili gr</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pa koja izvješćuje na izvještajni datum. Podložno iznimkama iz članka 42.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 ovom se retku ne iskazuju ulaganja u dionice uključena kao „instrumenti kapitala koji se ne priznaju”.</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uključuje premiju na dionice povezanu s vla</w:t>
            </w:r>
            <w:r w:rsidRPr="00EF7F33">
              <w:rPr>
                <w:rStyle w:val="FormatvorlageInstructionsTabelleText"/>
                <w:rFonts w:ascii="Times New Roman" w:hAnsi="Times New Roman"/>
                <w:sz w:val="24"/>
              </w:rPr>
              <w:t>s</w:t>
            </w:r>
            <w:r w:rsidRPr="00EF7F33">
              <w:rPr>
                <w:rStyle w:val="FormatvorlageInstructionsTabelleText"/>
                <w:rFonts w:ascii="Times New Roman" w:hAnsi="Times New Roman"/>
                <w:sz w:val="24"/>
              </w:rPr>
              <w:t>titim dionicama.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Stavke od 1.1.1.1.4 do 1.1.1.1.4.3 ne uključuju stvarne ili potencijalne obv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ze kupnje vlastitih instrumenata redovnog osnovnog kapitala. Stvarne ili p</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tencijalne obveze kupnje vlastitih instrumenata redovnog osnovnog kapitala iskazuju se zasebno u stavci 1.1.1.1.5.</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080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1.1.1.1.4.1</w:t>
            </w:r>
            <w:r w:rsidRPr="00EF7F33">
              <w:tab/>
            </w:r>
            <w:r w:rsidRPr="00EF7F33">
              <w:rPr>
                <w:rStyle w:val="InstructionsTabelleberschrift"/>
                <w:rFonts w:ascii="Times New Roman" w:hAnsi="Times New Roman"/>
                <w:sz w:val="24"/>
              </w:rPr>
              <w:t>(–) Izravna ulaganja u instrumente redovnog osnovnog kapitala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(f) i članak 42.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 xml:space="preserve">Instrumenti redovnog osnovnog kapitala koji su uključeni u stavku 1.1.1.1 i koje drže institucije konsolidirane grupe. </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uključuje ulaganja u knjizi trgovanja izrač</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nana na temelju neto duge pozicije, kako je navedeno u članku 42. točki (a)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090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1.1.1.1.4.2</w:t>
            </w:r>
            <w:r w:rsidRPr="00EF7F33">
              <w:tab/>
            </w:r>
            <w:r w:rsidRPr="00EF7F33">
              <w:rPr>
                <w:rStyle w:val="InstructionsTabelleberschrift"/>
                <w:rFonts w:ascii="Times New Roman" w:hAnsi="Times New Roman"/>
                <w:sz w:val="24"/>
              </w:rPr>
              <w:t>(–) Neizravna ulaganja u instrumente redovnog osnovnog kapitala</w:t>
            </w:r>
          </w:p>
          <w:p w:rsidR="005643EA" w:rsidRPr="00EF7F33" w:rsidRDefault="0080525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114., članak 36. stavak 1. točka (f) i članak 42.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091</w:t>
            </w:r>
          </w:p>
          <w:p w:rsidR="005643EA" w:rsidRPr="00EF7F33" w:rsidRDefault="005643EA" w:rsidP="00FD239F">
            <w:pPr>
              <w:pStyle w:val="InstructionsText"/>
              <w:rPr>
                <w:rStyle w:val="FormatvorlageInstructionsTabelleText"/>
                <w:rFonts w:ascii="Times New Roman" w:hAnsi="Times New Roman"/>
                <w:sz w:val="24"/>
              </w:rPr>
            </w:pP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1.1.1.1.4.3</w:t>
            </w:r>
            <w:r w:rsidRPr="00EF7F33">
              <w:tab/>
            </w:r>
            <w:r w:rsidRPr="00EF7F33">
              <w:rPr>
                <w:rStyle w:val="InstructionsTabelleberschrift"/>
                <w:rFonts w:ascii="Times New Roman" w:hAnsi="Times New Roman"/>
                <w:sz w:val="24"/>
              </w:rPr>
              <w:t>(–) Sintetska ulaganja u instrumente redovnog osnovnog kapitala</w:t>
            </w:r>
          </w:p>
          <w:p w:rsidR="005643EA" w:rsidRPr="00EF7F33" w:rsidRDefault="00805255"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Članak 4. stavak 1. točka 126., članak 36. stavak 1. točka (f) i članak 42.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092</w:t>
            </w:r>
          </w:p>
        </w:tc>
        <w:tc>
          <w:tcPr>
            <w:tcW w:w="7620" w:type="dxa"/>
          </w:tcPr>
          <w:p w:rsidR="005643EA" w:rsidRPr="00EF7F33" w:rsidRDefault="0066699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1.1.1.1.5</w:t>
            </w:r>
            <w:r w:rsidRPr="00EF7F33">
              <w:tab/>
            </w:r>
            <w:r w:rsidRPr="00EF7F33">
              <w:rPr>
                <w:rStyle w:val="InstructionsTabelleberschrift"/>
                <w:rFonts w:ascii="Times New Roman" w:hAnsi="Times New Roman"/>
                <w:sz w:val="24"/>
              </w:rPr>
              <w:t>(–) Stvarne ili potencijalne obveze kupnje vlastitih i</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strumenata redovnog osnovnog kapitala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(f) i članak 42. CRR-a</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t>U skladu s člankom 36. stavkom 1. točkom (f) CRR-a odbijaju se „vlastiti instrumenti redovnog osnovnog kapitala za koje institucija ima stvarnu ili potencijalnu obvezu kupnje na temelju postojeće ugovorne obveze”.</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130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w:t>
            </w:r>
            <w:r w:rsidRPr="00EF7F33">
              <w:tab/>
            </w:r>
            <w:r w:rsidRPr="00EF7F33">
              <w:rPr>
                <w:rStyle w:val="InstructionsTabelleberschrift"/>
                <w:rFonts w:ascii="Times New Roman" w:hAnsi="Times New Roman"/>
                <w:sz w:val="24"/>
              </w:rPr>
              <w:t>Zadržana dobit</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26. stavak 1. točka (c) i članak 26. stavak 2.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Zadržana dobit uključuje zadržanu dobit prethodne godine uvećanu za pri</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natu dobit tekuće godine ostvarenu tijekom poslovne godine ili dobit tekuće godine ostvarenu na kraju poslovne godine.</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140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1.1.1.2.1</w:t>
            </w:r>
            <w:r w:rsidRPr="00EF7F33">
              <w:tab/>
            </w:r>
            <w:r w:rsidRPr="00EF7F33">
              <w:rPr>
                <w:rStyle w:val="InstructionsTabelleberschrift"/>
                <w:rFonts w:ascii="Times New Roman" w:hAnsi="Times New Roman"/>
                <w:sz w:val="24"/>
              </w:rPr>
              <w:t>Zadržana dobit iz proteklih godina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123. i članak 26. stavak 1. točka (c)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Člankom 4. stavkom 1. točkom 123. CRR-a zadržana dobit definirana je kao „prenesena dobit i gubitak koji proizlaze iz dobiti ili gubitka iz proteklih g</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dina, u skladu s primjenjivim računovodstvenim okvirom”.</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150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1.1.1.2.2</w:t>
            </w:r>
            <w:r w:rsidRPr="00EF7F33">
              <w:tab/>
            </w:r>
            <w:r w:rsidRPr="00EF7F33">
              <w:rPr>
                <w:rStyle w:val="InstructionsTabelleberschrift"/>
                <w:rFonts w:ascii="Times New Roman" w:hAnsi="Times New Roman"/>
                <w:sz w:val="24"/>
              </w:rPr>
              <w:t>Priznata dobit ili gubitak</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121., članak 26. stavak 2. i članak 36. stavak 1. točka (a)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Člankom 26. stavkom 2. CRR-a dopušteno je uključiti dobit tekuće godine ostvarenu tijekom poslovne godine ili dobit tekuće godine ostvarenu na kr</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ju poslovne godine kao zadržanu dobit, uz prethodno odobrenje nadležnih t</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 xml:space="preserve">jela, ako su ispunjeni neki uvjeti. </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S druge strane, gubici se odbijaju od redovnog osnovnog kapitala, kako je navedeno u članku 36. stavku 1. točki (a) CRR-a.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160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1.1.1.2.2.1</w:t>
            </w:r>
            <w:r w:rsidRPr="00EF7F33">
              <w:tab/>
            </w:r>
            <w:r w:rsidRPr="00EF7F33">
              <w:rPr>
                <w:rStyle w:val="InstructionsTabelleberschrift"/>
                <w:rFonts w:ascii="Times New Roman" w:hAnsi="Times New Roman"/>
                <w:sz w:val="24"/>
              </w:rPr>
              <w:t>Dobit ili gubitak koji pripadaju vlasnicima matičnog dr</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štva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26. stavak 2. i članak 36. stavak 1. točka (a)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Iznos koji je potrebno iskazati dobit je ili gubitak iskazan u računovodstv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nom računu dobiti i gubitka.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170</w:t>
            </w:r>
          </w:p>
        </w:tc>
        <w:tc>
          <w:tcPr>
            <w:tcW w:w="7620" w:type="dxa"/>
          </w:tcPr>
          <w:p w:rsidR="005643EA" w:rsidRPr="00EF7F33" w:rsidRDefault="0066699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1.1.1.2.2.2</w:t>
            </w:r>
            <w:r w:rsidRPr="00EF7F33">
              <w:tab/>
            </w:r>
            <w:r w:rsidRPr="00EF7F33">
              <w:rPr>
                <w:rStyle w:val="InstructionsTabelleberschrift"/>
                <w:rFonts w:ascii="Times New Roman" w:hAnsi="Times New Roman"/>
                <w:sz w:val="24"/>
              </w:rPr>
              <w:t>(–) Dio dobiti tekuće godine ostvarene tijekom poslovne godine ili dobiti tekuće godine ostvarene na kraju poslovne godine koji nije priznat</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26. stavak 2.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 ovom se retku ne iskazuje nikakva vrijednost ako je u referentnom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doblju institucija zabilježila gubitke. Razlog tome jest potpuni odbitak gub</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taka od redovnog osnovnog kapitala.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Ako institucija bilježi dobit, iskazuje se dio koji nije priznat u skladu s čla</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kom 26. stavkom 2. CRR-a (tj. nerevidirana dobit i predvidivi troškovi ili dividende).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Potrebno je napomenuti da su u slučaju dobiti iznos koji je potrebno odbiti barem dividende tijekom poslovne godine.</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180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1.1.1.3</w:t>
            </w:r>
            <w:r w:rsidRPr="00EF7F33">
              <w:tab/>
            </w:r>
            <w:r w:rsidRPr="00EF7F33">
              <w:rPr>
                <w:rStyle w:val="InstructionsTabelleberschrift"/>
                <w:rFonts w:ascii="Times New Roman" w:hAnsi="Times New Roman"/>
                <w:sz w:val="24"/>
              </w:rPr>
              <w:t>Akumulirana ostala sveobuhvatna dobit</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100. i članak 26. stavak 1. točka (d)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Iznos koji je potrebno iskazati ne uključuje porezne troškove predvidive u trenutku izračuna i prije primjene bonitetnih filtara. Iznos koji je potrebno iskazati utvrđuje se u skladu s člankom 13. stavkom 4. Delegirane uredbe Komisije (EU) br. 241/2014. </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200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1.1.1.4</w:t>
            </w:r>
            <w:r w:rsidRPr="00EF7F33">
              <w:tab/>
            </w:r>
            <w:r w:rsidRPr="00EF7F33">
              <w:rPr>
                <w:rStyle w:val="InstructionsTabelleberschrift"/>
                <w:rFonts w:ascii="Times New Roman" w:hAnsi="Times New Roman"/>
                <w:sz w:val="24"/>
              </w:rPr>
              <w:t>Ostale rezerve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117. i članak 26. stavak 1. točka (e)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Ostale rezerve definirane su u CRR-u kao „rezerve u smislu primjenjivog računovodstvenog okvira koje se moraju objaviti u skladu s primjenjivim r</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čunovodstvenim standardom, isključujući iznose koji su već uključeni u akumuliranu ostalu sveobuhvatnu dobit ili zadržanu dobit”.</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porezne troškove predvidive u trenutku izračuna.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210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1.1.1.5</w:t>
            </w:r>
            <w:r w:rsidRPr="00EF7F33">
              <w:tab/>
            </w:r>
            <w:r w:rsidRPr="00EF7F33">
              <w:rPr>
                <w:rStyle w:val="InstructionsTabelleberschrift"/>
                <w:rFonts w:ascii="Times New Roman" w:hAnsi="Times New Roman"/>
                <w:sz w:val="24"/>
              </w:rPr>
              <w:t>Rezerve za opće bankovne rizike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112. i članak 26. stavak 1. točka (f)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Rezerve za opće bankovne rizike definirane su u članku 38. Direktive 86/635/EEZ kao „iznosi koje kreditna institucija odluči odvojiti za pokriv</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nje rizika, tamo gdje to nalažu određeni rizici vezani uz bankarstvo”.</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porezne troškove predvidive u trenutku izračuna.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220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1.1.1.6</w:t>
            </w:r>
            <w:r w:rsidRPr="00EF7F33">
              <w:tab/>
            </w:r>
            <w:r w:rsidRPr="00EF7F33">
              <w:rPr>
                <w:rStyle w:val="InstructionsTabelleberschrift"/>
                <w:rFonts w:ascii="Times New Roman" w:hAnsi="Times New Roman"/>
                <w:sz w:val="24"/>
              </w:rPr>
              <w:t>Prijelazna usklađenja na temelju instrumenata redovnog osno</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nog kapitala koji se nastavljaju priznavati</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483. stavci od 1. do 3. i članak 487.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instrumenata kapitala koji se nastavljaju priznavati u prijelaznom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doblju kao redovni osnovni kapital. Iznos koji je potrebno iskazati dobiva se izravno iz CA5.</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230</w:t>
            </w:r>
          </w:p>
        </w:tc>
        <w:tc>
          <w:tcPr>
            <w:tcW w:w="7620" w:type="dxa"/>
          </w:tcPr>
          <w:p w:rsidR="005643EA" w:rsidRPr="00EF7F33" w:rsidRDefault="00666996"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1.1.1.7</w:t>
            </w:r>
            <w:r w:rsidRPr="00EF7F33">
              <w:tab/>
            </w:r>
            <w:r w:rsidRPr="00EF7F33">
              <w:rPr>
                <w:rStyle w:val="InstructionsTabelleberschrift"/>
                <w:rFonts w:ascii="Times New Roman" w:hAnsi="Times New Roman"/>
                <w:sz w:val="24"/>
              </w:rPr>
              <w:t>Manjinski udjel priznat u redovnom osnovnom kapitalu</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točka 120. i članak 84.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Zbroj svih iznosa manjinskih udjela društava kćeri koji je uključen u kons</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lidirani redovni osnovni kapital.</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240</w:t>
            </w:r>
          </w:p>
        </w:tc>
        <w:tc>
          <w:tcPr>
            <w:tcW w:w="7620"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1.1.1.8</w:t>
            </w:r>
            <w:r w:rsidRPr="00EF7F33">
              <w:tab/>
            </w:r>
            <w:r w:rsidRPr="00EF7F33">
              <w:rPr>
                <w:rStyle w:val="InstructionsTabelleberschrift"/>
                <w:rFonts w:ascii="Times New Roman" w:hAnsi="Times New Roman"/>
                <w:sz w:val="24"/>
              </w:rPr>
              <w:t>Prijelazna usklađenja na temelju dodatnih manjinskih udjela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479. i 480.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manjinskih udjela zbog prijelaznih odredbi. Ova se stavka dob</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va izravno iz CA5.</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250</w:t>
            </w:r>
          </w:p>
        </w:tc>
        <w:tc>
          <w:tcPr>
            <w:tcW w:w="7620"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1.1.1.9</w:t>
            </w:r>
            <w:r w:rsidRPr="00EF7F33">
              <w:tab/>
            </w:r>
            <w:r w:rsidRPr="00EF7F33">
              <w:rPr>
                <w:rStyle w:val="InstructionsTabelleberschrift"/>
                <w:rFonts w:ascii="Times New Roman" w:hAnsi="Times New Roman"/>
                <w:sz w:val="24"/>
              </w:rPr>
              <w:t>Usklađenja redovnog osnovnog kapitala zbog bonitetnih filtara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Članci od 32. do 35. CRR-a </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260</w:t>
            </w:r>
          </w:p>
        </w:tc>
        <w:tc>
          <w:tcPr>
            <w:tcW w:w="7620"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1.1.1.9.1</w:t>
            </w:r>
            <w:r w:rsidRPr="00EF7F33">
              <w:tab/>
            </w:r>
            <w:r w:rsidRPr="00EF7F33">
              <w:rPr>
                <w:rStyle w:val="InstructionsTabelleberschrift"/>
                <w:rFonts w:ascii="Times New Roman" w:hAnsi="Times New Roman"/>
                <w:sz w:val="24"/>
              </w:rPr>
              <w:t>(–) Povećanja vlasničkog kapitala koja proizlaze iz sekur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tizirane imovine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32. stavak 1.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povećanje je kapitala institucije koje proizlazi iz sekuritizirane imovine u skladu s primjenjivim računovodstvenim sta</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dardom.</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Na primjer, ova stavka uključuje budući maržni prihod na temelju kojeg i</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stitucija ostvaruje dobitak od prodaje ili, za inicijatore, neto dobitke od kap</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taliziranog budućeg prihoda od sekuritizirane imovine koji pružaju kreditno poboljšanje sekuritizacijskim pozicijama.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270</w:t>
            </w:r>
          </w:p>
        </w:tc>
        <w:tc>
          <w:tcPr>
            <w:tcW w:w="7620"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1.1.1.9.2</w:t>
            </w:r>
            <w:r w:rsidRPr="00EF7F33">
              <w:tab/>
            </w:r>
            <w:r w:rsidRPr="00EF7F33">
              <w:rPr>
                <w:rStyle w:val="InstructionsTabelleberschrift"/>
                <w:rFonts w:ascii="Times New Roman" w:hAnsi="Times New Roman"/>
                <w:sz w:val="24"/>
              </w:rPr>
              <w:t>Rezerva na osnovi zaštite novčanog toka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33. stavak 1. točka (a)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može biti pozitivan ili negativan. Pozitivan je ako se zaštita novčanih tokova temelji na gubitku (tj. ako se njome smanjuje računovodstveni kapital) i obrnuto. Stoga je predznak suprotan predznaku koji se upotrebljava u računovodstvenim izvještajima.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ne uključuje porezne troškove predvidive u trenutku izračuna.</w:t>
            </w:r>
          </w:p>
        </w:tc>
      </w:tr>
      <w:tr w:rsidR="002648B0" w:rsidRPr="00EF7F33" w:rsidTr="00672D2A">
        <w:tc>
          <w:tcPr>
            <w:tcW w:w="1129"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280</w:t>
            </w:r>
          </w:p>
        </w:tc>
        <w:tc>
          <w:tcPr>
            <w:tcW w:w="7620"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1.1.1.9.3</w:t>
            </w:r>
            <w:r w:rsidRPr="00EF7F33">
              <w:tab/>
            </w:r>
            <w:r w:rsidRPr="00EF7F33">
              <w:rPr>
                <w:rStyle w:val="InstructionsTabelleberschrift"/>
                <w:rFonts w:ascii="Times New Roman" w:hAnsi="Times New Roman"/>
                <w:sz w:val="24"/>
              </w:rPr>
              <w:t>Kumulativni dobici i gubici po obvezama vrednovanima po fer vrijednosti zbog promjena vlastitog kreditnog rizika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33. stavak 1. točka (b) CRR-a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može biti pozitivan ili negativan. Pozitivan je ako postoji gubitak nastao zbog promjena vlastitog kreditnog rizika (tj. ako se njime smanjuje računovodstveni kapital) i obrnuto. Stoga je predznak s</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protan predznaku koji se upotrebljava u računovodstvenim izvještajima.</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Nerevidirana dobit ne uključuje se u ovu stavku.</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285</w:t>
            </w:r>
          </w:p>
        </w:tc>
        <w:tc>
          <w:tcPr>
            <w:tcW w:w="7620" w:type="dxa"/>
          </w:tcPr>
          <w:p w:rsidR="005643EA" w:rsidRPr="00EF7F33" w:rsidRDefault="00855D5F"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1.1.1.9.4</w:t>
            </w:r>
            <w:r w:rsidRPr="00EF7F33">
              <w:tab/>
            </w:r>
            <w:r w:rsidRPr="00EF7F33">
              <w:rPr>
                <w:rStyle w:val="InstructionsTabelleberschrift"/>
                <w:rFonts w:ascii="Times New Roman" w:hAnsi="Times New Roman"/>
                <w:sz w:val="24"/>
              </w:rPr>
              <w:t>Dobici ili gubici nastali vrednovanjem po fer vrijednosti, koji proizlaze iz kreditnog rizika same institucije povezanog s obvezama po izvedenicama</w:t>
            </w:r>
          </w:p>
          <w:p w:rsidR="005643EA" w:rsidRPr="00EF7F33" w:rsidRDefault="00855D5F"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33. stavak 1. točka (c) i članak 33. stavak 2.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Iznos koji je potrebno iskazati može biti pozitivan ili negativan. Pozitivan je </w:t>
            </w:r>
            <w:r w:rsidRPr="00EF7F33">
              <w:rPr>
                <w:rStyle w:val="FormatvorlageInstructionsTabelleText"/>
                <w:rFonts w:ascii="Times New Roman" w:hAnsi="Times New Roman"/>
                <w:sz w:val="24"/>
              </w:rPr>
              <w:lastRenderedPageBreak/>
              <w:t>ako postoji gubitak nastao zbog promjena vlastitog kreditnog rizika i obrn</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to. Stoga je predznak suprotan predznaku koji se upotrebljava u računovo</w:t>
            </w:r>
            <w:r w:rsidRPr="00EF7F33">
              <w:rPr>
                <w:rStyle w:val="FormatvorlageInstructionsTabelleText"/>
                <w:rFonts w:ascii="Times New Roman" w:hAnsi="Times New Roman"/>
                <w:sz w:val="24"/>
              </w:rPr>
              <w:t>d</w:t>
            </w:r>
            <w:r w:rsidRPr="00EF7F33">
              <w:rPr>
                <w:rStyle w:val="FormatvorlageInstructionsTabelleText"/>
                <w:rFonts w:ascii="Times New Roman" w:hAnsi="Times New Roman"/>
                <w:sz w:val="24"/>
              </w:rPr>
              <w:t>stvenim izvještajima.</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Nerevidirana dobit ne uključuje se u ovu stavku.</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290</w:t>
            </w:r>
          </w:p>
        </w:tc>
        <w:tc>
          <w:tcPr>
            <w:tcW w:w="7620" w:type="dxa"/>
          </w:tcPr>
          <w:p w:rsidR="005643EA" w:rsidRPr="00EF7F33" w:rsidRDefault="00855D5F"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1.1.1.9.5</w:t>
            </w:r>
            <w:r w:rsidRPr="00EF7F33">
              <w:tab/>
            </w:r>
            <w:r w:rsidRPr="00EF7F33">
              <w:rPr>
                <w:rStyle w:val="InstructionsTabelleberschrift"/>
                <w:rFonts w:ascii="Times New Roman" w:hAnsi="Times New Roman"/>
                <w:sz w:val="24"/>
              </w:rPr>
              <w:t>(–) Vrijednosna usklađenja zbog zahtjeva za bonitetno vrednovanje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34. i 105.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po fer vrijednosti izloženosti uključena u knjigu trgovanja ili knjigu pozicija kojima se ne trguje zbog strožih standarda za bonitetno vre</w:t>
            </w:r>
            <w:r w:rsidRPr="00EF7F33">
              <w:rPr>
                <w:rStyle w:val="FormatvorlageInstructionsTabelleText"/>
                <w:rFonts w:ascii="Times New Roman" w:hAnsi="Times New Roman"/>
                <w:sz w:val="24"/>
              </w:rPr>
              <w:t>d</w:t>
            </w:r>
            <w:r w:rsidRPr="00EF7F33">
              <w:rPr>
                <w:rStyle w:val="FormatvorlageInstructionsTabelleText"/>
                <w:rFonts w:ascii="Times New Roman" w:hAnsi="Times New Roman"/>
                <w:sz w:val="24"/>
              </w:rPr>
              <w:t>novanje određenih u članku 105.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300</w:t>
            </w:r>
          </w:p>
        </w:tc>
        <w:tc>
          <w:tcPr>
            <w:tcW w:w="7620" w:type="dxa"/>
          </w:tcPr>
          <w:p w:rsidR="005643EA" w:rsidRPr="00EF7F33" w:rsidRDefault="00855D5F"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w:t>
            </w:r>
            <w:r w:rsidRPr="00EF7F33">
              <w:tab/>
            </w:r>
            <w:r w:rsidRPr="00EF7F33">
              <w:rPr>
                <w:rStyle w:val="InstructionsTabelleberschrift"/>
                <w:rFonts w:ascii="Times New Roman" w:hAnsi="Times New Roman"/>
                <w:sz w:val="24"/>
              </w:rPr>
              <w:t>(-) Goodwill</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113., članak 36. stavak 1. točka (b) i članak 37.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310</w:t>
            </w:r>
          </w:p>
        </w:tc>
        <w:tc>
          <w:tcPr>
            <w:tcW w:w="7620" w:type="dxa"/>
          </w:tcPr>
          <w:p w:rsidR="005643EA" w:rsidRPr="00EF7F33" w:rsidRDefault="00855D5F"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1.1.1.10.1</w:t>
            </w:r>
            <w:r w:rsidRPr="00EF7F33">
              <w:tab/>
            </w:r>
            <w:r w:rsidRPr="00EF7F33">
              <w:rPr>
                <w:rStyle w:val="InstructionsTabelleberschrift"/>
                <w:rFonts w:ascii="Times New Roman" w:hAnsi="Times New Roman"/>
                <w:sz w:val="24"/>
              </w:rPr>
              <w:t>(–) Goodwill koji se iskazuje kao nematerijalna imovina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113. i članak 36. stavak 1. točka (b)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Goodwill ima isto značenje kao i u primjenjivom računovodstvenom sta</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dardu.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ovdje potrebno iskazati jednak je iznosu iskazanom u bilanci.</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320</w:t>
            </w:r>
          </w:p>
        </w:tc>
        <w:tc>
          <w:tcPr>
            <w:tcW w:w="7620" w:type="dxa"/>
          </w:tcPr>
          <w:p w:rsidR="005643EA" w:rsidRPr="00EF7F33" w:rsidRDefault="00855D5F"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1.1.1.10.2</w:t>
            </w:r>
            <w:r w:rsidRPr="00EF7F33">
              <w:tab/>
            </w:r>
            <w:r w:rsidRPr="00EF7F33">
              <w:rPr>
                <w:rStyle w:val="InstructionsTabelleberschrift"/>
                <w:rFonts w:ascii="Times New Roman" w:hAnsi="Times New Roman"/>
                <w:sz w:val="24"/>
              </w:rPr>
              <w:t>(–) Goodwill uključen u vrednovanje značajnih ulaganja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37. točka (b) i članak 43.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330</w:t>
            </w:r>
          </w:p>
        </w:tc>
        <w:tc>
          <w:tcPr>
            <w:tcW w:w="7620" w:type="dxa"/>
          </w:tcPr>
          <w:p w:rsidR="005643EA" w:rsidRPr="00EF7F33" w:rsidRDefault="00AD70F1"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1.1.1.10.3</w:t>
            </w:r>
            <w:r w:rsidRPr="00EF7F33">
              <w:tab/>
            </w:r>
            <w:r w:rsidRPr="00EF7F33">
              <w:rPr>
                <w:rStyle w:val="InstructionsTabelleberschrift"/>
                <w:rFonts w:ascii="Times New Roman" w:hAnsi="Times New Roman"/>
                <w:sz w:val="24"/>
              </w:rPr>
              <w:t>Odgođene porezne obveze povezane s goodwillom</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37. točka (a)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odgođenih poreznih obveza koji bi mogao prestati postojati kad bi se goodwill umanjio ili prestao priznavati u skladu s primjenjivim računovo</w:t>
            </w:r>
            <w:r w:rsidRPr="00EF7F33">
              <w:rPr>
                <w:rStyle w:val="FormatvorlageInstructionsTabelleText"/>
                <w:rFonts w:ascii="Times New Roman" w:hAnsi="Times New Roman"/>
                <w:sz w:val="24"/>
              </w:rPr>
              <w:t>d</w:t>
            </w:r>
            <w:r w:rsidRPr="00EF7F33">
              <w:rPr>
                <w:rStyle w:val="FormatvorlageInstructionsTabelleText"/>
                <w:rFonts w:ascii="Times New Roman" w:hAnsi="Times New Roman"/>
                <w:sz w:val="24"/>
              </w:rPr>
              <w:t>stvenim standardom.</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340</w:t>
            </w:r>
          </w:p>
        </w:tc>
        <w:tc>
          <w:tcPr>
            <w:tcW w:w="7620" w:type="dxa"/>
          </w:tcPr>
          <w:p w:rsidR="005643EA" w:rsidRPr="00EF7F33" w:rsidRDefault="00AD70F1"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1.1.1.11</w:t>
            </w:r>
            <w:r w:rsidRPr="00EF7F33">
              <w:tab/>
            </w:r>
            <w:r w:rsidRPr="00EF7F33">
              <w:rPr>
                <w:rStyle w:val="InstructionsTabelleberschrift"/>
                <w:rFonts w:ascii="Times New Roman" w:hAnsi="Times New Roman"/>
                <w:sz w:val="24"/>
              </w:rPr>
              <w:t>(–) Ostala nematerijalna imovina</w:t>
            </w:r>
          </w:p>
          <w:p w:rsidR="009339C1"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115., članak 36. stavak 1. točka (b) i članak 37. točka (a) CRR-a</w:t>
            </w:r>
          </w:p>
          <w:p w:rsidR="005643EA" w:rsidRPr="00EF7F33" w:rsidRDefault="009339C1"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Ostala nematerijalna imovina nematerijalna je imovina u skladu s primjenj</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vim računovodstvenim standardom umanjena za goodwill, također izračun</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nim u skladu s primjenjivim računovodstvenim standardom.</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350</w:t>
            </w:r>
          </w:p>
        </w:tc>
        <w:tc>
          <w:tcPr>
            <w:tcW w:w="7620" w:type="dxa"/>
          </w:tcPr>
          <w:p w:rsidR="005643EA" w:rsidRPr="00EF7F33" w:rsidRDefault="00AD70F1"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1.1.1.11.1</w:t>
            </w:r>
            <w:r w:rsidRPr="00EF7F33">
              <w:tab/>
            </w:r>
            <w:r w:rsidRPr="00EF7F33">
              <w:rPr>
                <w:rStyle w:val="InstructionsTabelleberschrift"/>
                <w:rFonts w:ascii="Times New Roman" w:hAnsi="Times New Roman"/>
                <w:sz w:val="24"/>
              </w:rPr>
              <w:t>(–) Ostala nematerijalna imovina prije odbitka odgođenih poreznih obveza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115. i članak 36. stavak 1. točka (b)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Ostala nematerijalna imovina nematerijalna je imovina u skladu s primjenj</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vim računovodstvenim standardom umanjena za goodwill, također izračun</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nim u skladu s primjenjivim računovodstvenim standardom.</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odgovara iznosu iskazanom u bilanci nemat</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rijalne imovine osim goodwilla.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360</w:t>
            </w:r>
          </w:p>
        </w:tc>
        <w:tc>
          <w:tcPr>
            <w:tcW w:w="7620" w:type="dxa"/>
          </w:tcPr>
          <w:p w:rsidR="005643EA" w:rsidRPr="00EF7F33" w:rsidRDefault="00AD70F1"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1.1.1.11.2</w:t>
            </w:r>
            <w:r w:rsidRPr="00EF7F33">
              <w:tab/>
            </w:r>
            <w:r w:rsidRPr="00EF7F33">
              <w:rPr>
                <w:rStyle w:val="InstructionsTabelleberschrift"/>
                <w:rFonts w:ascii="Times New Roman" w:hAnsi="Times New Roman"/>
                <w:sz w:val="24"/>
              </w:rPr>
              <w:t>Odgođene porezne obveze povezane s ostalom nemater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jalnom imovinom</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37. točka (a)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odgođenih poreznih obveza koji bi mogao prestati postojati kad bi se nematerijalna imovina osim goodwilla umanjila ili prestala priznavati u skladu s primjenjivim računovodstvenim standardom.</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370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1.1.1.12</w:t>
            </w:r>
            <w:r w:rsidRPr="00EF7F33">
              <w:tab/>
            </w:r>
            <w:r w:rsidRPr="00EF7F33">
              <w:rPr>
                <w:rStyle w:val="InstructionsTabelleberschrift"/>
                <w:rFonts w:ascii="Times New Roman" w:hAnsi="Times New Roman"/>
                <w:sz w:val="24"/>
              </w:rPr>
              <w:t>(–) Odgođena porezna imovina koja ovisi o budućoj prof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tabilnosti i ne proizlazi iz privremenih razlika i ne uključuje povezane porezne obveze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(c) i članak 38.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380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1.1.1.13</w:t>
            </w:r>
            <w:r w:rsidRPr="00EF7F33">
              <w:tab/>
            </w:r>
            <w:r w:rsidRPr="00EF7F33">
              <w:rPr>
                <w:rStyle w:val="InstructionsTabelleberschrift"/>
                <w:rFonts w:ascii="Times New Roman" w:hAnsi="Times New Roman"/>
                <w:sz w:val="24"/>
              </w:rPr>
              <w:t>(-) Manjak ispravaka vrijednosti za kreditni rizik u odn</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su na očekivane gubitke primjenom IRB pristupa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(d), članak 40., članak 158. i članak 159.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umanjuje se za iznos povećanja odgođene porezne imovine koja ovisi o budućoj profitabilnosti ili za druge dodatne p</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rezne učinke do kojih bi moglo doći ako bi se rezervacije podigle na razinu očekivanih gubitaka (članak 40.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390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w:t>
            </w:r>
            <w:r w:rsidRPr="00EF7F33">
              <w:tab/>
            </w:r>
            <w:r w:rsidRPr="00EF7F33">
              <w:rPr>
                <w:rStyle w:val="InstructionsTabelleberschrift"/>
                <w:rFonts w:ascii="Times New Roman" w:hAnsi="Times New Roman"/>
                <w:sz w:val="24"/>
              </w:rPr>
              <w:t>(–) Imovina mirovinskog fonda pod pokroviteljstvom po</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lodavca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109., članak 36. stavak 1. točka (e) i članak 41.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400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1.1.1.14.1</w:t>
            </w:r>
            <w:r w:rsidRPr="00EF7F33">
              <w:tab/>
            </w:r>
            <w:r w:rsidRPr="00EF7F33">
              <w:rPr>
                <w:rStyle w:val="InstructionsTabelleberschrift"/>
                <w:rFonts w:ascii="Times New Roman" w:hAnsi="Times New Roman"/>
                <w:sz w:val="24"/>
              </w:rPr>
              <w:t>(–) Imovina mirovinskog fonda pod pokroviteljstvom po</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 xml:space="preserve">lodavca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109. i članak 36. stavak 1. točka (e)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Imovina mirovinskog fonda pod pokroviteljstvom poslodavca definirana je kao „imovina mirovinskog fonda ili plana, prema potrebi, koja je izračunana nakon što je od nje oduzet iznos obveza u okviru istog fonda ili plana”.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odgovara iznosu iskazanom u bilanci (ako je iskazan zasebno).</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410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1.1.1.14.2</w:t>
            </w:r>
            <w:r w:rsidRPr="00EF7F33">
              <w:tab/>
            </w:r>
            <w:r w:rsidRPr="00EF7F33">
              <w:rPr>
                <w:rStyle w:val="InstructionsTabelleberschrift"/>
                <w:rFonts w:ascii="Times New Roman" w:hAnsi="Times New Roman"/>
                <w:sz w:val="24"/>
              </w:rPr>
              <w:t>Odgođene porezne obveze povezane s imovinom mirovi</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skog fonda pod pokroviteljstvom poslodavca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točke 108. i 109. i članak 41. stavak 1. točka (a)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odgođenih poreznih obveza koji bi mogao prestati postojati kad bi se imovina mirovinskog fonda pod pokroviteljstvom poslodavca umanjila ili prestala priznavati u skladu s primjenjivim računovodstvenim standardom.</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420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1.1.1.14.3</w:t>
            </w:r>
            <w:r w:rsidRPr="00EF7F33">
              <w:tab/>
            </w:r>
            <w:r w:rsidRPr="00EF7F33">
              <w:rPr>
                <w:rStyle w:val="InstructionsTabelleberschrift"/>
                <w:rFonts w:ascii="Times New Roman" w:hAnsi="Times New Roman"/>
                <w:sz w:val="24"/>
              </w:rPr>
              <w:t>Imovina mirovinskog fonda pod pokroviteljstvom posl</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davca koju institucija ima neograničenu mogućnost koristiti</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109. i članak 41. stavak 1. točka (b)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Ovom se stavkom iskazuje iznos samo ako postoji prethodno odobrenje na</w:t>
            </w:r>
            <w:r w:rsidRPr="00EF7F33">
              <w:rPr>
                <w:rStyle w:val="FormatvorlageInstructionsTabelleText"/>
                <w:rFonts w:ascii="Times New Roman" w:hAnsi="Times New Roman"/>
                <w:sz w:val="24"/>
              </w:rPr>
              <w:t>d</w:t>
            </w:r>
            <w:r w:rsidRPr="00EF7F33">
              <w:rPr>
                <w:rStyle w:val="FormatvorlageInstructionsTabelleText"/>
                <w:rFonts w:ascii="Times New Roman" w:hAnsi="Times New Roman"/>
                <w:sz w:val="24"/>
              </w:rPr>
              <w:t>ležnog tijela za umanjenje iznosa imovine mirovinskog fonda pod pokrov</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teljstvom poslodavca koji se odbija.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Imovini uključenoj u ovaj redak dodjeljuje se ponder rizika za zahtjeve za kreditni rizik.</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430</w:t>
            </w:r>
          </w:p>
        </w:tc>
        <w:tc>
          <w:tcPr>
            <w:tcW w:w="7620" w:type="dxa"/>
          </w:tcPr>
          <w:p w:rsidR="005643EA" w:rsidRPr="00EF7F33" w:rsidRDefault="00F9591C"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1.1.1.15</w:t>
            </w:r>
            <w:r w:rsidRPr="00EF7F33">
              <w:tab/>
            </w:r>
            <w:r w:rsidRPr="00EF7F33">
              <w:rPr>
                <w:rStyle w:val="InstructionsTabelleberschrift"/>
                <w:rFonts w:ascii="Times New Roman" w:hAnsi="Times New Roman"/>
                <w:sz w:val="24"/>
              </w:rPr>
              <w:t>(–) Recipročna međusobna ulaganja u redovni osnovni kapital</w:t>
            </w:r>
          </w:p>
          <w:p w:rsidR="005643EA" w:rsidRPr="00EF7F33" w:rsidRDefault="0080525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122., članak 36. stavak 1. točka (g) i članak 44.</w:t>
            </w:r>
          </w:p>
          <w:p w:rsidR="007E39E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CRR-a Ulaganja u instrumente redovnog osnovnog kapitala koje izdaju su</w:t>
            </w:r>
            <w:r w:rsidRPr="00EF7F33">
              <w:rPr>
                <w:rStyle w:val="FormatvorlageInstructionsTabelleText"/>
                <w:rFonts w:ascii="Times New Roman" w:hAnsi="Times New Roman"/>
                <w:sz w:val="24"/>
              </w:rPr>
              <w:t>b</w:t>
            </w:r>
            <w:r w:rsidRPr="00EF7F33">
              <w:rPr>
                <w:rStyle w:val="FormatvorlageInstructionsTabelleText"/>
                <w:rFonts w:ascii="Times New Roman" w:hAnsi="Times New Roman"/>
                <w:sz w:val="24"/>
              </w:rPr>
              <w:t>jekti financijskog sektora (kako su definirani u članku 4. točki 27. CRR-a) ako postoji recipročno međusobno ulaganje za koje nadležno tijelo smatra da mu je cilj umjetno povećati regulatorni kapital institucije.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izračunava se na osnovi bruto dugih pozicija i uključuje stavke osigurateljnog osnovnog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440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1.1.1.16</w:t>
            </w:r>
            <w:r w:rsidRPr="00EF7F33">
              <w:tab/>
            </w:r>
            <w:r w:rsidRPr="00EF7F33">
              <w:rPr>
                <w:rStyle w:val="InstructionsTabelleberschrift"/>
                <w:rFonts w:ascii="Times New Roman" w:hAnsi="Times New Roman"/>
                <w:sz w:val="24"/>
              </w:rPr>
              <w:t xml:space="preserve">(–) Odbitak od stavki dodatnog osnovnog kapitala koji premašuje dodatni osnovni kapital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(j)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izravno se uzima iz obrasca CA 1 stavke „Odbitak od stavki dodatnog osnovnog kapitala koji premašuje dodatni o</w:t>
            </w:r>
            <w:r w:rsidRPr="00EF7F33">
              <w:rPr>
                <w:rStyle w:val="FormatvorlageInstructionsTabelleText"/>
                <w:rFonts w:ascii="Times New Roman" w:hAnsi="Times New Roman"/>
                <w:sz w:val="24"/>
              </w:rPr>
              <w:t>s</w:t>
            </w:r>
            <w:r w:rsidRPr="00EF7F33">
              <w:rPr>
                <w:rStyle w:val="FormatvorlageInstructionsTabelleText"/>
                <w:rFonts w:ascii="Times New Roman" w:hAnsi="Times New Roman"/>
                <w:sz w:val="24"/>
              </w:rPr>
              <w:t>novni kapital. Iznos je potrebno odbiti od redovnog osnovnog kapitala.</w:t>
            </w:r>
          </w:p>
        </w:tc>
      </w:tr>
      <w:tr w:rsidR="00666996" w:rsidRPr="00EF7F33" w:rsidTr="00672D2A">
        <w:tc>
          <w:tcPr>
            <w:tcW w:w="1129" w:type="dxa"/>
          </w:tcPr>
          <w:p w:rsidR="00666996" w:rsidRPr="00EF7F33" w:rsidRDefault="00BA1C6C"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450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1.1.1.17</w:t>
            </w:r>
            <w:r w:rsidRPr="00EF7F33">
              <w:tab/>
            </w:r>
            <w:r w:rsidRPr="00EF7F33">
              <w:rPr>
                <w:rStyle w:val="InstructionsTabelleberschrift"/>
                <w:rFonts w:ascii="Times New Roman" w:hAnsi="Times New Roman"/>
                <w:sz w:val="24"/>
              </w:rPr>
              <w:t>(–) Kvalificirani udjeli izvan financijskog sektora na koje se kao alternativa može primjenjivati ponder rizika od 1250 %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36., članak 36. stavak 1. točka (k) podtočka i. i članci od 89. do 91.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Kvalificirani udjeli definirani su kao „izravno ili neizravno ulaganje u dru</w:t>
            </w:r>
            <w:r w:rsidRPr="00EF7F33">
              <w:rPr>
                <w:rStyle w:val="FormatvorlageInstructionsTabelleText"/>
                <w:rFonts w:ascii="Times New Roman" w:hAnsi="Times New Roman"/>
                <w:sz w:val="24"/>
              </w:rPr>
              <w:t>š</w:t>
            </w:r>
            <w:r w:rsidRPr="00EF7F33">
              <w:rPr>
                <w:rStyle w:val="FormatvorlageInstructionsTabelleText"/>
                <w:rFonts w:ascii="Times New Roman" w:hAnsi="Times New Roman"/>
                <w:sz w:val="24"/>
              </w:rPr>
              <w:t>tvo koje predstavlja 10 % ili više kapitala ili glasačkih prava ili koje omog</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ćava ostvarivanje značajnog utjecaja na upravljanje tim društvom”.</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 skladu s člankom 36. stavkom 1. točkom (k) podtočkom i. CRR-a mogu se, kao alternativa, odbiti od redovnog osnovnog kapitala (korištenjem ove stavke) ili se na njih može primjenjivati ponder rizika od 1250 %.</w:t>
            </w:r>
          </w:p>
        </w:tc>
      </w:tr>
      <w:tr w:rsidR="00666996" w:rsidRPr="00EF7F33" w:rsidTr="00672D2A">
        <w:tc>
          <w:tcPr>
            <w:tcW w:w="1129" w:type="dxa"/>
          </w:tcPr>
          <w:p w:rsidR="00666996" w:rsidRPr="00EF7F33" w:rsidRDefault="00BA1C6C"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460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1.1.1.18</w:t>
            </w:r>
            <w:r w:rsidRPr="00EF7F33">
              <w:tab/>
            </w:r>
            <w:r w:rsidRPr="00EF7F33">
              <w:rPr>
                <w:rStyle w:val="InstructionsTabelleberschrift"/>
                <w:rFonts w:ascii="Times New Roman" w:hAnsi="Times New Roman"/>
                <w:sz w:val="24"/>
              </w:rPr>
              <w:t>(–) Sekuritizacijske pozicije na koje se kao alternativa može primjenjivati ponder rizika od 1250 %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(k) podtočka ii., članak 243. stavak 1. točka (b), članak 244. stavak 1. točka (b), članak 258. i članak 266. stavak 3. CRR-a u verziji primjenjivoj na dan 31. prosinca 2018. ili članak 244. stavak 1. točka (b), članak 245. stavak 1. točka (b), članak 253. stavak 1. i članak 268. st</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 xml:space="preserve">vak 4. CRR-a, ovisno o tome što je primjenjivo. </w:t>
            </w:r>
          </w:p>
          <w:p w:rsidR="005643EA" w:rsidRPr="00EF7F33" w:rsidRDefault="00666996" w:rsidP="00B04D23">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Sekuritizacijske pozicije na koje se primjenjuje ponder rizika od 1250 %, ali se, kao alternativa, mogu odbiti od redovnog osnovnog kapitala (članak 36. stavak 1. točka (k) podtočka ii. CRR-a, iskazuju se u ovoj stavci.</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470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1.1.1.19</w:t>
            </w:r>
            <w:r w:rsidRPr="00EF7F33">
              <w:tab/>
            </w:r>
            <w:r w:rsidRPr="00EF7F33">
              <w:rPr>
                <w:rStyle w:val="InstructionsTabelleberschrift"/>
                <w:rFonts w:ascii="Times New Roman" w:hAnsi="Times New Roman"/>
                <w:sz w:val="24"/>
              </w:rPr>
              <w:t>(–) Slobodne isporuke na koje se kao alternativa može primjenjivati ponder rizika od 1,250 %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(k) podtočka iii. i članak 379. stavak 3.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Na slobodne isporuke primjenjuje se ponder rizika od 1250 % nakon 5 dana nakon drugog ugovorenog plaćanja ili isporuke do zaključenja transakcije, u </w:t>
            </w:r>
            <w:r w:rsidRPr="00EF7F33">
              <w:rPr>
                <w:rStyle w:val="FormatvorlageInstructionsTabelleText"/>
                <w:rFonts w:ascii="Times New Roman" w:hAnsi="Times New Roman"/>
                <w:sz w:val="24"/>
              </w:rPr>
              <w:lastRenderedPageBreak/>
              <w:t>skladu s kapitalnim zahtjevima za rizik namire. Alternativno, mogu se odbiti od redovnog osnovnog kapitala (članak 36. stavak 1. točka (k) podtočka iii. CRR-a). U potonjem se slučaju iskazuju u ovoj stavci.</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471</w:t>
            </w:r>
          </w:p>
        </w:tc>
        <w:tc>
          <w:tcPr>
            <w:tcW w:w="7620" w:type="dxa"/>
          </w:tcPr>
          <w:p w:rsidR="005643EA" w:rsidRPr="00EF7F33" w:rsidRDefault="006022C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1.1.1.20</w:t>
            </w:r>
            <w:r w:rsidRPr="00EF7F33">
              <w:tab/>
            </w:r>
            <w:r w:rsidRPr="00EF7F33">
              <w:rPr>
                <w:rStyle w:val="InstructionsTabelleberschrift"/>
                <w:rFonts w:ascii="Times New Roman" w:hAnsi="Times New Roman"/>
                <w:sz w:val="24"/>
              </w:rPr>
              <w:t xml:space="preserve">(–) Pozicije u košarici za koje institucija ne može utvrditi ponder rizika prema IRB pristupu i na koje se kao alternativa može primjenjivati ponder rizika od 1250 % </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36. stavak 1. točka (k) podtočka iv. i članak 153. stavak 8. CRR-a </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U skladu s člankom 36. stavkom 1. točkom (k) podtočkom iv. CRR-a mogu se, kao alternativa, odbiti od redovnog osnovnog kapitala (korištenjem ove stavke) ili se na njih može primjenjivati ponder rizika od 1250 %.</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472</w:t>
            </w:r>
          </w:p>
        </w:tc>
        <w:tc>
          <w:tcPr>
            <w:tcW w:w="7620" w:type="dxa"/>
          </w:tcPr>
          <w:p w:rsidR="005643EA" w:rsidRPr="00EF7F33" w:rsidRDefault="006022C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1.1.1.21</w:t>
            </w:r>
            <w:r w:rsidRPr="00EF7F33">
              <w:tab/>
            </w:r>
            <w:r w:rsidRPr="00EF7F33">
              <w:rPr>
                <w:rStyle w:val="InstructionsTabelleberschrift"/>
                <w:rFonts w:ascii="Times New Roman" w:hAnsi="Times New Roman"/>
                <w:sz w:val="24"/>
              </w:rPr>
              <w:t>(–) Izloženosti na osnovi vlasničkih ulaganja u skladu s pristupom internih modela na koje se kao alternativa može primjenjiv</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ti ponder rizika od 1250 %</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36. stavak 1. točka (k) podtočka v. i članak 155. stavak 4. CRR-a</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U skladu s člankom 36. stavkom 1. točkom (k) podtočkom v. CRR-a mogu se, kao alternativa, odbiti od redovnog osnovnog kapitala (korištenjem ove stavke) ili se na njih može primjenjivati ponder rizika od 1250 %.</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480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1.1.1.22</w:t>
            </w:r>
            <w:r w:rsidRPr="00EF7F33">
              <w:tab/>
            </w:r>
            <w:r w:rsidRPr="00EF7F33">
              <w:rPr>
                <w:rStyle w:val="InstructionsTabelleberschrift"/>
                <w:rFonts w:ascii="Times New Roman" w:hAnsi="Times New Roman"/>
                <w:sz w:val="24"/>
              </w:rPr>
              <w:t>(–) Instrumenti redovnog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27., članak 36. stavak 1. točka (h); članci od 43. do 46., članak 49. stavci 2. i 3. i članak 79.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redovnog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alternative odbitku kad se primjenjuje konsolidacija (članak 49. sta</w:t>
            </w:r>
            <w:r w:rsidRPr="00EF7F33">
              <w:rPr>
                <w:rStyle w:val="FormatvorlageInstructionsTabelleText"/>
                <w:rFonts w:ascii="Times New Roman" w:hAnsi="Times New Roman"/>
                <w:sz w:val="24"/>
              </w:rPr>
              <w:t>v</w:t>
            </w:r>
            <w:r w:rsidRPr="00EF7F33">
              <w:rPr>
                <w:rStyle w:val="FormatvorlageInstructionsTabelleText"/>
                <w:rFonts w:ascii="Times New Roman" w:hAnsi="Times New Roman"/>
                <w:sz w:val="24"/>
              </w:rPr>
              <w:t>ci 2. i 3.).</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490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1.1.1.23</w:t>
            </w:r>
            <w:r w:rsidRPr="00EF7F33">
              <w:tab/>
            </w:r>
            <w:r w:rsidRPr="00EF7F33">
              <w:rPr>
                <w:rStyle w:val="InstructionsTabelleberschrift"/>
                <w:rFonts w:ascii="Times New Roman" w:hAnsi="Times New Roman"/>
                <w:sz w:val="24"/>
              </w:rPr>
              <w:t>(–) Odgođena porezna imovina koja se može odbiti i koja ovisi o budućoj profitabilnosti i proizlazi iz privremenih razlika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(c); članak 38. i članak 48. stavak 1. točka (a)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odgođene porezne imovine koja ovisi o budućoj profitabilnosti i proi</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lazi iz privremenih razloga (ne uključujući dio povezanih odgođenih pore</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nih obveza raspoređenih na odgođenu poreznu imovinu koja proizlazi iz privremenih razlika u skladu s člankom 38. stavkom 5. točkom (b) CRR-a) koji je potrebno odbiti uz primjenu praga od 10 % iz članka 48. stavka 1. točke (a)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500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1.1.1.24</w:t>
            </w:r>
            <w:r w:rsidRPr="00EF7F33">
              <w:tab/>
            </w:r>
            <w:r w:rsidRPr="00EF7F33">
              <w:rPr>
                <w:rStyle w:val="InstructionsTabelleberschrift"/>
                <w:rFonts w:ascii="Times New Roman" w:hAnsi="Times New Roman"/>
                <w:sz w:val="24"/>
              </w:rPr>
              <w:t>(–) Instrumenti redovnog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27.; članak 36. stavak 1. točka i.; članak 43., čl</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nak 45., članak 47., članak 48. stavak 1. točka (b), članak 49. stavci od 1. do 3. i članak 79.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ulaganja institucije u instrumente redovnog osnovnog kapitala subjekata financijskog sektora (kako su definirani u članku 4. stavku 1. točki 27. CRR-</w:t>
            </w:r>
            <w:r w:rsidRPr="00EF7F33">
              <w:rPr>
                <w:rStyle w:val="FormatvorlageInstructionsTabelleText"/>
                <w:rFonts w:ascii="Times New Roman" w:hAnsi="Times New Roman"/>
                <w:sz w:val="24"/>
              </w:rPr>
              <w:lastRenderedPageBreak/>
              <w:t>a) ako institucija ima značajno ulaganje koje je potrebno odbiti, uz primjenu praga od 10 % iz članka 48. stavka 1. točke (b)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alternative odbitku kad se primjenjuje konsolidacija (članak 49. sta</w:t>
            </w:r>
            <w:r w:rsidRPr="00EF7F33">
              <w:rPr>
                <w:rStyle w:val="FormatvorlageInstructionsTabelleText"/>
                <w:rFonts w:ascii="Times New Roman" w:hAnsi="Times New Roman"/>
                <w:sz w:val="24"/>
              </w:rPr>
              <w:t>v</w:t>
            </w:r>
            <w:r w:rsidRPr="00EF7F33">
              <w:rPr>
                <w:rStyle w:val="FormatvorlageInstructionsTabelleText"/>
                <w:rFonts w:ascii="Times New Roman" w:hAnsi="Times New Roman"/>
                <w:sz w:val="24"/>
              </w:rPr>
              <w:t>ci 1., 2. i 3.).</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510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1.1.1.25</w:t>
            </w:r>
            <w:r w:rsidRPr="00EF7F33">
              <w:tab/>
            </w:r>
            <w:r w:rsidRPr="00EF7F33">
              <w:rPr>
                <w:rStyle w:val="InstructionsTabelleberschrift"/>
                <w:rFonts w:ascii="Times New Roman" w:hAnsi="Times New Roman"/>
                <w:sz w:val="24"/>
              </w:rPr>
              <w:t>(–) Iznos koji premašuje prag od 17,65 %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 stavak 1.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odgođene porezne imovine koja ovisi o budućoj profitabilnosti i proi</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lazi iz privremenih razlika te izravna i neizravna ulaganja institucije u i</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strumente redovnog osnovnog kapitala subjekata financijskog sektora (kako su definirani u članku 4. stavku 1. točki 27. CRR-a) ako institucija ima zn</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čajno ulaganje koje je potrebno odbiti, uz primjenu praga od 17,65 % iz članka 48. stavka 1.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520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1.1.1.26</w:t>
            </w:r>
            <w:r w:rsidRPr="00EF7F33">
              <w:tab/>
            </w:r>
            <w:r w:rsidRPr="00EF7F33">
              <w:rPr>
                <w:rStyle w:val="InstructionsTabelleberschrift"/>
                <w:rFonts w:ascii="Times New Roman" w:hAnsi="Times New Roman"/>
                <w:sz w:val="24"/>
              </w:rPr>
              <w:t>Ostala prijelazna usklađenja redovnog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od 469. do 472., članak 478. i članak 481.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odbitaka zbog prijelaznih odredbi. Iznos koji je potrebno iskazati dobiva se izravno iz CA5.</w:t>
            </w:r>
          </w:p>
        </w:tc>
      </w:tr>
      <w:tr w:rsidR="00A232F8" w:rsidRPr="00EF7F33" w:rsidTr="00672D2A">
        <w:tc>
          <w:tcPr>
            <w:tcW w:w="1129" w:type="dxa"/>
          </w:tcPr>
          <w:p w:rsidR="005643EA" w:rsidRPr="00EF7F33" w:rsidRDefault="007E39E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524</w:t>
            </w:r>
          </w:p>
        </w:tc>
        <w:tc>
          <w:tcPr>
            <w:tcW w:w="7620" w:type="dxa"/>
          </w:tcPr>
          <w:p w:rsidR="005643EA" w:rsidRPr="00EF7F33" w:rsidRDefault="006022C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1.1.1.27</w:t>
            </w:r>
            <w:r w:rsidRPr="00EF7F33">
              <w:tab/>
            </w:r>
            <w:r w:rsidRPr="00EF7F33">
              <w:rPr>
                <w:rStyle w:val="InstructionsTabelleberschrift"/>
                <w:rFonts w:ascii="Times New Roman" w:hAnsi="Times New Roman"/>
                <w:sz w:val="24"/>
              </w:rPr>
              <w:t>(–)Dodatni odbici od redovnog osnovnog kapitala u skladu s člankom 3. CRR-a</w:t>
            </w:r>
          </w:p>
          <w:p w:rsidR="005643EA" w:rsidRPr="00EF7F33" w:rsidRDefault="00A232F8"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3. CRR-a</w:t>
            </w:r>
          </w:p>
        </w:tc>
      </w:tr>
      <w:tr w:rsidR="00666996" w:rsidRPr="00EF7F33" w:rsidTr="00672D2A">
        <w:tc>
          <w:tcPr>
            <w:tcW w:w="1129" w:type="dxa"/>
          </w:tcPr>
          <w:p w:rsidR="005643EA" w:rsidRPr="00EF7F33" w:rsidRDefault="00A232F8"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529</w:t>
            </w:r>
          </w:p>
        </w:tc>
        <w:tc>
          <w:tcPr>
            <w:tcW w:w="7620" w:type="dxa"/>
          </w:tcPr>
          <w:p w:rsidR="005643EA" w:rsidRPr="00EF7F33" w:rsidRDefault="006022C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1.1.1.28</w:t>
            </w:r>
            <w:r w:rsidRPr="00EF7F33">
              <w:tab/>
            </w:r>
            <w:r w:rsidRPr="00EF7F33">
              <w:rPr>
                <w:rStyle w:val="InstructionsTabelleberschrift"/>
                <w:rFonts w:ascii="Times New Roman" w:hAnsi="Times New Roman"/>
                <w:sz w:val="24"/>
              </w:rPr>
              <w:t>Elementi ili odbici od redovnog osnovnog kapitala – ostalo</w:t>
            </w:r>
          </w:p>
          <w:p w:rsidR="005643EA" w:rsidRPr="00EF7F33" w:rsidRDefault="00666996"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Ovaj je redak osmišljen radi osiguranja fleksibilnosti isključivo za potrebe izvješćivanja. Popunjava se samo u rijetkim slučajevima kada ne postoji k</w:t>
            </w:r>
            <w:r w:rsidRPr="00EF7F33">
              <w:rPr>
                <w:rStyle w:val="InstructionsTabelleberschrift"/>
                <w:rFonts w:ascii="Times New Roman" w:hAnsi="Times New Roman"/>
                <w:b w:val="0"/>
                <w:sz w:val="24"/>
                <w:u w:val="none"/>
              </w:rPr>
              <w:t>o</w:t>
            </w:r>
            <w:r w:rsidRPr="00EF7F33">
              <w:rPr>
                <w:rStyle w:val="InstructionsTabelleberschrift"/>
                <w:rFonts w:ascii="Times New Roman" w:hAnsi="Times New Roman"/>
                <w:b w:val="0"/>
                <w:sz w:val="24"/>
                <w:u w:val="none"/>
              </w:rPr>
              <w:t>načna odluka o iskazivanju specifičnih stavki/odbitaka kapitala u postoj</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 xml:space="preserve">ćom obrascu CA1. Kao posljedica toga, ovaj se redak popunjava samo ako se element redovnog osnovnog kapitala koji se odnosi na odbitak elementa redovnog osnovnog kapitala ne može rasporediti u jedan od redaka od 020 do 524. </w:t>
            </w:r>
          </w:p>
          <w:p w:rsidR="005643EA" w:rsidRPr="00EF7F33" w:rsidRDefault="00666996" w:rsidP="00255BA9">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 se rubrika ne upotrebljava za raspoređivanje stavki/odbitaka kapitala koji nisu obuhvaćeni CRR-om u izračun stopa solventnosti (npr. raspoređ</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vanje nacionalnih stavki/odbitaka kapitala izvan područja primjene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530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w:t>
            </w:r>
            <w:r w:rsidRPr="00EF7F33">
              <w:tab/>
            </w:r>
            <w:r w:rsidRPr="00EF7F33">
              <w:rPr>
                <w:rStyle w:val="InstructionsTabelleberschrift"/>
                <w:rFonts w:ascii="Times New Roman" w:hAnsi="Times New Roman"/>
                <w:sz w:val="24"/>
              </w:rPr>
              <w:t>DODATNI OSNOVNI KAPITAL</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61.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540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w:t>
            </w:r>
            <w:r w:rsidRPr="00EF7F33">
              <w:tab/>
            </w:r>
            <w:r w:rsidRPr="00EF7F33">
              <w:rPr>
                <w:rStyle w:val="InstructionsTabelleberschrift"/>
                <w:rFonts w:ascii="Times New Roman" w:hAnsi="Times New Roman"/>
                <w:sz w:val="24"/>
              </w:rPr>
              <w:t>Instrumenti kapitala koji se priznaju kao dodatni osnovni kapital</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51. točka (a), članci od 52. do 54., članak 56. točka (a) i članak 57.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550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1.1.2.1.1</w:t>
            </w:r>
            <w:r w:rsidRPr="00EF7F33">
              <w:tab/>
            </w:r>
            <w:r w:rsidRPr="00EF7F33">
              <w:rPr>
                <w:rStyle w:val="InstructionsTabelleberschrift"/>
                <w:rFonts w:ascii="Times New Roman" w:hAnsi="Times New Roman"/>
                <w:sz w:val="24"/>
              </w:rPr>
              <w:t>Plaćeni instrumenti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51. točka (a) i članci od 52. do 54.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premiju na dionice povezanu s instrumentima.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560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1.1.2.1.2 (*)</w:t>
            </w:r>
            <w:r w:rsidRPr="00EF7F33">
              <w:tab/>
            </w:r>
            <w:r w:rsidRPr="00EF7F33">
              <w:rPr>
                <w:rStyle w:val="InstructionsTabelleberschrift"/>
                <w:rFonts w:ascii="Times New Roman" w:hAnsi="Times New Roman"/>
                <w:sz w:val="24"/>
              </w:rPr>
              <w:t>Bilješka: Instrumenti kapitala koji se ne priznaju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Članak 52. stavak 1. točke (c), (e) i (f)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Uvjeti u tim točkama odražavaju različite pozicije kapitala koje su reverz</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bilne i stoga se iznos koji se ovdje iskazuje može priznati u naknadnim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dobljima.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premiju na dionice povezanu s instrumentima.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570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1.1.2.1.3</w:t>
            </w:r>
            <w:r w:rsidRPr="00EF7F33">
              <w:tab/>
            </w:r>
            <w:r w:rsidRPr="00EF7F33">
              <w:rPr>
                <w:rStyle w:val="InstructionsTabelleberschrift"/>
                <w:rFonts w:ascii="Times New Roman" w:hAnsi="Times New Roman"/>
                <w:sz w:val="24"/>
              </w:rPr>
              <w:t>Premija na dionice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51. točka (b)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Premija na dionice ima isto značenje kao i u primjenjivom računovodstv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 xml:space="preserve">nom standardu.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 ovoj stavci dio je koji se odnosi na „plaćene instrumente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580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1.1.2.1.4</w:t>
            </w:r>
            <w:r w:rsidRPr="00EF7F33">
              <w:tab/>
            </w:r>
            <w:r w:rsidRPr="00EF7F33">
              <w:rPr>
                <w:rStyle w:val="InstructionsTabelleberschrift"/>
                <w:rFonts w:ascii="Times New Roman" w:hAnsi="Times New Roman"/>
                <w:sz w:val="24"/>
              </w:rPr>
              <w:t>(–) Vlastiti instrumenti dodatnog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52. stavak 1. točka (b), članak 56. točka (a) i članak 57.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Vlastiti instrumenti dodatnog osnovnog kapitala koje drži institucija ili gr</w:t>
            </w:r>
            <w:r w:rsidRPr="00EF7F33">
              <w:rPr>
                <w:rStyle w:val="FormatvorlageInstructionsTabelleText"/>
                <w:rFonts w:ascii="Times New Roman" w:hAnsi="Times New Roman"/>
                <w:sz w:val="24"/>
              </w:rPr>
              <w:t>u</w:t>
            </w:r>
            <w:r w:rsidRPr="00EF7F33">
              <w:rPr>
                <w:rStyle w:val="FormatvorlageInstructionsTabelleText"/>
                <w:rFonts w:ascii="Times New Roman" w:hAnsi="Times New Roman"/>
                <w:sz w:val="24"/>
              </w:rPr>
              <w:t>pa koja izvješćuje na izvještajni datum. Podložno iznimkama iz članka 57.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 ovom se retku ne iskazuju ulaganja u dionice uključena kao „instrumenti kapitala koji se ne priznaju”.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uključuje premiju na dionice povezanu s vla</w:t>
            </w:r>
            <w:r w:rsidRPr="00EF7F33">
              <w:rPr>
                <w:rStyle w:val="FormatvorlageInstructionsTabelleText"/>
                <w:rFonts w:ascii="Times New Roman" w:hAnsi="Times New Roman"/>
                <w:sz w:val="24"/>
              </w:rPr>
              <w:t>s</w:t>
            </w:r>
            <w:r w:rsidRPr="00EF7F33">
              <w:rPr>
                <w:rStyle w:val="FormatvorlageInstructionsTabelleText"/>
                <w:rFonts w:ascii="Times New Roman" w:hAnsi="Times New Roman"/>
                <w:sz w:val="24"/>
              </w:rPr>
              <w:t>titim dionicama.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Stavke od 1.1.2.1.4 do 1.1.2.1.4.3 ne uključuju stvarne ili potencijalne obv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ze kupnje vlastitih instrumenata redovnog osnovnog kapitala. Stvarne ili p</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tencijalne obveze kupnje vlastitih instrumenata dodatnog osnovnog kapitala iskazuju se zasebno u stavci 1.1.2.1.5.</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590</w:t>
            </w:r>
          </w:p>
        </w:tc>
        <w:tc>
          <w:tcPr>
            <w:tcW w:w="7620" w:type="dxa"/>
          </w:tcPr>
          <w:p w:rsidR="005643EA" w:rsidRPr="00EF7F33" w:rsidRDefault="006022CB"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1.1.2.1.4.1</w:t>
            </w:r>
            <w:r w:rsidRPr="00EF7F33">
              <w:tab/>
            </w:r>
            <w:r w:rsidRPr="00EF7F33">
              <w:rPr>
                <w:rStyle w:val="InstructionsTabelleberschrift"/>
                <w:rFonts w:ascii="Times New Roman" w:hAnsi="Times New Roman"/>
                <w:sz w:val="24"/>
              </w:rPr>
              <w:t>(–) Izravna ulaganja u instrumente dodatnog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114., članak 52. stavak 1. točka (b), članak 56. točka (a) i članak 57.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Instrumenti dodatnog osnovnog kapitala koji su uključeni u stavku 1.1.2.1.1. i koje drže institucije konsolidirane grupe. </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620</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1.1.2.1.4.2</w:t>
            </w:r>
            <w:r w:rsidRPr="00EF7F33">
              <w:tab/>
            </w:r>
            <w:r w:rsidRPr="00EF7F33">
              <w:rPr>
                <w:rStyle w:val="InstructionsTabelleberschrift"/>
                <w:rFonts w:ascii="Times New Roman" w:hAnsi="Times New Roman"/>
                <w:sz w:val="24"/>
              </w:rPr>
              <w:t>(–) Neizravna ulaganja u instrumente dodatnog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52. stavak 1. točka (b) podtočka ii., članak 56. točka (a) i članak 57.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621</w:t>
            </w:r>
          </w:p>
        </w:tc>
        <w:tc>
          <w:tcPr>
            <w:tcW w:w="7620" w:type="dxa"/>
          </w:tcPr>
          <w:p w:rsidR="005643EA" w:rsidRPr="00EF7F33" w:rsidRDefault="006455B0" w:rsidP="00FD239F">
            <w:pPr>
              <w:pStyle w:val="InstructionsText"/>
            </w:pPr>
            <w:r w:rsidRPr="00EF7F33">
              <w:rPr>
                <w:rStyle w:val="InstructionsTabelleberschrift"/>
                <w:rFonts w:ascii="Times New Roman" w:hAnsi="Times New Roman"/>
                <w:sz w:val="24"/>
              </w:rPr>
              <w:t>1.1.2.1.4.3</w:t>
            </w:r>
            <w:r w:rsidRPr="00EF7F33">
              <w:tab/>
            </w:r>
            <w:r w:rsidRPr="00EF7F33">
              <w:rPr>
                <w:rStyle w:val="InstructionsTabelleberschrift"/>
                <w:rFonts w:ascii="Times New Roman" w:hAnsi="Times New Roman"/>
                <w:sz w:val="24"/>
              </w:rPr>
              <w:t>(–) Sintetska ulaganja u instrumente dodatnog osnovnog kapitala</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članak 52. stavak 1. točka (b), članak 56. točka (a) i članak 57. CRR-a</w:t>
            </w:r>
          </w:p>
        </w:tc>
      </w:tr>
      <w:tr w:rsidR="00666996" w:rsidRPr="00EF7F33" w:rsidTr="00672D2A">
        <w:tc>
          <w:tcPr>
            <w:tcW w:w="1129" w:type="dxa"/>
          </w:tcPr>
          <w:p w:rsidR="005643EA" w:rsidRPr="00EF7F33" w:rsidRDefault="007E39E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622</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1.1.2.1.5</w:t>
            </w:r>
            <w:r w:rsidRPr="00EF7F33">
              <w:tab/>
            </w:r>
            <w:r w:rsidRPr="00EF7F33">
              <w:rPr>
                <w:rStyle w:val="InstructionsTabelleberschrift"/>
                <w:rFonts w:ascii="Times New Roman" w:hAnsi="Times New Roman"/>
                <w:sz w:val="24"/>
              </w:rPr>
              <w:t>(–) Stvarne ili potencijalne obveze kupnje vlastitih i</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strumenata dodatnog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Članak 56. točka (a) i članak 57. CRR-a</w:t>
            </w:r>
          </w:p>
          <w:p w:rsidR="005643EA" w:rsidRPr="00EF7F33" w:rsidRDefault="00666996" w:rsidP="00FD239F">
            <w:pPr>
              <w:pStyle w:val="InstructionsText"/>
              <w:rPr>
                <w:rStyle w:val="InstructionsTabelleberschrift"/>
                <w:rFonts w:ascii="Times New Roman" w:hAnsi="Times New Roman"/>
                <w:sz w:val="24"/>
              </w:rPr>
            </w:pPr>
            <w:r w:rsidRPr="00EF7F33">
              <w:t xml:space="preserve">U skladu s člankom 56. točkom (a) CRR-a odbijaju se „vlastiti instrumenti dodatnog osnovnog kapitala za koje bi institucija mogla imati obvezu kupnje na temelju postojećih ugovornih obveza”. </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660</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1.1.2.2</w:t>
            </w:r>
            <w:r w:rsidRPr="00EF7F33">
              <w:tab/>
            </w:r>
            <w:r w:rsidRPr="00EF7F33">
              <w:rPr>
                <w:rStyle w:val="InstructionsTabelleberschrift"/>
                <w:rFonts w:ascii="Times New Roman" w:hAnsi="Times New Roman"/>
                <w:sz w:val="24"/>
              </w:rPr>
              <w:t>Prijelazna usklađenja na temelju instrumenata dodatnog osno</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nog kapitala koji se nastavljaju priznavati</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483. stavci 4. i 5., članci od 484. do 487., članak 489. i članak 491.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instrumenata kapitala koji se nastavljaju priznavati u prijelaznom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doblju kao dodatni osnovni kapital. Iznos koji je potrebno iskazati dobiva se izravno iz CA5.</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670</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1.1.2.3</w:t>
            </w:r>
            <w:r w:rsidRPr="00EF7F33">
              <w:tab/>
            </w:r>
            <w:r w:rsidRPr="00EF7F33">
              <w:rPr>
                <w:rStyle w:val="InstructionsTabelleberschrift"/>
                <w:rFonts w:ascii="Times New Roman" w:hAnsi="Times New Roman"/>
                <w:sz w:val="24"/>
              </w:rPr>
              <w:t>Instrumenti društava kćeri koji su priznati u dodatnom osno</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nom kapitalu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83., 85. i 86. CRR-a</w:t>
            </w:r>
          </w:p>
          <w:p w:rsidR="00477CB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Zbroj svih iznosa kvalificiranog osnovnog kapitala društava kćeri koji je u</w:t>
            </w:r>
            <w:r w:rsidRPr="00EF7F33">
              <w:rPr>
                <w:rStyle w:val="FormatvorlageInstructionsTabelleText"/>
                <w:rFonts w:ascii="Times New Roman" w:hAnsi="Times New Roman"/>
                <w:sz w:val="24"/>
              </w:rPr>
              <w:t>k</w:t>
            </w:r>
            <w:r w:rsidRPr="00EF7F33">
              <w:rPr>
                <w:rStyle w:val="FormatvorlageInstructionsTabelleText"/>
                <w:rFonts w:ascii="Times New Roman" w:hAnsi="Times New Roman"/>
                <w:sz w:val="24"/>
              </w:rPr>
              <w:t>ljučen u konsolidirani dodatni osnovni kapital.</w:t>
            </w:r>
          </w:p>
          <w:p w:rsidR="00106FC5" w:rsidRPr="00EF7F33" w:rsidRDefault="00106FC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Uključuje se kvalificirani dodatni osnovni kapital koji izdaje subjekt pose</w:t>
            </w:r>
            <w:r w:rsidRPr="00EF7F33">
              <w:rPr>
                <w:rStyle w:val="FormatvorlageInstructionsTabelleText"/>
                <w:rFonts w:ascii="Times New Roman" w:hAnsi="Times New Roman"/>
                <w:sz w:val="24"/>
              </w:rPr>
              <w:t>b</w:t>
            </w:r>
            <w:r w:rsidRPr="00EF7F33">
              <w:rPr>
                <w:rStyle w:val="FormatvorlageInstructionsTabelleText"/>
                <w:rFonts w:ascii="Times New Roman" w:hAnsi="Times New Roman"/>
                <w:sz w:val="24"/>
              </w:rPr>
              <w:t>ne namjene (članak 83. CRR-a).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680</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1.1.2.4</w:t>
            </w:r>
            <w:r w:rsidRPr="00EF7F33">
              <w:tab/>
            </w:r>
            <w:r w:rsidRPr="00EF7F33">
              <w:rPr>
                <w:rStyle w:val="InstructionsTabelleberschrift"/>
                <w:rFonts w:ascii="Times New Roman" w:hAnsi="Times New Roman"/>
                <w:sz w:val="24"/>
              </w:rPr>
              <w:t>Prijelazna usklađenja na temelju dodatnog priznavanja instr</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menata društava kćeri u dodatnom osnovnom kapitalu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480.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kvalificiranog osnovnog kapitala uključenog u konsolidirani d</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datni osnovni kapital zbog prijelaznih odredbi. Ova se stavka dobiva izravno iz CA5.</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690</w:t>
            </w:r>
          </w:p>
        </w:tc>
        <w:tc>
          <w:tcPr>
            <w:tcW w:w="7620" w:type="dxa"/>
          </w:tcPr>
          <w:p w:rsidR="005643EA" w:rsidRPr="00EF7F33" w:rsidRDefault="006455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1.1.2.5</w:t>
            </w:r>
            <w:r w:rsidRPr="00EF7F33">
              <w:tab/>
            </w:r>
            <w:r w:rsidRPr="00EF7F33">
              <w:rPr>
                <w:rStyle w:val="InstructionsTabelleberschrift"/>
                <w:rFonts w:ascii="Times New Roman" w:hAnsi="Times New Roman"/>
                <w:sz w:val="24"/>
              </w:rPr>
              <w:t>(–) Recipročna međusobna ulaganja u dodatni osnovni kapital</w:t>
            </w:r>
          </w:p>
          <w:p w:rsidR="005643EA" w:rsidRPr="00EF7F33" w:rsidRDefault="0080525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122., članak 56. točka (b) i članak 58.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Ulaganja u instrumente dodatnog osnovnog kapitala subjekata financijskog sektora (kako su definirani u članku 4. stavku 1. točki 27. CRR-a) ako post</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ji recipročno međusobno ulaganje za koje nadležno tijelo smatra da mu je cilj umjetno povećati regulatorni kapital institucije.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izračunava se na osnovi bruto dugih pozicija i uključuje stavke osigurateljnog dodatnog osnovnog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700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1.1.2.6</w:t>
            </w:r>
            <w:r w:rsidRPr="00EF7F33">
              <w:tab/>
            </w:r>
            <w:r w:rsidRPr="00EF7F33">
              <w:rPr>
                <w:rStyle w:val="InstructionsTabelleberschrift"/>
                <w:rFonts w:ascii="Times New Roman" w:hAnsi="Times New Roman"/>
                <w:sz w:val="24"/>
              </w:rPr>
              <w:t>(–) Instrumenti dodatnog osnovnog kapitala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nema značajno ulaganje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27., članak 56. točka (c); članci 59., 60. i 79.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dodatnog osnovnog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710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1.1.2.7</w:t>
            </w:r>
            <w:r w:rsidRPr="00EF7F33">
              <w:tab/>
            </w:r>
            <w:r w:rsidRPr="00EF7F33">
              <w:rPr>
                <w:rStyle w:val="InstructionsTabelleberschrift"/>
                <w:rFonts w:ascii="Times New Roman" w:hAnsi="Times New Roman"/>
                <w:sz w:val="24"/>
              </w:rPr>
              <w:t>(–) Instrumenti dodatnog osnovnog kapitala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ima značajno ulaganje</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Članak 4. stavak 1. točka 27., članak 56. točka (d), članak 59. i članak 79. CRR-a</w:t>
            </w:r>
          </w:p>
          <w:p w:rsidR="005643EA" w:rsidRPr="00EF7F33" w:rsidRDefault="009B51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Ulaganja institucije u instrumente dodatnog osnovnog kapitala subjekata f</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nancijskog sektora (kako su definirani u članku 4. stavku 1. točki 27. CRR-a) ako institucija ima značajno ulaganje koje je potrebno u potpunosti odbiti.</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720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1.1.2.8</w:t>
            </w:r>
            <w:r w:rsidRPr="00EF7F33">
              <w:tab/>
            </w:r>
            <w:r w:rsidRPr="00EF7F33">
              <w:rPr>
                <w:rStyle w:val="InstructionsTabelleberschrift"/>
                <w:rFonts w:ascii="Times New Roman" w:hAnsi="Times New Roman"/>
                <w:sz w:val="24"/>
              </w:rPr>
              <w:t>(–) Odbitak od stavki dopunskog kapitala koji premašuje dopu</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 xml:space="preserve">ski kapital </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56. točka (e)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izravno se uzima iz obrasca CA 1 stavke „Odbitak od stavki dopunskog kapitala koji premašuje dopunski kapital” (odbijen od dodatnog osnovnog kapitala).</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730</w:t>
            </w:r>
          </w:p>
        </w:tc>
        <w:tc>
          <w:tcPr>
            <w:tcW w:w="7620" w:type="dxa"/>
          </w:tcPr>
          <w:p w:rsidR="005643EA" w:rsidRPr="00EF7F33" w:rsidRDefault="00A86EB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1.1.2.9</w:t>
            </w:r>
            <w:r w:rsidRPr="00EF7F33">
              <w:tab/>
            </w:r>
            <w:r w:rsidR="00B170B8">
              <w:t xml:space="preserve"> </w:t>
            </w:r>
            <w:r w:rsidRPr="00EF7F33">
              <w:rPr>
                <w:rStyle w:val="InstructionsTabelleberschrift"/>
                <w:rFonts w:ascii="Times New Roman" w:hAnsi="Times New Roman"/>
                <w:sz w:val="24"/>
              </w:rPr>
              <w:t>Ostala prijelazna usklađenja dodatnog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474., 475., 478. i 481.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zbog prijelaznih odredbi. Iznos koji je potrebno iskazati dobiva se izravno iz CA5.</w:t>
            </w:r>
          </w:p>
        </w:tc>
      </w:tr>
      <w:tr w:rsidR="00666996" w:rsidRPr="00EF7F33" w:rsidTr="00672D2A">
        <w:tc>
          <w:tcPr>
            <w:tcW w:w="1129" w:type="dxa"/>
          </w:tcPr>
          <w:p w:rsidR="00666996"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740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1.1.2.10</w:t>
            </w:r>
            <w:r w:rsidRPr="00EF7F33">
              <w:tab/>
            </w:r>
            <w:r w:rsidRPr="00EF7F33">
              <w:rPr>
                <w:rStyle w:val="InstructionsTabelleberschrift"/>
                <w:rFonts w:ascii="Times New Roman" w:hAnsi="Times New Roman"/>
                <w:sz w:val="24"/>
              </w:rPr>
              <w:t>Odbitak od stavki dodatnog osnovnog kapitala koji pr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mašuje dodatni osnovni kapital (odbijen u redovnom osnovnom kapit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lu)</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36. stavak 1. točka (j) CRR-a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Dodatni osnovni kapital ne može biti negativan, ali odbici dodatnog osno</w:t>
            </w:r>
            <w:r w:rsidRPr="00EF7F33">
              <w:rPr>
                <w:rStyle w:val="FormatvorlageInstructionsTabelleText"/>
                <w:rFonts w:ascii="Times New Roman" w:hAnsi="Times New Roman"/>
                <w:sz w:val="24"/>
              </w:rPr>
              <w:t>v</w:t>
            </w:r>
            <w:r w:rsidRPr="00EF7F33">
              <w:rPr>
                <w:rStyle w:val="FormatvorlageInstructionsTabelleText"/>
                <w:rFonts w:ascii="Times New Roman" w:hAnsi="Times New Roman"/>
                <w:sz w:val="24"/>
              </w:rPr>
              <w:t>nog kapitala mogu biti veći od dodatnog osnovnog kapitala uvećanog za p</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vezanu premiju na dionice. Ako se to dogodi, dodatni osnovni kapital mora biti jednak nuli, a višak odbitaka od dodatnog osnovnog kapitala mora se odbiti od redovnog osnovnog kapitala.</w:t>
            </w:r>
          </w:p>
          <w:p w:rsidR="005643EA" w:rsidRPr="00EF7F33" w:rsidRDefault="0066699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Ovom se stavkom postiže da zbroj stavki od 1.1.2.1 do 1.1.2.12 nikad nije manji od nule. Ako ova stavka pokazuje pozitivnu vrijednost, tada stavka 1.1.1.16 ima vrijednost suprotnog predznaka.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744</w:t>
            </w:r>
          </w:p>
          <w:p w:rsidR="005643EA" w:rsidRPr="00EF7F33" w:rsidRDefault="005643EA" w:rsidP="00FD239F">
            <w:pPr>
              <w:pStyle w:val="InstructionsText"/>
              <w:rPr>
                <w:rStyle w:val="FormatvorlageInstructionsTabelleText"/>
                <w:rFonts w:ascii="Times New Roman" w:hAnsi="Times New Roman"/>
                <w:sz w:val="24"/>
              </w:rPr>
            </w:pPr>
          </w:p>
        </w:tc>
        <w:tc>
          <w:tcPr>
            <w:tcW w:w="7620" w:type="dxa"/>
          </w:tcPr>
          <w:p w:rsidR="005643EA" w:rsidRPr="00EF7F33" w:rsidRDefault="00A86EB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1.1.2.11</w:t>
            </w:r>
            <w:r w:rsidRPr="00EF7F33">
              <w:tab/>
            </w:r>
            <w:r w:rsidRPr="00EF7F33">
              <w:rPr>
                <w:rStyle w:val="InstructionsTabelleberschrift"/>
                <w:rFonts w:ascii="Times New Roman" w:hAnsi="Times New Roman"/>
                <w:sz w:val="24"/>
              </w:rPr>
              <w:t>(–) Dodatni odbici od dodatnog osnovnog kapitala u skl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du s člankom 3. CRR-a</w:t>
            </w:r>
          </w:p>
          <w:p w:rsidR="005643EA" w:rsidRPr="00EF7F33" w:rsidRDefault="00A86EB4"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3. CRR-a</w:t>
            </w:r>
          </w:p>
        </w:tc>
      </w:tr>
      <w:tr w:rsidR="00A86EB4" w:rsidRPr="00EF7F33" w:rsidTr="00672D2A">
        <w:tc>
          <w:tcPr>
            <w:tcW w:w="1129" w:type="dxa"/>
          </w:tcPr>
          <w:p w:rsidR="00A86EB4" w:rsidRPr="00EF7F33" w:rsidRDefault="008F5B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748</w:t>
            </w:r>
          </w:p>
        </w:tc>
        <w:tc>
          <w:tcPr>
            <w:tcW w:w="7620" w:type="dxa"/>
          </w:tcPr>
          <w:p w:rsidR="005643EA" w:rsidRPr="00EF7F33" w:rsidRDefault="008F5BFE"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sz w:val="24"/>
              </w:rPr>
              <w:t>1.1.2.12</w:t>
            </w:r>
            <w:r w:rsidRPr="00EF7F33">
              <w:tab/>
            </w:r>
            <w:r w:rsidRPr="00EF7F33">
              <w:rPr>
                <w:rStyle w:val="InstructionsTabelleberschrift"/>
                <w:rFonts w:ascii="Times New Roman" w:hAnsi="Times New Roman"/>
                <w:sz w:val="24"/>
              </w:rPr>
              <w:t>Elementi ili odbici od dodatnog osnovnog kapitala – ostalo</w:t>
            </w:r>
          </w:p>
          <w:p w:rsidR="005643EA" w:rsidRPr="00EF7F33" w:rsidRDefault="00A86EB4"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Ovaj je redak osmišljen radi osiguranja fleksibilnosti isključivo za potrebe izvješćivanja. Popunjava se samo u rijetkim slučajevima kada ne postoji k</w:t>
            </w:r>
            <w:r w:rsidRPr="00EF7F33">
              <w:rPr>
                <w:rStyle w:val="InstructionsTabelleberschrift"/>
                <w:rFonts w:ascii="Times New Roman" w:hAnsi="Times New Roman"/>
                <w:b w:val="0"/>
                <w:sz w:val="24"/>
                <w:u w:val="none"/>
              </w:rPr>
              <w:t>o</w:t>
            </w:r>
            <w:r w:rsidRPr="00EF7F33">
              <w:rPr>
                <w:rStyle w:val="InstructionsTabelleberschrift"/>
                <w:rFonts w:ascii="Times New Roman" w:hAnsi="Times New Roman"/>
                <w:b w:val="0"/>
                <w:sz w:val="24"/>
                <w:u w:val="none"/>
              </w:rPr>
              <w:t>načna odluka o iskazivanju specifičnih stavki/odbitaka kapitala u postoj</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 xml:space="preserve">ćom obrascu CA1. Kao posljedica toga, ovaj se redak popunjava samo ako se element dodatnog osnovnog kapitala koji se odnosi na odbitak elementa dodatnog osnovnog kapitala ne može rasporediti u jedan od redaka od 530 do 744. </w:t>
            </w:r>
          </w:p>
          <w:p w:rsidR="005643EA" w:rsidRPr="00EF7F33" w:rsidRDefault="00A86EB4" w:rsidP="00255BA9">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 se rubrika ne upotrebljava za raspoređivanje stavki/odbitaka kapitala koji nisu obuhvaćeni CRR-om u izračun stopa solventnosti (npr. raspoređ</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vanje nacionalnih stavki/odbitaka kapitala izvan područja primjene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750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w:t>
            </w:r>
            <w:r w:rsidRPr="00EF7F33">
              <w:tab/>
            </w:r>
            <w:r w:rsidRPr="00EF7F33">
              <w:rPr>
                <w:rStyle w:val="InstructionsTabelleberschrift"/>
                <w:rFonts w:ascii="Times New Roman" w:hAnsi="Times New Roman"/>
                <w:sz w:val="24"/>
              </w:rPr>
              <w:t>DOPUNSKI KAPITAL</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Članak 71.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760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w:t>
            </w:r>
            <w:r w:rsidRPr="00EF7F33">
              <w:tab/>
            </w:r>
            <w:r w:rsidRPr="00EF7F33">
              <w:rPr>
                <w:rStyle w:val="InstructionsTabelleberschrift"/>
                <w:rFonts w:ascii="Times New Roman" w:hAnsi="Times New Roman"/>
                <w:sz w:val="24"/>
              </w:rPr>
              <w:t>Instrumenti kapitala i podređeni krediti koji se priznaju kao d</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punski kapital</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62. točka (a), članci od 63. do 65., članak 66. točka (a) i članak 67.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770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1.2.1.1</w:t>
            </w:r>
            <w:r w:rsidRPr="00EF7F33">
              <w:tab/>
            </w:r>
            <w:r w:rsidRPr="00EF7F33">
              <w:rPr>
                <w:rStyle w:val="InstructionsTabelleberschrift"/>
                <w:rFonts w:ascii="Times New Roman" w:hAnsi="Times New Roman"/>
                <w:sz w:val="24"/>
              </w:rPr>
              <w:t xml:space="preserve">Plaćeni instrumenti kapitala </w:t>
            </w:r>
            <w:r w:rsidRPr="00EF7F33">
              <w:t xml:space="preserve"> </w:t>
            </w:r>
            <w:r w:rsidRPr="00EF7F33">
              <w:rPr>
                <w:rStyle w:val="InstructionsTabelleberschrift"/>
                <w:rFonts w:ascii="Times New Roman" w:hAnsi="Times New Roman"/>
                <w:sz w:val="24"/>
              </w:rPr>
              <w:t>i podređeni krediti</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62. točka (a), članak 63. i članak 65.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premiju na dionice povezanu s instrumentima.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780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1.2.1.2 (*)</w:t>
            </w:r>
            <w:r w:rsidRPr="00EF7F33">
              <w:tab/>
            </w:r>
            <w:r w:rsidRPr="00EF7F33">
              <w:rPr>
                <w:rStyle w:val="InstructionsTabelleberschrift"/>
                <w:rFonts w:ascii="Times New Roman" w:hAnsi="Times New Roman"/>
                <w:sz w:val="24"/>
              </w:rPr>
              <w:t xml:space="preserve">Bilješka: Instrumenti kapitala </w:t>
            </w:r>
            <w:r w:rsidRPr="00EF7F33">
              <w:t xml:space="preserve"> </w:t>
            </w:r>
            <w:r w:rsidRPr="00EF7F33">
              <w:rPr>
                <w:rStyle w:val="InstructionsTabelleberschrift"/>
                <w:rFonts w:ascii="Times New Roman" w:hAnsi="Times New Roman"/>
                <w:sz w:val="24"/>
              </w:rPr>
              <w:t>i podređeni krediti koji n</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su priznati</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63. točke (c), (e) i (f); i članak 64.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Uvjeti u tim točkama odražavaju različite pozicije kapitala koje su reverz</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bilne i stoga se iznos koji se ovdje iskazuje može priznati u naknadnim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dobljima.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ne uključuje premiju na dionice povezanu s instrumentima.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790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1.2.1.3</w:t>
            </w:r>
            <w:r w:rsidRPr="00EF7F33">
              <w:tab/>
            </w:r>
            <w:r w:rsidRPr="00EF7F33">
              <w:rPr>
                <w:rStyle w:val="InstructionsTabelleberschrift"/>
                <w:rFonts w:ascii="Times New Roman" w:hAnsi="Times New Roman"/>
                <w:sz w:val="24"/>
              </w:rPr>
              <w:t>Premija na dionice</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62. točka (b) i članak 65.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Premija na dionice ima isto značenje kao i u primjenjivom računovodstv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 xml:space="preserve">nom standardu. </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 ovoj stavci dio je koji se odnosi na „plaćene instrumente kapitala”.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800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1.2.1.4</w:t>
            </w:r>
            <w:r w:rsidRPr="00EF7F33">
              <w:tab/>
            </w:r>
            <w:r w:rsidRPr="00EF7F33">
              <w:rPr>
                <w:rStyle w:val="InstructionsTabelleberschrift"/>
                <w:rFonts w:ascii="Times New Roman" w:hAnsi="Times New Roman"/>
                <w:sz w:val="24"/>
              </w:rPr>
              <w:t>(–) Vlastiti instrumenti dopunskog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63. točka (b) podtočka i., članak 66. točka (a) i članak 67.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Vlastiti instrumenti dopunskog kapitala koje drži institucija ili grupa koja izvješćuje na izvještajni datum. Podložno iznimkama iz članka 67.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 ovom se retku ne iskazuju ulaganja u dionice uključena kao „instrumenti kapitala koji se ne priznaju”.</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uključuje premiju na dionice povezanu s vla</w:t>
            </w:r>
            <w:r w:rsidRPr="00EF7F33">
              <w:rPr>
                <w:rStyle w:val="FormatvorlageInstructionsTabelleText"/>
                <w:rFonts w:ascii="Times New Roman" w:hAnsi="Times New Roman"/>
                <w:sz w:val="24"/>
              </w:rPr>
              <w:t>s</w:t>
            </w:r>
            <w:r w:rsidRPr="00EF7F33">
              <w:rPr>
                <w:rStyle w:val="FormatvorlageInstructionsTabelleText"/>
                <w:rFonts w:ascii="Times New Roman" w:hAnsi="Times New Roman"/>
                <w:sz w:val="24"/>
              </w:rPr>
              <w:t>titim dionicama.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Stavke od 1.2.1.4 do 1.2.1.4.3 ne uključuju stvarne ili potencijalne obveze kupnje vlastitih instrumenata dopunskog kapitala. Stvarne ili potencijalne obveze kupnje vlastitih instrumenata dopunskog kapitala iskazuju se zase</w:t>
            </w:r>
            <w:r w:rsidRPr="00EF7F33">
              <w:rPr>
                <w:rStyle w:val="FormatvorlageInstructionsTabelleText"/>
                <w:rFonts w:ascii="Times New Roman" w:hAnsi="Times New Roman"/>
                <w:sz w:val="24"/>
              </w:rPr>
              <w:t>b</w:t>
            </w:r>
            <w:r w:rsidRPr="00EF7F33">
              <w:rPr>
                <w:rStyle w:val="FormatvorlageInstructionsTabelleText"/>
                <w:rFonts w:ascii="Times New Roman" w:hAnsi="Times New Roman"/>
                <w:sz w:val="24"/>
              </w:rPr>
              <w:t>no u stavci 1.2.1.5.</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810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1.2.1.4.1</w:t>
            </w:r>
            <w:r w:rsidRPr="00EF7F33">
              <w:tab/>
            </w:r>
            <w:r w:rsidRPr="00EF7F33">
              <w:rPr>
                <w:rStyle w:val="InstructionsTabelleberschrift"/>
                <w:rFonts w:ascii="Times New Roman" w:hAnsi="Times New Roman"/>
                <w:sz w:val="24"/>
              </w:rPr>
              <w:t>(–) Izravna ulaganja u instrumente dopunskog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63. točka (b), članak 66. točka (a) i članak 67.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Instrumenti dopunskog kapitala koji su uključeni u stavku 1.2.1.1 i koje drže institucije konsolidirane grupe. </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840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1.2.1.4.2</w:t>
            </w:r>
            <w:r w:rsidRPr="00EF7F33">
              <w:tab/>
            </w:r>
            <w:r w:rsidRPr="00EF7F33">
              <w:rPr>
                <w:rStyle w:val="InstructionsTabelleberschrift"/>
                <w:rFonts w:ascii="Times New Roman" w:hAnsi="Times New Roman"/>
                <w:sz w:val="24"/>
              </w:rPr>
              <w:t>(–) Neizravna ulaganja u instrumente dopunskog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114., članak 63. točka (b), članak 66. točka (a) i članak 67.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841</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1.2.1.4.3</w:t>
            </w:r>
            <w:r w:rsidRPr="00EF7F33">
              <w:tab/>
            </w:r>
            <w:r w:rsidRPr="00EF7F33">
              <w:rPr>
                <w:rStyle w:val="InstructionsTabelleberschrift"/>
                <w:rFonts w:ascii="Times New Roman" w:hAnsi="Times New Roman"/>
                <w:sz w:val="24"/>
              </w:rPr>
              <w:t>(–) Sintetska ulaganja u instrumente dopunskog kapitala</w:t>
            </w:r>
          </w:p>
          <w:p w:rsidR="005643EA" w:rsidRPr="00EF7F33" w:rsidRDefault="00805255"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Članak 4. stavak 1. točka 126., članak 63. točka (b), članak 66. točka (a) i članak 67.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842</w:t>
            </w:r>
          </w:p>
          <w:p w:rsidR="005643EA" w:rsidRPr="00EF7F33" w:rsidRDefault="005643EA" w:rsidP="00FD239F">
            <w:pPr>
              <w:pStyle w:val="InstructionsText"/>
              <w:rPr>
                <w:rStyle w:val="FormatvorlageInstructionsTabelleText"/>
                <w:rFonts w:ascii="Times New Roman" w:hAnsi="Times New Roman"/>
                <w:sz w:val="24"/>
              </w:rPr>
            </w:pPr>
          </w:p>
        </w:tc>
        <w:tc>
          <w:tcPr>
            <w:tcW w:w="7620" w:type="dxa"/>
          </w:tcPr>
          <w:p w:rsidR="005643EA" w:rsidRPr="00EF7F33" w:rsidRDefault="00A86EB4" w:rsidP="00FD239F">
            <w:pPr>
              <w:pStyle w:val="InstructionsText"/>
              <w:rPr>
                <w:rStyle w:val="InstructionsTabelleberschrift"/>
                <w:rFonts w:ascii="Times New Roman" w:hAnsi="Times New Roman"/>
                <w:b w:val="0"/>
                <w:sz w:val="24"/>
              </w:rPr>
            </w:pPr>
            <w:r w:rsidRPr="00EF7F33">
              <w:rPr>
                <w:rStyle w:val="InstructionsTabelleberschrift"/>
                <w:rFonts w:ascii="Times New Roman" w:hAnsi="Times New Roman"/>
                <w:sz w:val="24"/>
              </w:rPr>
              <w:t>1.2.1.5</w:t>
            </w:r>
            <w:r w:rsidRPr="00EF7F33">
              <w:tab/>
            </w:r>
            <w:r w:rsidRPr="00EF7F33">
              <w:rPr>
                <w:rStyle w:val="InstructionsTabelleberschrift"/>
                <w:rFonts w:ascii="Times New Roman" w:hAnsi="Times New Roman"/>
                <w:sz w:val="24"/>
              </w:rPr>
              <w:t>(–) Stvarne ili potencijalne obveze kupnje vlastitih instrumenata dopunskog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66. točka (a) i članak 67. CRR-a</w:t>
            </w:r>
          </w:p>
          <w:p w:rsidR="005643EA" w:rsidRPr="00EF7F33" w:rsidRDefault="00A86EB4" w:rsidP="00FD239F">
            <w:pPr>
              <w:pStyle w:val="InstructionsText"/>
              <w:rPr>
                <w:rStyle w:val="InstructionsTabelleberschrift"/>
                <w:rFonts w:ascii="Times New Roman" w:hAnsi="Times New Roman"/>
                <w:b w:val="0"/>
                <w:bCs w:val="0"/>
                <w:sz w:val="24"/>
                <w:u w:val="none"/>
              </w:rPr>
            </w:pPr>
            <w:r w:rsidRPr="00EF7F33">
              <w:t>U skladu s člankom 66. točkom (a) CRR-a odbijaju se „vlastiti instrumenti dopunskog kapitala za koje bi institucija mogla imati obvezu kupnje na t</w:t>
            </w:r>
            <w:r w:rsidRPr="00EF7F33">
              <w:t>e</w:t>
            </w:r>
            <w:r w:rsidRPr="00EF7F33">
              <w:t xml:space="preserve">melju postojećih ugovornih obveza”. </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880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1.2.2</w:t>
            </w:r>
            <w:r w:rsidRPr="00EF7F33">
              <w:tab/>
            </w:r>
            <w:r w:rsidRPr="00EF7F33">
              <w:rPr>
                <w:rStyle w:val="InstructionsTabelleberschrift"/>
                <w:rFonts w:ascii="Times New Roman" w:hAnsi="Times New Roman"/>
                <w:sz w:val="24"/>
              </w:rPr>
              <w:t>Prijelazna usklađenja na temelju instrumenata dopunskog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tala koji se nastavljaju priznavati i podređenih kredita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483. stavci 6. i 7., članak 484., članak 486., članak 488., članak 490. i članak 491.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instrumenata kapitala koji se nastavljaju priznavati u prijelaznom ra</w:t>
            </w:r>
            <w:r w:rsidRPr="00EF7F33">
              <w:rPr>
                <w:rStyle w:val="FormatvorlageInstructionsTabelleText"/>
                <w:rFonts w:ascii="Times New Roman" w:hAnsi="Times New Roman"/>
                <w:sz w:val="24"/>
              </w:rPr>
              <w:t>z</w:t>
            </w:r>
            <w:r w:rsidRPr="00EF7F33">
              <w:rPr>
                <w:rStyle w:val="FormatvorlageInstructionsTabelleText"/>
                <w:rFonts w:ascii="Times New Roman" w:hAnsi="Times New Roman"/>
                <w:sz w:val="24"/>
              </w:rPr>
              <w:t>doblju kao dopunski kapital. Iznos koji je potrebno iskazati dobiva se izra</w:t>
            </w:r>
            <w:r w:rsidRPr="00EF7F33">
              <w:rPr>
                <w:rStyle w:val="FormatvorlageInstructionsTabelleText"/>
                <w:rFonts w:ascii="Times New Roman" w:hAnsi="Times New Roman"/>
                <w:sz w:val="24"/>
              </w:rPr>
              <w:t>v</w:t>
            </w:r>
            <w:r w:rsidRPr="00EF7F33">
              <w:rPr>
                <w:rStyle w:val="FormatvorlageInstructionsTabelleText"/>
                <w:rFonts w:ascii="Times New Roman" w:hAnsi="Times New Roman"/>
                <w:sz w:val="24"/>
              </w:rPr>
              <w:t>no iz CA5.</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890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1.2.3</w:t>
            </w:r>
            <w:r w:rsidRPr="00EF7F33">
              <w:tab/>
            </w:r>
            <w:r w:rsidRPr="00EF7F33">
              <w:rPr>
                <w:rStyle w:val="InstructionsTabelleberschrift"/>
                <w:rFonts w:ascii="Times New Roman" w:hAnsi="Times New Roman"/>
                <w:sz w:val="24"/>
              </w:rPr>
              <w:t>Instrumenti društava kćeri koji su priznati u dopunskom kapit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lu</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83., 87. i 88. CRR-a</w:t>
            </w:r>
          </w:p>
          <w:p w:rsidR="00477CB6"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Zbroj svih iznosa kvalificiranog regulatornog kapitala društava kćeri koji je uključen u konsolidirani dopunski kapital</w:t>
            </w:r>
          </w:p>
          <w:p w:rsidR="00543DBD" w:rsidRPr="00EF7F33" w:rsidRDefault="00543DBD"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Uključuje se kvalificirani dopunski kapital koji izdaje subjekt posebne na</w:t>
            </w:r>
            <w:r w:rsidRPr="00EF7F33">
              <w:rPr>
                <w:rStyle w:val="FormatvorlageInstructionsTabelleText"/>
                <w:rFonts w:ascii="Times New Roman" w:hAnsi="Times New Roman"/>
                <w:sz w:val="24"/>
              </w:rPr>
              <w:t>m</w:t>
            </w:r>
            <w:r w:rsidRPr="00EF7F33">
              <w:rPr>
                <w:rStyle w:val="FormatvorlageInstructionsTabelleText"/>
                <w:rFonts w:ascii="Times New Roman" w:hAnsi="Times New Roman"/>
                <w:sz w:val="24"/>
              </w:rPr>
              <w:t>jene (članak 83. CRR-a).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900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1.2.4</w:t>
            </w:r>
            <w:r w:rsidRPr="00EF7F33">
              <w:tab/>
            </w:r>
            <w:r w:rsidRPr="00EF7F33">
              <w:rPr>
                <w:rStyle w:val="InstructionsTabelleberschrift"/>
                <w:rFonts w:ascii="Times New Roman" w:hAnsi="Times New Roman"/>
                <w:sz w:val="24"/>
              </w:rPr>
              <w:t>Prijelazna usklađenja na temelju dodatnog priznavanja instr</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menata društava kćeri u dopunskom kapitalu</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480.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kvalificiranog regulatornog kapitala uključenog u konsolidirani dopunski kapital zbog prijelaznih odredbi. Ova se stavka dobiva izravno iz CA5.</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910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1.2.5</w:t>
            </w:r>
            <w:r w:rsidRPr="00EF7F33">
              <w:tab/>
            </w:r>
            <w:r w:rsidRPr="00EF7F33">
              <w:rPr>
                <w:rStyle w:val="InstructionsTabelleberschrift"/>
                <w:rFonts w:ascii="Times New Roman" w:hAnsi="Times New Roman"/>
                <w:sz w:val="24"/>
              </w:rPr>
              <w:t>Priznati iznos viška rezervacija iznad očekivanih gubitaka pri</w:t>
            </w:r>
            <w:r w:rsidRPr="00EF7F33">
              <w:rPr>
                <w:rStyle w:val="InstructionsTabelleberschrift"/>
                <w:rFonts w:ascii="Times New Roman" w:hAnsi="Times New Roman"/>
                <w:sz w:val="24"/>
              </w:rPr>
              <w:t>m</w:t>
            </w:r>
            <w:r w:rsidRPr="00EF7F33">
              <w:rPr>
                <w:rStyle w:val="InstructionsTabelleberschrift"/>
                <w:rFonts w:ascii="Times New Roman" w:hAnsi="Times New Roman"/>
                <w:sz w:val="24"/>
              </w:rPr>
              <w:t>jenom IRB pristupa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62. točka (d)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Za institucije koje izračunavaju iznose izloženosti ponderirane rizikom u skladu s IRB pristupom ova stavka sadržava pozitivne iznose koji proizlaze iz usporedbe rezervacija i očekivanih gubitaka koji se priznaju kao dopunski kapital.</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920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1.2.6</w:t>
            </w:r>
            <w:r w:rsidRPr="00EF7F33">
              <w:tab/>
            </w:r>
            <w:r w:rsidRPr="00EF7F33">
              <w:rPr>
                <w:rStyle w:val="InstructionsTabelleberschrift"/>
                <w:rFonts w:ascii="Times New Roman" w:hAnsi="Times New Roman"/>
                <w:sz w:val="24"/>
              </w:rPr>
              <w:t>Opći ispravci vrijednosti za kreditni rizik u skladu sa standard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ziranim pristupom</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Članak 62. točka (c)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Za institucije koje izračunavaju iznose izloženosti ponderirane rizikom u skladu sa standardiziranim pristupom,ova stavka sadržava opće ispravke vr</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jednosti za kreditni rizik koji se priznaju kao dopunski kapital.</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930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1.2.7</w:t>
            </w:r>
            <w:r w:rsidRPr="00EF7F33">
              <w:tab/>
            </w:r>
            <w:r w:rsidRPr="00EF7F33">
              <w:rPr>
                <w:rStyle w:val="InstructionsTabelleberschrift"/>
                <w:rFonts w:ascii="Times New Roman" w:hAnsi="Times New Roman"/>
                <w:sz w:val="24"/>
              </w:rPr>
              <w:t>(–) Recipročna međusobna ulaganja u dopunski kapital</w:t>
            </w:r>
          </w:p>
          <w:p w:rsidR="005643EA" w:rsidRPr="00EF7F33" w:rsidRDefault="0080525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122., članak 66. točka (b) i članak 68.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Ulaganja u instrumente dopunskog kapitala subjekata financijskog sektora (kako su definirani u članku 4. stavku 1. točki 27. CRR-a) ako postoji reci</w:t>
            </w:r>
            <w:r w:rsidRPr="00EF7F33">
              <w:rPr>
                <w:rStyle w:val="FormatvorlageInstructionsTabelleText"/>
                <w:rFonts w:ascii="Times New Roman" w:hAnsi="Times New Roman"/>
                <w:sz w:val="24"/>
              </w:rPr>
              <w:t>p</w:t>
            </w:r>
            <w:r w:rsidRPr="00EF7F33">
              <w:rPr>
                <w:rStyle w:val="FormatvorlageInstructionsTabelleText"/>
                <w:rFonts w:ascii="Times New Roman" w:hAnsi="Times New Roman"/>
                <w:sz w:val="24"/>
              </w:rPr>
              <w:t>ročno međusobno ulaganje za koje nadležno tijelo smatra da mu je cilj umj</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tno povećati regulatorni kapital institucije.</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Iznos koji je potrebno iskazati izračunava se na osnovi bruto dugih pozicija i uključuje stavke osigurateljnog dopunskog kapitala i dopunskog kapitala II.</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940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1.2.8</w:t>
            </w:r>
            <w:r w:rsidRPr="00EF7F33">
              <w:tab/>
            </w:r>
            <w:r w:rsidRPr="00EF7F33">
              <w:rPr>
                <w:rStyle w:val="InstructionsTabelleberschrift"/>
                <w:rFonts w:ascii="Times New Roman" w:hAnsi="Times New Roman"/>
                <w:sz w:val="24"/>
              </w:rPr>
              <w:t>(–) Instrumenti dopunskog kapitala subjekata financijskog se</w:t>
            </w:r>
            <w:r w:rsidRPr="00EF7F33">
              <w:rPr>
                <w:rStyle w:val="InstructionsTabelleberschrift"/>
                <w:rFonts w:ascii="Times New Roman" w:hAnsi="Times New Roman"/>
                <w:sz w:val="24"/>
              </w:rPr>
              <w:t>k</w:t>
            </w:r>
            <w:r w:rsidRPr="00EF7F33">
              <w:rPr>
                <w:rStyle w:val="InstructionsTabelleberschrift"/>
                <w:rFonts w:ascii="Times New Roman" w:hAnsi="Times New Roman"/>
                <w:sz w:val="24"/>
              </w:rPr>
              <w:t>tora ako institucija nema značajno ulaganje</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27., članak 66. točka (c), članci od 68. do 70. i čl</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nak 79.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dopunskog kapitala.</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950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1.2.9</w:t>
            </w:r>
            <w:r w:rsidRPr="00EF7F33">
              <w:tab/>
            </w:r>
            <w:r w:rsidRPr="00EF7F33">
              <w:rPr>
                <w:rStyle w:val="InstructionsTabelleberschrift"/>
                <w:rFonts w:ascii="Times New Roman" w:hAnsi="Times New Roman"/>
                <w:sz w:val="24"/>
              </w:rPr>
              <w:t>(–) Instrumenti dopunskog kapitala subjekata financijskog se</w:t>
            </w:r>
            <w:r w:rsidRPr="00EF7F33">
              <w:rPr>
                <w:rStyle w:val="InstructionsTabelleberschrift"/>
                <w:rFonts w:ascii="Times New Roman" w:hAnsi="Times New Roman"/>
                <w:sz w:val="24"/>
              </w:rPr>
              <w:t>k</w:t>
            </w:r>
            <w:r w:rsidRPr="00EF7F33">
              <w:rPr>
                <w:rStyle w:val="InstructionsTabelleberschrift"/>
                <w:rFonts w:ascii="Times New Roman" w:hAnsi="Times New Roman"/>
                <w:sz w:val="24"/>
              </w:rPr>
              <w:t>tora ako institucija ima značajno ulaganje</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4. stavak 1. točka 27., članak 66. točka (d), članak 68., članak 69. i članak 79. CRR-a</w:t>
            </w:r>
          </w:p>
          <w:p w:rsidR="005643EA" w:rsidRPr="00EF7F33" w:rsidRDefault="009B51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Ulaganja institucije u instrumente dopunskog kapitala subjekata financijskog sektora (kako su definirani u članku 4. stavku 1. točki 27. CRR-a) ako inst</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tucija ima značajno ulaganje koje je potrebno u potpunosti odbiti</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960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1.2.10</w:t>
            </w:r>
            <w:r w:rsidRPr="00EF7F33">
              <w:tab/>
            </w:r>
            <w:r w:rsidRPr="00EF7F33">
              <w:rPr>
                <w:rStyle w:val="InstructionsTabelleberschrift"/>
                <w:rFonts w:ascii="Times New Roman" w:hAnsi="Times New Roman"/>
                <w:sz w:val="24"/>
              </w:rPr>
              <w:t>Ostala prijelazna usklađenja dopunskog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od 476. do 478. i članak 481.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Usklađenja zbog prijelaznih odredbi. Iznos koji je potrebno iskazati dobiva se izravno iz CA5.</w:t>
            </w:r>
          </w:p>
        </w:tc>
      </w:tr>
      <w:tr w:rsidR="00A86EB4" w:rsidRPr="00EF7F33" w:rsidTr="00672D2A">
        <w:tc>
          <w:tcPr>
            <w:tcW w:w="1129" w:type="dxa"/>
          </w:tcPr>
          <w:p w:rsidR="00A86EB4"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970</w:t>
            </w:r>
          </w:p>
        </w:tc>
        <w:tc>
          <w:tcPr>
            <w:tcW w:w="7620" w:type="dxa"/>
          </w:tcPr>
          <w:p w:rsidR="005643EA" w:rsidRPr="00EF7F33" w:rsidRDefault="00A86EB4"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1.2.11</w:t>
            </w:r>
            <w:r w:rsidRPr="00EF7F33">
              <w:tab/>
            </w:r>
            <w:r w:rsidRPr="00EF7F33">
              <w:rPr>
                <w:rStyle w:val="InstructionsTabelleberschrift"/>
                <w:rFonts w:ascii="Times New Roman" w:hAnsi="Times New Roman"/>
                <w:sz w:val="24"/>
              </w:rPr>
              <w:t>Odbitak od stavki dopunskog kapitala koji premašuje dopunski kapital (odbijen u dodatnom osnovnom kapitalu)</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56. točka (e) CRR-a.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Dopunski kapital ne može biti negativan, ali odbici dopunskog kapitala m</w:t>
            </w:r>
            <w:r w:rsidRPr="00EF7F33">
              <w:rPr>
                <w:rStyle w:val="FormatvorlageInstructionsTabelleText"/>
                <w:rFonts w:ascii="Times New Roman" w:hAnsi="Times New Roman"/>
                <w:sz w:val="24"/>
              </w:rPr>
              <w:t>o</w:t>
            </w:r>
            <w:r w:rsidRPr="00EF7F33">
              <w:rPr>
                <w:rStyle w:val="FormatvorlageInstructionsTabelleText"/>
                <w:rFonts w:ascii="Times New Roman" w:hAnsi="Times New Roman"/>
                <w:sz w:val="24"/>
              </w:rPr>
              <w:t>gu biti veći od dopunskog kapitala uvećanog za povezanu premiju na dion</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ce. Ako se to dogodi, dopunski kapital jednak je nuli, a višak odbitaka od dopunskog kapitala odbija se od dodatnog osnovnog kapitala.</w:t>
            </w:r>
          </w:p>
          <w:p w:rsidR="005643EA" w:rsidRPr="00EF7F33" w:rsidRDefault="00A86EB4"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Ovom se stavkom postiže da zbroj stavki od 1.2.1 do 1.2.13 nikad nije manji od nule. Ako ova stavka pokazuje pozitivnu vrijednost, stavka 1.1.2.8 ima vrijednost suprotnog predznaka.</w:t>
            </w:r>
          </w:p>
        </w:tc>
      </w:tr>
      <w:tr w:rsidR="00BD687C" w:rsidRPr="00EF7F33" w:rsidTr="00672D2A">
        <w:tc>
          <w:tcPr>
            <w:tcW w:w="1129" w:type="dxa"/>
          </w:tcPr>
          <w:p w:rsidR="00BD687C" w:rsidRPr="00EF7F33" w:rsidDel="00BD687C" w:rsidRDefault="00BD687C"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974</w:t>
            </w:r>
          </w:p>
        </w:tc>
        <w:tc>
          <w:tcPr>
            <w:tcW w:w="7620" w:type="dxa"/>
          </w:tcPr>
          <w:p w:rsidR="005643EA" w:rsidRPr="00EF7F33" w:rsidRDefault="00BD687C"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1.2.12</w:t>
            </w:r>
            <w:r w:rsidRPr="00EF7F33">
              <w:tab/>
            </w:r>
            <w:r w:rsidRPr="00EF7F33">
              <w:rPr>
                <w:rStyle w:val="InstructionsTabelleberschrift"/>
                <w:rFonts w:ascii="Times New Roman" w:hAnsi="Times New Roman"/>
                <w:sz w:val="24"/>
              </w:rPr>
              <w:t xml:space="preserve">(–) Dodatni odbici od dopunskog kapitala u skladu s člankom 3. </w:t>
            </w:r>
            <w:r w:rsidRPr="00EF7F33">
              <w:rPr>
                <w:rStyle w:val="InstructionsTabelleberschrift"/>
                <w:rFonts w:ascii="Times New Roman" w:hAnsi="Times New Roman"/>
                <w:sz w:val="24"/>
              </w:rPr>
              <w:lastRenderedPageBreak/>
              <w:t>CRR-a</w:t>
            </w:r>
          </w:p>
          <w:p w:rsidR="005643EA" w:rsidRPr="00EF7F33" w:rsidRDefault="00BD687C"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3. CRR-a</w:t>
            </w:r>
          </w:p>
        </w:tc>
      </w:tr>
      <w:tr w:rsidR="00A86EB4" w:rsidRPr="00EF7F33" w:rsidTr="00672D2A">
        <w:tc>
          <w:tcPr>
            <w:tcW w:w="1129" w:type="dxa"/>
          </w:tcPr>
          <w:p w:rsidR="00A86EB4" w:rsidRPr="00EF7F33" w:rsidRDefault="00BD687C"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978</w:t>
            </w:r>
          </w:p>
        </w:tc>
        <w:tc>
          <w:tcPr>
            <w:tcW w:w="7620" w:type="dxa"/>
          </w:tcPr>
          <w:p w:rsidR="005643EA" w:rsidRPr="00EF7F33" w:rsidRDefault="00A86EB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1.2.13</w:t>
            </w:r>
            <w:r w:rsidRPr="00EF7F33">
              <w:tab/>
            </w:r>
            <w:r w:rsidRPr="00EF7F33">
              <w:rPr>
                <w:rStyle w:val="InstructionsTabelleberschrift"/>
                <w:rFonts w:ascii="Times New Roman" w:hAnsi="Times New Roman"/>
                <w:sz w:val="24"/>
              </w:rPr>
              <w:t xml:space="preserve">Elementi ili odbici od dopunskog kapitala – ostalo </w:t>
            </w:r>
          </w:p>
          <w:p w:rsidR="005643EA" w:rsidRPr="00EF7F33" w:rsidRDefault="00A86EB4"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Ovaj je redak osmišljen radi osiguranja fleksibilnosti isključivo za potrebe izvješćivanja. Popunjava se samo u rijetkim slučajevima kada ne postoji k</w:t>
            </w:r>
            <w:r w:rsidRPr="00EF7F33">
              <w:rPr>
                <w:rStyle w:val="InstructionsTabelleberschrift"/>
                <w:rFonts w:ascii="Times New Roman" w:hAnsi="Times New Roman"/>
                <w:b w:val="0"/>
                <w:sz w:val="24"/>
                <w:u w:val="none"/>
              </w:rPr>
              <w:t>o</w:t>
            </w:r>
            <w:r w:rsidRPr="00EF7F33">
              <w:rPr>
                <w:rStyle w:val="InstructionsTabelleberschrift"/>
                <w:rFonts w:ascii="Times New Roman" w:hAnsi="Times New Roman"/>
                <w:b w:val="0"/>
                <w:sz w:val="24"/>
                <w:u w:val="none"/>
              </w:rPr>
              <w:t>načna odluka o iskazivanju specifičnih stavki/odbitaka kapitala u postoj</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ćom obrascu CA1. Kao posljedica toga, ovaj se redak popunjava samo ako se element dopunskog kapitala koji se odnosi na odbitak elementa dopu</w:t>
            </w:r>
            <w:r w:rsidRPr="00EF7F33">
              <w:rPr>
                <w:rStyle w:val="InstructionsTabelleberschrift"/>
                <w:rFonts w:ascii="Times New Roman" w:hAnsi="Times New Roman"/>
                <w:b w:val="0"/>
                <w:sz w:val="24"/>
                <w:u w:val="none"/>
              </w:rPr>
              <w:t>n</w:t>
            </w:r>
            <w:r w:rsidRPr="00EF7F33">
              <w:rPr>
                <w:rStyle w:val="InstructionsTabelleberschrift"/>
                <w:rFonts w:ascii="Times New Roman" w:hAnsi="Times New Roman"/>
                <w:b w:val="0"/>
                <w:sz w:val="24"/>
                <w:u w:val="none"/>
              </w:rPr>
              <w:t xml:space="preserve">skog kapitala ne može rasporediti u jedan od redaka od 750 do 974. </w:t>
            </w:r>
          </w:p>
          <w:p w:rsidR="005643EA" w:rsidRPr="00EF7F33" w:rsidRDefault="00A86EB4" w:rsidP="00255BA9">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Ova se rubrika ne upotrebljava za raspoređivanje stavki/odbitaka kapitala koji nisu obuhvaćeni CRR-om u izračun stopa solventnosti (npr. raspoređ</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vanje nacionalnih stavki/odbitaka kapitala izvan područja primjene CRR-a).</w:t>
            </w:r>
          </w:p>
        </w:tc>
      </w:tr>
    </w:tbl>
    <w:p w:rsidR="005643EA" w:rsidRPr="00EF7F33" w:rsidRDefault="005643EA" w:rsidP="00FD239F">
      <w:pPr>
        <w:pStyle w:val="InstructionsText"/>
      </w:pP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523998102"/>
      <w:bookmarkStart w:id="55" w:name="_Toc308175823"/>
      <w:bookmarkStart w:id="56" w:name="_Toc360188327"/>
      <w:r w:rsidRPr="00EF7F33">
        <w:rPr>
          <w:rFonts w:ascii="Times New Roman" w:hAnsi="Times New Roman"/>
          <w:sz w:val="24"/>
          <w:u w:val="none"/>
        </w:rPr>
        <w:t>1.3.</w:t>
      </w:r>
      <w:r w:rsidRPr="00EF7F33">
        <w:tab/>
      </w:r>
      <w:r w:rsidRPr="00EF7F33">
        <w:rPr>
          <w:rFonts w:ascii="Times New Roman" w:hAnsi="Times New Roman"/>
          <w:sz w:val="24"/>
        </w:rPr>
        <w:t>C 02.00 – KAPITALNI ZAHTJEVI (CA2)</w:t>
      </w:r>
      <w:bookmarkEnd w:id="52"/>
      <w:bookmarkEnd w:id="53"/>
      <w:bookmarkEnd w:id="54"/>
      <w:r w:rsidRPr="00EF7F33">
        <w:rPr>
          <w:rFonts w:ascii="Times New Roman" w:hAnsi="Times New Roman"/>
          <w:sz w:val="24"/>
        </w:rPr>
        <w:t xml:space="preserve"> </w:t>
      </w:r>
      <w:bookmarkEnd w:id="55"/>
      <w:bookmarkEnd w:id="56"/>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3998103"/>
      <w:r w:rsidRPr="00EF7F33">
        <w:rPr>
          <w:rFonts w:ascii="Times New Roman" w:hAnsi="Times New Roman"/>
          <w:sz w:val="24"/>
          <w:u w:val="none"/>
        </w:rPr>
        <w:t>1.3.1.</w:t>
      </w:r>
      <w:r w:rsidRPr="00EF7F33">
        <w:tab/>
      </w:r>
      <w:r w:rsidRPr="00EF7F33">
        <w:rPr>
          <w:rFonts w:ascii="Times New Roman" w:hAnsi="Times New Roman"/>
          <w:sz w:val="24"/>
        </w:rPr>
        <w:t>Upute za specifične pozicije</w:t>
      </w:r>
      <w:bookmarkEnd w:id="57"/>
      <w:bookmarkEnd w:id="58"/>
      <w:bookmarkEnd w:id="59"/>
      <w:bookmarkEnd w:id="60"/>
      <w:bookmarkEnd w:id="61"/>
      <w:bookmarkEnd w:id="62"/>
    </w:p>
    <w:p w:rsidR="002648B0" w:rsidRPr="00EF7F33"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EF7F33" w:rsidTr="00672D2A">
        <w:tc>
          <w:tcPr>
            <w:tcW w:w="1591" w:type="dxa"/>
            <w:shd w:val="clear" w:color="auto" w:fill="D9D9D9"/>
          </w:tcPr>
          <w:p w:rsidR="002648B0" w:rsidRPr="00EF7F33" w:rsidRDefault="002648B0" w:rsidP="00FD239F">
            <w:pPr>
              <w:pStyle w:val="InstructionsText"/>
            </w:pPr>
            <w:r w:rsidRPr="00EF7F33">
              <w:t>Redak</w:t>
            </w:r>
          </w:p>
        </w:tc>
        <w:tc>
          <w:tcPr>
            <w:tcW w:w="7274" w:type="dxa"/>
            <w:shd w:val="clear" w:color="auto" w:fill="D9D9D9"/>
          </w:tcPr>
          <w:p w:rsidR="005643EA" w:rsidRPr="00EF7F33" w:rsidRDefault="002648B0" w:rsidP="00FD239F">
            <w:pPr>
              <w:pStyle w:val="InstructionsText"/>
            </w:pPr>
            <w:r w:rsidRPr="00EF7F33">
              <w:t>Pravna osnova i upute</w:t>
            </w:r>
          </w:p>
        </w:tc>
      </w:tr>
      <w:tr w:rsidR="002648B0" w:rsidRPr="00EF7F33" w:rsidTr="00672D2A">
        <w:tc>
          <w:tcPr>
            <w:tcW w:w="1591" w:type="dxa"/>
          </w:tcPr>
          <w:p w:rsidR="002648B0" w:rsidRPr="00EF7F33" w:rsidRDefault="002648B0" w:rsidP="00FD239F">
            <w:pPr>
              <w:pStyle w:val="InstructionsText"/>
            </w:pPr>
            <w:r w:rsidRPr="00EF7F33">
              <w:t>010</w:t>
            </w:r>
          </w:p>
        </w:tc>
        <w:tc>
          <w:tcPr>
            <w:tcW w:w="7274" w:type="dxa"/>
          </w:tcPr>
          <w:p w:rsidR="005643EA" w:rsidRPr="00EF7F33" w:rsidRDefault="00C66473" w:rsidP="00FD239F">
            <w:pPr>
              <w:pStyle w:val="InstructionsText"/>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UKUPAN IZNOS IZLOŽENOSTI RIZIKU</w:t>
            </w:r>
          </w:p>
          <w:p w:rsidR="002648B0" w:rsidRPr="00EF7F33" w:rsidRDefault="002648B0" w:rsidP="00FD239F">
            <w:pPr>
              <w:pStyle w:val="InstructionsText"/>
            </w:pPr>
            <w:r w:rsidRPr="00EF7F33">
              <w:t>Članak 92. stavak 3., članci 95., 96. i 98. CRR-a</w:t>
            </w:r>
          </w:p>
        </w:tc>
      </w:tr>
      <w:tr w:rsidR="002648B0" w:rsidRPr="00EF7F33" w:rsidTr="00672D2A">
        <w:tc>
          <w:tcPr>
            <w:tcW w:w="1591" w:type="dxa"/>
          </w:tcPr>
          <w:p w:rsidR="002648B0" w:rsidRPr="00EF7F33" w:rsidRDefault="002648B0" w:rsidP="00FD239F">
            <w:pPr>
              <w:pStyle w:val="InstructionsText"/>
            </w:pPr>
            <w:r w:rsidRPr="00EF7F33">
              <w:t>020</w:t>
            </w:r>
          </w:p>
        </w:tc>
        <w:tc>
          <w:tcPr>
            <w:tcW w:w="7274" w:type="dxa"/>
          </w:tcPr>
          <w:p w:rsidR="005643EA" w:rsidRPr="00EF7F33" w:rsidRDefault="002648B0" w:rsidP="00FD239F">
            <w:pPr>
              <w:pStyle w:val="InstructionsText"/>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Od čega: investicijska društva u skladu s člankom 95. sta</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kom 2. i člankom 98. CRR-a</w:t>
            </w:r>
          </w:p>
          <w:p w:rsidR="005643EA" w:rsidRPr="00EF7F33" w:rsidRDefault="002648B0" w:rsidP="00FD239F">
            <w:pPr>
              <w:pStyle w:val="InstructionsText"/>
            </w:pPr>
            <w:r w:rsidRPr="00EF7F33">
              <w:t xml:space="preserve">Za investicijska društva iz članka 95. stavka 2. i članka 98. CRR-a </w:t>
            </w:r>
          </w:p>
        </w:tc>
      </w:tr>
      <w:tr w:rsidR="002648B0" w:rsidRPr="00EF7F33" w:rsidTr="00672D2A">
        <w:tc>
          <w:tcPr>
            <w:tcW w:w="1591" w:type="dxa"/>
          </w:tcPr>
          <w:p w:rsidR="002648B0" w:rsidRPr="00EF7F33" w:rsidRDefault="002648B0" w:rsidP="00FD239F">
            <w:pPr>
              <w:pStyle w:val="InstructionsText"/>
            </w:pPr>
            <w:r w:rsidRPr="00EF7F33">
              <w:t>030</w:t>
            </w:r>
          </w:p>
        </w:tc>
        <w:tc>
          <w:tcPr>
            <w:tcW w:w="7274" w:type="dxa"/>
          </w:tcPr>
          <w:p w:rsidR="005643EA" w:rsidRPr="00EF7F33" w:rsidRDefault="002648B0" w:rsidP="00FD239F">
            <w:pPr>
              <w:pStyle w:val="InstructionsText"/>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Od čega: investicijska društva u skladu s člankom 96. sta</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kom 2. i člankom 97. CRR-a</w:t>
            </w:r>
          </w:p>
          <w:p w:rsidR="005643EA" w:rsidRPr="00EF7F33" w:rsidRDefault="002648B0" w:rsidP="00FD239F">
            <w:pPr>
              <w:pStyle w:val="InstructionsText"/>
            </w:pPr>
            <w:r w:rsidRPr="00EF7F33">
              <w:t>Za investicijska društva iz članka 96. stavka 2. i članka 97.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040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w:t>
            </w:r>
            <w:r w:rsidRPr="00EF7F33">
              <w:tab/>
            </w:r>
            <w:r w:rsidRPr="00EF7F33">
              <w:rPr>
                <w:rStyle w:val="InstructionsTabelleberschrift"/>
                <w:rFonts w:ascii="Times New Roman" w:hAnsi="Times New Roman"/>
                <w:sz w:val="24"/>
              </w:rPr>
              <w:t>IZNOSI IZLOŽENOSTI PONDERIRANI RIZIKOM ZA KREDITNI RIZIK, KREDITNI RIZIK DRUGE UGOVORNE STRANE I RAZRJEĐIVAČKI RIZIK TE SLOBODNE ISPOR</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KE</w:t>
            </w:r>
          </w:p>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92. stavak 3. točke (a) i (f)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050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w:t>
            </w:r>
            <w:r w:rsidRPr="00EF7F33">
              <w:tab/>
            </w:r>
            <w:r w:rsidRPr="00EF7F33">
              <w:rPr>
                <w:rStyle w:val="InstructionsTabelleberschrift"/>
                <w:rFonts w:ascii="Times New Roman" w:hAnsi="Times New Roman"/>
                <w:sz w:val="24"/>
              </w:rPr>
              <w:t>Standardizirani pristup</w:t>
            </w:r>
          </w:p>
          <w:p w:rsidR="002648B0" w:rsidRPr="00EF7F33" w:rsidRDefault="002648B0" w:rsidP="00FD239F">
            <w:pPr>
              <w:pStyle w:val="InstructionsText"/>
              <w:rPr>
                <w:rStyle w:val="FormatvorlageInstructionsTabelleText"/>
                <w:rFonts w:ascii="Times New Roman" w:hAnsi="Times New Roman"/>
                <w:sz w:val="24"/>
              </w:rPr>
            </w:pPr>
            <w:r w:rsidRPr="00EF7F33">
              <w:rPr>
                <w:rStyle w:val="InstructionsTabelleberschrift"/>
                <w:rFonts w:ascii="Times New Roman" w:hAnsi="Times New Roman"/>
                <w:b w:val="0"/>
                <w:sz w:val="24"/>
                <w:u w:val="none"/>
              </w:rPr>
              <w:t>Obrasci CR SA i SEC SA na razini ukupnih izloženosti</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060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w:t>
            </w:r>
            <w:r w:rsidRPr="00EF7F33">
              <w:tab/>
            </w:r>
            <w:r w:rsidRPr="00EF7F33">
              <w:rPr>
                <w:rStyle w:val="InstructionsTabelleberschrift"/>
                <w:rFonts w:ascii="Times New Roman" w:hAnsi="Times New Roman"/>
                <w:sz w:val="24"/>
              </w:rPr>
              <w:t>Kategorije izloženosti u skladu sa standardiziranim prist</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pom isključujući sekuritizacijske pozicije</w:t>
            </w:r>
          </w:p>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Obrazac CR SA na razini ukupnih izloženosti. </w:t>
            </w:r>
            <w:r w:rsidRPr="00EF7F33">
              <w:t xml:space="preserve">Kategorije izloženosti u skladu sa standardiziranim pristupom kategorije su navedene u članku 112. CRR-a, isključujući sekuritizacijske pozicije. </w:t>
            </w:r>
            <w:r w:rsidRPr="00EF7F33">
              <w:rPr>
                <w:rStyle w:val="FormatvorlageInstructionsTabelleText"/>
                <w:rFonts w:ascii="Times New Roman" w:hAnsi="Times New Roman"/>
                <w:sz w:val="24"/>
              </w:rPr>
              <w:t xml:space="preserve">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070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1.1.1.1.01</w:t>
            </w:r>
            <w:r w:rsidRPr="00EF7F33">
              <w:tab/>
            </w:r>
            <w:r w:rsidRPr="00EF7F33">
              <w:rPr>
                <w:rStyle w:val="InstructionsTabelleberschrift"/>
                <w:rFonts w:ascii="Times New Roman" w:hAnsi="Times New Roman"/>
                <w:sz w:val="24"/>
              </w:rPr>
              <w:t>Središnje države ili središnje banke</w:t>
            </w:r>
          </w:p>
          <w:p w:rsidR="00496C53" w:rsidRPr="00EF7F33" w:rsidRDefault="00D212FE"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lastRenderedPageBreak/>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080</w:t>
            </w:r>
          </w:p>
        </w:tc>
        <w:tc>
          <w:tcPr>
            <w:tcW w:w="7274" w:type="dxa"/>
          </w:tcPr>
          <w:p w:rsidR="00783881"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1.1.1.1.02</w:t>
            </w:r>
            <w:r w:rsidRPr="00EF7F33">
              <w:tab/>
            </w:r>
            <w:r w:rsidRPr="00EF7F33">
              <w:rPr>
                <w:rStyle w:val="InstructionsTabelleberschrift"/>
                <w:rFonts w:ascii="Times New Roman" w:hAnsi="Times New Roman"/>
                <w:sz w:val="24"/>
              </w:rPr>
              <w:t>Jedinice područne (regionalne) ili lokalne samouprave</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090</w:t>
            </w:r>
          </w:p>
        </w:tc>
        <w:tc>
          <w:tcPr>
            <w:tcW w:w="7274" w:type="dxa"/>
          </w:tcPr>
          <w:p w:rsidR="005643EA" w:rsidRPr="00EF7F33" w:rsidRDefault="002648B0" w:rsidP="00FD239F">
            <w:pPr>
              <w:pStyle w:val="InstructionsText"/>
              <w:rPr>
                <w:rStyle w:val="FormatvorlageInstructionsTabelleText"/>
                <w:rFonts w:ascii="Times New Roman" w:hAnsi="Times New Roman"/>
                <w:b/>
                <w:bCs w:val="0"/>
                <w:sz w:val="24"/>
                <w:u w:val="single"/>
              </w:rPr>
            </w:pPr>
            <w:r w:rsidRPr="00EF7F33">
              <w:rPr>
                <w:rStyle w:val="InstructionsTabelleberschrift"/>
                <w:rFonts w:ascii="Times New Roman" w:hAnsi="Times New Roman"/>
                <w:sz w:val="24"/>
              </w:rPr>
              <w:t>1.1.1.1.03</w:t>
            </w:r>
            <w:r w:rsidRPr="00EF7F33">
              <w:tab/>
            </w:r>
            <w:r w:rsidRPr="00EF7F33">
              <w:rPr>
                <w:rStyle w:val="InstructionsTabelleberschrift"/>
                <w:rFonts w:ascii="Times New Roman" w:hAnsi="Times New Roman"/>
                <w:sz w:val="24"/>
              </w:rPr>
              <w:t>Subjekti javnog sektora</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100</w:t>
            </w:r>
          </w:p>
        </w:tc>
        <w:tc>
          <w:tcPr>
            <w:tcW w:w="7274" w:type="dxa"/>
          </w:tcPr>
          <w:p w:rsidR="002648B0"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1.1.1.1.04</w:t>
            </w:r>
            <w:r w:rsidRPr="00EF7F33">
              <w:tab/>
            </w:r>
            <w:r w:rsidRPr="00EF7F33">
              <w:rPr>
                <w:rStyle w:val="InstructionsTabelleberschrift"/>
                <w:rFonts w:ascii="Times New Roman" w:hAnsi="Times New Roman"/>
                <w:sz w:val="24"/>
              </w:rPr>
              <w:t>Multilateralne razvojne banke</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Vidjeti obrazac CR SA </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110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1.1.1.1.05</w:t>
            </w:r>
            <w:r w:rsidRPr="00EF7F33">
              <w:tab/>
            </w:r>
            <w:r w:rsidRPr="00EF7F33">
              <w:rPr>
                <w:rStyle w:val="InstructionsTabelleberschrift"/>
                <w:rFonts w:ascii="Times New Roman" w:hAnsi="Times New Roman"/>
                <w:sz w:val="24"/>
              </w:rPr>
              <w:t>Međunarodne organizacije</w:t>
            </w:r>
          </w:p>
          <w:p w:rsidR="002648B0" w:rsidRPr="00EF7F33" w:rsidRDefault="00783881"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120</w:t>
            </w:r>
          </w:p>
        </w:tc>
        <w:tc>
          <w:tcPr>
            <w:tcW w:w="7274" w:type="dxa"/>
          </w:tcPr>
          <w:p w:rsidR="005643EA" w:rsidRPr="00EF7F33" w:rsidRDefault="00783881"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1.1.1.1.06</w:t>
            </w:r>
            <w:r w:rsidRPr="00EF7F33">
              <w:tab/>
            </w:r>
            <w:r w:rsidRPr="00EF7F33">
              <w:rPr>
                <w:rStyle w:val="InstructionsTabelleberschrift"/>
                <w:rFonts w:ascii="Times New Roman" w:hAnsi="Times New Roman"/>
                <w:sz w:val="24"/>
              </w:rPr>
              <w:t>Institucije</w:t>
            </w:r>
          </w:p>
          <w:p w:rsidR="002648B0" w:rsidRPr="00EF7F33" w:rsidRDefault="00783881"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130</w:t>
            </w:r>
          </w:p>
        </w:tc>
        <w:tc>
          <w:tcPr>
            <w:tcW w:w="7274" w:type="dxa"/>
          </w:tcPr>
          <w:p w:rsidR="00783881"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1.1.1.1.07</w:t>
            </w:r>
            <w:r w:rsidRPr="00EF7F33">
              <w:tab/>
            </w:r>
            <w:r w:rsidRPr="00EF7F33">
              <w:rPr>
                <w:rStyle w:val="InstructionsTabelleberschrift"/>
                <w:rFonts w:ascii="Times New Roman" w:hAnsi="Times New Roman"/>
                <w:sz w:val="24"/>
              </w:rPr>
              <w:t>Trgovačka društva</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140</w:t>
            </w:r>
          </w:p>
        </w:tc>
        <w:tc>
          <w:tcPr>
            <w:tcW w:w="7274" w:type="dxa"/>
          </w:tcPr>
          <w:p w:rsidR="005643EA" w:rsidRPr="00EF7F33" w:rsidRDefault="002648B0" w:rsidP="00FD239F">
            <w:pPr>
              <w:pStyle w:val="InstructionsText"/>
              <w:rPr>
                <w:rStyle w:val="FormatvorlageInstructionsTabelleText"/>
                <w:rFonts w:ascii="Times New Roman" w:hAnsi="Times New Roman"/>
                <w:b/>
                <w:bCs w:val="0"/>
                <w:sz w:val="24"/>
                <w:u w:val="single"/>
              </w:rPr>
            </w:pPr>
            <w:r w:rsidRPr="00EF7F33">
              <w:rPr>
                <w:rStyle w:val="InstructionsTabelleberschrift"/>
                <w:rFonts w:ascii="Times New Roman" w:hAnsi="Times New Roman"/>
                <w:sz w:val="24"/>
              </w:rPr>
              <w:t>1.1.1.1.08</w:t>
            </w:r>
            <w:r w:rsidRPr="00EF7F33">
              <w:tab/>
            </w:r>
            <w:r w:rsidRPr="00EF7F33">
              <w:rPr>
                <w:rStyle w:val="InstructionsTabelleberschrift"/>
                <w:rFonts w:ascii="Times New Roman" w:hAnsi="Times New Roman"/>
                <w:sz w:val="24"/>
              </w:rPr>
              <w:t>Stanovništvo</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150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1.1.1.1.09</w:t>
            </w:r>
            <w:r w:rsidRPr="00EF7F33">
              <w:tab/>
            </w:r>
            <w:r w:rsidRPr="00EF7F33">
              <w:rPr>
                <w:rStyle w:val="InstructionsTabelleberschrift"/>
                <w:rFonts w:ascii="Times New Roman" w:hAnsi="Times New Roman"/>
                <w:sz w:val="24"/>
              </w:rPr>
              <w:t>Osigurane nekretninama</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160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1.1.1.1.10</w:t>
            </w:r>
            <w:r w:rsidRPr="00EF7F33">
              <w:tab/>
            </w:r>
            <w:r w:rsidRPr="00EF7F33">
              <w:rPr>
                <w:rStyle w:val="InstructionsTabelleberschrift"/>
                <w:rFonts w:ascii="Times New Roman" w:hAnsi="Times New Roman"/>
                <w:sz w:val="24"/>
              </w:rPr>
              <w:t>Izloženosti sa statusom neispunjavanja obveza</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170</w:t>
            </w:r>
          </w:p>
        </w:tc>
        <w:tc>
          <w:tcPr>
            <w:tcW w:w="7274" w:type="dxa"/>
          </w:tcPr>
          <w:p w:rsidR="00783881"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1.1.1.1.11</w:t>
            </w:r>
            <w:r w:rsidRPr="00EF7F33">
              <w:tab/>
            </w:r>
            <w:r w:rsidRPr="00EF7F33">
              <w:rPr>
                <w:rStyle w:val="InstructionsTabelleberschrift"/>
                <w:rFonts w:ascii="Times New Roman" w:hAnsi="Times New Roman"/>
                <w:sz w:val="24"/>
              </w:rPr>
              <w:t>Visokorizične stavke</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783881"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180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1.1.1.1.12</w:t>
            </w:r>
            <w:r w:rsidRPr="00EF7F33">
              <w:tab/>
            </w:r>
            <w:r w:rsidRPr="00EF7F33">
              <w:rPr>
                <w:rStyle w:val="InstructionsTabelleberschrift"/>
                <w:rFonts w:ascii="Times New Roman" w:hAnsi="Times New Roman"/>
                <w:sz w:val="24"/>
              </w:rPr>
              <w:t>Pokrivene obveznice</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190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1.1.1.1.13</w:t>
            </w:r>
            <w:r w:rsidRPr="00EF7F33">
              <w:tab/>
            </w:r>
            <w:r w:rsidRPr="00EF7F33">
              <w:rPr>
                <w:rStyle w:val="InstructionsTabelleberschrift"/>
                <w:rFonts w:ascii="Times New Roman" w:hAnsi="Times New Roman"/>
                <w:sz w:val="24"/>
              </w:rPr>
              <w:t>Potraživanja prema institucijama i trgovačkim dru</w:t>
            </w:r>
            <w:r w:rsidRPr="00EF7F33">
              <w:rPr>
                <w:rStyle w:val="InstructionsTabelleberschrift"/>
                <w:rFonts w:ascii="Times New Roman" w:hAnsi="Times New Roman"/>
                <w:sz w:val="24"/>
              </w:rPr>
              <w:t>š</w:t>
            </w:r>
            <w:r w:rsidRPr="00EF7F33">
              <w:rPr>
                <w:rStyle w:val="InstructionsTabelleberschrift"/>
                <w:rFonts w:ascii="Times New Roman" w:hAnsi="Times New Roman"/>
                <w:sz w:val="24"/>
              </w:rPr>
              <w:t>tvima s kratkoročnom kreditnom procjenom</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200</w:t>
            </w:r>
          </w:p>
          <w:p w:rsidR="005643EA" w:rsidRPr="00EF7F33"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EF7F33" w:rsidRDefault="002648B0" w:rsidP="00FD239F">
            <w:pPr>
              <w:pStyle w:val="InstructionsText"/>
              <w:rPr>
                <w:rStyle w:val="FormatvorlageInstructionsTabelleText"/>
                <w:rFonts w:ascii="Times New Roman" w:hAnsi="Times New Roman"/>
                <w:bCs w:val="0"/>
                <w:sz w:val="24"/>
              </w:rPr>
            </w:pPr>
            <w:r w:rsidRPr="00EF7F33">
              <w:rPr>
                <w:rStyle w:val="InstructionsTabelleberschrift"/>
                <w:rFonts w:ascii="Times New Roman" w:hAnsi="Times New Roman"/>
                <w:sz w:val="24"/>
              </w:rPr>
              <w:t>1.1.1.1.14</w:t>
            </w:r>
            <w:r w:rsidRPr="00EF7F33">
              <w:tab/>
            </w:r>
            <w:r w:rsidRPr="00EF7F33">
              <w:rPr>
                <w:rStyle w:val="InstructionsTabelleberschrift"/>
                <w:rFonts w:ascii="Times New Roman" w:hAnsi="Times New Roman"/>
                <w:sz w:val="24"/>
              </w:rPr>
              <w:t>Subjekti za zajednička ulaganja (CIU)</w:t>
            </w:r>
          </w:p>
          <w:p w:rsidR="002648B0" w:rsidRPr="00EF7F33" w:rsidRDefault="00D212FE"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210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1.1.1.1.15</w:t>
            </w:r>
            <w:r w:rsidRPr="00EF7F33">
              <w:tab/>
            </w:r>
            <w:r w:rsidRPr="00EF7F33">
              <w:rPr>
                <w:rStyle w:val="InstructionsTabelleberschrift"/>
                <w:rFonts w:ascii="Times New Roman" w:hAnsi="Times New Roman"/>
                <w:sz w:val="24"/>
              </w:rPr>
              <w:t>Vlasnička ulaganja</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211</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1.1.1.1.16</w:t>
            </w:r>
            <w:r w:rsidRPr="00EF7F33">
              <w:tab/>
            </w:r>
            <w:r w:rsidRPr="00EF7F33">
              <w:rPr>
                <w:rStyle w:val="InstructionsTabelleberschrift"/>
                <w:rFonts w:ascii="Times New Roman" w:hAnsi="Times New Roman"/>
                <w:sz w:val="24"/>
              </w:rPr>
              <w:t>Ostale stavke</w:t>
            </w:r>
          </w:p>
          <w:p w:rsidR="005643EA" w:rsidRPr="00EF7F33" w:rsidRDefault="00D212FE" w:rsidP="00FD239F">
            <w:pPr>
              <w:pStyle w:val="InstructionsText"/>
              <w:rPr>
                <w:rStyle w:val="InstructionsTabelleberschrift"/>
                <w:rFonts w:ascii="Times New Roman" w:hAnsi="Times New Roman"/>
                <w:bCs w:val="0"/>
                <w:sz w:val="24"/>
              </w:rPr>
            </w:pPr>
            <w:r w:rsidRPr="00EF7F33">
              <w:rPr>
                <w:rStyle w:val="FormatvorlageInstructionsTabelleText"/>
                <w:rFonts w:ascii="Times New Roman" w:hAnsi="Times New Roman"/>
                <w:sz w:val="24"/>
              </w:rPr>
              <w:t>Vidjeti obrazac CR SA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220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w:t>
            </w:r>
            <w:r w:rsidRPr="00EF7F33">
              <w:tab/>
            </w:r>
            <w:r w:rsidRPr="00EF7F33">
              <w:rPr>
                <w:rStyle w:val="InstructionsTabelleberschrift"/>
                <w:rFonts w:ascii="Times New Roman" w:hAnsi="Times New Roman"/>
                <w:sz w:val="24"/>
              </w:rPr>
              <w:t>Sekuritizacijske pozicije u sklada sa standardiziranim prist</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 xml:space="preserve">pom </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SEC SA na razini ukupnih vrsta sekuritizacije</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230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1.1.1.2.*</w:t>
            </w:r>
            <w:r w:rsidRPr="00EF7F33">
              <w:tab/>
            </w:r>
            <w:r w:rsidRPr="00EF7F33">
              <w:rPr>
                <w:rStyle w:val="InstructionsTabelleberschrift"/>
                <w:rFonts w:ascii="Times New Roman" w:hAnsi="Times New Roman"/>
                <w:sz w:val="24"/>
              </w:rPr>
              <w:t xml:space="preserve">Od čega: resekuritizacija </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SEC SA na razini ukupnih vrsta sekuritizacije</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240</w:t>
            </w:r>
          </w:p>
        </w:tc>
        <w:tc>
          <w:tcPr>
            <w:tcW w:w="7274" w:type="dxa"/>
          </w:tcPr>
          <w:p w:rsidR="005643EA" w:rsidRPr="00EF7F33" w:rsidRDefault="002648B0" w:rsidP="00FD239F">
            <w:pPr>
              <w:pStyle w:val="InstructionsText"/>
              <w:rPr>
                <w:rStyle w:val="FormatvorlageInstructionsTabelleText"/>
                <w:rFonts w:ascii="Times New Roman" w:hAnsi="Times New Roman"/>
                <w:sz w:val="24"/>
              </w:rPr>
            </w:pPr>
            <w:r w:rsidRPr="00EF7F33">
              <w:rPr>
                <w:rStyle w:val="InstructionsTabelleberschrift"/>
                <w:rFonts w:ascii="Times New Roman" w:hAnsi="Times New Roman"/>
                <w:sz w:val="24"/>
              </w:rPr>
              <w:t>1.1.2</w:t>
            </w:r>
            <w:r w:rsidRPr="00EF7F33">
              <w:tab/>
            </w:r>
            <w:r w:rsidRPr="00EF7F33">
              <w:rPr>
                <w:rStyle w:val="InstructionsTabelleberschrift"/>
                <w:rFonts w:ascii="Times New Roman" w:hAnsi="Times New Roman"/>
                <w:sz w:val="24"/>
              </w:rPr>
              <w:t xml:space="preserve">Pristup zasnovan na internim rejting-sustavima (IRB)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250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1.1.2.1</w:t>
            </w:r>
            <w:r w:rsidRPr="00EF7F33">
              <w:tab/>
            </w:r>
            <w:r w:rsidRPr="00EF7F33">
              <w:rPr>
                <w:rStyle w:val="InstructionsTabelleberschrift"/>
                <w:rFonts w:ascii="Times New Roman" w:hAnsi="Times New Roman"/>
                <w:sz w:val="24"/>
              </w:rPr>
              <w:t>IRB pristupi kada se ne primjenjuju ni vlastite procjene LGD-a ni konverzijski faktori</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IRB na razini ukupnih izloženosti (kada se ne primjenjuju vlastite procjene LGD-a i/ili kreditni konverzijski faktori)</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260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1.1.2.1.01</w:t>
            </w:r>
            <w:r w:rsidRPr="00EF7F33">
              <w:tab/>
            </w:r>
            <w:r w:rsidRPr="00EF7F33">
              <w:rPr>
                <w:rStyle w:val="InstructionsTabelleberschrift"/>
                <w:rFonts w:ascii="Times New Roman" w:hAnsi="Times New Roman"/>
                <w:sz w:val="24"/>
              </w:rPr>
              <w:t>Središnje države i središnje banke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270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1.1.2.1.02</w:t>
            </w:r>
            <w:r w:rsidRPr="00EF7F33">
              <w:tab/>
            </w:r>
            <w:r w:rsidRPr="00EF7F33">
              <w:rPr>
                <w:rStyle w:val="InstructionsTabelleberschrift"/>
                <w:rFonts w:ascii="Times New Roman" w:hAnsi="Times New Roman"/>
                <w:sz w:val="24"/>
              </w:rPr>
              <w:t>Institucije</w:t>
            </w:r>
          </w:p>
          <w:p w:rsidR="002648B0" w:rsidRPr="00EF7F33" w:rsidRDefault="00D212FE" w:rsidP="002F19B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280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1.1.2.1.03</w:t>
            </w:r>
            <w:r w:rsidRPr="00EF7F33">
              <w:tab/>
            </w:r>
            <w:r w:rsidRPr="00EF7F33">
              <w:rPr>
                <w:rStyle w:val="InstructionsTabelleberschrift"/>
                <w:rFonts w:ascii="Times New Roman" w:hAnsi="Times New Roman"/>
                <w:sz w:val="24"/>
              </w:rPr>
              <w:t>Trgovačka društva – MSP</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290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1.1.2.1.04</w:t>
            </w:r>
            <w:r w:rsidRPr="00EF7F33">
              <w:tab/>
            </w:r>
            <w:r w:rsidRPr="00EF7F33">
              <w:rPr>
                <w:rStyle w:val="InstructionsTabelleberschrift"/>
                <w:rFonts w:ascii="Times New Roman" w:hAnsi="Times New Roman"/>
                <w:sz w:val="24"/>
              </w:rPr>
              <w:t>Trgovačka društva – specijalizirano financiranje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Vidjeti obrazac CR IRB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300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1.1.2.1.05</w:t>
            </w:r>
            <w:r w:rsidRPr="00EF7F33">
              <w:tab/>
            </w:r>
            <w:r w:rsidRPr="00EF7F33">
              <w:rPr>
                <w:rStyle w:val="InstructionsTabelleberschrift"/>
                <w:rFonts w:ascii="Times New Roman" w:hAnsi="Times New Roman"/>
                <w:sz w:val="24"/>
              </w:rPr>
              <w:t>Trgovačka društva – ostalo</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310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w:t>
            </w:r>
            <w:r w:rsidRPr="00EF7F33">
              <w:tab/>
            </w:r>
            <w:r w:rsidRPr="00EF7F33">
              <w:rPr>
                <w:rStyle w:val="InstructionsTabelleberschrift"/>
                <w:rFonts w:ascii="Times New Roman" w:hAnsi="Times New Roman"/>
                <w:sz w:val="24"/>
              </w:rPr>
              <w:t>IRB pristupi kada se primjenjuju vlastite procjene LGD-a i/ili konverzijski faktor</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IRB na razini ukupnih izloženosti (kada se primjenjuju vla</w:t>
            </w:r>
            <w:r w:rsidRPr="00EF7F33">
              <w:rPr>
                <w:rStyle w:val="FormatvorlageInstructionsTabelleText"/>
                <w:rFonts w:ascii="Times New Roman" w:hAnsi="Times New Roman"/>
                <w:sz w:val="24"/>
              </w:rPr>
              <w:t>s</w:t>
            </w:r>
            <w:r w:rsidRPr="00EF7F33">
              <w:rPr>
                <w:rStyle w:val="FormatvorlageInstructionsTabelleText"/>
                <w:rFonts w:ascii="Times New Roman" w:hAnsi="Times New Roman"/>
                <w:sz w:val="24"/>
              </w:rPr>
              <w:t>tite procjene LGD-a i/ili kreditni konverzijski faktor)</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320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1.1.2.2.01</w:t>
            </w:r>
            <w:r w:rsidRPr="00EF7F33">
              <w:tab/>
            </w:r>
            <w:r w:rsidRPr="00EF7F33">
              <w:rPr>
                <w:rStyle w:val="InstructionsTabelleberschrift"/>
                <w:rFonts w:ascii="Times New Roman" w:hAnsi="Times New Roman"/>
                <w:sz w:val="24"/>
              </w:rPr>
              <w:t>Središnje države i središnje banke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330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1.1.2.2.02</w:t>
            </w:r>
            <w:r w:rsidRPr="00EF7F33">
              <w:tab/>
            </w:r>
            <w:r w:rsidRPr="00EF7F33">
              <w:rPr>
                <w:rStyle w:val="InstructionsTabelleberschrift"/>
                <w:rFonts w:ascii="Times New Roman" w:hAnsi="Times New Roman"/>
                <w:sz w:val="24"/>
              </w:rPr>
              <w:t>Institucije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Vidjeti obrazac CR IRB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340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1.1.2.2.03</w:t>
            </w:r>
            <w:r w:rsidRPr="00EF7F33">
              <w:tab/>
            </w:r>
            <w:r w:rsidRPr="00EF7F33">
              <w:rPr>
                <w:rStyle w:val="InstructionsTabelleberschrift"/>
                <w:rFonts w:ascii="Times New Roman" w:hAnsi="Times New Roman"/>
                <w:sz w:val="24"/>
              </w:rPr>
              <w:t>Trgovačka društva – MSP</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350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1.1.2.2.04</w:t>
            </w:r>
            <w:r w:rsidRPr="00EF7F33">
              <w:tab/>
            </w:r>
            <w:r w:rsidRPr="00EF7F33">
              <w:rPr>
                <w:rStyle w:val="InstructionsTabelleberschrift"/>
                <w:rFonts w:ascii="Times New Roman" w:hAnsi="Times New Roman"/>
                <w:sz w:val="24"/>
              </w:rPr>
              <w:t>Trgovačka društva – specijalizirano financiranje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360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1.1.2.2.05</w:t>
            </w:r>
            <w:r w:rsidRPr="00EF7F33">
              <w:tab/>
            </w:r>
            <w:r w:rsidRPr="00EF7F33">
              <w:rPr>
                <w:rStyle w:val="InstructionsTabelleberschrift"/>
                <w:rFonts w:ascii="Times New Roman" w:hAnsi="Times New Roman"/>
                <w:sz w:val="24"/>
              </w:rPr>
              <w:t>Trgovačka društva – ostalo</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370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1.1.2.2.06</w:t>
            </w:r>
            <w:r w:rsidRPr="00EF7F33">
              <w:tab/>
            </w:r>
            <w:r w:rsidRPr="00EF7F33">
              <w:rPr>
                <w:rStyle w:val="InstructionsTabelleberschrift"/>
                <w:rFonts w:ascii="Times New Roman" w:hAnsi="Times New Roman"/>
                <w:sz w:val="24"/>
              </w:rPr>
              <w:t>Stanovništvo – osigurane nekretninom MSP-ova</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380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1.1.2.2.07</w:t>
            </w:r>
            <w:r w:rsidRPr="00EF7F33">
              <w:tab/>
            </w:r>
            <w:r w:rsidRPr="00EF7F33">
              <w:rPr>
                <w:rStyle w:val="InstructionsTabelleberschrift"/>
                <w:rFonts w:ascii="Times New Roman" w:hAnsi="Times New Roman"/>
                <w:sz w:val="24"/>
              </w:rPr>
              <w:t>Stanovništvo – osigurane nekretninom, nije izloženost prema MSP-u</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390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1.1.2.2.08</w:t>
            </w:r>
            <w:r w:rsidRPr="00EF7F33">
              <w:tab/>
            </w:r>
            <w:r w:rsidRPr="00EF7F33">
              <w:rPr>
                <w:rStyle w:val="InstructionsTabelleberschrift"/>
                <w:rFonts w:ascii="Times New Roman" w:hAnsi="Times New Roman"/>
                <w:sz w:val="24"/>
              </w:rPr>
              <w:t>Stanovništvo – kvalificirane obnovljive izloženosti</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400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1.1.2.2.09</w:t>
            </w:r>
            <w:r w:rsidRPr="00EF7F33">
              <w:tab/>
            </w:r>
            <w:r w:rsidRPr="00EF7F33">
              <w:rPr>
                <w:rStyle w:val="InstructionsTabelleberschrift"/>
                <w:rFonts w:ascii="Times New Roman" w:hAnsi="Times New Roman"/>
                <w:sz w:val="24"/>
              </w:rPr>
              <w:t>Stanovništvo – ostalo, MSP-ovi</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410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1.1.2.2.10</w:t>
            </w:r>
            <w:r w:rsidRPr="00EF7F33">
              <w:tab/>
            </w:r>
            <w:r w:rsidRPr="00EF7F33">
              <w:rPr>
                <w:rStyle w:val="InstructionsTabelleberschrift"/>
                <w:rFonts w:ascii="Times New Roman" w:hAnsi="Times New Roman"/>
                <w:sz w:val="24"/>
              </w:rPr>
              <w:t>Stanovništvo – ostalo, osobe koje nisu MSP-ovi</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420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1.1.2.3</w:t>
            </w:r>
            <w:r w:rsidRPr="00EF7F33">
              <w:tab/>
            </w:r>
            <w:r w:rsidRPr="00EF7F33">
              <w:rPr>
                <w:rStyle w:val="InstructionsTabelleberschrift"/>
                <w:rFonts w:ascii="Times New Roman" w:hAnsi="Times New Roman"/>
                <w:sz w:val="24"/>
              </w:rPr>
              <w:t>Vlasnička ulaganja u skladu s IRB pristupom</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EQU IRB</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430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1.1.2.4</w:t>
            </w:r>
            <w:r w:rsidRPr="00EF7F33">
              <w:tab/>
            </w:r>
            <w:r w:rsidRPr="00EF7F33">
              <w:rPr>
                <w:rStyle w:val="InstructionsTabelleberschrift"/>
                <w:rFonts w:ascii="Times New Roman" w:hAnsi="Times New Roman"/>
                <w:sz w:val="24"/>
              </w:rPr>
              <w:t>Sekuritizacijske pozicije u sklada s IRB pristupom</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SEC IRB na razini ukupnih vrsta sekuritizacije</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440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1.1.2.4*</w:t>
            </w:r>
            <w:r w:rsidRPr="00EF7F33">
              <w:tab/>
            </w:r>
            <w:r w:rsidRPr="00EF7F33">
              <w:rPr>
                <w:rStyle w:val="InstructionsTabelleberschrift"/>
                <w:rFonts w:ascii="Times New Roman" w:hAnsi="Times New Roman"/>
                <w:sz w:val="24"/>
              </w:rPr>
              <w:t>Od čega: resekuritizacija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Obrazac CR SEC IRB na razini ukupnih vrsta sekuritizacije</w:t>
            </w:r>
          </w:p>
        </w:tc>
      </w:tr>
      <w:tr w:rsidR="002648B0" w:rsidRPr="00EF7F33" w:rsidTr="00672D2A">
        <w:tc>
          <w:tcPr>
            <w:tcW w:w="1591" w:type="dxa"/>
          </w:tcPr>
          <w:p w:rsidR="002648B0" w:rsidRPr="00EF7F33" w:rsidRDefault="00CD7D5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450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1.1.2.5</w:t>
            </w:r>
            <w:r w:rsidRPr="00EF7F33">
              <w:tab/>
            </w:r>
            <w:r w:rsidRPr="00EF7F33">
              <w:rPr>
                <w:rStyle w:val="InstructionsTabelleberschrift"/>
                <w:rFonts w:ascii="Times New Roman" w:hAnsi="Times New Roman"/>
                <w:sz w:val="24"/>
              </w:rPr>
              <w:t>Ostala imovina bez kreditnih obveza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Iznos koji je potrebno iskazati iznos je izloženosti ponderiran rizikom kako je izračunan u skladu s člankom 156. CRR-a. </w:t>
            </w:r>
          </w:p>
        </w:tc>
      </w:tr>
      <w:tr w:rsidR="002648B0" w:rsidRPr="00EF7F33" w:rsidTr="00672D2A">
        <w:tc>
          <w:tcPr>
            <w:tcW w:w="1591" w:type="dxa"/>
          </w:tcPr>
          <w:p w:rsidR="002648B0" w:rsidRPr="00EF7F33" w:rsidRDefault="00CD7D5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460</w:t>
            </w:r>
          </w:p>
        </w:tc>
        <w:tc>
          <w:tcPr>
            <w:tcW w:w="7274" w:type="dxa"/>
          </w:tcPr>
          <w:p w:rsidR="005643EA" w:rsidRPr="00EF7F33" w:rsidRDefault="00783881"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1.1.3</w:t>
            </w:r>
            <w:r w:rsidRPr="00EF7F33">
              <w:tab/>
            </w:r>
            <w:r w:rsidRPr="00EF7F33">
              <w:rPr>
                <w:rStyle w:val="InstructionsTabelleberschrift"/>
                <w:rFonts w:ascii="Times New Roman" w:hAnsi="Times New Roman"/>
                <w:sz w:val="24"/>
              </w:rPr>
              <w:t>Iznos izloženosti riziku za uplate u fond za neispunjene obv</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ze središnje druge ugovorne strane</w:t>
            </w:r>
          </w:p>
          <w:p w:rsidR="002648B0" w:rsidRPr="00EF7F33" w:rsidRDefault="00CD7D5B"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Članci od 307. do 309.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490</w:t>
            </w:r>
          </w:p>
        </w:tc>
        <w:tc>
          <w:tcPr>
            <w:tcW w:w="7274" w:type="dxa"/>
          </w:tcPr>
          <w:p w:rsidR="005643EA" w:rsidRPr="00EF7F33" w:rsidRDefault="002648B0" w:rsidP="00FD239F">
            <w:pPr>
              <w:pStyle w:val="InstructionsText"/>
              <w:rPr>
                <w:rStyle w:val="InstructionsTabelleberschrift"/>
                <w:rFonts w:ascii="Times New Roman" w:hAnsi="Times New Roman"/>
                <w:strike/>
                <w:sz w:val="24"/>
              </w:rPr>
            </w:pPr>
            <w:r w:rsidRPr="00EF7F33">
              <w:rPr>
                <w:rStyle w:val="InstructionsTabelleberschrift"/>
                <w:rFonts w:ascii="Times New Roman" w:hAnsi="Times New Roman"/>
                <w:sz w:val="24"/>
              </w:rPr>
              <w:t>1.2</w:t>
            </w:r>
            <w:r w:rsidRPr="00EF7F33">
              <w:tab/>
            </w:r>
            <w:r w:rsidRPr="00EF7F33">
              <w:rPr>
                <w:rStyle w:val="InstructionsTabelleberschrift"/>
                <w:rFonts w:ascii="Times New Roman" w:hAnsi="Times New Roman"/>
                <w:sz w:val="24"/>
              </w:rPr>
              <w:t>UKUPAN IZNOS IZLOŽENOSTI RIZIKU ZA NAM</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RU/ISPORUKU</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92. stavak 3. točka (c) podtočka ii. i članak 92. stavak 4. točka (b)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500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1.2.1</w:t>
            </w:r>
            <w:r w:rsidRPr="00EF7F33">
              <w:tab/>
            </w:r>
            <w:r w:rsidRPr="00EF7F33">
              <w:rPr>
                <w:rStyle w:val="InstructionsTabelleberschrift"/>
                <w:rFonts w:ascii="Times New Roman" w:hAnsi="Times New Roman"/>
                <w:sz w:val="24"/>
              </w:rPr>
              <w:t>Rizik namire/isporuke u knjizi pozicija kojima se ne trguje</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SETT</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510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1.2.2</w:t>
            </w:r>
            <w:r w:rsidRPr="00EF7F33">
              <w:tab/>
            </w:r>
            <w:r w:rsidRPr="00EF7F33">
              <w:rPr>
                <w:rStyle w:val="InstructionsTabelleberschrift"/>
                <w:rFonts w:ascii="Times New Roman" w:hAnsi="Times New Roman"/>
                <w:sz w:val="24"/>
              </w:rPr>
              <w:t>Rizik namire/isporuke u knjizi trgovanja</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CR SETT</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520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UKUPAN IZNOS IZLOŽENOSTI RIZIKU ZA POZICI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 xml:space="preserve">SKI, VALUTNI I ROBNI RIZIK </w:t>
            </w:r>
          </w:p>
          <w:p w:rsidR="005643EA" w:rsidRPr="00EF7F33" w:rsidRDefault="002648B0"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Članak 92. stavak 3. točka (b) podtočka i. i točka (c) podtočke i. i iii. i članak 92. stavak 4. točka (b)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530</w:t>
            </w:r>
          </w:p>
        </w:tc>
        <w:tc>
          <w:tcPr>
            <w:tcW w:w="7274" w:type="dxa"/>
          </w:tcPr>
          <w:p w:rsidR="002648B0"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1.3.1</w:t>
            </w:r>
            <w:r w:rsidRPr="00EF7F33">
              <w:tab/>
            </w:r>
            <w:r w:rsidRPr="00EF7F33">
              <w:rPr>
                <w:rStyle w:val="InstructionsTabelleberschrift"/>
                <w:rFonts w:ascii="Times New Roman" w:hAnsi="Times New Roman"/>
                <w:sz w:val="24"/>
              </w:rPr>
              <w:t>Iznos izloženosti riziku za pozicijski, valutni i robni rizik u skladu sa standardiziranim pristupima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540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1.3.1.1</w:t>
            </w:r>
            <w:r w:rsidRPr="00EF7F33">
              <w:tab/>
            </w:r>
            <w:r w:rsidRPr="00EF7F33">
              <w:rPr>
                <w:rStyle w:val="InstructionsTabelleberschrift"/>
                <w:rFonts w:ascii="Times New Roman" w:hAnsi="Times New Roman"/>
                <w:sz w:val="24"/>
              </w:rPr>
              <w:t>Dužnički instrumenti kojima se trguje</w:t>
            </w:r>
          </w:p>
          <w:p w:rsidR="002648B0" w:rsidRPr="00EF7F33" w:rsidRDefault="002648B0" w:rsidP="00FD239F">
            <w:pPr>
              <w:pStyle w:val="InstructionsText"/>
              <w:rPr>
                <w:rStyle w:val="FormatvorlageInstructionsTabelleText"/>
                <w:rFonts w:ascii="Times New Roman" w:hAnsi="Times New Roman"/>
                <w:bCs w:val="0"/>
                <w:sz w:val="24"/>
              </w:rPr>
            </w:pPr>
            <w:r w:rsidRPr="00EF7F33">
              <w:rPr>
                <w:rStyle w:val="InstructionsTabelleberschrift"/>
                <w:rFonts w:ascii="Times New Roman" w:hAnsi="Times New Roman"/>
                <w:b w:val="0"/>
                <w:sz w:val="24"/>
                <w:u w:val="none"/>
              </w:rPr>
              <w:t>Obrazac MKR SA TDI na razini ukupnih valuta.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550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1.3.1.2</w:t>
            </w:r>
            <w:r w:rsidRPr="00EF7F33">
              <w:tab/>
            </w:r>
            <w:r w:rsidRPr="00EF7F33">
              <w:rPr>
                <w:rStyle w:val="InstructionsTabelleberschrift"/>
                <w:rFonts w:ascii="Times New Roman" w:hAnsi="Times New Roman"/>
                <w:sz w:val="24"/>
              </w:rPr>
              <w:t>Vlasnički instrumenti</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Obrazac MKR SA EQU na razini ukupnih nacionalnih tržišta. </w:t>
            </w:r>
          </w:p>
        </w:tc>
      </w:tr>
      <w:tr w:rsidR="00A76381" w:rsidRPr="00EF7F33" w:rsidTr="00672D2A">
        <w:tc>
          <w:tcPr>
            <w:tcW w:w="1591" w:type="dxa"/>
          </w:tcPr>
          <w:p w:rsidR="00A76381" w:rsidRPr="00EF7F33" w:rsidRDefault="00B97F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555</w:t>
            </w:r>
          </w:p>
        </w:tc>
        <w:tc>
          <w:tcPr>
            <w:tcW w:w="7274" w:type="dxa"/>
          </w:tcPr>
          <w:p w:rsidR="00B97F1B" w:rsidRPr="00EF7F33" w:rsidRDefault="00B97F1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1.3.1.3</w:t>
            </w:r>
            <w:r w:rsidRPr="00EF7F33">
              <w:tab/>
            </w:r>
            <w:r w:rsidRPr="00EF7F33">
              <w:rPr>
                <w:rStyle w:val="InstructionsTabelleberschrift"/>
                <w:rFonts w:ascii="Times New Roman" w:hAnsi="Times New Roman"/>
                <w:sz w:val="24"/>
              </w:rPr>
              <w:t>Poseban pristup pozicijskom riziku za CIU</w:t>
            </w:r>
          </w:p>
          <w:p w:rsidR="00B97F1B" w:rsidRPr="00EF7F33" w:rsidRDefault="00B97F1B"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348. stavak 1., članak 350. stavak 3. točka (c) i članak 364. st</w:t>
            </w:r>
            <w:r w:rsidRPr="00EF7F33">
              <w:rPr>
                <w:rStyle w:val="FormatvorlageInstructionsTabelleText"/>
                <w:rFonts w:ascii="Times New Roman" w:hAnsi="Times New Roman"/>
                <w:sz w:val="24"/>
              </w:rPr>
              <w:t>a</w:t>
            </w:r>
            <w:r w:rsidRPr="00EF7F33">
              <w:rPr>
                <w:rStyle w:val="FormatvorlageInstructionsTabelleText"/>
                <w:rFonts w:ascii="Times New Roman" w:hAnsi="Times New Roman"/>
                <w:sz w:val="24"/>
              </w:rPr>
              <w:t>vak 2. točka (a) CRR-a</w:t>
            </w:r>
          </w:p>
          <w:p w:rsidR="00A76381" w:rsidRPr="00EF7F33" w:rsidRDefault="00B97F1B"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Ukupan iznos izloženosti riziku za pozicije u CIU-u ako se kapitalni za</w:t>
            </w:r>
            <w:r w:rsidRPr="00EF7F33">
              <w:rPr>
                <w:rStyle w:val="FormatvorlageInstructionsTabelleText"/>
                <w:rFonts w:ascii="Times New Roman" w:hAnsi="Times New Roman"/>
                <w:sz w:val="24"/>
              </w:rPr>
              <w:t>h</w:t>
            </w:r>
            <w:r w:rsidRPr="00EF7F33">
              <w:rPr>
                <w:rStyle w:val="FormatvorlageInstructionsTabelleText"/>
                <w:rFonts w:ascii="Times New Roman" w:hAnsi="Times New Roman"/>
                <w:sz w:val="24"/>
              </w:rPr>
              <w:t>tjevi izračunavaju u skladu s člankom 348. stavkom 1. CRR-a odmah ili kao posljedica gornje granice definirane u članku 350. stavku 3. točki (c) CRR-a. U CRR-u te pozicije nisu izričito raspoređene u kamatni rizik ili rizik vlasničkih instrumenata.</w:t>
            </w:r>
          </w:p>
          <w:p w:rsidR="00B97F1B" w:rsidRPr="00EF7F33" w:rsidRDefault="00B97F1B"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 xml:space="preserve">Ako se primjenjuje poseban pristup u skladu s člankom 348. stavkom 1. prvom rečenicom CRR-a, iznos koji je potrebno iskazati jest 32 % neto pozicije relevantne izloženosti CIU-a, pomnoženo s 12,5. </w:t>
            </w:r>
          </w:p>
          <w:p w:rsidR="00B97F1B" w:rsidRPr="00EF7F33" w:rsidRDefault="00B97F1B" w:rsidP="007106FB">
            <w:pPr>
              <w:rPr>
                <w:rStyle w:val="InstructionsTabelleberschrift"/>
                <w:rFonts w:ascii="Times New Roman" w:hAnsi="Times New Roman"/>
                <w:sz w:val="24"/>
              </w:rPr>
            </w:pPr>
            <w:r w:rsidRPr="00EF7F33">
              <w:rPr>
                <w:rStyle w:val="FormatvorlageInstructionsTabelleText"/>
                <w:rFonts w:ascii="Times New Roman" w:hAnsi="Times New Roman"/>
                <w:sz w:val="24"/>
              </w:rPr>
              <w:t>Ako se primjenjuje poseban pristup u skladu s člankom 348. stavkom 1. drugom rečenicom CRR-a, iznos koji je potrebno iskazati jest 32 % neto pozicije relevantne izloženosti CIU-a ili razlika između 40 % navedene neto pozicije i kapitalnih zahtjeva koji proizlaze iz valutnog rizika pov</w:t>
            </w:r>
            <w:r w:rsidRPr="00EF7F33">
              <w:rPr>
                <w:rStyle w:val="FormatvorlageInstructionsTabelleText"/>
                <w:rFonts w:ascii="Times New Roman" w:hAnsi="Times New Roman"/>
                <w:sz w:val="24"/>
              </w:rPr>
              <w:t>e</w:t>
            </w:r>
            <w:r w:rsidRPr="00EF7F33">
              <w:rPr>
                <w:rStyle w:val="FormatvorlageInstructionsTabelleText"/>
                <w:rFonts w:ascii="Times New Roman" w:hAnsi="Times New Roman"/>
                <w:sz w:val="24"/>
              </w:rPr>
              <w:t>zanog s navedenom izloženosti CIU-a, ovisno o tome što je niže, po</w:t>
            </w:r>
            <w:r w:rsidRPr="00EF7F33">
              <w:rPr>
                <w:rStyle w:val="FormatvorlageInstructionsTabelleText"/>
                <w:rFonts w:ascii="Times New Roman" w:hAnsi="Times New Roman"/>
                <w:sz w:val="24"/>
              </w:rPr>
              <w:t>m</w:t>
            </w:r>
            <w:r w:rsidRPr="00EF7F33">
              <w:rPr>
                <w:rStyle w:val="FormatvorlageInstructionsTabelleText"/>
                <w:rFonts w:ascii="Times New Roman" w:hAnsi="Times New Roman"/>
                <w:sz w:val="24"/>
              </w:rPr>
              <w:t>noženo s 12,5.</w:t>
            </w:r>
          </w:p>
        </w:tc>
      </w:tr>
      <w:tr w:rsidR="00A76381" w:rsidRPr="00EF7F33" w:rsidTr="00672D2A">
        <w:tc>
          <w:tcPr>
            <w:tcW w:w="1591" w:type="dxa"/>
          </w:tcPr>
          <w:p w:rsidR="00A76381" w:rsidRPr="00EF7F33" w:rsidRDefault="00B97F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556</w:t>
            </w:r>
          </w:p>
        </w:tc>
        <w:tc>
          <w:tcPr>
            <w:tcW w:w="7274" w:type="dxa"/>
          </w:tcPr>
          <w:p w:rsidR="00B97F1B" w:rsidRPr="00EF7F33" w:rsidRDefault="00B97F1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1.3.1.3.*</w:t>
            </w:r>
            <w:r w:rsidRPr="00EF7F33">
              <w:tab/>
            </w:r>
            <w:r w:rsidRPr="00EF7F33">
              <w:rPr>
                <w:rStyle w:val="InstructionsTabelleberschrift"/>
                <w:rFonts w:ascii="Times New Roman" w:hAnsi="Times New Roman"/>
                <w:sz w:val="24"/>
              </w:rPr>
              <w:t>Bilješka: CIU-ovi isključivo uloženi u dužničke i</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strumente kojima se trguje</w:t>
            </w:r>
          </w:p>
          <w:p w:rsidR="00A76381" w:rsidRPr="00EF7F33" w:rsidRDefault="00B97F1B" w:rsidP="007106FB">
            <w:pPr>
              <w:rPr>
                <w:rStyle w:val="InstructionsTabelleberschrift"/>
                <w:rFonts w:ascii="Times New Roman" w:hAnsi="Times New Roman"/>
                <w:sz w:val="24"/>
              </w:rPr>
            </w:pPr>
            <w:r w:rsidRPr="00EF7F33">
              <w:rPr>
                <w:rStyle w:val="FormatvorlageInstructionsTabelleText"/>
                <w:rFonts w:ascii="Times New Roman" w:hAnsi="Times New Roman"/>
                <w:sz w:val="24"/>
              </w:rPr>
              <w:t>Ukupan iznos izloženosti riziku za pozicije u CIU-u ako je CIU isključ</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vo uložen u instrumente koji podliježu kamatnom riziku.</w:t>
            </w:r>
          </w:p>
        </w:tc>
      </w:tr>
      <w:tr w:rsidR="00A76381" w:rsidRPr="00EF7F33" w:rsidTr="00672D2A">
        <w:tc>
          <w:tcPr>
            <w:tcW w:w="1591" w:type="dxa"/>
          </w:tcPr>
          <w:p w:rsidR="00A76381" w:rsidRPr="00EF7F33" w:rsidRDefault="00B97F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557</w:t>
            </w:r>
          </w:p>
        </w:tc>
        <w:tc>
          <w:tcPr>
            <w:tcW w:w="7274" w:type="dxa"/>
          </w:tcPr>
          <w:p w:rsidR="00B97F1B" w:rsidRPr="00EF7F33" w:rsidRDefault="00B97F1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1.3.1.3.**</w:t>
            </w:r>
            <w:r w:rsidRPr="00EF7F33">
              <w:tab/>
            </w:r>
            <w:r w:rsidRPr="00EF7F33">
              <w:rPr>
                <w:rStyle w:val="InstructionsTabelleberschrift"/>
                <w:rFonts w:ascii="Times New Roman" w:hAnsi="Times New Roman"/>
                <w:sz w:val="24"/>
              </w:rPr>
              <w:t>CIU-ovi isključivo uloženi u vlasničke instrumente ili mješovite instrumente</w:t>
            </w:r>
          </w:p>
          <w:p w:rsidR="00A76381" w:rsidRPr="00EF7F33" w:rsidRDefault="00B97F1B" w:rsidP="007106FB">
            <w:pPr>
              <w:rPr>
                <w:rStyle w:val="InstructionsTabelleberschrift"/>
                <w:rFonts w:ascii="Times New Roman" w:hAnsi="Times New Roman"/>
                <w:sz w:val="24"/>
              </w:rPr>
            </w:pPr>
            <w:r w:rsidRPr="00EF7F33">
              <w:rPr>
                <w:rStyle w:val="FormatvorlageInstructionsTabelleText"/>
                <w:rFonts w:ascii="Times New Roman" w:hAnsi="Times New Roman"/>
                <w:sz w:val="24"/>
              </w:rPr>
              <w:t>Ukupan iznos izloženosti riziku za pozicije u CIU-u ako je CIU isključ</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vo uložen u instrumente koji podliježu riziku vlasničkih instrumenata ili u mješovite instrumente ili ako nisu poznati sastavni dijelovi CIU-a.</w:t>
            </w:r>
          </w:p>
        </w:tc>
      </w:tr>
      <w:tr w:rsidR="002648B0" w:rsidRPr="00EF7F33" w:rsidTr="00672D2A">
        <w:tc>
          <w:tcPr>
            <w:tcW w:w="1591" w:type="dxa"/>
          </w:tcPr>
          <w:p w:rsidR="002648B0" w:rsidRPr="00EF7F33" w:rsidRDefault="0083684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560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1.3.1.4</w:t>
            </w:r>
            <w:r w:rsidRPr="00EF7F33">
              <w:tab/>
            </w:r>
            <w:r w:rsidRPr="00EF7F33">
              <w:rPr>
                <w:rStyle w:val="InstructionsTabelleberschrift"/>
                <w:rFonts w:ascii="Times New Roman" w:hAnsi="Times New Roman"/>
                <w:sz w:val="24"/>
              </w:rPr>
              <w:t>Devizni instrument</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MKR SA FX</w:t>
            </w:r>
          </w:p>
        </w:tc>
      </w:tr>
      <w:tr w:rsidR="002648B0" w:rsidRPr="00EF7F33" w:rsidTr="00672D2A">
        <w:tc>
          <w:tcPr>
            <w:tcW w:w="1591" w:type="dxa"/>
          </w:tcPr>
          <w:p w:rsidR="002648B0" w:rsidRPr="00EF7F33" w:rsidRDefault="0083684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570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1.3.1.5</w:t>
            </w:r>
            <w:r w:rsidRPr="00EF7F33">
              <w:tab/>
            </w:r>
            <w:r w:rsidRPr="00EF7F33">
              <w:rPr>
                <w:rStyle w:val="InstructionsTabelleberschrift"/>
                <w:rFonts w:ascii="Times New Roman" w:hAnsi="Times New Roman"/>
                <w:sz w:val="24"/>
              </w:rPr>
              <w:t>Roba</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MKR SA COM</w:t>
            </w:r>
          </w:p>
        </w:tc>
      </w:tr>
      <w:tr w:rsidR="002648B0" w:rsidRPr="00EF7F33" w:rsidTr="00672D2A">
        <w:tc>
          <w:tcPr>
            <w:tcW w:w="1591" w:type="dxa"/>
          </w:tcPr>
          <w:p w:rsidR="005643EA" w:rsidRPr="00EF7F33" w:rsidRDefault="00836845"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580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1.3.2</w:t>
            </w:r>
            <w:r w:rsidRPr="00EF7F33">
              <w:tab/>
            </w:r>
            <w:r w:rsidRPr="00EF7F33">
              <w:rPr>
                <w:rStyle w:val="InstructionsTabelleberschrift"/>
                <w:rFonts w:ascii="Times New Roman" w:hAnsi="Times New Roman"/>
                <w:sz w:val="24"/>
              </w:rPr>
              <w:t>Iznos izloženosti riziku za pozicijski, valutni i robni rizik u skladu s internim modelima</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MKR IM.</w:t>
            </w:r>
          </w:p>
        </w:tc>
      </w:tr>
      <w:tr w:rsidR="002648B0" w:rsidRPr="00EF7F33" w:rsidTr="00672D2A">
        <w:tc>
          <w:tcPr>
            <w:tcW w:w="1591" w:type="dxa"/>
          </w:tcPr>
          <w:p w:rsidR="002648B0" w:rsidRPr="00EF7F33" w:rsidRDefault="00836845"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590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1.4</w:t>
            </w:r>
            <w:r w:rsidRPr="00EF7F33">
              <w:tab/>
            </w:r>
            <w:r w:rsidRPr="00EF7F33">
              <w:rPr>
                <w:rStyle w:val="InstructionsTabelleberschrift"/>
                <w:rFonts w:ascii="Times New Roman" w:hAnsi="Times New Roman"/>
                <w:sz w:val="24"/>
              </w:rPr>
              <w:t>UKUPAN IZNOS IZLOŽENOSTI RIZIKU ZA OPER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TIVNI RIZIK</w:t>
            </w:r>
          </w:p>
          <w:p w:rsidR="005643EA" w:rsidRPr="00EF7F33" w:rsidRDefault="002648B0"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Članak 92. stavak 3. točka (e) i članak 92. stavak 4. točka (b) CRR-a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Za investicijska društva u skladu s člankom 95. stavkom 2., člankom 96. stavkom 2. i člankom 98. CRR-a ovaj element jednak je nuli.</w:t>
            </w:r>
          </w:p>
        </w:tc>
      </w:tr>
      <w:tr w:rsidR="002648B0" w:rsidRPr="00EF7F33" w:rsidTr="00672D2A">
        <w:tc>
          <w:tcPr>
            <w:tcW w:w="1591" w:type="dxa"/>
          </w:tcPr>
          <w:p w:rsidR="005643EA" w:rsidRPr="00EF7F33" w:rsidRDefault="00836845"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600</w:t>
            </w:r>
          </w:p>
        </w:tc>
        <w:tc>
          <w:tcPr>
            <w:tcW w:w="7274" w:type="dxa"/>
          </w:tcPr>
          <w:p w:rsidR="005643EA" w:rsidRPr="00EF7F33" w:rsidRDefault="002648B0" w:rsidP="00FD239F">
            <w:pPr>
              <w:pStyle w:val="InstructionsText"/>
              <w:rPr>
                <w:rStyle w:val="FormatvorlageInstructionsTabelleText"/>
                <w:rFonts w:ascii="Times New Roman" w:hAnsi="Times New Roman"/>
                <w:bCs w:val="0"/>
                <w:sz w:val="24"/>
              </w:rPr>
            </w:pPr>
            <w:r w:rsidRPr="00EF7F33">
              <w:rPr>
                <w:rStyle w:val="InstructionsTabelleberschrift"/>
                <w:rFonts w:ascii="Times New Roman" w:hAnsi="Times New Roman"/>
                <w:sz w:val="24"/>
              </w:rPr>
              <w:t>1.4.1</w:t>
            </w:r>
            <w:r w:rsidRPr="00EF7F33">
              <w:tab/>
            </w:r>
            <w:r w:rsidRPr="00EF7F33">
              <w:rPr>
                <w:rStyle w:val="InstructionsTabelleberschrift"/>
                <w:rFonts w:ascii="Times New Roman" w:hAnsi="Times New Roman"/>
                <w:sz w:val="24"/>
              </w:rPr>
              <w:t>Jednostavni pristup operativnom riziku</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OPR</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610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1.4.2</w:t>
            </w:r>
            <w:r w:rsidRPr="00EF7F33">
              <w:tab/>
            </w:r>
            <w:r w:rsidRPr="00EF7F33">
              <w:rPr>
                <w:rStyle w:val="InstructionsTabelleberschrift"/>
                <w:rFonts w:ascii="Times New Roman" w:hAnsi="Times New Roman"/>
                <w:sz w:val="24"/>
              </w:rPr>
              <w:t>Standardizirani/Alternativni standardizirani pristup oper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lastRenderedPageBreak/>
              <w:t>tivnom riziku</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OPR</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620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1.4.3</w:t>
            </w:r>
            <w:r w:rsidRPr="00EF7F33">
              <w:tab/>
            </w:r>
            <w:r w:rsidRPr="00EF7F33">
              <w:rPr>
                <w:rStyle w:val="InstructionsTabelleberschrift"/>
                <w:rFonts w:ascii="Times New Roman" w:hAnsi="Times New Roman"/>
                <w:sz w:val="24"/>
              </w:rPr>
              <w:t>Napredni pristupi operativnom riziku</w:t>
            </w:r>
          </w:p>
          <w:p w:rsidR="002648B0" w:rsidRPr="00EF7F33" w:rsidRDefault="00D212FE"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Vidjeti obrazac OPR</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630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1.5</w:t>
            </w:r>
            <w:r w:rsidRPr="00EF7F33">
              <w:tab/>
            </w:r>
            <w:r w:rsidRPr="00EF7F33">
              <w:rPr>
                <w:rStyle w:val="InstructionsTabelleberschrift"/>
                <w:rFonts w:ascii="Times New Roman" w:hAnsi="Times New Roman"/>
                <w:sz w:val="24"/>
              </w:rPr>
              <w:t>DODATNI IZNOS IZLOŽENOSTI RIZIKU ZBOG FI</w:t>
            </w:r>
            <w:r w:rsidRPr="00EF7F33">
              <w:rPr>
                <w:rStyle w:val="InstructionsTabelleberschrift"/>
                <w:rFonts w:ascii="Times New Roman" w:hAnsi="Times New Roman"/>
                <w:sz w:val="24"/>
              </w:rPr>
              <w:t>K</w:t>
            </w:r>
            <w:r w:rsidRPr="00EF7F33">
              <w:rPr>
                <w:rStyle w:val="InstructionsTabelleberschrift"/>
                <w:rFonts w:ascii="Times New Roman" w:hAnsi="Times New Roman"/>
                <w:sz w:val="24"/>
              </w:rPr>
              <w:t>SNIH OPĆIH TROŠKOVA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95. stavak 2., članak 96. stavak 2., članak 97. i članak 98. stavak 1. točka (a) CRR-a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Samo za investicijska društva u skladu s člankom 95. stavkom 2., čla</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 xml:space="preserve">kom 96. stavkom 2. i člankom 98. CRR-a. Vidjeti i članak 97. CRR-a </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Investicijska društva u skladu s člankom 96. CRR-a iskazuju iznos iz članka 97. pomnožen s 12,5.</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Investicijska društva u skladu s člankom 95. CRR-a iskazuju:</w:t>
            </w:r>
          </w:p>
          <w:p w:rsidR="002648B0" w:rsidRPr="00EF7F33" w:rsidRDefault="00125707" w:rsidP="00FD239F">
            <w:pPr>
              <w:pStyle w:val="InstructionsText"/>
              <w:rPr>
                <w:rStyle w:val="FormatvorlageInstructionsTabelleText"/>
                <w:rFonts w:ascii="Times New Roman" w:hAnsi="Times New Roman"/>
                <w:sz w:val="24"/>
              </w:rPr>
            </w:pPr>
            <w:r w:rsidRPr="00EF7F33">
              <w:rPr>
                <w:rStyle w:val="FormatvorlageInstructionsTabelleText"/>
                <w:rFonts w:ascii="Arial" w:hAnsi="Arial"/>
                <w:sz w:val="24"/>
              </w:rPr>
              <w:t>-</w:t>
            </w:r>
            <w:r w:rsidRPr="00EF7F33">
              <w:tab/>
              <w:t>Ako je iznos iz članka 95. stavka 2. točke (a) CRR-a viši od izn</w:t>
            </w:r>
            <w:r w:rsidRPr="00EF7F33">
              <w:t>o</w:t>
            </w:r>
            <w:r w:rsidRPr="00EF7F33">
              <w:t xml:space="preserve">sa iz članka 95. stavka 2. točke (b) CRR-a, iznos koji je potrebno iskazati iznosi nula. </w:t>
            </w:r>
            <w:r w:rsidRPr="00EF7F33">
              <w:rPr>
                <w:rStyle w:val="FormatvorlageInstructionsTabelleText"/>
                <w:rFonts w:ascii="Times New Roman" w:hAnsi="Times New Roman"/>
                <w:sz w:val="24"/>
              </w:rPr>
              <w:t xml:space="preserve">   </w:t>
            </w:r>
          </w:p>
          <w:p w:rsidR="002648B0" w:rsidRPr="00EF7F33" w:rsidRDefault="00125707" w:rsidP="00FD239F">
            <w:pPr>
              <w:pStyle w:val="InstructionsText"/>
              <w:rPr>
                <w:rStyle w:val="FormatvorlageInstructionsTabelleText"/>
                <w:rFonts w:ascii="Times New Roman" w:hAnsi="Times New Roman"/>
                <w:sz w:val="24"/>
              </w:rPr>
            </w:pPr>
            <w:r w:rsidRPr="00EF7F33">
              <w:rPr>
                <w:rStyle w:val="FormatvorlageInstructionsTabelleText"/>
                <w:rFonts w:ascii="Arial" w:hAnsi="Arial"/>
                <w:sz w:val="24"/>
              </w:rPr>
              <w:t>-</w:t>
            </w:r>
            <w:r w:rsidRPr="00EF7F33">
              <w:tab/>
              <w:t>Ako je iznos iz članka 95. stavka 2. točke (b) CRR-a viši od izn</w:t>
            </w:r>
            <w:r w:rsidRPr="00EF7F33">
              <w:t>o</w:t>
            </w:r>
            <w:r w:rsidRPr="00EF7F33">
              <w:t xml:space="preserve">sa iz članka 95. stavka 2. točke (a) CRR-a, iznos koji je potrebno iskazati rezultat je oduzimanja potonjeg iznosa od prethodnog. </w:t>
            </w:r>
            <w:r w:rsidRPr="00EF7F33">
              <w:rPr>
                <w:rStyle w:val="FormatvorlageInstructionsTabelleText"/>
                <w:rFonts w:ascii="Times New Roman" w:hAnsi="Times New Roman"/>
                <w:sz w:val="24"/>
              </w:rPr>
              <w:t xml:space="preserve">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640</w:t>
            </w:r>
          </w:p>
        </w:tc>
        <w:tc>
          <w:tcPr>
            <w:tcW w:w="7274"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1.6</w:t>
            </w:r>
            <w:r w:rsidRPr="00EF7F33">
              <w:tab/>
            </w:r>
            <w:r w:rsidRPr="00EF7F33">
              <w:rPr>
                <w:rStyle w:val="InstructionsTabelleberschrift"/>
                <w:rFonts w:ascii="Times New Roman" w:hAnsi="Times New Roman"/>
                <w:sz w:val="24"/>
              </w:rPr>
              <w:t>UKUPAN IZNOS IZLOŽENOSTI RIZIKU ZA PRIL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GODBU KREDITNOM VREDNOVANJU</w:t>
            </w:r>
          </w:p>
          <w:p w:rsidR="005643EA" w:rsidRPr="00EF7F33" w:rsidRDefault="002648B0" w:rsidP="00FD239F">
            <w:pPr>
              <w:pStyle w:val="InstructionsText"/>
              <w:rPr>
                <w:rStyle w:val="FormatvorlageInstructionsTabelleText"/>
                <w:rFonts w:ascii="Times New Roman" w:hAnsi="Times New Roman"/>
                <w:bCs w:val="0"/>
                <w:sz w:val="24"/>
              </w:rPr>
            </w:pPr>
            <w:r w:rsidRPr="00EF7F33">
              <w:rPr>
                <w:rStyle w:val="InstructionsTabelleberschrift"/>
                <w:rFonts w:ascii="Times New Roman" w:hAnsi="Times New Roman"/>
                <w:b w:val="0"/>
                <w:sz w:val="24"/>
                <w:u w:val="none"/>
              </w:rPr>
              <w:t>Članak 92. stavak 3. točka (d) CRR-a. Vidjeti obrazac CVA.</w:t>
            </w:r>
            <w:r w:rsidRPr="00EF7F33">
              <w:rPr>
                <w:rStyle w:val="FormatvorlageInstructionsTabelleText"/>
                <w:rFonts w:ascii="Times New Roman" w:hAnsi="Times New Roman"/>
                <w:sz w:val="24"/>
              </w:rPr>
              <w:t xml:space="preserve">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650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1.6.1</w:t>
            </w:r>
            <w:r w:rsidRPr="00EF7F33">
              <w:tab/>
            </w:r>
            <w:r w:rsidRPr="00EF7F33">
              <w:rPr>
                <w:rStyle w:val="InstructionsTabelleberschrift"/>
                <w:rFonts w:ascii="Times New Roman" w:hAnsi="Times New Roman"/>
                <w:sz w:val="24"/>
              </w:rPr>
              <w:t>Napredna metoda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Kapitalni zahtjevi za rizik prilagodbe kreditnom vrednovanju u skladu s člankom 383. CRR-a. Vidjeti obrazac CVA.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660</w:t>
            </w:r>
          </w:p>
        </w:tc>
        <w:tc>
          <w:tcPr>
            <w:tcW w:w="7274" w:type="dxa"/>
          </w:tcPr>
          <w:p w:rsidR="005643EA" w:rsidRPr="00EF7F33" w:rsidRDefault="002648B0"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1.6.2</w:t>
            </w:r>
            <w:r w:rsidRPr="00EF7F33">
              <w:tab/>
            </w:r>
            <w:r w:rsidRPr="00EF7F33">
              <w:rPr>
                <w:rStyle w:val="InstructionsTabelleberschrift"/>
                <w:rFonts w:ascii="Times New Roman" w:hAnsi="Times New Roman"/>
                <w:sz w:val="24"/>
              </w:rPr>
              <w:t>Standardizirana metoda</w:t>
            </w:r>
          </w:p>
          <w:p w:rsidR="002648B0" w:rsidRPr="00EF7F33" w:rsidRDefault="002648B0" w:rsidP="007106FB">
            <w:pPr>
              <w:rPr>
                <w:rStyle w:val="FormatvorlageInstructionsTabelleText"/>
                <w:rFonts w:ascii="Times New Roman" w:hAnsi="Times New Roman"/>
                <w:sz w:val="24"/>
              </w:rPr>
            </w:pPr>
            <w:r w:rsidRPr="00EF7F33">
              <w:rPr>
                <w:rStyle w:val="FormatvorlageInstructionsTabelleText"/>
                <w:rFonts w:ascii="Times New Roman" w:hAnsi="Times New Roman"/>
                <w:sz w:val="24"/>
              </w:rPr>
              <w:t>Kapitalni zahtjevi za rizik prilagodbe kreditnom vrednovanju u skladu s člankom 384. CRR-a. Vidjeti obrazac CVA.</w:t>
            </w:r>
          </w:p>
        </w:tc>
      </w:tr>
      <w:tr w:rsidR="00836845" w:rsidRPr="00EF7F33" w:rsidTr="00672D2A">
        <w:tc>
          <w:tcPr>
            <w:tcW w:w="1591" w:type="dxa"/>
          </w:tcPr>
          <w:p w:rsidR="00836845" w:rsidRPr="00EF7F33" w:rsidRDefault="00D33AA1"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670</w:t>
            </w:r>
          </w:p>
        </w:tc>
        <w:tc>
          <w:tcPr>
            <w:tcW w:w="7274" w:type="dxa"/>
          </w:tcPr>
          <w:p w:rsidR="005643EA" w:rsidRPr="00EF7F33" w:rsidRDefault="00D33AA1"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1.6.3.</w:t>
            </w:r>
            <w:r w:rsidRPr="00EF7F33">
              <w:tab/>
            </w:r>
            <w:r w:rsidRPr="00EF7F33">
              <w:rPr>
                <w:rStyle w:val="InstructionsTabelleberschrift"/>
                <w:rFonts w:ascii="Times New Roman" w:hAnsi="Times New Roman"/>
                <w:sz w:val="24"/>
              </w:rPr>
              <w:t>Na temelju metode originalne izloženosti</w:t>
            </w:r>
          </w:p>
          <w:p w:rsidR="00783881" w:rsidRPr="00EF7F33" w:rsidRDefault="00D33AA1" w:rsidP="00FD239F">
            <w:pPr>
              <w:pStyle w:val="InstructionsText"/>
              <w:rPr>
                <w:rStyle w:val="InstructionsTabelleberschrift"/>
                <w:rFonts w:ascii="Times New Roman" w:hAnsi="Times New Roman"/>
                <w:b w:val="0"/>
                <w:bCs w:val="0"/>
                <w:sz w:val="24"/>
                <w:u w:val="none"/>
              </w:rPr>
            </w:pPr>
            <w:r w:rsidRPr="00EF7F33">
              <w:rPr>
                <w:rStyle w:val="FormatvorlageInstructionsTabelleText"/>
                <w:rFonts w:ascii="Times New Roman" w:hAnsi="Times New Roman"/>
                <w:sz w:val="24"/>
              </w:rPr>
              <w:t>Kapitalni zahtjevi za rizik prilagodbe kreditnom vrednovanju u skladu s člankom 385. CRR-a. Vidjeti obrazac CVA.</w:t>
            </w:r>
          </w:p>
        </w:tc>
      </w:tr>
      <w:tr w:rsidR="002648B0" w:rsidRPr="00EF7F33" w:rsidTr="00672D2A">
        <w:tc>
          <w:tcPr>
            <w:tcW w:w="1591" w:type="dxa"/>
          </w:tcPr>
          <w:p w:rsidR="00783881" w:rsidRPr="00EF7F33" w:rsidRDefault="00D33AA1"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680</w:t>
            </w:r>
          </w:p>
        </w:tc>
        <w:tc>
          <w:tcPr>
            <w:tcW w:w="7274" w:type="dxa"/>
          </w:tcPr>
          <w:p w:rsidR="00783881" w:rsidRPr="00EF7F33" w:rsidRDefault="002648B0" w:rsidP="00FD239F">
            <w:pPr>
              <w:pStyle w:val="InstructionsText"/>
              <w:rPr>
                <w:rStyle w:val="FormatvorlageInstructionsTabelleText"/>
                <w:rFonts w:ascii="Times New Roman" w:hAnsi="Times New Roman"/>
                <w:b/>
                <w:bCs w:val="0"/>
                <w:sz w:val="24"/>
                <w:u w:val="single"/>
              </w:rPr>
            </w:pPr>
            <w:r w:rsidRPr="00EF7F33">
              <w:rPr>
                <w:rStyle w:val="InstructionsTabelleberschrift"/>
                <w:rFonts w:ascii="Times New Roman" w:hAnsi="Times New Roman"/>
                <w:sz w:val="24"/>
              </w:rPr>
              <w:t>1.7</w:t>
            </w:r>
            <w:r w:rsidRPr="00EF7F33">
              <w:tab/>
            </w:r>
            <w:r w:rsidRPr="00EF7F33">
              <w:rPr>
                <w:rStyle w:val="InstructionsTabelleberschrift"/>
                <w:rFonts w:ascii="Times New Roman" w:hAnsi="Times New Roman"/>
                <w:sz w:val="24"/>
              </w:rPr>
              <w:t>UKUPAN IZNOS IZLOŽENOSTI RIZIKU POVEZAN S VELIKIM IZLOŽENOSTIMA KOJE PROIZLAZE IZ STAVKI U KNJIZI TRGOVANJA</w:t>
            </w:r>
          </w:p>
          <w:p w:rsidR="00783881" w:rsidRPr="00EF7F33" w:rsidRDefault="002648B0"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Članak 92. stavak 3. točka (b) podtočka ii. i članci od 395. do 401. CRR-a</w:t>
            </w:r>
          </w:p>
        </w:tc>
      </w:tr>
      <w:tr w:rsidR="002648B0" w:rsidRPr="00EF7F33" w:rsidTr="00672D2A">
        <w:tc>
          <w:tcPr>
            <w:tcW w:w="1591" w:type="dxa"/>
          </w:tcPr>
          <w:p w:rsidR="002648B0" w:rsidRPr="00EF7F33" w:rsidRDefault="00D33AA1"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690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1.8</w:t>
            </w:r>
            <w:r w:rsidRPr="00EF7F33">
              <w:tab/>
            </w:r>
            <w:r w:rsidRPr="00EF7F33">
              <w:rPr>
                <w:rStyle w:val="InstructionsTabelleberschrift"/>
                <w:rFonts w:ascii="Times New Roman" w:hAnsi="Times New Roman"/>
                <w:sz w:val="24"/>
              </w:rPr>
              <w:t>OSTALI IZNOSI IZLOŽENOSTI RIZIKU</w:t>
            </w:r>
          </w:p>
          <w:p w:rsidR="00783881" w:rsidRPr="00EF7F33" w:rsidRDefault="002648B0" w:rsidP="00FD239F">
            <w:pPr>
              <w:pStyle w:val="InstructionsText"/>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t xml:space="preserve">Članci 3., 458. i 459. CRR-a i iznosi izloženosti riziku koji se ne mogu rasporediti u jednu od stavki od 1.1 do 1.7. </w:t>
            </w:r>
          </w:p>
          <w:p w:rsidR="00783881" w:rsidRPr="00EF7F33" w:rsidRDefault="002648B0" w:rsidP="00FD239F">
            <w:pPr>
              <w:pStyle w:val="InstructionsText"/>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lastRenderedPageBreak/>
              <w:t>Institucije iskazuju iznose koji trebaju ispunjavati sljedeće:</w:t>
            </w:r>
          </w:p>
          <w:p w:rsidR="00783881" w:rsidRPr="00EF7F33" w:rsidRDefault="002648B0" w:rsidP="00FD239F">
            <w:pPr>
              <w:pStyle w:val="InstructionsText"/>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t xml:space="preserve">strože bonitetne zahtjeve koje je odredila Komisija, u skladu s člancima 458. i 459. CRR-a </w:t>
            </w:r>
          </w:p>
          <w:p w:rsidR="00783881" w:rsidRPr="00EF7F33" w:rsidRDefault="00DA4727" w:rsidP="00FD239F">
            <w:pPr>
              <w:pStyle w:val="InstructionsText"/>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t>dodatne iznose izloženosti riziku u skladu s člankom 3. CRR-a.</w:t>
            </w:r>
          </w:p>
          <w:p w:rsidR="005643EA" w:rsidRPr="00EF7F33" w:rsidRDefault="00DA4727" w:rsidP="00FD239F">
            <w:pPr>
              <w:pStyle w:val="InstructionsText"/>
              <w:rPr>
                <w:rStyle w:val="InstructionsTabelleberschrift"/>
                <w:rFonts w:ascii="Times New Roman" w:hAnsi="Times New Roman"/>
                <w:bCs w:val="0"/>
                <w:sz w:val="24"/>
                <w:u w:val="none"/>
              </w:rPr>
            </w:pPr>
            <w:r w:rsidRPr="00EF7F33">
              <w:rPr>
                <w:rStyle w:val="InstructionsTabelleberschrift"/>
                <w:rFonts w:ascii="Times New Roman" w:hAnsi="Times New Roman"/>
                <w:b w:val="0"/>
                <w:sz w:val="24"/>
                <w:u w:val="none"/>
              </w:rPr>
              <w:t xml:space="preserve">Ova stavka nema poveznicu na obrazac s detaljnim podacima. </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710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1.8.2</w:t>
            </w:r>
            <w:r w:rsidRPr="00EF7F33">
              <w:tab/>
            </w:r>
            <w:r w:rsidRPr="00EF7F33">
              <w:rPr>
                <w:rStyle w:val="InstructionsTabelleberschrift"/>
                <w:rFonts w:ascii="Times New Roman" w:hAnsi="Times New Roman"/>
                <w:sz w:val="24"/>
              </w:rPr>
              <w:t>Od čega: dodatni stroži bonitetni zahtjevi na temelju članka 458.</w:t>
            </w:r>
          </w:p>
          <w:p w:rsidR="005643EA" w:rsidRPr="00EF7F33" w:rsidRDefault="002648B0" w:rsidP="00FD239F">
            <w:pPr>
              <w:pStyle w:val="InstructionsText"/>
              <w:rPr>
                <w:rStyle w:val="InstructionsTabelleberschrift"/>
                <w:rFonts w:ascii="Times New Roman" w:hAnsi="Times New Roman"/>
                <w:b w:val="0"/>
                <w:sz w:val="24"/>
                <w:u w:val="none"/>
              </w:rPr>
            </w:pPr>
            <w:r w:rsidRPr="00EF7F33">
              <w:rPr>
                <w:rStyle w:val="FormatvorlageInstructionsTabelleText"/>
                <w:rFonts w:ascii="Times New Roman" w:hAnsi="Times New Roman"/>
                <w:sz w:val="24"/>
              </w:rPr>
              <w:t>Članak 458.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720</w:t>
            </w:r>
          </w:p>
        </w:tc>
        <w:tc>
          <w:tcPr>
            <w:tcW w:w="7274" w:type="dxa"/>
          </w:tcPr>
          <w:p w:rsidR="005643EA" w:rsidRPr="00EF7F33" w:rsidRDefault="002648B0" w:rsidP="00FD239F">
            <w:pPr>
              <w:pStyle w:val="InstructionsText"/>
            </w:pPr>
            <w:r w:rsidRPr="00EF7F33">
              <w:rPr>
                <w:rStyle w:val="InstructionsTabelleberschrift"/>
                <w:rFonts w:ascii="Times New Roman" w:hAnsi="Times New Roman"/>
                <w:sz w:val="24"/>
              </w:rPr>
              <w:t>1.8.2*</w:t>
            </w:r>
            <w:r w:rsidRPr="00EF7F33">
              <w:tab/>
            </w:r>
            <w:r w:rsidRPr="00EF7F33">
              <w:rPr>
                <w:rStyle w:val="InstructionsTabelleberschrift"/>
                <w:rFonts w:ascii="Times New Roman" w:hAnsi="Times New Roman"/>
                <w:sz w:val="24"/>
              </w:rPr>
              <w:t>Od čega: zahtjevi za velike izloženosti</w:t>
            </w:r>
          </w:p>
          <w:p w:rsidR="005643EA" w:rsidRPr="00EF7F33" w:rsidRDefault="002648B0" w:rsidP="00FD239F">
            <w:pPr>
              <w:pStyle w:val="InstructionsText"/>
              <w:rPr>
                <w:rStyle w:val="InstructionsTabelleberschrift"/>
                <w:rFonts w:ascii="Times New Roman" w:hAnsi="Times New Roman"/>
                <w:sz w:val="24"/>
              </w:rPr>
            </w:pPr>
            <w:r w:rsidRPr="00EF7F33">
              <w:t>Članak 458. CRR-a</w:t>
            </w:r>
          </w:p>
        </w:tc>
      </w:tr>
      <w:tr w:rsidR="002648B0" w:rsidRPr="00EF7F33" w:rsidTr="00672D2A">
        <w:tc>
          <w:tcPr>
            <w:tcW w:w="1591" w:type="dxa"/>
          </w:tcPr>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730</w:t>
            </w:r>
          </w:p>
        </w:tc>
        <w:tc>
          <w:tcPr>
            <w:tcW w:w="7274" w:type="dxa"/>
          </w:tcPr>
          <w:p w:rsidR="005643EA" w:rsidRPr="00EF7F33" w:rsidRDefault="002648B0" w:rsidP="00FD239F">
            <w:pPr>
              <w:pStyle w:val="InstructionsText"/>
            </w:pPr>
            <w:r w:rsidRPr="00EF7F33">
              <w:rPr>
                <w:rStyle w:val="InstructionsTabelleberschrift"/>
                <w:rFonts w:ascii="Times New Roman" w:hAnsi="Times New Roman"/>
                <w:sz w:val="24"/>
              </w:rPr>
              <w:t>1.8.2**</w:t>
            </w:r>
            <w:r w:rsidRPr="00EF7F33">
              <w:tab/>
            </w:r>
            <w:r w:rsidRPr="00EF7F33">
              <w:rPr>
                <w:rStyle w:val="InstructionsTabelleberschrift"/>
                <w:rFonts w:ascii="Times New Roman" w:hAnsi="Times New Roman"/>
                <w:sz w:val="24"/>
              </w:rPr>
              <w:t>Od čega: na temelju modificiranih pondera rizika za nekretninske balone u sektoru stambenih i poslovnih nekretnina</w:t>
            </w:r>
          </w:p>
          <w:p w:rsidR="005643EA" w:rsidRPr="00EF7F33" w:rsidRDefault="002648B0" w:rsidP="00FD239F">
            <w:pPr>
              <w:pStyle w:val="InstructionsText"/>
              <w:rPr>
                <w:rStyle w:val="InstructionsTabelleberschrift"/>
                <w:rFonts w:ascii="Times New Roman" w:hAnsi="Times New Roman"/>
                <w:sz w:val="24"/>
              </w:rPr>
            </w:pPr>
            <w:r w:rsidRPr="00EF7F33">
              <w:t>Članak 458. CRR-a</w:t>
            </w:r>
          </w:p>
        </w:tc>
      </w:tr>
      <w:tr w:rsidR="002648B0" w:rsidRPr="00EF7F33" w:rsidTr="00672D2A">
        <w:tc>
          <w:tcPr>
            <w:tcW w:w="1591" w:type="dxa"/>
          </w:tcPr>
          <w:p w:rsidR="005643EA"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740</w:t>
            </w:r>
          </w:p>
        </w:tc>
        <w:tc>
          <w:tcPr>
            <w:tcW w:w="7274" w:type="dxa"/>
          </w:tcPr>
          <w:p w:rsidR="005643EA" w:rsidRPr="00EF7F33" w:rsidRDefault="002648B0" w:rsidP="00FD239F">
            <w:pPr>
              <w:pStyle w:val="InstructionsText"/>
            </w:pPr>
            <w:r w:rsidRPr="00EF7F33">
              <w:rPr>
                <w:rStyle w:val="InstructionsTabelleberschrift"/>
                <w:rFonts w:ascii="Times New Roman" w:hAnsi="Times New Roman"/>
                <w:sz w:val="24"/>
              </w:rPr>
              <w:t>1.8.2***</w:t>
            </w:r>
            <w:r w:rsidRPr="00EF7F33">
              <w:tab/>
            </w:r>
            <w:r w:rsidRPr="00EF7F33">
              <w:rPr>
                <w:rStyle w:val="InstructionsTabelleberschrift"/>
                <w:rFonts w:ascii="Times New Roman" w:hAnsi="Times New Roman"/>
                <w:sz w:val="24"/>
              </w:rPr>
              <w:t>Od čega: zbog izloženosti unutar financijskog sektora</w:t>
            </w:r>
          </w:p>
          <w:p w:rsidR="005643EA" w:rsidRPr="00EF7F33" w:rsidRDefault="002648B0" w:rsidP="00FD239F">
            <w:pPr>
              <w:pStyle w:val="InstructionsText"/>
              <w:rPr>
                <w:rStyle w:val="InstructionsTabelleberschrift"/>
                <w:rFonts w:ascii="Times New Roman" w:hAnsi="Times New Roman"/>
                <w:sz w:val="24"/>
              </w:rPr>
            </w:pPr>
            <w:r w:rsidRPr="00EF7F33">
              <w:t>Članak 458. CRR-a</w:t>
            </w:r>
          </w:p>
        </w:tc>
      </w:tr>
      <w:tr w:rsidR="002648B0" w:rsidRPr="00EF7F33" w:rsidTr="00672D2A">
        <w:tc>
          <w:tcPr>
            <w:tcW w:w="1591" w:type="dxa"/>
          </w:tcPr>
          <w:p w:rsidR="002648B0" w:rsidRPr="00EF7F33" w:rsidRDefault="002648B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750</w:t>
            </w:r>
          </w:p>
        </w:tc>
        <w:tc>
          <w:tcPr>
            <w:tcW w:w="7274"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1.8.3</w:t>
            </w:r>
            <w:r w:rsidRPr="00EF7F33">
              <w:tab/>
            </w:r>
            <w:r w:rsidRPr="00EF7F33">
              <w:rPr>
                <w:rStyle w:val="InstructionsTabelleberschrift"/>
                <w:rFonts w:ascii="Times New Roman" w:hAnsi="Times New Roman"/>
                <w:sz w:val="24"/>
              </w:rPr>
              <w:t>Od čega: dodatni stroži bonitetni zahtjevi na temelju članka 459.</w:t>
            </w:r>
          </w:p>
          <w:p w:rsidR="005643EA" w:rsidRPr="00EF7F33" w:rsidRDefault="002648B0" w:rsidP="00FD239F">
            <w:pPr>
              <w:pStyle w:val="InstructionsText"/>
              <w:rPr>
                <w:rStyle w:val="InstructionsTabelleberschrift"/>
                <w:rFonts w:ascii="Times New Roman" w:hAnsi="Times New Roman"/>
                <w:sz w:val="24"/>
              </w:rPr>
            </w:pPr>
            <w:r w:rsidRPr="00EF7F33">
              <w:rPr>
                <w:rStyle w:val="FormatvorlageInstructionsTabelleText"/>
                <w:rFonts w:ascii="Times New Roman" w:hAnsi="Times New Roman"/>
                <w:sz w:val="24"/>
              </w:rPr>
              <w:t>Članak 459. CRR-a</w:t>
            </w:r>
          </w:p>
        </w:tc>
      </w:tr>
      <w:tr w:rsidR="00523DD6" w:rsidRPr="00EF7F33" w:rsidTr="00672D2A">
        <w:tc>
          <w:tcPr>
            <w:tcW w:w="1591" w:type="dxa"/>
            <w:shd w:val="clear" w:color="auto" w:fill="auto"/>
          </w:tcPr>
          <w:p w:rsidR="00523DD6" w:rsidRPr="00EF7F33" w:rsidRDefault="00523DD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760</w:t>
            </w:r>
          </w:p>
        </w:tc>
        <w:tc>
          <w:tcPr>
            <w:tcW w:w="7274" w:type="dxa"/>
          </w:tcPr>
          <w:p w:rsidR="005643EA" w:rsidRPr="00EF7F33" w:rsidRDefault="00523DD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1.8.4</w:t>
            </w:r>
            <w:r w:rsidRPr="00EF7F33">
              <w:tab/>
            </w:r>
            <w:r w:rsidRPr="00EF7F33">
              <w:rPr>
                <w:rStyle w:val="InstructionsTabelleberschrift"/>
                <w:rFonts w:ascii="Times New Roman" w:hAnsi="Times New Roman"/>
                <w:sz w:val="24"/>
              </w:rPr>
              <w:t>Od čega: dodatni iznos izloženosti riziku u skladu s člankom 3. CRR-a</w:t>
            </w:r>
          </w:p>
          <w:p w:rsidR="005643EA" w:rsidRPr="00EF7F33" w:rsidRDefault="00523DD6"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Članak 3. CRR-a</w:t>
            </w:r>
          </w:p>
          <w:p w:rsidR="005643EA" w:rsidRPr="00EF7F33" w:rsidRDefault="00523DD6"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Mora se iskazati dodatni iznos izloženosti riziku. On uključuje samo d</w:t>
            </w:r>
            <w:r w:rsidRPr="00EF7F33">
              <w:rPr>
                <w:rStyle w:val="InstructionsTabelleberschrift"/>
                <w:rFonts w:ascii="Times New Roman" w:hAnsi="Times New Roman"/>
                <w:b w:val="0"/>
                <w:sz w:val="24"/>
                <w:u w:val="none"/>
              </w:rPr>
              <w:t>o</w:t>
            </w:r>
            <w:r w:rsidRPr="00EF7F33">
              <w:rPr>
                <w:rStyle w:val="InstructionsTabelleberschrift"/>
                <w:rFonts w:ascii="Times New Roman" w:hAnsi="Times New Roman"/>
                <w:b w:val="0"/>
                <w:sz w:val="24"/>
                <w:u w:val="none"/>
              </w:rPr>
              <w:t>datne iznose (npr. ako izloženost od 100 ima ponder rizika 20 % i inst</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 xml:space="preserve">tucija primjenjuje ponder rizika 50 % na temelju članka 3. CRR-a, iznos koji je potrebno iskazati iznosi 30). </w:t>
            </w:r>
          </w:p>
        </w:tc>
      </w:tr>
      <w:tr w:rsidR="00FE6995"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EF7F33"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sidRPr="00EF7F33">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Pr="00EF7F33" w:rsidRDefault="00394410" w:rsidP="00FE6995">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 Od čega: iznosi izloženosti ponderirani rizikom za kreditni 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zik:  sekuritizacijske pozicije (revidirani sekuritizacijski okvir</w:t>
            </w:r>
          </w:p>
          <w:p w:rsidR="00FE6995" w:rsidRPr="00EF7F33" w:rsidRDefault="00FE6995" w:rsidP="00FE6995">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Institucije unose informacije u r</w:t>
            </w:r>
            <w:r w:rsidRPr="00EF7F33">
              <w:t>etke 770 – 900 na referentne datume izvješćivanja koji slijede nakon 1. siječnja 2019.</w:t>
            </w:r>
          </w:p>
          <w:p w:rsidR="00FE6995" w:rsidRPr="00EF7F33" w:rsidRDefault="00FE6995" w:rsidP="00FE6995">
            <w:pPr>
              <w:pStyle w:val="InstructionsText"/>
            </w:pPr>
            <w:r w:rsidRPr="00EF7F33">
              <w:rPr>
                <w:rStyle w:val="InstructionsTabelleberschrift"/>
                <w:rFonts w:ascii="Times New Roman" w:hAnsi="Times New Roman"/>
                <w:b w:val="0"/>
                <w:sz w:val="24"/>
                <w:u w:val="none"/>
              </w:rPr>
              <w:t xml:space="preserve">U </w:t>
            </w:r>
            <w:r w:rsidRPr="00EF7F33">
              <w:t xml:space="preserve">redcima 770 – 900 iskazuju se iznosi izloženosti ponderirani rizikom za kreditni rizik za te sekuritizacijske pozicije, čiji se iznos izloženosti ponderiran rizikom izračunava u skladu s odredbama CRR-a. </w:t>
            </w:r>
          </w:p>
          <w:p w:rsidR="00FE6995" w:rsidRPr="00EF7F33" w:rsidRDefault="00FE6995" w:rsidP="00FE6995">
            <w:pPr>
              <w:pStyle w:val="InstructionsText"/>
              <w:rPr>
                <w:rStyle w:val="InstructionsTabelleberschrift"/>
                <w:rFonts w:ascii="Times New Roman" w:hAnsi="Times New Roman"/>
                <w:sz w:val="24"/>
              </w:rPr>
            </w:pPr>
            <w:r w:rsidRPr="00EF7F33">
              <w:t>Iskazani iznosi odgovaraju ukupnom iznosu izloženosti ponderiranom r</w:t>
            </w:r>
            <w:r w:rsidRPr="00EF7F33">
              <w:t>i</w:t>
            </w:r>
            <w:r w:rsidRPr="00EF7F33">
              <w:t>zikom izračunanom u skladu s dijelom trećim glavom II. poglavljem 5. CRR-a, uzimajući u obzir ukupan ponder rizika propisan u skladu s čla</w:t>
            </w:r>
            <w:r w:rsidRPr="00EF7F33">
              <w:t>n</w:t>
            </w:r>
            <w:r w:rsidRPr="00EF7F33">
              <w:t>kom 247. stavkom 6. CRR-a i ograničenja iz dijela trećeg glave II. po</w:t>
            </w:r>
            <w:r w:rsidRPr="00EF7F33">
              <w:t>g</w:t>
            </w:r>
            <w:r w:rsidRPr="00EF7F33">
              <w:t>lavlja 5. odjeljka 3. pododjeljka 4.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w:t>
            </w:r>
            <w:r w:rsidRPr="00EF7F33">
              <w:tab/>
            </w:r>
            <w:r w:rsidRPr="00EF7F33">
              <w:rPr>
                <w:rStyle w:val="InstructionsTabelleberschrift"/>
                <w:rFonts w:ascii="Times New Roman" w:hAnsi="Times New Roman"/>
                <w:sz w:val="24"/>
              </w:rPr>
              <w:t>Od čega: iznosi izloženosti ponderirani rizikom za kreditni 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zik: sekuritizacijske pozicije (revidirani sekuritizacijski okvir)</w:t>
            </w:r>
          </w:p>
          <w:p w:rsidR="009B591B" w:rsidRPr="00EF7F33" w:rsidRDefault="009B591B" w:rsidP="003B20D7">
            <w:pPr>
              <w:pStyle w:val="InstructionsText"/>
              <w:rPr>
                <w:rStyle w:val="InstructionsTabelleberschrift"/>
                <w:rFonts w:ascii="Times New Roman" w:hAnsi="Times New Roman"/>
                <w:bCs w:val="0"/>
                <w:sz w:val="24"/>
              </w:rPr>
            </w:pPr>
            <w:r w:rsidRPr="00EF7F33">
              <w:t xml:space="preserve">Članak 92. stavak 3. točka (a) i dio 3. glava II. poglavlje 5. CRR-a </w:t>
            </w:r>
          </w:p>
        </w:tc>
      </w:tr>
      <w:tr w:rsidR="0024119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780</w:t>
            </w:r>
          </w:p>
        </w:tc>
        <w:tc>
          <w:tcPr>
            <w:tcW w:w="7274" w:type="dxa"/>
            <w:tcBorders>
              <w:top w:val="nil"/>
              <w:left w:val="nil"/>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1.8.5.1</w:t>
            </w:r>
            <w:r w:rsidRPr="00EF7F33">
              <w:tab/>
            </w:r>
            <w:r w:rsidRPr="00EF7F33">
              <w:rPr>
                <w:rStyle w:val="InstructionsTabelleberschrift"/>
                <w:rFonts w:ascii="Times New Roman" w:hAnsi="Times New Roman"/>
                <w:sz w:val="24"/>
              </w:rPr>
              <w:t xml:space="preserve"> Pristup zasnovan na internim rejting-sustavima (SEC-IRBA)</w:t>
            </w:r>
          </w:p>
          <w:p w:rsidR="00BD661B" w:rsidRPr="00EF7F33" w:rsidRDefault="00BD661B" w:rsidP="00FD239F">
            <w:pPr>
              <w:pStyle w:val="InstructionsText"/>
              <w:rPr>
                <w:rStyle w:val="InstructionsTabelleberschrift"/>
                <w:rFonts w:ascii="Times New Roman" w:hAnsi="Times New Roman"/>
                <w:b w:val="0"/>
                <w:bCs w:val="0"/>
                <w:sz w:val="24"/>
                <w:u w:val="none"/>
              </w:rPr>
            </w:pPr>
            <w:r w:rsidRPr="00EF7F33">
              <w:t>Članak 254. stavak 1. točka (a), članak 259. i članak 260. CRR-a</w:t>
            </w:r>
          </w:p>
        </w:tc>
      </w:tr>
      <w:tr w:rsidR="0024119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1.8.5.1.1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3D7822" w:rsidRPr="00EF7F33" w:rsidRDefault="00924FE7" w:rsidP="003B20D7">
            <w:pPr>
              <w:pStyle w:val="InstructionsText"/>
              <w:rPr>
                <w:rStyle w:val="InstructionsTabelleberschrift"/>
                <w:rFonts w:ascii="Times New Roman" w:hAnsi="Times New Roman"/>
                <w:b w:val="0"/>
                <w:sz w:val="24"/>
              </w:rPr>
            </w:pPr>
            <w:r w:rsidRPr="00EF7F33">
              <w:t>Članak 254. stavak 1. točka (a) i članak 259. CRR-a</w:t>
            </w:r>
          </w:p>
        </w:tc>
      </w:tr>
      <w:tr w:rsidR="0024119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Pr="00EF7F33" w:rsidRDefault="0024119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1.8.5.1.2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924FE7" w:rsidRPr="00EF7F33" w:rsidRDefault="00602FA5" w:rsidP="00FD239F">
            <w:pPr>
              <w:pStyle w:val="InstructionsText"/>
            </w:pPr>
            <w:r w:rsidRPr="00EF7F33">
              <w:t>Članak 254. stavak 1. točka (a), članak 259. i članak 260. CRR-a</w:t>
            </w:r>
          </w:p>
          <w:p w:rsidR="008B1A0F" w:rsidRPr="00EF7F33" w:rsidRDefault="00366794" w:rsidP="003B20D7">
            <w:pPr>
              <w:pStyle w:val="InstructionsText"/>
              <w:rPr>
                <w:rStyle w:val="InstructionsTabelleberschrift"/>
                <w:rFonts w:ascii="Times New Roman" w:hAnsi="Times New Roman"/>
                <w:sz w:val="24"/>
              </w:rPr>
            </w:pPr>
            <w:r w:rsidRPr="00EF7F33">
              <w:t xml:space="preserve">STS sekuritizacije koje ispunjuju uvjete za različit tretman kapitala u skladu s člankom 243. CRR-a i nadređene pozicije u sekuritizacijama kredita za MSP-ove koje ispunjuju uvjete za različit tretman kapitala u skladu s člankom 270. CRR-a iskazuju se u ovom retku. </w:t>
            </w:r>
          </w:p>
        </w:tc>
      </w:tr>
      <w:tr w:rsidR="00BD66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EF7F33" w:rsidRDefault="00BD66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Pr="00EF7F33" w:rsidRDefault="00BD66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1.8.5.2 Standardizirani pristup (SEC-SA)</w:t>
            </w:r>
          </w:p>
          <w:p w:rsidR="002625C0" w:rsidRPr="00EF7F33" w:rsidRDefault="002625C0" w:rsidP="003B20D7">
            <w:pPr>
              <w:pStyle w:val="InstructionsText"/>
              <w:rPr>
                <w:rStyle w:val="InstructionsTabelleberschrift"/>
                <w:rFonts w:ascii="Times New Roman" w:hAnsi="Times New Roman"/>
                <w:sz w:val="24"/>
              </w:rPr>
            </w:pPr>
            <w:r w:rsidRPr="00EF7F33">
              <w:rPr>
                <w:rStyle w:val="FormatvorlageInstructionsTabelleText"/>
                <w:rFonts w:ascii="Times New Roman" w:hAnsi="Times New Roman"/>
                <w:sz w:val="24"/>
              </w:rPr>
              <w:t xml:space="preserve">Članak 254. stavak 1. točka (b) i stavak 6., članci 261., 262. i 269. </w:t>
            </w:r>
            <w:r w:rsidRPr="00EF7F33">
              <w:t xml:space="preserve"> </w:t>
            </w:r>
            <w:r w:rsidRPr="00EF7F33">
              <w:rPr>
                <w:rStyle w:val="FormatvorlageInstructionsTabelleText"/>
                <w:rFonts w:ascii="Times New Roman" w:hAnsi="Times New Roman"/>
                <w:sz w:val="24"/>
              </w:rPr>
              <w:t>CRR-a.</w:t>
            </w:r>
          </w:p>
        </w:tc>
      </w:tr>
      <w:tr w:rsidR="00BD66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EF7F33" w:rsidRDefault="00BD66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Pr="00EF7F33" w:rsidRDefault="00BD66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1.8.5.2.1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4E6D5F" w:rsidRPr="00EF7F33" w:rsidRDefault="004E6D5F" w:rsidP="003B20D7">
            <w:pPr>
              <w:pStyle w:val="InstructionsText"/>
              <w:rPr>
                <w:rStyle w:val="InstructionsTabelleberschrift"/>
                <w:rFonts w:ascii="Times New Roman" w:hAnsi="Times New Roman"/>
                <w:sz w:val="24"/>
              </w:rPr>
            </w:pPr>
            <w:r w:rsidRPr="00EF7F33">
              <w:rPr>
                <w:rStyle w:val="FormatvorlageInstructionsTabelleText"/>
                <w:rFonts w:ascii="Times New Roman" w:hAnsi="Times New Roman"/>
                <w:sz w:val="24"/>
              </w:rPr>
              <w:t xml:space="preserve">Članak 254. stavak 1. točka (b) i stavak 6., članci 261. i 269. </w:t>
            </w:r>
            <w:r w:rsidRPr="00EF7F33">
              <w:t xml:space="preserve"> </w:t>
            </w:r>
            <w:r w:rsidRPr="00EF7F33">
              <w:rPr>
                <w:rStyle w:val="FormatvorlageInstructionsTabelleText"/>
                <w:rFonts w:ascii="Times New Roman" w:hAnsi="Times New Roman"/>
                <w:sz w:val="24"/>
              </w:rPr>
              <w:t>CRR-a.</w:t>
            </w:r>
          </w:p>
        </w:tc>
      </w:tr>
      <w:tr w:rsidR="00BD66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EF7F33" w:rsidRDefault="00BD66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Pr="00EF7F33" w:rsidRDefault="00BD66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1.8.5.2.2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4E6D5F" w:rsidRPr="00EF7F33" w:rsidRDefault="004E6D5F" w:rsidP="00FD239F">
            <w:pPr>
              <w:pStyle w:val="InstructionsText"/>
            </w:pPr>
            <w:r w:rsidRPr="00EF7F33">
              <w:t>Članak 254. stavak 1. točka (b), članak 261. i članak 262. CRR-a</w:t>
            </w:r>
          </w:p>
          <w:p w:rsidR="008B1A0F" w:rsidRPr="00EF7F33" w:rsidRDefault="00366794" w:rsidP="003B20D7">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1.8.5.3</w:t>
            </w:r>
            <w:r w:rsidRPr="00EF7F33">
              <w:tab/>
            </w:r>
            <w:r w:rsidRPr="00EF7F33">
              <w:rPr>
                <w:rStyle w:val="InstructionsTabelleberschrift"/>
                <w:rFonts w:ascii="Times New Roman" w:hAnsi="Times New Roman"/>
                <w:sz w:val="24"/>
              </w:rPr>
              <w:t xml:space="preserve"> Pristup zasnovan na eksternim rejting-sustavima (SEC-ERBA)</w:t>
            </w:r>
          </w:p>
          <w:p w:rsidR="009B591B" w:rsidRPr="00EF7F33" w:rsidRDefault="009B591B" w:rsidP="003B20D7">
            <w:pPr>
              <w:pStyle w:val="InstructionsText"/>
              <w:rPr>
                <w:rStyle w:val="InstructionsTabelleberschrift"/>
                <w:rFonts w:ascii="Times New Roman" w:hAnsi="Times New Roman"/>
                <w:sz w:val="24"/>
              </w:rPr>
            </w:pPr>
            <w:r w:rsidRPr="00EF7F33">
              <w:t>Članak 254. stavak 1. točka (c) i stavci 2., 3. i 4., članak 263. i članak 264. CRR-a</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1.8.5.3.1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9B591B" w:rsidRPr="00EF7F33" w:rsidRDefault="009B591B" w:rsidP="003B20D7">
            <w:pPr>
              <w:pStyle w:val="InstructionsText"/>
              <w:rPr>
                <w:rStyle w:val="InstructionsTabelleberschrift"/>
                <w:rFonts w:ascii="Times New Roman" w:hAnsi="Times New Roman"/>
                <w:sz w:val="24"/>
              </w:rPr>
            </w:pPr>
            <w:r w:rsidRPr="00EF7F33">
              <w:t>Članak 254. stavak 1. točka (c) i stavci 2., 3. i 4. i  članak 263. CRR-a</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1.8.5.3.2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9B591B" w:rsidRPr="00EF7F33" w:rsidRDefault="009B591B" w:rsidP="00FD239F">
            <w:pPr>
              <w:pStyle w:val="InstructionsText"/>
            </w:pPr>
            <w:r w:rsidRPr="00EF7F33">
              <w:t>Članak 254. stavak 1. točka (c) i stavci 2., 3. i 4., članak 263. i članak 264. CRR-a</w:t>
            </w:r>
          </w:p>
          <w:p w:rsidR="009B591B" w:rsidRPr="00EF7F33" w:rsidRDefault="009B591B" w:rsidP="003B20D7">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870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1.8.5.4</w:t>
            </w:r>
            <w:r w:rsidRPr="00EF7F33">
              <w:tab/>
            </w:r>
            <w:r w:rsidRPr="00EF7F33">
              <w:rPr>
                <w:rStyle w:val="InstructionsTabelleberschrift"/>
                <w:rFonts w:ascii="Times New Roman" w:hAnsi="Times New Roman"/>
                <w:sz w:val="24"/>
              </w:rPr>
              <w:t xml:space="preserve"> Pristup interne procjene</w:t>
            </w:r>
          </w:p>
          <w:p w:rsidR="009B591B" w:rsidRPr="00EF7F33" w:rsidRDefault="009B591B" w:rsidP="003B20D7">
            <w:pPr>
              <w:pStyle w:val="InstructionsText"/>
              <w:rPr>
                <w:rStyle w:val="InstructionsTabelleberschrift"/>
                <w:rFonts w:ascii="Times New Roman" w:hAnsi="Times New Roman"/>
                <w:sz w:val="24"/>
              </w:rPr>
            </w:pPr>
            <w:r w:rsidRPr="00EF7F33">
              <w:t>Članak 254. stavak 5., članci  265. i 266. CRR-a</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1.8.5.4.1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9B591B" w:rsidRPr="00EF7F33" w:rsidRDefault="009B591B" w:rsidP="003B20D7">
            <w:pPr>
              <w:pStyle w:val="InstructionsText"/>
              <w:rPr>
                <w:rStyle w:val="InstructionsTabelleberschrift"/>
                <w:rFonts w:ascii="Times New Roman" w:hAnsi="Times New Roman"/>
                <w:b w:val="0"/>
                <w:sz w:val="24"/>
                <w:u w:val="none"/>
              </w:rPr>
            </w:pPr>
            <w:r w:rsidRPr="00EF7F33">
              <w:t>Članak 254. stavak 5., članci  265. i 266. CRR-a</w:t>
            </w:r>
          </w:p>
        </w:tc>
      </w:tr>
      <w:tr w:rsidR="009B591B" w:rsidRPr="00EF7F33"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1.8.5.4.2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9B591B" w:rsidRPr="00EF7F33" w:rsidRDefault="009B591B" w:rsidP="00FD239F">
            <w:pPr>
              <w:pStyle w:val="InstructionsText"/>
            </w:pPr>
            <w:r w:rsidRPr="00EF7F33">
              <w:t>Članak 254. stavak 5., članci  265. i 266. CRR-a</w:t>
            </w:r>
          </w:p>
          <w:p w:rsidR="009B591B" w:rsidRPr="00EF7F33" w:rsidRDefault="009B591B" w:rsidP="003B20D7">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1.8.5.5</w:t>
            </w:r>
            <w:r w:rsidRPr="00EF7F33">
              <w:tab/>
            </w:r>
            <w:r w:rsidRPr="00EF7F33">
              <w:rPr>
                <w:rStyle w:val="InstructionsTabelleberschrift"/>
                <w:rFonts w:ascii="Times New Roman" w:hAnsi="Times New Roman"/>
                <w:sz w:val="24"/>
              </w:rPr>
              <w:t xml:space="preserve"> Ostalo (ponder rizika  = 1 250%)</w:t>
            </w:r>
          </w:p>
          <w:p w:rsidR="009B591B" w:rsidRPr="00EF7F33" w:rsidRDefault="009B591B" w:rsidP="003B20D7">
            <w:pPr>
              <w:pStyle w:val="InstructionsText"/>
              <w:rPr>
                <w:rStyle w:val="InstructionsTabelleberschrift"/>
                <w:rFonts w:ascii="Times New Roman" w:hAnsi="Times New Roman"/>
                <w:sz w:val="24"/>
              </w:rPr>
            </w:pPr>
            <w:r w:rsidRPr="00EF7F33">
              <w:t>Članak 254. stavak 7. CRR-a</w:t>
            </w:r>
          </w:p>
        </w:tc>
      </w:tr>
      <w:tr w:rsidR="00BB3CBE"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EF7F33" w:rsidRDefault="00BB3CBE"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Pr="00EF7F33" w:rsidRDefault="0039441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 Od čega: ukupan iznos izloženosti riziku za pozicijski rizik: d</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žnički instrumenti kojima se trguje – specifični rizik sekuritizaci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skih instrumenata (revidirani sekuritizacijski okvir)</w:t>
            </w:r>
          </w:p>
          <w:p w:rsidR="002A6913" w:rsidRPr="00EF7F33" w:rsidRDefault="002A6913" w:rsidP="00FD239F">
            <w:pPr>
              <w:pStyle w:val="InstructionsText"/>
              <w:rPr>
                <w:bCs/>
              </w:rPr>
            </w:pPr>
            <w:r w:rsidRPr="00EF7F33">
              <w:rPr>
                <w:rStyle w:val="InstructionsTabelleberschrift"/>
                <w:rFonts w:ascii="Times New Roman" w:hAnsi="Times New Roman"/>
                <w:b w:val="0"/>
                <w:sz w:val="24"/>
                <w:u w:val="none"/>
              </w:rPr>
              <w:t>Institucije unose informacije u r</w:t>
            </w:r>
            <w:r w:rsidRPr="00EF7F33">
              <w:t>etke 910 – 1040 na referentne datume izvješćivanja koji slijede nakon 1. siječnja 2019.</w:t>
            </w:r>
          </w:p>
          <w:p w:rsidR="004E2BE7" w:rsidRPr="00EF7F33" w:rsidRDefault="004E2BE7" w:rsidP="00FD239F">
            <w:pPr>
              <w:pStyle w:val="InstructionsText"/>
            </w:pPr>
            <w:r w:rsidRPr="00EF7F33">
              <w:t>U redcima 910 – 1040 iskazuju se iznosi izloženosti ponderirani rizikom za sekuritizacijske pozicije u knjizi trgovanja, čiji se ukupni iznosi izl</w:t>
            </w:r>
            <w:r w:rsidRPr="00EF7F33">
              <w:t>o</w:t>
            </w:r>
            <w:r w:rsidRPr="00EF7F33">
              <w:t>ženosti riziku izračunavaju u skladu s odredbama CRR-a. Međutim, s</w:t>
            </w:r>
            <w:r w:rsidRPr="00EF7F33">
              <w:t>e</w:t>
            </w:r>
            <w:r w:rsidRPr="00EF7F33">
              <w:t>kuritizacijske pozicije na koje se primjenjuju kapitalni zahtjevi za kor</w:t>
            </w:r>
            <w:r w:rsidRPr="00EF7F33">
              <w:t>e</w:t>
            </w:r>
            <w:r w:rsidRPr="00EF7F33">
              <w:t>lacijski portfelj namijenjen trgovanju u skladu s člankom 338. izmijenj</w:t>
            </w:r>
            <w:r w:rsidRPr="00EF7F33">
              <w:t>e</w:t>
            </w:r>
            <w:r w:rsidRPr="00EF7F33">
              <w:t>nog CRR-a ne iskazuju se u ovim redcima, već u obrascu MKR SA CTP.</w:t>
            </w:r>
          </w:p>
          <w:p w:rsidR="004E2BE7" w:rsidRPr="00EF7F33" w:rsidRDefault="004E2BE7" w:rsidP="00FD239F">
            <w:pPr>
              <w:pStyle w:val="InstructionsText"/>
            </w:pPr>
            <w:r w:rsidRPr="00EF7F33">
              <w:t>Iskazani iznosi odgovaraju ukupnom iznosu izloženosti riziku, koji je r</w:t>
            </w:r>
            <w:r w:rsidRPr="00EF7F33">
              <w:t>e</w:t>
            </w:r>
            <w:r w:rsidRPr="00EF7F33">
              <w:t>zultat množenja kapitalnih zahtjeva izračunanih u skladu s člankom 337. CRR-a sa 12,5. Za iskazani iznos uzima se u obzir primjenjivi ukupni ponder rizika u skladu s člankom 337. stavkom 3. CRR-a te gornja gr</w:t>
            </w:r>
            <w:r w:rsidRPr="00EF7F33">
              <w:t>a</w:t>
            </w:r>
            <w:r w:rsidRPr="00EF7F33">
              <w:t xml:space="preserve">nica kapitalnog zahtjeva za neto poziciju u skladu s člankom 335. CRR-a.  </w:t>
            </w:r>
          </w:p>
          <w:p w:rsidR="007A1E2E" w:rsidRPr="00EF7F33" w:rsidRDefault="007A1E2E" w:rsidP="002A6913">
            <w:pPr>
              <w:pStyle w:val="InstructionsText"/>
              <w:rPr>
                <w:rStyle w:val="InstructionsTabelleberschrift"/>
                <w:rFonts w:ascii="Times New Roman" w:hAnsi="Times New Roman"/>
                <w:bCs w:val="0"/>
                <w:sz w:val="24"/>
              </w:rPr>
            </w:pPr>
            <w:r w:rsidRPr="00EF7F33">
              <w:t>U skladu s određivanjem pondera rizika u skladu s člankom 337. CRR-a, pristup koji se primjenjuje na izračun kapitalnih zahtjeva za instrumente u knjizi trgovanja koji predstavljaju sekuritizacijske pozicije određuje se kao pristup koji bi institucija primijenila na poziciju u svojoj knjizi poz</w:t>
            </w:r>
            <w:r w:rsidRPr="00EF7F33">
              <w:t>i</w:t>
            </w:r>
            <w:r w:rsidRPr="00EF7F33">
              <w:t>cija kojima se ne trguje.</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w:t>
            </w:r>
            <w:r w:rsidRPr="00EF7F33">
              <w:tab/>
            </w:r>
            <w:r w:rsidRPr="00EF7F33">
              <w:rPr>
                <w:rStyle w:val="InstructionsTabelleberschrift"/>
                <w:rFonts w:ascii="Times New Roman" w:hAnsi="Times New Roman"/>
                <w:sz w:val="24"/>
              </w:rPr>
              <w:t>Od čega: ukupan iznos izloženosti riziku za pozicijski rizik: dužnički instrumenti kojima se trguje – specifični rizik sekuritizaci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skih instrumenata (revidirani sekuritizacijski okvir)</w:t>
            </w:r>
          </w:p>
          <w:p w:rsidR="00BB3CBE" w:rsidRPr="00EF7F33" w:rsidRDefault="00BB3CBE" w:rsidP="002A6913">
            <w:pPr>
              <w:pStyle w:val="InstructionsText"/>
              <w:rPr>
                <w:rStyle w:val="InstructionsTabelleberschrift"/>
                <w:rFonts w:ascii="Times New Roman" w:hAnsi="Times New Roman"/>
                <w:sz w:val="24"/>
              </w:rPr>
            </w:pPr>
            <w:r w:rsidRPr="00EF7F33">
              <w:t>Članak 92. stavak 3. točka (b) podtočka i. i stavak 4., članci 335.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1.8.6.1</w:t>
            </w:r>
            <w:r w:rsidRPr="00EF7F33">
              <w:tab/>
            </w:r>
            <w:r w:rsidRPr="00EF7F33">
              <w:rPr>
                <w:rStyle w:val="InstructionsTabelleberschrift"/>
                <w:rFonts w:ascii="Times New Roman" w:hAnsi="Times New Roman"/>
                <w:sz w:val="24"/>
              </w:rPr>
              <w:t xml:space="preserve"> Pristup zasnovan na internim rejting-sustavima (SEC-IRBA)</w:t>
            </w:r>
          </w:p>
          <w:p w:rsidR="007A1E2E" w:rsidRPr="00EF7F33" w:rsidRDefault="007A1E2E" w:rsidP="002A6913">
            <w:pPr>
              <w:pStyle w:val="InstructionsText"/>
              <w:rPr>
                <w:rStyle w:val="InstructionsTabelleberschrift"/>
                <w:rFonts w:ascii="Times New Roman" w:hAnsi="Times New Roman"/>
                <w:sz w:val="24"/>
              </w:rPr>
            </w:pPr>
            <w:r w:rsidRPr="00EF7F33">
              <w:lastRenderedPageBreak/>
              <w:t>Članak 254. stavak 1. točka (a), članci 259., 260.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930</w:t>
            </w:r>
          </w:p>
        </w:tc>
        <w:tc>
          <w:tcPr>
            <w:tcW w:w="7274" w:type="dxa"/>
            <w:tcBorders>
              <w:top w:val="nil"/>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1.8.6.1.1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2A6913">
            <w:pPr>
              <w:pStyle w:val="InstructionsText"/>
              <w:rPr>
                <w:rStyle w:val="InstructionsTabelleberschrift"/>
                <w:rFonts w:ascii="Times New Roman" w:hAnsi="Times New Roman"/>
                <w:sz w:val="24"/>
              </w:rPr>
            </w:pPr>
            <w:r w:rsidRPr="00EF7F33">
              <w:t>Članak 254. stavak 1. točka (a), članak 259. i članak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1.8.6.1.2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FD239F">
            <w:pPr>
              <w:pStyle w:val="InstructionsText"/>
            </w:pPr>
            <w:r w:rsidRPr="00EF7F33">
              <w:t>Članak 254. stavak 1. točka (a), članci 259., 260. i 337. CRR-a</w:t>
            </w:r>
          </w:p>
          <w:p w:rsidR="007A1E2E" w:rsidRPr="00EF7F33" w:rsidRDefault="007A1E2E" w:rsidP="00FD239F">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1.8.6.2</w:t>
            </w:r>
            <w:r w:rsidRPr="00EF7F33">
              <w:tab/>
            </w:r>
            <w:r w:rsidRPr="00EF7F33">
              <w:rPr>
                <w:rStyle w:val="InstructionsTabelleberschrift"/>
                <w:rFonts w:ascii="Times New Roman" w:hAnsi="Times New Roman"/>
                <w:sz w:val="24"/>
              </w:rPr>
              <w:t>Standardizirani pristup (SEC-SA)</w:t>
            </w:r>
          </w:p>
          <w:p w:rsidR="007A1E2E" w:rsidRPr="00EF7F33" w:rsidRDefault="007A1E2E" w:rsidP="002A6913">
            <w:pPr>
              <w:pStyle w:val="InstructionsText"/>
              <w:rPr>
                <w:rStyle w:val="InstructionsTabelleberschrift"/>
                <w:rFonts w:ascii="Times New Roman" w:hAnsi="Times New Roman"/>
                <w:sz w:val="24"/>
              </w:rPr>
            </w:pPr>
            <w:r w:rsidRPr="00EF7F33">
              <w:t>Članak 254. stavak 1. točka (b) i stavak 6., članci 261., 262., 269.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1.8.6.2.1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2A6913">
            <w:pPr>
              <w:pStyle w:val="InstructionsText"/>
              <w:rPr>
                <w:rStyle w:val="InstructionsTabelleberschrift"/>
                <w:rFonts w:ascii="Times New Roman" w:hAnsi="Times New Roman"/>
                <w:sz w:val="24"/>
              </w:rPr>
            </w:pPr>
            <w:r w:rsidRPr="00EF7F33">
              <w:t>Članak 254. stavak 1. točka (b) i stavak 6., članci 261., 269.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1.8.6.2.2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FD239F">
            <w:pPr>
              <w:pStyle w:val="InstructionsText"/>
            </w:pPr>
            <w:r w:rsidRPr="00EF7F33">
              <w:t>Članak 254. stavak 1. točka (b), članci 261., 262. i 337. CRR-a</w:t>
            </w:r>
          </w:p>
          <w:p w:rsidR="007A1E2E" w:rsidRPr="00EF7F33" w:rsidRDefault="007A1E2E" w:rsidP="00FD239F">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1.8.6.3</w:t>
            </w:r>
            <w:r w:rsidRPr="00EF7F33">
              <w:tab/>
            </w:r>
            <w:r w:rsidRPr="00EF7F33">
              <w:rPr>
                <w:rStyle w:val="InstructionsTabelleberschrift"/>
                <w:rFonts w:ascii="Times New Roman" w:hAnsi="Times New Roman"/>
                <w:sz w:val="24"/>
              </w:rPr>
              <w:t xml:space="preserve"> Pristup zasnovan na eksternim rejting-sustavima (SEC-ERBA)</w:t>
            </w:r>
          </w:p>
          <w:p w:rsidR="007A1E2E" w:rsidRPr="00EF7F33" w:rsidRDefault="007A1E2E" w:rsidP="002A6913">
            <w:pPr>
              <w:pStyle w:val="InstructionsText"/>
              <w:rPr>
                <w:rStyle w:val="InstructionsTabelleberschrift"/>
                <w:rFonts w:ascii="Times New Roman" w:hAnsi="Times New Roman"/>
                <w:sz w:val="24"/>
              </w:rPr>
            </w:pPr>
            <w:r w:rsidRPr="00EF7F33">
              <w:t>Članak 254. stavak 1. točka (c) i stavci 2., 3. i 4., članci 263., 264.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1.8.6.3.1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2A6913">
            <w:pPr>
              <w:pStyle w:val="InstructionsText"/>
              <w:rPr>
                <w:rStyle w:val="InstructionsTabelleberschrift"/>
                <w:rFonts w:ascii="Times New Roman" w:hAnsi="Times New Roman"/>
                <w:sz w:val="24"/>
              </w:rPr>
            </w:pPr>
            <w:r w:rsidRPr="00EF7F33">
              <w:t>Članak 254. stavak 1. točka (c) i stavci 2., 3. i 4., članak 263. i članak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1.8.6.3.2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FD239F">
            <w:pPr>
              <w:pStyle w:val="InstructionsText"/>
            </w:pPr>
            <w:r w:rsidRPr="00EF7F33">
              <w:t>Članak 254. stavak 1. točka (c) i stavci 2., 3. i 4., članci 263., 264. i 337. CRR-a</w:t>
            </w:r>
          </w:p>
          <w:p w:rsidR="007A1E2E" w:rsidRPr="00EF7F33" w:rsidRDefault="007A1E2E" w:rsidP="002A6913">
            <w:pPr>
              <w:pStyle w:val="InstructionsText"/>
              <w:rPr>
                <w:rStyle w:val="InstructionsTabelleberschrift"/>
                <w:rFonts w:ascii="Times New Roman" w:hAnsi="Times New Roman"/>
                <w:sz w:val="24"/>
              </w:rPr>
            </w:pPr>
            <w:r w:rsidRPr="00EF7F33">
              <w:t xml:space="preserve">STS sekuritizacije koje ispunjuju uvjete za različit tretman kapitala u skladu s člankom 243. CRR-a i nadređene pozicije u sekuritizacijama kredita za MSP-ove koje ispunjuju uvjete za različit tretman kapitala u </w:t>
            </w:r>
            <w:r w:rsidRPr="00EF7F33">
              <w:lastRenderedPageBreak/>
              <w:t>skladu s člankom 270. CRR-a iskazuju se u ovom retku.</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lastRenderedPageBreak/>
              <w:t>1010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1.8.6.4</w:t>
            </w:r>
            <w:r w:rsidRPr="00EF7F33">
              <w:tab/>
            </w:r>
            <w:r w:rsidRPr="00EF7F33">
              <w:rPr>
                <w:rStyle w:val="InstructionsTabelleberschrift"/>
                <w:rFonts w:ascii="Times New Roman" w:hAnsi="Times New Roman"/>
                <w:sz w:val="24"/>
              </w:rPr>
              <w:t>Pristup interne procjene</w:t>
            </w:r>
          </w:p>
          <w:p w:rsidR="007A1E2E" w:rsidRPr="00EF7F33" w:rsidRDefault="007A1E2E" w:rsidP="002A6913">
            <w:pPr>
              <w:pStyle w:val="InstructionsText"/>
              <w:rPr>
                <w:rStyle w:val="InstructionsTabelleberschrift"/>
                <w:rFonts w:ascii="Times New Roman" w:hAnsi="Times New Roman"/>
                <w:sz w:val="24"/>
              </w:rPr>
            </w:pPr>
            <w:r w:rsidRPr="00EF7F33">
              <w:t>Članak 254. stavak 5., članci 265., 266.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1.8.6.4.1</w:t>
            </w:r>
            <w:r w:rsidRPr="00EF7F33">
              <w:tab/>
            </w:r>
            <w:r w:rsidRPr="00EF7F33">
              <w:rPr>
                <w:rStyle w:val="InstructionsTabelleberschrift"/>
                <w:rFonts w:ascii="Times New Roman" w:hAnsi="Times New Roman"/>
                <w:sz w:val="24"/>
              </w:rPr>
              <w:t>Sekuritizacije koje ne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2A6913">
            <w:pPr>
              <w:pStyle w:val="InstructionsText"/>
              <w:rPr>
                <w:rStyle w:val="InstructionsTabelleberschrift"/>
                <w:rFonts w:ascii="Times New Roman" w:hAnsi="Times New Roman"/>
                <w:sz w:val="24"/>
              </w:rPr>
            </w:pPr>
            <w:r w:rsidRPr="00EF7F33">
              <w:t>Članak 254. stavak 5., članci 265., 266. i 337. CRR-a</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1.8.6.4.2</w:t>
            </w:r>
            <w:r w:rsidRPr="00EF7F33">
              <w:tab/>
            </w:r>
            <w:r w:rsidRPr="00EF7F33">
              <w:rPr>
                <w:rStyle w:val="InstructionsTabelleberschrift"/>
                <w:rFonts w:ascii="Times New Roman" w:hAnsi="Times New Roman"/>
                <w:sz w:val="24"/>
              </w:rPr>
              <w:t>STS sekuritizacije koje ispunjuju uvjete za različit tr</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tman kapitala</w:t>
            </w:r>
          </w:p>
          <w:p w:rsidR="007A1E2E" w:rsidRPr="00EF7F33" w:rsidRDefault="007A1E2E" w:rsidP="00FD239F">
            <w:pPr>
              <w:pStyle w:val="InstructionsText"/>
            </w:pPr>
            <w:r w:rsidRPr="00EF7F33">
              <w:t>Članak 254. stavak 5., članci 265., 266. i 337. CRR-a</w:t>
            </w:r>
          </w:p>
          <w:p w:rsidR="007A1E2E" w:rsidRPr="00EF7F33" w:rsidRDefault="007A1E2E" w:rsidP="002A6913">
            <w:pPr>
              <w:pStyle w:val="InstructionsText"/>
              <w:rPr>
                <w:rStyle w:val="InstructionsTabelleberschrift"/>
                <w:rFonts w:ascii="Times New Roman" w:hAnsi="Times New Roman"/>
                <w:sz w:val="24"/>
              </w:rPr>
            </w:pPr>
            <w:r w:rsidRPr="00EF7F33">
              <w:t>STS sekuritizacije koje ispunjuju uvjete za različit tretman kapitala u skladu s člankom 243. CRR-a i nadređene pozicije u sekuritizacijama kredita za MSP-ove koje ispunjuju uvjete za različit tretman kapitala u skladu s člankom 270. CRR-a iskazuju se u ovom retku.</w:t>
            </w:r>
          </w:p>
        </w:tc>
      </w:tr>
      <w:tr w:rsidR="009B591B"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FormatvorlageInstructionsTabelleText"/>
                <w:rFonts w:ascii="Times New Roman" w:hAnsi="Times New Roman"/>
                <w:sz w:val="24"/>
              </w:rPr>
            </w:pPr>
            <w:r w:rsidRPr="00EF7F33">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Pr="00EF7F33" w:rsidRDefault="009B591B"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1.8.6.5</w:t>
            </w:r>
            <w:r w:rsidRPr="00EF7F33">
              <w:tab/>
            </w:r>
            <w:r w:rsidRPr="00EF7F33">
              <w:rPr>
                <w:rStyle w:val="InstructionsTabelleberschrift"/>
                <w:rFonts w:ascii="Times New Roman" w:hAnsi="Times New Roman"/>
                <w:sz w:val="24"/>
              </w:rPr>
              <w:t xml:space="preserve"> Ostalo (ponder rizika  = 1 250%)</w:t>
            </w:r>
          </w:p>
          <w:p w:rsidR="007A1E2E" w:rsidRPr="00EF7F33" w:rsidRDefault="007A1E2E" w:rsidP="002A6913">
            <w:pPr>
              <w:pStyle w:val="InstructionsText"/>
              <w:rPr>
                <w:rStyle w:val="InstructionsTabelleberschrift"/>
                <w:rFonts w:ascii="Times New Roman" w:hAnsi="Times New Roman"/>
                <w:sz w:val="24"/>
              </w:rPr>
            </w:pPr>
            <w:r w:rsidRPr="00EF7F33">
              <w:t>Članak 254. stavak 7. i članak 337. CRR-a</w:t>
            </w:r>
          </w:p>
        </w:tc>
      </w:tr>
    </w:tbl>
    <w:p w:rsidR="002648B0" w:rsidRPr="00EF7F33"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3998104"/>
      <w:r w:rsidRPr="00EF7F33">
        <w:rPr>
          <w:rFonts w:ascii="Times New Roman" w:hAnsi="Times New Roman"/>
          <w:sz w:val="24"/>
          <w:u w:val="none"/>
        </w:rPr>
        <w:t>1.4</w:t>
      </w:r>
      <w:r w:rsidRPr="00EF7F33">
        <w:tab/>
      </w:r>
      <w:r w:rsidRPr="00EF7F33">
        <w:rPr>
          <w:rFonts w:ascii="Times New Roman" w:hAnsi="Times New Roman"/>
          <w:sz w:val="24"/>
          <w:u w:val="none"/>
        </w:rPr>
        <w:t>C 03.00 – STOPE KAPITALA I RAZINE KAPITALA (CA3)</w:t>
      </w:r>
      <w:bookmarkEnd w:id="66"/>
      <w:bookmarkEnd w:id="63"/>
      <w:bookmarkEnd w:id="67"/>
      <w:r w:rsidRPr="00EF7F33">
        <w:rPr>
          <w:rFonts w:ascii="Times New Roman" w:hAnsi="Times New Roman"/>
          <w:sz w:val="24"/>
          <w:u w:val="none"/>
        </w:rPr>
        <w:t xml:space="preserve"> </w:t>
      </w:r>
      <w:bookmarkEnd w:id="64"/>
      <w:bookmarkEnd w:id="65"/>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3998105"/>
      <w:r w:rsidRPr="00EF7F33">
        <w:rPr>
          <w:rFonts w:ascii="Times New Roman" w:hAnsi="Times New Roman"/>
          <w:sz w:val="24"/>
          <w:u w:val="none"/>
        </w:rPr>
        <w:t>1.4.1.</w:t>
      </w:r>
      <w:r w:rsidRPr="00EF7F33">
        <w:tab/>
      </w:r>
      <w:r w:rsidRPr="00EF7F33">
        <w:rPr>
          <w:rFonts w:ascii="Times New Roman" w:hAnsi="Times New Roman"/>
          <w:sz w:val="24"/>
        </w:rPr>
        <w:t>Upute za specifične pozicije</w:t>
      </w:r>
      <w:bookmarkEnd w:id="68"/>
      <w:bookmarkEnd w:id="69"/>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EF7F33" w:rsidTr="00672D2A">
        <w:tc>
          <w:tcPr>
            <w:tcW w:w="8783" w:type="dxa"/>
            <w:gridSpan w:val="2"/>
            <w:shd w:val="clear" w:color="auto" w:fill="D9D9D9"/>
          </w:tcPr>
          <w:p w:rsidR="005643EA" w:rsidRPr="00EF7F33" w:rsidRDefault="002648B0" w:rsidP="00FD239F">
            <w:pPr>
              <w:pStyle w:val="InstructionsText"/>
            </w:pPr>
            <w:r w:rsidRPr="00EF7F33">
              <w:t>Redci</w:t>
            </w:r>
          </w:p>
        </w:tc>
      </w:tr>
      <w:tr w:rsidR="002648B0" w:rsidRPr="00EF7F33" w:rsidTr="00672D2A">
        <w:tc>
          <w:tcPr>
            <w:tcW w:w="703" w:type="dxa"/>
          </w:tcPr>
          <w:p w:rsidR="002648B0" w:rsidRPr="00EF7F33" w:rsidRDefault="002648B0" w:rsidP="00FD239F">
            <w:pPr>
              <w:pStyle w:val="InstructionsText"/>
            </w:pPr>
            <w:r w:rsidRPr="00EF7F33">
              <w:t>010</w:t>
            </w:r>
          </w:p>
        </w:tc>
        <w:tc>
          <w:tcPr>
            <w:tcW w:w="8080" w:type="dxa"/>
          </w:tcPr>
          <w:p w:rsidR="005643EA" w:rsidRPr="00EF7F33" w:rsidRDefault="002648B0" w:rsidP="00FD239F">
            <w:pPr>
              <w:pStyle w:val="InstructionsText"/>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Stopa redovnog osnovnog kapitala</w:t>
            </w:r>
          </w:p>
          <w:p w:rsidR="005643EA" w:rsidRPr="00EF7F33" w:rsidRDefault="002648B0" w:rsidP="00FD239F">
            <w:pPr>
              <w:pStyle w:val="InstructionsText"/>
            </w:pPr>
            <w:r w:rsidRPr="00EF7F33">
              <w:t>Članak 92. stavak 2. točka (a) CRR-a</w:t>
            </w:r>
          </w:p>
          <w:p w:rsidR="005643EA" w:rsidRPr="00EF7F33" w:rsidRDefault="002648B0" w:rsidP="00FD239F">
            <w:pPr>
              <w:pStyle w:val="InstructionsText"/>
            </w:pPr>
            <w:r w:rsidRPr="00EF7F33">
              <w:t>Stopa redovnog osnovnog kapitala je redovni osnovni kapital institucije izražen kao postotak ukupnog iznosa izloženosti riziku.</w:t>
            </w:r>
          </w:p>
        </w:tc>
      </w:tr>
      <w:tr w:rsidR="002648B0" w:rsidRPr="00EF7F33" w:rsidTr="00672D2A">
        <w:tc>
          <w:tcPr>
            <w:tcW w:w="703" w:type="dxa"/>
          </w:tcPr>
          <w:p w:rsidR="002648B0" w:rsidRPr="00EF7F33" w:rsidRDefault="002648B0" w:rsidP="00FD239F">
            <w:pPr>
              <w:pStyle w:val="InstructionsText"/>
            </w:pPr>
            <w:r w:rsidRPr="00EF7F33">
              <w:t>020</w:t>
            </w:r>
          </w:p>
        </w:tc>
        <w:tc>
          <w:tcPr>
            <w:tcW w:w="8080"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w:t>
            </w:r>
            <w:r w:rsidRPr="00EF7F33">
              <w:tab/>
            </w:r>
            <w:r w:rsidRPr="00EF7F33">
              <w:rPr>
                <w:rStyle w:val="InstructionsTabelleberschrift"/>
                <w:rFonts w:ascii="Times New Roman" w:hAnsi="Times New Roman"/>
                <w:sz w:val="24"/>
              </w:rPr>
              <w:t>Višak (+)/manjak (–) redovnog osnovnog kapitala</w:t>
            </w:r>
          </w:p>
          <w:p w:rsidR="005643EA" w:rsidRPr="00EF7F33" w:rsidRDefault="002648B0" w:rsidP="00FD239F">
            <w:pPr>
              <w:pStyle w:val="InstructionsText"/>
            </w:pPr>
            <w:r w:rsidRPr="00EF7F33">
              <w:t>Ova stavka pokazuje, u apsolutnim vrijednostima, iznos viška ili manjka redo</w:t>
            </w:r>
            <w:r w:rsidRPr="00EF7F33">
              <w:t>v</w:t>
            </w:r>
            <w:r w:rsidRPr="00EF7F33">
              <w:t>nog osnovnog kapitala koji se odnosi na zahtjev određen u članku 92. stavku 1. točki (a) CRR-a (4,5 %), tj. ne uzimajući u obzir zaštitne slojeve kapitala i prij</w:t>
            </w:r>
            <w:r w:rsidRPr="00EF7F33">
              <w:t>e</w:t>
            </w:r>
            <w:r w:rsidRPr="00EF7F33">
              <w:t>lazne odredbe o stopi.</w:t>
            </w:r>
          </w:p>
        </w:tc>
      </w:tr>
      <w:tr w:rsidR="002648B0" w:rsidRPr="00EF7F33" w:rsidTr="00672D2A">
        <w:tc>
          <w:tcPr>
            <w:tcW w:w="703" w:type="dxa"/>
          </w:tcPr>
          <w:p w:rsidR="002648B0" w:rsidRPr="00EF7F33" w:rsidRDefault="002648B0" w:rsidP="00FD239F">
            <w:pPr>
              <w:pStyle w:val="InstructionsText"/>
            </w:pPr>
            <w:r w:rsidRPr="00EF7F33">
              <w:t>030</w:t>
            </w:r>
          </w:p>
        </w:tc>
        <w:tc>
          <w:tcPr>
            <w:tcW w:w="8080" w:type="dxa"/>
          </w:tcPr>
          <w:p w:rsidR="005643EA" w:rsidRPr="00EF7F33" w:rsidRDefault="002648B0" w:rsidP="00FD239F">
            <w:pPr>
              <w:pStyle w:val="InstructionsText"/>
            </w:pPr>
            <w:r w:rsidRPr="00EF7F33">
              <w:rPr>
                <w:rStyle w:val="InstructionsTabelleberschrift"/>
                <w:rFonts w:ascii="Times New Roman" w:hAnsi="Times New Roman"/>
                <w:sz w:val="24"/>
              </w:rPr>
              <w:t>3</w:t>
            </w:r>
            <w:r w:rsidRPr="00EF7F33">
              <w:tab/>
            </w:r>
            <w:r w:rsidRPr="00EF7F33">
              <w:rPr>
                <w:rStyle w:val="InstructionsTabelleberschrift"/>
                <w:rFonts w:ascii="Times New Roman" w:hAnsi="Times New Roman"/>
                <w:sz w:val="24"/>
              </w:rPr>
              <w:t>Stopa osnovnog kapitala</w:t>
            </w:r>
          </w:p>
          <w:p w:rsidR="005643EA" w:rsidRPr="00EF7F33" w:rsidRDefault="002648B0" w:rsidP="00FD239F">
            <w:pPr>
              <w:pStyle w:val="InstructionsText"/>
            </w:pPr>
            <w:r w:rsidRPr="00EF7F33">
              <w:t>Članak 92. stavak 2. točka (b) CRR-a</w:t>
            </w:r>
          </w:p>
          <w:p w:rsidR="005643EA" w:rsidRPr="00EF7F33" w:rsidRDefault="002648B0" w:rsidP="00FD239F">
            <w:pPr>
              <w:pStyle w:val="InstructionsText"/>
            </w:pPr>
            <w:r w:rsidRPr="00EF7F33">
              <w:t>Stopa osnovnog kapitala je osnovni kapital institucije izražen kao postotak uku</w:t>
            </w:r>
            <w:r w:rsidRPr="00EF7F33">
              <w:t>p</w:t>
            </w:r>
            <w:r w:rsidRPr="00EF7F33">
              <w:t>nog iznosa izloženosti riziku.</w:t>
            </w:r>
          </w:p>
        </w:tc>
      </w:tr>
      <w:tr w:rsidR="002648B0" w:rsidRPr="00EF7F33" w:rsidTr="00672D2A">
        <w:tc>
          <w:tcPr>
            <w:tcW w:w="703" w:type="dxa"/>
          </w:tcPr>
          <w:p w:rsidR="002648B0" w:rsidRPr="00EF7F33" w:rsidRDefault="002648B0" w:rsidP="00FD239F">
            <w:pPr>
              <w:pStyle w:val="InstructionsText"/>
            </w:pPr>
            <w:r w:rsidRPr="00EF7F33">
              <w:t>040</w:t>
            </w:r>
          </w:p>
        </w:tc>
        <w:tc>
          <w:tcPr>
            <w:tcW w:w="8080" w:type="dxa"/>
          </w:tcPr>
          <w:p w:rsidR="005643EA" w:rsidRPr="00EF7F33" w:rsidRDefault="002648B0" w:rsidP="00FD239F">
            <w:pPr>
              <w:pStyle w:val="InstructionsText"/>
            </w:pPr>
            <w:r w:rsidRPr="00EF7F33">
              <w:rPr>
                <w:rStyle w:val="InstructionsTabelleberschrift"/>
                <w:rFonts w:ascii="Times New Roman" w:hAnsi="Times New Roman"/>
                <w:sz w:val="24"/>
              </w:rPr>
              <w:t>4</w:t>
            </w:r>
            <w:r w:rsidRPr="00EF7F33">
              <w:tab/>
            </w:r>
            <w:r w:rsidRPr="00EF7F33">
              <w:rPr>
                <w:rStyle w:val="InstructionsTabelleberschrift"/>
                <w:rFonts w:ascii="Times New Roman" w:hAnsi="Times New Roman"/>
                <w:sz w:val="24"/>
              </w:rPr>
              <w:t>Višak (+)/manjak (–) osnovnog kapitala</w:t>
            </w:r>
          </w:p>
          <w:p w:rsidR="005643EA" w:rsidRPr="00EF7F33" w:rsidRDefault="002648B0" w:rsidP="00FD239F">
            <w:pPr>
              <w:pStyle w:val="InstructionsText"/>
            </w:pPr>
            <w:r w:rsidRPr="00EF7F33">
              <w:t>Ova stavka pokazuje, u apsolutnim vrijednostima, iznos viška ili manjka osno</w:t>
            </w:r>
            <w:r w:rsidRPr="00EF7F33">
              <w:t>v</w:t>
            </w:r>
            <w:r w:rsidRPr="00EF7F33">
              <w:t>nog kapitala koji se odnosi na zahtjev određen u članku 92. stavku 1. točki (b) CRR-a (6 %), tj. ne uzimajući u obzir zaštitne slojeve kapitala i prijelazne odre</w:t>
            </w:r>
            <w:r w:rsidRPr="00EF7F33">
              <w:t>d</w:t>
            </w:r>
            <w:r w:rsidRPr="00EF7F33">
              <w:t>be o stopi.</w:t>
            </w:r>
          </w:p>
        </w:tc>
      </w:tr>
      <w:tr w:rsidR="002648B0" w:rsidRPr="00EF7F33" w:rsidTr="00672D2A">
        <w:tc>
          <w:tcPr>
            <w:tcW w:w="703" w:type="dxa"/>
          </w:tcPr>
          <w:p w:rsidR="002648B0" w:rsidRPr="00EF7F33" w:rsidRDefault="002648B0" w:rsidP="00FD239F">
            <w:pPr>
              <w:pStyle w:val="InstructionsText"/>
            </w:pPr>
            <w:r w:rsidRPr="00EF7F33">
              <w:t>050</w:t>
            </w:r>
          </w:p>
        </w:tc>
        <w:tc>
          <w:tcPr>
            <w:tcW w:w="8080" w:type="dxa"/>
          </w:tcPr>
          <w:p w:rsidR="005643EA" w:rsidRPr="00EF7F33" w:rsidRDefault="002648B0" w:rsidP="00FD239F">
            <w:pPr>
              <w:pStyle w:val="InstructionsText"/>
            </w:pPr>
            <w:r w:rsidRPr="00EF7F33">
              <w:rPr>
                <w:rStyle w:val="InstructionsTabelleberschrift"/>
                <w:rFonts w:ascii="Times New Roman" w:hAnsi="Times New Roman"/>
                <w:sz w:val="24"/>
              </w:rPr>
              <w:t>5</w:t>
            </w:r>
            <w:r w:rsidRPr="00EF7F33">
              <w:tab/>
            </w:r>
            <w:r w:rsidRPr="00EF7F33">
              <w:rPr>
                <w:rStyle w:val="InstructionsTabelleberschrift"/>
                <w:rFonts w:ascii="Times New Roman" w:hAnsi="Times New Roman"/>
                <w:sz w:val="24"/>
              </w:rPr>
              <w:t>Stopa ukupnog kapitala</w:t>
            </w:r>
          </w:p>
          <w:p w:rsidR="005643EA" w:rsidRPr="00EF7F33" w:rsidRDefault="002648B0" w:rsidP="00FD239F">
            <w:pPr>
              <w:pStyle w:val="InstructionsText"/>
            </w:pPr>
            <w:r w:rsidRPr="00EF7F33">
              <w:lastRenderedPageBreak/>
              <w:t>Članak 92. stavak 2. točka (c) CRR-a</w:t>
            </w:r>
          </w:p>
          <w:p w:rsidR="005643EA" w:rsidRPr="00EF7F33" w:rsidRDefault="002648B0" w:rsidP="00FD239F">
            <w:pPr>
              <w:pStyle w:val="InstructionsText"/>
            </w:pPr>
            <w:r w:rsidRPr="00EF7F33">
              <w:t>Stopa ukupnog kapitala je regulatorni kapital institucije izražen kao postotak ukupnog iznosa izloženosti riziku.</w:t>
            </w:r>
          </w:p>
        </w:tc>
      </w:tr>
      <w:tr w:rsidR="002648B0" w:rsidRPr="00EF7F33" w:rsidTr="00672D2A">
        <w:tc>
          <w:tcPr>
            <w:tcW w:w="703" w:type="dxa"/>
          </w:tcPr>
          <w:p w:rsidR="002648B0" w:rsidRPr="00EF7F33" w:rsidRDefault="002648B0" w:rsidP="00FD239F">
            <w:pPr>
              <w:pStyle w:val="InstructionsText"/>
            </w:pPr>
            <w:r w:rsidRPr="00EF7F33">
              <w:lastRenderedPageBreak/>
              <w:t>060</w:t>
            </w:r>
          </w:p>
        </w:tc>
        <w:tc>
          <w:tcPr>
            <w:tcW w:w="8080" w:type="dxa"/>
          </w:tcPr>
          <w:p w:rsidR="005643EA" w:rsidRPr="00EF7F33" w:rsidRDefault="002648B0" w:rsidP="00FD239F">
            <w:pPr>
              <w:pStyle w:val="InstructionsText"/>
            </w:pPr>
            <w:r w:rsidRPr="00EF7F33">
              <w:rPr>
                <w:rStyle w:val="InstructionsTabelleberschrift"/>
                <w:rFonts w:ascii="Times New Roman" w:hAnsi="Times New Roman"/>
                <w:sz w:val="24"/>
              </w:rPr>
              <w:t>6</w:t>
            </w:r>
            <w:r w:rsidRPr="00EF7F33">
              <w:tab/>
            </w:r>
            <w:r w:rsidRPr="00EF7F33">
              <w:rPr>
                <w:rStyle w:val="InstructionsTabelleberschrift"/>
                <w:rFonts w:ascii="Times New Roman" w:hAnsi="Times New Roman"/>
                <w:sz w:val="24"/>
              </w:rPr>
              <w:t>Višak (+)/manjak (–) ukupnog kapitala</w:t>
            </w:r>
          </w:p>
          <w:p w:rsidR="005643EA" w:rsidRPr="00EF7F33" w:rsidRDefault="002648B0" w:rsidP="00FD239F">
            <w:pPr>
              <w:pStyle w:val="InstructionsText"/>
            </w:pPr>
            <w:r w:rsidRPr="00EF7F33">
              <w:t>Ova stavka pokazuje, u apsolutnim vrijednostima, iznos viška ili manjka regul</w:t>
            </w:r>
            <w:r w:rsidRPr="00EF7F33">
              <w:t>a</w:t>
            </w:r>
            <w:r w:rsidRPr="00EF7F33">
              <w:t>tornog kapitala koji se odnosi na zahtjev određen u članku 92. stavku 1. točki (c) CRR-a (8 %), tj. ne uzimajući u obzir zaštitne slojeve kapitala i prijelazne odre</w:t>
            </w:r>
            <w:r w:rsidRPr="00EF7F33">
              <w:t>d</w:t>
            </w:r>
            <w:r w:rsidRPr="00EF7F33">
              <w:t>be o stopi.</w:t>
            </w:r>
          </w:p>
        </w:tc>
      </w:tr>
      <w:tr w:rsidR="009C083D" w:rsidRPr="00EF7F33" w:rsidTr="00672D2A">
        <w:tc>
          <w:tcPr>
            <w:tcW w:w="703" w:type="dxa"/>
          </w:tcPr>
          <w:p w:rsidR="009C083D" w:rsidRPr="00EF7F33" w:rsidRDefault="009C083D" w:rsidP="00FD239F">
            <w:pPr>
              <w:pStyle w:val="InstructionsText"/>
            </w:pPr>
            <w:r w:rsidRPr="00EF7F33">
              <w:t>130</w:t>
            </w:r>
          </w:p>
          <w:p w:rsidR="009C083D" w:rsidRPr="00EF7F33" w:rsidRDefault="009C083D" w:rsidP="00FD239F">
            <w:pPr>
              <w:pStyle w:val="InstructionsText"/>
            </w:pPr>
          </w:p>
        </w:tc>
        <w:tc>
          <w:tcPr>
            <w:tcW w:w="8080" w:type="dxa"/>
          </w:tcPr>
          <w:p w:rsidR="009C083D" w:rsidRPr="00EF7F33" w:rsidRDefault="009C083D"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 xml:space="preserve">Stopa ukupnog kapitalnog zahtjeva u okviru postupka nadzorne provjere i ocjene (SREP) </w:t>
            </w:r>
          </w:p>
          <w:p w:rsidR="009C083D" w:rsidRPr="00EF7F33" w:rsidRDefault="009C083D" w:rsidP="00FD239F">
            <w:pPr>
              <w:pStyle w:val="InstructionsText"/>
            </w:pPr>
            <w:r w:rsidRPr="00EF7F33">
              <w:t xml:space="preserve">Zbroj </w:t>
            </w:r>
            <w:r w:rsidR="004B4D97" w:rsidRPr="00EF7F33">
              <w:t>(</w:t>
            </w:r>
            <w:r w:rsidRPr="00EF7F33">
              <w:t>i</w:t>
            </w:r>
            <w:r w:rsidR="004B4D97" w:rsidRPr="00EF7F33">
              <w:t>)</w:t>
            </w:r>
            <w:r w:rsidRPr="00EF7F33">
              <w:t xml:space="preserve"> i </w:t>
            </w:r>
            <w:r w:rsidR="004B4D97" w:rsidRPr="00EF7F33">
              <w:t>(</w:t>
            </w:r>
            <w:r w:rsidRPr="00EF7F33">
              <w:t>ii</w:t>
            </w:r>
            <w:r w:rsidR="004B4D97" w:rsidRPr="00EF7F33">
              <w:t>)</w:t>
            </w:r>
            <w:r w:rsidRPr="00EF7F33">
              <w:t xml:space="preserve"> određuje se kako slijedi:</w:t>
            </w:r>
          </w:p>
          <w:p w:rsidR="009C083D" w:rsidRPr="00EF7F33" w:rsidRDefault="009C083D" w:rsidP="00FD239F">
            <w:pPr>
              <w:pStyle w:val="InstructionsText"/>
              <w:numPr>
                <w:ilvl w:val="0"/>
                <w:numId w:val="20"/>
              </w:numPr>
            </w:pPr>
            <w:r w:rsidRPr="00EF7F33">
              <w:t>stopa ukupnog kapitala (8%) kako je određena u članku 92. stavku 1. to</w:t>
            </w:r>
            <w:r w:rsidRPr="00EF7F33">
              <w:t>č</w:t>
            </w:r>
            <w:r w:rsidRPr="00EF7F33">
              <w:t xml:space="preserve">ki (c) CRR-a; </w:t>
            </w:r>
          </w:p>
          <w:p w:rsidR="009C083D" w:rsidRPr="00EF7F33" w:rsidRDefault="009C083D" w:rsidP="00FD239F">
            <w:pPr>
              <w:pStyle w:val="InstructionsText"/>
              <w:numPr>
                <w:ilvl w:val="0"/>
                <w:numId w:val="20"/>
              </w:numPr>
            </w:pPr>
            <w:r w:rsidRPr="00EF7F33">
              <w:t>stopa dodatnih kapitalnih zahtjeva (zahtjevi iz stupa 2.) određena u skl</w:t>
            </w:r>
            <w:r w:rsidRPr="00EF7F33">
              <w:t>a</w:t>
            </w:r>
            <w:r w:rsidRPr="00EF7F33">
              <w:t xml:space="preserve">du s kriterijima iz </w:t>
            </w:r>
            <w:r w:rsidRPr="00EF7F33">
              <w:rPr>
                <w:i/>
              </w:rPr>
              <w:t>Smjernice EBA-e o zajedničkim postupcima i metod</w:t>
            </w:r>
            <w:r w:rsidRPr="00EF7F33">
              <w:rPr>
                <w:i/>
              </w:rPr>
              <w:t>o</w:t>
            </w:r>
            <w:r w:rsidRPr="00EF7F33">
              <w:rPr>
                <w:i/>
              </w:rPr>
              <w:t>logijama za postupak nadzorne provjere i ocjene i nadzorno testiranje otpornosti na stres</w:t>
            </w:r>
            <w:r w:rsidRPr="00EF7F33">
              <w:t>(EBA SREP GL).</w:t>
            </w:r>
          </w:p>
          <w:p w:rsidR="009C083D" w:rsidRPr="00EF7F33" w:rsidRDefault="009C083D" w:rsidP="00FD239F">
            <w:pPr>
              <w:pStyle w:val="InstructionsText"/>
            </w:pPr>
            <w:r w:rsidRPr="00EF7F33">
              <w:t>U ovoj se stavci navodi stopa ukupnog kapitalnog zahtjeva u okviru SREP-a o kojoj je nadležno tijelo izvijestilo instituciju. Ukupni kapitalni zahtjev u okviru SREP-a definiran je u odjeljku 1.2 EBA-inih smjernica EBA SREP GL.</w:t>
            </w:r>
          </w:p>
          <w:p w:rsidR="00C9673B" w:rsidRPr="00EF7F33" w:rsidRDefault="00236E33" w:rsidP="00FD239F">
            <w:pPr>
              <w:pStyle w:val="InstructionsText"/>
              <w:rPr>
                <w:rStyle w:val="InstructionsTabelleberschrift"/>
                <w:rFonts w:ascii="Times New Roman" w:hAnsi="Times New Roman"/>
                <w:b w:val="0"/>
                <w:bCs w:val="0"/>
                <w:sz w:val="24"/>
                <w:u w:val="none"/>
              </w:rPr>
            </w:pPr>
            <w:r w:rsidRPr="00EF7F33">
              <w:t xml:space="preserve">Ako nadležno tijelo nije izvijestilo instituciju o dodatnim kapitalnim zahtjevima, iskazuje se samo točka i.  </w:t>
            </w:r>
          </w:p>
        </w:tc>
      </w:tr>
      <w:tr w:rsidR="009C083D" w:rsidRPr="00EF7F33" w:rsidTr="00672D2A">
        <w:tc>
          <w:tcPr>
            <w:tcW w:w="703" w:type="dxa"/>
          </w:tcPr>
          <w:p w:rsidR="009C083D" w:rsidRPr="00EF7F33" w:rsidRDefault="009C083D" w:rsidP="00FD239F">
            <w:pPr>
              <w:pStyle w:val="InstructionsText"/>
            </w:pPr>
            <w:r w:rsidRPr="00EF7F33">
              <w:t>140</w:t>
            </w:r>
          </w:p>
          <w:p w:rsidR="009C083D" w:rsidRPr="00EF7F33" w:rsidRDefault="009C083D" w:rsidP="00FD239F">
            <w:pPr>
              <w:pStyle w:val="InstructionsText"/>
            </w:pP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Ukupni kapitalni zahtjev u okviru SREP-a: koji se sastoji od redo</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 xml:space="preserve">nog osnovnog kapitala </w:t>
            </w:r>
          </w:p>
          <w:p w:rsidR="009C083D" w:rsidRPr="00EF7F33" w:rsidRDefault="009C083D" w:rsidP="00FD239F">
            <w:pPr>
              <w:pStyle w:val="InstructionsText"/>
            </w:pPr>
            <w:r w:rsidRPr="00EF7F33">
              <w:t xml:space="preserve">Zbroj </w:t>
            </w:r>
            <w:r w:rsidR="004B4D97" w:rsidRPr="00EF7F33">
              <w:t>(</w:t>
            </w:r>
            <w:r w:rsidRPr="00EF7F33">
              <w:t>i</w:t>
            </w:r>
            <w:r w:rsidR="004B4D97" w:rsidRPr="00EF7F33">
              <w:t>)</w:t>
            </w:r>
            <w:r w:rsidRPr="00EF7F33">
              <w:t xml:space="preserve"> i </w:t>
            </w:r>
            <w:r w:rsidR="004B4D97" w:rsidRPr="00EF7F33">
              <w:t>(</w:t>
            </w:r>
            <w:r w:rsidRPr="00EF7F33">
              <w:t>ii</w:t>
            </w:r>
            <w:r w:rsidR="004B4D97" w:rsidRPr="00EF7F33">
              <w:t>)</w:t>
            </w:r>
            <w:r w:rsidRPr="00EF7F33">
              <w:t xml:space="preserve"> određuje se kako slijedi:</w:t>
            </w:r>
          </w:p>
          <w:p w:rsidR="009C083D" w:rsidRPr="00EF7F33" w:rsidRDefault="009C083D" w:rsidP="00FD239F">
            <w:pPr>
              <w:pStyle w:val="InstructionsText"/>
              <w:numPr>
                <w:ilvl w:val="0"/>
                <w:numId w:val="21"/>
              </w:numPr>
            </w:pPr>
            <w:r w:rsidRPr="00EF7F33">
              <w:t>stopa redovnog osnovnog kapitala (4,5 %) kako je određena u članku 92. stavku 1. točki (a) CRR-a;</w:t>
            </w:r>
          </w:p>
          <w:p w:rsidR="0002157C" w:rsidRPr="00EF7F33" w:rsidRDefault="009C083D" w:rsidP="00FD239F">
            <w:pPr>
              <w:pStyle w:val="InstructionsText"/>
              <w:numPr>
                <w:ilvl w:val="0"/>
                <w:numId w:val="21"/>
              </w:numPr>
              <w:rPr>
                <w:b/>
                <w:bCs/>
                <w:u w:val="single"/>
              </w:rPr>
            </w:pPr>
            <w:r w:rsidRPr="00EF7F33">
              <w:t>dio stope zahtjeva iz stupa 2., navedene u točki ii. u retku 130, za koji n</w:t>
            </w:r>
            <w:r w:rsidRPr="00EF7F33">
              <w:t>a</w:t>
            </w:r>
            <w:r w:rsidRPr="00EF7F33">
              <w:t>dležno tijelo zahtijeva da se drži u obliku redovnog osnovnog kapitala.</w:t>
            </w:r>
          </w:p>
          <w:p w:rsidR="009C083D" w:rsidRPr="00EF7F33" w:rsidRDefault="005B54BB" w:rsidP="009068C9">
            <w:pPr>
              <w:pStyle w:val="InstructionsText"/>
              <w:rPr>
                <w:rStyle w:val="InstructionsTabelleberschrift"/>
                <w:rFonts w:ascii="Times New Roman" w:hAnsi="Times New Roman"/>
                <w:sz w:val="24"/>
              </w:rPr>
            </w:pPr>
            <w:r w:rsidRPr="00EF7F33">
              <w:t>Ako nadležno tijelo nije izvijestilo instituciju o dodatnim kapitalnim zahtjevima, koji se trebaju držati u obliku redovnog osnovnog kapitala, iskazuje se samo to</w:t>
            </w:r>
            <w:r w:rsidRPr="00EF7F33">
              <w:t>č</w:t>
            </w:r>
            <w:r w:rsidRPr="00EF7F33">
              <w:t>ka i.</w:t>
            </w:r>
            <w:r w:rsidRPr="00EF7F33">
              <w:rPr>
                <w:rStyle w:val="InstructionsTabelleberschrift"/>
                <w:rFonts w:ascii="Times New Roman" w:hAnsi="Times New Roman"/>
                <w:b w:val="0"/>
                <w:sz w:val="24"/>
              </w:rPr>
              <w:t xml:space="preserve"> </w:t>
            </w:r>
          </w:p>
        </w:tc>
      </w:tr>
      <w:tr w:rsidR="009C083D" w:rsidRPr="00EF7F33" w:rsidTr="00672D2A">
        <w:tc>
          <w:tcPr>
            <w:tcW w:w="703" w:type="dxa"/>
          </w:tcPr>
          <w:p w:rsidR="009C083D" w:rsidRPr="00EF7F33" w:rsidRDefault="009C083D" w:rsidP="00FD239F">
            <w:pPr>
              <w:pStyle w:val="InstructionsText"/>
            </w:pPr>
            <w:r w:rsidRPr="00EF7F33">
              <w:t>150</w:t>
            </w:r>
          </w:p>
          <w:p w:rsidR="009C083D" w:rsidRPr="00EF7F33" w:rsidRDefault="009C083D" w:rsidP="00FD239F">
            <w:pPr>
              <w:pStyle w:val="InstructionsText"/>
            </w:pP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Ukupni kapitalni zahtjev u okviru SREP-a: koji se sastoji od osno</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nog kapitala</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2"/>
              </w:numPr>
            </w:pPr>
            <w:r w:rsidRPr="00EF7F33">
              <w:t>stopa osnovnog kapitala (6 %) kako je određena u članku 92. stavku 1. točki (b) CRR-a;</w:t>
            </w:r>
          </w:p>
          <w:p w:rsidR="009C083D" w:rsidRPr="00EF7F33" w:rsidRDefault="009C083D" w:rsidP="00FD239F">
            <w:pPr>
              <w:pStyle w:val="InstructionsText"/>
              <w:numPr>
                <w:ilvl w:val="0"/>
                <w:numId w:val="22"/>
              </w:numPr>
              <w:rPr>
                <w:bCs/>
                <w:u w:val="single"/>
              </w:rPr>
            </w:pPr>
            <w:r w:rsidRPr="00EF7F33">
              <w:t>dio stope zahtjeva iz stupa 2., navedene u točki ii. u retku 130, za koji n</w:t>
            </w:r>
            <w:r w:rsidRPr="00EF7F33">
              <w:t>a</w:t>
            </w:r>
            <w:r w:rsidRPr="00EF7F33">
              <w:t>dležno tijelo zahtijeva da se drži u obliku osnovnog kapitala.</w:t>
            </w:r>
          </w:p>
          <w:p w:rsidR="00DA6CB8" w:rsidRPr="00EF7F33" w:rsidRDefault="005B54BB" w:rsidP="009068C9">
            <w:pPr>
              <w:pStyle w:val="InstructionsText"/>
              <w:rPr>
                <w:rStyle w:val="InstructionsTabelleberschrift"/>
                <w:rFonts w:ascii="Times New Roman" w:hAnsi="Times New Roman"/>
                <w:b w:val="0"/>
                <w:sz w:val="24"/>
              </w:rPr>
            </w:pPr>
            <w:r w:rsidRPr="00EF7F33">
              <w:t>Ako nadležno tijelo nije izvijestilo instituciju o dodatnim kapitalnim zahtjevima, koji se trebaju držati u obliku osnovnog kapitala, iskazuje se samo točka i.</w:t>
            </w:r>
          </w:p>
        </w:tc>
      </w:tr>
      <w:tr w:rsidR="009C083D" w:rsidRPr="00EF7F33" w:rsidTr="00672D2A">
        <w:tc>
          <w:tcPr>
            <w:tcW w:w="703" w:type="dxa"/>
          </w:tcPr>
          <w:p w:rsidR="009C083D" w:rsidRPr="00EF7F33" w:rsidRDefault="009C083D" w:rsidP="00FD239F">
            <w:pPr>
              <w:pStyle w:val="InstructionsText"/>
            </w:pPr>
            <w:r w:rsidRPr="00EF7F33">
              <w:lastRenderedPageBreak/>
              <w:t>160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14</w:t>
            </w:r>
            <w:r w:rsidRPr="00EF7F33">
              <w:tab/>
            </w:r>
            <w:r w:rsidRPr="00EF7F33">
              <w:rPr>
                <w:rStyle w:val="InstructionsTabelleberschrift"/>
                <w:rFonts w:ascii="Times New Roman" w:hAnsi="Times New Roman"/>
                <w:sz w:val="24"/>
              </w:rPr>
              <w:t xml:space="preserve">Stopa sveukupnog kapitalnog zahtjeva </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3"/>
              </w:numPr>
            </w:pPr>
            <w:r w:rsidRPr="00EF7F33">
              <w:t>stopa ukupnog kapitalnog zahtjeva u okviru SREP-a iz retka 130;</w:t>
            </w:r>
          </w:p>
          <w:p w:rsidR="009C083D" w:rsidRPr="00EF7F33" w:rsidRDefault="009C083D" w:rsidP="00FD239F">
            <w:pPr>
              <w:pStyle w:val="InstructionsText"/>
              <w:numPr>
                <w:ilvl w:val="0"/>
                <w:numId w:val="23"/>
              </w:numPr>
            </w:pPr>
            <w:r w:rsidRPr="00EF7F33">
              <w:t>u mjeri u kojoj je to pravno primjenjivo, stopa zahtjeva za kombinirani zaštitni sloj iz članka 128. točke 6. CRD-a.</w:t>
            </w:r>
          </w:p>
          <w:p w:rsidR="005B54BB" w:rsidRPr="00EF7F33" w:rsidRDefault="009C083D" w:rsidP="00FD239F">
            <w:pPr>
              <w:pStyle w:val="InstructionsText"/>
            </w:pPr>
            <w:r w:rsidRPr="00EF7F33">
              <w:t xml:space="preserve">U ovoj se stavci navodi stopa sveukupnog kapitalnog zahtjeva kako je definirana u odjeljku 1.2 EBA-inih smjernica SREP GL. </w:t>
            </w:r>
          </w:p>
          <w:p w:rsidR="00645573" w:rsidRPr="00EF7F33" w:rsidRDefault="007260DA" w:rsidP="00FD239F">
            <w:pPr>
              <w:pStyle w:val="InstructionsText"/>
              <w:rPr>
                <w:rStyle w:val="InstructionsTabelleberschrift"/>
                <w:rFonts w:ascii="Times New Roman" w:hAnsi="Times New Roman"/>
                <w:sz w:val="24"/>
              </w:rPr>
            </w:pPr>
            <w:r w:rsidRPr="00EF7F33">
              <w:t xml:space="preserve">Ako se ne primjenjuje zahtjev za zaštitni sloj, iskazuje se samo točka i. </w:t>
            </w:r>
          </w:p>
        </w:tc>
      </w:tr>
      <w:tr w:rsidR="009C083D" w:rsidRPr="00EF7F33" w:rsidTr="00672D2A">
        <w:tc>
          <w:tcPr>
            <w:tcW w:w="703" w:type="dxa"/>
          </w:tcPr>
          <w:p w:rsidR="009C083D" w:rsidRPr="00EF7F33" w:rsidRDefault="009C083D" w:rsidP="00FD239F">
            <w:pPr>
              <w:pStyle w:val="InstructionsText"/>
            </w:pPr>
            <w:r w:rsidRPr="00EF7F33">
              <w:t>170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14*</w:t>
            </w:r>
            <w:r w:rsidRPr="00EF7F33">
              <w:tab/>
            </w:r>
            <w:r w:rsidRPr="00EF7F33">
              <w:rPr>
                <w:rStyle w:val="InstructionsTabelleberschrift"/>
                <w:rFonts w:ascii="Times New Roman" w:hAnsi="Times New Roman"/>
                <w:sz w:val="24"/>
              </w:rPr>
              <w:t xml:space="preserve">Sveukupni kapitalni zahtjev: koji se sastoji od redovnog osnovnog kapitala </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4"/>
              </w:numPr>
            </w:pPr>
            <w:r w:rsidRPr="00EF7F33">
              <w:t>stopa ukupnog kapitalnog zahtjeva u okviru SREP-a koji se sastoji od r</w:t>
            </w:r>
            <w:r w:rsidRPr="00EF7F33">
              <w:t>e</w:t>
            </w:r>
            <w:r w:rsidRPr="00EF7F33">
              <w:t>dovnog osnovnog kapitala iz retka 140;</w:t>
            </w:r>
          </w:p>
          <w:p w:rsidR="009C083D" w:rsidRPr="00EF7F33" w:rsidRDefault="009C083D" w:rsidP="00FD239F">
            <w:pPr>
              <w:pStyle w:val="InstructionsText"/>
              <w:numPr>
                <w:ilvl w:val="0"/>
                <w:numId w:val="24"/>
              </w:numPr>
              <w:rPr>
                <w:bCs/>
                <w:u w:val="single"/>
              </w:rPr>
            </w:pPr>
            <w:r w:rsidRPr="00EF7F33">
              <w:t>u mjeri u kojoj je to pravno primjenjivo, stopa zahtjeva za kombinirani zaštitni sloj iz članka 128. točke 6. CRD-a.</w:t>
            </w:r>
          </w:p>
          <w:p w:rsidR="00BA325A" w:rsidRPr="00EF7F33" w:rsidRDefault="00087E1A" w:rsidP="009068C9">
            <w:pPr>
              <w:pStyle w:val="InstructionsText"/>
              <w:rPr>
                <w:rStyle w:val="InstructionsTabelleberschrift"/>
                <w:rFonts w:ascii="Times New Roman" w:hAnsi="Times New Roman"/>
                <w:b w:val="0"/>
                <w:sz w:val="24"/>
              </w:rPr>
            </w:pPr>
            <w:r w:rsidRPr="00EF7F33">
              <w:t>Ako se ne primjenjuje zahtjev za zaštitni sloj, iskazuje se samo točka i.</w:t>
            </w:r>
          </w:p>
        </w:tc>
      </w:tr>
      <w:tr w:rsidR="009C083D" w:rsidRPr="00EF7F33" w:rsidTr="00672D2A">
        <w:tc>
          <w:tcPr>
            <w:tcW w:w="703" w:type="dxa"/>
          </w:tcPr>
          <w:p w:rsidR="009C083D" w:rsidRPr="00EF7F33" w:rsidRDefault="009C083D" w:rsidP="00FD239F">
            <w:pPr>
              <w:pStyle w:val="InstructionsText"/>
            </w:pPr>
            <w:r w:rsidRPr="00EF7F33">
              <w:t>180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14**</w:t>
            </w:r>
            <w:r w:rsidRPr="00EF7F33">
              <w:tab/>
            </w:r>
            <w:r w:rsidRPr="00EF7F33">
              <w:rPr>
                <w:rStyle w:val="InstructionsTabelleberschrift"/>
                <w:rFonts w:ascii="Times New Roman" w:hAnsi="Times New Roman"/>
                <w:sz w:val="24"/>
              </w:rPr>
              <w:t>Sveukupni kapitalni zahtjev: koji se sastoji od osnovnog kapitala</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5"/>
              </w:numPr>
            </w:pPr>
            <w:r w:rsidRPr="00EF7F33">
              <w:t>stopa ukupnog kapitalnog zahtjeva u okviru SREP-a koji se sastoji od o</w:t>
            </w:r>
            <w:r w:rsidRPr="00EF7F33">
              <w:t>s</w:t>
            </w:r>
            <w:r w:rsidRPr="00EF7F33">
              <w:t>novnog kapitala iz retka 150;</w:t>
            </w:r>
          </w:p>
          <w:p w:rsidR="009C083D" w:rsidRPr="00EF7F33" w:rsidRDefault="009C083D" w:rsidP="00FD239F">
            <w:pPr>
              <w:pStyle w:val="InstructionsText"/>
              <w:numPr>
                <w:ilvl w:val="0"/>
                <w:numId w:val="25"/>
              </w:numPr>
              <w:rPr>
                <w:bCs/>
                <w:u w:val="single"/>
              </w:rPr>
            </w:pPr>
            <w:r w:rsidRPr="00EF7F33">
              <w:t>u mjeri u kojoj je to pravno primjenjivo, stopa zahtjeva za kombinirani zaštitni sloj iz članka 128. točke 6. CRD-a.</w:t>
            </w:r>
          </w:p>
          <w:p w:rsidR="00BA325A" w:rsidRPr="00EF7F33" w:rsidRDefault="00087E1A" w:rsidP="009068C9">
            <w:pPr>
              <w:pStyle w:val="InstructionsText"/>
              <w:rPr>
                <w:rStyle w:val="InstructionsTabelleberschrift"/>
                <w:rFonts w:ascii="Times New Roman" w:hAnsi="Times New Roman"/>
                <w:b w:val="0"/>
                <w:sz w:val="24"/>
              </w:rPr>
            </w:pPr>
            <w:r w:rsidRPr="00EF7F33">
              <w:t>Ako se ne primjenjuje zahtjev za zaštitni sloj, iskazuje se samo točka i.</w:t>
            </w:r>
          </w:p>
        </w:tc>
      </w:tr>
      <w:tr w:rsidR="009C083D" w:rsidRPr="00EF7F33" w:rsidTr="00672D2A">
        <w:tc>
          <w:tcPr>
            <w:tcW w:w="703" w:type="dxa"/>
          </w:tcPr>
          <w:p w:rsidR="009C083D" w:rsidRPr="00EF7F33" w:rsidRDefault="009C083D" w:rsidP="00FD239F">
            <w:pPr>
              <w:pStyle w:val="InstructionsText"/>
            </w:pPr>
            <w:r w:rsidRPr="00EF7F33">
              <w:t>190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15</w:t>
            </w:r>
            <w:r w:rsidRPr="00EF7F33">
              <w:tab/>
            </w:r>
            <w:r w:rsidRPr="00EF7F33">
              <w:rPr>
                <w:rStyle w:val="InstructionsTabelleberschrift"/>
                <w:rFonts w:ascii="Times New Roman" w:hAnsi="Times New Roman"/>
                <w:sz w:val="24"/>
              </w:rPr>
              <w:t>Stopa sveukupnog kapitalnog zahtjeva i zahtjeva iz stupa 2. na tem</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 xml:space="preserve">lju smjernica </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6"/>
              </w:numPr>
            </w:pPr>
            <w:r w:rsidRPr="00EF7F33">
              <w:t>stopa sveukupnog kapitalnog zahtjeva iz retka 160;</w:t>
            </w:r>
          </w:p>
          <w:p w:rsidR="009C083D" w:rsidRPr="00EF7F33" w:rsidRDefault="009C083D" w:rsidP="00FD239F">
            <w:pPr>
              <w:pStyle w:val="InstructionsText"/>
              <w:numPr>
                <w:ilvl w:val="0"/>
                <w:numId w:val="26"/>
              </w:numPr>
              <w:rPr>
                <w:bCs/>
                <w:u w:val="single"/>
              </w:rPr>
            </w:pPr>
            <w:r w:rsidRPr="00EF7F33">
              <w:t>ako je primjenjivo, zahtjev iz stupa 2. na temelju smjernica kako je def</w:t>
            </w:r>
            <w:r w:rsidRPr="00EF7F33">
              <w:t>i</w:t>
            </w:r>
            <w:r w:rsidRPr="00EF7F33">
              <w:t>niran u EBA-inim smjernicama SREP GL. Zahtjev iz stupa 2. na temelju smjernica navodi se samo ako je nadležno tijelo o tome izvijestilo instit</w:t>
            </w:r>
            <w:r w:rsidRPr="00EF7F33">
              <w:t>u</w:t>
            </w:r>
            <w:r w:rsidRPr="00EF7F33">
              <w:t xml:space="preserve">ciju. </w:t>
            </w:r>
          </w:p>
          <w:p w:rsidR="0047693D" w:rsidRPr="00EF7F33" w:rsidRDefault="005B54BB" w:rsidP="009068C9">
            <w:pPr>
              <w:pStyle w:val="InstructionsText"/>
              <w:rPr>
                <w:rStyle w:val="InstructionsTabelleberschrift"/>
                <w:rFonts w:ascii="Times New Roman" w:hAnsi="Times New Roman"/>
                <w:b w:val="0"/>
                <w:sz w:val="24"/>
              </w:rPr>
            </w:pPr>
            <w:r w:rsidRPr="00EF7F33">
              <w:t xml:space="preserve">Ako nadležno tijelo nije izvijestilo instituciju o zahtjevu iz stupa 2. na temelju smjernica, iskazuje se samo točka i. </w:t>
            </w:r>
            <w:r w:rsidRPr="00EF7F33">
              <w:rPr>
                <w:rStyle w:val="InstructionsTabelleberschrift"/>
                <w:rFonts w:ascii="Times New Roman" w:hAnsi="Times New Roman"/>
                <w:b w:val="0"/>
                <w:sz w:val="24"/>
              </w:rPr>
              <w:t xml:space="preserve"> </w:t>
            </w:r>
          </w:p>
        </w:tc>
      </w:tr>
      <w:tr w:rsidR="009C083D" w:rsidRPr="00EF7F33" w:rsidTr="00672D2A">
        <w:tc>
          <w:tcPr>
            <w:tcW w:w="703" w:type="dxa"/>
          </w:tcPr>
          <w:p w:rsidR="009C083D" w:rsidRPr="00EF7F33" w:rsidRDefault="009C083D" w:rsidP="00FD239F">
            <w:pPr>
              <w:pStyle w:val="InstructionsText"/>
            </w:pPr>
            <w:r w:rsidRPr="00EF7F33">
              <w:t>200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15*</w:t>
            </w:r>
            <w:r w:rsidRPr="00EF7F33">
              <w:tab/>
            </w:r>
            <w:r w:rsidRPr="00EF7F33">
              <w:rPr>
                <w:rStyle w:val="InstructionsTabelleberschrift"/>
                <w:rFonts w:ascii="Times New Roman" w:hAnsi="Times New Roman"/>
                <w:sz w:val="24"/>
              </w:rPr>
              <w:t>Sveukupni kapitalni zahtjev i zahtjev iz stupa 2. na temelju smjern</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 xml:space="preserve">ca: koji se sastoje od redovnog osnovnog kapitala </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7"/>
              </w:numPr>
            </w:pPr>
            <w:r w:rsidRPr="00EF7F33">
              <w:t>stopa sveukupnog kapitalnog zahtjeva koji se sastoji od redovnog osno</w:t>
            </w:r>
            <w:r w:rsidRPr="00EF7F33">
              <w:t>v</w:t>
            </w:r>
            <w:r w:rsidRPr="00EF7F33">
              <w:t>nog kapitala iz retka 170;</w:t>
            </w:r>
          </w:p>
          <w:p w:rsidR="009C083D" w:rsidRPr="00EF7F33" w:rsidRDefault="009C083D" w:rsidP="00FD239F">
            <w:pPr>
              <w:pStyle w:val="InstructionsText"/>
              <w:numPr>
                <w:ilvl w:val="0"/>
                <w:numId w:val="27"/>
              </w:numPr>
              <w:rPr>
                <w:bCs/>
                <w:u w:val="single"/>
              </w:rPr>
            </w:pPr>
            <w:r w:rsidRPr="00EF7F33">
              <w:t xml:space="preserve">ako je primjenjivo, dio zahtjeva iz stupa 2. na temelju smjernica, naveden </w:t>
            </w:r>
            <w:r w:rsidRPr="00EF7F33">
              <w:lastRenderedPageBreak/>
              <w:t>u točki ii. u retku 190, za koji nadležno tijelo zahtijeva da se drži u obliku redovnog osnovnog kapitala. Zahtjev iz stupa 2. na temelju smjernica n</w:t>
            </w:r>
            <w:r w:rsidRPr="00EF7F33">
              <w:t>a</w:t>
            </w:r>
            <w:r w:rsidRPr="00EF7F33">
              <w:t>vodi se samo ako je nadležno tijelo o tome izvijestilo instituciju.</w:t>
            </w:r>
          </w:p>
          <w:p w:rsidR="0047693D" w:rsidRPr="00EF7F33" w:rsidRDefault="005B54BB" w:rsidP="009068C9">
            <w:pPr>
              <w:pStyle w:val="InstructionsText"/>
              <w:rPr>
                <w:rStyle w:val="InstructionsTabelleberschrift"/>
                <w:rFonts w:ascii="Times New Roman" w:hAnsi="Times New Roman"/>
                <w:b w:val="0"/>
                <w:sz w:val="24"/>
              </w:rPr>
            </w:pPr>
            <w:r w:rsidRPr="00EF7F33">
              <w:t>Ako nadležno tijelo ne izvijesti instituciju o zahtjevu iz stupa 2. na temelju smjernica, iskazuje se samo točka i.</w:t>
            </w:r>
          </w:p>
        </w:tc>
      </w:tr>
      <w:tr w:rsidR="009C083D" w:rsidRPr="00EF7F33" w:rsidTr="00672D2A">
        <w:tc>
          <w:tcPr>
            <w:tcW w:w="703" w:type="dxa"/>
          </w:tcPr>
          <w:p w:rsidR="009C083D" w:rsidRPr="00EF7F33" w:rsidRDefault="009C083D" w:rsidP="00FD239F">
            <w:pPr>
              <w:pStyle w:val="InstructionsText"/>
            </w:pPr>
            <w:r w:rsidRPr="00EF7F33">
              <w:lastRenderedPageBreak/>
              <w:t>210</w:t>
            </w:r>
          </w:p>
        </w:tc>
        <w:tc>
          <w:tcPr>
            <w:tcW w:w="8080" w:type="dxa"/>
          </w:tcPr>
          <w:p w:rsidR="009C083D" w:rsidRPr="00EF7F33" w:rsidRDefault="009C083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15**</w:t>
            </w:r>
            <w:r w:rsidRPr="00EF7F33">
              <w:tab/>
            </w:r>
            <w:r w:rsidRPr="00EF7F33">
              <w:rPr>
                <w:rStyle w:val="InstructionsTabelleberschrift"/>
                <w:rFonts w:ascii="Times New Roman" w:hAnsi="Times New Roman"/>
                <w:sz w:val="24"/>
              </w:rPr>
              <w:t>Sveukupni kapitalni zahtjev i zahtjev iz stupa 2. na temelju smjern</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 xml:space="preserve">ca: koji se sastoje od osnovnog kapitala </w:t>
            </w:r>
          </w:p>
          <w:p w:rsidR="009C083D" w:rsidRPr="00EF7F33" w:rsidRDefault="009C083D" w:rsidP="00FD239F">
            <w:pPr>
              <w:pStyle w:val="InstructionsText"/>
            </w:pPr>
            <w:r w:rsidRPr="00EF7F33">
              <w:t xml:space="preserve">Zbroj </w:t>
            </w:r>
            <w:r w:rsidR="008D1145" w:rsidRPr="00EF7F33">
              <w:t>(</w:t>
            </w:r>
            <w:r w:rsidRPr="00EF7F33">
              <w:t>i</w:t>
            </w:r>
            <w:r w:rsidR="008D1145" w:rsidRPr="00EF7F33">
              <w:t>)</w:t>
            </w:r>
            <w:r w:rsidRPr="00EF7F33">
              <w:t xml:space="preserve"> i </w:t>
            </w:r>
            <w:r w:rsidR="008D1145" w:rsidRPr="00EF7F33">
              <w:t>(</w:t>
            </w:r>
            <w:r w:rsidRPr="00EF7F33">
              <w:t>ii</w:t>
            </w:r>
            <w:r w:rsidR="008D1145" w:rsidRPr="00EF7F33">
              <w:t>)</w:t>
            </w:r>
            <w:r w:rsidRPr="00EF7F33">
              <w:t xml:space="preserve"> određuje se kako slijedi:</w:t>
            </w:r>
          </w:p>
          <w:p w:rsidR="009C083D" w:rsidRPr="00EF7F33" w:rsidRDefault="009C083D" w:rsidP="00FD239F">
            <w:pPr>
              <w:pStyle w:val="InstructionsText"/>
              <w:numPr>
                <w:ilvl w:val="0"/>
                <w:numId w:val="28"/>
              </w:numPr>
            </w:pPr>
            <w:r w:rsidRPr="00EF7F33">
              <w:t>stopa sveukupnog kapitalnog zahtjeva koji se sastoji od osnovnog kapit</w:t>
            </w:r>
            <w:r w:rsidRPr="00EF7F33">
              <w:t>a</w:t>
            </w:r>
            <w:r w:rsidRPr="00EF7F33">
              <w:t>la iz retka 180;</w:t>
            </w:r>
          </w:p>
          <w:p w:rsidR="009C083D" w:rsidRPr="00EF7F33" w:rsidRDefault="009C083D" w:rsidP="00FD239F">
            <w:pPr>
              <w:pStyle w:val="InstructionsText"/>
              <w:numPr>
                <w:ilvl w:val="0"/>
                <w:numId w:val="28"/>
              </w:numPr>
            </w:pPr>
            <w:r w:rsidRPr="00EF7F33">
              <w:t>ako je primjenjivo, dio zahtjeva iz stupa 2. na temelju smjernica, naveden u točki ii. u retku 190, za koji nadležno tijelo zahtijeva da se drži u obliku osnovnog kapitala. Zahtjev iz stupa 2. na temelju smjernica navodi se samo ako je nadležno tijelo o tome izvijestilo instituciju.</w:t>
            </w:r>
          </w:p>
          <w:p w:rsidR="0047693D" w:rsidRPr="00EF7F33" w:rsidRDefault="005B54BB" w:rsidP="009068C9">
            <w:pPr>
              <w:pStyle w:val="InstructionsText"/>
              <w:rPr>
                <w:rStyle w:val="InstructionsTabelleberschrift"/>
                <w:rFonts w:ascii="Times New Roman" w:hAnsi="Times New Roman"/>
                <w:b w:val="0"/>
                <w:bCs w:val="0"/>
                <w:sz w:val="24"/>
                <w:u w:val="none"/>
              </w:rPr>
            </w:pPr>
            <w:r w:rsidRPr="00EF7F33">
              <w:t>Ako nadležno tijelo ne izvijesti instituciju o zahtjevu iz stupa 2. na temelju smjernica, iskazuje se samo točka i.</w:t>
            </w:r>
            <w:r w:rsidRPr="00EF7F33">
              <w:rPr>
                <w:rStyle w:val="InstructionsTabelleberschrift"/>
                <w:rFonts w:ascii="Times New Roman" w:hAnsi="Times New Roman"/>
                <w:b w:val="0"/>
                <w:sz w:val="24"/>
              </w:rPr>
              <w:t xml:space="preserve"> </w:t>
            </w:r>
          </w:p>
        </w:tc>
      </w:tr>
    </w:tbl>
    <w:p w:rsidR="005643EA" w:rsidRPr="00EF7F33" w:rsidRDefault="005643EA" w:rsidP="00FD239F">
      <w:pPr>
        <w:pStyle w:val="InstructionsText"/>
      </w:pP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523998106"/>
      <w:bookmarkStart w:id="77" w:name="_Toc308175830"/>
      <w:bookmarkStart w:id="78" w:name="_Toc360188331"/>
      <w:r w:rsidRPr="00EF7F33">
        <w:rPr>
          <w:rFonts w:ascii="Times New Roman" w:hAnsi="Times New Roman"/>
          <w:sz w:val="24"/>
          <w:u w:val="none"/>
        </w:rPr>
        <w:t>1.5.</w:t>
      </w:r>
      <w:r w:rsidRPr="00EF7F33">
        <w:tab/>
      </w:r>
      <w:r w:rsidRPr="00EF7F33">
        <w:rPr>
          <w:rFonts w:ascii="Times New Roman" w:hAnsi="Times New Roman"/>
          <w:sz w:val="24"/>
        </w:rPr>
        <w:t>C 04.00 – BILJEŠKE (CA4)</w:t>
      </w:r>
      <w:bookmarkEnd w:id="74"/>
      <w:bookmarkEnd w:id="75"/>
      <w:bookmarkEnd w:id="76"/>
      <w:r w:rsidRPr="00EF7F33">
        <w:rPr>
          <w:rFonts w:ascii="Times New Roman" w:hAnsi="Times New Roman"/>
          <w:sz w:val="24"/>
        </w:rPr>
        <w:t xml:space="preserve"> </w:t>
      </w:r>
      <w:bookmarkEnd w:id="77"/>
      <w:bookmarkEnd w:id="78"/>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3998107"/>
      <w:r w:rsidRPr="00EF7F33">
        <w:rPr>
          <w:rFonts w:ascii="Times New Roman" w:hAnsi="Times New Roman"/>
          <w:sz w:val="24"/>
          <w:u w:val="none"/>
        </w:rPr>
        <w:t>1.5.1.</w:t>
      </w:r>
      <w:r w:rsidRPr="00EF7F33">
        <w:tab/>
      </w:r>
      <w:r w:rsidRPr="00EF7F33">
        <w:rPr>
          <w:rFonts w:ascii="Times New Roman" w:hAnsi="Times New Roman"/>
          <w:sz w:val="24"/>
        </w:rPr>
        <w:t>Upute za specifične pozicije</w:t>
      </w:r>
      <w:bookmarkEnd w:id="79"/>
      <w:bookmarkEnd w:id="80"/>
      <w:bookmarkEnd w:id="81"/>
      <w:bookmarkEnd w:id="82"/>
      <w:bookmarkEnd w:id="83"/>
      <w:bookmarkEnd w:id="84"/>
    </w:p>
    <w:p w:rsidR="002648B0" w:rsidRPr="00EF7F33"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EF7F33" w:rsidTr="00672D2A">
        <w:tc>
          <w:tcPr>
            <w:tcW w:w="8749" w:type="dxa"/>
            <w:gridSpan w:val="2"/>
            <w:shd w:val="clear" w:color="auto" w:fill="D9D9D9"/>
          </w:tcPr>
          <w:p w:rsidR="005643EA" w:rsidRPr="00EF7F33" w:rsidRDefault="002648B0" w:rsidP="00FD239F">
            <w:pPr>
              <w:pStyle w:val="InstructionsText"/>
            </w:pPr>
            <w:r w:rsidRPr="00EF7F33">
              <w:t>Redci</w:t>
            </w:r>
          </w:p>
        </w:tc>
      </w:tr>
      <w:tr w:rsidR="002648B0" w:rsidRPr="00EF7F33" w:rsidTr="00672D2A">
        <w:tc>
          <w:tcPr>
            <w:tcW w:w="1506" w:type="dxa"/>
          </w:tcPr>
          <w:p w:rsidR="002648B0" w:rsidRPr="00EF7F33" w:rsidRDefault="002648B0" w:rsidP="00FD239F">
            <w:pPr>
              <w:pStyle w:val="InstructionsText"/>
            </w:pPr>
            <w:r w:rsidRPr="00EF7F33">
              <w:t>010</w:t>
            </w:r>
          </w:p>
        </w:tc>
        <w:tc>
          <w:tcPr>
            <w:tcW w:w="7243" w:type="dxa"/>
          </w:tcPr>
          <w:p w:rsidR="005643EA" w:rsidRPr="00EF7F33" w:rsidRDefault="00C66473" w:rsidP="00FD239F">
            <w:pPr>
              <w:pStyle w:val="InstructionsText"/>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Ukupna odgođena porezna imovina</w:t>
            </w:r>
          </w:p>
          <w:p w:rsidR="005643EA" w:rsidRPr="00EF7F33" w:rsidRDefault="002648B0" w:rsidP="00FD239F">
            <w:pPr>
              <w:pStyle w:val="InstructionsText"/>
            </w:pPr>
            <w:r w:rsidRPr="00EF7F33">
              <w:t>Iznos iskazan u ovoj stavci jednak je iznosu iskazanom u zadnjoj provj</w:t>
            </w:r>
            <w:r w:rsidRPr="00EF7F33">
              <w:t>e</w:t>
            </w:r>
            <w:r w:rsidRPr="00EF7F33">
              <w:t>renoj/revidiranoj računovodstvenoj bilanci.</w:t>
            </w:r>
          </w:p>
        </w:tc>
      </w:tr>
      <w:tr w:rsidR="002648B0" w:rsidRPr="00EF7F33" w:rsidTr="00672D2A">
        <w:tc>
          <w:tcPr>
            <w:tcW w:w="1506" w:type="dxa"/>
          </w:tcPr>
          <w:p w:rsidR="002648B0" w:rsidRPr="00EF7F33" w:rsidRDefault="002648B0" w:rsidP="00FD239F">
            <w:pPr>
              <w:pStyle w:val="InstructionsText"/>
            </w:pPr>
            <w:r w:rsidRPr="00EF7F33">
              <w:t>020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1.1</w:t>
            </w:r>
            <w:r w:rsidRPr="00EF7F33">
              <w:tab/>
            </w:r>
            <w:r w:rsidRPr="00EF7F33">
              <w:rPr>
                <w:rStyle w:val="InstructionsTabelleberschrift"/>
                <w:rFonts w:ascii="Times New Roman" w:hAnsi="Times New Roman"/>
                <w:sz w:val="24"/>
              </w:rPr>
              <w:t>Odgođena porezna imovina koja ne ovisi o budućoj profit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bilnosti</w:t>
            </w:r>
          </w:p>
          <w:p w:rsidR="005643EA" w:rsidRPr="00EF7F33" w:rsidRDefault="002648B0" w:rsidP="00FD239F">
            <w:pPr>
              <w:pStyle w:val="InstructionsText"/>
            </w:pPr>
            <w:r w:rsidRPr="00EF7F33">
              <w:t>Članak 39. stavak 2. CRR-a</w:t>
            </w:r>
          </w:p>
          <w:p w:rsidR="005643EA" w:rsidRPr="00EF7F33" w:rsidRDefault="002648B0" w:rsidP="00FD239F">
            <w:pPr>
              <w:pStyle w:val="InstructionsText"/>
            </w:pPr>
            <w:r w:rsidRPr="00EF7F33">
              <w:t>Odgođena porezna imovina koja ne ovisi o budućoj profitabilnosti i st</w:t>
            </w:r>
            <w:r w:rsidRPr="00EF7F33">
              <w:t>o</w:t>
            </w:r>
            <w:r w:rsidRPr="00EF7F33">
              <w:t>ga se na nju primjenjuje ponder rizika.</w:t>
            </w:r>
          </w:p>
        </w:tc>
      </w:tr>
      <w:tr w:rsidR="002648B0" w:rsidRPr="00EF7F33" w:rsidTr="00672D2A">
        <w:tc>
          <w:tcPr>
            <w:tcW w:w="1506" w:type="dxa"/>
          </w:tcPr>
          <w:p w:rsidR="002648B0" w:rsidRPr="00EF7F33" w:rsidRDefault="002648B0" w:rsidP="00FD239F">
            <w:pPr>
              <w:pStyle w:val="InstructionsText"/>
            </w:pPr>
            <w:r w:rsidRPr="00EF7F33">
              <w:t>030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w:t>
            </w:r>
            <w:r w:rsidRPr="00EF7F33">
              <w:tab/>
            </w:r>
            <w:r w:rsidRPr="00EF7F33">
              <w:rPr>
                <w:rStyle w:val="InstructionsTabelleberschrift"/>
                <w:rFonts w:ascii="Times New Roman" w:hAnsi="Times New Roman"/>
                <w:sz w:val="24"/>
              </w:rPr>
              <w:t>Odgođena porezna imovina koja ovisi o budućoj profitabi</w:t>
            </w:r>
            <w:r w:rsidRPr="00EF7F33">
              <w:rPr>
                <w:rStyle w:val="InstructionsTabelleberschrift"/>
                <w:rFonts w:ascii="Times New Roman" w:hAnsi="Times New Roman"/>
                <w:sz w:val="24"/>
              </w:rPr>
              <w:t>l</w:t>
            </w:r>
            <w:r w:rsidRPr="00EF7F33">
              <w:rPr>
                <w:rStyle w:val="InstructionsTabelleberschrift"/>
                <w:rFonts w:ascii="Times New Roman" w:hAnsi="Times New Roman"/>
                <w:sz w:val="24"/>
              </w:rPr>
              <w:t>nosti i ne proizlazi iz privremenih razlika</w:t>
            </w:r>
          </w:p>
          <w:p w:rsidR="005643EA" w:rsidRPr="00EF7F33" w:rsidRDefault="002648B0" w:rsidP="00FD239F">
            <w:pPr>
              <w:pStyle w:val="InstructionsText"/>
            </w:pPr>
            <w:r w:rsidRPr="00EF7F33">
              <w:t>Članak 36. stavak 1. točka (c) i članak 38. CRR-a</w:t>
            </w:r>
          </w:p>
          <w:p w:rsidR="005643EA" w:rsidRPr="00EF7F33" w:rsidRDefault="002648B0" w:rsidP="00FD239F">
            <w:pPr>
              <w:pStyle w:val="InstructionsText"/>
            </w:pPr>
            <w:r w:rsidRPr="00EF7F33">
              <w:t>Odgođena porezna imovina koja ovisi o budućoj profitabilnosti, ali ne proizlazi iz privremenih razlika i stoga se na nju ne primjenjuje nikakav prag (tj. u potpunosti je odbijena od redovnog osnovnog kapitala).</w:t>
            </w:r>
          </w:p>
        </w:tc>
      </w:tr>
      <w:tr w:rsidR="002648B0" w:rsidRPr="00EF7F33" w:rsidTr="00672D2A">
        <w:tc>
          <w:tcPr>
            <w:tcW w:w="1506" w:type="dxa"/>
          </w:tcPr>
          <w:p w:rsidR="002648B0" w:rsidRPr="00EF7F33" w:rsidRDefault="002648B0" w:rsidP="00FD239F">
            <w:pPr>
              <w:pStyle w:val="InstructionsText"/>
            </w:pPr>
            <w:r w:rsidRPr="00EF7F33">
              <w:t>040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Odgođena porezna imovina koja ovisi o budućoj profitabi</w:t>
            </w:r>
            <w:r w:rsidRPr="00EF7F33">
              <w:rPr>
                <w:rStyle w:val="InstructionsTabelleberschrift"/>
                <w:rFonts w:ascii="Times New Roman" w:hAnsi="Times New Roman"/>
                <w:sz w:val="24"/>
              </w:rPr>
              <w:t>l</w:t>
            </w:r>
            <w:r w:rsidRPr="00EF7F33">
              <w:rPr>
                <w:rStyle w:val="InstructionsTabelleberschrift"/>
                <w:rFonts w:ascii="Times New Roman" w:hAnsi="Times New Roman"/>
                <w:sz w:val="24"/>
              </w:rPr>
              <w:t>nosti i proizlazi iz privremenih razlika</w:t>
            </w:r>
          </w:p>
          <w:p w:rsidR="005643EA" w:rsidRPr="00EF7F33" w:rsidRDefault="002648B0" w:rsidP="00FD239F">
            <w:pPr>
              <w:pStyle w:val="InstructionsText"/>
            </w:pPr>
            <w:r w:rsidRPr="00EF7F33">
              <w:t>Članak 36. stavak 1. točka (c); članak 38. i članak 48. stavak 1. točka (a) CRR-a</w:t>
            </w:r>
          </w:p>
          <w:p w:rsidR="005643EA" w:rsidRPr="00EF7F33" w:rsidRDefault="002648B0" w:rsidP="00FD239F">
            <w:pPr>
              <w:pStyle w:val="InstructionsText"/>
            </w:pPr>
            <w:r w:rsidRPr="00EF7F33">
              <w:lastRenderedPageBreak/>
              <w:t>Odgođena porezna imovina koja ovisi o budućoj profitabilnosti i proi</w:t>
            </w:r>
            <w:r w:rsidRPr="00EF7F33">
              <w:t>z</w:t>
            </w:r>
            <w:r w:rsidRPr="00EF7F33">
              <w:t>lazi iz privremenih razlika te se stoga na njezin odbitak od redovnog o</w:t>
            </w:r>
            <w:r w:rsidRPr="00EF7F33">
              <w:t>s</w:t>
            </w:r>
            <w:r w:rsidRPr="00EF7F33">
              <w:t>novnog kapitala primjenjuju pragovi od 10 % i 17,65 % iz članka 48. CRR-a.</w:t>
            </w:r>
          </w:p>
        </w:tc>
      </w:tr>
      <w:tr w:rsidR="002648B0" w:rsidRPr="00EF7F33" w:rsidTr="00672D2A">
        <w:tc>
          <w:tcPr>
            <w:tcW w:w="1506" w:type="dxa"/>
          </w:tcPr>
          <w:p w:rsidR="002648B0" w:rsidRPr="00EF7F33" w:rsidRDefault="002648B0" w:rsidP="00FD239F">
            <w:pPr>
              <w:pStyle w:val="InstructionsText"/>
            </w:pPr>
            <w:r w:rsidRPr="00EF7F33">
              <w:lastRenderedPageBreak/>
              <w:t>050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 Ukupne odgođene porezne obveze</w:t>
            </w:r>
          </w:p>
          <w:p w:rsidR="005643EA" w:rsidRPr="00EF7F33" w:rsidRDefault="002648B0" w:rsidP="00FD239F">
            <w:pPr>
              <w:pStyle w:val="InstructionsText"/>
            </w:pPr>
            <w:r w:rsidRPr="00EF7F33">
              <w:t>Iznos iskazan u ovoj stavci jednak je iznosu iskazanom u zadnjoj provj</w:t>
            </w:r>
            <w:r w:rsidRPr="00EF7F33">
              <w:t>e</w:t>
            </w:r>
            <w:r w:rsidRPr="00EF7F33">
              <w:t>renoj/revidiranoj računovodstvenoj bilanci.</w:t>
            </w:r>
          </w:p>
        </w:tc>
      </w:tr>
      <w:tr w:rsidR="002648B0" w:rsidRPr="00EF7F33" w:rsidTr="00672D2A">
        <w:tc>
          <w:tcPr>
            <w:tcW w:w="1506" w:type="dxa"/>
          </w:tcPr>
          <w:p w:rsidR="002648B0" w:rsidRPr="00EF7F33" w:rsidRDefault="002648B0" w:rsidP="00FD239F">
            <w:pPr>
              <w:pStyle w:val="InstructionsText"/>
            </w:pPr>
            <w:r w:rsidRPr="00EF7F33">
              <w:t>060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2.1</w:t>
            </w:r>
            <w:r w:rsidRPr="00EF7F33">
              <w:tab/>
            </w:r>
            <w:r w:rsidRPr="00EF7F33">
              <w:rPr>
                <w:rStyle w:val="InstructionsTabelleberschrift"/>
                <w:rFonts w:ascii="Times New Roman" w:hAnsi="Times New Roman"/>
                <w:sz w:val="24"/>
              </w:rPr>
              <w:t>Odgođene porezne obveze koje se ne mogu odbiti od odgođ</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ne porezne imovine koja ovisi o budućoj profitabilnosti</w:t>
            </w:r>
          </w:p>
          <w:p w:rsidR="005643EA" w:rsidRPr="00EF7F33" w:rsidRDefault="002648B0" w:rsidP="00FD239F">
            <w:pPr>
              <w:pStyle w:val="InstructionsText"/>
            </w:pPr>
            <w:r w:rsidRPr="00EF7F33">
              <w:t>Članak 38. stavci 3. i 4. CRR-a</w:t>
            </w:r>
          </w:p>
          <w:p w:rsidR="005643EA" w:rsidRPr="00EF7F33" w:rsidRDefault="002648B0" w:rsidP="00FD239F">
            <w:pPr>
              <w:pStyle w:val="InstructionsText"/>
            </w:pPr>
            <w:r w:rsidRPr="00EF7F33">
              <w:t>Odgođene porezne obveze za koje nisu ispunjeni uvjeti iz članka 38. st</w:t>
            </w:r>
            <w:r w:rsidRPr="00EF7F33">
              <w:t>a</w:t>
            </w:r>
            <w:r w:rsidRPr="00EF7F33">
              <w:t>vaka 3. i 4. CRR-a. Stoga ova stavka uključuje odgođene porezne obv</w:t>
            </w:r>
            <w:r w:rsidRPr="00EF7F33">
              <w:t>e</w:t>
            </w:r>
            <w:r w:rsidRPr="00EF7F33">
              <w:t>ze kojima se umanjuje iznos goodwilla, osim nematerijalne imovine ili imovine mirovinskog fonda pod pokroviteljstvom poslodavca koju je p</w:t>
            </w:r>
            <w:r w:rsidRPr="00EF7F33">
              <w:t>o</w:t>
            </w:r>
            <w:r w:rsidRPr="00EF7F33">
              <w:t>trebno odbiti, koje se iskazuju u stavci CA1 1.1.1.10.3, 1.1.1.11.2 odn</w:t>
            </w:r>
            <w:r w:rsidRPr="00EF7F33">
              <w:t>o</w:t>
            </w:r>
            <w:r w:rsidRPr="00EF7F33">
              <w:t>sno 1.1.1.14.2.</w:t>
            </w:r>
          </w:p>
        </w:tc>
      </w:tr>
      <w:tr w:rsidR="002648B0" w:rsidRPr="00EF7F33" w:rsidTr="00672D2A">
        <w:tc>
          <w:tcPr>
            <w:tcW w:w="1506" w:type="dxa"/>
          </w:tcPr>
          <w:p w:rsidR="002648B0" w:rsidRPr="00EF7F33" w:rsidRDefault="002648B0" w:rsidP="00FD239F">
            <w:pPr>
              <w:pStyle w:val="InstructionsText"/>
            </w:pPr>
            <w:r w:rsidRPr="00EF7F33">
              <w:t>070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2.2</w:t>
            </w:r>
            <w:r w:rsidRPr="00EF7F33">
              <w:tab/>
            </w:r>
            <w:r w:rsidRPr="00EF7F33">
              <w:rPr>
                <w:rStyle w:val="InstructionsTabelleberschrift"/>
                <w:rFonts w:ascii="Times New Roman" w:hAnsi="Times New Roman"/>
                <w:sz w:val="24"/>
              </w:rPr>
              <w:t>Odgođene porezne obveze koje se mogu odbiti od odgođene porezne imovine koja ovisi o budućoj profitabilnosti</w:t>
            </w:r>
          </w:p>
          <w:p w:rsidR="005643EA" w:rsidRPr="00EF7F33" w:rsidRDefault="002648B0" w:rsidP="00FD239F">
            <w:pPr>
              <w:pStyle w:val="InstructionsText"/>
            </w:pPr>
            <w:r w:rsidRPr="00EF7F33">
              <w:t>Članak 38. CRR-a</w:t>
            </w:r>
          </w:p>
        </w:tc>
      </w:tr>
      <w:tr w:rsidR="002648B0" w:rsidRPr="00EF7F33" w:rsidTr="00672D2A">
        <w:tc>
          <w:tcPr>
            <w:tcW w:w="1506" w:type="dxa"/>
          </w:tcPr>
          <w:p w:rsidR="002648B0" w:rsidRPr="00EF7F33" w:rsidRDefault="002648B0" w:rsidP="00FD239F">
            <w:pPr>
              <w:pStyle w:val="InstructionsText"/>
            </w:pPr>
            <w:r w:rsidRPr="00EF7F33">
              <w:t>080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2.2.1</w:t>
            </w:r>
            <w:r w:rsidRPr="00EF7F33">
              <w:tab/>
            </w:r>
            <w:r w:rsidRPr="00EF7F33">
              <w:rPr>
                <w:rStyle w:val="InstructionsTabelleberschrift"/>
                <w:rFonts w:ascii="Times New Roman" w:hAnsi="Times New Roman"/>
                <w:sz w:val="24"/>
              </w:rPr>
              <w:t>Odgođene porezne obveze koje se mogu odbiti i koje su pov</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zane s odgođenom poreznom imovinom koja ovisi o budućoj prof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tabilnosti i ne proizlazi iz privremenih razlika</w:t>
            </w:r>
          </w:p>
          <w:p w:rsidR="005643EA" w:rsidRPr="00EF7F33" w:rsidRDefault="002648B0" w:rsidP="00FD239F">
            <w:pPr>
              <w:pStyle w:val="InstructionsText"/>
            </w:pPr>
            <w:r w:rsidRPr="00EF7F33">
              <w:t>Članak 38. stavci 3., 4. i 5. CRR-a</w:t>
            </w:r>
          </w:p>
          <w:p w:rsidR="005643EA" w:rsidRPr="00EF7F33" w:rsidRDefault="002648B0" w:rsidP="00FD239F">
            <w:pPr>
              <w:pStyle w:val="InstructionsText"/>
            </w:pPr>
            <w:r w:rsidRPr="00EF7F33">
              <w:t>Odgođene porezne obveze kojima se može umanjiti iznos odgođene p</w:t>
            </w:r>
            <w:r w:rsidRPr="00EF7F33">
              <w:t>o</w:t>
            </w:r>
            <w:r w:rsidRPr="00EF7F33">
              <w:t>rezne imovine koja ovisi o budućoj profitabilnosti, u skladu s člankom 38. stavcima 3. i 4. CRR-a, i koje nisu raspoređene odgođenoj poreznoj imovini koja ovisi o budućoj profitabilnosti i proizlazi iz privremenih r</w:t>
            </w:r>
            <w:r w:rsidRPr="00EF7F33">
              <w:t>a</w:t>
            </w:r>
            <w:r w:rsidRPr="00EF7F33">
              <w:t>zlika, u skladu s člankom 38. stavkom 5. CRR-a</w:t>
            </w:r>
          </w:p>
        </w:tc>
      </w:tr>
      <w:tr w:rsidR="002648B0" w:rsidRPr="00EF7F33" w:rsidTr="00672D2A">
        <w:tc>
          <w:tcPr>
            <w:tcW w:w="1506" w:type="dxa"/>
          </w:tcPr>
          <w:p w:rsidR="002648B0" w:rsidRPr="00EF7F33" w:rsidRDefault="002648B0" w:rsidP="00FD239F">
            <w:pPr>
              <w:pStyle w:val="InstructionsText"/>
            </w:pPr>
            <w:r w:rsidRPr="00EF7F33">
              <w:t>090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2.2.2</w:t>
            </w:r>
            <w:r w:rsidRPr="00EF7F33">
              <w:tab/>
            </w:r>
            <w:r w:rsidRPr="00EF7F33">
              <w:rPr>
                <w:rStyle w:val="InstructionsTabelleberschrift"/>
                <w:rFonts w:ascii="Times New Roman" w:hAnsi="Times New Roman"/>
                <w:sz w:val="24"/>
              </w:rPr>
              <w:t>Odgođene porezne obveze koje se mogu odbiti i koje su pov</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zane s odgođenom poreznom imovinom koja ovisi o budućoj prof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tabilnosti i proizlazi iz privremenih razlika</w:t>
            </w:r>
          </w:p>
          <w:p w:rsidR="005643EA" w:rsidRPr="00EF7F33" w:rsidRDefault="002648B0" w:rsidP="00FD239F">
            <w:pPr>
              <w:pStyle w:val="InstructionsText"/>
            </w:pPr>
            <w:r w:rsidRPr="00EF7F33">
              <w:t>Članak 38. stavci 3., 4. i 5. CRR-a</w:t>
            </w:r>
          </w:p>
          <w:p w:rsidR="005643EA" w:rsidRPr="00EF7F33" w:rsidRDefault="002648B0" w:rsidP="00FD239F">
            <w:pPr>
              <w:pStyle w:val="InstructionsText"/>
            </w:pPr>
            <w:r w:rsidRPr="00EF7F33">
              <w:t>Odgođene porezne obveze kojima se može umanjiti iznos odgođene p</w:t>
            </w:r>
            <w:r w:rsidRPr="00EF7F33">
              <w:t>o</w:t>
            </w:r>
            <w:r w:rsidRPr="00EF7F33">
              <w:t>rezne imovine koja ovisi o budućoj profitabilnosti, u skladu s člankom 38. stavcima 3. i 4. CRR-a, i koje su raspoređene odgođenoj poreznoj imovini koja ovisi o budućoj profitabilnosti i proizlazi iz privremenih r</w:t>
            </w:r>
            <w:r w:rsidRPr="00EF7F33">
              <w:t>a</w:t>
            </w:r>
            <w:r w:rsidRPr="00EF7F33">
              <w:t>zlika, u skladu s člankom 38. stavkom 5. CRR-a</w:t>
            </w:r>
          </w:p>
        </w:tc>
      </w:tr>
      <w:tr w:rsidR="00550113" w:rsidRPr="00EF7F33" w:rsidTr="00672D2A">
        <w:tc>
          <w:tcPr>
            <w:tcW w:w="1506" w:type="dxa"/>
          </w:tcPr>
          <w:p w:rsidR="00550113" w:rsidRPr="00EF7F33" w:rsidRDefault="00550113" w:rsidP="00FD239F">
            <w:pPr>
              <w:pStyle w:val="InstructionsText"/>
            </w:pPr>
            <w:r w:rsidRPr="00EF7F33">
              <w:t>093</w:t>
            </w:r>
          </w:p>
        </w:tc>
        <w:tc>
          <w:tcPr>
            <w:tcW w:w="7243" w:type="dxa"/>
          </w:tcPr>
          <w:p w:rsidR="00550113" w:rsidRPr="00EF7F33" w:rsidRDefault="00550113" w:rsidP="00FD239F">
            <w:pPr>
              <w:pStyle w:val="InstructionsText"/>
            </w:pPr>
            <w:r w:rsidRPr="00EF7F33">
              <w:rPr>
                <w:rStyle w:val="InstructionsTabelleberschrift"/>
                <w:rFonts w:ascii="Times New Roman" w:hAnsi="Times New Roman"/>
                <w:sz w:val="24"/>
              </w:rPr>
              <w:t>2A</w:t>
            </w:r>
            <w:r w:rsidRPr="00EF7F33">
              <w:tab/>
            </w:r>
            <w:r w:rsidRPr="00EF7F33">
              <w:rPr>
                <w:rStyle w:val="InstructionsTabelleberschrift"/>
                <w:rFonts w:ascii="Times New Roman" w:hAnsi="Times New Roman"/>
                <w:sz w:val="24"/>
              </w:rPr>
              <w:t>Preplata poreza i prijenos poreznoga gubitka</w:t>
            </w:r>
          </w:p>
          <w:p w:rsidR="00550113" w:rsidRPr="00EF7F33" w:rsidRDefault="00201704" w:rsidP="00FD239F">
            <w:pPr>
              <w:pStyle w:val="InstructionsText"/>
            </w:pPr>
            <w:r w:rsidRPr="00EF7F33">
              <w:t>Članak 39. stavak 1. CRR-a</w:t>
            </w:r>
          </w:p>
          <w:p w:rsidR="00550113" w:rsidRPr="00EF7F33" w:rsidRDefault="00550113" w:rsidP="00FD239F">
            <w:pPr>
              <w:pStyle w:val="InstructionsText"/>
              <w:rPr>
                <w:rStyle w:val="InstructionsTabelleberschrift"/>
                <w:rFonts w:ascii="Times New Roman" w:hAnsi="Times New Roman"/>
                <w:b w:val="0"/>
                <w:bCs w:val="0"/>
                <w:sz w:val="24"/>
                <w:u w:val="none"/>
              </w:rPr>
            </w:pPr>
            <w:r w:rsidRPr="00EF7F33">
              <w:t>Iznos preplate poreza i prijenosa poreznoga gubitka koji se ne odbija od regulatornog kapitala u skladu s člankom 39. stavkom 1. CRR-a;  isk</w:t>
            </w:r>
            <w:r w:rsidRPr="00EF7F33">
              <w:t>a</w:t>
            </w:r>
            <w:r w:rsidRPr="00EF7F33">
              <w:t>zani iznos jednak je iznosu prije primjene pondera rizika.</w:t>
            </w:r>
          </w:p>
        </w:tc>
      </w:tr>
      <w:tr w:rsidR="00DF65DF" w:rsidRPr="00EF7F33" w:rsidTr="00672D2A">
        <w:tc>
          <w:tcPr>
            <w:tcW w:w="1506" w:type="dxa"/>
          </w:tcPr>
          <w:p w:rsidR="00DF65DF" w:rsidRPr="00EF7F33" w:rsidRDefault="00DF65DF" w:rsidP="00FD239F">
            <w:pPr>
              <w:pStyle w:val="InstructionsText"/>
            </w:pPr>
            <w:r w:rsidRPr="00EF7F33">
              <w:lastRenderedPageBreak/>
              <w:t>096</w:t>
            </w:r>
          </w:p>
        </w:tc>
        <w:tc>
          <w:tcPr>
            <w:tcW w:w="7243" w:type="dxa"/>
          </w:tcPr>
          <w:p w:rsidR="00DF65DF" w:rsidRPr="00EF7F33" w:rsidRDefault="00550113" w:rsidP="00FD239F">
            <w:pPr>
              <w:pStyle w:val="InstructionsText"/>
            </w:pPr>
            <w:r w:rsidRPr="00EF7F33">
              <w:rPr>
                <w:rStyle w:val="InstructionsTabelleberschrift"/>
                <w:rFonts w:ascii="Times New Roman" w:hAnsi="Times New Roman"/>
                <w:sz w:val="24"/>
              </w:rPr>
              <w:t>2B</w:t>
            </w:r>
            <w:r w:rsidRPr="00EF7F33">
              <w:tab/>
            </w:r>
            <w:r w:rsidRPr="00EF7F33">
              <w:rPr>
                <w:rStyle w:val="InstructionsTabelleberschrift"/>
                <w:rFonts w:ascii="Times New Roman" w:hAnsi="Times New Roman"/>
                <w:sz w:val="24"/>
              </w:rPr>
              <w:t>Odgođena porezna imovina na koju se primjenjuje ponder rizika od 250 %</w:t>
            </w:r>
          </w:p>
          <w:p w:rsidR="00DF65DF" w:rsidRPr="00EF7F33" w:rsidRDefault="00201704" w:rsidP="00FD239F">
            <w:pPr>
              <w:pStyle w:val="InstructionsText"/>
            </w:pPr>
            <w:r w:rsidRPr="00EF7F33">
              <w:t>Članak 48. stavak 4. CRR-a</w:t>
            </w:r>
          </w:p>
          <w:p w:rsidR="00DF65DF" w:rsidRPr="00EF7F33" w:rsidRDefault="00DF65DF" w:rsidP="00FD239F">
            <w:pPr>
              <w:pStyle w:val="InstructionsText"/>
              <w:rPr>
                <w:rStyle w:val="InstructionsTabelleberschrift"/>
                <w:rFonts w:ascii="Times New Roman" w:hAnsi="Times New Roman"/>
                <w:b w:val="0"/>
                <w:bCs w:val="0"/>
                <w:sz w:val="24"/>
                <w:u w:val="none"/>
              </w:rPr>
            </w:pPr>
            <w:r w:rsidRPr="00EF7F33">
              <w:t>Iznos odgođene porezne imovine koja ovisi o budućoj profitabilnosti i proizlazi iz privremenih razlika koja se ne odbija u skladu s člankom 48. stavkom 1. CRR-a, ali na koju se primjenjuje ponder rizika od 250 % u skladu s člankom 48. stavkom 4. CRR-a uzimajući u obzir učinak iz članka 470. CRR-a Iskazani iznos jednak je iznosu odgođene porezne imovine prije primjene pondera rizika.</w:t>
            </w:r>
          </w:p>
        </w:tc>
      </w:tr>
      <w:tr w:rsidR="00DF65DF" w:rsidRPr="00EF7F33" w:rsidTr="00672D2A">
        <w:tc>
          <w:tcPr>
            <w:tcW w:w="1506" w:type="dxa"/>
          </w:tcPr>
          <w:p w:rsidR="00DF65DF" w:rsidRPr="00EF7F33" w:rsidRDefault="00DF65DF" w:rsidP="00FD239F">
            <w:pPr>
              <w:pStyle w:val="InstructionsText"/>
            </w:pPr>
            <w:r w:rsidRPr="00EF7F33">
              <w:t>097</w:t>
            </w:r>
          </w:p>
        </w:tc>
        <w:tc>
          <w:tcPr>
            <w:tcW w:w="7243" w:type="dxa"/>
          </w:tcPr>
          <w:p w:rsidR="00DF65DF" w:rsidRPr="00EF7F33" w:rsidRDefault="00550113" w:rsidP="00FD239F">
            <w:pPr>
              <w:pStyle w:val="InstructionsText"/>
            </w:pPr>
            <w:r w:rsidRPr="00EF7F33">
              <w:rPr>
                <w:rStyle w:val="InstructionsTabelleberschrift"/>
                <w:rFonts w:ascii="Times New Roman" w:hAnsi="Times New Roman"/>
                <w:sz w:val="24"/>
              </w:rPr>
              <w:t>2C</w:t>
            </w:r>
            <w:r w:rsidRPr="00EF7F33">
              <w:tab/>
            </w:r>
            <w:r w:rsidRPr="00EF7F33">
              <w:rPr>
                <w:rStyle w:val="InstructionsTabelleberschrift"/>
                <w:rFonts w:ascii="Times New Roman" w:hAnsi="Times New Roman"/>
                <w:sz w:val="24"/>
              </w:rPr>
              <w:t>Odgođena porezna imovina na koju se primjenjuje ponder rizika od 0 %</w:t>
            </w:r>
          </w:p>
          <w:p w:rsidR="00DF65DF" w:rsidRPr="00EF7F33" w:rsidRDefault="00DF65DF" w:rsidP="00FD239F">
            <w:pPr>
              <w:pStyle w:val="InstructionsText"/>
            </w:pPr>
            <w:r w:rsidRPr="00EF7F33">
              <w:t>Članak 469. stavak 1. točka (d), članak 470., članak 472. stavak 5. i čl</w:t>
            </w:r>
            <w:r w:rsidRPr="00EF7F33">
              <w:t>a</w:t>
            </w:r>
            <w:r w:rsidRPr="00EF7F33">
              <w:t>nak 478. CRR-a</w:t>
            </w:r>
          </w:p>
          <w:p w:rsidR="00DF65DF" w:rsidRPr="00EF7F33" w:rsidRDefault="00DF65DF" w:rsidP="00FD239F">
            <w:pPr>
              <w:pStyle w:val="InstructionsText"/>
              <w:rPr>
                <w:rStyle w:val="InstructionsTabelleberschrift"/>
                <w:rFonts w:ascii="Times New Roman" w:hAnsi="Times New Roman"/>
                <w:b w:val="0"/>
                <w:bCs w:val="0"/>
                <w:sz w:val="24"/>
                <w:u w:val="none"/>
              </w:rPr>
            </w:pPr>
            <w:r w:rsidRPr="00EF7F33">
              <w:t>Iznos odgođene porezne imovine koja ovisi o budućoj profitabilnosti i proizlazi iz privremenih razlika koja se ne odbija u skladu s člankom 469. stavkom 1. točkom (d) i člankom 470. CRR-a, ali na koju se pri</w:t>
            </w:r>
            <w:r w:rsidRPr="00EF7F33">
              <w:t>m</w:t>
            </w:r>
            <w:r w:rsidRPr="00EF7F33">
              <w:t>jenjuje ponder rizika od 0 % u skladu s člankom 472. stavkom 5. CRR-a Iskazani iznos jednak je iznosu odgođene porezne imovine prije primj</w:t>
            </w:r>
            <w:r w:rsidRPr="00EF7F33">
              <w:t>e</w:t>
            </w:r>
            <w:r w:rsidRPr="00EF7F33">
              <w:t>ne pondera rizika.</w:t>
            </w:r>
          </w:p>
        </w:tc>
      </w:tr>
      <w:tr w:rsidR="002648B0" w:rsidRPr="00EF7F33" w:rsidTr="00672D2A">
        <w:tc>
          <w:tcPr>
            <w:tcW w:w="1506" w:type="dxa"/>
          </w:tcPr>
          <w:p w:rsidR="002648B0" w:rsidRPr="00EF7F33" w:rsidRDefault="002648B0" w:rsidP="00FD239F">
            <w:pPr>
              <w:pStyle w:val="InstructionsText"/>
            </w:pPr>
            <w:r w:rsidRPr="00EF7F33">
              <w:t>100</w:t>
            </w:r>
          </w:p>
        </w:tc>
        <w:tc>
          <w:tcPr>
            <w:tcW w:w="7243" w:type="dxa"/>
          </w:tcPr>
          <w:p w:rsidR="005643EA" w:rsidRPr="00EF7F33" w:rsidRDefault="00C66473"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w:t>
            </w:r>
            <w:r w:rsidRPr="00EF7F33">
              <w:tab/>
            </w:r>
            <w:r w:rsidRPr="00EF7F33">
              <w:rPr>
                <w:rStyle w:val="InstructionsTabelleberschrift"/>
                <w:rFonts w:ascii="Times New Roman" w:hAnsi="Times New Roman"/>
                <w:sz w:val="24"/>
              </w:rPr>
              <w:t>Višak (+) ili manjak (–) ispravaka vrijednosti za kreditni 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zik, dodatnih vrijednosnih usklađenja i ostalih smanjenja regul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tornog kapitala na osnovi očekivanih gubitaka za izloženosti koje n</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su u statusu neispunjavanja obveza u skladu s IRB pristupom</w:t>
            </w:r>
          </w:p>
          <w:p w:rsidR="005643EA" w:rsidRPr="00EF7F33" w:rsidRDefault="002648B0" w:rsidP="00FD239F">
            <w:pPr>
              <w:pStyle w:val="InstructionsText"/>
            </w:pPr>
            <w:r w:rsidRPr="00EF7F33">
              <w:t>Članak 36. stavak 1. točka (d), članak 62. točka (d), članak 158. i članak 159. CRR-a</w:t>
            </w:r>
          </w:p>
          <w:p w:rsidR="005643EA" w:rsidRPr="00EF7F33" w:rsidRDefault="002648B0" w:rsidP="00FD239F">
            <w:pPr>
              <w:pStyle w:val="InstructionsText"/>
            </w:pPr>
            <w:r w:rsidRPr="00EF7F33">
              <w:t>Ovu stavku iskazuju samo IRB institucije.</w:t>
            </w:r>
          </w:p>
        </w:tc>
      </w:tr>
      <w:tr w:rsidR="002648B0" w:rsidRPr="00EF7F33" w:rsidTr="00672D2A">
        <w:tc>
          <w:tcPr>
            <w:tcW w:w="1506" w:type="dxa"/>
          </w:tcPr>
          <w:p w:rsidR="002648B0" w:rsidRPr="00EF7F33" w:rsidRDefault="002648B0" w:rsidP="00FD239F">
            <w:pPr>
              <w:pStyle w:val="InstructionsText"/>
            </w:pPr>
            <w:r w:rsidRPr="00EF7F33">
              <w:t>110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3.1</w:t>
            </w:r>
            <w:r w:rsidRPr="00EF7F33">
              <w:tab/>
            </w:r>
            <w:r w:rsidRPr="00EF7F33">
              <w:rPr>
                <w:rStyle w:val="InstructionsTabelleberschrift"/>
                <w:rFonts w:ascii="Times New Roman" w:hAnsi="Times New Roman"/>
                <w:sz w:val="24"/>
              </w:rPr>
              <w:t>Ukupni ispravci vrijednosti za kreditni rizik, dodatna vrije</w:t>
            </w:r>
            <w:r w:rsidRPr="00EF7F33">
              <w:rPr>
                <w:rStyle w:val="InstructionsTabelleberschrift"/>
                <w:rFonts w:ascii="Times New Roman" w:hAnsi="Times New Roman"/>
                <w:sz w:val="24"/>
              </w:rPr>
              <w:t>d</w:t>
            </w:r>
            <w:r w:rsidRPr="00EF7F33">
              <w:rPr>
                <w:rStyle w:val="InstructionsTabelleberschrift"/>
                <w:rFonts w:ascii="Times New Roman" w:hAnsi="Times New Roman"/>
                <w:sz w:val="24"/>
              </w:rPr>
              <w:t>nosna usklađenja i ostala smanjena regulatornog kapitala koja i</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punjavaju uvjete za uključivanje u izračun iznosa očekivanoga g</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bitka</w:t>
            </w:r>
          </w:p>
          <w:p w:rsidR="005643EA" w:rsidRPr="00EF7F33" w:rsidRDefault="002648B0" w:rsidP="00FD239F">
            <w:pPr>
              <w:pStyle w:val="InstructionsText"/>
            </w:pPr>
            <w:r w:rsidRPr="00EF7F33">
              <w:t>Članak 159. CRR-a</w:t>
            </w:r>
          </w:p>
          <w:p w:rsidR="005643EA" w:rsidRPr="00EF7F33" w:rsidRDefault="002648B0" w:rsidP="00FD239F">
            <w:pPr>
              <w:pStyle w:val="InstructionsText"/>
            </w:pPr>
            <w:r w:rsidRPr="00EF7F33">
              <w:t>Ovu stavku iskazuju samo IRB institucije.</w:t>
            </w:r>
          </w:p>
        </w:tc>
      </w:tr>
      <w:tr w:rsidR="002648B0" w:rsidRPr="00EF7F33" w:rsidTr="00672D2A">
        <w:tc>
          <w:tcPr>
            <w:tcW w:w="1506" w:type="dxa"/>
          </w:tcPr>
          <w:p w:rsidR="002648B0" w:rsidRPr="00EF7F33" w:rsidRDefault="002648B0" w:rsidP="00FD239F">
            <w:pPr>
              <w:pStyle w:val="InstructionsText"/>
            </w:pPr>
            <w:r w:rsidRPr="00EF7F33">
              <w:t>120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3.1.1</w:t>
            </w:r>
            <w:r w:rsidRPr="00EF7F33">
              <w:tab/>
            </w:r>
            <w:r w:rsidRPr="00EF7F33">
              <w:rPr>
                <w:rStyle w:val="InstructionsTabelleberschrift"/>
                <w:rFonts w:ascii="Times New Roman" w:hAnsi="Times New Roman"/>
                <w:sz w:val="24"/>
              </w:rPr>
              <w:t>Opći ispravci vrijednosti za kreditni rizik</w:t>
            </w:r>
          </w:p>
          <w:p w:rsidR="005643EA" w:rsidRPr="00EF7F33" w:rsidRDefault="002648B0" w:rsidP="00FD239F">
            <w:pPr>
              <w:pStyle w:val="InstructionsText"/>
            </w:pPr>
            <w:r w:rsidRPr="00EF7F33">
              <w:t>Članak 159. CRR-a</w:t>
            </w:r>
          </w:p>
          <w:p w:rsidR="005643EA" w:rsidRPr="00EF7F33" w:rsidRDefault="002648B0" w:rsidP="00FD239F">
            <w:pPr>
              <w:pStyle w:val="InstructionsText"/>
            </w:pPr>
            <w:r w:rsidRPr="00EF7F33">
              <w:t>Ovu stavku iskazuju samo IRB institucije.</w:t>
            </w:r>
          </w:p>
        </w:tc>
      </w:tr>
      <w:tr w:rsidR="002648B0" w:rsidRPr="00EF7F33" w:rsidTr="00672D2A">
        <w:tc>
          <w:tcPr>
            <w:tcW w:w="1506" w:type="dxa"/>
          </w:tcPr>
          <w:p w:rsidR="002648B0" w:rsidRPr="00EF7F33" w:rsidRDefault="002648B0" w:rsidP="00FD239F">
            <w:pPr>
              <w:pStyle w:val="InstructionsText"/>
            </w:pPr>
            <w:r w:rsidRPr="00EF7F33">
              <w:t>130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3.1.2</w:t>
            </w:r>
            <w:r w:rsidRPr="00EF7F33">
              <w:tab/>
            </w:r>
            <w:r w:rsidRPr="00EF7F33">
              <w:rPr>
                <w:rStyle w:val="InstructionsTabelleberschrift"/>
                <w:rFonts w:ascii="Times New Roman" w:hAnsi="Times New Roman"/>
                <w:sz w:val="24"/>
              </w:rPr>
              <w:t>Specifični ispravci vrijednosti za kreditni rizik</w:t>
            </w:r>
          </w:p>
          <w:p w:rsidR="005643EA" w:rsidRPr="00EF7F33" w:rsidRDefault="002648B0" w:rsidP="00FD239F">
            <w:pPr>
              <w:pStyle w:val="InstructionsText"/>
            </w:pPr>
            <w:r w:rsidRPr="00EF7F33">
              <w:t>Članak 159. CRR-a</w:t>
            </w:r>
          </w:p>
          <w:p w:rsidR="005643EA" w:rsidRPr="00EF7F33" w:rsidRDefault="002648B0" w:rsidP="00FD239F">
            <w:pPr>
              <w:pStyle w:val="InstructionsText"/>
            </w:pPr>
            <w:r w:rsidRPr="00EF7F33">
              <w:t>Ovu stavku iskazuju samo IRB institucije.</w:t>
            </w:r>
          </w:p>
        </w:tc>
      </w:tr>
      <w:tr w:rsidR="002648B0" w:rsidRPr="00EF7F33" w:rsidTr="00672D2A">
        <w:tc>
          <w:tcPr>
            <w:tcW w:w="1506" w:type="dxa"/>
          </w:tcPr>
          <w:p w:rsidR="002648B0" w:rsidRPr="00EF7F33" w:rsidRDefault="002648B0" w:rsidP="00FD239F">
            <w:pPr>
              <w:pStyle w:val="InstructionsText"/>
            </w:pPr>
            <w:r w:rsidRPr="00EF7F33">
              <w:t>131</w:t>
            </w:r>
          </w:p>
          <w:p w:rsidR="005643EA" w:rsidRPr="00EF7F33" w:rsidRDefault="005643EA" w:rsidP="00FD239F">
            <w:pPr>
              <w:pStyle w:val="InstructionsText"/>
            </w:pPr>
          </w:p>
        </w:tc>
        <w:tc>
          <w:tcPr>
            <w:tcW w:w="7243"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3.1.3</w:t>
            </w:r>
            <w:r w:rsidRPr="00EF7F33">
              <w:tab/>
            </w:r>
            <w:r w:rsidRPr="00EF7F33">
              <w:rPr>
                <w:rStyle w:val="InstructionsTabelleberschrift"/>
                <w:rFonts w:ascii="Times New Roman" w:hAnsi="Times New Roman"/>
                <w:sz w:val="24"/>
              </w:rPr>
              <w:t>Dodatna vrijednosna usklađenja i ostala smanjenja regul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tornog kapitala</w:t>
            </w:r>
          </w:p>
          <w:p w:rsidR="005643EA" w:rsidRPr="00EF7F33" w:rsidRDefault="002648B0"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Članci 34., 110. i 159. CRR-a</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lastRenderedPageBreak/>
              <w:t>Ovu stavku iskazuju samo IRB institucije.</w:t>
            </w:r>
          </w:p>
        </w:tc>
      </w:tr>
      <w:tr w:rsidR="002648B0" w:rsidRPr="00EF7F33" w:rsidTr="00672D2A">
        <w:tc>
          <w:tcPr>
            <w:tcW w:w="1506" w:type="dxa"/>
          </w:tcPr>
          <w:p w:rsidR="002648B0" w:rsidRPr="00EF7F33" w:rsidRDefault="002648B0" w:rsidP="00FD239F">
            <w:pPr>
              <w:pStyle w:val="InstructionsText"/>
            </w:pPr>
            <w:r w:rsidRPr="00EF7F33">
              <w:lastRenderedPageBreak/>
              <w:t>140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3.2</w:t>
            </w:r>
            <w:r w:rsidRPr="00EF7F33">
              <w:tab/>
            </w:r>
            <w:r w:rsidRPr="00EF7F33">
              <w:rPr>
                <w:rStyle w:val="InstructionsTabelleberschrift"/>
                <w:rFonts w:ascii="Times New Roman" w:hAnsi="Times New Roman"/>
                <w:sz w:val="24"/>
              </w:rPr>
              <w:t xml:space="preserve">Ukupni priznati očekivani gubici </w:t>
            </w:r>
          </w:p>
          <w:p w:rsidR="005643EA" w:rsidRPr="00EF7F33" w:rsidRDefault="002648B0" w:rsidP="00FD239F">
            <w:pPr>
              <w:pStyle w:val="InstructionsText"/>
            </w:pPr>
            <w:r w:rsidRPr="00EF7F33">
              <w:t>Članak 158. stavci 5., 6. i 10. i članak 159. CRR-a</w:t>
            </w:r>
          </w:p>
          <w:p w:rsidR="005643EA" w:rsidRPr="00EF7F33" w:rsidRDefault="00F11185" w:rsidP="00FD239F">
            <w:pPr>
              <w:pStyle w:val="InstructionsText"/>
            </w:pPr>
            <w:r w:rsidRPr="00EF7F33">
              <w:t>Ovu stavku iskazuju samo IRB institucije. Iskazuje se samo očekivani gubitak povezan s izloženostima koje nisu u statusu neispunjavanja o</w:t>
            </w:r>
            <w:r w:rsidRPr="00EF7F33">
              <w:t>b</w:t>
            </w:r>
            <w:r w:rsidRPr="00EF7F33">
              <w:t>veza.</w:t>
            </w:r>
          </w:p>
        </w:tc>
      </w:tr>
      <w:tr w:rsidR="00F11185" w:rsidRPr="00EF7F33" w:rsidTr="00672D2A">
        <w:tc>
          <w:tcPr>
            <w:tcW w:w="1506" w:type="dxa"/>
          </w:tcPr>
          <w:p w:rsidR="00F11185" w:rsidRPr="00EF7F33" w:rsidRDefault="00F11185" w:rsidP="00FD239F">
            <w:pPr>
              <w:pStyle w:val="InstructionsText"/>
            </w:pPr>
            <w:r w:rsidRPr="00EF7F33">
              <w:t>145</w:t>
            </w:r>
          </w:p>
          <w:p w:rsidR="005643EA" w:rsidRPr="00EF7F33" w:rsidRDefault="005643EA" w:rsidP="00FD239F">
            <w:pPr>
              <w:pStyle w:val="InstructionsText"/>
            </w:pPr>
          </w:p>
        </w:tc>
        <w:tc>
          <w:tcPr>
            <w:tcW w:w="7243" w:type="dxa"/>
          </w:tcPr>
          <w:p w:rsidR="005643EA" w:rsidRPr="00EF7F33" w:rsidRDefault="00630711"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4 Višak (+) ili manjak (–) specifičnih ispravaka vrijednosti za kred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tni rizik na osnovi očekivanih gubitaka za izloženosti u statusu nei</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punjavanja obveza u skladu s IRB pristupom</w:t>
            </w:r>
          </w:p>
          <w:p w:rsidR="005643EA" w:rsidRPr="00EF7F33" w:rsidRDefault="00630711" w:rsidP="00FD239F">
            <w:pPr>
              <w:pStyle w:val="InstructionsText"/>
            </w:pPr>
            <w:r w:rsidRPr="00EF7F33">
              <w:t>Članak 36. stavak 1. točka (d), članak 62. točka (d), članak 158. i članak 159. CRR-a</w:t>
            </w:r>
          </w:p>
          <w:p w:rsidR="005643EA" w:rsidRPr="00EF7F33" w:rsidRDefault="00630711" w:rsidP="00FD239F">
            <w:pPr>
              <w:pStyle w:val="InstructionsText"/>
              <w:rPr>
                <w:rStyle w:val="InstructionsTabelleberschrift"/>
                <w:rFonts w:ascii="Times New Roman" w:hAnsi="Times New Roman"/>
                <w:b w:val="0"/>
                <w:bCs w:val="0"/>
                <w:sz w:val="24"/>
                <w:u w:val="none"/>
              </w:rPr>
            </w:pPr>
            <w:r w:rsidRPr="00EF7F33">
              <w:t>Ovu stavku iskazuju samo IRB institucije.</w:t>
            </w:r>
          </w:p>
        </w:tc>
      </w:tr>
      <w:tr w:rsidR="00F11185" w:rsidRPr="00EF7F33" w:rsidTr="00672D2A">
        <w:tc>
          <w:tcPr>
            <w:tcW w:w="1506" w:type="dxa"/>
          </w:tcPr>
          <w:p w:rsidR="00F11185" w:rsidRPr="00EF7F33" w:rsidRDefault="00F11185" w:rsidP="00FD239F">
            <w:pPr>
              <w:pStyle w:val="InstructionsText"/>
            </w:pPr>
            <w:r w:rsidRPr="00EF7F33">
              <w:t>150</w:t>
            </w:r>
          </w:p>
          <w:p w:rsidR="005643EA" w:rsidRPr="00EF7F33" w:rsidRDefault="005643EA" w:rsidP="00FD239F">
            <w:pPr>
              <w:pStyle w:val="InstructionsText"/>
            </w:pPr>
          </w:p>
        </w:tc>
        <w:tc>
          <w:tcPr>
            <w:tcW w:w="7243" w:type="dxa"/>
          </w:tcPr>
          <w:p w:rsidR="005643EA" w:rsidRPr="00EF7F33" w:rsidRDefault="00630711"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4.1</w:t>
            </w:r>
            <w:r w:rsidRPr="00EF7F33">
              <w:tab/>
            </w:r>
            <w:r w:rsidRPr="00EF7F33">
              <w:rPr>
                <w:rStyle w:val="InstructionsTabelleberschrift"/>
                <w:rFonts w:ascii="Times New Roman" w:hAnsi="Times New Roman"/>
                <w:sz w:val="24"/>
              </w:rPr>
              <w:t>Specifični ispravci vrijednosti za kreditni rizik i pozicije koje se tretira na sličan način</w:t>
            </w:r>
          </w:p>
          <w:p w:rsidR="005643EA" w:rsidRPr="00EF7F33" w:rsidRDefault="00630711" w:rsidP="00FD239F">
            <w:pPr>
              <w:pStyle w:val="InstructionsText"/>
            </w:pPr>
            <w:r w:rsidRPr="00EF7F33">
              <w:t>Članak 159. CRR-a</w:t>
            </w:r>
          </w:p>
          <w:p w:rsidR="005643EA" w:rsidRPr="00EF7F33" w:rsidRDefault="00630711" w:rsidP="00FD239F">
            <w:pPr>
              <w:pStyle w:val="InstructionsText"/>
              <w:rPr>
                <w:rStyle w:val="InstructionsTabelleberschrift"/>
                <w:rFonts w:ascii="Times New Roman" w:hAnsi="Times New Roman"/>
                <w:b w:val="0"/>
                <w:bCs w:val="0"/>
                <w:sz w:val="24"/>
                <w:u w:val="none"/>
              </w:rPr>
            </w:pPr>
            <w:r w:rsidRPr="00EF7F33">
              <w:t>Ovu stavku iskazuju samo IRB institucije.</w:t>
            </w:r>
          </w:p>
        </w:tc>
      </w:tr>
      <w:tr w:rsidR="00F11185" w:rsidRPr="00EF7F33" w:rsidTr="00672D2A">
        <w:tc>
          <w:tcPr>
            <w:tcW w:w="1506" w:type="dxa"/>
          </w:tcPr>
          <w:p w:rsidR="00F11185" w:rsidRPr="00EF7F33" w:rsidRDefault="00F11185" w:rsidP="00FD239F">
            <w:pPr>
              <w:pStyle w:val="InstructionsText"/>
            </w:pPr>
            <w:r w:rsidRPr="00EF7F33">
              <w:t>155</w:t>
            </w:r>
          </w:p>
          <w:p w:rsidR="005643EA" w:rsidRPr="00EF7F33" w:rsidRDefault="005643EA" w:rsidP="00FD239F">
            <w:pPr>
              <w:pStyle w:val="InstructionsText"/>
            </w:pPr>
          </w:p>
        </w:tc>
        <w:tc>
          <w:tcPr>
            <w:tcW w:w="7243" w:type="dxa"/>
          </w:tcPr>
          <w:p w:rsidR="005643EA" w:rsidRPr="00EF7F33" w:rsidRDefault="00630711"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4.2</w:t>
            </w:r>
            <w:r w:rsidRPr="00EF7F33">
              <w:tab/>
            </w:r>
            <w:r w:rsidRPr="00EF7F33">
              <w:rPr>
                <w:rStyle w:val="InstructionsTabelleberschrift"/>
                <w:rFonts w:ascii="Times New Roman" w:hAnsi="Times New Roman"/>
                <w:sz w:val="24"/>
              </w:rPr>
              <w:t>Ukupni priznati očekivani gubici</w:t>
            </w:r>
          </w:p>
          <w:p w:rsidR="005643EA" w:rsidRPr="00EF7F33" w:rsidRDefault="00630711" w:rsidP="00FD239F">
            <w:pPr>
              <w:pStyle w:val="InstructionsText"/>
              <w:rPr>
                <w:rStyle w:val="InstructionsTabelleberschrift"/>
                <w:rFonts w:ascii="Times New Roman" w:hAnsi="Times New Roman"/>
                <w:sz w:val="24"/>
              </w:rPr>
            </w:pPr>
            <w:r w:rsidRPr="00EF7F33">
              <w:t>Članak 158. stavci 5., 6. i 10. i članak 159. CRR-a</w:t>
            </w:r>
          </w:p>
          <w:p w:rsidR="005643EA" w:rsidRPr="00EF7F33" w:rsidRDefault="00F11185" w:rsidP="00FD239F">
            <w:pPr>
              <w:pStyle w:val="InstructionsText"/>
              <w:rPr>
                <w:rStyle w:val="InstructionsTabelleberschrift"/>
                <w:rFonts w:ascii="Times New Roman" w:hAnsi="Times New Roman"/>
                <w:b w:val="0"/>
                <w:bCs w:val="0"/>
                <w:sz w:val="24"/>
                <w:u w:val="none"/>
              </w:rPr>
            </w:pPr>
            <w:r w:rsidRPr="00EF7F33">
              <w:t>Ovu stavku iskazuju samo IRB institucije. Iskazuje se samo očekivani gubitak povezan s izloženostima koje su u statusu neispunjavanja obv</w:t>
            </w:r>
            <w:r w:rsidRPr="00EF7F33">
              <w:t>e</w:t>
            </w:r>
            <w:r w:rsidRPr="00EF7F33">
              <w:t>za.</w:t>
            </w:r>
          </w:p>
        </w:tc>
      </w:tr>
      <w:tr w:rsidR="002648B0" w:rsidRPr="00EF7F33" w:rsidTr="00672D2A">
        <w:tc>
          <w:tcPr>
            <w:tcW w:w="1506" w:type="dxa"/>
          </w:tcPr>
          <w:p w:rsidR="002648B0" w:rsidRPr="00EF7F33" w:rsidRDefault="002648B0" w:rsidP="00FD239F">
            <w:pPr>
              <w:pStyle w:val="InstructionsText"/>
            </w:pPr>
            <w:r w:rsidRPr="00EF7F33">
              <w:t>160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5</w:t>
            </w:r>
            <w:r w:rsidRPr="00EF7F33">
              <w:tab/>
            </w:r>
            <w:r w:rsidRPr="00EF7F33">
              <w:rPr>
                <w:rStyle w:val="InstructionsTabelleberschrift"/>
                <w:rFonts w:ascii="Times New Roman" w:hAnsi="Times New Roman"/>
                <w:sz w:val="24"/>
              </w:rPr>
              <w:t>Iznosi izloženosti ponderirani rizikom za izračun gornje gr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nice viška rezervacije koje se priznaju kao dopunski kapital</w:t>
            </w:r>
          </w:p>
          <w:p w:rsidR="005643EA" w:rsidRPr="00EF7F33" w:rsidRDefault="002648B0" w:rsidP="00FD239F">
            <w:pPr>
              <w:pStyle w:val="InstructionsText"/>
            </w:pPr>
            <w:r w:rsidRPr="00EF7F33">
              <w:t>Članak 62. točka (d) CRR-a</w:t>
            </w:r>
          </w:p>
          <w:p w:rsidR="005643EA" w:rsidRPr="00EF7F33" w:rsidRDefault="002648B0" w:rsidP="00FD239F">
            <w:pPr>
              <w:pStyle w:val="InstructionsText"/>
            </w:pPr>
            <w:r w:rsidRPr="00EF7F33">
              <w:t>Za IRB institucije u skladu s člankom 62. točkom (d) CRR-a, višak izn</w:t>
            </w:r>
            <w:r w:rsidRPr="00EF7F33">
              <w:t>o</w:t>
            </w:r>
            <w:r w:rsidRPr="00EF7F33">
              <w:t>sa rezervacija (za očekivane gubitke) koje ispunjavaju uvjete za uključ</w:t>
            </w:r>
            <w:r w:rsidRPr="00EF7F33">
              <w:t>i</w:t>
            </w:r>
            <w:r w:rsidRPr="00EF7F33">
              <w:t>vanje u dopunski kapital ograničen na 0,6 % iznosa izloženosti ponder</w:t>
            </w:r>
            <w:r w:rsidRPr="00EF7F33">
              <w:t>i</w:t>
            </w:r>
            <w:r w:rsidRPr="00EF7F33">
              <w:t>ranih rizikom izračunanih u skladu s IRB pristupom.</w:t>
            </w:r>
          </w:p>
          <w:p w:rsidR="005643EA" w:rsidRPr="00EF7F33" w:rsidRDefault="002648B0" w:rsidP="00FD239F">
            <w:pPr>
              <w:pStyle w:val="InstructionsText"/>
            </w:pPr>
            <w:r w:rsidRPr="00EF7F33">
              <w:t>Iznos koji je potrebno iskazati u ovoj stavci iznosi su izloženosti pond</w:t>
            </w:r>
            <w:r w:rsidRPr="00EF7F33">
              <w:t>e</w:t>
            </w:r>
            <w:r w:rsidRPr="00EF7F33">
              <w:t>rirani rizikom (tj. nisu pomnoženi s 0,6 %), što je osnova za izračun go</w:t>
            </w:r>
            <w:r w:rsidRPr="00EF7F33">
              <w:t>r</w:t>
            </w:r>
            <w:r w:rsidRPr="00EF7F33">
              <w:t>nje granice.</w:t>
            </w:r>
          </w:p>
        </w:tc>
      </w:tr>
      <w:tr w:rsidR="002648B0" w:rsidRPr="00EF7F33" w:rsidTr="00672D2A">
        <w:tc>
          <w:tcPr>
            <w:tcW w:w="1506" w:type="dxa"/>
          </w:tcPr>
          <w:p w:rsidR="002648B0" w:rsidRPr="00EF7F33" w:rsidRDefault="002648B0" w:rsidP="00FD239F">
            <w:pPr>
              <w:pStyle w:val="InstructionsText"/>
            </w:pPr>
            <w:r w:rsidRPr="00EF7F33">
              <w:t>170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6</w:t>
            </w:r>
            <w:r w:rsidRPr="00EF7F33">
              <w:tab/>
            </w:r>
            <w:r w:rsidRPr="00EF7F33">
              <w:rPr>
                <w:rStyle w:val="InstructionsTabelleberschrift"/>
                <w:rFonts w:ascii="Times New Roman" w:hAnsi="Times New Roman"/>
                <w:sz w:val="24"/>
              </w:rPr>
              <w:t>Ukupne bruto rezervacije koje ispunjavaju uvjete za uključ</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vanje u dopunski kapital</w:t>
            </w:r>
          </w:p>
          <w:p w:rsidR="005643EA" w:rsidRPr="00EF7F33" w:rsidRDefault="002648B0" w:rsidP="00FD239F">
            <w:pPr>
              <w:pStyle w:val="InstructionsText"/>
            </w:pPr>
            <w:r w:rsidRPr="00EF7F33">
              <w:t>Članak 62. točka (c) CRR-a</w:t>
            </w:r>
          </w:p>
          <w:p w:rsidR="005643EA" w:rsidRPr="00EF7F33" w:rsidRDefault="002648B0" w:rsidP="00FD239F">
            <w:pPr>
              <w:pStyle w:val="InstructionsText"/>
            </w:pPr>
            <w:r w:rsidRPr="00EF7F33">
              <w:t>Ova stavka uključuje opće ispravke vrijednosti za kreditni rizik koji i</w:t>
            </w:r>
            <w:r w:rsidRPr="00EF7F33">
              <w:t>s</w:t>
            </w:r>
            <w:r w:rsidRPr="00EF7F33">
              <w:t>punjavaju uvjete za uključivanje u dopunski kapital, prije primjene go</w:t>
            </w:r>
            <w:r w:rsidRPr="00EF7F33">
              <w:t>r</w:t>
            </w:r>
            <w:r w:rsidRPr="00EF7F33">
              <w:t>nje granice.</w:t>
            </w:r>
          </w:p>
          <w:p w:rsidR="005643EA" w:rsidRPr="00EF7F33" w:rsidRDefault="002648B0" w:rsidP="00FD239F">
            <w:pPr>
              <w:pStyle w:val="InstructionsText"/>
            </w:pPr>
            <w:r w:rsidRPr="00EF7F33">
              <w:t>Iznos koji je potrebno iskazati nije umanjen za porezne učinke.</w:t>
            </w:r>
          </w:p>
        </w:tc>
      </w:tr>
      <w:tr w:rsidR="002648B0" w:rsidRPr="00EF7F33" w:rsidTr="00672D2A">
        <w:tc>
          <w:tcPr>
            <w:tcW w:w="1506" w:type="dxa"/>
          </w:tcPr>
          <w:p w:rsidR="002648B0" w:rsidRPr="00EF7F33" w:rsidRDefault="002648B0" w:rsidP="00FD239F">
            <w:pPr>
              <w:pStyle w:val="InstructionsText"/>
            </w:pPr>
            <w:r w:rsidRPr="00EF7F33">
              <w:t>180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7</w:t>
            </w:r>
            <w:r w:rsidRPr="00EF7F33">
              <w:tab/>
            </w:r>
            <w:r w:rsidRPr="00EF7F33">
              <w:rPr>
                <w:rStyle w:val="InstructionsTabelleberschrift"/>
                <w:rFonts w:ascii="Times New Roman" w:hAnsi="Times New Roman"/>
                <w:sz w:val="24"/>
              </w:rPr>
              <w:t>Iznosi izloženosti ponderirani rizikom za izračun gornje gr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nice rezervacije koja se priznaje kao dopunski kapital</w:t>
            </w:r>
          </w:p>
          <w:p w:rsidR="005643EA" w:rsidRPr="00EF7F33" w:rsidRDefault="002648B0" w:rsidP="00FD239F">
            <w:pPr>
              <w:pStyle w:val="InstructionsText"/>
            </w:pPr>
            <w:r w:rsidRPr="00EF7F33">
              <w:lastRenderedPageBreak/>
              <w:t>Članak 62. točka (c) CRR-a</w:t>
            </w:r>
          </w:p>
          <w:p w:rsidR="005643EA" w:rsidRPr="00EF7F33" w:rsidRDefault="002648B0" w:rsidP="00FD239F">
            <w:pPr>
              <w:pStyle w:val="InstructionsText"/>
            </w:pPr>
            <w:r w:rsidRPr="00EF7F33">
              <w:t>U skladu s člankom 62. točkom (c) CRR-a, ispravci vrijednosti za kred</w:t>
            </w:r>
            <w:r w:rsidRPr="00EF7F33">
              <w:t>i</w:t>
            </w:r>
            <w:r w:rsidRPr="00EF7F33">
              <w:t>tni rizik koji ispunjavaju uvjete za uključivanje u dopunski kapital ogr</w:t>
            </w:r>
            <w:r w:rsidRPr="00EF7F33">
              <w:t>a</w:t>
            </w:r>
            <w:r w:rsidRPr="00EF7F33">
              <w:t>ničeni su na 1,25 % iznosa izloženosti ponderiranih rizikom.</w:t>
            </w:r>
          </w:p>
          <w:p w:rsidR="005643EA" w:rsidRPr="00EF7F33" w:rsidRDefault="002648B0" w:rsidP="00FD239F">
            <w:pPr>
              <w:pStyle w:val="InstructionsText"/>
            </w:pPr>
            <w:r w:rsidRPr="00EF7F33">
              <w:t>Iznos koji je potrebno iskazati u ovoj stavci iznosi su izloženosti pond</w:t>
            </w:r>
            <w:r w:rsidRPr="00EF7F33">
              <w:t>e</w:t>
            </w:r>
            <w:r w:rsidRPr="00EF7F33">
              <w:t>rirani rizikom (tj. nisu pomnoženi s 1,25 %), što je osnova za izračun gornje granice.</w:t>
            </w:r>
          </w:p>
        </w:tc>
      </w:tr>
      <w:tr w:rsidR="002648B0" w:rsidRPr="00EF7F33" w:rsidTr="00672D2A">
        <w:tc>
          <w:tcPr>
            <w:tcW w:w="1506" w:type="dxa"/>
          </w:tcPr>
          <w:p w:rsidR="002648B0" w:rsidRPr="00EF7F33" w:rsidRDefault="002648B0" w:rsidP="00FD239F">
            <w:pPr>
              <w:pStyle w:val="InstructionsText"/>
            </w:pPr>
            <w:r w:rsidRPr="00EF7F33">
              <w:lastRenderedPageBreak/>
              <w:t>190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8</w:t>
            </w:r>
            <w:r w:rsidRPr="00EF7F33">
              <w:tab/>
            </w:r>
            <w:r w:rsidRPr="00EF7F33">
              <w:rPr>
                <w:rStyle w:val="InstructionsTabelleberschrift"/>
                <w:rFonts w:ascii="Times New Roman" w:hAnsi="Times New Roman"/>
                <w:sz w:val="24"/>
              </w:rPr>
              <w:t>Prag koji se ne može odbiti od ulaganja u subjekte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nema značajno ulaganje</w:t>
            </w:r>
          </w:p>
          <w:p w:rsidR="005643EA" w:rsidRPr="00EF7F33" w:rsidRDefault="002648B0" w:rsidP="00FD239F">
            <w:pPr>
              <w:pStyle w:val="InstructionsText"/>
            </w:pPr>
            <w:r w:rsidRPr="00EF7F33">
              <w:t>Članak 46. stavak 1. točka (a) CRR-a</w:t>
            </w:r>
          </w:p>
          <w:p w:rsidR="005643EA" w:rsidRPr="00EF7F33" w:rsidRDefault="002648B0" w:rsidP="00FD239F">
            <w:pPr>
              <w:pStyle w:val="InstructionsText"/>
            </w:pPr>
            <w:r w:rsidRPr="00EF7F33">
              <w:t>Ova stavka sadržava prag do kojeg se ulaganja u subjekt financijskog sektora ne odbijaju ako institucija nema značajno ulaganje. Iznos proi</w:t>
            </w:r>
            <w:r w:rsidRPr="00EF7F33">
              <w:t>z</w:t>
            </w:r>
            <w:r w:rsidRPr="00EF7F33">
              <w:t>lazi iz dodavanja svih stavki koje su osnova za prag i množenjem tako dobivenog zbroja sa 10 %.</w:t>
            </w:r>
          </w:p>
        </w:tc>
      </w:tr>
      <w:tr w:rsidR="002648B0" w:rsidRPr="00EF7F33" w:rsidTr="00672D2A">
        <w:tc>
          <w:tcPr>
            <w:tcW w:w="1506" w:type="dxa"/>
          </w:tcPr>
          <w:p w:rsidR="002648B0" w:rsidRPr="00EF7F33" w:rsidRDefault="002648B0" w:rsidP="00FD239F">
            <w:pPr>
              <w:pStyle w:val="InstructionsText"/>
            </w:pPr>
            <w:r w:rsidRPr="00EF7F33">
              <w:t>200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9</w:t>
            </w:r>
            <w:r w:rsidRPr="00EF7F33">
              <w:tab/>
            </w:r>
            <w:r w:rsidRPr="00EF7F33">
              <w:rPr>
                <w:rStyle w:val="InstructionsTabelleberschrift"/>
                <w:rFonts w:ascii="Times New Roman" w:hAnsi="Times New Roman"/>
                <w:sz w:val="24"/>
              </w:rPr>
              <w:t xml:space="preserve">Prag za redovni osnovni kapital od 10 % </w:t>
            </w:r>
          </w:p>
          <w:p w:rsidR="005643EA" w:rsidRPr="00EF7F33" w:rsidRDefault="002648B0" w:rsidP="00FD239F">
            <w:pPr>
              <w:pStyle w:val="InstructionsText"/>
            </w:pPr>
            <w:r w:rsidRPr="00EF7F33">
              <w:t>Članak 48. stavak 1. točke (a) i (b) CRR-a</w:t>
            </w:r>
          </w:p>
          <w:p w:rsidR="005643EA" w:rsidRPr="00EF7F33" w:rsidRDefault="002648B0" w:rsidP="00FD239F">
            <w:pPr>
              <w:pStyle w:val="InstructionsText"/>
            </w:pPr>
            <w:r w:rsidRPr="00EF7F33">
              <w:t>Ova stavka sadržava prag od 10 % za ulaganja u subjekte financijskog sektora ako institucija ima značajno ulaganje i za odgođenu poreznu imovinu koja ovisi o budućoj profitabilnosti i proizlazi iz privremenih razlika.</w:t>
            </w:r>
          </w:p>
          <w:p w:rsidR="005643EA" w:rsidRPr="00EF7F33" w:rsidRDefault="003C7853" w:rsidP="00FD239F">
            <w:pPr>
              <w:pStyle w:val="InstructionsText"/>
            </w:pPr>
            <w:r w:rsidRPr="00EF7F33">
              <w:t>Iznos proizlazi iz dodavanja svih stavki koje su osnova za prag i množ</w:t>
            </w:r>
            <w:r w:rsidRPr="00EF7F33">
              <w:t>e</w:t>
            </w:r>
            <w:r w:rsidRPr="00EF7F33">
              <w:t>njem tako dobivenog zbroja sa 10 %.</w:t>
            </w:r>
          </w:p>
        </w:tc>
      </w:tr>
      <w:tr w:rsidR="002648B0" w:rsidRPr="00EF7F33" w:rsidTr="00672D2A">
        <w:tc>
          <w:tcPr>
            <w:tcW w:w="1506" w:type="dxa"/>
          </w:tcPr>
          <w:p w:rsidR="002648B0" w:rsidRPr="00EF7F33" w:rsidRDefault="002648B0" w:rsidP="00FD239F">
            <w:pPr>
              <w:pStyle w:val="InstructionsText"/>
            </w:pPr>
            <w:r w:rsidRPr="00EF7F33">
              <w:t>210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10</w:t>
            </w:r>
            <w:r w:rsidRPr="00EF7F33">
              <w:tab/>
            </w:r>
            <w:r w:rsidRPr="00EF7F33">
              <w:rPr>
                <w:rStyle w:val="InstructionsTabelleberschrift"/>
                <w:rFonts w:ascii="Times New Roman" w:hAnsi="Times New Roman"/>
                <w:sz w:val="24"/>
              </w:rPr>
              <w:t xml:space="preserve">Prag za redovni osnovni kapital od 17,65 % </w:t>
            </w:r>
          </w:p>
          <w:p w:rsidR="005643EA" w:rsidRPr="00EF7F33" w:rsidRDefault="002648B0" w:rsidP="00FD239F">
            <w:pPr>
              <w:pStyle w:val="InstructionsText"/>
            </w:pPr>
            <w:r w:rsidRPr="00EF7F33">
              <w:t>Članak 48. stavak 1. CRR-a</w:t>
            </w:r>
          </w:p>
          <w:p w:rsidR="005643EA" w:rsidRPr="00EF7F33" w:rsidRDefault="002648B0" w:rsidP="00FD239F">
            <w:pPr>
              <w:pStyle w:val="InstructionsText"/>
            </w:pPr>
            <w:r w:rsidRPr="00EF7F33">
              <w:t>Ova stavka sadržava prag od 17,65 % za ulaganja u subjekte financi</w:t>
            </w:r>
            <w:r w:rsidRPr="00EF7F33">
              <w:t>j</w:t>
            </w:r>
            <w:r w:rsidRPr="00EF7F33">
              <w:t>skog sektora ako institucija ima značajno ulaganje i za odgođenu pore</w:t>
            </w:r>
            <w:r w:rsidRPr="00EF7F33">
              <w:t>z</w:t>
            </w:r>
            <w:r w:rsidRPr="00EF7F33">
              <w:t>nu imovinu koja ovisi o budućoj profitabilnosti i proizlazi iz privremenih razlika, koji je potrebno primijeniti nakon praga od 10 %.</w:t>
            </w:r>
          </w:p>
          <w:p w:rsidR="005643EA" w:rsidRPr="00EF7F33" w:rsidRDefault="002648B0" w:rsidP="00FD239F">
            <w:pPr>
              <w:pStyle w:val="InstructionsText"/>
            </w:pPr>
            <w:r w:rsidRPr="00EF7F33">
              <w:t>Prag se izračunava tako da iznos dviju stavki koji je priznat ne smije premašiti 15 % konačnog redovnog osnovnog kapitala, odnosno redo</w:t>
            </w:r>
            <w:r w:rsidRPr="00EF7F33">
              <w:t>v</w:t>
            </w:r>
            <w:r w:rsidRPr="00EF7F33">
              <w:t>nog osnovnog kapitala izračunanog nakon svih odbitaka, ne uključujući sva usklađenja zbog prijelaznih odredbi.</w:t>
            </w:r>
          </w:p>
        </w:tc>
      </w:tr>
      <w:tr w:rsidR="00216D67" w:rsidRPr="00EF7F33" w:rsidTr="00672D2A">
        <w:tc>
          <w:tcPr>
            <w:tcW w:w="1506" w:type="dxa"/>
          </w:tcPr>
          <w:p w:rsidR="00216D67" w:rsidRPr="00EF7F33" w:rsidRDefault="00216D67" w:rsidP="00FD239F">
            <w:pPr>
              <w:pStyle w:val="InstructionsText"/>
            </w:pPr>
            <w:r w:rsidRPr="00EF7F33">
              <w:t>225</w:t>
            </w:r>
          </w:p>
        </w:tc>
        <w:tc>
          <w:tcPr>
            <w:tcW w:w="7243" w:type="dxa"/>
          </w:tcPr>
          <w:p w:rsidR="00216D67" w:rsidRPr="00EF7F33" w:rsidRDefault="00216D67"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11.1</w:t>
            </w:r>
            <w:r w:rsidRPr="00EF7F33">
              <w:tab/>
            </w:r>
            <w:r w:rsidRPr="00EF7F33">
              <w:rPr>
                <w:rStyle w:val="InstructionsTabelleberschrift"/>
                <w:rFonts w:ascii="Times New Roman" w:hAnsi="Times New Roman"/>
                <w:sz w:val="24"/>
              </w:rPr>
              <w:t>Priznati kapital za potrebe kvalificiranih udjela izvan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w:t>
            </w:r>
          </w:p>
          <w:p w:rsidR="00216D67" w:rsidRPr="00EF7F33" w:rsidRDefault="00216D67"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b w:val="0"/>
                <w:sz w:val="24"/>
                <w:u w:val="none"/>
              </w:rPr>
              <w:t>Članak 4. stavak 1. točka 71. podtočka (a)</w:t>
            </w:r>
          </w:p>
        </w:tc>
      </w:tr>
      <w:tr w:rsidR="00216D67" w:rsidRPr="00EF7F33" w:rsidTr="00672D2A">
        <w:tc>
          <w:tcPr>
            <w:tcW w:w="1506" w:type="dxa"/>
          </w:tcPr>
          <w:p w:rsidR="00216D67" w:rsidRPr="00EF7F33" w:rsidRDefault="00216D67" w:rsidP="00FD239F">
            <w:pPr>
              <w:pStyle w:val="InstructionsText"/>
            </w:pPr>
            <w:r w:rsidRPr="00EF7F33">
              <w:t>226</w:t>
            </w:r>
          </w:p>
        </w:tc>
        <w:tc>
          <w:tcPr>
            <w:tcW w:w="7243" w:type="dxa"/>
          </w:tcPr>
          <w:p w:rsidR="00216D67" w:rsidRPr="00EF7F33" w:rsidRDefault="00216D67"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11.2</w:t>
            </w:r>
            <w:r w:rsidRPr="00EF7F33">
              <w:tab/>
            </w:r>
            <w:r w:rsidRPr="00EF7F33">
              <w:rPr>
                <w:rStyle w:val="InstructionsTabelleberschrift"/>
                <w:rFonts w:ascii="Times New Roman" w:hAnsi="Times New Roman"/>
                <w:sz w:val="24"/>
              </w:rPr>
              <w:t>Priznati kapital za potrebe velikih izloženosti</w:t>
            </w:r>
          </w:p>
          <w:p w:rsidR="00216D67" w:rsidRPr="00EF7F33" w:rsidRDefault="00216D67" w:rsidP="00FD239F">
            <w:pPr>
              <w:pStyle w:val="InstructionsText"/>
              <w:rPr>
                <w:rStyle w:val="InstructionsTabelleberschrift"/>
                <w:rFonts w:ascii="Times New Roman" w:hAnsi="Times New Roman"/>
                <w:b w:val="0"/>
                <w:bCs w:val="0"/>
                <w:sz w:val="24"/>
                <w:u w:val="none"/>
              </w:rPr>
            </w:pPr>
            <w:r w:rsidRPr="00EF7F33">
              <w:t>Članak 4. stavak 1. točka 71. podtočka (b)</w:t>
            </w:r>
          </w:p>
        </w:tc>
      </w:tr>
      <w:tr w:rsidR="002648B0" w:rsidRPr="00EF7F33" w:rsidTr="00672D2A">
        <w:tc>
          <w:tcPr>
            <w:tcW w:w="1506" w:type="dxa"/>
          </w:tcPr>
          <w:p w:rsidR="002648B0" w:rsidRPr="00EF7F33" w:rsidRDefault="002648B0" w:rsidP="00FD239F">
            <w:pPr>
              <w:pStyle w:val="InstructionsText"/>
            </w:pPr>
            <w:r w:rsidRPr="00EF7F33">
              <w:t>230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w:t>
            </w:r>
            <w:r w:rsidRPr="00EF7F33">
              <w:tab/>
            </w:r>
            <w:r w:rsidRPr="00EF7F33">
              <w:rPr>
                <w:rStyle w:val="InstructionsTabelleberschrift"/>
                <w:rFonts w:ascii="Times New Roman" w:hAnsi="Times New Roman"/>
                <w:sz w:val="24"/>
              </w:rPr>
              <w:t>Ulaganja u redovni osnovni kapital subjekata financijskog sektora ako institucija nema značajno ulaganje, ne uključujući kratke pozicije</w:t>
            </w:r>
          </w:p>
          <w:p w:rsidR="005643EA" w:rsidRPr="00EF7F33" w:rsidRDefault="002648B0" w:rsidP="00FD239F">
            <w:pPr>
              <w:pStyle w:val="InstructionsText"/>
            </w:pPr>
            <w:r w:rsidRPr="00EF7F33">
              <w:t>Članci od 44. do 46. i članak 49. CRR-a</w:t>
            </w:r>
          </w:p>
        </w:tc>
      </w:tr>
      <w:tr w:rsidR="002648B0" w:rsidRPr="00EF7F33" w:rsidTr="00672D2A">
        <w:tc>
          <w:tcPr>
            <w:tcW w:w="1506" w:type="dxa"/>
          </w:tcPr>
          <w:p w:rsidR="002648B0" w:rsidRPr="00EF7F33" w:rsidRDefault="002648B0" w:rsidP="00FD239F">
            <w:pPr>
              <w:pStyle w:val="InstructionsText"/>
            </w:pPr>
            <w:r w:rsidRPr="00EF7F33">
              <w:lastRenderedPageBreak/>
              <w:t>240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12.1</w:t>
            </w:r>
            <w:r w:rsidRPr="00EF7F33">
              <w:tab/>
            </w:r>
            <w:r w:rsidRPr="00EF7F33">
              <w:rPr>
                <w:rStyle w:val="InstructionsTabelleberschrift"/>
                <w:rFonts w:ascii="Times New Roman" w:hAnsi="Times New Roman"/>
                <w:sz w:val="24"/>
              </w:rPr>
              <w:t>Izravna ulaganja u redovni osnovni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nema značajno ulaganje</w:t>
            </w:r>
          </w:p>
          <w:p w:rsidR="005643EA" w:rsidRPr="00EF7F33" w:rsidRDefault="002648B0" w:rsidP="00FD239F">
            <w:pPr>
              <w:pStyle w:val="InstructionsText"/>
            </w:pPr>
            <w:r w:rsidRPr="00EF7F33">
              <w:t>Članci 44., 45., 46. i 49. CRR-a</w:t>
            </w:r>
          </w:p>
        </w:tc>
      </w:tr>
      <w:tr w:rsidR="002648B0" w:rsidRPr="00EF7F33" w:rsidTr="00672D2A">
        <w:tc>
          <w:tcPr>
            <w:tcW w:w="1506" w:type="dxa"/>
          </w:tcPr>
          <w:p w:rsidR="002648B0" w:rsidRPr="00EF7F33" w:rsidRDefault="002648B0" w:rsidP="00FD239F">
            <w:pPr>
              <w:pStyle w:val="InstructionsText"/>
            </w:pPr>
            <w:r w:rsidRPr="00EF7F33">
              <w:t>250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12.1.1</w:t>
            </w:r>
            <w:r w:rsidRPr="00EF7F33">
              <w:tab/>
            </w:r>
            <w:r w:rsidRPr="00EF7F33">
              <w:rPr>
                <w:rStyle w:val="InstructionsTabelleberschrift"/>
                <w:rFonts w:ascii="Times New Roman" w:hAnsi="Times New Roman"/>
                <w:sz w:val="24"/>
              </w:rPr>
              <w:t>Bruto izravna ulaganja u redovni osnovni kapital subjekata financijskog sektora ako institucija nema značajno ulaganje</w:t>
            </w:r>
          </w:p>
          <w:p w:rsidR="005643EA" w:rsidRPr="00EF7F33" w:rsidRDefault="002648B0" w:rsidP="00FD239F">
            <w:pPr>
              <w:pStyle w:val="InstructionsText"/>
            </w:pPr>
            <w:r w:rsidRPr="00EF7F33">
              <w:t>Članci 44., 46. i 49. CRR-a</w:t>
            </w:r>
          </w:p>
          <w:p w:rsidR="005643EA" w:rsidRPr="00EF7F33" w:rsidRDefault="002648B0" w:rsidP="00FD239F">
            <w:pPr>
              <w:pStyle w:val="InstructionsText"/>
            </w:pPr>
            <w:r w:rsidRPr="00EF7F33">
              <w:t>Izravna ulaganja u redovni osnovni kapital subjekata financijskog sekt</w:t>
            </w:r>
            <w:r w:rsidRPr="00EF7F33">
              <w:t>o</w:t>
            </w:r>
            <w:r w:rsidRPr="00EF7F33">
              <w:t>ra ako institucija nema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w:t>
            </w:r>
          </w:p>
          <w:p w:rsidR="005643EA" w:rsidRPr="00EF7F33" w:rsidRDefault="002648B0" w:rsidP="00FD239F">
            <w:pPr>
              <w:pStyle w:val="InstructionsText"/>
            </w:pPr>
            <w:r w:rsidRPr="00EF7F33">
              <w:t>b)</w:t>
            </w:r>
            <w:r w:rsidRPr="00EF7F33">
              <w:tab/>
              <w:t xml:space="preserve">iznose koji se odnose na ulaganja za koja se primjenjuje bilo koja mogućnost iz članka 49.; i </w:t>
            </w:r>
          </w:p>
          <w:p w:rsidR="005643EA" w:rsidRPr="00EF7F33" w:rsidRDefault="002648B0" w:rsidP="00FD239F">
            <w:pPr>
              <w:pStyle w:val="InstructionsText"/>
            </w:pPr>
            <w:r w:rsidRPr="00EF7F33">
              <w:t>c)</w:t>
            </w:r>
            <w:r w:rsidRPr="00EF7F33">
              <w:tab/>
              <w:t>ulaganja koja se tretiraju kao recipročna međusobna ulaganja u skladu s člankom 36. stavkom 1. točkom (g) CRR-a.</w:t>
            </w:r>
          </w:p>
        </w:tc>
      </w:tr>
      <w:tr w:rsidR="002648B0" w:rsidRPr="00EF7F33" w:rsidTr="00672D2A">
        <w:tc>
          <w:tcPr>
            <w:tcW w:w="1506" w:type="dxa"/>
          </w:tcPr>
          <w:p w:rsidR="002648B0" w:rsidRPr="00EF7F33" w:rsidRDefault="002648B0" w:rsidP="00FD239F">
            <w:pPr>
              <w:pStyle w:val="InstructionsText"/>
            </w:pPr>
            <w:r w:rsidRPr="00EF7F33">
              <w:t>260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t>Članak 45. CRR-a</w:t>
            </w:r>
          </w:p>
          <w:p w:rsidR="005643EA" w:rsidRPr="00EF7F33" w:rsidRDefault="002648B0" w:rsidP="00FD239F">
            <w:pPr>
              <w:pStyle w:val="InstructionsText"/>
            </w:pPr>
            <w:r w:rsidRPr="00EF7F33">
              <w:t>Člankom 45. CRR-a omogućuje se prijeboj kratkih pozicija u istoj odn</w:t>
            </w:r>
            <w:r w:rsidRPr="00EF7F33">
              <w:t>o</w:t>
            </w:r>
            <w:r w:rsidRPr="00EF7F33">
              <w:t>snoj izloženosti ako je dospijeće kratke pozicije usklađeno s dospijećem duge pozicije ili ima preostali rok dospijeća od najmanje godinu dana.</w:t>
            </w:r>
          </w:p>
        </w:tc>
      </w:tr>
      <w:tr w:rsidR="002648B0" w:rsidRPr="00EF7F33" w:rsidTr="00672D2A">
        <w:tc>
          <w:tcPr>
            <w:tcW w:w="1506" w:type="dxa"/>
          </w:tcPr>
          <w:p w:rsidR="002648B0" w:rsidRPr="00EF7F33" w:rsidRDefault="002648B0" w:rsidP="00FD239F">
            <w:pPr>
              <w:pStyle w:val="InstructionsText"/>
            </w:pPr>
            <w:r w:rsidRPr="00EF7F33">
              <w:t>270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12.2</w:t>
            </w:r>
            <w:r w:rsidRPr="00EF7F33">
              <w:tab/>
            </w:r>
            <w:r w:rsidRPr="00EF7F33">
              <w:rPr>
                <w:rStyle w:val="InstructionsTabelleberschrift"/>
                <w:rFonts w:ascii="Times New Roman" w:hAnsi="Times New Roman"/>
                <w:sz w:val="24"/>
              </w:rPr>
              <w:t>Neizravna ulaganja u redovni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2648B0" w:rsidP="00FD239F">
            <w:pPr>
              <w:pStyle w:val="InstructionsText"/>
            </w:pPr>
            <w:r w:rsidRPr="00EF7F33">
              <w:t>Članak 4. stavak 1. točka 114., članci 44. i 45. CRR-a</w:t>
            </w:r>
          </w:p>
        </w:tc>
      </w:tr>
      <w:tr w:rsidR="002648B0" w:rsidRPr="00EF7F33" w:rsidTr="00672D2A">
        <w:tc>
          <w:tcPr>
            <w:tcW w:w="1506" w:type="dxa"/>
          </w:tcPr>
          <w:p w:rsidR="002648B0" w:rsidRPr="00EF7F33" w:rsidRDefault="002648B0" w:rsidP="00FD239F">
            <w:pPr>
              <w:pStyle w:val="InstructionsText"/>
            </w:pPr>
            <w:r w:rsidRPr="00EF7F33">
              <w:t>280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12.2.1</w:t>
            </w:r>
            <w:r w:rsidRPr="00EF7F33">
              <w:tab/>
            </w:r>
            <w:r w:rsidRPr="00EF7F33">
              <w:rPr>
                <w:rStyle w:val="InstructionsTabelleberschrift"/>
                <w:rFonts w:ascii="Times New Roman" w:hAnsi="Times New Roman"/>
                <w:sz w:val="24"/>
              </w:rPr>
              <w:t>Bruto neizravna ulaganja u redovni osnovni kapital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nema značajno ulaganje</w:t>
            </w:r>
          </w:p>
          <w:p w:rsidR="005643EA" w:rsidRPr="00EF7F33" w:rsidRDefault="002648B0" w:rsidP="00FD239F">
            <w:pPr>
              <w:pStyle w:val="InstructionsText"/>
            </w:pPr>
            <w:r w:rsidRPr="00EF7F33">
              <w:t>Članak 4. stavak 1. točka 114., članci 44. i 45. CRR-a</w:t>
            </w:r>
          </w:p>
          <w:p w:rsidR="005643EA" w:rsidRPr="00EF7F33" w:rsidRDefault="002648B0" w:rsidP="00FD239F">
            <w:pPr>
              <w:pStyle w:val="InstructionsText"/>
            </w:pPr>
            <w:r w:rsidRPr="00EF7F33">
              <w:t>Iznos koji je potrebno iskazati neizravna su ulaganja u instrumente kap</w:t>
            </w:r>
            <w:r w:rsidRPr="00EF7F33">
              <w:t>i</w:t>
            </w:r>
            <w:r w:rsidRPr="00EF7F33">
              <w:t>tala subjekata financijskog sektora u knjizi trgovanja u obliku ulaganja u indeksne vrijednosne papire. Dobiva se izračunom odnosne izloženosti prema instrumentima kapitala subjekata financijskog sektora u indeks</w:t>
            </w:r>
            <w:r w:rsidRPr="00EF7F33">
              <w:t>i</w:t>
            </w:r>
            <w:r w:rsidRPr="00EF7F33">
              <w:t>ma.</w:t>
            </w:r>
          </w:p>
          <w:p w:rsidR="005643EA" w:rsidRPr="00EF7F33" w:rsidRDefault="002648B0" w:rsidP="00FD239F">
            <w:pPr>
              <w:pStyle w:val="InstructionsText"/>
            </w:pPr>
            <w:r w:rsidRPr="00EF7F33">
              <w:t>Ne uključuju se ulaganja koja se tretiraju kao recipročna međusobna ulaganja u skladu s člankom 36. stavkom 1. točkom (g) CRR-a.</w:t>
            </w:r>
          </w:p>
        </w:tc>
      </w:tr>
      <w:tr w:rsidR="002648B0" w:rsidRPr="00EF7F33" w:rsidTr="00672D2A">
        <w:trPr>
          <w:trHeight w:val="850"/>
        </w:trPr>
        <w:tc>
          <w:tcPr>
            <w:tcW w:w="1506" w:type="dxa"/>
          </w:tcPr>
          <w:p w:rsidR="002648B0" w:rsidRPr="00EF7F33" w:rsidRDefault="002648B0" w:rsidP="00FD239F">
            <w:pPr>
              <w:pStyle w:val="InstructionsText"/>
            </w:pPr>
            <w:r w:rsidRPr="00EF7F33">
              <w:t>290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12.2.2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45. CRR-a</w:t>
            </w:r>
          </w:p>
          <w:p w:rsidR="005643EA" w:rsidRPr="00EF7F33" w:rsidRDefault="002648B0" w:rsidP="00FD239F">
            <w:pPr>
              <w:pStyle w:val="InstructionsText"/>
            </w:pPr>
            <w:r w:rsidRPr="00EF7F33">
              <w:t>Člankom 45.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lastRenderedPageBreak/>
              <w:t>291</w:t>
            </w:r>
          </w:p>
        </w:tc>
        <w:tc>
          <w:tcPr>
            <w:tcW w:w="7243" w:type="dxa"/>
            <w:vAlign w:val="center"/>
          </w:tcPr>
          <w:p w:rsidR="005643EA" w:rsidRPr="00EF7F33" w:rsidRDefault="002648B0"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sz w:val="24"/>
              </w:rPr>
              <w:t>12.3.1</w:t>
            </w:r>
            <w:r w:rsidRPr="00EF7F33">
              <w:tab/>
            </w:r>
            <w:r w:rsidRPr="00EF7F33">
              <w:rPr>
                <w:rStyle w:val="InstructionsTabelleberschrift"/>
                <w:rFonts w:ascii="Times New Roman" w:hAnsi="Times New Roman"/>
                <w:sz w:val="24"/>
              </w:rPr>
              <w:t>Sintetska ulaganja u redovni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2648B0"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 stavak 1. točka 126., članci 44. i 45. CRR-a</w:t>
            </w:r>
          </w:p>
        </w:tc>
      </w:tr>
      <w:tr w:rsidR="002648B0" w:rsidRPr="00EF7F33" w:rsidTr="00672D2A">
        <w:tc>
          <w:tcPr>
            <w:tcW w:w="1506" w:type="dxa"/>
          </w:tcPr>
          <w:p w:rsidR="005643EA" w:rsidRPr="00EF7F33" w:rsidRDefault="002648B0" w:rsidP="00FD239F">
            <w:pPr>
              <w:pStyle w:val="InstructionsText"/>
            </w:pPr>
            <w:r w:rsidRPr="00EF7F33">
              <w:t>292</w:t>
            </w:r>
          </w:p>
        </w:tc>
        <w:tc>
          <w:tcPr>
            <w:tcW w:w="7243" w:type="dxa"/>
            <w:vAlign w:val="center"/>
          </w:tcPr>
          <w:p w:rsidR="005643EA" w:rsidRPr="00EF7F33" w:rsidRDefault="002648B0"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sz w:val="24"/>
              </w:rPr>
              <w:t>12.3.2</w:t>
            </w:r>
            <w:r w:rsidRPr="00EF7F33">
              <w:tab/>
            </w:r>
            <w:r w:rsidRPr="00EF7F33">
              <w:rPr>
                <w:rStyle w:val="InstructionsTabelleberschrift"/>
                <w:rFonts w:ascii="Times New Roman" w:hAnsi="Times New Roman"/>
                <w:sz w:val="24"/>
              </w:rPr>
              <w:t>Bruto sintetska ulaganja u redovni osnovni kapital subjekata financijskog sektora ako institucija nema značajno ulaganje</w:t>
            </w:r>
          </w:p>
          <w:p w:rsidR="005643EA" w:rsidRPr="00EF7F33" w:rsidRDefault="0080525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 stavak 1. točka 126., članci 44. i 45. CRR-a</w:t>
            </w:r>
          </w:p>
        </w:tc>
      </w:tr>
      <w:tr w:rsidR="002648B0" w:rsidRPr="00EF7F33" w:rsidTr="00672D2A">
        <w:tc>
          <w:tcPr>
            <w:tcW w:w="1506" w:type="dxa"/>
          </w:tcPr>
          <w:p w:rsidR="005643EA" w:rsidRPr="00EF7F33" w:rsidRDefault="002648B0" w:rsidP="00FD239F">
            <w:pPr>
              <w:pStyle w:val="InstructionsText"/>
            </w:pPr>
            <w:r w:rsidRPr="00EF7F33">
              <w:t>293</w:t>
            </w:r>
          </w:p>
        </w:tc>
        <w:tc>
          <w:tcPr>
            <w:tcW w:w="7243" w:type="dxa"/>
            <w:vAlign w:val="center"/>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12.3.3</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80525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 stavak 1. točka 126. i članak 45. CRR-a</w:t>
            </w:r>
          </w:p>
        </w:tc>
      </w:tr>
      <w:tr w:rsidR="002648B0" w:rsidRPr="00EF7F33" w:rsidTr="00672D2A">
        <w:tc>
          <w:tcPr>
            <w:tcW w:w="1506" w:type="dxa"/>
          </w:tcPr>
          <w:p w:rsidR="002648B0" w:rsidRPr="00EF7F33" w:rsidRDefault="002648B0" w:rsidP="00FD239F">
            <w:pPr>
              <w:pStyle w:val="InstructionsText"/>
            </w:pPr>
            <w:r w:rsidRPr="00EF7F33">
              <w:t>300</w:t>
            </w:r>
          </w:p>
        </w:tc>
        <w:tc>
          <w:tcPr>
            <w:tcW w:w="7243"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Ulaganja u dodatni osnovni kapital subjekata financijskog sektora ako institucija nema značajno ulaganje, ne uključujući kratke pozicije</w:t>
            </w:r>
          </w:p>
          <w:p w:rsidR="005643EA" w:rsidRPr="00EF7F33" w:rsidRDefault="002648B0" w:rsidP="00FD239F">
            <w:pPr>
              <w:pStyle w:val="InstructionsText"/>
            </w:pPr>
            <w:r w:rsidRPr="00EF7F33">
              <w:t>Članci od 58. do 60. CRR-a</w:t>
            </w:r>
          </w:p>
        </w:tc>
      </w:tr>
      <w:tr w:rsidR="002648B0" w:rsidRPr="00EF7F33" w:rsidTr="00672D2A">
        <w:tc>
          <w:tcPr>
            <w:tcW w:w="1506" w:type="dxa"/>
          </w:tcPr>
          <w:p w:rsidR="002648B0" w:rsidRPr="00EF7F33" w:rsidRDefault="002648B0" w:rsidP="00FD239F">
            <w:pPr>
              <w:pStyle w:val="InstructionsText"/>
            </w:pPr>
            <w:r w:rsidRPr="00EF7F33">
              <w:t>310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13.1</w:t>
            </w:r>
            <w:r w:rsidRPr="00EF7F33">
              <w:tab/>
            </w:r>
            <w:r w:rsidRPr="00EF7F33">
              <w:rPr>
                <w:rStyle w:val="InstructionsTabelleberschrift"/>
                <w:rFonts w:ascii="Times New Roman" w:hAnsi="Times New Roman"/>
                <w:sz w:val="24"/>
              </w:rPr>
              <w:t>Izravna ulaganja u dodatni osnovni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nema značajno ulaganje</w:t>
            </w:r>
          </w:p>
          <w:p w:rsidR="005643EA" w:rsidRPr="00EF7F33" w:rsidRDefault="002648B0" w:rsidP="00FD239F">
            <w:pPr>
              <w:pStyle w:val="InstructionsText"/>
            </w:pPr>
            <w:r w:rsidRPr="00EF7F33">
              <w:t>Članci 58. i 59. i članak 60. stavak 2. CRR-a</w:t>
            </w:r>
          </w:p>
        </w:tc>
      </w:tr>
      <w:tr w:rsidR="002648B0" w:rsidRPr="00EF7F33" w:rsidTr="00672D2A">
        <w:tc>
          <w:tcPr>
            <w:tcW w:w="1506" w:type="dxa"/>
          </w:tcPr>
          <w:p w:rsidR="002648B0" w:rsidRPr="00EF7F33" w:rsidRDefault="002648B0" w:rsidP="00FD239F">
            <w:pPr>
              <w:pStyle w:val="InstructionsText"/>
            </w:pPr>
            <w:r w:rsidRPr="00EF7F33">
              <w:t>320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13.1.1</w:t>
            </w:r>
            <w:r w:rsidRPr="00EF7F33">
              <w:tab/>
            </w:r>
            <w:r w:rsidRPr="00EF7F33">
              <w:rPr>
                <w:rStyle w:val="InstructionsTabelleberschrift"/>
                <w:rFonts w:ascii="Times New Roman" w:hAnsi="Times New Roman"/>
                <w:sz w:val="24"/>
              </w:rPr>
              <w:t>Bruto izravna ulaganja u dodatni osnovni kapital subjekata financijskog sektora ako institucija nema značajno ulaganje</w:t>
            </w:r>
          </w:p>
          <w:p w:rsidR="005643EA" w:rsidRPr="00EF7F33" w:rsidRDefault="002648B0" w:rsidP="00FD239F">
            <w:pPr>
              <w:pStyle w:val="InstructionsText"/>
            </w:pPr>
            <w:r w:rsidRPr="00EF7F33">
              <w:t>Članak 58. i članak 60. stavak 2. CRR-a</w:t>
            </w:r>
          </w:p>
          <w:p w:rsidR="005643EA" w:rsidRPr="00EF7F33" w:rsidRDefault="002648B0" w:rsidP="00FD239F">
            <w:pPr>
              <w:pStyle w:val="InstructionsText"/>
            </w:pPr>
            <w:r w:rsidRPr="00EF7F33">
              <w:t>Izravna ulaganja u dodatni osnovni kapital subjekata financijskog sekt</w:t>
            </w:r>
            <w:r w:rsidRPr="00EF7F33">
              <w:t>o</w:t>
            </w:r>
            <w:r w:rsidRPr="00EF7F33">
              <w:t>ra ako institucija nema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i </w:t>
            </w:r>
          </w:p>
          <w:p w:rsidR="005643EA" w:rsidRPr="00EF7F33" w:rsidRDefault="002648B0" w:rsidP="00FD239F">
            <w:pPr>
              <w:pStyle w:val="InstructionsText"/>
            </w:pPr>
            <w:r w:rsidRPr="00EF7F33">
              <w:t>b)</w:t>
            </w:r>
            <w:r w:rsidRPr="00EF7F33">
              <w:tab/>
              <w:t>ulaganja koja se tretiraju kao recipročna međusobna ulaganja u skladu s člankom 56. točkom (b) CRR-a.</w:t>
            </w:r>
          </w:p>
        </w:tc>
      </w:tr>
      <w:tr w:rsidR="002648B0" w:rsidRPr="00EF7F33" w:rsidTr="00672D2A">
        <w:tc>
          <w:tcPr>
            <w:tcW w:w="1506" w:type="dxa"/>
          </w:tcPr>
          <w:p w:rsidR="002648B0" w:rsidRPr="00EF7F33" w:rsidRDefault="002648B0" w:rsidP="00FD239F">
            <w:pPr>
              <w:pStyle w:val="InstructionsText"/>
            </w:pPr>
            <w:r w:rsidRPr="00EF7F33">
              <w:t>330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t>Članak 59. CRR-a</w:t>
            </w:r>
          </w:p>
          <w:p w:rsidR="005643EA" w:rsidRPr="00EF7F33" w:rsidRDefault="002648B0" w:rsidP="00FD239F">
            <w:pPr>
              <w:pStyle w:val="InstructionsText"/>
            </w:pPr>
            <w:r w:rsidRPr="00EF7F33">
              <w:t>Člankom 59.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t>340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13.2</w:t>
            </w:r>
            <w:r w:rsidRPr="00EF7F33">
              <w:tab/>
            </w:r>
            <w:r w:rsidRPr="00EF7F33">
              <w:rPr>
                <w:rStyle w:val="InstructionsTabelleberschrift"/>
                <w:rFonts w:ascii="Times New Roman" w:hAnsi="Times New Roman"/>
                <w:sz w:val="24"/>
              </w:rPr>
              <w:t>Neizravna ulaganja u dodatni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2648B0" w:rsidP="00FD239F">
            <w:pPr>
              <w:pStyle w:val="InstructionsText"/>
            </w:pPr>
            <w:r w:rsidRPr="00EF7F33">
              <w:t>Članak 4. stavak 1. točka 114., članci 58. i 59. CRR-a</w:t>
            </w:r>
          </w:p>
        </w:tc>
      </w:tr>
      <w:tr w:rsidR="002648B0" w:rsidRPr="00EF7F33" w:rsidTr="00672D2A">
        <w:tc>
          <w:tcPr>
            <w:tcW w:w="1506" w:type="dxa"/>
          </w:tcPr>
          <w:p w:rsidR="002648B0" w:rsidRPr="00EF7F33" w:rsidRDefault="002648B0" w:rsidP="00FD239F">
            <w:pPr>
              <w:pStyle w:val="InstructionsText"/>
            </w:pPr>
            <w:r w:rsidRPr="00EF7F33">
              <w:t>350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13.2.1</w:t>
            </w:r>
            <w:r w:rsidRPr="00EF7F33">
              <w:tab/>
            </w:r>
            <w:r w:rsidRPr="00EF7F33">
              <w:rPr>
                <w:rStyle w:val="InstructionsTabelleberschrift"/>
                <w:rFonts w:ascii="Times New Roman" w:hAnsi="Times New Roman"/>
                <w:sz w:val="24"/>
              </w:rPr>
              <w:t>Bruto neizravna ulaganja u dodatni osnovni kapital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nema značajno ulaganje</w:t>
            </w:r>
          </w:p>
          <w:p w:rsidR="005643EA" w:rsidRPr="00EF7F33" w:rsidRDefault="002648B0" w:rsidP="00FD239F">
            <w:pPr>
              <w:pStyle w:val="InstructionsText"/>
            </w:pPr>
            <w:r w:rsidRPr="00EF7F33">
              <w:t>Članak 4. stavak 1. točka 114., članci 58. i 59. CRR-a</w:t>
            </w:r>
          </w:p>
          <w:p w:rsidR="005643EA" w:rsidRPr="00EF7F33" w:rsidRDefault="002648B0" w:rsidP="00FD239F">
            <w:pPr>
              <w:pStyle w:val="InstructionsText"/>
            </w:pPr>
            <w:r w:rsidRPr="00EF7F33">
              <w:t>Iznos koji je potrebno iskazati neizravna su ulaganja u instrumente kap</w:t>
            </w:r>
            <w:r w:rsidRPr="00EF7F33">
              <w:t>i</w:t>
            </w:r>
            <w:r w:rsidRPr="00EF7F33">
              <w:lastRenderedPageBreak/>
              <w:t>tala subjekata financijskog sektora u knjizi trgovanja u obliku ulaganja u indeksne vrijednosne papire. Dobiva se izračunom odnosne izloženosti prema instrumentima kapitala subjekata financijskog sektora u indeks</w:t>
            </w:r>
            <w:r w:rsidRPr="00EF7F33">
              <w:t>i</w:t>
            </w:r>
            <w:r w:rsidRPr="00EF7F33">
              <w:t>ma.</w:t>
            </w:r>
          </w:p>
          <w:p w:rsidR="005643EA" w:rsidRPr="00EF7F33" w:rsidRDefault="002648B0" w:rsidP="00FD239F">
            <w:pPr>
              <w:pStyle w:val="InstructionsText"/>
            </w:pPr>
            <w:r w:rsidRPr="00EF7F33">
              <w:t>Ne uključuju se ulaganja koja se tretiraju kao recipročna međusobna ulaganja u skladu s člankom 56. točkom (b) CRR-a.</w:t>
            </w:r>
          </w:p>
        </w:tc>
      </w:tr>
      <w:tr w:rsidR="002648B0" w:rsidRPr="00EF7F33" w:rsidTr="00672D2A">
        <w:tc>
          <w:tcPr>
            <w:tcW w:w="1506" w:type="dxa"/>
          </w:tcPr>
          <w:p w:rsidR="002648B0" w:rsidRPr="00EF7F33" w:rsidRDefault="002648B0" w:rsidP="00FD239F">
            <w:pPr>
              <w:pStyle w:val="InstructionsText"/>
            </w:pPr>
            <w:r w:rsidRPr="00EF7F33">
              <w:lastRenderedPageBreak/>
              <w:t>360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13.2.2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59. CRR-a</w:t>
            </w:r>
          </w:p>
          <w:p w:rsidR="005643EA" w:rsidRPr="00EF7F33" w:rsidRDefault="002648B0" w:rsidP="00FD239F">
            <w:pPr>
              <w:pStyle w:val="InstructionsText"/>
            </w:pPr>
            <w:r w:rsidRPr="00EF7F33">
              <w:t>Člankom 59.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t>361</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13.3</w:t>
            </w:r>
            <w:r w:rsidRPr="00EF7F33">
              <w:tab/>
            </w:r>
            <w:r w:rsidRPr="00EF7F33">
              <w:rPr>
                <w:rStyle w:val="InstructionsTabelleberschrift"/>
                <w:rFonts w:ascii="Times New Roman" w:hAnsi="Times New Roman"/>
                <w:sz w:val="24"/>
              </w:rPr>
              <w:t>Sintetska ulaganja u dodatni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t>Članak 4. stavak 1. točka 126., članci 58. i 59. CRR-a</w:t>
            </w:r>
          </w:p>
        </w:tc>
      </w:tr>
      <w:tr w:rsidR="002648B0" w:rsidRPr="00EF7F33" w:rsidTr="00672D2A">
        <w:tc>
          <w:tcPr>
            <w:tcW w:w="1506" w:type="dxa"/>
          </w:tcPr>
          <w:p w:rsidR="002648B0" w:rsidRPr="00EF7F33" w:rsidRDefault="002648B0" w:rsidP="00FD239F">
            <w:pPr>
              <w:pStyle w:val="InstructionsText"/>
            </w:pPr>
            <w:r w:rsidRPr="00EF7F33">
              <w:t>362</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13.3.1</w:t>
            </w:r>
            <w:r w:rsidRPr="00EF7F33">
              <w:tab/>
            </w:r>
            <w:r w:rsidRPr="00EF7F33">
              <w:rPr>
                <w:rStyle w:val="InstructionsTabelleberschrift"/>
                <w:rFonts w:ascii="Times New Roman" w:hAnsi="Times New Roman"/>
                <w:sz w:val="24"/>
              </w:rPr>
              <w:t>Bruto sintetska ulaganja u dodatni osnovni kapital subjekata financijskog sektora ako institucija nema značajno ulaganje</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t>Članak 4. stavak 1. točka 126., članci 58. i 59. CRR-a</w:t>
            </w:r>
          </w:p>
        </w:tc>
      </w:tr>
      <w:tr w:rsidR="002648B0" w:rsidRPr="00EF7F33" w:rsidTr="00672D2A">
        <w:tc>
          <w:tcPr>
            <w:tcW w:w="1506" w:type="dxa"/>
          </w:tcPr>
          <w:p w:rsidR="002648B0" w:rsidRPr="00EF7F33" w:rsidRDefault="002648B0" w:rsidP="00FD239F">
            <w:pPr>
              <w:pStyle w:val="InstructionsText"/>
            </w:pPr>
            <w:r w:rsidRPr="00EF7F33">
              <w:t>363</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13.3.2</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t>Članak 4. stavak 1. točka 126. i članak 59. CRR-a</w:t>
            </w:r>
          </w:p>
        </w:tc>
      </w:tr>
      <w:tr w:rsidR="002648B0" w:rsidRPr="00EF7F33" w:rsidTr="00672D2A">
        <w:tc>
          <w:tcPr>
            <w:tcW w:w="1506" w:type="dxa"/>
          </w:tcPr>
          <w:p w:rsidR="002648B0" w:rsidRPr="00EF7F33" w:rsidRDefault="002648B0" w:rsidP="00FD239F">
            <w:pPr>
              <w:pStyle w:val="InstructionsText"/>
            </w:pPr>
            <w:r w:rsidRPr="00EF7F33">
              <w:t>370</w:t>
            </w:r>
          </w:p>
        </w:tc>
        <w:tc>
          <w:tcPr>
            <w:tcW w:w="7243" w:type="dxa"/>
          </w:tcPr>
          <w:p w:rsidR="005643EA" w:rsidRPr="00EF7F33" w:rsidRDefault="00C66473" w:rsidP="00FD239F">
            <w:pPr>
              <w:pStyle w:val="InstructionsText"/>
            </w:pPr>
            <w:r w:rsidRPr="00EF7F33">
              <w:rPr>
                <w:rStyle w:val="InstructionsTabelleberschrift"/>
                <w:rFonts w:ascii="Times New Roman" w:hAnsi="Times New Roman"/>
                <w:sz w:val="24"/>
              </w:rPr>
              <w:t>14.</w:t>
            </w:r>
            <w:r w:rsidRPr="00EF7F33">
              <w:tab/>
            </w:r>
            <w:r w:rsidRPr="00EF7F33">
              <w:rPr>
                <w:rStyle w:val="InstructionsTabelleberschrift"/>
                <w:rFonts w:ascii="Times New Roman" w:hAnsi="Times New Roman"/>
                <w:sz w:val="24"/>
              </w:rPr>
              <w:t>Ulaganja u dopunski kapital subjekata financijskog sektora ako institucija nema značajno ulaganje, ne uključujući kratke poz</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cije</w:t>
            </w:r>
          </w:p>
          <w:p w:rsidR="005643EA" w:rsidRPr="00EF7F33" w:rsidRDefault="002648B0" w:rsidP="00FD239F">
            <w:pPr>
              <w:pStyle w:val="InstructionsText"/>
            </w:pPr>
            <w:r w:rsidRPr="00EF7F33">
              <w:t>Članci od 68. do 70. CRR-a</w:t>
            </w:r>
          </w:p>
        </w:tc>
      </w:tr>
      <w:tr w:rsidR="002648B0" w:rsidRPr="00EF7F33" w:rsidTr="00672D2A">
        <w:tc>
          <w:tcPr>
            <w:tcW w:w="1506" w:type="dxa"/>
          </w:tcPr>
          <w:p w:rsidR="002648B0" w:rsidRPr="00EF7F33" w:rsidRDefault="002648B0" w:rsidP="00FD239F">
            <w:pPr>
              <w:pStyle w:val="InstructionsText"/>
            </w:pPr>
            <w:r w:rsidRPr="00EF7F33">
              <w:t>380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14.1</w:t>
            </w:r>
            <w:r w:rsidRPr="00EF7F33">
              <w:tab/>
            </w:r>
            <w:r w:rsidRPr="00EF7F33">
              <w:rPr>
                <w:rStyle w:val="InstructionsTabelleberschrift"/>
                <w:rFonts w:ascii="Times New Roman" w:hAnsi="Times New Roman"/>
                <w:sz w:val="24"/>
              </w:rPr>
              <w:t>Izravna ulaganja u dopunski kapital subjekata financijskog sektora ako institucija nema značajno ulaganje</w:t>
            </w:r>
          </w:p>
          <w:p w:rsidR="005643EA" w:rsidRPr="00EF7F33" w:rsidRDefault="002648B0" w:rsidP="00FD239F">
            <w:pPr>
              <w:pStyle w:val="InstructionsText"/>
            </w:pPr>
            <w:r w:rsidRPr="00EF7F33">
              <w:t>Članci 68. i 69. i članak 70. stavak 2. CRR-a</w:t>
            </w:r>
          </w:p>
        </w:tc>
      </w:tr>
      <w:tr w:rsidR="002648B0" w:rsidRPr="00EF7F33" w:rsidTr="00672D2A">
        <w:tc>
          <w:tcPr>
            <w:tcW w:w="1506" w:type="dxa"/>
          </w:tcPr>
          <w:p w:rsidR="002648B0" w:rsidRPr="00EF7F33" w:rsidRDefault="002648B0" w:rsidP="00FD239F">
            <w:pPr>
              <w:pStyle w:val="InstructionsText"/>
            </w:pPr>
            <w:r w:rsidRPr="00EF7F33">
              <w:t>390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14.1.1</w:t>
            </w:r>
            <w:r w:rsidRPr="00EF7F33">
              <w:tab/>
            </w:r>
            <w:r w:rsidRPr="00EF7F33">
              <w:rPr>
                <w:rStyle w:val="InstructionsTabelleberschrift"/>
                <w:rFonts w:ascii="Times New Roman" w:hAnsi="Times New Roman"/>
                <w:sz w:val="24"/>
              </w:rPr>
              <w:t>Bruto izravna ulaganja u dopunski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nema značajno ulaganje</w:t>
            </w:r>
          </w:p>
          <w:p w:rsidR="005643EA" w:rsidRPr="00EF7F33" w:rsidRDefault="002648B0" w:rsidP="00FD239F">
            <w:pPr>
              <w:pStyle w:val="InstructionsText"/>
            </w:pPr>
            <w:r w:rsidRPr="00EF7F33">
              <w:t>Članak 68. i članak 70. stavak 2. CRR-a</w:t>
            </w:r>
          </w:p>
          <w:p w:rsidR="005643EA" w:rsidRPr="00EF7F33" w:rsidRDefault="002648B0" w:rsidP="00FD239F">
            <w:pPr>
              <w:pStyle w:val="InstructionsText"/>
            </w:pPr>
            <w:r w:rsidRPr="00EF7F33">
              <w:t>Izravna ulaganja u dopunski kapital subjekata financijskog sektora ako institucija nema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i </w:t>
            </w:r>
          </w:p>
          <w:p w:rsidR="005643EA" w:rsidRPr="00EF7F33" w:rsidRDefault="002648B0" w:rsidP="00FD239F">
            <w:pPr>
              <w:pStyle w:val="InstructionsText"/>
            </w:pPr>
            <w:r w:rsidRPr="00EF7F33">
              <w:t>b)</w:t>
            </w:r>
            <w:r w:rsidRPr="00EF7F33">
              <w:tab/>
              <w:t>ulaganja koja se tretiraju kao recipročna međusobna ulaganja u skladu s člankom 66. točkom (b) CRR-a.</w:t>
            </w:r>
          </w:p>
        </w:tc>
      </w:tr>
      <w:tr w:rsidR="002648B0" w:rsidRPr="00EF7F33" w:rsidTr="00672D2A">
        <w:tc>
          <w:tcPr>
            <w:tcW w:w="1506" w:type="dxa"/>
          </w:tcPr>
          <w:p w:rsidR="002648B0" w:rsidRPr="00EF7F33" w:rsidRDefault="002648B0" w:rsidP="00FD239F">
            <w:pPr>
              <w:pStyle w:val="InstructionsText"/>
            </w:pPr>
            <w:r w:rsidRPr="00EF7F33">
              <w:t>400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lastRenderedPageBreak/>
              <w:t>Članak 69. CRR-a</w:t>
            </w:r>
          </w:p>
          <w:p w:rsidR="005643EA" w:rsidRPr="00EF7F33" w:rsidRDefault="002648B0" w:rsidP="00FD239F">
            <w:pPr>
              <w:pStyle w:val="InstructionsText"/>
            </w:pPr>
            <w:r w:rsidRPr="00EF7F33">
              <w:t>Člankom 69.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lastRenderedPageBreak/>
              <w:t>410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14.2</w:t>
            </w:r>
            <w:r w:rsidRPr="00EF7F33">
              <w:tab/>
            </w:r>
            <w:r w:rsidRPr="00EF7F33">
              <w:rPr>
                <w:rStyle w:val="InstructionsTabelleberschrift"/>
                <w:rFonts w:ascii="Times New Roman" w:hAnsi="Times New Roman"/>
                <w:sz w:val="24"/>
              </w:rPr>
              <w:t>Neizravna ulaganja u dopunski kapital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nema značajno ulaganje</w:t>
            </w:r>
          </w:p>
          <w:p w:rsidR="005643EA" w:rsidRPr="00EF7F33" w:rsidRDefault="002648B0" w:rsidP="00FD239F">
            <w:pPr>
              <w:pStyle w:val="InstructionsText"/>
            </w:pPr>
            <w:r w:rsidRPr="00EF7F33">
              <w:t>Članak 4. stavak 1. točka 114., članci 68. i 69. CRR-a</w:t>
            </w:r>
          </w:p>
        </w:tc>
      </w:tr>
      <w:tr w:rsidR="002648B0" w:rsidRPr="00EF7F33" w:rsidTr="00672D2A">
        <w:tc>
          <w:tcPr>
            <w:tcW w:w="1506" w:type="dxa"/>
          </w:tcPr>
          <w:p w:rsidR="002648B0" w:rsidRPr="00EF7F33" w:rsidRDefault="002648B0" w:rsidP="00FD239F">
            <w:pPr>
              <w:pStyle w:val="InstructionsText"/>
            </w:pPr>
            <w:r w:rsidRPr="00EF7F33">
              <w:t>420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14.2.1</w:t>
            </w:r>
            <w:r w:rsidRPr="00EF7F33">
              <w:tab/>
            </w:r>
            <w:r w:rsidRPr="00EF7F33">
              <w:rPr>
                <w:rStyle w:val="InstructionsTabelleberschrift"/>
                <w:rFonts w:ascii="Times New Roman" w:hAnsi="Times New Roman"/>
                <w:sz w:val="24"/>
              </w:rPr>
              <w:t>Bruto neizravna ulaganja u dopunski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5643EA" w:rsidRPr="00EF7F33" w:rsidRDefault="002648B0" w:rsidP="00FD239F">
            <w:pPr>
              <w:pStyle w:val="InstructionsText"/>
            </w:pPr>
            <w:r w:rsidRPr="00EF7F33">
              <w:t>Članak 4. stavak 1. točka 114., članci 68. i 69. CRR-a</w:t>
            </w:r>
          </w:p>
          <w:p w:rsidR="005643EA" w:rsidRPr="00EF7F33" w:rsidRDefault="002648B0" w:rsidP="00FD239F">
            <w:pPr>
              <w:pStyle w:val="InstructionsText"/>
            </w:pPr>
            <w:r w:rsidRPr="00EF7F33">
              <w:t>Iznos koji je potrebno iskazati neizravna su ulaganja u instrumente kap</w:t>
            </w:r>
            <w:r w:rsidRPr="00EF7F33">
              <w:t>i</w:t>
            </w:r>
            <w:r w:rsidRPr="00EF7F33">
              <w:t>tala subjekata financijskog sektora u knjizi trgovanja u obliku ulaganja u indeksne vrijednosne papire. Dobiva se izračunom odnosne izloženosti prema instrumentima kapitala subjekata financijskog sektora u indeks</w:t>
            </w:r>
            <w:r w:rsidRPr="00EF7F33">
              <w:t>i</w:t>
            </w:r>
            <w:r w:rsidRPr="00EF7F33">
              <w:t>ma.</w:t>
            </w:r>
          </w:p>
          <w:p w:rsidR="005643EA" w:rsidRPr="00EF7F33" w:rsidRDefault="002648B0" w:rsidP="00FD239F">
            <w:pPr>
              <w:pStyle w:val="InstructionsText"/>
            </w:pPr>
            <w:r w:rsidRPr="00EF7F33">
              <w:t>Ne uključuju se ulaganja koja se tretiraju kao recipročna međusobna ulaganja u skladu s člankom 66. točkom (b) CRR-a.</w:t>
            </w:r>
          </w:p>
        </w:tc>
      </w:tr>
      <w:tr w:rsidR="002648B0" w:rsidRPr="00EF7F33" w:rsidTr="00672D2A">
        <w:tc>
          <w:tcPr>
            <w:tcW w:w="1506" w:type="dxa"/>
          </w:tcPr>
          <w:p w:rsidR="002648B0" w:rsidRPr="00EF7F33" w:rsidRDefault="002648B0" w:rsidP="00FD239F">
            <w:pPr>
              <w:pStyle w:val="InstructionsText"/>
            </w:pPr>
            <w:r w:rsidRPr="00EF7F33">
              <w:t>430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14.2.2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69. CRR-a</w:t>
            </w:r>
          </w:p>
          <w:p w:rsidR="005643EA" w:rsidRPr="00EF7F33" w:rsidRDefault="002648B0" w:rsidP="00FD239F">
            <w:pPr>
              <w:pStyle w:val="InstructionsText"/>
            </w:pPr>
            <w:r w:rsidRPr="00EF7F33">
              <w:t>Člankom 69.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DE5A31" w:rsidRPr="00EF7F33" w:rsidTr="00672D2A">
        <w:tc>
          <w:tcPr>
            <w:tcW w:w="1506" w:type="dxa"/>
          </w:tcPr>
          <w:p w:rsidR="00DE5A31" w:rsidRPr="00EF7F33" w:rsidRDefault="00DE5A31" w:rsidP="00FD239F">
            <w:pPr>
              <w:pStyle w:val="InstructionsText"/>
            </w:pPr>
            <w:r w:rsidRPr="00EF7F33">
              <w:t>431</w:t>
            </w:r>
          </w:p>
        </w:tc>
        <w:tc>
          <w:tcPr>
            <w:tcW w:w="7243" w:type="dxa"/>
          </w:tcPr>
          <w:p w:rsidR="005643EA" w:rsidRPr="00EF7F33" w:rsidRDefault="00DE5A31" w:rsidP="00FD239F">
            <w:pPr>
              <w:pStyle w:val="InstructionsText"/>
            </w:pPr>
            <w:r w:rsidRPr="00EF7F33">
              <w:rPr>
                <w:rStyle w:val="InstructionsTabelleberschrift"/>
                <w:rFonts w:ascii="Times New Roman" w:hAnsi="Times New Roman"/>
                <w:sz w:val="24"/>
              </w:rPr>
              <w:t>14.3</w:t>
            </w:r>
            <w:r w:rsidRPr="00EF7F33">
              <w:tab/>
            </w:r>
            <w:r w:rsidRPr="00EF7F33">
              <w:rPr>
                <w:rStyle w:val="InstructionsTabelleberschrift"/>
                <w:rFonts w:ascii="Times New Roman" w:hAnsi="Times New Roman"/>
                <w:sz w:val="24"/>
              </w:rPr>
              <w:t>Sintetska ulaganja u dopunski kapital subjekata financijskog sektora ako institucija nema značajno ulaganje</w:t>
            </w:r>
          </w:p>
          <w:p w:rsidR="005643EA" w:rsidRPr="00EF7F33" w:rsidRDefault="00805255" w:rsidP="00FD239F">
            <w:pPr>
              <w:pStyle w:val="InstructionsText"/>
              <w:rPr>
                <w:rStyle w:val="InstructionsTabelleberschrift"/>
                <w:rFonts w:ascii="Times New Roman" w:hAnsi="Times New Roman"/>
                <w:sz w:val="24"/>
              </w:rPr>
            </w:pPr>
            <w:r w:rsidRPr="00EF7F33">
              <w:t>Članak 4. stavak 1. točka 126., članci 68. i 69. CRR-a</w:t>
            </w:r>
          </w:p>
        </w:tc>
      </w:tr>
      <w:tr w:rsidR="00DE5A31" w:rsidRPr="00EF7F33" w:rsidTr="00672D2A">
        <w:tc>
          <w:tcPr>
            <w:tcW w:w="1506" w:type="dxa"/>
          </w:tcPr>
          <w:p w:rsidR="00DE5A31" w:rsidRPr="00EF7F33" w:rsidRDefault="00DE5A31" w:rsidP="00FD239F">
            <w:pPr>
              <w:pStyle w:val="InstructionsText"/>
            </w:pPr>
            <w:r w:rsidRPr="00EF7F33">
              <w:t>432</w:t>
            </w:r>
          </w:p>
        </w:tc>
        <w:tc>
          <w:tcPr>
            <w:tcW w:w="7243" w:type="dxa"/>
          </w:tcPr>
          <w:p w:rsidR="005643EA" w:rsidRPr="00EF7F33" w:rsidRDefault="00DE5A31" w:rsidP="00FD239F">
            <w:pPr>
              <w:pStyle w:val="InstructionsText"/>
            </w:pPr>
            <w:r w:rsidRPr="00EF7F33">
              <w:rPr>
                <w:rStyle w:val="InstructionsTabelleberschrift"/>
                <w:rFonts w:ascii="Times New Roman" w:hAnsi="Times New Roman"/>
                <w:sz w:val="24"/>
              </w:rPr>
              <w:t>14.3.1</w:t>
            </w:r>
            <w:r w:rsidRPr="00EF7F33">
              <w:tab/>
            </w:r>
            <w:r w:rsidRPr="00EF7F33">
              <w:rPr>
                <w:rStyle w:val="InstructionsTabelleberschrift"/>
                <w:rFonts w:ascii="Times New Roman" w:hAnsi="Times New Roman"/>
                <w:sz w:val="24"/>
              </w:rPr>
              <w:t>Bruto sintetska ulaganja u dopunski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nema značajno ulaganje</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članci 68. i 69. CRR-a</w:t>
            </w:r>
          </w:p>
        </w:tc>
      </w:tr>
      <w:tr w:rsidR="00DE5A31" w:rsidRPr="00EF7F33" w:rsidTr="00672D2A">
        <w:tc>
          <w:tcPr>
            <w:tcW w:w="1506" w:type="dxa"/>
          </w:tcPr>
          <w:p w:rsidR="00DE5A31" w:rsidRPr="00EF7F33" w:rsidRDefault="00DE5A31" w:rsidP="00FD239F">
            <w:pPr>
              <w:pStyle w:val="InstructionsText"/>
            </w:pPr>
            <w:r w:rsidRPr="00EF7F33">
              <w:t>433</w:t>
            </w:r>
          </w:p>
        </w:tc>
        <w:tc>
          <w:tcPr>
            <w:tcW w:w="7243" w:type="dxa"/>
          </w:tcPr>
          <w:p w:rsidR="005643EA" w:rsidRPr="00EF7F33" w:rsidRDefault="00DE5A31" w:rsidP="00FD239F">
            <w:pPr>
              <w:pStyle w:val="InstructionsText"/>
            </w:pPr>
            <w:r w:rsidRPr="00EF7F33">
              <w:rPr>
                <w:rStyle w:val="InstructionsTabelleberschrift"/>
                <w:rFonts w:ascii="Times New Roman" w:hAnsi="Times New Roman"/>
                <w:sz w:val="24"/>
              </w:rPr>
              <w:t>14.3.2</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i članak 69. CRR-a</w:t>
            </w:r>
          </w:p>
        </w:tc>
      </w:tr>
      <w:tr w:rsidR="002648B0" w:rsidRPr="00EF7F33" w:rsidTr="00672D2A">
        <w:tc>
          <w:tcPr>
            <w:tcW w:w="1506" w:type="dxa"/>
          </w:tcPr>
          <w:p w:rsidR="002648B0" w:rsidRPr="00EF7F33" w:rsidRDefault="002648B0" w:rsidP="00FD239F">
            <w:pPr>
              <w:pStyle w:val="InstructionsText"/>
            </w:pPr>
            <w:r w:rsidRPr="00EF7F33">
              <w:t>440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w:t>
            </w:r>
            <w:r w:rsidRPr="00EF7F33">
              <w:tab/>
            </w:r>
            <w:r w:rsidRPr="00EF7F33">
              <w:rPr>
                <w:rStyle w:val="InstructionsTabelleberschrift"/>
                <w:rFonts w:ascii="Times New Roman" w:hAnsi="Times New Roman"/>
                <w:sz w:val="24"/>
              </w:rPr>
              <w:t>Ulaganja u redovni osnovni kapital subjekata financijskog sektora ako institucija ima značajno ulaganje, ne uključujući kratke pozicije</w:t>
            </w:r>
          </w:p>
          <w:p w:rsidR="005643EA" w:rsidRPr="00EF7F33" w:rsidRDefault="002648B0" w:rsidP="00FD239F">
            <w:pPr>
              <w:pStyle w:val="InstructionsText"/>
            </w:pPr>
            <w:r w:rsidRPr="00EF7F33">
              <w:t>Članci 44., 45., 47. i 49. CRR-a.</w:t>
            </w:r>
          </w:p>
        </w:tc>
      </w:tr>
      <w:tr w:rsidR="002648B0" w:rsidRPr="00EF7F33" w:rsidTr="00672D2A">
        <w:tc>
          <w:tcPr>
            <w:tcW w:w="1506" w:type="dxa"/>
          </w:tcPr>
          <w:p w:rsidR="002648B0" w:rsidRPr="00EF7F33" w:rsidRDefault="008F54B0" w:rsidP="00FD239F">
            <w:pPr>
              <w:pStyle w:val="InstructionsText"/>
            </w:pPr>
            <w:r w:rsidRPr="00EF7F33">
              <w:t>450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15.1</w:t>
            </w:r>
            <w:r w:rsidRPr="00EF7F33">
              <w:tab/>
            </w:r>
            <w:r w:rsidRPr="00EF7F33">
              <w:rPr>
                <w:rStyle w:val="InstructionsTabelleberschrift"/>
                <w:rFonts w:ascii="Times New Roman" w:hAnsi="Times New Roman"/>
                <w:sz w:val="24"/>
              </w:rPr>
              <w:t>Izravna ulaganja u redovni osnovni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ima značajno ulaganje</w:t>
            </w:r>
          </w:p>
          <w:p w:rsidR="005643EA" w:rsidRPr="00EF7F33" w:rsidRDefault="002648B0" w:rsidP="00FD239F">
            <w:pPr>
              <w:pStyle w:val="InstructionsText"/>
            </w:pPr>
            <w:r w:rsidRPr="00EF7F33">
              <w:t>Članci 44., 45., 47. i 49. CRR-a.</w:t>
            </w:r>
          </w:p>
        </w:tc>
      </w:tr>
      <w:tr w:rsidR="002648B0" w:rsidRPr="00EF7F33" w:rsidTr="00672D2A">
        <w:tc>
          <w:tcPr>
            <w:tcW w:w="1506" w:type="dxa"/>
          </w:tcPr>
          <w:p w:rsidR="002648B0" w:rsidRPr="00EF7F33" w:rsidRDefault="008F54B0" w:rsidP="00FD239F">
            <w:pPr>
              <w:pStyle w:val="InstructionsText"/>
            </w:pPr>
            <w:r w:rsidRPr="00EF7F33">
              <w:lastRenderedPageBreak/>
              <w:t>460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15.1.1</w:t>
            </w:r>
            <w:r w:rsidRPr="00EF7F33">
              <w:tab/>
            </w:r>
            <w:r w:rsidRPr="00EF7F33">
              <w:rPr>
                <w:rStyle w:val="InstructionsTabelleberschrift"/>
                <w:rFonts w:ascii="Times New Roman" w:hAnsi="Times New Roman"/>
                <w:sz w:val="24"/>
              </w:rPr>
              <w:t>Bruto izravna ulaganja u redovni osnovni kapital subjekata financijskog sektora ako institucija ima značajno ulaganje</w:t>
            </w:r>
          </w:p>
          <w:p w:rsidR="005643EA" w:rsidRPr="00EF7F33" w:rsidRDefault="002648B0" w:rsidP="00FD239F">
            <w:pPr>
              <w:pStyle w:val="InstructionsText"/>
            </w:pPr>
            <w:r w:rsidRPr="00EF7F33">
              <w:t>Članci 44., 45., 47. i 49. CRR-a.</w:t>
            </w:r>
          </w:p>
          <w:p w:rsidR="005643EA" w:rsidRPr="00EF7F33" w:rsidRDefault="002648B0" w:rsidP="00FD239F">
            <w:pPr>
              <w:pStyle w:val="InstructionsText"/>
            </w:pPr>
            <w:r w:rsidRPr="00EF7F33">
              <w:t>Izravna ulaganja u redovni osnovni kapital subjekata financijskog sekt</w:t>
            </w:r>
            <w:r w:rsidRPr="00EF7F33">
              <w:t>o</w:t>
            </w:r>
            <w:r w:rsidRPr="00EF7F33">
              <w:t>ra ako institucija ima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w:t>
            </w:r>
          </w:p>
          <w:p w:rsidR="005643EA" w:rsidRPr="00EF7F33" w:rsidRDefault="002648B0" w:rsidP="00FD239F">
            <w:pPr>
              <w:pStyle w:val="InstructionsText"/>
            </w:pPr>
            <w:r w:rsidRPr="00EF7F33">
              <w:t>b)</w:t>
            </w:r>
            <w:r w:rsidRPr="00EF7F33">
              <w:tab/>
              <w:t xml:space="preserve">iznose koji se odnose na ulaganja za koja se primjenjuje bilo koja mogućnost iz članka 49.; i </w:t>
            </w:r>
          </w:p>
          <w:p w:rsidR="005643EA" w:rsidRPr="00EF7F33" w:rsidRDefault="002648B0" w:rsidP="00FD239F">
            <w:pPr>
              <w:pStyle w:val="InstructionsText"/>
            </w:pPr>
            <w:r w:rsidRPr="00EF7F33">
              <w:t>c)</w:t>
            </w:r>
            <w:r w:rsidRPr="00EF7F33">
              <w:tab/>
              <w:t>ulaganja koja se tretiraju kao recipročna međusobna ulaganja u skladu s člankom 36. stavkom 1. točkom (g) CRR-a.</w:t>
            </w:r>
          </w:p>
        </w:tc>
      </w:tr>
      <w:tr w:rsidR="002648B0" w:rsidRPr="00EF7F33" w:rsidTr="00672D2A">
        <w:tc>
          <w:tcPr>
            <w:tcW w:w="1506" w:type="dxa"/>
          </w:tcPr>
          <w:p w:rsidR="002648B0" w:rsidRPr="00EF7F33" w:rsidRDefault="002648B0" w:rsidP="00FD239F">
            <w:pPr>
              <w:pStyle w:val="InstructionsText"/>
            </w:pPr>
            <w:r w:rsidRPr="00EF7F33">
              <w:t>470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t>Članak 45. CRR-a</w:t>
            </w:r>
          </w:p>
          <w:p w:rsidR="005643EA" w:rsidRPr="00EF7F33" w:rsidRDefault="002648B0" w:rsidP="00FD239F">
            <w:pPr>
              <w:pStyle w:val="InstructionsText"/>
            </w:pPr>
            <w:r w:rsidRPr="00EF7F33">
              <w:t>Člankom 45.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t>480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15.2</w:t>
            </w:r>
            <w:r w:rsidRPr="00EF7F33">
              <w:tab/>
            </w:r>
            <w:r w:rsidRPr="00EF7F33">
              <w:rPr>
                <w:rStyle w:val="InstructionsTabelleberschrift"/>
                <w:rFonts w:ascii="Times New Roman" w:hAnsi="Times New Roman"/>
                <w:sz w:val="24"/>
              </w:rPr>
              <w:t>Neizravna ulaganja u redovni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2648B0" w:rsidP="00FD239F">
            <w:pPr>
              <w:pStyle w:val="InstructionsText"/>
            </w:pPr>
            <w:r w:rsidRPr="00EF7F33">
              <w:t>Članak 4. stavak 1. točka 114., članci 44. i 45. CRR-a</w:t>
            </w:r>
          </w:p>
        </w:tc>
      </w:tr>
      <w:tr w:rsidR="002648B0" w:rsidRPr="00EF7F33" w:rsidTr="00672D2A">
        <w:tc>
          <w:tcPr>
            <w:tcW w:w="1506" w:type="dxa"/>
          </w:tcPr>
          <w:p w:rsidR="002648B0" w:rsidRPr="00EF7F33" w:rsidRDefault="002648B0" w:rsidP="00FD239F">
            <w:pPr>
              <w:pStyle w:val="InstructionsText"/>
            </w:pPr>
            <w:r w:rsidRPr="00EF7F33">
              <w:t>490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15.2.1</w:t>
            </w:r>
            <w:r w:rsidRPr="00EF7F33">
              <w:tab/>
            </w:r>
            <w:r w:rsidRPr="00EF7F33">
              <w:rPr>
                <w:rStyle w:val="InstructionsTabelleberschrift"/>
                <w:rFonts w:ascii="Times New Roman" w:hAnsi="Times New Roman"/>
                <w:sz w:val="24"/>
              </w:rPr>
              <w:t>Bruto neizravna ulaganja u redovni osnovni kapital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ima značajno ulaganje</w:t>
            </w:r>
          </w:p>
          <w:p w:rsidR="005643EA" w:rsidRPr="00EF7F33" w:rsidRDefault="002648B0" w:rsidP="00FD239F">
            <w:pPr>
              <w:pStyle w:val="InstructionsText"/>
            </w:pPr>
            <w:r w:rsidRPr="00EF7F33">
              <w:t>Članak 4. stavak 1. točka 114., članci 44. i 45. CRR-a</w:t>
            </w:r>
          </w:p>
          <w:p w:rsidR="005643EA" w:rsidRPr="00EF7F33" w:rsidRDefault="002648B0" w:rsidP="00FD239F">
            <w:pPr>
              <w:pStyle w:val="InstructionsText"/>
            </w:pPr>
            <w:r w:rsidRPr="00EF7F33">
              <w:t>Iznos koji je potrebno iskazati neizravna su ulaganja u instrumente kap</w:t>
            </w:r>
            <w:r w:rsidRPr="00EF7F33">
              <w:t>i</w:t>
            </w:r>
            <w:r w:rsidRPr="00EF7F33">
              <w:t>tala subjekata financijskog sektora u knjizi trgovanja u obliku ulaganja u indeksne vrijednosne papire. Dobiva se izračunom odnosne izloženosti prema instrumentima kapitala subjekata financijskog sektora u indeks</w:t>
            </w:r>
            <w:r w:rsidRPr="00EF7F33">
              <w:t>i</w:t>
            </w:r>
            <w:r w:rsidRPr="00EF7F33">
              <w:t>ma.</w:t>
            </w:r>
          </w:p>
          <w:p w:rsidR="005643EA" w:rsidRPr="00EF7F33" w:rsidRDefault="002648B0" w:rsidP="00FD239F">
            <w:pPr>
              <w:pStyle w:val="InstructionsText"/>
            </w:pPr>
            <w:r w:rsidRPr="00EF7F33">
              <w:t>Ne uključuju se ulaganja koja se tretiraju kao recipročna međusobna ulaganja u skladu s člankom 36. stavkom 1. točkom (g) CRR-a.</w:t>
            </w:r>
          </w:p>
        </w:tc>
      </w:tr>
      <w:tr w:rsidR="002648B0" w:rsidRPr="00EF7F33" w:rsidTr="00672D2A">
        <w:tc>
          <w:tcPr>
            <w:tcW w:w="1506" w:type="dxa"/>
          </w:tcPr>
          <w:p w:rsidR="002648B0" w:rsidRPr="00EF7F33" w:rsidRDefault="002648B0" w:rsidP="00FD239F">
            <w:pPr>
              <w:pStyle w:val="InstructionsText"/>
            </w:pPr>
            <w:r w:rsidRPr="00EF7F33">
              <w:t>500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15.2.2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45. CRR-a</w:t>
            </w:r>
          </w:p>
          <w:p w:rsidR="005643EA" w:rsidRPr="00EF7F33" w:rsidRDefault="002648B0" w:rsidP="00FD239F">
            <w:pPr>
              <w:pStyle w:val="InstructionsText"/>
            </w:pPr>
            <w:r w:rsidRPr="00EF7F33">
              <w:t>Člankom 45.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DE5A31" w:rsidRPr="00EF7F33" w:rsidTr="00672D2A">
        <w:tc>
          <w:tcPr>
            <w:tcW w:w="1506" w:type="dxa"/>
          </w:tcPr>
          <w:p w:rsidR="00DE5A31" w:rsidRPr="00EF7F33" w:rsidRDefault="00DE5A31" w:rsidP="00FD239F">
            <w:pPr>
              <w:pStyle w:val="InstructionsText"/>
            </w:pPr>
            <w:r w:rsidRPr="00EF7F33">
              <w:t>501</w:t>
            </w:r>
          </w:p>
        </w:tc>
        <w:tc>
          <w:tcPr>
            <w:tcW w:w="7243" w:type="dxa"/>
          </w:tcPr>
          <w:p w:rsidR="005643EA" w:rsidRPr="00EF7F33" w:rsidRDefault="00DE5A31" w:rsidP="00FD239F">
            <w:pPr>
              <w:pStyle w:val="InstructionsText"/>
            </w:pPr>
            <w:r w:rsidRPr="00EF7F33">
              <w:rPr>
                <w:rStyle w:val="InstructionsTabelleberschrift"/>
                <w:rFonts w:ascii="Times New Roman" w:hAnsi="Times New Roman"/>
                <w:sz w:val="24"/>
              </w:rPr>
              <w:t>15.3</w:t>
            </w:r>
            <w:r w:rsidRPr="00EF7F33">
              <w:tab/>
            </w:r>
            <w:r w:rsidRPr="00EF7F33">
              <w:rPr>
                <w:rStyle w:val="InstructionsTabelleberschrift"/>
                <w:rFonts w:ascii="Times New Roman" w:hAnsi="Times New Roman"/>
                <w:sz w:val="24"/>
              </w:rPr>
              <w:t>Sintetska ulaganja u redovni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805255" w:rsidP="00FD239F">
            <w:pPr>
              <w:pStyle w:val="InstructionsText"/>
            </w:pPr>
            <w:r w:rsidRPr="00EF7F33">
              <w:lastRenderedPageBreak/>
              <w:t>Članak 4. stavak 1. točka 126., članci 44. i 45. CRR-a</w:t>
            </w:r>
          </w:p>
        </w:tc>
      </w:tr>
      <w:tr w:rsidR="00DE5A31" w:rsidRPr="00EF7F33" w:rsidTr="00672D2A">
        <w:tc>
          <w:tcPr>
            <w:tcW w:w="1506" w:type="dxa"/>
          </w:tcPr>
          <w:p w:rsidR="00DE5A31" w:rsidRPr="00EF7F33" w:rsidRDefault="00DE5A31" w:rsidP="00FD239F">
            <w:pPr>
              <w:pStyle w:val="InstructionsText"/>
            </w:pPr>
            <w:r w:rsidRPr="00EF7F33">
              <w:lastRenderedPageBreak/>
              <w:t>502</w:t>
            </w:r>
          </w:p>
        </w:tc>
        <w:tc>
          <w:tcPr>
            <w:tcW w:w="7243" w:type="dxa"/>
          </w:tcPr>
          <w:p w:rsidR="005643EA" w:rsidRPr="00EF7F33" w:rsidRDefault="00DE5A31" w:rsidP="00FD239F">
            <w:pPr>
              <w:pStyle w:val="InstructionsText"/>
            </w:pPr>
            <w:r w:rsidRPr="00EF7F33">
              <w:rPr>
                <w:rStyle w:val="InstructionsTabelleberschrift"/>
                <w:rFonts w:ascii="Times New Roman" w:hAnsi="Times New Roman"/>
                <w:sz w:val="24"/>
              </w:rPr>
              <w:t>15.3.1</w:t>
            </w:r>
            <w:r w:rsidRPr="00EF7F33">
              <w:tab/>
            </w:r>
            <w:r w:rsidRPr="00EF7F33">
              <w:rPr>
                <w:rStyle w:val="InstructionsTabelleberschrift"/>
                <w:rFonts w:ascii="Times New Roman" w:hAnsi="Times New Roman"/>
                <w:sz w:val="24"/>
              </w:rPr>
              <w:t>Bruto sintetska ulaganja u redovni osnovni kapital subjekata financijskog sektora ako institucija ima značajno ulaganje</w:t>
            </w:r>
          </w:p>
          <w:p w:rsidR="005643EA" w:rsidRPr="00EF7F33" w:rsidRDefault="00805255" w:rsidP="00FD239F">
            <w:pPr>
              <w:pStyle w:val="InstructionsText"/>
            </w:pPr>
            <w:r w:rsidRPr="00EF7F33">
              <w:t>Članak 4. stavak 1. točka 126., članci 44. i 45. CRR-a</w:t>
            </w:r>
          </w:p>
        </w:tc>
      </w:tr>
      <w:tr w:rsidR="00DE5A31" w:rsidRPr="00EF7F33" w:rsidTr="00672D2A">
        <w:tc>
          <w:tcPr>
            <w:tcW w:w="1506" w:type="dxa"/>
          </w:tcPr>
          <w:p w:rsidR="00DE5A31" w:rsidRPr="00EF7F33" w:rsidRDefault="00E81DB9" w:rsidP="00FD239F">
            <w:pPr>
              <w:pStyle w:val="InstructionsText"/>
            </w:pPr>
            <w:r w:rsidRPr="00EF7F33">
              <w:t>503</w:t>
            </w:r>
          </w:p>
        </w:tc>
        <w:tc>
          <w:tcPr>
            <w:tcW w:w="7243" w:type="dxa"/>
          </w:tcPr>
          <w:p w:rsidR="005643EA" w:rsidRPr="00EF7F33" w:rsidRDefault="00E81DB9" w:rsidP="00FD239F">
            <w:pPr>
              <w:pStyle w:val="InstructionsText"/>
            </w:pPr>
            <w:r w:rsidRPr="00EF7F33">
              <w:rPr>
                <w:rStyle w:val="InstructionsTabelleberschrift"/>
                <w:rFonts w:ascii="Times New Roman" w:hAnsi="Times New Roman"/>
                <w:sz w:val="24"/>
              </w:rPr>
              <w:t>15.3.2</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805255" w:rsidP="00FD239F">
            <w:pPr>
              <w:pStyle w:val="InstructionsText"/>
            </w:pPr>
            <w:r w:rsidRPr="00EF7F33">
              <w:t>Članak 4. stavak 1. točka 126. i članak 45. CRR-a</w:t>
            </w:r>
          </w:p>
        </w:tc>
      </w:tr>
      <w:tr w:rsidR="002648B0" w:rsidRPr="00EF7F33" w:rsidTr="00672D2A">
        <w:tc>
          <w:tcPr>
            <w:tcW w:w="1506" w:type="dxa"/>
          </w:tcPr>
          <w:p w:rsidR="002648B0" w:rsidRPr="00EF7F33" w:rsidRDefault="002648B0" w:rsidP="00FD239F">
            <w:pPr>
              <w:pStyle w:val="InstructionsText"/>
            </w:pPr>
            <w:r w:rsidRPr="00EF7F33">
              <w:t>510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 Ulaganja u dodatni osnovni kapital subjekata financijskog sekt</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ra ako institucija ima značajno ulaganje, ne uključujući kratke p</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zicije</w:t>
            </w:r>
          </w:p>
          <w:p w:rsidR="005643EA" w:rsidRPr="00EF7F33" w:rsidRDefault="002648B0" w:rsidP="00FD239F">
            <w:pPr>
              <w:pStyle w:val="InstructionsText"/>
            </w:pPr>
            <w:r w:rsidRPr="00EF7F33">
              <w:t>Članci 58. i 59. CRR-a</w:t>
            </w:r>
          </w:p>
        </w:tc>
      </w:tr>
      <w:tr w:rsidR="002648B0" w:rsidRPr="00EF7F33" w:rsidTr="00672D2A">
        <w:tc>
          <w:tcPr>
            <w:tcW w:w="1506" w:type="dxa"/>
          </w:tcPr>
          <w:p w:rsidR="002648B0" w:rsidRPr="00EF7F33" w:rsidRDefault="002648B0" w:rsidP="00FD239F">
            <w:pPr>
              <w:pStyle w:val="InstructionsText"/>
            </w:pPr>
            <w:r w:rsidRPr="00EF7F33">
              <w:t>520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16.1</w:t>
            </w:r>
            <w:r w:rsidRPr="00EF7F33">
              <w:tab/>
            </w:r>
            <w:r w:rsidRPr="00EF7F33">
              <w:rPr>
                <w:rStyle w:val="InstructionsTabelleberschrift"/>
                <w:rFonts w:ascii="Times New Roman" w:hAnsi="Times New Roman"/>
                <w:sz w:val="24"/>
              </w:rPr>
              <w:t>Izravna ulaganja u dodatni osnovni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ima značajno ulaganje</w:t>
            </w:r>
          </w:p>
          <w:p w:rsidR="005643EA" w:rsidRPr="00EF7F33" w:rsidRDefault="002648B0" w:rsidP="00FD239F">
            <w:pPr>
              <w:pStyle w:val="InstructionsText"/>
            </w:pPr>
            <w:r w:rsidRPr="00EF7F33">
              <w:t>Članci 58. i 59. CRR-a</w:t>
            </w:r>
          </w:p>
        </w:tc>
      </w:tr>
      <w:tr w:rsidR="002648B0" w:rsidRPr="00EF7F33" w:rsidTr="00672D2A">
        <w:tc>
          <w:tcPr>
            <w:tcW w:w="1506" w:type="dxa"/>
          </w:tcPr>
          <w:p w:rsidR="002648B0" w:rsidRPr="00EF7F33" w:rsidRDefault="002648B0" w:rsidP="00FD239F">
            <w:pPr>
              <w:pStyle w:val="InstructionsText"/>
            </w:pPr>
            <w:r w:rsidRPr="00EF7F33">
              <w:t>530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16.1.1</w:t>
            </w:r>
            <w:r w:rsidRPr="00EF7F33">
              <w:tab/>
            </w:r>
            <w:r w:rsidRPr="00EF7F33">
              <w:rPr>
                <w:rStyle w:val="InstructionsTabelleberschrift"/>
                <w:rFonts w:ascii="Times New Roman" w:hAnsi="Times New Roman"/>
                <w:sz w:val="24"/>
              </w:rPr>
              <w:t>Bruto izravna ulaganja u dodatni osnovni kapital subjekata financijskog sektora ako institucija ima značajno ulaganje</w:t>
            </w:r>
          </w:p>
          <w:p w:rsidR="005643EA" w:rsidRPr="00EF7F33" w:rsidRDefault="002648B0" w:rsidP="00FD239F">
            <w:pPr>
              <w:pStyle w:val="InstructionsText"/>
            </w:pPr>
            <w:r w:rsidRPr="00EF7F33">
              <w:t>Članak 58. CRR-a</w:t>
            </w:r>
          </w:p>
          <w:p w:rsidR="005643EA" w:rsidRPr="00EF7F33" w:rsidRDefault="002648B0" w:rsidP="00FD239F">
            <w:pPr>
              <w:pStyle w:val="InstructionsText"/>
            </w:pPr>
            <w:r w:rsidRPr="00EF7F33">
              <w:t>Izravna ulaganja u dodatni osnovni kapital subjekata financijskog sekt</w:t>
            </w:r>
            <w:r w:rsidRPr="00EF7F33">
              <w:t>o</w:t>
            </w:r>
            <w:r w:rsidRPr="00EF7F33">
              <w:t>ra ako institucija ima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(članak 56. točka (d)); i </w:t>
            </w:r>
          </w:p>
          <w:p w:rsidR="005643EA" w:rsidRPr="00EF7F33" w:rsidRDefault="002648B0" w:rsidP="00FD239F">
            <w:pPr>
              <w:pStyle w:val="InstructionsText"/>
            </w:pPr>
            <w:r w:rsidRPr="00EF7F33">
              <w:t>b)</w:t>
            </w:r>
            <w:r w:rsidRPr="00EF7F33">
              <w:tab/>
              <w:t>ulaganja koja se tretiraju kao recipročna međusobna ulaganja u skladu s člankom 56. točkom (b) CRR-a.</w:t>
            </w:r>
          </w:p>
        </w:tc>
      </w:tr>
      <w:tr w:rsidR="002648B0" w:rsidRPr="00EF7F33" w:rsidTr="00672D2A">
        <w:tc>
          <w:tcPr>
            <w:tcW w:w="1506" w:type="dxa"/>
          </w:tcPr>
          <w:p w:rsidR="002648B0" w:rsidRPr="00EF7F33" w:rsidRDefault="002648B0" w:rsidP="00FD239F">
            <w:pPr>
              <w:pStyle w:val="InstructionsText"/>
            </w:pPr>
            <w:r w:rsidRPr="00EF7F33">
              <w:t>540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t>Članak 59. CRR-a</w:t>
            </w:r>
          </w:p>
          <w:p w:rsidR="005643EA" w:rsidRPr="00EF7F33" w:rsidRDefault="002648B0" w:rsidP="00FD239F">
            <w:pPr>
              <w:pStyle w:val="InstructionsText"/>
            </w:pPr>
            <w:r w:rsidRPr="00EF7F33">
              <w:t>Člankom 59.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t>550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16.2</w:t>
            </w:r>
            <w:r w:rsidRPr="00EF7F33">
              <w:tab/>
            </w:r>
            <w:r w:rsidRPr="00EF7F33">
              <w:rPr>
                <w:rStyle w:val="InstructionsTabelleberschrift"/>
                <w:rFonts w:ascii="Times New Roman" w:hAnsi="Times New Roman"/>
                <w:sz w:val="24"/>
              </w:rPr>
              <w:t>Neizravna ulaganja u dodatni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2648B0" w:rsidP="00FD239F">
            <w:pPr>
              <w:pStyle w:val="InstructionsText"/>
            </w:pPr>
            <w:r w:rsidRPr="00EF7F33">
              <w:t>Članak 4. stavak 1. točka 114., članci 58. i 59. CRR-a</w:t>
            </w:r>
          </w:p>
        </w:tc>
      </w:tr>
      <w:tr w:rsidR="002648B0" w:rsidRPr="00EF7F33" w:rsidTr="00672D2A">
        <w:tc>
          <w:tcPr>
            <w:tcW w:w="1506" w:type="dxa"/>
          </w:tcPr>
          <w:p w:rsidR="002648B0" w:rsidRPr="00EF7F33" w:rsidRDefault="002648B0" w:rsidP="00FD239F">
            <w:pPr>
              <w:pStyle w:val="InstructionsText"/>
            </w:pPr>
            <w:r w:rsidRPr="00EF7F33">
              <w:t>560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16.2.1</w:t>
            </w:r>
            <w:r w:rsidRPr="00EF7F33">
              <w:tab/>
            </w:r>
            <w:r w:rsidRPr="00EF7F33">
              <w:rPr>
                <w:rStyle w:val="InstructionsTabelleberschrift"/>
                <w:rFonts w:ascii="Times New Roman" w:hAnsi="Times New Roman"/>
                <w:sz w:val="24"/>
              </w:rPr>
              <w:t>Bruto neizravna ulaganja u dodatni osnovni kapital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ima značajno ulaganje</w:t>
            </w:r>
          </w:p>
          <w:p w:rsidR="005643EA" w:rsidRPr="00EF7F33" w:rsidRDefault="002648B0" w:rsidP="00FD239F">
            <w:pPr>
              <w:pStyle w:val="InstructionsText"/>
            </w:pPr>
            <w:r w:rsidRPr="00EF7F33">
              <w:t>Članak 4. stavak 1. točka 114., članci 58. i 59. CRR-a</w:t>
            </w:r>
          </w:p>
          <w:p w:rsidR="005643EA" w:rsidRPr="00EF7F33" w:rsidRDefault="002648B0" w:rsidP="00FD239F">
            <w:pPr>
              <w:pStyle w:val="InstructionsText"/>
            </w:pPr>
            <w:r w:rsidRPr="00EF7F33">
              <w:t>Iznos koji je potrebno iskazati neizravna su ulaganja u instrumente kap</w:t>
            </w:r>
            <w:r w:rsidRPr="00EF7F33">
              <w:t>i</w:t>
            </w:r>
            <w:r w:rsidRPr="00EF7F33">
              <w:t>tala subjekata financijskog sektora u knjizi trgovanja u obliku ulaganja u indeksne vrijednosne papire. Dobiva se izračunom odnosne izloženosti prema instrumentima kapitala subjekata financijskog sektora u indeks</w:t>
            </w:r>
            <w:r w:rsidRPr="00EF7F33">
              <w:t>i</w:t>
            </w:r>
            <w:r w:rsidRPr="00EF7F33">
              <w:lastRenderedPageBreak/>
              <w:t>ma.</w:t>
            </w:r>
          </w:p>
          <w:p w:rsidR="005643EA" w:rsidRPr="00EF7F33" w:rsidRDefault="002648B0" w:rsidP="00FD239F">
            <w:pPr>
              <w:pStyle w:val="InstructionsText"/>
            </w:pPr>
            <w:r w:rsidRPr="00EF7F33">
              <w:t>Ne uključuju se ulaganja koja se tretiraju kao recipročna međusobna ulaganja u skladu s člankom 56. točkom (b) CRR-a.</w:t>
            </w:r>
          </w:p>
        </w:tc>
      </w:tr>
      <w:tr w:rsidR="002648B0" w:rsidRPr="00EF7F33" w:rsidTr="00672D2A">
        <w:tc>
          <w:tcPr>
            <w:tcW w:w="1506" w:type="dxa"/>
          </w:tcPr>
          <w:p w:rsidR="002648B0" w:rsidRPr="00EF7F33" w:rsidRDefault="002648B0" w:rsidP="00FD239F">
            <w:pPr>
              <w:pStyle w:val="InstructionsText"/>
            </w:pPr>
            <w:r w:rsidRPr="00EF7F33">
              <w:lastRenderedPageBreak/>
              <w:t>570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16.2.2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59. CRR-a</w:t>
            </w:r>
          </w:p>
          <w:p w:rsidR="005643EA" w:rsidRPr="00EF7F33" w:rsidRDefault="002648B0" w:rsidP="00FD239F">
            <w:pPr>
              <w:pStyle w:val="InstructionsText"/>
            </w:pPr>
            <w:r w:rsidRPr="00EF7F33">
              <w:t>Člankom 59.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E81DB9" w:rsidRPr="00EF7F33" w:rsidTr="00672D2A">
        <w:tc>
          <w:tcPr>
            <w:tcW w:w="1506" w:type="dxa"/>
          </w:tcPr>
          <w:p w:rsidR="00E81DB9" w:rsidRPr="00EF7F33" w:rsidRDefault="00E81DB9" w:rsidP="00FD239F">
            <w:pPr>
              <w:pStyle w:val="InstructionsText"/>
            </w:pPr>
            <w:r w:rsidRPr="00EF7F33">
              <w:t>571</w:t>
            </w:r>
          </w:p>
        </w:tc>
        <w:tc>
          <w:tcPr>
            <w:tcW w:w="7243" w:type="dxa"/>
          </w:tcPr>
          <w:p w:rsidR="005643EA" w:rsidRPr="00EF7F33" w:rsidRDefault="00E81DB9" w:rsidP="00FD239F">
            <w:pPr>
              <w:pStyle w:val="InstructionsText"/>
            </w:pPr>
            <w:r w:rsidRPr="00EF7F33">
              <w:rPr>
                <w:rStyle w:val="InstructionsTabelleberschrift"/>
                <w:rFonts w:ascii="Times New Roman" w:hAnsi="Times New Roman"/>
                <w:sz w:val="24"/>
              </w:rPr>
              <w:t>16.3</w:t>
            </w:r>
            <w:r w:rsidRPr="00EF7F33">
              <w:tab/>
            </w:r>
            <w:r w:rsidRPr="00EF7F33">
              <w:rPr>
                <w:rStyle w:val="InstructionsTabelleberschrift"/>
                <w:rFonts w:ascii="Times New Roman" w:hAnsi="Times New Roman"/>
                <w:sz w:val="24"/>
              </w:rPr>
              <w:t>Sintetska ulaganja u dodatni osnovni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E81DB9" w:rsidP="00FD239F">
            <w:pPr>
              <w:pStyle w:val="InstructionsText"/>
              <w:rPr>
                <w:rStyle w:val="InstructionsTabelleberschrift"/>
                <w:rFonts w:ascii="Times New Roman" w:hAnsi="Times New Roman"/>
                <w:b w:val="0"/>
                <w:bCs w:val="0"/>
                <w:sz w:val="24"/>
                <w:u w:val="none"/>
              </w:rPr>
            </w:pPr>
            <w:r w:rsidRPr="00EF7F33">
              <w:t>Članak 4. stavak 1. točka 126., članci 58. i 59. CRR-a</w:t>
            </w:r>
          </w:p>
        </w:tc>
      </w:tr>
      <w:tr w:rsidR="00E81DB9" w:rsidRPr="00EF7F33" w:rsidTr="00672D2A">
        <w:tc>
          <w:tcPr>
            <w:tcW w:w="1506" w:type="dxa"/>
          </w:tcPr>
          <w:p w:rsidR="00E81DB9" w:rsidRPr="00EF7F33" w:rsidRDefault="00E81DB9" w:rsidP="00FD239F">
            <w:pPr>
              <w:pStyle w:val="InstructionsText"/>
            </w:pPr>
            <w:r w:rsidRPr="00EF7F33">
              <w:t>572</w:t>
            </w:r>
          </w:p>
        </w:tc>
        <w:tc>
          <w:tcPr>
            <w:tcW w:w="7243" w:type="dxa"/>
          </w:tcPr>
          <w:p w:rsidR="005643EA" w:rsidRPr="00EF7F33" w:rsidRDefault="00E81DB9" w:rsidP="00FD239F">
            <w:pPr>
              <w:pStyle w:val="InstructionsText"/>
            </w:pPr>
            <w:r w:rsidRPr="00EF7F33">
              <w:rPr>
                <w:rStyle w:val="InstructionsTabelleberschrift"/>
                <w:rFonts w:ascii="Times New Roman" w:hAnsi="Times New Roman"/>
                <w:sz w:val="24"/>
              </w:rPr>
              <w:t>16.3.1</w:t>
            </w:r>
            <w:r w:rsidRPr="00EF7F33">
              <w:tab/>
            </w:r>
            <w:r w:rsidRPr="00EF7F33">
              <w:rPr>
                <w:rStyle w:val="InstructionsTabelleberschrift"/>
                <w:rFonts w:ascii="Times New Roman" w:hAnsi="Times New Roman"/>
                <w:sz w:val="24"/>
              </w:rPr>
              <w:t>Bruto sintetska ulaganja u dodatni osnovni kapital subjekata financijskog sektora ako institucija ima značajno ulaganje</w:t>
            </w:r>
          </w:p>
          <w:p w:rsidR="005643EA" w:rsidRPr="00EF7F33" w:rsidRDefault="00E81DB9" w:rsidP="00FD239F">
            <w:pPr>
              <w:pStyle w:val="InstructionsText"/>
              <w:rPr>
                <w:rStyle w:val="InstructionsTabelleberschrift"/>
                <w:rFonts w:ascii="Times New Roman" w:hAnsi="Times New Roman"/>
                <w:b w:val="0"/>
                <w:bCs w:val="0"/>
                <w:sz w:val="24"/>
                <w:u w:val="none"/>
              </w:rPr>
            </w:pPr>
            <w:r w:rsidRPr="00EF7F33">
              <w:t>Članak 4. stavak 1. točka 126., članci 58. i 59. CRR-a</w:t>
            </w:r>
          </w:p>
        </w:tc>
      </w:tr>
      <w:tr w:rsidR="00E81DB9" w:rsidRPr="00EF7F33" w:rsidTr="00672D2A">
        <w:tc>
          <w:tcPr>
            <w:tcW w:w="1506" w:type="dxa"/>
          </w:tcPr>
          <w:p w:rsidR="00E81DB9" w:rsidRPr="00EF7F33" w:rsidRDefault="00E81DB9" w:rsidP="00FD239F">
            <w:pPr>
              <w:pStyle w:val="InstructionsText"/>
            </w:pPr>
            <w:r w:rsidRPr="00EF7F33">
              <w:t>573</w:t>
            </w:r>
          </w:p>
        </w:tc>
        <w:tc>
          <w:tcPr>
            <w:tcW w:w="7243" w:type="dxa"/>
          </w:tcPr>
          <w:p w:rsidR="005643EA" w:rsidRPr="00EF7F33" w:rsidRDefault="00E81DB9" w:rsidP="00FD239F">
            <w:pPr>
              <w:pStyle w:val="InstructionsText"/>
            </w:pPr>
            <w:r w:rsidRPr="00EF7F33">
              <w:rPr>
                <w:rStyle w:val="InstructionsTabelleberschrift"/>
                <w:rFonts w:ascii="Times New Roman" w:hAnsi="Times New Roman"/>
                <w:sz w:val="24"/>
              </w:rPr>
              <w:t>16.3.2</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E81DB9" w:rsidP="00FD239F">
            <w:pPr>
              <w:pStyle w:val="InstructionsText"/>
              <w:rPr>
                <w:rStyle w:val="InstructionsTabelleberschrift"/>
                <w:rFonts w:ascii="Times New Roman" w:hAnsi="Times New Roman"/>
                <w:b w:val="0"/>
                <w:bCs w:val="0"/>
                <w:sz w:val="24"/>
                <w:u w:val="none"/>
              </w:rPr>
            </w:pPr>
            <w:r w:rsidRPr="00EF7F33">
              <w:t>Članak 4. stavak 1. točka 126. i članak 59. CRR-a</w:t>
            </w:r>
          </w:p>
        </w:tc>
      </w:tr>
      <w:tr w:rsidR="002648B0" w:rsidRPr="00EF7F33" w:rsidTr="00672D2A">
        <w:tc>
          <w:tcPr>
            <w:tcW w:w="1506" w:type="dxa"/>
          </w:tcPr>
          <w:p w:rsidR="002648B0" w:rsidRPr="00EF7F33" w:rsidRDefault="002648B0" w:rsidP="00FD239F">
            <w:pPr>
              <w:pStyle w:val="InstructionsText"/>
            </w:pPr>
            <w:r w:rsidRPr="00EF7F33">
              <w:t>580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 Ulaganja u dopunski kapital subjekata financijskog sektora ako institucija ima značajno ulaganje, ne uključujući kratke pozicije</w:t>
            </w:r>
          </w:p>
          <w:p w:rsidR="005643EA" w:rsidRPr="00EF7F33" w:rsidRDefault="002648B0" w:rsidP="00FD239F">
            <w:pPr>
              <w:pStyle w:val="InstructionsText"/>
            </w:pPr>
            <w:r w:rsidRPr="00EF7F33">
              <w:t>Članci 68. i 69. CRR-a</w:t>
            </w:r>
          </w:p>
        </w:tc>
      </w:tr>
      <w:tr w:rsidR="002648B0" w:rsidRPr="00EF7F33" w:rsidTr="00672D2A">
        <w:tc>
          <w:tcPr>
            <w:tcW w:w="1506" w:type="dxa"/>
          </w:tcPr>
          <w:p w:rsidR="002648B0" w:rsidRPr="00EF7F33" w:rsidRDefault="002648B0" w:rsidP="00FD239F">
            <w:pPr>
              <w:pStyle w:val="InstructionsText"/>
            </w:pPr>
            <w:r w:rsidRPr="00EF7F33">
              <w:t>590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17.1</w:t>
            </w:r>
            <w:r w:rsidRPr="00EF7F33">
              <w:tab/>
            </w:r>
            <w:r w:rsidRPr="00EF7F33">
              <w:rPr>
                <w:rStyle w:val="InstructionsTabelleberschrift"/>
                <w:rFonts w:ascii="Times New Roman" w:hAnsi="Times New Roman"/>
                <w:sz w:val="24"/>
              </w:rPr>
              <w:t>Izravna ulaganja u dopunski kapital subjekata financijskog sektora ako institucija ima značajno ulaganje</w:t>
            </w:r>
          </w:p>
          <w:p w:rsidR="005643EA" w:rsidRPr="00EF7F33" w:rsidRDefault="002648B0" w:rsidP="00FD239F">
            <w:pPr>
              <w:pStyle w:val="InstructionsText"/>
            </w:pPr>
            <w:r w:rsidRPr="00EF7F33">
              <w:t>Članci 68. i 69. CRR-a</w:t>
            </w:r>
          </w:p>
        </w:tc>
      </w:tr>
      <w:tr w:rsidR="002648B0" w:rsidRPr="00EF7F33" w:rsidTr="00672D2A">
        <w:tc>
          <w:tcPr>
            <w:tcW w:w="1506" w:type="dxa"/>
          </w:tcPr>
          <w:p w:rsidR="002648B0" w:rsidRPr="00EF7F33" w:rsidRDefault="002648B0" w:rsidP="00FD239F">
            <w:pPr>
              <w:pStyle w:val="InstructionsText"/>
            </w:pPr>
            <w:r w:rsidRPr="00EF7F33">
              <w:t>600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17.1.1</w:t>
            </w:r>
            <w:r w:rsidRPr="00EF7F33">
              <w:tab/>
            </w:r>
            <w:r w:rsidRPr="00EF7F33">
              <w:rPr>
                <w:rStyle w:val="InstructionsTabelleberschrift"/>
                <w:rFonts w:ascii="Times New Roman" w:hAnsi="Times New Roman"/>
                <w:sz w:val="24"/>
              </w:rPr>
              <w:t>Bruto izravna ulaganja u dopunski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ima značajno ulaganje</w:t>
            </w:r>
          </w:p>
          <w:p w:rsidR="005643EA" w:rsidRPr="00EF7F33" w:rsidRDefault="002648B0" w:rsidP="00FD239F">
            <w:pPr>
              <w:pStyle w:val="InstructionsText"/>
            </w:pPr>
            <w:r w:rsidRPr="00EF7F33">
              <w:t>Članak 68. CRR-a</w:t>
            </w:r>
          </w:p>
          <w:p w:rsidR="005643EA" w:rsidRPr="00EF7F33" w:rsidRDefault="002648B0" w:rsidP="00FD239F">
            <w:pPr>
              <w:pStyle w:val="InstructionsText"/>
            </w:pPr>
            <w:r w:rsidRPr="00EF7F33">
              <w:t>Izravna ulaganja u dopunski kapital subjekata financijskog sektora ako institucija ima značajno ulaganje, isključujući:</w:t>
            </w:r>
          </w:p>
          <w:p w:rsidR="005643EA" w:rsidRPr="00EF7F33" w:rsidRDefault="002648B0" w:rsidP="00FD239F">
            <w:pPr>
              <w:pStyle w:val="InstructionsText"/>
            </w:pPr>
            <w:r w:rsidRPr="00EF7F33">
              <w:t>a)</w:t>
            </w:r>
            <w:r w:rsidRPr="00EF7F33">
              <w:tab/>
              <w:t>pozicije proizišle iz usluge provedbe ponude odnosno prodaje f</w:t>
            </w:r>
            <w:r w:rsidRPr="00EF7F33">
              <w:t>i</w:t>
            </w:r>
            <w:r w:rsidRPr="00EF7F33">
              <w:t xml:space="preserve">nancijskih instrumenata uz obvezu otkupa koje se drže najviše 5 radnih dana (članak 66. točka (d)); i </w:t>
            </w:r>
          </w:p>
          <w:p w:rsidR="005643EA" w:rsidRPr="00EF7F33" w:rsidRDefault="002648B0" w:rsidP="00FD239F">
            <w:pPr>
              <w:pStyle w:val="InstructionsText"/>
            </w:pPr>
            <w:r w:rsidRPr="00EF7F33">
              <w:t>b)</w:t>
            </w:r>
            <w:r w:rsidRPr="00EF7F33">
              <w:tab/>
              <w:t>ulaganja koja se tretiraju kao recipročna međusobna ulaganja u skladu s člankom 66. točkom (b) CRR-a.</w:t>
            </w:r>
          </w:p>
        </w:tc>
      </w:tr>
      <w:tr w:rsidR="002648B0" w:rsidRPr="00EF7F33" w:rsidTr="00672D2A">
        <w:tc>
          <w:tcPr>
            <w:tcW w:w="1506" w:type="dxa"/>
          </w:tcPr>
          <w:p w:rsidR="002648B0" w:rsidRPr="00EF7F33" w:rsidRDefault="002648B0" w:rsidP="00FD239F">
            <w:pPr>
              <w:pStyle w:val="InstructionsText"/>
            </w:pPr>
            <w:r w:rsidRPr="00EF7F33">
              <w:t>610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17.1.2</w:t>
            </w:r>
            <w:r w:rsidRPr="00EF7F33">
              <w:tab/>
            </w:r>
            <w:r w:rsidRPr="00EF7F33">
              <w:rPr>
                <w:rStyle w:val="InstructionsTabelleberschrift"/>
                <w:rFonts w:ascii="Times New Roman" w:hAnsi="Times New Roman"/>
                <w:sz w:val="24"/>
              </w:rPr>
              <w:t>(–) Odobreni prijeboj kratkih pozicija prethodno uključenim izravnim bruto ulaganjima</w:t>
            </w:r>
          </w:p>
          <w:p w:rsidR="005643EA" w:rsidRPr="00EF7F33" w:rsidRDefault="002648B0" w:rsidP="00FD239F">
            <w:pPr>
              <w:pStyle w:val="InstructionsText"/>
            </w:pPr>
            <w:r w:rsidRPr="00EF7F33">
              <w:t>Članak 69. CRR-a</w:t>
            </w:r>
          </w:p>
          <w:p w:rsidR="005643EA" w:rsidRPr="00EF7F33" w:rsidRDefault="002648B0" w:rsidP="00FD239F">
            <w:pPr>
              <w:pStyle w:val="InstructionsText"/>
            </w:pPr>
            <w:r w:rsidRPr="00EF7F33">
              <w:t xml:space="preserve">Člankom 69. točkom (a) CRR-a omogućuje se prijeboj kratkih pozicija u istoj odnosnoj izloženosti ako je dospijeće kratke pozicije usklađeno s </w:t>
            </w:r>
            <w:r w:rsidRPr="00EF7F33">
              <w:lastRenderedPageBreak/>
              <w:t>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lastRenderedPageBreak/>
              <w:t>620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17.2</w:t>
            </w:r>
            <w:r w:rsidRPr="00EF7F33">
              <w:tab/>
            </w:r>
            <w:r w:rsidRPr="00EF7F33">
              <w:rPr>
                <w:rStyle w:val="InstructionsTabelleberschrift"/>
                <w:rFonts w:ascii="Times New Roman" w:hAnsi="Times New Roman"/>
                <w:sz w:val="24"/>
              </w:rPr>
              <w:t>Neizravna ulaganja u dopunski kapital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ima značajno ulaganje</w:t>
            </w:r>
          </w:p>
          <w:p w:rsidR="005643EA" w:rsidRPr="00EF7F33" w:rsidRDefault="002648B0" w:rsidP="00FD239F">
            <w:pPr>
              <w:pStyle w:val="InstructionsText"/>
            </w:pPr>
            <w:r w:rsidRPr="00EF7F33">
              <w:t>Članak 4. stavak 1. točka 114., članci 68. i 69. CRR-a</w:t>
            </w:r>
          </w:p>
        </w:tc>
      </w:tr>
      <w:tr w:rsidR="002648B0" w:rsidRPr="00EF7F33" w:rsidTr="00672D2A">
        <w:tc>
          <w:tcPr>
            <w:tcW w:w="1506" w:type="dxa"/>
          </w:tcPr>
          <w:p w:rsidR="002648B0" w:rsidRPr="00EF7F33" w:rsidRDefault="002648B0" w:rsidP="00FD239F">
            <w:pPr>
              <w:pStyle w:val="InstructionsText"/>
            </w:pPr>
            <w:r w:rsidRPr="00EF7F33">
              <w:t>630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17.2.1</w:t>
            </w:r>
            <w:r w:rsidRPr="00EF7F33">
              <w:tab/>
            </w:r>
            <w:r w:rsidRPr="00EF7F33">
              <w:rPr>
                <w:rStyle w:val="InstructionsTabelleberschrift"/>
                <w:rFonts w:ascii="Times New Roman" w:hAnsi="Times New Roman"/>
                <w:sz w:val="24"/>
              </w:rPr>
              <w:t>Bruto neizravna ulaganja u dopunski kapital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5643EA" w:rsidRPr="00EF7F33" w:rsidRDefault="002648B0" w:rsidP="00FD239F">
            <w:pPr>
              <w:pStyle w:val="InstructionsText"/>
            </w:pPr>
            <w:r w:rsidRPr="00EF7F33">
              <w:t>Članak 4. stavak 1. točka 114., članci 68. i 69. CRR-a</w:t>
            </w:r>
          </w:p>
          <w:p w:rsidR="005643EA" w:rsidRPr="00EF7F33" w:rsidRDefault="002648B0" w:rsidP="00FD239F">
            <w:pPr>
              <w:pStyle w:val="InstructionsText"/>
            </w:pPr>
            <w:r w:rsidRPr="00EF7F33">
              <w:t>Iznos koji je potrebno iskazati neizravna su ulaganja u instrumente kap</w:t>
            </w:r>
            <w:r w:rsidRPr="00EF7F33">
              <w:t>i</w:t>
            </w:r>
            <w:r w:rsidRPr="00EF7F33">
              <w:t>tala subjekata financijskog sektora u knjizi trgovanja u obliku ulaganja u indeksne vrijednosne papire. Dobiva se izračunom odnosne izloženosti prema instrumentima kapitala subjekata financijskog sektora u indeks</w:t>
            </w:r>
            <w:r w:rsidRPr="00EF7F33">
              <w:t>i</w:t>
            </w:r>
            <w:r w:rsidRPr="00EF7F33">
              <w:t>ma.</w:t>
            </w:r>
          </w:p>
          <w:p w:rsidR="005643EA" w:rsidRPr="00EF7F33" w:rsidRDefault="002648B0" w:rsidP="00FD239F">
            <w:pPr>
              <w:pStyle w:val="InstructionsText"/>
            </w:pPr>
            <w:r w:rsidRPr="00EF7F33">
              <w:t>Ne uključuju se ulaganja koja se tretiraju kao recipročna međusobna ulaganja u skladu s člankom 66. točkom (b) CRR-a.</w:t>
            </w:r>
          </w:p>
        </w:tc>
      </w:tr>
      <w:tr w:rsidR="002648B0" w:rsidRPr="00EF7F33" w:rsidTr="00672D2A">
        <w:tc>
          <w:tcPr>
            <w:tcW w:w="1506" w:type="dxa"/>
          </w:tcPr>
          <w:p w:rsidR="002648B0" w:rsidRPr="00EF7F33" w:rsidRDefault="002648B0" w:rsidP="00FD239F">
            <w:pPr>
              <w:pStyle w:val="InstructionsText"/>
            </w:pPr>
            <w:r w:rsidRPr="00EF7F33">
              <w:t>640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17.2.2</w:t>
            </w:r>
            <w:r w:rsidRPr="00EF7F33">
              <w:tab/>
            </w:r>
            <w:r w:rsidRPr="00EF7F33">
              <w:rPr>
                <w:rStyle w:val="InstructionsTabelleberschrift"/>
                <w:rFonts w:ascii="Times New Roman" w:hAnsi="Times New Roman"/>
                <w:sz w:val="24"/>
              </w:rPr>
              <w:t>(–) Odobreni prijeboj kratkih pozicija prethodno uključenim neizravnim bruto ulaganjima</w:t>
            </w:r>
          </w:p>
          <w:p w:rsidR="005643EA" w:rsidRPr="00EF7F33" w:rsidRDefault="002648B0" w:rsidP="00FD239F">
            <w:pPr>
              <w:pStyle w:val="InstructionsText"/>
            </w:pPr>
            <w:r w:rsidRPr="00EF7F33">
              <w:t>Članak 4. stavak 1. točka 114. i članak 69. CRR-a</w:t>
            </w:r>
          </w:p>
          <w:p w:rsidR="005643EA" w:rsidRPr="00EF7F33" w:rsidRDefault="002648B0" w:rsidP="00FD239F">
            <w:pPr>
              <w:pStyle w:val="InstructionsText"/>
            </w:pPr>
            <w:r w:rsidRPr="00EF7F33">
              <w:t>Člankom 69. točkom (a) CRR-a omogućuje se prijeboj kratkih pozicija u istoj odnosnoj izloženosti ako je dospijeće kratke pozicije usklađeno s dospijećem duge pozicije ili ima preostali rok dospijeća od najmanje g</w:t>
            </w:r>
            <w:r w:rsidRPr="00EF7F33">
              <w:t>o</w:t>
            </w:r>
            <w:r w:rsidRPr="00EF7F33">
              <w:t>dinu dana.</w:t>
            </w:r>
          </w:p>
        </w:tc>
      </w:tr>
      <w:tr w:rsidR="002648B0" w:rsidRPr="00EF7F33" w:rsidTr="00672D2A">
        <w:tc>
          <w:tcPr>
            <w:tcW w:w="1506" w:type="dxa"/>
          </w:tcPr>
          <w:p w:rsidR="002648B0" w:rsidRPr="00EF7F33" w:rsidRDefault="002648B0" w:rsidP="00FD239F">
            <w:pPr>
              <w:pStyle w:val="InstructionsText"/>
            </w:pPr>
            <w:r w:rsidRPr="00EF7F33">
              <w:t>641</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17.3</w:t>
            </w:r>
            <w:r w:rsidRPr="00EF7F33">
              <w:tab/>
            </w:r>
            <w:r w:rsidRPr="00EF7F33">
              <w:rPr>
                <w:rStyle w:val="InstructionsTabelleberschrift"/>
                <w:rFonts w:ascii="Times New Roman" w:hAnsi="Times New Roman"/>
                <w:sz w:val="24"/>
              </w:rPr>
              <w:t>Sintetska ulaganja u dopunski kapital subjekata financijskog sektora ako institucija ima značajno ulaganje</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članci 68. i 69. CRR-a</w:t>
            </w:r>
          </w:p>
        </w:tc>
      </w:tr>
      <w:tr w:rsidR="002648B0" w:rsidRPr="00EF7F33" w:rsidTr="00672D2A">
        <w:tc>
          <w:tcPr>
            <w:tcW w:w="1506" w:type="dxa"/>
          </w:tcPr>
          <w:p w:rsidR="002648B0" w:rsidRPr="00EF7F33" w:rsidRDefault="002648B0" w:rsidP="00FD239F">
            <w:pPr>
              <w:pStyle w:val="InstructionsText"/>
            </w:pPr>
            <w:r w:rsidRPr="00EF7F33">
              <w:t>642</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17.3.1</w:t>
            </w:r>
            <w:r w:rsidRPr="00EF7F33">
              <w:tab/>
            </w:r>
            <w:r w:rsidRPr="00EF7F33">
              <w:rPr>
                <w:rStyle w:val="InstructionsTabelleberschrift"/>
                <w:rFonts w:ascii="Times New Roman" w:hAnsi="Times New Roman"/>
                <w:sz w:val="24"/>
              </w:rPr>
              <w:t>Bruto sintetska ulaganja u dopunski kapital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ima značajno ulaganje</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članci 68. i 69. CRR-a</w:t>
            </w:r>
          </w:p>
        </w:tc>
      </w:tr>
      <w:tr w:rsidR="002648B0" w:rsidRPr="00EF7F33" w:rsidTr="00672D2A">
        <w:tc>
          <w:tcPr>
            <w:tcW w:w="1506" w:type="dxa"/>
          </w:tcPr>
          <w:p w:rsidR="002648B0" w:rsidRPr="00EF7F33" w:rsidRDefault="002648B0" w:rsidP="00FD239F">
            <w:pPr>
              <w:pStyle w:val="InstructionsText"/>
            </w:pPr>
            <w:r w:rsidRPr="00EF7F33">
              <w:t>643</w:t>
            </w:r>
          </w:p>
        </w:tc>
        <w:tc>
          <w:tcPr>
            <w:tcW w:w="7243" w:type="dxa"/>
            <w:vAlign w:val="center"/>
          </w:tcPr>
          <w:p w:rsidR="005643EA" w:rsidRPr="00EF7F33" w:rsidRDefault="002648B0" w:rsidP="00FD239F">
            <w:pPr>
              <w:pStyle w:val="InstructionsText"/>
            </w:pPr>
            <w:r w:rsidRPr="00EF7F33">
              <w:rPr>
                <w:rStyle w:val="InstructionsTabelleberschrift"/>
                <w:rFonts w:ascii="Times New Roman" w:hAnsi="Times New Roman"/>
                <w:sz w:val="24"/>
              </w:rPr>
              <w:t>17.3.2</w:t>
            </w:r>
            <w:r w:rsidRPr="00EF7F33">
              <w:tab/>
            </w:r>
            <w:r w:rsidRPr="00EF7F33">
              <w:rPr>
                <w:rStyle w:val="InstructionsTabelleberschrift"/>
                <w:rFonts w:ascii="Times New Roman" w:hAnsi="Times New Roman"/>
                <w:sz w:val="24"/>
              </w:rPr>
              <w:t>(–) Odobreni prijeboj kratkih pozicija prethodno uključenim sintetskim bruto ulaganjima</w:t>
            </w:r>
          </w:p>
          <w:p w:rsidR="005643EA" w:rsidRPr="00EF7F33" w:rsidRDefault="00805255" w:rsidP="00FD239F">
            <w:pPr>
              <w:pStyle w:val="InstructionsText"/>
              <w:rPr>
                <w:rStyle w:val="InstructionsTabelleberschrift"/>
                <w:rFonts w:ascii="Times New Roman" w:hAnsi="Times New Roman"/>
                <w:b w:val="0"/>
                <w:bCs w:val="0"/>
                <w:sz w:val="24"/>
                <w:u w:val="none"/>
              </w:rPr>
            </w:pPr>
            <w:r w:rsidRPr="00EF7F33">
              <w:t>Članak 4. stavak 1. točka 126. i članak 69. CRR-a</w:t>
            </w:r>
          </w:p>
        </w:tc>
      </w:tr>
      <w:tr w:rsidR="002648B0" w:rsidRPr="00EF7F33" w:rsidTr="00672D2A">
        <w:tc>
          <w:tcPr>
            <w:tcW w:w="1506" w:type="dxa"/>
          </w:tcPr>
          <w:p w:rsidR="002648B0" w:rsidRPr="00EF7F33" w:rsidRDefault="002648B0" w:rsidP="00FD239F">
            <w:pPr>
              <w:pStyle w:val="InstructionsText"/>
            </w:pPr>
            <w:r w:rsidRPr="00EF7F33">
              <w:t>650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18 Izloženosti ulaganja u redovni osnovni kapital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ponderirane rizikom koja se ne odbijaju od redovnog osnovnog kapitala institucije</w:t>
            </w:r>
          </w:p>
          <w:p w:rsidR="005643EA" w:rsidRPr="00EF7F33" w:rsidRDefault="002648B0" w:rsidP="00FD239F">
            <w:pPr>
              <w:pStyle w:val="InstructionsText"/>
            </w:pPr>
            <w:r w:rsidRPr="00EF7F33">
              <w:t>Članak 46. stavak 4., članak 48. stavak 4. i članak 49. stavak 4. CRR-a</w:t>
            </w:r>
          </w:p>
        </w:tc>
      </w:tr>
      <w:tr w:rsidR="002648B0" w:rsidRPr="00EF7F33" w:rsidTr="00672D2A">
        <w:tc>
          <w:tcPr>
            <w:tcW w:w="1506" w:type="dxa"/>
          </w:tcPr>
          <w:p w:rsidR="002648B0" w:rsidRPr="00EF7F33" w:rsidRDefault="002648B0" w:rsidP="00FD239F">
            <w:pPr>
              <w:pStyle w:val="InstructionsText"/>
            </w:pPr>
            <w:r w:rsidRPr="00EF7F33">
              <w:t>660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19 Izloženosti ulaganja u dodatni osnovni kapital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ponderirane rizikom koja se ne odbijaju od dodatnog osnovnog kapitala institucije</w:t>
            </w:r>
          </w:p>
          <w:p w:rsidR="005643EA" w:rsidRPr="00EF7F33" w:rsidRDefault="002648B0" w:rsidP="00FD239F">
            <w:pPr>
              <w:pStyle w:val="InstructionsText"/>
            </w:pPr>
            <w:r w:rsidRPr="00EF7F33">
              <w:t>Članak 60. stavak 4. CRR-a</w:t>
            </w:r>
          </w:p>
        </w:tc>
      </w:tr>
      <w:tr w:rsidR="002648B0" w:rsidRPr="00EF7F33" w:rsidTr="00672D2A">
        <w:tc>
          <w:tcPr>
            <w:tcW w:w="1506" w:type="dxa"/>
          </w:tcPr>
          <w:p w:rsidR="002648B0" w:rsidRPr="00EF7F33" w:rsidRDefault="002648B0" w:rsidP="00FD239F">
            <w:pPr>
              <w:pStyle w:val="InstructionsText"/>
            </w:pPr>
            <w:r w:rsidRPr="00EF7F33">
              <w:t>670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20 Izloženosti ulaganja u dopunski kapital subjekata financijskog sektora ponderirane rizikom koja se ne odbijaju od dopunskog 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lastRenderedPageBreak/>
              <w:t>pitala institucije</w:t>
            </w:r>
          </w:p>
          <w:p w:rsidR="005643EA" w:rsidRPr="00EF7F33" w:rsidRDefault="002648B0" w:rsidP="00FD239F">
            <w:pPr>
              <w:pStyle w:val="InstructionsText"/>
            </w:pPr>
            <w:r w:rsidRPr="00EF7F33">
              <w:t>Članak 70. stavak 4. CRR-a</w:t>
            </w:r>
          </w:p>
        </w:tc>
      </w:tr>
      <w:tr w:rsidR="002648B0" w:rsidRPr="00EF7F33" w:rsidTr="00672D2A">
        <w:tc>
          <w:tcPr>
            <w:tcW w:w="1506" w:type="dxa"/>
          </w:tcPr>
          <w:p w:rsidR="002648B0" w:rsidRPr="00EF7F33" w:rsidRDefault="002648B0" w:rsidP="00FD239F">
            <w:pPr>
              <w:pStyle w:val="InstructionsText"/>
            </w:pPr>
            <w:r w:rsidRPr="00EF7F33">
              <w:lastRenderedPageBreak/>
              <w:t>680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21</w:t>
            </w:r>
            <w:r w:rsidRPr="00EF7F33">
              <w:tab/>
            </w:r>
            <w:r w:rsidRPr="00EF7F33">
              <w:rPr>
                <w:rStyle w:val="InstructionsTabelleberschrift"/>
                <w:rFonts w:ascii="Times New Roman" w:hAnsi="Times New Roman"/>
                <w:sz w:val="24"/>
              </w:rPr>
              <w:t>Ulaganja u instrumente redovnog osnovnog kapitala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nema značajno ulaganje, privremeno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redovnog osnovnog kapitala koje se primjenjuju na ulaganja u i</w:t>
            </w:r>
            <w:r w:rsidRPr="00EF7F33">
              <w:t>n</w:t>
            </w:r>
            <w:r w:rsidRPr="00EF7F33">
              <w:t>strumente specifičnog subjekta financijskog sektora ako to smatra ulag</w:t>
            </w:r>
            <w:r w:rsidRPr="00EF7F33">
              <w:t>a</w:t>
            </w:r>
            <w:r w:rsidRPr="00EF7F33">
              <w:t>njem radi postupka financijske pomoći u svrhu reorganizacije i spašav</w:t>
            </w:r>
            <w:r w:rsidRPr="00EF7F33">
              <w:t>a</w:t>
            </w:r>
            <w:r w:rsidRPr="00EF7F33">
              <w:t>nja tog subjekta.</w:t>
            </w:r>
          </w:p>
          <w:p w:rsidR="005643EA" w:rsidRPr="00EF7F33" w:rsidRDefault="002648B0" w:rsidP="00FD239F">
            <w:pPr>
              <w:pStyle w:val="InstructionsText"/>
            </w:pPr>
            <w:r w:rsidRPr="00EF7F33">
              <w:t>Potrebno je napomenuti da se ti instrumenti iskazuju i u stavci 12.1.</w:t>
            </w:r>
          </w:p>
        </w:tc>
      </w:tr>
      <w:tr w:rsidR="002648B0" w:rsidRPr="00EF7F33" w:rsidTr="00672D2A">
        <w:tc>
          <w:tcPr>
            <w:tcW w:w="1506" w:type="dxa"/>
          </w:tcPr>
          <w:p w:rsidR="002648B0" w:rsidRPr="00EF7F33" w:rsidRDefault="002648B0" w:rsidP="00FD239F">
            <w:pPr>
              <w:pStyle w:val="InstructionsText"/>
            </w:pPr>
            <w:r w:rsidRPr="00EF7F33">
              <w:t>690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22</w:t>
            </w:r>
            <w:r w:rsidRPr="00EF7F33">
              <w:tab/>
            </w:r>
            <w:r w:rsidRPr="00EF7F33">
              <w:rPr>
                <w:rStyle w:val="InstructionsTabelleberschrift"/>
                <w:rFonts w:ascii="Times New Roman" w:hAnsi="Times New Roman"/>
                <w:sz w:val="24"/>
              </w:rPr>
              <w:t>Ulaganja u instrumente redovnog osnovnog kapitala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ima značajno ulaganje, pri</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redovnog osnovnog kapitala koje se primjenjuju na ulaganja u i</w:t>
            </w:r>
            <w:r w:rsidRPr="00EF7F33">
              <w:t>n</w:t>
            </w:r>
            <w:r w:rsidRPr="00EF7F33">
              <w:t>strumente specifičnog subjekta financijskog sektora ako to smatra ulag</w:t>
            </w:r>
            <w:r w:rsidRPr="00EF7F33">
              <w:t>a</w:t>
            </w:r>
            <w:r w:rsidRPr="00EF7F33">
              <w:t>njem radi postupka financijske pomoći u svrhu reorganizacije i spašav</w:t>
            </w:r>
            <w:r w:rsidRPr="00EF7F33">
              <w:t>a</w:t>
            </w:r>
            <w:r w:rsidRPr="00EF7F33">
              <w:t>nja tog subjekta.</w:t>
            </w:r>
          </w:p>
          <w:p w:rsidR="005643EA" w:rsidRPr="00EF7F33" w:rsidRDefault="002648B0" w:rsidP="00FD239F">
            <w:pPr>
              <w:pStyle w:val="InstructionsText"/>
            </w:pPr>
            <w:r w:rsidRPr="00EF7F33">
              <w:t>Potrebno je napomenuti da se ti instrumenti iskazuju i u stavci 15.1.</w:t>
            </w:r>
          </w:p>
        </w:tc>
      </w:tr>
      <w:tr w:rsidR="002648B0" w:rsidRPr="00EF7F33" w:rsidTr="00672D2A">
        <w:tc>
          <w:tcPr>
            <w:tcW w:w="1506" w:type="dxa"/>
          </w:tcPr>
          <w:p w:rsidR="002648B0" w:rsidRPr="00EF7F33" w:rsidRDefault="002648B0" w:rsidP="00FD239F">
            <w:pPr>
              <w:pStyle w:val="InstructionsText"/>
            </w:pPr>
            <w:r w:rsidRPr="00EF7F33">
              <w:t>700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23</w:t>
            </w:r>
            <w:r w:rsidRPr="00EF7F33">
              <w:tab/>
            </w:r>
            <w:r w:rsidRPr="00EF7F33">
              <w:rPr>
                <w:rStyle w:val="InstructionsTabelleberschrift"/>
                <w:rFonts w:ascii="Times New Roman" w:hAnsi="Times New Roman"/>
                <w:sz w:val="24"/>
              </w:rPr>
              <w:t>Ulaganja u instrumente dodatnog osnovnog kapitala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nema značajno ulaganje, privremeno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dodatnog osnovnog kapitala koje se primjenjuju na ulaganja u i</w:t>
            </w:r>
            <w:r w:rsidRPr="00EF7F33">
              <w:t>n</w:t>
            </w:r>
            <w:r w:rsidRPr="00EF7F33">
              <w:t>strumente specifičnog subjekta financijskog sektora ako to smatra ulag</w:t>
            </w:r>
            <w:r w:rsidRPr="00EF7F33">
              <w:t>a</w:t>
            </w:r>
            <w:r w:rsidRPr="00EF7F33">
              <w:t>njem radi postupka financijske pomoći u svrhu reorganizacije i spašav</w:t>
            </w:r>
            <w:r w:rsidRPr="00EF7F33">
              <w:t>a</w:t>
            </w:r>
            <w:r w:rsidRPr="00EF7F33">
              <w:t>nja tog subjekta.</w:t>
            </w:r>
          </w:p>
          <w:p w:rsidR="005643EA" w:rsidRPr="00EF7F33" w:rsidRDefault="002648B0" w:rsidP="00FD239F">
            <w:pPr>
              <w:pStyle w:val="InstructionsText"/>
            </w:pPr>
            <w:r w:rsidRPr="00EF7F33">
              <w:t>Potrebno je napomenuti da se ti instrumenti iskazuju i u stavci 13.1.</w:t>
            </w:r>
          </w:p>
        </w:tc>
      </w:tr>
      <w:tr w:rsidR="002648B0" w:rsidRPr="00EF7F33" w:rsidTr="00672D2A">
        <w:tc>
          <w:tcPr>
            <w:tcW w:w="1506" w:type="dxa"/>
          </w:tcPr>
          <w:p w:rsidR="002648B0" w:rsidRPr="00EF7F33" w:rsidRDefault="002648B0" w:rsidP="00FD239F">
            <w:pPr>
              <w:pStyle w:val="InstructionsText"/>
            </w:pPr>
            <w:r w:rsidRPr="00EF7F33">
              <w:t>710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24</w:t>
            </w:r>
            <w:r w:rsidRPr="00EF7F33">
              <w:tab/>
            </w:r>
            <w:r w:rsidRPr="00EF7F33">
              <w:rPr>
                <w:rStyle w:val="InstructionsTabelleberschrift"/>
                <w:rFonts w:ascii="Times New Roman" w:hAnsi="Times New Roman"/>
                <w:sz w:val="24"/>
              </w:rPr>
              <w:t>Ulaganja u instrumente dodatnog osnovnog kapitala subjek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ta financijskog sektora ako institucija ima značajno ulaganje, pri</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dodatnog osnovnog kapitala koje se primjenjuju na ulaganja u i</w:t>
            </w:r>
            <w:r w:rsidRPr="00EF7F33">
              <w:t>n</w:t>
            </w:r>
            <w:r w:rsidRPr="00EF7F33">
              <w:t>strumente specifičnog subjekta financijskog sektora ako to smatra ulag</w:t>
            </w:r>
            <w:r w:rsidRPr="00EF7F33">
              <w:t>a</w:t>
            </w:r>
            <w:r w:rsidRPr="00EF7F33">
              <w:t>njem radi postupka financijske pomoći u svrhu reorganizacije i spašav</w:t>
            </w:r>
            <w:r w:rsidRPr="00EF7F33">
              <w:t>a</w:t>
            </w:r>
            <w:r w:rsidRPr="00EF7F33">
              <w:t>nja tog subjekta.</w:t>
            </w:r>
          </w:p>
          <w:p w:rsidR="005643EA" w:rsidRPr="00EF7F33" w:rsidRDefault="002648B0" w:rsidP="00FD239F">
            <w:pPr>
              <w:pStyle w:val="InstructionsText"/>
            </w:pPr>
            <w:r w:rsidRPr="00EF7F33">
              <w:t>Potrebno je napomenuti da se ti instrumenti iskazuju i u stavci 16.1.</w:t>
            </w:r>
          </w:p>
        </w:tc>
      </w:tr>
      <w:tr w:rsidR="002648B0" w:rsidRPr="00EF7F33" w:rsidTr="00672D2A">
        <w:tc>
          <w:tcPr>
            <w:tcW w:w="1506" w:type="dxa"/>
          </w:tcPr>
          <w:p w:rsidR="002648B0" w:rsidRPr="00EF7F33" w:rsidRDefault="002648B0" w:rsidP="00FD239F">
            <w:pPr>
              <w:pStyle w:val="InstructionsText"/>
            </w:pPr>
            <w:r w:rsidRPr="00EF7F33">
              <w:lastRenderedPageBreak/>
              <w:t>720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25</w:t>
            </w:r>
            <w:r w:rsidRPr="00EF7F33">
              <w:tab/>
            </w:r>
            <w:r w:rsidRPr="00EF7F33">
              <w:rPr>
                <w:rStyle w:val="InstructionsTabelleberschrift"/>
                <w:rFonts w:ascii="Times New Roman" w:hAnsi="Times New Roman"/>
                <w:sz w:val="24"/>
              </w:rPr>
              <w:t>Ulaganja u instrumente dopunskog kapitala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nema značajno ulaganje, privremeno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dopunskog kapitala koje se primjenjuju na ulaganja u instrumente specifičnog subjekta financijskog sektora ako to smatra ulaganjem radi postupka financijske pomoći u svrhu reorganizacije i spašavanja tog su</w:t>
            </w:r>
            <w:r w:rsidRPr="00EF7F33">
              <w:t>b</w:t>
            </w:r>
            <w:r w:rsidRPr="00EF7F33">
              <w:t>jekta.</w:t>
            </w:r>
          </w:p>
          <w:p w:rsidR="005643EA" w:rsidRPr="00EF7F33" w:rsidRDefault="002648B0" w:rsidP="00FD239F">
            <w:pPr>
              <w:pStyle w:val="InstructionsText"/>
            </w:pPr>
            <w:r w:rsidRPr="00EF7F33">
              <w:t>Potrebno je napomenuti da se ti instrumenti iskazuju i u stavci 14.1.</w:t>
            </w:r>
          </w:p>
        </w:tc>
      </w:tr>
      <w:tr w:rsidR="002648B0" w:rsidRPr="00EF7F33" w:rsidTr="00672D2A">
        <w:tc>
          <w:tcPr>
            <w:tcW w:w="1506" w:type="dxa"/>
          </w:tcPr>
          <w:p w:rsidR="002648B0" w:rsidRPr="00EF7F33" w:rsidRDefault="002648B0" w:rsidP="00FD239F">
            <w:pPr>
              <w:pStyle w:val="InstructionsText"/>
            </w:pPr>
            <w:r w:rsidRPr="00EF7F33">
              <w:t>730</w:t>
            </w:r>
          </w:p>
        </w:tc>
        <w:tc>
          <w:tcPr>
            <w:tcW w:w="7243" w:type="dxa"/>
          </w:tcPr>
          <w:p w:rsidR="005643EA" w:rsidRPr="00EF7F33" w:rsidRDefault="002648B0" w:rsidP="00FD239F">
            <w:pPr>
              <w:pStyle w:val="InstructionsText"/>
            </w:pPr>
            <w:r w:rsidRPr="00EF7F33">
              <w:rPr>
                <w:rStyle w:val="InstructionsTabelleberschrift"/>
                <w:rFonts w:ascii="Times New Roman" w:hAnsi="Times New Roman"/>
                <w:sz w:val="24"/>
              </w:rPr>
              <w:t>26</w:t>
            </w:r>
            <w:r w:rsidRPr="00EF7F33">
              <w:tab/>
            </w:r>
            <w:r w:rsidRPr="00EF7F33">
              <w:rPr>
                <w:rStyle w:val="InstructionsTabelleberschrift"/>
                <w:rFonts w:ascii="Times New Roman" w:hAnsi="Times New Roman"/>
                <w:sz w:val="24"/>
              </w:rPr>
              <w:t>Ulaganja u instrumente dopunskog kapitala subjekata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sektora ako institucija ima značajno ulaganje, privremeno izuzeta</w:t>
            </w:r>
          </w:p>
          <w:p w:rsidR="005643EA" w:rsidRPr="00EF7F33" w:rsidRDefault="002648B0" w:rsidP="00FD239F">
            <w:pPr>
              <w:pStyle w:val="InstructionsText"/>
            </w:pPr>
            <w:r w:rsidRPr="00EF7F33">
              <w:t>Članak 79. CRR-a</w:t>
            </w:r>
          </w:p>
          <w:p w:rsidR="005643EA" w:rsidRPr="00EF7F33" w:rsidRDefault="002648B0" w:rsidP="00FD239F">
            <w:pPr>
              <w:pStyle w:val="InstructionsText"/>
            </w:pPr>
            <w:r w:rsidRPr="00EF7F33">
              <w:t>Nadležno tijelo može privremeno primijeniti izuzeće od odredbi o odbi</w:t>
            </w:r>
            <w:r w:rsidRPr="00EF7F33">
              <w:t>t</w:t>
            </w:r>
            <w:r w:rsidRPr="00EF7F33">
              <w:t>ku od dopunskog kapitala koje se primjenjuju na ulaganja u instrumente specifičnog subjekta financijskog sektora ako to smatra ulaganjem radi postupka financijske pomoći u svrhu reorganizacije i spašavanja tog su</w:t>
            </w:r>
            <w:r w:rsidRPr="00EF7F33">
              <w:t>b</w:t>
            </w:r>
            <w:r w:rsidRPr="00EF7F33">
              <w:t>jekta.</w:t>
            </w:r>
          </w:p>
          <w:p w:rsidR="005643EA" w:rsidRPr="00EF7F33" w:rsidRDefault="002648B0" w:rsidP="00FD239F">
            <w:pPr>
              <w:pStyle w:val="InstructionsText"/>
            </w:pPr>
            <w:r w:rsidRPr="00EF7F33">
              <w:t>Potrebno je napomenuti da se ti instrumenti iskazuju i u stavci 17.1.</w:t>
            </w:r>
          </w:p>
        </w:tc>
      </w:tr>
      <w:tr w:rsidR="002648B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EF7F33" w:rsidRDefault="002648B0" w:rsidP="00FD239F">
            <w:pPr>
              <w:pStyle w:val="InstructionsText"/>
            </w:pPr>
            <w:r w:rsidRPr="00EF7F33">
              <w:t>740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2648B0" w:rsidP="00FD239F">
            <w:pPr>
              <w:pStyle w:val="InstructionsText"/>
            </w:pPr>
            <w:r w:rsidRPr="00EF7F33">
              <w:rPr>
                <w:rStyle w:val="InstructionsTabelleberschrift"/>
                <w:rFonts w:ascii="Times New Roman" w:hAnsi="Times New Roman"/>
                <w:sz w:val="24"/>
              </w:rPr>
              <w:t>27</w:t>
            </w:r>
            <w:r w:rsidRPr="00EF7F33">
              <w:tab/>
            </w:r>
            <w:r w:rsidRPr="00EF7F33">
              <w:rPr>
                <w:rStyle w:val="InstructionsTabelleberschrift"/>
                <w:rFonts w:ascii="Times New Roman" w:hAnsi="Times New Roman"/>
                <w:sz w:val="24"/>
              </w:rPr>
              <w:t>Zahtjev za kombinirani zaštitni sloj</w:t>
            </w:r>
          </w:p>
          <w:p w:rsidR="005643EA" w:rsidRPr="00EF7F33" w:rsidRDefault="002648B0" w:rsidP="00FD239F">
            <w:pPr>
              <w:pStyle w:val="InstructionsText"/>
            </w:pPr>
            <w:r w:rsidRPr="00EF7F33">
              <w:t>Članak 128. točka 6. CRD-a.</w:t>
            </w:r>
          </w:p>
        </w:tc>
      </w:tr>
      <w:tr w:rsidR="002648B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EF7F33" w:rsidRDefault="00AC0F2C" w:rsidP="00FD239F">
            <w:pPr>
              <w:pStyle w:val="InstructionsText"/>
            </w:pPr>
            <w:r w:rsidRPr="00EF7F33">
              <w:t>750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454139" w:rsidP="00FD239F">
            <w:pPr>
              <w:pStyle w:val="InstructionsText"/>
            </w:pPr>
            <w:r w:rsidRPr="00EF7F33">
              <w:rPr>
                <w:rStyle w:val="InstructionsTabelleberschrift"/>
                <w:rFonts w:ascii="Times New Roman" w:hAnsi="Times New Roman"/>
                <w:sz w:val="24"/>
              </w:rPr>
              <w:t>Zaštitni sloj za očuvanje kapitala</w:t>
            </w:r>
          </w:p>
          <w:p w:rsidR="005643EA" w:rsidRPr="00EF7F33" w:rsidRDefault="002648B0" w:rsidP="00FD239F">
            <w:pPr>
              <w:pStyle w:val="InstructionsText"/>
            </w:pPr>
            <w:r w:rsidRPr="00EF7F33">
              <w:t xml:space="preserve">Članak 128. točka 1. i članak 129. CRD-a </w:t>
            </w:r>
          </w:p>
          <w:p w:rsidR="005643EA" w:rsidRPr="00EF7F33" w:rsidRDefault="002648B0" w:rsidP="00FD239F">
            <w:pPr>
              <w:pStyle w:val="InstructionsText"/>
            </w:pPr>
            <w:r w:rsidRPr="00EF7F33">
              <w:t>U skladu s člankom 129. stavkom 1. zaštitni sloj za očuvanje kapitala nastavlja se na redovni osnovni kapital. Budući da je stopa zaštitnog sl</w:t>
            </w:r>
            <w:r w:rsidRPr="00EF7F33">
              <w:t>o</w:t>
            </w:r>
            <w:r w:rsidRPr="00EF7F33">
              <w:t>ja za očuvanje kapitala od 2,5 % stabilna, iznos se iskazuje u ovoj rubr</w:t>
            </w:r>
            <w:r w:rsidRPr="00EF7F33">
              <w:t>i</w:t>
            </w:r>
            <w:r w:rsidRPr="00EF7F33">
              <w:t>ci.</w:t>
            </w:r>
          </w:p>
        </w:tc>
      </w:tr>
      <w:tr w:rsidR="002648B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EF7F33" w:rsidRDefault="002648B0" w:rsidP="00FD239F">
            <w:pPr>
              <w:pStyle w:val="InstructionsText"/>
            </w:pPr>
            <w:r w:rsidRPr="00EF7F33">
              <w:t>760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2648B0" w:rsidP="00FD239F">
            <w:pPr>
              <w:pStyle w:val="InstructionsText"/>
            </w:pPr>
            <w:r w:rsidRPr="00EF7F33">
              <w:rPr>
                <w:rStyle w:val="InstructionsTabelleberschrift"/>
                <w:rFonts w:ascii="Times New Roman" w:hAnsi="Times New Roman"/>
                <w:sz w:val="24"/>
              </w:rPr>
              <w:t>Zaštitni sloj za očuvanje kapitala zbog makrobonitetnog ili siste</w:t>
            </w:r>
            <w:r w:rsidRPr="00EF7F33">
              <w:rPr>
                <w:rStyle w:val="InstructionsTabelleberschrift"/>
                <w:rFonts w:ascii="Times New Roman" w:hAnsi="Times New Roman"/>
                <w:sz w:val="24"/>
              </w:rPr>
              <w:t>m</w:t>
            </w:r>
            <w:r w:rsidRPr="00EF7F33">
              <w:rPr>
                <w:rStyle w:val="InstructionsTabelleberschrift"/>
                <w:rFonts w:ascii="Times New Roman" w:hAnsi="Times New Roman"/>
                <w:sz w:val="24"/>
              </w:rPr>
              <w:t xml:space="preserve">skog rizika utvrđenog na razini države članice </w:t>
            </w:r>
          </w:p>
          <w:p w:rsidR="005643EA" w:rsidRPr="00EF7F33" w:rsidRDefault="002648B0" w:rsidP="00FD239F">
            <w:pPr>
              <w:pStyle w:val="InstructionsText"/>
            </w:pPr>
            <w:r w:rsidRPr="00EF7F33">
              <w:t>Članak 458. stavak 2. točka (d) podtočka iv. CRR-a</w:t>
            </w:r>
          </w:p>
          <w:p w:rsidR="00DF65DF" w:rsidRPr="00EF7F33" w:rsidRDefault="002648B0" w:rsidP="00FD239F">
            <w:pPr>
              <w:pStyle w:val="InstructionsText"/>
            </w:pPr>
            <w:r w:rsidRPr="00EF7F33">
              <w:t>U ovoj se rubrici iskazuje iznos zaštitnog sloja za očuvanje kapitala zbog makrobonitetnog ili sistemskog rizika utvrđenog na razini države članice koji se može zatražiti u skladu s člankom 458. CRR-a uz zaštitni sloj za očuvanje kapitala.</w:t>
            </w:r>
          </w:p>
          <w:p w:rsidR="005643EA" w:rsidRPr="00EF7F33" w:rsidRDefault="00DF65DF" w:rsidP="00FD239F">
            <w:pPr>
              <w:pStyle w:val="InstructionsText"/>
            </w:pPr>
            <w:r w:rsidRPr="00EF7F33">
              <w:t>Iskazani iznos predstavlja iznos regulatornog kapitala koji je potreban za ispunjenje zahtjeva za zaštitni sloj kapitala na izvještajni datum.</w:t>
            </w:r>
          </w:p>
        </w:tc>
      </w:tr>
      <w:tr w:rsidR="002648B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EF7F33" w:rsidRDefault="002648B0" w:rsidP="00FD239F">
            <w:pPr>
              <w:pStyle w:val="InstructionsText"/>
            </w:pPr>
            <w:r w:rsidRPr="00EF7F33">
              <w:t>770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10177C" w:rsidP="00FD239F">
            <w:pPr>
              <w:pStyle w:val="InstructionsText"/>
            </w:pPr>
            <w:r w:rsidRPr="00EF7F33">
              <w:rPr>
                <w:rStyle w:val="InstructionsTabelleberschrift"/>
                <w:rFonts w:ascii="Times New Roman" w:hAnsi="Times New Roman"/>
                <w:sz w:val="24"/>
              </w:rPr>
              <w:t xml:space="preserve">Protuciklički zaštitni sloj kapitala specifičan za instituciju </w:t>
            </w:r>
          </w:p>
          <w:p w:rsidR="00DF65DF" w:rsidRPr="00EF7F33" w:rsidRDefault="002648B0" w:rsidP="00FD239F">
            <w:pPr>
              <w:pStyle w:val="InstructionsText"/>
            </w:pPr>
            <w:r w:rsidRPr="00EF7F33">
              <w:t xml:space="preserve">Članak 128. točka 2., članak 130. i članci od 135. do 140. CRD-a </w:t>
            </w:r>
          </w:p>
          <w:p w:rsidR="005643EA" w:rsidRPr="00EF7F33" w:rsidRDefault="00DF65DF" w:rsidP="00FD239F">
            <w:pPr>
              <w:pStyle w:val="InstructionsText"/>
            </w:pPr>
            <w:r w:rsidRPr="00EF7F33">
              <w:t xml:space="preserve">Iskazani iznos predstavlja iznos regulatornog kapitala koji je potreban za ispunjenje odgovarajućeg zahtjeva za zaštitni sloj kapitala na izvještajni </w:t>
            </w:r>
            <w:r w:rsidRPr="00EF7F33">
              <w:lastRenderedPageBreak/>
              <w:t>datum.</w:t>
            </w:r>
          </w:p>
        </w:tc>
      </w:tr>
      <w:tr w:rsidR="002648B0"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EF7F33" w:rsidRDefault="002648B0" w:rsidP="00FD239F">
            <w:pPr>
              <w:pStyle w:val="InstructionsText"/>
            </w:pPr>
            <w:r w:rsidRPr="00EF7F33">
              <w:lastRenderedPageBreak/>
              <w:t>780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2648B0" w:rsidP="00FD239F">
            <w:pPr>
              <w:pStyle w:val="InstructionsText"/>
            </w:pPr>
            <w:r w:rsidRPr="00EF7F33">
              <w:rPr>
                <w:rStyle w:val="InstructionsTabelleberschrift"/>
                <w:rFonts w:ascii="Times New Roman" w:hAnsi="Times New Roman"/>
                <w:sz w:val="24"/>
              </w:rPr>
              <w:t xml:space="preserve">Zaštitni sloj za sistemski rizik </w:t>
            </w:r>
          </w:p>
          <w:p w:rsidR="00DF65DF" w:rsidRPr="00EF7F33" w:rsidRDefault="002648B0" w:rsidP="00FD239F">
            <w:pPr>
              <w:pStyle w:val="InstructionsText"/>
            </w:pPr>
            <w:r w:rsidRPr="00EF7F33">
              <w:t xml:space="preserve">Članak 128. točka 5., članak 133. i članak 134. CRD-a </w:t>
            </w:r>
          </w:p>
          <w:p w:rsidR="005643EA" w:rsidRPr="00EF7F33" w:rsidRDefault="00DF65DF" w:rsidP="00FD239F">
            <w:pPr>
              <w:pStyle w:val="InstructionsText"/>
            </w:pPr>
            <w:r w:rsidRPr="00EF7F33">
              <w:t>Iskazani iznos predstavlja iznos regulatornog kapitala koji je potreban za ispunjenje odgovarajućeg zahtjeva za zaštitni sloj kapitala na izvještajni datum.</w:t>
            </w:r>
          </w:p>
        </w:tc>
      </w:tr>
      <w:tr w:rsidR="00AC0F2C"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EF7F33" w:rsidRDefault="00497D60" w:rsidP="00FD239F">
            <w:pPr>
              <w:pStyle w:val="InstructionsText"/>
            </w:pPr>
            <w:r w:rsidRPr="00EF7F33">
              <w:t>800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10177C"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Zaštitni sloj za globalnu sistemski važnu instituciju</w:t>
            </w:r>
          </w:p>
          <w:p w:rsidR="00DF65DF" w:rsidRPr="00EF7F33" w:rsidRDefault="00AC0F2C"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128. točka 3. i članak 131. CRD-a</w:t>
            </w:r>
          </w:p>
          <w:p w:rsidR="005643EA" w:rsidRPr="00EF7F33" w:rsidRDefault="00DF65DF" w:rsidP="00FD239F">
            <w:pPr>
              <w:pStyle w:val="InstructionsText"/>
              <w:rPr>
                <w:rStyle w:val="InstructionsTabelleberschrift"/>
                <w:rFonts w:ascii="Times New Roman" w:hAnsi="Times New Roman"/>
                <w:b w:val="0"/>
                <w:bCs w:val="0"/>
                <w:sz w:val="24"/>
                <w:u w:val="none"/>
              </w:rPr>
            </w:pPr>
            <w:r w:rsidRPr="00EF7F33">
              <w:t>Iskazani iznos predstavlja iznos regulatornog kapitala koji je potreban za ispunjenje zahtjeva za zaštitni sloj kapitala na izvještajni datum.</w:t>
            </w:r>
          </w:p>
        </w:tc>
      </w:tr>
      <w:tr w:rsidR="00AC0F2C"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EF7F33" w:rsidRDefault="00497D60" w:rsidP="00FD239F">
            <w:pPr>
              <w:pStyle w:val="InstructionsText"/>
            </w:pPr>
            <w:r w:rsidRPr="00EF7F33">
              <w:t>810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10177C"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xml:space="preserve">Zaštitni sloj za ostale sistemski važne institucije </w:t>
            </w:r>
          </w:p>
          <w:p w:rsidR="00DF65DF" w:rsidRPr="00EF7F33" w:rsidRDefault="00AC0F2C"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128. točka 4. i članak 131. CRD-a</w:t>
            </w:r>
          </w:p>
          <w:p w:rsidR="005643EA" w:rsidRPr="00EF7F33" w:rsidRDefault="00DF65DF" w:rsidP="00FD239F">
            <w:pPr>
              <w:pStyle w:val="InstructionsText"/>
              <w:rPr>
                <w:rStyle w:val="InstructionsTabelleberschrift"/>
                <w:rFonts w:ascii="Times New Roman" w:hAnsi="Times New Roman"/>
                <w:b w:val="0"/>
                <w:bCs w:val="0"/>
                <w:sz w:val="24"/>
                <w:u w:val="none"/>
              </w:rPr>
            </w:pPr>
            <w:r w:rsidRPr="00EF7F33">
              <w:t>Iskazani iznos predstavlja iznos regulatornog kapitala koji je potreban za ispunjenje zahtjeva za zaštitni sloj kapitala na izvještajni datum.</w:t>
            </w:r>
          </w:p>
        </w:tc>
      </w:tr>
      <w:tr w:rsidR="00E81DB9"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EF7F33" w:rsidRDefault="00497D60" w:rsidP="00FD239F">
            <w:pPr>
              <w:pStyle w:val="InstructionsText"/>
            </w:pPr>
            <w:r w:rsidRPr="00EF7F33">
              <w:t>820</w:t>
            </w:r>
          </w:p>
          <w:p w:rsidR="00E81DB9" w:rsidRPr="00EF7F33"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E81DB9"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28</w:t>
            </w:r>
            <w:r w:rsidRPr="00EF7F33">
              <w:tab/>
            </w:r>
            <w:r w:rsidRPr="00EF7F33">
              <w:rPr>
                <w:rStyle w:val="InstructionsTabelleberschrift"/>
                <w:rFonts w:ascii="Times New Roman" w:hAnsi="Times New Roman"/>
                <w:sz w:val="24"/>
              </w:rPr>
              <w:t>Kapitalni zahtjevi povezani s usklađenjima iz stupa II</w:t>
            </w:r>
          </w:p>
          <w:p w:rsidR="005643EA" w:rsidRPr="00EF7F33" w:rsidRDefault="00190FA3"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104. stavak 2. CRD-a. </w:t>
            </w:r>
          </w:p>
          <w:p w:rsidR="005643EA" w:rsidRPr="00EF7F33" w:rsidRDefault="00190FA3"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Ako nadležno tijelo odluči da institucija treba izračunati dodatne kap</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talne zahtjeve za potrebe stupa II, ti se dodatni kapitalni zahtjevi iskaz</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 xml:space="preserve">ju u ovoj rubrici. </w:t>
            </w:r>
          </w:p>
        </w:tc>
      </w:tr>
      <w:tr w:rsidR="00E81DB9"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EF7F33" w:rsidRDefault="00497D60" w:rsidP="00FD239F">
            <w:pPr>
              <w:pStyle w:val="InstructionsText"/>
            </w:pPr>
            <w:r w:rsidRPr="00EF7F33">
              <w:t>830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F2264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29</w:t>
            </w:r>
            <w:r w:rsidRPr="00EF7F33">
              <w:tab/>
            </w:r>
            <w:r w:rsidRPr="00EF7F33">
              <w:rPr>
                <w:rStyle w:val="InstructionsTabelleberschrift"/>
                <w:rFonts w:ascii="Times New Roman" w:hAnsi="Times New Roman"/>
                <w:sz w:val="24"/>
              </w:rPr>
              <w:t>Inicijalni kapital</w:t>
            </w:r>
          </w:p>
          <w:p w:rsidR="005643EA" w:rsidRPr="00EF7F33" w:rsidRDefault="00E0639C"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12. i članci od 28. do 31. CRD-a i članak 93. CRR-a</w:t>
            </w:r>
          </w:p>
        </w:tc>
      </w:tr>
      <w:tr w:rsidR="00E81DB9"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EF7F33" w:rsidRDefault="00497D60" w:rsidP="00FD239F">
            <w:pPr>
              <w:pStyle w:val="InstructionsText"/>
            </w:pPr>
            <w:r w:rsidRPr="00EF7F33">
              <w:t>840</w:t>
            </w:r>
          </w:p>
        </w:tc>
        <w:tc>
          <w:tcPr>
            <w:tcW w:w="7243" w:type="dxa"/>
            <w:tcBorders>
              <w:top w:val="single" w:sz="4" w:space="0" w:color="auto"/>
              <w:left w:val="single" w:sz="4" w:space="0" w:color="auto"/>
              <w:bottom w:val="single" w:sz="4" w:space="0" w:color="auto"/>
              <w:right w:val="single" w:sz="4" w:space="0" w:color="auto"/>
            </w:tcBorders>
          </w:tcPr>
          <w:p w:rsidR="005643EA" w:rsidRPr="00EF7F33" w:rsidRDefault="00F2264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30</w:t>
            </w:r>
            <w:r w:rsidRPr="00EF7F33">
              <w:tab/>
            </w:r>
            <w:r w:rsidRPr="00EF7F33">
              <w:rPr>
                <w:rStyle w:val="InstructionsTabelleberschrift"/>
                <w:rFonts w:ascii="Times New Roman" w:hAnsi="Times New Roman"/>
                <w:sz w:val="24"/>
              </w:rPr>
              <w:t>Regulatorni kapital na osnovi fiksnih općih troškova</w:t>
            </w:r>
          </w:p>
          <w:p w:rsidR="005643EA" w:rsidRPr="00EF7F33" w:rsidRDefault="00E0639C"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96. stavak 2. točka (b), članak 97. i članak 98. stavak 1. točka (a) CRR-a.</w:t>
            </w:r>
          </w:p>
        </w:tc>
      </w:tr>
      <w:tr w:rsidR="00A774C1"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EF7F33" w:rsidRDefault="00497D60" w:rsidP="00FD239F">
            <w:pPr>
              <w:pStyle w:val="InstructionsText"/>
            </w:pPr>
            <w:r w:rsidRPr="00EF7F33">
              <w:t>850</w:t>
            </w:r>
          </w:p>
        </w:tc>
        <w:tc>
          <w:tcPr>
            <w:tcW w:w="7243" w:type="dxa"/>
            <w:tcBorders>
              <w:top w:val="single" w:sz="4" w:space="0" w:color="auto"/>
              <w:left w:val="single" w:sz="4" w:space="0" w:color="auto"/>
              <w:bottom w:val="single" w:sz="4" w:space="0" w:color="auto"/>
              <w:right w:val="single" w:sz="4" w:space="0" w:color="auto"/>
            </w:tcBorders>
          </w:tcPr>
          <w:p w:rsidR="00A774C1" w:rsidRPr="00EF7F33" w:rsidRDefault="00F2264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31</w:t>
            </w:r>
            <w:r w:rsidRPr="00EF7F33">
              <w:tab/>
            </w:r>
            <w:r w:rsidRPr="00EF7F33">
              <w:rPr>
                <w:rStyle w:val="InstructionsTabelleberschrift"/>
                <w:rFonts w:ascii="Times New Roman" w:hAnsi="Times New Roman"/>
                <w:sz w:val="24"/>
              </w:rPr>
              <w:t>Strane originalne izloženosti</w:t>
            </w:r>
          </w:p>
          <w:p w:rsidR="00DD5F87" w:rsidRPr="00EF7F33" w:rsidRDefault="00A774C1"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Informacije potrebne za izračun praga za izvješćivanje iz obrasca CR GB u skladu s člankom 5. stavkom (a) točkom 4. ove Uredbe. Prag se i</w:t>
            </w:r>
            <w:r w:rsidRPr="00EF7F33">
              <w:rPr>
                <w:rStyle w:val="InstructionsTabelleberschrift"/>
                <w:rFonts w:ascii="Times New Roman" w:hAnsi="Times New Roman"/>
                <w:b w:val="0"/>
                <w:sz w:val="24"/>
                <w:u w:val="none"/>
              </w:rPr>
              <w:t>z</w:t>
            </w:r>
            <w:r w:rsidRPr="00EF7F33">
              <w:rPr>
                <w:rStyle w:val="InstructionsTabelleberschrift"/>
                <w:rFonts w:ascii="Times New Roman" w:hAnsi="Times New Roman"/>
                <w:b w:val="0"/>
                <w:sz w:val="24"/>
                <w:u w:val="none"/>
              </w:rPr>
              <w:t xml:space="preserve">računava na osnovi originalne izloženosti prije konverzijskog faktora. </w:t>
            </w:r>
          </w:p>
          <w:p w:rsidR="00A774C1" w:rsidRPr="00EF7F33" w:rsidRDefault="00FA386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r w:rsidR="00A774C1"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EF7F33" w:rsidRDefault="00A774C1" w:rsidP="00FD239F">
            <w:pPr>
              <w:pStyle w:val="InstructionsText"/>
            </w:pPr>
            <w:r w:rsidRPr="00EF7F33">
              <w:t>860</w:t>
            </w:r>
          </w:p>
        </w:tc>
        <w:tc>
          <w:tcPr>
            <w:tcW w:w="7243" w:type="dxa"/>
            <w:tcBorders>
              <w:top w:val="single" w:sz="4" w:space="0" w:color="auto"/>
              <w:left w:val="single" w:sz="4" w:space="0" w:color="auto"/>
              <w:bottom w:val="single" w:sz="4" w:space="0" w:color="auto"/>
              <w:right w:val="single" w:sz="4" w:space="0" w:color="auto"/>
            </w:tcBorders>
          </w:tcPr>
          <w:p w:rsidR="00A774C1" w:rsidRPr="00EF7F33" w:rsidRDefault="00F2264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32</w:t>
            </w:r>
            <w:r w:rsidRPr="00EF7F33">
              <w:tab/>
            </w:r>
            <w:r w:rsidRPr="00EF7F33">
              <w:rPr>
                <w:rStyle w:val="InstructionsTabelleberschrift"/>
                <w:rFonts w:ascii="Times New Roman" w:hAnsi="Times New Roman"/>
                <w:sz w:val="24"/>
              </w:rPr>
              <w:t>Ukupne originalne izloženosti</w:t>
            </w:r>
          </w:p>
          <w:p w:rsidR="00DD5F87" w:rsidRPr="00EF7F33" w:rsidRDefault="00FA386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Informacije potrebne za izračun praga za izvješćivanje iz obrasca CR GB u skladu s člankom 5. stavkom (a) točkom 4. ove Uredbe. Prag se i</w:t>
            </w:r>
            <w:r w:rsidRPr="00EF7F33">
              <w:rPr>
                <w:rStyle w:val="InstructionsTabelleberschrift"/>
                <w:rFonts w:ascii="Times New Roman" w:hAnsi="Times New Roman"/>
                <w:b w:val="0"/>
                <w:sz w:val="24"/>
                <w:u w:val="none"/>
              </w:rPr>
              <w:t>z</w:t>
            </w:r>
            <w:r w:rsidRPr="00EF7F33">
              <w:rPr>
                <w:rStyle w:val="InstructionsTabelleberschrift"/>
                <w:rFonts w:ascii="Times New Roman" w:hAnsi="Times New Roman"/>
                <w:b w:val="0"/>
                <w:sz w:val="24"/>
                <w:u w:val="none"/>
              </w:rPr>
              <w:t>računava na osnovi originalne izloženosti prije konverzijskog faktora.</w:t>
            </w:r>
          </w:p>
          <w:p w:rsidR="00A774C1" w:rsidRPr="00EF7F33" w:rsidRDefault="00FA386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r w:rsidR="00700DFD"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EF7F33" w:rsidRDefault="007E16E5" w:rsidP="00FD239F">
            <w:pPr>
              <w:pStyle w:val="InstructionsText"/>
            </w:pPr>
            <w:r w:rsidRPr="00EF7F33">
              <w:t>870</w:t>
            </w:r>
          </w:p>
        </w:tc>
        <w:tc>
          <w:tcPr>
            <w:tcW w:w="7243" w:type="dxa"/>
            <w:tcBorders>
              <w:top w:val="single" w:sz="4" w:space="0" w:color="auto"/>
              <w:left w:val="single" w:sz="4" w:space="0" w:color="auto"/>
              <w:bottom w:val="single" w:sz="4" w:space="0" w:color="auto"/>
              <w:right w:val="single" w:sz="4" w:space="0" w:color="auto"/>
            </w:tcBorders>
          </w:tcPr>
          <w:p w:rsidR="007E16E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Usklađenja ukupnog regulatornog kapitala</w:t>
            </w:r>
          </w:p>
          <w:p w:rsidR="00700DFD" w:rsidRPr="00EF7F33" w:rsidRDefault="00700DFD"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500. stavak 4. CRR-a</w:t>
            </w:r>
          </w:p>
          <w:p w:rsidR="00643362" w:rsidRPr="00EF7F33" w:rsidRDefault="00DE48EF"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Razlika između iznosa iskazanog u retku 800 i ukupnog regulatornog </w:t>
            </w:r>
            <w:r w:rsidRPr="00EF7F33">
              <w:rPr>
                <w:rStyle w:val="InstructionsTabelleberschrift"/>
                <w:rFonts w:ascii="Times New Roman" w:hAnsi="Times New Roman"/>
                <w:b w:val="0"/>
                <w:sz w:val="24"/>
                <w:u w:val="none"/>
              </w:rPr>
              <w:lastRenderedPageBreak/>
              <w:t xml:space="preserve">kapitala na temelju CRR-a mora se iskazati u ovom retku. </w:t>
            </w:r>
          </w:p>
          <w:p w:rsidR="00DE48EF" w:rsidRPr="00EF7F33" w:rsidRDefault="003A1469"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Ako se primjenjuje alternativni standardizirani pristup (članak 500. st</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vak 2. CRR-a), ovaj se redak ne popunjava.</w:t>
            </w:r>
          </w:p>
        </w:tc>
      </w:tr>
      <w:tr w:rsidR="000A4B61"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EF7F33" w:rsidRDefault="007E16E5" w:rsidP="00FD239F">
            <w:pPr>
              <w:pStyle w:val="InstructionsText"/>
            </w:pPr>
            <w:r w:rsidRPr="00EF7F33">
              <w:lastRenderedPageBreak/>
              <w:t>880</w:t>
            </w:r>
          </w:p>
        </w:tc>
        <w:tc>
          <w:tcPr>
            <w:tcW w:w="7243" w:type="dxa"/>
            <w:tcBorders>
              <w:top w:val="single" w:sz="4" w:space="0" w:color="auto"/>
              <w:left w:val="single" w:sz="4" w:space="0" w:color="auto"/>
              <w:bottom w:val="single" w:sz="4" w:space="0" w:color="auto"/>
              <w:right w:val="single" w:sz="4" w:space="0" w:color="auto"/>
            </w:tcBorders>
          </w:tcPr>
          <w:p w:rsidR="007E16E5" w:rsidRPr="00EF7F33" w:rsidRDefault="007E16E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Regulatorni kapital u potpunosti usklađen s pragom iz Basela I</w:t>
            </w:r>
          </w:p>
          <w:p w:rsidR="000A4B61" w:rsidRPr="00EF7F33" w:rsidRDefault="007E16E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500. stavak 4. CRR-a</w:t>
            </w:r>
          </w:p>
          <w:p w:rsidR="002540B2" w:rsidRPr="00EF7F33" w:rsidRDefault="002540B2"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Ukupni regulatorni kapital na temelju CRR-a koji je usklađen kako je propisano člankom 500. stavkom 4. CRR-a (odnosno u potpunosti u</w:t>
            </w:r>
            <w:r w:rsidRPr="00EF7F33">
              <w:rPr>
                <w:rStyle w:val="InstructionsTabelleberschrift"/>
                <w:rFonts w:ascii="Times New Roman" w:hAnsi="Times New Roman"/>
                <w:b w:val="0"/>
                <w:sz w:val="24"/>
                <w:u w:val="none"/>
              </w:rPr>
              <w:t>s</w:t>
            </w:r>
            <w:r w:rsidRPr="00EF7F33">
              <w:rPr>
                <w:rStyle w:val="InstructionsTabelleberschrift"/>
                <w:rFonts w:ascii="Times New Roman" w:hAnsi="Times New Roman"/>
                <w:b w:val="0"/>
                <w:sz w:val="24"/>
                <w:u w:val="none"/>
              </w:rPr>
              <w:t>klađen kako bi se odrazila razlika između izračuna regulatornoga kapit</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la u skladu s Direktivom 93/6/EEZ i Direktivom 2000/12/EZ kako su te direktive glasile prije 1. siječnja 2007. i izračuna regulatornoga kapitala u skladu s CRR-om koji proizlazi iz različitih tretmana očekivanoga g</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bitka i neočekivanoga gubitka u skladu s dijelom trećim glavom II. po</w:t>
            </w:r>
            <w:r w:rsidRPr="00EF7F33">
              <w:rPr>
                <w:rStyle w:val="InstructionsTabelleberschrift"/>
                <w:rFonts w:ascii="Times New Roman" w:hAnsi="Times New Roman"/>
                <w:b w:val="0"/>
                <w:sz w:val="24"/>
                <w:u w:val="none"/>
              </w:rPr>
              <w:t>g</w:t>
            </w:r>
            <w:r w:rsidRPr="00EF7F33">
              <w:rPr>
                <w:rStyle w:val="InstructionsTabelleberschrift"/>
                <w:rFonts w:ascii="Times New Roman" w:hAnsi="Times New Roman"/>
                <w:b w:val="0"/>
                <w:sz w:val="24"/>
                <w:u w:val="none"/>
              </w:rPr>
              <w:t xml:space="preserve">lavljem 3. CRR-a) mora se iskazati u ovom retku. </w:t>
            </w:r>
          </w:p>
          <w:p w:rsidR="00DE48EF" w:rsidRPr="00EF7F33" w:rsidRDefault="003A1469"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Ako se primjenjuje alternativni standardizirani pristup (članak 500. st</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vak 2. CRR-a), ovaj se redak ne popunjava.</w:t>
            </w:r>
          </w:p>
        </w:tc>
      </w:tr>
      <w:tr w:rsidR="000A4B61"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EF7F33" w:rsidRDefault="007E16E5" w:rsidP="00FD239F">
            <w:pPr>
              <w:pStyle w:val="InstructionsText"/>
            </w:pPr>
            <w:r w:rsidRPr="00EF7F33">
              <w:t>890</w:t>
            </w:r>
          </w:p>
        </w:tc>
        <w:tc>
          <w:tcPr>
            <w:tcW w:w="7243" w:type="dxa"/>
            <w:tcBorders>
              <w:top w:val="single" w:sz="4" w:space="0" w:color="auto"/>
              <w:left w:val="single" w:sz="4" w:space="0" w:color="auto"/>
              <w:bottom w:val="single" w:sz="4" w:space="0" w:color="auto"/>
              <w:right w:val="single" w:sz="4" w:space="0" w:color="auto"/>
            </w:tcBorders>
          </w:tcPr>
          <w:p w:rsidR="007E16E5" w:rsidRPr="00EF7F33" w:rsidRDefault="007E16E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Kapitalni zahtjevi za prag iz Basela I</w:t>
            </w:r>
          </w:p>
          <w:p w:rsidR="000A4B61" w:rsidRPr="00EF7F33" w:rsidRDefault="007E16E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500. stavak 1. točka (b) CRR-a. </w:t>
            </w:r>
          </w:p>
          <w:p w:rsidR="00DE48EF" w:rsidRPr="00EF7F33" w:rsidRDefault="002540B2"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b w:val="0"/>
                <w:sz w:val="24"/>
                <w:u w:val="none"/>
              </w:rPr>
              <w:t>Iznos regulatornog kapitala koji se mora imati kako je propisano čla</w:t>
            </w:r>
            <w:r w:rsidRPr="00EF7F33">
              <w:rPr>
                <w:rStyle w:val="InstructionsTabelleberschrift"/>
                <w:rFonts w:ascii="Times New Roman" w:hAnsi="Times New Roman"/>
                <w:b w:val="0"/>
                <w:sz w:val="24"/>
                <w:u w:val="none"/>
              </w:rPr>
              <w:t>n</w:t>
            </w:r>
            <w:r w:rsidRPr="00EF7F33">
              <w:rPr>
                <w:rStyle w:val="InstructionsTabelleberschrift"/>
                <w:rFonts w:ascii="Times New Roman" w:hAnsi="Times New Roman"/>
                <w:b w:val="0"/>
                <w:sz w:val="24"/>
                <w:u w:val="none"/>
              </w:rPr>
              <w:t>kom 500. stavkom 1. točkom (b) CRR-a (odnosno 80 % ukupnog min</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malnog iznosa regulatornoga kapitala koji bi institucija trebala imati u skladu s člankom 4. Direktive 93/6/EEZ kako su ta Direktiva i Direktiva 2000/12/EZ Europskog parlamenta i Vijeća od 20. ožujka 2000. o osn</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vanju i obavljanju djelatnosti kreditnih institucija glasile prije 1. siječnja 2007.) mora se iskazati u ovom retku.</w:t>
            </w:r>
          </w:p>
        </w:tc>
      </w:tr>
      <w:tr w:rsidR="000A4B61"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EF7F33" w:rsidRDefault="007E16E5" w:rsidP="00FD239F">
            <w:pPr>
              <w:pStyle w:val="InstructionsText"/>
            </w:pPr>
            <w:r w:rsidRPr="00EF7F33">
              <w:t>900</w:t>
            </w:r>
          </w:p>
        </w:tc>
        <w:tc>
          <w:tcPr>
            <w:tcW w:w="7243" w:type="dxa"/>
            <w:tcBorders>
              <w:top w:val="single" w:sz="4" w:space="0" w:color="auto"/>
              <w:left w:val="single" w:sz="4" w:space="0" w:color="auto"/>
              <w:bottom w:val="single" w:sz="4" w:space="0" w:color="auto"/>
              <w:right w:val="single" w:sz="4" w:space="0" w:color="auto"/>
            </w:tcBorders>
          </w:tcPr>
          <w:p w:rsidR="007E16E5" w:rsidRPr="00EF7F33" w:rsidRDefault="007E16E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Kapitalni zahtjevi za prag iz Basela I – alternativni standardizirani pristup</w:t>
            </w:r>
          </w:p>
          <w:p w:rsidR="000A4B61" w:rsidRPr="00EF7F33" w:rsidRDefault="007E16E5"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500. stavci 2. i 3. CRR-a </w:t>
            </w:r>
          </w:p>
          <w:p w:rsidR="00DE48EF" w:rsidRPr="00EF7F33" w:rsidRDefault="00DE48EF"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Iznos regulatornog kapitala koji se mora imati kako je propisano čla</w:t>
            </w:r>
            <w:r w:rsidRPr="00EF7F33">
              <w:rPr>
                <w:rStyle w:val="InstructionsTabelleberschrift"/>
                <w:rFonts w:ascii="Times New Roman" w:hAnsi="Times New Roman"/>
                <w:b w:val="0"/>
                <w:sz w:val="24"/>
                <w:u w:val="none"/>
              </w:rPr>
              <w:t>n</w:t>
            </w:r>
            <w:r w:rsidRPr="00EF7F33">
              <w:rPr>
                <w:rStyle w:val="InstructionsTabelleberschrift"/>
                <w:rFonts w:ascii="Times New Roman" w:hAnsi="Times New Roman"/>
                <w:b w:val="0"/>
                <w:sz w:val="24"/>
                <w:u w:val="none"/>
              </w:rPr>
              <w:t>kom 500. stavkom 2. CRR-a (odnosno 80 % regulatornoga kapitala koji bi institucija trebala imati u skladu s člankom 92., pri čemu se iznosi i</w:t>
            </w:r>
            <w:r w:rsidRPr="00EF7F33">
              <w:rPr>
                <w:rStyle w:val="InstructionsTabelleberschrift"/>
                <w:rFonts w:ascii="Times New Roman" w:hAnsi="Times New Roman"/>
                <w:b w:val="0"/>
                <w:sz w:val="24"/>
                <w:u w:val="none"/>
              </w:rPr>
              <w:t>z</w:t>
            </w:r>
            <w:r w:rsidRPr="00EF7F33">
              <w:rPr>
                <w:rStyle w:val="InstructionsTabelleberschrift"/>
                <w:rFonts w:ascii="Times New Roman" w:hAnsi="Times New Roman"/>
                <w:b w:val="0"/>
                <w:sz w:val="24"/>
                <w:u w:val="none"/>
              </w:rPr>
              <w:t>loženosti ponderirani rizikom izračunavaju u skladu s dijelom trećim glavom II. poglavljem 2. i dijelom trećim glavom III. poglavljem 2. ili 3. CRR-a, ovisno o slučaju, umjesto u skladu s dijelom trećim glavom II. poglavljem 3. ili dijelom trećim glavom III. poglavljem 4. CRR-a, ovi</w:t>
            </w:r>
            <w:r w:rsidRPr="00EF7F33">
              <w:rPr>
                <w:rStyle w:val="InstructionsTabelleberschrift"/>
                <w:rFonts w:ascii="Times New Roman" w:hAnsi="Times New Roman"/>
                <w:b w:val="0"/>
                <w:sz w:val="24"/>
                <w:u w:val="none"/>
              </w:rPr>
              <w:t>s</w:t>
            </w:r>
            <w:r w:rsidRPr="00EF7F33">
              <w:rPr>
                <w:rStyle w:val="InstructionsTabelleberschrift"/>
                <w:rFonts w:ascii="Times New Roman" w:hAnsi="Times New Roman"/>
                <w:b w:val="0"/>
                <w:sz w:val="24"/>
                <w:u w:val="none"/>
              </w:rPr>
              <w:t>no o slučaju.) mora se iskazati u ovom retku.</w:t>
            </w:r>
          </w:p>
        </w:tc>
      </w:tr>
      <w:tr w:rsidR="00A840D5" w:rsidRPr="00EF7F3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EF7F33" w:rsidRDefault="00A840D5" w:rsidP="00FD239F">
            <w:pPr>
              <w:pStyle w:val="InstructionsText"/>
            </w:pPr>
            <w:r w:rsidRPr="00EF7F33">
              <w:t>910</w:t>
            </w:r>
          </w:p>
        </w:tc>
        <w:tc>
          <w:tcPr>
            <w:tcW w:w="7243" w:type="dxa"/>
            <w:tcBorders>
              <w:top w:val="single" w:sz="4" w:space="0" w:color="auto"/>
              <w:left w:val="single" w:sz="4" w:space="0" w:color="auto"/>
              <w:bottom w:val="single" w:sz="4" w:space="0" w:color="auto"/>
              <w:right w:val="single" w:sz="4" w:space="0" w:color="auto"/>
            </w:tcBorders>
          </w:tcPr>
          <w:p w:rsidR="002540B2" w:rsidRPr="00EF7F33" w:rsidRDefault="002540B2"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Deficit ukupnog regulatornog kapitala u pogledu kapitalnih zahtj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va za prag iz Basela I ili alternativni standardizirani pristup</w:t>
            </w:r>
          </w:p>
          <w:p w:rsidR="00DE48EF" w:rsidRPr="00EF7F33" w:rsidRDefault="003A1469"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500. stavak 1. točka (b) i članak 500. stavak 2. CRR-a </w:t>
            </w:r>
          </w:p>
          <w:p w:rsidR="00DE48EF" w:rsidRPr="00EF7F33" w:rsidRDefault="00DE48EF"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U ovaj se redak unosi:</w:t>
            </w:r>
          </w:p>
          <w:p w:rsidR="00DE48EF" w:rsidRPr="00EF7F33" w:rsidRDefault="00DE48EF"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w:t>
            </w:r>
            <w:r w:rsidRPr="00EF7F33">
              <w:tab/>
            </w:r>
            <w:r w:rsidRPr="00EF7F33">
              <w:rPr>
                <w:rStyle w:val="InstructionsTabelleberschrift"/>
                <w:rFonts w:ascii="Times New Roman" w:hAnsi="Times New Roman"/>
                <w:b w:val="0"/>
                <w:sz w:val="24"/>
                <w:u w:val="none"/>
              </w:rPr>
              <w:t xml:space="preserve">ako se primjenjuje članak 500. stavak 1. točka (b) CRR-a i ako je redak 880 &lt; retka 890: </w:t>
            </w:r>
            <w:r w:rsidRPr="00EF7F33">
              <w:rPr>
                <w:rStyle w:val="InstructionsTabelleberschrift"/>
                <w:rFonts w:ascii="Times New Roman" w:hAnsi="Times New Roman"/>
                <w:b w:val="0"/>
                <w:sz w:val="24"/>
                <w:u w:val="none"/>
              </w:rPr>
              <w:br/>
              <w:t xml:space="preserve">razlika između retka 890 i retka 880 </w:t>
            </w:r>
          </w:p>
          <w:p w:rsidR="00DE48EF" w:rsidRPr="00EF7F33" w:rsidRDefault="00DE48EF"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w:t>
            </w:r>
            <w:r w:rsidRPr="00EF7F33">
              <w:tab/>
            </w:r>
            <w:r w:rsidRPr="00EF7F33">
              <w:rPr>
                <w:rStyle w:val="InstructionsTabelleberschrift"/>
                <w:rFonts w:ascii="Times New Roman" w:hAnsi="Times New Roman"/>
                <w:b w:val="0"/>
                <w:sz w:val="24"/>
                <w:u w:val="none"/>
              </w:rPr>
              <w:t xml:space="preserve">ili ako se primjenjuje članak 500. stavak 2. CRR-a i ako je redak </w:t>
            </w:r>
            <w:r w:rsidRPr="00EF7F33">
              <w:rPr>
                <w:rStyle w:val="InstructionsTabelleberschrift"/>
                <w:rFonts w:ascii="Times New Roman" w:hAnsi="Times New Roman"/>
                <w:b w:val="0"/>
                <w:sz w:val="24"/>
                <w:u w:val="none"/>
              </w:rPr>
              <w:lastRenderedPageBreak/>
              <w:t>010 iz obrasca C 01.00 &lt; retka 900 iz obrasca C 04.00: razlika između retka 900 iz obrasca C 04.00 i retka 010 iz obrasca C 01.00</w:t>
            </w:r>
          </w:p>
        </w:tc>
      </w:tr>
    </w:tbl>
    <w:p w:rsidR="002648B0" w:rsidRPr="00EF7F33" w:rsidRDefault="002648B0" w:rsidP="00FD239F">
      <w:pPr>
        <w:pStyle w:val="InstructionsText"/>
      </w:pPr>
    </w:p>
    <w:p w:rsidR="002648B0" w:rsidRPr="00EF7F33"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523998108"/>
      <w:bookmarkStart w:id="89" w:name="_Toc308175834"/>
      <w:r w:rsidRPr="00EF7F33">
        <w:rPr>
          <w:rFonts w:ascii="Times New Roman" w:hAnsi="Times New Roman"/>
          <w:sz w:val="24"/>
          <w:u w:val="none"/>
        </w:rPr>
        <w:t>1.6</w:t>
      </w:r>
      <w:r w:rsidRPr="00EF7F33">
        <w:tab/>
      </w:r>
      <w:r w:rsidRPr="00EF7F33">
        <w:rPr>
          <w:rFonts w:ascii="Times New Roman" w:hAnsi="Times New Roman"/>
          <w:sz w:val="24"/>
        </w:rPr>
        <w:t>PRIJELAZNE ODREDBE i INSTRUMENTI KOJI SE NASTAVLJAJU PRIZNAVATI: INSTRUMENTI KOJI NISU INSTRUMENTI DRŽAVNE POTPORE (CA 5</w:t>
      </w:r>
      <w:bookmarkEnd w:id="85"/>
      <w:r w:rsidRPr="00EF7F33">
        <w:rPr>
          <w:rFonts w:ascii="Times New Roman" w:hAnsi="Times New Roman"/>
          <w:sz w:val="24"/>
        </w:rPr>
        <w:t>)</w:t>
      </w:r>
      <w:bookmarkEnd w:id="86"/>
      <w:bookmarkEnd w:id="87"/>
      <w:bookmarkEnd w:id="88"/>
    </w:p>
    <w:p w:rsidR="002648B0" w:rsidRPr="00EF7F33"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3998109"/>
      <w:bookmarkEnd w:id="89"/>
      <w:r w:rsidRPr="00EF7F33">
        <w:rPr>
          <w:rFonts w:ascii="Times New Roman" w:hAnsi="Times New Roman"/>
          <w:sz w:val="24"/>
          <w:u w:val="none"/>
        </w:rPr>
        <w:t>1.6.1</w:t>
      </w:r>
      <w:r w:rsidRPr="00EF7F33">
        <w:tab/>
      </w:r>
      <w:r w:rsidRPr="00EF7F33">
        <w:rPr>
          <w:rFonts w:ascii="Times New Roman" w:hAnsi="Times New Roman"/>
          <w:sz w:val="24"/>
        </w:rPr>
        <w:t>Opće napomene</w:t>
      </w:r>
      <w:bookmarkEnd w:id="90"/>
      <w:bookmarkEnd w:id="91"/>
      <w:bookmarkEnd w:id="92"/>
      <w:bookmarkEnd w:id="93"/>
      <w:bookmarkEnd w:id="94"/>
    </w:p>
    <w:p w:rsidR="00783881" w:rsidRPr="00EF7F33" w:rsidRDefault="00B43C2A" w:rsidP="00C37B29">
      <w:pPr>
        <w:pStyle w:val="InstructionsText2"/>
        <w:numPr>
          <w:ilvl w:val="0"/>
          <w:numId w:val="0"/>
        </w:numPr>
        <w:ind w:left="993"/>
      </w:pPr>
      <w:r w:rsidRPr="00EF7F33">
        <w:t>15.</w:t>
      </w:r>
      <w:r w:rsidRPr="00EF7F33">
        <w:tab/>
        <w:t>U obrascu CA5 daje se sažetak izračuna elemenata i odbitaka regulatornog k</w:t>
      </w:r>
      <w:r w:rsidRPr="00EF7F33">
        <w:t>a</w:t>
      </w:r>
      <w:r w:rsidRPr="00EF7F33">
        <w:t xml:space="preserve">pitala na koje se primjenjuju prijelazne odredbe utvrđene u člancima od 465. do 491. CRR-a. </w:t>
      </w:r>
    </w:p>
    <w:p w:rsidR="00496C53" w:rsidRPr="00EF7F33" w:rsidRDefault="00125707" w:rsidP="00C37B29">
      <w:pPr>
        <w:pStyle w:val="InstructionsText2"/>
        <w:numPr>
          <w:ilvl w:val="0"/>
          <w:numId w:val="0"/>
        </w:numPr>
        <w:ind w:left="993"/>
      </w:pPr>
      <w:r w:rsidRPr="00EF7F33">
        <w:t>16.</w:t>
      </w:r>
      <w:r w:rsidRPr="00EF7F33">
        <w:tab/>
        <w:t>Obrazac CA5 strukturiran je kako slijedi:</w:t>
      </w:r>
    </w:p>
    <w:p w:rsidR="002648B0" w:rsidRPr="00EF7F33" w:rsidRDefault="00125707" w:rsidP="00C37B29">
      <w:pPr>
        <w:pStyle w:val="InstructionsText2"/>
        <w:numPr>
          <w:ilvl w:val="0"/>
          <w:numId w:val="0"/>
        </w:numPr>
        <w:ind w:left="993"/>
      </w:pPr>
      <w:r w:rsidRPr="00EF7F33">
        <w:t>(a)</w:t>
      </w:r>
      <w:r w:rsidRPr="00EF7F33">
        <w:tab/>
        <w:t xml:space="preserve">U </w:t>
      </w:r>
      <w:r w:rsidRPr="00EF7F33">
        <w:rPr>
          <w:u w:val="single"/>
        </w:rPr>
        <w:t>obrascu 5.1</w:t>
      </w:r>
      <w:r w:rsidRPr="00EF7F33">
        <w:t xml:space="preserve"> daje se sažetak ukupnih usklađenja koje je potrebno napraviti na različitim komponentama regularnog kapitala (iskazanih u CA1 u skladu sa zavr</w:t>
      </w:r>
      <w:r w:rsidRPr="00EF7F33">
        <w:t>š</w:t>
      </w:r>
      <w:r w:rsidRPr="00EF7F33">
        <w:t>nim odredbama) kao posljedica primjene prijelaznih odredbi. Elementi iz ove tabl</w:t>
      </w:r>
      <w:r w:rsidRPr="00EF7F33">
        <w:t>i</w:t>
      </w:r>
      <w:r w:rsidRPr="00EF7F33">
        <w:t>ce predstavljeni su kao „usklađenja” različitih komponenti kapitala u CA1 kako bi u komponentama regulatornog kapitala odražavali učinke prijelaznih odredbi.</w:t>
      </w:r>
    </w:p>
    <w:p w:rsidR="002648B0" w:rsidRPr="00EF7F33" w:rsidRDefault="00125707" w:rsidP="00C37B29">
      <w:pPr>
        <w:pStyle w:val="InstructionsText2"/>
        <w:numPr>
          <w:ilvl w:val="0"/>
          <w:numId w:val="0"/>
        </w:numPr>
        <w:ind w:left="993"/>
      </w:pPr>
      <w:r w:rsidRPr="00EF7F33">
        <w:t>(b)</w:t>
      </w:r>
      <w:r w:rsidRPr="00EF7F33">
        <w:tab/>
        <w:t xml:space="preserve">U </w:t>
      </w:r>
      <w:r w:rsidRPr="00EF7F33">
        <w:rPr>
          <w:u w:val="single"/>
        </w:rPr>
        <w:t>obrascu 5.2</w:t>
      </w:r>
      <w:r w:rsidRPr="00EF7F33">
        <w:t xml:space="preserve"> nalaze se detaljniji podaci o izračunu tih instrumenata koji se n</w:t>
      </w:r>
      <w:r w:rsidRPr="00EF7F33">
        <w:t>a</w:t>
      </w:r>
      <w:r w:rsidRPr="00EF7F33">
        <w:t xml:space="preserve">stavljaju priznavati i koji nisu državna potpora. </w:t>
      </w:r>
    </w:p>
    <w:p w:rsidR="005643EA" w:rsidRPr="00EF7F33" w:rsidRDefault="00125707" w:rsidP="00C37B29">
      <w:pPr>
        <w:pStyle w:val="InstructionsText2"/>
        <w:numPr>
          <w:ilvl w:val="0"/>
          <w:numId w:val="0"/>
        </w:numPr>
        <w:ind w:left="993"/>
      </w:pPr>
      <w:bookmarkStart w:id="95" w:name="_Toc307386943"/>
      <w:r w:rsidRPr="00EF7F33">
        <w:t>17.</w:t>
      </w:r>
      <w:r w:rsidRPr="00EF7F33">
        <w:tab/>
        <w:t>U prva četiri stupca institucije iskazuju usklađenja redovnog osnovnog kapit</w:t>
      </w:r>
      <w:r w:rsidRPr="00EF7F33">
        <w:t>a</w:t>
      </w:r>
      <w:r w:rsidRPr="00EF7F33">
        <w:t>la, dodatnog osnovnog kapitala i dopunskog kapitala te iznos koji je potrebno tret</w:t>
      </w:r>
      <w:r w:rsidRPr="00EF7F33">
        <w:t>i</w:t>
      </w:r>
      <w:r w:rsidRPr="00EF7F33">
        <w:t>rati kao rizikom ponderiranu imovinu. Od institucija se zahtijeva i iskazivanje o</w:t>
      </w:r>
      <w:r w:rsidRPr="00EF7F33">
        <w:t>d</w:t>
      </w:r>
      <w:r w:rsidRPr="00EF7F33">
        <w:t>govarajućeg postotka u stupcu 050 i priznatog iznosa bez priznavanja prijelaznih odredbi u stupcu 060.</w:t>
      </w:r>
    </w:p>
    <w:p w:rsidR="005643EA" w:rsidRPr="00EF7F33" w:rsidRDefault="00125707" w:rsidP="00C37B29">
      <w:pPr>
        <w:pStyle w:val="InstructionsText2"/>
        <w:numPr>
          <w:ilvl w:val="0"/>
          <w:numId w:val="0"/>
        </w:numPr>
        <w:ind w:left="993"/>
      </w:pPr>
      <w:r w:rsidRPr="00EF7F33">
        <w:t>18.</w:t>
      </w:r>
      <w:r w:rsidRPr="00EF7F33">
        <w:tab/>
        <w:t>Institucije u CA5 iskazuju samo elemente tijekom razdoblja u kojem se pri</w:t>
      </w:r>
      <w:r w:rsidRPr="00EF7F33">
        <w:t>m</w:t>
      </w:r>
      <w:r w:rsidRPr="00EF7F33">
        <w:t>jenjuju prijelazne odredbe u skladu s dijelom desetim CRR-a.</w:t>
      </w:r>
    </w:p>
    <w:p w:rsidR="005643EA" w:rsidRPr="00EF7F33" w:rsidRDefault="00125707" w:rsidP="00C37B29">
      <w:pPr>
        <w:pStyle w:val="InstructionsText2"/>
        <w:numPr>
          <w:ilvl w:val="0"/>
          <w:numId w:val="0"/>
        </w:numPr>
        <w:ind w:left="993"/>
      </w:pPr>
      <w:r w:rsidRPr="00EF7F33">
        <w:t>19.</w:t>
      </w:r>
      <w:r w:rsidRPr="00EF7F33">
        <w:tab/>
        <w:t>Nekim prijelaznim odredbama propisuje se odbitak od osnovnog kapitala. Ako je to slučaj kada se preostali iznos odbitka ili odbitaka primjenjuje na osnovni kap</w:t>
      </w:r>
      <w:r w:rsidRPr="00EF7F33">
        <w:t>i</w:t>
      </w:r>
      <w:r w:rsidRPr="00EF7F33">
        <w:t>tal i ne postoji dovoljno dodatnog osnovnog kapitala za apsorbiranje tog iznosa, v</w:t>
      </w:r>
      <w:r w:rsidRPr="00EF7F33">
        <w:t>i</w:t>
      </w:r>
      <w:r w:rsidRPr="00EF7F33">
        <w:t>šak se odbija od redovnog osnovnog kapitala.</w:t>
      </w: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523998110"/>
      <w:bookmarkStart w:id="99" w:name="_Toc360188335"/>
      <w:bookmarkStart w:id="100" w:name="_Toc308175836"/>
      <w:bookmarkEnd w:id="95"/>
      <w:r w:rsidRPr="00EF7F33">
        <w:rPr>
          <w:rFonts w:ascii="Times New Roman" w:hAnsi="Times New Roman"/>
          <w:sz w:val="24"/>
          <w:u w:val="none"/>
        </w:rPr>
        <w:t>1.6.2.</w:t>
      </w:r>
      <w:r w:rsidRPr="00EF7F33">
        <w:tab/>
      </w:r>
      <w:r w:rsidRPr="00EF7F33">
        <w:rPr>
          <w:rFonts w:ascii="Times New Roman" w:hAnsi="Times New Roman"/>
          <w:sz w:val="24"/>
        </w:rPr>
        <w:t>C 05.01 – PRIJELAZNE ODREDBE (CA5.1)</w:t>
      </w:r>
      <w:bookmarkEnd w:id="96"/>
      <w:bookmarkEnd w:id="97"/>
      <w:bookmarkEnd w:id="98"/>
      <w:r w:rsidRPr="00EF7F33">
        <w:rPr>
          <w:rFonts w:ascii="Times New Roman" w:hAnsi="Times New Roman"/>
          <w:sz w:val="24"/>
        </w:rPr>
        <w:t xml:space="preserve"> </w:t>
      </w:r>
      <w:bookmarkEnd w:id="99"/>
      <w:bookmarkEnd w:id="100"/>
    </w:p>
    <w:p w:rsidR="002648B0" w:rsidRPr="00EF7F33" w:rsidRDefault="00125707" w:rsidP="00C37B29">
      <w:pPr>
        <w:pStyle w:val="InstructionsText2"/>
        <w:numPr>
          <w:ilvl w:val="0"/>
          <w:numId w:val="0"/>
        </w:numPr>
        <w:ind w:left="993"/>
      </w:pPr>
      <w:r w:rsidRPr="00EF7F33">
        <w:t>20.</w:t>
      </w:r>
      <w:r w:rsidRPr="00EF7F33">
        <w:tab/>
        <w:t>Institucije u tablici 5.1 iskazuju prijelazne odredbe o komponentama regulato</w:t>
      </w:r>
      <w:r w:rsidRPr="00EF7F33">
        <w:t>r</w:t>
      </w:r>
      <w:r w:rsidRPr="00EF7F33">
        <w:t xml:space="preserve">nog kapitala kako je utvrđeno u člancima od 465. do 491. CRR-a, u usporedbi s primjenom završnih odredbi utvrđenih u dijelu drugom glavi II. CRR-a. </w:t>
      </w:r>
    </w:p>
    <w:p w:rsidR="00783881" w:rsidRPr="00EF7F33" w:rsidRDefault="00125707" w:rsidP="00C37B29">
      <w:pPr>
        <w:pStyle w:val="InstructionsText2"/>
        <w:numPr>
          <w:ilvl w:val="0"/>
          <w:numId w:val="0"/>
        </w:numPr>
        <w:ind w:left="993"/>
      </w:pPr>
      <w:r w:rsidRPr="00EF7F33">
        <w:t>21.</w:t>
      </w:r>
      <w:r w:rsidRPr="00EF7F33">
        <w:tab/>
        <w:t>Institucije u redcima od 020 do 060 iskazuju informacije povezane s prijela</w:t>
      </w:r>
      <w:r w:rsidRPr="00EF7F33">
        <w:t>z</w:t>
      </w:r>
      <w:r w:rsidRPr="00EF7F33">
        <w:t>nim odredbama o instrumentima koji se nastavljaju priznavati. Vrijednosti koje je potrebno iskazati u stupcima od 010 do 030 retka 060 iz CA 5.1 mogu se izvesti iz odgovarajućih odjeljaka CA 5.2.</w:t>
      </w:r>
    </w:p>
    <w:p w:rsidR="00496C53" w:rsidRPr="00EF7F33" w:rsidRDefault="00125707" w:rsidP="00C37B29">
      <w:pPr>
        <w:pStyle w:val="InstructionsText2"/>
        <w:numPr>
          <w:ilvl w:val="0"/>
          <w:numId w:val="0"/>
        </w:numPr>
        <w:ind w:left="993"/>
      </w:pPr>
      <w:r w:rsidRPr="00EF7F33">
        <w:lastRenderedPageBreak/>
        <w:t>22.</w:t>
      </w:r>
      <w:r w:rsidRPr="00EF7F33">
        <w:tab/>
        <w:t>U redcima od 070 do 092 institucije iskazuju informacije povezane s prijela</w:t>
      </w:r>
      <w:r w:rsidRPr="00EF7F33">
        <w:t>z</w:t>
      </w:r>
      <w:r w:rsidRPr="00EF7F33">
        <w:t>nim odredbama o manjinskim udjelima i instrumentima dodatnog osnovnog kapit</w:t>
      </w:r>
      <w:r w:rsidRPr="00EF7F33">
        <w:t>a</w:t>
      </w:r>
      <w:r w:rsidRPr="00EF7F33">
        <w:t>la i dopunskog kapitala društava kćeri (u skladu s člancima 479. i 480. CRR-a).</w:t>
      </w:r>
    </w:p>
    <w:p w:rsidR="00783881" w:rsidRPr="00EF7F33" w:rsidRDefault="00125707" w:rsidP="00C37B29">
      <w:pPr>
        <w:pStyle w:val="InstructionsText2"/>
        <w:numPr>
          <w:ilvl w:val="0"/>
          <w:numId w:val="0"/>
        </w:numPr>
        <w:ind w:left="993"/>
      </w:pPr>
      <w:r w:rsidRPr="00EF7F33">
        <w:t>23.</w:t>
      </w:r>
      <w:r w:rsidRPr="00EF7F33">
        <w:tab/>
        <w:t>U retku 100 nadalje institucije iskazuju informacije povezane s prijelaznim o</w:t>
      </w:r>
      <w:r w:rsidRPr="00EF7F33">
        <w:t>d</w:t>
      </w:r>
      <w:r w:rsidRPr="00EF7F33">
        <w:t>redbama o nerealiziranim dobicima i gubicima, odbicima te dodatnim filtrima i o</w:t>
      </w:r>
      <w:r w:rsidRPr="00EF7F33">
        <w:t>d</w:t>
      </w:r>
      <w:r w:rsidRPr="00EF7F33">
        <w:t>bicima.</w:t>
      </w:r>
    </w:p>
    <w:p w:rsidR="005643EA" w:rsidRPr="00EF7F33" w:rsidRDefault="00125707" w:rsidP="00C37B29">
      <w:pPr>
        <w:pStyle w:val="InstructionsText2"/>
        <w:numPr>
          <w:ilvl w:val="0"/>
          <w:numId w:val="0"/>
        </w:numPr>
        <w:ind w:left="993"/>
      </w:pPr>
      <w:r w:rsidRPr="00EF7F33">
        <w:t>24.</w:t>
      </w:r>
      <w:r w:rsidRPr="00EF7F33">
        <w:tab/>
        <w:t>To bi moglo biti u slučajevima kada prijelazni odbici od redovnog osnovnog kapitala, dodatnog osnovnog kapitala ili dopunskog kapitala premašuju redovni o</w:t>
      </w:r>
      <w:r w:rsidRPr="00EF7F33">
        <w:t>s</w:t>
      </w:r>
      <w:r w:rsidRPr="00EF7F33">
        <w:t>novni kapital, dodatni osnovni kapital ili dopunski kapital institucije. Ovaj se uč</w:t>
      </w:r>
      <w:r w:rsidRPr="00EF7F33">
        <w:t>i</w:t>
      </w:r>
      <w:r w:rsidRPr="00EF7F33">
        <w:t>nak – ako proizlazi iz prijelaznih odredbi – iskazuje u obrascu CA1 upotrebom o</w:t>
      </w:r>
      <w:r w:rsidRPr="00EF7F33">
        <w:t>d</w:t>
      </w:r>
      <w:r w:rsidRPr="00EF7F33">
        <w:t xml:space="preserve">govarajućih rubrika. Kao posljedica toga, usklađenja u stupcima obrasca CA5 ne uključuju nikakve učinke prelijevanja u slučaju nedostatnog dostupnog kapitala. </w:t>
      </w: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3998111"/>
      <w:r w:rsidRPr="00EF7F33">
        <w:rPr>
          <w:rFonts w:ascii="Times New Roman" w:hAnsi="Times New Roman"/>
          <w:sz w:val="24"/>
          <w:u w:val="none"/>
        </w:rPr>
        <w:t>1.6.2.1.</w:t>
      </w:r>
      <w:r w:rsidRPr="00EF7F33">
        <w:tab/>
      </w:r>
      <w:r w:rsidRPr="00EF7F33">
        <w:rPr>
          <w:rFonts w:ascii="Times New Roman" w:hAnsi="Times New Roman"/>
          <w:sz w:val="24"/>
        </w:rPr>
        <w:t>Upute za specifične pozicije</w:t>
      </w:r>
      <w:bookmarkEnd w:id="101"/>
      <w:bookmarkEnd w:id="102"/>
      <w:bookmarkEnd w:id="103"/>
      <w:bookmarkEnd w:id="104"/>
    </w:p>
    <w:p w:rsidR="002648B0" w:rsidRPr="00EF7F33"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EF7F33" w:rsidTr="00672D2A">
        <w:tc>
          <w:tcPr>
            <w:tcW w:w="8372" w:type="dxa"/>
            <w:gridSpan w:val="2"/>
            <w:shd w:val="clear" w:color="auto" w:fill="D9D9D9"/>
          </w:tcPr>
          <w:p w:rsidR="00783881" w:rsidRPr="00EF7F33" w:rsidRDefault="002648B0" w:rsidP="00FD239F">
            <w:pPr>
              <w:pStyle w:val="InstructionsText"/>
            </w:pPr>
            <w:r w:rsidRPr="00EF7F33">
              <w:t>Stupci</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010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Usklađenja redovnog osnovnog kapitala</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020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Usklađenja dodatnog osnovnog kapitala</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030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Usklađenja dopunskog kapitala</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040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Usklađenja uključena u rizikom ponderiranu imovinu</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U stupac 040 uključuju se relevantni iznosi kojima se usklađuje ukupan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 izloženosti riziku iz članka 92. stavka 3. CRR-a zbog prijelaznih o</w:t>
            </w:r>
            <w:r w:rsidRPr="00EF7F33">
              <w:rPr>
                <w:rStyle w:val="InstructionsTabelleText"/>
                <w:rFonts w:ascii="Times New Roman" w:hAnsi="Times New Roman"/>
                <w:sz w:val="24"/>
              </w:rPr>
              <w:t>d</w:t>
            </w:r>
            <w:r w:rsidRPr="00EF7F33">
              <w:rPr>
                <w:rStyle w:val="InstructionsTabelleText"/>
                <w:rFonts w:ascii="Times New Roman" w:hAnsi="Times New Roman"/>
                <w:sz w:val="24"/>
              </w:rPr>
              <w:t>redbi. U iskazanim iznosima uzima se u obzir primjena odredbi iz dijela trećeg glave II. poglavlja 2. ili 3. ili iz dijela trećeg glave IV. u skladu s člankom 92. stavkom 4. CRR-a. To znači da se iznosi na temelju prijela</w:t>
            </w:r>
            <w:r w:rsidRPr="00EF7F33">
              <w:rPr>
                <w:rStyle w:val="InstructionsTabelleText"/>
                <w:rFonts w:ascii="Times New Roman" w:hAnsi="Times New Roman"/>
                <w:sz w:val="24"/>
              </w:rPr>
              <w:t>z</w:t>
            </w:r>
            <w:r w:rsidRPr="00EF7F33">
              <w:rPr>
                <w:rStyle w:val="InstructionsTabelleText"/>
                <w:rFonts w:ascii="Times New Roman" w:hAnsi="Times New Roman"/>
                <w:sz w:val="24"/>
              </w:rPr>
              <w:t>nih odredbi koji podliježu odredbama iz dijela trećeg glave II. poglavlja 2. ili 3. iskazuju kao iznosi izloženosti ponderirani rizikom, dok iznosi na t</w:t>
            </w:r>
            <w:r w:rsidRPr="00EF7F33">
              <w:rPr>
                <w:rStyle w:val="InstructionsTabelleText"/>
                <w:rFonts w:ascii="Times New Roman" w:hAnsi="Times New Roman"/>
                <w:sz w:val="24"/>
              </w:rPr>
              <w:t>e</w:t>
            </w:r>
            <w:r w:rsidRPr="00EF7F33">
              <w:rPr>
                <w:rStyle w:val="InstructionsTabelleText"/>
                <w:rFonts w:ascii="Times New Roman" w:hAnsi="Times New Roman"/>
                <w:sz w:val="24"/>
              </w:rPr>
              <w:t>melju prijelaznih odredbi koji podliježu primjeni dijela trećeg glave IV.  predstavljaju kapitalne zahtjeve pomnožene sa 12,5.</w:t>
            </w:r>
          </w:p>
          <w:p w:rsidR="005643EA" w:rsidRPr="00EF7F33" w:rsidRDefault="00B4177D"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Dok su stupci od 010 do 030 izravno povezani s obrascem CA1, usklađenja uključena u ukupni iznos izloženosti riziku nisu izravno povezana s rel</w:t>
            </w:r>
            <w:r w:rsidRPr="00EF7F33">
              <w:rPr>
                <w:rStyle w:val="InstructionsTabelleText"/>
                <w:rFonts w:ascii="Times New Roman" w:hAnsi="Times New Roman"/>
                <w:sz w:val="24"/>
              </w:rPr>
              <w:t>e</w:t>
            </w:r>
            <w:r w:rsidRPr="00EF7F33">
              <w:rPr>
                <w:rStyle w:val="InstructionsTabelleText"/>
                <w:rFonts w:ascii="Times New Roman" w:hAnsi="Times New Roman"/>
                <w:sz w:val="24"/>
              </w:rPr>
              <w:t>vantnim obrascima za kreditni rizik. Ako postoje usklađenja koja proizlaze iz prijelaznih odredbi u vezi s ukupnim iznosom izloženosti riziku, nav</w:t>
            </w:r>
            <w:r w:rsidRPr="00EF7F33">
              <w:rPr>
                <w:rStyle w:val="InstructionsTabelleText"/>
                <w:rFonts w:ascii="Times New Roman" w:hAnsi="Times New Roman"/>
                <w:sz w:val="24"/>
              </w:rPr>
              <w:t>e</w:t>
            </w:r>
            <w:r w:rsidRPr="00EF7F33">
              <w:rPr>
                <w:rStyle w:val="InstructionsTabelleText"/>
                <w:rFonts w:ascii="Times New Roman" w:hAnsi="Times New Roman"/>
                <w:sz w:val="24"/>
              </w:rPr>
              <w:t>dena se usklađenja izravno uključuju u obrazac CR SA, CR IRB, CR EQU IRB, MKR SA TDI, MKR SA EQU ili MKR IM. Osim toga, n</w:t>
            </w:r>
            <w:r w:rsidRPr="00EF7F33">
              <w:rPr>
                <w:rStyle w:val="InstructionsTabelleText"/>
                <w:rFonts w:ascii="Times New Roman" w:hAnsi="Times New Roman"/>
                <w:sz w:val="24"/>
              </w:rPr>
              <w:t>a</w:t>
            </w:r>
            <w:r w:rsidRPr="00EF7F33">
              <w:rPr>
                <w:rStyle w:val="InstructionsTabelleText"/>
                <w:rFonts w:ascii="Times New Roman" w:hAnsi="Times New Roman"/>
                <w:sz w:val="24"/>
              </w:rPr>
              <w:t>vedeni se učinci iskazuju u stupcu 040 obrasca CA5.1. Kao posljedica t</w:t>
            </w:r>
            <w:r w:rsidRPr="00EF7F33">
              <w:rPr>
                <w:rStyle w:val="InstructionsTabelleText"/>
                <w:rFonts w:ascii="Times New Roman" w:hAnsi="Times New Roman"/>
                <w:sz w:val="24"/>
              </w:rPr>
              <w:t>o</w:t>
            </w:r>
            <w:r w:rsidRPr="00EF7F33">
              <w:rPr>
                <w:rStyle w:val="InstructionsTabelleText"/>
                <w:rFonts w:ascii="Times New Roman" w:hAnsi="Times New Roman"/>
                <w:sz w:val="24"/>
              </w:rPr>
              <w:t xml:space="preserve">ga, ti su iznosi samo bilješke. </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050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Primjenjivi postotak</w:t>
            </w:r>
          </w:p>
        </w:tc>
      </w:tr>
      <w:tr w:rsidR="002648B0" w:rsidRPr="00EF7F33" w:rsidTr="00672D2A">
        <w:tc>
          <w:tcPr>
            <w:tcW w:w="894"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060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Priznati iznos bez prijelaznih odredbi</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Stupac 060 uključuje iznos svakog instrumenta prije primjene prijelaznih odredbi, tj. osnovni iznos koji je relevantan za izračun usklađenja.</w:t>
            </w:r>
          </w:p>
        </w:tc>
      </w:tr>
    </w:tbl>
    <w:p w:rsidR="002648B0" w:rsidRPr="00EF7F33"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EF7F33" w:rsidTr="00672D2A">
        <w:tc>
          <w:tcPr>
            <w:tcW w:w="8490" w:type="dxa"/>
            <w:gridSpan w:val="2"/>
            <w:shd w:val="clear" w:color="auto" w:fill="D9D9D9"/>
          </w:tcPr>
          <w:p w:rsidR="002648B0" w:rsidRPr="00EF7F33" w:rsidRDefault="002648B0" w:rsidP="00FD239F">
            <w:pPr>
              <w:pStyle w:val="InstructionsText"/>
            </w:pPr>
            <w:r w:rsidRPr="00EF7F33">
              <w:lastRenderedPageBreak/>
              <w:t>Redci</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010</w:t>
            </w:r>
          </w:p>
        </w:tc>
        <w:tc>
          <w:tcPr>
            <w:tcW w:w="7478" w:type="dxa"/>
          </w:tcPr>
          <w:p w:rsidR="005643EA" w:rsidRPr="00EF7F33" w:rsidRDefault="00C66473" w:rsidP="00FD239F">
            <w:pPr>
              <w:pStyle w:val="InstructionsText"/>
              <w:rPr>
                <w:rStyle w:val="FormatvorlageInstructionsTabelleText"/>
                <w:rFonts w:ascii="Times New Roman" w:hAnsi="Times New Roman"/>
                <w:b/>
                <w:sz w:val="24"/>
                <w:u w:val="single"/>
              </w:rPr>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Ukupna usklađenja</w:t>
            </w:r>
          </w:p>
          <w:p w:rsidR="002648B0" w:rsidRPr="00EF7F33" w:rsidRDefault="002648B0" w:rsidP="007106FB">
            <w:pPr>
              <w:spacing w:before="0"/>
              <w:rPr>
                <w:rStyle w:val="FormatvorlageInstructionsTabelleText"/>
                <w:rFonts w:ascii="Times New Roman" w:hAnsi="Times New Roman"/>
                <w:bCs w:val="0"/>
                <w:sz w:val="24"/>
              </w:rPr>
            </w:pPr>
            <w:r w:rsidRPr="00EF7F33">
              <w:rPr>
                <w:rStyle w:val="InstructionsTabelleText"/>
                <w:rFonts w:ascii="Times New Roman" w:hAnsi="Times New Roman"/>
                <w:sz w:val="24"/>
              </w:rPr>
              <w:t>Ovaj redak odražava ukupan učinak prijelaznih usklađenja na različite vr</w:t>
            </w:r>
            <w:r w:rsidRPr="00EF7F33">
              <w:rPr>
                <w:rStyle w:val="InstructionsTabelleText"/>
                <w:rFonts w:ascii="Times New Roman" w:hAnsi="Times New Roman"/>
                <w:sz w:val="24"/>
              </w:rPr>
              <w:t>s</w:t>
            </w:r>
            <w:r w:rsidRPr="00EF7F33">
              <w:rPr>
                <w:rStyle w:val="InstructionsTabelleText"/>
                <w:rFonts w:ascii="Times New Roman" w:hAnsi="Times New Roman"/>
                <w:sz w:val="24"/>
              </w:rPr>
              <w:t>te kapitala, uvećan za iznose ponderirane rizikom proizišle iz tih usklađ</w:t>
            </w:r>
            <w:r w:rsidRPr="00EF7F33">
              <w:rPr>
                <w:rStyle w:val="InstructionsTabelleText"/>
                <w:rFonts w:ascii="Times New Roman" w:hAnsi="Times New Roman"/>
                <w:sz w:val="24"/>
              </w:rPr>
              <w:t>e</w:t>
            </w:r>
            <w:r w:rsidRPr="00EF7F33">
              <w:rPr>
                <w:rStyle w:val="InstructionsTabelleText"/>
                <w:rFonts w:ascii="Times New Roman" w:hAnsi="Times New Roman"/>
                <w:sz w:val="24"/>
              </w:rPr>
              <w:t>nja.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 xml:space="preserve">020 </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1.1</w:t>
            </w:r>
            <w:r w:rsidRPr="00EF7F33">
              <w:tab/>
            </w:r>
            <w:r w:rsidRPr="00EF7F33">
              <w:rPr>
                <w:rStyle w:val="InstructionsTabelleberschrift"/>
                <w:rFonts w:ascii="Times New Roman" w:hAnsi="Times New Roman"/>
                <w:sz w:val="24"/>
              </w:rPr>
              <w:t>Instrumenti koji se nastavljaju priznavati</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Članci od 483. do 491. CRR-a</w:t>
            </w:r>
          </w:p>
          <w:p w:rsidR="002648B0" w:rsidRPr="00EF7F33" w:rsidRDefault="002648B0" w:rsidP="007106FB">
            <w:pPr>
              <w:spacing w:before="0"/>
              <w:rPr>
                <w:rStyle w:val="FormatvorlageInstructionsTabelleText"/>
                <w:rFonts w:ascii="Times New Roman" w:hAnsi="Times New Roman"/>
                <w:sz w:val="24"/>
              </w:rPr>
            </w:pPr>
            <w:r w:rsidRPr="00EF7F33">
              <w:rPr>
                <w:rStyle w:val="InstructionsTabelleText"/>
                <w:rFonts w:ascii="Times New Roman" w:hAnsi="Times New Roman"/>
                <w:sz w:val="24"/>
              </w:rPr>
              <w:t>Ovaj redak odražava ukupan učinak instrumenata koji se nastavljaju pri</w:t>
            </w:r>
            <w:r w:rsidRPr="00EF7F33">
              <w:rPr>
                <w:rStyle w:val="InstructionsTabelleText"/>
                <w:rFonts w:ascii="Times New Roman" w:hAnsi="Times New Roman"/>
                <w:sz w:val="24"/>
              </w:rPr>
              <w:t>z</w:t>
            </w:r>
            <w:r w:rsidRPr="00EF7F33">
              <w:rPr>
                <w:rStyle w:val="InstructionsTabelleText"/>
                <w:rFonts w:ascii="Times New Roman" w:hAnsi="Times New Roman"/>
                <w:sz w:val="24"/>
              </w:rPr>
              <w:t>navati u prijelaznom razdoblju na različite vrste kapitala.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030</w:t>
            </w:r>
          </w:p>
        </w:tc>
        <w:tc>
          <w:tcPr>
            <w:tcW w:w="7478" w:type="dxa"/>
          </w:tcPr>
          <w:p w:rsidR="002648B0"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1.1.1</w:t>
            </w:r>
            <w:r w:rsidRPr="00EF7F33">
              <w:tab/>
            </w:r>
            <w:r w:rsidRPr="00EF7F33">
              <w:rPr>
                <w:rStyle w:val="InstructionsTabelleberschrift"/>
                <w:rFonts w:ascii="Times New Roman" w:hAnsi="Times New Roman"/>
                <w:sz w:val="24"/>
              </w:rPr>
              <w:t>Instrumenti koji se nastavljaju priznavati: instrumenti državne potpore</w:t>
            </w:r>
          </w:p>
          <w:p w:rsidR="002648B0" w:rsidRPr="00EF7F33" w:rsidRDefault="002648B0" w:rsidP="007106FB">
            <w:pPr>
              <w:spacing w:before="0"/>
              <w:rPr>
                <w:rStyle w:val="InstructionsTabelleberschrift"/>
                <w:rFonts w:ascii="Times New Roman" w:hAnsi="Times New Roman"/>
                <w:sz w:val="24"/>
              </w:rPr>
            </w:pPr>
            <w:r w:rsidRPr="00EF7F33">
              <w:rPr>
                <w:rStyle w:val="InstructionsTabelleText"/>
                <w:rFonts w:ascii="Times New Roman" w:hAnsi="Times New Roman"/>
                <w:sz w:val="24"/>
              </w:rPr>
              <w:t>Članak 483.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040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1.1.1.1</w:t>
            </w:r>
            <w:r w:rsidRPr="00EF7F33">
              <w:tab/>
            </w:r>
            <w:r w:rsidRPr="00EF7F33">
              <w:rPr>
                <w:rStyle w:val="InstructionsTabelleberschrift"/>
                <w:rFonts w:ascii="Times New Roman" w:hAnsi="Times New Roman"/>
                <w:sz w:val="24"/>
              </w:rPr>
              <w:t>Instrumenti koji su ispunili uvjete za regulatorni kapital u skladu s Direktivom 2006/48/EZ</w:t>
            </w:r>
          </w:p>
          <w:p w:rsidR="005643EA" w:rsidRPr="00EF7F33" w:rsidRDefault="002648B0" w:rsidP="00FD239F">
            <w:pPr>
              <w:pStyle w:val="InstructionsText"/>
              <w:rPr>
                <w:bCs/>
              </w:rPr>
            </w:pPr>
            <w:r w:rsidRPr="00EF7F33">
              <w:rPr>
                <w:rStyle w:val="InstructionsTabelleText"/>
                <w:rFonts w:ascii="Times New Roman" w:hAnsi="Times New Roman"/>
                <w:sz w:val="24"/>
              </w:rPr>
              <w:t>Članak 483. stavci 1., 2., 4. i 6.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050</w:t>
            </w:r>
          </w:p>
        </w:tc>
        <w:tc>
          <w:tcPr>
            <w:tcW w:w="7478" w:type="dxa"/>
          </w:tcPr>
          <w:p w:rsidR="002648B0"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1.1.1.2</w:t>
            </w:r>
            <w:r w:rsidRPr="00EF7F33">
              <w:tab/>
            </w:r>
            <w:r w:rsidRPr="00EF7F33">
              <w:rPr>
                <w:rStyle w:val="InstructionsTabelleberschrift"/>
                <w:rFonts w:ascii="Times New Roman" w:hAnsi="Times New Roman"/>
                <w:sz w:val="24"/>
              </w:rPr>
              <w:t>Instrumenti koje izdaju institucije koje su osnovane u državi članici koja podliježe Programu ekonomske prilagodbe</w:t>
            </w:r>
          </w:p>
          <w:p w:rsidR="002648B0" w:rsidRPr="00EF7F33" w:rsidRDefault="002648B0" w:rsidP="007106FB">
            <w:pPr>
              <w:spacing w:before="0"/>
              <w:rPr>
                <w:rFonts w:ascii="Times New Roman" w:hAnsi="Times New Roman"/>
                <w:b/>
                <w:bCs/>
                <w:sz w:val="24"/>
              </w:rPr>
            </w:pPr>
            <w:r w:rsidRPr="00EF7F33">
              <w:rPr>
                <w:rStyle w:val="InstructionsTabelleText"/>
                <w:rFonts w:ascii="Times New Roman" w:hAnsi="Times New Roman"/>
                <w:sz w:val="24"/>
              </w:rPr>
              <w:t>Članak 483. stavci 1.,3., 5., 7. i 8.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060</w:t>
            </w:r>
          </w:p>
        </w:tc>
        <w:tc>
          <w:tcPr>
            <w:tcW w:w="7478" w:type="dxa"/>
          </w:tcPr>
          <w:p w:rsidR="002648B0" w:rsidRPr="00EF7F33" w:rsidRDefault="002648B0" w:rsidP="007106FB">
            <w:pPr>
              <w:spacing w:before="0"/>
              <w:rPr>
                <w:rStyle w:val="InstructionsTabelleText"/>
                <w:rFonts w:ascii="Times New Roman" w:hAnsi="Times New Roman"/>
                <w:b/>
                <w:bCs/>
                <w:sz w:val="24"/>
                <w:u w:val="single"/>
              </w:rPr>
            </w:pPr>
            <w:r w:rsidRPr="00EF7F33">
              <w:rPr>
                <w:rStyle w:val="InstructionsTabelleberschrift"/>
                <w:rFonts w:ascii="Times New Roman" w:hAnsi="Times New Roman"/>
                <w:sz w:val="24"/>
              </w:rPr>
              <w:t>1.1.2</w:t>
            </w:r>
            <w:r w:rsidRPr="00EF7F33">
              <w:tab/>
            </w:r>
            <w:r w:rsidRPr="00EF7F33">
              <w:rPr>
                <w:rStyle w:val="InstructionsTabelleberschrift"/>
                <w:rFonts w:ascii="Times New Roman" w:hAnsi="Times New Roman"/>
                <w:sz w:val="24"/>
              </w:rPr>
              <w:t>Instrumenti koji nisu instrumenti državne potpore</w:t>
            </w:r>
          </w:p>
          <w:p w:rsidR="002648B0" w:rsidRPr="00EF7F33" w:rsidRDefault="002648B0" w:rsidP="007106FB">
            <w:pPr>
              <w:spacing w:before="0"/>
              <w:rPr>
                <w:rFonts w:ascii="Times New Roman" w:hAnsi="Times New Roman"/>
                <w:b/>
                <w:bCs/>
                <w:sz w:val="24"/>
              </w:rPr>
            </w:pPr>
            <w:r w:rsidRPr="00EF7F33">
              <w:rPr>
                <w:rStyle w:val="InstructionsTabelleText"/>
                <w:rFonts w:ascii="Times New Roman" w:hAnsi="Times New Roman"/>
                <w:sz w:val="24"/>
              </w:rPr>
              <w:t>Iznosi koje je potrebno iskazati dobivaju se iz stupca 060 tablice CA 5.2.</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070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1.2</w:t>
            </w:r>
            <w:r w:rsidRPr="00EF7F33">
              <w:tab/>
            </w:r>
            <w:r w:rsidRPr="00EF7F33">
              <w:rPr>
                <w:rStyle w:val="InstructionsTabelleberschrift"/>
                <w:rFonts w:ascii="Times New Roman" w:hAnsi="Times New Roman"/>
                <w:sz w:val="24"/>
              </w:rPr>
              <w:t>Manjinski udjeli i ekvivalenti</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Članci 479. i 480. CRR-a</w:t>
            </w:r>
          </w:p>
          <w:p w:rsidR="002648B0" w:rsidRPr="00EF7F33" w:rsidRDefault="00FC103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Ovaj redak odražava učinke prijelaznih odredbi na manjinske udjele koji se priznaju kao redovni osnovni kapital, instrumente kvalificiranog osnovnog kapitala koji se priznaju kao konsolidirani dodatni osnovni kapital i kval</w:t>
            </w:r>
            <w:r w:rsidRPr="00EF7F33">
              <w:rPr>
                <w:rStyle w:val="InstructionsTabelleText"/>
                <w:rFonts w:ascii="Times New Roman" w:hAnsi="Times New Roman"/>
                <w:sz w:val="24"/>
              </w:rPr>
              <w:t>i</w:t>
            </w:r>
            <w:r w:rsidRPr="00EF7F33">
              <w:rPr>
                <w:rStyle w:val="InstructionsTabelleText"/>
                <w:rFonts w:ascii="Times New Roman" w:hAnsi="Times New Roman"/>
                <w:sz w:val="24"/>
              </w:rPr>
              <w:t>ficirani regulatorni kapital koji se priznaje kao konsolidirani dopunski k</w:t>
            </w:r>
            <w:r w:rsidRPr="00EF7F33">
              <w:rPr>
                <w:rStyle w:val="InstructionsTabelleText"/>
                <w:rFonts w:ascii="Times New Roman" w:hAnsi="Times New Roman"/>
                <w:sz w:val="24"/>
              </w:rPr>
              <w:t>a</w:t>
            </w:r>
            <w:r w:rsidRPr="00EF7F33">
              <w:rPr>
                <w:rStyle w:val="InstructionsTabelleText"/>
                <w:rFonts w:ascii="Times New Roman" w:hAnsi="Times New Roman"/>
                <w:sz w:val="24"/>
              </w:rPr>
              <w:t xml:space="preserve">pital.  </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080</w:t>
            </w:r>
          </w:p>
        </w:tc>
        <w:tc>
          <w:tcPr>
            <w:tcW w:w="7478" w:type="dxa"/>
          </w:tcPr>
          <w:p w:rsidR="005643EA"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1.2.1</w:t>
            </w:r>
            <w:r w:rsidRPr="00EF7F33">
              <w:tab/>
            </w:r>
            <w:r w:rsidRPr="00EF7F33">
              <w:rPr>
                <w:rStyle w:val="InstructionsTabelleberschrift"/>
                <w:rFonts w:ascii="Times New Roman" w:hAnsi="Times New Roman"/>
                <w:sz w:val="24"/>
              </w:rPr>
              <w:t>Instrumenti i stavke u kapitalu koji ne ispunjavaju uvjete za manjinske udjele</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479. CRR-a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Iznos koji je potrebno iskazati u stupcu 060 ovog retka iznos je koji isp</w:t>
            </w:r>
            <w:r w:rsidRPr="00EF7F33">
              <w:rPr>
                <w:rStyle w:val="InstructionsTabelleText"/>
                <w:rFonts w:ascii="Times New Roman" w:hAnsi="Times New Roman"/>
                <w:sz w:val="24"/>
              </w:rPr>
              <w:t>u</w:t>
            </w:r>
            <w:r w:rsidRPr="00EF7F33">
              <w:rPr>
                <w:rStyle w:val="InstructionsTabelleText"/>
                <w:rFonts w:ascii="Times New Roman" w:hAnsi="Times New Roman"/>
                <w:sz w:val="24"/>
              </w:rPr>
              <w:t xml:space="preserve">njava uvjete za konsolidirane rezerve u skladu s prethodnom uredbom. </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090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1.2.2</w:t>
            </w:r>
            <w:r w:rsidRPr="00EF7F33">
              <w:tab/>
            </w:r>
            <w:r w:rsidRPr="00EF7F33">
              <w:rPr>
                <w:rStyle w:val="InstructionsTabelleberschrift"/>
                <w:rFonts w:ascii="Times New Roman" w:hAnsi="Times New Roman"/>
                <w:sz w:val="24"/>
              </w:rPr>
              <w:t>Prijelazno priznavanje u konsolidiranom regulatornom kapit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lu manjinskih udjela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Članci 84. i 480. CRR-a</w:t>
            </w:r>
          </w:p>
          <w:p w:rsidR="005643EA" w:rsidRPr="00EF7F33" w:rsidRDefault="002648B0"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priznati je iznos bez prijelaznih odredbi.</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091</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1.2.3</w:t>
            </w:r>
            <w:r w:rsidRPr="00EF7F33">
              <w:tab/>
            </w:r>
            <w:r w:rsidRPr="00EF7F33">
              <w:rPr>
                <w:rStyle w:val="InstructionsTabelleberschrift"/>
                <w:rFonts w:ascii="Times New Roman" w:hAnsi="Times New Roman"/>
                <w:sz w:val="24"/>
              </w:rPr>
              <w:t>Prijelazno priznavanje u konsolidiranom regulatornom kapit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lu kvalificiranog dodatnog osnovnog kapitala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Članci 85. i 480.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priznati je iznos bez prijelaznih odredbi.</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092</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1.2.4</w:t>
            </w:r>
            <w:r w:rsidRPr="00EF7F33">
              <w:tab/>
            </w:r>
            <w:r w:rsidRPr="00EF7F33">
              <w:rPr>
                <w:rStyle w:val="InstructionsTabelleberschrift"/>
                <w:rFonts w:ascii="Times New Roman" w:hAnsi="Times New Roman"/>
                <w:sz w:val="24"/>
              </w:rPr>
              <w:t>Prijelazno priznavanje u konsolidiranom regulatornom kapit</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lu kvalificiranog dopunskog kapitala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Članci 87. i 480.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priznati je iznos bez prijelaznih odredbi.</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100</w:t>
            </w:r>
          </w:p>
        </w:tc>
        <w:tc>
          <w:tcPr>
            <w:tcW w:w="7478" w:type="dxa"/>
          </w:tcPr>
          <w:p w:rsidR="002648B0"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w:t>
            </w:r>
            <w:r w:rsidRPr="00EF7F33">
              <w:tab/>
            </w:r>
            <w:r w:rsidRPr="00EF7F33">
              <w:rPr>
                <w:rStyle w:val="InstructionsTabelleberschrift"/>
                <w:rFonts w:ascii="Times New Roman" w:hAnsi="Times New Roman"/>
                <w:sz w:val="24"/>
              </w:rPr>
              <w:t>Ostala prijelazna usklađenja</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Članci od 467. do 478. i članak 481. CRR-a</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Ovaj redak odražava ukupan učinak prijelaznih usklađenja odbitka na ra</w:t>
            </w:r>
            <w:r w:rsidRPr="00EF7F33">
              <w:rPr>
                <w:rStyle w:val="InstructionsTabelleText"/>
                <w:rFonts w:ascii="Times New Roman" w:hAnsi="Times New Roman"/>
                <w:sz w:val="24"/>
              </w:rPr>
              <w:t>z</w:t>
            </w:r>
            <w:r w:rsidRPr="00EF7F33">
              <w:rPr>
                <w:rStyle w:val="InstructionsTabelleText"/>
                <w:rFonts w:ascii="Times New Roman" w:hAnsi="Times New Roman"/>
                <w:sz w:val="24"/>
              </w:rPr>
              <w:t>ličite vrste kapitala, nerealizirane dobitke i gubitke, dodatne filtre i odbitke, uvećan za iznose ponderirane rizikom proizišle iz tih usklađenja.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110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1.3.1</w:t>
            </w:r>
            <w:r w:rsidRPr="00EF7F33">
              <w:tab/>
            </w:r>
            <w:r w:rsidRPr="00EF7F33">
              <w:rPr>
                <w:rStyle w:val="InstructionsTabelleberschrift"/>
                <w:rFonts w:ascii="Times New Roman" w:hAnsi="Times New Roman"/>
                <w:sz w:val="24"/>
              </w:rPr>
              <w:t>Nerealizirani dobici i gubici</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Članci 467. i 468. CRR-a</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Ovaj redak odražava ukupan učinak prijelaznih odredbi na nerealizirane dobitke i gubitke mjerene po fer vrijednosti.</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120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1.3.1.1</w:t>
            </w:r>
            <w:r w:rsidRPr="00EF7F33">
              <w:tab/>
            </w:r>
            <w:r w:rsidRPr="00EF7F33">
              <w:rPr>
                <w:rStyle w:val="InstructionsTabelleberschrift"/>
                <w:rFonts w:ascii="Times New Roman" w:hAnsi="Times New Roman"/>
                <w:sz w:val="24"/>
              </w:rPr>
              <w:t>Nerealizirani dobici</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468. stavak 1.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130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1.3.1.2</w:t>
            </w:r>
            <w:r w:rsidRPr="00EF7F33">
              <w:tab/>
            </w:r>
            <w:r w:rsidRPr="00EF7F33">
              <w:rPr>
                <w:rStyle w:val="InstructionsTabelleberschrift"/>
                <w:rFonts w:ascii="Times New Roman" w:hAnsi="Times New Roman"/>
                <w:sz w:val="24"/>
              </w:rPr>
              <w:t>Nerealizirani gubici</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467. stavak 1. CRR-a</w:t>
            </w:r>
          </w:p>
        </w:tc>
      </w:tr>
      <w:tr w:rsidR="00E06628" w:rsidRPr="00EF7F33" w:rsidTr="00672D2A">
        <w:tc>
          <w:tcPr>
            <w:tcW w:w="1012" w:type="dxa"/>
          </w:tcPr>
          <w:p w:rsidR="00E06628" w:rsidRPr="00EF7F33" w:rsidRDefault="00E06628"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133</w:t>
            </w:r>
          </w:p>
        </w:tc>
        <w:tc>
          <w:tcPr>
            <w:tcW w:w="7478" w:type="dxa"/>
          </w:tcPr>
          <w:p w:rsidR="005643EA" w:rsidRPr="00EF7F33" w:rsidRDefault="00E0662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1.3.1.3</w:t>
            </w:r>
            <w:r w:rsidRPr="00EF7F33">
              <w:tab/>
            </w:r>
            <w:r w:rsidRPr="00EF7F33">
              <w:rPr>
                <w:rStyle w:val="InstructionsTabelleberschrift"/>
                <w:rFonts w:ascii="Times New Roman" w:hAnsi="Times New Roman"/>
                <w:sz w:val="24"/>
              </w:rPr>
              <w:t>Nerealizirani dobici na osnovi izloženosti prema središnjim d</w:t>
            </w:r>
            <w:r w:rsidRPr="00EF7F33">
              <w:rPr>
                <w:rStyle w:val="InstructionsTabelleberschrift"/>
                <w:rFonts w:ascii="Times New Roman" w:hAnsi="Times New Roman"/>
                <w:sz w:val="24"/>
              </w:rPr>
              <w:t>r</w:t>
            </w:r>
            <w:r w:rsidRPr="00EF7F33">
              <w:rPr>
                <w:rStyle w:val="InstructionsTabelleberschrift"/>
                <w:rFonts w:ascii="Times New Roman" w:hAnsi="Times New Roman"/>
                <w:sz w:val="24"/>
              </w:rPr>
              <w:t>žavama koje su raspoređene u kategoriju „raspoloživo za prodaju” MRS-a 39 koji je potvrdio EU</w:t>
            </w:r>
          </w:p>
          <w:p w:rsidR="005643EA" w:rsidRPr="00EF7F33" w:rsidRDefault="00E06628"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468. CRR-a</w:t>
            </w:r>
          </w:p>
        </w:tc>
      </w:tr>
      <w:tr w:rsidR="00E06628" w:rsidRPr="00EF7F33" w:rsidTr="00672D2A">
        <w:tc>
          <w:tcPr>
            <w:tcW w:w="1012" w:type="dxa"/>
          </w:tcPr>
          <w:p w:rsidR="00E06628" w:rsidRPr="00EF7F33" w:rsidRDefault="00E06628"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136</w:t>
            </w:r>
          </w:p>
        </w:tc>
        <w:tc>
          <w:tcPr>
            <w:tcW w:w="7478" w:type="dxa"/>
          </w:tcPr>
          <w:p w:rsidR="005643EA" w:rsidRPr="00EF7F33" w:rsidRDefault="00E0662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1.3.1.4</w:t>
            </w:r>
            <w:r w:rsidRPr="00EF7F33">
              <w:tab/>
            </w:r>
            <w:r w:rsidRPr="00EF7F33">
              <w:rPr>
                <w:rStyle w:val="InstructionsTabelleberschrift"/>
                <w:rFonts w:ascii="Times New Roman" w:hAnsi="Times New Roman"/>
                <w:sz w:val="24"/>
              </w:rPr>
              <w:t>Nerealizirani gubici na osnovi izloženosti prema središnjim d</w:t>
            </w:r>
            <w:r w:rsidRPr="00EF7F33">
              <w:rPr>
                <w:rStyle w:val="InstructionsTabelleberschrift"/>
                <w:rFonts w:ascii="Times New Roman" w:hAnsi="Times New Roman"/>
                <w:sz w:val="24"/>
              </w:rPr>
              <w:t>r</w:t>
            </w:r>
            <w:r w:rsidRPr="00EF7F33">
              <w:rPr>
                <w:rStyle w:val="InstructionsTabelleberschrift"/>
                <w:rFonts w:ascii="Times New Roman" w:hAnsi="Times New Roman"/>
                <w:sz w:val="24"/>
              </w:rPr>
              <w:t>žavama koje su raspoređene u kategoriju „raspoloživo za prodaju” MRS-a 39 koji je potvrdio EU</w:t>
            </w:r>
          </w:p>
          <w:p w:rsidR="00E06628" w:rsidRPr="00EF7F33" w:rsidRDefault="00E06628"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467. CRR-a</w:t>
            </w:r>
          </w:p>
        </w:tc>
      </w:tr>
      <w:tr w:rsidR="00E06628" w:rsidRPr="00EF7F33" w:rsidTr="00672D2A">
        <w:tc>
          <w:tcPr>
            <w:tcW w:w="1012" w:type="dxa"/>
          </w:tcPr>
          <w:p w:rsidR="00E06628" w:rsidRPr="00EF7F33" w:rsidRDefault="00E06628"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138</w:t>
            </w:r>
          </w:p>
        </w:tc>
        <w:tc>
          <w:tcPr>
            <w:tcW w:w="7478" w:type="dxa"/>
          </w:tcPr>
          <w:p w:rsidR="005643EA" w:rsidRPr="00EF7F33" w:rsidRDefault="00E06628"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1.3.1.5</w:t>
            </w:r>
            <w:r w:rsidRPr="00EF7F33">
              <w:tab/>
            </w:r>
            <w:r w:rsidRPr="00EF7F33">
              <w:rPr>
                <w:rStyle w:val="InstructionsTabelleberschrift"/>
                <w:rFonts w:ascii="Times New Roman" w:hAnsi="Times New Roman"/>
                <w:sz w:val="24"/>
              </w:rPr>
              <w:t>Dobici ili gubici nastali vrednovanjem po fer vrijednosti, koji proizlaze iz kreditnog rizika same institucije povezanog s obvezama po izvedenicama</w:t>
            </w:r>
          </w:p>
          <w:p w:rsidR="005643EA" w:rsidRPr="00EF7F33" w:rsidRDefault="00E06628"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468.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140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w:t>
            </w:r>
            <w:r w:rsidRPr="00EF7F33">
              <w:tab/>
            </w:r>
            <w:r w:rsidRPr="00EF7F33">
              <w:rPr>
                <w:rStyle w:val="InstructionsTabelleberschrift"/>
                <w:rFonts w:ascii="Times New Roman" w:hAnsi="Times New Roman"/>
                <w:sz w:val="24"/>
              </w:rPr>
              <w:t>Odbici</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Članak 36. stavak 1., članci od 469. do 478. CRR-a</w:t>
            </w:r>
          </w:p>
          <w:p w:rsidR="002648B0" w:rsidRPr="00EF7F33" w:rsidRDefault="002648B0"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Ovaj redak odražava ukupan učinak prijelaznih odredbi na odbitke.</w:t>
            </w:r>
          </w:p>
        </w:tc>
      </w:tr>
      <w:tr w:rsidR="002648B0" w:rsidRPr="00EF7F33" w:rsidTr="00672D2A">
        <w:tc>
          <w:tcPr>
            <w:tcW w:w="1012" w:type="dxa"/>
          </w:tcPr>
          <w:p w:rsidR="002648B0" w:rsidRPr="00EF7F33" w:rsidDel="00E41E4F"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150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1.3.2.1.</w:t>
            </w:r>
            <w:r w:rsidRPr="00EF7F33">
              <w:tab/>
            </w:r>
            <w:r w:rsidRPr="00EF7F33">
              <w:rPr>
                <w:rStyle w:val="InstructionsTabelleberschrift"/>
                <w:rFonts w:ascii="Times New Roman" w:hAnsi="Times New Roman"/>
                <w:sz w:val="24"/>
              </w:rPr>
              <w:t>Gubici tekuće financijske godine</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 xml:space="preserve">Članak 36., stavak 1. točka (a), članak 469. stavak 1., članak 472. stavak 3. </w:t>
            </w:r>
            <w:r w:rsidRPr="00EF7F33">
              <w:rPr>
                <w:rStyle w:val="InstructionsTabelleText"/>
                <w:rFonts w:ascii="Times New Roman" w:hAnsi="Times New Roman"/>
                <w:sz w:val="24"/>
              </w:rPr>
              <w:lastRenderedPageBreak/>
              <w:t>i članak 478. CRR-a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Iznos koji je potrebno iskazati u stupcu 060 ovog retka originalni je odb</w:t>
            </w:r>
            <w:r w:rsidRPr="00EF7F33">
              <w:rPr>
                <w:rStyle w:val="InstructionsTabelleText"/>
                <w:rFonts w:ascii="Times New Roman" w:hAnsi="Times New Roman"/>
                <w:sz w:val="24"/>
              </w:rPr>
              <w:t>i</w:t>
            </w:r>
            <w:r w:rsidRPr="00EF7F33">
              <w:rPr>
                <w:rStyle w:val="InstructionsTabelleText"/>
                <w:rFonts w:ascii="Times New Roman" w:hAnsi="Times New Roman"/>
                <w:sz w:val="24"/>
              </w:rPr>
              <w:t>tak u skladu s člankom 36. stavkom 1. točkom (a) CRR-a.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Ako se od društava zahtijeva samo odbitak značajnih gubitaka: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•ako je ukupan privremeni neto gubitak bio „značajan”, puni preostali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 odbio bi se od osnovnog kapitala, ili</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•ako ukupan privremeni neto gubitak nije bio „značajan”, ne bi bilo odb</w:t>
            </w:r>
            <w:r w:rsidRPr="00EF7F33">
              <w:rPr>
                <w:rStyle w:val="InstructionsTabelleText"/>
                <w:rFonts w:ascii="Times New Roman" w:hAnsi="Times New Roman"/>
                <w:sz w:val="24"/>
              </w:rPr>
              <w:t>i</w:t>
            </w:r>
            <w:r w:rsidRPr="00EF7F33">
              <w:rPr>
                <w:rStyle w:val="InstructionsTabelleText"/>
                <w:rFonts w:ascii="Times New Roman" w:hAnsi="Times New Roman"/>
                <w:sz w:val="24"/>
              </w:rPr>
              <w:t>taka od preostalog iznosa.</w:t>
            </w:r>
          </w:p>
        </w:tc>
      </w:tr>
      <w:tr w:rsidR="002648B0" w:rsidRPr="00EF7F33" w:rsidTr="00672D2A">
        <w:tc>
          <w:tcPr>
            <w:tcW w:w="1012" w:type="dxa"/>
          </w:tcPr>
          <w:p w:rsidR="002648B0" w:rsidRPr="00EF7F33" w:rsidDel="00E41E4F"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160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1.3.2.2.</w:t>
            </w:r>
            <w:r w:rsidRPr="00EF7F33">
              <w:tab/>
            </w:r>
            <w:r w:rsidRPr="00EF7F33">
              <w:rPr>
                <w:rStyle w:val="InstructionsTabelleberschrift"/>
                <w:rFonts w:ascii="Times New Roman" w:hAnsi="Times New Roman"/>
                <w:sz w:val="24"/>
              </w:rPr>
              <w:t>Nematerijalna imovina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(b), članak 469. stavak 1., članak 472. stavak 4. i članak 478.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nematerijalne imovine koji je potrebno odbiti, inst</w:t>
            </w:r>
            <w:r w:rsidRPr="00EF7F33">
              <w:rPr>
                <w:rStyle w:val="InstructionsTabelleText"/>
                <w:rFonts w:ascii="Times New Roman" w:hAnsi="Times New Roman"/>
                <w:sz w:val="24"/>
              </w:rPr>
              <w:t>i</w:t>
            </w:r>
            <w:r w:rsidRPr="00EF7F33">
              <w:rPr>
                <w:rStyle w:val="InstructionsTabelleText"/>
                <w:rFonts w:ascii="Times New Roman" w:hAnsi="Times New Roman"/>
                <w:sz w:val="24"/>
              </w:rPr>
              <w:t>tucije uzimaju u obzir odredbe članka 37.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originalni je odb</w:t>
            </w:r>
            <w:r w:rsidRPr="00EF7F33">
              <w:rPr>
                <w:rStyle w:val="InstructionsTabelleText"/>
                <w:rFonts w:ascii="Times New Roman" w:hAnsi="Times New Roman"/>
                <w:sz w:val="24"/>
              </w:rPr>
              <w:t>i</w:t>
            </w:r>
            <w:r w:rsidRPr="00EF7F33">
              <w:rPr>
                <w:rStyle w:val="InstructionsTabelleText"/>
                <w:rFonts w:ascii="Times New Roman" w:hAnsi="Times New Roman"/>
                <w:sz w:val="24"/>
              </w:rPr>
              <w:t>tak u skladu s člankom 36. stavkom 1. točkom (b)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170</w:t>
            </w:r>
          </w:p>
          <w:p w:rsidR="005643EA" w:rsidRPr="00EF7F33" w:rsidRDefault="005643EA" w:rsidP="00FD239F">
            <w:pPr>
              <w:pStyle w:val="InstructionsText"/>
              <w:rPr>
                <w:rStyle w:val="InstructionsTabelleText"/>
                <w:rFonts w:ascii="Times New Roman" w:hAnsi="Times New Roman"/>
                <w:sz w:val="24"/>
              </w:rPr>
            </w:pP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1.3.2.3.</w:t>
            </w:r>
            <w:r w:rsidRPr="00EF7F33">
              <w:tab/>
            </w:r>
            <w:r w:rsidRPr="00EF7F33">
              <w:rPr>
                <w:rStyle w:val="InstructionsTabelleberschrift"/>
                <w:rFonts w:ascii="Times New Roman" w:hAnsi="Times New Roman"/>
                <w:sz w:val="24"/>
              </w:rPr>
              <w:t>Odgođena porezna imovina koja ovisi o budućoj prof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tabilnosti i ne proizlazi iz privremenih razlika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(c), članak 469. stavak 1., članak 472. stavak 5. i članak 478.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prethodno navedene odgođene porezne imovine koji je potrebno odbiti, institucije uzimaju u obzir odredbe članka 38. CRR-a koje se odnose na umanjenje odgođene porezne imovine za odgođene p</w:t>
            </w:r>
            <w:r w:rsidRPr="00EF7F33">
              <w:rPr>
                <w:rStyle w:val="InstructionsTabelleText"/>
                <w:rFonts w:ascii="Times New Roman" w:hAnsi="Times New Roman"/>
                <w:sz w:val="24"/>
              </w:rPr>
              <w:t>o</w:t>
            </w:r>
            <w:r w:rsidRPr="00EF7F33">
              <w:rPr>
                <w:rStyle w:val="InstructionsTabelleText"/>
                <w:rFonts w:ascii="Times New Roman" w:hAnsi="Times New Roman"/>
                <w:sz w:val="24"/>
              </w:rPr>
              <w:t>rezne obveze.</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ukupan iznos u skladu s člankom 469. stavkom 1. CRR-a.</w:t>
            </w:r>
          </w:p>
        </w:tc>
      </w:tr>
      <w:tr w:rsidR="002648B0" w:rsidRPr="00EF7F33" w:rsidTr="00672D2A">
        <w:tc>
          <w:tcPr>
            <w:tcW w:w="1012"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180</w:t>
            </w:r>
          </w:p>
          <w:p w:rsidR="005643EA" w:rsidRPr="00EF7F33" w:rsidRDefault="005643EA" w:rsidP="00FD239F">
            <w:pPr>
              <w:pStyle w:val="InstructionsText"/>
              <w:rPr>
                <w:rStyle w:val="InstructionsTabelleText"/>
                <w:rFonts w:ascii="Times New Roman" w:hAnsi="Times New Roman"/>
                <w:sz w:val="24"/>
              </w:rPr>
            </w:pP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1.3.2.4.</w:t>
            </w:r>
            <w:r w:rsidRPr="00EF7F33">
              <w:tab/>
            </w:r>
            <w:r w:rsidRPr="00EF7F33">
              <w:rPr>
                <w:rStyle w:val="InstructionsTabelleberschrift"/>
                <w:rFonts w:ascii="Times New Roman" w:hAnsi="Times New Roman"/>
                <w:sz w:val="24"/>
              </w:rPr>
              <w:t>Manjak rezervacija u odnosu na očekivane gubitke primjenom IRB pristupa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(d), članak 469. stavak 1., članak 472. stavak 6. i članak 478.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prethodno navedenog manjka rezervacija u odnosu na očekivane gubitke primjenom IRB pristupa koji je potrebno odbiti, inst</w:t>
            </w:r>
            <w:r w:rsidRPr="00EF7F33">
              <w:rPr>
                <w:rStyle w:val="InstructionsTabelleText"/>
                <w:rFonts w:ascii="Times New Roman" w:hAnsi="Times New Roman"/>
                <w:sz w:val="24"/>
              </w:rPr>
              <w:t>i</w:t>
            </w:r>
            <w:r w:rsidRPr="00EF7F33">
              <w:rPr>
                <w:rStyle w:val="InstructionsTabelleText"/>
                <w:rFonts w:ascii="Times New Roman" w:hAnsi="Times New Roman"/>
                <w:sz w:val="24"/>
              </w:rPr>
              <w:t>tucije uzimaju u obzir odredbe članka 40.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36. stavkom 1. točkom (d) CRR-a</w:t>
            </w:r>
          </w:p>
        </w:tc>
      </w:tr>
      <w:tr w:rsidR="002648B0" w:rsidRPr="00EF7F33" w:rsidTr="00672D2A">
        <w:tc>
          <w:tcPr>
            <w:tcW w:w="1012" w:type="dxa"/>
          </w:tcPr>
          <w:p w:rsidR="002648B0" w:rsidRPr="00EF7F33" w:rsidDel="00E41E4F"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190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1.3.2.5.</w:t>
            </w:r>
            <w:r w:rsidRPr="00EF7F33">
              <w:tab/>
            </w:r>
            <w:r w:rsidRPr="00EF7F33">
              <w:rPr>
                <w:rStyle w:val="InstructionsTabelleberschrift"/>
                <w:rFonts w:ascii="Times New Roman" w:hAnsi="Times New Roman"/>
                <w:sz w:val="24"/>
              </w:rPr>
              <w:t>Imovina mirovinskog fonda pod pokroviteljstvom posl</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davca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33. stavak 1. točka (e), članak 469. stavak 1., članak 472. stavak 7., članak 473. i članak 478.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prethodno navedene imovine mirovinskog fonda pod pokroviteljstvom poslodavca koji je potrebno odbiti, institucije uzim</w:t>
            </w:r>
            <w:r w:rsidRPr="00EF7F33">
              <w:rPr>
                <w:rStyle w:val="InstructionsTabelleText"/>
                <w:rFonts w:ascii="Times New Roman" w:hAnsi="Times New Roman"/>
                <w:sz w:val="24"/>
              </w:rPr>
              <w:t>a</w:t>
            </w:r>
            <w:r w:rsidRPr="00EF7F33">
              <w:rPr>
                <w:rStyle w:val="InstructionsTabelleText"/>
                <w:rFonts w:ascii="Times New Roman" w:hAnsi="Times New Roman"/>
                <w:sz w:val="24"/>
              </w:rPr>
              <w:t>ju u obzir odredbe članka 41. CRR-a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Iznos koji je potrebno iskazati u stupcu 060 ovog retka: originalan odbitak u skladu s člankom 36. stavkom 1. točkom (e) CRR-a</w:t>
            </w:r>
          </w:p>
        </w:tc>
      </w:tr>
      <w:tr w:rsidR="00B11D0D" w:rsidRPr="00EF7F33" w:rsidTr="00672D2A">
        <w:tc>
          <w:tcPr>
            <w:tcW w:w="1012" w:type="dxa"/>
          </w:tcPr>
          <w:p w:rsidR="00B11D0D" w:rsidRPr="00EF7F33" w:rsidRDefault="00B11D0D"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194</w:t>
            </w:r>
          </w:p>
        </w:tc>
        <w:tc>
          <w:tcPr>
            <w:tcW w:w="7478" w:type="dxa"/>
          </w:tcPr>
          <w:p w:rsidR="00B11D0D" w:rsidRPr="00EF7F33" w:rsidRDefault="00B11D0D"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1.3.2.5.*</w:t>
            </w:r>
            <w:r w:rsidRPr="00EF7F33">
              <w:tab/>
            </w:r>
            <w:r w:rsidRPr="00EF7F33">
              <w:rPr>
                <w:rStyle w:val="InstructionsTabelleberschrift"/>
                <w:rFonts w:ascii="Times New Roman" w:hAnsi="Times New Roman"/>
                <w:sz w:val="24"/>
              </w:rPr>
              <w:t>od čega: uvođenje izmjena MRS-a 19 – pozitivna stavka</w:t>
            </w:r>
          </w:p>
          <w:p w:rsidR="00B11D0D" w:rsidRPr="00EF7F33" w:rsidRDefault="00201704"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Članak 473. CRR-a</w:t>
            </w:r>
          </w:p>
        </w:tc>
      </w:tr>
      <w:tr w:rsidR="00A60195" w:rsidRPr="00EF7F33" w:rsidTr="00672D2A">
        <w:tc>
          <w:tcPr>
            <w:tcW w:w="1012" w:type="dxa"/>
          </w:tcPr>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198</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1.3.2.5.**</w:t>
            </w:r>
            <w:r w:rsidRPr="00EF7F33">
              <w:tab/>
            </w:r>
            <w:r w:rsidRPr="00EF7F33">
              <w:rPr>
                <w:rStyle w:val="InstructionsTabelleberschrift"/>
                <w:rFonts w:ascii="Times New Roman" w:hAnsi="Times New Roman"/>
                <w:sz w:val="24"/>
              </w:rPr>
              <w:t>od čega: uvođenje izmjena MRS-a 19 – negativna stavka</w:t>
            </w:r>
          </w:p>
          <w:p w:rsidR="00A60195" w:rsidRPr="00EF7F33" w:rsidRDefault="00201704"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Članak 473.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200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w:t>
            </w:r>
            <w:r w:rsidRPr="00EF7F33">
              <w:tab/>
            </w:r>
            <w:r w:rsidRPr="00EF7F33">
              <w:rPr>
                <w:rStyle w:val="InstructionsTabelleberschrift"/>
                <w:rFonts w:ascii="Times New Roman" w:hAnsi="Times New Roman"/>
                <w:sz w:val="24"/>
              </w:rPr>
              <w:t>Vlastiti instrumenti</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(f), članak 469. stavak 1., članak 472. stavak 8.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36. stavkom 1. točkom (f) CRR-a</w:t>
            </w:r>
          </w:p>
        </w:tc>
      </w:tr>
      <w:tr w:rsidR="00A60195" w:rsidRPr="00EF7F33" w:rsidTr="00672D2A">
        <w:tc>
          <w:tcPr>
            <w:tcW w:w="1012" w:type="dxa"/>
          </w:tcPr>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210</w:t>
            </w:r>
          </w:p>
          <w:p w:rsidR="00A60195" w:rsidRPr="00EF7F33" w:rsidRDefault="00A60195" w:rsidP="00FD239F">
            <w:pPr>
              <w:pStyle w:val="InstructionsText"/>
              <w:rPr>
                <w:rStyle w:val="InstructionsTabelleText"/>
                <w:rFonts w:ascii="Times New Roman" w:hAnsi="Times New Roman"/>
                <w:sz w:val="24"/>
              </w:rPr>
            </w:pPr>
          </w:p>
        </w:tc>
        <w:tc>
          <w:tcPr>
            <w:tcW w:w="7478" w:type="dxa"/>
          </w:tcPr>
          <w:p w:rsidR="00A6019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1.3.2.6.1</w:t>
            </w:r>
            <w:r w:rsidRPr="00EF7F33">
              <w:tab/>
            </w:r>
            <w:r w:rsidRPr="00EF7F33">
              <w:rPr>
                <w:rStyle w:val="InstructionsTabelleberschrift"/>
                <w:rFonts w:ascii="Times New Roman" w:hAnsi="Times New Roman"/>
                <w:sz w:val="24"/>
              </w:rPr>
              <w:t>Vlastiti instrumenti redovnog osnovnog kapitala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(f), članak 469. stavak 1., članak 472. stavak 8.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prethodno navedenih vlastitih instrumenata redo</w:t>
            </w:r>
            <w:r w:rsidRPr="00EF7F33">
              <w:rPr>
                <w:rStyle w:val="InstructionsTabelleText"/>
                <w:rFonts w:ascii="Times New Roman" w:hAnsi="Times New Roman"/>
                <w:sz w:val="24"/>
              </w:rPr>
              <w:t>v</w:t>
            </w:r>
            <w:r w:rsidRPr="00EF7F33">
              <w:rPr>
                <w:rStyle w:val="InstructionsTabelleText"/>
                <w:rFonts w:ascii="Times New Roman" w:hAnsi="Times New Roman"/>
                <w:sz w:val="24"/>
              </w:rPr>
              <w:t>nog osnovnog kapitala koji je potrebno odbiti, institucije uzimaju u obzir odredbe članka 42.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Budući da se tretman „preostalog iznosa” razlikuje ovisno o prirodi i</w:t>
            </w:r>
            <w:r w:rsidRPr="00EF7F33">
              <w:rPr>
                <w:rStyle w:val="InstructionsTabelleText"/>
                <w:rFonts w:ascii="Times New Roman" w:hAnsi="Times New Roman"/>
                <w:sz w:val="24"/>
              </w:rPr>
              <w:t>n</w:t>
            </w:r>
            <w:r w:rsidRPr="00EF7F33">
              <w:rPr>
                <w:rStyle w:val="InstructionsTabelleText"/>
                <w:rFonts w:ascii="Times New Roman" w:hAnsi="Times New Roman"/>
                <w:sz w:val="24"/>
              </w:rPr>
              <w:t>strumenta, institucije raščlanjuju ulaganja u vlastite instrumente redovnog kapitala prema „izravnim” i „neizravnim” ulaganjima.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36. stavkom 1. točkom (f)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211</w:t>
            </w:r>
          </w:p>
        </w:tc>
        <w:tc>
          <w:tcPr>
            <w:tcW w:w="7478" w:type="dxa"/>
          </w:tcPr>
          <w:p w:rsidR="00213E0E" w:rsidRPr="00EF7F33" w:rsidRDefault="008A1A1E"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1.3.2.6.1**</w:t>
            </w:r>
            <w:r w:rsidRPr="00EF7F33">
              <w:tab/>
            </w:r>
            <w:r w:rsidRPr="00EF7F33">
              <w:rPr>
                <w:rStyle w:val="InstructionsTabelleberschrift"/>
                <w:rFonts w:ascii="Times New Roman" w:hAnsi="Times New Roman"/>
                <w:sz w:val="24"/>
              </w:rPr>
              <w:t>od čega: izravna ulaganja</w:t>
            </w:r>
          </w:p>
          <w:p w:rsidR="00213E0E" w:rsidRPr="00EF7F33" w:rsidRDefault="00213E0E"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469. stavak 1. točka (b), članak 472. stavak 8. točka (a)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ukupan iznos 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 xml:space="preserve">vezna kupiti na temelju postojeće ili potencijalne ugovorne obveze. </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212</w:t>
            </w:r>
          </w:p>
        </w:tc>
        <w:tc>
          <w:tcPr>
            <w:tcW w:w="7478" w:type="dxa"/>
          </w:tcPr>
          <w:p w:rsidR="00A60195" w:rsidRPr="00EF7F33" w:rsidRDefault="008A1A1E"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1.3.2.6.1*</w:t>
            </w:r>
            <w:r w:rsidRPr="00EF7F33">
              <w:tab/>
            </w:r>
            <w:r w:rsidRPr="00EF7F33">
              <w:rPr>
                <w:rStyle w:val="InstructionsTabelleberschrift"/>
                <w:rFonts w:ascii="Times New Roman" w:hAnsi="Times New Roman"/>
                <w:sz w:val="24"/>
              </w:rPr>
              <w:t>od čega: neizravna ulaganja</w:t>
            </w:r>
          </w:p>
          <w:p w:rsidR="00213E0E" w:rsidRPr="00EF7F33" w:rsidRDefault="00213E0E"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469. stavak 1. točka (b), članak 472. stavak 8. točka (b) CRR-a</w:t>
            </w:r>
          </w:p>
          <w:p w:rsidR="00A60195" w:rsidRPr="00EF7F33" w:rsidRDefault="00A60195"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ukupan iznos nei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vezna kupiti na temelju postojeće ili potencijalne ugovorne obveze.</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220</w:t>
            </w:r>
          </w:p>
        </w:tc>
        <w:tc>
          <w:tcPr>
            <w:tcW w:w="7478" w:type="dxa"/>
          </w:tcPr>
          <w:p w:rsidR="00A6019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1.3.2.6.2</w:t>
            </w:r>
            <w:r w:rsidRPr="00EF7F33">
              <w:tab/>
            </w:r>
            <w:r w:rsidRPr="00EF7F33">
              <w:rPr>
                <w:rStyle w:val="InstructionsTabelleberschrift"/>
                <w:rFonts w:ascii="Times New Roman" w:hAnsi="Times New Roman"/>
                <w:sz w:val="24"/>
              </w:rPr>
              <w:t>Vlastiti instrumenti dodatnog osnovnog kapitala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(a), članak 474., članak 475. stavak 2.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prethodno navedenih ulaganja koji je potrebno odb</w:t>
            </w:r>
            <w:r w:rsidRPr="00EF7F33">
              <w:rPr>
                <w:rStyle w:val="InstructionsTabelleText"/>
                <w:rFonts w:ascii="Times New Roman" w:hAnsi="Times New Roman"/>
                <w:sz w:val="24"/>
              </w:rPr>
              <w:t>i</w:t>
            </w:r>
            <w:r w:rsidRPr="00EF7F33">
              <w:rPr>
                <w:rStyle w:val="InstructionsTabelleText"/>
                <w:rFonts w:ascii="Times New Roman" w:hAnsi="Times New Roman"/>
                <w:sz w:val="24"/>
              </w:rPr>
              <w:t>ti, institucije uzimaju u obzir odredbe članka 57.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Budući da se tretman „preostalog iznosa” razlikuje ovisno o prirodi i</w:t>
            </w:r>
            <w:r w:rsidRPr="00EF7F33">
              <w:rPr>
                <w:rStyle w:val="InstructionsTabelleText"/>
                <w:rFonts w:ascii="Times New Roman" w:hAnsi="Times New Roman"/>
                <w:sz w:val="24"/>
              </w:rPr>
              <w:t>n</w:t>
            </w:r>
            <w:r w:rsidRPr="00EF7F33">
              <w:rPr>
                <w:rStyle w:val="InstructionsTabelleText"/>
                <w:rFonts w:ascii="Times New Roman" w:hAnsi="Times New Roman"/>
                <w:sz w:val="24"/>
              </w:rPr>
              <w:t xml:space="preserve">strumenta (članak 475. stavak 2. CRR-a), institucije raščlanjuju prethodno navedena ulaganja prema „izravnim” i „neizravnim” vlastitim ulaganjima u </w:t>
            </w:r>
            <w:r w:rsidRPr="00EF7F33">
              <w:rPr>
                <w:rStyle w:val="InstructionsTabelleText"/>
                <w:rFonts w:ascii="Times New Roman" w:hAnsi="Times New Roman"/>
                <w:sz w:val="24"/>
              </w:rPr>
              <w:lastRenderedPageBreak/>
              <w:t>dodatni osnovni kapital.</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56. točkom (a)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221</w:t>
            </w:r>
          </w:p>
        </w:tc>
        <w:tc>
          <w:tcPr>
            <w:tcW w:w="7478" w:type="dxa"/>
          </w:tcPr>
          <w:p w:rsidR="00A60195" w:rsidRPr="00EF7F33" w:rsidRDefault="008A1A1E"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1.3.2.6.2**</w:t>
            </w:r>
            <w:r w:rsidRPr="00EF7F33">
              <w:tab/>
            </w:r>
            <w:r w:rsidRPr="00EF7F33">
              <w:rPr>
                <w:rStyle w:val="InstructionsTabelleberschrift"/>
                <w:rFonts w:ascii="Times New Roman" w:hAnsi="Times New Roman"/>
                <w:sz w:val="24"/>
              </w:rPr>
              <w:t>od čega: izravna ulaganja</w:t>
            </w:r>
          </w:p>
          <w:p w:rsidR="00A60195" w:rsidRPr="00EF7F33" w:rsidRDefault="00A60195"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ukupan iznos 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vezna kupiti na temelju postojeće ili potencijalne ugovorne obveze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du s člankom 474. točkom (b) i člankom 475. stavkom 2. točkom (a)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222</w:t>
            </w:r>
          </w:p>
        </w:tc>
        <w:tc>
          <w:tcPr>
            <w:tcW w:w="7478" w:type="dxa"/>
          </w:tcPr>
          <w:p w:rsidR="00A60195" w:rsidRPr="00EF7F33" w:rsidRDefault="008A1A1E"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1.3.2.6.2*</w:t>
            </w:r>
            <w:r w:rsidRPr="00EF7F33">
              <w:tab/>
            </w:r>
            <w:r w:rsidRPr="00EF7F33">
              <w:rPr>
                <w:rStyle w:val="InstructionsTabelleberschrift"/>
                <w:rFonts w:ascii="Times New Roman" w:hAnsi="Times New Roman"/>
                <w:sz w:val="24"/>
              </w:rPr>
              <w:t>od čega: neizravna ulaganja</w:t>
            </w:r>
          </w:p>
          <w:p w:rsidR="00A60195" w:rsidRPr="00EF7F33" w:rsidRDefault="00A60195"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ukupan iznos nei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vezna kupiti na temelju postojeće ili potencijalne ugovorne obveze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du s člankom 474. točkom (b) i člankom 475. stavkom 2.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230</w:t>
            </w:r>
          </w:p>
        </w:tc>
        <w:tc>
          <w:tcPr>
            <w:tcW w:w="7478" w:type="dxa"/>
          </w:tcPr>
          <w:p w:rsidR="00A6019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1.3.2.6.3</w:t>
            </w:r>
            <w:r w:rsidRPr="00EF7F33">
              <w:tab/>
            </w:r>
            <w:r w:rsidRPr="00EF7F33">
              <w:rPr>
                <w:rStyle w:val="InstructionsTabelleberschrift"/>
                <w:rFonts w:ascii="Times New Roman" w:hAnsi="Times New Roman"/>
                <w:sz w:val="24"/>
              </w:rPr>
              <w:t>Vlastiti instrumenti dopunskog kapitala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(a), članak 476., članak 477. stavak 2.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Pri određivanju iznosa ulaganja koji je potrebno odbiti, institucije uzimaju u obzir odredbe članka 67.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Budući da se tretman „preostalog iznosa” razlikuje ovisno o prirodi i</w:t>
            </w:r>
            <w:r w:rsidRPr="00EF7F33">
              <w:rPr>
                <w:rStyle w:val="InstructionsTabelleText"/>
                <w:rFonts w:ascii="Times New Roman" w:hAnsi="Times New Roman"/>
                <w:sz w:val="24"/>
              </w:rPr>
              <w:t>n</w:t>
            </w:r>
            <w:r w:rsidRPr="00EF7F33">
              <w:rPr>
                <w:rStyle w:val="InstructionsTabelleText"/>
                <w:rFonts w:ascii="Times New Roman" w:hAnsi="Times New Roman"/>
                <w:sz w:val="24"/>
              </w:rPr>
              <w:t>strumenta (članak 477. stavak 2. CRR-a), institucije raščlanjuju prethodno navedena ulaganja prema „izravnim” i „neizravnim” vlastitim ulaganjima u dopunski kapital.</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66. točkom (a)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231</w:t>
            </w:r>
          </w:p>
        </w:tc>
        <w:tc>
          <w:tcPr>
            <w:tcW w:w="7478" w:type="dxa"/>
          </w:tcPr>
          <w:p w:rsidR="00A6019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izravna ulaganja</w:t>
            </w:r>
          </w:p>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 stupcu 060 ovog retka: ukupan iznos 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vezna kupiti na temelju postojeće ili potencijalne ugovorne obveze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du s člankom 476. točkom (b) i člankom 477. stavkom 2. točkom (a) CRR-a</w:t>
            </w:r>
          </w:p>
        </w:tc>
      </w:tr>
      <w:tr w:rsidR="00A60195" w:rsidRPr="00EF7F33" w:rsidTr="00672D2A">
        <w:tc>
          <w:tcPr>
            <w:tcW w:w="1012" w:type="dxa"/>
          </w:tcPr>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232</w:t>
            </w:r>
          </w:p>
          <w:p w:rsidR="00A60195" w:rsidRPr="00EF7F33" w:rsidRDefault="00A60195" w:rsidP="00FD239F">
            <w:pPr>
              <w:pStyle w:val="InstructionsText"/>
              <w:rPr>
                <w:rStyle w:val="InstructionsTabelleText"/>
                <w:rFonts w:ascii="Times New Roman" w:hAnsi="Times New Roman"/>
                <w:sz w:val="24"/>
              </w:rPr>
            </w:pPr>
          </w:p>
        </w:tc>
        <w:tc>
          <w:tcPr>
            <w:tcW w:w="7478" w:type="dxa"/>
          </w:tcPr>
          <w:p w:rsidR="00A60195" w:rsidRPr="00EF7F33" w:rsidRDefault="0020170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neizravna ulaganja</w:t>
            </w:r>
          </w:p>
          <w:p w:rsidR="00A60195" w:rsidRPr="00EF7F33" w:rsidRDefault="00A60195"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ukupan iznos nei</w:t>
            </w:r>
            <w:r w:rsidRPr="00EF7F33">
              <w:rPr>
                <w:rStyle w:val="InstructionsTabelleText"/>
                <w:rFonts w:ascii="Times New Roman" w:hAnsi="Times New Roman"/>
                <w:sz w:val="24"/>
              </w:rPr>
              <w:t>z</w:t>
            </w:r>
            <w:r w:rsidRPr="00EF7F33">
              <w:rPr>
                <w:rStyle w:val="InstructionsTabelleText"/>
                <w:rFonts w:ascii="Times New Roman" w:hAnsi="Times New Roman"/>
                <w:sz w:val="24"/>
              </w:rPr>
              <w:t>ravnih ulaganja, uključujući instrumente koje bi institucija mogla biti o</w:t>
            </w:r>
            <w:r w:rsidRPr="00EF7F33">
              <w:rPr>
                <w:rStyle w:val="InstructionsTabelleText"/>
                <w:rFonts w:ascii="Times New Roman" w:hAnsi="Times New Roman"/>
                <w:sz w:val="24"/>
              </w:rPr>
              <w:t>b</w:t>
            </w:r>
            <w:r w:rsidRPr="00EF7F33">
              <w:rPr>
                <w:rStyle w:val="InstructionsTabelleText"/>
                <w:rFonts w:ascii="Times New Roman" w:hAnsi="Times New Roman"/>
                <w:sz w:val="24"/>
              </w:rPr>
              <w:t>vezna kupiti na temelju postojeće ili potencijalne ugovorne obveze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du s člankom 476. točkom (b) i člankom 477. stavkom 2.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240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w:t>
            </w:r>
            <w:r w:rsidRPr="00EF7F33">
              <w:tab/>
            </w:r>
            <w:r w:rsidRPr="00EF7F33">
              <w:rPr>
                <w:rStyle w:val="InstructionsTabelleberschrift"/>
                <w:rFonts w:ascii="Times New Roman" w:hAnsi="Times New Roman"/>
                <w:sz w:val="24"/>
              </w:rPr>
              <w:t>Recipročna međusobna ulaganja</w:t>
            </w:r>
          </w:p>
          <w:p w:rsidR="00A60195" w:rsidRPr="00EF7F33" w:rsidRDefault="00A60195" w:rsidP="007106FB">
            <w:pPr>
              <w:spacing w:before="0"/>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Budući da se tretman „preostalog iznosa” razlikuje ovisno o tome treba li ulaganje u redovni osnovni kapital, dodatni osnovni kapital</w:t>
            </w:r>
            <w:r w:rsidRPr="00EF7F33">
              <w:rPr>
                <w:rFonts w:ascii="Times New Roman" w:hAnsi="Times New Roman"/>
                <w:sz w:val="24"/>
              </w:rPr>
              <w:t xml:space="preserve"> </w:t>
            </w:r>
            <w:r w:rsidRPr="00EF7F33">
              <w:rPr>
                <w:rStyle w:val="InstructionsTabelleText"/>
                <w:rFonts w:ascii="Times New Roman" w:hAnsi="Times New Roman"/>
                <w:sz w:val="24"/>
              </w:rPr>
              <w:t>ili dopunski kapital u subjektu financijskog sektora smatrati značajnim ili ne (članak 472. stavak 9., članak 475. stavak 3. i članak 477. stavak 3. CRR-a), inst</w:t>
            </w:r>
            <w:r w:rsidRPr="00EF7F33">
              <w:rPr>
                <w:rStyle w:val="InstructionsTabelleText"/>
                <w:rFonts w:ascii="Times New Roman" w:hAnsi="Times New Roman"/>
                <w:sz w:val="24"/>
              </w:rPr>
              <w:t>i</w:t>
            </w:r>
            <w:r w:rsidRPr="00EF7F33">
              <w:rPr>
                <w:rStyle w:val="InstructionsTabelleText"/>
                <w:rFonts w:ascii="Times New Roman" w:hAnsi="Times New Roman"/>
                <w:sz w:val="24"/>
              </w:rPr>
              <w:lastRenderedPageBreak/>
              <w:t>tucije raščlanjuju recipročna međusobna ulaganja prema značajnim ulag</w:t>
            </w:r>
            <w:r w:rsidRPr="00EF7F33">
              <w:rPr>
                <w:rStyle w:val="InstructionsTabelleText"/>
                <w:rFonts w:ascii="Times New Roman" w:hAnsi="Times New Roman"/>
                <w:sz w:val="24"/>
              </w:rPr>
              <w:t>a</w:t>
            </w:r>
            <w:r w:rsidRPr="00EF7F33">
              <w:rPr>
                <w:rStyle w:val="InstructionsTabelleText"/>
                <w:rFonts w:ascii="Times New Roman" w:hAnsi="Times New Roman"/>
                <w:sz w:val="24"/>
              </w:rPr>
              <w:t>njima i ulaganjima koja nisu značajna.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250</w:t>
            </w: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1.3.2.7.1</w:t>
            </w:r>
            <w:r w:rsidRPr="00EF7F33">
              <w:tab/>
            </w:r>
            <w:r w:rsidRPr="00EF7F33">
              <w:rPr>
                <w:rStyle w:val="InstructionsTabelleberschrift"/>
                <w:rFonts w:ascii="Times New Roman" w:hAnsi="Times New Roman"/>
                <w:sz w:val="24"/>
              </w:rPr>
              <w:t>Recipročna međusobna ulaganja u redovni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(g), članak 469. stavak 1., članak 472. stavak 9. i članak 478. CRR-a</w:t>
            </w:r>
          </w:p>
          <w:p w:rsidR="00A60195" w:rsidRPr="00EF7F33" w:rsidRDefault="00A60195" w:rsidP="00FD239F">
            <w:pPr>
              <w:pStyle w:val="InstructionsText"/>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Iznos koji je potrebno iskazati u stupcu 060 ovog retka: originalan odbitak u skladu s člankom 36. stavkom 1. točkom (g)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260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1.3.2.7.1.1</w:t>
            </w:r>
            <w:r w:rsidRPr="00EF7F33">
              <w:tab/>
            </w:r>
            <w:r w:rsidRPr="00EF7F33">
              <w:rPr>
                <w:rStyle w:val="InstructionsTabelleberschrift"/>
                <w:rFonts w:ascii="Times New Roman" w:hAnsi="Times New Roman"/>
                <w:sz w:val="24"/>
              </w:rPr>
              <w:t>Recipročna međusobna ulaganja u redovni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 subjekata financijskog sektora ako institucija nema značajno ul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(g), članak 469. stavak 1., članak 472. stavak 9. točka (a)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469. stavkom 1.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270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1.3.2.7.1.2</w:t>
            </w:r>
            <w:r w:rsidRPr="00EF7F33">
              <w:tab/>
            </w:r>
            <w:r w:rsidRPr="00EF7F33">
              <w:rPr>
                <w:rStyle w:val="InstructionsTabelleberschrift"/>
                <w:rFonts w:ascii="Times New Roman" w:hAnsi="Times New Roman"/>
                <w:sz w:val="24"/>
              </w:rPr>
              <w:t>Recipročna međusobna ulaganja u redovni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 subjekata financijskog sektora ako institucija ima značajno ulag</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(g), članak 469. stavak 1., članak 472. stavak 9. točka (b)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469. stavkom 1.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280</w:t>
            </w: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1.3.2.7.2</w:t>
            </w:r>
            <w:r w:rsidRPr="00EF7F33">
              <w:tab/>
            </w:r>
            <w:r w:rsidRPr="00EF7F33">
              <w:rPr>
                <w:rStyle w:val="InstructionsTabelleberschrift"/>
                <w:rFonts w:ascii="Times New Roman" w:hAnsi="Times New Roman"/>
                <w:sz w:val="24"/>
              </w:rPr>
              <w:t>Recipročna međusobna ulaganja u dodatni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(b), članak 474., članak 475. stavak 3.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56.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290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1.3.2.7.2.1</w:t>
            </w:r>
            <w:r w:rsidRPr="00EF7F33">
              <w:tab/>
            </w:r>
            <w:r w:rsidRPr="00EF7F33">
              <w:rPr>
                <w:rStyle w:val="InstructionsTabelleberschrift"/>
                <w:rFonts w:ascii="Times New Roman" w:hAnsi="Times New Roman"/>
                <w:sz w:val="24"/>
              </w:rPr>
              <w:t>Recipročna međusobna ulaganja u dodatni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 subjekata financijskog sektora ako institucija nema značajno ul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(b), članak 474., članak 475. stavak 3. točka (a)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475. stavkom 3.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300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1.3.2.7.2.2</w:t>
            </w:r>
            <w:r w:rsidRPr="00EF7F33">
              <w:tab/>
            </w:r>
            <w:r w:rsidRPr="00EF7F33">
              <w:rPr>
                <w:rStyle w:val="InstructionsTabelleberschrift"/>
                <w:rFonts w:ascii="Times New Roman" w:hAnsi="Times New Roman"/>
                <w:sz w:val="24"/>
              </w:rPr>
              <w:t>Recipročna međusobna ulaganja u dodatni osnovni kap</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tal subjekata financijskog sektora ako institucija ima značajno ulag</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(b), članak 474., članak 475. stavak 3. točka (b)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475. stavkom 3.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310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1.3.2.7.3</w:t>
            </w:r>
            <w:r w:rsidRPr="00EF7F33">
              <w:tab/>
            </w:r>
            <w:r w:rsidRPr="00EF7F33">
              <w:rPr>
                <w:rStyle w:val="InstructionsTabelleberschrift"/>
                <w:rFonts w:ascii="Times New Roman" w:hAnsi="Times New Roman"/>
                <w:sz w:val="24"/>
              </w:rPr>
              <w:t>Recipročna međusobna ulaganja u dopunski kapital</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(b), članak 476., članak 477. stavak 3.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w:t>
            </w:r>
            <w:r w:rsidRPr="00EF7F33">
              <w:t xml:space="preserve"> </w:t>
            </w:r>
            <w:r w:rsidRPr="00EF7F33">
              <w:rPr>
                <w:rStyle w:val="InstructionsTabelleText"/>
                <w:rFonts w:ascii="Times New Roman" w:hAnsi="Times New Roman"/>
                <w:sz w:val="24"/>
              </w:rPr>
              <w:t>originalan odbitak u skladu s člankom 66. točkom (b)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320</w:t>
            </w: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1.3.2.7.3.1</w:t>
            </w:r>
            <w:r w:rsidRPr="00EF7F33">
              <w:tab/>
            </w:r>
            <w:r w:rsidRPr="00EF7F33">
              <w:rPr>
                <w:rStyle w:val="InstructionsTabelleberschrift"/>
                <w:rFonts w:ascii="Times New Roman" w:hAnsi="Times New Roman"/>
                <w:sz w:val="24"/>
              </w:rPr>
              <w:t>Recipročna međusobna ulaganja u dopunski kapital su</w:t>
            </w:r>
            <w:r w:rsidRPr="00EF7F33">
              <w:rPr>
                <w:rStyle w:val="InstructionsTabelleberschrift"/>
                <w:rFonts w:ascii="Times New Roman" w:hAnsi="Times New Roman"/>
                <w:sz w:val="24"/>
              </w:rPr>
              <w:t>b</w:t>
            </w:r>
            <w:r w:rsidRPr="00EF7F33">
              <w:rPr>
                <w:rStyle w:val="InstructionsTabelleberschrift"/>
                <w:rFonts w:ascii="Times New Roman" w:hAnsi="Times New Roman"/>
                <w:sz w:val="24"/>
              </w:rPr>
              <w:t>jekata financijskog sektora ako institucija nema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(b), članak 476., članak 477. stavak 3. točka (a)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477. stavkom 3.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330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1.3.2.7.3.2</w:t>
            </w:r>
            <w:r w:rsidRPr="00EF7F33">
              <w:tab/>
            </w:r>
            <w:r w:rsidRPr="00EF7F33">
              <w:rPr>
                <w:rStyle w:val="InstructionsTabelleberschrift"/>
                <w:rFonts w:ascii="Times New Roman" w:hAnsi="Times New Roman"/>
                <w:sz w:val="24"/>
              </w:rPr>
              <w:t>Recipročna međusobna ulaganja u dopunski kapital su</w:t>
            </w:r>
            <w:r w:rsidRPr="00EF7F33">
              <w:rPr>
                <w:rStyle w:val="InstructionsTabelleberschrift"/>
                <w:rFonts w:ascii="Times New Roman" w:hAnsi="Times New Roman"/>
                <w:sz w:val="24"/>
              </w:rPr>
              <w:t>b</w:t>
            </w:r>
            <w:r w:rsidRPr="00EF7F33">
              <w:rPr>
                <w:rStyle w:val="InstructionsTabelleberschrift"/>
                <w:rFonts w:ascii="Times New Roman" w:hAnsi="Times New Roman"/>
                <w:sz w:val="24"/>
              </w:rPr>
              <w:t>jekata financijskog sektora ako institucija ima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(b), članak 476., članak 477. stavak 3. točka (b)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preostali iznos u skladu s člankom 477. stavkom 3.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340</w:t>
            </w: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1.3.2.8.</w:t>
            </w:r>
            <w:r w:rsidRPr="00EF7F33">
              <w:tab/>
            </w:r>
            <w:r w:rsidRPr="00EF7F33">
              <w:rPr>
                <w:rStyle w:val="InstructionsTabelleberschrift"/>
                <w:rFonts w:ascii="Times New Roman" w:hAnsi="Times New Roman"/>
                <w:sz w:val="24"/>
              </w:rPr>
              <w:t>Instrumenti regulatornog kapitala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nema značajno ulaganje</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350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1.3.2.8.1</w:t>
            </w:r>
            <w:r w:rsidRPr="00EF7F33">
              <w:tab/>
            </w:r>
            <w:r w:rsidRPr="00EF7F33">
              <w:rPr>
                <w:rStyle w:val="InstructionsTabelleberschrift"/>
                <w:rFonts w:ascii="Times New Roman" w:hAnsi="Times New Roman"/>
                <w:sz w:val="24"/>
              </w:rPr>
              <w:t>Instrumenti redovnog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(h), članak 469. stavak 1., članak 472. stavak 10.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36. stavkom 1. točkom (h)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360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1.3.2.8.2</w:t>
            </w:r>
            <w:r w:rsidRPr="00EF7F33">
              <w:tab/>
            </w:r>
            <w:r w:rsidRPr="00EF7F33">
              <w:rPr>
                <w:rStyle w:val="InstructionsTabelleberschrift"/>
                <w:rFonts w:ascii="Times New Roman" w:hAnsi="Times New Roman"/>
                <w:sz w:val="24"/>
              </w:rPr>
              <w:t>Instrumenti dodatnog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nema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(c), članak 474., članak 475. stavak 4.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56. točkom (c)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370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1.3.2.8.3</w:t>
            </w:r>
            <w:r w:rsidRPr="00EF7F33">
              <w:tab/>
            </w:r>
            <w:r w:rsidRPr="00EF7F33">
              <w:rPr>
                <w:rStyle w:val="InstructionsTabelleberschrift"/>
                <w:rFonts w:ascii="Times New Roman" w:hAnsi="Times New Roman"/>
                <w:sz w:val="24"/>
              </w:rPr>
              <w:t>Instrumenti dopunskog kapitala subjekata financijskog sektora ako institucija nema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(c), članak 476., članak 477. stavak 4.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66. točkom (c)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380</w:t>
            </w: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1.3.2.9</w:t>
            </w:r>
            <w:r w:rsidRPr="00EF7F33">
              <w:tab/>
            </w:r>
            <w:r w:rsidRPr="00EF7F33">
              <w:rPr>
                <w:rStyle w:val="InstructionsTabelleberschrift"/>
                <w:rFonts w:ascii="Times New Roman" w:hAnsi="Times New Roman"/>
                <w:sz w:val="24"/>
              </w:rPr>
              <w:t>Odgođena porezna imovina koja ovisi o budućoj profitabilnosti i proizlazi iz privremenih razlika i instrumenti redovnog osnovnog k</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pitala subjekata financijskog sektora ako institucija ima značajno ul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ganje</w:t>
            </w:r>
          </w:p>
          <w:p w:rsidR="00A60195" w:rsidRPr="00EF7F33" w:rsidRDefault="000F1CEA"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Članak 470. stavci 2. i 3.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Članak 470. stavak 1. CRR-a</w:t>
            </w:r>
          </w:p>
        </w:tc>
      </w:tr>
      <w:tr w:rsidR="004A705D" w:rsidRPr="00EF7F33" w:rsidTr="00672D2A">
        <w:tc>
          <w:tcPr>
            <w:tcW w:w="1012" w:type="dxa"/>
          </w:tcPr>
          <w:p w:rsidR="004A705D" w:rsidRPr="00EF7F33" w:rsidRDefault="004A705D"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385</w:t>
            </w:r>
          </w:p>
        </w:tc>
        <w:tc>
          <w:tcPr>
            <w:tcW w:w="7478" w:type="dxa"/>
          </w:tcPr>
          <w:p w:rsidR="004A705D" w:rsidRPr="00EF7F33" w:rsidRDefault="004A705D"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Odgođena porezna imovina koja ovisi o budućoj profitabilnosti i pr</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izlazi iz privremenih razlika</w:t>
            </w:r>
          </w:p>
          <w:p w:rsidR="004A705D" w:rsidRPr="00EF7F33" w:rsidRDefault="004A705D"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469. stavak 1. točka (c), članak 478. i članak 472. stavak 5. CRR-a</w:t>
            </w:r>
          </w:p>
          <w:p w:rsidR="004A705D" w:rsidRPr="00EF7F33" w:rsidRDefault="004A705D" w:rsidP="00FD239F">
            <w:pPr>
              <w:pStyle w:val="InstructionsText"/>
              <w:rPr>
                <w:rStyle w:val="InstructionsTabelleberschrift"/>
                <w:rFonts w:ascii="Times New Roman" w:hAnsi="Times New Roman"/>
                <w:b w:val="0"/>
                <w:sz w:val="24"/>
                <w:u w:val="none"/>
              </w:rPr>
            </w:pPr>
            <w:r w:rsidRPr="00EF7F33">
              <w:rPr>
                <w:rStyle w:val="InstructionsTabelleText"/>
                <w:rFonts w:ascii="Times New Roman" w:hAnsi="Times New Roman"/>
                <w:sz w:val="24"/>
              </w:rPr>
              <w:t>Dio odgođene porezne imovine koja ovisi o budućoj profitabilnosti i proi</w:t>
            </w:r>
            <w:r w:rsidRPr="00EF7F33">
              <w:rPr>
                <w:rStyle w:val="InstructionsTabelleText"/>
                <w:rFonts w:ascii="Times New Roman" w:hAnsi="Times New Roman"/>
                <w:sz w:val="24"/>
              </w:rPr>
              <w:t>z</w:t>
            </w:r>
            <w:r w:rsidRPr="00EF7F33">
              <w:rPr>
                <w:rStyle w:val="InstructionsTabelleText"/>
                <w:rFonts w:ascii="Times New Roman" w:hAnsi="Times New Roman"/>
                <w:sz w:val="24"/>
              </w:rPr>
              <w:t>lazi iz privremenih razloga koji premašuje prag od 10 % iz članka 470. stavka 2. točke (a) CRR-a.</w:t>
            </w:r>
          </w:p>
        </w:tc>
      </w:tr>
      <w:tr w:rsidR="00A60195" w:rsidRPr="00EF7F33" w:rsidTr="00672D2A">
        <w:trPr>
          <w:trHeight w:val="60"/>
        </w:trPr>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390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1.3.2.10</w:t>
            </w:r>
            <w:r w:rsidRPr="00EF7F33">
              <w:tab/>
            </w:r>
            <w:r w:rsidRPr="00EF7F33">
              <w:rPr>
                <w:rStyle w:val="InstructionsTabelleberschrift"/>
                <w:rFonts w:ascii="Times New Roman" w:hAnsi="Times New Roman"/>
                <w:sz w:val="24"/>
              </w:rPr>
              <w:t>Instrumenti regulatornog kapitala subjekata financi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skog sektora ako institucija ima značajno ulaganje</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400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1.3.2.10.1</w:t>
            </w:r>
            <w:r w:rsidRPr="00EF7F33">
              <w:tab/>
            </w:r>
            <w:r w:rsidRPr="00EF7F33">
              <w:rPr>
                <w:rStyle w:val="InstructionsTabelleberschrift"/>
                <w:rFonts w:ascii="Times New Roman" w:hAnsi="Times New Roman"/>
                <w:sz w:val="24"/>
              </w:rPr>
              <w:t>Instrumenti redovnog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36. stavak 1. točka (i.), članak 469. stavak 1., članak 472. stavak 11.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36. stavkom 1. točkom (i)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410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1.3.2.10.2</w:t>
            </w:r>
            <w:r w:rsidRPr="00EF7F33">
              <w:tab/>
            </w:r>
            <w:r w:rsidRPr="00EF7F33">
              <w:rPr>
                <w:rStyle w:val="InstructionsTabelleberschrift"/>
                <w:rFonts w:ascii="Times New Roman" w:hAnsi="Times New Roman"/>
                <w:sz w:val="24"/>
              </w:rPr>
              <w:t>Instrumenti dodatnog osnovnog kapitala subjekata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nancijskog sektora ako institucija ima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56. točka (d), članak 474., članak 475. stavak 4.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56. točkom (d) CRR-a</w:t>
            </w:r>
          </w:p>
        </w:tc>
      </w:tr>
      <w:tr w:rsidR="00A60195" w:rsidRPr="00EF7F33" w:rsidTr="00672D2A">
        <w:tc>
          <w:tcPr>
            <w:tcW w:w="1012" w:type="dxa"/>
          </w:tcPr>
          <w:p w:rsidR="00A60195" w:rsidRPr="00EF7F33" w:rsidDel="00E41E4F"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420</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1.3.2.10.2</w:t>
            </w:r>
            <w:r w:rsidRPr="00EF7F33">
              <w:tab/>
            </w:r>
            <w:r w:rsidRPr="00EF7F33">
              <w:rPr>
                <w:rStyle w:val="InstructionsTabelleberschrift"/>
                <w:rFonts w:ascii="Times New Roman" w:hAnsi="Times New Roman"/>
                <w:sz w:val="24"/>
              </w:rPr>
              <w:t>Instrumenti dopunskog kapitala subjekata financijskog sektora ako institucija ima značajno ulaganje</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66. točka (d), članak 476., članak 477. stavak 4. i članak 478.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stupcu 060 ovog retka: originalan odbitak u skladu s člankom 66. točkom (d) CRR-a</w:t>
            </w:r>
          </w:p>
        </w:tc>
      </w:tr>
      <w:tr w:rsidR="00A60195" w:rsidRPr="00EF7F33" w:rsidTr="00672D2A">
        <w:tc>
          <w:tcPr>
            <w:tcW w:w="1012" w:type="dxa"/>
          </w:tcPr>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425</w:t>
            </w:r>
          </w:p>
        </w:tc>
        <w:tc>
          <w:tcPr>
            <w:tcW w:w="7478" w:type="dxa"/>
          </w:tcPr>
          <w:p w:rsidR="00A60195" w:rsidRPr="00EF7F33" w:rsidRDefault="00A6019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1.3.2.11</w:t>
            </w:r>
            <w:r w:rsidRPr="00EF7F33">
              <w:tab/>
            </w:r>
            <w:r w:rsidRPr="00EF7F33">
              <w:rPr>
                <w:rStyle w:val="InstructionsTabelleberschrift"/>
                <w:rFonts w:ascii="Times New Roman" w:hAnsi="Times New Roman"/>
                <w:sz w:val="24"/>
              </w:rPr>
              <w:t>Izuzeće od odbitka ulaganja u kapital društava za osig</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ranje od stavki redovnog osnovnog kapitala</w:t>
            </w:r>
          </w:p>
          <w:p w:rsidR="00A60195" w:rsidRPr="00EF7F33" w:rsidRDefault="000F1CEA"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471. CRR-a</w:t>
            </w:r>
          </w:p>
        </w:tc>
      </w:tr>
      <w:tr w:rsidR="00A60195" w:rsidRPr="00EF7F33" w:rsidTr="00672D2A">
        <w:tc>
          <w:tcPr>
            <w:tcW w:w="1012" w:type="dxa"/>
          </w:tcPr>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430</w:t>
            </w:r>
          </w:p>
          <w:p w:rsidR="00A60195" w:rsidRPr="00EF7F33" w:rsidRDefault="00A60195" w:rsidP="00FD239F">
            <w:pPr>
              <w:pStyle w:val="InstructionsText"/>
              <w:rPr>
                <w:rStyle w:val="InstructionsTabelleText"/>
                <w:rFonts w:ascii="Times New Roman" w:hAnsi="Times New Roman"/>
                <w:sz w:val="24"/>
              </w:rPr>
            </w:pPr>
          </w:p>
        </w:tc>
        <w:tc>
          <w:tcPr>
            <w:tcW w:w="7478" w:type="dxa"/>
          </w:tcPr>
          <w:p w:rsidR="00A60195" w:rsidRPr="00EF7F33" w:rsidRDefault="00A60195"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1.3.3</w:t>
            </w:r>
            <w:r w:rsidRPr="00EF7F33">
              <w:tab/>
            </w:r>
            <w:r w:rsidRPr="00EF7F33">
              <w:rPr>
                <w:rStyle w:val="InstructionsTabelleberschrift"/>
                <w:rFonts w:ascii="Times New Roman" w:hAnsi="Times New Roman"/>
                <w:sz w:val="24"/>
              </w:rPr>
              <w:t>Dodatni filtri i odbici</w:t>
            </w:r>
          </w:p>
          <w:p w:rsidR="00A60195" w:rsidRPr="00EF7F33" w:rsidRDefault="00A60195" w:rsidP="007106FB">
            <w:pPr>
              <w:spacing w:before="0"/>
              <w:rPr>
                <w:rStyle w:val="InstructionsTabelleText"/>
                <w:rFonts w:ascii="Times New Roman" w:hAnsi="Times New Roman"/>
                <w:sz w:val="24"/>
              </w:rPr>
            </w:pPr>
            <w:r w:rsidRPr="00EF7F33">
              <w:rPr>
                <w:rStyle w:val="InstructionsTabelleText"/>
                <w:rFonts w:ascii="Times New Roman" w:hAnsi="Times New Roman"/>
                <w:sz w:val="24"/>
              </w:rPr>
              <w:t>Članak 481. CRR-a</w:t>
            </w:r>
          </w:p>
          <w:p w:rsidR="00A60195"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Ovaj redak odražava ukupan učinak prijelaznih odredbi na dodatne filtre i odbitke.</w:t>
            </w:r>
          </w:p>
          <w:p w:rsidR="00783881" w:rsidRPr="00EF7F33" w:rsidRDefault="00A60195"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U skladu s člankom 481. CRR-a, u stavci 1.3.3 institucije iskazuju info</w:t>
            </w:r>
            <w:r w:rsidRPr="00EF7F33">
              <w:rPr>
                <w:rStyle w:val="InstructionsTabelleText"/>
                <w:rFonts w:ascii="Times New Roman" w:hAnsi="Times New Roman"/>
                <w:sz w:val="24"/>
              </w:rPr>
              <w:t>r</w:t>
            </w:r>
            <w:r w:rsidRPr="00EF7F33">
              <w:rPr>
                <w:rStyle w:val="InstructionsTabelleText"/>
                <w:rFonts w:ascii="Times New Roman" w:hAnsi="Times New Roman"/>
                <w:sz w:val="24"/>
              </w:rPr>
              <w:t xml:space="preserve">macije o filtrima i odbicima zahtijevanima u skladu s nacionalnim mjerama za prenošenje članaka 57. i 66. Direktive 2006/48/EZ i članaka 13. i 16. Direktive 2006/49/EZ te koji nisu zahtijevani u skladu s dijelom drugim. </w:t>
            </w:r>
          </w:p>
        </w:tc>
      </w:tr>
      <w:tr w:rsidR="008B695F" w:rsidRPr="00EF7F33" w:rsidTr="00672D2A">
        <w:tc>
          <w:tcPr>
            <w:tcW w:w="1012" w:type="dxa"/>
          </w:tcPr>
          <w:p w:rsidR="008B695F" w:rsidRPr="00EF7F33" w:rsidRDefault="008B695F"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440</w:t>
            </w:r>
          </w:p>
        </w:tc>
        <w:tc>
          <w:tcPr>
            <w:tcW w:w="7478" w:type="dxa"/>
          </w:tcPr>
          <w:p w:rsidR="008B695F" w:rsidRPr="00EF7F33" w:rsidRDefault="008B695F"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1.3.4</w:t>
            </w:r>
            <w:r w:rsidRPr="00EF7F33">
              <w:tab/>
            </w:r>
            <w:r w:rsidRPr="00EF7F33">
              <w:rPr>
                <w:rStyle w:val="InstructionsTabelleberschrift"/>
                <w:rFonts w:ascii="Times New Roman" w:hAnsi="Times New Roman"/>
                <w:sz w:val="24"/>
              </w:rPr>
              <w:t>Usklađenja zbog prijelaznih aranžmana povezanih s MSFI-jem 9</w:t>
            </w:r>
          </w:p>
          <w:p w:rsidR="008B695F" w:rsidRPr="00EF7F33" w:rsidRDefault="009247A0"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Institucije iskazuju informacije povezane s prijelaznim aranžmanima zbog primjene MSFI-ja 9 u skladu s primjenjivim pravnim odredbama.</w:t>
            </w:r>
          </w:p>
        </w:tc>
      </w:tr>
    </w:tbl>
    <w:p w:rsidR="002648B0" w:rsidRPr="00EF7F33" w:rsidRDefault="002648B0" w:rsidP="00D946DB">
      <w:pPr>
        <w:spacing w:after="0"/>
        <w:rPr>
          <w:rFonts w:ascii="Times New Roman" w:hAnsi="Times New Roman"/>
          <w:sz w:val="24"/>
        </w:rPr>
      </w:pP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523998112"/>
      <w:bookmarkStart w:id="110" w:name="_Toc360188337"/>
      <w:bookmarkEnd w:id="105"/>
      <w:r w:rsidRPr="00EF7F33">
        <w:rPr>
          <w:rFonts w:ascii="Times New Roman" w:hAnsi="Times New Roman"/>
          <w:sz w:val="24"/>
          <w:u w:val="none"/>
        </w:rPr>
        <w:t>1.6.3.</w:t>
      </w:r>
      <w:r w:rsidRPr="00EF7F33">
        <w:tab/>
      </w:r>
      <w:r w:rsidRPr="00EF7F33">
        <w:rPr>
          <w:rFonts w:ascii="Times New Roman" w:hAnsi="Times New Roman"/>
          <w:sz w:val="24"/>
        </w:rPr>
        <w:t>C 05.02 – INSTRUMENTI KOJI SE NASTAVLJAJU PRIZNAVATI: INSTR</w:t>
      </w:r>
      <w:r w:rsidRPr="00EF7F33">
        <w:rPr>
          <w:rFonts w:ascii="Times New Roman" w:hAnsi="Times New Roman"/>
          <w:sz w:val="24"/>
        </w:rPr>
        <w:t>U</w:t>
      </w:r>
      <w:r w:rsidRPr="00EF7F33">
        <w:rPr>
          <w:rFonts w:ascii="Times New Roman" w:hAnsi="Times New Roman"/>
          <w:sz w:val="24"/>
        </w:rPr>
        <w:t>MENTI KOJI NISU INSTRUMENTI DRŽAVNE POTPORE (CA5.2)</w:t>
      </w:r>
      <w:bookmarkEnd w:id="106"/>
      <w:bookmarkEnd w:id="107"/>
      <w:bookmarkEnd w:id="108"/>
      <w:bookmarkEnd w:id="109"/>
      <w:r w:rsidRPr="00EF7F33">
        <w:rPr>
          <w:rFonts w:ascii="Times New Roman" w:hAnsi="Times New Roman"/>
          <w:sz w:val="24"/>
        </w:rPr>
        <w:t xml:space="preserve"> </w:t>
      </w:r>
      <w:bookmarkEnd w:id="110"/>
    </w:p>
    <w:p w:rsidR="00783881" w:rsidRPr="00EF7F33" w:rsidRDefault="00125707" w:rsidP="00C37B29">
      <w:pPr>
        <w:pStyle w:val="InstructionsText2"/>
        <w:numPr>
          <w:ilvl w:val="0"/>
          <w:numId w:val="0"/>
        </w:numPr>
        <w:ind w:left="993"/>
      </w:pPr>
      <w:r w:rsidRPr="00EF7F33">
        <w:t>25.</w:t>
      </w:r>
      <w:r w:rsidRPr="00EF7F33">
        <w:tab/>
        <w:t>Institucije iskazuje informacije o prijelaznim odredbama za instrumente koji se nastavljaju priznavati i koji nisu instrumenti državne potpore (članci od 484. do 491. CRR-a).</w:t>
      </w:r>
    </w:p>
    <w:p w:rsidR="002648B0" w:rsidRPr="00EF7F33"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3998113"/>
      <w:r w:rsidRPr="00EF7F33">
        <w:rPr>
          <w:rFonts w:ascii="Times New Roman" w:hAnsi="Times New Roman"/>
          <w:sz w:val="24"/>
          <w:u w:val="none"/>
        </w:rPr>
        <w:t>1.6.3.1.</w:t>
      </w:r>
      <w:r w:rsidRPr="00EF7F33">
        <w:tab/>
      </w:r>
      <w:r w:rsidRPr="00EF7F33">
        <w:rPr>
          <w:rFonts w:ascii="Times New Roman" w:hAnsi="Times New Roman"/>
          <w:sz w:val="24"/>
        </w:rPr>
        <w:t>Upute za specifične pozicije</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EF7F33" w:rsidTr="00672D2A">
        <w:tc>
          <w:tcPr>
            <w:tcW w:w="8181" w:type="dxa"/>
            <w:gridSpan w:val="2"/>
            <w:shd w:val="clear" w:color="auto" w:fill="D9D9D9"/>
          </w:tcPr>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Stupci</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010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Iznos instrumenata uvećan za povezanu premiju na dionice</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484. stavci od 3. do 5.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Instrumenti koji ispunjavaju uvjete za svaki redak, uključujući njihove p</w:t>
            </w:r>
            <w:r w:rsidRPr="00EF7F33">
              <w:rPr>
                <w:rStyle w:val="InstructionsTabelleText"/>
                <w:rFonts w:ascii="Times New Roman" w:hAnsi="Times New Roman"/>
                <w:sz w:val="24"/>
              </w:rPr>
              <w:t>o</w:t>
            </w:r>
            <w:r w:rsidRPr="00EF7F33">
              <w:rPr>
                <w:rStyle w:val="InstructionsTabelleText"/>
                <w:rFonts w:ascii="Times New Roman" w:hAnsi="Times New Roman"/>
                <w:sz w:val="24"/>
              </w:rPr>
              <w:t>vezane premije na dionice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020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Osnova za izračun ograničenja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486. stavci od 2. do 4.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030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Primjenjivi postotak</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486. stavak 5.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040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Ograničenje</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486. stavci od 2. do 5.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050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 Iznos koji premašuje ograničenja za nastavak priznavanja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486. stavci od 2. do 5.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060</w:t>
            </w:r>
          </w:p>
        </w:tc>
        <w:tc>
          <w:tcPr>
            <w:tcW w:w="7478" w:type="dxa"/>
          </w:tcPr>
          <w:p w:rsidR="002648B0" w:rsidRPr="00EF7F33" w:rsidRDefault="002648B0" w:rsidP="007106FB">
            <w:pPr>
              <w:rPr>
                <w:rStyle w:val="InstructionsTabelleberschrift"/>
                <w:rFonts w:ascii="Times New Roman" w:hAnsi="Times New Roman"/>
                <w:sz w:val="24"/>
              </w:rPr>
            </w:pPr>
            <w:r w:rsidRPr="00EF7F33">
              <w:rPr>
                <w:rStyle w:val="InstructionsTabelleberschrift"/>
                <w:rFonts w:ascii="Times New Roman" w:hAnsi="Times New Roman"/>
                <w:sz w:val="24"/>
              </w:rPr>
              <w:t>Ukupan iznos koji se nastavlja priznavati</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jednak je iznosima iskazanima u odgovar</w:t>
            </w:r>
            <w:r w:rsidRPr="00EF7F33">
              <w:rPr>
                <w:rStyle w:val="InstructionsTabelleText"/>
                <w:rFonts w:ascii="Times New Roman" w:hAnsi="Times New Roman"/>
                <w:sz w:val="24"/>
              </w:rPr>
              <w:t>a</w:t>
            </w:r>
            <w:r w:rsidRPr="00EF7F33">
              <w:rPr>
                <w:rStyle w:val="InstructionsTabelleText"/>
                <w:rFonts w:ascii="Times New Roman" w:hAnsi="Times New Roman"/>
                <w:sz w:val="24"/>
              </w:rPr>
              <w:t>jućim stupcima u retku 060 obrasca CA 5.1.</w:t>
            </w:r>
          </w:p>
        </w:tc>
      </w:tr>
    </w:tbl>
    <w:p w:rsidR="002648B0" w:rsidRPr="00EF7F33"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EF7F33" w:rsidTr="00672D2A">
        <w:tc>
          <w:tcPr>
            <w:tcW w:w="8181" w:type="dxa"/>
            <w:gridSpan w:val="2"/>
            <w:shd w:val="clear" w:color="auto" w:fill="D9D9D9"/>
          </w:tcPr>
          <w:p w:rsidR="005643EA" w:rsidRPr="00EF7F33" w:rsidRDefault="002648B0" w:rsidP="00FD239F">
            <w:pPr>
              <w:pStyle w:val="InstructionsText"/>
            </w:pPr>
            <w:r w:rsidRPr="00EF7F33">
              <w:t>Redci</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010</w:t>
            </w:r>
          </w:p>
        </w:tc>
        <w:tc>
          <w:tcPr>
            <w:tcW w:w="7478" w:type="dxa"/>
          </w:tcPr>
          <w:p w:rsidR="005643EA" w:rsidRPr="00EF7F33" w:rsidRDefault="00C66473"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w:t>
            </w:r>
            <w:r w:rsidRPr="00EF7F33">
              <w:tab/>
            </w:r>
            <w:r w:rsidRPr="00EF7F33">
              <w:rPr>
                <w:rStyle w:val="InstructionsTabelleberschrift"/>
                <w:rFonts w:ascii="Times New Roman" w:hAnsi="Times New Roman"/>
                <w:sz w:val="24"/>
              </w:rPr>
              <w:t>Instrumenti koji ispunjavaju uvjete iz članka 57. točke (a) Direktive 2006/48/EZ</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484. stavak 3.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020</w:t>
            </w:r>
          </w:p>
        </w:tc>
        <w:tc>
          <w:tcPr>
            <w:tcW w:w="7478" w:type="dxa"/>
          </w:tcPr>
          <w:p w:rsidR="005643EA" w:rsidRPr="00EF7F33" w:rsidRDefault="00C66473"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2.</w:t>
            </w:r>
            <w:r w:rsidRPr="00EF7F33">
              <w:tab/>
            </w:r>
            <w:r w:rsidRPr="00EF7F33">
              <w:rPr>
                <w:rStyle w:val="InstructionsTabelleberschrift"/>
                <w:rFonts w:ascii="Times New Roman" w:hAnsi="Times New Roman"/>
                <w:sz w:val="24"/>
              </w:rPr>
              <w:t>Instrumenti koji ispunjavaju uvjete iz članka 57. točke (ca) i članka 154. stavaka 8. i 9. Direktive 2006/48/EZ, podložno ograničenju iz članka 489.</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484. stavak 4.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030</w:t>
            </w:r>
          </w:p>
        </w:tc>
        <w:tc>
          <w:tcPr>
            <w:tcW w:w="7478" w:type="dxa"/>
          </w:tcPr>
          <w:p w:rsidR="00496C53"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2.1</w:t>
            </w:r>
            <w:r w:rsidRPr="00EF7F33">
              <w:tab/>
            </w:r>
            <w:r w:rsidRPr="00EF7F33">
              <w:rPr>
                <w:rStyle w:val="InstructionsTabelleberschrift"/>
                <w:rFonts w:ascii="Times New Roman" w:hAnsi="Times New Roman"/>
                <w:sz w:val="24"/>
              </w:rPr>
              <w:t>Ukupni instrumenti bez opcije kupnje ili poticaja na otkup</w:t>
            </w:r>
          </w:p>
          <w:p w:rsidR="002648B0"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484. stavak 4. i članak 489.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040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2.2</w:t>
            </w:r>
            <w:r w:rsidRPr="00EF7F33">
              <w:tab/>
            </w:r>
            <w:r w:rsidRPr="00EF7F33">
              <w:rPr>
                <w:rStyle w:val="InstructionsTabelleberschrift"/>
                <w:rFonts w:ascii="Times New Roman" w:hAnsi="Times New Roman"/>
                <w:sz w:val="24"/>
              </w:rPr>
              <w:t>Instrumenti koji se nastavljaju priznavati s opcijom kupnje i poticajem na otkup</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489.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050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2.2.1</w:t>
            </w:r>
            <w:r w:rsidRPr="00EF7F33">
              <w:tab/>
            </w:r>
            <w:r w:rsidRPr="00EF7F33">
              <w:rPr>
                <w:rStyle w:val="InstructionsTabelleberschrift"/>
                <w:rFonts w:ascii="Times New Roman" w:hAnsi="Times New Roman"/>
                <w:sz w:val="24"/>
              </w:rPr>
              <w:t>Instrumenti s opcijom kupnje koja se može izvršiti nakon izvj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štajnog datuma koji ispunjavaju uvjete iz članka 52. CRR-a nakon d</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tuma efektivnog dospijeća</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489. stavak 3. i članak 491. točka (a)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060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2.2.2</w:t>
            </w:r>
            <w:r w:rsidRPr="00EF7F33">
              <w:tab/>
            </w:r>
            <w:r w:rsidRPr="00EF7F33">
              <w:rPr>
                <w:rStyle w:val="InstructionsTabelleberschrift"/>
                <w:rFonts w:ascii="Times New Roman" w:hAnsi="Times New Roman"/>
                <w:sz w:val="24"/>
              </w:rPr>
              <w:t>Instrumenti s opcijom kupnje koja se može izvršiti nakon izvj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štajnog datuma koji ne ispunjavaju uvjete iz članka 52. CRR-a nakon datuma efektivnog dospijeća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489. stavak 5. i članak 491. točka (a)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070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2.2.3</w:t>
            </w:r>
            <w:r w:rsidRPr="00EF7F33">
              <w:tab/>
            </w:r>
            <w:r w:rsidRPr="00EF7F33">
              <w:rPr>
                <w:rStyle w:val="InstructionsTabelleberschrift"/>
                <w:rFonts w:ascii="Times New Roman" w:hAnsi="Times New Roman"/>
                <w:sz w:val="24"/>
              </w:rPr>
              <w:t>Instrumenti s opcijom kupnje koja se može izvršiti prije 20. srpnja 2011. ili na taj dan koji ne ispunjavaju uvjete iz članka 52. CRR-a nakon datuma efektivnog dospijeća</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489. stavak 6. i članak 491. točka (c) CRR-a</w:t>
            </w:r>
          </w:p>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080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2.3</w:t>
            </w:r>
            <w:r w:rsidRPr="00EF7F33">
              <w:tab/>
            </w:r>
            <w:r w:rsidRPr="00EF7F33">
              <w:rPr>
                <w:rStyle w:val="InstructionsTabelleberschrift"/>
                <w:rFonts w:ascii="Times New Roman" w:hAnsi="Times New Roman"/>
                <w:sz w:val="24"/>
              </w:rPr>
              <w:t>Prekoračenje ograničenja za instrumente redovnog osnovnog kapitala koji se nastavljaju priznavati</w:t>
            </w:r>
          </w:p>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487. stavak 1. CRR-a</w:t>
            </w:r>
          </w:p>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Prekoračenje ograničenja za instrumente redovnog osnovnog kapitala koji se nastavljaju priznavati može se tretirati kao instrumente koji se mogu n</w:t>
            </w:r>
            <w:r w:rsidRPr="00EF7F33">
              <w:rPr>
                <w:rStyle w:val="InstructionsTabelleText"/>
                <w:rFonts w:ascii="Times New Roman" w:hAnsi="Times New Roman"/>
                <w:sz w:val="24"/>
              </w:rPr>
              <w:t>a</w:t>
            </w:r>
            <w:r w:rsidRPr="00EF7F33">
              <w:rPr>
                <w:rStyle w:val="InstructionsTabelleText"/>
                <w:rFonts w:ascii="Times New Roman" w:hAnsi="Times New Roman"/>
                <w:sz w:val="24"/>
              </w:rPr>
              <w:t>staviti priznavati kao instrumenti dodatnog osnovnog kapitala.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090</w:t>
            </w:r>
          </w:p>
        </w:tc>
        <w:tc>
          <w:tcPr>
            <w:tcW w:w="7478" w:type="dxa"/>
          </w:tcPr>
          <w:p w:rsidR="005643EA" w:rsidRPr="00EF7F33" w:rsidRDefault="00C66473"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3.</w:t>
            </w:r>
            <w:r w:rsidRPr="00EF7F33">
              <w:tab/>
            </w:r>
            <w:r w:rsidRPr="00EF7F33">
              <w:rPr>
                <w:rStyle w:val="InstructionsTabelleberschrift"/>
                <w:rFonts w:ascii="Times New Roman" w:hAnsi="Times New Roman"/>
                <w:sz w:val="24"/>
              </w:rPr>
              <w:t>Stavke koje ispunjavaju uvjete iz članka 57. točke (e), (f), (g) ili (h) Direktive 2006/48/EZ, podložno ograničenju iz članka 490.</w:t>
            </w:r>
          </w:p>
          <w:p w:rsidR="005643EA" w:rsidRPr="00EF7F33" w:rsidRDefault="002648B0" w:rsidP="00FD239F">
            <w:pPr>
              <w:pStyle w:val="InstructionsText"/>
              <w:rPr>
                <w:rStyle w:val="InstructionsTabelleText"/>
                <w:rFonts w:ascii="Times New Roman" w:hAnsi="Times New Roman"/>
                <w:bCs/>
                <w:sz w:val="24"/>
              </w:rPr>
            </w:pPr>
            <w:r w:rsidRPr="00EF7F33">
              <w:rPr>
                <w:rStyle w:val="InstructionsTabelleText"/>
                <w:rFonts w:ascii="Times New Roman" w:hAnsi="Times New Roman"/>
                <w:sz w:val="24"/>
              </w:rPr>
              <w:t>Članak 484. stavak 5.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100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3.1</w:t>
            </w:r>
            <w:r w:rsidRPr="00EF7F33">
              <w:tab/>
            </w:r>
            <w:r w:rsidRPr="00EF7F33">
              <w:rPr>
                <w:rStyle w:val="InstructionsTabelleberschrift"/>
                <w:rFonts w:ascii="Times New Roman" w:hAnsi="Times New Roman"/>
                <w:sz w:val="24"/>
              </w:rPr>
              <w:t>Ukupne stavke bez poticaja na otkup</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490.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lastRenderedPageBreak/>
              <w:t>110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3.2</w:t>
            </w:r>
            <w:r w:rsidRPr="00EF7F33">
              <w:tab/>
            </w:r>
            <w:r w:rsidRPr="00EF7F33">
              <w:rPr>
                <w:rStyle w:val="InstructionsTabelleberschrift"/>
                <w:rFonts w:ascii="Times New Roman" w:hAnsi="Times New Roman"/>
                <w:sz w:val="24"/>
              </w:rPr>
              <w:t>Stavke koje se nastavljaju priznavati s poticajem na otkup</w:t>
            </w:r>
          </w:p>
          <w:p w:rsidR="005643EA"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Članak 490. CRR-a</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120</w:t>
            </w:r>
          </w:p>
        </w:tc>
        <w:tc>
          <w:tcPr>
            <w:tcW w:w="7478" w:type="dxa"/>
          </w:tcPr>
          <w:p w:rsidR="005643EA" w:rsidRPr="00EF7F33" w:rsidRDefault="002648B0" w:rsidP="00FD239F">
            <w:pPr>
              <w:pStyle w:val="InstructionsText"/>
              <w:rPr>
                <w:rStyle w:val="InstructionsTabelleText"/>
                <w:rFonts w:ascii="Times New Roman" w:hAnsi="Times New Roman"/>
                <w:b/>
                <w:bCs/>
                <w:sz w:val="24"/>
                <w:u w:val="single"/>
              </w:rPr>
            </w:pPr>
            <w:r w:rsidRPr="00EF7F33">
              <w:rPr>
                <w:rStyle w:val="InstructionsTabelleberschrift"/>
                <w:rFonts w:ascii="Times New Roman" w:hAnsi="Times New Roman"/>
                <w:sz w:val="24"/>
              </w:rPr>
              <w:t>3.2.1</w:t>
            </w:r>
            <w:r w:rsidRPr="00EF7F33">
              <w:tab/>
            </w:r>
            <w:r w:rsidRPr="00EF7F33">
              <w:rPr>
                <w:rStyle w:val="InstructionsTabelleberschrift"/>
                <w:rFonts w:ascii="Times New Roman" w:hAnsi="Times New Roman"/>
                <w:sz w:val="24"/>
              </w:rPr>
              <w:t>Stavke s opcijom kupnje koja se može izvršiti nakon izvješta</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nog datuma koje ispunjavaju uvjete iz članka 63. CRR-a nakon dat</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ma efektivnog dospijeća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490. stavak 3. i članak 491. točka (a) CRR-a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130</w:t>
            </w:r>
          </w:p>
        </w:tc>
        <w:tc>
          <w:tcPr>
            <w:tcW w:w="7478" w:type="dxa"/>
          </w:tcPr>
          <w:p w:rsidR="005643EA" w:rsidRPr="00EF7F33" w:rsidRDefault="002648B0" w:rsidP="00FD239F">
            <w:pPr>
              <w:pStyle w:val="InstructionsText"/>
              <w:rPr>
                <w:rStyle w:val="InstructionsTabelleText"/>
                <w:rFonts w:ascii="Times New Roman" w:hAnsi="Times New Roman"/>
                <w:b/>
                <w:sz w:val="24"/>
                <w:u w:val="single"/>
              </w:rPr>
            </w:pPr>
            <w:r w:rsidRPr="00EF7F33">
              <w:rPr>
                <w:rStyle w:val="InstructionsTabelleberschrift"/>
                <w:rFonts w:ascii="Times New Roman" w:hAnsi="Times New Roman"/>
                <w:sz w:val="24"/>
              </w:rPr>
              <w:t>3.2.2</w:t>
            </w:r>
            <w:r w:rsidRPr="00EF7F33">
              <w:tab/>
            </w:r>
            <w:r w:rsidRPr="00EF7F33">
              <w:rPr>
                <w:rStyle w:val="InstructionsTabelleberschrift"/>
                <w:rFonts w:ascii="Times New Roman" w:hAnsi="Times New Roman"/>
                <w:sz w:val="24"/>
              </w:rPr>
              <w:t>Stavke s opcijom kupnje koja se može izvršiti nakon izvješta</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nog datuma koje ne ispunjavaju uvjete iz članka 63. CRR-a nakon d</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tuma efektivnog dospijeća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Članak 490. stavak 5. i članak 491. točka (a) CRR-a</w:t>
            </w:r>
          </w:p>
          <w:p w:rsidR="002648B0" w:rsidRPr="00EF7F33" w:rsidRDefault="007C3B71" w:rsidP="007106FB">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140</w:t>
            </w:r>
          </w:p>
        </w:tc>
        <w:tc>
          <w:tcPr>
            <w:tcW w:w="7478" w:type="dxa"/>
          </w:tcPr>
          <w:p w:rsidR="00496C53" w:rsidRPr="00EF7F33" w:rsidRDefault="002648B0" w:rsidP="00FD239F">
            <w:pPr>
              <w:pStyle w:val="InstructionsText"/>
              <w:rPr>
                <w:rStyle w:val="InstructionsTabelleberschrift"/>
                <w:rFonts w:ascii="Times New Roman" w:hAnsi="Times New Roman"/>
                <w:bCs w:val="0"/>
                <w:sz w:val="24"/>
              </w:rPr>
            </w:pPr>
            <w:r w:rsidRPr="00EF7F33">
              <w:rPr>
                <w:rStyle w:val="InstructionsTabelleberschrift"/>
                <w:rFonts w:ascii="Times New Roman" w:hAnsi="Times New Roman"/>
                <w:sz w:val="24"/>
              </w:rPr>
              <w:t>3.2.3</w:t>
            </w:r>
            <w:r w:rsidRPr="00EF7F33">
              <w:tab/>
            </w:r>
            <w:r w:rsidRPr="00EF7F33">
              <w:rPr>
                <w:rStyle w:val="InstructionsTabelleberschrift"/>
                <w:rFonts w:ascii="Times New Roman" w:hAnsi="Times New Roman"/>
                <w:sz w:val="24"/>
              </w:rPr>
              <w:t>Stavke s opcijom kupnje koja se može izvršiti prije 20. srpnja 2011. ili na taj dan koje ne ispunjavaju uvjete iz članka 63. CRR-a n</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kon datuma efektivnog dospijeća</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 xml:space="preserve">Članak 490. stavak 6. i članak 491. točka (c) CRR-a </w:t>
            </w:r>
          </w:p>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povezane račune premija na dion</w:t>
            </w:r>
            <w:r w:rsidRPr="00EF7F33">
              <w:rPr>
                <w:rStyle w:val="InstructionsTabelleText"/>
                <w:rFonts w:ascii="Times New Roman" w:hAnsi="Times New Roman"/>
                <w:sz w:val="24"/>
              </w:rPr>
              <w:t>i</w:t>
            </w:r>
            <w:r w:rsidRPr="00EF7F33">
              <w:rPr>
                <w:rStyle w:val="InstructionsTabelleText"/>
                <w:rFonts w:ascii="Times New Roman" w:hAnsi="Times New Roman"/>
                <w:sz w:val="24"/>
              </w:rPr>
              <w:t>ce.</w:t>
            </w:r>
          </w:p>
        </w:tc>
      </w:tr>
      <w:tr w:rsidR="002648B0" w:rsidRPr="00EF7F33" w:rsidTr="00672D2A">
        <w:tc>
          <w:tcPr>
            <w:tcW w:w="703" w:type="dxa"/>
          </w:tcPr>
          <w:p w:rsidR="002648B0" w:rsidRPr="00EF7F33" w:rsidRDefault="002648B0" w:rsidP="00FD239F">
            <w:pPr>
              <w:pStyle w:val="InstructionsText"/>
              <w:rPr>
                <w:rStyle w:val="InstructionsTabelleText"/>
                <w:rFonts w:ascii="Times New Roman" w:hAnsi="Times New Roman"/>
                <w:sz w:val="24"/>
              </w:rPr>
            </w:pPr>
            <w:r w:rsidRPr="00EF7F33">
              <w:rPr>
                <w:rStyle w:val="InstructionsTabelleText"/>
                <w:rFonts w:ascii="Times New Roman" w:hAnsi="Times New Roman"/>
                <w:sz w:val="24"/>
              </w:rPr>
              <w:t>150</w:t>
            </w:r>
          </w:p>
        </w:tc>
        <w:tc>
          <w:tcPr>
            <w:tcW w:w="7478" w:type="dxa"/>
          </w:tcPr>
          <w:p w:rsidR="005643EA" w:rsidRPr="00EF7F33" w:rsidRDefault="002648B0"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3.3</w:t>
            </w:r>
            <w:r w:rsidRPr="00EF7F33">
              <w:tab/>
            </w:r>
            <w:r w:rsidRPr="00EF7F33">
              <w:rPr>
                <w:rStyle w:val="InstructionsTabelleberschrift"/>
                <w:rFonts w:ascii="Times New Roman" w:hAnsi="Times New Roman"/>
                <w:sz w:val="24"/>
              </w:rPr>
              <w:t>Prekoračenje ograničenja za instrumente dodatnog osnovnog kapitala koji se nastavljaju priznavati</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 xml:space="preserve">Članak 487. stavak 2. CRR-a </w:t>
            </w:r>
          </w:p>
          <w:p w:rsidR="002648B0" w:rsidRPr="00EF7F33" w:rsidRDefault="002648B0" w:rsidP="007106FB">
            <w:pPr>
              <w:rPr>
                <w:rStyle w:val="InstructionsTabelleText"/>
                <w:rFonts w:ascii="Times New Roman" w:hAnsi="Times New Roman"/>
                <w:sz w:val="24"/>
              </w:rPr>
            </w:pPr>
            <w:r w:rsidRPr="00EF7F33">
              <w:rPr>
                <w:rStyle w:val="InstructionsTabelleText"/>
                <w:rFonts w:ascii="Times New Roman" w:hAnsi="Times New Roman"/>
                <w:sz w:val="24"/>
              </w:rPr>
              <w:t>Prekoračenje ograničenja za instrumente dodatnog osnovnog kapitala koji se nastavljaju priznavati može se tretirati kao instrumente koji se mogu n</w:t>
            </w:r>
            <w:r w:rsidRPr="00EF7F33">
              <w:rPr>
                <w:rStyle w:val="InstructionsTabelleText"/>
                <w:rFonts w:ascii="Times New Roman" w:hAnsi="Times New Roman"/>
                <w:sz w:val="24"/>
              </w:rPr>
              <w:t>a</w:t>
            </w:r>
            <w:r w:rsidRPr="00EF7F33">
              <w:rPr>
                <w:rStyle w:val="InstructionsTabelleText"/>
                <w:rFonts w:ascii="Times New Roman" w:hAnsi="Times New Roman"/>
                <w:sz w:val="24"/>
              </w:rPr>
              <w:t>staviti priznavati kao instrumenti dopunskog kapitala.</w:t>
            </w:r>
          </w:p>
        </w:tc>
      </w:tr>
    </w:tbl>
    <w:p w:rsidR="00464F34" w:rsidRPr="00EF7F33"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3998114"/>
      <w:bookmarkEnd w:id="115"/>
      <w:bookmarkEnd w:id="116"/>
      <w:bookmarkEnd w:id="117"/>
      <w:r w:rsidRPr="00EF7F33">
        <w:rPr>
          <w:rFonts w:ascii="Times New Roman" w:hAnsi="Times New Roman"/>
          <w:sz w:val="24"/>
          <w:u w:val="none"/>
        </w:rPr>
        <w:t>2.</w:t>
      </w:r>
      <w:r w:rsidRPr="00EF7F33">
        <w:tab/>
      </w:r>
      <w:r w:rsidRPr="00EF7F33">
        <w:rPr>
          <w:rFonts w:ascii="Times New Roman" w:hAnsi="Times New Roman"/>
          <w:sz w:val="24"/>
        </w:rPr>
        <w:t>SOLVENTNOST GRUPE: INFORMACIJE O POVEZANIM DRUŠTVIMA (GS)</w:t>
      </w:r>
      <w:bookmarkEnd w:id="118"/>
      <w:bookmarkEnd w:id="119"/>
      <w:bookmarkEnd w:id="120"/>
      <w:bookmarkEnd w:id="121"/>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3998115"/>
      <w:r w:rsidRPr="00EF7F33">
        <w:rPr>
          <w:rFonts w:ascii="Times New Roman" w:hAnsi="Times New Roman"/>
          <w:sz w:val="24"/>
          <w:u w:val="none"/>
        </w:rPr>
        <w:t>2.1.</w:t>
      </w:r>
      <w:r w:rsidRPr="00EF7F33">
        <w:tab/>
      </w:r>
      <w:r w:rsidRPr="00EF7F33">
        <w:rPr>
          <w:rFonts w:ascii="Times New Roman" w:hAnsi="Times New Roman"/>
          <w:sz w:val="24"/>
        </w:rPr>
        <w:t>Opće napomene</w:t>
      </w:r>
      <w:bookmarkEnd w:id="122"/>
      <w:bookmarkEnd w:id="123"/>
      <w:bookmarkEnd w:id="124"/>
      <w:bookmarkEnd w:id="125"/>
      <w:bookmarkEnd w:id="126"/>
      <w:bookmarkEnd w:id="127"/>
      <w:bookmarkEnd w:id="128"/>
      <w:bookmarkEnd w:id="129"/>
    </w:p>
    <w:p w:rsidR="00464F34" w:rsidRPr="00EF7F33" w:rsidRDefault="00125707" w:rsidP="00C37B29">
      <w:pPr>
        <w:pStyle w:val="InstructionsText2"/>
        <w:numPr>
          <w:ilvl w:val="0"/>
          <w:numId w:val="0"/>
        </w:numPr>
        <w:ind w:left="993"/>
      </w:pPr>
      <w:r w:rsidRPr="00EF7F33">
        <w:t>26.</w:t>
      </w:r>
      <w:r w:rsidRPr="00EF7F33">
        <w:tab/>
        <w:t>Izvješćivanje u skladu s obrascima C 06.01 i C 06.02 potrebno je ako se kap</w:t>
      </w:r>
      <w:r w:rsidRPr="00EF7F33">
        <w:t>i</w:t>
      </w:r>
      <w:r w:rsidRPr="00EF7F33">
        <w:t>talni zahtjevi izračunavaju na konsolidiranoj osnovi. Ovaj se obrazac sastoji od čet</w:t>
      </w:r>
      <w:r w:rsidRPr="00EF7F33">
        <w:t>i</w:t>
      </w:r>
      <w:r w:rsidRPr="00EF7F33">
        <w:t>ri dijela radi prikupljanja različitih informacija o svim pojedinačnim subjektima (uključujući instituciju koja izvješćuje) uključenima u opseg konsolidacije.</w:t>
      </w:r>
    </w:p>
    <w:p w:rsidR="00C93697" w:rsidRPr="00EF7F33" w:rsidRDefault="00125707" w:rsidP="00C37B29">
      <w:pPr>
        <w:pStyle w:val="InstructionsText2"/>
        <w:numPr>
          <w:ilvl w:val="0"/>
          <w:numId w:val="0"/>
        </w:numPr>
        <w:ind w:left="993"/>
      </w:pPr>
      <w:r w:rsidRPr="00EF7F33">
        <w:t>(a)</w:t>
      </w:r>
      <w:r w:rsidRPr="00EF7F33">
        <w:tab/>
        <w:t>Subjekti u opsegu konsolidacije;</w:t>
      </w:r>
    </w:p>
    <w:p w:rsidR="00C93697" w:rsidRPr="00EF7F33" w:rsidRDefault="00125707" w:rsidP="00C37B29">
      <w:pPr>
        <w:pStyle w:val="InstructionsText2"/>
        <w:numPr>
          <w:ilvl w:val="0"/>
          <w:numId w:val="0"/>
        </w:numPr>
        <w:ind w:left="993"/>
      </w:pPr>
      <w:r w:rsidRPr="00EF7F33">
        <w:t>(b)</w:t>
      </w:r>
      <w:r w:rsidRPr="00EF7F33">
        <w:tab/>
        <w:t>Detaljne informacije o solventnosti grupe;</w:t>
      </w:r>
    </w:p>
    <w:p w:rsidR="00C93697" w:rsidRPr="00EF7F33" w:rsidRDefault="00125707" w:rsidP="00C37B29">
      <w:pPr>
        <w:pStyle w:val="InstructionsText2"/>
        <w:numPr>
          <w:ilvl w:val="0"/>
          <w:numId w:val="0"/>
        </w:numPr>
        <w:ind w:left="993"/>
      </w:pPr>
      <w:r w:rsidRPr="00EF7F33">
        <w:t>(c)</w:t>
      </w:r>
      <w:r w:rsidRPr="00EF7F33">
        <w:tab/>
        <w:t>Informacije o doprinosima pojedinačnih subjekata solventnosti grupe;</w:t>
      </w:r>
    </w:p>
    <w:p w:rsidR="00C93697" w:rsidRPr="00EF7F33" w:rsidRDefault="00125707" w:rsidP="00C37B29">
      <w:pPr>
        <w:pStyle w:val="InstructionsText2"/>
        <w:numPr>
          <w:ilvl w:val="0"/>
          <w:numId w:val="0"/>
        </w:numPr>
        <w:ind w:left="993"/>
      </w:pPr>
      <w:r w:rsidRPr="00EF7F33">
        <w:t>(d)</w:t>
      </w:r>
      <w:r w:rsidRPr="00EF7F33">
        <w:tab/>
        <w:t>Informacije o zaštitnim slojevima kapitala;</w:t>
      </w:r>
    </w:p>
    <w:p w:rsidR="00464F34" w:rsidRPr="00EF7F33" w:rsidRDefault="00125707" w:rsidP="00C37B29">
      <w:pPr>
        <w:pStyle w:val="InstructionsText2"/>
        <w:numPr>
          <w:ilvl w:val="0"/>
          <w:numId w:val="0"/>
        </w:numPr>
        <w:ind w:left="993"/>
        <w:rPr>
          <w:rStyle w:val="InstructionsTabelleText"/>
          <w:rFonts w:ascii="Times New Roman" w:hAnsi="Times New Roman"/>
          <w:sz w:val="24"/>
        </w:rPr>
      </w:pPr>
      <w:r w:rsidRPr="00EF7F33">
        <w:rPr>
          <w:rStyle w:val="InstructionsTabelleText"/>
          <w:rFonts w:ascii="Times New Roman" w:hAnsi="Times New Roman"/>
          <w:sz w:val="24"/>
        </w:rPr>
        <w:lastRenderedPageBreak/>
        <w:t>27.</w:t>
      </w:r>
      <w:r w:rsidRPr="00EF7F33">
        <w:tab/>
        <w:t>Institucije izuzete u skladu s člankom 7. CRR-a iskazuju samo stupce od 010 do 060 i od 250 do 400.</w:t>
      </w:r>
      <w:r w:rsidRPr="00EF7F33">
        <w:rPr>
          <w:rStyle w:val="InstructionsTabelleText"/>
          <w:rFonts w:ascii="Times New Roman" w:hAnsi="Times New Roman"/>
          <w:sz w:val="24"/>
        </w:rPr>
        <w:t xml:space="preserve">  </w:t>
      </w:r>
    </w:p>
    <w:p w:rsidR="004C0508" w:rsidRPr="00EF7F33" w:rsidRDefault="00125707" w:rsidP="00C37B29">
      <w:pPr>
        <w:pStyle w:val="InstructionsText2"/>
        <w:numPr>
          <w:ilvl w:val="0"/>
          <w:numId w:val="0"/>
        </w:numPr>
        <w:ind w:left="993"/>
      </w:pPr>
      <w:r w:rsidRPr="00EF7F33">
        <w:t>28.</w:t>
      </w:r>
      <w:r w:rsidRPr="00EF7F33">
        <w:tab/>
        <w:t>U iskazanim vrijednostima uzimaju se u obzir sve primjenjive prijelazne o</w:t>
      </w:r>
      <w:r w:rsidRPr="00EF7F33">
        <w:t>d</w:t>
      </w:r>
      <w:r w:rsidRPr="00EF7F33">
        <w:t>redbe CRR-a koje se primjenjuju na određeni izvještajni datum.</w:t>
      </w:r>
    </w:p>
    <w:p w:rsidR="00C93697" w:rsidRPr="00EF7F33"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3998116"/>
      <w:r w:rsidRPr="00EF7F33">
        <w:rPr>
          <w:rFonts w:ascii="Times New Roman" w:hAnsi="Times New Roman"/>
          <w:sz w:val="24"/>
          <w:u w:val="none"/>
        </w:rPr>
        <w:t>2.2.</w:t>
      </w:r>
      <w:r w:rsidRPr="00EF7F33">
        <w:tab/>
      </w:r>
      <w:r w:rsidRPr="00EF7F33">
        <w:rPr>
          <w:rFonts w:ascii="Times New Roman" w:hAnsi="Times New Roman"/>
          <w:sz w:val="24"/>
        </w:rPr>
        <w:t>Detaljne informacije o solventnosti grupe</w:t>
      </w:r>
      <w:bookmarkEnd w:id="130"/>
      <w:bookmarkEnd w:id="131"/>
      <w:bookmarkEnd w:id="132"/>
      <w:bookmarkEnd w:id="133"/>
    </w:p>
    <w:p w:rsidR="00464F34" w:rsidRPr="00EF7F33" w:rsidRDefault="00125707" w:rsidP="00C37B29">
      <w:pPr>
        <w:pStyle w:val="InstructionsText2"/>
        <w:numPr>
          <w:ilvl w:val="0"/>
          <w:numId w:val="0"/>
        </w:numPr>
        <w:ind w:left="993"/>
      </w:pPr>
      <w:r w:rsidRPr="00EF7F33">
        <w:t>29.</w:t>
      </w:r>
      <w:r w:rsidRPr="00EF7F33">
        <w:tab/>
        <w:t>Drugi dio ovog obrasca (detaljne informacije o solventnosti grupe) u stupcima od 070 do 210 osmišljen je za prikupljanje informacija o kreditnim i drugim regul</w:t>
      </w:r>
      <w:r w:rsidRPr="00EF7F33">
        <w:t>i</w:t>
      </w:r>
      <w:r w:rsidRPr="00EF7F33">
        <w:t>ranim financijskim institucijama na koje se efektivno primjenjuju posebni zahtjevi koji se odnose na solventnost na pojedinačnoj osnovi. U njemu se, za svakog od tih subjekata u opsegu izvješćivanja, navode kapitalni zahtjevi za svaku kategoriju r</w:t>
      </w:r>
      <w:r w:rsidRPr="00EF7F33">
        <w:t>i</w:t>
      </w:r>
      <w:r w:rsidRPr="00EF7F33">
        <w:t xml:space="preserve">zika i regulatorni kapital za potrebe solventnosti. </w:t>
      </w:r>
    </w:p>
    <w:p w:rsidR="00464F34" w:rsidRPr="00EF7F33" w:rsidRDefault="00125707" w:rsidP="00C37B29">
      <w:pPr>
        <w:pStyle w:val="InstructionsText2"/>
        <w:numPr>
          <w:ilvl w:val="0"/>
          <w:numId w:val="0"/>
        </w:numPr>
        <w:ind w:left="993"/>
      </w:pPr>
      <w:r w:rsidRPr="00EF7F33">
        <w:t>30.</w:t>
      </w:r>
      <w:r w:rsidRPr="00EF7F33">
        <w:tab/>
        <w:t>U slučaju proporcionalne konsolidacije sudjelujućih udjela, vrijednosti povez</w:t>
      </w:r>
      <w:r w:rsidRPr="00EF7F33">
        <w:t>a</w:t>
      </w:r>
      <w:r w:rsidRPr="00EF7F33">
        <w:t>ne s kapitalnim zahtjevima i regulatornim kapitalom odražavaju odgovarajuće pr</w:t>
      </w:r>
      <w:r w:rsidRPr="00EF7F33">
        <w:t>o</w:t>
      </w:r>
      <w:r w:rsidRPr="00EF7F33">
        <w:t>porcionalne iznose.</w:t>
      </w:r>
    </w:p>
    <w:p w:rsidR="00C93697" w:rsidRPr="00EF7F33"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3998117"/>
      <w:r w:rsidRPr="00EF7F33">
        <w:rPr>
          <w:rFonts w:ascii="Times New Roman" w:hAnsi="Times New Roman"/>
          <w:sz w:val="24"/>
          <w:u w:val="none"/>
        </w:rPr>
        <w:t>2.3.</w:t>
      </w:r>
      <w:r w:rsidRPr="00EF7F33">
        <w:tab/>
      </w:r>
      <w:r w:rsidRPr="00EF7F33">
        <w:rPr>
          <w:rFonts w:ascii="Times New Roman" w:hAnsi="Times New Roman"/>
          <w:sz w:val="24"/>
        </w:rPr>
        <w:t>Informacije o doprinosima pojedinačnih subjekata solventnosti grupe</w:t>
      </w:r>
      <w:bookmarkEnd w:id="134"/>
      <w:bookmarkEnd w:id="135"/>
      <w:bookmarkEnd w:id="136"/>
      <w:bookmarkEnd w:id="137"/>
    </w:p>
    <w:p w:rsidR="00464F34" w:rsidRPr="00EF7F33" w:rsidRDefault="00125707" w:rsidP="00C37B29">
      <w:pPr>
        <w:pStyle w:val="InstructionsText2"/>
        <w:numPr>
          <w:ilvl w:val="0"/>
          <w:numId w:val="0"/>
        </w:numPr>
        <w:ind w:left="993"/>
      </w:pPr>
      <w:r w:rsidRPr="00EF7F33">
        <w:t>31.</w:t>
      </w:r>
      <w:r w:rsidRPr="00EF7F33">
        <w:tab/>
        <w:t>Cilj je trećeg dijela ovog obrasca (informacije o svim subjektima u opsegu konsolidacije solventnosti grupe u skladu s CCR-om), uključujući one na koje se ne primjenjuju posebni zahtjevi koji se odnose na solventnost na pojedinačnoj osnovi, u stupcima od 250 do 400 utvrditi koji subjekti unutar grupe stvaraju rizik i pov</w:t>
      </w:r>
      <w:r w:rsidRPr="00EF7F33">
        <w:t>e</w:t>
      </w:r>
      <w:r w:rsidRPr="00EF7F33">
        <w:t>ćavaju regulatorni kapital na tržištu, na temelju podataka koji su dostupni ili se m</w:t>
      </w:r>
      <w:r w:rsidRPr="00EF7F33">
        <w:t>o</w:t>
      </w:r>
      <w:r w:rsidRPr="00EF7F33">
        <w:t>gu na jednostavan način ponovno obraditi, a da pri tome nije potrebno ponovo izr</w:t>
      </w:r>
      <w:r w:rsidRPr="00EF7F33">
        <w:t>a</w:t>
      </w:r>
      <w:r w:rsidRPr="00EF7F33">
        <w:t xml:space="preserve">čunati stopu kapitala na pojedinačnoj ili potkonsolidiranoj osnovi. Vrijednosti koje se odnose rizik i regulatorni kapital na razini su subjekta doprinosi vrijednostima grupe i nisu elementi stope solventnosti na pojedinačnoj osnove te se kao takve ne smiju uspoređivati jedne s drugima. </w:t>
      </w:r>
    </w:p>
    <w:p w:rsidR="00464F34" w:rsidRPr="00EF7F33" w:rsidRDefault="00125707" w:rsidP="00C37B29">
      <w:pPr>
        <w:pStyle w:val="InstructionsText2"/>
        <w:numPr>
          <w:ilvl w:val="0"/>
          <w:numId w:val="0"/>
        </w:numPr>
        <w:ind w:left="993"/>
      </w:pPr>
      <w:r w:rsidRPr="00EF7F33">
        <w:t>32.</w:t>
      </w:r>
      <w:r w:rsidRPr="00EF7F33">
        <w:tab/>
        <w:t>Treći dio uključuje i iznose manjinskih udjela, kvalificiranog dodatnog osno</w:t>
      </w:r>
      <w:r w:rsidRPr="00EF7F33">
        <w:t>v</w:t>
      </w:r>
      <w:r w:rsidRPr="00EF7F33">
        <w:t>nog kapitala i kvalificiranog dopunskog kapitala koji se priznaju u konsolidiranom regulatornom kapitalu.</w:t>
      </w:r>
    </w:p>
    <w:p w:rsidR="00464F34" w:rsidRPr="00EF7F33" w:rsidRDefault="00125707" w:rsidP="00C37B29">
      <w:pPr>
        <w:pStyle w:val="InstructionsText2"/>
        <w:numPr>
          <w:ilvl w:val="0"/>
          <w:numId w:val="0"/>
        </w:numPr>
        <w:ind w:left="993"/>
      </w:pPr>
      <w:r w:rsidRPr="00EF7F33">
        <w:t>33.</w:t>
      </w:r>
      <w:r w:rsidRPr="00EF7F33">
        <w:tab/>
        <w:t>Budući da se treći dio obrasca odnosi na „doprinose”, vrijednosti koje je ovdje potrebno iskazati razlikuju se, prema potrebi, od vrijednosti iskazanih u stupcima koji se odnose na detaljne informacije o solventnosti grupe.</w:t>
      </w:r>
    </w:p>
    <w:p w:rsidR="00464F34" w:rsidRPr="00EF7F33" w:rsidRDefault="00125707" w:rsidP="00C37B29">
      <w:pPr>
        <w:pStyle w:val="InstructionsText2"/>
        <w:numPr>
          <w:ilvl w:val="0"/>
          <w:numId w:val="0"/>
        </w:numPr>
        <w:ind w:left="993"/>
      </w:pPr>
      <w:r w:rsidRPr="00EF7F33">
        <w:t>34.</w:t>
      </w:r>
      <w:r w:rsidRPr="00EF7F33">
        <w:tab/>
        <w:t>Načelo je ravnomjerno izbrisati unakrsne izloženosti unutar iste grupe u pogl</w:t>
      </w:r>
      <w:r w:rsidRPr="00EF7F33">
        <w:t>e</w:t>
      </w:r>
      <w:r w:rsidRPr="00EF7F33">
        <w:t>du rizika ili regulatornog kapitala kako bi se pokrili iznosi iskazani u konsolidir</w:t>
      </w:r>
      <w:r w:rsidRPr="00EF7F33">
        <w:t>a</w:t>
      </w:r>
      <w:r w:rsidRPr="00EF7F33">
        <w:t>nom obrascu CA grupe dodavanjem iznosa iskazanih za svaki subjekt u obrascu „Solventnost grupe”. U slučajevima kada prag od 1 % nije premašen, izravna pov</w:t>
      </w:r>
      <w:r w:rsidRPr="00EF7F33">
        <w:t>e</w:t>
      </w:r>
      <w:r w:rsidRPr="00EF7F33">
        <w:t>znica na obrazac CA nije moguća.</w:t>
      </w:r>
    </w:p>
    <w:p w:rsidR="00464F34" w:rsidRPr="00EF7F33" w:rsidRDefault="00125707" w:rsidP="00C37B29">
      <w:pPr>
        <w:pStyle w:val="InstructionsText2"/>
        <w:numPr>
          <w:ilvl w:val="0"/>
          <w:numId w:val="0"/>
        </w:numPr>
        <w:ind w:left="993"/>
      </w:pPr>
      <w:r w:rsidRPr="00EF7F33">
        <w:t>35.</w:t>
      </w:r>
      <w:r w:rsidRPr="00EF7F33">
        <w:tab/>
        <w:t>Institucije definiraju najprimjereniju metodu raščlambe subjekata kako bi se u obzir uzeli mogući učinci diversifikacije za tržišni i operativni rizik.</w:t>
      </w:r>
    </w:p>
    <w:p w:rsidR="00464F34" w:rsidRPr="00EF7F33" w:rsidRDefault="00125707" w:rsidP="00C37B29">
      <w:pPr>
        <w:pStyle w:val="InstructionsText2"/>
        <w:numPr>
          <w:ilvl w:val="0"/>
          <w:numId w:val="0"/>
        </w:numPr>
        <w:ind w:left="993"/>
      </w:pPr>
      <w:r w:rsidRPr="00EF7F33">
        <w:t>36.</w:t>
      </w:r>
      <w:r w:rsidRPr="00EF7F33">
        <w:tab/>
        <w:t xml:space="preserve">Jedna konsolidirana grupa može biti uključena u drugu konsolidiranu grupu. U tom se slučaju o subjektima unutar podgrupe izvješćuje na pojedinačnoj osnovi u obrascu GS cijele grupe čak i onda kada i sama podgrupa podliježe zahtjevima </w:t>
      </w:r>
      <w:r w:rsidRPr="00EF7F33">
        <w:lastRenderedPageBreak/>
        <w:t>izvješćivanja. Ako podgrupa podliježe zahtjevima izvješćivanja, i ona izvješćuje o subjektima na pojedinačnoj osnovi u obrascu GS iako su ti podaci uključeni u obr</w:t>
      </w:r>
      <w:r w:rsidRPr="00EF7F33">
        <w:t>a</w:t>
      </w:r>
      <w:r w:rsidRPr="00EF7F33">
        <w:t xml:space="preserve">zac GS više konsolidirane grupe. </w:t>
      </w:r>
    </w:p>
    <w:p w:rsidR="00464F34" w:rsidRPr="00EF7F33" w:rsidRDefault="00125707" w:rsidP="00C37B29">
      <w:pPr>
        <w:pStyle w:val="InstructionsText2"/>
        <w:numPr>
          <w:ilvl w:val="0"/>
          <w:numId w:val="0"/>
        </w:numPr>
        <w:ind w:left="993"/>
      </w:pPr>
      <w:r w:rsidRPr="00EF7F33">
        <w:t>37.</w:t>
      </w:r>
      <w:r w:rsidRPr="00EF7F33">
        <w:tab/>
        <w:t>Institucija iskazuje podatke o doprinosu subjekta ako njegov doprinos uku</w:t>
      </w:r>
      <w:r w:rsidRPr="00EF7F33">
        <w:t>p</w:t>
      </w:r>
      <w:r w:rsidRPr="00EF7F33">
        <w:t>nom iznosu izloženosti riziku premašuje 1 % ukupnog iznosa izloženosti riziku grupe ili ako njegov doprinos ukupnom regulatornom kapitalu premašuje 1 % uk</w:t>
      </w:r>
      <w:r w:rsidRPr="00EF7F33">
        <w:t>u</w:t>
      </w:r>
      <w:r w:rsidRPr="00EF7F33">
        <w:t>pnog regulatornog kapitala grupe. Taj se prag ne primjenjuje u slučaju društava kćeri ili podgrupa koje grupi osiguravaju regulatorni kapital (u obliku manjinskih udjela ili instrumenata kvalificiranog dodatnog osnovnog kapitala ili dopunskog kapitala uključenih u regulatorni kapital).</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3998118"/>
      <w:r w:rsidRPr="00EF7F33">
        <w:rPr>
          <w:rFonts w:ascii="Times New Roman" w:hAnsi="Times New Roman"/>
          <w:sz w:val="24"/>
          <w:u w:val="none"/>
        </w:rPr>
        <w:t>2.4.</w:t>
      </w:r>
      <w:r w:rsidRPr="00EF7F33">
        <w:tab/>
      </w:r>
      <w:r w:rsidRPr="00EF7F33">
        <w:rPr>
          <w:rFonts w:ascii="Times New Roman" w:hAnsi="Times New Roman"/>
          <w:sz w:val="24"/>
        </w:rPr>
        <w:t>C 06.01 – SOLVENTNOST GRUPE: INFORMACIJE O POVEZANIM DRUŠTV</w:t>
      </w:r>
      <w:r w:rsidRPr="00EF7F33">
        <w:rPr>
          <w:rFonts w:ascii="Times New Roman" w:hAnsi="Times New Roman"/>
          <w:sz w:val="24"/>
        </w:rPr>
        <w:t>I</w:t>
      </w:r>
      <w:r w:rsidRPr="00EF7F33">
        <w:rPr>
          <w:rFonts w:ascii="Times New Roman" w:hAnsi="Times New Roman"/>
          <w:sz w:val="24"/>
        </w:rPr>
        <w:t>MA - Ukupno (GS Ukupno)</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EF7F33" w:rsidTr="00672D2A">
        <w:tc>
          <w:tcPr>
            <w:tcW w:w="1188" w:type="dxa"/>
            <w:shd w:val="clear" w:color="auto" w:fill="CCCCCC"/>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Stupci</w:t>
            </w:r>
          </w:p>
        </w:tc>
        <w:tc>
          <w:tcPr>
            <w:tcW w:w="8640" w:type="dxa"/>
            <w:shd w:val="clear" w:color="auto" w:fill="CCCCCC"/>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Upute</w:t>
            </w:r>
          </w:p>
        </w:tc>
      </w:tr>
      <w:tr w:rsidR="00D85AC7" w:rsidRPr="00EF7F33" w:rsidTr="00672D2A">
        <w:tc>
          <w:tcPr>
            <w:tcW w:w="1188" w:type="dxa"/>
          </w:tcPr>
          <w:p w:rsidR="00D85AC7" w:rsidRPr="00EF7F33" w:rsidRDefault="00D85AC7" w:rsidP="00F535E7">
            <w:pPr>
              <w:rPr>
                <w:rStyle w:val="InstructionsTabelleText"/>
                <w:rFonts w:ascii="Times New Roman" w:hAnsi="Times New Roman"/>
                <w:sz w:val="24"/>
              </w:rPr>
            </w:pPr>
            <w:r w:rsidRPr="00EF7F33">
              <w:rPr>
                <w:rStyle w:val="InstructionsTabelleText"/>
                <w:rFonts w:ascii="Times New Roman" w:hAnsi="Times New Roman"/>
                <w:sz w:val="24"/>
              </w:rPr>
              <w:t>250-400</w:t>
            </w:r>
          </w:p>
        </w:tc>
        <w:tc>
          <w:tcPr>
            <w:tcW w:w="8640" w:type="dxa"/>
          </w:tcPr>
          <w:p w:rsidR="00D85AC7" w:rsidRPr="00EF7F33" w:rsidRDefault="00D85AC7" w:rsidP="00FF36A5">
            <w:pPr>
              <w:rPr>
                <w:rStyle w:val="InstructionsTabelleberschrift"/>
                <w:rFonts w:ascii="Times New Roman" w:hAnsi="Times New Roman"/>
                <w:sz w:val="24"/>
              </w:rPr>
            </w:pPr>
            <w:r w:rsidRPr="00EF7F33">
              <w:rPr>
                <w:rStyle w:val="InstructionsTabelleberschrift"/>
                <w:rFonts w:ascii="Times New Roman" w:hAnsi="Times New Roman"/>
                <w:sz w:val="24"/>
              </w:rPr>
              <w:t>SUBJEKTI U OPSEGU KONSOLIDACIJE</w:t>
            </w:r>
          </w:p>
          <w:p w:rsidR="00D85AC7" w:rsidRPr="00EF7F33" w:rsidRDefault="00D85AC7" w:rsidP="00FF36A5">
            <w:pPr>
              <w:rPr>
                <w:rStyle w:val="InstructionsTabelleberschrift"/>
                <w:rFonts w:ascii="Times New Roman" w:hAnsi="Times New Roman"/>
                <w:b w:val="0"/>
                <w:bCs w:val="0"/>
                <w:sz w:val="24"/>
              </w:rPr>
            </w:pPr>
            <w:r w:rsidRPr="00EF7F33">
              <w:rPr>
                <w:rStyle w:val="InstructionsTabelleText"/>
                <w:rFonts w:ascii="Times New Roman" w:hAnsi="Times New Roman"/>
                <w:sz w:val="24"/>
              </w:rPr>
              <w:t>Vidjeti upute za obrazac C 06.02.</w:t>
            </w:r>
          </w:p>
        </w:tc>
      </w:tr>
      <w:tr w:rsidR="00D85AC7" w:rsidRPr="00EF7F33" w:rsidTr="00672D2A">
        <w:tc>
          <w:tcPr>
            <w:tcW w:w="1188" w:type="dxa"/>
            <w:tcBorders>
              <w:top w:val="single" w:sz="4" w:space="0" w:color="auto"/>
              <w:left w:val="single" w:sz="4" w:space="0" w:color="auto"/>
              <w:bottom w:val="single" w:sz="4" w:space="0" w:color="auto"/>
              <w:right w:val="single" w:sz="4" w:space="0" w:color="auto"/>
            </w:tcBorders>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EF7F33" w:rsidRDefault="00D85AC7" w:rsidP="00FF36A5">
            <w:pPr>
              <w:rPr>
                <w:rStyle w:val="InstructionsTabelleberschrift"/>
                <w:rFonts w:ascii="Times New Roman" w:hAnsi="Times New Roman"/>
                <w:sz w:val="24"/>
              </w:rPr>
            </w:pPr>
            <w:r w:rsidRPr="00EF7F33">
              <w:rPr>
                <w:rStyle w:val="InstructionsTabelleberschrift"/>
                <w:rFonts w:ascii="Times New Roman" w:hAnsi="Times New Roman"/>
                <w:sz w:val="24"/>
              </w:rPr>
              <w:t>ZAŠTITNI SLOJEVI KAPITALA</w:t>
            </w:r>
          </w:p>
          <w:p w:rsidR="00D85AC7" w:rsidRPr="00EF7F33" w:rsidRDefault="00D85AC7" w:rsidP="00FF36A5">
            <w:pPr>
              <w:rPr>
                <w:rStyle w:val="InstructionsTabelleberschrift"/>
                <w:rFonts w:ascii="Times New Roman" w:hAnsi="Times New Roman"/>
                <w:sz w:val="24"/>
              </w:rPr>
            </w:pPr>
            <w:r w:rsidRPr="00EF7F33">
              <w:rPr>
                <w:rStyle w:val="InstructionsTabelleText"/>
                <w:rFonts w:ascii="Times New Roman" w:hAnsi="Times New Roman"/>
                <w:sz w:val="24"/>
              </w:rPr>
              <w:t>Vidjeti upute za obrazac C 06.02.</w:t>
            </w:r>
          </w:p>
        </w:tc>
      </w:tr>
    </w:tbl>
    <w:p w:rsidR="00D85AC7" w:rsidRPr="00EF7F33"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EF7F33" w:rsidTr="00672D2A">
        <w:tc>
          <w:tcPr>
            <w:tcW w:w="1188" w:type="dxa"/>
            <w:shd w:val="clear" w:color="auto" w:fill="CCCCCC"/>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Redci</w:t>
            </w:r>
          </w:p>
        </w:tc>
        <w:tc>
          <w:tcPr>
            <w:tcW w:w="8640" w:type="dxa"/>
            <w:shd w:val="clear" w:color="auto" w:fill="CCCCCC"/>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Upute</w:t>
            </w:r>
          </w:p>
        </w:tc>
      </w:tr>
      <w:tr w:rsidR="00D85AC7" w:rsidRPr="00EF7F33" w:rsidTr="00672D2A">
        <w:tc>
          <w:tcPr>
            <w:tcW w:w="1188" w:type="dxa"/>
          </w:tcPr>
          <w:p w:rsidR="00D85AC7" w:rsidRPr="00EF7F33" w:rsidRDefault="00D85AC7" w:rsidP="00FF36A5">
            <w:pPr>
              <w:rPr>
                <w:rStyle w:val="InstructionsTabelleText"/>
                <w:rFonts w:ascii="Times New Roman" w:hAnsi="Times New Roman"/>
                <w:sz w:val="24"/>
              </w:rPr>
            </w:pPr>
            <w:r w:rsidRPr="00EF7F33">
              <w:rPr>
                <w:rStyle w:val="InstructionsTabelleText"/>
                <w:rFonts w:ascii="Times New Roman" w:hAnsi="Times New Roman"/>
                <w:sz w:val="24"/>
              </w:rPr>
              <w:t>010</w:t>
            </w:r>
          </w:p>
        </w:tc>
        <w:tc>
          <w:tcPr>
            <w:tcW w:w="8640" w:type="dxa"/>
          </w:tcPr>
          <w:p w:rsidR="00D85AC7" w:rsidRPr="00EF7F33" w:rsidRDefault="00D85AC7" w:rsidP="00FF36A5">
            <w:pPr>
              <w:rPr>
                <w:rStyle w:val="InstructionsTabelleberschrift"/>
                <w:rFonts w:ascii="Times New Roman" w:hAnsi="Times New Roman"/>
                <w:sz w:val="24"/>
              </w:rPr>
            </w:pPr>
            <w:r w:rsidRPr="00EF7F33">
              <w:rPr>
                <w:rStyle w:val="InstructionsTabelleberschrift"/>
                <w:rFonts w:ascii="Times New Roman" w:hAnsi="Times New Roman"/>
                <w:sz w:val="24"/>
              </w:rPr>
              <w:t>UKUPNO</w:t>
            </w:r>
          </w:p>
          <w:p w:rsidR="00D85AC7" w:rsidRPr="00EF7F33" w:rsidRDefault="00D85AC7" w:rsidP="00D85AC7">
            <w:pPr>
              <w:rPr>
                <w:rStyle w:val="InstructionsTabelleberschrift"/>
                <w:rFonts w:ascii="Times New Roman" w:hAnsi="Times New Roman"/>
                <w:b w:val="0"/>
                <w:bCs w:val="0"/>
                <w:sz w:val="24"/>
              </w:rPr>
            </w:pPr>
            <w:r w:rsidRPr="00EF7F33">
              <w:rPr>
                <w:rStyle w:val="InstructionsTabelleText"/>
                <w:rFonts w:ascii="Times New Roman" w:hAnsi="Times New Roman"/>
                <w:sz w:val="24"/>
              </w:rPr>
              <w:t>Iskazuje se zbroj vrijednosti iskazanih u svim redcima obrasca C 06.02.</w:t>
            </w:r>
          </w:p>
        </w:tc>
      </w:tr>
    </w:tbl>
    <w:p w:rsidR="00D85AC7" w:rsidRPr="00EF7F33" w:rsidRDefault="00D85AC7" w:rsidP="00FD239F">
      <w:pPr>
        <w:pStyle w:val="InstructionsText"/>
      </w:pPr>
    </w:p>
    <w:p w:rsidR="00D85AC7" w:rsidRPr="00EF7F33"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3998119"/>
      <w:r w:rsidRPr="00EF7F33">
        <w:rPr>
          <w:rFonts w:ascii="Times New Roman" w:hAnsi="Times New Roman"/>
          <w:sz w:val="24"/>
          <w:u w:val="none"/>
        </w:rPr>
        <w:t>2.5.</w:t>
      </w:r>
      <w:r w:rsidRPr="00EF7F33">
        <w:tab/>
      </w:r>
      <w:r w:rsidRPr="00EF7F33">
        <w:rPr>
          <w:rFonts w:ascii="Times New Roman" w:hAnsi="Times New Roman"/>
          <w:sz w:val="24"/>
        </w:rPr>
        <w:t>C 06.02 – SOLVENTNOST GRUPE: INFORMACIJE O POVEZANIM DRUŠTV</w:t>
      </w:r>
      <w:r w:rsidRPr="00EF7F33">
        <w:rPr>
          <w:rFonts w:ascii="Times New Roman" w:hAnsi="Times New Roman"/>
          <w:sz w:val="24"/>
        </w:rPr>
        <w:t>I</w:t>
      </w:r>
      <w:r w:rsidRPr="00EF7F33">
        <w:rPr>
          <w:rFonts w:ascii="Times New Roman" w:hAnsi="Times New Roman"/>
          <w:sz w:val="24"/>
        </w:rPr>
        <w:t>MA (GS)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EF7F33" w:rsidTr="00672D2A">
        <w:tc>
          <w:tcPr>
            <w:tcW w:w="1188" w:type="dxa"/>
            <w:shd w:val="clear" w:color="auto" w:fill="CCCCCC"/>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Stupci</w:t>
            </w:r>
          </w:p>
        </w:tc>
        <w:tc>
          <w:tcPr>
            <w:tcW w:w="8640" w:type="dxa"/>
            <w:shd w:val="clear" w:color="auto" w:fill="CCCCCC"/>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Upute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010-060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SUBJEKTI U OPSEGU KONSOLIDACIJE</w:t>
            </w:r>
          </w:p>
          <w:p w:rsidR="00464F34" w:rsidRPr="00EF7F33" w:rsidRDefault="00464F34" w:rsidP="003C1BB1">
            <w:pPr>
              <w:rPr>
                <w:rStyle w:val="InstructionsTabelleberschrift"/>
                <w:rFonts w:ascii="Times New Roman" w:hAnsi="Times New Roman"/>
                <w:b w:val="0"/>
                <w:bCs w:val="0"/>
                <w:sz w:val="24"/>
              </w:rPr>
            </w:pPr>
            <w:r w:rsidRPr="00EF7F33">
              <w:rPr>
                <w:rStyle w:val="InstructionsTabelleText"/>
                <w:rFonts w:ascii="Times New Roman" w:hAnsi="Times New Roman"/>
                <w:sz w:val="24"/>
              </w:rPr>
              <w:t>Ovaj je obrazac osmišljen za prikupljanje informacija o svim subjektima u opsegu ko</w:t>
            </w:r>
            <w:r w:rsidRPr="00EF7F33">
              <w:rPr>
                <w:rStyle w:val="InstructionsTabelleText"/>
                <w:rFonts w:ascii="Times New Roman" w:hAnsi="Times New Roman"/>
                <w:sz w:val="24"/>
              </w:rPr>
              <w:t>n</w:t>
            </w:r>
            <w:r w:rsidRPr="00EF7F33">
              <w:rPr>
                <w:rStyle w:val="InstructionsTabelleText"/>
                <w:rFonts w:ascii="Times New Roman" w:hAnsi="Times New Roman"/>
                <w:sz w:val="24"/>
              </w:rPr>
              <w:t xml:space="preserve">solidacije na pojedinačnoj osnovi u skladu s dijelom prvim glavom II. poglavljem 2. CRR-a.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010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NAZIV</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Naziv subjekta u opsegu konsolidacije.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020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OZNAKA</w:t>
            </w:r>
          </w:p>
          <w:p w:rsidR="009A47E2" w:rsidRPr="00EF7F33" w:rsidRDefault="009A47E2" w:rsidP="00464F34">
            <w:pPr>
              <w:rPr>
                <w:rStyle w:val="InstructionsTabelleText"/>
                <w:rFonts w:ascii="Times New Roman" w:hAnsi="Times New Roman"/>
                <w:sz w:val="24"/>
              </w:rPr>
            </w:pPr>
            <w:r w:rsidRPr="00EF7F33">
              <w:rPr>
                <w:rStyle w:val="InstructionsTabelleText"/>
                <w:rFonts w:ascii="Times New Roman" w:hAnsi="Times New Roman"/>
                <w:sz w:val="24"/>
              </w:rPr>
              <w:t>Ova je oznaka identifikator retka i jedinstvena je za svaki redak u tablici.</w:t>
            </w:r>
          </w:p>
          <w:p w:rsidR="002E136A"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Oznaka dodijeljena subjektu u opsegu konsolidacije.</w:t>
            </w:r>
          </w:p>
          <w:p w:rsidR="00464F34" w:rsidRPr="00EF7F33" w:rsidRDefault="00464F34" w:rsidP="00FD239F">
            <w:pPr>
              <w:pStyle w:val="InstructionsText"/>
              <w:rPr>
                <w:rStyle w:val="InstructionsTabelleText"/>
                <w:rFonts w:ascii="Times New Roman" w:hAnsi="Times New Roman"/>
                <w:sz w:val="24"/>
              </w:rPr>
            </w:pPr>
            <w:r w:rsidRPr="00EF7F33">
              <w:rPr>
                <w:rStyle w:val="FormatvorlageInstructionsTabelleText"/>
                <w:rFonts w:ascii="Times New Roman" w:hAnsi="Times New Roman"/>
                <w:sz w:val="24"/>
              </w:rPr>
              <w:lastRenderedPageBreak/>
              <w:t xml:space="preserve">Stvaran sastav oznake ovisi o nacionalnom sustavu izvješćivanja.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025</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OZNAKA LEI</w:t>
            </w:r>
          </w:p>
          <w:p w:rsidR="00C504D3" w:rsidRPr="00EF7F33" w:rsidRDefault="00C504D3" w:rsidP="00C504D3">
            <w:pPr>
              <w:rPr>
                <w:rStyle w:val="InstructionsTabelleText"/>
                <w:rFonts w:ascii="Times New Roman" w:hAnsi="Times New Roman"/>
                <w:sz w:val="24"/>
              </w:rPr>
            </w:pPr>
            <w:r w:rsidRPr="00EF7F33">
              <w:rPr>
                <w:rStyle w:val="InstructionsTabelleText"/>
                <w:rFonts w:ascii="Times New Roman" w:hAnsi="Times New Roman"/>
                <w:sz w:val="24"/>
              </w:rPr>
              <w:t>Oznaka LEI je referentna identifikacijska oznaka pravnog subjekta (eng. Legal Entity Identification) koju je predložio Odbor za financijsku stabilnost (FSB) i potvrdila sk</w:t>
            </w:r>
            <w:r w:rsidRPr="00EF7F33">
              <w:rPr>
                <w:rStyle w:val="InstructionsTabelleText"/>
                <w:rFonts w:ascii="Times New Roman" w:hAnsi="Times New Roman"/>
                <w:sz w:val="24"/>
              </w:rPr>
              <w:t>u</w:t>
            </w:r>
            <w:r w:rsidRPr="00EF7F33">
              <w:rPr>
                <w:rStyle w:val="InstructionsTabelleText"/>
                <w:rFonts w:ascii="Times New Roman" w:hAnsi="Times New Roman"/>
                <w:sz w:val="24"/>
              </w:rPr>
              <w:t>pina G20 u cilju osiguranja jedinstvene globalne identifikacije stranaka u financijskim transakcijama.</w:t>
            </w:r>
          </w:p>
          <w:p w:rsidR="00A10C90" w:rsidRPr="00EF7F33" w:rsidRDefault="00C504D3" w:rsidP="009A47E2">
            <w:pPr>
              <w:rPr>
                <w:rStyle w:val="InstructionsTabelleText"/>
                <w:rFonts w:ascii="Times New Roman" w:hAnsi="Times New Roman"/>
                <w:sz w:val="24"/>
              </w:rPr>
            </w:pPr>
            <w:r w:rsidRPr="00EF7F33">
              <w:rPr>
                <w:rStyle w:val="InstructionsTabelleText"/>
                <w:rFonts w:ascii="Times New Roman" w:hAnsi="Times New Roman"/>
                <w:sz w:val="24"/>
              </w:rPr>
              <w:t>Dok globalni sustav LEI ne bude u punoj funkciji, lokalna operativna jedinica koju je potvrdio Regulatorni nadzorni odbor drugim ugovornim stranama dodjeljuje privrem</w:t>
            </w:r>
            <w:r w:rsidRPr="00EF7F33">
              <w:rPr>
                <w:rStyle w:val="InstructionsTabelleText"/>
                <w:rFonts w:ascii="Times New Roman" w:hAnsi="Times New Roman"/>
                <w:sz w:val="24"/>
              </w:rPr>
              <w:t>e</w:t>
            </w:r>
            <w:r w:rsidRPr="00EF7F33">
              <w:rPr>
                <w:rStyle w:val="InstructionsTabelleText"/>
                <w:rFonts w:ascii="Times New Roman" w:hAnsi="Times New Roman"/>
                <w:sz w:val="24"/>
              </w:rPr>
              <w:t>ne oznake LEI (detaljne informacije mogu se pronaći na sljedećim internetskim stran</w:t>
            </w:r>
            <w:r w:rsidRPr="00EF7F33">
              <w:rPr>
                <w:rStyle w:val="InstructionsTabelleText"/>
                <w:rFonts w:ascii="Times New Roman" w:hAnsi="Times New Roman"/>
                <w:sz w:val="24"/>
              </w:rPr>
              <w:t>i</w:t>
            </w:r>
            <w:r w:rsidRPr="00EF7F33">
              <w:rPr>
                <w:rStyle w:val="InstructionsTabelleText"/>
                <w:rFonts w:ascii="Times New Roman" w:hAnsi="Times New Roman"/>
                <w:sz w:val="24"/>
              </w:rPr>
              <w:t>cama . www.leiroc.org)</w:t>
            </w:r>
            <w:r w:rsidRPr="00EF7F33">
              <w:rPr>
                <w:rStyle w:val="InstructionsTabelleText"/>
                <w:rFonts w:ascii="Times New Roman" w:hAnsi="Times New Roman"/>
                <w:i/>
                <w:sz w:val="24"/>
              </w:rPr>
              <w:t>).</w:t>
            </w:r>
          </w:p>
          <w:p w:rsidR="00464F34" w:rsidRPr="00EF7F33" w:rsidRDefault="009A47E2" w:rsidP="00DD2C1E">
            <w:pPr>
              <w:rPr>
                <w:rStyle w:val="InstructionsTabelleberschrift"/>
                <w:rFonts w:ascii="Times New Roman" w:hAnsi="Times New Roman"/>
                <w:sz w:val="24"/>
              </w:rPr>
            </w:pPr>
            <w:r w:rsidRPr="00EF7F33">
              <w:rPr>
                <w:rStyle w:val="InstructionsTabelleText"/>
                <w:rFonts w:ascii="Times New Roman" w:hAnsi="Times New Roman"/>
                <w:sz w:val="24"/>
              </w:rPr>
              <w:t xml:space="preserve">Ako pojedina druga ugovorna strana ima identifikacijsku oznaku pravne osobe (LEI), ona se koristi za identifikaciju te druge ugovorne strane.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030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INSTITUCIJA ILI EKVIVALENT (DA/NE)</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„DA” se iskazuje u slučaju da se na subjekt primjenjuju kapitalni zahtjevi u skladu s CRR-om i CRD-om ili odredbama koje su barem istovjetne bazelskim odredbama.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„NE” se iskazuje u suprotnom slučaju.</w:t>
            </w:r>
          </w:p>
          <w:p w:rsidR="00464F34" w:rsidRPr="00EF7F33" w:rsidRDefault="00464F34" w:rsidP="00464F34">
            <w:pPr>
              <w:rPr>
                <w:rStyle w:val="InstructionsTabelleText"/>
                <w:rFonts w:ascii="Times New Roman" w:hAnsi="Times New Roman"/>
                <w:sz w:val="24"/>
              </w:rPr>
            </w:pPr>
          </w:p>
          <w:p w:rsidR="00464F34" w:rsidRPr="00EF7F33" w:rsidRDefault="00125707" w:rsidP="0023700C">
            <w:pPr>
              <w:ind w:left="372" w:hanging="360"/>
              <w:contextualSpacing/>
              <w:rPr>
                <w:rStyle w:val="InstructionsTabelleText"/>
                <w:rFonts w:ascii="Times New Roman" w:hAnsi="Times New Roman"/>
                <w:sz w:val="24"/>
              </w:rPr>
            </w:pPr>
            <w:r w:rsidRPr="00EF7F33">
              <w:rPr>
                <w:rStyle w:val="InstructionsTabelleText"/>
                <w:rFonts w:ascii="Wingdings" w:hAnsi="Wingdings"/>
                <w:sz w:val="24"/>
              </w:rPr>
              <w:t></w:t>
            </w:r>
            <w:r w:rsidRPr="00EF7F33">
              <w:tab/>
            </w:r>
            <w:r w:rsidRPr="00EF7F33">
              <w:rPr>
                <w:rStyle w:val="InstructionsTabelleText"/>
                <w:rFonts w:ascii="Times New Roman" w:hAnsi="Times New Roman"/>
                <w:sz w:val="24"/>
              </w:rPr>
              <w:t>Manjinski udjeli:</w:t>
            </w:r>
          </w:p>
          <w:p w:rsidR="00464F34" w:rsidRPr="00EF7F33" w:rsidRDefault="00417984" w:rsidP="00464F34">
            <w:pPr>
              <w:rPr>
                <w:rStyle w:val="InstructionsTabelleText"/>
                <w:rFonts w:ascii="Times New Roman" w:hAnsi="Times New Roman"/>
                <w:sz w:val="24"/>
              </w:rPr>
            </w:pPr>
            <w:r w:rsidRPr="00EF7F33">
              <w:rPr>
                <w:rFonts w:ascii="Times New Roman" w:hAnsi="Times New Roman"/>
                <w:sz w:val="24"/>
              </w:rPr>
              <w:t>Članak 81. stavak 1. točka (a) podtočka ii. i članak 82. stavak 1. točka (a) podtočka ii. CRR-a</w:t>
            </w:r>
          </w:p>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U pogledu manjinskih udjela i instrumenata dodatnog osnovnog kapitala i dopunskog kapitala društava kćeri, društva kćeri čiji se instrumenti mogu priznati jesu institucije ili društva na koje se na temelju primjenjivog nacionalnog prava primjenjuju zahtjevi CRR-a.</w:t>
            </w:r>
          </w:p>
        </w:tc>
      </w:tr>
      <w:tr w:rsidR="00B47F0C" w:rsidRPr="00EF7F33" w:rsidTr="00672D2A">
        <w:tc>
          <w:tcPr>
            <w:tcW w:w="1188" w:type="dxa"/>
          </w:tcPr>
          <w:p w:rsidR="00B47F0C" w:rsidRPr="00EF7F33" w:rsidRDefault="00B47F0C" w:rsidP="00464F34">
            <w:pPr>
              <w:rPr>
                <w:rStyle w:val="InstructionsTabelleText"/>
                <w:rFonts w:ascii="Times New Roman" w:hAnsi="Times New Roman"/>
                <w:sz w:val="24"/>
              </w:rPr>
            </w:pPr>
            <w:r w:rsidRPr="00EF7F33">
              <w:rPr>
                <w:rStyle w:val="InstructionsTabelleText"/>
                <w:rFonts w:ascii="Times New Roman" w:hAnsi="Times New Roman"/>
                <w:sz w:val="24"/>
              </w:rPr>
              <w:t>035</w:t>
            </w:r>
          </w:p>
        </w:tc>
        <w:tc>
          <w:tcPr>
            <w:tcW w:w="8640" w:type="dxa"/>
          </w:tcPr>
          <w:p w:rsidR="00B47F0C" w:rsidRPr="00EF7F33" w:rsidRDefault="00B47F0C" w:rsidP="00464F34">
            <w:pPr>
              <w:rPr>
                <w:rStyle w:val="InstructionsTabelleberschrift"/>
                <w:rFonts w:ascii="Times New Roman" w:hAnsi="Times New Roman"/>
                <w:sz w:val="24"/>
              </w:rPr>
            </w:pPr>
            <w:r w:rsidRPr="00EF7F33">
              <w:rPr>
                <w:rStyle w:val="InstructionsTabelleberschrift"/>
                <w:rFonts w:ascii="Times New Roman" w:hAnsi="Times New Roman"/>
                <w:sz w:val="24"/>
              </w:rPr>
              <w:t>VRSTA SUBJEKTA</w:t>
            </w:r>
          </w:p>
          <w:p w:rsidR="0071377A" w:rsidRPr="00EF7F33" w:rsidRDefault="0071377A" w:rsidP="00B47F0C">
            <w:pPr>
              <w:rPr>
                <w:rStyle w:val="InstructionsTabelleText"/>
                <w:rFonts w:ascii="Times New Roman" w:hAnsi="Times New Roman"/>
                <w:bCs/>
                <w:sz w:val="24"/>
              </w:rPr>
            </w:pPr>
            <w:r w:rsidRPr="00EF7F33">
              <w:rPr>
                <w:rStyle w:val="InstructionsTabelleText"/>
                <w:rFonts w:ascii="Times New Roman" w:hAnsi="Times New Roman"/>
                <w:sz w:val="24"/>
              </w:rPr>
              <w:t>Vrsta subjekta iskazuje se na temelju sljedećih kategorija:</w:t>
            </w:r>
          </w:p>
          <w:p w:rsidR="0071377A" w:rsidRPr="00EF7F33" w:rsidRDefault="0071377A" w:rsidP="009B355E">
            <w:pPr>
              <w:tabs>
                <w:tab w:val="left" w:pos="372"/>
              </w:tabs>
              <w:rPr>
                <w:rStyle w:val="InstructionsTabelleText"/>
                <w:rFonts w:ascii="Times New Roman" w:hAnsi="Times New Roman"/>
                <w:sz w:val="24"/>
              </w:rPr>
            </w:pPr>
            <w:r w:rsidRPr="00EF7F33">
              <w:rPr>
                <w:rStyle w:val="InstructionsTabelleText"/>
                <w:rFonts w:ascii="Times New Roman" w:hAnsi="Times New Roman"/>
                <w:sz w:val="24"/>
              </w:rPr>
              <w:t>(a)</w:t>
            </w:r>
            <w:r w:rsidRPr="00EF7F33">
              <w:tab/>
            </w:r>
            <w:r w:rsidRPr="00EF7F33">
              <w:rPr>
                <w:rStyle w:val="InstructionsTabelleText"/>
                <w:rFonts w:ascii="Times New Roman" w:hAnsi="Times New Roman"/>
                <w:sz w:val="24"/>
              </w:rPr>
              <w:t>kreditne institucije</w:t>
            </w:r>
          </w:p>
          <w:p w:rsidR="0071377A" w:rsidRPr="00EF7F33" w:rsidRDefault="0071377A" w:rsidP="009B355E">
            <w:pPr>
              <w:tabs>
                <w:tab w:val="left" w:pos="372"/>
              </w:tabs>
              <w:rPr>
                <w:rStyle w:val="InstructionsTabelleText"/>
                <w:rFonts w:ascii="Times New Roman" w:hAnsi="Times New Roman"/>
                <w:sz w:val="24"/>
              </w:rPr>
            </w:pPr>
            <w:r w:rsidRPr="00EF7F33">
              <w:tab/>
            </w:r>
            <w:r w:rsidRPr="00EF7F33">
              <w:rPr>
                <w:rStyle w:val="InstructionsTabelleText"/>
                <w:rFonts w:ascii="Times New Roman" w:hAnsi="Times New Roman"/>
                <w:sz w:val="24"/>
              </w:rPr>
              <w:t>Članak 1. stavak 1. točka 1. CRR-a;</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t>(b)</w:t>
            </w:r>
            <w:r w:rsidRPr="00EF7F33">
              <w:tab/>
            </w:r>
            <w:r w:rsidRPr="00EF7F33">
              <w:rPr>
                <w:rStyle w:val="InstructionsTabelleText"/>
                <w:rFonts w:ascii="Times New Roman" w:hAnsi="Times New Roman"/>
                <w:sz w:val="24"/>
              </w:rPr>
              <w:t>investicijsko društvo</w:t>
            </w:r>
          </w:p>
          <w:p w:rsidR="0071377A" w:rsidRPr="00EF7F33" w:rsidRDefault="0071377A" w:rsidP="009B355E">
            <w:pPr>
              <w:tabs>
                <w:tab w:val="left" w:pos="372"/>
              </w:tabs>
              <w:rPr>
                <w:rStyle w:val="InstructionsTabelleText"/>
                <w:rFonts w:ascii="Times New Roman" w:hAnsi="Times New Roman"/>
                <w:bCs/>
                <w:sz w:val="24"/>
              </w:rPr>
            </w:pPr>
            <w:r w:rsidRPr="00EF7F33">
              <w:tab/>
            </w:r>
            <w:r w:rsidRPr="00EF7F33">
              <w:rPr>
                <w:rStyle w:val="InstructionsTabelleText"/>
                <w:rFonts w:ascii="Times New Roman" w:hAnsi="Times New Roman"/>
                <w:sz w:val="24"/>
              </w:rPr>
              <w:t>Članak 4. stavak 1. točka 2. CRR-a;</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t>(c)</w:t>
            </w:r>
            <w:r w:rsidRPr="00EF7F33">
              <w:tab/>
            </w:r>
            <w:r w:rsidRPr="00EF7F33">
              <w:rPr>
                <w:rStyle w:val="InstructionsTabelleText"/>
                <w:rFonts w:ascii="Times New Roman" w:hAnsi="Times New Roman"/>
                <w:sz w:val="24"/>
              </w:rPr>
              <w:t xml:space="preserve">financijska institucija (ostalo) </w:t>
            </w:r>
          </w:p>
          <w:p w:rsidR="00965D27" w:rsidRPr="00EF7F33" w:rsidRDefault="0071377A" w:rsidP="009B355E">
            <w:pPr>
              <w:tabs>
                <w:tab w:val="left" w:pos="372"/>
              </w:tabs>
              <w:rPr>
                <w:rStyle w:val="InstructionsTabelleText"/>
                <w:rFonts w:ascii="Times New Roman" w:hAnsi="Times New Roman"/>
                <w:bCs/>
                <w:sz w:val="24"/>
              </w:rPr>
            </w:pPr>
            <w:r w:rsidRPr="00EF7F33">
              <w:tab/>
            </w:r>
            <w:r w:rsidRPr="00EF7F33">
              <w:rPr>
                <w:rStyle w:val="InstructionsTabelleText"/>
                <w:rFonts w:ascii="Times New Roman" w:hAnsi="Times New Roman"/>
                <w:sz w:val="24"/>
              </w:rPr>
              <w:t>Članak 4. stavak 1. točke 20., 21. i 26. CRR-a</w:t>
            </w:r>
          </w:p>
          <w:p w:rsidR="0071377A" w:rsidRPr="00EF7F33" w:rsidRDefault="00965D27" w:rsidP="00965D27">
            <w:pPr>
              <w:tabs>
                <w:tab w:val="left" w:pos="372"/>
              </w:tabs>
              <w:ind w:left="399" w:hanging="399"/>
              <w:rPr>
                <w:rStyle w:val="InstructionsTabelleText"/>
                <w:rFonts w:ascii="Times New Roman" w:hAnsi="Times New Roman"/>
                <w:bCs/>
                <w:sz w:val="24"/>
              </w:rPr>
            </w:pPr>
            <w:r w:rsidRPr="00EF7F33">
              <w:tab/>
            </w:r>
            <w:r w:rsidRPr="00EF7F33">
              <w:rPr>
                <w:rStyle w:val="InstructionsTabelleText"/>
                <w:rFonts w:ascii="Times New Roman" w:hAnsi="Times New Roman"/>
                <w:sz w:val="24"/>
              </w:rPr>
              <w:t>Financijske institucije u smislu članka 4. stavka 1. točke 26. CRR-a koje nisu u</w:t>
            </w:r>
            <w:r w:rsidRPr="00EF7F33">
              <w:rPr>
                <w:rStyle w:val="InstructionsTabelleText"/>
                <w:rFonts w:ascii="Times New Roman" w:hAnsi="Times New Roman"/>
                <w:sz w:val="24"/>
              </w:rPr>
              <w:t>k</w:t>
            </w:r>
            <w:r w:rsidRPr="00EF7F33">
              <w:rPr>
                <w:rStyle w:val="InstructionsTabelleText"/>
                <w:rFonts w:ascii="Times New Roman" w:hAnsi="Times New Roman"/>
                <w:sz w:val="24"/>
              </w:rPr>
              <w:t>ljučene u kategorije iz točaka (d), (f) ili (g);</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t>(d)</w:t>
            </w:r>
            <w:r w:rsidRPr="00EF7F33">
              <w:tab/>
            </w:r>
            <w:r w:rsidRPr="00EF7F33">
              <w:rPr>
                <w:rStyle w:val="InstructionsTabelleText"/>
                <w:rFonts w:ascii="Times New Roman" w:hAnsi="Times New Roman"/>
                <w:sz w:val="24"/>
              </w:rPr>
              <w:t>mješoviti financijski holding</w:t>
            </w:r>
          </w:p>
          <w:p w:rsidR="0071377A" w:rsidRPr="00EF7F33" w:rsidRDefault="0071377A" w:rsidP="009B355E">
            <w:pPr>
              <w:tabs>
                <w:tab w:val="left" w:pos="372"/>
              </w:tabs>
              <w:rPr>
                <w:rStyle w:val="InstructionsTabelleText"/>
                <w:rFonts w:ascii="Times New Roman" w:hAnsi="Times New Roman"/>
                <w:bCs/>
                <w:sz w:val="24"/>
              </w:rPr>
            </w:pPr>
            <w:r w:rsidRPr="00EF7F33">
              <w:tab/>
            </w:r>
            <w:r w:rsidRPr="00EF7F33">
              <w:rPr>
                <w:rStyle w:val="InstructionsTabelleText"/>
                <w:rFonts w:ascii="Times New Roman" w:hAnsi="Times New Roman"/>
                <w:sz w:val="24"/>
              </w:rPr>
              <w:t>Članak 4. stavak 1. točka 20. i točka 21. CRR-a;</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t>(e)</w:t>
            </w:r>
            <w:r w:rsidRPr="00EF7F33">
              <w:tab/>
            </w:r>
            <w:r w:rsidRPr="00EF7F33">
              <w:rPr>
                <w:rStyle w:val="InstructionsTabelleText"/>
                <w:rFonts w:ascii="Times New Roman" w:hAnsi="Times New Roman"/>
                <w:sz w:val="24"/>
              </w:rPr>
              <w:t>društvo za pomoćne usluge</w:t>
            </w:r>
          </w:p>
          <w:p w:rsidR="0071377A" w:rsidRPr="00EF7F33" w:rsidRDefault="0071377A" w:rsidP="009B355E">
            <w:pPr>
              <w:tabs>
                <w:tab w:val="left" w:pos="372"/>
              </w:tabs>
              <w:rPr>
                <w:rStyle w:val="InstructionsTabelleText"/>
                <w:rFonts w:ascii="Times New Roman" w:hAnsi="Times New Roman"/>
                <w:bCs/>
                <w:sz w:val="24"/>
              </w:rPr>
            </w:pPr>
            <w:r w:rsidRPr="00EF7F33">
              <w:tab/>
            </w:r>
            <w:r w:rsidRPr="00EF7F33">
              <w:rPr>
                <w:rStyle w:val="InstructionsTabelleText"/>
                <w:rFonts w:ascii="Times New Roman" w:hAnsi="Times New Roman"/>
                <w:sz w:val="24"/>
              </w:rPr>
              <w:t>Članak 4. stavak 1. točka 18. CRR-a;</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lastRenderedPageBreak/>
              <w:t>(f)</w:t>
            </w:r>
            <w:r w:rsidRPr="00EF7F33">
              <w:tab/>
            </w:r>
            <w:r w:rsidRPr="00EF7F33">
              <w:rPr>
                <w:rStyle w:val="InstructionsTabelleText"/>
                <w:rFonts w:ascii="Times New Roman" w:hAnsi="Times New Roman"/>
                <w:sz w:val="24"/>
              </w:rPr>
              <w:t>sekuritizacijski subjekt posebne namjene</w:t>
            </w:r>
          </w:p>
          <w:p w:rsidR="0071377A" w:rsidRPr="00EF7F33" w:rsidRDefault="0071377A" w:rsidP="009B355E">
            <w:pPr>
              <w:tabs>
                <w:tab w:val="left" w:pos="372"/>
              </w:tabs>
              <w:rPr>
                <w:rStyle w:val="InstructionsTabelleText"/>
                <w:rFonts w:ascii="Times New Roman" w:hAnsi="Times New Roman"/>
                <w:bCs/>
                <w:sz w:val="24"/>
              </w:rPr>
            </w:pPr>
            <w:r w:rsidRPr="00EF7F33">
              <w:tab/>
            </w:r>
            <w:r w:rsidRPr="00EF7F33">
              <w:rPr>
                <w:rStyle w:val="InstructionsTabelleText"/>
                <w:rFonts w:ascii="Times New Roman" w:hAnsi="Times New Roman"/>
                <w:sz w:val="24"/>
              </w:rPr>
              <w:t>Članak 4. stavak 1. točka 66. CRR-a;</w:t>
            </w:r>
          </w:p>
          <w:p w:rsidR="0071377A" w:rsidRPr="00EF7F33" w:rsidRDefault="0071377A" w:rsidP="009B355E">
            <w:pPr>
              <w:tabs>
                <w:tab w:val="left" w:pos="372"/>
              </w:tabs>
              <w:rPr>
                <w:rStyle w:val="InstructionsTabelleText"/>
                <w:rFonts w:ascii="Times New Roman" w:hAnsi="Times New Roman"/>
                <w:bCs/>
                <w:sz w:val="24"/>
              </w:rPr>
            </w:pPr>
            <w:r w:rsidRPr="00EF7F33">
              <w:rPr>
                <w:rStyle w:val="InstructionsTabelleText"/>
                <w:rFonts w:ascii="Times New Roman" w:hAnsi="Times New Roman"/>
                <w:sz w:val="24"/>
              </w:rPr>
              <w:t>(g)</w:t>
            </w:r>
            <w:r w:rsidRPr="00EF7F33">
              <w:tab/>
            </w:r>
            <w:r w:rsidRPr="00EF7F33">
              <w:rPr>
                <w:rStyle w:val="InstructionsTabelleText"/>
                <w:rFonts w:ascii="Times New Roman" w:hAnsi="Times New Roman"/>
                <w:sz w:val="24"/>
              </w:rPr>
              <w:t>društvo za izdavanje pokrivenih obveznica.</w:t>
            </w:r>
          </w:p>
          <w:p w:rsidR="009B526D" w:rsidRPr="00EF7F33" w:rsidRDefault="009B526D" w:rsidP="009B355E">
            <w:pPr>
              <w:tabs>
                <w:tab w:val="left" w:pos="372"/>
              </w:tabs>
              <w:ind w:left="372"/>
              <w:rPr>
                <w:rStyle w:val="InstructionsTabelleText"/>
                <w:rFonts w:ascii="Times New Roman" w:hAnsi="Times New Roman"/>
                <w:bCs/>
                <w:sz w:val="24"/>
              </w:rPr>
            </w:pPr>
            <w:r w:rsidRPr="00EF7F33">
              <w:rPr>
                <w:rStyle w:val="InstructionsTabelleText"/>
                <w:rFonts w:ascii="Times New Roman" w:hAnsi="Times New Roman"/>
                <w:sz w:val="24"/>
              </w:rPr>
              <w:t>Subjekt osnovan za potrebe izdavanja pokrivenih obveznica ili držanje kolaterala kojim je osigurana pokrivena obveznica, ako nije uključen u prethodno navedene kategorije iz točaka (a), (b) ili od (d) do (f);</w:t>
            </w:r>
          </w:p>
          <w:p w:rsidR="0089010B" w:rsidRPr="00EF7F33" w:rsidRDefault="0089010B" w:rsidP="009B355E">
            <w:pPr>
              <w:tabs>
                <w:tab w:val="left" w:pos="372"/>
              </w:tabs>
              <w:rPr>
                <w:rStyle w:val="InstructionsTabelleText"/>
                <w:rFonts w:ascii="Times New Roman" w:hAnsi="Times New Roman"/>
                <w:sz w:val="24"/>
              </w:rPr>
            </w:pPr>
            <w:r w:rsidRPr="00EF7F33">
              <w:rPr>
                <w:rStyle w:val="InstructionsTabelleText"/>
                <w:rFonts w:ascii="Times New Roman" w:hAnsi="Times New Roman"/>
                <w:sz w:val="24"/>
              </w:rPr>
              <w:t>(h)</w:t>
            </w:r>
            <w:r w:rsidRPr="00EF7F33">
              <w:tab/>
            </w:r>
            <w:r w:rsidRPr="00EF7F33">
              <w:rPr>
                <w:rStyle w:val="InstructionsTabelleText"/>
                <w:rFonts w:ascii="Times New Roman" w:hAnsi="Times New Roman"/>
                <w:sz w:val="24"/>
              </w:rPr>
              <w:t>ostale vrste subjekta</w:t>
            </w:r>
          </w:p>
          <w:p w:rsidR="00DA0DB4" w:rsidRPr="00EF7F33" w:rsidRDefault="00AE7CD3" w:rsidP="00AE7CD3">
            <w:pPr>
              <w:tabs>
                <w:tab w:val="left" w:pos="372"/>
              </w:tabs>
              <w:ind w:left="372"/>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Subjekt osim onog iz točaka od (a) do (g)</w:t>
            </w:r>
          </w:p>
          <w:p w:rsidR="00965D27" w:rsidRPr="00EF7F33" w:rsidRDefault="00965D27" w:rsidP="00255BA9">
            <w:pPr>
              <w:tabs>
                <w:tab w:val="left" w:pos="372"/>
              </w:tabs>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Ako se na subjekt ne primjenjuje CRR i CRD, već odredbe koje su barem istovjetne bazelskim odredbama, relevantna kategorija određuje se u okviru mogućnosti.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040</w:t>
            </w:r>
          </w:p>
        </w:tc>
        <w:tc>
          <w:tcPr>
            <w:tcW w:w="8640" w:type="dxa"/>
          </w:tcPr>
          <w:p w:rsidR="00464F34" w:rsidRPr="00EF7F33" w:rsidRDefault="00464F34" w:rsidP="00464F34">
            <w:pPr>
              <w:rPr>
                <w:rFonts w:ascii="Times New Roman" w:hAnsi="Times New Roman"/>
                <w:b/>
                <w:sz w:val="24"/>
                <w:u w:val="single"/>
              </w:rPr>
            </w:pPr>
            <w:r w:rsidRPr="00EF7F33">
              <w:rPr>
                <w:rFonts w:ascii="Times New Roman" w:hAnsi="Times New Roman"/>
                <w:b/>
                <w:sz w:val="24"/>
                <w:u w:val="single"/>
              </w:rPr>
              <w:t xml:space="preserve">OPSEG PODATAKA: </w:t>
            </w:r>
            <w:r w:rsidRPr="00EF7F33">
              <w:rPr>
                <w:rFonts w:ascii="Times New Roman" w:hAnsi="Times New Roman"/>
                <w:b/>
                <w:caps/>
                <w:sz w:val="24"/>
                <w:u w:val="single"/>
              </w:rPr>
              <w:t>pojedinačno potpuno konsolidirana (SF) ILI pojedinačno djelomično konsolidirana (SP)</w:t>
            </w:r>
          </w:p>
          <w:p w:rsidR="00464F34" w:rsidRPr="00EF7F33" w:rsidRDefault="00464F34" w:rsidP="009E5DCC">
            <w:pPr>
              <w:rPr>
                <w:rStyle w:val="Heading1Char"/>
                <w:rFonts w:ascii="Times New Roman" w:hAnsi="Times New Roman"/>
                <w:sz w:val="24"/>
                <w:szCs w:val="24"/>
              </w:rPr>
            </w:pPr>
            <w:r w:rsidRPr="00EF7F33">
              <w:rPr>
                <w:rStyle w:val="InstructionsTabelleText"/>
                <w:rFonts w:ascii="Times New Roman" w:hAnsi="Times New Roman"/>
                <w:sz w:val="24"/>
              </w:rPr>
              <w:t xml:space="preserve">„SF” se iskazuje za pojedinačna društva kćeri koja su potpuno konsolidirana. </w:t>
            </w:r>
            <w:r w:rsidRPr="00EF7F33">
              <w:rPr>
                <w:rStyle w:val="Heading1Char"/>
                <w:rFonts w:ascii="Times New Roman" w:hAnsi="Times New Roman"/>
                <w:sz w:val="24"/>
              </w:rPr>
              <w:t xml:space="preserve"> </w:t>
            </w:r>
          </w:p>
          <w:p w:rsidR="00464F34" w:rsidRPr="00EF7F33" w:rsidRDefault="009E5DCC" w:rsidP="00941843">
            <w:pPr>
              <w:rPr>
                <w:rStyle w:val="InstructionsTabelleText"/>
                <w:rFonts w:ascii="Times New Roman" w:hAnsi="Times New Roman"/>
                <w:smallCaps/>
                <w:sz w:val="24"/>
              </w:rPr>
            </w:pPr>
            <w:r w:rsidRPr="00EF7F33">
              <w:rPr>
                <w:rStyle w:val="InstructionsTabelleText"/>
                <w:rFonts w:ascii="Times New Roman" w:hAnsi="Times New Roman"/>
                <w:sz w:val="24"/>
              </w:rPr>
              <w:t xml:space="preserve">SP” se iskazuje za pojedinačna društva kćeri koja su djelomično konsolidirana. </w:t>
            </w:r>
            <w:r w:rsidRPr="00EF7F33">
              <w:rPr>
                <w:rStyle w:val="InstructionsTabelleText"/>
                <w:rFonts w:ascii="Times New Roman" w:hAnsi="Times New Roman"/>
                <w:i/>
                <w:sz w:val="24"/>
              </w:rPr>
              <w:t xml:space="preserve">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050</w:t>
            </w:r>
          </w:p>
        </w:tc>
        <w:tc>
          <w:tcPr>
            <w:tcW w:w="8640" w:type="dxa"/>
          </w:tcPr>
          <w:p w:rsidR="00464F34" w:rsidRPr="00EF7F33" w:rsidRDefault="00464F34" w:rsidP="00464F34">
            <w:pPr>
              <w:rPr>
                <w:rFonts w:ascii="Times New Roman" w:hAnsi="Times New Roman"/>
                <w:b/>
                <w:sz w:val="24"/>
                <w:u w:val="single"/>
              </w:rPr>
            </w:pPr>
            <w:r w:rsidRPr="00EF7F33">
              <w:rPr>
                <w:rFonts w:ascii="Times New Roman" w:hAnsi="Times New Roman"/>
                <w:b/>
                <w:sz w:val="24"/>
                <w:u w:val="single"/>
              </w:rPr>
              <w:t xml:space="preserve">OZNAKA ZEMLJE </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 xml:space="preserve">Institucije iskazuju dvoslovnu oznaku zemlje u skladu s normom ISO 3166-2.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060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UDJEL ULAGANJA (%)</w:t>
            </w:r>
          </w:p>
          <w:p w:rsidR="00464F34" w:rsidRPr="00EF7F33" w:rsidRDefault="00464F34" w:rsidP="00417984">
            <w:pPr>
              <w:rPr>
                <w:rStyle w:val="InstructionsTabelleText"/>
                <w:rFonts w:ascii="Times New Roman" w:hAnsi="Times New Roman"/>
                <w:sz w:val="24"/>
              </w:rPr>
            </w:pPr>
            <w:r w:rsidRPr="00EF7F33">
              <w:rPr>
                <w:rStyle w:val="InstructionsTabelleText"/>
                <w:rFonts w:ascii="Times New Roman" w:hAnsi="Times New Roman"/>
                <w:sz w:val="24"/>
              </w:rPr>
              <w:t>Ovaj se postotak odnosi na stvarni udio u kapitalu koji matično društvo ima u društv</w:t>
            </w:r>
            <w:r w:rsidRPr="00EF7F33">
              <w:rPr>
                <w:rStyle w:val="InstructionsTabelleText"/>
                <w:rFonts w:ascii="Times New Roman" w:hAnsi="Times New Roman"/>
                <w:sz w:val="24"/>
              </w:rPr>
              <w:t>i</w:t>
            </w:r>
            <w:r w:rsidRPr="00EF7F33">
              <w:rPr>
                <w:rStyle w:val="InstructionsTabelleText"/>
                <w:rFonts w:ascii="Times New Roman" w:hAnsi="Times New Roman"/>
                <w:sz w:val="24"/>
              </w:rPr>
              <w:t>ma kćerima. U slučaju potpune konsolidacije izravnog društva kćeri stvarni je udio npr. 70 %. U skladu s člankom 4. točkom 16. CRR-a, potrebno je iskazati udio u društvu kćeri društva kćeri koji se dobije množenjem udjela među dotičnim društvima kćerima.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070-240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INFORMACIJE O SUBJEKTIMA NA KOJE SE PRIMJENJUJE KAPITALNI ZAHTJEV</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 odjeljku o detaljnim informacijama (tj. stupci od 070 do 240) prikupljaju se inform</w:t>
            </w:r>
            <w:r w:rsidRPr="00EF7F33">
              <w:rPr>
                <w:rStyle w:val="InstructionsTabelleText"/>
                <w:rFonts w:ascii="Times New Roman" w:hAnsi="Times New Roman"/>
                <w:sz w:val="24"/>
              </w:rPr>
              <w:t>a</w:t>
            </w:r>
            <w:r w:rsidRPr="00EF7F33">
              <w:rPr>
                <w:rStyle w:val="InstructionsTabelleText"/>
                <w:rFonts w:ascii="Times New Roman" w:hAnsi="Times New Roman"/>
                <w:sz w:val="24"/>
              </w:rPr>
              <w:t>cije samo o subjektima i podgrupama na koje se, s obzirom da su u opsegu konsolidac</w:t>
            </w:r>
            <w:r w:rsidRPr="00EF7F33">
              <w:rPr>
                <w:rStyle w:val="InstructionsTabelleText"/>
                <w:rFonts w:ascii="Times New Roman" w:hAnsi="Times New Roman"/>
                <w:sz w:val="24"/>
              </w:rPr>
              <w:t>i</w:t>
            </w:r>
            <w:r w:rsidRPr="00EF7F33">
              <w:rPr>
                <w:rStyle w:val="InstructionsTabelleText"/>
                <w:rFonts w:ascii="Times New Roman" w:hAnsi="Times New Roman"/>
                <w:sz w:val="24"/>
              </w:rPr>
              <w:t xml:space="preserve">je (dio prvi glava II. poglavlje 2. CRR-a), efektivno primjenjuju zahtjevi koji se odnose na solventnost u skladu s CRR-om ili odredbama koje su barem istovjetne bazelskim odredbama (tj., iskazano „da” u stupcu 030). </w:t>
            </w:r>
          </w:p>
          <w:p w:rsidR="00464F34" w:rsidRPr="00EF7F33" w:rsidRDefault="00464F34" w:rsidP="00464F34">
            <w:pPr>
              <w:rPr>
                <w:rFonts w:ascii="Times New Roman" w:hAnsi="Times New Roman"/>
                <w:sz w:val="24"/>
              </w:rPr>
            </w:pPr>
            <w:r w:rsidRPr="00EF7F33">
              <w:rPr>
                <w:rFonts w:ascii="Times New Roman" w:hAnsi="Times New Roman"/>
                <w:sz w:val="24"/>
              </w:rPr>
              <w:t>Uključuju se informacije o svim pojedinačnim institucijama konsolidirane grupe na k</w:t>
            </w:r>
            <w:r w:rsidRPr="00EF7F33">
              <w:rPr>
                <w:rFonts w:ascii="Times New Roman" w:hAnsi="Times New Roman"/>
                <w:sz w:val="24"/>
              </w:rPr>
              <w:t>o</w:t>
            </w:r>
            <w:r w:rsidRPr="00EF7F33">
              <w:rPr>
                <w:rFonts w:ascii="Times New Roman" w:hAnsi="Times New Roman"/>
                <w:sz w:val="24"/>
              </w:rPr>
              <w:t xml:space="preserve">je se primjenjuju kapitalni zahtjevi, bez obzira na to gdje se nalaze. </w:t>
            </w:r>
          </w:p>
          <w:p w:rsidR="00464F34" w:rsidRPr="00EF7F33" w:rsidRDefault="00464F34" w:rsidP="00464F34">
            <w:pPr>
              <w:rPr>
                <w:rFonts w:ascii="Times New Roman" w:hAnsi="Times New Roman"/>
                <w:sz w:val="24"/>
              </w:rPr>
            </w:pPr>
            <w:r w:rsidRPr="00EF7F33">
              <w:rPr>
                <w:rFonts w:ascii="Times New Roman" w:hAnsi="Times New Roman"/>
                <w:sz w:val="24"/>
              </w:rPr>
              <w:t>Informacije iskazane u ovom dijelu u skladu su s lokalnim pravilima koja se odnose na solventnost</w:t>
            </w:r>
            <w:r w:rsidRPr="00EF7F33">
              <w:rPr>
                <w:rFonts w:ascii="Times New Roman" w:hAnsi="Times New Roman"/>
                <w:b/>
                <w:sz w:val="24"/>
              </w:rPr>
              <w:t xml:space="preserve"> </w:t>
            </w:r>
            <w:r w:rsidRPr="00EF7F33">
              <w:rPr>
                <w:rFonts w:ascii="Times New Roman" w:hAnsi="Times New Roman"/>
                <w:sz w:val="24"/>
              </w:rPr>
              <w:t xml:space="preserve"> s obzirom na zemlju u kojoj institucija posluje (stoga za taj obrazac nije potreban dvostruki izračun na pojedinačnoj osnovi u skladu s pravilima matične inst</w:t>
            </w:r>
            <w:r w:rsidRPr="00EF7F33">
              <w:rPr>
                <w:rFonts w:ascii="Times New Roman" w:hAnsi="Times New Roman"/>
                <w:sz w:val="24"/>
              </w:rPr>
              <w:t>i</w:t>
            </w:r>
            <w:r w:rsidRPr="00EF7F33">
              <w:rPr>
                <w:rFonts w:ascii="Times New Roman" w:hAnsi="Times New Roman"/>
                <w:sz w:val="24"/>
              </w:rPr>
              <w:t>tucije). Ako se lokalna pravila koja se odnose na solventnost razlikuju od CRR-a i nije dana usporediva raščlamba, informacije se popunjavaju kada dostupni dovoljno detal</w:t>
            </w:r>
            <w:r w:rsidRPr="00EF7F33">
              <w:rPr>
                <w:rFonts w:ascii="Times New Roman" w:hAnsi="Times New Roman"/>
                <w:sz w:val="24"/>
              </w:rPr>
              <w:t>j</w:t>
            </w:r>
            <w:r w:rsidRPr="00EF7F33">
              <w:rPr>
                <w:rFonts w:ascii="Times New Roman" w:hAnsi="Times New Roman"/>
                <w:sz w:val="24"/>
              </w:rPr>
              <w:t>ni podaci. Stoga je ovaj dio obrazac za podatke u kojem se daje sažetak izračuna koje pojedinačna institucija grupe provodi, uzimajući u obzir da se na neke od tih institucija mogu primjenjivati različita pravila koja se odnose na solventnost.</w:t>
            </w:r>
          </w:p>
          <w:p w:rsidR="00464F34" w:rsidRPr="00EF7F33" w:rsidRDefault="00464F34" w:rsidP="00464F34">
            <w:pPr>
              <w:rPr>
                <w:rStyle w:val="InstructionsTabelleText"/>
                <w:rFonts w:ascii="Times New Roman" w:hAnsi="Times New Roman"/>
                <w:b/>
                <w:sz w:val="24"/>
                <w:u w:val="single"/>
              </w:rPr>
            </w:pPr>
            <w:r w:rsidRPr="00EF7F33">
              <w:rPr>
                <w:rStyle w:val="InstructionsTabelleText"/>
                <w:rFonts w:ascii="Times New Roman" w:hAnsi="Times New Roman"/>
                <w:b/>
                <w:sz w:val="24"/>
                <w:u w:val="single"/>
              </w:rPr>
              <w:t>Izvješćivanje o fiksnim općim troškovima u investicijskim društvima:</w:t>
            </w:r>
          </w:p>
          <w:p w:rsidR="00464F34" w:rsidRPr="00EF7F33" w:rsidRDefault="00464F34" w:rsidP="00464F34">
            <w:pPr>
              <w:autoSpaceDE w:val="0"/>
              <w:autoSpaceDN w:val="0"/>
              <w:adjustRightInd w:val="0"/>
              <w:spacing w:after="0"/>
              <w:rPr>
                <w:rStyle w:val="InstructionsTabelleText"/>
                <w:rFonts w:ascii="Times New Roman" w:hAnsi="Times New Roman"/>
                <w:sz w:val="24"/>
              </w:rPr>
            </w:pPr>
            <w:r w:rsidRPr="00EF7F33">
              <w:rPr>
                <w:rStyle w:val="InstructionsTabelleText"/>
                <w:rFonts w:ascii="Times New Roman" w:hAnsi="Times New Roman"/>
                <w:sz w:val="24"/>
              </w:rPr>
              <w:t>Investicijska društva uključuju kapitalne zahtjeve povezane s fiksnim općim troškov</w:t>
            </w:r>
            <w:r w:rsidRPr="00EF7F33">
              <w:rPr>
                <w:rStyle w:val="InstructionsTabelleText"/>
                <w:rFonts w:ascii="Times New Roman" w:hAnsi="Times New Roman"/>
                <w:sz w:val="24"/>
              </w:rPr>
              <w:t>i</w:t>
            </w:r>
            <w:r w:rsidRPr="00EF7F33">
              <w:rPr>
                <w:rStyle w:val="InstructionsTabelleText"/>
                <w:rFonts w:ascii="Times New Roman" w:hAnsi="Times New Roman"/>
                <w:sz w:val="24"/>
              </w:rPr>
              <w:lastRenderedPageBreak/>
              <w:t>ma u svoj izračun stope kapitala u skladu s člancima 95., 96., 97. i 98. CRR-a.</w:t>
            </w:r>
          </w:p>
          <w:p w:rsidR="00464F34" w:rsidRPr="00EF7F33" w:rsidRDefault="00464F34" w:rsidP="00941843">
            <w:pPr>
              <w:autoSpaceDE w:val="0"/>
              <w:autoSpaceDN w:val="0"/>
              <w:adjustRightInd w:val="0"/>
              <w:spacing w:after="0"/>
              <w:rPr>
                <w:rStyle w:val="InstructionsTabelleText"/>
                <w:rFonts w:ascii="Times New Roman" w:hAnsi="Times New Roman"/>
                <w:sz w:val="24"/>
              </w:rPr>
            </w:pPr>
            <w:r w:rsidRPr="00EF7F33">
              <w:rPr>
                <w:rStyle w:val="InstructionsTabelleText"/>
                <w:rFonts w:ascii="Times New Roman" w:hAnsi="Times New Roman"/>
                <w:sz w:val="24"/>
              </w:rPr>
              <w:t>Dio ukupnog iznosa izloženosti riziku koji je povezan s fiksnim općim troškovima i</w:t>
            </w:r>
            <w:r w:rsidRPr="00EF7F33">
              <w:rPr>
                <w:rStyle w:val="InstructionsTabelleText"/>
                <w:rFonts w:ascii="Times New Roman" w:hAnsi="Times New Roman"/>
                <w:sz w:val="24"/>
              </w:rPr>
              <w:t>s</w:t>
            </w:r>
            <w:r w:rsidRPr="00EF7F33">
              <w:rPr>
                <w:rStyle w:val="InstructionsTabelleText"/>
                <w:rFonts w:ascii="Times New Roman" w:hAnsi="Times New Roman"/>
                <w:sz w:val="24"/>
              </w:rPr>
              <w:t xml:space="preserve">kazuje se u stupcu 100 dijela 2. ovog obrasca.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070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UKUPAN IZNOS IZLOŽENOSTI RIZIKU </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Iskazuje se zbroj stupaca od 080 do 110.</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080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KREDITNI RIZIK; KREDITNI RIZIK DRUGE UGOVORNE STRANE; 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ZRJEĐIVAČKI RIZIK, SLOBODNE ISPORUKE I RIZIK NAM</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RE/ISPORUKE</w:t>
            </w:r>
          </w:p>
          <w:p w:rsidR="00464F34" w:rsidRPr="00EF7F33" w:rsidRDefault="00464F34" w:rsidP="00E871FE">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ovom stupcu odgovara zbroju iznosa izloženosti po</w:t>
            </w:r>
            <w:r w:rsidRPr="00EF7F33">
              <w:rPr>
                <w:rStyle w:val="InstructionsTabelleText"/>
                <w:rFonts w:ascii="Times New Roman" w:hAnsi="Times New Roman"/>
                <w:sz w:val="24"/>
              </w:rPr>
              <w:t>n</w:t>
            </w:r>
            <w:r w:rsidRPr="00EF7F33">
              <w:rPr>
                <w:rStyle w:val="InstructionsTabelleText"/>
                <w:rFonts w:ascii="Times New Roman" w:hAnsi="Times New Roman"/>
                <w:sz w:val="24"/>
              </w:rPr>
              <w:t>derirane rizikom koji su jednaki ili istovjetni iznosima koji se moraju iskazati u retku 040 „IZNOSI IZLOŽENOSTI PONDERIRANI RIZIKOM ZA KREDITNI RIZIK, KREDITNI RIZIK DRUGE UGOVORNE STRANE, RAZJEĐIVAČKI RIZIK I SLOBODNE ISPORUKE” i iznosa kapitalnih zahtjeva koji su jednaki ili istovjetni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nosima koji se moraju iskazati u retku 490 „UKUPAN IZNOS IZLOŽENOSTI RIZ</w:t>
            </w:r>
            <w:r w:rsidRPr="00EF7F33">
              <w:rPr>
                <w:rStyle w:val="InstructionsTabelleText"/>
                <w:rFonts w:ascii="Times New Roman" w:hAnsi="Times New Roman"/>
                <w:sz w:val="24"/>
              </w:rPr>
              <w:t>I</w:t>
            </w:r>
            <w:r w:rsidRPr="00EF7F33">
              <w:rPr>
                <w:rStyle w:val="InstructionsTabelleText"/>
                <w:rFonts w:ascii="Times New Roman" w:hAnsi="Times New Roman"/>
                <w:sz w:val="24"/>
              </w:rPr>
              <w:t xml:space="preserve">KU ZA NAMIRU/ISPORUKU” obrasca CA2.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090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POZICIJSKI, VALUTNI I ROBNI RIZIK</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ovom stupcu odgovara iznosu kapitalnih zahtjeva koji su jednaki ili istovjetni iznosima koji se moraju iskazati u retku 520 „UKUPAN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 IZLOŽENOSTI RIZIKU ZA POZICIJSKI, DEVIZNI I ROBNI RIZIK” obrasca CA2.</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OPERATIVNI RIZIK</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ovom stupcu odgovara iznosu izloženosti riziku koji je jednak ili istovjetan iznosu koji se mora iskazati u retku 590 „UKUPAN IZNOS I</w:t>
            </w:r>
            <w:r w:rsidRPr="00EF7F33">
              <w:rPr>
                <w:rStyle w:val="InstructionsTabelleText"/>
                <w:rFonts w:ascii="Times New Roman" w:hAnsi="Times New Roman"/>
                <w:sz w:val="24"/>
              </w:rPr>
              <w:t>Z</w:t>
            </w:r>
            <w:r w:rsidRPr="00EF7F33">
              <w:rPr>
                <w:rStyle w:val="InstructionsTabelleText"/>
                <w:rFonts w:ascii="Times New Roman" w:hAnsi="Times New Roman"/>
                <w:sz w:val="24"/>
              </w:rPr>
              <w:t>LOŽENOSTI RIZIKU ZA OPERATIVNI RIZIK” obrasca CA2.</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Fiksni opći troškovi uključuju se u ovaj stupac uključujući redak 630 „DODATNI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 IZLOŽENOSTI RIZIKU ZBOG FIKSNIH OPĆIH TROŠKOVA” obrasca CA2.</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110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OSTALI IZNOSI IZLOŽENOSTI RIZIKU</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 ovom stupcu odgovara iznosu izloženosti riziku koji nije prethodno posebno naveden. To je zbroj iznosa iz redaka 640, 680 i 690 obrasca CA2.</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120-240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DETALJNE INFORMACIJE O REGULATORNOM KAPITALU KAO DIJELU SOLVENTNOSTI GRUPE</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Informacije iskazane u sljedećim stupcima u skladu su s lokalnim pravilima koja se odnose na solventnost u zemlji u kojoj subjekt ili podgrupa posluje.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120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REGULATORNI KAPITAL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 ovom stupcu odgovara iznosu regulatornog kapitala koji je jednak ili istovjetan iznosima koji se moraju iskazati u retku 010 „REGUL</w:t>
            </w:r>
            <w:r w:rsidRPr="00EF7F33">
              <w:rPr>
                <w:rStyle w:val="InstructionsTabelleText"/>
                <w:rFonts w:ascii="Times New Roman" w:hAnsi="Times New Roman"/>
                <w:sz w:val="24"/>
              </w:rPr>
              <w:t>A</w:t>
            </w:r>
            <w:r w:rsidRPr="00EF7F33">
              <w:rPr>
                <w:rStyle w:val="InstructionsTabelleText"/>
                <w:rFonts w:ascii="Times New Roman" w:hAnsi="Times New Roman"/>
                <w:sz w:val="24"/>
              </w:rPr>
              <w:t>TORNI KAPITAL” obrasca CA1.</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130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OD ČEGA: KVALIFICIRANI REGULATORNI KAPITAL </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 xml:space="preserve">Članak 82. CRR-a </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 xml:space="preserve">Ovaj je stupac predviđen samo za društva kćeri iskazana na pojedinačnoj osnovi koja su potpuno konsolidirana i koja su institucije. </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Kvalificirani su udjeli, za prethodno navedena društva kćeri, instrumenti (uvećani za povezanu zadržanu dobit, račune premija na dionice i ostale rezerve) u vlasništvu os</w:t>
            </w:r>
            <w:r w:rsidRPr="00EF7F33">
              <w:rPr>
                <w:rStyle w:val="InstructionsTabelleText"/>
                <w:rFonts w:ascii="Times New Roman" w:hAnsi="Times New Roman"/>
                <w:sz w:val="24"/>
              </w:rPr>
              <w:t>o</w:t>
            </w:r>
            <w:r w:rsidRPr="00EF7F33">
              <w:rPr>
                <w:rStyle w:val="InstructionsTabelleText"/>
                <w:rFonts w:ascii="Times New Roman" w:hAnsi="Times New Roman"/>
                <w:sz w:val="24"/>
              </w:rPr>
              <w:t>ba koje nisu društva uključena u konsolidaciju u skladu s CRR-om.</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uključuje učinke svih prijelaznih odredbi. To je priznati iznos na izvještajni datum.</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140</w:t>
            </w:r>
          </w:p>
        </w:tc>
        <w:tc>
          <w:tcPr>
            <w:tcW w:w="8640" w:type="dxa"/>
          </w:tcPr>
          <w:p w:rsidR="00464F34" w:rsidRPr="00EF7F33" w:rsidRDefault="000044B7" w:rsidP="00464F34">
            <w:pPr>
              <w:rPr>
                <w:rStyle w:val="InstructionsTabelleberschrift"/>
                <w:rFonts w:ascii="Times New Roman" w:hAnsi="Times New Roman"/>
                <w:b w:val="0"/>
                <w:sz w:val="24"/>
              </w:rPr>
            </w:pPr>
            <w:r w:rsidRPr="00EF7F33">
              <w:rPr>
                <w:rStyle w:val="InstructionsTabelleberschrift"/>
                <w:rFonts w:ascii="Times New Roman" w:hAnsi="Times New Roman"/>
                <w:sz w:val="24"/>
              </w:rPr>
              <w:t>POVEZANI INSTRUMENTI REGULATORNOG KAPITALA, POVEZANA ZADRŽANA DOBIT, RAČUNI PREMIJA NA DIONICE I OSTALE REZERVE</w:t>
            </w:r>
          </w:p>
          <w:p w:rsidR="00464F34" w:rsidRPr="00EF7F33" w:rsidRDefault="00464F34" w:rsidP="00464F34">
            <w:pPr>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87. stavak 1. točka (b)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150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UKUPAN OSNOVNI KAPITAL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Članak 25.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160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KVALIFICIRANI OSNOVNI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82. CRR-a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Ovaj je stupac predviđen samo za društva kćeri iskazana na pojedinačnoj osnovi koja su potpuno konsolidirana i koja su institucije.</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Kvalificirani su udjeli, za prethodno navedena društva kćeri, instrumenti (uvećani za povezanu zadržanu dobit i račune premija na dionice) u vlasništvu osoba koje nisu dr</w:t>
            </w:r>
            <w:r w:rsidRPr="00EF7F33">
              <w:rPr>
                <w:rStyle w:val="InstructionsTabelleText"/>
                <w:rFonts w:ascii="Times New Roman" w:hAnsi="Times New Roman"/>
                <w:sz w:val="24"/>
              </w:rPr>
              <w:t>u</w:t>
            </w:r>
            <w:r w:rsidRPr="00EF7F33">
              <w:rPr>
                <w:rStyle w:val="InstructionsTabelleText"/>
                <w:rFonts w:ascii="Times New Roman" w:hAnsi="Times New Roman"/>
                <w:sz w:val="24"/>
              </w:rPr>
              <w:t>štva uključena u konsolidaciju u skladu s CRR-om.</w:t>
            </w:r>
          </w:p>
          <w:p w:rsidR="00464F34" w:rsidRPr="00EF7F33" w:rsidRDefault="00464F34" w:rsidP="003C1BB1">
            <w:pPr>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uključuje učinke svih prijelaznih odredbi. To je priznati iznos na izvještajni datum.</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170</w:t>
            </w:r>
          </w:p>
        </w:tc>
        <w:tc>
          <w:tcPr>
            <w:tcW w:w="8640" w:type="dxa"/>
          </w:tcPr>
          <w:p w:rsidR="00144F03" w:rsidRPr="00EF7F33" w:rsidRDefault="000044B7" w:rsidP="00144F03">
            <w:pPr>
              <w:rPr>
                <w:rStyle w:val="InstructionsTabelleberschrift"/>
                <w:rFonts w:ascii="Times New Roman" w:hAnsi="Times New Roman"/>
                <w:b w:val="0"/>
                <w:sz w:val="24"/>
              </w:rPr>
            </w:pPr>
            <w:r w:rsidRPr="00EF7F33">
              <w:rPr>
                <w:rStyle w:val="InstructionsTabelleberschrift"/>
                <w:rFonts w:ascii="Times New Roman" w:hAnsi="Times New Roman"/>
                <w:sz w:val="24"/>
              </w:rPr>
              <w:t>POVEZANI INSTRUMENTI OSNOVNOG KAPITALA, POVEZANA ZAD</w:t>
            </w:r>
            <w:r w:rsidRPr="00EF7F33">
              <w:rPr>
                <w:rStyle w:val="InstructionsTabelleberschrift"/>
                <w:rFonts w:ascii="Times New Roman" w:hAnsi="Times New Roman"/>
                <w:sz w:val="24"/>
              </w:rPr>
              <w:t>R</w:t>
            </w:r>
            <w:r w:rsidRPr="00EF7F33">
              <w:rPr>
                <w:rStyle w:val="InstructionsTabelleberschrift"/>
                <w:rFonts w:ascii="Times New Roman" w:hAnsi="Times New Roman"/>
                <w:sz w:val="24"/>
              </w:rPr>
              <w:t>ŽANA DOBIT I RAČUNI PREMIJA NA DIONICE</w:t>
            </w:r>
          </w:p>
          <w:p w:rsidR="00464F34" w:rsidRPr="00EF7F33" w:rsidRDefault="00144F03" w:rsidP="003C1BB1">
            <w:pPr>
              <w:rPr>
                <w:rStyle w:val="InstructionsTabelleberschrift"/>
                <w:rFonts w:ascii="Times New Roman" w:hAnsi="Times New Roman"/>
                <w:sz w:val="24"/>
              </w:rPr>
            </w:pPr>
            <w:r w:rsidRPr="00EF7F33">
              <w:rPr>
                <w:rStyle w:val="InstructionsTabelleberschrift"/>
                <w:rFonts w:ascii="Times New Roman" w:hAnsi="Times New Roman"/>
                <w:b w:val="0"/>
                <w:sz w:val="24"/>
                <w:u w:val="none"/>
              </w:rPr>
              <w:t>Članak 85. stavak 1. točka (b)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180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REDOVNI OSNOVNI KAPITAL</w:t>
            </w:r>
          </w:p>
          <w:p w:rsidR="00464F34" w:rsidRPr="00EF7F33" w:rsidRDefault="00464F34" w:rsidP="003C1BB1">
            <w:pPr>
              <w:rPr>
                <w:rStyle w:val="InstructionsTabelleberschrift"/>
                <w:rFonts w:ascii="Times New Roman" w:hAnsi="Times New Roman"/>
                <w:sz w:val="24"/>
              </w:rPr>
            </w:pPr>
            <w:r w:rsidRPr="00EF7F33">
              <w:rPr>
                <w:rStyle w:val="InstructionsTabelleText"/>
                <w:rFonts w:ascii="Times New Roman" w:hAnsi="Times New Roman"/>
                <w:sz w:val="24"/>
              </w:rPr>
              <w:t>Članak 50.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190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MANJINSKI UDJELI</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81. CRR-a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Ovaj se stupac iskazuje samo za društva kćeri koja su potpuno konsolidirana i koja su institucije, izuzev društava kćeri iz članka 84. stavka 3. CRR-a. Svako društvo kći ra</w:t>
            </w:r>
            <w:r w:rsidRPr="00EF7F33">
              <w:rPr>
                <w:rStyle w:val="InstructionsTabelleText"/>
                <w:rFonts w:ascii="Times New Roman" w:hAnsi="Times New Roman"/>
                <w:sz w:val="24"/>
              </w:rPr>
              <w:t>z</w:t>
            </w:r>
            <w:r w:rsidRPr="00EF7F33">
              <w:rPr>
                <w:rStyle w:val="InstructionsTabelleText"/>
                <w:rFonts w:ascii="Times New Roman" w:hAnsi="Times New Roman"/>
                <w:sz w:val="24"/>
              </w:rPr>
              <w:t>matra se na potkonsolidiranoj osnovi za potrebe svih izračuna iz članka 84. CRR-a, prema potrebi, u skladu s člankom 84. stavkom 2., a inače na pojedinačnoj osnovi.</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 pogledu CRR-a i ovog obrasca, manjinski su udjeli, za prethodno navedena društva kćeri, instrumenti redovnog osnovnog kapitala (uvećani za povezanu zadržanu dobit i račune premija na dionice) u vlasništvu osoba koje nisu društva uključena u konsolid</w:t>
            </w:r>
            <w:r w:rsidRPr="00EF7F33">
              <w:rPr>
                <w:rStyle w:val="InstructionsTabelleText"/>
                <w:rFonts w:ascii="Times New Roman" w:hAnsi="Times New Roman"/>
                <w:sz w:val="24"/>
              </w:rPr>
              <w:t>a</w:t>
            </w:r>
            <w:r w:rsidRPr="00EF7F33">
              <w:rPr>
                <w:rStyle w:val="InstructionsTabelleText"/>
                <w:rFonts w:ascii="Times New Roman" w:hAnsi="Times New Roman"/>
                <w:sz w:val="24"/>
              </w:rPr>
              <w:t>ciju u skladu s CRR-om.</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 xml:space="preserve">Iznos koji je potrebno iskazati uključuje učinke svih prijelaznih odredbi. To je priznati </w:t>
            </w:r>
            <w:r w:rsidRPr="00EF7F33">
              <w:rPr>
                <w:rStyle w:val="InstructionsTabelleText"/>
                <w:rFonts w:ascii="Times New Roman" w:hAnsi="Times New Roman"/>
                <w:sz w:val="24"/>
              </w:rPr>
              <w:lastRenderedPageBreak/>
              <w:t>iznos na izvještajni datum.</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200</w:t>
            </w:r>
          </w:p>
        </w:tc>
        <w:tc>
          <w:tcPr>
            <w:tcW w:w="8640" w:type="dxa"/>
          </w:tcPr>
          <w:p w:rsidR="00144F03" w:rsidRPr="00EF7F33" w:rsidRDefault="000044B7" w:rsidP="00144F03">
            <w:pPr>
              <w:rPr>
                <w:rStyle w:val="InstructionsTabelleberschrift"/>
                <w:rFonts w:ascii="Times New Roman" w:hAnsi="Times New Roman"/>
                <w:b w:val="0"/>
                <w:sz w:val="24"/>
              </w:rPr>
            </w:pPr>
            <w:r w:rsidRPr="00EF7F33">
              <w:rPr>
                <w:rStyle w:val="InstructionsTabelleberschrift"/>
                <w:rFonts w:ascii="Times New Roman" w:hAnsi="Times New Roman"/>
                <w:sz w:val="24"/>
              </w:rPr>
              <w:t>POVEZANI INSTRUMENTI REGULATORNOG KAPITALA, POVEZANA ZADRŽANA DOBIT, RAČUNI PREMIJA NA DIONICE I OSTALE REZERVE</w:t>
            </w:r>
          </w:p>
          <w:p w:rsidR="00464F34" w:rsidRPr="00EF7F33" w:rsidRDefault="00144F03" w:rsidP="000044B7">
            <w:pPr>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84. stavak 1. točka (b)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210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DODATNI OSNOVNI KAPITAL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Članak 61.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220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KVALIFICIRANI DODATNI OSNOVNI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Članci 82. i 83. CRR-a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Ovaj je stupac predviđen samo za društva kćeri iskazana na pojedinačnoj osnovi koja su potpuno konsolidirana i koja su institucije, izuzev društava kćeri iz članka 85. stavka 2. CRR-a. Svako društvo kći razmatra se na potkonsolidiranoj osnovi za potrebe svih izračuna iz članka 85. CRR-a, prema potrebi, u skladu s člankom 85. stavkom 2., a in</w:t>
            </w:r>
            <w:r w:rsidRPr="00EF7F33">
              <w:rPr>
                <w:rStyle w:val="InstructionsTabelleText"/>
                <w:rFonts w:ascii="Times New Roman" w:hAnsi="Times New Roman"/>
                <w:sz w:val="24"/>
              </w:rPr>
              <w:t>a</w:t>
            </w:r>
            <w:r w:rsidRPr="00EF7F33">
              <w:rPr>
                <w:rStyle w:val="InstructionsTabelleText"/>
                <w:rFonts w:ascii="Times New Roman" w:hAnsi="Times New Roman"/>
                <w:sz w:val="24"/>
              </w:rPr>
              <w:t>če na pojedinačnoj osnovi.</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 pogledu CRR-a i ovog obrasca, manjinski su udjeli, za prethodno navedena društva kćeri, instrumenti dopunskog kapitala (uvećani za povezanu zadržanu dobit i račune premija na dionice) u vlasništvu osoba koje nisu društva uključena u konsolidaciju u skladu s CRR-om.</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uključuje učinke svih prijelaznih odredbi. To je priznati iznos na izvještajni datum.</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230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DOPUNSKI KAPITAL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Članak 71.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240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KVALIFICIRANI DOPUNSKI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Članci 82. i 83. CRR-a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Ovaj je stupac predviđen samo za društva kćeri iskazana na pojedinačnoj osnovi koja su potpuno konsolidirana i koja su institucije, izuzev društava kćeri iz članka 87. stavka 2. CRR-a. Svako društvo kći razmatra se na potkonsolidiranoj osnovi za potrebe svih izračuna iz članka 87. CRR-a, prema potrebi, u skladu s člankom 87. stavkom 2., a in</w:t>
            </w:r>
            <w:r w:rsidRPr="00EF7F33">
              <w:rPr>
                <w:rStyle w:val="InstructionsTabelleText"/>
                <w:rFonts w:ascii="Times New Roman" w:hAnsi="Times New Roman"/>
                <w:sz w:val="24"/>
              </w:rPr>
              <w:t>a</w:t>
            </w:r>
            <w:r w:rsidRPr="00EF7F33">
              <w:rPr>
                <w:rStyle w:val="InstructionsTabelleText"/>
                <w:rFonts w:ascii="Times New Roman" w:hAnsi="Times New Roman"/>
                <w:sz w:val="24"/>
              </w:rPr>
              <w:t xml:space="preserve">če na pojedinačnoj osnovi. </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 pogledu CRR-a i ovog obrasca, manjinski su udjeli, za prethodno navedena društva kćeri, instrumenti dopunskog kapitala (uvećani za povezanu zadržanu dobit i račune premija na dionice) u vlasništvu osoba koje nisu društva uključena u konsolidaciju u skladu s CRR-om.</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uključuje učinke svih prijelaznih odredbi, tj. treba biti priznati iznos na izvještajni datum.</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250-400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INFORMACIJE O DOPRINOSU SUBJEKATA SOLVENTNOSTI GRUPE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250-290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DOPRINOS RIZICIMA</w:t>
            </w:r>
          </w:p>
          <w:p w:rsidR="00464F34" w:rsidRPr="00EF7F33" w:rsidRDefault="00464F34" w:rsidP="00464F34">
            <w:pPr>
              <w:rPr>
                <w:rStyle w:val="InstructionsTabelleberschrift"/>
                <w:rFonts w:ascii="Times New Roman" w:hAnsi="Times New Roman"/>
                <w:sz w:val="24"/>
              </w:rPr>
            </w:pPr>
            <w:r w:rsidRPr="00EF7F33">
              <w:rPr>
                <w:rFonts w:ascii="Times New Roman" w:hAnsi="Times New Roman"/>
                <w:sz w:val="24"/>
              </w:rPr>
              <w:t>Informacije iskazane u sljedećim stupcima u skladu su s pravilima koja se odnose na solventnost i koja se primjenjuju na instituciju koja izvješćuje.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lastRenderedPageBreak/>
              <w:t>250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UKUPAN IZNOS IZLOŽENOSTI RIZIKU</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Iskazuje se zbroj stupaca od 260 do 290.</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260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KREDITNI RIZIK; KREDITNI RIZIK DRUGE UGOVORNE STRANE; 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ZRJEĐIVAČKI RIZIK, SLOBODNE ISPORUKE I RIZIK NAM</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RE/ISPORUKE</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iznosi su izloženosti ponderirani rizikom za kreditni r</w:t>
            </w:r>
            <w:r w:rsidRPr="00EF7F33">
              <w:rPr>
                <w:rStyle w:val="InstructionsTabelleText"/>
                <w:rFonts w:ascii="Times New Roman" w:hAnsi="Times New Roman"/>
                <w:sz w:val="24"/>
              </w:rPr>
              <w:t>i</w:t>
            </w:r>
            <w:r w:rsidRPr="00EF7F33">
              <w:rPr>
                <w:rStyle w:val="InstructionsTabelleText"/>
                <w:rFonts w:ascii="Times New Roman" w:hAnsi="Times New Roman"/>
                <w:sz w:val="24"/>
              </w:rPr>
              <w:t>zik i kapitalne zahtjeve u pogledu rizika namire/isporuke u skladu s CRR-om, isključ</w:t>
            </w:r>
            <w:r w:rsidRPr="00EF7F33">
              <w:rPr>
                <w:rStyle w:val="InstructionsTabelleText"/>
                <w:rFonts w:ascii="Times New Roman" w:hAnsi="Times New Roman"/>
                <w:sz w:val="24"/>
              </w:rPr>
              <w:t>u</w:t>
            </w:r>
            <w:r w:rsidRPr="00EF7F33">
              <w:rPr>
                <w:rStyle w:val="InstructionsTabelleText"/>
                <w:rFonts w:ascii="Times New Roman" w:hAnsi="Times New Roman"/>
                <w:sz w:val="24"/>
              </w:rPr>
              <w:t>jući svaki iznos povezan s transakcijama s ostalim subjektima uključenima u izračun konsolidirane stope solventnost grupe.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270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POZICIJSKI, VALUTNI I ROBNI RIZIK</w:t>
            </w:r>
          </w:p>
          <w:p w:rsidR="00464F34" w:rsidRPr="00EF7F33" w:rsidRDefault="00464F34" w:rsidP="00464F34">
            <w:pPr>
              <w:pStyle w:val="Texte2"/>
              <w:ind w:left="0"/>
              <w:rPr>
                <w:rStyle w:val="InstructionsTabelleText"/>
                <w:rFonts w:ascii="Times New Roman" w:hAnsi="Times New Roman"/>
                <w:sz w:val="24"/>
                <w:szCs w:val="24"/>
              </w:rPr>
            </w:pPr>
            <w:r w:rsidRPr="00EF7F33">
              <w:rPr>
                <w:rStyle w:val="InstructionsTabelleText"/>
                <w:rFonts w:ascii="Times New Roman" w:hAnsi="Times New Roman"/>
                <w:sz w:val="24"/>
              </w:rPr>
              <w:t>Iznose izloženosti riziku za tržišne rizike potrebno je izračunati na razini svakog su</w:t>
            </w:r>
            <w:r w:rsidRPr="00EF7F33">
              <w:rPr>
                <w:rStyle w:val="InstructionsTabelleText"/>
                <w:rFonts w:ascii="Times New Roman" w:hAnsi="Times New Roman"/>
                <w:sz w:val="24"/>
              </w:rPr>
              <w:t>b</w:t>
            </w:r>
            <w:r w:rsidRPr="00EF7F33">
              <w:rPr>
                <w:rStyle w:val="InstructionsTabelleText"/>
                <w:rFonts w:ascii="Times New Roman" w:hAnsi="Times New Roman"/>
                <w:sz w:val="24"/>
              </w:rPr>
              <w:t>jekta u skladu s CRR-om. Subjekti iskazuju doprinos ukupnim iznosima izloženosti r</w:t>
            </w:r>
            <w:r w:rsidRPr="00EF7F33">
              <w:rPr>
                <w:rStyle w:val="InstructionsTabelleText"/>
                <w:rFonts w:ascii="Times New Roman" w:hAnsi="Times New Roman"/>
                <w:sz w:val="24"/>
              </w:rPr>
              <w:t>i</w:t>
            </w:r>
            <w:r w:rsidRPr="00EF7F33">
              <w:rPr>
                <w:rStyle w:val="InstructionsTabelleText"/>
                <w:rFonts w:ascii="Times New Roman" w:hAnsi="Times New Roman"/>
                <w:sz w:val="24"/>
              </w:rPr>
              <w:t>ziku za pozicijski, valutni i robni rizik grupe. Ovdje iskazani zbroj iznosa odgovara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nosu iskazanom u retku 520 „UKUPNI IZNOSI IZLOŽENOSTI RIZIKU ZA POZ</w:t>
            </w:r>
            <w:r w:rsidRPr="00EF7F33">
              <w:rPr>
                <w:rStyle w:val="InstructionsTabelleText"/>
                <w:rFonts w:ascii="Times New Roman" w:hAnsi="Times New Roman"/>
                <w:sz w:val="24"/>
              </w:rPr>
              <w:t>I</w:t>
            </w:r>
            <w:r w:rsidRPr="00EF7F33">
              <w:rPr>
                <w:rStyle w:val="InstructionsTabelleText"/>
                <w:rFonts w:ascii="Times New Roman" w:hAnsi="Times New Roman"/>
                <w:sz w:val="24"/>
              </w:rPr>
              <w:t>CIJSKI, VALUTNI I ROBNI RIZIK” konsolidiranog izvještaja.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280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OPERATIVNI RIZIK</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U slučaju naprednog pristupa, iskazani iznosi izloženosti riziku za operativni rizik u</w:t>
            </w:r>
            <w:r w:rsidRPr="00EF7F33">
              <w:rPr>
                <w:rStyle w:val="InstructionsTabelleText"/>
                <w:rFonts w:ascii="Times New Roman" w:hAnsi="Times New Roman"/>
                <w:sz w:val="24"/>
              </w:rPr>
              <w:t>k</w:t>
            </w:r>
            <w:r w:rsidRPr="00EF7F33">
              <w:rPr>
                <w:rStyle w:val="InstructionsTabelleText"/>
                <w:rFonts w:ascii="Times New Roman" w:hAnsi="Times New Roman"/>
                <w:sz w:val="24"/>
              </w:rPr>
              <w:t>ljučuju učinak diversifikacije.</w:t>
            </w:r>
          </w:p>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Fiksni opći troškovi uključeni su u ovaj stupac..</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290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OSTALI IZNOSI IZLOŽENOSTI RIZIKU</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Iznos koji je potrebno iskazati u ovom stupcu odgovara iznosu izloženosti riziku koji nije prethodno posebno naveden.</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300-400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DOPRINOS REGULATORNOM KAPITALU</w:t>
            </w:r>
          </w:p>
          <w:p w:rsidR="00464F34" w:rsidRPr="00EF7F33" w:rsidRDefault="00464F34" w:rsidP="00464F34">
            <w:pPr>
              <w:pStyle w:val="Texte2"/>
              <w:ind w:left="0"/>
              <w:rPr>
                <w:rStyle w:val="InstructionsTabelleText"/>
                <w:rFonts w:ascii="Times New Roman" w:hAnsi="Times New Roman"/>
                <w:sz w:val="24"/>
                <w:szCs w:val="24"/>
              </w:rPr>
            </w:pPr>
            <w:r w:rsidRPr="00EF7F33">
              <w:rPr>
                <w:rStyle w:val="InstructionsTabelleText"/>
                <w:rFonts w:ascii="Times New Roman" w:hAnsi="Times New Roman"/>
                <w:sz w:val="24"/>
              </w:rPr>
              <w:t xml:space="preserve">Ovim se dijelom obrasca ne namjerava odrediti institucijama provedba punog izračuna ukupne stope kapitala na razini svakog subjekta. </w:t>
            </w:r>
          </w:p>
          <w:p w:rsidR="00144F03" w:rsidRPr="00EF7F33" w:rsidRDefault="00144F03" w:rsidP="00144F03">
            <w:pPr>
              <w:pStyle w:val="Texte2"/>
              <w:ind w:left="0"/>
              <w:rPr>
                <w:rStyle w:val="InstructionsTabelleText"/>
                <w:rFonts w:ascii="Times New Roman" w:hAnsi="Times New Roman"/>
                <w:sz w:val="24"/>
                <w:szCs w:val="24"/>
              </w:rPr>
            </w:pPr>
            <w:r w:rsidRPr="00EF7F33">
              <w:rPr>
                <w:rFonts w:ascii="Times New Roman" w:hAnsi="Times New Roman"/>
                <w:sz w:val="24"/>
              </w:rPr>
              <w:t>Stupci od 300 do 350 iskazuju se za konsolidirane subjekte koji regulatornom kapitalu doprinose manjinskim udjelima, kvalificiranim osnovnim kapitalom i /ili kvalificiranim regulatornim kapitalom.</w:t>
            </w:r>
            <w:r w:rsidRPr="00EF7F33">
              <w:t xml:space="preserve"> </w:t>
            </w:r>
            <w:r w:rsidRPr="00EF7F33">
              <w:rPr>
                <w:rFonts w:ascii="Times New Roman" w:hAnsi="Times New Roman"/>
                <w:sz w:val="24"/>
              </w:rPr>
              <w:t>Podložno primjeni praga definiranog u zadnjoj točki dijela II. prethodno navedenog poglavlja 2.3, stupci od 360 do 400 iskazuju se za sve konsolid</w:t>
            </w:r>
            <w:r w:rsidRPr="00EF7F33">
              <w:rPr>
                <w:rFonts w:ascii="Times New Roman" w:hAnsi="Times New Roman"/>
                <w:sz w:val="24"/>
              </w:rPr>
              <w:t>i</w:t>
            </w:r>
            <w:r w:rsidRPr="00EF7F33">
              <w:rPr>
                <w:rFonts w:ascii="Times New Roman" w:hAnsi="Times New Roman"/>
                <w:sz w:val="24"/>
              </w:rPr>
              <w:t>rane subjekte koji doprinose konsolidiranom regulatornom kapitalu.</w:t>
            </w:r>
          </w:p>
          <w:p w:rsidR="00464F34" w:rsidRPr="00EF7F33" w:rsidRDefault="00464F34" w:rsidP="00464F34">
            <w:pPr>
              <w:pStyle w:val="Texte2"/>
              <w:ind w:left="0"/>
              <w:rPr>
                <w:rStyle w:val="InstructionsTabelleText"/>
                <w:rFonts w:ascii="Times New Roman" w:hAnsi="Times New Roman"/>
                <w:sz w:val="24"/>
                <w:szCs w:val="24"/>
              </w:rPr>
            </w:pPr>
            <w:r w:rsidRPr="00EF7F33">
              <w:rPr>
                <w:rStyle w:val="InstructionsTabelleText"/>
                <w:rFonts w:ascii="Times New Roman" w:hAnsi="Times New Roman"/>
                <w:sz w:val="24"/>
              </w:rPr>
              <w:t>Regulatorni kapital koji su u neki subjekt unijeli preostali subjekti uključeni u opseg subjekta koji izvješćuje ne uzima se u obzir; samo se neto doprinos regulatornom kap</w:t>
            </w:r>
            <w:r w:rsidRPr="00EF7F33">
              <w:rPr>
                <w:rStyle w:val="InstructionsTabelleText"/>
                <w:rFonts w:ascii="Times New Roman" w:hAnsi="Times New Roman"/>
                <w:sz w:val="24"/>
              </w:rPr>
              <w:t>i</w:t>
            </w:r>
            <w:r w:rsidRPr="00EF7F33">
              <w:rPr>
                <w:rStyle w:val="InstructionsTabelleText"/>
                <w:rFonts w:ascii="Times New Roman" w:hAnsi="Times New Roman"/>
                <w:sz w:val="24"/>
              </w:rPr>
              <w:t xml:space="preserve">talu grupe iskazuje u ovom stupcu, tj. uglavnom regulatorni kapital prikupljen od trećih strana i akumulirane rezerve. </w:t>
            </w:r>
          </w:p>
          <w:p w:rsidR="00464F34" w:rsidRPr="00EF7F33" w:rsidRDefault="00464F34" w:rsidP="003C1BB1">
            <w:pPr>
              <w:pStyle w:val="Texte2"/>
              <w:spacing w:after="120"/>
              <w:ind w:left="0"/>
              <w:rPr>
                <w:rStyle w:val="InstructionsTabelleberschrift"/>
                <w:rFonts w:ascii="Times New Roman" w:hAnsi="Times New Roman"/>
                <w:b w:val="0"/>
                <w:bCs w:val="0"/>
                <w:sz w:val="24"/>
                <w:szCs w:val="24"/>
              </w:rPr>
            </w:pPr>
            <w:r w:rsidRPr="00EF7F33">
              <w:rPr>
                <w:rStyle w:val="InstructionsTabelleText"/>
                <w:rFonts w:ascii="Times New Roman" w:hAnsi="Times New Roman"/>
                <w:sz w:val="24"/>
              </w:rPr>
              <w:t>Informacije iskazane u sljedećim stupcima u skladu su s pravilima koja se odnose na solventnost i koja se primjenjuju na instituciju koja izvješćuje.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300-350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KVALIFICIRANI REGULATORNI KAPITAL UKLJUČEN U KONSOLID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RANI REGULATORNI KAPITAL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 xml:space="preserve">Iznos koji je potrebno iskazati kao „KVALIFICIRANI REGULATORNI KAPITAL UKLJUČEN U KONSOLIDIRANI REGULATORNI KAPITAL” iznos je izveden iz </w:t>
            </w:r>
            <w:r w:rsidRPr="00EF7F33">
              <w:rPr>
                <w:rStyle w:val="InstructionsTabelleText"/>
                <w:rFonts w:ascii="Times New Roman" w:hAnsi="Times New Roman"/>
                <w:sz w:val="24"/>
              </w:rPr>
              <w:lastRenderedPageBreak/>
              <w:t>dijela drugog glave II. CRR-a, isključujući sva sredstva koja su unijeli ostali subjekti unutar grupe.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lastRenderedPageBreak/>
              <w:t>300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KVALIFICIRANI REGULATORNI KAPITAL UKLJUČEN U KONSOLID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RANI REGULATORNI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87.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310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INSTRUMENTI KVALIFICIRANOG OSNOVNOG KAPITALA UKLJUČENI U KONSOLIDIRANI OSNOVNI KAPITAL</w:t>
            </w:r>
          </w:p>
          <w:p w:rsidR="00464F34" w:rsidRPr="00EF7F33" w:rsidRDefault="00464F34" w:rsidP="00871877">
            <w:pPr>
              <w:rPr>
                <w:rStyle w:val="InstructionsTabelleText"/>
                <w:rFonts w:ascii="Times New Roman" w:hAnsi="Times New Roman"/>
                <w:sz w:val="24"/>
              </w:rPr>
            </w:pPr>
            <w:r w:rsidRPr="00EF7F33">
              <w:rPr>
                <w:rStyle w:val="InstructionsTabelleText"/>
                <w:rFonts w:ascii="Times New Roman" w:hAnsi="Times New Roman"/>
                <w:sz w:val="24"/>
              </w:rPr>
              <w:t>Članak 85. CRR-a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320</w:t>
            </w:r>
          </w:p>
        </w:tc>
        <w:tc>
          <w:tcPr>
            <w:tcW w:w="8640" w:type="dxa"/>
          </w:tcPr>
          <w:p w:rsidR="00464F34" w:rsidRPr="00EF7F33" w:rsidRDefault="00464F34" w:rsidP="00464F34">
            <w:pPr>
              <w:rPr>
                <w:rStyle w:val="InstructionsTabelleText"/>
                <w:rFonts w:ascii="Times New Roman" w:hAnsi="Times New Roman"/>
                <w:sz w:val="24"/>
              </w:rPr>
            </w:pPr>
            <w:r w:rsidRPr="00EF7F33">
              <w:rPr>
                <w:rStyle w:val="InstructionsTabelleberschrift"/>
                <w:rFonts w:ascii="Times New Roman" w:hAnsi="Times New Roman"/>
                <w:sz w:val="24"/>
              </w:rPr>
              <w:t xml:space="preserve">MANJINSKI UDJELI UKLJUČENI U KONSOLIDIRANI </w:t>
            </w:r>
            <w:r w:rsidRPr="00EF7F33">
              <w:rPr>
                <w:rStyle w:val="InstructionsTabelleberschrift"/>
                <w:rFonts w:ascii="Times New Roman" w:hAnsi="Times New Roman"/>
                <w:sz w:val="24"/>
              </w:rPr>
              <w:br/>
              <w:t>REDOVNI OSNOVNI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84. CRR-a</w:t>
            </w:r>
          </w:p>
          <w:p w:rsidR="00464F34" w:rsidRPr="00EF7F33" w:rsidRDefault="00464F34" w:rsidP="00255BA9">
            <w:pPr>
              <w:rPr>
                <w:rStyle w:val="InstructionsTabelleText"/>
                <w:rFonts w:ascii="Times New Roman" w:hAnsi="Times New Roman"/>
                <w:sz w:val="24"/>
              </w:rPr>
            </w:pPr>
            <w:r w:rsidRPr="00EF7F33">
              <w:rPr>
                <w:rStyle w:val="InstructionsTabelleText"/>
                <w:rFonts w:ascii="Times New Roman" w:hAnsi="Times New Roman"/>
                <w:sz w:val="24"/>
              </w:rPr>
              <w:t xml:space="preserve">Iznos koji je potrebno iskazati iznos je manjinskih udjela društva kćeri koji je uključen u konsolidirani redovni osnovni kapital u skladu s CRR-om.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330</w:t>
            </w:r>
          </w:p>
        </w:tc>
        <w:tc>
          <w:tcPr>
            <w:tcW w:w="8640" w:type="dxa"/>
          </w:tcPr>
          <w:p w:rsidR="00464F34" w:rsidRPr="00EF7F33" w:rsidRDefault="00464F34" w:rsidP="00464F34">
            <w:pPr>
              <w:rPr>
                <w:rStyle w:val="InstructionsTabelleText"/>
                <w:rFonts w:ascii="Times New Roman" w:hAnsi="Times New Roman"/>
                <w:sz w:val="24"/>
              </w:rPr>
            </w:pPr>
            <w:r w:rsidRPr="00EF7F33">
              <w:rPr>
                <w:rStyle w:val="InstructionsTabelleberschrift"/>
                <w:rFonts w:ascii="Times New Roman" w:hAnsi="Times New Roman"/>
                <w:sz w:val="24"/>
              </w:rPr>
              <w:t>INSTRUMENTI KVALIFICIRANOG OSNOVNOG KAPITALA UKLJUČENI U KONSOLIDIRANI DODATNI OSNOVNI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86. CRR-a</w:t>
            </w:r>
          </w:p>
          <w:p w:rsidR="00464F34" w:rsidRPr="00EF7F33" w:rsidRDefault="00464F34" w:rsidP="00255BA9">
            <w:pPr>
              <w:rPr>
                <w:rStyle w:val="InstructionsTabelleText"/>
                <w:rFonts w:ascii="Times New Roman" w:hAnsi="Times New Roman"/>
                <w:sz w:val="24"/>
              </w:rPr>
            </w:pPr>
            <w:r w:rsidRPr="00EF7F33">
              <w:rPr>
                <w:rStyle w:val="InstructionsTabelleText"/>
                <w:rFonts w:ascii="Times New Roman" w:hAnsi="Times New Roman"/>
                <w:sz w:val="24"/>
              </w:rPr>
              <w:t xml:space="preserve">Iznos koji je potrebno iskazati iznos je kvalificiranog osnovnog kapitala društva kćeri koji je uključen u konsolidirani dodatni osnovni kapital u skladu s CRR-om. </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Fonts w:ascii="Times New Roman" w:hAnsi="Times New Roman"/>
                <w:sz w:val="24"/>
              </w:rPr>
              <w:t>340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INSTRUMENTI KVALIFICIRANOG REGULATORNOG KAPITALA U</w:t>
            </w:r>
            <w:r w:rsidRPr="00EF7F33">
              <w:rPr>
                <w:rStyle w:val="InstructionsTabelleberschrift"/>
                <w:rFonts w:ascii="Times New Roman" w:hAnsi="Times New Roman"/>
                <w:sz w:val="24"/>
              </w:rPr>
              <w:t>K</w:t>
            </w:r>
            <w:r w:rsidRPr="00EF7F33">
              <w:rPr>
                <w:rStyle w:val="InstructionsTabelleberschrift"/>
                <w:rFonts w:ascii="Times New Roman" w:hAnsi="Times New Roman"/>
                <w:sz w:val="24"/>
              </w:rPr>
              <w:t>LJUČENI U KONSOLIDIRANI DOPUNSKI KAPITAL</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88. CRR-a</w:t>
            </w:r>
          </w:p>
          <w:p w:rsidR="00464F34" w:rsidRPr="00EF7F33" w:rsidRDefault="00464F34" w:rsidP="00255BA9">
            <w:pPr>
              <w:rPr>
                <w:rStyle w:val="InstructionsTabelleText"/>
                <w:rFonts w:ascii="Times New Roman" w:hAnsi="Times New Roman"/>
                <w:sz w:val="24"/>
              </w:rPr>
            </w:pPr>
            <w:r w:rsidRPr="00EF7F33">
              <w:rPr>
                <w:rStyle w:val="InstructionsTabelleText"/>
                <w:rFonts w:ascii="Times New Roman" w:hAnsi="Times New Roman"/>
                <w:sz w:val="24"/>
              </w:rPr>
              <w:t xml:space="preserve">Iznos koji je potrebno iskazati iznos je kvalificiranog regulatornog kapitala društva kćeri koji je uključen u konsolidirani dopunski kapital u skladu s CRR-om. </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t>350</w:t>
            </w:r>
          </w:p>
        </w:tc>
        <w:tc>
          <w:tcPr>
            <w:tcW w:w="8640" w:type="dxa"/>
          </w:tcPr>
          <w:p w:rsidR="00464F34" w:rsidRPr="00EF7F33" w:rsidRDefault="00464F34" w:rsidP="00464F34">
            <w:pPr>
              <w:rPr>
                <w:rStyle w:val="InstructionsTabelleberschrift"/>
                <w:rFonts w:ascii="Times New Roman" w:hAnsi="Times New Roman"/>
                <w:b w:val="0"/>
                <w:sz w:val="24"/>
              </w:rPr>
            </w:pPr>
            <w:r w:rsidRPr="00EF7F33">
              <w:rPr>
                <w:rStyle w:val="InstructionsTabelleberschrift"/>
                <w:rFonts w:ascii="Times New Roman" w:hAnsi="Times New Roman"/>
                <w:sz w:val="24"/>
              </w:rPr>
              <w:t>BILJEŠKA: GOODWILL (–) / (+) NEGATIVAN GOODWILL</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t>360-400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KONSOLIDIRANI REGULATORNI KAPITAL</w:t>
            </w:r>
          </w:p>
          <w:p w:rsidR="00144F03" w:rsidRPr="00EF7F33" w:rsidRDefault="00144F03" w:rsidP="00464F34">
            <w:pPr>
              <w:rPr>
                <w:rStyle w:val="InstructionsTabelleText"/>
                <w:rFonts w:ascii="Times New Roman" w:hAnsi="Times New Roman"/>
                <w:sz w:val="24"/>
              </w:rPr>
            </w:pPr>
            <w:r w:rsidRPr="00EF7F33">
              <w:rPr>
                <w:rStyle w:val="InstructionsTabelleText"/>
                <w:rFonts w:ascii="Times New Roman" w:hAnsi="Times New Roman"/>
                <w:sz w:val="24"/>
              </w:rPr>
              <w:t>Članak 18. CRR-a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Iznos koji je potrebno iskazati kao „KONSOLIDIRANI REGULATORNI KAPITAL” iznos je izveden iz bilance, isključujući sva sredstva koja su unijeli ostali subjekti un</w:t>
            </w:r>
            <w:r w:rsidRPr="00EF7F33">
              <w:rPr>
                <w:rStyle w:val="InstructionsTabelleText"/>
                <w:rFonts w:ascii="Times New Roman" w:hAnsi="Times New Roman"/>
                <w:sz w:val="24"/>
              </w:rPr>
              <w:t>u</w:t>
            </w:r>
            <w:r w:rsidRPr="00EF7F33">
              <w:rPr>
                <w:rStyle w:val="InstructionsTabelleText"/>
                <w:rFonts w:ascii="Times New Roman" w:hAnsi="Times New Roman"/>
                <w:sz w:val="24"/>
              </w:rPr>
              <w:t>tar grupe.</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t>360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KONSOLIDIRANI REGULATORNI KAPITAL</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t>370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REDOVNI OSNOVNI KAPITAL</w:t>
            </w:r>
          </w:p>
        </w:tc>
      </w:tr>
      <w:tr w:rsidR="00464F34" w:rsidRPr="00EF7F33" w:rsidTr="00672D2A">
        <w:tc>
          <w:tcPr>
            <w:tcW w:w="1188" w:type="dxa"/>
          </w:tcPr>
          <w:p w:rsidR="00464F34" w:rsidRPr="00EF7F33" w:rsidDel="0081176B" w:rsidRDefault="00464F34" w:rsidP="00464F34">
            <w:pPr>
              <w:rPr>
                <w:rFonts w:ascii="Times New Roman" w:hAnsi="Times New Roman"/>
                <w:sz w:val="24"/>
              </w:rPr>
            </w:pPr>
            <w:r w:rsidRPr="00EF7F33">
              <w:rPr>
                <w:rFonts w:ascii="Times New Roman" w:hAnsi="Times New Roman"/>
                <w:sz w:val="24"/>
              </w:rPr>
              <w:t>380</w:t>
            </w:r>
          </w:p>
        </w:tc>
        <w:tc>
          <w:tcPr>
            <w:tcW w:w="8640" w:type="dxa"/>
          </w:tcPr>
          <w:p w:rsidR="00464F34" w:rsidRPr="00EF7F33" w:rsidDel="0081176B"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DODATNI OSNOVNI KAPITAL</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t>390</w:t>
            </w:r>
          </w:p>
        </w:tc>
        <w:tc>
          <w:tcPr>
            <w:tcW w:w="8640" w:type="dxa"/>
          </w:tcPr>
          <w:p w:rsidR="00464F34" w:rsidRPr="00EF7F33" w:rsidRDefault="00464F34" w:rsidP="00464F34">
            <w:pPr>
              <w:rPr>
                <w:rStyle w:val="InstructionsTabelleText"/>
                <w:rFonts w:ascii="Times New Roman" w:hAnsi="Times New Roman"/>
                <w:sz w:val="24"/>
              </w:rPr>
            </w:pPr>
            <w:r w:rsidRPr="00EF7F33">
              <w:rPr>
                <w:rStyle w:val="InstructionsTabelleberschrift"/>
                <w:rFonts w:ascii="Times New Roman" w:hAnsi="Times New Roman"/>
                <w:sz w:val="24"/>
              </w:rPr>
              <w:t>OD ČEGA: DOPRINOSI KONSOLIDIRANOM REZULTATU</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Iskazuje se doprinos svakog subjekta konsolidiranom rezultatu (dobit ili gubitak (–)). To uključuje rezultate koji se mogu pripisati manjinskim udjelima.</w:t>
            </w:r>
          </w:p>
        </w:tc>
      </w:tr>
      <w:tr w:rsidR="00464F34" w:rsidRPr="00EF7F33" w:rsidTr="00672D2A">
        <w:tc>
          <w:tcPr>
            <w:tcW w:w="1188" w:type="dxa"/>
          </w:tcPr>
          <w:p w:rsidR="00464F34" w:rsidRPr="00EF7F33" w:rsidRDefault="00464F34" w:rsidP="00464F34">
            <w:pPr>
              <w:rPr>
                <w:rFonts w:ascii="Times New Roman" w:hAnsi="Times New Roman"/>
                <w:sz w:val="24"/>
              </w:rPr>
            </w:pPr>
            <w:r w:rsidRPr="00EF7F33">
              <w:rPr>
                <w:rFonts w:ascii="Times New Roman" w:hAnsi="Times New Roman"/>
                <w:sz w:val="24"/>
              </w:rPr>
              <w:lastRenderedPageBreak/>
              <w:t>400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OD ČEGA: (–) GOODWILL/(+) NEGATIVAN GOODWILL</w:t>
            </w:r>
          </w:p>
          <w:p w:rsidR="00464F34" w:rsidRPr="00EF7F33" w:rsidRDefault="00464F34" w:rsidP="00464F34">
            <w:pPr>
              <w:rPr>
                <w:rStyle w:val="InstructionsTabelleberschrift"/>
                <w:rFonts w:ascii="Times New Roman" w:hAnsi="Times New Roman"/>
                <w:sz w:val="24"/>
              </w:rPr>
            </w:pPr>
            <w:r w:rsidRPr="00EF7F33">
              <w:rPr>
                <w:rStyle w:val="InstructionsTabelleText"/>
                <w:rFonts w:ascii="Times New Roman" w:hAnsi="Times New Roman"/>
                <w:sz w:val="24"/>
              </w:rPr>
              <w:t>Ovdje se iskazuje goodwill ili negativan goodwill subjekta koji izvješćuje o društvu kćeri.</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410-480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ZAŠTITNI SLOJEVI KAPITALA</w:t>
            </w:r>
          </w:p>
          <w:p w:rsidR="00464F34" w:rsidRPr="00EF7F33" w:rsidRDefault="00464F34" w:rsidP="00096566">
            <w:pPr>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Struktura izvješćivanja o zaštitnim slojevima kapitala za obrazac GS slijedi opću stru</w:t>
            </w:r>
            <w:r w:rsidRPr="00EF7F33">
              <w:rPr>
                <w:rStyle w:val="InstructionsTabelleberschrift"/>
                <w:rFonts w:ascii="Times New Roman" w:hAnsi="Times New Roman"/>
                <w:b w:val="0"/>
                <w:sz w:val="24"/>
                <w:u w:val="none"/>
              </w:rPr>
              <w:t>k</w:t>
            </w:r>
            <w:r w:rsidRPr="00EF7F33">
              <w:rPr>
                <w:rStyle w:val="InstructionsTabelleberschrift"/>
                <w:rFonts w:ascii="Times New Roman" w:hAnsi="Times New Roman"/>
                <w:b w:val="0"/>
                <w:sz w:val="24"/>
                <w:u w:val="none"/>
              </w:rPr>
              <w:t>turu obrasca CA4, primjenom jednakih koncepata izvješćivanja. Pri iskazivanju zašti</w:t>
            </w:r>
            <w:r w:rsidRPr="00EF7F33">
              <w:rPr>
                <w:rStyle w:val="InstructionsTabelleberschrift"/>
                <w:rFonts w:ascii="Times New Roman" w:hAnsi="Times New Roman"/>
                <w:b w:val="0"/>
                <w:sz w:val="24"/>
                <w:u w:val="none"/>
              </w:rPr>
              <w:t>t</w:t>
            </w:r>
            <w:r w:rsidRPr="00EF7F33">
              <w:rPr>
                <w:rStyle w:val="InstructionsTabelleberschrift"/>
                <w:rFonts w:ascii="Times New Roman" w:hAnsi="Times New Roman"/>
                <w:b w:val="0"/>
                <w:sz w:val="24"/>
                <w:u w:val="none"/>
              </w:rPr>
              <w:t>nih slojeva kapitala za obrazac GS, iskazuju se relevantni iznosi u skladu s odredbama koje se primjenjuju na utvrđivanje zahtjeva za zaštitni sloj za konsolidiranu situaciju grupe. Stoga iskazani iznosi zaštitnih slojeva kapitala predstavljaju doprinose svakog subjekta zaštitnim slojevima grupe. Iskazani iznosi temelje se na nacionalnim mjerama za prenošenje odredbi CRD-a i CRR-a, uključujući sve prijelazne odredbe koje su u njima utvrđene.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410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ZAHTJEVI ZA KOMBINIRANI ZAŠTITNI SLOJ</w:t>
            </w:r>
          </w:p>
          <w:p w:rsidR="00464F34" w:rsidRPr="00EF7F33" w:rsidRDefault="00464F34" w:rsidP="00941843">
            <w:pPr>
              <w:tabs>
                <w:tab w:val="left" w:pos="3510"/>
              </w:tabs>
              <w:rPr>
                <w:rStyle w:val="InstructionsTabelleberschrift"/>
                <w:rFonts w:ascii="Times New Roman" w:hAnsi="Times New Roman"/>
                <w:sz w:val="24"/>
              </w:rPr>
            </w:pPr>
            <w:r w:rsidRPr="00EF7F33">
              <w:rPr>
                <w:rStyle w:val="InstructionsTabelleText"/>
                <w:rFonts w:ascii="Times New Roman" w:hAnsi="Times New Roman"/>
                <w:sz w:val="24"/>
              </w:rPr>
              <w:t>Članak 128. točka 6. CRD-a.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420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ZAŠTITNI SLOJ ZA OČUVANJE KAPITALA</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128. točka 1. i članak 129. CRD-a</w:t>
            </w:r>
          </w:p>
          <w:p w:rsidR="00464F34" w:rsidRPr="00EF7F33" w:rsidRDefault="00464F34" w:rsidP="00FD239F">
            <w:pPr>
              <w:pStyle w:val="InstructionsText"/>
              <w:rPr>
                <w:rStyle w:val="InstructionsTabelleText"/>
                <w:rFonts w:ascii="Times New Roman" w:hAnsi="Times New Roman"/>
                <w:sz w:val="24"/>
              </w:rPr>
            </w:pPr>
            <w:r w:rsidRPr="00EF7F33">
              <w:t>U skladu s člankom 129. stavkom 1. zaštitni sloj za očuvanje kapitala nastavlja se na redovni osnovni kapital. Budući da je stopa zaštitnog sloja za očuvanje kapitala od 2,5 % stabilna, iznos se iskazuje u ovoj rubrici.</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430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PROTUCIKLIČKI ZAŠTITNI SLOJ KAPITALA SPECIFIČAN ZA INSTIT</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CIJU</w:t>
            </w:r>
          </w:p>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Članak 128. točka 2., članak 130. i članci od 135. do 140. CRD-a</w:t>
            </w:r>
          </w:p>
          <w:p w:rsidR="00464F34" w:rsidRPr="00EF7F33" w:rsidRDefault="00464F34" w:rsidP="00FD239F">
            <w:pPr>
              <w:pStyle w:val="InstructionsText"/>
              <w:rPr>
                <w:rStyle w:val="InstructionsTabelleText"/>
                <w:rFonts w:ascii="Times New Roman" w:hAnsi="Times New Roman"/>
                <w:sz w:val="24"/>
              </w:rPr>
            </w:pPr>
            <w:r w:rsidRPr="00EF7F33">
              <w:t>U ovoj se rubrici iskazuje konkretan iznos protucikličkog zaštitnog sloja.</w:t>
            </w:r>
          </w:p>
        </w:tc>
      </w:tr>
      <w:tr w:rsidR="00464F34" w:rsidRPr="00EF7F33" w:rsidTr="00672D2A">
        <w:tc>
          <w:tcPr>
            <w:tcW w:w="1188" w:type="dxa"/>
          </w:tcPr>
          <w:p w:rsidR="00464F34" w:rsidRPr="00EF7F33" w:rsidDel="00D70027"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440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ZAŠTITNI SLOJ ZA OČUVANJE KAPITALA ZBOG MAKROBONITETNOG ILI SISTEMSKOG RIZIKA UTVRĐENOG NA RAZINI DRŽAVE ČLANICE</w:t>
            </w:r>
          </w:p>
          <w:p w:rsidR="00464F34" w:rsidRPr="00EF7F33" w:rsidRDefault="00464F34" w:rsidP="00464F34">
            <w:pPr>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458. stavak 2. točka (d) podtočka iv. CRR-a</w:t>
            </w:r>
          </w:p>
          <w:p w:rsidR="00464F34" w:rsidRPr="00EF7F33" w:rsidRDefault="00464F34" w:rsidP="00FD239F">
            <w:pPr>
              <w:pStyle w:val="InstructionsText"/>
              <w:rPr>
                <w:rStyle w:val="InstructionsTabelleberschrift"/>
                <w:rFonts w:ascii="Times New Roman" w:hAnsi="Times New Roman"/>
                <w:sz w:val="24"/>
              </w:rPr>
            </w:pPr>
            <w:r w:rsidRPr="00EF7F33">
              <w:t>U ovoj se rubrici iskazuje iznos zaštitnog sloja za očuvanje kapitala zbog makrobonit</w:t>
            </w:r>
            <w:r w:rsidRPr="00EF7F33">
              <w:t>e</w:t>
            </w:r>
            <w:r w:rsidRPr="00EF7F33">
              <w:t>tnog ili sistemskog rizika utvrđenog na razini države članice koji se može zatražiti u skladu s člankom 458. CRR-a uz zaštitni sloj za očuvanje kapitala.</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450</w:t>
            </w:r>
          </w:p>
        </w:tc>
        <w:tc>
          <w:tcPr>
            <w:tcW w:w="8640" w:type="dxa"/>
          </w:tcPr>
          <w:p w:rsidR="00464F34" w:rsidRPr="00EF7F33" w:rsidRDefault="00464F34" w:rsidP="00464F34">
            <w:pPr>
              <w:rPr>
                <w:rStyle w:val="InstructionsTabelleberschrift"/>
                <w:rFonts w:ascii="Times New Roman" w:hAnsi="Times New Roman"/>
                <w:sz w:val="24"/>
              </w:rPr>
            </w:pPr>
            <w:r w:rsidRPr="00EF7F33">
              <w:rPr>
                <w:rStyle w:val="InstructionsTabelleberschrift"/>
                <w:rFonts w:ascii="Times New Roman" w:hAnsi="Times New Roman"/>
                <w:sz w:val="24"/>
              </w:rPr>
              <w:t>ZAŠTITNI SLOJ ZA SISTEMSKI RIZIK</w:t>
            </w:r>
          </w:p>
          <w:p w:rsidR="00464F34" w:rsidRPr="00EF7F33" w:rsidRDefault="00464F34" w:rsidP="00FD239F">
            <w:pPr>
              <w:pStyle w:val="InstructionsText"/>
            </w:pPr>
            <w:r w:rsidRPr="00EF7F33">
              <w:t xml:space="preserve">Članak 128. točka 5., članak 133. i članak 134. CRD-a </w:t>
            </w:r>
          </w:p>
          <w:p w:rsidR="00464F34" w:rsidRPr="00EF7F33" w:rsidRDefault="00464F34" w:rsidP="00464F34">
            <w:pPr>
              <w:rPr>
                <w:rStyle w:val="InstructionsTabelleberschrift"/>
                <w:rFonts w:ascii="Times New Roman" w:hAnsi="Times New Roman"/>
                <w:sz w:val="24"/>
              </w:rPr>
            </w:pPr>
            <w:r w:rsidRPr="00EF7F33">
              <w:rPr>
                <w:rFonts w:ascii="Times New Roman" w:hAnsi="Times New Roman"/>
                <w:sz w:val="24"/>
              </w:rPr>
              <w:t>U ovoj se rubrici iskazuje konkretan iznos zaštitnog sloja za sistemski rizik.</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470</w:t>
            </w:r>
          </w:p>
        </w:tc>
        <w:tc>
          <w:tcPr>
            <w:tcW w:w="8640" w:type="dxa"/>
          </w:tcPr>
          <w:p w:rsidR="00464F34" w:rsidRPr="00EF7F33" w:rsidRDefault="00464F34" w:rsidP="00464F34">
            <w:pPr>
              <w:tabs>
                <w:tab w:val="left" w:pos="6660"/>
              </w:tabs>
              <w:rPr>
                <w:rStyle w:val="InstructionsTabelleberschrift"/>
                <w:rFonts w:ascii="Times New Roman" w:hAnsi="Times New Roman"/>
                <w:sz w:val="24"/>
              </w:rPr>
            </w:pPr>
            <w:r w:rsidRPr="00EF7F33">
              <w:rPr>
                <w:rStyle w:val="InstructionsTabelleberschrift"/>
                <w:rFonts w:ascii="Times New Roman" w:hAnsi="Times New Roman"/>
                <w:sz w:val="24"/>
              </w:rPr>
              <w:t>ZAŠTITNI SLOJ ZA GLOBALNE SISTEMSKI VAŽNE INSTITUCIJE</w:t>
            </w:r>
            <w:r w:rsidRPr="00EF7F33">
              <w:tab/>
            </w:r>
          </w:p>
          <w:p w:rsidR="00464F34" w:rsidRPr="00EF7F33" w:rsidRDefault="00464F34" w:rsidP="00FD239F">
            <w:pPr>
              <w:pStyle w:val="InstructionsTex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Članak 128. točka 3. i članak 131. CRD-a</w:t>
            </w:r>
          </w:p>
          <w:p w:rsidR="00483FC9" w:rsidRPr="00EF7F33" w:rsidRDefault="00464F34" w:rsidP="00FD239F">
            <w:pPr>
              <w:pStyle w:val="InstructionsText"/>
              <w:rPr>
                <w:rStyle w:val="InstructionsTabelleberschrift"/>
                <w:rFonts w:ascii="Times New Roman" w:hAnsi="Times New Roman"/>
                <w:sz w:val="24"/>
              </w:rPr>
            </w:pPr>
            <w:r w:rsidRPr="00EF7F33">
              <w:t>U ovoj se rubrici iskazuje iznos zaštitnog sloja za globalne sistemski važne institucije.</w:t>
            </w:r>
          </w:p>
        </w:tc>
      </w:tr>
      <w:tr w:rsidR="00464F34" w:rsidRPr="00EF7F33" w:rsidTr="00672D2A">
        <w:tc>
          <w:tcPr>
            <w:tcW w:w="1188" w:type="dxa"/>
          </w:tcPr>
          <w:p w:rsidR="00464F34" w:rsidRPr="00EF7F33" w:rsidRDefault="00464F34" w:rsidP="00464F34">
            <w:pPr>
              <w:rPr>
                <w:rStyle w:val="InstructionsTabelleText"/>
                <w:rFonts w:ascii="Times New Roman" w:hAnsi="Times New Roman"/>
                <w:sz w:val="24"/>
              </w:rPr>
            </w:pPr>
            <w:r w:rsidRPr="00EF7F33">
              <w:rPr>
                <w:rStyle w:val="InstructionsTabelleText"/>
                <w:rFonts w:ascii="Times New Roman" w:hAnsi="Times New Roman"/>
                <w:sz w:val="24"/>
              </w:rPr>
              <w:t>480</w:t>
            </w:r>
          </w:p>
        </w:tc>
        <w:tc>
          <w:tcPr>
            <w:tcW w:w="8640" w:type="dxa"/>
          </w:tcPr>
          <w:p w:rsidR="00464F34" w:rsidRPr="00EF7F33" w:rsidRDefault="00464F34" w:rsidP="00464F34">
            <w:pPr>
              <w:tabs>
                <w:tab w:val="left" w:pos="6315"/>
              </w:tabs>
              <w:rPr>
                <w:rStyle w:val="InstructionsTabelleberschrift"/>
                <w:rFonts w:ascii="Times New Roman" w:hAnsi="Times New Roman"/>
                <w:sz w:val="24"/>
              </w:rPr>
            </w:pPr>
            <w:r w:rsidRPr="00EF7F33">
              <w:rPr>
                <w:rStyle w:val="InstructionsTabelleberschrift"/>
                <w:rFonts w:ascii="Times New Roman" w:hAnsi="Times New Roman"/>
                <w:sz w:val="24"/>
              </w:rPr>
              <w:t>ZAŠTITNI SLOJ ZA OSTALE SISTEMSKI VAŽNE INSTITUCIJE</w:t>
            </w:r>
            <w:r w:rsidRPr="00EF7F33">
              <w:tab/>
            </w:r>
          </w:p>
          <w:p w:rsidR="00464F34" w:rsidRPr="00EF7F33" w:rsidRDefault="00464F34" w:rsidP="00FD239F">
            <w:pPr>
              <w:pStyle w:val="InstructionsText"/>
            </w:pPr>
            <w:r w:rsidRPr="00EF7F33">
              <w:lastRenderedPageBreak/>
              <w:t>Članak 128. točka 4. i članak 131. CRD-a</w:t>
            </w:r>
          </w:p>
          <w:p w:rsidR="00464F34" w:rsidRPr="00EF7F33" w:rsidRDefault="00464F34" w:rsidP="00FD239F">
            <w:pPr>
              <w:pStyle w:val="InstructionsText"/>
              <w:rPr>
                <w:rStyle w:val="InstructionsTabelleberschrift"/>
                <w:rFonts w:ascii="Times New Roman" w:hAnsi="Times New Roman"/>
                <w:sz w:val="24"/>
              </w:rPr>
            </w:pPr>
            <w:r w:rsidRPr="00EF7F33">
              <w:t>U ovoj se rubrici iskazuje iznos zaštitnog sloja za ostale sistemski važne institucije.</w:t>
            </w:r>
          </w:p>
        </w:tc>
      </w:tr>
    </w:tbl>
    <w:p w:rsidR="00FC1030" w:rsidRPr="00EF7F33" w:rsidRDefault="00FC1030" w:rsidP="00FD239F">
      <w:pPr>
        <w:pStyle w:val="InstructionsText"/>
      </w:pPr>
    </w:p>
    <w:p w:rsidR="00464F34" w:rsidRPr="00EF7F33"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516210628"/>
      <w:bookmarkStart w:id="147" w:name="_Toc473560893"/>
      <w:bookmarkStart w:id="148" w:name="_Toc523998120"/>
      <w:r w:rsidRPr="00EF7F33">
        <w:rPr>
          <w:rFonts w:ascii="Times New Roman" w:hAnsi="Times New Roman"/>
          <w:sz w:val="24"/>
          <w:u w:val="none"/>
        </w:rPr>
        <w:t>3.</w:t>
      </w:r>
      <w:r w:rsidRPr="00EF7F33">
        <w:tab/>
      </w:r>
      <w:r w:rsidRPr="00EF7F33">
        <w:rPr>
          <w:rFonts w:ascii="Times New Roman" w:hAnsi="Times New Roman"/>
          <w:sz w:val="24"/>
        </w:rPr>
        <w:t>Obrasci za kreditni rizik</w:t>
      </w:r>
      <w:bookmarkEnd w:id="144"/>
      <w:bookmarkEnd w:id="145"/>
      <w:bookmarkEnd w:id="146"/>
      <w:bookmarkEnd w:id="147"/>
      <w:bookmarkEnd w:id="148"/>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516210629"/>
      <w:bookmarkStart w:id="151" w:name="_Toc473560894"/>
      <w:bookmarkStart w:id="152" w:name="_Toc523998121"/>
      <w:bookmarkStart w:id="153" w:name="_Toc262568022"/>
      <w:bookmarkStart w:id="154" w:name="_Toc295829848"/>
      <w:bookmarkStart w:id="155" w:name="_Toc310415014"/>
      <w:r w:rsidRPr="00EF7F33">
        <w:rPr>
          <w:rFonts w:ascii="Times New Roman" w:hAnsi="Times New Roman"/>
          <w:sz w:val="24"/>
          <w:u w:val="none"/>
        </w:rPr>
        <w:t>3.1.</w:t>
      </w:r>
      <w:r w:rsidRPr="00EF7F33">
        <w:tab/>
      </w:r>
      <w:r w:rsidRPr="00EF7F33">
        <w:rPr>
          <w:rFonts w:ascii="Times New Roman" w:hAnsi="Times New Roman"/>
          <w:sz w:val="24"/>
        </w:rPr>
        <w:t>Opće napomene</w:t>
      </w:r>
      <w:bookmarkEnd w:id="149"/>
      <w:bookmarkEnd w:id="150"/>
      <w:bookmarkEnd w:id="151"/>
      <w:bookmarkEnd w:id="152"/>
      <w:r w:rsidRPr="00EF7F33">
        <w:rPr>
          <w:rFonts w:ascii="Times New Roman" w:hAnsi="Times New Roman"/>
          <w:sz w:val="24"/>
        </w:rPr>
        <w:t xml:space="preserve"> </w:t>
      </w:r>
      <w:bookmarkEnd w:id="153"/>
      <w:bookmarkEnd w:id="154"/>
      <w:bookmarkEnd w:id="155"/>
    </w:p>
    <w:p w:rsidR="00464F34" w:rsidRPr="00EF7F33" w:rsidRDefault="00125707" w:rsidP="00C37B29">
      <w:pPr>
        <w:pStyle w:val="InstructionsText2"/>
        <w:numPr>
          <w:ilvl w:val="0"/>
          <w:numId w:val="0"/>
        </w:numPr>
        <w:ind w:left="993"/>
      </w:pPr>
      <w:r w:rsidRPr="00EF7F33">
        <w:t>38.</w:t>
      </w:r>
      <w:r w:rsidRPr="00EF7F33">
        <w:tab/>
        <w:t xml:space="preserve">Postoje različite skupine obrazaca za standardizirani i IRB pristup kreditnom riziku. Osim toga, zasebni obrasci za geografsku raščlambu pozicija koje podliježu kreditnom riziku iskazuju se ako je premašen relevantan prag iz članka 5. točke (a) podtočke 4. </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516210630"/>
      <w:bookmarkStart w:id="161" w:name="_Toc473560895"/>
      <w:bookmarkStart w:id="162" w:name="_Toc523998122"/>
      <w:r w:rsidRPr="00EF7F33">
        <w:rPr>
          <w:rFonts w:ascii="Times New Roman" w:hAnsi="Times New Roman"/>
          <w:sz w:val="24"/>
          <w:u w:val="none"/>
        </w:rPr>
        <w:t>3.1.1.</w:t>
      </w:r>
      <w:r w:rsidRPr="00EF7F33">
        <w:tab/>
      </w:r>
      <w:r w:rsidRPr="00EF7F33">
        <w:rPr>
          <w:rFonts w:ascii="Times New Roman" w:hAnsi="Times New Roman"/>
          <w:sz w:val="24"/>
        </w:rPr>
        <w:t>Izvješćivanje o tehnikama smanjenja kreditnog rizika s učinkom zamjene</w:t>
      </w:r>
      <w:bookmarkEnd w:id="156"/>
      <w:bookmarkEnd w:id="157"/>
      <w:bookmarkEnd w:id="158"/>
      <w:bookmarkEnd w:id="159"/>
      <w:bookmarkEnd w:id="160"/>
      <w:bookmarkEnd w:id="161"/>
      <w:bookmarkEnd w:id="162"/>
    </w:p>
    <w:p w:rsidR="00464F34" w:rsidRPr="00EF7F33" w:rsidRDefault="00125707" w:rsidP="00C37B29">
      <w:pPr>
        <w:pStyle w:val="InstructionsText2"/>
        <w:numPr>
          <w:ilvl w:val="0"/>
          <w:numId w:val="0"/>
        </w:numPr>
        <w:ind w:left="993"/>
      </w:pPr>
      <w:r w:rsidRPr="00EF7F33">
        <w:t>39.</w:t>
      </w:r>
      <w:r w:rsidRPr="00EF7F33">
        <w:tab/>
        <w:t>U članku 235. CRR-a opisuje se postupak izračuna izloženosti koja je u potp</w:t>
      </w:r>
      <w:r w:rsidRPr="00EF7F33">
        <w:t>u</w:t>
      </w:r>
      <w:r w:rsidRPr="00EF7F33">
        <w:t>nosti zaštićena nematerijalnom zaštitom.</w:t>
      </w:r>
    </w:p>
    <w:p w:rsidR="00464F34" w:rsidRPr="00EF7F33" w:rsidRDefault="00125707" w:rsidP="00C37B29">
      <w:pPr>
        <w:pStyle w:val="InstructionsText2"/>
        <w:numPr>
          <w:ilvl w:val="0"/>
          <w:numId w:val="0"/>
        </w:numPr>
        <w:ind w:left="993"/>
      </w:pPr>
      <w:r w:rsidRPr="00EF7F33">
        <w:t>40.</w:t>
      </w:r>
      <w:r w:rsidRPr="00EF7F33">
        <w:tab/>
        <w:t>U članku 236. CRR-a opisuje se postupak izračuna izloženosti koja je u potp</w:t>
      </w:r>
      <w:r w:rsidRPr="00EF7F33">
        <w:t>u</w:t>
      </w:r>
      <w:r w:rsidRPr="00EF7F33">
        <w:t>nosti zaštićena nematerijalnom zaštitom u slučaju potpune zaštite/djelomične zaštite — jednako pravo u redoslijedu naplate.</w:t>
      </w:r>
    </w:p>
    <w:p w:rsidR="00464F34" w:rsidRPr="00EF7F33" w:rsidRDefault="00125707" w:rsidP="00C37B29">
      <w:pPr>
        <w:pStyle w:val="InstructionsText2"/>
        <w:numPr>
          <w:ilvl w:val="0"/>
          <w:numId w:val="0"/>
        </w:numPr>
        <w:ind w:left="993"/>
      </w:pPr>
      <w:r w:rsidRPr="00EF7F33">
        <w:t>41.</w:t>
      </w:r>
      <w:r w:rsidRPr="00EF7F33">
        <w:tab/>
        <w:t>U člancima 196., 197. i 200. CRR-a uređena je materijalna kreditna zaštita.</w:t>
      </w:r>
    </w:p>
    <w:p w:rsidR="00464F34" w:rsidRPr="00EF7F33" w:rsidRDefault="00125707" w:rsidP="00C37B29">
      <w:pPr>
        <w:pStyle w:val="InstructionsText2"/>
        <w:numPr>
          <w:ilvl w:val="0"/>
          <w:numId w:val="0"/>
        </w:numPr>
        <w:ind w:left="993"/>
      </w:pPr>
      <w:r w:rsidRPr="00EF7F33">
        <w:t>42.</w:t>
      </w:r>
      <w:r w:rsidRPr="00EF7F33">
        <w:tab/>
        <w:t>Izloženosti prema dužnicima (neposrednim drugim ugovornim stranama) i pr</w:t>
      </w:r>
      <w:r w:rsidRPr="00EF7F33">
        <w:t>u</w:t>
      </w:r>
      <w:r w:rsidRPr="00EF7F33">
        <w:t>žateljima zaštite koji su raspoređeni u istu kategoriju izloženosti iskazuju se kao priljev i odljev u istu kategoriju izloženosti.</w:t>
      </w:r>
    </w:p>
    <w:p w:rsidR="00464F34" w:rsidRPr="00EF7F33" w:rsidRDefault="00125707" w:rsidP="00C37B29">
      <w:pPr>
        <w:pStyle w:val="InstructionsText2"/>
        <w:numPr>
          <w:ilvl w:val="0"/>
          <w:numId w:val="0"/>
        </w:numPr>
        <w:ind w:left="993"/>
      </w:pPr>
      <w:r w:rsidRPr="00EF7F33">
        <w:t>43.</w:t>
      </w:r>
      <w:r w:rsidRPr="00EF7F33">
        <w:tab/>
        <w:t>Vrsta izloženosti ne mijenja se zbog nematerijalne kreditne zaštite.</w:t>
      </w:r>
    </w:p>
    <w:p w:rsidR="00464F34" w:rsidRPr="00EF7F33" w:rsidRDefault="00125707" w:rsidP="00C37B29">
      <w:pPr>
        <w:pStyle w:val="InstructionsText2"/>
        <w:numPr>
          <w:ilvl w:val="0"/>
          <w:numId w:val="0"/>
        </w:numPr>
        <w:ind w:left="993"/>
      </w:pPr>
      <w:r w:rsidRPr="00EF7F33">
        <w:t>44.</w:t>
      </w:r>
      <w:r w:rsidRPr="00EF7F33">
        <w:tab/>
        <w:t>Ako je izloženost osigurana nematerijalnom kreditnom zaštitom, osigurani dio raspoređuje se kao odljev npr. u kategoriji izloženosti dužnika i kao priljev u kat</w:t>
      </w:r>
      <w:r w:rsidRPr="00EF7F33">
        <w:t>e</w:t>
      </w:r>
      <w:r w:rsidRPr="00EF7F33">
        <w:t>goriji izloženosti pružatelja zaštite. Međutim, vrsta izloženosti ne mijenja se zbog promjene kategorije izloženosti.</w:t>
      </w:r>
    </w:p>
    <w:p w:rsidR="00464F34" w:rsidRPr="00EF7F33" w:rsidRDefault="00125707" w:rsidP="00C37B29">
      <w:pPr>
        <w:pStyle w:val="InstructionsText2"/>
        <w:numPr>
          <w:ilvl w:val="0"/>
          <w:numId w:val="0"/>
        </w:numPr>
        <w:ind w:left="993"/>
      </w:pPr>
      <w:r w:rsidRPr="00EF7F33">
        <w:t>45.</w:t>
      </w:r>
      <w:r w:rsidRPr="00EF7F33">
        <w:tab/>
        <w:t>Učinak zamjene u izvještajnom okviru COREP odražava tretman ponderiranja rizikom koji se može učinkovito primijeniti na pokriveni dio izloženosti. Kao takav, pokriveni je dio izloženosti ponderiran rizikom u skladu sa standardiziranim prist</w:t>
      </w:r>
      <w:r w:rsidRPr="00EF7F33">
        <w:t>u</w:t>
      </w:r>
      <w:r w:rsidRPr="00EF7F33">
        <w:t xml:space="preserve">pom i iskazuje se u obrascu CR SA. </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516210631"/>
      <w:bookmarkStart w:id="168" w:name="_Toc473560896"/>
      <w:bookmarkStart w:id="169" w:name="_Toc523998123"/>
      <w:r w:rsidRPr="00EF7F33">
        <w:rPr>
          <w:rFonts w:ascii="Times New Roman" w:hAnsi="Times New Roman"/>
          <w:sz w:val="24"/>
          <w:u w:val="none"/>
        </w:rPr>
        <w:t>3.1.2.</w:t>
      </w:r>
      <w:r w:rsidRPr="00EF7F33">
        <w:tab/>
      </w:r>
      <w:r w:rsidRPr="00EF7F33">
        <w:rPr>
          <w:rFonts w:ascii="Times New Roman" w:hAnsi="Times New Roman"/>
          <w:sz w:val="24"/>
        </w:rPr>
        <w:t>Izvješćivanje o kreditnom riziku druge ugovorne strane</w:t>
      </w:r>
      <w:bookmarkEnd w:id="163"/>
      <w:bookmarkEnd w:id="164"/>
      <w:bookmarkEnd w:id="165"/>
      <w:bookmarkEnd w:id="166"/>
      <w:bookmarkEnd w:id="167"/>
      <w:bookmarkEnd w:id="168"/>
      <w:bookmarkEnd w:id="169"/>
    </w:p>
    <w:p w:rsidR="00464F34" w:rsidRPr="00EF7F33" w:rsidRDefault="00125707" w:rsidP="00C37B29">
      <w:pPr>
        <w:pStyle w:val="InstructionsText2"/>
        <w:numPr>
          <w:ilvl w:val="0"/>
          <w:numId w:val="0"/>
        </w:numPr>
        <w:ind w:left="993"/>
      </w:pPr>
      <w:r w:rsidRPr="00EF7F33">
        <w:t>46.</w:t>
      </w:r>
      <w:r w:rsidRPr="00EF7F33">
        <w:tab/>
        <w:t>Izloženosti koje proizlaze iz pozicija kreditnog rizika druge ugovorne strane i</w:t>
      </w:r>
      <w:r w:rsidRPr="00EF7F33">
        <w:t>s</w:t>
      </w:r>
      <w:r w:rsidRPr="00EF7F33">
        <w:t xml:space="preserve">kazuju se u obrascima CR SA ili CR IRB, neovisno o tome jesu li stavke iz knjige pozicija kojima se ne trguje ili stavke iz knjige trgovanja. </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523998124"/>
      <w:bookmarkStart w:id="175" w:name="_Toc516210632"/>
      <w:bookmarkStart w:id="176" w:name="_Toc473560897"/>
      <w:r w:rsidRPr="00EF7F33">
        <w:rPr>
          <w:rFonts w:ascii="Times New Roman" w:hAnsi="Times New Roman"/>
          <w:sz w:val="24"/>
          <w:u w:val="none"/>
        </w:rPr>
        <w:lastRenderedPageBreak/>
        <w:t>3.2.</w:t>
      </w:r>
      <w:r w:rsidRPr="00EF7F33">
        <w:tab/>
      </w:r>
      <w:r w:rsidRPr="00EF7F33">
        <w:rPr>
          <w:rFonts w:ascii="Times New Roman" w:hAnsi="Times New Roman"/>
          <w:sz w:val="24"/>
        </w:rPr>
        <w:t>C 07.00 – Kreditni rizik, kreditni rizik druge ugovorne strane i slobodne isporuke: Standardizirani pristup kapitalnim zahtjevima (CR SA)</w:t>
      </w:r>
      <w:bookmarkEnd w:id="170"/>
      <w:bookmarkEnd w:id="171"/>
      <w:bookmarkEnd w:id="172"/>
      <w:bookmarkEnd w:id="173"/>
      <w:bookmarkEnd w:id="174"/>
      <w:r w:rsidRPr="00EF7F33">
        <w:rPr>
          <w:rFonts w:ascii="Times New Roman" w:hAnsi="Times New Roman"/>
          <w:sz w:val="24"/>
        </w:rPr>
        <w:t xml:space="preserve"> </w:t>
      </w:r>
      <w:bookmarkEnd w:id="175"/>
      <w:bookmarkEnd w:id="176"/>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516210633"/>
      <w:bookmarkStart w:id="184" w:name="_Toc473560898"/>
      <w:bookmarkStart w:id="185" w:name="_Toc523998125"/>
      <w:r w:rsidRPr="00EF7F33">
        <w:rPr>
          <w:rFonts w:ascii="Times New Roman" w:hAnsi="Times New Roman"/>
          <w:sz w:val="24"/>
          <w:u w:val="none"/>
        </w:rPr>
        <w:t>3.2.1.</w:t>
      </w:r>
      <w:r w:rsidRPr="00EF7F33">
        <w:tab/>
      </w:r>
      <w:r w:rsidRPr="00EF7F33">
        <w:rPr>
          <w:rFonts w:ascii="Times New Roman" w:hAnsi="Times New Roman"/>
          <w:sz w:val="24"/>
        </w:rPr>
        <w:t>Opće napomene</w:t>
      </w:r>
      <w:bookmarkEnd w:id="177"/>
      <w:bookmarkEnd w:id="178"/>
      <w:bookmarkEnd w:id="179"/>
      <w:bookmarkEnd w:id="180"/>
      <w:bookmarkEnd w:id="181"/>
      <w:bookmarkEnd w:id="182"/>
      <w:bookmarkEnd w:id="183"/>
      <w:bookmarkEnd w:id="184"/>
      <w:bookmarkEnd w:id="185"/>
    </w:p>
    <w:p w:rsidR="00464F34" w:rsidRPr="00EF7F33" w:rsidRDefault="00125707" w:rsidP="00C37B29">
      <w:pPr>
        <w:pStyle w:val="InstructionsText2"/>
        <w:numPr>
          <w:ilvl w:val="0"/>
          <w:numId w:val="0"/>
        </w:numPr>
        <w:ind w:left="993"/>
      </w:pPr>
      <w:r w:rsidRPr="00EF7F33">
        <w:t>47.</w:t>
      </w:r>
      <w:r w:rsidRPr="00EF7F33">
        <w:tab/>
        <w:t>U obrascima CR SA pružaju se potrebne informacije o izračunu kapitalnih za</w:t>
      </w:r>
      <w:r w:rsidRPr="00EF7F33">
        <w:t>h</w:t>
      </w:r>
      <w:r w:rsidRPr="00EF7F33">
        <w:t>tjeva za kreditni rizik u skladu sa standardiziranim pristupom. Posebno sadržavaju informacije:</w:t>
      </w:r>
    </w:p>
    <w:p w:rsidR="00464F34" w:rsidRPr="00EF7F33" w:rsidRDefault="00125707" w:rsidP="00C37B29">
      <w:pPr>
        <w:pStyle w:val="InstructionsText2"/>
        <w:numPr>
          <w:ilvl w:val="0"/>
          <w:numId w:val="0"/>
        </w:numPr>
        <w:ind w:left="993"/>
      </w:pPr>
      <w:r w:rsidRPr="00EF7F33">
        <w:t>a)</w:t>
      </w:r>
      <w:r w:rsidRPr="00EF7F33">
        <w:tab/>
        <w:t>o raspodjeli vrijednosti izloženosti u skladu s različitim vrstama izloženosti, ponderima rizika i kategorijama izloženosti;</w:t>
      </w:r>
    </w:p>
    <w:p w:rsidR="00464F34" w:rsidRPr="00EF7F33" w:rsidRDefault="00125707" w:rsidP="00C37B29">
      <w:pPr>
        <w:pStyle w:val="InstructionsText2"/>
        <w:numPr>
          <w:ilvl w:val="0"/>
          <w:numId w:val="0"/>
        </w:numPr>
        <w:ind w:left="993"/>
      </w:pPr>
      <w:r w:rsidRPr="00EF7F33">
        <w:t>b)</w:t>
      </w:r>
      <w:r w:rsidRPr="00EF7F33">
        <w:tab/>
        <w:t xml:space="preserve">o iznosima i vrstama tehnika smanjenja kreditnog rizika koje se upotrebljavaju za smanjenje rizika. </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186" w:name="_Toc523998126"/>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r w:rsidRPr="00EF7F33">
        <w:rPr>
          <w:rFonts w:ascii="Times New Roman" w:hAnsi="Times New Roman"/>
          <w:sz w:val="24"/>
          <w:u w:val="none"/>
        </w:rPr>
        <w:t>3.2.2.</w:t>
      </w:r>
      <w:r w:rsidRPr="00EF7F33">
        <w:tab/>
      </w:r>
      <w:r w:rsidRPr="00EF7F33">
        <w:rPr>
          <w:rFonts w:ascii="Times New Roman" w:hAnsi="Times New Roman"/>
          <w:sz w:val="24"/>
        </w:rPr>
        <w:t>Opseg obrasca CR SA</w:t>
      </w:r>
      <w:bookmarkEnd w:id="186"/>
      <w:r w:rsidRPr="00EF7F33">
        <w:rPr>
          <w:rFonts w:ascii="Times New Roman" w:hAnsi="Times New Roman"/>
          <w:sz w:val="24"/>
        </w:rPr>
        <w:t xml:space="preserve"> </w:t>
      </w:r>
      <w:bookmarkEnd w:id="187"/>
      <w:bookmarkEnd w:id="188"/>
      <w:bookmarkEnd w:id="189"/>
      <w:bookmarkEnd w:id="190"/>
      <w:bookmarkEnd w:id="191"/>
      <w:bookmarkEnd w:id="192"/>
      <w:bookmarkEnd w:id="193"/>
      <w:bookmarkEnd w:id="194"/>
    </w:p>
    <w:p w:rsidR="00464F34" w:rsidRPr="00EF7F33" w:rsidRDefault="00125707" w:rsidP="00C37B29">
      <w:pPr>
        <w:pStyle w:val="InstructionsText2"/>
        <w:numPr>
          <w:ilvl w:val="0"/>
          <w:numId w:val="0"/>
        </w:numPr>
        <w:ind w:left="993"/>
      </w:pPr>
      <w:r w:rsidRPr="00EF7F33">
        <w:t>48.</w:t>
      </w:r>
      <w:r w:rsidRPr="00EF7F33">
        <w:tab/>
        <w:t>U skladu s člankom 112. CRR-a, svaka izloženost u skladu sa standardiziranim pristupom raspoređuje se u jednu od 16 kategorija izloženosti u skladu sa standard</w:t>
      </w:r>
      <w:r w:rsidRPr="00EF7F33">
        <w:t>i</w:t>
      </w:r>
      <w:r w:rsidRPr="00EF7F33">
        <w:t>ziranim pristupom kako bi se izračunali kapitalni zahtjevi.</w:t>
      </w:r>
    </w:p>
    <w:p w:rsidR="00464F34" w:rsidRPr="00EF7F33" w:rsidRDefault="00125707" w:rsidP="00C37B29">
      <w:pPr>
        <w:pStyle w:val="InstructionsText2"/>
        <w:numPr>
          <w:ilvl w:val="0"/>
          <w:numId w:val="0"/>
        </w:numPr>
        <w:ind w:left="993"/>
      </w:pPr>
      <w:r w:rsidRPr="00EF7F33">
        <w:t>49.</w:t>
      </w:r>
      <w:r w:rsidRPr="00EF7F33">
        <w:tab/>
        <w:t xml:space="preserve">Informacije u obrascu CR SA zahtijevaju se za ukupne kategorije izloženosti i pojedinačno za svaku od kategorija izloženosti kako su definirane za standardizirani pristup. Ukupne vrijednosti te informacije o svakoj kategoriji izloženosti iskazuju se u posebnoj dimenziji. </w:t>
      </w:r>
    </w:p>
    <w:p w:rsidR="00464F34" w:rsidRPr="00EF7F33" w:rsidRDefault="00125707" w:rsidP="00C37B29">
      <w:pPr>
        <w:pStyle w:val="InstructionsText2"/>
        <w:numPr>
          <w:ilvl w:val="0"/>
          <w:numId w:val="0"/>
        </w:numPr>
        <w:ind w:left="993"/>
      </w:pPr>
      <w:r w:rsidRPr="00EF7F33">
        <w:t>50.</w:t>
      </w:r>
      <w:r w:rsidRPr="00EF7F33">
        <w:tab/>
        <w:t>Međutim, sljedeće pozicije nisu u opsegu obrasca CR SA:</w:t>
      </w:r>
    </w:p>
    <w:p w:rsidR="00464F34" w:rsidRPr="00EF7F33" w:rsidRDefault="00125707" w:rsidP="00C37B29">
      <w:pPr>
        <w:pStyle w:val="InstructionsText2"/>
        <w:numPr>
          <w:ilvl w:val="0"/>
          <w:numId w:val="0"/>
        </w:numPr>
        <w:ind w:left="993"/>
      </w:pPr>
      <w:r w:rsidRPr="00EF7F33">
        <w:t>(a)</w:t>
      </w:r>
      <w:r w:rsidRPr="00EF7F33">
        <w:tab/>
        <w:t>izloženosti raspoređene u kategoriju izloženosti „stavke koje čine sekuritizaci</w:t>
      </w:r>
      <w:r w:rsidRPr="00EF7F33">
        <w:t>j</w:t>
      </w:r>
      <w:r w:rsidRPr="00EF7F33">
        <w:t>ske pozicije” u skladu s člankom 112. točkom (m) CRR-a koje se iskazuju u obra</w:t>
      </w:r>
      <w:r w:rsidRPr="00EF7F33">
        <w:t>s</w:t>
      </w:r>
      <w:r w:rsidRPr="00EF7F33">
        <w:t xml:space="preserve">cu CR SEC. </w:t>
      </w:r>
    </w:p>
    <w:p w:rsidR="00464F34" w:rsidRPr="00EF7F33" w:rsidRDefault="00125707" w:rsidP="00C37B29">
      <w:pPr>
        <w:pStyle w:val="InstructionsText2"/>
        <w:numPr>
          <w:ilvl w:val="0"/>
          <w:numId w:val="0"/>
        </w:numPr>
        <w:ind w:left="993"/>
      </w:pPr>
      <w:r w:rsidRPr="00EF7F33">
        <w:t>(b)</w:t>
      </w:r>
      <w:r w:rsidRPr="00EF7F33">
        <w:tab/>
        <w:t>izloženosti koje predstavljaju odbitnu stavku od regulatornog kapitala.</w:t>
      </w:r>
    </w:p>
    <w:p w:rsidR="00464F34" w:rsidRPr="00EF7F33" w:rsidRDefault="00125707" w:rsidP="00C37B29">
      <w:pPr>
        <w:pStyle w:val="InstructionsText2"/>
        <w:numPr>
          <w:ilvl w:val="0"/>
          <w:numId w:val="0"/>
        </w:numPr>
        <w:ind w:left="993"/>
      </w:pPr>
      <w:r w:rsidRPr="00EF7F33">
        <w:t>51.</w:t>
      </w:r>
      <w:r w:rsidRPr="00EF7F33">
        <w:tab/>
        <w:t>Opsegom obrasca CR SA obuhvaćeni su sljedeći kapitalni zahtjevi:</w:t>
      </w:r>
    </w:p>
    <w:p w:rsidR="00464F34" w:rsidRPr="00EF7F33" w:rsidRDefault="00125707" w:rsidP="00C37B29">
      <w:pPr>
        <w:pStyle w:val="InstructionsText2"/>
        <w:numPr>
          <w:ilvl w:val="0"/>
          <w:numId w:val="0"/>
        </w:numPr>
        <w:ind w:left="993"/>
      </w:pPr>
      <w:r w:rsidRPr="00EF7F33">
        <w:t>(a)</w:t>
      </w:r>
      <w:r w:rsidRPr="00EF7F33">
        <w:tab/>
        <w:t>kreditni rizik u skladu s dijelom trećim glavom II. poglavljem 2. (standardiz</w:t>
      </w:r>
      <w:r w:rsidRPr="00EF7F33">
        <w:t>i</w:t>
      </w:r>
      <w:r w:rsidRPr="00EF7F33">
        <w:t>rani pristup) CRR-a u knjizi pozicija kojima se ne trguje, među kojim kreditni rizik druge ugovorne strane u skladu s dijelom trećim glavom II. poglavljem 6. (Kreditni rizik druge ugovorne strane) CRR-a u knjizi pozicija kojima se ne trguje;</w:t>
      </w:r>
    </w:p>
    <w:p w:rsidR="00464F34" w:rsidRPr="00EF7F33" w:rsidRDefault="00125707" w:rsidP="00C37B29">
      <w:pPr>
        <w:pStyle w:val="InstructionsText2"/>
        <w:numPr>
          <w:ilvl w:val="0"/>
          <w:numId w:val="0"/>
        </w:numPr>
        <w:ind w:left="993"/>
      </w:pPr>
      <w:r w:rsidRPr="00EF7F33">
        <w:t>(b)</w:t>
      </w:r>
      <w:r w:rsidRPr="00EF7F33">
        <w:tab/>
        <w:t>kreditni rizik druge ugovorne strane u skladu s dijelom trećim glavom II. po</w:t>
      </w:r>
      <w:r w:rsidRPr="00EF7F33">
        <w:t>g</w:t>
      </w:r>
      <w:r w:rsidRPr="00EF7F33">
        <w:t>lavljem 6 (Kreditni rizik druge ugovorne strane) CRR-a u knjizi trgovanja;</w:t>
      </w:r>
    </w:p>
    <w:p w:rsidR="00464F34" w:rsidRPr="00EF7F33" w:rsidRDefault="00125707" w:rsidP="00C37B29">
      <w:pPr>
        <w:pStyle w:val="InstructionsText2"/>
        <w:numPr>
          <w:ilvl w:val="0"/>
          <w:numId w:val="0"/>
        </w:numPr>
        <w:ind w:left="993"/>
      </w:pPr>
      <w:r w:rsidRPr="00EF7F33">
        <w:t>(c)</w:t>
      </w:r>
      <w:r w:rsidRPr="00EF7F33">
        <w:tab/>
        <w:t>rizik namire koji proizlazi iz slobodnih isporuka u skladu s člankom 379. CRR-a u pogledu svih poslovnih aktivnosti.</w:t>
      </w:r>
    </w:p>
    <w:p w:rsidR="00464F34" w:rsidRPr="00EF7F33" w:rsidRDefault="00125707" w:rsidP="00C37B29">
      <w:pPr>
        <w:pStyle w:val="InstructionsText2"/>
        <w:numPr>
          <w:ilvl w:val="0"/>
          <w:numId w:val="0"/>
        </w:numPr>
        <w:ind w:left="993"/>
      </w:pPr>
      <w:r w:rsidRPr="00EF7F33">
        <w:t>52.</w:t>
      </w:r>
      <w:r w:rsidRPr="00EF7F33">
        <w:tab/>
        <w:t>Obrascem su obuhvaćene sve izloženosti za koje se kapitalni zahtjevi izračun</w:t>
      </w:r>
      <w:r w:rsidRPr="00EF7F33">
        <w:t>a</w:t>
      </w:r>
      <w:r w:rsidRPr="00EF7F33">
        <w:t>vaju u skladu s dijelom 3. glavom II. poglavljem 2. CRR-a u vezi s dijelom 3. gl</w:t>
      </w:r>
      <w:r w:rsidRPr="00EF7F33">
        <w:t>a</w:t>
      </w:r>
      <w:r w:rsidRPr="00EF7F33">
        <w:t>vom II. poglavljima 4. i 6. CRR-a. Institucije koje primjenjuju članak 94. stavak 1. CRR-a u ovom obrascu trebaju iskazivati i svoje pozicije u knjizi trgovanja ako primjenjuju dio 3. glavu II. poglavlje 2. CRR-a za izračun svojih kapitalnih zahtj</w:t>
      </w:r>
      <w:r w:rsidRPr="00EF7F33">
        <w:t>e</w:t>
      </w:r>
      <w:r w:rsidRPr="00EF7F33">
        <w:lastRenderedPageBreak/>
        <w:t>va (dio 3., glava II., poglavlja 2. i 6. i glava V. CRR-a). Stoga se u obrascu ne pr</w:t>
      </w:r>
      <w:r w:rsidRPr="00EF7F33">
        <w:t>u</w:t>
      </w:r>
      <w:r w:rsidRPr="00EF7F33">
        <w:t>žaju samo detaljne informacije o vrsti izloženosti (npr. o bilančnim/izvanbilančnim stavkama), nego i informacije o raspoređivanju pondera rizika u okviru odgovar</w:t>
      </w:r>
      <w:r w:rsidRPr="00EF7F33">
        <w:t>a</w:t>
      </w:r>
      <w:r w:rsidRPr="00EF7F33">
        <w:t>juće kategorije izloženosti.</w:t>
      </w:r>
    </w:p>
    <w:p w:rsidR="00464F34" w:rsidRPr="00EF7F33" w:rsidRDefault="00125707" w:rsidP="00C37B29">
      <w:pPr>
        <w:pStyle w:val="InstructionsText2"/>
        <w:numPr>
          <w:ilvl w:val="0"/>
          <w:numId w:val="0"/>
        </w:numPr>
        <w:ind w:left="993"/>
      </w:pPr>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EF7F33">
        <w:t>53.</w:t>
      </w:r>
      <w:r w:rsidRPr="00EF7F33">
        <w:tab/>
        <w:t xml:space="preserve">Osim toga, obrazac CR SA uključuje bilješke u redcima od 290 do 320 radi prikupljanja dodatnih informacija o izloženostima osiguranima nekretninama i sa statusom neispunjavanja obveza. </w:t>
      </w:r>
    </w:p>
    <w:p w:rsidR="00464F34" w:rsidRPr="00EF7F33" w:rsidRDefault="00125707" w:rsidP="00C37B29">
      <w:pPr>
        <w:pStyle w:val="InstructionsText2"/>
        <w:numPr>
          <w:ilvl w:val="0"/>
          <w:numId w:val="0"/>
        </w:numPr>
        <w:ind w:left="993"/>
      </w:pPr>
      <w:r w:rsidRPr="00EF7F33">
        <w:t>54.</w:t>
      </w:r>
      <w:r w:rsidRPr="00EF7F33">
        <w:tab/>
        <w:t xml:space="preserve">Te se bilješke iskazuju samo za sljedeće kategorije izloženosti: </w:t>
      </w:r>
    </w:p>
    <w:p w:rsidR="00464F34" w:rsidRPr="00EF7F33" w:rsidRDefault="00125707" w:rsidP="00C37B29">
      <w:pPr>
        <w:pStyle w:val="InstructionsText2"/>
        <w:numPr>
          <w:ilvl w:val="0"/>
          <w:numId w:val="0"/>
        </w:numPr>
        <w:ind w:left="993"/>
      </w:pPr>
      <w:r w:rsidRPr="00EF7F33">
        <w:t>(a)</w:t>
      </w:r>
      <w:r w:rsidRPr="00EF7F33">
        <w:tab/>
        <w:t>izloženosti prema središnjim državama ili središnjim bankama (članak 112. točka (a) CRR-a)</w:t>
      </w:r>
    </w:p>
    <w:p w:rsidR="00464F34" w:rsidRPr="00EF7F33" w:rsidRDefault="00125707" w:rsidP="00C37B29">
      <w:pPr>
        <w:pStyle w:val="InstructionsText2"/>
        <w:numPr>
          <w:ilvl w:val="0"/>
          <w:numId w:val="0"/>
        </w:numPr>
        <w:ind w:left="993"/>
      </w:pPr>
      <w:r w:rsidRPr="00EF7F33">
        <w:t>(b)</w:t>
      </w:r>
      <w:r w:rsidRPr="00EF7F33">
        <w:tab/>
        <w:t>izloženosti prema područnoj (regionalnoj) ili lokalnoj samoupravi (članak 112. točka (b) CRR-a)</w:t>
      </w:r>
    </w:p>
    <w:p w:rsidR="00464F34" w:rsidRPr="00EF7F33" w:rsidRDefault="00125707" w:rsidP="00C37B29">
      <w:pPr>
        <w:pStyle w:val="InstructionsText2"/>
        <w:numPr>
          <w:ilvl w:val="0"/>
          <w:numId w:val="0"/>
        </w:numPr>
        <w:ind w:left="993"/>
      </w:pPr>
      <w:r w:rsidRPr="00EF7F33">
        <w:t>(c)</w:t>
      </w:r>
      <w:r w:rsidRPr="00EF7F33">
        <w:tab/>
        <w:t>izloženosti prema subjektima javnog sektora (članak 112. točka (c) CRR-a)</w:t>
      </w:r>
    </w:p>
    <w:p w:rsidR="00464F34" w:rsidRPr="00EF7F33" w:rsidRDefault="00125707" w:rsidP="00C37B29">
      <w:pPr>
        <w:pStyle w:val="InstructionsText2"/>
        <w:numPr>
          <w:ilvl w:val="0"/>
          <w:numId w:val="0"/>
        </w:numPr>
        <w:ind w:left="993"/>
      </w:pPr>
      <w:r w:rsidRPr="00EF7F33">
        <w:t>(d)</w:t>
      </w:r>
      <w:r w:rsidRPr="00EF7F33">
        <w:tab/>
        <w:t>izloženosti prema institucijama (članak 112. točka (f) CRR-a)</w:t>
      </w:r>
    </w:p>
    <w:p w:rsidR="00464F34" w:rsidRPr="00EF7F33" w:rsidRDefault="00125707" w:rsidP="00C37B29">
      <w:pPr>
        <w:pStyle w:val="InstructionsText2"/>
        <w:numPr>
          <w:ilvl w:val="0"/>
          <w:numId w:val="0"/>
        </w:numPr>
        <w:ind w:left="993"/>
      </w:pPr>
      <w:r w:rsidRPr="00EF7F33">
        <w:t>(e)</w:t>
      </w:r>
      <w:r w:rsidRPr="00EF7F33">
        <w:tab/>
        <w:t>izloženosti prema trgovačkim društvima (članak 112. točka (g) CRR-a)</w:t>
      </w:r>
    </w:p>
    <w:p w:rsidR="00464F34" w:rsidRPr="00EF7F33" w:rsidRDefault="00125707" w:rsidP="00C37B29">
      <w:pPr>
        <w:pStyle w:val="InstructionsText2"/>
        <w:numPr>
          <w:ilvl w:val="0"/>
          <w:numId w:val="0"/>
        </w:numPr>
        <w:ind w:left="993"/>
      </w:pPr>
      <w:r w:rsidRPr="00EF7F33">
        <w:t>(f)</w:t>
      </w:r>
      <w:r w:rsidRPr="00EF7F33">
        <w:tab/>
        <w:t>izloženosti prema stanovništvu (članak 112. točka (h) CRR-a).</w:t>
      </w:r>
    </w:p>
    <w:p w:rsidR="00464F34" w:rsidRPr="00EF7F33" w:rsidRDefault="00125707" w:rsidP="00C37B29">
      <w:pPr>
        <w:pStyle w:val="InstructionsText2"/>
        <w:numPr>
          <w:ilvl w:val="0"/>
          <w:numId w:val="0"/>
        </w:numPr>
        <w:ind w:left="993"/>
      </w:pPr>
      <w:r w:rsidRPr="00EF7F33">
        <w:t>55.</w:t>
      </w:r>
      <w:r w:rsidRPr="00EF7F33">
        <w:tab/>
        <w:t>Izvješćivanje o bilješkama ne utječe ni na izračun iznosa izloženosti ponderir</w:t>
      </w:r>
      <w:r w:rsidRPr="00EF7F33">
        <w:t>a</w:t>
      </w:r>
      <w:r w:rsidRPr="00EF7F33">
        <w:t xml:space="preserve">nih rizikom kategorija izloženosti u skladu s člankom 112. točkama od (a) do (c) i od (f) do (h) CRR-a ni na kategorije izloženosti u skladu s člankom 112. točkama i. i (j) CRR-a iskazane u obrascu CR SA. </w:t>
      </w:r>
    </w:p>
    <w:p w:rsidR="00464F34" w:rsidRPr="00EF7F33" w:rsidRDefault="00125707" w:rsidP="00C37B29">
      <w:pPr>
        <w:pStyle w:val="InstructionsText2"/>
        <w:numPr>
          <w:ilvl w:val="0"/>
          <w:numId w:val="0"/>
        </w:numPr>
        <w:ind w:left="993"/>
      </w:pPr>
      <w:r w:rsidRPr="00EF7F33">
        <w:t>56.</w:t>
      </w:r>
      <w:r w:rsidRPr="00EF7F33">
        <w:tab/>
        <w:t>U bilješkama se daju dodatne informacije o strukturi dužnika za kategorije i</w:t>
      </w:r>
      <w:r w:rsidRPr="00EF7F33">
        <w:t>z</w:t>
      </w:r>
      <w:r w:rsidRPr="00EF7F33">
        <w:t>loženosti „sa statusom neispunjavanja obveza” ili „osigurane nekretninama”. Izl</w:t>
      </w:r>
      <w:r w:rsidRPr="00EF7F33">
        <w:t>o</w:t>
      </w:r>
      <w:r w:rsidRPr="00EF7F33">
        <w:t>ženosti se u tim redcima iskazuju kada bi se dužnici morali iskazati u kategorijama izloženosti „prema središnjim državama ili središnjim bankama”, „prema područnoj (regionalnoj) ili lokalnoj samoupravi”, „prema subjektima javnog sektora”, „prema institucijama”, „prema trgovačkim društvima” i „prema stanovništvu” obrasca CR SA da te izloženosti nisu raspoređene u kategorije izloženosti „sa statusom neisp</w:t>
      </w:r>
      <w:r w:rsidRPr="00EF7F33">
        <w:t>u</w:t>
      </w:r>
      <w:r w:rsidRPr="00EF7F33">
        <w:t>njavanja obveza” ili „osigurane nekretninama”. Međutim vrijednosti koje se iskaz</w:t>
      </w:r>
      <w:r w:rsidRPr="00EF7F33">
        <w:t>u</w:t>
      </w:r>
      <w:r w:rsidRPr="00EF7F33">
        <w:t>ju jednake su onima koje se upotrebljavaju za izračun iznosa izloženosti ponderir</w:t>
      </w:r>
      <w:r w:rsidRPr="00EF7F33">
        <w:t>a</w:t>
      </w:r>
      <w:r w:rsidRPr="00EF7F33">
        <w:t>nih rizikom u kategorijama izloženosti „sa statusom neispunjavanja obveza” ili „osigurane nekretninama”.</w:t>
      </w:r>
    </w:p>
    <w:p w:rsidR="00464F34" w:rsidRPr="00EF7F33" w:rsidRDefault="00125707" w:rsidP="00C37B29">
      <w:pPr>
        <w:pStyle w:val="InstructionsText2"/>
        <w:numPr>
          <w:ilvl w:val="0"/>
          <w:numId w:val="0"/>
        </w:numPr>
        <w:ind w:left="993"/>
      </w:pPr>
      <w:r w:rsidRPr="00EF7F33">
        <w:t>57.</w:t>
      </w:r>
      <w:r w:rsidRPr="00EF7F33">
        <w:tab/>
        <w:t>Na primjer, ako izloženost, čiji se iznosi izloženosti riziku izračunavaju u skl</w:t>
      </w:r>
      <w:r w:rsidRPr="00EF7F33">
        <w:t>a</w:t>
      </w:r>
      <w:r w:rsidRPr="00EF7F33">
        <w:t>du s člankom 127. CRR-a, a vrijednosna usklađenja manja su od 20 %, tada se ta informacija iskazuje u retku 320 obrasca CR SA ukupno i u kategoriji izloženosti „sa statusom neispunjavanja obveza”. Ako je ta izloženost, prije nego što je dobila status neispunjavanja obveza, bila izloženost prema instituciji, tada se ta informac</w:t>
      </w:r>
      <w:r w:rsidRPr="00EF7F33">
        <w:t>i</w:t>
      </w:r>
      <w:r w:rsidRPr="00EF7F33">
        <w:t>je iskazuje i u retku 320 kategorije izloženosti „prema institucijama”.</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16210635"/>
      <w:bookmarkStart w:id="224" w:name="_Toc523998127"/>
      <w:r w:rsidRPr="00EF7F33">
        <w:rPr>
          <w:rFonts w:ascii="Times New Roman" w:hAnsi="Times New Roman"/>
          <w:sz w:val="24"/>
          <w:u w:val="none"/>
        </w:rPr>
        <w:lastRenderedPageBreak/>
        <w:t>3.2.3.</w:t>
      </w:r>
      <w:r w:rsidRPr="00EF7F33">
        <w:tab/>
      </w:r>
      <w:r w:rsidRPr="00EF7F33">
        <w:rPr>
          <w:rFonts w:ascii="Times New Roman" w:hAnsi="Times New Roman"/>
          <w:sz w:val="24"/>
        </w:rPr>
        <w:t xml:space="preserve"> </w:t>
      </w:r>
      <w:bookmarkStart w:id="225" w:name="_Toc310415022"/>
      <w:bookmarkStart w:id="226" w:name="_Toc360188351"/>
      <w:bookmarkStart w:id="227" w:name="_Toc473560900"/>
      <w:r w:rsidRPr="00EF7F33">
        <w:rPr>
          <w:rFonts w:ascii="Times New Roman" w:hAnsi="Times New Roman"/>
          <w:sz w:val="24"/>
        </w:rPr>
        <w:t>Raspoređivanje izloženosti u kategorije izloženosti u skladu sa standardiziranim pri</w:t>
      </w:r>
      <w:r w:rsidRPr="00EF7F33">
        <w:rPr>
          <w:rFonts w:ascii="Times New Roman" w:hAnsi="Times New Roman"/>
          <w:sz w:val="24"/>
        </w:rPr>
        <w:t>s</w:t>
      </w:r>
      <w:r w:rsidRPr="00EF7F33">
        <w:rPr>
          <w:rFonts w:ascii="Times New Roman" w:hAnsi="Times New Roman"/>
          <w:sz w:val="24"/>
        </w:rPr>
        <w:t>tupom</w:t>
      </w:r>
      <w:bookmarkEnd w:id="219"/>
      <w:bookmarkEnd w:id="220"/>
      <w:bookmarkEnd w:id="221"/>
      <w:bookmarkEnd w:id="222"/>
      <w:bookmarkEnd w:id="223"/>
      <w:bookmarkEnd w:id="225"/>
      <w:bookmarkEnd w:id="226"/>
      <w:bookmarkEnd w:id="227"/>
      <w:bookmarkEnd w:id="224"/>
    </w:p>
    <w:p w:rsidR="00464F34" w:rsidRPr="00EF7F33" w:rsidRDefault="00125707" w:rsidP="00C37B29">
      <w:pPr>
        <w:pStyle w:val="InstructionsText2"/>
        <w:numPr>
          <w:ilvl w:val="0"/>
          <w:numId w:val="0"/>
        </w:numPr>
        <w:ind w:left="993"/>
      </w:pPr>
      <w:r w:rsidRPr="00EF7F33">
        <w:t>58.</w:t>
      </w:r>
      <w:r w:rsidRPr="00EF7F33">
        <w:tab/>
        <w:t>Kako bi se osigurala dosljedna kategorizacija izloženosti u različite kategorije izloženosti kako su definirane u članku 112. CRR-a, primjenjuje se sljedeći redosl</w:t>
      </w:r>
      <w:r w:rsidRPr="00EF7F33">
        <w:t>i</w:t>
      </w:r>
      <w:r w:rsidRPr="00EF7F33">
        <w:t xml:space="preserve">jed: </w:t>
      </w:r>
    </w:p>
    <w:p w:rsidR="00464F34" w:rsidRPr="00EF7F33" w:rsidRDefault="00125707" w:rsidP="00C37B29">
      <w:pPr>
        <w:pStyle w:val="InstructionsText2"/>
        <w:numPr>
          <w:ilvl w:val="0"/>
          <w:numId w:val="0"/>
        </w:numPr>
        <w:ind w:left="993"/>
      </w:pPr>
      <w:r w:rsidRPr="00EF7F33">
        <w:t>(a)</w:t>
      </w:r>
      <w:r w:rsidRPr="00EF7F33">
        <w:tab/>
        <w:t>U prvoj se fazi originalne izloženosti prije konverzijskih faktora raspoređuju u odgovarajuću kategoriju (originalne) izloženosti iz članka 112. CRR-a, ne dovodeći u pitanje posebni tretman (ponder rizika) koji svaka posebna izloženost dobiva u okviru dodijeljene kategorije izloženosti.</w:t>
      </w:r>
    </w:p>
    <w:p w:rsidR="00464F34" w:rsidRPr="00EF7F33" w:rsidRDefault="00125707" w:rsidP="00C37B29">
      <w:pPr>
        <w:pStyle w:val="InstructionsText2"/>
        <w:numPr>
          <w:ilvl w:val="0"/>
          <w:numId w:val="0"/>
        </w:numPr>
        <w:ind w:left="993"/>
      </w:pPr>
      <w:r w:rsidRPr="00EF7F33">
        <w:t>(b)</w:t>
      </w:r>
      <w:r w:rsidRPr="00EF7F33">
        <w:tab/>
        <w:t>U drugoj se fazi izloženosti mogu ponovno raspodijeliti u druge kategorije i</w:t>
      </w:r>
      <w:r w:rsidRPr="00EF7F33">
        <w:t>z</w:t>
      </w:r>
      <w:r w:rsidRPr="00EF7F33">
        <w:t>loženosti zbog primjene tehnika smanjenja kreditnog rizika s učincima zamjene na izloženost (npr. jamstva, kreditne izvedenice, jednostavna metoda financijskog k</w:t>
      </w:r>
      <w:r w:rsidRPr="00EF7F33">
        <w:t>o</w:t>
      </w:r>
      <w:r w:rsidRPr="00EF7F33">
        <w:t>laterala) preko priljeva i odljeva.</w:t>
      </w:r>
    </w:p>
    <w:p w:rsidR="00464F34" w:rsidRPr="00EF7F33" w:rsidRDefault="00125707" w:rsidP="00C37B29">
      <w:pPr>
        <w:pStyle w:val="InstructionsText2"/>
        <w:numPr>
          <w:ilvl w:val="0"/>
          <w:numId w:val="0"/>
        </w:numPr>
        <w:ind w:left="993"/>
      </w:pPr>
      <w:r w:rsidRPr="00EF7F33">
        <w:t>59.</w:t>
      </w:r>
      <w:r w:rsidRPr="00EF7F33">
        <w:tab/>
        <w:t>Sljedeći se kriteriji primjenjuju za razvrstavanje originalne izloženosti prije konverzijskih faktora u različite kategorije izloženosti (prva faza), ne dovodeći u p</w:t>
      </w:r>
      <w:r w:rsidRPr="00EF7F33">
        <w:t>i</w:t>
      </w:r>
      <w:r w:rsidRPr="00EF7F33">
        <w:t>tanje naknadnu ponovnu raspodjelu do koje je došlo primjenom tehnika smanjenja kreditnog rizika s učincima zamjene na izloženost ili tretman (ponder rizika) koji svaka posebna izloženost prima u okviru dodijeljene kategorije izloženosti.</w:t>
      </w:r>
    </w:p>
    <w:p w:rsidR="00464F34" w:rsidRPr="00EF7F33" w:rsidRDefault="00125707" w:rsidP="00C37B29">
      <w:pPr>
        <w:pStyle w:val="InstructionsText2"/>
        <w:numPr>
          <w:ilvl w:val="0"/>
          <w:numId w:val="0"/>
        </w:numPr>
        <w:ind w:left="993"/>
      </w:pPr>
      <w:r w:rsidRPr="00EF7F33">
        <w:t>60.</w:t>
      </w:r>
      <w:r w:rsidRPr="00EF7F33">
        <w:tab/>
        <w:t>Za potrebe raspoređivanja originalne izloženosti prije konverzijskog faktora u prvoj fazi, tehnike smanjenja kreditnog rizika povezane s izloženosti ne uzimaju se u obzir (uz napomenu da se uzimaju u obzir isključivo u drugoj fazi), osim ako je zaštitni učinak sastavni dio definicije kategorije izloženosti kao što je to slučaju u kategoriji izloženosti navedenoj u članku 112. točki i. CRR-a (izloženosti osigurane nekretninama).</w:t>
      </w:r>
    </w:p>
    <w:p w:rsidR="00464F34" w:rsidRPr="00EF7F33" w:rsidRDefault="00125707" w:rsidP="00C37B29">
      <w:pPr>
        <w:pStyle w:val="InstructionsText2"/>
        <w:numPr>
          <w:ilvl w:val="0"/>
          <w:numId w:val="0"/>
        </w:numPr>
        <w:ind w:left="993"/>
      </w:pPr>
      <w:r w:rsidRPr="00EF7F33">
        <w:t>61.</w:t>
      </w:r>
      <w:r w:rsidRPr="00EF7F33">
        <w:tab/>
        <w:t>Člankom 112. CRR-a nisu predviđeni kriteriji za razdvajanje kategorija izlož</w:t>
      </w:r>
      <w:r w:rsidRPr="00EF7F33">
        <w:t>e</w:t>
      </w:r>
      <w:r w:rsidRPr="00EF7F33">
        <w:t>nosti. To može značiti da bi se jedna izloženost mogla razvrstati u različite kateg</w:t>
      </w:r>
      <w:r w:rsidRPr="00EF7F33">
        <w:t>o</w:t>
      </w:r>
      <w:r w:rsidRPr="00EF7F33">
        <w:t>rije izloženosti ako u kriterijima procjene za razvrstavanje nisu određeni prioriteti. To je najočitije između izloženosti prema institucijama i trgovačkim društvima s kratkoročnom kreditnom procjenom (članak 112. točka (n) CRR-a) te izloženosti prema institucijama (članak 112. točka (f) CRR-a)/izloženosti prema trgovačkim društvima (članak 112. točka (g) CRR-a). U tom je slučaju jasno da postoji implic</w:t>
      </w:r>
      <w:r w:rsidRPr="00EF7F33">
        <w:t>i</w:t>
      </w:r>
      <w:r w:rsidRPr="00EF7F33">
        <w:t>tno određivanje prioriteta u CRR-u, jer se najprije procjenjuje može li se određena izloženost rasporediti u kratkoročne izloženosti prema institucijama i trgovačkim društvima, a tek poslije slijedi isti postupak za izloženosti prema institucijama i i</w:t>
      </w:r>
      <w:r w:rsidRPr="00EF7F33">
        <w:t>z</w:t>
      </w:r>
      <w:r w:rsidRPr="00EF7F33">
        <w:t>loženosti prema trgovačkim društvima. U suprotnom je jasno da neka izloženost n</w:t>
      </w:r>
      <w:r w:rsidRPr="00EF7F33">
        <w:t>i</w:t>
      </w:r>
      <w:r w:rsidRPr="00EF7F33">
        <w:t>kada ne bi bila raspoređena u kategoriju navedenu u članku 112. točki (n) CRR-a. Navedeni primjer jedan je od najočitijih primjera, ali nije jedini. Potrebno je nap</w:t>
      </w:r>
      <w:r w:rsidRPr="00EF7F33">
        <w:t>o</w:t>
      </w:r>
      <w:r w:rsidRPr="00EF7F33">
        <w:t>menuti da se kriteriji korišteni za utvrđivanje kategorija izloženosti u skladu sa standardiziranim pristupom razlikuju (kategorizacija institucija, trajanje izloženosti, status dospjelih nenaplaćenih potraživanja itd.), što je temeljni razlog za nerazdv</w:t>
      </w:r>
      <w:r w:rsidRPr="00EF7F33">
        <w:t>o</w:t>
      </w:r>
      <w:r w:rsidRPr="00EF7F33">
        <w:t>jeno grupiranje.</w:t>
      </w:r>
    </w:p>
    <w:p w:rsidR="00464F34" w:rsidRPr="00EF7F33" w:rsidRDefault="00125707" w:rsidP="00C37B29">
      <w:pPr>
        <w:pStyle w:val="InstructionsText2"/>
        <w:numPr>
          <w:ilvl w:val="0"/>
          <w:numId w:val="0"/>
        </w:numPr>
        <w:ind w:left="993"/>
      </w:pPr>
      <w:r w:rsidRPr="00EF7F33">
        <w:t>62.</w:t>
      </w:r>
      <w:r w:rsidRPr="00EF7F33">
        <w:tab/>
        <w:t>Za ravnomjerno i usporedivo izvješćivanje potrebno je odrediti kriterije pro</w:t>
      </w:r>
      <w:r w:rsidRPr="00EF7F33">
        <w:t>c</w:t>
      </w:r>
      <w:r w:rsidRPr="00EF7F33">
        <w:t>jene za određivanje prioriteta u cilju raspoređivanja originalne izloženosti prije konverzijskog faktora prema kategorijama izloženosti, ne dovodeći u pitanje pos</w:t>
      </w:r>
      <w:r w:rsidRPr="00EF7F33">
        <w:t>e</w:t>
      </w:r>
      <w:r w:rsidRPr="00EF7F33">
        <w:lastRenderedPageBreak/>
        <w:t>bni tretman (ponder rizika) koji svaka posebna izloženost dobiva u okviru dodij</w:t>
      </w:r>
      <w:r w:rsidRPr="00EF7F33">
        <w:t>e</w:t>
      </w:r>
      <w:r w:rsidRPr="00EF7F33">
        <w:t>ljene kategorije izloženosti. Kriteriji za određivanje prioriteta navedeni u nastavku primjenom stabla odlučivanja temelje se na procjeni uvjeta koji su izričito navedeni u CRR-u za određivanja odgovara li izloženost određenoj kategoriji izloženosti i, ako je to slučaj, na svakoj odluci institucija koje izvješćuju ili nadzornog tijela o mogućnosti primjene određenih kategorija izloženosti. Kao takav, ishod postupka raspoređivanja izloženosti za potrebe izvješćivanja bio bi u skladu s odredbama CRR-a. Time se instituciji ne onemogućuje primjena internih postupaka raspoređ</w:t>
      </w:r>
      <w:r w:rsidRPr="00EF7F33">
        <w:t>i</w:t>
      </w:r>
      <w:r w:rsidRPr="00EF7F33">
        <w:t>vanja koji isto mogu biti u skladu sa svim relevantnim odredbama CRR-a i njeg</w:t>
      </w:r>
      <w:r w:rsidRPr="00EF7F33">
        <w:t>o</w:t>
      </w:r>
      <w:r w:rsidRPr="00EF7F33">
        <w:t>vim tumačenjima koja su dala odgovarajuća tijela.</w:t>
      </w:r>
    </w:p>
    <w:p w:rsidR="00464F34" w:rsidRPr="00EF7F33" w:rsidRDefault="00125707" w:rsidP="00C37B29">
      <w:pPr>
        <w:pStyle w:val="InstructionsText2"/>
        <w:numPr>
          <w:ilvl w:val="0"/>
          <w:numId w:val="0"/>
        </w:numPr>
        <w:ind w:left="993"/>
      </w:pPr>
      <w:r w:rsidRPr="00EF7F33">
        <w:t>63.</w:t>
      </w:r>
      <w:r w:rsidRPr="00EF7F33">
        <w:tab/>
        <w:t>Nekoj kategoriji izloženosti daje se prioritet pred drugima pri rangiranju pro</w:t>
      </w:r>
      <w:r w:rsidRPr="00EF7F33">
        <w:t>c</w:t>
      </w:r>
      <w:r w:rsidRPr="00EF7F33">
        <w:t>jena u stablu odlučivanja (tj. najprije se procjenjuje može li joj se dodijeliti izlož</w:t>
      </w:r>
      <w:r w:rsidRPr="00EF7F33">
        <w:t>e</w:t>
      </w:r>
      <w:r w:rsidRPr="00EF7F33">
        <w:t>nost, ne dovodeći u pitanje ishod te procjene) ako joj se inače možda ne bi dodijel</w:t>
      </w:r>
      <w:r w:rsidRPr="00EF7F33">
        <w:t>i</w:t>
      </w:r>
      <w:r w:rsidRPr="00EF7F33">
        <w:t>la nikakva izloženost. To bi bio slučaj kada bi u nedostatku kriterija za određivanje prioriteta jedna kategorija izloženosti bila podgrupa drugih. Kao takvi, kriteriji koji su grafički navedeni u sljedećem stablu odlučivanja primjenjivali bi se određenim redoslijedom.</w:t>
      </w:r>
    </w:p>
    <w:p w:rsidR="00464F34" w:rsidRPr="00EF7F33" w:rsidRDefault="00125707" w:rsidP="00C37B29">
      <w:pPr>
        <w:pStyle w:val="InstructionsText2"/>
        <w:numPr>
          <w:ilvl w:val="0"/>
          <w:numId w:val="0"/>
        </w:numPr>
        <w:ind w:left="993"/>
      </w:pPr>
      <w:r w:rsidRPr="00EF7F33">
        <w:t>64.</w:t>
      </w:r>
      <w:r w:rsidRPr="00EF7F33">
        <w:tab/>
        <w:t>Uzimajući u obzir prethodno navedeno, rangiranje procjena u stablu odlučiv</w:t>
      </w:r>
      <w:r w:rsidRPr="00EF7F33">
        <w:t>a</w:t>
      </w:r>
      <w:r w:rsidRPr="00EF7F33">
        <w:t>nja navedenom u nastavku odvijalo bi se sljedećim redoslijedom:</w:t>
      </w:r>
    </w:p>
    <w:p w:rsidR="00464F34" w:rsidRPr="00EF7F33" w:rsidRDefault="00464F34" w:rsidP="00FD239F">
      <w:pPr>
        <w:pStyle w:val="InstructionsText"/>
      </w:pPr>
      <w:r w:rsidRPr="00EF7F33">
        <w:t>1. sekuritizacijske pozicije;</w:t>
      </w:r>
    </w:p>
    <w:p w:rsidR="00464F34" w:rsidRPr="00EF7F33" w:rsidRDefault="00464F34" w:rsidP="00FD239F">
      <w:pPr>
        <w:pStyle w:val="InstructionsText"/>
      </w:pPr>
      <w:r w:rsidRPr="00EF7F33">
        <w:t xml:space="preserve">2. visokorizične stavke; </w:t>
      </w:r>
    </w:p>
    <w:p w:rsidR="00464F34" w:rsidRPr="00EF7F33" w:rsidRDefault="00464F34" w:rsidP="00FD239F">
      <w:pPr>
        <w:pStyle w:val="InstructionsText"/>
      </w:pPr>
      <w:r w:rsidRPr="00EF7F33">
        <w:t>3. izloženosti na osnovi vlasničkih ulaganja</w:t>
      </w:r>
    </w:p>
    <w:p w:rsidR="00464F34" w:rsidRPr="00EF7F33" w:rsidRDefault="00464F34" w:rsidP="00FD239F">
      <w:pPr>
        <w:pStyle w:val="InstructionsText"/>
      </w:pPr>
      <w:r w:rsidRPr="00EF7F33">
        <w:t>4. izloženosti sa statusom neispunjavanja obveza;</w:t>
      </w:r>
    </w:p>
    <w:p w:rsidR="00464F34" w:rsidRPr="00EF7F33" w:rsidRDefault="00464F34" w:rsidP="00FD239F">
      <w:pPr>
        <w:pStyle w:val="InstructionsText"/>
      </w:pPr>
      <w:r w:rsidRPr="00EF7F33">
        <w:t>5. izloženosti u obliku udjela ili dionica u subjektima za zajednička ulaganja („C</w:t>
      </w:r>
      <w:r w:rsidRPr="00EF7F33">
        <w:t>I</w:t>
      </w:r>
      <w:r w:rsidRPr="00EF7F33">
        <w:t>U”)/izloženosti u obliku pokrivenih obveznica (razdvojene kategorije izloženosti);</w:t>
      </w:r>
    </w:p>
    <w:p w:rsidR="00464F34" w:rsidRPr="00EF7F33" w:rsidRDefault="00464F34" w:rsidP="00FD239F">
      <w:pPr>
        <w:pStyle w:val="InstructionsText"/>
      </w:pPr>
      <w:r w:rsidRPr="00EF7F33">
        <w:t>6. izloženosti osigurane nekretninama;</w:t>
      </w:r>
    </w:p>
    <w:p w:rsidR="00464F34" w:rsidRPr="00EF7F33" w:rsidRDefault="00464F34" w:rsidP="00FD239F">
      <w:pPr>
        <w:pStyle w:val="InstructionsText"/>
      </w:pPr>
      <w:r w:rsidRPr="00EF7F33">
        <w:t>7. ostale stavke;</w:t>
      </w:r>
    </w:p>
    <w:p w:rsidR="00464F34" w:rsidRPr="00EF7F33" w:rsidRDefault="00464F34" w:rsidP="00FD239F">
      <w:pPr>
        <w:pStyle w:val="InstructionsText"/>
      </w:pPr>
      <w:r w:rsidRPr="00EF7F33">
        <w:t>8. izloženosti prema institucijama i društvima s kratkoročnom kreditnom procjenom;</w:t>
      </w:r>
    </w:p>
    <w:p w:rsidR="00464F34" w:rsidRPr="00EF7F33" w:rsidRDefault="00464F34" w:rsidP="00FD239F">
      <w:pPr>
        <w:pStyle w:val="InstructionsText"/>
      </w:pPr>
      <w:r w:rsidRPr="00EF7F33">
        <w:t>9. sve ostale kategorije izloženosti (razdvojene kategorije izloženosti) koje uključuju izlož</w:t>
      </w:r>
      <w:r w:rsidRPr="00EF7F33">
        <w:t>e</w:t>
      </w:r>
      <w:r w:rsidRPr="00EF7F33">
        <w:t>nosti prema središnjim državama ili središnjim bankama; izloženosti prema jedinicama po</w:t>
      </w:r>
      <w:r w:rsidRPr="00EF7F33">
        <w:t>d</w:t>
      </w:r>
      <w:r w:rsidRPr="00EF7F33">
        <w:t>ručne (regionalne) ili lokalne samouprave; izloženosti prema subjektima javnog sektora; izl</w:t>
      </w:r>
      <w:r w:rsidRPr="00EF7F33">
        <w:t>o</w:t>
      </w:r>
      <w:r w:rsidRPr="00EF7F33">
        <w:t>ženosti prema multilateralnim razvojnim bankama; izloženosti prema međunarodnim organ</w:t>
      </w:r>
      <w:r w:rsidRPr="00EF7F33">
        <w:t>i</w:t>
      </w:r>
      <w:r w:rsidRPr="00EF7F33">
        <w:t>zacijama; izloženosti prema institucijama; izloženosti prema trgovačkim društvima i stanovn</w:t>
      </w:r>
      <w:r w:rsidRPr="00EF7F33">
        <w:t>i</w:t>
      </w:r>
      <w:r w:rsidRPr="00EF7F33">
        <w:t>štvu.</w:t>
      </w:r>
    </w:p>
    <w:p w:rsidR="00464F34" w:rsidRPr="00EF7F33" w:rsidRDefault="00125707" w:rsidP="00C37B29">
      <w:pPr>
        <w:pStyle w:val="InstructionsText2"/>
        <w:numPr>
          <w:ilvl w:val="0"/>
          <w:numId w:val="0"/>
        </w:numPr>
        <w:ind w:left="993"/>
      </w:pPr>
      <w:r w:rsidRPr="00EF7F33">
        <w:t>65.</w:t>
      </w:r>
      <w:r w:rsidRPr="00EF7F33">
        <w:tab/>
        <w:t>U slučaju izloženosti u obliku udjela ili dionica u subjektima za zajednička ulaganja i ako se upotrebljava pristup odnosnih izloženosti (članak 132. stavci od 3. do 5. CRR-a), pojedine odnosne izloženosti uzimaju se u obzir i razvrstavaju u o</w:t>
      </w:r>
      <w:r w:rsidRPr="00EF7F33">
        <w:t>d</w:t>
      </w:r>
      <w:r w:rsidRPr="00EF7F33">
        <w:t>govarajuće linije pondera rizika u skladu s njihovim tretmanom, ali se sve pojedine izloženosti razvrstavaju u kategoriju izloženosti u obliku udjela ili dionica u subje</w:t>
      </w:r>
      <w:r w:rsidRPr="00EF7F33">
        <w:t>k</w:t>
      </w:r>
      <w:r w:rsidRPr="00EF7F33">
        <w:t>tima za zajednička ulaganja („CIU”).</w:t>
      </w:r>
    </w:p>
    <w:p w:rsidR="00464F34" w:rsidRPr="00EF7F33" w:rsidRDefault="00125707" w:rsidP="00C37B29">
      <w:pPr>
        <w:pStyle w:val="InstructionsText2"/>
        <w:numPr>
          <w:ilvl w:val="0"/>
          <w:numId w:val="0"/>
        </w:numPr>
        <w:ind w:left="993"/>
      </w:pPr>
      <w:r w:rsidRPr="00EF7F33">
        <w:t>66.</w:t>
      </w:r>
      <w:r w:rsidRPr="00EF7F33">
        <w:tab/>
        <w:t>U slučaju kreditnih izvedenica na osnovi „n-tog” nastanka statusa neispunjav</w:t>
      </w:r>
      <w:r w:rsidRPr="00EF7F33">
        <w:t>a</w:t>
      </w:r>
      <w:r w:rsidRPr="00EF7F33">
        <w:t>nja obveza iz članka 134. stavka 6. CRR-a, ako ih se procjenjuje, izravno ih se r</w:t>
      </w:r>
      <w:r w:rsidRPr="00EF7F33">
        <w:t>a</w:t>
      </w:r>
      <w:r w:rsidRPr="00EF7F33">
        <w:t>zvrstava kao sekuritizacijske pozicije. Ako ih se ne procjenjuje, smatraju se kateg</w:t>
      </w:r>
      <w:r w:rsidRPr="00EF7F33">
        <w:t>o</w:t>
      </w:r>
      <w:r w:rsidRPr="00EF7F33">
        <w:lastRenderedPageBreak/>
        <w:t>rijom izloženosti „ostale stavke”. U potonjem slučaju nominalni iznos ugovora i</w:t>
      </w:r>
      <w:r w:rsidRPr="00EF7F33">
        <w:t>s</w:t>
      </w:r>
      <w:r w:rsidRPr="00EF7F33">
        <w:t>kazuje se kao originalna izloženost prije konverzijskih faktora u stavci za „ostale pondere rizika” (korišteni ponder rizika ponder je rizika određen zbrojem naved</w:t>
      </w:r>
      <w:r w:rsidRPr="00EF7F33">
        <w:t>e</w:t>
      </w:r>
      <w:r w:rsidRPr="00EF7F33">
        <w:t xml:space="preserve">nim u članku 134. stavku 6. CRR-a.) </w:t>
      </w:r>
    </w:p>
    <w:p w:rsidR="00464F34" w:rsidRPr="00EF7F33" w:rsidRDefault="00125707" w:rsidP="00C37B29">
      <w:pPr>
        <w:pStyle w:val="InstructionsText2"/>
        <w:numPr>
          <w:ilvl w:val="0"/>
          <w:numId w:val="0"/>
        </w:numPr>
        <w:ind w:left="993"/>
      </w:pPr>
      <w:r w:rsidRPr="00EF7F33">
        <w:t>67.</w:t>
      </w:r>
      <w:r w:rsidRPr="00EF7F33">
        <w:tab/>
        <w:t>U drugom koraku, kao posljedica tehnika smanjenja kreditnog rizika s učinc</w:t>
      </w:r>
      <w:r w:rsidRPr="00EF7F33">
        <w:t>i</w:t>
      </w:r>
      <w:r w:rsidRPr="00EF7F33">
        <w:t>ma zamjene, izloženosti se ponovno raspoređuju u kategoriju izloženosti pružatelja zaštite.</w:t>
      </w:r>
    </w:p>
    <w:p w:rsidR="00464F34" w:rsidRPr="00EF7F33" w:rsidRDefault="00464F34" w:rsidP="00FD239F">
      <w:pPr>
        <w:pStyle w:val="InstructionsText"/>
      </w:pPr>
      <w:r w:rsidRPr="00EF7F33">
        <w:br w:type="page"/>
      </w:r>
      <w:r w:rsidRPr="00EF7F33">
        <w:lastRenderedPageBreak/>
        <w:t>STABLO ODLUČIVANJA O NAČINU RASPOREĐIVANJA ORIGINALNE IZLOŽ</w:t>
      </w:r>
      <w:r w:rsidRPr="00EF7F33">
        <w:t>E</w:t>
      </w:r>
      <w:r w:rsidRPr="00EF7F33">
        <w:t>NOSTI PRIJE KONVERZIJSKIH FAKTORA U KATEGORIJE IZLOŽENOSTI STA</w:t>
      </w:r>
      <w:r w:rsidRPr="00EF7F33">
        <w:t>N</w:t>
      </w:r>
      <w:r w:rsidRPr="00EF7F33">
        <w:t xml:space="preserve">DARDIZIRANOG PRISTUPA U SKLADU S CRR-om </w:t>
      </w:r>
    </w:p>
    <w:p w:rsidR="00464F34" w:rsidRPr="00EF7F33"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F7F33" w:rsidTr="00672D2A">
        <w:tc>
          <w:tcPr>
            <w:tcW w:w="3761" w:type="dxa"/>
            <w:shd w:val="clear" w:color="auto" w:fill="auto"/>
          </w:tcPr>
          <w:p w:rsidR="003A1B96" w:rsidRPr="00EF7F33" w:rsidRDefault="003A1B96" w:rsidP="00334093">
            <w:pPr>
              <w:spacing w:before="0" w:after="0"/>
              <w:jc w:val="left"/>
              <w:rPr>
                <w:sz w:val="24"/>
              </w:rPr>
            </w:pPr>
            <w:r w:rsidRPr="00EF7F33">
              <w:rPr>
                <w:rFonts w:ascii="Times New Roman" w:hAnsi="Times New Roman"/>
                <w:sz w:val="24"/>
              </w:rPr>
              <w:t>Originalna izloženost prije konve</w:t>
            </w:r>
            <w:r w:rsidRPr="00EF7F33">
              <w:rPr>
                <w:rFonts w:ascii="Times New Roman" w:hAnsi="Times New Roman"/>
                <w:sz w:val="24"/>
              </w:rPr>
              <w:t>r</w:t>
            </w:r>
            <w:r w:rsidRPr="00EF7F33">
              <w:rPr>
                <w:rFonts w:ascii="Times New Roman" w:hAnsi="Times New Roman"/>
                <w:sz w:val="24"/>
              </w:rPr>
              <w:t>zijskih faktora</w:t>
            </w:r>
          </w:p>
        </w:tc>
        <w:tc>
          <w:tcPr>
            <w:tcW w:w="1417" w:type="dxa"/>
            <w:shd w:val="clear" w:color="auto" w:fill="auto"/>
          </w:tcPr>
          <w:p w:rsidR="003A1B96" w:rsidRPr="00EF7F33" w:rsidRDefault="003A1B96" w:rsidP="00FD239F">
            <w:pPr>
              <w:pStyle w:val="InstructionsText"/>
            </w:pPr>
          </w:p>
        </w:tc>
        <w:tc>
          <w:tcPr>
            <w:tcW w:w="4077" w:type="dxa"/>
            <w:shd w:val="clear" w:color="auto" w:fill="auto"/>
          </w:tcPr>
          <w:p w:rsidR="003A1B96" w:rsidRPr="00EF7F33" w:rsidRDefault="003A1B96"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točke (m)?</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62E2C3B8" wp14:editId="307B6627">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Sekuritizacijske pozicije</w:t>
            </w:r>
          </w:p>
        </w:tc>
      </w:tr>
      <w:tr w:rsidR="005B3B7C" w:rsidRPr="00EF7F33" w:rsidTr="00672D2A">
        <w:tc>
          <w:tcPr>
            <w:tcW w:w="3761" w:type="dxa"/>
            <w:shd w:val="clear" w:color="auto" w:fill="auto"/>
          </w:tcPr>
          <w:p w:rsidR="00581FA5" w:rsidRPr="00EF7F33" w:rsidRDefault="00581FA5" w:rsidP="00FD239F">
            <w:pPr>
              <w:pStyle w:val="InstructionsText"/>
            </w:pPr>
            <w:r w:rsidRPr="00EF7F33">
              <w:t xml:space="preserve">NE </w:t>
            </w:r>
            <w:r w:rsidRPr="00EF7F33">
              <w:rPr>
                <w:noProof/>
                <w:lang w:val="en-GB" w:eastAsia="en-GB" w:bidi="ar-SA"/>
              </w:rPr>
              <w:drawing>
                <wp:inline distT="0" distB="0" distL="0" distR="0" wp14:anchorId="090AA6C3" wp14:editId="78AC29F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EF7F33" w:rsidRDefault="005B3B7C" w:rsidP="00FD239F">
            <w:pPr>
              <w:pStyle w:val="InstructionsText"/>
            </w:pPr>
          </w:p>
        </w:tc>
        <w:tc>
          <w:tcPr>
            <w:tcW w:w="1417" w:type="dxa"/>
            <w:shd w:val="clear" w:color="auto" w:fill="auto"/>
          </w:tcPr>
          <w:p w:rsidR="005B3B7C" w:rsidRPr="00EF7F33" w:rsidRDefault="005B3B7C" w:rsidP="00FD239F">
            <w:pPr>
              <w:pStyle w:val="InstructionsText"/>
            </w:pPr>
          </w:p>
        </w:tc>
        <w:tc>
          <w:tcPr>
            <w:tcW w:w="4077" w:type="dxa"/>
            <w:shd w:val="clear" w:color="auto" w:fill="auto"/>
          </w:tcPr>
          <w:p w:rsidR="005B3B7C" w:rsidRPr="00EF7F33" w:rsidRDefault="005B3B7C" w:rsidP="00FD239F">
            <w:pPr>
              <w:pStyle w:val="InstructionsText"/>
            </w:pPr>
          </w:p>
        </w:tc>
      </w:tr>
      <w:tr w:rsidR="003A1B96" w:rsidRPr="00EF7F33" w:rsidTr="00672D2A">
        <w:tc>
          <w:tcPr>
            <w:tcW w:w="3761" w:type="dxa"/>
            <w:shd w:val="clear" w:color="auto" w:fill="auto"/>
          </w:tcPr>
          <w:p w:rsidR="003A1B96" w:rsidRPr="00EF7F33" w:rsidRDefault="003A1B96" w:rsidP="00FD239F">
            <w:pPr>
              <w:pStyle w:val="InstructionsText"/>
            </w:pPr>
            <w:r w:rsidRPr="00EF7F33">
              <w:t>Može li se rasporediti u kategoriju izloženosti iz članka 112. točke (k)?</w:t>
            </w:r>
          </w:p>
        </w:tc>
        <w:tc>
          <w:tcPr>
            <w:tcW w:w="1417" w:type="dxa"/>
            <w:shd w:val="clear" w:color="auto" w:fill="auto"/>
          </w:tcPr>
          <w:p w:rsidR="00AC3054" w:rsidRPr="00EF7F33" w:rsidRDefault="00974E3F" w:rsidP="00FD239F">
            <w:pPr>
              <w:pStyle w:val="InstructionsText"/>
            </w:pPr>
            <w:r w:rsidRPr="00EF7F33">
              <w:t xml:space="preserve">DA </w:t>
            </w:r>
            <w:r w:rsidRPr="00EF7F33">
              <w:rPr>
                <w:noProof/>
                <w:lang w:val="en-GB" w:eastAsia="en-GB" w:bidi="ar-SA"/>
              </w:rPr>
              <w:drawing>
                <wp:inline distT="0" distB="0" distL="0" distR="0" wp14:anchorId="7FD36349" wp14:editId="6B94F74E">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EF7F33" w:rsidRDefault="00BD52C3" w:rsidP="00FD239F">
            <w:pPr>
              <w:pStyle w:val="InstructionsText"/>
            </w:pPr>
          </w:p>
          <w:p w:rsidR="003A1B96" w:rsidRPr="00EF7F33" w:rsidRDefault="003A1B96" w:rsidP="00FD239F">
            <w:pPr>
              <w:pStyle w:val="InstructionsText"/>
            </w:pPr>
          </w:p>
        </w:tc>
        <w:tc>
          <w:tcPr>
            <w:tcW w:w="4077" w:type="dxa"/>
            <w:shd w:val="clear" w:color="auto" w:fill="auto"/>
          </w:tcPr>
          <w:p w:rsidR="003A1B96" w:rsidRPr="00EF7F33" w:rsidRDefault="003A1B96" w:rsidP="00FD239F">
            <w:pPr>
              <w:pStyle w:val="InstructionsText"/>
            </w:pPr>
            <w:r w:rsidRPr="00EF7F33">
              <w:t>Visokorizične stavke (vidjeti i članak 128.)</w:t>
            </w:r>
          </w:p>
        </w:tc>
      </w:tr>
      <w:tr w:rsidR="003A1B96"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4CE05B0E" wp14:editId="5611FB55">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EF7F33" w:rsidRDefault="003A1B96" w:rsidP="00FD239F">
            <w:pPr>
              <w:pStyle w:val="InstructionsText"/>
            </w:pPr>
          </w:p>
        </w:tc>
        <w:tc>
          <w:tcPr>
            <w:tcW w:w="1417" w:type="dxa"/>
            <w:shd w:val="clear" w:color="auto" w:fill="auto"/>
          </w:tcPr>
          <w:p w:rsidR="003A1B96" w:rsidRPr="00EF7F33" w:rsidRDefault="003A1B96" w:rsidP="00FD239F">
            <w:pPr>
              <w:pStyle w:val="InstructionsText"/>
            </w:pPr>
          </w:p>
        </w:tc>
        <w:tc>
          <w:tcPr>
            <w:tcW w:w="4077" w:type="dxa"/>
            <w:shd w:val="clear" w:color="auto" w:fill="auto"/>
          </w:tcPr>
          <w:p w:rsidR="003A1B96" w:rsidRPr="00EF7F33" w:rsidRDefault="003A1B96" w:rsidP="00FD239F">
            <w:pPr>
              <w:pStyle w:val="InstructionsText"/>
            </w:pPr>
          </w:p>
        </w:tc>
      </w:tr>
      <w:tr w:rsidR="003A1B96" w:rsidRPr="00EF7F33" w:rsidTr="00672D2A">
        <w:tc>
          <w:tcPr>
            <w:tcW w:w="3761" w:type="dxa"/>
            <w:shd w:val="clear" w:color="auto" w:fill="auto"/>
          </w:tcPr>
          <w:p w:rsidR="003A1B96" w:rsidRPr="00EF7F33" w:rsidRDefault="003A1B96" w:rsidP="00FD239F">
            <w:pPr>
              <w:pStyle w:val="InstructionsText"/>
            </w:pPr>
            <w:r w:rsidRPr="00EF7F33">
              <w:t>Može li se rasporediti u kategoriju izloženosti iz članka 112. točke (p)?</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0AE3BE27" wp14:editId="5E02A293">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EF7F33" w:rsidRDefault="003A1B96" w:rsidP="00FD239F">
            <w:pPr>
              <w:pStyle w:val="InstructionsText"/>
            </w:pPr>
          </w:p>
        </w:tc>
        <w:tc>
          <w:tcPr>
            <w:tcW w:w="4077" w:type="dxa"/>
            <w:shd w:val="clear" w:color="auto" w:fill="auto"/>
          </w:tcPr>
          <w:p w:rsidR="003A1B96" w:rsidRPr="00EF7F33" w:rsidRDefault="003A1B96" w:rsidP="00FD239F">
            <w:pPr>
              <w:pStyle w:val="InstructionsText"/>
            </w:pPr>
            <w:r w:rsidRPr="00EF7F33">
              <w:t>Izloženosti na osnovi vlasničkih ulag</w:t>
            </w:r>
            <w:r w:rsidRPr="00EF7F33">
              <w:t>a</w:t>
            </w:r>
            <w:r w:rsidRPr="00EF7F33">
              <w:t>nja (vidjeti i članak 133.)</w:t>
            </w:r>
          </w:p>
        </w:tc>
      </w:tr>
      <w:tr w:rsidR="003A1B96"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2623DB63" wp14:editId="48A433B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EF7F33" w:rsidRDefault="003A1B96" w:rsidP="00FD239F">
            <w:pPr>
              <w:pStyle w:val="InstructionsText"/>
            </w:pPr>
          </w:p>
        </w:tc>
        <w:tc>
          <w:tcPr>
            <w:tcW w:w="1417" w:type="dxa"/>
            <w:shd w:val="clear" w:color="auto" w:fill="auto"/>
          </w:tcPr>
          <w:p w:rsidR="003A1B96" w:rsidRPr="00EF7F33" w:rsidRDefault="003A1B96" w:rsidP="00FD239F">
            <w:pPr>
              <w:pStyle w:val="InstructionsText"/>
            </w:pPr>
          </w:p>
        </w:tc>
        <w:tc>
          <w:tcPr>
            <w:tcW w:w="4077" w:type="dxa"/>
            <w:shd w:val="clear" w:color="auto" w:fill="auto"/>
          </w:tcPr>
          <w:p w:rsidR="003A1B96" w:rsidRPr="00EF7F33" w:rsidRDefault="003A1B96"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točke (j)?</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5E60C9A5" wp14:editId="4224BAC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Izloženosti sa statusom neispunjavanja obveza</w:t>
            </w:r>
          </w:p>
        </w:tc>
      </w:tr>
      <w:tr w:rsidR="00581FA5"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161F079E" wp14:editId="3F73F444">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EF7F33" w:rsidRDefault="00581FA5" w:rsidP="00FD239F">
            <w:pPr>
              <w:pStyle w:val="InstructionsText"/>
            </w:pPr>
          </w:p>
        </w:tc>
        <w:tc>
          <w:tcPr>
            <w:tcW w:w="1417" w:type="dxa"/>
            <w:shd w:val="clear" w:color="auto" w:fill="auto"/>
          </w:tcPr>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točaka (l) i (o)?</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5E6EB390" wp14:editId="57EB7381">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Izloženosti u obliku udjela ili dionica u subjektima za zajednička ulaganja (C</w:t>
            </w:r>
            <w:r w:rsidRPr="00EF7F33">
              <w:t>I</w:t>
            </w:r>
            <w:r w:rsidRPr="00EF7F33">
              <w:t>U)</w:t>
            </w:r>
          </w:p>
          <w:p w:rsidR="00581FA5" w:rsidRPr="00EF7F33" w:rsidRDefault="00581FA5" w:rsidP="00FD239F">
            <w:pPr>
              <w:pStyle w:val="InstructionsText"/>
            </w:pPr>
            <w:r w:rsidRPr="00EF7F33">
              <w:t>Izloženosti u obliku pokrivenih obve</w:t>
            </w:r>
            <w:r w:rsidRPr="00EF7F33">
              <w:t>z</w:t>
            </w:r>
            <w:r w:rsidRPr="00EF7F33">
              <w:t>nica (vidjeti i članak 129.)</w:t>
            </w:r>
          </w:p>
          <w:p w:rsidR="00581FA5" w:rsidRPr="00EF7F33" w:rsidRDefault="00581FA5" w:rsidP="00FD239F">
            <w:pPr>
              <w:pStyle w:val="InstructionsText"/>
            </w:pPr>
            <w:r w:rsidRPr="00EF7F33">
              <w:t>Te su dvije kategorije izloženosti m</w:t>
            </w:r>
            <w:r w:rsidRPr="00EF7F33">
              <w:t>e</w:t>
            </w:r>
            <w:r w:rsidRPr="00EF7F33">
              <w:t>đusobno razdvojene (vidjeti napomene o pristupu odnosnih izloženosti u pre</w:t>
            </w:r>
            <w:r w:rsidRPr="00EF7F33">
              <w:t>t</w:t>
            </w:r>
            <w:r w:rsidRPr="00EF7F33">
              <w:t>hodnom odgovoru). Stoga je raspoređ</w:t>
            </w:r>
            <w:r w:rsidRPr="00EF7F33">
              <w:t>i</w:t>
            </w:r>
            <w:r w:rsidRPr="00EF7F33">
              <w:lastRenderedPageBreak/>
              <w:t>vanje u jednu od tih kategorija izravno.</w:t>
            </w:r>
          </w:p>
        </w:tc>
      </w:tr>
      <w:tr w:rsidR="00581FA5" w:rsidRPr="00EF7F33" w:rsidTr="00672D2A">
        <w:tc>
          <w:tcPr>
            <w:tcW w:w="3761" w:type="dxa"/>
            <w:shd w:val="clear" w:color="auto" w:fill="auto"/>
          </w:tcPr>
          <w:p w:rsidR="007241D3" w:rsidRPr="00EF7F33" w:rsidRDefault="007241D3" w:rsidP="00FD239F">
            <w:pPr>
              <w:pStyle w:val="InstructionsText"/>
            </w:pPr>
            <w:r w:rsidRPr="00EF7F33">
              <w:lastRenderedPageBreak/>
              <w:t xml:space="preserve">NE </w:t>
            </w:r>
            <w:r w:rsidRPr="00EF7F33">
              <w:rPr>
                <w:noProof/>
                <w:lang w:val="en-GB" w:eastAsia="en-GB" w:bidi="ar-SA"/>
              </w:rPr>
              <w:drawing>
                <wp:inline distT="0" distB="0" distL="0" distR="0" wp14:anchorId="7EBAEDAE" wp14:editId="643D39E6">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EF7F33" w:rsidRDefault="00581FA5" w:rsidP="00FD239F">
            <w:pPr>
              <w:pStyle w:val="InstructionsText"/>
            </w:pPr>
          </w:p>
        </w:tc>
        <w:tc>
          <w:tcPr>
            <w:tcW w:w="1417" w:type="dxa"/>
            <w:shd w:val="clear" w:color="auto" w:fill="auto"/>
          </w:tcPr>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točke i.?</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1BE318FA" wp14:editId="7242024A">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Izloženosti osigurane nekretninama (v</w:t>
            </w:r>
            <w:r w:rsidRPr="00EF7F33">
              <w:t>i</w:t>
            </w:r>
            <w:r w:rsidRPr="00EF7F33">
              <w:t>djeti i članak 124.)</w:t>
            </w:r>
          </w:p>
        </w:tc>
      </w:tr>
      <w:tr w:rsidR="00581FA5"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695EB80F" wp14:editId="71C7F5EE">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EF7F33" w:rsidRDefault="00581FA5" w:rsidP="00FD239F">
            <w:pPr>
              <w:pStyle w:val="InstructionsText"/>
            </w:pPr>
          </w:p>
        </w:tc>
        <w:tc>
          <w:tcPr>
            <w:tcW w:w="1417" w:type="dxa"/>
            <w:shd w:val="clear" w:color="auto" w:fill="auto"/>
          </w:tcPr>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točke (q)?</w:t>
            </w:r>
          </w:p>
        </w:tc>
        <w:tc>
          <w:tcPr>
            <w:tcW w:w="1417" w:type="dxa"/>
            <w:shd w:val="clear" w:color="auto" w:fill="auto"/>
          </w:tcPr>
          <w:p w:rsidR="00BD52C3" w:rsidRPr="00EF7F33" w:rsidRDefault="00BD52C3" w:rsidP="00FD239F">
            <w:pPr>
              <w:pStyle w:val="InstructionsText"/>
            </w:pPr>
            <w:r w:rsidRPr="00EF7F33">
              <w:t xml:space="preserve">DA </w:t>
            </w:r>
            <w:r w:rsidRPr="00EF7F33">
              <w:rPr>
                <w:noProof/>
                <w:lang w:val="en-GB" w:eastAsia="en-GB" w:bidi="ar-SA"/>
              </w:rPr>
              <w:drawing>
                <wp:inline distT="0" distB="0" distL="0" distR="0" wp14:anchorId="1F32AD8A" wp14:editId="76384732">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Ostale stavke</w:t>
            </w:r>
          </w:p>
        </w:tc>
      </w:tr>
      <w:tr w:rsidR="00581FA5"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68102E9D" wp14:editId="4FD93AFD">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EF7F33" w:rsidRDefault="00581FA5" w:rsidP="00FD239F">
            <w:pPr>
              <w:pStyle w:val="InstructionsText"/>
            </w:pPr>
          </w:p>
        </w:tc>
        <w:tc>
          <w:tcPr>
            <w:tcW w:w="1417" w:type="dxa"/>
            <w:shd w:val="clear" w:color="auto" w:fill="auto"/>
          </w:tcPr>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p>
        </w:tc>
      </w:tr>
      <w:tr w:rsidR="00581FA5" w:rsidRPr="00EF7F33" w:rsidTr="00672D2A">
        <w:tc>
          <w:tcPr>
            <w:tcW w:w="3761" w:type="dxa"/>
            <w:shd w:val="clear" w:color="auto" w:fill="auto"/>
          </w:tcPr>
          <w:p w:rsidR="00581FA5" w:rsidRPr="00EF7F33" w:rsidRDefault="00581FA5" w:rsidP="00FD239F">
            <w:pPr>
              <w:pStyle w:val="InstructionsText"/>
            </w:pPr>
            <w:r w:rsidRPr="00EF7F33">
              <w:t>Može li se rasporediti u kategoriju izloženosti iz članka 112. točke (n)?</w:t>
            </w:r>
          </w:p>
        </w:tc>
        <w:tc>
          <w:tcPr>
            <w:tcW w:w="1417" w:type="dxa"/>
            <w:shd w:val="clear" w:color="auto" w:fill="auto"/>
          </w:tcPr>
          <w:p w:rsidR="0063493E" w:rsidRPr="00EF7F33" w:rsidRDefault="0063493E" w:rsidP="00FD239F">
            <w:pPr>
              <w:pStyle w:val="InstructionsText"/>
            </w:pPr>
            <w:r w:rsidRPr="00EF7F33">
              <w:t xml:space="preserve">DA </w:t>
            </w:r>
            <w:r w:rsidRPr="00EF7F33">
              <w:rPr>
                <w:noProof/>
                <w:lang w:val="en-GB" w:eastAsia="en-GB" w:bidi="ar-SA"/>
              </w:rPr>
              <w:drawing>
                <wp:inline distT="0" distB="0" distL="0" distR="0" wp14:anchorId="5BB8E2B6" wp14:editId="5EDE420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r w:rsidRPr="00EF7F33">
              <w:t>Izloženosti prema institucijama i dru</w:t>
            </w:r>
            <w:r w:rsidRPr="00EF7F33">
              <w:t>š</w:t>
            </w:r>
            <w:r w:rsidRPr="00EF7F33">
              <w:t>tvima s kratkoročnom kreditnom pro</w:t>
            </w:r>
            <w:r w:rsidRPr="00EF7F33">
              <w:t>c</w:t>
            </w:r>
            <w:r w:rsidRPr="00EF7F33">
              <w:t>jenom</w:t>
            </w:r>
          </w:p>
        </w:tc>
      </w:tr>
      <w:tr w:rsidR="00581FA5" w:rsidRPr="00EF7F33" w:rsidTr="00672D2A">
        <w:tc>
          <w:tcPr>
            <w:tcW w:w="3761" w:type="dxa"/>
            <w:shd w:val="clear" w:color="auto" w:fill="auto"/>
          </w:tcPr>
          <w:p w:rsidR="007241D3" w:rsidRPr="00EF7F33" w:rsidRDefault="007241D3" w:rsidP="00FD239F">
            <w:pPr>
              <w:pStyle w:val="InstructionsText"/>
            </w:pPr>
            <w:r w:rsidRPr="00EF7F33">
              <w:t xml:space="preserve">NE </w:t>
            </w:r>
            <w:r w:rsidRPr="00EF7F33">
              <w:rPr>
                <w:noProof/>
                <w:lang w:val="en-GB" w:eastAsia="en-GB" w:bidi="ar-SA"/>
              </w:rPr>
              <w:drawing>
                <wp:inline distT="0" distB="0" distL="0" distR="0" wp14:anchorId="0F98AFB6" wp14:editId="6F999B6D">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EF7F33" w:rsidRDefault="00581FA5" w:rsidP="00FD239F">
            <w:pPr>
              <w:pStyle w:val="InstructionsText"/>
            </w:pPr>
          </w:p>
        </w:tc>
        <w:tc>
          <w:tcPr>
            <w:tcW w:w="1417" w:type="dxa"/>
            <w:shd w:val="clear" w:color="auto" w:fill="auto"/>
          </w:tcPr>
          <w:p w:rsidR="00581FA5" w:rsidRPr="00EF7F33" w:rsidRDefault="00581FA5" w:rsidP="00FD239F">
            <w:pPr>
              <w:pStyle w:val="InstructionsText"/>
            </w:pPr>
          </w:p>
        </w:tc>
        <w:tc>
          <w:tcPr>
            <w:tcW w:w="4077" w:type="dxa"/>
            <w:shd w:val="clear" w:color="auto" w:fill="auto"/>
          </w:tcPr>
          <w:p w:rsidR="00581FA5" w:rsidRPr="00EF7F33" w:rsidRDefault="00581FA5" w:rsidP="00FD239F">
            <w:pPr>
              <w:pStyle w:val="InstructionsText"/>
            </w:pPr>
          </w:p>
        </w:tc>
      </w:tr>
      <w:tr w:rsidR="00581FA5" w:rsidRPr="00EF7F33" w:rsidTr="00672D2A">
        <w:tc>
          <w:tcPr>
            <w:tcW w:w="9255" w:type="dxa"/>
            <w:gridSpan w:val="3"/>
            <w:shd w:val="clear" w:color="auto" w:fill="auto"/>
          </w:tcPr>
          <w:p w:rsidR="00581FA5" w:rsidRPr="00EF7F33" w:rsidRDefault="00581FA5" w:rsidP="00FD239F">
            <w:pPr>
              <w:pStyle w:val="InstructionsText"/>
            </w:pPr>
            <w:r w:rsidRPr="00EF7F33">
              <w:t>Izloženosti u nastavku međusobno su razdvojene. Stoga je raspoređivanje u jednu od tih kat</w:t>
            </w:r>
            <w:r w:rsidRPr="00EF7F33">
              <w:t>e</w:t>
            </w:r>
            <w:r w:rsidRPr="00EF7F33">
              <w:t>gorija izravno.</w:t>
            </w:r>
          </w:p>
          <w:p w:rsidR="00581FA5" w:rsidRPr="00EF7F33" w:rsidRDefault="00581FA5" w:rsidP="00FD239F">
            <w:pPr>
              <w:pStyle w:val="InstructionsText"/>
            </w:pPr>
            <w:r w:rsidRPr="00EF7F33">
              <w:t>Izloženosti prema središnjim državama ili središnjim bankama</w:t>
            </w:r>
          </w:p>
          <w:p w:rsidR="00581FA5" w:rsidRPr="00EF7F33" w:rsidRDefault="00581FA5" w:rsidP="00FD239F">
            <w:pPr>
              <w:pStyle w:val="InstructionsText"/>
            </w:pPr>
            <w:r w:rsidRPr="00EF7F33">
              <w:t>Izloženosti prema jedinicama područne (regionalne) ili lokalne samouprave</w:t>
            </w:r>
          </w:p>
          <w:p w:rsidR="00581FA5" w:rsidRPr="00EF7F33" w:rsidRDefault="00581FA5" w:rsidP="00FD239F">
            <w:pPr>
              <w:pStyle w:val="InstructionsText"/>
            </w:pPr>
            <w:r w:rsidRPr="00EF7F33">
              <w:t>Izloženosti prema subjektima javnog sektora</w:t>
            </w:r>
          </w:p>
          <w:p w:rsidR="00581FA5" w:rsidRPr="00EF7F33" w:rsidRDefault="00581FA5" w:rsidP="00FD239F">
            <w:pPr>
              <w:pStyle w:val="InstructionsText"/>
            </w:pPr>
            <w:r w:rsidRPr="00EF7F33">
              <w:t>Izloženosti prema multilateralnim razvojnim bankama</w:t>
            </w:r>
          </w:p>
          <w:p w:rsidR="00581FA5" w:rsidRPr="00EF7F33" w:rsidRDefault="00581FA5" w:rsidP="00FD239F">
            <w:pPr>
              <w:pStyle w:val="InstructionsText"/>
            </w:pPr>
            <w:r w:rsidRPr="00EF7F33">
              <w:t>Izloženosti prema međunarodnim organizacijama</w:t>
            </w:r>
          </w:p>
          <w:p w:rsidR="00581FA5" w:rsidRPr="00EF7F33" w:rsidRDefault="00581FA5" w:rsidP="00FD239F">
            <w:pPr>
              <w:pStyle w:val="InstructionsText"/>
            </w:pPr>
            <w:r w:rsidRPr="00EF7F33">
              <w:t>Izloženosti prema institucijama</w:t>
            </w:r>
          </w:p>
          <w:p w:rsidR="00581FA5" w:rsidRPr="00EF7F33" w:rsidRDefault="00581FA5" w:rsidP="00FD239F">
            <w:pPr>
              <w:pStyle w:val="InstructionsText"/>
            </w:pPr>
            <w:r w:rsidRPr="00EF7F33">
              <w:t>Izloženosti prema trgovačkim društvima</w:t>
            </w:r>
          </w:p>
          <w:p w:rsidR="00581FA5" w:rsidRPr="00EF7F33" w:rsidRDefault="00581FA5" w:rsidP="00FD239F">
            <w:pPr>
              <w:pStyle w:val="InstructionsText"/>
            </w:pPr>
            <w:r w:rsidRPr="00EF7F33">
              <w:t>Izloženosti prema stanovništvu</w:t>
            </w:r>
          </w:p>
        </w:tc>
      </w:tr>
    </w:tbl>
    <w:p w:rsidR="00464F34" w:rsidRPr="00EF7F33" w:rsidRDefault="00464F34" w:rsidP="00FD239F">
      <w:pPr>
        <w:pStyle w:val="InstructionsText"/>
      </w:pPr>
    </w:p>
    <w:p w:rsidR="00464F34" w:rsidRPr="00EF7F33" w:rsidRDefault="00464F34" w:rsidP="00FD239F">
      <w:pPr>
        <w:pStyle w:val="InstructionsText"/>
      </w:pPr>
    </w:p>
    <w:p w:rsidR="0073242B" w:rsidRPr="00EF7F33" w:rsidRDefault="0073242B">
      <w:pPr>
        <w:spacing w:before="0" w:after="0"/>
        <w:jc w:val="left"/>
        <w:rPr>
          <w:rFonts w:ascii="Times New Roman" w:hAnsi="Times New Roman"/>
          <w:bCs/>
          <w:sz w:val="24"/>
        </w:rPr>
      </w:pPr>
      <w:r w:rsidRPr="00EF7F33">
        <w:br w:type="page"/>
      </w:r>
    </w:p>
    <w:p w:rsidR="00464F34" w:rsidRPr="00EF7F33" w:rsidRDefault="00464F34" w:rsidP="00FD239F">
      <w:pPr>
        <w:pStyle w:val="InstructionsText"/>
      </w:pP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516210636"/>
      <w:bookmarkStart w:id="235" w:name="_Toc473560901"/>
      <w:bookmarkStart w:id="236" w:name="_Toc523998128"/>
      <w:r w:rsidRPr="00EF7F33">
        <w:rPr>
          <w:rFonts w:ascii="Times New Roman" w:hAnsi="Times New Roman"/>
          <w:sz w:val="24"/>
          <w:u w:val="none"/>
        </w:rPr>
        <w:t>3.2.4.</w:t>
      </w:r>
      <w:r w:rsidRPr="00EF7F33">
        <w:tab/>
      </w:r>
      <w:r w:rsidRPr="00EF7F33">
        <w:rPr>
          <w:rFonts w:ascii="Times New Roman" w:hAnsi="Times New Roman"/>
          <w:sz w:val="24"/>
        </w:rPr>
        <w:t>Pojašnjenja opsega nekih posebnih kategorija izloženosti iz članka 112. CRR-a</w:t>
      </w:r>
      <w:bookmarkEnd w:id="228"/>
      <w:bookmarkEnd w:id="229"/>
      <w:bookmarkEnd w:id="230"/>
      <w:bookmarkEnd w:id="231"/>
      <w:bookmarkEnd w:id="232"/>
      <w:bookmarkEnd w:id="233"/>
      <w:bookmarkEnd w:id="234"/>
      <w:bookmarkEnd w:id="235"/>
      <w:bookmarkEnd w:id="236"/>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516210637"/>
      <w:bookmarkStart w:id="239" w:name="_Toc473560902"/>
      <w:bookmarkStart w:id="240" w:name="_Toc523998129"/>
      <w:r w:rsidRPr="00EF7F33">
        <w:rPr>
          <w:rFonts w:ascii="Times New Roman" w:hAnsi="Times New Roman"/>
          <w:sz w:val="24"/>
          <w:u w:val="none"/>
        </w:rPr>
        <w:t>3.2.4.1.</w:t>
      </w:r>
      <w:r w:rsidRPr="00EF7F33">
        <w:tab/>
      </w:r>
      <w:r w:rsidRPr="00EF7F33">
        <w:rPr>
          <w:rFonts w:ascii="Times New Roman" w:hAnsi="Times New Roman"/>
          <w:sz w:val="24"/>
        </w:rPr>
        <w:t>Kategorija izloženosti „institucije”</w:t>
      </w:r>
      <w:bookmarkEnd w:id="237"/>
      <w:bookmarkEnd w:id="238"/>
      <w:bookmarkEnd w:id="239"/>
      <w:bookmarkEnd w:id="240"/>
    </w:p>
    <w:p w:rsidR="00464F34" w:rsidRPr="00EF7F33" w:rsidRDefault="00125707" w:rsidP="00C37B29">
      <w:pPr>
        <w:pStyle w:val="InstructionsText2"/>
        <w:numPr>
          <w:ilvl w:val="0"/>
          <w:numId w:val="0"/>
        </w:numPr>
        <w:ind w:left="993"/>
      </w:pPr>
      <w:r w:rsidRPr="00EF7F33">
        <w:t>68.</w:t>
      </w:r>
      <w:r w:rsidRPr="00EF7F33">
        <w:tab/>
        <w:t>Unutargrupne izloženosti u skladu s člankom 113. stavcima od 6. do 7. CRR-a iskazuju se kako slijedi:</w:t>
      </w:r>
    </w:p>
    <w:p w:rsidR="00464F34" w:rsidRPr="00EF7F33" w:rsidRDefault="00125707" w:rsidP="00C37B29">
      <w:pPr>
        <w:pStyle w:val="InstructionsText2"/>
        <w:numPr>
          <w:ilvl w:val="0"/>
          <w:numId w:val="0"/>
        </w:numPr>
        <w:ind w:left="993"/>
      </w:pPr>
      <w:r w:rsidRPr="00EF7F33">
        <w:t>69.</w:t>
      </w:r>
      <w:r w:rsidRPr="00EF7F33">
        <w:tab/>
        <w:t>Izloženosti koje ispunjavaju zahtjeve iz članka 113. stavka 7. CRR-a iskazuju se u odgovarajućim kategorijama izloženosti u kojima bi se iskazivale kad ne bi b</w:t>
      </w:r>
      <w:r w:rsidRPr="00EF7F33">
        <w:t>i</w:t>
      </w:r>
      <w:r w:rsidRPr="00EF7F33">
        <w:t xml:space="preserve">lo unutargrupnih izloženosti. </w:t>
      </w:r>
    </w:p>
    <w:p w:rsidR="00464F34" w:rsidRPr="00EF7F33" w:rsidRDefault="00125707" w:rsidP="00C37B29">
      <w:pPr>
        <w:pStyle w:val="InstructionsText2"/>
        <w:numPr>
          <w:ilvl w:val="0"/>
          <w:numId w:val="0"/>
        </w:numPr>
        <w:ind w:left="993"/>
      </w:pPr>
      <w:r w:rsidRPr="00EF7F33">
        <w:t>70.</w:t>
      </w:r>
      <w:r w:rsidRPr="00EF7F33">
        <w:tab/>
        <w:t>U skladu s člankom 113. stavcima 6. i 7. CRR-a „institucija može uz prethodnu suglasnost nadležnih tijela odlučiti ne primjenjivati zahtjeve iz stavka 1. ovog čla</w:t>
      </w:r>
      <w:r w:rsidRPr="00EF7F33">
        <w:t>n</w:t>
      </w:r>
      <w:r w:rsidRPr="00EF7F33">
        <w:t>ka na izloženosti te institucije prema drugoj ugovornoj strani koja je njezino mati</w:t>
      </w:r>
      <w:r w:rsidRPr="00EF7F33">
        <w:t>č</w:t>
      </w:r>
      <w:r w:rsidRPr="00EF7F33">
        <w:t>no društvo, njezino društvo kći, društvo kći njezinog matičnog društva ili društvo povezano odnosom u smislu članka 12. stavka 1. Direktive 83/349/EEZ”. To znači da unutargrupne druge ugovorne strane nisu nužno institucije, nego i društva rasp</w:t>
      </w:r>
      <w:r w:rsidRPr="00EF7F33">
        <w:t>o</w:t>
      </w:r>
      <w:r w:rsidRPr="00EF7F33">
        <w:t>ređena u ostale kategorije izloženosti, npr. društva za pomoćne usluge ili društva u smislu članka 12. stavka 1. Direktive 83/349/EEZ. Stoga se unutargrupne izlož</w:t>
      </w:r>
      <w:r w:rsidRPr="00EF7F33">
        <w:t>e</w:t>
      </w:r>
      <w:r w:rsidRPr="00EF7F33">
        <w:t>nosti iskazuju u odgovarajućoj kategoriji izloženosti.</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516210638"/>
      <w:bookmarkStart w:id="243" w:name="_Toc473560903"/>
      <w:bookmarkStart w:id="244" w:name="_Toc523998130"/>
      <w:r w:rsidRPr="00EF7F33">
        <w:rPr>
          <w:rFonts w:ascii="Times New Roman" w:hAnsi="Times New Roman"/>
          <w:sz w:val="24"/>
          <w:u w:val="none"/>
        </w:rPr>
        <w:t>3.2.4.2.</w:t>
      </w:r>
      <w:r w:rsidRPr="00EF7F33">
        <w:tab/>
      </w:r>
      <w:r w:rsidRPr="00EF7F33">
        <w:rPr>
          <w:rFonts w:ascii="Times New Roman" w:hAnsi="Times New Roman"/>
          <w:sz w:val="24"/>
        </w:rPr>
        <w:t>Kategorija izloženosti „pokrivene obveznice”</w:t>
      </w:r>
      <w:bookmarkEnd w:id="241"/>
      <w:bookmarkEnd w:id="242"/>
      <w:bookmarkEnd w:id="243"/>
      <w:bookmarkEnd w:id="244"/>
    </w:p>
    <w:p w:rsidR="00464F34" w:rsidRPr="00EF7F33" w:rsidRDefault="00125707" w:rsidP="00C37B29">
      <w:pPr>
        <w:pStyle w:val="InstructionsText2"/>
        <w:numPr>
          <w:ilvl w:val="0"/>
          <w:numId w:val="0"/>
        </w:numPr>
        <w:ind w:left="993"/>
      </w:pPr>
      <w:r w:rsidRPr="00EF7F33">
        <w:t>71.</w:t>
      </w:r>
      <w:r w:rsidRPr="00EF7F33">
        <w:tab/>
        <w:t>Izloženosti u skladu sa standardiziranim pristupom raspoređuju se u kategoriju izloženosti „u obliku pokrivenih obveznica” kako slijedi:</w:t>
      </w:r>
    </w:p>
    <w:p w:rsidR="00464F34" w:rsidRPr="00EF7F33" w:rsidRDefault="00125707" w:rsidP="00C37B29">
      <w:pPr>
        <w:pStyle w:val="InstructionsText2"/>
        <w:numPr>
          <w:ilvl w:val="0"/>
          <w:numId w:val="0"/>
        </w:numPr>
        <w:ind w:left="993"/>
      </w:pPr>
      <w:r w:rsidRPr="00EF7F33">
        <w:t>72.</w:t>
      </w:r>
      <w:r w:rsidRPr="00EF7F33">
        <w:tab/>
        <w:t>Obveznice definirane u članku 52. stavku 4. Direktive 2009/65/EZ ispunjavaju uvjete iz članka 129. stavaka 1. do 2. CRR-a kako bi bile raspoređene u kategoriju izloženosti „pokrivene obveznice”. Potrebno je u svakom slučaju provjeriti jesu li ti zahtjevi ispunjeni. Bez obzira na to, u kategoriju izloženosti „pokrivene obveznice” raspoređuju se i obveznice u skladu s člankom 52. stavkom 4. Direktive 2009/65/EZ izdane prije 31. prosinca 2007. zbog članka 129. stavka 6. CRR-a.</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516210639"/>
      <w:bookmarkStart w:id="247" w:name="_Toc473560904"/>
      <w:bookmarkStart w:id="248" w:name="_Toc523998131"/>
      <w:r w:rsidRPr="00EF7F33">
        <w:rPr>
          <w:rFonts w:ascii="Times New Roman" w:hAnsi="Times New Roman"/>
          <w:sz w:val="24"/>
          <w:u w:val="none"/>
        </w:rPr>
        <w:t>3.2.4.3.</w:t>
      </w:r>
      <w:r w:rsidRPr="00EF7F33">
        <w:tab/>
      </w:r>
      <w:r w:rsidRPr="00EF7F33">
        <w:rPr>
          <w:rFonts w:ascii="Times New Roman" w:hAnsi="Times New Roman"/>
          <w:sz w:val="24"/>
        </w:rPr>
        <w:t>Kategorija izloženosti „subjekti za zajednička ulaganja”</w:t>
      </w:r>
      <w:bookmarkEnd w:id="245"/>
      <w:bookmarkEnd w:id="246"/>
      <w:bookmarkEnd w:id="247"/>
      <w:bookmarkEnd w:id="248"/>
    </w:p>
    <w:p w:rsidR="00464F34" w:rsidRPr="00EF7F33" w:rsidRDefault="00125707" w:rsidP="00C37B29">
      <w:pPr>
        <w:pStyle w:val="InstructionsText2"/>
        <w:numPr>
          <w:ilvl w:val="0"/>
          <w:numId w:val="0"/>
        </w:numPr>
        <w:ind w:left="993"/>
      </w:pPr>
      <w:r w:rsidRPr="00EF7F33">
        <w:t>73.</w:t>
      </w:r>
      <w:r w:rsidRPr="00EF7F33">
        <w:tab/>
        <w:t>Ako se upotrebljava mogućnost u skladu s člankom 132. stavkom 5., izloženo</w:t>
      </w:r>
      <w:r w:rsidRPr="00EF7F33">
        <w:t>s</w:t>
      </w:r>
      <w:r w:rsidRPr="00EF7F33">
        <w:t xml:space="preserve">ti u obliku udjela ili dionica u CIU-u iskazuju se kao bilančne stavke u skladu s člankom 111. stavkom 1., 1. rečenicom CRR-a. </w:t>
      </w:r>
    </w:p>
    <w:p w:rsidR="00464F34" w:rsidRPr="00EF7F33"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516210640"/>
      <w:bookmarkStart w:id="256" w:name="_Toc473560905"/>
      <w:bookmarkStart w:id="257" w:name="_Toc523998132"/>
      <w:r w:rsidRPr="00EF7F33">
        <w:rPr>
          <w:rFonts w:ascii="Times New Roman" w:hAnsi="Times New Roman"/>
          <w:sz w:val="24"/>
          <w:u w:val="none"/>
        </w:rPr>
        <w:t>3.2.5.</w:t>
      </w:r>
      <w:r w:rsidRPr="00EF7F33">
        <w:tab/>
      </w:r>
      <w:r w:rsidRPr="00EF7F33">
        <w:rPr>
          <w:rFonts w:ascii="Times New Roman" w:hAnsi="Times New Roman"/>
          <w:sz w:val="24"/>
        </w:rPr>
        <w:t>Upute za specifične pozicije</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EF7F33" w:rsidTr="00672D2A">
        <w:trPr>
          <w:trHeight w:val="581"/>
        </w:trPr>
        <w:tc>
          <w:tcPr>
            <w:tcW w:w="9828" w:type="dxa"/>
            <w:gridSpan w:val="2"/>
            <w:shd w:val="clear" w:color="auto" w:fill="CCCCCC"/>
          </w:tcPr>
          <w:p w:rsidR="00464F34" w:rsidRPr="00EF7F33" w:rsidRDefault="00464F34" w:rsidP="00FD239F">
            <w:pPr>
              <w:pStyle w:val="InstructionsText"/>
            </w:pPr>
            <w:r w:rsidRPr="00EF7F33">
              <w:t>Stupci</w:t>
            </w:r>
          </w:p>
        </w:tc>
      </w:tr>
      <w:tr w:rsidR="00464F34" w:rsidRPr="00EF7F33" w:rsidTr="00672D2A">
        <w:tc>
          <w:tcPr>
            <w:tcW w:w="1188" w:type="dxa"/>
          </w:tcPr>
          <w:p w:rsidR="00464F34" w:rsidRPr="00EF7F33" w:rsidRDefault="00464F34" w:rsidP="00FD239F">
            <w:pPr>
              <w:pStyle w:val="InstructionsText"/>
            </w:pPr>
            <w:r w:rsidRPr="00EF7F33">
              <w:t>010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ORIGINALNA IZLOŽENOST PRIJE KONVERZIJSKIH FAKTORA</w:t>
            </w:r>
          </w:p>
          <w:p w:rsidR="00464F34" w:rsidRPr="00EF7F33" w:rsidRDefault="00464F34" w:rsidP="00FD239F">
            <w:pPr>
              <w:pStyle w:val="InstructionsText"/>
            </w:pPr>
            <w:r w:rsidRPr="00EF7F33">
              <w:t>Vrijednost izloženosti u skladu s člankom 111. CRR-a ne uzimajući u obzir vrijedno</w:t>
            </w:r>
            <w:r w:rsidRPr="00EF7F33">
              <w:t>s</w:t>
            </w:r>
            <w:r w:rsidRPr="00EF7F33">
              <w:t>na usklađenja i rezervacije, konverzijske faktore i učinak tehnika smanjenja rizika sa sljedećim uvjetima iz članka 111. stavka 2. CRR-a.</w:t>
            </w:r>
          </w:p>
          <w:p w:rsidR="00464F34" w:rsidRPr="00EF7F33" w:rsidRDefault="00464F34" w:rsidP="00FD239F">
            <w:pPr>
              <w:pStyle w:val="InstructionsText"/>
            </w:pPr>
            <w:r w:rsidRPr="00EF7F33">
              <w:t>Za izvedene instrumente, repo transakcije, transakcije pozajmljivanja vrijednosnih p</w:t>
            </w:r>
            <w:r w:rsidRPr="00EF7F33">
              <w:t>a</w:t>
            </w:r>
            <w:r w:rsidRPr="00EF7F33">
              <w:t xml:space="preserve">pira ili robe drugoj ugovornoj strani ili od druge ugovorne strane, transakcije s dugim </w:t>
            </w:r>
            <w:r w:rsidRPr="00EF7F33">
              <w:lastRenderedPageBreak/>
              <w:t>rokom namire i maržne kredite na koje se primjenjuje dio 3. glava II. poglavlje 6. CRR-a ili članak 92. stavak 3. točka (f) CRR-a, originalna izloženost odgovara vrije</w:t>
            </w:r>
            <w:r w:rsidRPr="00EF7F33">
              <w:t>d</w:t>
            </w:r>
            <w:r w:rsidRPr="00EF7F33">
              <w:t>nosti izloženosti za kreditni rizik druge ugovorne strane izračunanoj u skladu s met</w:t>
            </w:r>
            <w:r w:rsidRPr="00EF7F33">
              <w:t>o</w:t>
            </w:r>
            <w:r w:rsidRPr="00EF7F33">
              <w:t>dama utvrđenima u dijelu 3. glavi II. poglavlju 6. CRR-a.</w:t>
            </w:r>
          </w:p>
          <w:p w:rsidR="00464F34" w:rsidRPr="00EF7F33" w:rsidRDefault="00464F34" w:rsidP="00FD239F">
            <w:pPr>
              <w:pStyle w:val="InstructionsText"/>
            </w:pPr>
            <w:r w:rsidRPr="00EF7F33">
              <w:t xml:space="preserve">Na vrijednosti izloženosti za najam primjenjuje se članak 134. stavak 7. CRR-a. </w:t>
            </w:r>
          </w:p>
          <w:p w:rsidR="00464F34" w:rsidRPr="00EF7F33" w:rsidRDefault="00464F34" w:rsidP="00FD239F">
            <w:pPr>
              <w:pStyle w:val="InstructionsText"/>
            </w:pPr>
          </w:p>
          <w:p w:rsidR="00464F34" w:rsidRPr="00EF7F33" w:rsidRDefault="00464F34" w:rsidP="00FD239F">
            <w:pPr>
              <w:pStyle w:val="InstructionsText"/>
            </w:pPr>
            <w:r w:rsidRPr="00EF7F33">
              <w:t>U slučaju bilančnog netiranja utvrđenog u članku 219. CRR-a, vrijednosti izloženosti iskazuju se u skladu s primljenim gotovinskim kolateralom.</w:t>
            </w:r>
          </w:p>
          <w:p w:rsidR="00464F34" w:rsidRPr="00EF7F33" w:rsidRDefault="00464F34" w:rsidP="00FD239F">
            <w:pPr>
              <w:pStyle w:val="InstructionsText"/>
            </w:pPr>
          </w:p>
          <w:p w:rsidR="00464F34" w:rsidRPr="00EF7F33" w:rsidRDefault="00464F34" w:rsidP="00FD239F">
            <w:pPr>
              <w:pStyle w:val="InstructionsText"/>
            </w:pPr>
            <w:r w:rsidRPr="00EF7F33">
              <w:t>U slučaju standardiziranih sporazuma o netiranju kojima su obuhvaćene repo transakc</w:t>
            </w:r>
            <w:r w:rsidRPr="00EF7F33">
              <w:t>i</w:t>
            </w:r>
            <w:r w:rsidRPr="00EF7F33">
              <w:t>je i/ili transakcije pozajmljivanja vrijednosnih papira ili robe drugoj ugovornoj strani ili od druge ugovorne strane i/ili transakcije ovisne o kretanju na tržištu kapitala na koje se primjenjuje dio 3. glava II. poglavlje 6. CRR-a, učinak materijalne kreditne zaštite u obliku standardiziranih sporazuma o netiranju kao u članku 220. stavku 4. CRR-a u</w:t>
            </w:r>
            <w:r w:rsidRPr="00EF7F33">
              <w:t>k</w:t>
            </w:r>
            <w:r w:rsidRPr="00EF7F33">
              <w:t>ljučuje se u stupac 010. Stoga se u slučaju standardiziranih sporazuma o netiranju k</w:t>
            </w:r>
            <w:r w:rsidRPr="00EF7F33">
              <w:t>o</w:t>
            </w:r>
            <w:r w:rsidRPr="00EF7F33">
              <w:t xml:space="preserve">jima su obuhvaćene repo transakcije na koje se primjenjuju odredbe iz dijela 3. glave II. poglavlja 6. CRR-a, E* izračunan u skladu s člancima 220. i 221. CRR-a iskazuje u stupcu 010 obrasca CR SA. </w:t>
            </w:r>
          </w:p>
        </w:tc>
      </w:tr>
      <w:tr w:rsidR="00464F34" w:rsidRPr="00EF7F33" w:rsidTr="00672D2A">
        <w:tc>
          <w:tcPr>
            <w:tcW w:w="1188" w:type="dxa"/>
          </w:tcPr>
          <w:p w:rsidR="00464F34" w:rsidRPr="00EF7F33" w:rsidRDefault="00464F34" w:rsidP="00FD239F">
            <w:pPr>
              <w:pStyle w:val="InstructionsText"/>
            </w:pPr>
            <w:r w:rsidRPr="00EF7F33">
              <w:lastRenderedPageBreak/>
              <w:t>030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Vrijednosna usklađenja i rezervacije povezane s originalnom izloženosti</w:t>
            </w:r>
          </w:p>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Članci 24. i 111. CRR-a</w:t>
            </w:r>
          </w:p>
          <w:p w:rsidR="00464F34" w:rsidRPr="00EF7F33" w:rsidRDefault="00464F34" w:rsidP="00FD239F">
            <w:pPr>
              <w:pStyle w:val="InstructionsText"/>
            </w:pPr>
          </w:p>
          <w:p w:rsidR="00464F34" w:rsidRPr="00EF7F33" w:rsidRDefault="00464F34" w:rsidP="00FD239F">
            <w:pPr>
              <w:pStyle w:val="InstructionsText"/>
            </w:pPr>
            <w:r w:rsidRPr="00EF7F33">
              <w:t>Vrijednosna usklađenja i rezervacije za gubitke po kreditu u skladu s računovodstv</w:t>
            </w:r>
            <w:r w:rsidRPr="00EF7F33">
              <w:t>e</w:t>
            </w:r>
            <w:r w:rsidRPr="00EF7F33">
              <w:t xml:space="preserve">nim okvirom koji se primjenjuje na subjekt koji izvješćuje. </w:t>
            </w:r>
          </w:p>
        </w:tc>
      </w:tr>
      <w:tr w:rsidR="00464F34" w:rsidRPr="00EF7F33" w:rsidTr="00672D2A">
        <w:tc>
          <w:tcPr>
            <w:tcW w:w="1188" w:type="dxa"/>
          </w:tcPr>
          <w:p w:rsidR="00464F34" w:rsidRPr="00EF7F33" w:rsidRDefault="00464F34" w:rsidP="00FD239F">
            <w:pPr>
              <w:pStyle w:val="InstructionsText"/>
            </w:pPr>
            <w:r w:rsidRPr="00EF7F33">
              <w:t>040</w:t>
            </w:r>
          </w:p>
        </w:tc>
        <w:tc>
          <w:tcPr>
            <w:tcW w:w="8640" w:type="dxa"/>
          </w:tcPr>
          <w:p w:rsidR="00464F34" w:rsidRPr="00EF7F33" w:rsidRDefault="00464F34" w:rsidP="00FD239F">
            <w:pPr>
              <w:pStyle w:val="InstructionsText"/>
            </w:pPr>
            <w:r w:rsidRPr="00EF7F33">
              <w:rPr>
                <w:rStyle w:val="InstructionsTabelleberschrift"/>
                <w:rFonts w:ascii="Times New Roman" w:hAnsi="Times New Roman"/>
                <w:sz w:val="24"/>
              </w:rPr>
              <w:t>Izloženost umanjena za vrijednosna usklađenja i rezervacije</w:t>
            </w:r>
          </w:p>
          <w:p w:rsidR="00464F34" w:rsidRPr="00EF7F33" w:rsidRDefault="00464F34" w:rsidP="00FD239F">
            <w:pPr>
              <w:pStyle w:val="InstructionsText"/>
            </w:pPr>
            <w:r w:rsidRPr="00EF7F33">
              <w:t>Zbroj stupaca 010 i 030.</w:t>
            </w:r>
          </w:p>
        </w:tc>
      </w:tr>
      <w:tr w:rsidR="00464F34" w:rsidRPr="00EF7F33" w:rsidTr="00672D2A">
        <w:tc>
          <w:tcPr>
            <w:tcW w:w="1188" w:type="dxa"/>
          </w:tcPr>
          <w:p w:rsidR="00464F34" w:rsidRPr="00EF7F33" w:rsidRDefault="00464F34" w:rsidP="00FD239F">
            <w:pPr>
              <w:pStyle w:val="InstructionsText"/>
            </w:pPr>
            <w:r w:rsidRPr="00EF7F33">
              <w:t>050 – 100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TEHNIKE SMANJENJA KREDITNOG RIZIKA S UČINCIMA ZAMJENE NA IZLOŽENOST</w:t>
            </w:r>
          </w:p>
          <w:p w:rsidR="00464F34" w:rsidRPr="00EF7F33" w:rsidRDefault="00464F34" w:rsidP="00FD239F">
            <w:pPr>
              <w:pStyle w:val="InstructionsText"/>
            </w:pPr>
            <w:r w:rsidRPr="00EF7F33">
              <w:t>Tehnike smanjenja kreditnog rizika kako su definirane u članku 4. točki 57. CRR-a k</w:t>
            </w:r>
            <w:r w:rsidRPr="00EF7F33">
              <w:t>o</w:t>
            </w:r>
            <w:r w:rsidRPr="00EF7F33">
              <w:t>jima se smanjuje kreditni rizik izloženosti zamjenom izloženosti kako je definirano u nastavku pod Zamjena izloženosti zbog smanjenja kreditnog rizika.</w:t>
            </w:r>
          </w:p>
          <w:p w:rsidR="00464F34" w:rsidRPr="00EF7F33" w:rsidRDefault="00464F34" w:rsidP="00FD239F">
            <w:pPr>
              <w:pStyle w:val="InstructionsText"/>
            </w:pPr>
            <w:r w:rsidRPr="00EF7F33">
              <w:t>Ako kolateral utječe na vrijednost izloženosti (npr. ako se upotrebljava za tehnike sm</w:t>
            </w:r>
            <w:r w:rsidRPr="00EF7F33">
              <w:t>a</w:t>
            </w:r>
            <w:r w:rsidRPr="00EF7F33">
              <w:t>njenja kreditnog rizika s učincima zamjene na izloženost), njegova gornja granica o</w:t>
            </w:r>
            <w:r w:rsidRPr="00EF7F33">
              <w:t>d</w:t>
            </w:r>
            <w:r w:rsidRPr="00EF7F33">
              <w:t>ređuje se na razini vrijednosti izloženosti.</w:t>
            </w:r>
          </w:p>
          <w:p w:rsidR="00464F34" w:rsidRPr="00EF7F33" w:rsidRDefault="00464F34" w:rsidP="00FD239F">
            <w:pPr>
              <w:pStyle w:val="InstructionsText"/>
            </w:pPr>
            <w:r w:rsidRPr="00EF7F33">
              <w:t>Stavke koje je ovdje potrebno iskazati:</w:t>
            </w:r>
          </w:p>
          <w:p w:rsidR="00464F34" w:rsidRPr="00EF7F33" w:rsidRDefault="00125707" w:rsidP="00FD239F">
            <w:pPr>
              <w:pStyle w:val="InstructionsText"/>
            </w:pPr>
            <w:r w:rsidRPr="00EF7F33">
              <w:rPr>
                <w:rFonts w:ascii="Arial" w:hAnsi="Arial"/>
              </w:rPr>
              <w:t>-</w:t>
            </w:r>
            <w:r w:rsidRPr="00EF7F33">
              <w:tab/>
              <w:t>kolateral, uključen u skladu s jednostavnom metodom financijskog kolaterala;</w:t>
            </w:r>
          </w:p>
          <w:p w:rsidR="00464F34" w:rsidRPr="00EF7F33" w:rsidRDefault="00125707" w:rsidP="00FD239F">
            <w:pPr>
              <w:pStyle w:val="InstructionsText"/>
            </w:pPr>
            <w:r w:rsidRPr="00EF7F33">
              <w:rPr>
                <w:rFonts w:ascii="Arial" w:hAnsi="Arial"/>
              </w:rPr>
              <w:t>-</w:t>
            </w:r>
            <w:r w:rsidRPr="00EF7F33">
              <w:tab/>
              <w:t>priznata nematerijalna kreditna zaštita.</w:t>
            </w:r>
          </w:p>
          <w:p w:rsidR="00464F34" w:rsidRPr="00EF7F33" w:rsidRDefault="00464F34" w:rsidP="00FD239F">
            <w:pPr>
              <w:pStyle w:val="InstructionsText"/>
            </w:pPr>
            <w:r w:rsidRPr="00EF7F33">
              <w:t xml:space="preserve">Vidjeti i upute iz stavke 4.1.1. </w:t>
            </w:r>
          </w:p>
        </w:tc>
      </w:tr>
      <w:tr w:rsidR="00464F34" w:rsidRPr="00EF7F33" w:rsidTr="00672D2A">
        <w:tc>
          <w:tcPr>
            <w:tcW w:w="1188" w:type="dxa"/>
          </w:tcPr>
          <w:p w:rsidR="00464F34" w:rsidRPr="00EF7F33" w:rsidRDefault="00464F34" w:rsidP="00FD239F">
            <w:pPr>
              <w:pStyle w:val="InstructionsText"/>
            </w:pPr>
            <w:r w:rsidRPr="00EF7F33">
              <w:t>050 – 060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Nematerijalna kreditna zaštita: prilagođene vrijednosti (Ga)</w:t>
            </w:r>
          </w:p>
          <w:p w:rsidR="00464F34" w:rsidRPr="00EF7F33" w:rsidRDefault="00464F34" w:rsidP="00FD239F">
            <w:pPr>
              <w:pStyle w:val="InstructionsText"/>
            </w:pPr>
            <w:r w:rsidRPr="00EF7F33">
              <w:t>Članak 235. CRR-a</w:t>
            </w:r>
          </w:p>
          <w:p w:rsidR="00464F34" w:rsidRPr="00EF7F33" w:rsidRDefault="00464F34" w:rsidP="00FD239F">
            <w:pPr>
              <w:pStyle w:val="InstructionsText"/>
            </w:pPr>
            <w:r w:rsidRPr="00EF7F33">
              <w:t xml:space="preserve">Člankom 239. stavkom 3. CRR-a definirana je prilagođena vrijednost Ga nematerijalne </w:t>
            </w:r>
            <w:r w:rsidRPr="00EF7F33">
              <w:lastRenderedPageBreak/>
              <w:t>kreditne zaštite.</w:t>
            </w:r>
          </w:p>
        </w:tc>
      </w:tr>
      <w:tr w:rsidR="00464F34" w:rsidRPr="00EF7F33" w:rsidTr="00672D2A">
        <w:tc>
          <w:tcPr>
            <w:tcW w:w="1188" w:type="dxa"/>
          </w:tcPr>
          <w:p w:rsidR="00464F34" w:rsidRPr="00EF7F33" w:rsidRDefault="00464F34" w:rsidP="00FD239F">
            <w:pPr>
              <w:pStyle w:val="InstructionsText"/>
            </w:pPr>
            <w:r w:rsidRPr="00EF7F33">
              <w:lastRenderedPageBreak/>
              <w:t>050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Jamstva</w:t>
            </w:r>
          </w:p>
          <w:p w:rsidR="00464F34" w:rsidRPr="00EF7F33" w:rsidRDefault="00464F34" w:rsidP="00FD239F">
            <w:pPr>
              <w:pStyle w:val="InstructionsText"/>
            </w:pPr>
            <w:r w:rsidRPr="00EF7F33">
              <w:t>Članak 203. CRR-a</w:t>
            </w:r>
          </w:p>
          <w:p w:rsidR="00464F34" w:rsidRPr="00EF7F33" w:rsidRDefault="00464F34" w:rsidP="00FD239F">
            <w:pPr>
              <w:pStyle w:val="InstructionsText"/>
              <w:rPr>
                <w:b/>
                <w:u w:val="single"/>
              </w:rPr>
            </w:pPr>
            <w:r w:rsidRPr="00EF7F33">
              <w:t>Nematerijalna kreditna zaštita kako je definirana u članku 4. točki 59. CRR-a koja se razlikuje od kreditnih izvedenica.</w:t>
            </w:r>
          </w:p>
        </w:tc>
      </w:tr>
      <w:tr w:rsidR="00464F34" w:rsidRPr="00EF7F33" w:rsidTr="00672D2A">
        <w:tc>
          <w:tcPr>
            <w:tcW w:w="1188" w:type="dxa"/>
          </w:tcPr>
          <w:p w:rsidR="00464F34" w:rsidRPr="00EF7F33" w:rsidRDefault="00464F34" w:rsidP="00FD239F">
            <w:pPr>
              <w:pStyle w:val="InstructionsText"/>
            </w:pPr>
            <w:r w:rsidRPr="00EF7F33">
              <w:t>060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Kreditne izvedenice</w:t>
            </w:r>
          </w:p>
          <w:p w:rsidR="00464F34" w:rsidRPr="00EF7F33" w:rsidRDefault="00464F34" w:rsidP="00FD239F">
            <w:pPr>
              <w:pStyle w:val="InstructionsText"/>
              <w:rPr>
                <w:b/>
                <w:u w:val="single"/>
              </w:rPr>
            </w:pPr>
            <w:r w:rsidRPr="00EF7F33">
              <w:t>Članak 204. CRR-a.</w:t>
            </w:r>
          </w:p>
        </w:tc>
      </w:tr>
      <w:tr w:rsidR="00464F34" w:rsidRPr="00EF7F33" w:rsidTr="00672D2A">
        <w:tc>
          <w:tcPr>
            <w:tcW w:w="1188" w:type="dxa"/>
          </w:tcPr>
          <w:p w:rsidR="00464F34" w:rsidRPr="00EF7F33" w:rsidRDefault="00464F34" w:rsidP="00FD239F">
            <w:pPr>
              <w:pStyle w:val="InstructionsText"/>
            </w:pPr>
            <w:r w:rsidRPr="00EF7F33">
              <w:t>070 – 080</w:t>
            </w:r>
          </w:p>
          <w:p w:rsidR="00464F34" w:rsidRPr="00EF7F33" w:rsidRDefault="00464F34" w:rsidP="00FD239F">
            <w:pPr>
              <w:pStyle w:val="InstructionsText"/>
            </w:pP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Materijalna kreditna zaštita</w:t>
            </w:r>
          </w:p>
          <w:p w:rsidR="00464F34" w:rsidRPr="00EF7F33" w:rsidRDefault="009C44E7" w:rsidP="00FD239F">
            <w:pPr>
              <w:pStyle w:val="InstructionsText"/>
            </w:pPr>
            <w:r w:rsidRPr="00EF7F33">
              <w:t>Navedeni se stupci odnose na materijalnu kreditnu zaštitu u skladu s člankom 4. to</w:t>
            </w:r>
            <w:r w:rsidRPr="00EF7F33">
              <w:t>č</w:t>
            </w:r>
            <w:r w:rsidRPr="00EF7F33">
              <w:t>kom 58. CRR-a i člancima 196., 197. i 200. CRR-a. Iznosi ne uključuju standardizirane sporazume o netiranju (već uključeni u originalnu izloženost prije konverzijskih fakt</w:t>
            </w:r>
            <w:r w:rsidRPr="00EF7F33">
              <w:t>o</w:t>
            </w:r>
            <w:r w:rsidRPr="00EF7F33">
              <w:t xml:space="preserve">ra). </w:t>
            </w:r>
          </w:p>
          <w:p w:rsidR="00464F34" w:rsidRPr="00EF7F33" w:rsidRDefault="00464F34" w:rsidP="00FD239F">
            <w:pPr>
              <w:pStyle w:val="InstructionsText"/>
            </w:pPr>
            <w:r w:rsidRPr="00EF7F33">
              <w:t>Kreditni zapisi i pozicije bilančnog netiranja koje proizlaze iz priznatih sporazuma o bilančnom netiranju u skladu s člancima 218. i 219. CRR-a tretiraju se kao gotovinski kolateral.</w:t>
            </w:r>
          </w:p>
        </w:tc>
      </w:tr>
      <w:tr w:rsidR="00464F34" w:rsidRPr="00EF7F33" w:rsidTr="00672D2A">
        <w:tc>
          <w:tcPr>
            <w:tcW w:w="1188" w:type="dxa"/>
          </w:tcPr>
          <w:p w:rsidR="00464F34" w:rsidRPr="00EF7F33" w:rsidRDefault="00464F34" w:rsidP="00FD239F">
            <w:pPr>
              <w:pStyle w:val="InstructionsText"/>
            </w:pPr>
            <w:r w:rsidRPr="00EF7F33">
              <w:t>070</w:t>
            </w:r>
          </w:p>
        </w:tc>
        <w:tc>
          <w:tcPr>
            <w:tcW w:w="8640" w:type="dxa"/>
          </w:tcPr>
          <w:p w:rsidR="00464F34" w:rsidRPr="00EF7F33" w:rsidRDefault="00464F34" w:rsidP="00FD239F">
            <w:pPr>
              <w:pStyle w:val="InstructionsText"/>
            </w:pPr>
            <w:r w:rsidRPr="00EF7F33">
              <w:rPr>
                <w:rStyle w:val="InstructionsTabelleberschrift"/>
                <w:rFonts w:ascii="Times New Roman" w:hAnsi="Times New Roman"/>
                <w:sz w:val="24"/>
              </w:rPr>
              <w:t>Financijski kolateral: jednostavna metoda</w:t>
            </w:r>
          </w:p>
          <w:p w:rsidR="00464F34" w:rsidRPr="00EF7F33" w:rsidRDefault="00464F34" w:rsidP="00FD239F">
            <w:pPr>
              <w:pStyle w:val="InstructionsText"/>
            </w:pPr>
            <w:r w:rsidRPr="00EF7F33">
              <w:t>Članak 222. stavci od 1. do 2. CRR-a</w:t>
            </w:r>
          </w:p>
        </w:tc>
      </w:tr>
      <w:tr w:rsidR="00464F34" w:rsidRPr="00EF7F33" w:rsidTr="00672D2A">
        <w:tc>
          <w:tcPr>
            <w:tcW w:w="1188" w:type="dxa"/>
          </w:tcPr>
          <w:p w:rsidR="00464F34" w:rsidRPr="00EF7F33" w:rsidRDefault="00464F34" w:rsidP="00FD239F">
            <w:pPr>
              <w:pStyle w:val="InstructionsText"/>
            </w:pPr>
            <w:r w:rsidRPr="00EF7F33">
              <w:t>080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Ostala materijalna kreditna zaštita</w:t>
            </w:r>
          </w:p>
          <w:p w:rsidR="00464F34" w:rsidRPr="00EF7F33" w:rsidRDefault="00464F34" w:rsidP="00FD239F">
            <w:pPr>
              <w:pStyle w:val="InstructionsText"/>
            </w:pPr>
            <w:r w:rsidRPr="00EF7F33">
              <w:t>Članak 232. CRR-a.</w:t>
            </w:r>
          </w:p>
        </w:tc>
      </w:tr>
      <w:tr w:rsidR="00464F34" w:rsidRPr="00EF7F33" w:rsidTr="00672D2A">
        <w:tc>
          <w:tcPr>
            <w:tcW w:w="1188" w:type="dxa"/>
          </w:tcPr>
          <w:p w:rsidR="00464F34" w:rsidRPr="00EF7F33" w:rsidRDefault="00464F34" w:rsidP="00FD239F">
            <w:pPr>
              <w:pStyle w:val="InstructionsText"/>
            </w:pPr>
            <w:r w:rsidRPr="00EF7F33">
              <w:t>090 – 100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ZAMJENA IZLOŽENOSTI ZBOG SMANJENJA KREDITNOG RIZIKA</w:t>
            </w:r>
          </w:p>
          <w:p w:rsidR="00464F34" w:rsidRPr="00EF7F33" w:rsidRDefault="00464F34" w:rsidP="00FD239F">
            <w:pPr>
              <w:pStyle w:val="InstructionsText"/>
            </w:pPr>
            <w:r w:rsidRPr="00EF7F33">
              <w:t>Članak 222. stavak 3., članak 235. stavci od 1. do 2. i članak 236. CRR-a</w:t>
            </w:r>
          </w:p>
          <w:p w:rsidR="00464F34" w:rsidRPr="00EF7F33" w:rsidRDefault="00464F34" w:rsidP="00FD239F">
            <w:pPr>
              <w:pStyle w:val="InstructionsText"/>
            </w:pPr>
            <w:r w:rsidRPr="00EF7F33">
              <w:t>Odljevi odgovaraju pokrivenom dijelu originalne izloženosti prije konverzijskih fakt</w:t>
            </w:r>
            <w:r w:rsidRPr="00EF7F33">
              <w:t>o</w:t>
            </w:r>
            <w:r w:rsidRPr="00EF7F33">
              <w:t>ra koji je odbijen od kategorije izloženosti dužnika i naknadno raspoređen u kategoriju izloženosti pružatelja zaštite. Navedeni se iznos smatra priljevom u kategoriju izlož</w:t>
            </w:r>
            <w:r w:rsidRPr="00EF7F33">
              <w:t>e</w:t>
            </w:r>
            <w:r w:rsidRPr="00EF7F33">
              <w:t>nosti pružatelja zaštite.</w:t>
            </w:r>
          </w:p>
          <w:p w:rsidR="00464F34" w:rsidRPr="00EF7F33" w:rsidRDefault="00464F34" w:rsidP="00FD239F">
            <w:pPr>
              <w:pStyle w:val="InstructionsText"/>
              <w:rPr>
                <w:b/>
              </w:rPr>
            </w:pPr>
            <w:r w:rsidRPr="00EF7F33">
              <w:t>Iskazuju se i priljevi i odljevi u istim kategorijama izloženosti.</w:t>
            </w:r>
          </w:p>
          <w:p w:rsidR="00464F34" w:rsidRPr="00EF7F33" w:rsidRDefault="00464F34" w:rsidP="00FD239F">
            <w:pPr>
              <w:pStyle w:val="InstructionsText"/>
            </w:pPr>
            <w:r w:rsidRPr="00EF7F33">
              <w:t>Izloženosti koje proizlaze iz mogućih priljeva i odljeva iz drugih obrazaca i u druge o</w:t>
            </w:r>
            <w:r w:rsidRPr="00EF7F33">
              <w:t>b</w:t>
            </w:r>
            <w:r w:rsidRPr="00EF7F33">
              <w:t>rasce uzimaju se u obzir.</w:t>
            </w:r>
          </w:p>
        </w:tc>
      </w:tr>
      <w:tr w:rsidR="00464F34" w:rsidRPr="00EF7F33" w:rsidTr="00672D2A">
        <w:tc>
          <w:tcPr>
            <w:tcW w:w="1188" w:type="dxa"/>
          </w:tcPr>
          <w:p w:rsidR="00464F34" w:rsidRPr="00EF7F33" w:rsidRDefault="00464F34" w:rsidP="00FD239F">
            <w:pPr>
              <w:pStyle w:val="InstructionsText"/>
            </w:pPr>
            <w:r w:rsidRPr="00EF7F33">
              <w:t>110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NETO IZLOŽENOST NAKON PRIMJENE TEHNIKA SMANJENJA KRED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TNOG RIZIKA S UČINKOM ZAMJENE, A PRIJE PRIMJENE KONVERZI</w:t>
            </w:r>
            <w:r w:rsidRPr="00EF7F33">
              <w:rPr>
                <w:rStyle w:val="InstructionsTabelleberschrift"/>
                <w:rFonts w:ascii="Times New Roman" w:hAnsi="Times New Roman"/>
                <w:sz w:val="24"/>
              </w:rPr>
              <w:t>J</w:t>
            </w:r>
            <w:r w:rsidRPr="00EF7F33">
              <w:rPr>
                <w:rStyle w:val="InstructionsTabelleberschrift"/>
                <w:rFonts w:ascii="Times New Roman" w:hAnsi="Times New Roman"/>
                <w:sz w:val="24"/>
              </w:rPr>
              <w:t>SKIH FAKTORA</w:t>
            </w:r>
          </w:p>
          <w:p w:rsidR="00464F34" w:rsidRPr="00EF7F33" w:rsidRDefault="00464F34" w:rsidP="00FD239F">
            <w:pPr>
              <w:pStyle w:val="InstructionsText"/>
            </w:pPr>
            <w:r w:rsidRPr="00EF7F33">
              <w:t>Iznos izloženosti umanjen za vrijednosna usklađenja nakon uzimanja u obzir odljeva i priljeva na temelju TEHNIKA SMANJENJA KREDITNOG RIZIKA S UČINCIMA ZAMJENE NA IZLOŽENOST</w:t>
            </w:r>
          </w:p>
        </w:tc>
      </w:tr>
      <w:tr w:rsidR="00464F34" w:rsidRPr="00EF7F33" w:rsidTr="00672D2A">
        <w:tc>
          <w:tcPr>
            <w:tcW w:w="1188" w:type="dxa"/>
          </w:tcPr>
          <w:p w:rsidR="00464F34" w:rsidRPr="00EF7F33" w:rsidRDefault="00464F34" w:rsidP="00FD239F">
            <w:pPr>
              <w:pStyle w:val="InstructionsText"/>
            </w:pPr>
            <w:r w:rsidRPr="00EF7F33">
              <w:t>120-140</w:t>
            </w:r>
          </w:p>
        </w:tc>
        <w:tc>
          <w:tcPr>
            <w:tcW w:w="8640" w:type="dxa"/>
          </w:tcPr>
          <w:p w:rsidR="00464F34" w:rsidRPr="00EF7F33" w:rsidRDefault="00464F34" w:rsidP="00FD239F">
            <w:pPr>
              <w:pStyle w:val="InstructionsText"/>
            </w:pPr>
            <w:r w:rsidRPr="00EF7F33">
              <w:rPr>
                <w:rStyle w:val="InstructionsTabelleberschrift"/>
                <w:rFonts w:ascii="Times New Roman" w:hAnsi="Times New Roman"/>
                <w:sz w:val="24"/>
              </w:rPr>
              <w:t>TEHNIKE SMANJENJA KREDITNOG RIZIKA KOJE UTJEČU NA IZNOS IZLOŽENOSTI. MATERIJALNA KREDITNA ZAŠTITA, SLOŽENA MET</w:t>
            </w:r>
            <w:r w:rsidRPr="00EF7F33">
              <w:rPr>
                <w:rStyle w:val="InstructionsTabelleberschrift"/>
                <w:rFonts w:ascii="Times New Roman" w:hAnsi="Times New Roman"/>
                <w:sz w:val="24"/>
              </w:rPr>
              <w:t>O</w:t>
            </w:r>
            <w:r w:rsidRPr="00EF7F33">
              <w:rPr>
                <w:rStyle w:val="InstructionsTabelleberschrift"/>
                <w:rFonts w:ascii="Times New Roman" w:hAnsi="Times New Roman"/>
                <w:sz w:val="24"/>
              </w:rPr>
              <w:t>DA FINANCIJSKOG KOLATERALA</w:t>
            </w:r>
          </w:p>
          <w:p w:rsidR="00464F34" w:rsidRPr="00EF7F33" w:rsidRDefault="00464F34" w:rsidP="00FD239F">
            <w:pPr>
              <w:pStyle w:val="InstructionsText"/>
            </w:pPr>
            <w:r w:rsidRPr="00EF7F33">
              <w:t>Članci 223., 224., 225., 226., 227. i 228. CRR-a To uključuje i kreditne zapise (članak 218. CRR-a)</w:t>
            </w:r>
          </w:p>
          <w:p w:rsidR="00464F34" w:rsidRPr="00EF7F33" w:rsidRDefault="00464F34" w:rsidP="00FD239F">
            <w:pPr>
              <w:pStyle w:val="InstructionsText"/>
            </w:pPr>
            <w:r w:rsidRPr="00EF7F33">
              <w:t xml:space="preserve">Kreditni zapisi i pozicije bilančnog netiranja koje proizlaze iz priznatih sporazuma o </w:t>
            </w:r>
            <w:r w:rsidRPr="00EF7F33">
              <w:lastRenderedPageBreak/>
              <w:t>bilančnom netiranju u skladu s člancima 218. i 219. CRR-a tretiraju se kao gotovinski kolateral.</w:t>
            </w:r>
          </w:p>
          <w:p w:rsidR="00464F34" w:rsidRPr="00EF7F33" w:rsidRDefault="00464F34" w:rsidP="00FD239F">
            <w:pPr>
              <w:pStyle w:val="InstructionsText"/>
            </w:pPr>
            <w:r w:rsidRPr="00EF7F33">
              <w:t>Učinak osiguranja kolateralom složene metode financijskog kolaterala koja se primj</w:t>
            </w:r>
            <w:r w:rsidRPr="00EF7F33">
              <w:t>e</w:t>
            </w:r>
            <w:r w:rsidRPr="00EF7F33">
              <w:t>njuje na izloženost osiguranu priznatim financijskim kolateralom izračunava se u skl</w:t>
            </w:r>
            <w:r w:rsidRPr="00EF7F33">
              <w:t>a</w:t>
            </w:r>
            <w:r w:rsidRPr="00EF7F33">
              <w:t xml:space="preserve">du s člancima 223., 224., 225., 226., 227. i 228. CRR-a. </w:t>
            </w:r>
          </w:p>
        </w:tc>
      </w:tr>
      <w:tr w:rsidR="00464F34" w:rsidRPr="00EF7F33" w:rsidTr="00672D2A">
        <w:tc>
          <w:tcPr>
            <w:tcW w:w="1188" w:type="dxa"/>
          </w:tcPr>
          <w:p w:rsidR="00464F34" w:rsidRPr="00EF7F33" w:rsidRDefault="00464F34" w:rsidP="00FD239F">
            <w:pPr>
              <w:pStyle w:val="InstructionsText"/>
            </w:pPr>
            <w:r w:rsidRPr="00EF7F33">
              <w:lastRenderedPageBreak/>
              <w:t>120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Korektivni faktor za izloženost</w:t>
            </w:r>
          </w:p>
          <w:p w:rsidR="00464F34" w:rsidRPr="00EF7F33" w:rsidRDefault="00464F34" w:rsidP="00FD239F">
            <w:pPr>
              <w:pStyle w:val="InstructionsText"/>
            </w:pPr>
            <w:r w:rsidRPr="00EF7F33">
              <w:t xml:space="preserve">Članak 223. stavci od 2. do 3. CRR-a </w:t>
            </w:r>
          </w:p>
          <w:p w:rsidR="00464F34" w:rsidRPr="00EF7F33" w:rsidRDefault="00464F34" w:rsidP="00FD239F">
            <w:pPr>
              <w:pStyle w:val="InstructionsText"/>
            </w:pPr>
            <w:r w:rsidRPr="00EF7F33">
              <w:t>Iznos koji je potrebno iskazati dobiva se s pomoću korektivnog faktora za izloženost (Eva-E) = E*He</w:t>
            </w:r>
          </w:p>
        </w:tc>
      </w:tr>
      <w:tr w:rsidR="00464F34" w:rsidRPr="00EF7F33" w:rsidTr="00672D2A">
        <w:tc>
          <w:tcPr>
            <w:tcW w:w="1188" w:type="dxa"/>
          </w:tcPr>
          <w:p w:rsidR="00464F34" w:rsidRPr="00EF7F33" w:rsidRDefault="00464F34" w:rsidP="00FD239F">
            <w:pPr>
              <w:pStyle w:val="InstructionsText"/>
            </w:pPr>
            <w:r w:rsidRPr="00EF7F33">
              <w:t>130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Vrijednost financijskog kolaterala korigirana korektivnim faktorom (Cvam)</w:t>
            </w:r>
          </w:p>
          <w:p w:rsidR="00464F34" w:rsidRPr="00EF7F33" w:rsidRDefault="00464F34" w:rsidP="00FD239F">
            <w:pPr>
              <w:pStyle w:val="InstructionsText"/>
            </w:pPr>
            <w:r w:rsidRPr="00EF7F33">
              <w:t>Članak 239. stavak 2. CRR-a</w:t>
            </w:r>
          </w:p>
          <w:p w:rsidR="00464F34" w:rsidRPr="00EF7F33" w:rsidRDefault="00464F34" w:rsidP="00FD239F">
            <w:pPr>
              <w:pStyle w:val="InstructionsText"/>
            </w:pPr>
            <w:r w:rsidRPr="00EF7F33">
              <w:t>Za poslove iz knjige trgovanja uključuje financijski kolateral i robu priznate za izlož</w:t>
            </w:r>
            <w:r w:rsidRPr="00EF7F33">
              <w:t>e</w:t>
            </w:r>
            <w:r w:rsidRPr="00EF7F33">
              <w:t xml:space="preserve">nosti iz knjige trgovanja u skladu s člankom 299. stavkom 2. točkama od (c) do (f) CRR-a. </w:t>
            </w:r>
          </w:p>
          <w:p w:rsidR="00464F34" w:rsidRPr="00EF7F33" w:rsidRDefault="00464F34" w:rsidP="00FD239F">
            <w:pPr>
              <w:pStyle w:val="InstructionsText"/>
            </w:pPr>
            <w:r w:rsidRPr="00EF7F33">
              <w:t>Iznos koji je potrebno iskazati odgovara Cvam =  C*(1-Hc-Hfx)*(t-t*)/(T-t*). C, Hc, Hfx, t, T i t* definirani su u dijelu 3. glavi II. poglavlju 4. odjeljcima 4. i 5. CRR-a.</w:t>
            </w:r>
          </w:p>
        </w:tc>
      </w:tr>
      <w:tr w:rsidR="00464F34" w:rsidRPr="00EF7F33" w:rsidTr="00672D2A">
        <w:tc>
          <w:tcPr>
            <w:tcW w:w="1188" w:type="dxa"/>
          </w:tcPr>
          <w:p w:rsidR="00464F34" w:rsidRPr="00EF7F33" w:rsidRDefault="00464F34" w:rsidP="00FD239F">
            <w:pPr>
              <w:pStyle w:val="InstructionsText"/>
            </w:pPr>
            <w:r w:rsidRPr="00EF7F33">
              <w:t>140</w:t>
            </w:r>
          </w:p>
        </w:tc>
        <w:tc>
          <w:tcPr>
            <w:tcW w:w="8640" w:type="dxa"/>
          </w:tcPr>
          <w:p w:rsidR="00464F34" w:rsidRPr="00EF7F33" w:rsidRDefault="008932B5"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Od čega: korektivni faktor i faktor prilagodbe za efektivno dospijeće</w:t>
            </w:r>
          </w:p>
          <w:p w:rsidR="00464F34" w:rsidRPr="00EF7F33" w:rsidRDefault="00464F34" w:rsidP="00FD239F">
            <w:pPr>
              <w:pStyle w:val="InstructionsText"/>
            </w:pPr>
            <w:r w:rsidRPr="00EF7F33">
              <w:t xml:space="preserve">Članak 223. stavak 1. CRR-a i članak 239. stavak 2. CRR-a </w:t>
            </w:r>
          </w:p>
          <w:p w:rsidR="00464F34" w:rsidRPr="00EF7F33" w:rsidRDefault="00464F34" w:rsidP="00FD239F">
            <w:pPr>
              <w:pStyle w:val="InstructionsText"/>
            </w:pPr>
            <w:r w:rsidRPr="00EF7F33">
              <w:t>Iznos koji je potrebno iskazati zajednički je utjecaj korektivnog faktora i faktora pril</w:t>
            </w:r>
            <w:r w:rsidRPr="00EF7F33">
              <w:t>a</w:t>
            </w:r>
            <w:r w:rsidRPr="00EF7F33">
              <w:t>godbe za efektivno dospijeće (Cvam-C) = C*[(1-Hc-Hfx)*(t-t*)/(T-t*)-1], pri čemu je korektivni faktor (Cva-C) = C*[(1-Hc-Hfx)-1], a utjecaj faktora prilagodbe za efekti</w:t>
            </w:r>
            <w:r w:rsidRPr="00EF7F33">
              <w:t>v</w:t>
            </w:r>
            <w:r w:rsidRPr="00EF7F33">
              <w:t>no dospijeće (Cvam-Cva) = C*(1-Hc-Hfx)*[(t-t*)/(T-t*)-1]</w:t>
            </w:r>
          </w:p>
        </w:tc>
      </w:tr>
      <w:tr w:rsidR="00464F34" w:rsidRPr="00EF7F33" w:rsidTr="00672D2A">
        <w:tc>
          <w:tcPr>
            <w:tcW w:w="1188" w:type="dxa"/>
          </w:tcPr>
          <w:p w:rsidR="00464F34" w:rsidRPr="00EF7F33" w:rsidRDefault="00464F34" w:rsidP="00FD239F">
            <w:pPr>
              <w:pStyle w:val="InstructionsText"/>
            </w:pPr>
            <w:r w:rsidRPr="00EF7F33">
              <w:t>150</w:t>
            </w:r>
          </w:p>
        </w:tc>
        <w:tc>
          <w:tcPr>
            <w:tcW w:w="8640" w:type="dxa"/>
          </w:tcPr>
          <w:p w:rsidR="00464F34" w:rsidRPr="00EF7F33" w:rsidRDefault="00464F34" w:rsidP="00FD239F">
            <w:pPr>
              <w:pStyle w:val="InstructionsText"/>
            </w:pPr>
            <w:r w:rsidRPr="00EF7F33">
              <w:rPr>
                <w:rStyle w:val="InstructionsTabelleberschrift"/>
                <w:rFonts w:ascii="Times New Roman" w:hAnsi="Times New Roman"/>
                <w:sz w:val="24"/>
              </w:rPr>
              <w:t>Potpuno prilagođena vrijednost izloženosti (E*)</w:t>
            </w:r>
          </w:p>
          <w:p w:rsidR="00464F34" w:rsidRPr="00EF7F33" w:rsidRDefault="00464F34" w:rsidP="00FD239F">
            <w:pPr>
              <w:pStyle w:val="InstructionsText"/>
              <w:rPr>
                <w:b/>
                <w:u w:val="single"/>
              </w:rPr>
            </w:pPr>
            <w:r w:rsidRPr="00EF7F33">
              <w:t>Članak 220. stavak 4., članak 223. stavci od 2. do 5., članak 228. stavak 1. CRR-a</w:t>
            </w:r>
          </w:p>
        </w:tc>
      </w:tr>
      <w:tr w:rsidR="00464F34" w:rsidRPr="00EF7F33" w:rsidTr="00672D2A">
        <w:tc>
          <w:tcPr>
            <w:tcW w:w="1188" w:type="dxa"/>
          </w:tcPr>
          <w:p w:rsidR="00464F34" w:rsidRPr="00EF7F33" w:rsidRDefault="00464F34" w:rsidP="00FD239F">
            <w:pPr>
              <w:pStyle w:val="InstructionsText"/>
            </w:pPr>
            <w:r w:rsidRPr="00EF7F33">
              <w:t>160 – 190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Raščlamba potpuno prilagođene vrijednosti izloženosti izvanbilančnih stavki prema konverzijskim faktorima</w:t>
            </w:r>
          </w:p>
          <w:p w:rsidR="00464F34" w:rsidRPr="00EF7F33" w:rsidRDefault="00464F34" w:rsidP="00FD239F">
            <w:pPr>
              <w:pStyle w:val="InstructionsText"/>
            </w:pPr>
            <w:r w:rsidRPr="00EF7F33">
              <w:t>Članak 111. stavak 1. i članak 4. točka 56. CRR-a Vidjeti i članak 222. stavak 3. i čl</w:t>
            </w:r>
            <w:r w:rsidRPr="00EF7F33">
              <w:t>a</w:t>
            </w:r>
            <w:r w:rsidRPr="00EF7F33">
              <w:t>nak 228. stavak 1. CRR-a.</w:t>
            </w:r>
          </w:p>
          <w:p w:rsidR="000A4C10" w:rsidRPr="00EF7F33" w:rsidRDefault="000A4C10" w:rsidP="00FD239F">
            <w:pPr>
              <w:pStyle w:val="InstructionsText"/>
              <w:rPr>
                <w:b/>
                <w:u w:val="single"/>
              </w:rPr>
            </w:pPr>
            <w:r w:rsidRPr="00EF7F33">
              <w:t>Vrijednosti koje se iskazuju jesu potpuno prilagođene vrijednosti izloženosti prije primjene konverzijskog faktora.</w:t>
            </w:r>
          </w:p>
        </w:tc>
      </w:tr>
      <w:tr w:rsidR="00464F34" w:rsidRPr="00EF7F33" w:rsidTr="00672D2A">
        <w:tc>
          <w:tcPr>
            <w:tcW w:w="1188" w:type="dxa"/>
          </w:tcPr>
          <w:p w:rsidR="00464F34" w:rsidRPr="00EF7F33" w:rsidRDefault="00464F34" w:rsidP="00FD239F">
            <w:pPr>
              <w:pStyle w:val="InstructionsText"/>
            </w:pPr>
            <w:r w:rsidRPr="00EF7F33">
              <w:t>200</w:t>
            </w:r>
          </w:p>
        </w:tc>
        <w:tc>
          <w:tcPr>
            <w:tcW w:w="8640" w:type="dxa"/>
          </w:tcPr>
          <w:p w:rsidR="00464F34" w:rsidRPr="00EF7F33" w:rsidRDefault="00464F34" w:rsidP="00FD239F">
            <w:pPr>
              <w:pStyle w:val="InstructionsText"/>
            </w:pPr>
            <w:r w:rsidRPr="00EF7F33">
              <w:rPr>
                <w:rStyle w:val="InstructionsTabelleberschrift"/>
                <w:rFonts w:ascii="Times New Roman" w:hAnsi="Times New Roman"/>
                <w:sz w:val="24"/>
              </w:rPr>
              <w:t>Vrijednost izloženosti</w:t>
            </w:r>
          </w:p>
          <w:p w:rsidR="00464F34" w:rsidRPr="00EF7F33" w:rsidRDefault="00531FC9" w:rsidP="00FD239F">
            <w:pPr>
              <w:pStyle w:val="InstructionsText"/>
            </w:pPr>
            <w:r w:rsidRPr="00EF7F33">
              <w:t>Članak 111. CRR-a i dio 3. glava II. poglavlje 4. odjeljak 4. CRR-a</w:t>
            </w:r>
          </w:p>
          <w:p w:rsidR="00464F34" w:rsidRPr="00EF7F33" w:rsidRDefault="00464F34" w:rsidP="00FD239F">
            <w:pPr>
              <w:pStyle w:val="InstructionsText"/>
            </w:pPr>
            <w:r w:rsidRPr="00EF7F33">
              <w:t>Vrijednost izloženosti nakon uzimanja u obzir vrijednosnih usklađenja, svih smanjenja kreditnog rizika i kreditnih konverzijskih faktora koju je potrebno dodijeliti ponderima rizika u skladu s člankom 113. i dijelom 3. glavom II. poglavljem 2. odjeljkom 2. CRR-a.</w:t>
            </w:r>
          </w:p>
        </w:tc>
      </w:tr>
      <w:tr w:rsidR="00464F34" w:rsidRPr="00EF7F33" w:rsidTr="00672D2A">
        <w:tc>
          <w:tcPr>
            <w:tcW w:w="1188" w:type="dxa"/>
          </w:tcPr>
          <w:p w:rsidR="00464F34" w:rsidRPr="00EF7F33" w:rsidRDefault="00464F34" w:rsidP="00FD239F">
            <w:pPr>
              <w:pStyle w:val="InstructionsText"/>
            </w:pPr>
            <w:r w:rsidRPr="00EF7F33">
              <w:t>210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koja proizlazi iz kreditnog rizika druge ugovorne strane</w:t>
            </w:r>
          </w:p>
          <w:p w:rsidR="00464F34" w:rsidRPr="00EF7F33" w:rsidRDefault="00464F34" w:rsidP="00FD239F">
            <w:pPr>
              <w:pStyle w:val="InstructionsText"/>
              <w:rPr>
                <w:b/>
                <w:u w:val="single"/>
              </w:rPr>
            </w:pPr>
            <w:r w:rsidRPr="00EF7F33">
              <w:t>Za izvedene instrumente, repo transakcije, transakcije pozajmljivanja vrijednosnih p</w:t>
            </w:r>
            <w:r w:rsidRPr="00EF7F33">
              <w:t>a</w:t>
            </w:r>
            <w:r w:rsidRPr="00EF7F33">
              <w:t xml:space="preserve">pira ili robe drugoj ugovornoj strani ili od druge ugovorne strane, transakcije s dugim rokom namire i maržne kredite na koje se primjenjuje dio 3. glava II. poglavlje 6. CRR-a, vrijednost izloženosti za kreditni rizik druge ugovorne strane izračunava se u </w:t>
            </w:r>
            <w:r w:rsidRPr="00EF7F33">
              <w:lastRenderedPageBreak/>
              <w:t>skladu s metodama utvrđenima u dijelu 3. glavi II. poglavlju 6. odjeljcima 2., 3., 4. i 5. CRR-a</w:t>
            </w:r>
          </w:p>
        </w:tc>
      </w:tr>
      <w:tr w:rsidR="00464F34" w:rsidRPr="00EF7F33" w:rsidTr="00672D2A">
        <w:tc>
          <w:tcPr>
            <w:tcW w:w="1188" w:type="dxa"/>
          </w:tcPr>
          <w:p w:rsidR="00464F34" w:rsidRPr="00EF7F33" w:rsidRDefault="00464F34" w:rsidP="00FD239F">
            <w:pPr>
              <w:pStyle w:val="InstructionsText"/>
            </w:pPr>
            <w:r w:rsidRPr="00EF7F33">
              <w:lastRenderedPageBreak/>
              <w:t>215</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Iznos izloženosti ponderiran rizikom prije primjene pomoćnog faktora za MSP-ove</w:t>
            </w:r>
          </w:p>
          <w:p w:rsidR="00464F34" w:rsidRPr="00EF7F33" w:rsidRDefault="00464F34" w:rsidP="00FD239F">
            <w:pPr>
              <w:pStyle w:val="InstructionsText"/>
              <w:rPr>
                <w:b/>
                <w:u w:val="single"/>
              </w:rPr>
            </w:pPr>
            <w:r w:rsidRPr="00EF7F33">
              <w:t>Članak 113. stavci od 1. do 5. CRR-a, ne uzimajući u obzir pomoćni faktor za MSP-ove u skladu s člankom 501. CRR-a.</w:t>
            </w:r>
          </w:p>
        </w:tc>
      </w:tr>
      <w:tr w:rsidR="00464F34" w:rsidRPr="00EF7F33" w:rsidTr="00672D2A">
        <w:tc>
          <w:tcPr>
            <w:tcW w:w="1188" w:type="dxa"/>
          </w:tcPr>
          <w:p w:rsidR="00464F34" w:rsidRPr="00EF7F33" w:rsidRDefault="00464F34" w:rsidP="00FD239F">
            <w:pPr>
              <w:pStyle w:val="InstructionsText"/>
            </w:pPr>
            <w:r w:rsidRPr="00EF7F33">
              <w:t>220</w:t>
            </w:r>
          </w:p>
        </w:tc>
        <w:tc>
          <w:tcPr>
            <w:tcW w:w="8640"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Iznos izloženosti ponderiran rizikom nakon pomoćnog faktora za MSP-ove</w:t>
            </w:r>
          </w:p>
          <w:p w:rsidR="00464F34" w:rsidRPr="00EF7F33" w:rsidRDefault="00464F34" w:rsidP="00FD239F">
            <w:pPr>
              <w:pStyle w:val="InstructionsText"/>
              <w:rPr>
                <w:b/>
                <w:u w:val="single"/>
              </w:rPr>
            </w:pPr>
            <w:r w:rsidRPr="00EF7F33">
              <w:t>Članak 113. stavci od 1. do 5. CRR-a, uzimajući u obzir pomoćni faktor za MSP-ove u skladu s člankom 500. CRR-a.</w:t>
            </w:r>
          </w:p>
        </w:tc>
      </w:tr>
      <w:tr w:rsidR="00464F34" w:rsidRPr="00EF7F33" w:rsidTr="00672D2A">
        <w:tc>
          <w:tcPr>
            <w:tcW w:w="1188" w:type="dxa"/>
            <w:shd w:val="clear" w:color="auto" w:fill="auto"/>
          </w:tcPr>
          <w:p w:rsidR="00464F34" w:rsidRPr="00EF7F33" w:rsidRDefault="00464F34" w:rsidP="00FD239F">
            <w:pPr>
              <w:pStyle w:val="InstructionsText"/>
            </w:pPr>
            <w:r w:rsidRPr="00EF7F33">
              <w:t>230</w:t>
            </w:r>
          </w:p>
        </w:tc>
        <w:tc>
          <w:tcPr>
            <w:tcW w:w="8640"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s procjenom kreditnog rizika odabranog VIPKR-a</w:t>
            </w:r>
          </w:p>
          <w:p w:rsidR="003812AC" w:rsidRPr="00EF7F33" w:rsidRDefault="003812AC" w:rsidP="00FD239F">
            <w:pPr>
              <w:pStyle w:val="InstructionsText"/>
            </w:pPr>
            <w:r w:rsidRPr="00EF7F33">
              <w:t>Članak 112. točke od (a) do (d), (f), (g), (l), (n) (o) i (q) CRR-a</w:t>
            </w:r>
          </w:p>
        </w:tc>
      </w:tr>
      <w:tr w:rsidR="00464F34" w:rsidRPr="00EF7F33" w:rsidTr="00672D2A">
        <w:tc>
          <w:tcPr>
            <w:tcW w:w="1188" w:type="dxa"/>
            <w:shd w:val="clear" w:color="auto" w:fill="auto"/>
          </w:tcPr>
          <w:p w:rsidR="00464F34" w:rsidRPr="00EF7F33" w:rsidRDefault="00464F34" w:rsidP="00FD239F">
            <w:pPr>
              <w:pStyle w:val="InstructionsText"/>
            </w:pPr>
            <w:r w:rsidRPr="00EF7F33">
              <w:t>240</w:t>
            </w:r>
          </w:p>
        </w:tc>
        <w:tc>
          <w:tcPr>
            <w:tcW w:w="8640"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s procjenom kreditnog rizika središnje države</w:t>
            </w:r>
          </w:p>
          <w:p w:rsidR="003812AC" w:rsidRPr="00EF7F33" w:rsidRDefault="003812AC" w:rsidP="00FD239F">
            <w:pPr>
              <w:pStyle w:val="InstructionsText"/>
            </w:pPr>
            <w:r w:rsidRPr="00EF7F33">
              <w:t>Članak 112. točke od (b) do (d), (f), (g), (l) i (o) CRR-a</w:t>
            </w:r>
          </w:p>
        </w:tc>
      </w:tr>
    </w:tbl>
    <w:p w:rsidR="00464F34" w:rsidRPr="00EF7F33"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EF7F33" w:rsidTr="00672D2A">
        <w:tc>
          <w:tcPr>
            <w:tcW w:w="1188" w:type="dxa"/>
            <w:shd w:val="clear" w:color="auto" w:fill="CCCCCC"/>
          </w:tcPr>
          <w:p w:rsidR="00464F34" w:rsidRPr="00EF7F33" w:rsidRDefault="007106FB" w:rsidP="00FD239F">
            <w:pPr>
              <w:pStyle w:val="InstructionsText"/>
            </w:pPr>
            <w:r w:rsidRPr="00EF7F33">
              <w:t>Redci</w:t>
            </w:r>
          </w:p>
        </w:tc>
        <w:tc>
          <w:tcPr>
            <w:tcW w:w="8701" w:type="dxa"/>
            <w:shd w:val="clear" w:color="auto" w:fill="CCCCCC"/>
          </w:tcPr>
          <w:p w:rsidR="00464F34" w:rsidRPr="00EF7F33" w:rsidRDefault="00464F34" w:rsidP="00FD239F">
            <w:pPr>
              <w:pStyle w:val="InstructionsText"/>
            </w:pPr>
            <w:r w:rsidRPr="00EF7F33">
              <w:t>Upute</w:t>
            </w:r>
          </w:p>
        </w:tc>
      </w:tr>
      <w:tr w:rsidR="00464F34" w:rsidRPr="00EF7F33" w:rsidTr="00672D2A">
        <w:tc>
          <w:tcPr>
            <w:tcW w:w="1188" w:type="dxa"/>
          </w:tcPr>
          <w:p w:rsidR="00464F34" w:rsidRPr="00EF7F33" w:rsidRDefault="00464F34" w:rsidP="00FD239F">
            <w:pPr>
              <w:pStyle w:val="InstructionsText"/>
            </w:pPr>
            <w:r w:rsidRPr="00EF7F33">
              <w:t>010</w:t>
            </w:r>
          </w:p>
        </w:tc>
        <w:tc>
          <w:tcPr>
            <w:tcW w:w="8701" w:type="dxa"/>
          </w:tcPr>
          <w:p w:rsidR="00464F34" w:rsidRPr="00EF7F33" w:rsidRDefault="00464F34" w:rsidP="00FD239F">
            <w:pPr>
              <w:pStyle w:val="InstructionsText"/>
            </w:pPr>
            <w:r w:rsidRPr="00EF7F33">
              <w:rPr>
                <w:rStyle w:val="InstructionsTabelleberschrift"/>
                <w:rFonts w:ascii="Times New Roman" w:hAnsi="Times New Roman"/>
                <w:sz w:val="24"/>
              </w:rPr>
              <w:t>Ukupne izloženosti</w:t>
            </w:r>
          </w:p>
        </w:tc>
      </w:tr>
      <w:tr w:rsidR="00610B56" w:rsidRPr="00EF7F33" w:rsidTr="00672D2A">
        <w:tc>
          <w:tcPr>
            <w:tcW w:w="1188" w:type="dxa"/>
          </w:tcPr>
          <w:p w:rsidR="00610B56" w:rsidRPr="00EF7F33" w:rsidRDefault="00610B56" w:rsidP="00FD239F">
            <w:pPr>
              <w:pStyle w:val="InstructionsText"/>
            </w:pPr>
            <w:r w:rsidRPr="00EF7F33">
              <w:t>015</w:t>
            </w:r>
          </w:p>
        </w:tc>
        <w:tc>
          <w:tcPr>
            <w:tcW w:w="8701" w:type="dxa"/>
          </w:tcPr>
          <w:p w:rsidR="00610B56" w:rsidRPr="00EF7F33" w:rsidRDefault="00610B56"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izloženosti sa statusom neispunjavanja obveza</w:t>
            </w:r>
          </w:p>
          <w:p w:rsidR="00610B56" w:rsidRPr="00EF7F33" w:rsidRDefault="00610B56" w:rsidP="00FD239F">
            <w:pPr>
              <w:pStyle w:val="InstructionsText"/>
            </w:pPr>
            <w:r w:rsidRPr="00EF7F33">
              <w:t>Članak 127. CRR-a</w:t>
            </w:r>
          </w:p>
          <w:p w:rsidR="00610B56" w:rsidRPr="00EF7F33" w:rsidRDefault="00610B56" w:rsidP="00FD239F">
            <w:pPr>
              <w:pStyle w:val="InstructionsText"/>
            </w:pPr>
            <w:r w:rsidRPr="00EF7F33">
              <w:t>Ovaj se redak iskazuje samo u kategorijama izloženosti „visokorizične stavke” i „izl</w:t>
            </w:r>
            <w:r w:rsidRPr="00EF7F33">
              <w:t>o</w:t>
            </w:r>
            <w:r w:rsidRPr="00EF7F33">
              <w:t xml:space="preserve">ženosti na osnovi vlasničkih ulaganja”. </w:t>
            </w:r>
          </w:p>
          <w:p w:rsidR="00761891" w:rsidRPr="00EF7F33" w:rsidRDefault="00761891" w:rsidP="00A04CFA">
            <w:pPr>
              <w:pStyle w:val="InstructionsText"/>
            </w:pPr>
            <w:r w:rsidRPr="00EF7F33">
              <w:t>Ako je izloženost navedena u članku 128. stavku 2. CRR-a ili ako ispunjava uvjete iz članka 128. stavka 3. ili članka 133. CRR-a, raspoređuje se u kategoriju izloženosti „v</w:t>
            </w:r>
            <w:r w:rsidRPr="00EF7F33">
              <w:t>i</w:t>
            </w:r>
            <w:r w:rsidRPr="00EF7F33">
              <w:t>sokorizične stavke” i „izloženosti na osnovi vlasničkih ulaganja”. U skladu s time ne smije postojati drugačija raspodjela čak i ako izloženost ima status neispunjavanja o</w:t>
            </w:r>
            <w:r w:rsidRPr="00EF7F33">
              <w:t>b</w:t>
            </w:r>
            <w:r w:rsidRPr="00EF7F33">
              <w:t>veza u skladu s člankom 127. CRR-a.</w:t>
            </w:r>
          </w:p>
        </w:tc>
      </w:tr>
      <w:tr w:rsidR="00464F34" w:rsidRPr="00EF7F33" w:rsidTr="00672D2A">
        <w:tc>
          <w:tcPr>
            <w:tcW w:w="1188" w:type="dxa"/>
            <w:shd w:val="clear" w:color="auto" w:fill="auto"/>
          </w:tcPr>
          <w:p w:rsidR="00464F34" w:rsidRPr="00EF7F33" w:rsidRDefault="00462BAB" w:rsidP="00FD239F">
            <w:pPr>
              <w:pStyle w:val="InstructionsText"/>
            </w:pPr>
            <w:r w:rsidRPr="00EF7F33">
              <w:t>020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MSP</w:t>
            </w:r>
          </w:p>
          <w:p w:rsidR="00464F34" w:rsidRPr="00EF7F33" w:rsidRDefault="00464F34" w:rsidP="00FD239F">
            <w:pPr>
              <w:pStyle w:val="InstructionsText"/>
            </w:pPr>
            <w:r w:rsidRPr="00EF7F33">
              <w:t xml:space="preserve">Sve izloženosti prema MSP-ovima iskazuju se ovdje. </w:t>
            </w:r>
          </w:p>
        </w:tc>
      </w:tr>
      <w:tr w:rsidR="00464F34" w:rsidRPr="00EF7F33" w:rsidTr="00672D2A">
        <w:tc>
          <w:tcPr>
            <w:tcW w:w="1188" w:type="dxa"/>
            <w:shd w:val="clear" w:color="auto" w:fill="auto"/>
          </w:tcPr>
          <w:p w:rsidR="00464F34" w:rsidRPr="00EF7F33" w:rsidRDefault="00462BAB" w:rsidP="00FD239F">
            <w:pPr>
              <w:pStyle w:val="InstructionsText"/>
            </w:pPr>
            <w:r w:rsidRPr="00EF7F33">
              <w:t>030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izloženosti koje podliježu pomoćnom faktoru za MSP-ove</w:t>
            </w:r>
          </w:p>
          <w:p w:rsidR="00464F34" w:rsidRPr="00EF7F33" w:rsidRDefault="00464F34" w:rsidP="00FD239F">
            <w:pPr>
              <w:pStyle w:val="InstructionsText"/>
            </w:pPr>
            <w:r w:rsidRPr="00EF7F33">
              <w:t xml:space="preserve">Ovdje se iskazuju samo izloženosti koje ispunjavaju zahtjeve iz članka 501. CRR-a. </w:t>
            </w:r>
          </w:p>
        </w:tc>
      </w:tr>
      <w:tr w:rsidR="00464F34" w:rsidRPr="00EF7F33" w:rsidTr="00672D2A">
        <w:tc>
          <w:tcPr>
            <w:tcW w:w="1188" w:type="dxa"/>
            <w:shd w:val="clear" w:color="auto" w:fill="auto"/>
          </w:tcPr>
          <w:p w:rsidR="00464F34" w:rsidRPr="00EF7F33" w:rsidRDefault="00462BAB" w:rsidP="00FD239F">
            <w:pPr>
              <w:pStyle w:val="InstructionsText"/>
            </w:pPr>
            <w:r w:rsidRPr="00EF7F33">
              <w:t>040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osigurane nekretninama – stambene nekretnine</w:t>
            </w:r>
          </w:p>
          <w:p w:rsidR="00464F34" w:rsidRPr="00EF7F33" w:rsidRDefault="00464F34" w:rsidP="00FD239F">
            <w:pPr>
              <w:pStyle w:val="InstructionsText"/>
            </w:pPr>
            <w:r w:rsidRPr="00EF7F33">
              <w:t>Članak 125. CRR-a.</w:t>
            </w:r>
          </w:p>
          <w:p w:rsidR="00464F34" w:rsidRPr="00EF7F33" w:rsidRDefault="00464F34" w:rsidP="00FD239F">
            <w:pPr>
              <w:pStyle w:val="InstructionsText"/>
              <w:rPr>
                <w:b/>
                <w:u w:val="single"/>
              </w:rPr>
            </w:pPr>
            <w:r w:rsidRPr="00EF7F33">
              <w:t>Iskazuju se samo u kategoriji izloženosti „osigurane nekretninama”.</w:t>
            </w:r>
          </w:p>
        </w:tc>
      </w:tr>
      <w:tr w:rsidR="00464F34" w:rsidRPr="00EF7F33" w:rsidTr="00672D2A">
        <w:tc>
          <w:tcPr>
            <w:tcW w:w="1188" w:type="dxa"/>
            <w:shd w:val="clear" w:color="auto" w:fill="auto"/>
          </w:tcPr>
          <w:p w:rsidR="00464F34" w:rsidRPr="00EF7F33" w:rsidRDefault="00462BAB" w:rsidP="00FD239F">
            <w:pPr>
              <w:pStyle w:val="InstructionsText"/>
            </w:pPr>
            <w:r w:rsidRPr="00EF7F33">
              <w:t>050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izloženosti u skladu s trajnim izuzećem od primjene standardiziranog pristupa</w:t>
            </w:r>
          </w:p>
          <w:p w:rsidR="00464F34" w:rsidRPr="00EF7F33" w:rsidRDefault="00464F34" w:rsidP="00255BA9">
            <w:pPr>
              <w:pStyle w:val="InstructionsText"/>
            </w:pPr>
            <w:r w:rsidRPr="00EF7F33">
              <w:t>Izloženosti koje se tretiraju u skladu s člankom 150. stavkom 1. CRR-a</w:t>
            </w:r>
          </w:p>
        </w:tc>
      </w:tr>
      <w:tr w:rsidR="00464F34" w:rsidRPr="00EF7F33" w:rsidTr="00672D2A">
        <w:tc>
          <w:tcPr>
            <w:tcW w:w="1188" w:type="dxa"/>
            <w:shd w:val="clear" w:color="auto" w:fill="auto"/>
          </w:tcPr>
          <w:p w:rsidR="00464F34" w:rsidRPr="00EF7F33" w:rsidRDefault="00462BAB" w:rsidP="00FD239F">
            <w:pPr>
              <w:pStyle w:val="InstructionsText"/>
            </w:pPr>
            <w:r w:rsidRPr="00EF7F33">
              <w:t>060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izloženosti u skladu sa standardiziranim pristupom s prethodnim na</w:t>
            </w:r>
            <w:r w:rsidRPr="00EF7F33">
              <w:rPr>
                <w:rStyle w:val="InstructionsTabelleberschrift"/>
                <w:rFonts w:ascii="Times New Roman" w:hAnsi="Times New Roman"/>
                <w:sz w:val="24"/>
              </w:rPr>
              <w:t>d</w:t>
            </w:r>
            <w:r w:rsidRPr="00EF7F33">
              <w:rPr>
                <w:rStyle w:val="InstructionsTabelleberschrift"/>
                <w:rFonts w:ascii="Times New Roman" w:hAnsi="Times New Roman"/>
                <w:sz w:val="24"/>
              </w:rPr>
              <w:t>zornim odobrenjem za postupno uvođenje IRB pristupa</w:t>
            </w:r>
          </w:p>
          <w:p w:rsidR="00464F34" w:rsidRPr="00EF7F33" w:rsidRDefault="00464F34" w:rsidP="00255BA9">
            <w:pPr>
              <w:pStyle w:val="InstructionsText"/>
            </w:pPr>
            <w:r w:rsidRPr="00EF7F33">
              <w:t>Izloženosti koje se tretiraju u skladu s člankom 148. stavkom 1. CRR-a</w:t>
            </w:r>
          </w:p>
        </w:tc>
      </w:tr>
      <w:tr w:rsidR="00464F34" w:rsidRPr="00EF7F33" w:rsidTr="00672D2A">
        <w:tc>
          <w:tcPr>
            <w:tcW w:w="1188" w:type="dxa"/>
          </w:tcPr>
          <w:p w:rsidR="00464F34" w:rsidRPr="00EF7F33" w:rsidRDefault="00462BAB" w:rsidP="00FD239F">
            <w:pPr>
              <w:pStyle w:val="InstructionsText"/>
            </w:pPr>
            <w:r w:rsidRPr="00EF7F33">
              <w:lastRenderedPageBreak/>
              <w:t>070-130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RAŠČLAMBA UKUPNIH IZLOŽENOSTI PREMA VRSTMA IZLOŽENOSTI</w:t>
            </w:r>
          </w:p>
          <w:p w:rsidR="00464F34" w:rsidRPr="00EF7F33" w:rsidRDefault="00464F34" w:rsidP="00FD239F">
            <w:pPr>
              <w:pStyle w:val="InstructionsText"/>
            </w:pPr>
            <w:r w:rsidRPr="00EF7F33">
              <w:t>Pozicije iz „knjige pozicija kojima se ne trguje” institucije koja izvješćuje raščlanjuju se u skladu s kriterijima u nastavku na bilančne izloženosti koje podliježu kreditnom riz</w:t>
            </w:r>
            <w:r w:rsidRPr="00EF7F33">
              <w:t>i</w:t>
            </w:r>
            <w:r w:rsidRPr="00EF7F33">
              <w:t>ku, izvanbilančne izloženosti koje podliježu kreditnom riziku i izloženosti koje podlij</w:t>
            </w:r>
            <w:r w:rsidRPr="00EF7F33">
              <w:t>e</w:t>
            </w:r>
            <w:r w:rsidRPr="00EF7F33">
              <w:t xml:space="preserve">žu kreditnom riziku druge ugovorne strane. </w:t>
            </w:r>
          </w:p>
          <w:p w:rsidR="00464F34" w:rsidRPr="00EF7F33" w:rsidRDefault="00464F34" w:rsidP="00FD239F">
            <w:pPr>
              <w:pStyle w:val="InstructionsText"/>
            </w:pPr>
            <w:r w:rsidRPr="00EF7F33">
              <w:t>Pozicije koje podliježu kreditnom riziku druge ugovorne strane iz „knjige trgovanja” i</w:t>
            </w:r>
            <w:r w:rsidRPr="00EF7F33">
              <w:t>n</w:t>
            </w:r>
            <w:r w:rsidRPr="00EF7F33">
              <w:t>stitucije koja izvješćuje u skladu s člankom 92. stavkom 3. točkom (f) i člankom 299. stavkom 2. CRR-a raspoređuju se u izloženosti koje podliježu kreditnom riziku druge ugovorne strane. I institucije koje primjenjuju članak 94. stavak 1. CRR-a svoje pozicije iz „knjige trgovanja” raščlanjuju u skladu s kriterijima u nastavku na bilančne izlož</w:t>
            </w:r>
            <w:r w:rsidRPr="00EF7F33">
              <w:t>e</w:t>
            </w:r>
            <w:r w:rsidRPr="00EF7F33">
              <w:t>nosti koje podliježu kreditnom riziku, izvanbilančne izloženosti koje podliježu kredi</w:t>
            </w:r>
            <w:r w:rsidRPr="00EF7F33">
              <w:t>t</w:t>
            </w:r>
            <w:r w:rsidRPr="00EF7F33">
              <w:t>nom riziku i izloženosti koje podliježu kreditnom riziku druge ugovorne strane.</w:t>
            </w:r>
          </w:p>
        </w:tc>
      </w:tr>
      <w:tr w:rsidR="00464F34" w:rsidRPr="00EF7F33" w:rsidTr="00672D2A">
        <w:tc>
          <w:tcPr>
            <w:tcW w:w="1188" w:type="dxa"/>
          </w:tcPr>
          <w:p w:rsidR="00464F34" w:rsidRPr="00EF7F33" w:rsidRDefault="00462BAB" w:rsidP="00FD239F">
            <w:pPr>
              <w:pStyle w:val="InstructionsText"/>
            </w:pPr>
            <w:r w:rsidRPr="00EF7F33">
              <w:t>070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xml:space="preserve">Bilančne izloženosti koje podliježu kreditnom riziku </w:t>
            </w:r>
          </w:p>
          <w:p w:rsidR="00464F34" w:rsidRPr="00EF7F33" w:rsidRDefault="00464F34" w:rsidP="00FD239F">
            <w:pPr>
              <w:pStyle w:val="InstructionsText"/>
            </w:pPr>
            <w:r w:rsidRPr="00EF7F33">
              <w:t>Imovina iz članka 24. CRR-a koja nije uključena u neku drugu kategoriju.</w:t>
            </w:r>
          </w:p>
          <w:p w:rsidR="00464F34" w:rsidRPr="00EF7F33" w:rsidRDefault="00464F34" w:rsidP="00FD239F">
            <w:pPr>
              <w:pStyle w:val="InstructionsText"/>
            </w:pPr>
            <w:r w:rsidRPr="00EF7F33">
              <w:t>Izloženosti, koje su bilančne stavke i koje su uključene kao transakcije financiranja vr</w:t>
            </w:r>
            <w:r w:rsidRPr="00EF7F33">
              <w:t>i</w:t>
            </w:r>
            <w:r w:rsidRPr="00EF7F33">
              <w:t>jednosnim papirima, izvedenice i transakcije s dugim rokom namire ili iz netiranja i</w:t>
            </w:r>
            <w:r w:rsidRPr="00EF7F33">
              <w:t>z</w:t>
            </w:r>
            <w:r w:rsidRPr="00EF7F33">
              <w:t xml:space="preserve">među različitih kategorija proizvoda, iskazuju se u redcima 090, 110 i 130 te se, stoga, ne iskazuju u ovom retku. </w:t>
            </w:r>
          </w:p>
          <w:p w:rsidR="00464F34" w:rsidRPr="00EF7F33" w:rsidRDefault="00464F34" w:rsidP="00FD239F">
            <w:pPr>
              <w:pStyle w:val="InstructionsText"/>
            </w:pPr>
            <w:r w:rsidRPr="00EF7F33">
              <w:t xml:space="preserve">Slobodne isporuke u skladu s člankom 379. stavkom 1. CRR-a (ako nisu odbijene) nisu bilančne stavke, ali se ipak iskazuju u ovom retku. </w:t>
            </w:r>
          </w:p>
          <w:p w:rsidR="00464F34" w:rsidRPr="00EF7F33" w:rsidRDefault="00464F34" w:rsidP="00FD239F">
            <w:pPr>
              <w:pStyle w:val="InstructionsText"/>
              <w:rPr>
                <w:b/>
                <w:u w:val="single"/>
              </w:rPr>
            </w:pPr>
            <w:r w:rsidRPr="00EF7F33">
              <w:t>Izloženosti koje proizlaze iz imovine uplaćene središnjoj drugoj ugovornoj strani u skladu s člankom 4. točkom 90. CRR-a i izloženosti jamstvenog fonda u skladu s čla</w:t>
            </w:r>
            <w:r w:rsidRPr="00EF7F33">
              <w:t>n</w:t>
            </w:r>
            <w:r w:rsidRPr="00EF7F33">
              <w:t xml:space="preserve">kom 4. točkom 89. CRR-a uključuju se ako nisu iskazane u retku 030. </w:t>
            </w:r>
          </w:p>
        </w:tc>
      </w:tr>
      <w:tr w:rsidR="00464F34" w:rsidRPr="00EF7F33" w:rsidTr="00672D2A">
        <w:tc>
          <w:tcPr>
            <w:tcW w:w="1188" w:type="dxa"/>
          </w:tcPr>
          <w:p w:rsidR="00464F34" w:rsidRPr="00EF7F33" w:rsidRDefault="00462BAB" w:rsidP="00FD239F">
            <w:pPr>
              <w:pStyle w:val="InstructionsText"/>
            </w:pPr>
            <w:r w:rsidRPr="00EF7F33">
              <w:t>080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Izvanbilančne izloženosti koje podliježu kreditnom riziku</w:t>
            </w:r>
          </w:p>
          <w:p w:rsidR="00464F34" w:rsidRPr="00EF7F33" w:rsidRDefault="00464F34" w:rsidP="00FD239F">
            <w:pPr>
              <w:pStyle w:val="InstructionsText"/>
            </w:pPr>
            <w:r w:rsidRPr="00EF7F33">
              <w:t>Izvanbilančnim pozicijama obuhvaćene su stavke navedene u Prilogu I. CRR-a.</w:t>
            </w:r>
          </w:p>
          <w:p w:rsidR="00464F34" w:rsidRPr="00EF7F33" w:rsidRDefault="00464F34" w:rsidP="00FD239F">
            <w:pPr>
              <w:pStyle w:val="InstructionsText"/>
            </w:pPr>
            <w:r w:rsidRPr="00EF7F33">
              <w:t>Izloženosti, koje su izvanbilančne stavke i koje su uključene kao transakcije financir</w:t>
            </w:r>
            <w:r w:rsidRPr="00EF7F33">
              <w:t>a</w:t>
            </w:r>
            <w:r w:rsidRPr="00EF7F33">
              <w:t>nja vrijednosnim papirima, izvedenice i transakcije s dugim rokom namire ili iz netir</w:t>
            </w:r>
            <w:r w:rsidRPr="00EF7F33">
              <w:t>a</w:t>
            </w:r>
            <w:r w:rsidRPr="00EF7F33">
              <w:t>nja između različitih kategorija proizvoda, iskazuju se u redcima 040 i 060 te se, stoga, ne iskazuju u ovom retku.</w:t>
            </w:r>
          </w:p>
          <w:p w:rsidR="00464F34" w:rsidRPr="00EF7F33" w:rsidRDefault="00464F34" w:rsidP="00FD239F">
            <w:pPr>
              <w:pStyle w:val="InstructionsText"/>
              <w:rPr>
                <w:b/>
                <w:u w:val="single"/>
              </w:rPr>
            </w:pPr>
            <w:r w:rsidRPr="00EF7F33">
              <w:t>Izloženosti koje proizlaze iz imovine uplaćene središnjoj drugoj ugovornoj strani u skladu s člankom 4. točkom 90. CRR-a i izloženosti jamstvenog fonda u skladu s člankom 4. točkom 89. CRR-a uključuju se ako se smatraju izvanbilančnim stavkama.</w:t>
            </w:r>
          </w:p>
        </w:tc>
      </w:tr>
      <w:tr w:rsidR="003C3168" w:rsidRPr="00EF7F33" w:rsidTr="00672D2A">
        <w:tc>
          <w:tcPr>
            <w:tcW w:w="1188" w:type="dxa"/>
            <w:tcBorders>
              <w:top w:val="single" w:sz="4" w:space="0" w:color="auto"/>
              <w:left w:val="single" w:sz="4" w:space="0" w:color="auto"/>
              <w:bottom w:val="single" w:sz="4" w:space="0" w:color="auto"/>
              <w:right w:val="single" w:sz="4" w:space="0" w:color="auto"/>
            </w:tcBorders>
          </w:tcPr>
          <w:p w:rsidR="003C3168" w:rsidRPr="00EF7F33" w:rsidRDefault="003C3168" w:rsidP="00FD239F">
            <w:pPr>
              <w:pStyle w:val="InstructionsText"/>
            </w:pPr>
            <w:r w:rsidRPr="00EF7F33">
              <w:t>090-130</w:t>
            </w:r>
          </w:p>
        </w:tc>
        <w:tc>
          <w:tcPr>
            <w:tcW w:w="8701" w:type="dxa"/>
            <w:tcBorders>
              <w:top w:val="single" w:sz="4" w:space="0" w:color="auto"/>
              <w:left w:val="single" w:sz="4" w:space="0" w:color="auto"/>
              <w:bottom w:val="single" w:sz="4" w:space="0" w:color="auto"/>
              <w:right w:val="single" w:sz="4" w:space="0" w:color="auto"/>
            </w:tcBorders>
          </w:tcPr>
          <w:p w:rsidR="003C3168" w:rsidRPr="00EF7F33" w:rsidRDefault="003C3168" w:rsidP="00FD239F">
            <w:pPr>
              <w:pStyle w:val="InstructionsText"/>
            </w:pPr>
            <w:r w:rsidRPr="00EF7F33">
              <w:rPr>
                <w:rStyle w:val="InstructionsTabelleberschrift"/>
                <w:rFonts w:ascii="Times New Roman" w:hAnsi="Times New Roman"/>
                <w:sz w:val="24"/>
              </w:rPr>
              <w:t>Izloženosti/transakcije koje podliježu kreditnom riziku druge ugovorne strane</w:t>
            </w:r>
          </w:p>
        </w:tc>
      </w:tr>
      <w:tr w:rsidR="00464F34" w:rsidRPr="00EF7F33" w:rsidTr="00672D2A">
        <w:tc>
          <w:tcPr>
            <w:tcW w:w="1188" w:type="dxa"/>
          </w:tcPr>
          <w:p w:rsidR="00464F34" w:rsidRPr="00EF7F33" w:rsidRDefault="00462BAB" w:rsidP="00FD239F">
            <w:pPr>
              <w:pStyle w:val="InstructionsText"/>
            </w:pPr>
            <w:r w:rsidRPr="00EF7F33">
              <w:t>090</w:t>
            </w:r>
          </w:p>
        </w:tc>
        <w:tc>
          <w:tcPr>
            <w:tcW w:w="8701" w:type="dxa"/>
          </w:tcPr>
          <w:p w:rsidR="00464F34" w:rsidRPr="00EF7F33" w:rsidRDefault="00464F34" w:rsidP="00FD239F">
            <w:pPr>
              <w:pStyle w:val="InstructionsText"/>
            </w:pPr>
            <w:r w:rsidRPr="00EF7F33">
              <w:rPr>
                <w:rStyle w:val="InstructionsTabelleberschrift"/>
                <w:rFonts w:ascii="Times New Roman" w:hAnsi="Times New Roman"/>
                <w:sz w:val="24"/>
              </w:rPr>
              <w:t xml:space="preserve">Transakcije financiranja vrijednosnim papirima </w:t>
            </w:r>
          </w:p>
          <w:p w:rsidR="00464F34" w:rsidRPr="00EF7F33" w:rsidRDefault="00464F34" w:rsidP="00FD239F">
            <w:pPr>
              <w:pStyle w:val="InstructionsText"/>
            </w:pPr>
            <w:r w:rsidRPr="00EF7F33">
              <w:t>Transakcije financiranja vrijednosnim papirima, kako su definirane u točki 17. dok</w:t>
            </w:r>
            <w:r w:rsidRPr="00EF7F33">
              <w:t>u</w:t>
            </w:r>
            <w:r w:rsidRPr="00EF7F33">
              <w:t>menta Bazelskog odbora „The Application of Basel II to Trading Activities and the Treatment of Double Default Effects” uključuju: i. repo ugovore i obratne repo ugovore definirane u članku 4. točki 82. CRR-a te transakcije pozajmljivanja vrijednosnih papira ili robe drugoj ugovornoj strani ili od druge ugovorne strane; ii. maržne kredite kako su definirani u članku 272. točki 3. CRR-a.</w:t>
            </w:r>
          </w:p>
        </w:tc>
      </w:tr>
      <w:tr w:rsidR="00464F34" w:rsidRPr="00EF7F33" w:rsidTr="00672D2A">
        <w:tc>
          <w:tcPr>
            <w:tcW w:w="1188" w:type="dxa"/>
          </w:tcPr>
          <w:p w:rsidR="00464F34" w:rsidRPr="00EF7F33" w:rsidRDefault="00462BAB" w:rsidP="00FD239F">
            <w:pPr>
              <w:pStyle w:val="InstructionsText"/>
            </w:pPr>
            <w:r w:rsidRPr="00EF7F33">
              <w:t>100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Od čega: poravnane centralno preko kvalificirane središnje druge ugovorne strane</w:t>
            </w:r>
          </w:p>
          <w:p w:rsidR="00464F34" w:rsidRPr="00EF7F33" w:rsidRDefault="00464F34" w:rsidP="00FD239F">
            <w:pPr>
              <w:pStyle w:val="InstructionsText"/>
            </w:pPr>
            <w:r w:rsidRPr="00EF7F33">
              <w:t xml:space="preserve">Članak 306. CRR-a za kvalificirane središnje druge ugovorne strane u skladu s člankom </w:t>
            </w:r>
            <w:r w:rsidRPr="00EF7F33">
              <w:lastRenderedPageBreak/>
              <w:t>4. točkom 88. u vezi s člankom 301. stavkom 2. CRR-a.</w:t>
            </w:r>
          </w:p>
          <w:p w:rsidR="00464F34" w:rsidRPr="00EF7F33" w:rsidRDefault="00D02E89" w:rsidP="00FD239F">
            <w:pPr>
              <w:pStyle w:val="InstructionsText"/>
            </w:pPr>
            <w:r w:rsidRPr="00EF7F33">
              <w:t>Izloženost iz trgovanja prema središnjoj drugoj ugovornoj strani u skladu s člankom 4. točkom 91. CRR-a.</w:t>
            </w:r>
          </w:p>
        </w:tc>
      </w:tr>
      <w:tr w:rsidR="00464F34" w:rsidRPr="00EF7F33" w:rsidTr="00672D2A">
        <w:tc>
          <w:tcPr>
            <w:tcW w:w="1188" w:type="dxa"/>
          </w:tcPr>
          <w:p w:rsidR="00464F34" w:rsidRPr="00EF7F33" w:rsidRDefault="00462BAB" w:rsidP="00FD239F">
            <w:pPr>
              <w:pStyle w:val="InstructionsText"/>
            </w:pPr>
            <w:r w:rsidRPr="00EF7F33">
              <w:lastRenderedPageBreak/>
              <w:t>110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xml:space="preserve">Izvedenice i transakcije s dugim rokom namire </w:t>
            </w:r>
          </w:p>
          <w:p w:rsidR="00464F34" w:rsidRPr="00EF7F33" w:rsidRDefault="00464F34" w:rsidP="00FD239F">
            <w:pPr>
              <w:pStyle w:val="InstructionsText"/>
            </w:pPr>
            <w:r w:rsidRPr="00EF7F33">
              <w:t>Izvedenicama su obuhvaćeni ugovori navedeni u Prilogu II. CRR-a.</w:t>
            </w:r>
          </w:p>
          <w:p w:rsidR="00464F34" w:rsidRPr="00EF7F33" w:rsidRDefault="00464F34" w:rsidP="00FD239F">
            <w:pPr>
              <w:pStyle w:val="InstructionsText"/>
            </w:pPr>
            <w:r w:rsidRPr="00EF7F33">
              <w:t>Transakcije s dugim rokom namire kako su definirane u članku 272. točki 2. CRR-a.</w:t>
            </w:r>
          </w:p>
          <w:p w:rsidR="00464F34" w:rsidRPr="00EF7F33" w:rsidRDefault="00464F34" w:rsidP="00FD239F">
            <w:pPr>
              <w:pStyle w:val="InstructionsText"/>
            </w:pPr>
            <w:r w:rsidRPr="00EF7F33">
              <w:t>Izvedenice i transakcije s dugim rokom namire koje su uključene u netiranje između r</w:t>
            </w:r>
            <w:r w:rsidRPr="00EF7F33">
              <w:t>a</w:t>
            </w:r>
            <w:r w:rsidRPr="00EF7F33">
              <w:t>zličitih kategorija proizvoda i stoga iskazane u retku 130 ne iskazuju se u ovom retku.</w:t>
            </w:r>
          </w:p>
        </w:tc>
      </w:tr>
      <w:tr w:rsidR="00464F34" w:rsidRPr="00EF7F33" w:rsidTr="00672D2A">
        <w:tc>
          <w:tcPr>
            <w:tcW w:w="1188" w:type="dxa"/>
          </w:tcPr>
          <w:p w:rsidR="00464F34" w:rsidRPr="00EF7F33" w:rsidRDefault="00462BAB" w:rsidP="00FD239F">
            <w:pPr>
              <w:pStyle w:val="InstructionsText"/>
            </w:pPr>
            <w:r w:rsidRPr="00EF7F33">
              <w:t>120</w:t>
            </w:r>
          </w:p>
        </w:tc>
        <w:tc>
          <w:tcPr>
            <w:tcW w:w="8701" w:type="dxa"/>
          </w:tcPr>
          <w:p w:rsidR="00464F34" w:rsidRPr="00EF7F33" w:rsidRDefault="00464F34" w:rsidP="00FD239F">
            <w:pPr>
              <w:pStyle w:val="InstructionsText"/>
            </w:pPr>
            <w:r w:rsidRPr="00EF7F33">
              <w:rPr>
                <w:rStyle w:val="InstructionsTabelleberschrift"/>
                <w:rFonts w:ascii="Times New Roman" w:hAnsi="Times New Roman"/>
                <w:sz w:val="24"/>
              </w:rPr>
              <w:t>Od čega: poravnane centralno preko kvalificirane središnje druge ugovorne strane</w:t>
            </w:r>
          </w:p>
          <w:p w:rsidR="00464F34" w:rsidRPr="00EF7F33" w:rsidRDefault="00464F34" w:rsidP="00FD239F">
            <w:pPr>
              <w:pStyle w:val="InstructionsText"/>
            </w:pPr>
            <w:r w:rsidRPr="00EF7F33">
              <w:t>Članak 306. CRR-a za kvalificirane središnje druge ugovorne strane u skladu s člankom 4. točkom 88. u vezi s člankom 301. stavkom 2. CRR-a</w:t>
            </w:r>
          </w:p>
          <w:p w:rsidR="00464F34" w:rsidRPr="00EF7F33" w:rsidRDefault="00770830" w:rsidP="00FD239F">
            <w:pPr>
              <w:pStyle w:val="InstructionsText"/>
              <w:rPr>
                <w:b/>
                <w:u w:val="single"/>
              </w:rPr>
            </w:pPr>
            <w:r w:rsidRPr="00EF7F33">
              <w:t>Izloženost iz trgovanja prema središnjoj drugoj ugovornoj strani u skladu s člankom 4. točkom 91. CRR-a.</w:t>
            </w:r>
          </w:p>
        </w:tc>
      </w:tr>
      <w:tr w:rsidR="00464F34" w:rsidRPr="00EF7F33" w:rsidTr="00672D2A">
        <w:tc>
          <w:tcPr>
            <w:tcW w:w="1188" w:type="dxa"/>
          </w:tcPr>
          <w:p w:rsidR="00464F34" w:rsidRPr="00EF7F33" w:rsidRDefault="00462BAB" w:rsidP="00FD239F">
            <w:pPr>
              <w:pStyle w:val="InstructionsText"/>
            </w:pPr>
            <w:r w:rsidRPr="00EF7F33">
              <w:t>130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 netiranja između različitih kategorija proizvoda</w:t>
            </w:r>
          </w:p>
          <w:p w:rsidR="00464F34" w:rsidRPr="00EF7F33" w:rsidRDefault="00464F34" w:rsidP="00FD239F">
            <w:pPr>
              <w:pStyle w:val="InstructionsText"/>
            </w:pPr>
            <w:r w:rsidRPr="00EF7F33">
              <w:t>Izloženosti koje se zbog postojanja netiranja između različitih kategorija proizvoda (k</w:t>
            </w:r>
            <w:r w:rsidRPr="00EF7F33">
              <w:t>a</w:t>
            </w:r>
            <w:r w:rsidRPr="00EF7F33">
              <w:t>ko je definirano u članku 272. točki 11. CRR-a) ne mogu rasporediti u izvedenice i tra</w:t>
            </w:r>
            <w:r w:rsidRPr="00EF7F33">
              <w:t>n</w:t>
            </w:r>
            <w:r w:rsidRPr="00EF7F33">
              <w:t>sakcije s dugim rokom namire ili transakcije financiranja vrijednosnim papirima iskaz</w:t>
            </w:r>
            <w:r w:rsidRPr="00EF7F33">
              <w:t>u</w:t>
            </w:r>
            <w:r w:rsidRPr="00EF7F33">
              <w:t>ju se u ovom retku.</w:t>
            </w:r>
          </w:p>
        </w:tc>
      </w:tr>
      <w:tr w:rsidR="00464F34" w:rsidRPr="00EF7F33" w:rsidTr="00672D2A">
        <w:tc>
          <w:tcPr>
            <w:tcW w:w="1188" w:type="dxa"/>
          </w:tcPr>
          <w:p w:rsidR="00464F34" w:rsidRPr="00EF7F33" w:rsidRDefault="00462BAB" w:rsidP="00FD239F">
            <w:pPr>
              <w:pStyle w:val="InstructionsText"/>
            </w:pPr>
            <w:r w:rsidRPr="00EF7F33">
              <w:t>140-280</w:t>
            </w:r>
          </w:p>
        </w:tc>
        <w:tc>
          <w:tcPr>
            <w:tcW w:w="8701" w:type="dxa"/>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RAŠČLAMBA IZLOŽENOSTI PREMA PONDERIMA RIZIKA</w:t>
            </w:r>
          </w:p>
          <w:p w:rsidR="00464F34" w:rsidRPr="00EF7F33" w:rsidRDefault="00464F34" w:rsidP="00FD239F">
            <w:pPr>
              <w:pStyle w:val="InstructionsText"/>
            </w:pPr>
          </w:p>
        </w:tc>
      </w:tr>
      <w:tr w:rsidR="00464F34" w:rsidRPr="00EF7F33" w:rsidTr="00672D2A">
        <w:tc>
          <w:tcPr>
            <w:tcW w:w="1188" w:type="dxa"/>
            <w:shd w:val="clear" w:color="auto" w:fill="auto"/>
          </w:tcPr>
          <w:p w:rsidR="00464F34" w:rsidRPr="00EF7F33" w:rsidRDefault="00462BAB" w:rsidP="00FD239F">
            <w:pPr>
              <w:pStyle w:val="InstructionsText"/>
            </w:pPr>
            <w:r w:rsidRPr="00EF7F33">
              <w:t>140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0 %</w:t>
            </w:r>
          </w:p>
          <w:p w:rsidR="00464F34" w:rsidRPr="00EF7F33" w:rsidRDefault="00464F34" w:rsidP="00FD239F">
            <w:pPr>
              <w:pStyle w:val="InstructionsText"/>
            </w:pPr>
          </w:p>
        </w:tc>
      </w:tr>
      <w:tr w:rsidR="00464F34" w:rsidRPr="00EF7F33" w:rsidTr="00672D2A">
        <w:tc>
          <w:tcPr>
            <w:tcW w:w="1188" w:type="dxa"/>
            <w:shd w:val="clear" w:color="auto" w:fill="auto"/>
          </w:tcPr>
          <w:p w:rsidR="00464F34" w:rsidRPr="00EF7F33" w:rsidRDefault="00462BAB" w:rsidP="00FD239F">
            <w:pPr>
              <w:pStyle w:val="InstructionsText"/>
            </w:pPr>
            <w:r w:rsidRPr="00EF7F33">
              <w:t>150</w:t>
            </w:r>
          </w:p>
        </w:tc>
        <w:tc>
          <w:tcPr>
            <w:tcW w:w="8701" w:type="dxa"/>
            <w:shd w:val="clear" w:color="auto" w:fill="auto"/>
          </w:tcPr>
          <w:p w:rsidR="00464F34" w:rsidRPr="00EF7F33" w:rsidRDefault="00464F34"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2 %</w:t>
            </w:r>
          </w:p>
          <w:p w:rsidR="00464F34" w:rsidRPr="00EF7F33" w:rsidRDefault="00464F34" w:rsidP="00FD239F">
            <w:pPr>
              <w:pStyle w:val="InstructionsText"/>
              <w:rPr>
                <w:b/>
              </w:rPr>
            </w:pPr>
            <w:r w:rsidRPr="00EF7F33">
              <w:t>Članak 306. stavak 1.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160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4 %</w:t>
            </w:r>
          </w:p>
          <w:p w:rsidR="00462BAB" w:rsidRPr="00EF7F33" w:rsidRDefault="00462BAB" w:rsidP="00FD239F">
            <w:pPr>
              <w:pStyle w:val="InstructionsText"/>
              <w:rPr>
                <w:b/>
                <w:u w:val="single"/>
              </w:rPr>
            </w:pPr>
            <w:r w:rsidRPr="00EF7F33">
              <w:t>Članak 305. stavak 3.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170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10 %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180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20 %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190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35 %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200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50 %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210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70 %</w:t>
            </w:r>
          </w:p>
          <w:p w:rsidR="00462BAB" w:rsidRPr="00EF7F33" w:rsidRDefault="00462BAB" w:rsidP="00FD239F">
            <w:pPr>
              <w:pStyle w:val="InstructionsText"/>
            </w:pPr>
            <w:r w:rsidRPr="00EF7F33">
              <w:t>Članak 232. stavak 3. točka (c)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220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75 %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lastRenderedPageBreak/>
              <w:t>230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100 %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240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150 %</w:t>
            </w:r>
          </w:p>
          <w:p w:rsidR="00462BAB" w:rsidRPr="00EF7F33" w:rsidRDefault="00462BAB" w:rsidP="00FD239F">
            <w:pPr>
              <w:pStyle w:val="InstructionsText"/>
            </w:pPr>
          </w:p>
        </w:tc>
      </w:tr>
      <w:tr w:rsidR="00462BAB" w:rsidRPr="00EF7F33" w:rsidTr="00672D2A">
        <w:tc>
          <w:tcPr>
            <w:tcW w:w="1188" w:type="dxa"/>
            <w:shd w:val="clear" w:color="auto" w:fill="auto"/>
          </w:tcPr>
          <w:p w:rsidR="00462BAB" w:rsidRPr="00EF7F33" w:rsidRDefault="00462BAB" w:rsidP="00FD239F">
            <w:pPr>
              <w:pStyle w:val="InstructionsText"/>
            </w:pPr>
            <w:r w:rsidRPr="00EF7F33">
              <w:t>250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250 %</w:t>
            </w:r>
          </w:p>
          <w:p w:rsidR="00462BAB" w:rsidRPr="00EF7F33" w:rsidRDefault="00462BAB" w:rsidP="00FD239F">
            <w:pPr>
              <w:pStyle w:val="InstructionsText"/>
            </w:pPr>
            <w:r w:rsidRPr="00EF7F33">
              <w:t>Članak 133. stavak 2. i članak 48. stavak 4.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260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370 %</w:t>
            </w:r>
          </w:p>
          <w:p w:rsidR="00462BAB" w:rsidRPr="00EF7F33" w:rsidRDefault="00462BAB" w:rsidP="00FD239F">
            <w:pPr>
              <w:pStyle w:val="InstructionsText"/>
              <w:rPr>
                <w:b/>
                <w:u w:val="single"/>
              </w:rPr>
            </w:pPr>
            <w:r w:rsidRPr="00EF7F33">
              <w:t>Članak 471.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270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1250 %</w:t>
            </w:r>
          </w:p>
          <w:p w:rsidR="00462BAB" w:rsidRPr="00EF7F33" w:rsidRDefault="00462BAB" w:rsidP="00FD239F">
            <w:pPr>
              <w:pStyle w:val="InstructionsText"/>
              <w:rPr>
                <w:b/>
                <w:u w:val="single"/>
              </w:rPr>
            </w:pPr>
            <w:r w:rsidRPr="00EF7F33">
              <w:t>Članak 133. stavak 2. i članak 379. CRR-a</w:t>
            </w:r>
          </w:p>
        </w:tc>
      </w:tr>
      <w:tr w:rsidR="00462BAB" w:rsidRPr="00EF7F33" w:rsidTr="00672D2A">
        <w:tc>
          <w:tcPr>
            <w:tcW w:w="1188" w:type="dxa"/>
            <w:shd w:val="clear" w:color="auto" w:fill="auto"/>
          </w:tcPr>
          <w:p w:rsidR="00462BAB" w:rsidRPr="00EF7F33" w:rsidRDefault="00462BAB" w:rsidP="00FD239F">
            <w:pPr>
              <w:pStyle w:val="InstructionsText"/>
            </w:pPr>
            <w:r w:rsidRPr="00EF7F33">
              <w:t>280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Ostali ponderi rizika</w:t>
            </w:r>
          </w:p>
          <w:p w:rsidR="00462BAB" w:rsidRPr="00EF7F33" w:rsidRDefault="00462BAB" w:rsidP="00FD239F">
            <w:pPr>
              <w:pStyle w:val="InstructionsText"/>
            </w:pPr>
            <w:r w:rsidRPr="00EF7F33">
              <w:t>Ovaj se redak ne može upotrebljavati za kategorije izloženosti prema državi, trgova</w:t>
            </w:r>
            <w:r w:rsidRPr="00EF7F33">
              <w:t>č</w:t>
            </w:r>
            <w:r w:rsidRPr="00EF7F33">
              <w:t>kim društvima, institucijama i stanovništvu.</w:t>
            </w:r>
          </w:p>
          <w:p w:rsidR="00462BAB" w:rsidRPr="00EF7F33" w:rsidRDefault="00462BAB" w:rsidP="00FD239F">
            <w:pPr>
              <w:pStyle w:val="InstructionsText"/>
            </w:pPr>
          </w:p>
          <w:p w:rsidR="00462BAB" w:rsidRPr="00EF7F33" w:rsidRDefault="00462BAB" w:rsidP="00FD239F">
            <w:pPr>
              <w:pStyle w:val="InstructionsText"/>
            </w:pPr>
            <w:r w:rsidRPr="00EF7F33">
              <w:t>Za izvješćivanje izloženosti na koje se ne primjenjuju ponderi rizika navedeni u obra</w:t>
            </w:r>
            <w:r w:rsidRPr="00EF7F33">
              <w:t>s</w:t>
            </w:r>
            <w:r w:rsidRPr="00EF7F33">
              <w:t>cu.</w:t>
            </w:r>
          </w:p>
          <w:p w:rsidR="00462BAB" w:rsidRPr="00EF7F33" w:rsidRDefault="00462BAB" w:rsidP="00FD239F">
            <w:pPr>
              <w:pStyle w:val="InstructionsText"/>
            </w:pPr>
            <w:r w:rsidRPr="00EF7F33">
              <w:t xml:space="preserve">Članak 113. stavci od 1. do 5. CRR-a </w:t>
            </w:r>
          </w:p>
          <w:p w:rsidR="00462BAB" w:rsidRPr="00EF7F33" w:rsidRDefault="00462BAB" w:rsidP="00FD239F">
            <w:pPr>
              <w:pStyle w:val="InstructionsText"/>
            </w:pPr>
          </w:p>
          <w:p w:rsidR="00462BAB" w:rsidRPr="00EF7F33" w:rsidRDefault="00462BAB" w:rsidP="00FD239F">
            <w:pPr>
              <w:pStyle w:val="InstructionsText"/>
            </w:pPr>
            <w:r w:rsidRPr="00EF7F33">
              <w:t>Kreditne izvedenice bez rejtinga na osnovi „n-tog” nastanka statusa neispunjavanja o</w:t>
            </w:r>
            <w:r w:rsidRPr="00EF7F33">
              <w:t>b</w:t>
            </w:r>
            <w:r w:rsidRPr="00EF7F33">
              <w:t>veza u skladu sa standardiziranim pristupom (članak 134. stavak 6. CRR-a) iskazuju se u ovom retku u kategoriji izloženosti „Ostale stavke”.</w:t>
            </w:r>
          </w:p>
          <w:p w:rsidR="00462BAB" w:rsidRPr="00EF7F33" w:rsidRDefault="00462BAB" w:rsidP="00FD239F">
            <w:pPr>
              <w:pStyle w:val="InstructionsText"/>
            </w:pPr>
            <w:r w:rsidRPr="00EF7F33">
              <w:t xml:space="preserve">Vidjeti i članak 124. stavak 2. i članak 152. stavak 2. točku (b) CRR-a. </w:t>
            </w:r>
          </w:p>
        </w:tc>
      </w:tr>
      <w:tr w:rsidR="00462BAB" w:rsidRPr="00EF7F33" w:rsidTr="00672D2A">
        <w:tc>
          <w:tcPr>
            <w:tcW w:w="1188" w:type="dxa"/>
            <w:shd w:val="clear" w:color="auto" w:fill="auto"/>
          </w:tcPr>
          <w:p w:rsidR="00462BAB" w:rsidRPr="00EF7F33" w:rsidRDefault="00462BAB" w:rsidP="00FD239F">
            <w:pPr>
              <w:pStyle w:val="InstructionsText"/>
            </w:pPr>
            <w:r w:rsidRPr="00EF7F33">
              <w:t>290-320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Bilješke</w:t>
            </w:r>
          </w:p>
          <w:p w:rsidR="00462BAB" w:rsidRPr="00EF7F33" w:rsidRDefault="00462BAB" w:rsidP="00FD239F">
            <w:pPr>
              <w:pStyle w:val="InstructionsText"/>
              <w:rPr>
                <w:b/>
                <w:u w:val="single"/>
              </w:rPr>
            </w:pPr>
            <w:r w:rsidRPr="00EF7F33">
              <w:t>Vidjeti i objašnjenje svrhe bilješki u odjeljku s općim napomenama obrasca CR SA.</w:t>
            </w:r>
          </w:p>
        </w:tc>
      </w:tr>
      <w:tr w:rsidR="00462BAB" w:rsidRPr="00EF7F33" w:rsidTr="00672D2A">
        <w:tc>
          <w:tcPr>
            <w:tcW w:w="1188" w:type="dxa"/>
            <w:shd w:val="clear" w:color="auto" w:fill="auto"/>
          </w:tcPr>
          <w:p w:rsidR="00462BAB" w:rsidRPr="00EF7F33" w:rsidRDefault="00462BAB" w:rsidP="00FD239F">
            <w:pPr>
              <w:pStyle w:val="InstructionsText"/>
            </w:pPr>
            <w:r w:rsidRPr="00EF7F33">
              <w:t>290</w:t>
            </w:r>
          </w:p>
          <w:p w:rsidR="00462BAB" w:rsidRPr="00EF7F33" w:rsidRDefault="00462BAB" w:rsidP="00FD239F">
            <w:pPr>
              <w:pStyle w:val="InstructionsText"/>
            </w:pP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Izloženosti osigurane poslovnim nekretninama</w:t>
            </w:r>
          </w:p>
          <w:p w:rsidR="00462BAB" w:rsidRPr="00EF7F33" w:rsidRDefault="00462BAB" w:rsidP="00FD239F">
            <w:pPr>
              <w:pStyle w:val="InstructionsText"/>
            </w:pPr>
            <w:r w:rsidRPr="00EF7F33">
              <w:t>Članak 112. točka (i) CRR-a</w:t>
            </w:r>
          </w:p>
          <w:p w:rsidR="00462BAB" w:rsidRPr="00EF7F33" w:rsidRDefault="00462BAB" w:rsidP="00FD239F">
            <w:pPr>
              <w:pStyle w:val="InstructionsText"/>
            </w:pPr>
            <w:r w:rsidRPr="00EF7F33">
              <w:t>To je samo bilješka. Neovisno o izračunu iznosa izloženosti riziku za izloženosti osig</w:t>
            </w:r>
            <w:r w:rsidRPr="00EF7F33">
              <w:t>u</w:t>
            </w:r>
            <w:r w:rsidRPr="00EF7F33">
              <w:t>rane poslovnim nekretninama u skladu s člancima 124. i 126. CRR-a, izloženosti se ra</w:t>
            </w:r>
            <w:r w:rsidRPr="00EF7F33">
              <w:t>š</w:t>
            </w:r>
            <w:r w:rsidRPr="00EF7F33">
              <w:t>članjuju i iskazuju u ovom retku na temelju kriterija jesu li izloženosti osigurane po</w:t>
            </w:r>
            <w:r w:rsidRPr="00EF7F33">
              <w:t>s</w:t>
            </w:r>
            <w:r w:rsidRPr="00EF7F33">
              <w:t>lovnom nekretninom.</w:t>
            </w:r>
          </w:p>
        </w:tc>
      </w:tr>
      <w:tr w:rsidR="00462BAB" w:rsidRPr="00EF7F33" w:rsidTr="00672D2A">
        <w:tc>
          <w:tcPr>
            <w:tcW w:w="1188" w:type="dxa"/>
            <w:shd w:val="clear" w:color="auto" w:fill="auto"/>
          </w:tcPr>
          <w:p w:rsidR="00462BAB" w:rsidRPr="00EF7F33" w:rsidRDefault="00462BAB" w:rsidP="00FD239F">
            <w:pPr>
              <w:pStyle w:val="InstructionsText"/>
            </w:pPr>
            <w:r w:rsidRPr="00EF7F33">
              <w:t>300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Izloženosti sa statusom neispunjavanja obveza na koje se primjenjuje ponder riz</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ka od 100 %</w:t>
            </w:r>
          </w:p>
          <w:p w:rsidR="00462BAB" w:rsidRPr="00EF7F33" w:rsidRDefault="00462BAB" w:rsidP="00FD239F">
            <w:pPr>
              <w:pStyle w:val="InstructionsText"/>
            </w:pPr>
            <w:r w:rsidRPr="00EF7F33">
              <w:t>Članak 112. točka (j) CRR-a.</w:t>
            </w:r>
          </w:p>
          <w:p w:rsidR="00462BAB" w:rsidRPr="00EF7F33" w:rsidRDefault="00462BAB" w:rsidP="00FD239F">
            <w:pPr>
              <w:pStyle w:val="InstructionsText"/>
            </w:pPr>
            <w:r w:rsidRPr="00EF7F33">
              <w:t>Izloženosti uključene u kategoriju izloženosti „sa statusom neispunjavanja obveza” koje se uključuju u ovu kategoriju izloženosti ako nisu bile u statusu neispunjavanja obveza.</w:t>
            </w:r>
          </w:p>
        </w:tc>
      </w:tr>
      <w:tr w:rsidR="00462BAB" w:rsidRPr="00EF7F33" w:rsidTr="00672D2A">
        <w:tc>
          <w:tcPr>
            <w:tcW w:w="1188" w:type="dxa"/>
            <w:shd w:val="clear" w:color="auto" w:fill="auto"/>
          </w:tcPr>
          <w:p w:rsidR="00462BAB" w:rsidRPr="00EF7F33" w:rsidRDefault="00462BAB" w:rsidP="00FD239F">
            <w:pPr>
              <w:pStyle w:val="InstructionsText"/>
            </w:pPr>
            <w:r w:rsidRPr="00EF7F33">
              <w:t>310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 xml:space="preserve">Izloženosti osigurane stambenim nekretninama </w:t>
            </w:r>
          </w:p>
          <w:p w:rsidR="00462BAB" w:rsidRPr="00EF7F33" w:rsidRDefault="00462BAB" w:rsidP="00FD239F">
            <w:pPr>
              <w:pStyle w:val="InstructionsText"/>
            </w:pPr>
            <w:r w:rsidRPr="00EF7F33">
              <w:lastRenderedPageBreak/>
              <w:t xml:space="preserve">Članak 112. točka </w:t>
            </w:r>
            <w:r w:rsidR="000E309A">
              <w:t>(</w:t>
            </w:r>
            <w:r w:rsidRPr="00EF7F33">
              <w:t>i</w:t>
            </w:r>
            <w:r w:rsidR="000E309A">
              <w:t>)</w:t>
            </w:r>
            <w:r w:rsidRPr="00EF7F33">
              <w:t xml:space="preserve"> CRR-a.</w:t>
            </w:r>
          </w:p>
          <w:p w:rsidR="00462BAB" w:rsidRPr="00EF7F33" w:rsidRDefault="00462BAB" w:rsidP="00FD239F">
            <w:pPr>
              <w:pStyle w:val="InstructionsText"/>
              <w:rPr>
                <w:b/>
                <w:u w:val="single"/>
              </w:rPr>
            </w:pPr>
            <w:r w:rsidRPr="00EF7F33">
              <w:t>To je samo bilješka. Neovisno o izračunu iznosa izloženosti riziku za izloženosti osig</w:t>
            </w:r>
            <w:r w:rsidRPr="00EF7F33">
              <w:t>u</w:t>
            </w:r>
            <w:r w:rsidRPr="00EF7F33">
              <w:t>rane stambenim nekretninama u skladu s člancima 124. i 125. CRR-a, izloženosti se r</w:t>
            </w:r>
            <w:r w:rsidRPr="00EF7F33">
              <w:t>a</w:t>
            </w:r>
            <w:r w:rsidRPr="00EF7F33">
              <w:t>ščlanjuju i iskazuju u ovom retku na temelju kriterija jesu li izloženosti osigurane nekr</w:t>
            </w:r>
            <w:r w:rsidRPr="00EF7F33">
              <w:t>e</w:t>
            </w:r>
            <w:r w:rsidRPr="00EF7F33">
              <w:t>tninom.</w:t>
            </w:r>
          </w:p>
        </w:tc>
      </w:tr>
      <w:tr w:rsidR="00462BAB" w:rsidRPr="00EF7F33" w:rsidTr="00672D2A">
        <w:tc>
          <w:tcPr>
            <w:tcW w:w="1188" w:type="dxa"/>
            <w:shd w:val="clear" w:color="auto" w:fill="auto"/>
          </w:tcPr>
          <w:p w:rsidR="00462BAB" w:rsidRPr="00EF7F33" w:rsidRDefault="00462BAB" w:rsidP="00FD239F">
            <w:pPr>
              <w:pStyle w:val="InstructionsText"/>
            </w:pPr>
            <w:r w:rsidRPr="00EF7F33">
              <w:lastRenderedPageBreak/>
              <w:t>320</w:t>
            </w:r>
          </w:p>
        </w:tc>
        <w:tc>
          <w:tcPr>
            <w:tcW w:w="8701" w:type="dxa"/>
            <w:shd w:val="clear" w:color="auto" w:fill="auto"/>
          </w:tcPr>
          <w:p w:rsidR="00462BAB" w:rsidRPr="00EF7F33" w:rsidRDefault="00462BAB" w:rsidP="00FD239F">
            <w:pPr>
              <w:pStyle w:val="InstructionsText"/>
              <w:rPr>
                <w:rStyle w:val="InstructionsTabelleberschrift"/>
                <w:rFonts w:ascii="Times New Roman" w:hAnsi="Times New Roman"/>
                <w:sz w:val="24"/>
              </w:rPr>
            </w:pPr>
            <w:r w:rsidRPr="00EF7F33">
              <w:rPr>
                <w:rStyle w:val="InstructionsTabelleberschrift"/>
                <w:rFonts w:ascii="Times New Roman" w:hAnsi="Times New Roman"/>
                <w:sz w:val="24"/>
              </w:rPr>
              <w:t>Izloženosti sa statusom neispunjavanja obveza na koje se primjenjuje ponder riz</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 xml:space="preserve">ka od 150 % </w:t>
            </w:r>
          </w:p>
          <w:p w:rsidR="00462BAB" w:rsidRPr="00EF7F33" w:rsidRDefault="00462BAB" w:rsidP="00FD239F">
            <w:pPr>
              <w:pStyle w:val="InstructionsText"/>
            </w:pPr>
            <w:r w:rsidRPr="00EF7F33">
              <w:t>Članak 112. točka (j) CRR-a.</w:t>
            </w:r>
          </w:p>
          <w:p w:rsidR="00462BAB" w:rsidRPr="00EF7F33" w:rsidRDefault="00462BAB" w:rsidP="00FD239F">
            <w:pPr>
              <w:pStyle w:val="InstructionsText"/>
            </w:pPr>
            <w:r w:rsidRPr="00EF7F33">
              <w:t>Izloženosti uključene u kategoriju izloženosti „sa statusom neispunjavanja obveza” koje se uključuju u ovu kategoriju izloženosti ako nisu bile u statusu neispunjavanja obveza.</w:t>
            </w:r>
          </w:p>
        </w:tc>
      </w:tr>
    </w:tbl>
    <w:p w:rsidR="001C7AB7" w:rsidRPr="00EF7F33" w:rsidRDefault="001C7AB7">
      <w:pPr>
        <w:spacing w:before="0" w:after="0"/>
        <w:jc w:val="left"/>
        <w:rPr>
          <w:rFonts w:ascii="Times New Roman" w:hAnsi="Times New Roman"/>
          <w:bCs/>
          <w:sz w:val="24"/>
        </w:rPr>
      </w:pPr>
    </w:p>
    <w:p w:rsidR="001C7AB7" w:rsidRPr="00EF7F33"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523998133"/>
      <w:bookmarkStart w:id="260" w:name="_Toc516210641"/>
      <w:bookmarkStart w:id="261" w:name="_Toc473560906"/>
      <w:r w:rsidRPr="00EF7F33">
        <w:rPr>
          <w:rFonts w:ascii="Times New Roman" w:hAnsi="Times New Roman"/>
          <w:sz w:val="24"/>
          <w:u w:val="none"/>
        </w:rPr>
        <w:t>3.3.</w:t>
      </w:r>
      <w:r w:rsidRPr="00EF7F33">
        <w:tab/>
      </w:r>
      <w:r w:rsidRPr="00EF7F33">
        <w:rPr>
          <w:rFonts w:ascii="Times New Roman" w:hAnsi="Times New Roman"/>
          <w:sz w:val="24"/>
        </w:rPr>
        <w:t>Kreditni rizik, kreditni rizik druge ugovorne strane i slobodne isporuke: IRB pristup kapitalnim zahtjevima (CR IRB)</w:t>
      </w:r>
      <w:bookmarkEnd w:id="258"/>
      <w:bookmarkEnd w:id="259"/>
      <w:r w:rsidRPr="00EF7F33">
        <w:rPr>
          <w:rFonts w:ascii="Times New Roman" w:hAnsi="Times New Roman"/>
          <w:sz w:val="24"/>
        </w:rPr>
        <w:t xml:space="preserve"> </w:t>
      </w:r>
      <w:bookmarkEnd w:id="260"/>
      <w:bookmarkEnd w:id="261"/>
    </w:p>
    <w:p w:rsidR="001C7AB7" w:rsidRPr="00EF7F33"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516210642"/>
      <w:bookmarkStart w:id="264" w:name="_Toc473560907"/>
      <w:bookmarkStart w:id="265" w:name="_Toc523998134"/>
      <w:r w:rsidRPr="00EF7F33">
        <w:rPr>
          <w:rFonts w:ascii="Times New Roman" w:hAnsi="Times New Roman"/>
          <w:sz w:val="24"/>
          <w:u w:val="none"/>
        </w:rPr>
        <w:t>3.3.1.</w:t>
      </w:r>
      <w:r w:rsidRPr="00EF7F33">
        <w:tab/>
      </w:r>
      <w:r w:rsidRPr="00EF7F33">
        <w:rPr>
          <w:rFonts w:ascii="Times New Roman" w:hAnsi="Times New Roman"/>
          <w:sz w:val="24"/>
        </w:rPr>
        <w:t>Opseg obrasca CR IRB</w:t>
      </w:r>
      <w:bookmarkEnd w:id="262"/>
      <w:bookmarkEnd w:id="263"/>
      <w:bookmarkEnd w:id="264"/>
      <w:bookmarkEnd w:id="265"/>
    </w:p>
    <w:p w:rsidR="001C7AB7" w:rsidRPr="00EF7F33" w:rsidRDefault="00125707" w:rsidP="00C37B29">
      <w:pPr>
        <w:pStyle w:val="InstructionsText2"/>
        <w:numPr>
          <w:ilvl w:val="0"/>
          <w:numId w:val="0"/>
        </w:numPr>
        <w:ind w:left="993"/>
      </w:pPr>
      <w:r w:rsidRPr="00EF7F33">
        <w:t>74.</w:t>
      </w:r>
      <w:r w:rsidRPr="00EF7F33">
        <w:tab/>
        <w:t>Obrascem CR IRB obuhvaćeni su kapitalni zahtjevi za:</w:t>
      </w:r>
    </w:p>
    <w:p w:rsidR="001C7AB7" w:rsidRPr="00EF7F33" w:rsidRDefault="00125707" w:rsidP="00C37B29">
      <w:pPr>
        <w:pStyle w:val="InstructionsText2"/>
        <w:numPr>
          <w:ilvl w:val="0"/>
          <w:numId w:val="0"/>
        </w:numPr>
        <w:ind w:left="993"/>
      </w:pPr>
      <w:r w:rsidRPr="00EF7F33">
        <w:t>i.</w:t>
      </w:r>
      <w:r w:rsidRPr="00EF7F33">
        <w:tab/>
        <w:t>kreditni rizik u knjizi pozicija kojima se ne trguje, među ostalim:</w:t>
      </w:r>
    </w:p>
    <w:p w:rsidR="001C7AB7" w:rsidRPr="00EF7F33" w:rsidRDefault="00125707" w:rsidP="0023700C">
      <w:pPr>
        <w:tabs>
          <w:tab w:val="left" w:pos="2370"/>
        </w:tabs>
        <w:autoSpaceDE w:val="0"/>
        <w:autoSpaceDN w:val="0"/>
        <w:adjustRightInd w:val="0"/>
        <w:spacing w:before="0" w:after="240"/>
        <w:ind w:left="2370" w:hanging="360"/>
        <w:jc w:val="left"/>
        <w:rPr>
          <w:rFonts w:ascii="Wingdings" w:hAnsi="Wingdings"/>
          <w:sz w:val="24"/>
        </w:rPr>
      </w:pPr>
      <w:r w:rsidRPr="00EF7F33">
        <w:tab/>
      </w:r>
      <w:r w:rsidRPr="00EF7F33">
        <w:rPr>
          <w:rFonts w:ascii="Times New Roman" w:hAnsi="Times New Roman"/>
          <w:sz w:val="24"/>
        </w:rPr>
        <w:t>kreditni rizik druge ugovorne strane u knjizi pozicija kojima se ne t</w:t>
      </w:r>
      <w:r w:rsidRPr="00EF7F33">
        <w:rPr>
          <w:rFonts w:ascii="Times New Roman" w:hAnsi="Times New Roman"/>
          <w:sz w:val="24"/>
        </w:rPr>
        <w:t>r</w:t>
      </w:r>
      <w:r w:rsidRPr="00EF7F33">
        <w:rPr>
          <w:rFonts w:ascii="Times New Roman" w:hAnsi="Times New Roman"/>
          <w:sz w:val="24"/>
        </w:rPr>
        <w:t>guje;</w:t>
      </w:r>
    </w:p>
    <w:p w:rsidR="001C7AB7" w:rsidRPr="00EF7F33" w:rsidRDefault="00125707" w:rsidP="0023700C">
      <w:pPr>
        <w:tabs>
          <w:tab w:val="left" w:pos="2370"/>
        </w:tabs>
        <w:autoSpaceDE w:val="0"/>
        <w:autoSpaceDN w:val="0"/>
        <w:adjustRightInd w:val="0"/>
        <w:spacing w:before="0" w:after="240"/>
        <w:ind w:left="2370" w:hanging="360"/>
        <w:jc w:val="left"/>
        <w:rPr>
          <w:rFonts w:ascii="Wingdings" w:hAnsi="Wingdings"/>
          <w:sz w:val="24"/>
        </w:rPr>
      </w:pPr>
      <w:r w:rsidRPr="00EF7F33">
        <w:tab/>
      </w:r>
      <w:r w:rsidRPr="00EF7F33">
        <w:rPr>
          <w:rFonts w:ascii="Times New Roman" w:hAnsi="Times New Roman"/>
          <w:sz w:val="24"/>
        </w:rPr>
        <w:t>razrjeđivački rizik za otkupljena potraživanja;</w:t>
      </w:r>
    </w:p>
    <w:p w:rsidR="001C7AB7" w:rsidRPr="00EF7F33" w:rsidRDefault="00125707" w:rsidP="00C37B29">
      <w:pPr>
        <w:pStyle w:val="InstructionsText2"/>
        <w:numPr>
          <w:ilvl w:val="0"/>
          <w:numId w:val="0"/>
        </w:numPr>
        <w:ind w:left="993"/>
      </w:pPr>
      <w:r w:rsidRPr="00EF7F33">
        <w:t>ii.</w:t>
      </w:r>
      <w:r w:rsidRPr="00EF7F33">
        <w:tab/>
        <w:t>kreditni rizik druge ugovorne strane u knjizi trgovanja;</w:t>
      </w:r>
    </w:p>
    <w:p w:rsidR="001C7AB7" w:rsidRPr="00EF7F33" w:rsidRDefault="00125707" w:rsidP="00C37B29">
      <w:pPr>
        <w:pStyle w:val="InstructionsText2"/>
        <w:numPr>
          <w:ilvl w:val="0"/>
          <w:numId w:val="0"/>
        </w:numPr>
        <w:ind w:left="993"/>
      </w:pPr>
      <w:r w:rsidRPr="00EF7F33">
        <w:t>iii.</w:t>
      </w:r>
      <w:r w:rsidRPr="00EF7F33">
        <w:tab/>
        <w:t>slobodne isporuke koje proizlaze iz svih poslovnih aktivnosti.</w:t>
      </w:r>
    </w:p>
    <w:p w:rsidR="001C7AB7" w:rsidRPr="00EF7F33" w:rsidRDefault="00125707" w:rsidP="00C37B29">
      <w:pPr>
        <w:pStyle w:val="InstructionsText2"/>
        <w:numPr>
          <w:ilvl w:val="0"/>
          <w:numId w:val="0"/>
        </w:numPr>
        <w:ind w:left="993"/>
      </w:pPr>
      <w:r w:rsidRPr="00EF7F33">
        <w:t>75.</w:t>
      </w:r>
      <w:r w:rsidRPr="00EF7F33">
        <w:tab/>
        <w:t>Opseg obrasca odnosi se na izloženosti za koje se iznosi izloženosti ponderir</w:t>
      </w:r>
      <w:r w:rsidRPr="00EF7F33">
        <w:t>a</w:t>
      </w:r>
      <w:r w:rsidRPr="00EF7F33">
        <w:t>ni rizikom izračunavaju u skladu s dijelom trećim glavom II. poglavljem 3. članc</w:t>
      </w:r>
      <w:r w:rsidRPr="00EF7F33">
        <w:t>i</w:t>
      </w:r>
      <w:r w:rsidRPr="00EF7F33">
        <w:t xml:space="preserve">ma od 151. do 157. CRR-a (IRB pristup). </w:t>
      </w:r>
    </w:p>
    <w:p w:rsidR="001C7AB7" w:rsidRPr="00EF7F33" w:rsidRDefault="00125707" w:rsidP="00C37B29">
      <w:pPr>
        <w:pStyle w:val="InstructionsText2"/>
        <w:numPr>
          <w:ilvl w:val="0"/>
          <w:numId w:val="0"/>
        </w:numPr>
        <w:ind w:left="993"/>
      </w:pPr>
      <w:r w:rsidRPr="00EF7F33">
        <w:t>76.</w:t>
      </w:r>
      <w:r w:rsidRPr="00EF7F33">
        <w:tab/>
        <w:t xml:space="preserve">Obrascem CR IRB nisu obuhvaćeni sljedeći podaci: </w:t>
      </w:r>
    </w:p>
    <w:p w:rsidR="001C7AB7" w:rsidRPr="00EF7F33" w:rsidRDefault="00125707" w:rsidP="00C37B29">
      <w:pPr>
        <w:pStyle w:val="InstructionsText2"/>
        <w:numPr>
          <w:ilvl w:val="0"/>
          <w:numId w:val="0"/>
        </w:numPr>
        <w:ind w:left="993"/>
      </w:pPr>
      <w:r w:rsidRPr="00EF7F33">
        <w:t>i.</w:t>
      </w:r>
      <w:r w:rsidRPr="00EF7F33">
        <w:tab/>
        <w:t xml:space="preserve">izloženosti na osnovi vlasničkih ulaganja, koje se iskazuju u obrascu CR EQU IRB; </w:t>
      </w:r>
    </w:p>
    <w:p w:rsidR="001C7AB7" w:rsidRPr="00EF7F33" w:rsidRDefault="00125707" w:rsidP="00C37B29">
      <w:pPr>
        <w:pStyle w:val="InstructionsText2"/>
        <w:numPr>
          <w:ilvl w:val="0"/>
          <w:numId w:val="0"/>
        </w:numPr>
        <w:ind w:left="993"/>
      </w:pPr>
      <w:r w:rsidRPr="00EF7F33">
        <w:t>ii.</w:t>
      </w:r>
      <w:r w:rsidRPr="00EF7F33">
        <w:tab/>
        <w:t>sekuritizacijske pozicije, koje se iskazuju u obrascima s detaljnijim podacima CR SEC SA, CR SEC IRB i/ili CR SEC;</w:t>
      </w:r>
    </w:p>
    <w:p w:rsidR="001C7AB7" w:rsidRPr="00EF7F33" w:rsidRDefault="00125707" w:rsidP="00C37B29">
      <w:pPr>
        <w:pStyle w:val="InstructionsText2"/>
        <w:numPr>
          <w:ilvl w:val="0"/>
          <w:numId w:val="0"/>
        </w:numPr>
        <w:ind w:left="993"/>
      </w:pPr>
      <w:r w:rsidRPr="00EF7F33">
        <w:t>iii.</w:t>
      </w:r>
      <w:r w:rsidRPr="00EF7F33">
        <w:tab/>
        <w:t xml:space="preserve"> „ostala imovina”, u skladu s člankom 147. stavkom 2. točkom (g) CRR-a. Ponder rizika za tu kategoriju izloženosti treba odrediti na 100 % u svakom trenu</w:t>
      </w:r>
      <w:r w:rsidRPr="00EF7F33">
        <w:t>t</w:t>
      </w:r>
      <w:r w:rsidRPr="00EF7F33">
        <w:t>ku, izuzev gotovine u blagajni, istovjetnih gotovinskih stavki i izloženosti koje su ostatak vrijednosti imovine dane u zajam, u skladu s člankom 156. CRR-a. Iznosi izloženosti ponderirani rizikom za tu kategoriju izloženosti iskazuju se izravno u obrascu CA;</w:t>
      </w:r>
    </w:p>
    <w:p w:rsidR="001C7AB7" w:rsidRPr="00EF7F33" w:rsidRDefault="00125707" w:rsidP="00C37B29">
      <w:pPr>
        <w:pStyle w:val="InstructionsText2"/>
        <w:numPr>
          <w:ilvl w:val="0"/>
          <w:numId w:val="0"/>
        </w:numPr>
        <w:ind w:left="993"/>
      </w:pPr>
      <w:r w:rsidRPr="00EF7F33">
        <w:lastRenderedPageBreak/>
        <w:t>iv.</w:t>
      </w:r>
      <w:r w:rsidRPr="00EF7F33">
        <w:tab/>
        <w:t>rizik prilagodbe kreditnom vrednovanju, koji se iskazuje u obrascu za CVA r</w:t>
      </w:r>
      <w:r w:rsidRPr="00EF7F33">
        <w:t>i</w:t>
      </w:r>
      <w:r w:rsidRPr="00EF7F33">
        <w:t>zik;</w:t>
      </w:r>
    </w:p>
    <w:p w:rsidR="001C7AB7" w:rsidRPr="00EF7F33" w:rsidRDefault="001C7AB7" w:rsidP="001C7AB7">
      <w:pPr>
        <w:autoSpaceDE w:val="0"/>
        <w:autoSpaceDN w:val="0"/>
        <w:adjustRightInd w:val="0"/>
        <w:spacing w:before="0" w:after="240"/>
        <w:ind w:left="1440"/>
        <w:jc w:val="left"/>
        <w:rPr>
          <w:rFonts w:ascii="Times New Roman" w:hAnsi="Times New Roman"/>
          <w:sz w:val="24"/>
        </w:rPr>
      </w:pPr>
      <w:r w:rsidRPr="00EF7F33">
        <w:rPr>
          <w:rFonts w:ascii="Times New Roman" w:hAnsi="Times New Roman"/>
          <w:sz w:val="24"/>
        </w:rPr>
        <w:t>Obrascem CR IRB ne propisuje se geografska raščlamba izloženosti u skladu s IRB pristupom prema boravištu druge ugovorne strane. Ta se raščlamba isk</w:t>
      </w:r>
      <w:r w:rsidRPr="00EF7F33">
        <w:rPr>
          <w:rFonts w:ascii="Times New Roman" w:hAnsi="Times New Roman"/>
          <w:sz w:val="24"/>
        </w:rPr>
        <w:t>a</w:t>
      </w:r>
      <w:r w:rsidRPr="00EF7F33">
        <w:rPr>
          <w:rFonts w:ascii="Times New Roman" w:hAnsi="Times New Roman"/>
          <w:sz w:val="24"/>
        </w:rPr>
        <w:t xml:space="preserve">zuje u obrascu CR GB. </w:t>
      </w:r>
    </w:p>
    <w:p w:rsidR="001C7AB7" w:rsidRPr="00EF7F33" w:rsidRDefault="00125707" w:rsidP="00C37B29">
      <w:pPr>
        <w:pStyle w:val="InstructionsText2"/>
        <w:numPr>
          <w:ilvl w:val="0"/>
          <w:numId w:val="0"/>
        </w:numPr>
        <w:ind w:left="993"/>
      </w:pPr>
      <w:r w:rsidRPr="00EF7F33">
        <w:t>77.</w:t>
      </w:r>
      <w:r w:rsidRPr="00EF7F33">
        <w:tab/>
        <w:t>Radi pojašnjenja upotrebljava li institucija vlastite procjene LGD-a i/ili kredi</w:t>
      </w:r>
      <w:r w:rsidRPr="00EF7F33">
        <w:t>t</w:t>
      </w:r>
      <w:r w:rsidRPr="00EF7F33">
        <w:t>nih konverzijskih faktora, za svaku iskazanu kategoriju izloženosti dostavljaju se sljedeće informacije:</w:t>
      </w:r>
    </w:p>
    <w:p w:rsidR="001C7AB7" w:rsidRPr="00EF7F33" w:rsidRDefault="001C7AB7" w:rsidP="001C7AB7">
      <w:pPr>
        <w:autoSpaceDE w:val="0"/>
        <w:autoSpaceDN w:val="0"/>
        <w:adjustRightInd w:val="0"/>
        <w:spacing w:before="0" w:after="240"/>
        <w:ind w:left="709"/>
        <w:jc w:val="left"/>
        <w:rPr>
          <w:rFonts w:ascii="Times New Roman" w:hAnsi="Times New Roman"/>
          <w:sz w:val="24"/>
        </w:rPr>
      </w:pPr>
      <w:r w:rsidRPr="00EF7F33">
        <w:rPr>
          <w:rFonts w:ascii="Times New Roman" w:hAnsi="Times New Roman"/>
          <w:sz w:val="24"/>
        </w:rPr>
        <w:t>„NE” = ako se upotrebljavaju nadzorne procjene LGD-a i kreditnih konverzijskih fa</w:t>
      </w:r>
      <w:r w:rsidRPr="00EF7F33">
        <w:rPr>
          <w:rFonts w:ascii="Times New Roman" w:hAnsi="Times New Roman"/>
          <w:sz w:val="24"/>
        </w:rPr>
        <w:t>k</w:t>
      </w:r>
      <w:r w:rsidRPr="00EF7F33">
        <w:rPr>
          <w:rFonts w:ascii="Times New Roman" w:hAnsi="Times New Roman"/>
          <w:sz w:val="24"/>
        </w:rPr>
        <w:t>tora (osnovni IRB pristup)</w:t>
      </w:r>
    </w:p>
    <w:p w:rsidR="001C7AB7" w:rsidRPr="00EF7F33" w:rsidRDefault="001C7AB7" w:rsidP="001C7AB7">
      <w:pPr>
        <w:autoSpaceDE w:val="0"/>
        <w:autoSpaceDN w:val="0"/>
        <w:adjustRightInd w:val="0"/>
        <w:spacing w:before="0" w:after="240"/>
        <w:ind w:left="709"/>
        <w:jc w:val="left"/>
        <w:rPr>
          <w:rFonts w:ascii="Times New Roman" w:hAnsi="Times New Roman"/>
          <w:sz w:val="24"/>
        </w:rPr>
      </w:pPr>
      <w:r w:rsidRPr="00EF7F33">
        <w:rPr>
          <w:rFonts w:ascii="Times New Roman" w:hAnsi="Times New Roman"/>
          <w:sz w:val="24"/>
        </w:rPr>
        <w:t>„DA” = ako se upotrebljavaju vlastite procjene LGD-a i kreditnih konverzijskih fakt</w:t>
      </w:r>
      <w:r w:rsidRPr="00EF7F33">
        <w:rPr>
          <w:rFonts w:ascii="Times New Roman" w:hAnsi="Times New Roman"/>
          <w:sz w:val="24"/>
        </w:rPr>
        <w:t>o</w:t>
      </w:r>
      <w:r w:rsidRPr="00EF7F33">
        <w:rPr>
          <w:rFonts w:ascii="Times New Roman" w:hAnsi="Times New Roman"/>
          <w:sz w:val="24"/>
        </w:rPr>
        <w:t xml:space="preserve">ra (napredni IRB pristup) </w:t>
      </w:r>
    </w:p>
    <w:p w:rsidR="001C7AB7" w:rsidRPr="00EF7F33" w:rsidRDefault="001C7AB7" w:rsidP="001C7AB7">
      <w:pPr>
        <w:autoSpaceDE w:val="0"/>
        <w:autoSpaceDN w:val="0"/>
        <w:adjustRightInd w:val="0"/>
        <w:spacing w:before="0" w:after="240"/>
        <w:ind w:left="709"/>
        <w:jc w:val="left"/>
        <w:rPr>
          <w:rFonts w:ascii="Times New Roman" w:hAnsi="Times New Roman"/>
          <w:sz w:val="24"/>
        </w:rPr>
      </w:pPr>
      <w:r w:rsidRPr="00EF7F33">
        <w:rPr>
          <w:rFonts w:ascii="Times New Roman" w:hAnsi="Times New Roman"/>
          <w:sz w:val="24"/>
        </w:rPr>
        <w:t>U svakom slučaju, za izvješćivanje o portfeljima izloženosti prema stanovništvu po</w:t>
      </w:r>
      <w:r w:rsidRPr="00EF7F33">
        <w:rPr>
          <w:rFonts w:ascii="Times New Roman" w:hAnsi="Times New Roman"/>
          <w:sz w:val="24"/>
        </w:rPr>
        <w:t>t</w:t>
      </w:r>
      <w:r w:rsidRPr="00EF7F33">
        <w:rPr>
          <w:rFonts w:ascii="Times New Roman" w:hAnsi="Times New Roman"/>
          <w:sz w:val="24"/>
        </w:rPr>
        <w:t>rebno je iskazati „DA”.</w:t>
      </w:r>
    </w:p>
    <w:p w:rsidR="001C7AB7" w:rsidRPr="00EF7F33" w:rsidRDefault="001C7AB7" w:rsidP="001C7AB7">
      <w:pPr>
        <w:autoSpaceDE w:val="0"/>
        <w:autoSpaceDN w:val="0"/>
        <w:adjustRightInd w:val="0"/>
        <w:spacing w:before="0" w:after="240"/>
        <w:ind w:left="709"/>
        <w:jc w:val="left"/>
        <w:rPr>
          <w:rFonts w:ascii="Times New Roman" w:hAnsi="Times New Roman"/>
          <w:sz w:val="24"/>
        </w:rPr>
      </w:pPr>
      <w:r w:rsidRPr="00EF7F33">
        <w:rPr>
          <w:rFonts w:ascii="Times New Roman" w:hAnsi="Times New Roman"/>
          <w:sz w:val="24"/>
        </w:rPr>
        <w:t>Ako institucija upotrebljava vlastite procjene LGD-a za izračun iznosa izloženosti ponderiranih rizikom za dio svojih izloženosti u skladu s IRB pristupom i nadzorne procjene LGD-a za izračun iznosa izloženosti ponderiranih rizikom za drugi dio izl</w:t>
      </w:r>
      <w:r w:rsidRPr="00EF7F33">
        <w:rPr>
          <w:rFonts w:ascii="Times New Roman" w:hAnsi="Times New Roman"/>
          <w:sz w:val="24"/>
        </w:rPr>
        <w:t>o</w:t>
      </w:r>
      <w:r w:rsidRPr="00EF7F33">
        <w:rPr>
          <w:rFonts w:ascii="Times New Roman" w:hAnsi="Times New Roman"/>
          <w:sz w:val="24"/>
        </w:rPr>
        <w:t>ženosti u skladu s IRB pristupom, potrebno je iskazati obrazac s ukupnim podacima CR IRB za pozicije u skladu s osnovnim IRB pristupom i obrazac s ukupnim podac</w:t>
      </w:r>
      <w:r w:rsidRPr="00EF7F33">
        <w:rPr>
          <w:rFonts w:ascii="Times New Roman" w:hAnsi="Times New Roman"/>
          <w:sz w:val="24"/>
        </w:rPr>
        <w:t>i</w:t>
      </w:r>
      <w:r w:rsidRPr="00EF7F33">
        <w:rPr>
          <w:rFonts w:ascii="Times New Roman" w:hAnsi="Times New Roman"/>
          <w:sz w:val="24"/>
        </w:rPr>
        <w:t xml:space="preserve">ma CR IRB za pozicije u skladu s naprednim IRB pristupom.   </w:t>
      </w:r>
    </w:p>
    <w:p w:rsidR="001C7AB7" w:rsidRPr="00EF7F33"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516210643"/>
      <w:bookmarkStart w:id="273" w:name="_Toc473560908"/>
      <w:bookmarkStart w:id="274" w:name="_Toc523998135"/>
      <w:r w:rsidRPr="00EF7F33">
        <w:rPr>
          <w:rFonts w:ascii="Times New Roman" w:hAnsi="Times New Roman"/>
          <w:sz w:val="24"/>
          <w:u w:val="none"/>
        </w:rPr>
        <w:t>3.3.2.</w:t>
      </w:r>
      <w:r w:rsidRPr="00EF7F33">
        <w:tab/>
      </w:r>
      <w:r w:rsidRPr="00EF7F33">
        <w:rPr>
          <w:rFonts w:ascii="Times New Roman" w:hAnsi="Times New Roman"/>
          <w:sz w:val="24"/>
        </w:rPr>
        <w:t>Raščlamba obrasca CR IRB</w:t>
      </w:r>
      <w:bookmarkEnd w:id="266"/>
      <w:bookmarkEnd w:id="267"/>
      <w:bookmarkEnd w:id="268"/>
      <w:bookmarkEnd w:id="269"/>
      <w:bookmarkEnd w:id="270"/>
      <w:bookmarkEnd w:id="271"/>
      <w:bookmarkEnd w:id="272"/>
      <w:bookmarkEnd w:id="273"/>
      <w:bookmarkEnd w:id="274"/>
    </w:p>
    <w:p w:rsidR="001C7AB7" w:rsidRPr="00EF7F33" w:rsidRDefault="00125707" w:rsidP="00C37B29">
      <w:pPr>
        <w:pStyle w:val="InstructionsText2"/>
        <w:numPr>
          <w:ilvl w:val="0"/>
          <w:numId w:val="0"/>
        </w:numPr>
        <w:ind w:left="993"/>
      </w:pPr>
      <w:r w:rsidRPr="00EF7F33">
        <w:t>78.</w:t>
      </w:r>
      <w:r w:rsidRPr="00EF7F33">
        <w:tab/>
        <w:t>CR IRB čine dva obrasca. CR IRB 1 sadržava opći pregled izloženosti u skladu s IRB pristupom i različite metode izračuna ukupnih iznosa izloženosti riziku te r</w:t>
      </w:r>
      <w:r w:rsidRPr="00EF7F33">
        <w:t>a</w:t>
      </w:r>
      <w:r w:rsidRPr="00EF7F33">
        <w:t>ščlambu ukupnih izloženosti prema vrsti izloženosti. CR IRB 2 sadržava raščlambu ukupnih izloženosti raspoređenih u rejting-kategorije dužnika ili skupove izloženo</w:t>
      </w:r>
      <w:r w:rsidRPr="00EF7F33">
        <w:t>s</w:t>
      </w:r>
      <w:r w:rsidRPr="00EF7F33">
        <w:t>ti. Obrasci CR IRB 1 i CR IRB 2 iskazuju se zasebno za sljedeće kategorije i potk</w:t>
      </w:r>
      <w:r w:rsidRPr="00EF7F33">
        <w:t>a</w:t>
      </w:r>
      <w:r w:rsidRPr="00EF7F33">
        <w:t>tegorije izloženosti:</w:t>
      </w:r>
    </w:p>
    <w:p w:rsidR="001C7AB7" w:rsidRPr="00EF7F33" w:rsidRDefault="001C7AB7" w:rsidP="001C7AB7">
      <w:pPr>
        <w:autoSpaceDE w:val="0"/>
        <w:autoSpaceDN w:val="0"/>
        <w:adjustRightInd w:val="0"/>
        <w:spacing w:before="0" w:after="0"/>
        <w:ind w:left="1428" w:hanging="720"/>
        <w:jc w:val="left"/>
        <w:rPr>
          <w:rFonts w:ascii="Times New Roman" w:hAnsi="Times New Roman"/>
          <w:sz w:val="24"/>
        </w:rPr>
      </w:pPr>
      <w:r w:rsidRPr="00EF7F33">
        <w:rPr>
          <w:rFonts w:ascii="Times New Roman" w:hAnsi="Times New Roman"/>
          <w:sz w:val="24"/>
        </w:rPr>
        <w:t>1)</w:t>
      </w:r>
      <w:r w:rsidRPr="00EF7F33">
        <w:tab/>
      </w:r>
      <w:r w:rsidRPr="00EF7F33">
        <w:rPr>
          <w:rFonts w:ascii="Times New Roman" w:hAnsi="Times New Roman"/>
          <w:sz w:val="24"/>
        </w:rPr>
        <w:t>Ukupno</w:t>
      </w:r>
    </w:p>
    <w:p w:rsidR="001C7AB7" w:rsidRPr="00EF7F33" w:rsidRDefault="001C7AB7" w:rsidP="001C7AB7">
      <w:pPr>
        <w:autoSpaceDE w:val="0"/>
        <w:autoSpaceDN w:val="0"/>
        <w:adjustRightInd w:val="0"/>
        <w:spacing w:before="0" w:after="0"/>
        <w:ind w:left="1428" w:hanging="720"/>
        <w:jc w:val="left"/>
        <w:rPr>
          <w:rFonts w:ascii="Times New Roman" w:hAnsi="Times New Roman"/>
          <w:sz w:val="24"/>
        </w:rPr>
      </w:pPr>
      <w:r w:rsidRPr="00EF7F33">
        <w:tab/>
      </w:r>
      <w:r w:rsidRPr="00EF7F33">
        <w:rPr>
          <w:rFonts w:ascii="Times New Roman" w:hAnsi="Times New Roman"/>
          <w:sz w:val="24"/>
        </w:rPr>
        <w:t>(Obrazac s ukupnim podacima mora se iskazati za osnovni IRB pristup i zas</w:t>
      </w:r>
      <w:r w:rsidRPr="00EF7F33">
        <w:rPr>
          <w:rFonts w:ascii="Times New Roman" w:hAnsi="Times New Roman"/>
          <w:sz w:val="24"/>
        </w:rPr>
        <w:t>e</w:t>
      </w:r>
      <w:r w:rsidRPr="00EF7F33">
        <w:rPr>
          <w:rFonts w:ascii="Times New Roman" w:hAnsi="Times New Roman"/>
          <w:sz w:val="24"/>
        </w:rPr>
        <w:t>bno za napredni IRB pristup.)</w:t>
      </w:r>
    </w:p>
    <w:p w:rsidR="001C7AB7" w:rsidRPr="00EF7F33" w:rsidRDefault="001C7AB7" w:rsidP="001C7AB7">
      <w:pPr>
        <w:autoSpaceDE w:val="0"/>
        <w:autoSpaceDN w:val="0"/>
        <w:adjustRightInd w:val="0"/>
        <w:spacing w:before="0" w:after="0"/>
        <w:ind w:left="1428" w:hanging="720"/>
        <w:jc w:val="left"/>
        <w:rPr>
          <w:rFonts w:ascii="Times New Roman" w:hAnsi="Times New Roman"/>
          <w:sz w:val="24"/>
        </w:rPr>
      </w:pPr>
      <w:r w:rsidRPr="00EF7F33">
        <w:rPr>
          <w:rFonts w:ascii="Times New Roman" w:hAnsi="Times New Roman"/>
          <w:sz w:val="24"/>
        </w:rPr>
        <w:t>2)</w:t>
      </w:r>
      <w:r w:rsidRPr="00EF7F33">
        <w:tab/>
      </w:r>
      <w:r w:rsidRPr="00EF7F33">
        <w:rPr>
          <w:rFonts w:ascii="Times New Roman" w:hAnsi="Times New Roman"/>
          <w:sz w:val="24"/>
        </w:rPr>
        <w:t xml:space="preserve">Središnje banke i središnje države </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(članak 147. stavak 2. točka (a) CRR-a)</w:t>
      </w:r>
    </w:p>
    <w:p w:rsidR="001C7AB7" w:rsidRPr="00EF7F33" w:rsidRDefault="001C7AB7" w:rsidP="001C7AB7">
      <w:pPr>
        <w:autoSpaceDE w:val="0"/>
        <w:autoSpaceDN w:val="0"/>
        <w:adjustRightInd w:val="0"/>
        <w:spacing w:before="0" w:after="0"/>
        <w:ind w:left="708"/>
        <w:rPr>
          <w:rFonts w:ascii="Times New Roman" w:hAnsi="Times New Roman"/>
          <w:sz w:val="24"/>
        </w:rPr>
      </w:pPr>
      <w:r w:rsidRPr="00EF7F33">
        <w:rPr>
          <w:rFonts w:ascii="Times New Roman" w:hAnsi="Times New Roman"/>
          <w:sz w:val="24"/>
        </w:rPr>
        <w:t>3)</w:t>
      </w:r>
      <w:r w:rsidRPr="00EF7F33">
        <w:tab/>
      </w:r>
      <w:r w:rsidRPr="00EF7F33">
        <w:rPr>
          <w:rFonts w:ascii="Times New Roman" w:hAnsi="Times New Roman"/>
          <w:sz w:val="24"/>
        </w:rPr>
        <w:t>Institucije</w:t>
      </w:r>
    </w:p>
    <w:p w:rsidR="001C7AB7" w:rsidRPr="00EF7F33" w:rsidRDefault="001C7AB7" w:rsidP="001C7AB7">
      <w:pPr>
        <w:autoSpaceDE w:val="0"/>
        <w:autoSpaceDN w:val="0"/>
        <w:adjustRightInd w:val="0"/>
        <w:spacing w:before="0" w:after="0"/>
        <w:ind w:left="708" w:firstLine="720"/>
        <w:rPr>
          <w:rFonts w:ascii="Times New Roman" w:hAnsi="Times New Roman"/>
          <w:sz w:val="24"/>
        </w:rPr>
      </w:pPr>
      <w:r w:rsidRPr="00EF7F33">
        <w:rPr>
          <w:rFonts w:ascii="Times New Roman" w:hAnsi="Times New Roman"/>
          <w:sz w:val="24"/>
        </w:rPr>
        <w:t>(članak 147. stavak 2. točka (b) CRR-a)</w:t>
      </w:r>
    </w:p>
    <w:p w:rsidR="001C7AB7" w:rsidRPr="00EF7F33" w:rsidRDefault="001C7AB7" w:rsidP="001C7AB7">
      <w:pPr>
        <w:autoSpaceDE w:val="0"/>
        <w:autoSpaceDN w:val="0"/>
        <w:adjustRightInd w:val="0"/>
        <w:spacing w:before="0" w:after="0"/>
        <w:ind w:left="1428" w:hanging="720"/>
        <w:jc w:val="left"/>
        <w:rPr>
          <w:rFonts w:ascii="Times New Roman" w:hAnsi="Times New Roman"/>
          <w:sz w:val="24"/>
        </w:rPr>
      </w:pPr>
      <w:r w:rsidRPr="00EF7F33">
        <w:rPr>
          <w:rFonts w:ascii="Times New Roman" w:hAnsi="Times New Roman"/>
          <w:sz w:val="24"/>
        </w:rPr>
        <w:t>4.1)</w:t>
      </w:r>
      <w:r w:rsidRPr="00EF7F33">
        <w:tab/>
      </w:r>
      <w:r w:rsidRPr="00EF7F33">
        <w:rPr>
          <w:rFonts w:ascii="Times New Roman" w:hAnsi="Times New Roman"/>
          <w:sz w:val="24"/>
        </w:rPr>
        <w:t>Trgovačka društva – MSP</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 xml:space="preserve">(članak 147. stavak 2. točka (c) CRR-a) </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4.2)</w:t>
      </w:r>
      <w:r w:rsidRPr="00EF7F33">
        <w:tab/>
      </w:r>
      <w:r w:rsidRPr="00EF7F33">
        <w:rPr>
          <w:rFonts w:ascii="Times New Roman" w:hAnsi="Times New Roman"/>
          <w:sz w:val="24"/>
        </w:rPr>
        <w:t>Trgovačka društva – specijalizirano financiranje</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(članak 147. stavak 8. CRR-a)</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4.3)</w:t>
      </w:r>
      <w:r w:rsidRPr="00EF7F33">
        <w:tab/>
      </w:r>
      <w:r w:rsidRPr="00EF7F33">
        <w:rPr>
          <w:rFonts w:ascii="Times New Roman" w:hAnsi="Times New Roman"/>
          <w:sz w:val="24"/>
        </w:rPr>
        <w:t xml:space="preserve">Trgovačka društva – ostalo </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(sva trgovačka društva u skladu s člankom 147. stavkom 2. točkom (c) koja n</w:t>
      </w:r>
      <w:r w:rsidRPr="00EF7F33">
        <w:rPr>
          <w:rFonts w:ascii="Times New Roman" w:hAnsi="Times New Roman"/>
          <w:sz w:val="24"/>
        </w:rPr>
        <w:t>i</w:t>
      </w:r>
      <w:r w:rsidRPr="00EF7F33">
        <w:rPr>
          <w:rFonts w:ascii="Times New Roman" w:hAnsi="Times New Roman"/>
          <w:sz w:val="24"/>
        </w:rPr>
        <w:t>su iskazana u stavkama 4.1 i 4.2).</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5.1)</w:t>
      </w:r>
      <w:r w:rsidRPr="00EF7F33">
        <w:tab/>
      </w:r>
      <w:r w:rsidRPr="00EF7F33">
        <w:rPr>
          <w:rFonts w:ascii="Times New Roman" w:hAnsi="Times New Roman"/>
          <w:sz w:val="24"/>
        </w:rPr>
        <w:t>Stanovništvo – izloženosti osigurane nekretninama MSP-ova</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lastRenderedPageBreak/>
        <w:t>(izloženosti obuhvaćene člankom 147. stavkom 2. točkom (d) u vezi s čla</w:t>
      </w:r>
      <w:r w:rsidRPr="00EF7F33">
        <w:rPr>
          <w:rFonts w:ascii="Times New Roman" w:hAnsi="Times New Roman"/>
          <w:sz w:val="24"/>
        </w:rPr>
        <w:t>n</w:t>
      </w:r>
      <w:r w:rsidRPr="00EF7F33">
        <w:rPr>
          <w:rFonts w:ascii="Times New Roman" w:hAnsi="Times New Roman"/>
          <w:sz w:val="24"/>
        </w:rPr>
        <w:t>kom 154. stavkom 3. CRR-a koje su osigurane nekretninama).</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5.2)</w:t>
      </w:r>
      <w:r w:rsidRPr="00EF7F33">
        <w:tab/>
      </w:r>
      <w:r w:rsidRPr="00EF7F33">
        <w:rPr>
          <w:rFonts w:ascii="Times New Roman" w:hAnsi="Times New Roman"/>
          <w:sz w:val="24"/>
        </w:rPr>
        <w:t>Stanovništvo – izloženosti osigurane nekretninama osoba koje nisu MSP-ovi</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(izloženosti obuhvaćene člankom 147. stavkom 2. točkom (d) CRR-a koje su osigurane nekretninama i nisu iskazane u stavci 5.1).</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5.3)</w:t>
      </w:r>
      <w:r w:rsidRPr="00EF7F33">
        <w:tab/>
      </w:r>
      <w:r w:rsidRPr="00EF7F33">
        <w:rPr>
          <w:rFonts w:ascii="Times New Roman" w:hAnsi="Times New Roman"/>
          <w:sz w:val="24"/>
        </w:rPr>
        <w:t>Stanovništvo – kvalificirane obnovljive izloženosti</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 xml:space="preserve">(članak 147. stavak 2. točka (d) u vezi s člankom 154. stavkom 4. CRR-a). </w:t>
      </w:r>
    </w:p>
    <w:p w:rsidR="001C7AB7" w:rsidRPr="00EF7F33" w:rsidRDefault="001C7AB7" w:rsidP="001C7AB7">
      <w:pPr>
        <w:autoSpaceDE w:val="0"/>
        <w:autoSpaceDN w:val="0"/>
        <w:adjustRightInd w:val="0"/>
        <w:spacing w:before="0" w:after="0"/>
        <w:ind w:left="708"/>
        <w:jc w:val="left"/>
        <w:rPr>
          <w:rFonts w:ascii="Times New Roman" w:hAnsi="Times New Roman"/>
          <w:sz w:val="24"/>
        </w:rPr>
      </w:pPr>
      <w:r w:rsidRPr="00EF7F33">
        <w:rPr>
          <w:rFonts w:ascii="Times New Roman" w:hAnsi="Times New Roman"/>
          <w:sz w:val="24"/>
        </w:rPr>
        <w:t>5.4)</w:t>
      </w:r>
      <w:r w:rsidRPr="00EF7F33">
        <w:tab/>
      </w:r>
      <w:r w:rsidRPr="00EF7F33">
        <w:rPr>
          <w:rFonts w:ascii="Times New Roman" w:hAnsi="Times New Roman"/>
          <w:sz w:val="24"/>
        </w:rPr>
        <w:t>Stanovništvo – ostalo, MSP-ovi</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(izloženosti u skladu s člankom 147. stavkom 2. točkom (d) koje nisu iskazane u stavkama 5.1 i 5.3).</w:t>
      </w:r>
    </w:p>
    <w:p w:rsidR="001C7AB7" w:rsidRPr="00EF7F33"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EF7F33">
        <w:rPr>
          <w:rFonts w:ascii="Times New Roman" w:hAnsi="Times New Roman"/>
          <w:sz w:val="24"/>
        </w:rPr>
        <w:t>5.5)</w:t>
      </w:r>
      <w:r w:rsidRPr="00EF7F33">
        <w:tab/>
      </w:r>
      <w:r w:rsidRPr="00EF7F33">
        <w:rPr>
          <w:rFonts w:ascii="Times New Roman" w:hAnsi="Times New Roman"/>
          <w:sz w:val="24"/>
        </w:rPr>
        <w:t>Stanovništvo – ostali ne–MSP-ovi</w:t>
      </w:r>
    </w:p>
    <w:p w:rsidR="001C7AB7" w:rsidRPr="00EF7F33" w:rsidRDefault="001C7AB7" w:rsidP="001C7AB7">
      <w:pPr>
        <w:autoSpaceDE w:val="0"/>
        <w:autoSpaceDN w:val="0"/>
        <w:adjustRightInd w:val="0"/>
        <w:spacing w:before="0" w:after="0"/>
        <w:ind w:left="1428"/>
        <w:jc w:val="left"/>
        <w:rPr>
          <w:rFonts w:ascii="Times New Roman" w:hAnsi="Times New Roman"/>
          <w:sz w:val="24"/>
        </w:rPr>
      </w:pPr>
      <w:r w:rsidRPr="00EF7F33">
        <w:rPr>
          <w:rFonts w:ascii="Times New Roman" w:hAnsi="Times New Roman"/>
          <w:sz w:val="24"/>
        </w:rPr>
        <w:t>(izloženosti u skladu s člankom 147. stavkom 2. točkom (d) koje nisu iskazane u stavkama 5.2 i 5.3).</w:t>
      </w:r>
    </w:p>
    <w:p w:rsidR="001C7AB7" w:rsidRPr="00EF7F33" w:rsidRDefault="001C7AB7" w:rsidP="001C7AB7">
      <w:pPr>
        <w:autoSpaceDE w:val="0"/>
        <w:autoSpaceDN w:val="0"/>
        <w:adjustRightInd w:val="0"/>
        <w:spacing w:before="0" w:after="240"/>
        <w:jc w:val="left"/>
        <w:rPr>
          <w:rFonts w:ascii="Times New Roman" w:hAnsi="Times New Roman"/>
          <w:sz w:val="24"/>
        </w:rPr>
      </w:pPr>
    </w:p>
    <w:p w:rsidR="00206687" w:rsidRPr="00EF7F33" w:rsidRDefault="00125707" w:rsidP="0023700C">
      <w:pPr>
        <w:pStyle w:val="Instructionsberschrift2"/>
        <w:numPr>
          <w:ilvl w:val="0"/>
          <w:numId w:val="0"/>
        </w:numPr>
        <w:ind w:left="357" w:hanging="357"/>
        <w:rPr>
          <w:rFonts w:ascii="Times New Roman" w:hAnsi="Times New Roman" w:cs="Times New Roman"/>
          <w:sz w:val="24"/>
        </w:rPr>
      </w:pPr>
      <w:bookmarkStart w:id="275" w:name="_Toc516210644"/>
      <w:bookmarkStart w:id="276" w:name="_Toc473560909"/>
      <w:bookmarkStart w:id="277" w:name="_Toc523998136"/>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r w:rsidRPr="00EF7F33">
        <w:rPr>
          <w:rFonts w:ascii="Times New Roman" w:hAnsi="Times New Roman"/>
          <w:sz w:val="24"/>
          <w:u w:val="none"/>
        </w:rPr>
        <w:t>3.3.3.</w:t>
      </w:r>
      <w:r w:rsidRPr="00EF7F33">
        <w:tab/>
      </w:r>
      <w:r w:rsidRPr="00EF7F33">
        <w:rPr>
          <w:rFonts w:ascii="Times New Roman" w:hAnsi="Times New Roman"/>
          <w:sz w:val="24"/>
        </w:rPr>
        <w:t>C 08.01 – Kreditni rizik, kreditni rizik druge ugovorne strane i slobodne isporuke: IRB pristup kapitalnim zahtjevima (CR IRB 1)</w:t>
      </w:r>
      <w:bookmarkEnd w:id="275"/>
      <w:bookmarkEnd w:id="276"/>
      <w:bookmarkEnd w:id="277"/>
    </w:p>
    <w:p w:rsidR="001C7AB7" w:rsidRPr="00EF7F33" w:rsidRDefault="00125707" w:rsidP="0023700C">
      <w:pPr>
        <w:pStyle w:val="Instructionsberschrift2"/>
        <w:numPr>
          <w:ilvl w:val="0"/>
          <w:numId w:val="0"/>
        </w:numPr>
        <w:ind w:left="709" w:hanging="720"/>
        <w:rPr>
          <w:rFonts w:ascii="Times New Roman" w:hAnsi="Times New Roman" w:cs="Times New Roman"/>
          <w:sz w:val="24"/>
        </w:rPr>
      </w:pPr>
      <w:bookmarkStart w:id="285" w:name="_Toc516210645"/>
      <w:bookmarkStart w:id="286" w:name="_Toc473560910"/>
      <w:bookmarkStart w:id="287" w:name="_Toc523998137"/>
      <w:r w:rsidRPr="00EF7F33">
        <w:rPr>
          <w:rFonts w:ascii="Times New Roman" w:hAnsi="Times New Roman"/>
          <w:sz w:val="24"/>
          <w:u w:val="none"/>
        </w:rPr>
        <w:t>3.3.3.1</w:t>
      </w:r>
      <w:r w:rsidRPr="00EF7F33">
        <w:tab/>
      </w:r>
      <w:r w:rsidRPr="00EF7F33">
        <w:rPr>
          <w:rFonts w:ascii="Times New Roman" w:hAnsi="Times New Roman"/>
          <w:sz w:val="24"/>
        </w:rPr>
        <w:t>Upute za specifične pozicije</w:t>
      </w:r>
      <w:bookmarkEnd w:id="278"/>
      <w:bookmarkEnd w:id="279"/>
      <w:bookmarkEnd w:id="280"/>
      <w:bookmarkEnd w:id="281"/>
      <w:bookmarkEnd w:id="282"/>
      <w:bookmarkEnd w:id="283"/>
      <w:bookmarkEnd w:id="284"/>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EF7F33" w:rsidTr="00672D2A">
        <w:tc>
          <w:tcPr>
            <w:tcW w:w="1188" w:type="dxa"/>
            <w:shd w:val="clear" w:color="auto" w:fill="CCCCCC"/>
          </w:tcPr>
          <w:p w:rsidR="001C7AB7" w:rsidRPr="00EF7F33" w:rsidRDefault="001C7AB7" w:rsidP="001C7AB7">
            <w:pPr>
              <w:rPr>
                <w:rFonts w:ascii="Times New Roman" w:hAnsi="Times New Roman"/>
                <w:sz w:val="24"/>
              </w:rPr>
            </w:pPr>
            <w:r w:rsidRPr="00EF7F33">
              <w:rPr>
                <w:rFonts w:ascii="Times New Roman" w:hAnsi="Times New Roman"/>
                <w:sz w:val="24"/>
              </w:rPr>
              <w:t>Stupci</w:t>
            </w:r>
          </w:p>
        </w:tc>
        <w:tc>
          <w:tcPr>
            <w:tcW w:w="8843" w:type="dxa"/>
            <w:shd w:val="clear" w:color="auto" w:fill="CCCCCC"/>
          </w:tcPr>
          <w:p w:rsidR="001C7AB7" w:rsidRPr="00EF7F33" w:rsidRDefault="001C7AB7" w:rsidP="001C7AB7">
            <w:pPr>
              <w:rPr>
                <w:rFonts w:ascii="Times New Roman" w:hAnsi="Times New Roman"/>
                <w:sz w:val="24"/>
              </w:rPr>
            </w:pPr>
            <w:r w:rsidRPr="00EF7F33">
              <w:rPr>
                <w:rFonts w:ascii="Times New Roman" w:hAnsi="Times New Roman"/>
                <w:sz w:val="24"/>
              </w:rPr>
              <w:t>Upute</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010</w:t>
            </w:r>
          </w:p>
        </w:tc>
        <w:tc>
          <w:tcPr>
            <w:tcW w:w="8843"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INTERNI REJTING-SUSTAV / PD RASPOREĐEN U REJTING-KATEGORIJU DUŽNIKA ILI SKUP IZLOŽENOSTI (%)</w:t>
            </w:r>
          </w:p>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PD raspoređen u rejting-kategoriju dužnika ili skup izloženosti temelji se na odredbama članka 180. CRR-a. Za svaku pojedinu rejting-kategoriju ili skup iskazuje se PD raspor</w:t>
            </w:r>
            <w:r w:rsidRPr="00EF7F33">
              <w:rPr>
                <w:rStyle w:val="InstructionsTabelleText"/>
                <w:rFonts w:ascii="Times New Roman" w:hAnsi="Times New Roman"/>
                <w:sz w:val="24"/>
              </w:rPr>
              <w:t>e</w:t>
            </w:r>
            <w:r w:rsidRPr="00EF7F33">
              <w:rPr>
                <w:rStyle w:val="InstructionsTabelleText"/>
                <w:rFonts w:ascii="Times New Roman" w:hAnsi="Times New Roman"/>
                <w:sz w:val="24"/>
              </w:rPr>
              <w:t>đen u specifičnu rejting-kategoriju dužnika ili skup izloženosti. Za vrijednosti koje odg</w:t>
            </w:r>
            <w:r w:rsidRPr="00EF7F33">
              <w:rPr>
                <w:rStyle w:val="InstructionsTabelleText"/>
                <w:rFonts w:ascii="Times New Roman" w:hAnsi="Times New Roman"/>
                <w:sz w:val="24"/>
              </w:rPr>
              <w:t>o</w:t>
            </w:r>
            <w:r w:rsidRPr="00EF7F33">
              <w:rPr>
                <w:rStyle w:val="InstructionsTabelleText"/>
                <w:rFonts w:ascii="Times New Roman" w:hAnsi="Times New Roman"/>
                <w:sz w:val="24"/>
              </w:rPr>
              <w:t>varaju agregiranju rejting-kategorija dužnika ili skupova izloženosti (npr. ukupne izlož</w:t>
            </w:r>
            <w:r w:rsidRPr="00EF7F33">
              <w:rPr>
                <w:rStyle w:val="InstructionsTabelleText"/>
                <w:rFonts w:ascii="Times New Roman" w:hAnsi="Times New Roman"/>
                <w:sz w:val="24"/>
              </w:rPr>
              <w:t>e</w:t>
            </w:r>
            <w:r w:rsidRPr="00EF7F33">
              <w:rPr>
                <w:rStyle w:val="InstructionsTabelleText"/>
                <w:rFonts w:ascii="Times New Roman" w:hAnsi="Times New Roman"/>
                <w:sz w:val="24"/>
              </w:rPr>
              <w:t>nosti) dostavlja se ponderirani prosjek izloženosti PD-ova raspoređenih u rejting-kategoriju dužnika ili skupove izloženosti uključen u agregiranje. Vrijednost izloženosti (stupac 110) upotrebljava se za izračun izloženošću ponderiranog prosječnog PD-a.</w:t>
            </w:r>
            <w:r w:rsidRPr="00EF7F33">
              <w:rPr>
                <w:rFonts w:ascii="Times New Roman" w:hAnsi="Times New Roman"/>
                <w:sz w:val="24"/>
              </w:rPr>
              <w:t>.</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Za svaku pojedinu rejting-kategoriju ili skup iskazuje se PD raspoređen u specifičnu re</w:t>
            </w:r>
            <w:r w:rsidRPr="00EF7F33">
              <w:rPr>
                <w:rStyle w:val="InstructionsTabelleText"/>
                <w:rFonts w:ascii="Times New Roman" w:hAnsi="Times New Roman"/>
                <w:sz w:val="24"/>
              </w:rPr>
              <w:t>j</w:t>
            </w:r>
            <w:r w:rsidRPr="00EF7F33">
              <w:rPr>
                <w:rStyle w:val="InstructionsTabelleText"/>
                <w:rFonts w:ascii="Times New Roman" w:hAnsi="Times New Roman"/>
                <w:sz w:val="24"/>
              </w:rPr>
              <w:t>ting-kategoriju dužnika ili skup izloženosti. Svi iskazani parametri rizika izvode se iz p</w:t>
            </w:r>
            <w:r w:rsidRPr="00EF7F33">
              <w:rPr>
                <w:rStyle w:val="InstructionsTabelleText"/>
                <w:rFonts w:ascii="Times New Roman" w:hAnsi="Times New Roman"/>
                <w:sz w:val="24"/>
              </w:rPr>
              <w:t>a</w:t>
            </w:r>
            <w:r w:rsidRPr="00EF7F33">
              <w:rPr>
                <w:rStyle w:val="InstructionsTabelleText"/>
                <w:rFonts w:ascii="Times New Roman" w:hAnsi="Times New Roman"/>
                <w:sz w:val="24"/>
              </w:rPr>
              <w:t>rametara rizika upotrijebljenih u internom rejting-sustavu koji je odobrilo nadležno tijelo.</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Rejting-skala za nadzor ne namjerava se uvesti niti je poželjna. Ako institucija koja izvj</w:t>
            </w:r>
            <w:r w:rsidRPr="00EF7F33">
              <w:rPr>
                <w:rStyle w:val="InstructionsTabelleText"/>
                <w:rFonts w:ascii="Times New Roman" w:hAnsi="Times New Roman"/>
                <w:sz w:val="24"/>
              </w:rPr>
              <w:t>e</w:t>
            </w:r>
            <w:r w:rsidRPr="00EF7F33">
              <w:rPr>
                <w:rStyle w:val="InstructionsTabelleText"/>
                <w:rFonts w:ascii="Times New Roman" w:hAnsi="Times New Roman"/>
                <w:sz w:val="24"/>
              </w:rPr>
              <w:t>šćuje primjenjuje jedinstveni rejting-sustav ili može izvješćivati u skladu s internom re</w:t>
            </w:r>
            <w:r w:rsidRPr="00EF7F33">
              <w:rPr>
                <w:rStyle w:val="InstructionsTabelleText"/>
                <w:rFonts w:ascii="Times New Roman" w:hAnsi="Times New Roman"/>
                <w:sz w:val="24"/>
              </w:rPr>
              <w:t>j</w:t>
            </w:r>
            <w:r w:rsidRPr="00EF7F33">
              <w:rPr>
                <w:rStyle w:val="InstructionsTabelleText"/>
                <w:rFonts w:ascii="Times New Roman" w:hAnsi="Times New Roman"/>
                <w:sz w:val="24"/>
              </w:rPr>
              <w:t xml:space="preserve">ting-skalom, upotrebljava se ta skala. </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U suprotnom se različiti rejting-sustavi spajaju i određuju u skladu sa sljedećim kriterij</w:t>
            </w:r>
            <w:r w:rsidRPr="00EF7F33">
              <w:rPr>
                <w:rStyle w:val="InstructionsTabelleText"/>
                <w:rFonts w:ascii="Times New Roman" w:hAnsi="Times New Roman"/>
                <w:sz w:val="24"/>
              </w:rPr>
              <w:t>i</w:t>
            </w:r>
            <w:r w:rsidRPr="00EF7F33">
              <w:rPr>
                <w:rStyle w:val="InstructionsTabelleText"/>
                <w:rFonts w:ascii="Times New Roman" w:hAnsi="Times New Roman"/>
                <w:sz w:val="24"/>
              </w:rPr>
              <w:t>ma: rejting-kategorije dužnika različitih rejting-sustava grupiraju se i određuju od nižeg PD-a raspoređenog u svaku rejting-kategoriju dužnika prema višem. Ako institucija upo</w:t>
            </w:r>
            <w:r w:rsidRPr="00EF7F33">
              <w:rPr>
                <w:rStyle w:val="InstructionsTabelleText"/>
                <w:rFonts w:ascii="Times New Roman" w:hAnsi="Times New Roman"/>
                <w:sz w:val="24"/>
              </w:rPr>
              <w:t>t</w:t>
            </w:r>
            <w:r w:rsidRPr="00EF7F33">
              <w:rPr>
                <w:rStyle w:val="InstructionsTabelleText"/>
                <w:rFonts w:ascii="Times New Roman" w:hAnsi="Times New Roman"/>
                <w:sz w:val="24"/>
              </w:rPr>
              <w:t>rebljava veliki broj rejting-kategorija ili skupova, s nadležnim tijelima može se dogovor</w:t>
            </w:r>
            <w:r w:rsidRPr="00EF7F33">
              <w:rPr>
                <w:rStyle w:val="InstructionsTabelleText"/>
                <w:rFonts w:ascii="Times New Roman" w:hAnsi="Times New Roman"/>
                <w:sz w:val="24"/>
              </w:rPr>
              <w:t>i</w:t>
            </w:r>
            <w:r w:rsidRPr="00EF7F33">
              <w:rPr>
                <w:rStyle w:val="InstructionsTabelleText"/>
                <w:rFonts w:ascii="Times New Roman" w:hAnsi="Times New Roman"/>
                <w:sz w:val="24"/>
              </w:rPr>
              <w:t>ti iskazivanje smanjenog broja rejting-kategorija ili skupova.</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Institucije unaprijed kontaktiraju s nadležnim tijelom ako žele iskazati drukčiji broj re</w:t>
            </w:r>
            <w:r w:rsidRPr="00EF7F33">
              <w:rPr>
                <w:rStyle w:val="InstructionsTabelleText"/>
                <w:rFonts w:ascii="Times New Roman" w:hAnsi="Times New Roman"/>
                <w:sz w:val="24"/>
              </w:rPr>
              <w:t>j</w:t>
            </w:r>
            <w:r w:rsidRPr="00EF7F33">
              <w:rPr>
                <w:rStyle w:val="InstructionsTabelleText"/>
                <w:rFonts w:ascii="Times New Roman" w:hAnsi="Times New Roman"/>
                <w:sz w:val="24"/>
              </w:rPr>
              <w:t>ting-kategorija u odnosu na interni broj rejting-kategorija.</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 xml:space="preserve">Za potrebe ponderiranja prosječnog PD-a vrijednost izloženosti iskazuje se u stupcu 110. Sve izloženosti, uključujući izloženosti sa statusom neispunjavanja obveza, potrebno je uzeti u obzir za potrebe izračuna izloženošću ponderiranog prosječnog PD-a (npr. za </w:t>
            </w:r>
            <w:r w:rsidRPr="00EF7F33">
              <w:rPr>
                <w:rStyle w:val="InstructionsTabelleText"/>
                <w:rFonts w:ascii="Times New Roman" w:hAnsi="Times New Roman"/>
                <w:sz w:val="24"/>
              </w:rPr>
              <w:lastRenderedPageBreak/>
              <w:t>„ukupne izloženosti”). Izloženosti sa statusom neispunjavanja obveza izloženosti su ra</w:t>
            </w:r>
            <w:r w:rsidRPr="00EF7F33">
              <w:rPr>
                <w:rStyle w:val="InstructionsTabelleText"/>
                <w:rFonts w:ascii="Times New Roman" w:hAnsi="Times New Roman"/>
                <w:sz w:val="24"/>
              </w:rPr>
              <w:t>s</w:t>
            </w:r>
            <w:r w:rsidRPr="00EF7F33">
              <w:rPr>
                <w:rStyle w:val="InstructionsTabelleText"/>
                <w:rFonts w:ascii="Times New Roman" w:hAnsi="Times New Roman"/>
                <w:sz w:val="24"/>
              </w:rPr>
              <w:t>poređene u zadnju rejting-kategoriju/kategorije s PD-om od 100 %.</w:t>
            </w:r>
          </w:p>
          <w:p w:rsidR="001C7AB7" w:rsidRPr="00EF7F33" w:rsidRDefault="001C7AB7" w:rsidP="001C7AB7">
            <w:pPr>
              <w:rPr>
                <w:rFonts w:ascii="Times New Roman" w:hAnsi="Times New Roman"/>
                <w:sz w:val="24"/>
              </w:rPr>
            </w:pP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020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ORIGINALNA IZLOŽENOST PRIJE KONVERZIJSKIH FAKTORA</w:t>
            </w:r>
          </w:p>
          <w:p w:rsidR="001C7AB7" w:rsidRPr="00EF7F33" w:rsidRDefault="001C7AB7" w:rsidP="001C7AB7">
            <w:pPr>
              <w:rPr>
                <w:rFonts w:ascii="Times New Roman" w:hAnsi="Times New Roman"/>
                <w:sz w:val="24"/>
              </w:rPr>
            </w:pPr>
            <w:r w:rsidRPr="00EF7F33">
              <w:rPr>
                <w:rFonts w:ascii="Times New Roman" w:hAnsi="Times New Roman"/>
                <w:sz w:val="24"/>
              </w:rPr>
              <w:t>Institucije iskazuju vrijednost izloženosti prije uzimanja u obzir bilo kakvih vrijednosnih usklađenja, rezervacija, učinaka na temelju tehnika smanjenja kreditnog rizika ili kredi</w:t>
            </w:r>
            <w:r w:rsidRPr="00EF7F33">
              <w:rPr>
                <w:rFonts w:ascii="Times New Roman" w:hAnsi="Times New Roman"/>
                <w:sz w:val="24"/>
              </w:rPr>
              <w:t>t</w:t>
            </w:r>
            <w:r w:rsidRPr="00EF7F33">
              <w:rPr>
                <w:rFonts w:ascii="Times New Roman" w:hAnsi="Times New Roman"/>
                <w:sz w:val="24"/>
              </w:rPr>
              <w:t xml:space="preserve">nih konverzijskih faktora. </w:t>
            </w:r>
          </w:p>
          <w:p w:rsidR="001C7AB7" w:rsidRPr="00EF7F33" w:rsidRDefault="001C7AB7" w:rsidP="001C7AB7">
            <w:pPr>
              <w:rPr>
                <w:rFonts w:ascii="Times New Roman" w:hAnsi="Times New Roman"/>
                <w:sz w:val="24"/>
              </w:rPr>
            </w:pPr>
            <w:r w:rsidRPr="00EF7F33">
              <w:rPr>
                <w:rFonts w:ascii="Times New Roman" w:hAnsi="Times New Roman"/>
                <w:sz w:val="24"/>
              </w:rPr>
              <w:t>Vrijednost originalne izloženosti iskazuje se u skladu s člankom 24. CRR-a i člankom 166. stavcima 1., 2. i od 4. do 7. CRR-a.</w:t>
            </w:r>
          </w:p>
          <w:p w:rsidR="001C7AB7" w:rsidRPr="00EF7F33" w:rsidRDefault="001C7AB7" w:rsidP="001C7AB7">
            <w:pPr>
              <w:rPr>
                <w:rFonts w:ascii="Times New Roman" w:hAnsi="Times New Roman"/>
                <w:sz w:val="24"/>
              </w:rPr>
            </w:pPr>
            <w:r w:rsidRPr="00EF7F33">
              <w:rPr>
                <w:rFonts w:ascii="Times New Roman" w:hAnsi="Times New Roman"/>
                <w:sz w:val="24"/>
              </w:rPr>
              <w:t>Učinak koji proizlazi iz članka 166. stavka 3. CRR-a (učinak bilančnog netiranja kredita i depozita) iskazuje se zasebno kao materijalna kreditna zaštita i stoga se njime ne smanj</w:t>
            </w:r>
            <w:r w:rsidRPr="00EF7F33">
              <w:rPr>
                <w:rFonts w:ascii="Times New Roman" w:hAnsi="Times New Roman"/>
                <w:sz w:val="24"/>
              </w:rPr>
              <w:t>u</w:t>
            </w:r>
            <w:r w:rsidRPr="00EF7F33">
              <w:rPr>
                <w:rFonts w:ascii="Times New Roman" w:hAnsi="Times New Roman"/>
                <w:sz w:val="24"/>
              </w:rPr>
              <w:t xml:space="preserve">je originalna izloženost. </w:t>
            </w:r>
          </w:p>
          <w:p w:rsidR="001C7AB7" w:rsidRPr="00EF7F33" w:rsidRDefault="001C7AB7" w:rsidP="001C7AB7">
            <w:pPr>
              <w:rPr>
                <w:rFonts w:ascii="Times New Roman" w:hAnsi="Times New Roman"/>
                <w:sz w:val="24"/>
              </w:rPr>
            </w:pP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030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OD ČEGA: VELIKI SUBJEKTI FINANCIJSKOG SEKTORA I NEREGULIRANI FINANCIJSKI SUBJEKTI</w:t>
            </w:r>
          </w:p>
          <w:p w:rsidR="001C7AB7" w:rsidRPr="00EF7F33" w:rsidRDefault="001C7AB7" w:rsidP="001C7AB7">
            <w:pPr>
              <w:rPr>
                <w:rFonts w:ascii="Times New Roman" w:hAnsi="Times New Roman"/>
                <w:b/>
                <w:sz w:val="24"/>
                <w:u w:val="single"/>
              </w:rPr>
            </w:pPr>
            <w:r w:rsidRPr="00EF7F33">
              <w:rPr>
                <w:rFonts w:ascii="Times New Roman" w:hAnsi="Times New Roman"/>
                <w:sz w:val="24"/>
              </w:rPr>
              <w:t>Raščlamba originalne izloženosti prije konverzijskih faktora za sve izloženosti definirane u skladu s člankom 142. stavcima 4. i 5. CRR-a na koje se primjenjuje viši koeficijent korelacije u skladu s člankom 153. stavkom 2. CRR-a.</w:t>
            </w:r>
          </w:p>
        </w:tc>
      </w:tr>
      <w:tr w:rsidR="001C7AB7" w:rsidRPr="00EF7F33" w:rsidTr="00672D2A">
        <w:tc>
          <w:tcPr>
            <w:tcW w:w="1188" w:type="dxa"/>
          </w:tcPr>
          <w:p w:rsidR="001C7AB7" w:rsidRPr="00EF7F33" w:rsidRDefault="001C7AB7" w:rsidP="004F2B30">
            <w:pPr>
              <w:rPr>
                <w:rFonts w:ascii="Times New Roman" w:hAnsi="Times New Roman"/>
                <w:sz w:val="24"/>
              </w:rPr>
            </w:pPr>
            <w:r w:rsidRPr="00EF7F33">
              <w:rPr>
                <w:rFonts w:ascii="Times New Roman" w:hAnsi="Times New Roman"/>
                <w:sz w:val="24"/>
              </w:rPr>
              <w:t>040 – 080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TEHNIKE SMANJENJA KREDITNOG RIZIKA S UČINCIMA ZAMJENE NA IZLOŽENOST</w:t>
            </w:r>
          </w:p>
          <w:p w:rsidR="001C7AB7" w:rsidRPr="00EF7F33" w:rsidRDefault="001C7AB7" w:rsidP="001C7AB7">
            <w:pPr>
              <w:rPr>
                <w:rFonts w:ascii="Times New Roman" w:hAnsi="Times New Roman"/>
                <w:sz w:val="24"/>
              </w:rPr>
            </w:pPr>
            <w:r w:rsidRPr="00EF7F33">
              <w:rPr>
                <w:rFonts w:ascii="Times New Roman" w:hAnsi="Times New Roman"/>
                <w:sz w:val="24"/>
              </w:rPr>
              <w:t>Tehnike smanjenja kreditnog rizika kako su definirane u članku 4. točki 57. CRR-a koj</w:t>
            </w:r>
            <w:r w:rsidRPr="00EF7F33">
              <w:rPr>
                <w:rFonts w:ascii="Times New Roman" w:hAnsi="Times New Roman"/>
                <w:sz w:val="24"/>
              </w:rPr>
              <w:t>i</w:t>
            </w:r>
            <w:r w:rsidRPr="00EF7F33">
              <w:rPr>
                <w:rFonts w:ascii="Times New Roman" w:hAnsi="Times New Roman"/>
                <w:sz w:val="24"/>
              </w:rPr>
              <w:t>ma se smanjuje kreditni rizik izloženosti zamjenom izloženosti kako je definirano u na</w:t>
            </w:r>
            <w:r w:rsidRPr="00EF7F33">
              <w:rPr>
                <w:rFonts w:ascii="Times New Roman" w:hAnsi="Times New Roman"/>
                <w:sz w:val="24"/>
              </w:rPr>
              <w:t>s</w:t>
            </w:r>
            <w:r w:rsidRPr="00EF7F33">
              <w:rPr>
                <w:rFonts w:ascii="Times New Roman" w:hAnsi="Times New Roman"/>
                <w:sz w:val="24"/>
              </w:rPr>
              <w:t>tavku pod „ZAMJENA IZLOŽENOSTI ZBOG SMANJENJA KREDITNOG RIZIKA”.</w:t>
            </w:r>
          </w:p>
          <w:p w:rsidR="001C7AB7" w:rsidRPr="00EF7F33" w:rsidRDefault="001C7AB7" w:rsidP="001C7AB7">
            <w:pPr>
              <w:autoSpaceDE w:val="0"/>
              <w:autoSpaceDN w:val="0"/>
              <w:adjustRightInd w:val="0"/>
              <w:spacing w:before="0" w:after="0"/>
              <w:jc w:val="left"/>
              <w:rPr>
                <w:rFonts w:ascii="Times New Roman" w:hAnsi="Times New Roman"/>
                <w:sz w:val="24"/>
              </w:rPr>
            </w:pPr>
          </w:p>
        </w:tc>
      </w:tr>
      <w:tr w:rsidR="001C7AB7" w:rsidRPr="00EF7F33" w:rsidTr="00672D2A">
        <w:tc>
          <w:tcPr>
            <w:tcW w:w="1188" w:type="dxa"/>
          </w:tcPr>
          <w:p w:rsidR="001C7AB7" w:rsidRPr="00EF7F33" w:rsidRDefault="001C7AB7" w:rsidP="004F2B30">
            <w:pPr>
              <w:rPr>
                <w:rFonts w:ascii="Times New Roman" w:hAnsi="Times New Roman"/>
                <w:sz w:val="24"/>
              </w:rPr>
            </w:pPr>
            <w:r w:rsidRPr="00EF7F33">
              <w:rPr>
                <w:rFonts w:ascii="Times New Roman" w:hAnsi="Times New Roman"/>
                <w:sz w:val="24"/>
              </w:rPr>
              <w:t>040-050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NEMATERIJALNA KREDITNA ZAŠTITA</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Nematerijalna kreditna zaštita: vrijednosti kako su definirane u članku 4. točki 59. CRR-a.</w:t>
            </w:r>
          </w:p>
          <w:p w:rsidR="001C7AB7" w:rsidRPr="00EF7F33" w:rsidRDefault="001C7AB7" w:rsidP="001C7AB7">
            <w:pPr>
              <w:rPr>
                <w:rFonts w:ascii="Times New Roman" w:hAnsi="Times New Roman"/>
                <w:sz w:val="24"/>
              </w:rPr>
            </w:pPr>
            <w:r w:rsidRPr="00EF7F33">
              <w:rPr>
                <w:rFonts w:ascii="Times New Roman" w:hAnsi="Times New Roman"/>
                <w:sz w:val="24"/>
              </w:rPr>
              <w:t>Ako kolateral utječe na izloženost (npr. ako se upotrebljava za tehnike smanjenja kredi</w:t>
            </w:r>
            <w:r w:rsidRPr="00EF7F33">
              <w:rPr>
                <w:rFonts w:ascii="Times New Roman" w:hAnsi="Times New Roman"/>
                <w:sz w:val="24"/>
              </w:rPr>
              <w:t>t</w:t>
            </w:r>
            <w:r w:rsidRPr="00EF7F33">
              <w:rPr>
                <w:rFonts w:ascii="Times New Roman" w:hAnsi="Times New Roman"/>
                <w:sz w:val="24"/>
              </w:rPr>
              <w:t>nog rizika s učincima zamjene na izloženost), njegova gornja granica određuje se na raz</w:t>
            </w:r>
            <w:r w:rsidRPr="00EF7F33">
              <w:rPr>
                <w:rFonts w:ascii="Times New Roman" w:hAnsi="Times New Roman"/>
                <w:sz w:val="24"/>
              </w:rPr>
              <w:t>i</w:t>
            </w:r>
            <w:r w:rsidRPr="00EF7F33">
              <w:rPr>
                <w:rFonts w:ascii="Times New Roman" w:hAnsi="Times New Roman"/>
                <w:sz w:val="24"/>
              </w:rPr>
              <w:t>ni vrijednosti izloženosti.</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040</w:t>
            </w:r>
          </w:p>
        </w:tc>
        <w:tc>
          <w:tcPr>
            <w:tcW w:w="8843" w:type="dxa"/>
          </w:tcPr>
          <w:p w:rsidR="001C7AB7" w:rsidRPr="00EF7F33" w:rsidRDefault="001C7AB7" w:rsidP="001C7AB7">
            <w:pPr>
              <w:jc w:val="left"/>
              <w:rPr>
                <w:rStyle w:val="InstructionsTabelleberschrift"/>
                <w:rFonts w:ascii="Times New Roman" w:hAnsi="Times New Roman"/>
                <w:sz w:val="24"/>
              </w:rPr>
            </w:pPr>
            <w:r w:rsidRPr="00EF7F33">
              <w:rPr>
                <w:rStyle w:val="InstructionsTabelleberschrift"/>
                <w:rFonts w:ascii="Times New Roman" w:hAnsi="Times New Roman"/>
                <w:sz w:val="24"/>
              </w:rPr>
              <w:t>JAMSTVA:</w:t>
            </w:r>
          </w:p>
          <w:p w:rsidR="001C7AB7" w:rsidRPr="00EF7F33" w:rsidRDefault="001C7AB7" w:rsidP="001C7AB7">
            <w:pPr>
              <w:jc w:val="left"/>
              <w:rPr>
                <w:rFonts w:ascii="Times New Roman" w:hAnsi="Times New Roman"/>
                <w:sz w:val="24"/>
              </w:rPr>
            </w:pPr>
            <w:r w:rsidRPr="00EF7F33">
              <w:rPr>
                <w:rFonts w:ascii="Times New Roman" w:hAnsi="Times New Roman"/>
                <w:sz w:val="24"/>
              </w:rPr>
              <w:t>Kada se ne primjenjuju vlastite procjene LGD-a, dostavlja se prilagođena vrijednost (Ga) kako je definirana u članku 236. CRR-a.</w:t>
            </w:r>
          </w:p>
          <w:p w:rsidR="001C7AB7" w:rsidRPr="00EF7F33" w:rsidRDefault="001C7AB7" w:rsidP="001C7AB7">
            <w:pPr>
              <w:jc w:val="left"/>
              <w:rPr>
                <w:rFonts w:ascii="Times New Roman" w:hAnsi="Times New Roman"/>
                <w:sz w:val="24"/>
              </w:rPr>
            </w:pPr>
            <w:r w:rsidRPr="00EF7F33">
              <w:rPr>
                <w:rFonts w:ascii="Times New Roman" w:hAnsi="Times New Roman"/>
                <w:sz w:val="24"/>
              </w:rPr>
              <w:t>Kada se primjenjuju vlastite procjene LGD-a (članak 183. CRR-a, izuzev stavka 3.), i</w:t>
            </w:r>
            <w:r w:rsidRPr="00EF7F33">
              <w:rPr>
                <w:rFonts w:ascii="Times New Roman" w:hAnsi="Times New Roman"/>
                <w:sz w:val="24"/>
              </w:rPr>
              <w:t>s</w:t>
            </w:r>
            <w:r w:rsidRPr="00EF7F33">
              <w:rPr>
                <w:rFonts w:ascii="Times New Roman" w:hAnsi="Times New Roman"/>
                <w:sz w:val="24"/>
              </w:rPr>
              <w:t xml:space="preserve">kazuje se relevantna vrijednost korištena u internom modelu. </w:t>
            </w:r>
          </w:p>
          <w:p w:rsidR="001C7AB7" w:rsidRPr="00EF7F33" w:rsidRDefault="001C7AB7" w:rsidP="001C7AB7">
            <w:pPr>
              <w:jc w:val="left"/>
              <w:rPr>
                <w:rFonts w:ascii="Times New Roman" w:hAnsi="Times New Roman"/>
                <w:sz w:val="24"/>
              </w:rPr>
            </w:pPr>
            <w:r w:rsidRPr="00EF7F33">
              <w:rPr>
                <w:rFonts w:ascii="Times New Roman" w:hAnsi="Times New Roman"/>
                <w:sz w:val="24"/>
              </w:rPr>
              <w:t>Jamstva se iskazuju u stupcu 040 ako nije izvršena prilagodba LGD-a. Ako je izvršena prilagodba LGD-a, iznos jamstva iskazuje se u stupcu 150.</w:t>
            </w:r>
          </w:p>
          <w:p w:rsidR="00785F3E" w:rsidRPr="00EF7F33" w:rsidRDefault="00785F3E" w:rsidP="001C7AB7">
            <w:pPr>
              <w:jc w:val="left"/>
              <w:rPr>
                <w:rFonts w:ascii="Times New Roman" w:hAnsi="Times New Roman"/>
                <w:sz w:val="24"/>
              </w:rPr>
            </w:pPr>
            <w:r w:rsidRPr="00EF7F33">
              <w:rPr>
                <w:rFonts w:ascii="Times New Roman" w:hAnsi="Times New Roman"/>
                <w:sz w:val="24"/>
              </w:rPr>
              <w:t>U pogledu izloženosti na koje se primjenjuje tretman dvostrukog statusa neispunjavanja obveza, vrijednost nematerijalne kreditne zaštite iskazuje se u stupcu 220.</w:t>
            </w:r>
          </w:p>
          <w:p w:rsidR="001C7AB7" w:rsidRPr="00EF7F33" w:rsidRDefault="001C7AB7" w:rsidP="001C7AB7">
            <w:pPr>
              <w:jc w:val="left"/>
              <w:rPr>
                <w:rFonts w:ascii="Times New Roman" w:hAnsi="Times New Roman"/>
                <w:sz w:val="24"/>
              </w:rPr>
            </w:pP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050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KREDITNE IZVEDENICE:</w:t>
            </w:r>
          </w:p>
          <w:p w:rsidR="001C7AB7" w:rsidRPr="00EF7F33" w:rsidRDefault="001C7AB7" w:rsidP="001C7AB7">
            <w:pPr>
              <w:rPr>
                <w:rFonts w:ascii="Times New Roman" w:hAnsi="Times New Roman"/>
                <w:sz w:val="24"/>
              </w:rPr>
            </w:pPr>
            <w:r w:rsidRPr="00EF7F33">
              <w:rPr>
                <w:rFonts w:ascii="Times New Roman" w:hAnsi="Times New Roman"/>
                <w:sz w:val="24"/>
              </w:rPr>
              <w:t>Kada se ne primjenjuju vlastite procjene LGD-a, dostavlja se prilagođena vrijednost (Ga) kako je definirana u članku 216. CRR-a.</w:t>
            </w:r>
          </w:p>
          <w:p w:rsidR="00785F3E" w:rsidRPr="00EF7F33" w:rsidRDefault="00785F3E" w:rsidP="001C7AB7">
            <w:pPr>
              <w:rPr>
                <w:rFonts w:ascii="Times New Roman" w:hAnsi="Times New Roman"/>
                <w:sz w:val="24"/>
              </w:rPr>
            </w:pPr>
            <w:r w:rsidRPr="00EF7F33">
              <w:rPr>
                <w:rFonts w:ascii="Times New Roman" w:hAnsi="Times New Roman"/>
                <w:sz w:val="24"/>
              </w:rPr>
              <w:t>Kada se primjenjuju vlastite procjene LGD-a (članak 183. CRR-a), iskazuje se relevantna vrijednost korištena u internim modelima.</w:t>
            </w:r>
          </w:p>
          <w:p w:rsidR="001C7AB7" w:rsidRPr="00EF7F33" w:rsidRDefault="001C7AB7" w:rsidP="001C7AB7">
            <w:pPr>
              <w:rPr>
                <w:rFonts w:ascii="Times New Roman" w:hAnsi="Times New Roman"/>
                <w:sz w:val="24"/>
              </w:rPr>
            </w:pPr>
            <w:r w:rsidRPr="00EF7F33">
              <w:rPr>
                <w:rFonts w:ascii="Times New Roman" w:hAnsi="Times New Roman"/>
                <w:sz w:val="24"/>
              </w:rPr>
              <w:t>Ako je izvršena prilagodba LGD-a, iznos kreditnih izvedenica iskazuje se u stupcu 160.</w:t>
            </w:r>
          </w:p>
          <w:p w:rsidR="001C7AB7" w:rsidRPr="00EF7F33" w:rsidRDefault="001C7AB7" w:rsidP="00785F3E">
            <w:pPr>
              <w:jc w:val="left"/>
              <w:rPr>
                <w:rFonts w:ascii="Times New Roman" w:hAnsi="Times New Roman"/>
                <w:sz w:val="24"/>
              </w:rPr>
            </w:pPr>
            <w:r w:rsidRPr="00EF7F33">
              <w:rPr>
                <w:rFonts w:ascii="Times New Roman" w:hAnsi="Times New Roman"/>
                <w:sz w:val="24"/>
              </w:rPr>
              <w:t>U pogledu izloženosti na koje se primjenjuje tretman dvostrukog statusa neispunjavanja obveza, vrijednost nematerijalne kreditne zaštite iskazuje se u stupcu 220.</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060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OSTALA MATERIJALNA KREDITNA ZAŠTITA</w:t>
            </w:r>
          </w:p>
          <w:p w:rsidR="00785F3E" w:rsidRPr="00EF7F33" w:rsidRDefault="00785F3E" w:rsidP="001C7AB7">
            <w:pPr>
              <w:rPr>
                <w:rStyle w:val="InstructionsTabelleText"/>
                <w:rFonts w:ascii="Times New Roman" w:hAnsi="Times New Roman"/>
                <w:sz w:val="24"/>
              </w:rPr>
            </w:pPr>
            <w:r w:rsidRPr="00EF7F33">
              <w:rPr>
                <w:rStyle w:val="InstructionsTabelleText"/>
                <w:rFonts w:ascii="Times New Roman" w:hAnsi="Times New Roman"/>
                <w:sz w:val="24"/>
              </w:rPr>
              <w:t>Ako kolateral utječe na izloženost (npr. ako se upotrebljava za tehnike smanjenja kredi</w:t>
            </w:r>
            <w:r w:rsidRPr="00EF7F33">
              <w:rPr>
                <w:rStyle w:val="InstructionsTabelleText"/>
                <w:rFonts w:ascii="Times New Roman" w:hAnsi="Times New Roman"/>
                <w:sz w:val="24"/>
              </w:rPr>
              <w:t>t</w:t>
            </w:r>
            <w:r w:rsidRPr="00EF7F33">
              <w:rPr>
                <w:rStyle w:val="InstructionsTabelleText"/>
                <w:rFonts w:ascii="Times New Roman" w:hAnsi="Times New Roman"/>
                <w:sz w:val="24"/>
              </w:rPr>
              <w:t>nog rizika s učincima zamjene na izloženost), njegova gornja granica određuje se na raz</w:t>
            </w:r>
            <w:r w:rsidRPr="00EF7F33">
              <w:rPr>
                <w:rStyle w:val="InstructionsTabelleText"/>
                <w:rFonts w:ascii="Times New Roman" w:hAnsi="Times New Roman"/>
                <w:sz w:val="24"/>
              </w:rPr>
              <w:t>i</w:t>
            </w:r>
            <w:r w:rsidRPr="00EF7F33">
              <w:rPr>
                <w:rStyle w:val="InstructionsTabelleText"/>
                <w:rFonts w:ascii="Times New Roman" w:hAnsi="Times New Roman"/>
                <w:sz w:val="24"/>
              </w:rPr>
              <w:t>ni vrijednosti izloženosti.</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Kada se ne primjenjuju vlastite procjene LGD-a, primjenjuje se članak 232. CRR-a</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Kada se primjenjuju vlastite procjene LGD-a, iskazuju se smanjenja kreditnog rizika koja ispunjavaju kriterije iz članka 212. CRR-a. Iskazuje se relevantna vrijednost korištena u internom modelu.</w:t>
            </w:r>
          </w:p>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Iskazuje se u stupcu 060 ako nije izvršena prilagodba LGD-a. Ako je izvršena prilagodba LGD-a, iznos se iskazuje u stupcu 170.</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070 – 080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ZAMJENA IZLOŽENOSTI ZBOG SMANJENJA KREDITNOG RIZIKA</w:t>
            </w:r>
          </w:p>
          <w:p w:rsidR="001C7AB7" w:rsidRPr="00EF7F33" w:rsidRDefault="001C7AB7" w:rsidP="001C7AB7">
            <w:pPr>
              <w:rPr>
                <w:rFonts w:ascii="Times New Roman" w:hAnsi="Times New Roman"/>
                <w:sz w:val="24"/>
              </w:rPr>
            </w:pPr>
            <w:r w:rsidRPr="00EF7F33">
              <w:rPr>
                <w:rFonts w:ascii="Times New Roman" w:hAnsi="Times New Roman"/>
                <w:sz w:val="24"/>
              </w:rPr>
              <w:t>Odljevi odgovaraju pokrivenom dijelu originalne izloženosti prije konverzijskih faktora koji je odbijen od kategorije izloženosti dužnika i, prema potrebi, rejting-kategorije du</w:t>
            </w:r>
            <w:r w:rsidRPr="00EF7F33">
              <w:rPr>
                <w:rFonts w:ascii="Times New Roman" w:hAnsi="Times New Roman"/>
                <w:sz w:val="24"/>
              </w:rPr>
              <w:t>ž</w:t>
            </w:r>
            <w:r w:rsidRPr="00EF7F33">
              <w:rPr>
                <w:rFonts w:ascii="Times New Roman" w:hAnsi="Times New Roman"/>
                <w:sz w:val="24"/>
              </w:rPr>
              <w:t>nika ili skupa izloženosti te naknadno raspoređen u kategoriju izloženosti pružatelja za</w:t>
            </w:r>
            <w:r w:rsidRPr="00EF7F33">
              <w:rPr>
                <w:rFonts w:ascii="Times New Roman" w:hAnsi="Times New Roman"/>
                <w:sz w:val="24"/>
              </w:rPr>
              <w:t>š</w:t>
            </w:r>
            <w:r w:rsidRPr="00EF7F33">
              <w:rPr>
                <w:rFonts w:ascii="Times New Roman" w:hAnsi="Times New Roman"/>
                <w:sz w:val="24"/>
              </w:rPr>
              <w:t>tite i, prema potrebi, rejting-kategoriju dužnika ili skup izloženosti. Taj se iznos smatra priljevom u kategoriju izloženosti pružatelja zaštite i, prema potrebi, rejting-kategorije dužnika ili skupove izloženosti.</w:t>
            </w:r>
          </w:p>
          <w:p w:rsidR="001C7AB7" w:rsidRPr="00EF7F33" w:rsidRDefault="001C7AB7" w:rsidP="001C7AB7">
            <w:pPr>
              <w:rPr>
                <w:rFonts w:ascii="Times New Roman" w:hAnsi="Times New Roman"/>
                <w:b/>
                <w:sz w:val="24"/>
              </w:rPr>
            </w:pPr>
            <w:r w:rsidRPr="00EF7F33">
              <w:rPr>
                <w:rFonts w:ascii="Times New Roman" w:hAnsi="Times New Roman"/>
                <w:sz w:val="24"/>
              </w:rPr>
              <w:t>U obzir se uzimaju i priljevi i odljevi u istoj kategoriji izloženosti i, prema potrebi, re</w:t>
            </w:r>
            <w:r w:rsidRPr="00EF7F33">
              <w:rPr>
                <w:rFonts w:ascii="Times New Roman" w:hAnsi="Times New Roman"/>
                <w:sz w:val="24"/>
              </w:rPr>
              <w:t>j</w:t>
            </w:r>
            <w:r w:rsidRPr="00EF7F33">
              <w:rPr>
                <w:rFonts w:ascii="Times New Roman" w:hAnsi="Times New Roman"/>
                <w:sz w:val="24"/>
              </w:rPr>
              <w:t>ting-kategorijama dužnika ili skupovima izloženosti.</w:t>
            </w:r>
          </w:p>
          <w:p w:rsidR="001C7AB7" w:rsidRPr="00EF7F33" w:rsidRDefault="001C7AB7" w:rsidP="001C7AB7">
            <w:pPr>
              <w:rPr>
                <w:rFonts w:ascii="Times New Roman" w:hAnsi="Times New Roman"/>
                <w:sz w:val="24"/>
              </w:rPr>
            </w:pPr>
            <w:r w:rsidRPr="00EF7F33">
              <w:rPr>
                <w:rFonts w:ascii="Times New Roman" w:hAnsi="Times New Roman"/>
                <w:sz w:val="24"/>
              </w:rPr>
              <w:t>Izloženosti koje proizlaze iz mogućih priljeva i odljeva iz drugih obrazaca i u druge o</w:t>
            </w:r>
            <w:r w:rsidRPr="00EF7F33">
              <w:rPr>
                <w:rFonts w:ascii="Times New Roman" w:hAnsi="Times New Roman"/>
                <w:sz w:val="24"/>
              </w:rPr>
              <w:t>b</w:t>
            </w:r>
            <w:r w:rsidRPr="00EF7F33">
              <w:rPr>
                <w:rFonts w:ascii="Times New Roman" w:hAnsi="Times New Roman"/>
                <w:sz w:val="24"/>
              </w:rPr>
              <w:t>rasce uzimaju se u obzir.</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090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IZLOŽENOST NAKON PRIMJENE TEHNIKA SMANJENJA KREDITNOG R</w:t>
            </w:r>
            <w:r w:rsidRPr="00EF7F33">
              <w:rPr>
                <w:rFonts w:ascii="Times New Roman" w:hAnsi="Times New Roman"/>
                <w:b/>
                <w:sz w:val="24"/>
                <w:u w:val="single"/>
              </w:rPr>
              <w:t>I</w:t>
            </w:r>
            <w:r w:rsidRPr="00EF7F33">
              <w:rPr>
                <w:rFonts w:ascii="Times New Roman" w:hAnsi="Times New Roman"/>
                <w:b/>
                <w:sz w:val="24"/>
                <w:u w:val="single"/>
              </w:rPr>
              <w:t>ZIKA S UČINKOM ZAMJENE, A PRIJE PRIMJENE KONVERZIJSKIH FA</w:t>
            </w:r>
            <w:r w:rsidRPr="00EF7F33">
              <w:rPr>
                <w:rFonts w:ascii="Times New Roman" w:hAnsi="Times New Roman"/>
                <w:b/>
                <w:sz w:val="24"/>
                <w:u w:val="single"/>
              </w:rPr>
              <w:t>K</w:t>
            </w:r>
            <w:r w:rsidRPr="00EF7F33">
              <w:rPr>
                <w:rFonts w:ascii="Times New Roman" w:hAnsi="Times New Roman"/>
                <w:b/>
                <w:sz w:val="24"/>
                <w:u w:val="single"/>
              </w:rPr>
              <w:t>TORA</w:t>
            </w:r>
          </w:p>
          <w:p w:rsidR="001C7AB7" w:rsidRPr="00EF7F33" w:rsidRDefault="001C7AB7" w:rsidP="001C7AB7">
            <w:pPr>
              <w:rPr>
                <w:rFonts w:ascii="Times New Roman" w:hAnsi="Times New Roman"/>
                <w:sz w:val="24"/>
              </w:rPr>
            </w:pPr>
            <w:r w:rsidRPr="00EF7F33">
              <w:rPr>
                <w:rFonts w:ascii="Times New Roman" w:hAnsi="Times New Roman"/>
                <w:sz w:val="24"/>
              </w:rPr>
              <w:t>Izloženost raspoređena u odgovarajuću rejting-kategoriju dužnika ili skup izloženosti i kategoriju izloženosti nakon uzimanja u obzir odljeva i priljeva zbog tehnika smanjenja rizika s učincima zamjene na izloženost.</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100, 120</w:t>
            </w:r>
          </w:p>
        </w:tc>
        <w:tc>
          <w:tcPr>
            <w:tcW w:w="8843"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Od čega: izvanbilančne stavke </w:t>
            </w:r>
          </w:p>
          <w:p w:rsidR="001C7AB7" w:rsidRPr="00EF7F33" w:rsidRDefault="001C7AB7" w:rsidP="001C7AB7">
            <w:pPr>
              <w:rPr>
                <w:rFonts w:ascii="Times New Roman" w:hAnsi="Times New Roman"/>
                <w:sz w:val="24"/>
              </w:rPr>
            </w:pPr>
            <w:r w:rsidRPr="00EF7F33">
              <w:rPr>
                <w:rFonts w:ascii="Times New Roman" w:hAnsi="Times New Roman"/>
                <w:sz w:val="24"/>
              </w:rPr>
              <w:t>Vidjeti upute za obrazac CR-SA</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110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VRIJEDNOST IZLOŽENOSTI</w:t>
            </w:r>
          </w:p>
          <w:p w:rsidR="001C7AB7" w:rsidRPr="00EF7F33" w:rsidRDefault="001C7AB7" w:rsidP="001C7AB7">
            <w:pPr>
              <w:rPr>
                <w:rFonts w:ascii="Times New Roman" w:hAnsi="Times New Roman"/>
                <w:sz w:val="24"/>
              </w:rPr>
            </w:pPr>
            <w:r w:rsidRPr="00EF7F33">
              <w:rPr>
                <w:rFonts w:ascii="Times New Roman" w:hAnsi="Times New Roman"/>
                <w:sz w:val="24"/>
              </w:rPr>
              <w:t>Iskazuje se vrijednost u skladu s člankom 166. CRR-a i člankom 230. stavkom 1. rečen</w:t>
            </w:r>
            <w:r w:rsidRPr="00EF7F33">
              <w:rPr>
                <w:rFonts w:ascii="Times New Roman" w:hAnsi="Times New Roman"/>
                <w:sz w:val="24"/>
              </w:rPr>
              <w:t>i</w:t>
            </w:r>
            <w:r w:rsidRPr="00EF7F33">
              <w:rPr>
                <w:rFonts w:ascii="Times New Roman" w:hAnsi="Times New Roman"/>
                <w:sz w:val="24"/>
              </w:rPr>
              <w:t>com 2. CRR-a.</w:t>
            </w:r>
          </w:p>
          <w:p w:rsidR="001C7AB7" w:rsidRPr="00EF7F33" w:rsidRDefault="001C7AB7" w:rsidP="001C7AB7">
            <w:pPr>
              <w:rPr>
                <w:rFonts w:ascii="Times New Roman" w:hAnsi="Times New Roman"/>
                <w:sz w:val="24"/>
              </w:rPr>
            </w:pPr>
            <w:r w:rsidRPr="00EF7F33">
              <w:rPr>
                <w:rFonts w:ascii="Times New Roman" w:hAnsi="Times New Roman"/>
                <w:sz w:val="24"/>
              </w:rPr>
              <w:t>Za instrumente definirane u Prilogu I., primjenjuju se kreditni konverzijski faktori (čl</w:t>
            </w:r>
            <w:r w:rsidRPr="00EF7F33">
              <w:rPr>
                <w:rFonts w:ascii="Times New Roman" w:hAnsi="Times New Roman"/>
                <w:sz w:val="24"/>
              </w:rPr>
              <w:t>a</w:t>
            </w:r>
            <w:r w:rsidRPr="00EF7F33">
              <w:rPr>
                <w:rFonts w:ascii="Times New Roman" w:hAnsi="Times New Roman"/>
                <w:sz w:val="24"/>
              </w:rPr>
              <w:t xml:space="preserve">nak 166. stavci od 8. do 10. CRR-a), bez obzira na pristup koji je institucija odabrala. </w:t>
            </w:r>
          </w:p>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Za retke 040 – 060 (transakcije financiranja vrijednosnim papirima, izvedenice i transa</w:t>
            </w:r>
            <w:r w:rsidRPr="00EF7F33">
              <w:rPr>
                <w:rStyle w:val="InstructionsTabelleText"/>
                <w:rFonts w:ascii="Times New Roman" w:hAnsi="Times New Roman"/>
                <w:sz w:val="24"/>
              </w:rPr>
              <w:t>k</w:t>
            </w:r>
            <w:r w:rsidRPr="00EF7F33">
              <w:rPr>
                <w:rStyle w:val="InstructionsTabelleText"/>
                <w:rFonts w:ascii="Times New Roman" w:hAnsi="Times New Roman"/>
                <w:sz w:val="24"/>
              </w:rPr>
              <w:t>cije s dugim rokom namire te izloženosti iz netiranja između različitih kategorija proi</w:t>
            </w:r>
            <w:r w:rsidRPr="00EF7F33">
              <w:rPr>
                <w:rStyle w:val="InstructionsTabelleText"/>
                <w:rFonts w:ascii="Times New Roman" w:hAnsi="Times New Roman"/>
                <w:sz w:val="24"/>
              </w:rPr>
              <w:t>z</w:t>
            </w:r>
            <w:r w:rsidRPr="00EF7F33">
              <w:rPr>
                <w:rStyle w:val="InstructionsTabelleText"/>
                <w:rFonts w:ascii="Times New Roman" w:hAnsi="Times New Roman"/>
                <w:sz w:val="24"/>
              </w:rPr>
              <w:t xml:space="preserve">voda) na koje se primjenjuje dio 3. glava II. poglavlje 6. CRR-a, vrijednost izloženosti jednaka je vrijednosti izloženosti za kreditni rizik druge ugovorne strane izračunane u skladu s metodama utvrđenima u dijelu 3. glavi II. poglavlju 6. odjeljcima 3., 4., 5., 6. i 7. CRR-a. Te se vrijednosti iskazuju u ovom stupcu, a ne stupcu 130 „od čega: iz kreditnog rizika druge ugovorne strane”. </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130</w:t>
            </w:r>
          </w:p>
        </w:tc>
        <w:tc>
          <w:tcPr>
            <w:tcW w:w="8843"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Od čega: iz kreditnog rizika druge ugovorne strane </w:t>
            </w:r>
          </w:p>
          <w:p w:rsidR="001C7AB7" w:rsidRPr="00EF7F33" w:rsidRDefault="001C7AB7" w:rsidP="00FD6CCB">
            <w:pPr>
              <w:rPr>
                <w:rFonts w:ascii="Times New Roman" w:hAnsi="Times New Roman"/>
                <w:sz w:val="24"/>
              </w:rPr>
            </w:pPr>
            <w:r w:rsidRPr="00EF7F33">
              <w:rPr>
                <w:rFonts w:ascii="Times New Roman" w:hAnsi="Times New Roman"/>
                <w:sz w:val="24"/>
              </w:rPr>
              <w:t>Vidjeti upute za obrazac CR SA.</w:t>
            </w:r>
            <w:r w:rsidRPr="00EF7F33">
              <w:rPr>
                <w:rStyle w:val="InstructionsTabelleText"/>
                <w:rFonts w:ascii="Times New Roman" w:hAnsi="Times New Roman"/>
                <w:sz w:val="24"/>
              </w:rPr>
              <w:t xml:space="preserve"> </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140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OD ČEGA: VELIKI SUBJEKTI FINANCIJSKOG SEKTORA I NEREGULIRANI FINANCIJSKI SUBJEKTI</w:t>
            </w:r>
          </w:p>
          <w:p w:rsidR="001C7AB7" w:rsidRPr="00EF7F33" w:rsidRDefault="001C7AB7" w:rsidP="001C7AB7">
            <w:pPr>
              <w:rPr>
                <w:rFonts w:ascii="Times New Roman" w:hAnsi="Times New Roman"/>
                <w:b/>
                <w:sz w:val="24"/>
                <w:u w:val="single"/>
              </w:rPr>
            </w:pPr>
            <w:r w:rsidRPr="00EF7F33">
              <w:rPr>
                <w:rFonts w:ascii="Times New Roman" w:hAnsi="Times New Roman"/>
                <w:sz w:val="24"/>
              </w:rPr>
              <w:t>Raščlamba vrijednosti izloženosti za sve izloženosti definirane u skladu s člankom 142. stavcima 4. i 5. CRR-a na koje se primjenjuje viši koeficijent korelacije u skladu s čla</w:t>
            </w:r>
            <w:r w:rsidRPr="00EF7F33">
              <w:rPr>
                <w:rFonts w:ascii="Times New Roman" w:hAnsi="Times New Roman"/>
                <w:sz w:val="24"/>
              </w:rPr>
              <w:t>n</w:t>
            </w:r>
            <w:r w:rsidRPr="00EF7F33">
              <w:rPr>
                <w:rFonts w:ascii="Times New Roman" w:hAnsi="Times New Roman"/>
                <w:sz w:val="24"/>
              </w:rPr>
              <w:t>kom 153. stavkom 2. CRR-a.</w:t>
            </w:r>
          </w:p>
        </w:tc>
      </w:tr>
      <w:tr w:rsidR="001C7AB7" w:rsidRPr="00EF7F33" w:rsidTr="00672D2A">
        <w:trPr>
          <w:trHeight w:val="2109"/>
        </w:trPr>
        <w:tc>
          <w:tcPr>
            <w:tcW w:w="1188" w:type="dxa"/>
          </w:tcPr>
          <w:p w:rsidR="001C7AB7" w:rsidRPr="00EF7F33" w:rsidDel="001D4BE0" w:rsidRDefault="001C7AB7" w:rsidP="001C7AB7">
            <w:pPr>
              <w:rPr>
                <w:rFonts w:ascii="Times New Roman" w:hAnsi="Times New Roman"/>
                <w:sz w:val="24"/>
              </w:rPr>
            </w:pPr>
            <w:r w:rsidRPr="00EF7F33">
              <w:rPr>
                <w:rFonts w:ascii="Times New Roman" w:hAnsi="Times New Roman"/>
                <w:sz w:val="24"/>
              </w:rPr>
              <w:t>150-210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TEHNIKE SMANJENJA KREDITNOG RIZIKA UZETE U OBZIR U PROCJ</w:t>
            </w:r>
            <w:r w:rsidRPr="00EF7F33">
              <w:rPr>
                <w:rFonts w:ascii="Times New Roman" w:hAnsi="Times New Roman"/>
                <w:b/>
                <w:sz w:val="24"/>
                <w:u w:val="single"/>
              </w:rPr>
              <w:t>E</w:t>
            </w:r>
            <w:r w:rsidRPr="00EF7F33">
              <w:rPr>
                <w:rFonts w:ascii="Times New Roman" w:hAnsi="Times New Roman"/>
                <w:b/>
                <w:sz w:val="24"/>
                <w:u w:val="single"/>
              </w:rPr>
              <w:t>NAMA LGD-A, ISKLJUČUJUĆI TRETMAN DVOSTRUKOG STATUSA NEI</w:t>
            </w:r>
            <w:r w:rsidRPr="00EF7F33">
              <w:rPr>
                <w:rFonts w:ascii="Times New Roman" w:hAnsi="Times New Roman"/>
                <w:b/>
                <w:sz w:val="24"/>
                <w:u w:val="single"/>
              </w:rPr>
              <w:t>S</w:t>
            </w:r>
            <w:r w:rsidRPr="00EF7F33">
              <w:rPr>
                <w:rFonts w:ascii="Times New Roman" w:hAnsi="Times New Roman"/>
                <w:b/>
                <w:sz w:val="24"/>
                <w:u w:val="single"/>
              </w:rPr>
              <w:t>PUNJAVANJA OBVEZA</w:t>
            </w:r>
          </w:p>
          <w:p w:rsidR="001C7AB7" w:rsidRPr="00EF7F33" w:rsidRDefault="001C7AB7" w:rsidP="001C7AB7">
            <w:pPr>
              <w:rPr>
                <w:rFonts w:ascii="Times New Roman" w:hAnsi="Times New Roman"/>
                <w:sz w:val="24"/>
              </w:rPr>
            </w:pPr>
            <w:r w:rsidRPr="00EF7F33">
              <w:rPr>
                <w:rFonts w:ascii="Times New Roman" w:hAnsi="Times New Roman"/>
                <w:sz w:val="24"/>
              </w:rPr>
              <w:t xml:space="preserve">Tehnike smanjenja kreditnog rizika koje utječu na LGD-ove kao rezultat primjene učinka zamjene tehnika smanjenja kreditnog rizika ne uključuju se u ovim stupcima. </w:t>
            </w:r>
          </w:p>
          <w:p w:rsidR="001C7AB7" w:rsidRPr="00EF7F33" w:rsidRDefault="00C61FF5" w:rsidP="001C7AB7">
            <w:pPr>
              <w:rPr>
                <w:rFonts w:ascii="Times New Roman" w:hAnsi="Times New Roman"/>
                <w:sz w:val="24"/>
              </w:rPr>
            </w:pPr>
            <w:r w:rsidRPr="00EF7F33">
              <w:rPr>
                <w:rFonts w:ascii="Times New Roman" w:hAnsi="Times New Roman"/>
                <w:sz w:val="24"/>
              </w:rPr>
              <w:t>Ako se ne primjenjuju vlastite procjene LGD-a: članak 228. stavak 2., članak 230. stavci 1. i 2. i članak 231. CRR-a</w:t>
            </w:r>
          </w:p>
          <w:p w:rsidR="001C7AB7" w:rsidRPr="00EF7F33" w:rsidRDefault="00C61FF5" w:rsidP="001C7AB7">
            <w:pPr>
              <w:rPr>
                <w:rFonts w:ascii="Times New Roman" w:hAnsi="Times New Roman"/>
                <w:sz w:val="24"/>
              </w:rPr>
            </w:pPr>
            <w:r w:rsidRPr="00EF7F33">
              <w:rPr>
                <w:rFonts w:ascii="Times New Roman" w:hAnsi="Times New Roman"/>
                <w:sz w:val="24"/>
              </w:rPr>
              <w:t xml:space="preserve">Ako se primjenjuju vlastite procjene LGD-a: </w:t>
            </w:r>
          </w:p>
          <w:p w:rsidR="001C7AB7" w:rsidRPr="00EF7F33" w:rsidRDefault="001C7AB7" w:rsidP="001C7AB7">
            <w:pPr>
              <w:rPr>
                <w:rFonts w:ascii="Times New Roman" w:hAnsi="Times New Roman"/>
                <w:sz w:val="24"/>
              </w:rPr>
            </w:pPr>
            <w:r w:rsidRPr="00EF7F33">
              <w:rPr>
                <w:rFonts w:ascii="Times New Roman" w:hAnsi="Times New Roman"/>
                <w:sz w:val="24"/>
              </w:rPr>
              <w:t>- u pogledu nematerijalne kreditne zaštite, za izloženosti prema središnjoj državi i sredi</w:t>
            </w:r>
            <w:r w:rsidRPr="00EF7F33">
              <w:rPr>
                <w:rFonts w:ascii="Times New Roman" w:hAnsi="Times New Roman"/>
                <w:sz w:val="24"/>
              </w:rPr>
              <w:t>š</w:t>
            </w:r>
            <w:r w:rsidRPr="00EF7F33">
              <w:rPr>
                <w:rFonts w:ascii="Times New Roman" w:hAnsi="Times New Roman"/>
                <w:sz w:val="24"/>
              </w:rPr>
              <w:t>njim bankama, institucijama i trgovačkim društvima: članak 161. stavak 3. CRR-a. Za i</w:t>
            </w:r>
            <w:r w:rsidRPr="00EF7F33">
              <w:rPr>
                <w:rFonts w:ascii="Times New Roman" w:hAnsi="Times New Roman"/>
                <w:sz w:val="24"/>
              </w:rPr>
              <w:t>z</w:t>
            </w:r>
            <w:r w:rsidRPr="00EF7F33">
              <w:rPr>
                <w:rFonts w:ascii="Times New Roman" w:hAnsi="Times New Roman"/>
                <w:sz w:val="24"/>
              </w:rPr>
              <w:t xml:space="preserve">loženosti prema stanovništvu vidjeti članak 164. stavak 2. CRR-a. </w:t>
            </w:r>
          </w:p>
          <w:p w:rsidR="001C7AB7" w:rsidRPr="00EF7F33" w:rsidRDefault="001C7AB7" w:rsidP="00255BA9">
            <w:pPr>
              <w:rPr>
                <w:rFonts w:ascii="Times New Roman" w:hAnsi="Times New Roman"/>
                <w:b/>
                <w:sz w:val="24"/>
                <w:u w:val="single"/>
              </w:rPr>
            </w:pPr>
            <w:r w:rsidRPr="00EF7F33">
              <w:rPr>
                <w:rFonts w:ascii="Times New Roman" w:hAnsi="Times New Roman"/>
                <w:sz w:val="24"/>
              </w:rPr>
              <w:t>- u pogledu kolaterala kao materijalne kreditne zaštite koji je uzet u obzir u procjenama LGD-a u skladu s člankom 181. stavkom 1. točkama (e) i (f) CRR-a.</w:t>
            </w:r>
          </w:p>
        </w:tc>
      </w:tr>
      <w:tr w:rsidR="001C7AB7" w:rsidRPr="00EF7F33" w:rsidTr="00672D2A">
        <w:trPr>
          <w:trHeight w:val="957"/>
        </w:trPr>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150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 xml:space="preserve">JAMSTVA </w:t>
            </w:r>
          </w:p>
          <w:p w:rsidR="001C7AB7" w:rsidRPr="00EF7F33" w:rsidRDefault="001C7AB7" w:rsidP="001C7AB7">
            <w:pPr>
              <w:jc w:val="left"/>
              <w:rPr>
                <w:rFonts w:ascii="Times New Roman" w:hAnsi="Times New Roman"/>
                <w:b/>
                <w:sz w:val="24"/>
                <w:u w:val="single"/>
              </w:rPr>
            </w:pPr>
            <w:r w:rsidRPr="00EF7F33">
              <w:rPr>
                <w:rFonts w:ascii="Times New Roman" w:hAnsi="Times New Roman"/>
                <w:sz w:val="24"/>
              </w:rPr>
              <w:t>Vidjeti upute za stupac 040.</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160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 xml:space="preserve">KREDITNE IZVEDENICE </w:t>
            </w:r>
          </w:p>
          <w:p w:rsidR="001C7AB7" w:rsidRPr="00EF7F33" w:rsidRDefault="001C7AB7" w:rsidP="001C7AB7">
            <w:pPr>
              <w:rPr>
                <w:rFonts w:ascii="Times New Roman" w:hAnsi="Times New Roman"/>
                <w:sz w:val="24"/>
              </w:rPr>
            </w:pPr>
            <w:r w:rsidRPr="00EF7F33">
              <w:rPr>
                <w:rFonts w:ascii="Times New Roman" w:hAnsi="Times New Roman"/>
                <w:sz w:val="24"/>
              </w:rPr>
              <w:t>Vidjeti upute za stupac 050.</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170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UPOTREBLJAVAJU SE VLASTITE PROCJENE LGD-a: OSTALA MATER</w:t>
            </w:r>
            <w:r w:rsidRPr="00EF7F33">
              <w:rPr>
                <w:rFonts w:ascii="Times New Roman" w:hAnsi="Times New Roman"/>
                <w:b/>
                <w:sz w:val="24"/>
                <w:u w:val="single"/>
              </w:rPr>
              <w:t>I</w:t>
            </w:r>
            <w:r w:rsidRPr="00EF7F33">
              <w:rPr>
                <w:rFonts w:ascii="Times New Roman" w:hAnsi="Times New Roman"/>
                <w:b/>
                <w:sz w:val="24"/>
                <w:u w:val="single"/>
              </w:rPr>
              <w:t xml:space="preserve">JALNA KREDITNA ZAŠTITA </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lastRenderedPageBreak/>
              <w:t>Relevantna vrijednosti korištena u internim modelima institucije.</w:t>
            </w:r>
          </w:p>
          <w:p w:rsidR="001C7AB7" w:rsidRPr="00EF7F33" w:rsidRDefault="001C7AB7" w:rsidP="00255BA9">
            <w:pPr>
              <w:rPr>
                <w:rFonts w:ascii="Times New Roman" w:hAnsi="Times New Roman"/>
                <w:sz w:val="24"/>
              </w:rPr>
            </w:pPr>
            <w:r w:rsidRPr="00EF7F33">
              <w:rPr>
                <w:rFonts w:ascii="Times New Roman" w:hAnsi="Times New Roman"/>
                <w:sz w:val="24"/>
              </w:rPr>
              <w:t xml:space="preserve">Faktori smanjenja kreditnog rizika koji ispunjavaju kriterije iz članka 212. CRR-a. </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180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PRIZNATI FINANCIJSKI KOLATERAL</w:t>
            </w:r>
          </w:p>
          <w:p w:rsidR="001C7AB7" w:rsidRPr="00EF7F33" w:rsidRDefault="001C7AB7" w:rsidP="001C7AB7">
            <w:pPr>
              <w:rPr>
                <w:rFonts w:ascii="Times New Roman" w:hAnsi="Times New Roman"/>
                <w:sz w:val="24"/>
              </w:rPr>
            </w:pPr>
            <w:r w:rsidRPr="00EF7F33">
              <w:rPr>
                <w:rFonts w:ascii="Times New Roman" w:hAnsi="Times New Roman"/>
                <w:sz w:val="24"/>
              </w:rPr>
              <w:t>Za poslove iz knjige trgovanja uključuje financijske instrumente i robu priznate za izl</w:t>
            </w:r>
            <w:r w:rsidRPr="00EF7F33">
              <w:rPr>
                <w:rFonts w:ascii="Times New Roman" w:hAnsi="Times New Roman"/>
                <w:sz w:val="24"/>
              </w:rPr>
              <w:t>o</w:t>
            </w:r>
            <w:r w:rsidRPr="00EF7F33">
              <w:rPr>
                <w:rFonts w:ascii="Times New Roman" w:hAnsi="Times New Roman"/>
                <w:sz w:val="24"/>
              </w:rPr>
              <w:t>ženosti iz knjige trgovanja u skladu s člankom 299. stavkom 2. točkama od (c) do (f) CRR-a. Kreditni zapisi i bilančno netiranje u skladu s dijelom 3. glavom II. poglavljem 4. odjeljkom 4. CRR-a tretiraju se kao gotovinski kolateral.</w:t>
            </w:r>
          </w:p>
          <w:p w:rsidR="001C7AB7" w:rsidRPr="00EF7F33" w:rsidRDefault="001C7AB7" w:rsidP="001C7AB7">
            <w:pPr>
              <w:rPr>
                <w:rFonts w:ascii="Times New Roman" w:hAnsi="Times New Roman"/>
                <w:sz w:val="24"/>
              </w:rPr>
            </w:pPr>
            <w:r w:rsidRPr="00EF7F33">
              <w:rPr>
                <w:rFonts w:ascii="Times New Roman" w:hAnsi="Times New Roman"/>
                <w:sz w:val="24"/>
              </w:rPr>
              <w:t>Ako se ne primjenjuju vlastite procjene LGD-a: vrijednosti u skladu s člankom 193. sta</w:t>
            </w:r>
            <w:r w:rsidRPr="00EF7F33">
              <w:rPr>
                <w:rFonts w:ascii="Times New Roman" w:hAnsi="Times New Roman"/>
                <w:sz w:val="24"/>
              </w:rPr>
              <w:t>v</w:t>
            </w:r>
            <w:r w:rsidRPr="00EF7F33">
              <w:rPr>
                <w:rFonts w:ascii="Times New Roman" w:hAnsi="Times New Roman"/>
                <w:sz w:val="24"/>
              </w:rPr>
              <w:t>cima od 1. do 4. i člankom 194. stavkom 1. CRR-a. Iskazuje se prilagođena vrijednost (Cvam) kako je određena u članku 223. stavku 2. CRR-a.</w:t>
            </w:r>
          </w:p>
          <w:p w:rsidR="001C7AB7" w:rsidRPr="00EF7F33" w:rsidRDefault="001C7AB7" w:rsidP="00902EFC">
            <w:pPr>
              <w:rPr>
                <w:rFonts w:ascii="Times New Roman" w:hAnsi="Times New Roman"/>
                <w:b/>
                <w:sz w:val="24"/>
                <w:u w:val="single"/>
              </w:rPr>
            </w:pPr>
            <w:r w:rsidRPr="00EF7F33">
              <w:rPr>
                <w:rFonts w:ascii="Times New Roman" w:hAnsi="Times New Roman"/>
                <w:sz w:val="24"/>
              </w:rPr>
              <w:t>Ako se primjenjuju vlastite procjene LGD-a: financijski kolateral koji je uzet u obzir u procjenama LGD-a u skladu s člankom 181. stavkom 1. točkama (e) i (f) CRR-a. Iznos koji je potrebno iskazati procijenjena je tržišna vrijednost kolaterala.</w:t>
            </w:r>
          </w:p>
        </w:tc>
      </w:tr>
      <w:tr w:rsidR="001C7AB7" w:rsidRPr="00EF7F33" w:rsidTr="00672D2A">
        <w:tc>
          <w:tcPr>
            <w:tcW w:w="1188" w:type="dxa"/>
          </w:tcPr>
          <w:p w:rsidR="001C7AB7" w:rsidRPr="00EF7F33" w:rsidDel="001D4BE0" w:rsidRDefault="001C7AB7" w:rsidP="001C7AB7">
            <w:pPr>
              <w:rPr>
                <w:rFonts w:ascii="Times New Roman" w:hAnsi="Times New Roman"/>
                <w:sz w:val="24"/>
              </w:rPr>
            </w:pPr>
            <w:r w:rsidRPr="00EF7F33">
              <w:rPr>
                <w:rFonts w:ascii="Times New Roman" w:hAnsi="Times New Roman"/>
                <w:sz w:val="24"/>
              </w:rPr>
              <w:t>190-210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OSTALI PRIZNATI KOLATERAL</w:t>
            </w:r>
          </w:p>
          <w:p w:rsidR="001C7AB7" w:rsidRPr="00EF7F33" w:rsidRDefault="00C61FF5" w:rsidP="001C7AB7">
            <w:pPr>
              <w:rPr>
                <w:rFonts w:ascii="Times New Roman" w:hAnsi="Times New Roman"/>
                <w:sz w:val="24"/>
              </w:rPr>
            </w:pPr>
            <w:r w:rsidRPr="00EF7F33">
              <w:rPr>
                <w:rFonts w:ascii="Times New Roman" w:hAnsi="Times New Roman"/>
                <w:sz w:val="24"/>
              </w:rPr>
              <w:t>Ako se ne primjenjuju vlastite procjene LGD-a: članak 199. stavci od 1. do 8. CRR-a i članak 229. CRR-a.</w:t>
            </w:r>
          </w:p>
          <w:p w:rsidR="001C7AB7" w:rsidRPr="00EF7F33" w:rsidRDefault="00C61FF5" w:rsidP="00C61FF5">
            <w:pPr>
              <w:rPr>
                <w:rFonts w:ascii="Times New Roman" w:hAnsi="Times New Roman"/>
                <w:b/>
                <w:sz w:val="24"/>
                <w:u w:val="single"/>
              </w:rPr>
            </w:pPr>
            <w:r w:rsidRPr="00EF7F33">
              <w:rPr>
                <w:rFonts w:ascii="Times New Roman" w:hAnsi="Times New Roman"/>
                <w:sz w:val="24"/>
              </w:rPr>
              <w:t>Ako se primjenjuju vlastite procjene LGD-a: ostali kolateral koji je uzet u obzir u procj</w:t>
            </w:r>
            <w:r w:rsidRPr="00EF7F33">
              <w:rPr>
                <w:rFonts w:ascii="Times New Roman" w:hAnsi="Times New Roman"/>
                <w:sz w:val="24"/>
              </w:rPr>
              <w:t>e</w:t>
            </w:r>
            <w:r w:rsidRPr="00EF7F33">
              <w:rPr>
                <w:rFonts w:ascii="Times New Roman" w:hAnsi="Times New Roman"/>
                <w:sz w:val="24"/>
              </w:rPr>
              <w:t>nama LGD-a u skladu s člankom 181. stavkom 1. točkama (e) i (f) CRR-a.</w:t>
            </w:r>
          </w:p>
        </w:tc>
      </w:tr>
      <w:tr w:rsidR="001C7AB7" w:rsidRPr="00EF7F33" w:rsidTr="00672D2A">
        <w:tc>
          <w:tcPr>
            <w:tcW w:w="1188" w:type="dxa"/>
          </w:tcPr>
          <w:p w:rsidR="001C7AB7" w:rsidRPr="00EF7F33" w:rsidRDefault="001C7AB7" w:rsidP="00C61FF5">
            <w:pPr>
              <w:spacing w:line="240" w:lineRule="exact"/>
              <w:rPr>
                <w:rFonts w:ascii="Times New Roman" w:hAnsi="Times New Roman"/>
                <w:sz w:val="24"/>
              </w:rPr>
            </w:pPr>
            <w:r w:rsidRPr="00EF7F33">
              <w:rPr>
                <w:rFonts w:ascii="Times New Roman" w:hAnsi="Times New Roman"/>
                <w:sz w:val="24"/>
              </w:rPr>
              <w:t>190</w:t>
            </w:r>
          </w:p>
        </w:tc>
        <w:tc>
          <w:tcPr>
            <w:tcW w:w="8843" w:type="dxa"/>
          </w:tcPr>
          <w:p w:rsidR="001C7AB7" w:rsidRPr="00EF7F33" w:rsidRDefault="001C7AB7" w:rsidP="00C61FF5">
            <w:pPr>
              <w:spacing w:line="240" w:lineRule="exact"/>
              <w:rPr>
                <w:rFonts w:ascii="Times New Roman" w:hAnsi="Times New Roman"/>
                <w:sz w:val="24"/>
              </w:rPr>
            </w:pPr>
            <w:r w:rsidRPr="00EF7F33">
              <w:rPr>
                <w:rFonts w:ascii="Times New Roman" w:hAnsi="Times New Roman"/>
                <w:b/>
                <w:sz w:val="24"/>
                <w:u w:val="single"/>
              </w:rPr>
              <w:t>NEKRETNINA</w:t>
            </w:r>
          </w:p>
          <w:p w:rsidR="001C7AB7" w:rsidRPr="00EF7F33" w:rsidRDefault="00C61FF5" w:rsidP="00C61FF5">
            <w:pPr>
              <w:spacing w:line="240" w:lineRule="exact"/>
              <w:rPr>
                <w:rFonts w:ascii="Times New Roman" w:hAnsi="Times New Roman"/>
                <w:sz w:val="24"/>
              </w:rPr>
            </w:pPr>
            <w:r w:rsidRPr="00EF7F33">
              <w:rPr>
                <w:rFonts w:ascii="Times New Roman" w:hAnsi="Times New Roman"/>
                <w:sz w:val="24"/>
              </w:rPr>
              <w:t>Ako se ne primjenjuju vlastite procjene LGD-a, iskazuju se vrijednosti u skladu s čla</w:t>
            </w:r>
            <w:r w:rsidRPr="00EF7F33">
              <w:rPr>
                <w:rFonts w:ascii="Times New Roman" w:hAnsi="Times New Roman"/>
                <w:sz w:val="24"/>
              </w:rPr>
              <w:t>n</w:t>
            </w:r>
            <w:r w:rsidRPr="00EF7F33">
              <w:rPr>
                <w:rFonts w:ascii="Times New Roman" w:hAnsi="Times New Roman"/>
                <w:sz w:val="24"/>
              </w:rPr>
              <w:t>kom 199. stavcima od 2. do 4. CRR-a. Uključen je i najam nekretnine (vidjeti članak 199. stavak 7. CRR-a). Vidjeti članak 229. CRR-a.</w:t>
            </w:r>
          </w:p>
          <w:p w:rsidR="001C7AB7" w:rsidRPr="00EF7F33" w:rsidRDefault="001C7AB7" w:rsidP="00C61FF5">
            <w:pPr>
              <w:spacing w:line="240" w:lineRule="exact"/>
              <w:rPr>
                <w:rFonts w:ascii="Times New Roman" w:hAnsi="Times New Roman"/>
                <w:sz w:val="24"/>
              </w:rPr>
            </w:pPr>
            <w:r w:rsidRPr="00EF7F33">
              <w:rPr>
                <w:rFonts w:ascii="Times New Roman" w:hAnsi="Times New Roman"/>
                <w:sz w:val="24"/>
              </w:rPr>
              <w:t>Ako se primjenjuju vlastite procjene LGD-a, iznos koji je potrebno iskazati procijenjena je tržišna vrijednost.</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200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KOLATERAL U OBLIKU OSTALE MATERIJALNE IMOVINE</w:t>
            </w:r>
          </w:p>
          <w:p w:rsidR="001C7AB7" w:rsidRPr="00EF7F33" w:rsidRDefault="00C61FF5" w:rsidP="001C7AB7">
            <w:pPr>
              <w:rPr>
                <w:rFonts w:ascii="Times New Roman" w:hAnsi="Times New Roman"/>
                <w:sz w:val="24"/>
              </w:rPr>
            </w:pPr>
            <w:r w:rsidRPr="00EF7F33">
              <w:rPr>
                <w:rFonts w:ascii="Times New Roman" w:hAnsi="Times New Roman"/>
                <w:sz w:val="24"/>
              </w:rPr>
              <w:t>Ako se ne primjenjuju vlastite procjene LGD-a, iskazuju se vrijednosti u skladu s čla</w:t>
            </w:r>
            <w:r w:rsidRPr="00EF7F33">
              <w:rPr>
                <w:rFonts w:ascii="Times New Roman" w:hAnsi="Times New Roman"/>
                <w:sz w:val="24"/>
              </w:rPr>
              <w:t>n</w:t>
            </w:r>
            <w:r w:rsidRPr="00EF7F33">
              <w:rPr>
                <w:rFonts w:ascii="Times New Roman" w:hAnsi="Times New Roman"/>
                <w:sz w:val="24"/>
              </w:rPr>
              <w:t>kom 199. stavcima 6. i 8. CRR-a. Uključen je i najam imovine koja nije nekretnina (vi</w:t>
            </w:r>
            <w:r w:rsidRPr="00EF7F33">
              <w:rPr>
                <w:rFonts w:ascii="Times New Roman" w:hAnsi="Times New Roman"/>
                <w:sz w:val="24"/>
              </w:rPr>
              <w:t>d</w:t>
            </w:r>
            <w:r w:rsidRPr="00EF7F33">
              <w:rPr>
                <w:rFonts w:ascii="Times New Roman" w:hAnsi="Times New Roman"/>
                <w:sz w:val="24"/>
              </w:rPr>
              <w:t xml:space="preserve">jeti članak 199. stavak 7. CRR-a). Vidjeti članak 229. stavak 3. CRR-a. </w:t>
            </w:r>
          </w:p>
          <w:p w:rsidR="001C7AB7" w:rsidRPr="00EF7F33" w:rsidRDefault="00C61FF5" w:rsidP="00C61FF5">
            <w:pPr>
              <w:rPr>
                <w:rFonts w:ascii="Times New Roman" w:hAnsi="Times New Roman"/>
                <w:b/>
                <w:sz w:val="24"/>
                <w:u w:val="single"/>
              </w:rPr>
            </w:pPr>
            <w:r w:rsidRPr="00EF7F33">
              <w:rPr>
                <w:rFonts w:ascii="Times New Roman" w:hAnsi="Times New Roman"/>
                <w:sz w:val="24"/>
              </w:rPr>
              <w:t>Ako se primjenjuju vlastite procjene LGD-a, iznos koji je potrebno iskazati procijenjena je tržišna vrijednost kolaterala.</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210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POTRAŽIVANJA</w:t>
            </w:r>
          </w:p>
          <w:p w:rsidR="001C7AB7" w:rsidRPr="00EF7F33" w:rsidRDefault="001C7AB7" w:rsidP="001C7AB7">
            <w:pPr>
              <w:rPr>
                <w:rFonts w:ascii="Times New Roman" w:hAnsi="Times New Roman"/>
                <w:sz w:val="24"/>
              </w:rPr>
            </w:pPr>
            <w:r w:rsidRPr="00EF7F33">
              <w:rPr>
                <w:rFonts w:ascii="Times New Roman" w:hAnsi="Times New Roman"/>
                <w:sz w:val="24"/>
              </w:rPr>
              <w:t>Ako se ne primjenjuju vlastite procjene LGD-a, iskazuju se vrijednosti u skladu s čla</w:t>
            </w:r>
            <w:r w:rsidRPr="00EF7F33">
              <w:rPr>
                <w:rFonts w:ascii="Times New Roman" w:hAnsi="Times New Roman"/>
                <w:sz w:val="24"/>
              </w:rPr>
              <w:t>n</w:t>
            </w:r>
            <w:r w:rsidRPr="00EF7F33">
              <w:rPr>
                <w:rFonts w:ascii="Times New Roman" w:hAnsi="Times New Roman"/>
                <w:sz w:val="24"/>
              </w:rPr>
              <w:t>kom 199. stavkom 5. i člankom 229. stavkom 2. CRR-a.</w:t>
            </w:r>
          </w:p>
          <w:p w:rsidR="001C7AB7" w:rsidRPr="00EF7F33" w:rsidRDefault="001C7AB7" w:rsidP="001C7AB7">
            <w:pPr>
              <w:rPr>
                <w:rFonts w:ascii="Times New Roman" w:hAnsi="Times New Roman"/>
                <w:b/>
                <w:sz w:val="24"/>
                <w:u w:val="single"/>
              </w:rPr>
            </w:pPr>
            <w:r w:rsidRPr="00EF7F33">
              <w:rPr>
                <w:rFonts w:ascii="Times New Roman" w:hAnsi="Times New Roman"/>
                <w:sz w:val="24"/>
              </w:rPr>
              <w:t>Ako se primjenjuju vlastite procjene LGD-a, iznos koji je potrebno iskazati procijenjena je tržišna vrijednost kolaterala.</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220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PODLOŽNO TRETMANU DVOSTRUKOG STATUSA NEISPUNJAVANJA O</w:t>
            </w:r>
            <w:r w:rsidRPr="00EF7F33">
              <w:rPr>
                <w:rFonts w:ascii="Times New Roman" w:hAnsi="Times New Roman"/>
                <w:b/>
                <w:sz w:val="24"/>
                <w:u w:val="single"/>
              </w:rPr>
              <w:t>B</w:t>
            </w:r>
            <w:r w:rsidRPr="00EF7F33">
              <w:rPr>
                <w:rFonts w:ascii="Times New Roman" w:hAnsi="Times New Roman"/>
                <w:b/>
                <w:sz w:val="24"/>
                <w:u w:val="single"/>
              </w:rPr>
              <w:t>VEZA: NEMATERIJALNA KREDITNA ZAŠTITA</w:t>
            </w:r>
          </w:p>
          <w:p w:rsidR="001C7AB7" w:rsidRPr="00EF7F33" w:rsidRDefault="001C7AB7" w:rsidP="00902EFC">
            <w:pPr>
              <w:rPr>
                <w:rFonts w:ascii="Times New Roman" w:hAnsi="Times New Roman"/>
                <w:b/>
                <w:sz w:val="24"/>
                <w:u w:val="single"/>
              </w:rPr>
            </w:pPr>
            <w:r w:rsidRPr="00EF7F33">
              <w:rPr>
                <w:rFonts w:ascii="Times New Roman" w:hAnsi="Times New Roman"/>
                <w:sz w:val="24"/>
              </w:rPr>
              <w:t>Jamstva i kreditne izvedenice kojima su obuhvaćene izloženosti koje podliježu tretmanu dvostrukog statusa neispunjavanja obveza u skladu s člankom 202. i člankom 217. sta</w:t>
            </w:r>
            <w:r w:rsidRPr="00EF7F33">
              <w:rPr>
                <w:rFonts w:ascii="Times New Roman" w:hAnsi="Times New Roman"/>
                <w:sz w:val="24"/>
              </w:rPr>
              <w:t>v</w:t>
            </w:r>
            <w:r w:rsidRPr="00EF7F33">
              <w:rPr>
                <w:rFonts w:ascii="Times New Roman" w:hAnsi="Times New Roman"/>
                <w:sz w:val="24"/>
              </w:rPr>
              <w:lastRenderedPageBreak/>
              <w:t xml:space="preserve">kom 1. CRR-a. Vidjeti i stupce 040 „Jamstva” i 050 „Kreditne izvedenice”. </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230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PROSJEČNI LGD PONDERIRAN VISINOM IZLOŽENOSTI (%)</w:t>
            </w:r>
          </w:p>
          <w:p w:rsidR="001C7AB7" w:rsidRPr="00EF7F33" w:rsidRDefault="001C7AB7" w:rsidP="001C7AB7">
            <w:pPr>
              <w:rPr>
                <w:rFonts w:ascii="Times New Roman" w:hAnsi="Times New Roman"/>
                <w:sz w:val="24"/>
              </w:rPr>
            </w:pPr>
            <w:r w:rsidRPr="00EF7F33">
              <w:rPr>
                <w:rFonts w:ascii="Times New Roman" w:hAnsi="Times New Roman"/>
                <w:sz w:val="24"/>
              </w:rPr>
              <w:t>U obzir se uzima cjelokupan utjecaj tehnika smanjenja kreditnog rizika na vrijednosti LGD-a kako je određeno u dijelu 3. glavi II. poglavljima 3. i 4. CRR-a. U slučaju izlož</w:t>
            </w:r>
            <w:r w:rsidRPr="00EF7F33">
              <w:rPr>
                <w:rFonts w:ascii="Times New Roman" w:hAnsi="Times New Roman"/>
                <w:sz w:val="24"/>
              </w:rPr>
              <w:t>e</w:t>
            </w:r>
            <w:r w:rsidRPr="00EF7F33">
              <w:rPr>
                <w:rFonts w:ascii="Times New Roman" w:hAnsi="Times New Roman"/>
                <w:sz w:val="24"/>
              </w:rPr>
              <w:t>nosti koje podliježu tretmanu dvostrukog statusa neispunjavanja obveza, LGD koji je po</w:t>
            </w:r>
            <w:r w:rsidRPr="00EF7F33">
              <w:rPr>
                <w:rFonts w:ascii="Times New Roman" w:hAnsi="Times New Roman"/>
                <w:sz w:val="24"/>
              </w:rPr>
              <w:t>t</w:t>
            </w:r>
            <w:r w:rsidRPr="00EF7F33">
              <w:rPr>
                <w:rFonts w:ascii="Times New Roman" w:hAnsi="Times New Roman"/>
                <w:sz w:val="24"/>
              </w:rPr>
              <w:t>rebno iskazati odgovara LGD-u odabranom u skladu s člankom 161. stavkom 4. CRR-a.</w:t>
            </w:r>
          </w:p>
          <w:p w:rsidR="001C7AB7" w:rsidRPr="00EF7F33" w:rsidRDefault="001C7AB7" w:rsidP="001C7AB7">
            <w:pPr>
              <w:rPr>
                <w:rFonts w:ascii="Times New Roman" w:hAnsi="Times New Roman"/>
                <w:sz w:val="24"/>
              </w:rPr>
            </w:pPr>
            <w:r w:rsidRPr="00EF7F33">
              <w:rPr>
                <w:rFonts w:ascii="Times New Roman" w:hAnsi="Times New Roman"/>
                <w:sz w:val="24"/>
              </w:rPr>
              <w:t>Za izloženosti sa statusom neispunjavanja obveza u obzir se uzimaju odredbe članka 181. stavka 1. točke (h) CRR-a.</w:t>
            </w:r>
          </w:p>
          <w:p w:rsidR="001C7AB7" w:rsidRPr="00EF7F33" w:rsidRDefault="001C7AB7" w:rsidP="001C7AB7">
            <w:pPr>
              <w:rPr>
                <w:rFonts w:ascii="Times New Roman" w:hAnsi="Times New Roman"/>
                <w:sz w:val="24"/>
              </w:rPr>
            </w:pPr>
            <w:r w:rsidRPr="00EF7F33">
              <w:rPr>
                <w:rFonts w:ascii="Times New Roman" w:hAnsi="Times New Roman"/>
                <w:sz w:val="24"/>
              </w:rPr>
              <w:t>Definicija vrijednosti izloženosti iz stupca 110 upotrebljava se za izračun izloženošću ponderiranih prosjeka.</w:t>
            </w:r>
          </w:p>
          <w:p w:rsidR="001C7AB7" w:rsidRPr="00EF7F33" w:rsidRDefault="001C7AB7" w:rsidP="001C7AB7">
            <w:pPr>
              <w:rPr>
                <w:rFonts w:ascii="Times New Roman" w:hAnsi="Times New Roman"/>
                <w:sz w:val="24"/>
              </w:rPr>
            </w:pPr>
            <w:r w:rsidRPr="00EF7F33">
              <w:rPr>
                <w:rFonts w:ascii="Times New Roman" w:hAnsi="Times New Roman"/>
                <w:sz w:val="24"/>
              </w:rPr>
              <w:t>U obzir se uzimaju svi učinci (tako da se prag koji se primjenjuje na hipoteke uključuje u izvješćivanje).</w:t>
            </w:r>
          </w:p>
          <w:p w:rsidR="001C7AB7" w:rsidRPr="00EF7F33" w:rsidRDefault="001C7AB7" w:rsidP="001C7AB7">
            <w:pPr>
              <w:rPr>
                <w:rFonts w:ascii="Times New Roman" w:hAnsi="Times New Roman"/>
                <w:sz w:val="24"/>
              </w:rPr>
            </w:pPr>
            <w:r w:rsidRPr="00EF7F33">
              <w:rPr>
                <w:rFonts w:ascii="Times New Roman" w:hAnsi="Times New Roman"/>
                <w:sz w:val="24"/>
              </w:rPr>
              <w:t>Za institucije koje primjenjuju IRB pristup, ali ne primjenjuju vlastite procjene LGD-a, učinci smanjenja rizika financijskog kolaterala odražavaju se u E*, potpuno prilagođenoj vrijednosti izloženosti, a zatim u LGD* u skladu s člankom 228. stavkom 2. CRR-a.</w:t>
            </w:r>
          </w:p>
          <w:p w:rsidR="001C7AB7" w:rsidRPr="00EF7F33" w:rsidRDefault="001C7AB7" w:rsidP="001C7AB7">
            <w:pPr>
              <w:rPr>
                <w:rFonts w:ascii="Times New Roman" w:hAnsi="Times New Roman"/>
                <w:sz w:val="24"/>
              </w:rPr>
            </w:pPr>
            <w:r w:rsidRPr="00EF7F33">
              <w:rPr>
                <w:rFonts w:ascii="Times New Roman" w:hAnsi="Times New Roman"/>
                <w:sz w:val="24"/>
              </w:rPr>
              <w:t>Prosječni LGD ponderiran visinom izloženosti povezan sa svakim PD-om raspoređenim u „rejting-kategoriju dužnika ili skup izloženosti” proizlazi iz prosjeka bonitetnih LGD-ova raspoređenih u izloženosti tog PD-a raspoređenog u rejting-kategoriju / skup, pond</w:t>
            </w:r>
            <w:r w:rsidRPr="00EF7F33">
              <w:rPr>
                <w:rFonts w:ascii="Times New Roman" w:hAnsi="Times New Roman"/>
                <w:sz w:val="24"/>
              </w:rPr>
              <w:t>e</w:t>
            </w:r>
            <w:r w:rsidRPr="00EF7F33">
              <w:rPr>
                <w:rFonts w:ascii="Times New Roman" w:hAnsi="Times New Roman"/>
                <w:sz w:val="24"/>
              </w:rPr>
              <w:t>riranih odgovarajućom vrijednosti izloženosti iz stupca 110.</w:t>
            </w:r>
          </w:p>
          <w:p w:rsidR="001C7AB7" w:rsidRPr="00EF7F33" w:rsidRDefault="001C7AB7" w:rsidP="001C7AB7">
            <w:pPr>
              <w:rPr>
                <w:rFonts w:ascii="Times New Roman" w:hAnsi="Times New Roman"/>
                <w:sz w:val="24"/>
              </w:rPr>
            </w:pPr>
            <w:r w:rsidRPr="00EF7F33">
              <w:rPr>
                <w:rFonts w:ascii="Times New Roman" w:hAnsi="Times New Roman"/>
                <w:sz w:val="24"/>
              </w:rPr>
              <w:t>Ako se ne primjenjuju vlastite procjene LGD-a, u obzir se uzima članak 175. i članak 181. stavci 1. i 2. CRR-a.</w:t>
            </w:r>
          </w:p>
          <w:p w:rsidR="001C7AB7" w:rsidRPr="00EF7F33" w:rsidRDefault="001C7AB7" w:rsidP="001C7AB7">
            <w:pPr>
              <w:rPr>
                <w:rFonts w:ascii="Times New Roman" w:hAnsi="Times New Roman"/>
                <w:sz w:val="24"/>
              </w:rPr>
            </w:pPr>
            <w:r w:rsidRPr="00EF7F33">
              <w:rPr>
                <w:rFonts w:ascii="Times New Roman" w:hAnsi="Times New Roman"/>
                <w:sz w:val="24"/>
              </w:rPr>
              <w:t>U slučaju izloženosti koje podliježu tretmanu dvostrukog statusa neispunjavanja obveza, LGD koji je potrebno iskazati odgovara LGD-u odabranom u skladu s člankom 161. stavkom 4. CRR-a.</w:t>
            </w:r>
          </w:p>
          <w:p w:rsidR="001C7AB7" w:rsidRPr="00EF7F33" w:rsidRDefault="001C7AB7" w:rsidP="001C7AB7">
            <w:pPr>
              <w:rPr>
                <w:rFonts w:ascii="Times New Roman" w:hAnsi="Times New Roman"/>
                <w:sz w:val="24"/>
              </w:rPr>
            </w:pPr>
            <w:r w:rsidRPr="00EF7F33">
              <w:rPr>
                <w:rFonts w:ascii="Times New Roman" w:hAnsi="Times New Roman"/>
                <w:sz w:val="24"/>
              </w:rPr>
              <w:t>Izračun prosječnog LGD-a ponderiranog visinom izloženosti proizlazi iz parametara koji su stvarno upotrijebljeni u internom rejting-sustavu koji je odobrilo odgovarajuće nadle</w:t>
            </w:r>
            <w:r w:rsidRPr="00EF7F33">
              <w:rPr>
                <w:rFonts w:ascii="Times New Roman" w:hAnsi="Times New Roman"/>
                <w:sz w:val="24"/>
              </w:rPr>
              <w:t>ž</w:t>
            </w:r>
            <w:r w:rsidRPr="00EF7F33">
              <w:rPr>
                <w:rFonts w:ascii="Times New Roman" w:hAnsi="Times New Roman"/>
                <w:sz w:val="24"/>
              </w:rPr>
              <w:t>no tijelo.</w:t>
            </w:r>
          </w:p>
          <w:p w:rsidR="001C7AB7" w:rsidRPr="00EF7F33" w:rsidRDefault="00224FE5" w:rsidP="001C7AB7">
            <w:pPr>
              <w:rPr>
                <w:rFonts w:ascii="Times New Roman" w:hAnsi="Times New Roman"/>
                <w:sz w:val="24"/>
              </w:rPr>
            </w:pPr>
            <w:r w:rsidRPr="00EF7F33">
              <w:rPr>
                <w:rFonts w:ascii="Times New Roman" w:hAnsi="Times New Roman"/>
                <w:sz w:val="24"/>
              </w:rPr>
              <w:t>Podaci se ne iskazuju za izloženosti u obliku specijaliziranog financiranja iz članka 153. stavka 5.</w:t>
            </w:r>
          </w:p>
          <w:p w:rsidR="001C7AB7" w:rsidRPr="00EF7F33" w:rsidRDefault="001C7AB7" w:rsidP="001C7AB7">
            <w:pPr>
              <w:rPr>
                <w:rFonts w:ascii="Times New Roman" w:hAnsi="Times New Roman"/>
                <w:sz w:val="24"/>
              </w:rPr>
            </w:pPr>
            <w:r w:rsidRPr="00EF7F33">
              <w:rPr>
                <w:rFonts w:ascii="Times New Roman" w:hAnsi="Times New Roman"/>
                <w:sz w:val="24"/>
              </w:rPr>
              <w:t xml:space="preserve">Izloženost i odgovarajući LGD-ovi za velike regulirane subjekte financijskog sektora i neregulirane financijske subjekte ne uključuju se u izračun stupca 230, nego se uključuju samo u izračun stupca 240. </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240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PROSJEČNI LGD PONDERIRAN VISINOM IZLOŽENOSTI (%) ZA VELIKE SUBJEKTE FINANCIJSKOG SEKTORA I NEREGULIRANE FINANCIJSKE SUBJEKTE</w:t>
            </w:r>
          </w:p>
          <w:p w:rsidR="001C7AB7" w:rsidRPr="00EF7F33" w:rsidRDefault="001C7AB7" w:rsidP="001C7AB7">
            <w:pPr>
              <w:rPr>
                <w:rFonts w:ascii="Times New Roman" w:hAnsi="Times New Roman"/>
                <w:sz w:val="24"/>
              </w:rPr>
            </w:pPr>
            <w:r w:rsidRPr="00EF7F33">
              <w:rPr>
                <w:rFonts w:ascii="Times New Roman" w:hAnsi="Times New Roman"/>
                <w:sz w:val="24"/>
              </w:rPr>
              <w:t>Prosječni LGD ponderiran visinom izloženosti (%) za sve izloženosti definirane u skladu s člankom 142. stavcima 4 i 5. CRR-a na koje se primjenjuje viši koeficijent korelacije u skladu s člankom 153. stavkom 2. CRR-a.</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250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PROSJEČNO DOSPIJEĆE PONDERIRANO IZNOSOM IZLOŽENOSTI (U D</w:t>
            </w:r>
            <w:r w:rsidRPr="00EF7F33">
              <w:rPr>
                <w:rFonts w:ascii="Times New Roman" w:hAnsi="Times New Roman"/>
                <w:b/>
                <w:sz w:val="24"/>
                <w:u w:val="single"/>
              </w:rPr>
              <w:t>A</w:t>
            </w:r>
            <w:r w:rsidRPr="00EF7F33">
              <w:rPr>
                <w:rFonts w:ascii="Times New Roman" w:hAnsi="Times New Roman"/>
                <w:b/>
                <w:sz w:val="24"/>
                <w:u w:val="single"/>
              </w:rPr>
              <w:t>NIMA)</w:t>
            </w:r>
          </w:p>
          <w:p w:rsidR="001C7AB7" w:rsidRPr="00EF7F33" w:rsidRDefault="001C7AB7" w:rsidP="001C7AB7">
            <w:pPr>
              <w:rPr>
                <w:rFonts w:ascii="Times New Roman" w:hAnsi="Times New Roman"/>
                <w:sz w:val="24"/>
              </w:rPr>
            </w:pPr>
            <w:r w:rsidRPr="00EF7F33">
              <w:rPr>
                <w:rFonts w:ascii="Times New Roman" w:hAnsi="Times New Roman"/>
                <w:sz w:val="24"/>
              </w:rPr>
              <w:t>Iskazana vrijednost odražava članak 162. CRR-a. Vrijednost izloženosti (stupac 110) upotrebljava se za izračun izloženošću ponderiranih prosjeka. Prosječno dospijeće isk</w:t>
            </w:r>
            <w:r w:rsidRPr="00EF7F33">
              <w:rPr>
                <w:rFonts w:ascii="Times New Roman" w:hAnsi="Times New Roman"/>
                <w:sz w:val="24"/>
              </w:rPr>
              <w:t>a</w:t>
            </w:r>
            <w:r w:rsidRPr="00EF7F33">
              <w:rPr>
                <w:rFonts w:ascii="Times New Roman" w:hAnsi="Times New Roman"/>
                <w:sz w:val="24"/>
              </w:rPr>
              <w:lastRenderedPageBreak/>
              <w:t>zuje se u danima.</w:t>
            </w:r>
          </w:p>
          <w:p w:rsidR="001C7AB7" w:rsidRPr="00EF7F33" w:rsidRDefault="001C7AB7" w:rsidP="00FD6CCB">
            <w:pPr>
              <w:rPr>
                <w:rFonts w:ascii="Times New Roman" w:hAnsi="Times New Roman"/>
                <w:sz w:val="24"/>
              </w:rPr>
            </w:pPr>
            <w:r w:rsidRPr="00EF7F33">
              <w:rPr>
                <w:rFonts w:ascii="Times New Roman" w:hAnsi="Times New Roman"/>
                <w:sz w:val="24"/>
              </w:rPr>
              <w:t>Navedeni se podaci ne iskazuju za vrijednosti izloženosti za koje dospijeće nije element izračuna iznosa izloženosti ponderiranih rizikom.. To znači da se ovaj stupac ne popunj</w:t>
            </w:r>
            <w:r w:rsidRPr="00EF7F33">
              <w:rPr>
                <w:rFonts w:ascii="Times New Roman" w:hAnsi="Times New Roman"/>
                <w:sz w:val="24"/>
              </w:rPr>
              <w:t>a</w:t>
            </w:r>
            <w:r w:rsidRPr="00EF7F33">
              <w:rPr>
                <w:rFonts w:ascii="Times New Roman" w:hAnsi="Times New Roman"/>
                <w:sz w:val="24"/>
              </w:rPr>
              <w:t>va za kategoriju izloženosti „stanovništvo”.</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255</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IZNOS IZLOŽENOSTI PONDERIRAN RIZIKOM PRIJE PRIMJENE POMO</w:t>
            </w:r>
            <w:r w:rsidRPr="00EF7F33">
              <w:rPr>
                <w:rFonts w:ascii="Times New Roman" w:hAnsi="Times New Roman"/>
                <w:b/>
                <w:sz w:val="24"/>
                <w:u w:val="single"/>
              </w:rPr>
              <w:t>Ć</w:t>
            </w:r>
            <w:r w:rsidRPr="00EF7F33">
              <w:rPr>
                <w:rFonts w:ascii="Times New Roman" w:hAnsi="Times New Roman"/>
                <w:b/>
                <w:sz w:val="24"/>
                <w:u w:val="single"/>
              </w:rPr>
              <w:t>NOG FAKTORA ZA MSP-ove</w:t>
            </w:r>
          </w:p>
          <w:p w:rsidR="001C7AB7" w:rsidRPr="00EF7F33" w:rsidRDefault="001C7AB7" w:rsidP="001C7AB7">
            <w:pPr>
              <w:rPr>
                <w:rFonts w:ascii="Times New Roman" w:hAnsi="Times New Roman"/>
                <w:sz w:val="24"/>
              </w:rPr>
            </w:pPr>
            <w:r w:rsidRPr="00EF7F33">
              <w:rPr>
                <w:rFonts w:ascii="Times New Roman" w:hAnsi="Times New Roman"/>
                <w:sz w:val="24"/>
              </w:rPr>
              <w:t xml:space="preserve">Za središnje države i središnje banke, trgovačka društva i institucije vidjeti članak 153. stavke 1. i 3. CRR-a. Za stanovništvo vidjeti članak 154. stavak 1. CRR-a. </w:t>
            </w:r>
          </w:p>
          <w:p w:rsidR="001C7AB7" w:rsidRPr="00EF7F33" w:rsidRDefault="001C7AB7" w:rsidP="00FD6CCB">
            <w:pPr>
              <w:rPr>
                <w:rFonts w:ascii="Times New Roman" w:hAnsi="Times New Roman"/>
                <w:b/>
                <w:sz w:val="24"/>
                <w:u w:val="single"/>
              </w:rPr>
            </w:pPr>
            <w:r w:rsidRPr="00EF7F33">
              <w:rPr>
                <w:rFonts w:ascii="Times New Roman" w:hAnsi="Times New Roman"/>
                <w:sz w:val="24"/>
              </w:rPr>
              <w:t>Pomoćni faktor za MSP-ove u skladu s člankom 501. CRR-a ne uzima se u obzir.</w:t>
            </w:r>
          </w:p>
        </w:tc>
      </w:tr>
      <w:tr w:rsidR="001C7AB7" w:rsidRPr="00EF7F33" w:rsidTr="00672D2A">
        <w:tc>
          <w:tcPr>
            <w:tcW w:w="1188" w:type="dxa"/>
            <w:shd w:val="clear" w:color="auto" w:fill="auto"/>
          </w:tcPr>
          <w:p w:rsidR="001C7AB7" w:rsidRPr="00EF7F33" w:rsidRDefault="001C7AB7" w:rsidP="001C7AB7">
            <w:pPr>
              <w:rPr>
                <w:rFonts w:ascii="Times New Roman" w:hAnsi="Times New Roman"/>
                <w:sz w:val="24"/>
              </w:rPr>
            </w:pPr>
            <w:r w:rsidRPr="00EF7F33">
              <w:rPr>
                <w:rFonts w:ascii="Times New Roman" w:hAnsi="Times New Roman"/>
                <w:sz w:val="24"/>
              </w:rPr>
              <w:t>260</w:t>
            </w:r>
          </w:p>
        </w:tc>
        <w:tc>
          <w:tcPr>
            <w:tcW w:w="8843" w:type="dxa"/>
            <w:shd w:val="clear" w:color="auto" w:fill="auto"/>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IZNOS IZLOŽENOSTI PONDERIRAN RIZIKOM NAKON PRIMJENE POM</w:t>
            </w:r>
            <w:r w:rsidRPr="00EF7F33">
              <w:rPr>
                <w:rFonts w:ascii="Times New Roman" w:hAnsi="Times New Roman"/>
                <w:b/>
                <w:sz w:val="24"/>
                <w:u w:val="single"/>
              </w:rPr>
              <w:t>O</w:t>
            </w:r>
            <w:r w:rsidRPr="00EF7F33">
              <w:rPr>
                <w:rFonts w:ascii="Times New Roman" w:hAnsi="Times New Roman"/>
                <w:b/>
                <w:sz w:val="24"/>
                <w:u w:val="single"/>
              </w:rPr>
              <w:t>ĆNOG FAKTORA ZA MSP-ove</w:t>
            </w:r>
          </w:p>
          <w:p w:rsidR="001C7AB7" w:rsidRPr="00EF7F33" w:rsidRDefault="001C7AB7" w:rsidP="001C7AB7">
            <w:pPr>
              <w:rPr>
                <w:rFonts w:ascii="Times New Roman" w:hAnsi="Times New Roman"/>
                <w:sz w:val="24"/>
              </w:rPr>
            </w:pPr>
            <w:r w:rsidRPr="00EF7F33">
              <w:rPr>
                <w:rFonts w:ascii="Times New Roman" w:hAnsi="Times New Roman"/>
                <w:sz w:val="24"/>
              </w:rPr>
              <w:t>Za središnje države i središnje banke, trgovačka društva i institucije vidjeti članak 153. stavke 1. i 3. CRR-a. Za stanovništvo vidjeti članak 154. stavak 1. CRR-a.</w:t>
            </w:r>
          </w:p>
          <w:p w:rsidR="001C7AB7" w:rsidRPr="00EF7F33" w:rsidRDefault="001C7AB7" w:rsidP="00FD6CCB">
            <w:pPr>
              <w:rPr>
                <w:rFonts w:ascii="Times New Roman" w:hAnsi="Times New Roman"/>
                <w:b/>
                <w:sz w:val="24"/>
                <w:u w:val="single"/>
              </w:rPr>
            </w:pPr>
            <w:r w:rsidRPr="00EF7F33">
              <w:rPr>
                <w:rFonts w:ascii="Times New Roman" w:hAnsi="Times New Roman"/>
                <w:sz w:val="24"/>
              </w:rPr>
              <w:t>Pomoćni faktor za MSP-ove u skladu s člankom 501. CRR-a uzima se u obzir.</w:t>
            </w:r>
          </w:p>
        </w:tc>
      </w:tr>
      <w:tr w:rsidR="001C7AB7" w:rsidRPr="00EF7F33" w:rsidTr="00672D2A">
        <w:tc>
          <w:tcPr>
            <w:tcW w:w="1188" w:type="dxa"/>
            <w:shd w:val="clear" w:color="auto" w:fill="auto"/>
          </w:tcPr>
          <w:p w:rsidR="001C7AB7" w:rsidRPr="00EF7F33" w:rsidRDefault="001C7AB7" w:rsidP="001C7AB7">
            <w:pPr>
              <w:rPr>
                <w:rFonts w:ascii="Times New Roman" w:hAnsi="Times New Roman"/>
                <w:sz w:val="24"/>
              </w:rPr>
            </w:pPr>
            <w:r w:rsidRPr="00EF7F33">
              <w:rPr>
                <w:rFonts w:ascii="Times New Roman" w:hAnsi="Times New Roman"/>
                <w:sz w:val="24"/>
              </w:rPr>
              <w:t>270</w:t>
            </w:r>
          </w:p>
        </w:tc>
        <w:tc>
          <w:tcPr>
            <w:tcW w:w="8843" w:type="dxa"/>
            <w:shd w:val="clear" w:color="auto" w:fill="auto"/>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OD ČEGA: VELIKI SUBJEKTI FINANCIJSKOG SEKTORA I NEREGULIRANI FINANCIJSKI SUBJEKTI</w:t>
            </w:r>
          </w:p>
          <w:p w:rsidR="001C7AB7" w:rsidRPr="00EF7F33" w:rsidDel="005A2363" w:rsidRDefault="001C7AB7" w:rsidP="00FD6CCB">
            <w:pPr>
              <w:rPr>
                <w:rFonts w:ascii="Times New Roman" w:hAnsi="Times New Roman"/>
                <w:sz w:val="24"/>
              </w:rPr>
            </w:pPr>
            <w:r w:rsidRPr="00EF7F33">
              <w:rPr>
                <w:rFonts w:ascii="Times New Roman" w:hAnsi="Times New Roman"/>
                <w:sz w:val="24"/>
              </w:rPr>
              <w:t>Raščlamba iznosa izloženosti ponderiranog rizikom nakon primjene pomoćnog faktora za MSP-ove za sve izloženosti definirane u skladu s člankom 142. stavcima 4. i 5. CRR-a na koje se primjenjuje viši koeficijent korelacije u skladu s člankom 153. stavkom 2. CRR-a.</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280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IZNOS OČEKIVANOGA GUBITKA</w:t>
            </w:r>
          </w:p>
          <w:p w:rsidR="001C7AB7" w:rsidRPr="00EF7F33" w:rsidRDefault="001C7AB7" w:rsidP="00FD6CCB">
            <w:pPr>
              <w:jc w:val="left"/>
              <w:rPr>
                <w:rFonts w:ascii="Times New Roman" w:hAnsi="Times New Roman"/>
                <w:sz w:val="24"/>
              </w:rPr>
            </w:pPr>
            <w:r w:rsidRPr="00EF7F33">
              <w:rPr>
                <w:rFonts w:ascii="Times New Roman" w:hAnsi="Times New Roman"/>
                <w:sz w:val="24"/>
              </w:rPr>
              <w:t>Za definiciju očekivanoga gubitka vidjeti članak 5. stavak 3. CRR-a, a za izračun vidjeti članak 158. CRR-a. Izračun očekivanoga gubitka koji je potrebno iskazati temelji se na parametrima rizika koji su stvarno upotrijebljeni u internom rejting-sustavu koji je odo</w:t>
            </w:r>
            <w:r w:rsidRPr="00EF7F33">
              <w:rPr>
                <w:rFonts w:ascii="Times New Roman" w:hAnsi="Times New Roman"/>
                <w:sz w:val="24"/>
              </w:rPr>
              <w:t>b</w:t>
            </w:r>
            <w:r w:rsidRPr="00EF7F33">
              <w:rPr>
                <w:rFonts w:ascii="Times New Roman" w:hAnsi="Times New Roman"/>
                <w:sz w:val="24"/>
              </w:rPr>
              <w:t>rilo odgovarajuće nadležno tijelo.</w:t>
            </w:r>
          </w:p>
        </w:tc>
      </w:tr>
      <w:tr w:rsidR="001C7AB7" w:rsidRPr="00EF7F33" w:rsidTr="00672D2A">
        <w:tc>
          <w:tcPr>
            <w:tcW w:w="1188" w:type="dxa"/>
          </w:tcPr>
          <w:p w:rsidR="001C7AB7" w:rsidRPr="00EF7F33" w:rsidRDefault="001C7AB7" w:rsidP="001C7AB7">
            <w:pPr>
              <w:rPr>
                <w:rFonts w:ascii="Times New Roman" w:hAnsi="Times New Roman"/>
                <w:sz w:val="24"/>
              </w:rPr>
            </w:pPr>
            <w:r w:rsidRPr="00EF7F33">
              <w:rPr>
                <w:rFonts w:ascii="Times New Roman" w:hAnsi="Times New Roman"/>
                <w:sz w:val="24"/>
              </w:rPr>
              <w:t>290</w:t>
            </w:r>
          </w:p>
        </w:tc>
        <w:tc>
          <w:tcPr>
            <w:tcW w:w="8843"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 VRIJEDNOSNA USKLAĐENJA I REZERVACIJE</w:t>
            </w:r>
          </w:p>
          <w:p w:rsidR="001C7AB7" w:rsidRPr="00EF7F33" w:rsidRDefault="001C7AB7" w:rsidP="00FD6CCB">
            <w:pPr>
              <w:rPr>
                <w:rFonts w:ascii="Times New Roman" w:hAnsi="Times New Roman"/>
                <w:sz w:val="24"/>
              </w:rPr>
            </w:pPr>
            <w:r w:rsidRPr="00EF7F33">
              <w:rPr>
                <w:rFonts w:ascii="Times New Roman" w:hAnsi="Times New Roman"/>
                <w:sz w:val="24"/>
              </w:rPr>
              <w:t>Iskazuju se vrijednosna usklađenja te specifični i opći ispravci vrijednosti za kreditni r</w:t>
            </w:r>
            <w:r w:rsidRPr="00EF7F33">
              <w:rPr>
                <w:rFonts w:ascii="Times New Roman" w:hAnsi="Times New Roman"/>
                <w:sz w:val="24"/>
              </w:rPr>
              <w:t>i</w:t>
            </w:r>
            <w:r w:rsidRPr="00EF7F33">
              <w:rPr>
                <w:rFonts w:ascii="Times New Roman" w:hAnsi="Times New Roman"/>
                <w:sz w:val="24"/>
              </w:rPr>
              <w:t>zik iz članka 159. CRR-a. Opće se rezervacije iskazuju raspoređivanjem iznosa na pr</w:t>
            </w:r>
            <w:r w:rsidRPr="00EF7F33">
              <w:rPr>
                <w:rFonts w:ascii="Times New Roman" w:hAnsi="Times New Roman"/>
                <w:sz w:val="24"/>
              </w:rPr>
              <w:t>o</w:t>
            </w:r>
            <w:r w:rsidRPr="00EF7F33">
              <w:rPr>
                <w:rFonts w:ascii="Times New Roman" w:hAnsi="Times New Roman"/>
                <w:sz w:val="24"/>
              </w:rPr>
              <w:t>porcionalnoj osnovi u skladu s očekivanim gubitkom različitih rejting-kategorija dužnika.</w:t>
            </w:r>
            <w:r w:rsidRPr="00EF7F33">
              <w:rPr>
                <w:rFonts w:ascii="Times New Roman" w:hAnsi="Times New Roman"/>
                <w:b/>
                <w:i/>
                <w:sz w:val="24"/>
              </w:rPr>
              <w:t xml:space="preserve"> </w:t>
            </w:r>
          </w:p>
        </w:tc>
      </w:tr>
      <w:tr w:rsidR="001C7AB7" w:rsidRPr="00EF7F33" w:rsidTr="00672D2A">
        <w:tc>
          <w:tcPr>
            <w:tcW w:w="1188" w:type="dxa"/>
          </w:tcPr>
          <w:p w:rsidR="001C7AB7" w:rsidRPr="00EF7F33" w:rsidRDefault="001C7AB7" w:rsidP="001C7AB7">
            <w:pPr>
              <w:ind w:right="-288"/>
              <w:rPr>
                <w:rFonts w:ascii="Times New Roman" w:hAnsi="Times New Roman"/>
                <w:sz w:val="24"/>
              </w:rPr>
            </w:pPr>
            <w:r w:rsidRPr="00EF7F33">
              <w:rPr>
                <w:rFonts w:ascii="Times New Roman" w:hAnsi="Times New Roman"/>
                <w:sz w:val="24"/>
              </w:rPr>
              <w:t>300</w:t>
            </w:r>
          </w:p>
        </w:tc>
        <w:tc>
          <w:tcPr>
            <w:tcW w:w="8843" w:type="dxa"/>
          </w:tcPr>
          <w:p w:rsidR="001C7AB7" w:rsidRPr="00EF7F33" w:rsidRDefault="001C7AB7" w:rsidP="001C7AB7">
            <w:pPr>
              <w:ind w:right="-288"/>
              <w:rPr>
                <w:rFonts w:ascii="Times New Roman" w:hAnsi="Times New Roman"/>
                <w:b/>
                <w:sz w:val="24"/>
                <w:u w:val="single"/>
              </w:rPr>
            </w:pPr>
            <w:r w:rsidRPr="00EF7F33">
              <w:rPr>
                <w:rFonts w:ascii="Times New Roman" w:hAnsi="Times New Roman"/>
                <w:b/>
                <w:sz w:val="24"/>
                <w:u w:val="single"/>
              </w:rPr>
              <w:t>BROJ DUŽNIKA</w:t>
            </w:r>
          </w:p>
          <w:p w:rsidR="001C7AB7" w:rsidRPr="00EF7F33" w:rsidRDefault="001C7AB7" w:rsidP="001C7AB7">
            <w:pPr>
              <w:rPr>
                <w:rFonts w:ascii="Times New Roman" w:hAnsi="Times New Roman"/>
                <w:sz w:val="24"/>
              </w:rPr>
            </w:pPr>
            <w:r w:rsidRPr="00EF7F33">
              <w:rPr>
                <w:rFonts w:ascii="Times New Roman" w:hAnsi="Times New Roman"/>
                <w:sz w:val="24"/>
              </w:rPr>
              <w:t>Članak 172. stavci 1. i 2. CRR-a.</w:t>
            </w:r>
          </w:p>
          <w:p w:rsidR="001C7AB7" w:rsidRPr="00EF7F33" w:rsidRDefault="001C7AB7" w:rsidP="001C7AB7">
            <w:pPr>
              <w:rPr>
                <w:rFonts w:ascii="Times New Roman" w:hAnsi="Times New Roman"/>
                <w:sz w:val="24"/>
              </w:rPr>
            </w:pPr>
            <w:r w:rsidRPr="00EF7F33">
              <w:rPr>
                <w:rFonts w:ascii="Times New Roman" w:hAnsi="Times New Roman"/>
                <w:sz w:val="24"/>
              </w:rPr>
              <w:t>Za sve kategorije izloženosti, izuzev kategorije izloženosti prema stanovništvu i slučaj</w:t>
            </w:r>
            <w:r w:rsidRPr="00EF7F33">
              <w:rPr>
                <w:rFonts w:ascii="Times New Roman" w:hAnsi="Times New Roman"/>
                <w:sz w:val="24"/>
              </w:rPr>
              <w:t>e</w:t>
            </w:r>
            <w:r w:rsidRPr="00EF7F33">
              <w:rPr>
                <w:rFonts w:ascii="Times New Roman" w:hAnsi="Times New Roman"/>
                <w:sz w:val="24"/>
              </w:rPr>
              <w:t xml:space="preserve">va navedenih u članku 172. stavku 1. točki (e) drugoj rečenici CRR-a, institucija iskazuje broj pravnih subjekata/dužnika kojima se dodjeljuje zasebni rejting, bez obzira na broj različitih odobrenih kredita ili izloženosti. </w:t>
            </w:r>
          </w:p>
          <w:p w:rsidR="001C7AB7" w:rsidRPr="00EF7F33" w:rsidRDefault="001C7AB7" w:rsidP="001C7AB7">
            <w:pPr>
              <w:rPr>
                <w:rFonts w:ascii="Times New Roman" w:hAnsi="Times New Roman"/>
                <w:sz w:val="24"/>
              </w:rPr>
            </w:pPr>
            <w:r w:rsidRPr="00EF7F33">
              <w:rPr>
                <w:rFonts w:ascii="Times New Roman" w:hAnsi="Times New Roman"/>
                <w:sz w:val="24"/>
              </w:rPr>
              <w:t>U kategoriji izloženosti prema stanovništvu ili ako su različite izloženosti prema istom dužniku raspoređene u različite rejting-kategorije dužnika u skladu s člankom 172. sta</w:t>
            </w:r>
            <w:r w:rsidRPr="00EF7F33">
              <w:rPr>
                <w:rFonts w:ascii="Times New Roman" w:hAnsi="Times New Roman"/>
                <w:sz w:val="24"/>
              </w:rPr>
              <w:t>v</w:t>
            </w:r>
            <w:r w:rsidRPr="00EF7F33">
              <w:rPr>
                <w:rFonts w:ascii="Times New Roman" w:hAnsi="Times New Roman"/>
                <w:sz w:val="24"/>
              </w:rPr>
              <w:t>kom 1. točkom (e) drugom rečenicom CRR-a u ostalim kategorijama izloženosti, instit</w:t>
            </w:r>
            <w:r w:rsidRPr="00EF7F33">
              <w:rPr>
                <w:rFonts w:ascii="Times New Roman" w:hAnsi="Times New Roman"/>
                <w:sz w:val="24"/>
              </w:rPr>
              <w:t>u</w:t>
            </w:r>
            <w:r w:rsidRPr="00EF7F33">
              <w:rPr>
                <w:rFonts w:ascii="Times New Roman" w:hAnsi="Times New Roman"/>
                <w:sz w:val="24"/>
              </w:rPr>
              <w:t xml:space="preserve">cije iskazuju broj izloženosti koje su odvojeno raspoređene u određenu rejting-kategoriju ili skup. Ako se primjenjuje članak 172. stavak 2. CRR-a, dužnik se može uzeti u obzir u </w:t>
            </w:r>
            <w:r w:rsidRPr="00EF7F33">
              <w:rPr>
                <w:rFonts w:ascii="Times New Roman" w:hAnsi="Times New Roman"/>
                <w:sz w:val="24"/>
              </w:rPr>
              <w:lastRenderedPageBreak/>
              <w:t xml:space="preserve">više od jedne rejting-kategorije. </w:t>
            </w:r>
          </w:p>
          <w:p w:rsidR="001C7AB7" w:rsidRPr="00EF7F33" w:rsidRDefault="001C7AB7" w:rsidP="00241845">
            <w:pPr>
              <w:rPr>
                <w:rFonts w:ascii="Times New Roman" w:hAnsi="Times New Roman"/>
                <w:sz w:val="24"/>
              </w:rPr>
            </w:pPr>
            <w:r w:rsidRPr="00EF7F33">
              <w:rPr>
                <w:rStyle w:val="InstructionsTabelleText"/>
                <w:rFonts w:ascii="Times New Roman" w:hAnsi="Times New Roman"/>
                <w:sz w:val="24"/>
              </w:rPr>
              <w:t>Budući da je predmet ovog stupca element strukture rejting-sustava, on se odnosi na or</w:t>
            </w:r>
            <w:r w:rsidRPr="00EF7F33">
              <w:rPr>
                <w:rStyle w:val="InstructionsTabelleText"/>
                <w:rFonts w:ascii="Times New Roman" w:hAnsi="Times New Roman"/>
                <w:sz w:val="24"/>
              </w:rPr>
              <w:t>i</w:t>
            </w:r>
            <w:r w:rsidRPr="00EF7F33">
              <w:rPr>
                <w:rStyle w:val="InstructionsTabelleText"/>
                <w:rFonts w:ascii="Times New Roman" w:hAnsi="Times New Roman"/>
                <w:sz w:val="24"/>
              </w:rPr>
              <w:t>ginalnu izloženost prije konverzijskih faktora koja je raspoređena u svaku rejting-kategoriju dužnika ili skup izloženosti, ne uzimajući u obzir učinak tehnika smanjenja kreditnog rizika (posebno učinak ponovne raspodjele).</w:t>
            </w:r>
          </w:p>
        </w:tc>
      </w:tr>
    </w:tbl>
    <w:p w:rsidR="001C7AB7" w:rsidRPr="00EF7F33"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EF7F33" w:rsidTr="00672D2A">
        <w:tc>
          <w:tcPr>
            <w:tcW w:w="1242" w:type="dxa"/>
            <w:shd w:val="clear" w:color="auto" w:fill="CCCCCC"/>
          </w:tcPr>
          <w:p w:rsidR="001C7AB7" w:rsidRPr="00EF7F33" w:rsidRDefault="001C7AB7" w:rsidP="001C7AB7">
            <w:pPr>
              <w:rPr>
                <w:rFonts w:ascii="Times New Roman" w:hAnsi="Times New Roman"/>
                <w:sz w:val="24"/>
              </w:rPr>
            </w:pPr>
            <w:r w:rsidRPr="00EF7F33">
              <w:rPr>
                <w:rFonts w:ascii="Times New Roman" w:hAnsi="Times New Roman"/>
                <w:sz w:val="24"/>
              </w:rPr>
              <w:t>Redci</w:t>
            </w:r>
          </w:p>
        </w:tc>
        <w:tc>
          <w:tcPr>
            <w:tcW w:w="8789" w:type="dxa"/>
            <w:shd w:val="clear" w:color="auto" w:fill="CCCCCC"/>
          </w:tcPr>
          <w:p w:rsidR="001C7AB7" w:rsidRPr="00EF7F33" w:rsidRDefault="001C7AB7" w:rsidP="001C7AB7">
            <w:pPr>
              <w:ind w:left="72"/>
              <w:rPr>
                <w:rFonts w:ascii="Times New Roman" w:hAnsi="Times New Roman"/>
                <w:sz w:val="24"/>
              </w:rPr>
            </w:pPr>
            <w:r w:rsidRPr="00EF7F33">
              <w:rPr>
                <w:rFonts w:ascii="Times New Roman" w:hAnsi="Times New Roman"/>
                <w:sz w:val="24"/>
              </w:rPr>
              <w:t>Upute</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010</w:t>
            </w:r>
          </w:p>
        </w:tc>
        <w:tc>
          <w:tcPr>
            <w:tcW w:w="8789" w:type="dxa"/>
          </w:tcPr>
          <w:p w:rsidR="001C7AB7" w:rsidRPr="00EF7F33" w:rsidRDefault="001C7AB7" w:rsidP="00FD6CCB">
            <w:pPr>
              <w:rPr>
                <w:rFonts w:ascii="Times New Roman" w:hAnsi="Times New Roman"/>
                <w:sz w:val="24"/>
              </w:rPr>
            </w:pPr>
            <w:r w:rsidRPr="00EF7F33">
              <w:rPr>
                <w:rFonts w:ascii="Times New Roman" w:hAnsi="Times New Roman"/>
                <w:b/>
                <w:sz w:val="24"/>
                <w:u w:val="single"/>
              </w:rPr>
              <w:t>UKUPNE IZLOŽENOSTI</w:t>
            </w:r>
          </w:p>
        </w:tc>
      </w:tr>
      <w:tr w:rsidR="00785F3E" w:rsidRPr="00EF7F33" w:rsidTr="00672D2A">
        <w:tc>
          <w:tcPr>
            <w:tcW w:w="1242" w:type="dxa"/>
          </w:tcPr>
          <w:p w:rsidR="00785F3E" w:rsidRPr="00EF7F33" w:rsidRDefault="003C3168" w:rsidP="001C7AB7">
            <w:pPr>
              <w:rPr>
                <w:rFonts w:ascii="Times New Roman" w:hAnsi="Times New Roman"/>
                <w:sz w:val="24"/>
              </w:rPr>
            </w:pPr>
            <w:r w:rsidRPr="00EF7F33">
              <w:rPr>
                <w:rFonts w:ascii="Times New Roman" w:hAnsi="Times New Roman"/>
                <w:sz w:val="24"/>
              </w:rPr>
              <w:t>015</w:t>
            </w:r>
          </w:p>
        </w:tc>
        <w:tc>
          <w:tcPr>
            <w:tcW w:w="8789" w:type="dxa"/>
          </w:tcPr>
          <w:p w:rsidR="00785F3E" w:rsidRPr="00EF7F33" w:rsidRDefault="00785F3E" w:rsidP="00785F3E">
            <w:pPr>
              <w:rPr>
                <w:rFonts w:ascii="Times New Roman" w:hAnsi="Times New Roman"/>
                <w:b/>
                <w:sz w:val="24"/>
                <w:u w:val="single"/>
              </w:rPr>
            </w:pPr>
            <w:r w:rsidRPr="00EF7F33">
              <w:rPr>
                <w:rFonts w:ascii="Times New Roman" w:hAnsi="Times New Roman"/>
                <w:b/>
                <w:sz w:val="24"/>
                <w:u w:val="single"/>
              </w:rPr>
              <w:t>od čega: izloženosti koje podliježu pomoćnom faktoru za MSP-ove</w:t>
            </w:r>
          </w:p>
          <w:p w:rsidR="00785F3E" w:rsidRPr="00EF7F33" w:rsidRDefault="00785F3E" w:rsidP="00785F3E">
            <w:pPr>
              <w:rPr>
                <w:rFonts w:ascii="Times New Roman" w:hAnsi="Times New Roman"/>
                <w:sz w:val="24"/>
              </w:rPr>
            </w:pPr>
            <w:r w:rsidRPr="00EF7F33">
              <w:rPr>
                <w:rFonts w:ascii="Times New Roman" w:hAnsi="Times New Roman"/>
                <w:sz w:val="24"/>
              </w:rPr>
              <w:t>Ovdje se iskazuju samo izloženosti koje ispunjavaju zahtjeve iz članka 501. CRR-a.</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020-060</w:t>
            </w:r>
          </w:p>
        </w:tc>
        <w:tc>
          <w:tcPr>
            <w:tcW w:w="8789" w:type="dxa"/>
          </w:tcPr>
          <w:p w:rsidR="001C7AB7" w:rsidRPr="00EF7F33" w:rsidRDefault="001C7AB7" w:rsidP="001C7AB7">
            <w:pPr>
              <w:rPr>
                <w:rFonts w:ascii="Times New Roman" w:hAnsi="Times New Roman"/>
                <w:sz w:val="24"/>
              </w:rPr>
            </w:pPr>
            <w:r w:rsidRPr="00EF7F33">
              <w:rPr>
                <w:rFonts w:ascii="Times New Roman" w:hAnsi="Times New Roman"/>
                <w:sz w:val="24"/>
              </w:rPr>
              <w:t>RAŠČLAMBA UKUPNIH IZLOŽENOSTI PREMA VRSTAMA IZLOŽENOSTI:</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020</w:t>
            </w:r>
          </w:p>
        </w:tc>
        <w:tc>
          <w:tcPr>
            <w:tcW w:w="8789"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 xml:space="preserve">Bilančne stavke koje podliježu kreditnom riziku </w:t>
            </w:r>
          </w:p>
          <w:p w:rsidR="001C7AB7" w:rsidRPr="00EF7F33" w:rsidRDefault="001C7AB7" w:rsidP="00FC20DD">
            <w:pPr>
              <w:rPr>
                <w:rStyle w:val="InstructionsTabelleText"/>
                <w:rFonts w:ascii="Times New Roman" w:hAnsi="Times New Roman"/>
                <w:sz w:val="24"/>
              </w:rPr>
            </w:pPr>
            <w:r w:rsidRPr="00EF7F33">
              <w:rPr>
                <w:rStyle w:val="InstructionsTabelleText"/>
                <w:rFonts w:ascii="Times New Roman" w:hAnsi="Times New Roman"/>
                <w:sz w:val="24"/>
              </w:rPr>
              <w:t>Imovina iz članka 24. CRR-a koja nije uključena u neku drugu kategoriju.</w:t>
            </w:r>
          </w:p>
          <w:p w:rsidR="001C7AB7" w:rsidRPr="00EF7F33" w:rsidRDefault="001C7AB7" w:rsidP="00FC20DD">
            <w:pPr>
              <w:rPr>
                <w:rStyle w:val="InstructionsTabelleText"/>
                <w:rFonts w:ascii="Times New Roman" w:hAnsi="Times New Roman"/>
                <w:sz w:val="24"/>
              </w:rPr>
            </w:pPr>
            <w:r w:rsidRPr="00EF7F33">
              <w:rPr>
                <w:rStyle w:val="InstructionsTabelleText"/>
                <w:rFonts w:ascii="Times New Roman" w:hAnsi="Times New Roman"/>
                <w:sz w:val="24"/>
              </w:rPr>
              <w:t>Izloženosti, koje su bilančne stavke i koje su uključene kao transakcije financiranja vr</w:t>
            </w:r>
            <w:r w:rsidRPr="00EF7F33">
              <w:rPr>
                <w:rStyle w:val="InstructionsTabelleText"/>
                <w:rFonts w:ascii="Times New Roman" w:hAnsi="Times New Roman"/>
                <w:sz w:val="24"/>
              </w:rPr>
              <w:t>i</w:t>
            </w:r>
            <w:r w:rsidRPr="00EF7F33">
              <w:rPr>
                <w:rStyle w:val="InstructionsTabelleText"/>
                <w:rFonts w:ascii="Times New Roman" w:hAnsi="Times New Roman"/>
                <w:sz w:val="24"/>
              </w:rPr>
              <w:t>jednosnim papirima, izvedenice i transakcije s dugim rokom namire ili iz netiranja izm</w:t>
            </w:r>
            <w:r w:rsidRPr="00EF7F33">
              <w:rPr>
                <w:rStyle w:val="InstructionsTabelleText"/>
                <w:rFonts w:ascii="Times New Roman" w:hAnsi="Times New Roman"/>
                <w:sz w:val="24"/>
              </w:rPr>
              <w:t>e</w:t>
            </w:r>
            <w:r w:rsidRPr="00EF7F33">
              <w:rPr>
                <w:rStyle w:val="InstructionsTabelleText"/>
                <w:rFonts w:ascii="Times New Roman" w:hAnsi="Times New Roman"/>
                <w:sz w:val="24"/>
              </w:rPr>
              <w:t>đu različitih kategorija proizvoda, iskazuju se u redcima 040 – 060 te se, stoga, ne isk</w:t>
            </w:r>
            <w:r w:rsidRPr="00EF7F33">
              <w:rPr>
                <w:rStyle w:val="InstructionsTabelleText"/>
                <w:rFonts w:ascii="Times New Roman" w:hAnsi="Times New Roman"/>
                <w:sz w:val="24"/>
              </w:rPr>
              <w:t>a</w:t>
            </w:r>
            <w:r w:rsidRPr="00EF7F33">
              <w:rPr>
                <w:rStyle w:val="InstructionsTabelleText"/>
                <w:rFonts w:ascii="Times New Roman" w:hAnsi="Times New Roman"/>
                <w:sz w:val="24"/>
              </w:rPr>
              <w:t>zuju u ovom retku.</w:t>
            </w:r>
          </w:p>
          <w:p w:rsidR="001C7AB7" w:rsidRPr="00EF7F33" w:rsidRDefault="001C7AB7" w:rsidP="00FC20DD">
            <w:pPr>
              <w:rPr>
                <w:rStyle w:val="InstructionsTabelleText"/>
                <w:rFonts w:ascii="Times New Roman" w:hAnsi="Times New Roman"/>
                <w:sz w:val="24"/>
              </w:rPr>
            </w:pPr>
            <w:r w:rsidRPr="00EF7F33">
              <w:rPr>
                <w:rStyle w:val="InstructionsTabelleText"/>
                <w:rFonts w:ascii="Times New Roman" w:hAnsi="Times New Roman"/>
                <w:sz w:val="24"/>
              </w:rPr>
              <w:t>Slobodne isporuke u skladu s člankom 379. stavkom 1. CRR-a (ako nisu odbijene) nisu bilančne stavke, ali se ipak iskazuju u ovom retku.</w:t>
            </w:r>
          </w:p>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Izloženosti koje proizlaze iz imovine uplaćene središnjoj drugoj ugovornoj strani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 xml:space="preserve">du s člankom 4. točkom 91. CRR-a i izloženosti jamstvenog fonda u skladu s člankom 4. točkom 89. CRR-a uključuju se ako nisu iskazane u retku 030. </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030</w:t>
            </w:r>
          </w:p>
        </w:tc>
        <w:tc>
          <w:tcPr>
            <w:tcW w:w="8789"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Izvanbilančne stavke koje podliježu kreditnom riziku</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Izvanbilančnim pozicijama obuhvaćene su stavke navedene u Prilogu I. CRR-a.</w:t>
            </w:r>
          </w:p>
          <w:p w:rsidR="001C7AB7" w:rsidRPr="00EF7F33" w:rsidRDefault="001C7AB7" w:rsidP="001C7AB7">
            <w:pPr>
              <w:rPr>
                <w:rStyle w:val="InstructionsTabelleText"/>
                <w:rFonts w:ascii="Times New Roman" w:hAnsi="Times New Roman"/>
                <w:sz w:val="24"/>
              </w:rPr>
            </w:pPr>
            <w:r w:rsidRPr="00EF7F33">
              <w:rPr>
                <w:rStyle w:val="InstructionsTabelleText"/>
                <w:rFonts w:ascii="Times New Roman" w:hAnsi="Times New Roman"/>
                <w:sz w:val="24"/>
              </w:rPr>
              <w:t>Izloženosti, koje su izvanbilančne stavke i koje su uključene kao transakcije financiranja vrijednosnim papirima, izvedenice i transakcije s dugim rokom namire ili iz netiranja između različitih kategorija proizvoda, iskazuju se u redcima 040 – 060 te se, stoga, ne iskazuju u ovom retku.</w:t>
            </w:r>
          </w:p>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Izloženosti koje proizlaze iz imovine uplaćene središnjoj drugoj ugovornoj strani u skl</w:t>
            </w:r>
            <w:r w:rsidRPr="00EF7F33">
              <w:rPr>
                <w:rStyle w:val="InstructionsTabelleText"/>
                <w:rFonts w:ascii="Times New Roman" w:hAnsi="Times New Roman"/>
                <w:sz w:val="24"/>
              </w:rPr>
              <w:t>a</w:t>
            </w:r>
            <w:r w:rsidRPr="00EF7F33">
              <w:rPr>
                <w:rStyle w:val="InstructionsTabelleText"/>
                <w:rFonts w:ascii="Times New Roman" w:hAnsi="Times New Roman"/>
                <w:sz w:val="24"/>
              </w:rPr>
              <w:t xml:space="preserve">du s člankom 4. točkom 91. CRR-a i izloženosti jamstvenog fonda u skladu s člankom 4. točkom 89. CRR-a uključuju se ako se smatraju izvanbilančnim stavkama. </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Style w:val="InstructionsTabelleText"/>
                <w:rFonts w:ascii="Times New Roman" w:hAnsi="Times New Roman"/>
                <w:sz w:val="24"/>
              </w:rPr>
              <w:t>040-060</w:t>
            </w:r>
          </w:p>
        </w:tc>
        <w:tc>
          <w:tcPr>
            <w:tcW w:w="8789" w:type="dxa"/>
          </w:tcPr>
          <w:p w:rsidR="001C7AB7" w:rsidRPr="00EF7F33" w:rsidRDefault="001C7AB7" w:rsidP="001C7AB7">
            <w:pPr>
              <w:rPr>
                <w:rFonts w:ascii="Times New Roman" w:hAnsi="Times New Roman"/>
                <w:b/>
                <w:sz w:val="24"/>
                <w:u w:val="single"/>
              </w:rPr>
            </w:pPr>
            <w:r w:rsidRPr="00EF7F33">
              <w:rPr>
                <w:rStyle w:val="InstructionsTabelleberschrift"/>
                <w:rFonts w:ascii="Times New Roman" w:hAnsi="Times New Roman"/>
                <w:sz w:val="24"/>
              </w:rPr>
              <w:t>Izloženosti/transakcije koje podliježu kreditnom riziku druge ugovorne strane</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040</w:t>
            </w:r>
          </w:p>
        </w:tc>
        <w:tc>
          <w:tcPr>
            <w:tcW w:w="8789" w:type="dxa"/>
          </w:tcPr>
          <w:p w:rsidR="001C7AB7" w:rsidRPr="00EF7F33" w:rsidRDefault="001C7AB7" w:rsidP="001C7AB7">
            <w:pPr>
              <w:ind w:left="72"/>
              <w:rPr>
                <w:rStyle w:val="InstructionsTabelleberschrift"/>
                <w:rFonts w:ascii="Times New Roman" w:hAnsi="Times New Roman"/>
                <w:sz w:val="24"/>
              </w:rPr>
            </w:pPr>
            <w:r w:rsidRPr="00EF7F33">
              <w:rPr>
                <w:rStyle w:val="InstructionsTabelleberschrift"/>
                <w:rFonts w:ascii="Times New Roman" w:hAnsi="Times New Roman"/>
                <w:sz w:val="24"/>
              </w:rPr>
              <w:t xml:space="preserve">Transakcije financiranja vrijednosnim papirima </w:t>
            </w:r>
          </w:p>
          <w:p w:rsidR="001C7AB7" w:rsidRPr="00EF7F33" w:rsidRDefault="001C7AB7" w:rsidP="001C7AB7">
            <w:pPr>
              <w:ind w:left="72"/>
              <w:rPr>
                <w:rStyle w:val="InstructionsTabelleText"/>
                <w:rFonts w:ascii="Times New Roman" w:hAnsi="Times New Roman"/>
                <w:sz w:val="24"/>
              </w:rPr>
            </w:pPr>
            <w:r w:rsidRPr="00EF7F33">
              <w:rPr>
                <w:rStyle w:val="InstructionsTabelleText"/>
                <w:rFonts w:ascii="Times New Roman" w:hAnsi="Times New Roman"/>
                <w:sz w:val="24"/>
              </w:rPr>
              <w:t>Transakcije financiranja vrijednosnim papirima, kako su definirane u stavku 17. dok</w:t>
            </w:r>
            <w:r w:rsidRPr="00EF7F33">
              <w:rPr>
                <w:rStyle w:val="InstructionsTabelleText"/>
                <w:rFonts w:ascii="Times New Roman" w:hAnsi="Times New Roman"/>
                <w:sz w:val="24"/>
              </w:rPr>
              <w:t>u</w:t>
            </w:r>
            <w:r w:rsidRPr="00EF7F33">
              <w:rPr>
                <w:rStyle w:val="InstructionsTabelleText"/>
                <w:rFonts w:ascii="Times New Roman" w:hAnsi="Times New Roman"/>
                <w:sz w:val="24"/>
              </w:rPr>
              <w:t>menta Bazelskog odbora „The Application of Basel II to Trading Activities and the Tr</w:t>
            </w:r>
            <w:r w:rsidRPr="00EF7F33">
              <w:rPr>
                <w:rStyle w:val="InstructionsTabelleText"/>
                <w:rFonts w:ascii="Times New Roman" w:hAnsi="Times New Roman"/>
                <w:sz w:val="24"/>
              </w:rPr>
              <w:t>e</w:t>
            </w:r>
            <w:r w:rsidRPr="00EF7F33">
              <w:rPr>
                <w:rStyle w:val="InstructionsTabelleText"/>
                <w:rFonts w:ascii="Times New Roman" w:hAnsi="Times New Roman"/>
                <w:sz w:val="24"/>
              </w:rPr>
              <w:t>atment of Double Default Effects” uključuju: i. repo ugovore i obratne repo ugovore d</w:t>
            </w:r>
            <w:r w:rsidRPr="00EF7F33">
              <w:rPr>
                <w:rStyle w:val="InstructionsTabelleText"/>
                <w:rFonts w:ascii="Times New Roman" w:hAnsi="Times New Roman"/>
                <w:sz w:val="24"/>
              </w:rPr>
              <w:t>e</w:t>
            </w:r>
            <w:r w:rsidRPr="00EF7F33">
              <w:rPr>
                <w:rStyle w:val="InstructionsTabelleText"/>
                <w:rFonts w:ascii="Times New Roman" w:hAnsi="Times New Roman"/>
                <w:sz w:val="24"/>
              </w:rPr>
              <w:t xml:space="preserve">finirane u članku 4. točki 82. CRR-a te transakcije pozajmljivanja vrijednosnih papira ili robe drugoj ugovornoj strani ili od druge ugovorne strane i ii. maržne kredite kako su </w:t>
            </w:r>
            <w:r w:rsidRPr="00EF7F33">
              <w:rPr>
                <w:rStyle w:val="InstructionsTabelleText"/>
                <w:rFonts w:ascii="Times New Roman" w:hAnsi="Times New Roman"/>
                <w:sz w:val="24"/>
              </w:rPr>
              <w:lastRenderedPageBreak/>
              <w:t>definirani u članku 272. točki 3. CRR-a.</w:t>
            </w:r>
          </w:p>
          <w:p w:rsidR="001C7AB7" w:rsidRPr="00EF7F33" w:rsidRDefault="001C7AB7" w:rsidP="00FD6CCB">
            <w:pPr>
              <w:rPr>
                <w:rFonts w:ascii="Times New Roman" w:hAnsi="Times New Roman"/>
                <w:sz w:val="24"/>
              </w:rPr>
            </w:pPr>
            <w:r w:rsidRPr="00EF7F33">
              <w:rPr>
                <w:rStyle w:val="InstructionsTabelleText"/>
                <w:rFonts w:ascii="Times New Roman" w:hAnsi="Times New Roman"/>
                <w:sz w:val="24"/>
              </w:rPr>
              <w:t>Transakcije financiranja vrijednosnim papirima, koje su uključene u netiranje između r</w:t>
            </w:r>
            <w:r w:rsidRPr="00EF7F33">
              <w:rPr>
                <w:rStyle w:val="InstructionsTabelleText"/>
                <w:rFonts w:ascii="Times New Roman" w:hAnsi="Times New Roman"/>
                <w:sz w:val="24"/>
              </w:rPr>
              <w:t>a</w:t>
            </w:r>
            <w:r w:rsidRPr="00EF7F33">
              <w:rPr>
                <w:rStyle w:val="InstructionsTabelleText"/>
                <w:rFonts w:ascii="Times New Roman" w:hAnsi="Times New Roman"/>
                <w:sz w:val="24"/>
              </w:rPr>
              <w:t>zličitih kategorija proizvoda i stoga iskazane u retku 060 ne iskazuju se u ovom retku.</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050</w:t>
            </w:r>
          </w:p>
        </w:tc>
        <w:tc>
          <w:tcPr>
            <w:tcW w:w="8789"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 xml:space="preserve">Izvedenice </w:t>
            </w:r>
            <w:r w:rsidRPr="00EF7F33">
              <w:rPr>
                <w:rStyle w:val="InstructionsTabelleberschrift"/>
                <w:rFonts w:ascii="Times New Roman" w:hAnsi="Times New Roman"/>
                <w:sz w:val="24"/>
              </w:rPr>
              <w:t xml:space="preserve"> i transakcije s dugim rokom namire</w:t>
            </w:r>
          </w:p>
          <w:p w:rsidR="001C7AB7" w:rsidRPr="00EF7F33" w:rsidRDefault="001C7AB7" w:rsidP="00FD6CCB">
            <w:pPr>
              <w:ind w:left="72"/>
              <w:rPr>
                <w:rFonts w:ascii="Times New Roman" w:hAnsi="Times New Roman"/>
                <w:sz w:val="24"/>
              </w:rPr>
            </w:pPr>
            <w:r w:rsidRPr="00EF7F33">
              <w:rPr>
                <w:rStyle w:val="InstructionsTabelleText"/>
                <w:rFonts w:ascii="Times New Roman" w:hAnsi="Times New Roman"/>
                <w:sz w:val="24"/>
              </w:rPr>
              <w:t>Izvedenicama su obuhvaćeni ugovori navedeni u Prilogu II. CRR-u. Izvedenice i tra</w:t>
            </w:r>
            <w:r w:rsidRPr="00EF7F33">
              <w:rPr>
                <w:rStyle w:val="InstructionsTabelleText"/>
                <w:rFonts w:ascii="Times New Roman" w:hAnsi="Times New Roman"/>
                <w:sz w:val="24"/>
              </w:rPr>
              <w:t>n</w:t>
            </w:r>
            <w:r w:rsidRPr="00EF7F33">
              <w:rPr>
                <w:rStyle w:val="InstructionsTabelleText"/>
                <w:rFonts w:ascii="Times New Roman" w:hAnsi="Times New Roman"/>
                <w:sz w:val="24"/>
              </w:rPr>
              <w:t>sakcije s dugim rokom namire koje su uključene u netiranje između različitih kategorija proizvoda i stoga iskazane u retku 060 ne iskazuju se u ovom retku.</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060</w:t>
            </w:r>
          </w:p>
        </w:tc>
        <w:tc>
          <w:tcPr>
            <w:tcW w:w="8789"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 netiranja između različitih kategorija proizvoda</w:t>
            </w:r>
          </w:p>
          <w:p w:rsidR="001C7AB7" w:rsidRPr="00EF7F33" w:rsidRDefault="00FD6CCB" w:rsidP="001C7AB7">
            <w:pPr>
              <w:rPr>
                <w:rFonts w:ascii="Times New Roman" w:hAnsi="Times New Roman"/>
                <w:sz w:val="24"/>
              </w:rPr>
            </w:pPr>
            <w:r w:rsidRPr="00EF7F33">
              <w:rPr>
                <w:rFonts w:ascii="Times New Roman" w:hAnsi="Times New Roman"/>
                <w:sz w:val="24"/>
              </w:rPr>
              <w:t>Vidjeti upute za obrazac CR SA.</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070</w:t>
            </w:r>
          </w:p>
        </w:tc>
        <w:tc>
          <w:tcPr>
            <w:tcW w:w="8789" w:type="dxa"/>
          </w:tcPr>
          <w:p w:rsidR="001C7AB7" w:rsidRPr="00EF7F33" w:rsidRDefault="001C7AB7" w:rsidP="001C7AB7">
            <w:pPr>
              <w:rPr>
                <w:rFonts w:ascii="Times New Roman" w:hAnsi="Times New Roman"/>
                <w:b/>
                <w:sz w:val="24"/>
                <w:u w:val="single"/>
              </w:rPr>
            </w:pPr>
            <w:r w:rsidRPr="00EF7F33">
              <w:rPr>
                <w:rFonts w:ascii="Times New Roman" w:hAnsi="Times New Roman"/>
                <w:b/>
                <w:sz w:val="24"/>
                <w:u w:val="single"/>
              </w:rPr>
              <w:t>IZLOŽENOSTI RASPOREĐENE U REJTING-KATEGORIJE DUŽNIKA ILI SKUPOVE IZLOŽENOSTI: UKUPNO</w:t>
            </w:r>
          </w:p>
          <w:p w:rsidR="001C7AB7" w:rsidRPr="00EF7F33" w:rsidRDefault="001C7AB7" w:rsidP="001C7AB7">
            <w:pPr>
              <w:rPr>
                <w:rFonts w:ascii="Times New Roman" w:hAnsi="Times New Roman"/>
                <w:sz w:val="24"/>
              </w:rPr>
            </w:pPr>
            <w:r w:rsidRPr="00EF7F33">
              <w:rPr>
                <w:rFonts w:ascii="Times New Roman" w:hAnsi="Times New Roman"/>
                <w:sz w:val="24"/>
              </w:rPr>
              <w:t>Za izloženosti prema trgovačkim društvima, institucijama te središnjim državama i sr</w:t>
            </w:r>
            <w:r w:rsidRPr="00EF7F33">
              <w:rPr>
                <w:rFonts w:ascii="Times New Roman" w:hAnsi="Times New Roman"/>
                <w:sz w:val="24"/>
              </w:rPr>
              <w:t>e</w:t>
            </w:r>
            <w:r w:rsidRPr="00EF7F33">
              <w:rPr>
                <w:rFonts w:ascii="Times New Roman" w:hAnsi="Times New Roman"/>
                <w:sz w:val="24"/>
              </w:rPr>
              <w:t xml:space="preserve">dišnjim bankama vidjeti članak 142. stavak 1. točku 6. i članak 170. stavak 1. točku (c) CRR-a. </w:t>
            </w:r>
          </w:p>
          <w:p w:rsidR="001C7AB7" w:rsidRPr="00EF7F33" w:rsidRDefault="001C7AB7" w:rsidP="001C7AB7">
            <w:pPr>
              <w:rPr>
                <w:rFonts w:ascii="Times New Roman" w:hAnsi="Times New Roman"/>
                <w:sz w:val="24"/>
              </w:rPr>
            </w:pPr>
            <w:r w:rsidRPr="00EF7F33">
              <w:rPr>
                <w:rFonts w:ascii="Times New Roman" w:hAnsi="Times New Roman"/>
                <w:sz w:val="24"/>
              </w:rPr>
              <w:t>Za izloženosti prema stanovništvu vidjeti članak 170. stavak 3. točku (b) CRR-a. Za i</w:t>
            </w:r>
            <w:r w:rsidRPr="00EF7F33">
              <w:rPr>
                <w:rFonts w:ascii="Times New Roman" w:hAnsi="Times New Roman"/>
                <w:sz w:val="24"/>
              </w:rPr>
              <w:t>z</w:t>
            </w:r>
            <w:r w:rsidRPr="00EF7F33">
              <w:rPr>
                <w:rFonts w:ascii="Times New Roman" w:hAnsi="Times New Roman"/>
                <w:sz w:val="24"/>
              </w:rPr>
              <w:t xml:space="preserve">loženosti koje proizlaze iz otkupljenih potraživanja vidjeti članak 166. stavak 6. CRR-a. </w:t>
            </w:r>
          </w:p>
          <w:p w:rsidR="001C7AB7" w:rsidRPr="00EF7F33" w:rsidRDefault="001C7AB7" w:rsidP="001C7AB7">
            <w:pPr>
              <w:rPr>
                <w:rFonts w:ascii="Times New Roman" w:hAnsi="Times New Roman"/>
                <w:sz w:val="24"/>
              </w:rPr>
            </w:pPr>
            <w:r w:rsidRPr="00EF7F33">
              <w:rPr>
                <w:rFonts w:ascii="Times New Roman" w:hAnsi="Times New Roman"/>
                <w:sz w:val="24"/>
              </w:rPr>
              <w:t>Izloženosti za razrjeđivački rizik otkupljenih potraživanja ne iskazuju se prema rejting-kategorijama dužnika ili skupovima izloženosti i iskazuju se u retku 180.</w:t>
            </w:r>
          </w:p>
          <w:p w:rsidR="001C7AB7" w:rsidRPr="00EF7F33" w:rsidRDefault="001C7AB7" w:rsidP="001C7AB7">
            <w:pPr>
              <w:rPr>
                <w:rFonts w:ascii="Times New Roman" w:hAnsi="Times New Roman"/>
                <w:sz w:val="24"/>
              </w:rPr>
            </w:pPr>
            <w:r w:rsidRPr="00EF7F33">
              <w:rPr>
                <w:rFonts w:ascii="Times New Roman" w:hAnsi="Times New Roman"/>
                <w:sz w:val="24"/>
              </w:rPr>
              <w:t>Ako institucija upotrebljava veliki broj rejting-kategorija ili skupova, s nadležnim tijel</w:t>
            </w:r>
            <w:r w:rsidRPr="00EF7F33">
              <w:rPr>
                <w:rFonts w:ascii="Times New Roman" w:hAnsi="Times New Roman"/>
                <w:sz w:val="24"/>
              </w:rPr>
              <w:t>i</w:t>
            </w:r>
            <w:r w:rsidRPr="00EF7F33">
              <w:rPr>
                <w:rFonts w:ascii="Times New Roman" w:hAnsi="Times New Roman"/>
                <w:sz w:val="24"/>
              </w:rPr>
              <w:t xml:space="preserve">ma može se dogovoriti iskazivanje smanjenog broja rejting-kategorija ili skupova. </w:t>
            </w:r>
          </w:p>
          <w:p w:rsidR="001C7AB7" w:rsidRPr="00EF7F33" w:rsidRDefault="00C93697" w:rsidP="00FD6CCB">
            <w:pPr>
              <w:rPr>
                <w:rFonts w:ascii="Times New Roman" w:hAnsi="Times New Roman"/>
                <w:sz w:val="24"/>
              </w:rPr>
            </w:pPr>
            <w:r w:rsidRPr="00EF7F33">
              <w:rPr>
                <w:rFonts w:ascii="Times New Roman" w:hAnsi="Times New Roman"/>
                <w:sz w:val="24"/>
              </w:rPr>
              <w:t xml:space="preserve">Ne upotrebljava se rejting-skala. Umjesto toga, institucije određuju skalu koju će same upotrebljavati. </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080</w:t>
            </w:r>
          </w:p>
        </w:tc>
        <w:tc>
          <w:tcPr>
            <w:tcW w:w="8789" w:type="dxa"/>
          </w:tcPr>
          <w:p w:rsidR="001C7AB7" w:rsidRPr="00EF7F33" w:rsidRDefault="001C7AB7" w:rsidP="001C7AB7">
            <w:pPr>
              <w:rPr>
                <w:rFonts w:ascii="Times New Roman" w:hAnsi="Times New Roman"/>
                <w:sz w:val="24"/>
              </w:rPr>
            </w:pPr>
            <w:r w:rsidRPr="00EF7F33">
              <w:rPr>
                <w:rFonts w:ascii="Times New Roman" w:hAnsi="Times New Roman"/>
                <w:b/>
                <w:sz w:val="24"/>
                <w:u w:val="single"/>
              </w:rPr>
              <w:t>KRITERIJI RASPOREĐIVANJA SPECIJALIZIRANOG FINANCIRANJA: UKUPNO</w:t>
            </w:r>
          </w:p>
          <w:p w:rsidR="001C7AB7" w:rsidRPr="00EF7F33" w:rsidRDefault="001C7AB7" w:rsidP="00FD6CCB">
            <w:pPr>
              <w:rPr>
                <w:rFonts w:ascii="Times New Roman" w:hAnsi="Times New Roman"/>
                <w:sz w:val="24"/>
              </w:rPr>
            </w:pPr>
            <w:r w:rsidRPr="00EF7F33">
              <w:rPr>
                <w:rFonts w:ascii="Times New Roman" w:hAnsi="Times New Roman"/>
                <w:sz w:val="24"/>
              </w:rPr>
              <w:t>Članak 153. stavak 5. CRR-a To se primjenjuje samo na kategorije izloženosti prema t</w:t>
            </w:r>
            <w:r w:rsidRPr="00EF7F33">
              <w:rPr>
                <w:rFonts w:ascii="Times New Roman" w:hAnsi="Times New Roman"/>
                <w:sz w:val="24"/>
              </w:rPr>
              <w:t>r</w:t>
            </w:r>
            <w:r w:rsidRPr="00EF7F33">
              <w:rPr>
                <w:rFonts w:ascii="Times New Roman" w:hAnsi="Times New Roman"/>
                <w:sz w:val="24"/>
              </w:rPr>
              <w:t xml:space="preserve">govačkim društvima, institucijama te središnjim državama i središnjim bankama. </w:t>
            </w:r>
          </w:p>
        </w:tc>
      </w:tr>
      <w:tr w:rsidR="001C7AB7" w:rsidRPr="00EF7F33" w:rsidTr="00672D2A">
        <w:tc>
          <w:tcPr>
            <w:tcW w:w="1242" w:type="dxa"/>
          </w:tcPr>
          <w:p w:rsidR="001C7AB7" w:rsidRPr="00EF7F33" w:rsidRDefault="001C7AB7" w:rsidP="004F2B30">
            <w:pPr>
              <w:rPr>
                <w:rFonts w:ascii="Times New Roman" w:hAnsi="Times New Roman"/>
                <w:sz w:val="24"/>
              </w:rPr>
            </w:pPr>
            <w:r w:rsidRPr="00EF7F33">
              <w:rPr>
                <w:rFonts w:ascii="Times New Roman" w:hAnsi="Times New Roman"/>
                <w:sz w:val="24"/>
              </w:rPr>
              <w:t>090-150</w:t>
            </w:r>
          </w:p>
        </w:tc>
        <w:tc>
          <w:tcPr>
            <w:tcW w:w="8789"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RAŠČLAMBA PREMA PONDERIMA RIZIKA UKUPNIH IZLOŽENOSTI U SKLADU S KRITERIJIMA RASPOREĐIVANJA SPECIJALIZIRANOG F</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NANCIRANJA</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120</w:t>
            </w:r>
          </w:p>
        </w:tc>
        <w:tc>
          <w:tcPr>
            <w:tcW w:w="8789"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Od čega: u kategoriji 1 </w:t>
            </w:r>
          </w:p>
          <w:p w:rsidR="001C7AB7" w:rsidRPr="00EF7F33" w:rsidRDefault="001C7AB7" w:rsidP="001C7AB7">
            <w:pPr>
              <w:rPr>
                <w:rFonts w:ascii="Times New Roman" w:hAnsi="Times New Roman"/>
                <w:sz w:val="24"/>
              </w:rPr>
            </w:pPr>
            <w:r w:rsidRPr="00EF7F33">
              <w:rPr>
                <w:rFonts w:ascii="Times New Roman" w:hAnsi="Times New Roman"/>
                <w:sz w:val="24"/>
              </w:rPr>
              <w:t>Članak 153. stavak 5. tablica 1. CRR-a</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160</w:t>
            </w:r>
          </w:p>
        </w:tc>
        <w:tc>
          <w:tcPr>
            <w:tcW w:w="8789"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ALTERNATIVNI TRETMAN: OSIGURANO NEKRETNINOM</w:t>
            </w:r>
          </w:p>
          <w:p w:rsidR="001C7AB7" w:rsidRPr="00EF7F33" w:rsidRDefault="001C7AB7" w:rsidP="001C7AB7">
            <w:pPr>
              <w:rPr>
                <w:rFonts w:ascii="Times New Roman" w:hAnsi="Times New Roman"/>
                <w:sz w:val="24"/>
              </w:rPr>
            </w:pPr>
            <w:r w:rsidRPr="00EF7F33">
              <w:rPr>
                <w:rFonts w:ascii="Times New Roman" w:hAnsi="Times New Roman"/>
                <w:sz w:val="24"/>
              </w:rPr>
              <w:t>Članak 193. stavci 1. i 2., članak 194. stavci od 1. do 7. i članak 230. stavak 3. CRR-a.</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t>170</w:t>
            </w:r>
          </w:p>
        </w:tc>
        <w:tc>
          <w:tcPr>
            <w:tcW w:w="8789"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IZLOŽENOSTI NA OSNOVI SLOBODNIH ISPORUKA ZA KOJE SE PRIMJ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NJUJU PONDERI RIZIKA U SKLADU S ALTERNATIVNIM PRISTUPOM ILI 100 % I OSTALE IZLOŽENOSTI NA KOJE SE PRIMJENJUJU PONDERI 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ZIKA</w:t>
            </w:r>
          </w:p>
          <w:p w:rsidR="001C7AB7" w:rsidRPr="00EF7F33" w:rsidRDefault="001C7AB7" w:rsidP="00417984">
            <w:pPr>
              <w:rPr>
                <w:rFonts w:ascii="Times New Roman" w:hAnsi="Times New Roman"/>
                <w:sz w:val="24"/>
              </w:rPr>
            </w:pPr>
            <w:r w:rsidRPr="00EF7F33">
              <w:rPr>
                <w:rFonts w:ascii="Times New Roman" w:hAnsi="Times New Roman"/>
                <w:sz w:val="24"/>
              </w:rPr>
              <w:t xml:space="preserve">Izloženosti na osnovi slobodnih isporuka za koje se primjenjuje alternativni tretman iz </w:t>
            </w:r>
            <w:r w:rsidRPr="00EF7F33">
              <w:rPr>
                <w:rFonts w:ascii="Times New Roman" w:hAnsi="Times New Roman"/>
                <w:sz w:val="24"/>
              </w:rPr>
              <w:lastRenderedPageBreak/>
              <w:t>članka 379. stavka 2. prvog podstavka, zadnje rečenice CRR-a ili za koje se primjenjuje ponder rizika 100 % u skladu s člankom 379. stavkom 2. zadnjim podstavkom CRR-a. Kreditne izvedenice bez rejtinga na osnovi „n-tog” nastanka statusa neispunjavanja o</w:t>
            </w:r>
            <w:r w:rsidRPr="00EF7F33">
              <w:rPr>
                <w:rFonts w:ascii="Times New Roman" w:hAnsi="Times New Roman"/>
                <w:sz w:val="24"/>
              </w:rPr>
              <w:t>b</w:t>
            </w:r>
            <w:r w:rsidRPr="00EF7F33">
              <w:rPr>
                <w:rFonts w:ascii="Times New Roman" w:hAnsi="Times New Roman"/>
                <w:sz w:val="24"/>
              </w:rPr>
              <w:t>veza iz članka 153. stavka 8. CRR-a i sve ostale izloženosti na koje se primjenjuju po</w:t>
            </w:r>
            <w:r w:rsidRPr="00EF7F33">
              <w:rPr>
                <w:rFonts w:ascii="Times New Roman" w:hAnsi="Times New Roman"/>
                <w:sz w:val="24"/>
              </w:rPr>
              <w:t>n</w:t>
            </w:r>
            <w:r w:rsidRPr="00EF7F33">
              <w:rPr>
                <w:rFonts w:ascii="Times New Roman" w:hAnsi="Times New Roman"/>
                <w:sz w:val="24"/>
              </w:rPr>
              <w:t>deri rizika i koje nisu uključene u drugim redcima iskazuju se u ovom retku.</w:t>
            </w:r>
          </w:p>
        </w:tc>
      </w:tr>
      <w:tr w:rsidR="001C7AB7" w:rsidRPr="00EF7F33" w:rsidTr="00672D2A">
        <w:tc>
          <w:tcPr>
            <w:tcW w:w="1242" w:type="dxa"/>
          </w:tcPr>
          <w:p w:rsidR="001C7AB7" w:rsidRPr="00EF7F33" w:rsidRDefault="001C7AB7" w:rsidP="001C7AB7">
            <w:pPr>
              <w:rPr>
                <w:rFonts w:ascii="Times New Roman" w:hAnsi="Times New Roman"/>
                <w:sz w:val="24"/>
              </w:rPr>
            </w:pPr>
            <w:r w:rsidRPr="00EF7F33">
              <w:rPr>
                <w:rFonts w:ascii="Times New Roman" w:hAnsi="Times New Roman"/>
                <w:sz w:val="24"/>
              </w:rPr>
              <w:lastRenderedPageBreak/>
              <w:t>180</w:t>
            </w:r>
          </w:p>
        </w:tc>
        <w:tc>
          <w:tcPr>
            <w:tcW w:w="8789" w:type="dxa"/>
          </w:tcPr>
          <w:p w:rsidR="001C7AB7" w:rsidRPr="00EF7F33" w:rsidRDefault="001C7AB7" w:rsidP="001C7AB7">
            <w:pPr>
              <w:rPr>
                <w:rStyle w:val="InstructionsTabelleberschrift"/>
                <w:rFonts w:ascii="Times New Roman" w:hAnsi="Times New Roman"/>
                <w:sz w:val="24"/>
              </w:rPr>
            </w:pPr>
            <w:r w:rsidRPr="00EF7F33">
              <w:rPr>
                <w:rStyle w:val="InstructionsTabelleberschrift"/>
                <w:rFonts w:ascii="Times New Roman" w:hAnsi="Times New Roman"/>
                <w:sz w:val="24"/>
              </w:rPr>
              <w:t>RAZRJEĐIVAČKI RIZIK: UKUPNA OTKUPLJENA POTRAŽIVANJA</w:t>
            </w:r>
          </w:p>
          <w:p w:rsidR="001C7AB7" w:rsidRPr="00EF7F33" w:rsidRDefault="001C7AB7" w:rsidP="001C7AB7">
            <w:pPr>
              <w:rPr>
                <w:rFonts w:ascii="Times New Roman" w:hAnsi="Times New Roman"/>
                <w:sz w:val="24"/>
              </w:rPr>
            </w:pPr>
            <w:r w:rsidRPr="00EF7F33">
              <w:rPr>
                <w:rFonts w:ascii="Times New Roman" w:hAnsi="Times New Roman"/>
                <w:sz w:val="24"/>
              </w:rPr>
              <w:t>Vidjeti članak 4. točku 53. CRR-a za definiciju razrjeđivačkog rizika. Za izračun pond</w:t>
            </w:r>
            <w:r w:rsidRPr="00EF7F33">
              <w:rPr>
                <w:rFonts w:ascii="Times New Roman" w:hAnsi="Times New Roman"/>
                <w:sz w:val="24"/>
              </w:rPr>
              <w:t>e</w:t>
            </w:r>
            <w:r w:rsidRPr="00EF7F33">
              <w:rPr>
                <w:rFonts w:ascii="Times New Roman" w:hAnsi="Times New Roman"/>
                <w:sz w:val="24"/>
              </w:rPr>
              <w:t>ra rizika za razrjeđivački rizik vidjeti članak 157. stavak 1. CRR-a.</w:t>
            </w:r>
          </w:p>
          <w:p w:rsidR="001C7AB7" w:rsidRPr="00EF7F33" w:rsidRDefault="001C7AB7" w:rsidP="00FD6CCB">
            <w:pPr>
              <w:rPr>
                <w:rFonts w:ascii="Times New Roman" w:hAnsi="Times New Roman"/>
                <w:sz w:val="24"/>
              </w:rPr>
            </w:pPr>
            <w:r w:rsidRPr="00EF7F33">
              <w:rPr>
                <w:rFonts w:ascii="Times New Roman" w:hAnsi="Times New Roman"/>
                <w:sz w:val="24"/>
              </w:rPr>
              <w:t>U skladu s člankom 166. stavkom 6. CRR-a vrijednost izloženosti otkupljenih potraživ</w:t>
            </w:r>
            <w:r w:rsidRPr="00EF7F33">
              <w:rPr>
                <w:rFonts w:ascii="Times New Roman" w:hAnsi="Times New Roman"/>
                <w:sz w:val="24"/>
              </w:rPr>
              <w:t>a</w:t>
            </w:r>
            <w:r w:rsidRPr="00EF7F33">
              <w:rPr>
                <w:rFonts w:ascii="Times New Roman" w:hAnsi="Times New Roman"/>
                <w:sz w:val="24"/>
              </w:rPr>
              <w:t xml:space="preserve">nja preostali je iznos umanjen za iznose izloženosti ponderirane rizikom za razrjeđivački rizik prije smanjenja kreditnog rizika.   </w:t>
            </w:r>
          </w:p>
        </w:tc>
      </w:tr>
    </w:tbl>
    <w:p w:rsidR="004357B9" w:rsidRPr="00EF7F33"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EF7F33" w:rsidRDefault="00125707" w:rsidP="0023700C">
      <w:pPr>
        <w:pStyle w:val="Instructionsberschrift2"/>
        <w:numPr>
          <w:ilvl w:val="0"/>
          <w:numId w:val="0"/>
        </w:numPr>
        <w:ind w:left="357" w:hanging="357"/>
        <w:rPr>
          <w:rFonts w:ascii="Times New Roman" w:hAnsi="Times New Roman" w:cs="Times New Roman"/>
          <w:sz w:val="24"/>
        </w:rPr>
      </w:pPr>
      <w:bookmarkStart w:id="368" w:name="_Toc516210646"/>
      <w:bookmarkStart w:id="369" w:name="_Toc473560911"/>
      <w:bookmarkStart w:id="370" w:name="_Toc523998138"/>
      <w:r w:rsidRPr="00EF7F33">
        <w:rPr>
          <w:rFonts w:ascii="Times New Roman" w:hAnsi="Times New Roman"/>
          <w:sz w:val="24"/>
          <w:u w:val="none"/>
        </w:rPr>
        <w:t>3.3.4.</w:t>
      </w:r>
      <w:r w:rsidRPr="00EF7F33">
        <w:tab/>
      </w:r>
      <w:r w:rsidRPr="00EF7F33">
        <w:rPr>
          <w:rFonts w:ascii="Times New Roman" w:hAnsi="Times New Roman"/>
          <w:sz w:val="24"/>
        </w:rPr>
        <w:t>C 08.02 – Kreditni rizik, kreditni rizik druge ugovorne strane i slobodne isporuke: IRB pristup kapitalnim zahtjevima (raščlamba prema rejting-kategorijama dužnika ili skup</w:t>
      </w:r>
      <w:r w:rsidRPr="00EF7F33">
        <w:rPr>
          <w:rFonts w:ascii="Times New Roman" w:hAnsi="Times New Roman"/>
          <w:sz w:val="24"/>
        </w:rPr>
        <w:t>o</w:t>
      </w:r>
      <w:r w:rsidRPr="00EF7F33">
        <w:rPr>
          <w:rFonts w:ascii="Times New Roman" w:hAnsi="Times New Roman"/>
          <w:sz w:val="24"/>
        </w:rPr>
        <w:t>vima izloženosti (obrazac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EF7F33" w:rsidTr="00672D2A">
        <w:tc>
          <w:tcPr>
            <w:tcW w:w="2024" w:type="dxa"/>
            <w:shd w:val="clear" w:color="auto" w:fill="BFBFBF"/>
          </w:tcPr>
          <w:p w:rsidR="001C7AB7" w:rsidRPr="00EF7F33" w:rsidRDefault="001C7AB7" w:rsidP="001C7AB7">
            <w:pPr>
              <w:rPr>
                <w:rFonts w:ascii="Times New Roman" w:hAnsi="Times New Roman"/>
                <w:sz w:val="24"/>
              </w:rPr>
            </w:pPr>
            <w:r w:rsidRPr="00EF7F33">
              <w:rPr>
                <w:rFonts w:ascii="Times New Roman" w:hAnsi="Times New Roman"/>
                <w:sz w:val="24"/>
              </w:rPr>
              <w:t>Stupac</w:t>
            </w:r>
          </w:p>
        </w:tc>
        <w:tc>
          <w:tcPr>
            <w:tcW w:w="7804" w:type="dxa"/>
            <w:shd w:val="clear" w:color="auto" w:fill="BFBFBF"/>
          </w:tcPr>
          <w:p w:rsidR="001C7AB7" w:rsidRPr="00EF7F33" w:rsidRDefault="001C7AB7" w:rsidP="001C7AB7">
            <w:pPr>
              <w:rPr>
                <w:rFonts w:ascii="Times New Roman" w:hAnsi="Times New Roman"/>
                <w:sz w:val="24"/>
              </w:rPr>
            </w:pPr>
            <w:r w:rsidRPr="00EF7F33">
              <w:rPr>
                <w:rFonts w:ascii="Times New Roman" w:hAnsi="Times New Roman"/>
                <w:sz w:val="24"/>
              </w:rPr>
              <w:t>Upute</w:t>
            </w:r>
          </w:p>
        </w:tc>
      </w:tr>
      <w:tr w:rsidR="00E97CD2" w:rsidRPr="00EF7F33" w:rsidTr="00672D2A">
        <w:tc>
          <w:tcPr>
            <w:tcW w:w="2024" w:type="dxa"/>
          </w:tcPr>
          <w:p w:rsidR="00E97CD2" w:rsidRPr="00EF7F33" w:rsidRDefault="00E97CD2" w:rsidP="001C7AB7">
            <w:pPr>
              <w:rPr>
                <w:rFonts w:ascii="Times New Roman" w:hAnsi="Times New Roman"/>
                <w:sz w:val="24"/>
              </w:rPr>
            </w:pPr>
            <w:r w:rsidRPr="00EF7F33">
              <w:rPr>
                <w:rFonts w:ascii="Times New Roman" w:hAnsi="Times New Roman"/>
                <w:sz w:val="24"/>
              </w:rPr>
              <w:t>005</w:t>
            </w:r>
          </w:p>
        </w:tc>
        <w:tc>
          <w:tcPr>
            <w:tcW w:w="7804" w:type="dxa"/>
          </w:tcPr>
          <w:p w:rsidR="00E97CD2" w:rsidRPr="00EF7F33" w:rsidRDefault="00E97CD2" w:rsidP="001C7AB7">
            <w:pPr>
              <w:rPr>
                <w:rFonts w:ascii="Times New Roman" w:hAnsi="Times New Roman"/>
                <w:b/>
                <w:sz w:val="24"/>
                <w:u w:val="single"/>
              </w:rPr>
            </w:pPr>
            <w:r w:rsidRPr="00EF7F33">
              <w:rPr>
                <w:rFonts w:ascii="Times New Roman" w:hAnsi="Times New Roman"/>
                <w:b/>
                <w:sz w:val="24"/>
                <w:u w:val="single"/>
              </w:rPr>
              <w:t>Rejting-kategorija dužnika (identifikator retka)</w:t>
            </w:r>
          </w:p>
          <w:p w:rsidR="00E97CD2" w:rsidRPr="00EF7F33" w:rsidRDefault="00E97CD2" w:rsidP="003F05A0">
            <w:pPr>
              <w:rPr>
                <w:rFonts w:ascii="Times New Roman" w:hAnsi="Times New Roman"/>
                <w:sz w:val="24"/>
              </w:rPr>
            </w:pPr>
            <w:r w:rsidRPr="00EF7F33">
              <w:rPr>
                <w:rFonts w:ascii="Times New Roman" w:hAnsi="Times New Roman"/>
                <w:sz w:val="24"/>
              </w:rPr>
              <w:t>Ovo je identifikator retka koji je jedinstven za svaki redak pojedinog lista ta</w:t>
            </w:r>
            <w:r w:rsidRPr="00EF7F33">
              <w:rPr>
                <w:rFonts w:ascii="Times New Roman" w:hAnsi="Times New Roman"/>
                <w:sz w:val="24"/>
              </w:rPr>
              <w:t>b</w:t>
            </w:r>
            <w:r w:rsidRPr="00EF7F33">
              <w:rPr>
                <w:rFonts w:ascii="Times New Roman" w:hAnsi="Times New Roman"/>
                <w:sz w:val="24"/>
              </w:rPr>
              <w:t>lice. Navodi se numeričkim redoslijedom 1, 2, 3 itd.</w:t>
            </w:r>
          </w:p>
        </w:tc>
      </w:tr>
      <w:tr w:rsidR="001C7AB7" w:rsidRPr="00EF7F33" w:rsidTr="00672D2A">
        <w:tc>
          <w:tcPr>
            <w:tcW w:w="2024" w:type="dxa"/>
          </w:tcPr>
          <w:p w:rsidR="001C7AB7" w:rsidRPr="00EF7F33" w:rsidRDefault="001C7AB7" w:rsidP="001C7AB7">
            <w:pPr>
              <w:rPr>
                <w:rFonts w:ascii="Times New Roman" w:hAnsi="Times New Roman"/>
                <w:sz w:val="24"/>
              </w:rPr>
            </w:pPr>
            <w:r w:rsidRPr="00EF7F33">
              <w:rPr>
                <w:rFonts w:ascii="Times New Roman" w:hAnsi="Times New Roman"/>
                <w:sz w:val="24"/>
              </w:rPr>
              <w:t>010-300</w:t>
            </w:r>
          </w:p>
        </w:tc>
        <w:tc>
          <w:tcPr>
            <w:tcW w:w="7804" w:type="dxa"/>
          </w:tcPr>
          <w:p w:rsidR="001C7AB7" w:rsidRPr="00EF7F33" w:rsidRDefault="001C7AB7" w:rsidP="001C7AB7">
            <w:pPr>
              <w:rPr>
                <w:rFonts w:ascii="Times New Roman" w:hAnsi="Times New Roman"/>
                <w:sz w:val="24"/>
              </w:rPr>
            </w:pPr>
            <w:r w:rsidRPr="00EF7F33">
              <w:rPr>
                <w:rFonts w:ascii="Times New Roman" w:hAnsi="Times New Roman"/>
                <w:sz w:val="24"/>
              </w:rPr>
              <w:t>Upute za svaki od ovih stupaca jednake su uputama za odgovarajuće brojev</w:t>
            </w:r>
            <w:r w:rsidRPr="00EF7F33">
              <w:rPr>
                <w:rFonts w:ascii="Times New Roman" w:hAnsi="Times New Roman"/>
                <w:sz w:val="24"/>
              </w:rPr>
              <w:t>i</w:t>
            </w:r>
            <w:r w:rsidRPr="00EF7F33">
              <w:rPr>
                <w:rFonts w:ascii="Times New Roman" w:hAnsi="Times New Roman"/>
                <w:sz w:val="24"/>
              </w:rPr>
              <w:t>ma označene stupce u tablici CR IRB 1.</w:t>
            </w:r>
          </w:p>
        </w:tc>
      </w:tr>
    </w:tbl>
    <w:p w:rsidR="001C7AB7" w:rsidRPr="00EF7F33"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EF7F33" w:rsidTr="00672D2A">
        <w:tc>
          <w:tcPr>
            <w:tcW w:w="2024" w:type="dxa"/>
            <w:shd w:val="pct25" w:color="auto" w:fill="auto"/>
          </w:tcPr>
          <w:p w:rsidR="001C7AB7" w:rsidRPr="00EF7F33" w:rsidRDefault="001C7AB7" w:rsidP="001C7AB7">
            <w:pPr>
              <w:rPr>
                <w:rFonts w:ascii="Times New Roman" w:hAnsi="Times New Roman"/>
                <w:sz w:val="24"/>
              </w:rPr>
            </w:pPr>
            <w:r w:rsidRPr="00EF7F33">
              <w:rPr>
                <w:rFonts w:ascii="Times New Roman" w:hAnsi="Times New Roman"/>
                <w:sz w:val="24"/>
              </w:rPr>
              <w:t>Redak</w:t>
            </w:r>
          </w:p>
        </w:tc>
        <w:tc>
          <w:tcPr>
            <w:tcW w:w="7804" w:type="dxa"/>
            <w:shd w:val="pct25" w:color="auto" w:fill="auto"/>
          </w:tcPr>
          <w:p w:rsidR="001C7AB7" w:rsidRPr="00EF7F33" w:rsidRDefault="001C7AB7" w:rsidP="001C7AB7">
            <w:pPr>
              <w:rPr>
                <w:rFonts w:ascii="Times New Roman" w:hAnsi="Times New Roman"/>
                <w:sz w:val="24"/>
              </w:rPr>
            </w:pPr>
            <w:r w:rsidRPr="00EF7F33">
              <w:rPr>
                <w:rFonts w:ascii="Times New Roman" w:hAnsi="Times New Roman"/>
                <w:sz w:val="24"/>
              </w:rPr>
              <w:t>Upute</w:t>
            </w:r>
          </w:p>
        </w:tc>
      </w:tr>
      <w:tr w:rsidR="001C7AB7" w:rsidRPr="00EF7F33" w:rsidTr="00672D2A">
        <w:tc>
          <w:tcPr>
            <w:tcW w:w="2024" w:type="dxa"/>
          </w:tcPr>
          <w:p w:rsidR="001C7AB7" w:rsidRPr="00EF7F33" w:rsidRDefault="001C7AB7" w:rsidP="001C7AB7">
            <w:pPr>
              <w:rPr>
                <w:rFonts w:ascii="Times New Roman" w:hAnsi="Times New Roman"/>
                <w:sz w:val="24"/>
              </w:rPr>
            </w:pPr>
            <w:r w:rsidRPr="00EF7F33">
              <w:rPr>
                <w:rFonts w:ascii="Times New Roman" w:hAnsi="Times New Roman"/>
                <w:sz w:val="24"/>
              </w:rPr>
              <w:t>010-001 – 010-NNN</w:t>
            </w:r>
          </w:p>
        </w:tc>
        <w:tc>
          <w:tcPr>
            <w:tcW w:w="7804" w:type="dxa"/>
          </w:tcPr>
          <w:p w:rsidR="001C7AB7" w:rsidRPr="00EF7F33" w:rsidRDefault="001C7AB7" w:rsidP="001C7AB7">
            <w:pPr>
              <w:rPr>
                <w:rFonts w:ascii="Times New Roman" w:hAnsi="Times New Roman"/>
                <w:sz w:val="24"/>
              </w:rPr>
            </w:pPr>
            <w:r w:rsidRPr="00EF7F33">
              <w:rPr>
                <w:rFonts w:ascii="Times New Roman" w:hAnsi="Times New Roman"/>
                <w:sz w:val="24"/>
              </w:rPr>
              <w:t>Vrijednosti iskazane u ovim stupcima moraju se odrediti od najniže do najviše u skladu s PD-om raspoređenim u rejting-kategoriju dužnika ili skup izlož</w:t>
            </w:r>
            <w:r w:rsidRPr="00EF7F33">
              <w:rPr>
                <w:rFonts w:ascii="Times New Roman" w:hAnsi="Times New Roman"/>
                <w:sz w:val="24"/>
              </w:rPr>
              <w:t>e</w:t>
            </w:r>
            <w:r w:rsidRPr="00EF7F33">
              <w:rPr>
                <w:rFonts w:ascii="Times New Roman" w:hAnsi="Times New Roman"/>
                <w:sz w:val="24"/>
              </w:rPr>
              <w:t>nosti. PD dužnika sa statusom neispunjavanja obveza iznosi 100 %. Izloženo</w:t>
            </w:r>
            <w:r w:rsidRPr="00EF7F33">
              <w:rPr>
                <w:rFonts w:ascii="Times New Roman" w:hAnsi="Times New Roman"/>
                <w:sz w:val="24"/>
              </w:rPr>
              <w:t>s</w:t>
            </w:r>
            <w:r w:rsidRPr="00EF7F33">
              <w:rPr>
                <w:rFonts w:ascii="Times New Roman" w:hAnsi="Times New Roman"/>
                <w:sz w:val="24"/>
              </w:rPr>
              <w:t>ti na koje se primjenjuje alternativni tretman za kolateral u obliku nekretnine (dostupan samo ako se ne upotrebljavaju vlastite procjene LGD-a) ne raspor</w:t>
            </w:r>
            <w:r w:rsidRPr="00EF7F33">
              <w:rPr>
                <w:rFonts w:ascii="Times New Roman" w:hAnsi="Times New Roman"/>
                <w:sz w:val="24"/>
              </w:rPr>
              <w:t>e</w:t>
            </w:r>
            <w:r w:rsidRPr="00EF7F33">
              <w:rPr>
                <w:rFonts w:ascii="Times New Roman" w:hAnsi="Times New Roman"/>
                <w:sz w:val="24"/>
              </w:rPr>
              <w:t>đuju se u skladu s PD-om dužnika i ne iskazuju se u ovom obrascu.</w:t>
            </w:r>
          </w:p>
        </w:tc>
      </w:tr>
    </w:tbl>
    <w:p w:rsidR="004357B9" w:rsidRPr="00EF7F33" w:rsidRDefault="004357B9" w:rsidP="00FD239F">
      <w:pPr>
        <w:pStyle w:val="InstructionsText"/>
      </w:pPr>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1"/>
      <w:bookmarkStart w:id="372" w:name="_Toc516210647"/>
      <w:bookmarkStart w:id="373" w:name="_Toc473560912"/>
      <w:bookmarkStart w:id="374" w:name="_Toc523998139"/>
      <w:r w:rsidRPr="00EF7F33">
        <w:rPr>
          <w:rFonts w:ascii="Times New Roman" w:hAnsi="Times New Roman"/>
          <w:sz w:val="24"/>
          <w:u w:val="none"/>
        </w:rPr>
        <w:t>3.4.</w:t>
      </w:r>
      <w:r w:rsidRPr="00EF7F33">
        <w:tab/>
      </w:r>
      <w:r w:rsidRPr="00EF7F33">
        <w:rPr>
          <w:rFonts w:ascii="Times New Roman" w:hAnsi="Times New Roman"/>
          <w:sz w:val="24"/>
        </w:rPr>
        <w:t>Kreditni rizik, kreditni rizik druge ugovorne strane i slobodne isporuke: Informacije s geografskom raščlambom</w:t>
      </w:r>
      <w:bookmarkEnd w:id="371"/>
      <w:bookmarkEnd w:id="372"/>
      <w:bookmarkEnd w:id="373"/>
      <w:bookmarkEnd w:id="374"/>
    </w:p>
    <w:p w:rsidR="004357B9" w:rsidRPr="00EF7F33" w:rsidRDefault="00125707" w:rsidP="00C37B29">
      <w:pPr>
        <w:pStyle w:val="InstructionsText2"/>
        <w:numPr>
          <w:ilvl w:val="0"/>
          <w:numId w:val="0"/>
        </w:numPr>
        <w:ind w:left="993"/>
      </w:pPr>
      <w:r w:rsidRPr="00EF7F33">
        <w:t>79.</w:t>
      </w:r>
      <w:r w:rsidRPr="00EF7F33">
        <w:tab/>
        <w:t>Sve institucije dostavljaju informacije agregirane na ukupnoj razini. Nadalje, institucije koje ispunjavaju prag određen u članku 5. stavku (a) točki 4. ove Uredbe dostavljaju informacije o matičnoj državi te o svakoj drugoj državi raščlanjene prema zemlji. Prag se primjenjuje samo na tablicu 1. i tablicu 2. Izloženosti prema nadnacionalnim organizacijama raspoređuju se na geografsko područje „ostale zemlje”.</w:t>
      </w:r>
    </w:p>
    <w:p w:rsidR="004357B9" w:rsidRPr="00EF7F33" w:rsidRDefault="00125707" w:rsidP="00C37B29">
      <w:pPr>
        <w:pStyle w:val="InstructionsText2"/>
        <w:numPr>
          <w:ilvl w:val="0"/>
          <w:numId w:val="0"/>
        </w:numPr>
        <w:ind w:left="993"/>
      </w:pPr>
      <w:r w:rsidRPr="00EF7F33">
        <w:lastRenderedPageBreak/>
        <w:t>80.</w:t>
      </w:r>
      <w:r w:rsidRPr="00EF7F33">
        <w:tab/>
        <w:t>Pojam „boravište dužnika” odnosi se na zemlju u kojoj je osnovan dužnik. Taj se koncept može primijeniti na osnovi neposrednog dužnika i krajnjeg rizika. Stoga se tehnikama smanjenja kreditnog rizika s učincima zamjene može promijeniti ra</w:t>
      </w:r>
      <w:r w:rsidRPr="00EF7F33">
        <w:t>s</w:t>
      </w:r>
      <w:r w:rsidRPr="00EF7F33">
        <w:t>podjela izloženosti prema zemlji. Izloženosti prema nadnacionalnim organizacijama ne raspoređuju se na zemlju boravišta institucije, već na geografsko područje „Ost</w:t>
      </w:r>
      <w:r w:rsidRPr="00EF7F33">
        <w:t>a</w:t>
      </w:r>
      <w:r w:rsidRPr="00EF7F33">
        <w:t>le zemlje”, neovisno o kategoriji izloženosti u koju se raspoređuje izloženost prema nadnacionalnim organizacijama.</w:t>
      </w:r>
    </w:p>
    <w:p w:rsidR="0096378F" w:rsidRPr="00EF7F33" w:rsidRDefault="00125707" w:rsidP="00C37B29">
      <w:pPr>
        <w:pStyle w:val="InstructionsText2"/>
        <w:numPr>
          <w:ilvl w:val="0"/>
          <w:numId w:val="0"/>
        </w:numPr>
        <w:ind w:left="993"/>
      </w:pPr>
      <w:r w:rsidRPr="00EF7F33">
        <w:t>81.</w:t>
      </w:r>
      <w:r w:rsidRPr="00EF7F33">
        <w:tab/>
        <w:t>Podaci o „originalnoj izloženosti prije konverzijskih faktora” iskazuju se uz upućivanja na zemlju boravišta neposrednog dužnika. Podaci o „vrijednosti izlož</w:t>
      </w:r>
      <w:r w:rsidRPr="00EF7F33">
        <w:t>e</w:t>
      </w:r>
      <w:r w:rsidRPr="00EF7F33">
        <w:t>nosti” i „iznosima izloženosti ponderiranima rizikom” iskazuju se prema zemlji b</w:t>
      </w:r>
      <w:r w:rsidRPr="00EF7F33">
        <w:t>o</w:t>
      </w:r>
      <w:r w:rsidRPr="00EF7F33">
        <w:t>ravišta krajnjeg dužnika.</w:t>
      </w:r>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2"/>
      <w:bookmarkStart w:id="376" w:name="_Toc516210648"/>
      <w:bookmarkStart w:id="377" w:name="_Toc473560913"/>
      <w:bookmarkStart w:id="378" w:name="_Toc523998140"/>
      <w:r w:rsidRPr="00EF7F33">
        <w:rPr>
          <w:rFonts w:ascii="Times New Roman" w:hAnsi="Times New Roman"/>
          <w:sz w:val="24"/>
          <w:u w:val="none"/>
        </w:rPr>
        <w:t>3.4.1.</w:t>
      </w:r>
      <w:r w:rsidRPr="00EF7F33">
        <w:tab/>
      </w:r>
      <w:r w:rsidRPr="00EF7F33">
        <w:rPr>
          <w:rFonts w:ascii="Times New Roman" w:hAnsi="Times New Roman"/>
          <w:sz w:val="24"/>
        </w:rPr>
        <w:t>C 09.01 – Geografska raščlamba izloženosti prema boravištu dužnika: izloženosti u skladu sa standardiziranim pristupom (CR GB 1)</w:t>
      </w:r>
      <w:bookmarkEnd w:id="375"/>
      <w:bookmarkEnd w:id="376"/>
      <w:bookmarkEnd w:id="377"/>
      <w:bookmarkEnd w:id="378"/>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3"/>
      <w:bookmarkStart w:id="380" w:name="_Toc516210649"/>
      <w:bookmarkStart w:id="381" w:name="_Toc473560914"/>
      <w:bookmarkStart w:id="382" w:name="_Toc523998141"/>
      <w:r w:rsidRPr="00EF7F33">
        <w:rPr>
          <w:rFonts w:ascii="Times New Roman" w:hAnsi="Times New Roman"/>
          <w:sz w:val="24"/>
          <w:u w:val="none"/>
        </w:rPr>
        <w:t>3.4.1.1.</w:t>
      </w:r>
      <w:r w:rsidRPr="00EF7F33">
        <w:tab/>
      </w:r>
      <w:r w:rsidRPr="00EF7F33">
        <w:rPr>
          <w:rFonts w:ascii="Times New Roman" w:hAnsi="Times New Roman"/>
          <w:sz w:val="24"/>
        </w:rPr>
        <w:t>Upute za specifične pozicije</w:t>
      </w:r>
      <w:bookmarkEnd w:id="379"/>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EF7F33" w:rsidTr="00672D2A">
        <w:trPr>
          <w:trHeight w:val="581"/>
        </w:trPr>
        <w:tc>
          <w:tcPr>
            <w:tcW w:w="9828" w:type="dxa"/>
            <w:gridSpan w:val="2"/>
            <w:shd w:val="clear" w:color="auto" w:fill="CCCCCC"/>
          </w:tcPr>
          <w:p w:rsidR="004357B9" w:rsidRPr="00EF7F33" w:rsidRDefault="004357B9" w:rsidP="004357B9">
            <w:pPr>
              <w:spacing w:after="0"/>
              <w:rPr>
                <w:rStyle w:val="InstructionsTabelleText"/>
                <w:rFonts w:ascii="Times New Roman" w:hAnsi="Times New Roman"/>
                <w:b/>
                <w:sz w:val="24"/>
              </w:rPr>
            </w:pPr>
            <w:r w:rsidRPr="00EF7F33">
              <w:rPr>
                <w:rStyle w:val="InstructionsTabelleText"/>
                <w:rFonts w:ascii="Times New Roman" w:hAnsi="Times New Roman"/>
                <w:b/>
                <w:sz w:val="24"/>
              </w:rPr>
              <w:t>Stupci</w:t>
            </w:r>
          </w:p>
        </w:tc>
      </w:tr>
      <w:tr w:rsidR="004357B9" w:rsidRPr="00EF7F33" w:rsidTr="00672D2A">
        <w:tc>
          <w:tcPr>
            <w:tcW w:w="1188" w:type="dxa"/>
          </w:tcPr>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010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ORIGINALNA IZLOŽENOST PRIJE KONVERZIJSKIH FAKTORA</w:t>
            </w:r>
          </w:p>
          <w:p w:rsidR="004357B9" w:rsidRPr="00EF7F33" w:rsidRDefault="004357B9" w:rsidP="004357B9">
            <w:pPr>
              <w:rPr>
                <w:rFonts w:ascii="Times New Roman" w:hAnsi="Times New Roman"/>
                <w:sz w:val="24"/>
              </w:rPr>
            </w:pPr>
            <w:r w:rsidRPr="00EF7F33">
              <w:rPr>
                <w:rFonts w:ascii="Times New Roman" w:hAnsi="Times New Roman"/>
                <w:sz w:val="24"/>
              </w:rPr>
              <w:t>Ista definicija kao za stupac 010 obrasca CR SA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020</w:t>
            </w:r>
          </w:p>
        </w:tc>
        <w:tc>
          <w:tcPr>
            <w:tcW w:w="8640" w:type="dxa"/>
          </w:tcPr>
          <w:p w:rsidR="004357B9" w:rsidRPr="00EF7F33" w:rsidRDefault="00771E97" w:rsidP="004357B9">
            <w:pPr>
              <w:rPr>
                <w:rFonts w:ascii="Times New Roman" w:hAnsi="Times New Roman"/>
                <w:b/>
                <w:sz w:val="24"/>
                <w:u w:val="single"/>
              </w:rPr>
            </w:pPr>
            <w:r w:rsidRPr="00EF7F33">
              <w:rPr>
                <w:rFonts w:ascii="Times New Roman" w:hAnsi="Times New Roman"/>
                <w:b/>
                <w:sz w:val="24"/>
                <w:u w:val="single"/>
              </w:rPr>
              <w:t>Izloženosti sa statusom neispunjavanja obveza</w:t>
            </w:r>
          </w:p>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Originalna izloženost prije konverzijskih faktora za izloženosti koje su raspoređene kao „izloženosti sa statusom neispunjavanja obveza” i za izloženosti sa statusom neisp</w:t>
            </w:r>
            <w:r w:rsidRPr="00EF7F33">
              <w:rPr>
                <w:rStyle w:val="InstructionsTabelleText"/>
                <w:rFonts w:ascii="Times New Roman" w:hAnsi="Times New Roman"/>
                <w:sz w:val="24"/>
              </w:rPr>
              <w:t>u</w:t>
            </w:r>
            <w:r w:rsidRPr="00EF7F33">
              <w:rPr>
                <w:rStyle w:val="InstructionsTabelleText"/>
                <w:rFonts w:ascii="Times New Roman" w:hAnsi="Times New Roman"/>
                <w:sz w:val="24"/>
              </w:rPr>
              <w:t>njavanja obveza koje se raspoređuju u kategoriju „izloženosti visokorizične stavke” i „izloženosti na osnovi vlasničkih ulaganja”.</w:t>
            </w:r>
          </w:p>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U navedenoj se „bilješci” daju dodatne informacije o strukturi dužnika kategorije izl</w:t>
            </w:r>
            <w:r w:rsidRPr="00EF7F33">
              <w:rPr>
                <w:rStyle w:val="InstructionsTabelleText"/>
                <w:rFonts w:ascii="Times New Roman" w:hAnsi="Times New Roman"/>
                <w:sz w:val="24"/>
              </w:rPr>
              <w:t>o</w:t>
            </w:r>
            <w:r w:rsidRPr="00EF7F33">
              <w:rPr>
                <w:rStyle w:val="InstructionsTabelleText"/>
                <w:rFonts w:ascii="Times New Roman" w:hAnsi="Times New Roman"/>
                <w:sz w:val="24"/>
              </w:rPr>
              <w:t>ženosti sa statusom neispunjavanja obveza. Izloženosti raspoređene u kategoriju „izl</w:t>
            </w:r>
            <w:r w:rsidRPr="00EF7F33">
              <w:rPr>
                <w:rStyle w:val="InstructionsTabelleText"/>
                <w:rFonts w:ascii="Times New Roman" w:hAnsi="Times New Roman"/>
                <w:sz w:val="24"/>
              </w:rPr>
              <w:t>o</w:t>
            </w:r>
            <w:r w:rsidRPr="00EF7F33">
              <w:rPr>
                <w:rStyle w:val="InstructionsTabelleText"/>
                <w:rFonts w:ascii="Times New Roman" w:hAnsi="Times New Roman"/>
                <w:sz w:val="24"/>
              </w:rPr>
              <w:t xml:space="preserve">ženosti sa statusom neispunjavanja obveza” u skladu s člankom 112. točkom (j) CRR-a iskazuju se kada bi se dužnici morali iskazati ako te izloženosti ne bi bile raspoređene u kategorije „izloženosti sa statusom neispunjavanja obveza”. </w:t>
            </w:r>
          </w:p>
          <w:p w:rsidR="004357B9" w:rsidRPr="00EF7F33" w:rsidRDefault="004357B9" w:rsidP="004357B9">
            <w:pPr>
              <w:rPr>
                <w:rFonts w:ascii="Times New Roman" w:hAnsi="Times New Roman"/>
                <w:sz w:val="24"/>
              </w:rPr>
            </w:pPr>
            <w:r w:rsidRPr="00EF7F33">
              <w:rPr>
                <w:rStyle w:val="InstructionsTabelleText"/>
                <w:rFonts w:ascii="Times New Roman" w:hAnsi="Times New Roman"/>
                <w:sz w:val="24"/>
              </w:rPr>
              <w:t>Ta je informacija „bilješka” i stoga ne utječe na izračun iznosa izloženosti ponderiranih rizikom kategorija izloženosti „sa statusom neispunjavanja obveza”, izloženosti „vis</w:t>
            </w:r>
            <w:r w:rsidRPr="00EF7F33">
              <w:rPr>
                <w:rStyle w:val="InstructionsTabelleText"/>
                <w:rFonts w:ascii="Times New Roman" w:hAnsi="Times New Roman"/>
                <w:sz w:val="24"/>
              </w:rPr>
              <w:t>o</w:t>
            </w:r>
            <w:r w:rsidRPr="00EF7F33">
              <w:rPr>
                <w:rStyle w:val="InstructionsTabelleText"/>
                <w:rFonts w:ascii="Times New Roman" w:hAnsi="Times New Roman"/>
                <w:sz w:val="24"/>
              </w:rPr>
              <w:t>korizične stavke” i „izloženosti na osnovi vlasničkih ulaganja” u skladu s člankom 112. točkama (j), (k) i (p)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040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Zabilježeni novi statusi neispunjavanja obveza tijekom razdoblja</w:t>
            </w:r>
          </w:p>
          <w:p w:rsidR="004357B9" w:rsidRPr="00EF7F33" w:rsidRDefault="00DF70AE" w:rsidP="00DF70AE">
            <w:pPr>
              <w:rPr>
                <w:rFonts w:ascii="Times New Roman" w:hAnsi="Times New Roman"/>
                <w:b/>
                <w:sz w:val="24"/>
                <w:u w:val="single"/>
              </w:rPr>
            </w:pPr>
            <w:r w:rsidRPr="00EF7F33">
              <w:rPr>
                <w:rStyle w:val="InstructionsTabelleText"/>
                <w:rFonts w:ascii="Times New Roman" w:hAnsi="Times New Roman"/>
                <w:sz w:val="24"/>
              </w:rPr>
              <w:t>Iznos originalnih izloženosti koje su prenesene u kategoriju izloženosti „sa statusom neispunjavanja obveza” tijekom 3-mjesečnog razdoblje od posljednjeg referentnog d</w:t>
            </w:r>
            <w:r w:rsidRPr="00EF7F33">
              <w:rPr>
                <w:rStyle w:val="InstructionsTabelleText"/>
                <w:rFonts w:ascii="Times New Roman" w:hAnsi="Times New Roman"/>
                <w:sz w:val="24"/>
              </w:rPr>
              <w:t>a</w:t>
            </w:r>
            <w:r w:rsidRPr="00EF7F33">
              <w:rPr>
                <w:rStyle w:val="InstructionsTabelleText"/>
                <w:rFonts w:ascii="Times New Roman" w:hAnsi="Times New Roman"/>
                <w:sz w:val="24"/>
              </w:rPr>
              <w:t>tuma izvješćivanja iskazuje se u odnosu na kategoriju izloženosti kojoj je dužnik orig</w:t>
            </w:r>
            <w:r w:rsidRPr="00EF7F33">
              <w:rPr>
                <w:rStyle w:val="InstructionsTabelleText"/>
                <w:rFonts w:ascii="Times New Roman" w:hAnsi="Times New Roman"/>
                <w:sz w:val="24"/>
              </w:rPr>
              <w:t>i</w:t>
            </w:r>
            <w:r w:rsidRPr="00EF7F33">
              <w:rPr>
                <w:rStyle w:val="InstructionsTabelleText"/>
                <w:rFonts w:ascii="Times New Roman" w:hAnsi="Times New Roman"/>
                <w:sz w:val="24"/>
              </w:rPr>
              <w:t>nalno pripadao.</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050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Opći ispravci vrijednosti za kreditni rizik</w:t>
            </w:r>
          </w:p>
          <w:p w:rsidR="004357B9" w:rsidRPr="00EF7F33" w:rsidRDefault="004357B9" w:rsidP="004357B9">
            <w:pPr>
              <w:rPr>
                <w:rFonts w:ascii="Times New Roman" w:hAnsi="Times New Roman"/>
                <w:sz w:val="24"/>
              </w:rPr>
            </w:pPr>
            <w:r w:rsidRPr="00EF7F33">
              <w:rPr>
                <w:rFonts w:ascii="Times New Roman" w:hAnsi="Times New Roman"/>
                <w:sz w:val="24"/>
              </w:rPr>
              <w:t xml:space="preserve">Ispravci vrijednosti za kreditni rizik u skladu s člankom 110. CRR-a. </w:t>
            </w:r>
          </w:p>
          <w:p w:rsidR="00D95045" w:rsidRPr="00EF7F33" w:rsidRDefault="00D95045" w:rsidP="00D95045">
            <w:pPr>
              <w:rPr>
                <w:rFonts w:ascii="Times New Roman" w:hAnsi="Times New Roman"/>
                <w:sz w:val="24"/>
              </w:rPr>
            </w:pPr>
            <w:r w:rsidRPr="00EF7F33">
              <w:rPr>
                <w:rFonts w:ascii="Times New Roman" w:hAnsi="Times New Roman"/>
                <w:sz w:val="24"/>
              </w:rPr>
              <w:t xml:space="preserve">Ova stavka uključuje opće ispravke vrijednosti za kreditni rizik koji ispunjavaju uvjete </w:t>
            </w:r>
            <w:r w:rsidRPr="00EF7F33">
              <w:rPr>
                <w:rFonts w:ascii="Times New Roman" w:hAnsi="Times New Roman"/>
                <w:sz w:val="24"/>
              </w:rPr>
              <w:lastRenderedPageBreak/>
              <w:t>za uključivanje u dopunski kapital, prije primjene gornje granice iz članka 62. točke (c) CRR-a.</w:t>
            </w:r>
          </w:p>
          <w:p w:rsidR="00D95045" w:rsidRPr="00EF7F33" w:rsidRDefault="00D95045" w:rsidP="00D95045">
            <w:pPr>
              <w:rPr>
                <w:rFonts w:ascii="Times New Roman" w:hAnsi="Times New Roman"/>
                <w:b/>
                <w:sz w:val="24"/>
                <w:u w:val="single"/>
              </w:rPr>
            </w:pPr>
            <w:r w:rsidRPr="00EF7F33">
              <w:rPr>
                <w:rFonts w:ascii="Times New Roman" w:hAnsi="Times New Roman"/>
                <w:sz w:val="24"/>
              </w:rPr>
              <w:t>Iznos koji je potrebno iskazati nije umanjen za porezne učinke.</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lastRenderedPageBreak/>
              <w:t>055</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Specifični ispravci vrijednosti za kreditni rizik</w:t>
            </w:r>
          </w:p>
          <w:p w:rsidR="004357B9" w:rsidRPr="00EF7F33" w:rsidRDefault="004357B9" w:rsidP="004357B9">
            <w:pPr>
              <w:rPr>
                <w:rFonts w:ascii="Times New Roman" w:hAnsi="Times New Roman"/>
                <w:b/>
                <w:sz w:val="24"/>
                <w:u w:val="single"/>
              </w:rPr>
            </w:pPr>
            <w:r w:rsidRPr="00EF7F33">
              <w:rPr>
                <w:rFonts w:ascii="Times New Roman" w:hAnsi="Times New Roman"/>
                <w:sz w:val="24"/>
              </w:rPr>
              <w:t>Ispravci vrijednosti za kreditni rizik u skladu s člankom 110.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060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Otpisi</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Otpisi uključuju smanjenja umanjene vrijednosti financijske imovine izravno priznate u dobiti ili gubitku [MSFI 7.B5.(d).(i)] i smanjenja iznosa ispravaka vrijednosti umanj</w:t>
            </w:r>
            <w:r w:rsidRPr="00EF7F33">
              <w:rPr>
                <w:rStyle w:val="InstructionsTabelleText"/>
                <w:rFonts w:ascii="Times New Roman" w:hAnsi="Times New Roman"/>
                <w:sz w:val="24"/>
              </w:rPr>
              <w:t>e</w:t>
            </w:r>
            <w:r w:rsidRPr="00EF7F33">
              <w:rPr>
                <w:rStyle w:val="InstructionsTabelleText"/>
                <w:rFonts w:ascii="Times New Roman" w:hAnsi="Times New Roman"/>
                <w:sz w:val="24"/>
              </w:rPr>
              <w:t>ne financijske imovine [MSFI 7.B5.(d).(ii)].</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070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Ispravci vrijednosti za kreditni rizik/otpisi za zabilježene nove statuse neispunj</w:t>
            </w:r>
            <w:r w:rsidRPr="00EF7F33">
              <w:rPr>
                <w:rFonts w:ascii="Times New Roman" w:hAnsi="Times New Roman"/>
                <w:b/>
                <w:sz w:val="24"/>
                <w:u w:val="single"/>
              </w:rPr>
              <w:t>a</w:t>
            </w:r>
            <w:r w:rsidRPr="00EF7F33">
              <w:rPr>
                <w:rFonts w:ascii="Times New Roman" w:hAnsi="Times New Roman"/>
                <w:b/>
                <w:sz w:val="24"/>
                <w:u w:val="single"/>
              </w:rPr>
              <w:t>vanja obveza</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Zbroj ispravaka vrijednosti i otpisa za izloženosti koje su razvrstane kao „izloženosti sa statusom neispunjavanja obveza” tijekom 3-mjesečnog razdoblja od posljednjeg po</w:t>
            </w:r>
            <w:r w:rsidRPr="00EF7F33">
              <w:rPr>
                <w:rStyle w:val="InstructionsTabelleText"/>
                <w:rFonts w:ascii="Times New Roman" w:hAnsi="Times New Roman"/>
                <w:sz w:val="24"/>
              </w:rPr>
              <w:t>d</w:t>
            </w:r>
            <w:r w:rsidRPr="00EF7F33">
              <w:rPr>
                <w:rStyle w:val="InstructionsTabelleText"/>
                <w:rFonts w:ascii="Times New Roman" w:hAnsi="Times New Roman"/>
                <w:sz w:val="24"/>
              </w:rPr>
              <w:t>nošenja podataka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075</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Vrijednost izloženosti</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200 obrasca CR SA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080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IZNOS IZLOŽENOSTI PONDERIRAN RIZIKOM PRIJE PRIMJENE POM</w:t>
            </w:r>
            <w:r w:rsidRPr="00EF7F33">
              <w:rPr>
                <w:rFonts w:ascii="Times New Roman" w:hAnsi="Times New Roman"/>
                <w:b/>
                <w:sz w:val="24"/>
                <w:u w:val="single"/>
              </w:rPr>
              <w:t>O</w:t>
            </w:r>
            <w:r w:rsidRPr="00EF7F33">
              <w:rPr>
                <w:rFonts w:ascii="Times New Roman" w:hAnsi="Times New Roman"/>
                <w:b/>
                <w:sz w:val="24"/>
                <w:u w:val="single"/>
              </w:rPr>
              <w:t>ĆNOG FAKTORA ZA MSP-ove</w:t>
            </w:r>
          </w:p>
          <w:p w:rsidR="004357B9" w:rsidRPr="00EF7F33" w:rsidRDefault="004357B9" w:rsidP="004357B9">
            <w:pPr>
              <w:rPr>
                <w:rFonts w:ascii="Times New Roman" w:hAnsi="Times New Roman"/>
                <w:b/>
                <w:sz w:val="24"/>
                <w:u w:val="single"/>
              </w:rPr>
            </w:pPr>
            <w:r w:rsidRPr="00EF7F33">
              <w:rPr>
                <w:rFonts w:ascii="Times New Roman" w:hAnsi="Times New Roman"/>
                <w:sz w:val="24"/>
              </w:rPr>
              <w:t>Ista definicija kao za stupac 215 obrasca CR SA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090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IZNOS IZLOŽENOSTI PONDERIRAN RIZIKOM NAKON PRIMJENE P</w:t>
            </w:r>
            <w:r w:rsidRPr="00EF7F33">
              <w:rPr>
                <w:rFonts w:ascii="Times New Roman" w:hAnsi="Times New Roman"/>
                <w:b/>
                <w:sz w:val="24"/>
                <w:u w:val="single"/>
              </w:rPr>
              <w:t>O</w:t>
            </w:r>
            <w:r w:rsidRPr="00EF7F33">
              <w:rPr>
                <w:rFonts w:ascii="Times New Roman" w:hAnsi="Times New Roman"/>
                <w:b/>
                <w:sz w:val="24"/>
                <w:u w:val="single"/>
              </w:rPr>
              <w:t>MOĆNOG FAKTORA ZA MSP-ove</w:t>
            </w:r>
          </w:p>
          <w:p w:rsidR="004357B9" w:rsidRPr="00EF7F33" w:rsidRDefault="004357B9" w:rsidP="004357B9">
            <w:pPr>
              <w:rPr>
                <w:rFonts w:ascii="Times New Roman" w:hAnsi="Times New Roman"/>
                <w:b/>
                <w:sz w:val="24"/>
                <w:u w:val="single"/>
              </w:rPr>
            </w:pPr>
            <w:r w:rsidRPr="00EF7F33">
              <w:rPr>
                <w:rFonts w:ascii="Times New Roman" w:hAnsi="Times New Roman"/>
                <w:sz w:val="24"/>
              </w:rPr>
              <w:t>Ista definicija kao za stupac 220 obrasca CR SA</w:t>
            </w:r>
          </w:p>
        </w:tc>
      </w:tr>
    </w:tbl>
    <w:p w:rsidR="004357B9" w:rsidRPr="00EF7F33"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EF7F33" w:rsidTr="00672D2A">
        <w:trPr>
          <w:gridAfter w:val="1"/>
          <w:wAfter w:w="61" w:type="dxa"/>
          <w:trHeight w:val="581"/>
        </w:trPr>
        <w:tc>
          <w:tcPr>
            <w:tcW w:w="9828" w:type="dxa"/>
            <w:gridSpan w:val="2"/>
            <w:shd w:val="clear" w:color="auto" w:fill="CCCCCC"/>
          </w:tcPr>
          <w:p w:rsidR="004357B9" w:rsidRPr="00EF7F33" w:rsidRDefault="004357B9" w:rsidP="004357B9">
            <w:pPr>
              <w:spacing w:after="0"/>
              <w:rPr>
                <w:rStyle w:val="InstructionsTabelleText"/>
                <w:rFonts w:ascii="Times New Roman" w:hAnsi="Times New Roman"/>
                <w:b/>
                <w:sz w:val="24"/>
              </w:rPr>
            </w:pPr>
            <w:r w:rsidRPr="00EF7F33">
              <w:rPr>
                <w:rStyle w:val="InstructionsTabelleText"/>
                <w:rFonts w:ascii="Times New Roman" w:hAnsi="Times New Roman"/>
                <w:b/>
                <w:sz w:val="24"/>
              </w:rPr>
              <w:t>Redci</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010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Središnje države ili središnje banke</w:t>
            </w:r>
          </w:p>
          <w:p w:rsidR="004357B9" w:rsidRPr="00EF7F33" w:rsidRDefault="004357B9" w:rsidP="004357B9">
            <w:pPr>
              <w:ind w:left="72"/>
              <w:rPr>
                <w:rStyle w:val="InstructionsTabelleText"/>
                <w:rFonts w:ascii="Times New Roman" w:hAnsi="Times New Roman"/>
                <w:sz w:val="24"/>
              </w:rPr>
            </w:pPr>
            <w:r w:rsidRPr="00EF7F33">
              <w:rPr>
                <w:rFonts w:ascii="Times New Roman" w:hAnsi="Times New Roman"/>
                <w:sz w:val="24"/>
              </w:rPr>
              <w:t>Članak 112. točka (a)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020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Jedinice područne (regionalne) ili lokalne samouprave</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(b)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030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Subjekti javnog sektora</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(c)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040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Multilateralne razvojne banke</w:t>
            </w:r>
          </w:p>
          <w:p w:rsidR="004357B9" w:rsidRPr="00EF7F33" w:rsidRDefault="004357B9" w:rsidP="004357B9">
            <w:pPr>
              <w:ind w:left="72"/>
              <w:rPr>
                <w:rStyle w:val="InstructionsTabelleberschrift"/>
                <w:rFonts w:ascii="Times New Roman" w:hAnsi="Times New Roman"/>
                <w:sz w:val="24"/>
              </w:rPr>
            </w:pPr>
            <w:r w:rsidRPr="00EF7F33">
              <w:rPr>
                <w:rStyle w:val="InstructionsTabelleText"/>
                <w:rFonts w:ascii="Times New Roman" w:hAnsi="Times New Roman"/>
                <w:sz w:val="24"/>
              </w:rPr>
              <w:t>Članak 112. točka (d)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050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Međunarodne organizacije</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lastRenderedPageBreak/>
              <w:t>Članak 112. točka (e)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lastRenderedPageBreak/>
              <w:t>060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Institucije</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(f)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070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Trgovačka društva</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(g)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075</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od čega: MSP</w:t>
            </w:r>
          </w:p>
          <w:p w:rsidR="004357B9" w:rsidRPr="00EF7F33" w:rsidRDefault="004357B9" w:rsidP="007121C9">
            <w:pPr>
              <w:ind w:left="72"/>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Ista definicija kao za redak 020 obrasca CR SA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080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Stanovništvo</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(h)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085</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od čega: MSP</w:t>
            </w:r>
          </w:p>
          <w:p w:rsidR="004357B9" w:rsidRPr="00EF7F33" w:rsidRDefault="004357B9" w:rsidP="00DE26F2">
            <w:pPr>
              <w:ind w:left="72"/>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Ista definicija kao za redak 020 obrasca CR SA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090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Osigurane nekretninama</w:t>
            </w:r>
          </w:p>
          <w:p w:rsidR="004357B9" w:rsidRPr="00EF7F33" w:rsidRDefault="004357B9" w:rsidP="000E309A">
            <w:pPr>
              <w:ind w:left="72"/>
              <w:rPr>
                <w:rStyle w:val="InstructionsTabelleText"/>
                <w:rFonts w:ascii="Times New Roman" w:hAnsi="Times New Roman"/>
                <w:sz w:val="24"/>
              </w:rPr>
            </w:pPr>
            <w:r w:rsidRPr="00EF7F33">
              <w:rPr>
                <w:rFonts w:ascii="Times New Roman" w:hAnsi="Times New Roman"/>
                <w:sz w:val="24"/>
              </w:rPr>
              <w:t xml:space="preserve">Članak 112. točka </w:t>
            </w:r>
            <w:r w:rsidR="000E309A">
              <w:rPr>
                <w:rFonts w:ascii="Times New Roman" w:hAnsi="Times New Roman"/>
                <w:sz w:val="24"/>
              </w:rPr>
              <w:t>(</w:t>
            </w:r>
            <w:r w:rsidRPr="00EF7F33">
              <w:rPr>
                <w:rFonts w:ascii="Times New Roman" w:hAnsi="Times New Roman"/>
                <w:sz w:val="24"/>
              </w:rPr>
              <w:t>i</w:t>
            </w:r>
            <w:r w:rsidR="000E309A">
              <w:rPr>
                <w:rFonts w:ascii="Times New Roman" w:hAnsi="Times New Roman"/>
                <w:sz w:val="24"/>
              </w:rPr>
              <w:t>)</w:t>
            </w:r>
            <w:r w:rsidRPr="00EF7F33">
              <w:rPr>
                <w:rFonts w:ascii="Times New Roman" w:hAnsi="Times New Roman"/>
                <w:sz w:val="24"/>
              </w:rPr>
              <w:t xml:space="preserve">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095</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od čega: MSP</w:t>
            </w:r>
          </w:p>
          <w:p w:rsidR="004357B9" w:rsidRPr="00EF7F33" w:rsidRDefault="004357B9" w:rsidP="00DE26F2">
            <w:pPr>
              <w:ind w:left="72"/>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Ista definicija kao za redak 020 obrasca CR SA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100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Izloženosti sa statusom neispunjavanja obveza</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(j)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110</w:t>
            </w:r>
          </w:p>
        </w:tc>
        <w:tc>
          <w:tcPr>
            <w:tcW w:w="8701" w:type="dxa"/>
            <w:gridSpan w:val="2"/>
            <w:shd w:val="clear" w:color="auto" w:fill="FFFFFF"/>
          </w:tcPr>
          <w:p w:rsidR="004357B9" w:rsidRPr="00EF7F33" w:rsidRDefault="000565B6" w:rsidP="004357B9">
            <w:pPr>
              <w:autoSpaceDE w:val="0"/>
              <w:autoSpaceDN w:val="0"/>
              <w:adjustRightInd w:val="0"/>
              <w:spacing w:before="0"/>
              <w:ind w:left="72"/>
              <w:jc w:val="left"/>
              <w:rPr>
                <w:rFonts w:ascii="Times New Roman" w:hAnsi="Times New Roman"/>
                <w:b/>
                <w:bCs/>
                <w:sz w:val="24"/>
                <w:u w:val="single"/>
              </w:rPr>
            </w:pPr>
            <w:r w:rsidRPr="00EF7F33">
              <w:rPr>
                <w:rFonts w:ascii="Times New Roman" w:hAnsi="Times New Roman"/>
                <w:b/>
                <w:sz w:val="24"/>
                <w:u w:val="single"/>
              </w:rPr>
              <w:t>Visokorizične stavke</w:t>
            </w:r>
          </w:p>
          <w:p w:rsidR="004357B9" w:rsidRPr="00EF7F33"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EF7F33">
              <w:rPr>
                <w:rFonts w:ascii="Times New Roman" w:hAnsi="Times New Roman"/>
                <w:sz w:val="24"/>
              </w:rPr>
              <w:t>Članak 112. točka (k)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120</w:t>
            </w:r>
          </w:p>
        </w:tc>
        <w:tc>
          <w:tcPr>
            <w:tcW w:w="8701" w:type="dxa"/>
            <w:gridSpan w:val="2"/>
            <w:shd w:val="clear" w:color="auto" w:fill="FFFFFF"/>
          </w:tcPr>
          <w:p w:rsidR="004357B9" w:rsidRPr="00EF7F33"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EF7F33">
              <w:rPr>
                <w:rStyle w:val="InstructionsTabelleberschrift"/>
                <w:rFonts w:ascii="Times New Roman" w:hAnsi="Times New Roman"/>
                <w:sz w:val="24"/>
              </w:rPr>
              <w:t>Pokrivene obveznice</w:t>
            </w:r>
          </w:p>
          <w:p w:rsidR="004357B9" w:rsidRPr="00EF7F33"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EF7F33">
              <w:rPr>
                <w:rFonts w:ascii="Times New Roman" w:hAnsi="Times New Roman"/>
                <w:sz w:val="24"/>
                <w:u w:val="single"/>
              </w:rPr>
              <w:t>Članak 112. točka (l)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130</w:t>
            </w:r>
          </w:p>
          <w:p w:rsidR="004357B9" w:rsidRPr="00EF7F33" w:rsidRDefault="004357B9" w:rsidP="004357B9">
            <w:pPr>
              <w:rPr>
                <w:rFonts w:ascii="Times New Roman" w:hAnsi="Times New Roman"/>
                <w:sz w:val="24"/>
              </w:rPr>
            </w:pP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bCs w:val="0"/>
                <w:sz w:val="24"/>
              </w:rPr>
            </w:pPr>
            <w:r w:rsidRPr="00EF7F33">
              <w:rPr>
                <w:rStyle w:val="InstructionsTabelleberschrift"/>
                <w:rFonts w:ascii="Times New Roman" w:hAnsi="Times New Roman"/>
                <w:sz w:val="24"/>
              </w:rPr>
              <w:t>Potraživanja prema institucijama i trgovačkim društvima s kratkoročnom kred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tnom procjenom</w:t>
            </w:r>
          </w:p>
          <w:p w:rsidR="004357B9" w:rsidRPr="00EF7F33" w:rsidRDefault="004357B9" w:rsidP="004357B9">
            <w:pPr>
              <w:ind w:left="72"/>
              <w:rPr>
                <w:rFonts w:ascii="Times New Roman" w:hAnsi="Times New Roman"/>
                <w:sz w:val="24"/>
              </w:rPr>
            </w:pPr>
            <w:r w:rsidRPr="00EF7F33">
              <w:rPr>
                <w:rFonts w:ascii="Times New Roman" w:hAnsi="Times New Roman"/>
                <w:sz w:val="24"/>
              </w:rPr>
              <w:t>Članak 112. točka (n)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140</w:t>
            </w:r>
          </w:p>
        </w:tc>
        <w:tc>
          <w:tcPr>
            <w:tcW w:w="8701" w:type="dxa"/>
            <w:gridSpan w:val="2"/>
            <w:shd w:val="clear" w:color="auto" w:fill="FFFFFF"/>
          </w:tcPr>
          <w:p w:rsidR="00D82B60" w:rsidRPr="00EF7F33" w:rsidRDefault="00A402A8"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Subjekti za zajednička ulaganja (CIU)</w:t>
            </w:r>
          </w:p>
          <w:p w:rsidR="004357B9" w:rsidRPr="00EF7F33" w:rsidRDefault="004357B9" w:rsidP="004357B9">
            <w:pPr>
              <w:ind w:left="72"/>
              <w:rPr>
                <w:rStyle w:val="InstructionsTabelleberschrift"/>
                <w:rFonts w:ascii="Times New Roman" w:hAnsi="Times New Roman"/>
                <w:b w:val="0"/>
                <w:bCs w:val="0"/>
                <w:sz w:val="24"/>
                <w:u w:val="none"/>
              </w:rPr>
            </w:pPr>
            <w:r w:rsidRPr="00EF7F33">
              <w:rPr>
                <w:rFonts w:ascii="Times New Roman" w:hAnsi="Times New Roman"/>
                <w:sz w:val="24"/>
              </w:rPr>
              <w:t>Članak 112. točka (o)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150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Izloženosti na osnovi vlasničkih ulaganja</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(p) CRR-a.</w:t>
            </w:r>
          </w:p>
        </w:tc>
      </w:tr>
      <w:tr w:rsidR="004357B9" w:rsidRPr="00EF7F33" w:rsidTr="00672D2A">
        <w:tc>
          <w:tcPr>
            <w:tcW w:w="1188" w:type="dxa"/>
            <w:shd w:val="clear" w:color="auto" w:fill="FFFFFF"/>
          </w:tcPr>
          <w:p w:rsidR="004357B9" w:rsidRPr="00EF7F33" w:rsidRDefault="004357B9" w:rsidP="004357B9">
            <w:pPr>
              <w:rPr>
                <w:rFonts w:ascii="Times New Roman" w:hAnsi="Times New Roman"/>
                <w:sz w:val="24"/>
              </w:rPr>
            </w:pPr>
            <w:r w:rsidRPr="00EF7F33">
              <w:rPr>
                <w:rFonts w:ascii="Times New Roman" w:hAnsi="Times New Roman"/>
                <w:sz w:val="24"/>
              </w:rPr>
              <w:t>160</w:t>
            </w:r>
          </w:p>
        </w:tc>
        <w:tc>
          <w:tcPr>
            <w:tcW w:w="8701" w:type="dxa"/>
            <w:gridSpan w:val="2"/>
            <w:shd w:val="clear" w:color="auto" w:fill="FFFFFF"/>
          </w:tcPr>
          <w:p w:rsidR="004357B9" w:rsidRPr="00EF7F33" w:rsidRDefault="004357B9"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Ostale izloženosti</w:t>
            </w:r>
          </w:p>
          <w:p w:rsidR="004357B9" w:rsidRPr="00EF7F33" w:rsidRDefault="004357B9" w:rsidP="004357B9">
            <w:pPr>
              <w:ind w:left="72"/>
              <w:rPr>
                <w:rStyle w:val="InstructionsTabelleberschrift"/>
                <w:rFonts w:ascii="Times New Roman" w:hAnsi="Times New Roman"/>
                <w:sz w:val="24"/>
              </w:rPr>
            </w:pPr>
            <w:r w:rsidRPr="00EF7F33">
              <w:rPr>
                <w:rFonts w:ascii="Times New Roman" w:hAnsi="Times New Roman"/>
                <w:sz w:val="24"/>
              </w:rPr>
              <w:t>Članak 112. točka (q) CRR-a.</w:t>
            </w:r>
          </w:p>
        </w:tc>
      </w:tr>
      <w:tr w:rsidR="007A49AC" w:rsidRPr="00EF7F33" w:rsidTr="00672D2A">
        <w:tc>
          <w:tcPr>
            <w:tcW w:w="1188" w:type="dxa"/>
            <w:shd w:val="clear" w:color="auto" w:fill="FFFFFF"/>
          </w:tcPr>
          <w:p w:rsidR="007A49AC" w:rsidRPr="00EF7F33" w:rsidRDefault="007A49AC" w:rsidP="004357B9">
            <w:pPr>
              <w:rPr>
                <w:rFonts w:ascii="Times New Roman" w:hAnsi="Times New Roman"/>
                <w:sz w:val="24"/>
              </w:rPr>
            </w:pPr>
            <w:r w:rsidRPr="00EF7F33">
              <w:rPr>
                <w:rFonts w:ascii="Times New Roman" w:hAnsi="Times New Roman"/>
                <w:sz w:val="24"/>
              </w:rPr>
              <w:t>170</w:t>
            </w:r>
          </w:p>
        </w:tc>
        <w:tc>
          <w:tcPr>
            <w:tcW w:w="8701" w:type="dxa"/>
            <w:gridSpan w:val="2"/>
            <w:shd w:val="clear" w:color="auto" w:fill="FFFFFF"/>
          </w:tcPr>
          <w:p w:rsidR="007A49AC" w:rsidRPr="00EF7F33" w:rsidRDefault="007A49AC" w:rsidP="004357B9">
            <w:pPr>
              <w:ind w:left="72"/>
              <w:rPr>
                <w:rStyle w:val="InstructionsTabelleberschrift"/>
                <w:rFonts w:ascii="Times New Roman" w:hAnsi="Times New Roman"/>
                <w:sz w:val="24"/>
              </w:rPr>
            </w:pPr>
            <w:r w:rsidRPr="00EF7F33">
              <w:rPr>
                <w:rStyle w:val="InstructionsTabelleberschrift"/>
                <w:rFonts w:ascii="Times New Roman" w:hAnsi="Times New Roman"/>
                <w:sz w:val="24"/>
              </w:rPr>
              <w:t>Ukupne izloženosti</w:t>
            </w:r>
          </w:p>
        </w:tc>
      </w:tr>
    </w:tbl>
    <w:p w:rsidR="004357B9" w:rsidRPr="00EF7F33" w:rsidRDefault="004357B9" w:rsidP="004357B9">
      <w:pPr>
        <w:spacing w:before="0" w:after="200" w:line="312" w:lineRule="auto"/>
        <w:jc w:val="left"/>
        <w:rPr>
          <w:rFonts w:ascii="Times New Roman" w:hAnsi="Times New Roman"/>
          <w:sz w:val="24"/>
        </w:rPr>
      </w:pPr>
      <w:bookmarkStart w:id="383" w:name="_Toc292456210"/>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84" w:name="_Toc360188364"/>
      <w:bookmarkStart w:id="385" w:name="_Toc516210650"/>
      <w:bookmarkStart w:id="386" w:name="_Toc473560915"/>
      <w:bookmarkStart w:id="387" w:name="_Toc523998142"/>
      <w:r w:rsidRPr="00EF7F33">
        <w:rPr>
          <w:rFonts w:ascii="Times New Roman" w:hAnsi="Times New Roman"/>
          <w:sz w:val="24"/>
          <w:u w:val="none"/>
        </w:rPr>
        <w:t>3.4.2.</w:t>
      </w:r>
      <w:r w:rsidRPr="00EF7F33">
        <w:tab/>
      </w:r>
      <w:r w:rsidRPr="00EF7F33">
        <w:rPr>
          <w:rFonts w:ascii="Times New Roman" w:hAnsi="Times New Roman"/>
          <w:sz w:val="24"/>
        </w:rPr>
        <w:t xml:space="preserve">C 09.02 – Geografska raščlamba izloženosti prema boravištu dužnika: Izloženosti u skladu s IRB pristupom </w:t>
      </w:r>
      <w:bookmarkEnd w:id="384"/>
      <w:r w:rsidRPr="00EF7F33">
        <w:rPr>
          <w:rFonts w:ascii="Times New Roman" w:hAnsi="Times New Roman"/>
          <w:sz w:val="24"/>
        </w:rPr>
        <w:t xml:space="preserve"> (CR GB 2)</w:t>
      </w:r>
      <w:bookmarkEnd w:id="385"/>
      <w:bookmarkEnd w:id="386"/>
      <w:bookmarkEnd w:id="387"/>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88" w:name="_Toc360188365"/>
      <w:bookmarkStart w:id="389" w:name="_Toc516210651"/>
      <w:bookmarkStart w:id="390" w:name="_Toc473560916"/>
      <w:bookmarkStart w:id="391" w:name="_Toc523998143"/>
      <w:r w:rsidRPr="00EF7F33">
        <w:rPr>
          <w:rFonts w:ascii="Times New Roman" w:hAnsi="Times New Roman"/>
          <w:sz w:val="24"/>
          <w:u w:val="none"/>
        </w:rPr>
        <w:t>3.4.2.1.</w:t>
      </w:r>
      <w:r w:rsidRPr="00EF7F33">
        <w:tab/>
      </w:r>
      <w:r w:rsidRPr="00EF7F33">
        <w:rPr>
          <w:rFonts w:ascii="Times New Roman" w:hAnsi="Times New Roman"/>
          <w:sz w:val="24"/>
        </w:rPr>
        <w:t>Upute za specifične pozicije</w:t>
      </w:r>
      <w:bookmarkEnd w:id="388"/>
      <w:bookmarkEnd w:id="389"/>
      <w:bookmarkEnd w:id="390"/>
      <w:bookmarkEnd w:id="39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EF7F33" w:rsidTr="00672D2A">
        <w:tc>
          <w:tcPr>
            <w:tcW w:w="1188" w:type="dxa"/>
            <w:shd w:val="clear" w:color="auto" w:fill="CCCCCC"/>
          </w:tcPr>
          <w:p w:rsidR="004357B9" w:rsidRPr="00EF7F33" w:rsidRDefault="004357B9" w:rsidP="004357B9">
            <w:pPr>
              <w:rPr>
                <w:rFonts w:ascii="Times New Roman" w:hAnsi="Times New Roman"/>
                <w:b/>
                <w:sz w:val="24"/>
              </w:rPr>
            </w:pPr>
            <w:r w:rsidRPr="00EF7F33">
              <w:rPr>
                <w:rFonts w:ascii="Times New Roman" w:hAnsi="Times New Roman"/>
                <w:b/>
                <w:sz w:val="24"/>
              </w:rPr>
              <w:t>Stupci</w:t>
            </w:r>
          </w:p>
        </w:tc>
        <w:tc>
          <w:tcPr>
            <w:tcW w:w="8640" w:type="dxa"/>
            <w:shd w:val="clear" w:color="auto" w:fill="CCCCCC"/>
          </w:tcPr>
          <w:p w:rsidR="004357B9" w:rsidRPr="00EF7F33" w:rsidRDefault="004357B9" w:rsidP="004357B9">
            <w:pPr>
              <w:ind w:left="72"/>
              <w:rPr>
                <w:rFonts w:ascii="Times New Roman" w:hAnsi="Times New Roman"/>
                <w:sz w:val="24"/>
              </w:rPr>
            </w:pPr>
          </w:p>
        </w:tc>
      </w:tr>
      <w:tr w:rsidR="004357B9" w:rsidRPr="00EF7F33" w:rsidTr="00672D2A">
        <w:tc>
          <w:tcPr>
            <w:tcW w:w="1188" w:type="dxa"/>
          </w:tcPr>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010</w:t>
            </w:r>
          </w:p>
        </w:tc>
        <w:tc>
          <w:tcPr>
            <w:tcW w:w="8640" w:type="dxa"/>
          </w:tcPr>
          <w:p w:rsidR="004357B9" w:rsidRPr="00EF7F33" w:rsidRDefault="004357B9" w:rsidP="004357B9">
            <w:pPr>
              <w:rPr>
                <w:rStyle w:val="InstructionsTabelleberschrift"/>
                <w:rFonts w:ascii="Times New Roman" w:hAnsi="Times New Roman"/>
                <w:sz w:val="24"/>
              </w:rPr>
            </w:pPr>
            <w:r w:rsidRPr="00EF7F33">
              <w:rPr>
                <w:rStyle w:val="InstructionsTabelleberschrift"/>
                <w:rFonts w:ascii="Times New Roman" w:hAnsi="Times New Roman"/>
                <w:sz w:val="24"/>
              </w:rPr>
              <w:t>ORIGINALNA IZLOŽENOST PRIJE KONVERZIJSKIH FAKTORA</w:t>
            </w:r>
          </w:p>
          <w:p w:rsidR="004357B9" w:rsidRPr="00EF7F33" w:rsidRDefault="004357B9" w:rsidP="004357B9">
            <w:pPr>
              <w:autoSpaceDE w:val="0"/>
              <w:autoSpaceDN w:val="0"/>
              <w:adjustRightInd w:val="0"/>
              <w:spacing w:before="0" w:after="0"/>
              <w:jc w:val="left"/>
              <w:rPr>
                <w:rStyle w:val="InstructionsTabelleText"/>
                <w:rFonts w:ascii="Times New Roman" w:hAnsi="Times New Roman"/>
                <w:sz w:val="24"/>
              </w:rPr>
            </w:pPr>
            <w:r w:rsidRPr="00EF7F33">
              <w:rPr>
                <w:rFonts w:ascii="Times New Roman" w:hAnsi="Times New Roman"/>
                <w:sz w:val="24"/>
              </w:rPr>
              <w:t>Ista definicija kao za stupac 020 obrasca CR IRB</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030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Od čega sa statusom neispunjavanja obveza</w:t>
            </w:r>
          </w:p>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Vrijednost originalne izloženosti za izloženosti koje su razvrstane kao „izloženosti sa statusom neispunjavanja obveza” u skladu s člankom 178.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040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Zabilježeni novi statusi neispunjavanja obveza tijekom razdoblja</w:t>
            </w:r>
          </w:p>
          <w:p w:rsidR="004357B9" w:rsidRPr="00EF7F33" w:rsidRDefault="00DF70AE" w:rsidP="00DF70AE">
            <w:pPr>
              <w:rPr>
                <w:rFonts w:ascii="Times New Roman" w:hAnsi="Times New Roman"/>
                <w:b/>
                <w:sz w:val="24"/>
                <w:u w:val="single"/>
              </w:rPr>
            </w:pPr>
            <w:r w:rsidRPr="00EF7F33">
              <w:rPr>
                <w:rStyle w:val="InstructionsTabelleText"/>
                <w:rFonts w:ascii="Times New Roman" w:hAnsi="Times New Roman"/>
                <w:sz w:val="24"/>
              </w:rPr>
              <w:t>Iznos originalnih izloženosti koje su prenesene u kategoriju izloženosti „sa statusom neispunjavanja obveza” tijekom 3-mjesečnog razdoblje od posljednjeg referentnog d</w:t>
            </w:r>
            <w:r w:rsidRPr="00EF7F33">
              <w:rPr>
                <w:rStyle w:val="InstructionsTabelleText"/>
                <w:rFonts w:ascii="Times New Roman" w:hAnsi="Times New Roman"/>
                <w:sz w:val="24"/>
              </w:rPr>
              <w:t>a</w:t>
            </w:r>
            <w:r w:rsidRPr="00EF7F33">
              <w:rPr>
                <w:rStyle w:val="InstructionsTabelleText"/>
                <w:rFonts w:ascii="Times New Roman" w:hAnsi="Times New Roman"/>
                <w:sz w:val="24"/>
              </w:rPr>
              <w:t>tuma izvješćivanja iskazuje se u odnosu na kategoriju izloženosti kojoj je dužnik orig</w:t>
            </w:r>
            <w:r w:rsidRPr="00EF7F33">
              <w:rPr>
                <w:rStyle w:val="InstructionsTabelleText"/>
                <w:rFonts w:ascii="Times New Roman" w:hAnsi="Times New Roman"/>
                <w:sz w:val="24"/>
              </w:rPr>
              <w:t>i</w:t>
            </w:r>
            <w:r w:rsidRPr="00EF7F33">
              <w:rPr>
                <w:rStyle w:val="InstructionsTabelleText"/>
                <w:rFonts w:ascii="Times New Roman" w:hAnsi="Times New Roman"/>
                <w:sz w:val="24"/>
              </w:rPr>
              <w:t>nalno pripadao.</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050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Opći ispravci vrijednosti za kreditni rizik</w:t>
            </w:r>
          </w:p>
          <w:p w:rsidR="004357B9" w:rsidRPr="00EF7F33" w:rsidRDefault="004357B9" w:rsidP="00D82B60">
            <w:pPr>
              <w:rPr>
                <w:rFonts w:ascii="Times New Roman" w:hAnsi="Times New Roman"/>
                <w:b/>
                <w:sz w:val="24"/>
                <w:u w:val="single"/>
              </w:rPr>
            </w:pPr>
            <w:r w:rsidRPr="00EF7F33">
              <w:rPr>
                <w:rFonts w:ascii="Times New Roman" w:hAnsi="Times New Roman"/>
                <w:sz w:val="24"/>
              </w:rPr>
              <w:t xml:space="preserve">Ispravci vrijednosti za kreditni rizik u skladu s člankom 110. CRR-a </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055</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Specifični ispravci vrijednosti za kreditni rizik</w:t>
            </w:r>
          </w:p>
          <w:p w:rsidR="004357B9" w:rsidRPr="00EF7F33" w:rsidRDefault="004357B9" w:rsidP="004357B9">
            <w:pPr>
              <w:rPr>
                <w:rFonts w:ascii="Times New Roman" w:hAnsi="Times New Roman"/>
                <w:b/>
                <w:sz w:val="24"/>
                <w:u w:val="single"/>
              </w:rPr>
            </w:pPr>
            <w:r w:rsidRPr="00EF7F33">
              <w:rPr>
                <w:rFonts w:ascii="Times New Roman" w:hAnsi="Times New Roman"/>
                <w:sz w:val="24"/>
              </w:rPr>
              <w:t>Ispravci vrijednosti za kreditni rizik u skladu s člankom 110.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060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Otpisi</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Otpisi uključuju smanjenja umanjene vrijednosti financijske imovine izravno priznate u dobiti ili gubitku [MSFI 7.B5.(d).(i)] i smanjenja iznosa ispravaka vrijednosti umanj</w:t>
            </w:r>
            <w:r w:rsidRPr="00EF7F33">
              <w:rPr>
                <w:rStyle w:val="InstructionsTabelleText"/>
                <w:rFonts w:ascii="Times New Roman" w:hAnsi="Times New Roman"/>
                <w:sz w:val="24"/>
              </w:rPr>
              <w:t>e</w:t>
            </w:r>
            <w:r w:rsidRPr="00EF7F33">
              <w:rPr>
                <w:rStyle w:val="InstructionsTabelleText"/>
                <w:rFonts w:ascii="Times New Roman" w:hAnsi="Times New Roman"/>
                <w:sz w:val="24"/>
              </w:rPr>
              <w:t>ne financijske imovine [MSFI 7.B5.(d).(ii)].</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070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Ispravci vrijednosti za kreditni rizik/otpisi za zabilježene nove statuse neispunj</w:t>
            </w:r>
            <w:r w:rsidRPr="00EF7F33">
              <w:rPr>
                <w:rFonts w:ascii="Times New Roman" w:hAnsi="Times New Roman"/>
                <w:b/>
                <w:sz w:val="24"/>
                <w:u w:val="single"/>
              </w:rPr>
              <w:t>a</w:t>
            </w:r>
            <w:r w:rsidRPr="00EF7F33">
              <w:rPr>
                <w:rFonts w:ascii="Times New Roman" w:hAnsi="Times New Roman"/>
                <w:b/>
                <w:sz w:val="24"/>
                <w:u w:val="single"/>
              </w:rPr>
              <w:t>vanja obveza</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Zbroj ispravaka vrijednosti za kreditni rizik i otpisa za izloženosti koje su razvrstane kao „izloženosti sa statusom neispunjavanja obveza” tijekom 3-mjesečnog razdoblja od posljednjeg podnošenja podataka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080</w:t>
            </w:r>
          </w:p>
        </w:tc>
        <w:tc>
          <w:tcPr>
            <w:tcW w:w="8640" w:type="dxa"/>
          </w:tcPr>
          <w:p w:rsidR="004357B9" w:rsidRPr="00EF7F33" w:rsidRDefault="004357B9" w:rsidP="004357B9">
            <w:pPr>
              <w:rPr>
                <w:rStyle w:val="InstructionsTabelleberschrift"/>
                <w:rFonts w:ascii="Times New Roman" w:hAnsi="Times New Roman"/>
                <w:bCs w:val="0"/>
                <w:sz w:val="24"/>
              </w:rPr>
            </w:pPr>
            <w:r w:rsidRPr="00EF7F33">
              <w:rPr>
                <w:rStyle w:val="InstructionsTabelleberschrift"/>
                <w:rFonts w:ascii="Times New Roman" w:hAnsi="Times New Roman"/>
                <w:sz w:val="24"/>
              </w:rPr>
              <w:t>INTERNI REJTING-SUSTAV / PD RASPOREĐEN U REJTING-KATEGORIJU DUŽNIKA ILI SKUP IZLOŽENOSTI (%)</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010 obrasca CR IRB</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090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PROSJEČNI LGD PONDERIRAN VISINOM IZLOŽENOSTI (%)</w:t>
            </w:r>
          </w:p>
          <w:p w:rsidR="004357B9" w:rsidRPr="00EF7F33" w:rsidRDefault="004357B9" w:rsidP="004357B9">
            <w:pPr>
              <w:rPr>
                <w:rStyle w:val="InstructionsTabelleText"/>
                <w:rFonts w:ascii="Times New Roman" w:hAnsi="Times New Roman"/>
                <w:sz w:val="24"/>
              </w:rPr>
            </w:pPr>
            <w:r w:rsidRPr="00EF7F33">
              <w:rPr>
                <w:rStyle w:val="InstructionsTabelleText"/>
                <w:rFonts w:ascii="Times New Roman" w:hAnsi="Times New Roman"/>
                <w:sz w:val="24"/>
              </w:rPr>
              <w:t>Ista definicija kao za stupce 230 i 240 obrasca CR IRB: prosječni LGD ponderiran v</w:t>
            </w:r>
            <w:r w:rsidRPr="00EF7F33">
              <w:rPr>
                <w:rStyle w:val="InstructionsTabelleText"/>
                <w:rFonts w:ascii="Times New Roman" w:hAnsi="Times New Roman"/>
                <w:sz w:val="24"/>
              </w:rPr>
              <w:t>i</w:t>
            </w:r>
            <w:r w:rsidRPr="00EF7F33">
              <w:rPr>
                <w:rStyle w:val="InstructionsTabelleText"/>
                <w:rFonts w:ascii="Times New Roman" w:hAnsi="Times New Roman"/>
                <w:sz w:val="24"/>
              </w:rPr>
              <w:t>sinom izloženosti (%) odnosi se na sve izloženosti, uključujući izloženosti prema vel</w:t>
            </w:r>
            <w:r w:rsidRPr="00EF7F33">
              <w:rPr>
                <w:rStyle w:val="InstructionsTabelleText"/>
                <w:rFonts w:ascii="Times New Roman" w:hAnsi="Times New Roman"/>
                <w:sz w:val="24"/>
              </w:rPr>
              <w:t>i</w:t>
            </w:r>
            <w:r w:rsidRPr="00EF7F33">
              <w:rPr>
                <w:rStyle w:val="InstructionsTabelleText"/>
                <w:rFonts w:ascii="Times New Roman" w:hAnsi="Times New Roman"/>
                <w:sz w:val="24"/>
              </w:rPr>
              <w:t>kim subjektima financijskog sektora i nereguliranim financijskim subjektima.  Primj</w:t>
            </w:r>
            <w:r w:rsidRPr="00EF7F33">
              <w:rPr>
                <w:rStyle w:val="InstructionsTabelleText"/>
                <w:rFonts w:ascii="Times New Roman" w:hAnsi="Times New Roman"/>
                <w:sz w:val="24"/>
              </w:rPr>
              <w:t>e</w:t>
            </w:r>
            <w:r w:rsidRPr="00EF7F33">
              <w:rPr>
                <w:rStyle w:val="InstructionsTabelleText"/>
                <w:rFonts w:ascii="Times New Roman" w:hAnsi="Times New Roman"/>
                <w:sz w:val="24"/>
              </w:rPr>
              <w:lastRenderedPageBreak/>
              <w:t>njuju se odredbe članka 181. stavka 1. točke (h) CRR-a.</w:t>
            </w:r>
          </w:p>
          <w:p w:rsidR="0042766A" w:rsidRPr="00EF7F33" w:rsidRDefault="0042766A" w:rsidP="0042766A">
            <w:pPr>
              <w:rPr>
                <w:rFonts w:ascii="Times New Roman" w:hAnsi="Times New Roman"/>
                <w:b/>
                <w:sz w:val="24"/>
                <w:u w:val="single"/>
              </w:rPr>
            </w:pPr>
            <w:r w:rsidRPr="00EF7F33">
              <w:rPr>
                <w:rFonts w:ascii="Times New Roman" w:hAnsi="Times New Roman"/>
                <w:sz w:val="24"/>
              </w:rPr>
              <w:t>Podaci se ne iskazuju za izloženosti u obliku specijaliziranog financiranja iz čla</w:t>
            </w:r>
            <w:r w:rsidRPr="00EF7F33">
              <w:rPr>
                <w:rFonts w:ascii="Times New Roman" w:hAnsi="Times New Roman"/>
                <w:sz w:val="24"/>
              </w:rPr>
              <w:t>n</w:t>
            </w:r>
            <w:r w:rsidRPr="00EF7F33">
              <w:rPr>
                <w:rFonts w:ascii="Times New Roman" w:hAnsi="Times New Roman"/>
                <w:sz w:val="24"/>
              </w:rPr>
              <w:t>ka 153. stavka 5.</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lastRenderedPageBreak/>
              <w:t>100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Od čega: sa statusom neispunjavanja obveza</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LGD ponderiran visinom izloženosti za izloženosti koje su razvrstane kao „izloženosti sa statusom neispunjavanja obveza” u skladu s člankom 178. CRR-a</w:t>
            </w:r>
          </w:p>
        </w:tc>
      </w:tr>
      <w:tr w:rsidR="004357B9" w:rsidRPr="00EF7F33" w:rsidTr="00672D2A">
        <w:tc>
          <w:tcPr>
            <w:tcW w:w="1188" w:type="dxa"/>
          </w:tcPr>
          <w:p w:rsidR="004357B9" w:rsidRPr="00EF7F33" w:rsidRDefault="00F45359" w:rsidP="004357B9">
            <w:pPr>
              <w:rPr>
                <w:rFonts w:ascii="Times New Roman" w:hAnsi="Times New Roman"/>
                <w:sz w:val="24"/>
              </w:rPr>
            </w:pPr>
            <w:r w:rsidRPr="00EF7F33">
              <w:rPr>
                <w:rFonts w:ascii="Times New Roman" w:hAnsi="Times New Roman"/>
                <w:sz w:val="24"/>
              </w:rPr>
              <w:t>105</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Vrijednost izloženosti</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110 obrasca CR IRB</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110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IZNOS IZLOŽENOSTI PONDERIRAN RIZIKOM PRIJE PRIMJENE POM</w:t>
            </w:r>
            <w:r w:rsidRPr="00EF7F33">
              <w:rPr>
                <w:rFonts w:ascii="Times New Roman" w:hAnsi="Times New Roman"/>
                <w:b/>
                <w:sz w:val="24"/>
                <w:u w:val="single"/>
              </w:rPr>
              <w:t>O</w:t>
            </w:r>
            <w:r w:rsidRPr="00EF7F33">
              <w:rPr>
                <w:rFonts w:ascii="Times New Roman" w:hAnsi="Times New Roman"/>
                <w:b/>
                <w:sz w:val="24"/>
                <w:u w:val="single"/>
              </w:rPr>
              <w:t>ĆNOG FAKTORA ZA MSP-ove</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255 obrasca CR IRB</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120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Od čega sa statusom neispunjavanja obveza</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Iznos izloženosti ponderiran rizikom za izloženosti koje su razvrstane kao „izloženosti sa statusom neispunjavanja obveza” u skladu s člankom 178.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125</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IZNOS IZLOŽENOSTI PONDERIRAN RIZIKOM NAKON PRIMJENE P</w:t>
            </w:r>
            <w:r w:rsidRPr="00EF7F33">
              <w:rPr>
                <w:rFonts w:ascii="Times New Roman" w:hAnsi="Times New Roman"/>
                <w:b/>
                <w:sz w:val="24"/>
                <w:u w:val="single"/>
              </w:rPr>
              <w:t>O</w:t>
            </w:r>
            <w:r w:rsidRPr="00EF7F33">
              <w:rPr>
                <w:rFonts w:ascii="Times New Roman" w:hAnsi="Times New Roman"/>
                <w:b/>
                <w:sz w:val="24"/>
                <w:u w:val="single"/>
              </w:rPr>
              <w:t>MOĆNOG FAKTORA ZA MSP-ove</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260 obrasca CR IRB</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130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IZNOS OČEKIVANOGA GUBITKA</w:t>
            </w:r>
          </w:p>
          <w:p w:rsidR="004357B9" w:rsidRPr="00EF7F33" w:rsidRDefault="004357B9" w:rsidP="004357B9">
            <w:pPr>
              <w:rPr>
                <w:rFonts w:ascii="Times New Roman" w:hAnsi="Times New Roman"/>
                <w:b/>
                <w:sz w:val="24"/>
                <w:u w:val="single"/>
              </w:rPr>
            </w:pPr>
            <w:r w:rsidRPr="00EF7F33">
              <w:rPr>
                <w:rStyle w:val="InstructionsTabelleText"/>
                <w:rFonts w:ascii="Times New Roman" w:hAnsi="Times New Roman"/>
                <w:sz w:val="24"/>
              </w:rPr>
              <w:t>Ista definicija kao za stupac 280 obrasca CR IRB</w:t>
            </w:r>
            <w:r w:rsidRPr="00EF7F33">
              <w:rPr>
                <w:rFonts w:ascii="Times New Roman" w:hAnsi="Times New Roman"/>
                <w:b/>
                <w:sz w:val="24"/>
                <w:u w:val="single"/>
              </w:rPr>
              <w:t xml:space="preserve"> </w:t>
            </w:r>
          </w:p>
        </w:tc>
      </w:tr>
    </w:tbl>
    <w:p w:rsidR="004357B9" w:rsidRPr="00EF7F33"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EF7F33" w:rsidTr="00672D2A">
        <w:tc>
          <w:tcPr>
            <w:tcW w:w="1188" w:type="dxa"/>
            <w:shd w:val="clear" w:color="auto" w:fill="CCCCCC"/>
          </w:tcPr>
          <w:p w:rsidR="004357B9" w:rsidRPr="00EF7F33" w:rsidRDefault="004357B9" w:rsidP="004357B9">
            <w:pPr>
              <w:rPr>
                <w:rFonts w:ascii="Times New Roman" w:hAnsi="Times New Roman"/>
                <w:b/>
                <w:sz w:val="24"/>
              </w:rPr>
            </w:pPr>
            <w:r w:rsidRPr="00EF7F33">
              <w:rPr>
                <w:rFonts w:ascii="Times New Roman" w:hAnsi="Times New Roman"/>
                <w:b/>
                <w:sz w:val="24"/>
              </w:rPr>
              <w:t>Redci</w:t>
            </w:r>
          </w:p>
        </w:tc>
        <w:tc>
          <w:tcPr>
            <w:tcW w:w="8640" w:type="dxa"/>
            <w:shd w:val="clear" w:color="auto" w:fill="CCCCCC"/>
          </w:tcPr>
          <w:p w:rsidR="004357B9" w:rsidRPr="00EF7F33" w:rsidRDefault="004357B9" w:rsidP="004357B9">
            <w:pPr>
              <w:ind w:left="72"/>
              <w:rPr>
                <w:rFonts w:ascii="Times New Roman" w:hAnsi="Times New Roman"/>
                <w:sz w:val="24"/>
              </w:rPr>
            </w:pP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010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 xml:space="preserve">Središnje banke i središnje države </w:t>
            </w:r>
          </w:p>
          <w:p w:rsidR="004357B9" w:rsidRPr="00EF7F33" w:rsidRDefault="004357B9" w:rsidP="004357B9">
            <w:pPr>
              <w:rPr>
                <w:rFonts w:ascii="Times New Roman" w:hAnsi="Times New Roman"/>
                <w:sz w:val="24"/>
              </w:rPr>
            </w:pPr>
            <w:r w:rsidRPr="00EF7F33">
              <w:rPr>
                <w:rFonts w:ascii="Times New Roman" w:hAnsi="Times New Roman"/>
                <w:sz w:val="24"/>
              </w:rPr>
              <w:t>(članak 147. stavak 2. točka (a)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020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Institucije</w:t>
            </w:r>
          </w:p>
          <w:p w:rsidR="004357B9" w:rsidRPr="00EF7F33" w:rsidRDefault="004357B9" w:rsidP="004357B9">
            <w:pPr>
              <w:rPr>
                <w:rFonts w:ascii="Times New Roman" w:hAnsi="Times New Roman"/>
                <w:sz w:val="24"/>
              </w:rPr>
            </w:pPr>
            <w:r w:rsidRPr="00EF7F33">
              <w:rPr>
                <w:rFonts w:ascii="Times New Roman" w:hAnsi="Times New Roman"/>
                <w:sz w:val="24"/>
              </w:rPr>
              <w:t>(članak 147. stavak 2. točka (b)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030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 xml:space="preserve">Trgovačka društva </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(sva trgovačka društva u skladu s člankom 147. stavkom 2. točkom (c))</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042</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Od čega: specijalizirano financiranje (isključujući specijalizirano financiranje k</w:t>
            </w:r>
            <w:r w:rsidRPr="00EF7F33">
              <w:rPr>
                <w:rFonts w:ascii="Times New Roman" w:hAnsi="Times New Roman"/>
                <w:b/>
                <w:sz w:val="24"/>
                <w:u w:val="single"/>
              </w:rPr>
              <w:t>o</w:t>
            </w:r>
            <w:r w:rsidRPr="00EF7F33">
              <w:rPr>
                <w:rFonts w:ascii="Times New Roman" w:hAnsi="Times New Roman"/>
                <w:b/>
                <w:sz w:val="24"/>
                <w:u w:val="single"/>
              </w:rPr>
              <w:t>je podliježe kriterijima raspoređivanja)</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(članak 147. stavak 8. točka (a) CRR-a)</w:t>
            </w:r>
          </w:p>
          <w:p w:rsidR="0042766A" w:rsidRPr="00EF7F33" w:rsidRDefault="0042766A" w:rsidP="004357B9">
            <w:pPr>
              <w:pStyle w:val="ListParagraph"/>
              <w:ind w:left="0"/>
              <w:rPr>
                <w:rFonts w:ascii="Times New Roman" w:hAnsi="Times New Roman"/>
                <w:sz w:val="24"/>
              </w:rPr>
            </w:pPr>
            <w:r w:rsidRPr="00EF7F33">
              <w:rPr>
                <w:rFonts w:ascii="Times New Roman" w:hAnsi="Times New Roman"/>
                <w:sz w:val="24"/>
              </w:rPr>
              <w:t>Podaci se ne iskazuju za izloženosti u obliku specijaliziranog financiranja iz čla</w:t>
            </w:r>
            <w:r w:rsidRPr="00EF7F33">
              <w:rPr>
                <w:rFonts w:ascii="Times New Roman" w:hAnsi="Times New Roman"/>
                <w:sz w:val="24"/>
              </w:rPr>
              <w:t>n</w:t>
            </w:r>
            <w:r w:rsidRPr="00EF7F33">
              <w:rPr>
                <w:rFonts w:ascii="Times New Roman" w:hAnsi="Times New Roman"/>
                <w:sz w:val="24"/>
              </w:rPr>
              <w:t>ka 153. stavka 5.</w:t>
            </w:r>
          </w:p>
        </w:tc>
      </w:tr>
      <w:tr w:rsidR="000E093A" w:rsidRPr="00EF7F33" w:rsidTr="00672D2A">
        <w:tc>
          <w:tcPr>
            <w:tcW w:w="1188" w:type="dxa"/>
          </w:tcPr>
          <w:p w:rsidR="000E093A" w:rsidRPr="00EF7F33" w:rsidRDefault="000E093A" w:rsidP="004357B9">
            <w:pPr>
              <w:rPr>
                <w:rFonts w:ascii="Times New Roman" w:hAnsi="Times New Roman"/>
                <w:sz w:val="24"/>
              </w:rPr>
            </w:pPr>
            <w:r w:rsidRPr="00EF7F33">
              <w:rPr>
                <w:rFonts w:ascii="Times New Roman" w:hAnsi="Times New Roman"/>
                <w:sz w:val="24"/>
              </w:rPr>
              <w:t>045</w:t>
            </w:r>
          </w:p>
        </w:tc>
        <w:tc>
          <w:tcPr>
            <w:tcW w:w="8640" w:type="dxa"/>
          </w:tcPr>
          <w:p w:rsidR="000E093A" w:rsidRPr="00EF7F33" w:rsidRDefault="000E093A" w:rsidP="004357B9">
            <w:pPr>
              <w:rPr>
                <w:rFonts w:ascii="Times New Roman" w:hAnsi="Times New Roman"/>
                <w:b/>
                <w:sz w:val="24"/>
                <w:u w:val="single"/>
              </w:rPr>
            </w:pPr>
            <w:r w:rsidRPr="00EF7F33">
              <w:rPr>
                <w:rFonts w:ascii="Times New Roman" w:hAnsi="Times New Roman"/>
                <w:b/>
                <w:sz w:val="24"/>
                <w:u w:val="single"/>
              </w:rPr>
              <w:t>Od čega: specijalizirano financiranje koje podliježe kriterijima raspoređivanja</w:t>
            </w:r>
          </w:p>
          <w:p w:rsidR="000E093A" w:rsidRPr="00EF7F33" w:rsidRDefault="000E093A" w:rsidP="00FD54FC">
            <w:pPr>
              <w:rPr>
                <w:rFonts w:ascii="Times New Roman" w:hAnsi="Times New Roman"/>
                <w:b/>
                <w:sz w:val="24"/>
                <w:u w:val="single"/>
              </w:rPr>
            </w:pPr>
            <w:r w:rsidRPr="00EF7F33">
              <w:rPr>
                <w:rFonts w:ascii="Times New Roman" w:hAnsi="Times New Roman"/>
                <w:sz w:val="24"/>
              </w:rPr>
              <w:lastRenderedPageBreak/>
              <w:t>Članak 147. stavak 8. točka (a) i članak 153. stavak 5.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lastRenderedPageBreak/>
              <w:t>050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Od čega: MSP</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(članak 147. stavak 2. točka (c)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060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Stanovništvo</w:t>
            </w:r>
          </w:p>
          <w:p w:rsidR="004357B9" w:rsidRPr="00EF7F33" w:rsidRDefault="004357B9" w:rsidP="004357B9">
            <w:pPr>
              <w:rPr>
                <w:rFonts w:ascii="Times New Roman" w:hAnsi="Times New Roman"/>
                <w:sz w:val="24"/>
              </w:rPr>
            </w:pPr>
            <w:r w:rsidRPr="00EF7F33">
              <w:rPr>
                <w:rFonts w:ascii="Times New Roman" w:hAnsi="Times New Roman"/>
                <w:sz w:val="24"/>
              </w:rPr>
              <w:t>Sve izloženosti prema stanovništvu u skladu s člankom 147. stavkom 2. točkom (d)</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070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Stanovništvo – osigurane nekretninom</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Izloženosti obuhvaćene člankom 147. stavkom 2. točkom (d) CRR-a koje su osigurane nekretninom.</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080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MSP</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Izloženosti prema stanovništvu obuhvaćene člankom 147. stavkom 2. točkom (d) u v</w:t>
            </w:r>
            <w:r w:rsidRPr="00EF7F33">
              <w:rPr>
                <w:rFonts w:ascii="Times New Roman" w:hAnsi="Times New Roman"/>
                <w:sz w:val="24"/>
              </w:rPr>
              <w:t>e</w:t>
            </w:r>
            <w:r w:rsidRPr="00EF7F33">
              <w:rPr>
                <w:rFonts w:ascii="Times New Roman" w:hAnsi="Times New Roman"/>
                <w:sz w:val="24"/>
              </w:rPr>
              <w:t>zi s člankom 153. stavkom 3. CRR-a koje su osigurane nekretninom.</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090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Osobe koje nisu MSP-ovi</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Izloženosti prema stanovništvu obuhvaćene člankom 147. stavkom 2. točkom (d) CRR-a koje su osigurane nekretninom.</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100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Stanovništvo – kvalificirane obnovljive izloženosti</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 xml:space="preserve">(članak 147. stavak 2. točka (d) u vezi s člankom 154. stavkom 4. CRR-a). </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110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Ostale izloženosti prema stanovništvu</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Ostale izloženosti prema stanovništvu u skladu s člankom 147. stavkom 2. točkom (d) koje nisu iskazane u redcima 070 – 100.</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120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MSP</w:t>
            </w:r>
          </w:p>
          <w:p w:rsidR="004357B9" w:rsidRPr="00EF7F33" w:rsidRDefault="004357B9" w:rsidP="004357B9">
            <w:pPr>
              <w:pStyle w:val="ListParagraph"/>
              <w:ind w:left="0"/>
              <w:rPr>
                <w:rFonts w:ascii="Times New Roman" w:hAnsi="Times New Roman"/>
                <w:sz w:val="24"/>
              </w:rPr>
            </w:pPr>
            <w:r w:rsidRPr="00EF7F33">
              <w:rPr>
                <w:rFonts w:ascii="Times New Roman" w:hAnsi="Times New Roman"/>
                <w:sz w:val="24"/>
              </w:rPr>
              <w:t>Ostale izloženosti prema stanovništvu obuhvaćene člankom 147. stavkom 2. točkom (d) u vezi s člankom 153. stavkom 3. CRR-a.</w:t>
            </w:r>
          </w:p>
        </w:tc>
      </w:tr>
      <w:tr w:rsidR="004357B9" w:rsidRPr="00EF7F33" w:rsidTr="00672D2A">
        <w:tc>
          <w:tcPr>
            <w:tcW w:w="1188" w:type="dxa"/>
          </w:tcPr>
          <w:p w:rsidR="004357B9" w:rsidRPr="00EF7F33" w:rsidRDefault="004357B9" w:rsidP="004357B9">
            <w:pPr>
              <w:rPr>
                <w:rFonts w:ascii="Times New Roman" w:hAnsi="Times New Roman"/>
                <w:sz w:val="24"/>
              </w:rPr>
            </w:pPr>
            <w:r w:rsidRPr="00EF7F33">
              <w:rPr>
                <w:rFonts w:ascii="Times New Roman" w:hAnsi="Times New Roman"/>
                <w:sz w:val="24"/>
              </w:rPr>
              <w:t>130</w:t>
            </w:r>
          </w:p>
        </w:tc>
        <w:tc>
          <w:tcPr>
            <w:tcW w:w="8640" w:type="dxa"/>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Osobe koje nisu MSP-ovi</w:t>
            </w:r>
          </w:p>
          <w:p w:rsidR="004357B9" w:rsidRPr="00EF7F33" w:rsidRDefault="004357B9" w:rsidP="004357B9">
            <w:pPr>
              <w:rPr>
                <w:rFonts w:ascii="Times New Roman" w:hAnsi="Times New Roman"/>
                <w:sz w:val="24"/>
              </w:rPr>
            </w:pPr>
            <w:r w:rsidRPr="00EF7F33">
              <w:rPr>
                <w:rFonts w:ascii="Times New Roman" w:hAnsi="Times New Roman"/>
                <w:sz w:val="24"/>
              </w:rPr>
              <w:t>Ostale izloženosti prema stanovništvu obuhvaćene člankom 147. stavkom 2. točkom (d) CRR-a.</w:t>
            </w:r>
          </w:p>
        </w:tc>
      </w:tr>
      <w:bookmarkEnd w:id="383"/>
      <w:tr w:rsidR="004357B9" w:rsidRPr="00EF7F33" w:rsidTr="00672D2A">
        <w:tc>
          <w:tcPr>
            <w:tcW w:w="1188" w:type="dxa"/>
            <w:tcBorders>
              <w:top w:val="single" w:sz="4" w:space="0" w:color="auto"/>
              <w:left w:val="single" w:sz="4" w:space="0" w:color="auto"/>
              <w:bottom w:val="single" w:sz="4" w:space="0" w:color="auto"/>
              <w:right w:val="single" w:sz="4" w:space="0" w:color="auto"/>
            </w:tcBorders>
          </w:tcPr>
          <w:p w:rsidR="004357B9" w:rsidRPr="00EF7F33" w:rsidRDefault="004357B9" w:rsidP="004357B9">
            <w:pPr>
              <w:rPr>
                <w:rFonts w:ascii="Times New Roman" w:hAnsi="Times New Roman"/>
                <w:sz w:val="24"/>
              </w:rPr>
            </w:pPr>
            <w:r w:rsidRPr="00EF7F33">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EF7F33" w:rsidRDefault="004357B9" w:rsidP="004357B9">
            <w:pPr>
              <w:rPr>
                <w:rFonts w:ascii="Times New Roman" w:hAnsi="Times New Roman"/>
                <w:b/>
                <w:sz w:val="24"/>
                <w:u w:val="single"/>
              </w:rPr>
            </w:pPr>
            <w:r w:rsidRPr="00EF7F33">
              <w:rPr>
                <w:rFonts w:ascii="Times New Roman" w:hAnsi="Times New Roman"/>
                <w:b/>
                <w:sz w:val="24"/>
                <w:u w:val="single"/>
              </w:rPr>
              <w:t>Vlasnička ulaganja</w:t>
            </w:r>
          </w:p>
          <w:p w:rsidR="004357B9" w:rsidRPr="00EF7F33" w:rsidRDefault="004357B9" w:rsidP="004357B9">
            <w:pPr>
              <w:rPr>
                <w:rFonts w:ascii="Times New Roman" w:hAnsi="Times New Roman"/>
                <w:b/>
                <w:sz w:val="24"/>
                <w:u w:val="single"/>
              </w:rPr>
            </w:pPr>
            <w:r w:rsidRPr="00EF7F33">
              <w:rPr>
                <w:rFonts w:ascii="Times New Roman" w:hAnsi="Times New Roman"/>
                <w:sz w:val="24"/>
              </w:rPr>
              <w:t>Izloženosti na osnovi vlasničkih ulaganja obuhvaćene člankom 147. stavkom 2. to</w:t>
            </w:r>
            <w:r w:rsidRPr="00EF7F33">
              <w:rPr>
                <w:rFonts w:ascii="Times New Roman" w:hAnsi="Times New Roman"/>
                <w:sz w:val="24"/>
              </w:rPr>
              <w:t>č</w:t>
            </w:r>
            <w:r w:rsidRPr="00EF7F33">
              <w:rPr>
                <w:rFonts w:ascii="Times New Roman" w:hAnsi="Times New Roman"/>
                <w:sz w:val="24"/>
              </w:rPr>
              <w:t>kom (e) CRR-a.</w:t>
            </w:r>
          </w:p>
        </w:tc>
      </w:tr>
      <w:tr w:rsidR="007A49AC" w:rsidRPr="00EF7F33" w:rsidTr="00672D2A">
        <w:tc>
          <w:tcPr>
            <w:tcW w:w="1188" w:type="dxa"/>
            <w:tcBorders>
              <w:top w:val="single" w:sz="4" w:space="0" w:color="auto"/>
              <w:left w:val="single" w:sz="4" w:space="0" w:color="auto"/>
              <w:bottom w:val="single" w:sz="4" w:space="0" w:color="auto"/>
              <w:right w:val="single" w:sz="4" w:space="0" w:color="auto"/>
            </w:tcBorders>
          </w:tcPr>
          <w:p w:rsidR="007A49AC" w:rsidRPr="00EF7F33" w:rsidRDefault="007A49AC" w:rsidP="004357B9">
            <w:pPr>
              <w:rPr>
                <w:rFonts w:ascii="Times New Roman" w:hAnsi="Times New Roman"/>
                <w:sz w:val="24"/>
              </w:rPr>
            </w:pPr>
            <w:r w:rsidRPr="00EF7F33">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EF7F33" w:rsidRDefault="007A49AC" w:rsidP="007A49AC">
            <w:pPr>
              <w:rPr>
                <w:rFonts w:ascii="Times New Roman" w:hAnsi="Times New Roman"/>
                <w:b/>
                <w:sz w:val="24"/>
                <w:u w:val="single"/>
              </w:rPr>
            </w:pPr>
            <w:r w:rsidRPr="00EF7F33">
              <w:rPr>
                <w:rFonts w:ascii="Times New Roman" w:hAnsi="Times New Roman"/>
                <w:b/>
                <w:sz w:val="24"/>
                <w:u w:val="single"/>
              </w:rPr>
              <w:t>Ukupne izloženosti</w:t>
            </w:r>
          </w:p>
          <w:p w:rsidR="007A49AC" w:rsidRPr="00EF7F33" w:rsidRDefault="007A49AC" w:rsidP="004357B9">
            <w:pPr>
              <w:rPr>
                <w:rFonts w:ascii="Times New Roman" w:hAnsi="Times New Roman"/>
                <w:b/>
                <w:sz w:val="24"/>
                <w:u w:val="single"/>
              </w:rPr>
            </w:pPr>
          </w:p>
        </w:tc>
      </w:tr>
    </w:tbl>
    <w:p w:rsidR="004357B9" w:rsidRPr="00EF7F33" w:rsidRDefault="004357B9" w:rsidP="004357B9">
      <w:pPr>
        <w:spacing w:before="0" w:after="200" w:line="312" w:lineRule="auto"/>
        <w:jc w:val="left"/>
        <w:rPr>
          <w:rFonts w:ascii="Times New Roman" w:hAnsi="Times New Roman"/>
          <w:sz w:val="24"/>
        </w:rPr>
      </w:pPr>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92" w:name="_Toc360188366"/>
      <w:bookmarkStart w:id="393" w:name="_Toc516210652"/>
      <w:bookmarkStart w:id="394" w:name="_Toc473560917"/>
      <w:bookmarkStart w:id="395" w:name="_Toc523998144"/>
      <w:r w:rsidRPr="00EF7F33">
        <w:rPr>
          <w:rFonts w:ascii="Times New Roman" w:hAnsi="Times New Roman"/>
          <w:sz w:val="24"/>
          <w:u w:val="none"/>
        </w:rPr>
        <w:lastRenderedPageBreak/>
        <w:t>3.4.3.</w:t>
      </w:r>
      <w:r w:rsidRPr="00EF7F33">
        <w:tab/>
      </w:r>
      <w:r w:rsidRPr="00EF7F33">
        <w:rPr>
          <w:rFonts w:ascii="Times New Roman" w:hAnsi="Times New Roman"/>
          <w:sz w:val="24"/>
        </w:rPr>
        <w:t>C 09.04 – Raščlamba relevantnih kreditnih izloženosti za potrebe izračuna protucikli</w:t>
      </w:r>
      <w:r w:rsidRPr="00EF7F33">
        <w:rPr>
          <w:rFonts w:ascii="Times New Roman" w:hAnsi="Times New Roman"/>
          <w:sz w:val="24"/>
        </w:rPr>
        <w:t>č</w:t>
      </w:r>
      <w:r w:rsidRPr="00EF7F33">
        <w:rPr>
          <w:rFonts w:ascii="Times New Roman" w:hAnsi="Times New Roman"/>
          <w:sz w:val="24"/>
        </w:rPr>
        <w:t>kog zaštitnog sloja prema zemlji i stope protucikličkog zaštitnog sloja specifičnog za inst</w:t>
      </w:r>
      <w:r w:rsidRPr="00EF7F33">
        <w:rPr>
          <w:rFonts w:ascii="Times New Roman" w:hAnsi="Times New Roman"/>
          <w:sz w:val="24"/>
        </w:rPr>
        <w:t>i</w:t>
      </w:r>
      <w:r w:rsidRPr="00EF7F33">
        <w:rPr>
          <w:rFonts w:ascii="Times New Roman" w:hAnsi="Times New Roman"/>
          <w:sz w:val="24"/>
        </w:rPr>
        <w:t xml:space="preserve">tuciju </w:t>
      </w:r>
      <w:bookmarkEnd w:id="392"/>
      <w:r w:rsidRPr="00EF7F33">
        <w:rPr>
          <w:rFonts w:ascii="Times New Roman" w:hAnsi="Times New Roman"/>
          <w:sz w:val="24"/>
        </w:rPr>
        <w:t>(CCB)</w:t>
      </w:r>
      <w:bookmarkEnd w:id="393"/>
      <w:bookmarkEnd w:id="394"/>
      <w:bookmarkEnd w:id="395"/>
    </w:p>
    <w:p w:rsidR="004357B9" w:rsidRPr="00EF7F33" w:rsidRDefault="00125707" w:rsidP="0023700C">
      <w:pPr>
        <w:pStyle w:val="Instructionsberschrift2"/>
        <w:numPr>
          <w:ilvl w:val="0"/>
          <w:numId w:val="0"/>
        </w:numPr>
        <w:ind w:left="357" w:hanging="357"/>
        <w:rPr>
          <w:rFonts w:ascii="Times New Roman" w:hAnsi="Times New Roman" w:cs="Times New Roman"/>
          <w:sz w:val="24"/>
        </w:rPr>
      </w:pPr>
      <w:bookmarkStart w:id="396" w:name="_Toc360188367"/>
      <w:bookmarkStart w:id="397" w:name="_Toc516210653"/>
      <w:bookmarkStart w:id="398" w:name="_Toc473560918"/>
      <w:bookmarkStart w:id="399" w:name="_Toc523998145"/>
      <w:r w:rsidRPr="00EF7F33">
        <w:rPr>
          <w:rFonts w:ascii="Times New Roman" w:hAnsi="Times New Roman"/>
          <w:sz w:val="24"/>
          <w:u w:val="none"/>
        </w:rPr>
        <w:t>3.4.3.1.</w:t>
      </w:r>
      <w:r w:rsidRPr="00EF7F33">
        <w:tab/>
      </w:r>
      <w:r w:rsidRPr="00EF7F33">
        <w:rPr>
          <w:rFonts w:ascii="Times New Roman" w:hAnsi="Times New Roman"/>
          <w:sz w:val="24"/>
        </w:rPr>
        <w:t>Opće napomene</w:t>
      </w:r>
      <w:bookmarkEnd w:id="396"/>
      <w:bookmarkEnd w:id="397"/>
      <w:bookmarkEnd w:id="398"/>
      <w:bookmarkEnd w:id="399"/>
    </w:p>
    <w:p w:rsidR="00430F6F" w:rsidRPr="00EF7F33" w:rsidRDefault="00125707" w:rsidP="00C37B29">
      <w:pPr>
        <w:pStyle w:val="InstructionsText2"/>
        <w:numPr>
          <w:ilvl w:val="0"/>
          <w:numId w:val="0"/>
        </w:numPr>
        <w:ind w:left="993"/>
      </w:pPr>
      <w:r w:rsidRPr="00EF7F33">
        <w:t>82.</w:t>
      </w:r>
      <w:r w:rsidRPr="00EF7F33">
        <w:tab/>
        <w:t>Cilj je ove tablice da se dobije više informacija o elementima protucikličkog zaštitnog sloja kapitala specifičnog za instituciju. Potrebne informacije odnose se na kapitalne zahtjeve utvrđene u skladu s dijelom trećim, glavama II. i IV. CRR-a i geografski položaj za kreditne izloženosti, sekuritizacijske izloženosti i izloženosti iz knjige trgovanja relevantne za izračun protucikličkog zaštitnog sloja kapitala specifičnog za instituciju u skladu s člankom 140. CRD-a (relevantne kreditne izl</w:t>
      </w:r>
      <w:r w:rsidRPr="00EF7F33">
        <w:t>o</w:t>
      </w:r>
      <w:r w:rsidRPr="00EF7F33">
        <w:t xml:space="preserve">ženosti). </w:t>
      </w:r>
    </w:p>
    <w:p w:rsidR="00430F6F" w:rsidRPr="00EF7F33" w:rsidRDefault="00125707" w:rsidP="00C37B29">
      <w:pPr>
        <w:pStyle w:val="InstructionsText2"/>
        <w:numPr>
          <w:ilvl w:val="0"/>
          <w:numId w:val="0"/>
        </w:numPr>
        <w:ind w:left="993"/>
      </w:pPr>
      <w:r w:rsidRPr="00EF7F33">
        <w:t>83.</w:t>
      </w:r>
      <w:r w:rsidRPr="00EF7F33">
        <w:tab/>
        <w:t>Informacije u obrascu C 09.04 iskazuju se za stavku „ukupne” relevantne kr</w:t>
      </w:r>
      <w:r w:rsidRPr="00EF7F33">
        <w:t>e</w:t>
      </w:r>
      <w:r w:rsidRPr="00EF7F33">
        <w:t>ditne izloženosti u svim državama u kojima se nalaze te izloženosti i pojedinačno za svaku državu u kojima se nalaze relevantne kreditne izloženosti. Ukupne vrije</w:t>
      </w:r>
      <w:r w:rsidRPr="00EF7F33">
        <w:t>d</w:t>
      </w:r>
      <w:r w:rsidRPr="00EF7F33">
        <w:t xml:space="preserve">nosti te informacije o svakoj državi iskazuju se zasebno. </w:t>
      </w:r>
    </w:p>
    <w:p w:rsidR="007463E2" w:rsidRPr="00EF7F33" w:rsidRDefault="00125707" w:rsidP="00C37B29">
      <w:pPr>
        <w:pStyle w:val="InstructionsText2"/>
        <w:numPr>
          <w:ilvl w:val="0"/>
          <w:numId w:val="0"/>
        </w:numPr>
        <w:ind w:left="993"/>
      </w:pPr>
      <w:r w:rsidRPr="00EF7F33">
        <w:t>84.</w:t>
      </w:r>
      <w:r w:rsidRPr="00EF7F33">
        <w:tab/>
        <w:t>Prag određen u članku 5. stavku (a) točki 4. ove Uredbe ne primjenjuje se na izvješćivanje o ovoj raščlambi.</w:t>
      </w:r>
    </w:p>
    <w:p w:rsidR="005A7CA9" w:rsidRPr="00EF7F33" w:rsidRDefault="00125707" w:rsidP="00C37B29">
      <w:pPr>
        <w:pStyle w:val="InstructionsText2"/>
        <w:numPr>
          <w:ilvl w:val="0"/>
          <w:numId w:val="0"/>
        </w:numPr>
        <w:ind w:left="993"/>
      </w:pPr>
      <w:r w:rsidRPr="00EF7F33">
        <w:t>85.</w:t>
      </w:r>
      <w:r w:rsidRPr="00EF7F33">
        <w:tab/>
        <w:t>Kako bi se utvrdio geografski položaj, izloženosti se raspoređuju na osnovi p</w:t>
      </w:r>
      <w:r w:rsidRPr="00EF7F33">
        <w:t>o</w:t>
      </w:r>
      <w:r w:rsidRPr="00EF7F33">
        <w:t>ložaja neposrednog dužnika kako je predviđeno Delegiranom uredbom Komisije (EU) br. 1152/2014 оd 4. lipnja 2014. u pogledu regulatornih tehničkih standarda za utvrđivanje geografskog položaja relevantnih kreditnih izloženosti za izračun stopa protucikličkog zaštitnog sloja kapitala specifičnih za instituciju. Stoga se te</w:t>
      </w:r>
      <w:r w:rsidRPr="00EF7F33">
        <w:t>h</w:t>
      </w:r>
      <w:r w:rsidRPr="00EF7F33">
        <w:t>nikama smanjenja kreditnog rizika ne mijenja raspodjela izloženosti prema geo</w:t>
      </w:r>
      <w:r w:rsidRPr="00EF7F33">
        <w:t>g</w:t>
      </w:r>
      <w:r w:rsidRPr="00EF7F33">
        <w:t>rafskom položaju za potrebe izvješćivanja o informacijama utvrđenima u ovom o</w:t>
      </w:r>
      <w:r w:rsidRPr="00EF7F33">
        <w:t>b</w:t>
      </w:r>
      <w:r w:rsidRPr="00EF7F33">
        <w:t>rascu.</w:t>
      </w:r>
    </w:p>
    <w:p w:rsidR="00154859" w:rsidRPr="00EF7F33" w:rsidRDefault="00125707" w:rsidP="0023700C">
      <w:pPr>
        <w:pStyle w:val="Instructionsberschrift2"/>
        <w:numPr>
          <w:ilvl w:val="0"/>
          <w:numId w:val="0"/>
        </w:numPr>
        <w:ind w:left="357" w:hanging="357"/>
        <w:rPr>
          <w:rFonts w:ascii="Times New Roman" w:hAnsi="Times New Roman" w:cs="Times New Roman"/>
          <w:sz w:val="24"/>
        </w:rPr>
      </w:pPr>
      <w:bookmarkStart w:id="400" w:name="_Toc360188368"/>
      <w:bookmarkStart w:id="401" w:name="_Toc516210654"/>
      <w:bookmarkStart w:id="402" w:name="_Toc473560919"/>
      <w:bookmarkStart w:id="403" w:name="_Toc523998146"/>
      <w:r w:rsidRPr="00EF7F33">
        <w:rPr>
          <w:rFonts w:ascii="Times New Roman" w:hAnsi="Times New Roman"/>
          <w:sz w:val="24"/>
          <w:u w:val="none"/>
        </w:rPr>
        <w:t>3.4.3.2.</w:t>
      </w:r>
      <w:r w:rsidRPr="00EF7F33">
        <w:tab/>
      </w:r>
      <w:r w:rsidRPr="00EF7F33">
        <w:rPr>
          <w:rFonts w:ascii="Times New Roman" w:hAnsi="Times New Roman"/>
          <w:sz w:val="24"/>
        </w:rPr>
        <w:t>Upute za specifične pozicije</w:t>
      </w:r>
      <w:bookmarkEnd w:id="400"/>
      <w:bookmarkEnd w:id="401"/>
      <w:bookmarkEnd w:id="402"/>
      <w:bookmarkEnd w:id="40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EF7F33" w:rsidTr="00672D2A">
        <w:tc>
          <w:tcPr>
            <w:tcW w:w="1697" w:type="dxa"/>
            <w:shd w:val="clear" w:color="auto" w:fill="CCCCCC"/>
          </w:tcPr>
          <w:p w:rsidR="00154859" w:rsidRPr="00EF7F33" w:rsidRDefault="00154859" w:rsidP="004357B9">
            <w:pPr>
              <w:rPr>
                <w:rFonts w:ascii="Times New Roman" w:hAnsi="Times New Roman"/>
                <w:b/>
                <w:sz w:val="24"/>
              </w:rPr>
            </w:pPr>
            <w:r w:rsidRPr="00EF7F33">
              <w:rPr>
                <w:rFonts w:ascii="Times New Roman" w:hAnsi="Times New Roman"/>
                <w:b/>
                <w:sz w:val="24"/>
              </w:rPr>
              <w:t>Stupci</w:t>
            </w:r>
          </w:p>
        </w:tc>
        <w:tc>
          <w:tcPr>
            <w:tcW w:w="8131" w:type="dxa"/>
            <w:shd w:val="clear" w:color="auto" w:fill="CCCCCC"/>
          </w:tcPr>
          <w:p w:rsidR="004357B9" w:rsidRPr="00EF7F33" w:rsidRDefault="004357B9" w:rsidP="004357B9">
            <w:pPr>
              <w:ind w:left="72"/>
              <w:rPr>
                <w:rFonts w:ascii="Times New Roman" w:hAnsi="Times New Roman"/>
                <w:sz w:val="24"/>
              </w:rPr>
            </w:pPr>
          </w:p>
        </w:tc>
      </w:tr>
      <w:tr w:rsidR="00154859" w:rsidRPr="00EF7F33" w:rsidTr="00672D2A">
        <w:tc>
          <w:tcPr>
            <w:tcW w:w="1697" w:type="dxa"/>
          </w:tcPr>
          <w:p w:rsidR="00154859" w:rsidRPr="00EF7F33" w:rsidRDefault="00154859" w:rsidP="004357B9">
            <w:pPr>
              <w:rPr>
                <w:rStyle w:val="InstructionsTabelleText"/>
                <w:rFonts w:ascii="Times New Roman" w:hAnsi="Times New Roman"/>
                <w:sz w:val="24"/>
              </w:rPr>
            </w:pPr>
            <w:r w:rsidRPr="00EF7F33">
              <w:rPr>
                <w:rFonts w:ascii="Times New Roman" w:hAnsi="Times New Roman"/>
                <w:sz w:val="24"/>
              </w:rPr>
              <w:t>010</w:t>
            </w:r>
          </w:p>
        </w:tc>
        <w:tc>
          <w:tcPr>
            <w:tcW w:w="8131" w:type="dxa"/>
          </w:tcPr>
          <w:p w:rsidR="00154859" w:rsidRPr="00EF7F33" w:rsidRDefault="00154859" w:rsidP="00133107">
            <w:pPr>
              <w:rPr>
                <w:rFonts w:ascii="Times New Roman" w:hAnsi="Times New Roman"/>
                <w:b/>
                <w:bCs/>
                <w:sz w:val="24"/>
                <w:u w:val="single"/>
              </w:rPr>
            </w:pPr>
            <w:r w:rsidRPr="00EF7F33">
              <w:rPr>
                <w:rFonts w:ascii="Times New Roman" w:hAnsi="Times New Roman"/>
                <w:b/>
                <w:sz w:val="24"/>
                <w:u w:val="single"/>
              </w:rPr>
              <w:t>Iznos</w:t>
            </w:r>
          </w:p>
          <w:p w:rsidR="00154859" w:rsidRPr="00EF7F33" w:rsidRDefault="006E3440" w:rsidP="00535A98">
            <w:pPr>
              <w:rPr>
                <w:rFonts w:ascii="Times New Roman" w:hAnsi="Times New Roman"/>
                <w:b/>
                <w:sz w:val="24"/>
                <w:u w:val="single"/>
              </w:rPr>
            </w:pPr>
            <w:r w:rsidRPr="00EF7F33">
              <w:rPr>
                <w:rFonts w:ascii="Times New Roman" w:hAnsi="Times New Roman"/>
                <w:sz w:val="24"/>
              </w:rPr>
              <w:t>Vrijednost relevantnih kreditnih izloženosti i s njima povezanih kapitalnih zahtj</w:t>
            </w:r>
            <w:r w:rsidRPr="00EF7F33">
              <w:rPr>
                <w:rFonts w:ascii="Times New Roman" w:hAnsi="Times New Roman"/>
                <w:sz w:val="24"/>
              </w:rPr>
              <w:t>e</w:t>
            </w:r>
            <w:r w:rsidRPr="00EF7F33">
              <w:rPr>
                <w:rFonts w:ascii="Times New Roman" w:hAnsi="Times New Roman"/>
                <w:sz w:val="24"/>
              </w:rPr>
              <w:t>va utvrđenih u skladu s uputama za odgovarajući redak.</w:t>
            </w:r>
          </w:p>
        </w:tc>
      </w:tr>
      <w:tr w:rsidR="00154859" w:rsidRPr="00EF7F33" w:rsidTr="00672D2A">
        <w:tc>
          <w:tcPr>
            <w:tcW w:w="1697" w:type="dxa"/>
          </w:tcPr>
          <w:p w:rsidR="00154859" w:rsidRPr="00EF7F33" w:rsidRDefault="00154859" w:rsidP="004357B9">
            <w:pPr>
              <w:rPr>
                <w:sz w:val="24"/>
              </w:rPr>
            </w:pPr>
            <w:r w:rsidRPr="00EF7F33">
              <w:rPr>
                <w:rFonts w:ascii="Times New Roman" w:hAnsi="Times New Roman"/>
                <w:sz w:val="24"/>
              </w:rPr>
              <w:t>020</w:t>
            </w:r>
          </w:p>
        </w:tc>
        <w:tc>
          <w:tcPr>
            <w:tcW w:w="8131" w:type="dxa"/>
          </w:tcPr>
          <w:p w:rsidR="00154859" w:rsidRPr="00EF7F33" w:rsidRDefault="00154859" w:rsidP="00133107">
            <w:pPr>
              <w:rPr>
                <w:rFonts w:ascii="Times New Roman" w:hAnsi="Times New Roman"/>
                <w:b/>
                <w:bCs/>
                <w:sz w:val="24"/>
                <w:u w:val="single"/>
              </w:rPr>
            </w:pPr>
            <w:r w:rsidRPr="00EF7F33">
              <w:rPr>
                <w:rFonts w:ascii="Times New Roman" w:hAnsi="Times New Roman"/>
                <w:b/>
                <w:sz w:val="24"/>
                <w:u w:val="single"/>
              </w:rPr>
              <w:t>Postotak</w:t>
            </w:r>
          </w:p>
          <w:p w:rsidR="00154859" w:rsidRPr="00EF7F33" w:rsidRDefault="00154859" w:rsidP="00133107">
            <w:pPr>
              <w:rPr>
                <w:rFonts w:ascii="Times New Roman" w:hAnsi="Times New Roman"/>
                <w:b/>
                <w:bCs/>
                <w:sz w:val="24"/>
                <w:u w:val="single"/>
              </w:rPr>
            </w:pPr>
          </w:p>
        </w:tc>
      </w:tr>
      <w:tr w:rsidR="00154859" w:rsidRPr="00EF7F33" w:rsidTr="00672D2A">
        <w:tc>
          <w:tcPr>
            <w:tcW w:w="1697" w:type="dxa"/>
          </w:tcPr>
          <w:p w:rsidR="00154859" w:rsidRPr="00EF7F33" w:rsidRDefault="00154859" w:rsidP="004357B9">
            <w:pPr>
              <w:rPr>
                <w:rFonts w:ascii="Times New Roman" w:hAnsi="Times New Roman"/>
                <w:sz w:val="24"/>
              </w:rPr>
            </w:pPr>
            <w:r w:rsidRPr="00EF7F33">
              <w:rPr>
                <w:rFonts w:ascii="Times New Roman" w:hAnsi="Times New Roman"/>
                <w:sz w:val="24"/>
              </w:rPr>
              <w:t>030</w:t>
            </w:r>
          </w:p>
        </w:tc>
        <w:tc>
          <w:tcPr>
            <w:tcW w:w="8131" w:type="dxa"/>
          </w:tcPr>
          <w:p w:rsidR="00154859" w:rsidRPr="00EF7F33" w:rsidRDefault="00187348" w:rsidP="00133107">
            <w:pPr>
              <w:autoSpaceDE w:val="0"/>
              <w:autoSpaceDN w:val="0"/>
              <w:adjustRightInd w:val="0"/>
              <w:rPr>
                <w:rFonts w:ascii="Times New Roman" w:hAnsi="Times New Roman"/>
                <w:b/>
                <w:bCs/>
                <w:sz w:val="24"/>
                <w:u w:val="single"/>
              </w:rPr>
            </w:pPr>
            <w:r w:rsidRPr="00EF7F33">
              <w:rPr>
                <w:rFonts w:ascii="Times New Roman" w:hAnsi="Times New Roman"/>
                <w:b/>
                <w:sz w:val="24"/>
                <w:u w:val="single"/>
              </w:rPr>
              <w:t>Kvalitativne informacije</w:t>
            </w:r>
          </w:p>
          <w:p w:rsidR="00514783" w:rsidRPr="00EF7F33" w:rsidRDefault="00CA270D" w:rsidP="00234E7D">
            <w:pPr>
              <w:autoSpaceDE w:val="0"/>
              <w:autoSpaceDN w:val="0"/>
              <w:adjustRightInd w:val="0"/>
              <w:rPr>
                <w:rFonts w:ascii="Times New Roman" w:hAnsi="Times New Roman"/>
                <w:sz w:val="24"/>
              </w:rPr>
            </w:pPr>
            <w:r w:rsidRPr="00EF7F33">
              <w:rPr>
                <w:rFonts w:ascii="Times New Roman" w:hAnsi="Times New Roman"/>
                <w:sz w:val="24"/>
              </w:rPr>
              <w:t>Informacije se iskazuju samo za zemlju boravišta institucije (zemlju koja odgov</w:t>
            </w:r>
            <w:r w:rsidRPr="00EF7F33">
              <w:rPr>
                <w:rFonts w:ascii="Times New Roman" w:hAnsi="Times New Roman"/>
                <w:sz w:val="24"/>
              </w:rPr>
              <w:t>a</w:t>
            </w:r>
            <w:r w:rsidRPr="00EF7F33">
              <w:rPr>
                <w:rFonts w:ascii="Times New Roman" w:hAnsi="Times New Roman"/>
                <w:sz w:val="24"/>
              </w:rPr>
              <w:t xml:space="preserve">ra njezinoj matičnoj državi članici) i „ukupno” za sve zemlje. </w:t>
            </w:r>
          </w:p>
          <w:p w:rsidR="00EF3F40" w:rsidRPr="00EF7F33" w:rsidRDefault="00514783" w:rsidP="00514783">
            <w:pPr>
              <w:autoSpaceDE w:val="0"/>
              <w:autoSpaceDN w:val="0"/>
              <w:adjustRightInd w:val="0"/>
              <w:rPr>
                <w:rFonts w:ascii="Times New Roman" w:hAnsi="Times New Roman"/>
                <w:b/>
                <w:bCs/>
                <w:sz w:val="24"/>
                <w:u w:val="single"/>
              </w:rPr>
            </w:pPr>
            <w:r w:rsidRPr="00EF7F33">
              <w:rPr>
                <w:rFonts w:ascii="Times New Roman" w:hAnsi="Times New Roman"/>
                <w:sz w:val="24"/>
              </w:rPr>
              <w:t>Institucije iskazuju {y} ili {n}  u skladu s uputama za odgovarajući redak.</w:t>
            </w:r>
          </w:p>
        </w:tc>
      </w:tr>
    </w:tbl>
    <w:p w:rsidR="00464F34" w:rsidRPr="00EF7F33"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EF7F33" w:rsidTr="00672D2A">
        <w:tc>
          <w:tcPr>
            <w:tcW w:w="1697" w:type="dxa"/>
            <w:shd w:val="clear" w:color="auto" w:fill="CCCCCC"/>
          </w:tcPr>
          <w:p w:rsidR="00BD5485" w:rsidRPr="00EF7F33" w:rsidRDefault="00BD5485" w:rsidP="00133107">
            <w:pPr>
              <w:rPr>
                <w:rFonts w:ascii="Times New Roman" w:hAnsi="Times New Roman"/>
                <w:b/>
                <w:sz w:val="24"/>
              </w:rPr>
            </w:pPr>
            <w:r w:rsidRPr="00EF7F33">
              <w:rPr>
                <w:rFonts w:ascii="Times New Roman" w:hAnsi="Times New Roman"/>
                <w:b/>
                <w:sz w:val="24"/>
              </w:rPr>
              <w:lastRenderedPageBreak/>
              <w:t>Redci</w:t>
            </w:r>
          </w:p>
        </w:tc>
        <w:tc>
          <w:tcPr>
            <w:tcW w:w="8131" w:type="dxa"/>
            <w:shd w:val="clear" w:color="auto" w:fill="CCCCCC"/>
          </w:tcPr>
          <w:p w:rsidR="00BD5485" w:rsidRPr="00EF7F33" w:rsidRDefault="00BD5485" w:rsidP="00133107">
            <w:pPr>
              <w:ind w:left="72"/>
              <w:rPr>
                <w:rFonts w:ascii="Times New Roman" w:hAnsi="Times New Roman"/>
                <w:sz w:val="24"/>
              </w:rPr>
            </w:pPr>
          </w:p>
        </w:tc>
      </w:tr>
      <w:tr w:rsidR="00BD5485" w:rsidRPr="00EF7F33" w:rsidTr="00672D2A">
        <w:tc>
          <w:tcPr>
            <w:tcW w:w="1697" w:type="dxa"/>
          </w:tcPr>
          <w:p w:rsidR="00BD5485" w:rsidRPr="00EF7F33" w:rsidRDefault="00BD5485" w:rsidP="00133107">
            <w:pPr>
              <w:rPr>
                <w:rStyle w:val="InstructionsTabelleText"/>
                <w:rFonts w:ascii="Times New Roman" w:hAnsi="Times New Roman"/>
                <w:sz w:val="24"/>
              </w:rPr>
            </w:pPr>
            <w:r w:rsidRPr="00EF7F33">
              <w:rPr>
                <w:rFonts w:ascii="Times New Roman" w:hAnsi="Times New Roman"/>
                <w:sz w:val="24"/>
              </w:rPr>
              <w:t>010-020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Relevantne kreditne izloženosti – kreditni rizik</w:t>
            </w:r>
          </w:p>
          <w:p w:rsidR="00BD5485" w:rsidRPr="00EF7F33" w:rsidRDefault="00BD5485" w:rsidP="00BD5485">
            <w:pPr>
              <w:rPr>
                <w:rFonts w:ascii="Times New Roman" w:hAnsi="Times New Roman"/>
                <w:b/>
                <w:sz w:val="24"/>
                <w:u w:val="single"/>
              </w:rPr>
            </w:pPr>
            <w:r w:rsidRPr="00EF7F33">
              <w:rPr>
                <w:rFonts w:ascii="Times New Roman" w:hAnsi="Times New Roman"/>
                <w:sz w:val="24"/>
              </w:rPr>
              <w:t>Relevantne kreditne izloženosti definirane u skladu s člankom 140. stavkom 4. točkom (a) CRD-a.</w:t>
            </w:r>
          </w:p>
        </w:tc>
      </w:tr>
      <w:tr w:rsidR="00BD5485" w:rsidRPr="00EF7F33" w:rsidTr="00672D2A">
        <w:tc>
          <w:tcPr>
            <w:tcW w:w="1697" w:type="dxa"/>
          </w:tcPr>
          <w:p w:rsidR="00BD5485" w:rsidRPr="00EF7F33" w:rsidRDefault="00BD5485" w:rsidP="00133107">
            <w:pPr>
              <w:rPr>
                <w:sz w:val="24"/>
              </w:rPr>
            </w:pPr>
            <w:r w:rsidRPr="00EF7F33">
              <w:rPr>
                <w:rFonts w:ascii="Times New Roman" w:hAnsi="Times New Roman"/>
                <w:sz w:val="24"/>
              </w:rPr>
              <w:t>010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Vrijednost izloženosti u skladu sa standardiziranim pristupom</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 xml:space="preserve">Vrijednost izloženosti utvrđena u skladu s člankom 111. CRR-a za relevantne kreditne izloženosti definirane u skladu s člankom 140. stavkom 4. točkom (a) CRD-a. </w:t>
            </w:r>
          </w:p>
          <w:p w:rsidR="00BD5485" w:rsidRPr="00EF7F33" w:rsidRDefault="00BD5485" w:rsidP="005A7CA9">
            <w:pPr>
              <w:autoSpaceDE w:val="0"/>
              <w:autoSpaceDN w:val="0"/>
              <w:adjustRightInd w:val="0"/>
              <w:rPr>
                <w:rFonts w:ascii="Times New Roman" w:hAnsi="Times New Roman"/>
                <w:b/>
                <w:bCs/>
                <w:sz w:val="24"/>
                <w:u w:val="single"/>
              </w:rPr>
            </w:pPr>
            <w:r w:rsidRPr="00EF7F33">
              <w:rPr>
                <w:rFonts w:ascii="Times New Roman" w:hAnsi="Times New Roman"/>
                <w:sz w:val="24"/>
              </w:rPr>
              <w:t>Vrijednost izloženosti sekuritizacijskih pozicija u knjizi pozicija kojima se ne t</w:t>
            </w:r>
            <w:r w:rsidRPr="00EF7F33">
              <w:rPr>
                <w:rFonts w:ascii="Times New Roman" w:hAnsi="Times New Roman"/>
                <w:sz w:val="24"/>
              </w:rPr>
              <w:t>r</w:t>
            </w:r>
            <w:r w:rsidRPr="00EF7F33">
              <w:rPr>
                <w:rFonts w:ascii="Times New Roman" w:hAnsi="Times New Roman"/>
                <w:sz w:val="24"/>
              </w:rPr>
              <w:t>guje u skladu sa standardiziranim pristupom isključuje se iz ovog retka i iskazuje se u retku 050.</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020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Vrijednost izloženosti u skladu s IRB pristupom</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 xml:space="preserve">Vrijednost izloženosti utvrđena u skladu s člankom 166. CRR-a za relevantne kreditne izloženosti definirane u skladu s člankom 140. stavkom 4. točkom (a) CRD-a. </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Vrijednost izloženosti sekuritizacijskih pozicija u knjizi pozicija kojima se ne t</w:t>
            </w:r>
            <w:r w:rsidRPr="00EF7F33">
              <w:rPr>
                <w:rFonts w:ascii="Times New Roman" w:hAnsi="Times New Roman"/>
                <w:sz w:val="24"/>
              </w:rPr>
              <w:t>r</w:t>
            </w:r>
            <w:r w:rsidRPr="00EF7F33">
              <w:rPr>
                <w:rFonts w:ascii="Times New Roman" w:hAnsi="Times New Roman"/>
                <w:sz w:val="24"/>
              </w:rPr>
              <w:t>guje u skladu s IRB pristupom isključuje se iz ovog retka i iskazuje se u retku 060.</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030-040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Relevantne kreditne izloženosti – tržišni rizik</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Relevantne kreditne izloženosti definirane u skladu s člankom 140. stavkom 4. točkom (b) CRD-a.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030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Zbroj dugih i kratkih pozicija u izloženostima iz knjige trgovanja za sta</w:t>
            </w:r>
            <w:r w:rsidRPr="00EF7F33">
              <w:rPr>
                <w:rFonts w:ascii="Times New Roman" w:hAnsi="Times New Roman"/>
                <w:b/>
                <w:sz w:val="24"/>
                <w:u w:val="single"/>
              </w:rPr>
              <w:t>n</w:t>
            </w:r>
            <w:r w:rsidRPr="00EF7F33">
              <w:rPr>
                <w:rFonts w:ascii="Times New Roman" w:hAnsi="Times New Roman"/>
                <w:b/>
                <w:sz w:val="24"/>
                <w:u w:val="single"/>
              </w:rPr>
              <w:t>dardizirane pristupe</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Zbroj neto dugih i kratkih pozicija, u skladu s člankom 327. CRR-a, u releva</w:t>
            </w:r>
            <w:r w:rsidRPr="00EF7F33">
              <w:rPr>
                <w:rFonts w:ascii="Times New Roman" w:hAnsi="Times New Roman"/>
                <w:sz w:val="24"/>
              </w:rPr>
              <w:t>n</w:t>
            </w:r>
            <w:r w:rsidRPr="00EF7F33">
              <w:rPr>
                <w:rFonts w:ascii="Times New Roman" w:hAnsi="Times New Roman"/>
                <w:sz w:val="24"/>
              </w:rPr>
              <w:t xml:space="preserve">tnim kreditnim izloženostima definiranima u skladu s člankom 140. stavkom 4. točkom (b) CRD-a na temelju dijela trećeg glave IV. poglavlja 2. CRR-a: </w:t>
            </w:r>
          </w:p>
          <w:p w:rsidR="00C4425F" w:rsidRPr="00EF7F33" w:rsidRDefault="00125707" w:rsidP="0023700C">
            <w:pPr>
              <w:autoSpaceDE w:val="0"/>
              <w:autoSpaceDN w:val="0"/>
              <w:adjustRightInd w:val="0"/>
              <w:ind w:left="357" w:hanging="357"/>
              <w:contextualSpacing/>
              <w:rPr>
                <w:rFonts w:ascii="Times New Roman" w:hAnsi="Times New Roman"/>
                <w:sz w:val="24"/>
              </w:rPr>
            </w:pPr>
            <w:r w:rsidRPr="00EF7F33">
              <w:rPr>
                <w:rFonts w:ascii="Times New Roman" w:hAnsi="Times New Roman"/>
                <w:sz w:val="24"/>
              </w:rPr>
              <w:t>-</w:t>
            </w:r>
            <w:r w:rsidRPr="00EF7F33">
              <w:tab/>
            </w:r>
            <w:r w:rsidRPr="00EF7F33">
              <w:rPr>
                <w:rFonts w:ascii="Times New Roman" w:hAnsi="Times New Roman"/>
                <w:sz w:val="24"/>
              </w:rPr>
              <w:t xml:space="preserve">izloženosti prema dužničkim instrumentima osim sekuritizacija, </w:t>
            </w:r>
          </w:p>
          <w:p w:rsidR="00C4425F" w:rsidRPr="00EF7F33" w:rsidRDefault="00125707" w:rsidP="0023700C">
            <w:pPr>
              <w:autoSpaceDE w:val="0"/>
              <w:autoSpaceDN w:val="0"/>
              <w:adjustRightInd w:val="0"/>
              <w:ind w:left="357" w:hanging="357"/>
              <w:contextualSpacing/>
              <w:rPr>
                <w:rFonts w:ascii="Times New Roman" w:hAnsi="Times New Roman"/>
                <w:sz w:val="24"/>
              </w:rPr>
            </w:pPr>
            <w:r w:rsidRPr="00EF7F33">
              <w:rPr>
                <w:rFonts w:ascii="Times New Roman" w:hAnsi="Times New Roman"/>
                <w:sz w:val="24"/>
              </w:rPr>
              <w:t>-</w:t>
            </w:r>
            <w:r w:rsidRPr="00EF7F33">
              <w:tab/>
            </w:r>
            <w:r w:rsidRPr="00EF7F33">
              <w:rPr>
                <w:rFonts w:ascii="Times New Roman" w:hAnsi="Times New Roman"/>
                <w:sz w:val="24"/>
              </w:rPr>
              <w:t xml:space="preserve">izloženosti prema sekuritizacijskim pozicijama u knjizi trgovanja, </w:t>
            </w:r>
          </w:p>
          <w:p w:rsidR="00C4425F" w:rsidRPr="00EF7F33" w:rsidRDefault="00125707" w:rsidP="0023700C">
            <w:pPr>
              <w:autoSpaceDE w:val="0"/>
              <w:autoSpaceDN w:val="0"/>
              <w:adjustRightInd w:val="0"/>
              <w:ind w:left="357" w:hanging="357"/>
              <w:contextualSpacing/>
              <w:rPr>
                <w:rFonts w:ascii="Times New Roman" w:hAnsi="Times New Roman"/>
                <w:sz w:val="24"/>
              </w:rPr>
            </w:pPr>
            <w:r w:rsidRPr="00EF7F33">
              <w:rPr>
                <w:rFonts w:ascii="Times New Roman" w:hAnsi="Times New Roman"/>
                <w:sz w:val="24"/>
              </w:rPr>
              <w:t>-</w:t>
            </w:r>
            <w:r w:rsidRPr="00EF7F33">
              <w:tab/>
            </w:r>
            <w:r w:rsidRPr="00EF7F33">
              <w:rPr>
                <w:rFonts w:ascii="Times New Roman" w:hAnsi="Times New Roman"/>
                <w:sz w:val="24"/>
              </w:rPr>
              <w:t>izloženosti prema korelacijskim portfeljima namijenjenima trgovanju,</w:t>
            </w:r>
          </w:p>
          <w:p w:rsidR="00C4425F" w:rsidRPr="00EF7F33" w:rsidRDefault="00125707" w:rsidP="0023700C">
            <w:pPr>
              <w:autoSpaceDE w:val="0"/>
              <w:autoSpaceDN w:val="0"/>
              <w:adjustRightInd w:val="0"/>
              <w:ind w:left="357" w:hanging="357"/>
              <w:contextualSpacing/>
              <w:rPr>
                <w:rFonts w:ascii="Times New Roman" w:hAnsi="Times New Roman"/>
                <w:sz w:val="24"/>
              </w:rPr>
            </w:pPr>
            <w:r w:rsidRPr="00EF7F33">
              <w:rPr>
                <w:rFonts w:ascii="Times New Roman" w:hAnsi="Times New Roman"/>
                <w:sz w:val="24"/>
              </w:rPr>
              <w:t>-</w:t>
            </w:r>
            <w:r w:rsidRPr="00EF7F33">
              <w:tab/>
            </w:r>
            <w:r w:rsidRPr="00EF7F33">
              <w:rPr>
                <w:rFonts w:ascii="Times New Roman" w:hAnsi="Times New Roman"/>
                <w:sz w:val="24"/>
              </w:rPr>
              <w:t>izloženosti prema vlasničkim vrijednosnim papirima i</w:t>
            </w:r>
          </w:p>
          <w:p w:rsidR="00797715" w:rsidRPr="00EF7F33" w:rsidRDefault="00125707" w:rsidP="0023700C">
            <w:pPr>
              <w:autoSpaceDE w:val="0"/>
              <w:autoSpaceDN w:val="0"/>
              <w:adjustRightInd w:val="0"/>
              <w:ind w:left="357" w:hanging="357"/>
              <w:contextualSpacing/>
              <w:rPr>
                <w:rFonts w:ascii="Times New Roman" w:hAnsi="Times New Roman"/>
                <w:b/>
                <w:bCs/>
                <w:sz w:val="24"/>
                <w:u w:val="single"/>
              </w:rPr>
            </w:pPr>
            <w:r w:rsidRPr="00EF7F33">
              <w:rPr>
                <w:rFonts w:ascii="Times New Roman" w:hAnsi="Times New Roman"/>
                <w:sz w:val="24"/>
              </w:rPr>
              <w:t>-</w:t>
            </w:r>
            <w:r w:rsidRPr="00EF7F33">
              <w:tab/>
            </w:r>
            <w:r w:rsidRPr="00EF7F33">
              <w:rPr>
                <w:rFonts w:ascii="Times New Roman" w:hAnsi="Times New Roman"/>
                <w:sz w:val="24"/>
              </w:rPr>
              <w:t>izloženosti prema CIU-ovima ako se kapitalni zahtjevi izračunavaju u skladu s člankom 348. CRR-a.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040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Vrijednost izloženosti iz knjige trgovanja u skladu s pristupom internih m</w:t>
            </w:r>
            <w:r w:rsidRPr="00EF7F33">
              <w:rPr>
                <w:rFonts w:ascii="Times New Roman" w:hAnsi="Times New Roman"/>
                <w:b/>
                <w:sz w:val="24"/>
                <w:u w:val="single"/>
              </w:rPr>
              <w:t>o</w:t>
            </w:r>
            <w:r w:rsidRPr="00EF7F33">
              <w:rPr>
                <w:rFonts w:ascii="Times New Roman" w:hAnsi="Times New Roman"/>
                <w:b/>
                <w:sz w:val="24"/>
                <w:u w:val="single"/>
              </w:rPr>
              <w:t>dela</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Za relevantne kreditne izloženosti definirane u skladu s člankom 140. stavkom 4. točkom (b) CRD-a na temelju dijela trećeg glave IV. poglavlja 2. CRR-a, iskazuje se zbroj sljedećeg:</w:t>
            </w:r>
          </w:p>
          <w:p w:rsidR="00BD5485" w:rsidRPr="00EF7F33" w:rsidRDefault="00125707" w:rsidP="0023700C">
            <w:pPr>
              <w:autoSpaceDE w:val="0"/>
              <w:autoSpaceDN w:val="0"/>
              <w:adjustRightInd w:val="0"/>
              <w:ind w:left="357" w:hanging="357"/>
              <w:contextualSpacing/>
              <w:rPr>
                <w:rFonts w:ascii="Times New Roman" w:hAnsi="Times New Roman"/>
                <w:sz w:val="24"/>
              </w:rPr>
            </w:pPr>
            <w:r w:rsidRPr="00EF7F33">
              <w:rPr>
                <w:rFonts w:ascii="Calibri" w:hAnsi="Calibri"/>
                <w:sz w:val="24"/>
              </w:rPr>
              <w:t>-</w:t>
            </w:r>
            <w:r w:rsidRPr="00EF7F33">
              <w:tab/>
            </w:r>
            <w:r w:rsidRPr="00EF7F33">
              <w:rPr>
                <w:rFonts w:ascii="Times New Roman" w:hAnsi="Times New Roman"/>
                <w:sz w:val="24"/>
              </w:rPr>
              <w:t>fer vrijednosti neizvedenih pozicija koje predstavljaju relevantne kreditne i</w:t>
            </w:r>
            <w:r w:rsidRPr="00EF7F33">
              <w:rPr>
                <w:rFonts w:ascii="Times New Roman" w:hAnsi="Times New Roman"/>
                <w:sz w:val="24"/>
              </w:rPr>
              <w:t>z</w:t>
            </w:r>
            <w:r w:rsidRPr="00EF7F33">
              <w:rPr>
                <w:rFonts w:ascii="Times New Roman" w:hAnsi="Times New Roman"/>
                <w:sz w:val="24"/>
              </w:rPr>
              <w:t>loženosti kako je definirano u skladu s člankom 140. stavkom 4. točkom (b) CRD-a, utvrđeno na temelju članka 104. CRR-a.</w:t>
            </w:r>
          </w:p>
          <w:p w:rsidR="00BD5485" w:rsidRPr="00EF7F33" w:rsidRDefault="00125707" w:rsidP="0023700C">
            <w:pPr>
              <w:autoSpaceDE w:val="0"/>
              <w:autoSpaceDN w:val="0"/>
              <w:adjustRightInd w:val="0"/>
              <w:ind w:left="357" w:hanging="357"/>
              <w:contextualSpacing/>
              <w:rPr>
                <w:rFonts w:ascii="Times New Roman" w:hAnsi="Times New Roman"/>
                <w:b/>
                <w:bCs/>
                <w:sz w:val="24"/>
                <w:u w:val="single"/>
              </w:rPr>
            </w:pPr>
            <w:r w:rsidRPr="00EF7F33">
              <w:rPr>
                <w:rFonts w:ascii="Calibri" w:hAnsi="Calibri"/>
                <w:sz w:val="24"/>
              </w:rPr>
              <w:lastRenderedPageBreak/>
              <w:t>-</w:t>
            </w:r>
            <w:r w:rsidRPr="00EF7F33">
              <w:tab/>
            </w:r>
            <w:r w:rsidRPr="00EF7F33">
              <w:rPr>
                <w:rFonts w:ascii="Times New Roman" w:hAnsi="Times New Roman"/>
                <w:sz w:val="24"/>
              </w:rPr>
              <w:t>zamišljene vrijednosti izvedenica koje predstavljaju relevantne kreditne izl</w:t>
            </w:r>
            <w:r w:rsidRPr="00EF7F33">
              <w:rPr>
                <w:rFonts w:ascii="Times New Roman" w:hAnsi="Times New Roman"/>
                <w:sz w:val="24"/>
              </w:rPr>
              <w:t>o</w:t>
            </w:r>
            <w:r w:rsidRPr="00EF7F33">
              <w:rPr>
                <w:rFonts w:ascii="Times New Roman" w:hAnsi="Times New Roman"/>
                <w:sz w:val="24"/>
              </w:rPr>
              <w:t>ženosti kako je definirano u skladu s člankom 140. stavkom 4. točkom (b) CRD-a.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lastRenderedPageBreak/>
              <w:t>050-060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Relevantne kreditne izloženosti – sekuritizacijske pozicije u knjizi pozicija kojima se ne trguje</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Relevantne kreditne izloženosti definirane u skladu s člankom 140. stavkom 4. točkom (c) CRD-a.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050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Vrijednost izloženosti sekuritizacijskih pozicija u knjizi pozicija kojima se ne trguje u skladu sa standardiziranim pristupom</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 xml:space="preserve">Vrijednost izloženosti utvrđena u skladu s člankom 246. CRR-a za relevantne kreditne izloženosti definirane u skladu s člankom 140. stavkom 4. točkom (c) CRD-a. </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060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Vrijednost izloženosti sekuritizacijskih pozicija u knjizi pozicija kojima se ne trguje u skladu s IRB pristupom</w:t>
            </w:r>
          </w:p>
          <w:p w:rsidR="00BD5485" w:rsidRPr="00EF7F33" w:rsidRDefault="00BD5485" w:rsidP="0009195D">
            <w:pPr>
              <w:autoSpaceDE w:val="0"/>
              <w:autoSpaceDN w:val="0"/>
              <w:adjustRightInd w:val="0"/>
              <w:rPr>
                <w:rFonts w:ascii="Times New Roman" w:hAnsi="Times New Roman"/>
                <w:b/>
                <w:bCs/>
                <w:sz w:val="24"/>
                <w:u w:val="single"/>
              </w:rPr>
            </w:pPr>
            <w:r w:rsidRPr="00EF7F33">
              <w:rPr>
                <w:rFonts w:ascii="Times New Roman" w:hAnsi="Times New Roman"/>
                <w:sz w:val="24"/>
              </w:rPr>
              <w:t xml:space="preserve">Vrijednost izloženosti utvrđena u skladu s člankom 246. CRR-a za relevantne kreditne izloženosti definirane u skladu s člankom 140. stavkom 4. točkom (c) CRD-a. </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070-110</w:t>
            </w:r>
          </w:p>
        </w:tc>
        <w:tc>
          <w:tcPr>
            <w:tcW w:w="8131" w:type="dxa"/>
          </w:tcPr>
          <w:p w:rsidR="00BD5485" w:rsidRPr="00EF7F33" w:rsidRDefault="00BD5485" w:rsidP="00133107">
            <w:pPr>
              <w:rPr>
                <w:rFonts w:ascii="Times New Roman" w:hAnsi="Times New Roman"/>
                <w:b/>
                <w:bCs/>
                <w:sz w:val="24"/>
                <w:u w:val="single"/>
              </w:rPr>
            </w:pPr>
            <w:r w:rsidRPr="00EF7F33">
              <w:rPr>
                <w:rFonts w:ascii="Times New Roman" w:hAnsi="Times New Roman"/>
                <w:b/>
                <w:sz w:val="24"/>
                <w:u w:val="single"/>
              </w:rPr>
              <w:t>Kapitalni zahtjevi i ponderi</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070</w:t>
            </w:r>
          </w:p>
        </w:tc>
        <w:tc>
          <w:tcPr>
            <w:tcW w:w="8131" w:type="dxa"/>
          </w:tcPr>
          <w:p w:rsidR="00BD5485" w:rsidRPr="00EF7F33" w:rsidRDefault="00BD5485" w:rsidP="00BD5485">
            <w:pPr>
              <w:rPr>
                <w:rFonts w:ascii="Times New Roman" w:hAnsi="Times New Roman"/>
                <w:b/>
                <w:bCs/>
                <w:sz w:val="24"/>
                <w:u w:val="single"/>
              </w:rPr>
            </w:pPr>
            <w:r w:rsidRPr="00EF7F33">
              <w:rPr>
                <w:rFonts w:ascii="Times New Roman" w:hAnsi="Times New Roman"/>
                <w:b/>
                <w:sz w:val="24"/>
                <w:u w:val="single"/>
              </w:rPr>
              <w:t>Ukupni kapitalni zahtjevi za protuciklički zaštitni sloj kapitala</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Zbroj redaka 080, 090 i 100.</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080</w:t>
            </w:r>
          </w:p>
        </w:tc>
        <w:tc>
          <w:tcPr>
            <w:tcW w:w="8131" w:type="dxa"/>
          </w:tcPr>
          <w:p w:rsidR="00BD5485" w:rsidRPr="00EF7F33" w:rsidRDefault="00C211DC" w:rsidP="00BD5485">
            <w:pPr>
              <w:rPr>
                <w:rFonts w:ascii="Times New Roman" w:hAnsi="Times New Roman"/>
                <w:b/>
                <w:bCs/>
                <w:sz w:val="24"/>
                <w:u w:val="single"/>
              </w:rPr>
            </w:pPr>
            <w:r w:rsidRPr="00EF7F33">
              <w:rPr>
                <w:rFonts w:ascii="Times New Roman" w:hAnsi="Times New Roman"/>
                <w:b/>
                <w:sz w:val="24"/>
              </w:rPr>
              <w:t xml:space="preserve">Kapitalni zahtjevi </w:t>
            </w:r>
            <w:r w:rsidRPr="00EF7F33">
              <w:rPr>
                <w:rFonts w:ascii="Times New Roman" w:hAnsi="Times New Roman"/>
                <w:b/>
                <w:sz w:val="24"/>
                <w:u w:val="single"/>
              </w:rPr>
              <w:t xml:space="preserve"> za relevantne kreditne izloženosti – kreditni rizik </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 xml:space="preserve">Kapitalni zahtjevi utvrđeni u skladu s dijelom trećim glavom II. poglavljima od 1. do 4. i poglavljem 6. CRR-a za relevantne kreditne izloženosti definirane u skladu s člankom 104. stavkom 4. točkom (a) CRD-a u dotičnoj zemlji. </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Kapitalni zahtjevi za sekuritizacijske pozicije u knjizi pozicija kojima se ne trguje isključuju se iz ovog retka i iskazuje se u retku 100.</w:t>
            </w:r>
          </w:p>
          <w:p w:rsidR="00BD5485" w:rsidRPr="00EF7F33" w:rsidRDefault="00BD5485" w:rsidP="00255BA9">
            <w:pPr>
              <w:rPr>
                <w:rFonts w:ascii="Times New Roman" w:hAnsi="Times New Roman"/>
                <w:b/>
                <w:bCs/>
                <w:sz w:val="24"/>
                <w:u w:val="single"/>
              </w:rPr>
            </w:pPr>
            <w:r w:rsidRPr="00EF7F33">
              <w:rPr>
                <w:rFonts w:ascii="Times New Roman" w:hAnsi="Times New Roman"/>
                <w:sz w:val="24"/>
              </w:rPr>
              <w:t>Kapitalni zahtjevi iznose 8 % iznosa izloženosti ponderirane rizikom utvrđenog u skladu s odredbama dijela trećeg glave II. poglavlja od 1. do 4. i poglavlja 6. CRR-a.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090</w:t>
            </w:r>
          </w:p>
        </w:tc>
        <w:tc>
          <w:tcPr>
            <w:tcW w:w="8131" w:type="dxa"/>
          </w:tcPr>
          <w:p w:rsidR="00BD5485" w:rsidRPr="00EF7F33" w:rsidRDefault="00C211DC" w:rsidP="00BD5485">
            <w:pPr>
              <w:rPr>
                <w:rFonts w:ascii="Times New Roman" w:hAnsi="Times New Roman"/>
                <w:b/>
                <w:bCs/>
                <w:sz w:val="24"/>
                <w:u w:val="single"/>
              </w:rPr>
            </w:pPr>
            <w:r w:rsidRPr="00EF7F33">
              <w:rPr>
                <w:rFonts w:ascii="Times New Roman" w:hAnsi="Times New Roman"/>
                <w:b/>
                <w:sz w:val="24"/>
              </w:rPr>
              <w:t>Kapitalni zahtjevi</w:t>
            </w:r>
            <w:r w:rsidRPr="00EF7F33">
              <w:rPr>
                <w:rFonts w:ascii="Times New Roman" w:hAnsi="Times New Roman"/>
                <w:b/>
                <w:sz w:val="24"/>
                <w:u w:val="single"/>
              </w:rPr>
              <w:t xml:space="preserve"> za relevantne kreditne izloženosti – tržišni rizik  </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Kapitalni zahtjevi utvrđeni u skladu s dijelom trećim glavom IV. poglavljem 2. CRR-a za specifični rizik ili u skladu s dijelom trećim glavom IV. poglavljem 5. CRR-a za rizik nastanka statusa neispunjavanja obveza i migracijski rizik releva</w:t>
            </w:r>
            <w:r w:rsidRPr="00EF7F33">
              <w:rPr>
                <w:rFonts w:ascii="Times New Roman" w:hAnsi="Times New Roman"/>
                <w:sz w:val="24"/>
              </w:rPr>
              <w:t>n</w:t>
            </w:r>
            <w:r w:rsidRPr="00EF7F33">
              <w:rPr>
                <w:rFonts w:ascii="Times New Roman" w:hAnsi="Times New Roman"/>
                <w:sz w:val="24"/>
              </w:rPr>
              <w:t xml:space="preserve">tnih kreditnih izloženosti, definiranih u skladu s člankom 104. stavkom 4. točkom (b) CRD-a u dotičnoj zemlji. </w:t>
            </w:r>
          </w:p>
          <w:p w:rsidR="00BD5485" w:rsidRPr="00EF7F33" w:rsidRDefault="00BD5485" w:rsidP="0009195D">
            <w:pPr>
              <w:autoSpaceDE w:val="0"/>
              <w:autoSpaceDN w:val="0"/>
              <w:adjustRightInd w:val="0"/>
              <w:rPr>
                <w:rFonts w:ascii="Times New Roman" w:hAnsi="Times New Roman"/>
                <w:b/>
                <w:bCs/>
                <w:sz w:val="24"/>
                <w:u w:val="single"/>
              </w:rPr>
            </w:pPr>
            <w:r w:rsidRPr="00EF7F33">
              <w:rPr>
                <w:rFonts w:ascii="Times New Roman" w:hAnsi="Times New Roman"/>
                <w:sz w:val="24"/>
              </w:rPr>
              <w:t>Kapitalni zahtjevi za relevantne kreditne izloženosti na temelju okvira tržišnog r</w:t>
            </w:r>
            <w:r w:rsidRPr="00EF7F33">
              <w:rPr>
                <w:rFonts w:ascii="Times New Roman" w:hAnsi="Times New Roman"/>
                <w:sz w:val="24"/>
              </w:rPr>
              <w:t>i</w:t>
            </w:r>
            <w:r w:rsidRPr="00EF7F33">
              <w:rPr>
                <w:rFonts w:ascii="Times New Roman" w:hAnsi="Times New Roman"/>
                <w:sz w:val="24"/>
              </w:rPr>
              <w:t>zika uključuju među ostalim kapitalne zahtjeve za sekuritizacijske pozicije na t</w:t>
            </w:r>
            <w:r w:rsidRPr="00EF7F33">
              <w:rPr>
                <w:rFonts w:ascii="Times New Roman" w:hAnsi="Times New Roman"/>
                <w:sz w:val="24"/>
              </w:rPr>
              <w:t>e</w:t>
            </w:r>
            <w:r w:rsidRPr="00EF7F33">
              <w:rPr>
                <w:rFonts w:ascii="Times New Roman" w:hAnsi="Times New Roman"/>
                <w:sz w:val="24"/>
              </w:rPr>
              <w:t>melju dijela trećeg, glave IV., poglavlja 2. CRR-a i kapitalne zahtjeve za izlož</w:t>
            </w:r>
            <w:r w:rsidRPr="00EF7F33">
              <w:rPr>
                <w:rFonts w:ascii="Times New Roman" w:hAnsi="Times New Roman"/>
                <w:sz w:val="24"/>
              </w:rPr>
              <w:t>e</w:t>
            </w:r>
            <w:r w:rsidRPr="00EF7F33">
              <w:rPr>
                <w:rFonts w:ascii="Times New Roman" w:hAnsi="Times New Roman"/>
                <w:sz w:val="24"/>
              </w:rPr>
              <w:t>nosti subjekata za zajednička ulaganja utvrđenih u skladu s člankom 348. CRR-a.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lastRenderedPageBreak/>
              <w:t>100</w:t>
            </w:r>
          </w:p>
        </w:tc>
        <w:tc>
          <w:tcPr>
            <w:tcW w:w="8131" w:type="dxa"/>
          </w:tcPr>
          <w:p w:rsidR="00BD5485" w:rsidRPr="00EF7F33" w:rsidRDefault="00C211DC" w:rsidP="00BD5485">
            <w:pPr>
              <w:rPr>
                <w:rFonts w:ascii="Times New Roman" w:hAnsi="Times New Roman"/>
                <w:b/>
                <w:bCs/>
                <w:sz w:val="24"/>
                <w:u w:val="single"/>
              </w:rPr>
            </w:pPr>
            <w:r w:rsidRPr="00EF7F33">
              <w:rPr>
                <w:rFonts w:ascii="Times New Roman" w:hAnsi="Times New Roman"/>
                <w:b/>
                <w:sz w:val="24"/>
              </w:rPr>
              <w:t xml:space="preserve">Kapitalni zahtjevi </w:t>
            </w:r>
            <w:r w:rsidRPr="00EF7F33">
              <w:rPr>
                <w:rFonts w:ascii="Times New Roman" w:hAnsi="Times New Roman"/>
                <w:b/>
                <w:sz w:val="24"/>
                <w:u w:val="single"/>
              </w:rPr>
              <w:t xml:space="preserve"> za relevantne kreditne izloženosti – sekuritizacijske poz</w:t>
            </w:r>
            <w:r w:rsidRPr="00EF7F33">
              <w:rPr>
                <w:rFonts w:ascii="Times New Roman" w:hAnsi="Times New Roman"/>
                <w:b/>
                <w:sz w:val="24"/>
                <w:u w:val="single"/>
              </w:rPr>
              <w:t>i</w:t>
            </w:r>
            <w:r w:rsidRPr="00EF7F33">
              <w:rPr>
                <w:rFonts w:ascii="Times New Roman" w:hAnsi="Times New Roman"/>
                <w:b/>
                <w:sz w:val="24"/>
                <w:u w:val="single"/>
              </w:rPr>
              <w:t>cije u knjizi pozicija kojima se ne trguje</w:t>
            </w:r>
          </w:p>
          <w:p w:rsidR="00BD5485" w:rsidRPr="00EF7F33" w:rsidRDefault="00BD5485" w:rsidP="00BD5485">
            <w:pPr>
              <w:autoSpaceDE w:val="0"/>
              <w:autoSpaceDN w:val="0"/>
              <w:adjustRightInd w:val="0"/>
              <w:rPr>
                <w:rFonts w:ascii="Times New Roman" w:hAnsi="Times New Roman"/>
                <w:sz w:val="24"/>
              </w:rPr>
            </w:pPr>
            <w:r w:rsidRPr="00EF7F33">
              <w:rPr>
                <w:rFonts w:ascii="Times New Roman" w:hAnsi="Times New Roman"/>
                <w:sz w:val="24"/>
              </w:rPr>
              <w:t>Kapitalni zahtjevi utvrđeni u skladu s dijelom trećim glavom II. poglavljem 5. CRR-a za relevantne kreditne izloženosti definirane u skladu s člankom 104. stavkom 4. točkom (c) CRD-a u dotičnoj zemlji.</w:t>
            </w:r>
          </w:p>
          <w:p w:rsidR="00BD5485" w:rsidRPr="00EF7F33" w:rsidRDefault="00BD5485" w:rsidP="00BD5485">
            <w:pPr>
              <w:rPr>
                <w:rFonts w:ascii="Times New Roman" w:hAnsi="Times New Roman"/>
                <w:b/>
                <w:bCs/>
                <w:sz w:val="24"/>
                <w:u w:val="single"/>
              </w:rPr>
            </w:pPr>
            <w:r w:rsidRPr="00EF7F33">
              <w:rPr>
                <w:rFonts w:ascii="Times New Roman" w:hAnsi="Times New Roman"/>
                <w:sz w:val="24"/>
              </w:rPr>
              <w:t>Kapitalni zahtjevi iznose 8 % iznosa izloženosti ponderirane rizikom utvrđenog u skladu s odredbama dijela trećeg glave II. poglavlja 5. CRR-a.</w:t>
            </w:r>
          </w:p>
        </w:tc>
      </w:tr>
      <w:tr w:rsidR="00BD5485" w:rsidRPr="00EF7F33" w:rsidTr="00672D2A">
        <w:tc>
          <w:tcPr>
            <w:tcW w:w="1697" w:type="dxa"/>
          </w:tcPr>
          <w:p w:rsidR="00BD5485" w:rsidRPr="00EF7F33" w:rsidRDefault="00BD5485" w:rsidP="00133107">
            <w:pPr>
              <w:rPr>
                <w:rFonts w:ascii="Times New Roman" w:hAnsi="Times New Roman"/>
                <w:sz w:val="24"/>
              </w:rPr>
            </w:pPr>
            <w:r w:rsidRPr="00EF7F33">
              <w:rPr>
                <w:rFonts w:ascii="Times New Roman" w:hAnsi="Times New Roman"/>
                <w:sz w:val="24"/>
              </w:rPr>
              <w:t>110</w:t>
            </w:r>
          </w:p>
        </w:tc>
        <w:tc>
          <w:tcPr>
            <w:tcW w:w="8131" w:type="dxa"/>
          </w:tcPr>
          <w:p w:rsidR="00966663" w:rsidRPr="00EF7F33" w:rsidRDefault="00966663" w:rsidP="00966663">
            <w:pPr>
              <w:rPr>
                <w:rFonts w:ascii="Times New Roman" w:hAnsi="Times New Roman"/>
                <w:b/>
                <w:bCs/>
                <w:sz w:val="24"/>
                <w:u w:val="single"/>
              </w:rPr>
            </w:pPr>
            <w:r w:rsidRPr="00EF7F33">
              <w:rPr>
                <w:rFonts w:ascii="Times New Roman" w:hAnsi="Times New Roman"/>
                <w:b/>
                <w:sz w:val="24"/>
                <w:u w:val="single"/>
              </w:rPr>
              <w:t>Ponderi kapitalnih zahtjeva</w:t>
            </w:r>
          </w:p>
          <w:p w:rsidR="00966663" w:rsidRPr="00EF7F33" w:rsidRDefault="00966663" w:rsidP="00966663">
            <w:pPr>
              <w:rPr>
                <w:rFonts w:ascii="Times New Roman" w:hAnsi="Times New Roman"/>
                <w:sz w:val="24"/>
              </w:rPr>
            </w:pPr>
            <w:r w:rsidRPr="00EF7F33">
              <w:rPr>
                <w:rFonts w:ascii="Times New Roman" w:hAnsi="Times New Roman"/>
                <w:sz w:val="24"/>
              </w:rPr>
              <w:t>Ponder koji se primjenjuje na stopu protucikličkog zaštitnog sloja u svakoj zemlji izračunava se kao omjer kapitalnih zahtjeva utvrđeno kako slijedi:</w:t>
            </w:r>
          </w:p>
          <w:p w:rsidR="00966663" w:rsidRPr="00EF7F33" w:rsidRDefault="00966663" w:rsidP="00966663">
            <w:pPr>
              <w:rPr>
                <w:rFonts w:ascii="Times New Roman" w:hAnsi="Times New Roman"/>
                <w:sz w:val="24"/>
              </w:rPr>
            </w:pPr>
            <w:r w:rsidRPr="00EF7F33">
              <w:rPr>
                <w:rFonts w:ascii="Times New Roman" w:hAnsi="Times New Roman"/>
                <w:sz w:val="24"/>
              </w:rPr>
              <w:t>1.</w:t>
            </w:r>
            <w:r w:rsidRPr="00EF7F33">
              <w:tab/>
            </w:r>
            <w:r w:rsidRPr="00EF7F33">
              <w:rPr>
                <w:rFonts w:ascii="Times New Roman" w:hAnsi="Times New Roman"/>
                <w:sz w:val="24"/>
              </w:rPr>
              <w:t>Brojnik: ukupni kapitalni zahtjevi koji se odnose na relevantne kreditne i</w:t>
            </w:r>
            <w:r w:rsidRPr="00EF7F33">
              <w:rPr>
                <w:rFonts w:ascii="Times New Roman" w:hAnsi="Times New Roman"/>
                <w:sz w:val="24"/>
              </w:rPr>
              <w:t>z</w:t>
            </w:r>
            <w:r w:rsidRPr="00EF7F33">
              <w:rPr>
                <w:rFonts w:ascii="Times New Roman" w:hAnsi="Times New Roman"/>
                <w:sz w:val="24"/>
              </w:rPr>
              <w:t xml:space="preserve">loženosti u dotičnoj zemlji [redak 070; stupac 010 u obrascu za zemlju],  </w:t>
            </w:r>
          </w:p>
          <w:p w:rsidR="00BD5485" w:rsidRPr="00EF7F33" w:rsidRDefault="00966663" w:rsidP="00CF5466">
            <w:pPr>
              <w:rPr>
                <w:rFonts w:ascii="Times New Roman" w:hAnsi="Times New Roman"/>
                <w:b/>
                <w:bCs/>
                <w:sz w:val="24"/>
                <w:u w:val="single"/>
              </w:rPr>
            </w:pPr>
            <w:r w:rsidRPr="00EF7F33">
              <w:rPr>
                <w:rFonts w:ascii="Times New Roman" w:hAnsi="Times New Roman"/>
                <w:sz w:val="24"/>
              </w:rPr>
              <w:t>2.</w:t>
            </w:r>
            <w:r w:rsidRPr="00EF7F33">
              <w:tab/>
            </w:r>
            <w:r w:rsidRPr="00EF7F33">
              <w:rPr>
                <w:rFonts w:ascii="Times New Roman" w:hAnsi="Times New Roman"/>
                <w:sz w:val="24"/>
              </w:rPr>
              <w:t>Nazivnik: ukupni kapitalni zahtjevi koji se odnose na sve kreditne izlož</w:t>
            </w:r>
            <w:r w:rsidRPr="00EF7F33">
              <w:rPr>
                <w:rFonts w:ascii="Times New Roman" w:hAnsi="Times New Roman"/>
                <w:sz w:val="24"/>
              </w:rPr>
              <w:t>e</w:t>
            </w:r>
            <w:r w:rsidRPr="00EF7F33">
              <w:rPr>
                <w:rFonts w:ascii="Times New Roman" w:hAnsi="Times New Roman"/>
                <w:sz w:val="24"/>
              </w:rPr>
              <w:t>nosti relevantne za izračun protucikličkog zaštitnog sloja u skladu s člankom 140. stavkom 4. CRD-a [redak 070; stupac 010; „Ukupno”].</w:t>
            </w:r>
          </w:p>
          <w:p w:rsidR="003B00F4" w:rsidRPr="00EF7F33" w:rsidRDefault="003B00F4" w:rsidP="003B00F4">
            <w:pPr>
              <w:rPr>
                <w:rFonts w:ascii="Times New Roman" w:hAnsi="Times New Roman"/>
                <w:b/>
                <w:bCs/>
                <w:sz w:val="24"/>
                <w:u w:val="single"/>
              </w:rPr>
            </w:pPr>
            <w:r w:rsidRPr="00EF7F33">
              <w:rPr>
                <w:rFonts w:ascii="Times New Roman" w:hAnsi="Times New Roman"/>
                <w:sz w:val="24"/>
              </w:rPr>
              <w:t>Informacije o ponderima kapitalnih zahtjeva ne iskazuju se pod „ukupno” za sve zemlje.</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120-140</w:t>
            </w:r>
          </w:p>
        </w:tc>
        <w:tc>
          <w:tcPr>
            <w:tcW w:w="8131" w:type="dxa"/>
          </w:tcPr>
          <w:p w:rsidR="00966663" w:rsidRPr="00EF7F33" w:rsidRDefault="00966663" w:rsidP="00133107">
            <w:pPr>
              <w:rPr>
                <w:rFonts w:ascii="Times New Roman" w:hAnsi="Times New Roman"/>
                <w:b/>
                <w:bCs/>
                <w:sz w:val="24"/>
                <w:u w:val="single"/>
              </w:rPr>
            </w:pPr>
            <w:r w:rsidRPr="00EF7F33">
              <w:rPr>
                <w:rFonts w:ascii="Times New Roman" w:hAnsi="Times New Roman"/>
                <w:b/>
                <w:sz w:val="24"/>
                <w:u w:val="single"/>
              </w:rPr>
              <w:t>Stope protucikličkog zaštitnog sloja</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120</w:t>
            </w:r>
          </w:p>
        </w:tc>
        <w:tc>
          <w:tcPr>
            <w:tcW w:w="8131" w:type="dxa"/>
          </w:tcPr>
          <w:p w:rsidR="00966663" w:rsidRPr="00EF7F33" w:rsidRDefault="00966663" w:rsidP="00133107">
            <w:pPr>
              <w:rPr>
                <w:rFonts w:ascii="Times New Roman" w:hAnsi="Times New Roman"/>
                <w:b/>
                <w:bCs/>
                <w:sz w:val="24"/>
                <w:u w:val="single"/>
              </w:rPr>
            </w:pPr>
            <w:r w:rsidRPr="00EF7F33">
              <w:rPr>
                <w:rFonts w:ascii="Times New Roman" w:hAnsi="Times New Roman"/>
                <w:b/>
                <w:sz w:val="24"/>
                <w:u w:val="single"/>
              </w:rPr>
              <w:t>Stopa protucikličkog zaštitnog sloja kapitala koju je odredilo imenovano tij</w:t>
            </w:r>
            <w:r w:rsidRPr="00EF7F33">
              <w:rPr>
                <w:rFonts w:ascii="Times New Roman" w:hAnsi="Times New Roman"/>
                <w:b/>
                <w:sz w:val="24"/>
                <w:u w:val="single"/>
              </w:rPr>
              <w:t>e</w:t>
            </w:r>
            <w:r w:rsidRPr="00EF7F33">
              <w:rPr>
                <w:rFonts w:ascii="Times New Roman" w:hAnsi="Times New Roman"/>
                <w:b/>
                <w:sz w:val="24"/>
                <w:u w:val="single"/>
              </w:rPr>
              <w:t>lo</w:t>
            </w:r>
          </w:p>
          <w:p w:rsidR="00966663"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Stopa protucikličkog zaštitnog sloja kapitala koju je za tu državu odredilo imen</w:t>
            </w:r>
            <w:r w:rsidRPr="00EF7F33">
              <w:rPr>
                <w:rFonts w:ascii="Times New Roman" w:hAnsi="Times New Roman"/>
                <w:sz w:val="24"/>
              </w:rPr>
              <w:t>o</w:t>
            </w:r>
            <w:r w:rsidRPr="00EF7F33">
              <w:rPr>
                <w:rFonts w:ascii="Times New Roman" w:hAnsi="Times New Roman"/>
                <w:sz w:val="24"/>
              </w:rPr>
              <w:t>vano tijelo te države u skladu s člancima 136., 137., 138. i 139. CRD-a.</w:t>
            </w:r>
          </w:p>
          <w:p w:rsidR="00C4425F"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Ovaj se redak ne treba popunjavati ako za dotičnu državu imenovano tijelo te d</w:t>
            </w:r>
            <w:r w:rsidRPr="00EF7F33">
              <w:rPr>
                <w:rFonts w:ascii="Times New Roman" w:hAnsi="Times New Roman"/>
                <w:sz w:val="24"/>
              </w:rPr>
              <w:t>r</w:t>
            </w:r>
            <w:r w:rsidRPr="00EF7F33">
              <w:rPr>
                <w:rFonts w:ascii="Times New Roman" w:hAnsi="Times New Roman"/>
                <w:sz w:val="24"/>
              </w:rPr>
              <w:t>žave nije utvrdilo stopu protucikličkog zaštitnog sloja kapitala.</w:t>
            </w:r>
          </w:p>
          <w:p w:rsidR="00C4425F"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Ne iskazuju se stope protucikličkog zaštitnog sloja kapitala koje je odredilo im</w:t>
            </w:r>
            <w:r w:rsidRPr="00EF7F33">
              <w:rPr>
                <w:rFonts w:ascii="Times New Roman" w:hAnsi="Times New Roman"/>
                <w:sz w:val="24"/>
              </w:rPr>
              <w:t>e</w:t>
            </w:r>
            <w:r w:rsidRPr="00EF7F33">
              <w:rPr>
                <w:rFonts w:ascii="Times New Roman" w:hAnsi="Times New Roman"/>
                <w:sz w:val="24"/>
              </w:rPr>
              <w:t>novano tijelo, ali koje nisu još primjenjive u dotičnoj državi na referentni izvje</w:t>
            </w:r>
            <w:r w:rsidRPr="00EF7F33">
              <w:rPr>
                <w:rFonts w:ascii="Times New Roman" w:hAnsi="Times New Roman"/>
                <w:sz w:val="24"/>
              </w:rPr>
              <w:t>š</w:t>
            </w:r>
            <w:r w:rsidRPr="00EF7F33">
              <w:rPr>
                <w:rFonts w:ascii="Times New Roman" w:hAnsi="Times New Roman"/>
                <w:sz w:val="24"/>
              </w:rPr>
              <w:t>tajni datum.</w:t>
            </w:r>
          </w:p>
          <w:p w:rsidR="00966663" w:rsidRPr="00EF7F33" w:rsidRDefault="00966663" w:rsidP="000E6835">
            <w:pPr>
              <w:rPr>
                <w:rFonts w:ascii="Times New Roman" w:hAnsi="Times New Roman"/>
                <w:b/>
                <w:bCs/>
                <w:sz w:val="24"/>
                <w:u w:val="single"/>
              </w:rPr>
            </w:pPr>
            <w:r w:rsidRPr="00EF7F33">
              <w:rPr>
                <w:rFonts w:ascii="Times New Roman" w:hAnsi="Times New Roman"/>
                <w:sz w:val="24"/>
              </w:rPr>
              <w:t>Informacije o stopi protucikličkog zaštitnog sloja kapitala koju je odredilo imen</w:t>
            </w:r>
            <w:r w:rsidRPr="00EF7F33">
              <w:rPr>
                <w:rFonts w:ascii="Times New Roman" w:hAnsi="Times New Roman"/>
                <w:sz w:val="24"/>
              </w:rPr>
              <w:t>o</w:t>
            </w:r>
            <w:r w:rsidRPr="00EF7F33">
              <w:rPr>
                <w:rFonts w:ascii="Times New Roman" w:hAnsi="Times New Roman"/>
                <w:sz w:val="24"/>
              </w:rPr>
              <w:t xml:space="preserve">vano tijelo ne iskazuju se pod „ukupno” za sve zemlje. </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130</w:t>
            </w:r>
          </w:p>
        </w:tc>
        <w:tc>
          <w:tcPr>
            <w:tcW w:w="8131" w:type="dxa"/>
          </w:tcPr>
          <w:p w:rsidR="00966663" w:rsidRPr="00EF7F33" w:rsidRDefault="00966663" w:rsidP="00133107">
            <w:pPr>
              <w:rPr>
                <w:rFonts w:ascii="Times New Roman" w:hAnsi="Times New Roman"/>
                <w:b/>
                <w:bCs/>
                <w:sz w:val="24"/>
                <w:u w:val="single"/>
              </w:rPr>
            </w:pPr>
            <w:r w:rsidRPr="00EF7F33">
              <w:rPr>
                <w:rFonts w:ascii="Times New Roman" w:hAnsi="Times New Roman"/>
                <w:b/>
                <w:sz w:val="24"/>
                <w:u w:val="single"/>
              </w:rPr>
              <w:t>Stopa protucikličkog zaštitnog sloja primjenjiva na zemlju institucije</w:t>
            </w:r>
          </w:p>
          <w:p w:rsidR="00C4425F"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Stopa protucikličkog zaštitnog sloja kapitala primjenjiva na dotičnu zemlju koju je za tu zemlju odredilo imenovano tijelo zemlje boravišta institucije u skladu s člancima 137., 138. i 139. te člankom 140. stavcima 1., 2. i 3. CRD-a. Ne iskazuju se stope protucikličkog zaštitnog sloja kapitala koje nisu primjenjive na referentni izvještajni datum.</w:t>
            </w:r>
          </w:p>
          <w:p w:rsidR="00966663" w:rsidRPr="00EF7F33" w:rsidRDefault="00966663" w:rsidP="00133107">
            <w:pPr>
              <w:rPr>
                <w:rFonts w:ascii="Times New Roman" w:hAnsi="Times New Roman"/>
                <w:b/>
                <w:bCs/>
                <w:sz w:val="24"/>
                <w:u w:val="single"/>
              </w:rPr>
            </w:pPr>
            <w:r w:rsidRPr="00EF7F33">
              <w:rPr>
                <w:rFonts w:ascii="Times New Roman" w:hAnsi="Times New Roman"/>
                <w:sz w:val="24"/>
              </w:rPr>
              <w:t>Informacije o stopi protucikličkog zaštitnog sloja kapitala primjenjivoj na dotičnu zemlju institucije ne iskazuju se pod „ukupno” za sve zemlje.</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140</w:t>
            </w:r>
          </w:p>
        </w:tc>
        <w:tc>
          <w:tcPr>
            <w:tcW w:w="8131" w:type="dxa"/>
          </w:tcPr>
          <w:p w:rsidR="00966663" w:rsidRPr="00EF7F33" w:rsidRDefault="00966663" w:rsidP="00133107">
            <w:pPr>
              <w:rPr>
                <w:rFonts w:ascii="Times New Roman" w:hAnsi="Times New Roman"/>
                <w:b/>
                <w:bCs/>
                <w:sz w:val="24"/>
                <w:u w:val="single"/>
              </w:rPr>
            </w:pPr>
            <w:r w:rsidRPr="00EF7F33">
              <w:rPr>
                <w:rFonts w:ascii="Times New Roman" w:hAnsi="Times New Roman"/>
                <w:b/>
                <w:sz w:val="24"/>
                <w:u w:val="single"/>
              </w:rPr>
              <w:t xml:space="preserve">Stopa protucikličkog zaštitnog sloja kapitala specifična za instituciju </w:t>
            </w:r>
          </w:p>
          <w:p w:rsidR="00C4425F"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 xml:space="preserve">Stopa protucikličkog zaštitnog sloja kapitala specifična za instituciju, utvrđena u </w:t>
            </w:r>
            <w:r w:rsidRPr="00EF7F33">
              <w:rPr>
                <w:rFonts w:ascii="Times New Roman" w:hAnsi="Times New Roman"/>
                <w:sz w:val="24"/>
              </w:rPr>
              <w:lastRenderedPageBreak/>
              <w:t xml:space="preserve">skladu s člankom 140. stavkom 1. CRD-a. </w:t>
            </w:r>
          </w:p>
          <w:p w:rsidR="00C4425F" w:rsidRPr="00EF7F33" w:rsidRDefault="00966663" w:rsidP="00133107">
            <w:pPr>
              <w:autoSpaceDE w:val="0"/>
              <w:autoSpaceDN w:val="0"/>
              <w:adjustRightInd w:val="0"/>
              <w:rPr>
                <w:rFonts w:ascii="Times New Roman" w:hAnsi="Times New Roman"/>
                <w:sz w:val="24"/>
              </w:rPr>
            </w:pPr>
            <w:r w:rsidRPr="00EF7F33">
              <w:rPr>
                <w:rFonts w:ascii="Times New Roman" w:hAnsi="Times New Roman"/>
                <w:sz w:val="24"/>
              </w:rPr>
              <w:t>Stopa protucikličkog zaštitnog sloja kapitala specifičnog za instituciju izračunava se kao ponderirani prosjek stopa protucikličkog zaštitnog sloja koje se primjenj</w:t>
            </w:r>
            <w:r w:rsidRPr="00EF7F33">
              <w:rPr>
                <w:rFonts w:ascii="Times New Roman" w:hAnsi="Times New Roman"/>
                <w:sz w:val="24"/>
              </w:rPr>
              <w:t>u</w:t>
            </w:r>
            <w:r w:rsidRPr="00EF7F33">
              <w:rPr>
                <w:rFonts w:ascii="Times New Roman" w:hAnsi="Times New Roman"/>
                <w:sz w:val="24"/>
              </w:rPr>
              <w:t>ju u zemljama u kojima se nalaze relevantne kreditne izloženosti institucije ili k</w:t>
            </w:r>
            <w:r w:rsidRPr="00EF7F33">
              <w:rPr>
                <w:rFonts w:ascii="Times New Roman" w:hAnsi="Times New Roman"/>
                <w:sz w:val="24"/>
              </w:rPr>
              <w:t>o</w:t>
            </w:r>
            <w:r w:rsidRPr="00EF7F33">
              <w:rPr>
                <w:rFonts w:ascii="Times New Roman" w:hAnsi="Times New Roman"/>
                <w:sz w:val="24"/>
              </w:rPr>
              <w:t>je se primjenjuju za potrebe članka 140. na temelju članka 139. stavka 2. ili 3. CRD-a. Relevantna stopa protucikličkog zaštitnog sloja iskazuje se u [retku 120; stupcu 020; obrazac za zemlju], ili [retku 130; stupcu 020; obrazac za zemlju] k</w:t>
            </w:r>
            <w:r w:rsidRPr="00EF7F33">
              <w:rPr>
                <w:rFonts w:ascii="Times New Roman" w:hAnsi="Times New Roman"/>
                <w:sz w:val="24"/>
              </w:rPr>
              <w:t>a</w:t>
            </w:r>
            <w:r w:rsidRPr="00EF7F33">
              <w:rPr>
                <w:rFonts w:ascii="Times New Roman" w:hAnsi="Times New Roman"/>
                <w:sz w:val="24"/>
              </w:rPr>
              <w:t>ko je primjenjivo.</w:t>
            </w:r>
          </w:p>
          <w:p w:rsidR="00C4425F" w:rsidRPr="00EF7F33" w:rsidRDefault="00966663" w:rsidP="00133107">
            <w:pPr>
              <w:autoSpaceDE w:val="0"/>
              <w:autoSpaceDN w:val="0"/>
              <w:adjustRightInd w:val="0"/>
              <w:rPr>
                <w:rFonts w:ascii="Times New Roman" w:hAnsi="Times New Roman"/>
                <w:b/>
                <w:strike/>
                <w:sz w:val="24"/>
              </w:rPr>
            </w:pPr>
            <w:r w:rsidRPr="00EF7F33">
              <w:rPr>
                <w:rFonts w:ascii="Times New Roman" w:hAnsi="Times New Roman"/>
                <w:sz w:val="24"/>
              </w:rPr>
              <w:t xml:space="preserve">Ponder primjenjiv na stopu protucikličkog zaštitnog sloja u svakoj zemlji jednak je udjelu kapitalnih zahtjeva u ukupnim kapitalnim zahtjevima i iskazuje se u [retku 110; stupcu 020; obrascu za zemlju].   </w:t>
            </w:r>
          </w:p>
          <w:p w:rsidR="00966663" w:rsidRPr="00EF7F33" w:rsidRDefault="00966663" w:rsidP="00B816A3">
            <w:pPr>
              <w:rPr>
                <w:rFonts w:ascii="Times New Roman" w:hAnsi="Times New Roman"/>
                <w:b/>
                <w:bCs/>
                <w:sz w:val="24"/>
                <w:u w:val="single"/>
              </w:rPr>
            </w:pPr>
            <w:r w:rsidRPr="00EF7F33">
              <w:rPr>
                <w:rFonts w:ascii="Times New Roman" w:hAnsi="Times New Roman"/>
                <w:sz w:val="24"/>
              </w:rPr>
              <w:t>Informacije o stopi protucikličkog zaštitnog sloja kapitala specifičnog za instituc</w:t>
            </w:r>
            <w:r w:rsidRPr="00EF7F33">
              <w:rPr>
                <w:rFonts w:ascii="Times New Roman" w:hAnsi="Times New Roman"/>
                <w:sz w:val="24"/>
              </w:rPr>
              <w:t>i</w:t>
            </w:r>
            <w:r w:rsidRPr="00EF7F33">
              <w:rPr>
                <w:rFonts w:ascii="Times New Roman" w:hAnsi="Times New Roman"/>
                <w:sz w:val="24"/>
              </w:rPr>
              <w:t>ju iskazuju se samo pod „ukupno” za sve zemlje, a ne zasebno za svaku zemlju.</w:t>
            </w:r>
          </w:p>
        </w:tc>
      </w:tr>
      <w:tr w:rsidR="006B1A77" w:rsidRPr="00EF7F33" w:rsidTr="00672D2A">
        <w:tc>
          <w:tcPr>
            <w:tcW w:w="1697" w:type="dxa"/>
          </w:tcPr>
          <w:p w:rsidR="006B1A77" w:rsidRPr="00EF7F33" w:rsidRDefault="006B1A77" w:rsidP="00FC0B81">
            <w:pPr>
              <w:rPr>
                <w:rFonts w:ascii="Times New Roman" w:hAnsi="Times New Roman"/>
                <w:sz w:val="24"/>
              </w:rPr>
            </w:pPr>
            <w:r w:rsidRPr="00EF7F33">
              <w:rPr>
                <w:rFonts w:ascii="Times New Roman" w:hAnsi="Times New Roman"/>
                <w:sz w:val="24"/>
              </w:rPr>
              <w:lastRenderedPageBreak/>
              <w:t>150 - 160</w:t>
            </w:r>
          </w:p>
        </w:tc>
        <w:tc>
          <w:tcPr>
            <w:tcW w:w="8131" w:type="dxa"/>
          </w:tcPr>
          <w:p w:rsidR="006B1A77" w:rsidRPr="00EF7F33" w:rsidRDefault="006B1A77" w:rsidP="00133107">
            <w:pPr>
              <w:rPr>
                <w:rFonts w:ascii="Times New Roman" w:hAnsi="Times New Roman"/>
                <w:b/>
                <w:bCs/>
                <w:sz w:val="24"/>
                <w:u w:val="single"/>
              </w:rPr>
            </w:pPr>
            <w:r w:rsidRPr="00EF7F33">
              <w:rPr>
                <w:rFonts w:ascii="Times New Roman" w:hAnsi="Times New Roman"/>
                <w:b/>
                <w:sz w:val="24"/>
                <w:u w:val="single"/>
              </w:rPr>
              <w:t>Primjena praga od 2 %</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150</w:t>
            </w:r>
          </w:p>
        </w:tc>
        <w:tc>
          <w:tcPr>
            <w:tcW w:w="8131" w:type="dxa"/>
          </w:tcPr>
          <w:p w:rsidR="006A3A82" w:rsidRPr="00EF7F33" w:rsidRDefault="00FC0B81" w:rsidP="006A3A82">
            <w:pPr>
              <w:autoSpaceDE w:val="0"/>
              <w:autoSpaceDN w:val="0"/>
              <w:adjustRightInd w:val="0"/>
              <w:rPr>
                <w:rFonts w:ascii="Times New Roman" w:hAnsi="Times New Roman"/>
                <w:sz w:val="24"/>
              </w:rPr>
            </w:pPr>
            <w:r w:rsidRPr="00EF7F33">
              <w:rPr>
                <w:rFonts w:ascii="Times New Roman" w:hAnsi="Times New Roman"/>
                <w:b/>
                <w:sz w:val="24"/>
                <w:u w:val="single"/>
              </w:rPr>
              <w:t>Primjena praga od 2 % za opće kreditne izloženosti</w:t>
            </w:r>
            <w:r w:rsidRPr="00EF7F33">
              <w:rPr>
                <w:rFonts w:ascii="Times New Roman" w:hAnsi="Times New Roman"/>
                <w:sz w:val="24"/>
              </w:rPr>
              <w:t xml:space="preserve"> </w:t>
            </w:r>
          </w:p>
          <w:p w:rsidR="006A3A82" w:rsidRPr="00EF7F33" w:rsidRDefault="006A3A82" w:rsidP="006A3A82">
            <w:pPr>
              <w:autoSpaceDE w:val="0"/>
              <w:autoSpaceDN w:val="0"/>
              <w:adjustRightInd w:val="0"/>
              <w:rPr>
                <w:rFonts w:ascii="Times New Roman" w:hAnsi="Times New Roman"/>
                <w:sz w:val="24"/>
              </w:rPr>
            </w:pPr>
            <w:r w:rsidRPr="00EF7F33">
              <w:rPr>
                <w:rFonts w:ascii="Times New Roman" w:hAnsi="Times New Roman"/>
                <w:sz w:val="24"/>
              </w:rPr>
              <w:t>U skladu s člankom 2. stavkom 5. točkom (b) Delegirane uredbe Komisije (EU) br. 1152/2014 inozemne opće kreditne izloženosti čija ukupna vrijednost ne pr</w:t>
            </w:r>
            <w:r w:rsidRPr="00EF7F33">
              <w:rPr>
                <w:rFonts w:ascii="Times New Roman" w:hAnsi="Times New Roman"/>
                <w:sz w:val="24"/>
              </w:rPr>
              <w:t>e</w:t>
            </w:r>
            <w:r w:rsidRPr="00EF7F33">
              <w:rPr>
                <w:rFonts w:ascii="Times New Roman" w:hAnsi="Times New Roman"/>
                <w:sz w:val="24"/>
              </w:rPr>
              <w:t>mašuje 2 % ukupne vrijednosti općih kreditnih izloženosti, izloženosti iz knjige trgovanja i sekuritizacijskih izloženosti te institucije mogu se raspodijeliti na m</w:t>
            </w:r>
            <w:r w:rsidRPr="00EF7F33">
              <w:rPr>
                <w:rFonts w:ascii="Times New Roman" w:hAnsi="Times New Roman"/>
                <w:sz w:val="24"/>
              </w:rPr>
              <w:t>a</w:t>
            </w:r>
            <w:r w:rsidRPr="00EF7F33">
              <w:rPr>
                <w:rFonts w:ascii="Times New Roman" w:hAnsi="Times New Roman"/>
                <w:sz w:val="24"/>
              </w:rPr>
              <w:t>tičnu državu članicu institucije. Ukupne vrijednosti općih kreditnih izloženosti, i</w:t>
            </w:r>
            <w:r w:rsidRPr="00EF7F33">
              <w:rPr>
                <w:rFonts w:ascii="Times New Roman" w:hAnsi="Times New Roman"/>
                <w:sz w:val="24"/>
              </w:rPr>
              <w:t>z</w:t>
            </w:r>
            <w:r w:rsidRPr="00EF7F33">
              <w:rPr>
                <w:rFonts w:ascii="Times New Roman" w:hAnsi="Times New Roman"/>
                <w:sz w:val="24"/>
              </w:rPr>
              <w:t>loženosti iz knjige trgovanja i sekuritizacijskih izloženosti izračunavaju se tako što se isključuju opće kreditne izloženosti raspoređene u skladu s člankom 2. stavkom 5. točkom (a) i člankom 2. stavkom 4. Delegirane uredbe Komisije (EU) br. 1152/2014.</w:t>
            </w:r>
          </w:p>
          <w:p w:rsidR="00966663" w:rsidRPr="00EF7F33" w:rsidRDefault="006A3A82" w:rsidP="006A3A82">
            <w:pPr>
              <w:autoSpaceDE w:val="0"/>
              <w:autoSpaceDN w:val="0"/>
              <w:adjustRightInd w:val="0"/>
              <w:rPr>
                <w:rFonts w:ascii="Times New Roman" w:hAnsi="Times New Roman"/>
                <w:sz w:val="24"/>
              </w:rPr>
            </w:pPr>
            <w:r w:rsidRPr="00EF7F33">
              <w:rPr>
                <w:rFonts w:ascii="Times New Roman" w:hAnsi="Times New Roman"/>
                <w:sz w:val="24"/>
              </w:rPr>
              <w:t>Ako institucija upotrebljava tu derogaciju, navodi „y” u tablici za zemlju koja o</w:t>
            </w:r>
            <w:r w:rsidRPr="00EF7F33">
              <w:rPr>
                <w:rFonts w:ascii="Times New Roman" w:hAnsi="Times New Roman"/>
                <w:sz w:val="24"/>
              </w:rPr>
              <w:t>d</w:t>
            </w:r>
            <w:r w:rsidRPr="00EF7F33">
              <w:rPr>
                <w:rFonts w:ascii="Times New Roman" w:hAnsi="Times New Roman"/>
                <w:sz w:val="24"/>
              </w:rPr>
              <w:t>govara njezinoj matičnoj državi članici i pod „ukupno” za sve zemlje.</w:t>
            </w:r>
          </w:p>
          <w:p w:rsidR="006A3A82" w:rsidRPr="00EF7F33" w:rsidRDefault="006A3A82" w:rsidP="006A3A82">
            <w:pPr>
              <w:autoSpaceDE w:val="0"/>
              <w:autoSpaceDN w:val="0"/>
              <w:adjustRightInd w:val="0"/>
              <w:rPr>
                <w:rFonts w:ascii="Times New Roman" w:hAnsi="Times New Roman"/>
                <w:sz w:val="24"/>
              </w:rPr>
            </w:pPr>
            <w:r w:rsidRPr="00EF7F33">
              <w:rPr>
                <w:rFonts w:ascii="Times New Roman" w:hAnsi="Times New Roman"/>
                <w:sz w:val="24"/>
              </w:rPr>
              <w:t>Ako institucija ne koristi tu derogaciju, navodi „n” u odgovarajućoj rubrici.</w:t>
            </w:r>
          </w:p>
        </w:tc>
      </w:tr>
      <w:tr w:rsidR="00966663" w:rsidRPr="00EF7F33" w:rsidTr="00672D2A">
        <w:tc>
          <w:tcPr>
            <w:tcW w:w="1697" w:type="dxa"/>
          </w:tcPr>
          <w:p w:rsidR="00966663" w:rsidRPr="00EF7F33" w:rsidRDefault="00966663" w:rsidP="00133107">
            <w:pPr>
              <w:rPr>
                <w:rFonts w:ascii="Times New Roman" w:hAnsi="Times New Roman"/>
                <w:sz w:val="24"/>
              </w:rPr>
            </w:pPr>
            <w:r w:rsidRPr="00EF7F33">
              <w:rPr>
                <w:rFonts w:ascii="Times New Roman" w:hAnsi="Times New Roman"/>
                <w:sz w:val="24"/>
              </w:rPr>
              <w:t>160</w:t>
            </w:r>
          </w:p>
        </w:tc>
        <w:tc>
          <w:tcPr>
            <w:tcW w:w="8131" w:type="dxa"/>
          </w:tcPr>
          <w:p w:rsidR="00535A98" w:rsidRPr="00EF7F33" w:rsidRDefault="00FC0B81" w:rsidP="006A3A82">
            <w:pPr>
              <w:autoSpaceDE w:val="0"/>
              <w:autoSpaceDN w:val="0"/>
              <w:adjustRightInd w:val="0"/>
              <w:rPr>
                <w:rFonts w:ascii="Times New Roman" w:hAnsi="Times New Roman"/>
                <w:sz w:val="24"/>
              </w:rPr>
            </w:pPr>
            <w:r w:rsidRPr="00EF7F33">
              <w:rPr>
                <w:rFonts w:ascii="Times New Roman" w:hAnsi="Times New Roman"/>
                <w:b/>
                <w:sz w:val="24"/>
                <w:u w:val="single"/>
              </w:rPr>
              <w:t>Primjena praga od 2 % za izloženosti iz knjige trgovanja</w:t>
            </w:r>
          </w:p>
          <w:p w:rsidR="006A3A82" w:rsidRPr="00EF7F33" w:rsidRDefault="006A3A82" w:rsidP="006A3A82">
            <w:pPr>
              <w:autoSpaceDE w:val="0"/>
              <w:autoSpaceDN w:val="0"/>
              <w:adjustRightInd w:val="0"/>
              <w:rPr>
                <w:rFonts w:ascii="Times New Roman" w:hAnsi="Times New Roman"/>
                <w:sz w:val="24"/>
              </w:rPr>
            </w:pPr>
            <w:r w:rsidRPr="00EF7F33">
              <w:rPr>
                <w:rFonts w:ascii="Times New Roman" w:hAnsi="Times New Roman"/>
                <w:sz w:val="24"/>
              </w:rPr>
              <w:t>U skladu s člankom 3. stavkom 3. Delegirane uredbe Komisije (EU) br. 1152/2014 institucije mogu izloženosti iz knjige trgovanja raspodijeliti na m</w:t>
            </w:r>
            <w:r w:rsidRPr="00EF7F33">
              <w:rPr>
                <w:rFonts w:ascii="Times New Roman" w:hAnsi="Times New Roman"/>
                <w:sz w:val="24"/>
              </w:rPr>
              <w:t>a</w:t>
            </w:r>
            <w:r w:rsidRPr="00EF7F33">
              <w:rPr>
                <w:rFonts w:ascii="Times New Roman" w:hAnsi="Times New Roman"/>
                <w:sz w:val="24"/>
              </w:rPr>
              <w:t>tičnu državu članicu ako ukupna vrijednost izloženosti iz knjige trgovanja ne premašuje 2 % njihovih ukupnih općih kreditnih izloženosti, izloženosti iz knjige trgovanja i sekuritizacijskih izloženosti.</w:t>
            </w:r>
          </w:p>
          <w:p w:rsidR="006A3A82" w:rsidRPr="00EF7F33" w:rsidRDefault="006A3A82" w:rsidP="006A3A82">
            <w:pPr>
              <w:rPr>
                <w:rFonts w:ascii="Times New Roman" w:hAnsi="Times New Roman"/>
                <w:sz w:val="24"/>
              </w:rPr>
            </w:pPr>
            <w:r w:rsidRPr="00EF7F33">
              <w:rPr>
                <w:rFonts w:ascii="Times New Roman" w:hAnsi="Times New Roman"/>
                <w:sz w:val="24"/>
              </w:rPr>
              <w:t>Ako institucija upotrebljava tu derogaciju, navodi „y” u tablici za zemlju koja o</w:t>
            </w:r>
            <w:r w:rsidRPr="00EF7F33">
              <w:rPr>
                <w:rFonts w:ascii="Times New Roman" w:hAnsi="Times New Roman"/>
                <w:sz w:val="24"/>
              </w:rPr>
              <w:t>d</w:t>
            </w:r>
            <w:r w:rsidRPr="00EF7F33">
              <w:rPr>
                <w:rFonts w:ascii="Times New Roman" w:hAnsi="Times New Roman"/>
                <w:sz w:val="24"/>
              </w:rPr>
              <w:t>govara njezinoj matičnoj državi članici i pod „ukupno” za sve zemlje.</w:t>
            </w:r>
          </w:p>
          <w:p w:rsidR="00966663" w:rsidRPr="00EF7F33" w:rsidRDefault="006A3A82" w:rsidP="006A3A82">
            <w:pPr>
              <w:rPr>
                <w:rFonts w:ascii="Times New Roman" w:hAnsi="Times New Roman"/>
                <w:b/>
                <w:bCs/>
                <w:sz w:val="24"/>
                <w:u w:val="single"/>
              </w:rPr>
            </w:pPr>
            <w:r w:rsidRPr="00EF7F33">
              <w:rPr>
                <w:rFonts w:ascii="Times New Roman" w:hAnsi="Times New Roman"/>
                <w:sz w:val="24"/>
              </w:rPr>
              <w:t>Ako institucija ne koristi tu derogaciju, navodi „n” u odgovarajućoj rubrici.</w:t>
            </w:r>
          </w:p>
        </w:tc>
      </w:tr>
    </w:tbl>
    <w:p w:rsidR="004357B9" w:rsidRPr="00EF7F33" w:rsidRDefault="004357B9">
      <w:pPr>
        <w:spacing w:before="0" w:after="0"/>
        <w:jc w:val="left"/>
        <w:rPr>
          <w:rFonts w:ascii="Times New Roman" w:hAnsi="Times New Roman"/>
          <w:bCs/>
          <w:sz w:val="24"/>
        </w:rPr>
      </w:pPr>
    </w:p>
    <w:p w:rsidR="00C61FF5" w:rsidRPr="00EF7F33" w:rsidRDefault="00125707" w:rsidP="0023700C">
      <w:pPr>
        <w:pStyle w:val="Instructionsberschrift2"/>
        <w:numPr>
          <w:ilvl w:val="0"/>
          <w:numId w:val="0"/>
        </w:numPr>
        <w:ind w:left="357" w:hanging="357"/>
        <w:rPr>
          <w:rFonts w:ascii="Times New Roman" w:hAnsi="Times New Roman" w:cs="Times New Roman"/>
          <w:sz w:val="24"/>
        </w:rPr>
      </w:pPr>
      <w:bookmarkStart w:id="404" w:name="_Toc295829919"/>
      <w:bookmarkStart w:id="405" w:name="_Toc310415031"/>
      <w:bookmarkStart w:id="406" w:name="_Toc360188369"/>
      <w:bookmarkStart w:id="407" w:name="_Toc516210655"/>
      <w:bookmarkStart w:id="408" w:name="_Toc473560920"/>
      <w:bookmarkStart w:id="409" w:name="_Toc523998147"/>
      <w:r w:rsidRPr="00EF7F33">
        <w:rPr>
          <w:rFonts w:ascii="Times New Roman" w:hAnsi="Times New Roman"/>
          <w:sz w:val="24"/>
          <w:u w:val="none"/>
        </w:rPr>
        <w:lastRenderedPageBreak/>
        <w:t>3.5.</w:t>
      </w:r>
      <w:r w:rsidRPr="00EF7F33">
        <w:tab/>
      </w:r>
      <w:r w:rsidRPr="00EF7F33">
        <w:rPr>
          <w:rFonts w:ascii="Times New Roman" w:hAnsi="Times New Roman"/>
          <w:sz w:val="24"/>
        </w:rPr>
        <w:t>C 10.01 i C 10.02 – Izloženosti na osnovi vlasničkih ulaganja u skladu s pristupom z</w:t>
      </w:r>
      <w:r w:rsidRPr="00EF7F33">
        <w:rPr>
          <w:rFonts w:ascii="Times New Roman" w:hAnsi="Times New Roman"/>
          <w:sz w:val="24"/>
        </w:rPr>
        <w:t>a</w:t>
      </w:r>
      <w:r w:rsidRPr="00EF7F33">
        <w:rPr>
          <w:rFonts w:ascii="Times New Roman" w:hAnsi="Times New Roman"/>
          <w:sz w:val="24"/>
        </w:rPr>
        <w:t xml:space="preserve">snovanim na internim rejting-sustavima </w:t>
      </w:r>
      <w:bookmarkEnd w:id="404"/>
      <w:bookmarkEnd w:id="405"/>
      <w:bookmarkEnd w:id="406"/>
      <w:r w:rsidRPr="00EF7F33">
        <w:rPr>
          <w:rFonts w:ascii="Times New Roman" w:hAnsi="Times New Roman"/>
          <w:sz w:val="24"/>
        </w:rPr>
        <w:t xml:space="preserve"> (CR EQU IRB 1 i CR EQU IRB 2)</w:t>
      </w:r>
      <w:bookmarkEnd w:id="407"/>
      <w:bookmarkEnd w:id="408"/>
      <w:bookmarkEnd w:id="409"/>
    </w:p>
    <w:p w:rsidR="00C61FF5" w:rsidRPr="00EF7F33" w:rsidRDefault="00125707" w:rsidP="0023700C">
      <w:pPr>
        <w:pStyle w:val="Instructionsberschrift2"/>
        <w:numPr>
          <w:ilvl w:val="0"/>
          <w:numId w:val="0"/>
        </w:numPr>
        <w:ind w:left="357" w:hanging="357"/>
        <w:rPr>
          <w:rFonts w:ascii="Times New Roman" w:hAnsi="Times New Roman" w:cs="Times New Roman"/>
          <w:sz w:val="24"/>
        </w:rPr>
      </w:pPr>
      <w:bookmarkStart w:id="410" w:name="_Toc239157382"/>
      <w:bookmarkStart w:id="411" w:name="_Toc295829920"/>
      <w:bookmarkStart w:id="412" w:name="_Toc310415032"/>
      <w:bookmarkStart w:id="413" w:name="_Toc360188370"/>
      <w:bookmarkStart w:id="414" w:name="_Toc516210656"/>
      <w:bookmarkStart w:id="415" w:name="_Toc473560921"/>
      <w:bookmarkStart w:id="416" w:name="_Toc523998148"/>
      <w:r w:rsidRPr="00EF7F33">
        <w:rPr>
          <w:rFonts w:ascii="Times New Roman" w:hAnsi="Times New Roman"/>
          <w:sz w:val="24"/>
          <w:u w:val="none"/>
        </w:rPr>
        <w:t>3.5.1.</w:t>
      </w:r>
      <w:r w:rsidRPr="00EF7F33">
        <w:tab/>
      </w:r>
      <w:r w:rsidRPr="00EF7F33">
        <w:rPr>
          <w:rFonts w:ascii="Times New Roman" w:hAnsi="Times New Roman"/>
          <w:sz w:val="24"/>
        </w:rPr>
        <w:t>Opće napomene</w:t>
      </w:r>
      <w:bookmarkEnd w:id="410"/>
      <w:bookmarkEnd w:id="411"/>
      <w:bookmarkEnd w:id="412"/>
      <w:bookmarkEnd w:id="413"/>
      <w:bookmarkEnd w:id="414"/>
      <w:bookmarkEnd w:id="415"/>
      <w:bookmarkEnd w:id="416"/>
    </w:p>
    <w:p w:rsidR="00C61FF5" w:rsidRPr="00EF7F33" w:rsidRDefault="00125707" w:rsidP="00C37B29">
      <w:pPr>
        <w:pStyle w:val="InstructionsText2"/>
        <w:numPr>
          <w:ilvl w:val="0"/>
          <w:numId w:val="0"/>
        </w:numPr>
        <w:ind w:left="993"/>
      </w:pPr>
      <w:r w:rsidRPr="00EF7F33">
        <w:t>86.</w:t>
      </w:r>
      <w:r w:rsidRPr="00EF7F33">
        <w:tab/>
        <w:t>Obrazac CR EQU IRB sastoji se od dva obrasca: obrazac CR EQU IRB 1 sad</w:t>
      </w:r>
      <w:r w:rsidRPr="00EF7F33">
        <w:t>r</w:t>
      </w:r>
      <w:r w:rsidRPr="00EF7F33">
        <w:t>žava opći pregled izloženosti u skladu s IRB pristupom kategorije izloženosti na osnovi vlasničkih ulaganja i različite metode izračuna ukupnih iznosa izloženosti riziku. Obrazac CR EQU IRB 2 sadržava raščlambu ukupnih izloženosti raspoređ</w:t>
      </w:r>
      <w:r w:rsidRPr="00EF7F33">
        <w:t>e</w:t>
      </w:r>
      <w:r w:rsidRPr="00EF7F33">
        <w:t>nih u rejting-kategorije dužnika u kontekstu PD/LGD pristupa. „CR EQU IRB” o</w:t>
      </w:r>
      <w:r w:rsidRPr="00EF7F33">
        <w:t>d</w:t>
      </w:r>
      <w:r w:rsidRPr="00EF7F33">
        <w:t>nosi se na obrasce „CR EQU IRB 1” i „CR EQU IRB 2”, kako je primjenjivo, u sljedećim uputama.</w:t>
      </w:r>
    </w:p>
    <w:p w:rsidR="00C61FF5" w:rsidRPr="00EF7F33" w:rsidRDefault="00125707" w:rsidP="00C37B29">
      <w:pPr>
        <w:pStyle w:val="InstructionsText2"/>
        <w:numPr>
          <w:ilvl w:val="0"/>
          <w:numId w:val="0"/>
        </w:numPr>
        <w:ind w:left="993"/>
      </w:pPr>
      <w:r w:rsidRPr="00EF7F33">
        <w:t>87.</w:t>
      </w:r>
      <w:r w:rsidRPr="00EF7F33">
        <w:tab/>
        <w:t>Obrazac CR EQU IRB sadržava informacije o izračunu iznosa izloženosti po</w:t>
      </w:r>
      <w:r w:rsidRPr="00EF7F33">
        <w:t>n</w:t>
      </w:r>
      <w:r w:rsidRPr="00EF7F33">
        <w:t>deriranih rizikom za kreditni rizik (članak 92. stavak 3. točka (a) CRR-a) u skladu s IRB metodom (dio treći glava II. poglavlje 3. CRR-a) za izloženosti na osnovi vl</w:t>
      </w:r>
      <w:r w:rsidRPr="00EF7F33">
        <w:t>a</w:t>
      </w:r>
      <w:r w:rsidRPr="00EF7F33">
        <w:t>sničkih ulaganja iz članka 147. stavka 2. točke (e) CRR-a.</w:t>
      </w:r>
    </w:p>
    <w:p w:rsidR="00C61FF5" w:rsidRPr="00EF7F33" w:rsidRDefault="00125707" w:rsidP="00C37B29">
      <w:pPr>
        <w:pStyle w:val="InstructionsText2"/>
        <w:numPr>
          <w:ilvl w:val="0"/>
          <w:numId w:val="0"/>
        </w:numPr>
        <w:ind w:left="993"/>
      </w:pPr>
      <w:r w:rsidRPr="00EF7F33">
        <w:t>88.</w:t>
      </w:r>
      <w:r w:rsidRPr="00EF7F33">
        <w:tab/>
        <w:t>U skladu s člankom 147. stavkom 6. CRR-a, sljedeće se izloženosti raspoređ</w:t>
      </w:r>
      <w:r w:rsidRPr="00EF7F33">
        <w:t>u</w:t>
      </w:r>
      <w:r w:rsidRPr="00EF7F33">
        <w:t>ju u kategoriju izloženosti na osnovi vlasničkih ulaganja:</w:t>
      </w:r>
    </w:p>
    <w:p w:rsidR="00C61FF5" w:rsidRPr="00EF7F33" w:rsidRDefault="00125707" w:rsidP="00C37B29">
      <w:pPr>
        <w:pStyle w:val="InstructionsText2"/>
        <w:numPr>
          <w:ilvl w:val="0"/>
          <w:numId w:val="0"/>
        </w:numPr>
        <w:ind w:left="993"/>
      </w:pPr>
      <w:r w:rsidRPr="00EF7F33">
        <w:t>(a)</w:t>
      </w:r>
      <w:r w:rsidRPr="00EF7F33">
        <w:tab/>
        <w:t>izloženosti koje nisu dužničke te predstavljaju podređeno rezidualno pravo na izdavateljevu imovinu ili prihod; ili</w:t>
      </w:r>
    </w:p>
    <w:p w:rsidR="00C61FF5" w:rsidRPr="00EF7F33" w:rsidRDefault="00125707" w:rsidP="00C37B29">
      <w:pPr>
        <w:pStyle w:val="InstructionsText2"/>
        <w:numPr>
          <w:ilvl w:val="0"/>
          <w:numId w:val="0"/>
        </w:numPr>
        <w:ind w:left="993"/>
      </w:pPr>
      <w:r w:rsidRPr="00EF7F33">
        <w:t>(b)</w:t>
      </w:r>
      <w:r w:rsidRPr="00EF7F33">
        <w:tab/>
        <w:t>dužničke izloženosti i drugi vrijednosni papiri, partnerstva, izvedenice ili drugi instrumenti čija je ekonomska bit slična izloženostima navedenima u točki (a).</w:t>
      </w:r>
    </w:p>
    <w:p w:rsidR="00C61FF5" w:rsidRPr="00EF7F33" w:rsidRDefault="00125707" w:rsidP="00C37B29">
      <w:pPr>
        <w:pStyle w:val="InstructionsText2"/>
        <w:numPr>
          <w:ilvl w:val="0"/>
          <w:numId w:val="0"/>
        </w:numPr>
        <w:ind w:left="993"/>
      </w:pPr>
      <w:r w:rsidRPr="00EF7F33">
        <w:t>89.</w:t>
      </w:r>
      <w:r w:rsidRPr="00EF7F33">
        <w:tab/>
        <w:t>U obrascu CR EQU IRB iskazuju se i subjekti za zajednička ulaganja koji se tretiraju u skladu s jednostavnim pristupom ponderiranja iz članka 152. CRR-a.</w:t>
      </w:r>
    </w:p>
    <w:p w:rsidR="00C61FF5" w:rsidRPr="00EF7F33" w:rsidRDefault="00125707" w:rsidP="00C37B29">
      <w:pPr>
        <w:pStyle w:val="InstructionsText2"/>
        <w:numPr>
          <w:ilvl w:val="0"/>
          <w:numId w:val="0"/>
        </w:numPr>
        <w:ind w:left="993"/>
      </w:pPr>
      <w:r w:rsidRPr="00EF7F33">
        <w:t>90.</w:t>
      </w:r>
      <w:r w:rsidRPr="00EF7F33">
        <w:tab/>
        <w:t xml:space="preserve">U skladu s člankom 151. stavkom 1. CRR-a, institucije dostavljaju obrazac CR EQU IRB ako primjenjuju jedan od tri pristupa iz članka 155. CRR-a: </w:t>
      </w:r>
    </w:p>
    <w:p w:rsidR="00C61FF5" w:rsidRPr="00EF7F33" w:rsidRDefault="00C61FF5" w:rsidP="00FD239F">
      <w:pPr>
        <w:pStyle w:val="InstructionsText"/>
      </w:pPr>
      <w:r w:rsidRPr="00EF7F33">
        <w:t xml:space="preserve">- jednostavni pristup ponderiranja, </w:t>
      </w:r>
    </w:p>
    <w:p w:rsidR="00C61FF5" w:rsidRPr="00EF7F33" w:rsidRDefault="00C61FF5" w:rsidP="00FD239F">
      <w:pPr>
        <w:pStyle w:val="InstructionsText"/>
      </w:pPr>
      <w:r w:rsidRPr="00EF7F33">
        <w:t xml:space="preserve">- PD/LGD pristup ili </w:t>
      </w:r>
    </w:p>
    <w:p w:rsidR="00C61FF5" w:rsidRPr="00EF7F33" w:rsidRDefault="00C61FF5" w:rsidP="00FD239F">
      <w:pPr>
        <w:pStyle w:val="InstructionsText"/>
      </w:pPr>
      <w:r w:rsidRPr="00EF7F33">
        <w:t>- pristup internih modela.</w:t>
      </w:r>
    </w:p>
    <w:p w:rsidR="00C61FF5" w:rsidRPr="00EF7F33" w:rsidRDefault="00C61FF5" w:rsidP="00FD239F">
      <w:pPr>
        <w:pStyle w:val="InstructionsText"/>
      </w:pPr>
      <w:r w:rsidRPr="00EF7F33">
        <w:t>Štoviše, institucije koje primjenjuju IRB pristup iskazuju u obrascu CR EQU IRB i iznose i</w:t>
      </w:r>
      <w:r w:rsidRPr="00EF7F33">
        <w:t>z</w:t>
      </w:r>
      <w:r w:rsidRPr="00EF7F33">
        <w:t>loženosti ponderirane rizikom za izloženosti na osnovi vlasničkih ulaganja koje podliježu tr</w:t>
      </w:r>
      <w:r w:rsidRPr="00EF7F33">
        <w:t>e</w:t>
      </w:r>
      <w:r w:rsidRPr="00EF7F33">
        <w:t>tmanu s fiksnim ponderom rizika (a da ih se pri tome ne tretira izričito u skladu s jednosta</w:t>
      </w:r>
      <w:r w:rsidRPr="00EF7F33">
        <w:t>v</w:t>
      </w:r>
      <w:r w:rsidRPr="00EF7F33">
        <w:t>nim pristupom ponderiranja ili (privremeno ili stalno) izuzećem od primjene standardiziranog pristupa kreditnom riziku (npr. izloženosti na osnovi vlasničkih ulaganja na koje se primjenj</w:t>
      </w:r>
      <w:r w:rsidRPr="00EF7F33">
        <w:t>u</w:t>
      </w:r>
      <w:r w:rsidRPr="00EF7F33">
        <w:t>je ponder rizika 250 % u skladu s člankom 48. stavkom 4. CRR-a, odnosno ponder rizika 370 % u skladu s člankom 471. stavkom 2. CRR-a)).</w:t>
      </w:r>
    </w:p>
    <w:p w:rsidR="00C61FF5" w:rsidRPr="00EF7F33" w:rsidRDefault="00125707" w:rsidP="00C37B29">
      <w:pPr>
        <w:pStyle w:val="InstructionsText2"/>
        <w:numPr>
          <w:ilvl w:val="0"/>
          <w:numId w:val="0"/>
        </w:numPr>
        <w:ind w:left="993"/>
      </w:pPr>
      <w:r w:rsidRPr="00EF7F33">
        <w:t>91.</w:t>
      </w:r>
      <w:r w:rsidRPr="00EF7F33">
        <w:tab/>
        <w:t>Sljedeća se potraživanja na osnovi vlasničkih ulaganja ne iskazuju u obrascu CR EQU IRB:</w:t>
      </w:r>
    </w:p>
    <w:p w:rsidR="00C61FF5" w:rsidRPr="00EF7F33" w:rsidRDefault="00C61FF5" w:rsidP="00FD239F">
      <w:pPr>
        <w:pStyle w:val="InstructionsText"/>
      </w:pPr>
      <w:r w:rsidRPr="00EF7F33">
        <w:t xml:space="preserve">- izloženosti na osnovi vlasničkih ulaganja u knjizi trgovanja (ako institucije nisu izuzete od izračuna kapitalnih zahtjeva za pozicije iz knjige trgovanja u skladu s člankom 94. CRR-a). </w:t>
      </w:r>
    </w:p>
    <w:p w:rsidR="00C61FF5" w:rsidRPr="00EF7F33" w:rsidRDefault="00C61FF5" w:rsidP="00FD239F">
      <w:pPr>
        <w:pStyle w:val="InstructionsText"/>
      </w:pPr>
      <w:r w:rsidRPr="00EF7F33">
        <w:lastRenderedPageBreak/>
        <w:t>- izloženosti na osnovi vlasničkih ulaganja koje podliježu izuzeću od primjene standardizir</w:t>
      </w:r>
      <w:r w:rsidRPr="00EF7F33">
        <w:t>a</w:t>
      </w:r>
      <w:r w:rsidRPr="00EF7F33">
        <w:t>nog pristupa (članak 150. CRR-a), uključujući:</w:t>
      </w:r>
    </w:p>
    <w:p w:rsidR="00C61FF5" w:rsidRPr="00EF7F33" w:rsidRDefault="00C61FF5" w:rsidP="00FD239F">
      <w:pPr>
        <w:pStyle w:val="InstructionsText"/>
      </w:pPr>
      <w:r w:rsidRPr="00EF7F33">
        <w:t>- izloženosti na osnovi vlasničkih ulaganja koje se nastavljaju priznavati u skladu s čla</w:t>
      </w:r>
      <w:r w:rsidRPr="00EF7F33">
        <w:t>n</w:t>
      </w:r>
      <w:r w:rsidRPr="00EF7F33">
        <w:t>kom 495. stavkom 1. CRR-a,</w:t>
      </w:r>
    </w:p>
    <w:p w:rsidR="00C61FF5" w:rsidRPr="00EF7F33" w:rsidRDefault="00C61FF5" w:rsidP="00FD239F">
      <w:pPr>
        <w:pStyle w:val="InstructionsText"/>
      </w:pPr>
      <w:r w:rsidRPr="00EF7F33">
        <w:t>- izloženosti na osnovi vlasničkih ulaganja u subjekte čijim se kreditnim obvezama dodjeljuje ponder rizika 0 % u skladu sa standardiziranim pristupom, uključujući javno financirane su</w:t>
      </w:r>
      <w:r w:rsidRPr="00EF7F33">
        <w:t>b</w:t>
      </w:r>
      <w:r w:rsidRPr="00EF7F33">
        <w:t>jekte kod kojih je moguća primjena pondera rizika 0 % (članak 150. stavak 1. točka (g) CRR-a),</w:t>
      </w:r>
    </w:p>
    <w:p w:rsidR="00C61FF5" w:rsidRPr="00EF7F33" w:rsidRDefault="00C61FF5" w:rsidP="00FD239F">
      <w:pPr>
        <w:pStyle w:val="InstructionsText"/>
      </w:pPr>
      <w:r w:rsidRPr="00EF7F33">
        <w:t>- izloženosti na osnovi vlasničkih ulaganja prema zakonodavnim programima za promicanje posebnih sektora gospodarstva koji osiguravaju institucijama značajne subvencije za ulaganje te uključuju neki oblik državnog nadzora i ograničenja za ulaganja vlasničkog kapitala (čl</w:t>
      </w:r>
      <w:r w:rsidRPr="00EF7F33">
        <w:t>a</w:t>
      </w:r>
      <w:r w:rsidRPr="00EF7F33">
        <w:t>nak 150. stavak 1. točka (h) CRR-a),</w:t>
      </w:r>
    </w:p>
    <w:p w:rsidR="00C61FF5" w:rsidRPr="00EF7F33" w:rsidRDefault="00C61FF5" w:rsidP="00FD239F">
      <w:pPr>
        <w:pStyle w:val="InstructionsText"/>
      </w:pPr>
      <w:r w:rsidRPr="00EF7F33">
        <w:t>- izloženosti na osnovi vlasničkih ulaganja u društva za pomoćne usluge čiji se iznosi izlož</w:t>
      </w:r>
      <w:r w:rsidRPr="00EF7F33">
        <w:t>e</w:t>
      </w:r>
      <w:r w:rsidRPr="00EF7F33">
        <w:t xml:space="preserve">nosti ponderirani rizikom mogu izračunati u skladu s tretmanom „ostale imovine” (u skladu s člankom 155. stavkom 1. CRR-a), </w:t>
      </w:r>
    </w:p>
    <w:p w:rsidR="00C61FF5" w:rsidRPr="00EF7F33" w:rsidRDefault="00C61FF5" w:rsidP="00FD239F">
      <w:pPr>
        <w:pStyle w:val="InstructionsText"/>
      </w:pPr>
      <w:r w:rsidRPr="00EF7F33">
        <w:t>- potraživanja na osnovi vlasničkih ulaganja odbijena od regulatornog kapitala u skladu s člancima 46. i 48. CRR-a.</w:t>
      </w:r>
    </w:p>
    <w:p w:rsidR="00C61FF5" w:rsidRPr="00EF7F33" w:rsidRDefault="00C61FF5" w:rsidP="00FD239F">
      <w:pPr>
        <w:pStyle w:val="InstructionsText"/>
      </w:pPr>
    </w:p>
    <w:p w:rsidR="00C61FF5" w:rsidRPr="00EF7F33" w:rsidRDefault="00125707" w:rsidP="0023700C">
      <w:pPr>
        <w:pStyle w:val="Instructionsberschrift2"/>
        <w:numPr>
          <w:ilvl w:val="0"/>
          <w:numId w:val="0"/>
        </w:numPr>
        <w:ind w:left="357" w:hanging="357"/>
        <w:rPr>
          <w:rFonts w:ascii="Times New Roman" w:hAnsi="Times New Roman" w:cs="Times New Roman"/>
          <w:sz w:val="24"/>
        </w:rPr>
      </w:pPr>
      <w:bookmarkStart w:id="417" w:name="_Toc295829921"/>
      <w:bookmarkStart w:id="418" w:name="_Toc310415033"/>
      <w:bookmarkStart w:id="419" w:name="_Toc360188371"/>
      <w:bookmarkStart w:id="420" w:name="_Toc516210657"/>
      <w:bookmarkStart w:id="421" w:name="_Toc473560922"/>
      <w:bookmarkStart w:id="422" w:name="_Toc523998149"/>
      <w:r w:rsidRPr="00EF7F33">
        <w:rPr>
          <w:rFonts w:ascii="Times New Roman" w:hAnsi="Times New Roman"/>
          <w:sz w:val="24"/>
          <w:u w:val="none"/>
        </w:rPr>
        <w:t>3.5.2.</w:t>
      </w:r>
      <w:r w:rsidRPr="00EF7F33">
        <w:tab/>
      </w:r>
      <w:r w:rsidRPr="00EF7F33">
        <w:rPr>
          <w:rFonts w:ascii="Times New Roman" w:hAnsi="Times New Roman"/>
          <w:sz w:val="24"/>
        </w:rPr>
        <w:t xml:space="preserve">Upute za specifične pozicije </w:t>
      </w:r>
      <w:bookmarkEnd w:id="417"/>
      <w:bookmarkEnd w:id="418"/>
      <w:r w:rsidRPr="00EF7F33">
        <w:rPr>
          <w:rFonts w:ascii="Times New Roman" w:hAnsi="Times New Roman"/>
          <w:sz w:val="24"/>
        </w:rPr>
        <w:t xml:space="preserve"> (mogu se primijeniti na obrasce CR EQU IRB 1 i CR EQU IRB 2)</w:t>
      </w:r>
      <w:bookmarkEnd w:id="419"/>
      <w:bookmarkEnd w:id="420"/>
      <w:bookmarkEnd w:id="421"/>
      <w:bookmarkEnd w:id="422"/>
    </w:p>
    <w:tbl>
      <w:tblPr>
        <w:tblW w:w="0" w:type="auto"/>
        <w:tblLook w:val="01E0" w:firstRow="1" w:lastRow="1" w:firstColumn="1" w:lastColumn="1" w:noHBand="0" w:noVBand="0"/>
      </w:tblPr>
      <w:tblGrid>
        <w:gridCol w:w="852"/>
        <w:gridCol w:w="8004"/>
      </w:tblGrid>
      <w:tr w:rsidR="00C61FF5" w:rsidRPr="00EF7F33"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EF7F33" w:rsidRDefault="00C61FF5" w:rsidP="00EA0BAB">
            <w:pPr>
              <w:spacing w:beforeLines="60" w:before="144" w:afterLines="60" w:after="144"/>
              <w:rPr>
                <w:rStyle w:val="InstructionsTabelleText"/>
                <w:rFonts w:ascii="Times New Roman" w:hAnsi="Times New Roman"/>
                <w:b/>
                <w:sz w:val="24"/>
              </w:rPr>
            </w:pPr>
            <w:r w:rsidRPr="00EF7F33">
              <w:rPr>
                <w:rStyle w:val="InstructionsTabelleText"/>
                <w:rFonts w:ascii="Times New Roman" w:hAnsi="Times New Roman"/>
                <w:b/>
                <w:sz w:val="24"/>
              </w:rPr>
              <w:t>Stupci</w:t>
            </w:r>
          </w:p>
        </w:tc>
      </w:tr>
      <w:tr w:rsidR="003F05A0"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EF7F33" w:rsidRDefault="003F05A0"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005</w:t>
            </w:r>
          </w:p>
        </w:tc>
        <w:tc>
          <w:tcPr>
            <w:tcW w:w="8004" w:type="dxa"/>
          </w:tcPr>
          <w:p w:rsidR="003F05A0" w:rsidRPr="00EF7F33" w:rsidRDefault="003F05A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REJTING-KATEGORIJA DUŽNIKA (IDENTIFIKATOR RETKA)</w:t>
            </w:r>
          </w:p>
          <w:p w:rsidR="003F05A0" w:rsidRPr="00EF7F33" w:rsidRDefault="003F05A0" w:rsidP="003F05A0">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Rejting-kategorija dužnika je identifikator retka i jedinstvena je za svaki redak u tablici. </w:t>
            </w:r>
            <w:r w:rsidRPr="00EF7F33">
              <w:rPr>
                <w:rFonts w:ascii="Times New Roman" w:hAnsi="Times New Roman"/>
                <w:sz w:val="24"/>
              </w:rPr>
              <w:t>Navodi se numeričkim redoslijedom 1, 2, 3 itd.</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010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xml:space="preserve">INTERNI REJTING-SUSTAV </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PD RASPOREĐEN U REJTING-KATEGORIJU DUŽNIKA (%)</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koje primjenjuju PD/LGD pristup iskazuju u stupcu 010 vjerojatnost nastanka statusa neispunjavanja obveza (PD) izračunanu u skladu s odredbama iz članka 165. stavka 1. CRR-a.</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PD raspoređen u rejting-kategoriju dužnika ili skup izloženosti iskazuje se u skladu s minimalnim zahtjevima utvrđenima u dijelu trećem glavi II. poglavlju 3. odjeljku 6. CRR-a. Za svaku pojedinu rejting-kategoriju ili skup iskazuje se PD raspoređen u specifičnu rejting-kategoriju dužnika ili skup izloženosti. Svi iskazani parametri rizika izvode se iz parametara rizika upotrijebljenih u inte</w:t>
            </w:r>
            <w:r w:rsidRPr="00EF7F33">
              <w:rPr>
                <w:rStyle w:val="InstructionsTabelleText"/>
                <w:rFonts w:ascii="Times New Roman" w:hAnsi="Times New Roman"/>
                <w:sz w:val="24"/>
              </w:rPr>
              <w:t>r</w:t>
            </w:r>
            <w:r w:rsidRPr="00EF7F33">
              <w:rPr>
                <w:rStyle w:val="InstructionsTabelleText"/>
                <w:rFonts w:ascii="Times New Roman" w:hAnsi="Times New Roman"/>
                <w:sz w:val="24"/>
              </w:rPr>
              <w:t>nom rejting-sustavu koji je odobrilo nadležno tijelo.</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Za vrijednosti koje odgovaraju agregiranju rejting-kategorija dužnika ili skupova izloženosti (npr. „ukupne izloženosti”) dostavlja se ponderirani prosjek izlož</w:t>
            </w:r>
            <w:r w:rsidRPr="00EF7F33">
              <w:rPr>
                <w:rStyle w:val="InstructionsTabelleText"/>
                <w:rFonts w:ascii="Times New Roman" w:hAnsi="Times New Roman"/>
                <w:sz w:val="24"/>
              </w:rPr>
              <w:t>e</w:t>
            </w:r>
            <w:r w:rsidRPr="00EF7F33">
              <w:rPr>
                <w:rStyle w:val="InstructionsTabelleText"/>
                <w:rFonts w:ascii="Times New Roman" w:hAnsi="Times New Roman"/>
                <w:sz w:val="24"/>
              </w:rPr>
              <w:t>nosti PD-ova raspoređenih u rejting-kategoriju dužnika ili skupove izloženosti uključen u agregiranje. Sve izloženosti, uključujući izloženosti sa statusom nei</w:t>
            </w:r>
            <w:r w:rsidRPr="00EF7F33">
              <w:rPr>
                <w:rStyle w:val="InstructionsTabelleText"/>
                <w:rFonts w:ascii="Times New Roman" w:hAnsi="Times New Roman"/>
                <w:sz w:val="24"/>
              </w:rPr>
              <w:t>s</w:t>
            </w:r>
            <w:r w:rsidRPr="00EF7F33">
              <w:rPr>
                <w:rStyle w:val="InstructionsTabelleText"/>
                <w:rFonts w:ascii="Times New Roman" w:hAnsi="Times New Roman"/>
                <w:sz w:val="24"/>
              </w:rPr>
              <w:t xml:space="preserve">punjavanja obveza, potrebno je uzeti u obzir za potrebe izračuna izloženošću </w:t>
            </w:r>
            <w:r w:rsidRPr="00EF7F33">
              <w:rPr>
                <w:rStyle w:val="InstructionsTabelleText"/>
                <w:rFonts w:ascii="Times New Roman" w:hAnsi="Times New Roman"/>
                <w:sz w:val="24"/>
              </w:rPr>
              <w:lastRenderedPageBreak/>
              <w:t xml:space="preserve">ponderiranog prosječnog PD-a. Za izračun izloženošću ponderiranog prosječnog PD-a, vrijednost izloženosti, uzimajući u obzir nematerijalnu kreditnu zaštitu (stupac 060), upotrebljava se za potrebe ponderiranja. </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lastRenderedPageBreak/>
              <w:t>020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ORIGINALNA IZLOŽENOST PRIJE KONVERZIJSKIH FAKTORA</w:t>
            </w:r>
          </w:p>
          <w:p w:rsidR="00C61FF5" w:rsidRPr="00EF7F33" w:rsidRDefault="00C61FF5" w:rsidP="00C61FF5">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U stupcu 020 institucije iskazuju vrijednost originalne izloženosti (prije konve</w:t>
            </w:r>
            <w:r w:rsidRPr="00EF7F33">
              <w:rPr>
                <w:rStyle w:val="InstructionsTabelleText"/>
                <w:rFonts w:ascii="Times New Roman" w:hAnsi="Times New Roman"/>
                <w:sz w:val="24"/>
              </w:rPr>
              <w:t>r</w:t>
            </w:r>
            <w:r w:rsidRPr="00EF7F33">
              <w:rPr>
                <w:rStyle w:val="InstructionsTabelleText"/>
                <w:rFonts w:ascii="Times New Roman" w:hAnsi="Times New Roman"/>
                <w:sz w:val="24"/>
              </w:rPr>
              <w:t>zijskih faktora). U skladu s odredbama utvrđenima u članku 167. CRR-a, vrije</w:t>
            </w:r>
            <w:r w:rsidRPr="00EF7F33">
              <w:rPr>
                <w:rStyle w:val="InstructionsTabelleText"/>
                <w:rFonts w:ascii="Times New Roman" w:hAnsi="Times New Roman"/>
                <w:sz w:val="24"/>
              </w:rPr>
              <w:t>d</w:t>
            </w:r>
            <w:r w:rsidRPr="00EF7F33">
              <w:rPr>
                <w:rStyle w:val="InstructionsTabelleText"/>
                <w:rFonts w:ascii="Times New Roman" w:hAnsi="Times New Roman"/>
                <w:sz w:val="24"/>
              </w:rPr>
              <w:t xml:space="preserve">nost izloženosti za izloženosti na osnovi vlasničkih ulaganja računovodstvena je vrijednost preostala nakon primjene specifičnih ispravaka vrijednosti za kreditni rizik. </w:t>
            </w:r>
            <w:r w:rsidRPr="00EF7F33">
              <w:rPr>
                <w:rFonts w:ascii="Times New Roman" w:hAnsi="Times New Roman"/>
                <w:sz w:val="24"/>
              </w:rPr>
              <w:t>Vrijednost izloženosti za kategoriju izvanbilančnih izloženosti na osnovi vlasničkih ulaganja jest njihova nominalna vrijednost nakon specifičnih isprav</w:t>
            </w:r>
            <w:r w:rsidRPr="00EF7F33">
              <w:rPr>
                <w:rFonts w:ascii="Times New Roman" w:hAnsi="Times New Roman"/>
                <w:sz w:val="24"/>
              </w:rPr>
              <w:t>a</w:t>
            </w:r>
            <w:r w:rsidRPr="00EF7F33">
              <w:rPr>
                <w:rFonts w:ascii="Times New Roman" w:hAnsi="Times New Roman"/>
                <w:sz w:val="24"/>
              </w:rPr>
              <w:t>ka vrijednosti za kreditni rizik.</w:t>
            </w:r>
          </w:p>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U stupac 020 institucije uključuju i izvanbilančne stavke iz Priloga I. CRR-u r</w:t>
            </w:r>
            <w:r w:rsidRPr="00EF7F33">
              <w:rPr>
                <w:rStyle w:val="InstructionsTabelleText"/>
                <w:rFonts w:ascii="Times New Roman" w:hAnsi="Times New Roman"/>
                <w:sz w:val="24"/>
              </w:rPr>
              <w:t>a</w:t>
            </w:r>
            <w:r w:rsidRPr="00EF7F33">
              <w:rPr>
                <w:rStyle w:val="InstructionsTabelleText"/>
                <w:rFonts w:ascii="Times New Roman" w:hAnsi="Times New Roman"/>
                <w:sz w:val="24"/>
              </w:rPr>
              <w:t>spoređene u kategoriju izloženosti na osnovi vlasničkih ulaganja (npr. „neupl</w:t>
            </w:r>
            <w:r w:rsidRPr="00EF7F33">
              <w:rPr>
                <w:rStyle w:val="InstructionsTabelleText"/>
                <w:rFonts w:ascii="Times New Roman" w:hAnsi="Times New Roman"/>
                <w:sz w:val="24"/>
              </w:rPr>
              <w:t>a</w:t>
            </w:r>
            <w:r w:rsidRPr="00EF7F33">
              <w:rPr>
                <w:rStyle w:val="InstructionsTabelleText"/>
                <w:rFonts w:ascii="Times New Roman" w:hAnsi="Times New Roman"/>
                <w:sz w:val="24"/>
              </w:rPr>
              <w:t>ćeni dio djelomično uplaćenih dionica”).</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 xml:space="preserve">Institucije koje primjenjuju jednostavni pristup ponderiranja ili PD/LGD pristup (iz članka 165. stavka 1.) uzimaju u obzir i odredbe o prijeboju iz članka 155. stavka 2. CRR-a. </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030-040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TEHNIKE SMANJENJA KREDITNOG RIZIKA S UČINCIMA ZAMJ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NE NA IZLOŽENOST</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NEMATERIJALNA KREDITNA ZAŠTITA</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JAMSTVA</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KREDITNE IZVEDENICE</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Bez obzira na pristup koji je prihvaćen za izračun iznosa izloženosti ponderir</w:t>
            </w:r>
            <w:r w:rsidRPr="00EF7F33">
              <w:rPr>
                <w:rStyle w:val="InstructionsTabelleText"/>
                <w:rFonts w:ascii="Times New Roman" w:hAnsi="Times New Roman"/>
                <w:sz w:val="24"/>
              </w:rPr>
              <w:t>a</w:t>
            </w:r>
            <w:r w:rsidRPr="00EF7F33">
              <w:rPr>
                <w:rStyle w:val="InstructionsTabelleText"/>
                <w:rFonts w:ascii="Times New Roman" w:hAnsi="Times New Roman"/>
                <w:sz w:val="24"/>
              </w:rPr>
              <w:t>nih rizikom za izloženosti na osnovi vlasničkih ulaganja, institucije mogu pri</w:t>
            </w:r>
            <w:r w:rsidRPr="00EF7F33">
              <w:rPr>
                <w:rStyle w:val="InstructionsTabelleText"/>
                <w:rFonts w:ascii="Times New Roman" w:hAnsi="Times New Roman"/>
                <w:sz w:val="24"/>
              </w:rPr>
              <w:t>z</w:t>
            </w:r>
            <w:r w:rsidRPr="00EF7F33">
              <w:rPr>
                <w:rStyle w:val="InstructionsTabelleText"/>
                <w:rFonts w:ascii="Times New Roman" w:hAnsi="Times New Roman"/>
                <w:sz w:val="24"/>
              </w:rPr>
              <w:t>nati nematerijalnu kreditnu zaštitu primljenu za izloženosti na osnovi vlasničkih ulaganja (članak 155. stavci 2., 3. i 4. CRR-a). Institucije koje primjenjuju je</w:t>
            </w:r>
            <w:r w:rsidRPr="00EF7F33">
              <w:rPr>
                <w:rStyle w:val="InstructionsTabelleText"/>
                <w:rFonts w:ascii="Times New Roman" w:hAnsi="Times New Roman"/>
                <w:sz w:val="24"/>
              </w:rPr>
              <w:t>d</w:t>
            </w:r>
            <w:r w:rsidRPr="00EF7F33">
              <w:rPr>
                <w:rStyle w:val="InstructionsTabelleText"/>
                <w:rFonts w:ascii="Times New Roman" w:hAnsi="Times New Roman"/>
                <w:sz w:val="24"/>
              </w:rPr>
              <w:t>nostavni pristup ponderiranja ili PD/LGD pristup u stupcima 030 i 040 iskazuju iznos nematerijalne kreditne zaštite u obliku jamstava (stupac 030) ili kreditnih izvedenica (stupac 040) priznate u skladu s metodama određenima u dijelu tr</w:t>
            </w:r>
            <w:r w:rsidRPr="00EF7F33">
              <w:rPr>
                <w:rStyle w:val="InstructionsTabelleText"/>
                <w:rFonts w:ascii="Times New Roman" w:hAnsi="Times New Roman"/>
                <w:sz w:val="24"/>
              </w:rPr>
              <w:t>e</w:t>
            </w:r>
            <w:r w:rsidRPr="00EF7F33">
              <w:rPr>
                <w:rStyle w:val="InstructionsTabelleText"/>
                <w:rFonts w:ascii="Times New Roman" w:hAnsi="Times New Roman"/>
                <w:sz w:val="24"/>
              </w:rPr>
              <w:t>ćem glavi II. poglavlju 4. CRR-a.</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050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TEHNIKE SMANJENJA KREDITNOG RIZIKA S UČINCIMA ZAMJ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NE NA IZLOŽENOST</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ZAMJENA IZLOŽENOSTI ZBOG SMANJENJA KREDITNOG RIZIKA</w:t>
            </w:r>
          </w:p>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UKUPNI ODLJEVI</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U stupcu 050 institucije iskazuju dio originalne izloženosti prije konverzijskih faktora pokriven nematerijalnom kreditnom zaštitom priznatom u skladu s m</w:t>
            </w:r>
            <w:r w:rsidRPr="00EF7F33">
              <w:rPr>
                <w:rStyle w:val="InstructionsTabelleText"/>
                <w:rFonts w:ascii="Times New Roman" w:hAnsi="Times New Roman"/>
                <w:sz w:val="24"/>
              </w:rPr>
              <w:t>e</w:t>
            </w:r>
            <w:r w:rsidRPr="00EF7F33">
              <w:rPr>
                <w:rStyle w:val="InstructionsTabelleText"/>
                <w:rFonts w:ascii="Times New Roman" w:hAnsi="Times New Roman"/>
                <w:sz w:val="24"/>
              </w:rPr>
              <w:t>todama određenima u dijelu trećem glavi II. poglavlju 4. CRR-a.</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060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VRIJEDNOST IZLOŽENOSTI</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 xml:space="preserve">Institucije koje primjenjuju jednostavni pristup ponderiranja ili PD/LGD pristup iskazuju u stupcu 060 vrijednosti izloženosti uzimajući u obzir učinke zamjene </w:t>
            </w:r>
            <w:r w:rsidRPr="00EF7F33">
              <w:rPr>
                <w:rStyle w:val="InstructionsTabelleText"/>
                <w:rFonts w:ascii="Times New Roman" w:hAnsi="Times New Roman"/>
                <w:sz w:val="24"/>
              </w:rPr>
              <w:lastRenderedPageBreak/>
              <w:t xml:space="preserve">koji proizlaze iz nematerijalne kreditne zaštite (članak 155. stavci 2. i 3., članak 167. CRR-a). </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Kao podsjetnik, u slučaju izvanbilančnih izloženosti na osnovi vlasničkih ulag</w:t>
            </w:r>
            <w:r w:rsidRPr="00EF7F33">
              <w:rPr>
                <w:rStyle w:val="InstructionsTabelleText"/>
                <w:rFonts w:ascii="Times New Roman" w:hAnsi="Times New Roman"/>
                <w:sz w:val="24"/>
              </w:rPr>
              <w:t>a</w:t>
            </w:r>
            <w:r w:rsidRPr="00EF7F33">
              <w:rPr>
                <w:rStyle w:val="InstructionsTabelleText"/>
                <w:rFonts w:ascii="Times New Roman" w:hAnsi="Times New Roman"/>
                <w:sz w:val="24"/>
              </w:rPr>
              <w:t>nja, vrijednost izloženosti jest nominalna vrijednost preostala nakon primjene specifičnih ispravaka vrijednosti za kreditni rizik (članak 167. CRR-a).</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lastRenderedPageBreak/>
              <w:t>070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PROSJEČNI LGD PONDERIRAN VISINOM IZLOŽENOSTI (%)</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koje primjenjuju PD/LGD pristup iskazuju u stupcu 070 obrasca CR EQU IRB 2 izloženošću ponderirani prosjek LGD-ova raspoređenih u rejting-kategorije dužnika ili skupove izloženosti uključene u agregiranje; isto se pri</w:t>
            </w:r>
            <w:r w:rsidRPr="00EF7F33">
              <w:rPr>
                <w:rStyle w:val="InstructionsTabelleText"/>
                <w:rFonts w:ascii="Times New Roman" w:hAnsi="Times New Roman"/>
                <w:sz w:val="24"/>
              </w:rPr>
              <w:t>m</w:t>
            </w:r>
            <w:r w:rsidRPr="00EF7F33">
              <w:rPr>
                <w:rStyle w:val="InstructionsTabelleText"/>
                <w:rFonts w:ascii="Times New Roman" w:hAnsi="Times New Roman"/>
                <w:sz w:val="24"/>
              </w:rPr>
              <w:t>jenjuje za redak 020 obrasca CR EQU IRB. Vrijednost izloženosti, uzimajući u obzir nematerijalnu kreditnu zaštitu (stupac 060) upotrebljava se za izračun pro</w:t>
            </w:r>
            <w:r w:rsidRPr="00EF7F33">
              <w:rPr>
                <w:rStyle w:val="InstructionsTabelleText"/>
                <w:rFonts w:ascii="Times New Roman" w:hAnsi="Times New Roman"/>
                <w:sz w:val="24"/>
              </w:rPr>
              <w:t>s</w:t>
            </w:r>
            <w:r w:rsidRPr="00EF7F33">
              <w:rPr>
                <w:rStyle w:val="InstructionsTabelleText"/>
                <w:rFonts w:ascii="Times New Roman" w:hAnsi="Times New Roman"/>
                <w:sz w:val="24"/>
              </w:rPr>
              <w:t>ječnog LGD-a ponderiranog visinom izloženosti. Institucije uzimaju u obzir o</w:t>
            </w:r>
            <w:r w:rsidRPr="00EF7F33">
              <w:rPr>
                <w:rStyle w:val="InstructionsTabelleText"/>
                <w:rFonts w:ascii="Times New Roman" w:hAnsi="Times New Roman"/>
                <w:sz w:val="24"/>
              </w:rPr>
              <w:t>d</w:t>
            </w:r>
            <w:r w:rsidRPr="00EF7F33">
              <w:rPr>
                <w:rStyle w:val="InstructionsTabelleText"/>
                <w:rFonts w:ascii="Times New Roman" w:hAnsi="Times New Roman"/>
                <w:sz w:val="24"/>
              </w:rPr>
              <w:t>redbe utvrđene u članku 165. stavku 2. CRR-a.</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080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IZNOS IZLOŽENOSTI PONDERIRAN RIZIKOM</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iskazuju iznose izloženosti ponderirane rizikom u stupcu 080, izrač</w:t>
            </w:r>
            <w:r w:rsidRPr="00EF7F33">
              <w:rPr>
                <w:rStyle w:val="InstructionsTabelleText"/>
                <w:rFonts w:ascii="Times New Roman" w:hAnsi="Times New Roman"/>
                <w:sz w:val="24"/>
              </w:rPr>
              <w:t>u</w:t>
            </w:r>
            <w:r w:rsidRPr="00EF7F33">
              <w:rPr>
                <w:rStyle w:val="InstructionsTabelleText"/>
                <w:rFonts w:ascii="Times New Roman" w:hAnsi="Times New Roman"/>
                <w:sz w:val="24"/>
              </w:rPr>
              <w:t>nane u skladu s odredbama utvrđenima u članku 155. CRR-a.</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 xml:space="preserve">Ako institucije koje primjenjuju PD/LGD pristup nemaju dovoljno informacija za uporabu definicije nastanka statusa neispunjavanja obveza iz članka 178. CRR-a, ponderu rizika dodjeljuje se faktor prilagodbe od 1,5 pri izračunu iznosa izloženosti ponderiranih rizikom (članak 155. stavak 3. CRR-a.) </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U pogledu ulaznog parametra M (efektivno dospijeće) u funkciji izračuna po</w:t>
            </w:r>
            <w:r w:rsidRPr="00EF7F33">
              <w:rPr>
                <w:rStyle w:val="InstructionsTabelleText"/>
                <w:rFonts w:ascii="Times New Roman" w:hAnsi="Times New Roman"/>
                <w:sz w:val="24"/>
              </w:rPr>
              <w:t>n</w:t>
            </w:r>
            <w:r w:rsidRPr="00EF7F33">
              <w:rPr>
                <w:rStyle w:val="InstructionsTabelleText"/>
                <w:rFonts w:ascii="Times New Roman" w:hAnsi="Times New Roman"/>
                <w:sz w:val="24"/>
              </w:rPr>
              <w:t>dera rizika, efektivno dospijeće koje se dodjeljuje izloženostima na osnovi vla</w:t>
            </w:r>
            <w:r w:rsidRPr="00EF7F33">
              <w:rPr>
                <w:rStyle w:val="InstructionsTabelleText"/>
                <w:rFonts w:ascii="Times New Roman" w:hAnsi="Times New Roman"/>
                <w:sz w:val="24"/>
              </w:rPr>
              <w:t>s</w:t>
            </w:r>
            <w:r w:rsidRPr="00EF7F33">
              <w:rPr>
                <w:rStyle w:val="InstructionsTabelleText"/>
                <w:rFonts w:ascii="Times New Roman" w:hAnsi="Times New Roman"/>
                <w:sz w:val="24"/>
              </w:rPr>
              <w:t>ničkih ulaganja iznosi 5 godina (članak 165. stavak 3. CRR-a).</w:t>
            </w:r>
          </w:p>
        </w:tc>
      </w:tr>
      <w:tr w:rsidR="00C61FF5" w:rsidRPr="00EF7F33"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090</w:t>
            </w:r>
          </w:p>
        </w:tc>
        <w:tc>
          <w:tcPr>
            <w:tcW w:w="8004" w:type="dxa"/>
          </w:tcPr>
          <w:p w:rsidR="00745369" w:rsidRPr="00EF7F33" w:rsidRDefault="00C61FF5"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BILJEŠKA: IZNOS OČEKIVANOGA GUBITKA</w:t>
            </w:r>
          </w:p>
          <w:p w:rsidR="00745369" w:rsidRPr="00EF7F33" w:rsidRDefault="00C61FF5" w:rsidP="00450A2E">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 xml:space="preserve">U stupcu 090 institucije iskazuju iznos očekivanoga gubitka za izloženosti na osnovi vlasničkih ulaganja izračunan u skladu s člankom 158. stavcima 4., 7., 8. i 9. CRR-a. </w:t>
            </w:r>
          </w:p>
        </w:tc>
      </w:tr>
    </w:tbl>
    <w:p w:rsidR="00745369" w:rsidRPr="00EF7F33" w:rsidRDefault="00745369" w:rsidP="00FD239F">
      <w:pPr>
        <w:pStyle w:val="InstructionsText"/>
      </w:pPr>
    </w:p>
    <w:p w:rsidR="00C61FF5" w:rsidRPr="00EF7F33" w:rsidRDefault="00125707" w:rsidP="00C37B29">
      <w:pPr>
        <w:pStyle w:val="InstructionsText2"/>
        <w:numPr>
          <w:ilvl w:val="0"/>
          <w:numId w:val="0"/>
        </w:numPr>
        <w:ind w:left="993"/>
      </w:pPr>
      <w:r w:rsidRPr="00EF7F33">
        <w:t>92.</w:t>
      </w:r>
      <w:r w:rsidRPr="00EF7F33">
        <w:tab/>
        <w:t>U skladu s člankom 155. CRR-a, institucije mogu primijeniti različite pristupe (jednostavni pristup ponderiranja, PD/LGD pristup ili pristup internih modela) na različite portfelje ako interno upotrebljavaju te različite pristupe. Institucije iskazuju u obrascu CR EQU IRB 1 i iznose izloženosti ponderirane rizikom za izloženosti na osnovi vlasničkih ulaganja koje podliježu fiksnom tretmanu ponderiranom rizikom (a da ih se pri tome ne tretira izričito u skladu s jednostavnim pristupom ponderir</w:t>
      </w:r>
      <w:r w:rsidRPr="00EF7F33">
        <w:t>a</w:t>
      </w:r>
      <w:r w:rsidRPr="00EF7F33">
        <w:t>nja ili (privremeno ili stalno) izuzećem od primjene standardiziranog pristupa kred</w:t>
      </w:r>
      <w:r w:rsidRPr="00EF7F33">
        <w:t>i</w:t>
      </w:r>
      <w:r w:rsidRPr="00EF7F33">
        <w:t>tnom riziku).</w:t>
      </w:r>
    </w:p>
    <w:tbl>
      <w:tblPr>
        <w:tblW w:w="9524" w:type="dxa"/>
        <w:tblLook w:val="01E0" w:firstRow="1" w:lastRow="1" w:firstColumn="1" w:lastColumn="1" w:noHBand="0" w:noVBand="0"/>
      </w:tblPr>
      <w:tblGrid>
        <w:gridCol w:w="1608"/>
        <w:gridCol w:w="7916"/>
      </w:tblGrid>
      <w:tr w:rsidR="00C61FF5" w:rsidRPr="00EF7F33"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EF7F33" w:rsidRDefault="00C61FF5" w:rsidP="00EA0BAB">
            <w:pPr>
              <w:spacing w:beforeLines="60" w:before="144" w:afterLines="60" w:after="144"/>
              <w:rPr>
                <w:rStyle w:val="InstructionsTabelleText"/>
                <w:rFonts w:ascii="Times New Roman" w:hAnsi="Times New Roman"/>
                <w:b/>
                <w:sz w:val="24"/>
              </w:rPr>
            </w:pPr>
            <w:r w:rsidRPr="00EF7F33">
              <w:rPr>
                <w:rStyle w:val="InstructionsTabelleText"/>
                <w:rFonts w:ascii="Times New Roman" w:hAnsi="Times New Roman"/>
                <w:b/>
                <w:sz w:val="24"/>
              </w:rPr>
              <w:t>Redci</w:t>
            </w:r>
          </w:p>
        </w:tc>
      </w:tr>
      <w:tr w:rsidR="00C61FF5" w:rsidRPr="00EF7F33" w:rsidTr="00672D2A">
        <w:tc>
          <w:tcPr>
            <w:tcW w:w="1608" w:type="dxa"/>
            <w:tcBorders>
              <w:top w:val="single" w:sz="4" w:space="0" w:color="auto"/>
              <w:left w:val="single" w:sz="4" w:space="0" w:color="auto"/>
              <w:bottom w:val="single" w:sz="4" w:space="0" w:color="auto"/>
              <w:right w:val="single" w:sz="4" w:space="0" w:color="auto"/>
            </w:tcBorders>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CR EQU IRB 1 – redak 020,</w:t>
            </w:r>
          </w:p>
          <w:p w:rsidR="00745369" w:rsidRPr="00EF7F33"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EF7F33" w:rsidRDefault="00C61FF5" w:rsidP="00450A2E">
            <w:pPr>
              <w:keepNext/>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lastRenderedPageBreak/>
              <w:t xml:space="preserve">PD/LGD PRISTUP: UKUPNO </w:t>
            </w:r>
          </w:p>
          <w:p w:rsidR="00745369" w:rsidRPr="00EF7F33" w:rsidRDefault="00C61FF5" w:rsidP="00AA7658">
            <w:pPr>
              <w:keepNext/>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koje primjenjuju PD/LGD pristup (članak 155. stavak 3. CRR-a) i</w:t>
            </w:r>
            <w:r w:rsidRPr="00EF7F33">
              <w:rPr>
                <w:rStyle w:val="InstructionsTabelleText"/>
                <w:rFonts w:ascii="Times New Roman" w:hAnsi="Times New Roman"/>
                <w:sz w:val="24"/>
              </w:rPr>
              <w:t>s</w:t>
            </w:r>
            <w:r w:rsidRPr="00EF7F33">
              <w:rPr>
                <w:rStyle w:val="InstructionsTabelleText"/>
                <w:rFonts w:ascii="Times New Roman" w:hAnsi="Times New Roman"/>
                <w:sz w:val="24"/>
              </w:rPr>
              <w:lastRenderedPageBreak/>
              <w:t>kazuju potrebne informacije u retku 020 obrasca CR EQU IRB 1.</w:t>
            </w:r>
          </w:p>
        </w:tc>
      </w:tr>
      <w:tr w:rsidR="00C61FF5" w:rsidRPr="00EF7F33" w:rsidTr="00672D2A">
        <w:tc>
          <w:tcPr>
            <w:tcW w:w="1608" w:type="dxa"/>
            <w:tcBorders>
              <w:top w:val="single" w:sz="4" w:space="0" w:color="auto"/>
              <w:left w:val="single" w:sz="4" w:space="0" w:color="auto"/>
              <w:bottom w:val="single" w:sz="4" w:space="0" w:color="auto"/>
              <w:right w:val="single" w:sz="4" w:space="0" w:color="auto"/>
            </w:tcBorders>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lastRenderedPageBreak/>
              <w:t>CR EQU IRB 1 – redci 050 – 090</w:t>
            </w:r>
          </w:p>
        </w:tc>
        <w:tc>
          <w:tcPr>
            <w:tcW w:w="7916" w:type="dxa"/>
            <w:tcBorders>
              <w:top w:val="single" w:sz="4" w:space="0" w:color="auto"/>
              <w:left w:val="single" w:sz="4" w:space="0" w:color="auto"/>
              <w:bottom w:val="single" w:sz="4" w:space="0" w:color="auto"/>
              <w:right w:val="single" w:sz="4" w:space="0" w:color="auto"/>
            </w:tcBorders>
          </w:tcPr>
          <w:p w:rsidR="00C61FF5" w:rsidRPr="00EF7F33" w:rsidRDefault="00C61FF5" w:rsidP="00C61FF5">
            <w:pPr>
              <w:rPr>
                <w:rStyle w:val="InstructionsTabelleText"/>
                <w:rFonts w:ascii="Times New Roman" w:hAnsi="Times New Roman"/>
                <w:b/>
                <w:sz w:val="24"/>
                <w:u w:val="single"/>
              </w:rPr>
            </w:pPr>
            <w:r w:rsidRPr="00EF7F33">
              <w:rPr>
                <w:rStyle w:val="InstructionsTabelleText"/>
                <w:rFonts w:ascii="Times New Roman" w:hAnsi="Times New Roman"/>
                <w:b/>
                <w:sz w:val="24"/>
                <w:u w:val="single"/>
              </w:rPr>
              <w:t>JEDNOSTAVNI PRISTUP PONDERIRANJA: UKUPNO</w:t>
            </w:r>
          </w:p>
          <w:p w:rsidR="00C61FF5" w:rsidRPr="00EF7F33" w:rsidRDefault="00C61FF5" w:rsidP="00C61FF5">
            <w:pPr>
              <w:rPr>
                <w:rStyle w:val="InstructionsTabelleText"/>
                <w:rFonts w:ascii="Times New Roman" w:hAnsi="Times New Roman"/>
                <w:b/>
                <w:sz w:val="24"/>
                <w:u w:val="single"/>
              </w:rPr>
            </w:pPr>
            <w:r w:rsidRPr="00EF7F33">
              <w:rPr>
                <w:rStyle w:val="InstructionsTabelleText"/>
                <w:rFonts w:ascii="Times New Roman" w:hAnsi="Times New Roman"/>
                <w:b/>
                <w:sz w:val="24"/>
                <w:u w:val="single"/>
              </w:rPr>
              <w:t>RAŠČLAMBA UKUPNIH IZLOŽENOSTI U SKLADU S JEDNOSTA</w:t>
            </w:r>
            <w:r w:rsidRPr="00EF7F33">
              <w:rPr>
                <w:rStyle w:val="InstructionsTabelleText"/>
                <w:rFonts w:ascii="Times New Roman" w:hAnsi="Times New Roman"/>
                <w:b/>
                <w:sz w:val="24"/>
                <w:u w:val="single"/>
              </w:rPr>
              <w:t>V</w:t>
            </w:r>
            <w:r w:rsidRPr="00EF7F33">
              <w:rPr>
                <w:rStyle w:val="InstructionsTabelleText"/>
                <w:rFonts w:ascii="Times New Roman" w:hAnsi="Times New Roman"/>
                <w:b/>
                <w:sz w:val="24"/>
                <w:u w:val="single"/>
              </w:rPr>
              <w:t>NIM PRISTUPOM PONDERIRANJA PREMA PONDERIMA RIZIKA:</w:t>
            </w:r>
          </w:p>
          <w:p w:rsidR="00745369" w:rsidRPr="00EF7F33" w:rsidRDefault="00C61FF5" w:rsidP="00FD239F">
            <w:pPr>
              <w:keepNext/>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koje primjenjuju jednostavni pristup ponderiranja (članak 155. stavak 2. CRR-a) iskazuju potrebne informacije u skladu s karakteristikama odnosnih izloženosti u redcima od 050 do 090.</w:t>
            </w:r>
          </w:p>
        </w:tc>
      </w:tr>
      <w:tr w:rsidR="00C61FF5" w:rsidRPr="00EF7F33" w:rsidTr="00672D2A">
        <w:tc>
          <w:tcPr>
            <w:tcW w:w="1608" w:type="dxa"/>
            <w:tcBorders>
              <w:top w:val="single" w:sz="4" w:space="0" w:color="auto"/>
              <w:left w:val="single" w:sz="4" w:space="0" w:color="auto"/>
              <w:bottom w:val="single" w:sz="4" w:space="0" w:color="auto"/>
              <w:right w:val="single" w:sz="4" w:space="0" w:color="auto"/>
            </w:tcBorders>
          </w:tcPr>
          <w:p w:rsidR="00745369" w:rsidRPr="00EF7F33" w:rsidRDefault="00C61FF5" w:rsidP="00EA0BAB">
            <w:pPr>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CR EQU IRB 1 – redak 100</w:t>
            </w:r>
          </w:p>
        </w:tc>
        <w:tc>
          <w:tcPr>
            <w:tcW w:w="7916" w:type="dxa"/>
            <w:tcBorders>
              <w:top w:val="single" w:sz="4" w:space="0" w:color="auto"/>
              <w:left w:val="single" w:sz="4" w:space="0" w:color="auto"/>
              <w:bottom w:val="single" w:sz="4" w:space="0" w:color="auto"/>
              <w:right w:val="single" w:sz="4" w:space="0" w:color="auto"/>
            </w:tcBorders>
          </w:tcPr>
          <w:p w:rsidR="00C61FF5" w:rsidRPr="00EF7F33" w:rsidRDefault="00C61FF5" w:rsidP="00C61FF5">
            <w:pPr>
              <w:rPr>
                <w:rStyle w:val="InstructionsTabelleberschrift"/>
                <w:rFonts w:ascii="Times New Roman" w:hAnsi="Times New Roman"/>
                <w:sz w:val="24"/>
              </w:rPr>
            </w:pPr>
            <w:r w:rsidRPr="00EF7F33">
              <w:rPr>
                <w:rStyle w:val="InstructionsTabelleberschrift"/>
                <w:rFonts w:ascii="Times New Roman" w:hAnsi="Times New Roman"/>
                <w:sz w:val="24"/>
              </w:rPr>
              <w:t>PRISTUP INTERNIH MODELA</w:t>
            </w:r>
          </w:p>
          <w:p w:rsidR="00C61FF5" w:rsidRPr="00EF7F33" w:rsidRDefault="00C61FF5" w:rsidP="00FD239F">
            <w:pPr>
              <w:pStyle w:val="InstructionsText"/>
              <w:rPr>
                <w:rStyle w:val="FormatvorlageInstructionsTabelleText"/>
                <w:rFonts w:ascii="Times New Roman" w:hAnsi="Times New Roman"/>
                <w:bCs w:val="0"/>
                <w:sz w:val="24"/>
              </w:rPr>
            </w:pPr>
            <w:r w:rsidRPr="00EF7F33">
              <w:rPr>
                <w:rStyle w:val="FormatvorlageInstructionsTabelleText"/>
                <w:rFonts w:ascii="Times New Roman" w:hAnsi="Times New Roman"/>
                <w:sz w:val="24"/>
              </w:rPr>
              <w:t>Institucije koje primjenjuju pristup internih modela (članak 155. stavak 4. CRR-a) iskazuju potrebne informacije u retku 100.</w:t>
            </w:r>
          </w:p>
        </w:tc>
      </w:tr>
      <w:tr w:rsidR="00C61FF5" w:rsidRPr="00EF7F33" w:rsidTr="00672D2A">
        <w:tc>
          <w:tcPr>
            <w:tcW w:w="1608" w:type="dxa"/>
            <w:tcBorders>
              <w:top w:val="single" w:sz="4" w:space="0" w:color="auto"/>
              <w:left w:val="single" w:sz="4" w:space="0" w:color="auto"/>
              <w:bottom w:val="single" w:sz="4" w:space="0" w:color="auto"/>
              <w:right w:val="single" w:sz="4" w:space="0" w:color="auto"/>
            </w:tcBorders>
          </w:tcPr>
          <w:p w:rsidR="00745369" w:rsidRPr="00EF7F33" w:rsidRDefault="00C61FF5" w:rsidP="00EA0BAB">
            <w:pPr>
              <w:spacing w:beforeLines="60" w:before="144" w:afterLines="60" w:after="144"/>
              <w:rPr>
                <w:rStyle w:val="InstructionsTabelleText"/>
                <w:rFonts w:ascii="Times New Roman" w:hAnsi="Times New Roman"/>
                <w:bCs/>
                <w:sz w:val="24"/>
              </w:rPr>
            </w:pPr>
            <w:r w:rsidRPr="00EF7F33">
              <w:rPr>
                <w:rStyle w:val="InstructionsTabelleText"/>
                <w:rFonts w:ascii="Times New Roman" w:hAnsi="Times New Roman"/>
                <w:sz w:val="24"/>
              </w:rPr>
              <w:t>CR EQU IRB 1 – redak 110</w:t>
            </w:r>
          </w:p>
        </w:tc>
        <w:tc>
          <w:tcPr>
            <w:tcW w:w="7916" w:type="dxa"/>
            <w:tcBorders>
              <w:top w:val="single" w:sz="4" w:space="0" w:color="auto"/>
              <w:left w:val="single" w:sz="4" w:space="0" w:color="auto"/>
              <w:bottom w:val="single" w:sz="4" w:space="0" w:color="auto"/>
              <w:right w:val="single" w:sz="4" w:space="0" w:color="auto"/>
            </w:tcBorders>
          </w:tcPr>
          <w:p w:rsidR="00C61FF5" w:rsidRPr="00EF7F33" w:rsidRDefault="00C61FF5" w:rsidP="00C61FF5">
            <w:pPr>
              <w:rPr>
                <w:rStyle w:val="InstructionsTabelleberschrift"/>
                <w:rFonts w:ascii="Times New Roman" w:hAnsi="Times New Roman"/>
                <w:sz w:val="24"/>
              </w:rPr>
            </w:pPr>
            <w:r w:rsidRPr="00EF7F33">
              <w:rPr>
                <w:rStyle w:val="InstructionsTabelleberschrift"/>
                <w:rFonts w:ascii="Times New Roman" w:hAnsi="Times New Roman"/>
                <w:sz w:val="24"/>
              </w:rPr>
              <w:t>IZLOŽENOSTI NA OSNOVI VLASNIČKIH ULAGANJA NA KOJE SE PRIMJENJUJU PONDERI RIZIKA</w:t>
            </w:r>
          </w:p>
          <w:p w:rsidR="00C61FF5" w:rsidRPr="00EF7F33" w:rsidRDefault="00C61FF5" w:rsidP="00C61FF5">
            <w:pPr>
              <w:rPr>
                <w:rFonts w:ascii="Times New Roman" w:hAnsi="Times New Roman"/>
                <w:sz w:val="24"/>
              </w:rPr>
            </w:pPr>
            <w:r w:rsidRPr="00EF7F33">
              <w:rPr>
                <w:rFonts w:ascii="Times New Roman" w:hAnsi="Times New Roman"/>
                <w:sz w:val="24"/>
              </w:rPr>
              <w:t>Institucije koje primjenjuju IRB pristup iskazuju iznose izloženosti ponderirane rizikom za izloženosti na osnovi vlasničkih ulaganja koje podliježu fiksnom tr</w:t>
            </w:r>
            <w:r w:rsidRPr="00EF7F33">
              <w:rPr>
                <w:rFonts w:ascii="Times New Roman" w:hAnsi="Times New Roman"/>
                <w:sz w:val="24"/>
              </w:rPr>
              <w:t>e</w:t>
            </w:r>
            <w:r w:rsidRPr="00EF7F33">
              <w:rPr>
                <w:rFonts w:ascii="Times New Roman" w:hAnsi="Times New Roman"/>
                <w:sz w:val="24"/>
              </w:rPr>
              <w:t xml:space="preserve">tmanu ponderiranom rizikom (a da ih se pri tome ne tretira izričito u skladu s jednostavnim pristupom ponderiranja ili (privremeno ili stalno) izuzećem od primjene standardiziranog pristupa kreditnom riziku). Na primjer, </w:t>
            </w:r>
          </w:p>
          <w:p w:rsidR="00C61FF5" w:rsidRPr="00EF7F33" w:rsidRDefault="00C61FF5" w:rsidP="00C61FF5">
            <w:pPr>
              <w:rPr>
                <w:rStyle w:val="FormatvorlageInstructionsTabelleText"/>
                <w:rFonts w:ascii="Times New Roman" w:hAnsi="Times New Roman"/>
                <w:sz w:val="24"/>
              </w:rPr>
            </w:pPr>
            <w:r w:rsidRPr="00EF7F33">
              <w:rPr>
                <w:rFonts w:ascii="Times New Roman" w:hAnsi="Times New Roman"/>
                <w:sz w:val="24"/>
              </w:rPr>
              <w:t>- iznos izloženosti ponderiran rizikom za pozicije vlasničkih ulaganja u subje</w:t>
            </w:r>
            <w:r w:rsidRPr="00EF7F33">
              <w:rPr>
                <w:rFonts w:ascii="Times New Roman" w:hAnsi="Times New Roman"/>
                <w:sz w:val="24"/>
              </w:rPr>
              <w:t>k</w:t>
            </w:r>
            <w:r w:rsidRPr="00EF7F33">
              <w:rPr>
                <w:rFonts w:ascii="Times New Roman" w:hAnsi="Times New Roman"/>
                <w:sz w:val="24"/>
              </w:rPr>
              <w:t>te financijskog sektora koje se tretiraju u skladu s člankom 48. stavkom 4. CRR-a, te</w:t>
            </w:r>
            <w:r w:rsidRPr="00EF7F33">
              <w:rPr>
                <w:rStyle w:val="FormatvorlageInstructionsTabelleText"/>
                <w:rFonts w:ascii="Times New Roman" w:hAnsi="Times New Roman"/>
                <w:sz w:val="24"/>
              </w:rPr>
              <w:t xml:space="preserve">  </w:t>
            </w:r>
          </w:p>
          <w:p w:rsidR="00C61FF5" w:rsidRPr="00EF7F33" w:rsidRDefault="00C61FF5" w:rsidP="000E309A">
            <w:pPr>
              <w:rPr>
                <w:rStyle w:val="FormatvorlageInstructionsTabelleText"/>
                <w:rFonts w:ascii="Times New Roman" w:hAnsi="Times New Roman"/>
                <w:sz w:val="24"/>
              </w:rPr>
            </w:pPr>
            <w:r w:rsidRPr="00EF7F33">
              <w:rPr>
                <w:rStyle w:val="FormatvorlageInstructionsTabelleText"/>
                <w:rFonts w:ascii="Times New Roman" w:hAnsi="Times New Roman"/>
                <w:sz w:val="24"/>
              </w:rPr>
              <w:t>- pozicije vlasničkih ulaganja s ponderom rizika 370 % u skladu s člankom 471. stavkom 2. CRR-a iskazuju se u retku 110.</w:t>
            </w:r>
          </w:p>
        </w:tc>
      </w:tr>
      <w:tr w:rsidR="00C61FF5" w:rsidRPr="00EF7F33" w:rsidTr="00672D2A">
        <w:tc>
          <w:tcPr>
            <w:tcW w:w="1608" w:type="dxa"/>
            <w:tcBorders>
              <w:top w:val="single" w:sz="4" w:space="0" w:color="auto"/>
              <w:left w:val="single" w:sz="4" w:space="0" w:color="auto"/>
              <w:bottom w:val="single" w:sz="4" w:space="0" w:color="auto"/>
              <w:right w:val="single" w:sz="4" w:space="0" w:color="auto"/>
            </w:tcBorders>
          </w:tcPr>
          <w:p w:rsidR="00C61FF5" w:rsidRPr="00EF7F33" w:rsidRDefault="00C61FF5" w:rsidP="00C61FF5">
            <w:pPr>
              <w:rPr>
                <w:rStyle w:val="InstructionsTabelleText"/>
                <w:rFonts w:ascii="Times New Roman" w:hAnsi="Times New Roman"/>
                <w:sz w:val="24"/>
              </w:rPr>
            </w:pPr>
            <w:r w:rsidRPr="00EF7F33">
              <w:rPr>
                <w:rStyle w:val="InstructionsTabelleText"/>
                <w:rFonts w:ascii="Times New Roman" w:hAnsi="Times New Roman"/>
                <w:sz w:val="24"/>
              </w:rPr>
              <w:t>CR EQU IRB 2</w:t>
            </w:r>
          </w:p>
          <w:p w:rsidR="00745369" w:rsidRPr="00EF7F33"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EF7F33" w:rsidRDefault="00C61FF5" w:rsidP="00450A2E">
            <w:pPr>
              <w:keepNext/>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RAŠČLAMBA UKUPNIH IZLOŽENOSTI U SKLADU S PD/LGD PRI</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TUPOM PREMA REJTING-KATEGORIJAMA DUŽNIKA:</w:t>
            </w:r>
          </w:p>
          <w:p w:rsidR="00745369" w:rsidRPr="00EF7F33" w:rsidRDefault="00C61FF5" w:rsidP="00450A2E">
            <w:pPr>
              <w:keepNext/>
              <w:spacing w:beforeLines="60" w:before="144" w:afterLines="60" w:after="144"/>
              <w:rPr>
                <w:rStyle w:val="InstructionsTabelleText"/>
                <w:rFonts w:ascii="Times New Roman" w:hAnsi="Times New Roman"/>
                <w:sz w:val="24"/>
              </w:rPr>
            </w:pPr>
            <w:r w:rsidRPr="00EF7F33">
              <w:rPr>
                <w:rStyle w:val="InstructionsTabelleText"/>
                <w:rFonts w:ascii="Times New Roman" w:hAnsi="Times New Roman"/>
                <w:sz w:val="24"/>
              </w:rPr>
              <w:t>Institucije koje primjenjuju PD/LGD pristup (članak 155. stavak 3. CRR-a) i</w:t>
            </w:r>
            <w:r w:rsidRPr="00EF7F33">
              <w:rPr>
                <w:rStyle w:val="InstructionsTabelleText"/>
                <w:rFonts w:ascii="Times New Roman" w:hAnsi="Times New Roman"/>
                <w:sz w:val="24"/>
              </w:rPr>
              <w:t>s</w:t>
            </w:r>
            <w:r w:rsidRPr="00EF7F33">
              <w:rPr>
                <w:rStyle w:val="InstructionsTabelleText"/>
                <w:rFonts w:ascii="Times New Roman" w:hAnsi="Times New Roman"/>
                <w:sz w:val="24"/>
              </w:rPr>
              <w:t>kazuju potrebne informacije u obrascu CR EQU IRB 2.</w:t>
            </w:r>
          </w:p>
          <w:p w:rsidR="00C61FF5" w:rsidRPr="00EF7F33" w:rsidRDefault="00C61FF5" w:rsidP="00C61FF5">
            <w:pPr>
              <w:rPr>
                <w:rStyle w:val="InstructionsTabelleberschrift"/>
                <w:rFonts w:ascii="Times New Roman" w:hAnsi="Times New Roman"/>
                <w:b w:val="0"/>
                <w:bCs w:val="0"/>
                <w:sz w:val="24"/>
                <w:u w:val="none"/>
              </w:rPr>
            </w:pPr>
            <w:r w:rsidRPr="00EF7F33">
              <w:rPr>
                <w:rStyle w:val="InstructionsTabelleText"/>
                <w:rFonts w:ascii="Times New Roman" w:hAnsi="Times New Roman"/>
                <w:sz w:val="24"/>
              </w:rPr>
              <w:t>U slučaju kada institucije koje upotrebljavaju PD/LGD pristup primjenjuju j</w:t>
            </w:r>
            <w:r w:rsidRPr="00EF7F33">
              <w:rPr>
                <w:rStyle w:val="InstructionsTabelleText"/>
                <w:rFonts w:ascii="Times New Roman" w:hAnsi="Times New Roman"/>
                <w:sz w:val="24"/>
              </w:rPr>
              <w:t>e</w:t>
            </w:r>
            <w:r w:rsidRPr="00EF7F33">
              <w:rPr>
                <w:rStyle w:val="InstructionsTabelleText"/>
                <w:rFonts w:ascii="Times New Roman" w:hAnsi="Times New Roman"/>
                <w:sz w:val="24"/>
              </w:rPr>
              <w:t>dinstveni rejting-sustav ili mogu izvješćivati u skladu s internom rejting-skalom, u obrascu CR EQU IRB 2 iskazuju rejting-kategorije ili skupove pov</w:t>
            </w:r>
            <w:r w:rsidRPr="00EF7F33">
              <w:rPr>
                <w:rStyle w:val="InstructionsTabelleText"/>
                <w:rFonts w:ascii="Times New Roman" w:hAnsi="Times New Roman"/>
                <w:sz w:val="24"/>
              </w:rPr>
              <w:t>e</w:t>
            </w:r>
            <w:r w:rsidRPr="00EF7F33">
              <w:rPr>
                <w:rStyle w:val="InstructionsTabelleText"/>
                <w:rFonts w:ascii="Times New Roman" w:hAnsi="Times New Roman"/>
                <w:sz w:val="24"/>
              </w:rPr>
              <w:t>zane s tim jedinstvenim rejting-sustavom / jedinstvenom rejting-skalom. U svim ostalim slučajevima različiti rejting-sustavi spajaju se i određuju u skladu sa sljedećim kriterijima: Rejting-kategorije dužnika ili skupovi izloženosti ra</w:t>
            </w:r>
            <w:r w:rsidRPr="00EF7F33">
              <w:rPr>
                <w:rStyle w:val="InstructionsTabelleText"/>
                <w:rFonts w:ascii="Times New Roman" w:hAnsi="Times New Roman"/>
                <w:sz w:val="24"/>
              </w:rPr>
              <w:t>z</w:t>
            </w:r>
            <w:r w:rsidRPr="00EF7F33">
              <w:rPr>
                <w:rStyle w:val="InstructionsTabelleText"/>
                <w:rFonts w:ascii="Times New Roman" w:hAnsi="Times New Roman"/>
                <w:sz w:val="24"/>
              </w:rPr>
              <w:t>ličitih rejting-sustava grupiraju se i određuju od nižeg PD-a raspoređenog u svaku rejting-kategoriju dužnika ili skup izloženosti prema višem.</w:t>
            </w:r>
          </w:p>
        </w:tc>
      </w:tr>
    </w:tbl>
    <w:p w:rsidR="00633DEB" w:rsidRPr="00EF7F33" w:rsidRDefault="00633DEB">
      <w:pPr>
        <w:spacing w:before="0" w:after="0"/>
        <w:jc w:val="left"/>
        <w:rPr>
          <w:rStyle w:val="InstructionsTabelleText"/>
          <w:rFonts w:ascii="Times New Roman" w:hAnsi="Times New Roman"/>
          <w:sz w:val="24"/>
        </w:rPr>
      </w:pP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23" w:name="_Toc310415035"/>
      <w:bookmarkStart w:id="424" w:name="_Toc360188372"/>
      <w:bookmarkStart w:id="425" w:name="_Toc516210658"/>
      <w:bookmarkStart w:id="426" w:name="_Toc473560923"/>
      <w:bookmarkStart w:id="427" w:name="_Toc523998150"/>
      <w:r w:rsidRPr="00EF7F33">
        <w:rPr>
          <w:rFonts w:ascii="Times New Roman" w:hAnsi="Times New Roman"/>
          <w:sz w:val="24"/>
          <w:u w:val="none"/>
        </w:rPr>
        <w:t>3.6.</w:t>
      </w:r>
      <w:r w:rsidRPr="00EF7F33">
        <w:tab/>
      </w:r>
      <w:r w:rsidRPr="00EF7F33">
        <w:rPr>
          <w:rFonts w:ascii="Times New Roman" w:hAnsi="Times New Roman"/>
          <w:sz w:val="24"/>
        </w:rPr>
        <w:t xml:space="preserve">C 11.00 – Rizik namire/isporuke </w:t>
      </w:r>
      <w:bookmarkEnd w:id="423"/>
      <w:bookmarkEnd w:id="424"/>
      <w:r w:rsidRPr="00EF7F33">
        <w:rPr>
          <w:rFonts w:ascii="Times New Roman" w:hAnsi="Times New Roman"/>
          <w:sz w:val="24"/>
        </w:rPr>
        <w:t xml:space="preserve"> (CR SETT)</w:t>
      </w:r>
      <w:bookmarkEnd w:id="425"/>
      <w:bookmarkEnd w:id="426"/>
      <w:bookmarkEnd w:id="427"/>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28" w:name="_Toc262568045"/>
      <w:bookmarkStart w:id="429" w:name="_Toc295829924"/>
      <w:bookmarkStart w:id="430" w:name="_Toc310415036"/>
      <w:bookmarkStart w:id="431" w:name="_Toc360188373"/>
      <w:bookmarkStart w:id="432" w:name="_Toc516210659"/>
      <w:bookmarkStart w:id="433" w:name="_Toc473560924"/>
      <w:bookmarkStart w:id="434" w:name="_Toc523998151"/>
      <w:r w:rsidRPr="00EF7F33">
        <w:rPr>
          <w:rFonts w:ascii="Times New Roman" w:hAnsi="Times New Roman"/>
          <w:sz w:val="24"/>
          <w:u w:val="none"/>
        </w:rPr>
        <w:t>3.6.1.</w:t>
      </w:r>
      <w:r w:rsidRPr="00EF7F33">
        <w:tab/>
      </w:r>
      <w:r w:rsidRPr="00EF7F33">
        <w:rPr>
          <w:rFonts w:ascii="Times New Roman" w:hAnsi="Times New Roman"/>
          <w:sz w:val="24"/>
        </w:rPr>
        <w:t>Opće napomene</w:t>
      </w:r>
      <w:bookmarkEnd w:id="428"/>
      <w:bookmarkEnd w:id="429"/>
      <w:bookmarkEnd w:id="430"/>
      <w:bookmarkEnd w:id="431"/>
      <w:bookmarkEnd w:id="432"/>
      <w:bookmarkEnd w:id="433"/>
      <w:bookmarkEnd w:id="434"/>
    </w:p>
    <w:p w:rsidR="00612780" w:rsidRPr="00EF7F33" w:rsidRDefault="00125707" w:rsidP="00C37B29">
      <w:pPr>
        <w:pStyle w:val="InstructionsText2"/>
        <w:numPr>
          <w:ilvl w:val="0"/>
          <w:numId w:val="0"/>
        </w:numPr>
        <w:ind w:left="993"/>
      </w:pPr>
      <w:r w:rsidRPr="00EF7F33">
        <w:t>93.</w:t>
      </w:r>
      <w:r w:rsidRPr="00EF7F33">
        <w:tab/>
        <w:t xml:space="preserve">U ovom se obrascu zahtijevaju informacije o transakcijama iz knjige trgovanja i transakcijama iz knjige pozicijama kojima se ne trguje koje nisu namirene nakon </w:t>
      </w:r>
      <w:r w:rsidRPr="00EF7F33">
        <w:lastRenderedPageBreak/>
        <w:t xml:space="preserve">datuma dospijeća te kapitalnim zahtjevima za rizik namire u skladu s člankom 92. stavkom 3. točkom (c) podtočkom ii. i člankom 378. CRR-a. </w:t>
      </w:r>
    </w:p>
    <w:p w:rsidR="00612780" w:rsidRPr="00EF7F33" w:rsidRDefault="00125707" w:rsidP="00C37B29">
      <w:pPr>
        <w:pStyle w:val="InstructionsText2"/>
        <w:numPr>
          <w:ilvl w:val="0"/>
          <w:numId w:val="0"/>
        </w:numPr>
        <w:ind w:left="993"/>
      </w:pPr>
      <w:r w:rsidRPr="00EF7F33">
        <w:t>94.</w:t>
      </w:r>
      <w:r w:rsidRPr="00EF7F33">
        <w:tab/>
        <w:t xml:space="preserve">U obrascu CR SETT institucije iskazuju informacije o riziku namire/isporuke u vezi s dužničkim i vlasničkim instrumentima, stranim valutama i robi koje drže u svojoj knjizi trgovanja ili knjizi pozicija kojima se ne trguje. </w:t>
      </w:r>
    </w:p>
    <w:p w:rsidR="00612780" w:rsidRPr="00EF7F33" w:rsidRDefault="00125707" w:rsidP="00C37B29">
      <w:pPr>
        <w:pStyle w:val="InstructionsText2"/>
        <w:numPr>
          <w:ilvl w:val="0"/>
          <w:numId w:val="0"/>
        </w:numPr>
        <w:ind w:left="993"/>
      </w:pPr>
      <w:r w:rsidRPr="00EF7F33">
        <w:t>95.</w:t>
      </w:r>
      <w:r w:rsidRPr="00EF7F33">
        <w:tab/>
        <w:t>U skladu s člankom 378. CRR-a, repo transakcije, transakcije pozajmljivanja vrijednosnih papira ili robe drugoj strani ili od druge strane u vezi s dužničkim, vl</w:t>
      </w:r>
      <w:r w:rsidRPr="00EF7F33">
        <w:t>a</w:t>
      </w:r>
      <w:r w:rsidRPr="00EF7F33">
        <w:t>sničkim, deviznim i robnim instrumentima ne podliježu riziku namire/isporuke. Međutim, potrebno je napomenuti da izvedenice i transakcije s dugim rokom nam</w:t>
      </w:r>
      <w:r w:rsidRPr="00EF7F33">
        <w:t>i</w:t>
      </w:r>
      <w:r w:rsidRPr="00EF7F33">
        <w:t>re koje nisu namirene nakon datuma dospijeća ipak podliježu kapitalnim zahtjevima za rizik namire/isporuke kako je određeno u članku 378. CRR-a.</w:t>
      </w:r>
    </w:p>
    <w:p w:rsidR="00612780" w:rsidRPr="00EF7F33" w:rsidRDefault="00125707" w:rsidP="00C37B29">
      <w:pPr>
        <w:pStyle w:val="InstructionsText2"/>
        <w:numPr>
          <w:ilvl w:val="0"/>
          <w:numId w:val="0"/>
        </w:numPr>
        <w:ind w:left="993"/>
      </w:pPr>
      <w:r w:rsidRPr="00EF7F33">
        <w:t>96.</w:t>
      </w:r>
      <w:r w:rsidRPr="00EF7F33">
        <w:tab/>
        <w:t>U slučaju nenamirenih transakcija nakon datuma dospijeća, institucije izrač</w:t>
      </w:r>
      <w:r w:rsidRPr="00EF7F33">
        <w:t>u</w:t>
      </w:r>
      <w:r w:rsidRPr="00EF7F33">
        <w:t>navaju razliku u cijeni kojoj su izložene. To je razlika između ugovorene cijene namire za određeni dužnički, vlasnički, devizni ili robni instrument i njezine sada</w:t>
      </w:r>
      <w:r w:rsidRPr="00EF7F33">
        <w:t>š</w:t>
      </w:r>
      <w:r w:rsidRPr="00EF7F33">
        <w:t xml:space="preserve">nje tržišne vrijednosti, u slučaju kada je ta razlika gubitak za instituciju. </w:t>
      </w:r>
    </w:p>
    <w:p w:rsidR="00612780" w:rsidRPr="00EF7F33" w:rsidRDefault="00125707" w:rsidP="00C37B29">
      <w:pPr>
        <w:pStyle w:val="InstructionsText2"/>
        <w:numPr>
          <w:ilvl w:val="0"/>
          <w:numId w:val="0"/>
        </w:numPr>
        <w:ind w:left="993"/>
      </w:pPr>
      <w:r w:rsidRPr="00EF7F33">
        <w:t>97.</w:t>
      </w:r>
      <w:r w:rsidRPr="00EF7F33">
        <w:tab/>
        <w:t>Institucije množe tu razliku odgovarajućim faktorom iz tablice 1. iz članka 378. CRR-a kako bi se odredili odgovarajući kapitalni zahtjevi.</w:t>
      </w:r>
    </w:p>
    <w:p w:rsidR="00612780" w:rsidRPr="00EF7F33" w:rsidRDefault="00125707" w:rsidP="00C37B29">
      <w:pPr>
        <w:pStyle w:val="InstructionsText2"/>
        <w:numPr>
          <w:ilvl w:val="0"/>
          <w:numId w:val="0"/>
        </w:numPr>
        <w:ind w:left="993"/>
      </w:pPr>
      <w:r w:rsidRPr="00EF7F33">
        <w:t>98.</w:t>
      </w:r>
      <w:r w:rsidRPr="00EF7F33">
        <w:tab/>
        <w:t>U skladu s člankom 92. stavkom 4. točkom (b), kapitalni zahtjevi za rizik n</w:t>
      </w:r>
      <w:r w:rsidRPr="00EF7F33">
        <w:t>a</w:t>
      </w:r>
      <w:r w:rsidRPr="00EF7F33">
        <w:t>mire/isporuke množe se sa 12,5 kako bi se izračunao iznos izloženosti riziku.</w:t>
      </w:r>
    </w:p>
    <w:p w:rsidR="00612780" w:rsidRPr="00EF7F33" w:rsidRDefault="00125707" w:rsidP="00C37B29">
      <w:pPr>
        <w:pStyle w:val="InstructionsText2"/>
        <w:numPr>
          <w:ilvl w:val="0"/>
          <w:numId w:val="0"/>
        </w:numPr>
        <w:ind w:left="993"/>
      </w:pPr>
      <w:r w:rsidRPr="00EF7F33">
        <w:t>99.</w:t>
      </w:r>
      <w:r w:rsidRPr="00EF7F33">
        <w:tab/>
        <w:t>Potrebno je napomenuti da kapitalni zahtjevi za slobodne isporuke iz članka 379. CRR-a nisu u opsegu obrasca CR SETT; potonji se iskazuju u obrascima za kreditni rizik (CR SA, CR IRB).</w:t>
      </w: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35" w:name="_Toc310415037"/>
      <w:bookmarkStart w:id="436" w:name="_Toc360188374"/>
      <w:bookmarkStart w:id="437" w:name="_Toc516210660"/>
      <w:bookmarkStart w:id="438" w:name="_Toc473560925"/>
      <w:bookmarkStart w:id="439" w:name="_Toc523998152"/>
      <w:r w:rsidRPr="00EF7F33">
        <w:rPr>
          <w:rFonts w:ascii="Times New Roman" w:hAnsi="Times New Roman"/>
          <w:sz w:val="24"/>
          <w:u w:val="none"/>
        </w:rPr>
        <w:t>3.6.2.</w:t>
      </w:r>
      <w:r w:rsidRPr="00EF7F33">
        <w:tab/>
      </w:r>
      <w:r w:rsidRPr="00EF7F33">
        <w:rPr>
          <w:rFonts w:ascii="Times New Roman" w:hAnsi="Times New Roman"/>
          <w:sz w:val="24"/>
        </w:rPr>
        <w:t>Upute za specifične pozicije</w:t>
      </w:r>
      <w:bookmarkEnd w:id="435"/>
      <w:bookmarkEnd w:id="436"/>
      <w:bookmarkEnd w:id="437"/>
      <w:bookmarkEnd w:id="438"/>
      <w:bookmarkEnd w:id="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EF7F33" w:rsidTr="00672D2A">
        <w:tc>
          <w:tcPr>
            <w:tcW w:w="8856" w:type="dxa"/>
            <w:gridSpan w:val="2"/>
            <w:shd w:val="clear" w:color="auto" w:fill="CCCCCC"/>
          </w:tcPr>
          <w:p w:rsidR="00745369" w:rsidRPr="00EF7F33" w:rsidRDefault="00612780" w:rsidP="00EA0BAB">
            <w:pPr>
              <w:spacing w:beforeLines="60" w:before="144" w:afterLines="60" w:after="144"/>
              <w:rPr>
                <w:rFonts w:ascii="Times New Roman" w:hAnsi="Times New Roman"/>
                <w:b/>
                <w:sz w:val="24"/>
              </w:rPr>
            </w:pPr>
            <w:r w:rsidRPr="00EF7F33">
              <w:rPr>
                <w:rFonts w:ascii="Times New Roman" w:hAnsi="Times New Roman"/>
                <w:b/>
                <w:sz w:val="24"/>
              </w:rPr>
              <w:t>Stupci</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010</w:t>
            </w:r>
          </w:p>
        </w:tc>
        <w:tc>
          <w:tcPr>
            <w:tcW w:w="8004"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PO CIJENI NAMIRE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U skladu s člankom 378. CRR-a, institucije iskazuju u ovom stupcu 010 transa</w:t>
            </w:r>
            <w:r w:rsidRPr="00EF7F33">
              <w:rPr>
                <w:rFonts w:ascii="Times New Roman" w:hAnsi="Times New Roman"/>
                <w:sz w:val="24"/>
              </w:rPr>
              <w:t>k</w:t>
            </w:r>
            <w:r w:rsidRPr="00EF7F33">
              <w:rPr>
                <w:rFonts w:ascii="Times New Roman" w:hAnsi="Times New Roman"/>
                <w:sz w:val="24"/>
              </w:rPr>
              <w:t xml:space="preserve">cije koje nisu namirene nakon datuma dospijeća po odgovarajućim dogovorenim cijenama namire. </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Sve transakcije koje nisu namirene uključuju se u ovom stupcu 010, bez obzira na to jesu li na dobitku ili gubitku nakon datuma namire.</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020</w:t>
            </w:r>
          </w:p>
        </w:tc>
        <w:tc>
          <w:tcPr>
            <w:tcW w:w="8004"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IZLOŽENOST NA OSNOVI RAZLIKE U CIJENI ZBOG TRANSAKC</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JA KOJE NISU NAMIRENE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U skladu s člankom 378. CRR-a, institucije u stupcu 020 iskazuju razliku u cij</w:t>
            </w:r>
            <w:r w:rsidRPr="00EF7F33">
              <w:rPr>
                <w:rFonts w:ascii="Times New Roman" w:hAnsi="Times New Roman"/>
                <w:sz w:val="24"/>
              </w:rPr>
              <w:t>e</w:t>
            </w:r>
            <w:r w:rsidRPr="00EF7F33">
              <w:rPr>
                <w:rFonts w:ascii="Times New Roman" w:hAnsi="Times New Roman"/>
                <w:sz w:val="24"/>
              </w:rPr>
              <w:t xml:space="preserve">ni između dogovorene cijene namire i njezine sadašnje tržišne vrijednosti za predmetni dužnički, vlasnički, devizni ili robni instrument, u slučaju kada je ta razlika gubitak za instituciju. </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Samo se transakcije s gubitkom koje nisu namirene nakon datuma namire isk</w:t>
            </w:r>
            <w:r w:rsidRPr="00EF7F33">
              <w:rPr>
                <w:rFonts w:ascii="Times New Roman" w:hAnsi="Times New Roman"/>
                <w:sz w:val="24"/>
              </w:rPr>
              <w:t>a</w:t>
            </w:r>
            <w:r w:rsidRPr="00EF7F33">
              <w:rPr>
                <w:rFonts w:ascii="Times New Roman" w:hAnsi="Times New Roman"/>
                <w:sz w:val="24"/>
              </w:rPr>
              <w:t>zuju u stupcu 020</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lastRenderedPageBreak/>
              <w:t>030</w:t>
            </w:r>
          </w:p>
        </w:tc>
        <w:tc>
          <w:tcPr>
            <w:tcW w:w="8004"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KAPITALNI ZAHTJEVI</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u stupcu 030 kapitalne zahtjeve izračunane u skladu s čla</w:t>
            </w:r>
            <w:r w:rsidRPr="00EF7F33">
              <w:rPr>
                <w:rFonts w:ascii="Times New Roman" w:hAnsi="Times New Roman"/>
                <w:sz w:val="24"/>
              </w:rPr>
              <w:t>n</w:t>
            </w:r>
            <w:r w:rsidRPr="00EF7F33">
              <w:rPr>
                <w:rFonts w:ascii="Times New Roman" w:hAnsi="Times New Roman"/>
                <w:sz w:val="24"/>
              </w:rPr>
              <w:t>kom 378. CRR-a.</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040</w:t>
            </w:r>
          </w:p>
        </w:tc>
        <w:tc>
          <w:tcPr>
            <w:tcW w:w="8004"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UKUPAN IZNOS IZLOŽENOSTI RIZIKU NAMIRE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U skladu s člankom 92. stavkom 4. točkom (b) CRR-a, institucije množe svoje kapitalne zahtjeve iskazane u stupcu 030 sa 12,5 kako bi dobile iznos izloženosti riziku namire.</w:t>
            </w:r>
          </w:p>
        </w:tc>
      </w:tr>
    </w:tbl>
    <w:p w:rsidR="00612780" w:rsidRPr="00EF7F33"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EF7F33" w:rsidTr="00672D2A">
        <w:tc>
          <w:tcPr>
            <w:tcW w:w="8862" w:type="dxa"/>
            <w:gridSpan w:val="2"/>
            <w:shd w:val="clear" w:color="auto" w:fill="CCCCCC"/>
          </w:tcPr>
          <w:p w:rsidR="00745369" w:rsidRPr="00EF7F33" w:rsidRDefault="00612780" w:rsidP="00EA0BAB">
            <w:pPr>
              <w:spacing w:beforeLines="60" w:before="144" w:afterLines="60" w:after="144"/>
              <w:rPr>
                <w:rFonts w:ascii="Times New Roman" w:hAnsi="Times New Roman"/>
                <w:b/>
                <w:sz w:val="24"/>
              </w:rPr>
            </w:pPr>
            <w:r w:rsidRPr="00EF7F33">
              <w:rPr>
                <w:rFonts w:ascii="Times New Roman" w:hAnsi="Times New Roman"/>
                <w:b/>
                <w:sz w:val="24"/>
              </w:rPr>
              <w:t>Redci</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010</w:t>
            </w:r>
          </w:p>
        </w:tc>
        <w:tc>
          <w:tcPr>
            <w:tcW w:w="8010"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Ukupne transakcije koje nisu namirene u knjizi pozicija kojima se ne trguje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u retku 010 agregirane informacije koje se odnose na rizik namire/isporuke iz knjige pozicija kojima se ne trguje (u skladu s člankom 92. stavkom 3. točkom (c) podtočkom ii. i člankom 378. CRR-a).</w:t>
            </w:r>
          </w:p>
          <w:p w:rsidR="00745369" w:rsidRPr="00EF7F33" w:rsidRDefault="00612780" w:rsidP="00450A2E">
            <w:pPr>
              <w:spacing w:beforeLines="60" w:before="144"/>
              <w:rPr>
                <w:rFonts w:ascii="Times New Roman" w:hAnsi="Times New Roman"/>
                <w:sz w:val="24"/>
              </w:rPr>
            </w:pPr>
            <w:r w:rsidRPr="00EF7F33">
              <w:rPr>
                <w:rFonts w:ascii="Times New Roman" w:hAnsi="Times New Roman"/>
                <w:sz w:val="24"/>
              </w:rPr>
              <w:t>Institucije iskazuju u 010/010 agregirani zbroj transakcija koje nisu namirene nakon datuma dospijeća po odgovarajućim dogovorenim cijenama namire.</w:t>
            </w:r>
          </w:p>
          <w:p w:rsidR="00745369" w:rsidRPr="00EF7F33" w:rsidRDefault="00612780" w:rsidP="00450A2E">
            <w:pPr>
              <w:spacing w:beforeLines="60" w:before="144"/>
              <w:rPr>
                <w:rFonts w:ascii="Times New Roman" w:hAnsi="Times New Roman"/>
                <w:sz w:val="24"/>
              </w:rPr>
            </w:pPr>
            <w:r w:rsidRPr="00EF7F33">
              <w:rPr>
                <w:rFonts w:ascii="Times New Roman" w:hAnsi="Times New Roman"/>
                <w:sz w:val="24"/>
              </w:rPr>
              <w:t>Institucije iskazuju u 010/020 agregirane informacije o izloženosti na osnovi ra</w:t>
            </w:r>
            <w:r w:rsidRPr="00EF7F33">
              <w:rPr>
                <w:rFonts w:ascii="Times New Roman" w:hAnsi="Times New Roman"/>
                <w:sz w:val="24"/>
              </w:rPr>
              <w:t>z</w:t>
            </w:r>
            <w:r w:rsidRPr="00EF7F33">
              <w:rPr>
                <w:rFonts w:ascii="Times New Roman" w:hAnsi="Times New Roman"/>
                <w:sz w:val="24"/>
              </w:rPr>
              <w:t>like u cijeni zbog transakcija s gubitkom koje nisu namirene.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u 010/030 agregirane kapitalne zahtjeve koji proizlaze iz utvrđivanja kapitalnih zahtjeva za transakcije koje nisu namirene množenjem „razlike u cijeni” iskazane u stupcu 020 odgovarajućim faktorom temeljenim na broju radnih dana nakon datuma namire (kategorije iz tablice 1. iz članka 378. CRR-a).</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od 020 do 060</w:t>
            </w:r>
          </w:p>
        </w:tc>
        <w:tc>
          <w:tcPr>
            <w:tcW w:w="8010"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xml:space="preserve">Transakcije koje nisu namirene do 4 dana (faktor 0 %)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5 i 15 dana (faktor 8 %)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16 i 30 dana (faktor 50 %)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31 i 45 dana (faktor 75 %)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46 dana ili više (faktor 100 %)</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informacije koje se odnose na rizik namire/isporuke za knj</w:t>
            </w:r>
            <w:r w:rsidRPr="00EF7F33">
              <w:rPr>
                <w:rFonts w:ascii="Times New Roman" w:hAnsi="Times New Roman"/>
                <w:sz w:val="24"/>
              </w:rPr>
              <w:t>i</w:t>
            </w:r>
            <w:r w:rsidRPr="00EF7F33">
              <w:rPr>
                <w:rFonts w:ascii="Times New Roman" w:hAnsi="Times New Roman"/>
                <w:sz w:val="24"/>
              </w:rPr>
              <w:t xml:space="preserve">gu pozicija kojima se ne trguje u skladu s kategorijama iz tablice 1. iz članka 378. CRR-a u redcima od 020 do 060. </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Nikakvi kapitalni zahtjevi za rizik namire/isporuke nisu potrebni za transakcije koje nisu namirene manje od 5 radnih dana nakon datuma namire.</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t>070</w:t>
            </w:r>
          </w:p>
        </w:tc>
        <w:tc>
          <w:tcPr>
            <w:tcW w:w="8010"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Ukupne transakcije koje nisu namirene u knjizi trgovanja</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u retku 070 agregirane informacije koje se odnose na rizik namire/isporuke iz knjige trgovanja (u skladu s člankom 92. stavkom 3. točkom (c) podtočkom ii. i člankom 378. CRR-a).</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lastRenderedPageBreak/>
              <w:t>Institucije iskazuju u 070/010 agregirani zbroj transakcija koje nisu namirene nakon datuma dospijeća po odgovarajućim dogovorenim cijenama namire.</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u 070/020 agregirane informacije o izloženosti na osnovi ra</w:t>
            </w:r>
            <w:r w:rsidRPr="00EF7F33">
              <w:rPr>
                <w:rFonts w:ascii="Times New Roman" w:hAnsi="Times New Roman"/>
                <w:sz w:val="24"/>
              </w:rPr>
              <w:t>z</w:t>
            </w:r>
            <w:r w:rsidRPr="00EF7F33">
              <w:rPr>
                <w:rFonts w:ascii="Times New Roman" w:hAnsi="Times New Roman"/>
                <w:sz w:val="24"/>
              </w:rPr>
              <w:t>like u cijeni zbog transakcija s gubitkom koje nisu namirene.</w:t>
            </w:r>
          </w:p>
          <w:p w:rsidR="00745369" w:rsidRPr="00EF7F33" w:rsidRDefault="00612780" w:rsidP="00450A2E">
            <w:pPr>
              <w:spacing w:beforeLines="60" w:before="144" w:afterLines="60" w:after="144"/>
              <w:rPr>
                <w:rFonts w:ascii="Times New Roman" w:hAnsi="Times New Roman"/>
                <w:b/>
                <w:sz w:val="24"/>
              </w:rPr>
            </w:pPr>
            <w:r w:rsidRPr="00EF7F33">
              <w:rPr>
                <w:rFonts w:ascii="Times New Roman" w:hAnsi="Times New Roman"/>
                <w:sz w:val="24"/>
              </w:rPr>
              <w:t>Institucije iskazuju u 070/030 agregirane kapitalne zahtjeve koji proizlaze iz utvrđivanja kapitalnih zahtjeva za transakcije koje nisu namirene množenjem „razlike u cijeni” iskazane u stupcu 020 odgovarajućim faktorom temeljenim na broju radnih dana nakon datuma namire (kategorije iz tablice 1. iz članka 378. CRR-a).</w:t>
            </w:r>
          </w:p>
        </w:tc>
      </w:tr>
      <w:tr w:rsidR="00612780" w:rsidRPr="00EF7F33" w:rsidTr="00672D2A">
        <w:tc>
          <w:tcPr>
            <w:tcW w:w="852" w:type="dxa"/>
          </w:tcPr>
          <w:p w:rsidR="00745369" w:rsidRPr="00EF7F33" w:rsidRDefault="00612780" w:rsidP="00EA0BAB">
            <w:pPr>
              <w:spacing w:beforeLines="60" w:before="144" w:afterLines="60" w:after="144"/>
              <w:rPr>
                <w:rFonts w:ascii="Times New Roman" w:hAnsi="Times New Roman"/>
                <w:sz w:val="24"/>
              </w:rPr>
            </w:pPr>
            <w:r w:rsidRPr="00EF7F33">
              <w:rPr>
                <w:rFonts w:ascii="Times New Roman" w:hAnsi="Times New Roman"/>
                <w:sz w:val="24"/>
              </w:rPr>
              <w:lastRenderedPageBreak/>
              <w:t>od 080 do 120</w:t>
            </w:r>
          </w:p>
        </w:tc>
        <w:tc>
          <w:tcPr>
            <w:tcW w:w="8010" w:type="dxa"/>
          </w:tcPr>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xml:space="preserve">Transakcije koje nisu namirene do 4 dana (faktor 0 %)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5 i 15 dana (faktor 8 %)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16 i 30 dana (faktor 50 %)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između 31 i 45 dana (faktor 75 %)</w:t>
            </w:r>
          </w:p>
          <w:p w:rsidR="00745369" w:rsidRPr="00EF7F33" w:rsidRDefault="00612780" w:rsidP="00450A2E">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Transakcije koje nisu namirene 46 dana ili više (faktor 100 %)</w:t>
            </w:r>
          </w:p>
          <w:p w:rsidR="00745369" w:rsidRPr="00EF7F33" w:rsidRDefault="00612780" w:rsidP="00450A2E">
            <w:pPr>
              <w:spacing w:beforeLines="60" w:before="144" w:afterLines="60" w:after="144"/>
              <w:rPr>
                <w:rFonts w:ascii="Times New Roman" w:hAnsi="Times New Roman"/>
                <w:sz w:val="24"/>
              </w:rPr>
            </w:pPr>
            <w:r w:rsidRPr="00EF7F33">
              <w:rPr>
                <w:rFonts w:ascii="Times New Roman" w:hAnsi="Times New Roman"/>
                <w:sz w:val="24"/>
              </w:rPr>
              <w:t>Institucije iskazuju informacije koje se odnose na rizik namire/isporuke za knj</w:t>
            </w:r>
            <w:r w:rsidRPr="00EF7F33">
              <w:rPr>
                <w:rFonts w:ascii="Times New Roman" w:hAnsi="Times New Roman"/>
                <w:sz w:val="24"/>
              </w:rPr>
              <w:t>i</w:t>
            </w:r>
            <w:r w:rsidRPr="00EF7F33">
              <w:rPr>
                <w:rFonts w:ascii="Times New Roman" w:hAnsi="Times New Roman"/>
                <w:sz w:val="24"/>
              </w:rPr>
              <w:t>gu trgovanja u skladu s kategorijama iz tablice 1. iz članka 378. CRR-a u redc</w:t>
            </w:r>
            <w:r w:rsidRPr="00EF7F33">
              <w:rPr>
                <w:rFonts w:ascii="Times New Roman" w:hAnsi="Times New Roman"/>
                <w:sz w:val="24"/>
              </w:rPr>
              <w:t>i</w:t>
            </w:r>
            <w:r w:rsidRPr="00EF7F33">
              <w:rPr>
                <w:rFonts w:ascii="Times New Roman" w:hAnsi="Times New Roman"/>
                <w:sz w:val="24"/>
              </w:rPr>
              <w:t xml:space="preserve">ma od 080 do 120. </w:t>
            </w:r>
          </w:p>
          <w:p w:rsidR="00745369" w:rsidRPr="00EF7F33" w:rsidRDefault="00612780" w:rsidP="00450A2E">
            <w:pPr>
              <w:spacing w:beforeLines="60" w:before="144" w:afterLines="60" w:after="144"/>
              <w:rPr>
                <w:rFonts w:ascii="Times New Roman" w:hAnsi="Times New Roman"/>
                <w:b/>
                <w:sz w:val="24"/>
              </w:rPr>
            </w:pPr>
            <w:r w:rsidRPr="00EF7F33">
              <w:rPr>
                <w:rFonts w:ascii="Times New Roman" w:hAnsi="Times New Roman"/>
                <w:sz w:val="24"/>
              </w:rPr>
              <w:t>Nikakvi kapitalni zahtjevi za rizik namire/isporuke nisu potrebni za transakcije koje nisu namirene manje od 5 radnih dana nakon datuma namire.</w:t>
            </w:r>
          </w:p>
        </w:tc>
      </w:tr>
    </w:tbl>
    <w:p w:rsidR="00612780" w:rsidRPr="00EF7F33" w:rsidRDefault="00612780" w:rsidP="00612780">
      <w:pPr>
        <w:spacing w:after="0"/>
        <w:rPr>
          <w:rFonts w:ascii="Times New Roman" w:hAnsi="Times New Roman"/>
          <w:sz w:val="24"/>
        </w:rPr>
      </w:pPr>
    </w:p>
    <w:p w:rsidR="00612780" w:rsidRPr="00EF7F33" w:rsidRDefault="00612780">
      <w:pPr>
        <w:spacing w:before="0" w:after="0"/>
        <w:jc w:val="left"/>
        <w:rPr>
          <w:rStyle w:val="InstructionsTabelleText"/>
          <w:rFonts w:ascii="Times New Roman" w:hAnsi="Times New Roman"/>
          <w:sz w:val="24"/>
        </w:rPr>
      </w:pPr>
      <w:r w:rsidRPr="00EF7F33">
        <w:br w:type="page"/>
      </w: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40" w:name="_Toc310415038"/>
      <w:bookmarkStart w:id="441" w:name="_Toc360188375"/>
      <w:bookmarkStart w:id="442" w:name="_Toc523998153"/>
      <w:bookmarkStart w:id="443" w:name="_Toc516210661"/>
      <w:bookmarkStart w:id="444" w:name="_Toc473560926"/>
      <w:r w:rsidRPr="00EF7F33">
        <w:rPr>
          <w:rFonts w:ascii="Times New Roman" w:hAnsi="Times New Roman"/>
          <w:sz w:val="24"/>
          <w:u w:val="none"/>
        </w:rPr>
        <w:lastRenderedPageBreak/>
        <w:t>3.7.</w:t>
      </w:r>
      <w:r w:rsidRPr="00EF7F33">
        <w:tab/>
      </w:r>
      <w:r w:rsidRPr="00EF7F33">
        <w:rPr>
          <w:rFonts w:ascii="Times New Roman" w:hAnsi="Times New Roman"/>
          <w:sz w:val="24"/>
        </w:rPr>
        <w:t>C 12.00 – Kreditni rizik: sekuritizacija – standardizirani pristup kapitalnim zahtjevima (CR SEC SA)</w:t>
      </w:r>
      <w:bookmarkEnd w:id="440"/>
      <w:bookmarkEnd w:id="441"/>
      <w:bookmarkEnd w:id="442"/>
      <w:r w:rsidRPr="00EF7F33">
        <w:rPr>
          <w:rFonts w:ascii="Times New Roman" w:hAnsi="Times New Roman"/>
          <w:sz w:val="24"/>
        </w:rPr>
        <w:t xml:space="preserve"> </w:t>
      </w:r>
      <w:bookmarkEnd w:id="443"/>
      <w:bookmarkEnd w:id="444"/>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45" w:name="_Toc239157385"/>
      <w:bookmarkStart w:id="446" w:name="_Toc310415039"/>
      <w:bookmarkStart w:id="447" w:name="_Toc360188376"/>
      <w:bookmarkStart w:id="448" w:name="_Toc516210662"/>
      <w:bookmarkStart w:id="449" w:name="_Toc473560927"/>
      <w:bookmarkStart w:id="450" w:name="_Toc523998154"/>
      <w:r w:rsidRPr="00EF7F33">
        <w:rPr>
          <w:rFonts w:ascii="Times New Roman" w:hAnsi="Times New Roman"/>
          <w:sz w:val="24"/>
          <w:u w:val="none"/>
        </w:rPr>
        <w:t>3.7.1.</w:t>
      </w:r>
      <w:r w:rsidRPr="00EF7F33">
        <w:tab/>
      </w:r>
      <w:r w:rsidRPr="00EF7F33">
        <w:rPr>
          <w:rFonts w:ascii="Times New Roman" w:hAnsi="Times New Roman"/>
          <w:sz w:val="24"/>
        </w:rPr>
        <w:t>Opće napomene</w:t>
      </w:r>
      <w:bookmarkEnd w:id="445"/>
      <w:bookmarkEnd w:id="446"/>
      <w:bookmarkEnd w:id="447"/>
      <w:bookmarkEnd w:id="448"/>
      <w:bookmarkEnd w:id="449"/>
      <w:bookmarkEnd w:id="450"/>
    </w:p>
    <w:p w:rsidR="00C67004" w:rsidRPr="00EF7F33" w:rsidRDefault="00125707" w:rsidP="00C37B29">
      <w:pPr>
        <w:pStyle w:val="InstructionsText2"/>
        <w:numPr>
          <w:ilvl w:val="0"/>
          <w:numId w:val="0"/>
        </w:numPr>
        <w:ind w:left="993"/>
      </w:pPr>
      <w:r w:rsidRPr="00EF7F33">
        <w:t>100.</w:t>
      </w:r>
      <w:r w:rsidRPr="00EF7F33">
        <w:tab/>
        <w:t>Informacije u ovom obrascu dostavljaju se za sve sekuritizacije za koje je pri</w:t>
      </w:r>
      <w:r w:rsidRPr="00EF7F33">
        <w:t>z</w:t>
      </w:r>
      <w:r w:rsidRPr="00EF7F33">
        <w:t>nat prijenos značajnog rizika i u kojima je institucija koja izvješćuje uključena u sekuritizaciju koja se tretira u skladu sa standardiziranim pristupom. Na referentne datume izvješćivanja koji slijede nakon 1. siječnja 2019. sekuritizacije čiji se iznos izloženosti ponderiran rizikom određuje na temelju revidiranog sekuritizacijskog okvira ne iskazuju se u ovom obrascu, već u obrascu C 02.00. Isto tako, na refere</w:t>
      </w:r>
      <w:r w:rsidRPr="00EF7F33">
        <w:t>n</w:t>
      </w:r>
      <w:r w:rsidRPr="00EF7F33">
        <w:t>tne datume izvješćivanja koji slijede nakon 1. siječnja 2019. sekuritizacijske pozic</w:t>
      </w:r>
      <w:r w:rsidRPr="00EF7F33">
        <w:t>i</w:t>
      </w:r>
      <w:r w:rsidRPr="00EF7F33">
        <w:t>je, na koje se primjenjuje ponder rizika od 1250 % u skladu s revidiranim sekurit</w:t>
      </w:r>
      <w:r w:rsidRPr="00EF7F33">
        <w:t>i</w:t>
      </w:r>
      <w:r w:rsidRPr="00EF7F33">
        <w:t xml:space="preserve">zacijskim okvirom i koje se odbijaju od redovnog osnovnog kapitala u skladu s člankom 36. stavkom 1. točkom (k) podtočkom ii. CRR-a, ne iskazuju se u ovom obrascu, već u obrascu C 01.00. </w:t>
      </w:r>
    </w:p>
    <w:p w:rsidR="00C67004" w:rsidRPr="00EF7F33" w:rsidRDefault="00C67004" w:rsidP="00C37B29">
      <w:pPr>
        <w:pStyle w:val="InstructionsText2"/>
        <w:numPr>
          <w:ilvl w:val="0"/>
          <w:numId w:val="0"/>
        </w:numPr>
        <w:ind w:left="993"/>
      </w:pPr>
      <w:r w:rsidRPr="00EF7F33">
        <w:t xml:space="preserve">100a. Za potrebe ovog obrasca sva upućivanja na članke iz dijela trećeg glave II. poglavlja 5. CRR-a smatraju se upućivanjima na CRR u verziji primjenjivoj na dan 31. prosinca 2018. </w:t>
      </w:r>
    </w:p>
    <w:p w:rsidR="00612780" w:rsidRPr="00EF7F33" w:rsidRDefault="00C67004" w:rsidP="00C37B29">
      <w:pPr>
        <w:pStyle w:val="InstructionsText2"/>
        <w:numPr>
          <w:ilvl w:val="0"/>
          <w:numId w:val="0"/>
        </w:numPr>
        <w:ind w:left="993"/>
      </w:pPr>
      <w:r w:rsidRPr="00EF7F33">
        <w:t>100b. Informacije koje je potrebno iskazati ovise o ulozi institucije u kontekstu s</w:t>
      </w:r>
      <w:r w:rsidRPr="00EF7F33">
        <w:t>e</w:t>
      </w:r>
      <w:r w:rsidRPr="00EF7F33">
        <w:t>kuritizacije. Kao takve, specifične izvještajne stavke mogu se primjenjivati na inic</w:t>
      </w:r>
      <w:r w:rsidRPr="00EF7F33">
        <w:t>i</w:t>
      </w:r>
      <w:r w:rsidRPr="00EF7F33">
        <w:t>jatore, sponzore i investitore.</w:t>
      </w:r>
    </w:p>
    <w:p w:rsidR="00612780" w:rsidRPr="00EF7F33" w:rsidRDefault="00125707" w:rsidP="00C37B29">
      <w:pPr>
        <w:pStyle w:val="InstructionsText2"/>
        <w:numPr>
          <w:ilvl w:val="0"/>
          <w:numId w:val="0"/>
        </w:numPr>
        <w:ind w:left="993"/>
      </w:pPr>
      <w:r w:rsidRPr="00EF7F33">
        <w:t>101.</w:t>
      </w:r>
      <w:r w:rsidRPr="00EF7F33">
        <w:tab/>
        <w:t>U obrascu CR SEC SA prikupljaju se zajedničke informacije o tradicionalnim i sintetskim sekuritizacijama koje se drže u knjizi pozicija kojima se ne trguje, kako su definirane u članku 242. stavcima 10. i 11. CRR-a.</w:t>
      </w: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51" w:name="_Toc239157386"/>
      <w:bookmarkStart w:id="452" w:name="_Toc310415040"/>
      <w:bookmarkStart w:id="453" w:name="_Toc360188377"/>
      <w:bookmarkStart w:id="454" w:name="_Toc516210663"/>
      <w:bookmarkStart w:id="455" w:name="_Toc473560928"/>
      <w:bookmarkStart w:id="456" w:name="_Toc523998155"/>
      <w:r w:rsidRPr="00EF7F33">
        <w:rPr>
          <w:rFonts w:ascii="Times New Roman" w:hAnsi="Times New Roman"/>
          <w:sz w:val="24"/>
          <w:u w:val="none"/>
        </w:rPr>
        <w:t>3.7.2.</w:t>
      </w:r>
      <w:r w:rsidRPr="00EF7F33">
        <w:tab/>
      </w:r>
      <w:r w:rsidRPr="00EF7F33">
        <w:rPr>
          <w:rFonts w:ascii="Times New Roman" w:hAnsi="Times New Roman"/>
          <w:sz w:val="24"/>
        </w:rPr>
        <w:t>Upute za specifične pozicije</w:t>
      </w:r>
      <w:bookmarkEnd w:id="451"/>
      <w:bookmarkEnd w:id="452"/>
      <w:bookmarkEnd w:id="453"/>
      <w:bookmarkEnd w:id="454"/>
      <w:bookmarkEnd w:id="455"/>
      <w:bookmarkEnd w:id="456"/>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EF7F33" w:rsidTr="00672D2A">
        <w:tc>
          <w:tcPr>
            <w:tcW w:w="8957" w:type="dxa"/>
            <w:gridSpan w:val="2"/>
            <w:shd w:val="clear" w:color="auto" w:fill="CCCCCC"/>
          </w:tcPr>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b/>
                <w:bCs/>
                <w:sz w:val="24"/>
              </w:rPr>
            </w:pPr>
            <w:r w:rsidRPr="00EF7F33">
              <w:rPr>
                <w:rFonts w:ascii="Times New Roman" w:hAnsi="Times New Roman"/>
                <w:b/>
                <w:sz w:val="24"/>
              </w:rPr>
              <w:t>Stupci</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010</w:t>
            </w:r>
          </w:p>
        </w:tc>
        <w:tc>
          <w:tcPr>
            <w:tcW w:w="7856" w:type="dxa"/>
          </w:tcPr>
          <w:p w:rsidR="00612780" w:rsidRPr="00EF7F33" w:rsidRDefault="00612780" w:rsidP="00612780">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INICIRANIH SEKURITIZIRANIH IZLOŽENOSTI</w:t>
            </w:r>
          </w:p>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Institucije inicijatori moraju iskazati preostali iznos na izvještajni datum svih trenutačnih sekuritiziranih izloženosti iniciranih u sekuritizacijskoj transakciji, bez obzira na to tko drži pozicije. Kao takve, iskazuju se bilančne sekuritizaci</w:t>
            </w:r>
            <w:r w:rsidRPr="00EF7F33">
              <w:rPr>
                <w:rFonts w:ascii="Times New Roman" w:hAnsi="Times New Roman"/>
                <w:sz w:val="24"/>
              </w:rPr>
              <w:t>j</w:t>
            </w:r>
            <w:r w:rsidRPr="00EF7F33">
              <w:rPr>
                <w:rFonts w:ascii="Times New Roman" w:hAnsi="Times New Roman"/>
                <w:sz w:val="24"/>
              </w:rPr>
              <w:t>ske pozicije (npr. obveznice, podređeni krediti) te izvanbilančne sekuritizaci</w:t>
            </w:r>
            <w:r w:rsidRPr="00EF7F33">
              <w:rPr>
                <w:rFonts w:ascii="Times New Roman" w:hAnsi="Times New Roman"/>
                <w:sz w:val="24"/>
              </w:rPr>
              <w:t>j</w:t>
            </w:r>
            <w:r w:rsidRPr="00EF7F33">
              <w:rPr>
                <w:rFonts w:ascii="Times New Roman" w:hAnsi="Times New Roman"/>
                <w:sz w:val="24"/>
              </w:rPr>
              <w:t>ske pozicije i izvedenice (npr. podređene kreditne linije, likvidnosne linije, kamatni ugovori o razmjeni, ugovori o razmjeni na osnovi nastanka statusa n</w:t>
            </w:r>
            <w:r w:rsidRPr="00EF7F33">
              <w:rPr>
                <w:rFonts w:ascii="Times New Roman" w:hAnsi="Times New Roman"/>
                <w:sz w:val="24"/>
              </w:rPr>
              <w:t>e</w:t>
            </w:r>
            <w:r w:rsidRPr="00EF7F33">
              <w:rPr>
                <w:rFonts w:ascii="Times New Roman" w:hAnsi="Times New Roman"/>
                <w:sz w:val="24"/>
              </w:rPr>
              <w:t xml:space="preserve">ispunjavanja obveza itd.) koje su inicirane u sekuritizaciji.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tradicionalnih sekuritizacija kada inicijator ne drži nijednu poziciju, inicijator ne uzima u obzir tu sekuritizaciju u izvješćivanju u obrascu CE SEC SA ili CR SEC IRB. U tu svrhu sekuritizacijske pozicije koje drži inicijator u</w:t>
            </w:r>
            <w:r w:rsidRPr="00EF7F33">
              <w:rPr>
                <w:rFonts w:ascii="Times New Roman" w:hAnsi="Times New Roman"/>
                <w:sz w:val="24"/>
              </w:rPr>
              <w:t>k</w:t>
            </w:r>
            <w:r w:rsidRPr="00EF7F33">
              <w:rPr>
                <w:rFonts w:ascii="Times New Roman" w:hAnsi="Times New Roman"/>
                <w:sz w:val="24"/>
              </w:rPr>
              <w:t>ljučuju odredbe o prijevremenoj isplati pri sekuritizaciji obnovljivih izloženo</w:t>
            </w:r>
            <w:r w:rsidRPr="00EF7F33">
              <w:rPr>
                <w:rFonts w:ascii="Times New Roman" w:hAnsi="Times New Roman"/>
                <w:sz w:val="24"/>
              </w:rPr>
              <w:t>s</w:t>
            </w:r>
            <w:r w:rsidRPr="00EF7F33">
              <w:rPr>
                <w:rFonts w:ascii="Times New Roman" w:hAnsi="Times New Roman"/>
                <w:sz w:val="24"/>
              </w:rPr>
              <w:t>ti, kako su definirane u članku 242. stavku 12. CRR-a.</w:t>
            </w:r>
          </w:p>
          <w:p w:rsidR="00612780" w:rsidRPr="00EF7F33" w:rsidRDefault="00612780" w:rsidP="009E5DCC">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020-040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SINTETSKE SEKURITIZACIJE: KREDITNA ZAŠTITA SEKURIT</w:t>
            </w:r>
            <w:r w:rsidRPr="00EF7F33">
              <w:rPr>
                <w:rFonts w:ascii="Times New Roman" w:hAnsi="Times New Roman"/>
                <w:b/>
                <w:sz w:val="24"/>
                <w:u w:val="single"/>
              </w:rPr>
              <w:t>I</w:t>
            </w:r>
            <w:r w:rsidRPr="00EF7F33">
              <w:rPr>
                <w:rFonts w:ascii="Times New Roman" w:hAnsi="Times New Roman"/>
                <w:b/>
                <w:sz w:val="24"/>
                <w:u w:val="single"/>
              </w:rPr>
              <w:lastRenderedPageBreak/>
              <w:t>ZIRANIH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skladu s odredbama članaka 249. i 250. CRR-a, kreditna zaštita sekuritizir</w:t>
            </w:r>
            <w:r w:rsidRPr="00EF7F33">
              <w:rPr>
                <w:rFonts w:ascii="Times New Roman" w:hAnsi="Times New Roman"/>
                <w:sz w:val="24"/>
              </w:rPr>
              <w:t>a</w:t>
            </w:r>
            <w:r w:rsidRPr="00EF7F33">
              <w:rPr>
                <w:rFonts w:ascii="Times New Roman" w:hAnsi="Times New Roman"/>
                <w:sz w:val="24"/>
              </w:rPr>
              <w:t>nih izloženosti iskazuje se kao da nema ročne neusklađenosti.</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020</w:t>
            </w:r>
          </w:p>
        </w:tc>
        <w:tc>
          <w:tcPr>
            <w:tcW w:w="7856" w:type="dxa"/>
          </w:tcPr>
          <w:p w:rsidR="00612780" w:rsidRPr="00EF7F33" w:rsidRDefault="00612780" w:rsidP="00612780">
            <w:pPr>
              <w:spacing w:before="0" w:after="0"/>
              <w:jc w:val="left"/>
              <w:rPr>
                <w:rFonts w:ascii="Times New Roman" w:hAnsi="Times New Roman"/>
                <w:b/>
                <w:strike/>
                <w:sz w:val="24"/>
                <w:u w:val="single"/>
              </w:rPr>
            </w:pPr>
            <w:r w:rsidRPr="00EF7F33">
              <w:rPr>
                <w:rFonts w:ascii="Times New Roman" w:hAnsi="Times New Roman"/>
                <w:b/>
                <w:sz w:val="24"/>
                <w:u w:val="single"/>
              </w:rPr>
              <w:t>(–) MATERIJALNA KREDITNA ZAŠTITA (C</w:t>
            </w:r>
            <w:r w:rsidRPr="00EF7F33">
              <w:rPr>
                <w:rFonts w:ascii="Times New Roman" w:hAnsi="Times New Roman"/>
                <w:b/>
                <w:sz w:val="24"/>
                <w:u w:val="single"/>
                <w:vertAlign w:val="subscript"/>
              </w:rPr>
              <w:t>VA</w:t>
            </w:r>
            <w:r w:rsidRPr="00EF7F33">
              <w:rPr>
                <w:rFonts w:ascii="Times New Roman" w:hAnsi="Times New Roman"/>
                <w:b/>
                <w:sz w:val="24"/>
                <w:u w:val="single"/>
              </w:rPr>
              <w:t xml:space="preserv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Detaljan postupak izračuna vrijednosti kolaterala korigirane korektivnim fakt</w:t>
            </w:r>
            <w:r w:rsidRPr="00EF7F33">
              <w:rPr>
                <w:rFonts w:ascii="Times New Roman" w:hAnsi="Times New Roman"/>
                <w:sz w:val="24"/>
              </w:rPr>
              <w:t>o</w:t>
            </w:r>
            <w:r w:rsidRPr="00EF7F33">
              <w:rPr>
                <w:rFonts w:ascii="Times New Roman" w:hAnsi="Times New Roman"/>
                <w:sz w:val="24"/>
              </w:rPr>
              <w:t>rom (C</w:t>
            </w:r>
            <w:r w:rsidRPr="00EF7F33">
              <w:rPr>
                <w:rFonts w:ascii="Times New Roman" w:hAnsi="Times New Roman"/>
                <w:sz w:val="24"/>
                <w:vertAlign w:val="subscript"/>
              </w:rPr>
              <w:t>VA</w:t>
            </w:r>
            <w:r w:rsidRPr="00EF7F33">
              <w:rPr>
                <w:rFonts w:ascii="Times New Roman" w:hAnsi="Times New Roman"/>
                <w:sz w:val="24"/>
              </w:rPr>
              <w:t>) za koju se očekuje da će se iskazati u ovom stupcu utvrđen je u članku 223. stavku 2. CRR-a.</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030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UKUPNI ODLJEVI: PRILAGOĐENE VRIJEDNOSTI NEMATER</w:t>
            </w:r>
            <w:r w:rsidRPr="00EF7F33">
              <w:rPr>
                <w:rFonts w:ascii="Times New Roman" w:hAnsi="Times New Roman"/>
                <w:b/>
                <w:sz w:val="24"/>
                <w:u w:val="single"/>
              </w:rPr>
              <w:t>I</w:t>
            </w:r>
            <w:r w:rsidRPr="00EF7F33">
              <w:rPr>
                <w:rFonts w:ascii="Times New Roman" w:hAnsi="Times New Roman"/>
                <w:b/>
                <w:sz w:val="24"/>
                <w:u w:val="single"/>
              </w:rPr>
              <w:t xml:space="preserve">JALNE KREDITNE ZAŠTITE (G*)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skladu s općim pravilom za „priljeve” i „odljeve”, iznosi koji se iskazuju u ovom stupcu pojavljuju se kao „priljevi” u odgovarajućem obrascu za kreditni rizik (CR SA ili CR IRB) i kategoriji izloženosti relevantnoj za pružatelja za</w:t>
            </w:r>
            <w:r w:rsidRPr="00EF7F33">
              <w:rPr>
                <w:rFonts w:ascii="Times New Roman" w:hAnsi="Times New Roman"/>
                <w:sz w:val="24"/>
              </w:rPr>
              <w:t>š</w:t>
            </w:r>
            <w:r w:rsidRPr="00EF7F33">
              <w:rPr>
                <w:rFonts w:ascii="Times New Roman" w:hAnsi="Times New Roman"/>
                <w:sz w:val="24"/>
              </w:rPr>
              <w:t>tite (tj. treću stranu kojoj se tranša prenosi nematerijalnom kreditnom zašt</w:t>
            </w:r>
            <w:r w:rsidRPr="00EF7F33">
              <w:rPr>
                <w:rFonts w:ascii="Times New Roman" w:hAnsi="Times New Roman"/>
                <w:sz w:val="24"/>
              </w:rPr>
              <w:t>i</w:t>
            </w:r>
            <w:r w:rsidRPr="00EF7F33">
              <w:rPr>
                <w:rFonts w:ascii="Times New Roman" w:hAnsi="Times New Roman"/>
                <w:sz w:val="24"/>
              </w:rPr>
              <w:t>tom).</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Postupak izračuna „valutnog rizika” – prilagođenog nominalnog iznosa kredi</w:t>
            </w:r>
            <w:r w:rsidRPr="00EF7F33">
              <w:rPr>
                <w:rFonts w:ascii="Times New Roman" w:hAnsi="Times New Roman"/>
                <w:sz w:val="24"/>
              </w:rPr>
              <w:t>t</w:t>
            </w:r>
            <w:r w:rsidRPr="00EF7F33">
              <w:rPr>
                <w:rFonts w:ascii="Times New Roman" w:hAnsi="Times New Roman"/>
                <w:sz w:val="24"/>
              </w:rPr>
              <w:t>ne zaštite (G*) utvrđen je u članku 233. stavku 3. CRR-a.</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040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ZAMIŠLJENI ZADRŽANI ILI PONOVNO KUPLJENI IZNOS KRED</w:t>
            </w:r>
            <w:r w:rsidRPr="00EF7F33">
              <w:rPr>
                <w:rFonts w:ascii="Times New Roman" w:hAnsi="Times New Roman"/>
                <w:b/>
                <w:sz w:val="24"/>
                <w:u w:val="single"/>
              </w:rPr>
              <w:t>I</w:t>
            </w:r>
            <w:r w:rsidRPr="00EF7F33">
              <w:rPr>
                <w:rFonts w:ascii="Times New Roman" w:hAnsi="Times New Roman"/>
                <w:b/>
                <w:sz w:val="24"/>
                <w:u w:val="single"/>
              </w:rPr>
              <w:t>TNE ZAŠTITE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Sve tranše koje su zadržane ili ponovno kupljene, npr. zadržane pozicije prv</w:t>
            </w:r>
            <w:r w:rsidRPr="00EF7F33">
              <w:rPr>
                <w:rFonts w:ascii="Times New Roman" w:hAnsi="Times New Roman"/>
                <w:sz w:val="24"/>
              </w:rPr>
              <w:t>o</w:t>
            </w:r>
            <w:r w:rsidRPr="00EF7F33">
              <w:rPr>
                <w:rFonts w:ascii="Times New Roman" w:hAnsi="Times New Roman"/>
                <w:sz w:val="24"/>
              </w:rPr>
              <w:t>ga gubitka iskazuju se sa svojim nominalnim iznosom.</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Učinak nadzornih korektivnih faktora u kreditnoj zaštiti ne uzima se u obzir pri izračunu zadržanog ili ponovno kupljenog iznosa kreditne zaštite.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050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SEKURITIZACIJSKE POZICIJE: ORIGINALNA IZLOŽENOST PR</w:t>
            </w:r>
            <w:r w:rsidRPr="00EF7F33">
              <w:rPr>
                <w:rFonts w:ascii="Times New Roman" w:hAnsi="Times New Roman"/>
                <w:b/>
                <w:sz w:val="24"/>
                <w:u w:val="single"/>
              </w:rPr>
              <w:t>I</w:t>
            </w:r>
            <w:r w:rsidRPr="00EF7F33">
              <w:rPr>
                <w:rFonts w:ascii="Times New Roman" w:hAnsi="Times New Roman"/>
                <w:b/>
                <w:sz w:val="24"/>
                <w:u w:val="single"/>
              </w:rPr>
              <w:t>JE KONVERZIJSKIH FAKTORA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koje drži institucija koja izvješćuje, izračunane u skladu s člankom 246. stavkom 1. točkama (a), (c) i (e) i stavkom 2. CRR-a, bez primjene kreditnih konverzijskih faktora i bilo kakvih ispravaka vrijednosti za kreditni rizik i rezervacija. Netiranje je relevantno samo u pogledu višestr</w:t>
            </w:r>
            <w:r w:rsidRPr="00EF7F33">
              <w:rPr>
                <w:rFonts w:ascii="Times New Roman" w:hAnsi="Times New Roman"/>
                <w:sz w:val="24"/>
              </w:rPr>
              <w:t>u</w:t>
            </w:r>
            <w:r w:rsidRPr="00EF7F33">
              <w:rPr>
                <w:rFonts w:ascii="Times New Roman" w:hAnsi="Times New Roman"/>
                <w:sz w:val="24"/>
              </w:rPr>
              <w:t>kih ugovora o izvedenicama ponuđenih istom SSPN-u, uključenih u priznati sporazum o netiranju.</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Vrijednosna usklađenja i rezervacije koje je potrebno iskazati u ovom stupcu odnose se samo na sekuritizacijske pozicije. Vrijednosna usklađenja sekurit</w:t>
            </w:r>
            <w:r w:rsidRPr="00EF7F33">
              <w:rPr>
                <w:rFonts w:ascii="Times New Roman" w:hAnsi="Times New Roman"/>
                <w:sz w:val="24"/>
              </w:rPr>
              <w:t>i</w:t>
            </w:r>
            <w:r w:rsidRPr="00EF7F33">
              <w:rPr>
                <w:rFonts w:ascii="Times New Roman" w:hAnsi="Times New Roman"/>
                <w:sz w:val="24"/>
              </w:rPr>
              <w:t>zacijskih pozicija ne uzimaju se u obzir.</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klauzula o prijevremenoj isplati, institucija mora odrediti iznos „u</w:t>
            </w:r>
            <w:r w:rsidRPr="00EF7F33">
              <w:rPr>
                <w:rFonts w:ascii="Times New Roman" w:hAnsi="Times New Roman"/>
                <w:sz w:val="24"/>
              </w:rPr>
              <w:t>d</w:t>
            </w:r>
            <w:r w:rsidRPr="00EF7F33">
              <w:rPr>
                <w:rFonts w:ascii="Times New Roman" w:hAnsi="Times New Roman"/>
                <w:sz w:val="24"/>
              </w:rPr>
              <w:t xml:space="preserve">jela inicijatora”, kako je definiran u članku 256. stavku 2. CRR-a.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U sintetskim sekuritizacijama pozicije koje drži inicijator u obliku bilančnih stavki i/ili udjela ulagatelja (prijevremena isplata) rezultat su agregiranja st</w:t>
            </w:r>
            <w:r w:rsidRPr="00EF7F33">
              <w:rPr>
                <w:rFonts w:ascii="Times New Roman" w:hAnsi="Times New Roman"/>
                <w:sz w:val="24"/>
              </w:rPr>
              <w:t>u</w:t>
            </w:r>
            <w:r w:rsidRPr="00EF7F33">
              <w:rPr>
                <w:rFonts w:ascii="Times New Roman" w:hAnsi="Times New Roman"/>
                <w:sz w:val="24"/>
              </w:rPr>
              <w:t>paca od 010 do 040.</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060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 VRIJEDNOSNA USKLAĐENJA I REZERVACIJE </w:t>
            </w:r>
          </w:p>
          <w:p w:rsidR="00612780" w:rsidRPr="00EF7F33" w:rsidRDefault="00612780" w:rsidP="00612780">
            <w:pPr>
              <w:pStyle w:val="ListParagraph"/>
              <w:spacing w:before="0" w:after="0"/>
              <w:ind w:left="284" w:hanging="284"/>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Vrijednosna usklađenja i rezervacije (članak 159. CRR-a) za gubitke po kred</w:t>
            </w:r>
            <w:r w:rsidRPr="00EF7F33">
              <w:rPr>
                <w:rFonts w:ascii="Times New Roman" w:hAnsi="Times New Roman"/>
                <w:sz w:val="24"/>
              </w:rPr>
              <w:t>i</w:t>
            </w:r>
            <w:r w:rsidRPr="00EF7F33">
              <w:rPr>
                <w:rFonts w:ascii="Times New Roman" w:hAnsi="Times New Roman"/>
                <w:sz w:val="24"/>
              </w:rPr>
              <w:t>tu u skladu s računovodstvenim okvirom koji se primjenjuje na subjekt koji izvješćuje. Vrijednosna usklađenja uključuju svaki iznos priznat u dobiti ili gubitku za kreditne gubitke na osnovi financijske imovine od njihova početnog priznavanja u bilanci (uključujući gubitke na temelju kreditnog rizika financi</w:t>
            </w:r>
            <w:r w:rsidRPr="00EF7F33">
              <w:rPr>
                <w:rFonts w:ascii="Times New Roman" w:hAnsi="Times New Roman"/>
                <w:sz w:val="24"/>
              </w:rPr>
              <w:t>j</w:t>
            </w:r>
            <w:r w:rsidRPr="00EF7F33">
              <w:rPr>
                <w:rFonts w:ascii="Times New Roman" w:hAnsi="Times New Roman"/>
                <w:sz w:val="24"/>
              </w:rPr>
              <w:t>ske imovine mjerene po fer vrijednosti koji se ne odbijaju od vrijednosti izl</w:t>
            </w:r>
            <w:r w:rsidRPr="00EF7F33">
              <w:rPr>
                <w:rFonts w:ascii="Times New Roman" w:hAnsi="Times New Roman"/>
                <w:sz w:val="24"/>
              </w:rPr>
              <w:t>o</w:t>
            </w:r>
            <w:r w:rsidRPr="00EF7F33">
              <w:rPr>
                <w:rFonts w:ascii="Times New Roman" w:hAnsi="Times New Roman"/>
                <w:sz w:val="24"/>
              </w:rPr>
              <w:t>ženosti) uvećan za diskont povezan s izloženostima otkupljenima u statusu ne</w:t>
            </w:r>
            <w:r w:rsidRPr="00EF7F33">
              <w:rPr>
                <w:rFonts w:ascii="Times New Roman" w:hAnsi="Times New Roman"/>
                <w:sz w:val="24"/>
              </w:rPr>
              <w:t>i</w:t>
            </w:r>
            <w:r w:rsidRPr="00EF7F33">
              <w:rPr>
                <w:rFonts w:ascii="Times New Roman" w:hAnsi="Times New Roman"/>
                <w:sz w:val="24"/>
              </w:rPr>
              <w:t>spunjavanja obveza u skladu s člankom 166. stavkom 1. CRR-a. Rezervacije uključuju akumulirane iznose gubitaka po kreditu u izvanbilančnim stavkama.</w:t>
            </w:r>
          </w:p>
          <w:p w:rsidR="00612780" w:rsidRPr="00EF7F33" w:rsidRDefault="00612780" w:rsidP="00612780">
            <w:pPr>
              <w:pStyle w:val="ListParagraph"/>
              <w:spacing w:before="0" w:after="0"/>
              <w:ind w:left="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070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IZLOŽENOST UMANJENA ZA VRIJEDNOSNA USKLAĐENJA I R</w:t>
            </w:r>
            <w:r w:rsidRPr="00EF7F33">
              <w:rPr>
                <w:rFonts w:ascii="Times New Roman" w:hAnsi="Times New Roman"/>
                <w:b/>
                <w:sz w:val="24"/>
                <w:u w:val="single"/>
              </w:rPr>
              <w:t>E</w:t>
            </w:r>
            <w:r w:rsidRPr="00EF7F33">
              <w:rPr>
                <w:rFonts w:ascii="Times New Roman" w:hAnsi="Times New Roman"/>
                <w:b/>
                <w:sz w:val="24"/>
                <w:u w:val="single"/>
              </w:rPr>
              <w:t>ZERVACIJE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u skladu s člankom 246. stavcima 1. i 2. bez primjene konverzijskih faktora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Ta je informacija povezana sa stupcem 040 obrasca s ukupnim podacima CR SA.</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080-110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TEHNIKE SMANJENJA KREDITNOG RIZIKA S UČINCIMA ZA</w:t>
            </w:r>
            <w:r w:rsidRPr="00EF7F33">
              <w:rPr>
                <w:rFonts w:ascii="Times New Roman" w:hAnsi="Times New Roman"/>
                <w:b/>
                <w:sz w:val="24"/>
                <w:u w:val="single"/>
              </w:rPr>
              <w:t>M</w:t>
            </w:r>
            <w:r w:rsidRPr="00EF7F33">
              <w:rPr>
                <w:rFonts w:ascii="Times New Roman" w:hAnsi="Times New Roman"/>
                <w:b/>
                <w:sz w:val="24"/>
                <w:u w:val="single"/>
              </w:rPr>
              <w:t>JENE NA IZLOŽENOST</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Članak 4. točka 57. CRR-a i dio 3. glava II. poglavlje 4. CRR-a.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ovoj skupini stupaca prikupljaju se informacije o tehnikama smanjenja kr</w:t>
            </w:r>
            <w:r w:rsidRPr="00EF7F33">
              <w:rPr>
                <w:rFonts w:ascii="Times New Roman" w:hAnsi="Times New Roman"/>
                <w:sz w:val="24"/>
              </w:rPr>
              <w:t>e</w:t>
            </w:r>
            <w:r w:rsidRPr="00EF7F33">
              <w:rPr>
                <w:rFonts w:ascii="Times New Roman" w:hAnsi="Times New Roman"/>
                <w:sz w:val="24"/>
              </w:rPr>
              <w:t>ditnog rizika kojima se smanjuje krediti rizik izloženosti zamjenom izloženosti (kako je navedeno u nastavku za priljeve i odljeve).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bookmarkStart w:id="457" w:name="_Toc262228334"/>
            <w:r w:rsidRPr="00EF7F33">
              <w:rPr>
                <w:rFonts w:ascii="Times New Roman" w:hAnsi="Times New Roman"/>
                <w:sz w:val="24"/>
              </w:rPr>
              <w:t>Vidjeti upute za obrazac CR SA (izvješćivanje o tehnikama smanjenja kredi</w:t>
            </w:r>
            <w:r w:rsidRPr="00EF7F33">
              <w:rPr>
                <w:rFonts w:ascii="Times New Roman" w:hAnsi="Times New Roman"/>
                <w:sz w:val="24"/>
              </w:rPr>
              <w:t>t</w:t>
            </w:r>
            <w:r w:rsidRPr="00EF7F33">
              <w:rPr>
                <w:rFonts w:ascii="Times New Roman" w:hAnsi="Times New Roman"/>
                <w:sz w:val="24"/>
              </w:rPr>
              <w:t>nog rizika s učinkom zamjene</w:t>
            </w:r>
            <w:bookmarkEnd w:id="457"/>
            <w:r w:rsidRPr="00EF7F33">
              <w:rPr>
                <w:rFonts w:ascii="Times New Roman" w:hAnsi="Times New Roman"/>
                <w:sz w:val="24"/>
              </w:rPr>
              <w:t>).</w:t>
            </w:r>
          </w:p>
          <w:p w:rsidR="00612780" w:rsidRPr="00EF7F33"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080</w:t>
            </w:r>
          </w:p>
        </w:tc>
        <w:tc>
          <w:tcPr>
            <w:tcW w:w="7856" w:type="dxa"/>
          </w:tcPr>
          <w:p w:rsidR="00612780" w:rsidRPr="00EF7F33" w:rsidRDefault="003300FF" w:rsidP="00612780">
            <w:pPr>
              <w:spacing w:before="0" w:after="0"/>
              <w:jc w:val="left"/>
              <w:rPr>
                <w:rFonts w:ascii="Times New Roman" w:hAnsi="Times New Roman"/>
                <w:b/>
                <w:sz w:val="24"/>
                <w:u w:val="single"/>
              </w:rPr>
            </w:pPr>
            <w:r w:rsidRPr="00EF7F33">
              <w:rPr>
                <w:rFonts w:ascii="Times New Roman" w:hAnsi="Times New Roman"/>
                <w:b/>
                <w:sz w:val="24"/>
                <w:u w:val="single"/>
              </w:rPr>
              <w:t>(–) NEMATERIJALNA KREDITNA ZAŠTITA: PRILAGOĐENE VR</w:t>
            </w:r>
            <w:r w:rsidRPr="00EF7F33">
              <w:rPr>
                <w:rFonts w:ascii="Times New Roman" w:hAnsi="Times New Roman"/>
                <w:b/>
                <w:sz w:val="24"/>
                <w:u w:val="single"/>
              </w:rPr>
              <w:t>I</w:t>
            </w:r>
            <w:r w:rsidRPr="00EF7F33">
              <w:rPr>
                <w:rFonts w:ascii="Times New Roman" w:hAnsi="Times New Roman"/>
                <w:b/>
                <w:sz w:val="24"/>
                <w:u w:val="single"/>
              </w:rPr>
              <w:t>JEDNOSTI (G</w:t>
            </w:r>
            <w:r w:rsidRPr="00EF7F33">
              <w:rPr>
                <w:rFonts w:ascii="Times New Roman" w:hAnsi="Times New Roman"/>
                <w:b/>
                <w:sz w:val="24"/>
                <w:u w:val="single"/>
                <w:vertAlign w:val="subscript"/>
              </w:rPr>
              <w:t>A</w:t>
            </w:r>
            <w:r w:rsidRPr="00EF7F33">
              <w:rPr>
                <w:rFonts w:ascii="Times New Roman" w:hAnsi="Times New Roman"/>
                <w:b/>
                <w:sz w:val="24"/>
                <w:u w:val="single"/>
              </w:rPr>
              <w:t xml:space="preserv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Nematerijalna kreditna zaštita definirana je u članku 4. točki 59. i uređena u članku 235. CRR-a.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Vidjeti upute za obrazac CR SA (izvješćivanje o tehnikama smanjenja kredi</w:t>
            </w:r>
            <w:r w:rsidRPr="00EF7F33">
              <w:rPr>
                <w:rFonts w:ascii="Times New Roman" w:hAnsi="Times New Roman"/>
                <w:sz w:val="24"/>
              </w:rPr>
              <w:t>t</w:t>
            </w:r>
            <w:r w:rsidRPr="00EF7F33">
              <w:rPr>
                <w:rFonts w:ascii="Times New Roman" w:hAnsi="Times New Roman"/>
                <w:sz w:val="24"/>
              </w:rPr>
              <w:t>nog rizika s učinkom zamjene).</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090</w:t>
            </w:r>
          </w:p>
        </w:tc>
        <w:tc>
          <w:tcPr>
            <w:tcW w:w="7856" w:type="dxa"/>
          </w:tcPr>
          <w:p w:rsidR="00612780" w:rsidRPr="00EF7F33" w:rsidRDefault="003300FF" w:rsidP="00612780">
            <w:pPr>
              <w:autoSpaceDE w:val="0"/>
              <w:autoSpaceDN w:val="0"/>
              <w:adjustRightInd w:val="0"/>
              <w:spacing w:before="0" w:after="0"/>
              <w:ind w:left="284" w:hanging="284"/>
              <w:jc w:val="left"/>
              <w:rPr>
                <w:rFonts w:ascii="Times New Roman" w:hAnsi="Times New Roman"/>
                <w:b/>
                <w:sz w:val="24"/>
                <w:u w:val="single"/>
              </w:rPr>
            </w:pPr>
            <w:r w:rsidRPr="00EF7F33">
              <w:rPr>
                <w:rFonts w:ascii="Times New Roman" w:hAnsi="Times New Roman"/>
                <w:b/>
                <w:sz w:val="24"/>
                <w:u w:val="single"/>
              </w:rPr>
              <w:t>(–) MATERIJALNA KREDITNA ZAŠTITA</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Materijalna kreditna zaštita definirana je u članku 4. točki 58. i uređena u čla</w:t>
            </w:r>
            <w:r w:rsidRPr="00EF7F33">
              <w:rPr>
                <w:rFonts w:ascii="Times New Roman" w:hAnsi="Times New Roman"/>
                <w:sz w:val="24"/>
              </w:rPr>
              <w:t>n</w:t>
            </w:r>
            <w:r w:rsidRPr="00EF7F33">
              <w:rPr>
                <w:rFonts w:ascii="Times New Roman" w:hAnsi="Times New Roman"/>
                <w:sz w:val="24"/>
              </w:rPr>
              <w:t>cima 195., 197. i 200.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Kreditni zapisi i bilančno netiranje u skladu s člancima 218. – 236. CRR-a tr</w:t>
            </w:r>
            <w:r w:rsidRPr="00EF7F33">
              <w:rPr>
                <w:rFonts w:ascii="Times New Roman" w:hAnsi="Times New Roman"/>
                <w:sz w:val="24"/>
              </w:rPr>
              <w:t>e</w:t>
            </w:r>
            <w:r w:rsidRPr="00EF7F33">
              <w:rPr>
                <w:rFonts w:ascii="Times New Roman" w:hAnsi="Times New Roman"/>
                <w:sz w:val="24"/>
              </w:rPr>
              <w:t>tiraju se kao gotovinski kolateral.</w:t>
            </w:r>
          </w:p>
          <w:p w:rsidR="00612780" w:rsidRPr="00EF7F33" w:rsidRDefault="00612780" w:rsidP="00612780">
            <w:pPr>
              <w:autoSpaceDE w:val="0"/>
              <w:autoSpaceDN w:val="0"/>
              <w:adjustRightInd w:val="0"/>
              <w:spacing w:before="0" w:after="0"/>
              <w:ind w:left="284" w:hanging="284"/>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Vidjeti upute za obrazac CR SA (izvješćivanje o tehnikama smanjenja kredi</w:t>
            </w:r>
            <w:r w:rsidRPr="00EF7F33">
              <w:rPr>
                <w:rFonts w:ascii="Times New Roman" w:hAnsi="Times New Roman"/>
                <w:sz w:val="24"/>
              </w:rPr>
              <w:t>t</w:t>
            </w:r>
            <w:r w:rsidRPr="00EF7F33">
              <w:rPr>
                <w:rFonts w:ascii="Times New Roman" w:hAnsi="Times New Roman"/>
                <w:sz w:val="24"/>
              </w:rPr>
              <w:t>nog rizika s učinkom zamjene).</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100-110</w:t>
            </w:r>
          </w:p>
        </w:tc>
        <w:tc>
          <w:tcPr>
            <w:tcW w:w="7856" w:type="dxa"/>
          </w:tcPr>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b/>
                <w:sz w:val="24"/>
                <w:u w:val="single"/>
              </w:rPr>
              <w:t>ZAMJENA IZLOŽENOSTI ZBOG SMANJENJA KREDITNOG RIZ</w:t>
            </w:r>
            <w:r w:rsidRPr="00EF7F33">
              <w:rPr>
                <w:rFonts w:ascii="Times New Roman" w:hAnsi="Times New Roman"/>
                <w:b/>
                <w:sz w:val="24"/>
                <w:u w:val="single"/>
              </w:rPr>
              <w:t>I</w:t>
            </w:r>
            <w:r w:rsidRPr="00EF7F33">
              <w:rPr>
                <w:rFonts w:ascii="Times New Roman" w:hAnsi="Times New Roman"/>
                <w:b/>
                <w:sz w:val="24"/>
                <w:u w:val="single"/>
              </w:rPr>
              <w:t xml:space="preserve">KA: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Iskazuju se i priljevi i odljevi u istoj kategoriji izloženosti te, prema potrebi, ponderima rizika ili rejting-kategoriji dužnika.</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100</w:t>
            </w:r>
          </w:p>
        </w:tc>
        <w:tc>
          <w:tcPr>
            <w:tcW w:w="7856"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UKUPNI ODLJEVI</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222. stavak 3. i članak 235. stavci 1. i 2.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Odljevi odgovaraju pokrivenom dijelu „izloženosti umanjene za vrijednosna usklađenja i rezervacije” koji je odbijen od kategorije izloženosti dužnika i, prema potrebi, rejting-kategorije dužnika ili skupa izloženosti te naknadno ra</w:t>
            </w:r>
            <w:r w:rsidRPr="00EF7F33">
              <w:rPr>
                <w:rFonts w:ascii="Times New Roman" w:hAnsi="Times New Roman"/>
                <w:sz w:val="24"/>
              </w:rPr>
              <w:t>s</w:t>
            </w:r>
            <w:r w:rsidRPr="00EF7F33">
              <w:rPr>
                <w:rFonts w:ascii="Times New Roman" w:hAnsi="Times New Roman"/>
                <w:sz w:val="24"/>
              </w:rPr>
              <w:t xml:space="preserve">poređen u kategoriju izloženosti pružatelja zaštite i, prema potrebi, rejting-kategoriju dužnika ili skup izloženosti.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Taj se iznos smatra priljevom u kategoriju izloženosti pružatelja zaštite i, pr</w:t>
            </w:r>
            <w:r w:rsidRPr="00EF7F33">
              <w:rPr>
                <w:rFonts w:ascii="Times New Roman" w:hAnsi="Times New Roman"/>
                <w:sz w:val="24"/>
              </w:rPr>
              <w:t>e</w:t>
            </w:r>
            <w:r w:rsidRPr="00EF7F33">
              <w:rPr>
                <w:rFonts w:ascii="Times New Roman" w:hAnsi="Times New Roman"/>
                <w:sz w:val="24"/>
              </w:rPr>
              <w:t>ma potrebi, pondere rizika ili rejting-kategorije dužnika.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je informacija povezana sa stupcem 090 [(–) Ukupni odljevi] obra</w:t>
            </w:r>
            <w:r w:rsidRPr="00EF7F33">
              <w:rPr>
                <w:rFonts w:ascii="Times New Roman" w:hAnsi="Times New Roman"/>
                <w:sz w:val="24"/>
              </w:rPr>
              <w:t>s</w:t>
            </w:r>
            <w:r w:rsidRPr="00EF7F33">
              <w:rPr>
                <w:rFonts w:ascii="Times New Roman" w:hAnsi="Times New Roman"/>
                <w:sz w:val="24"/>
              </w:rPr>
              <w:t>ca s ukupnim podacima CR SA.</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110</w:t>
            </w:r>
          </w:p>
        </w:tc>
        <w:tc>
          <w:tcPr>
            <w:tcW w:w="7856"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UKUPNI PRILJEVI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Sekuritizacijske pozicije koje su dužnički vrijednosni papiri i priznati su fina</w:t>
            </w:r>
            <w:r w:rsidRPr="00EF7F33">
              <w:rPr>
                <w:rFonts w:ascii="Times New Roman" w:hAnsi="Times New Roman"/>
                <w:sz w:val="24"/>
              </w:rPr>
              <w:t>n</w:t>
            </w:r>
            <w:r w:rsidRPr="00EF7F33">
              <w:rPr>
                <w:rFonts w:ascii="Times New Roman" w:hAnsi="Times New Roman"/>
                <w:sz w:val="24"/>
              </w:rPr>
              <w:t>cijski kolateral u skladu s člankom 197. stavkom 1. CRR-a i kada se upotre</w:t>
            </w:r>
            <w:r w:rsidRPr="00EF7F33">
              <w:rPr>
                <w:rFonts w:ascii="Times New Roman" w:hAnsi="Times New Roman"/>
                <w:sz w:val="24"/>
              </w:rPr>
              <w:t>b</w:t>
            </w:r>
            <w:r w:rsidRPr="00EF7F33">
              <w:rPr>
                <w:rFonts w:ascii="Times New Roman" w:hAnsi="Times New Roman"/>
                <w:sz w:val="24"/>
              </w:rPr>
              <w:t>ljava jednostavna metoda financijskog kolaterala, iskazuju se kao priljevi u ovom stupcu.</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Navedena je informacija povezana sa stupcem 100 (Ukupni priljevi) obrasca s ukupnim podacima CR SA. </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120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NETO IZLOŽENOST NAKON PRIMJENE TEHNIKA SMANJENJA KREDITNOG RIZIKA S UČINKOM ZAMJENE, A PRIJE PRIMJENE KONVERZIJSKIH FAKTORA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Izloženost raspoređena u odgovarajući ponder rizika i kategoriju rizika nakon uzimanja o obzir odljeva i priljeva na temelju „tehnika smanjena rizika s uči</w:t>
            </w:r>
            <w:r w:rsidRPr="00EF7F33">
              <w:rPr>
                <w:rFonts w:ascii="Times New Roman" w:hAnsi="Times New Roman"/>
                <w:sz w:val="24"/>
              </w:rPr>
              <w:t>n</w:t>
            </w:r>
            <w:r w:rsidRPr="00EF7F33">
              <w:rPr>
                <w:rFonts w:ascii="Times New Roman" w:hAnsi="Times New Roman"/>
                <w:sz w:val="24"/>
              </w:rPr>
              <w:t>cima zamjene na izloženost”.</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Ta je informacija povezana sa stupcem 110 obrasca s ukupnim podacima CR SA.</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130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 TEHNIKE SMANJENJA KREDITNOG RIZIKA KOJE UTJEČU NA </w:t>
            </w:r>
            <w:r w:rsidRPr="00EF7F33">
              <w:rPr>
                <w:rFonts w:ascii="Times New Roman" w:hAnsi="Times New Roman"/>
                <w:b/>
                <w:sz w:val="24"/>
                <w:u w:val="single"/>
              </w:rPr>
              <w:lastRenderedPageBreak/>
              <w:t>IZNOS IZLOŽENOSTI: PRILAGOĐENA VRIJEDNOST MATER</w:t>
            </w:r>
            <w:r w:rsidRPr="00EF7F33">
              <w:rPr>
                <w:rFonts w:ascii="Times New Roman" w:hAnsi="Times New Roman"/>
                <w:b/>
                <w:sz w:val="24"/>
                <w:u w:val="single"/>
              </w:rPr>
              <w:t>I</w:t>
            </w:r>
            <w:r w:rsidRPr="00EF7F33">
              <w:rPr>
                <w:rFonts w:ascii="Times New Roman" w:hAnsi="Times New Roman"/>
                <w:b/>
                <w:sz w:val="24"/>
                <w:u w:val="single"/>
              </w:rPr>
              <w:t>JALNE KREDITNE ZAŠTITE PREMA SLOŽENOJ METODI FINA</w:t>
            </w:r>
            <w:r w:rsidRPr="00EF7F33">
              <w:rPr>
                <w:rFonts w:ascii="Times New Roman" w:hAnsi="Times New Roman"/>
                <w:b/>
                <w:sz w:val="24"/>
                <w:u w:val="single"/>
              </w:rPr>
              <w:t>N</w:t>
            </w:r>
            <w:r w:rsidRPr="00EF7F33">
              <w:rPr>
                <w:rFonts w:ascii="Times New Roman" w:hAnsi="Times New Roman"/>
                <w:b/>
                <w:sz w:val="24"/>
                <w:u w:val="single"/>
              </w:rPr>
              <w:t>CIJSKOG KOLATERALA (C</w:t>
            </w:r>
            <w:r w:rsidRPr="00EF7F33">
              <w:rPr>
                <w:rFonts w:ascii="Times New Roman" w:hAnsi="Times New Roman"/>
                <w:b/>
                <w:sz w:val="24"/>
                <w:u w:val="single"/>
                <w:vertAlign w:val="subscript"/>
              </w:rPr>
              <w:t>VAM</w:t>
            </w:r>
            <w:r w:rsidRPr="00EF7F33">
              <w:rPr>
                <w:rFonts w:ascii="Times New Roman" w:hAnsi="Times New Roman"/>
                <w:b/>
                <w:sz w:val="24"/>
                <w:u w:val="single"/>
              </w:rPr>
              <w:t>)</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 stavka uključuje i kreditne zapise (članak 218.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Navedena je informacija povezana sa stupcima 120 i 130 obrasca s ukupnim podacima CR SA. </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140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POTPUNO PRILAGOĐENA VRIJEDNOST IZLOŽENOSTI (E*)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u skladu s člankom 246. CRR-a, stoga bez primjene konverzijskih vrijednosti utvrđenih u članku 246. stavku 1. točki (c) CRR-a.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Ta je informacija povezana sa stupcem 150 obrasca s ukupnim podacima CR SA. </w:t>
            </w:r>
          </w:p>
          <w:p w:rsidR="00612780" w:rsidRPr="00EF7F33" w:rsidRDefault="00612780" w:rsidP="00612780">
            <w:pPr>
              <w:autoSpaceDE w:val="0"/>
              <w:autoSpaceDN w:val="0"/>
              <w:adjustRightInd w:val="0"/>
              <w:spacing w:before="0" w:after="0"/>
              <w:ind w:left="284" w:hanging="284"/>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150-180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RAŠČLAMBA POTPUNO PRILAGOĐENE VRIJEDNOSTI IZLOŽ</w:t>
            </w:r>
            <w:r w:rsidRPr="00EF7F33">
              <w:rPr>
                <w:rFonts w:ascii="Times New Roman" w:hAnsi="Times New Roman"/>
                <w:b/>
                <w:sz w:val="24"/>
                <w:u w:val="single"/>
              </w:rPr>
              <w:t>E</w:t>
            </w:r>
            <w:r w:rsidRPr="00EF7F33">
              <w:rPr>
                <w:rFonts w:ascii="Times New Roman" w:hAnsi="Times New Roman"/>
                <w:b/>
                <w:sz w:val="24"/>
                <w:u w:val="single"/>
              </w:rPr>
              <w:t>NOSTI (E*) IZVANBILANČNIH STAVKI U SKLADU S KONVERZI</w:t>
            </w:r>
            <w:r w:rsidRPr="00EF7F33">
              <w:rPr>
                <w:rFonts w:ascii="Times New Roman" w:hAnsi="Times New Roman"/>
                <w:b/>
                <w:sz w:val="24"/>
                <w:u w:val="single"/>
              </w:rPr>
              <w:t>J</w:t>
            </w:r>
            <w:r w:rsidRPr="00EF7F33">
              <w:rPr>
                <w:rFonts w:ascii="Times New Roman" w:hAnsi="Times New Roman"/>
                <w:b/>
                <w:sz w:val="24"/>
                <w:u w:val="single"/>
              </w:rPr>
              <w:t>SKIM FAKTORIMA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Člankom 246. stavkom 1. točkom (c) CRR-a predviđeno je da je vrijednost i</w:t>
            </w:r>
            <w:r w:rsidRPr="00EF7F33">
              <w:rPr>
                <w:rFonts w:ascii="Times New Roman" w:hAnsi="Times New Roman"/>
                <w:sz w:val="24"/>
              </w:rPr>
              <w:t>z</w:t>
            </w:r>
            <w:r w:rsidRPr="00EF7F33">
              <w:rPr>
                <w:rFonts w:ascii="Times New Roman" w:hAnsi="Times New Roman"/>
                <w:sz w:val="24"/>
              </w:rPr>
              <w:t>loženosti izvanbilančne sekuritizacijske pozicije njezina nominalna vrijednost pomnožena konverzijskim faktorom. Ta konverzijska vrijednost iznosi 100 %, osim ako je u CRR-u određeno drukčije.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Vidjeti stupce od 160 do 190 obrasca s ukupnim podacima obrasca CR SA.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potrebe izvješćivanja potpuno prilagođena vrijednost izloženosti (E*) isk</w:t>
            </w:r>
            <w:r w:rsidRPr="00EF7F33">
              <w:rPr>
                <w:rFonts w:ascii="Times New Roman" w:hAnsi="Times New Roman"/>
                <w:sz w:val="24"/>
              </w:rPr>
              <w:t>a</w:t>
            </w:r>
            <w:r w:rsidRPr="00EF7F33">
              <w:rPr>
                <w:rFonts w:ascii="Times New Roman" w:hAnsi="Times New Roman"/>
                <w:sz w:val="24"/>
              </w:rPr>
              <w:t>zuje se u skladu sa sljedeća četiri međusobno isključiva intervala konverzijskih faktora: 0 %, ]0 %, 20 %], ]20 %, 50 %] i ]50%, 100%].</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190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VRIJEDNOST IZLOŽENOSTI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u skladu s člankom 246.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Ta je informacija povezana sa stupcem 200 obrasca s ukupnim podacima CR SA. </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200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VRIJEDNOST IZLOŽENOSTI KOJA PREDSTAVLJA ODBITNU STAVKU OD REGULATORNOG KAPITALA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Člankom 258. CRR-a predviđa se da u slučaju sekuritizacijske pozicije na koju se primjenjuje ponder rizika od 1250 %, institucija može, kao alternativu u</w:t>
            </w:r>
            <w:r w:rsidRPr="00EF7F33">
              <w:rPr>
                <w:rFonts w:ascii="Times New Roman" w:hAnsi="Times New Roman"/>
                <w:sz w:val="24"/>
              </w:rPr>
              <w:t>k</w:t>
            </w:r>
            <w:r w:rsidRPr="00EF7F33">
              <w:rPr>
                <w:rFonts w:ascii="Times New Roman" w:hAnsi="Times New Roman"/>
                <w:sz w:val="24"/>
              </w:rPr>
              <w:t>ljučivanju pozicije u izračun iznosa izloženosti ponderiranih rizikom, iskazati vrijednost izloženosti pozicije kao odbitnu stavku pri izračunu regulatornog kapitala.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210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VRIJEDNOST IZLOŽENOSTI NA KOJU SE PRIMJENJUJU POND</w:t>
            </w:r>
            <w:r w:rsidRPr="00EF7F33">
              <w:rPr>
                <w:rFonts w:ascii="Times New Roman" w:hAnsi="Times New Roman"/>
                <w:b/>
                <w:sz w:val="24"/>
                <w:u w:val="single"/>
              </w:rPr>
              <w:t>E</w:t>
            </w:r>
            <w:r w:rsidRPr="00EF7F33">
              <w:rPr>
                <w:rFonts w:ascii="Times New Roman" w:hAnsi="Times New Roman"/>
                <w:b/>
                <w:sz w:val="24"/>
                <w:u w:val="single"/>
              </w:rPr>
              <w:t>RI RIZIKA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Vrijednost izloženosti umanjena za vrijednost izloženosti koja predstavlja o</w:t>
            </w:r>
            <w:r w:rsidRPr="00EF7F33">
              <w:rPr>
                <w:rFonts w:ascii="Times New Roman" w:hAnsi="Times New Roman"/>
                <w:sz w:val="24"/>
              </w:rPr>
              <w:t>d</w:t>
            </w:r>
            <w:r w:rsidRPr="00EF7F33">
              <w:rPr>
                <w:rFonts w:ascii="Times New Roman" w:hAnsi="Times New Roman"/>
                <w:sz w:val="24"/>
              </w:rPr>
              <w:t>bitnu stavku od regulatornog kapitala.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220-320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RAŠČLAMBA VRIJEDNOSTI IZLOŽENOSTI NA KOJU SE PRIMJ</w:t>
            </w:r>
            <w:r w:rsidRPr="00EF7F33">
              <w:rPr>
                <w:rFonts w:ascii="Times New Roman" w:hAnsi="Times New Roman"/>
                <w:b/>
                <w:sz w:val="24"/>
                <w:u w:val="single"/>
              </w:rPr>
              <w:t>E</w:t>
            </w:r>
            <w:r w:rsidRPr="00EF7F33">
              <w:rPr>
                <w:rFonts w:ascii="Times New Roman" w:hAnsi="Times New Roman"/>
                <w:b/>
                <w:sz w:val="24"/>
                <w:u w:val="single"/>
              </w:rPr>
              <w:t>NJUJU PONDERI RIZIKA PREMA PONDERIMA RIZIKA</w:t>
            </w: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220-260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 REJTINGOM</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i/>
                <w:sz w:val="24"/>
              </w:rPr>
            </w:pPr>
            <w:r w:rsidRPr="00EF7F33">
              <w:rPr>
                <w:rFonts w:ascii="Times New Roman" w:hAnsi="Times New Roman"/>
                <w:sz w:val="24"/>
              </w:rPr>
              <w:t>Člankom 242. stavkom 8. definirane su pozicije s rejtingom.</w:t>
            </w:r>
          </w:p>
          <w:p w:rsidR="00612780" w:rsidRPr="00EF7F33" w:rsidRDefault="00612780" w:rsidP="00612780">
            <w:pPr>
              <w:autoSpaceDE w:val="0"/>
              <w:autoSpaceDN w:val="0"/>
              <w:adjustRightInd w:val="0"/>
              <w:spacing w:before="0" w:after="0"/>
              <w:rPr>
                <w:rFonts w:ascii="Times New Roman" w:hAnsi="Times New Roman"/>
                <w:i/>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Vrijednosti izloženosti koje podliježu ponderima rizika raščlanjene su prema stupnjevima kreditne kvalitete kako je predviđeno za standardizirani pristup u članku 251. (tablici 1.) CRR-a.</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270</w:t>
            </w:r>
          </w:p>
        </w:tc>
        <w:tc>
          <w:tcPr>
            <w:tcW w:w="7856" w:type="dxa"/>
          </w:tcPr>
          <w:p w:rsidR="00612780" w:rsidRPr="00EF7F33" w:rsidRDefault="00612780" w:rsidP="00612780">
            <w:pPr>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1250 % (BEZ REJTINGA)</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Člankom 242. stavkom 7. CRR-a definirane su pozicije bez rejtinga.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280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ODNOSNE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253., članak 254. i članak 256. stavak 5.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Stupci za odnosne izloženosti sadržavaju sve slučajeve izloženosti bez rejtinga ako je ponder rizika dobiven iz odnosnog portfelja izloženosti (prosječni po</w:t>
            </w:r>
            <w:r w:rsidRPr="00EF7F33">
              <w:rPr>
                <w:rFonts w:ascii="Times New Roman" w:hAnsi="Times New Roman"/>
                <w:sz w:val="24"/>
              </w:rPr>
              <w:t>n</w:t>
            </w:r>
            <w:r w:rsidRPr="00EF7F33">
              <w:rPr>
                <w:rFonts w:ascii="Times New Roman" w:hAnsi="Times New Roman"/>
                <w:sz w:val="24"/>
              </w:rPr>
              <w:t>der rizika skupa izloženosti, najveći ponder rizika skupa izloženosti ili upotr</w:t>
            </w:r>
            <w:r w:rsidRPr="00EF7F33">
              <w:rPr>
                <w:rFonts w:ascii="Times New Roman" w:hAnsi="Times New Roman"/>
                <w:sz w:val="24"/>
              </w:rPr>
              <w:t>e</w:t>
            </w:r>
            <w:r w:rsidRPr="00EF7F33">
              <w:rPr>
                <w:rFonts w:ascii="Times New Roman" w:hAnsi="Times New Roman"/>
                <w:sz w:val="24"/>
              </w:rPr>
              <w:t>ba koncentracijskog omjera).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290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ODNOSNE IZLOŽENOSTI – OD ČEGA: DRUGI GUBITAK U PRO</w:t>
            </w:r>
            <w:r w:rsidRPr="00EF7F33">
              <w:rPr>
                <w:rFonts w:ascii="Times New Roman" w:hAnsi="Times New Roman"/>
                <w:b/>
                <w:sz w:val="24"/>
                <w:u w:val="single"/>
              </w:rPr>
              <w:t>G</w:t>
            </w:r>
            <w:r w:rsidRPr="00EF7F33">
              <w:rPr>
                <w:rFonts w:ascii="Times New Roman" w:hAnsi="Times New Roman"/>
                <w:b/>
                <w:sz w:val="24"/>
                <w:u w:val="single"/>
              </w:rPr>
              <w:t>RAMU ABCP</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Vrijednost izloženosti na koju se primjenjuje tretman sekuritizacijskih pozicija u tranši drugoga gubitka ili nadređenoj tranši u programu ABCP određena je u članku 254.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Člankom 242. stavkom 9. CRR-a definiran je program komercijalnih zapisa osiguranih imovinom (ABCP). </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300</w:t>
            </w:r>
          </w:p>
          <w:p w:rsidR="00612780" w:rsidRPr="00EF7F33"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ODNOSNE IZLOŽENOSTI OD ČEGA: PROSJEČNI PONDER RIZIKA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Dostavlja se prosječni ponder rizika ponderiran vrijednošću izloženosti.</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310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PRISTUP INTERNE PROCJENE</w:t>
            </w:r>
          </w:p>
          <w:p w:rsidR="00612780" w:rsidRPr="00EF7F33" w:rsidRDefault="00612780" w:rsidP="00612780">
            <w:pPr>
              <w:spacing w:before="0" w:after="0"/>
              <w:jc w:val="left"/>
              <w:rPr>
                <w:rFonts w:ascii="Times New Roman" w:hAnsi="Times New Roman"/>
                <w:sz w:val="24"/>
              </w:rPr>
            </w:pPr>
          </w:p>
          <w:p w:rsidR="008E48D1" w:rsidRDefault="00612780" w:rsidP="00612780">
            <w:pPr>
              <w:spacing w:before="0" w:after="0"/>
              <w:jc w:val="left"/>
              <w:rPr>
                <w:rFonts w:ascii="Times New Roman" w:hAnsi="Times New Roman"/>
                <w:sz w:val="24"/>
              </w:rPr>
            </w:pPr>
            <w:r w:rsidRPr="00EF7F33">
              <w:rPr>
                <w:rFonts w:ascii="Times New Roman" w:hAnsi="Times New Roman"/>
                <w:sz w:val="24"/>
              </w:rPr>
              <w:t xml:space="preserve">Članak 109. stavak 1. i članak 259. stavak 3. CRR-a. </w:t>
            </w: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u w:val="single"/>
              </w:rPr>
              <w:t xml:space="preserve">Vrijednost izloženosti </w:t>
            </w:r>
            <w:r w:rsidRPr="00EF7F33">
              <w:rPr>
                <w:rFonts w:ascii="Times New Roman" w:hAnsi="Times New Roman"/>
                <w:sz w:val="24"/>
              </w:rPr>
              <w:t xml:space="preserve">sekuritizacijskih </w:t>
            </w:r>
            <w:r w:rsidRPr="00EF7F33">
              <w:rPr>
                <w:rFonts w:ascii="Times New Roman" w:hAnsi="Times New Roman"/>
                <w:sz w:val="24"/>
                <w:u w:val="single"/>
              </w:rPr>
              <w:t xml:space="preserve">pozicija </w:t>
            </w:r>
            <w:r w:rsidR="000E309A">
              <w:rPr>
                <w:rFonts w:ascii="Times New Roman" w:hAnsi="Times New Roman"/>
                <w:sz w:val="24"/>
                <w:u w:val="single"/>
              </w:rPr>
              <w:t>u skladu s</w:t>
            </w:r>
            <w:r w:rsidRPr="00EF7F33">
              <w:rPr>
                <w:rFonts w:ascii="Times New Roman" w:hAnsi="Times New Roman"/>
                <w:sz w:val="24"/>
                <w:u w:val="single"/>
              </w:rPr>
              <w:t xml:space="preserve"> pristupom interne procjene.</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320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PRISTUP INTERNE PROCJENE: PROSJEČNI PONDER RIZIKA (%)</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Dostavlja se prosječni ponder rizika ponderiran vrijednošću izloženosti.</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330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IZNOS IZLOŽENOSTI PONDERIRAN RIZIKOM</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Ukupan iznos izloženosti ponderiran rizikom izračunava se u skladu s dijelom trećim, glavom II. poglavljem 5. odjeljkom 3. CRR-a, prije usklađenja zbog ročne neusklađenosti ili kršenja odredaba o dubinskoj analizi, i isključujući svaki iznos izloženosti ponderiran rizikom koji odgovara izloženostima koje su ponovno raspodijeljene preko odljeva u drugi obrazac. </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340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 ČEGA: SINTETSKE SEKURITIZACIJE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Za sintetske sekuritizacije u iznosu koji je potrebno iskazati u ovom stupcu z</w:t>
            </w:r>
            <w:r w:rsidRPr="00EF7F33">
              <w:rPr>
                <w:rFonts w:ascii="Times New Roman" w:hAnsi="Times New Roman"/>
                <w:sz w:val="24"/>
              </w:rPr>
              <w:t>a</w:t>
            </w:r>
            <w:r w:rsidRPr="00EF7F33">
              <w:rPr>
                <w:rFonts w:ascii="Times New Roman" w:hAnsi="Times New Roman"/>
                <w:sz w:val="24"/>
              </w:rPr>
              <w:t>nemaruje se bilo kakva ročna neusklađenost.</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350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UČINAK (USKLAĐENJE) ZBOG KRŠENJA ODREDABA O DUBINSKOJ ANALIZI</w:t>
            </w:r>
          </w:p>
          <w:p w:rsidR="00612780" w:rsidRPr="00EF7F33" w:rsidRDefault="00612780" w:rsidP="00612780">
            <w:pPr>
              <w:spacing w:before="0" w:after="0"/>
              <w:jc w:val="left"/>
              <w:rPr>
                <w:rFonts w:ascii="Times New Roman" w:hAnsi="Times New Roman"/>
                <w:sz w:val="24"/>
              </w:rPr>
            </w:pPr>
          </w:p>
          <w:p w:rsidR="00612780" w:rsidRPr="00EF7F33" w:rsidRDefault="00612780" w:rsidP="00551271">
            <w:pPr>
              <w:spacing w:before="0" w:after="0"/>
              <w:rPr>
                <w:rStyle w:val="InstructionsTabelleText"/>
                <w:rFonts w:ascii="Times New Roman" w:hAnsi="Times New Roman"/>
                <w:sz w:val="24"/>
              </w:rPr>
            </w:pPr>
            <w:r w:rsidRPr="00EF7F33">
              <w:rPr>
                <w:rStyle w:val="InstructionsTabelleText"/>
                <w:rFonts w:ascii="Times New Roman" w:hAnsi="Times New Roman"/>
                <w:sz w:val="24"/>
              </w:rPr>
              <w:t>Člankom 14. stavkom 2., člankom 406. stavkom 2. i člankom 407. CRR-a pr</w:t>
            </w:r>
            <w:r w:rsidRPr="00EF7F33">
              <w:rPr>
                <w:rStyle w:val="InstructionsTabelleText"/>
                <w:rFonts w:ascii="Times New Roman" w:hAnsi="Times New Roman"/>
                <w:sz w:val="24"/>
              </w:rPr>
              <w:t>o</w:t>
            </w:r>
            <w:r w:rsidRPr="00EF7F33">
              <w:rPr>
                <w:rStyle w:val="InstructionsTabelleText"/>
                <w:rFonts w:ascii="Times New Roman" w:hAnsi="Times New Roman"/>
                <w:sz w:val="24"/>
              </w:rPr>
              <w:t>pisuje se da kad god institucija nije ispunila određene zahtjeve iz članka 405., 406. ili 409. CRR-a, države članice osiguravaju da nadležna tijela određuju r</w:t>
            </w:r>
            <w:r w:rsidRPr="00EF7F33">
              <w:rPr>
                <w:rStyle w:val="InstructionsTabelleText"/>
                <w:rFonts w:ascii="Times New Roman" w:hAnsi="Times New Roman"/>
                <w:sz w:val="24"/>
              </w:rPr>
              <w:t>a</w:t>
            </w:r>
            <w:r w:rsidRPr="00EF7F33">
              <w:rPr>
                <w:rStyle w:val="InstructionsTabelleText"/>
                <w:rFonts w:ascii="Times New Roman" w:hAnsi="Times New Roman"/>
                <w:sz w:val="24"/>
              </w:rPr>
              <w:t>zmjerni dodatni ponder rizika od najmanje 250 % pondera rizika (s gornjom granicom od 1250 %) koji bi se primjenjivao na relevantne sekuritizacijske p</w:t>
            </w:r>
            <w:r w:rsidRPr="00EF7F33">
              <w:rPr>
                <w:rStyle w:val="InstructionsTabelleText"/>
                <w:rFonts w:ascii="Times New Roman" w:hAnsi="Times New Roman"/>
                <w:sz w:val="24"/>
              </w:rPr>
              <w:t>o</w:t>
            </w:r>
            <w:r w:rsidRPr="00EF7F33">
              <w:rPr>
                <w:rStyle w:val="InstructionsTabelleText"/>
                <w:rFonts w:ascii="Times New Roman" w:hAnsi="Times New Roman"/>
                <w:sz w:val="24"/>
              </w:rPr>
              <w:t>zicije u skladu s dijelom trećim glavom II. poglavljem 5. odjeljkom 3. CRR-a. Taj dodatni ponder rizika može se osim institucijama ulagateljima odrediti i inicijatorima, sponzorima i izvornim zajmodavcima.</w:t>
            </w:r>
          </w:p>
          <w:p w:rsidR="00551271" w:rsidRPr="00EF7F33" w:rsidRDefault="00551271" w:rsidP="00551271">
            <w:pPr>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360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USKLAĐENJE IZNOSA IZLOŽENOSTI PONDERIRANOG RIZIKOM ZBOG ROČNIH NEUSKLAĐENOSTI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Style w:val="InstructionsTabelleText"/>
                <w:rFonts w:ascii="Times New Roman" w:hAnsi="Times New Roman"/>
                <w:sz w:val="24"/>
              </w:rPr>
            </w:pPr>
            <w:r w:rsidRPr="00EF7F33">
              <w:rPr>
                <w:rStyle w:val="InstructionsTabelleText"/>
                <w:rFonts w:ascii="Times New Roman" w:hAnsi="Times New Roman"/>
                <w:sz w:val="24"/>
              </w:rPr>
              <w:t>Za ročne neusklađenosti u sintetskim sekuritizacijama uključuje se RW*-RW(SP), kako je definiran u članku 250. CRR-a, izuzev u slučaju tranši na k</w:t>
            </w:r>
            <w:r w:rsidRPr="00EF7F33">
              <w:rPr>
                <w:rStyle w:val="InstructionsTabelleText"/>
                <w:rFonts w:ascii="Times New Roman" w:hAnsi="Times New Roman"/>
                <w:sz w:val="24"/>
              </w:rPr>
              <w:t>o</w:t>
            </w:r>
            <w:r w:rsidRPr="00EF7F33">
              <w:rPr>
                <w:rStyle w:val="InstructionsTabelleText"/>
                <w:rFonts w:ascii="Times New Roman" w:hAnsi="Times New Roman"/>
                <w:sz w:val="24"/>
              </w:rPr>
              <w:t>je se primjenjuje ponder rizika 1250 % kada iznos koji je potrebno iskazati i</w:t>
            </w:r>
            <w:r w:rsidRPr="00EF7F33">
              <w:rPr>
                <w:rStyle w:val="InstructionsTabelleText"/>
                <w:rFonts w:ascii="Times New Roman" w:hAnsi="Times New Roman"/>
                <w:sz w:val="24"/>
              </w:rPr>
              <w:t>z</w:t>
            </w:r>
            <w:r w:rsidRPr="00EF7F33">
              <w:rPr>
                <w:rStyle w:val="InstructionsTabelleText"/>
                <w:rFonts w:ascii="Times New Roman" w:hAnsi="Times New Roman"/>
                <w:sz w:val="24"/>
              </w:rPr>
              <w:t>nosi nula. Potrebno je napomenuti da RW(SP) ne uključuje samo iznose izl</w:t>
            </w:r>
            <w:r w:rsidRPr="00EF7F33">
              <w:rPr>
                <w:rStyle w:val="InstructionsTabelleText"/>
                <w:rFonts w:ascii="Times New Roman" w:hAnsi="Times New Roman"/>
                <w:sz w:val="24"/>
              </w:rPr>
              <w:t>o</w:t>
            </w:r>
            <w:r w:rsidRPr="00EF7F33">
              <w:rPr>
                <w:rStyle w:val="InstructionsTabelleText"/>
                <w:rFonts w:ascii="Times New Roman" w:hAnsi="Times New Roman"/>
                <w:sz w:val="24"/>
              </w:rPr>
              <w:t>ženosti ponderirane rizikom iskazane u stupcu 330, nego i iznose izloženosti ponderirane rizikom koji odgovaraju izloženostima koje su ponovno raspodij</w:t>
            </w:r>
            <w:r w:rsidRPr="00EF7F33">
              <w:rPr>
                <w:rStyle w:val="InstructionsTabelleText"/>
                <w:rFonts w:ascii="Times New Roman" w:hAnsi="Times New Roman"/>
                <w:sz w:val="24"/>
              </w:rPr>
              <w:t>e</w:t>
            </w:r>
            <w:r w:rsidRPr="00EF7F33">
              <w:rPr>
                <w:rStyle w:val="InstructionsTabelleText"/>
                <w:rFonts w:ascii="Times New Roman" w:hAnsi="Times New Roman"/>
                <w:sz w:val="24"/>
              </w:rPr>
              <w:t>ljene preko odljeva u drugi obrazac.</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Del="00F5392E"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370-380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 IZLOŽENOSTI PONDERIRAN RIZIKOM: PRIJE PRIMJENE GORNJE GRANICE / NAKON PRIMJENE GORNJE GRANICE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Ukupan iznos izloženosti ponderiran rizikom izračunan u skladu s dijelom tr</w:t>
            </w:r>
            <w:r w:rsidRPr="00EF7F33">
              <w:rPr>
                <w:rFonts w:ascii="Times New Roman" w:hAnsi="Times New Roman"/>
                <w:sz w:val="24"/>
              </w:rPr>
              <w:t>e</w:t>
            </w:r>
            <w:r w:rsidRPr="00EF7F33">
              <w:rPr>
                <w:rFonts w:ascii="Times New Roman" w:hAnsi="Times New Roman"/>
                <w:sz w:val="24"/>
              </w:rPr>
              <w:t>ćim glavom II. poglavljem 5. odjeljkom 3. CRR-a prije (stupac 370) / nakon (stupac 380) primjene ograničenja određenih u članku 252. – sekuritizacija stavki koje su trenutačno u statusu neispunjavanja obveza ili su povezane s v</w:t>
            </w:r>
            <w:r w:rsidRPr="00EF7F33">
              <w:rPr>
                <w:rFonts w:ascii="Times New Roman" w:hAnsi="Times New Roman"/>
                <w:sz w:val="24"/>
              </w:rPr>
              <w:t>i</w:t>
            </w:r>
            <w:r w:rsidRPr="00EF7F33">
              <w:rPr>
                <w:rFonts w:ascii="Times New Roman" w:hAnsi="Times New Roman"/>
                <w:sz w:val="24"/>
              </w:rPr>
              <w:t>sokorizičnim stavkama – ili članku 256. stavku 4. CRR-a – dodatni kapitalni zahtjevi pri sekuritizaciji obnovljivih izloženosti s odredbama o prijevremenoj isplati.</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390</w:t>
            </w:r>
          </w:p>
        </w:tc>
        <w:tc>
          <w:tcPr>
            <w:tcW w:w="7856"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BILJEŠKA: IZNOS IZLOŽENOSTI PONDERIRAN RIZIKOM KOJI ODGOVARA ODLJEVIMA IZ SEKURITIZACIJE U SKLADU SA STANDARDIZIRANIM PRISTUPOM U OSTALE KATEGORIJE I</w:t>
            </w:r>
            <w:r w:rsidRPr="00EF7F33">
              <w:rPr>
                <w:rFonts w:ascii="Times New Roman" w:hAnsi="Times New Roman"/>
                <w:b/>
                <w:sz w:val="24"/>
                <w:u w:val="single"/>
              </w:rPr>
              <w:t>Z</w:t>
            </w:r>
            <w:r w:rsidRPr="00EF7F33">
              <w:rPr>
                <w:rFonts w:ascii="Times New Roman" w:hAnsi="Times New Roman"/>
                <w:b/>
                <w:sz w:val="24"/>
                <w:u w:val="single"/>
              </w:rPr>
              <w:t>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Iznos izloženosti ponderiran rizikom koji proizlazi iz izloženosti koje su p</w:t>
            </w:r>
            <w:r w:rsidRPr="00EF7F33">
              <w:rPr>
                <w:rFonts w:ascii="Times New Roman" w:hAnsi="Times New Roman"/>
                <w:sz w:val="24"/>
              </w:rPr>
              <w:t>o</w:t>
            </w:r>
            <w:r w:rsidRPr="00EF7F33">
              <w:rPr>
                <w:rFonts w:ascii="Times New Roman" w:hAnsi="Times New Roman"/>
                <w:sz w:val="24"/>
              </w:rPr>
              <w:t>novno raspoređene na pružatelja smanjenja kreditnog rizika, i stoga se izrač</w:t>
            </w:r>
            <w:r w:rsidRPr="00EF7F33">
              <w:rPr>
                <w:rFonts w:ascii="Times New Roman" w:hAnsi="Times New Roman"/>
                <w:sz w:val="24"/>
              </w:rPr>
              <w:t>u</w:t>
            </w:r>
            <w:r w:rsidRPr="00EF7F33">
              <w:rPr>
                <w:rFonts w:ascii="Times New Roman" w:hAnsi="Times New Roman"/>
                <w:sz w:val="24"/>
              </w:rPr>
              <w:t>nava u odgovarajućem obrascu, koje se uzimaju u obzir pri izračunu gornje granice sekuritizacijskih pozicija.</w:t>
            </w:r>
          </w:p>
          <w:p w:rsidR="00612780" w:rsidRPr="00EF7F33" w:rsidRDefault="00612780" w:rsidP="00612780">
            <w:pPr>
              <w:spacing w:before="0" w:after="0"/>
              <w:jc w:val="left"/>
              <w:rPr>
                <w:rFonts w:ascii="Times New Roman" w:hAnsi="Times New Roman"/>
                <w:sz w:val="24"/>
              </w:rPr>
            </w:pPr>
          </w:p>
        </w:tc>
      </w:tr>
    </w:tbl>
    <w:p w:rsidR="00612780" w:rsidRPr="00EF7F33" w:rsidRDefault="00612780" w:rsidP="00612780">
      <w:pPr>
        <w:spacing w:before="0" w:after="0"/>
        <w:jc w:val="left"/>
        <w:rPr>
          <w:rFonts w:ascii="Times New Roman" w:hAnsi="Times New Roman"/>
          <w:sz w:val="24"/>
        </w:rPr>
      </w:pPr>
    </w:p>
    <w:p w:rsidR="00612780" w:rsidRPr="00EF7F33" w:rsidRDefault="00125707" w:rsidP="00C37B29">
      <w:pPr>
        <w:pStyle w:val="InstructionsText2"/>
        <w:numPr>
          <w:ilvl w:val="0"/>
          <w:numId w:val="0"/>
        </w:numPr>
        <w:ind w:left="993"/>
      </w:pPr>
      <w:r w:rsidRPr="00EF7F33">
        <w:t>102.</w:t>
      </w:r>
      <w:r w:rsidRPr="00EF7F33">
        <w:tab/>
        <w:t>Obrazac CR SEC SA podijeljen je u tri velike skupine redaka u kojima se pr</w:t>
      </w:r>
      <w:r w:rsidRPr="00EF7F33">
        <w:t>i</w:t>
      </w:r>
      <w:r w:rsidRPr="00EF7F33">
        <w:t>kupljaju podaci o iniciranim / financiranim / zadržanim ili kupljenim izloženostima inicijatora, investitora i sponzora. Za svaki od njih informacije se raščlanjuju prema bilančnim stavkama i izvanbilančnim stavkama i izvedenicama te prema sekuritiz</w:t>
      </w:r>
      <w:r w:rsidRPr="00EF7F33">
        <w:t>a</w:t>
      </w:r>
      <w:r w:rsidRPr="00EF7F33">
        <w:t xml:space="preserve">cijama i resekuritizacijama. </w:t>
      </w:r>
    </w:p>
    <w:p w:rsidR="00612780" w:rsidRPr="00EF7F33" w:rsidRDefault="00125707" w:rsidP="00C37B29">
      <w:pPr>
        <w:pStyle w:val="InstructionsText2"/>
        <w:numPr>
          <w:ilvl w:val="0"/>
          <w:numId w:val="0"/>
        </w:numPr>
        <w:ind w:left="993"/>
      </w:pPr>
      <w:r w:rsidRPr="00EF7F33">
        <w:t>103.</w:t>
      </w:r>
      <w:r w:rsidRPr="00EF7F33">
        <w:tab/>
        <w:t>Raščlanjuju se i pozicije koje se tretiraju prema metodi zasnovanoj na rejtinz</w:t>
      </w:r>
      <w:r w:rsidRPr="00EF7F33">
        <w:t>i</w:t>
      </w:r>
      <w:r w:rsidRPr="00EF7F33">
        <w:t>ma i pozicije bez rejtinga (izloženosti na izvještajni datum) u skladu sa stupnjevima kreditne kvalitete koji se primjenjuju na početku (zadnja skupina redaka). Inicijat</w:t>
      </w:r>
      <w:r w:rsidRPr="00EF7F33">
        <w:t>o</w:t>
      </w:r>
      <w:r w:rsidRPr="00EF7F33">
        <w:t>ri, sponzori i investitori iskazuju te informacije.</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EF7F33" w:rsidTr="00672D2A">
        <w:tc>
          <w:tcPr>
            <w:tcW w:w="9004" w:type="dxa"/>
            <w:gridSpan w:val="2"/>
            <w:shd w:val="clear" w:color="auto" w:fill="CCCCCC"/>
          </w:tcPr>
          <w:p w:rsidR="00612780" w:rsidRPr="00EF7F33" w:rsidRDefault="00612780" w:rsidP="00F71DF2">
            <w:pPr>
              <w:autoSpaceDE w:val="0"/>
              <w:autoSpaceDN w:val="0"/>
              <w:adjustRightInd w:val="0"/>
              <w:spacing w:before="0" w:after="0"/>
              <w:jc w:val="left"/>
              <w:rPr>
                <w:rFonts w:ascii="Times New Roman" w:hAnsi="Times New Roman"/>
                <w:bCs/>
                <w:sz w:val="24"/>
              </w:rPr>
            </w:pPr>
            <w:r w:rsidRPr="00EF7F33">
              <w:rPr>
                <w:rFonts w:ascii="Times New Roman" w:hAnsi="Times New Roman"/>
                <w:b/>
                <w:sz w:val="24"/>
              </w:rPr>
              <w:t>Redci</w:t>
            </w: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010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Ukupne izloženosti odnose se na ukupan iznos preostalih sekuritizacija. U ovom su retku sažete sve informacije koje iskazuju inicijatori, sponzori i inve</w:t>
            </w:r>
            <w:r w:rsidRPr="00EF7F33">
              <w:rPr>
                <w:rFonts w:ascii="Times New Roman" w:hAnsi="Times New Roman"/>
                <w:sz w:val="24"/>
              </w:rPr>
              <w:t>s</w:t>
            </w:r>
            <w:r w:rsidRPr="00EF7F33">
              <w:rPr>
                <w:rFonts w:ascii="Times New Roman" w:hAnsi="Times New Roman"/>
                <w:sz w:val="24"/>
              </w:rPr>
              <w:t>titori u sljedećim redcima.</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020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OD ČEGA: RESEKURITIZACIJE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Ukupan iznos preostalih resekuritizacija u skladu s definicijama iz članka 4. stavka 1. točaka 63. i 64. CRR-a.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INICIJATOR: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su retku sažete informacije o bilančnim i izvanbilančnim stavkama i izvedenicama te prijevremenoj isplati sekuritizacijskih pozicija kod kojih inst</w:t>
            </w:r>
            <w:r w:rsidRPr="00EF7F33">
              <w:rPr>
                <w:rFonts w:ascii="Times New Roman" w:hAnsi="Times New Roman"/>
                <w:sz w:val="24"/>
              </w:rPr>
              <w:t>i</w:t>
            </w:r>
            <w:r w:rsidRPr="00EF7F33">
              <w:rPr>
                <w:rFonts w:ascii="Times New Roman" w:hAnsi="Times New Roman"/>
                <w:sz w:val="24"/>
              </w:rPr>
              <w:t>tucija ima ulogu inicijatora, kako je definirano u članku 4. stavku 1. točki 13. CRR-a.</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040-060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članku 246. stavku 1. točki (a) CRR-a navodi se da je za institucije koje izr</w:t>
            </w:r>
            <w:r w:rsidRPr="00EF7F33">
              <w:rPr>
                <w:rFonts w:ascii="Times New Roman" w:hAnsi="Times New Roman"/>
                <w:sz w:val="24"/>
              </w:rPr>
              <w:t>a</w:t>
            </w:r>
            <w:r w:rsidRPr="00EF7F33">
              <w:rPr>
                <w:rFonts w:ascii="Times New Roman" w:hAnsi="Times New Roman"/>
                <w:sz w:val="24"/>
              </w:rPr>
              <w:t>čunavaju iznose izloženosti ponderirane rizikom u skladu sa standardiziranim pristupom, vrijednost izloženosti bilančne sekuritizacijske pozicije njezina r</w:t>
            </w:r>
            <w:r w:rsidRPr="00EF7F33">
              <w:rPr>
                <w:rFonts w:ascii="Times New Roman" w:hAnsi="Times New Roman"/>
                <w:sz w:val="24"/>
              </w:rPr>
              <w:t>a</w:t>
            </w:r>
            <w:r w:rsidRPr="00EF7F33">
              <w:rPr>
                <w:rFonts w:ascii="Times New Roman" w:hAnsi="Times New Roman"/>
                <w:sz w:val="24"/>
              </w:rPr>
              <w:t>čunovodstvena vrijednost nakon primjene specifičnih ispravaka vrijednosti za kreditni rizik.</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Bilančne stavke raščlanjene su prema sekuritizacijama (redak 050) i resekurit</w:t>
            </w:r>
            <w:r w:rsidRPr="00EF7F33">
              <w:rPr>
                <w:rFonts w:ascii="Times New Roman" w:hAnsi="Times New Roman"/>
                <w:sz w:val="24"/>
              </w:rPr>
              <w:t>i</w:t>
            </w:r>
            <w:r w:rsidRPr="00EF7F33">
              <w:rPr>
                <w:rFonts w:ascii="Times New Roman" w:hAnsi="Times New Roman"/>
                <w:sz w:val="24"/>
              </w:rPr>
              <w:t>zacijama (redak 060).</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070-090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i/>
                <w:sz w:val="24"/>
              </w:rPr>
            </w:pPr>
            <w:r w:rsidRPr="00EF7F33">
              <w:rPr>
                <w:rFonts w:ascii="Times New Roman" w:hAnsi="Times New Roman"/>
                <w:sz w:val="24"/>
              </w:rPr>
              <w:t>U ovim redcima prikupljaju se informacije o izvanbilančnim stavkama i izv</w:t>
            </w:r>
            <w:r w:rsidRPr="00EF7F33">
              <w:rPr>
                <w:rFonts w:ascii="Times New Roman" w:hAnsi="Times New Roman"/>
                <w:sz w:val="24"/>
              </w:rPr>
              <w:t>e</w:t>
            </w:r>
            <w:r w:rsidRPr="00EF7F33">
              <w:rPr>
                <w:rFonts w:ascii="Times New Roman" w:hAnsi="Times New Roman"/>
                <w:sz w:val="24"/>
              </w:rPr>
              <w:t>denicama kao sekuritizacijskim pozicijama na koje se primjenjuje konverzijski faktor u skladu sa sekuritizacijskim okvirom. Vrijednost izloženosti izvanbila</w:t>
            </w:r>
            <w:r w:rsidRPr="00EF7F33">
              <w:rPr>
                <w:rFonts w:ascii="Times New Roman" w:hAnsi="Times New Roman"/>
                <w:sz w:val="24"/>
              </w:rPr>
              <w:t>č</w:t>
            </w:r>
            <w:r w:rsidRPr="00EF7F33">
              <w:rPr>
                <w:rFonts w:ascii="Times New Roman" w:hAnsi="Times New Roman"/>
                <w:sz w:val="24"/>
              </w:rPr>
              <w:t>ne sekuritizacijske pozicije njezina je nominalna vrijednosti, umanjena za svaki specifični ispravak vrijednosti za kreditni rizik te sekuritizacijske pozicije i pomnožena konverzijskom vrijednosti od 100 %, osim ako je drukčije određ</w:t>
            </w:r>
            <w:r w:rsidRPr="00EF7F33">
              <w:rPr>
                <w:rFonts w:ascii="Times New Roman" w:hAnsi="Times New Roman"/>
                <w:sz w:val="24"/>
              </w:rPr>
              <w:t>e</w:t>
            </w:r>
            <w:r w:rsidRPr="00EF7F33">
              <w:rPr>
                <w:rFonts w:ascii="Times New Roman" w:hAnsi="Times New Roman"/>
                <w:sz w:val="24"/>
              </w:rPr>
              <w:t>no.</w:t>
            </w:r>
          </w:p>
          <w:p w:rsidR="00612780" w:rsidRPr="00EF7F33" w:rsidRDefault="00612780" w:rsidP="00612780">
            <w:pPr>
              <w:autoSpaceDE w:val="0"/>
              <w:autoSpaceDN w:val="0"/>
              <w:adjustRightInd w:val="0"/>
              <w:spacing w:before="0" w:after="0"/>
              <w:rPr>
                <w:rFonts w:ascii="Times New Roman" w:hAnsi="Times New Roman"/>
                <w:i/>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Vrijednost izloženosti za kreditni rizik druge ugovorne strane izvedenog i</w:t>
            </w:r>
            <w:r w:rsidRPr="00EF7F33">
              <w:rPr>
                <w:rFonts w:ascii="Times New Roman" w:hAnsi="Times New Roman"/>
                <w:sz w:val="24"/>
              </w:rPr>
              <w:t>n</w:t>
            </w:r>
            <w:r w:rsidRPr="00EF7F33">
              <w:rPr>
                <w:rFonts w:ascii="Times New Roman" w:hAnsi="Times New Roman"/>
                <w:sz w:val="24"/>
              </w:rPr>
              <w:t xml:space="preserve">strumenta navedenog u Prilogu II. CRR-u određuje se u skladu s dijelom trećim glavom II. poglavljem 6.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likvidnosne linije, kreditne linije i gotovinske predujmove servisera, instit</w:t>
            </w:r>
            <w:r w:rsidRPr="00EF7F33">
              <w:rPr>
                <w:rFonts w:ascii="Times New Roman" w:hAnsi="Times New Roman"/>
                <w:sz w:val="24"/>
              </w:rPr>
              <w:t>u</w:t>
            </w:r>
            <w:r w:rsidRPr="00EF7F33">
              <w:rPr>
                <w:rFonts w:ascii="Times New Roman" w:hAnsi="Times New Roman"/>
                <w:sz w:val="24"/>
              </w:rPr>
              <w:t xml:space="preserve">cije dostavljaju neiskorišteni iznos.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kamatne i valutne ugovore o razmjeni dostavljaju vrijednost izloženosti (u skladu s člankom 246. stavkom 1. CRR-a) kako je određena u obrascu s uku</w:t>
            </w:r>
            <w:r w:rsidRPr="00EF7F33">
              <w:rPr>
                <w:rFonts w:ascii="Times New Roman" w:hAnsi="Times New Roman"/>
                <w:sz w:val="24"/>
              </w:rPr>
              <w:t>p</w:t>
            </w:r>
            <w:r w:rsidRPr="00EF7F33">
              <w:rPr>
                <w:rFonts w:ascii="Times New Roman" w:hAnsi="Times New Roman"/>
                <w:sz w:val="24"/>
              </w:rPr>
              <w:t>nim podacima CR SA.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Izvanbilančne stavke i izvedenice raščlanjuju se prema sekuritizacijama (redak 080) i resekuritizacijama (redak 090) u skladu s tablicom 1. iz članka 251. CRR-a.</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100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PRIJEVREMENA ISPLATA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Ovaj se redak primjenjuje samo na inicijatore sa sekuritizacijama obnovljivih izloženosti koje sadržavaju odredbe o prijevremenoj odredbi, kako je navedeno u članku 242. stavcima 13. i 14. CRR-a.</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101" w:type="dxa"/>
            <w:tcBorders>
              <w:bottom w:val="single" w:sz="4" w:space="0" w:color="auto"/>
            </w:tcBorders>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110</w:t>
            </w:r>
          </w:p>
        </w:tc>
        <w:tc>
          <w:tcPr>
            <w:tcW w:w="7903" w:type="dxa"/>
            <w:tcBorders>
              <w:bottom w:val="single" w:sz="4" w:space="0" w:color="auto"/>
            </w:tcBorders>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INVESTITOR: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su retku sažete informacije o bilančnim i izvanbilančnim stavkama te izvedenicama sekuritizacijskih pozicija kod kojih institucija ima ulogu invest</w:t>
            </w:r>
            <w:r w:rsidRPr="00EF7F33">
              <w:rPr>
                <w:rFonts w:ascii="Times New Roman" w:hAnsi="Times New Roman"/>
                <w:sz w:val="24"/>
              </w:rPr>
              <w:t>i</w:t>
            </w:r>
            <w:r w:rsidRPr="00EF7F33">
              <w:rPr>
                <w:rFonts w:ascii="Times New Roman" w:hAnsi="Times New Roman"/>
                <w:sz w:val="24"/>
              </w:rPr>
              <w:t xml:space="preserve">tora.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CRR-om nije predviđena izričita definicija investitora. Stoga se u ovom ko</w:t>
            </w:r>
            <w:r w:rsidRPr="00EF7F33">
              <w:rPr>
                <w:rFonts w:ascii="Times New Roman" w:hAnsi="Times New Roman"/>
                <w:sz w:val="24"/>
              </w:rPr>
              <w:t>n</w:t>
            </w:r>
            <w:r w:rsidRPr="00EF7F33">
              <w:rPr>
                <w:rFonts w:ascii="Times New Roman" w:hAnsi="Times New Roman"/>
                <w:sz w:val="24"/>
              </w:rPr>
              <w:t>tekstu podrazumijeva institucijom koja drži sekuritizacijsku poziciju u sekurit</w:t>
            </w:r>
            <w:r w:rsidRPr="00EF7F33">
              <w:rPr>
                <w:rFonts w:ascii="Times New Roman" w:hAnsi="Times New Roman"/>
                <w:sz w:val="24"/>
              </w:rPr>
              <w:t>i</w:t>
            </w:r>
            <w:r w:rsidRPr="00EF7F33">
              <w:rPr>
                <w:rFonts w:ascii="Times New Roman" w:hAnsi="Times New Roman"/>
                <w:sz w:val="24"/>
              </w:rPr>
              <w:t>zacijskoj transakciji u kojoj nije ni inicijator ni sponzor.</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120-140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BILANČNE STAVKE</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i resekurit</w:t>
            </w:r>
            <w:r w:rsidRPr="00EF7F33">
              <w:rPr>
                <w:rFonts w:ascii="Times New Roman" w:hAnsi="Times New Roman"/>
                <w:sz w:val="24"/>
              </w:rPr>
              <w:t>i</w:t>
            </w:r>
            <w:r w:rsidRPr="00EF7F33">
              <w:rPr>
                <w:rFonts w:ascii="Times New Roman" w:hAnsi="Times New Roman"/>
                <w:sz w:val="24"/>
              </w:rPr>
              <w:t>zacija koji se primjenjuju za bilančne stavke za inicijatore.</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150-170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i resekurit</w:t>
            </w:r>
            <w:r w:rsidRPr="00EF7F33">
              <w:rPr>
                <w:rFonts w:ascii="Times New Roman" w:hAnsi="Times New Roman"/>
                <w:sz w:val="24"/>
              </w:rPr>
              <w:t>i</w:t>
            </w:r>
            <w:r w:rsidRPr="00EF7F33">
              <w:rPr>
                <w:rFonts w:ascii="Times New Roman" w:hAnsi="Times New Roman"/>
                <w:sz w:val="24"/>
              </w:rPr>
              <w:t>zacija koji se primjenjuju za izvanbilančne stavke i izvedenice za inicijatore.</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lastRenderedPageBreak/>
              <w:t>180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SPONZOR: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pacing w:val="-6"/>
                <w:sz w:val="24"/>
              </w:rPr>
            </w:pPr>
            <w:r w:rsidRPr="00EF7F33">
              <w:rPr>
                <w:rFonts w:ascii="Times New Roman" w:hAnsi="Times New Roman"/>
                <w:sz w:val="24"/>
              </w:rPr>
              <w:t>U ovom su retku sažete informacije o bilančnim i izvanbilančnim stavkama i izvedenicama sekuritizacijskih pozicija kod kojih institucija ima ulogu sponz</w:t>
            </w:r>
            <w:r w:rsidRPr="00EF7F33">
              <w:rPr>
                <w:rFonts w:ascii="Times New Roman" w:hAnsi="Times New Roman"/>
                <w:sz w:val="24"/>
              </w:rPr>
              <w:t>o</w:t>
            </w:r>
            <w:r w:rsidRPr="00EF7F33">
              <w:rPr>
                <w:rFonts w:ascii="Times New Roman" w:hAnsi="Times New Roman"/>
                <w:sz w:val="24"/>
              </w:rPr>
              <w:t>ra, kako je definirano u članku 4. točki 14. CRR-a. Ako sponzor i sekuritizira svoju imovinu, popunjava retke za inicijatora informacijama o vlastitoj sekur</w:t>
            </w:r>
            <w:r w:rsidRPr="00EF7F33">
              <w:rPr>
                <w:rFonts w:ascii="Times New Roman" w:hAnsi="Times New Roman"/>
                <w:sz w:val="24"/>
              </w:rPr>
              <w:t>i</w:t>
            </w:r>
            <w:r w:rsidRPr="00EF7F33">
              <w:rPr>
                <w:rFonts w:ascii="Times New Roman" w:hAnsi="Times New Roman"/>
                <w:sz w:val="24"/>
              </w:rPr>
              <w:t>tiziranoj imovini.</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101"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190-210</w:t>
            </w:r>
          </w:p>
        </w:tc>
        <w:tc>
          <w:tcPr>
            <w:tcW w:w="7903" w:type="dxa"/>
            <w:shd w:val="clear" w:color="auto" w:fill="auto"/>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i resekurit</w:t>
            </w:r>
            <w:r w:rsidRPr="00EF7F33">
              <w:rPr>
                <w:rFonts w:ascii="Times New Roman" w:hAnsi="Times New Roman"/>
                <w:sz w:val="24"/>
              </w:rPr>
              <w:t>i</w:t>
            </w:r>
            <w:r w:rsidRPr="00EF7F33">
              <w:rPr>
                <w:rFonts w:ascii="Times New Roman" w:hAnsi="Times New Roman"/>
                <w:sz w:val="24"/>
              </w:rPr>
              <w:t>zacija koji se primjenjuju za bilančne stavke za inicijatore.</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101"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220-240</w:t>
            </w:r>
          </w:p>
        </w:tc>
        <w:tc>
          <w:tcPr>
            <w:tcW w:w="7903" w:type="dxa"/>
            <w:shd w:val="clear" w:color="auto" w:fill="auto"/>
          </w:tcPr>
          <w:p w:rsidR="00612780" w:rsidRPr="00EF7F33" w:rsidRDefault="00612780" w:rsidP="00612780">
            <w:pPr>
              <w:autoSpaceDE w:val="0"/>
              <w:autoSpaceDN w:val="0"/>
              <w:adjustRightInd w:val="0"/>
              <w:spacing w:before="0" w:after="0"/>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i resekurit</w:t>
            </w:r>
            <w:r w:rsidRPr="00EF7F33">
              <w:rPr>
                <w:rFonts w:ascii="Times New Roman" w:hAnsi="Times New Roman"/>
                <w:sz w:val="24"/>
              </w:rPr>
              <w:t>i</w:t>
            </w:r>
            <w:r w:rsidRPr="00EF7F33">
              <w:rPr>
                <w:rFonts w:ascii="Times New Roman" w:hAnsi="Times New Roman"/>
                <w:sz w:val="24"/>
              </w:rPr>
              <w:t>zacija koji se primjenjuju za izvanbilančne stavke i izvedenice za inicijatore.</w:t>
            </w:r>
          </w:p>
          <w:p w:rsidR="00612780" w:rsidRPr="00EF7F33" w:rsidRDefault="00612780" w:rsidP="00612780">
            <w:pPr>
              <w:autoSpaceDE w:val="0"/>
              <w:autoSpaceDN w:val="0"/>
              <w:adjustRightInd w:val="0"/>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250-290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RAŠČLAMBA PREOSTALIH POZICIJA PREMA STUPNJEVIMA KREDITNE KVALITETE NA POČETKU</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ovim se redcima prikupljaju informacije o preostalim pozicijama koje se tr</w:t>
            </w:r>
            <w:r w:rsidRPr="00EF7F33">
              <w:rPr>
                <w:rFonts w:ascii="Times New Roman" w:hAnsi="Times New Roman"/>
                <w:sz w:val="24"/>
              </w:rPr>
              <w:t>e</w:t>
            </w:r>
            <w:r w:rsidRPr="00EF7F33">
              <w:rPr>
                <w:rFonts w:ascii="Times New Roman" w:hAnsi="Times New Roman"/>
                <w:sz w:val="24"/>
              </w:rPr>
              <w:t>tiraju prema metodi zasnovanoj na rejtinzima i pozicijama bez rejtinga (na izvještajni datum) prema stupnjevima kreditne kvalitete (predviđenima za sta</w:t>
            </w:r>
            <w:r w:rsidRPr="00EF7F33">
              <w:rPr>
                <w:rFonts w:ascii="Times New Roman" w:hAnsi="Times New Roman"/>
                <w:sz w:val="24"/>
              </w:rPr>
              <w:t>n</w:t>
            </w:r>
            <w:r w:rsidRPr="00EF7F33">
              <w:rPr>
                <w:rFonts w:ascii="Times New Roman" w:hAnsi="Times New Roman"/>
                <w:sz w:val="24"/>
              </w:rPr>
              <w:t>dardizirani pristup u članku 251. (tablici 1.) CRR-a) koji se primjenjuju na d</w:t>
            </w:r>
            <w:r w:rsidRPr="00EF7F33">
              <w:rPr>
                <w:rFonts w:ascii="Times New Roman" w:hAnsi="Times New Roman"/>
                <w:sz w:val="24"/>
              </w:rPr>
              <w:t>a</w:t>
            </w:r>
            <w:r w:rsidRPr="00EF7F33">
              <w:rPr>
                <w:rFonts w:ascii="Times New Roman" w:hAnsi="Times New Roman"/>
                <w:sz w:val="24"/>
              </w:rPr>
              <w:t>tum početka sekuritizacije (početak). U nedostatku tih informacija, iskazuju se najraniji dostupni podaci istovjetni stupnjevima kreditne kvalitete.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Ove je retke potrebno iskazivati samo za stupce 190, od 210 do 270 i stupce od 330 do 340.</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58" w:name="_Toc239157387"/>
      <w:bookmarkStart w:id="459" w:name="_Toc310415042"/>
      <w:bookmarkStart w:id="460" w:name="_Toc360188378"/>
      <w:bookmarkStart w:id="461" w:name="_Toc516210664"/>
      <w:bookmarkStart w:id="462" w:name="_Toc473560929"/>
      <w:bookmarkStart w:id="463" w:name="_Toc523998156"/>
      <w:r w:rsidRPr="00EF7F33">
        <w:rPr>
          <w:rFonts w:ascii="Times New Roman" w:hAnsi="Times New Roman"/>
          <w:sz w:val="24"/>
          <w:u w:val="none"/>
        </w:rPr>
        <w:t>3.8.</w:t>
      </w:r>
      <w:r w:rsidRPr="00EF7F33">
        <w:tab/>
      </w:r>
      <w:r w:rsidRPr="00EF7F33">
        <w:rPr>
          <w:rFonts w:ascii="Times New Roman" w:hAnsi="Times New Roman"/>
          <w:sz w:val="24"/>
        </w:rPr>
        <w:t xml:space="preserve">C 13.00 – Kreditni rizik – sekuritizacije: pristup kapitalnim zahtjevima zasnovan na internim rejting-sustavima </w:t>
      </w:r>
      <w:bookmarkEnd w:id="458"/>
      <w:bookmarkEnd w:id="459"/>
      <w:bookmarkEnd w:id="460"/>
      <w:r w:rsidRPr="00EF7F33">
        <w:rPr>
          <w:rFonts w:ascii="Times New Roman" w:hAnsi="Times New Roman"/>
          <w:sz w:val="24"/>
        </w:rPr>
        <w:t xml:space="preserve"> (CR SEC IRB)</w:t>
      </w:r>
      <w:bookmarkEnd w:id="461"/>
      <w:bookmarkEnd w:id="462"/>
      <w:bookmarkEnd w:id="463"/>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64" w:name="_Toc239157388"/>
      <w:bookmarkStart w:id="465" w:name="_Toc310415043"/>
      <w:bookmarkStart w:id="466" w:name="_Toc360188379"/>
      <w:bookmarkStart w:id="467" w:name="_Toc516210665"/>
      <w:bookmarkStart w:id="468" w:name="_Toc473560930"/>
      <w:bookmarkStart w:id="469" w:name="_Toc523998157"/>
      <w:r w:rsidRPr="00EF7F33">
        <w:rPr>
          <w:rFonts w:ascii="Times New Roman" w:hAnsi="Times New Roman"/>
          <w:sz w:val="24"/>
          <w:u w:val="none"/>
        </w:rPr>
        <w:t>3.8.1.</w:t>
      </w:r>
      <w:r w:rsidRPr="00EF7F33">
        <w:tab/>
      </w:r>
      <w:r w:rsidRPr="00EF7F33">
        <w:rPr>
          <w:rFonts w:ascii="Times New Roman" w:hAnsi="Times New Roman"/>
          <w:sz w:val="24"/>
        </w:rPr>
        <w:t>Opće napomene</w:t>
      </w:r>
      <w:bookmarkEnd w:id="464"/>
      <w:bookmarkEnd w:id="465"/>
      <w:bookmarkEnd w:id="466"/>
      <w:bookmarkEnd w:id="467"/>
      <w:bookmarkEnd w:id="468"/>
      <w:bookmarkEnd w:id="469"/>
    </w:p>
    <w:p w:rsidR="00612780" w:rsidRPr="00EF7F33" w:rsidRDefault="00125707" w:rsidP="00C37B29">
      <w:pPr>
        <w:pStyle w:val="InstructionsText2"/>
        <w:numPr>
          <w:ilvl w:val="0"/>
          <w:numId w:val="0"/>
        </w:numPr>
        <w:ind w:left="993"/>
      </w:pPr>
      <w:r w:rsidRPr="00EF7F33">
        <w:t>104.</w:t>
      </w:r>
      <w:r w:rsidRPr="00EF7F33">
        <w:tab/>
        <w:t>Informacije u ovom obrascu potrebne su za sve sekuritizacije za koje je priznat prijenos značajnog rizika i u kojima je institucija koja izvješćuje uključena u sekur</w:t>
      </w:r>
      <w:r w:rsidRPr="00EF7F33">
        <w:t>i</w:t>
      </w:r>
      <w:r w:rsidRPr="00EF7F33">
        <w:t>tizaciju koja se tretira u skladu s pristupom zasnovanim na internim rejting-sustavima. Na referentne datume izvješćivanja koji slijede nakon 1. siječnja 2019. sekuritizacije čiji se iznosi izloženosti ponderirani rizikom određuju na temelju r</w:t>
      </w:r>
      <w:r w:rsidRPr="00EF7F33">
        <w:t>e</w:t>
      </w:r>
      <w:r w:rsidRPr="00EF7F33">
        <w:t xml:space="preserve">vidiranog sekuritizacijskog okvira ne iskazuju se u ovom obrascu, već u obrascu C 02.00. Isto tako, na referentne datume izvješćivanja koji slijede nakon 1. siječnja 2019. sekuritizacijske pozicije, na koje se primjenjuje ponder rizika od 1250 % u </w:t>
      </w:r>
      <w:r w:rsidRPr="00EF7F33">
        <w:lastRenderedPageBreak/>
        <w:t>skladu s revidiranim sekuritizacijskim okvirom i koje se odbijaju od redovnog o</w:t>
      </w:r>
      <w:r w:rsidRPr="00EF7F33">
        <w:t>s</w:t>
      </w:r>
      <w:r w:rsidRPr="00EF7F33">
        <w:t>novnog kapitala u skladu s člankom 36. stavkom 1. točkom (k) podtočkom ii. CRR-a, ne iskazuju se u ovom obrascu, već u obrascu C 01.00.</w:t>
      </w:r>
    </w:p>
    <w:p w:rsidR="001D5403" w:rsidRPr="00EF7F33" w:rsidRDefault="00C67004" w:rsidP="00C37B29">
      <w:pPr>
        <w:pStyle w:val="InstructionsText2"/>
        <w:numPr>
          <w:ilvl w:val="0"/>
          <w:numId w:val="0"/>
        </w:numPr>
        <w:ind w:left="993"/>
      </w:pPr>
      <w:r w:rsidRPr="00EF7F33">
        <w:t>104a. Za potrebe ovog obrasca sva upućivanja na članke iz dijela trećeg glave II. poglavlja 5. CRR-a smatraju se upućivanjima na CRR u verziji primjenjivoj na dan 31. prosinca 2018.</w:t>
      </w:r>
    </w:p>
    <w:p w:rsidR="00612780" w:rsidRPr="00EF7F33" w:rsidRDefault="00125707" w:rsidP="00C37B29">
      <w:pPr>
        <w:pStyle w:val="InstructionsText2"/>
        <w:numPr>
          <w:ilvl w:val="0"/>
          <w:numId w:val="0"/>
        </w:numPr>
        <w:ind w:left="993"/>
      </w:pPr>
      <w:r w:rsidRPr="00EF7F33">
        <w:t>105.</w:t>
      </w:r>
      <w:r w:rsidRPr="00EF7F33">
        <w:tab/>
        <w:t>Informacije koje je potrebno iskazati ovise o ulozi institucije u sekuritizaciji. Kao takve, specifične izvještajne stavke mogu se primjenjivati na inicijatore, spo</w:t>
      </w:r>
      <w:r w:rsidRPr="00EF7F33">
        <w:t>n</w:t>
      </w:r>
      <w:r w:rsidRPr="00EF7F33">
        <w:t>zore i investitore.</w:t>
      </w:r>
    </w:p>
    <w:p w:rsidR="00612780" w:rsidRPr="00EF7F33" w:rsidRDefault="00125707" w:rsidP="00C37B29">
      <w:pPr>
        <w:pStyle w:val="InstructionsText2"/>
        <w:numPr>
          <w:ilvl w:val="0"/>
          <w:numId w:val="0"/>
        </w:numPr>
        <w:ind w:left="993"/>
      </w:pPr>
      <w:r w:rsidRPr="00EF7F33">
        <w:t>106.</w:t>
      </w:r>
      <w:r w:rsidRPr="00EF7F33">
        <w:tab/>
        <w:t>Obrazac CR SEC IRB ima jednak opseg kao CR SEC SA. U njemu se priku</w:t>
      </w:r>
      <w:r w:rsidRPr="00EF7F33">
        <w:t>p</w:t>
      </w:r>
      <w:r w:rsidRPr="00EF7F33">
        <w:t xml:space="preserve">ljaju zajedničke informacije o tradicionalnim i sintetskim sekuritizacijama koje se drže u knjizi pozicija kojima se ne trguje. </w:t>
      </w: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70" w:name="_Toc239157389"/>
      <w:bookmarkStart w:id="471" w:name="_Toc310415044"/>
      <w:bookmarkStart w:id="472" w:name="_Toc360188380"/>
      <w:bookmarkStart w:id="473" w:name="_Toc516210666"/>
      <w:bookmarkStart w:id="474" w:name="_Toc473560931"/>
      <w:bookmarkStart w:id="475" w:name="_Toc523998158"/>
      <w:r w:rsidRPr="00EF7F33">
        <w:rPr>
          <w:rFonts w:ascii="Times New Roman" w:hAnsi="Times New Roman"/>
          <w:sz w:val="24"/>
          <w:u w:val="none"/>
        </w:rPr>
        <w:t>3.8.2.</w:t>
      </w:r>
      <w:r w:rsidRPr="00EF7F33">
        <w:tab/>
      </w:r>
      <w:r w:rsidRPr="00EF7F33">
        <w:rPr>
          <w:rFonts w:ascii="Times New Roman" w:hAnsi="Times New Roman"/>
          <w:sz w:val="24"/>
        </w:rPr>
        <w:t>Upute za specifične pozicije</w:t>
      </w:r>
      <w:bookmarkEnd w:id="470"/>
      <w:bookmarkEnd w:id="471"/>
      <w:bookmarkEnd w:id="472"/>
      <w:bookmarkEnd w:id="473"/>
      <w:bookmarkEnd w:id="474"/>
      <w:bookmarkEnd w:id="47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EF7F33" w:rsidTr="00672D2A">
        <w:tc>
          <w:tcPr>
            <w:tcW w:w="9004" w:type="dxa"/>
            <w:gridSpan w:val="2"/>
            <w:shd w:val="clear" w:color="auto" w:fill="CCCCCC"/>
          </w:tcPr>
          <w:p w:rsidR="00612780" w:rsidRPr="00EF7F33" w:rsidRDefault="00612780" w:rsidP="00612780">
            <w:pPr>
              <w:autoSpaceDE w:val="0"/>
              <w:autoSpaceDN w:val="0"/>
              <w:adjustRightInd w:val="0"/>
              <w:spacing w:before="0" w:after="0"/>
              <w:ind w:left="426"/>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b/>
                <w:bCs/>
                <w:sz w:val="24"/>
              </w:rPr>
            </w:pPr>
            <w:r w:rsidRPr="00EF7F33">
              <w:rPr>
                <w:rFonts w:ascii="Times New Roman" w:hAnsi="Times New Roman"/>
                <w:b/>
                <w:sz w:val="24"/>
              </w:rPr>
              <w:t>Stupci</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010</w:t>
            </w:r>
          </w:p>
        </w:tc>
        <w:tc>
          <w:tcPr>
            <w:tcW w:w="7903" w:type="dxa"/>
          </w:tcPr>
          <w:p w:rsidR="00612780" w:rsidRPr="00EF7F33" w:rsidRDefault="00612780" w:rsidP="00612780">
            <w:pPr>
              <w:spacing w:before="0" w:after="0"/>
              <w:jc w:val="left"/>
              <w:rPr>
                <w:rFonts w:ascii="Times New Roman" w:hAnsi="Times New Roman"/>
                <w:sz w:val="24"/>
              </w:rPr>
            </w:pPr>
            <w:r w:rsidRPr="00EF7F33">
              <w:rPr>
                <w:rFonts w:ascii="Times New Roman" w:hAnsi="Times New Roman"/>
                <w:b/>
                <w:sz w:val="24"/>
                <w:u w:val="single"/>
              </w:rPr>
              <w:t>UKUPAN IZNOS INICIRANIH SEKURITIZIRANIH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ukupne retke o bilančnim stavkama, iznos iskazan u ovom stupcu odgovara preostalom iznosu sekuritiziranih izloženosti na izvještajni datuma.</w:t>
            </w:r>
          </w:p>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Vidjeti stupac 010 obrasca CR SEC SA.</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020-040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SINTETSKE SEKURITIZACIJE: KREDITNA ZAŠTITA SEKURITIZ</w:t>
            </w:r>
            <w:r w:rsidRPr="00EF7F33">
              <w:rPr>
                <w:rFonts w:ascii="Times New Roman" w:hAnsi="Times New Roman"/>
                <w:b/>
                <w:sz w:val="24"/>
                <w:u w:val="single"/>
              </w:rPr>
              <w:t>I</w:t>
            </w:r>
            <w:r w:rsidRPr="00EF7F33">
              <w:rPr>
                <w:rFonts w:ascii="Times New Roman" w:hAnsi="Times New Roman"/>
                <w:b/>
                <w:sz w:val="24"/>
                <w:u w:val="single"/>
              </w:rPr>
              <w:t>RANIH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Članci 249. i 250. CRR-a </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bCs/>
                <w:sz w:val="24"/>
              </w:rPr>
            </w:pPr>
            <w:r w:rsidRPr="00EF7F33">
              <w:rPr>
                <w:rFonts w:ascii="Times New Roman" w:hAnsi="Times New Roman"/>
                <w:sz w:val="24"/>
              </w:rPr>
              <w:t xml:space="preserve">Ročne neusklađenosti ne uzimaju se u obzir u prilagođenoj vrijednosti tehnika smanjenja kreditnog rizika uključenih u strukturu sekuritizacije. </w:t>
            </w: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020</w:t>
            </w:r>
          </w:p>
        </w:tc>
        <w:tc>
          <w:tcPr>
            <w:tcW w:w="7903" w:type="dxa"/>
          </w:tcPr>
          <w:p w:rsidR="00612780" w:rsidRPr="00EF7F33" w:rsidRDefault="00612780" w:rsidP="00612780">
            <w:pPr>
              <w:spacing w:before="0" w:after="0"/>
              <w:jc w:val="left"/>
              <w:rPr>
                <w:rFonts w:ascii="Times New Roman" w:hAnsi="Times New Roman"/>
                <w:b/>
                <w:strike/>
                <w:sz w:val="24"/>
                <w:u w:val="single"/>
              </w:rPr>
            </w:pPr>
            <w:r w:rsidRPr="00EF7F33">
              <w:rPr>
                <w:rFonts w:ascii="Times New Roman" w:hAnsi="Times New Roman"/>
                <w:b/>
                <w:sz w:val="24"/>
                <w:u w:val="single"/>
              </w:rPr>
              <w:t>(–) MATERIJALNA KREDITNA ZAŠTITA (C</w:t>
            </w:r>
            <w:r w:rsidRPr="00EF7F33">
              <w:rPr>
                <w:rFonts w:ascii="Times New Roman" w:hAnsi="Times New Roman"/>
                <w:b/>
                <w:sz w:val="24"/>
                <w:u w:val="single"/>
                <w:vertAlign w:val="subscript"/>
              </w:rPr>
              <w:t>VA</w:t>
            </w:r>
            <w:r w:rsidRPr="00EF7F33">
              <w:rPr>
                <w:rFonts w:ascii="Times New Roman" w:hAnsi="Times New Roman"/>
                <w:b/>
                <w:sz w:val="24"/>
                <w:u w:val="single"/>
              </w:rPr>
              <w:t xml:space="preserv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Detaljan postupak izračuna vrijednosti kolaterala korigirane korektivnim fakt</w:t>
            </w:r>
            <w:r w:rsidRPr="00EF7F33">
              <w:rPr>
                <w:rFonts w:ascii="Times New Roman" w:hAnsi="Times New Roman"/>
                <w:sz w:val="24"/>
              </w:rPr>
              <w:t>o</w:t>
            </w:r>
            <w:r w:rsidRPr="00EF7F33">
              <w:rPr>
                <w:rFonts w:ascii="Times New Roman" w:hAnsi="Times New Roman"/>
                <w:sz w:val="24"/>
              </w:rPr>
              <w:t>rom (C</w:t>
            </w:r>
            <w:r w:rsidRPr="00EF7F33">
              <w:rPr>
                <w:rFonts w:ascii="Times New Roman" w:hAnsi="Times New Roman"/>
                <w:sz w:val="24"/>
                <w:vertAlign w:val="subscript"/>
              </w:rPr>
              <w:t>VA</w:t>
            </w:r>
            <w:r w:rsidRPr="00EF7F33">
              <w:rPr>
                <w:rFonts w:ascii="Times New Roman" w:hAnsi="Times New Roman"/>
                <w:sz w:val="24"/>
              </w:rPr>
              <w:t>) za koju se očekuje da će se iskazati u ovom stupcu utvrđen je u članku 223. stavku 2. CRR-a.</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UKUPNI ODLJEVI: PRILAGOĐENE VRIJEDNOSTI NEMATER</w:t>
            </w:r>
            <w:r w:rsidRPr="00EF7F33">
              <w:rPr>
                <w:rFonts w:ascii="Times New Roman" w:hAnsi="Times New Roman"/>
                <w:b/>
                <w:sz w:val="24"/>
                <w:u w:val="single"/>
              </w:rPr>
              <w:t>I</w:t>
            </w:r>
            <w:r w:rsidRPr="00EF7F33">
              <w:rPr>
                <w:rFonts w:ascii="Times New Roman" w:hAnsi="Times New Roman"/>
                <w:b/>
                <w:sz w:val="24"/>
                <w:u w:val="single"/>
              </w:rPr>
              <w:t xml:space="preserve">JALNE KREDITNE ZAŠTITE (G*)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i/>
                <w:sz w:val="24"/>
              </w:rPr>
            </w:pPr>
            <w:r w:rsidRPr="00EF7F33">
              <w:rPr>
                <w:rFonts w:ascii="Times New Roman" w:hAnsi="Times New Roman"/>
                <w:sz w:val="24"/>
              </w:rPr>
              <w:t>U skladu s općim pravilom za „priljeve” i „odljeve”, iznosi koji se iskazuju u stupcu 030 obrasca CR SEC IRB pojavljuju se kao „priljevi” u odgovarajućem obrascu za kreditni rizik (CR SA ili CR IRB) i kategoriji izloženosti relevantnoj za pružatelja zaštite (tj. treću stranu kojoj se tranša prenosi nematerijalnom kr</w:t>
            </w:r>
            <w:r w:rsidRPr="00EF7F33">
              <w:rPr>
                <w:rFonts w:ascii="Times New Roman" w:hAnsi="Times New Roman"/>
                <w:sz w:val="24"/>
              </w:rPr>
              <w:t>e</w:t>
            </w:r>
            <w:r w:rsidRPr="00EF7F33">
              <w:rPr>
                <w:rFonts w:ascii="Times New Roman" w:hAnsi="Times New Roman"/>
                <w:sz w:val="24"/>
              </w:rPr>
              <w:t>ditnom zaštitom)</w:t>
            </w:r>
            <w:r w:rsidRPr="00EF7F33">
              <w:rPr>
                <w:rFonts w:ascii="Times New Roman" w:hAnsi="Times New Roman"/>
                <w:i/>
                <w:sz w:val="24"/>
              </w:rPr>
              <w:t>.</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Postupak izračuna „valutnog rizika” – prilagođenog nominalnog iznosa kredi</w:t>
            </w:r>
            <w:r w:rsidRPr="00EF7F33">
              <w:rPr>
                <w:rFonts w:ascii="Times New Roman" w:hAnsi="Times New Roman"/>
                <w:sz w:val="24"/>
              </w:rPr>
              <w:t>t</w:t>
            </w:r>
            <w:r w:rsidRPr="00EF7F33">
              <w:rPr>
                <w:rFonts w:ascii="Times New Roman" w:hAnsi="Times New Roman"/>
                <w:sz w:val="24"/>
              </w:rPr>
              <w:lastRenderedPageBreak/>
              <w:t>ne zaštite (G*) utvrđen je u članku 233. stavku 3. CRR-a.</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ZAMIŠLJENI ZADRŽANI ILI PONOVNO KUPLJENI IZNOS KRED</w:t>
            </w:r>
            <w:r w:rsidRPr="00EF7F33">
              <w:rPr>
                <w:rFonts w:ascii="Times New Roman" w:hAnsi="Times New Roman"/>
                <w:b/>
                <w:sz w:val="24"/>
                <w:u w:val="single"/>
              </w:rPr>
              <w:t>I</w:t>
            </w:r>
            <w:r w:rsidRPr="00EF7F33">
              <w:rPr>
                <w:rFonts w:ascii="Times New Roman" w:hAnsi="Times New Roman"/>
                <w:b/>
                <w:sz w:val="24"/>
                <w:u w:val="single"/>
              </w:rPr>
              <w:t>TNE ZAŠTITE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Sve tranše koje su zadržane ili ponovno kupljene, npr. zadržane pozicije prvoga gubitka iskazuju se sa svojim nominalnim iznosom.</w:t>
            </w:r>
          </w:p>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Učinak nadzornih korektivnih faktora u kreditnoj zaštiti ne uzima se u obzir pri izračunu zadržanog ili ponovno kupljenog iznosa kreditne zaštite.</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050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 xml:space="preserve">SEKURITIZACIJSKE POZICIJE: ORIGINALNA IZLOŽENOST PRIJE KONVERZIJSKIH FAKTORA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koje drži institucija koja izvješćuje, izračunane u skl</w:t>
            </w:r>
            <w:r w:rsidRPr="00EF7F33">
              <w:rPr>
                <w:rFonts w:ascii="Times New Roman" w:hAnsi="Times New Roman"/>
                <w:sz w:val="24"/>
              </w:rPr>
              <w:t>a</w:t>
            </w:r>
            <w:r w:rsidRPr="00EF7F33">
              <w:rPr>
                <w:rFonts w:ascii="Times New Roman" w:hAnsi="Times New Roman"/>
                <w:sz w:val="24"/>
              </w:rPr>
              <w:t>du s člankom 246. stavkom 1. točkama (b), (d) i (e) i stavkom 2. CRR-a, bez primjene kreditnih konverzijskih faktora i ne uzimajući u obzir ispravke vrije</w:t>
            </w:r>
            <w:r w:rsidRPr="00EF7F33">
              <w:rPr>
                <w:rFonts w:ascii="Times New Roman" w:hAnsi="Times New Roman"/>
                <w:sz w:val="24"/>
              </w:rPr>
              <w:t>d</w:t>
            </w:r>
            <w:r w:rsidRPr="00EF7F33">
              <w:rPr>
                <w:rFonts w:ascii="Times New Roman" w:hAnsi="Times New Roman"/>
                <w:sz w:val="24"/>
              </w:rPr>
              <w:t>nosti za kreditni rizik i rezervacije. Netiranje je relevantno samo u pogledu v</w:t>
            </w:r>
            <w:r w:rsidRPr="00EF7F33">
              <w:rPr>
                <w:rFonts w:ascii="Times New Roman" w:hAnsi="Times New Roman"/>
                <w:sz w:val="24"/>
              </w:rPr>
              <w:t>i</w:t>
            </w:r>
            <w:r w:rsidRPr="00EF7F33">
              <w:rPr>
                <w:rFonts w:ascii="Times New Roman" w:hAnsi="Times New Roman"/>
                <w:sz w:val="24"/>
              </w:rPr>
              <w:t>šestrukih ugovora o izvedenicama ponuđenih istom SSPN-u, uključenih u pri</w:t>
            </w:r>
            <w:r w:rsidRPr="00EF7F33">
              <w:rPr>
                <w:rFonts w:ascii="Times New Roman" w:hAnsi="Times New Roman"/>
                <w:sz w:val="24"/>
              </w:rPr>
              <w:t>z</w:t>
            </w:r>
            <w:r w:rsidRPr="00EF7F33">
              <w:rPr>
                <w:rFonts w:ascii="Times New Roman" w:hAnsi="Times New Roman"/>
                <w:sz w:val="24"/>
              </w:rPr>
              <w:t xml:space="preserve">nati sporazum o netiranju.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Vrijednosna usklađenja i rezervacije koje je potrebno iskazati u ovom stupcu odnose se samo na sekuritizacijske pozicije. Vrijednosna usklađenja sekuritiz</w:t>
            </w:r>
            <w:r w:rsidRPr="00EF7F33">
              <w:rPr>
                <w:rFonts w:ascii="Times New Roman" w:hAnsi="Times New Roman"/>
                <w:sz w:val="24"/>
              </w:rPr>
              <w:t>a</w:t>
            </w:r>
            <w:r w:rsidRPr="00EF7F33">
              <w:rPr>
                <w:rFonts w:ascii="Times New Roman" w:hAnsi="Times New Roman"/>
                <w:sz w:val="24"/>
              </w:rPr>
              <w:t>cijskih pozicija ne uzimaju se u obzir.</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klauzula o prijevremenoj isplati, institucija mora odrediti iznos „udj</w:t>
            </w:r>
            <w:r w:rsidRPr="00EF7F33">
              <w:rPr>
                <w:rFonts w:ascii="Times New Roman" w:hAnsi="Times New Roman"/>
                <w:sz w:val="24"/>
              </w:rPr>
              <w:t>e</w:t>
            </w:r>
            <w:r w:rsidRPr="00EF7F33">
              <w:rPr>
                <w:rFonts w:ascii="Times New Roman" w:hAnsi="Times New Roman"/>
                <w:sz w:val="24"/>
              </w:rPr>
              <w:t xml:space="preserve">la inicijatora”, kako je definiran u članku 256. stavku 2.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sintetskim sekuritizacijama pozicije koje drži inicijator u obliku bilančnih stavki i/ili udjela ulagatelja (prijevremena isplata) rezultat su agregiranja stup</w:t>
            </w:r>
            <w:r w:rsidRPr="00EF7F33">
              <w:rPr>
                <w:rFonts w:ascii="Times New Roman" w:hAnsi="Times New Roman"/>
                <w:sz w:val="24"/>
              </w:rPr>
              <w:t>a</w:t>
            </w:r>
            <w:r w:rsidRPr="00EF7F33">
              <w:rPr>
                <w:rFonts w:ascii="Times New Roman" w:hAnsi="Times New Roman"/>
                <w:sz w:val="24"/>
              </w:rPr>
              <w:t>ca od 010 do 040.</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060-090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TEHNIKE SMANJENJA KREDITNOG RIZIKA S UČINCIMA ZA</w:t>
            </w:r>
            <w:r w:rsidRPr="00EF7F33">
              <w:rPr>
                <w:rFonts w:ascii="Times New Roman" w:hAnsi="Times New Roman"/>
                <w:b/>
                <w:sz w:val="24"/>
                <w:u w:val="single"/>
              </w:rPr>
              <w:t>M</w:t>
            </w:r>
            <w:r w:rsidRPr="00EF7F33">
              <w:rPr>
                <w:rFonts w:ascii="Times New Roman" w:hAnsi="Times New Roman"/>
                <w:b/>
                <w:sz w:val="24"/>
                <w:u w:val="single"/>
              </w:rPr>
              <w:t>JENE NA IZLOŽENOST</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Vidjeti članak 4. stavak 1. točku 57. i dio 3. glavu II. poglavlje 4.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ovoj skupini stupaca prikupljaju se informacije o tehnikama smanjenja kred</w:t>
            </w:r>
            <w:r w:rsidRPr="00EF7F33">
              <w:rPr>
                <w:rFonts w:ascii="Times New Roman" w:hAnsi="Times New Roman"/>
                <w:sz w:val="24"/>
              </w:rPr>
              <w:t>i</w:t>
            </w:r>
            <w:r w:rsidRPr="00EF7F33">
              <w:rPr>
                <w:rFonts w:ascii="Times New Roman" w:hAnsi="Times New Roman"/>
                <w:sz w:val="24"/>
              </w:rPr>
              <w:t>tnog rizika kojima se smanjuje krediti rizik izloženosti zamjenom izloženosti (kako je navedeno u nastavku za priljeve i odljeve).</w:t>
            </w:r>
          </w:p>
          <w:p w:rsidR="00612780" w:rsidRPr="00EF7F33" w:rsidRDefault="00612780" w:rsidP="00612780">
            <w:pPr>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060</w:t>
            </w:r>
          </w:p>
        </w:tc>
        <w:tc>
          <w:tcPr>
            <w:tcW w:w="7903" w:type="dxa"/>
          </w:tcPr>
          <w:p w:rsidR="00612780" w:rsidRPr="00EF7F33" w:rsidRDefault="00C57F07" w:rsidP="00612780">
            <w:pPr>
              <w:spacing w:before="0" w:after="0"/>
              <w:jc w:val="left"/>
              <w:rPr>
                <w:rFonts w:ascii="Times New Roman" w:hAnsi="Times New Roman"/>
                <w:b/>
                <w:sz w:val="24"/>
                <w:u w:val="single"/>
              </w:rPr>
            </w:pPr>
            <w:r w:rsidRPr="00EF7F33">
              <w:rPr>
                <w:rFonts w:ascii="Times New Roman" w:hAnsi="Times New Roman"/>
                <w:b/>
                <w:sz w:val="24"/>
                <w:u w:val="single"/>
              </w:rPr>
              <w:t>(–) NEMATERIJALNA KREDITNA ZAŠTITA: PRILAGOĐENE VR</w:t>
            </w:r>
            <w:r w:rsidRPr="00EF7F33">
              <w:rPr>
                <w:rFonts w:ascii="Times New Roman" w:hAnsi="Times New Roman"/>
                <w:b/>
                <w:sz w:val="24"/>
                <w:u w:val="single"/>
              </w:rPr>
              <w:t>I</w:t>
            </w:r>
            <w:r w:rsidRPr="00EF7F33">
              <w:rPr>
                <w:rFonts w:ascii="Times New Roman" w:hAnsi="Times New Roman"/>
                <w:b/>
                <w:sz w:val="24"/>
                <w:u w:val="single"/>
              </w:rPr>
              <w:t>JEDNOSTI (G</w:t>
            </w:r>
            <w:r w:rsidRPr="00EF7F33">
              <w:rPr>
                <w:rFonts w:ascii="Times New Roman" w:hAnsi="Times New Roman"/>
                <w:b/>
                <w:sz w:val="24"/>
                <w:u w:val="single"/>
                <w:vertAlign w:val="subscript"/>
              </w:rPr>
              <w:t>A</w:t>
            </w:r>
            <w:r w:rsidRPr="00EF7F33">
              <w:rPr>
                <w:rFonts w:ascii="Times New Roman" w:hAnsi="Times New Roman"/>
                <w:b/>
                <w:sz w:val="24"/>
                <w:u w:val="single"/>
              </w:rPr>
              <w:t xml:space="preserve">) </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Nematerijalna kreditna zaštita definirana je u članku 4. stavku 1. točki 59.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članku 236. CRR-a opisuje se postupak izračuna G</w:t>
            </w:r>
            <w:r w:rsidRPr="00EF7F33">
              <w:rPr>
                <w:rFonts w:ascii="Times New Roman" w:hAnsi="Times New Roman"/>
                <w:sz w:val="24"/>
                <w:vertAlign w:val="subscript"/>
              </w:rPr>
              <w:t>A</w:t>
            </w:r>
            <w:r w:rsidRPr="00EF7F33">
              <w:rPr>
                <w:rFonts w:ascii="Times New Roman" w:hAnsi="Times New Roman"/>
                <w:sz w:val="24"/>
              </w:rPr>
              <w:t xml:space="preserve"> u slučaju potpune zašt</w:t>
            </w:r>
            <w:r w:rsidRPr="00EF7F33">
              <w:rPr>
                <w:rFonts w:ascii="Times New Roman" w:hAnsi="Times New Roman"/>
                <w:sz w:val="24"/>
              </w:rPr>
              <w:t>i</w:t>
            </w:r>
            <w:r w:rsidRPr="00EF7F33">
              <w:rPr>
                <w:rFonts w:ascii="Times New Roman" w:hAnsi="Times New Roman"/>
                <w:sz w:val="24"/>
              </w:rPr>
              <w:t>te/djelomične zaštite – jednako pravo u redoslijedu naplate.</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b/>
                <w:sz w:val="24"/>
                <w:u w:val="single"/>
              </w:rPr>
            </w:pPr>
            <w:r w:rsidRPr="00EF7F33">
              <w:rPr>
                <w:rFonts w:ascii="Times New Roman" w:hAnsi="Times New Roman"/>
                <w:sz w:val="24"/>
              </w:rPr>
              <w:lastRenderedPageBreak/>
              <w:t>Navedena je informacija povezana sa stupcima 040 i 050 obrasca CR IRB.</w:t>
            </w:r>
          </w:p>
          <w:p w:rsidR="00612780" w:rsidRPr="00EF7F33" w:rsidRDefault="00612780" w:rsidP="00612780">
            <w:pPr>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070</w:t>
            </w:r>
          </w:p>
        </w:tc>
        <w:tc>
          <w:tcPr>
            <w:tcW w:w="7903" w:type="dxa"/>
          </w:tcPr>
          <w:p w:rsidR="00612780" w:rsidRPr="00EF7F33" w:rsidRDefault="00C57F07" w:rsidP="00612780">
            <w:pPr>
              <w:spacing w:before="0" w:after="0"/>
              <w:rPr>
                <w:rFonts w:ascii="Times New Roman" w:hAnsi="Times New Roman"/>
                <w:b/>
                <w:sz w:val="24"/>
                <w:u w:val="single"/>
              </w:rPr>
            </w:pPr>
            <w:r w:rsidRPr="00EF7F33">
              <w:rPr>
                <w:rFonts w:ascii="Times New Roman" w:hAnsi="Times New Roman"/>
                <w:b/>
                <w:sz w:val="24"/>
                <w:u w:val="single"/>
              </w:rPr>
              <w:t>(–) MATERIJALNA KREDITNA ZAŠTITA</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Materijalna kreditna zaštita definirana je u članku 4. stavku 1. točki 58. CRR-a.</w:t>
            </w:r>
          </w:p>
          <w:p w:rsidR="00612780" w:rsidRPr="00EF7F33" w:rsidRDefault="00612780" w:rsidP="00612780">
            <w:pPr>
              <w:autoSpaceDE w:val="0"/>
              <w:autoSpaceDN w:val="0"/>
              <w:adjustRightInd w:val="0"/>
              <w:spacing w:before="0" w:after="0"/>
              <w:ind w:left="284" w:hanging="284"/>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Budući da se jednostavna metoda financijskog kolaterala ne može primijeniti, u ovom se stupcu iskazuje samo materijalna kreditna zaštita u skladu s člankom 200. CRR-a.</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je informacija povezana sa stupcem 060 obrasca CR IRB.</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080-090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ZAMJENA IZLOŽENOSTI ZBOG SMANJENJA KREDITNOG RIZ</w:t>
            </w:r>
            <w:r w:rsidRPr="00EF7F33">
              <w:rPr>
                <w:rFonts w:ascii="Times New Roman" w:hAnsi="Times New Roman"/>
                <w:b/>
                <w:sz w:val="24"/>
                <w:u w:val="single"/>
              </w:rPr>
              <w:t>I</w:t>
            </w:r>
            <w:r w:rsidRPr="00EF7F33">
              <w:rPr>
                <w:rFonts w:ascii="Times New Roman" w:hAnsi="Times New Roman"/>
                <w:b/>
                <w:sz w:val="24"/>
                <w:u w:val="single"/>
              </w:rPr>
              <w:t>KA:</w:t>
            </w:r>
          </w:p>
          <w:p w:rsidR="00612780" w:rsidRPr="00EF7F33" w:rsidRDefault="00612780" w:rsidP="00612780">
            <w:pPr>
              <w:spacing w:before="0" w:after="0"/>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Iskazuju se i priljevi i odljevi u istoj kategoriji izloženosti te, prema potrebi, ponderima rizika ili rejting-kategoriji dužnika.</w:t>
            </w:r>
          </w:p>
          <w:p w:rsidR="00612780" w:rsidRPr="00EF7F33" w:rsidRDefault="00612780" w:rsidP="00612780">
            <w:pPr>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080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UKUPNI ODLJEVI</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236.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Odljevi odgovaraju pokrivenom dijelu „izloženosti umanjene za vrijednosna usklađenja i rezervacije” koji je odbijen od kategorije izloženosti dužnika i, prema potrebi, rejting-kategorije dužnika ili skupa izloženosti te naknadno ra</w:t>
            </w:r>
            <w:r w:rsidRPr="00EF7F33">
              <w:rPr>
                <w:rFonts w:ascii="Times New Roman" w:hAnsi="Times New Roman"/>
                <w:sz w:val="24"/>
              </w:rPr>
              <w:t>s</w:t>
            </w:r>
            <w:r w:rsidRPr="00EF7F33">
              <w:rPr>
                <w:rFonts w:ascii="Times New Roman" w:hAnsi="Times New Roman"/>
                <w:sz w:val="24"/>
              </w:rPr>
              <w:t xml:space="preserve">poređen u kategoriju izloženosti pružatelja zaštite i, prema potrebi, rejting-kategoriju dužnika ili skup izloženosti. </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Taj se iznos smatra priljevom u kategoriju izloženosti pružatelja zaštite i, prema potrebi, pondere rizika ili rejting-kategorije dužnika.</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je informacija povezana sa stupcem 070 obrasca CR IRB.</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090</w:t>
            </w:r>
          </w:p>
        </w:tc>
        <w:tc>
          <w:tcPr>
            <w:tcW w:w="7903" w:type="dxa"/>
          </w:tcPr>
          <w:p w:rsidR="00612780" w:rsidRPr="00EF7F33" w:rsidRDefault="00612780" w:rsidP="00612780">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UKUPNI PRILJEVI</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Navedena je informacija povezana sa stupcem 080 obrasca CR IRB. </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100</w:t>
            </w:r>
          </w:p>
        </w:tc>
        <w:tc>
          <w:tcPr>
            <w:tcW w:w="7903" w:type="dxa"/>
          </w:tcPr>
          <w:p w:rsidR="00612780" w:rsidRPr="00EF7F33" w:rsidRDefault="00612780" w:rsidP="00612780">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IZLOŽENOST NAKON PRIMJENE TEHNIKA SMANJENJA KRED</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TNOG RIZIKA S UČINKOM ZAMJENE, A PRIJE PRIMJENE KO</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VERZIJSKIH FAKTORA</w:t>
            </w:r>
          </w:p>
          <w:p w:rsidR="00612780" w:rsidRPr="00EF7F33"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EF7F33"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EF7F33">
              <w:rPr>
                <w:rStyle w:val="FormatvorlageInstructionsTabelleText"/>
                <w:rFonts w:ascii="Times New Roman" w:hAnsi="Times New Roman"/>
                <w:sz w:val="24"/>
              </w:rPr>
              <w:t>Izloženost raspoređena u odgovarajući ponder rizika i kategoriju rizika nakon uzimanja o obzir odljeva i priljeva na temelju „tehnika smanjena rizika s uči</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cima zamjene na izloženost”.</w:t>
            </w:r>
          </w:p>
          <w:p w:rsidR="00612780" w:rsidRPr="00EF7F33"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EF7F33"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EF7F33">
              <w:rPr>
                <w:rStyle w:val="FormatvorlageInstructionsTabelleText"/>
                <w:rFonts w:ascii="Times New Roman" w:hAnsi="Times New Roman"/>
                <w:sz w:val="24"/>
              </w:rPr>
              <w:t>Navedena je informacija povezana sa stupcem 090 obrasca CR IRB.</w:t>
            </w:r>
          </w:p>
          <w:p w:rsidR="00612780" w:rsidRPr="00EF7F33"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110</w:t>
            </w:r>
          </w:p>
        </w:tc>
        <w:tc>
          <w:tcPr>
            <w:tcW w:w="7903" w:type="dxa"/>
          </w:tcPr>
          <w:p w:rsidR="00612780" w:rsidRPr="00EF7F33" w:rsidRDefault="00612780" w:rsidP="00612780">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 TEHNIKE SMANJENJA KREDITNOG RIZIKA KOJE UTJEČU NA IZNOS IZLOŽENOSTI: PRILAGOĐENA VRIJEDNOST MATER</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JALNE KREDITNE ZAŠTITE PREMA SLOŽENOJ METODI FINA</w:t>
            </w:r>
            <w:r w:rsidRPr="00EF7F33">
              <w:rPr>
                <w:rStyle w:val="InstructionsTabelleberschrift"/>
                <w:rFonts w:ascii="Times New Roman" w:hAnsi="Times New Roman"/>
                <w:sz w:val="24"/>
              </w:rPr>
              <w:t>N</w:t>
            </w:r>
            <w:r w:rsidRPr="00EF7F33">
              <w:rPr>
                <w:rStyle w:val="InstructionsTabelleberschrift"/>
                <w:rFonts w:ascii="Times New Roman" w:hAnsi="Times New Roman"/>
                <w:sz w:val="24"/>
              </w:rPr>
              <w:t>CIJSKOG KOLATERALA (CVAM)</w:t>
            </w:r>
          </w:p>
          <w:p w:rsidR="00612780" w:rsidRPr="00EF7F33"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EF7F33" w:rsidRDefault="00612780" w:rsidP="00612780">
            <w:pPr>
              <w:autoSpaceDE w:val="0"/>
              <w:autoSpaceDN w:val="0"/>
              <w:adjustRightInd w:val="0"/>
              <w:spacing w:before="0" w:after="0"/>
              <w:jc w:val="left"/>
              <w:rPr>
                <w:rStyle w:val="InstructionsTabelleberschrift"/>
                <w:rFonts w:ascii="Times New Roman" w:hAnsi="Times New Roman"/>
                <w:sz w:val="24"/>
              </w:rPr>
            </w:pPr>
            <w:r w:rsidRPr="00EF7F33">
              <w:rPr>
                <w:rStyle w:val="FormatvorlageInstructionsTabelleText"/>
                <w:rFonts w:ascii="Times New Roman" w:hAnsi="Times New Roman"/>
                <w:sz w:val="24"/>
              </w:rPr>
              <w:lastRenderedPageBreak/>
              <w:t>Članci od 218. do 222. CRR-a. Ova stavka uključuje i kreditne zapise (članak 218. CRR-a).</w:t>
            </w: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120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POTPUNO PRILAGOĐENA VRIJEDNOST IZLOŽENOSTI (E*)</w:t>
            </w:r>
          </w:p>
          <w:p w:rsidR="00612780" w:rsidRPr="00EF7F33" w:rsidRDefault="00612780" w:rsidP="00612780">
            <w:pPr>
              <w:pStyle w:val="Heading1"/>
              <w:rPr>
                <w:rFonts w:ascii="Times New Roman" w:eastAsia="Times New Roman" w:hAnsi="Times New Roman"/>
                <w:sz w:val="24"/>
                <w:szCs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u skladu s člankom 246. CRR-a, stoga bez primjene konverzijskih faktora utvrđenih u članku 246. stavku 1. točki (c) CRR-a.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130-160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RAŠČLAMBA POTPUNO PRILAGOĐENE VRIJEDNOSTI IZLOŽ</w:t>
            </w:r>
            <w:r w:rsidRPr="00EF7F33">
              <w:rPr>
                <w:rFonts w:ascii="Times New Roman" w:hAnsi="Times New Roman"/>
                <w:b/>
                <w:sz w:val="24"/>
                <w:u w:val="single"/>
              </w:rPr>
              <w:t>E</w:t>
            </w:r>
            <w:r w:rsidRPr="00EF7F33">
              <w:rPr>
                <w:rFonts w:ascii="Times New Roman" w:hAnsi="Times New Roman"/>
                <w:b/>
                <w:sz w:val="24"/>
                <w:u w:val="single"/>
              </w:rPr>
              <w:t>NOSTI (E*) IZVANBILANČNIH STAVKI U SKLADU S KONVERZI</w:t>
            </w:r>
            <w:r w:rsidRPr="00EF7F33">
              <w:rPr>
                <w:rFonts w:ascii="Times New Roman" w:hAnsi="Times New Roman"/>
                <w:b/>
                <w:sz w:val="24"/>
                <w:u w:val="single"/>
              </w:rPr>
              <w:t>J</w:t>
            </w:r>
            <w:r w:rsidRPr="00EF7F33">
              <w:rPr>
                <w:rFonts w:ascii="Times New Roman" w:hAnsi="Times New Roman"/>
                <w:b/>
                <w:sz w:val="24"/>
                <w:u w:val="single"/>
              </w:rPr>
              <w:t>SKIM FAKTORIMA</w:t>
            </w:r>
          </w:p>
          <w:p w:rsidR="00612780" w:rsidRPr="00EF7F33" w:rsidRDefault="00612780" w:rsidP="00612780">
            <w:pPr>
              <w:spacing w:before="0" w:after="0"/>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Člankom 246. stavkom 1. točkom (c) CRR-a predviđeno je da je vrijednost i</w:t>
            </w:r>
            <w:r w:rsidRPr="00EF7F33">
              <w:rPr>
                <w:rFonts w:ascii="Times New Roman" w:hAnsi="Times New Roman"/>
                <w:sz w:val="24"/>
              </w:rPr>
              <w:t>z</w:t>
            </w:r>
            <w:r w:rsidRPr="00EF7F33">
              <w:rPr>
                <w:rFonts w:ascii="Times New Roman" w:hAnsi="Times New Roman"/>
                <w:sz w:val="24"/>
              </w:rPr>
              <w:t>loženosti izvanbilačne sekuritizacijske pozicije njezina nominalna vrijednost pomnožena konverzijskom vrijednosti. Ako nije drukčije određeno, ta konve</w:t>
            </w:r>
            <w:r w:rsidRPr="00EF7F33">
              <w:rPr>
                <w:rFonts w:ascii="Times New Roman" w:hAnsi="Times New Roman"/>
                <w:sz w:val="24"/>
              </w:rPr>
              <w:t>r</w:t>
            </w:r>
            <w:r w:rsidRPr="00EF7F33">
              <w:rPr>
                <w:rFonts w:ascii="Times New Roman" w:hAnsi="Times New Roman"/>
                <w:sz w:val="24"/>
              </w:rPr>
              <w:t>zijska vrijednost iznosi 100 %.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tom je pogledu člankom 4. stavkom 1. točkom 56. CRR-a definiran konve</w:t>
            </w:r>
            <w:r w:rsidRPr="00EF7F33">
              <w:rPr>
                <w:rFonts w:ascii="Times New Roman" w:hAnsi="Times New Roman"/>
                <w:sz w:val="24"/>
              </w:rPr>
              <w:t>r</w:t>
            </w:r>
            <w:r w:rsidRPr="00EF7F33">
              <w:rPr>
                <w:rFonts w:ascii="Times New Roman" w:hAnsi="Times New Roman"/>
                <w:sz w:val="24"/>
              </w:rPr>
              <w:t>zijski faktor.</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potrebe izvješćivanja potpuno prilagođena vrijednost izloženosti (E*) isk</w:t>
            </w:r>
            <w:r w:rsidRPr="00EF7F33">
              <w:rPr>
                <w:rFonts w:ascii="Times New Roman" w:hAnsi="Times New Roman"/>
                <w:sz w:val="24"/>
              </w:rPr>
              <w:t>a</w:t>
            </w:r>
            <w:r w:rsidRPr="00EF7F33">
              <w:rPr>
                <w:rFonts w:ascii="Times New Roman" w:hAnsi="Times New Roman"/>
                <w:sz w:val="24"/>
              </w:rPr>
              <w:t>zuje se u skladu sa sljedeća četiri međusobno isključiva intervala konverzijskih faktora: 0 %, (0 %, 20 %], (20 %, 50 %] i (50 %, 100 %].</w:t>
            </w:r>
          </w:p>
          <w:p w:rsidR="00612780" w:rsidRPr="00EF7F33" w:rsidRDefault="00612780" w:rsidP="00612780">
            <w:pPr>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170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VRIJEDNOST IZLOŽENOSTI</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Sekuritizacijske pozicije u skladu s člankom 246. CRR-a.</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Navedena je informacija povezana sa stupcem 110 obrasca CR IRB. </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180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VRIJEDNOST IZLOŽENOSTI KOJA PREDSTAVLJA ODBITNU STAVKU OD REGULATORNOG KAPITALA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Člankom 266. stavkom 3. CRR-a predviđa se da u slučaju sekuritizacijske p</w:t>
            </w:r>
            <w:r w:rsidRPr="00EF7F33">
              <w:rPr>
                <w:rFonts w:ascii="Times New Roman" w:hAnsi="Times New Roman"/>
                <w:sz w:val="24"/>
              </w:rPr>
              <w:t>o</w:t>
            </w:r>
            <w:r w:rsidRPr="00EF7F33">
              <w:rPr>
                <w:rFonts w:ascii="Times New Roman" w:hAnsi="Times New Roman"/>
                <w:sz w:val="24"/>
              </w:rPr>
              <w:t>zicije na koju se primjenjuje ponder rizika od 1250 %, institucija može, kao a</w:t>
            </w:r>
            <w:r w:rsidRPr="00EF7F33">
              <w:rPr>
                <w:rFonts w:ascii="Times New Roman" w:hAnsi="Times New Roman"/>
                <w:sz w:val="24"/>
              </w:rPr>
              <w:t>l</w:t>
            </w:r>
            <w:r w:rsidRPr="00EF7F33">
              <w:rPr>
                <w:rFonts w:ascii="Times New Roman" w:hAnsi="Times New Roman"/>
                <w:sz w:val="24"/>
              </w:rPr>
              <w:t>ternativu uključivanju pozicije u izračun iznosa izloženosti ponderiranih riz</w:t>
            </w:r>
            <w:r w:rsidRPr="00EF7F33">
              <w:rPr>
                <w:rFonts w:ascii="Times New Roman" w:hAnsi="Times New Roman"/>
                <w:sz w:val="24"/>
              </w:rPr>
              <w:t>i</w:t>
            </w:r>
            <w:r w:rsidRPr="00EF7F33">
              <w:rPr>
                <w:rFonts w:ascii="Times New Roman" w:hAnsi="Times New Roman"/>
                <w:sz w:val="24"/>
              </w:rPr>
              <w:t>kom, iskazati vrijednost izloženosti pozicije kao odbitnu stavku pri izračunu r</w:t>
            </w:r>
            <w:r w:rsidRPr="00EF7F33">
              <w:rPr>
                <w:rFonts w:ascii="Times New Roman" w:hAnsi="Times New Roman"/>
                <w:sz w:val="24"/>
              </w:rPr>
              <w:t>e</w:t>
            </w:r>
            <w:r w:rsidRPr="00EF7F33">
              <w:rPr>
                <w:rFonts w:ascii="Times New Roman" w:hAnsi="Times New Roman"/>
                <w:sz w:val="24"/>
              </w:rPr>
              <w:t>gulatornog kapitala.</w:t>
            </w:r>
          </w:p>
          <w:p w:rsidR="00612780" w:rsidRPr="00EF7F33"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190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VRIJEDNOST IZLOŽENOSTI NA KOJU SE PRIMJENJUJU PONDERI RIZIKA</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200-320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METODA ZASNOVANA NA REJTINZIMA (STUPNJEVI KREDITNE KVALITETE)</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Članak 261.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Sekuritizacijske pozicije u skladu s IRB pristupom s izvedenim rejtingom u skladu s člankom 259. stavkom 2. CRR-a iskazuju se kao pozicije s rejtingom.</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Vrijednosti izloženosti koje podliježu ponderima rizika raščlanjene su prema stupnjevima kreditne kvalitete kako je predviđeno za IRB pristup u članku 261. </w:t>
            </w:r>
            <w:r w:rsidRPr="00EF7F33">
              <w:rPr>
                <w:rFonts w:ascii="Times New Roman" w:hAnsi="Times New Roman"/>
                <w:sz w:val="24"/>
              </w:rPr>
              <w:lastRenderedPageBreak/>
              <w:t xml:space="preserve">stavku 1. tablici 4. CRR-a. </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330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METODA NADZORNE FORMULE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Za metodu nadzorne formule vidjeti članak 262. CRR-a. </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Ponder rizika za sekuritizacijsku poziciju veći je od 7 % ili pondera rizika koji je potrebno primijeniti u skladu s predviđenim formulama. </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METODA NADZORNE FORMULE: PROSJEČNI PONDER RIZIKA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Smanjenje kreditnog rizika za sekuritizacijske pozicije može se priznati u skl</w:t>
            </w:r>
            <w:r w:rsidRPr="00EF7F33">
              <w:rPr>
                <w:rFonts w:ascii="Times New Roman" w:hAnsi="Times New Roman"/>
                <w:sz w:val="24"/>
              </w:rPr>
              <w:t>a</w:t>
            </w:r>
            <w:r w:rsidRPr="00EF7F33">
              <w:rPr>
                <w:rFonts w:ascii="Times New Roman" w:hAnsi="Times New Roman"/>
                <w:sz w:val="24"/>
              </w:rPr>
              <w:t>du s člankom 264. CRR-a. U tom slučaju institucija navodi „efektivni ponder rizika” pozicije kada je primljena potpuna zaštita, a koji je utvrđen u skladu s člankom 264. stavkom 2. CRR-a (efektivni ponder rizika jednak je iznosu izl</w:t>
            </w:r>
            <w:r w:rsidRPr="00EF7F33">
              <w:rPr>
                <w:rFonts w:ascii="Times New Roman" w:hAnsi="Times New Roman"/>
                <w:sz w:val="24"/>
              </w:rPr>
              <w:t>o</w:t>
            </w:r>
            <w:r w:rsidRPr="00EF7F33">
              <w:rPr>
                <w:rFonts w:ascii="Times New Roman" w:hAnsi="Times New Roman"/>
                <w:sz w:val="24"/>
              </w:rPr>
              <w:t>ženosti ponderiranom rizikom pozicije podijeljenom s vrijednošću izloženosti pozicije i pomnoženom sa 100).</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Ako pozicija uključuje djelomičnu zaštitu, institucija mora primijeniti metodu nadzorne formule upotrebom vrijednosti „T” prilagođene u skladu s člankom 264. stavkom 3.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Ponderirani prosječni ponderi rizika iskazuju se u ovom stupcu.</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350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ODNOSNE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Stupci povezani s odnosnim izloženostima sadržavaju sve slučajeve izloženosti bez rejtinga ako je ponder rizika dobiven iz odnosnog portfelja izloženosti (na</w:t>
            </w:r>
            <w:r w:rsidRPr="00EF7F33">
              <w:rPr>
                <w:rFonts w:ascii="Times New Roman" w:hAnsi="Times New Roman"/>
                <w:sz w:val="24"/>
              </w:rPr>
              <w:t>j</w:t>
            </w:r>
            <w:r w:rsidRPr="00EF7F33">
              <w:rPr>
                <w:rFonts w:ascii="Times New Roman" w:hAnsi="Times New Roman"/>
                <w:sz w:val="24"/>
              </w:rPr>
              <w:t>veći ponder rizika skupa izloženosti).</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Člankom 263. stavcima 2. i 3. CRR-a predviđen je izniman tretman ako se K</w:t>
            </w:r>
            <w:r w:rsidRPr="00EF7F33">
              <w:rPr>
                <w:rFonts w:ascii="Times New Roman" w:hAnsi="Times New Roman"/>
                <w:sz w:val="24"/>
                <w:vertAlign w:val="subscript"/>
              </w:rPr>
              <w:t>irb</w:t>
            </w:r>
            <w:r w:rsidRPr="00EF7F33">
              <w:rPr>
                <w:rFonts w:ascii="Times New Roman" w:hAnsi="Times New Roman"/>
                <w:sz w:val="24"/>
              </w:rPr>
              <w:t xml:space="preserve"> ne može izračunati.</w:t>
            </w:r>
          </w:p>
          <w:p w:rsidR="00612780" w:rsidRPr="00EF7F33" w:rsidRDefault="00612780" w:rsidP="00612780">
            <w:pPr>
              <w:spacing w:before="0" w:after="0"/>
              <w:rPr>
                <w:rFonts w:ascii="Times New Roman" w:hAnsi="Times New Roman"/>
                <w:i/>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Neiskorišteni iznos likvidnosnih linija iskazuje se u stavci „Izvanbilančne sta</w:t>
            </w:r>
            <w:r w:rsidRPr="00EF7F33">
              <w:rPr>
                <w:rFonts w:ascii="Times New Roman" w:hAnsi="Times New Roman"/>
                <w:sz w:val="24"/>
              </w:rPr>
              <w:t>v</w:t>
            </w:r>
            <w:r w:rsidRPr="00EF7F33">
              <w:rPr>
                <w:rFonts w:ascii="Times New Roman" w:hAnsi="Times New Roman"/>
                <w:sz w:val="24"/>
              </w:rPr>
              <w:t>ke i izvedenice”.</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Dok god bi inicijator bio pod iznimnim tretmanom kada se K</w:t>
            </w:r>
            <w:r w:rsidRPr="00EF7F33">
              <w:rPr>
                <w:rFonts w:ascii="Times New Roman" w:hAnsi="Times New Roman"/>
                <w:sz w:val="24"/>
                <w:vertAlign w:val="subscript"/>
              </w:rPr>
              <w:t>irb</w:t>
            </w:r>
            <w:r w:rsidRPr="00EF7F33">
              <w:rPr>
                <w:rFonts w:ascii="Times New Roman" w:hAnsi="Times New Roman"/>
                <w:sz w:val="24"/>
              </w:rPr>
              <w:t xml:space="preserve"> ne može izr</w:t>
            </w:r>
            <w:r w:rsidRPr="00EF7F33">
              <w:rPr>
                <w:rFonts w:ascii="Times New Roman" w:hAnsi="Times New Roman"/>
                <w:sz w:val="24"/>
              </w:rPr>
              <w:t>a</w:t>
            </w:r>
            <w:r w:rsidRPr="00EF7F33">
              <w:rPr>
                <w:rFonts w:ascii="Times New Roman" w:hAnsi="Times New Roman"/>
                <w:sz w:val="24"/>
              </w:rPr>
              <w:t>čunati, stupac 350 bio bi pravi stupac za izvješćivanje o tretmanu ponderiranja rizikom koji se primjenjuje na vrijednost izloženosti likvidnosne linije koja p</w:t>
            </w:r>
            <w:r w:rsidRPr="00EF7F33">
              <w:rPr>
                <w:rFonts w:ascii="Times New Roman" w:hAnsi="Times New Roman"/>
                <w:sz w:val="24"/>
              </w:rPr>
              <w:t>o</w:t>
            </w:r>
            <w:r w:rsidRPr="00EF7F33">
              <w:rPr>
                <w:rFonts w:ascii="Times New Roman" w:hAnsi="Times New Roman"/>
                <w:sz w:val="24"/>
              </w:rPr>
              <w:t>dliježe tretmanu utvrđenom u članku 263.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Za prijevremene isplate vidjeti članak 256. stavak 5. i članak 265. CRR-a.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360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ODNOSNE IZLOŽENOSTI: PROSJEČNI PONDER RIZIKA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Dostavlja se prosječni ponder rizika ponderiran vrijednošću izloženosti.</w:t>
            </w:r>
          </w:p>
          <w:p w:rsidR="00612780" w:rsidRPr="00EF7F33" w:rsidRDefault="00612780" w:rsidP="00612780">
            <w:pPr>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370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PRISTUP INTERNE PROCJENE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Člankom 259. stavcima 3. i 4. CRR-a predviđen je „pristup interne procjene” za </w:t>
            </w:r>
            <w:r w:rsidRPr="00EF7F33">
              <w:rPr>
                <w:rFonts w:ascii="Times New Roman" w:hAnsi="Times New Roman"/>
                <w:sz w:val="24"/>
              </w:rPr>
              <w:lastRenderedPageBreak/>
              <w:t>pozicije u programima ABCP.</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380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PRISTUP INTERNE PROCJENE: PROSJEČNI PONDER RIZIKA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Ponderirani prosječni ponderi rizika iskazuju se u ovom stupcu.</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390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SMANJENJE IZNOSA IZLOŽENOSTI PONDERIRANOG RIZ</w:t>
            </w:r>
            <w:r w:rsidRPr="00EF7F33">
              <w:rPr>
                <w:rFonts w:ascii="Times New Roman" w:hAnsi="Times New Roman"/>
                <w:b/>
                <w:sz w:val="24"/>
                <w:u w:val="single"/>
              </w:rPr>
              <w:t>I</w:t>
            </w:r>
            <w:r w:rsidRPr="00EF7F33">
              <w:rPr>
                <w:rFonts w:ascii="Times New Roman" w:hAnsi="Times New Roman"/>
                <w:b/>
                <w:sz w:val="24"/>
                <w:u w:val="single"/>
              </w:rPr>
              <w:t xml:space="preserve">KOM ZBOG VRIJEDNOSNIH USKLAĐENJA I REZERVACIJA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Institucije koje primjenjuju IRB pristup postupaju u skladu s člankom 266. stavcima 1. (primjenjuje se samo za inicijatore, ako izloženost nije odbijena od regulatornog kapitala) i 2.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Vrijednosna usklađenja i rezervacije (članak 159. CRR-a) za gubitke po kreditu u skladu s računovodstvenim okvirom koji se primjenjuje na subjekt koji izvj</w:t>
            </w:r>
            <w:r w:rsidRPr="00EF7F33">
              <w:rPr>
                <w:rFonts w:ascii="Times New Roman" w:hAnsi="Times New Roman"/>
                <w:sz w:val="24"/>
              </w:rPr>
              <w:t>e</w:t>
            </w:r>
            <w:r w:rsidRPr="00EF7F33">
              <w:rPr>
                <w:rFonts w:ascii="Times New Roman" w:hAnsi="Times New Roman"/>
                <w:sz w:val="24"/>
              </w:rPr>
              <w:t>šćuje. Vrijednosna usklađenja uključuju svaki iznos priznat u dobiti ili gubitku za kreditne gubitke na osnovi financijske imovine od njihova početnog prizn</w:t>
            </w:r>
            <w:r w:rsidRPr="00EF7F33">
              <w:rPr>
                <w:rFonts w:ascii="Times New Roman" w:hAnsi="Times New Roman"/>
                <w:sz w:val="24"/>
              </w:rPr>
              <w:t>a</w:t>
            </w:r>
            <w:r w:rsidRPr="00EF7F33">
              <w:rPr>
                <w:rFonts w:ascii="Times New Roman" w:hAnsi="Times New Roman"/>
                <w:sz w:val="24"/>
              </w:rPr>
              <w:t>vanja u bilanci (uključujući gubitke na temelju kreditnog rizika financijske imovine mjerene po fer vrijednosti koji se ne odbijaju od vrijednosti izloženo</w:t>
            </w:r>
            <w:r w:rsidRPr="00EF7F33">
              <w:rPr>
                <w:rFonts w:ascii="Times New Roman" w:hAnsi="Times New Roman"/>
                <w:sz w:val="24"/>
              </w:rPr>
              <w:t>s</w:t>
            </w:r>
            <w:r w:rsidRPr="00EF7F33">
              <w:rPr>
                <w:rFonts w:ascii="Times New Roman" w:hAnsi="Times New Roman"/>
                <w:sz w:val="24"/>
              </w:rPr>
              <w:t>ti) uvećan za diskont povezan s izloženostima otkupljenima u statusu neisp</w:t>
            </w:r>
            <w:r w:rsidRPr="00EF7F33">
              <w:rPr>
                <w:rFonts w:ascii="Times New Roman" w:hAnsi="Times New Roman"/>
                <w:sz w:val="24"/>
              </w:rPr>
              <w:t>u</w:t>
            </w:r>
            <w:r w:rsidRPr="00EF7F33">
              <w:rPr>
                <w:rFonts w:ascii="Times New Roman" w:hAnsi="Times New Roman"/>
                <w:sz w:val="24"/>
              </w:rPr>
              <w:t>njavanja obveza u skladu s člankom 166. stavkom 1. CRR-a. Rezervacije u</w:t>
            </w:r>
            <w:r w:rsidRPr="00EF7F33">
              <w:rPr>
                <w:rFonts w:ascii="Times New Roman" w:hAnsi="Times New Roman"/>
                <w:sz w:val="24"/>
              </w:rPr>
              <w:t>k</w:t>
            </w:r>
            <w:r w:rsidRPr="00EF7F33">
              <w:rPr>
                <w:rFonts w:ascii="Times New Roman" w:hAnsi="Times New Roman"/>
                <w:sz w:val="24"/>
              </w:rPr>
              <w:t>ljučuju akumulirane iznose gubitaka po kreditu u izvanbilančnim stavkama.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400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IZNOS IZLOŽENOSTI PONDERIRAN RIZIKOM</w:t>
            </w:r>
          </w:p>
          <w:p w:rsidR="00612780" w:rsidRPr="00EF7F33" w:rsidRDefault="00612780" w:rsidP="00612780">
            <w:pPr>
              <w:spacing w:before="0" w:after="0"/>
              <w:jc w:val="left"/>
              <w:rPr>
                <w:rFonts w:ascii="Times New Roman" w:hAnsi="Times New Roman"/>
                <w:sz w:val="24"/>
              </w:rPr>
            </w:pPr>
          </w:p>
          <w:p w:rsidR="00612780" w:rsidRPr="00EF7F33" w:rsidRDefault="0036415F" w:rsidP="00612780">
            <w:pPr>
              <w:spacing w:before="0" w:after="0"/>
              <w:rPr>
                <w:rFonts w:ascii="Times New Roman" w:hAnsi="Times New Roman"/>
                <w:sz w:val="24"/>
              </w:rPr>
            </w:pPr>
            <w:r w:rsidRPr="00EF7F33">
              <w:rPr>
                <w:rFonts w:ascii="Times New Roman" w:hAnsi="Times New Roman"/>
                <w:sz w:val="24"/>
              </w:rPr>
              <w:t>Ukupni iznos izloženosti ponderiran rizikom izračunan u skladu s dijelom tr</w:t>
            </w:r>
            <w:r w:rsidRPr="00EF7F33">
              <w:rPr>
                <w:rFonts w:ascii="Times New Roman" w:hAnsi="Times New Roman"/>
                <w:sz w:val="24"/>
              </w:rPr>
              <w:t>e</w:t>
            </w:r>
            <w:r w:rsidRPr="00EF7F33">
              <w:rPr>
                <w:rFonts w:ascii="Times New Roman" w:hAnsi="Times New Roman"/>
                <w:sz w:val="24"/>
              </w:rPr>
              <w:t>ćim glavom II. poglavljem 5. odjeljkom 3. CRR-a, prije usklađenja zbog ročne neusklađenosti ili kršenja odredaba o dubinskoj analizi, i isključujući svaki i</w:t>
            </w:r>
            <w:r w:rsidRPr="00EF7F33">
              <w:rPr>
                <w:rFonts w:ascii="Times New Roman" w:hAnsi="Times New Roman"/>
                <w:sz w:val="24"/>
              </w:rPr>
              <w:t>z</w:t>
            </w:r>
            <w:r w:rsidRPr="00EF7F33">
              <w:rPr>
                <w:rFonts w:ascii="Times New Roman" w:hAnsi="Times New Roman"/>
                <w:sz w:val="24"/>
              </w:rPr>
              <w:t>nos izloženosti ponderiran rizikom koji odgovara izloženostima koje su pono</w:t>
            </w:r>
            <w:r w:rsidRPr="00EF7F33">
              <w:rPr>
                <w:rFonts w:ascii="Times New Roman" w:hAnsi="Times New Roman"/>
                <w:sz w:val="24"/>
              </w:rPr>
              <w:t>v</w:t>
            </w:r>
            <w:r w:rsidRPr="00EF7F33">
              <w:rPr>
                <w:rFonts w:ascii="Times New Roman" w:hAnsi="Times New Roman"/>
                <w:sz w:val="24"/>
              </w:rPr>
              <w:t xml:space="preserve">no raspodijeljene preko odljeva u drugi obrazac. </w:t>
            </w:r>
          </w:p>
          <w:p w:rsidR="00612780" w:rsidRPr="00EF7F33" w:rsidRDefault="00612780" w:rsidP="00612780">
            <w:pPr>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410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IZNOSI IZLOŽENOSTI PONDERIRANI RIZIKOM, OD ČEGA: SI</w:t>
            </w:r>
            <w:r w:rsidRPr="00EF7F33">
              <w:rPr>
                <w:rFonts w:ascii="Times New Roman" w:hAnsi="Times New Roman"/>
                <w:b/>
                <w:sz w:val="24"/>
                <w:u w:val="single"/>
              </w:rPr>
              <w:t>N</w:t>
            </w:r>
            <w:r w:rsidRPr="00EF7F33">
              <w:rPr>
                <w:rFonts w:ascii="Times New Roman" w:hAnsi="Times New Roman"/>
                <w:b/>
                <w:sz w:val="24"/>
                <w:u w:val="single"/>
              </w:rPr>
              <w:t>TETSKE SEKURITIZACIJE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Za sintetske sekuritizacije s ročnim neusklađenostima, u iznosu koji je potrebno iskazati u ovom stupcu zanemaruje se bilo kakva ročna neusklađenost.</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420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UČINAK (USKLAĐENJE) ZBOG KRŠENJA ODREDABA O DUBINSKOJ ANALIZI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Člankom 14. stavkom 2., člankom 406. stavkom 2. i člankom 407. CRR-a pr</w:t>
            </w:r>
            <w:r w:rsidRPr="00EF7F33">
              <w:rPr>
                <w:rFonts w:ascii="Times New Roman" w:hAnsi="Times New Roman"/>
                <w:sz w:val="24"/>
              </w:rPr>
              <w:t>e</w:t>
            </w:r>
            <w:r w:rsidRPr="00EF7F33">
              <w:rPr>
                <w:rFonts w:ascii="Times New Roman" w:hAnsi="Times New Roman"/>
                <w:sz w:val="24"/>
              </w:rPr>
              <w:t>dviđa se da kad god institucija nije ispunila određene zahtjeve, države članice osiguravaju da nadležna tijela određuju razmjerni dodatni ponder rizika od najmanje 250 % pondera rizika (s gornjom granicom od 1250 %) koji bi se primjenjivao na relevantne sekuritizacijske pozicije u skladu s dijelom trećim glavom II. poglavljem 5. odjeljkom 3. CRR-a.</w:t>
            </w:r>
          </w:p>
          <w:p w:rsidR="00612780" w:rsidRPr="00EF7F33" w:rsidRDefault="00612780" w:rsidP="00612780">
            <w:pPr>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USKLAĐENJE IZNOSA IZLOŽENOSTI PONDERIRANOG RIZIKOM ZBOG ROČNIH NEUSKLAĐENOSTI</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lastRenderedPageBreak/>
              <w:t>Za ročne neusklađenosti u sintetskim sekuritizacijama uključuje se RW*-RW(SP), kako je definiran u članku 250. CRR-a, izuzev u slučaju tranši na koje se primjenjuje ponder rizika 1250 % kada iznos koji je potrebno iskazati iznosi nula. Potrebno je napomenuti da RW(SP) ne uključuje samo iznose izloženosti ponderirane rizikom iskazane u stupcu 400, nego i iznose izloženosti ponder</w:t>
            </w:r>
            <w:r w:rsidRPr="00EF7F33">
              <w:rPr>
                <w:rFonts w:ascii="Times New Roman" w:hAnsi="Times New Roman"/>
                <w:sz w:val="24"/>
              </w:rPr>
              <w:t>i</w:t>
            </w:r>
            <w:r w:rsidRPr="00EF7F33">
              <w:rPr>
                <w:rFonts w:ascii="Times New Roman" w:hAnsi="Times New Roman"/>
                <w:sz w:val="24"/>
              </w:rPr>
              <w:t>rane rizikom koji odgovaraju izloženostima koje su ponovno raspodijeljene preko odljeva u drugi obrazac.</w:t>
            </w:r>
          </w:p>
          <w:p w:rsidR="00612780" w:rsidRPr="00EF7F33" w:rsidRDefault="00612780" w:rsidP="009068C9">
            <w:pPr>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440-450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 IZLOŽENOSTI PONDERIRAN RIZIKOM: PRIJE PRIMJENE GORNJE GRANICE / NAKON PRIMJENE GORNJE GRANICE</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Ukupan iznos izloženosti ponderiran rizikom izračunan u skladu s dijelom tr</w:t>
            </w:r>
            <w:r w:rsidRPr="00EF7F33">
              <w:rPr>
                <w:rFonts w:ascii="Times New Roman" w:hAnsi="Times New Roman"/>
                <w:sz w:val="24"/>
              </w:rPr>
              <w:t>e</w:t>
            </w:r>
            <w:r w:rsidRPr="00EF7F33">
              <w:rPr>
                <w:rFonts w:ascii="Times New Roman" w:hAnsi="Times New Roman"/>
                <w:sz w:val="24"/>
              </w:rPr>
              <w:t>ćim glavom II. poglavljem 5. odjeljkom 3. CRR-a prije (stupac 440) / nakon (stupac 450) primjene ograničenja određenih u članku 260. CRR-a. Osim toga, potrebno je uzeti u obzir članak 265. CRR-a (dodatni kapitalni zahtjevi pri s</w:t>
            </w:r>
            <w:r w:rsidRPr="00EF7F33">
              <w:rPr>
                <w:rFonts w:ascii="Times New Roman" w:hAnsi="Times New Roman"/>
                <w:sz w:val="24"/>
              </w:rPr>
              <w:t>e</w:t>
            </w:r>
            <w:r w:rsidRPr="00EF7F33">
              <w:rPr>
                <w:rFonts w:ascii="Times New Roman" w:hAnsi="Times New Roman"/>
                <w:sz w:val="24"/>
              </w:rPr>
              <w:t>kuritizaciji obnovljivih izloženosti s odredbama o prijevremenoj isplati).</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460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BILJEŠKA: IZNOS IZLOŽENOSTI PONDERIRAN RIZIKOM KOJI ODGOVARA ODLJEVIMA IZ SEKURITIZACIJE U SKLADU S IRB PRISTUPOM U OSTALE KATEGORIJE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Iznos izloženosti ponderiran rizikom koji proizlazi iz izloženosti koje su p</w:t>
            </w:r>
            <w:r w:rsidRPr="00EF7F33">
              <w:rPr>
                <w:rFonts w:ascii="Times New Roman" w:hAnsi="Times New Roman"/>
                <w:sz w:val="24"/>
              </w:rPr>
              <w:t>o</w:t>
            </w:r>
            <w:r w:rsidRPr="00EF7F33">
              <w:rPr>
                <w:rFonts w:ascii="Times New Roman" w:hAnsi="Times New Roman"/>
                <w:sz w:val="24"/>
              </w:rPr>
              <w:t>novno raspoređene na pružatelja smanjenja kreditnog rizika, i stoga se izrač</w:t>
            </w:r>
            <w:r w:rsidRPr="00EF7F33">
              <w:rPr>
                <w:rFonts w:ascii="Times New Roman" w:hAnsi="Times New Roman"/>
                <w:sz w:val="24"/>
              </w:rPr>
              <w:t>u</w:t>
            </w:r>
            <w:r w:rsidRPr="00EF7F33">
              <w:rPr>
                <w:rFonts w:ascii="Times New Roman" w:hAnsi="Times New Roman"/>
                <w:sz w:val="24"/>
              </w:rPr>
              <w:t>nava u odgovarajućem obrascu, koje se uzimaju u obzir pri izračunu gornje granice sekuritizacijskih pozicija.</w:t>
            </w:r>
          </w:p>
          <w:p w:rsidR="00612780" w:rsidRPr="00EF7F33" w:rsidRDefault="00612780" w:rsidP="00612780">
            <w:pPr>
              <w:spacing w:before="0" w:after="0"/>
              <w:jc w:val="left"/>
              <w:rPr>
                <w:rFonts w:ascii="Times New Roman" w:hAnsi="Times New Roman"/>
                <w:sz w:val="24"/>
              </w:rPr>
            </w:pPr>
          </w:p>
        </w:tc>
      </w:tr>
    </w:tbl>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p>
    <w:p w:rsidR="00612780" w:rsidRPr="00EF7F33" w:rsidRDefault="00125707" w:rsidP="00C37B29">
      <w:pPr>
        <w:pStyle w:val="InstructionsText2"/>
        <w:numPr>
          <w:ilvl w:val="0"/>
          <w:numId w:val="0"/>
        </w:numPr>
        <w:ind w:left="993"/>
      </w:pPr>
      <w:r w:rsidRPr="00EF7F33">
        <w:t>107.</w:t>
      </w:r>
      <w:r w:rsidRPr="00EF7F33">
        <w:tab/>
        <w:t>Obrazac CR SEC IRB podijeljen je u tri velike skupine redaka u kojima se pr</w:t>
      </w:r>
      <w:r w:rsidRPr="00EF7F33">
        <w:t>i</w:t>
      </w:r>
      <w:r w:rsidRPr="00EF7F33">
        <w:t>kupljaju podaci o iniciranim / financiranim / zadržanim ili kupljenim izloženostima inicijatora, investitora i sponzora. Za svaku od njih informacije se raščlanjuju pr</w:t>
      </w:r>
      <w:r w:rsidRPr="00EF7F33">
        <w:t>e</w:t>
      </w:r>
      <w:r w:rsidRPr="00EF7F33">
        <w:t>ma bilančnim stavkama i izvanbilančnim stavkama i izvedenicama te prema grup</w:t>
      </w:r>
      <w:r w:rsidRPr="00EF7F33">
        <w:t>i</w:t>
      </w:r>
      <w:r w:rsidRPr="00EF7F33">
        <w:t xml:space="preserve">ranjima pondera rizika sekuritizacija i resekuritizacija. </w:t>
      </w:r>
    </w:p>
    <w:p w:rsidR="00612780" w:rsidRPr="00EF7F33" w:rsidRDefault="00125707" w:rsidP="00C37B29">
      <w:pPr>
        <w:pStyle w:val="InstructionsText2"/>
        <w:numPr>
          <w:ilvl w:val="0"/>
          <w:numId w:val="0"/>
        </w:numPr>
        <w:ind w:left="993"/>
      </w:pPr>
      <w:r w:rsidRPr="00EF7F33">
        <w:t>108.</w:t>
      </w:r>
      <w:r w:rsidRPr="00EF7F33">
        <w:tab/>
        <w:t>Raščlanjuju se i pozicije koje se tretiraju prema metodi zasnovanoj na rejtinz</w:t>
      </w:r>
      <w:r w:rsidRPr="00EF7F33">
        <w:t>i</w:t>
      </w:r>
      <w:r w:rsidRPr="00EF7F33">
        <w:t>ma i pozicije bez rejtinga (izloženosti na izvještajni datum) u skladu sa stupnjevima kreditne kvalitete koji se primjenjuju na početku (zadnja skupina redaka). Inicijat</w:t>
      </w:r>
      <w:r w:rsidRPr="00EF7F33">
        <w:t>o</w:t>
      </w:r>
      <w:r w:rsidRPr="00EF7F33">
        <w:t>ri, sponzori i investitori iskazuju te informacije.</w:t>
      </w:r>
    </w:p>
    <w:p w:rsidR="00612780" w:rsidRPr="00EF7F33"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EF7F33" w:rsidTr="00672D2A">
        <w:tc>
          <w:tcPr>
            <w:tcW w:w="9145" w:type="dxa"/>
            <w:gridSpan w:val="2"/>
            <w:shd w:val="clear" w:color="auto" w:fill="CCCCCC"/>
          </w:tcPr>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b/>
                <w:bCs/>
                <w:sz w:val="24"/>
              </w:rPr>
            </w:pPr>
            <w:r w:rsidRPr="00EF7F33">
              <w:rPr>
                <w:rFonts w:ascii="Times New Roman" w:hAnsi="Times New Roman"/>
                <w:b/>
                <w:sz w:val="24"/>
              </w:rPr>
              <w:t>Redci</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010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Ukupne izloženosti odnose se na ukupan iznos preostalih sekuritizacija. U ovom su retku sažete sve informacije koje iskazuju inicijatori, sponzori i inve</w:t>
            </w:r>
            <w:r w:rsidRPr="00EF7F33">
              <w:rPr>
                <w:rFonts w:ascii="Times New Roman" w:hAnsi="Times New Roman"/>
                <w:sz w:val="24"/>
              </w:rPr>
              <w:t>s</w:t>
            </w:r>
            <w:r w:rsidRPr="00EF7F33">
              <w:rPr>
                <w:rFonts w:ascii="Times New Roman" w:hAnsi="Times New Roman"/>
                <w:sz w:val="24"/>
              </w:rPr>
              <w:t>titori u sljedećim redcima.</w:t>
            </w:r>
          </w:p>
          <w:p w:rsidR="00612780" w:rsidRPr="00EF7F33" w:rsidRDefault="00612780" w:rsidP="00612780">
            <w:pPr>
              <w:autoSpaceDE w:val="0"/>
              <w:autoSpaceDN w:val="0"/>
              <w:adjustRightInd w:val="0"/>
              <w:spacing w:before="0" w:after="0"/>
              <w:rPr>
                <w:rFonts w:ascii="Times New Roman" w:hAnsi="Times New Roman"/>
                <w:b/>
                <w:bCs/>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020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OD ČEGA: RESEKURITIZACIJE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Ukupan iznos preostalih resekuritizacija u skladu s definicijama iz članka 4. stavka 1. točaka 63. i 64. CRR-a.</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030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INICIJATOR: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su retku sažete informacije o bilančnim i izvanbilančnim stavkama i izvedenicama te prijevremenoj isplati sekuritizacijskih pozicija kod kojih inst</w:t>
            </w:r>
            <w:r w:rsidRPr="00EF7F33">
              <w:rPr>
                <w:rFonts w:ascii="Times New Roman" w:hAnsi="Times New Roman"/>
                <w:sz w:val="24"/>
              </w:rPr>
              <w:t>i</w:t>
            </w:r>
            <w:r w:rsidRPr="00EF7F33">
              <w:rPr>
                <w:rFonts w:ascii="Times New Roman" w:hAnsi="Times New Roman"/>
                <w:sz w:val="24"/>
              </w:rPr>
              <w:t>tucija ima ulogu inicijatora, kako je definirano u članku 4. stavku 1. točki 13. CRR-a.</w:t>
            </w:r>
          </w:p>
          <w:p w:rsidR="00612780" w:rsidRPr="00EF7F33" w:rsidRDefault="00612780" w:rsidP="00612780">
            <w:pPr>
              <w:autoSpaceDE w:val="0"/>
              <w:autoSpaceDN w:val="0"/>
              <w:adjustRightInd w:val="0"/>
              <w:spacing w:before="0" w:after="0"/>
              <w:rPr>
                <w:rFonts w:ascii="Times New Roman" w:hAnsi="Times New Roman"/>
                <w:b/>
                <w:sz w:val="24"/>
                <w:u w:val="single"/>
              </w:rPr>
            </w:pPr>
            <w:r w:rsidRPr="00EF7F33">
              <w:rPr>
                <w:rFonts w:ascii="Times New Roman" w:hAnsi="Times New Roman"/>
                <w:b/>
                <w:sz w:val="24"/>
                <w:u w:val="single"/>
              </w:rPr>
              <w:t xml:space="preserve"> </w:t>
            </w: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040-090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članku 246. stavku 1. točki (b) CRR-a navodi se da je za institucije koje izr</w:t>
            </w:r>
            <w:r w:rsidRPr="00EF7F33">
              <w:rPr>
                <w:rFonts w:ascii="Times New Roman" w:hAnsi="Times New Roman"/>
                <w:sz w:val="24"/>
              </w:rPr>
              <w:t>a</w:t>
            </w:r>
            <w:r w:rsidRPr="00EF7F33">
              <w:rPr>
                <w:rFonts w:ascii="Times New Roman" w:hAnsi="Times New Roman"/>
                <w:sz w:val="24"/>
              </w:rPr>
              <w:t>čunavaju iznose izloženosti ponderirane rizikom u skladu s IRB pristupom, vr</w:t>
            </w:r>
            <w:r w:rsidRPr="00EF7F33">
              <w:rPr>
                <w:rFonts w:ascii="Times New Roman" w:hAnsi="Times New Roman"/>
                <w:sz w:val="24"/>
              </w:rPr>
              <w:t>i</w:t>
            </w:r>
            <w:r w:rsidRPr="00EF7F33">
              <w:rPr>
                <w:rFonts w:ascii="Times New Roman" w:hAnsi="Times New Roman"/>
                <w:sz w:val="24"/>
              </w:rPr>
              <w:t>jednost izloženosti bilančne sekuritizacijske pozicije njezina računovodstvena vrijednost ne uzimajući u obzir primijenjene ispravke vrijednosti za kreditni r</w:t>
            </w:r>
            <w:r w:rsidRPr="00EF7F33">
              <w:rPr>
                <w:rFonts w:ascii="Times New Roman" w:hAnsi="Times New Roman"/>
                <w:sz w:val="24"/>
              </w:rPr>
              <w:t>i</w:t>
            </w:r>
            <w:r w:rsidRPr="00EF7F33">
              <w:rPr>
                <w:rFonts w:ascii="Times New Roman" w:hAnsi="Times New Roman"/>
                <w:sz w:val="24"/>
              </w:rPr>
              <w:t>zik.</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Bilančne stavke raščlanjene su prema grupiranjima pondera rizika sekuritizacija (A-B-C), u redcima 050 – 070, i resekuritizacija (D-E), u redcima 080 – 090, kako je navedeno u članku 261. stavku 1. tablici 4. CRR-a. </w:t>
            </w:r>
          </w:p>
          <w:p w:rsidR="00612780" w:rsidRPr="00EF7F33" w:rsidRDefault="00612780" w:rsidP="00612780">
            <w:pPr>
              <w:autoSpaceDE w:val="0"/>
              <w:autoSpaceDN w:val="0"/>
              <w:adjustRightInd w:val="0"/>
              <w:spacing w:before="0" w:after="0"/>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100-150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i/>
                <w:sz w:val="24"/>
              </w:rPr>
            </w:pPr>
            <w:r w:rsidRPr="00EF7F33">
              <w:rPr>
                <w:rFonts w:ascii="Times New Roman" w:hAnsi="Times New Roman"/>
                <w:sz w:val="24"/>
              </w:rPr>
              <w:t>U ovim redcima prikupljaju se informacije o izvanbilančnim stavkama i izv</w:t>
            </w:r>
            <w:r w:rsidRPr="00EF7F33">
              <w:rPr>
                <w:rFonts w:ascii="Times New Roman" w:hAnsi="Times New Roman"/>
                <w:sz w:val="24"/>
              </w:rPr>
              <w:t>e</w:t>
            </w:r>
            <w:r w:rsidRPr="00EF7F33">
              <w:rPr>
                <w:rFonts w:ascii="Times New Roman" w:hAnsi="Times New Roman"/>
                <w:sz w:val="24"/>
              </w:rPr>
              <w:t>denicama kao sekuritizacijskim pozicijama na koje se primjenjuje konverzijski faktor u skladu sa sekuritizacijskim okvirom. Vrijednost izloženosti izvanbila</w:t>
            </w:r>
            <w:r w:rsidRPr="00EF7F33">
              <w:rPr>
                <w:rFonts w:ascii="Times New Roman" w:hAnsi="Times New Roman"/>
                <w:sz w:val="24"/>
              </w:rPr>
              <w:t>n</w:t>
            </w:r>
            <w:r w:rsidRPr="00EF7F33">
              <w:rPr>
                <w:rFonts w:ascii="Times New Roman" w:hAnsi="Times New Roman"/>
                <w:sz w:val="24"/>
              </w:rPr>
              <w:t>čne sekuritizacijske pozicije njezina je nominalna vrijednost, umanjena za svaki specifični ispravak vrijednosti za kreditni rizik te sekuritizacijske pozicije i pomnožena konverzijskom faktorom od 100 %, osim ako je drukčije određeno.</w:t>
            </w:r>
          </w:p>
          <w:p w:rsidR="00612780" w:rsidRPr="00EF7F33" w:rsidRDefault="00612780" w:rsidP="00612780">
            <w:pPr>
              <w:autoSpaceDE w:val="0"/>
              <w:autoSpaceDN w:val="0"/>
              <w:adjustRightInd w:val="0"/>
              <w:spacing w:before="0" w:after="0"/>
              <w:rPr>
                <w:rFonts w:ascii="Times New Roman" w:hAnsi="Times New Roman"/>
                <w:i/>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Izvanbilančne sekuritizacijske pozicije koje proizlaze iz izvedenog instrumenta navedenog u Prilogu II. CRR-u određuju se u skladu s dijelom trećim glavom II. poglavljem 6. CRR-a. Vrijednost izloženosti za kreditni rizik druge ugovo</w:t>
            </w:r>
            <w:r w:rsidRPr="00EF7F33">
              <w:rPr>
                <w:rFonts w:ascii="Times New Roman" w:hAnsi="Times New Roman"/>
                <w:sz w:val="24"/>
              </w:rPr>
              <w:t>r</w:t>
            </w:r>
            <w:r w:rsidRPr="00EF7F33">
              <w:rPr>
                <w:rFonts w:ascii="Times New Roman" w:hAnsi="Times New Roman"/>
                <w:sz w:val="24"/>
              </w:rPr>
              <w:t xml:space="preserve">ne strane izvedenog instrumenta navedenog u Prilogu II. CRR-u određuje se u skladu s dijelom trećim glavom II. poglavljem 6.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likvidnosne linije, kreditne linije i gotovinske predujmove servisera, instit</w:t>
            </w:r>
            <w:r w:rsidRPr="00EF7F33">
              <w:rPr>
                <w:rFonts w:ascii="Times New Roman" w:hAnsi="Times New Roman"/>
                <w:sz w:val="24"/>
              </w:rPr>
              <w:t>u</w:t>
            </w:r>
            <w:r w:rsidRPr="00EF7F33">
              <w:rPr>
                <w:rFonts w:ascii="Times New Roman" w:hAnsi="Times New Roman"/>
                <w:sz w:val="24"/>
              </w:rPr>
              <w:t xml:space="preserve">cije dostavljaju neiskorišteni iznos.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kamatne i valutne ugovore o razmjeni dostavljaju vrijednost izloženosti (u skladu s člankom 246. stavkom 1. CRR-a) kako je određena u obrascu s uku</w:t>
            </w:r>
            <w:r w:rsidRPr="00EF7F33">
              <w:rPr>
                <w:rFonts w:ascii="Times New Roman" w:hAnsi="Times New Roman"/>
                <w:sz w:val="24"/>
              </w:rPr>
              <w:t>p</w:t>
            </w:r>
            <w:r w:rsidRPr="00EF7F33">
              <w:rPr>
                <w:rFonts w:ascii="Times New Roman" w:hAnsi="Times New Roman"/>
                <w:sz w:val="24"/>
              </w:rPr>
              <w:t>nim podacima CR SA.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Izvanbilančne stavke raščlanjene su prema grupiranjima pondera rizika sekur</w:t>
            </w:r>
            <w:r w:rsidRPr="00EF7F33">
              <w:rPr>
                <w:rFonts w:ascii="Times New Roman" w:hAnsi="Times New Roman"/>
                <w:sz w:val="24"/>
              </w:rPr>
              <w:t>i</w:t>
            </w:r>
            <w:r w:rsidRPr="00EF7F33">
              <w:rPr>
                <w:rFonts w:ascii="Times New Roman" w:hAnsi="Times New Roman"/>
                <w:sz w:val="24"/>
              </w:rPr>
              <w:t>tizacija (A-B-C), u redcima 110 – 130, i resekuritizacija (D-E), u redcima 140 – 150, kako je navedeno u članku 261. stavku 1. tablici 4. CRR-a.</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160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PRIJEVREMENA ISPLATA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Ovaj se redak primjenjuje samo na inicijatore sa sekuritizacijama obnovljivih izloženosti koje sadržavaju odredbe o prijevremenoj odredbi, kako je navedeno u članku 242. stavcima 13. i 14. CRR-a.</w:t>
            </w:r>
          </w:p>
          <w:p w:rsidR="00612780" w:rsidRPr="00EF7F33" w:rsidRDefault="00612780" w:rsidP="00612780">
            <w:pPr>
              <w:pStyle w:val="Heading1"/>
              <w:rPr>
                <w:rFonts w:ascii="Times New Roman" w:eastAsia="Times New Roman" w:hAnsi="Times New Roman"/>
                <w:sz w:val="24"/>
                <w:szCs w:val="24"/>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170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INVESTITOR: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Style w:val="FormatvorlageInstructionsTabelleText"/>
                <w:rFonts w:ascii="Times New Roman" w:hAnsi="Times New Roman"/>
                <w:sz w:val="24"/>
              </w:rPr>
            </w:pPr>
            <w:r w:rsidRPr="00EF7F33">
              <w:rPr>
                <w:rStyle w:val="FormatvorlageInstructionsTabelleText"/>
                <w:rFonts w:ascii="Times New Roman" w:hAnsi="Times New Roman"/>
                <w:sz w:val="24"/>
              </w:rPr>
              <w:t>U ovom su retku sažete informacije o bilančnim i izvanbilančnim stavkama te izvedenicama sekuritizacijskih pozicija kod kojih institucija ima ulogu invest</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 xml:space="preserve">tora. </w:t>
            </w:r>
          </w:p>
          <w:p w:rsidR="00612780" w:rsidRPr="00EF7F33"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EF7F33" w:rsidRDefault="00612780" w:rsidP="00612780">
            <w:pPr>
              <w:autoSpaceDE w:val="0"/>
              <w:autoSpaceDN w:val="0"/>
              <w:adjustRightInd w:val="0"/>
              <w:spacing w:before="0" w:after="0"/>
              <w:rPr>
                <w:rStyle w:val="FormatvorlageInstructionsTabelleText"/>
                <w:rFonts w:ascii="Times New Roman" w:hAnsi="Times New Roman"/>
                <w:sz w:val="24"/>
              </w:rPr>
            </w:pPr>
            <w:r w:rsidRPr="00EF7F33">
              <w:rPr>
                <w:rStyle w:val="FormatvorlageInstructionsTabelleText"/>
                <w:rFonts w:ascii="Times New Roman" w:hAnsi="Times New Roman"/>
                <w:sz w:val="24"/>
              </w:rPr>
              <w:t>CRR-om nije predviđena izričita definicija investitora. Stoga se u ovom ko</w:t>
            </w:r>
            <w:r w:rsidRPr="00EF7F33">
              <w:rPr>
                <w:rStyle w:val="FormatvorlageInstructionsTabelleText"/>
                <w:rFonts w:ascii="Times New Roman" w:hAnsi="Times New Roman"/>
                <w:sz w:val="24"/>
              </w:rPr>
              <w:t>n</w:t>
            </w:r>
            <w:r w:rsidRPr="00EF7F33">
              <w:rPr>
                <w:rStyle w:val="FormatvorlageInstructionsTabelleText"/>
                <w:rFonts w:ascii="Times New Roman" w:hAnsi="Times New Roman"/>
                <w:sz w:val="24"/>
              </w:rPr>
              <w:t>tekstu podrazumijeva institucijom koja drži sekuritizacijsku poziciju u sekurit</w:t>
            </w:r>
            <w:r w:rsidRPr="00EF7F33">
              <w:rPr>
                <w:rStyle w:val="FormatvorlageInstructionsTabelleText"/>
                <w:rFonts w:ascii="Times New Roman" w:hAnsi="Times New Roman"/>
                <w:sz w:val="24"/>
              </w:rPr>
              <w:t>i</w:t>
            </w:r>
            <w:r w:rsidRPr="00EF7F33">
              <w:rPr>
                <w:rStyle w:val="FormatvorlageInstructionsTabelleText"/>
                <w:rFonts w:ascii="Times New Roman" w:hAnsi="Times New Roman"/>
                <w:sz w:val="24"/>
              </w:rPr>
              <w:t>zacijskoj transakciji u kojoj nije ni inicijator ni sponzor.</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180-230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(A-B-C) i r</w:t>
            </w:r>
            <w:r w:rsidRPr="00EF7F33">
              <w:rPr>
                <w:rFonts w:ascii="Times New Roman" w:hAnsi="Times New Roman"/>
                <w:sz w:val="24"/>
              </w:rPr>
              <w:t>e</w:t>
            </w:r>
            <w:r w:rsidRPr="00EF7F33">
              <w:rPr>
                <w:rFonts w:ascii="Times New Roman" w:hAnsi="Times New Roman"/>
                <w:sz w:val="24"/>
              </w:rPr>
              <w:t>sekuritizacija (D-E) koji se primjenjuju za bilančne stavke za inicijatore.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240-290</w:t>
            </w:r>
          </w:p>
        </w:tc>
        <w:tc>
          <w:tcPr>
            <w:tcW w:w="7903" w:type="dxa"/>
          </w:tcPr>
          <w:p w:rsidR="00612780" w:rsidRPr="00EF7F33" w:rsidRDefault="00612780" w:rsidP="00612780">
            <w:pPr>
              <w:spacing w:before="0" w:after="0"/>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(A-B-C) i r</w:t>
            </w:r>
            <w:r w:rsidRPr="00EF7F33">
              <w:rPr>
                <w:rFonts w:ascii="Times New Roman" w:hAnsi="Times New Roman"/>
                <w:sz w:val="24"/>
              </w:rPr>
              <w:t>e</w:t>
            </w:r>
            <w:r w:rsidRPr="00EF7F33">
              <w:rPr>
                <w:rFonts w:ascii="Times New Roman" w:hAnsi="Times New Roman"/>
                <w:sz w:val="24"/>
              </w:rPr>
              <w:t>sekuritizacija (D-E) koji se primjenjuju za izvanbilančne stavke i izvedenice za inicijatore.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300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SPONZOR: UKUPNE IZLOŽENOSTI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su retku sažete informacije o bilančnim i izvanbilančnim stavkama i izvedenicama onih sekuritizacijskih pozicija kod kojih institucija ima ulogu sponzora, kako je definirano u članku 4. stavku 1. točki 14. CRR-a. Ako spo</w:t>
            </w:r>
            <w:r w:rsidRPr="00EF7F33">
              <w:rPr>
                <w:rFonts w:ascii="Times New Roman" w:hAnsi="Times New Roman"/>
                <w:sz w:val="24"/>
              </w:rPr>
              <w:t>n</w:t>
            </w:r>
            <w:r w:rsidRPr="00EF7F33">
              <w:rPr>
                <w:rFonts w:ascii="Times New Roman" w:hAnsi="Times New Roman"/>
                <w:sz w:val="24"/>
              </w:rPr>
              <w:t>zor i sekuritizira svoju imovinu, popunjava retke za inicijatora informacijama o vlastitoj sekuritiziranoj imovini.</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242"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310-360</w:t>
            </w:r>
          </w:p>
        </w:tc>
        <w:tc>
          <w:tcPr>
            <w:tcW w:w="7903" w:type="dxa"/>
            <w:shd w:val="clear" w:color="auto" w:fill="auto"/>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sz w:val="24"/>
              </w:rPr>
              <w:t>Ovdje se primjenjuju jednaki kriteriji raščlanjivanja sekuritizacija (A-B-C) i r</w:t>
            </w:r>
            <w:r w:rsidRPr="00EF7F33">
              <w:rPr>
                <w:rFonts w:ascii="Times New Roman" w:hAnsi="Times New Roman"/>
                <w:sz w:val="24"/>
              </w:rPr>
              <w:t>e</w:t>
            </w:r>
            <w:r w:rsidRPr="00EF7F33">
              <w:rPr>
                <w:rFonts w:ascii="Times New Roman" w:hAnsi="Times New Roman"/>
                <w:sz w:val="24"/>
              </w:rPr>
              <w:t>sekuritizacija (D-E) koji se primjenjuju za bilančne stavke i izvedenice za inic</w:t>
            </w:r>
            <w:r w:rsidRPr="00EF7F33">
              <w:rPr>
                <w:rFonts w:ascii="Times New Roman" w:hAnsi="Times New Roman"/>
                <w:sz w:val="24"/>
              </w:rPr>
              <w:t>i</w:t>
            </w:r>
            <w:r w:rsidRPr="00EF7F33">
              <w:rPr>
                <w:rFonts w:ascii="Times New Roman" w:hAnsi="Times New Roman"/>
                <w:sz w:val="24"/>
              </w:rPr>
              <w:t>jatore.</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242"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370-420</w:t>
            </w:r>
          </w:p>
        </w:tc>
        <w:tc>
          <w:tcPr>
            <w:tcW w:w="7903" w:type="dxa"/>
            <w:shd w:val="clear" w:color="auto" w:fill="auto"/>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sekuritizacija (A-B-C) i r</w:t>
            </w:r>
            <w:r w:rsidRPr="00EF7F33">
              <w:rPr>
                <w:rFonts w:ascii="Times New Roman" w:hAnsi="Times New Roman"/>
                <w:sz w:val="24"/>
              </w:rPr>
              <w:t>e</w:t>
            </w:r>
            <w:r w:rsidRPr="00EF7F33">
              <w:rPr>
                <w:rFonts w:ascii="Times New Roman" w:hAnsi="Times New Roman"/>
                <w:sz w:val="24"/>
              </w:rPr>
              <w:t>sekuritizacija (D-E) koji se primjenjuju za izvanbilančne stavke i izvedenice za inicijatore.</w:t>
            </w:r>
          </w:p>
          <w:p w:rsidR="00612780" w:rsidRPr="00EF7F33" w:rsidRDefault="00612780" w:rsidP="00612780">
            <w:pPr>
              <w:autoSpaceDE w:val="0"/>
              <w:autoSpaceDN w:val="0"/>
              <w:adjustRightInd w:val="0"/>
              <w:spacing w:before="0" w:after="0"/>
              <w:rPr>
                <w:rFonts w:ascii="Times New Roman" w:hAnsi="Times New Roman"/>
                <w:b/>
                <w:sz w:val="24"/>
                <w:u w:val="single"/>
              </w:rPr>
            </w:pPr>
          </w:p>
        </w:tc>
      </w:tr>
      <w:tr w:rsidR="00612780" w:rsidRPr="00EF7F33" w:rsidTr="00672D2A">
        <w:tc>
          <w:tcPr>
            <w:tcW w:w="1242"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430-540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RAŠČLAMBA PREOSTALIH POZICIJA PREMA STUPNJEVIMA KREDITNE KVALITETE NA POČETKU</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U ovim se redcima prikupljaju informacije o preostalim pozicijama koje se tr</w:t>
            </w:r>
            <w:r w:rsidRPr="00EF7F33">
              <w:rPr>
                <w:rFonts w:ascii="Times New Roman" w:hAnsi="Times New Roman"/>
                <w:sz w:val="24"/>
              </w:rPr>
              <w:t>e</w:t>
            </w:r>
            <w:r w:rsidRPr="00EF7F33">
              <w:rPr>
                <w:rFonts w:ascii="Times New Roman" w:hAnsi="Times New Roman"/>
                <w:sz w:val="24"/>
              </w:rPr>
              <w:t>tiraju prema metodi zasnovanoj na rejtinzima i pozicijama bez rejtinga (na izvještajni datum) prema stupnjevima kreditne kvalitete (predviđenima za IRB pristup u članku 261. tablici 4. CRR-a) koji se primjenjuju na datum početka sekuritizacije (početak). U nedostatku tih informacija, iskazuju se najraniji do</w:t>
            </w:r>
            <w:r w:rsidRPr="00EF7F33">
              <w:rPr>
                <w:rFonts w:ascii="Times New Roman" w:hAnsi="Times New Roman"/>
                <w:sz w:val="24"/>
              </w:rPr>
              <w:t>s</w:t>
            </w:r>
            <w:r w:rsidRPr="00EF7F33">
              <w:rPr>
                <w:rFonts w:ascii="Times New Roman" w:hAnsi="Times New Roman"/>
                <w:sz w:val="24"/>
              </w:rPr>
              <w:t>tupni podaci istovjetni stupnjevima kreditne kvalitete.</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Ove je retke potrebno iskazivati samo za stupce 170, od 190 do 320 i stupce od 400 do 410.</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76" w:name="_Toc239157390"/>
      <w:bookmarkStart w:id="477" w:name="_Toc310415046"/>
      <w:bookmarkStart w:id="478" w:name="_Toc360188381"/>
      <w:bookmarkStart w:id="479" w:name="_Toc516210667"/>
      <w:bookmarkStart w:id="480" w:name="_Toc473560932"/>
      <w:bookmarkStart w:id="481" w:name="_Toc523998159"/>
      <w:r w:rsidRPr="00EF7F33">
        <w:rPr>
          <w:rFonts w:ascii="Times New Roman" w:hAnsi="Times New Roman"/>
          <w:sz w:val="24"/>
          <w:u w:val="none"/>
        </w:rPr>
        <w:t>3.9.</w:t>
      </w:r>
      <w:r w:rsidRPr="00EF7F33">
        <w:tab/>
      </w:r>
      <w:r w:rsidRPr="00EF7F33">
        <w:rPr>
          <w:rFonts w:ascii="Times New Roman" w:hAnsi="Times New Roman"/>
          <w:sz w:val="24"/>
        </w:rPr>
        <w:t xml:space="preserve">C 14.00 – </w:t>
      </w:r>
      <w:bookmarkEnd w:id="476"/>
      <w:r w:rsidRPr="00EF7F33">
        <w:rPr>
          <w:rFonts w:ascii="Times New Roman" w:hAnsi="Times New Roman"/>
          <w:sz w:val="24"/>
        </w:rPr>
        <w:t>Detaljne informacije o sekuritizacijama</w:t>
      </w:r>
      <w:bookmarkEnd w:id="477"/>
      <w:bookmarkEnd w:id="478"/>
      <w:r w:rsidRPr="00EF7F33">
        <w:rPr>
          <w:rFonts w:ascii="Times New Roman" w:hAnsi="Times New Roman"/>
          <w:sz w:val="24"/>
        </w:rPr>
        <w:t xml:space="preserve"> (SEC DETALJNIJI PODACI)</w:t>
      </w:r>
      <w:bookmarkEnd w:id="479"/>
      <w:bookmarkEnd w:id="480"/>
      <w:bookmarkEnd w:id="481"/>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82" w:name="_Toc310415047"/>
      <w:bookmarkStart w:id="483" w:name="_Toc360188382"/>
      <w:bookmarkStart w:id="484" w:name="_Toc516210668"/>
      <w:bookmarkStart w:id="485" w:name="_Toc473560933"/>
      <w:bookmarkStart w:id="486" w:name="_Toc523998160"/>
      <w:r w:rsidRPr="00EF7F33">
        <w:rPr>
          <w:rFonts w:ascii="Times New Roman" w:hAnsi="Times New Roman"/>
          <w:sz w:val="24"/>
          <w:u w:val="none"/>
        </w:rPr>
        <w:t>3.9.1.</w:t>
      </w:r>
      <w:r w:rsidRPr="00EF7F33">
        <w:tab/>
      </w:r>
      <w:r w:rsidRPr="00EF7F33">
        <w:rPr>
          <w:rFonts w:ascii="Times New Roman" w:hAnsi="Times New Roman"/>
          <w:sz w:val="24"/>
        </w:rPr>
        <w:t>Opće napomene</w:t>
      </w:r>
      <w:bookmarkEnd w:id="482"/>
      <w:bookmarkEnd w:id="483"/>
      <w:bookmarkEnd w:id="484"/>
      <w:bookmarkEnd w:id="485"/>
      <w:bookmarkEnd w:id="486"/>
    </w:p>
    <w:p w:rsidR="00612780" w:rsidRPr="00EF7F33" w:rsidRDefault="00125707" w:rsidP="00C37B29">
      <w:pPr>
        <w:pStyle w:val="InstructionsText2"/>
        <w:numPr>
          <w:ilvl w:val="0"/>
          <w:numId w:val="0"/>
        </w:numPr>
        <w:ind w:left="993"/>
      </w:pPr>
      <w:r w:rsidRPr="00EF7F33">
        <w:t>109.</w:t>
      </w:r>
      <w:r w:rsidRPr="00EF7F33">
        <w:tab/>
        <w:t>U ovom se obrascu prikupljaju informacije na osnovi transakcija (nasuprot a</w:t>
      </w:r>
      <w:r w:rsidRPr="00EF7F33">
        <w:t>g</w:t>
      </w:r>
      <w:r w:rsidRPr="00EF7F33">
        <w:t>regiranih informacija iskazanih u obrascima CR SEC SA, CR SEC IRB, MKR SA SEC, MKR SA CTP, CA1 i CA2) o svim sekuritizacijama u koje je uključena inst</w:t>
      </w:r>
      <w:r w:rsidRPr="00EF7F33">
        <w:t>i</w:t>
      </w:r>
      <w:r w:rsidRPr="00EF7F33">
        <w:t xml:space="preserve">tucija koja izvješćuje. Iskazuju se glavna obilježja svake sekuritizacije, kao što su priroda odnosnog skupa i kapitalni zahtjevi. </w:t>
      </w:r>
    </w:p>
    <w:p w:rsidR="00612780" w:rsidRPr="00EF7F33" w:rsidRDefault="00125707" w:rsidP="00C37B29">
      <w:pPr>
        <w:pStyle w:val="InstructionsText2"/>
        <w:numPr>
          <w:ilvl w:val="0"/>
          <w:numId w:val="0"/>
        </w:numPr>
        <w:ind w:left="993"/>
      </w:pPr>
      <w:r w:rsidRPr="00EF7F33">
        <w:t>110.</w:t>
      </w:r>
      <w:r w:rsidRPr="00EF7F33">
        <w:tab/>
        <w:t>Ovaj je obrazac potrebno iskazati za sljedeće:</w:t>
      </w:r>
    </w:p>
    <w:p w:rsidR="00612780" w:rsidRPr="00EF7F33" w:rsidRDefault="00125707" w:rsidP="00C37B29">
      <w:pPr>
        <w:pStyle w:val="InstructionsText2"/>
        <w:numPr>
          <w:ilvl w:val="0"/>
          <w:numId w:val="0"/>
        </w:numPr>
        <w:ind w:left="993"/>
      </w:pPr>
      <w:r w:rsidRPr="00EF7F33">
        <w:t>a.</w:t>
      </w:r>
      <w:r w:rsidRPr="00EF7F33">
        <w:tab/>
        <w:t>sekuritizacije koje inicira/sponzorira institucija koja izvješćuje ako drži barem jednu poziciju u sekuritizaciji. To znači da, bez obzira na to postoji li prijenos zn</w:t>
      </w:r>
      <w:r w:rsidRPr="00EF7F33">
        <w:t>a</w:t>
      </w:r>
      <w:r w:rsidRPr="00EF7F33">
        <w:t>čajnog rizika ili ne, institucije iskazuju informacije o svim pozicijama koje drže (u knjizi pozicija kojima se ne trguje ili u knjizi trgovanja). Pozicije koje se drže u</w:t>
      </w:r>
      <w:r w:rsidRPr="00EF7F33">
        <w:t>k</w:t>
      </w:r>
      <w:r w:rsidRPr="00EF7F33">
        <w:t>ljučuju pozicije zadržane u skladu s člankom 405. CRR-a.</w:t>
      </w:r>
    </w:p>
    <w:p w:rsidR="00612780" w:rsidRPr="00EF7F33" w:rsidRDefault="00125707" w:rsidP="00C37B29">
      <w:pPr>
        <w:pStyle w:val="InstructionsText2"/>
        <w:numPr>
          <w:ilvl w:val="0"/>
          <w:numId w:val="0"/>
        </w:numPr>
        <w:ind w:left="993"/>
      </w:pPr>
      <w:r w:rsidRPr="00EF7F33">
        <w:t>b.</w:t>
      </w:r>
      <w:r w:rsidRPr="00EF7F33">
        <w:tab/>
        <w:t>sekuritizacije koje je inicirala/sponzorirala institucija koja izvješćuje tijekom godine izvješćivanja</w:t>
      </w:r>
      <w:r w:rsidRPr="00EF7F33">
        <w:rPr>
          <w:vertAlign w:val="superscript"/>
        </w:rPr>
        <w:footnoteReference w:id="2"/>
      </w:r>
      <w:r w:rsidRPr="00EF7F33">
        <w:t>, ako ne drži nikakve pozicije.</w:t>
      </w:r>
    </w:p>
    <w:p w:rsidR="00612780" w:rsidRPr="00EF7F33" w:rsidRDefault="00125707" w:rsidP="00C37B29">
      <w:pPr>
        <w:pStyle w:val="InstructionsText2"/>
        <w:numPr>
          <w:ilvl w:val="0"/>
          <w:numId w:val="0"/>
        </w:numPr>
        <w:ind w:left="993"/>
      </w:pPr>
      <w:r w:rsidRPr="00EF7F33">
        <w:t>c.</w:t>
      </w:r>
      <w:r w:rsidRPr="00EF7F33">
        <w:tab/>
        <w:t>sekuritizacije čiji su krajnji odnosni instrument financijske obveze koje je izd</w:t>
      </w:r>
      <w:r w:rsidRPr="00EF7F33">
        <w:t>a</w:t>
      </w:r>
      <w:r w:rsidRPr="00EF7F33">
        <w:t>la institucija koja izvješćuje i koje je (djelomično) stekao subjekt za sekuritizaciju. Taj odnosni instrument mogu biti pokrivene obveznice ili druge obveze i utvrđuje se kao takav u stupcu 160.</w:t>
      </w:r>
    </w:p>
    <w:p w:rsidR="00E50E79" w:rsidRPr="00EF7F33" w:rsidRDefault="00125707" w:rsidP="00C37B29">
      <w:pPr>
        <w:pStyle w:val="InstructionsText2"/>
        <w:numPr>
          <w:ilvl w:val="0"/>
          <w:numId w:val="0"/>
        </w:numPr>
        <w:ind w:left="993"/>
      </w:pPr>
      <w:r w:rsidRPr="00EF7F33">
        <w:t>d.</w:t>
      </w:r>
      <w:r w:rsidRPr="00EF7F33">
        <w:tab/>
        <w:t>pozicije koje se drže u sekuritizacijama ako institucija koja izvješćuje nije ni inicijator ni sponzor (tj. investitori i izvorni zajmodavci).</w:t>
      </w:r>
    </w:p>
    <w:p w:rsidR="00612780" w:rsidRPr="00EF7F33" w:rsidRDefault="00125707" w:rsidP="00C37B29">
      <w:pPr>
        <w:pStyle w:val="InstructionsText2"/>
        <w:numPr>
          <w:ilvl w:val="0"/>
          <w:numId w:val="0"/>
        </w:numPr>
        <w:ind w:left="993"/>
      </w:pPr>
      <w:r w:rsidRPr="00EF7F33">
        <w:t>111.</w:t>
      </w:r>
      <w:r w:rsidRPr="00EF7F33">
        <w:tab/>
        <w:t>Ovaj obrazac dostavljaju konsolidirane grupe i samostalne institucije</w:t>
      </w:r>
      <w:r w:rsidRPr="00EF7F33">
        <w:rPr>
          <w:vertAlign w:val="superscript"/>
        </w:rPr>
        <w:footnoteReference w:id="3"/>
      </w:r>
      <w:r w:rsidRPr="00EF7F33">
        <w:t xml:space="preserve"> koje se nalaze u istoj zemlji u kojoj podliježu kapitalnim zahtjevima. Ako sekuritizacije u</w:t>
      </w:r>
      <w:r w:rsidRPr="00EF7F33">
        <w:t>k</w:t>
      </w:r>
      <w:r w:rsidRPr="00EF7F33">
        <w:t>ljučuju više od jednog subjekta iste konsolidirane grupe, dostavlja se detaljna ra</w:t>
      </w:r>
      <w:r w:rsidRPr="00EF7F33">
        <w:t>š</w:t>
      </w:r>
      <w:r w:rsidRPr="00EF7F33">
        <w:t xml:space="preserve">člamba prema pojedinom subjektu. </w:t>
      </w:r>
    </w:p>
    <w:p w:rsidR="00612780" w:rsidRPr="00EF7F33" w:rsidRDefault="00125707" w:rsidP="00C37B29">
      <w:pPr>
        <w:pStyle w:val="InstructionsText2"/>
        <w:numPr>
          <w:ilvl w:val="0"/>
          <w:numId w:val="0"/>
        </w:numPr>
        <w:ind w:left="993"/>
      </w:pPr>
      <w:r w:rsidRPr="00EF7F33">
        <w:lastRenderedPageBreak/>
        <w:t>112.</w:t>
      </w:r>
      <w:r w:rsidRPr="00EF7F33">
        <w:tab/>
        <w:t>Na temelju članka 406. stavka 1. CRR-a kojim je utvrđeno da institucije koje ulažu u sekuritizacijske pozicije stječu veliki broj informacija o njima kako bi po</w:t>
      </w:r>
      <w:r w:rsidRPr="00EF7F33">
        <w:t>s</w:t>
      </w:r>
      <w:r w:rsidRPr="00EF7F33">
        <w:t>tupale u skladu sa zahtjevima povezanima s dubinskom analizom, opseg izvješć</w:t>
      </w:r>
      <w:r w:rsidRPr="00EF7F33">
        <w:t>i</w:t>
      </w:r>
      <w:r w:rsidRPr="00EF7F33">
        <w:t>vanja u obrascu primjenjuje se u ograničenoj mjeri na investitore. Konkretno, isk</w:t>
      </w:r>
      <w:r w:rsidRPr="00EF7F33">
        <w:t>a</w:t>
      </w:r>
      <w:r w:rsidRPr="00EF7F33">
        <w:t>zuju stupce 010-040; 070-110; 160; 190; 290-400; 420-470.</w:t>
      </w:r>
    </w:p>
    <w:p w:rsidR="00612780" w:rsidRPr="00EF7F33" w:rsidRDefault="00125707" w:rsidP="00C37B29">
      <w:pPr>
        <w:pStyle w:val="InstructionsText2"/>
        <w:numPr>
          <w:ilvl w:val="0"/>
          <w:numId w:val="0"/>
        </w:numPr>
        <w:ind w:left="993"/>
      </w:pPr>
      <w:r w:rsidRPr="00EF7F33">
        <w:t>113.</w:t>
      </w:r>
      <w:r w:rsidRPr="00EF7F33">
        <w:tab/>
        <w:t>Institucije koje imaju ulogu izvornog zajmodavca (nemaju ulogu inicijatora ili sponzora u istoj sekuritizaciji) općenito izvješćuju u obrascu u istoj mjeri kao i i</w:t>
      </w:r>
      <w:r w:rsidRPr="00EF7F33">
        <w:t>n</w:t>
      </w:r>
      <w:r w:rsidRPr="00EF7F33">
        <w:t>vestitori.</w:t>
      </w:r>
    </w:p>
    <w:p w:rsidR="00612780" w:rsidRPr="00EF7F33" w:rsidRDefault="00125707" w:rsidP="0023700C">
      <w:pPr>
        <w:pStyle w:val="Instructionsberschrift2"/>
        <w:numPr>
          <w:ilvl w:val="0"/>
          <w:numId w:val="0"/>
        </w:numPr>
        <w:ind w:left="357" w:hanging="357"/>
        <w:rPr>
          <w:rFonts w:ascii="Times New Roman" w:hAnsi="Times New Roman" w:cs="Times New Roman"/>
          <w:sz w:val="24"/>
        </w:rPr>
      </w:pPr>
      <w:bookmarkStart w:id="487" w:name="_Toc310415048"/>
      <w:bookmarkStart w:id="488" w:name="_Toc360188383"/>
      <w:bookmarkStart w:id="489" w:name="_Toc516210669"/>
      <w:bookmarkStart w:id="490" w:name="_Toc473560934"/>
      <w:bookmarkStart w:id="491" w:name="_Toc523998161"/>
      <w:r w:rsidRPr="00EF7F33">
        <w:rPr>
          <w:rFonts w:ascii="Times New Roman" w:hAnsi="Times New Roman"/>
          <w:sz w:val="24"/>
          <w:u w:val="none"/>
        </w:rPr>
        <w:t>3.9.2.</w:t>
      </w:r>
      <w:r w:rsidRPr="00EF7F33">
        <w:tab/>
      </w:r>
      <w:r w:rsidRPr="00EF7F33">
        <w:rPr>
          <w:rFonts w:ascii="Times New Roman" w:hAnsi="Times New Roman"/>
          <w:sz w:val="24"/>
        </w:rPr>
        <w:t>Upute za specifične pozicije</w:t>
      </w:r>
      <w:bookmarkEnd w:id="487"/>
      <w:bookmarkEnd w:id="488"/>
      <w:bookmarkEnd w:id="489"/>
      <w:bookmarkEnd w:id="490"/>
      <w:bookmarkEnd w:id="491"/>
    </w:p>
    <w:p w:rsidR="00612780" w:rsidRPr="00EF7F33"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EF7F33" w:rsidTr="00672D2A">
        <w:tc>
          <w:tcPr>
            <w:tcW w:w="9004" w:type="dxa"/>
            <w:gridSpan w:val="2"/>
            <w:shd w:val="clear" w:color="auto" w:fill="CCCCCC"/>
          </w:tcPr>
          <w:p w:rsidR="00612780" w:rsidRPr="00EF7F33" w:rsidRDefault="00612780" w:rsidP="00612780">
            <w:pPr>
              <w:autoSpaceDE w:val="0"/>
              <w:autoSpaceDN w:val="0"/>
              <w:adjustRightInd w:val="0"/>
              <w:spacing w:before="0" w:after="0"/>
              <w:rPr>
                <w:rFonts w:ascii="Times New Roman" w:hAnsi="Times New Roman"/>
                <w:bCs/>
                <w:sz w:val="24"/>
              </w:rPr>
            </w:pPr>
          </w:p>
          <w:p w:rsidR="00612780" w:rsidRPr="00EF7F33" w:rsidRDefault="00612780" w:rsidP="00612780">
            <w:pPr>
              <w:autoSpaceDE w:val="0"/>
              <w:autoSpaceDN w:val="0"/>
              <w:adjustRightInd w:val="0"/>
              <w:spacing w:before="0" w:after="0"/>
              <w:rPr>
                <w:rFonts w:ascii="Times New Roman" w:hAnsi="Times New Roman"/>
                <w:b/>
                <w:bCs/>
                <w:sz w:val="24"/>
              </w:rPr>
            </w:pPr>
            <w:r w:rsidRPr="00EF7F33">
              <w:rPr>
                <w:rFonts w:ascii="Times New Roman" w:hAnsi="Times New Roman"/>
                <w:b/>
                <w:sz w:val="24"/>
              </w:rPr>
              <w:t>Stupci</w:t>
            </w:r>
          </w:p>
          <w:p w:rsidR="00612780" w:rsidRPr="00EF7F33" w:rsidRDefault="00612780" w:rsidP="00612780">
            <w:pPr>
              <w:autoSpaceDE w:val="0"/>
              <w:autoSpaceDN w:val="0"/>
              <w:adjustRightInd w:val="0"/>
              <w:spacing w:before="0" w:after="0"/>
              <w:rPr>
                <w:rFonts w:ascii="Times New Roman" w:hAnsi="Times New Roman"/>
                <w:bCs/>
                <w:sz w:val="24"/>
              </w:rPr>
            </w:pPr>
          </w:p>
        </w:tc>
      </w:tr>
      <w:tr w:rsidR="007F7831" w:rsidRPr="00EF7F33" w:rsidTr="00672D2A">
        <w:tc>
          <w:tcPr>
            <w:tcW w:w="1101" w:type="dxa"/>
          </w:tcPr>
          <w:p w:rsidR="007F7831" w:rsidRPr="00EF7F33" w:rsidRDefault="007F7831"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005</w:t>
            </w:r>
          </w:p>
        </w:tc>
        <w:tc>
          <w:tcPr>
            <w:tcW w:w="7903" w:type="dxa"/>
          </w:tcPr>
          <w:p w:rsidR="007F7831" w:rsidRPr="00EF7F33" w:rsidRDefault="007F7831" w:rsidP="00612780">
            <w:pPr>
              <w:spacing w:before="0" w:after="0"/>
              <w:jc w:val="left"/>
              <w:rPr>
                <w:rFonts w:ascii="Times New Roman" w:hAnsi="Times New Roman"/>
                <w:b/>
                <w:sz w:val="24"/>
                <w:u w:val="single"/>
              </w:rPr>
            </w:pPr>
            <w:r w:rsidRPr="00EF7F33">
              <w:rPr>
                <w:rFonts w:ascii="Times New Roman" w:hAnsi="Times New Roman"/>
                <w:b/>
                <w:sz w:val="24"/>
                <w:u w:val="single"/>
              </w:rPr>
              <w:t>BROJ RETKA</w:t>
            </w:r>
          </w:p>
          <w:p w:rsidR="007F7831" w:rsidRPr="00EF7F33" w:rsidRDefault="007F7831" w:rsidP="00612780">
            <w:pPr>
              <w:spacing w:before="0" w:after="0"/>
              <w:jc w:val="left"/>
              <w:rPr>
                <w:rFonts w:ascii="Times New Roman" w:hAnsi="Times New Roman"/>
                <w:b/>
                <w:sz w:val="24"/>
                <w:u w:val="single"/>
              </w:rPr>
            </w:pPr>
          </w:p>
          <w:p w:rsidR="007F7831" w:rsidRPr="00EF7F33" w:rsidRDefault="007F7831" w:rsidP="00FF2D0E">
            <w:pPr>
              <w:autoSpaceDE w:val="0"/>
              <w:autoSpaceDN w:val="0"/>
              <w:adjustRightInd w:val="0"/>
              <w:spacing w:before="0" w:after="0"/>
              <w:rPr>
                <w:rFonts w:ascii="Times New Roman" w:hAnsi="Times New Roman"/>
                <w:sz w:val="24"/>
              </w:rPr>
            </w:pPr>
            <w:r w:rsidRPr="00EF7F33">
              <w:rPr>
                <w:rFonts w:ascii="Times New Roman" w:hAnsi="Times New Roman"/>
                <w:sz w:val="24"/>
              </w:rPr>
              <w:t>Broj retka je identifikator retka i jedinstven je za svaki redak u tablici. Navodi se numeričkim redoslijedom 1, 2, 3 itd.</w:t>
            </w:r>
          </w:p>
          <w:p w:rsidR="007F7831" w:rsidRPr="00EF7F33" w:rsidRDefault="007F7831" w:rsidP="00FF2D0E">
            <w:pPr>
              <w:autoSpaceDE w:val="0"/>
              <w:autoSpaceDN w:val="0"/>
              <w:adjustRightInd w:val="0"/>
              <w:spacing w:before="0" w:after="0"/>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010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INTERNA OZNAKA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Interna (alfanumerička) oznaka koju institucije upotrebljavaju za utvrđivanje sekuritizacije. Interna oznaka povezuje se s identifikatorom sekuritizacije.</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020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 xml:space="preserve">IDENTIFIKATOR SEKURITIZACIJE </w:t>
            </w:r>
            <w:r w:rsidRPr="00EF7F33">
              <w:rPr>
                <w:rFonts w:ascii="Times New Roman" w:hAnsi="Times New Roman"/>
                <w:b/>
                <w:sz w:val="24"/>
              </w:rPr>
              <w:t xml:space="preserve"> (oznaka/naziv)</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Oznaka koja se upotrebljava za zakonski upis sekuritizacije ili, ako nije dostu</w:t>
            </w:r>
            <w:r w:rsidRPr="00EF7F33">
              <w:rPr>
                <w:rFonts w:ascii="Times New Roman" w:hAnsi="Times New Roman"/>
                <w:sz w:val="24"/>
              </w:rPr>
              <w:t>p</w:t>
            </w:r>
            <w:r w:rsidRPr="00EF7F33">
              <w:rPr>
                <w:rFonts w:ascii="Times New Roman" w:hAnsi="Times New Roman"/>
                <w:sz w:val="24"/>
              </w:rPr>
              <w:t>na, naziv po kojem je sekuritizacija poznata na tržištu. Ako je dostupan međ</w:t>
            </w:r>
            <w:r w:rsidRPr="00EF7F33">
              <w:rPr>
                <w:rFonts w:ascii="Times New Roman" w:hAnsi="Times New Roman"/>
                <w:sz w:val="24"/>
              </w:rPr>
              <w:t>u</w:t>
            </w:r>
            <w:r w:rsidRPr="00EF7F33">
              <w:rPr>
                <w:rFonts w:ascii="Times New Roman" w:hAnsi="Times New Roman"/>
                <w:sz w:val="24"/>
              </w:rPr>
              <w:t>narodni identifikacijski broj vrijednosnog papira (ISIN) (tj. za javne transakc</w:t>
            </w:r>
            <w:r w:rsidRPr="00EF7F33">
              <w:rPr>
                <w:rFonts w:ascii="Times New Roman" w:hAnsi="Times New Roman"/>
                <w:sz w:val="24"/>
              </w:rPr>
              <w:t>i</w:t>
            </w:r>
            <w:r w:rsidRPr="00EF7F33">
              <w:rPr>
                <w:rFonts w:ascii="Times New Roman" w:hAnsi="Times New Roman"/>
                <w:sz w:val="24"/>
              </w:rPr>
              <w:t>je), u ovom se stupcu iskazuju znakovi koji su zajednički svim tranšama sekur</w:t>
            </w:r>
            <w:r w:rsidRPr="00EF7F33">
              <w:rPr>
                <w:rFonts w:ascii="Times New Roman" w:hAnsi="Times New Roman"/>
                <w:sz w:val="24"/>
              </w:rPr>
              <w:t>i</w:t>
            </w:r>
            <w:r w:rsidRPr="00EF7F33">
              <w:rPr>
                <w:rFonts w:ascii="Times New Roman" w:hAnsi="Times New Roman"/>
                <w:sz w:val="24"/>
              </w:rPr>
              <w:t>tizacije.</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030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IDENTIFIKATOR INICIJATORA</w:t>
            </w:r>
            <w:r w:rsidRPr="00EF7F33">
              <w:rPr>
                <w:rFonts w:ascii="Times New Roman" w:hAnsi="Times New Roman"/>
                <w:b/>
                <w:sz w:val="24"/>
              </w:rPr>
              <w:t xml:space="preserve"> (oznaka/naziv)</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Oznaka koju je inicijatoru dalo nadzorno tijelo ili, ako nije dostupna, u ovom se stupcu iskazuje naziv same institucije.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višestrukih (multi-seller) sekuritizacija svaki subjekt koji izvješćuje dostavlja identifikator svih subjekata unutar konsolidirane grupe koji su uklj</w:t>
            </w:r>
            <w:r w:rsidRPr="00EF7F33">
              <w:rPr>
                <w:rFonts w:ascii="Times New Roman" w:hAnsi="Times New Roman"/>
                <w:sz w:val="24"/>
              </w:rPr>
              <w:t>u</w:t>
            </w:r>
            <w:r w:rsidRPr="00EF7F33">
              <w:rPr>
                <w:rFonts w:ascii="Times New Roman" w:hAnsi="Times New Roman"/>
                <w:sz w:val="24"/>
              </w:rPr>
              <w:t>čeni u transakciju (kao inicijator, sponzor ili izvorni zajmodavac). Kad god o</w:t>
            </w:r>
            <w:r w:rsidRPr="00EF7F33">
              <w:rPr>
                <w:rFonts w:ascii="Times New Roman" w:hAnsi="Times New Roman"/>
                <w:sz w:val="24"/>
              </w:rPr>
              <w:t>z</w:t>
            </w:r>
            <w:r w:rsidRPr="00EF7F33">
              <w:rPr>
                <w:rFonts w:ascii="Times New Roman" w:hAnsi="Times New Roman"/>
                <w:sz w:val="24"/>
              </w:rPr>
              <w:t>naka nije dostupna ili nije poznata subjektu koji izvješćuje, iskazuje se naziv institucije.</w:t>
            </w:r>
          </w:p>
          <w:p w:rsidR="00612780" w:rsidRPr="00EF7F33" w:rsidRDefault="00612780" w:rsidP="00612780">
            <w:pPr>
              <w:autoSpaceDE w:val="0"/>
              <w:autoSpaceDN w:val="0"/>
              <w:adjustRightInd w:val="0"/>
              <w:spacing w:before="0" w:after="0"/>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040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VRSTA SEKURITIZACIJE: (TRADICIONALNA/SINTETSKA)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Iskazuju se sljedeće kratice:</w:t>
            </w:r>
            <w:r w:rsidRPr="00EF7F33">
              <w:rPr>
                <w:rFonts w:ascii="Times New Roman" w:hAnsi="Times New Roman"/>
                <w:sz w:val="24"/>
              </w:rPr>
              <w:br/>
              <w:t>- „T” za tradicionalnu;</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 „S” za sintetsku.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Definicije „tradicionalne sekuritizacije” i „sintetske sekuritizacije” navedene su u članku 242. stavcima 10. i 11. CRR-a.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lastRenderedPageBreak/>
              <w:t>050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RAČUNOVODSTVENI TRETMAN: SEKURITIZIRANE IZLOŽENO</w:t>
            </w:r>
            <w:r w:rsidRPr="00EF7F33">
              <w:rPr>
                <w:rFonts w:ascii="Times New Roman" w:hAnsi="Times New Roman"/>
                <w:b/>
                <w:sz w:val="24"/>
                <w:u w:val="single"/>
              </w:rPr>
              <w:t>S</w:t>
            </w:r>
            <w:r w:rsidRPr="00EF7F33">
              <w:rPr>
                <w:rFonts w:ascii="Times New Roman" w:hAnsi="Times New Roman"/>
                <w:b/>
                <w:sz w:val="24"/>
                <w:u w:val="single"/>
              </w:rPr>
              <w:t>TI ZADRŽAVAJU SE U BILANCI ILI SE IZ NJE UKLANJAJU?</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706D25"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Inicijatori, sponzori i izvorni zajmodavci iskazuju jednu od sljedećih kratica:</w:t>
            </w:r>
          </w:p>
          <w:p w:rsidR="00612780" w:rsidRPr="00EF7F33" w:rsidRDefault="00612780" w:rsidP="00612780">
            <w:pPr>
              <w:autoSpaceDE w:val="0"/>
              <w:autoSpaceDN w:val="0"/>
              <w:adjustRightInd w:val="0"/>
              <w:spacing w:before="0" w:after="0"/>
              <w:ind w:left="1440" w:hanging="1440"/>
              <w:jc w:val="left"/>
              <w:rPr>
                <w:rFonts w:ascii="Times New Roman" w:hAnsi="Times New Roman"/>
                <w:sz w:val="24"/>
              </w:rPr>
            </w:pPr>
            <w:r w:rsidRPr="00EF7F33">
              <w:rPr>
                <w:rFonts w:ascii="Times New Roman" w:hAnsi="Times New Roman"/>
                <w:sz w:val="24"/>
              </w:rPr>
              <w:t>- „K” ako su potpuno priznate</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„P” ako su se djelomično prestale priznavati</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„R” ako su se potpuno prestale priznavati</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„N” ako nije primjenjivo.</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U ovom je stupcu sažet računovodstveni tretman transakcije. </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sintetskih sekuritizacija, inicijatori iskazuju da su sekuritizirane izl</w:t>
            </w:r>
            <w:r w:rsidRPr="00EF7F33">
              <w:rPr>
                <w:rFonts w:ascii="Times New Roman" w:hAnsi="Times New Roman"/>
                <w:sz w:val="24"/>
              </w:rPr>
              <w:t>o</w:t>
            </w:r>
            <w:r w:rsidRPr="00EF7F33">
              <w:rPr>
                <w:rFonts w:ascii="Times New Roman" w:hAnsi="Times New Roman"/>
                <w:sz w:val="24"/>
              </w:rPr>
              <w:t>ženosti uklonjene iz bilance.</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sekuritizacija obveza, inicijatori ne izvješćuju u ovom stupcu.</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Opcija „P” (djelomično prestale priznavati) iskazuje se ako je sekuritizirana imovina priznata u bilanci u opsegu kontinuiranog sudjelovanja subjekta koji izvješćuje u skladu s MSFI-jem 9.3.2.16 – 3.2.21. </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060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TRETMAN SOLVENTNOSTI: SEKURITIZACIJSKE POZICIJE PO</w:t>
            </w:r>
            <w:r w:rsidRPr="00EF7F33">
              <w:rPr>
                <w:rFonts w:ascii="Times New Roman" w:hAnsi="Times New Roman"/>
                <w:b/>
                <w:sz w:val="24"/>
                <w:u w:val="single"/>
              </w:rPr>
              <w:t>D</w:t>
            </w:r>
            <w:r w:rsidRPr="00EF7F33">
              <w:rPr>
                <w:rFonts w:ascii="Times New Roman" w:hAnsi="Times New Roman"/>
                <w:b/>
                <w:sz w:val="24"/>
                <w:u w:val="single"/>
              </w:rPr>
              <w:t>LIJEŽU KAPITALNIM ZAHTJEVIMA?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Samo inicijatori iskazuju sljedeće kratice: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„N” ne podliježu kapitalnim zahtjevima;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„B” knjiga pozicija kojima se ne trguje;</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„T” knjiga trgovanja;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 „A” djelomično u obje knjige.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Članci 109., 243. i 244. CRR-a.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je stupcu sažet tretman sekuritizacijske strukture inicijatora. Njime se ukazuje na to jesu li kapitalni zahtjevi izračunani u skladu sa sekuritiziranim i</w:t>
            </w:r>
            <w:r w:rsidRPr="00EF7F33">
              <w:rPr>
                <w:rFonts w:ascii="Times New Roman" w:hAnsi="Times New Roman"/>
                <w:sz w:val="24"/>
              </w:rPr>
              <w:t>z</w:t>
            </w:r>
            <w:r w:rsidRPr="00EF7F33">
              <w:rPr>
                <w:rFonts w:ascii="Times New Roman" w:hAnsi="Times New Roman"/>
                <w:sz w:val="24"/>
              </w:rPr>
              <w:t>loženostima ili sekuritizacijskim pozicijama (knjiga pozicija kojima se ne trg</w:t>
            </w:r>
            <w:r w:rsidRPr="00EF7F33">
              <w:rPr>
                <w:rFonts w:ascii="Times New Roman" w:hAnsi="Times New Roman"/>
                <w:sz w:val="24"/>
              </w:rPr>
              <w:t>u</w:t>
            </w:r>
            <w:r w:rsidRPr="00EF7F33">
              <w:rPr>
                <w:rFonts w:ascii="Times New Roman" w:hAnsi="Times New Roman"/>
                <w:sz w:val="24"/>
              </w:rPr>
              <w:t xml:space="preserve">je/knjiga trgovanja).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Ako se kapitalni zahtjevi temelje na </w:t>
            </w:r>
            <w:r w:rsidRPr="00EF7F33">
              <w:rPr>
                <w:rFonts w:ascii="Times New Roman" w:hAnsi="Times New Roman"/>
                <w:i/>
                <w:sz w:val="24"/>
              </w:rPr>
              <w:t>sekuritiziranim izloženostima</w:t>
            </w:r>
            <w:r w:rsidRPr="00EF7F33">
              <w:rPr>
                <w:rFonts w:ascii="Times New Roman" w:hAnsi="Times New Roman"/>
                <w:sz w:val="24"/>
              </w:rPr>
              <w:t xml:space="preserve"> (jer ne pred</w:t>
            </w:r>
            <w:r w:rsidRPr="00EF7F33">
              <w:rPr>
                <w:rFonts w:ascii="Times New Roman" w:hAnsi="Times New Roman"/>
                <w:sz w:val="24"/>
              </w:rPr>
              <w:t>s</w:t>
            </w:r>
            <w:r w:rsidRPr="00EF7F33">
              <w:rPr>
                <w:rFonts w:ascii="Times New Roman" w:hAnsi="Times New Roman"/>
                <w:sz w:val="24"/>
              </w:rPr>
              <w:t>tavljaju prijenos značajnog rizika), izračun kapitalnih zahtjeva za kreditni rizik iskazuje se u obrascu CR SA, ako institucija upotrebljava standardizirani pri</w:t>
            </w:r>
            <w:r w:rsidRPr="00EF7F33">
              <w:rPr>
                <w:rFonts w:ascii="Times New Roman" w:hAnsi="Times New Roman"/>
                <w:sz w:val="24"/>
              </w:rPr>
              <w:t>s</w:t>
            </w:r>
            <w:r w:rsidRPr="00EF7F33">
              <w:rPr>
                <w:rFonts w:ascii="Times New Roman" w:hAnsi="Times New Roman"/>
                <w:sz w:val="24"/>
              </w:rPr>
              <w:t>tup, ili obrascu CR IRB, ako upotrebljava pristup zasnovan na internim rejting-sustavima.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U suprotnom slučaju, ako se kapitalni zahtjevi temelje na </w:t>
            </w:r>
            <w:r w:rsidRPr="00EF7F33">
              <w:rPr>
                <w:rFonts w:ascii="Times New Roman" w:hAnsi="Times New Roman"/>
                <w:i/>
                <w:sz w:val="24"/>
              </w:rPr>
              <w:t>sekuritizacijskim p</w:t>
            </w:r>
            <w:r w:rsidRPr="00EF7F33">
              <w:rPr>
                <w:rFonts w:ascii="Times New Roman" w:hAnsi="Times New Roman"/>
                <w:i/>
                <w:sz w:val="24"/>
              </w:rPr>
              <w:t>o</w:t>
            </w:r>
            <w:r w:rsidRPr="00EF7F33">
              <w:rPr>
                <w:rFonts w:ascii="Times New Roman" w:hAnsi="Times New Roman"/>
                <w:i/>
                <w:sz w:val="24"/>
              </w:rPr>
              <w:t>zicijama koje se drže u knjizi pozicija kojima se ne trguje</w:t>
            </w:r>
            <w:r w:rsidRPr="00EF7F33">
              <w:rPr>
                <w:rFonts w:ascii="Times New Roman" w:hAnsi="Times New Roman"/>
                <w:sz w:val="24"/>
              </w:rPr>
              <w:t xml:space="preserve"> (jer predstavljaju pr</w:t>
            </w:r>
            <w:r w:rsidRPr="00EF7F33">
              <w:rPr>
                <w:rFonts w:ascii="Times New Roman" w:hAnsi="Times New Roman"/>
                <w:sz w:val="24"/>
              </w:rPr>
              <w:t>i</w:t>
            </w:r>
            <w:r w:rsidRPr="00EF7F33">
              <w:rPr>
                <w:rFonts w:ascii="Times New Roman" w:hAnsi="Times New Roman"/>
                <w:sz w:val="24"/>
              </w:rPr>
              <w:t xml:space="preserve">jenos značajnog rizika), izračun kapitalnih zahtjeva za kreditni rizik iskazuje se u obrascu CR SEC SA ili obrascu CR SEC IRB. U slučaju </w:t>
            </w:r>
            <w:r w:rsidRPr="00EF7F33">
              <w:rPr>
                <w:rFonts w:ascii="Times New Roman" w:hAnsi="Times New Roman"/>
                <w:i/>
                <w:sz w:val="24"/>
              </w:rPr>
              <w:t>sekuritizacijskih p</w:t>
            </w:r>
            <w:r w:rsidRPr="00EF7F33">
              <w:rPr>
                <w:rFonts w:ascii="Times New Roman" w:hAnsi="Times New Roman"/>
                <w:i/>
                <w:sz w:val="24"/>
              </w:rPr>
              <w:t>o</w:t>
            </w:r>
            <w:r w:rsidRPr="00EF7F33">
              <w:rPr>
                <w:rFonts w:ascii="Times New Roman" w:hAnsi="Times New Roman"/>
                <w:i/>
                <w:sz w:val="24"/>
              </w:rPr>
              <w:t>zicija koje se drže u knjizi trgovanja</w:t>
            </w:r>
            <w:r w:rsidRPr="00EF7F33">
              <w:rPr>
                <w:rFonts w:ascii="Times New Roman" w:hAnsi="Times New Roman"/>
                <w:sz w:val="24"/>
              </w:rPr>
              <w:t xml:space="preserve">, izračun kapitalnih zahtjeva za tržišni rizik iskazuje se u obrascu MKR SA TDI (standardizirani opći pozicijski rizik) i MKR SA SEC ili MKR SA CTP (standardizirani specifični pozicijski rizik) ili </w:t>
            </w:r>
            <w:r w:rsidRPr="00EF7F33">
              <w:rPr>
                <w:rFonts w:ascii="Times New Roman" w:hAnsi="Times New Roman"/>
                <w:sz w:val="24"/>
              </w:rPr>
              <w:lastRenderedPageBreak/>
              <w:t>MKR IM (interni modeli).</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sekuritizacija obveza, inicijatori ne iskazuju ovaj stupac.</w:t>
            </w:r>
          </w:p>
          <w:p w:rsidR="00612780" w:rsidRPr="00EF7F33" w:rsidRDefault="00612780" w:rsidP="00612780">
            <w:pPr>
              <w:autoSpaceDE w:val="0"/>
              <w:autoSpaceDN w:val="0"/>
              <w:adjustRightInd w:val="0"/>
              <w:spacing w:before="0" w:after="0"/>
              <w:jc w:val="left"/>
              <w:rPr>
                <w:rFonts w:ascii="Times New Roman" w:hAnsi="Times New Roman"/>
                <w:bCs/>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070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SEKURITIZACIJA ILI RESEKURITIZACIJA?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U skladu s definicijama „sekuritizacije” i „resekuritizacije” iz članka 4. stavka 1. točaka 61. i od 62. do 64. CRR-a, iskazuje se vrsta odnosnog instrumenta upotrebom sljedećih kratica: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„S” za sekuritizaciju;</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„R” za resekuritizaciju.</w:t>
            </w:r>
          </w:p>
          <w:p w:rsidR="00612780" w:rsidRPr="00EF7F33" w:rsidRDefault="00612780" w:rsidP="00612780">
            <w:pPr>
              <w:spacing w:before="0" w:after="0"/>
              <w:jc w:val="left"/>
              <w:rPr>
                <w:rFonts w:ascii="Times New Roman" w:hAnsi="Times New Roman"/>
                <w:b/>
                <w:sz w:val="24"/>
                <w:u w:val="single"/>
              </w:rPr>
            </w:pPr>
          </w:p>
        </w:tc>
      </w:tr>
      <w:tr w:rsidR="00CE4C49" w:rsidRPr="00EF7F33" w:rsidTr="00672D2A">
        <w:tc>
          <w:tcPr>
            <w:tcW w:w="1101" w:type="dxa"/>
          </w:tcPr>
          <w:p w:rsidR="00CE4C49" w:rsidRPr="00EF7F33" w:rsidRDefault="00CE4C49"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075</w:t>
            </w:r>
          </w:p>
        </w:tc>
        <w:tc>
          <w:tcPr>
            <w:tcW w:w="7903" w:type="dxa"/>
          </w:tcPr>
          <w:p w:rsidR="00CE4C49" w:rsidRPr="00EF7F33" w:rsidRDefault="00CE4C49" w:rsidP="00CE4C49">
            <w:pPr>
              <w:tabs>
                <w:tab w:val="left" w:pos="3274"/>
              </w:tabs>
              <w:spacing w:before="0" w:after="0"/>
              <w:jc w:val="left"/>
              <w:rPr>
                <w:rFonts w:ascii="Times New Roman" w:hAnsi="Times New Roman"/>
                <w:b/>
                <w:sz w:val="24"/>
                <w:u w:val="single"/>
              </w:rPr>
            </w:pPr>
            <w:r w:rsidRPr="00EF7F33">
              <w:rPr>
                <w:rFonts w:ascii="Times New Roman" w:hAnsi="Times New Roman"/>
                <w:b/>
                <w:sz w:val="24"/>
                <w:u w:val="single"/>
              </w:rPr>
              <w:t>STS SEKURITIZACIJA</w:t>
            </w:r>
          </w:p>
          <w:p w:rsidR="006B4AC8" w:rsidRPr="00EF7F33" w:rsidRDefault="006B4AC8" w:rsidP="00CE4C49">
            <w:pPr>
              <w:spacing w:before="0" w:after="0"/>
              <w:jc w:val="left"/>
              <w:rPr>
                <w:rFonts w:ascii="Times New Roman" w:hAnsi="Times New Roman"/>
                <w:sz w:val="24"/>
              </w:rPr>
            </w:pPr>
          </w:p>
          <w:p w:rsidR="00CE4C49" w:rsidRPr="00EF7F33" w:rsidRDefault="006B4AC8" w:rsidP="00CE4C49">
            <w:pPr>
              <w:spacing w:before="0" w:after="0"/>
              <w:jc w:val="left"/>
              <w:rPr>
                <w:rFonts w:ascii="Times New Roman" w:hAnsi="Times New Roman"/>
                <w:sz w:val="24"/>
              </w:rPr>
            </w:pPr>
            <w:r w:rsidRPr="00EF7F33">
              <w:rPr>
                <w:rFonts w:ascii="Times New Roman" w:hAnsi="Times New Roman"/>
                <w:sz w:val="24"/>
              </w:rPr>
              <w:t>Članak 18. Uredbe (EU) 2017/2402</w:t>
            </w:r>
          </w:p>
          <w:p w:rsidR="006B4AC8" w:rsidRPr="00EF7F33" w:rsidRDefault="006B4AC8" w:rsidP="00CE4C49">
            <w:pPr>
              <w:spacing w:before="0" w:after="0"/>
              <w:jc w:val="left"/>
              <w:rPr>
                <w:rFonts w:ascii="Times New Roman" w:hAnsi="Times New Roman"/>
                <w:sz w:val="24"/>
              </w:rPr>
            </w:pPr>
          </w:p>
          <w:p w:rsidR="00CE4C49" w:rsidRPr="00EF7F33" w:rsidRDefault="00CE4C49" w:rsidP="00CE4C49">
            <w:pPr>
              <w:spacing w:before="0" w:after="0"/>
              <w:jc w:val="left"/>
              <w:rPr>
                <w:rFonts w:ascii="Times New Roman" w:hAnsi="Times New Roman"/>
                <w:sz w:val="24"/>
              </w:rPr>
            </w:pPr>
            <w:r w:rsidRPr="00EF7F33">
              <w:rPr>
                <w:rFonts w:ascii="Times New Roman" w:hAnsi="Times New Roman"/>
                <w:sz w:val="24"/>
              </w:rPr>
              <w:t>Iskazuje se jedna od sljedećih kratica:</w:t>
            </w:r>
          </w:p>
          <w:p w:rsidR="006B4AC8" w:rsidRPr="00EF7F33" w:rsidRDefault="006B4AC8" w:rsidP="00CE4C49">
            <w:pPr>
              <w:spacing w:before="0" w:after="0"/>
              <w:jc w:val="left"/>
              <w:rPr>
                <w:rFonts w:ascii="Times New Roman" w:hAnsi="Times New Roman"/>
                <w:sz w:val="24"/>
              </w:rPr>
            </w:pPr>
            <w:r w:rsidRPr="00EF7F33">
              <w:rPr>
                <w:rFonts w:ascii="Times New Roman" w:hAnsi="Times New Roman"/>
                <w:sz w:val="24"/>
              </w:rPr>
              <w:t>Y – da</w:t>
            </w:r>
          </w:p>
          <w:p w:rsidR="006B4AC8" w:rsidRPr="00EF7F33" w:rsidRDefault="006B4AC8" w:rsidP="00CE4C49">
            <w:pPr>
              <w:spacing w:before="0" w:after="0"/>
              <w:jc w:val="left"/>
              <w:rPr>
                <w:rFonts w:ascii="Times New Roman" w:hAnsi="Times New Roman"/>
                <w:sz w:val="24"/>
              </w:rPr>
            </w:pPr>
            <w:r w:rsidRPr="00EF7F33">
              <w:rPr>
                <w:rFonts w:ascii="Times New Roman" w:hAnsi="Times New Roman"/>
                <w:sz w:val="24"/>
              </w:rPr>
              <w:t>N – ne</w:t>
            </w:r>
          </w:p>
          <w:p w:rsidR="00CE4C49" w:rsidRPr="00EF7F33" w:rsidRDefault="00CE4C49" w:rsidP="006B4AC8">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highlight w:val="yellow"/>
              </w:rPr>
            </w:pPr>
            <w:r w:rsidRPr="00EF7F33">
              <w:rPr>
                <w:rFonts w:ascii="Times New Roman" w:hAnsi="Times New Roman"/>
                <w:sz w:val="24"/>
              </w:rPr>
              <w:t>080-100</w:t>
            </w:r>
          </w:p>
        </w:tc>
        <w:tc>
          <w:tcPr>
            <w:tcW w:w="7903" w:type="dxa"/>
          </w:tcPr>
          <w:p w:rsidR="00612780" w:rsidRPr="00EF7F33" w:rsidRDefault="00612780" w:rsidP="00612780">
            <w:pPr>
              <w:spacing w:before="0" w:after="0"/>
              <w:jc w:val="left"/>
              <w:rPr>
                <w:rFonts w:ascii="Times New Roman" w:hAnsi="Times New Roman"/>
                <w:sz w:val="24"/>
              </w:rPr>
            </w:pPr>
            <w:r w:rsidRPr="00EF7F33">
              <w:rPr>
                <w:rFonts w:ascii="Times New Roman" w:hAnsi="Times New Roman"/>
                <w:b/>
                <w:sz w:val="24"/>
                <w:u w:val="single"/>
              </w:rPr>
              <w:t>ZADRŽAVANJE</w:t>
            </w: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Članci od 404. do 410. CRR-a.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080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VRSTA PRIMIJENJENOG ZADRŽAVANJA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Za svaku iniciranu sekuritizacijsku strukturu iskazuje se relevantna vrsta zad</w:t>
            </w:r>
            <w:r w:rsidRPr="00EF7F33">
              <w:rPr>
                <w:rFonts w:ascii="Times New Roman" w:hAnsi="Times New Roman"/>
                <w:sz w:val="24"/>
              </w:rPr>
              <w:t>r</w:t>
            </w:r>
            <w:r w:rsidRPr="00EF7F33">
              <w:rPr>
                <w:rFonts w:ascii="Times New Roman" w:hAnsi="Times New Roman"/>
                <w:sz w:val="24"/>
              </w:rPr>
              <w:t>žavanja neto ekonomskog udjela, kako je predviđeno u članku 405.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A – Vertikalni udjel (sekuritizacijske pozicije): </w:t>
            </w:r>
            <w:r w:rsidRPr="00EF7F33">
              <w:rPr>
                <w:rFonts w:ascii="Times New Roman" w:hAnsi="Times New Roman"/>
                <w:i/>
                <w:sz w:val="24"/>
              </w:rPr>
              <w:t xml:space="preserve">„zadržavanje najmanje 5 % nominalne vrijednosti svih tranši prodanih ili prenesenih investitorima”. </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V – Vertikalni udjel (sekuritizirane izloženosti): zadržavanje najmanje 5 % kreditnog rizika svih sekuritiziranih izloženosti, ako tako zadržani kreditni rizik povezan s tim sekuritiziranim izloženostima ima jednako pravo u redoslijedu naplate ili je podređen kreditnom kreditu koji je sekuritiziran u vezi s tim istim izloženostima.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B – Obnovljive izloženosti: „u slučaju sekuritizacije obnovljivih izloženosti, zadržavanje udjela inicijatora u iznosu od najmanje 5 % nominalne vrijednosti sekuritiziranih izloženosti”. </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C – Bilanca: „zadržavanje nasumice odabranih izloženosti u iznosu od najm</w:t>
            </w:r>
            <w:r w:rsidRPr="00EF7F33">
              <w:rPr>
                <w:rFonts w:ascii="Times New Roman" w:hAnsi="Times New Roman"/>
                <w:sz w:val="24"/>
              </w:rPr>
              <w:t>a</w:t>
            </w:r>
            <w:r w:rsidRPr="00EF7F33">
              <w:rPr>
                <w:rFonts w:ascii="Times New Roman" w:hAnsi="Times New Roman"/>
                <w:sz w:val="24"/>
              </w:rPr>
              <w:t>nje 5 % nominalne vrijednosti sekuritiziranih izloženosti koje bi inače bile s</w:t>
            </w:r>
            <w:r w:rsidRPr="00EF7F33">
              <w:rPr>
                <w:rFonts w:ascii="Times New Roman" w:hAnsi="Times New Roman"/>
                <w:sz w:val="24"/>
              </w:rPr>
              <w:t>e</w:t>
            </w:r>
            <w:r w:rsidRPr="00EF7F33">
              <w:rPr>
                <w:rFonts w:ascii="Times New Roman" w:hAnsi="Times New Roman"/>
                <w:sz w:val="24"/>
              </w:rPr>
              <w:t>kuritizirane u sekuritizaciji pod uvjetom da broj potencijalno sekuritiziranih i</w:t>
            </w:r>
            <w:r w:rsidRPr="00EF7F33">
              <w:rPr>
                <w:rFonts w:ascii="Times New Roman" w:hAnsi="Times New Roman"/>
                <w:sz w:val="24"/>
              </w:rPr>
              <w:t>z</w:t>
            </w:r>
            <w:r w:rsidRPr="00EF7F33">
              <w:rPr>
                <w:rFonts w:ascii="Times New Roman" w:hAnsi="Times New Roman"/>
                <w:sz w:val="24"/>
              </w:rPr>
              <w:t>loženosti iznosi najmanje 100 na početku sekuritizacije”.</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D – Prvi gubitak: „zadržavanje tranše prvoga gubitka te, prema potrebi, ostalih tranši istog ili još većeg profila rizičnosti od onih prenesenih ili prodanih inve</w:t>
            </w:r>
            <w:r w:rsidRPr="00EF7F33">
              <w:rPr>
                <w:rFonts w:ascii="Times New Roman" w:hAnsi="Times New Roman"/>
                <w:sz w:val="24"/>
              </w:rPr>
              <w:t>s</w:t>
            </w:r>
            <w:r w:rsidRPr="00EF7F33">
              <w:rPr>
                <w:rFonts w:ascii="Times New Roman" w:hAnsi="Times New Roman"/>
                <w:sz w:val="24"/>
              </w:rPr>
              <w:t>titorima koje ne dospijevaju prije onih prenesenih ili prodanih investitorima, t</w:t>
            </w:r>
            <w:r w:rsidRPr="00EF7F33">
              <w:rPr>
                <w:rFonts w:ascii="Times New Roman" w:hAnsi="Times New Roman"/>
                <w:sz w:val="24"/>
              </w:rPr>
              <w:t>a</w:t>
            </w:r>
            <w:r w:rsidRPr="00EF7F33">
              <w:rPr>
                <w:rFonts w:ascii="Times New Roman" w:hAnsi="Times New Roman"/>
                <w:sz w:val="24"/>
              </w:rPr>
              <w:t>ko da ukupan iznos koji se zadržava iznosi najmanje 5 % nominalne vrijednosti sekuritiziranih izloženosti”.</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E – Izuzeće. Navedena se oznaka iskazuje za sekuritizacije na koje utječu o</w:t>
            </w:r>
            <w:r w:rsidRPr="00EF7F33">
              <w:rPr>
                <w:rFonts w:ascii="Times New Roman" w:hAnsi="Times New Roman"/>
                <w:sz w:val="24"/>
              </w:rPr>
              <w:t>d</w:t>
            </w:r>
            <w:r w:rsidRPr="00EF7F33">
              <w:rPr>
                <w:rFonts w:ascii="Times New Roman" w:hAnsi="Times New Roman"/>
                <w:sz w:val="24"/>
              </w:rPr>
              <w:t>redbe iz članka 405. stavka 3.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N – Nije primjenjivo. Navedena se oznaka iskazuje za sekuritizacije na koje u</w:t>
            </w:r>
            <w:r w:rsidRPr="00EF7F33">
              <w:rPr>
                <w:rFonts w:ascii="Times New Roman" w:hAnsi="Times New Roman"/>
                <w:sz w:val="24"/>
              </w:rPr>
              <w:t>t</w:t>
            </w:r>
            <w:r w:rsidRPr="00EF7F33">
              <w:rPr>
                <w:rFonts w:ascii="Times New Roman" w:hAnsi="Times New Roman"/>
                <w:sz w:val="24"/>
              </w:rPr>
              <w:t>ječu odredbe iz članka 404. CRR-a.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 Kršenje ili nepoznato. Navedena se oznaka iskazuje kada subjekt koji izvješćuje ne zna sa sigurnošću koja se vrsta zadržavanja primjenjuje ili u sl</w:t>
            </w:r>
            <w:r w:rsidRPr="00EF7F33">
              <w:rPr>
                <w:rFonts w:ascii="Times New Roman" w:hAnsi="Times New Roman"/>
                <w:sz w:val="24"/>
              </w:rPr>
              <w:t>u</w:t>
            </w:r>
            <w:r w:rsidRPr="00EF7F33">
              <w:rPr>
                <w:rFonts w:ascii="Times New Roman" w:hAnsi="Times New Roman"/>
                <w:sz w:val="24"/>
              </w:rPr>
              <w:t>čaju neusklađenosti.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090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ZADRŽAVANJA NA IZVJEŠTAJNI DATUM</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i/>
                <w:sz w:val="24"/>
              </w:rPr>
            </w:pPr>
            <w:r w:rsidRPr="00EF7F33">
              <w:rPr>
                <w:rFonts w:ascii="Times New Roman" w:hAnsi="Times New Roman"/>
                <w:sz w:val="24"/>
              </w:rPr>
              <w:t xml:space="preserve">Zadržavanje </w:t>
            </w:r>
            <w:r w:rsidRPr="00EF7F33">
              <w:rPr>
                <w:rFonts w:ascii="Times New Roman" w:hAnsi="Times New Roman"/>
                <w:i/>
                <w:sz w:val="24"/>
              </w:rPr>
              <w:t>značajnog neto ekonomskog udjela inicijatora, sponzora ili izvo</w:t>
            </w:r>
            <w:r w:rsidRPr="00EF7F33">
              <w:rPr>
                <w:rFonts w:ascii="Times New Roman" w:hAnsi="Times New Roman"/>
                <w:i/>
                <w:sz w:val="24"/>
              </w:rPr>
              <w:t>r</w:t>
            </w:r>
            <w:r w:rsidRPr="00EF7F33">
              <w:rPr>
                <w:rFonts w:ascii="Times New Roman" w:hAnsi="Times New Roman"/>
                <w:i/>
                <w:sz w:val="24"/>
              </w:rPr>
              <w:t>nog zajmodavca</w:t>
            </w:r>
            <w:r w:rsidRPr="00EF7F33">
              <w:rPr>
                <w:rFonts w:ascii="Times New Roman" w:hAnsi="Times New Roman"/>
                <w:sz w:val="24"/>
              </w:rPr>
              <w:t xml:space="preserve"> sekuritizacije iznosi najmanje 5 % (na datum početka sekurit</w:t>
            </w:r>
            <w:r w:rsidRPr="00EF7F33">
              <w:rPr>
                <w:rFonts w:ascii="Times New Roman" w:hAnsi="Times New Roman"/>
                <w:sz w:val="24"/>
              </w:rPr>
              <w:t>i</w:t>
            </w:r>
            <w:r w:rsidRPr="00EF7F33">
              <w:rPr>
                <w:rFonts w:ascii="Times New Roman" w:hAnsi="Times New Roman"/>
                <w:sz w:val="24"/>
              </w:rPr>
              <w:t>zacije).</w:t>
            </w:r>
          </w:p>
          <w:p w:rsidR="00612780" w:rsidRPr="00EF7F33" w:rsidRDefault="00612780" w:rsidP="00612780">
            <w:pPr>
              <w:spacing w:before="0" w:after="0"/>
              <w:rPr>
                <w:rFonts w:ascii="Times New Roman" w:hAnsi="Times New Roman"/>
                <w:i/>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Neovisno o članku 405. stavku 1. CRR-a, mjerenje zadržavanja na početku s</w:t>
            </w:r>
            <w:r w:rsidRPr="00EF7F33">
              <w:rPr>
                <w:rFonts w:ascii="Times New Roman" w:hAnsi="Times New Roman"/>
                <w:sz w:val="24"/>
              </w:rPr>
              <w:t>e</w:t>
            </w:r>
            <w:r w:rsidRPr="00EF7F33">
              <w:rPr>
                <w:rFonts w:ascii="Times New Roman" w:hAnsi="Times New Roman"/>
                <w:sz w:val="24"/>
              </w:rPr>
              <w:t>kuritizacije obično se može tumačiti kao zadržavanje kada su izloženosti najpr</w:t>
            </w:r>
            <w:r w:rsidRPr="00EF7F33">
              <w:rPr>
                <w:rFonts w:ascii="Times New Roman" w:hAnsi="Times New Roman"/>
                <w:sz w:val="24"/>
              </w:rPr>
              <w:t>i</w:t>
            </w:r>
            <w:r w:rsidRPr="00EF7F33">
              <w:rPr>
                <w:rFonts w:ascii="Times New Roman" w:hAnsi="Times New Roman"/>
                <w:sz w:val="24"/>
              </w:rPr>
              <w:t>je sekuritizirane, a ne kada su najprije nastale (na primjer, ne kada su odnosni krediti najprije odobreni). Mjerenje zadržavanja na početku sekuritizacije znači da je 5 % postotak zadržavanja koji je potreban u trenutku kada je razina tog zadržavanja mjerena i kada je ispunjen zahtjev (na primjer, kada su izloženosti najprije sekuritizirane); dinamičko ponovno mjerenje i ponovno prilagođavanje zadržanog postotka tijekom cijelog trajanja transakcije nije potrebno.</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i/>
                <w:sz w:val="24"/>
              </w:rPr>
            </w:pPr>
            <w:r w:rsidRPr="00EF7F33">
              <w:rPr>
                <w:rFonts w:ascii="Times New Roman" w:hAnsi="Times New Roman"/>
                <w:sz w:val="24"/>
              </w:rPr>
              <w:t>Ovaj se stupac ne iskazuje ako su oznake „E” (izuzeće) ili „N” (nije primjenj</w:t>
            </w:r>
            <w:r w:rsidRPr="00EF7F33">
              <w:rPr>
                <w:rFonts w:ascii="Times New Roman" w:hAnsi="Times New Roman"/>
                <w:sz w:val="24"/>
              </w:rPr>
              <w:t>i</w:t>
            </w:r>
            <w:r w:rsidRPr="00EF7F33">
              <w:rPr>
                <w:rFonts w:ascii="Times New Roman" w:hAnsi="Times New Roman"/>
                <w:sz w:val="24"/>
              </w:rPr>
              <w:t>vo) iskazane u stupcu 080 (Vrsta primijenjenog zadržavanja).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100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USKLAĐENOST SA ZAHTJEVOM ZA ZADRŽAVANJE?</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Članak 405. stavak 1. CRR-a.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Iskazuju se sljedeće kratice:</w:t>
            </w:r>
          </w:p>
          <w:p w:rsidR="00612780" w:rsidRPr="00EF7F33" w:rsidRDefault="00612780" w:rsidP="009068C9">
            <w:pPr>
              <w:tabs>
                <w:tab w:val="left" w:pos="317"/>
                <w:tab w:val="left" w:pos="600"/>
              </w:tabs>
              <w:spacing w:before="0" w:after="0"/>
              <w:jc w:val="left"/>
              <w:rPr>
                <w:rFonts w:ascii="Times New Roman" w:hAnsi="Times New Roman"/>
                <w:sz w:val="24"/>
              </w:rPr>
            </w:pPr>
            <w:r w:rsidRPr="00EF7F33">
              <w:rPr>
                <w:rFonts w:ascii="Times New Roman" w:hAnsi="Times New Roman"/>
                <w:sz w:val="24"/>
              </w:rPr>
              <w:t>Y</w:t>
            </w:r>
            <w:r w:rsidRPr="00EF7F33">
              <w:tab/>
            </w:r>
            <w:r w:rsidRPr="00EF7F33">
              <w:rPr>
                <w:rFonts w:ascii="Times New Roman" w:hAnsi="Times New Roman"/>
                <w:sz w:val="24"/>
              </w:rPr>
              <w:t>-</w:t>
            </w:r>
            <w:r w:rsidRPr="00EF7F33">
              <w:tab/>
            </w:r>
            <w:r w:rsidRPr="00EF7F33">
              <w:rPr>
                <w:rFonts w:ascii="Times New Roman" w:hAnsi="Times New Roman"/>
                <w:sz w:val="24"/>
              </w:rPr>
              <w:t>Da;</w:t>
            </w:r>
          </w:p>
          <w:p w:rsidR="00612780" w:rsidRPr="00EF7F33" w:rsidRDefault="00612780" w:rsidP="009068C9">
            <w:pPr>
              <w:tabs>
                <w:tab w:val="left" w:pos="317"/>
                <w:tab w:val="left" w:pos="600"/>
              </w:tabs>
              <w:spacing w:before="0" w:after="0"/>
              <w:jc w:val="left"/>
              <w:rPr>
                <w:rFonts w:ascii="Times New Roman" w:hAnsi="Times New Roman"/>
                <w:sz w:val="24"/>
              </w:rPr>
            </w:pPr>
            <w:r w:rsidRPr="00EF7F33">
              <w:rPr>
                <w:rFonts w:ascii="Times New Roman" w:hAnsi="Times New Roman"/>
                <w:sz w:val="24"/>
              </w:rPr>
              <w:t>N</w:t>
            </w:r>
            <w:r w:rsidRPr="00EF7F33">
              <w:tab/>
            </w:r>
            <w:r w:rsidRPr="00EF7F33">
              <w:rPr>
                <w:rFonts w:ascii="Times New Roman" w:hAnsi="Times New Roman"/>
                <w:sz w:val="24"/>
              </w:rPr>
              <w:t>-</w:t>
            </w:r>
            <w:r w:rsidRPr="00EF7F33">
              <w:tab/>
            </w:r>
            <w:r w:rsidRPr="00EF7F33">
              <w:rPr>
                <w:rFonts w:ascii="Times New Roman" w:hAnsi="Times New Roman"/>
                <w:sz w:val="24"/>
              </w:rPr>
              <w:t>Ne.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i/>
                <w:sz w:val="24"/>
              </w:rPr>
            </w:pPr>
            <w:r w:rsidRPr="00EF7F33">
              <w:rPr>
                <w:rFonts w:ascii="Times New Roman" w:hAnsi="Times New Roman"/>
                <w:sz w:val="24"/>
              </w:rPr>
              <w:t>Ovaj se stupac ne iskazuje ako su oznake „E” (izuzeće) ili „N” (nije primjenj</w:t>
            </w:r>
            <w:r w:rsidRPr="00EF7F33">
              <w:rPr>
                <w:rFonts w:ascii="Times New Roman" w:hAnsi="Times New Roman"/>
                <w:sz w:val="24"/>
              </w:rPr>
              <w:t>i</w:t>
            </w:r>
            <w:r w:rsidRPr="00EF7F33">
              <w:rPr>
                <w:rFonts w:ascii="Times New Roman" w:hAnsi="Times New Roman"/>
                <w:sz w:val="24"/>
              </w:rPr>
              <w:t>vo) iskazane u stupcu 080 (Vrsta primijenjenog zadržavanja).</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110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ULOGA INSTITUCIJE: (INICIJATOR / SPONZOR / IZVORNI ZA</w:t>
            </w:r>
            <w:r w:rsidRPr="00EF7F33">
              <w:rPr>
                <w:rFonts w:ascii="Times New Roman" w:hAnsi="Times New Roman"/>
                <w:b/>
                <w:sz w:val="24"/>
                <w:u w:val="single"/>
              </w:rPr>
              <w:t>J</w:t>
            </w:r>
            <w:r w:rsidRPr="00EF7F33">
              <w:rPr>
                <w:rFonts w:ascii="Times New Roman" w:hAnsi="Times New Roman"/>
                <w:b/>
                <w:sz w:val="24"/>
                <w:u w:val="single"/>
              </w:rPr>
              <w:t>MODAVAC / INVESTITOR)</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Iskazuju se sljedeće kratice: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„O” za inicijatora;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„S” za sponzora;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„L” za izvornog zajmodavca;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 „I” za investitora. </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Vidjeti definicije iz članka 4. stavka 1. točke 13. (inicijator) i članka 4. stavka </w:t>
            </w:r>
            <w:r w:rsidRPr="00EF7F33">
              <w:rPr>
                <w:rFonts w:ascii="Times New Roman" w:hAnsi="Times New Roman"/>
                <w:sz w:val="24"/>
              </w:rPr>
              <w:lastRenderedPageBreak/>
              <w:t>1. točke 14. (sponzor) CRR-a. Pretpostavlja se da su investitori institucije na koje je primjenjuju odredbe iz članaka 406. i 407. CRR-a.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lastRenderedPageBreak/>
              <w:t>120-130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rPr>
            </w:pPr>
            <w:r w:rsidRPr="00EF7F33">
              <w:rPr>
                <w:rFonts w:ascii="Times New Roman" w:hAnsi="Times New Roman"/>
                <w:b/>
                <w:sz w:val="24"/>
              </w:rPr>
              <w:t>PROGRAMI KOJI NISU ABCP</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Zbog svoje posebne prirode, jer sadržavaju nekoliko jedinstvenih sekuritizaci</w:t>
            </w:r>
            <w:r w:rsidRPr="00EF7F33">
              <w:rPr>
                <w:rFonts w:ascii="Times New Roman" w:hAnsi="Times New Roman"/>
                <w:sz w:val="24"/>
              </w:rPr>
              <w:t>j</w:t>
            </w:r>
            <w:r w:rsidRPr="00EF7F33">
              <w:rPr>
                <w:rFonts w:ascii="Times New Roman" w:hAnsi="Times New Roman"/>
                <w:sz w:val="24"/>
              </w:rPr>
              <w:t>skih pozicija, programi ABCP (definirani u članku 242. stavku 9. CRR-a) iz</w:t>
            </w:r>
            <w:r w:rsidRPr="00EF7F33">
              <w:rPr>
                <w:rFonts w:ascii="Times New Roman" w:hAnsi="Times New Roman"/>
                <w:sz w:val="24"/>
              </w:rPr>
              <w:t>u</w:t>
            </w:r>
            <w:r w:rsidRPr="00EF7F33">
              <w:rPr>
                <w:rFonts w:ascii="Times New Roman" w:hAnsi="Times New Roman"/>
                <w:sz w:val="24"/>
              </w:rPr>
              <w:t>zeti su iz izvješćivanja u stupcima 120 i 130.</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120</w:t>
            </w:r>
          </w:p>
        </w:tc>
        <w:tc>
          <w:tcPr>
            <w:tcW w:w="7903" w:type="dxa"/>
          </w:tcPr>
          <w:p w:rsidR="00612780" w:rsidRPr="00EF7F33" w:rsidRDefault="00612780" w:rsidP="00612780">
            <w:pPr>
              <w:spacing w:before="0" w:after="0"/>
              <w:jc w:val="left"/>
              <w:rPr>
                <w:rFonts w:ascii="Times New Roman" w:hAnsi="Times New Roman"/>
                <w:b/>
                <w:sz w:val="24"/>
              </w:rPr>
            </w:pPr>
            <w:r w:rsidRPr="00EF7F33">
              <w:rPr>
                <w:rFonts w:ascii="Times New Roman" w:hAnsi="Times New Roman"/>
                <w:b/>
                <w:sz w:val="24"/>
              </w:rPr>
              <w:t>POČETAK SEKURITIZACIJE (mm/gggg)</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Mjesec i godina početka (granični ili završni datum skupa) sekuritizacije isk</w:t>
            </w:r>
            <w:r w:rsidRPr="00EF7F33">
              <w:rPr>
                <w:rFonts w:ascii="Times New Roman" w:hAnsi="Times New Roman"/>
                <w:sz w:val="24"/>
              </w:rPr>
              <w:t>a</w:t>
            </w:r>
            <w:r w:rsidRPr="00EF7F33">
              <w:rPr>
                <w:rFonts w:ascii="Times New Roman" w:hAnsi="Times New Roman"/>
                <w:sz w:val="24"/>
              </w:rPr>
              <w:t>zuje se u sljedećem formatu: „mm/gggg”.</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svaku sekuritizacijsku strukturu početak sekuritizacije ne može se promij</w:t>
            </w:r>
            <w:r w:rsidRPr="00EF7F33">
              <w:rPr>
                <w:rFonts w:ascii="Times New Roman" w:hAnsi="Times New Roman"/>
                <w:sz w:val="24"/>
              </w:rPr>
              <w:t>e</w:t>
            </w:r>
            <w:r w:rsidRPr="00EF7F33">
              <w:rPr>
                <w:rFonts w:ascii="Times New Roman" w:hAnsi="Times New Roman"/>
                <w:sz w:val="24"/>
              </w:rPr>
              <w:t xml:space="preserve">niti između izvještajnih datuma. U posebnom slučaju sekuritizacijskih struktura osiguranih otvorenim skupovima, početak sekuritizacije datum je prvog izdanja vrijednosnih papira.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kakve pozicije u sekuritizaciji.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 SEKURITIZIRANIH IZLOŽENOSTI NA POČETKU SEKURITIZACIJE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se stupcu iskazuje iznos (u skladu s konverzijskim faktorima prije or</w:t>
            </w:r>
            <w:r w:rsidRPr="00EF7F33">
              <w:rPr>
                <w:rFonts w:ascii="Times New Roman" w:hAnsi="Times New Roman"/>
                <w:sz w:val="24"/>
              </w:rPr>
              <w:t>i</w:t>
            </w:r>
            <w:r w:rsidRPr="00EF7F33">
              <w:rPr>
                <w:rFonts w:ascii="Times New Roman" w:hAnsi="Times New Roman"/>
                <w:sz w:val="24"/>
              </w:rPr>
              <w:t xml:space="preserve">ginalne izloženosti) sekuritiziranog portfelja na početku sekuritizacije.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slučaju sekuritizacijskih struktura osiguranih otvorenim skupovima, iskazuje se iznos koji se odnosi na početak sekuritizacije prvog izdanja vrijednosnih p</w:t>
            </w:r>
            <w:r w:rsidRPr="00EF7F33">
              <w:rPr>
                <w:rFonts w:ascii="Times New Roman" w:hAnsi="Times New Roman"/>
                <w:sz w:val="24"/>
              </w:rPr>
              <w:t>a</w:t>
            </w:r>
            <w:r w:rsidRPr="00EF7F33">
              <w:rPr>
                <w:rFonts w:ascii="Times New Roman" w:hAnsi="Times New Roman"/>
                <w:sz w:val="24"/>
              </w:rPr>
              <w:t>pira. U slučaju tradicionalnih sekuritizacija ne uključuje se nikakva druga im</w:t>
            </w:r>
            <w:r w:rsidRPr="00EF7F33">
              <w:rPr>
                <w:rFonts w:ascii="Times New Roman" w:hAnsi="Times New Roman"/>
                <w:sz w:val="24"/>
              </w:rPr>
              <w:t>o</w:t>
            </w:r>
            <w:r w:rsidRPr="00EF7F33">
              <w:rPr>
                <w:rFonts w:ascii="Times New Roman" w:hAnsi="Times New Roman"/>
                <w:sz w:val="24"/>
              </w:rPr>
              <w:t>vina sekuritizacijskog skupa. U slučaju višestrukih sekuritizacijskih struktura (tj. s više inicijatora) iskazuje se samo iznos koji odgovara doprinosu subjekta koji izvješćuje u sekuritiziranom portfelju. U slučaju sekuritizacije obveza i</w:t>
            </w:r>
            <w:r w:rsidRPr="00EF7F33">
              <w:rPr>
                <w:rFonts w:ascii="Times New Roman" w:hAnsi="Times New Roman"/>
                <w:sz w:val="24"/>
              </w:rPr>
              <w:t>s</w:t>
            </w:r>
            <w:r w:rsidRPr="00EF7F33">
              <w:rPr>
                <w:rFonts w:ascii="Times New Roman" w:hAnsi="Times New Roman"/>
                <w:sz w:val="24"/>
              </w:rPr>
              <w:t>kazuju se samo iznosi koje je izdao subjekt koji izvješćuje.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kakve pozicije u sekuritizaciji.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140-220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SEKURITIZIRANE IZLOŽENOSTI</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stupcima od 140 do 220 od subjekta koji izvješćuje zahtijevaju se informac</w:t>
            </w:r>
            <w:r w:rsidRPr="00EF7F33">
              <w:rPr>
                <w:rFonts w:ascii="Times New Roman" w:hAnsi="Times New Roman"/>
                <w:sz w:val="24"/>
              </w:rPr>
              <w:t>i</w:t>
            </w:r>
            <w:r w:rsidRPr="00EF7F33">
              <w:rPr>
                <w:rFonts w:ascii="Times New Roman" w:hAnsi="Times New Roman"/>
                <w:sz w:val="24"/>
              </w:rPr>
              <w:t>je o nekoliko značajki sekuritiziranog portfelja.</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Institucija iskazuju vrijednost sekuritiziranog portfelja na izvještajni datum, tj. preostali iznos sekuritiziranih izloženosti. U slučaju tradicionalnih sekuritizac</w:t>
            </w:r>
            <w:r w:rsidRPr="00EF7F33">
              <w:rPr>
                <w:rFonts w:ascii="Times New Roman" w:hAnsi="Times New Roman"/>
                <w:sz w:val="24"/>
              </w:rPr>
              <w:t>i</w:t>
            </w:r>
            <w:r w:rsidRPr="00EF7F33">
              <w:rPr>
                <w:rFonts w:ascii="Times New Roman" w:hAnsi="Times New Roman"/>
                <w:sz w:val="24"/>
              </w:rPr>
              <w:t>ja ne uključuje se nikakva druga imovina sekuritizacijskog skupa. U slučaju v</w:t>
            </w:r>
            <w:r w:rsidRPr="00EF7F33">
              <w:rPr>
                <w:rFonts w:ascii="Times New Roman" w:hAnsi="Times New Roman"/>
                <w:sz w:val="24"/>
              </w:rPr>
              <w:t>i</w:t>
            </w:r>
            <w:r w:rsidRPr="00EF7F33">
              <w:rPr>
                <w:rFonts w:ascii="Times New Roman" w:hAnsi="Times New Roman"/>
                <w:sz w:val="24"/>
              </w:rPr>
              <w:t>šestrukih sekuritizacijskih struktura (tj. s više inicijatora) iskazuje se samo i</w:t>
            </w:r>
            <w:r w:rsidRPr="00EF7F33">
              <w:rPr>
                <w:rFonts w:ascii="Times New Roman" w:hAnsi="Times New Roman"/>
                <w:sz w:val="24"/>
              </w:rPr>
              <w:t>z</w:t>
            </w:r>
            <w:r w:rsidRPr="00EF7F33">
              <w:rPr>
                <w:rFonts w:ascii="Times New Roman" w:hAnsi="Times New Roman"/>
                <w:sz w:val="24"/>
              </w:rPr>
              <w:lastRenderedPageBreak/>
              <w:t>nos koji odgovara doprinosu subjekta koji izvješćuje u sekuritiziranom portf</w:t>
            </w:r>
            <w:r w:rsidRPr="00EF7F33">
              <w:rPr>
                <w:rFonts w:ascii="Times New Roman" w:hAnsi="Times New Roman"/>
                <w:sz w:val="24"/>
              </w:rPr>
              <w:t>e</w:t>
            </w:r>
            <w:r w:rsidRPr="00EF7F33">
              <w:rPr>
                <w:rFonts w:ascii="Times New Roman" w:hAnsi="Times New Roman"/>
                <w:sz w:val="24"/>
              </w:rPr>
              <w:t>lju. U slučaju sekuritizacijskih struktura osiguranih zatvorenim skupovima (tj. portfelj sekuritizirane imovine ne može se povećati nakon početka sekuritizac</w:t>
            </w:r>
            <w:r w:rsidRPr="00EF7F33">
              <w:rPr>
                <w:rFonts w:ascii="Times New Roman" w:hAnsi="Times New Roman"/>
                <w:sz w:val="24"/>
              </w:rPr>
              <w:t>i</w:t>
            </w:r>
            <w:r w:rsidRPr="00EF7F33">
              <w:rPr>
                <w:rFonts w:ascii="Times New Roman" w:hAnsi="Times New Roman"/>
                <w:sz w:val="24"/>
              </w:rPr>
              <w:t>je) iznos će se postupno smanjivati.</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kakve pozicije u sekuritizaciji.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150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UDJEL INSTITUCIJE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Iskazuje se udjel institucije (u postotku s dvije decimale) u sekuritiziranom po</w:t>
            </w:r>
            <w:r w:rsidRPr="00EF7F33">
              <w:rPr>
                <w:rFonts w:ascii="Times New Roman" w:hAnsi="Times New Roman"/>
                <w:sz w:val="24"/>
              </w:rPr>
              <w:t>r</w:t>
            </w:r>
            <w:r w:rsidRPr="00EF7F33">
              <w:rPr>
                <w:rFonts w:ascii="Times New Roman" w:hAnsi="Times New Roman"/>
                <w:sz w:val="24"/>
              </w:rPr>
              <w:t>tfelju na izvještajni datum. Vrijednost koju je potrebno iskazati u ovom stupcu u pravilu iznosi 100 %, izuzev za višestruke sekuritizacijske strukture. U tom slučaju subjekt koji izvješćuje iskazuje trenutačan doprinos sekuritiziranom portfelju (istovjetan stupcu 140 u relativnom smislu).</w:t>
            </w:r>
          </w:p>
          <w:p w:rsidR="00612780" w:rsidRPr="00EF7F33" w:rsidRDefault="00612780" w:rsidP="00612780">
            <w:pPr>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kakve pozicije u sekuritizaciji.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160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VRSTA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se stupcu prikupljaju informacije o vrsti imovine („1” do „8”) ili obv</w:t>
            </w:r>
            <w:r w:rsidRPr="00EF7F33">
              <w:rPr>
                <w:rFonts w:ascii="Times New Roman" w:hAnsi="Times New Roman"/>
                <w:sz w:val="24"/>
              </w:rPr>
              <w:t>e</w:t>
            </w:r>
            <w:r w:rsidRPr="00EF7F33">
              <w:rPr>
                <w:rFonts w:ascii="Times New Roman" w:hAnsi="Times New Roman"/>
                <w:sz w:val="24"/>
              </w:rPr>
              <w:t>za („9” i „10”) sekuritiziranog portfelja. Institucija mora iskazati jednu od slj</w:t>
            </w:r>
            <w:r w:rsidRPr="00EF7F33">
              <w:rPr>
                <w:rFonts w:ascii="Times New Roman" w:hAnsi="Times New Roman"/>
                <w:sz w:val="24"/>
              </w:rPr>
              <w:t>e</w:t>
            </w:r>
            <w:r w:rsidRPr="00EF7F33">
              <w:rPr>
                <w:rFonts w:ascii="Times New Roman" w:hAnsi="Times New Roman"/>
                <w:sz w:val="24"/>
              </w:rPr>
              <w:t>dećih brojčanih oznaka:</w:t>
            </w:r>
          </w:p>
          <w:p w:rsidR="00BB7E19" w:rsidRPr="00EF7F33" w:rsidRDefault="00BB7E19"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1 – stambene nekretnine;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2 – poslovne nekretnine;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3 – potraživanja po kreditnim karticama;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4 – najam;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5 – krediti trgovačkim društvima ili MSP-ovima (koji se tretiraju kao trgovačka društva);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6 – potrošački krediti;</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7 – potraživanja od kupaca;</w:t>
            </w:r>
          </w:p>
          <w:p w:rsidR="00612780" w:rsidRPr="00EF7F33" w:rsidRDefault="00BB7E19"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8 – ostala imovina;</w:t>
            </w:r>
          </w:p>
          <w:p w:rsidR="00612780" w:rsidRPr="00EF7F33" w:rsidRDefault="00BB7E19"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9 – pokrivene obveznice;</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10 – ostale obveze.</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Ako je skup sekuritiziranih izloženosti kombinacija prethodnih vrsta, institucija navodi najvažniju vrstu. U slučaju resekuritizacija institucija navodi krajnji o</w:t>
            </w:r>
            <w:r w:rsidRPr="00EF7F33">
              <w:rPr>
                <w:rFonts w:ascii="Times New Roman" w:hAnsi="Times New Roman"/>
                <w:sz w:val="24"/>
              </w:rPr>
              <w:t>d</w:t>
            </w:r>
            <w:r w:rsidRPr="00EF7F33">
              <w:rPr>
                <w:rFonts w:ascii="Times New Roman" w:hAnsi="Times New Roman"/>
                <w:sz w:val="24"/>
              </w:rPr>
              <w:t>nosni skup imovine. Vrsta „10” (ostale obveze) uključuje trezorske zapise i kreditne zapise.</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Za sekuritizacijske strukture osigurane zatvorenim skupovima vrsta se ne može mijenjati između izvještajnih datuma.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170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PRIMIJENJENI PRISTUP (STANDARDIZIRANI/IRB/KOMBINACIJA)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ovim se stupcu prikupljaju informacije o pristupu koji bi institucija na izvje</w:t>
            </w:r>
            <w:r w:rsidRPr="00EF7F33">
              <w:rPr>
                <w:rFonts w:ascii="Times New Roman" w:hAnsi="Times New Roman"/>
                <w:sz w:val="24"/>
              </w:rPr>
              <w:t>š</w:t>
            </w:r>
            <w:r w:rsidRPr="00EF7F33">
              <w:rPr>
                <w:rFonts w:ascii="Times New Roman" w:hAnsi="Times New Roman"/>
                <w:sz w:val="24"/>
              </w:rPr>
              <w:t>tajni datum primijenila na sekuritizirane izloženosti.</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lastRenderedPageBreak/>
              <w:t>Iskazuju se sljedeće kratice:</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xml:space="preserve">- „S” za standardizirani pristup; </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„I” za pristup zasnovan na internim rejting-sustavima;</w:t>
            </w: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 „M” za kombinaciju oba pristupa (standardizirani/IRB).</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Ako se u okviru standardiziranog pristupa „P” iskazuje u stupcu 050, tada se i</w:t>
            </w:r>
            <w:r w:rsidRPr="00EF7F33">
              <w:rPr>
                <w:rFonts w:ascii="Times New Roman" w:hAnsi="Times New Roman"/>
                <w:sz w:val="24"/>
              </w:rPr>
              <w:t>z</w:t>
            </w:r>
            <w:r w:rsidRPr="00EF7F33">
              <w:rPr>
                <w:rFonts w:ascii="Times New Roman" w:hAnsi="Times New Roman"/>
                <w:sz w:val="24"/>
              </w:rPr>
              <w:t>račun kapitalnih zahtjeva iskazuje u obrascu CR SEC SA.</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Ako se u okviru IRB pristupa „P” iskazuje u stupcu 050, tada se izračun kap</w:t>
            </w:r>
            <w:r w:rsidRPr="00EF7F33">
              <w:rPr>
                <w:rFonts w:ascii="Times New Roman" w:hAnsi="Times New Roman"/>
                <w:sz w:val="24"/>
              </w:rPr>
              <w:t>i</w:t>
            </w:r>
            <w:r w:rsidRPr="00EF7F33">
              <w:rPr>
                <w:rFonts w:ascii="Times New Roman" w:hAnsi="Times New Roman"/>
                <w:sz w:val="24"/>
              </w:rPr>
              <w:t>talnih zahtjeva iskazuje u obrascu CR SEC IRB.</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Ako se u okviru kombinacije standardiziranog i IRB pristupa „P” iskazuje u stupcu 050, tada se izračun kapitalnih zahtjeva iskazuje u obrascima CR SEC SA i CR SEC IRB.</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kakve pozicije u sekuritizaciji. Međutim, ovaj se stupac ne primjenjuje na sek</w:t>
            </w:r>
            <w:r w:rsidRPr="00EF7F33">
              <w:rPr>
                <w:rFonts w:ascii="Times New Roman" w:hAnsi="Times New Roman"/>
                <w:sz w:val="24"/>
              </w:rPr>
              <w:t>u</w:t>
            </w:r>
            <w:r w:rsidRPr="00EF7F33">
              <w:rPr>
                <w:rFonts w:ascii="Times New Roman" w:hAnsi="Times New Roman"/>
                <w:sz w:val="24"/>
              </w:rPr>
              <w:t>ritizacije obveza. Sponzori ne iskazuju ovaj stupac.</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180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BROJ IZLOŽENOSTI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Članak 261. stavak 1. CRR-a.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Ovaj je obrazac obvezan samo za institucije koje upotrebljavaju IRB pristup sekuritizacijskim pozicijama (i, stoga, iskazuju „I” u stupcu 170). Institucija i</w:t>
            </w:r>
            <w:r w:rsidRPr="00EF7F33">
              <w:rPr>
                <w:rFonts w:ascii="Times New Roman" w:hAnsi="Times New Roman"/>
                <w:sz w:val="24"/>
              </w:rPr>
              <w:t>s</w:t>
            </w:r>
            <w:r w:rsidRPr="00EF7F33">
              <w:rPr>
                <w:rFonts w:ascii="Times New Roman" w:hAnsi="Times New Roman"/>
                <w:sz w:val="24"/>
              </w:rPr>
              <w:t xml:space="preserve">kazuje efektivni broj izloženosti. </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Ovaj se stupac ne iskazuje u slučaju sekuritizacije obveza ili kada se kapitalni zahtjevi temelje na sekuritiziranim izloženostima (u slučaju sekuritizacije im</w:t>
            </w:r>
            <w:r w:rsidRPr="00EF7F33">
              <w:rPr>
                <w:rFonts w:ascii="Times New Roman" w:hAnsi="Times New Roman"/>
                <w:sz w:val="24"/>
              </w:rPr>
              <w:t>o</w:t>
            </w:r>
            <w:r w:rsidRPr="00EF7F33">
              <w:rPr>
                <w:rFonts w:ascii="Times New Roman" w:hAnsi="Times New Roman"/>
                <w:sz w:val="24"/>
              </w:rPr>
              <w:t>vine). Ovaj se stupac ne popunjava kada subjekt koji izvješćuje ne drži nikakve pozicije u sekuritizaciji. Ovaj stupac ne popunjavaju investitori.</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shd w:val="clear" w:color="auto" w:fill="auto"/>
          </w:tcPr>
          <w:p w:rsidR="00612780" w:rsidRPr="00EF7F33" w:rsidDel="00A749EA"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190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ZEMLJA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Iskazuje se oznaka (ISO 3166-1 alpha-2) matične države krajnjeg odnosnog i</w:t>
            </w:r>
            <w:r w:rsidRPr="00EF7F33">
              <w:rPr>
                <w:rFonts w:ascii="Times New Roman" w:hAnsi="Times New Roman"/>
                <w:sz w:val="24"/>
              </w:rPr>
              <w:t>n</w:t>
            </w:r>
            <w:r w:rsidRPr="00EF7F33">
              <w:rPr>
                <w:rFonts w:ascii="Times New Roman" w:hAnsi="Times New Roman"/>
                <w:sz w:val="24"/>
              </w:rPr>
              <w:t>strumenta transakcije, tj. zemlje neposrednog dužnika originalnih sekuritizir</w:t>
            </w:r>
            <w:r w:rsidRPr="00EF7F33">
              <w:rPr>
                <w:rFonts w:ascii="Times New Roman" w:hAnsi="Times New Roman"/>
                <w:sz w:val="24"/>
              </w:rPr>
              <w:t>a</w:t>
            </w:r>
            <w:r w:rsidRPr="00EF7F33">
              <w:rPr>
                <w:rFonts w:ascii="Times New Roman" w:hAnsi="Times New Roman"/>
                <w:sz w:val="24"/>
              </w:rPr>
              <w:t>nih izloženosti (odnosne izloženosti). Ako skup sekuritizacije čine različite zemlje, institucija navodi najvažniju zemlju. Ako nijedna zemlja ne prelazi prag od 20 % na temelju iznosa imovine/obveza, iskazuje se „ostale zemlje”.</w:t>
            </w:r>
          </w:p>
          <w:p w:rsidR="00612780" w:rsidRPr="00EF7F33" w:rsidRDefault="00612780" w:rsidP="00612780">
            <w:pPr>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200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ELGD (%)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Prosječni gubitak zbog nastanka statusa neispunjavanja obveza, ponderiran v</w:t>
            </w:r>
            <w:r w:rsidRPr="00EF7F33">
              <w:rPr>
                <w:rFonts w:ascii="Times New Roman" w:hAnsi="Times New Roman"/>
                <w:sz w:val="24"/>
              </w:rPr>
              <w:t>i</w:t>
            </w:r>
            <w:r w:rsidRPr="00EF7F33">
              <w:rPr>
                <w:rFonts w:ascii="Times New Roman" w:hAnsi="Times New Roman"/>
                <w:sz w:val="24"/>
              </w:rPr>
              <w:t xml:space="preserve">sinom izloženosti (ELGD) iskazuju samo institucije koje primjenjuju metodu nadzorne formule (i, stoga, iskazuju „I” u stupcu 170). ELGD se izračunava kako je navedeno u članku 262. stavku 1. CRR-a. </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Ovaj se stupac ne iskazuje u slučaju sekuritizacije obveza ili kada se kapitalni zahtjevi temelje na sekuritiziranim izloženostima (u slučaju sekuritizacije im</w:t>
            </w:r>
            <w:r w:rsidRPr="00EF7F33">
              <w:rPr>
                <w:rFonts w:ascii="Times New Roman" w:hAnsi="Times New Roman"/>
                <w:sz w:val="24"/>
              </w:rPr>
              <w:t>o</w:t>
            </w:r>
            <w:r w:rsidRPr="00EF7F33">
              <w:rPr>
                <w:rFonts w:ascii="Times New Roman" w:hAnsi="Times New Roman"/>
                <w:sz w:val="24"/>
              </w:rPr>
              <w:t>vine). Ovaj se stupac ne popunjava ni kada subjekt koji izvješćuje ne drži nik</w:t>
            </w:r>
            <w:r w:rsidRPr="00EF7F33">
              <w:rPr>
                <w:rFonts w:ascii="Times New Roman" w:hAnsi="Times New Roman"/>
                <w:sz w:val="24"/>
              </w:rPr>
              <w:t>a</w:t>
            </w:r>
            <w:r w:rsidRPr="00EF7F33">
              <w:rPr>
                <w:rFonts w:ascii="Times New Roman" w:hAnsi="Times New Roman"/>
                <w:sz w:val="24"/>
              </w:rPr>
              <w:t>kve pozicije u sekuritizaciji. Sponzori ne iskazuju ovaj stupac.</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210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VRIJEDNOSNA USKLAĐENJA I REZERVACIJE</w:t>
            </w:r>
          </w:p>
          <w:p w:rsidR="00612780" w:rsidRPr="00EF7F33" w:rsidRDefault="00612780" w:rsidP="00612780">
            <w:pPr>
              <w:spacing w:before="0" w:after="0"/>
              <w:jc w:val="left"/>
              <w:rPr>
                <w:rFonts w:ascii="Times New Roman" w:hAnsi="Times New Roman"/>
                <w:sz w:val="24"/>
              </w:rPr>
            </w:pPr>
          </w:p>
          <w:p w:rsidR="00706D25" w:rsidRPr="00EF7F33" w:rsidRDefault="00706D25" w:rsidP="00706D25">
            <w:pPr>
              <w:autoSpaceDE w:val="0"/>
              <w:autoSpaceDN w:val="0"/>
              <w:adjustRightInd w:val="0"/>
              <w:spacing w:before="0" w:after="0"/>
              <w:jc w:val="left"/>
              <w:rPr>
                <w:rFonts w:ascii="Times New Roman" w:hAnsi="Times New Roman"/>
                <w:sz w:val="24"/>
              </w:rPr>
            </w:pPr>
            <w:r w:rsidRPr="00EF7F33">
              <w:rPr>
                <w:rFonts w:ascii="Times New Roman" w:hAnsi="Times New Roman"/>
                <w:sz w:val="24"/>
              </w:rPr>
              <w:lastRenderedPageBreak/>
              <w:t>Vrijednosna usklađenja i rezervacije (članak 159. CRR-a) za gubitke po kreditu u skladu s računovodstvenim okvirom koji se primjenjuje na subjekt koji izvj</w:t>
            </w:r>
            <w:r w:rsidRPr="00EF7F33">
              <w:rPr>
                <w:rFonts w:ascii="Times New Roman" w:hAnsi="Times New Roman"/>
                <w:sz w:val="24"/>
              </w:rPr>
              <w:t>e</w:t>
            </w:r>
            <w:r w:rsidRPr="00EF7F33">
              <w:rPr>
                <w:rFonts w:ascii="Times New Roman" w:hAnsi="Times New Roman"/>
                <w:sz w:val="24"/>
              </w:rPr>
              <w:t>šćuje. Vrijednosna usklađenja uključuju svaki iznos priznat u dobiti ili gubitku za kreditne gubitke na osnovi financijske imovine od njihova početnog prizn</w:t>
            </w:r>
            <w:r w:rsidRPr="00EF7F33">
              <w:rPr>
                <w:rFonts w:ascii="Times New Roman" w:hAnsi="Times New Roman"/>
                <w:sz w:val="24"/>
              </w:rPr>
              <w:t>a</w:t>
            </w:r>
            <w:r w:rsidRPr="00EF7F33">
              <w:rPr>
                <w:rFonts w:ascii="Times New Roman" w:hAnsi="Times New Roman"/>
                <w:sz w:val="24"/>
              </w:rPr>
              <w:t>vanja u bilanci (uključujući gubitke na temelju kreditnog rizika financijske imovine mjerene po fer vrijednosti koji se ne odbijaju od vrijednosti izloženo</w:t>
            </w:r>
            <w:r w:rsidRPr="00EF7F33">
              <w:rPr>
                <w:rFonts w:ascii="Times New Roman" w:hAnsi="Times New Roman"/>
                <w:sz w:val="24"/>
              </w:rPr>
              <w:t>s</w:t>
            </w:r>
            <w:r w:rsidRPr="00EF7F33">
              <w:rPr>
                <w:rFonts w:ascii="Times New Roman" w:hAnsi="Times New Roman"/>
                <w:sz w:val="24"/>
              </w:rPr>
              <w:t>ti) uvećan za diskont povezan s izloženostima otkupljenima u statusu neisp</w:t>
            </w:r>
            <w:r w:rsidRPr="00EF7F33">
              <w:rPr>
                <w:rFonts w:ascii="Times New Roman" w:hAnsi="Times New Roman"/>
                <w:sz w:val="24"/>
              </w:rPr>
              <w:t>u</w:t>
            </w:r>
            <w:r w:rsidRPr="00EF7F33">
              <w:rPr>
                <w:rFonts w:ascii="Times New Roman" w:hAnsi="Times New Roman"/>
                <w:sz w:val="24"/>
              </w:rPr>
              <w:t>njavanja obveza u skladu s člankom 166. stavkom 1. CRR-a. Rezervacije u</w:t>
            </w:r>
            <w:r w:rsidRPr="00EF7F33">
              <w:rPr>
                <w:rFonts w:ascii="Times New Roman" w:hAnsi="Times New Roman"/>
                <w:sz w:val="24"/>
              </w:rPr>
              <w:t>k</w:t>
            </w:r>
            <w:r w:rsidRPr="00EF7F33">
              <w:rPr>
                <w:rFonts w:ascii="Times New Roman" w:hAnsi="Times New Roman"/>
                <w:sz w:val="24"/>
              </w:rPr>
              <w:t>ljučuju akumulirane iznose gubitaka po kreditu u izvanbilančnim stavkama.</w:t>
            </w:r>
          </w:p>
          <w:p w:rsidR="00612780" w:rsidRPr="00EF7F33" w:rsidRDefault="00612780" w:rsidP="00612780">
            <w:pPr>
              <w:autoSpaceDE w:val="0"/>
              <w:autoSpaceDN w:val="0"/>
              <w:adjustRightInd w:val="0"/>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se stupcu prikupljaju informacije o vrijednosnim usklađenjima i reze</w:t>
            </w:r>
            <w:r w:rsidRPr="00EF7F33">
              <w:rPr>
                <w:rFonts w:ascii="Times New Roman" w:hAnsi="Times New Roman"/>
                <w:sz w:val="24"/>
              </w:rPr>
              <w:t>r</w:t>
            </w:r>
            <w:r w:rsidRPr="00EF7F33">
              <w:rPr>
                <w:rFonts w:ascii="Times New Roman" w:hAnsi="Times New Roman"/>
                <w:sz w:val="24"/>
              </w:rPr>
              <w:t>vacijama koje se primjenjuju na sekuritizirane izloženosti. Ovaj se stupac ne i</w:t>
            </w:r>
            <w:r w:rsidRPr="00EF7F33">
              <w:rPr>
                <w:rFonts w:ascii="Times New Roman" w:hAnsi="Times New Roman"/>
                <w:sz w:val="24"/>
              </w:rPr>
              <w:t>s</w:t>
            </w:r>
            <w:r w:rsidRPr="00EF7F33">
              <w:rPr>
                <w:rFonts w:ascii="Times New Roman" w:hAnsi="Times New Roman"/>
                <w:sz w:val="24"/>
              </w:rPr>
              <w:t>kazuje u slučaju sekuritizacije obveza.</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Navedena se informacija iskazuje čak i kada subjekt koji izvješćuje ne drži n</w:t>
            </w:r>
            <w:r w:rsidRPr="00EF7F33">
              <w:rPr>
                <w:rFonts w:ascii="Times New Roman" w:hAnsi="Times New Roman"/>
                <w:sz w:val="24"/>
              </w:rPr>
              <w:t>i</w:t>
            </w:r>
            <w:r w:rsidRPr="00EF7F33">
              <w:rPr>
                <w:rFonts w:ascii="Times New Roman" w:hAnsi="Times New Roman"/>
                <w:sz w:val="24"/>
              </w:rPr>
              <w:t xml:space="preserve">kakve pozicije u sekuritizaciji.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Sponzori ne iskazuju ovaj stupac.</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lastRenderedPageBreak/>
              <w:t>220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KAPITALNI ZAHTJEVI PRIJE SEKURITIZACIJE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se stupcu prikupljaju informacije o kapitalnim zahtjevima sekuritizir</w:t>
            </w:r>
            <w:r w:rsidRPr="00EF7F33">
              <w:rPr>
                <w:rFonts w:ascii="Times New Roman" w:hAnsi="Times New Roman"/>
                <w:sz w:val="24"/>
              </w:rPr>
              <w:t>a</w:t>
            </w:r>
            <w:r w:rsidRPr="00EF7F33">
              <w:rPr>
                <w:rFonts w:ascii="Times New Roman" w:hAnsi="Times New Roman"/>
                <w:sz w:val="24"/>
              </w:rPr>
              <w:t>nog portfelja u slučaju da nije bilo sekuritizacije uvećani za očekivane gubitke povezane s tim rizicima (K</w:t>
            </w:r>
            <w:r w:rsidRPr="00EF7F33">
              <w:rPr>
                <w:rFonts w:ascii="Times New Roman" w:hAnsi="Times New Roman"/>
                <w:sz w:val="24"/>
                <w:vertAlign w:val="subscript"/>
              </w:rPr>
              <w:t>irb</w:t>
            </w:r>
            <w:r w:rsidRPr="00EF7F33">
              <w:rPr>
                <w:rFonts w:ascii="Times New Roman" w:hAnsi="Times New Roman"/>
                <w:sz w:val="24"/>
              </w:rPr>
              <w:t>), kao postotak (s dvije decimale) ukupnih sekur</w:t>
            </w:r>
            <w:r w:rsidRPr="00EF7F33">
              <w:rPr>
                <w:rFonts w:ascii="Times New Roman" w:hAnsi="Times New Roman"/>
                <w:sz w:val="24"/>
              </w:rPr>
              <w:t>i</w:t>
            </w:r>
            <w:r w:rsidRPr="00EF7F33">
              <w:rPr>
                <w:rFonts w:ascii="Times New Roman" w:hAnsi="Times New Roman"/>
                <w:sz w:val="24"/>
              </w:rPr>
              <w:t>tiziranih izloženosti na početku sekuritizacije. K</w:t>
            </w:r>
            <w:r w:rsidRPr="00EF7F33">
              <w:rPr>
                <w:rFonts w:ascii="Times New Roman" w:hAnsi="Times New Roman"/>
                <w:sz w:val="24"/>
                <w:vertAlign w:val="subscript"/>
              </w:rPr>
              <w:t>irb</w:t>
            </w:r>
            <w:r w:rsidRPr="00EF7F33">
              <w:rPr>
                <w:rFonts w:ascii="Times New Roman" w:hAnsi="Times New Roman"/>
                <w:sz w:val="24"/>
              </w:rPr>
              <w:t xml:space="preserve"> je definiran u članku 242. stavku 4. CRR-a.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Ovaj se stupac ne iskazuje u slučaju sekuritizacije obveza. U slučaju sekuritiz</w:t>
            </w:r>
            <w:r w:rsidRPr="00EF7F33">
              <w:rPr>
                <w:rFonts w:ascii="Times New Roman" w:hAnsi="Times New Roman"/>
                <w:sz w:val="24"/>
              </w:rPr>
              <w:t>a</w:t>
            </w:r>
            <w:r w:rsidRPr="00EF7F33">
              <w:rPr>
                <w:rFonts w:ascii="Times New Roman" w:hAnsi="Times New Roman"/>
                <w:sz w:val="24"/>
              </w:rPr>
              <w:t>cije imovine, navedena se informacija iskazuje čak i kada subjekt koji izvješć</w:t>
            </w:r>
            <w:r w:rsidRPr="00EF7F33">
              <w:rPr>
                <w:rFonts w:ascii="Times New Roman" w:hAnsi="Times New Roman"/>
                <w:sz w:val="24"/>
              </w:rPr>
              <w:t>u</w:t>
            </w:r>
            <w:r w:rsidRPr="00EF7F33">
              <w:rPr>
                <w:rFonts w:ascii="Times New Roman" w:hAnsi="Times New Roman"/>
                <w:sz w:val="24"/>
              </w:rPr>
              <w:t xml:space="preserve">je ne drži nikakve pozicije u sekuritizaciji.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Sponzori ne iskazuju ovaj stupac.</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highlight w:val="yellow"/>
              </w:rPr>
            </w:pPr>
            <w:r w:rsidRPr="00EF7F33">
              <w:rPr>
                <w:rFonts w:ascii="Times New Roman" w:hAnsi="Times New Roman"/>
                <w:sz w:val="24"/>
              </w:rPr>
              <w:t>230-300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SEKURITIZACIJSKA STRUKTURA</w:t>
            </w:r>
          </w:p>
          <w:p w:rsidR="00612780" w:rsidRPr="00EF7F33" w:rsidRDefault="00612780" w:rsidP="00612780">
            <w:pPr>
              <w:autoSpaceDE w:val="0"/>
              <w:autoSpaceDN w:val="0"/>
              <w:adjustRightInd w:val="0"/>
              <w:spacing w:before="0" w:after="0"/>
              <w:jc w:val="left"/>
              <w:rPr>
                <w:rFonts w:ascii="Times New Roman" w:hAnsi="Times New Roman"/>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ovoj se skupini od šest stupaca prikupljaju informacije o strukturi sekuritiz</w:t>
            </w:r>
            <w:r w:rsidRPr="00EF7F33">
              <w:rPr>
                <w:rFonts w:ascii="Times New Roman" w:hAnsi="Times New Roman"/>
                <w:sz w:val="24"/>
              </w:rPr>
              <w:t>a</w:t>
            </w:r>
            <w:r w:rsidRPr="00EF7F33">
              <w:rPr>
                <w:rFonts w:ascii="Times New Roman" w:hAnsi="Times New Roman"/>
                <w:sz w:val="24"/>
              </w:rPr>
              <w:t>cije prema bilančnim/izvanbilančnim pozicijama, tranšama (nadređ</w:t>
            </w:r>
            <w:r w:rsidRPr="00EF7F33">
              <w:rPr>
                <w:rFonts w:ascii="Times New Roman" w:hAnsi="Times New Roman"/>
                <w:sz w:val="24"/>
              </w:rPr>
              <w:t>e</w:t>
            </w:r>
            <w:r w:rsidRPr="00EF7F33">
              <w:rPr>
                <w:rFonts w:ascii="Times New Roman" w:hAnsi="Times New Roman"/>
                <w:sz w:val="24"/>
              </w:rPr>
              <w:t xml:space="preserve">ne/mezaninske/prvoga gubitka) i dospijeću. </w:t>
            </w:r>
          </w:p>
          <w:p w:rsidR="00612780" w:rsidRPr="00EF7F33" w:rsidRDefault="00612780" w:rsidP="00612780">
            <w:pPr>
              <w:autoSpaceDE w:val="0"/>
              <w:autoSpaceDN w:val="0"/>
              <w:adjustRightInd w:val="0"/>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slučaju višestrukih sekuritizacija, za tranše prvoga gubitka iskazuje se samo iznos koji odgovara ili je pripisan instituciji koja izvješćuje.</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highlight w:val="yellow"/>
              </w:rPr>
            </w:pPr>
            <w:r w:rsidRPr="00EF7F33">
              <w:rPr>
                <w:rFonts w:ascii="Times New Roman" w:hAnsi="Times New Roman"/>
                <w:sz w:val="24"/>
              </w:rPr>
              <w:t>230-250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BILANČNE STAVKE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U ovoj se skupini stupaca prikupljaju informacije o bilančnim stavkama raščl</w:t>
            </w:r>
            <w:r w:rsidRPr="00EF7F33">
              <w:rPr>
                <w:rFonts w:ascii="Times New Roman" w:hAnsi="Times New Roman"/>
                <w:sz w:val="24"/>
              </w:rPr>
              <w:t>a</w:t>
            </w:r>
            <w:r w:rsidRPr="00EF7F33">
              <w:rPr>
                <w:rFonts w:ascii="Times New Roman" w:hAnsi="Times New Roman"/>
                <w:sz w:val="24"/>
              </w:rPr>
              <w:t>njenima prema tranšama (nadređene/mezaninske/prvoga gubitka).</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230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NADREĐENE TRANŠE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A369B8" w:rsidRPr="00EF7F33" w:rsidRDefault="002F1163"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Na referentne datume izvješćivanja koji slijede nakon 1. siječnja 2019. za sek</w:t>
            </w:r>
            <w:r w:rsidRPr="00EF7F33">
              <w:rPr>
                <w:rFonts w:ascii="Times New Roman" w:hAnsi="Times New Roman"/>
                <w:sz w:val="24"/>
              </w:rPr>
              <w:t>u</w:t>
            </w:r>
            <w:r w:rsidRPr="00EF7F33">
              <w:rPr>
                <w:rFonts w:ascii="Times New Roman" w:hAnsi="Times New Roman"/>
                <w:sz w:val="24"/>
              </w:rPr>
              <w:lastRenderedPageBreak/>
              <w:t>ritizacijske pozicije čije se vrijednosti izloženosti izračunavaju u skladu s CRR-om:   sekuritizacijska pozicija kako je definirana u članku 242. stavku 6. CRR-a.</w:t>
            </w:r>
          </w:p>
          <w:p w:rsidR="00A369B8" w:rsidRPr="00EF7F33" w:rsidRDefault="00A369B8" w:rsidP="00612780">
            <w:pPr>
              <w:autoSpaceDE w:val="0"/>
              <w:autoSpaceDN w:val="0"/>
              <w:adjustRightInd w:val="0"/>
              <w:spacing w:before="0" w:after="0"/>
              <w:jc w:val="left"/>
              <w:rPr>
                <w:rFonts w:ascii="Times New Roman" w:hAnsi="Times New Roman"/>
                <w:sz w:val="24"/>
              </w:rPr>
            </w:pPr>
          </w:p>
          <w:p w:rsidR="00A369B8" w:rsidRPr="00EF7F33" w:rsidRDefault="00A369B8"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Za sve ostale sekuritizacijske pozicije: sve tranše koje ne ispunjavaju uvjete kao mezaninske tranše ili tranše prvoga gubitka u skladu s CRR-om u verziji pri</w:t>
            </w:r>
            <w:r w:rsidRPr="00EF7F33">
              <w:rPr>
                <w:rFonts w:ascii="Times New Roman" w:hAnsi="Times New Roman"/>
                <w:sz w:val="24"/>
              </w:rPr>
              <w:t>m</w:t>
            </w:r>
            <w:r w:rsidRPr="00EF7F33">
              <w:rPr>
                <w:rFonts w:ascii="Times New Roman" w:hAnsi="Times New Roman"/>
                <w:sz w:val="24"/>
              </w:rPr>
              <w:t>jenjivoj na dan 31. prosinca 2018. uključene su u ovu kategoriju.</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240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MEZANINSKE TRANŠE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A369B8" w:rsidRPr="00EF7F33" w:rsidRDefault="002F1163"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Na referentne datume izvješćivanja koji slijede nakon 1. siječnja 2019. za sek</w:t>
            </w:r>
            <w:r w:rsidRPr="00EF7F33">
              <w:rPr>
                <w:rFonts w:ascii="Times New Roman" w:hAnsi="Times New Roman"/>
                <w:sz w:val="24"/>
              </w:rPr>
              <w:t>u</w:t>
            </w:r>
            <w:r w:rsidRPr="00EF7F33">
              <w:rPr>
                <w:rFonts w:ascii="Times New Roman" w:hAnsi="Times New Roman"/>
                <w:sz w:val="24"/>
              </w:rPr>
              <w:t>ritizacijske pozicije čije se vrijednosti izloženosti izračunavaju u skladu s CRR-om:</w:t>
            </w:r>
          </w:p>
          <w:p w:rsidR="00A369B8" w:rsidRPr="00EF7F33"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sve pozicije kako su definirane u članku 242. stavku 18. CRR-a;</w:t>
            </w:r>
          </w:p>
          <w:p w:rsidR="00A369B8" w:rsidRPr="00EF7F33"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sve pozicije na koje se ne primjenjuje članak 242. stavci 6. ili 17. CRR-a.</w:t>
            </w:r>
          </w:p>
          <w:p w:rsidR="00A369B8" w:rsidRPr="00EF7F33" w:rsidRDefault="00A369B8" w:rsidP="00A369B8">
            <w:pPr>
              <w:autoSpaceDE w:val="0"/>
              <w:autoSpaceDN w:val="0"/>
              <w:adjustRightInd w:val="0"/>
              <w:spacing w:before="0" w:after="0"/>
              <w:jc w:val="left"/>
              <w:rPr>
                <w:rFonts w:ascii="Times New Roman" w:hAnsi="Times New Roman"/>
                <w:sz w:val="24"/>
              </w:rPr>
            </w:pPr>
          </w:p>
          <w:p w:rsidR="00612780" w:rsidRPr="00EF7F33" w:rsidRDefault="00A369B8"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Za sve ostale sekuritizacijske pozicije: vidjeti članak 243. stavak 3. (tradici</w:t>
            </w:r>
            <w:r w:rsidRPr="00EF7F33">
              <w:rPr>
                <w:rFonts w:ascii="Times New Roman" w:hAnsi="Times New Roman"/>
                <w:sz w:val="24"/>
              </w:rPr>
              <w:t>o</w:t>
            </w:r>
            <w:r w:rsidRPr="00EF7F33">
              <w:rPr>
                <w:rFonts w:ascii="Times New Roman" w:hAnsi="Times New Roman"/>
                <w:sz w:val="24"/>
              </w:rPr>
              <w:t>nalne sekuritizacije) i članak 244. stavak 3. (sintetske sekuritizacije) CRR-a u verziji primjenjivoj na dan 31. prosinca 2018.</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250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TRANŠE PRVOGA GUBITKA</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A369B8" w:rsidRPr="00EF7F33" w:rsidRDefault="002F1163"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sz w:val="24"/>
              </w:rPr>
              <w:t>Na referentne datume izvješćivanja koji slijede nakon 1. siječnja 2019. za sek</w:t>
            </w:r>
            <w:r w:rsidRPr="00EF7F33">
              <w:rPr>
                <w:rFonts w:ascii="Times New Roman" w:hAnsi="Times New Roman"/>
                <w:sz w:val="24"/>
              </w:rPr>
              <w:t>u</w:t>
            </w:r>
            <w:r w:rsidRPr="00EF7F33">
              <w:rPr>
                <w:rFonts w:ascii="Times New Roman" w:hAnsi="Times New Roman"/>
                <w:sz w:val="24"/>
              </w:rPr>
              <w:t>ritizacijske pozicije čije se vrijednosti izloženosti izračunavaju u skladu s CRR-om: sekuritizacijska pozicija kako je definirana u članku 242. stavku 17. CRR-a.</w:t>
            </w:r>
          </w:p>
          <w:p w:rsidR="00A369B8" w:rsidRPr="00EF7F33" w:rsidRDefault="00A369B8" w:rsidP="00A369B8">
            <w:pPr>
              <w:autoSpaceDE w:val="0"/>
              <w:autoSpaceDN w:val="0"/>
              <w:adjustRightInd w:val="0"/>
              <w:spacing w:before="0" w:after="0"/>
              <w:jc w:val="left"/>
              <w:rPr>
                <w:rFonts w:ascii="Times New Roman" w:hAnsi="Times New Roman"/>
                <w:sz w:val="24"/>
              </w:rPr>
            </w:pPr>
          </w:p>
          <w:p w:rsidR="00612780" w:rsidRPr="00EF7F33" w:rsidRDefault="00A369B8" w:rsidP="009068C9">
            <w:pPr>
              <w:autoSpaceDE w:val="0"/>
              <w:autoSpaceDN w:val="0"/>
              <w:adjustRightInd w:val="0"/>
              <w:spacing w:before="0" w:after="0"/>
              <w:jc w:val="left"/>
              <w:rPr>
                <w:rFonts w:ascii="Times New Roman" w:hAnsi="Times New Roman"/>
                <w:sz w:val="24"/>
              </w:rPr>
            </w:pPr>
            <w:r w:rsidRPr="00EF7F33">
              <w:rPr>
                <w:rFonts w:ascii="Times New Roman" w:hAnsi="Times New Roman"/>
                <w:sz w:val="24"/>
              </w:rPr>
              <w:t>Za sve ostale sekuritizacijske pozicije: tranša prvoga gubitka definirana je u članku 242. stavku 15. u verziji primjenjivoj na dan 31. prosinca 2018.</w:t>
            </w:r>
          </w:p>
          <w:p w:rsidR="00612780" w:rsidRPr="00EF7F33" w:rsidRDefault="00612780" w:rsidP="00612780">
            <w:pPr>
              <w:autoSpaceDE w:val="0"/>
              <w:autoSpaceDN w:val="0"/>
              <w:adjustRightInd w:val="0"/>
              <w:spacing w:before="0" w:after="0"/>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260-280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jc w:val="left"/>
              <w:rPr>
                <w:rFonts w:ascii="Times New Roman" w:hAnsi="Times New Roman"/>
                <w:sz w:val="24"/>
              </w:rPr>
            </w:pPr>
            <w:r w:rsidRPr="00EF7F33">
              <w:rPr>
                <w:rFonts w:ascii="Times New Roman" w:hAnsi="Times New Roman"/>
                <w:sz w:val="24"/>
              </w:rPr>
              <w:t>U ovom se skupu stupaca prikupljaju informacije o izvanbilančnim stavkama i izvedenicama raščlanjenima prema tranšama (nadređene/mezaninske/prvoga gubitka).</w:t>
            </w: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Ovdje se primjenjuju jednaki kriteriji raščlanjivanja tranši koji se primjenjuju za bilančne stavke.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shd w:val="clear" w:color="auto" w:fill="auto"/>
          </w:tcPr>
          <w:p w:rsidR="00612780" w:rsidRPr="00EF7F33" w:rsidDel="00304CB1"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290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PRVI PREDVIDIVI DATUM PREKIDA</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Vjerojatni datum prekida cijele sekuritizacije u svjetlu njezinih ugovornih o</w:t>
            </w:r>
            <w:r w:rsidRPr="00EF7F33">
              <w:rPr>
                <w:rFonts w:ascii="Times New Roman" w:hAnsi="Times New Roman"/>
                <w:sz w:val="24"/>
              </w:rPr>
              <w:t>d</w:t>
            </w:r>
            <w:r w:rsidRPr="00EF7F33">
              <w:rPr>
                <w:rFonts w:ascii="Times New Roman" w:hAnsi="Times New Roman"/>
                <w:sz w:val="24"/>
              </w:rPr>
              <w:t xml:space="preserve">redbi i trenutačno očekivanih financijskih uvjeta. Općenito bi to bio raniji od sljedećih datuma: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i.</w:t>
            </w:r>
            <w:r w:rsidRPr="00EF7F33">
              <w:tab/>
            </w:r>
            <w:r w:rsidRPr="00EF7F33">
              <w:rPr>
                <w:rFonts w:ascii="Times New Roman" w:hAnsi="Times New Roman"/>
                <w:sz w:val="24"/>
              </w:rPr>
              <w:t>datum kada bi se kupnja s ugrađenim otkupom (definirana u članku 242. stavku 2. CRR-a) mogla prvi put iskoristiti, uzimajući u obzir dospijeće odno</w:t>
            </w:r>
            <w:r w:rsidRPr="00EF7F33">
              <w:rPr>
                <w:rFonts w:ascii="Times New Roman" w:hAnsi="Times New Roman"/>
                <w:sz w:val="24"/>
              </w:rPr>
              <w:t>s</w:t>
            </w:r>
            <w:r w:rsidRPr="00EF7F33">
              <w:rPr>
                <w:rFonts w:ascii="Times New Roman" w:hAnsi="Times New Roman"/>
                <w:sz w:val="24"/>
              </w:rPr>
              <w:t>ne izloženosti/odnosnih izloženosti te njihovu očekivanu stopu plaćenog pr</w:t>
            </w:r>
            <w:r w:rsidRPr="00EF7F33">
              <w:rPr>
                <w:rFonts w:ascii="Times New Roman" w:hAnsi="Times New Roman"/>
                <w:sz w:val="24"/>
              </w:rPr>
              <w:t>e</w:t>
            </w:r>
            <w:r w:rsidRPr="00EF7F33">
              <w:rPr>
                <w:rFonts w:ascii="Times New Roman" w:hAnsi="Times New Roman"/>
                <w:sz w:val="24"/>
              </w:rPr>
              <w:t xml:space="preserve">dujma ili moguće aktivnosti povezane s ponovnim pregovaranjem;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ii.</w:t>
            </w:r>
            <w:r w:rsidRPr="00EF7F33">
              <w:tab/>
            </w:r>
            <w:r w:rsidRPr="00EF7F33">
              <w:rPr>
                <w:rFonts w:ascii="Times New Roman" w:hAnsi="Times New Roman"/>
                <w:sz w:val="24"/>
              </w:rPr>
              <w:t xml:space="preserve">datum kada inicijator može prvi put iskoristiti bilo koju drugu opciju </w:t>
            </w:r>
            <w:r w:rsidRPr="00EF7F33">
              <w:rPr>
                <w:rFonts w:ascii="Times New Roman" w:hAnsi="Times New Roman"/>
                <w:sz w:val="24"/>
              </w:rPr>
              <w:lastRenderedPageBreak/>
              <w:t>kupnje ugrađenu u ugovorne odredbe sekuritizacije, što bi dovelo do potpunog otkupa sekuritizacije.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Navodi se dan, mjesec i godina prvog predvidivog datuma prekida.</w:t>
            </w:r>
            <w:r w:rsidRPr="00EF7F33">
              <w:rPr>
                <w:rFonts w:ascii="Times New Roman" w:hAnsi="Times New Roman"/>
              </w:rPr>
              <w:t xml:space="preserve"> </w:t>
            </w:r>
            <w:r w:rsidRPr="00EF7F33">
              <w:rPr>
                <w:rFonts w:ascii="Times New Roman" w:hAnsi="Times New Roman"/>
                <w:sz w:val="24"/>
              </w:rPr>
              <w:t>Ako je p</w:t>
            </w:r>
            <w:r w:rsidRPr="00EF7F33">
              <w:rPr>
                <w:rFonts w:ascii="Times New Roman" w:hAnsi="Times New Roman"/>
                <w:sz w:val="24"/>
              </w:rPr>
              <w:t>o</w:t>
            </w:r>
            <w:r w:rsidRPr="00EF7F33">
              <w:rPr>
                <w:rFonts w:ascii="Times New Roman" w:hAnsi="Times New Roman"/>
                <w:sz w:val="24"/>
              </w:rPr>
              <w:t>datak dostupan, navodi se točan dan; u protivnom se navodi prvi dan u mjesecu.</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shd w:val="clear" w:color="auto" w:fill="auto"/>
          </w:tcPr>
          <w:p w:rsidR="00612780" w:rsidRPr="00EF7F33" w:rsidDel="00304CB1"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300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ZAKONSKI ROK KONAČNOG DOSPIJEĆA</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Datum kada se cjelokupna glavnica i kamate sekuritizacije moraju zakonski o</w:t>
            </w:r>
            <w:r w:rsidRPr="00EF7F33">
              <w:rPr>
                <w:rFonts w:ascii="Times New Roman" w:hAnsi="Times New Roman"/>
                <w:sz w:val="24"/>
              </w:rPr>
              <w:t>t</w:t>
            </w:r>
            <w:r w:rsidRPr="00EF7F33">
              <w:rPr>
                <w:rFonts w:ascii="Times New Roman" w:hAnsi="Times New Roman"/>
                <w:sz w:val="24"/>
              </w:rPr>
              <w:t>platiti (na temelju dokumentacije o transakciji).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Navodi se dan, mjesec i godina zakonskog roka konačnog dospijeća.</w:t>
            </w:r>
            <w:r w:rsidRPr="00EF7F33">
              <w:rPr>
                <w:rFonts w:ascii="Times New Roman" w:hAnsi="Times New Roman"/>
              </w:rPr>
              <w:t xml:space="preserve"> </w:t>
            </w:r>
            <w:r w:rsidRPr="00EF7F33">
              <w:rPr>
                <w:rFonts w:ascii="Times New Roman" w:hAnsi="Times New Roman"/>
                <w:sz w:val="24"/>
              </w:rPr>
              <w:t>Ako je podatak dostupan, navodi se točan dan; u protivnom se navodi prvi dan u mj</w:t>
            </w:r>
            <w:r w:rsidRPr="00EF7F33">
              <w:rPr>
                <w:rFonts w:ascii="Times New Roman" w:hAnsi="Times New Roman"/>
                <w:sz w:val="24"/>
              </w:rPr>
              <w:t>e</w:t>
            </w:r>
            <w:r w:rsidRPr="00EF7F33">
              <w:rPr>
                <w:rFonts w:ascii="Times New Roman" w:hAnsi="Times New Roman"/>
                <w:sz w:val="24"/>
              </w:rPr>
              <w:t>secu.</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310-400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SEKURITIZACIJSKE POZICIJE: ORIGINALNA IZLOŽENOST PRIJE KONVERZIJSKIH FAKTORA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ovom se skupu stupaca prikupljaju informacije o sekuritizacijskim pozicij</w:t>
            </w:r>
            <w:r w:rsidRPr="00EF7F33">
              <w:rPr>
                <w:rFonts w:ascii="Times New Roman" w:hAnsi="Times New Roman"/>
                <w:sz w:val="24"/>
              </w:rPr>
              <w:t>a</w:t>
            </w:r>
            <w:r w:rsidRPr="00EF7F33">
              <w:rPr>
                <w:rFonts w:ascii="Times New Roman" w:hAnsi="Times New Roman"/>
                <w:sz w:val="24"/>
              </w:rPr>
              <w:t>ma prema bilančnim/izvanbilančnim pozicijama i tranšama (nadređ</w:t>
            </w:r>
            <w:r w:rsidRPr="00EF7F33">
              <w:rPr>
                <w:rFonts w:ascii="Times New Roman" w:hAnsi="Times New Roman"/>
                <w:sz w:val="24"/>
              </w:rPr>
              <w:t>e</w:t>
            </w:r>
            <w:r w:rsidRPr="00EF7F33">
              <w:rPr>
                <w:rFonts w:ascii="Times New Roman" w:hAnsi="Times New Roman"/>
                <w:sz w:val="24"/>
              </w:rPr>
              <w:t xml:space="preserve">ne/mezaninske/prvoga gubitka) na izvještajni datum. </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310-330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BILANČNE STAVKE </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Ovdje se primjenjuju jednaki kriteriji raščlanjivanja tranši koji se primjenjuju u stupcima od 230 do 250.</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340-360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IZVANBILANČNE STAVKE I IZVEDENICE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sz w:val="24"/>
              </w:rPr>
            </w:pPr>
            <w:r w:rsidRPr="00EF7F33">
              <w:rPr>
                <w:rFonts w:ascii="Times New Roman" w:hAnsi="Times New Roman"/>
                <w:sz w:val="24"/>
              </w:rPr>
              <w:t>Ovdje se primjenjuju jednaki kriteriji raščlanjivanja tranši koji se primjenjuju u stupcima od 260 do 280.</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highlight w:val="yellow"/>
              </w:rPr>
            </w:pPr>
            <w:r w:rsidRPr="00EF7F33">
              <w:rPr>
                <w:rFonts w:ascii="Times New Roman" w:hAnsi="Times New Roman"/>
                <w:sz w:val="24"/>
              </w:rPr>
              <w:t>370-400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BILJEŠKE: IZVANBILANČNE STAVKE I IZVEDENICE</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U ovom se skupu stupaca prikupljaju dodatne informacije o ukupnim izvanb</w:t>
            </w:r>
            <w:r w:rsidRPr="00EF7F33">
              <w:rPr>
                <w:rFonts w:ascii="Times New Roman" w:hAnsi="Times New Roman"/>
                <w:sz w:val="24"/>
              </w:rPr>
              <w:t>i</w:t>
            </w:r>
            <w:r w:rsidRPr="00EF7F33">
              <w:rPr>
                <w:rFonts w:ascii="Times New Roman" w:hAnsi="Times New Roman"/>
                <w:sz w:val="24"/>
              </w:rPr>
              <w:t>lančnim stavkama i izvedenicama (koje su već iskazane u drukčijoj raščlambi u stupcima 340 – 360).</w:t>
            </w:r>
          </w:p>
          <w:p w:rsidR="00612780" w:rsidRPr="00EF7F33" w:rsidRDefault="00612780" w:rsidP="00612780">
            <w:pPr>
              <w:autoSpaceDE w:val="0"/>
              <w:autoSpaceDN w:val="0"/>
              <w:adjustRightInd w:val="0"/>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370</w:t>
            </w:r>
          </w:p>
        </w:tc>
        <w:tc>
          <w:tcPr>
            <w:tcW w:w="7903" w:type="dxa"/>
          </w:tcPr>
          <w:p w:rsidR="00612780" w:rsidRPr="00EF7F33" w:rsidRDefault="00612780" w:rsidP="00612780">
            <w:pPr>
              <w:autoSpaceDE w:val="0"/>
              <w:autoSpaceDN w:val="0"/>
              <w:adjustRightInd w:val="0"/>
              <w:spacing w:before="0" w:after="0"/>
              <w:jc w:val="left"/>
              <w:rPr>
                <w:rFonts w:ascii="Times New Roman" w:hAnsi="Times New Roman"/>
                <w:b/>
                <w:sz w:val="24"/>
                <w:u w:val="single"/>
              </w:rPr>
            </w:pPr>
            <w:r w:rsidRPr="00EF7F33">
              <w:rPr>
                <w:rFonts w:ascii="Times New Roman" w:hAnsi="Times New Roman"/>
                <w:b/>
                <w:sz w:val="24"/>
                <w:u w:val="single"/>
              </w:rPr>
              <w:t>IZRAVNI KREDITNI SUPSTITUTI</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Ovaj se stupac primjenjuje na sekuritizacijske pozicije koje drži inicijator i za koje se jamči izravnim kreditnim supstitutima.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skladu s Prilogom I. CRR-u, sljedeće se izvanbilančne stavke visokog rizika smatraju izravnim kreditnim supstitutima:</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i/>
                <w:sz w:val="24"/>
              </w:rPr>
            </w:pPr>
            <w:r w:rsidRPr="00EF7F33">
              <w:rPr>
                <w:rFonts w:ascii="Times New Roman" w:hAnsi="Times New Roman"/>
                <w:i/>
                <w:sz w:val="24"/>
              </w:rPr>
              <w:t>- jamstva koja imaju svojstvo kreditnih supstituta.</w:t>
            </w:r>
          </w:p>
          <w:p w:rsidR="00612780" w:rsidRPr="00EF7F33" w:rsidRDefault="00612780" w:rsidP="00612780">
            <w:pPr>
              <w:spacing w:before="0" w:after="0"/>
              <w:rPr>
                <w:rFonts w:ascii="Times New Roman" w:hAnsi="Times New Roman"/>
                <w:i/>
                <w:sz w:val="24"/>
              </w:rPr>
            </w:pPr>
            <w:r w:rsidRPr="00EF7F33">
              <w:rPr>
                <w:rFonts w:ascii="Times New Roman" w:hAnsi="Times New Roman"/>
                <w:i/>
                <w:sz w:val="24"/>
              </w:rPr>
              <w:t>- neopozivi standby akreditivi koji imaju svojstvo kreditnih supstituta.</w:t>
            </w:r>
          </w:p>
          <w:p w:rsidR="00612780" w:rsidRPr="00EF7F33" w:rsidRDefault="00612780" w:rsidP="00612780">
            <w:pPr>
              <w:autoSpaceDE w:val="0"/>
              <w:autoSpaceDN w:val="0"/>
              <w:adjustRightInd w:val="0"/>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380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IRS / CRS</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IRS znači kamatni ugovori o razmjeni, dok CRS znači valutni ugovori o r</w:t>
            </w:r>
            <w:r w:rsidRPr="00EF7F33">
              <w:rPr>
                <w:rFonts w:ascii="Times New Roman" w:hAnsi="Times New Roman"/>
                <w:sz w:val="24"/>
              </w:rPr>
              <w:t>a</w:t>
            </w:r>
            <w:r w:rsidRPr="00EF7F33">
              <w:rPr>
                <w:rFonts w:ascii="Times New Roman" w:hAnsi="Times New Roman"/>
                <w:sz w:val="24"/>
              </w:rPr>
              <w:t>zmjeni. Te su izvedenice navedene u Prilogu II. CRR-u.</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390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PRIZNATE LIKVIDNOSNE LINIJE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Likvidnosne linije, definirane u članku 242. stavku 3. CRR-a, moraju ispuniti šest uvjeta utvrđenih u članku 255. stavku 1. CRR-a kako bi se smatrale prizn</w:t>
            </w:r>
            <w:r w:rsidRPr="00EF7F33">
              <w:rPr>
                <w:rFonts w:ascii="Times New Roman" w:hAnsi="Times New Roman"/>
                <w:sz w:val="24"/>
              </w:rPr>
              <w:t>a</w:t>
            </w:r>
            <w:r w:rsidRPr="00EF7F33">
              <w:rPr>
                <w:rFonts w:ascii="Times New Roman" w:hAnsi="Times New Roman"/>
                <w:sz w:val="24"/>
              </w:rPr>
              <w:t>tima (bez obzira na to koju metodu institucija primjenjuje – standardizirani ili IRB pristup).</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400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OSTALO (UKLJUČUJUĆI LIKVIDNOSNE LINIJE KOJE SE NE PR</w:t>
            </w:r>
            <w:r w:rsidRPr="00EF7F33">
              <w:rPr>
                <w:rFonts w:ascii="Times New Roman" w:hAnsi="Times New Roman"/>
                <w:b/>
                <w:sz w:val="24"/>
                <w:u w:val="single"/>
              </w:rPr>
              <w:t>I</w:t>
            </w:r>
            <w:r w:rsidRPr="00EF7F33">
              <w:rPr>
                <w:rFonts w:ascii="Times New Roman" w:hAnsi="Times New Roman"/>
                <w:b/>
                <w:sz w:val="24"/>
                <w:u w:val="single"/>
              </w:rPr>
              <w:t>ZNAJU)</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Ovaj je stupac posvećen preostalim izvanbilančnim stavkama kao što su likvi</w:t>
            </w:r>
            <w:r w:rsidRPr="00EF7F33">
              <w:rPr>
                <w:rFonts w:ascii="Times New Roman" w:hAnsi="Times New Roman"/>
                <w:sz w:val="24"/>
              </w:rPr>
              <w:t>d</w:t>
            </w:r>
            <w:r w:rsidRPr="00EF7F33">
              <w:rPr>
                <w:rFonts w:ascii="Times New Roman" w:hAnsi="Times New Roman"/>
                <w:sz w:val="24"/>
              </w:rPr>
              <w:t>nosne linije koje se ne priznaju (tj. likvidnosne linije koje ne ispunjavaju uvjete iz članka 255. stavka 1. CRR-a).</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shd w:val="clear" w:color="auto" w:fill="auto"/>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410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PRIJEVREMENA ISPLATA: PRIMIJENJENI KONVERZIJSKI FA</w:t>
            </w:r>
            <w:r w:rsidRPr="00EF7F33">
              <w:rPr>
                <w:rFonts w:ascii="Times New Roman" w:hAnsi="Times New Roman"/>
                <w:b/>
                <w:sz w:val="24"/>
                <w:u w:val="single"/>
              </w:rPr>
              <w:t>K</w:t>
            </w:r>
            <w:r w:rsidRPr="00EF7F33">
              <w:rPr>
                <w:rFonts w:ascii="Times New Roman" w:hAnsi="Times New Roman"/>
                <w:b/>
                <w:sz w:val="24"/>
                <w:u w:val="single"/>
              </w:rPr>
              <w:t>TOR</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tabs>
                <w:tab w:val="left" w:pos="5828"/>
              </w:tabs>
              <w:spacing w:before="0" w:after="0"/>
              <w:rPr>
                <w:rFonts w:ascii="Times New Roman" w:hAnsi="Times New Roman"/>
                <w:sz w:val="24"/>
              </w:rPr>
            </w:pPr>
            <w:r w:rsidRPr="00EF7F33">
              <w:rPr>
                <w:rFonts w:ascii="Times New Roman" w:hAnsi="Times New Roman"/>
                <w:sz w:val="24"/>
              </w:rPr>
              <w:t>Člankom 242. stavkom 12. i člankom 256. stavkom 5. (standardizirani pristup) te člankom 265. stavkom 1. (IRB pristup) CRR-a predviđen je niz konverzi</w:t>
            </w:r>
            <w:r w:rsidRPr="00EF7F33">
              <w:rPr>
                <w:rFonts w:ascii="Times New Roman" w:hAnsi="Times New Roman"/>
                <w:sz w:val="24"/>
              </w:rPr>
              <w:t>j</w:t>
            </w:r>
            <w:r w:rsidRPr="00EF7F33">
              <w:rPr>
                <w:rFonts w:ascii="Times New Roman" w:hAnsi="Times New Roman"/>
                <w:sz w:val="24"/>
              </w:rPr>
              <w:t>skih faktora koje je potrebno primijeniti na iznos udjela investitora (kako bi se izračunali iznosi izloženosti ponderirani rizikom).</w:t>
            </w:r>
          </w:p>
          <w:p w:rsidR="00612780" w:rsidRPr="00EF7F33" w:rsidRDefault="00612780" w:rsidP="00612780">
            <w:pPr>
              <w:tabs>
                <w:tab w:val="left" w:pos="5828"/>
              </w:tabs>
              <w:spacing w:before="0" w:after="0"/>
              <w:rPr>
                <w:rFonts w:ascii="Times New Roman" w:hAnsi="Times New Roman"/>
                <w:sz w:val="24"/>
              </w:rPr>
            </w:pPr>
          </w:p>
          <w:p w:rsidR="00612780" w:rsidRPr="00EF7F33" w:rsidRDefault="00612780" w:rsidP="00612780">
            <w:pPr>
              <w:tabs>
                <w:tab w:val="left" w:pos="5828"/>
              </w:tabs>
              <w:spacing w:before="0" w:after="0"/>
              <w:rPr>
                <w:rFonts w:ascii="Times New Roman" w:hAnsi="Times New Roman"/>
                <w:sz w:val="24"/>
              </w:rPr>
            </w:pPr>
            <w:r w:rsidRPr="00EF7F33">
              <w:rPr>
                <w:rFonts w:ascii="Times New Roman" w:hAnsi="Times New Roman"/>
                <w:sz w:val="24"/>
              </w:rPr>
              <w:t>Ovaj se stupac primjenjuje na sekuritizacijske strukture s klauzulama o prije</w:t>
            </w:r>
            <w:r w:rsidRPr="00EF7F33">
              <w:rPr>
                <w:rFonts w:ascii="Times New Roman" w:hAnsi="Times New Roman"/>
                <w:sz w:val="24"/>
              </w:rPr>
              <w:t>v</w:t>
            </w:r>
            <w:r w:rsidRPr="00EF7F33">
              <w:rPr>
                <w:rFonts w:ascii="Times New Roman" w:hAnsi="Times New Roman"/>
                <w:sz w:val="24"/>
              </w:rPr>
              <w:t>remenoj isplati (tj. obnavljajuće sekuritizacije).</w:t>
            </w:r>
          </w:p>
          <w:p w:rsidR="00612780" w:rsidRPr="00EF7F33" w:rsidRDefault="00612780" w:rsidP="00612780">
            <w:pPr>
              <w:tabs>
                <w:tab w:val="left" w:pos="5828"/>
              </w:tabs>
              <w:spacing w:before="0" w:after="0"/>
              <w:rPr>
                <w:rFonts w:ascii="Times New Roman" w:hAnsi="Times New Roman"/>
                <w:sz w:val="24"/>
              </w:rPr>
            </w:pPr>
          </w:p>
          <w:p w:rsidR="00612780" w:rsidRPr="00EF7F33" w:rsidRDefault="00612780" w:rsidP="00612780">
            <w:pPr>
              <w:tabs>
                <w:tab w:val="left" w:pos="5828"/>
              </w:tabs>
              <w:spacing w:before="0" w:after="0"/>
              <w:rPr>
                <w:rFonts w:ascii="Times New Roman" w:hAnsi="Times New Roman"/>
                <w:sz w:val="24"/>
              </w:rPr>
            </w:pPr>
            <w:r w:rsidRPr="00EF7F33">
              <w:rPr>
                <w:rFonts w:ascii="Times New Roman" w:hAnsi="Times New Roman"/>
                <w:sz w:val="24"/>
              </w:rPr>
              <w:t>U skladu s člankom 256. stavkom 6. CRR-a, konverzijska vrijednost koju je p</w:t>
            </w:r>
            <w:r w:rsidRPr="00EF7F33">
              <w:rPr>
                <w:rFonts w:ascii="Times New Roman" w:hAnsi="Times New Roman"/>
                <w:sz w:val="24"/>
              </w:rPr>
              <w:t>o</w:t>
            </w:r>
            <w:r w:rsidRPr="00EF7F33">
              <w:rPr>
                <w:rFonts w:ascii="Times New Roman" w:hAnsi="Times New Roman"/>
                <w:sz w:val="24"/>
              </w:rPr>
              <w:t>trebno primijeniti određena je razinom stvarnog tromjesečnog prosječnog viška raspona.</w:t>
            </w:r>
          </w:p>
          <w:p w:rsidR="00612780" w:rsidRPr="00EF7F33" w:rsidRDefault="00612780" w:rsidP="00612780">
            <w:pPr>
              <w:tabs>
                <w:tab w:val="left" w:pos="5828"/>
              </w:tabs>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slučaju sekuritizacija obveza, ovaj se stupac ne iskazuje. Navedena je info</w:t>
            </w:r>
            <w:r w:rsidRPr="00EF7F33">
              <w:rPr>
                <w:rFonts w:ascii="Times New Roman" w:hAnsi="Times New Roman"/>
                <w:sz w:val="24"/>
              </w:rPr>
              <w:t>r</w:t>
            </w:r>
            <w:r w:rsidRPr="00EF7F33">
              <w:rPr>
                <w:rFonts w:ascii="Times New Roman" w:hAnsi="Times New Roman"/>
                <w:sz w:val="24"/>
              </w:rPr>
              <w:t>macija povezana s retkom 100 u obrascu CR SEC SA i retku 160 u obrascu CR SEC IRB.</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420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 VRIJEDNOST IZLOŽENOSTI KOJA PREDSTAVLJA ODBITNU STAVKU OD REGULATORNOG KAPITALA</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Navedena je informacija usko povezana sa stupcem 200 u obrascu CR SEC SA i stupcem 180 u obrascu CR SEC IRB.</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ovom se stupcu iskazuje negativna vrijednost.</w:t>
            </w:r>
          </w:p>
          <w:p w:rsidR="00612780" w:rsidRPr="00EF7F33" w:rsidRDefault="00612780" w:rsidP="00612780">
            <w:pPr>
              <w:spacing w:before="0" w:after="0"/>
              <w:jc w:val="left"/>
              <w:rPr>
                <w:rFonts w:ascii="Times New Roman" w:hAnsi="Times New Roman"/>
                <w:sz w:val="24"/>
              </w:rPr>
            </w:pPr>
          </w:p>
        </w:tc>
      </w:tr>
      <w:tr w:rsidR="00612780" w:rsidRPr="00EF7F33" w:rsidTr="00672D2A">
        <w:tc>
          <w:tcPr>
            <w:tcW w:w="1101" w:type="dxa"/>
          </w:tcPr>
          <w:p w:rsidR="00612780" w:rsidRPr="00EF7F33" w:rsidDel="00304CB1"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t>430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 IZLOŽENOSTI PONDERIRAN RIZIKOM PRIJE PRIMJENE GORNJE GRANICE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U ovom se stupcu prikupljaju informacije o iznosu izloženosti ponderiranom rizikom prije primjene gornje granice koji se primjenjuje na sekuritizacijske </w:t>
            </w:r>
            <w:r w:rsidRPr="00EF7F33">
              <w:rPr>
                <w:rFonts w:ascii="Times New Roman" w:hAnsi="Times New Roman"/>
                <w:sz w:val="24"/>
              </w:rPr>
              <w:lastRenderedPageBreak/>
              <w:t>pozicije (tj. u slučaju sekuritizacijskih struktura s prijenosom značajnog rizika). U slučaju sekuritizacijskih struktura bez prijenosa značajnog rizika (tj. iznosa izloženosti ponderiranog rizikom izračunanog prema sekuritiziranim izloženo</w:t>
            </w:r>
            <w:r w:rsidRPr="00EF7F33">
              <w:rPr>
                <w:rFonts w:ascii="Times New Roman" w:hAnsi="Times New Roman"/>
                <w:sz w:val="24"/>
              </w:rPr>
              <w:t>s</w:t>
            </w:r>
            <w:r w:rsidRPr="00EF7F33">
              <w:rPr>
                <w:rFonts w:ascii="Times New Roman" w:hAnsi="Times New Roman"/>
                <w:sz w:val="24"/>
              </w:rPr>
              <w:t>tima), u ovom se stupcu ne iskazuju nikakvi podaci.</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sz w:val="24"/>
              </w:rPr>
              <w:t xml:space="preserve">U slučaju sekuritizacija obveza, ovaj se stupac ne iskazuje. </w:t>
            </w:r>
          </w:p>
        </w:tc>
      </w:tr>
      <w:tr w:rsidR="00612780" w:rsidRPr="00EF7F33" w:rsidTr="00672D2A">
        <w:tc>
          <w:tcPr>
            <w:tcW w:w="1101" w:type="dxa"/>
          </w:tcPr>
          <w:p w:rsidR="00612780" w:rsidRPr="00EF7F33" w:rsidRDefault="00612780" w:rsidP="00612780">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440</w:t>
            </w:r>
          </w:p>
        </w:tc>
        <w:tc>
          <w:tcPr>
            <w:tcW w:w="7903" w:type="dxa"/>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UKUPAN IZNOS IZLOŽENOSTI PONDERIRAN RIZIKOM NAKON PRIMJENE GORNJE GRANICE</w:t>
            </w:r>
          </w:p>
          <w:p w:rsidR="00612780" w:rsidRPr="00EF7F33" w:rsidRDefault="00612780" w:rsidP="00612780">
            <w:pPr>
              <w:spacing w:before="0" w:after="0"/>
              <w:jc w:val="left"/>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U ovom se stupcu prikupljaju informacije o iznosu izloženosti ponderiranom rizikom nakon primjene gornje granice koji se primjenjuje na sekuritizacijske pozicije (tj. u slučaju sekuritizacijskih struktura s prijenosom značajnog rizika). U slučaju sekuritizacijskih struktura bez prijenosa značajnog rizika (tj. kapita</w:t>
            </w:r>
            <w:r w:rsidRPr="00EF7F33">
              <w:rPr>
                <w:rFonts w:ascii="Times New Roman" w:hAnsi="Times New Roman"/>
                <w:sz w:val="24"/>
              </w:rPr>
              <w:t>l</w:t>
            </w:r>
            <w:r w:rsidRPr="00EF7F33">
              <w:rPr>
                <w:rFonts w:ascii="Times New Roman" w:hAnsi="Times New Roman"/>
                <w:sz w:val="24"/>
              </w:rPr>
              <w:t>nih zahtjeva izračunanih prema sekuritiziranim izloženostima), u ovom se stu</w:t>
            </w:r>
            <w:r w:rsidRPr="00EF7F33">
              <w:rPr>
                <w:rFonts w:ascii="Times New Roman" w:hAnsi="Times New Roman"/>
                <w:sz w:val="24"/>
              </w:rPr>
              <w:t>p</w:t>
            </w:r>
            <w:r w:rsidRPr="00EF7F33">
              <w:rPr>
                <w:rFonts w:ascii="Times New Roman" w:hAnsi="Times New Roman"/>
                <w:sz w:val="24"/>
              </w:rPr>
              <w:t>cu ne iskazuju nikakvi podaci.</w:t>
            </w:r>
          </w:p>
          <w:p w:rsidR="00612780" w:rsidRPr="00EF7F33" w:rsidRDefault="00612780" w:rsidP="00612780">
            <w:pPr>
              <w:spacing w:before="0" w:after="0"/>
              <w:rPr>
                <w:rFonts w:ascii="Times New Roman" w:hAnsi="Times New Roman"/>
                <w:sz w:val="24"/>
              </w:rPr>
            </w:pPr>
          </w:p>
          <w:p w:rsidR="00612780" w:rsidRPr="00EF7F33" w:rsidRDefault="00612780" w:rsidP="00612780">
            <w:pPr>
              <w:spacing w:before="0" w:after="0"/>
              <w:rPr>
                <w:rFonts w:ascii="Times New Roman" w:hAnsi="Times New Roman"/>
                <w:sz w:val="24"/>
              </w:rPr>
            </w:pPr>
            <w:r w:rsidRPr="00EF7F33">
              <w:rPr>
                <w:rFonts w:ascii="Times New Roman" w:hAnsi="Times New Roman"/>
                <w:sz w:val="24"/>
              </w:rPr>
              <w:t xml:space="preserve">U slučaju sekuritizacija obveza, ovaj se stupac ne iskazuje. </w:t>
            </w:r>
          </w:p>
          <w:p w:rsidR="00612780" w:rsidRPr="00EF7F33" w:rsidRDefault="00612780" w:rsidP="00612780">
            <w:pPr>
              <w:spacing w:before="0" w:after="0"/>
              <w:jc w:val="left"/>
              <w:rPr>
                <w:rFonts w:ascii="Times New Roman" w:hAnsi="Times New Roman"/>
                <w:sz w:val="24"/>
              </w:rPr>
            </w:pPr>
          </w:p>
        </w:tc>
      </w:tr>
      <w:tr w:rsidR="008726CA" w:rsidRPr="00EF7F33" w:rsidTr="00672D2A">
        <w:tc>
          <w:tcPr>
            <w:tcW w:w="1101" w:type="dxa"/>
          </w:tcPr>
          <w:p w:rsidR="008726CA" w:rsidRPr="00EF7F33" w:rsidRDefault="008726CA"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445</w:t>
            </w:r>
          </w:p>
        </w:tc>
        <w:tc>
          <w:tcPr>
            <w:tcW w:w="7903" w:type="dxa"/>
          </w:tcPr>
          <w:p w:rsidR="008726CA" w:rsidRPr="00EF7F33" w:rsidRDefault="008726CA" w:rsidP="00612780">
            <w:pPr>
              <w:spacing w:before="0" w:after="0"/>
              <w:jc w:val="left"/>
              <w:rPr>
                <w:rFonts w:ascii="Times New Roman" w:hAnsi="Times New Roman"/>
                <w:b/>
                <w:sz w:val="24"/>
                <w:u w:val="single"/>
              </w:rPr>
            </w:pPr>
            <w:r w:rsidRPr="00EF7F33">
              <w:rPr>
                <w:rFonts w:ascii="Times New Roman" w:hAnsi="Times New Roman"/>
                <w:b/>
                <w:sz w:val="24"/>
                <w:u w:val="single"/>
              </w:rPr>
              <w:t xml:space="preserve">PRISTUP </w:t>
            </w:r>
          </w:p>
          <w:p w:rsidR="008726CA" w:rsidRPr="00EF7F33" w:rsidRDefault="008726CA" w:rsidP="00612780">
            <w:pPr>
              <w:spacing w:before="0" w:after="0"/>
              <w:jc w:val="left"/>
              <w:rPr>
                <w:rFonts w:ascii="Times New Roman" w:hAnsi="Times New Roman"/>
                <w:sz w:val="24"/>
              </w:rPr>
            </w:pPr>
          </w:p>
          <w:p w:rsidR="00CE4C49" w:rsidRPr="00EF7F33" w:rsidRDefault="00CE4C49" w:rsidP="00612780">
            <w:pPr>
              <w:spacing w:before="0" w:after="0"/>
              <w:jc w:val="left"/>
              <w:rPr>
                <w:rFonts w:ascii="Times New Roman" w:hAnsi="Times New Roman"/>
                <w:sz w:val="24"/>
              </w:rPr>
            </w:pPr>
            <w:r w:rsidRPr="00EF7F33">
              <w:rPr>
                <w:rFonts w:ascii="Times New Roman" w:hAnsi="Times New Roman"/>
                <w:sz w:val="24"/>
              </w:rPr>
              <w:t>U ovom se stupcu iskazuje pristup za određivanje ukupnog iznosa izloženosti riziku kako je iskazan u stupcu 440.</w:t>
            </w:r>
          </w:p>
          <w:p w:rsidR="00CE4C49" w:rsidRPr="00EF7F33" w:rsidRDefault="00CE4C49" w:rsidP="00612780">
            <w:pPr>
              <w:spacing w:before="0" w:after="0"/>
              <w:jc w:val="left"/>
              <w:rPr>
                <w:rFonts w:ascii="Times New Roman" w:hAnsi="Times New Roman"/>
                <w:sz w:val="24"/>
              </w:rPr>
            </w:pPr>
          </w:p>
          <w:p w:rsidR="008726CA" w:rsidRPr="00EF7F33" w:rsidRDefault="00CE4C49" w:rsidP="00612780">
            <w:pPr>
              <w:spacing w:before="0" w:after="0"/>
              <w:jc w:val="left"/>
              <w:rPr>
                <w:rFonts w:ascii="Times New Roman" w:hAnsi="Times New Roman"/>
                <w:sz w:val="24"/>
              </w:rPr>
            </w:pPr>
            <w:r w:rsidRPr="00EF7F33">
              <w:rPr>
                <w:rFonts w:ascii="Times New Roman" w:hAnsi="Times New Roman"/>
                <w:sz w:val="24"/>
              </w:rPr>
              <w:t>Pristup je jedan od sljedećih:</w:t>
            </w:r>
          </w:p>
          <w:p w:rsidR="008726CA" w:rsidRPr="00EF7F33" w:rsidRDefault="008726CA" w:rsidP="00612780">
            <w:pPr>
              <w:spacing w:before="0" w:after="0"/>
              <w:jc w:val="left"/>
              <w:rPr>
                <w:rFonts w:ascii="Times New Roman" w:hAnsi="Times New Roman"/>
                <w:sz w:val="24"/>
              </w:rPr>
            </w:pPr>
          </w:p>
          <w:p w:rsidR="008726CA" w:rsidRPr="00EF7F33" w:rsidRDefault="008726CA" w:rsidP="00612780">
            <w:pPr>
              <w:spacing w:before="0" w:after="0"/>
              <w:jc w:val="left"/>
              <w:rPr>
                <w:rFonts w:ascii="Times New Roman" w:hAnsi="Times New Roman"/>
                <w:i/>
                <w:sz w:val="24"/>
              </w:rPr>
            </w:pPr>
            <w:r w:rsidRPr="00EF7F33">
              <w:rPr>
                <w:rFonts w:ascii="Times New Roman" w:hAnsi="Times New Roman"/>
                <w:i/>
                <w:sz w:val="24"/>
              </w:rPr>
              <w:t>Za sekuritizacijske pozicije čiji se iznosi izloženosti ponderirani rizikom izrač</w:t>
            </w:r>
            <w:r w:rsidRPr="00EF7F33">
              <w:rPr>
                <w:rFonts w:ascii="Times New Roman" w:hAnsi="Times New Roman"/>
                <w:i/>
                <w:sz w:val="24"/>
              </w:rPr>
              <w:t>u</w:t>
            </w:r>
            <w:r w:rsidRPr="00EF7F33">
              <w:rPr>
                <w:rFonts w:ascii="Times New Roman" w:hAnsi="Times New Roman"/>
                <w:i/>
                <w:sz w:val="24"/>
              </w:rPr>
              <w:t>navaju u skladu s CRR-om u verziji primjenjivoj na dan 31. prosinca 2018</w:t>
            </w:r>
          </w:p>
          <w:p w:rsidR="008726CA" w:rsidRPr="00EF7F33" w:rsidRDefault="00936395" w:rsidP="006B4AC8">
            <w:pPr>
              <w:pStyle w:val="ListParagraph"/>
              <w:numPr>
                <w:ilvl w:val="0"/>
                <w:numId w:val="38"/>
              </w:numPr>
              <w:spacing w:before="0" w:after="0"/>
              <w:jc w:val="left"/>
              <w:rPr>
                <w:rFonts w:ascii="Times New Roman" w:hAnsi="Times New Roman"/>
                <w:b/>
                <w:sz w:val="24"/>
                <w:u w:val="single"/>
              </w:rPr>
            </w:pPr>
            <w:r w:rsidRPr="00EF7F33">
              <w:rPr>
                <w:rFonts w:ascii="Times New Roman" w:hAnsi="Times New Roman"/>
                <w:sz w:val="24"/>
              </w:rPr>
              <w:t>Ostalo (izvorni sekuritizacijski okvir)</w:t>
            </w:r>
          </w:p>
          <w:p w:rsidR="008726CA" w:rsidRPr="00EF7F33" w:rsidRDefault="008726CA" w:rsidP="008726CA">
            <w:pPr>
              <w:spacing w:before="0" w:after="0"/>
              <w:jc w:val="left"/>
              <w:rPr>
                <w:rFonts w:ascii="Times New Roman" w:hAnsi="Times New Roman"/>
                <w:b/>
                <w:sz w:val="24"/>
                <w:u w:val="single"/>
              </w:rPr>
            </w:pPr>
          </w:p>
          <w:p w:rsidR="008726CA" w:rsidRPr="00EF7F33" w:rsidRDefault="002F1163" w:rsidP="008726CA">
            <w:pPr>
              <w:autoSpaceDE w:val="0"/>
              <w:autoSpaceDN w:val="0"/>
              <w:adjustRightInd w:val="0"/>
              <w:spacing w:before="0" w:after="0"/>
              <w:jc w:val="left"/>
              <w:rPr>
                <w:rFonts w:ascii="Times New Roman" w:hAnsi="Times New Roman"/>
                <w:i/>
                <w:sz w:val="24"/>
              </w:rPr>
            </w:pPr>
            <w:r w:rsidRPr="00EF7F33">
              <w:rPr>
                <w:rFonts w:ascii="Times New Roman" w:hAnsi="Times New Roman"/>
                <w:i/>
                <w:sz w:val="24"/>
              </w:rPr>
              <w:t>Na referentne datume izvješćivanja koji slijede nakon 1. siječnja 2019. za sek</w:t>
            </w:r>
            <w:r w:rsidRPr="00EF7F33">
              <w:rPr>
                <w:rFonts w:ascii="Times New Roman" w:hAnsi="Times New Roman"/>
                <w:i/>
                <w:sz w:val="24"/>
              </w:rPr>
              <w:t>u</w:t>
            </w:r>
            <w:r w:rsidRPr="00EF7F33">
              <w:rPr>
                <w:rFonts w:ascii="Times New Roman" w:hAnsi="Times New Roman"/>
                <w:i/>
                <w:sz w:val="24"/>
              </w:rPr>
              <w:t>ritizacijske pozicije čiji se iznosi izloženosti ponderirani rizikom izračunavaju u skladu s CRR-om:</w:t>
            </w:r>
          </w:p>
          <w:p w:rsidR="008726CA" w:rsidRPr="00EF7F33"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SEC-IRBA</w:t>
            </w:r>
          </w:p>
          <w:p w:rsidR="008726CA" w:rsidRPr="00EF7F33"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SEC-SA</w:t>
            </w:r>
          </w:p>
          <w:p w:rsidR="00B36EAA" w:rsidRPr="00EF7F33"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SEC-ERBA</w:t>
            </w:r>
          </w:p>
          <w:p w:rsidR="008726CA" w:rsidRPr="00EF7F33"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PRISTUP INTERNE PROCJENE</w:t>
            </w:r>
          </w:p>
          <w:p w:rsidR="00C64027" w:rsidRPr="00EF7F33"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1250 % za pozicije na koje se ne primjenjuje nijedna metoda (članak 254. stavak 7. CRR-a)</w:t>
            </w:r>
          </w:p>
          <w:p w:rsidR="006B4AC8" w:rsidRPr="00EF7F33"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sidRPr="00EF7F33">
              <w:rPr>
                <w:rFonts w:ascii="Times New Roman" w:hAnsi="Times New Roman"/>
                <w:sz w:val="24"/>
              </w:rPr>
              <w:t>Višestruki pristupi</w:t>
            </w:r>
          </w:p>
          <w:p w:rsidR="008726CA" w:rsidRPr="00EF7F33" w:rsidRDefault="008726CA" w:rsidP="006B4AC8">
            <w:pPr>
              <w:autoSpaceDE w:val="0"/>
              <w:autoSpaceDN w:val="0"/>
              <w:adjustRightInd w:val="0"/>
              <w:spacing w:before="0" w:after="0"/>
              <w:jc w:val="left"/>
              <w:rPr>
                <w:rFonts w:ascii="Times New Roman" w:hAnsi="Times New Roman"/>
                <w:sz w:val="24"/>
              </w:rPr>
            </w:pPr>
            <w:r w:rsidRPr="00EF7F33">
              <w:rPr>
                <w:rFonts w:ascii="Times New Roman" w:hAnsi="Times New Roman"/>
                <w:sz w:val="24"/>
              </w:rPr>
              <w:t>U skladu s određivanjem pondera rizika u skladu s člankom 337. CRR-a, pri</w:t>
            </w:r>
            <w:r w:rsidRPr="00EF7F33">
              <w:rPr>
                <w:rFonts w:ascii="Times New Roman" w:hAnsi="Times New Roman"/>
                <w:sz w:val="24"/>
              </w:rPr>
              <w:t>s</w:t>
            </w:r>
            <w:r w:rsidRPr="00EF7F33">
              <w:rPr>
                <w:rFonts w:ascii="Times New Roman" w:hAnsi="Times New Roman"/>
                <w:sz w:val="24"/>
              </w:rPr>
              <w:t>tup se za instrumente u knjizi trgovanja koji predstavljaju sekuritizacijske poz</w:t>
            </w:r>
            <w:r w:rsidRPr="00EF7F33">
              <w:rPr>
                <w:rFonts w:ascii="Times New Roman" w:hAnsi="Times New Roman"/>
                <w:sz w:val="24"/>
              </w:rPr>
              <w:t>i</w:t>
            </w:r>
            <w:r w:rsidRPr="00EF7F33">
              <w:rPr>
                <w:rFonts w:ascii="Times New Roman" w:hAnsi="Times New Roman"/>
                <w:sz w:val="24"/>
              </w:rPr>
              <w:t>cije pristup određuje kao pristup koji bi institucija primijenila na poziciju u sv</w:t>
            </w:r>
            <w:r w:rsidRPr="00EF7F33">
              <w:rPr>
                <w:rFonts w:ascii="Times New Roman" w:hAnsi="Times New Roman"/>
                <w:sz w:val="24"/>
              </w:rPr>
              <w:t>o</w:t>
            </w:r>
            <w:r w:rsidRPr="00EF7F33">
              <w:rPr>
                <w:rFonts w:ascii="Times New Roman" w:hAnsi="Times New Roman"/>
                <w:sz w:val="24"/>
              </w:rPr>
              <w:t>joj knjizi pozicija kojima se ne trguje.</w:t>
            </w:r>
          </w:p>
          <w:p w:rsidR="006B4AC8" w:rsidRPr="00EF7F33" w:rsidRDefault="006B4AC8" w:rsidP="006B4AC8">
            <w:pPr>
              <w:autoSpaceDE w:val="0"/>
              <w:autoSpaceDN w:val="0"/>
              <w:adjustRightInd w:val="0"/>
              <w:spacing w:before="0" w:after="0"/>
              <w:jc w:val="left"/>
              <w:rPr>
                <w:rFonts w:ascii="Times New Roman" w:hAnsi="Times New Roman"/>
                <w:sz w:val="24"/>
              </w:rPr>
            </w:pPr>
            <w:r w:rsidRPr="00EF7F33">
              <w:rPr>
                <w:rFonts w:ascii="Times New Roman" w:hAnsi="Times New Roman"/>
                <w:sz w:val="24"/>
              </w:rPr>
              <w:t>„Višestruki pristupi” primjenjuju se ako je institucija uključena ili izložena s</w:t>
            </w:r>
            <w:r w:rsidRPr="00EF7F33">
              <w:rPr>
                <w:rFonts w:ascii="Times New Roman" w:hAnsi="Times New Roman"/>
                <w:sz w:val="24"/>
              </w:rPr>
              <w:t>e</w:t>
            </w:r>
            <w:r w:rsidRPr="00EF7F33">
              <w:rPr>
                <w:rFonts w:ascii="Times New Roman" w:hAnsi="Times New Roman"/>
                <w:sz w:val="24"/>
              </w:rPr>
              <w:t>kuritizacijskoj transakciji na višestruke načine i ako primjenjuje različite pri</w:t>
            </w:r>
            <w:r w:rsidRPr="00EF7F33">
              <w:rPr>
                <w:rFonts w:ascii="Times New Roman" w:hAnsi="Times New Roman"/>
                <w:sz w:val="24"/>
              </w:rPr>
              <w:t>s</w:t>
            </w:r>
            <w:r w:rsidRPr="00EF7F33">
              <w:rPr>
                <w:rFonts w:ascii="Times New Roman" w:hAnsi="Times New Roman"/>
                <w:sz w:val="24"/>
              </w:rPr>
              <w:t>tupe izračunu kapitalnih zahtjeva u svojim različitim ulogama ili za različite i</w:t>
            </w:r>
            <w:r w:rsidRPr="00EF7F33">
              <w:rPr>
                <w:rFonts w:ascii="Times New Roman" w:hAnsi="Times New Roman"/>
                <w:sz w:val="24"/>
              </w:rPr>
              <w:t>z</w:t>
            </w:r>
            <w:r w:rsidRPr="00EF7F33">
              <w:rPr>
                <w:rFonts w:ascii="Times New Roman" w:hAnsi="Times New Roman"/>
                <w:sz w:val="24"/>
              </w:rPr>
              <w:t xml:space="preserve">loženosti.  </w:t>
            </w:r>
          </w:p>
          <w:p w:rsidR="008726CA" w:rsidRPr="00EF7F33" w:rsidRDefault="008726CA" w:rsidP="00612780">
            <w:pPr>
              <w:spacing w:before="0" w:after="0"/>
              <w:jc w:val="left"/>
              <w:rPr>
                <w:rFonts w:ascii="Times New Roman" w:hAnsi="Times New Roman"/>
                <w:b/>
                <w:sz w:val="24"/>
                <w:u w:val="single"/>
              </w:rPr>
            </w:pPr>
          </w:p>
        </w:tc>
      </w:tr>
      <w:tr w:rsidR="006B4AC8" w:rsidRPr="00EF7F33" w:rsidTr="00672D2A">
        <w:tc>
          <w:tcPr>
            <w:tcW w:w="1101" w:type="dxa"/>
          </w:tcPr>
          <w:p w:rsidR="006B4AC8" w:rsidRPr="00EF7F33" w:rsidRDefault="006B4AC8"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446</w:t>
            </w:r>
          </w:p>
        </w:tc>
        <w:tc>
          <w:tcPr>
            <w:tcW w:w="7903" w:type="dxa"/>
          </w:tcPr>
          <w:p w:rsidR="006B4AC8" w:rsidRPr="00EF7F33" w:rsidRDefault="006B4AC8" w:rsidP="009A1A9B">
            <w:pPr>
              <w:spacing w:before="0" w:after="0"/>
              <w:jc w:val="left"/>
              <w:rPr>
                <w:rFonts w:ascii="Times New Roman" w:hAnsi="Times New Roman"/>
                <w:b/>
                <w:sz w:val="24"/>
                <w:u w:val="single"/>
              </w:rPr>
            </w:pPr>
            <w:r w:rsidRPr="00EF7F33">
              <w:rPr>
                <w:rFonts w:ascii="Times New Roman" w:hAnsi="Times New Roman"/>
                <w:b/>
                <w:sz w:val="24"/>
                <w:u w:val="single"/>
              </w:rPr>
              <w:t>SEKURITIZACIJE KOJE ISPUNJUJU UVJETE ZA RAZLIČIT TR</w:t>
            </w:r>
            <w:r w:rsidRPr="00EF7F33">
              <w:rPr>
                <w:rFonts w:ascii="Times New Roman" w:hAnsi="Times New Roman"/>
                <w:b/>
                <w:sz w:val="24"/>
                <w:u w:val="single"/>
              </w:rPr>
              <w:t>E</w:t>
            </w:r>
            <w:r w:rsidRPr="00EF7F33">
              <w:rPr>
                <w:rFonts w:ascii="Times New Roman" w:hAnsi="Times New Roman"/>
                <w:b/>
                <w:sz w:val="24"/>
                <w:u w:val="single"/>
              </w:rPr>
              <w:t>TMAN KAPITALA</w:t>
            </w:r>
          </w:p>
          <w:p w:rsidR="006B4AC8" w:rsidRPr="00EF7F33" w:rsidRDefault="006B4AC8" w:rsidP="009A1A9B">
            <w:pPr>
              <w:spacing w:before="0" w:after="0"/>
              <w:jc w:val="left"/>
              <w:rPr>
                <w:rFonts w:ascii="Times New Roman" w:hAnsi="Times New Roman"/>
                <w:sz w:val="24"/>
              </w:rPr>
            </w:pPr>
          </w:p>
          <w:p w:rsidR="006B4AC8" w:rsidRPr="00EF7F33" w:rsidRDefault="004D2753" w:rsidP="009A1A9B">
            <w:pPr>
              <w:spacing w:before="0" w:after="0"/>
              <w:jc w:val="left"/>
              <w:rPr>
                <w:rFonts w:ascii="Times New Roman" w:hAnsi="Times New Roman"/>
                <w:sz w:val="24"/>
              </w:rPr>
            </w:pPr>
            <w:r w:rsidRPr="00EF7F33">
              <w:rPr>
                <w:rFonts w:ascii="Times New Roman" w:hAnsi="Times New Roman"/>
                <w:sz w:val="24"/>
              </w:rPr>
              <w:t>Na referentne datume izvješćivanja koji slijede nakon 1. siječnja 2019. članci 243. i 270. CRR-a</w:t>
            </w:r>
          </w:p>
          <w:p w:rsidR="006B4AC8" w:rsidRPr="00EF7F33" w:rsidRDefault="006B4AC8" w:rsidP="009A1A9B">
            <w:pPr>
              <w:spacing w:before="0" w:after="0"/>
              <w:jc w:val="left"/>
              <w:rPr>
                <w:rFonts w:ascii="Times New Roman" w:hAnsi="Times New Roman"/>
                <w:sz w:val="24"/>
              </w:rPr>
            </w:pPr>
          </w:p>
          <w:p w:rsidR="006B4AC8" w:rsidRPr="00EF7F33" w:rsidRDefault="006B4AC8" w:rsidP="009A1A9B">
            <w:pPr>
              <w:spacing w:before="0" w:after="0"/>
              <w:jc w:val="left"/>
              <w:rPr>
                <w:rFonts w:ascii="Times New Roman" w:hAnsi="Times New Roman"/>
                <w:sz w:val="24"/>
              </w:rPr>
            </w:pPr>
            <w:r w:rsidRPr="00EF7F33">
              <w:rPr>
                <w:rFonts w:ascii="Times New Roman" w:hAnsi="Times New Roman"/>
                <w:sz w:val="24"/>
              </w:rPr>
              <w:t>Iskazuje se jedna od sljedećih kratica:</w:t>
            </w:r>
          </w:p>
          <w:p w:rsidR="00261B63" w:rsidRPr="00EF7F33" w:rsidRDefault="006B4AC8" w:rsidP="009A1A9B">
            <w:pPr>
              <w:spacing w:before="0" w:after="0"/>
              <w:jc w:val="left"/>
              <w:rPr>
                <w:rFonts w:ascii="Times New Roman" w:hAnsi="Times New Roman"/>
                <w:sz w:val="24"/>
              </w:rPr>
            </w:pPr>
            <w:r w:rsidRPr="00EF7F33">
              <w:rPr>
                <w:rFonts w:ascii="Times New Roman" w:hAnsi="Times New Roman"/>
                <w:sz w:val="24"/>
              </w:rPr>
              <w:t>Y</w:t>
            </w:r>
            <w:r w:rsidRPr="00EF7F33">
              <w:tab/>
            </w:r>
            <w:r w:rsidRPr="00EF7F33">
              <w:rPr>
                <w:rFonts w:ascii="Times New Roman" w:hAnsi="Times New Roman"/>
                <w:sz w:val="24"/>
              </w:rPr>
              <w:t>– Da</w:t>
            </w:r>
          </w:p>
          <w:p w:rsidR="006B4AC8" w:rsidRPr="00EF7F33" w:rsidRDefault="006B4AC8" w:rsidP="009A1A9B">
            <w:pPr>
              <w:spacing w:before="0" w:after="0"/>
              <w:jc w:val="left"/>
              <w:rPr>
                <w:rFonts w:ascii="Times New Roman" w:hAnsi="Times New Roman"/>
                <w:sz w:val="24"/>
              </w:rPr>
            </w:pPr>
            <w:r w:rsidRPr="00EF7F33">
              <w:rPr>
                <w:rFonts w:ascii="Times New Roman" w:hAnsi="Times New Roman"/>
                <w:sz w:val="24"/>
              </w:rPr>
              <w:t>N</w:t>
            </w:r>
            <w:r w:rsidRPr="00EF7F33">
              <w:tab/>
            </w:r>
            <w:r w:rsidRPr="00EF7F33">
              <w:rPr>
                <w:rFonts w:ascii="Times New Roman" w:hAnsi="Times New Roman"/>
                <w:sz w:val="24"/>
              </w:rPr>
              <w:t>– Ne</w:t>
            </w:r>
          </w:p>
          <w:p w:rsidR="00640475" w:rsidRPr="00EF7F33" w:rsidRDefault="00640475" w:rsidP="009A1A9B">
            <w:pPr>
              <w:spacing w:before="0" w:after="0"/>
              <w:jc w:val="left"/>
              <w:rPr>
                <w:rFonts w:ascii="Times New Roman" w:hAnsi="Times New Roman"/>
                <w:b/>
                <w:sz w:val="24"/>
                <w:u w:val="single"/>
              </w:rPr>
            </w:pPr>
          </w:p>
          <w:p w:rsidR="00261B63" w:rsidRPr="00EF7F33" w:rsidRDefault="00261B63" w:rsidP="002B5F2D">
            <w:pPr>
              <w:spacing w:before="0" w:after="0"/>
              <w:jc w:val="left"/>
              <w:rPr>
                <w:rFonts w:ascii="Times New Roman" w:hAnsi="Times New Roman"/>
                <w:b/>
                <w:sz w:val="24"/>
                <w:u w:val="single"/>
              </w:rPr>
            </w:pPr>
            <w:r w:rsidRPr="00EF7F33">
              <w:rPr>
                <w:rFonts w:ascii="Times New Roman" w:hAnsi="Times New Roman"/>
                <w:sz w:val="24"/>
              </w:rPr>
              <w:t>„Da” se iskazuje u slučaju STS sekuritizacija koje ispunjuju uvjete za različit tretman kapitala u skladu s člankom 243. CRR-a i u slučaju nadređenih pozicija u sekuritizacijama kredita za MSP-ove (sekuritizacije koje nisu STS sekuritiz</w:t>
            </w:r>
            <w:r w:rsidRPr="00EF7F33">
              <w:rPr>
                <w:rFonts w:ascii="Times New Roman" w:hAnsi="Times New Roman"/>
                <w:sz w:val="24"/>
              </w:rPr>
              <w:t>a</w:t>
            </w:r>
            <w:r w:rsidRPr="00EF7F33">
              <w:rPr>
                <w:rFonts w:ascii="Times New Roman" w:hAnsi="Times New Roman"/>
                <w:sz w:val="24"/>
              </w:rPr>
              <w:t>cije) koje ispunjuju uvjete za ovaj tretman u skladu s člankom 270. CRR-a.</w:t>
            </w:r>
          </w:p>
        </w:tc>
      </w:tr>
      <w:tr w:rsidR="00612780" w:rsidRPr="00EF7F33" w:rsidTr="00672D2A">
        <w:tc>
          <w:tcPr>
            <w:tcW w:w="1101" w:type="dxa"/>
            <w:shd w:val="clear" w:color="auto" w:fill="auto"/>
          </w:tcPr>
          <w:p w:rsidR="00612780" w:rsidRPr="00EF7F33"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450-510</w:t>
            </w:r>
          </w:p>
        </w:tc>
        <w:tc>
          <w:tcPr>
            <w:tcW w:w="7903" w:type="dxa"/>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SEKURITIZACIJSKE POZICIJE – KNJIGA TRGOVANJA</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Del="00304CB1"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RDefault="00612780" w:rsidP="00612780">
            <w:pPr>
              <w:spacing w:before="0" w:after="0"/>
              <w:jc w:val="left"/>
              <w:rPr>
                <w:rFonts w:ascii="Times New Roman" w:hAnsi="Times New Roman"/>
                <w:b/>
                <w:sz w:val="24"/>
                <w:u w:val="single"/>
              </w:rPr>
            </w:pPr>
            <w:r w:rsidRPr="00EF7F33">
              <w:rPr>
                <w:rFonts w:ascii="Times New Roman" w:hAnsi="Times New Roman"/>
                <w:b/>
                <w:sz w:val="24"/>
                <w:u w:val="single"/>
              </w:rPr>
              <w:t>KORELACIJSKI PORTFELJ NAMIJENJEN TRGOVANJU ILI K</w:t>
            </w:r>
            <w:r w:rsidRPr="00EF7F33">
              <w:rPr>
                <w:rFonts w:ascii="Times New Roman" w:hAnsi="Times New Roman"/>
                <w:b/>
                <w:sz w:val="24"/>
                <w:u w:val="single"/>
              </w:rPr>
              <w:t>O</w:t>
            </w:r>
            <w:r w:rsidRPr="00EF7F33">
              <w:rPr>
                <w:rFonts w:ascii="Times New Roman" w:hAnsi="Times New Roman"/>
                <w:b/>
                <w:sz w:val="24"/>
                <w:u w:val="single"/>
              </w:rPr>
              <w:t>RELACIJSKI PORTFELJ KOJI NIJE NAMIJENJEN TRGOVANJU?</w:t>
            </w:r>
          </w:p>
          <w:p w:rsidR="00612780" w:rsidRPr="00EF7F33" w:rsidRDefault="00612780" w:rsidP="00612780">
            <w:pPr>
              <w:spacing w:before="0" w:after="0"/>
              <w:jc w:val="left"/>
              <w:rPr>
                <w:rStyle w:val="InstructionsTabelleText"/>
                <w:rFonts w:ascii="Times New Roman" w:hAnsi="Times New Roman"/>
                <w:sz w:val="24"/>
              </w:rPr>
            </w:pPr>
          </w:p>
          <w:p w:rsidR="00612780" w:rsidRPr="00EF7F33" w:rsidRDefault="00612780" w:rsidP="00612780">
            <w:pPr>
              <w:spacing w:before="0" w:after="0"/>
              <w:jc w:val="left"/>
              <w:rPr>
                <w:rStyle w:val="InstructionsTabelleText"/>
                <w:rFonts w:ascii="Times New Roman" w:hAnsi="Times New Roman"/>
                <w:sz w:val="24"/>
              </w:rPr>
            </w:pPr>
            <w:r w:rsidRPr="00EF7F33">
              <w:rPr>
                <w:rStyle w:val="InstructionsTabelleText"/>
                <w:rFonts w:ascii="Times New Roman" w:hAnsi="Times New Roman"/>
                <w:sz w:val="24"/>
              </w:rPr>
              <w:t>Iskazuju se sljedeće kratice:</w:t>
            </w:r>
          </w:p>
          <w:p w:rsidR="00612780" w:rsidRPr="00EF7F33" w:rsidRDefault="00612780" w:rsidP="00612780">
            <w:pPr>
              <w:spacing w:before="0" w:after="0"/>
              <w:jc w:val="left"/>
              <w:rPr>
                <w:rStyle w:val="InstructionsTabelleText"/>
                <w:rFonts w:ascii="Times New Roman" w:hAnsi="Times New Roman"/>
                <w:sz w:val="24"/>
              </w:rPr>
            </w:pPr>
            <w:r w:rsidRPr="00EF7F33">
              <w:rPr>
                <w:rStyle w:val="InstructionsTabelleText"/>
                <w:rFonts w:ascii="Times New Roman" w:hAnsi="Times New Roman"/>
                <w:sz w:val="24"/>
              </w:rPr>
              <w:t>C – korelacijski portfelj namijenjen trgovanju (CTP);</w:t>
            </w:r>
          </w:p>
          <w:p w:rsidR="00612780" w:rsidRPr="00EF7F33" w:rsidRDefault="00612780" w:rsidP="00612780">
            <w:pPr>
              <w:spacing w:before="0" w:after="0"/>
              <w:jc w:val="left"/>
              <w:rPr>
                <w:rStyle w:val="InstructionsTabelleText"/>
                <w:rFonts w:ascii="Times New Roman" w:hAnsi="Times New Roman"/>
                <w:sz w:val="24"/>
              </w:rPr>
            </w:pPr>
            <w:r w:rsidRPr="00EF7F33">
              <w:rPr>
                <w:rStyle w:val="InstructionsTabelleText"/>
                <w:rFonts w:ascii="Times New Roman" w:hAnsi="Times New Roman"/>
                <w:sz w:val="24"/>
              </w:rPr>
              <w:t>N – korelacijski portfelj koji nije namijenjen trgovanju</w:t>
            </w:r>
          </w:p>
          <w:p w:rsidR="00612780" w:rsidRPr="00EF7F33" w:rsidRDefault="00612780" w:rsidP="00612780">
            <w:pPr>
              <w:spacing w:before="0" w:after="0"/>
              <w:jc w:val="left"/>
              <w:rPr>
                <w:rFonts w:ascii="Times New Roman" w:hAnsi="Times New Roman"/>
                <w:b/>
                <w:sz w:val="24"/>
                <w:u w:val="single"/>
              </w:rPr>
            </w:pPr>
          </w:p>
        </w:tc>
      </w:tr>
      <w:tr w:rsidR="00612780" w:rsidRPr="00EF7F33"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Del="00304CB1"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RDefault="00612780" w:rsidP="00612780">
            <w:pPr>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NETO POZICIJE – DUGE/KRATKE</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b/>
                <w:sz w:val="24"/>
                <w:u w:val="single"/>
              </w:rPr>
            </w:pPr>
            <w:r w:rsidRPr="00EF7F33">
              <w:rPr>
                <w:rStyle w:val="InstructionsTabelleText"/>
                <w:rFonts w:ascii="Times New Roman" w:hAnsi="Times New Roman"/>
                <w:sz w:val="24"/>
              </w:rPr>
              <w:t xml:space="preserve">Vidjeti stupce 050/060 obrasca MKR SA SEC odnosno MKR SA CTP. </w:t>
            </w:r>
          </w:p>
        </w:tc>
      </w:tr>
      <w:tr w:rsidR="00612780" w:rsidRPr="00EF7F33"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Del="00304CB1" w:rsidRDefault="00612780" w:rsidP="00612780">
            <w:pPr>
              <w:autoSpaceDE w:val="0"/>
              <w:autoSpaceDN w:val="0"/>
              <w:adjustRightInd w:val="0"/>
              <w:spacing w:before="0" w:after="0"/>
              <w:rPr>
                <w:rFonts w:ascii="Times New Roman" w:hAnsi="Times New Roman"/>
                <w:sz w:val="24"/>
              </w:rPr>
            </w:pPr>
            <w:r w:rsidRPr="00EF7F33">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EF7F33" w:rsidRDefault="00612780" w:rsidP="00612780">
            <w:pPr>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UKUPNI KAPITALNI ZAHTJEVI (STANDARDIZIRANI PRISTUP) – SPECIFIČNI RIZIK</w:t>
            </w:r>
          </w:p>
          <w:p w:rsidR="00612780" w:rsidRPr="00EF7F33" w:rsidRDefault="00612780" w:rsidP="00612780">
            <w:pPr>
              <w:spacing w:before="0" w:after="0"/>
              <w:jc w:val="left"/>
              <w:rPr>
                <w:rFonts w:ascii="Times New Roman" w:hAnsi="Times New Roman"/>
                <w:b/>
                <w:sz w:val="24"/>
                <w:u w:val="single"/>
              </w:rPr>
            </w:pPr>
          </w:p>
          <w:p w:rsidR="00612780" w:rsidRPr="00EF7F33" w:rsidRDefault="00612780" w:rsidP="00612780">
            <w:pPr>
              <w:spacing w:before="0" w:after="0"/>
              <w:jc w:val="left"/>
              <w:rPr>
                <w:rFonts w:ascii="Times New Roman" w:hAnsi="Times New Roman"/>
                <w:b/>
                <w:sz w:val="24"/>
                <w:u w:val="single"/>
              </w:rPr>
            </w:pPr>
            <w:r w:rsidRPr="00EF7F33">
              <w:rPr>
                <w:rStyle w:val="InstructionsTabelleText"/>
                <w:rFonts w:ascii="Times New Roman" w:hAnsi="Times New Roman"/>
                <w:sz w:val="24"/>
              </w:rPr>
              <w:t xml:space="preserve">Vidjeti stupac 610 obrasca MKR SA SEC odnosno stupac 450 obrasca MKR SA CTP. </w:t>
            </w:r>
          </w:p>
        </w:tc>
      </w:tr>
    </w:tbl>
    <w:p w:rsidR="00612780" w:rsidRPr="00EF7F33" w:rsidRDefault="00612780">
      <w:pPr>
        <w:spacing w:before="0" w:after="0"/>
        <w:jc w:val="left"/>
        <w:rPr>
          <w:rStyle w:val="InstructionsTabelleText"/>
          <w:rFonts w:ascii="Times New Roman" w:hAnsi="Times New Roman"/>
          <w:sz w:val="24"/>
        </w:rPr>
      </w:pPr>
    </w:p>
    <w:p w:rsidR="00AC6255" w:rsidRPr="00EF7F33" w:rsidRDefault="00CE4C49" w:rsidP="0023700C">
      <w:pPr>
        <w:pStyle w:val="Instructionsberschrift2"/>
        <w:numPr>
          <w:ilvl w:val="0"/>
          <w:numId w:val="0"/>
        </w:numPr>
        <w:ind w:left="357" w:hanging="357"/>
        <w:rPr>
          <w:rFonts w:ascii="Times New Roman" w:hAnsi="Times New Roman" w:cs="Times New Roman"/>
          <w:sz w:val="24"/>
        </w:rPr>
      </w:pPr>
      <w:bookmarkStart w:id="492" w:name="_Toc260157222"/>
      <w:bookmarkStart w:id="493" w:name="_Toc262566416"/>
      <w:bookmarkStart w:id="494" w:name="_Toc295829987"/>
      <w:bookmarkStart w:id="495" w:name="_Toc310415049"/>
      <w:bookmarkStart w:id="496" w:name="_Toc360188384"/>
      <w:bookmarkStart w:id="497" w:name="_Toc516210670"/>
      <w:bookmarkStart w:id="498" w:name="_Toc473560935"/>
      <w:bookmarkStart w:id="499" w:name="_Toc523998162"/>
      <w:bookmarkStart w:id="500" w:name="_Toc260157223"/>
      <w:bookmarkStart w:id="501" w:name="_Toc262566417"/>
      <w:bookmarkStart w:id="502" w:name="_Toc264038462"/>
      <w:bookmarkStart w:id="503" w:name="_Toc295829988"/>
      <w:bookmarkStart w:id="504" w:name="_Toc310415050"/>
      <w:r w:rsidRPr="00EF7F33">
        <w:rPr>
          <w:rFonts w:ascii="Times New Roman" w:hAnsi="Times New Roman"/>
          <w:sz w:val="24"/>
        </w:rPr>
        <w:t>4.</w:t>
      </w:r>
      <w:r w:rsidRPr="00EF7F33">
        <w:tab/>
      </w:r>
      <w:r w:rsidRPr="00EF7F33">
        <w:rPr>
          <w:rFonts w:ascii="Times New Roman" w:hAnsi="Times New Roman"/>
          <w:sz w:val="24"/>
        </w:rPr>
        <w:t>Obrasci za operativni rizik</w:t>
      </w:r>
      <w:bookmarkEnd w:id="492"/>
      <w:bookmarkEnd w:id="493"/>
      <w:bookmarkEnd w:id="494"/>
      <w:bookmarkEnd w:id="495"/>
      <w:bookmarkEnd w:id="496"/>
      <w:bookmarkEnd w:id="497"/>
      <w:bookmarkEnd w:id="498"/>
      <w:bookmarkEnd w:id="499"/>
    </w:p>
    <w:p w:rsidR="00AC6255" w:rsidRPr="00EF7F33" w:rsidRDefault="00CE4C49" w:rsidP="0023700C">
      <w:pPr>
        <w:pStyle w:val="Instructionsberschrift2"/>
        <w:numPr>
          <w:ilvl w:val="0"/>
          <w:numId w:val="0"/>
        </w:numPr>
        <w:ind w:left="357" w:hanging="357"/>
        <w:rPr>
          <w:rFonts w:ascii="Times New Roman" w:hAnsi="Times New Roman" w:cs="Times New Roman"/>
          <w:sz w:val="24"/>
        </w:rPr>
      </w:pPr>
      <w:bookmarkStart w:id="505" w:name="_Toc360188385"/>
      <w:bookmarkStart w:id="506" w:name="_Toc516210671"/>
      <w:bookmarkStart w:id="507" w:name="_Toc473560936"/>
      <w:bookmarkStart w:id="508" w:name="_Toc523998163"/>
      <w:r w:rsidRPr="00EF7F33">
        <w:rPr>
          <w:rFonts w:ascii="Times New Roman" w:hAnsi="Times New Roman"/>
          <w:sz w:val="24"/>
        </w:rPr>
        <w:t>4.1</w:t>
      </w:r>
      <w:r w:rsidRPr="00EF7F33">
        <w:tab/>
      </w:r>
      <w:r w:rsidRPr="00EF7F33">
        <w:tab/>
      </w:r>
      <w:r w:rsidRPr="00EF7F33">
        <w:rPr>
          <w:rFonts w:ascii="Times New Roman" w:hAnsi="Times New Roman"/>
          <w:sz w:val="24"/>
        </w:rPr>
        <w:t xml:space="preserve">C 16.00 – Operativni rizik </w:t>
      </w:r>
      <w:bookmarkEnd w:id="500"/>
      <w:bookmarkEnd w:id="501"/>
      <w:bookmarkEnd w:id="502"/>
      <w:bookmarkEnd w:id="503"/>
      <w:bookmarkEnd w:id="504"/>
      <w:bookmarkEnd w:id="505"/>
      <w:r w:rsidRPr="00EF7F33">
        <w:rPr>
          <w:rFonts w:ascii="Times New Roman" w:hAnsi="Times New Roman"/>
          <w:sz w:val="24"/>
        </w:rPr>
        <w:t xml:space="preserve"> (OPR)</w:t>
      </w:r>
      <w:bookmarkEnd w:id="506"/>
      <w:bookmarkEnd w:id="507"/>
      <w:bookmarkEnd w:id="508"/>
    </w:p>
    <w:p w:rsidR="00AC6255" w:rsidRPr="00EF7F33" w:rsidRDefault="00CE4C49" w:rsidP="0023700C">
      <w:pPr>
        <w:pStyle w:val="Instructionsberschrift2"/>
        <w:numPr>
          <w:ilvl w:val="0"/>
          <w:numId w:val="0"/>
        </w:numPr>
        <w:ind w:left="357" w:hanging="357"/>
        <w:rPr>
          <w:rFonts w:ascii="Times New Roman" w:hAnsi="Times New Roman" w:cs="Times New Roman"/>
          <w:sz w:val="24"/>
          <w:u w:val="none"/>
        </w:rPr>
      </w:pPr>
      <w:bookmarkStart w:id="509" w:name="_Toc260157224"/>
      <w:bookmarkStart w:id="510" w:name="_Toc262566418"/>
      <w:bookmarkStart w:id="511" w:name="_Toc264038463"/>
      <w:bookmarkStart w:id="512" w:name="_Toc295829989"/>
      <w:bookmarkStart w:id="513" w:name="_Toc310415051"/>
      <w:bookmarkStart w:id="514" w:name="_Toc360188386"/>
      <w:bookmarkStart w:id="515" w:name="_Toc516210672"/>
      <w:bookmarkStart w:id="516" w:name="_Toc473560937"/>
      <w:bookmarkStart w:id="517" w:name="_Toc523998164"/>
      <w:r w:rsidRPr="00EF7F33">
        <w:rPr>
          <w:rFonts w:ascii="Times New Roman" w:hAnsi="Times New Roman"/>
          <w:sz w:val="24"/>
          <w:u w:val="none"/>
        </w:rPr>
        <w:t>4.1.1</w:t>
      </w:r>
      <w:r w:rsidRPr="00EF7F33">
        <w:tab/>
      </w:r>
      <w:r w:rsidRPr="00EF7F33">
        <w:rPr>
          <w:rFonts w:ascii="Times New Roman" w:hAnsi="Times New Roman"/>
          <w:sz w:val="24"/>
          <w:u w:val="none"/>
        </w:rPr>
        <w:t>Opće</w:t>
      </w:r>
      <w:bookmarkEnd w:id="509"/>
      <w:r w:rsidRPr="00EF7F33">
        <w:rPr>
          <w:rFonts w:ascii="Times New Roman" w:hAnsi="Times New Roman"/>
          <w:sz w:val="24"/>
          <w:u w:val="none"/>
        </w:rPr>
        <w:t xml:space="preserve"> napomene</w:t>
      </w:r>
      <w:bookmarkEnd w:id="510"/>
      <w:bookmarkEnd w:id="511"/>
      <w:bookmarkEnd w:id="512"/>
      <w:bookmarkEnd w:id="513"/>
      <w:bookmarkEnd w:id="514"/>
      <w:bookmarkEnd w:id="515"/>
      <w:bookmarkEnd w:id="516"/>
      <w:bookmarkEnd w:id="517"/>
      <w:r w:rsidRPr="00EF7F33">
        <w:rPr>
          <w:rFonts w:ascii="Times New Roman" w:hAnsi="Times New Roman"/>
          <w:sz w:val="24"/>
          <w:u w:val="none"/>
        </w:rPr>
        <w:t xml:space="preserve"> </w:t>
      </w:r>
    </w:p>
    <w:p w:rsidR="00AC6255" w:rsidRPr="00EF7F33" w:rsidRDefault="006660B9" w:rsidP="00C37B29">
      <w:pPr>
        <w:pStyle w:val="InstructionsText2"/>
        <w:numPr>
          <w:ilvl w:val="0"/>
          <w:numId w:val="0"/>
        </w:numPr>
        <w:ind w:left="993"/>
      </w:pPr>
      <w:r w:rsidRPr="00EF7F33">
        <w:t>114.</w:t>
      </w:r>
      <w:r w:rsidRPr="00EF7F33">
        <w:tab/>
        <w:t>U ovom se obrascu nalaze informacije o izračunu kapitalnih zahtjeva u skladu s člancima od 312. do 324. CRR-a za operativni rizik u skladu s jednostavnim prist</w:t>
      </w:r>
      <w:r w:rsidRPr="00EF7F33">
        <w:t>u</w:t>
      </w:r>
      <w:r w:rsidRPr="00EF7F33">
        <w:t>pom, standardiziranim pristupom, alternativnim standardiziranim pristupom i na</w:t>
      </w:r>
      <w:r w:rsidRPr="00EF7F33">
        <w:t>p</w:t>
      </w:r>
      <w:r w:rsidRPr="00EF7F33">
        <w:t>rednim pristupima. Institucija ne može istodobno primijeniti standardizirani i alte</w:t>
      </w:r>
      <w:r w:rsidRPr="00EF7F33">
        <w:t>r</w:t>
      </w:r>
      <w:r w:rsidRPr="00EF7F33">
        <w:t>nativni standardizirani pristup za poslovne linije poslovanja sa stanovništvom ili poslovnog bankarstva na pojedinačnoj razini.</w:t>
      </w:r>
    </w:p>
    <w:p w:rsidR="00AC6255" w:rsidRPr="00EF7F33" w:rsidRDefault="00125707" w:rsidP="00C37B29">
      <w:pPr>
        <w:pStyle w:val="InstructionsText2"/>
        <w:numPr>
          <w:ilvl w:val="0"/>
          <w:numId w:val="0"/>
        </w:numPr>
        <w:ind w:left="993"/>
      </w:pPr>
      <w:r w:rsidRPr="00EF7F33">
        <w:t>115.</w:t>
      </w:r>
      <w:r w:rsidRPr="00EF7F33">
        <w:tab/>
        <w:t>Institucije koje upotrebljavaju jednostavni pristup, standardizirani i/ili altern</w:t>
      </w:r>
      <w:r w:rsidRPr="00EF7F33">
        <w:t>a</w:t>
      </w:r>
      <w:r w:rsidRPr="00EF7F33">
        <w:t>tivni standardizirani izračunavaju svoje kapitalne zahtjeve na temelju informacija na kraju financijske godine. Kada nisu dostupni revidirani podaci, institucije se mogu koristiti poslovnim procjenama. Ako se upotrebljavaju revidirani podaci, i</w:t>
      </w:r>
      <w:r w:rsidRPr="00EF7F33">
        <w:t>n</w:t>
      </w:r>
      <w:r w:rsidRPr="00EF7F33">
        <w:t>stitucije iskazuju revidirane podatke koji bi trebali ostati nepromijenjeni. Odstup</w:t>
      </w:r>
      <w:r w:rsidRPr="00EF7F33">
        <w:t>a</w:t>
      </w:r>
      <w:r w:rsidRPr="00EF7F33">
        <w:t>nja od tog načela „nepromijenjenih podataka” moguća su, na primjer, ako se tij</w:t>
      </w:r>
      <w:r w:rsidRPr="00EF7F33">
        <w:t>e</w:t>
      </w:r>
      <w:r w:rsidRPr="00EF7F33">
        <w:lastRenderedPageBreak/>
        <w:t xml:space="preserve">kom tog razdoblja ostvare iznimne okolnosti, kao što su nedavna preuzimanja ili otuđivanja subjekata ili aktivnosti. </w:t>
      </w:r>
    </w:p>
    <w:p w:rsidR="00AC6255" w:rsidRPr="00EF7F33" w:rsidRDefault="00125707" w:rsidP="00C37B29">
      <w:pPr>
        <w:pStyle w:val="InstructionsText2"/>
        <w:numPr>
          <w:ilvl w:val="0"/>
          <w:numId w:val="0"/>
        </w:numPr>
        <w:ind w:left="993"/>
      </w:pPr>
      <w:r w:rsidRPr="00EF7F33">
        <w:t>116.</w:t>
      </w:r>
      <w:r w:rsidRPr="00EF7F33">
        <w:tab/>
        <w:t>Ako institucija može dokazati svom nadležnom tijelu da bi zbog iznimnih okolnosti – kao što je spajanje odnosno pripajanje ili otuđivanje subjekata ili akti</w:t>
      </w:r>
      <w:r w:rsidRPr="00EF7F33">
        <w:t>v</w:t>
      </w:r>
      <w:r w:rsidRPr="00EF7F33">
        <w:t>nosti – primjena trogodišnjeg prosjeka za izračun relevantnog pokazatelja dovela do pristrane procjene kapitalnog zahtjeva za operativni rizik, nadležno tijelo može odobriti instituciji izmjenu izračuna tako da uzme u obzir takve događaje. Nadležno tijelo može, na vlastitu inicijativu, i zahtijevati da institucija izmijeni svoj izračun. Kada institucija posluje kraće od tri godine, ona može primjenjivati procjene bud</w:t>
      </w:r>
      <w:r w:rsidRPr="00EF7F33">
        <w:t>u</w:t>
      </w:r>
      <w:r w:rsidRPr="00EF7F33">
        <w:t>ćeg poslovanja pri izračunu relevantnog pokazatelja, pod uvjetom da počne upotr</w:t>
      </w:r>
      <w:r w:rsidRPr="00EF7F33">
        <w:t>e</w:t>
      </w:r>
      <w:r w:rsidRPr="00EF7F33">
        <w:t>bljavati povijesne podatke čim postanu raspoloživi.</w:t>
      </w:r>
    </w:p>
    <w:p w:rsidR="00AC6255" w:rsidRPr="00EF7F33" w:rsidRDefault="00125707" w:rsidP="00C37B29">
      <w:pPr>
        <w:pStyle w:val="InstructionsText2"/>
        <w:numPr>
          <w:ilvl w:val="0"/>
          <w:numId w:val="0"/>
        </w:numPr>
        <w:ind w:left="993"/>
      </w:pPr>
      <w:r w:rsidRPr="00EF7F33">
        <w:t>117.</w:t>
      </w:r>
      <w:r w:rsidRPr="00EF7F33">
        <w:tab/>
        <w:t>U ovom su obrascu po stupcima predstavljene informacije za tri posljednje g</w:t>
      </w:r>
      <w:r w:rsidRPr="00EF7F33">
        <w:t>o</w:t>
      </w:r>
      <w:r w:rsidRPr="00EF7F33">
        <w:t>dine o iznosu relevantnog pokazatelja bankarskih aktivnosti koje podliježu oper</w:t>
      </w:r>
      <w:r w:rsidRPr="00EF7F33">
        <w:t>a</w:t>
      </w:r>
      <w:r w:rsidRPr="00EF7F33">
        <w:t>tivnom riziku i iznosu kredita i predujmova (potonji se primjenjuje samo u slučaju alternativnog standardiziranog pristupa). Zatim se iskazuju informacije o kapita</w:t>
      </w:r>
      <w:r w:rsidRPr="00EF7F33">
        <w:t>l</w:t>
      </w:r>
      <w:r w:rsidRPr="00EF7F33">
        <w:t>nom zahtjevu za operativni rizik. Ako je primjenjivo, mora se detaljno navesti koji dio tog iznosa podliježe alokacijskom mehanizmu. U pogledu naprednih pristupa, dodane su bilješke kako bi se iskazali detalji učinka očekivanoga gubitka, diversif</w:t>
      </w:r>
      <w:r w:rsidRPr="00EF7F33">
        <w:t>i</w:t>
      </w:r>
      <w:r w:rsidRPr="00EF7F33">
        <w:t>kacije i tehnika smanjenja na kapitalni zahtjev za operativni rizik.</w:t>
      </w:r>
    </w:p>
    <w:p w:rsidR="00AC6255" w:rsidRPr="00EF7F33" w:rsidRDefault="00125707" w:rsidP="00C37B29">
      <w:pPr>
        <w:pStyle w:val="InstructionsText2"/>
        <w:numPr>
          <w:ilvl w:val="0"/>
          <w:numId w:val="0"/>
        </w:numPr>
        <w:ind w:left="993"/>
      </w:pPr>
      <w:r w:rsidRPr="00EF7F33">
        <w:t>118.</w:t>
      </w:r>
      <w:r w:rsidRPr="00EF7F33">
        <w:tab/>
        <w:t>Informacije su po redcima predstavljene prema metodi izračuna kapitalnog zahtjeva za operativni rizik s detaljnijim podacima o poslovnim linijama za sta</w:t>
      </w:r>
      <w:r w:rsidRPr="00EF7F33">
        <w:t>n</w:t>
      </w:r>
      <w:r w:rsidRPr="00EF7F33">
        <w:t>dardizirani i alternativni standardizirani pristup.</w:t>
      </w:r>
    </w:p>
    <w:p w:rsidR="00AC6255" w:rsidRPr="00EF7F33" w:rsidRDefault="00125707" w:rsidP="00C37B29">
      <w:pPr>
        <w:pStyle w:val="InstructionsText2"/>
        <w:numPr>
          <w:ilvl w:val="0"/>
          <w:numId w:val="0"/>
        </w:numPr>
        <w:ind w:left="993"/>
      </w:pPr>
      <w:r w:rsidRPr="00EF7F33">
        <w:t>119.</w:t>
      </w:r>
      <w:r w:rsidRPr="00EF7F33">
        <w:tab/>
        <w:t>Ovaj obrazac podnose sve institucije na koje se primjenjuje kapitalni zahtjev za operativni rizik.</w:t>
      </w:r>
    </w:p>
    <w:p w:rsidR="00AC6255" w:rsidRPr="00EF7F33" w:rsidRDefault="00125707" w:rsidP="0023700C">
      <w:pPr>
        <w:pStyle w:val="Instructionsberschrift2"/>
        <w:numPr>
          <w:ilvl w:val="0"/>
          <w:numId w:val="0"/>
        </w:numPr>
        <w:ind w:left="357" w:hanging="357"/>
        <w:rPr>
          <w:rFonts w:ascii="Times New Roman" w:hAnsi="Times New Roman" w:cs="Times New Roman"/>
          <w:sz w:val="24"/>
        </w:rPr>
      </w:pPr>
      <w:bookmarkStart w:id="518" w:name="_Toc260157225"/>
      <w:bookmarkStart w:id="519" w:name="_Toc262566419"/>
      <w:bookmarkStart w:id="520" w:name="_Toc264038464"/>
      <w:bookmarkStart w:id="521" w:name="_Toc295829990"/>
      <w:bookmarkStart w:id="522" w:name="_Toc310415052"/>
      <w:bookmarkStart w:id="523" w:name="_Toc360188387"/>
      <w:bookmarkStart w:id="524" w:name="_Toc516210673"/>
      <w:bookmarkStart w:id="525" w:name="_Toc473560938"/>
      <w:bookmarkStart w:id="526" w:name="_Toc523998165"/>
      <w:r w:rsidRPr="00EF7F33">
        <w:rPr>
          <w:rFonts w:ascii="Times New Roman" w:hAnsi="Times New Roman"/>
          <w:sz w:val="24"/>
          <w:u w:val="none"/>
        </w:rPr>
        <w:t>4.1.2.</w:t>
      </w:r>
      <w:r w:rsidRPr="00EF7F33">
        <w:tab/>
      </w:r>
      <w:r w:rsidRPr="00EF7F33">
        <w:rPr>
          <w:rFonts w:ascii="Times New Roman" w:hAnsi="Times New Roman"/>
          <w:sz w:val="24"/>
        </w:rPr>
        <w:t>Upute za specifične pozicije</w:t>
      </w:r>
      <w:bookmarkEnd w:id="518"/>
      <w:bookmarkEnd w:id="519"/>
      <w:bookmarkEnd w:id="520"/>
      <w:bookmarkEnd w:id="521"/>
      <w:bookmarkEnd w:id="522"/>
      <w:bookmarkEnd w:id="523"/>
      <w:bookmarkEnd w:id="524"/>
      <w:bookmarkEnd w:id="525"/>
      <w:bookmarkEnd w:id="526"/>
    </w:p>
    <w:p w:rsidR="00AC6255" w:rsidRPr="00EF7F33"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EF7F33" w:rsidTr="00672D2A">
        <w:trPr>
          <w:trHeight w:val="553"/>
        </w:trPr>
        <w:tc>
          <w:tcPr>
            <w:tcW w:w="8862" w:type="dxa"/>
            <w:gridSpan w:val="2"/>
            <w:shd w:val="clear" w:color="auto" w:fill="CCCCCC"/>
          </w:tcPr>
          <w:p w:rsidR="00AC6255" w:rsidRPr="00EF7F33" w:rsidRDefault="00AC6255" w:rsidP="000B0B09">
            <w:pPr>
              <w:autoSpaceDE w:val="0"/>
              <w:autoSpaceDN w:val="0"/>
              <w:adjustRightInd w:val="0"/>
              <w:spacing w:after="0"/>
              <w:rPr>
                <w:rFonts w:ascii="Times New Roman" w:hAnsi="Times New Roman"/>
                <w:b/>
                <w:bCs/>
                <w:sz w:val="24"/>
              </w:rPr>
            </w:pPr>
            <w:r w:rsidRPr="00EF7F33">
              <w:rPr>
                <w:rFonts w:ascii="Times New Roman" w:hAnsi="Times New Roman"/>
                <w:b/>
                <w:sz w:val="24"/>
              </w:rPr>
              <w:t>Stupci</w:t>
            </w:r>
          </w:p>
        </w:tc>
      </w:tr>
      <w:tr w:rsidR="00AC6255" w:rsidRPr="00EF7F33" w:rsidTr="00672D2A">
        <w:tc>
          <w:tcPr>
            <w:tcW w:w="985" w:type="dxa"/>
          </w:tcPr>
          <w:p w:rsidR="00AC6255" w:rsidRPr="00EF7F33" w:rsidRDefault="00AC6255"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t>010-030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RELEVANTNI POKAZATELJ</w:t>
            </w:r>
          </w:p>
          <w:p w:rsidR="00AC6255" w:rsidRPr="00EF7F33" w:rsidRDefault="00AC6255" w:rsidP="000B0B09">
            <w:pPr>
              <w:autoSpaceDE w:val="0"/>
              <w:autoSpaceDN w:val="0"/>
              <w:adjustRightInd w:val="0"/>
              <w:spacing w:before="0" w:after="0"/>
              <w:jc w:val="left"/>
              <w:rPr>
                <w:rFonts w:ascii="Times New Roman" w:hAnsi="Times New Roman"/>
                <w:bCs/>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Institucije koje upotrebljavaju relevantni pokazatelj za izračun kapitalnog za</w:t>
            </w:r>
            <w:r w:rsidRPr="00EF7F33">
              <w:rPr>
                <w:rFonts w:ascii="Times New Roman" w:hAnsi="Times New Roman"/>
                <w:sz w:val="24"/>
              </w:rPr>
              <w:t>h</w:t>
            </w:r>
            <w:r w:rsidRPr="00EF7F33">
              <w:rPr>
                <w:rFonts w:ascii="Times New Roman" w:hAnsi="Times New Roman"/>
                <w:sz w:val="24"/>
              </w:rPr>
              <w:t>tjeva za operativni rizik (jednostavni, standardizirani i alternativni standardiz</w:t>
            </w:r>
            <w:r w:rsidRPr="00EF7F33">
              <w:rPr>
                <w:rFonts w:ascii="Times New Roman" w:hAnsi="Times New Roman"/>
                <w:sz w:val="24"/>
              </w:rPr>
              <w:t>i</w:t>
            </w:r>
            <w:r w:rsidRPr="00EF7F33">
              <w:rPr>
                <w:rFonts w:ascii="Times New Roman" w:hAnsi="Times New Roman"/>
                <w:sz w:val="24"/>
              </w:rPr>
              <w:t>rani pristup) iskazuju relevantni pokazatelj za odgovarajuće godine u stupcima od 010 do 030. Nadalje, u slučaju kombinirane primjene različitih pristupa iz članka 314. CRR-a, institucije iskazuju, za potrebe dostavljanja informacija, i relevantni pokazatelj za aktivnosti koje podliježu naprednim pristupima. To je slučaj i za sve ostale banke koje primjenjuju napredne pristupe.</w:t>
            </w:r>
          </w:p>
          <w:p w:rsidR="00AC6255" w:rsidRPr="00EF7F33" w:rsidRDefault="00AC6255" w:rsidP="000B0B09">
            <w:pPr>
              <w:autoSpaceDE w:val="0"/>
              <w:autoSpaceDN w:val="0"/>
              <w:adjustRightInd w:val="0"/>
              <w:spacing w:before="0" w:after="0"/>
              <w:rPr>
                <w:rFonts w:ascii="Times New Roman" w:hAnsi="Times New Roman"/>
                <w:bCs/>
                <w:strike/>
                <w:sz w:val="24"/>
              </w:rPr>
            </w:pPr>
          </w:p>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 xml:space="preserve">U nastavku se pojam „relevantni pokazatelj” odnosi na „zbroj elemenata” na kraju financijske godine, kako je definirano u članku 316. stavku 1. tablici 1. CRR-a. </w:t>
            </w:r>
          </w:p>
          <w:p w:rsidR="00AC6255" w:rsidRPr="00EF7F33" w:rsidRDefault="00AC6255" w:rsidP="000B0B09">
            <w:pPr>
              <w:autoSpaceDE w:val="0"/>
              <w:autoSpaceDN w:val="0"/>
              <w:adjustRightInd w:val="0"/>
              <w:spacing w:before="0" w:after="0"/>
              <w:rPr>
                <w:rFonts w:ascii="Times New Roman" w:hAnsi="Times New Roman"/>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Ako institucija ima podatke za manje od 3 godine o dostupnom „relevantnom pokazatelju”, dostupni povijesni podaci (revidirani podaci) raspoređuju se pr</w:t>
            </w:r>
            <w:r w:rsidRPr="00EF7F33">
              <w:rPr>
                <w:rFonts w:ascii="Times New Roman" w:hAnsi="Times New Roman"/>
                <w:sz w:val="24"/>
              </w:rPr>
              <w:t>e</w:t>
            </w:r>
            <w:r w:rsidRPr="00EF7F33">
              <w:rPr>
                <w:rFonts w:ascii="Times New Roman" w:hAnsi="Times New Roman"/>
                <w:sz w:val="24"/>
              </w:rPr>
              <w:t>ma prioritetu u odgovarajuće stupce u tablici. Ako su, na primjer, povijesni p</w:t>
            </w:r>
            <w:r w:rsidRPr="00EF7F33">
              <w:rPr>
                <w:rFonts w:ascii="Times New Roman" w:hAnsi="Times New Roman"/>
                <w:sz w:val="24"/>
              </w:rPr>
              <w:t>o</w:t>
            </w:r>
            <w:r w:rsidRPr="00EF7F33">
              <w:rPr>
                <w:rFonts w:ascii="Times New Roman" w:hAnsi="Times New Roman"/>
                <w:sz w:val="24"/>
              </w:rPr>
              <w:lastRenderedPageBreak/>
              <w:t>daci dostupni samo za jednu godinu, iskazuju se u stupcu 030. Ako se čini r</w:t>
            </w:r>
            <w:r w:rsidRPr="00EF7F33">
              <w:rPr>
                <w:rFonts w:ascii="Times New Roman" w:hAnsi="Times New Roman"/>
                <w:sz w:val="24"/>
              </w:rPr>
              <w:t>a</w:t>
            </w:r>
            <w:r w:rsidRPr="00EF7F33">
              <w:rPr>
                <w:rFonts w:ascii="Times New Roman" w:hAnsi="Times New Roman"/>
                <w:sz w:val="24"/>
              </w:rPr>
              <w:t>zumnim, procjene budućeg poslovanja zatim se uključuju stupac 020 (procjena sljedeće godine) i stupac 010 (procjena godine +2).</w:t>
            </w:r>
          </w:p>
          <w:p w:rsidR="00AC6255" w:rsidRPr="00EF7F33" w:rsidRDefault="00AC6255" w:rsidP="000B0B09">
            <w:pPr>
              <w:autoSpaceDE w:val="0"/>
              <w:autoSpaceDN w:val="0"/>
              <w:adjustRightInd w:val="0"/>
              <w:spacing w:before="0" w:after="0"/>
              <w:rPr>
                <w:rFonts w:ascii="Times New Roman" w:hAnsi="Times New Roman"/>
                <w:i/>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Nadalje, ako povijesni podaci o „relevantnom pokazatelju” nisu dostupni, inst</w:t>
            </w:r>
            <w:r w:rsidRPr="00EF7F33">
              <w:rPr>
                <w:rFonts w:ascii="Times New Roman" w:hAnsi="Times New Roman"/>
                <w:sz w:val="24"/>
              </w:rPr>
              <w:t>i</w:t>
            </w:r>
            <w:r w:rsidRPr="00EF7F33">
              <w:rPr>
                <w:rFonts w:ascii="Times New Roman" w:hAnsi="Times New Roman"/>
                <w:sz w:val="24"/>
              </w:rPr>
              <w:t>tucija se može koristiti procjenama budućeg poslovanja.</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r w:rsidR="00AC6255" w:rsidRPr="00EF7F33" w:rsidTr="00672D2A">
        <w:tc>
          <w:tcPr>
            <w:tcW w:w="985" w:type="dxa"/>
          </w:tcPr>
          <w:p w:rsidR="00AC6255" w:rsidRPr="00EF7F33" w:rsidRDefault="00AC6255"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040-060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KREDITI I PREDUJMOVI (U SLUČAJU PRIMJENE ALTERNATI</w:t>
            </w:r>
            <w:r w:rsidRPr="00EF7F33">
              <w:rPr>
                <w:rStyle w:val="InstructionsTabelleberschrift"/>
                <w:rFonts w:ascii="Times New Roman" w:hAnsi="Times New Roman"/>
                <w:sz w:val="24"/>
              </w:rPr>
              <w:t>V</w:t>
            </w:r>
            <w:r w:rsidRPr="00EF7F33">
              <w:rPr>
                <w:rStyle w:val="InstructionsTabelleberschrift"/>
                <w:rFonts w:ascii="Times New Roman" w:hAnsi="Times New Roman"/>
                <w:sz w:val="24"/>
              </w:rPr>
              <w:t>NOG STANDARDIZIRANOG PRISTUPA)</w:t>
            </w:r>
          </w:p>
          <w:p w:rsidR="00AC6255" w:rsidRPr="00EF7F33" w:rsidRDefault="00AC6255" w:rsidP="000B0B09">
            <w:pPr>
              <w:autoSpaceDE w:val="0"/>
              <w:autoSpaceDN w:val="0"/>
              <w:adjustRightInd w:val="0"/>
              <w:spacing w:before="0" w:after="0"/>
              <w:jc w:val="left"/>
              <w:rPr>
                <w:rFonts w:ascii="Times New Roman" w:hAnsi="Times New Roman"/>
                <w:bCs/>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Ovi se stupci upotrebljavaju za iskazivanje iznosa kredita i predujmova za po</w:t>
            </w:r>
            <w:r w:rsidRPr="00EF7F33">
              <w:rPr>
                <w:rFonts w:ascii="Times New Roman" w:hAnsi="Times New Roman"/>
                <w:sz w:val="24"/>
              </w:rPr>
              <w:t>s</w:t>
            </w:r>
            <w:r w:rsidRPr="00EF7F33">
              <w:rPr>
                <w:rFonts w:ascii="Times New Roman" w:hAnsi="Times New Roman"/>
                <w:sz w:val="24"/>
              </w:rPr>
              <w:t xml:space="preserve">lovne linije „poslovno bankarstvo” i „poslovanje sa stanovništvo” iz članka 319. stavka 1. točke (b) CRR-a. Navedeni se iznosi upotrebljavaju za izračun alternativnog relevantnog pokazatelja koji dovodi do kapitalnih zahtjeva koji odgovaraju aktivnostima na koje se primjenjuje alternativni standardizirane pristup (članak 319. stavak 1. točka (a) CRR-a). </w:t>
            </w:r>
          </w:p>
          <w:p w:rsidR="00AC6255" w:rsidRPr="00EF7F33" w:rsidRDefault="00AC6255" w:rsidP="000B0B09">
            <w:pPr>
              <w:autoSpaceDE w:val="0"/>
              <w:autoSpaceDN w:val="0"/>
              <w:adjustRightInd w:val="0"/>
              <w:spacing w:before="0" w:after="0"/>
              <w:rPr>
                <w:rFonts w:ascii="Times New Roman" w:hAnsi="Times New Roman"/>
                <w:sz w:val="24"/>
              </w:rPr>
            </w:pPr>
          </w:p>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Za poslovnu liniju „poslovno bankarstvo” uključuju se i vrijednosni papiri koji se drže u knjizi pozicija kojima se ne trguje.</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070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KAPITALNI ZAHTJEV</w:t>
            </w:r>
          </w:p>
          <w:p w:rsidR="00AC6255" w:rsidRPr="00EF7F33" w:rsidRDefault="00AC6255" w:rsidP="000B0B09">
            <w:pPr>
              <w:autoSpaceDE w:val="0"/>
              <w:autoSpaceDN w:val="0"/>
              <w:adjustRightInd w:val="0"/>
              <w:spacing w:before="0" w:after="0"/>
              <w:jc w:val="left"/>
              <w:rPr>
                <w:rFonts w:ascii="Times New Roman" w:hAnsi="Times New Roman"/>
                <w:sz w:val="24"/>
              </w:rPr>
            </w:pPr>
          </w:p>
          <w:p w:rsidR="00AC6255" w:rsidRPr="00EF7F33" w:rsidRDefault="00AC6255" w:rsidP="00E86638">
            <w:pPr>
              <w:autoSpaceDE w:val="0"/>
              <w:autoSpaceDN w:val="0"/>
              <w:adjustRightInd w:val="0"/>
              <w:spacing w:before="0" w:after="0"/>
              <w:jc w:val="left"/>
              <w:rPr>
                <w:rFonts w:ascii="Times New Roman" w:hAnsi="Times New Roman"/>
                <w:bCs/>
                <w:sz w:val="24"/>
              </w:rPr>
            </w:pPr>
            <w:r w:rsidRPr="00EF7F33">
              <w:rPr>
                <w:rFonts w:ascii="Times New Roman" w:hAnsi="Times New Roman"/>
                <w:sz w:val="24"/>
              </w:rPr>
              <w:t>Kapitalni zahtjev izračunava se u skladu s primijenjenim pristupom u skladu s člancima 312. do 324. CRR-a. Nastali iznos iskazuje se u stupcu 070.</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071</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UKUPAN IZNOS IZLOŽENOSTI OPERATIVNOM RIZIKU</w:t>
            </w:r>
          </w:p>
          <w:p w:rsidR="00AC6255" w:rsidRPr="00EF7F33"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EF7F33">
              <w:rPr>
                <w:rStyle w:val="InstructionsTabelleberschrift"/>
                <w:rFonts w:ascii="Times New Roman" w:hAnsi="Times New Roman"/>
                <w:sz w:val="24"/>
              </w:rPr>
              <w:t>Članak 92. stavak 4. CRR-a Kapitalni zahtjevi u stupcu 070 pomnoženi s 12,5</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080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OD ČEGA: NA TEMELJU ALOKACIJSKOG MEHANIZMA</w:t>
            </w:r>
          </w:p>
          <w:p w:rsidR="00AC6255" w:rsidRPr="00EF7F33" w:rsidRDefault="00AC6255" w:rsidP="000B0B09">
            <w:pPr>
              <w:autoSpaceDE w:val="0"/>
              <w:autoSpaceDN w:val="0"/>
              <w:adjustRightInd w:val="0"/>
              <w:spacing w:before="0" w:after="0"/>
              <w:jc w:val="left"/>
              <w:rPr>
                <w:rFonts w:ascii="Times New Roman" w:hAnsi="Times New Roman"/>
                <w:bCs/>
                <w:sz w:val="24"/>
              </w:rPr>
            </w:pPr>
          </w:p>
          <w:p w:rsidR="00AC6255" w:rsidRPr="00EF7F33" w:rsidRDefault="00AC6255" w:rsidP="000B0B09">
            <w:pPr>
              <w:jc w:val="left"/>
              <w:rPr>
                <w:rFonts w:ascii="Times New Roman" w:hAnsi="Times New Roman"/>
                <w:bCs/>
                <w:sz w:val="24"/>
              </w:rPr>
            </w:pPr>
            <w:r w:rsidRPr="00EF7F33">
              <w:rPr>
                <w:rFonts w:ascii="Times New Roman" w:hAnsi="Times New Roman"/>
                <w:sz w:val="24"/>
              </w:rPr>
              <w:t>Članak 18. stavak 1. CRR-a (povezan s uključivanjem u primjenu iz članka 312. stavka 2. CRR-a) o metodologiji upotrijebljenoj za raspodjelu kapitala za operativni rizik između različitih subjekata u grupi te podataka namjeravaju li se i na koji način učinci diversifikacije uključiti u sustav mjerenja rizika koji upotrebljavaju matična kreditna institucija iz EU-a i njezina društva kćeri ili z</w:t>
            </w:r>
            <w:r w:rsidRPr="00EF7F33">
              <w:rPr>
                <w:rFonts w:ascii="Times New Roman" w:hAnsi="Times New Roman"/>
                <w:sz w:val="24"/>
              </w:rPr>
              <w:t>a</w:t>
            </w:r>
            <w:r w:rsidRPr="00EF7F33">
              <w:rPr>
                <w:rFonts w:ascii="Times New Roman" w:hAnsi="Times New Roman"/>
                <w:sz w:val="24"/>
              </w:rPr>
              <w:t>jednički društva kćeri matičnog financijskog holdinga iz EU-a ili matični mj</w:t>
            </w:r>
            <w:r w:rsidRPr="00EF7F33">
              <w:rPr>
                <w:rFonts w:ascii="Times New Roman" w:hAnsi="Times New Roman"/>
                <w:sz w:val="24"/>
              </w:rPr>
              <w:t>e</w:t>
            </w:r>
            <w:r w:rsidRPr="00EF7F33">
              <w:rPr>
                <w:rFonts w:ascii="Times New Roman" w:hAnsi="Times New Roman"/>
                <w:sz w:val="24"/>
              </w:rPr>
              <w:t>šoviti financijski holding iz EU-a.</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r w:rsidR="00AC6255" w:rsidRPr="00EF7F33" w:rsidTr="00672D2A">
        <w:tc>
          <w:tcPr>
            <w:tcW w:w="985" w:type="dxa"/>
          </w:tcPr>
          <w:p w:rsidR="00AC6255" w:rsidRPr="00EF7F33" w:rsidRDefault="00AC6255"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t>090-120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BILJEŠKE U SKLADU S NAPREDNIM PRISTUPIMA KOJE JE PO</w:t>
            </w:r>
            <w:r w:rsidRPr="00EF7F33">
              <w:rPr>
                <w:rStyle w:val="InstructionsTabelleberschrift"/>
                <w:rFonts w:ascii="Times New Roman" w:hAnsi="Times New Roman"/>
                <w:sz w:val="24"/>
              </w:rPr>
              <w:t>T</w:t>
            </w:r>
            <w:r w:rsidRPr="00EF7F33">
              <w:rPr>
                <w:rStyle w:val="InstructionsTabelleberschrift"/>
                <w:rFonts w:ascii="Times New Roman" w:hAnsi="Times New Roman"/>
                <w:sz w:val="24"/>
              </w:rPr>
              <w:t>REBNO ISKAZATI AKO JE PRIMJENJIVO</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090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KAPITALNI ZAHTJEV PRIJE SMANJENJA ZBOG OČEKIVANOGA GUBITKA, DIVERSIFIKACIJE I TEHNIKA SMANJENJA RIZIKA</w:t>
            </w:r>
          </w:p>
          <w:p w:rsidR="00AC6255" w:rsidRPr="00EF7F33" w:rsidRDefault="00AC6255" w:rsidP="000B0B09">
            <w:pPr>
              <w:autoSpaceDE w:val="0"/>
              <w:autoSpaceDN w:val="0"/>
              <w:adjustRightInd w:val="0"/>
              <w:spacing w:before="0" w:after="0"/>
              <w:jc w:val="left"/>
              <w:rPr>
                <w:rFonts w:ascii="Times New Roman" w:hAnsi="Times New Roman"/>
                <w:bCs/>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Kapitalni zahtjev iskazan u stupcu 090 zahtjev je iz stupca 070, ali izračunan prije uzimanja u obzir učinaka smanjenja zbog očekivanoga gubitka, diversif</w:t>
            </w:r>
            <w:r w:rsidRPr="00EF7F33">
              <w:rPr>
                <w:rFonts w:ascii="Times New Roman" w:hAnsi="Times New Roman"/>
                <w:sz w:val="24"/>
              </w:rPr>
              <w:t>i</w:t>
            </w:r>
            <w:r w:rsidRPr="00EF7F33">
              <w:rPr>
                <w:rFonts w:ascii="Times New Roman" w:hAnsi="Times New Roman"/>
                <w:sz w:val="24"/>
              </w:rPr>
              <w:t>kacije i tehnika smanjenja rizika (vidjeti u nastavku).</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100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 SMANJENJE KAPITALNIH ZAHTJEVA ZBOG OČEKIVANOGA GUBITKA OBUHVAĆENOG U POSLOVNIM PRAKSAMA</w:t>
            </w:r>
          </w:p>
          <w:p w:rsidR="00AC6255" w:rsidRPr="00EF7F33" w:rsidRDefault="00AC6255" w:rsidP="000B0B09">
            <w:pPr>
              <w:autoSpaceDE w:val="0"/>
              <w:autoSpaceDN w:val="0"/>
              <w:adjustRightInd w:val="0"/>
              <w:spacing w:before="0" w:after="0"/>
              <w:jc w:val="left"/>
              <w:rPr>
                <w:rFonts w:ascii="Times New Roman" w:hAnsi="Times New Roman"/>
                <w:bCs/>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 stupcu 100 iskazuje se smanjenje kapitalnih zahtjeva zbog očekivanoga g</w:t>
            </w:r>
            <w:r w:rsidRPr="00EF7F33">
              <w:rPr>
                <w:rFonts w:ascii="Times New Roman" w:hAnsi="Times New Roman"/>
                <w:sz w:val="24"/>
              </w:rPr>
              <w:t>u</w:t>
            </w:r>
            <w:r w:rsidRPr="00EF7F33">
              <w:rPr>
                <w:rFonts w:ascii="Times New Roman" w:hAnsi="Times New Roman"/>
                <w:sz w:val="24"/>
              </w:rPr>
              <w:lastRenderedPageBreak/>
              <w:t>bitka obuhvaćenog u internim poslovnim praksama (iz članka 322. stavka 2. točke (a) CRR-a).</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110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 SMANJENJE KAPITALNIH ZAHTJEVA ZBOG DIVERSIFIKAC</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JE</w:t>
            </w:r>
          </w:p>
          <w:p w:rsidR="00AC6255" w:rsidRPr="00EF7F33" w:rsidRDefault="00AC6255" w:rsidP="000B0B09">
            <w:pPr>
              <w:rPr>
                <w:rFonts w:ascii="Times New Roman" w:hAnsi="Times New Roman"/>
                <w:sz w:val="24"/>
              </w:rPr>
            </w:pPr>
            <w:r w:rsidRPr="00EF7F33">
              <w:rPr>
                <w:rFonts w:ascii="Times New Roman" w:hAnsi="Times New Roman"/>
                <w:sz w:val="24"/>
              </w:rPr>
              <w:t>Učinak diversifikacije iz stupca 110 razlika je između zbroja kapitalnih zahtj</w:t>
            </w:r>
            <w:r w:rsidRPr="00EF7F33">
              <w:rPr>
                <w:rFonts w:ascii="Times New Roman" w:hAnsi="Times New Roman"/>
                <w:sz w:val="24"/>
              </w:rPr>
              <w:t>e</w:t>
            </w:r>
            <w:r w:rsidRPr="00EF7F33">
              <w:rPr>
                <w:rFonts w:ascii="Times New Roman" w:hAnsi="Times New Roman"/>
                <w:sz w:val="24"/>
              </w:rPr>
              <w:t>va izračunanih zasebno za svaku kategoriju operativnog rizika (tj. situacija „potpune zavisnosti”) i diversificiranog kapitalnog zahtjeva izračunanog uz</w:t>
            </w:r>
            <w:r w:rsidRPr="00EF7F33">
              <w:rPr>
                <w:rFonts w:ascii="Times New Roman" w:hAnsi="Times New Roman"/>
                <w:sz w:val="24"/>
              </w:rPr>
              <w:t>i</w:t>
            </w:r>
            <w:r w:rsidRPr="00EF7F33">
              <w:rPr>
                <w:rFonts w:ascii="Times New Roman" w:hAnsi="Times New Roman"/>
                <w:sz w:val="24"/>
              </w:rPr>
              <w:t>manjem u obzir korelacija i zavisnosti (tj. uz pretpostavku zavisnosti koje nije „potpuna zavisnost” među kategorijama rizika). Situacija „potpune zavisnosti” pojavljuje se u „slučaju neispunjavanja obveza”, tj. kada institucija ne upotre</w:t>
            </w:r>
            <w:r w:rsidRPr="00EF7F33">
              <w:rPr>
                <w:rFonts w:ascii="Times New Roman" w:hAnsi="Times New Roman"/>
                <w:sz w:val="24"/>
              </w:rPr>
              <w:t>b</w:t>
            </w:r>
            <w:r w:rsidRPr="00EF7F33">
              <w:rPr>
                <w:rFonts w:ascii="Times New Roman" w:hAnsi="Times New Roman"/>
                <w:sz w:val="24"/>
              </w:rPr>
              <w:t>ljava strukturu izričitih korelacija među kategorijama rizika, pa se stoga kapital u skladu s naprednim pristupom izračunava kao zbroj pojedinačnih mjera op</w:t>
            </w:r>
            <w:r w:rsidRPr="00EF7F33">
              <w:rPr>
                <w:rFonts w:ascii="Times New Roman" w:hAnsi="Times New Roman"/>
                <w:sz w:val="24"/>
              </w:rPr>
              <w:t>e</w:t>
            </w:r>
            <w:r w:rsidRPr="00EF7F33">
              <w:rPr>
                <w:rFonts w:ascii="Times New Roman" w:hAnsi="Times New Roman"/>
                <w:sz w:val="24"/>
              </w:rPr>
              <w:t>rativnog rizika za odabrane kategorije rizika. U ovom se slučaju pretpostavlja da korelacija među kategorijama rizika iznosi 100 %, a vrijednost u stupcu m</w:t>
            </w:r>
            <w:r w:rsidRPr="00EF7F33">
              <w:rPr>
                <w:rFonts w:ascii="Times New Roman" w:hAnsi="Times New Roman"/>
                <w:sz w:val="24"/>
              </w:rPr>
              <w:t>o</w:t>
            </w:r>
            <w:r w:rsidRPr="00EF7F33">
              <w:rPr>
                <w:rFonts w:ascii="Times New Roman" w:hAnsi="Times New Roman"/>
                <w:sz w:val="24"/>
              </w:rPr>
              <w:t>ra iznositi nula. S druge strane, kada institucija izračunava strukturu izričitih korelacija među kategorijama rizika, mora uključiti u ovaj stupac razliku izm</w:t>
            </w:r>
            <w:r w:rsidRPr="00EF7F33">
              <w:rPr>
                <w:rFonts w:ascii="Times New Roman" w:hAnsi="Times New Roman"/>
                <w:sz w:val="24"/>
              </w:rPr>
              <w:t>e</w:t>
            </w:r>
            <w:r w:rsidRPr="00EF7F33">
              <w:rPr>
                <w:rFonts w:ascii="Times New Roman" w:hAnsi="Times New Roman"/>
                <w:sz w:val="24"/>
              </w:rPr>
              <w:t>đu kapitala u skladu s naprednim pristupom koji proizlazi iz „standardnog sl</w:t>
            </w:r>
            <w:r w:rsidRPr="00EF7F33">
              <w:rPr>
                <w:rFonts w:ascii="Times New Roman" w:hAnsi="Times New Roman"/>
                <w:sz w:val="24"/>
              </w:rPr>
              <w:t>u</w:t>
            </w:r>
            <w:r w:rsidRPr="00EF7F33">
              <w:rPr>
                <w:rFonts w:ascii="Times New Roman" w:hAnsi="Times New Roman"/>
                <w:sz w:val="24"/>
              </w:rPr>
              <w:t>čaja” i onog koji je dobiven nakon primjene strukture korelacija među kategor</w:t>
            </w:r>
            <w:r w:rsidRPr="00EF7F33">
              <w:rPr>
                <w:rFonts w:ascii="Times New Roman" w:hAnsi="Times New Roman"/>
                <w:sz w:val="24"/>
              </w:rPr>
              <w:t>i</w:t>
            </w:r>
            <w:r w:rsidRPr="00EF7F33">
              <w:rPr>
                <w:rFonts w:ascii="Times New Roman" w:hAnsi="Times New Roman"/>
                <w:sz w:val="24"/>
              </w:rPr>
              <w:t>jama rizika. Vrijednost odražava „kapacitet diversifikacije” modela naprednog pristupa, tj. sposobnost modela da se njime obuhvati neistovremeno pojavljiv</w:t>
            </w:r>
            <w:r w:rsidRPr="00EF7F33">
              <w:rPr>
                <w:rFonts w:ascii="Times New Roman" w:hAnsi="Times New Roman"/>
                <w:sz w:val="24"/>
              </w:rPr>
              <w:t>a</w:t>
            </w:r>
            <w:r w:rsidRPr="00EF7F33">
              <w:rPr>
                <w:rFonts w:ascii="Times New Roman" w:hAnsi="Times New Roman"/>
                <w:sz w:val="24"/>
              </w:rPr>
              <w:t>nje ozbiljnih štetnih događaja povezanih s operativnim rizikom. U stupcu 110 mora se iskazati iznos za koji pretpostavljena struktura korelacije smanjuje k</w:t>
            </w:r>
            <w:r w:rsidRPr="00EF7F33">
              <w:rPr>
                <w:rFonts w:ascii="Times New Roman" w:hAnsi="Times New Roman"/>
                <w:sz w:val="24"/>
              </w:rPr>
              <w:t>a</w:t>
            </w:r>
            <w:r w:rsidRPr="00EF7F33">
              <w:rPr>
                <w:rFonts w:ascii="Times New Roman" w:hAnsi="Times New Roman"/>
                <w:sz w:val="24"/>
              </w:rPr>
              <w:t>pital u skladu s naprednim pristupom u odnosu na pretpostavku od 100 %.</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120</w:t>
            </w:r>
          </w:p>
        </w:tc>
        <w:tc>
          <w:tcPr>
            <w:tcW w:w="7877" w:type="dxa"/>
          </w:tcPr>
          <w:p w:rsidR="00AC6255" w:rsidRPr="00EF7F33" w:rsidRDefault="00AC6255" w:rsidP="000B0B09">
            <w:pPr>
              <w:autoSpaceDE w:val="0"/>
              <w:autoSpaceDN w:val="0"/>
              <w:adjustRightInd w:val="0"/>
              <w:spacing w:before="0" w:after="0"/>
              <w:jc w:val="left"/>
              <w:rPr>
                <w:rFonts w:ascii="Times New Roman" w:hAnsi="Times New Roman"/>
                <w:sz w:val="24"/>
              </w:rPr>
            </w:pPr>
            <w:r w:rsidRPr="00EF7F33">
              <w:rPr>
                <w:rStyle w:val="InstructionsTabelleberschrift"/>
                <w:rFonts w:ascii="Times New Roman" w:hAnsi="Times New Roman"/>
                <w:sz w:val="24"/>
              </w:rPr>
              <w:t>(–) SMANJENJE KAPITALNOG ZAHTJEVA ZBOG TEHNIKA SM</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NJENJA RIZIKA (OSIGURANJE I DRUGI MEHANIZMI ZA PRIJ</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NOS RIZIKA)</w:t>
            </w:r>
          </w:p>
          <w:p w:rsidR="00AC6255" w:rsidRPr="00EF7F33" w:rsidRDefault="00AC6255" w:rsidP="000B0B09">
            <w:pPr>
              <w:autoSpaceDE w:val="0"/>
              <w:autoSpaceDN w:val="0"/>
              <w:adjustRightInd w:val="0"/>
              <w:spacing w:before="0" w:after="0"/>
              <w:jc w:val="left"/>
              <w:rPr>
                <w:rFonts w:ascii="Times New Roman" w:hAnsi="Times New Roman"/>
                <w:sz w:val="24"/>
              </w:rPr>
            </w:pPr>
          </w:p>
          <w:p w:rsidR="00AC6255" w:rsidRPr="00EF7F33" w:rsidRDefault="00AC6255" w:rsidP="000B0B09">
            <w:pPr>
              <w:autoSpaceDE w:val="0"/>
              <w:autoSpaceDN w:val="0"/>
              <w:adjustRightInd w:val="0"/>
              <w:spacing w:before="0" w:after="0"/>
              <w:jc w:val="left"/>
              <w:rPr>
                <w:rFonts w:ascii="Times New Roman" w:hAnsi="Times New Roman"/>
                <w:sz w:val="24"/>
              </w:rPr>
            </w:pPr>
            <w:r w:rsidRPr="00EF7F33">
              <w:rPr>
                <w:rFonts w:ascii="Times New Roman" w:hAnsi="Times New Roman"/>
                <w:sz w:val="24"/>
              </w:rPr>
              <w:t>U stupcu 120 iskazuje se učinak osiguranja i drugih mehanizama za prijenos r</w:t>
            </w:r>
            <w:r w:rsidRPr="00EF7F33">
              <w:rPr>
                <w:rFonts w:ascii="Times New Roman" w:hAnsi="Times New Roman"/>
                <w:sz w:val="24"/>
              </w:rPr>
              <w:t>i</w:t>
            </w:r>
            <w:r w:rsidRPr="00EF7F33">
              <w:rPr>
                <w:rFonts w:ascii="Times New Roman" w:hAnsi="Times New Roman"/>
                <w:sz w:val="24"/>
              </w:rPr>
              <w:t>zika u skladu s člankom 323. stavcima od 1. do 5. CRR-a.</w:t>
            </w:r>
          </w:p>
          <w:p w:rsidR="00AC6255" w:rsidRPr="00EF7F33" w:rsidRDefault="00AC6255" w:rsidP="000B0B09">
            <w:pPr>
              <w:autoSpaceDE w:val="0"/>
              <w:autoSpaceDN w:val="0"/>
              <w:adjustRightInd w:val="0"/>
              <w:spacing w:before="0" w:after="0"/>
              <w:jc w:val="left"/>
              <w:rPr>
                <w:rFonts w:ascii="Times New Roman" w:hAnsi="Times New Roman"/>
                <w:bCs/>
                <w:sz w:val="24"/>
              </w:rPr>
            </w:pPr>
          </w:p>
        </w:tc>
      </w:tr>
    </w:tbl>
    <w:p w:rsidR="00AC6255" w:rsidRPr="00EF7F33" w:rsidRDefault="00AC6255" w:rsidP="00AC6255">
      <w:pPr>
        <w:autoSpaceDE w:val="0"/>
        <w:autoSpaceDN w:val="0"/>
        <w:adjustRightInd w:val="0"/>
        <w:spacing w:before="0" w:after="0"/>
        <w:rPr>
          <w:rFonts w:ascii="Times New Roman" w:hAnsi="Times New Roman"/>
          <w:sz w:val="24"/>
        </w:rPr>
      </w:pPr>
    </w:p>
    <w:p w:rsidR="00AC6255" w:rsidRPr="00EF7F33" w:rsidRDefault="00AC6255" w:rsidP="00AC6255">
      <w:pPr>
        <w:autoSpaceDE w:val="0"/>
        <w:autoSpaceDN w:val="0"/>
        <w:adjustRightInd w:val="0"/>
        <w:spacing w:before="0" w:after="0"/>
        <w:rPr>
          <w:rFonts w:ascii="Times New Roman" w:hAnsi="Times New Roman"/>
          <w:sz w:val="24"/>
        </w:rPr>
      </w:pPr>
    </w:p>
    <w:p w:rsidR="00AC6255" w:rsidRPr="00EF7F33"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EF7F33" w:rsidTr="00672D2A">
        <w:trPr>
          <w:trHeight w:val="518"/>
        </w:trPr>
        <w:tc>
          <w:tcPr>
            <w:tcW w:w="8862" w:type="dxa"/>
            <w:gridSpan w:val="2"/>
            <w:shd w:val="clear" w:color="auto" w:fill="CCCCCC"/>
          </w:tcPr>
          <w:p w:rsidR="00AC6255" w:rsidRPr="00EF7F33" w:rsidRDefault="00AC6255" w:rsidP="000B0B09">
            <w:pPr>
              <w:autoSpaceDE w:val="0"/>
              <w:autoSpaceDN w:val="0"/>
              <w:adjustRightInd w:val="0"/>
              <w:spacing w:after="0"/>
              <w:rPr>
                <w:rFonts w:ascii="Times New Roman" w:hAnsi="Times New Roman"/>
                <w:b/>
                <w:bCs/>
                <w:sz w:val="24"/>
              </w:rPr>
            </w:pPr>
            <w:r w:rsidRPr="00EF7F33">
              <w:rPr>
                <w:rFonts w:ascii="Times New Roman" w:hAnsi="Times New Roman"/>
                <w:b/>
                <w:sz w:val="24"/>
              </w:rPr>
              <w:t>Redci</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 xml:space="preserve">010 </w:t>
            </w:r>
          </w:p>
        </w:tc>
        <w:tc>
          <w:tcPr>
            <w:tcW w:w="7877" w:type="dxa"/>
          </w:tcPr>
          <w:p w:rsidR="00AC6255" w:rsidRPr="00EF7F33" w:rsidRDefault="00AC6255" w:rsidP="000B0B09">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BANKARSKE AKTIVNOSTI KOJE PODLIJEŽU JEDNOSTAVNOM PRISTUPU</w:t>
            </w:r>
          </w:p>
          <w:p w:rsidR="00AC6255" w:rsidRPr="00EF7F33" w:rsidRDefault="00AC6255" w:rsidP="000B0B09">
            <w:pPr>
              <w:pStyle w:val="PlainText"/>
              <w:jc w:val="both"/>
              <w:rPr>
                <w:rFonts w:ascii="Times New Roman" w:eastAsia="Times New Roman" w:hAnsi="Times New Roman"/>
                <w:sz w:val="24"/>
                <w:szCs w:val="24"/>
              </w:rPr>
            </w:pPr>
          </w:p>
          <w:p w:rsidR="00AC6255" w:rsidRPr="00EF7F33" w:rsidRDefault="00AC6255" w:rsidP="000B0B09">
            <w:pPr>
              <w:pStyle w:val="PlainText"/>
              <w:jc w:val="both"/>
              <w:rPr>
                <w:rFonts w:ascii="Times New Roman" w:eastAsia="Times New Roman" w:hAnsi="Times New Roman"/>
                <w:sz w:val="24"/>
                <w:szCs w:val="24"/>
              </w:rPr>
            </w:pPr>
            <w:r w:rsidRPr="00EF7F33">
              <w:rPr>
                <w:rFonts w:ascii="Times New Roman" w:hAnsi="Times New Roman"/>
                <w:sz w:val="24"/>
              </w:rPr>
              <w:t>U ovom se retku iskazuju iznosi koji odgovaraju aktivnostima koje podliježu jednostavnom pristupu u cilju izračuna kapitalnog zahtjeva za operativni rizik (članci 315. i 316. CRR-a).</w:t>
            </w:r>
          </w:p>
          <w:p w:rsidR="00AC6255" w:rsidRPr="00EF7F33" w:rsidRDefault="00AC6255" w:rsidP="000B0B09">
            <w:pPr>
              <w:pStyle w:val="PlainText"/>
              <w:jc w:val="both"/>
              <w:rPr>
                <w:rFonts w:ascii="Times New Roman" w:eastAsia="Times New Roman" w:hAnsi="Times New Roman"/>
                <w:bCs/>
                <w:sz w:val="24"/>
                <w:szCs w:val="24"/>
              </w:rPr>
            </w:pP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020</w:t>
            </w:r>
          </w:p>
        </w:tc>
        <w:tc>
          <w:tcPr>
            <w:tcW w:w="7877" w:type="dxa"/>
          </w:tcPr>
          <w:p w:rsidR="00AC6255" w:rsidRPr="00EF7F33" w:rsidRDefault="00AC6255" w:rsidP="000B0B09">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BANKARSKE AKTIVNOSTI KOJE PODLIJEŽU STANDARDIZIR</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NOM/ALTERNATIVNOM STANDARDIZIRANOM PRISTUPU</w:t>
            </w:r>
          </w:p>
          <w:p w:rsidR="00AC6255" w:rsidRPr="00EF7F33" w:rsidRDefault="00AC6255" w:rsidP="000B0B09">
            <w:pPr>
              <w:autoSpaceDE w:val="0"/>
              <w:autoSpaceDN w:val="0"/>
              <w:adjustRightInd w:val="0"/>
              <w:spacing w:before="0" w:after="0"/>
              <w:rPr>
                <w:rFonts w:ascii="Times New Roman" w:hAnsi="Times New Roman"/>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Iskazuje se kapitalni zahtjev izračunan u skladu sa standardiziranim i altern</w:t>
            </w:r>
            <w:r w:rsidRPr="00EF7F33">
              <w:rPr>
                <w:rFonts w:ascii="Times New Roman" w:hAnsi="Times New Roman"/>
                <w:sz w:val="24"/>
              </w:rPr>
              <w:t>a</w:t>
            </w:r>
            <w:r w:rsidRPr="00EF7F33">
              <w:rPr>
                <w:rFonts w:ascii="Times New Roman" w:hAnsi="Times New Roman"/>
                <w:sz w:val="24"/>
              </w:rPr>
              <w:t>tivnim standardiziranim pristupom (članci od 317. do 319. CRR-a).</w:t>
            </w:r>
          </w:p>
          <w:p w:rsidR="00AC6255" w:rsidRPr="00EF7F33" w:rsidRDefault="00AC6255" w:rsidP="000B0B09">
            <w:pPr>
              <w:autoSpaceDE w:val="0"/>
              <w:autoSpaceDN w:val="0"/>
              <w:adjustRightInd w:val="0"/>
              <w:spacing w:before="0" w:after="0"/>
              <w:rPr>
                <w:rFonts w:ascii="Times New Roman" w:hAnsi="Times New Roman"/>
                <w:bCs/>
                <w:sz w:val="24"/>
              </w:rPr>
            </w:pPr>
          </w:p>
        </w:tc>
      </w:tr>
      <w:tr w:rsidR="00AC6255" w:rsidRPr="00EF7F33" w:rsidTr="00672D2A">
        <w:trPr>
          <w:trHeight w:val="1705"/>
        </w:trPr>
        <w:tc>
          <w:tcPr>
            <w:tcW w:w="985" w:type="dxa"/>
          </w:tcPr>
          <w:p w:rsidR="00AC6255" w:rsidRPr="00EF7F33" w:rsidRDefault="00AC6255"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030 – 100</w:t>
            </w:r>
          </w:p>
        </w:tc>
        <w:tc>
          <w:tcPr>
            <w:tcW w:w="7877" w:type="dxa"/>
          </w:tcPr>
          <w:p w:rsidR="00AC6255" w:rsidRPr="00EF7F33" w:rsidRDefault="00AC6255" w:rsidP="000B0B09">
            <w:pPr>
              <w:rPr>
                <w:rStyle w:val="InstructionsTabelleberschrift"/>
                <w:rFonts w:ascii="Times New Roman" w:hAnsi="Times New Roman"/>
                <w:sz w:val="24"/>
              </w:rPr>
            </w:pPr>
            <w:r w:rsidRPr="00EF7F33">
              <w:rPr>
                <w:rStyle w:val="InstructionsTabelleberschrift"/>
                <w:rFonts w:ascii="Times New Roman" w:hAnsi="Times New Roman"/>
                <w:sz w:val="24"/>
              </w:rPr>
              <w:t>PODLOŽNO STANDARDIZIRANOM PRISTUPU</w:t>
            </w:r>
          </w:p>
          <w:p w:rsidR="00AC6255" w:rsidRPr="00EF7F33" w:rsidRDefault="00AC6255" w:rsidP="00A95FD0">
            <w:pPr>
              <w:autoSpaceDE w:val="0"/>
              <w:autoSpaceDN w:val="0"/>
              <w:adjustRightInd w:val="0"/>
              <w:spacing w:before="0" w:after="0"/>
              <w:jc w:val="left"/>
              <w:rPr>
                <w:rFonts w:ascii="Times New Roman" w:hAnsi="Times New Roman"/>
                <w:bCs/>
                <w:sz w:val="24"/>
              </w:rPr>
            </w:pPr>
            <w:r w:rsidRPr="00EF7F33">
              <w:rPr>
                <w:rFonts w:ascii="Times New Roman" w:hAnsi="Times New Roman"/>
                <w:sz w:val="24"/>
              </w:rPr>
              <w:t>U slučaju primjene standardiziranog pristupa, relevantni pokazatelj za svaku odnosnu godinu raspoređuje se u retke od 030 do 100 među poslovne linije d</w:t>
            </w:r>
            <w:r w:rsidRPr="00EF7F33">
              <w:rPr>
                <w:rFonts w:ascii="Times New Roman" w:hAnsi="Times New Roman"/>
                <w:sz w:val="24"/>
              </w:rPr>
              <w:t>e</w:t>
            </w:r>
            <w:r w:rsidRPr="00EF7F33">
              <w:rPr>
                <w:rFonts w:ascii="Times New Roman" w:hAnsi="Times New Roman"/>
                <w:sz w:val="24"/>
              </w:rPr>
              <w:t>finirane u članku 317. tablici 2. CRR-a. Raspoređivanje aktivnosti u poslovne linije u skladu je s načelima opisanima u članku 318. CRR-a.</w:t>
            </w:r>
          </w:p>
        </w:tc>
      </w:tr>
      <w:tr w:rsidR="00AC6255" w:rsidRPr="00EF7F33" w:rsidTr="00672D2A">
        <w:tc>
          <w:tcPr>
            <w:tcW w:w="985" w:type="dxa"/>
          </w:tcPr>
          <w:p w:rsidR="00AC6255" w:rsidRPr="00EF7F33" w:rsidRDefault="00AC6255"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t>110-120</w:t>
            </w:r>
          </w:p>
        </w:tc>
        <w:tc>
          <w:tcPr>
            <w:tcW w:w="7877" w:type="dxa"/>
          </w:tcPr>
          <w:p w:rsidR="00AC6255" w:rsidRPr="00EF7F33" w:rsidRDefault="00AC6255" w:rsidP="000B0B09">
            <w:pPr>
              <w:autoSpaceDE w:val="0"/>
              <w:autoSpaceDN w:val="0"/>
              <w:adjustRightInd w:val="0"/>
              <w:spacing w:before="0" w:after="0"/>
              <w:jc w:val="left"/>
              <w:rPr>
                <w:rStyle w:val="InstructionsTabelleberschrift"/>
                <w:rFonts w:ascii="Times New Roman" w:hAnsi="Times New Roman"/>
                <w:sz w:val="24"/>
              </w:rPr>
            </w:pPr>
            <w:r w:rsidRPr="00EF7F33">
              <w:rPr>
                <w:rStyle w:val="InstructionsTabelleberschrift"/>
                <w:rFonts w:ascii="Times New Roman" w:hAnsi="Times New Roman"/>
                <w:sz w:val="24"/>
              </w:rPr>
              <w:t>PODLOŽNO ALTERNATIVNOM STANDARDIZIRANOM PRISTUPU</w:t>
            </w:r>
          </w:p>
          <w:p w:rsidR="00AC6255" w:rsidRPr="00EF7F33" w:rsidRDefault="00AC6255" w:rsidP="000B0B09">
            <w:pPr>
              <w:rPr>
                <w:rFonts w:ascii="Times New Roman" w:hAnsi="Times New Roman"/>
                <w:sz w:val="24"/>
              </w:rPr>
            </w:pPr>
            <w:r w:rsidRPr="00EF7F33">
              <w:rPr>
                <w:rFonts w:ascii="Times New Roman" w:hAnsi="Times New Roman"/>
                <w:sz w:val="24"/>
              </w:rPr>
              <w:t>Institucije koje primjenjuju alternativni standardizirani pristup (članak 319. CRR-a) za odnosne godine iskazuju relevantni pokazatelj zasebno za svaku p</w:t>
            </w:r>
            <w:r w:rsidRPr="00EF7F33">
              <w:rPr>
                <w:rFonts w:ascii="Times New Roman" w:hAnsi="Times New Roman"/>
                <w:sz w:val="24"/>
              </w:rPr>
              <w:t>o</w:t>
            </w:r>
            <w:r w:rsidRPr="00EF7F33">
              <w:rPr>
                <w:rFonts w:ascii="Times New Roman" w:hAnsi="Times New Roman"/>
                <w:sz w:val="24"/>
              </w:rPr>
              <w:t xml:space="preserve">slovnu liniju u redcima od 030 do 050 i od 080 do 100 te u redcima 110 i 120 za poslovne linije „poslovno bankarstvo” i „poslovanje sa stanovništvom”. </w:t>
            </w:r>
          </w:p>
          <w:p w:rsidR="00AC6255" w:rsidRPr="00EF7F33" w:rsidRDefault="00AC6255" w:rsidP="008E48D1">
            <w:pPr>
              <w:autoSpaceDE w:val="0"/>
              <w:autoSpaceDN w:val="0"/>
              <w:adjustRightInd w:val="0"/>
              <w:spacing w:before="0" w:after="0"/>
              <w:rPr>
                <w:rFonts w:ascii="Times New Roman" w:hAnsi="Times New Roman"/>
                <w:bCs/>
                <w:sz w:val="24"/>
              </w:rPr>
            </w:pPr>
            <w:r w:rsidRPr="00EF7F33">
              <w:rPr>
                <w:rStyle w:val="InstructionsTabelleText"/>
                <w:rFonts w:ascii="Times New Roman" w:hAnsi="Times New Roman"/>
                <w:sz w:val="24"/>
              </w:rPr>
              <w:t>U redcima 110 i 120 iskazuje se iznos relevantnog pokazatelja aktivnosti koje podliježu alternativnom standardiziranom pristupu, pri čemu se razlikuju akti</w:t>
            </w:r>
            <w:r w:rsidRPr="00EF7F33">
              <w:rPr>
                <w:rStyle w:val="InstructionsTabelleText"/>
                <w:rFonts w:ascii="Times New Roman" w:hAnsi="Times New Roman"/>
                <w:sz w:val="24"/>
              </w:rPr>
              <w:t>v</w:t>
            </w:r>
            <w:r w:rsidRPr="00EF7F33">
              <w:rPr>
                <w:rStyle w:val="InstructionsTabelleText"/>
                <w:rFonts w:ascii="Times New Roman" w:hAnsi="Times New Roman"/>
                <w:sz w:val="24"/>
              </w:rPr>
              <w:t>nosti koje odgovaraju poslovnoj liniji „poslovno bankarstvo” i aktivnosti koje odgovaraju poslovnoj liniji „poslovanje sa stanovništvom” (članak 319. CRR-a). Mogu postojati i iznosi za retke koji odgovaraju „poslovnom bankarstvu” i „poslovanju sa stanovništvom” u skladu sa standardiziranim pristupom (redci 060 i 070) te u skladu s alternativnim standardiziranim pristupom u redcima 110 i 120 (npr. ako se na društvo kćer primjenjuje standardizirani pristup, a na matični subjekt alternativni standardizirani pristup).</w:t>
            </w:r>
          </w:p>
        </w:tc>
      </w:tr>
      <w:tr w:rsidR="00AC6255" w:rsidRPr="00EF7F33" w:rsidTr="00672D2A">
        <w:tc>
          <w:tcPr>
            <w:tcW w:w="985" w:type="dxa"/>
          </w:tcPr>
          <w:p w:rsidR="00AC6255" w:rsidRPr="00EF7F33" w:rsidRDefault="00AC6255"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130</w:t>
            </w:r>
          </w:p>
        </w:tc>
        <w:tc>
          <w:tcPr>
            <w:tcW w:w="7877" w:type="dxa"/>
          </w:tcPr>
          <w:p w:rsidR="00AC6255" w:rsidRPr="00EF7F33" w:rsidRDefault="00AC6255" w:rsidP="000B0B09">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BANKARSKE AKTIVNOSTI KOJE PODLIJEŽU NAPREDNIM PRI</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TUPIMA</w:t>
            </w:r>
          </w:p>
          <w:p w:rsidR="00AC6255" w:rsidRPr="00EF7F33" w:rsidRDefault="00AC6255" w:rsidP="000B0B09">
            <w:pPr>
              <w:autoSpaceDE w:val="0"/>
              <w:autoSpaceDN w:val="0"/>
              <w:adjustRightInd w:val="0"/>
              <w:spacing w:before="0" w:after="0"/>
              <w:rPr>
                <w:rFonts w:ascii="Times New Roman" w:hAnsi="Times New Roman"/>
                <w:bCs/>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Iskazuju se relevantni podaci za institucije koje podliježu naprednim pristup</w:t>
            </w:r>
            <w:r w:rsidRPr="00EF7F33">
              <w:rPr>
                <w:rFonts w:ascii="Times New Roman" w:hAnsi="Times New Roman"/>
                <w:sz w:val="24"/>
              </w:rPr>
              <w:t>i</w:t>
            </w:r>
            <w:r w:rsidRPr="00EF7F33">
              <w:rPr>
                <w:rFonts w:ascii="Times New Roman" w:hAnsi="Times New Roman"/>
                <w:sz w:val="24"/>
              </w:rPr>
              <w:t xml:space="preserve">ma (članak 312. točka 2. i članci od 321. do 323. CRR-a). </w:t>
            </w:r>
          </w:p>
          <w:p w:rsidR="00AC6255" w:rsidRPr="00EF7F33" w:rsidRDefault="00AC6255" w:rsidP="000B0B09">
            <w:pPr>
              <w:autoSpaceDE w:val="0"/>
              <w:autoSpaceDN w:val="0"/>
              <w:adjustRightInd w:val="0"/>
              <w:spacing w:before="0" w:after="0"/>
              <w:rPr>
                <w:rFonts w:ascii="Times New Roman" w:hAnsi="Times New Roman"/>
                <w:sz w:val="24"/>
              </w:rPr>
            </w:pPr>
          </w:p>
          <w:p w:rsidR="00AC6255" w:rsidRPr="00EF7F33" w:rsidRDefault="00AC6255"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 slučaju kombinirane primjene različitih pristupa kako je navedeno u članku 314. CRR-a, iskazuju se informacije o relevantnom pokazatelju za aktivnosti koje podliježu naprednim pristupima. To je slučaj i za sve ostale banke koje primjenjuju napredne pristupe.</w:t>
            </w:r>
          </w:p>
          <w:p w:rsidR="00AC6255" w:rsidRPr="00EF7F33" w:rsidRDefault="00AC6255" w:rsidP="000B0B09">
            <w:pPr>
              <w:autoSpaceDE w:val="0"/>
              <w:autoSpaceDN w:val="0"/>
              <w:adjustRightInd w:val="0"/>
              <w:spacing w:before="0" w:after="0"/>
              <w:rPr>
                <w:rFonts w:ascii="Times New Roman" w:hAnsi="Times New Roman"/>
                <w:bCs/>
                <w:sz w:val="24"/>
              </w:rPr>
            </w:pPr>
          </w:p>
        </w:tc>
      </w:tr>
    </w:tbl>
    <w:p w:rsidR="00AC6255" w:rsidRPr="00EF7F33" w:rsidRDefault="00AC6255" w:rsidP="00AC6255">
      <w:pPr>
        <w:pStyle w:val="PlainText"/>
        <w:jc w:val="both"/>
        <w:rPr>
          <w:rFonts w:ascii="Times New Roman" w:hAnsi="Times New Roman"/>
          <w:sz w:val="24"/>
          <w:szCs w:val="24"/>
        </w:rPr>
      </w:pPr>
    </w:p>
    <w:p w:rsidR="00AC6255" w:rsidRPr="00EF7F33" w:rsidRDefault="00AC6255" w:rsidP="00AC6255">
      <w:pPr>
        <w:rPr>
          <w:rFonts w:ascii="Times New Roman" w:hAnsi="Times New Roman"/>
          <w:sz w:val="24"/>
        </w:rPr>
      </w:pPr>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27" w:name="_Toc473560939"/>
      <w:bookmarkStart w:id="528" w:name="_Toc473560940"/>
      <w:bookmarkStart w:id="529" w:name="_Toc473560941"/>
      <w:bookmarkStart w:id="530" w:name="_Toc473560942"/>
      <w:bookmarkStart w:id="531" w:name="_Toc473560943"/>
      <w:bookmarkStart w:id="532" w:name="_Toc473560944"/>
      <w:bookmarkStart w:id="533" w:name="_Toc473560945"/>
      <w:bookmarkStart w:id="534" w:name="_Toc473560946"/>
      <w:bookmarkStart w:id="535" w:name="_Toc473560947"/>
      <w:bookmarkStart w:id="536" w:name="_Toc473560948"/>
      <w:bookmarkStart w:id="537" w:name="_Toc473560949"/>
      <w:bookmarkStart w:id="538" w:name="_Toc473560950"/>
      <w:bookmarkStart w:id="539" w:name="_Toc473560951"/>
      <w:bookmarkStart w:id="540" w:name="_Toc473560952"/>
      <w:bookmarkStart w:id="541" w:name="_Toc473560953"/>
      <w:bookmarkStart w:id="542" w:name="_Toc473560954"/>
      <w:bookmarkStart w:id="543" w:name="_Toc473560955"/>
      <w:bookmarkStart w:id="544" w:name="_Toc473560956"/>
      <w:bookmarkStart w:id="545" w:name="_Toc473560957"/>
      <w:bookmarkStart w:id="546" w:name="_Toc473560958"/>
      <w:bookmarkStart w:id="547" w:name="_Toc473560959"/>
      <w:bookmarkStart w:id="548" w:name="_Toc473560960"/>
      <w:bookmarkStart w:id="549" w:name="_Toc473560961"/>
      <w:bookmarkStart w:id="550" w:name="_Toc473560962"/>
      <w:bookmarkStart w:id="551" w:name="_Toc473560963"/>
      <w:bookmarkStart w:id="552" w:name="_Toc473560964"/>
      <w:bookmarkStart w:id="553" w:name="_Toc473560965"/>
      <w:bookmarkStart w:id="554" w:name="_Toc473560966"/>
      <w:bookmarkStart w:id="555" w:name="_Toc473560967"/>
      <w:bookmarkStart w:id="556" w:name="_Toc473560968"/>
      <w:bookmarkStart w:id="557" w:name="_Toc473560969"/>
      <w:bookmarkStart w:id="558" w:name="_Toc473560970"/>
      <w:bookmarkStart w:id="559" w:name="_Toc473560989"/>
      <w:bookmarkStart w:id="560" w:name="_Toc473560990"/>
      <w:bookmarkStart w:id="561" w:name="_Toc473561022"/>
      <w:bookmarkStart w:id="562" w:name="_Toc516210674"/>
      <w:bookmarkStart w:id="563" w:name="_Toc473561023"/>
      <w:bookmarkStart w:id="564" w:name="_Toc52399816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EF7F33">
        <w:rPr>
          <w:rFonts w:ascii="Times New Roman" w:hAnsi="Times New Roman"/>
          <w:sz w:val="24"/>
          <w:u w:val="none"/>
        </w:rPr>
        <w:t>4.2.</w:t>
      </w:r>
      <w:r w:rsidRPr="00EF7F33">
        <w:tab/>
      </w:r>
      <w:r w:rsidRPr="00EF7F33">
        <w:rPr>
          <w:rFonts w:ascii="Times New Roman" w:hAnsi="Times New Roman"/>
          <w:sz w:val="24"/>
        </w:rPr>
        <w:t>Operativni rizik: Detaljne informacije o gubicima iz prethodne godine (OPR D</w:t>
      </w:r>
      <w:r w:rsidRPr="00EF7F33">
        <w:rPr>
          <w:rFonts w:ascii="Times New Roman" w:hAnsi="Times New Roman"/>
          <w:sz w:val="24"/>
        </w:rPr>
        <w:t>E</w:t>
      </w:r>
      <w:r w:rsidRPr="00EF7F33">
        <w:rPr>
          <w:rFonts w:ascii="Times New Roman" w:hAnsi="Times New Roman"/>
          <w:sz w:val="24"/>
        </w:rPr>
        <w:t>TALJNIJI PODACI)</w:t>
      </w:r>
      <w:bookmarkEnd w:id="562"/>
      <w:bookmarkEnd w:id="563"/>
      <w:bookmarkEnd w:id="564"/>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65" w:name="_Toc516210675"/>
      <w:bookmarkStart w:id="566" w:name="_Toc473561024"/>
      <w:bookmarkStart w:id="567" w:name="_Toc523998167"/>
      <w:r w:rsidRPr="00EF7F33">
        <w:rPr>
          <w:rFonts w:ascii="Times New Roman" w:hAnsi="Times New Roman"/>
          <w:sz w:val="24"/>
          <w:u w:val="none"/>
        </w:rPr>
        <w:t>4.2.1.</w:t>
      </w:r>
      <w:r w:rsidRPr="00EF7F33">
        <w:tab/>
      </w:r>
      <w:r w:rsidRPr="00EF7F33">
        <w:rPr>
          <w:rFonts w:ascii="Times New Roman" w:hAnsi="Times New Roman"/>
          <w:sz w:val="24"/>
        </w:rPr>
        <w:t>Opće napomene</w:t>
      </w:r>
      <w:bookmarkEnd w:id="565"/>
      <w:bookmarkEnd w:id="566"/>
      <w:bookmarkEnd w:id="567"/>
    </w:p>
    <w:p w:rsidR="00FD54FC" w:rsidRPr="00EF7F33" w:rsidRDefault="00125707" w:rsidP="00C37B29">
      <w:pPr>
        <w:pStyle w:val="InstructionsText2"/>
        <w:numPr>
          <w:ilvl w:val="0"/>
          <w:numId w:val="0"/>
        </w:numPr>
        <w:ind w:left="993"/>
      </w:pPr>
      <w:r w:rsidRPr="00EF7F33">
        <w:t>120.</w:t>
      </w:r>
      <w:r w:rsidRPr="00EF7F33">
        <w:tab/>
        <w:t>U obrascu C 17.01 (OPR DETALJNIJI PODACI 1) navode se sažete inform</w:t>
      </w:r>
      <w:r w:rsidRPr="00EF7F33">
        <w:t>a</w:t>
      </w:r>
      <w:r w:rsidRPr="00EF7F33">
        <w:t>cije o bruto gubicima i povratima gubitaka koje je institucija zabilježila u pretho</w:t>
      </w:r>
      <w:r w:rsidRPr="00EF7F33">
        <w:t>d</w:t>
      </w:r>
      <w:r w:rsidRPr="00EF7F33">
        <w:t>noj godini, prema vrstama događaja i poslovnim linijama. U obrascu C 17.02 (OPR DETALJNIJI PODACI 2) navode se detaljne informacije o najvećim štetnim dog</w:t>
      </w:r>
      <w:r w:rsidRPr="00EF7F33">
        <w:t>a</w:t>
      </w:r>
      <w:r w:rsidRPr="00EF7F33">
        <w:t xml:space="preserve">đajima iz prethodne godine. </w:t>
      </w:r>
    </w:p>
    <w:p w:rsidR="00FD54FC" w:rsidRPr="00EF7F33" w:rsidRDefault="00125707" w:rsidP="00C37B29">
      <w:pPr>
        <w:pStyle w:val="InstructionsText2"/>
        <w:numPr>
          <w:ilvl w:val="0"/>
          <w:numId w:val="0"/>
        </w:numPr>
        <w:ind w:left="993"/>
      </w:pPr>
      <w:r w:rsidRPr="00EF7F33">
        <w:t>121.</w:t>
      </w:r>
      <w:r w:rsidRPr="00EF7F33">
        <w:tab/>
        <w:t xml:space="preserve">Gubici od operativnog rizika koji su povezani s kreditnim rizikom i podliježu kapitalnim zahtjevima za kreditni rizik (događaji povezani s kreditnim rizikom i </w:t>
      </w:r>
      <w:r w:rsidRPr="00EF7F33">
        <w:lastRenderedPageBreak/>
        <w:t>operativnim rizikom) ne uzimaju se u obzir ni u obrascu C 17.01 ni u obrascu C 17.02.</w:t>
      </w:r>
    </w:p>
    <w:p w:rsidR="00FD54FC" w:rsidRPr="00EF7F33" w:rsidRDefault="00125707" w:rsidP="00C37B29">
      <w:pPr>
        <w:pStyle w:val="InstructionsText2"/>
        <w:numPr>
          <w:ilvl w:val="0"/>
          <w:numId w:val="0"/>
        </w:numPr>
        <w:ind w:left="993"/>
      </w:pPr>
      <w:r w:rsidRPr="00EF7F33">
        <w:t>122.</w:t>
      </w:r>
      <w:r w:rsidRPr="00EF7F33">
        <w:tab/>
        <w:t>U slučaju kombinirane primjene različitih pristupa za izračun kapitalnih za</w:t>
      </w:r>
      <w:r w:rsidRPr="00EF7F33">
        <w:t>h</w:t>
      </w:r>
      <w:r w:rsidRPr="00EF7F33">
        <w:t>tjeva za operativni rizik u skladu s člankom 314. CRR-a, gubici i povrati koje je i</w:t>
      </w:r>
      <w:r w:rsidRPr="00EF7F33">
        <w:t>n</w:t>
      </w:r>
      <w:r w:rsidRPr="00EF7F33">
        <w:t>stitucija zabilježila iskazuju se u obrascima C 17.01 i C 17.02, neovisno o tome koji se pristup primjenjuje za izračun kapitalnih zahtjeva.</w:t>
      </w:r>
    </w:p>
    <w:p w:rsidR="00FD54FC" w:rsidRPr="00EF7F33" w:rsidRDefault="00125707" w:rsidP="00C37B29">
      <w:pPr>
        <w:pStyle w:val="InstructionsText2"/>
        <w:numPr>
          <w:ilvl w:val="0"/>
          <w:numId w:val="0"/>
        </w:numPr>
        <w:ind w:left="993"/>
      </w:pPr>
      <w:r w:rsidRPr="00EF7F33">
        <w:t>123.</w:t>
      </w:r>
      <w:r w:rsidRPr="00EF7F33">
        <w:tab/>
        <w:t>„Bruto gubitak” znači gubitak koji proizlazi iz događaja ili vrste događaja p</w:t>
      </w:r>
      <w:r w:rsidRPr="00EF7F33">
        <w:t>o</w:t>
      </w:r>
      <w:r w:rsidRPr="00EF7F33">
        <w:t xml:space="preserve">vezane s operativnim rizikom – kako je navedeno u članku 322. stavku 3. točki (b) CRR-a – prije bilo kakvog povrata, ne dovodeći u pitanje točku „štetni događaji s brzim povratom” kako je definirana u nastavku. </w:t>
      </w:r>
    </w:p>
    <w:p w:rsidR="00FD54FC" w:rsidRPr="00EF7F33" w:rsidRDefault="00125707" w:rsidP="00C37B29">
      <w:pPr>
        <w:pStyle w:val="InstructionsText2"/>
        <w:numPr>
          <w:ilvl w:val="0"/>
          <w:numId w:val="0"/>
        </w:numPr>
        <w:ind w:left="993"/>
      </w:pPr>
      <w:r w:rsidRPr="00EF7F33">
        <w:t>124.</w:t>
      </w:r>
      <w:r w:rsidRPr="00EF7F33">
        <w:tab/>
        <w:t>„Povrat” znači neovisni događaj povezan s izvornim gubitkom od operativnog rizika koji je vremenski odvojen i pri kojem se financijska sredstva ili priljevi ek</w:t>
      </w:r>
      <w:r w:rsidRPr="00EF7F33">
        <w:t>o</w:t>
      </w:r>
      <w:r w:rsidRPr="00EF7F33">
        <w:t>nomskih koristi primaju od prvih ili trećih strana, poput osiguravatelja i drugih os</w:t>
      </w:r>
      <w:r w:rsidRPr="00EF7F33">
        <w:t>o</w:t>
      </w:r>
      <w:r w:rsidRPr="00EF7F33">
        <w:t>ba. Povrati se raščlanjuju na povrate od osiguranja i drugih mehanizama za prijenos rizika i izravne povrate.</w:t>
      </w:r>
    </w:p>
    <w:p w:rsidR="00FD54FC" w:rsidRPr="00EF7F33" w:rsidRDefault="00125707" w:rsidP="00C37B29">
      <w:pPr>
        <w:pStyle w:val="InstructionsText2"/>
        <w:numPr>
          <w:ilvl w:val="0"/>
          <w:numId w:val="0"/>
        </w:numPr>
        <w:ind w:left="993"/>
      </w:pPr>
      <w:r w:rsidRPr="00EF7F33">
        <w:t>125.</w:t>
      </w:r>
      <w:r w:rsidRPr="00EF7F33">
        <w:tab/>
        <w:t>„Štetni događaji s brzim povratom” znači događaji povezani s operativnim r</w:t>
      </w:r>
      <w:r w:rsidRPr="00EF7F33">
        <w:t>i</w:t>
      </w:r>
      <w:r w:rsidRPr="00EF7F33">
        <w:t>zikom koji dovode do gubitaka za koje je povrat ostvaren, djelomično ili u cijelosti, u roku od pet radnih dana. U slučaju štetnog događaja s brzim povratom u definic</w:t>
      </w:r>
      <w:r w:rsidRPr="00EF7F33">
        <w:t>i</w:t>
      </w:r>
      <w:r w:rsidRPr="00EF7F33">
        <w:t>ju bruto gubitka uključuje se samo dio gubitka za koji povrat nije ostvaren u cijelo</w:t>
      </w:r>
      <w:r w:rsidRPr="00EF7F33">
        <w:t>s</w:t>
      </w:r>
      <w:r w:rsidRPr="00EF7F33">
        <w:t>ti (tj. gubitak umanjen za djelomični brzi povrat). Posljedično, štetni događaji koji dovode do gubitaka za koje je povrat ostvaren u cijelosti u roku od pet radnih dana ne uključuju se u definiciju bruto gubitka ni u izvješćivanje u obrazac OPR D</w:t>
      </w:r>
      <w:r w:rsidRPr="00EF7F33">
        <w:t>E</w:t>
      </w:r>
      <w:r w:rsidRPr="00EF7F33">
        <w:t>TALJNIJI PODACI.</w:t>
      </w:r>
    </w:p>
    <w:p w:rsidR="00FD54FC" w:rsidRPr="00EF7F33" w:rsidRDefault="00125707" w:rsidP="00C37B29">
      <w:pPr>
        <w:pStyle w:val="InstructionsText2"/>
        <w:numPr>
          <w:ilvl w:val="0"/>
          <w:numId w:val="0"/>
        </w:numPr>
        <w:ind w:left="993"/>
      </w:pPr>
      <w:r w:rsidRPr="00EF7F33">
        <w:t>126.</w:t>
      </w:r>
      <w:r w:rsidRPr="00EF7F33">
        <w:tab/>
        <w:t>„Računovodstveni datum” znači datum kada su gubitak ili rezerva/pričuva prvi put priznati u računu dobiti i gubitka u odnosu na gubitak od operativnog rizika. Taj datum logično slijedi nakon „datuma događaja” (tj. datuma nastanka ili početka d</w:t>
      </w:r>
      <w:r w:rsidRPr="00EF7F33">
        <w:t>o</w:t>
      </w:r>
      <w:r w:rsidRPr="00EF7F33">
        <w:t>gađaja povezanog s operativnim rizikom) i „datuma otkrića” (tj. datuma kada je i</w:t>
      </w:r>
      <w:r w:rsidRPr="00EF7F33">
        <w:t>n</w:t>
      </w:r>
      <w:r w:rsidRPr="00EF7F33">
        <w:t xml:space="preserve">stitucija saznala za događaj povezan s operativnim rizikom). </w:t>
      </w:r>
    </w:p>
    <w:p w:rsidR="00FD54FC" w:rsidRPr="00EF7F33" w:rsidRDefault="00125707" w:rsidP="00C37B29">
      <w:pPr>
        <w:pStyle w:val="InstructionsText2"/>
        <w:numPr>
          <w:ilvl w:val="0"/>
          <w:numId w:val="0"/>
        </w:numPr>
        <w:ind w:left="993"/>
      </w:pPr>
      <w:r w:rsidRPr="00EF7F33">
        <w:t>127.</w:t>
      </w:r>
      <w:r w:rsidRPr="00EF7F33">
        <w:tab/>
        <w:t>Grupiraju se gubici uzrokovani zajedničkim događajem povezanim s operati</w:t>
      </w:r>
      <w:r w:rsidRPr="00EF7F33">
        <w:t>v</w:t>
      </w:r>
      <w:r w:rsidRPr="00EF7F33">
        <w:t>nim rizikom ili višestrukim događajima povezanima s izvornim događajem povez</w:t>
      </w:r>
      <w:r w:rsidRPr="00EF7F33">
        <w:t>a</w:t>
      </w:r>
      <w:r w:rsidRPr="00EF7F33">
        <w:t>nim s operativnim rizikom koji dovodi do događaja ili gubitaka (izvorni događaj). Grupirani događaji uzimaju se u obzir i iskazuju kao jedan događaj i stoga se zbr</w:t>
      </w:r>
      <w:r w:rsidRPr="00EF7F33">
        <w:t>a</w:t>
      </w:r>
      <w:r w:rsidRPr="00EF7F33">
        <w:t>jaju povezani iznosi bruto gubitaka odnosno iznosi usklađenja gubitaka.</w:t>
      </w:r>
    </w:p>
    <w:p w:rsidR="00FD54FC" w:rsidRPr="00EF7F33" w:rsidRDefault="00125707" w:rsidP="00C37B29">
      <w:pPr>
        <w:pStyle w:val="InstructionsText2"/>
        <w:numPr>
          <w:ilvl w:val="0"/>
          <w:numId w:val="0"/>
        </w:numPr>
        <w:ind w:left="993"/>
      </w:pPr>
      <w:r w:rsidRPr="00EF7F33">
        <w:t>128.</w:t>
      </w:r>
      <w:r w:rsidRPr="00EF7F33">
        <w:tab/>
        <w:t>Vrijednosti iz lipnja pojedine godine vrijednosti su na sredini razdoblja, a o konačnim se vrijednostima izvješćuje u prosincu. Prema tome, vrijednosti iz lipnja odnose se na referentno razdoblje od šest mjeseci (tj. od 1. siječnja do 30. lipnja k</w:t>
      </w:r>
      <w:r w:rsidRPr="00EF7F33">
        <w:t>a</w:t>
      </w:r>
      <w:r w:rsidRPr="00EF7F33">
        <w:t>lendarske godine), a vrijednosti iz prosinca na referentno razdoblje od dvanaest mjeseci (tj. od 1. siječnja do 31. prosinca kalendarske godine). Za podatke koji se iskazuju u lipnju i prosincu „prethodna referentna izvještajna razdoblja” znači sva referentna izvještajna razdoblja do kraja prethodne kalendarske godine i uključujući tu prethodnu godinu.</w:t>
      </w:r>
    </w:p>
    <w:p w:rsidR="00FD54FC" w:rsidRPr="00EF7F33" w:rsidRDefault="00125707" w:rsidP="00C37B29">
      <w:pPr>
        <w:pStyle w:val="InstructionsText2"/>
        <w:numPr>
          <w:ilvl w:val="0"/>
          <w:numId w:val="0"/>
        </w:numPr>
        <w:ind w:left="993"/>
      </w:pPr>
      <w:r w:rsidRPr="00EF7F33">
        <w:t>129.</w:t>
      </w:r>
      <w:r w:rsidRPr="00EF7F33">
        <w:tab/>
        <w:t xml:space="preserve">Za provjeru uvjeta predviđenih člankom 5. stavkom (b) točkom 2. podtočkom (b) i. ove Uredbe institucije upotrebljavaju „zbroj pojedinačnih ukupnih bilanci svih </w:t>
      </w:r>
      <w:r w:rsidRPr="00EF7F33">
        <w:lastRenderedPageBreak/>
        <w:t>institucija u istoj državi članici” na temelju najnovijih statističkih podataka koji su dostupni na internetskim stranicama EBA-e za objavu nadzornih podataka. Kako bi se provjerili uvjeti predviđeni člankom 5. stavkom (b) točkom 2. podtočkom (b) iii., koristi se bruto domaći proizvod po tržišnim cijenama kako je definiran u točki 8.89 Priloga A Uredbi (EU) br. 549/2013 Europskog parlamenta i Vijeća (ESA 2010) i koji je Eurostat objavio za prethodnu kalendarsku godinu.</w:t>
      </w:r>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68" w:name="_Toc516210676"/>
      <w:bookmarkStart w:id="569" w:name="_Toc473561025"/>
      <w:bookmarkStart w:id="570" w:name="_Toc523998168"/>
      <w:r w:rsidRPr="00EF7F33">
        <w:rPr>
          <w:rFonts w:ascii="Times New Roman" w:hAnsi="Times New Roman"/>
          <w:sz w:val="24"/>
          <w:u w:val="none"/>
        </w:rPr>
        <w:t>4.2.2.</w:t>
      </w:r>
      <w:r w:rsidRPr="00EF7F33">
        <w:tab/>
      </w:r>
      <w:r w:rsidRPr="00EF7F33">
        <w:rPr>
          <w:rFonts w:ascii="Times New Roman" w:hAnsi="Times New Roman"/>
          <w:sz w:val="24"/>
        </w:rPr>
        <w:t xml:space="preserve">C 17.01: Operativni rizik: gubici i </w:t>
      </w:r>
      <w:r w:rsidR="007F1AD6">
        <w:rPr>
          <w:rFonts w:ascii="Times New Roman" w:hAnsi="Times New Roman"/>
          <w:sz w:val="24"/>
        </w:rPr>
        <w:t>povrati</w:t>
      </w:r>
      <w:bookmarkStart w:id="571" w:name="_GoBack"/>
      <w:bookmarkEnd w:id="571"/>
      <w:r w:rsidRPr="00EF7F33">
        <w:rPr>
          <w:rFonts w:ascii="Times New Roman" w:hAnsi="Times New Roman"/>
          <w:sz w:val="24"/>
        </w:rPr>
        <w:t xml:space="preserve"> prema poslovnim linijama i vrsti događaja u prethodnoj godini (OPR DETALJNIJI PODACI 1)</w:t>
      </w:r>
      <w:bookmarkEnd w:id="568"/>
      <w:bookmarkEnd w:id="569"/>
      <w:bookmarkEnd w:id="570"/>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3998169"/>
      <w:r w:rsidRPr="00EF7F33">
        <w:rPr>
          <w:rFonts w:ascii="Times New Roman" w:hAnsi="Times New Roman"/>
          <w:sz w:val="24"/>
          <w:u w:val="none"/>
        </w:rPr>
        <w:t>4.2.2.1.</w:t>
      </w:r>
      <w:r w:rsidRPr="00EF7F33">
        <w:tab/>
      </w:r>
      <w:r w:rsidRPr="00EF7F33">
        <w:rPr>
          <w:rFonts w:ascii="Times New Roman" w:hAnsi="Times New Roman"/>
          <w:sz w:val="24"/>
        </w:rPr>
        <w:t>Opće napomene</w:t>
      </w:r>
      <w:bookmarkEnd w:id="572"/>
      <w:bookmarkEnd w:id="573"/>
      <w:bookmarkEnd w:id="574"/>
    </w:p>
    <w:p w:rsidR="00FD54FC" w:rsidRPr="00EF7F33" w:rsidRDefault="00125707" w:rsidP="00C37B29">
      <w:pPr>
        <w:pStyle w:val="InstructionsText2"/>
        <w:numPr>
          <w:ilvl w:val="0"/>
          <w:numId w:val="0"/>
        </w:numPr>
        <w:ind w:left="993"/>
      </w:pPr>
      <w:r w:rsidRPr="00EF7F33">
        <w:t>130.</w:t>
      </w:r>
      <w:r w:rsidRPr="00EF7F33">
        <w:tab/>
        <w:t>U obrascu C.17.01 informacije se iskazuju raspoređivanjem gubitaka i povrata iznad internih pragova među poslovnim linijama (kako su definirane u članku 317. tablici 2. CRR-a, uključujući dodatnu poslovnu liniju „poslovne stavke” iz članka 322. stavka 3. točke (b) CRR-a) i vrstama događaja (kako su definirane u članku 324. CRR-a), pri čemu se gubici koji odgovaraju jednom događaju mogu raspored</w:t>
      </w:r>
      <w:r w:rsidRPr="00EF7F33">
        <w:t>i</w:t>
      </w:r>
      <w:r w:rsidRPr="00EF7F33">
        <w:t>ti među nekoliko poslovnih linija.</w:t>
      </w:r>
    </w:p>
    <w:p w:rsidR="00FD54FC" w:rsidRPr="00EF7F33" w:rsidRDefault="00125707" w:rsidP="00C37B29">
      <w:pPr>
        <w:pStyle w:val="InstructionsText2"/>
        <w:numPr>
          <w:ilvl w:val="0"/>
          <w:numId w:val="0"/>
        </w:numPr>
        <w:ind w:left="993"/>
      </w:pPr>
      <w:r w:rsidRPr="00EF7F33">
        <w:t>131.</w:t>
      </w:r>
      <w:r w:rsidRPr="00EF7F33">
        <w:tab/>
        <w:t>U stupcima se iskazuju različite vrste događaja i ukupni iznosi za svaku po</w:t>
      </w:r>
      <w:r w:rsidRPr="00EF7F33">
        <w:t>s</w:t>
      </w:r>
      <w:r w:rsidRPr="00EF7F33">
        <w:t>lovnu liniju, zajedno s bilješkom koja pokazuje najniži interni prag koji je primij</w:t>
      </w:r>
      <w:r w:rsidRPr="00EF7F33">
        <w:t>e</w:t>
      </w:r>
      <w:r w:rsidRPr="00EF7F33">
        <w:t>njen pri prikupljanju podataka o gubicima, pri čemu se u svakoj poslovnoj liniji i</w:t>
      </w:r>
      <w:r w:rsidRPr="00EF7F33">
        <w:t>s</w:t>
      </w:r>
      <w:r w:rsidRPr="00EF7F33">
        <w:t>kazuje najniži i najviši prag ako postoji više pragova.</w:t>
      </w:r>
    </w:p>
    <w:p w:rsidR="00FD54FC" w:rsidRPr="00EF7F33" w:rsidRDefault="00125707" w:rsidP="00C37B29">
      <w:pPr>
        <w:pStyle w:val="InstructionsText2"/>
        <w:numPr>
          <w:ilvl w:val="0"/>
          <w:numId w:val="0"/>
        </w:numPr>
        <w:ind w:left="993"/>
      </w:pPr>
      <w:r w:rsidRPr="00EF7F33">
        <w:t>132.</w:t>
      </w:r>
      <w:r w:rsidRPr="00EF7F33">
        <w:tab/>
        <w:t>Redci predstavljaju poslovne linije i unutar svake poslovne linije informacije o broju događaja (novi događaji), iznosu bruto gubitka (novi događaji), broju događ</w:t>
      </w:r>
      <w:r w:rsidRPr="00EF7F33">
        <w:t>a</w:t>
      </w:r>
      <w:r w:rsidRPr="00EF7F33">
        <w:t>ja koji podliježu usklađenjima gubitka, usklađenjima gubitka koja se odnose na prethodna izvještajna razdoblja, najvećem pojedinačnom gubitku, zbroju pet najv</w:t>
      </w:r>
      <w:r w:rsidRPr="00EF7F33">
        <w:t>e</w:t>
      </w:r>
      <w:r w:rsidRPr="00EF7F33">
        <w:t>ćih gubitaka i ukupnim povratima gubitka (izravni povrati gubitka i povrati od os</w:t>
      </w:r>
      <w:r w:rsidRPr="00EF7F33">
        <w:t>i</w:t>
      </w:r>
      <w:r w:rsidRPr="00EF7F33">
        <w:t>guranja i drugih mehanizama za prijenos rizika).</w:t>
      </w:r>
    </w:p>
    <w:p w:rsidR="00FD54FC" w:rsidRPr="00EF7F33" w:rsidRDefault="00125707" w:rsidP="00C37B29">
      <w:pPr>
        <w:pStyle w:val="InstructionsText2"/>
        <w:numPr>
          <w:ilvl w:val="0"/>
          <w:numId w:val="0"/>
        </w:numPr>
        <w:ind w:left="993"/>
      </w:pPr>
      <w:r w:rsidRPr="00EF7F33">
        <w:t>133.</w:t>
      </w:r>
      <w:r w:rsidRPr="00EF7F33">
        <w:tab/>
        <w:t>Za ukupne poslovne linije potrebni su i podaci o broju događaja i bruto iznosu gubitka u okviru određenih raspona koji se temelje na utvrđenim pragovima (10 000, 20 000, 100 000 i 1 000 000). Pragovi su utvrđeni u eurima, a uključeni su u svrhu usporedbe iskazanih gubitaka među institucijama; stoga ne moraju nužno biti povezani s minimalnim pragovima gubitka upotrijebljenima za interno priku</w:t>
      </w:r>
      <w:r w:rsidRPr="00EF7F33">
        <w:t>p</w:t>
      </w:r>
      <w:r w:rsidRPr="00EF7F33">
        <w:t>ljanje podataka o gubicima, koji se iskazuju u drugom dijelu obrasca.</w:t>
      </w:r>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3998170"/>
      <w:r w:rsidRPr="00EF7F33">
        <w:rPr>
          <w:rFonts w:ascii="Times New Roman" w:hAnsi="Times New Roman"/>
          <w:sz w:val="24"/>
          <w:u w:val="none"/>
        </w:rPr>
        <w:t>4.2.2.2.</w:t>
      </w:r>
      <w:r w:rsidRPr="00EF7F33">
        <w:tab/>
      </w:r>
      <w:r w:rsidRPr="00EF7F33">
        <w:rPr>
          <w:rFonts w:ascii="Times New Roman" w:hAnsi="Times New Roman"/>
          <w:sz w:val="24"/>
        </w:rPr>
        <w:t>Upute za specifične pozicije</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EF7F33" w:rsidTr="00672D2A">
        <w:trPr>
          <w:trHeight w:val="576"/>
        </w:trPr>
        <w:tc>
          <w:tcPr>
            <w:tcW w:w="9180" w:type="dxa"/>
            <w:gridSpan w:val="2"/>
            <w:shd w:val="clear" w:color="auto" w:fill="CCCCCC"/>
          </w:tcPr>
          <w:p w:rsidR="00FD54FC" w:rsidRPr="00EF7F33" w:rsidRDefault="00FD54FC" w:rsidP="00FD54FC">
            <w:pPr>
              <w:autoSpaceDE w:val="0"/>
              <w:autoSpaceDN w:val="0"/>
              <w:adjustRightInd w:val="0"/>
              <w:spacing w:after="0"/>
              <w:rPr>
                <w:rFonts w:ascii="Times New Roman" w:hAnsi="Times New Roman"/>
                <w:b/>
                <w:bCs/>
                <w:sz w:val="24"/>
              </w:rPr>
            </w:pPr>
            <w:r w:rsidRPr="00EF7F33">
              <w:rPr>
                <w:rFonts w:ascii="Times New Roman" w:hAnsi="Times New Roman"/>
                <w:b/>
                <w:sz w:val="24"/>
              </w:rPr>
              <w:t>Stupci</w:t>
            </w:r>
          </w:p>
        </w:tc>
      </w:tr>
      <w:tr w:rsidR="00FD54FC" w:rsidRPr="00EF7F33" w:rsidTr="00672D2A">
        <w:tc>
          <w:tcPr>
            <w:tcW w:w="985" w:type="dxa"/>
          </w:tcPr>
          <w:p w:rsidR="00FD54FC" w:rsidRPr="00EF7F33" w:rsidRDefault="00C93FC2"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t>0010-0070</w:t>
            </w:r>
          </w:p>
        </w:tc>
        <w:tc>
          <w:tcPr>
            <w:tcW w:w="8195" w:type="dxa"/>
          </w:tcPr>
          <w:p w:rsidR="00FD54FC" w:rsidRPr="00EF7F33" w:rsidRDefault="00FD54FC" w:rsidP="00FD54FC">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VRSTE DOGAĐAJA</w:t>
            </w:r>
          </w:p>
          <w:p w:rsidR="00FD54FC" w:rsidRPr="00EF7F33" w:rsidRDefault="00FD54FC" w:rsidP="00FD54FC">
            <w:pPr>
              <w:rPr>
                <w:rFonts w:ascii="Times New Roman" w:hAnsi="Times New Roman"/>
                <w:sz w:val="24"/>
              </w:rPr>
            </w:pPr>
            <w:r w:rsidRPr="00EF7F33">
              <w:rPr>
                <w:rFonts w:ascii="Times New Roman" w:hAnsi="Times New Roman"/>
                <w:sz w:val="24"/>
              </w:rPr>
              <w:t>Institucije iskazuju gubitke u odgovarajućim stupcima od 010 do 070 prema vr</w:t>
            </w:r>
            <w:r w:rsidRPr="00EF7F33">
              <w:rPr>
                <w:rFonts w:ascii="Times New Roman" w:hAnsi="Times New Roman"/>
                <w:sz w:val="24"/>
              </w:rPr>
              <w:t>s</w:t>
            </w:r>
            <w:r w:rsidRPr="00EF7F33">
              <w:rPr>
                <w:rFonts w:ascii="Times New Roman" w:hAnsi="Times New Roman"/>
                <w:sz w:val="24"/>
              </w:rPr>
              <w:t xml:space="preserve">tama događaja kako su definirani u članku 324. CRR-a. </w:t>
            </w:r>
          </w:p>
          <w:p w:rsidR="00FD54FC" w:rsidRPr="00EF7F33" w:rsidRDefault="00FD54FC" w:rsidP="00871877">
            <w:pPr>
              <w:rPr>
                <w:rFonts w:ascii="Times New Roman" w:hAnsi="Times New Roman"/>
                <w:bCs/>
                <w:sz w:val="24"/>
              </w:rPr>
            </w:pPr>
            <w:r w:rsidRPr="00EF7F33">
              <w:rPr>
                <w:rFonts w:ascii="Times New Roman" w:hAnsi="Times New Roman"/>
                <w:sz w:val="24"/>
              </w:rPr>
              <w:t>Institucije koje izračunavaju kapitalni zahtjev u skladu s jednostavnim pristupom mogu iskazati gubitke za koje vrsta događaja nije utvrđena samo u stupcu 080.</w:t>
            </w:r>
          </w:p>
        </w:tc>
      </w:tr>
      <w:tr w:rsidR="00FD54FC" w:rsidRPr="00EF7F33" w:rsidTr="00672D2A">
        <w:tc>
          <w:tcPr>
            <w:tcW w:w="985" w:type="dxa"/>
          </w:tcPr>
          <w:p w:rsidR="00FD54FC" w:rsidRPr="00EF7F33" w:rsidRDefault="00C93FC2" w:rsidP="00FD54FC">
            <w:pPr>
              <w:autoSpaceDE w:val="0"/>
              <w:autoSpaceDN w:val="0"/>
              <w:adjustRightInd w:val="0"/>
              <w:spacing w:before="0" w:after="0"/>
              <w:rPr>
                <w:rFonts w:ascii="Times New Roman" w:hAnsi="Times New Roman"/>
                <w:bCs/>
                <w:sz w:val="24"/>
              </w:rPr>
            </w:pPr>
            <w:r w:rsidRPr="00EF7F33">
              <w:rPr>
                <w:rFonts w:ascii="Times New Roman" w:hAnsi="Times New Roman"/>
                <w:sz w:val="24"/>
              </w:rPr>
              <w:t>0080</w:t>
            </w:r>
          </w:p>
        </w:tc>
        <w:tc>
          <w:tcPr>
            <w:tcW w:w="8195" w:type="dxa"/>
          </w:tcPr>
          <w:p w:rsidR="00FD54FC" w:rsidRPr="00EF7F33" w:rsidRDefault="00FD54FC" w:rsidP="00FD54FC">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UKUPNE VRSTE DOGAĐAJA</w:t>
            </w:r>
          </w:p>
          <w:p w:rsidR="008D30F0" w:rsidRPr="00EF7F33" w:rsidRDefault="00FD54FC" w:rsidP="00FD54FC">
            <w:pPr>
              <w:rPr>
                <w:rStyle w:val="InstructionsTabelleText"/>
                <w:rFonts w:ascii="Times New Roman" w:hAnsi="Times New Roman"/>
                <w:sz w:val="24"/>
              </w:rPr>
            </w:pPr>
            <w:r w:rsidRPr="00EF7F33">
              <w:rPr>
                <w:rStyle w:val="InstructionsTabelleText"/>
                <w:rFonts w:ascii="Times New Roman" w:hAnsi="Times New Roman"/>
                <w:sz w:val="24"/>
              </w:rPr>
              <w:t xml:space="preserve">U stupcu 080 za svaku poslovnu liniju institucije iskazuju ukupan „broj događaja </w:t>
            </w:r>
            <w:r w:rsidRPr="00EF7F33">
              <w:rPr>
                <w:rStyle w:val="InstructionsTabelleText"/>
                <w:rFonts w:ascii="Times New Roman" w:hAnsi="Times New Roman"/>
                <w:sz w:val="24"/>
              </w:rPr>
              <w:lastRenderedPageBreak/>
              <w:t>(novi događaji)”, ukupan „iznos bruto gubitka (novi događaji)”, ukupan „broj d</w:t>
            </w:r>
            <w:r w:rsidRPr="00EF7F33">
              <w:rPr>
                <w:rStyle w:val="InstructionsTabelleText"/>
                <w:rFonts w:ascii="Times New Roman" w:hAnsi="Times New Roman"/>
                <w:sz w:val="24"/>
              </w:rPr>
              <w:t>o</w:t>
            </w:r>
            <w:r w:rsidRPr="00EF7F33">
              <w:rPr>
                <w:rStyle w:val="InstructionsTabelleText"/>
                <w:rFonts w:ascii="Times New Roman" w:hAnsi="Times New Roman"/>
                <w:sz w:val="24"/>
              </w:rPr>
              <w:t>gađaja koji podliježu usklađenjima gubitka”, ukupna „usklađenja gubitka koja se odnose na prethodna izvještajna razdoblja”, „najveći pojedinačni gubitak”, „zbroj pet najvećih gubitaka”, ukupno „ukupni izravni povrat gubitka” i ukupno „ukupni povrat od osiguranja i drugih mehanizama za prijenos rizika”.</w:t>
            </w:r>
          </w:p>
          <w:p w:rsidR="00FD54FC" w:rsidRPr="00EF7F33" w:rsidRDefault="00FD54FC" w:rsidP="00FD54FC">
            <w:pPr>
              <w:rPr>
                <w:rStyle w:val="InstructionsTabelleText"/>
                <w:rFonts w:ascii="Times New Roman" w:hAnsi="Times New Roman"/>
                <w:sz w:val="24"/>
              </w:rPr>
            </w:pPr>
            <w:r w:rsidRPr="00EF7F33">
              <w:rPr>
                <w:rStyle w:val="InstructionsTabelleText"/>
                <w:rFonts w:ascii="Times New Roman" w:hAnsi="Times New Roman"/>
                <w:sz w:val="24"/>
              </w:rPr>
              <w:t>Pod uvjetom da je institucija utvrdila sve vrste događaja za sve gubitke, u stupcu 080 iskazuje se jednostavno agregiranje broja štetnih događaja, ukupnih iznosa bruto gubitaka, ukupnih iznosa povrata gubitka i „usklađenja gubitka koja se o</w:t>
            </w:r>
            <w:r w:rsidRPr="00EF7F33">
              <w:rPr>
                <w:rStyle w:val="InstructionsTabelleText"/>
                <w:rFonts w:ascii="Times New Roman" w:hAnsi="Times New Roman"/>
                <w:sz w:val="24"/>
              </w:rPr>
              <w:t>d</w:t>
            </w:r>
            <w:r w:rsidRPr="00EF7F33">
              <w:rPr>
                <w:rStyle w:val="InstructionsTabelleText"/>
                <w:rFonts w:ascii="Times New Roman" w:hAnsi="Times New Roman"/>
                <w:sz w:val="24"/>
              </w:rPr>
              <w:t xml:space="preserve">nose na prethodna izvještajna razdoblja” iskazana u stupcima od 010 do 070. </w:t>
            </w:r>
          </w:p>
          <w:p w:rsidR="00FD54FC" w:rsidRPr="00EF7F33" w:rsidRDefault="00FD54FC" w:rsidP="00FD54FC">
            <w:pPr>
              <w:rPr>
                <w:rStyle w:val="InstructionsTabelleText"/>
                <w:rFonts w:ascii="Times New Roman" w:hAnsi="Times New Roman"/>
                <w:sz w:val="24"/>
              </w:rPr>
            </w:pPr>
            <w:r w:rsidRPr="00EF7F33">
              <w:rPr>
                <w:rStyle w:val="InstructionsTabelleText"/>
                <w:rFonts w:ascii="Times New Roman" w:hAnsi="Times New Roman"/>
                <w:sz w:val="24"/>
              </w:rPr>
              <w:t>„Najveći pojedinačni gubitak” iskazan u stupcu 080 jednak je najvećem pojedin</w:t>
            </w:r>
            <w:r w:rsidRPr="00EF7F33">
              <w:rPr>
                <w:rStyle w:val="InstructionsTabelleText"/>
                <w:rFonts w:ascii="Times New Roman" w:hAnsi="Times New Roman"/>
                <w:sz w:val="24"/>
              </w:rPr>
              <w:t>a</w:t>
            </w:r>
            <w:r w:rsidRPr="00EF7F33">
              <w:rPr>
                <w:rStyle w:val="InstructionsTabelleText"/>
                <w:rFonts w:ascii="Times New Roman" w:hAnsi="Times New Roman"/>
                <w:sz w:val="24"/>
              </w:rPr>
              <w:t>čnom gubitku u poslovnoj liniji i jednak je najvećem iznosu „najvećih pojedina</w:t>
            </w:r>
            <w:r w:rsidRPr="00EF7F33">
              <w:rPr>
                <w:rStyle w:val="InstructionsTabelleText"/>
                <w:rFonts w:ascii="Times New Roman" w:hAnsi="Times New Roman"/>
                <w:sz w:val="24"/>
              </w:rPr>
              <w:t>č</w:t>
            </w:r>
            <w:r w:rsidRPr="00EF7F33">
              <w:rPr>
                <w:rStyle w:val="InstructionsTabelleText"/>
                <w:rFonts w:ascii="Times New Roman" w:hAnsi="Times New Roman"/>
                <w:sz w:val="24"/>
              </w:rPr>
              <w:t xml:space="preserve">nih gubitaka” iskazanih u stupcima od 010 do 070, pod uvjetom da je institucija utvrdila vrste događaja za sve gubitke. </w:t>
            </w:r>
          </w:p>
          <w:p w:rsidR="00FD54FC" w:rsidRPr="00EF7F33" w:rsidRDefault="00FD54FC" w:rsidP="00FD54FC">
            <w:pPr>
              <w:rPr>
                <w:rFonts w:ascii="Times New Roman" w:hAnsi="Times New Roman"/>
                <w:bCs/>
                <w:sz w:val="24"/>
              </w:rPr>
            </w:pPr>
            <w:r w:rsidRPr="00EF7F33">
              <w:rPr>
                <w:rStyle w:val="InstructionsTabelleText"/>
                <w:rFonts w:ascii="Times New Roman" w:hAnsi="Times New Roman"/>
                <w:sz w:val="24"/>
              </w:rPr>
              <w:t>Za zbroj pet najvećih gubitaka, u stupcu 080 iskazuje se zbroj pet najvećih gubit</w:t>
            </w:r>
            <w:r w:rsidRPr="00EF7F33">
              <w:rPr>
                <w:rStyle w:val="InstructionsTabelleText"/>
                <w:rFonts w:ascii="Times New Roman" w:hAnsi="Times New Roman"/>
                <w:sz w:val="24"/>
              </w:rPr>
              <w:t>a</w:t>
            </w:r>
            <w:r w:rsidRPr="00EF7F33">
              <w:rPr>
                <w:rStyle w:val="InstructionsTabelleText"/>
                <w:rFonts w:ascii="Times New Roman" w:hAnsi="Times New Roman"/>
                <w:sz w:val="24"/>
              </w:rPr>
              <w:t>ka u okviru jedne poslovne linije.</w:t>
            </w:r>
          </w:p>
        </w:tc>
      </w:tr>
      <w:tr w:rsidR="00FD54FC" w:rsidRPr="00EF7F33" w:rsidTr="00672D2A">
        <w:tc>
          <w:tcPr>
            <w:tcW w:w="985" w:type="dxa"/>
          </w:tcPr>
          <w:p w:rsidR="00FD54FC" w:rsidRPr="00EF7F33" w:rsidRDefault="00C93FC2" w:rsidP="000F70EC">
            <w:pPr>
              <w:autoSpaceDE w:val="0"/>
              <w:autoSpaceDN w:val="0"/>
              <w:adjustRightInd w:val="0"/>
              <w:spacing w:before="0" w:after="0"/>
              <w:rPr>
                <w:rFonts w:ascii="Times New Roman" w:hAnsi="Times New Roman"/>
                <w:bCs/>
                <w:sz w:val="24"/>
              </w:rPr>
            </w:pPr>
            <w:r w:rsidRPr="00EF7F33">
              <w:rPr>
                <w:rFonts w:ascii="Times New Roman" w:hAnsi="Times New Roman"/>
                <w:sz w:val="24"/>
              </w:rPr>
              <w:lastRenderedPageBreak/>
              <w:t>0090-0100</w:t>
            </w:r>
          </w:p>
        </w:tc>
        <w:tc>
          <w:tcPr>
            <w:tcW w:w="8195" w:type="dxa"/>
          </w:tcPr>
          <w:p w:rsidR="00FD54FC" w:rsidRPr="00EF7F33" w:rsidRDefault="00FD54FC" w:rsidP="00FD54FC">
            <w:pPr>
              <w:autoSpaceDE w:val="0"/>
              <w:autoSpaceDN w:val="0"/>
              <w:adjustRightInd w:val="0"/>
              <w:spacing w:before="0" w:after="0"/>
              <w:rPr>
                <w:rFonts w:ascii="Times New Roman" w:hAnsi="Times New Roman"/>
                <w:sz w:val="24"/>
              </w:rPr>
            </w:pPr>
            <w:r w:rsidRPr="00EF7F33">
              <w:rPr>
                <w:rStyle w:val="InstructionsTabelleberschrift"/>
                <w:rFonts w:ascii="Times New Roman" w:hAnsi="Times New Roman"/>
                <w:sz w:val="24"/>
              </w:rPr>
              <w:t>BILJEŠKA: PRAG PRIMIJENJEN U PRIKUPLJANJU PODATAKA</w:t>
            </w:r>
          </w:p>
          <w:p w:rsidR="00FD54FC" w:rsidRPr="00EF7F33" w:rsidRDefault="00FD54FC" w:rsidP="00FD54FC">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Institucije iskazuju u stupcima 090 i 100 minimalne pragove gubitka koje primj</w:t>
            </w:r>
            <w:r w:rsidRPr="00EF7F33">
              <w:rPr>
                <w:rStyle w:val="InstructionsTabelleText"/>
                <w:rFonts w:ascii="Times New Roman" w:hAnsi="Times New Roman"/>
                <w:sz w:val="24"/>
              </w:rPr>
              <w:t>e</w:t>
            </w:r>
            <w:r w:rsidRPr="00EF7F33">
              <w:rPr>
                <w:rStyle w:val="InstructionsTabelleText"/>
                <w:rFonts w:ascii="Times New Roman" w:hAnsi="Times New Roman"/>
                <w:sz w:val="24"/>
              </w:rPr>
              <w:t>njuju za prikupljanje internih podataka o gubicima u skladu s člankom 322. sta</w:t>
            </w:r>
            <w:r w:rsidRPr="00EF7F33">
              <w:rPr>
                <w:rStyle w:val="InstructionsTabelleText"/>
                <w:rFonts w:ascii="Times New Roman" w:hAnsi="Times New Roman"/>
                <w:sz w:val="24"/>
              </w:rPr>
              <w:t>v</w:t>
            </w:r>
            <w:r w:rsidRPr="00EF7F33">
              <w:rPr>
                <w:rStyle w:val="InstructionsTabelleText"/>
                <w:rFonts w:ascii="Times New Roman" w:hAnsi="Times New Roman"/>
                <w:sz w:val="24"/>
              </w:rPr>
              <w:t xml:space="preserve">kom 3. točkom (c) zadnjom rečenicom CRR-a. </w:t>
            </w:r>
          </w:p>
          <w:p w:rsidR="00FD54FC" w:rsidRPr="00EF7F33" w:rsidRDefault="00FD54FC" w:rsidP="00FD54FC">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 xml:space="preserve">Ako institucija primjenjuje samo jedan prag za svaku poslovnu liniju, popunjava se samo stupac 090. </w:t>
            </w:r>
          </w:p>
          <w:p w:rsidR="00FD54FC" w:rsidRPr="00EF7F33" w:rsidRDefault="00FD54FC" w:rsidP="00FD54FC">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Ako postoje različiti pragovi koji se primjenjuju u istoj regulatornoj poslovnoj lin</w:t>
            </w:r>
            <w:r w:rsidRPr="00EF7F33">
              <w:rPr>
                <w:rStyle w:val="InstructionsTabelleText"/>
                <w:rFonts w:ascii="Times New Roman" w:hAnsi="Times New Roman"/>
                <w:sz w:val="24"/>
              </w:rPr>
              <w:t>i</w:t>
            </w:r>
            <w:r w:rsidRPr="00EF7F33">
              <w:rPr>
                <w:rStyle w:val="InstructionsTabelleText"/>
                <w:rFonts w:ascii="Times New Roman" w:hAnsi="Times New Roman"/>
                <w:sz w:val="24"/>
              </w:rPr>
              <w:t>ji, tada se popunjava i najviši primjenjivi prag (stupac 100).</w:t>
            </w:r>
          </w:p>
        </w:tc>
      </w:tr>
    </w:tbl>
    <w:p w:rsidR="00FD54FC" w:rsidRPr="00EF7F33"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EF7F33" w:rsidTr="00672D2A">
        <w:trPr>
          <w:trHeight w:val="504"/>
        </w:trPr>
        <w:tc>
          <w:tcPr>
            <w:tcW w:w="9180" w:type="dxa"/>
            <w:gridSpan w:val="2"/>
            <w:shd w:val="clear" w:color="auto" w:fill="CCCCCC"/>
          </w:tcPr>
          <w:p w:rsidR="00FD54FC" w:rsidRPr="00EF7F33" w:rsidRDefault="00FD54FC" w:rsidP="00FD54FC">
            <w:pPr>
              <w:autoSpaceDE w:val="0"/>
              <w:autoSpaceDN w:val="0"/>
              <w:adjustRightInd w:val="0"/>
              <w:spacing w:after="0"/>
              <w:rPr>
                <w:rFonts w:ascii="Times New Roman" w:hAnsi="Times New Roman"/>
                <w:b/>
                <w:bCs/>
                <w:sz w:val="24"/>
              </w:rPr>
            </w:pPr>
            <w:r w:rsidRPr="00EF7F33">
              <w:rPr>
                <w:rFonts w:ascii="Times New Roman" w:hAnsi="Times New Roman"/>
                <w:b/>
                <w:sz w:val="24"/>
              </w:rPr>
              <w:t>Redci</w:t>
            </w:r>
          </w:p>
        </w:tc>
      </w:tr>
      <w:tr w:rsidR="00FD54FC" w:rsidRPr="00EF7F33" w:rsidTr="00672D2A">
        <w:tc>
          <w:tcPr>
            <w:tcW w:w="1101" w:type="dxa"/>
          </w:tcPr>
          <w:p w:rsidR="00FD54FC" w:rsidRPr="00EF7F33" w:rsidRDefault="00C93FC2" w:rsidP="000F70EC">
            <w:pPr>
              <w:rPr>
                <w:rFonts w:ascii="Times New Roman" w:hAnsi="Times New Roman"/>
                <w:bCs/>
                <w:sz w:val="24"/>
              </w:rPr>
            </w:pPr>
            <w:r w:rsidRPr="00EF7F33">
              <w:rPr>
                <w:rFonts w:ascii="Times New Roman" w:hAnsi="Times New Roman"/>
                <w:sz w:val="24"/>
              </w:rPr>
              <w:t>0010-0880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POSLOVNE LINIJE: KORPORATIVNO FINANCIRANJE, TRGOVANJE I PRODAJA, BROKERSKI POSLOVI SA STANOVNIŠTVOM, PO</w:t>
            </w:r>
            <w:r w:rsidRPr="00EF7F33">
              <w:rPr>
                <w:rStyle w:val="InstructionsTabelleberschrift"/>
                <w:rFonts w:ascii="Times New Roman" w:hAnsi="Times New Roman"/>
                <w:sz w:val="24"/>
              </w:rPr>
              <w:t>S</w:t>
            </w:r>
            <w:r w:rsidRPr="00EF7F33">
              <w:rPr>
                <w:rStyle w:val="InstructionsTabelleberschrift"/>
                <w:rFonts w:ascii="Times New Roman" w:hAnsi="Times New Roman"/>
                <w:sz w:val="24"/>
              </w:rPr>
              <w:t>LOVNO BANKARSTVO, POSLOVANJE SA STANOVNIŠTVOM, PL</w:t>
            </w:r>
            <w:r w:rsidRPr="00EF7F33">
              <w:rPr>
                <w:rStyle w:val="InstructionsTabelleberschrift"/>
                <w:rFonts w:ascii="Times New Roman" w:hAnsi="Times New Roman"/>
                <w:sz w:val="24"/>
              </w:rPr>
              <w:t>A</w:t>
            </w:r>
            <w:r w:rsidRPr="00EF7F33">
              <w:rPr>
                <w:rStyle w:val="InstructionsTabelleberschrift"/>
                <w:rFonts w:ascii="Times New Roman" w:hAnsi="Times New Roman"/>
                <w:sz w:val="24"/>
              </w:rPr>
              <w:t>ĆANJA I NAMIRE, AGENCIJSKE USLUGE, UPRAVLJANJE IMOV</w:t>
            </w:r>
            <w:r w:rsidRPr="00EF7F33">
              <w:rPr>
                <w:rStyle w:val="InstructionsTabelleberschrift"/>
                <w:rFonts w:ascii="Times New Roman" w:hAnsi="Times New Roman"/>
                <w:sz w:val="24"/>
              </w:rPr>
              <w:t>I</w:t>
            </w:r>
            <w:r w:rsidRPr="00EF7F33">
              <w:rPr>
                <w:rStyle w:val="InstructionsTabelleberschrift"/>
                <w:rFonts w:ascii="Times New Roman" w:hAnsi="Times New Roman"/>
                <w:sz w:val="24"/>
              </w:rPr>
              <w:t>NOM, POSLOVNE STAVKE</w:t>
            </w:r>
          </w:p>
          <w:p w:rsidR="00FD54FC" w:rsidRPr="00EF7F33" w:rsidRDefault="00FD54FC" w:rsidP="00FD54FC">
            <w:pPr>
              <w:pStyle w:val="PlainText"/>
              <w:jc w:val="both"/>
              <w:rPr>
                <w:rFonts w:ascii="Times New Roman" w:hAnsi="Times New Roman"/>
                <w:sz w:val="24"/>
                <w:szCs w:val="24"/>
              </w:rPr>
            </w:pPr>
            <w:r w:rsidRPr="00EF7F33">
              <w:rPr>
                <w:rFonts w:ascii="Times New Roman" w:hAnsi="Times New Roman"/>
                <w:sz w:val="24"/>
              </w:rPr>
              <w:t>Za svaku poslovnu liniju definiranu u članku 317. stavku 4. tablici 2. CRR-a, u</w:t>
            </w:r>
            <w:r w:rsidRPr="00EF7F33">
              <w:rPr>
                <w:rFonts w:ascii="Times New Roman" w:hAnsi="Times New Roman"/>
                <w:sz w:val="24"/>
              </w:rPr>
              <w:t>k</w:t>
            </w:r>
            <w:r w:rsidRPr="00EF7F33">
              <w:rPr>
                <w:rFonts w:ascii="Times New Roman" w:hAnsi="Times New Roman"/>
                <w:sz w:val="24"/>
              </w:rPr>
              <w:t>ljučujući dodatnu poslovnu liniju „poslovne stavke” iz članka 322. stavka 3. to</w:t>
            </w:r>
            <w:r w:rsidRPr="00EF7F33">
              <w:rPr>
                <w:rFonts w:ascii="Times New Roman" w:hAnsi="Times New Roman"/>
                <w:sz w:val="24"/>
              </w:rPr>
              <w:t>č</w:t>
            </w:r>
            <w:r w:rsidRPr="00EF7F33">
              <w:rPr>
                <w:rFonts w:ascii="Times New Roman" w:hAnsi="Times New Roman"/>
                <w:sz w:val="24"/>
              </w:rPr>
              <w:t>ke (b) CRR-a, i za svaku vrstu događaja institucija iskazuje, u skladu s internim pragovima, sljedeće informacije: broj događaja (novi događaji), iznos bruto g</w:t>
            </w:r>
            <w:r w:rsidRPr="00EF7F33">
              <w:rPr>
                <w:rFonts w:ascii="Times New Roman" w:hAnsi="Times New Roman"/>
                <w:sz w:val="24"/>
              </w:rPr>
              <w:t>u</w:t>
            </w:r>
            <w:r w:rsidRPr="00EF7F33">
              <w:rPr>
                <w:rFonts w:ascii="Times New Roman" w:hAnsi="Times New Roman"/>
                <w:sz w:val="24"/>
              </w:rPr>
              <w:t>bitka (novi događaji), broj događaja koji podliježu usklađenjima gubitka, uskl</w:t>
            </w:r>
            <w:r w:rsidRPr="00EF7F33">
              <w:rPr>
                <w:rFonts w:ascii="Times New Roman" w:hAnsi="Times New Roman"/>
                <w:sz w:val="24"/>
              </w:rPr>
              <w:t>a</w:t>
            </w:r>
            <w:r w:rsidRPr="00EF7F33">
              <w:rPr>
                <w:rFonts w:ascii="Times New Roman" w:hAnsi="Times New Roman"/>
                <w:sz w:val="24"/>
              </w:rPr>
              <w:t>đenja gubitka koja se odnose na prethodna izvještajna razdoblja, najveći pojed</w:t>
            </w:r>
            <w:r w:rsidRPr="00EF7F33">
              <w:rPr>
                <w:rFonts w:ascii="Times New Roman" w:hAnsi="Times New Roman"/>
                <w:sz w:val="24"/>
              </w:rPr>
              <w:t>i</w:t>
            </w:r>
            <w:r w:rsidRPr="00EF7F33">
              <w:rPr>
                <w:rFonts w:ascii="Times New Roman" w:hAnsi="Times New Roman"/>
                <w:sz w:val="24"/>
              </w:rPr>
              <w:t xml:space="preserve">načni gubitak, zbroj pet najvećih gubitaka, ukupni izravni povrat gubitka i ukupni povrat od osiguranja i drugih mehanizama za prijenos rizika. </w:t>
            </w:r>
          </w:p>
          <w:p w:rsidR="00FD54FC" w:rsidRPr="00EF7F33" w:rsidRDefault="00FD54FC" w:rsidP="00FD54FC">
            <w:pPr>
              <w:rPr>
                <w:rFonts w:ascii="Times New Roman" w:hAnsi="Times New Roman"/>
                <w:sz w:val="24"/>
              </w:rPr>
            </w:pPr>
            <w:r w:rsidRPr="00EF7F33">
              <w:rPr>
                <w:rFonts w:ascii="Times New Roman" w:hAnsi="Times New Roman"/>
                <w:sz w:val="24"/>
              </w:rPr>
              <w:t>Za štetni događaj koji utječe na više poslovnih linija „bruto iznos gubitka” rasp</w:t>
            </w:r>
            <w:r w:rsidRPr="00EF7F33">
              <w:rPr>
                <w:rFonts w:ascii="Times New Roman" w:hAnsi="Times New Roman"/>
                <w:sz w:val="24"/>
              </w:rPr>
              <w:t>o</w:t>
            </w:r>
            <w:r w:rsidRPr="00EF7F33">
              <w:rPr>
                <w:rFonts w:ascii="Times New Roman" w:hAnsi="Times New Roman"/>
                <w:sz w:val="24"/>
              </w:rPr>
              <w:t>ređuje se na sve pogođene poslovne linije.</w:t>
            </w:r>
          </w:p>
          <w:p w:rsidR="00FD54FC" w:rsidRPr="00EF7F33" w:rsidRDefault="00FD54FC" w:rsidP="00FD54FC">
            <w:pPr>
              <w:rPr>
                <w:rFonts w:ascii="Times New Roman" w:hAnsi="Times New Roman"/>
                <w:bCs/>
                <w:sz w:val="24"/>
              </w:rPr>
            </w:pPr>
            <w:r w:rsidRPr="00EF7F33">
              <w:rPr>
                <w:rFonts w:ascii="Times New Roman" w:hAnsi="Times New Roman"/>
                <w:sz w:val="24"/>
              </w:rPr>
              <w:t>Institucije koje izračunavaju kapitalni zahtjev u skladu s jednostavnim pristupom mogu iskazati gubitke za koje poslovna linija nije utvrđena samo u redcima 910-980.</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t xml:space="preserve">0010, 0110, </w:t>
            </w:r>
            <w:r w:rsidRPr="00EF7F33">
              <w:rPr>
                <w:rFonts w:ascii="Times New Roman" w:hAnsi="Times New Roman"/>
                <w:sz w:val="24"/>
              </w:rPr>
              <w:lastRenderedPageBreak/>
              <w:t>0210, 0310, 0410, 0510, 0610, 0710, 0810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lastRenderedPageBreak/>
              <w:t>Broj događaja (novi događaji)</w:t>
            </w:r>
          </w:p>
          <w:p w:rsidR="00FD54FC" w:rsidRPr="00EF7F33" w:rsidRDefault="00FD54FC" w:rsidP="00FD54FC">
            <w:pPr>
              <w:rPr>
                <w:rFonts w:ascii="Times New Roman" w:hAnsi="Times New Roman"/>
                <w:sz w:val="24"/>
              </w:rPr>
            </w:pPr>
            <w:r w:rsidRPr="00EF7F33">
              <w:rPr>
                <w:rFonts w:ascii="Times New Roman" w:hAnsi="Times New Roman"/>
                <w:sz w:val="24"/>
              </w:rPr>
              <w:lastRenderedPageBreak/>
              <w:t>Broj događaja je broj događaja povezanih s operativnim rizikom za koje su bruto gubici obračunani u referentnom izvještajnom razdoblju.</w:t>
            </w:r>
          </w:p>
          <w:p w:rsidR="00FD54FC" w:rsidRPr="00EF7F33" w:rsidRDefault="00FD54FC" w:rsidP="00FD54FC">
            <w:pPr>
              <w:rPr>
                <w:rFonts w:ascii="Times New Roman" w:hAnsi="Times New Roman"/>
                <w:sz w:val="24"/>
              </w:rPr>
            </w:pPr>
            <w:r w:rsidRPr="00EF7F33">
              <w:rPr>
                <w:rFonts w:ascii="Times New Roman" w:hAnsi="Times New Roman"/>
                <w:sz w:val="24"/>
              </w:rPr>
              <w:t>Broj događaja odnosi se na „nove događaje”, odnosno događaje povezane s op</w:t>
            </w:r>
            <w:r w:rsidRPr="00EF7F33">
              <w:rPr>
                <w:rFonts w:ascii="Times New Roman" w:hAnsi="Times New Roman"/>
                <w:sz w:val="24"/>
              </w:rPr>
              <w:t>e</w:t>
            </w:r>
            <w:r w:rsidRPr="00EF7F33">
              <w:rPr>
                <w:rFonts w:ascii="Times New Roman" w:hAnsi="Times New Roman"/>
                <w:sz w:val="24"/>
              </w:rPr>
              <w:t>rativnim rizikom koji su</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w:t>
            </w:r>
            <w:r w:rsidRPr="00EF7F33">
              <w:tab/>
            </w:r>
            <w:r w:rsidRPr="00EF7F33">
              <w:rPr>
                <w:rFonts w:ascii="Times New Roman" w:hAnsi="Times New Roman"/>
                <w:sz w:val="24"/>
              </w:rPr>
              <w:t>„prvi put obračunani” u referentnom izvještajnom razdoblju ili</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ii.</w:t>
            </w:r>
            <w:r w:rsidRPr="00EF7F33">
              <w:tab/>
            </w:r>
            <w:r w:rsidRPr="00EF7F33">
              <w:rPr>
                <w:rFonts w:ascii="Times New Roman" w:hAnsi="Times New Roman"/>
                <w:sz w:val="24"/>
              </w:rPr>
              <w:t>„prvi put obračunani” u prethodnom referentnom izvještajnom razdoblju ako događaj nije bio uključen u prethodno nadzorno izvješće, npr. zato što je utvrđen kao događaj povezan s operativnim rizikom tek u sadašnjem ref</w:t>
            </w:r>
            <w:r w:rsidRPr="00EF7F33">
              <w:rPr>
                <w:rFonts w:ascii="Times New Roman" w:hAnsi="Times New Roman"/>
                <w:sz w:val="24"/>
              </w:rPr>
              <w:t>e</w:t>
            </w:r>
            <w:r w:rsidRPr="00EF7F33">
              <w:rPr>
                <w:rFonts w:ascii="Times New Roman" w:hAnsi="Times New Roman"/>
                <w:sz w:val="24"/>
              </w:rPr>
              <w:t>rentnom izvještajnom razdoblju ili zato što je akumulirani gubitak koji se pripisuje tom događaju (odnosno izvorni gubitak uvećan / umanjen za sva usklađenja gubitaka provedena u prethodnim referentnim izvještajnim ra</w:t>
            </w:r>
            <w:r w:rsidRPr="00EF7F33">
              <w:rPr>
                <w:rFonts w:ascii="Times New Roman" w:hAnsi="Times New Roman"/>
                <w:sz w:val="24"/>
              </w:rPr>
              <w:t>z</w:t>
            </w:r>
            <w:r w:rsidRPr="00EF7F33">
              <w:rPr>
                <w:rFonts w:ascii="Times New Roman" w:hAnsi="Times New Roman"/>
                <w:sz w:val="24"/>
              </w:rPr>
              <w:t>dobljima) premašio prag za prikupljanje internih podataka tek u sadašnjem referentnom izvještajnom razdoblju.</w:t>
            </w:r>
          </w:p>
          <w:p w:rsidR="00FD54FC" w:rsidRPr="00EF7F33" w:rsidRDefault="00FD54FC" w:rsidP="00FD54FC">
            <w:pPr>
              <w:rPr>
                <w:rStyle w:val="InstructionsTabelleberschrift"/>
                <w:rFonts w:ascii="Times New Roman" w:hAnsi="Times New Roman"/>
                <w:sz w:val="24"/>
              </w:rPr>
            </w:pPr>
            <w:r w:rsidRPr="00EF7F33">
              <w:rPr>
                <w:rFonts w:ascii="Times New Roman" w:hAnsi="Times New Roman"/>
                <w:sz w:val="24"/>
              </w:rPr>
              <w:t>„Novi događaji” ne uključuju događaje povezane s operativnim rizikom koji su „prvi put obračunani” u prethodnom referentnom izvještajnom razdoblju, koji su već bili uključeni u prethodna nadzorna izvješća.</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lastRenderedPageBreak/>
              <w:t>0020, 0120, 0220, 0320, 0420, 0520, 0620, 0720, 0820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Iznos bruto gubitka (novi događaji)</w:t>
            </w:r>
          </w:p>
          <w:p w:rsidR="00FD54FC" w:rsidRPr="00EF7F33" w:rsidRDefault="00FD54FC" w:rsidP="00FD54FC">
            <w:pPr>
              <w:rPr>
                <w:rFonts w:ascii="Times New Roman" w:hAnsi="Times New Roman"/>
                <w:sz w:val="24"/>
              </w:rPr>
            </w:pPr>
            <w:r w:rsidRPr="00EF7F33">
              <w:rPr>
                <w:rFonts w:ascii="Times New Roman" w:hAnsi="Times New Roman"/>
                <w:sz w:val="24"/>
              </w:rPr>
              <w:t>Iznos bruto gubitka jesu iznosi bruto gubitka koji se odnose na događaje povez</w:t>
            </w:r>
            <w:r w:rsidRPr="00EF7F33">
              <w:rPr>
                <w:rFonts w:ascii="Times New Roman" w:hAnsi="Times New Roman"/>
                <w:sz w:val="24"/>
              </w:rPr>
              <w:t>a</w:t>
            </w:r>
            <w:r w:rsidRPr="00EF7F33">
              <w:rPr>
                <w:rFonts w:ascii="Times New Roman" w:hAnsi="Times New Roman"/>
                <w:sz w:val="24"/>
              </w:rPr>
              <w:t>ne s operativnim rizikom (npr. izravne naknade, pričuve, namire). Svi gubici koji se odnose na pojedinačni događaj i koji su obračunani u referentnom izvješta</w:t>
            </w:r>
            <w:r w:rsidRPr="00EF7F33">
              <w:rPr>
                <w:rFonts w:ascii="Times New Roman" w:hAnsi="Times New Roman"/>
                <w:sz w:val="24"/>
              </w:rPr>
              <w:t>j</w:t>
            </w:r>
            <w:r w:rsidRPr="00EF7F33">
              <w:rPr>
                <w:rFonts w:ascii="Times New Roman" w:hAnsi="Times New Roman"/>
                <w:sz w:val="24"/>
              </w:rPr>
              <w:t>nom razdoblju zbrajaju se i smatraju se bruto gubitkom za taj događaj za to ref</w:t>
            </w:r>
            <w:r w:rsidRPr="00EF7F33">
              <w:rPr>
                <w:rFonts w:ascii="Times New Roman" w:hAnsi="Times New Roman"/>
                <w:sz w:val="24"/>
              </w:rPr>
              <w:t>e</w:t>
            </w:r>
            <w:r w:rsidRPr="00EF7F33">
              <w:rPr>
                <w:rFonts w:ascii="Times New Roman" w:hAnsi="Times New Roman"/>
                <w:sz w:val="24"/>
              </w:rPr>
              <w:t>rentno izvještajno razdoblje.</w:t>
            </w:r>
          </w:p>
          <w:p w:rsidR="00FD54FC" w:rsidRPr="00EF7F33" w:rsidRDefault="00FD54FC" w:rsidP="00FD54FC">
            <w:pPr>
              <w:rPr>
                <w:rFonts w:ascii="Times New Roman" w:hAnsi="Times New Roman"/>
                <w:sz w:val="24"/>
              </w:rPr>
            </w:pPr>
            <w:r w:rsidRPr="00EF7F33">
              <w:rPr>
                <w:rFonts w:ascii="Times New Roman" w:hAnsi="Times New Roman"/>
                <w:sz w:val="24"/>
              </w:rPr>
              <w:t>Iskazani iznos bruto gubitka odnosi se na „nove događaje” kako su definirani u prethodnom retku. Za događaje koji su „prvi put obračunani” u prethodnom ref</w:t>
            </w:r>
            <w:r w:rsidRPr="00EF7F33">
              <w:rPr>
                <w:rFonts w:ascii="Times New Roman" w:hAnsi="Times New Roman"/>
                <w:sz w:val="24"/>
              </w:rPr>
              <w:t>e</w:t>
            </w:r>
            <w:r w:rsidRPr="00EF7F33">
              <w:rPr>
                <w:rFonts w:ascii="Times New Roman" w:hAnsi="Times New Roman"/>
                <w:sz w:val="24"/>
              </w:rPr>
              <w:t>rentnom izvještajnom razdoblju i koji nisu bili uključeni ni u jedno prethodno nadzorno izvješće ukupni akumulirani gubitak do referentnog izvještajnog dat</w:t>
            </w:r>
            <w:r w:rsidRPr="00EF7F33">
              <w:rPr>
                <w:rFonts w:ascii="Times New Roman" w:hAnsi="Times New Roman"/>
                <w:sz w:val="24"/>
              </w:rPr>
              <w:t>u</w:t>
            </w:r>
            <w:r w:rsidRPr="00EF7F33">
              <w:rPr>
                <w:rFonts w:ascii="Times New Roman" w:hAnsi="Times New Roman"/>
                <w:sz w:val="24"/>
              </w:rPr>
              <w:t>ma (odnosno izvorni gubitak uvećan / umanjen za sva usklađenja gubitaka pr</w:t>
            </w:r>
            <w:r w:rsidRPr="00EF7F33">
              <w:rPr>
                <w:rFonts w:ascii="Times New Roman" w:hAnsi="Times New Roman"/>
                <w:sz w:val="24"/>
              </w:rPr>
              <w:t>o</w:t>
            </w:r>
            <w:r w:rsidRPr="00EF7F33">
              <w:rPr>
                <w:rFonts w:ascii="Times New Roman" w:hAnsi="Times New Roman"/>
                <w:sz w:val="24"/>
              </w:rPr>
              <w:t>vedena u prethodnim referentnim izvještajnim razdobljima) iskazuje se kao bruto gubitak na referentni izvještajni datum.</w:t>
            </w:r>
          </w:p>
          <w:p w:rsidR="00FD54FC" w:rsidRPr="00EF7F33" w:rsidRDefault="00FD54FC" w:rsidP="00F52FC6">
            <w:pPr>
              <w:rPr>
                <w:rStyle w:val="InstructionsTabelleberschrift"/>
                <w:rFonts w:ascii="Times New Roman" w:hAnsi="Times New Roman"/>
                <w:sz w:val="24"/>
              </w:rPr>
            </w:pPr>
            <w:r w:rsidRPr="00EF7F33">
              <w:rPr>
                <w:rFonts w:ascii="Times New Roman" w:hAnsi="Times New Roman"/>
                <w:sz w:val="24"/>
              </w:rPr>
              <w:t>Za iznose koji se trebaju iskazati ne uzimaju se u obzir ostvareni povrati.</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t>0030, 0130, 0230, 0330, 0430, 0530, 0630, 0730, 0830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Broj štetnih događaja koji podliježu usklađenjima gubitka</w:t>
            </w:r>
          </w:p>
          <w:p w:rsidR="00FD54FC" w:rsidRPr="00EF7F33" w:rsidRDefault="00FD54FC" w:rsidP="00FD54FC">
            <w:pPr>
              <w:rPr>
                <w:rFonts w:ascii="Times New Roman" w:hAnsi="Times New Roman"/>
                <w:sz w:val="24"/>
              </w:rPr>
            </w:pPr>
            <w:r w:rsidRPr="00EF7F33">
              <w:rPr>
                <w:rFonts w:ascii="Times New Roman" w:hAnsi="Times New Roman"/>
                <w:sz w:val="24"/>
              </w:rPr>
              <w:t>Broj štetnih događaja koji podliježu usklađenjima gubitka jednak je broju dog</w:t>
            </w:r>
            <w:r w:rsidRPr="00EF7F33">
              <w:rPr>
                <w:rFonts w:ascii="Times New Roman" w:hAnsi="Times New Roman"/>
                <w:sz w:val="24"/>
              </w:rPr>
              <w:t>a</w:t>
            </w:r>
            <w:r w:rsidRPr="00EF7F33">
              <w:rPr>
                <w:rFonts w:ascii="Times New Roman" w:hAnsi="Times New Roman"/>
                <w:sz w:val="24"/>
              </w:rPr>
              <w:t xml:space="preserve">đaja povezanih s operativnim rizikom koji su „prvi put obračunani” u prethodnim referentnim izvještajnim razdobljima i koji su već uključeni u prethodna izvješća, za koja su usklađenja gubitaka provedena u sadašnjem referentnom izvještajnom razdoblju. </w:t>
            </w:r>
          </w:p>
          <w:p w:rsidR="00FD54FC" w:rsidRPr="00EF7F33" w:rsidRDefault="00FD54FC" w:rsidP="00FD54FC">
            <w:pPr>
              <w:rPr>
                <w:b/>
                <w:sz w:val="24"/>
              </w:rPr>
            </w:pPr>
            <w:r w:rsidRPr="00EF7F33">
              <w:rPr>
                <w:rFonts w:ascii="Times New Roman" w:hAnsi="Times New Roman"/>
                <w:sz w:val="24"/>
              </w:rPr>
              <w:t>Ako je za događaj provedeno više od jednog usklađenja gubitka u referentnom izvještajnom razdoblju, zbroj tih usklađenja računa se kao jedno usklađenje u tom razdoblju.</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t xml:space="preserve">0040, 0140, 0240, 0340, </w:t>
            </w:r>
            <w:r w:rsidRPr="00EF7F33">
              <w:rPr>
                <w:rFonts w:ascii="Times New Roman" w:hAnsi="Times New Roman"/>
                <w:sz w:val="24"/>
              </w:rPr>
              <w:lastRenderedPageBreak/>
              <w:t>0440, 0540, 0640, 0740, 0840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lastRenderedPageBreak/>
              <w:t>Usklađenja gubitka koja se odnose na prethodna izvještajna razdoblja</w:t>
            </w:r>
          </w:p>
          <w:p w:rsidR="00FD54FC" w:rsidRPr="00EF7F33" w:rsidRDefault="00FD54FC" w:rsidP="00FD54FC">
            <w:pPr>
              <w:rPr>
                <w:rFonts w:ascii="Times New Roman" w:hAnsi="Times New Roman"/>
                <w:sz w:val="24"/>
              </w:rPr>
            </w:pPr>
            <w:r w:rsidRPr="00EF7F33">
              <w:rPr>
                <w:rFonts w:ascii="Times New Roman" w:hAnsi="Times New Roman"/>
                <w:sz w:val="24"/>
              </w:rPr>
              <w:t>Usklađenja gubitka koja se odnose na prethodna referentna izvještajna razdoblja jednaka su zbroju sljedećih elemenata (pozitivnih ili negativnih):</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w:t>
            </w:r>
            <w:r w:rsidRPr="00EF7F33">
              <w:tab/>
            </w:r>
            <w:r w:rsidRPr="00EF7F33">
              <w:rPr>
                <w:rFonts w:ascii="Times New Roman" w:hAnsi="Times New Roman"/>
                <w:sz w:val="24"/>
              </w:rPr>
              <w:t xml:space="preserve">iznosa bruto gubitka koji se odnose na pozitivna usklađenja gubitka tijekom </w:t>
            </w:r>
            <w:r w:rsidRPr="00EF7F33">
              <w:rPr>
                <w:rFonts w:ascii="Times New Roman" w:hAnsi="Times New Roman"/>
                <w:sz w:val="24"/>
              </w:rPr>
              <w:lastRenderedPageBreak/>
              <w:t>referentnog izvještajnog razdoblja (npr. povećanje pričuva, povezani štetni događaji, dodatne namire) za događaje povezane s operativnim rizikom koji su „prvi put obračunani” i iskazani u prethodnim referentnim izvještajnim razdobljima;</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ii.</w:t>
            </w:r>
            <w:r w:rsidRPr="00EF7F33">
              <w:tab/>
            </w:r>
            <w:r w:rsidRPr="00EF7F33">
              <w:rPr>
                <w:rFonts w:ascii="Times New Roman" w:hAnsi="Times New Roman"/>
                <w:sz w:val="24"/>
              </w:rPr>
              <w:t>iznosa bruto gubitka koji se odnose na negativna usklađenja gubitka tijekom referentnog izvještajnog razdoblja (npr. zbog smanjenja pričuva) za događ</w:t>
            </w:r>
            <w:r w:rsidRPr="00EF7F33">
              <w:rPr>
                <w:rFonts w:ascii="Times New Roman" w:hAnsi="Times New Roman"/>
                <w:sz w:val="24"/>
              </w:rPr>
              <w:t>a</w:t>
            </w:r>
            <w:r w:rsidRPr="00EF7F33">
              <w:rPr>
                <w:rFonts w:ascii="Times New Roman" w:hAnsi="Times New Roman"/>
                <w:sz w:val="24"/>
              </w:rPr>
              <w:t xml:space="preserve">je povezane s operativnim rizikom koji su „prvi put obračunani” i iskazani u prethodnim referentnim izvještajnim razdobljima. </w:t>
            </w:r>
          </w:p>
          <w:p w:rsidR="00FD54FC" w:rsidRPr="00EF7F33" w:rsidRDefault="00FD54FC" w:rsidP="00FD54FC">
            <w:pPr>
              <w:rPr>
                <w:rFonts w:ascii="Times New Roman" w:hAnsi="Times New Roman"/>
                <w:sz w:val="24"/>
              </w:rPr>
            </w:pPr>
            <w:r w:rsidRPr="00EF7F33">
              <w:rPr>
                <w:rFonts w:ascii="Times New Roman" w:hAnsi="Times New Roman"/>
                <w:sz w:val="24"/>
              </w:rPr>
              <w:t>Ako je za događaj provedeno više od jednog usklađenja gubitka u referentnom izvještajnom razdoblju, zbrajaju se iznosi svih tih usklađenja, uzimajući u obzir predznak usklađenja (pozitivan, negativan). Zbroj se smatra bruto gubitkom za taj događaj za to referentno izvještajno razdoblje.</w:t>
            </w:r>
          </w:p>
          <w:p w:rsidR="00FD54FC" w:rsidRPr="00EF7F33" w:rsidRDefault="00FD54FC" w:rsidP="00FD54FC">
            <w:pPr>
              <w:rPr>
                <w:rFonts w:ascii="Times New Roman" w:hAnsi="Times New Roman"/>
                <w:sz w:val="24"/>
              </w:rPr>
            </w:pPr>
            <w:r w:rsidRPr="00EF7F33">
              <w:rPr>
                <w:rFonts w:ascii="Times New Roman" w:hAnsi="Times New Roman"/>
                <w:sz w:val="24"/>
              </w:rPr>
              <w:t>Ako zbog negativnog usklađenja gubitka iznos usklađenog gubitka koji se prip</w:t>
            </w:r>
            <w:r w:rsidRPr="00EF7F33">
              <w:rPr>
                <w:rFonts w:ascii="Times New Roman" w:hAnsi="Times New Roman"/>
                <w:sz w:val="24"/>
              </w:rPr>
              <w:t>i</w:t>
            </w:r>
            <w:r w:rsidRPr="00EF7F33">
              <w:rPr>
                <w:rFonts w:ascii="Times New Roman" w:hAnsi="Times New Roman"/>
                <w:sz w:val="24"/>
              </w:rPr>
              <w:t>suje događaju bude manji od praga institucije za prikupljanje podataka, institucija iskazuje ukupan iznos gubitka za taj događaj koji je akumuliran do zadnjeg puta kad je događaj iskazan za referentni datum u prosincu (odnosno izvorni gubitak uvećan / umanjen za sva usklađenja gubitaka provedena u prethodnim refere</w:t>
            </w:r>
            <w:r w:rsidRPr="00EF7F33">
              <w:rPr>
                <w:rFonts w:ascii="Times New Roman" w:hAnsi="Times New Roman"/>
                <w:sz w:val="24"/>
              </w:rPr>
              <w:t>n</w:t>
            </w:r>
            <w:r w:rsidRPr="00EF7F33">
              <w:rPr>
                <w:rFonts w:ascii="Times New Roman" w:hAnsi="Times New Roman"/>
                <w:sz w:val="24"/>
              </w:rPr>
              <w:t>tnim izvještajnim razdobljima) s negativnim predznakom umjesto iznosa neg</w:t>
            </w:r>
            <w:r w:rsidRPr="00EF7F33">
              <w:rPr>
                <w:rFonts w:ascii="Times New Roman" w:hAnsi="Times New Roman"/>
                <w:sz w:val="24"/>
              </w:rPr>
              <w:t>a</w:t>
            </w:r>
            <w:r w:rsidRPr="00EF7F33">
              <w:rPr>
                <w:rFonts w:ascii="Times New Roman" w:hAnsi="Times New Roman"/>
                <w:sz w:val="24"/>
              </w:rPr>
              <w:t>tivnog usklađenja gubitka.</w:t>
            </w:r>
          </w:p>
          <w:p w:rsidR="00FD54FC" w:rsidRPr="00EF7F33" w:rsidRDefault="00FD54FC" w:rsidP="00EB62C2">
            <w:pPr>
              <w:rPr>
                <w:b/>
                <w:sz w:val="24"/>
              </w:rPr>
            </w:pPr>
            <w:r w:rsidRPr="00EF7F33">
              <w:rPr>
                <w:rFonts w:ascii="Times New Roman" w:hAnsi="Times New Roman"/>
                <w:sz w:val="24"/>
              </w:rPr>
              <w:t>Za iznose koji se trebaju iskazati ne uzimaju se u obzir ostvareni povrati.</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lastRenderedPageBreak/>
              <w:t>0050, 0150, 0250, 0350, 0450, 0550, 0650, 0750, 0850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Najveći pojedinačni gubitak</w:t>
            </w:r>
          </w:p>
          <w:p w:rsidR="00FD54FC" w:rsidRPr="00EF7F33" w:rsidRDefault="00FD54FC" w:rsidP="00FD54FC">
            <w:pPr>
              <w:rPr>
                <w:rFonts w:ascii="Times New Roman" w:hAnsi="Times New Roman"/>
                <w:sz w:val="24"/>
              </w:rPr>
            </w:pPr>
            <w:r w:rsidRPr="00EF7F33">
              <w:rPr>
                <w:rFonts w:ascii="Times New Roman" w:hAnsi="Times New Roman"/>
                <w:sz w:val="24"/>
              </w:rPr>
              <w:t>Najveći pojedinačni gubitak jednak je većem iznosu od dva sljedeća iznosa:</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w:t>
            </w:r>
            <w:r w:rsidRPr="00EF7F33">
              <w:tab/>
            </w:r>
            <w:r w:rsidRPr="00EF7F33">
              <w:rPr>
                <w:rFonts w:ascii="Times New Roman" w:hAnsi="Times New Roman"/>
                <w:sz w:val="24"/>
              </w:rPr>
              <w:t>najveći iznos bruto gubitka koji se odnosi na događaj koji je iskazan prvi put u referentnom izvještajnom razdoblju i</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ii.</w:t>
            </w:r>
            <w:r w:rsidRPr="00EF7F33">
              <w:tab/>
            </w:r>
            <w:r w:rsidRPr="00EF7F33">
              <w:rPr>
                <w:rFonts w:ascii="Times New Roman" w:hAnsi="Times New Roman"/>
                <w:sz w:val="24"/>
              </w:rPr>
              <w:t>najveći pozitivni iznos usklađenja gubitka (kako je prethodno definirano) koji se odnosi na događaj koji je iskazan prvi put u referentnom izvještajnom razdoblju.</w:t>
            </w:r>
          </w:p>
          <w:p w:rsidR="00FD54FC" w:rsidRPr="00EF7F33" w:rsidRDefault="00FD54FC" w:rsidP="00F52FC6">
            <w:pPr>
              <w:rPr>
                <w:sz w:val="24"/>
              </w:rPr>
            </w:pPr>
            <w:r w:rsidRPr="00EF7F33">
              <w:rPr>
                <w:rFonts w:ascii="Times New Roman" w:hAnsi="Times New Roman"/>
                <w:sz w:val="24"/>
              </w:rPr>
              <w:t>Za iznose koji se trebaju iskazati ne uzimaju se u obzir ostvareni povrati.</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t>0060, 0160, 0260, 0360, 0460, 0560, 0660, 0760, 0860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Zbroj pet najvećih gubitaka</w:t>
            </w:r>
          </w:p>
          <w:p w:rsidR="00FD54FC" w:rsidRPr="00EF7F33" w:rsidRDefault="00FD54FC" w:rsidP="00FD54FC">
            <w:pPr>
              <w:rPr>
                <w:rFonts w:ascii="Times New Roman" w:hAnsi="Times New Roman"/>
                <w:sz w:val="24"/>
              </w:rPr>
            </w:pPr>
            <w:r w:rsidRPr="00EF7F33">
              <w:rPr>
                <w:rFonts w:ascii="Times New Roman" w:hAnsi="Times New Roman"/>
                <w:sz w:val="24"/>
              </w:rPr>
              <w:t>Zbroj pet najvećih gubitaka je zbroj pet najvećih iznosa među sljedećim:</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w:t>
            </w:r>
            <w:r w:rsidRPr="00EF7F33">
              <w:tab/>
            </w:r>
            <w:r w:rsidRPr="00EF7F33">
              <w:rPr>
                <w:rFonts w:ascii="Times New Roman" w:hAnsi="Times New Roman"/>
                <w:sz w:val="24"/>
              </w:rPr>
              <w:t>iznosi bruto gubitka za događaje koji su iskazani prvi put u referentnom izvještajnom razdoblju i</w:t>
            </w:r>
          </w:p>
          <w:p w:rsidR="00FD54FC" w:rsidRPr="00EF7F33" w:rsidRDefault="00FD54FC" w:rsidP="00FD54FC">
            <w:pPr>
              <w:tabs>
                <w:tab w:val="left" w:pos="459"/>
              </w:tabs>
              <w:ind w:left="459" w:hanging="459"/>
              <w:rPr>
                <w:rFonts w:ascii="Times New Roman" w:hAnsi="Times New Roman"/>
                <w:sz w:val="24"/>
              </w:rPr>
            </w:pPr>
            <w:r w:rsidRPr="00EF7F33">
              <w:rPr>
                <w:rFonts w:ascii="Times New Roman" w:hAnsi="Times New Roman"/>
                <w:sz w:val="24"/>
              </w:rPr>
              <w:t>ii.</w:t>
            </w:r>
            <w:r w:rsidRPr="00EF7F33">
              <w:tab/>
            </w:r>
            <w:r w:rsidRPr="00EF7F33">
              <w:rPr>
                <w:rFonts w:ascii="Times New Roman" w:hAnsi="Times New Roman"/>
                <w:sz w:val="24"/>
              </w:rPr>
              <w:t>pozitivni iznosi usklađenja gubitka (kako je definirano prethodno u redcima 040, 140, …, 840) koji se odnose na događaje koji su iskazani prvi put u r</w:t>
            </w:r>
            <w:r w:rsidRPr="00EF7F33">
              <w:rPr>
                <w:rFonts w:ascii="Times New Roman" w:hAnsi="Times New Roman"/>
                <w:sz w:val="24"/>
              </w:rPr>
              <w:t>e</w:t>
            </w:r>
            <w:r w:rsidRPr="00EF7F33">
              <w:rPr>
                <w:rFonts w:ascii="Times New Roman" w:hAnsi="Times New Roman"/>
                <w:sz w:val="24"/>
              </w:rPr>
              <w:t>ferentnom izvještajnom razdoblju. Iznos koji se može smatrati jednim od pet najvećih iznosa jednak je iznosu samog usklađenja gubitka, a ne ukupnom gubitku povezanom s odgovarajućim događajem prije ili nakon usklađenja gubitka.</w:t>
            </w:r>
          </w:p>
          <w:p w:rsidR="00FD54FC" w:rsidRPr="00EF7F33" w:rsidRDefault="00FD54FC" w:rsidP="00F52FC6">
            <w:pPr>
              <w:rPr>
                <w:sz w:val="24"/>
              </w:rPr>
            </w:pPr>
            <w:r w:rsidRPr="00EF7F33">
              <w:rPr>
                <w:rFonts w:ascii="Times New Roman" w:hAnsi="Times New Roman"/>
                <w:sz w:val="24"/>
              </w:rPr>
              <w:t>Za iznose koji se trebaju iskazati ne uzimaju se u obzir ostvareni povrati.</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t xml:space="preserve">0070, 0170, 0270, </w:t>
            </w:r>
            <w:r w:rsidRPr="00EF7F33">
              <w:rPr>
                <w:rFonts w:ascii="Times New Roman" w:hAnsi="Times New Roman"/>
                <w:sz w:val="24"/>
              </w:rPr>
              <w:lastRenderedPageBreak/>
              <w:t>0370, 0470, 0570, 0670, 0770, 0870</w:t>
            </w:r>
          </w:p>
        </w:tc>
        <w:tc>
          <w:tcPr>
            <w:tcW w:w="8079" w:type="dxa"/>
          </w:tcPr>
          <w:p w:rsidR="00FD54FC" w:rsidRPr="00EF7F33" w:rsidRDefault="00B34B0B" w:rsidP="00FD54FC">
            <w:pPr>
              <w:rPr>
                <w:sz w:val="24"/>
              </w:rPr>
            </w:pPr>
            <w:r w:rsidRPr="00EF7F33">
              <w:rPr>
                <w:rStyle w:val="InstructionsTabelleberschrift"/>
                <w:rFonts w:ascii="Times New Roman" w:hAnsi="Times New Roman"/>
                <w:sz w:val="24"/>
              </w:rPr>
              <w:lastRenderedPageBreak/>
              <w:t>Ukupan izravan povrat gubitka:</w:t>
            </w:r>
          </w:p>
          <w:p w:rsidR="00FD54FC" w:rsidRPr="00EF7F33" w:rsidRDefault="00FD54FC" w:rsidP="00FD54FC">
            <w:pPr>
              <w:rPr>
                <w:rFonts w:ascii="Times New Roman" w:hAnsi="Times New Roman"/>
                <w:sz w:val="24"/>
              </w:rPr>
            </w:pPr>
            <w:r w:rsidRPr="00EF7F33">
              <w:rPr>
                <w:rFonts w:ascii="Times New Roman" w:hAnsi="Times New Roman"/>
                <w:sz w:val="24"/>
              </w:rPr>
              <w:t xml:space="preserve">Izravni povrati su svi ostvareni povrati osim onih koji podliježu članku 323. </w:t>
            </w:r>
            <w:r w:rsidRPr="00EF7F33">
              <w:rPr>
                <w:rFonts w:ascii="Times New Roman" w:hAnsi="Times New Roman"/>
                <w:sz w:val="24"/>
              </w:rPr>
              <w:lastRenderedPageBreak/>
              <w:t xml:space="preserve">CRR-a kako su iskazani u retku u nastavku. </w:t>
            </w:r>
          </w:p>
          <w:p w:rsidR="00FD54FC" w:rsidRPr="00EF7F33" w:rsidRDefault="00FD54FC" w:rsidP="00FD54FC">
            <w:pPr>
              <w:rPr>
                <w:b/>
                <w:sz w:val="24"/>
              </w:rPr>
            </w:pPr>
            <w:r w:rsidRPr="00EF7F33">
              <w:rPr>
                <w:rFonts w:ascii="Times New Roman" w:hAnsi="Times New Roman"/>
                <w:sz w:val="24"/>
              </w:rPr>
              <w:t>Ukupan izravan povrat gubitka je zbroj svih izravnih povrata i usklađenja izra</w:t>
            </w:r>
            <w:r w:rsidRPr="00EF7F33">
              <w:rPr>
                <w:rFonts w:ascii="Times New Roman" w:hAnsi="Times New Roman"/>
                <w:sz w:val="24"/>
              </w:rPr>
              <w:t>v</w:t>
            </w:r>
            <w:r w:rsidRPr="00EF7F33">
              <w:rPr>
                <w:rFonts w:ascii="Times New Roman" w:hAnsi="Times New Roman"/>
                <w:sz w:val="24"/>
              </w:rPr>
              <w:t>nih povrata obračunanih u izvještajnom razdoblju koji se odnose na događaje p</w:t>
            </w:r>
            <w:r w:rsidRPr="00EF7F33">
              <w:rPr>
                <w:rFonts w:ascii="Times New Roman" w:hAnsi="Times New Roman"/>
                <w:sz w:val="24"/>
              </w:rPr>
              <w:t>o</w:t>
            </w:r>
            <w:r w:rsidRPr="00EF7F33">
              <w:rPr>
                <w:rFonts w:ascii="Times New Roman" w:hAnsi="Times New Roman"/>
                <w:sz w:val="24"/>
              </w:rPr>
              <w:t>vezane s operativnim rizikom koji su prvi put obračunani u referentnom izvje</w:t>
            </w:r>
            <w:r w:rsidRPr="00EF7F33">
              <w:rPr>
                <w:rFonts w:ascii="Times New Roman" w:hAnsi="Times New Roman"/>
                <w:sz w:val="24"/>
              </w:rPr>
              <w:t>š</w:t>
            </w:r>
            <w:r w:rsidRPr="00EF7F33">
              <w:rPr>
                <w:rFonts w:ascii="Times New Roman" w:hAnsi="Times New Roman"/>
                <w:sz w:val="24"/>
              </w:rPr>
              <w:t>tajnom razdoblju ili u prethodnim referentnim izvještajnim razdobljima.</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lastRenderedPageBreak/>
              <w:t>0080, 0180, 0280, 0380, 0480, 0580, 0680, 0780, 0880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Ukupan povrat od osiguranja i drugih mehanizama za prijenos rizika</w:t>
            </w:r>
          </w:p>
          <w:p w:rsidR="00FD54FC" w:rsidRPr="00EF7F33" w:rsidRDefault="00FD54FC" w:rsidP="00FD54FC">
            <w:pPr>
              <w:rPr>
                <w:rFonts w:ascii="Times New Roman" w:hAnsi="Times New Roman"/>
                <w:sz w:val="24"/>
              </w:rPr>
            </w:pPr>
            <w:r w:rsidRPr="00EF7F33">
              <w:rPr>
                <w:rFonts w:ascii="Times New Roman" w:hAnsi="Times New Roman"/>
                <w:sz w:val="24"/>
              </w:rPr>
              <w:t xml:space="preserve">Povrati od osiguranja i drugih mehanizama za prijenos rizika jesu povrati koji podliježu članku 323. CRR-a. </w:t>
            </w:r>
          </w:p>
          <w:p w:rsidR="00FD54FC" w:rsidRPr="00EF7F33" w:rsidRDefault="00FD54FC" w:rsidP="00070AF9">
            <w:pPr>
              <w:rPr>
                <w:sz w:val="24"/>
              </w:rPr>
            </w:pPr>
            <w:r w:rsidRPr="00EF7F33">
              <w:rPr>
                <w:rFonts w:ascii="Times New Roman" w:hAnsi="Times New Roman"/>
                <w:sz w:val="24"/>
              </w:rPr>
              <w:t>Ukupan povrat od osiguranja i drugih mehanizama za prijenos rizika je zbroj svih povrata od osiguranja i drugih mehanizama za prijenos rizika i usklađenja tih povrata obračunanih u referentnom izvještajnom razdoblju koji se odnose na d</w:t>
            </w:r>
            <w:r w:rsidRPr="00EF7F33">
              <w:rPr>
                <w:rFonts w:ascii="Times New Roman" w:hAnsi="Times New Roman"/>
                <w:sz w:val="24"/>
              </w:rPr>
              <w:t>o</w:t>
            </w:r>
            <w:r w:rsidRPr="00EF7F33">
              <w:rPr>
                <w:rFonts w:ascii="Times New Roman" w:hAnsi="Times New Roman"/>
                <w:sz w:val="24"/>
              </w:rPr>
              <w:t>gađaje povezane s operativnim rizikom koji su prvi put obračunani u referentnom izvještajnom razdoblju ili u prethodnim referentnim izvještajnim razdobljima.</w:t>
            </w:r>
          </w:p>
        </w:tc>
      </w:tr>
      <w:tr w:rsidR="00FD54FC" w:rsidRPr="00EF7F33" w:rsidTr="00672D2A">
        <w:tc>
          <w:tcPr>
            <w:tcW w:w="1101" w:type="dxa"/>
          </w:tcPr>
          <w:p w:rsidR="00FD54FC" w:rsidRPr="00EF7F33" w:rsidRDefault="00C93FC2" w:rsidP="000F70EC">
            <w:pPr>
              <w:rPr>
                <w:rFonts w:ascii="Times New Roman" w:hAnsi="Times New Roman"/>
                <w:bCs/>
                <w:sz w:val="24"/>
              </w:rPr>
            </w:pPr>
            <w:r w:rsidRPr="00EF7F33">
              <w:rPr>
                <w:rFonts w:ascii="Times New Roman" w:hAnsi="Times New Roman"/>
                <w:sz w:val="24"/>
              </w:rPr>
              <w:t>0910-0980</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UKUPNE POSLOVNE LINIJE</w:t>
            </w:r>
          </w:p>
          <w:p w:rsidR="00FD54FC" w:rsidRPr="00EF7F33" w:rsidRDefault="00FD54FC" w:rsidP="00FD54FC">
            <w:pPr>
              <w:rPr>
                <w:rFonts w:ascii="Times New Roman" w:hAnsi="Times New Roman"/>
                <w:sz w:val="24"/>
              </w:rPr>
            </w:pPr>
            <w:r w:rsidRPr="00EF7F33">
              <w:rPr>
                <w:rFonts w:ascii="Times New Roman" w:hAnsi="Times New Roman"/>
                <w:sz w:val="24"/>
              </w:rPr>
              <w:t>Za svaku vrstu događaja (stupac od 010 do 080) moraju se iskazati informacije (članak 322. stavak 3. točke (b), (c) i (e) CRR-a o ukupnim poslovnim linijama.</w:t>
            </w:r>
          </w:p>
        </w:tc>
      </w:tr>
      <w:tr w:rsidR="00FD54FC" w:rsidRPr="00EF7F33" w:rsidTr="00672D2A">
        <w:tc>
          <w:tcPr>
            <w:tcW w:w="1101" w:type="dxa"/>
          </w:tcPr>
          <w:p w:rsidR="00FD54FC" w:rsidRPr="00EF7F33" w:rsidRDefault="00C93FC2" w:rsidP="000F70EC">
            <w:pPr>
              <w:rPr>
                <w:rFonts w:ascii="Times New Roman" w:hAnsi="Times New Roman"/>
                <w:bCs/>
                <w:sz w:val="24"/>
              </w:rPr>
            </w:pPr>
            <w:r w:rsidRPr="00EF7F33">
              <w:rPr>
                <w:rFonts w:ascii="Times New Roman" w:hAnsi="Times New Roman"/>
                <w:sz w:val="24"/>
              </w:rPr>
              <w:t>0910-0914</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Broj događaja</w:t>
            </w:r>
          </w:p>
          <w:p w:rsidR="00FD54FC" w:rsidRPr="00EF7F33" w:rsidRDefault="00FD54FC" w:rsidP="00FD54FC">
            <w:pPr>
              <w:rPr>
                <w:rFonts w:ascii="Times New Roman" w:hAnsi="Times New Roman"/>
                <w:sz w:val="24"/>
              </w:rPr>
            </w:pPr>
            <w:r w:rsidRPr="00EF7F33">
              <w:rPr>
                <w:rFonts w:ascii="Times New Roman" w:hAnsi="Times New Roman"/>
                <w:sz w:val="24"/>
              </w:rPr>
              <w:t>U retku 910 iskazuje se broj događaja iznad internog praga prema vrsti događaja za ukupne poslovne linije. Navedena vrijednost može biti manja od agregiranja broja događaja prema poslovnim linijama jer se događaji s višestrukim utjecajima (utjecaji na različite poslovne linije) smatraju jednim. Može biti i veća ako inst</w:t>
            </w:r>
            <w:r w:rsidRPr="00EF7F33">
              <w:rPr>
                <w:rFonts w:ascii="Times New Roman" w:hAnsi="Times New Roman"/>
                <w:sz w:val="24"/>
              </w:rPr>
              <w:t>i</w:t>
            </w:r>
            <w:r w:rsidRPr="00EF7F33">
              <w:rPr>
                <w:rFonts w:ascii="Times New Roman" w:hAnsi="Times New Roman"/>
                <w:sz w:val="24"/>
              </w:rPr>
              <w:t>tucija koja svoje kapitalne zahtjeve izračunava u skladu s jednostavnim prist</w:t>
            </w:r>
            <w:r w:rsidRPr="00EF7F33">
              <w:rPr>
                <w:rFonts w:ascii="Times New Roman" w:hAnsi="Times New Roman"/>
                <w:sz w:val="24"/>
              </w:rPr>
              <w:t>u</w:t>
            </w:r>
            <w:r w:rsidRPr="00EF7F33">
              <w:rPr>
                <w:rFonts w:ascii="Times New Roman" w:hAnsi="Times New Roman"/>
                <w:sz w:val="24"/>
              </w:rPr>
              <w:t>pom ne može u svakom pojedinom slučaju utvrditi poslovne linije na koje je u</w:t>
            </w:r>
            <w:r w:rsidRPr="00EF7F33">
              <w:rPr>
                <w:rFonts w:ascii="Times New Roman" w:hAnsi="Times New Roman"/>
                <w:sz w:val="24"/>
              </w:rPr>
              <w:t>t</w:t>
            </w:r>
            <w:r w:rsidRPr="00EF7F33">
              <w:rPr>
                <w:rFonts w:ascii="Times New Roman" w:hAnsi="Times New Roman"/>
                <w:sz w:val="24"/>
              </w:rPr>
              <w:t>jecao gubitak.</w:t>
            </w:r>
          </w:p>
          <w:p w:rsidR="00FD54FC" w:rsidRPr="00EF7F33" w:rsidRDefault="00FD54FC" w:rsidP="00FD54FC">
            <w:pPr>
              <w:rPr>
                <w:rFonts w:ascii="Times New Roman" w:hAnsi="Times New Roman"/>
                <w:sz w:val="24"/>
              </w:rPr>
            </w:pPr>
            <w:r w:rsidRPr="00EF7F33">
              <w:rPr>
                <w:rFonts w:ascii="Times New Roman" w:hAnsi="Times New Roman"/>
                <w:sz w:val="24"/>
              </w:rPr>
              <w:t>U redcima 911 – 914 iskazuje se broj događaja za koje je iznos bruto gubitka r</w:t>
            </w:r>
            <w:r w:rsidRPr="00EF7F33">
              <w:rPr>
                <w:rFonts w:ascii="Times New Roman" w:hAnsi="Times New Roman"/>
                <w:sz w:val="24"/>
              </w:rPr>
              <w:t>a</w:t>
            </w:r>
            <w:r w:rsidRPr="00EF7F33">
              <w:rPr>
                <w:rFonts w:ascii="Times New Roman" w:hAnsi="Times New Roman"/>
                <w:sz w:val="24"/>
              </w:rPr>
              <w:t>zvrstan u raspone definirane u odgovarajućim redcima.</w:t>
            </w:r>
          </w:p>
          <w:p w:rsidR="00FD54FC" w:rsidRPr="00EF7F33" w:rsidRDefault="00FD54FC" w:rsidP="00FD54FC">
            <w:pPr>
              <w:rPr>
                <w:rFonts w:ascii="Times New Roman" w:hAnsi="Times New Roman"/>
                <w:sz w:val="24"/>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odnosno ako je utvrdila vrste događaja za sve gubitke za stupac 080 primjenjuje se sljedeće:</w:t>
            </w:r>
          </w:p>
          <w:p w:rsidR="00FD54FC" w:rsidRPr="00EF7F33" w:rsidRDefault="00125707" w:rsidP="0023700C">
            <w:pPr>
              <w:ind w:left="360" w:hanging="360"/>
              <w:rPr>
                <w:rFonts w:ascii="Times New Roman" w:hAnsi="Times New Roman"/>
                <w:sz w:val="24"/>
              </w:rPr>
            </w:pPr>
            <w:r w:rsidRPr="00EF7F33">
              <w:rPr>
                <w:rFonts w:ascii="Times New Roman" w:hAnsi="Times New Roman"/>
                <w:sz w:val="24"/>
              </w:rPr>
              <w:t>-</w:t>
            </w:r>
            <w:r w:rsidRPr="00EF7F33">
              <w:tab/>
            </w:r>
            <w:r w:rsidRPr="00EF7F33">
              <w:rPr>
                <w:rFonts w:ascii="Times New Roman" w:hAnsi="Times New Roman"/>
                <w:sz w:val="24"/>
              </w:rPr>
              <w:t>Ukupan broj događaja iskazanih u redcima od 910 do 914 jednak je horizo</w:t>
            </w:r>
            <w:r w:rsidRPr="00EF7F33">
              <w:rPr>
                <w:rFonts w:ascii="Times New Roman" w:hAnsi="Times New Roman"/>
                <w:sz w:val="24"/>
              </w:rPr>
              <w:t>n</w:t>
            </w:r>
            <w:r w:rsidRPr="00EF7F33">
              <w:rPr>
                <w:rFonts w:ascii="Times New Roman" w:hAnsi="Times New Roman"/>
                <w:sz w:val="24"/>
              </w:rPr>
              <w:t>talnom agregiranju broja događaja u odgovarajućem retku jer se u tim vrije</w:t>
            </w:r>
            <w:r w:rsidRPr="00EF7F33">
              <w:rPr>
                <w:rFonts w:ascii="Times New Roman" w:hAnsi="Times New Roman"/>
                <w:sz w:val="24"/>
              </w:rPr>
              <w:t>d</w:t>
            </w:r>
            <w:r w:rsidRPr="00EF7F33">
              <w:rPr>
                <w:rFonts w:ascii="Times New Roman" w:hAnsi="Times New Roman"/>
                <w:sz w:val="24"/>
              </w:rPr>
              <w:t>nostima događaji koji utječu na različite poslovne linije već smatraju jednim događajem.</w:t>
            </w:r>
          </w:p>
          <w:p w:rsidR="00FD54FC" w:rsidRPr="00EF7F33" w:rsidRDefault="00125707" w:rsidP="0023700C">
            <w:pPr>
              <w:ind w:left="360" w:hanging="360"/>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t>-</w:t>
            </w:r>
            <w:r w:rsidRPr="00EF7F33">
              <w:tab/>
            </w:r>
            <w:r w:rsidRPr="00EF7F33">
              <w:rPr>
                <w:rFonts w:ascii="Times New Roman" w:hAnsi="Times New Roman"/>
                <w:sz w:val="24"/>
              </w:rPr>
              <w:t>Vrijednost iskazana u stupcu 080 retku 910 nije nužno jednaka vertikalnom agregiranju broja događaja koji su uključeni u stupcu 080 jer jedan događaj može istodobno utjecati na različite poslovne linije.</w:t>
            </w:r>
          </w:p>
        </w:tc>
      </w:tr>
      <w:tr w:rsidR="00FD54FC" w:rsidRPr="00EF7F33" w:rsidTr="00672D2A">
        <w:tc>
          <w:tcPr>
            <w:tcW w:w="1101" w:type="dxa"/>
          </w:tcPr>
          <w:p w:rsidR="00FD54FC" w:rsidRPr="00EF7F33" w:rsidRDefault="00C93FC2" w:rsidP="000F70EC">
            <w:pPr>
              <w:rPr>
                <w:rFonts w:ascii="Times New Roman" w:hAnsi="Times New Roman"/>
                <w:bCs/>
                <w:sz w:val="24"/>
              </w:rPr>
            </w:pPr>
            <w:r w:rsidRPr="00EF7F33">
              <w:rPr>
                <w:rFonts w:ascii="Times New Roman" w:hAnsi="Times New Roman"/>
                <w:sz w:val="24"/>
              </w:rPr>
              <w:t>0920-0924</w:t>
            </w:r>
          </w:p>
        </w:tc>
        <w:tc>
          <w:tcPr>
            <w:tcW w:w="8079" w:type="dxa"/>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Iznos bruto gubitka (novi događaji)</w:t>
            </w:r>
          </w:p>
          <w:p w:rsidR="00FD54FC" w:rsidRPr="00EF7F33" w:rsidRDefault="00FD54FC" w:rsidP="00FD54FC">
            <w:pPr>
              <w:rPr>
                <w:rFonts w:ascii="Times New Roman" w:hAnsi="Times New Roman"/>
                <w:sz w:val="24"/>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iznos bruto gubitka (novi događaji) i</w:t>
            </w:r>
            <w:r w:rsidRPr="00EF7F33">
              <w:rPr>
                <w:rFonts w:ascii="Times New Roman" w:hAnsi="Times New Roman"/>
                <w:sz w:val="24"/>
              </w:rPr>
              <w:t>s</w:t>
            </w:r>
            <w:r w:rsidRPr="00EF7F33">
              <w:rPr>
                <w:rFonts w:ascii="Times New Roman" w:hAnsi="Times New Roman"/>
                <w:sz w:val="24"/>
              </w:rPr>
              <w:lastRenderedPageBreak/>
              <w:t>kazan u retku 920 jednak je jednostavnom agregiranju iznosa bruto gubitaka n</w:t>
            </w:r>
            <w:r w:rsidRPr="00EF7F33">
              <w:rPr>
                <w:rFonts w:ascii="Times New Roman" w:hAnsi="Times New Roman"/>
                <w:sz w:val="24"/>
              </w:rPr>
              <w:t>o</w:t>
            </w:r>
            <w:r w:rsidRPr="00EF7F33">
              <w:rPr>
                <w:rFonts w:ascii="Times New Roman" w:hAnsi="Times New Roman"/>
                <w:sz w:val="24"/>
              </w:rPr>
              <w:t xml:space="preserve">vih događaja za svaku poslovnu liniju. </w:t>
            </w:r>
          </w:p>
          <w:p w:rsidR="00FD54FC" w:rsidRPr="00EF7F33" w:rsidRDefault="00FD54FC" w:rsidP="00FD54FC">
            <w:pPr>
              <w:rPr>
                <w:rStyle w:val="InstructionsTabelleberschrift"/>
                <w:rFonts w:ascii="Times New Roman" w:hAnsi="Times New Roman"/>
                <w:sz w:val="24"/>
              </w:rPr>
            </w:pPr>
            <w:r w:rsidRPr="00EF7F33">
              <w:rPr>
                <w:rFonts w:ascii="Times New Roman" w:hAnsi="Times New Roman"/>
                <w:sz w:val="24"/>
              </w:rPr>
              <w:t>U redcima 921 – 924 iskazuje se iznos bruto gubitka za događaje za koje je iznos bruto gubitka razvrstan u raspone definirane u odgovarajućim redcima.</w:t>
            </w:r>
          </w:p>
        </w:tc>
      </w:tr>
      <w:tr w:rsidR="00FD54FC" w:rsidRPr="00EF7F33" w:rsidTr="00672D2A">
        <w:tc>
          <w:tcPr>
            <w:tcW w:w="1101" w:type="dxa"/>
          </w:tcPr>
          <w:p w:rsidR="00FD54FC" w:rsidRPr="00EF7F33" w:rsidRDefault="00C93FC2" w:rsidP="00FD54FC">
            <w:pPr>
              <w:rPr>
                <w:rFonts w:ascii="Times New Roman" w:hAnsi="Times New Roman"/>
                <w:bCs/>
                <w:sz w:val="24"/>
              </w:rPr>
            </w:pPr>
            <w:r w:rsidRPr="00EF7F33">
              <w:rPr>
                <w:rFonts w:ascii="Times New Roman" w:hAnsi="Times New Roman"/>
                <w:sz w:val="24"/>
              </w:rPr>
              <w:lastRenderedPageBreak/>
              <w:t>0930, 0935, 0936</w:t>
            </w:r>
          </w:p>
        </w:tc>
        <w:tc>
          <w:tcPr>
            <w:tcW w:w="8079" w:type="dxa"/>
          </w:tcPr>
          <w:p w:rsidR="00FD54FC" w:rsidRPr="00EF7F33" w:rsidRDefault="00FD54FC" w:rsidP="00FD54FC">
            <w:pPr>
              <w:rPr>
                <w:rFonts w:ascii="Times New Roman" w:hAnsi="Times New Roman"/>
                <w:sz w:val="24"/>
              </w:rPr>
            </w:pPr>
            <w:r w:rsidRPr="00EF7F33">
              <w:rPr>
                <w:rStyle w:val="InstructionsTabelleberschrift"/>
                <w:rFonts w:ascii="Times New Roman" w:hAnsi="Times New Roman"/>
                <w:sz w:val="24"/>
              </w:rPr>
              <w:t>Broj štetnih događaja koji podliježu usklađenjima gubitka</w:t>
            </w:r>
          </w:p>
          <w:p w:rsidR="00FD54FC" w:rsidRPr="00EF7F33" w:rsidRDefault="00FD54FC" w:rsidP="00FD54FC">
            <w:pPr>
              <w:rPr>
                <w:rFonts w:ascii="Times New Roman" w:hAnsi="Times New Roman"/>
                <w:sz w:val="24"/>
              </w:rPr>
            </w:pPr>
            <w:r w:rsidRPr="00EF7F33">
              <w:rPr>
                <w:rFonts w:ascii="Times New Roman" w:hAnsi="Times New Roman"/>
                <w:sz w:val="24"/>
              </w:rPr>
              <w:t>U retku 930 iskazuje se ukupan broj događaja koji podliježu usklađenjima gubi</w:t>
            </w:r>
            <w:r w:rsidRPr="00EF7F33">
              <w:rPr>
                <w:rFonts w:ascii="Times New Roman" w:hAnsi="Times New Roman"/>
                <w:sz w:val="24"/>
              </w:rPr>
              <w:t>t</w:t>
            </w:r>
            <w:r w:rsidRPr="00EF7F33">
              <w:rPr>
                <w:rFonts w:ascii="Times New Roman" w:hAnsi="Times New Roman"/>
                <w:sz w:val="24"/>
              </w:rPr>
              <w:t>ka kako je definirano u redcima 030, 130, …, 830. Navedena vrijednost može biti manja od agregiranja broja događaja koji podliježu usklađenjima gubitka prema poslovnim linijama jer se događaji s višestrukim utjecajima (utjecaji na različite poslovne linije) smatraju jednim. Može biti i veća ako institucija koja svoje kap</w:t>
            </w:r>
            <w:r w:rsidRPr="00EF7F33">
              <w:rPr>
                <w:rFonts w:ascii="Times New Roman" w:hAnsi="Times New Roman"/>
                <w:sz w:val="24"/>
              </w:rPr>
              <w:t>i</w:t>
            </w:r>
            <w:r w:rsidRPr="00EF7F33">
              <w:rPr>
                <w:rFonts w:ascii="Times New Roman" w:hAnsi="Times New Roman"/>
                <w:sz w:val="24"/>
              </w:rPr>
              <w:t>talne zahtjeve izračunava u skladu s jednostavnim pristupom ne može u svakom pojedinom slučaju utvrditi poslovne linije na koje je utjecao gubitak.</w:t>
            </w:r>
          </w:p>
          <w:p w:rsidR="00FD54FC" w:rsidRPr="00EF7F33" w:rsidRDefault="00FD54FC" w:rsidP="00FD54FC">
            <w:pPr>
              <w:rPr>
                <w:rStyle w:val="InstructionsTabelleberschrift"/>
                <w:rFonts w:ascii="Times New Roman" w:hAnsi="Times New Roman"/>
                <w:sz w:val="24"/>
              </w:rPr>
            </w:pPr>
            <w:r w:rsidRPr="00EF7F33">
              <w:rPr>
                <w:rFonts w:ascii="Times New Roman" w:hAnsi="Times New Roman"/>
                <w:sz w:val="24"/>
              </w:rPr>
              <w:t>Broj štetnih događaja koji podliježu usklađenjima gubitka raščlanjuje se na broj događaja za koje je u referentnom izvještajnom razdoblju provedeno pozitivno usklađenje gubitka i na broj događaja za koje je u referentnom izvještajnom ra</w:t>
            </w:r>
            <w:r w:rsidRPr="00EF7F33">
              <w:rPr>
                <w:rFonts w:ascii="Times New Roman" w:hAnsi="Times New Roman"/>
                <w:sz w:val="24"/>
              </w:rPr>
              <w:t>z</w:t>
            </w:r>
            <w:r w:rsidRPr="00EF7F33">
              <w:rPr>
                <w:rFonts w:ascii="Times New Roman" w:hAnsi="Times New Roman"/>
                <w:sz w:val="24"/>
              </w:rPr>
              <w:t>doblju provedeno negativno usklađenje gubitka (svi su iskazani s pozitivnim predznakom).</w:t>
            </w:r>
          </w:p>
        </w:tc>
      </w:tr>
      <w:tr w:rsidR="00FD54FC" w:rsidRPr="00EF7F33" w:rsidTr="00672D2A">
        <w:tc>
          <w:tcPr>
            <w:tcW w:w="1101" w:type="dxa"/>
          </w:tcPr>
          <w:p w:rsidR="00FD54FC" w:rsidRPr="00EF7F33" w:rsidRDefault="00C93FC2" w:rsidP="00FD54FC">
            <w:pPr>
              <w:rPr>
                <w:rFonts w:ascii="Times New Roman" w:hAnsi="Times New Roman"/>
                <w:sz w:val="24"/>
              </w:rPr>
            </w:pPr>
            <w:r w:rsidRPr="00EF7F33">
              <w:rPr>
                <w:rFonts w:ascii="Times New Roman" w:hAnsi="Times New Roman"/>
                <w:sz w:val="24"/>
              </w:rPr>
              <w:t>0940, 0945, 0946</w:t>
            </w:r>
          </w:p>
        </w:tc>
        <w:tc>
          <w:tcPr>
            <w:tcW w:w="8079" w:type="dxa"/>
          </w:tcPr>
          <w:p w:rsidR="00FD54FC" w:rsidRPr="00EF7F33" w:rsidRDefault="00FD54FC" w:rsidP="00FD54FC">
            <w:pPr>
              <w:rPr>
                <w:rFonts w:ascii="Times New Roman" w:hAnsi="Times New Roman"/>
                <w:sz w:val="24"/>
              </w:rPr>
            </w:pPr>
            <w:r w:rsidRPr="00EF7F33">
              <w:rPr>
                <w:rStyle w:val="InstructionsTabelleberschrift"/>
                <w:rFonts w:ascii="Times New Roman" w:hAnsi="Times New Roman"/>
                <w:sz w:val="24"/>
              </w:rPr>
              <w:t>Usklađenja gubitka koja se odnose na prethodna izvještajna razdoblja</w:t>
            </w:r>
          </w:p>
          <w:p w:rsidR="00FD54FC" w:rsidRPr="00EF7F33" w:rsidRDefault="00FD54FC" w:rsidP="00FD54FC">
            <w:pPr>
              <w:rPr>
                <w:rFonts w:ascii="Times New Roman" w:hAnsi="Times New Roman"/>
                <w:sz w:val="24"/>
              </w:rPr>
            </w:pPr>
            <w:r w:rsidRPr="00EF7F33">
              <w:rPr>
                <w:rFonts w:ascii="Times New Roman" w:hAnsi="Times New Roman"/>
                <w:sz w:val="24"/>
              </w:rPr>
              <w:t>U retku 940 iskazuju se ukupni iznosi usklađenja gubitka koja se odnose na pre</w:t>
            </w:r>
            <w:r w:rsidRPr="00EF7F33">
              <w:rPr>
                <w:rFonts w:ascii="Times New Roman" w:hAnsi="Times New Roman"/>
                <w:sz w:val="24"/>
              </w:rPr>
              <w:t>t</w:t>
            </w:r>
            <w:r w:rsidRPr="00EF7F33">
              <w:rPr>
                <w:rFonts w:ascii="Times New Roman" w:hAnsi="Times New Roman"/>
                <w:sz w:val="24"/>
              </w:rPr>
              <w:t>hodna izvještajna razdoblja prema poslovnim linijama (kako je definirano u re</w:t>
            </w:r>
            <w:r w:rsidRPr="00EF7F33">
              <w:rPr>
                <w:rFonts w:ascii="Times New Roman" w:hAnsi="Times New Roman"/>
                <w:sz w:val="24"/>
              </w:rPr>
              <w:t>d</w:t>
            </w:r>
            <w:r w:rsidRPr="00EF7F33">
              <w:rPr>
                <w:rFonts w:ascii="Times New Roman" w:hAnsi="Times New Roman"/>
                <w:sz w:val="24"/>
              </w:rPr>
              <w:t>cima 040, 140, …, 840). Pod uvjetom da je institucija sve svoje gubitke pripisala poslovnoj liniji definiranoj u članku 317. stavku 4. tablici 2. CRR-a ili poslovnoj liniji „poslovne stavke” iz članka 322. stavka 3. točke (b) CRR-a, iznos iskazan u retku 940 jednak je jednostavnom agregiranju usklađenja gubitka koja se odnose na prethodna izvještajna razdoblja iskazana za različite poslovne linije.</w:t>
            </w:r>
          </w:p>
          <w:p w:rsidR="00FD54FC" w:rsidRPr="00EF7F33" w:rsidRDefault="00FD54FC" w:rsidP="00070AF9">
            <w:pPr>
              <w:rPr>
                <w:sz w:val="24"/>
              </w:rPr>
            </w:pPr>
            <w:r w:rsidRPr="00EF7F33">
              <w:rPr>
                <w:rFonts w:ascii="Times New Roman" w:hAnsi="Times New Roman"/>
                <w:sz w:val="24"/>
              </w:rPr>
              <w:t>Broj usklađenja gubitka raščlanjuje se na iznos koji se odnosi na događaje za koje je u referentnom izvještajnom razdoblju provedeno pozitivno usklađenje gubitka (redak 945. iskazano u pozitivnim vrijednostima) i na iznos koji se odnosi na d</w:t>
            </w:r>
            <w:r w:rsidRPr="00EF7F33">
              <w:rPr>
                <w:rFonts w:ascii="Times New Roman" w:hAnsi="Times New Roman"/>
                <w:sz w:val="24"/>
              </w:rPr>
              <w:t>o</w:t>
            </w:r>
            <w:r w:rsidRPr="00EF7F33">
              <w:rPr>
                <w:rFonts w:ascii="Times New Roman" w:hAnsi="Times New Roman"/>
                <w:sz w:val="24"/>
              </w:rPr>
              <w:t>gađaje za koje je u izvještajnom razdoblju provedeno negativno usklađenje g</w:t>
            </w:r>
            <w:r w:rsidRPr="00EF7F33">
              <w:rPr>
                <w:rFonts w:ascii="Times New Roman" w:hAnsi="Times New Roman"/>
                <w:sz w:val="24"/>
              </w:rPr>
              <w:t>u</w:t>
            </w:r>
            <w:r w:rsidRPr="00EF7F33">
              <w:rPr>
                <w:rFonts w:ascii="Times New Roman" w:hAnsi="Times New Roman"/>
                <w:sz w:val="24"/>
              </w:rPr>
              <w:t>bitka (redak 946, iskazano u negativnim vrijednostima). Ako zbog negativnog usklađenja gubitka iznos usklađenog gubitka koji se pripisuje događaju bude m</w:t>
            </w:r>
            <w:r w:rsidRPr="00EF7F33">
              <w:rPr>
                <w:rFonts w:ascii="Times New Roman" w:hAnsi="Times New Roman"/>
                <w:sz w:val="24"/>
              </w:rPr>
              <w:t>a</w:t>
            </w:r>
            <w:r w:rsidRPr="00EF7F33">
              <w:rPr>
                <w:rFonts w:ascii="Times New Roman" w:hAnsi="Times New Roman"/>
                <w:sz w:val="24"/>
              </w:rPr>
              <w:t>nji od praga institucije za prikupljanje podataka, institucije iskazuje ukupan iznos gubitka za taj događaj koji je akumuliran do zadnjeg puta kad je događaj iskazan za referentni datum u prosincu (odnosno izvorni gubitak uvećan / umanjen za sva usklađenja gubitaka provedena u prethodnim referentnim izvještajnim razdoblj</w:t>
            </w:r>
            <w:r w:rsidRPr="00EF7F33">
              <w:rPr>
                <w:rFonts w:ascii="Times New Roman" w:hAnsi="Times New Roman"/>
                <w:sz w:val="24"/>
              </w:rPr>
              <w:t>i</w:t>
            </w:r>
            <w:r w:rsidRPr="00EF7F33">
              <w:rPr>
                <w:rFonts w:ascii="Times New Roman" w:hAnsi="Times New Roman"/>
                <w:sz w:val="24"/>
              </w:rPr>
              <w:t>ma) s negativnim predznakom u retku 946 umjesto iznosa negativnog usklađenja gubitka.</w:t>
            </w:r>
          </w:p>
        </w:tc>
      </w:tr>
      <w:tr w:rsidR="00FD54FC" w:rsidRPr="00EF7F33" w:rsidTr="00672D2A">
        <w:tc>
          <w:tcPr>
            <w:tcW w:w="1101" w:type="dxa"/>
            <w:tcBorders>
              <w:top w:val="single" w:sz="4" w:space="0" w:color="auto"/>
              <w:left w:val="single" w:sz="4" w:space="0" w:color="auto"/>
              <w:bottom w:val="single" w:sz="4" w:space="0" w:color="auto"/>
              <w:right w:val="single" w:sz="4" w:space="0" w:color="auto"/>
            </w:tcBorders>
          </w:tcPr>
          <w:p w:rsidR="00FD54FC" w:rsidRPr="00EF7F33" w:rsidRDefault="00C93FC2" w:rsidP="00FD54FC">
            <w:pPr>
              <w:rPr>
                <w:rFonts w:ascii="Times New Roman" w:hAnsi="Times New Roman"/>
                <w:sz w:val="24"/>
              </w:rPr>
            </w:pPr>
            <w:r w:rsidRPr="00EF7F33">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Najveći pojedinačni gubitak</w:t>
            </w:r>
          </w:p>
          <w:p w:rsidR="00FD54FC" w:rsidRPr="00EF7F33" w:rsidRDefault="00FD54FC" w:rsidP="00FD54FC">
            <w:pPr>
              <w:rPr>
                <w:rFonts w:ascii="Times New Roman" w:hAnsi="Times New Roman"/>
                <w:sz w:val="24"/>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najveći pojedinačni gubitak jednak je najvećem gubitku iznad praga za svaku vrstu događaja i među svim poslovnim linijama. Navedene vrijednosti mogu biti veće od najvećeg pojedinačnog gubitka u svakoj poslovnoj liniji ako događaj utječe na različite poslovne linije.</w:t>
            </w:r>
          </w:p>
          <w:p w:rsidR="00FD54FC" w:rsidRPr="00EF7F33" w:rsidRDefault="00FD54FC" w:rsidP="00FD54FC">
            <w:pPr>
              <w:rPr>
                <w:rFonts w:ascii="Times New Roman" w:hAnsi="Times New Roman"/>
                <w:sz w:val="24"/>
              </w:rPr>
            </w:pPr>
            <w:r w:rsidRPr="00EF7F33">
              <w:rPr>
                <w:rFonts w:ascii="Times New Roman" w:hAnsi="Times New Roman"/>
                <w:sz w:val="24"/>
              </w:rPr>
              <w:lastRenderedPageBreak/>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odnosno ako je utvrdila vrste događaja za sve gubitke za stupac 080 primjenjuje se sljedeće:</w:t>
            </w:r>
          </w:p>
          <w:p w:rsidR="00FD54FC" w:rsidRPr="00EF7F33" w:rsidRDefault="00125707" w:rsidP="0023700C">
            <w:pPr>
              <w:ind w:left="360" w:hanging="360"/>
              <w:rPr>
                <w:rFonts w:ascii="Times New Roman" w:hAnsi="Times New Roman"/>
                <w:b/>
                <w:bCs/>
                <w:sz w:val="24"/>
                <w:u w:val="single"/>
              </w:rPr>
            </w:pPr>
            <w:r w:rsidRPr="00EF7F33">
              <w:rPr>
                <w:rFonts w:ascii="Times New Roman" w:hAnsi="Times New Roman"/>
                <w:sz w:val="24"/>
              </w:rPr>
              <w:t>-</w:t>
            </w:r>
            <w:r w:rsidRPr="00EF7F33">
              <w:tab/>
            </w:r>
            <w:r w:rsidRPr="00EF7F33">
              <w:rPr>
                <w:rFonts w:ascii="Times New Roman" w:hAnsi="Times New Roman"/>
                <w:sz w:val="24"/>
              </w:rPr>
              <w:t>najveći iskazani pojedinačni gubitak jednak je najvećoj vrijednosti iskazanoj u stupcima 010 – 070 ovog retka.</w:t>
            </w:r>
          </w:p>
          <w:p w:rsidR="00FD54FC" w:rsidRPr="00EF7F33" w:rsidRDefault="00125707" w:rsidP="0023700C">
            <w:pPr>
              <w:ind w:left="360" w:hanging="360"/>
              <w:rPr>
                <w:rStyle w:val="InstructionsTabelleberschrift"/>
                <w:rFonts w:ascii="Times New Roman" w:hAnsi="Times New Roman"/>
                <w:bCs w:val="0"/>
                <w:sz w:val="24"/>
              </w:rPr>
            </w:pPr>
            <w:r w:rsidRPr="00EF7F33">
              <w:rPr>
                <w:rStyle w:val="InstructionsTabelleberschrift"/>
                <w:rFonts w:ascii="Times New Roman" w:hAnsi="Times New Roman"/>
                <w:b w:val="0"/>
                <w:sz w:val="24"/>
                <w:u w:val="none"/>
              </w:rPr>
              <w:t>-</w:t>
            </w:r>
            <w:r w:rsidRPr="00EF7F33">
              <w:tab/>
            </w:r>
            <w:r w:rsidRPr="00EF7F33">
              <w:rPr>
                <w:rFonts w:ascii="Times New Roman" w:hAnsi="Times New Roman"/>
                <w:sz w:val="24"/>
              </w:rPr>
              <w:t>Ako postoje događaji koji utječu na različite poslovne linije, iznos iskazan u {r950, c080} može biti veći od iznosa „najvećeg pojedinačnog gubitka” pr</w:t>
            </w:r>
            <w:r w:rsidRPr="00EF7F33">
              <w:rPr>
                <w:rFonts w:ascii="Times New Roman" w:hAnsi="Times New Roman"/>
                <w:sz w:val="24"/>
              </w:rPr>
              <w:t>e</w:t>
            </w:r>
            <w:r w:rsidRPr="00EF7F33">
              <w:rPr>
                <w:rFonts w:ascii="Times New Roman" w:hAnsi="Times New Roman"/>
                <w:sz w:val="24"/>
              </w:rPr>
              <w:t xml:space="preserve">ma poslovnoj liniji iskazanih u ostalim redcima stupca 080. </w:t>
            </w:r>
          </w:p>
        </w:tc>
      </w:tr>
      <w:tr w:rsidR="00FD54FC" w:rsidRPr="00EF7F33" w:rsidTr="00672D2A">
        <w:tc>
          <w:tcPr>
            <w:tcW w:w="1101" w:type="dxa"/>
            <w:tcBorders>
              <w:top w:val="single" w:sz="4" w:space="0" w:color="auto"/>
              <w:left w:val="single" w:sz="4" w:space="0" w:color="auto"/>
              <w:bottom w:val="single" w:sz="4" w:space="0" w:color="auto"/>
              <w:right w:val="single" w:sz="4" w:space="0" w:color="auto"/>
            </w:tcBorders>
          </w:tcPr>
          <w:p w:rsidR="00FD54FC" w:rsidRPr="00EF7F33" w:rsidRDefault="00C93FC2" w:rsidP="00FD54FC">
            <w:pPr>
              <w:rPr>
                <w:rFonts w:ascii="Times New Roman" w:hAnsi="Times New Roman"/>
                <w:sz w:val="24"/>
              </w:rPr>
            </w:pPr>
            <w:r w:rsidRPr="00EF7F33">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Zbroj pet najvećih gubitaka</w:t>
            </w:r>
          </w:p>
          <w:p w:rsidR="00FD54FC" w:rsidRPr="00EF7F33" w:rsidRDefault="00FD54FC" w:rsidP="00FD54FC">
            <w:pPr>
              <w:rPr>
                <w:rFonts w:ascii="Times New Roman" w:hAnsi="Times New Roman"/>
                <w:sz w:val="24"/>
              </w:rPr>
            </w:pPr>
            <w:r w:rsidRPr="00EF7F33">
              <w:rPr>
                <w:rFonts w:ascii="Times New Roman" w:hAnsi="Times New Roman"/>
                <w:sz w:val="24"/>
              </w:rPr>
              <w:t xml:space="preserve">Iskazuje se zbroj pet najvećih bruto gubitaka za svaku vrstu događaja i među svim poslovnim linijama. Navedeni zbroj može biti veći od najvećeg zbroja pet najvećih gubitaka zabilježenih u svakoj poslovnoj liniji. Navedeni zbroj potrebno je iskazati bez obzira na broj gubitaka. </w:t>
            </w:r>
          </w:p>
          <w:p w:rsidR="00FD54FC" w:rsidRPr="00EF7F33" w:rsidRDefault="00FD54FC" w:rsidP="00FD54FC">
            <w:pPr>
              <w:rPr>
                <w:rStyle w:val="InstructionsTabelleberschrift"/>
                <w:rFonts w:ascii="Times New Roman" w:hAnsi="Times New Roman"/>
                <w:sz w:val="24"/>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odnosno ako je utvrdila vrste događaja za sve gubitke, za stupac 080 zbroj pet najvećih gubitaka jednak je zbroju pet najvećih gubitaka u cijeloj matrici, što znači da ne mora nužno biti jednak ni na</w:t>
            </w:r>
            <w:r w:rsidRPr="00EF7F33">
              <w:rPr>
                <w:rFonts w:ascii="Times New Roman" w:hAnsi="Times New Roman"/>
                <w:sz w:val="24"/>
              </w:rPr>
              <w:t>j</w:t>
            </w:r>
            <w:r w:rsidRPr="00EF7F33">
              <w:rPr>
                <w:rFonts w:ascii="Times New Roman" w:hAnsi="Times New Roman"/>
                <w:sz w:val="24"/>
              </w:rPr>
              <w:t>većoj vrijednosti „zbroja pet najvećih gubitaka” u retku 960 ni najvećoj vrije</w:t>
            </w:r>
            <w:r w:rsidRPr="00EF7F33">
              <w:rPr>
                <w:rFonts w:ascii="Times New Roman" w:hAnsi="Times New Roman"/>
                <w:sz w:val="24"/>
              </w:rPr>
              <w:t>d</w:t>
            </w:r>
            <w:r w:rsidRPr="00EF7F33">
              <w:rPr>
                <w:rFonts w:ascii="Times New Roman" w:hAnsi="Times New Roman"/>
                <w:sz w:val="24"/>
              </w:rPr>
              <w:t>nosti „zbroja pet najvećih gubitaka” u stupcu 080.</w:t>
            </w:r>
          </w:p>
        </w:tc>
      </w:tr>
      <w:tr w:rsidR="00FD54FC" w:rsidRPr="00EF7F33" w:rsidTr="00672D2A">
        <w:tc>
          <w:tcPr>
            <w:tcW w:w="1101" w:type="dxa"/>
            <w:tcBorders>
              <w:top w:val="single" w:sz="4" w:space="0" w:color="auto"/>
              <w:left w:val="single" w:sz="4" w:space="0" w:color="auto"/>
              <w:bottom w:val="single" w:sz="4" w:space="0" w:color="auto"/>
              <w:right w:val="single" w:sz="4" w:space="0" w:color="auto"/>
            </w:tcBorders>
          </w:tcPr>
          <w:p w:rsidR="00FD54FC" w:rsidRPr="00EF7F33" w:rsidRDefault="00C93FC2" w:rsidP="00FD54FC">
            <w:pPr>
              <w:rPr>
                <w:rFonts w:ascii="Times New Roman" w:hAnsi="Times New Roman"/>
                <w:sz w:val="24"/>
              </w:rPr>
            </w:pPr>
            <w:r w:rsidRPr="00EF7F33">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Ukupan izravan povrat gubitka:</w:t>
            </w:r>
          </w:p>
          <w:p w:rsidR="00FD54FC" w:rsidRPr="00EF7F33" w:rsidRDefault="00FD54FC" w:rsidP="00FD54FC">
            <w:pPr>
              <w:rPr>
                <w:rStyle w:val="InstructionsTabelleberschrift"/>
                <w:rFonts w:ascii="Times New Roman" w:hAnsi="Times New Roman"/>
                <w:sz w:val="24"/>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ukupan izravan povrat gubitka jednak je jednostavnom agregiranju ukupnih izravnih povrata gubitka za svaku poslovnu liniju.</w:t>
            </w:r>
          </w:p>
        </w:tc>
      </w:tr>
      <w:tr w:rsidR="00FD54FC" w:rsidRPr="00EF7F33" w:rsidTr="00672D2A">
        <w:tc>
          <w:tcPr>
            <w:tcW w:w="1101" w:type="dxa"/>
            <w:tcBorders>
              <w:top w:val="single" w:sz="4" w:space="0" w:color="auto"/>
              <w:left w:val="single" w:sz="4" w:space="0" w:color="auto"/>
              <w:bottom w:val="single" w:sz="4" w:space="0" w:color="auto"/>
              <w:right w:val="single" w:sz="4" w:space="0" w:color="auto"/>
            </w:tcBorders>
          </w:tcPr>
          <w:p w:rsidR="00FD54FC" w:rsidRPr="00EF7F33" w:rsidRDefault="00C93FC2" w:rsidP="00FD54FC">
            <w:pPr>
              <w:rPr>
                <w:rFonts w:ascii="Times New Roman" w:hAnsi="Times New Roman"/>
                <w:sz w:val="24"/>
              </w:rPr>
            </w:pPr>
            <w:r w:rsidRPr="00EF7F33">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Ukupan povrat od osiguranja i drugih mehanizama za prijenos rizika</w:t>
            </w:r>
          </w:p>
          <w:p w:rsidR="00FD54FC" w:rsidRPr="00EF7F33" w:rsidRDefault="00FD54FC" w:rsidP="00FD54FC">
            <w:pPr>
              <w:rPr>
                <w:rFonts w:ascii="Times New Roman" w:hAnsi="Times New Roman"/>
                <w:b/>
                <w:bCs/>
                <w:sz w:val="24"/>
                <w:u w:val="single"/>
              </w:rPr>
            </w:pPr>
            <w:r w:rsidRPr="00EF7F33">
              <w:rPr>
                <w:rFonts w:ascii="Times New Roman" w:hAnsi="Times New Roman"/>
                <w:sz w:val="24"/>
              </w:rPr>
              <w:t>Pod uvjetom da je institucija sve svoje gubitke pripisala poslovnoj liniji definir</w:t>
            </w:r>
            <w:r w:rsidRPr="00EF7F33">
              <w:rPr>
                <w:rFonts w:ascii="Times New Roman" w:hAnsi="Times New Roman"/>
                <w:sz w:val="24"/>
              </w:rPr>
              <w:t>a</w:t>
            </w:r>
            <w:r w:rsidRPr="00EF7F33">
              <w:rPr>
                <w:rFonts w:ascii="Times New Roman" w:hAnsi="Times New Roman"/>
                <w:sz w:val="24"/>
              </w:rPr>
              <w:t>noj u članku 317. stavku 4. tablici 2. CRR-a ili poslovnoj liniji „poslovne stavke” iz članka 322. stavka 3. točke (b) CRR-a, ukupan povrat od osiguranja i drugih mehanizama za prijenos rizika jednak je jednostavnom agregiranju ukupnog po</w:t>
            </w:r>
            <w:r w:rsidRPr="00EF7F33">
              <w:rPr>
                <w:rFonts w:ascii="Times New Roman" w:hAnsi="Times New Roman"/>
                <w:sz w:val="24"/>
              </w:rPr>
              <w:t>v</w:t>
            </w:r>
            <w:r w:rsidRPr="00EF7F33">
              <w:rPr>
                <w:rFonts w:ascii="Times New Roman" w:hAnsi="Times New Roman"/>
                <w:sz w:val="24"/>
              </w:rPr>
              <w:t>rata od osiguranja i drugih mehanizama za prijenos rizika za svaku poslovnu lin</w:t>
            </w:r>
            <w:r w:rsidRPr="00EF7F33">
              <w:rPr>
                <w:rFonts w:ascii="Times New Roman" w:hAnsi="Times New Roman"/>
                <w:sz w:val="24"/>
              </w:rPr>
              <w:t>i</w:t>
            </w:r>
            <w:r w:rsidRPr="00EF7F33">
              <w:rPr>
                <w:rFonts w:ascii="Times New Roman" w:hAnsi="Times New Roman"/>
                <w:sz w:val="24"/>
              </w:rPr>
              <w:t>ju.</w:t>
            </w:r>
          </w:p>
        </w:tc>
      </w:tr>
    </w:tbl>
    <w:p w:rsidR="00FD54FC" w:rsidRPr="00EF7F33" w:rsidRDefault="00FD54FC" w:rsidP="00FD54FC">
      <w:pPr>
        <w:spacing w:before="0" w:after="0"/>
        <w:jc w:val="left"/>
        <w:rPr>
          <w:rStyle w:val="InstructionsTabelleText"/>
          <w:rFonts w:ascii="Times New Roman" w:hAnsi="Times New Roman"/>
          <w:sz w:val="24"/>
        </w:rPr>
      </w:pPr>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3998171"/>
      <w:r w:rsidRPr="00EF7F33">
        <w:rPr>
          <w:rFonts w:ascii="Times New Roman" w:hAnsi="Times New Roman"/>
          <w:sz w:val="24"/>
          <w:u w:val="none"/>
        </w:rPr>
        <w:t>4.2.3.</w:t>
      </w:r>
      <w:r w:rsidRPr="00EF7F33">
        <w:tab/>
      </w:r>
      <w:r w:rsidRPr="00EF7F33">
        <w:rPr>
          <w:rFonts w:ascii="Times New Roman" w:hAnsi="Times New Roman"/>
          <w:sz w:val="24"/>
        </w:rPr>
        <w:t>C 17.02: Operativni rizik: Detaljne informacije o najvećim štetnim događajima iz prethodne godine (OPR DETALJNIJI PODACI 2)</w:t>
      </w:r>
      <w:bookmarkEnd w:id="578"/>
      <w:bookmarkEnd w:id="579"/>
      <w:bookmarkEnd w:id="580"/>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3998172"/>
      <w:r w:rsidRPr="00EF7F33">
        <w:rPr>
          <w:rFonts w:ascii="Times New Roman" w:hAnsi="Times New Roman"/>
          <w:sz w:val="24"/>
          <w:u w:val="none"/>
        </w:rPr>
        <w:t>4.2.3.1.</w:t>
      </w:r>
      <w:r w:rsidRPr="00EF7F33">
        <w:tab/>
      </w:r>
      <w:r w:rsidRPr="00EF7F33">
        <w:rPr>
          <w:rFonts w:ascii="Times New Roman" w:hAnsi="Times New Roman"/>
          <w:sz w:val="24"/>
        </w:rPr>
        <w:t>Opće napomene</w:t>
      </w:r>
      <w:bookmarkEnd w:id="581"/>
      <w:bookmarkEnd w:id="582"/>
      <w:bookmarkEnd w:id="583"/>
    </w:p>
    <w:p w:rsidR="00FD54FC" w:rsidRPr="00EF7F33" w:rsidRDefault="00125707" w:rsidP="00C37B29">
      <w:pPr>
        <w:pStyle w:val="InstructionsText2"/>
        <w:numPr>
          <w:ilvl w:val="0"/>
          <w:numId w:val="0"/>
        </w:numPr>
        <w:ind w:left="993"/>
      </w:pPr>
      <w:r w:rsidRPr="00EF7F33">
        <w:t>134.</w:t>
      </w:r>
      <w:r w:rsidRPr="00EF7F33">
        <w:tab/>
        <w:t>U obrascu C 17.02 navode se informacije o pojedinačnim štetnim događajima (jedan redak po događaju).</w:t>
      </w:r>
    </w:p>
    <w:p w:rsidR="00FD54FC" w:rsidRPr="00EF7F33" w:rsidRDefault="00125707" w:rsidP="00C37B29">
      <w:pPr>
        <w:pStyle w:val="InstructionsText2"/>
        <w:numPr>
          <w:ilvl w:val="0"/>
          <w:numId w:val="0"/>
        </w:numPr>
        <w:ind w:left="993"/>
      </w:pPr>
      <w:r w:rsidRPr="00EF7F33">
        <w:lastRenderedPageBreak/>
        <w:t>135.</w:t>
      </w:r>
      <w:r w:rsidRPr="00EF7F33">
        <w:tab/>
        <w:t>Informacije koje se navode u ovom obrascu odnose se na „nove događaje”, o</w:t>
      </w:r>
      <w:r w:rsidRPr="00EF7F33">
        <w:t>d</w:t>
      </w:r>
      <w:r w:rsidRPr="00EF7F33">
        <w:t>nosno događaje povezane s operativnim rizikom.</w:t>
      </w:r>
      <w:r w:rsidRPr="00EF7F33">
        <w:tab/>
      </w:r>
    </w:p>
    <w:p w:rsidR="00FD54FC" w:rsidRPr="00EF7F33" w:rsidRDefault="00125707" w:rsidP="00C37B29">
      <w:pPr>
        <w:pStyle w:val="InstructionsText2"/>
        <w:numPr>
          <w:ilvl w:val="0"/>
          <w:numId w:val="0"/>
        </w:numPr>
        <w:ind w:left="993"/>
      </w:pPr>
      <w:r w:rsidRPr="00EF7F33">
        <w:t>(a)</w:t>
      </w:r>
      <w:r w:rsidRPr="00EF7F33">
        <w:tab/>
        <w:t>„prvi put obračunani” u referentnom izvještajnom razdoblju ili</w:t>
      </w:r>
    </w:p>
    <w:p w:rsidR="00FD54FC" w:rsidRPr="00EF7F33" w:rsidRDefault="00125707" w:rsidP="00C37B29">
      <w:pPr>
        <w:pStyle w:val="InstructionsText2"/>
        <w:numPr>
          <w:ilvl w:val="0"/>
          <w:numId w:val="0"/>
        </w:numPr>
        <w:ind w:left="993"/>
      </w:pPr>
      <w:r w:rsidRPr="00EF7F33">
        <w:t>(b)</w:t>
      </w:r>
      <w:r w:rsidRPr="00EF7F33">
        <w:tab/>
        <w:t>„prvi put obračunani” u prethodnom referentnom izvještajnom razdoblju ako događaj nije bio uključen u prethodno nadzorno izvješće, npr. zato što je utvrđen kao događaj povezan s operativnim rizikom tek u sadašnjem referentnom izvješta</w:t>
      </w:r>
      <w:r w:rsidRPr="00EF7F33">
        <w:t>j</w:t>
      </w:r>
      <w:r w:rsidRPr="00EF7F33">
        <w:t>nom razdoblju ili zato što je akumulirani gubitak koji se pripisuje tom događaju (odnosno izvorni gubitak uvećan / umanjen za sva usklađenja gubitaka provedena u prethodnim referentnim izvještajnim razdobljima) premašio prag za prikupljanje i</w:t>
      </w:r>
      <w:r w:rsidRPr="00EF7F33">
        <w:t>n</w:t>
      </w:r>
      <w:r w:rsidRPr="00EF7F33">
        <w:t>ternih podataka tek u sadašnjem referentnom izvještajnom razdoblju.</w:t>
      </w:r>
    </w:p>
    <w:p w:rsidR="00FD54FC" w:rsidRPr="00EF7F33" w:rsidRDefault="00125707" w:rsidP="00C37B29">
      <w:pPr>
        <w:pStyle w:val="InstructionsText2"/>
        <w:numPr>
          <w:ilvl w:val="0"/>
          <w:numId w:val="0"/>
        </w:numPr>
        <w:ind w:left="993"/>
      </w:pPr>
      <w:r w:rsidRPr="00EF7F33">
        <w:t>136.</w:t>
      </w:r>
      <w:r w:rsidRPr="00EF7F33">
        <w:tab/>
        <w:t>Iskazuju se samo događaji koji podrazumijevaju iznos bruto gubitka u vrije</w:t>
      </w:r>
      <w:r w:rsidRPr="00EF7F33">
        <w:t>d</w:t>
      </w:r>
      <w:r w:rsidRPr="00EF7F33">
        <w:t>nosti od 100 000 EUR ili više.</w:t>
      </w:r>
      <w:r w:rsidRPr="00EF7F33">
        <w:br/>
      </w:r>
      <w:r w:rsidRPr="00EF7F33">
        <w:tab/>
        <w:t>Podložno primjeni tog praga, u obrazac se uključuju:</w:t>
      </w:r>
    </w:p>
    <w:p w:rsidR="00FD54FC" w:rsidRPr="00EF7F33" w:rsidRDefault="00125707" w:rsidP="00C37B29">
      <w:pPr>
        <w:pStyle w:val="InstructionsText2"/>
        <w:numPr>
          <w:ilvl w:val="0"/>
          <w:numId w:val="0"/>
        </w:numPr>
        <w:ind w:left="993"/>
      </w:pPr>
      <w:r w:rsidRPr="00EF7F33">
        <w:t>(a)</w:t>
      </w:r>
      <w:r w:rsidRPr="00EF7F33">
        <w:tab/>
        <w:t>najveći događaj za svaku vrstu događaja pod uvjetom da je institucija utvrdila vrste događaja za gubitke i</w:t>
      </w:r>
    </w:p>
    <w:p w:rsidR="00FD54FC" w:rsidRPr="00EF7F33" w:rsidRDefault="00125707" w:rsidP="00C37B29">
      <w:pPr>
        <w:pStyle w:val="InstructionsText2"/>
        <w:numPr>
          <w:ilvl w:val="0"/>
          <w:numId w:val="0"/>
        </w:numPr>
        <w:ind w:left="993"/>
      </w:pPr>
      <w:r w:rsidRPr="00EF7F33">
        <w:t>(b)</w:t>
      </w:r>
      <w:r w:rsidRPr="00EF7F33">
        <w:tab/>
        <w:t xml:space="preserve">barem deset najvećih preostalih događaja neovisno o tome je li utvrđena vrsta događaja prema iznosu bruto gubitka. </w:t>
      </w:r>
    </w:p>
    <w:p w:rsidR="00FD54FC" w:rsidRPr="00EF7F33" w:rsidRDefault="00125707" w:rsidP="00C37B29">
      <w:pPr>
        <w:pStyle w:val="InstructionsText2"/>
        <w:numPr>
          <w:ilvl w:val="0"/>
          <w:numId w:val="0"/>
        </w:numPr>
        <w:ind w:left="993"/>
      </w:pPr>
      <w:r w:rsidRPr="00EF7F33">
        <w:t>(c)</w:t>
      </w:r>
      <w:r w:rsidRPr="00EF7F33">
        <w:tab/>
        <w:t xml:space="preserve">Događaji se rangiraju na temelju bruto gubitka koji im se pripisuje. </w:t>
      </w:r>
    </w:p>
    <w:p w:rsidR="00FD54FC" w:rsidRPr="00EF7F33" w:rsidRDefault="00125707" w:rsidP="00C37B29">
      <w:pPr>
        <w:pStyle w:val="InstructionsText2"/>
        <w:numPr>
          <w:ilvl w:val="0"/>
          <w:numId w:val="0"/>
        </w:numPr>
        <w:ind w:left="993"/>
      </w:pPr>
      <w:r w:rsidRPr="00EF7F33">
        <w:t>(d)</w:t>
      </w:r>
      <w:r w:rsidRPr="00EF7F33">
        <w:tab/>
        <w:t>Događaj se uzima u obzir samo jedanput.</w:t>
      </w:r>
    </w:p>
    <w:p w:rsidR="00FD54FC" w:rsidRPr="00EF7F33"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3998173"/>
      <w:r w:rsidRPr="00EF7F33">
        <w:rPr>
          <w:rFonts w:ascii="Times New Roman" w:hAnsi="Times New Roman"/>
          <w:sz w:val="24"/>
          <w:u w:val="none"/>
        </w:rPr>
        <w:t>4.2.3.2.</w:t>
      </w:r>
      <w:r w:rsidRPr="00EF7F33">
        <w:tab/>
      </w:r>
      <w:r w:rsidRPr="00EF7F33">
        <w:rPr>
          <w:rFonts w:ascii="Times New Roman" w:hAnsi="Times New Roman"/>
          <w:sz w:val="24"/>
        </w:rPr>
        <w:t>Upute za specifične pozicije</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EF7F33" w:rsidTr="00672D2A">
        <w:tc>
          <w:tcPr>
            <w:tcW w:w="9288" w:type="dxa"/>
            <w:gridSpan w:val="2"/>
            <w:shd w:val="clear" w:color="auto" w:fill="BFBFBF"/>
          </w:tcPr>
          <w:p w:rsidR="00FD54FC" w:rsidRPr="00EF7F33" w:rsidRDefault="00FD54FC" w:rsidP="00FD54FC">
            <w:pPr>
              <w:rPr>
                <w:rFonts w:ascii="Times New Roman" w:hAnsi="Times New Roman"/>
                <w:sz w:val="24"/>
              </w:rPr>
            </w:pPr>
            <w:r w:rsidRPr="00EF7F33">
              <w:rPr>
                <w:rFonts w:ascii="Times New Roman" w:hAnsi="Times New Roman"/>
                <w:b/>
                <w:sz w:val="24"/>
              </w:rPr>
              <w:t>Stupci</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0010</w:t>
            </w:r>
          </w:p>
        </w:tc>
        <w:tc>
          <w:tcPr>
            <w:tcW w:w="8329" w:type="dxa"/>
            <w:shd w:val="clear" w:color="auto" w:fill="auto"/>
          </w:tcPr>
          <w:p w:rsidR="00FD54FC" w:rsidRPr="00EF7F33" w:rsidRDefault="00FD54FC" w:rsidP="00FD54FC">
            <w:pPr>
              <w:rPr>
                <w:rFonts w:ascii="Times New Roman" w:hAnsi="Times New Roman"/>
                <w:sz w:val="24"/>
              </w:rPr>
            </w:pPr>
            <w:r w:rsidRPr="00EF7F33">
              <w:rPr>
                <w:rStyle w:val="InstructionsTabelleberschrift"/>
                <w:rFonts w:ascii="Times New Roman" w:hAnsi="Times New Roman"/>
                <w:sz w:val="24"/>
              </w:rPr>
              <w:t>Identifikacijski broj događaja</w:t>
            </w:r>
          </w:p>
          <w:p w:rsidR="00FD54FC" w:rsidRPr="00EF7F33" w:rsidRDefault="00FD54FC" w:rsidP="00FD54FC">
            <w:pPr>
              <w:rPr>
                <w:rFonts w:ascii="Times New Roman" w:hAnsi="Times New Roman"/>
                <w:sz w:val="24"/>
              </w:rPr>
            </w:pPr>
            <w:r w:rsidRPr="00EF7F33">
              <w:rPr>
                <w:rFonts w:ascii="Times New Roman" w:hAnsi="Times New Roman"/>
                <w:sz w:val="24"/>
              </w:rPr>
              <w:t xml:space="preserve">Identifikacijski broj događaja je identifikator retka i jedinstven je za svaki redak u tablici. </w:t>
            </w:r>
          </w:p>
          <w:p w:rsidR="00FD54FC" w:rsidRPr="00EF7F33" w:rsidRDefault="00FD54FC" w:rsidP="00FD54FC">
            <w:pPr>
              <w:rPr>
                <w:rFonts w:ascii="Times New Roman" w:hAnsi="Times New Roman"/>
                <w:sz w:val="24"/>
              </w:rPr>
            </w:pPr>
            <w:r w:rsidRPr="00EF7F33">
              <w:rPr>
                <w:rFonts w:ascii="Times New Roman" w:hAnsi="Times New Roman"/>
                <w:sz w:val="24"/>
              </w:rPr>
              <w:t>Ako je dostupan interni identifikacijski broj, institucije dostavljaju taj interni ident</w:t>
            </w:r>
            <w:r w:rsidRPr="00EF7F33">
              <w:rPr>
                <w:rFonts w:ascii="Times New Roman" w:hAnsi="Times New Roman"/>
                <w:sz w:val="24"/>
              </w:rPr>
              <w:t>i</w:t>
            </w:r>
            <w:r w:rsidRPr="00EF7F33">
              <w:rPr>
                <w:rFonts w:ascii="Times New Roman" w:hAnsi="Times New Roman"/>
                <w:sz w:val="24"/>
              </w:rPr>
              <w:t>fikacijski broj. U protivnome, identifikacijski broj navodi se numeričkim redoslij</w:t>
            </w:r>
            <w:r w:rsidRPr="00EF7F33">
              <w:rPr>
                <w:rFonts w:ascii="Times New Roman" w:hAnsi="Times New Roman"/>
                <w:sz w:val="24"/>
              </w:rPr>
              <w:t>e</w:t>
            </w:r>
            <w:r w:rsidRPr="00EF7F33">
              <w:rPr>
                <w:rFonts w:ascii="Times New Roman" w:hAnsi="Times New Roman"/>
                <w:sz w:val="24"/>
              </w:rPr>
              <w:t>dom 1, 2, 3 itd.</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0020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Računovodstveni datum</w:t>
            </w:r>
          </w:p>
          <w:p w:rsidR="00FD54FC" w:rsidRPr="00EF7F33" w:rsidRDefault="00FD54FC" w:rsidP="00FD54FC">
            <w:pPr>
              <w:rPr>
                <w:rFonts w:ascii="Times New Roman" w:hAnsi="Times New Roman"/>
                <w:sz w:val="24"/>
              </w:rPr>
            </w:pPr>
            <w:r w:rsidRPr="00EF7F33">
              <w:rPr>
                <w:rFonts w:ascii="Times New Roman" w:hAnsi="Times New Roman"/>
                <w:sz w:val="24"/>
              </w:rPr>
              <w:t xml:space="preserve">Računovodstveni datum znači datum kada su gubitak ili rezerva/pričuva prvi put priznati u računu dobiti i gubitka u odnosu na gubitak od operativnog rizika. </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0030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Datum događaja</w:t>
            </w:r>
          </w:p>
          <w:p w:rsidR="00FD54FC" w:rsidRPr="00EF7F33" w:rsidRDefault="00FD54FC" w:rsidP="00871877">
            <w:pPr>
              <w:rPr>
                <w:rFonts w:ascii="Times New Roman" w:hAnsi="Times New Roman"/>
                <w:sz w:val="24"/>
              </w:rPr>
            </w:pPr>
            <w:r w:rsidRPr="00EF7F33">
              <w:rPr>
                <w:rFonts w:ascii="Times New Roman" w:hAnsi="Times New Roman"/>
                <w:sz w:val="24"/>
              </w:rPr>
              <w:t>Datum događaja jest datum nastanka ili početka događaja povezanog s operativnim rizikom.</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0040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Datum otkrića</w:t>
            </w:r>
          </w:p>
          <w:p w:rsidR="00FD54FC" w:rsidRPr="00EF7F33" w:rsidRDefault="00FD54FC" w:rsidP="00FD54FC">
            <w:pPr>
              <w:rPr>
                <w:rFonts w:ascii="Times New Roman" w:hAnsi="Times New Roman"/>
                <w:sz w:val="24"/>
              </w:rPr>
            </w:pPr>
            <w:r w:rsidRPr="00EF7F33">
              <w:rPr>
                <w:rFonts w:ascii="Times New Roman" w:hAnsi="Times New Roman"/>
                <w:sz w:val="24"/>
              </w:rPr>
              <w:t>Datum otkrića jest datum kada je institucija saznala za događaj povezan s operati</w:t>
            </w:r>
            <w:r w:rsidRPr="00EF7F33">
              <w:rPr>
                <w:rFonts w:ascii="Times New Roman" w:hAnsi="Times New Roman"/>
                <w:sz w:val="24"/>
              </w:rPr>
              <w:t>v</w:t>
            </w:r>
            <w:r w:rsidRPr="00EF7F33">
              <w:rPr>
                <w:rFonts w:ascii="Times New Roman" w:hAnsi="Times New Roman"/>
                <w:sz w:val="24"/>
              </w:rPr>
              <w:t>nim rizikom.</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lastRenderedPageBreak/>
              <w:t>0050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Vrsta događaja</w:t>
            </w:r>
          </w:p>
          <w:p w:rsidR="00FD54FC" w:rsidRPr="00EF7F33" w:rsidRDefault="00FD54FC" w:rsidP="00FD54FC">
            <w:pPr>
              <w:rPr>
                <w:rFonts w:ascii="Times New Roman" w:hAnsi="Times New Roman"/>
                <w:sz w:val="24"/>
              </w:rPr>
            </w:pPr>
            <w:r w:rsidRPr="00EF7F33">
              <w:rPr>
                <w:rFonts w:ascii="Times New Roman" w:hAnsi="Times New Roman"/>
                <w:sz w:val="24"/>
              </w:rPr>
              <w:t>Vrste događaja kako su definirane u članku 324. CRR-a.</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0060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Bruto gubitak</w:t>
            </w:r>
          </w:p>
          <w:p w:rsidR="00FD54FC" w:rsidRPr="00EF7F33" w:rsidRDefault="00FD54FC" w:rsidP="00FD54FC">
            <w:pPr>
              <w:rPr>
                <w:rFonts w:ascii="Times New Roman" w:hAnsi="Times New Roman"/>
                <w:sz w:val="24"/>
              </w:rPr>
            </w:pPr>
            <w:r w:rsidRPr="00EF7F33">
              <w:rPr>
                <w:rFonts w:ascii="Times New Roman" w:hAnsi="Times New Roman"/>
                <w:sz w:val="24"/>
              </w:rPr>
              <w:t>Bruto gubitak koji se odnosi na događaj kako je prethodno definirano u redcima 020, 120 itd.. obrasca C 17.01.</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0070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Bruto gubitak ne uključujući izravne povrate</w:t>
            </w:r>
          </w:p>
          <w:p w:rsidR="00FD54FC" w:rsidRPr="00EF7F33" w:rsidRDefault="00FD54FC" w:rsidP="00FD54FC">
            <w:pPr>
              <w:rPr>
                <w:rFonts w:ascii="Times New Roman" w:hAnsi="Times New Roman"/>
                <w:sz w:val="24"/>
              </w:rPr>
            </w:pPr>
            <w:r w:rsidRPr="00EF7F33">
              <w:rPr>
                <w:rFonts w:ascii="Times New Roman" w:hAnsi="Times New Roman"/>
                <w:sz w:val="24"/>
              </w:rPr>
              <w:t>Bruto gubitak koji se odnosi na događaj kako je prethodno definirano u redcima 020, 120 itd. obrasca C 17.01, isključujući izravne povrate koji se odnose na taj št</w:t>
            </w:r>
            <w:r w:rsidRPr="00EF7F33">
              <w:rPr>
                <w:rFonts w:ascii="Times New Roman" w:hAnsi="Times New Roman"/>
                <w:sz w:val="24"/>
              </w:rPr>
              <w:t>e</w:t>
            </w:r>
            <w:r w:rsidRPr="00EF7F33">
              <w:rPr>
                <w:rFonts w:ascii="Times New Roman" w:hAnsi="Times New Roman"/>
                <w:sz w:val="24"/>
              </w:rPr>
              <w:t>tni događaj.</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0080 – 0160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Bruto gubitak prema poslovnoj liniji</w:t>
            </w:r>
          </w:p>
          <w:p w:rsidR="00FD54FC" w:rsidRPr="00EF7F33" w:rsidRDefault="00FD54FC" w:rsidP="00FD54FC">
            <w:pPr>
              <w:rPr>
                <w:rFonts w:ascii="Times New Roman" w:hAnsi="Times New Roman"/>
                <w:sz w:val="24"/>
              </w:rPr>
            </w:pPr>
            <w:r w:rsidRPr="00EF7F33">
              <w:rPr>
                <w:rFonts w:ascii="Times New Roman" w:hAnsi="Times New Roman"/>
                <w:sz w:val="24"/>
              </w:rPr>
              <w:t>Bruto gubitak kako je iskazan u stupcu 060 pripisuje se relevantnim poslovnim lin</w:t>
            </w:r>
            <w:r w:rsidRPr="00EF7F33">
              <w:rPr>
                <w:rFonts w:ascii="Times New Roman" w:hAnsi="Times New Roman"/>
                <w:sz w:val="24"/>
              </w:rPr>
              <w:t>i</w:t>
            </w:r>
            <w:r w:rsidRPr="00EF7F33">
              <w:rPr>
                <w:rFonts w:ascii="Times New Roman" w:hAnsi="Times New Roman"/>
                <w:sz w:val="24"/>
              </w:rPr>
              <w:t>jama kako su definirane u članku 317. i članku 322. stavku 3. točki (b) CRR-a.</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0170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Naziv pravnog subjekta</w:t>
            </w:r>
          </w:p>
          <w:p w:rsidR="00FD54FC" w:rsidRPr="00EF7F33" w:rsidRDefault="00FD54FC" w:rsidP="00FD54FC">
            <w:pPr>
              <w:rPr>
                <w:rFonts w:ascii="Times New Roman" w:hAnsi="Times New Roman"/>
                <w:sz w:val="24"/>
              </w:rPr>
            </w:pPr>
            <w:r w:rsidRPr="00EF7F33">
              <w:rPr>
                <w:rFonts w:ascii="Times New Roman" w:hAnsi="Times New Roman"/>
                <w:sz w:val="24"/>
              </w:rPr>
              <w:t>Naziv pravnog subjekta kako je navedeno u stupcu 010 obrasca C 06.02 u kojemu se dogodio gubitak ili najveći udio gubitka ako je pogođeno nekoliko subjekata.</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0180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Identifikacijski broj pravnog subjekta</w:t>
            </w:r>
          </w:p>
          <w:p w:rsidR="00FD54FC" w:rsidRPr="00EF7F33" w:rsidRDefault="00FD54FC" w:rsidP="00FD54FC">
            <w:pPr>
              <w:rPr>
                <w:rFonts w:ascii="Times New Roman" w:hAnsi="Times New Roman"/>
                <w:sz w:val="24"/>
              </w:rPr>
            </w:pPr>
            <w:r w:rsidRPr="00EF7F33">
              <w:rPr>
                <w:rFonts w:ascii="Times New Roman" w:hAnsi="Times New Roman"/>
                <w:sz w:val="24"/>
              </w:rPr>
              <w:t>Oznaka LEI pravnog subjekta kako je navedeno u stupcu 025 obrasca C 06.02 u k</w:t>
            </w:r>
            <w:r w:rsidRPr="00EF7F33">
              <w:rPr>
                <w:rFonts w:ascii="Times New Roman" w:hAnsi="Times New Roman"/>
                <w:sz w:val="24"/>
              </w:rPr>
              <w:t>o</w:t>
            </w:r>
            <w:r w:rsidRPr="00EF7F33">
              <w:rPr>
                <w:rFonts w:ascii="Times New Roman" w:hAnsi="Times New Roman"/>
                <w:sz w:val="24"/>
              </w:rPr>
              <w:t>jemu se dogodio gubitak ili najveći udio gubitka ako je pogođeno nekoliko subjek</w:t>
            </w:r>
            <w:r w:rsidRPr="00EF7F33">
              <w:rPr>
                <w:rFonts w:ascii="Times New Roman" w:hAnsi="Times New Roman"/>
                <w:sz w:val="24"/>
              </w:rPr>
              <w:t>a</w:t>
            </w:r>
            <w:r w:rsidRPr="00EF7F33">
              <w:rPr>
                <w:rFonts w:ascii="Times New Roman" w:hAnsi="Times New Roman"/>
                <w:sz w:val="24"/>
              </w:rPr>
              <w:t>ta.</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0190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Poslovna jedinica</w:t>
            </w:r>
          </w:p>
          <w:p w:rsidR="00FD54FC" w:rsidRPr="00EF7F33" w:rsidRDefault="00FD54FC" w:rsidP="00FD54FC">
            <w:pPr>
              <w:rPr>
                <w:rFonts w:ascii="Times New Roman" w:hAnsi="Times New Roman"/>
                <w:sz w:val="24"/>
              </w:rPr>
            </w:pPr>
            <w:r w:rsidRPr="00EF7F33">
              <w:rPr>
                <w:rFonts w:ascii="Times New Roman" w:hAnsi="Times New Roman"/>
                <w:sz w:val="24"/>
              </w:rPr>
              <w:t>Poslovna jedinica ili korporativni odjel institucije u kojemu se dogodio gubitak ili najveći udio gubitka ako je pogođeno nekoliko poslovnih jedinica ili korporativnih odjela.</w:t>
            </w:r>
          </w:p>
        </w:tc>
      </w:tr>
      <w:tr w:rsidR="00FD54FC" w:rsidRPr="00EF7F33" w:rsidTr="00672D2A">
        <w:tc>
          <w:tcPr>
            <w:tcW w:w="959" w:type="dxa"/>
            <w:shd w:val="clear" w:color="auto" w:fill="auto"/>
          </w:tcPr>
          <w:p w:rsidR="00FD54FC" w:rsidRPr="00EF7F33" w:rsidRDefault="00C93FC2" w:rsidP="00FD54FC">
            <w:pPr>
              <w:rPr>
                <w:rFonts w:ascii="Times New Roman" w:hAnsi="Times New Roman"/>
                <w:sz w:val="24"/>
              </w:rPr>
            </w:pPr>
            <w:r w:rsidRPr="00EF7F33">
              <w:rPr>
                <w:rFonts w:ascii="Times New Roman" w:hAnsi="Times New Roman"/>
                <w:sz w:val="24"/>
              </w:rPr>
              <w:t>0200</w:t>
            </w:r>
          </w:p>
        </w:tc>
        <w:tc>
          <w:tcPr>
            <w:tcW w:w="8329" w:type="dxa"/>
            <w:shd w:val="clear" w:color="auto" w:fill="auto"/>
          </w:tcPr>
          <w:p w:rsidR="00FD54FC" w:rsidRPr="00EF7F33" w:rsidRDefault="00FD54FC" w:rsidP="00FD54FC">
            <w:pPr>
              <w:rPr>
                <w:rStyle w:val="InstructionsTabelleberschrift"/>
                <w:rFonts w:ascii="Times New Roman" w:hAnsi="Times New Roman"/>
                <w:sz w:val="24"/>
              </w:rPr>
            </w:pPr>
            <w:r w:rsidRPr="00EF7F33">
              <w:rPr>
                <w:rStyle w:val="InstructionsTabelleberschrift"/>
                <w:rFonts w:ascii="Times New Roman" w:hAnsi="Times New Roman"/>
                <w:sz w:val="24"/>
              </w:rPr>
              <w:t>Opis</w:t>
            </w:r>
          </w:p>
          <w:p w:rsidR="00FD54FC" w:rsidRPr="00EF7F33" w:rsidRDefault="00FD54FC" w:rsidP="00FD239F">
            <w:pPr>
              <w:rPr>
                <w:rFonts w:ascii="Times New Roman" w:hAnsi="Times New Roman"/>
                <w:sz w:val="24"/>
              </w:rPr>
            </w:pPr>
            <w:r w:rsidRPr="00EF7F33">
              <w:rPr>
                <w:rFonts w:ascii="Times New Roman" w:hAnsi="Times New Roman"/>
                <w:sz w:val="24"/>
              </w:rPr>
              <w:t>Narativni opis događaja, prema potrebi općenit ili anonimiziran, koji sadržava b</w:t>
            </w:r>
            <w:r w:rsidRPr="00EF7F33">
              <w:rPr>
                <w:rFonts w:ascii="Times New Roman" w:hAnsi="Times New Roman"/>
                <w:sz w:val="24"/>
              </w:rPr>
              <w:t>a</w:t>
            </w:r>
            <w:r w:rsidRPr="00EF7F33">
              <w:rPr>
                <w:rFonts w:ascii="Times New Roman" w:hAnsi="Times New Roman"/>
                <w:sz w:val="24"/>
              </w:rPr>
              <w:t>rem informacije o samom događaju i informacije o pokretačima ili uzrocima dog</w:t>
            </w:r>
            <w:r w:rsidRPr="00EF7F33">
              <w:rPr>
                <w:rFonts w:ascii="Times New Roman" w:hAnsi="Times New Roman"/>
                <w:sz w:val="24"/>
              </w:rPr>
              <w:t>a</w:t>
            </w:r>
            <w:r w:rsidRPr="00EF7F33">
              <w:rPr>
                <w:rFonts w:ascii="Times New Roman" w:hAnsi="Times New Roman"/>
                <w:sz w:val="24"/>
              </w:rPr>
              <w:t>đaja ako su poznati.</w:t>
            </w:r>
          </w:p>
        </w:tc>
      </w:tr>
    </w:tbl>
    <w:p w:rsidR="00FD54FC" w:rsidRPr="00EF7F33" w:rsidRDefault="00FD54FC" w:rsidP="00AC6255">
      <w:pPr>
        <w:spacing w:after="0"/>
        <w:rPr>
          <w:rFonts w:ascii="Times New Roman" w:hAnsi="Times New Roman"/>
          <w:sz w:val="24"/>
        </w:rPr>
      </w:pPr>
    </w:p>
    <w:p w:rsidR="00AC6255" w:rsidRPr="00EF7F33" w:rsidRDefault="00AC6255">
      <w:pPr>
        <w:spacing w:before="0" w:after="0"/>
        <w:jc w:val="left"/>
        <w:rPr>
          <w:rStyle w:val="InstructionsTabelleText"/>
          <w:rFonts w:ascii="Times New Roman" w:hAnsi="Times New Roman"/>
          <w:sz w:val="24"/>
        </w:rPr>
      </w:pPr>
      <w:r w:rsidRPr="00EF7F33">
        <w:br w:type="page"/>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3998174"/>
      <w:r w:rsidRPr="00EF7F33">
        <w:rPr>
          <w:rFonts w:ascii="Times New Roman" w:hAnsi="Times New Roman"/>
          <w:sz w:val="24"/>
          <w:u w:val="none"/>
        </w:rPr>
        <w:lastRenderedPageBreak/>
        <w:t>5.</w:t>
      </w:r>
      <w:r w:rsidRPr="00EF7F33">
        <w:tab/>
      </w:r>
      <w:r w:rsidRPr="00EF7F33">
        <w:rPr>
          <w:rFonts w:ascii="Times New Roman" w:hAnsi="Times New Roman"/>
          <w:sz w:val="24"/>
        </w:rPr>
        <w:t>Obrasci za tržišni rizik</w:t>
      </w:r>
      <w:bookmarkEnd w:id="587"/>
      <w:bookmarkEnd w:id="588"/>
      <w:bookmarkEnd w:id="589"/>
      <w:bookmarkEnd w:id="590"/>
      <w:bookmarkEnd w:id="591"/>
      <w:bookmarkEnd w:id="592"/>
      <w:bookmarkEnd w:id="593"/>
      <w:bookmarkEnd w:id="594"/>
    </w:p>
    <w:p w:rsidR="000B0B09" w:rsidRPr="00EF7F33" w:rsidRDefault="00125707" w:rsidP="00C37B29">
      <w:pPr>
        <w:pStyle w:val="InstructionsText2"/>
        <w:numPr>
          <w:ilvl w:val="0"/>
          <w:numId w:val="0"/>
        </w:numPr>
        <w:ind w:left="993"/>
      </w:pPr>
      <w:bookmarkStart w:id="595" w:name="_Toc308426672"/>
      <w:r w:rsidRPr="00EF7F33">
        <w:t>137.</w:t>
      </w:r>
      <w:r w:rsidRPr="00EF7F33">
        <w:tab/>
        <w:t>Navedene se upute odnose na obrasce za izvješćivanje o izračunu kapitalnih zahtjeva u skladu sa standardiziranim pristupom za valutni rizik (MKR SA FX), r</w:t>
      </w:r>
      <w:r w:rsidRPr="00EF7F33">
        <w:t>o</w:t>
      </w:r>
      <w:r w:rsidRPr="00EF7F33">
        <w:t>bni rizik (MKS SA COM), kamatni rizik (MKS SA TDI, MKR SA SEC, MKR SA CTP) i rizik vlasničkih instrumenata (MKS SA EQU). Osim toga, upute za obrazac za izvješćivanje o izračunu kapitalnih zahtjeva u skladu s pristupom internih mod</w:t>
      </w:r>
      <w:r w:rsidRPr="00EF7F33">
        <w:t>e</w:t>
      </w:r>
      <w:r w:rsidRPr="00EF7F33">
        <w:t xml:space="preserve">la (MKR IM) uključene su u ovom dijelu. </w:t>
      </w:r>
    </w:p>
    <w:p w:rsidR="000B0B09" w:rsidRPr="00EF7F33" w:rsidRDefault="00125707" w:rsidP="00C37B29">
      <w:pPr>
        <w:pStyle w:val="InstructionsText2"/>
        <w:numPr>
          <w:ilvl w:val="0"/>
          <w:numId w:val="0"/>
        </w:numPr>
        <w:ind w:left="993"/>
      </w:pPr>
      <w:r w:rsidRPr="00EF7F33">
        <w:t>138.</w:t>
      </w:r>
      <w:r w:rsidRPr="00EF7F33">
        <w:tab/>
        <w:t>Pozicijski rizik za dužnički ili vlasnički instrument dijeli se u dvije kompone</w:t>
      </w:r>
      <w:r w:rsidRPr="00EF7F33">
        <w:t>n</w:t>
      </w:r>
      <w:r w:rsidRPr="00EF7F33">
        <w:t>te radi izračuna kapitalnog zahtjeva povezanog s njim. Prva komponenta je specif</w:t>
      </w:r>
      <w:r w:rsidRPr="00EF7F33">
        <w:t>i</w:t>
      </w:r>
      <w:r w:rsidRPr="00EF7F33">
        <w:t>čni rizik — koji obuhvaća rizik promjene cijene spomenutog instrumenta radi fa</w:t>
      </w:r>
      <w:r w:rsidRPr="00EF7F33">
        <w:t>k</w:t>
      </w:r>
      <w:r w:rsidRPr="00EF7F33">
        <w:t>tora povezanih s izdavateljem ili, kad je riječ o izvedenicama, izdavateljem odno</w:t>
      </w:r>
      <w:r w:rsidRPr="00EF7F33">
        <w:t>s</w:t>
      </w:r>
      <w:r w:rsidRPr="00EF7F33">
        <w:t>nog instrumenta. Druga komponenta obuhvaća opći rizik — to je rizik promjene c</w:t>
      </w:r>
      <w:r w:rsidRPr="00EF7F33">
        <w:t>i</w:t>
      </w:r>
      <w:r w:rsidRPr="00EF7F33">
        <w:t>jene instrumenta zbog (kad je riječ o dužničkim instrumentima ili izvedenicama d</w:t>
      </w:r>
      <w:r w:rsidRPr="00EF7F33">
        <w:t>u</w:t>
      </w:r>
      <w:r w:rsidRPr="00EF7F33">
        <w:t>žničkih instrumenata kojima se trguje) promjene razine kamatnih stopa ili (kad je riječ o vlasničkim instrumentima ili izvedenicama vlasničkih instrumenata) općih kretanja na tržištu vlasničkih instrumenata koja nisu povezana s posebnim karakt</w:t>
      </w:r>
      <w:r w:rsidRPr="00EF7F33">
        <w:t>e</w:t>
      </w:r>
      <w:r w:rsidRPr="00EF7F33">
        <w:t xml:space="preserve">ristikama pojedinih vrijednosnih papira. </w:t>
      </w:r>
      <w:bookmarkEnd w:id="595"/>
      <w:r w:rsidRPr="00EF7F33">
        <w:t xml:space="preserve">Opći tretman specifičnih instrumenata i postupaka netiranja naveden je u člancima od 326. do 333. CRR-a. </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23998175"/>
      <w:bookmarkStart w:id="603" w:name="_Toc516210683"/>
      <w:bookmarkStart w:id="604" w:name="_Toc473561032"/>
      <w:r w:rsidRPr="00EF7F33">
        <w:rPr>
          <w:rFonts w:ascii="Times New Roman" w:hAnsi="Times New Roman"/>
          <w:sz w:val="24"/>
          <w:u w:val="none"/>
        </w:rPr>
        <w:t>5.1.</w:t>
      </w:r>
      <w:r w:rsidRPr="00EF7F33">
        <w:tab/>
      </w:r>
      <w:r w:rsidRPr="00EF7F33">
        <w:rPr>
          <w:rFonts w:ascii="Times New Roman" w:hAnsi="Times New Roman"/>
          <w:sz w:val="24"/>
        </w:rPr>
        <w:t>C 18.00 – Tržišni rizik: standardizirani pristup pozicijskim rizicima dužničkih instr</w:t>
      </w:r>
      <w:r w:rsidRPr="00EF7F33">
        <w:rPr>
          <w:rFonts w:ascii="Times New Roman" w:hAnsi="Times New Roman"/>
          <w:sz w:val="24"/>
        </w:rPr>
        <w:t>u</w:t>
      </w:r>
      <w:r w:rsidRPr="00EF7F33">
        <w:rPr>
          <w:rFonts w:ascii="Times New Roman" w:hAnsi="Times New Roman"/>
          <w:sz w:val="24"/>
        </w:rPr>
        <w:t>menata kojima se trguje</w:t>
      </w:r>
      <w:bookmarkEnd w:id="596"/>
      <w:bookmarkEnd w:id="597"/>
      <w:bookmarkEnd w:id="598"/>
      <w:bookmarkEnd w:id="599"/>
      <w:bookmarkEnd w:id="600"/>
      <w:bookmarkEnd w:id="601"/>
      <w:r w:rsidRPr="00EF7F33">
        <w:rPr>
          <w:rFonts w:ascii="Times New Roman" w:hAnsi="Times New Roman"/>
          <w:sz w:val="24"/>
        </w:rPr>
        <w:t xml:space="preserve"> (MKR SA TDI)</w:t>
      </w:r>
      <w:bookmarkEnd w:id="602"/>
      <w:r w:rsidRPr="00EF7F33">
        <w:rPr>
          <w:rFonts w:ascii="Times New Roman" w:hAnsi="Times New Roman"/>
          <w:sz w:val="24"/>
        </w:rPr>
        <w:t xml:space="preserve"> </w:t>
      </w:r>
      <w:bookmarkEnd w:id="603"/>
      <w:bookmarkEnd w:id="604"/>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3998176"/>
      <w:r w:rsidRPr="00EF7F33">
        <w:rPr>
          <w:rFonts w:ascii="Times New Roman" w:hAnsi="Times New Roman"/>
          <w:sz w:val="24"/>
          <w:u w:val="none"/>
        </w:rPr>
        <w:t>5.1.1.</w:t>
      </w:r>
      <w:r w:rsidRPr="00EF7F33">
        <w:tab/>
      </w:r>
      <w:r w:rsidRPr="00EF7F33">
        <w:rPr>
          <w:rFonts w:ascii="Times New Roman" w:hAnsi="Times New Roman"/>
          <w:sz w:val="24"/>
        </w:rPr>
        <w:t>Opće napomene</w:t>
      </w:r>
      <w:bookmarkEnd w:id="605"/>
      <w:bookmarkEnd w:id="606"/>
      <w:bookmarkEnd w:id="607"/>
      <w:bookmarkEnd w:id="608"/>
      <w:bookmarkEnd w:id="609"/>
      <w:bookmarkEnd w:id="610"/>
      <w:bookmarkEnd w:id="611"/>
      <w:bookmarkEnd w:id="612"/>
    </w:p>
    <w:p w:rsidR="000B0B09" w:rsidRPr="00EF7F33" w:rsidRDefault="00125707" w:rsidP="00C37B29">
      <w:pPr>
        <w:pStyle w:val="InstructionsText2"/>
        <w:numPr>
          <w:ilvl w:val="0"/>
          <w:numId w:val="0"/>
        </w:numPr>
        <w:ind w:left="993"/>
      </w:pPr>
      <w:r w:rsidRPr="00EF7F33">
        <w:t>139.</w:t>
      </w:r>
      <w:r w:rsidRPr="00EF7F33">
        <w:tab/>
        <w:t>Ovim su obrascem obuhvaćene pozicije i povezani kapitalni zahtjevi za poz</w:t>
      </w:r>
      <w:r w:rsidRPr="00EF7F33">
        <w:t>i</w:t>
      </w:r>
      <w:r w:rsidRPr="00EF7F33">
        <w:t>cijske rizike dužničkih instrumenata kojima se trguje u skladu sa standardiziranim pristupom (članak 102. i članak 105. stavak 1. CRR-a). Različiti rizici i metode dostupni u skladu s CRR-om raspoređeni su u redcima. Specifični rizik povezan s izloženostima uključenima u obrasce MKR SA SEC i MKR SA CTP potrebno je iskazati samo u obrascu s ukupnim podacima MKR SA TDI. Kapitalni zahtjevi i</w:t>
      </w:r>
      <w:r w:rsidRPr="00EF7F33">
        <w:t>s</w:t>
      </w:r>
      <w:r w:rsidRPr="00EF7F33">
        <w:t>kazani u navedenim obrascima prenose se u rubriku {325;060} (sekuritizacije) o</w:t>
      </w:r>
      <w:r w:rsidRPr="00EF7F33">
        <w:t>d</w:t>
      </w:r>
      <w:r w:rsidRPr="00EF7F33">
        <w:t>nosno {330;060} (korelacijski portfelj namijenjen trgovanju). .</w:t>
      </w:r>
    </w:p>
    <w:p w:rsidR="000B0B09" w:rsidRPr="00EF7F33" w:rsidRDefault="00125707" w:rsidP="00C37B29">
      <w:pPr>
        <w:pStyle w:val="InstructionsText2"/>
        <w:numPr>
          <w:ilvl w:val="0"/>
          <w:numId w:val="0"/>
        </w:numPr>
        <w:ind w:left="993"/>
      </w:pPr>
      <w:r w:rsidRPr="00EF7F33">
        <w:t>140.</w:t>
      </w:r>
      <w:r w:rsidRPr="00EF7F33">
        <w:tab/>
        <w:t>Obrazac je potrebno popuniti zasebno za „ukupne podatke”, uključujući pre</w:t>
      </w:r>
      <w:r w:rsidRPr="00EF7F33">
        <w:t>t</w:t>
      </w:r>
      <w:r w:rsidRPr="00EF7F33">
        <w:t xml:space="preserve">hodno definirani popis sljedećih valuta: </w:t>
      </w:r>
      <w:bookmarkStart w:id="613" w:name="OLE_LINK1"/>
      <w:r w:rsidRPr="00EF7F33">
        <w:t xml:space="preserve">EUR, ALL, BGN, CZK, DKK, EGP, GBP, HRK, HUF, ISK, JPY, MKD, NOK, PLN, RON, RUB, RSD, SEK, CHF, TRY, UAH, USD </w:t>
      </w:r>
      <w:bookmarkEnd w:id="613"/>
      <w:r w:rsidRPr="00EF7F33">
        <w:t xml:space="preserve">i jedan preostali obrazac za sve ostale valute. </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3998177"/>
      <w:r w:rsidRPr="00EF7F33">
        <w:rPr>
          <w:rFonts w:ascii="Times New Roman" w:hAnsi="Times New Roman"/>
          <w:sz w:val="24"/>
          <w:u w:val="none"/>
        </w:rPr>
        <w:t>5.1.2.</w:t>
      </w:r>
      <w:r w:rsidRPr="00EF7F33">
        <w:tab/>
      </w:r>
      <w:r w:rsidRPr="00EF7F33">
        <w:rPr>
          <w:rFonts w:ascii="Times New Roman" w:hAnsi="Times New Roman"/>
          <w:sz w:val="24"/>
        </w:rPr>
        <w:t>Upute za specifične pozicije</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F7F33" w:rsidTr="00672D2A">
        <w:trPr>
          <w:trHeight w:val="569"/>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010-020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102. i članak 105. stavak 1. CRR-a. To su bruto pozicije koje nisu net</w:t>
            </w:r>
            <w:r w:rsidRPr="00EF7F33">
              <w:rPr>
                <w:rFonts w:ascii="Times New Roman" w:hAnsi="Times New Roman"/>
                <w:sz w:val="24"/>
              </w:rPr>
              <w:t>i</w:t>
            </w:r>
            <w:r w:rsidRPr="00EF7F33">
              <w:rPr>
                <w:rFonts w:ascii="Times New Roman" w:hAnsi="Times New Roman"/>
                <w:sz w:val="24"/>
              </w:rPr>
              <w:t>rane instrumentima, ali isključujući pozicije proizišle iz pružanja usluge pr</w:t>
            </w:r>
            <w:r w:rsidRPr="00EF7F33">
              <w:rPr>
                <w:rFonts w:ascii="Times New Roman" w:hAnsi="Times New Roman"/>
                <w:sz w:val="24"/>
              </w:rPr>
              <w:t>o</w:t>
            </w:r>
            <w:r w:rsidRPr="00EF7F33">
              <w:rPr>
                <w:rFonts w:ascii="Times New Roman" w:hAnsi="Times New Roman"/>
                <w:sz w:val="24"/>
              </w:rPr>
              <w:t>vedbe ponude odnosno prodaje financijskih instrumenata uz obvezu otkupa k</w:t>
            </w:r>
            <w:r w:rsidRPr="00EF7F33">
              <w:rPr>
                <w:rFonts w:ascii="Times New Roman" w:hAnsi="Times New Roman"/>
                <w:sz w:val="24"/>
              </w:rPr>
              <w:t>o</w:t>
            </w:r>
            <w:r w:rsidRPr="00EF7F33">
              <w:rPr>
                <w:rFonts w:ascii="Times New Roman" w:hAnsi="Times New Roman"/>
                <w:sz w:val="24"/>
              </w:rPr>
              <w:t>je su upisane ili su predmet potpokroviteljstva trećih strana (članak 345. druga rečenica CRR-a). Za razliku između dugih i kratkih pozicija, koja se primjenj</w:t>
            </w:r>
            <w:r w:rsidRPr="00EF7F33">
              <w:rPr>
                <w:rFonts w:ascii="Times New Roman" w:hAnsi="Times New Roman"/>
                <w:sz w:val="24"/>
              </w:rPr>
              <w:t>u</w:t>
            </w:r>
            <w:r w:rsidRPr="00EF7F33">
              <w:rPr>
                <w:rFonts w:ascii="Times New Roman" w:hAnsi="Times New Roman"/>
                <w:sz w:val="24"/>
              </w:rPr>
              <w:lastRenderedPageBreak/>
              <w:t>je i na te bruto pozicije, vidjeti članak 328. stavak 2. CRR-a.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030-040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NETO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Članci od 327. do 329. i članak 334. CRR-a. Za razliku između dugih i kratkih pozicija vidjeti članak 328. stavak 2. CRR-a.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KOJE PODLIJEŽU KAPITALNOM ZAHTJEVU</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Neto pozicije koje, u skladu s različitim pristupima koji se razmatraju u dijelu 3. glavi IV. poglavlju 2. CRR-a dobivaju kapitalni zahtjev.</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p>
        </w:tc>
        <w:tc>
          <w:tcPr>
            <w:tcW w:w="7874"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ZAHTJEVI</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Kapitalni zahtjev za sve relevantne pozicije u skladu s dijelom 3. glavom IV. poglavljem 2. CRR-a</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w:t>
            </w:r>
          </w:p>
        </w:tc>
        <w:tc>
          <w:tcPr>
            <w:tcW w:w="7874"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IZLOŽENOSTI RIZIKU</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Članak 92. stavak 4. točka (b) CRR-a. Rezultat množenja kapitalnih zahtjeva sa 12,5. </w:t>
            </w:r>
          </w:p>
        </w:tc>
      </w:tr>
    </w:tbl>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EF7F33" w:rsidTr="00672D2A">
        <w:trPr>
          <w:trHeight w:val="533"/>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rPr>
          <w:trHeight w:val="1168"/>
        </w:trPr>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010-350</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DUŽNIČKI INSTRUMENTI KOJIMA SE TRGUJE U KNJIZI TRG</w:t>
            </w:r>
            <w:r w:rsidRPr="00EF7F33">
              <w:rPr>
                <w:rFonts w:ascii="Times New Roman" w:hAnsi="Times New Roman"/>
                <w:b/>
                <w:sz w:val="24"/>
                <w:u w:val="single"/>
              </w:rPr>
              <w:t>O</w:t>
            </w:r>
            <w:r w:rsidRPr="00EF7F33">
              <w:rPr>
                <w:rFonts w:ascii="Times New Roman" w:hAnsi="Times New Roman"/>
                <w:b/>
                <w:sz w:val="24"/>
                <w:u w:val="single"/>
              </w:rPr>
              <w:t>VANJA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dužničkim instrumentima kojima se trguje u knjizi trgovanja i njih</w:t>
            </w:r>
            <w:r w:rsidRPr="00EF7F33">
              <w:rPr>
                <w:rFonts w:ascii="Times New Roman" w:hAnsi="Times New Roman"/>
                <w:sz w:val="24"/>
              </w:rPr>
              <w:t>o</w:t>
            </w:r>
            <w:r w:rsidRPr="00EF7F33">
              <w:rPr>
                <w:rFonts w:ascii="Times New Roman" w:hAnsi="Times New Roman"/>
                <w:sz w:val="24"/>
              </w:rPr>
              <w:t>vi odgovarajući kapitalni zahtjevi za pozicijski rizik u skladu s člankom 92. stavkom 3. točkom (b) podtočkom i. CRR-a i dijelom 3. glavom IV. pogla</w:t>
            </w:r>
            <w:r w:rsidRPr="00EF7F33">
              <w:rPr>
                <w:rFonts w:ascii="Times New Roman" w:hAnsi="Times New Roman"/>
                <w:sz w:val="24"/>
              </w:rPr>
              <w:t>v</w:t>
            </w:r>
            <w:r w:rsidRPr="00EF7F33">
              <w:rPr>
                <w:rFonts w:ascii="Times New Roman" w:hAnsi="Times New Roman"/>
                <w:sz w:val="24"/>
              </w:rPr>
              <w:t>ljem 2. CRR-a iskazuju se ovisno o kategoriji rizika, dospijeću i korištenom pristupu.</w:t>
            </w:r>
          </w:p>
        </w:tc>
      </w:tr>
      <w:tr w:rsidR="000B0B09" w:rsidRPr="00EF7F33" w:rsidTr="00672D2A">
        <w:tc>
          <w:tcPr>
            <w:tcW w:w="987"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011</w:t>
            </w:r>
          </w:p>
        </w:tc>
        <w:tc>
          <w:tcPr>
            <w:tcW w:w="7875"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b/>
                <w:sz w:val="24"/>
                <w:u w:val="single"/>
              </w:rPr>
              <w:t xml:space="preserve">OPĆI RIZIK </w:t>
            </w: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012</w:t>
            </w:r>
          </w:p>
        </w:tc>
        <w:tc>
          <w:tcPr>
            <w:tcW w:w="7875"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Izvedenice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Izvedenice uključene u izračun kamatnog rizika pozicija iz knjige trgovanja, uzimajući u obzir članke od 328. do 331. ako su primjenjivi.</w:t>
            </w: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013</w:t>
            </w:r>
          </w:p>
        </w:tc>
        <w:tc>
          <w:tcPr>
            <w:tcW w:w="7875"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Ostala imovina i obveze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Instrumenti osim izvedenica uključeni u izračun kamatnog rizika pozicija iz knjige trgovanja. </w:t>
            </w: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020-200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PRISTUP KOJI SE TEMELJI NA DOSPIJEĆU</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Pozicije u dužničkim instrumentima kojima se trguje koje podliježu pristupu koji se temelji na dospijeću u skladu s člankom 339. stavcima od 1. do 8. CRR-a i odgovarajućim kapitalnim zahtjevima iz članka 339. stavka 9. CRR-a. Poz</w:t>
            </w:r>
            <w:r w:rsidRPr="00EF7F33">
              <w:rPr>
                <w:rFonts w:ascii="Times New Roman" w:hAnsi="Times New Roman"/>
                <w:sz w:val="24"/>
              </w:rPr>
              <w:t>i</w:t>
            </w:r>
            <w:r w:rsidRPr="00EF7F33">
              <w:rPr>
                <w:rFonts w:ascii="Times New Roman" w:hAnsi="Times New Roman"/>
                <w:sz w:val="24"/>
              </w:rPr>
              <w:t>cije se dijele prema zonama 1, 2 i 3, a one prema dospijeću instrumenata.</w:t>
            </w:r>
          </w:p>
        </w:tc>
      </w:tr>
      <w:tr w:rsidR="000B0B09" w:rsidRPr="00EF7F33" w:rsidTr="00672D2A">
        <w:tc>
          <w:tcPr>
            <w:tcW w:w="987"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210-240</w:t>
            </w:r>
          </w:p>
        </w:tc>
        <w:tc>
          <w:tcPr>
            <w:tcW w:w="7875"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b/>
                <w:sz w:val="24"/>
                <w:u w:val="single"/>
              </w:rPr>
              <w:t>OPĆI RIZIK PRISTUP KOJI SE TEMELJI NA TRAJANJU</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Pozicije u dužničkim instrumentima kojima se trguje koje podliježu pristupu koji se temelji na trajanju u skladu s člankom 340. stavcima od 1. do 6. CRR-a </w:t>
            </w:r>
            <w:r w:rsidRPr="00EF7F33">
              <w:rPr>
                <w:rFonts w:ascii="Times New Roman" w:hAnsi="Times New Roman"/>
                <w:sz w:val="24"/>
              </w:rPr>
              <w:lastRenderedPageBreak/>
              <w:t>i odgovarajućim kapitalnim zahtjevima iz članka 340. stavka 7. CRR-a. Pozic</w:t>
            </w:r>
            <w:r w:rsidRPr="00EF7F33">
              <w:rPr>
                <w:rFonts w:ascii="Times New Roman" w:hAnsi="Times New Roman"/>
                <w:sz w:val="24"/>
              </w:rPr>
              <w:t>i</w:t>
            </w:r>
            <w:r w:rsidRPr="00EF7F33">
              <w:rPr>
                <w:rFonts w:ascii="Times New Roman" w:hAnsi="Times New Roman"/>
                <w:sz w:val="24"/>
              </w:rPr>
              <w:t>ja se dijeli prema zonama 1, 2 i 3.</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250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SPECIFIČNI RIZIK</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Zbroj iznosa iskazanih u redcima 251, 325 i 330. </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Pozicije u dužničkim instrumentima kojima se trguje koje podliježu kapitalnom zahtjevu za specifični rizik i odgovarajućem kapitalnom zahtjevu u skladu s člankom 92. stavkom 3. točkom (b), člankom 335., člankom 336. stavcima od 1. do 3., člancima 337. i 338. CRR-a. Potrebno je uzeti u obzir i članak 327. stavak 1. zadnju rečenicu CRR-a.</w:t>
            </w:r>
          </w:p>
        </w:tc>
      </w:tr>
      <w:tr w:rsidR="000B0B09" w:rsidRPr="00EF7F33" w:rsidTr="00672D2A">
        <w:tc>
          <w:tcPr>
            <w:tcW w:w="987"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251-321</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 za dužničke instrumente koji nisu predmet sekuritizacije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Zbroj iznosa iskazanih u redcima od 260 do 321.</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Kapitalni zahtjev za kreditne izvedenice na osnovi n-tog nastanka statusa nei</w:t>
            </w:r>
            <w:r w:rsidRPr="00EF7F33">
              <w:rPr>
                <w:rFonts w:ascii="Times New Roman" w:hAnsi="Times New Roman"/>
                <w:sz w:val="24"/>
              </w:rPr>
              <w:t>s</w:t>
            </w:r>
            <w:r w:rsidRPr="00EF7F33">
              <w:rPr>
                <w:rFonts w:ascii="Times New Roman" w:hAnsi="Times New Roman"/>
                <w:sz w:val="24"/>
              </w:rPr>
              <w:t>punjavanja obveza koje nisu dobile vanjski rejting mora se izračunati zbraj</w:t>
            </w:r>
            <w:r w:rsidRPr="00EF7F33">
              <w:rPr>
                <w:rFonts w:ascii="Times New Roman" w:hAnsi="Times New Roman"/>
                <w:sz w:val="24"/>
              </w:rPr>
              <w:t>a</w:t>
            </w:r>
            <w:r w:rsidRPr="00EF7F33">
              <w:rPr>
                <w:rFonts w:ascii="Times New Roman" w:hAnsi="Times New Roman"/>
                <w:sz w:val="24"/>
              </w:rPr>
              <w:t>njem pondera rizika referentnih subjekata (članak 332. stavak 1. točka (e) pod</w:t>
            </w:r>
            <w:r w:rsidRPr="00EF7F33">
              <w:rPr>
                <w:rFonts w:ascii="Times New Roman" w:hAnsi="Times New Roman"/>
                <w:sz w:val="24"/>
              </w:rPr>
              <w:t>s</w:t>
            </w:r>
            <w:r w:rsidRPr="00EF7F33">
              <w:rPr>
                <w:rFonts w:ascii="Times New Roman" w:hAnsi="Times New Roman"/>
                <w:sz w:val="24"/>
              </w:rPr>
              <w:t>tavci 1. i 2. CRR-a – „odnosne izloženosti”). Kreditne izvedenice na osnovi n-tog nastanka statusa neispunjavanja obveza koje nisu dobile vanjski rejting (članak 332. stavak 1. točka (e) podstavak 3. CRR-a) iskazuju se zasebno u l</w:t>
            </w:r>
            <w:r w:rsidRPr="00EF7F33">
              <w:rPr>
                <w:rFonts w:ascii="Times New Roman" w:hAnsi="Times New Roman"/>
                <w:sz w:val="24"/>
              </w:rPr>
              <w:t>i</w:t>
            </w:r>
            <w:r w:rsidRPr="00EF7F33">
              <w:rPr>
                <w:rFonts w:ascii="Times New Roman" w:hAnsi="Times New Roman"/>
                <w:sz w:val="24"/>
              </w:rPr>
              <w:t xml:space="preserve">niji 321. </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u w:val="single"/>
              </w:rPr>
              <w:t>Iskazivanje pozicija koje podliježu članku 336. stavku 3. CRR-a: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Postoji poseban tretman za obveznice koje ispunjavaju uvjete za ponder rizika od 10 % u knjizi pozicija kojima se ne trguje u skladu s člankom 129. stavkom 3. CRR-a (pokrivene obveznice). Specifični kapitalni zahtjevi su polovina su postotka druge kategorije u tablici 1. iz članka 336. CRR-a. Te pozicije moraju se rasporediti u retke 280 – 300 u skladu s preostalim rokom do konačnog do</w:t>
            </w:r>
            <w:r w:rsidRPr="00EF7F33">
              <w:rPr>
                <w:rFonts w:ascii="Times New Roman" w:hAnsi="Times New Roman"/>
                <w:sz w:val="24"/>
              </w:rPr>
              <w:t>s</w:t>
            </w:r>
            <w:r w:rsidRPr="00EF7F33">
              <w:rPr>
                <w:rFonts w:ascii="Times New Roman" w:hAnsi="Times New Roman"/>
                <w:sz w:val="24"/>
              </w:rPr>
              <w:t>pijeća.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Ako je opći rizik kamatnih pozicija zaštićen kreditnom izvedenicom, primj</w:t>
            </w:r>
            <w:r w:rsidRPr="00EF7F33">
              <w:rPr>
                <w:rFonts w:ascii="Times New Roman" w:hAnsi="Times New Roman"/>
                <w:sz w:val="24"/>
              </w:rPr>
              <w:t>e</w:t>
            </w:r>
            <w:r w:rsidRPr="00EF7F33">
              <w:rPr>
                <w:rFonts w:ascii="Times New Roman" w:hAnsi="Times New Roman"/>
                <w:sz w:val="24"/>
              </w:rPr>
              <w:t xml:space="preserve">njuju se članci 346. i 347.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Del="00F27BD6"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325</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 za sekuritizacijske instrumente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Ukupni kapitalni zahtjevi iskazani u stupcu 610 obrasca MKR SA SEC. Isk</w:t>
            </w:r>
            <w:r w:rsidRPr="00EF7F33">
              <w:rPr>
                <w:rFonts w:ascii="Times New Roman" w:hAnsi="Times New Roman"/>
                <w:sz w:val="24"/>
              </w:rPr>
              <w:t>a</w:t>
            </w:r>
            <w:r w:rsidRPr="00EF7F33">
              <w:rPr>
                <w:rFonts w:ascii="Times New Roman" w:hAnsi="Times New Roman"/>
                <w:sz w:val="24"/>
              </w:rPr>
              <w:t>zuje se samo razina obrasca s ukupnim podacima MKR SA TDI.</w:t>
            </w:r>
          </w:p>
          <w:p w:rsidR="00722A10" w:rsidRPr="00EF7F33"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Del="00F27BD6"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330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 za korelacijski portfelj namijenjen trgovanju</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Ukupni kapitalni zahtjevi iskazani u stupcu 450 obrasca MKR SA CTP. Isk</w:t>
            </w:r>
            <w:r w:rsidRPr="00EF7F33">
              <w:rPr>
                <w:rFonts w:ascii="Times New Roman" w:hAnsi="Times New Roman"/>
                <w:sz w:val="24"/>
              </w:rPr>
              <w:t>a</w:t>
            </w:r>
            <w:r w:rsidRPr="00EF7F33">
              <w:rPr>
                <w:rFonts w:ascii="Times New Roman" w:hAnsi="Times New Roman"/>
                <w:sz w:val="24"/>
              </w:rPr>
              <w:t>zuje se samo razina obrasca s ukupnim podacima MKR SA TDI.</w:t>
            </w:r>
          </w:p>
          <w:p w:rsidR="00722A10" w:rsidRPr="00EF7F33"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350-390</w:t>
            </w:r>
          </w:p>
        </w:tc>
        <w:tc>
          <w:tcPr>
            <w:tcW w:w="7875" w:type="dxa"/>
          </w:tcPr>
          <w:p w:rsidR="000B0B09" w:rsidRPr="00EF7F33" w:rsidRDefault="000B0B09" w:rsidP="000B0B09">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 xml:space="preserve">DODATNI ZAHTJEVI ZA OPCIJE (RIZICI OSIM DELTA-RIZIKA) </w:t>
            </w:r>
          </w:p>
          <w:p w:rsidR="000B0B09" w:rsidRPr="00EF7F33"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329. stavak 3. CRR-a</w:t>
            </w:r>
          </w:p>
          <w:p w:rsidR="000B0B09" w:rsidRPr="00EF7F33" w:rsidRDefault="000B0B09" w:rsidP="000B0B09">
            <w:pPr>
              <w:autoSpaceDE w:val="0"/>
              <w:autoSpaceDN w:val="0"/>
              <w:adjustRightInd w:val="0"/>
              <w:spacing w:before="0" w:after="0"/>
              <w:rPr>
                <w:rFonts w:ascii="Times New Roman" w:hAnsi="Times New Roman"/>
                <w:sz w:val="24"/>
              </w:rPr>
            </w:pPr>
          </w:p>
          <w:p w:rsidR="00D96E61"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Dodatni zahtjevi za opcije povezani s rizicima osim delta-rizika iskazuju se u </w:t>
            </w:r>
            <w:r w:rsidRPr="00EF7F33">
              <w:rPr>
                <w:rFonts w:ascii="Times New Roman" w:hAnsi="Times New Roman"/>
                <w:sz w:val="24"/>
              </w:rPr>
              <w:lastRenderedPageBreak/>
              <w:t>metodi koja se upotrebljava za njihov izračun.</w:t>
            </w:r>
          </w:p>
          <w:p w:rsidR="000B0B09" w:rsidRPr="00EF7F33" w:rsidRDefault="000B0B09" w:rsidP="00D96E61">
            <w:pPr>
              <w:autoSpaceDE w:val="0"/>
              <w:autoSpaceDN w:val="0"/>
              <w:adjustRightInd w:val="0"/>
              <w:spacing w:before="0" w:after="0"/>
              <w:rPr>
                <w:rFonts w:ascii="Times New Roman" w:hAnsi="Times New Roman"/>
                <w:bCs/>
                <w:sz w:val="24"/>
              </w:rPr>
            </w:pPr>
          </w:p>
        </w:tc>
      </w:tr>
    </w:tbl>
    <w:p w:rsidR="000B0B09" w:rsidRPr="00EF7F33" w:rsidRDefault="000B0B09" w:rsidP="000B0B09">
      <w:pPr>
        <w:autoSpaceDE w:val="0"/>
        <w:autoSpaceDN w:val="0"/>
        <w:adjustRightInd w:val="0"/>
        <w:spacing w:before="0" w:after="0"/>
        <w:rPr>
          <w:rFonts w:ascii="Times New Roman" w:hAnsi="Times New Roman"/>
          <w:bCs/>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3998178"/>
      <w:r w:rsidRPr="00EF7F33">
        <w:rPr>
          <w:rFonts w:ascii="Times New Roman" w:hAnsi="Times New Roman"/>
          <w:sz w:val="24"/>
          <w:u w:val="none"/>
        </w:rPr>
        <w:t>5.2.</w:t>
      </w:r>
      <w:r w:rsidRPr="00EF7F33">
        <w:tab/>
      </w:r>
      <w:r w:rsidRPr="00EF7F33">
        <w:rPr>
          <w:rFonts w:ascii="Times New Roman" w:hAnsi="Times New Roman"/>
          <w:sz w:val="24"/>
        </w:rPr>
        <w:t>C 19.00 – TRŽIŠNI RIZIK: STANDARDIZIRANI PRISTUP SPECIFIČNOM RIZ</w:t>
      </w:r>
      <w:r w:rsidRPr="00EF7F33">
        <w:rPr>
          <w:rFonts w:ascii="Times New Roman" w:hAnsi="Times New Roman"/>
          <w:sz w:val="24"/>
        </w:rPr>
        <w:t>I</w:t>
      </w:r>
      <w:r w:rsidRPr="00EF7F33">
        <w:rPr>
          <w:rFonts w:ascii="Times New Roman" w:hAnsi="Times New Roman"/>
          <w:sz w:val="24"/>
        </w:rPr>
        <w:t>KU U SEKURITIZACIJAMA (MKR SA SEC)</w:t>
      </w:r>
      <w:bookmarkEnd w:id="622"/>
      <w:bookmarkEnd w:id="623"/>
      <w:bookmarkEnd w:id="624"/>
      <w:bookmarkEnd w:id="625"/>
      <w:bookmarkEnd w:id="626"/>
      <w:bookmarkEnd w:id="627"/>
      <w:bookmarkEnd w:id="628"/>
      <w:bookmarkEnd w:id="629"/>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3998179"/>
      <w:r w:rsidRPr="00EF7F33">
        <w:rPr>
          <w:rFonts w:ascii="Times New Roman" w:hAnsi="Times New Roman"/>
          <w:sz w:val="24"/>
          <w:u w:val="none"/>
        </w:rPr>
        <w:t>5.2.1.</w:t>
      </w:r>
      <w:r w:rsidRPr="00EF7F33">
        <w:tab/>
      </w:r>
      <w:r w:rsidRPr="00EF7F33">
        <w:rPr>
          <w:rFonts w:ascii="Times New Roman" w:hAnsi="Times New Roman"/>
          <w:sz w:val="24"/>
        </w:rPr>
        <w:t>Opće napomene</w:t>
      </w:r>
      <w:bookmarkEnd w:id="630"/>
      <w:bookmarkEnd w:id="631"/>
      <w:bookmarkEnd w:id="632"/>
      <w:bookmarkEnd w:id="633"/>
      <w:bookmarkEnd w:id="634"/>
      <w:bookmarkEnd w:id="635"/>
      <w:bookmarkEnd w:id="636"/>
      <w:bookmarkEnd w:id="637"/>
    </w:p>
    <w:p w:rsidR="000B0B09" w:rsidRPr="00EF7F33" w:rsidRDefault="00125707" w:rsidP="00C37B29">
      <w:pPr>
        <w:pStyle w:val="InstructionsText2"/>
        <w:numPr>
          <w:ilvl w:val="0"/>
          <w:numId w:val="0"/>
        </w:numPr>
        <w:ind w:left="993"/>
      </w:pPr>
      <w:r w:rsidRPr="00EF7F33">
        <w:t>141.</w:t>
      </w:r>
      <w:r w:rsidRPr="00EF7F33">
        <w:tab/>
        <w:t>U ovom se obrascu zahtijevaju informacije o pozicijama (sve/neto i d</w:t>
      </w:r>
      <w:r w:rsidRPr="00EF7F33">
        <w:t>u</w:t>
      </w:r>
      <w:r w:rsidRPr="00EF7F33">
        <w:t>ge/kratke) i povezanim kapitalnim zahtjevima za komponentu specifičnog rizika u pozicijskom riziku u sekuritizacijama/resekuritizacijama koje se drže u knjizi trg</w:t>
      </w:r>
      <w:r w:rsidRPr="00EF7F33">
        <w:t>o</w:t>
      </w:r>
      <w:r w:rsidRPr="00EF7F33">
        <w:t>vanja (nisu priznate za korelacijski portfelj namijenjen trgovanju) u skladu sa sta</w:t>
      </w:r>
      <w:r w:rsidRPr="00EF7F33">
        <w:t>n</w:t>
      </w:r>
      <w:r w:rsidRPr="00EF7F33">
        <w:t>dardiziranim pristupom. Na referentne datume izvješćivanja koji slijede nakon 1. s</w:t>
      </w:r>
      <w:r w:rsidRPr="00EF7F33">
        <w:t>i</w:t>
      </w:r>
      <w:r w:rsidRPr="00EF7F33">
        <w:t>ječnja 2019. sekuritizacije koje se drže u knjizi trgovanja, čiji se kapitalni zahtjev za specifični rizik određuje na temelju CRR-a odnosno za koje se kapitalni zahtjev izračunava u skladu s revidiranim sekuritizacijskim okvirom, ne iskazuju se u ovom obrascu, već u obrascu C 02.00. Isto tako, na referentne datume izvješćivanja koji slijede nakon 1. siječnja 2019. sekuritizacijske pozicije, na koje se primjenjuje po</w:t>
      </w:r>
      <w:r w:rsidRPr="00EF7F33">
        <w:t>n</w:t>
      </w:r>
      <w:r w:rsidRPr="00EF7F33">
        <w:t>der rizika od 1250 % u skladu s CRR-om i koje se odbijaju od redovnog osnovnog kapitala u skladu s člankom 36. stavkom 1. točkom (k) podtočkom ii. CRR-a, ne i</w:t>
      </w:r>
      <w:r w:rsidRPr="00EF7F33">
        <w:t>s</w:t>
      </w:r>
      <w:r w:rsidRPr="00EF7F33">
        <w:t>kazuju se u ovom obrascu, već u obrascu C 01.00.</w:t>
      </w:r>
    </w:p>
    <w:p w:rsidR="00E50E79" w:rsidRPr="00EF7F33" w:rsidRDefault="00FF1422" w:rsidP="00C37B29">
      <w:pPr>
        <w:pStyle w:val="InstructionsText2"/>
        <w:numPr>
          <w:ilvl w:val="0"/>
          <w:numId w:val="0"/>
        </w:numPr>
        <w:ind w:left="993"/>
      </w:pPr>
      <w:r w:rsidRPr="00EF7F33">
        <w:t>141a. Za potrebe ovog obrasca sva upućivanja na članke iz dijela trećeg glave II. poglavlja 5. CRR-a i članak 337. CRR-a smatraju se upućivanjima na CRR u verziji primjenjivoj na dan 31. prosinca 2018.</w:t>
      </w:r>
    </w:p>
    <w:p w:rsidR="000B0B09" w:rsidRPr="00EF7F33" w:rsidRDefault="00125707" w:rsidP="00C37B29">
      <w:pPr>
        <w:pStyle w:val="InstructionsText2"/>
        <w:numPr>
          <w:ilvl w:val="0"/>
          <w:numId w:val="0"/>
        </w:numPr>
        <w:ind w:left="993"/>
      </w:pPr>
      <w:r w:rsidRPr="00EF7F33">
        <w:t>142.</w:t>
      </w:r>
      <w:r w:rsidRPr="00EF7F33">
        <w:tab/>
        <w:t>U obrascu MKR SA SEC određeni su kapitalni zahtjevi samo za specifični r</w:t>
      </w:r>
      <w:r w:rsidRPr="00EF7F33">
        <w:t>i</w:t>
      </w:r>
      <w:r w:rsidRPr="00EF7F33">
        <w:t>zik sekuritizacijskih pozicija u skladu s člankom 335. u vezi s člankom 337. CRR-a. Ako su sekuritizacijske pozicije iz knjige trgovanja zaštićene kreditnim izveden</w:t>
      </w:r>
      <w:r w:rsidRPr="00EF7F33">
        <w:t>i</w:t>
      </w:r>
      <w:r w:rsidRPr="00EF7F33">
        <w:t>cama, primjenjuju se članci 346. i 347. CRR-a. Postoji samo jedan obrazac za sve pozicije iz knjige trgovanja, bez obzira na činjenicu upotrebljava li institucija sta</w:t>
      </w:r>
      <w:r w:rsidRPr="00EF7F33">
        <w:t>n</w:t>
      </w:r>
      <w:r w:rsidRPr="00EF7F33">
        <w:t>dardizirani pristup ili pristup zasnovan na internim rejting-sustavima za određivanje pondera rizika za svaku poziciju u skladu s dijelom trećim glavom II. poglavljem 5. CRR-a. Kapitalni zahtjevi za opći rizik tih pozicija iskazuju se u obrascima MKR SA TDI i MKR IM.</w:t>
      </w:r>
    </w:p>
    <w:p w:rsidR="00606885" w:rsidRPr="00EF7F33" w:rsidRDefault="00125707" w:rsidP="00C37B29">
      <w:pPr>
        <w:pStyle w:val="InstructionsText2"/>
        <w:numPr>
          <w:ilvl w:val="0"/>
          <w:numId w:val="0"/>
        </w:numPr>
        <w:ind w:left="993"/>
      </w:pPr>
      <w:r w:rsidRPr="00EF7F33">
        <w:t>143.</w:t>
      </w:r>
      <w:r w:rsidRPr="00EF7F33">
        <w:tab/>
        <w:t>Pozicije koje dobivaju ponder rizika 1250 % mogu se, kao alternativa, odbiti od redovnog osnovnog kapitala (vidjeti članak 243. stavak 1. točku (b), članak 244. stavak 1. točku (b) i članak 258. CRR-a). Ako je to slučaj, navedene je pozicije po</w:t>
      </w:r>
      <w:r w:rsidRPr="00EF7F33">
        <w:t>t</w:t>
      </w:r>
      <w:r w:rsidRPr="00EF7F33">
        <w:t>rebno iskazati u retku 460 obrasca CA1.</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3998180"/>
      <w:r w:rsidRPr="00EF7F33">
        <w:rPr>
          <w:rFonts w:ascii="Times New Roman" w:hAnsi="Times New Roman"/>
          <w:sz w:val="24"/>
          <w:u w:val="none"/>
        </w:rPr>
        <w:t>5.2.2.</w:t>
      </w:r>
      <w:r w:rsidRPr="00EF7F33">
        <w:tab/>
      </w:r>
      <w:r w:rsidRPr="00EF7F33">
        <w:rPr>
          <w:rFonts w:ascii="Times New Roman" w:hAnsi="Times New Roman"/>
          <w:sz w:val="24"/>
        </w:rPr>
        <w:t>Upute za specifične pozicije</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F7F33" w:rsidTr="00672D2A">
        <w:trPr>
          <w:trHeight w:val="631"/>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010-020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102. i članak 105. stavak 1. CRR-a u vezi s člankom 337. CRR-a (sek</w:t>
            </w:r>
            <w:r w:rsidRPr="00EF7F33">
              <w:rPr>
                <w:rStyle w:val="InstructionsTabelleText"/>
                <w:rFonts w:ascii="Times New Roman" w:hAnsi="Times New Roman"/>
                <w:sz w:val="24"/>
              </w:rPr>
              <w:t>u</w:t>
            </w:r>
            <w:r w:rsidRPr="00EF7F33">
              <w:rPr>
                <w:rStyle w:val="InstructionsTabelleText"/>
                <w:rFonts w:ascii="Times New Roman" w:hAnsi="Times New Roman"/>
                <w:sz w:val="24"/>
              </w:rPr>
              <w:t>ritizacijske pozicije). Za razliku između dugih i kratkih pozicija, koja se pri</w:t>
            </w:r>
            <w:r w:rsidRPr="00EF7F33">
              <w:rPr>
                <w:rStyle w:val="InstructionsTabelleText"/>
                <w:rFonts w:ascii="Times New Roman" w:hAnsi="Times New Roman"/>
                <w:sz w:val="24"/>
              </w:rPr>
              <w:t>m</w:t>
            </w:r>
            <w:r w:rsidRPr="00EF7F33">
              <w:rPr>
                <w:rStyle w:val="InstructionsTabelleText"/>
                <w:rFonts w:ascii="Times New Roman" w:hAnsi="Times New Roman"/>
                <w:sz w:val="24"/>
              </w:rPr>
              <w:t xml:space="preserve">jenjuje i na te bruto pozicije, vidjeti članak 328. stavak 2. CRR-a.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030-040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 POZICIJE KOJE ČINE ODBITNU STAVKU OD REGULATO</w:t>
            </w:r>
            <w:r w:rsidRPr="00EF7F33">
              <w:rPr>
                <w:rStyle w:val="InstructionsTabelleberschrift"/>
                <w:rFonts w:ascii="Times New Roman" w:hAnsi="Times New Roman"/>
                <w:sz w:val="24"/>
              </w:rPr>
              <w:t>R</w:t>
            </w:r>
            <w:r w:rsidRPr="00EF7F33">
              <w:rPr>
                <w:rStyle w:val="InstructionsTabelleberschrift"/>
                <w:rFonts w:ascii="Times New Roman" w:hAnsi="Times New Roman"/>
                <w:sz w:val="24"/>
              </w:rPr>
              <w:t>NOG KAPITALA (DUGE I KRATKE)</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258. CRR-a.</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050-060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NETO POZICIJE </w:t>
            </w:r>
            <w:r w:rsidRPr="00EF7F33">
              <w:rPr>
                <w:rFonts w:ascii="Times New Roman" w:hAnsi="Times New Roman"/>
                <w:b/>
                <w:sz w:val="24"/>
                <w:u w:val="single"/>
              </w:rPr>
              <w:t xml:space="preserve"> (DUGE I KRATKE)</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Članci od 327. do 329. i članak 334. CRR-a. Za razliku između dugih i kratkih pozicija vidjeti članak 328. stavak 2. CRR-a.</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070-520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RAŠČLAMBA NETO POZICIJA PREMA PONDERIMA RIZIKA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251. (tablica 1.) i članak 261. stavak 1. (tablica 4.) CRR-a. Duge i kra</w:t>
            </w:r>
            <w:r w:rsidRPr="00EF7F33">
              <w:rPr>
                <w:rStyle w:val="InstructionsTabelleText"/>
                <w:rFonts w:ascii="Times New Roman" w:hAnsi="Times New Roman"/>
                <w:sz w:val="24"/>
              </w:rPr>
              <w:t>t</w:t>
            </w:r>
            <w:r w:rsidRPr="00EF7F33">
              <w:rPr>
                <w:rStyle w:val="InstructionsTabelleText"/>
                <w:rFonts w:ascii="Times New Roman" w:hAnsi="Times New Roman"/>
                <w:sz w:val="24"/>
              </w:rPr>
              <w:t>ke pozicije moraju se raščlaniti zasebno.</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230-240 i 460-470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1250 %</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251. (tablica 1.) i članak 261. stavak 1. (tablica 4.) CRR-a.</w:t>
            </w:r>
          </w:p>
        </w:tc>
      </w:tr>
      <w:tr w:rsidR="000B0B09" w:rsidRPr="00EF7F33" w:rsidTr="00672D2A">
        <w:trPr>
          <w:trHeight w:val="1706"/>
        </w:trPr>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250-260 i 480-490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Default="000B0B09" w:rsidP="000B0B09">
            <w:pPr>
              <w:autoSpaceDE w:val="0"/>
              <w:autoSpaceDN w:val="0"/>
              <w:adjustRightInd w:val="0"/>
              <w:spacing w:before="0" w:after="0"/>
              <w:rPr>
                <w:rStyle w:val="InstructionsTabelleberschrift"/>
                <w:rFonts w:ascii="Times New Roman" w:hAnsi="Times New Roman"/>
                <w:sz w:val="24"/>
              </w:rPr>
            </w:pPr>
            <w:r w:rsidRPr="00EF7F33">
              <w:rPr>
                <w:rStyle w:val="InstructionsTabelleberschrift"/>
                <w:rFonts w:ascii="Times New Roman" w:hAnsi="Times New Roman"/>
                <w:sz w:val="24"/>
              </w:rPr>
              <w:t>METODA NADZORNE FORMULE</w:t>
            </w:r>
          </w:p>
          <w:p w:rsidR="008E48D1" w:rsidRPr="00EF7F33" w:rsidRDefault="008E48D1" w:rsidP="000B0B09">
            <w:pPr>
              <w:autoSpaceDE w:val="0"/>
              <w:autoSpaceDN w:val="0"/>
              <w:adjustRightInd w:val="0"/>
              <w:spacing w:before="0" w:after="0"/>
              <w:rPr>
                <w:rStyle w:val="InstructionsTabelleberschrift"/>
                <w:rFonts w:ascii="Times New Roman" w:hAnsi="Times New Roman"/>
                <w:sz w:val="24"/>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 xml:space="preserve">Članak 337. stavak 2. CRR-a u vezi s člankom 262. CRR-a. </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Ovi se stupci iskazuju ako institucija upotrebljava alternativnu metodu nadzo</w:t>
            </w:r>
            <w:r w:rsidRPr="00EF7F33">
              <w:rPr>
                <w:rStyle w:val="InstructionsTabelleText"/>
                <w:rFonts w:ascii="Times New Roman" w:hAnsi="Times New Roman"/>
                <w:sz w:val="24"/>
              </w:rPr>
              <w:t>r</w:t>
            </w:r>
            <w:r w:rsidRPr="00EF7F33">
              <w:rPr>
                <w:rStyle w:val="InstructionsTabelleText"/>
                <w:rFonts w:ascii="Times New Roman" w:hAnsi="Times New Roman"/>
                <w:sz w:val="24"/>
              </w:rPr>
              <w:t xml:space="preserve">ne formule kojom su kapitalni zahtjevi određeni kao funkcija karakteristika skupa kolaterala i ugovornih svojstava tranše. </w:t>
            </w:r>
          </w:p>
          <w:p w:rsidR="000B0B09" w:rsidRPr="00EF7F33" w:rsidRDefault="000B0B09" w:rsidP="000B0B09">
            <w:pPr>
              <w:autoSpaceDE w:val="0"/>
              <w:autoSpaceDN w:val="0"/>
              <w:adjustRightInd w:val="0"/>
              <w:spacing w:before="0" w:after="0"/>
              <w:rPr>
                <w:rFonts w:ascii="Times New Roman" w:hAnsi="Times New Roman"/>
                <w:bCs/>
                <w:sz w:val="24"/>
                <w:u w:val="single"/>
              </w:rPr>
            </w:pPr>
          </w:p>
        </w:tc>
      </w:tr>
      <w:tr w:rsidR="000B0B09" w:rsidRPr="00EF7F33" w:rsidTr="00672D2A">
        <w:trPr>
          <w:trHeight w:val="2254"/>
        </w:trPr>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270 i 500</w:t>
            </w:r>
          </w:p>
        </w:tc>
        <w:tc>
          <w:tcPr>
            <w:tcW w:w="7874" w:type="dxa"/>
          </w:tcPr>
          <w:p w:rsidR="000B0B09" w:rsidRDefault="000B0B09" w:rsidP="000B0B09">
            <w:pPr>
              <w:autoSpaceDE w:val="0"/>
              <w:autoSpaceDN w:val="0"/>
              <w:adjustRightInd w:val="0"/>
              <w:spacing w:before="0" w:after="0"/>
              <w:rPr>
                <w:rFonts w:ascii="Times New Roman" w:hAnsi="Times New Roman"/>
                <w:b/>
                <w:sz w:val="24"/>
                <w:u w:val="single"/>
              </w:rPr>
            </w:pPr>
            <w:r w:rsidRPr="00EF7F33">
              <w:rPr>
                <w:rFonts w:ascii="Times New Roman" w:hAnsi="Times New Roman"/>
                <w:b/>
                <w:sz w:val="24"/>
                <w:u w:val="single"/>
              </w:rPr>
              <w:t>ODNOSNE IZLOŽENOSTI</w:t>
            </w:r>
          </w:p>
          <w:p w:rsidR="008E48D1" w:rsidRPr="00EF7F33" w:rsidRDefault="008E48D1"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STANDARDIZIRANI PRISTUP: Članak 253., članak 254. i članak 256. st</w:t>
            </w:r>
            <w:r w:rsidRPr="00EF7F33">
              <w:rPr>
                <w:rStyle w:val="InstructionsTabelleText"/>
                <w:rFonts w:ascii="Times New Roman" w:hAnsi="Times New Roman"/>
                <w:sz w:val="24"/>
              </w:rPr>
              <w:t>a</w:t>
            </w:r>
            <w:r w:rsidRPr="00EF7F33">
              <w:rPr>
                <w:rStyle w:val="InstructionsTabelleText"/>
                <w:rFonts w:ascii="Times New Roman" w:hAnsi="Times New Roman"/>
                <w:sz w:val="24"/>
              </w:rPr>
              <w:t>vak 5. CRR-a. Stupci za odnosne izloženosti sadržavaju sve slučajeve izlož</w:t>
            </w:r>
            <w:r w:rsidRPr="00EF7F33">
              <w:rPr>
                <w:rStyle w:val="InstructionsTabelleText"/>
                <w:rFonts w:ascii="Times New Roman" w:hAnsi="Times New Roman"/>
                <w:sz w:val="24"/>
              </w:rPr>
              <w:t>e</w:t>
            </w:r>
            <w:r w:rsidRPr="00EF7F33">
              <w:rPr>
                <w:rStyle w:val="InstructionsTabelleText"/>
                <w:rFonts w:ascii="Times New Roman" w:hAnsi="Times New Roman"/>
                <w:sz w:val="24"/>
              </w:rPr>
              <w:t>nosti bez rejtinga ako je ponder rizika dobiven iz odnosnog portfelja izloženosti (prosječni ponder rizika skupa izloženosti, najveći ponder rizika skupa izlož</w:t>
            </w:r>
            <w:r w:rsidRPr="00EF7F33">
              <w:rPr>
                <w:rStyle w:val="InstructionsTabelleText"/>
                <w:rFonts w:ascii="Times New Roman" w:hAnsi="Times New Roman"/>
                <w:sz w:val="24"/>
              </w:rPr>
              <w:t>e</w:t>
            </w:r>
            <w:r w:rsidRPr="00EF7F33">
              <w:rPr>
                <w:rStyle w:val="InstructionsTabelleText"/>
                <w:rFonts w:ascii="Times New Roman" w:hAnsi="Times New Roman"/>
                <w:sz w:val="24"/>
              </w:rPr>
              <w:t>nosti ili upotreba koncentracijskog omjera).</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Text"/>
                <w:rFonts w:ascii="Times New Roman" w:hAnsi="Times New Roman"/>
                <w:sz w:val="24"/>
              </w:rPr>
              <w:t>IRB PRISTUP: Članak 263. stavci 2. i 3. CRR-a. Za prijevremene isplate vi</w:t>
            </w:r>
            <w:r w:rsidRPr="00EF7F33">
              <w:rPr>
                <w:rStyle w:val="InstructionsTabelleText"/>
                <w:rFonts w:ascii="Times New Roman" w:hAnsi="Times New Roman"/>
                <w:sz w:val="24"/>
              </w:rPr>
              <w:t>d</w:t>
            </w:r>
            <w:r w:rsidRPr="00EF7F33">
              <w:rPr>
                <w:rStyle w:val="InstructionsTabelleText"/>
                <w:rFonts w:ascii="Times New Roman" w:hAnsi="Times New Roman"/>
                <w:sz w:val="24"/>
              </w:rPr>
              <w:t>jeti članak 265. stavak 1. i članak 256. stavak 5. CRR-a.</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280-290 / 510-520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PRISTUP INTERNE PROCJENE</w:t>
            </w:r>
          </w:p>
          <w:p w:rsidR="000B0B09" w:rsidRPr="00EF7F33" w:rsidRDefault="000B0B09" w:rsidP="000B0B09">
            <w:pPr>
              <w:autoSpaceDE w:val="0"/>
              <w:autoSpaceDN w:val="0"/>
              <w:adjustRightInd w:val="0"/>
              <w:jc w:val="left"/>
              <w:rPr>
                <w:rStyle w:val="InstructionsTabelleText"/>
                <w:rFonts w:ascii="Times New Roman" w:hAnsi="Times New Roman"/>
                <w:sz w:val="24"/>
              </w:rPr>
            </w:pPr>
            <w:r w:rsidRPr="00EF7F33">
              <w:rPr>
                <w:rStyle w:val="InstructionsTabelleText"/>
                <w:rFonts w:ascii="Times New Roman" w:hAnsi="Times New Roman"/>
                <w:sz w:val="24"/>
              </w:rPr>
              <w:t>Članak 109. stavak 1. rečenica 2. i članak 259. stavci 3. i 4. CRR-a.</w:t>
            </w:r>
          </w:p>
          <w:p w:rsidR="000B0B09" w:rsidRPr="00EF7F33" w:rsidRDefault="000B0B09" w:rsidP="000B0B09">
            <w:pPr>
              <w:autoSpaceDE w:val="0"/>
              <w:autoSpaceDN w:val="0"/>
              <w:adjustRightInd w:val="0"/>
              <w:jc w:val="left"/>
              <w:rPr>
                <w:rFonts w:ascii="Times New Roman" w:hAnsi="Times New Roman"/>
                <w:bCs/>
                <w:sz w:val="24"/>
                <w:u w:val="single"/>
              </w:rPr>
            </w:pPr>
            <w:r w:rsidRPr="00EF7F33">
              <w:rPr>
                <w:rStyle w:val="InstructionsTabelleText"/>
                <w:rFonts w:ascii="Times New Roman" w:hAnsi="Times New Roman"/>
                <w:sz w:val="24"/>
              </w:rPr>
              <w:t>Ovi se stupci iskazuju ako institucija upotrebljava pristup interne procjene za određivanje kapitalnih zahtjeva za likvidnosne linije i kreditne zahtjeve koje banke (uključujući banke treće strane) odobravaju ABCP jedinicama. Pristup interne procjene, temeljen na metodologijama VIPKR-a, primjenjuje se samo na izloženosti prema ABCP jedinicama koje na početku imaju interni rejting jednak investicijskom rangu.</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530-540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UČINAK (USKLAĐENJE) ZBOG KRŠENJA ODREDABA O DUBINSKOJ ANALIZI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104A65">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337. stavak 3. CRR-a u vezi s člankom 407. CRR-a. Članak 14. stavak 2. CRR-a</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550-</w:t>
            </w:r>
            <w:r w:rsidRPr="00EF7F33">
              <w:rPr>
                <w:rFonts w:ascii="Times New Roman" w:hAnsi="Times New Roman"/>
                <w:sz w:val="24"/>
              </w:rPr>
              <w:lastRenderedPageBreak/>
              <w:t>570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lastRenderedPageBreak/>
              <w:t>PRIJE PRIMJENE GORNJE GRANICE – PONDERIRANE NETO D</w:t>
            </w:r>
            <w:r w:rsidRPr="00EF7F33">
              <w:rPr>
                <w:rFonts w:ascii="Times New Roman" w:hAnsi="Times New Roman"/>
                <w:b/>
                <w:sz w:val="24"/>
                <w:u w:val="single"/>
              </w:rPr>
              <w:t>U</w:t>
            </w:r>
            <w:r w:rsidRPr="00EF7F33">
              <w:rPr>
                <w:rFonts w:ascii="Times New Roman" w:hAnsi="Times New Roman"/>
                <w:b/>
                <w:sz w:val="24"/>
                <w:u w:val="single"/>
              </w:rPr>
              <w:lastRenderedPageBreak/>
              <w:t>GE/KRATKE POZICIJE I ZBROJ PONDERIRANIH NETO DUGIH I KRATKIH POZICIJA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Članak 337. CRR-a, ne uzimajući u obzir diskrecijsko pravo iz članka 335. CRR-a kojim se instituciji omogućava ograničenje proizvoda pondera i neto pozicije na najveći mogući iznos gubitka povezan s rizikom nastanka statusa neispunjavanja obveza</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580-600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NAKON PRIMJENE GORNJE GRANICE – PONDERIRANE NETO DUGE/KRATKE POZICIJE I ZBROJ PONDERIRANIH NETO DUGIH I KRATKIH POZICIJA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Članak 337. CRR-a, uzimajući u obzir diskrecijsko pravo iz članka 335. CRR-a.</w:t>
            </w:r>
          </w:p>
        </w:tc>
      </w:tr>
      <w:tr w:rsidR="000B0B09" w:rsidRPr="00EF7F33" w:rsidTr="00672D2A">
        <w:trPr>
          <w:trHeight w:val="416"/>
        </w:trPr>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610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UKUPNI KAPITALNI ZAHTJEVI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U skladu s člankom 337. stavkom 4. CRR-a, tijekom prijelaznog razdoblja koje završava 31. prosinca 2014., institucija odvojeno zbraja svoje ponderirane neto duge pozicije (stupac 580) i svoje ponderirane neto kratke pozicije (stupac 590). Veći od navedena dva zbroja (nakon primjene gornje granice) predstavlja kapitalni zahtjev. U skladu s člankom 337. stavkom 4. CRR-a, od 2015. nadalje institucija zbraja svoje ponderirane neto pozicije, neovisno o tome jesu li duge ili kratke (stupac 600) kako bi izračunala kapitalne zahtjeve.</w:t>
            </w:r>
          </w:p>
        </w:tc>
      </w:tr>
    </w:tbl>
    <w:p w:rsidR="000B0B09" w:rsidRPr="00EF7F33"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EF7F33" w:rsidTr="00672D2A">
        <w:trPr>
          <w:trHeight w:val="537"/>
        </w:trPr>
        <w:tc>
          <w:tcPr>
            <w:tcW w:w="8862" w:type="dxa"/>
            <w:gridSpan w:val="2"/>
            <w:shd w:val="clear" w:color="auto" w:fill="BFBFBF"/>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w:t>
            </w:r>
          </w:p>
        </w:tc>
        <w:tc>
          <w:tcPr>
            <w:tcW w:w="7894" w:type="dxa"/>
          </w:tcPr>
          <w:p w:rsidR="000B0B09" w:rsidRPr="00EF7F33" w:rsidRDefault="000B0B09" w:rsidP="000B0B09">
            <w:pPr>
              <w:rPr>
                <w:rFonts w:ascii="Times New Roman" w:hAnsi="Times New Roman"/>
                <w:sz w:val="24"/>
              </w:rPr>
            </w:pPr>
            <w:r w:rsidRPr="00EF7F33">
              <w:rPr>
                <w:rStyle w:val="InstructionsTabelleberschrift"/>
                <w:rFonts w:ascii="Times New Roman" w:hAnsi="Times New Roman"/>
                <w:sz w:val="24"/>
              </w:rPr>
              <w:t>UKUPNE IZLOŽENOSTI</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Ukupan iznos preostalih sekuritizacija (koje se drže u knjizi trgovanja) koji i</w:t>
            </w:r>
            <w:r w:rsidRPr="00EF7F33">
              <w:rPr>
                <w:rFonts w:ascii="Times New Roman" w:hAnsi="Times New Roman"/>
                <w:sz w:val="24"/>
              </w:rPr>
              <w:t>s</w:t>
            </w:r>
            <w:r w:rsidRPr="00EF7F33">
              <w:rPr>
                <w:rFonts w:ascii="Times New Roman" w:hAnsi="Times New Roman"/>
                <w:sz w:val="24"/>
              </w:rPr>
              <w:t>kazuje institucija koja ima ulogu/uloge inicijatora i/ili investitora i/ili sponzora.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040,070 i</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SEKURITIZACIJE</w:t>
            </w:r>
          </w:p>
          <w:p w:rsidR="000B0B09" w:rsidRPr="00EF7F33" w:rsidRDefault="000B0B09" w:rsidP="00BB73C8">
            <w:pPr>
              <w:autoSpaceDE w:val="0"/>
              <w:autoSpaceDN w:val="0"/>
              <w:adjustRightInd w:val="0"/>
              <w:spacing w:before="0" w:after="0"/>
              <w:rPr>
                <w:rFonts w:ascii="Times New Roman" w:hAnsi="Times New Roman"/>
                <w:bCs/>
                <w:sz w:val="24"/>
              </w:rPr>
            </w:pPr>
            <w:r w:rsidRPr="00EF7F33">
              <w:rPr>
                <w:rFonts w:ascii="Times New Roman" w:hAnsi="Times New Roman"/>
                <w:sz w:val="24"/>
              </w:rPr>
              <w:t>Članak 4. točke 61. i 62. CRR-a.</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020,050,</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080 i 110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RESEKURITIZACIJE</w:t>
            </w:r>
          </w:p>
          <w:p w:rsidR="000B0B09" w:rsidRPr="00EF7F33" w:rsidRDefault="000B0B09" w:rsidP="00E871FE">
            <w:pPr>
              <w:autoSpaceDE w:val="0"/>
              <w:autoSpaceDN w:val="0"/>
              <w:adjustRightInd w:val="0"/>
              <w:spacing w:before="0" w:after="0"/>
              <w:rPr>
                <w:rFonts w:ascii="Times New Roman" w:hAnsi="Times New Roman"/>
                <w:bCs/>
                <w:sz w:val="24"/>
              </w:rPr>
            </w:pPr>
            <w:r w:rsidRPr="00EF7F33">
              <w:rPr>
                <w:rFonts w:ascii="Times New Roman" w:hAnsi="Times New Roman"/>
                <w:sz w:val="24"/>
              </w:rPr>
              <w:t>Članak 4. točka 63. CRR-a.</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030-050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INICIJATOR</w:t>
            </w:r>
          </w:p>
          <w:p w:rsidR="000B0B09" w:rsidRPr="00EF7F33" w:rsidRDefault="000B0B09" w:rsidP="00104A65">
            <w:pPr>
              <w:autoSpaceDE w:val="0"/>
              <w:autoSpaceDN w:val="0"/>
              <w:adjustRightInd w:val="0"/>
              <w:spacing w:before="0" w:after="0"/>
              <w:rPr>
                <w:rFonts w:ascii="Times New Roman" w:hAnsi="Times New Roman"/>
                <w:bCs/>
                <w:sz w:val="24"/>
              </w:rPr>
            </w:pPr>
            <w:r w:rsidRPr="00EF7F33">
              <w:rPr>
                <w:rFonts w:ascii="Times New Roman" w:hAnsi="Times New Roman"/>
                <w:sz w:val="24"/>
              </w:rPr>
              <w:t>Članak 4. točka 13. CRR-a</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060-080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INVESTITOR</w:t>
            </w:r>
          </w:p>
          <w:p w:rsidR="000B0B09" w:rsidRPr="00EF7F33" w:rsidRDefault="000B0B09"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Kreditna institucija koja drži sekuritizacijske pozicije u sekuritizacijskoj tra</w:t>
            </w:r>
            <w:r w:rsidRPr="00EF7F33">
              <w:rPr>
                <w:rFonts w:ascii="Times New Roman" w:hAnsi="Times New Roman"/>
                <w:sz w:val="24"/>
              </w:rPr>
              <w:t>n</w:t>
            </w:r>
            <w:r w:rsidRPr="00EF7F33">
              <w:rPr>
                <w:rFonts w:ascii="Times New Roman" w:hAnsi="Times New Roman"/>
                <w:sz w:val="24"/>
              </w:rPr>
              <w:t>sakciji u kojoj nije ni inicijator ni sponzor.</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090-110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SPONZOR</w:t>
            </w:r>
          </w:p>
          <w:p w:rsidR="000B0B09" w:rsidRPr="00EF7F33" w:rsidRDefault="000B0B09" w:rsidP="00E871FE">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Članak 4. točka 14. CRR-a. Ako sponzor i sekuritizira svoju imovinu, popunj</w:t>
            </w:r>
            <w:r w:rsidRPr="00EF7F33">
              <w:rPr>
                <w:rStyle w:val="InstructionsTabelleText"/>
                <w:rFonts w:ascii="Times New Roman" w:hAnsi="Times New Roman"/>
                <w:sz w:val="24"/>
              </w:rPr>
              <w:t>a</w:t>
            </w:r>
            <w:r w:rsidRPr="00EF7F33">
              <w:rPr>
                <w:rStyle w:val="InstructionsTabelleText"/>
                <w:rFonts w:ascii="Times New Roman" w:hAnsi="Times New Roman"/>
                <w:sz w:val="24"/>
              </w:rPr>
              <w:t>va retke za inicijatora informacijama o vlastitoj sekuritiziranoj imovini.</w:t>
            </w:r>
          </w:p>
        </w:tc>
      </w:tr>
      <w:tr w:rsidR="000B0B09" w:rsidRPr="00EF7F33" w:rsidTr="00672D2A">
        <w:tc>
          <w:tcPr>
            <w:tcW w:w="96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120-210</w:t>
            </w:r>
          </w:p>
        </w:tc>
        <w:tc>
          <w:tcPr>
            <w:tcW w:w="789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RAŠČLAMBA UKUPNOG ZBROJA PONDERIRANIH NETO DUGIH I NETO KRATKIH POZICIJA PREMA VRSTI ODNOSNE IMOVINE</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lastRenderedPageBreak/>
              <w:t>Članak 337. stavak 4. zadnja rečenica CRR-a.</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Raščlamba odnosne imovine u skladu je s klasifikacijom koja se upotrebljava u obrascu s detaljnijim podacima SEC (stupac „vrsta”):</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1-stambene nekretnine;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2-poslovne nekretnine;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3-potraživanja po kreditnim karticama;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4-najam;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5-krediti trgovačkim društvima ili MSP-ovima (koji se tretiraju kao t</w:t>
            </w:r>
            <w:r w:rsidRPr="00EF7F33">
              <w:rPr>
                <w:rStyle w:val="InstructionsTabelleText"/>
                <w:rFonts w:ascii="Times New Roman" w:hAnsi="Times New Roman"/>
                <w:sz w:val="24"/>
              </w:rPr>
              <w:t>r</w:t>
            </w:r>
            <w:r w:rsidRPr="00EF7F33">
              <w:rPr>
                <w:rStyle w:val="InstructionsTabelleText"/>
                <w:rFonts w:ascii="Times New Roman" w:hAnsi="Times New Roman"/>
                <w:sz w:val="24"/>
              </w:rPr>
              <w:t>govačka društva);</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6-potrošački krediti;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7-potraživanja od kupaca;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8-ostala imovina;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9-pokrivene obveznice; </w:t>
            </w:r>
          </w:p>
          <w:p w:rsidR="000B0B09" w:rsidRPr="00EF7F33"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EF7F33">
              <w:tab/>
            </w:r>
            <w:r w:rsidRPr="00EF7F33">
              <w:rPr>
                <w:rStyle w:val="InstructionsTabelleText"/>
                <w:rFonts w:ascii="Times New Roman" w:hAnsi="Times New Roman"/>
                <w:sz w:val="24"/>
              </w:rPr>
              <w:t xml:space="preserve">10-ostale obveze. </w:t>
            </w: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Text"/>
                <w:rFonts w:ascii="Times New Roman" w:hAnsi="Times New Roman"/>
                <w:sz w:val="24"/>
              </w:rPr>
              <w:t>Ako skup čine različite vrste imovine, za svaku sekuritizaciju institucija razm</w:t>
            </w:r>
            <w:r w:rsidRPr="00EF7F33">
              <w:rPr>
                <w:rStyle w:val="InstructionsTabelleText"/>
                <w:rFonts w:ascii="Times New Roman" w:hAnsi="Times New Roman"/>
                <w:sz w:val="24"/>
              </w:rPr>
              <w:t>a</w:t>
            </w:r>
            <w:r w:rsidRPr="00EF7F33">
              <w:rPr>
                <w:rStyle w:val="InstructionsTabelleText"/>
                <w:rFonts w:ascii="Times New Roman" w:hAnsi="Times New Roman"/>
                <w:sz w:val="24"/>
              </w:rPr>
              <w:t>tra najvažniju vrstu.</w:t>
            </w:r>
          </w:p>
        </w:tc>
      </w:tr>
    </w:tbl>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998181"/>
      <w:r w:rsidRPr="00EF7F33">
        <w:rPr>
          <w:rFonts w:ascii="Times New Roman" w:hAnsi="Times New Roman"/>
          <w:sz w:val="24"/>
          <w:u w:val="none"/>
        </w:rPr>
        <w:t>5.3.</w:t>
      </w:r>
      <w:r w:rsidRPr="00EF7F33">
        <w:tab/>
      </w:r>
      <w:r w:rsidRPr="00EF7F33">
        <w:rPr>
          <w:rFonts w:ascii="Times New Roman" w:hAnsi="Times New Roman"/>
          <w:sz w:val="24"/>
        </w:rPr>
        <w:t>C 20.00 – TRŽIŠNI RIZIK: STANDARDIZIRANI PRISTUP SPECIFIČNOM RIZ</w:t>
      </w:r>
      <w:r w:rsidRPr="00EF7F33">
        <w:rPr>
          <w:rFonts w:ascii="Times New Roman" w:hAnsi="Times New Roman"/>
          <w:sz w:val="24"/>
        </w:rPr>
        <w:t>I</w:t>
      </w:r>
      <w:r w:rsidRPr="00EF7F33">
        <w:rPr>
          <w:rFonts w:ascii="Times New Roman" w:hAnsi="Times New Roman"/>
          <w:sz w:val="24"/>
        </w:rPr>
        <w:t>KU ZA POZICIJE RASPOREĐENE U KORELACIJSKI PORTFELJ NAMIJENJEN TRGOVANJU (MKR SA CTP</w:t>
      </w:r>
      <w:bookmarkEnd w:id="646"/>
      <w:bookmarkEnd w:id="647"/>
      <w:bookmarkEnd w:id="648"/>
      <w:bookmarkEnd w:id="649"/>
      <w:r w:rsidRPr="00EF7F33">
        <w:rPr>
          <w:rFonts w:ascii="Times New Roman" w:hAnsi="Times New Roman"/>
          <w:sz w:val="24"/>
        </w:rPr>
        <w:t>)</w:t>
      </w:r>
      <w:bookmarkEnd w:id="650"/>
      <w:bookmarkEnd w:id="651"/>
      <w:bookmarkEnd w:id="652"/>
      <w:bookmarkEnd w:id="653"/>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998182"/>
      <w:r w:rsidRPr="00EF7F33">
        <w:rPr>
          <w:rFonts w:ascii="Times New Roman" w:hAnsi="Times New Roman"/>
          <w:sz w:val="24"/>
          <w:u w:val="none"/>
        </w:rPr>
        <w:t>5.3.1.</w:t>
      </w:r>
      <w:r w:rsidRPr="00EF7F33">
        <w:tab/>
      </w:r>
      <w:r w:rsidRPr="00EF7F33">
        <w:rPr>
          <w:rFonts w:ascii="Times New Roman" w:hAnsi="Times New Roman"/>
          <w:sz w:val="24"/>
        </w:rPr>
        <w:t>Opće napomene</w:t>
      </w:r>
      <w:bookmarkEnd w:id="654"/>
      <w:bookmarkEnd w:id="655"/>
      <w:bookmarkEnd w:id="656"/>
      <w:bookmarkEnd w:id="657"/>
      <w:bookmarkEnd w:id="658"/>
      <w:bookmarkEnd w:id="659"/>
      <w:bookmarkEnd w:id="660"/>
      <w:bookmarkEnd w:id="661"/>
    </w:p>
    <w:p w:rsidR="000B0B09" w:rsidRPr="00EF7F33" w:rsidRDefault="00125707" w:rsidP="001A3980">
      <w:pPr>
        <w:pStyle w:val="InstructionsText2"/>
        <w:numPr>
          <w:ilvl w:val="0"/>
          <w:numId w:val="0"/>
        </w:numPr>
        <w:ind w:left="993"/>
      </w:pPr>
      <w:r w:rsidRPr="00EF7F33">
        <w:t>144.</w:t>
      </w:r>
      <w:r w:rsidRPr="00EF7F33">
        <w:tab/>
        <w:t>U ovom su obrascu potrebne informacije o pozicijama korelacijskog portfelja namijenjenog trgovanju (koje čine sekuritizacije, kreditne izvedenice na osnovi n-tog nastanka statusa neispunjavanja obveza i ostale pozicije korelacijskog portfelja namijenjenog trgovanju uključene u skladu s člankom 338. stavkom 3.) i odgovar</w:t>
      </w:r>
      <w:r w:rsidRPr="00EF7F33">
        <w:t>a</w:t>
      </w:r>
      <w:r w:rsidRPr="00EF7F33">
        <w:t>jućim kapitalnim zahtjevima u skladu sa standardiziranim pristupom.</w:t>
      </w:r>
    </w:p>
    <w:p w:rsidR="000B0B09" w:rsidRPr="00EF7F33" w:rsidRDefault="00125707" w:rsidP="001A3980">
      <w:pPr>
        <w:pStyle w:val="InstructionsText2"/>
        <w:numPr>
          <w:ilvl w:val="0"/>
          <w:numId w:val="0"/>
        </w:numPr>
        <w:ind w:left="993"/>
      </w:pPr>
      <w:r w:rsidRPr="00EF7F33">
        <w:t>145.</w:t>
      </w:r>
      <w:r w:rsidRPr="00EF7F33">
        <w:tab/>
        <w:t>U obrascu MKR SA CTP određeni su kapitalni zahtjevi samo za specifični r</w:t>
      </w:r>
      <w:r w:rsidRPr="00EF7F33">
        <w:t>i</w:t>
      </w:r>
      <w:r w:rsidRPr="00EF7F33">
        <w:t>zik pozicija raspoređenih u korelacijski portfelj namijenjen trgovanju u skladu s člankom 335. u vezi s člankom 338. stavcima 2. i 3. CRR-a. Ako su pozicije kor</w:t>
      </w:r>
      <w:r w:rsidRPr="00EF7F33">
        <w:t>e</w:t>
      </w:r>
      <w:r w:rsidRPr="00EF7F33">
        <w:t>lacijskog portfelja namijenjenog trgovanju iz knjige trgovanja zaštićene kreditnim izvedenicama, primjenjuju se članci 346. i 347. CRR-a. Postoji samo jedan obrazac za sve pozicije korelacijskog portfelja namijenjenog trgovanju iz knjige trgovanja, bez obzira na činjenicu upotrebljava li institucija standardizirani pristup ili pristup zasnovan na internim rejting-sustavima za određivanje pondera rizika za svaku p</w:t>
      </w:r>
      <w:r w:rsidRPr="00EF7F33">
        <w:t>o</w:t>
      </w:r>
      <w:r w:rsidRPr="00EF7F33">
        <w:t>ziciju u skladu s dijelom trećim glavom II. poglavljem 5. CRR-a. Kapitalni zahtjevi za opći rizik tih pozicija iskazuju se u obrascima MKR SA TDI ili MKR IM.</w:t>
      </w:r>
    </w:p>
    <w:p w:rsidR="000B0B09" w:rsidRPr="00EF7F33" w:rsidRDefault="00125707" w:rsidP="001A3980">
      <w:pPr>
        <w:pStyle w:val="InstructionsText2"/>
        <w:numPr>
          <w:ilvl w:val="0"/>
          <w:numId w:val="0"/>
        </w:numPr>
        <w:ind w:left="993"/>
      </w:pPr>
      <w:r w:rsidRPr="00EF7F33">
        <w:t>146.</w:t>
      </w:r>
      <w:r w:rsidRPr="00EF7F33">
        <w:tab/>
        <w:t>Ovom su strukturom obrasca razdvojene sekuritizacijske pozicije, kreditne i</w:t>
      </w:r>
      <w:r w:rsidRPr="00EF7F33">
        <w:t>z</w:t>
      </w:r>
      <w:r w:rsidRPr="00EF7F33">
        <w:t>vedenice na osnovi n-tog nastanka statusa neispunjavanja obveza i ostale pozicije korelacijskog portfelja namijenjenog trgovanju. Kao rezultat toga, sekuritizacijske pozicije uvijek se iskazuju u redcima 030, 060 ili 090 (ovisno o ulozi institucije u sekuritizaciji). Kreditne izvedenice na osnovi n-tog nastanka statusa neispunjavanja obveza uvijek se iskazuju u liniji 110. „Ostale pozicije korelacijskog portfelja nam</w:t>
      </w:r>
      <w:r w:rsidRPr="00EF7F33">
        <w:t>i</w:t>
      </w:r>
      <w:r w:rsidRPr="00EF7F33">
        <w:t>jenjenog trgovanju” nisu ni sekuritizacijske poziciji ni kreditne izvedenice na osn</w:t>
      </w:r>
      <w:r w:rsidRPr="00EF7F33">
        <w:t>o</w:t>
      </w:r>
      <w:r w:rsidRPr="00EF7F33">
        <w:t xml:space="preserve">vi n-tog nastanka statusa neispunjavanja obveza (vidjeti definiciju u članku 338. stavku 3. CRR-a), nego su izričito „povezane” (radi zaštite) s jednom od te dvije </w:t>
      </w:r>
      <w:r w:rsidRPr="00EF7F33">
        <w:lastRenderedPageBreak/>
        <w:t>pozicije. Zbog toga su raspoređene ili pod stavku „sekuritizacija” ili pod stavku „kreditne izvedenice na osnovi n-tog nastanka statusa neispunjavanja obveza”.</w:t>
      </w:r>
    </w:p>
    <w:p w:rsidR="00606885" w:rsidRPr="00EF7F33" w:rsidRDefault="00125707" w:rsidP="001A3980">
      <w:pPr>
        <w:pStyle w:val="InstructionsText2"/>
        <w:numPr>
          <w:ilvl w:val="0"/>
          <w:numId w:val="0"/>
        </w:numPr>
        <w:ind w:left="993"/>
      </w:pPr>
      <w:r w:rsidRPr="00EF7F33">
        <w:t>147.</w:t>
      </w:r>
      <w:r w:rsidRPr="00EF7F33">
        <w:tab/>
        <w:t>Pozicije koje dobivaju ponder rizika 1250 % mogu se, kao alternativa, odbiti od redovnog osnovnog kapitala (vidjeti članak 243. stavak 1. točku (b), članak 244. stavak 1. točku (b) i članak 258. CRR-a). Ako je to slučaj, navedene je pozicije po</w:t>
      </w:r>
      <w:r w:rsidRPr="00EF7F33">
        <w:t>t</w:t>
      </w:r>
      <w:r w:rsidRPr="00EF7F33">
        <w:t>rebno iskazati u retku 460 obrasca CA1.</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998183"/>
      <w:r w:rsidRPr="00EF7F33">
        <w:rPr>
          <w:rFonts w:ascii="Times New Roman" w:hAnsi="Times New Roman"/>
          <w:sz w:val="24"/>
          <w:u w:val="none"/>
        </w:rPr>
        <w:t>5.3.2.</w:t>
      </w:r>
      <w:r w:rsidRPr="00EF7F33">
        <w:tab/>
      </w:r>
      <w:r w:rsidRPr="00EF7F33">
        <w:rPr>
          <w:rFonts w:ascii="Times New Roman" w:hAnsi="Times New Roman"/>
          <w:sz w:val="24"/>
        </w:rPr>
        <w:t>Upute za specifične pozicije</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F7F33" w:rsidTr="00672D2A">
        <w:trPr>
          <w:trHeight w:val="602"/>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010-020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SVE POZICIJE (DUGE I KRATKE)</w:t>
            </w:r>
          </w:p>
          <w:p w:rsidR="000B0B09" w:rsidRPr="00EF7F33" w:rsidRDefault="000B0B09" w:rsidP="000B0B09">
            <w:pPr>
              <w:rPr>
                <w:rFonts w:ascii="Times New Roman" w:hAnsi="Times New Roman"/>
                <w:sz w:val="24"/>
              </w:rPr>
            </w:pPr>
            <w:r w:rsidRPr="00EF7F33">
              <w:rPr>
                <w:rFonts w:ascii="Times New Roman" w:hAnsi="Times New Roman"/>
                <w:sz w:val="24"/>
              </w:rPr>
              <w:t>Članak 102. i članak 105. stavak 1. CRR-a u vezi s pozicijama koje su raspor</w:t>
            </w:r>
            <w:r w:rsidRPr="00EF7F33">
              <w:rPr>
                <w:rFonts w:ascii="Times New Roman" w:hAnsi="Times New Roman"/>
                <w:sz w:val="24"/>
              </w:rPr>
              <w:t>e</w:t>
            </w:r>
            <w:r w:rsidRPr="00EF7F33">
              <w:rPr>
                <w:rFonts w:ascii="Times New Roman" w:hAnsi="Times New Roman"/>
                <w:sz w:val="24"/>
              </w:rPr>
              <w:t>đene u korelacijski portfelj namijenjen trgovanju u skladu s člankom 338. sta</w:t>
            </w:r>
            <w:r w:rsidRPr="00EF7F33">
              <w:rPr>
                <w:rFonts w:ascii="Times New Roman" w:hAnsi="Times New Roman"/>
                <w:sz w:val="24"/>
              </w:rPr>
              <w:t>v</w:t>
            </w:r>
            <w:r w:rsidRPr="00EF7F33">
              <w:rPr>
                <w:rFonts w:ascii="Times New Roman" w:hAnsi="Times New Roman"/>
                <w:sz w:val="24"/>
              </w:rPr>
              <w:t>cima 2. i 3. CRR-a. Za razliku između dugih i kratkih pozicija, koja se primj</w:t>
            </w:r>
            <w:r w:rsidRPr="00EF7F33">
              <w:rPr>
                <w:rFonts w:ascii="Times New Roman" w:hAnsi="Times New Roman"/>
                <w:sz w:val="24"/>
              </w:rPr>
              <w:t>e</w:t>
            </w:r>
            <w:r w:rsidRPr="00EF7F33">
              <w:rPr>
                <w:rFonts w:ascii="Times New Roman" w:hAnsi="Times New Roman"/>
                <w:sz w:val="24"/>
              </w:rPr>
              <w:t>njuje i na te bruto pozicije, vidjeti članak 328. stavak 2. CRR-a.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030-040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 POZICIJE KOJE ČINE ODBITNU STAVKU OD REGULATO</w:t>
            </w:r>
            <w:r w:rsidRPr="00EF7F33">
              <w:rPr>
                <w:rStyle w:val="InstructionsTabelleberschrift"/>
                <w:rFonts w:ascii="Times New Roman" w:hAnsi="Times New Roman"/>
                <w:sz w:val="24"/>
              </w:rPr>
              <w:t>R</w:t>
            </w:r>
            <w:r w:rsidRPr="00EF7F33">
              <w:rPr>
                <w:rStyle w:val="InstructionsTabelleberschrift"/>
                <w:rFonts w:ascii="Times New Roman" w:hAnsi="Times New Roman"/>
                <w:sz w:val="24"/>
              </w:rPr>
              <w:t>NOG KAPITALA (DUGE I KRATKE)</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258. CRR-a. </w:t>
            </w: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050-060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NETO POZICIJE (DUGE I KRATKE)</w:t>
            </w:r>
          </w:p>
          <w:p w:rsidR="000B0B09" w:rsidRPr="00EF7F33" w:rsidRDefault="000B0B09" w:rsidP="000B0B09">
            <w:pPr>
              <w:rPr>
                <w:rFonts w:ascii="Times New Roman" w:hAnsi="Times New Roman"/>
                <w:sz w:val="24"/>
              </w:rPr>
            </w:pPr>
            <w:r w:rsidRPr="00EF7F33">
              <w:rPr>
                <w:rFonts w:ascii="Times New Roman" w:hAnsi="Times New Roman"/>
                <w:sz w:val="24"/>
              </w:rPr>
              <w:t>Članci od 327. do 329. i članak 334. CRR-a. Za razliku između dugih i kratkih pozicija vidjeti članak 328. stavak 2. CRR-a.</w:t>
            </w:r>
          </w:p>
          <w:p w:rsidR="000B0B09" w:rsidRPr="00EF7F33" w:rsidRDefault="000B0B09" w:rsidP="000B0B09">
            <w:pPr>
              <w:rPr>
                <w:rFonts w:ascii="Times New Roman" w:hAnsi="Times New Roman"/>
                <w:sz w:val="24"/>
              </w:rPr>
            </w:pPr>
          </w:p>
        </w:tc>
      </w:tr>
      <w:tr w:rsidR="000B0B09" w:rsidRPr="00EF7F33" w:rsidTr="00672D2A">
        <w:tc>
          <w:tcPr>
            <w:tcW w:w="988" w:type="dxa"/>
          </w:tcPr>
          <w:p w:rsidR="000B0B09" w:rsidRPr="00EF7F33" w:rsidRDefault="000B0B09" w:rsidP="000F70EC">
            <w:pPr>
              <w:autoSpaceDE w:val="0"/>
              <w:autoSpaceDN w:val="0"/>
              <w:adjustRightInd w:val="0"/>
              <w:spacing w:before="0" w:after="0"/>
              <w:rPr>
                <w:rFonts w:ascii="Times New Roman" w:hAnsi="Times New Roman"/>
                <w:sz w:val="24"/>
              </w:rPr>
            </w:pPr>
            <w:r w:rsidRPr="00EF7F33">
              <w:rPr>
                <w:rFonts w:ascii="Times New Roman" w:hAnsi="Times New Roman"/>
                <w:sz w:val="24"/>
              </w:rPr>
              <w:t>070-400</w:t>
            </w: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 xml:space="preserve">RAŠČLAMBA NETO POZICIJA PREMA PONDERIMA RIZIKA (STANDARDIZIRANI I IRB PRISTUP) </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251. (tablica 1.) i članak 261. stavak 1. (tablica 4.) CRR-a.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160 i 330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OSTALO</w:t>
            </w:r>
          </w:p>
          <w:p w:rsidR="000B0B09" w:rsidRPr="00EF7F33" w:rsidRDefault="000B0B09" w:rsidP="000B0B09">
            <w:pPr>
              <w:rPr>
                <w:rFonts w:ascii="Times New Roman" w:hAnsi="Times New Roman"/>
                <w:sz w:val="24"/>
              </w:rPr>
            </w:pPr>
            <w:r w:rsidRPr="00EF7F33">
              <w:rPr>
                <w:rFonts w:ascii="Times New Roman" w:hAnsi="Times New Roman"/>
                <w:sz w:val="24"/>
              </w:rPr>
              <w:t>Ostali ponderi rizika koji nisu izričito navedeni u prethodnim stupcima.</w:t>
            </w:r>
          </w:p>
          <w:p w:rsidR="000B0B09" w:rsidRPr="00EF7F33" w:rsidRDefault="000B0B09" w:rsidP="000B0B09">
            <w:pPr>
              <w:rPr>
                <w:rFonts w:ascii="Times New Roman" w:hAnsi="Times New Roman"/>
                <w:sz w:val="24"/>
              </w:rPr>
            </w:pPr>
            <w:r w:rsidRPr="00EF7F33">
              <w:rPr>
                <w:rFonts w:ascii="Times New Roman" w:hAnsi="Times New Roman"/>
                <w:sz w:val="24"/>
              </w:rPr>
              <w:t>Za kreditne izvedenice na osnovi n-tog nastanka statusa neispunjavanja obveza samo one kojima nije dodijeljen vanjski rejting. Kreditne izvedenice na osnovi n-tog nastanka statusa neispunjavanja obveza kojima je dodijeljen vanjski re</w:t>
            </w:r>
            <w:r w:rsidRPr="00EF7F33">
              <w:rPr>
                <w:rFonts w:ascii="Times New Roman" w:hAnsi="Times New Roman"/>
                <w:sz w:val="24"/>
              </w:rPr>
              <w:t>j</w:t>
            </w:r>
            <w:r w:rsidRPr="00EF7F33">
              <w:rPr>
                <w:rFonts w:ascii="Times New Roman" w:hAnsi="Times New Roman"/>
                <w:sz w:val="24"/>
              </w:rPr>
              <w:t>ting potrebno je iskazati u obrascu MKR SA TDI (redak 321) ili – ako su u</w:t>
            </w:r>
            <w:r w:rsidRPr="00EF7F33">
              <w:rPr>
                <w:rFonts w:ascii="Times New Roman" w:hAnsi="Times New Roman"/>
                <w:sz w:val="24"/>
              </w:rPr>
              <w:t>k</w:t>
            </w:r>
            <w:r w:rsidRPr="00EF7F33">
              <w:rPr>
                <w:rFonts w:ascii="Times New Roman" w:hAnsi="Times New Roman"/>
                <w:sz w:val="24"/>
              </w:rPr>
              <w:t xml:space="preserve">ljučene u korelacijski portfelj namijenjen trgovanju – raspoređuju se u stupac odgovarajućeg pondera rizika.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170-180 i 360-370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1250 %</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251. (tablica 1.) i članak 261. stavak 1. (tablica 4.) CRR-a.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lastRenderedPageBreak/>
              <w:t>190 -200 i 340 -350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METODA NADZORNE FORMULE</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337. stavak 2. CRR-a u vezi s člankom 262. CRR-a.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210 / 380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ODNOSNE IZLOŽENOSTI</w:t>
            </w:r>
          </w:p>
          <w:p w:rsidR="000B0B09" w:rsidRPr="00EF7F33" w:rsidRDefault="000B0B09" w:rsidP="000B0B09">
            <w:pPr>
              <w:rPr>
                <w:rFonts w:ascii="Times New Roman" w:hAnsi="Times New Roman"/>
                <w:sz w:val="24"/>
              </w:rPr>
            </w:pPr>
            <w:r w:rsidRPr="00EF7F33">
              <w:rPr>
                <w:rFonts w:ascii="Times New Roman" w:hAnsi="Times New Roman"/>
                <w:sz w:val="24"/>
              </w:rPr>
              <w:t>STANDARDIZIRANI PRISTUP: Članak 253., članak 254. i članak 256. st</w:t>
            </w:r>
            <w:r w:rsidRPr="00EF7F33">
              <w:rPr>
                <w:rFonts w:ascii="Times New Roman" w:hAnsi="Times New Roman"/>
                <w:sz w:val="24"/>
              </w:rPr>
              <w:t>a</w:t>
            </w:r>
            <w:r w:rsidRPr="00EF7F33">
              <w:rPr>
                <w:rFonts w:ascii="Times New Roman" w:hAnsi="Times New Roman"/>
                <w:sz w:val="24"/>
              </w:rPr>
              <w:t>vak 5. CRR-a. Stupci za odnosne izloženosti sadržavaju sve slučajeve izlož</w:t>
            </w:r>
            <w:r w:rsidRPr="00EF7F33">
              <w:rPr>
                <w:rFonts w:ascii="Times New Roman" w:hAnsi="Times New Roman"/>
                <w:sz w:val="24"/>
              </w:rPr>
              <w:t>e</w:t>
            </w:r>
            <w:r w:rsidRPr="00EF7F33">
              <w:rPr>
                <w:rFonts w:ascii="Times New Roman" w:hAnsi="Times New Roman"/>
                <w:sz w:val="24"/>
              </w:rPr>
              <w:t>nosti bez rejtinga ako je ponder rizika dobiven iz odnosnog portfelja izloženosti (prosječni ponder rizika skupa izloženosti, najveći ponder rizika skupa izlož</w:t>
            </w:r>
            <w:r w:rsidRPr="00EF7F33">
              <w:rPr>
                <w:rFonts w:ascii="Times New Roman" w:hAnsi="Times New Roman"/>
                <w:sz w:val="24"/>
              </w:rPr>
              <w:t>e</w:t>
            </w:r>
            <w:r w:rsidRPr="00EF7F33">
              <w:rPr>
                <w:rFonts w:ascii="Times New Roman" w:hAnsi="Times New Roman"/>
                <w:sz w:val="24"/>
              </w:rPr>
              <w:t>nosti ili upotreba koncentracijskog omjera).</w:t>
            </w:r>
          </w:p>
          <w:p w:rsidR="000B0B09" w:rsidRPr="00EF7F33" w:rsidRDefault="000B0B09" w:rsidP="000B0B09">
            <w:pPr>
              <w:rPr>
                <w:rFonts w:ascii="Times New Roman" w:hAnsi="Times New Roman"/>
                <w:sz w:val="24"/>
              </w:rPr>
            </w:pPr>
            <w:r w:rsidRPr="00EF7F33">
              <w:rPr>
                <w:rFonts w:ascii="Times New Roman" w:hAnsi="Times New Roman"/>
                <w:sz w:val="24"/>
              </w:rPr>
              <w:t>IRB PRISTUP: Članak 263. stavci 2. i 3. CRR-a. Za prijevremene isplate vi</w:t>
            </w:r>
            <w:r w:rsidRPr="00EF7F33">
              <w:rPr>
                <w:rFonts w:ascii="Times New Roman" w:hAnsi="Times New Roman"/>
                <w:sz w:val="24"/>
              </w:rPr>
              <w:t>d</w:t>
            </w:r>
            <w:r w:rsidRPr="00EF7F33">
              <w:rPr>
                <w:rFonts w:ascii="Times New Roman" w:hAnsi="Times New Roman"/>
                <w:sz w:val="24"/>
              </w:rPr>
              <w:t>jeti članak 265. stavak 1. i članak 256. stavak 5. CRR-a.</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220-230 i 390-400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PRISTUP INTERNE PROCJENE</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259. stavci 3. i 4. CRR-a.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410-420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PRIJE PRIMJENE GORNJE GRANICE – PONDERIRANE NETO D</w:t>
            </w:r>
            <w:r w:rsidRPr="00EF7F33">
              <w:rPr>
                <w:rStyle w:val="InstructionsTabelleberschrift"/>
                <w:rFonts w:ascii="Times New Roman" w:hAnsi="Times New Roman"/>
                <w:sz w:val="24"/>
              </w:rPr>
              <w:t>U</w:t>
            </w:r>
            <w:r w:rsidRPr="00EF7F33">
              <w:rPr>
                <w:rStyle w:val="InstructionsTabelleberschrift"/>
                <w:rFonts w:ascii="Times New Roman" w:hAnsi="Times New Roman"/>
                <w:sz w:val="24"/>
              </w:rPr>
              <w:t>GE/KRATKE POZICIJE</w:t>
            </w:r>
          </w:p>
          <w:p w:rsidR="000B0B09" w:rsidRPr="00EF7F33" w:rsidRDefault="000B0B09" w:rsidP="000B0B09">
            <w:pPr>
              <w:rPr>
                <w:rFonts w:ascii="Times New Roman" w:hAnsi="Times New Roman"/>
                <w:sz w:val="24"/>
              </w:rPr>
            </w:pPr>
            <w:r w:rsidRPr="00EF7F33">
              <w:rPr>
                <w:rFonts w:ascii="Times New Roman" w:hAnsi="Times New Roman"/>
                <w:sz w:val="24"/>
              </w:rPr>
              <w:t>Članak 338. CRR-a, ne uzimajući u obzir diskrecijsko pravo iz članka 335. CRR-a</w:t>
            </w:r>
          </w:p>
          <w:p w:rsidR="000B0B09" w:rsidRPr="00EF7F33" w:rsidRDefault="000B0B09" w:rsidP="000B0B09">
            <w:pPr>
              <w:rPr>
                <w:rFonts w:ascii="Times New Roman" w:hAnsi="Times New Roman"/>
                <w:sz w:val="24"/>
              </w:rPr>
            </w:pP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430-440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NAKON PRIMJENE GORNJE GRANICE – PONDERIRANE NETO DUGE/KRATKE POZICIJE</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338. CRR-a, uzimajući u obzir diskrecijsko pravo iz članka 335. CRR-a </w:t>
            </w:r>
          </w:p>
        </w:tc>
      </w:tr>
      <w:tr w:rsidR="000B0B09" w:rsidRPr="00EF7F33" w:rsidTr="00672D2A">
        <w:tc>
          <w:tcPr>
            <w:tcW w:w="988" w:type="dxa"/>
          </w:tcPr>
          <w:p w:rsidR="000B0B09" w:rsidRPr="00EF7F33" w:rsidRDefault="000B0B09" w:rsidP="000B0B09">
            <w:pPr>
              <w:rPr>
                <w:rFonts w:ascii="Times New Roman" w:hAnsi="Times New Roman"/>
                <w:sz w:val="24"/>
              </w:rPr>
            </w:pPr>
            <w:r w:rsidRPr="00EF7F33">
              <w:rPr>
                <w:rFonts w:ascii="Times New Roman" w:hAnsi="Times New Roman"/>
                <w:sz w:val="24"/>
              </w:rPr>
              <w:t>450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UKUPNI KAPITALNI ZAHTJEVI</w:t>
            </w:r>
          </w:p>
          <w:p w:rsidR="000B0B09" w:rsidRPr="00EF7F33" w:rsidRDefault="000B0B09" w:rsidP="00E871FE">
            <w:pPr>
              <w:rPr>
                <w:rFonts w:ascii="Times New Roman" w:hAnsi="Times New Roman"/>
                <w:sz w:val="24"/>
              </w:rPr>
            </w:pPr>
            <w:r w:rsidRPr="00EF7F33">
              <w:rPr>
                <w:rFonts w:ascii="Times New Roman" w:hAnsi="Times New Roman"/>
                <w:sz w:val="24"/>
              </w:rPr>
              <w:t>Ukupni kapitalni zahtjevi određuju se kao i. zahtjev za specifični rizik koji bi se primjenjivao samo na neto duge pozicije (stupac 430) ili ii. zahtjev za spec</w:t>
            </w:r>
            <w:r w:rsidRPr="00EF7F33">
              <w:rPr>
                <w:rFonts w:ascii="Times New Roman" w:hAnsi="Times New Roman"/>
                <w:sz w:val="24"/>
              </w:rPr>
              <w:t>i</w:t>
            </w:r>
            <w:r w:rsidRPr="00EF7F33">
              <w:rPr>
                <w:rFonts w:ascii="Times New Roman" w:hAnsi="Times New Roman"/>
                <w:sz w:val="24"/>
              </w:rPr>
              <w:t>fični rizik koji bi se primjenjivao samo na neto kratke pozicije (stupac 440), ovisno o tome koji je veći.</w:t>
            </w:r>
          </w:p>
        </w:tc>
      </w:tr>
    </w:tbl>
    <w:p w:rsidR="000B0B09" w:rsidRPr="00EF7F33" w:rsidRDefault="000B0B09" w:rsidP="00E70AB0">
      <w:pPr>
        <w:autoSpaceDE w:val="0"/>
        <w:autoSpaceDN w:val="0"/>
        <w:adjustRightInd w:val="0"/>
        <w:spacing w:before="0" w:after="0"/>
        <w:rPr>
          <w:rFonts w:ascii="Times New Roman" w:hAnsi="Times New Roman"/>
          <w:sz w:val="24"/>
        </w:rPr>
      </w:pPr>
    </w:p>
    <w:p w:rsidR="00DE48EF" w:rsidRPr="00EF7F33"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EF7F33" w:rsidTr="00672D2A">
        <w:trPr>
          <w:trHeight w:val="642"/>
        </w:trPr>
        <w:tc>
          <w:tcPr>
            <w:tcW w:w="921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UKUPNE IZLOŽENOSTI</w:t>
            </w:r>
          </w:p>
          <w:p w:rsidR="000B0B09" w:rsidRPr="00EF7F33" w:rsidRDefault="000B0B09" w:rsidP="000B0B09">
            <w:pPr>
              <w:rPr>
                <w:rFonts w:ascii="Times New Roman" w:hAnsi="Times New Roman"/>
                <w:sz w:val="24"/>
              </w:rPr>
            </w:pPr>
            <w:r w:rsidRPr="00EF7F33">
              <w:rPr>
                <w:rFonts w:ascii="Times New Roman" w:hAnsi="Times New Roman"/>
                <w:sz w:val="24"/>
              </w:rPr>
              <w:t>Ukupni iznos preostalih pozicija (koje se drže u korelacijskom portfelju namij</w:t>
            </w:r>
            <w:r w:rsidRPr="00EF7F33">
              <w:rPr>
                <w:rFonts w:ascii="Times New Roman" w:hAnsi="Times New Roman"/>
                <w:sz w:val="24"/>
              </w:rPr>
              <w:t>e</w:t>
            </w:r>
            <w:r w:rsidRPr="00EF7F33">
              <w:rPr>
                <w:rFonts w:ascii="Times New Roman" w:hAnsi="Times New Roman"/>
                <w:sz w:val="24"/>
              </w:rPr>
              <w:t>njenom trgovanju) koji iskazuje institucija koja ima ulogu/uloge inicijatora, inve</w:t>
            </w:r>
            <w:r w:rsidRPr="00EF7F33">
              <w:rPr>
                <w:rFonts w:ascii="Times New Roman" w:hAnsi="Times New Roman"/>
                <w:sz w:val="24"/>
              </w:rPr>
              <w:t>s</w:t>
            </w:r>
            <w:r w:rsidRPr="00EF7F33">
              <w:rPr>
                <w:rFonts w:ascii="Times New Roman" w:hAnsi="Times New Roman"/>
                <w:sz w:val="24"/>
              </w:rPr>
              <w:t>titora ili sponzora.</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020-040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INICIJATOR</w:t>
            </w:r>
          </w:p>
          <w:p w:rsidR="000B0B09" w:rsidRPr="00EF7F33" w:rsidRDefault="000B0B09" w:rsidP="00104A65">
            <w:pPr>
              <w:rPr>
                <w:rFonts w:ascii="Times New Roman" w:hAnsi="Times New Roman"/>
                <w:sz w:val="24"/>
              </w:rPr>
            </w:pPr>
            <w:r w:rsidRPr="00EF7F33">
              <w:rPr>
                <w:rFonts w:ascii="Times New Roman" w:hAnsi="Times New Roman"/>
                <w:sz w:val="24"/>
              </w:rPr>
              <w:t xml:space="preserve">Članak 4. točka 13. CRR-a </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050-070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INVESTITOR</w:t>
            </w:r>
          </w:p>
          <w:p w:rsidR="000B0B09" w:rsidRPr="00EF7F33" w:rsidRDefault="000B0B09" w:rsidP="00DE48EF">
            <w:pPr>
              <w:rPr>
                <w:rFonts w:ascii="Times New Roman" w:hAnsi="Times New Roman"/>
                <w:sz w:val="24"/>
              </w:rPr>
            </w:pPr>
            <w:r w:rsidRPr="00EF7F33">
              <w:rPr>
                <w:rFonts w:ascii="Times New Roman" w:hAnsi="Times New Roman"/>
                <w:sz w:val="24"/>
              </w:rPr>
              <w:t>Kreditna institucija koja drži sekuritizacijske pozicije u sekuritizacijskoj transakc</w:t>
            </w:r>
            <w:r w:rsidRPr="00EF7F33">
              <w:rPr>
                <w:rFonts w:ascii="Times New Roman" w:hAnsi="Times New Roman"/>
                <w:sz w:val="24"/>
              </w:rPr>
              <w:t>i</w:t>
            </w:r>
            <w:r w:rsidRPr="00EF7F33">
              <w:rPr>
                <w:rFonts w:ascii="Times New Roman" w:hAnsi="Times New Roman"/>
                <w:sz w:val="24"/>
              </w:rPr>
              <w:t>ji u kojoj nije ni inicijator ni sponzor.</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080 – 100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SPONZOR</w:t>
            </w:r>
          </w:p>
          <w:p w:rsidR="000B0B09" w:rsidRPr="00EF7F33" w:rsidRDefault="000B0B09" w:rsidP="00DA040A">
            <w:pPr>
              <w:rPr>
                <w:rFonts w:ascii="Times New Roman" w:hAnsi="Times New Roman"/>
                <w:sz w:val="24"/>
              </w:rPr>
            </w:pPr>
            <w:r w:rsidRPr="00EF7F33">
              <w:rPr>
                <w:rFonts w:ascii="Times New Roman" w:hAnsi="Times New Roman"/>
                <w:sz w:val="24"/>
              </w:rPr>
              <w:t xml:space="preserve">Članak 4. točka 14. CRR-a Ako sponzor i sekuritizira svoju imovinu, popunjava retke za inicijatora informacijama o vlastitoj sekuritiziranoj imovini. </w:t>
            </w: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030, 060 i 090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SEKURITIZACIJE</w:t>
            </w:r>
          </w:p>
          <w:p w:rsidR="000B0B09" w:rsidRPr="00EF7F33" w:rsidRDefault="000B0B09" w:rsidP="000B0B09">
            <w:pPr>
              <w:rPr>
                <w:rFonts w:ascii="Times New Roman" w:hAnsi="Times New Roman"/>
                <w:sz w:val="24"/>
              </w:rPr>
            </w:pPr>
            <w:r w:rsidRPr="00EF7F33">
              <w:rPr>
                <w:rFonts w:ascii="Times New Roman" w:hAnsi="Times New Roman"/>
                <w:sz w:val="24"/>
              </w:rPr>
              <w:t>Korelacijski portfelj namijenjen trgovanju sadržava sekuritizacije, kreditne izv</w:t>
            </w:r>
            <w:r w:rsidRPr="00EF7F33">
              <w:rPr>
                <w:rFonts w:ascii="Times New Roman" w:hAnsi="Times New Roman"/>
                <w:sz w:val="24"/>
              </w:rPr>
              <w:t>e</w:t>
            </w:r>
            <w:r w:rsidRPr="00EF7F33">
              <w:rPr>
                <w:rFonts w:ascii="Times New Roman" w:hAnsi="Times New Roman"/>
                <w:sz w:val="24"/>
              </w:rPr>
              <w:t>denice na osnovi n-tog nastanka statusa neispunjavanja obveza i moguće ostale pozicije za zaštitu koje ispunjavaju kriterije iz članka 338. stavaka 2. i 3. CRR-a.</w:t>
            </w:r>
          </w:p>
          <w:p w:rsidR="000B0B09" w:rsidRPr="00EF7F33" w:rsidRDefault="000B0B09" w:rsidP="000B0B09">
            <w:pPr>
              <w:rPr>
                <w:rFonts w:ascii="Times New Roman" w:hAnsi="Times New Roman"/>
                <w:sz w:val="24"/>
              </w:rPr>
            </w:pPr>
          </w:p>
          <w:p w:rsidR="000B0B09" w:rsidRPr="00EF7F33" w:rsidRDefault="000B0B09" w:rsidP="00DE48EF">
            <w:pPr>
              <w:rPr>
                <w:rFonts w:ascii="Times New Roman" w:hAnsi="Times New Roman"/>
                <w:sz w:val="24"/>
              </w:rPr>
            </w:pPr>
            <w:r w:rsidRPr="00EF7F33">
              <w:rPr>
                <w:rFonts w:ascii="Times New Roman" w:hAnsi="Times New Roman"/>
                <w:sz w:val="24"/>
              </w:rPr>
              <w:t>Izvedenice sekuritizacijskih izloženosti kojima se osigurava proporcionalan udio te pozicije za zaštitu pozicija korelacijskog portfelja namijenjenog trgovanju uključ</w:t>
            </w:r>
            <w:r w:rsidRPr="00EF7F33">
              <w:rPr>
                <w:rFonts w:ascii="Times New Roman" w:hAnsi="Times New Roman"/>
                <w:sz w:val="24"/>
              </w:rPr>
              <w:t>u</w:t>
            </w:r>
            <w:r w:rsidRPr="00EF7F33">
              <w:rPr>
                <w:rFonts w:ascii="Times New Roman" w:hAnsi="Times New Roman"/>
                <w:sz w:val="24"/>
              </w:rPr>
              <w:t>ju se u redak „Ostale pozicije korelacijskog portfelja namijenjenog trgovanju”.</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110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KREDITNE IZVEDENICE NA OSNOVI N-TOG NASTANKA STATUSA NEISPUNJAVANJA OBVEZA</w:t>
            </w:r>
          </w:p>
          <w:p w:rsidR="000B0B09" w:rsidRPr="00EF7F33" w:rsidRDefault="000B0B09" w:rsidP="000B0B09">
            <w:pPr>
              <w:rPr>
                <w:rFonts w:ascii="Times New Roman" w:hAnsi="Times New Roman"/>
                <w:sz w:val="24"/>
              </w:rPr>
            </w:pPr>
            <w:r w:rsidRPr="00EF7F33">
              <w:rPr>
                <w:rFonts w:ascii="Times New Roman" w:hAnsi="Times New Roman"/>
                <w:sz w:val="24"/>
              </w:rPr>
              <w:t>Kreditne izvedenice na osnovi n-tog nastanka statusa neispunjavanja obveza koje su zaštićene kreditnim izvedenicama na osnovi n-tog nastanka statusa neispunj</w:t>
            </w:r>
            <w:r w:rsidRPr="00EF7F33">
              <w:rPr>
                <w:rFonts w:ascii="Times New Roman" w:hAnsi="Times New Roman"/>
                <w:sz w:val="24"/>
              </w:rPr>
              <w:t>a</w:t>
            </w:r>
            <w:r w:rsidRPr="00EF7F33">
              <w:rPr>
                <w:rFonts w:ascii="Times New Roman" w:hAnsi="Times New Roman"/>
                <w:sz w:val="24"/>
              </w:rPr>
              <w:t>vanja obveza u skladu s člankom 347. CRR-a iskazuju se ovdje.</w:t>
            </w:r>
          </w:p>
          <w:p w:rsidR="000B0B09" w:rsidRPr="00EF7F33" w:rsidRDefault="000B0B09" w:rsidP="00DE48EF">
            <w:pPr>
              <w:rPr>
                <w:rFonts w:ascii="Times New Roman" w:hAnsi="Times New Roman"/>
                <w:sz w:val="24"/>
              </w:rPr>
            </w:pPr>
            <w:r w:rsidRPr="00EF7F33">
              <w:rPr>
                <w:rFonts w:ascii="Times New Roman" w:hAnsi="Times New Roman"/>
                <w:sz w:val="24"/>
              </w:rPr>
              <w:t>Inicijator, investitor i sponzor pozicija ne ispunjavaju uvjere za kreditne izveden</w:t>
            </w:r>
            <w:r w:rsidRPr="00EF7F33">
              <w:rPr>
                <w:rFonts w:ascii="Times New Roman" w:hAnsi="Times New Roman"/>
                <w:sz w:val="24"/>
              </w:rPr>
              <w:t>i</w:t>
            </w:r>
            <w:r w:rsidRPr="00EF7F33">
              <w:rPr>
                <w:rFonts w:ascii="Times New Roman" w:hAnsi="Times New Roman"/>
                <w:sz w:val="24"/>
              </w:rPr>
              <w:t>ce na osnovi n-tog nastanka statusa neispunjavanja obveza. Kao posljedica toga, kreditne izvedenice na osnovi n-tog nastanka statusa neispunjavanja obveza ne mogu se raščlaniti kao sekuritizacijske pozicije.</w:t>
            </w: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040, 070, 100 i 120</w:t>
            </w:r>
          </w:p>
        </w:tc>
        <w:tc>
          <w:tcPr>
            <w:tcW w:w="8204" w:type="dxa"/>
          </w:tcPr>
          <w:p w:rsidR="000B0B09" w:rsidRPr="00EF7F33" w:rsidRDefault="000B0B09" w:rsidP="000B0B09">
            <w:pPr>
              <w:rPr>
                <w:rStyle w:val="InstructionsTabelleberschrift"/>
                <w:rFonts w:ascii="Times New Roman" w:hAnsi="Times New Roman"/>
                <w:sz w:val="24"/>
              </w:rPr>
            </w:pPr>
            <w:r w:rsidRPr="00EF7F33">
              <w:rPr>
                <w:rStyle w:val="InstructionsTabelleberschrift"/>
                <w:rFonts w:ascii="Times New Roman" w:hAnsi="Times New Roman"/>
                <w:sz w:val="24"/>
              </w:rPr>
              <w:t>OSTALE POZICIJE KORELACIJSKOG PORTFELJA NAMIJENJENOG TRGOVANJU</w:t>
            </w:r>
          </w:p>
          <w:p w:rsidR="000B0B09" w:rsidRPr="00EF7F33" w:rsidRDefault="000B0B09" w:rsidP="000B0B09">
            <w:pPr>
              <w:rPr>
                <w:rFonts w:ascii="Times New Roman" w:hAnsi="Times New Roman"/>
                <w:sz w:val="24"/>
              </w:rPr>
            </w:pPr>
            <w:r w:rsidRPr="00EF7F33">
              <w:rPr>
                <w:rFonts w:ascii="Times New Roman" w:hAnsi="Times New Roman"/>
                <w:sz w:val="24"/>
              </w:rPr>
              <w:t xml:space="preserve">Uključene su pozicije u sljedećem: </w:t>
            </w:r>
          </w:p>
          <w:p w:rsidR="000B0B09" w:rsidRPr="00EF7F33" w:rsidRDefault="00125707" w:rsidP="0023700C">
            <w:pPr>
              <w:tabs>
                <w:tab w:val="left" w:pos="720"/>
              </w:tabs>
              <w:ind w:left="720" w:hanging="360"/>
              <w:rPr>
                <w:rFonts w:ascii="Times New Roman" w:hAnsi="Times New Roman"/>
                <w:sz w:val="24"/>
              </w:rPr>
            </w:pPr>
            <w:r w:rsidRPr="00EF7F33">
              <w:rPr>
                <w:rFonts w:ascii="Symbol" w:hAnsi="Symbol"/>
                <w:sz w:val="24"/>
              </w:rPr>
              <w:t></w:t>
            </w:r>
            <w:r w:rsidRPr="00EF7F33">
              <w:tab/>
            </w:r>
            <w:r w:rsidRPr="00EF7F33">
              <w:rPr>
                <w:rFonts w:ascii="Times New Roman" w:hAnsi="Times New Roman"/>
                <w:sz w:val="24"/>
              </w:rPr>
              <w:t>izvedenicama sekuritizacijskih izloženosti kojima se osigurava proporci</w:t>
            </w:r>
            <w:r w:rsidRPr="00EF7F33">
              <w:rPr>
                <w:rFonts w:ascii="Times New Roman" w:hAnsi="Times New Roman"/>
                <w:sz w:val="24"/>
              </w:rPr>
              <w:t>o</w:t>
            </w:r>
            <w:r w:rsidRPr="00EF7F33">
              <w:rPr>
                <w:rFonts w:ascii="Times New Roman" w:hAnsi="Times New Roman"/>
                <w:sz w:val="24"/>
              </w:rPr>
              <w:t>nalan udio te pozicije za zaštitu pozicija korelacijskog portfelja namijenj</w:t>
            </w:r>
            <w:r w:rsidRPr="00EF7F33">
              <w:rPr>
                <w:rFonts w:ascii="Times New Roman" w:hAnsi="Times New Roman"/>
                <w:sz w:val="24"/>
              </w:rPr>
              <w:t>e</w:t>
            </w:r>
            <w:r w:rsidRPr="00EF7F33">
              <w:rPr>
                <w:rFonts w:ascii="Times New Roman" w:hAnsi="Times New Roman"/>
                <w:sz w:val="24"/>
              </w:rPr>
              <w:t>nog trgovanju;</w:t>
            </w:r>
          </w:p>
          <w:p w:rsidR="000B0B09" w:rsidRPr="00EF7F33" w:rsidRDefault="00125707" w:rsidP="0023700C">
            <w:pPr>
              <w:tabs>
                <w:tab w:val="left" w:pos="720"/>
              </w:tabs>
              <w:ind w:left="720" w:hanging="360"/>
              <w:rPr>
                <w:rFonts w:ascii="Times New Roman" w:hAnsi="Times New Roman"/>
                <w:sz w:val="24"/>
              </w:rPr>
            </w:pPr>
            <w:r w:rsidRPr="00EF7F33">
              <w:rPr>
                <w:rFonts w:ascii="Symbol" w:hAnsi="Symbol"/>
                <w:sz w:val="24"/>
              </w:rPr>
              <w:t></w:t>
            </w:r>
            <w:r w:rsidRPr="00EF7F33">
              <w:tab/>
            </w:r>
            <w:r w:rsidRPr="00EF7F33">
              <w:rPr>
                <w:rFonts w:ascii="Times New Roman" w:hAnsi="Times New Roman"/>
                <w:sz w:val="24"/>
              </w:rPr>
              <w:t>pozicijama korelacijskog portfelja namijenjenog trgovanju koje su zaštić</w:t>
            </w:r>
            <w:r w:rsidRPr="00EF7F33">
              <w:rPr>
                <w:rFonts w:ascii="Times New Roman" w:hAnsi="Times New Roman"/>
                <w:sz w:val="24"/>
              </w:rPr>
              <w:t>e</w:t>
            </w:r>
            <w:r w:rsidRPr="00EF7F33">
              <w:rPr>
                <w:rFonts w:ascii="Times New Roman" w:hAnsi="Times New Roman"/>
                <w:sz w:val="24"/>
              </w:rPr>
              <w:t>ne kreditnim izvedenicama u skladu s člankom 346. CRR-a;</w:t>
            </w:r>
          </w:p>
          <w:p w:rsidR="000B0B09" w:rsidRPr="00EF7F33" w:rsidRDefault="00125707" w:rsidP="0023700C">
            <w:pPr>
              <w:tabs>
                <w:tab w:val="left" w:pos="720"/>
              </w:tabs>
              <w:ind w:left="720" w:hanging="360"/>
              <w:rPr>
                <w:rFonts w:ascii="Times New Roman" w:hAnsi="Times New Roman"/>
                <w:sz w:val="24"/>
              </w:rPr>
            </w:pPr>
            <w:r w:rsidRPr="00EF7F33">
              <w:rPr>
                <w:rFonts w:ascii="Symbol" w:hAnsi="Symbol"/>
                <w:sz w:val="24"/>
              </w:rPr>
              <w:t></w:t>
            </w:r>
            <w:r w:rsidRPr="00EF7F33">
              <w:tab/>
            </w:r>
            <w:r w:rsidRPr="00EF7F33">
              <w:rPr>
                <w:rFonts w:ascii="Times New Roman" w:hAnsi="Times New Roman"/>
                <w:sz w:val="24"/>
              </w:rPr>
              <w:t>ostalim pozicijama koje ispunjavaju uvjete iz članka 338. stavka 3. CRR-a;</w:t>
            </w:r>
          </w:p>
          <w:p w:rsidR="000B0B09" w:rsidRPr="00EF7F33" w:rsidRDefault="000B0B09" w:rsidP="000B0B09">
            <w:pPr>
              <w:rPr>
                <w:rFonts w:ascii="Times New Roman" w:hAnsi="Times New Roman"/>
                <w:sz w:val="24"/>
              </w:rPr>
            </w:pPr>
            <w:r w:rsidRPr="00EF7F33">
              <w:rPr>
                <w:rFonts w:ascii="Times New Roman" w:hAnsi="Times New Roman"/>
                <w:sz w:val="24"/>
              </w:rPr>
              <w:t>.</w:t>
            </w:r>
          </w:p>
        </w:tc>
      </w:tr>
    </w:tbl>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998184"/>
      <w:r w:rsidRPr="00EF7F33">
        <w:rPr>
          <w:rFonts w:ascii="Times New Roman" w:hAnsi="Times New Roman"/>
          <w:sz w:val="24"/>
          <w:u w:val="none"/>
        </w:rPr>
        <w:lastRenderedPageBreak/>
        <w:t>5.4.</w:t>
      </w:r>
      <w:r w:rsidRPr="00EF7F33">
        <w:tab/>
      </w:r>
      <w:r w:rsidRPr="00EF7F33">
        <w:rPr>
          <w:rFonts w:ascii="Times New Roman" w:hAnsi="Times New Roman"/>
          <w:sz w:val="24"/>
        </w:rPr>
        <w:t>C 21.00 – Tržišni rizik: standardizirani pristup pozicijskom riziku u vlasničkim i</w:t>
      </w:r>
      <w:r w:rsidRPr="00EF7F33">
        <w:rPr>
          <w:rFonts w:ascii="Times New Roman" w:hAnsi="Times New Roman"/>
          <w:sz w:val="24"/>
        </w:rPr>
        <w:t>n</w:t>
      </w:r>
      <w:r w:rsidRPr="00EF7F33">
        <w:rPr>
          <w:rFonts w:ascii="Times New Roman" w:hAnsi="Times New Roman"/>
          <w:sz w:val="24"/>
        </w:rPr>
        <w:t xml:space="preserve">strumentima </w:t>
      </w:r>
      <w:bookmarkEnd w:id="670"/>
      <w:bookmarkEnd w:id="671"/>
      <w:bookmarkEnd w:id="672"/>
      <w:bookmarkEnd w:id="673"/>
      <w:bookmarkEnd w:id="674"/>
      <w:r w:rsidRPr="00EF7F33">
        <w:rPr>
          <w:rFonts w:ascii="Times New Roman" w:hAnsi="Times New Roman"/>
          <w:sz w:val="24"/>
        </w:rPr>
        <w:t xml:space="preserve"> (MKR SA EQU)</w:t>
      </w:r>
      <w:bookmarkEnd w:id="675"/>
      <w:bookmarkEnd w:id="676"/>
      <w:bookmarkEnd w:id="677"/>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998185"/>
      <w:r w:rsidRPr="00EF7F33">
        <w:rPr>
          <w:rFonts w:ascii="Times New Roman" w:hAnsi="Times New Roman"/>
          <w:sz w:val="24"/>
          <w:u w:val="none"/>
        </w:rPr>
        <w:t>5.4.1.</w:t>
      </w:r>
      <w:r w:rsidRPr="00EF7F33">
        <w:tab/>
      </w:r>
      <w:r w:rsidRPr="00EF7F33">
        <w:rPr>
          <w:rFonts w:ascii="Times New Roman" w:hAnsi="Times New Roman"/>
          <w:sz w:val="24"/>
        </w:rPr>
        <w:t>Opće napomene</w:t>
      </w:r>
      <w:bookmarkEnd w:id="678"/>
      <w:bookmarkEnd w:id="679"/>
      <w:bookmarkEnd w:id="680"/>
      <w:bookmarkEnd w:id="681"/>
      <w:bookmarkEnd w:id="682"/>
      <w:bookmarkEnd w:id="683"/>
      <w:bookmarkEnd w:id="684"/>
      <w:bookmarkEnd w:id="685"/>
    </w:p>
    <w:p w:rsidR="000B0B09" w:rsidRPr="00EF7F33" w:rsidRDefault="00125707" w:rsidP="001A3980">
      <w:pPr>
        <w:pStyle w:val="InstructionsText2"/>
        <w:numPr>
          <w:ilvl w:val="0"/>
          <w:numId w:val="0"/>
        </w:numPr>
        <w:ind w:left="993"/>
      </w:pPr>
      <w:r w:rsidRPr="00EF7F33">
        <w:t>148.</w:t>
      </w:r>
      <w:r w:rsidRPr="00EF7F33">
        <w:tab/>
        <w:t>U ovom se obrascu zahtijevaju informacije o pozicijama i odgovarajućim kap</w:t>
      </w:r>
      <w:r w:rsidRPr="00EF7F33">
        <w:t>i</w:t>
      </w:r>
      <w:r w:rsidRPr="00EF7F33">
        <w:t>talnim zahtjevima za pozicijski rizik u vlasničkim instrumentima koji se drže u knjizi trgovanja i tretiraju se u skladu sa standardiziranim pristupom.</w:t>
      </w:r>
    </w:p>
    <w:p w:rsidR="000B0B09" w:rsidRPr="00EF7F33" w:rsidRDefault="00125707" w:rsidP="001A3980">
      <w:pPr>
        <w:pStyle w:val="InstructionsText2"/>
        <w:numPr>
          <w:ilvl w:val="0"/>
          <w:numId w:val="0"/>
        </w:numPr>
        <w:ind w:left="993"/>
      </w:pPr>
      <w:r w:rsidRPr="00EF7F33">
        <w:t>149.</w:t>
      </w:r>
      <w:r w:rsidRPr="00EF7F33">
        <w:tab/>
        <w:t>Obrazac je potrebno popuniti zasebno za „ukupne podatke”, uključujući stalan prethodno definirani popis sljedećih tržišta: Bugarske, Hrvatske, Češke, Danske, Egipta, Mađarske, Islanda, Lihtenštajna, Norveške, Poljske, Rumunjske, Švedske, Ujedinjene Kraljevine, Albanije, Japana, bivše jugoslavenske republike Makedon</w:t>
      </w:r>
      <w:r w:rsidRPr="00EF7F33">
        <w:t>i</w:t>
      </w:r>
      <w:r w:rsidRPr="00EF7F33">
        <w:t>je, Ruske Federacije, Srbije, Švicarske, Turske, Ukrajine, SAD-a, europodručja u</w:t>
      </w:r>
      <w:r w:rsidRPr="00EF7F33">
        <w:t>k</w:t>
      </w:r>
      <w:r w:rsidRPr="00EF7F33">
        <w:t>ljučujući jedan preostali obrazac za sva ostala tržišta. Za potrebe iskazivanja zahtj</w:t>
      </w:r>
      <w:r w:rsidRPr="00EF7F33">
        <w:t>e</w:t>
      </w:r>
      <w:r w:rsidRPr="00EF7F33">
        <w:t>va pojam „tržište” tumači se kao „zemlja” (osim za zemlje koje su članice europo</w:t>
      </w:r>
      <w:r w:rsidRPr="00EF7F33">
        <w:t>d</w:t>
      </w:r>
      <w:r w:rsidRPr="00EF7F33">
        <w:t>ručja, vidjeti Delegiranu uredbu Komisije (EU) br. 525/2014).</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998186"/>
      <w:r w:rsidRPr="00EF7F33">
        <w:rPr>
          <w:rFonts w:ascii="Times New Roman" w:hAnsi="Times New Roman"/>
          <w:sz w:val="24"/>
          <w:u w:val="none"/>
        </w:rPr>
        <w:t>5.4.2.</w:t>
      </w:r>
      <w:r w:rsidRPr="00EF7F33">
        <w:tab/>
      </w:r>
      <w:r w:rsidRPr="00EF7F33">
        <w:rPr>
          <w:rFonts w:ascii="Times New Roman" w:hAnsi="Times New Roman"/>
          <w:sz w:val="24"/>
        </w:rPr>
        <w:t>Upute za specifične pozicije</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F7F33" w:rsidTr="00672D2A">
        <w:trPr>
          <w:trHeight w:val="626"/>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010-020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102. i članak 105. stavak 1. CRR-a. To su bruto pozicije koje nisu net</w:t>
            </w:r>
            <w:r w:rsidRPr="00EF7F33">
              <w:rPr>
                <w:rFonts w:ascii="Times New Roman" w:hAnsi="Times New Roman"/>
                <w:sz w:val="24"/>
              </w:rPr>
              <w:t>i</w:t>
            </w:r>
            <w:r w:rsidRPr="00EF7F33">
              <w:rPr>
                <w:rFonts w:ascii="Times New Roman" w:hAnsi="Times New Roman"/>
                <w:sz w:val="24"/>
              </w:rPr>
              <w:t>rane instrumentima, ali isključujući pozicije proizišle iz pružanja usluge pr</w:t>
            </w:r>
            <w:r w:rsidRPr="00EF7F33">
              <w:rPr>
                <w:rFonts w:ascii="Times New Roman" w:hAnsi="Times New Roman"/>
                <w:sz w:val="24"/>
              </w:rPr>
              <w:t>o</w:t>
            </w:r>
            <w:r w:rsidRPr="00EF7F33">
              <w:rPr>
                <w:rFonts w:ascii="Times New Roman" w:hAnsi="Times New Roman"/>
                <w:sz w:val="24"/>
              </w:rPr>
              <w:t>vedbe ponude odnosno prodaje financijskih instrumenata uz obvezu otkupa k</w:t>
            </w:r>
            <w:r w:rsidRPr="00EF7F33">
              <w:rPr>
                <w:rFonts w:ascii="Times New Roman" w:hAnsi="Times New Roman"/>
                <w:sz w:val="24"/>
              </w:rPr>
              <w:t>o</w:t>
            </w:r>
            <w:r w:rsidRPr="00EF7F33">
              <w:rPr>
                <w:rFonts w:ascii="Times New Roman" w:hAnsi="Times New Roman"/>
                <w:sz w:val="24"/>
              </w:rPr>
              <w:t xml:space="preserve">je su upisane ili su predmet potpokroviteljstva trećih strana (članak 345. druga rečenica CRR-a). </w:t>
            </w:r>
          </w:p>
        </w:tc>
      </w:tr>
      <w:tr w:rsidR="000B0B09" w:rsidRPr="00EF7F33" w:rsidTr="00672D2A">
        <w:tc>
          <w:tcPr>
            <w:tcW w:w="98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030-040 </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NETO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Članci 327., 329., 332., 341. i 345. CRR-a. </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w:t>
            </w:r>
          </w:p>
        </w:tc>
        <w:tc>
          <w:tcPr>
            <w:tcW w:w="7874" w:type="dxa"/>
          </w:tcPr>
          <w:p w:rsidR="000B0B09" w:rsidRPr="00EF7F33" w:rsidRDefault="000B0B09" w:rsidP="000B0B09">
            <w:pPr>
              <w:tabs>
                <w:tab w:val="left" w:pos="579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KOJE PODLIJEŽU KAPITALNOM ZAHTJEVU</w:t>
            </w:r>
          </w:p>
          <w:p w:rsidR="000B0B09" w:rsidRPr="00EF7F33"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Neto pozicije koje, u skladu s različitim pristupima koji se razmatraju u dijelu 3. glavi IV. poglavlju 2. CRR-a dobivaju kapitalni zahtjev. Kapitalni zahtjev mora se izračunati za svako nacionalno tržište zasebno. U ovaj se stupac ne u</w:t>
            </w:r>
            <w:r w:rsidRPr="00EF7F33">
              <w:rPr>
                <w:rFonts w:ascii="Times New Roman" w:hAnsi="Times New Roman"/>
                <w:sz w:val="24"/>
              </w:rPr>
              <w:t>k</w:t>
            </w:r>
            <w:r w:rsidRPr="00EF7F33">
              <w:rPr>
                <w:rFonts w:ascii="Times New Roman" w:hAnsi="Times New Roman"/>
                <w:sz w:val="24"/>
              </w:rPr>
              <w:t>ljučuju pozicije u budućnosnicama na osnovi dioničkog indeksa u skladu s člankom 344. stavkom 4. drugom rečenicom CRR-a.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p>
        </w:tc>
        <w:tc>
          <w:tcPr>
            <w:tcW w:w="7874"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ZAHTJEVI</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Kapitalni zahtjev za sve relevantne pozicije u skladu s dijelom 3. glavom IV. poglavljem 2. CRR-a.</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w:t>
            </w:r>
          </w:p>
        </w:tc>
        <w:tc>
          <w:tcPr>
            <w:tcW w:w="7874"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IZLOŽENOSTI RIZIKU</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Članak 92. stavak 4. točka (b) CRR-a. Rezultat množenja kapitalnih zahtjeva sa 12,5. </w:t>
            </w:r>
          </w:p>
        </w:tc>
      </w:tr>
    </w:tbl>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EF7F33" w:rsidTr="00672D2A">
        <w:trPr>
          <w:trHeight w:val="662"/>
        </w:trPr>
        <w:tc>
          <w:tcPr>
            <w:tcW w:w="921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010-130</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VLASNIČKI INSTRUMENTI U KNJIZI TRGOVANJA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Kapitalni zahtjevi za pozicijski rizik u skladu s člankom 92. stavkom 3. točkom (b) podtočkom i. CRR-a i dijelom 3. glavom IV. poglavljem 2. odjeljkom 3. CRR-a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020-040</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OPĆI RIZIK</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vlasničkim instrumentima koje podliježu općem riziku (članak 343. CRR-a) i njihov odgovarajući kapitalni zahtjev u skladu s dijelom 3. glavom IV. poglavljem 2. odjeljkom 3. CRR-a.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Obje su raščlambe (021/022 te 030/040) raščlamba povezana sa svim pozicijama koje podliježu općem riziku. </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 redcima 021 i 022 zahtijevaju se informacije o raščlambi prema instrumentima. Samo se raščlamba u redcima 030 i 040 upotrebljava kao osnova za izračun kap</w:t>
            </w:r>
            <w:r w:rsidRPr="00EF7F33">
              <w:rPr>
                <w:rFonts w:ascii="Times New Roman" w:hAnsi="Times New Roman"/>
                <w:sz w:val="24"/>
              </w:rPr>
              <w:t>i</w:t>
            </w:r>
            <w:r w:rsidRPr="00EF7F33">
              <w:rPr>
                <w:rFonts w:ascii="Times New Roman" w:hAnsi="Times New Roman"/>
                <w:sz w:val="24"/>
              </w:rPr>
              <w:t xml:space="preserve">talnih zahtjeva.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021</w:t>
            </w:r>
          </w:p>
        </w:tc>
        <w:tc>
          <w:tcPr>
            <w:tcW w:w="8204"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Izvedenice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Izvedenice uključene u izračun rizika vlasničkih instrumenata za pozicije iz knjige trgovanja, uzimajući u obzir članke 329. i 332. ako su primjenjivi.</w:t>
            </w: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022</w:t>
            </w:r>
          </w:p>
        </w:tc>
        <w:tc>
          <w:tcPr>
            <w:tcW w:w="8204"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Ostala imovina i obveze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Instrumenti osim izvedenica uključeni u izračun rizika vlasničkih instrumenata za pozicije iz knjige trgovanja.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Široko diversificirane budućnosnice na osnovi dioničkog indeksa kojima se trguje na burzi i koje podliježu posebnom pristupu</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Široko diversificirane budućnosnice na osnovi dioničkog indeksa kojima se trguje na burzi i koje podliježu posebnom pristupu u skladu s člankom 344. stavcima 1. i 4. CRR-a. Te pozicije podliježu samo općem riziku i, u skladu s tim, ne smiju se iskazivati u retku 050.</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100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040</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Ostali vlasnički instrumenti koji nisu široko diversificirane budućnosnice na osnovi dioničkog indeksa kojima se trguje na burzi</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Ostale pozicije u vlasničkim instrumentima koje podliježu specifičnom riziku i odgovarajućim kapitalnim zahtjevima u skladu s člankom 343. i člankom 344. stavkom 3. CRR-a. </w:t>
            </w: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050 </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SPECIFIČNI RIZIK</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vlasničkim instrumentima koje podliježu specifičnom riziku i odgovar</w:t>
            </w:r>
            <w:r w:rsidRPr="00EF7F33">
              <w:rPr>
                <w:rFonts w:ascii="Times New Roman" w:hAnsi="Times New Roman"/>
                <w:sz w:val="24"/>
              </w:rPr>
              <w:t>a</w:t>
            </w:r>
            <w:r w:rsidRPr="00EF7F33">
              <w:rPr>
                <w:rFonts w:ascii="Times New Roman" w:hAnsi="Times New Roman"/>
                <w:sz w:val="24"/>
              </w:rPr>
              <w:t xml:space="preserve">jućem kapitalnom zahtjevu u skladu s člankom 342. i člankom 344. stavkom 4. CRR-a.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100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090-</w:t>
            </w:r>
            <w:r w:rsidRPr="00EF7F33">
              <w:rPr>
                <w:rFonts w:ascii="Times New Roman" w:hAnsi="Times New Roman"/>
                <w:sz w:val="24"/>
              </w:rPr>
              <w:lastRenderedPageBreak/>
              <w:t>130</w:t>
            </w:r>
          </w:p>
        </w:tc>
        <w:tc>
          <w:tcPr>
            <w:tcW w:w="820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berschrift"/>
                <w:rFonts w:ascii="Times New Roman" w:hAnsi="Times New Roman"/>
                <w:sz w:val="24"/>
              </w:rPr>
              <w:lastRenderedPageBreak/>
              <w:t>DODATNI ZAHTJEVI ZA OPCIJE (RIZICI OSIM DELTA-RIZIKA)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329. stavci 2. i 3. CRR-a. </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Dodatni zahtjevi za opcije povezani s rizicima osim delta-rizika iskazuju se u m</w:t>
            </w:r>
            <w:r w:rsidRPr="00EF7F33">
              <w:rPr>
                <w:rFonts w:ascii="Times New Roman" w:hAnsi="Times New Roman"/>
                <w:sz w:val="24"/>
              </w:rPr>
              <w:t>e</w:t>
            </w:r>
            <w:r w:rsidRPr="00EF7F33">
              <w:rPr>
                <w:rFonts w:ascii="Times New Roman" w:hAnsi="Times New Roman"/>
                <w:sz w:val="24"/>
              </w:rPr>
              <w:t>todi koja se upotrebljava za njihov izračun.</w:t>
            </w:r>
          </w:p>
          <w:p w:rsidR="000B0B09" w:rsidRPr="00EF7F33" w:rsidRDefault="000B0B09" w:rsidP="000B0B09">
            <w:pPr>
              <w:autoSpaceDE w:val="0"/>
              <w:autoSpaceDN w:val="0"/>
              <w:adjustRightInd w:val="0"/>
              <w:spacing w:before="0" w:after="0"/>
              <w:rPr>
                <w:rFonts w:ascii="Times New Roman" w:hAnsi="Times New Roman"/>
                <w:sz w:val="24"/>
              </w:rPr>
            </w:pPr>
          </w:p>
        </w:tc>
      </w:tr>
    </w:tbl>
    <w:p w:rsidR="000B0B09" w:rsidRPr="00EF7F33" w:rsidRDefault="000B0B09" w:rsidP="000B0B09">
      <w:pPr>
        <w:autoSpaceDE w:val="0"/>
        <w:autoSpaceDN w:val="0"/>
        <w:adjustRightInd w:val="0"/>
        <w:spacing w:before="0" w:after="0"/>
        <w:rPr>
          <w:rFonts w:ascii="Times New Roman" w:hAnsi="Times New Roman"/>
          <w:bCs/>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998187"/>
      <w:r w:rsidRPr="00EF7F33">
        <w:rPr>
          <w:rFonts w:ascii="Times New Roman" w:hAnsi="Times New Roman"/>
          <w:sz w:val="24"/>
          <w:u w:val="none"/>
        </w:rPr>
        <w:t>5.5.</w:t>
      </w:r>
      <w:r w:rsidRPr="00EF7F33">
        <w:tab/>
      </w:r>
      <w:r w:rsidRPr="00EF7F33">
        <w:rPr>
          <w:rFonts w:ascii="Times New Roman" w:hAnsi="Times New Roman"/>
          <w:sz w:val="24"/>
        </w:rPr>
        <w:t xml:space="preserve">C 22.00 – Tržišni rizik: standardizirani pristup valutnom riziku </w:t>
      </w:r>
      <w:bookmarkEnd w:id="694"/>
      <w:bookmarkEnd w:id="695"/>
      <w:bookmarkEnd w:id="696"/>
      <w:bookmarkEnd w:id="697"/>
      <w:bookmarkEnd w:id="698"/>
      <w:r w:rsidRPr="00EF7F33">
        <w:rPr>
          <w:rFonts w:ascii="Times New Roman" w:hAnsi="Times New Roman"/>
          <w:sz w:val="24"/>
        </w:rPr>
        <w:t xml:space="preserve"> (MKR SA FX)</w:t>
      </w:r>
      <w:bookmarkEnd w:id="699"/>
      <w:bookmarkEnd w:id="700"/>
      <w:bookmarkEnd w:id="701"/>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998188"/>
      <w:r w:rsidRPr="00EF7F33">
        <w:rPr>
          <w:rFonts w:ascii="Times New Roman" w:hAnsi="Times New Roman"/>
          <w:sz w:val="24"/>
          <w:u w:val="none"/>
        </w:rPr>
        <w:t>5.5.1.</w:t>
      </w:r>
      <w:r w:rsidRPr="00EF7F33">
        <w:tab/>
      </w:r>
      <w:r w:rsidRPr="00EF7F33">
        <w:rPr>
          <w:rFonts w:ascii="Times New Roman" w:hAnsi="Times New Roman"/>
          <w:sz w:val="24"/>
        </w:rPr>
        <w:t>Opće napomene</w:t>
      </w:r>
      <w:bookmarkEnd w:id="702"/>
      <w:bookmarkEnd w:id="703"/>
      <w:bookmarkEnd w:id="704"/>
      <w:bookmarkEnd w:id="705"/>
      <w:bookmarkEnd w:id="706"/>
      <w:bookmarkEnd w:id="707"/>
      <w:bookmarkEnd w:id="708"/>
      <w:bookmarkEnd w:id="709"/>
    </w:p>
    <w:p w:rsidR="00F71DF2" w:rsidRPr="00EF7F33" w:rsidRDefault="00125707" w:rsidP="001A3980">
      <w:pPr>
        <w:pStyle w:val="InstructionsText2"/>
        <w:numPr>
          <w:ilvl w:val="0"/>
          <w:numId w:val="0"/>
        </w:numPr>
        <w:ind w:left="993"/>
      </w:pPr>
      <w:r w:rsidRPr="00EF7F33">
        <w:t>150.</w:t>
      </w:r>
      <w:r w:rsidRPr="00EF7F33">
        <w:tab/>
        <w:t>Institucije iskazuju informacije o pozicijama u svakoj valuti (uključujući izvj</w:t>
      </w:r>
      <w:r w:rsidRPr="00EF7F33">
        <w:t>e</w:t>
      </w:r>
      <w:r w:rsidRPr="00EF7F33">
        <w:t>štajnu valutu) i odgovarajućim kapitalnim zahtjevima za valute koje se tretiraju u skladu sa standardiziranim pristupom. Pozicija se izračunava za svaku valutu (u</w:t>
      </w:r>
      <w:r w:rsidRPr="00EF7F33">
        <w:t>k</w:t>
      </w:r>
      <w:r w:rsidRPr="00EF7F33">
        <w:t xml:space="preserve">ljučujući euro), zlato i pozicije u CIU-u. </w:t>
      </w:r>
    </w:p>
    <w:p w:rsidR="000B0B09" w:rsidRPr="00EF7F33" w:rsidRDefault="00125707" w:rsidP="001A3980">
      <w:pPr>
        <w:pStyle w:val="InstructionsText2"/>
        <w:numPr>
          <w:ilvl w:val="0"/>
          <w:numId w:val="0"/>
        </w:numPr>
        <w:ind w:left="993"/>
      </w:pPr>
      <w:r w:rsidRPr="00EF7F33">
        <w:t>151.</w:t>
      </w:r>
      <w:r w:rsidRPr="00EF7F33">
        <w:tab/>
        <w:t>Stupci od 100 do 480 ovog obrasca iskazuju se čak i ako institucije nisu obve</w:t>
      </w:r>
      <w:r w:rsidRPr="00EF7F33">
        <w:t>z</w:t>
      </w:r>
      <w:r w:rsidRPr="00EF7F33">
        <w:t>ne izračunavati kapitalne zahtjeve za valutni rizik u skladu s člankom 351. CRR-a. U te se bilješke uključuju sve pozicije u izvještajnoj valuti, neovisno o tome u kojoj su mjeri uzete u obzir za potrebe članka 354. CRR-a. U redcima od 130 do 480 b</w:t>
      </w:r>
      <w:r w:rsidRPr="00EF7F33">
        <w:t>i</w:t>
      </w:r>
      <w:r w:rsidRPr="00EF7F33">
        <w:t>lješke uz obrazac popunjavaju se zasebno za sve valute država članica Unije i slj</w:t>
      </w:r>
      <w:r w:rsidRPr="00EF7F33">
        <w:t>e</w:t>
      </w:r>
      <w:r w:rsidRPr="00EF7F33">
        <w:t>deće valute: USD, CHF, JPY, RUB, TRY, AUD, CAD, RSD, ALL, UAH, MKD, EGP, ARS, BRL, MXN, HKD, ICK, TWD, NZD, NOK, SGD, KRW, CNY i sve ostale valute.</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998189"/>
      <w:r w:rsidRPr="00EF7F33">
        <w:rPr>
          <w:rFonts w:ascii="Times New Roman" w:hAnsi="Times New Roman"/>
          <w:sz w:val="24"/>
          <w:u w:val="none"/>
        </w:rPr>
        <w:t>5.5.2.</w:t>
      </w:r>
      <w:r w:rsidRPr="00EF7F33">
        <w:tab/>
      </w:r>
      <w:r w:rsidRPr="00EF7F33">
        <w:rPr>
          <w:rFonts w:ascii="Times New Roman" w:hAnsi="Times New Roman"/>
          <w:sz w:val="24"/>
        </w:rPr>
        <w:t>Upute za specifične pozicije</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F7F33" w:rsidTr="00672D2A">
        <w:trPr>
          <w:trHeight w:val="595"/>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020-030</w:t>
            </w:r>
          </w:p>
          <w:p w:rsidR="000B0B09" w:rsidRPr="00EF7F33" w:rsidRDefault="000B0B09" w:rsidP="000B0B09">
            <w:pPr>
              <w:autoSpaceDE w:val="0"/>
              <w:autoSpaceDN w:val="0"/>
              <w:adjustRightInd w:val="0"/>
              <w:spacing w:before="0" w:after="0"/>
              <w:rPr>
                <w:rFonts w:ascii="Times New Roman" w:hAnsi="Times New Roman"/>
                <w:sz w:val="24"/>
              </w:rPr>
            </w:pP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POZICIJE (DUGE I KRATKE)</w:t>
            </w:r>
          </w:p>
          <w:p w:rsidR="000B0B09" w:rsidRPr="00EF7F33" w:rsidRDefault="000B0B09" w:rsidP="00283B5F">
            <w:pPr>
              <w:autoSpaceDE w:val="0"/>
              <w:autoSpaceDN w:val="0"/>
              <w:adjustRightInd w:val="0"/>
              <w:spacing w:before="0" w:after="0"/>
              <w:rPr>
                <w:rFonts w:ascii="Times New Roman" w:hAnsi="Times New Roman"/>
                <w:sz w:val="24"/>
              </w:rPr>
            </w:pPr>
          </w:p>
          <w:p w:rsidR="000B0B09" w:rsidRPr="00EF7F33" w:rsidRDefault="000B0B09" w:rsidP="00D1690D">
            <w:pPr>
              <w:autoSpaceDE w:val="0"/>
              <w:autoSpaceDN w:val="0"/>
              <w:adjustRightInd w:val="0"/>
              <w:spacing w:before="0" w:after="0"/>
              <w:rPr>
                <w:rFonts w:ascii="Times New Roman" w:hAnsi="Times New Roman"/>
                <w:sz w:val="24"/>
              </w:rPr>
            </w:pPr>
            <w:r w:rsidRPr="00EF7F33">
              <w:rPr>
                <w:rFonts w:ascii="Times New Roman" w:hAnsi="Times New Roman"/>
                <w:sz w:val="24"/>
              </w:rPr>
              <w:t>Bruto pozicije na osnovi imovine, iznosi koji će biti primljeni i slične stavke iz članka 352. stavka 1. CRR-a. U skladu s člankom 352. stavkom 2., podložno odobrenju nadležnih tijela, ne iskazuju se pozicije koje je institucija zauzela s ciljem zaštite od negativnih učinaka promjene tečaja na svoje stope u skladu s člankom 92. stavkom 1. i pozicije koje se odnose na stavke koje su već izuzete iz izračuna regulatornog kapitala.</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040-050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NETO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283B5F"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352. stavci 3. i 4., prva i druga rečenica, i članak 353. CRR-a.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Neto pozicije izračunavaju se za svaku valutu te, u skladu s tim, mogu postojati istovremene duge i kratke pozicije.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060-080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KOJE PODLIJEŽU KAPITALNOM ZAHTJEVU</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352. stavak 4. treća rečenica, članci 353. i 354.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r w:rsidRPr="00EF7F33">
              <w:rPr>
                <w:rFonts w:ascii="Times New Roman" w:hAnsi="Times New Roman"/>
                <w:sz w:val="24"/>
              </w:rPr>
              <w:lastRenderedPageBreak/>
              <w:t>070</w:t>
            </w:r>
          </w:p>
        </w:tc>
        <w:tc>
          <w:tcPr>
            <w:tcW w:w="7874"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b/>
                <w:sz w:val="24"/>
                <w:u w:val="single"/>
              </w:rPr>
              <w:lastRenderedPageBreak/>
              <w:t xml:space="preserve">POZICIJE KOJE PODLIJEŽU KAPITALNOM ZAHTJEVU (DUGE I </w:t>
            </w:r>
            <w:r w:rsidRPr="00EF7F33">
              <w:rPr>
                <w:rFonts w:ascii="Times New Roman" w:hAnsi="Times New Roman"/>
                <w:b/>
                <w:sz w:val="24"/>
                <w:u w:val="single"/>
              </w:rPr>
              <w:lastRenderedPageBreak/>
              <w:t>KRATKE)</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Duge i kratke pozicije za svaku valutu izračunavaju se odbijanjem ukupnih kratkih pozicija od ukupnih dugih pozicija.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Neto duge pozicije za svaki posao u nekoj valuti dodaju se kako bi se dobile neto duge pozicije u toj valuti.</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Neto kratke pozicije za svaki posao u nekoj valuti dodaju se kako bi se dobile neto kratke pozicije u toj valuti.</w:t>
            </w:r>
          </w:p>
          <w:p w:rsidR="000B0B09" w:rsidRPr="00EF7F33" w:rsidRDefault="000B0B09" w:rsidP="00283B5F">
            <w:pPr>
              <w:autoSpaceDE w:val="0"/>
              <w:autoSpaceDN w:val="0"/>
              <w:adjustRightInd w:val="0"/>
              <w:spacing w:before="0" w:after="0"/>
              <w:rPr>
                <w:rFonts w:ascii="Times New Roman" w:hAnsi="Times New Roman"/>
                <w:sz w:val="24"/>
              </w:rPr>
            </w:pPr>
            <w:r w:rsidRPr="00EF7F33">
              <w:rPr>
                <w:rFonts w:ascii="Times New Roman" w:hAnsi="Times New Roman"/>
                <w:sz w:val="24"/>
              </w:rPr>
              <w:t>Neusklađene pozicije u neizvještajnim valutama dodaju se pozicijama koje p</w:t>
            </w:r>
            <w:r w:rsidRPr="00EF7F33">
              <w:rPr>
                <w:rFonts w:ascii="Times New Roman" w:hAnsi="Times New Roman"/>
                <w:sz w:val="24"/>
              </w:rPr>
              <w:t>o</w:t>
            </w:r>
            <w:r w:rsidRPr="00EF7F33">
              <w:rPr>
                <w:rFonts w:ascii="Times New Roman" w:hAnsi="Times New Roman"/>
                <w:sz w:val="24"/>
              </w:rPr>
              <w:t>dliježu kapitalnim zahtjevima za ostale valute (redak 030) u stupcu (060) ili (070), ovisno o njihovom kratkom ili dugom aranžmanu.</w:t>
            </w:r>
          </w:p>
          <w:p w:rsidR="00DE48EF" w:rsidRPr="00EF7F33" w:rsidRDefault="00DE48EF" w:rsidP="00283B5F">
            <w:pPr>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080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KOJE PODLIJEŽU KAPITALNOM ZAHTJEVU (USKL</w:t>
            </w:r>
            <w:r w:rsidRPr="00EF7F33">
              <w:rPr>
                <w:rFonts w:ascii="Times New Roman" w:hAnsi="Times New Roman"/>
                <w:b/>
                <w:sz w:val="24"/>
                <w:u w:val="single"/>
              </w:rPr>
              <w:t>A</w:t>
            </w:r>
            <w:r w:rsidRPr="00EF7F33">
              <w:rPr>
                <w:rFonts w:ascii="Times New Roman" w:hAnsi="Times New Roman"/>
                <w:b/>
                <w:sz w:val="24"/>
                <w:u w:val="single"/>
              </w:rPr>
              <w:t>ĐENE)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Usklađene pozicije za visokokorelirane valute</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w:t>
            </w:r>
          </w:p>
        </w:tc>
        <w:tc>
          <w:tcPr>
            <w:tcW w:w="7874"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Kapitalni zahtjev za sve relevantne pozicije u skladu s dijelom 3. glavom IV. poglavljem 3.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8"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w:t>
            </w:r>
          </w:p>
        </w:tc>
        <w:tc>
          <w:tcPr>
            <w:tcW w:w="7874"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IZLOŽENOSTI RIZIKU</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tabs>
                <w:tab w:val="left" w:pos="1665"/>
              </w:tabs>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92. stavak 4. točka (b) CRR-a. Rezultat množenja kapitalnih zahtjeva sa 12,5. </w:t>
            </w:r>
          </w:p>
          <w:p w:rsidR="00DE48EF" w:rsidRPr="00EF7F33"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EF7F33"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EF7F33" w:rsidTr="00672D2A">
        <w:trPr>
          <w:trHeight w:val="497"/>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UKUPNE POZICIJE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491F4D"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Sve pozicije u neizvještajnim valutama i one pozicije u izvještajnoj valuti koje se uzimaju u obzir za potrebe članka 354. CRR-a te njihovi odgovarajući kap</w:t>
            </w:r>
            <w:r w:rsidRPr="00EF7F33">
              <w:rPr>
                <w:rFonts w:ascii="Times New Roman" w:hAnsi="Times New Roman"/>
                <w:sz w:val="24"/>
              </w:rPr>
              <w:t>i</w:t>
            </w:r>
            <w:r w:rsidRPr="00EF7F33">
              <w:rPr>
                <w:rFonts w:ascii="Times New Roman" w:hAnsi="Times New Roman"/>
                <w:sz w:val="24"/>
              </w:rPr>
              <w:t>talni zahtjevi u skladu s člankom 92. stavkom 3. točkom (c) podtočkom i. i člankom 352. stavcima 2. i 4. CRR-a (radi preračunavanja u izvještajnu valutu)</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VISOKOKORELIRANE VALUTE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i njihovi odgovarajući kapitalni zahtjevi za valute iz članka 354. CRR-a.</w:t>
            </w:r>
          </w:p>
          <w:p w:rsidR="000B0B09" w:rsidRPr="00EF7F33" w:rsidRDefault="000B0B09" w:rsidP="000B0B09">
            <w:pPr>
              <w:autoSpaceDE w:val="0"/>
              <w:autoSpaceDN w:val="0"/>
              <w:adjustRightInd w:val="0"/>
              <w:spacing w:before="0" w:after="0"/>
              <w:rPr>
                <w:rFonts w:ascii="Times New Roman" w:hAnsi="Times New Roman"/>
                <w:sz w:val="24"/>
              </w:rPr>
            </w:pPr>
          </w:p>
        </w:tc>
      </w:tr>
      <w:tr w:rsidR="00491F4D" w:rsidRPr="00EF7F33" w:rsidTr="00672D2A">
        <w:tc>
          <w:tcPr>
            <w:tcW w:w="991" w:type="dxa"/>
          </w:tcPr>
          <w:p w:rsidR="00491F4D" w:rsidRPr="00EF7F33" w:rsidRDefault="00491F4D"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025</w:t>
            </w:r>
          </w:p>
        </w:tc>
        <w:tc>
          <w:tcPr>
            <w:tcW w:w="7871" w:type="dxa"/>
          </w:tcPr>
          <w:p w:rsidR="00491F4D" w:rsidRPr="00EF7F33" w:rsidRDefault="00491F4D"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 xml:space="preserve">Visokokorelirane valute: </w:t>
            </w:r>
            <w:r w:rsidRPr="00EF7F33">
              <w:rPr>
                <w:rFonts w:ascii="Times New Roman" w:hAnsi="Times New Roman"/>
                <w:b/>
                <w:i/>
                <w:sz w:val="24"/>
                <w:u w:val="single"/>
              </w:rPr>
              <w:t>od čega</w:t>
            </w:r>
            <w:r w:rsidRPr="00EF7F33">
              <w:rPr>
                <w:rFonts w:ascii="Times New Roman" w:hAnsi="Times New Roman"/>
                <w:b/>
                <w:sz w:val="24"/>
                <w:u w:val="single"/>
              </w:rPr>
              <w:t>: izvještajna valuta</w:t>
            </w:r>
          </w:p>
          <w:p w:rsidR="00491F4D" w:rsidRPr="00EF7F33" w:rsidRDefault="00491F4D" w:rsidP="000B0B09">
            <w:pPr>
              <w:autoSpaceDE w:val="0"/>
              <w:autoSpaceDN w:val="0"/>
              <w:adjustRightInd w:val="0"/>
              <w:spacing w:before="0" w:after="0"/>
              <w:rPr>
                <w:rFonts w:ascii="Times New Roman" w:hAnsi="Times New Roman"/>
                <w:sz w:val="24"/>
              </w:rPr>
            </w:pPr>
          </w:p>
          <w:p w:rsidR="00491F4D" w:rsidRPr="00EF7F33" w:rsidRDefault="00491F4D"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izvještajnoj valuti koje pridonose izračunu kapitalnih zahtjeva u skladu s člankom 354. CRR-a</w:t>
            </w:r>
          </w:p>
          <w:p w:rsidR="00491F4D" w:rsidRPr="00EF7F33" w:rsidRDefault="00491F4D"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OSTALE VALUTE (uključujući CIU-e koji se tretiraju kao različite valute)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Pozicije i njihovi odgovarajući kapitalni zahtjevi za valute koje podliježu o</w:t>
            </w:r>
            <w:r w:rsidRPr="00EF7F33">
              <w:rPr>
                <w:rFonts w:ascii="Times New Roman" w:hAnsi="Times New Roman"/>
                <w:sz w:val="24"/>
              </w:rPr>
              <w:t>p</w:t>
            </w:r>
            <w:r w:rsidRPr="00EF7F33">
              <w:rPr>
                <w:rFonts w:ascii="Times New Roman" w:hAnsi="Times New Roman"/>
                <w:sz w:val="24"/>
              </w:rPr>
              <w:t xml:space="preserve">ćem postupku iz članka 351. i članka 352. stavaka 2. i 4.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Cs/>
                <w:sz w:val="24"/>
                <w:u w:val="single"/>
              </w:rPr>
            </w:pPr>
            <w:r w:rsidRPr="00EF7F33">
              <w:rPr>
                <w:rFonts w:ascii="Times New Roman" w:hAnsi="Times New Roman"/>
                <w:sz w:val="24"/>
                <w:u w:val="single"/>
              </w:rPr>
              <w:t>Iskazivanje CIU-a koji se tretiraju kao zasebne valute u skladu s člankom 353. CRR-a:</w:t>
            </w:r>
          </w:p>
          <w:p w:rsidR="000B0B09" w:rsidRPr="00EF7F33" w:rsidRDefault="000B0B09" w:rsidP="000B0B09">
            <w:pPr>
              <w:autoSpaceDE w:val="0"/>
              <w:autoSpaceDN w:val="0"/>
              <w:adjustRightInd w:val="0"/>
              <w:spacing w:before="0" w:after="0"/>
              <w:rPr>
                <w:rFonts w:ascii="Times New Roman" w:hAnsi="Times New Roman"/>
                <w:bCs/>
                <w:sz w:val="24"/>
              </w:rPr>
            </w:pPr>
            <w:r w:rsidRPr="00EF7F33">
              <w:rPr>
                <w:rFonts w:ascii="Times New Roman" w:hAnsi="Times New Roman"/>
                <w:sz w:val="24"/>
              </w:rPr>
              <w:t>Postoje dva različita tretmana CIU-a koji se tretiraju kao zasebne valute radi i</w:t>
            </w:r>
            <w:r w:rsidRPr="00EF7F33">
              <w:rPr>
                <w:rFonts w:ascii="Times New Roman" w:hAnsi="Times New Roman"/>
                <w:sz w:val="24"/>
              </w:rPr>
              <w:t>z</w:t>
            </w:r>
            <w:r w:rsidRPr="00EF7F33">
              <w:rPr>
                <w:rFonts w:ascii="Times New Roman" w:hAnsi="Times New Roman"/>
                <w:sz w:val="24"/>
              </w:rPr>
              <w:t>računa kapitalnih zahtjeva:</w:t>
            </w:r>
          </w:p>
          <w:p w:rsidR="000B0B09" w:rsidRPr="00EF7F33" w:rsidRDefault="00125707" w:rsidP="0023700C">
            <w:pPr>
              <w:autoSpaceDE w:val="0"/>
              <w:autoSpaceDN w:val="0"/>
              <w:adjustRightInd w:val="0"/>
              <w:spacing w:before="0" w:after="0"/>
              <w:ind w:left="720" w:hanging="360"/>
              <w:rPr>
                <w:rFonts w:ascii="Times New Roman" w:hAnsi="Times New Roman"/>
                <w:bCs/>
                <w:sz w:val="24"/>
              </w:rPr>
            </w:pPr>
            <w:r w:rsidRPr="00EF7F33">
              <w:rPr>
                <w:rFonts w:ascii="Times New Roman" w:hAnsi="Times New Roman"/>
                <w:sz w:val="24"/>
              </w:rPr>
              <w:t>1.</w:t>
            </w:r>
            <w:r w:rsidRPr="00EF7F33">
              <w:tab/>
            </w:r>
            <w:r w:rsidRPr="00EF7F33">
              <w:rPr>
                <w:rFonts w:ascii="Times New Roman" w:hAnsi="Times New Roman"/>
                <w:sz w:val="24"/>
              </w:rPr>
              <w:t>izmijenjena metoda pozicija u zlatu ako smjer ulaganja CIU-a nije do</w:t>
            </w:r>
            <w:r w:rsidRPr="00EF7F33">
              <w:rPr>
                <w:rFonts w:ascii="Times New Roman" w:hAnsi="Times New Roman"/>
                <w:sz w:val="24"/>
              </w:rPr>
              <w:t>s</w:t>
            </w:r>
            <w:r w:rsidRPr="00EF7F33">
              <w:rPr>
                <w:rFonts w:ascii="Times New Roman" w:hAnsi="Times New Roman"/>
                <w:sz w:val="24"/>
              </w:rPr>
              <w:t>tupan (navedeni se CIU-i dodaju ukupnim neto valutnim pozicijama i</w:t>
            </w:r>
            <w:r w:rsidRPr="00EF7F33">
              <w:rPr>
                <w:rFonts w:ascii="Times New Roman" w:hAnsi="Times New Roman"/>
                <w:sz w:val="24"/>
              </w:rPr>
              <w:t>n</w:t>
            </w:r>
            <w:r w:rsidRPr="00EF7F33">
              <w:rPr>
                <w:rFonts w:ascii="Times New Roman" w:hAnsi="Times New Roman"/>
                <w:sz w:val="24"/>
              </w:rPr>
              <w:t>stitucije)</w:t>
            </w:r>
          </w:p>
          <w:p w:rsidR="000B0B09" w:rsidRPr="00EF7F33" w:rsidRDefault="00125707" w:rsidP="0023700C">
            <w:pPr>
              <w:autoSpaceDE w:val="0"/>
              <w:autoSpaceDN w:val="0"/>
              <w:adjustRightInd w:val="0"/>
              <w:spacing w:before="0" w:after="0"/>
              <w:ind w:left="720" w:hanging="360"/>
              <w:rPr>
                <w:rFonts w:ascii="Times New Roman" w:hAnsi="Times New Roman"/>
                <w:bCs/>
                <w:sz w:val="24"/>
              </w:rPr>
            </w:pPr>
            <w:r w:rsidRPr="00EF7F33">
              <w:rPr>
                <w:rFonts w:ascii="Times New Roman" w:hAnsi="Times New Roman"/>
                <w:sz w:val="24"/>
              </w:rPr>
              <w:t>2.</w:t>
            </w:r>
            <w:r w:rsidRPr="00EF7F33">
              <w:tab/>
            </w:r>
            <w:r w:rsidRPr="00EF7F33">
              <w:rPr>
                <w:rFonts w:ascii="Times New Roman" w:hAnsi="Times New Roman"/>
                <w:sz w:val="24"/>
              </w:rPr>
              <w:t>ako je smjer ulaganja CIU-a dostupan, navedeni se CIU-i dodaju uku</w:t>
            </w:r>
            <w:r w:rsidRPr="00EF7F33">
              <w:rPr>
                <w:rFonts w:ascii="Times New Roman" w:hAnsi="Times New Roman"/>
                <w:sz w:val="24"/>
              </w:rPr>
              <w:t>p</w:t>
            </w:r>
            <w:r w:rsidRPr="00EF7F33">
              <w:rPr>
                <w:rFonts w:ascii="Times New Roman" w:hAnsi="Times New Roman"/>
                <w:sz w:val="24"/>
              </w:rPr>
              <w:t>noj otvorenoj valutnoj poziciji (dugoj ili kratkoj, ovisno o smjeru CIU-a)</w:t>
            </w:r>
          </w:p>
          <w:p w:rsidR="000B0B09" w:rsidRPr="00EF7F33" w:rsidRDefault="000B0B09" w:rsidP="000B0B09">
            <w:pPr>
              <w:autoSpaceDE w:val="0"/>
              <w:autoSpaceDN w:val="0"/>
              <w:adjustRightInd w:val="0"/>
              <w:spacing w:before="0" w:after="0"/>
              <w:rPr>
                <w:rFonts w:ascii="Times New Roman" w:hAnsi="Times New Roman"/>
                <w:bCs/>
                <w:sz w:val="24"/>
                <w:u w:val="single"/>
              </w:rPr>
            </w:pPr>
            <w:r w:rsidRPr="00EF7F33">
              <w:rPr>
                <w:rFonts w:ascii="Times New Roman" w:hAnsi="Times New Roman"/>
                <w:sz w:val="24"/>
              </w:rPr>
              <w:t>Iskazivanje navedenih CIU-a na odgovarajući način slijedi izračun kapitalnih zahtjeva.</w:t>
            </w:r>
            <w:r w:rsidRPr="00EF7F33">
              <w:rPr>
                <w:rFonts w:ascii="Times New Roman" w:hAnsi="Times New Roman"/>
                <w:sz w:val="24"/>
                <w:u w:val="single"/>
              </w:rPr>
              <w:t xml:space="preserve"> </w:t>
            </w:r>
          </w:p>
          <w:p w:rsidR="00DE48EF" w:rsidRPr="00EF7F33" w:rsidRDefault="00DE48EF"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040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ZLATO</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i njihovi odgovarajući kapitalni zahtjevi za valute koje podliježu o</w:t>
            </w:r>
            <w:r w:rsidRPr="00EF7F33">
              <w:rPr>
                <w:rFonts w:ascii="Times New Roman" w:hAnsi="Times New Roman"/>
                <w:sz w:val="24"/>
              </w:rPr>
              <w:t>p</w:t>
            </w:r>
            <w:r w:rsidRPr="00EF7F33">
              <w:rPr>
                <w:rFonts w:ascii="Times New Roman" w:hAnsi="Times New Roman"/>
                <w:sz w:val="24"/>
              </w:rPr>
              <w:t xml:space="preserve">ćem postupku iz članka 351. i članka 352. stavaka 2. i 4.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 – 090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berschrift"/>
                <w:rFonts w:ascii="Times New Roman" w:hAnsi="Times New Roman"/>
                <w:sz w:val="24"/>
              </w:rPr>
              <w:t>DODATNI ZAHTJEVI ZA OPCIJE (RIZICI OSIM DELTA-RIZIKA)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352. stavci 5. i 6. CRR-a. </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Dodatni zahtjevi za opcije povezani s rizicima osim delta-rizika iskazuju se u metodi koja se upotrebljava za njihov izračun.</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100-120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Raščlamba ukupnih pozicija (uključujući izvještajnu valutu) prema vr</w:t>
            </w:r>
            <w:r w:rsidRPr="00EF7F33">
              <w:rPr>
                <w:rFonts w:ascii="Times New Roman" w:hAnsi="Times New Roman"/>
                <w:b/>
                <w:sz w:val="24"/>
                <w:u w:val="single"/>
              </w:rPr>
              <w:t>s</w:t>
            </w:r>
            <w:r w:rsidRPr="00EF7F33">
              <w:rPr>
                <w:rFonts w:ascii="Times New Roman" w:hAnsi="Times New Roman"/>
                <w:b/>
                <w:sz w:val="24"/>
                <w:u w:val="single"/>
              </w:rPr>
              <w:t>tama izloženosti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Ukupne pozicije raščlanjuju se prema izvedenicama, ostaloj imovini i obvez</w:t>
            </w:r>
            <w:r w:rsidRPr="00EF7F33">
              <w:rPr>
                <w:rFonts w:ascii="Times New Roman" w:hAnsi="Times New Roman"/>
                <w:sz w:val="24"/>
              </w:rPr>
              <w:t>a</w:t>
            </w:r>
            <w:r w:rsidRPr="00EF7F33">
              <w:rPr>
                <w:rFonts w:ascii="Times New Roman" w:hAnsi="Times New Roman"/>
                <w:sz w:val="24"/>
              </w:rPr>
              <w:t>ma te izvanbilančnim stavkama.</w:t>
            </w:r>
          </w:p>
          <w:p w:rsidR="00DE48EF" w:rsidRPr="00EF7F33" w:rsidRDefault="00DE48EF"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Ostala imovina i obveze osim izvanbilančnih stavki i izvedenica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DE48EF"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 Pozicije koje nisu uključene u redak 110 ili 120 uključuju se ovdje. </w:t>
            </w: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 </w:t>
            </w: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110</w:t>
            </w: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Izvanbilančne stavke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Stavke u okviru područja primjene članka 352. CRR-a, neovisno o tome u k</w:t>
            </w:r>
            <w:r w:rsidRPr="00EF7F33">
              <w:rPr>
                <w:rFonts w:ascii="Times New Roman" w:hAnsi="Times New Roman"/>
                <w:sz w:val="24"/>
              </w:rPr>
              <w:t>o</w:t>
            </w:r>
            <w:r w:rsidRPr="00EF7F33">
              <w:rPr>
                <w:rFonts w:ascii="Times New Roman" w:hAnsi="Times New Roman"/>
                <w:sz w:val="24"/>
              </w:rPr>
              <w:t>joj su valuti denominirane, koje su uključene u Prilog I. CRR-u, osim stavki uključenih kao transakcije financiranja vrijednosnim papirima i transakcije s dugim rokom namire ili iz netiranja između različitih kategorija proizvoda.</w:t>
            </w:r>
          </w:p>
          <w:p w:rsidR="00DE48EF" w:rsidRPr="00EF7F33" w:rsidRDefault="00DE48EF"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120</w:t>
            </w:r>
          </w:p>
          <w:p w:rsidR="000B0B09" w:rsidRPr="00EF7F33" w:rsidRDefault="000B0B09" w:rsidP="000B0B09">
            <w:pPr>
              <w:autoSpaceDE w:val="0"/>
              <w:autoSpaceDN w:val="0"/>
              <w:adjustRightInd w:val="0"/>
              <w:spacing w:before="0" w:after="0"/>
              <w:rPr>
                <w:rFonts w:ascii="Times New Roman" w:hAnsi="Times New Roman"/>
                <w:sz w:val="24"/>
              </w:rPr>
            </w:pPr>
          </w:p>
        </w:tc>
        <w:tc>
          <w:tcPr>
            <w:tcW w:w="7871"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Izvedenice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vrednovane u skladu s člankom 352. CRR-a.</w:t>
            </w:r>
          </w:p>
          <w:p w:rsidR="00902EFC" w:rsidRPr="00EF7F33" w:rsidRDefault="00902EFC"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130-480</w:t>
            </w:r>
          </w:p>
          <w:p w:rsidR="000B0B09" w:rsidRPr="00EF7F33" w:rsidRDefault="000B0B09" w:rsidP="000B0B09">
            <w:pPr>
              <w:autoSpaceDE w:val="0"/>
              <w:autoSpaceDN w:val="0"/>
              <w:adjustRightInd w:val="0"/>
              <w:spacing w:before="0" w:after="0"/>
              <w:rPr>
                <w:rFonts w:ascii="Times New Roman" w:hAnsi="Times New Roman"/>
                <w:sz w:val="24"/>
              </w:rPr>
            </w:pPr>
          </w:p>
        </w:tc>
        <w:tc>
          <w:tcPr>
            <w:tcW w:w="7871"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b/>
                <w:sz w:val="24"/>
                <w:u w:val="single"/>
              </w:rPr>
              <w:lastRenderedPageBreak/>
              <w:t>BILJEŠKE: DEVIZNE POZICIJE</w:t>
            </w:r>
          </w:p>
          <w:p w:rsidR="000B0B09" w:rsidRPr="00EF7F33" w:rsidRDefault="000B0B09" w:rsidP="000B0B09">
            <w:pPr>
              <w:autoSpaceDE w:val="0"/>
              <w:autoSpaceDN w:val="0"/>
              <w:adjustRightInd w:val="0"/>
              <w:spacing w:before="0" w:after="0"/>
              <w:rPr>
                <w:rFonts w:ascii="Times New Roman" w:hAnsi="Times New Roman"/>
                <w:b/>
                <w:bCs/>
                <w:sz w:val="24"/>
              </w:rPr>
            </w:pPr>
          </w:p>
          <w:p w:rsidR="000B0B09" w:rsidRPr="00EF7F33" w:rsidRDefault="000B0B09" w:rsidP="00944530">
            <w:pPr>
              <w:autoSpaceDE w:val="0"/>
              <w:autoSpaceDN w:val="0"/>
              <w:adjustRightInd w:val="0"/>
              <w:spacing w:before="0" w:after="0"/>
              <w:rPr>
                <w:rStyle w:val="InstructionsTabelleText"/>
                <w:rFonts w:ascii="Times New Roman" w:hAnsi="Times New Roman"/>
                <w:sz w:val="24"/>
              </w:rPr>
            </w:pPr>
            <w:r w:rsidRPr="00EF7F33">
              <w:rPr>
                <w:rFonts w:ascii="Times New Roman" w:hAnsi="Times New Roman"/>
                <w:sz w:val="24"/>
              </w:rPr>
              <w:lastRenderedPageBreak/>
              <w:t xml:space="preserve">Bilješke uz obrazac popunjavaju se zasebno za sve valute država članica Unije i sljedeće valute: USD, CHF, JPY, RUB, TRY, AUD, CAD, RSD, ALL, UAH, MKD, EGP, ARS, BRL, MXN, HKD, ICK, TWD, NZD, NOK, SGD, KRW, CNY i sve ostale valute. </w:t>
            </w:r>
          </w:p>
        </w:tc>
      </w:tr>
    </w:tbl>
    <w:p w:rsidR="000B0B09" w:rsidRPr="00EF7F33" w:rsidRDefault="000B0B09" w:rsidP="000B0B09">
      <w:pPr>
        <w:rPr>
          <w:rFonts w:ascii="Times New Roman" w:hAnsi="Times New Roman"/>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998190"/>
      <w:r w:rsidRPr="00EF7F33">
        <w:rPr>
          <w:rFonts w:ascii="Times New Roman" w:hAnsi="Times New Roman"/>
          <w:sz w:val="24"/>
          <w:u w:val="none"/>
        </w:rPr>
        <w:t>5.6.</w:t>
      </w:r>
      <w:r w:rsidRPr="00EF7F33">
        <w:tab/>
      </w:r>
      <w:r w:rsidRPr="00EF7F33">
        <w:rPr>
          <w:rFonts w:ascii="Times New Roman" w:hAnsi="Times New Roman"/>
          <w:sz w:val="24"/>
        </w:rPr>
        <w:t xml:space="preserve">C 23.00 – Tržišni rizik: standardizirani pristupi robi </w:t>
      </w:r>
      <w:bookmarkEnd w:id="718"/>
      <w:bookmarkEnd w:id="719"/>
      <w:bookmarkEnd w:id="720"/>
      <w:bookmarkEnd w:id="721"/>
      <w:bookmarkEnd w:id="722"/>
      <w:r w:rsidRPr="00EF7F33">
        <w:rPr>
          <w:rFonts w:ascii="Times New Roman" w:hAnsi="Times New Roman"/>
          <w:sz w:val="24"/>
        </w:rPr>
        <w:t xml:space="preserve"> (MKR SA COM)</w:t>
      </w:r>
      <w:bookmarkEnd w:id="723"/>
      <w:bookmarkEnd w:id="724"/>
      <w:bookmarkEnd w:id="725"/>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998191"/>
      <w:r w:rsidRPr="00EF7F33">
        <w:rPr>
          <w:rFonts w:ascii="Times New Roman" w:hAnsi="Times New Roman"/>
          <w:sz w:val="24"/>
          <w:u w:val="none"/>
        </w:rPr>
        <w:t>5.6.1.</w:t>
      </w:r>
      <w:r w:rsidRPr="00EF7F33">
        <w:tab/>
      </w:r>
      <w:r w:rsidRPr="00EF7F33">
        <w:rPr>
          <w:rFonts w:ascii="Times New Roman" w:hAnsi="Times New Roman"/>
          <w:sz w:val="24"/>
        </w:rPr>
        <w:t>Opće napomene</w:t>
      </w:r>
      <w:bookmarkEnd w:id="726"/>
      <w:bookmarkEnd w:id="727"/>
      <w:bookmarkEnd w:id="728"/>
      <w:bookmarkEnd w:id="729"/>
      <w:bookmarkEnd w:id="730"/>
      <w:bookmarkEnd w:id="731"/>
      <w:bookmarkEnd w:id="732"/>
      <w:bookmarkEnd w:id="733"/>
    </w:p>
    <w:p w:rsidR="000B0B09" w:rsidRPr="00EF7F33" w:rsidRDefault="00125707" w:rsidP="001A3980">
      <w:pPr>
        <w:pStyle w:val="InstructionsText2"/>
        <w:numPr>
          <w:ilvl w:val="0"/>
          <w:numId w:val="0"/>
        </w:numPr>
        <w:ind w:left="993"/>
      </w:pPr>
      <w:r w:rsidRPr="00EF7F33">
        <w:t>152.</w:t>
      </w:r>
      <w:r w:rsidRPr="00EF7F33">
        <w:tab/>
        <w:t>U ovom se obrascu zahtijevaju informacije o pozicijama u robi i odgovaraj</w:t>
      </w:r>
      <w:r w:rsidRPr="00EF7F33">
        <w:t>u</w:t>
      </w:r>
      <w:r w:rsidRPr="00EF7F33">
        <w:t>ćim kapitalnim zahtjevima koje se tretiraju u skladu sa standardiziranim pristupom.</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998192"/>
      <w:r w:rsidRPr="00EF7F33">
        <w:rPr>
          <w:rFonts w:ascii="Times New Roman" w:hAnsi="Times New Roman"/>
          <w:sz w:val="24"/>
          <w:u w:val="none"/>
        </w:rPr>
        <w:t>5.6.2.</w:t>
      </w:r>
      <w:r w:rsidRPr="00EF7F33">
        <w:tab/>
      </w:r>
      <w:r w:rsidRPr="00EF7F33">
        <w:rPr>
          <w:rFonts w:ascii="Times New Roman" w:hAnsi="Times New Roman"/>
          <w:sz w:val="24"/>
        </w:rPr>
        <w:t>Upute za specifične pozicije</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EF7F33" w:rsidTr="00672D2A">
        <w:trPr>
          <w:trHeight w:val="591"/>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Stupci</w:t>
            </w:r>
          </w:p>
        </w:tc>
      </w:tr>
      <w:tr w:rsidR="000B0B09" w:rsidRPr="00EF7F33" w:rsidTr="00672D2A">
        <w:tc>
          <w:tcPr>
            <w:tcW w:w="986"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010-020</w:t>
            </w:r>
          </w:p>
        </w:tc>
        <w:tc>
          <w:tcPr>
            <w:tcW w:w="7876"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SVE POZICIJE (DUGE I KRATKE)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Bruto dugim/kratkim pozicijama smatraju se pozicije u istoj robi u skladu s člankom 357. stavcima 1. i 4. CRR-a (vidjeti i članak 359. stavak 1. CRR-a).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 </w:t>
            </w:r>
          </w:p>
        </w:tc>
      </w:tr>
      <w:tr w:rsidR="000B0B09" w:rsidRPr="00EF7F33" w:rsidTr="00672D2A">
        <w:tc>
          <w:tcPr>
            <w:tcW w:w="986"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030-040 </w:t>
            </w:r>
          </w:p>
        </w:tc>
        <w:tc>
          <w:tcPr>
            <w:tcW w:w="7876"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NETO POZICIJE (DUGE I KRATKE)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D1690D">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Kako su definirane u članku 357. stavku 3. CRR-a. </w:t>
            </w:r>
          </w:p>
        </w:tc>
      </w:tr>
      <w:tr w:rsidR="000B0B09" w:rsidRPr="00EF7F33" w:rsidTr="00672D2A">
        <w:tc>
          <w:tcPr>
            <w:tcW w:w="986"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w:t>
            </w:r>
          </w:p>
        </w:tc>
        <w:tc>
          <w:tcPr>
            <w:tcW w:w="7876"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KOJE PODLIJEŽU KAPITALNOM ZAHTJEVU</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Neto pozicije koje, u skladu s različitim pristupima koji se razmatraju u dijelu 3. glavi IV. poglavlju 4. CRR-a dobivaju kapitalni zahtjev.</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6"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p>
        </w:tc>
        <w:tc>
          <w:tcPr>
            <w:tcW w:w="7876"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Kapitalni zahtjev za sve relevantne pozicije u skladu s dijelom 3. glavom IV. poglavljem 4. CRR-a </w:t>
            </w:r>
          </w:p>
        </w:tc>
      </w:tr>
      <w:tr w:rsidR="000B0B09" w:rsidRPr="00EF7F33" w:rsidTr="00672D2A">
        <w:tc>
          <w:tcPr>
            <w:tcW w:w="986"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w:t>
            </w:r>
          </w:p>
        </w:tc>
        <w:tc>
          <w:tcPr>
            <w:tcW w:w="7876" w:type="dxa"/>
          </w:tcPr>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IZLOŽENOSTI RIZIKU</w:t>
            </w: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EF7F33" w:rsidRDefault="000B0B09" w:rsidP="000B0B09">
            <w:pPr>
              <w:tabs>
                <w:tab w:val="left" w:pos="1665"/>
              </w:tabs>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Članak 92. stavak 4. točka (b) CRR-a. Rezultat množenja kapitalnih zahtjeva sa * 12,5. </w:t>
            </w:r>
          </w:p>
        </w:tc>
      </w:tr>
    </w:tbl>
    <w:p w:rsidR="000B0B09" w:rsidRPr="00EF7F33"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EF7F33" w:rsidTr="00672D2A">
        <w:trPr>
          <w:trHeight w:val="483"/>
        </w:trPr>
        <w:tc>
          <w:tcPr>
            <w:tcW w:w="8862"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UKUPNE POZICIJE U ROBI</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9E2BBD">
            <w:pPr>
              <w:autoSpaceDE w:val="0"/>
              <w:autoSpaceDN w:val="0"/>
              <w:adjustRightInd w:val="0"/>
              <w:spacing w:before="0" w:after="0"/>
              <w:rPr>
                <w:rFonts w:ascii="Times New Roman" w:hAnsi="Times New Roman"/>
                <w:sz w:val="24"/>
              </w:rPr>
            </w:pPr>
            <w:r w:rsidRPr="00EF7F33">
              <w:rPr>
                <w:rFonts w:ascii="Times New Roman" w:hAnsi="Times New Roman"/>
                <w:sz w:val="24"/>
              </w:rPr>
              <w:t>Pozicije u robi i njihovi odgovarajući kapitalni zahtjevi za tržišni rizik u skladu s člankom 92. stavkom 3. točkom (c) podtočkom iii. CRR-a i dijelom 3. gl</w:t>
            </w:r>
            <w:r w:rsidRPr="00EF7F33">
              <w:rPr>
                <w:rFonts w:ascii="Times New Roman" w:hAnsi="Times New Roman"/>
                <w:sz w:val="24"/>
              </w:rPr>
              <w:t>a</w:t>
            </w:r>
            <w:r w:rsidRPr="00EF7F33">
              <w:rPr>
                <w:rFonts w:ascii="Times New Roman" w:hAnsi="Times New Roman"/>
                <w:sz w:val="24"/>
              </w:rPr>
              <w:t xml:space="preserve">vom IV. poglavljem 4. CRR-a. </w:t>
            </w:r>
          </w:p>
        </w:tc>
      </w:tr>
      <w:tr w:rsidR="000B0B09" w:rsidRPr="00EF7F33" w:rsidTr="00672D2A">
        <w:tc>
          <w:tcPr>
            <w:tcW w:w="987"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020-060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POZICIJE PREMA KATEGORIJI ROBE</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Za potrebe izvješćivanja roba se raspoređuje u četiri glavne skupine robe iz </w:t>
            </w:r>
            <w:r w:rsidRPr="00EF7F33">
              <w:rPr>
                <w:rFonts w:ascii="Times New Roman" w:hAnsi="Times New Roman"/>
                <w:sz w:val="24"/>
              </w:rPr>
              <w:lastRenderedPageBreak/>
              <w:t>tablice 2. iz članka 361. CRR-a.</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 </w:t>
            </w: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070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PRISTUP LJESTVICE DOSPIJEĆA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robi koje podliježu pristupu ljestvici dospijeća iz članka 359. CRR-a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080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PROŠIRENI PRISTUP LJESTVICE DOSPIJEĆA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Pozicije u robi koje podliježu proširenom pristupu ljestvici dospijeća iz članka 361. CRR-a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POJEDNOSTAVLJENI PRISTUP</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Pozicije u robi koje podliježu pojednostavljenom pristupu iz članka 360.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87"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100-140</w:t>
            </w:r>
          </w:p>
        </w:tc>
        <w:tc>
          <w:tcPr>
            <w:tcW w:w="7875"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berschrift"/>
                <w:rFonts w:ascii="Times New Roman" w:hAnsi="Times New Roman"/>
                <w:sz w:val="24"/>
              </w:rPr>
              <w:t>DODATNI ZAHTJEVI ZA OPCIJE (RIZICI OSIM DELTA-RIZIKA)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358. stavak 4. CRR-a. </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Dodatni zahtjevi za opcije povezani s rizicima osim delta-rizika iskazuju se u metodi koja se upotrebljava za njihov izračun.</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p>
        </w:tc>
      </w:tr>
    </w:tbl>
    <w:p w:rsidR="000B0B09" w:rsidRPr="00EF7F33" w:rsidRDefault="000B0B09" w:rsidP="000B0B09">
      <w:pPr>
        <w:rPr>
          <w:rFonts w:ascii="Times New Roman" w:hAnsi="Times New Roman"/>
          <w:sz w:val="24"/>
        </w:rPr>
      </w:pPr>
    </w:p>
    <w:p w:rsidR="000B0B09" w:rsidRPr="00EF7F33"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998193"/>
      <w:r w:rsidRPr="00EF7F33">
        <w:rPr>
          <w:rFonts w:ascii="Times New Roman" w:hAnsi="Times New Roman"/>
          <w:sz w:val="24"/>
          <w:u w:val="none"/>
        </w:rPr>
        <w:t>5.7.</w:t>
      </w:r>
      <w:r w:rsidRPr="00EF7F33">
        <w:tab/>
      </w:r>
      <w:r w:rsidRPr="00EF7F33">
        <w:rPr>
          <w:rFonts w:ascii="Times New Roman" w:hAnsi="Times New Roman"/>
          <w:sz w:val="24"/>
        </w:rPr>
        <w:t xml:space="preserve">C 24.00 – Interni model za tržišni rizik </w:t>
      </w:r>
      <w:bookmarkEnd w:id="742"/>
      <w:bookmarkEnd w:id="743"/>
      <w:bookmarkEnd w:id="744"/>
      <w:bookmarkEnd w:id="745"/>
      <w:bookmarkEnd w:id="746"/>
      <w:r w:rsidRPr="00EF7F33">
        <w:rPr>
          <w:rFonts w:ascii="Times New Roman" w:hAnsi="Times New Roman"/>
          <w:sz w:val="24"/>
        </w:rPr>
        <w:t xml:space="preserve"> (MKR IM)</w:t>
      </w:r>
      <w:bookmarkEnd w:id="747"/>
      <w:bookmarkEnd w:id="748"/>
      <w:bookmarkEnd w:id="749"/>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998194"/>
      <w:r w:rsidRPr="00EF7F33">
        <w:rPr>
          <w:rFonts w:ascii="Times New Roman" w:hAnsi="Times New Roman"/>
          <w:sz w:val="24"/>
          <w:u w:val="none"/>
        </w:rPr>
        <w:t>5.7.1.</w:t>
      </w:r>
      <w:r w:rsidRPr="00EF7F33">
        <w:tab/>
      </w:r>
      <w:r w:rsidRPr="00EF7F33">
        <w:rPr>
          <w:rFonts w:ascii="Times New Roman" w:hAnsi="Times New Roman"/>
          <w:sz w:val="24"/>
        </w:rPr>
        <w:t>Opće napomene</w:t>
      </w:r>
      <w:bookmarkEnd w:id="750"/>
      <w:bookmarkEnd w:id="751"/>
      <w:bookmarkEnd w:id="752"/>
      <w:bookmarkEnd w:id="753"/>
      <w:bookmarkEnd w:id="754"/>
      <w:bookmarkEnd w:id="755"/>
      <w:bookmarkEnd w:id="756"/>
      <w:bookmarkEnd w:id="757"/>
    </w:p>
    <w:p w:rsidR="000B0B09" w:rsidRPr="00EF7F33" w:rsidRDefault="00125707" w:rsidP="001A3980">
      <w:pPr>
        <w:pStyle w:val="InstructionsText2"/>
        <w:numPr>
          <w:ilvl w:val="0"/>
          <w:numId w:val="0"/>
        </w:numPr>
        <w:ind w:left="993"/>
      </w:pPr>
      <w:r w:rsidRPr="00EF7F33">
        <w:t>153.</w:t>
      </w:r>
      <w:r w:rsidRPr="00EF7F33">
        <w:tab/>
        <w:t>Ovaj obrazac sadržava raščlambu vrijednosti VaR i VaR u stresnim uvjetima (sVaR) prema različitim tržišnim rizicima (za dužničke, vlasničke, valutne i robne instrumente) i ostale informacije koje su relevantne za izračun kapitalnih zahtjeva.</w:t>
      </w:r>
    </w:p>
    <w:p w:rsidR="000B0B09" w:rsidRPr="00EF7F33" w:rsidRDefault="00125707" w:rsidP="001A3980">
      <w:pPr>
        <w:pStyle w:val="InstructionsText2"/>
        <w:numPr>
          <w:ilvl w:val="0"/>
          <w:numId w:val="0"/>
        </w:numPr>
        <w:ind w:left="993"/>
      </w:pPr>
      <w:r w:rsidRPr="00EF7F33">
        <w:t>154.</w:t>
      </w:r>
      <w:r w:rsidRPr="00EF7F33">
        <w:tab/>
        <w:t>Općenito, izvješćivanje ovisi o strukturi modela institucija, odnosno iskazuju li vrijednosti za opći i specifični rizik zasebno ili zajedno. Isto vrijedi za raščlanjiv</w:t>
      </w:r>
      <w:r w:rsidRPr="00EF7F33">
        <w:t>a</w:t>
      </w:r>
      <w:r w:rsidRPr="00EF7F33">
        <w:t>nje vrijednosti VaR/VaR u stresnim uvjetima u kategorije rizika (kamatni rizik, r</w:t>
      </w:r>
      <w:r w:rsidRPr="00EF7F33">
        <w:t>i</w:t>
      </w:r>
      <w:r w:rsidRPr="00EF7F33">
        <w:t xml:space="preserve">zik vlasničkih instrumenata, robni rizik i valutni rizik). Institucija može odustati od iskazivanja prethodno navedenog raščlanjivanja ako dokaže da bi iskazivanje tih vrijednosti bilo preveliko opterećenje. </w:t>
      </w: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998195"/>
      <w:r w:rsidRPr="00EF7F33">
        <w:rPr>
          <w:rFonts w:ascii="Times New Roman" w:hAnsi="Times New Roman"/>
          <w:sz w:val="24"/>
          <w:u w:val="none"/>
        </w:rPr>
        <w:t>5.7.2.</w:t>
      </w:r>
      <w:r w:rsidRPr="00EF7F33">
        <w:tab/>
      </w:r>
      <w:r w:rsidRPr="00EF7F33">
        <w:rPr>
          <w:rFonts w:ascii="Times New Roman" w:hAnsi="Times New Roman"/>
          <w:sz w:val="24"/>
        </w:rPr>
        <w:t>Upute za specifične pozicije</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EF7F33" w:rsidTr="00672D2A">
        <w:tc>
          <w:tcPr>
            <w:tcW w:w="8862" w:type="dxa"/>
            <w:gridSpan w:val="2"/>
            <w:shd w:val="clear" w:color="auto" w:fill="BFBFBF"/>
          </w:tcPr>
          <w:p w:rsidR="000B0B09" w:rsidRPr="00EF7F33" w:rsidRDefault="0034786E"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Stupci</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030-040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 xml:space="preserve">VaR </w:t>
            </w: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Najveći mogući gubitak koji bi proizišao iz promjene cijene uz danu vjeroja</w:t>
            </w:r>
            <w:r w:rsidRPr="00EF7F33">
              <w:rPr>
                <w:rFonts w:ascii="Times New Roman" w:hAnsi="Times New Roman"/>
                <w:sz w:val="24"/>
              </w:rPr>
              <w:t>t</w:t>
            </w:r>
            <w:r w:rsidRPr="00EF7F33">
              <w:rPr>
                <w:rFonts w:ascii="Times New Roman" w:hAnsi="Times New Roman"/>
                <w:sz w:val="24"/>
              </w:rPr>
              <w:t>nost tijekom određenog razdoblja</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Multiplikacijski faktor (mc) x prosjek vrijednosti VaR za prethodnih 60 radnih dana (VaRavg)</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5F1095">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 xml:space="preserve">Članak 364. stavak 1. točka (a) podtočka ii. i članak 365. stavak 1. CRR-a.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040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Prethodni dan VaR (VaRt-1)</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364. stavak 1. točka (a) podtočka i. i članak 365. stavak 1. CRR-a.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050-060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VaR u stresnim uvjetima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Najveći mogući gubitak koji bi proizišao iz promjene cijene uz danu vjeroja</w:t>
            </w:r>
            <w:r w:rsidRPr="00EF7F33">
              <w:rPr>
                <w:rFonts w:ascii="Times New Roman" w:hAnsi="Times New Roman"/>
                <w:sz w:val="24"/>
              </w:rPr>
              <w:t>t</w:t>
            </w:r>
            <w:r w:rsidRPr="00EF7F33">
              <w:rPr>
                <w:rFonts w:ascii="Times New Roman" w:hAnsi="Times New Roman"/>
                <w:sz w:val="24"/>
              </w:rPr>
              <w:t>nost tijekom određenog razdoblja dobiven primjenom ulaznih parametara koji su kalibrirani za povijesne podatke neprekinutog 12-mjesečnog razdoblja zn</w:t>
            </w:r>
            <w:r w:rsidRPr="00EF7F33">
              <w:rPr>
                <w:rFonts w:ascii="Times New Roman" w:hAnsi="Times New Roman"/>
                <w:sz w:val="24"/>
              </w:rPr>
              <w:t>a</w:t>
            </w:r>
            <w:r w:rsidRPr="00EF7F33">
              <w:rPr>
                <w:rFonts w:ascii="Times New Roman" w:hAnsi="Times New Roman"/>
                <w:sz w:val="24"/>
              </w:rPr>
              <w:t>čajnog financijskog stresa vezano u portfelj institucije.</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Multiplikacijski faktor (ms) x prosjek za prethodnih 60 radnih dana (SVaRavg)</w:t>
            </w:r>
          </w:p>
          <w:p w:rsidR="000B0B09" w:rsidRPr="00EF7F33"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EF7F33"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EF7F33">
              <w:rPr>
                <w:rFonts w:ascii="Times New Roman" w:hAnsi="Times New Roman"/>
                <w:sz w:val="24"/>
              </w:rPr>
              <w:t>Članak 364. stavak 1. točka (b) podtočka ii. i članak 365. stavak 1. CRR-a.</w:t>
            </w:r>
            <w:r w:rsidRPr="00EF7F33">
              <w:rPr>
                <w:rStyle w:val="InstructionsTabelleberschrift"/>
                <w:rFonts w:ascii="Times New Roman" w:hAnsi="Times New Roman"/>
                <w:sz w:val="24"/>
              </w:rPr>
              <w:t xml:space="preserve"> </w:t>
            </w:r>
          </w:p>
          <w:p w:rsidR="000B0B09" w:rsidRPr="00EF7F33"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Najnoviji raspoloživi iznos (SVaRt-1)</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Članak 364. stavak 1. točka (b) podtočka i. i članak 365. stavak 1.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070-080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 ZA DODATNI RIZIK NASTANKA STATUSA NEISPUNJAVANJA OBVEZA I MIGRACIJSKI RIZIK</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rPr>
                <w:rFonts w:ascii="Times New Roman" w:hAnsi="Times New Roman"/>
                <w:sz w:val="24"/>
              </w:rPr>
            </w:pPr>
            <w:r w:rsidRPr="00EF7F33">
              <w:rPr>
                <w:rFonts w:ascii="Times New Roman" w:hAnsi="Times New Roman"/>
                <w:sz w:val="24"/>
              </w:rPr>
              <w:t>Najveći mogući gubitak koji bi proizišao iz promjene cijene povezane s doda</w:t>
            </w:r>
            <w:r w:rsidRPr="00EF7F33">
              <w:rPr>
                <w:rFonts w:ascii="Times New Roman" w:hAnsi="Times New Roman"/>
                <w:sz w:val="24"/>
              </w:rPr>
              <w:t>t</w:t>
            </w:r>
            <w:r w:rsidRPr="00EF7F33">
              <w:rPr>
                <w:rFonts w:ascii="Times New Roman" w:hAnsi="Times New Roman"/>
                <w:sz w:val="24"/>
              </w:rPr>
              <w:t>nim rizikom nastanka statusa neispunjavanja obveza i migracijskim rizikom i</w:t>
            </w:r>
            <w:r w:rsidRPr="00EF7F33">
              <w:rPr>
                <w:rFonts w:ascii="Times New Roman" w:hAnsi="Times New Roman"/>
                <w:sz w:val="24"/>
              </w:rPr>
              <w:t>z</w:t>
            </w:r>
            <w:r w:rsidRPr="00EF7F33">
              <w:rPr>
                <w:rFonts w:ascii="Times New Roman" w:hAnsi="Times New Roman"/>
                <w:sz w:val="24"/>
              </w:rPr>
              <w:t xml:space="preserve">računatima u skladu s člankom 364. stavkom 2. točkom (b) u vezi s dijelom trećim glavom IV. poglavljem 5. odjeljkom 4.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Prosječna vrijednost u prethodnih 12 tjedana</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364. stavak 2. točka (b) podtočka ii. u vezi s dijelom trećim glavom IV. poglavljem 5. odjeljkom 4. CRR-a.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080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Najnovija vrijednost</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364. stavak 2. točka (b) podtočka i. u vezi s dijelom trećim glavom IV. poglavljem 5. odjeljkom 4. CRR-a.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090-110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 ZA SVE CJENOVNE RIZIKE ZA KOREL</w:t>
            </w:r>
            <w:r w:rsidRPr="00EF7F33">
              <w:rPr>
                <w:rFonts w:ascii="Times New Roman" w:hAnsi="Times New Roman"/>
                <w:b/>
                <w:sz w:val="24"/>
                <w:u w:val="single"/>
              </w:rPr>
              <w:t>A</w:t>
            </w:r>
            <w:r w:rsidRPr="00EF7F33">
              <w:rPr>
                <w:rFonts w:ascii="Times New Roman" w:hAnsi="Times New Roman"/>
                <w:b/>
                <w:sz w:val="24"/>
                <w:u w:val="single"/>
              </w:rPr>
              <w:t>CIJSKI PORTFELJ NAMIJENJEN TRGOVANJU</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PRAG</w:t>
            </w:r>
          </w:p>
          <w:p w:rsidR="000B0B09" w:rsidRPr="00EF7F33" w:rsidRDefault="000B0B09" w:rsidP="000B0B09">
            <w:pPr>
              <w:rPr>
                <w:rFonts w:ascii="Times New Roman" w:hAnsi="Times New Roman"/>
                <w:sz w:val="24"/>
              </w:rPr>
            </w:pPr>
            <w:r w:rsidRPr="00EF7F33">
              <w:rPr>
                <w:rFonts w:ascii="Times New Roman" w:hAnsi="Times New Roman"/>
                <w:sz w:val="24"/>
              </w:rPr>
              <w:t>Članak 364. stavak 3. točka (c) CRR-a.</w:t>
            </w: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8 % kapitalnog zahtjeva koji bi se izračunao u skladu s člankom 338. sta</w:t>
            </w:r>
            <w:r w:rsidRPr="00EF7F33">
              <w:rPr>
                <w:rFonts w:ascii="Times New Roman" w:hAnsi="Times New Roman"/>
                <w:sz w:val="24"/>
              </w:rPr>
              <w:t>v</w:t>
            </w:r>
            <w:r w:rsidRPr="00EF7F33">
              <w:rPr>
                <w:rFonts w:ascii="Times New Roman" w:hAnsi="Times New Roman"/>
                <w:sz w:val="24"/>
              </w:rPr>
              <w:t>kom 1. CRR-a za sve pozicije uključene u kapitalni zahtjev za „sve cjenovne rizike”.</w:t>
            </w:r>
            <w:r w:rsidRPr="00EF7F33">
              <w:rPr>
                <w:rFonts w:ascii="Times New Roman" w:hAnsi="Times New Roman"/>
                <w:b/>
                <w:sz w:val="24"/>
                <w:u w:val="single"/>
              </w:rPr>
              <w:t xml:space="preserve">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100-110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PROSJEČNA VRIJEDNOST U PRETHODNIH 12 TJEDANA I NA</w:t>
            </w:r>
            <w:r w:rsidRPr="00EF7F33">
              <w:rPr>
                <w:rFonts w:ascii="Times New Roman" w:hAnsi="Times New Roman"/>
                <w:b/>
                <w:sz w:val="24"/>
                <w:u w:val="single"/>
              </w:rPr>
              <w:t>J</w:t>
            </w:r>
            <w:r w:rsidRPr="00EF7F33">
              <w:rPr>
                <w:rFonts w:ascii="Times New Roman" w:hAnsi="Times New Roman"/>
                <w:b/>
                <w:sz w:val="24"/>
                <w:u w:val="single"/>
              </w:rPr>
              <w:t>NOVIJA VRIJEDNOST</w:t>
            </w:r>
          </w:p>
          <w:p w:rsidR="000B0B09" w:rsidRPr="00EF7F33" w:rsidRDefault="000B0B09" w:rsidP="000B0B09">
            <w:pPr>
              <w:autoSpaceDE w:val="0"/>
              <w:autoSpaceDN w:val="0"/>
              <w:adjustRightInd w:val="0"/>
              <w:spacing w:before="0" w:after="0"/>
              <w:rPr>
                <w:rFonts w:ascii="Times New Roman" w:hAnsi="Times New Roman"/>
                <w:bCs/>
                <w:sz w:val="24"/>
                <w:u w:val="single"/>
              </w:rPr>
            </w:pPr>
            <w:r w:rsidRPr="00EF7F33">
              <w:rPr>
                <w:rFonts w:ascii="Times New Roman" w:hAnsi="Times New Roman"/>
                <w:sz w:val="24"/>
                <w:u w:val="single"/>
              </w:rPr>
              <w:t>Članak 364. stavak 3. točka (b).</w:t>
            </w:r>
          </w:p>
          <w:p w:rsidR="000B0B09" w:rsidRPr="00EF7F33" w:rsidRDefault="000B0B09" w:rsidP="000B0B09">
            <w:pPr>
              <w:autoSpaceDE w:val="0"/>
              <w:autoSpaceDN w:val="0"/>
              <w:adjustRightInd w:val="0"/>
              <w:spacing w:before="0" w:after="0"/>
              <w:rPr>
                <w:rFonts w:ascii="Times New Roman" w:hAnsi="Times New Roman"/>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110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NAJNOVIJA VRIJEDNOST</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Cs/>
                <w:sz w:val="24"/>
                <w:u w:val="single"/>
              </w:rPr>
            </w:pPr>
            <w:r w:rsidRPr="00EF7F33">
              <w:rPr>
                <w:rFonts w:ascii="Times New Roman" w:hAnsi="Times New Roman"/>
                <w:sz w:val="24"/>
                <w:u w:val="single"/>
              </w:rPr>
              <w:t>Članak 364. stavak 3. točka (a)</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120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KAPITALNI ZAHTJEVI</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Kapitalni zahtjevi iz članka 364. CRR-a za sve faktore rizika, uzimajući u obzir učinke korelacije, ako je primjenjivo, uvećane za rizik nastanka statusa neisp</w:t>
            </w:r>
            <w:r w:rsidRPr="00EF7F33">
              <w:rPr>
                <w:rFonts w:ascii="Times New Roman" w:hAnsi="Times New Roman"/>
                <w:sz w:val="24"/>
              </w:rPr>
              <w:t>u</w:t>
            </w:r>
            <w:r w:rsidRPr="00EF7F33">
              <w:rPr>
                <w:rFonts w:ascii="Times New Roman" w:hAnsi="Times New Roman"/>
                <w:sz w:val="24"/>
              </w:rPr>
              <w:t>njavanja obveza i migracijski rizik te sve cjenovne rizike za korelacijski po</w:t>
            </w:r>
            <w:r w:rsidRPr="00EF7F33">
              <w:rPr>
                <w:rFonts w:ascii="Times New Roman" w:hAnsi="Times New Roman"/>
                <w:sz w:val="24"/>
              </w:rPr>
              <w:t>r</w:t>
            </w:r>
            <w:r w:rsidRPr="00EF7F33">
              <w:rPr>
                <w:rFonts w:ascii="Times New Roman" w:hAnsi="Times New Roman"/>
                <w:sz w:val="24"/>
              </w:rPr>
              <w:t>tfelj namijenjen trgovanju, ali isključujući sekuritizacijske kapitalne zahtjeve za sekuritizaciju i kreditne izvedenice na osnovi n-tog nastanka statusa neisp</w:t>
            </w:r>
            <w:r w:rsidRPr="00EF7F33">
              <w:rPr>
                <w:rFonts w:ascii="Times New Roman" w:hAnsi="Times New Roman"/>
                <w:sz w:val="24"/>
              </w:rPr>
              <w:t>u</w:t>
            </w:r>
            <w:r w:rsidRPr="00EF7F33">
              <w:rPr>
                <w:rFonts w:ascii="Times New Roman" w:hAnsi="Times New Roman"/>
                <w:sz w:val="24"/>
              </w:rPr>
              <w:t xml:space="preserve">njavanja obveza u skladu s člankom 364. stavkom 2.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130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IZLOŽENOSTI RIZIKU</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Članak 92. stavak 4. točka (b) CRR-a. Rezultat množenja kapitalnih zahtjeva sa * 12,5.</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140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Broj prekoračenja (za prethodnih 250 radnih dana)</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Iz članka 366. CRR-a. </w:t>
            </w:r>
          </w:p>
          <w:p w:rsidR="00A92CFF" w:rsidRPr="00EF7F33" w:rsidRDefault="00A92CFF" w:rsidP="000B0B09">
            <w:pPr>
              <w:autoSpaceDE w:val="0"/>
              <w:autoSpaceDN w:val="0"/>
              <w:adjustRightInd w:val="0"/>
              <w:spacing w:before="0" w:after="0"/>
              <w:rPr>
                <w:rFonts w:ascii="Times New Roman" w:hAnsi="Times New Roman"/>
                <w:sz w:val="24"/>
              </w:rPr>
            </w:pPr>
          </w:p>
          <w:p w:rsidR="00A92CFF" w:rsidRPr="00EF7F33" w:rsidRDefault="00A92CFF"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Iskazuje se broj prekoračenja na temelju čega se određuje dodatni faktor.</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150-160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Multiplikacijski faktor za VaR (mc) i multiplikacijski faktor za SVaR (ms)</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Style w:val="InstructionsTabelleberschrift"/>
                <w:rFonts w:ascii="Times New Roman" w:hAnsi="Times New Roman"/>
                <w:sz w:val="24"/>
              </w:rPr>
            </w:pPr>
            <w:r w:rsidRPr="00EF7F33">
              <w:rPr>
                <w:rFonts w:ascii="Times New Roman" w:hAnsi="Times New Roman"/>
                <w:sz w:val="24"/>
              </w:rPr>
              <w:t>Iz članka 366. CRR-a.</w:t>
            </w:r>
            <w:r w:rsidRPr="00EF7F33">
              <w:rPr>
                <w:rStyle w:val="InstructionsTabelleberschrift"/>
                <w:rFonts w:ascii="Times New Roman" w:hAnsi="Times New Roman"/>
                <w:sz w:val="24"/>
              </w:rPr>
              <w:t xml:space="preserve">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B74792">
            <w:pPr>
              <w:autoSpaceDE w:val="0"/>
              <w:autoSpaceDN w:val="0"/>
              <w:adjustRightInd w:val="0"/>
              <w:spacing w:before="0" w:after="0"/>
              <w:rPr>
                <w:rFonts w:ascii="Times New Roman" w:hAnsi="Times New Roman"/>
                <w:sz w:val="24"/>
              </w:rPr>
            </w:pPr>
            <w:r w:rsidRPr="00EF7F33">
              <w:rPr>
                <w:rFonts w:ascii="Times New Roman" w:hAnsi="Times New Roman"/>
                <w:sz w:val="24"/>
              </w:rPr>
              <w:t>170-180</w:t>
            </w:r>
          </w:p>
        </w:tc>
        <w:tc>
          <w:tcPr>
            <w:tcW w:w="7869"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PRETPOSTAVLJENI ZAHTJEV ZA PRAG KORELACIJSKOG PO</w:t>
            </w:r>
            <w:r w:rsidRPr="00EF7F33">
              <w:rPr>
                <w:rFonts w:ascii="Times New Roman" w:hAnsi="Times New Roman"/>
                <w:b/>
                <w:sz w:val="24"/>
                <w:u w:val="single"/>
              </w:rPr>
              <w:t>R</w:t>
            </w:r>
            <w:r w:rsidRPr="00EF7F33">
              <w:rPr>
                <w:rFonts w:ascii="Times New Roman" w:hAnsi="Times New Roman"/>
                <w:b/>
                <w:sz w:val="24"/>
                <w:u w:val="single"/>
              </w:rPr>
              <w:t>TFELJA NAMIJENJENOG TRGOVANJU – PONDERIRANE NETO DUGE/KRATKE POZICIJE NAKON PRIMJENE GORNJE GRANICE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Iznosi koji su iskazani i služe kao osnova za izračun kapitalnog zahtjeva za prag za sve cjenovne rizike u skladu s člankom 364. stavkom 3. točkom (c) CRR-a, uzimajući u obzir diskrecijsko pravo iz članka 335. CRR-a prema k</w:t>
            </w:r>
            <w:r w:rsidRPr="00EF7F33">
              <w:rPr>
                <w:rFonts w:ascii="Times New Roman" w:hAnsi="Times New Roman"/>
                <w:sz w:val="24"/>
              </w:rPr>
              <w:t>o</w:t>
            </w:r>
            <w:r w:rsidRPr="00EF7F33">
              <w:rPr>
                <w:rFonts w:ascii="Times New Roman" w:hAnsi="Times New Roman"/>
                <w:sz w:val="24"/>
              </w:rPr>
              <w:t>jem institucija može ograničiti proizvod ponderiranja i neto pozicije na najviši mogući iznos gubitka povezan s rizikom nastanka statusa neispunjavanja obv</w:t>
            </w:r>
            <w:r w:rsidRPr="00EF7F33">
              <w:rPr>
                <w:rFonts w:ascii="Times New Roman" w:hAnsi="Times New Roman"/>
                <w:sz w:val="24"/>
              </w:rPr>
              <w:t>e</w:t>
            </w:r>
            <w:r w:rsidRPr="00EF7F33">
              <w:rPr>
                <w:rFonts w:ascii="Times New Roman" w:hAnsi="Times New Roman"/>
                <w:sz w:val="24"/>
              </w:rPr>
              <w:t xml:space="preserve">za. </w:t>
            </w:r>
          </w:p>
          <w:p w:rsidR="00902EFC" w:rsidRPr="00EF7F33"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EF7F33"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EF7F33" w:rsidTr="00672D2A">
        <w:trPr>
          <w:trHeight w:val="566"/>
        </w:trPr>
        <w:tc>
          <w:tcPr>
            <w:tcW w:w="8896" w:type="dxa"/>
            <w:gridSpan w:val="2"/>
            <w:shd w:val="clear" w:color="auto" w:fill="CCCCCC"/>
          </w:tcPr>
          <w:p w:rsidR="000B0B09" w:rsidRPr="00EF7F33" w:rsidRDefault="000B0B09" w:rsidP="000B0B09">
            <w:pPr>
              <w:autoSpaceDE w:val="0"/>
              <w:autoSpaceDN w:val="0"/>
              <w:adjustRightInd w:val="0"/>
              <w:spacing w:after="0"/>
              <w:rPr>
                <w:rFonts w:ascii="Times New Roman" w:hAnsi="Times New Roman"/>
                <w:b/>
                <w:sz w:val="24"/>
              </w:rPr>
            </w:pPr>
            <w:r w:rsidRPr="00EF7F33">
              <w:rPr>
                <w:rFonts w:ascii="Times New Roman" w:hAnsi="Times New Roman"/>
                <w:b/>
                <w:sz w:val="24"/>
              </w:rPr>
              <w:t>Redci</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010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UKUPNE POZICIJE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Ukupne pozicije odgovaraju dijelu pozicijskog, valutnog i robnog rizika iz </w:t>
            </w:r>
            <w:r w:rsidRPr="00EF7F33">
              <w:rPr>
                <w:rFonts w:ascii="Times New Roman" w:hAnsi="Times New Roman"/>
                <w:sz w:val="24"/>
              </w:rPr>
              <w:lastRenderedPageBreak/>
              <w:t xml:space="preserve">članka 363. stavka 1. CRR-a koji je povezan s faktorima rizika iz članka 367. stavka 2. CRR-a </w:t>
            </w: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U pogledu stupaca od 030 do 060 (VaR i VaR u stresnim uvjetima), vrijednosti u retku s ukupnim podacima nisu jednake raščlanjivanju vrijednosti VaR/VaR u stresnim uvjetima na relevantne komponente rizika. Stoga raščlanjivanje prip</w:t>
            </w:r>
            <w:r w:rsidRPr="00EF7F33">
              <w:rPr>
                <w:rFonts w:ascii="Times New Roman" w:hAnsi="Times New Roman"/>
                <w:sz w:val="24"/>
              </w:rPr>
              <w:t>a</w:t>
            </w:r>
            <w:r w:rsidRPr="00EF7F33">
              <w:rPr>
                <w:rFonts w:ascii="Times New Roman" w:hAnsi="Times New Roman"/>
                <w:sz w:val="24"/>
              </w:rPr>
              <w:t xml:space="preserve">da bilješkama. </w:t>
            </w:r>
          </w:p>
          <w:p w:rsidR="000B0B09" w:rsidRPr="00EF7F33" w:rsidRDefault="000B0B09" w:rsidP="000B0B09">
            <w:pPr>
              <w:autoSpaceDE w:val="0"/>
              <w:autoSpaceDN w:val="0"/>
              <w:adjustRightInd w:val="0"/>
              <w:spacing w:before="0" w:after="0"/>
              <w:rPr>
                <w:rFonts w:ascii="Times New Roman" w:hAnsi="Times New Roman"/>
                <w:sz w:val="24"/>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lastRenderedPageBreak/>
              <w:t>020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DUŽNIČKI INSTRUMENTI KOJIMA SE TRGUJE</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Dužnički instrumenti kojima se trguje odgovaraju dijelu pozicijskog rizika iz članka 363. stavka 1. CRR-a koji je povezan s faktorima kamatnog rizika iz članka 367. stavka 2. CRR-a.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030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DUŽNIČKI INSTRUMENTI KOJIMA SE TRGUJE – OPĆI RIZIK</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Opći rizik definiran u članku 362. CRR-a.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040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DUŽNIČKI INSTRUMENTI KOJIMA SE TRGUJE – SPECIFIČNI R</w:t>
            </w:r>
            <w:r w:rsidRPr="00EF7F33">
              <w:rPr>
                <w:rFonts w:ascii="Times New Roman" w:hAnsi="Times New Roman"/>
                <w:b/>
                <w:sz w:val="24"/>
                <w:u w:val="single"/>
              </w:rPr>
              <w:t>I</w:t>
            </w:r>
            <w:r w:rsidRPr="00EF7F33">
              <w:rPr>
                <w:rFonts w:ascii="Times New Roman" w:hAnsi="Times New Roman"/>
                <w:b/>
                <w:sz w:val="24"/>
                <w:u w:val="single"/>
              </w:rPr>
              <w:t>ZIK</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Specifični rizik definiran u članku 362. CRR-a.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050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VLASNIČKI INSTRUMENTI</w:t>
            </w:r>
          </w:p>
          <w:p w:rsidR="000B0B09" w:rsidRPr="00EF7F33" w:rsidRDefault="000B0B09" w:rsidP="000B0B09">
            <w:pPr>
              <w:autoSpaceDE w:val="0"/>
              <w:autoSpaceDN w:val="0"/>
              <w:adjustRightInd w:val="0"/>
              <w:spacing w:before="0" w:after="0"/>
              <w:rPr>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 xml:space="preserve">Vlasnički instrumenti odgovaraju dijelu pozicijskog rizika iz članka 363. stavka 1. CRR-a koji je povezan s faktorima rizika vlasničkih instrumenata iz članka 367. stavka 2. CRR-a. </w:t>
            </w:r>
          </w:p>
          <w:p w:rsidR="000B0B09" w:rsidRPr="00EF7F33" w:rsidRDefault="000B0B09" w:rsidP="000B0B09">
            <w:pPr>
              <w:autoSpaceDE w:val="0"/>
              <w:autoSpaceDN w:val="0"/>
              <w:adjustRightInd w:val="0"/>
              <w:spacing w:before="0" w:after="0"/>
              <w:rPr>
                <w:rFonts w:ascii="Times New Roman" w:hAnsi="Times New Roman"/>
                <w:b/>
                <w:bCs/>
                <w:sz w:val="24"/>
                <w:u w:val="single"/>
              </w:rPr>
            </w:pP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060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VLASNIČKI INSTRUMENTI – OPĆI RIZIK</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Opći rizik definiran u članku 362. CRR-a.</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070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VLASNIČKI INSTRUMENTI – SPECIFIČNI RIZIK</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Specifični rizik definiran u članku 362. CRR-a.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080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VALUTNI RIZIK</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Članak 363. stavak 1. i članak 367. stavak 2. CRR-a.</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090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ROBNI RIZIK</w:t>
            </w:r>
          </w:p>
          <w:p w:rsidR="000B0B09" w:rsidRPr="00EF7F33" w:rsidRDefault="000B0B09" w:rsidP="000B0B09">
            <w:pPr>
              <w:autoSpaceDE w:val="0"/>
              <w:autoSpaceDN w:val="0"/>
              <w:adjustRightInd w:val="0"/>
              <w:spacing w:before="0" w:after="0"/>
              <w:rPr>
                <w:rFonts w:ascii="Times New Roman" w:hAnsi="Times New Roman"/>
                <w:b/>
                <w:bCs/>
                <w:sz w:val="24"/>
                <w:u w:val="single"/>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sz w:val="24"/>
              </w:rPr>
              <w:t xml:space="preserve">Članak 363. stavak 1. i članak 367. stavak 2. CRR-a.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100</w:t>
            </w: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ZA OPĆI RIZIK</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r w:rsidRPr="00EF7F33">
              <w:rPr>
                <w:rStyle w:val="InstructionsTabelleText"/>
                <w:rFonts w:ascii="Times New Roman" w:hAnsi="Times New Roman"/>
                <w:sz w:val="24"/>
              </w:rPr>
              <w:t xml:space="preserve">Tržišni rizik do kojeg su dovela opća kretanja na tržištu dužničkih instrumenata kojima se trguje, vlasničkih instrumenata, valuta i robe. VaR za opći rizik svih faktora rizika (uzimajući u obzir učinke korelacije ako je primjenjivo). </w:t>
            </w: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 xml:space="preserve"> </w:t>
            </w:r>
          </w:p>
        </w:tc>
      </w:tr>
      <w:tr w:rsidR="000B0B09" w:rsidRPr="00EF7F33" w:rsidTr="00672D2A">
        <w:tc>
          <w:tcPr>
            <w:tcW w:w="993" w:type="dxa"/>
          </w:tcPr>
          <w:p w:rsidR="000B0B09" w:rsidRPr="00EF7F33" w:rsidRDefault="000B0B09" w:rsidP="000B0B09">
            <w:pPr>
              <w:autoSpaceDE w:val="0"/>
              <w:autoSpaceDN w:val="0"/>
              <w:adjustRightInd w:val="0"/>
              <w:spacing w:before="0" w:after="0"/>
              <w:rPr>
                <w:rFonts w:ascii="Times New Roman" w:hAnsi="Times New Roman"/>
                <w:sz w:val="24"/>
              </w:rPr>
            </w:pPr>
            <w:r w:rsidRPr="00EF7F33">
              <w:rPr>
                <w:rFonts w:ascii="Times New Roman" w:hAnsi="Times New Roman"/>
                <w:sz w:val="24"/>
              </w:rPr>
              <w:t>110</w:t>
            </w:r>
          </w:p>
          <w:p w:rsidR="000B0B09" w:rsidRPr="00EF7F33" w:rsidRDefault="000B0B09" w:rsidP="000B0B09">
            <w:pPr>
              <w:jc w:val="center"/>
              <w:rPr>
                <w:rFonts w:ascii="Times New Roman" w:hAnsi="Times New Roman"/>
                <w:sz w:val="24"/>
              </w:rPr>
            </w:pPr>
          </w:p>
        </w:tc>
        <w:tc>
          <w:tcPr>
            <w:tcW w:w="7903" w:type="dxa"/>
          </w:tcPr>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Fonts w:ascii="Times New Roman" w:hAnsi="Times New Roman"/>
                <w:b/>
                <w:sz w:val="24"/>
                <w:u w:val="single"/>
              </w:rPr>
              <w:t>UKUPAN IZNOS ZA SPECIFIČNI RIZIK</w:t>
            </w:r>
          </w:p>
          <w:p w:rsidR="000B0B09" w:rsidRPr="00EF7F33" w:rsidRDefault="000B0B09" w:rsidP="000B0B09">
            <w:pPr>
              <w:autoSpaceDE w:val="0"/>
              <w:autoSpaceDN w:val="0"/>
              <w:adjustRightInd w:val="0"/>
              <w:spacing w:before="0" w:after="0"/>
              <w:rPr>
                <w:rStyle w:val="InstructionsTabelleText"/>
                <w:rFonts w:ascii="Times New Roman" w:hAnsi="Times New Roman"/>
                <w:sz w:val="24"/>
              </w:rPr>
            </w:pPr>
          </w:p>
          <w:p w:rsidR="000B0B09" w:rsidRPr="00EF7F33" w:rsidRDefault="000B0B09" w:rsidP="000B0B09">
            <w:pPr>
              <w:autoSpaceDE w:val="0"/>
              <w:autoSpaceDN w:val="0"/>
              <w:adjustRightInd w:val="0"/>
              <w:spacing w:before="0" w:after="0"/>
              <w:rPr>
                <w:rFonts w:ascii="Times New Roman" w:hAnsi="Times New Roman"/>
                <w:b/>
                <w:bCs/>
                <w:sz w:val="24"/>
                <w:u w:val="single"/>
              </w:rPr>
            </w:pPr>
            <w:r w:rsidRPr="00EF7F33">
              <w:rPr>
                <w:rStyle w:val="InstructionsTabelleText"/>
                <w:rFonts w:ascii="Times New Roman" w:hAnsi="Times New Roman"/>
                <w:sz w:val="24"/>
              </w:rPr>
              <w:t>Komponenta specifičnog rizika dužničkih instrumenata kojima se trguje i vla</w:t>
            </w:r>
            <w:r w:rsidRPr="00EF7F33">
              <w:rPr>
                <w:rStyle w:val="InstructionsTabelleText"/>
                <w:rFonts w:ascii="Times New Roman" w:hAnsi="Times New Roman"/>
                <w:sz w:val="24"/>
              </w:rPr>
              <w:t>s</w:t>
            </w:r>
            <w:r w:rsidRPr="00EF7F33">
              <w:rPr>
                <w:rStyle w:val="InstructionsTabelleText"/>
                <w:rFonts w:ascii="Times New Roman" w:hAnsi="Times New Roman"/>
                <w:sz w:val="24"/>
              </w:rPr>
              <w:t>ničkih instrumenata. VaR za specifični rizik vlasničkih instrumenata i dužni</w:t>
            </w:r>
            <w:r w:rsidRPr="00EF7F33">
              <w:rPr>
                <w:rStyle w:val="InstructionsTabelleText"/>
                <w:rFonts w:ascii="Times New Roman" w:hAnsi="Times New Roman"/>
                <w:sz w:val="24"/>
              </w:rPr>
              <w:t>č</w:t>
            </w:r>
            <w:r w:rsidRPr="00EF7F33">
              <w:rPr>
                <w:rStyle w:val="InstructionsTabelleText"/>
                <w:rFonts w:ascii="Times New Roman" w:hAnsi="Times New Roman"/>
                <w:sz w:val="24"/>
              </w:rPr>
              <w:t>kih instrumenata kojima se trguje iz knjige trgovanja (uzimajući u obzir učinke korelacije ako je primjenjivo).</w:t>
            </w:r>
          </w:p>
        </w:tc>
      </w:tr>
    </w:tbl>
    <w:p w:rsidR="000B0B09" w:rsidRPr="00EF7F33" w:rsidRDefault="000B0B09">
      <w:pPr>
        <w:spacing w:before="0" w:after="0"/>
        <w:jc w:val="left"/>
        <w:rPr>
          <w:rStyle w:val="InstructionsTabelleText"/>
          <w:rFonts w:ascii="Times New Roman" w:hAnsi="Times New Roman"/>
          <w:sz w:val="24"/>
        </w:rPr>
      </w:pPr>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998196"/>
      <w:r w:rsidRPr="00EF7F33">
        <w:rPr>
          <w:rFonts w:ascii="Times New Roman" w:hAnsi="Times New Roman"/>
          <w:sz w:val="24"/>
          <w:u w:val="none"/>
        </w:rPr>
        <w:lastRenderedPageBreak/>
        <w:t>5.8.</w:t>
      </w:r>
      <w:r w:rsidRPr="00EF7F33">
        <w:tab/>
      </w:r>
      <w:r w:rsidRPr="00EF7F33">
        <w:rPr>
          <w:rFonts w:ascii="Times New Roman" w:hAnsi="Times New Roman"/>
          <w:sz w:val="24"/>
        </w:rPr>
        <w:t xml:space="preserve">C 25.00 – RIZIK PRILAGODBE KREDITNOM VREDNOVANJU </w:t>
      </w:r>
      <w:bookmarkEnd w:id="766"/>
      <w:r w:rsidRPr="00EF7F33">
        <w:rPr>
          <w:rFonts w:ascii="Times New Roman" w:hAnsi="Times New Roman"/>
          <w:sz w:val="24"/>
        </w:rPr>
        <w:t xml:space="preserve"> (CVA)</w:t>
      </w:r>
      <w:bookmarkEnd w:id="767"/>
      <w:bookmarkEnd w:id="768"/>
      <w:bookmarkEnd w:id="769"/>
    </w:p>
    <w:p w:rsidR="000B0B09" w:rsidRPr="00EF7F33"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3998197"/>
      <w:bookmarkStart w:id="774" w:name="_Toc310008820"/>
      <w:r w:rsidRPr="00EF7F33">
        <w:rPr>
          <w:rFonts w:ascii="Times New Roman" w:hAnsi="Times New Roman"/>
          <w:sz w:val="24"/>
          <w:u w:val="none"/>
        </w:rPr>
        <w:t>5.8.1.</w:t>
      </w:r>
      <w:r w:rsidRPr="00EF7F33">
        <w:tab/>
      </w:r>
      <w:r w:rsidRPr="00EF7F33">
        <w:rPr>
          <w:rFonts w:ascii="Times New Roman" w:hAnsi="Times New Roman"/>
          <w:sz w:val="24"/>
        </w:rPr>
        <w:t>Upute za specifične pozicije</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EF7F33" w:rsidTr="00672D2A">
        <w:tc>
          <w:tcPr>
            <w:tcW w:w="8856" w:type="dxa"/>
            <w:gridSpan w:val="2"/>
            <w:shd w:val="clear" w:color="auto" w:fill="CCCCCC"/>
          </w:tcPr>
          <w:p w:rsidR="000B0B09" w:rsidRPr="00EF7F33" w:rsidRDefault="000B0B09" w:rsidP="000B0B09">
            <w:pPr>
              <w:rPr>
                <w:rFonts w:ascii="Times New Roman" w:hAnsi="Times New Roman"/>
                <w:b/>
                <w:sz w:val="24"/>
              </w:rPr>
            </w:pPr>
            <w:r w:rsidRPr="00EF7F33">
              <w:rPr>
                <w:rFonts w:ascii="Times New Roman" w:hAnsi="Times New Roman"/>
                <w:b/>
                <w:sz w:val="24"/>
              </w:rPr>
              <w:t>Stupci</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010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 xml:space="preserve">Vrijednost izloženosti </w:t>
            </w:r>
          </w:p>
          <w:p w:rsidR="000B0B09" w:rsidRPr="00EF7F33" w:rsidRDefault="000B0B09" w:rsidP="000B0B09">
            <w:pPr>
              <w:rPr>
                <w:rFonts w:ascii="Times New Roman" w:hAnsi="Times New Roman"/>
                <w:sz w:val="24"/>
              </w:rPr>
            </w:pPr>
            <w:r w:rsidRPr="00EF7F33">
              <w:rPr>
                <w:rFonts w:ascii="Times New Roman" w:hAnsi="Times New Roman"/>
                <w:sz w:val="24"/>
              </w:rPr>
              <w:t>Članak 271. CRR-a u skladu s člankom 382. CRR-a.</w:t>
            </w:r>
          </w:p>
          <w:p w:rsidR="000B0B09" w:rsidRPr="00EF7F33" w:rsidRDefault="000B0B09" w:rsidP="000B0B09">
            <w:pPr>
              <w:rPr>
                <w:rFonts w:ascii="Times New Roman" w:hAnsi="Times New Roman"/>
                <w:sz w:val="24"/>
              </w:rPr>
            </w:pPr>
            <w:r w:rsidRPr="00EF7F33">
              <w:rPr>
                <w:rFonts w:ascii="Times New Roman" w:hAnsi="Times New Roman"/>
                <w:sz w:val="24"/>
              </w:rPr>
              <w:t xml:space="preserve">Ukupan EAD iz svih transakcija koje podliježu zahtjevu za CVA rizik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020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 xml:space="preserve">Od čega: OTC izvedenice </w:t>
            </w:r>
          </w:p>
          <w:p w:rsidR="000B0B09" w:rsidRPr="00EF7F33" w:rsidRDefault="000B0B09" w:rsidP="000B0B09">
            <w:pPr>
              <w:rPr>
                <w:rFonts w:ascii="Times New Roman" w:hAnsi="Times New Roman"/>
                <w:sz w:val="24"/>
              </w:rPr>
            </w:pPr>
            <w:r w:rsidRPr="00EF7F33">
              <w:rPr>
                <w:rFonts w:ascii="Times New Roman" w:hAnsi="Times New Roman"/>
                <w:sz w:val="24"/>
              </w:rPr>
              <w:t>Članak 271. CRR-a u skladu s člankom 382. stavkom 1. CRR-a.</w:t>
            </w:r>
          </w:p>
          <w:p w:rsidR="000B0B09" w:rsidRPr="00EF7F33" w:rsidRDefault="000B0B09" w:rsidP="000B0B09">
            <w:pPr>
              <w:rPr>
                <w:rFonts w:ascii="Times New Roman" w:hAnsi="Times New Roman"/>
                <w:sz w:val="24"/>
              </w:rPr>
            </w:pPr>
            <w:r w:rsidRPr="00EF7F33">
              <w:rPr>
                <w:rFonts w:ascii="Times New Roman" w:hAnsi="Times New Roman"/>
                <w:sz w:val="24"/>
              </w:rPr>
              <w:t>Dio ukupne izloženosti kreditnom riziku druge ugovorne strane isključivo na o</w:t>
            </w:r>
            <w:r w:rsidRPr="00EF7F33">
              <w:rPr>
                <w:rFonts w:ascii="Times New Roman" w:hAnsi="Times New Roman"/>
                <w:sz w:val="24"/>
              </w:rPr>
              <w:t>s</w:t>
            </w:r>
            <w:r w:rsidRPr="00EF7F33">
              <w:rPr>
                <w:rFonts w:ascii="Times New Roman" w:hAnsi="Times New Roman"/>
                <w:sz w:val="24"/>
              </w:rPr>
              <w:t>novi OTC izvedenica. Informacije se ne zahtijevaju od institucija koje primj</w:t>
            </w:r>
            <w:r w:rsidRPr="00EF7F33">
              <w:rPr>
                <w:rFonts w:ascii="Times New Roman" w:hAnsi="Times New Roman"/>
                <w:sz w:val="24"/>
              </w:rPr>
              <w:t>e</w:t>
            </w:r>
            <w:r w:rsidRPr="00EF7F33">
              <w:rPr>
                <w:rFonts w:ascii="Times New Roman" w:hAnsi="Times New Roman"/>
                <w:sz w:val="24"/>
              </w:rPr>
              <w:t>njuju metodu internog modela i koje drže OTC izvedenice i transakcije financ</w:t>
            </w:r>
            <w:r w:rsidRPr="00EF7F33">
              <w:rPr>
                <w:rFonts w:ascii="Times New Roman" w:hAnsi="Times New Roman"/>
                <w:sz w:val="24"/>
              </w:rPr>
              <w:t>i</w:t>
            </w:r>
            <w:r w:rsidRPr="00EF7F33">
              <w:rPr>
                <w:rFonts w:ascii="Times New Roman" w:hAnsi="Times New Roman"/>
                <w:sz w:val="24"/>
              </w:rPr>
              <w:t>ranja vrijednosnim papirima u istom skupu za netiranje.</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030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Od čega: TRANSAKCIJE FINANCIRANJA VRIJEDNOSNIM PAPIR</w:t>
            </w:r>
            <w:r w:rsidRPr="00EF7F33">
              <w:rPr>
                <w:rFonts w:ascii="Times New Roman" w:hAnsi="Times New Roman"/>
                <w:b/>
                <w:sz w:val="24"/>
                <w:u w:val="single"/>
              </w:rPr>
              <w:t>I</w:t>
            </w:r>
            <w:r w:rsidRPr="00EF7F33">
              <w:rPr>
                <w:rFonts w:ascii="Times New Roman" w:hAnsi="Times New Roman"/>
                <w:b/>
                <w:sz w:val="24"/>
                <w:u w:val="single"/>
              </w:rPr>
              <w:t xml:space="preserve">MA </w:t>
            </w:r>
          </w:p>
          <w:p w:rsidR="000B0B09" w:rsidRPr="00EF7F33" w:rsidRDefault="000B0B09" w:rsidP="000B0B09">
            <w:pPr>
              <w:rPr>
                <w:rFonts w:ascii="Times New Roman" w:hAnsi="Times New Roman"/>
                <w:sz w:val="24"/>
              </w:rPr>
            </w:pPr>
            <w:r w:rsidRPr="00EF7F33">
              <w:rPr>
                <w:rFonts w:ascii="Times New Roman" w:hAnsi="Times New Roman"/>
                <w:sz w:val="24"/>
              </w:rPr>
              <w:t>Članak 271. CRR-a u skladu s člankom 382. stavkom 2. CRR-a.</w:t>
            </w:r>
          </w:p>
          <w:p w:rsidR="000B0B09" w:rsidRPr="00EF7F33" w:rsidRDefault="000B0B09" w:rsidP="000B0B09">
            <w:pPr>
              <w:rPr>
                <w:rFonts w:ascii="Times New Roman" w:hAnsi="Times New Roman"/>
                <w:sz w:val="24"/>
              </w:rPr>
            </w:pPr>
            <w:r w:rsidRPr="00EF7F33">
              <w:rPr>
                <w:rFonts w:ascii="Times New Roman" w:hAnsi="Times New Roman"/>
                <w:sz w:val="24"/>
              </w:rPr>
              <w:t>Dio ukupne izloženosti kreditnom riziku druge ugovorne strane isključivo na o</w:t>
            </w:r>
            <w:r w:rsidRPr="00EF7F33">
              <w:rPr>
                <w:rFonts w:ascii="Times New Roman" w:hAnsi="Times New Roman"/>
                <w:sz w:val="24"/>
              </w:rPr>
              <w:t>s</w:t>
            </w:r>
            <w:r w:rsidRPr="00EF7F33">
              <w:rPr>
                <w:rFonts w:ascii="Times New Roman" w:hAnsi="Times New Roman"/>
                <w:sz w:val="24"/>
              </w:rPr>
              <w:t>novi transakcija financiranja vrijednosnim papirima. Informacije se ne zahtijev</w:t>
            </w:r>
            <w:r w:rsidRPr="00EF7F33">
              <w:rPr>
                <w:rFonts w:ascii="Times New Roman" w:hAnsi="Times New Roman"/>
                <w:sz w:val="24"/>
              </w:rPr>
              <w:t>a</w:t>
            </w:r>
            <w:r w:rsidRPr="00EF7F33">
              <w:rPr>
                <w:rFonts w:ascii="Times New Roman" w:hAnsi="Times New Roman"/>
                <w:sz w:val="24"/>
              </w:rPr>
              <w:t>ju od institucija koje primjenjuju metodu internog modela i koje drže OTC izv</w:t>
            </w:r>
            <w:r w:rsidRPr="00EF7F33">
              <w:rPr>
                <w:rFonts w:ascii="Times New Roman" w:hAnsi="Times New Roman"/>
                <w:sz w:val="24"/>
              </w:rPr>
              <w:t>e</w:t>
            </w:r>
            <w:r w:rsidRPr="00EF7F33">
              <w:rPr>
                <w:rFonts w:ascii="Times New Roman" w:hAnsi="Times New Roman"/>
                <w:sz w:val="24"/>
              </w:rPr>
              <w:t>denice i transakcije financiranja vrijednosnim papirima u istom skupu za netir</w:t>
            </w:r>
            <w:r w:rsidRPr="00EF7F33">
              <w:rPr>
                <w:rFonts w:ascii="Times New Roman" w:hAnsi="Times New Roman"/>
                <w:sz w:val="24"/>
              </w:rPr>
              <w:t>a</w:t>
            </w:r>
            <w:r w:rsidRPr="00EF7F33">
              <w:rPr>
                <w:rFonts w:ascii="Times New Roman" w:hAnsi="Times New Roman"/>
                <w:sz w:val="24"/>
              </w:rPr>
              <w:t>nje.</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040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MULTIPLIKACIJSKI FAKTOR (mc) x PROSJEK ZA PRETHODNIH 60 RADNIH DANA (VaRavg)</w:t>
            </w:r>
          </w:p>
          <w:p w:rsidR="000B0B09" w:rsidRPr="00EF7F33" w:rsidRDefault="000B0B09" w:rsidP="000B0B09">
            <w:pPr>
              <w:rPr>
                <w:rFonts w:ascii="Times New Roman" w:hAnsi="Times New Roman"/>
                <w:sz w:val="24"/>
              </w:rPr>
            </w:pPr>
            <w:r w:rsidRPr="00EF7F33">
              <w:rPr>
                <w:rFonts w:ascii="Times New Roman" w:hAnsi="Times New Roman"/>
                <w:sz w:val="24"/>
              </w:rPr>
              <w:t>Članak 383. CRR-a u skladu s člankom 363. stavkom 1. točkom (d) CRR-a</w:t>
            </w:r>
          </w:p>
          <w:p w:rsidR="000B0B09" w:rsidRPr="00EF7F33" w:rsidRDefault="000B0B09" w:rsidP="000B0B09">
            <w:pPr>
              <w:rPr>
                <w:rFonts w:ascii="Times New Roman" w:hAnsi="Times New Roman"/>
                <w:sz w:val="24"/>
              </w:rPr>
            </w:pPr>
            <w:r w:rsidRPr="00EF7F33">
              <w:rPr>
                <w:rFonts w:ascii="Times New Roman" w:hAnsi="Times New Roman"/>
                <w:sz w:val="24"/>
              </w:rPr>
              <w:t xml:space="preserve">Izračun vrijednosti VaR temelji se na internim modelima za tržišni rizik.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050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PRETHODNI DAN (VaRt-1)</w:t>
            </w:r>
          </w:p>
          <w:p w:rsidR="000B0B09" w:rsidRPr="00EF7F33" w:rsidRDefault="000B0B09" w:rsidP="000B0B09">
            <w:pPr>
              <w:rPr>
                <w:rFonts w:ascii="Times New Roman" w:hAnsi="Times New Roman"/>
                <w:sz w:val="24"/>
              </w:rPr>
            </w:pPr>
            <w:r w:rsidRPr="00EF7F33">
              <w:rPr>
                <w:rFonts w:ascii="Times New Roman" w:hAnsi="Times New Roman"/>
                <w:sz w:val="24"/>
              </w:rPr>
              <w:t>Vidjeti upute za stupac 040.</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060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MULTIPLIKACIJSKI FAKTOR (ms) x PROSJEK ZA PRETHODNIH 60 RADNIH DANA (SVaRavg)</w:t>
            </w:r>
          </w:p>
          <w:p w:rsidR="000B0B09" w:rsidRPr="00EF7F33" w:rsidRDefault="000B0B09" w:rsidP="000B0B09">
            <w:pPr>
              <w:rPr>
                <w:rFonts w:ascii="Times New Roman" w:hAnsi="Times New Roman"/>
                <w:sz w:val="24"/>
              </w:rPr>
            </w:pPr>
            <w:r w:rsidRPr="00EF7F33">
              <w:rPr>
                <w:rFonts w:ascii="Times New Roman" w:hAnsi="Times New Roman"/>
                <w:sz w:val="24"/>
              </w:rPr>
              <w:t>Vidjeti upute za stupac 040.</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070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NAJNOVIJI RASPOLOŽIVI IZNOS (SVaRt-1)</w:t>
            </w:r>
          </w:p>
          <w:p w:rsidR="000B0B09" w:rsidRPr="00EF7F33" w:rsidRDefault="000B0B09" w:rsidP="000B0B09">
            <w:pPr>
              <w:rPr>
                <w:rFonts w:ascii="Times New Roman" w:hAnsi="Times New Roman"/>
                <w:b/>
                <w:sz w:val="24"/>
                <w:u w:val="single"/>
              </w:rPr>
            </w:pPr>
            <w:r w:rsidRPr="00EF7F33">
              <w:rPr>
                <w:rFonts w:ascii="Times New Roman" w:hAnsi="Times New Roman"/>
                <w:sz w:val="24"/>
              </w:rPr>
              <w:t>Vidjeti upute za stupac 040.</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080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KAPITALNI ZAHTJEVI</w:t>
            </w:r>
          </w:p>
          <w:p w:rsidR="000B0B09" w:rsidRPr="00EF7F33" w:rsidRDefault="000B0B09" w:rsidP="000B0B09">
            <w:pPr>
              <w:rPr>
                <w:rFonts w:ascii="Times New Roman" w:hAnsi="Times New Roman"/>
                <w:sz w:val="24"/>
              </w:rPr>
            </w:pPr>
            <w:r w:rsidRPr="00EF7F33">
              <w:rPr>
                <w:rFonts w:ascii="Times New Roman" w:hAnsi="Times New Roman"/>
                <w:sz w:val="24"/>
              </w:rPr>
              <w:t>Članak 92. stavak 3. točka (d) CRR-a</w:t>
            </w:r>
          </w:p>
          <w:p w:rsidR="000B0B09" w:rsidRPr="00EF7F33" w:rsidRDefault="000B0B09" w:rsidP="000B0B09">
            <w:pPr>
              <w:rPr>
                <w:rFonts w:ascii="Times New Roman" w:hAnsi="Times New Roman"/>
                <w:sz w:val="24"/>
              </w:rPr>
            </w:pPr>
            <w:r w:rsidRPr="00EF7F33">
              <w:rPr>
                <w:rFonts w:ascii="Times New Roman" w:hAnsi="Times New Roman"/>
                <w:sz w:val="24"/>
              </w:rPr>
              <w:t xml:space="preserve">Kapitalni zahtjevi za CVA rizik izračunani odabranom metodom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lastRenderedPageBreak/>
              <w:t>090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UKUPAN IZNOS IZLOŽENOSTI RIZIKU</w:t>
            </w:r>
          </w:p>
          <w:p w:rsidR="000B0B09" w:rsidRPr="00EF7F33" w:rsidRDefault="000B0B09" w:rsidP="000B0B09">
            <w:pPr>
              <w:rPr>
                <w:rFonts w:ascii="Times New Roman" w:hAnsi="Times New Roman"/>
                <w:sz w:val="24"/>
              </w:rPr>
            </w:pPr>
            <w:r w:rsidRPr="00EF7F33">
              <w:rPr>
                <w:rFonts w:ascii="Times New Roman" w:hAnsi="Times New Roman"/>
                <w:sz w:val="24"/>
              </w:rPr>
              <w:t>Članak 92. stavak 4. točka (b) CRR-a</w:t>
            </w:r>
          </w:p>
          <w:p w:rsidR="000B0B09" w:rsidRPr="00EF7F33" w:rsidRDefault="000B0B09" w:rsidP="000B0B09">
            <w:pPr>
              <w:rPr>
                <w:rFonts w:ascii="Times New Roman" w:hAnsi="Times New Roman"/>
                <w:sz w:val="24"/>
              </w:rPr>
            </w:pPr>
            <w:r w:rsidRPr="00EF7F33">
              <w:rPr>
                <w:rFonts w:ascii="Times New Roman" w:hAnsi="Times New Roman"/>
                <w:sz w:val="24"/>
              </w:rPr>
              <w:t>Kapitalni zahtjevi pomnoženi sa 12,5.</w:t>
            </w:r>
          </w:p>
        </w:tc>
      </w:tr>
      <w:tr w:rsidR="000B0B09" w:rsidRPr="00EF7F33" w:rsidTr="00672D2A">
        <w:tc>
          <w:tcPr>
            <w:tcW w:w="852" w:type="dxa"/>
          </w:tcPr>
          <w:p w:rsidR="000B0B09" w:rsidRPr="00EF7F33" w:rsidRDefault="000B0B09" w:rsidP="000B0B09">
            <w:pPr>
              <w:rPr>
                <w:rFonts w:ascii="Times New Roman" w:hAnsi="Times New Roman"/>
                <w:sz w:val="24"/>
              </w:rPr>
            </w:pP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Bilješke</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100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Broj drugih ugovornih strana</w:t>
            </w:r>
          </w:p>
          <w:p w:rsidR="000B0B09" w:rsidRPr="00EF7F33" w:rsidRDefault="000B0B09" w:rsidP="000B0B09">
            <w:pPr>
              <w:rPr>
                <w:rFonts w:ascii="Times New Roman" w:hAnsi="Times New Roman"/>
                <w:sz w:val="24"/>
              </w:rPr>
            </w:pPr>
            <w:r w:rsidRPr="00EF7F33">
              <w:rPr>
                <w:rFonts w:ascii="Times New Roman" w:hAnsi="Times New Roman"/>
                <w:sz w:val="24"/>
              </w:rPr>
              <w:t>Članak 382. CRR-a</w:t>
            </w:r>
          </w:p>
          <w:p w:rsidR="000B0B09" w:rsidRPr="00EF7F33" w:rsidRDefault="000B0B09" w:rsidP="000B0B09">
            <w:pPr>
              <w:rPr>
                <w:rFonts w:ascii="Times New Roman" w:hAnsi="Times New Roman"/>
                <w:sz w:val="24"/>
              </w:rPr>
            </w:pPr>
            <w:r w:rsidRPr="00EF7F33">
              <w:rPr>
                <w:rFonts w:ascii="Times New Roman" w:hAnsi="Times New Roman"/>
                <w:sz w:val="24"/>
              </w:rPr>
              <w:t>Broj drugih ugovornih strana uključenih u izračun kapitalnih zahtjeva za CVA rizik</w:t>
            </w:r>
          </w:p>
          <w:p w:rsidR="000B0B09" w:rsidRPr="00EF7F33" w:rsidRDefault="000B0B09" w:rsidP="000B0B09">
            <w:pPr>
              <w:rPr>
                <w:rFonts w:ascii="Times New Roman" w:hAnsi="Times New Roman"/>
                <w:sz w:val="24"/>
              </w:rPr>
            </w:pPr>
            <w:r w:rsidRPr="00EF7F33">
              <w:rPr>
                <w:rFonts w:ascii="Times New Roman" w:hAnsi="Times New Roman"/>
                <w:sz w:val="24"/>
              </w:rPr>
              <w:t>Druge ugovorne strane su podgrupa dužnika. Postoje samo u slučaju transakcija izvedenicama ili transakcija financiranja vrijednosnim papirima u kojima su s</w:t>
            </w:r>
            <w:r w:rsidRPr="00EF7F33">
              <w:rPr>
                <w:rFonts w:ascii="Times New Roman" w:hAnsi="Times New Roman"/>
                <w:sz w:val="24"/>
              </w:rPr>
              <w:t>a</w:t>
            </w:r>
            <w:r w:rsidRPr="00EF7F33">
              <w:rPr>
                <w:rFonts w:ascii="Times New Roman" w:hAnsi="Times New Roman"/>
                <w:sz w:val="24"/>
              </w:rPr>
              <w:t xml:space="preserve">mo druga ugovorna strana.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110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Od čega: zamjenska vrijednost upotrijebljena je za određivanje kreditne marže</w:t>
            </w:r>
          </w:p>
          <w:p w:rsidR="000B0B09" w:rsidRPr="00EF7F33" w:rsidRDefault="000B0B09" w:rsidP="000B0B09">
            <w:pPr>
              <w:rPr>
                <w:rFonts w:ascii="Times New Roman" w:hAnsi="Times New Roman"/>
                <w:sz w:val="24"/>
              </w:rPr>
            </w:pPr>
            <w:r w:rsidRPr="00EF7F33">
              <w:rPr>
                <w:rFonts w:ascii="Times New Roman" w:hAnsi="Times New Roman"/>
                <w:sz w:val="24"/>
              </w:rPr>
              <w:t>Broj drugih ugovornih strana kada je kreditna marža određena upotrebom za</w:t>
            </w:r>
            <w:r w:rsidRPr="00EF7F33">
              <w:rPr>
                <w:rFonts w:ascii="Times New Roman" w:hAnsi="Times New Roman"/>
                <w:sz w:val="24"/>
              </w:rPr>
              <w:t>m</w:t>
            </w:r>
            <w:r w:rsidRPr="00EF7F33">
              <w:rPr>
                <w:rFonts w:ascii="Times New Roman" w:hAnsi="Times New Roman"/>
                <w:sz w:val="24"/>
              </w:rPr>
              <w:t>jenske vrijednosti umjesto izravno zabilježenih tržišnih podataka</w:t>
            </w:r>
          </w:p>
          <w:p w:rsidR="000B0B09" w:rsidRPr="00EF7F33" w:rsidRDefault="000B0B09" w:rsidP="000B0B09">
            <w:pPr>
              <w:rPr>
                <w:rFonts w:ascii="Times New Roman" w:hAnsi="Times New Roman"/>
                <w:b/>
                <w:sz w:val="24"/>
                <w:u w:val="single"/>
              </w:rPr>
            </w:pP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120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OBRAČUNATI CVA</w:t>
            </w:r>
          </w:p>
          <w:p w:rsidR="000B0B09" w:rsidRPr="00EF7F33" w:rsidRDefault="000B0B09" w:rsidP="000B0B09">
            <w:pPr>
              <w:rPr>
                <w:rFonts w:ascii="Times New Roman" w:hAnsi="Times New Roman"/>
                <w:sz w:val="24"/>
              </w:rPr>
            </w:pPr>
            <w:r w:rsidRPr="00EF7F33">
              <w:rPr>
                <w:rFonts w:ascii="Times New Roman" w:hAnsi="Times New Roman"/>
                <w:sz w:val="24"/>
              </w:rPr>
              <w:t>Računovodstvene odredbe na osnovi smanjene kreditne sposobnosti drugih ug</w:t>
            </w:r>
            <w:r w:rsidRPr="00EF7F33">
              <w:rPr>
                <w:rFonts w:ascii="Times New Roman" w:hAnsi="Times New Roman"/>
                <w:sz w:val="24"/>
              </w:rPr>
              <w:t>o</w:t>
            </w:r>
            <w:r w:rsidRPr="00EF7F33">
              <w:rPr>
                <w:rFonts w:ascii="Times New Roman" w:hAnsi="Times New Roman"/>
                <w:sz w:val="24"/>
              </w:rPr>
              <w:t>vornih strana povezanih s izvedenicama</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130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UGOVOR O RAZMJENI NA OSNOVI NASTANKA STATUSA NEISP</w:t>
            </w:r>
            <w:r w:rsidRPr="00EF7F33">
              <w:rPr>
                <w:rFonts w:ascii="Times New Roman" w:hAnsi="Times New Roman"/>
                <w:b/>
                <w:sz w:val="24"/>
                <w:u w:val="single"/>
              </w:rPr>
              <w:t>U</w:t>
            </w:r>
            <w:r w:rsidRPr="00EF7F33">
              <w:rPr>
                <w:rFonts w:ascii="Times New Roman" w:hAnsi="Times New Roman"/>
                <w:b/>
                <w:sz w:val="24"/>
                <w:u w:val="single"/>
              </w:rPr>
              <w:t>NJAVANJA OBVEZA JEDNOG SUBJEKTA</w:t>
            </w:r>
          </w:p>
          <w:p w:rsidR="000B0B09" w:rsidRPr="00EF7F33" w:rsidRDefault="000B0B09" w:rsidP="000B0B09">
            <w:pPr>
              <w:rPr>
                <w:rFonts w:ascii="Times New Roman" w:hAnsi="Times New Roman"/>
                <w:sz w:val="24"/>
              </w:rPr>
            </w:pPr>
            <w:r w:rsidRPr="00EF7F33">
              <w:rPr>
                <w:rFonts w:ascii="Times New Roman" w:hAnsi="Times New Roman"/>
                <w:sz w:val="24"/>
              </w:rPr>
              <w:t xml:space="preserve">Članak 386. stavak 1. točka (a) CRR-a </w:t>
            </w:r>
          </w:p>
          <w:p w:rsidR="000B0B09" w:rsidRPr="00EF7F33" w:rsidRDefault="000B0B09" w:rsidP="000B0B09">
            <w:pPr>
              <w:rPr>
                <w:rFonts w:ascii="Times New Roman" w:hAnsi="Times New Roman"/>
                <w:sz w:val="24"/>
              </w:rPr>
            </w:pPr>
            <w:r w:rsidRPr="00EF7F33">
              <w:rPr>
                <w:rFonts w:ascii="Times New Roman" w:hAnsi="Times New Roman"/>
                <w:sz w:val="24"/>
              </w:rPr>
              <w:t>Ukupni zamišljeni iznosi ugovora o razmjeni na osnovi nastanka statusa neisp</w:t>
            </w:r>
            <w:r w:rsidRPr="00EF7F33">
              <w:rPr>
                <w:rFonts w:ascii="Times New Roman" w:hAnsi="Times New Roman"/>
                <w:sz w:val="24"/>
              </w:rPr>
              <w:t>u</w:t>
            </w:r>
            <w:r w:rsidRPr="00EF7F33">
              <w:rPr>
                <w:rFonts w:ascii="Times New Roman" w:hAnsi="Times New Roman"/>
                <w:sz w:val="24"/>
              </w:rPr>
              <w:t xml:space="preserve">njavanja obveza jednog subjekta koji se upotrebljavaju kao zaštita za CVA rizik.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140</w:t>
            </w:r>
          </w:p>
        </w:tc>
        <w:tc>
          <w:tcPr>
            <w:tcW w:w="8004" w:type="dxa"/>
          </w:tcPr>
          <w:p w:rsidR="000B0B09" w:rsidRPr="00EF7F33" w:rsidRDefault="000B0B09" w:rsidP="000B0B09">
            <w:pPr>
              <w:rPr>
                <w:rFonts w:ascii="Times New Roman" w:hAnsi="Times New Roman"/>
                <w:b/>
                <w:sz w:val="24"/>
                <w:u w:val="single"/>
              </w:rPr>
            </w:pPr>
            <w:r w:rsidRPr="00EF7F33">
              <w:rPr>
                <w:rFonts w:ascii="Times New Roman" w:hAnsi="Times New Roman"/>
                <w:b/>
                <w:sz w:val="24"/>
                <w:u w:val="single"/>
              </w:rPr>
              <w:t>INDEKSI UGOVORA O RAZMJENI NA OSNOVI NASTANKA STAT</w:t>
            </w:r>
            <w:r w:rsidRPr="00EF7F33">
              <w:rPr>
                <w:rFonts w:ascii="Times New Roman" w:hAnsi="Times New Roman"/>
                <w:b/>
                <w:sz w:val="24"/>
                <w:u w:val="single"/>
              </w:rPr>
              <w:t>U</w:t>
            </w:r>
            <w:r w:rsidRPr="00EF7F33">
              <w:rPr>
                <w:rFonts w:ascii="Times New Roman" w:hAnsi="Times New Roman"/>
                <w:b/>
                <w:sz w:val="24"/>
                <w:u w:val="single"/>
              </w:rPr>
              <w:t>SA NEISPUNJAVANJA OBVEZA</w:t>
            </w:r>
          </w:p>
          <w:p w:rsidR="000B0B09" w:rsidRPr="00EF7F33" w:rsidRDefault="000B0B09" w:rsidP="000B0B09">
            <w:pPr>
              <w:rPr>
                <w:rFonts w:ascii="Times New Roman" w:hAnsi="Times New Roman"/>
                <w:sz w:val="24"/>
              </w:rPr>
            </w:pPr>
            <w:r w:rsidRPr="00EF7F33">
              <w:rPr>
                <w:rFonts w:ascii="Times New Roman" w:hAnsi="Times New Roman"/>
                <w:sz w:val="24"/>
              </w:rPr>
              <w:t>Članak 386. stavak 1. točka (b) CRR-a</w:t>
            </w:r>
          </w:p>
          <w:p w:rsidR="000B0B09" w:rsidRPr="00EF7F33" w:rsidRDefault="000B0B09" w:rsidP="000B0B09">
            <w:pPr>
              <w:rPr>
                <w:rFonts w:ascii="Times New Roman" w:hAnsi="Times New Roman"/>
                <w:b/>
                <w:sz w:val="24"/>
                <w:u w:val="single"/>
              </w:rPr>
            </w:pPr>
            <w:r w:rsidRPr="00EF7F33">
              <w:rPr>
                <w:rFonts w:ascii="Times New Roman" w:hAnsi="Times New Roman"/>
                <w:sz w:val="24"/>
              </w:rPr>
              <w:t xml:space="preserve">Ukupni zamišljeni iznosi indeksa ugovora o razmjeni na osnovi nastanka statusa neispunjavanja obveza koji se upotrebljavaju kao zaštita za CVA rizik </w:t>
            </w:r>
          </w:p>
        </w:tc>
      </w:tr>
    </w:tbl>
    <w:p w:rsidR="000B0B09" w:rsidRPr="00EF7F33"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EF7F33" w:rsidTr="00672D2A">
        <w:tc>
          <w:tcPr>
            <w:tcW w:w="8856" w:type="dxa"/>
            <w:gridSpan w:val="2"/>
            <w:shd w:val="clear" w:color="auto" w:fill="CCCCCC"/>
          </w:tcPr>
          <w:p w:rsidR="000B0B09" w:rsidRPr="00EF7F33" w:rsidRDefault="000B0B09" w:rsidP="000B0B09">
            <w:pPr>
              <w:rPr>
                <w:rFonts w:ascii="Times New Roman" w:hAnsi="Times New Roman"/>
                <w:b/>
                <w:sz w:val="24"/>
              </w:rPr>
            </w:pPr>
            <w:r w:rsidRPr="00EF7F33">
              <w:rPr>
                <w:rFonts w:ascii="Times New Roman" w:hAnsi="Times New Roman"/>
                <w:b/>
                <w:sz w:val="24"/>
              </w:rPr>
              <w:t>Redci</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010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Ukupan CVA rizik</w:t>
            </w:r>
          </w:p>
          <w:p w:rsidR="000B0B09" w:rsidRPr="00EF7F33" w:rsidRDefault="000B0B09" w:rsidP="000B0B09">
            <w:pPr>
              <w:rPr>
                <w:rFonts w:ascii="Times New Roman" w:hAnsi="Times New Roman"/>
                <w:bCs/>
                <w:sz w:val="24"/>
              </w:rPr>
            </w:pPr>
            <w:r w:rsidRPr="00EF7F33">
              <w:rPr>
                <w:rFonts w:ascii="Times New Roman" w:hAnsi="Times New Roman"/>
                <w:sz w:val="24"/>
              </w:rPr>
              <w:t>Zbroj redaka 020 – 040, prema potrebi</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 xml:space="preserve">020 </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U skladu s naprednom metodom</w:t>
            </w:r>
          </w:p>
          <w:p w:rsidR="000B0B09" w:rsidRPr="00EF7F33" w:rsidRDefault="000B0B09" w:rsidP="000B0B09">
            <w:pPr>
              <w:rPr>
                <w:rFonts w:ascii="Times New Roman" w:hAnsi="Times New Roman"/>
                <w:bCs/>
                <w:sz w:val="24"/>
              </w:rPr>
            </w:pPr>
            <w:r w:rsidRPr="00EF7F33">
              <w:rPr>
                <w:rFonts w:ascii="Times New Roman" w:hAnsi="Times New Roman"/>
                <w:sz w:val="24"/>
              </w:rPr>
              <w:lastRenderedPageBreak/>
              <w:t xml:space="preserve">Napredna metoda za CVA rizik kako je propisana člankom 383. CRR-a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lastRenderedPageBreak/>
              <w:t>030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U skladu sa standardiziranom metodom</w:t>
            </w:r>
          </w:p>
          <w:p w:rsidR="000B0B09" w:rsidRPr="00EF7F33" w:rsidRDefault="000B0B09" w:rsidP="000B0B09">
            <w:pPr>
              <w:rPr>
                <w:rFonts w:ascii="Times New Roman" w:hAnsi="Times New Roman"/>
                <w:bCs/>
                <w:sz w:val="24"/>
              </w:rPr>
            </w:pPr>
            <w:r w:rsidRPr="00EF7F33">
              <w:rPr>
                <w:rFonts w:ascii="Times New Roman" w:hAnsi="Times New Roman"/>
                <w:sz w:val="24"/>
              </w:rPr>
              <w:t xml:space="preserve">Standardizirana metoda za CVA rizik kako je propisana člankom 384. CRR-a </w:t>
            </w:r>
          </w:p>
        </w:tc>
      </w:tr>
      <w:tr w:rsidR="000B0B09" w:rsidRPr="00EF7F33" w:rsidTr="00672D2A">
        <w:tc>
          <w:tcPr>
            <w:tcW w:w="852" w:type="dxa"/>
          </w:tcPr>
          <w:p w:rsidR="000B0B09" w:rsidRPr="00EF7F33" w:rsidRDefault="000B0B09" w:rsidP="000B0B09">
            <w:pPr>
              <w:rPr>
                <w:rFonts w:ascii="Times New Roman" w:hAnsi="Times New Roman"/>
                <w:sz w:val="24"/>
              </w:rPr>
            </w:pPr>
            <w:r w:rsidRPr="00EF7F33">
              <w:rPr>
                <w:rFonts w:ascii="Times New Roman" w:hAnsi="Times New Roman"/>
                <w:sz w:val="24"/>
              </w:rPr>
              <w:t>040</w:t>
            </w:r>
          </w:p>
        </w:tc>
        <w:tc>
          <w:tcPr>
            <w:tcW w:w="8004" w:type="dxa"/>
          </w:tcPr>
          <w:p w:rsidR="000B0B09" w:rsidRPr="00EF7F33" w:rsidRDefault="000B0B09" w:rsidP="000B0B09">
            <w:pPr>
              <w:rPr>
                <w:rFonts w:ascii="Times New Roman" w:hAnsi="Times New Roman"/>
                <w:b/>
                <w:bCs/>
                <w:sz w:val="24"/>
                <w:u w:val="single"/>
              </w:rPr>
            </w:pPr>
            <w:r w:rsidRPr="00EF7F33">
              <w:rPr>
                <w:rFonts w:ascii="Times New Roman" w:hAnsi="Times New Roman"/>
                <w:b/>
                <w:sz w:val="24"/>
                <w:u w:val="single"/>
              </w:rPr>
              <w:t>Na temelju metode originalne izloženosti</w:t>
            </w:r>
          </w:p>
          <w:p w:rsidR="000B0B09" w:rsidRPr="00EF7F33" w:rsidRDefault="000B0B09" w:rsidP="00E871FE">
            <w:pPr>
              <w:rPr>
                <w:rFonts w:ascii="Times New Roman" w:hAnsi="Times New Roman"/>
                <w:bCs/>
                <w:sz w:val="24"/>
              </w:rPr>
            </w:pPr>
            <w:r w:rsidRPr="00EF7F33">
              <w:rPr>
                <w:rFonts w:ascii="Times New Roman" w:hAnsi="Times New Roman"/>
                <w:sz w:val="24"/>
              </w:rPr>
              <w:t>Iznosi koji podliježu primjeni članka 385. CRR-a</w:t>
            </w:r>
          </w:p>
        </w:tc>
      </w:tr>
      <w:bookmarkEnd w:id="774"/>
    </w:tbl>
    <w:p w:rsidR="00633DEB" w:rsidRPr="00EF7F33" w:rsidRDefault="00633DEB" w:rsidP="00C61FF5">
      <w:pPr>
        <w:rPr>
          <w:rStyle w:val="InstructionsTabelleText"/>
          <w:rFonts w:ascii="Times New Roman" w:hAnsi="Times New Roman"/>
          <w:sz w:val="24"/>
        </w:rPr>
      </w:pPr>
    </w:p>
    <w:p w:rsidR="00995A7F" w:rsidRPr="00EF7F33"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998198"/>
      <w:r w:rsidRPr="00EF7F33">
        <w:rPr>
          <w:rFonts w:ascii="Times New Roman" w:hAnsi="Times New Roman"/>
          <w:sz w:val="24"/>
          <w:u w:val="none"/>
        </w:rPr>
        <w:t>6.</w:t>
      </w:r>
      <w:r w:rsidRPr="00EF7F33">
        <w:tab/>
      </w:r>
      <w:r w:rsidRPr="00EF7F33">
        <w:rPr>
          <w:rFonts w:ascii="Times New Roman" w:hAnsi="Times New Roman"/>
          <w:sz w:val="24"/>
        </w:rPr>
        <w:t>Bonitetno vrednovanje (PruVal)</w:t>
      </w:r>
      <w:bookmarkEnd w:id="775"/>
      <w:bookmarkEnd w:id="776"/>
    </w:p>
    <w:p w:rsidR="00995A7F" w:rsidRPr="00EF7F33"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998199"/>
      <w:r w:rsidRPr="00EF7F33">
        <w:rPr>
          <w:rFonts w:ascii="Times New Roman" w:hAnsi="Times New Roman"/>
          <w:sz w:val="24"/>
          <w:u w:val="none"/>
        </w:rPr>
        <w:t>6.1.</w:t>
      </w:r>
      <w:r w:rsidRPr="00EF7F33">
        <w:tab/>
      </w:r>
      <w:r w:rsidRPr="00EF7F33">
        <w:rPr>
          <w:rFonts w:ascii="Times New Roman" w:hAnsi="Times New Roman"/>
          <w:sz w:val="24"/>
        </w:rPr>
        <w:t>C 32.01 – Bonitetno vrednovanje: imovina i obveze po fer vrijednosti (PruVal 1)</w:t>
      </w:r>
      <w:bookmarkEnd w:id="777"/>
      <w:bookmarkEnd w:id="778"/>
    </w:p>
    <w:p w:rsidR="00995A7F" w:rsidRPr="00EF7F33"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998200"/>
      <w:r w:rsidRPr="00EF7F33">
        <w:rPr>
          <w:rFonts w:ascii="Times New Roman" w:hAnsi="Times New Roman"/>
          <w:sz w:val="24"/>
          <w:u w:val="none"/>
        </w:rPr>
        <w:t>6.1.1.</w:t>
      </w:r>
      <w:r w:rsidRPr="00EF7F33">
        <w:tab/>
      </w:r>
      <w:r w:rsidRPr="00EF7F33">
        <w:rPr>
          <w:rFonts w:ascii="Times New Roman" w:hAnsi="Times New Roman"/>
          <w:sz w:val="24"/>
        </w:rPr>
        <w:t>Opće napomene</w:t>
      </w:r>
      <w:bookmarkEnd w:id="779"/>
      <w:bookmarkEnd w:id="780"/>
      <w:r w:rsidRPr="00EF7F33">
        <w:rPr>
          <w:rFonts w:ascii="Times New Roman" w:hAnsi="Times New Roman"/>
          <w:sz w:val="24"/>
          <w:u w:val="none"/>
        </w:rPr>
        <w:t xml:space="preserve"> </w:t>
      </w:r>
    </w:p>
    <w:p w:rsidR="00B93FA1" w:rsidRPr="00EF7F33" w:rsidRDefault="00995A7F" w:rsidP="001A3980">
      <w:pPr>
        <w:pStyle w:val="InstructionsText2"/>
        <w:numPr>
          <w:ilvl w:val="0"/>
          <w:numId w:val="0"/>
        </w:numPr>
        <w:ind w:left="993"/>
      </w:pPr>
      <w:r w:rsidRPr="00EF7F33">
        <w:t>154a. Ovaj obrazac popunjavaju sve institucije neovisno o tome primjenjuju li p</w:t>
      </w:r>
      <w:r w:rsidRPr="00EF7F33">
        <w:t>o</w:t>
      </w:r>
      <w:r w:rsidRPr="00EF7F33">
        <w:t>jednostavnjeni pristup za utvrđivanje dodatnih prilagodbi vrednovanja.  Odnosi se na apsolutnu vrijednost imovine i obveza po fer vrijednosti koja se koristi kako bi se utvrdilo jesu li ispunjeni uvjeti iz članka 4. Delegirane uredbe (EU) 2016/101 o bonitetnom vrednovanju za primjenu pojednostavnjenog pristupa za utvrđivanje dodatnih prilagodbi vrednovanja.</w:t>
      </w:r>
    </w:p>
    <w:p w:rsidR="00995A7F" w:rsidRPr="00EF7F33" w:rsidRDefault="00B93FA1" w:rsidP="001A3980">
      <w:pPr>
        <w:pStyle w:val="InstructionsText2"/>
        <w:numPr>
          <w:ilvl w:val="0"/>
          <w:numId w:val="0"/>
        </w:numPr>
        <w:ind w:left="993"/>
      </w:pPr>
      <w:r w:rsidRPr="00EF7F33">
        <w:t>154b. Kad je riječ o institucijama koje primjenjuju pojednostavljeni pristup, u ovom se obrascu iskazuje ukupna dodatna prilagodba vrednovanja koja se odbija od reg</w:t>
      </w:r>
      <w:r w:rsidRPr="00EF7F33">
        <w:t>u</w:t>
      </w:r>
      <w:r w:rsidRPr="00EF7F33">
        <w:t>latornog kapitala u skladu s člancima 34. i 105. CRR-a kako je određena u članku 5. Delegirane uredbe (EU) 2016/101 o bonitetnom vrednovanju, koja se u skladu s t</w:t>
      </w:r>
      <w:r w:rsidRPr="00EF7F33">
        <w:t>i</w:t>
      </w:r>
      <w:r w:rsidRPr="00EF7F33">
        <w:t xml:space="preserve">me iskazuje u retku 290 obrasca C 01.00.  </w:t>
      </w:r>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998201"/>
      <w:r w:rsidRPr="00EF7F33">
        <w:rPr>
          <w:rFonts w:ascii="Times New Roman" w:hAnsi="Times New Roman"/>
          <w:sz w:val="24"/>
          <w:u w:val="none"/>
        </w:rPr>
        <w:t>6.1.2.</w:t>
      </w:r>
      <w:r w:rsidRPr="00EF7F33">
        <w:tab/>
      </w:r>
      <w:r w:rsidRPr="00EF7F33">
        <w:rPr>
          <w:rFonts w:ascii="Times New Roman" w:hAnsi="Times New Roman"/>
          <w:sz w:val="24"/>
        </w:rPr>
        <w:t>Upute za specifične pozicije</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F7F33" w:rsidTr="00672D2A">
        <w:tc>
          <w:tcPr>
            <w:tcW w:w="9291" w:type="dxa"/>
            <w:gridSpan w:val="2"/>
            <w:shd w:val="clear" w:color="auto" w:fill="CCCCCC"/>
          </w:tcPr>
          <w:p w:rsidR="00B93FA1" w:rsidRPr="00EF7F33" w:rsidRDefault="00B93FA1" w:rsidP="00AF3D7A">
            <w:pPr>
              <w:spacing w:beforeLines="60" w:before="144" w:afterLines="60" w:after="144"/>
              <w:rPr>
                <w:rFonts w:ascii="Times New Roman" w:hAnsi="Times New Roman"/>
                <w:b/>
                <w:sz w:val="24"/>
              </w:rPr>
            </w:pPr>
            <w:r w:rsidRPr="00EF7F33">
              <w:rPr>
                <w:rFonts w:ascii="Times New Roman" w:hAnsi="Times New Roman"/>
                <w:b/>
                <w:sz w:val="24"/>
              </w:rPr>
              <w:t>Stupci</w:t>
            </w:r>
          </w:p>
        </w:tc>
      </w:tr>
      <w:tr w:rsidR="00B93FA1" w:rsidRPr="00EF7F33" w:rsidTr="00672D2A">
        <w:tc>
          <w:tcPr>
            <w:tcW w:w="1101" w:type="dxa"/>
          </w:tcPr>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0010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IMOVINA I OBVEZE PO FER VRIJEDNOSTI</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Apsolutna vrijednost imovine i obveza po fer vrijednosti, kako je navedeno u f</w:t>
            </w:r>
            <w:r w:rsidRPr="00EF7F33">
              <w:rPr>
                <w:rFonts w:ascii="Times New Roman" w:hAnsi="Times New Roman"/>
                <w:sz w:val="24"/>
              </w:rPr>
              <w:t>i</w:t>
            </w:r>
            <w:r w:rsidRPr="00EF7F33">
              <w:rPr>
                <w:rFonts w:ascii="Times New Roman" w:hAnsi="Times New Roman"/>
                <w:sz w:val="24"/>
              </w:rPr>
              <w:t xml:space="preserve">nancijskim izvještajima u skladu s primjenjivim računovodstvenim okvirom, kako je određena u članku 4. stavku 1. Delegirane uredbe (EU) 2016/101 o bonitetnom vrednovanju, prije nego se primijeni odbitak u skladu s člankom 4. stavkom 2.  </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0020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OD ČEGA: knjiga trgovanja</w:t>
            </w:r>
          </w:p>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sz w:val="24"/>
              </w:rPr>
              <w:t xml:space="preserve">Apsolutna vrijednost imovine i obveza po fer vrijednosti, kako je iskazana u retku 010, koja odgovara pozicijama koje se drže u knjizi trgovanja. </w:t>
            </w:r>
          </w:p>
        </w:tc>
      </w:tr>
      <w:tr w:rsidR="00B93FA1" w:rsidRPr="00EF7F33" w:rsidTr="00672D2A">
        <w:tc>
          <w:tcPr>
            <w:tcW w:w="1101" w:type="dxa"/>
          </w:tcPr>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0030-0070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IMOVINA I OBVEZE PO FER VRIJEDNOSTI KOJE SU ISKLJUČENE ZBOG DJELOMIČNOG UTJECAJA NA REDOVNI OSNOVNI KAPITAL</w:t>
            </w:r>
          </w:p>
          <w:p w:rsidR="00B93FA1" w:rsidRPr="00EF7F33" w:rsidRDefault="00B93FA1" w:rsidP="00C11B8D">
            <w:pPr>
              <w:spacing w:beforeLines="60" w:before="144" w:afterLines="60" w:after="144"/>
              <w:rPr>
                <w:rFonts w:ascii="Times New Roman" w:hAnsi="Times New Roman"/>
                <w:b/>
                <w:caps/>
                <w:sz w:val="24"/>
                <w:u w:val="single"/>
              </w:rPr>
            </w:pPr>
            <w:r w:rsidRPr="00EF7F33">
              <w:rPr>
                <w:rFonts w:ascii="Times New Roman" w:hAnsi="Times New Roman"/>
                <w:sz w:val="24"/>
              </w:rPr>
              <w:t>Apsolutna vrijednost imovine i obveza po fer vrijednosti koje su isključene u skl</w:t>
            </w:r>
            <w:r w:rsidRPr="00EF7F33">
              <w:rPr>
                <w:rFonts w:ascii="Times New Roman" w:hAnsi="Times New Roman"/>
                <w:sz w:val="24"/>
              </w:rPr>
              <w:t>a</w:t>
            </w:r>
            <w:r w:rsidRPr="00EF7F33">
              <w:rPr>
                <w:rFonts w:ascii="Times New Roman" w:hAnsi="Times New Roman"/>
                <w:sz w:val="24"/>
              </w:rPr>
              <w:t>du s člankom 4. stavkom 2. Delegirane uredbe (EU) 2016/101 o bonitetnom vre</w:t>
            </w:r>
            <w:r w:rsidRPr="00EF7F33">
              <w:rPr>
                <w:rFonts w:ascii="Times New Roman" w:hAnsi="Times New Roman"/>
                <w:sz w:val="24"/>
              </w:rPr>
              <w:t>d</w:t>
            </w:r>
            <w:r w:rsidRPr="00EF7F33">
              <w:rPr>
                <w:rFonts w:ascii="Times New Roman" w:hAnsi="Times New Roman"/>
                <w:sz w:val="24"/>
              </w:rPr>
              <w:lastRenderedPageBreak/>
              <w:t>novanju.</w:t>
            </w:r>
          </w:p>
        </w:tc>
      </w:tr>
      <w:tr w:rsidR="00B93FA1" w:rsidRPr="00EF7F33" w:rsidTr="00672D2A">
        <w:tc>
          <w:tcPr>
            <w:tcW w:w="1101" w:type="dxa"/>
          </w:tcPr>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lastRenderedPageBreak/>
              <w:t>0030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Potpuno podudaranje pozicija</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Suprotne pozicije imovine i obveza po fer vrijednosti koje se u potpunosti podud</w:t>
            </w:r>
            <w:r w:rsidRPr="00EF7F33">
              <w:rPr>
                <w:rFonts w:ascii="Times New Roman" w:hAnsi="Times New Roman"/>
                <w:sz w:val="24"/>
              </w:rPr>
              <w:t>a</w:t>
            </w:r>
            <w:r w:rsidRPr="00EF7F33">
              <w:rPr>
                <w:rFonts w:ascii="Times New Roman" w:hAnsi="Times New Roman"/>
                <w:sz w:val="24"/>
              </w:rPr>
              <w:t>raju isključene su u skladu s člankom 4. stavkom 2. Delegirane uredbe (EU) 2016/101 o bonitetnom vrednovanju.</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0040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Računovodstvo zaštite</w:t>
            </w:r>
          </w:p>
          <w:p w:rsidR="00B93FA1" w:rsidRPr="00EF7F33" w:rsidRDefault="00B93FA1" w:rsidP="00733B77">
            <w:pPr>
              <w:spacing w:beforeLines="60" w:before="144" w:afterLines="60" w:after="144"/>
              <w:rPr>
                <w:rFonts w:ascii="Times New Roman" w:hAnsi="Times New Roman"/>
                <w:sz w:val="24"/>
              </w:rPr>
            </w:pPr>
            <w:r w:rsidRPr="00EF7F33">
              <w:rPr>
                <w:rFonts w:ascii="Times New Roman" w:hAnsi="Times New Roman"/>
                <w:sz w:val="24"/>
              </w:rPr>
              <w:t>Kad je riječ o pozicijama koje podliježu računovodstvu zaštite u skladu s primj</w:t>
            </w:r>
            <w:r w:rsidRPr="00EF7F33">
              <w:rPr>
                <w:rFonts w:ascii="Times New Roman" w:hAnsi="Times New Roman"/>
                <w:sz w:val="24"/>
              </w:rPr>
              <w:t>e</w:t>
            </w:r>
            <w:r w:rsidRPr="00EF7F33">
              <w:rPr>
                <w:rFonts w:ascii="Times New Roman" w:hAnsi="Times New Roman"/>
                <w:sz w:val="24"/>
              </w:rPr>
              <w:t>njivim računovodstvenim okvirom, apsolutna vrijednost imovine i obveza po fer vrijednosti koje su isključene razmjerno utjecaju odgovarajuće promjene u vre</w:t>
            </w:r>
            <w:r w:rsidRPr="00EF7F33">
              <w:rPr>
                <w:rFonts w:ascii="Times New Roman" w:hAnsi="Times New Roman"/>
                <w:sz w:val="24"/>
              </w:rPr>
              <w:t>d</w:t>
            </w:r>
            <w:r w:rsidRPr="00EF7F33">
              <w:rPr>
                <w:rFonts w:ascii="Times New Roman" w:hAnsi="Times New Roman"/>
                <w:sz w:val="24"/>
              </w:rPr>
              <w:t>novanju na redovni osnovni kapital u skladu s člankom 4. stavkom 2. Delegirane uredbe (EU) 2016/101 o bonitetnom vrednovanju.</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0050</w:t>
            </w:r>
          </w:p>
        </w:tc>
        <w:tc>
          <w:tcPr>
            <w:tcW w:w="8190" w:type="dxa"/>
          </w:tcPr>
          <w:p w:rsidR="00B93FA1" w:rsidRPr="00EF7F33" w:rsidRDefault="00B93FA1" w:rsidP="00AF3D7A">
            <w:pPr>
              <w:spacing w:beforeLines="60" w:before="144" w:afterLines="60" w:after="144"/>
              <w:rPr>
                <w:rFonts w:ascii="Times New Roman" w:hAnsi="Times New Roman"/>
                <w:b/>
                <w:caps/>
                <w:sz w:val="24"/>
              </w:rPr>
            </w:pPr>
            <w:r w:rsidRPr="00EF7F33">
              <w:rPr>
                <w:rFonts w:ascii="Times New Roman" w:hAnsi="Times New Roman"/>
                <w:b/>
                <w:caps/>
                <w:sz w:val="24"/>
                <w:u w:val="single"/>
              </w:rPr>
              <w:t xml:space="preserve">BONITETNI filtri </w:t>
            </w:r>
          </w:p>
          <w:p w:rsidR="00B93FA1" w:rsidRPr="00EF7F33" w:rsidRDefault="00B93FA1" w:rsidP="00733B77">
            <w:pPr>
              <w:spacing w:beforeLines="60" w:before="144" w:afterLines="60" w:after="144"/>
              <w:rPr>
                <w:rFonts w:ascii="Times New Roman" w:hAnsi="Times New Roman"/>
                <w:sz w:val="24"/>
              </w:rPr>
            </w:pPr>
            <w:r w:rsidRPr="00EF7F33">
              <w:rPr>
                <w:rFonts w:ascii="Times New Roman" w:hAnsi="Times New Roman"/>
                <w:sz w:val="24"/>
              </w:rPr>
              <w:t>Apsolutna vrijednost imovine i obveza po fer vrijednosti koje su isključene u skl</w:t>
            </w:r>
            <w:r w:rsidRPr="00EF7F33">
              <w:rPr>
                <w:rFonts w:ascii="Times New Roman" w:hAnsi="Times New Roman"/>
                <w:sz w:val="24"/>
              </w:rPr>
              <w:t>a</w:t>
            </w:r>
            <w:r w:rsidRPr="00EF7F33">
              <w:rPr>
                <w:rFonts w:ascii="Times New Roman" w:hAnsi="Times New Roman"/>
                <w:sz w:val="24"/>
              </w:rPr>
              <w:t>du s člankom 4. stavkom 2. Delegirane uredbe (EU) 2016/101 o bonitetnom vre</w:t>
            </w:r>
            <w:r w:rsidRPr="00EF7F33">
              <w:rPr>
                <w:rFonts w:ascii="Times New Roman" w:hAnsi="Times New Roman"/>
                <w:sz w:val="24"/>
              </w:rPr>
              <w:t>d</w:t>
            </w:r>
            <w:r w:rsidRPr="00EF7F33">
              <w:rPr>
                <w:rFonts w:ascii="Times New Roman" w:hAnsi="Times New Roman"/>
                <w:sz w:val="24"/>
              </w:rPr>
              <w:t>novanju zbog prijelaznih filtara iz članaka 467. i 468. CRR-a.</w:t>
            </w:r>
          </w:p>
        </w:tc>
      </w:tr>
      <w:tr w:rsidR="00B93FA1" w:rsidRPr="00EF7F33" w:rsidTr="00672D2A">
        <w:tc>
          <w:tcPr>
            <w:tcW w:w="1101" w:type="dxa"/>
          </w:tcPr>
          <w:p w:rsidR="00B93FA1" w:rsidRPr="00EF7F33" w:rsidRDefault="001924F4" w:rsidP="00B93FA1">
            <w:pPr>
              <w:spacing w:beforeLines="60" w:before="144" w:afterLines="60" w:after="144"/>
              <w:rPr>
                <w:rFonts w:ascii="Times New Roman" w:hAnsi="Times New Roman"/>
                <w:sz w:val="24"/>
              </w:rPr>
            </w:pPr>
            <w:r w:rsidRPr="00EF7F33">
              <w:rPr>
                <w:rFonts w:ascii="Times New Roman" w:hAnsi="Times New Roman"/>
                <w:sz w:val="24"/>
              </w:rPr>
              <w:t>0060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Ostalo</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Sve ostale pozicije koje su isključene u skladu s člankom 4. stavkom 2. Delegirane uredbe (EU) 2016/101 o bonitetnom vrednovanju zbog usklađenja njihove rač</w:t>
            </w:r>
            <w:r w:rsidRPr="00EF7F33">
              <w:rPr>
                <w:rFonts w:ascii="Times New Roman" w:hAnsi="Times New Roman"/>
                <w:sz w:val="24"/>
              </w:rPr>
              <w:t>u</w:t>
            </w:r>
            <w:r w:rsidRPr="00EF7F33">
              <w:rPr>
                <w:rFonts w:ascii="Times New Roman" w:hAnsi="Times New Roman"/>
                <w:sz w:val="24"/>
              </w:rPr>
              <w:t>novodstvene vrijednosti koje ima samo razmjeran utjecaj na redovni osnovni kap</w:t>
            </w:r>
            <w:r w:rsidRPr="00EF7F33">
              <w:rPr>
                <w:rFonts w:ascii="Times New Roman" w:hAnsi="Times New Roman"/>
                <w:sz w:val="24"/>
              </w:rPr>
              <w:t>i</w:t>
            </w:r>
            <w:r w:rsidRPr="00EF7F33">
              <w:rPr>
                <w:rFonts w:ascii="Times New Roman" w:hAnsi="Times New Roman"/>
                <w:sz w:val="24"/>
              </w:rPr>
              <w:t>tal.</w:t>
            </w:r>
          </w:p>
          <w:p w:rsidR="00B93FA1" w:rsidRPr="00EF7F33" w:rsidRDefault="00B93FA1" w:rsidP="00733B77">
            <w:pPr>
              <w:spacing w:beforeLines="60" w:before="144" w:afterLines="60" w:after="144"/>
              <w:rPr>
                <w:rFonts w:ascii="Times New Roman" w:hAnsi="Times New Roman"/>
                <w:sz w:val="24"/>
              </w:rPr>
            </w:pPr>
            <w:r w:rsidRPr="00EF7F33">
              <w:rPr>
                <w:rFonts w:ascii="Times New Roman" w:hAnsi="Times New Roman"/>
                <w:sz w:val="24"/>
              </w:rPr>
              <w:t>Ovaj se redak popunjava samo u rijetkim slučajevima kada se elementi isključeni u skladu s člankom 4. stavkom 2. Delegirane uredbe (EU) 2016/101 o bonitetnom vrednovanju ne mogu rasporediti u stupce 0030, 0040 i 0050 ovog obrasca.</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0070</w:t>
            </w:r>
          </w:p>
        </w:tc>
        <w:tc>
          <w:tcPr>
            <w:tcW w:w="8190" w:type="dxa"/>
          </w:tcPr>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b/>
                <w:caps/>
                <w:sz w:val="24"/>
                <w:u w:val="single"/>
              </w:rPr>
              <w:t>Napomena koja se odnosi na „ostalo”</w:t>
            </w:r>
            <w:r w:rsidRPr="00EF7F33">
              <w:rPr>
                <w:rFonts w:ascii="Times New Roman" w:hAnsi="Times New Roman"/>
                <w:sz w:val="24"/>
              </w:rPr>
              <w:t xml:space="preserve"> </w:t>
            </w:r>
          </w:p>
          <w:p w:rsidR="00B93FA1" w:rsidRPr="00EF7F33" w:rsidRDefault="00C11B8D" w:rsidP="00584165">
            <w:pPr>
              <w:spacing w:beforeLines="60" w:before="144" w:afterLines="60" w:after="144"/>
              <w:rPr>
                <w:rFonts w:ascii="Times New Roman" w:hAnsi="Times New Roman"/>
                <w:b/>
                <w:caps/>
                <w:sz w:val="24"/>
                <w:u w:val="single"/>
              </w:rPr>
            </w:pPr>
            <w:r w:rsidRPr="00EF7F33">
              <w:rPr>
                <w:rFonts w:ascii="Times New Roman" w:hAnsi="Times New Roman"/>
                <w:sz w:val="24"/>
              </w:rPr>
              <w:t>Navode se glavni razlozi isključenja pozicija iskazanih u stupcu 0060.</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0080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Imovina i obveze PO FER VRIJEDNOSTI uključene u prag iz članka 4. stavka 1.</w:t>
            </w:r>
          </w:p>
          <w:p w:rsidR="00B93FA1" w:rsidRPr="00EF7F33" w:rsidRDefault="00B93FA1" w:rsidP="00733B77">
            <w:pPr>
              <w:spacing w:beforeLines="60" w:before="144" w:afterLines="60" w:after="144"/>
              <w:rPr>
                <w:rFonts w:ascii="Times New Roman" w:hAnsi="Times New Roman"/>
                <w:b/>
                <w:caps/>
                <w:sz w:val="24"/>
                <w:u w:val="single"/>
              </w:rPr>
            </w:pPr>
            <w:r w:rsidRPr="00EF7F33">
              <w:rPr>
                <w:rFonts w:ascii="Times New Roman" w:hAnsi="Times New Roman"/>
                <w:sz w:val="24"/>
              </w:rPr>
              <w:t>Apsolutna vrijednost imovine i obveza po fer vrijednosti koje su doista uključene u izračun praga u skladu s člankom 4. stavkom 1. Delegirane uredbe (EU) 2016/101 o bonitetnom vrednovanju.</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0090</w:t>
            </w:r>
          </w:p>
        </w:tc>
        <w:tc>
          <w:tcPr>
            <w:tcW w:w="8190" w:type="dxa"/>
          </w:tcPr>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OD ČEGA: knjiga trgovanja</w:t>
            </w:r>
          </w:p>
          <w:p w:rsidR="00B93FA1" w:rsidRPr="00EF7F33" w:rsidRDefault="00B93FA1" w:rsidP="00AF3D7A">
            <w:pPr>
              <w:spacing w:beforeLines="60" w:before="144" w:afterLines="60" w:after="144"/>
              <w:rPr>
                <w:rFonts w:ascii="Times New Roman" w:hAnsi="Times New Roman"/>
                <w:b/>
                <w:caps/>
                <w:sz w:val="24"/>
                <w:u w:val="single"/>
              </w:rPr>
            </w:pPr>
            <w:r w:rsidRPr="00EF7F33">
              <w:rPr>
                <w:rFonts w:ascii="Times New Roman" w:hAnsi="Times New Roman"/>
                <w:sz w:val="24"/>
              </w:rPr>
              <w:t>Apsolutna vrijednost imovine i obveza po fer vrijednosti, kako je iskazana u stu</w:t>
            </w:r>
            <w:r w:rsidRPr="00EF7F33">
              <w:rPr>
                <w:rFonts w:ascii="Times New Roman" w:hAnsi="Times New Roman"/>
                <w:sz w:val="24"/>
              </w:rPr>
              <w:t>p</w:t>
            </w:r>
            <w:r w:rsidRPr="00EF7F33">
              <w:rPr>
                <w:rFonts w:ascii="Times New Roman" w:hAnsi="Times New Roman"/>
                <w:sz w:val="24"/>
              </w:rPr>
              <w:t>cu 0080, koja odgovara pozicijama koje se drže u knjizi trgovanja.</w:t>
            </w:r>
          </w:p>
        </w:tc>
      </w:tr>
    </w:tbl>
    <w:p w:rsidR="00E60B53" w:rsidRPr="00EF7F3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F7F33" w:rsidTr="00672D2A">
        <w:tc>
          <w:tcPr>
            <w:tcW w:w="9291" w:type="dxa"/>
            <w:gridSpan w:val="2"/>
            <w:shd w:val="clear" w:color="auto" w:fill="CCCCCC"/>
          </w:tcPr>
          <w:p w:rsidR="00B93FA1" w:rsidRPr="00EF7F33" w:rsidRDefault="00B93FA1" w:rsidP="00AF3D7A">
            <w:pPr>
              <w:spacing w:beforeLines="60" w:before="144" w:afterLines="60" w:after="144"/>
              <w:rPr>
                <w:rFonts w:ascii="Times New Roman" w:hAnsi="Times New Roman"/>
                <w:b/>
                <w:sz w:val="24"/>
              </w:rPr>
            </w:pPr>
            <w:r w:rsidRPr="00EF7F33">
              <w:rPr>
                <w:rFonts w:ascii="Times New Roman" w:hAnsi="Times New Roman"/>
                <w:b/>
                <w:sz w:val="24"/>
              </w:rPr>
              <w:t>Redci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lastRenderedPageBreak/>
              <w:t>0010 – 0210</w:t>
            </w:r>
          </w:p>
        </w:tc>
        <w:tc>
          <w:tcPr>
            <w:tcW w:w="8190" w:type="dxa"/>
          </w:tcPr>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Definicije ovih kategorija u skladu su s definicijama iz odgovarajućih obrazaca f</w:t>
            </w:r>
            <w:r w:rsidRPr="00EF7F33">
              <w:rPr>
                <w:rFonts w:ascii="Times New Roman" w:hAnsi="Times New Roman"/>
                <w:sz w:val="24"/>
              </w:rPr>
              <w:t>i</w:t>
            </w:r>
            <w:r w:rsidRPr="00EF7F33">
              <w:rPr>
                <w:rFonts w:ascii="Times New Roman" w:hAnsi="Times New Roman"/>
                <w:sz w:val="24"/>
              </w:rPr>
              <w:t xml:space="preserve">nancijskog izvješćivanja 1.1 i 1.2.  </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0010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 UKUPNA IMOVINA I OBVEZE PO FER VRIJEDNOSTI</w:t>
            </w:r>
          </w:p>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sz w:val="24"/>
              </w:rPr>
              <w:t>Ukupna imovina i obveze po fer vrijednosti iskazane u redcima od 20 do 210.</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0020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 UKUPNA IMOVINA PO FER VRIJEDNOSTI</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Ukupna imovina po fer vrijednosti iskazana u redcima od 0030 do 0140. </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Relevantne rubrike u redcima od 0030 do 0130 iskazuju se u skladu s obrascem f</w:t>
            </w:r>
            <w:r w:rsidRPr="00EF7F33">
              <w:rPr>
                <w:rFonts w:ascii="Times New Roman" w:hAnsi="Times New Roman"/>
                <w:sz w:val="24"/>
              </w:rPr>
              <w:t>i</w:t>
            </w:r>
            <w:r w:rsidRPr="00EF7F33">
              <w:rPr>
                <w:rFonts w:ascii="Times New Roman" w:hAnsi="Times New Roman"/>
                <w:sz w:val="24"/>
              </w:rPr>
              <w:t>nancijskog izvješćivanja F 01.01 iz priloga III. i IV. ovoj Uredbi ovisno o standa</w:t>
            </w:r>
            <w:r w:rsidRPr="00EF7F33">
              <w:rPr>
                <w:rFonts w:ascii="Times New Roman" w:hAnsi="Times New Roman"/>
                <w:sz w:val="24"/>
              </w:rPr>
              <w:t>r</w:t>
            </w:r>
            <w:r w:rsidRPr="00EF7F33">
              <w:rPr>
                <w:rFonts w:ascii="Times New Roman" w:hAnsi="Times New Roman"/>
                <w:sz w:val="24"/>
              </w:rPr>
              <w:t xml:space="preserve">dima koje institucija primjenjuje: </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MSFI kako je prihvaćen u Uniji na temelju primjene Uredbe (EU) 1606/2002 („EU MSFI”)</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nacionalni računovodstveni standardi koji su usklađeni s EU MSFI-jem („n</w:t>
            </w:r>
            <w:r w:rsidRPr="00EF7F33">
              <w:rPr>
                <w:rFonts w:ascii="Times New Roman" w:hAnsi="Times New Roman"/>
                <w:sz w:val="24"/>
              </w:rPr>
              <w:t>a</w:t>
            </w:r>
            <w:r w:rsidRPr="00EF7F33">
              <w:rPr>
                <w:rFonts w:ascii="Times New Roman" w:hAnsi="Times New Roman"/>
                <w:sz w:val="24"/>
              </w:rPr>
              <w:t xml:space="preserve">cionalna općeprihvaćena računovodstvena načela koja su usklađena s MSFI-jem”) ili </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nacionalna općeprihvaćena računovodstvena načela na temelju Direktive 86/635/EEZ, Računovodstvena direktiva za banke (FINREP, „nacionalna o</w:t>
            </w:r>
            <w:r w:rsidRPr="00EF7F33">
              <w:rPr>
                <w:rFonts w:ascii="Times New Roman" w:hAnsi="Times New Roman"/>
                <w:sz w:val="24"/>
              </w:rPr>
              <w:t>p</w:t>
            </w:r>
            <w:r w:rsidRPr="00EF7F33">
              <w:rPr>
                <w:rFonts w:ascii="Times New Roman" w:hAnsi="Times New Roman"/>
                <w:sz w:val="24"/>
              </w:rPr>
              <w:t>ćeprihvaćena računovodstvena načela na temelju BAD-a”).</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0030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 FINANCIJSKA IMOVINA KOJA SE DRŽI RADI TRGOVANJA</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MSFI 9 Dodatak A.</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050 iz o</w:t>
            </w:r>
            <w:r w:rsidRPr="00EF7F33">
              <w:rPr>
                <w:rFonts w:ascii="Times New Roman" w:hAnsi="Times New Roman"/>
                <w:sz w:val="24"/>
              </w:rPr>
              <w:t>b</w:t>
            </w:r>
            <w:r w:rsidRPr="00EF7F33">
              <w:rPr>
                <w:rFonts w:ascii="Times New Roman" w:hAnsi="Times New Roman"/>
                <w:sz w:val="24"/>
              </w:rPr>
              <w:t xml:space="preserve">rasca F 01.01 iz priloga III. i IV. ovoj Uredbi. </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0040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1.1.2 FINANCIJSKA IMOVINA KOJOM SE TRGUJE</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Članci 32-33. BAD-a; Prilog V. dio 1.17. </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091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0050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1.1.3 FINANCIJSKA IMOVINA KOJOM SE NE TRGUJE KOJA SE O</w:t>
            </w:r>
            <w:r w:rsidRPr="00EF7F33">
              <w:rPr>
                <w:rFonts w:ascii="Times New Roman" w:hAnsi="Times New Roman"/>
                <w:b/>
                <w:sz w:val="24"/>
                <w:u w:val="single"/>
              </w:rPr>
              <w:t>B</w:t>
            </w:r>
            <w:r w:rsidRPr="00EF7F33">
              <w:rPr>
                <w:rFonts w:ascii="Times New Roman" w:hAnsi="Times New Roman"/>
                <w:b/>
                <w:sz w:val="24"/>
                <w:u w:val="single"/>
              </w:rPr>
              <w:t xml:space="preserve">VEZNO MJERI PO FER VRIJENDOSTI KROZ DOBIT ILI GUBITAK </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MSFI 7.8(a)(ii); MSFI 9.4.1.4. </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096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0060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1.1.4 FINANCIJSKA IMOVINA PO FER VRIJEDNOSTI KROZ DOBIT ILI GUBITAK</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MSFI 7.8(a)(i); MSFI 9.4.1.5.; </w:t>
            </w:r>
            <w:r w:rsidR="00D73470">
              <w:rPr>
                <w:rFonts w:ascii="Times New Roman" w:hAnsi="Times New Roman"/>
                <w:sz w:val="24"/>
              </w:rPr>
              <w:t>č</w:t>
            </w:r>
            <w:r w:rsidRPr="00EF7F33">
              <w:rPr>
                <w:rFonts w:ascii="Times New Roman" w:hAnsi="Times New Roman"/>
                <w:sz w:val="24"/>
              </w:rPr>
              <w:t>lanak 8. stavak 1. točka (a) i stavak 6. Račun</w:t>
            </w:r>
            <w:r w:rsidRPr="00EF7F33">
              <w:rPr>
                <w:rFonts w:ascii="Times New Roman" w:hAnsi="Times New Roman"/>
                <w:sz w:val="24"/>
              </w:rPr>
              <w:t>o</w:t>
            </w:r>
            <w:r w:rsidRPr="00EF7F33">
              <w:rPr>
                <w:rFonts w:ascii="Times New Roman" w:hAnsi="Times New Roman"/>
                <w:sz w:val="24"/>
              </w:rPr>
              <w:t>vodstvene direktive</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100 iz o</w:t>
            </w:r>
            <w:r w:rsidRPr="00EF7F33">
              <w:rPr>
                <w:rFonts w:ascii="Times New Roman" w:hAnsi="Times New Roman"/>
                <w:sz w:val="24"/>
              </w:rPr>
              <w:t>b</w:t>
            </w:r>
            <w:r w:rsidRPr="00EF7F33">
              <w:rPr>
                <w:rFonts w:ascii="Times New Roman" w:hAnsi="Times New Roman"/>
                <w:sz w:val="24"/>
              </w:rPr>
              <w:lastRenderedPageBreak/>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lastRenderedPageBreak/>
              <w:t>0070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1.1.5 </w:t>
            </w:r>
            <w:r w:rsidRPr="00EF7F33">
              <w:rPr>
                <w:sz w:val="24"/>
              </w:rPr>
              <w:t xml:space="preserve"> </w:t>
            </w:r>
            <w:r w:rsidRPr="00EF7F33">
              <w:rPr>
                <w:rFonts w:ascii="Times New Roman" w:hAnsi="Times New Roman"/>
                <w:b/>
                <w:sz w:val="24"/>
                <w:u w:val="single"/>
              </w:rPr>
              <w:t>FINANCIJSKA IMOVINA PO FER VRIJEDNOSTI KROZ OSTALU SVEOBUHVATNU DOBIT</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MSFI 7.8(h); MSFI 9.4.1.2A.</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141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0080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1.1.6 NEIZVEDENA FINANCIJSKA IMOVINA KOJOM SE NE TRGUJE MJERENA PO FER VRIJEDNOSTI KROZ DOBIT ILI GUBITAK</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Članak 36. stavak 2. BAD-a </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171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0090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1.1.7 NEIZVEDENA FINANCIJSKA IMOVINA KOJOM SE NE TRGUJE MJERENA PO FER VRIJEDNOSTI PREMA VLASNIČKIM INSTR</w:t>
            </w:r>
            <w:r w:rsidRPr="00EF7F33">
              <w:rPr>
                <w:rFonts w:ascii="Times New Roman" w:hAnsi="Times New Roman"/>
                <w:b/>
                <w:sz w:val="24"/>
                <w:u w:val="single"/>
              </w:rPr>
              <w:t>U</w:t>
            </w:r>
            <w:r w:rsidRPr="00EF7F33">
              <w:rPr>
                <w:rFonts w:ascii="Times New Roman" w:hAnsi="Times New Roman"/>
                <w:b/>
                <w:sz w:val="24"/>
                <w:u w:val="single"/>
              </w:rPr>
              <w:t>MENTIMA</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Članak 8. stavak 1. točka (a) i stavak 8. Računovodstvene direktive.</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175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0100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1.1.8 OSTALA NEIZVEDENA FINANCIJSKA IMOVINA KOJOM SE NE TRGUJE</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Članak 37. BAD-a; članak 12. stavak 7. Računovodstvene direktive; Prilog V. dio 1.20.</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234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0110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1.1.9 IZVEDENICE – RAČUNOVODSTVO ZAŠTITE</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MSFI 9.6.2.1.; Prilog V. dio 1.22.; Članak 8. stavak 1. točka (a) i stavci 6. i 8. R</w:t>
            </w:r>
            <w:r w:rsidRPr="00EF7F33">
              <w:rPr>
                <w:rFonts w:ascii="Times New Roman" w:hAnsi="Times New Roman"/>
                <w:sz w:val="24"/>
              </w:rPr>
              <w:t>a</w:t>
            </w:r>
            <w:r w:rsidRPr="00EF7F33">
              <w:rPr>
                <w:rFonts w:ascii="Times New Roman" w:hAnsi="Times New Roman"/>
                <w:sz w:val="24"/>
              </w:rPr>
              <w:t>čunovodstvene direktive MRS 39.9; Prilog V. dio 1.22.</w:t>
            </w:r>
          </w:p>
          <w:p w:rsidR="00B93FA1" w:rsidRPr="00EF7F33" w:rsidRDefault="00B93FA1" w:rsidP="00C11B8D">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240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Del="006529A1" w:rsidRDefault="001924F4" w:rsidP="00AF3D7A">
            <w:pPr>
              <w:spacing w:beforeLines="60" w:before="144" w:afterLines="60" w:after="144"/>
              <w:rPr>
                <w:rFonts w:ascii="Times New Roman" w:hAnsi="Times New Roman"/>
                <w:sz w:val="24"/>
              </w:rPr>
            </w:pPr>
            <w:r w:rsidRPr="00EF7F33">
              <w:rPr>
                <w:rFonts w:ascii="Times New Roman" w:hAnsi="Times New Roman"/>
                <w:sz w:val="24"/>
              </w:rPr>
              <w:t>0120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1.1.10 PROMJENE FER VRIJEDNOSTI ZAŠTIĆENIH STAVKI U ZAŠT</w:t>
            </w:r>
            <w:r w:rsidRPr="00EF7F33">
              <w:rPr>
                <w:rFonts w:ascii="Times New Roman" w:hAnsi="Times New Roman"/>
                <w:b/>
                <w:sz w:val="24"/>
                <w:u w:val="single"/>
              </w:rPr>
              <w:t>I</w:t>
            </w:r>
            <w:r w:rsidRPr="00EF7F33">
              <w:rPr>
                <w:rFonts w:ascii="Times New Roman" w:hAnsi="Times New Roman"/>
                <w:b/>
                <w:sz w:val="24"/>
                <w:u w:val="single"/>
              </w:rPr>
              <w:t xml:space="preserve">TI PORTFELJA OD KAMATNOG RIZIKA </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MRS 39.89A (a); MSFI 9.6.5.8.; </w:t>
            </w:r>
            <w:r w:rsidR="00D73470">
              <w:rPr>
                <w:rFonts w:ascii="Times New Roman" w:hAnsi="Times New Roman"/>
                <w:sz w:val="24"/>
              </w:rPr>
              <w:t>č</w:t>
            </w:r>
            <w:r w:rsidRPr="00EF7F33">
              <w:rPr>
                <w:rFonts w:ascii="Times New Roman" w:hAnsi="Times New Roman"/>
                <w:sz w:val="24"/>
              </w:rPr>
              <w:t xml:space="preserve">lanak 8. stavak 5. i stavak 6. Računovodstvene direktive. </w:t>
            </w:r>
          </w:p>
          <w:p w:rsidR="00B93FA1" w:rsidRPr="00EF7F33" w:rsidRDefault="00B93FA1" w:rsidP="00C11B8D">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250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0130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1.1.11 ULAGANJA U DRUŠTVA KĆERI, ZAJEDNIČKE POTHVATE I PRIDRUŽENA DRUŠTVA</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lastRenderedPageBreak/>
              <w:t xml:space="preserve">MRS 1.54(e); Prilog V. dio 1.21. dio 2.4; članak 4. BAD-a Imovina 7-8.; članak 2. stavak 2. Računovodstvene direktive. </w:t>
            </w:r>
          </w:p>
          <w:p w:rsidR="00B93FA1" w:rsidRPr="00EF7F33" w:rsidRDefault="00B93FA1" w:rsidP="00F811F8">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260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lastRenderedPageBreak/>
              <w:t>0140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1.1.12 (–) KOREKTIVNI FAKTORI ZA IMOVINU KOJOM SE TRGUJE PO FER VRIJEDNOSTI</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Prilog V. dio 1.29.</w:t>
            </w:r>
          </w:p>
          <w:p w:rsidR="00B93FA1" w:rsidRPr="00EF7F33" w:rsidRDefault="00B93FA1" w:rsidP="00F811F8">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375 iz o</w:t>
            </w:r>
            <w:r w:rsidRPr="00EF7F33">
              <w:rPr>
                <w:rFonts w:ascii="Times New Roman" w:hAnsi="Times New Roman"/>
                <w:sz w:val="24"/>
              </w:rPr>
              <w:t>b</w:t>
            </w:r>
            <w:r w:rsidRPr="00EF7F33">
              <w:rPr>
                <w:rFonts w:ascii="Times New Roman" w:hAnsi="Times New Roman"/>
                <w:sz w:val="24"/>
              </w:rPr>
              <w:t>rasca F 01.01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0150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1.2 UKUPNE OBVEZE PO FER VRIJEDNOSTI  </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Ukupne obveze po fer vrijednosti iskazane u redcima od 0160 do 0210.</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Relevantne rubrike u redcima od 0150 do 0190 iskazuju se u skladu s obrascem f</w:t>
            </w:r>
            <w:r w:rsidRPr="00EF7F33">
              <w:rPr>
                <w:rFonts w:ascii="Times New Roman" w:hAnsi="Times New Roman"/>
                <w:sz w:val="24"/>
              </w:rPr>
              <w:t>i</w:t>
            </w:r>
            <w:r w:rsidRPr="00EF7F33">
              <w:rPr>
                <w:rFonts w:ascii="Times New Roman" w:hAnsi="Times New Roman"/>
                <w:sz w:val="24"/>
              </w:rPr>
              <w:t>nancijskog izvješćivanja F 01.02 iz priloga III. i IV. ovoj Uredbi ovisno o standa</w:t>
            </w:r>
            <w:r w:rsidRPr="00EF7F33">
              <w:rPr>
                <w:rFonts w:ascii="Times New Roman" w:hAnsi="Times New Roman"/>
                <w:sz w:val="24"/>
              </w:rPr>
              <w:t>r</w:t>
            </w:r>
            <w:r w:rsidRPr="00EF7F33">
              <w:rPr>
                <w:rFonts w:ascii="Times New Roman" w:hAnsi="Times New Roman"/>
                <w:sz w:val="24"/>
              </w:rPr>
              <w:t xml:space="preserve">dima koje institucija primjenjuje: </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MSFI kako je prihvaćen u Uniji na temelju primjene Uredbe (EU) 1606/2002 („EU MSFI”)</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nacionalni računovodstveni standardi koji su usklađeni s EU MSFI-jem (nac</w:t>
            </w:r>
            <w:r w:rsidRPr="00EF7F33">
              <w:rPr>
                <w:rFonts w:ascii="Times New Roman" w:hAnsi="Times New Roman"/>
                <w:sz w:val="24"/>
              </w:rPr>
              <w:t>i</w:t>
            </w:r>
            <w:r w:rsidRPr="00EF7F33">
              <w:rPr>
                <w:rFonts w:ascii="Times New Roman" w:hAnsi="Times New Roman"/>
                <w:sz w:val="24"/>
              </w:rPr>
              <w:t xml:space="preserve">onalna općeprihvaćena računovodstvena načela koja su usklađena s MSFI-jem) </w:t>
            </w:r>
          </w:p>
          <w:p w:rsidR="00B93FA1" w:rsidRPr="00EF7F33" w:rsidRDefault="00B93FA1" w:rsidP="00B93FA1">
            <w:pPr>
              <w:pStyle w:val="ListParagraph"/>
              <w:numPr>
                <w:ilvl w:val="0"/>
                <w:numId w:val="46"/>
              </w:numPr>
              <w:spacing w:beforeLines="60" w:before="144" w:afterLines="60" w:after="144"/>
              <w:rPr>
                <w:rFonts w:ascii="Times New Roman" w:hAnsi="Times New Roman"/>
                <w:sz w:val="24"/>
              </w:rPr>
            </w:pPr>
            <w:r w:rsidRPr="00EF7F33">
              <w:rPr>
                <w:rFonts w:ascii="Times New Roman" w:hAnsi="Times New Roman"/>
                <w:sz w:val="24"/>
              </w:rPr>
              <w:t>ili nacionalna općeprihvaćena računovodstvena načela na temelju Direktive 86/635/EEZ, Računovodstvena direktiva za banke (FINREP, nacionalna opć</w:t>
            </w:r>
            <w:r w:rsidRPr="00EF7F33">
              <w:rPr>
                <w:rFonts w:ascii="Times New Roman" w:hAnsi="Times New Roman"/>
                <w:sz w:val="24"/>
              </w:rPr>
              <w:t>e</w:t>
            </w:r>
            <w:r w:rsidRPr="00EF7F33">
              <w:rPr>
                <w:rFonts w:ascii="Times New Roman" w:hAnsi="Times New Roman"/>
                <w:sz w:val="24"/>
              </w:rPr>
              <w:t>prihvaćena računovodstvena načela na temelju BAD-a).</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0160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1.2.1 FINANCIJSKE OBVEZE KOJE SE DRŽE RADI TRGOVANJA</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MSFI 7.8 (e) (ii); MSFI 9.BA.6.</w:t>
            </w:r>
          </w:p>
          <w:p w:rsidR="00B93FA1" w:rsidRPr="00EF7F33" w:rsidRDefault="00B93FA1" w:rsidP="00F811F8">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010 iz o</w:t>
            </w:r>
            <w:r w:rsidRPr="00EF7F33">
              <w:rPr>
                <w:rFonts w:ascii="Times New Roman" w:hAnsi="Times New Roman"/>
                <w:sz w:val="24"/>
              </w:rPr>
              <w:t>b</w:t>
            </w:r>
            <w:r w:rsidRPr="00EF7F33">
              <w:rPr>
                <w:rFonts w:ascii="Times New Roman" w:hAnsi="Times New Roman"/>
                <w:sz w:val="24"/>
              </w:rPr>
              <w:t>rasca F 01.02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0170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1.2.2 FINANCIJSKE OBVEZE KOJIMA SE TRGUJE</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Članak 8. stavak 1. točka (a) i stavci 3. i 6. Računovodstvene direktive</w:t>
            </w:r>
          </w:p>
          <w:p w:rsidR="00B93FA1" w:rsidRPr="00EF7F33" w:rsidRDefault="00B93FA1" w:rsidP="00F811F8">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061 iz o</w:t>
            </w:r>
            <w:r w:rsidRPr="00EF7F33">
              <w:rPr>
                <w:rFonts w:ascii="Times New Roman" w:hAnsi="Times New Roman"/>
                <w:sz w:val="24"/>
              </w:rPr>
              <w:t>b</w:t>
            </w:r>
            <w:r w:rsidRPr="00EF7F33">
              <w:rPr>
                <w:rFonts w:ascii="Times New Roman" w:hAnsi="Times New Roman"/>
                <w:sz w:val="24"/>
              </w:rPr>
              <w:t>rasca F 01.02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0180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1.2.3 FINANCIJSKE OBVEZE PO FER VRIJEDNOSTI KROZ DOBIT ILI GUBITAK</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MSFI 7.8 (e) (i); MSFI 9.4.2.2.;</w:t>
            </w:r>
            <w:r w:rsidRPr="00EF7F33">
              <w:rPr>
                <w:sz w:val="24"/>
              </w:rPr>
              <w:t xml:space="preserve"> </w:t>
            </w:r>
            <w:r w:rsidR="00D73470">
              <w:rPr>
                <w:sz w:val="24"/>
              </w:rPr>
              <w:t>č</w:t>
            </w:r>
            <w:r w:rsidRPr="00EF7F33">
              <w:rPr>
                <w:rFonts w:ascii="Times New Roman" w:hAnsi="Times New Roman"/>
                <w:sz w:val="24"/>
              </w:rPr>
              <w:t>lanak 8. stavak 1. točka (a) i stavak 6. Račun</w:t>
            </w:r>
            <w:r w:rsidRPr="00EF7F33">
              <w:rPr>
                <w:rFonts w:ascii="Times New Roman" w:hAnsi="Times New Roman"/>
                <w:sz w:val="24"/>
              </w:rPr>
              <w:t>o</w:t>
            </w:r>
            <w:r w:rsidRPr="00EF7F33">
              <w:rPr>
                <w:rFonts w:ascii="Times New Roman" w:hAnsi="Times New Roman"/>
                <w:sz w:val="24"/>
              </w:rPr>
              <w:t xml:space="preserve">vodstvene direktive; MRS 39.9. </w:t>
            </w:r>
          </w:p>
          <w:p w:rsidR="00B93FA1" w:rsidRPr="00EF7F33" w:rsidRDefault="00B93FA1" w:rsidP="00F811F8">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070 iz o</w:t>
            </w:r>
            <w:r w:rsidRPr="00EF7F33">
              <w:rPr>
                <w:rFonts w:ascii="Times New Roman" w:hAnsi="Times New Roman"/>
                <w:sz w:val="24"/>
              </w:rPr>
              <w:t>b</w:t>
            </w:r>
            <w:r w:rsidRPr="00EF7F33">
              <w:rPr>
                <w:rFonts w:ascii="Times New Roman" w:hAnsi="Times New Roman"/>
                <w:sz w:val="24"/>
              </w:rPr>
              <w:t>rasca F 01.02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lastRenderedPageBreak/>
              <w:t>0190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1.2.4 IZVEDENICE – RAČUNOVODSTVO ZAŠTITE</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 xml:space="preserve">MSFI 9.6.2.1.; Prilog V. dio 1.26.; članak 8. stavak 1. točka (a), stavak 6., stavak 8. točka (a) Računovodstvene direktive </w:t>
            </w:r>
          </w:p>
          <w:p w:rsidR="00B93FA1" w:rsidRPr="00EF7F33" w:rsidRDefault="00B93FA1" w:rsidP="00F811F8">
            <w:pPr>
              <w:spacing w:beforeLines="60" w:before="144" w:afterLines="60" w:after="144"/>
              <w:rPr>
                <w:rFonts w:ascii="Times New Roman" w:hAnsi="Times New Roman"/>
                <w:sz w:val="24"/>
              </w:rPr>
            </w:pPr>
            <w:r w:rsidRPr="00EF7F33">
              <w:rPr>
                <w:rFonts w:ascii="Times New Roman" w:hAnsi="Times New Roman"/>
                <w:sz w:val="24"/>
              </w:rPr>
              <w:t>Informacije iskazane u ovom retku odgovaraju informacijama iz retka 150 iz o</w:t>
            </w:r>
            <w:r w:rsidRPr="00EF7F33">
              <w:rPr>
                <w:rFonts w:ascii="Times New Roman" w:hAnsi="Times New Roman"/>
                <w:sz w:val="24"/>
              </w:rPr>
              <w:t>b</w:t>
            </w:r>
            <w:r w:rsidRPr="00EF7F33">
              <w:rPr>
                <w:rFonts w:ascii="Times New Roman" w:hAnsi="Times New Roman"/>
                <w:sz w:val="24"/>
              </w:rPr>
              <w:t>rasca F 01.02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0200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1.2.5 PROMJENE FER VRIJEDNOSTI ZAŠTIĆENIH STAVKI U ZAŠTITI PORTFELJA OD KAMATNOG RIZIKA</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MRS 39.89A(b), MSFI 9.6.5.8; članak 8. stavak 5. i stavak 6. Računovodstvene direktive; Prilog V. dio 2.8.</w:t>
            </w:r>
          </w:p>
          <w:p w:rsidR="00B93FA1" w:rsidRPr="00EF7F33" w:rsidRDefault="00B93FA1" w:rsidP="00F811F8">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160 iz o</w:t>
            </w:r>
            <w:r w:rsidRPr="00EF7F33">
              <w:rPr>
                <w:rFonts w:ascii="Times New Roman" w:hAnsi="Times New Roman"/>
                <w:sz w:val="24"/>
              </w:rPr>
              <w:t>b</w:t>
            </w:r>
            <w:r w:rsidRPr="00EF7F33">
              <w:rPr>
                <w:rFonts w:ascii="Times New Roman" w:hAnsi="Times New Roman"/>
                <w:sz w:val="24"/>
              </w:rPr>
              <w:t>rasca F 01.02 iz priloga III. i IV. ovoj Uredbi.</w:t>
            </w:r>
          </w:p>
        </w:tc>
      </w:tr>
      <w:tr w:rsidR="00B93FA1" w:rsidRPr="00EF7F33" w:rsidTr="00672D2A">
        <w:tc>
          <w:tcPr>
            <w:tcW w:w="1101" w:type="dxa"/>
          </w:tcPr>
          <w:p w:rsidR="00B93FA1" w:rsidRPr="00EF7F33" w:rsidRDefault="001924F4" w:rsidP="00AF3D7A">
            <w:pPr>
              <w:spacing w:beforeLines="60" w:before="144" w:afterLines="60" w:after="144"/>
              <w:rPr>
                <w:rFonts w:ascii="Times New Roman" w:hAnsi="Times New Roman"/>
                <w:sz w:val="24"/>
              </w:rPr>
            </w:pPr>
            <w:r w:rsidRPr="00EF7F33">
              <w:rPr>
                <w:rFonts w:ascii="Times New Roman" w:hAnsi="Times New Roman"/>
                <w:sz w:val="24"/>
              </w:rPr>
              <w:t>0210</w:t>
            </w:r>
          </w:p>
        </w:tc>
        <w:tc>
          <w:tcPr>
            <w:tcW w:w="8190" w:type="dxa"/>
          </w:tcPr>
          <w:p w:rsidR="00B93FA1" w:rsidRPr="00EF7F33" w:rsidRDefault="00B93FA1"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1.2.6 KOREKTIVNI FAKTORI ZA OBVEZE KOJIMA SE TRGUJE PO FER VRIJEDNOSTI</w:t>
            </w:r>
          </w:p>
          <w:p w:rsidR="00B93FA1" w:rsidRPr="00EF7F33" w:rsidRDefault="00B93FA1" w:rsidP="00AF3D7A">
            <w:pPr>
              <w:spacing w:beforeLines="60" w:before="144" w:afterLines="60" w:after="144"/>
              <w:rPr>
                <w:rFonts w:ascii="Times New Roman" w:hAnsi="Times New Roman"/>
                <w:sz w:val="24"/>
              </w:rPr>
            </w:pPr>
            <w:r w:rsidRPr="00EF7F33">
              <w:rPr>
                <w:rFonts w:ascii="Times New Roman" w:hAnsi="Times New Roman"/>
                <w:sz w:val="24"/>
              </w:rPr>
              <w:t>Prilog V. dio 1.29.</w:t>
            </w:r>
          </w:p>
          <w:p w:rsidR="00B93FA1" w:rsidRPr="00EF7F33" w:rsidRDefault="00B93FA1" w:rsidP="00F811F8">
            <w:pPr>
              <w:spacing w:beforeLines="60" w:before="144" w:afterLines="60" w:after="144"/>
              <w:rPr>
                <w:rFonts w:ascii="Times New Roman" w:hAnsi="Times New Roman"/>
                <w:b/>
                <w:sz w:val="24"/>
                <w:u w:val="single"/>
              </w:rPr>
            </w:pPr>
            <w:r w:rsidRPr="00EF7F33">
              <w:rPr>
                <w:rFonts w:ascii="Times New Roman" w:hAnsi="Times New Roman"/>
                <w:sz w:val="24"/>
              </w:rPr>
              <w:t>Informacije iskazane u ovom retku odgovaraju informacijama iz retka 295 iz o</w:t>
            </w:r>
            <w:r w:rsidRPr="00EF7F33">
              <w:rPr>
                <w:rFonts w:ascii="Times New Roman" w:hAnsi="Times New Roman"/>
                <w:sz w:val="24"/>
              </w:rPr>
              <w:t>b</w:t>
            </w:r>
            <w:r w:rsidRPr="00EF7F33">
              <w:rPr>
                <w:rFonts w:ascii="Times New Roman" w:hAnsi="Times New Roman"/>
                <w:sz w:val="24"/>
              </w:rPr>
              <w:t>rasca F 01.02 iz priloga III. i IV. ovoj Uredbi.</w:t>
            </w:r>
          </w:p>
        </w:tc>
      </w:tr>
    </w:tbl>
    <w:p w:rsidR="00995A7F" w:rsidRPr="00EF7F33" w:rsidRDefault="00995A7F" w:rsidP="00C61FF5">
      <w:pPr>
        <w:rPr>
          <w:rStyle w:val="InstructionsTabelleText"/>
          <w:rFonts w:ascii="Times New Roman" w:hAnsi="Times New Roman"/>
          <w:sz w:val="24"/>
        </w:rPr>
      </w:pPr>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998202"/>
      <w:r w:rsidRPr="00EF7F33">
        <w:rPr>
          <w:rFonts w:ascii="Times New Roman" w:hAnsi="Times New Roman"/>
          <w:sz w:val="24"/>
          <w:u w:val="none"/>
        </w:rPr>
        <w:t>6.2.</w:t>
      </w:r>
      <w:r w:rsidRPr="00EF7F33">
        <w:tab/>
      </w:r>
      <w:r w:rsidRPr="00EF7F33">
        <w:rPr>
          <w:rFonts w:ascii="Times New Roman" w:hAnsi="Times New Roman"/>
          <w:sz w:val="24"/>
        </w:rPr>
        <w:t>C 32.02 – Bonitetno vrednovanje: osnovni pristup (PruVal 2)</w:t>
      </w:r>
      <w:bookmarkEnd w:id="783"/>
      <w:bookmarkEnd w:id="784"/>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998203"/>
      <w:r w:rsidRPr="00EF7F33">
        <w:rPr>
          <w:rFonts w:ascii="Times New Roman" w:hAnsi="Times New Roman"/>
          <w:sz w:val="24"/>
          <w:u w:val="none"/>
        </w:rPr>
        <w:t>6.2.1.</w:t>
      </w:r>
      <w:r w:rsidRPr="00EF7F33">
        <w:tab/>
      </w:r>
      <w:r w:rsidRPr="00EF7F33">
        <w:rPr>
          <w:rFonts w:ascii="Times New Roman" w:hAnsi="Times New Roman"/>
          <w:sz w:val="24"/>
        </w:rPr>
        <w:t>Opće napomene</w:t>
      </w:r>
      <w:bookmarkEnd w:id="785"/>
      <w:bookmarkEnd w:id="786"/>
      <w:r w:rsidRPr="00EF7F33">
        <w:rPr>
          <w:rFonts w:ascii="Times New Roman" w:hAnsi="Times New Roman"/>
          <w:sz w:val="24"/>
          <w:u w:val="none"/>
        </w:rPr>
        <w:t xml:space="preserve"> </w:t>
      </w:r>
    </w:p>
    <w:p w:rsidR="00B93FA1" w:rsidRPr="00EF7F33" w:rsidRDefault="00B93FA1" w:rsidP="001A3980">
      <w:pPr>
        <w:pStyle w:val="InstructionsText2"/>
        <w:numPr>
          <w:ilvl w:val="0"/>
          <w:numId w:val="0"/>
        </w:numPr>
        <w:ind w:left="993"/>
      </w:pPr>
      <w:r w:rsidRPr="00EF7F33">
        <w:t>154c. Svrha je ovog obrasca pružiti informacije o sastavu ukupne dodatne prilago</w:t>
      </w:r>
      <w:r w:rsidRPr="00EF7F33">
        <w:t>d</w:t>
      </w:r>
      <w:r w:rsidRPr="00EF7F33">
        <w:t xml:space="preserve">be vrednovanja koja se treba odbiti od regulatornog kapitala na temelju članaka 34. i 105. CRR-a, uz relevantne informacije o računovodstvenom vrednovanju pozicija na temelju kojih se utvrđuju dodatne prilagodbe vrednovanja. </w:t>
      </w:r>
    </w:p>
    <w:p w:rsidR="00B93FA1" w:rsidRPr="00EF7F33" w:rsidRDefault="00B93FA1" w:rsidP="001A3980">
      <w:pPr>
        <w:pStyle w:val="InstructionsText2"/>
        <w:numPr>
          <w:ilvl w:val="0"/>
          <w:numId w:val="0"/>
        </w:numPr>
        <w:ind w:left="993"/>
      </w:pPr>
      <w:r w:rsidRPr="00EF7F33">
        <w:t xml:space="preserve">154d. Ovaj obrazac popunjavaju sve institucije koje:  </w:t>
      </w:r>
    </w:p>
    <w:p w:rsidR="00B93FA1" w:rsidRPr="00EF7F33" w:rsidRDefault="00B93FA1" w:rsidP="001A3980">
      <w:pPr>
        <w:pStyle w:val="InstructionsText2"/>
        <w:numPr>
          <w:ilvl w:val="0"/>
          <w:numId w:val="0"/>
        </w:numPr>
        <w:ind w:left="993"/>
      </w:pPr>
      <w:r w:rsidRPr="00EF7F33">
        <w:t xml:space="preserve">(a) moraju primjenjivati osnovni pristup jer premašuju prag iz članka 4. stavka 1. Delegirane uredbe (EU) 2016/101 o bonitetnom vrednovanju na pojedinačnoj ili konsolidiranoj osnovi kako je navedeno u članku 4. stavku 3. Delegirane uredbe (EU) 2016/101 o bonitetnom vrednovanju ili </w:t>
      </w:r>
    </w:p>
    <w:p w:rsidR="00B93FA1" w:rsidRPr="00EF7F33" w:rsidRDefault="00973707" w:rsidP="001A3980">
      <w:pPr>
        <w:pStyle w:val="InstructionsText2"/>
        <w:numPr>
          <w:ilvl w:val="0"/>
          <w:numId w:val="0"/>
        </w:numPr>
        <w:ind w:left="993"/>
      </w:pPr>
      <w:r w:rsidRPr="00EF7F33">
        <w:t xml:space="preserve">(b) su odlučile primjenjivati osnovni pristup unatoč tome što ne premašuju prag. </w:t>
      </w:r>
    </w:p>
    <w:p w:rsidR="00973707" w:rsidRPr="00EF7F33" w:rsidRDefault="00973707" w:rsidP="001A3980">
      <w:pPr>
        <w:pStyle w:val="InstructionsText2"/>
        <w:numPr>
          <w:ilvl w:val="0"/>
          <w:numId w:val="0"/>
        </w:numPr>
        <w:ind w:left="993"/>
      </w:pPr>
      <w:r w:rsidRPr="00EF7F33">
        <w:t>154e. Za potrebe ovog obrasca „neizvjesnost pozitivnog ishoda” definira se kako slijedi: kako je određeno člankom 8. stavkom 2. Delegirane uredbe (EU) 2016/101 o bonitetnom vrednovanju, dodatne prilagodbe vrednovanja izračunavaju se kao r</w:t>
      </w:r>
      <w:r w:rsidRPr="00EF7F33">
        <w:t>a</w:t>
      </w:r>
      <w:r w:rsidRPr="00EF7F33">
        <w:t>zlika između fer vrijednosti i bonitetnog vrednovanja koje se definira na temelju 90 %tne pouzdanosti da institucije mogu izaći iz izloženosti pri toj vrijednosti ili boljoj u okviru zamišljenog niza uvjerljivih vrijednosti. Vrijednost pozitivnog ishoda ili „neizvjesnost pozitivnog ishoda” predstavlja suprotnu točku u distribuciji uvjerlj</w:t>
      </w:r>
      <w:r w:rsidRPr="00EF7F33">
        <w:t>i</w:t>
      </w:r>
      <w:r w:rsidRPr="00EF7F33">
        <w:t xml:space="preserve">vih vrijednosti pri kojoj institucije imaju samo 10%tnu pouzdanost da mogu izaći iz </w:t>
      </w:r>
      <w:r w:rsidRPr="00EF7F33">
        <w:lastRenderedPageBreak/>
        <w:t>pozicije pri toj vrijednosti ili boljoj. Neizvjesnost pozitivnog ishoda izračunava se i zbraja na istoj osnovi kao i ukupna dodatna prilagodba vrednovanja, pri čemu se 10 %tna razina pouzdanosti zamjenjuje sa 90 %tnom pouzdanosti pri utvrđivanju uk</w:t>
      </w:r>
      <w:r w:rsidRPr="00EF7F33">
        <w:t>u</w:t>
      </w:r>
      <w:r w:rsidRPr="00EF7F33">
        <w:t xml:space="preserve">pne dodatne prilagodbe vrednovanja.     </w:t>
      </w:r>
    </w:p>
    <w:p w:rsidR="00B93FA1" w:rsidRPr="00EF7F33"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998204"/>
      <w:r w:rsidRPr="00EF7F33">
        <w:rPr>
          <w:rFonts w:ascii="Times New Roman" w:hAnsi="Times New Roman"/>
          <w:sz w:val="24"/>
          <w:u w:val="none"/>
        </w:rPr>
        <w:t>6.2.2.</w:t>
      </w:r>
      <w:r w:rsidRPr="00EF7F33">
        <w:tab/>
      </w:r>
      <w:r w:rsidRPr="00EF7F33">
        <w:rPr>
          <w:rFonts w:ascii="Times New Roman" w:hAnsi="Times New Roman"/>
          <w:sz w:val="24"/>
          <w:u w:val="none"/>
        </w:rPr>
        <w:t>Upute za specifične pozicije</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F7F33" w:rsidTr="00672D2A">
        <w:tc>
          <w:tcPr>
            <w:tcW w:w="9291" w:type="dxa"/>
            <w:gridSpan w:val="2"/>
            <w:shd w:val="clear" w:color="auto" w:fill="CCCCCC"/>
          </w:tcPr>
          <w:p w:rsidR="00973707" w:rsidRPr="00EF7F33" w:rsidRDefault="00973707" w:rsidP="00AF3D7A">
            <w:pPr>
              <w:spacing w:beforeLines="60" w:before="144" w:afterLines="60" w:after="144"/>
              <w:rPr>
                <w:rFonts w:ascii="Times New Roman" w:hAnsi="Times New Roman"/>
                <w:b/>
                <w:sz w:val="24"/>
              </w:rPr>
            </w:pPr>
            <w:r w:rsidRPr="00EF7F33">
              <w:rPr>
                <w:rFonts w:ascii="Times New Roman" w:hAnsi="Times New Roman"/>
                <w:b/>
                <w:sz w:val="24"/>
              </w:rPr>
              <w:t>Stupci</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0010 – 0100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DODATNA PRILAGODBA VREDNOVANJA NA RAZINI KATEGORIJE</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Dodatne prilagodbe vrednovanja na razini kategorije za neizvjesnost tržišnih cij</w:t>
            </w:r>
            <w:r w:rsidRPr="00EF7F33">
              <w:rPr>
                <w:rFonts w:ascii="Times New Roman" w:hAnsi="Times New Roman"/>
                <w:sz w:val="24"/>
              </w:rPr>
              <w:t>e</w:t>
            </w:r>
            <w:r w:rsidRPr="00EF7F33">
              <w:rPr>
                <w:rFonts w:ascii="Times New Roman" w:hAnsi="Times New Roman"/>
                <w:sz w:val="24"/>
              </w:rPr>
              <w:t>na, troškove zatvaranja pozicija, rizik modela, koncentrirane pozicije, buduće a</w:t>
            </w:r>
            <w:r w:rsidRPr="00EF7F33">
              <w:rPr>
                <w:rFonts w:ascii="Times New Roman" w:hAnsi="Times New Roman"/>
                <w:sz w:val="24"/>
              </w:rPr>
              <w:t>d</w:t>
            </w:r>
            <w:r w:rsidRPr="00EF7F33">
              <w:rPr>
                <w:rFonts w:ascii="Times New Roman" w:hAnsi="Times New Roman"/>
                <w:sz w:val="24"/>
              </w:rPr>
              <w:t>ministrativne troškove, ranije zatvaranje pozicija i operativni rizik izračunavaju se kako je opisano u člancima od 9. do 11. i člancima od 14. do 17. Delegirane ure</w:t>
            </w:r>
            <w:r w:rsidRPr="00EF7F33">
              <w:rPr>
                <w:rFonts w:ascii="Times New Roman" w:hAnsi="Times New Roman"/>
                <w:sz w:val="24"/>
              </w:rPr>
              <w:t>d</w:t>
            </w:r>
            <w:r w:rsidRPr="00EF7F33">
              <w:rPr>
                <w:rFonts w:ascii="Times New Roman" w:hAnsi="Times New Roman"/>
                <w:sz w:val="24"/>
              </w:rPr>
              <w:t xml:space="preserve">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Kad je riječ o kategorijama za neizvjesnost tržišnih cijena, troškove zatvaranja p</w:t>
            </w:r>
            <w:r w:rsidRPr="00EF7F33">
              <w:rPr>
                <w:rFonts w:ascii="Times New Roman" w:hAnsi="Times New Roman"/>
                <w:sz w:val="24"/>
              </w:rPr>
              <w:t>o</w:t>
            </w:r>
            <w:r w:rsidRPr="00EF7F33">
              <w:rPr>
                <w:rFonts w:ascii="Times New Roman" w:hAnsi="Times New Roman"/>
                <w:sz w:val="24"/>
              </w:rPr>
              <w:t>zicija i rizik modela, koje podliježu koristi diversifikacije kako je određeno u članku 9. stavku 6., članku 10. stavku 7. odnosno članku 11. stavku 7. Delegirane uredbe (EU) 2016/101 o bonitetnom vrednovanju, dodatne prilagodbe vrednovanja na razini kategorije, osim ako se drugačije navodi, iskazuju se kao čisti zbroj poj</w:t>
            </w:r>
            <w:r w:rsidRPr="00EF7F33">
              <w:rPr>
                <w:rFonts w:ascii="Times New Roman" w:hAnsi="Times New Roman"/>
                <w:sz w:val="24"/>
              </w:rPr>
              <w:t>e</w:t>
            </w:r>
            <w:r w:rsidRPr="00EF7F33">
              <w:rPr>
                <w:rFonts w:ascii="Times New Roman" w:hAnsi="Times New Roman"/>
                <w:sz w:val="24"/>
              </w:rPr>
              <w:t xml:space="preserve">dinačnih dodatnih prilagodbi vrednovanja prije primjene koristi diversifikacije [jer se koristi diversifikacije izračunane primjenom metode 1 ili metode 2 iz Priloga Delegiranoj uredbi (EU) 2016/101 o bonitetnom vrednovanju iskazuju u stavkama 1.1.2, 1.1.2.1 i 1.1.2.2 obrasca]. </w:t>
            </w:r>
          </w:p>
          <w:p w:rsidR="00973707" w:rsidRPr="00EF7F33" w:rsidRDefault="00973707" w:rsidP="00F811F8">
            <w:pPr>
              <w:spacing w:beforeLines="60" w:before="144" w:afterLines="60" w:after="144"/>
              <w:rPr>
                <w:rFonts w:ascii="Times New Roman" w:hAnsi="Times New Roman"/>
                <w:sz w:val="24"/>
              </w:rPr>
            </w:pPr>
            <w:r w:rsidRPr="00EF7F33">
              <w:rPr>
                <w:rFonts w:ascii="Times New Roman" w:hAnsi="Times New Roman"/>
                <w:sz w:val="24"/>
              </w:rPr>
              <w:t>Kad je riječ o kategorijama za neizvjesnost tržišnih cijena, troškove zatvaranja p</w:t>
            </w:r>
            <w:r w:rsidRPr="00EF7F33">
              <w:rPr>
                <w:rFonts w:ascii="Times New Roman" w:hAnsi="Times New Roman"/>
                <w:sz w:val="24"/>
              </w:rPr>
              <w:t>o</w:t>
            </w:r>
            <w:r w:rsidRPr="00EF7F33">
              <w:rPr>
                <w:rFonts w:ascii="Times New Roman" w:hAnsi="Times New Roman"/>
                <w:sz w:val="24"/>
              </w:rPr>
              <w:t>zicija i rizik modela, iznosi izračunani u skladu s pristupom temeljenim na stru</w:t>
            </w:r>
            <w:r w:rsidRPr="00EF7F33">
              <w:rPr>
                <w:rFonts w:ascii="Times New Roman" w:hAnsi="Times New Roman"/>
                <w:sz w:val="24"/>
              </w:rPr>
              <w:t>č</w:t>
            </w:r>
            <w:r w:rsidRPr="00EF7F33">
              <w:rPr>
                <w:rFonts w:ascii="Times New Roman" w:hAnsi="Times New Roman"/>
                <w:sz w:val="24"/>
              </w:rPr>
              <w:t>noj procjeni kako je definirano u članku 9. stavku 5. točki (b), članku 10. stavku 6. točki (b) odnosno članku 11. stavku 4. Delegirane uredbe (EU) 2016/101 o bonit</w:t>
            </w:r>
            <w:r w:rsidRPr="00EF7F33">
              <w:rPr>
                <w:rFonts w:ascii="Times New Roman" w:hAnsi="Times New Roman"/>
                <w:sz w:val="24"/>
              </w:rPr>
              <w:t>e</w:t>
            </w:r>
            <w:r w:rsidRPr="00EF7F33">
              <w:rPr>
                <w:rFonts w:ascii="Times New Roman" w:hAnsi="Times New Roman"/>
                <w:sz w:val="24"/>
              </w:rPr>
              <w:t>tnom vrednovanju iskazuju se zasebno u stupcima 0020, 0040 i 0060.</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0010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NEIZVJESNOST TRŽIŠNIH CIJENA</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Članak 105. stavak 10. CRR-a </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neizvjesnost tržišnih cijena izračunane u skl</w:t>
            </w:r>
            <w:r w:rsidRPr="00EF7F33">
              <w:rPr>
                <w:rFonts w:ascii="Times New Roman" w:hAnsi="Times New Roman"/>
                <w:sz w:val="24"/>
              </w:rPr>
              <w:t>a</w:t>
            </w:r>
            <w:r w:rsidRPr="00EF7F33">
              <w:rPr>
                <w:rFonts w:ascii="Times New Roman" w:hAnsi="Times New Roman"/>
                <w:sz w:val="24"/>
              </w:rPr>
              <w:t xml:space="preserve">du s člankom 9. Delegirane uredbe (EU) 2016/101 o bonitetnom vrednovanju.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0020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OD ČEGA: IZRAČUNANE PRIMJENOM PRISTUPA TEMELJENOG NA STRUČNOJ PROCJENI</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neizvjesnost tržišnih cijena izračunane u skl</w:t>
            </w:r>
            <w:r w:rsidRPr="00EF7F33">
              <w:rPr>
                <w:rFonts w:ascii="Times New Roman" w:hAnsi="Times New Roman"/>
                <w:sz w:val="24"/>
              </w:rPr>
              <w:t>a</w:t>
            </w:r>
            <w:r w:rsidRPr="00EF7F33">
              <w:rPr>
                <w:rFonts w:ascii="Times New Roman" w:hAnsi="Times New Roman"/>
                <w:sz w:val="24"/>
              </w:rPr>
              <w:t>du s člankom 9. stavkom 5. točkom (b) Delegirane uredbe (EU) 2016/101 o bon</w:t>
            </w:r>
            <w:r w:rsidRPr="00EF7F33">
              <w:rPr>
                <w:rFonts w:ascii="Times New Roman" w:hAnsi="Times New Roman"/>
                <w:sz w:val="24"/>
              </w:rPr>
              <w:t>i</w:t>
            </w:r>
            <w:r w:rsidRPr="00EF7F33">
              <w:rPr>
                <w:rFonts w:ascii="Times New Roman" w:hAnsi="Times New Roman"/>
                <w:sz w:val="24"/>
              </w:rPr>
              <w:t>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0030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TROŠKOVI ZATVARANJA POZICIJA</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Članak 105. stavak 10. CRR-a </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troškove zatvaranja pozicija izračunane u skladu s člankom 10. Delegirane uredbe (EU) 2016/101 o bonitetnom vrednov</w:t>
            </w:r>
            <w:r w:rsidRPr="00EF7F33">
              <w:rPr>
                <w:rFonts w:ascii="Times New Roman" w:hAnsi="Times New Roman"/>
                <w:sz w:val="24"/>
              </w:rPr>
              <w:t>a</w:t>
            </w:r>
            <w:r w:rsidRPr="00EF7F33">
              <w:rPr>
                <w:rFonts w:ascii="Times New Roman" w:hAnsi="Times New Roman"/>
                <w:sz w:val="24"/>
              </w:rPr>
              <w:lastRenderedPageBreak/>
              <w:t xml:space="preserve">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0040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OD ČEGA: IZRAČUNANE PRIMJENOM PRISTUPA TEMELJENOG NA STRUČNOJ PROCJENI</w:t>
            </w:r>
          </w:p>
          <w:p w:rsidR="00973707" w:rsidRPr="00EF7F33" w:rsidRDefault="00973707" w:rsidP="009F5262">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troškove zatvaranja pozicija izračunane u skladu s člankom 10. stavkom 6. točkom (b) Delegirane uredbe (EU) 2016/101 o bonitetnom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0050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RIZIK MODELA</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10. CRR-a</w:t>
            </w:r>
          </w:p>
          <w:p w:rsidR="00973707" w:rsidRPr="00EF7F33" w:rsidRDefault="00973707" w:rsidP="009F5262">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 xml:space="preserve">Dodatne prilagodbe vrednovanja za rizik modela izračunane u skladu s člankom 11. Delegirane uredbe (EU) 2016/101 o bonitetnom vrednovanju.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0060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OD ČEGA: IZRAČUNANE PRIMJENOM PRISTUPA TEMELJENOG NA STRUČNOJ PROCJENI</w:t>
            </w:r>
          </w:p>
          <w:p w:rsidR="00973707" w:rsidRPr="00EF7F33" w:rsidRDefault="00973707" w:rsidP="009F5262">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rizik modela izračunane u skladu s člankom 11. stavkom 4. Delegirane uredbe (EU) 2016/101 o bonitetnom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0070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KONCENTRIRANE POZICIJE</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11. CRR-a</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koncentrirane pozicije izračunane u skladu s člankom 14. Delegirane uredbe (EU) 2016/101 o bonitetnom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0080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BUDUĆI ADMINISTRATIVNI TROŠKOVI</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10. CRR-a</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buduće administrativne troškove izračunane u skladu s člankom 15. Delegirane uredbe (EU) 2016/101 o bonitetnom vrednov</w:t>
            </w:r>
            <w:r w:rsidRPr="00EF7F33">
              <w:rPr>
                <w:rFonts w:ascii="Times New Roman" w:hAnsi="Times New Roman"/>
                <w:sz w:val="24"/>
              </w:rPr>
              <w:t>a</w:t>
            </w:r>
            <w:r w:rsidRPr="00EF7F33">
              <w:rPr>
                <w:rFonts w:ascii="Times New Roman" w:hAnsi="Times New Roman"/>
                <w:sz w:val="24"/>
              </w:rPr>
              <w:t>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0090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RANIJE ZATVARANJE POZICIJA</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10. CRR-a</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 xml:space="preserve">Dodatne prilagodbe vrednovanja za ranije zatvaranje pozicija izračunane u skladu s člankom 16. Delegirane uredbe (EU) 2016/101 o bonitetnom vrednovanju.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0100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OPERATIVNI RIZIK</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10. CRR-a</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Dodatne prilagodbe vrednovanja za operativni rizik izračunane u skladu s člankom 17. Delegirane uredbe (EU) 2016/101 o bonitetnom vrednovanju.</w:t>
            </w:r>
          </w:p>
        </w:tc>
      </w:tr>
      <w:tr w:rsidR="00973707" w:rsidRPr="00EF7F33" w:rsidTr="00672D2A">
        <w:tc>
          <w:tcPr>
            <w:tcW w:w="1101" w:type="dxa"/>
            <w:tcBorders>
              <w:bottom w:val="single" w:sz="4" w:space="0" w:color="auto"/>
            </w:tcBorders>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0110</w:t>
            </w:r>
          </w:p>
        </w:tc>
        <w:tc>
          <w:tcPr>
            <w:tcW w:w="8190" w:type="dxa"/>
            <w:tcBorders>
              <w:bottom w:val="single" w:sz="4" w:space="0" w:color="auto"/>
            </w:tcBorders>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xml:space="preserve">UKUPNA DODATNA PRILAGODBA VREDNOVANJA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Redak 0010: ukupna dodatna prilagodba vrednovanja koja se odbija od regulato</w:t>
            </w:r>
            <w:r w:rsidRPr="00EF7F33">
              <w:rPr>
                <w:rStyle w:val="InstructionsTabelleberschrift"/>
                <w:rFonts w:ascii="Times New Roman" w:hAnsi="Times New Roman"/>
                <w:b w:val="0"/>
                <w:sz w:val="24"/>
                <w:u w:val="none"/>
              </w:rPr>
              <w:t>r</w:t>
            </w:r>
            <w:r w:rsidRPr="00EF7F33">
              <w:rPr>
                <w:rStyle w:val="InstructionsTabelleberschrift"/>
                <w:rFonts w:ascii="Times New Roman" w:hAnsi="Times New Roman"/>
                <w:b w:val="0"/>
                <w:sz w:val="24"/>
                <w:u w:val="none"/>
              </w:rPr>
              <w:t>nog kapitala u skladu s člancima 34. i 105. CRR-a i u skladu s time iskazuje u re</w:t>
            </w:r>
            <w:r w:rsidRPr="00EF7F33">
              <w:rPr>
                <w:rStyle w:val="InstructionsTabelleberschrift"/>
                <w:rFonts w:ascii="Times New Roman" w:hAnsi="Times New Roman"/>
                <w:b w:val="0"/>
                <w:sz w:val="24"/>
                <w:u w:val="none"/>
              </w:rPr>
              <w:t>t</w:t>
            </w:r>
            <w:r w:rsidRPr="00EF7F33">
              <w:rPr>
                <w:rStyle w:val="InstructionsTabelleberschrift"/>
                <w:rFonts w:ascii="Times New Roman" w:hAnsi="Times New Roman"/>
                <w:b w:val="0"/>
                <w:sz w:val="24"/>
                <w:u w:val="none"/>
              </w:rPr>
              <w:t xml:space="preserve">ku 290 iz obrasca C 01.00. Ukupna dodatna prilagodba vrednovanja jednaka je </w:t>
            </w:r>
            <w:r w:rsidRPr="00EF7F33">
              <w:rPr>
                <w:rStyle w:val="InstructionsTabelleberschrift"/>
                <w:rFonts w:ascii="Times New Roman" w:hAnsi="Times New Roman"/>
                <w:b w:val="0"/>
                <w:sz w:val="24"/>
                <w:u w:val="none"/>
              </w:rPr>
              <w:lastRenderedPageBreak/>
              <w:t xml:space="preserve">zbroju redaka 0030 i 0180.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Redak 0020: udio ukupne dodatne prilagodbe vrednovanja iskazane u retku 0010 koja proizlazi iz pozicija koje se drže u knjizi trgovanja (apsolutna vrijednost).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Redci od 0030 do 0160: zbroj stupaca 0010, 0030, 0050 i od 0070 do 0100.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Redci od 0180 do 0210: ukupna dodatna prilagodba vrednovanja koja proizlazi iz portfelja na koje se primjenjuje zamjenski pristup.  </w:t>
            </w:r>
          </w:p>
        </w:tc>
      </w:tr>
      <w:tr w:rsidR="00973707" w:rsidRPr="00EF7F33" w:rsidTr="00672D2A">
        <w:tc>
          <w:tcPr>
            <w:tcW w:w="1101" w:type="dxa"/>
            <w:tcBorders>
              <w:bottom w:val="single" w:sz="4" w:space="0" w:color="auto"/>
            </w:tcBorders>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0120</w:t>
            </w:r>
          </w:p>
        </w:tc>
        <w:tc>
          <w:tcPr>
            <w:tcW w:w="8190" w:type="dxa"/>
            <w:tcBorders>
              <w:bottom w:val="single" w:sz="4" w:space="0" w:color="auto"/>
            </w:tcBorders>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NEIZVJESNOST POZITIVNOG ISHODA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8. stavak 2. </w:t>
            </w:r>
            <w:r w:rsidRPr="00EF7F33">
              <w:rPr>
                <w:rFonts w:ascii="Times New Roman" w:hAnsi="Times New Roman"/>
                <w:sz w:val="24"/>
              </w:rPr>
              <w:t xml:space="preserve"> Delegirane uredbe (EU) 2016/101 o bonitetnom vrednovanju</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Neizvjesnost pozitivnog ishoda izračunava se i zbraja na istoj osnovi kao i ukupna dodatna prilagodba vrednovanja izračunana u stupcu 0110, pri čemu se 10 %tna razina pouzdanosti zamjenjuje sa 90 %tnom pouzdanosti pri utvrđivanju ukupne dodatne prilagodbe vrednovanja.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0130 -0140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IMOVINA I OBVEZE PO FER VRIJEDNOSTI</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Apsolutna vrijednost imovine i obveza po fer vrijednosti koja odgovara iznosima dodatne prilagodbe vrednovanja iskazanima u redcima od 0010 do 0130 te retku 0180. U slučaju nekih redaka, osobito redaka od 0090 do 0130, moguće je određ</w:t>
            </w:r>
            <w:r w:rsidRPr="00EF7F33">
              <w:rPr>
                <w:rFonts w:ascii="Times New Roman" w:hAnsi="Times New Roman"/>
                <w:sz w:val="24"/>
              </w:rPr>
              <w:t>i</w:t>
            </w:r>
            <w:r w:rsidRPr="00EF7F33">
              <w:rPr>
                <w:rFonts w:ascii="Times New Roman" w:hAnsi="Times New Roman"/>
                <w:sz w:val="24"/>
              </w:rPr>
              <w:t xml:space="preserve">vanje približne vrijednosti tih iznosa ili njihovo raspoređivanje na temelju stručne procjene.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0010: ukupna apsolutna vrijednost imovine i obveza po fer vrijednosti u</w:t>
            </w:r>
            <w:r w:rsidRPr="00EF7F33">
              <w:rPr>
                <w:rFonts w:ascii="Times New Roman" w:hAnsi="Times New Roman"/>
                <w:sz w:val="24"/>
              </w:rPr>
              <w:t>k</w:t>
            </w:r>
            <w:r w:rsidRPr="00EF7F33">
              <w:rPr>
                <w:rFonts w:ascii="Times New Roman" w:hAnsi="Times New Roman"/>
                <w:sz w:val="24"/>
              </w:rPr>
              <w:t>ljučene u izračun praga u skladu s člankom 4. stavkom 1. Delegirane uredbe (EU) 2016/101 o bonitetnom vrednovanju. To uključuje apsolutnu vrijednost imovine i obveza po fer vrijednosti za koje se procjenjuje da vrijednost dodatnih prilagodbi vrednovanja iznosi nula u skladu s člankom 9. stavkom 2., člankom 10. stavkom 2. ili člankom 10. stavkom 3. Delegirane uredbe (EU) 2016/101 o bonitetnom vre</w:t>
            </w:r>
            <w:r w:rsidRPr="00EF7F33">
              <w:rPr>
                <w:rFonts w:ascii="Times New Roman" w:hAnsi="Times New Roman"/>
                <w:sz w:val="24"/>
              </w:rPr>
              <w:t>d</w:t>
            </w:r>
            <w:r w:rsidRPr="00EF7F33">
              <w:rPr>
                <w:rFonts w:ascii="Times New Roman" w:hAnsi="Times New Roman"/>
                <w:sz w:val="24"/>
              </w:rPr>
              <w:t xml:space="preserve">novanju, koje se zasebno iskazuju u redcima 0070 i 0080.    </w:t>
            </w:r>
            <w:r w:rsidRPr="00EF7F33">
              <w:rPr>
                <w:rFonts w:ascii="Times New Roman" w:hAnsi="Times New Roman"/>
                <w:sz w:val="24"/>
              </w:rPr>
              <w:br/>
              <w:t xml:space="preserve">Redak 0010 je zbroj retka 0030 i retka 0180.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0020: udio ukupne apsolutne vrijednosti imovine i obveza po fer vrijednosti iskazane u retku 0010 koja proizlazi iz pozicija koje se drže u knjizi trgovanja (a</w:t>
            </w:r>
            <w:r w:rsidRPr="00EF7F33">
              <w:rPr>
                <w:rFonts w:ascii="Times New Roman" w:hAnsi="Times New Roman"/>
                <w:sz w:val="24"/>
              </w:rPr>
              <w:t>p</w:t>
            </w:r>
            <w:r w:rsidRPr="00EF7F33">
              <w:rPr>
                <w:rFonts w:ascii="Times New Roman" w:hAnsi="Times New Roman"/>
                <w:sz w:val="24"/>
              </w:rPr>
              <w:t xml:space="preserve">solutna vrijednost).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0030: apsolutna vrijednost imovine i obveza po fer vrijednosti koje odgov</w:t>
            </w:r>
            <w:r w:rsidRPr="00EF7F33">
              <w:rPr>
                <w:rFonts w:ascii="Times New Roman" w:hAnsi="Times New Roman"/>
                <w:sz w:val="24"/>
              </w:rPr>
              <w:t>a</w:t>
            </w:r>
            <w:r w:rsidRPr="00EF7F33">
              <w:rPr>
                <w:rFonts w:ascii="Times New Roman" w:hAnsi="Times New Roman"/>
                <w:sz w:val="24"/>
              </w:rPr>
              <w:t>raju portfeljima u skladu s člancima od 9. do 17. Delegirane uredbe (EU) 2016/101 o bonitetnom vrednovanju. To uključuje apsolutnu vrijednost imovine i obveza po fer vrijednosti za koje se procjenjuje da vrijednost dodatnih prilagodbi vrednovanja iznosi nula u skladu s člankom 9. stavkom 2., člankom 10. stavkom 2. ili člankom 10. stavkom 3. Delegirane uredbe (EU) 2016/101 o bonitetnom vre</w:t>
            </w:r>
            <w:r w:rsidRPr="00EF7F33">
              <w:rPr>
                <w:rFonts w:ascii="Times New Roman" w:hAnsi="Times New Roman"/>
                <w:sz w:val="24"/>
              </w:rPr>
              <w:t>d</w:t>
            </w:r>
            <w:r w:rsidRPr="00EF7F33">
              <w:rPr>
                <w:rFonts w:ascii="Times New Roman" w:hAnsi="Times New Roman"/>
                <w:sz w:val="24"/>
              </w:rPr>
              <w:t>novanju, koje se zasebno iskazuju u redcima 0070 i 0080. Redak 0030 je zbroj r</w:t>
            </w:r>
            <w:r w:rsidRPr="00EF7F33">
              <w:rPr>
                <w:rFonts w:ascii="Times New Roman" w:hAnsi="Times New Roman"/>
                <w:sz w:val="24"/>
              </w:rPr>
              <w:t>e</w:t>
            </w:r>
            <w:r w:rsidRPr="00EF7F33">
              <w:rPr>
                <w:rFonts w:ascii="Times New Roman" w:hAnsi="Times New Roman"/>
                <w:sz w:val="24"/>
              </w:rPr>
              <w:t>daka od 0090 do 0130.</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0050: apsolutna vrijednost imovine i obveza po fer vrijednosti uključene u opseg izračuna dodatnih prilagodbi vrednovanja za nerealizirane kreditne raspone. Za potrebe izračuna ove dodatne prilagodbe vrednovanja, suprotne pozicije imov</w:t>
            </w:r>
            <w:r w:rsidRPr="00EF7F33">
              <w:rPr>
                <w:rFonts w:ascii="Times New Roman" w:hAnsi="Times New Roman"/>
                <w:sz w:val="24"/>
              </w:rPr>
              <w:t>i</w:t>
            </w:r>
            <w:r w:rsidRPr="00EF7F33">
              <w:rPr>
                <w:rFonts w:ascii="Times New Roman" w:hAnsi="Times New Roman"/>
                <w:sz w:val="24"/>
              </w:rPr>
              <w:t>ne i obveza po fer vrijednosti koje se u potpunosti podudaraju isključene iz izrač</w:t>
            </w:r>
            <w:r w:rsidRPr="00EF7F33">
              <w:rPr>
                <w:rFonts w:ascii="Times New Roman" w:hAnsi="Times New Roman"/>
                <w:sz w:val="24"/>
              </w:rPr>
              <w:t>u</w:t>
            </w:r>
            <w:r w:rsidRPr="00EF7F33">
              <w:rPr>
                <w:rFonts w:ascii="Times New Roman" w:hAnsi="Times New Roman"/>
                <w:sz w:val="24"/>
              </w:rPr>
              <w:t xml:space="preserve">na praga u skladu s člankom 4. stavkom 2. Delegirane uredbe (EU) 2016/101 o bonitetnom vrednovanju ne moraju se više smatrati suprotnim pozicijama koje se </w:t>
            </w:r>
            <w:r w:rsidRPr="00EF7F33">
              <w:rPr>
                <w:rFonts w:ascii="Times New Roman" w:hAnsi="Times New Roman"/>
                <w:sz w:val="24"/>
              </w:rPr>
              <w:lastRenderedPageBreak/>
              <w:t xml:space="preserve">u potpunosti podudaraju.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0060: apsolutna vrijednost imovine i obveza po fer vrijednosti uključene u opseg izračuna dodatnih prilagodbi vrednovanja za troškove investiranja i financ</w:t>
            </w:r>
            <w:r w:rsidRPr="00EF7F33">
              <w:rPr>
                <w:rFonts w:ascii="Times New Roman" w:hAnsi="Times New Roman"/>
                <w:sz w:val="24"/>
              </w:rPr>
              <w:t>i</w:t>
            </w:r>
            <w:r w:rsidRPr="00EF7F33">
              <w:rPr>
                <w:rFonts w:ascii="Times New Roman" w:hAnsi="Times New Roman"/>
                <w:sz w:val="24"/>
              </w:rPr>
              <w:t>ranja. Za potrebe izračuna ove dodatne prilagodbe vrednovanja, suprotne pozicije imovine i obveza po fer vrijednosti koje se u potpunosti podudaraju isključene iz izračuna praga u skladu s člankom 4. stavkom 2. Delegirane uredbe (EU) 2016/101 o bonitetnom vrednovanju ne moraju se više smatrati suprotnim pozic</w:t>
            </w:r>
            <w:r w:rsidRPr="00EF7F33">
              <w:rPr>
                <w:rFonts w:ascii="Times New Roman" w:hAnsi="Times New Roman"/>
                <w:sz w:val="24"/>
              </w:rPr>
              <w:t>i</w:t>
            </w:r>
            <w:r w:rsidRPr="00EF7F33">
              <w:rPr>
                <w:rFonts w:ascii="Times New Roman" w:hAnsi="Times New Roman"/>
                <w:sz w:val="24"/>
              </w:rPr>
              <w:t xml:space="preserve">jama koje se u potpunosti podudaraju.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0070: apsolutna vrijednost imovine i obveza po fer vrijednosti koje odgov</w:t>
            </w:r>
            <w:r w:rsidRPr="00EF7F33">
              <w:rPr>
                <w:rFonts w:ascii="Times New Roman" w:hAnsi="Times New Roman"/>
                <w:sz w:val="24"/>
              </w:rPr>
              <w:t>a</w:t>
            </w:r>
            <w:r w:rsidRPr="00EF7F33">
              <w:rPr>
                <w:rFonts w:ascii="Times New Roman" w:hAnsi="Times New Roman"/>
                <w:sz w:val="24"/>
              </w:rPr>
              <w:t>raju izloženostima vrednovanja za koje se procjenjuje da vrijednost dodatnih pr</w:t>
            </w:r>
            <w:r w:rsidRPr="00EF7F33">
              <w:rPr>
                <w:rFonts w:ascii="Times New Roman" w:hAnsi="Times New Roman"/>
                <w:sz w:val="24"/>
              </w:rPr>
              <w:t>i</w:t>
            </w:r>
            <w:r w:rsidRPr="00EF7F33">
              <w:rPr>
                <w:rFonts w:ascii="Times New Roman" w:hAnsi="Times New Roman"/>
                <w:sz w:val="24"/>
              </w:rPr>
              <w:t xml:space="preserve">lagodbi vrednovanja iznosi nula u skladu s člankom 9. stavkom 2. Delegirane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0080: apsolutna vrijednost imovine i obveza po fer vrijednosti koje odgov</w:t>
            </w:r>
            <w:r w:rsidRPr="00EF7F33">
              <w:rPr>
                <w:rFonts w:ascii="Times New Roman" w:hAnsi="Times New Roman"/>
                <w:sz w:val="24"/>
              </w:rPr>
              <w:t>a</w:t>
            </w:r>
            <w:r w:rsidRPr="00EF7F33">
              <w:rPr>
                <w:rFonts w:ascii="Times New Roman" w:hAnsi="Times New Roman"/>
                <w:sz w:val="24"/>
              </w:rPr>
              <w:t>raju izloženostima vrednovanja za koje se procjenjuje da vrijednost dodatne pril</w:t>
            </w:r>
            <w:r w:rsidRPr="00EF7F33">
              <w:rPr>
                <w:rFonts w:ascii="Times New Roman" w:hAnsi="Times New Roman"/>
                <w:sz w:val="24"/>
              </w:rPr>
              <w:t>a</w:t>
            </w:r>
            <w:r w:rsidRPr="00EF7F33">
              <w:rPr>
                <w:rFonts w:ascii="Times New Roman" w:hAnsi="Times New Roman"/>
                <w:sz w:val="24"/>
              </w:rPr>
              <w:t xml:space="preserve">godbe vrednovanja iznosi nula u skladu s člankom 10. stavkom 2. ili člankom 10. stavkom 3. Delegirane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Redci od 0090 do 0130: apsolutna vrijednost imovine i obveza po fer vrijednosti koja je raspoređena kako se navodi u nastavku (vidjeti odgovarajuće upute za re</w:t>
            </w:r>
            <w:r w:rsidRPr="00EF7F33">
              <w:rPr>
                <w:rFonts w:ascii="Times New Roman" w:hAnsi="Times New Roman"/>
                <w:sz w:val="24"/>
              </w:rPr>
              <w:t>t</w:t>
            </w:r>
            <w:r w:rsidRPr="00EF7F33">
              <w:rPr>
                <w:rFonts w:ascii="Times New Roman" w:hAnsi="Times New Roman"/>
                <w:sz w:val="24"/>
              </w:rPr>
              <w:t>ke) prema sljedećim kategorijama rizika: kamatni, tečajni i kreditni rizik, rizik vl</w:t>
            </w:r>
            <w:r w:rsidRPr="00EF7F33">
              <w:rPr>
                <w:rFonts w:ascii="Times New Roman" w:hAnsi="Times New Roman"/>
                <w:sz w:val="24"/>
              </w:rPr>
              <w:t>a</w:t>
            </w:r>
            <w:r w:rsidRPr="00EF7F33">
              <w:rPr>
                <w:rFonts w:ascii="Times New Roman" w:hAnsi="Times New Roman"/>
                <w:sz w:val="24"/>
              </w:rPr>
              <w:t>sničkih instrumenata te robni rizik. To uključuje apsolutnu vrijednost imovine i obveza po fer vrijednosti za koje se procjenjuje da vrijednost dodatne prilagodbe vrednovanja iznosi nula u skladu s člankom 9. stavkom 2., člankom 10. stavkom 2. ili člankom 10. stavkom 3. Delegirane uredbe (EU) 2016/101 o bonitetnom vre</w:t>
            </w:r>
            <w:r w:rsidRPr="00EF7F33">
              <w:rPr>
                <w:rFonts w:ascii="Times New Roman" w:hAnsi="Times New Roman"/>
                <w:sz w:val="24"/>
              </w:rPr>
              <w:t>d</w:t>
            </w:r>
            <w:r w:rsidRPr="00EF7F33">
              <w:rPr>
                <w:rFonts w:ascii="Times New Roman" w:hAnsi="Times New Roman"/>
                <w:sz w:val="24"/>
              </w:rPr>
              <w:t>novanju, koje se zasebno iskazuju u redcima 0070 i 0080.</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Redak 0180: apsolutna vrijednost imovine i obveza po fer vrijednosti koje odgov</w:t>
            </w:r>
            <w:r w:rsidRPr="00EF7F33">
              <w:rPr>
                <w:rFonts w:ascii="Times New Roman" w:hAnsi="Times New Roman"/>
                <w:sz w:val="24"/>
              </w:rPr>
              <w:t>a</w:t>
            </w:r>
            <w:r w:rsidRPr="00EF7F33">
              <w:rPr>
                <w:rFonts w:ascii="Times New Roman" w:hAnsi="Times New Roman"/>
                <w:sz w:val="24"/>
              </w:rPr>
              <w:t xml:space="preserve">raju portfeljima na koje se primjenjuje zamjenski pristup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0130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IMOVINA PO FER VRIJEDNOSTI</w:t>
            </w:r>
          </w:p>
          <w:p w:rsidR="00973707" w:rsidRPr="00EF7F33" w:rsidRDefault="00973707" w:rsidP="00AF3D7A">
            <w:pPr>
              <w:spacing w:beforeLines="60" w:before="144" w:afterLines="60" w:after="144"/>
              <w:rPr>
                <w:rStyle w:val="InstructionsTabelleberschrift"/>
                <w:rFonts w:ascii="Times New Roman" w:hAnsi="Times New Roman"/>
                <w:sz w:val="24"/>
                <w:u w:val="none"/>
              </w:rPr>
            </w:pPr>
            <w:r w:rsidRPr="00EF7F33">
              <w:rPr>
                <w:rFonts w:ascii="Times New Roman" w:hAnsi="Times New Roman"/>
                <w:sz w:val="24"/>
              </w:rPr>
              <w:t xml:space="preserve">Apsolutna vrijednost imovine po fer vrijednosti </w:t>
            </w:r>
            <w:r w:rsidRPr="00EF7F33">
              <w:rPr>
                <w:rStyle w:val="InstructionsTabelleberschrift"/>
                <w:rFonts w:ascii="Times New Roman" w:hAnsi="Times New Roman"/>
                <w:b w:val="0"/>
                <w:sz w:val="24"/>
                <w:u w:val="none"/>
              </w:rPr>
              <w:t>koja odgovara različitim redcima kako je prethodno objašnjeno u uputama za stupce 0130-0140.</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0140</w:t>
            </w:r>
          </w:p>
        </w:tc>
        <w:tc>
          <w:tcPr>
            <w:tcW w:w="8190" w:type="dxa"/>
          </w:tcPr>
          <w:p w:rsidR="00973707" w:rsidRPr="00EF7F33" w:rsidRDefault="00973707" w:rsidP="00AF3D7A">
            <w:pPr>
              <w:tabs>
                <w:tab w:val="center" w:pos="3894"/>
              </w:tabs>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OBVEZE PO FER VRIJEDNOSTI</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 xml:space="preserve">Apsolutna vrijednost obveza po fer vrijednosti </w:t>
            </w:r>
            <w:r w:rsidRPr="00EF7F33">
              <w:rPr>
                <w:rStyle w:val="InstructionsTabelleberschrift"/>
                <w:rFonts w:ascii="Times New Roman" w:hAnsi="Times New Roman"/>
                <w:b w:val="0"/>
                <w:sz w:val="24"/>
                <w:u w:val="none"/>
              </w:rPr>
              <w:t>koja odgovara različitim redcima kako je prethodno objašnjeno u uputama za stupce 0130-0140.</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0150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PRIHODI NA TROMJESEČNOJ OSNOVI DO IZVJEŠTAJNOG DATUMA</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Prihodi na tromjesečnoj osnovi do izvještajnog datuma od zadnjeg izvještajnog d</w:t>
            </w:r>
            <w:r w:rsidRPr="00EF7F33">
              <w:rPr>
                <w:rFonts w:ascii="Times New Roman" w:hAnsi="Times New Roman"/>
                <w:sz w:val="24"/>
              </w:rPr>
              <w:t>a</w:t>
            </w:r>
            <w:r w:rsidRPr="00EF7F33">
              <w:rPr>
                <w:rFonts w:ascii="Times New Roman" w:hAnsi="Times New Roman"/>
                <w:sz w:val="24"/>
              </w:rPr>
              <w:t>tuma koji se pripisuju imovini i obvezama po fer vrijednosti koje odgovaraju razl</w:t>
            </w:r>
            <w:r w:rsidRPr="00EF7F33">
              <w:rPr>
                <w:rFonts w:ascii="Times New Roman" w:hAnsi="Times New Roman"/>
                <w:sz w:val="24"/>
              </w:rPr>
              <w:t>i</w:t>
            </w:r>
            <w:r w:rsidRPr="00EF7F33">
              <w:rPr>
                <w:rFonts w:ascii="Times New Roman" w:hAnsi="Times New Roman"/>
                <w:sz w:val="24"/>
              </w:rPr>
              <w:t>čitim redcima kako je prethodno objašnjeno u uputama za stupce 0130-0140, ako je relevantno raspoređene ili s približnom vrijednosti na temelju stručne procjene.</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0160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 xml:space="preserve">RAZLIKA NA TEMELJU NEOVISNE PROVJERE CIJENA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Zbroj iznosa neusklađenih razlika (razlika na temelju neovisne provjere cijena) za sve pozicije i faktore rizika izračunano na kraju mjeseca koji je najbliži izvješta</w:t>
            </w:r>
            <w:r w:rsidRPr="00EF7F33">
              <w:rPr>
                <w:rStyle w:val="InstructionsTabelleberschrift"/>
                <w:rFonts w:ascii="Times New Roman" w:hAnsi="Times New Roman"/>
                <w:b w:val="0"/>
                <w:sz w:val="24"/>
                <w:u w:val="none"/>
              </w:rPr>
              <w:t>j</w:t>
            </w:r>
            <w:r w:rsidRPr="00EF7F33">
              <w:rPr>
                <w:rStyle w:val="InstructionsTabelleberschrift"/>
                <w:rFonts w:ascii="Times New Roman" w:hAnsi="Times New Roman"/>
                <w:b w:val="0"/>
                <w:sz w:val="24"/>
                <w:u w:val="none"/>
              </w:rPr>
              <w:t xml:space="preserve">nom datumu na temelju postupka neovisne provjere cijena provedene u skladu s </w:t>
            </w:r>
            <w:r w:rsidRPr="00EF7F33">
              <w:rPr>
                <w:rStyle w:val="InstructionsTabelleberschrift"/>
                <w:rFonts w:ascii="Times New Roman" w:hAnsi="Times New Roman"/>
                <w:b w:val="0"/>
                <w:sz w:val="24"/>
                <w:u w:val="none"/>
              </w:rPr>
              <w:lastRenderedPageBreak/>
              <w:t xml:space="preserve">člankom 105. stavkom 8. CRR-a, u vezi s najbolje dostupnim neovisnim podacima za relevantnu poziciju ili faktor rizika.    </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Iznosi neusklađenih razlika odnose se na neusklađene razlike između vrednovanja koji proizlaze iz sustava trgovanja i vrednovanja ocijenjenih tijekom postupka mjesečne neovisne provjere cijena. </w:t>
            </w:r>
          </w:p>
          <w:p w:rsidR="00973707" w:rsidRPr="00EF7F33" w:rsidRDefault="004D2753" w:rsidP="004D27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U izračun razlike na temelju neovisne provjere cijena ne uključuju se iznosi uskl</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đenih razlika iz knjiga i evidencija institucije za relevantni datum na kraju mjes</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 xml:space="preserve">ca.  </w:t>
            </w:r>
          </w:p>
        </w:tc>
      </w:tr>
      <w:tr w:rsidR="00973707" w:rsidRPr="00EF7F33" w:rsidTr="00672D2A">
        <w:tc>
          <w:tcPr>
            <w:tcW w:w="1101" w:type="dxa"/>
          </w:tcPr>
          <w:p w:rsidR="00973707" w:rsidRPr="00EF7F33" w:rsidRDefault="009A7A38" w:rsidP="009A7A38">
            <w:pPr>
              <w:spacing w:beforeLines="60" w:before="144" w:afterLines="60" w:after="144"/>
              <w:rPr>
                <w:rFonts w:ascii="Times New Roman" w:hAnsi="Times New Roman"/>
                <w:sz w:val="24"/>
              </w:rPr>
            </w:pPr>
            <w:r w:rsidRPr="00EF7F33">
              <w:rPr>
                <w:rFonts w:ascii="Times New Roman" w:hAnsi="Times New Roman"/>
                <w:sz w:val="24"/>
              </w:rPr>
              <w:lastRenderedPageBreak/>
              <w:t>0170 – 0250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PRILAGODBE FER VRIJEDNOSTI</w:t>
            </w:r>
          </w:p>
          <w:p w:rsidR="001B1531" w:rsidRPr="00EF7F33" w:rsidRDefault="00973707" w:rsidP="001B1531">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Prilagodbe, na koje se katkad upućuje kao na „rezerve”, koje su potencijalno pr</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mijenjene u računovodstvenoj fer vrijednosti institucije koje se provode izvan m</w:t>
            </w:r>
            <w:r w:rsidRPr="00EF7F33">
              <w:rPr>
                <w:rStyle w:val="InstructionsTabelleberschrift"/>
                <w:rFonts w:ascii="Times New Roman" w:hAnsi="Times New Roman"/>
                <w:b w:val="0"/>
                <w:sz w:val="24"/>
                <w:u w:val="none"/>
              </w:rPr>
              <w:t>o</w:t>
            </w:r>
            <w:r w:rsidRPr="00EF7F33">
              <w:rPr>
                <w:rStyle w:val="InstructionsTabelleberschrift"/>
                <w:rFonts w:ascii="Times New Roman" w:hAnsi="Times New Roman"/>
                <w:b w:val="0"/>
                <w:sz w:val="24"/>
                <w:u w:val="none"/>
              </w:rPr>
              <w:t>dela vrednovanja koji se koristi za izračun knjigovodstvenih vrijednosti (isključ</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jući odgođenu razliku na prvi dan koja se priznaje kao dobit ili gubitak ) i za koje se može utvrditi da se odnose na isti izvor nesigurnosti vrednovanja kao relevantna dodatna prilagodba vrednovanja. One bi mogle odražavati faktore rizika koji nisu obuhvaćeni tehnikom vrednovanja, koji su u obliku premije na rizik ili izlaznog troška i u skladu su s definicijom fer vrijednosti. Tržišni sudionici ipak ih trebaju uzeti u obzir pri određivanju cijene. (MSFI 13.9 i MSFI 13.88)</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0170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sz w:val="24"/>
              </w:rPr>
              <w:t>NEIZVJESNOST TRŽIŠNIH CIJENA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uzela u obzir prem</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ja na rizik koja proizlazi iz niza zabilježenih cijena istovrijednih instrumenata ili, u pogledu tržišnih ulaznih parametara modela vrednovanja, instrumenata za koje su ulazni podaci kalibrirani, te se stoga za nju može utvrditi da se odnosi na isti izvor nesigurnosti vrednovanja kao dodatna prilagodba vrednovanja za neizvjesnost trž</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 xml:space="preserve">šnih cijena.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0180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TROŠKOVI ZATVARANJA POZICIJA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radi prilagodbe zbog činjenice da vrednovanja razine pozicije ne odražavaju izlaznu cijenu pozicije ili portfelja, posebno kad se ta vrednovanja kalibriraju na srednje tržišnu cijenu te se stoga za nju može utvrditi da se odnosi na isti izvor nesigurnosti vrednovanja kao dodatna prilagodba vrednovanja za troškove zatvaranja pozicija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0190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RIZIK MODELA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uzeli u obzir tržišni čimbenici ili čimbenici koji nisu povezani s modelom koji se koristi za izračun vr</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jednosti dnevnih pozicija i rizika („model vrednovanja”) ili kako bi se uzela u o</w:t>
            </w:r>
            <w:r w:rsidRPr="00EF7F33">
              <w:rPr>
                <w:rStyle w:val="InstructionsTabelleberschrift"/>
                <w:rFonts w:ascii="Times New Roman" w:hAnsi="Times New Roman"/>
                <w:b w:val="0"/>
                <w:sz w:val="24"/>
                <w:u w:val="none"/>
              </w:rPr>
              <w:t>b</w:t>
            </w:r>
            <w:r w:rsidRPr="00EF7F33">
              <w:rPr>
                <w:rStyle w:val="InstructionsTabelleberschrift"/>
                <w:rFonts w:ascii="Times New Roman" w:hAnsi="Times New Roman"/>
                <w:b w:val="0"/>
                <w:sz w:val="24"/>
                <w:u w:val="none"/>
              </w:rPr>
              <w:t>zir odgovarajuća razina razboritosti koja proizlazi iz postojanja niza alternativnih valjanih modela i kalibracija modela te se stoga za nju može utvrditi da se odnosi na isti izvor nesigurnosti vrednovanja kao dodatna prilagodba vrednovanja za rizik modela.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0200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KONCENTRIRANE POZICIJE</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uzela u obzir činj</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lastRenderedPageBreak/>
              <w:t>nica da je ukupna pozicija koju drži institucija veća od uobičajenog volumena t</w:t>
            </w:r>
            <w:r w:rsidRPr="00EF7F33">
              <w:rPr>
                <w:rStyle w:val="InstructionsTabelleberschrift"/>
                <w:rFonts w:ascii="Times New Roman" w:hAnsi="Times New Roman"/>
                <w:b w:val="0"/>
                <w:sz w:val="24"/>
                <w:u w:val="none"/>
              </w:rPr>
              <w:t>r</w:t>
            </w:r>
            <w:r w:rsidRPr="00EF7F33">
              <w:rPr>
                <w:rStyle w:val="InstructionsTabelleberschrift"/>
                <w:rFonts w:ascii="Times New Roman" w:hAnsi="Times New Roman"/>
                <w:b w:val="0"/>
                <w:sz w:val="24"/>
                <w:u w:val="none"/>
              </w:rPr>
              <w:t xml:space="preserve">govanja ili veća od veličine pozicija na kojima se temelje zabilježene kotacije ili trgovanja koja se koriste za kalibraciju cijene ili ulaznih parametara koji se koriste u modelu vrednovanja te se stoga za nju može utvrditi da se odnosi na isti izvor nesigurnosti vrednovanja kao dodatna prilagodba vrednovanja za koncentrirane pozicije .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0210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NEREALIZIRANI KREDITNI RASPONI</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b w:val="0"/>
                <w:sz w:val="24"/>
                <w:u w:val="none"/>
              </w:rPr>
              <w:t>Prilagodba primijenjena u fer vrijednosti institucije kako bi se pokrili neočekivani gubici zbog statusa neispunjavanja obveza druge ugovorne strane u vezi s pozic</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jama izvedenica (tj. ukupna prilagodba kreditnom vrednovanju na razini instituc</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je).</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0220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TROŠKOVI INVESTIRANJA I FINANCIRANJA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neutralizirala činj</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 xml:space="preserve">nica kada modeli vrednovanja ne odražavaju u potpunosti troškove financiranja koje bi tržišni sudionici uračunali u izlaznu cijenu pozicije ili portfelja (tj. ukupna prilagodba vrednovanja financiranja na razini institucije ako institucija izračunava tu prilagodbu ili, alternativno, istovrijedna prilagodba).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0230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BUDUĆI ADMINISTRATIVNI TROŠKOVI</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uzeli u obzir adm</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nistrativni troškovi koji nastaju zbog portfelja ili pozicije, ali nisu uzeti u obzir u modelu vrednovanja ili cijenama koji se koriste za kalibraciju ulaznih podataka u tom modelu vrednovanja te se stoga za nju može utvrditi da se odnosi na isti izvor nesigurnosti vrednovanja kao dodatna prilagodba vrednovanja za buduće admini</w:t>
            </w:r>
            <w:r w:rsidRPr="00EF7F33">
              <w:rPr>
                <w:rStyle w:val="InstructionsTabelleberschrift"/>
                <w:rFonts w:ascii="Times New Roman" w:hAnsi="Times New Roman"/>
                <w:b w:val="0"/>
                <w:sz w:val="24"/>
                <w:u w:val="none"/>
              </w:rPr>
              <w:t>s</w:t>
            </w:r>
            <w:r w:rsidRPr="00EF7F33">
              <w:rPr>
                <w:rStyle w:val="InstructionsTabelleberschrift"/>
                <w:rFonts w:ascii="Times New Roman" w:hAnsi="Times New Roman"/>
                <w:b w:val="0"/>
                <w:sz w:val="24"/>
                <w:u w:val="none"/>
              </w:rPr>
              <w:t xml:space="preserve">trativne troškove.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0240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RANIJE ZATVARANJE POZICIJA</w:t>
            </w:r>
          </w:p>
          <w:p w:rsidR="00973707"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Prilagodba primijenjena u fer vrijednosti institucije kako bi se uzela u obzir oček</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vanja o ugovornom ili izvanugovornom ranijem zatvaranju pozicija koja nisu uz</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ta u obzir u modelu vrednovanja te se stoga za nju može utvrditi da se odnosi na isti izvor nesigurnosti vrednovanja kao dodatna prilagodba vrednovanja za ranije zatvaranje pozicija.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0250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OPERATIVNI RIZIK</w:t>
            </w:r>
          </w:p>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b w:val="0"/>
                <w:sz w:val="24"/>
                <w:u w:val="none"/>
              </w:rPr>
              <w:t>Prilagodba primijenjena u fer vrijednosti institucije kako bi se uzela u obzir prem</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ja na rizik koju bi zaračunali tržišni sudionici kako bi neutralizirali operativne riz</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ke koji proizlaze iz zaštite, upravljanja i namire ugovora iz portfelja  te se stoga za nju može utvrditi da se odnosi na isti izvor nesigurnosti vrednovanja kao dodatna prilagodba vrednovanja za operativni rizik.</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0260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DOBIT I GUBITAK NA PRVI DAN</w:t>
            </w:r>
          </w:p>
          <w:p w:rsidR="001B1531" w:rsidRPr="00EF7F33" w:rsidRDefault="00973707" w:rsidP="00AF3D7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Prilagodbe koje odražavaju slučajeve u kojima model vrednovanja zajedno sa svim drugim relevantnim prilagodbama fer vrijednosti primjenjivima na poziciju ili portfelj ne odražava cijenu plaćenu ili primljenu pri početnom priznavanju, o</w:t>
            </w:r>
            <w:r w:rsidRPr="00EF7F33">
              <w:rPr>
                <w:rStyle w:val="InstructionsTabelleberschrift"/>
                <w:rFonts w:ascii="Times New Roman" w:hAnsi="Times New Roman"/>
                <w:b w:val="0"/>
                <w:sz w:val="24"/>
                <w:u w:val="none"/>
              </w:rPr>
              <w:t>d</w:t>
            </w:r>
            <w:r w:rsidRPr="00EF7F33">
              <w:rPr>
                <w:rStyle w:val="InstructionsTabelleberschrift"/>
                <w:rFonts w:ascii="Times New Roman" w:hAnsi="Times New Roman"/>
                <w:b w:val="0"/>
                <w:sz w:val="24"/>
                <w:u w:val="none"/>
              </w:rPr>
              <w:lastRenderedPageBreak/>
              <w:t>nosno odgođena razlika na prvi dan koja se priznaje kao dobit ili gubitak (MSFI 9.B5.1.2.A).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0270</w:t>
            </w:r>
          </w:p>
        </w:tc>
        <w:tc>
          <w:tcPr>
            <w:tcW w:w="8190" w:type="dxa"/>
          </w:tcPr>
          <w:p w:rsidR="00973707" w:rsidRPr="00EF7F33" w:rsidRDefault="00973707" w:rsidP="00AF3D7A">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OBJAŠNJENJE</w:t>
            </w:r>
          </w:p>
          <w:p w:rsidR="00973707" w:rsidRPr="00EF7F33" w:rsidRDefault="00973707" w:rsidP="00FD239F">
            <w:pPr>
              <w:spacing w:beforeLines="60" w:before="144" w:afterLines="60" w:after="144"/>
              <w:rPr>
                <w:rStyle w:val="InstructionsTabelleberschrift"/>
                <w:rFonts w:ascii="Times New Roman" w:hAnsi="Times New Roman"/>
                <w:b w:val="0"/>
                <w:sz w:val="24"/>
                <w:u w:val="none"/>
              </w:rPr>
            </w:pPr>
            <w:r w:rsidRPr="00EF7F33">
              <w:rPr>
                <w:rFonts w:ascii="Times New Roman" w:hAnsi="Times New Roman"/>
                <w:sz w:val="24"/>
              </w:rPr>
              <w:t>Opis pozicija na koje se primjenjuje članak 7. stavak 2. točka (b) Delegirane ure</w:t>
            </w:r>
            <w:r w:rsidRPr="00EF7F33">
              <w:rPr>
                <w:rFonts w:ascii="Times New Roman" w:hAnsi="Times New Roman"/>
                <w:sz w:val="24"/>
              </w:rPr>
              <w:t>d</w:t>
            </w:r>
            <w:r w:rsidRPr="00EF7F33">
              <w:rPr>
                <w:rFonts w:ascii="Times New Roman" w:hAnsi="Times New Roman"/>
                <w:sz w:val="24"/>
              </w:rPr>
              <w:t>be (EU) 2016/101 o bonitetnom vrednovanju i objašnjenje zbog čega se nisu mogli primijeniti članci od 9. do 17. te delegirane uredbe.</w:t>
            </w:r>
          </w:p>
        </w:tc>
      </w:tr>
    </w:tbl>
    <w:p w:rsidR="00B93FA1" w:rsidRPr="00EF7F33"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EF7F33" w:rsidTr="00672D2A">
        <w:tc>
          <w:tcPr>
            <w:tcW w:w="9288" w:type="dxa"/>
            <w:gridSpan w:val="2"/>
            <w:shd w:val="clear" w:color="auto" w:fill="CCCCCC"/>
          </w:tcPr>
          <w:p w:rsidR="00973707" w:rsidRPr="00EF7F33" w:rsidRDefault="00973707" w:rsidP="00AF3D7A">
            <w:pPr>
              <w:spacing w:beforeLines="60" w:before="144" w:afterLines="60" w:after="144"/>
              <w:rPr>
                <w:rFonts w:ascii="Times New Roman" w:hAnsi="Times New Roman"/>
                <w:b/>
                <w:sz w:val="24"/>
              </w:rPr>
            </w:pPr>
            <w:r w:rsidRPr="00EF7F33">
              <w:rPr>
                <w:rFonts w:ascii="Times New Roman" w:hAnsi="Times New Roman"/>
                <w:b/>
                <w:sz w:val="24"/>
              </w:rPr>
              <w:t>Redci</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0010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1. UKUPNE DODATNE PRILAGODBE VREDNOVANJA NA TEMELJU OSNOVNOG PRISTUPA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7. stavak 2.  Delegirane uredbe (EU) 2016/101 o bonitetnom vrednovanju</w:t>
            </w:r>
          </w:p>
          <w:p w:rsidR="00973707" w:rsidRPr="00EF7F33" w:rsidRDefault="00973707" w:rsidP="00D73470">
            <w:pPr>
              <w:spacing w:beforeLines="60" w:before="144" w:afterLines="60" w:after="144"/>
              <w:rPr>
                <w:rFonts w:ascii="Times New Roman" w:hAnsi="Times New Roman"/>
                <w:sz w:val="24"/>
              </w:rPr>
            </w:pPr>
            <w:r w:rsidRPr="00EF7F33">
              <w:rPr>
                <w:rFonts w:ascii="Times New Roman" w:hAnsi="Times New Roman"/>
                <w:sz w:val="24"/>
              </w:rPr>
              <w:t>Za svaku relevantnu kategoriju dodatnih prilagodbi vrednovanja iz stupaca od 0010 do 0110, ukupne dodatne prilagodbe vrednovanja izračunane na temelju o</w:t>
            </w:r>
            <w:r w:rsidRPr="00EF7F33">
              <w:rPr>
                <w:rFonts w:ascii="Times New Roman" w:hAnsi="Times New Roman"/>
                <w:sz w:val="24"/>
              </w:rPr>
              <w:t>s</w:t>
            </w:r>
            <w:r w:rsidRPr="00EF7F33">
              <w:rPr>
                <w:rFonts w:ascii="Times New Roman" w:hAnsi="Times New Roman"/>
                <w:sz w:val="24"/>
              </w:rPr>
              <w:t>novnog pristupa kako je navedeno u poglavlju 3. Delegirane uredbe (EU) 2016/101 o bonitetnom vrednovanju za imovinu i obvezu po fer vrijednosti uklj</w:t>
            </w:r>
            <w:r w:rsidRPr="00EF7F33">
              <w:rPr>
                <w:rFonts w:ascii="Times New Roman" w:hAnsi="Times New Roman"/>
                <w:sz w:val="24"/>
              </w:rPr>
              <w:t>u</w:t>
            </w:r>
            <w:r w:rsidRPr="00EF7F33">
              <w:rPr>
                <w:rFonts w:ascii="Times New Roman" w:hAnsi="Times New Roman"/>
                <w:sz w:val="24"/>
              </w:rPr>
              <w:t xml:space="preserve">čene u izračun praga u skladu s člankom 4. stavkom 1. Delegirane uredbe (EU) 2016/101 o bonitetnom vrednovanju.  To uključuje koristi diversifikacije iskazane u retku 0140 u skladu s člankom 9. stavkom 6., člankom 10. stavkom 7. i člankom 11. stavkom 7. Delegirane uredbe (EU) 2016/101 o bonitetnom vrednovanju.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0020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OD ČEGA: POZICIJE IZ KNJIGE TRGOVANJA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7. stavak 2. Delegirane uredbe (EU) 2016/101 o bonitetnom vrednovanju</w:t>
            </w:r>
          </w:p>
          <w:p w:rsidR="00973707" w:rsidRPr="00EF7F33" w:rsidRDefault="00973707" w:rsidP="009A7A38">
            <w:pPr>
              <w:spacing w:beforeLines="60" w:before="144" w:afterLines="60" w:after="144"/>
              <w:rPr>
                <w:rFonts w:ascii="Times New Roman" w:hAnsi="Times New Roman"/>
                <w:b/>
                <w:sz w:val="24"/>
                <w:u w:val="single"/>
              </w:rPr>
            </w:pPr>
            <w:r w:rsidRPr="00EF7F33">
              <w:rPr>
                <w:rFonts w:ascii="Times New Roman" w:hAnsi="Times New Roman"/>
                <w:sz w:val="24"/>
              </w:rPr>
              <w:t xml:space="preserve">Za svaku relevantnu kategoriju dodatnih prilagodbi vrednovanja iz stupaca od 0010 do 0110, udio ukupnih dodatnih prilagodbi vrednovanja iskazanih u retku 0010 koje proizlaze iz pozicija u knjizi trgovanja (apsolutna vrijednost).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0030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 PORTFELJI U SKLADU S ČLANCIMA OD 9. DO 17. – UKUPNE D</w:t>
            </w:r>
            <w:r w:rsidRPr="00EF7F33">
              <w:rPr>
                <w:rFonts w:ascii="Times New Roman" w:hAnsi="Times New Roman"/>
                <w:b/>
                <w:sz w:val="24"/>
                <w:u w:val="single"/>
              </w:rPr>
              <w:t>O</w:t>
            </w:r>
            <w:r w:rsidRPr="00EF7F33">
              <w:rPr>
                <w:rFonts w:ascii="Times New Roman" w:hAnsi="Times New Roman"/>
                <w:b/>
                <w:sz w:val="24"/>
                <w:u w:val="single"/>
              </w:rPr>
              <w:t xml:space="preserve">DATNE PRILAGODBE VREDNOVANJA NA RAZINI KATEGORIJE NAKON PRIMJENE DIVERSIFIKACIJE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7. stavak 2. točka (a) Delegirane uredbe (EU) 2016/101 o bonitetnom vr</w:t>
            </w:r>
            <w:r w:rsidRPr="00EF7F33">
              <w:rPr>
                <w:rFonts w:ascii="Times New Roman" w:hAnsi="Times New Roman"/>
                <w:sz w:val="24"/>
              </w:rPr>
              <w:t>e</w:t>
            </w:r>
            <w:r w:rsidRPr="00EF7F33">
              <w:rPr>
                <w:rFonts w:ascii="Times New Roman" w:hAnsi="Times New Roman"/>
                <w:sz w:val="24"/>
              </w:rPr>
              <w:t>dnovanju</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Za svaku relevantnu kategoriju dodatnih prilagodbi vrednovanja iz stupaca od 0010 do 0110, ukupne dodatne prilagodbe vrednovanja izračunane u skladu s člancima od 9. do 17. Delegirane uredbe (EU) 2016/101 o bonitetnom vrednov</w:t>
            </w:r>
            <w:r w:rsidRPr="00EF7F33">
              <w:rPr>
                <w:rFonts w:ascii="Times New Roman" w:hAnsi="Times New Roman"/>
                <w:sz w:val="24"/>
              </w:rPr>
              <w:t>a</w:t>
            </w:r>
            <w:r w:rsidRPr="00EF7F33">
              <w:rPr>
                <w:rFonts w:ascii="Times New Roman" w:hAnsi="Times New Roman"/>
                <w:sz w:val="24"/>
              </w:rPr>
              <w:t>nju za imovinu i obvezu po fer vrijednosti uključene u izračun praga u skladu s člankom 4. stavkom 1. Delegirane uredbe (EU) 2016/101 o bonitetnom vrednov</w:t>
            </w:r>
            <w:r w:rsidRPr="00EF7F33">
              <w:rPr>
                <w:rFonts w:ascii="Times New Roman" w:hAnsi="Times New Roman"/>
                <w:sz w:val="24"/>
              </w:rPr>
              <w:t>a</w:t>
            </w:r>
            <w:r w:rsidRPr="00EF7F33">
              <w:rPr>
                <w:rFonts w:ascii="Times New Roman" w:hAnsi="Times New Roman"/>
                <w:sz w:val="24"/>
              </w:rPr>
              <w:t>nju, osim za imovinu i obveze po fer vrijednosti na koje se primjenjuje tretman iz članka 7. stavka 2. točke (b) Delegirane uredbe (EU) 2016/101 o bonitetnom vre</w:t>
            </w:r>
            <w:r w:rsidRPr="00EF7F33">
              <w:rPr>
                <w:rFonts w:ascii="Times New Roman" w:hAnsi="Times New Roman"/>
                <w:sz w:val="24"/>
              </w:rPr>
              <w:t>d</w:t>
            </w:r>
            <w:r w:rsidRPr="00EF7F33">
              <w:rPr>
                <w:rFonts w:ascii="Times New Roman" w:hAnsi="Times New Roman"/>
                <w:sz w:val="24"/>
              </w:rPr>
              <w:t xml:space="preserve">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To uključuje dodatne prilagodbe vrednovanja izračunane u skladu s člancima 12. i 13. Delegirane uredbe (EU) 2016/101 o bonitetnom vrednovanju koje su iskazane u redcima 0050 i 0060 i koje su uključene u dodatne prilagodbe vrednovanja za </w:t>
            </w:r>
            <w:r w:rsidRPr="00EF7F33">
              <w:rPr>
                <w:rFonts w:ascii="Times New Roman" w:hAnsi="Times New Roman"/>
                <w:sz w:val="24"/>
              </w:rPr>
              <w:lastRenderedPageBreak/>
              <w:t>neizvjesnost tržišnih cijena, dodatne prilagodbe vrednovanja za troškove zatvar</w:t>
            </w:r>
            <w:r w:rsidRPr="00EF7F33">
              <w:rPr>
                <w:rFonts w:ascii="Times New Roman" w:hAnsi="Times New Roman"/>
                <w:sz w:val="24"/>
              </w:rPr>
              <w:t>a</w:t>
            </w:r>
            <w:r w:rsidRPr="00EF7F33">
              <w:rPr>
                <w:rFonts w:ascii="Times New Roman" w:hAnsi="Times New Roman"/>
                <w:sz w:val="24"/>
              </w:rPr>
              <w:t xml:space="preserve">nja pozicija i dodatne prilagodbe vrednovanja za  rizik modela kako je navedeno u članku 12. stavku 2. i članku 13. stavku 2. Delegirane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To uključuje koristi diversifikacije iskazane u retku 0140 u skladu s člankom 9. stavkom 6., člankom 10. stavkom 7. i člankom 11. stavkom 7. Delegirane uredbe (EU) 2016/101 o bonitetnom vrednovanju. </w:t>
            </w:r>
          </w:p>
          <w:p w:rsidR="00973707" w:rsidRPr="00EF7F33" w:rsidRDefault="00973707" w:rsidP="009A7A38">
            <w:pPr>
              <w:spacing w:beforeLines="60" w:before="144" w:afterLines="60" w:after="144"/>
              <w:rPr>
                <w:rFonts w:ascii="Times New Roman" w:hAnsi="Times New Roman"/>
                <w:sz w:val="24"/>
              </w:rPr>
            </w:pPr>
            <w:r w:rsidRPr="00EF7F33">
              <w:rPr>
                <w:rFonts w:ascii="Times New Roman" w:hAnsi="Times New Roman"/>
                <w:sz w:val="24"/>
              </w:rPr>
              <w:t xml:space="preserve">Stoga se očekuje da redak 0030 predstavlja razliku između redaka 0040 i 0140.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0040 - 0130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 UKUPNE DODATNE PRILAGODBE VREDNOVANJA NA RAZINI KATEGORIJE PRIJE PRIMJENE DIVERSIFIKACIJE</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Institucije raspoređuju u retke od 0090 do 0130 svoju imovinu i obveze po fer vr</w:t>
            </w:r>
            <w:r w:rsidRPr="00EF7F33">
              <w:rPr>
                <w:rFonts w:ascii="Times New Roman" w:hAnsi="Times New Roman"/>
                <w:sz w:val="24"/>
              </w:rPr>
              <w:t>i</w:t>
            </w:r>
            <w:r w:rsidRPr="00EF7F33">
              <w:rPr>
                <w:rFonts w:ascii="Times New Roman" w:hAnsi="Times New Roman"/>
                <w:sz w:val="24"/>
              </w:rPr>
              <w:t>jednosti uključene u izračun praga u skladu s člankom 4. stavkom 1. Delegirane uredbe (EU) 2016/101 o bonitetnom vrednovanju (knjiga trgovanja i knjiga poz</w:t>
            </w:r>
            <w:r w:rsidRPr="00EF7F33">
              <w:rPr>
                <w:rFonts w:ascii="Times New Roman" w:hAnsi="Times New Roman"/>
                <w:sz w:val="24"/>
              </w:rPr>
              <w:t>i</w:t>
            </w:r>
            <w:r w:rsidRPr="00EF7F33">
              <w:rPr>
                <w:rFonts w:ascii="Times New Roman" w:hAnsi="Times New Roman"/>
                <w:sz w:val="24"/>
              </w:rPr>
              <w:t xml:space="preserve">cija kojima se ne trguje) prema sljedećim kategorijama rizika:   kamatni, tečajni i kreditni rizik, rizik vlasničkih instrumenata te robni rizik.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U tu se svrhu institucije oslanjaju na svoju strukturu internog upravljanja rizikom te na temelju raspoređivanja aktivnosti pripremljenog na temelju stručne procjene raspoređuju svoje poslovne linije ili stolove za trgovanje u odgovarajuće kategor</w:t>
            </w:r>
            <w:r w:rsidRPr="00EF7F33">
              <w:rPr>
                <w:rFonts w:ascii="Times New Roman" w:hAnsi="Times New Roman"/>
                <w:sz w:val="24"/>
              </w:rPr>
              <w:t>i</w:t>
            </w:r>
            <w:r w:rsidRPr="00EF7F33">
              <w:rPr>
                <w:rFonts w:ascii="Times New Roman" w:hAnsi="Times New Roman"/>
                <w:sz w:val="24"/>
              </w:rPr>
              <w:t>je rizika.  Dodatne prilagodbe vrednovanja, prilagodbe fer vrijednosti i ostale po</w:t>
            </w:r>
            <w:r w:rsidRPr="00EF7F33">
              <w:rPr>
                <w:rFonts w:ascii="Times New Roman" w:hAnsi="Times New Roman"/>
                <w:sz w:val="24"/>
              </w:rPr>
              <w:t>t</w:t>
            </w:r>
            <w:r w:rsidRPr="00EF7F33">
              <w:rPr>
                <w:rFonts w:ascii="Times New Roman" w:hAnsi="Times New Roman"/>
                <w:sz w:val="24"/>
              </w:rPr>
              <w:t>rebne informacije, koje odgovaraju raspoređenim poslovnim linijama ili stolovima za trgovanje, zatim se raspoređuju u iste relevantne kategorije rizika, kako bi se za svaku kategoriju rizika na razini redaka naveli dosljedan pregled prilagodbi prov</w:t>
            </w:r>
            <w:r w:rsidRPr="00EF7F33">
              <w:rPr>
                <w:rFonts w:ascii="Times New Roman" w:hAnsi="Times New Roman"/>
                <w:sz w:val="24"/>
              </w:rPr>
              <w:t>e</w:t>
            </w:r>
            <w:r w:rsidRPr="00EF7F33">
              <w:rPr>
                <w:rFonts w:ascii="Times New Roman" w:hAnsi="Times New Roman"/>
                <w:sz w:val="24"/>
              </w:rPr>
              <w:t>denih u bonitetne i računovodstvene svrhe, kao i veličina dotičnih pozicija (u po</w:t>
            </w:r>
            <w:r w:rsidRPr="00EF7F33">
              <w:rPr>
                <w:rFonts w:ascii="Times New Roman" w:hAnsi="Times New Roman"/>
                <w:sz w:val="24"/>
              </w:rPr>
              <w:t>g</w:t>
            </w:r>
            <w:r w:rsidRPr="00EF7F33">
              <w:rPr>
                <w:rFonts w:ascii="Times New Roman" w:hAnsi="Times New Roman"/>
                <w:sz w:val="24"/>
              </w:rPr>
              <w:t>ledu imovine i obveza po fer vrijednosti). Ako se dodatne prilagodbe vrednovanja ili druge prilagodbe izračunavaju na različitoj razini agregiranja, posebno na razini društva, institucije izrađuju metodologiju raspoređivanja dodatnih prilagodbi vr</w:t>
            </w:r>
            <w:r w:rsidRPr="00EF7F33">
              <w:rPr>
                <w:rFonts w:ascii="Times New Roman" w:hAnsi="Times New Roman"/>
                <w:sz w:val="24"/>
              </w:rPr>
              <w:t>e</w:t>
            </w:r>
            <w:r w:rsidRPr="00EF7F33">
              <w:rPr>
                <w:rFonts w:ascii="Times New Roman" w:hAnsi="Times New Roman"/>
                <w:sz w:val="24"/>
              </w:rPr>
              <w:t>dnovanja u relevantne skupove pozicija. U skladu s tom metodologijom raspoređ</w:t>
            </w:r>
            <w:r w:rsidRPr="00EF7F33">
              <w:rPr>
                <w:rFonts w:ascii="Times New Roman" w:hAnsi="Times New Roman"/>
                <w:sz w:val="24"/>
              </w:rPr>
              <w:t>i</w:t>
            </w:r>
            <w:r w:rsidRPr="00EF7F33">
              <w:rPr>
                <w:rFonts w:ascii="Times New Roman" w:hAnsi="Times New Roman"/>
                <w:sz w:val="24"/>
              </w:rPr>
              <w:t xml:space="preserve">vanja redak 0040 je zbroj redaka od 0050 do 0130 za stupce od 0010 do 0100.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Neovisno o tome koji se pristup primijeni, iskazane informacije moraju, u najvećoj mogućoj mjeri, biti dosljedne na razini redaka jer će se dostavljene informacije uspoređivati na toj razini (iznosi dodatnih prilagodbi vrednovanja, neizvjesnost pozitivnog ishoda, iznosi fer vrijednosti i potencijalne prilagodne fer vrijednosti).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Raščlamba u retke od 0090 do 0130 isključuje dodatne prilagodbe vrednovanja i</w:t>
            </w:r>
            <w:r w:rsidRPr="00EF7F33">
              <w:rPr>
                <w:rFonts w:ascii="Times New Roman" w:hAnsi="Times New Roman"/>
                <w:sz w:val="24"/>
              </w:rPr>
              <w:t>z</w:t>
            </w:r>
            <w:r w:rsidRPr="00EF7F33">
              <w:rPr>
                <w:rFonts w:ascii="Times New Roman" w:hAnsi="Times New Roman"/>
                <w:sz w:val="24"/>
              </w:rPr>
              <w:t>računane u skladu s člancima 12. i 13. Delegirane uredbe (EU) 2016/101 o bonit</w:t>
            </w:r>
            <w:r w:rsidRPr="00EF7F33">
              <w:rPr>
                <w:rFonts w:ascii="Times New Roman" w:hAnsi="Times New Roman"/>
                <w:sz w:val="24"/>
              </w:rPr>
              <w:t>e</w:t>
            </w:r>
            <w:r w:rsidRPr="00EF7F33">
              <w:rPr>
                <w:rFonts w:ascii="Times New Roman" w:hAnsi="Times New Roman"/>
                <w:sz w:val="24"/>
              </w:rPr>
              <w:t>tnom vrednovanju koje su iskazane u redcima 0050 i 0060 i koje su uključene u dodatne prilagodbe vrednovanja za neizvjesnost tržišnih cijena, dodatne prilago</w:t>
            </w:r>
            <w:r w:rsidRPr="00EF7F33">
              <w:rPr>
                <w:rFonts w:ascii="Times New Roman" w:hAnsi="Times New Roman"/>
                <w:sz w:val="24"/>
              </w:rPr>
              <w:t>d</w:t>
            </w:r>
            <w:r w:rsidRPr="00EF7F33">
              <w:rPr>
                <w:rFonts w:ascii="Times New Roman" w:hAnsi="Times New Roman"/>
                <w:sz w:val="24"/>
              </w:rPr>
              <w:t>be vrednovanja za troškove zatvaranja pozicija i dodatne prilagodbe vrednovanja za rizik modela kako je navedeno u članku 12. stavku 2. i članku 13. stavku 2. D</w:t>
            </w:r>
            <w:r w:rsidRPr="00EF7F33">
              <w:rPr>
                <w:rFonts w:ascii="Times New Roman" w:hAnsi="Times New Roman"/>
                <w:sz w:val="24"/>
              </w:rPr>
              <w:t>e</w:t>
            </w:r>
            <w:r w:rsidRPr="00EF7F33">
              <w:rPr>
                <w:rFonts w:ascii="Times New Roman" w:hAnsi="Times New Roman"/>
                <w:sz w:val="24"/>
              </w:rPr>
              <w:t xml:space="preserv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 xml:space="preserve">Koristi diversifikacije iskazuju se u retku 0140 u skladu s člankom 9. stavkom 6., člankom 10. stavkom 7. i člankom 11. stavkom 7. Delegirane uredbe (EU) 2016/101 o bonitetnom vrednovanju te su stoga isključene iz redaka od 0040 do 0130.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0050</w:t>
            </w:r>
          </w:p>
        </w:tc>
        <w:tc>
          <w:tcPr>
            <w:tcW w:w="8187" w:type="dxa"/>
            <w:shd w:val="clear" w:color="auto" w:fill="auto"/>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OD ČEGA: DODATNE PRILAGODBE VREDNOVANJA ZA NEREAL</w:t>
            </w:r>
            <w:r w:rsidRPr="00EF7F33">
              <w:rPr>
                <w:rFonts w:ascii="Times New Roman" w:hAnsi="Times New Roman"/>
                <w:b/>
                <w:sz w:val="24"/>
                <w:u w:val="single"/>
              </w:rPr>
              <w:t>I</w:t>
            </w:r>
            <w:r w:rsidRPr="00EF7F33">
              <w:rPr>
                <w:rFonts w:ascii="Times New Roman" w:hAnsi="Times New Roman"/>
                <w:b/>
                <w:sz w:val="24"/>
                <w:u w:val="single"/>
              </w:rPr>
              <w:lastRenderedPageBreak/>
              <w:t>ZIRANE KREDITNE RASPONE</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105. stavak 10. CRR-a, članak 12. Delegirane uredbe (EU) 2016/101 o b</w:t>
            </w:r>
            <w:r w:rsidRPr="00EF7F33">
              <w:rPr>
                <w:rFonts w:ascii="Times New Roman" w:hAnsi="Times New Roman"/>
                <w:sz w:val="24"/>
              </w:rPr>
              <w:t>o</w:t>
            </w:r>
            <w:r w:rsidRPr="00EF7F33">
              <w:rPr>
                <w:rFonts w:ascii="Times New Roman" w:hAnsi="Times New Roman"/>
                <w:sz w:val="24"/>
              </w:rPr>
              <w:t>nitetnom vrednovanju</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Ukupna dodatna prilagodba vrednovanja izračunana za nerealizirane kreditne ra</w:t>
            </w:r>
            <w:r w:rsidRPr="00EF7F33">
              <w:rPr>
                <w:rFonts w:ascii="Times New Roman" w:hAnsi="Times New Roman"/>
                <w:sz w:val="24"/>
              </w:rPr>
              <w:t>s</w:t>
            </w:r>
            <w:r w:rsidRPr="00EF7F33">
              <w:rPr>
                <w:rFonts w:ascii="Times New Roman" w:hAnsi="Times New Roman"/>
                <w:sz w:val="24"/>
              </w:rPr>
              <w:t>pone („dodatna prilagodba vrednovanja za rizik prilagodbe kreditnom vrednov</w:t>
            </w:r>
            <w:r w:rsidRPr="00EF7F33">
              <w:rPr>
                <w:rFonts w:ascii="Times New Roman" w:hAnsi="Times New Roman"/>
                <w:sz w:val="24"/>
              </w:rPr>
              <w:t>a</w:t>
            </w:r>
            <w:r w:rsidRPr="00EF7F33">
              <w:rPr>
                <w:rFonts w:ascii="Times New Roman" w:hAnsi="Times New Roman"/>
                <w:sz w:val="24"/>
              </w:rPr>
              <w:t>nju) i njezino raspoređivanje u dodatne prilagodbe vrednovanja za neizvjesnost t</w:t>
            </w:r>
            <w:r w:rsidRPr="00EF7F33">
              <w:rPr>
                <w:rFonts w:ascii="Times New Roman" w:hAnsi="Times New Roman"/>
                <w:sz w:val="24"/>
              </w:rPr>
              <w:t>r</w:t>
            </w:r>
            <w:r w:rsidRPr="00EF7F33">
              <w:rPr>
                <w:rFonts w:ascii="Times New Roman" w:hAnsi="Times New Roman"/>
                <w:sz w:val="24"/>
              </w:rPr>
              <w:t>žišnih cijena, za troškove zatvaranja pozicija ili za rizik modela u skladu s čla</w:t>
            </w:r>
            <w:r w:rsidRPr="00EF7F33">
              <w:rPr>
                <w:rFonts w:ascii="Times New Roman" w:hAnsi="Times New Roman"/>
                <w:sz w:val="24"/>
              </w:rPr>
              <w:t>n</w:t>
            </w:r>
            <w:r w:rsidRPr="00EF7F33">
              <w:rPr>
                <w:rFonts w:ascii="Times New Roman" w:hAnsi="Times New Roman"/>
                <w:sz w:val="24"/>
              </w:rPr>
              <w:t xml:space="preserve">kom 12. Delegirane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Stupac 0110: Ukupna dodatna prilagodba vrednovanja navodi se samo u inform</w:t>
            </w:r>
            <w:r w:rsidRPr="00EF7F33">
              <w:rPr>
                <w:rFonts w:ascii="Times New Roman" w:hAnsi="Times New Roman"/>
                <w:sz w:val="24"/>
              </w:rPr>
              <w:t>a</w:t>
            </w:r>
            <w:r w:rsidRPr="00EF7F33">
              <w:rPr>
                <w:rFonts w:ascii="Times New Roman" w:hAnsi="Times New Roman"/>
                <w:sz w:val="24"/>
              </w:rPr>
              <w:t xml:space="preserve">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rsidR="00973707" w:rsidRPr="00EF7F33" w:rsidRDefault="00973707" w:rsidP="00130EEF">
            <w:pPr>
              <w:spacing w:beforeLines="60" w:before="144" w:afterLines="60" w:after="144"/>
              <w:rPr>
                <w:rFonts w:ascii="Times New Roman" w:hAnsi="Times New Roman"/>
                <w:sz w:val="24"/>
              </w:rPr>
            </w:pPr>
            <w:r w:rsidRPr="00EF7F33">
              <w:rPr>
                <w:rFonts w:ascii="Times New Roman" w:hAnsi="Times New Roman"/>
                <w:sz w:val="24"/>
              </w:rPr>
              <w:t>Stupci 0130 i 0140: apsolutna vrijednost imovine i obveza po fer vrijednosti u</w:t>
            </w:r>
            <w:r w:rsidRPr="00EF7F33">
              <w:rPr>
                <w:rFonts w:ascii="Times New Roman" w:hAnsi="Times New Roman"/>
                <w:sz w:val="24"/>
              </w:rPr>
              <w:t>k</w:t>
            </w:r>
            <w:r w:rsidRPr="00EF7F33">
              <w:rPr>
                <w:rFonts w:ascii="Times New Roman" w:hAnsi="Times New Roman"/>
                <w:sz w:val="24"/>
              </w:rPr>
              <w:t>ljučene u opseg izračuna dodatnih prilagodbi vrednovanja za nerealizirane kredi</w:t>
            </w:r>
            <w:r w:rsidRPr="00EF7F33">
              <w:rPr>
                <w:rFonts w:ascii="Times New Roman" w:hAnsi="Times New Roman"/>
                <w:sz w:val="24"/>
              </w:rPr>
              <w:t>t</w:t>
            </w:r>
            <w:r w:rsidRPr="00EF7F33">
              <w:rPr>
                <w:rFonts w:ascii="Times New Roman" w:hAnsi="Times New Roman"/>
                <w:sz w:val="24"/>
              </w:rPr>
              <w:t>ne raspone. Za potrebe izračuna ove dodatne prilagodbe vrednovanja, suprotne p</w:t>
            </w:r>
            <w:r w:rsidRPr="00EF7F33">
              <w:rPr>
                <w:rFonts w:ascii="Times New Roman" w:hAnsi="Times New Roman"/>
                <w:sz w:val="24"/>
              </w:rPr>
              <w:t>o</w:t>
            </w:r>
            <w:r w:rsidRPr="00EF7F33">
              <w:rPr>
                <w:rFonts w:ascii="Times New Roman" w:hAnsi="Times New Roman"/>
                <w:sz w:val="24"/>
              </w:rPr>
              <w:t>zicije imovine i obveza po fer vrijednosti koje se u potpunosti podudaraju isklj</w:t>
            </w:r>
            <w:r w:rsidRPr="00EF7F33">
              <w:rPr>
                <w:rFonts w:ascii="Times New Roman" w:hAnsi="Times New Roman"/>
                <w:sz w:val="24"/>
              </w:rPr>
              <w:t>u</w:t>
            </w:r>
            <w:r w:rsidRPr="00EF7F33">
              <w:rPr>
                <w:rFonts w:ascii="Times New Roman" w:hAnsi="Times New Roman"/>
                <w:sz w:val="24"/>
              </w:rPr>
              <w:t>čene iz izračuna praga u skladu s člankom 4. stavkom 2. Delegirane uredbe (EU) 2016/101 o bonitetnom vrednovanju ne moraju se više smatrati suprotnim pozic</w:t>
            </w:r>
            <w:r w:rsidRPr="00EF7F33">
              <w:rPr>
                <w:rFonts w:ascii="Times New Roman" w:hAnsi="Times New Roman"/>
                <w:sz w:val="24"/>
              </w:rPr>
              <w:t>i</w:t>
            </w:r>
            <w:r w:rsidRPr="00EF7F33">
              <w:rPr>
                <w:rFonts w:ascii="Times New Roman" w:hAnsi="Times New Roman"/>
                <w:sz w:val="24"/>
              </w:rPr>
              <w:t>jama koje se u potpunosti podudaraju.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0060</w:t>
            </w:r>
          </w:p>
        </w:tc>
        <w:tc>
          <w:tcPr>
            <w:tcW w:w="8187" w:type="dxa"/>
            <w:shd w:val="clear" w:color="auto" w:fill="auto"/>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OD ČEGA: DODATNE PRILAGODBE VREDNOVANJA ZA TROŠKOVE INVESTIRANJA I FINANCIRANJA  </w:t>
            </w:r>
          </w:p>
          <w:p w:rsidR="00973707" w:rsidRPr="00EF7F33" w:rsidRDefault="00973707" w:rsidP="00AF3D7A">
            <w:pPr>
              <w:spacing w:beforeLines="60" w:before="144" w:afterLines="60" w:after="144"/>
              <w:rPr>
                <w:rFonts w:ascii="Times New Roman" w:hAnsi="Times New Roman"/>
                <w:caps/>
                <w:sz w:val="24"/>
                <w:u w:val="single"/>
              </w:rPr>
            </w:pPr>
            <w:r w:rsidRPr="00EF7F33">
              <w:rPr>
                <w:rFonts w:ascii="Times New Roman" w:hAnsi="Times New Roman"/>
                <w:sz w:val="24"/>
              </w:rPr>
              <w:t>Članak 105. stavak 10. CRR-a, članak 17. Delegirane uredbe (EU) 2016/101 o b</w:t>
            </w:r>
            <w:r w:rsidRPr="00EF7F33">
              <w:rPr>
                <w:rFonts w:ascii="Times New Roman" w:hAnsi="Times New Roman"/>
                <w:sz w:val="24"/>
              </w:rPr>
              <w:t>o</w:t>
            </w:r>
            <w:r w:rsidRPr="00EF7F33">
              <w:rPr>
                <w:rFonts w:ascii="Times New Roman" w:hAnsi="Times New Roman"/>
                <w:sz w:val="24"/>
              </w:rPr>
              <w:t>nitetnom vrednovanju</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Ukupna dodatna prilagodba vrednovanja izračunana za troškove investiranja i f</w:t>
            </w:r>
            <w:r w:rsidRPr="00EF7F33">
              <w:rPr>
                <w:rFonts w:ascii="Times New Roman" w:hAnsi="Times New Roman"/>
                <w:sz w:val="24"/>
              </w:rPr>
              <w:t>i</w:t>
            </w:r>
            <w:r w:rsidRPr="00EF7F33">
              <w:rPr>
                <w:rFonts w:ascii="Times New Roman" w:hAnsi="Times New Roman"/>
                <w:sz w:val="24"/>
              </w:rPr>
              <w:t>nanciranja i njezino raspoređivanje u dodatne prilagodbe vrednovanja za neizvje</w:t>
            </w:r>
            <w:r w:rsidRPr="00EF7F33">
              <w:rPr>
                <w:rFonts w:ascii="Times New Roman" w:hAnsi="Times New Roman"/>
                <w:sz w:val="24"/>
              </w:rPr>
              <w:t>s</w:t>
            </w:r>
            <w:r w:rsidRPr="00EF7F33">
              <w:rPr>
                <w:rFonts w:ascii="Times New Roman" w:hAnsi="Times New Roman"/>
                <w:sz w:val="24"/>
              </w:rPr>
              <w:t xml:space="preserve">nost tržišnih cijena, za troškove zatvaranja pozicija ili za  rizik modela u skladu s člankom 13. Delegirane uredbe (EU) 2016/101 o bonitetnom vrednovanju.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Stupac 0110: Ukupna dodatna prilagodba vrednovanja navodi se samo u inform</w:t>
            </w:r>
            <w:r w:rsidRPr="00EF7F33">
              <w:rPr>
                <w:rFonts w:ascii="Times New Roman" w:hAnsi="Times New Roman"/>
                <w:sz w:val="24"/>
              </w:rPr>
              <w:t>a</w:t>
            </w:r>
            <w:r w:rsidRPr="00EF7F33">
              <w:rPr>
                <w:rFonts w:ascii="Times New Roman" w:hAnsi="Times New Roman"/>
                <w:sz w:val="24"/>
              </w:rPr>
              <w:t xml:space="preserve">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rsidR="00973707" w:rsidRPr="00EF7F33" w:rsidRDefault="00973707" w:rsidP="00130EEF">
            <w:pPr>
              <w:spacing w:beforeLines="60" w:before="144" w:afterLines="60" w:after="144"/>
              <w:rPr>
                <w:rFonts w:ascii="Times New Roman" w:hAnsi="Times New Roman"/>
                <w:sz w:val="24"/>
              </w:rPr>
            </w:pPr>
            <w:r w:rsidRPr="00EF7F33">
              <w:rPr>
                <w:rFonts w:ascii="Times New Roman" w:hAnsi="Times New Roman"/>
                <w:sz w:val="24"/>
              </w:rPr>
              <w:t>Stupci 0130 i 0140: apsolutna vrijednost imovine i obveza po fer vrijednosti u</w:t>
            </w:r>
            <w:r w:rsidRPr="00EF7F33">
              <w:rPr>
                <w:rFonts w:ascii="Times New Roman" w:hAnsi="Times New Roman"/>
                <w:sz w:val="24"/>
              </w:rPr>
              <w:t>k</w:t>
            </w:r>
            <w:r w:rsidRPr="00EF7F33">
              <w:rPr>
                <w:rFonts w:ascii="Times New Roman" w:hAnsi="Times New Roman"/>
                <w:sz w:val="24"/>
              </w:rPr>
              <w:t>ljučene u opseg izračuna dodatnih prilagodbi vrednovanja za troškove investiranja i financiranja. Za potrebe izračuna ove dodatne prilagodbe vrednovanja, suprotne pozicije imovine i obveza po fer vrijednosti koje se u potpunosti podudaraju i</w:t>
            </w:r>
            <w:r w:rsidRPr="00EF7F33">
              <w:rPr>
                <w:rFonts w:ascii="Times New Roman" w:hAnsi="Times New Roman"/>
                <w:sz w:val="24"/>
              </w:rPr>
              <w:t>s</w:t>
            </w:r>
            <w:r w:rsidRPr="00EF7F33">
              <w:rPr>
                <w:rFonts w:ascii="Times New Roman" w:hAnsi="Times New Roman"/>
                <w:sz w:val="24"/>
              </w:rPr>
              <w:t>ključene iz izračuna praga u skladu s člankom 4. stavkom 2. Delegirane uredbe (EU) 2016/101 o bonitetnom vrednovanju ne moraju se više smatrati suprotnim pozicijama koje se u potpunosti podudaraju.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0070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OD ČEGA: VRIJEDNOST DODATNE PRILAGODBE VREDNOVANJA ZA KOJU SE PROCJENJUJE DA IZNOSI NULA U SKLADU S ČLA</w:t>
            </w:r>
            <w:r w:rsidRPr="00EF7F33">
              <w:rPr>
                <w:rFonts w:ascii="Times New Roman" w:hAnsi="Times New Roman"/>
                <w:b/>
                <w:sz w:val="24"/>
                <w:u w:val="single"/>
              </w:rPr>
              <w:t>N</w:t>
            </w:r>
            <w:r w:rsidRPr="00EF7F33">
              <w:rPr>
                <w:rFonts w:ascii="Times New Roman" w:hAnsi="Times New Roman"/>
                <w:b/>
                <w:sz w:val="24"/>
                <w:u w:val="single"/>
              </w:rPr>
              <w:t xml:space="preserve">KOM 9. STAVKOM 2.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lastRenderedPageBreak/>
              <w:t>Apsolutna vrijednost imovine i obveza po fer vrijednosti koje odgovaraju izlož</w:t>
            </w:r>
            <w:r w:rsidRPr="00EF7F33">
              <w:rPr>
                <w:rFonts w:ascii="Times New Roman" w:hAnsi="Times New Roman"/>
                <w:sz w:val="24"/>
              </w:rPr>
              <w:t>e</w:t>
            </w:r>
            <w:r w:rsidRPr="00EF7F33">
              <w:rPr>
                <w:rFonts w:ascii="Times New Roman" w:hAnsi="Times New Roman"/>
                <w:sz w:val="24"/>
              </w:rPr>
              <w:t>nostima vrednovanja za koje se procjenjuje da vrijednost dodatne prilagodbe vre</w:t>
            </w:r>
            <w:r w:rsidRPr="00EF7F33">
              <w:rPr>
                <w:rFonts w:ascii="Times New Roman" w:hAnsi="Times New Roman"/>
                <w:sz w:val="24"/>
              </w:rPr>
              <w:t>d</w:t>
            </w:r>
            <w:r w:rsidRPr="00EF7F33">
              <w:rPr>
                <w:rFonts w:ascii="Times New Roman" w:hAnsi="Times New Roman"/>
                <w:sz w:val="24"/>
              </w:rPr>
              <w:t xml:space="preserve">novanja iznosi nula u skladu s člankom 9. stavkom 2. Delegirane uredbe (EU) 2016/101 o bonitetnom vrednovanju.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0080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OD ČEGA: VRIJEDNOST DODATNE PRILAGODBE VREDNOVANJA ZA KOJU SE PROCJENJUJE DA IZNOSI NULA U SKLADU S ČLA</w:t>
            </w:r>
            <w:r w:rsidRPr="00EF7F33">
              <w:rPr>
                <w:rFonts w:ascii="Times New Roman" w:hAnsi="Times New Roman"/>
                <w:b/>
                <w:sz w:val="24"/>
                <w:u w:val="single"/>
              </w:rPr>
              <w:t>N</w:t>
            </w:r>
            <w:r w:rsidRPr="00EF7F33">
              <w:rPr>
                <w:rFonts w:ascii="Times New Roman" w:hAnsi="Times New Roman"/>
                <w:b/>
                <w:sz w:val="24"/>
                <w:u w:val="single"/>
              </w:rPr>
              <w:t xml:space="preserve">KOM 10. STAVKOM 2. I ČLANKOM 10. STAVKOM 3.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Apsolutna vrijednost imovine i obveza po fer vrijednosti koje odgovaraju izlož</w:t>
            </w:r>
            <w:r w:rsidRPr="00EF7F33">
              <w:rPr>
                <w:rFonts w:ascii="Times New Roman" w:hAnsi="Times New Roman"/>
                <w:sz w:val="24"/>
              </w:rPr>
              <w:t>e</w:t>
            </w:r>
            <w:r w:rsidRPr="00EF7F33">
              <w:rPr>
                <w:rFonts w:ascii="Times New Roman" w:hAnsi="Times New Roman"/>
                <w:sz w:val="24"/>
              </w:rPr>
              <w:t>nostima vrednovanja za koje se procjenjuje da vrijednost dodatne prilagodbe vre</w:t>
            </w:r>
            <w:r w:rsidRPr="00EF7F33">
              <w:rPr>
                <w:rFonts w:ascii="Times New Roman" w:hAnsi="Times New Roman"/>
                <w:sz w:val="24"/>
              </w:rPr>
              <w:t>d</w:t>
            </w:r>
            <w:r w:rsidRPr="00EF7F33">
              <w:rPr>
                <w:rFonts w:ascii="Times New Roman" w:hAnsi="Times New Roman"/>
                <w:sz w:val="24"/>
              </w:rPr>
              <w:t>novanja iznosi nula u skladu s člankom 10. stavkom 2. ili člankom 10. stavkom 3. Delegirane uredbe (EU) 2016/101 o bonitetnom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0090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1.1.1.1 KAMATNI RIZIK</w:t>
            </w:r>
          </w:p>
        </w:tc>
      </w:tr>
      <w:tr w:rsidR="00AF3D7A" w:rsidRPr="00EF7F33" w:rsidTr="00672D2A">
        <w:tc>
          <w:tcPr>
            <w:tcW w:w="1101" w:type="dxa"/>
          </w:tcPr>
          <w:p w:rsidR="00AF3D7A"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0100</w:t>
            </w:r>
          </w:p>
        </w:tc>
        <w:tc>
          <w:tcPr>
            <w:tcW w:w="8187" w:type="dxa"/>
          </w:tcPr>
          <w:p w:rsidR="00AF3D7A" w:rsidRPr="00EF7F33" w:rsidRDefault="00AF3D7A"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1.1.1.2 TEČAJNI RIZIK</w:t>
            </w:r>
          </w:p>
        </w:tc>
      </w:tr>
      <w:tr w:rsidR="00AF3D7A" w:rsidRPr="00EF7F33" w:rsidTr="00672D2A">
        <w:tc>
          <w:tcPr>
            <w:tcW w:w="1101" w:type="dxa"/>
          </w:tcPr>
          <w:p w:rsidR="00AF3D7A"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0110</w:t>
            </w:r>
          </w:p>
        </w:tc>
        <w:tc>
          <w:tcPr>
            <w:tcW w:w="8187" w:type="dxa"/>
          </w:tcPr>
          <w:p w:rsidR="00AF3D7A" w:rsidRPr="00EF7F33" w:rsidRDefault="00AF3D7A"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1.1.1.3 KREDITNI RIZIK</w:t>
            </w:r>
          </w:p>
        </w:tc>
      </w:tr>
      <w:tr w:rsidR="00AF3D7A" w:rsidRPr="00EF7F33" w:rsidTr="00672D2A">
        <w:tc>
          <w:tcPr>
            <w:tcW w:w="1101" w:type="dxa"/>
          </w:tcPr>
          <w:p w:rsidR="00AF3D7A"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0120</w:t>
            </w:r>
          </w:p>
        </w:tc>
        <w:tc>
          <w:tcPr>
            <w:tcW w:w="8187" w:type="dxa"/>
          </w:tcPr>
          <w:p w:rsidR="00AF3D7A" w:rsidRPr="00EF7F33" w:rsidRDefault="00AF3D7A"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1.1.1.4 RIZIK VLASNIČKIH INSTRUMENATA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0130</w:t>
            </w:r>
          </w:p>
        </w:tc>
        <w:tc>
          <w:tcPr>
            <w:tcW w:w="8187" w:type="dxa"/>
          </w:tcPr>
          <w:p w:rsidR="00973707" w:rsidRPr="00EF7F33" w:rsidRDefault="00973707" w:rsidP="00AF3D7A">
            <w:pPr>
              <w:spacing w:beforeLines="60" w:before="144" w:afterLines="60" w:after="144"/>
              <w:rPr>
                <w:rFonts w:ascii="Times New Roman" w:hAnsi="Times New Roman"/>
                <w:b/>
                <w:sz w:val="24"/>
                <w:u w:val="single"/>
              </w:rPr>
            </w:pPr>
            <w:r w:rsidRPr="00EF7F33">
              <w:rPr>
                <w:rFonts w:ascii="Times New Roman" w:hAnsi="Times New Roman"/>
                <w:b/>
                <w:sz w:val="24"/>
                <w:u w:val="single"/>
              </w:rPr>
              <w:t>1.1.1.5 ROBNI RIZIK</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0140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1.1.2 (–) Koristi diversifikacije</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Ukupna korist diversifikacije. Zbroj stupaca 0150 i 0160.</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0150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1.1.2.1 (-) Korist diversifikacije izračunana primjenom metode 1</w:t>
            </w:r>
          </w:p>
          <w:p w:rsidR="00973707" w:rsidRPr="00EF7F33" w:rsidRDefault="00973707" w:rsidP="00DD41BE">
            <w:pPr>
              <w:spacing w:beforeLines="60" w:before="144" w:afterLines="60" w:after="144"/>
              <w:rPr>
                <w:rFonts w:ascii="Times New Roman" w:hAnsi="Times New Roman"/>
                <w:sz w:val="24"/>
              </w:rPr>
            </w:pPr>
            <w:r w:rsidRPr="00EF7F33">
              <w:rPr>
                <w:rFonts w:ascii="Times New Roman" w:hAnsi="Times New Roman"/>
                <w:sz w:val="24"/>
              </w:rPr>
              <w:t>Za kategorije dodatnih prilagodbi vrednovanja agregiranih primjenom metode 1 u skladu s člankom 9. stavkom 6., člankom 10. stavkom 7. i člankom 11. stavkom 6. Delegirane uredbe (EU) 2016/101 o bonitetnom vrednovanju, razlika između zbr</w:t>
            </w:r>
            <w:r w:rsidRPr="00EF7F33">
              <w:rPr>
                <w:rFonts w:ascii="Times New Roman" w:hAnsi="Times New Roman"/>
                <w:sz w:val="24"/>
              </w:rPr>
              <w:t>o</w:t>
            </w:r>
            <w:r w:rsidRPr="00EF7F33">
              <w:rPr>
                <w:rFonts w:ascii="Times New Roman" w:hAnsi="Times New Roman"/>
                <w:sz w:val="24"/>
              </w:rPr>
              <w:t>ja pojedinačnih dodatnih prilagodbi vrednovanja i ukupne dodatne prilagodbe vr</w:t>
            </w:r>
            <w:r w:rsidRPr="00EF7F33">
              <w:rPr>
                <w:rFonts w:ascii="Times New Roman" w:hAnsi="Times New Roman"/>
                <w:sz w:val="24"/>
              </w:rPr>
              <w:t>e</w:t>
            </w:r>
            <w:r w:rsidRPr="00EF7F33">
              <w:rPr>
                <w:rFonts w:ascii="Times New Roman" w:hAnsi="Times New Roman"/>
                <w:sz w:val="24"/>
              </w:rPr>
              <w:t xml:space="preserve">dnovanja na razini kategorije nakon prilagodbe zbog agregiranja.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0160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1.1.2.2 (-) Korist diversifikacije izračunana primjenom metode 2</w:t>
            </w:r>
          </w:p>
          <w:p w:rsidR="00973707" w:rsidRPr="00EF7F33" w:rsidRDefault="00973707" w:rsidP="00DD41BE">
            <w:pPr>
              <w:spacing w:beforeLines="60" w:before="144" w:afterLines="60" w:after="144"/>
              <w:rPr>
                <w:rFonts w:ascii="Times New Roman" w:hAnsi="Times New Roman"/>
                <w:sz w:val="24"/>
              </w:rPr>
            </w:pPr>
            <w:r w:rsidRPr="00EF7F33">
              <w:rPr>
                <w:rFonts w:ascii="Times New Roman" w:hAnsi="Times New Roman"/>
                <w:sz w:val="24"/>
              </w:rPr>
              <w:t>Za kategorije dodatnih prilagodbi vrednovanja agregiranih primjenom metode 2 u skladu s člankom 9. stavkom 6., člankom 10. stavkom 7. i člankom 11. stavkom 6. Delegirane uredbe (EU) 2016/101 o bonitetnom vrednovanju, razlika između zbr</w:t>
            </w:r>
            <w:r w:rsidRPr="00EF7F33">
              <w:rPr>
                <w:rFonts w:ascii="Times New Roman" w:hAnsi="Times New Roman"/>
                <w:sz w:val="24"/>
              </w:rPr>
              <w:t>o</w:t>
            </w:r>
            <w:r w:rsidRPr="00EF7F33">
              <w:rPr>
                <w:rFonts w:ascii="Times New Roman" w:hAnsi="Times New Roman"/>
                <w:sz w:val="24"/>
              </w:rPr>
              <w:t>ja pojedinačnih dodatnih prilagodbi vrednovanja i ukupne dodatne prilagodbe vr</w:t>
            </w:r>
            <w:r w:rsidRPr="00EF7F33">
              <w:rPr>
                <w:rFonts w:ascii="Times New Roman" w:hAnsi="Times New Roman"/>
                <w:sz w:val="24"/>
              </w:rPr>
              <w:t>e</w:t>
            </w:r>
            <w:r w:rsidRPr="00EF7F33">
              <w:rPr>
                <w:rFonts w:ascii="Times New Roman" w:hAnsi="Times New Roman"/>
                <w:sz w:val="24"/>
              </w:rPr>
              <w:t>dnovanja na razini kategorije nakon prilagodbe zbog agregiranja.</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0170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1.1.2.2* Bilješka: dodatne prilagodbe vrednovanja prije primjene diversifikacije umanjene za više od 90 % na t</w:t>
            </w:r>
            <w:r w:rsidRPr="00EF7F33">
              <w:rPr>
                <w:rFonts w:ascii="Times New Roman" w:hAnsi="Times New Roman"/>
                <w:b/>
                <w:caps/>
                <w:sz w:val="24"/>
                <w:u w:val="single"/>
              </w:rPr>
              <w:t>e</w:t>
            </w:r>
            <w:r w:rsidRPr="00EF7F33">
              <w:rPr>
                <w:rFonts w:ascii="Times New Roman" w:hAnsi="Times New Roman"/>
                <w:b/>
                <w:caps/>
                <w:sz w:val="24"/>
                <w:u w:val="single"/>
              </w:rPr>
              <w:t xml:space="preserve">melju diversifikacije uz primjenu metode 2 </w:t>
            </w:r>
          </w:p>
          <w:p w:rsidR="00973707" w:rsidRPr="00EF7F33" w:rsidRDefault="00973707" w:rsidP="00DD41BE">
            <w:pPr>
              <w:spacing w:beforeLines="60" w:before="144" w:afterLines="60" w:after="144"/>
              <w:rPr>
                <w:rFonts w:ascii="Times New Roman" w:hAnsi="Times New Roman"/>
                <w:sz w:val="24"/>
              </w:rPr>
            </w:pPr>
            <w:r w:rsidRPr="00EF7F33">
              <w:rPr>
                <w:rFonts w:ascii="Times New Roman" w:hAnsi="Times New Roman"/>
                <w:sz w:val="24"/>
              </w:rPr>
              <w:t>U skladu s terminologijom metode 2 zbroj FV – PV za sve izloženosti vrednov</w:t>
            </w:r>
            <w:r w:rsidRPr="00EF7F33">
              <w:rPr>
                <w:rFonts w:ascii="Times New Roman" w:hAnsi="Times New Roman"/>
                <w:sz w:val="24"/>
              </w:rPr>
              <w:t>a</w:t>
            </w:r>
            <w:r w:rsidRPr="00EF7F33">
              <w:rPr>
                <w:rFonts w:ascii="Times New Roman" w:hAnsi="Times New Roman"/>
                <w:sz w:val="24"/>
              </w:rPr>
              <w:lastRenderedPageBreak/>
              <w:t>nja za koje je APVA &lt; 10% (FV – PV).</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lastRenderedPageBreak/>
              <w:t>0180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1.2 Portfelji izračunani u skladu sa zamjenskim prist</w:t>
            </w:r>
            <w:r w:rsidRPr="00EF7F33">
              <w:rPr>
                <w:rFonts w:ascii="Times New Roman" w:hAnsi="Times New Roman"/>
                <w:b/>
                <w:caps/>
                <w:sz w:val="24"/>
                <w:u w:val="single"/>
              </w:rPr>
              <w:t>u</w:t>
            </w:r>
            <w:r w:rsidRPr="00EF7F33">
              <w:rPr>
                <w:rFonts w:ascii="Times New Roman" w:hAnsi="Times New Roman"/>
                <w:b/>
                <w:caps/>
                <w:sz w:val="24"/>
                <w:u w:val="single"/>
              </w:rPr>
              <w:t xml:space="preserve">pom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Članak 7. stavak 2. točka (b) Delegirane uredbe (EU) 2016/101 o bonitetnom vr</w:t>
            </w:r>
            <w:r w:rsidRPr="00EF7F33">
              <w:rPr>
                <w:rFonts w:ascii="Times New Roman" w:hAnsi="Times New Roman"/>
                <w:sz w:val="24"/>
              </w:rPr>
              <w:t>e</w:t>
            </w:r>
            <w:r w:rsidRPr="00EF7F33">
              <w:rPr>
                <w:rFonts w:ascii="Times New Roman" w:hAnsi="Times New Roman"/>
                <w:sz w:val="24"/>
              </w:rPr>
              <w:t>dnovanju</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Kad je riječ o portfeljima na koje se primjenjuje zamjenski pristup u skladu s člankom 7. stavkom 2. točkom (b) Delegirane uredbe (EU) 2016/101 o bonitetnom vrednovanju, ukupna dodatna prilagodba vrednovanja izračunava se kao zbroj r</w:t>
            </w:r>
            <w:r w:rsidRPr="00EF7F33">
              <w:rPr>
                <w:rFonts w:ascii="Times New Roman" w:hAnsi="Times New Roman"/>
                <w:sz w:val="24"/>
              </w:rPr>
              <w:t>e</w:t>
            </w:r>
            <w:r w:rsidRPr="00EF7F33">
              <w:rPr>
                <w:rFonts w:ascii="Times New Roman" w:hAnsi="Times New Roman"/>
                <w:sz w:val="24"/>
              </w:rPr>
              <w:t xml:space="preserve">daka 0190, 0200 i 0210.  </w:t>
            </w:r>
          </w:p>
          <w:p w:rsidR="00973707" w:rsidRPr="00EF7F33" w:rsidRDefault="00973707" w:rsidP="00AF3D7A">
            <w:pPr>
              <w:spacing w:beforeLines="60" w:before="144" w:afterLines="60" w:after="144"/>
              <w:rPr>
                <w:rFonts w:ascii="Times New Roman" w:hAnsi="Times New Roman"/>
                <w:sz w:val="24"/>
              </w:rPr>
            </w:pPr>
            <w:r w:rsidRPr="00EF7F33">
              <w:rPr>
                <w:rFonts w:ascii="Times New Roman" w:hAnsi="Times New Roman"/>
                <w:sz w:val="24"/>
              </w:rPr>
              <w:t>Relevantne informacije o bilanci i ostale kontekstualne informacije navode se u stupcima 0130-0260.   Opis pozicija i objašnjenje zbog čega se nisu mogli prim</w:t>
            </w:r>
            <w:r w:rsidRPr="00EF7F33">
              <w:rPr>
                <w:rFonts w:ascii="Times New Roman" w:hAnsi="Times New Roman"/>
                <w:sz w:val="24"/>
              </w:rPr>
              <w:t>i</w:t>
            </w:r>
            <w:r w:rsidRPr="00EF7F33">
              <w:rPr>
                <w:rFonts w:ascii="Times New Roman" w:hAnsi="Times New Roman"/>
                <w:sz w:val="24"/>
              </w:rPr>
              <w:t>jeniti članci od 9. do 17. Delegirane uredbe (EU) 2016/101 o bonitetnom vredn</w:t>
            </w:r>
            <w:r w:rsidRPr="00EF7F33">
              <w:rPr>
                <w:rFonts w:ascii="Times New Roman" w:hAnsi="Times New Roman"/>
                <w:sz w:val="24"/>
              </w:rPr>
              <w:t>o</w:t>
            </w:r>
            <w:r w:rsidRPr="00EF7F33">
              <w:rPr>
                <w:rFonts w:ascii="Times New Roman" w:hAnsi="Times New Roman"/>
                <w:sz w:val="24"/>
              </w:rPr>
              <w:t xml:space="preserve">vanju navode se u stupcu 0270. </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0190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1.2.1 Zamjenski pristup; 100 % iznosa nerealizirane dobiti</w:t>
            </w:r>
          </w:p>
          <w:p w:rsidR="00973707" w:rsidRPr="00EF7F33" w:rsidRDefault="00973707" w:rsidP="009A7A38">
            <w:pPr>
              <w:spacing w:beforeLines="60" w:before="144" w:afterLines="60" w:after="144"/>
              <w:rPr>
                <w:rFonts w:ascii="Times New Roman" w:hAnsi="Times New Roman"/>
                <w:sz w:val="24"/>
              </w:rPr>
            </w:pPr>
            <w:r w:rsidRPr="00EF7F33">
              <w:rPr>
                <w:rFonts w:ascii="Times New Roman" w:hAnsi="Times New Roman"/>
                <w:sz w:val="24"/>
              </w:rPr>
              <w:t>Članak 7. stavak 2. točka (b) podtočka i. Delegirane uredbe (EU) 2016/101 o bon</w:t>
            </w:r>
            <w:r w:rsidRPr="00EF7F33">
              <w:rPr>
                <w:rFonts w:ascii="Times New Roman" w:hAnsi="Times New Roman"/>
                <w:sz w:val="24"/>
              </w:rPr>
              <w:t>i</w:t>
            </w:r>
            <w:r w:rsidRPr="00EF7F33">
              <w:rPr>
                <w:rFonts w:ascii="Times New Roman" w:hAnsi="Times New Roman"/>
                <w:sz w:val="24"/>
              </w:rPr>
              <w:t>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0200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1.2.2 Zamjenski pristup; 10 % zamišljene vrijednosti</w:t>
            </w:r>
          </w:p>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Članak 7. stavak 2. točka (b) podtočka ii. Delegirane uredbe (EU) 2016/101 o b</w:t>
            </w:r>
            <w:r w:rsidRPr="00EF7F33">
              <w:rPr>
                <w:rFonts w:ascii="Times New Roman" w:hAnsi="Times New Roman"/>
                <w:sz w:val="24"/>
              </w:rPr>
              <w:t>o</w:t>
            </w:r>
            <w:r w:rsidRPr="00EF7F33">
              <w:rPr>
                <w:rFonts w:ascii="Times New Roman" w:hAnsi="Times New Roman"/>
                <w:sz w:val="24"/>
              </w:rPr>
              <w:t>nitetnom vrednovanju</w:t>
            </w:r>
          </w:p>
        </w:tc>
      </w:tr>
      <w:tr w:rsidR="00973707" w:rsidRPr="00EF7F33" w:rsidTr="00672D2A">
        <w:tc>
          <w:tcPr>
            <w:tcW w:w="1101" w:type="dxa"/>
          </w:tcPr>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0210</w:t>
            </w:r>
          </w:p>
        </w:tc>
        <w:tc>
          <w:tcPr>
            <w:tcW w:w="8187" w:type="dxa"/>
          </w:tcPr>
          <w:p w:rsidR="00973707" w:rsidRPr="00EF7F33" w:rsidRDefault="00973707" w:rsidP="00AF3D7A">
            <w:pPr>
              <w:spacing w:beforeLines="60" w:before="144" w:afterLines="60" w:after="144"/>
              <w:rPr>
                <w:rFonts w:ascii="Times New Roman" w:hAnsi="Times New Roman"/>
                <w:b/>
                <w:caps/>
                <w:sz w:val="24"/>
                <w:u w:val="single"/>
              </w:rPr>
            </w:pPr>
            <w:r w:rsidRPr="00EF7F33">
              <w:rPr>
                <w:rFonts w:ascii="Times New Roman" w:hAnsi="Times New Roman"/>
                <w:b/>
                <w:caps/>
                <w:sz w:val="24"/>
                <w:u w:val="single"/>
              </w:rPr>
              <w:t xml:space="preserve">1.2.3 Zamjenski pristup; 25 % početne vrijednosti </w:t>
            </w:r>
          </w:p>
          <w:p w:rsidR="00973707" w:rsidRPr="00EF7F33" w:rsidRDefault="009A7A38" w:rsidP="00AF3D7A">
            <w:pPr>
              <w:spacing w:beforeLines="60" w:before="144" w:afterLines="60" w:after="144"/>
              <w:rPr>
                <w:rFonts w:ascii="Times New Roman" w:hAnsi="Times New Roman"/>
                <w:sz w:val="24"/>
              </w:rPr>
            </w:pPr>
            <w:r w:rsidRPr="00EF7F33">
              <w:rPr>
                <w:rFonts w:ascii="Times New Roman" w:hAnsi="Times New Roman"/>
                <w:sz w:val="24"/>
              </w:rPr>
              <w:t>Članak 7. stavak 2. točka (b) podtočka iii. Delegirane uredbe (EU) 2016/101 o b</w:t>
            </w:r>
            <w:r w:rsidRPr="00EF7F33">
              <w:rPr>
                <w:rFonts w:ascii="Times New Roman" w:hAnsi="Times New Roman"/>
                <w:sz w:val="24"/>
              </w:rPr>
              <w:t>o</w:t>
            </w:r>
            <w:r w:rsidRPr="00EF7F33">
              <w:rPr>
                <w:rFonts w:ascii="Times New Roman" w:hAnsi="Times New Roman"/>
                <w:sz w:val="24"/>
              </w:rPr>
              <w:t>nitetnom vrednovanju</w:t>
            </w:r>
          </w:p>
        </w:tc>
      </w:tr>
    </w:tbl>
    <w:p w:rsidR="00973707" w:rsidRPr="00EF7F33" w:rsidRDefault="00973707" w:rsidP="00C61FF5">
      <w:pPr>
        <w:rPr>
          <w:rStyle w:val="InstructionsTabelleText"/>
          <w:rFonts w:ascii="Times New Roman" w:hAnsi="Times New Roman"/>
          <w:sz w:val="24"/>
        </w:rPr>
      </w:pPr>
    </w:p>
    <w:p w:rsidR="00B93FA1" w:rsidRPr="00EF7F33"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998205"/>
      <w:r w:rsidRPr="00EF7F33">
        <w:rPr>
          <w:rFonts w:ascii="Times New Roman" w:hAnsi="Times New Roman"/>
          <w:sz w:val="24"/>
          <w:u w:val="none"/>
        </w:rPr>
        <w:t xml:space="preserve">6.3. </w:t>
      </w:r>
      <w:r w:rsidRPr="00EF7F33">
        <w:rPr>
          <w:rFonts w:ascii="Times New Roman" w:hAnsi="Times New Roman"/>
          <w:sz w:val="24"/>
        </w:rPr>
        <w:t>C 32.03 – Bonitetno vrednovanje</w:t>
      </w:r>
      <w:r w:rsidR="009C44D9">
        <w:rPr>
          <w:rFonts w:ascii="Times New Roman" w:hAnsi="Times New Roman"/>
          <w:sz w:val="24"/>
        </w:rPr>
        <w:t>:</w:t>
      </w:r>
      <w:r w:rsidRPr="00EF7F33">
        <w:rPr>
          <w:rFonts w:ascii="Times New Roman" w:hAnsi="Times New Roman"/>
          <w:sz w:val="24"/>
        </w:rPr>
        <w:t xml:space="preserve"> </w:t>
      </w:r>
      <w:r w:rsidR="009C44D9">
        <w:rPr>
          <w:rFonts w:ascii="Times New Roman" w:hAnsi="Times New Roman"/>
          <w:sz w:val="24"/>
        </w:rPr>
        <w:t>d</w:t>
      </w:r>
      <w:r w:rsidRPr="00EF7F33">
        <w:rPr>
          <w:rFonts w:ascii="Times New Roman" w:hAnsi="Times New Roman"/>
          <w:sz w:val="24"/>
        </w:rPr>
        <w:t>odatna prilagodba vrednovanja za rizik modela (Pr</w:t>
      </w:r>
      <w:r w:rsidRPr="00EF7F33">
        <w:rPr>
          <w:rFonts w:ascii="Times New Roman" w:hAnsi="Times New Roman"/>
          <w:sz w:val="24"/>
        </w:rPr>
        <w:t>u</w:t>
      </w:r>
      <w:r w:rsidRPr="00EF7F33">
        <w:rPr>
          <w:rFonts w:ascii="Times New Roman" w:hAnsi="Times New Roman"/>
          <w:sz w:val="24"/>
        </w:rPr>
        <w:t>Val 3)</w:t>
      </w:r>
      <w:bookmarkEnd w:id="789"/>
      <w:bookmarkEnd w:id="790"/>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998206"/>
      <w:r w:rsidRPr="00EF7F33">
        <w:rPr>
          <w:rFonts w:ascii="Times New Roman" w:hAnsi="Times New Roman"/>
          <w:sz w:val="24"/>
          <w:u w:val="none"/>
        </w:rPr>
        <w:t>6.3.1.</w:t>
      </w:r>
      <w:r w:rsidRPr="00EF7F33">
        <w:tab/>
      </w:r>
      <w:r w:rsidRPr="00EF7F33">
        <w:rPr>
          <w:rFonts w:ascii="Times New Roman" w:hAnsi="Times New Roman"/>
          <w:sz w:val="24"/>
        </w:rPr>
        <w:t>Opće napomene</w:t>
      </w:r>
      <w:bookmarkEnd w:id="791"/>
      <w:bookmarkEnd w:id="792"/>
      <w:r w:rsidRPr="00EF7F33">
        <w:rPr>
          <w:rFonts w:ascii="Times New Roman" w:hAnsi="Times New Roman"/>
          <w:sz w:val="24"/>
          <w:u w:val="none"/>
        </w:rPr>
        <w:t xml:space="preserve"> </w:t>
      </w:r>
    </w:p>
    <w:p w:rsidR="00AF3D7A" w:rsidRPr="00EF7F33" w:rsidRDefault="00AF3D7A" w:rsidP="001A3980">
      <w:pPr>
        <w:pStyle w:val="InstructionsText2"/>
        <w:numPr>
          <w:ilvl w:val="0"/>
          <w:numId w:val="0"/>
        </w:numPr>
        <w:ind w:left="993"/>
      </w:pPr>
      <w:r w:rsidRPr="00EF7F33">
        <w:t>154f. Ovaj obrazac popunjavaju samo institucije koje na pojedinačnoj razini prem</w:t>
      </w:r>
      <w:r w:rsidRPr="00EF7F33">
        <w:t>a</w:t>
      </w:r>
      <w:r w:rsidRPr="00EF7F33">
        <w:t>šuju prag iz članka 4. stavka 1. Delegirane uredbe (EU) 2016/101 o bonitetnom vrednovanju. Institucije koje su dio grupe koja na konsolidiranoj osnovi premašuje prag moraju izvješćivati u ovom obrascu samo ako i one na pojedinačnoj razini premašuju prag.</w:t>
      </w:r>
    </w:p>
    <w:p w:rsidR="00AF3D7A" w:rsidRPr="00EF7F33" w:rsidRDefault="00AF3D7A" w:rsidP="001A3980">
      <w:pPr>
        <w:pStyle w:val="InstructionsText2"/>
        <w:numPr>
          <w:ilvl w:val="0"/>
          <w:numId w:val="0"/>
        </w:numPr>
        <w:ind w:left="993"/>
      </w:pPr>
      <w:r w:rsidRPr="00EF7F33">
        <w:t>154g. Ovaj se obrazac koristi za izvješćivanje o 20 najvećih pojedinačnih dodatnih prilagodbi vrednovanja za rizik modela u pogledu iznosa dodatne prilagodbe vre</w:t>
      </w:r>
      <w:r w:rsidRPr="00EF7F33">
        <w:t>d</w:t>
      </w:r>
      <w:r w:rsidRPr="00EF7F33">
        <w:t>novanja koje pridonose ukupnoj dodatnoj prilagodbi vrednovanja na razini kateg</w:t>
      </w:r>
      <w:r w:rsidRPr="00EF7F33">
        <w:t>o</w:t>
      </w:r>
      <w:r w:rsidRPr="00EF7F33">
        <w:t>rije za rizik modela izračunanoj u skladu s člankom 11. Delegirane uredbe (EU) 2016/101 o bonitetnom vrednovanju. Te informacije odgovaraju informacijama i</w:t>
      </w:r>
      <w:r w:rsidRPr="00EF7F33">
        <w:t>s</w:t>
      </w:r>
      <w:r w:rsidRPr="00EF7F33">
        <w:t>kazanima u stupcu 0050 iz obrasca C 32.02.</w:t>
      </w:r>
    </w:p>
    <w:p w:rsidR="00AF3D7A" w:rsidRPr="00EF7F33" w:rsidRDefault="00AF3D7A" w:rsidP="001A3980">
      <w:pPr>
        <w:pStyle w:val="InstructionsText2"/>
        <w:numPr>
          <w:ilvl w:val="0"/>
          <w:numId w:val="0"/>
        </w:numPr>
        <w:ind w:left="993"/>
      </w:pPr>
      <w:r w:rsidRPr="00EF7F33">
        <w:lastRenderedPageBreak/>
        <w:t xml:space="preserve">154h. 20 najvećih pojedinačnih dodatnih prilagodbi vrednovanja za rizik modela i odgovarajuće informacije o proizvodima iskazuju se padajućim slijedom počevši od najveće pojedinačne dodatne prilagodbe vrednovanja za rizik modela.   </w:t>
      </w:r>
    </w:p>
    <w:p w:rsidR="00AF3D7A" w:rsidRPr="00EF7F33" w:rsidRDefault="00AF3D7A" w:rsidP="001A3980">
      <w:pPr>
        <w:pStyle w:val="InstructionsText2"/>
        <w:numPr>
          <w:ilvl w:val="0"/>
          <w:numId w:val="0"/>
        </w:numPr>
        <w:ind w:left="993"/>
      </w:pPr>
      <w:r w:rsidRPr="00EF7F33">
        <w:t>154i. Proizvodi koji odgovaraju tim najvećim pojedinačnim dodatnim prilagodb</w:t>
      </w:r>
      <w:r w:rsidRPr="00EF7F33">
        <w:t>a</w:t>
      </w:r>
      <w:r w:rsidRPr="00EF7F33">
        <w:t xml:space="preserve">ma vrednovanja za rizik modela iskazuju se upotrebom popisa proizvoda koji se propisuje člankom 19. stavkom 3. točkom (a) Delegirane uredbe (EU) 2016/101 o bonitetnom vrednovanju.    </w:t>
      </w:r>
    </w:p>
    <w:p w:rsidR="00AF3D7A" w:rsidRPr="00EF7F33" w:rsidRDefault="00113E45" w:rsidP="001A3980">
      <w:pPr>
        <w:pStyle w:val="InstructionsText2"/>
        <w:numPr>
          <w:ilvl w:val="0"/>
          <w:numId w:val="0"/>
        </w:numPr>
        <w:ind w:left="993"/>
      </w:pPr>
      <w:r w:rsidRPr="00EF7F33">
        <w:t>154j. Ako su proizvodi dovoljno homogeni u odnosu na model vrednovanja i dod</w:t>
      </w:r>
      <w:r w:rsidRPr="00EF7F33">
        <w:t>a</w:t>
      </w:r>
      <w:r w:rsidRPr="00EF7F33">
        <w:t>tnu prilagodbu vrednovanja za model rizika, oni se povezuju i prikazuju u jednoj stavci kako bi se u ovom obrascu u najvećoj mjeri obuhvatila ukupna dodatna pr</w:t>
      </w:r>
      <w:r w:rsidRPr="00EF7F33">
        <w:t>i</w:t>
      </w:r>
      <w:r w:rsidRPr="00EF7F33">
        <w:t xml:space="preserve">lagodba na razini kategorije za rizik modela koja se odnosi na pojedinu instituciju.   </w:t>
      </w:r>
    </w:p>
    <w:p w:rsidR="00B93FA1" w:rsidRPr="00EF7F33"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998207"/>
      <w:r w:rsidRPr="00EF7F33">
        <w:rPr>
          <w:rFonts w:ascii="Times New Roman" w:hAnsi="Times New Roman"/>
          <w:sz w:val="24"/>
          <w:u w:val="none"/>
        </w:rPr>
        <w:t>6.3.2.</w:t>
      </w:r>
      <w:r w:rsidRPr="00EF7F33">
        <w:tab/>
      </w:r>
      <w:r w:rsidRPr="00EF7F33">
        <w:rPr>
          <w:rFonts w:ascii="Times New Roman" w:hAnsi="Times New Roman"/>
          <w:sz w:val="24"/>
        </w:rPr>
        <w:t>Upute za specifične pozicije</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EF7F33" w:rsidTr="00672D2A">
        <w:tc>
          <w:tcPr>
            <w:tcW w:w="9322" w:type="dxa"/>
            <w:gridSpan w:val="2"/>
            <w:shd w:val="clear" w:color="auto" w:fill="CCCCCC"/>
          </w:tcPr>
          <w:p w:rsidR="00113E45" w:rsidRPr="00EF7F33" w:rsidRDefault="00113E45" w:rsidP="00E60B53">
            <w:pPr>
              <w:spacing w:beforeLines="60" w:before="144" w:afterLines="60" w:after="144"/>
              <w:rPr>
                <w:rFonts w:ascii="Times New Roman" w:hAnsi="Times New Roman"/>
                <w:b/>
                <w:sz w:val="24"/>
              </w:rPr>
            </w:pPr>
            <w:r w:rsidRPr="00EF7F33">
              <w:rPr>
                <w:rFonts w:ascii="Times New Roman" w:hAnsi="Times New Roman"/>
                <w:b/>
                <w:sz w:val="24"/>
              </w:rPr>
              <w:t>Stupci</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0005</w:t>
            </w:r>
          </w:p>
        </w:tc>
        <w:tc>
          <w:tcPr>
            <w:tcW w:w="8221"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POREDAK</w:t>
            </w:r>
          </w:p>
          <w:p w:rsidR="00113E45" w:rsidRPr="00EF7F33" w:rsidRDefault="00113E45" w:rsidP="00113E45">
            <w:pPr>
              <w:spacing w:beforeLines="60" w:before="144" w:afterLines="60" w:after="144"/>
              <w:rPr>
                <w:rFonts w:ascii="Times New Roman" w:hAnsi="Times New Roman"/>
                <w:b/>
                <w:sz w:val="24"/>
                <w:u w:val="single"/>
              </w:rPr>
            </w:pPr>
            <w:r w:rsidRPr="00EF7F33">
              <w:rPr>
                <w:rFonts w:ascii="Times New Roman" w:hAnsi="Times New Roman"/>
                <w:sz w:val="24"/>
              </w:rPr>
              <w:t>Poredak je identifikator retka i jedinstven je za svaki redak u tablici. On slijedi numerički redoslijed 1, 2, 3 itd. pri čemu se 1 dodjeljuje najvećoj pojedinačnoj d</w:t>
            </w:r>
            <w:r w:rsidRPr="00EF7F33">
              <w:rPr>
                <w:rFonts w:ascii="Times New Roman" w:hAnsi="Times New Roman"/>
                <w:sz w:val="24"/>
              </w:rPr>
              <w:t>o</w:t>
            </w:r>
            <w:r w:rsidRPr="00EF7F33">
              <w:rPr>
                <w:rFonts w:ascii="Times New Roman" w:hAnsi="Times New Roman"/>
                <w:sz w:val="24"/>
              </w:rPr>
              <w:t xml:space="preserve">datnoj prilagodbi vrednovanja za rizik modela, 2 drugoj po veličini i tako dalje.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0010</w:t>
            </w:r>
          </w:p>
        </w:tc>
        <w:tc>
          <w:tcPr>
            <w:tcW w:w="8221"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MODEL</w:t>
            </w:r>
          </w:p>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sz w:val="24"/>
              </w:rPr>
              <w:t xml:space="preserve">Interni naziv (alfanumerički) modela koji institucija upotrebljava za identifikaciju modela.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0020</w:t>
            </w:r>
          </w:p>
        </w:tc>
        <w:tc>
          <w:tcPr>
            <w:tcW w:w="8221"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KATEGORIJA RIZIKA</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Kategorija rizika (kamatni, tečajni i kreditni rizik, rizik vlasničkih instrumenata, robni rizik) koja najprikladnije obilježava proizvod ili skupinu proizvoda koji d</w:t>
            </w:r>
            <w:r w:rsidRPr="00EF7F33">
              <w:rPr>
                <w:rFonts w:ascii="Times New Roman" w:hAnsi="Times New Roman"/>
                <w:sz w:val="24"/>
              </w:rPr>
              <w:t>o</w:t>
            </w:r>
            <w:r w:rsidRPr="00EF7F33">
              <w:rPr>
                <w:rFonts w:ascii="Times New Roman" w:hAnsi="Times New Roman"/>
                <w:sz w:val="24"/>
              </w:rPr>
              <w:t>vode do prilagodbe vrednovanja za rizik modela.</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Institucije iskazuju sljedeće oznake:</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IR – kamatni rizik</w:t>
            </w:r>
          </w:p>
          <w:p w:rsidR="00A74B40" w:rsidRPr="00EF7F33" w:rsidRDefault="00A74B40" w:rsidP="00E60B53">
            <w:pPr>
              <w:spacing w:beforeLines="60" w:before="144" w:afterLines="60" w:after="144"/>
              <w:rPr>
                <w:rFonts w:ascii="Times New Roman" w:hAnsi="Times New Roman"/>
                <w:sz w:val="24"/>
              </w:rPr>
            </w:pPr>
            <w:r w:rsidRPr="00EF7F33">
              <w:rPr>
                <w:rFonts w:ascii="Times New Roman" w:hAnsi="Times New Roman"/>
                <w:sz w:val="24"/>
              </w:rPr>
              <w:t>FX – tečajni rizik</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CR – kreditni rizik</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EQ – rizik vlasničkih instrumenata</w:t>
            </w:r>
          </w:p>
          <w:p w:rsidR="00113E45" w:rsidRPr="00EF7F33" w:rsidRDefault="00113E45" w:rsidP="00A74B40">
            <w:pPr>
              <w:spacing w:beforeLines="60" w:before="144" w:afterLines="60" w:after="144"/>
              <w:rPr>
                <w:rFonts w:ascii="Times New Roman" w:hAnsi="Times New Roman"/>
                <w:sz w:val="24"/>
              </w:rPr>
            </w:pPr>
            <w:r w:rsidRPr="00EF7F33">
              <w:rPr>
                <w:rFonts w:ascii="Times New Roman" w:hAnsi="Times New Roman"/>
                <w:sz w:val="24"/>
              </w:rPr>
              <w:t>CO – robni rizik</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0030</w:t>
            </w:r>
          </w:p>
        </w:tc>
        <w:tc>
          <w:tcPr>
            <w:tcW w:w="8221"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PROIZVOD</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Interni naziv (alfanumerički) proizvoda ili skupine proizvoda u skladu s popisom proizvoda koji se propisuje člankom 19. stavkom 3. točkom (a) Delegirane uredbe (EU) 2016/101 o bonitetnom vrednovanju. koji se vrednuje upotrebom modela.</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0040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ZABILJEŽENOST CIJENA</w:t>
            </w:r>
          </w:p>
          <w:p w:rsidR="00113E45" w:rsidRPr="00EF7F33" w:rsidRDefault="00113E45" w:rsidP="00E60B53">
            <w:pPr>
              <w:pStyle w:val="CommentText"/>
              <w:rPr>
                <w:rFonts w:ascii="Times New Roman" w:hAnsi="Times New Roman"/>
                <w:sz w:val="24"/>
                <w:szCs w:val="24"/>
              </w:rPr>
            </w:pPr>
            <w:r w:rsidRPr="00EF7F33">
              <w:rPr>
                <w:rFonts w:ascii="Times New Roman" w:hAnsi="Times New Roman"/>
                <w:sz w:val="24"/>
              </w:rPr>
              <w:lastRenderedPageBreak/>
              <w:t>Broj zabilježenih cijena proizvoda ili skupine proizvoda u zadnjih dvanaest mjes</w:t>
            </w:r>
            <w:r w:rsidRPr="00EF7F33">
              <w:rPr>
                <w:rFonts w:ascii="Times New Roman" w:hAnsi="Times New Roman"/>
                <w:sz w:val="24"/>
              </w:rPr>
              <w:t>e</w:t>
            </w:r>
            <w:r w:rsidRPr="00EF7F33">
              <w:rPr>
                <w:rFonts w:ascii="Times New Roman" w:hAnsi="Times New Roman"/>
                <w:sz w:val="24"/>
              </w:rPr>
              <w:t>ci koje ispunjavaju jedan od sljedećih kriterija:</w:t>
            </w:r>
          </w:p>
          <w:p w:rsidR="00113E45" w:rsidRPr="00EF7F33" w:rsidRDefault="00113E45" w:rsidP="00113E45">
            <w:pPr>
              <w:pStyle w:val="CommentText"/>
              <w:numPr>
                <w:ilvl w:val="0"/>
                <w:numId w:val="57"/>
              </w:numPr>
              <w:rPr>
                <w:rFonts w:ascii="Times New Roman" w:hAnsi="Times New Roman"/>
                <w:sz w:val="24"/>
                <w:szCs w:val="24"/>
              </w:rPr>
            </w:pPr>
            <w:r w:rsidRPr="00EF7F33">
              <w:rPr>
                <w:rFonts w:ascii="Times New Roman" w:hAnsi="Times New Roman"/>
                <w:sz w:val="24"/>
              </w:rPr>
              <w:t xml:space="preserve">zabilježena cijena jednaka je cijeni po kojoj je institucija izvršila transakciju </w:t>
            </w:r>
          </w:p>
          <w:p w:rsidR="00113E45" w:rsidRPr="00EF7F33" w:rsidRDefault="00113E45" w:rsidP="00113E45">
            <w:pPr>
              <w:pStyle w:val="CommentText"/>
              <w:numPr>
                <w:ilvl w:val="0"/>
                <w:numId w:val="57"/>
              </w:numPr>
              <w:rPr>
                <w:rFonts w:ascii="Times New Roman" w:hAnsi="Times New Roman"/>
                <w:sz w:val="24"/>
                <w:szCs w:val="24"/>
              </w:rPr>
            </w:pPr>
            <w:r w:rsidRPr="00EF7F33">
              <w:rPr>
                <w:rFonts w:ascii="Times New Roman" w:hAnsi="Times New Roman"/>
                <w:sz w:val="24"/>
              </w:rPr>
              <w:t>riječ je o provjerljivoj cijeni transakcije između trećih strana</w:t>
            </w:r>
          </w:p>
          <w:p w:rsidR="00113E45" w:rsidRPr="00EF7F33" w:rsidRDefault="00113E45" w:rsidP="00113E45">
            <w:pPr>
              <w:pStyle w:val="CommentText"/>
              <w:numPr>
                <w:ilvl w:val="0"/>
                <w:numId w:val="57"/>
              </w:numPr>
              <w:rPr>
                <w:rFonts w:ascii="Times New Roman" w:hAnsi="Times New Roman"/>
                <w:sz w:val="24"/>
                <w:szCs w:val="24"/>
              </w:rPr>
            </w:pPr>
            <w:r w:rsidRPr="00EF7F33">
              <w:rPr>
                <w:rFonts w:ascii="Times New Roman" w:hAnsi="Times New Roman"/>
                <w:sz w:val="24"/>
              </w:rPr>
              <w:t>cijena dobivena iz ugovorene kotacije.</w:t>
            </w:r>
          </w:p>
          <w:p w:rsidR="00113E45" w:rsidRPr="00EF7F33" w:rsidRDefault="00113E45" w:rsidP="008136B4">
            <w:pPr>
              <w:pStyle w:val="CommentText"/>
              <w:rPr>
                <w:rStyle w:val="InstructionsTabelleberschrift"/>
                <w:rFonts w:ascii="Times New Roman" w:hAnsi="Times New Roman"/>
                <w:b w:val="0"/>
                <w:sz w:val="24"/>
                <w:szCs w:val="24"/>
                <w:u w:val="none"/>
              </w:rPr>
            </w:pPr>
            <w:r w:rsidRPr="00EF7F33">
              <w:rPr>
                <w:rFonts w:ascii="Times New Roman" w:hAnsi="Times New Roman"/>
                <w:sz w:val="24"/>
              </w:rPr>
              <w:t>Institucije iskazuju jednu od sljedećih vrijednosti: „nema vrijednosti”, „1–6”, „6–24”, „24–100”, „100+”.</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lastRenderedPageBreak/>
              <w:t>0050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DODATNA PRILAGODBA VREDNOVANJA ZA RIZIK MODELA</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Članak 11. stavak 1. Delegirane uredbe (EU) 2016/101 o bonitetnom vrednovanju. </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Pojedinačna dodatna prilagodba vrednovanja za rizik modela prije primjene koristi diversifikacije, ali nakon netiranja portfelja ako je relevantno.</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0060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OD ČEGA: NA TEMELJU PRIMJENE PRISTUPA TEMELJENOG NA STRUČNOJ PROCJENI</w:t>
            </w:r>
          </w:p>
          <w:p w:rsidR="00113E45" w:rsidRPr="00EF7F33" w:rsidRDefault="00113E45" w:rsidP="00E60B53">
            <w:pPr>
              <w:spacing w:beforeLines="60" w:before="144" w:afterLines="60" w:after="144"/>
              <w:rPr>
                <w:rStyle w:val="InstructionsTabelleberschrift"/>
                <w:rFonts w:ascii="Times New Roman" w:hAnsi="Times New Roman"/>
                <w:sz w:val="24"/>
                <w:u w:val="none"/>
              </w:rPr>
            </w:pPr>
            <w:r w:rsidRPr="00EF7F33">
              <w:rPr>
                <w:rFonts w:ascii="Times New Roman" w:hAnsi="Times New Roman"/>
                <w:sz w:val="24"/>
              </w:rPr>
              <w:t>Iznosi u stupcu 0050 izračunani u skladu s pristupom temeljenim na stručnoj pro</w:t>
            </w:r>
            <w:r w:rsidRPr="00EF7F33">
              <w:rPr>
                <w:rFonts w:ascii="Times New Roman" w:hAnsi="Times New Roman"/>
                <w:sz w:val="24"/>
              </w:rPr>
              <w:t>c</w:t>
            </w:r>
            <w:r w:rsidRPr="00EF7F33">
              <w:rPr>
                <w:rFonts w:ascii="Times New Roman" w:hAnsi="Times New Roman"/>
                <w:sz w:val="24"/>
              </w:rPr>
              <w:t>jeni kako je definirano u članku 11. stavku 4. Delegirane uredbe (EU) 2016/101 o bonitetnom vrednovanju.</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0070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OD ČEGA: AGREGIRANA NA TEMELJU PRIMJENE METODE 2</w:t>
            </w:r>
          </w:p>
          <w:p w:rsidR="00113E45" w:rsidRPr="00EF7F33" w:rsidRDefault="00113E45" w:rsidP="008136B4">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Iznosi u stupcu 0050 agregirani na temelju primjene metode 2 iz Priloga Delegir</w:t>
            </w:r>
            <w:r w:rsidRPr="00EF7F33">
              <w:rPr>
                <w:rFonts w:ascii="Times New Roman" w:hAnsi="Times New Roman"/>
                <w:sz w:val="24"/>
              </w:rPr>
              <w:t>a</w:t>
            </w:r>
            <w:r w:rsidRPr="00EF7F33">
              <w:rPr>
                <w:rFonts w:ascii="Times New Roman" w:hAnsi="Times New Roman"/>
                <w:sz w:val="24"/>
              </w:rPr>
              <w:t xml:space="preserve">noj uredbi (EU) 2016/101 o bonitetnom vrednovanju. U skladu s terminologijom iz Priloga to odgovara FV – PV.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0080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AGREGIRANA DODATNA PRILAGODBA VREDNOVANJA NA TEM</w:t>
            </w:r>
            <w:r w:rsidRPr="00EF7F33">
              <w:rPr>
                <w:rStyle w:val="InstructionsTabelleberschrift"/>
                <w:rFonts w:ascii="Times New Roman" w:hAnsi="Times New Roman"/>
                <w:sz w:val="24"/>
              </w:rPr>
              <w:t>E</w:t>
            </w:r>
            <w:r w:rsidRPr="00EF7F33">
              <w:rPr>
                <w:rStyle w:val="InstructionsTabelleberschrift"/>
                <w:rFonts w:ascii="Times New Roman" w:hAnsi="Times New Roman"/>
                <w:sz w:val="24"/>
              </w:rPr>
              <w:t xml:space="preserve">LJU PRIMJENE METODE 2 </w:t>
            </w:r>
          </w:p>
          <w:p w:rsidR="00113E45" w:rsidRPr="00EF7F33" w:rsidRDefault="00113E45" w:rsidP="00D73470">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Doprinos pojedinačnih dodatnih prilagodbi vrednovanja za rizik modela agregir</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nih na temelju primjene metode 2 iz Priloga Delegiranoj uredbi (EU) 2016/101 o bonitetnom vrednovanju ukupnoj dodatnoj prilagodbi vrednovanja na razini kat</w:t>
            </w:r>
            <w:r w:rsidRPr="00EF7F33">
              <w:rPr>
                <w:rStyle w:val="InstructionsTabelleberschrift"/>
                <w:rFonts w:ascii="Times New Roman" w:hAnsi="Times New Roman"/>
                <w:b w:val="0"/>
                <w:sz w:val="24"/>
                <w:u w:val="none"/>
              </w:rPr>
              <w:t>e</w:t>
            </w:r>
            <w:r w:rsidRPr="00EF7F33">
              <w:rPr>
                <w:rStyle w:val="InstructionsTabelleberschrift"/>
                <w:rFonts w:ascii="Times New Roman" w:hAnsi="Times New Roman"/>
                <w:b w:val="0"/>
                <w:sz w:val="24"/>
                <w:u w:val="none"/>
              </w:rPr>
              <w:t xml:space="preserve">gorije za rizik modela, kako je izračunano u skladu s člankom 11. stavkom 7. </w:t>
            </w:r>
            <w:r w:rsidRPr="00EF7F33">
              <w:rPr>
                <w:rFonts w:ascii="Times New Roman" w:hAnsi="Times New Roman"/>
                <w:sz w:val="24"/>
              </w:rPr>
              <w:t>D</w:t>
            </w:r>
            <w:r w:rsidRPr="00EF7F33">
              <w:rPr>
                <w:rFonts w:ascii="Times New Roman" w:hAnsi="Times New Roman"/>
                <w:sz w:val="24"/>
              </w:rPr>
              <w:t>e</w:t>
            </w:r>
            <w:r w:rsidRPr="00EF7F33">
              <w:rPr>
                <w:rFonts w:ascii="Times New Roman" w:hAnsi="Times New Roman"/>
                <w:sz w:val="24"/>
              </w:rPr>
              <w:t>legirane uredbe (EU) 2016/101 o bonitetnom vrednovanju</w:t>
            </w:r>
            <w:r w:rsidRPr="00EF7F33">
              <w:t>.</w:t>
            </w:r>
            <w:r w:rsidRPr="00EF7F33">
              <w:rPr>
                <w:rStyle w:val="InstructionsTabelleberschrift"/>
                <w:rFonts w:ascii="Times New Roman" w:hAnsi="Times New Roman"/>
                <w:b w:val="0"/>
                <w:sz w:val="24"/>
                <w:u w:val="none"/>
              </w:rPr>
              <w:t xml:space="preserve"> </w:t>
            </w:r>
            <w:r w:rsidRPr="00EF7F33">
              <w:rPr>
                <w:rFonts w:ascii="Times New Roman" w:hAnsi="Times New Roman"/>
                <w:sz w:val="24"/>
              </w:rPr>
              <w:t>U skladu s terminolog</w:t>
            </w:r>
            <w:r w:rsidRPr="00EF7F33">
              <w:rPr>
                <w:rFonts w:ascii="Times New Roman" w:hAnsi="Times New Roman"/>
                <w:sz w:val="24"/>
              </w:rPr>
              <w:t>i</w:t>
            </w:r>
            <w:r w:rsidRPr="00EF7F33">
              <w:rPr>
                <w:rFonts w:ascii="Times New Roman" w:hAnsi="Times New Roman"/>
                <w:sz w:val="24"/>
              </w:rPr>
              <w:t>jom iz Priloga to odgovara APVA-i.</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0090 -0100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IMOVINA I OBVEZE PO FER VRIJEDNOSTI</w:t>
            </w:r>
          </w:p>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Apsolutna vrijednost imovine i obveza po fer vrijednosti koje su vrednovane pri</w:t>
            </w:r>
            <w:r w:rsidRPr="00EF7F33">
              <w:rPr>
                <w:rFonts w:ascii="Times New Roman" w:hAnsi="Times New Roman"/>
                <w:sz w:val="24"/>
              </w:rPr>
              <w:t>m</w:t>
            </w:r>
            <w:r w:rsidRPr="00EF7F33">
              <w:rPr>
                <w:rFonts w:ascii="Times New Roman" w:hAnsi="Times New Roman"/>
                <w:sz w:val="24"/>
              </w:rPr>
              <w:t>jenom modela iskazana u stupcu 0010 kako je navedeno u financijskim izvještaj</w:t>
            </w:r>
            <w:r w:rsidRPr="00EF7F33">
              <w:rPr>
                <w:rFonts w:ascii="Times New Roman" w:hAnsi="Times New Roman"/>
                <w:sz w:val="24"/>
              </w:rPr>
              <w:t>i</w:t>
            </w:r>
            <w:r w:rsidRPr="00EF7F33">
              <w:rPr>
                <w:rFonts w:ascii="Times New Roman" w:hAnsi="Times New Roman"/>
                <w:sz w:val="24"/>
              </w:rPr>
              <w:t xml:space="preserve">ma u skladu s primjenjivim računovodstvenim okvirom.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0090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IMOVINA PO FER VRIJEDNOSTI</w:t>
            </w:r>
          </w:p>
          <w:p w:rsidR="00113E45" w:rsidRPr="00EF7F33" w:rsidRDefault="00113E45" w:rsidP="00E60B53">
            <w:pPr>
              <w:spacing w:beforeLines="60" w:before="144" w:afterLines="60" w:after="144"/>
              <w:rPr>
                <w:rStyle w:val="InstructionsTabelleberschrift"/>
                <w:rFonts w:ascii="Times New Roman" w:hAnsi="Times New Roman"/>
                <w:b w:val="0"/>
                <w:bCs w:val="0"/>
                <w:sz w:val="24"/>
                <w:u w:val="none"/>
              </w:rPr>
            </w:pPr>
            <w:r w:rsidRPr="00EF7F33">
              <w:rPr>
                <w:rFonts w:ascii="Times New Roman" w:hAnsi="Times New Roman"/>
                <w:sz w:val="24"/>
              </w:rPr>
              <w:t>Apsolutna vrijednost imovine po fer vrijednosti koja je vrednovana primjenom modela iskazana u stupcu 0010 kako je navedeno u financijskim izvještajima u skladu s primjenjivim računovodstvenim okvirom</w:t>
            </w:r>
            <w:r w:rsidRPr="00EF7F33">
              <w:rPr>
                <w:rStyle w:val="InstructionsTabelleberschrift"/>
                <w:rFonts w:ascii="Times New Roman" w:hAnsi="Times New Roman"/>
                <w:b w:val="0"/>
                <w:sz w:val="24"/>
                <w:u w:val="none"/>
              </w:rPr>
              <w:t>.</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lastRenderedPageBreak/>
              <w:t>0100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OBVEZE PO FER VRIJEDNOSTI</w:t>
            </w:r>
          </w:p>
          <w:p w:rsidR="00113E45" w:rsidRPr="00EF7F33" w:rsidRDefault="00113E45" w:rsidP="00E60B53">
            <w:pPr>
              <w:spacing w:beforeLines="60" w:before="144" w:afterLines="60" w:after="144"/>
              <w:rPr>
                <w:rStyle w:val="InstructionsTabelleberschrift"/>
                <w:rFonts w:ascii="Times New Roman" w:hAnsi="Times New Roman"/>
                <w:b w:val="0"/>
                <w:bCs w:val="0"/>
                <w:sz w:val="24"/>
                <w:u w:val="none"/>
              </w:rPr>
            </w:pPr>
            <w:r w:rsidRPr="00EF7F33">
              <w:rPr>
                <w:rFonts w:ascii="Times New Roman" w:hAnsi="Times New Roman"/>
                <w:sz w:val="24"/>
              </w:rPr>
              <w:t>Apsolutna vrijednost obveza po fer vrijednosti koje su vrednovane primjenom m</w:t>
            </w:r>
            <w:r w:rsidRPr="00EF7F33">
              <w:rPr>
                <w:rFonts w:ascii="Times New Roman" w:hAnsi="Times New Roman"/>
                <w:sz w:val="24"/>
              </w:rPr>
              <w:t>o</w:t>
            </w:r>
            <w:r w:rsidRPr="00EF7F33">
              <w:rPr>
                <w:rFonts w:ascii="Times New Roman" w:hAnsi="Times New Roman"/>
                <w:sz w:val="24"/>
              </w:rPr>
              <w:t xml:space="preserve">dela iskazana u stupcu 0010 kako je navedeno u financijskim izvještajima u skladu s primjenjivim računovodstvenim okvirom.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0110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RAZLIKA NE TEMELJU NEOVISNE PROVJERE CIJENA (TESTIRANJE IZLAZNIH PARAMETARA)</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Zbroj iznosa neusklađenih razlika (razlika na temelju neovisne provjere cijena) i</w:t>
            </w:r>
            <w:r w:rsidRPr="00EF7F33">
              <w:rPr>
                <w:rStyle w:val="InstructionsTabelleberschrift"/>
                <w:rFonts w:ascii="Times New Roman" w:hAnsi="Times New Roman"/>
                <w:b w:val="0"/>
                <w:sz w:val="24"/>
                <w:u w:val="none"/>
              </w:rPr>
              <w:t>z</w:t>
            </w:r>
            <w:r w:rsidRPr="00EF7F33">
              <w:rPr>
                <w:rStyle w:val="InstructionsTabelleberschrift"/>
                <w:rFonts w:ascii="Times New Roman" w:hAnsi="Times New Roman"/>
                <w:b w:val="0"/>
                <w:sz w:val="24"/>
                <w:u w:val="none"/>
              </w:rPr>
              <w:t>računano na kraju mjeseca koji je najbliži izvještajnom datumu na temelju postu</w:t>
            </w:r>
            <w:r w:rsidRPr="00EF7F33">
              <w:rPr>
                <w:rStyle w:val="InstructionsTabelleberschrift"/>
                <w:rFonts w:ascii="Times New Roman" w:hAnsi="Times New Roman"/>
                <w:b w:val="0"/>
                <w:sz w:val="24"/>
                <w:u w:val="none"/>
              </w:rPr>
              <w:t>p</w:t>
            </w:r>
            <w:r w:rsidRPr="00EF7F33">
              <w:rPr>
                <w:rStyle w:val="InstructionsTabelleberschrift"/>
                <w:rFonts w:ascii="Times New Roman" w:hAnsi="Times New Roman"/>
                <w:b w:val="0"/>
                <w:sz w:val="24"/>
                <w:u w:val="none"/>
              </w:rPr>
              <w:t>ka neovisne provjere cijena provedene u skladu s člankom 105. stavkom 8. CRR-a, u vezi s najbolje dostupnim neovisnim podacima za odgovarajući proizvod ili sk</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 xml:space="preserve">pinu proizvoda. </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rsidR="00113E45" w:rsidRPr="00EF7F33" w:rsidRDefault="004D2753"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U izračun razlike na temelju neovisne provjere cijena ne uključuju se iznosi uskl</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đenih razlika iz knjiga i evidencija institucije za relevantni datum na kraju mjeseca.</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Ovdje se uključuju samo rezultati koji su kalibrirani na temelju cijena instrumenata koje bi se rasporedile na isti proizvod (testiranje izlaznih parametara). Ne uključ</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ju se rezultati testiranja ulaznih parametara na temelju tržišnih ulaznih parametara koji se testiraju u odnosu na razine koje su kalibrirane na temelju različitih proi</w:t>
            </w:r>
            <w:r w:rsidRPr="00EF7F33">
              <w:rPr>
                <w:rStyle w:val="InstructionsTabelleberschrift"/>
                <w:rFonts w:ascii="Times New Roman" w:hAnsi="Times New Roman"/>
                <w:b w:val="0"/>
                <w:sz w:val="24"/>
                <w:u w:val="none"/>
              </w:rPr>
              <w:t>z</w:t>
            </w:r>
            <w:r w:rsidRPr="00EF7F33">
              <w:rPr>
                <w:rStyle w:val="InstructionsTabelleberschrift"/>
                <w:rFonts w:ascii="Times New Roman" w:hAnsi="Times New Roman"/>
                <w:b w:val="0"/>
                <w:sz w:val="24"/>
                <w:u w:val="none"/>
              </w:rPr>
              <w:t>voda.</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0120</w:t>
            </w:r>
          </w:p>
        </w:tc>
        <w:tc>
          <w:tcPr>
            <w:tcW w:w="8221" w:type="dxa"/>
          </w:tcPr>
          <w:p w:rsidR="00113E45" w:rsidRPr="00EF7F33" w:rsidRDefault="00113E45" w:rsidP="00E60B53">
            <w:pPr>
              <w:spacing w:beforeLines="60" w:before="144" w:afterLines="60" w:after="144"/>
              <w:jc w:val="left"/>
              <w:rPr>
                <w:rStyle w:val="InstructionsTabelleberschrift"/>
                <w:rFonts w:ascii="Times New Roman" w:hAnsi="Times New Roman"/>
                <w:sz w:val="24"/>
              </w:rPr>
            </w:pPr>
            <w:r w:rsidRPr="00EF7F33">
              <w:rPr>
                <w:rStyle w:val="InstructionsTabelleberschrift"/>
                <w:rFonts w:ascii="Times New Roman" w:hAnsi="Times New Roman"/>
                <w:sz w:val="24"/>
              </w:rPr>
              <w:t>OBUHVAĆENOST NEOVISNOM PROVJEROM CIJENA (TESTIRANJE IZLAZNIH PARAMETARA)</w:t>
            </w:r>
          </w:p>
          <w:p w:rsidR="00113E45" w:rsidRPr="00EF7F33" w:rsidRDefault="00113E45" w:rsidP="00E60B53">
            <w:pPr>
              <w:spacing w:beforeLines="60" w:before="144" w:afterLines="60" w:after="144"/>
              <w:jc w:val="left"/>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Postotak pozicija koje su raspoređen u model ponderiran dodatnom prilagodbom vrednovanja za model rizika koja je obuhvaćena rezultatima testiranja izlaznih p</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 xml:space="preserve">rametara na temelju neovisne provjere cijena iskazanima u stupcu 0110.  </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0130 – 0140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PRILAGODBE FER VRIJEDNOSTI</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Prilagodbe fer vrijednosti kako je definirano u stupcima 0190 i 0240 iz obrasca C 32.02 koje se primjenjuju na pozicije raspoređene u model iz stupca </w:t>
            </w:r>
            <w:r w:rsidRPr="00EF7F33">
              <w:rPr>
                <w:rFonts w:ascii="Times New Roman" w:hAnsi="Times New Roman"/>
                <w:sz w:val="24"/>
              </w:rPr>
              <w:t>0010</w:t>
            </w:r>
            <w:r w:rsidRPr="00EF7F33">
              <w:rPr>
                <w:rStyle w:val="InstructionsTabelleberschrift"/>
                <w:rFonts w:ascii="Times New Roman" w:hAnsi="Times New Roman"/>
                <w:b w:val="0"/>
                <w:sz w:val="24"/>
                <w:u w:val="none"/>
              </w:rPr>
              <w:t>.</w:t>
            </w:r>
          </w:p>
        </w:tc>
      </w:tr>
      <w:tr w:rsidR="00113E45" w:rsidRPr="00EF7F33" w:rsidTr="00672D2A">
        <w:tc>
          <w:tcPr>
            <w:tcW w:w="1101" w:type="dxa"/>
          </w:tcPr>
          <w:p w:rsidR="00113E45" w:rsidRPr="00EF7F33" w:rsidRDefault="008136B4" w:rsidP="00E60B53">
            <w:pPr>
              <w:spacing w:beforeLines="60" w:before="144" w:afterLines="60" w:after="144"/>
              <w:rPr>
                <w:rFonts w:ascii="Times New Roman" w:hAnsi="Times New Roman"/>
                <w:sz w:val="24"/>
              </w:rPr>
            </w:pPr>
            <w:r w:rsidRPr="00EF7F33">
              <w:rPr>
                <w:rFonts w:ascii="Times New Roman" w:hAnsi="Times New Roman"/>
                <w:sz w:val="24"/>
              </w:rPr>
              <w:t>0150</w:t>
            </w:r>
          </w:p>
        </w:tc>
        <w:tc>
          <w:tcPr>
            <w:tcW w:w="8221"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DOBIT I GUBITAK NA PRVI DAN</w:t>
            </w:r>
          </w:p>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b w:val="0"/>
                <w:sz w:val="24"/>
                <w:u w:val="none"/>
              </w:rPr>
              <w:t>Prilagodbe kako je definirano u stupcu 0260 iz obrasca C 32.02 koje se primjenj</w:t>
            </w:r>
            <w:r w:rsidRPr="00EF7F33">
              <w:rPr>
                <w:rStyle w:val="InstructionsTabelleberschrift"/>
                <w:rFonts w:ascii="Times New Roman" w:hAnsi="Times New Roman"/>
                <w:b w:val="0"/>
                <w:sz w:val="24"/>
                <w:u w:val="none"/>
              </w:rPr>
              <w:t>u</w:t>
            </w:r>
            <w:r w:rsidRPr="00EF7F33">
              <w:rPr>
                <w:rStyle w:val="InstructionsTabelleberschrift"/>
                <w:rFonts w:ascii="Times New Roman" w:hAnsi="Times New Roman"/>
                <w:b w:val="0"/>
                <w:sz w:val="24"/>
                <w:u w:val="none"/>
              </w:rPr>
              <w:t xml:space="preserve">ju na pozicije raspoređene u model iz stupca </w:t>
            </w:r>
            <w:r w:rsidRPr="00EF7F33">
              <w:rPr>
                <w:rFonts w:ascii="Times New Roman" w:hAnsi="Times New Roman"/>
                <w:sz w:val="24"/>
              </w:rPr>
              <w:t>0010</w:t>
            </w:r>
            <w:r w:rsidRPr="00EF7F33">
              <w:rPr>
                <w:rStyle w:val="InstructionsTabelleberschrift"/>
                <w:rFonts w:ascii="Times New Roman" w:hAnsi="Times New Roman"/>
                <w:b w:val="0"/>
                <w:sz w:val="24"/>
                <w:u w:val="none"/>
              </w:rPr>
              <w:t>.</w:t>
            </w:r>
          </w:p>
        </w:tc>
      </w:tr>
    </w:tbl>
    <w:p w:rsidR="00995A7F" w:rsidRPr="00EF7F33" w:rsidRDefault="00995A7F" w:rsidP="00C61FF5">
      <w:pPr>
        <w:rPr>
          <w:rStyle w:val="InstructionsTabelleText"/>
          <w:rFonts w:ascii="Times New Roman" w:hAnsi="Times New Roman"/>
          <w:sz w:val="24"/>
        </w:rPr>
      </w:pPr>
    </w:p>
    <w:p w:rsidR="00B93FA1" w:rsidRPr="00EF7F33"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998208"/>
      <w:r w:rsidRPr="00EF7F33">
        <w:rPr>
          <w:rFonts w:ascii="Times New Roman" w:hAnsi="Times New Roman"/>
          <w:sz w:val="24"/>
          <w:u w:val="none"/>
        </w:rPr>
        <w:lastRenderedPageBreak/>
        <w:t xml:space="preserve">6.4 </w:t>
      </w:r>
      <w:r w:rsidRPr="00EF7F33">
        <w:rPr>
          <w:rFonts w:ascii="Times New Roman" w:hAnsi="Times New Roman"/>
          <w:sz w:val="24"/>
        </w:rPr>
        <w:t xml:space="preserve">C 32.04 - Bonitetno vrednovanje: </w:t>
      </w:r>
      <w:r w:rsidR="00D1260D">
        <w:rPr>
          <w:rFonts w:ascii="Times New Roman" w:hAnsi="Times New Roman"/>
          <w:sz w:val="24"/>
        </w:rPr>
        <w:t>d</w:t>
      </w:r>
      <w:r w:rsidRPr="00EF7F33">
        <w:rPr>
          <w:rFonts w:ascii="Times New Roman" w:hAnsi="Times New Roman"/>
          <w:sz w:val="24"/>
        </w:rPr>
        <w:t>odatna prilagodba vrednovanja za koncentrirane poz</w:t>
      </w:r>
      <w:r w:rsidRPr="00EF7F33">
        <w:rPr>
          <w:rFonts w:ascii="Times New Roman" w:hAnsi="Times New Roman"/>
          <w:sz w:val="24"/>
        </w:rPr>
        <w:t>i</w:t>
      </w:r>
      <w:r w:rsidRPr="00EF7F33">
        <w:rPr>
          <w:rFonts w:ascii="Times New Roman" w:hAnsi="Times New Roman"/>
          <w:sz w:val="24"/>
        </w:rPr>
        <w:t>cije (PruVal 4)</w:t>
      </w:r>
      <w:bookmarkEnd w:id="795"/>
      <w:bookmarkEnd w:id="796"/>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998209"/>
      <w:r w:rsidRPr="00EF7F33">
        <w:rPr>
          <w:rFonts w:ascii="Times New Roman" w:hAnsi="Times New Roman"/>
          <w:sz w:val="24"/>
          <w:u w:val="none"/>
        </w:rPr>
        <w:t>6.4.1.</w:t>
      </w:r>
      <w:r w:rsidRPr="00EF7F33">
        <w:tab/>
      </w:r>
      <w:r w:rsidRPr="00EF7F33">
        <w:rPr>
          <w:rFonts w:ascii="Times New Roman" w:hAnsi="Times New Roman"/>
          <w:sz w:val="24"/>
        </w:rPr>
        <w:t>Opće napomene</w:t>
      </w:r>
      <w:bookmarkEnd w:id="797"/>
      <w:bookmarkEnd w:id="798"/>
      <w:r w:rsidRPr="00EF7F33">
        <w:rPr>
          <w:rFonts w:ascii="Times New Roman" w:hAnsi="Times New Roman"/>
          <w:sz w:val="24"/>
          <w:u w:val="none"/>
        </w:rPr>
        <w:t xml:space="preserve"> </w:t>
      </w:r>
    </w:p>
    <w:p w:rsidR="00113E45" w:rsidRPr="00EF7F33" w:rsidRDefault="00113E45" w:rsidP="009068C9">
      <w:pPr>
        <w:pStyle w:val="InstructionsText2"/>
        <w:numPr>
          <w:ilvl w:val="0"/>
          <w:numId w:val="0"/>
        </w:numPr>
        <w:ind w:left="993"/>
      </w:pPr>
      <w:r w:rsidRPr="00EF7F33">
        <w:t>154k. Ovaj obrazac popunjavaju samo institucije koje na pojedinačnoj razini pr</w:t>
      </w:r>
      <w:r w:rsidRPr="00EF7F33">
        <w:t>e</w:t>
      </w:r>
      <w:r w:rsidRPr="00EF7F33">
        <w:t>mašuju prag iz članka 4. stavka 1. Delegirane uredbe (EU) 2016/101 o bonitetnom vrednovanju. Institucije koje su dio grupe koja na konsolidiranoj osnovi premašuje prag moraju izvješćivati u ovom obrascu samo ako i one na pojedinačnoj razini premašuju prag.</w:t>
      </w:r>
    </w:p>
    <w:p w:rsidR="00113E45" w:rsidRPr="00EF7F33" w:rsidRDefault="00113E45" w:rsidP="009068C9">
      <w:pPr>
        <w:pStyle w:val="InstructionsText2"/>
        <w:numPr>
          <w:ilvl w:val="0"/>
          <w:numId w:val="0"/>
        </w:numPr>
        <w:ind w:left="993"/>
      </w:pPr>
      <w:r w:rsidRPr="00EF7F33">
        <w:t>154l. Ovaj se obrazac koristi za izvješćivanje o 20 najvećih pojedinačnih dodatnih prilagodbi vrednovanja za koncentrirane pozicije u pogledu iznosa dodatne pril</w:t>
      </w:r>
      <w:r w:rsidRPr="00EF7F33">
        <w:t>a</w:t>
      </w:r>
      <w:r w:rsidRPr="00EF7F33">
        <w:t>godbe vrednovanja koje pridonose ukupnoj dodatnoj prilagodbi vrednovanja na r</w:t>
      </w:r>
      <w:r w:rsidRPr="00EF7F33">
        <w:t>a</w:t>
      </w:r>
      <w:r w:rsidRPr="00EF7F33">
        <w:t>zini kategorije za koncentrirane pozicije izračunanoj u skladu s člankom 14. Deleg</w:t>
      </w:r>
      <w:r w:rsidRPr="00EF7F33">
        <w:t>i</w:t>
      </w:r>
      <w:r w:rsidRPr="00EF7F33">
        <w:t xml:space="preserve">rane uredbe (EU) 2016/101 o bonitetnom vrednovanju. Te informacije odgovaraju informacijama iskazanima u stupcu 0070 iz obrasca C 32.02. </w:t>
      </w:r>
    </w:p>
    <w:p w:rsidR="00113E45" w:rsidRPr="00EF7F33" w:rsidRDefault="00113E45" w:rsidP="009068C9">
      <w:pPr>
        <w:pStyle w:val="InstructionsText2"/>
        <w:numPr>
          <w:ilvl w:val="0"/>
          <w:numId w:val="0"/>
        </w:numPr>
        <w:ind w:left="993"/>
      </w:pPr>
      <w:r w:rsidRPr="00EF7F33">
        <w:t>154m. 20 najvećih dodatnih prilagodbi vrednovanja za koncentrirane pozicije i o</w:t>
      </w:r>
      <w:r w:rsidRPr="00EF7F33">
        <w:t>d</w:t>
      </w:r>
      <w:r w:rsidRPr="00EF7F33">
        <w:t>govarajuće informacije o proizvodima iskazuju se padajućim slijedom počevši od najveće pojedinačne dodatne prilagodbe vrednovanja za koncentrirane pozicije.</w:t>
      </w:r>
    </w:p>
    <w:p w:rsidR="00113E45" w:rsidRPr="00EF7F33" w:rsidRDefault="00113E45" w:rsidP="009068C9">
      <w:pPr>
        <w:pStyle w:val="InstructionsText2"/>
        <w:numPr>
          <w:ilvl w:val="0"/>
          <w:numId w:val="0"/>
        </w:numPr>
        <w:ind w:left="993"/>
      </w:pPr>
      <w:r w:rsidRPr="00EF7F33">
        <w:t>154n. Proizvodi koji odgovaraju tim najvećim pojedinačnim dodatnim prilagodb</w:t>
      </w:r>
      <w:r w:rsidRPr="00EF7F33">
        <w:t>a</w:t>
      </w:r>
      <w:r w:rsidRPr="00EF7F33">
        <w:t>ma vrednovanja za koncentrirane pozicije iskazuju se upotrebom popisa proizvoda koji se propisuje člankom 19. stavkom 3. točkom (a) Delegirane uredbe (EU) 2016/101 o bonitetnom vrednovanju.</w:t>
      </w:r>
    </w:p>
    <w:p w:rsidR="00113E45" w:rsidRPr="00EF7F33" w:rsidRDefault="00113E45" w:rsidP="009068C9">
      <w:pPr>
        <w:pStyle w:val="InstructionsText2"/>
        <w:numPr>
          <w:ilvl w:val="0"/>
          <w:numId w:val="0"/>
        </w:numPr>
        <w:ind w:left="993"/>
      </w:pPr>
      <w:r w:rsidRPr="00EF7F33">
        <w:t>154o. Pozicije koje su homogene u pogledu metodologije izračuna dodatne pril</w:t>
      </w:r>
      <w:r w:rsidRPr="00EF7F33">
        <w:t>a</w:t>
      </w:r>
      <w:r w:rsidRPr="00EF7F33">
        <w:t xml:space="preserve">godbe vrednovanja agregiraju se ako je to moguće kako bi se u ovom obrascu u najvećoj mjeri obuhvatila ukupna dodatna prilagodba.  </w:t>
      </w:r>
    </w:p>
    <w:p w:rsidR="00B93FA1" w:rsidRPr="00EF7F33"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998210"/>
      <w:r w:rsidRPr="00EF7F33">
        <w:rPr>
          <w:rFonts w:ascii="Times New Roman" w:hAnsi="Times New Roman"/>
          <w:sz w:val="24"/>
          <w:u w:val="none"/>
        </w:rPr>
        <w:t>6.4.2.</w:t>
      </w:r>
      <w:r w:rsidRPr="00EF7F33">
        <w:tab/>
      </w:r>
      <w:r w:rsidRPr="00EF7F33">
        <w:rPr>
          <w:rFonts w:ascii="Times New Roman" w:hAnsi="Times New Roman"/>
          <w:sz w:val="24"/>
        </w:rPr>
        <w:t>Upute za specifične pozicije</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EF7F33" w:rsidTr="00672D2A">
        <w:tc>
          <w:tcPr>
            <w:tcW w:w="8856" w:type="dxa"/>
            <w:gridSpan w:val="2"/>
            <w:shd w:val="clear" w:color="auto" w:fill="CCCCCC"/>
          </w:tcPr>
          <w:p w:rsidR="00113E45" w:rsidRPr="00EF7F33" w:rsidRDefault="00113E45" w:rsidP="00E60B53">
            <w:pPr>
              <w:spacing w:beforeLines="60" w:before="144" w:afterLines="60" w:after="144"/>
              <w:rPr>
                <w:rFonts w:ascii="Times New Roman" w:hAnsi="Times New Roman"/>
                <w:b/>
                <w:sz w:val="24"/>
              </w:rPr>
            </w:pPr>
            <w:r w:rsidRPr="00EF7F33">
              <w:rPr>
                <w:rFonts w:ascii="Times New Roman" w:hAnsi="Times New Roman"/>
                <w:b/>
                <w:sz w:val="24"/>
              </w:rPr>
              <w:t>Stupci</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0005</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POREDAK</w:t>
            </w:r>
          </w:p>
          <w:p w:rsidR="00113E45" w:rsidRPr="00EF7F33" w:rsidDel="003016B5" w:rsidRDefault="00113E45" w:rsidP="00E60B53">
            <w:pPr>
              <w:spacing w:beforeLines="60" w:before="144" w:afterLines="60" w:after="144"/>
              <w:rPr>
                <w:rFonts w:ascii="Times New Roman" w:hAnsi="Times New Roman"/>
                <w:b/>
                <w:sz w:val="24"/>
                <w:u w:val="single"/>
              </w:rPr>
            </w:pPr>
            <w:r w:rsidRPr="00EF7F33">
              <w:rPr>
                <w:rFonts w:ascii="Times New Roman" w:hAnsi="Times New Roman"/>
                <w:sz w:val="24"/>
              </w:rPr>
              <w:t>Poredak je identifikator retka i jedinstven je za svaki redak u tablici. On slijedi numerički redoslijed 1, 2, 3 itd. pri čemu se 1 dodjeljuje najvećoj pojedinačnoj dodatnoj prilagodbi vrednovanja za koncentrirane pozicije, 2 drugoj po veličini i tako dalje.</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0010</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KATEGORIJA RIZIKA</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Kategorija rizika (kamatni, tečajni i kreditni rizik, rizik vlasničkih instrumenata, robni rizik) koja najprikladnije obilježava poziciju.</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Institucije iskazuju sljedeće oznake:</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IR – kamatni rizik</w:t>
            </w:r>
          </w:p>
          <w:p w:rsidR="0022597E"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FX – tečajni rizik</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lastRenderedPageBreak/>
              <w:t>CR – kreditni rizik</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EQ – rizik vlasničkih instrumenata</w:t>
            </w:r>
          </w:p>
          <w:p w:rsidR="00113E45" w:rsidRPr="00EF7F33" w:rsidRDefault="00113E45" w:rsidP="0022597E">
            <w:pPr>
              <w:spacing w:beforeLines="60" w:before="144" w:afterLines="60" w:after="144"/>
              <w:rPr>
                <w:rFonts w:ascii="Times New Roman" w:hAnsi="Times New Roman"/>
                <w:sz w:val="24"/>
              </w:rPr>
            </w:pPr>
            <w:r w:rsidRPr="00EF7F33">
              <w:rPr>
                <w:rFonts w:ascii="Times New Roman" w:hAnsi="Times New Roman"/>
                <w:sz w:val="24"/>
              </w:rPr>
              <w:t>CO – robni rizik</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lastRenderedPageBreak/>
              <w:t>0020</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 xml:space="preserve">PROIZVOD </w:t>
            </w:r>
          </w:p>
          <w:p w:rsidR="00113E45" w:rsidRPr="00EF7F33" w:rsidRDefault="00113E45" w:rsidP="00DC09EA">
            <w:pPr>
              <w:spacing w:beforeLines="60" w:before="144" w:afterLines="60" w:after="144"/>
              <w:rPr>
                <w:rFonts w:ascii="Times New Roman" w:hAnsi="Times New Roman"/>
                <w:sz w:val="24"/>
              </w:rPr>
            </w:pPr>
            <w:r w:rsidRPr="00EF7F33">
              <w:rPr>
                <w:rFonts w:ascii="Times New Roman" w:hAnsi="Times New Roman"/>
                <w:sz w:val="24"/>
              </w:rPr>
              <w:t>Interni naziv proizvoda ili skupine proizvoda u skladu s popisom proizvoda koji se propisuje člankom 19. stavkom 3. točkom (a) Delegirane uredbe (EU) 2016/101 o bonitetnom vrednovanju.</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0030</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ODNOSNI INSTRUMENT</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Interni naziv odnosnog instrumenta ili odnosnih instrumenata u slučaju izved</w:t>
            </w:r>
            <w:r w:rsidRPr="00EF7F33">
              <w:rPr>
                <w:rFonts w:ascii="Times New Roman" w:hAnsi="Times New Roman"/>
                <w:sz w:val="24"/>
              </w:rPr>
              <w:t>e</w:t>
            </w:r>
            <w:r w:rsidRPr="00EF7F33">
              <w:rPr>
                <w:rFonts w:ascii="Times New Roman" w:hAnsi="Times New Roman"/>
                <w:sz w:val="24"/>
              </w:rPr>
              <w:t xml:space="preserve">nica ili instrumenta u slučaju neizvedenih instrumenata. </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0040</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VELIČINA KONCENTRIRANE POZICIJE</w:t>
            </w:r>
          </w:p>
          <w:p w:rsidR="00113E45" w:rsidRPr="00EF7F33" w:rsidRDefault="00113E45" w:rsidP="00DC09EA">
            <w:pPr>
              <w:spacing w:beforeLines="60" w:before="144" w:afterLines="60" w:after="144"/>
              <w:rPr>
                <w:rStyle w:val="InstructionsTabelleberschrift"/>
                <w:rFonts w:ascii="Times New Roman" w:hAnsi="Times New Roman"/>
                <w:sz w:val="24"/>
              </w:rPr>
            </w:pPr>
            <w:r w:rsidRPr="00EF7F33">
              <w:rPr>
                <w:rFonts w:ascii="Times New Roman" w:hAnsi="Times New Roman"/>
                <w:sz w:val="24"/>
              </w:rPr>
              <w:t xml:space="preserve">Veličina pojedinačne koncentrirane pozicije koja se vrednuje kako je utvrđena u skladu s člankom 14. stavkom 1. točkom (a) Delegirane uredbe (EU) 2016/101 o bonitetnom vrednovanju, izražena u jedinici opisanoj u stupcu 0050.  </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0050</w:t>
            </w:r>
          </w:p>
        </w:tc>
        <w:tc>
          <w:tcPr>
            <w:tcW w:w="8004" w:type="dxa"/>
          </w:tcPr>
          <w:p w:rsidR="00113E45" w:rsidRPr="00EF7F33" w:rsidRDefault="00113E45" w:rsidP="00E60B53">
            <w:pPr>
              <w:spacing w:beforeLines="60" w:before="144" w:afterLines="60" w:after="144"/>
              <w:rPr>
                <w:rFonts w:ascii="Times New Roman" w:hAnsi="Times New Roman"/>
                <w:b/>
                <w:sz w:val="24"/>
                <w:u w:val="single"/>
              </w:rPr>
            </w:pPr>
            <w:r w:rsidRPr="00EF7F33">
              <w:rPr>
                <w:rFonts w:ascii="Times New Roman" w:hAnsi="Times New Roman"/>
                <w:b/>
                <w:sz w:val="24"/>
                <w:u w:val="single"/>
              </w:rPr>
              <w:t>MJERA VELIČINE</w:t>
            </w:r>
          </w:p>
          <w:p w:rsidR="00113E45" w:rsidRPr="00EF7F33" w:rsidRDefault="00113E45" w:rsidP="00E60B53">
            <w:pPr>
              <w:spacing w:beforeLines="60" w:before="144" w:afterLines="60" w:after="144"/>
              <w:rPr>
                <w:rFonts w:ascii="Times New Roman" w:hAnsi="Times New Roman"/>
                <w:sz w:val="24"/>
              </w:rPr>
            </w:pPr>
            <w:r w:rsidRPr="00EF7F33">
              <w:rPr>
                <w:rFonts w:ascii="Times New Roman" w:hAnsi="Times New Roman"/>
                <w:sz w:val="24"/>
              </w:rPr>
              <w:t>Jedinica mjere veličine koja se interno koristi kao dio identifikacije koncentrir</w:t>
            </w:r>
            <w:r w:rsidRPr="00EF7F33">
              <w:rPr>
                <w:rFonts w:ascii="Times New Roman" w:hAnsi="Times New Roman"/>
                <w:sz w:val="24"/>
              </w:rPr>
              <w:t>a</w:t>
            </w:r>
            <w:r w:rsidRPr="00EF7F33">
              <w:rPr>
                <w:rFonts w:ascii="Times New Roman" w:hAnsi="Times New Roman"/>
                <w:sz w:val="24"/>
              </w:rPr>
              <w:t xml:space="preserve">ne pozicije koja se vrednuje za izračun veličine koncentrirane pozicije u stupcu 0040. </w:t>
            </w:r>
          </w:p>
          <w:p w:rsidR="00113E45" w:rsidRPr="00EF7F33" w:rsidRDefault="00113E45" w:rsidP="00E60B53">
            <w:pPr>
              <w:spacing w:beforeLines="60" w:before="144" w:afterLines="60" w:after="144"/>
              <w:rPr>
                <w:rStyle w:val="InstructionsTabelleberschrift"/>
                <w:rFonts w:ascii="Times New Roman" w:hAnsi="Times New Roman"/>
                <w:b w:val="0"/>
                <w:bCs w:val="0"/>
                <w:sz w:val="24"/>
                <w:u w:val="none"/>
              </w:rPr>
            </w:pPr>
            <w:r w:rsidRPr="00EF7F33">
              <w:rPr>
                <w:rStyle w:val="InstructionsTabelleberschrift"/>
                <w:rFonts w:ascii="Times New Roman" w:hAnsi="Times New Roman"/>
                <w:b w:val="0"/>
                <w:sz w:val="24"/>
                <w:u w:val="none"/>
              </w:rPr>
              <w:t xml:space="preserve">U slučaju pozicija u obveznicama ili vlasničkim instrumentima, navesti jedinicu koja se koristi </w:t>
            </w:r>
            <w:r w:rsidRPr="00EF7F33">
              <w:rPr>
                <w:rFonts w:ascii="Times New Roman" w:hAnsi="Times New Roman"/>
                <w:sz w:val="24"/>
              </w:rPr>
              <w:t xml:space="preserve">za interno upravljanje rizikom, </w:t>
            </w:r>
            <w:r w:rsidRPr="00EF7F33">
              <w:rPr>
                <w:rStyle w:val="InstructionsTabelleberschrift"/>
                <w:rFonts w:ascii="Times New Roman" w:hAnsi="Times New Roman"/>
                <w:b w:val="0"/>
                <w:sz w:val="24"/>
                <w:u w:val="none"/>
              </w:rPr>
              <w:t xml:space="preserve">kao što je „broj obveznica”, „broj dionica” ili „tržišna vrijednost”. </w:t>
            </w:r>
          </w:p>
          <w:p w:rsidR="00113E45" w:rsidRPr="00EF7F33" w:rsidRDefault="00113E45" w:rsidP="00E60B53">
            <w:pPr>
              <w:spacing w:beforeLines="60" w:before="144" w:afterLines="60" w:after="144"/>
              <w:rPr>
                <w:rStyle w:val="InstructionsTabelleberschrift"/>
                <w:rFonts w:ascii="Times New Roman" w:hAnsi="Times New Roman"/>
                <w:b w:val="0"/>
                <w:bCs w:val="0"/>
                <w:sz w:val="24"/>
                <w:u w:val="none"/>
              </w:rPr>
            </w:pPr>
            <w:r w:rsidRPr="00EF7F33">
              <w:rPr>
                <w:rFonts w:ascii="Times New Roman" w:hAnsi="Times New Roman"/>
                <w:sz w:val="24"/>
              </w:rPr>
              <w:t>U slučaju pozicija u izvedenicama navesti jedinicu koja se koristi za interno u</w:t>
            </w:r>
            <w:r w:rsidRPr="00EF7F33">
              <w:rPr>
                <w:rFonts w:ascii="Times New Roman" w:hAnsi="Times New Roman"/>
                <w:sz w:val="24"/>
              </w:rPr>
              <w:t>p</w:t>
            </w:r>
            <w:r w:rsidRPr="00EF7F33">
              <w:rPr>
                <w:rFonts w:ascii="Times New Roman" w:hAnsi="Times New Roman"/>
                <w:sz w:val="24"/>
              </w:rPr>
              <w:t>ravljanje rizikom, primjerice „vrijednost baznog boda; EUR po paralelnoj pro</w:t>
            </w:r>
            <w:r w:rsidRPr="00EF7F33">
              <w:rPr>
                <w:rFonts w:ascii="Times New Roman" w:hAnsi="Times New Roman"/>
                <w:sz w:val="24"/>
              </w:rPr>
              <w:t>m</w:t>
            </w:r>
            <w:r w:rsidRPr="00EF7F33">
              <w:rPr>
                <w:rFonts w:ascii="Times New Roman" w:hAnsi="Times New Roman"/>
                <w:sz w:val="24"/>
              </w:rPr>
              <w:t xml:space="preserve">jeni od jednog baznog boda u krivulji prinosa”.   </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0060</w:t>
            </w:r>
          </w:p>
        </w:tc>
        <w:tc>
          <w:tcPr>
            <w:tcW w:w="8004"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TRŽIŠNA VRIJEDNOST</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Tržišna vrijednost pozicije. </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0070</w:t>
            </w:r>
          </w:p>
        </w:tc>
        <w:tc>
          <w:tcPr>
            <w:tcW w:w="8004"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RAZBORITO IZLAZNO RAZDOBLJE</w:t>
            </w:r>
          </w:p>
          <w:p w:rsidR="00113E45" w:rsidRPr="00EF7F33" w:rsidRDefault="00113E45" w:rsidP="00DC09EA">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 xml:space="preserve">Razborito izlazno razdoblje u broju dana procijenjeno u skladu s člankom 14. stavkom 1. točkom (b) </w:t>
            </w:r>
            <w:r w:rsidRPr="00EF7F33">
              <w:rPr>
                <w:rFonts w:ascii="Times New Roman" w:hAnsi="Times New Roman"/>
                <w:sz w:val="24"/>
              </w:rPr>
              <w:t>Delegirane uredbe (EU) 2016/101 o</w:t>
            </w:r>
            <w:r w:rsidRPr="00EF7F33">
              <w:rPr>
                <w:rStyle w:val="InstructionsTabelleberschrift"/>
                <w:rFonts w:ascii="Times New Roman" w:hAnsi="Times New Roman"/>
                <w:b w:val="0"/>
                <w:sz w:val="24"/>
                <w:u w:val="none"/>
              </w:rPr>
              <w:t xml:space="preserve"> </w:t>
            </w:r>
            <w:r w:rsidRPr="00EF7F33">
              <w:rPr>
                <w:rFonts w:ascii="Times New Roman" w:hAnsi="Times New Roman"/>
                <w:sz w:val="24"/>
              </w:rPr>
              <w:t>bonitetnom vredn</w:t>
            </w:r>
            <w:r w:rsidRPr="00EF7F33">
              <w:rPr>
                <w:rFonts w:ascii="Times New Roman" w:hAnsi="Times New Roman"/>
                <w:sz w:val="24"/>
              </w:rPr>
              <w:t>o</w:t>
            </w:r>
            <w:r w:rsidRPr="00EF7F33">
              <w:rPr>
                <w:rFonts w:ascii="Times New Roman" w:hAnsi="Times New Roman"/>
                <w:sz w:val="24"/>
              </w:rPr>
              <w:t>vanju</w:t>
            </w:r>
            <w:r w:rsidRPr="00EF7F33">
              <w:rPr>
                <w:rStyle w:val="InstructionsTabelleberschrift"/>
                <w:rFonts w:ascii="Times New Roman" w:hAnsi="Times New Roman"/>
                <w:b w:val="0"/>
                <w:sz w:val="24"/>
                <w:u w:val="none"/>
              </w:rPr>
              <w:t>.</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0080</w:t>
            </w:r>
          </w:p>
        </w:tc>
        <w:tc>
          <w:tcPr>
            <w:tcW w:w="8004"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DODATNA PRILAGODB</w:t>
            </w:r>
            <w:r w:rsidR="00633A37">
              <w:rPr>
                <w:rStyle w:val="InstructionsTabelleberschrift"/>
                <w:rFonts w:ascii="Times New Roman" w:hAnsi="Times New Roman"/>
                <w:sz w:val="24"/>
              </w:rPr>
              <w:t>A</w:t>
            </w:r>
            <w:r w:rsidRPr="00EF7F33">
              <w:rPr>
                <w:rStyle w:val="InstructionsTabelleberschrift"/>
                <w:rFonts w:ascii="Times New Roman" w:hAnsi="Times New Roman"/>
                <w:sz w:val="24"/>
              </w:rPr>
              <w:t xml:space="preserve"> VREDNOVANJA ZA KONCENTRIRANE POZICIJE</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Iznos dodatne prilagodbe vrednovanja za koncentrirane pozicije izračunano u skladu s člankom 14. stavkom 1.</w:t>
            </w:r>
            <w:r w:rsidRPr="00EF7F33">
              <w:rPr>
                <w:rFonts w:ascii="Times New Roman" w:hAnsi="Times New Roman"/>
                <w:sz w:val="24"/>
              </w:rPr>
              <w:t>Delegirane uredbe (EU) 2016/101 o</w:t>
            </w:r>
            <w:r w:rsidRPr="00EF7F33">
              <w:rPr>
                <w:rStyle w:val="InstructionsTabelleberschrift"/>
                <w:rFonts w:ascii="Times New Roman" w:hAnsi="Times New Roman"/>
                <w:b w:val="0"/>
                <w:sz w:val="24"/>
                <w:u w:val="none"/>
              </w:rPr>
              <w:t xml:space="preserve"> </w:t>
            </w:r>
            <w:r w:rsidRPr="00EF7F33">
              <w:rPr>
                <w:rFonts w:ascii="Times New Roman" w:hAnsi="Times New Roman"/>
                <w:sz w:val="24"/>
              </w:rPr>
              <w:t>bonitetnom vrednovanju za dotičnu pojedinačnu koncentriranu poziciju koja se vrednuje.</w:t>
            </w:r>
            <w:r w:rsidRPr="00EF7F33">
              <w:rPr>
                <w:rStyle w:val="InstructionsTabelleberschrift"/>
                <w:rFonts w:ascii="Times New Roman" w:hAnsi="Times New Roman"/>
                <w:b w:val="0"/>
                <w:sz w:val="24"/>
                <w:u w:val="none"/>
              </w:rPr>
              <w:t xml:space="preserve"> </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lastRenderedPageBreak/>
              <w:t>0090</w:t>
            </w:r>
          </w:p>
        </w:tc>
        <w:tc>
          <w:tcPr>
            <w:tcW w:w="8004"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PRILAGODBA FER VRIJEDNOSTI KONCENTRIRANE POZICIJE</w:t>
            </w:r>
          </w:p>
          <w:p w:rsidR="00955AA6" w:rsidRPr="00EF7F33" w:rsidRDefault="00113E45" w:rsidP="00955AA6">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Iznos bilo koje prilagodbe fer vrijednosti provedene kako bi se uzela u obzir č</w:t>
            </w:r>
            <w:r w:rsidRPr="00EF7F33">
              <w:rPr>
                <w:rStyle w:val="InstructionsTabelleberschrift"/>
                <w:rFonts w:ascii="Times New Roman" w:hAnsi="Times New Roman"/>
                <w:b w:val="0"/>
                <w:sz w:val="24"/>
                <w:u w:val="none"/>
              </w:rPr>
              <w:t>i</w:t>
            </w:r>
            <w:r w:rsidRPr="00EF7F33">
              <w:rPr>
                <w:rStyle w:val="InstructionsTabelleberschrift"/>
                <w:rFonts w:ascii="Times New Roman" w:hAnsi="Times New Roman"/>
                <w:b w:val="0"/>
                <w:sz w:val="24"/>
                <w:u w:val="none"/>
              </w:rPr>
              <w:t>njenica da je ukupna pozicija koju drži institucija veća od uobičajenog volumena trgovanja ili veća od veličine pozicija i na kojima se temelje kotacije ili trgov</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 xml:space="preserve">nja koja se koriste za kalibraciju cijene ili ulaznih parametara koji se koriste u modelu vrednovanja.  </w:t>
            </w:r>
          </w:p>
          <w:p w:rsidR="00113E45" w:rsidRPr="00EF7F33" w:rsidRDefault="00955AA6" w:rsidP="00955AA6">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Iskazani iznos odgovara iznosu koji se primijenio na dotičnu pojedinačnu ko</w:t>
            </w:r>
            <w:r w:rsidRPr="00EF7F33">
              <w:rPr>
                <w:rStyle w:val="InstructionsTabelleberschrift"/>
                <w:rFonts w:ascii="Times New Roman" w:hAnsi="Times New Roman"/>
                <w:b w:val="0"/>
                <w:sz w:val="24"/>
                <w:u w:val="none"/>
              </w:rPr>
              <w:t>n</w:t>
            </w:r>
            <w:r w:rsidRPr="00EF7F33">
              <w:rPr>
                <w:rStyle w:val="InstructionsTabelleberschrift"/>
                <w:rFonts w:ascii="Times New Roman" w:hAnsi="Times New Roman"/>
                <w:b w:val="0"/>
                <w:sz w:val="24"/>
                <w:u w:val="none"/>
              </w:rPr>
              <w:t>centriranu poziciju koja se vrednuje.</w:t>
            </w:r>
          </w:p>
        </w:tc>
      </w:tr>
      <w:tr w:rsidR="00113E45" w:rsidRPr="00EF7F33" w:rsidTr="00672D2A">
        <w:tc>
          <w:tcPr>
            <w:tcW w:w="852" w:type="dxa"/>
          </w:tcPr>
          <w:p w:rsidR="00113E45" w:rsidRPr="00EF7F33" w:rsidRDefault="0022597E" w:rsidP="00E60B53">
            <w:pPr>
              <w:spacing w:beforeLines="60" w:before="144" w:afterLines="60" w:after="144"/>
              <w:rPr>
                <w:rFonts w:ascii="Times New Roman" w:hAnsi="Times New Roman"/>
                <w:sz w:val="24"/>
              </w:rPr>
            </w:pPr>
            <w:r w:rsidRPr="00EF7F33">
              <w:rPr>
                <w:rFonts w:ascii="Times New Roman" w:hAnsi="Times New Roman"/>
                <w:sz w:val="24"/>
              </w:rPr>
              <w:t>0100</w:t>
            </w:r>
          </w:p>
        </w:tc>
        <w:tc>
          <w:tcPr>
            <w:tcW w:w="8004" w:type="dxa"/>
          </w:tcPr>
          <w:p w:rsidR="00113E45" w:rsidRPr="00EF7F33" w:rsidRDefault="00113E45" w:rsidP="00E60B53">
            <w:pPr>
              <w:spacing w:beforeLines="60" w:before="144" w:afterLines="60" w:after="144"/>
              <w:rPr>
                <w:rStyle w:val="InstructionsTabelleberschrift"/>
                <w:rFonts w:ascii="Times New Roman" w:hAnsi="Times New Roman"/>
                <w:sz w:val="24"/>
              </w:rPr>
            </w:pPr>
            <w:r w:rsidRPr="00EF7F33">
              <w:rPr>
                <w:rStyle w:val="InstructionsTabelleberschrift"/>
                <w:rFonts w:ascii="Times New Roman" w:hAnsi="Times New Roman"/>
                <w:sz w:val="24"/>
              </w:rPr>
              <w:t>RAZLIKA NA TEMELJU NEOVISNE PROVJERE CIJENA</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Zbroj iznosa neusklađenih razlika (razlika na temelju neovisne provjere cijena) izračunano na kraju mjeseca koji je najbliži izvještajnom datumu na temelju po</w:t>
            </w:r>
            <w:r w:rsidRPr="00EF7F33">
              <w:rPr>
                <w:rStyle w:val="InstructionsTabelleberschrift"/>
                <w:rFonts w:ascii="Times New Roman" w:hAnsi="Times New Roman"/>
                <w:b w:val="0"/>
                <w:sz w:val="24"/>
                <w:u w:val="none"/>
              </w:rPr>
              <w:t>s</w:t>
            </w:r>
            <w:r w:rsidRPr="00EF7F33">
              <w:rPr>
                <w:rStyle w:val="InstructionsTabelleberschrift"/>
                <w:rFonts w:ascii="Times New Roman" w:hAnsi="Times New Roman"/>
                <w:b w:val="0"/>
                <w:sz w:val="24"/>
                <w:u w:val="none"/>
              </w:rPr>
              <w:t xml:space="preserve">tupka neovisne provjere cijena provedene u skladu s člankom 105. stavkom 8. CRR-a, u vezi s najbolje dostupnim neovisnim podacima za dotičnu pojedinačnu koncentriranu poziciju koja se vrednuje.  </w:t>
            </w:r>
          </w:p>
          <w:p w:rsidR="00113E45" w:rsidRPr="00EF7F33" w:rsidRDefault="00113E45" w:rsidP="00E60B53">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Iznosi neusklađenih razlika odnose se na neusklađene razlike između vrednov</w:t>
            </w:r>
            <w:r w:rsidRPr="00EF7F33">
              <w:rPr>
                <w:rStyle w:val="InstructionsTabelleberschrift"/>
                <w:rFonts w:ascii="Times New Roman" w:hAnsi="Times New Roman"/>
                <w:b w:val="0"/>
                <w:sz w:val="24"/>
                <w:u w:val="none"/>
              </w:rPr>
              <w:t>a</w:t>
            </w:r>
            <w:r w:rsidRPr="00EF7F33">
              <w:rPr>
                <w:rStyle w:val="InstructionsTabelleberschrift"/>
                <w:rFonts w:ascii="Times New Roman" w:hAnsi="Times New Roman"/>
                <w:b w:val="0"/>
                <w:sz w:val="24"/>
                <w:u w:val="none"/>
              </w:rPr>
              <w:t>nja koji proizlaze iz sustava trgovanja i vrednovanja ocijenjenih tijekom postu</w:t>
            </w:r>
            <w:r w:rsidRPr="00EF7F33">
              <w:rPr>
                <w:rStyle w:val="InstructionsTabelleberschrift"/>
                <w:rFonts w:ascii="Times New Roman" w:hAnsi="Times New Roman"/>
                <w:b w:val="0"/>
                <w:sz w:val="24"/>
                <w:u w:val="none"/>
              </w:rPr>
              <w:t>p</w:t>
            </w:r>
            <w:r w:rsidRPr="00EF7F33">
              <w:rPr>
                <w:rStyle w:val="InstructionsTabelleberschrift"/>
                <w:rFonts w:ascii="Times New Roman" w:hAnsi="Times New Roman"/>
                <w:b w:val="0"/>
                <w:sz w:val="24"/>
                <w:u w:val="none"/>
              </w:rPr>
              <w:t>ka mjesečne neovisne provjere cijena.</w:t>
            </w:r>
          </w:p>
          <w:p w:rsidR="00113E45" w:rsidRPr="00EF7F33" w:rsidRDefault="00D2428D" w:rsidP="00D2428D">
            <w:pPr>
              <w:spacing w:beforeLines="60" w:before="144" w:afterLines="60" w:after="144"/>
              <w:rPr>
                <w:rStyle w:val="InstructionsTabelleberschrift"/>
                <w:rFonts w:ascii="Times New Roman" w:hAnsi="Times New Roman"/>
                <w:b w:val="0"/>
                <w:sz w:val="24"/>
                <w:u w:val="none"/>
              </w:rPr>
            </w:pPr>
            <w:r w:rsidRPr="00EF7F33">
              <w:rPr>
                <w:rStyle w:val="InstructionsTabelleberschrift"/>
                <w:rFonts w:ascii="Times New Roman" w:hAnsi="Times New Roman"/>
                <w:b w:val="0"/>
                <w:sz w:val="24"/>
                <w:u w:val="none"/>
              </w:rPr>
              <w:t>U izračun razlike na temelju neovisne provjere cijena ne uključuju se iznosi u</w:t>
            </w:r>
            <w:r w:rsidRPr="00EF7F33">
              <w:rPr>
                <w:rStyle w:val="InstructionsTabelleberschrift"/>
                <w:rFonts w:ascii="Times New Roman" w:hAnsi="Times New Roman"/>
                <w:b w:val="0"/>
                <w:sz w:val="24"/>
                <w:u w:val="none"/>
              </w:rPr>
              <w:t>s</w:t>
            </w:r>
            <w:r w:rsidRPr="00EF7F33">
              <w:rPr>
                <w:rStyle w:val="InstructionsTabelleberschrift"/>
                <w:rFonts w:ascii="Times New Roman" w:hAnsi="Times New Roman"/>
                <w:b w:val="0"/>
                <w:sz w:val="24"/>
                <w:u w:val="none"/>
              </w:rPr>
              <w:t>klađenih razlika iz knjiga i evidencija institucije za relevantni datum na kraju mjeseca.</w:t>
            </w:r>
          </w:p>
        </w:tc>
      </w:tr>
    </w:tbl>
    <w:p w:rsidR="00995A7F" w:rsidRPr="00EF7F33" w:rsidRDefault="00995A7F" w:rsidP="00C61FF5">
      <w:pPr>
        <w:rPr>
          <w:rStyle w:val="InstructionsTabelleText"/>
          <w:rFonts w:ascii="Times New Roman" w:hAnsi="Times New Roman"/>
          <w:sz w:val="24"/>
        </w:rPr>
      </w:pPr>
    </w:p>
    <w:p w:rsidR="00FD54FC" w:rsidRPr="00EF7F33"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998211"/>
      <w:r w:rsidRPr="00EF7F33">
        <w:rPr>
          <w:rFonts w:ascii="Times New Roman" w:hAnsi="Times New Roman"/>
          <w:sz w:val="24"/>
          <w:u w:val="none"/>
        </w:rPr>
        <w:t>7.</w:t>
      </w:r>
      <w:r w:rsidRPr="00EF7F33">
        <w:tab/>
      </w:r>
      <w:r w:rsidRPr="00EF7F33">
        <w:rPr>
          <w:rFonts w:ascii="Times New Roman" w:hAnsi="Times New Roman"/>
          <w:sz w:val="24"/>
        </w:rPr>
        <w:t>C 33.00 – IZLOŽENOSTI PREMA OPĆIM DRŽAVAMA (GOV)</w:t>
      </w:r>
      <w:bookmarkEnd w:id="801"/>
      <w:bookmarkEnd w:id="802"/>
      <w:bookmarkEnd w:id="803"/>
    </w:p>
    <w:p w:rsidR="00FD54FC" w:rsidRPr="00EF7F33"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998212"/>
      <w:r w:rsidRPr="00EF7F33">
        <w:rPr>
          <w:rFonts w:ascii="Times New Roman" w:hAnsi="Times New Roman"/>
          <w:sz w:val="24"/>
          <w:u w:val="none"/>
        </w:rPr>
        <w:t>7.1.</w:t>
      </w:r>
      <w:r w:rsidRPr="00EF7F33">
        <w:tab/>
      </w:r>
      <w:r w:rsidRPr="00EF7F33">
        <w:rPr>
          <w:rFonts w:ascii="Times New Roman" w:hAnsi="Times New Roman"/>
          <w:sz w:val="24"/>
        </w:rPr>
        <w:t>Opće napomene</w:t>
      </w:r>
      <w:bookmarkEnd w:id="804"/>
      <w:bookmarkEnd w:id="805"/>
      <w:bookmarkEnd w:id="806"/>
      <w:bookmarkEnd w:id="807"/>
      <w:r w:rsidRPr="00EF7F33">
        <w:rPr>
          <w:rFonts w:ascii="Times New Roman" w:hAnsi="Times New Roman"/>
          <w:sz w:val="24"/>
        </w:rPr>
        <w:t xml:space="preserve"> </w:t>
      </w:r>
    </w:p>
    <w:p w:rsidR="00FD54FC" w:rsidRPr="00EF7F33" w:rsidRDefault="00125707" w:rsidP="009068C9">
      <w:pPr>
        <w:pStyle w:val="InstructionsText2"/>
        <w:numPr>
          <w:ilvl w:val="0"/>
          <w:numId w:val="0"/>
        </w:numPr>
        <w:ind w:left="993"/>
      </w:pPr>
      <w:r w:rsidRPr="00EF7F33">
        <w:t>155.</w:t>
      </w:r>
      <w:r w:rsidRPr="00EF7F33">
        <w:tab/>
        <w:t>Informacije za potrebe izvješćivanja u obrascu C 33.00 obuhvaćaju sve izlož</w:t>
      </w:r>
      <w:r w:rsidRPr="00EF7F33">
        <w:t>e</w:t>
      </w:r>
      <w:r w:rsidRPr="00EF7F33">
        <w:t>nosti prema „općim državama” kako je definirano u točki 42. podtočki (b) Pril</w:t>
      </w:r>
      <w:r w:rsidRPr="00EF7F33">
        <w:t>o</w:t>
      </w:r>
      <w:r w:rsidRPr="00EF7F33">
        <w:t>ga V.</w:t>
      </w:r>
    </w:p>
    <w:p w:rsidR="00FD54FC" w:rsidRPr="00EF7F33" w:rsidRDefault="00125707" w:rsidP="009068C9">
      <w:pPr>
        <w:pStyle w:val="InstructionsText2"/>
        <w:numPr>
          <w:ilvl w:val="0"/>
          <w:numId w:val="0"/>
        </w:numPr>
        <w:ind w:left="993"/>
      </w:pPr>
      <w:r w:rsidRPr="00EF7F33">
        <w:t>156.</w:t>
      </w:r>
      <w:r w:rsidRPr="00EF7F33">
        <w:tab/>
        <w:t>Izloženosti prema „općim državama” uključene su u različite kategorije izlož</w:t>
      </w:r>
      <w:r w:rsidRPr="00EF7F33">
        <w:t>e</w:t>
      </w:r>
      <w:r w:rsidRPr="00EF7F33">
        <w:t xml:space="preserve">nosti u skladu s člankom 112. i člankom 147. CRR-a, kako je određeno u uputama za ispunjavanje obrazaca C 07.00, C 08.01 i C 08.02.  </w:t>
      </w:r>
    </w:p>
    <w:p w:rsidR="00FD54FC" w:rsidRPr="00EF7F33" w:rsidRDefault="00125707" w:rsidP="009068C9">
      <w:pPr>
        <w:pStyle w:val="InstructionsText2"/>
        <w:numPr>
          <w:ilvl w:val="0"/>
          <w:numId w:val="0"/>
        </w:numPr>
        <w:ind w:left="993"/>
      </w:pPr>
      <w:r w:rsidRPr="00EF7F33">
        <w:t>157.</w:t>
      </w:r>
      <w:r w:rsidRPr="00EF7F33">
        <w:tab/>
        <w:t xml:space="preserve">Tablica 2. (standardizirani pristup) i tablica 3. (IRB pristup), uključene u dio 3. Priloga 5., koriste se za raspoređivanje kategorija izloženosti za izračun kapitalnih zahtjeva u skladu s CRR-om u sektor druge ugovorne strane „opće države”. </w:t>
      </w:r>
    </w:p>
    <w:p w:rsidR="00FD54FC" w:rsidRPr="00EF7F33" w:rsidRDefault="00125707" w:rsidP="009068C9">
      <w:pPr>
        <w:pStyle w:val="InstructionsText2"/>
        <w:numPr>
          <w:ilvl w:val="0"/>
          <w:numId w:val="0"/>
        </w:numPr>
        <w:ind w:left="993"/>
      </w:pPr>
      <w:r w:rsidRPr="00EF7F33">
        <w:t>158.</w:t>
      </w:r>
      <w:r w:rsidRPr="00EF7F33">
        <w:tab/>
        <w:t>Iskazuju se informacije o ukupnim agregatnim izloženostima (odnosno zbroj svih zemalja u kojima banka ima izloženosti prema općim državama) i svakoj ze</w:t>
      </w:r>
      <w:r w:rsidRPr="00EF7F33">
        <w:t>m</w:t>
      </w:r>
      <w:r w:rsidRPr="00EF7F33">
        <w:t xml:space="preserve">lji na temelju boravišta druge ugovorne strane prema neposrednom dužniku. </w:t>
      </w:r>
    </w:p>
    <w:p w:rsidR="00FD54FC" w:rsidRPr="00EF7F33" w:rsidRDefault="00125707" w:rsidP="009068C9">
      <w:pPr>
        <w:pStyle w:val="InstructionsText2"/>
        <w:numPr>
          <w:ilvl w:val="0"/>
          <w:numId w:val="0"/>
        </w:numPr>
        <w:ind w:left="993"/>
      </w:pPr>
      <w:r w:rsidRPr="00EF7F33">
        <w:t>159.</w:t>
      </w:r>
      <w:r w:rsidRPr="00EF7F33">
        <w:tab/>
        <w:t xml:space="preserve">Raspodjela izloženosti u kategorije izloženosti ili prema zemlji provodi se ne uzimajući u obzir tehnike smanjenja rizika i osobito ne uzimajući u obzir učinke zamjene. Međutim izračun vrijednosti izloženosti i iznosa izloženosti ponderiranih </w:t>
      </w:r>
      <w:r w:rsidRPr="00EF7F33">
        <w:lastRenderedPageBreak/>
        <w:t xml:space="preserve">rizikom za svaku kategoriju izloženosti i svaku zemlju uključuje primjenu tehnika smanjenja rizika, uključujući učinke zamjene. </w:t>
      </w:r>
    </w:p>
    <w:p w:rsidR="00FD54FC" w:rsidRPr="00EF7F33" w:rsidRDefault="00125707" w:rsidP="009068C9">
      <w:pPr>
        <w:pStyle w:val="InstructionsText2"/>
        <w:numPr>
          <w:ilvl w:val="0"/>
          <w:numId w:val="0"/>
        </w:numPr>
        <w:ind w:left="993"/>
      </w:pPr>
      <w:r w:rsidRPr="00EF7F33">
        <w:t>160.</w:t>
      </w:r>
      <w:r w:rsidRPr="00EF7F33">
        <w:tab/>
        <w:t>Iskazivanje informacija o izloženostima prema „općim državama” prema ze</w:t>
      </w:r>
      <w:r w:rsidRPr="00EF7F33">
        <w:t>m</w:t>
      </w:r>
      <w:r w:rsidRPr="00EF7F33">
        <w:t>lji boravišta neposredne druge ugovorne strane osim matične zemlje institucije koja izvješćuje podliježe primjeni pragova iz članka 5. stavka (b) točke 3. ove Uredbe.</w:t>
      </w:r>
    </w:p>
    <w:p w:rsidR="00FD54FC" w:rsidRPr="00EF7F33" w:rsidRDefault="00995A7F" w:rsidP="0023700C">
      <w:pPr>
        <w:pStyle w:val="Instructionsberschrift2"/>
        <w:numPr>
          <w:ilvl w:val="0"/>
          <w:numId w:val="0"/>
        </w:numPr>
        <w:ind w:left="357" w:hanging="357"/>
        <w:rPr>
          <w:rFonts w:ascii="Times New Roman" w:hAnsi="Times New Roman" w:cs="Times New Roman"/>
          <w:sz w:val="24"/>
        </w:rPr>
      </w:pPr>
      <w:bookmarkStart w:id="808" w:name="_Toc523998213"/>
      <w:bookmarkStart w:id="809" w:name="_Toc367202009"/>
      <w:bookmarkStart w:id="810" w:name="_Toc516210721"/>
      <w:bookmarkStart w:id="811" w:name="_Toc473561057"/>
      <w:r w:rsidRPr="00EF7F33">
        <w:rPr>
          <w:rFonts w:ascii="Times New Roman" w:hAnsi="Times New Roman"/>
          <w:sz w:val="24"/>
          <w:u w:val="none"/>
        </w:rPr>
        <w:t>7.2.</w:t>
      </w:r>
      <w:r w:rsidRPr="00EF7F33">
        <w:tab/>
      </w:r>
      <w:r w:rsidRPr="00EF7F33">
        <w:rPr>
          <w:rFonts w:ascii="Times New Roman" w:hAnsi="Times New Roman"/>
          <w:sz w:val="24"/>
        </w:rPr>
        <w:t>Opseg izvješćivanja u obrascu o izloženostima prema „općim državama”</w:t>
      </w:r>
      <w:bookmarkEnd w:id="808"/>
      <w:r w:rsidRPr="00EF7F33">
        <w:rPr>
          <w:rFonts w:ascii="Times New Roman" w:hAnsi="Times New Roman"/>
          <w:sz w:val="24"/>
        </w:rPr>
        <w:t xml:space="preserve"> </w:t>
      </w:r>
      <w:bookmarkEnd w:id="809"/>
      <w:r w:rsidRPr="00EF7F33">
        <w:rPr>
          <w:rFonts w:ascii="Times New Roman" w:hAnsi="Times New Roman"/>
          <w:sz w:val="24"/>
        </w:rPr>
        <w:t xml:space="preserve"> </w:t>
      </w:r>
      <w:bookmarkEnd w:id="810"/>
      <w:bookmarkEnd w:id="811"/>
    </w:p>
    <w:p w:rsidR="00FD54FC" w:rsidRPr="00EF7F33" w:rsidRDefault="00125707" w:rsidP="009068C9">
      <w:pPr>
        <w:pStyle w:val="InstructionsText2"/>
        <w:numPr>
          <w:ilvl w:val="0"/>
          <w:numId w:val="0"/>
        </w:numPr>
        <w:ind w:left="993"/>
      </w:pPr>
      <w:r w:rsidRPr="00EF7F33">
        <w:t>161.</w:t>
      </w:r>
      <w:r w:rsidRPr="00EF7F33">
        <w:tab/>
        <w:t>Opseg izvješćivanja u obrascu GOV obuhvaća bilančne i izvanbilančne izravne izloženosti i izravne izloženosti izvedenica prema „općim državama” u knjizi poz</w:t>
      </w:r>
      <w:r w:rsidRPr="00EF7F33">
        <w:t>i</w:t>
      </w:r>
      <w:r w:rsidRPr="00EF7F33">
        <w:t>cija kojima se ne trguje i knjizi trgovanja. Nadalje, propisuje se i navođenje bilješke o neizravnim izloženostima u obliku prodanih kreditnih izvedenica čija su odnosna imovina izloženosti prema općim državama.</w:t>
      </w:r>
    </w:p>
    <w:p w:rsidR="00FD54FC" w:rsidRPr="00EF7F33" w:rsidRDefault="00125707" w:rsidP="009068C9">
      <w:pPr>
        <w:pStyle w:val="InstructionsText2"/>
        <w:numPr>
          <w:ilvl w:val="0"/>
          <w:numId w:val="0"/>
        </w:numPr>
        <w:ind w:left="993"/>
      </w:pPr>
      <w:r w:rsidRPr="00EF7F33">
        <w:t>162.</w:t>
      </w:r>
      <w:r w:rsidRPr="00EF7F33">
        <w:tab/>
        <w:t>Izloženost je izravna izloženost kada je neposredna druga ugovorna strana su</w:t>
      </w:r>
      <w:r w:rsidRPr="00EF7F33">
        <w:t>b</w:t>
      </w:r>
      <w:r w:rsidRPr="00EF7F33">
        <w:t xml:space="preserve">jekt obuhvaćen definicijom „opće države”. </w:t>
      </w:r>
    </w:p>
    <w:p w:rsidR="00FD54FC" w:rsidRPr="00EF7F33" w:rsidRDefault="00125707" w:rsidP="009068C9">
      <w:pPr>
        <w:pStyle w:val="InstructionsText2"/>
        <w:numPr>
          <w:ilvl w:val="0"/>
          <w:numId w:val="0"/>
        </w:numPr>
        <w:ind w:left="993"/>
      </w:pPr>
      <w:r w:rsidRPr="00EF7F33">
        <w:t>163.</w:t>
      </w:r>
      <w:r w:rsidRPr="00EF7F33">
        <w:tab/>
        <w:t>Obrazac je podijeljen u dva odjeljka. Prvi se odjeljak temelji na raščlambi izl</w:t>
      </w:r>
      <w:r w:rsidRPr="00EF7F33">
        <w:t>o</w:t>
      </w:r>
      <w:r w:rsidRPr="00EF7F33">
        <w:t>ženosti prema riziku, regulatornom pristupu i kategorijama izloženosti, dok se drugi odjeljak temelji na raščlambi prema preostalom roku do dospijeća.</w:t>
      </w:r>
    </w:p>
    <w:p w:rsidR="00FD54FC" w:rsidRPr="00EF7F33"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998214"/>
      <w:r w:rsidRPr="00EF7F33">
        <w:rPr>
          <w:rFonts w:ascii="Times New Roman" w:hAnsi="Times New Roman"/>
          <w:sz w:val="24"/>
          <w:u w:val="none"/>
        </w:rPr>
        <w:t>7.3.</w:t>
      </w:r>
      <w:r w:rsidRPr="00EF7F33">
        <w:tab/>
      </w:r>
      <w:r w:rsidRPr="00EF7F33">
        <w:rPr>
          <w:rFonts w:ascii="Times New Roman" w:hAnsi="Times New Roman"/>
          <w:sz w:val="24"/>
        </w:rPr>
        <w:t>Upute za specifične pozicije</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EF7F33" w:rsidTr="00672D2A">
        <w:tc>
          <w:tcPr>
            <w:tcW w:w="1188" w:type="dxa"/>
            <w:shd w:val="pct25" w:color="auto" w:fill="auto"/>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Stupci</w:t>
            </w:r>
          </w:p>
          <w:p w:rsidR="00FD54FC" w:rsidRPr="00EF7F33" w:rsidRDefault="00FD54FC" w:rsidP="00FD54FC">
            <w:pPr>
              <w:spacing w:before="0" w:after="0"/>
              <w:ind w:left="33"/>
              <w:rPr>
                <w:rFonts w:ascii="Times New Roman" w:hAnsi="Times New Roman"/>
                <w:bCs/>
                <w:sz w:val="24"/>
              </w:rPr>
            </w:pPr>
          </w:p>
        </w:tc>
        <w:tc>
          <w:tcPr>
            <w:tcW w:w="8640" w:type="dxa"/>
            <w:shd w:val="pct25" w:color="auto" w:fill="auto"/>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Upute</w:t>
            </w:r>
          </w:p>
        </w:tc>
      </w:tr>
      <w:tr w:rsidR="00FD54FC" w:rsidRPr="00EF7F33" w:rsidTr="00672D2A">
        <w:tc>
          <w:tcPr>
            <w:tcW w:w="1188" w:type="dxa"/>
            <w:tcBorders>
              <w:bottom w:val="single" w:sz="4" w:space="0" w:color="auto"/>
            </w:tcBorders>
          </w:tcPr>
          <w:p w:rsidR="00FD54FC" w:rsidRPr="00EF7F33" w:rsidRDefault="00FD54FC" w:rsidP="00B74792">
            <w:pPr>
              <w:spacing w:before="0" w:after="0"/>
              <w:ind w:left="33"/>
              <w:rPr>
                <w:rFonts w:ascii="Times New Roman" w:hAnsi="Times New Roman"/>
                <w:bCs/>
                <w:sz w:val="24"/>
                <w:highlight w:val="yellow"/>
              </w:rPr>
            </w:pPr>
            <w:r w:rsidRPr="00EF7F33">
              <w:rPr>
                <w:rFonts w:ascii="Times New Roman" w:hAnsi="Times New Roman"/>
                <w:sz w:val="24"/>
              </w:rPr>
              <w:t>010-260</w:t>
            </w:r>
          </w:p>
        </w:tc>
        <w:tc>
          <w:tcPr>
            <w:tcW w:w="8640" w:type="dxa"/>
            <w:tcBorders>
              <w:bottom w:val="single" w:sz="4" w:space="0" w:color="auto"/>
            </w:tcBorders>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IZRAVNE IZLOŽENOSTI </w:t>
            </w:r>
          </w:p>
        </w:tc>
      </w:tr>
      <w:tr w:rsidR="00FD54FC" w:rsidRPr="00EF7F33" w:rsidTr="00672D2A">
        <w:tc>
          <w:tcPr>
            <w:tcW w:w="1188" w:type="dxa"/>
          </w:tcPr>
          <w:p w:rsidR="00FD54FC" w:rsidRPr="00EF7F33" w:rsidRDefault="00FD54FC" w:rsidP="00B74792">
            <w:pPr>
              <w:spacing w:before="0" w:after="0"/>
              <w:ind w:left="33"/>
              <w:rPr>
                <w:rFonts w:ascii="Times New Roman" w:hAnsi="Times New Roman"/>
                <w:bCs/>
                <w:sz w:val="24"/>
                <w:highlight w:val="yellow"/>
              </w:rPr>
            </w:pPr>
            <w:r w:rsidRPr="00EF7F33">
              <w:rPr>
                <w:rFonts w:ascii="Times New Roman" w:hAnsi="Times New Roman"/>
                <w:sz w:val="24"/>
              </w:rPr>
              <w:t>010-140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BILANČNE IZLOŽENOSTI</w:t>
            </w: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010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Ukupna bruto knjigovodstvena vrijednost neizvedene financijske imovine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Ukupna bruto knjigovodstvena vrijednost, kako je određena u skladu s točkom 34. d</w:t>
            </w:r>
            <w:r w:rsidRPr="00EF7F33">
              <w:rPr>
                <w:rFonts w:ascii="Times New Roman" w:hAnsi="Times New Roman"/>
                <w:sz w:val="24"/>
              </w:rPr>
              <w:t>i</w:t>
            </w:r>
            <w:r w:rsidRPr="00EF7F33">
              <w:rPr>
                <w:rFonts w:ascii="Times New Roman" w:hAnsi="Times New Roman"/>
                <w:sz w:val="24"/>
              </w:rPr>
              <w:t>jela 1. Priloga V., neizvedene financijske imovine koja predstavlja izloženosti prema „općoj državi” za sve računovodstvene portfelje na temelju MSFI-ja ili nacionalnih općeprihvaćenih računovodstvenih načela na temelju Direktive 86/635/EEZ (Račun</w:t>
            </w:r>
            <w:r w:rsidRPr="00EF7F33">
              <w:rPr>
                <w:rFonts w:ascii="Times New Roman" w:hAnsi="Times New Roman"/>
                <w:sz w:val="24"/>
              </w:rPr>
              <w:t>o</w:t>
            </w:r>
            <w:r w:rsidRPr="00EF7F33">
              <w:rPr>
                <w:rFonts w:ascii="Times New Roman" w:hAnsi="Times New Roman"/>
                <w:sz w:val="24"/>
              </w:rPr>
              <w:t xml:space="preserve">vodstvena direktiva za banke, BAD), kako su definirani u točkama od 15. do 22. dijela 1. Priloga V. i navedeni u stupcima od 030 do 120.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Bonitetnim vrijednosnim usklađenjima ne smije se umanjiti bruto knjigovodstvena vr</w:t>
            </w:r>
            <w:r w:rsidRPr="00EF7F33">
              <w:rPr>
                <w:rFonts w:ascii="Times New Roman" w:hAnsi="Times New Roman"/>
                <w:sz w:val="24"/>
              </w:rPr>
              <w:t>i</w:t>
            </w:r>
            <w:r w:rsidRPr="00EF7F33">
              <w:rPr>
                <w:rFonts w:ascii="Times New Roman" w:hAnsi="Times New Roman"/>
                <w:sz w:val="24"/>
              </w:rPr>
              <w:t>jednost izloženosti iz knjige trgovanja i iz knjige pozicija kojima se ne trguje koje se mjere po fer vrijednosti.</w:t>
            </w:r>
          </w:p>
          <w:p w:rsidR="00FD54FC" w:rsidRPr="00EF7F33" w:rsidRDefault="00FD54FC" w:rsidP="00FD54FC">
            <w:pPr>
              <w:spacing w:before="0" w:after="0"/>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020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Ukupna knjigovodstvena vrijednost neizvedene financijske imovine (ne uključ</w:t>
            </w:r>
            <w:r w:rsidRPr="00EF7F33">
              <w:rPr>
                <w:rFonts w:ascii="Times New Roman" w:hAnsi="Times New Roman"/>
                <w:b/>
                <w:sz w:val="24"/>
                <w:u w:val="single"/>
              </w:rPr>
              <w:t>u</w:t>
            </w:r>
            <w:r w:rsidRPr="00EF7F33">
              <w:rPr>
                <w:rFonts w:ascii="Times New Roman" w:hAnsi="Times New Roman"/>
                <w:b/>
                <w:sz w:val="24"/>
                <w:u w:val="single"/>
              </w:rPr>
              <w:t>jući kratke pozicije)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Ukupna knjigovodstvena vrijednost, u skladu s točkom 27. dijela 1. Priloga V., nei</w:t>
            </w:r>
            <w:r w:rsidRPr="00EF7F33">
              <w:rPr>
                <w:rFonts w:ascii="Times New Roman" w:hAnsi="Times New Roman"/>
                <w:sz w:val="24"/>
              </w:rPr>
              <w:t>z</w:t>
            </w:r>
            <w:r w:rsidRPr="00EF7F33">
              <w:rPr>
                <w:rFonts w:ascii="Times New Roman" w:hAnsi="Times New Roman"/>
                <w:sz w:val="24"/>
              </w:rPr>
              <w:t>vedene financijske imovine koja predstavlja izloženosti prema „općoj državi” za sve računovodstvene portfelje na temelju MSFI-ja ili nacionalnih općeprihvaćenih račun</w:t>
            </w:r>
            <w:r w:rsidRPr="00EF7F33">
              <w:rPr>
                <w:rFonts w:ascii="Times New Roman" w:hAnsi="Times New Roman"/>
                <w:sz w:val="24"/>
              </w:rPr>
              <w:t>o</w:t>
            </w:r>
            <w:r w:rsidRPr="00EF7F33">
              <w:rPr>
                <w:rFonts w:ascii="Times New Roman" w:hAnsi="Times New Roman"/>
                <w:sz w:val="24"/>
              </w:rPr>
              <w:t>vodstvenih načela na temelju BAD-a, kako su definirani u točkama od 15. do 22. dijela 1. Priloga V. i navedeni u stupcima od 030 do 120, ne uključujući kratke pozicije.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Kada institucija ima kratku poziciju s istim preostalim rokom do dospijeća, i istom n</w:t>
            </w:r>
            <w:r w:rsidRPr="00EF7F33">
              <w:rPr>
                <w:rFonts w:ascii="Times New Roman" w:hAnsi="Times New Roman"/>
                <w:sz w:val="24"/>
              </w:rPr>
              <w:t>e</w:t>
            </w:r>
            <w:r w:rsidRPr="00EF7F33">
              <w:rPr>
                <w:rFonts w:ascii="Times New Roman" w:hAnsi="Times New Roman"/>
                <w:sz w:val="24"/>
              </w:rPr>
              <w:lastRenderedPageBreak/>
              <w:t>posrednom drugom ugovornom stranom koja je denominirana u istoj valuti, knjig</w:t>
            </w:r>
            <w:r w:rsidRPr="00EF7F33">
              <w:rPr>
                <w:rFonts w:ascii="Times New Roman" w:hAnsi="Times New Roman"/>
                <w:sz w:val="24"/>
              </w:rPr>
              <w:t>o</w:t>
            </w:r>
            <w:r w:rsidRPr="00EF7F33">
              <w:rPr>
                <w:rFonts w:ascii="Times New Roman" w:hAnsi="Times New Roman"/>
                <w:sz w:val="24"/>
              </w:rPr>
              <w:t>vodstvena vrijednost kratke pozicije prebija se knjigovodstvenom vrijednošću izravne pozicije. Smatra se da taj neto iznos iznosi nula ako je riječ o negativnom iznosu.</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Iskazuje se zbroj stupaca od 030 do 120 umanjen za stupac 130.</w:t>
            </w:r>
            <w:r w:rsidRPr="00EF7F33">
              <w:rPr>
                <w:sz w:val="24"/>
              </w:rPr>
              <w:t xml:space="preserve"> </w:t>
            </w:r>
            <w:r w:rsidRPr="00EF7F33">
              <w:rPr>
                <w:rFonts w:ascii="Times New Roman" w:hAnsi="Times New Roman"/>
                <w:sz w:val="24"/>
              </w:rPr>
              <w:t>Ako je taj iznos manji od nula, iskazuje se iznos nula.</w:t>
            </w:r>
          </w:p>
          <w:p w:rsidR="00FD54FC" w:rsidRPr="00EF7F33" w:rsidDel="00FB1EBF"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030-120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NEIZVEDENA FINANCIJSKA IMOVINA PO RAČUNOVODSTVENIM PO</w:t>
            </w:r>
            <w:r w:rsidRPr="00EF7F33">
              <w:rPr>
                <w:rFonts w:ascii="Times New Roman" w:hAnsi="Times New Roman"/>
                <w:b/>
                <w:sz w:val="24"/>
                <w:u w:val="single"/>
              </w:rPr>
              <w:t>R</w:t>
            </w:r>
            <w:r w:rsidRPr="00EF7F33">
              <w:rPr>
                <w:rFonts w:ascii="Times New Roman" w:hAnsi="Times New Roman"/>
                <w:b/>
                <w:sz w:val="24"/>
                <w:u w:val="single"/>
              </w:rPr>
              <w:t>TFELJIMA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Ukupna knjigovodstvena vrijednost neizvedene financijske imovine, kako je prethodno definirana, koja predstavlja izloženosti prema „općoj državi” po računovodstvenom portfelju u skladu s primjenjivim računovodstvenim okvirom.</w:t>
            </w:r>
          </w:p>
          <w:p w:rsidR="00FD54FC" w:rsidRPr="00EF7F33" w:rsidDel="00FB1EBF"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030</w:t>
            </w:r>
          </w:p>
        </w:tc>
        <w:tc>
          <w:tcPr>
            <w:tcW w:w="8640"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b/>
                <w:sz w:val="24"/>
                <w:u w:val="single"/>
              </w:rPr>
              <w:t>Financijska imovina koja se drži radi trgovanja</w:t>
            </w:r>
          </w:p>
          <w:p w:rsidR="00FD54FC" w:rsidRPr="00EF7F33" w:rsidRDefault="00FD54FC" w:rsidP="00FD54FC">
            <w:pPr>
              <w:spacing w:before="0" w:after="0"/>
              <w:ind w:left="33"/>
              <w:rPr>
                <w:rFonts w:ascii="Times New Roman" w:hAnsi="Times New Roman"/>
                <w:bCs/>
                <w:sz w:val="24"/>
              </w:rPr>
            </w:pPr>
          </w:p>
          <w:p w:rsidR="00FD54FC" w:rsidRPr="00EF7F33" w:rsidRDefault="001C79CB" w:rsidP="00FD54FC">
            <w:pPr>
              <w:spacing w:before="0" w:after="0"/>
              <w:ind w:left="33"/>
              <w:rPr>
                <w:rFonts w:ascii="Times New Roman" w:hAnsi="Times New Roman"/>
                <w:bCs/>
                <w:sz w:val="24"/>
              </w:rPr>
            </w:pPr>
            <w:r w:rsidRPr="00EF7F33">
              <w:rPr>
                <w:rFonts w:ascii="Times New Roman" w:hAnsi="Times New Roman"/>
                <w:sz w:val="24"/>
              </w:rPr>
              <w:t>MSFI 7.8(a)(ii); MSFI 9 Dodatak A</w:t>
            </w:r>
          </w:p>
          <w:p w:rsidR="00FD54FC" w:rsidRPr="00EF7F33" w:rsidDel="00FB1EBF"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040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Financijska imovina kojom se trguje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Članci 32-33. BAD-a; Prilog V. dio 1.16.; članak 8. stavak 1. točka (a) Računovo</w:t>
            </w:r>
            <w:r w:rsidRPr="00EF7F33">
              <w:rPr>
                <w:rFonts w:ascii="Times New Roman" w:hAnsi="Times New Roman"/>
                <w:sz w:val="24"/>
              </w:rPr>
              <w:t>d</w:t>
            </w:r>
            <w:r w:rsidRPr="00EF7F33">
              <w:rPr>
                <w:rFonts w:ascii="Times New Roman" w:hAnsi="Times New Roman"/>
                <w:sz w:val="24"/>
              </w:rPr>
              <w:t>stvene direktive</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Iskazuju samo institucije na koje se primjenjuju nacionalna općeprihvaćena </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računovodstvena načela.</w:t>
            </w:r>
          </w:p>
          <w:p w:rsidR="00FD54FC" w:rsidRPr="00EF7F33" w:rsidDel="00FB1EBF"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050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Financijska imovina kojom se ne trguje koja se obvezno mjeri po fer vrijednosti kroz dobit ili gubitak</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MSFI 7.8(a)(ii); MSFI 9.4.1.4</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060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Financijska imovina po fer vrijednosti kroz dobit ili gubitak</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MSFI 7.8(a)(i); MSFI 9.4.1.5 i članak 8. stavak 1. točka (a) i stavak 6. Računovo</w:t>
            </w:r>
            <w:r w:rsidRPr="00EF7F33">
              <w:rPr>
                <w:rFonts w:ascii="Times New Roman" w:hAnsi="Times New Roman"/>
                <w:sz w:val="24"/>
              </w:rPr>
              <w:t>d</w:t>
            </w:r>
            <w:r w:rsidRPr="00EF7F33">
              <w:rPr>
                <w:rFonts w:ascii="Times New Roman" w:hAnsi="Times New Roman"/>
                <w:sz w:val="24"/>
              </w:rPr>
              <w:t>stvene direktive</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070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Neizvedena financijska imovina kojom se ne trguje mjerena po fer vrijednosti kroz dobit ili gubitak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Članak 36. stavak 2. BAD-a; članak 8. stavak 1. točka (a) Računovodstvene direktive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Iskazuju samo institucije na koje se primjenjuju nacionalna općeprihvaćena</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računovodstvena načela.</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080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Financijska imovina po fer vrijednosti kroz ostalu sveobuhvatnu dobit</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MSFI 7.8(d); MSFI 9.4.1.2A</w:t>
            </w:r>
          </w:p>
          <w:p w:rsidR="00FD54FC" w:rsidRPr="00EF7F33" w:rsidRDefault="00FD54FC" w:rsidP="00FD54FC">
            <w:pPr>
              <w:spacing w:before="0" w:after="0"/>
              <w:ind w:left="33"/>
              <w:rPr>
                <w:rFonts w:ascii="Times New Roman" w:hAnsi="Times New Roman"/>
                <w:b/>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090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Neizvedena financijska imovina kojom se ne trguje mjerena po fer vrijednosti prema vlasničkim instrumentima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Članak 8. stavak 1. točka (a) i stavak 8. Računovodstvene direktive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Iskazuju samo institucije na koje se primjenjuju nacionalna općeprihvaćena</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računovodstvena načela.</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100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Financijska imovina po amortiziranom trošku</w:t>
            </w:r>
          </w:p>
          <w:p w:rsidR="00FD54FC" w:rsidRPr="00EF7F33" w:rsidRDefault="00FD54FC" w:rsidP="00FD54FC">
            <w:pPr>
              <w:spacing w:before="0" w:after="0"/>
              <w:ind w:left="33"/>
              <w:rPr>
                <w:rFonts w:ascii="Times New Roman" w:hAnsi="Times New Roman"/>
                <w:bCs/>
                <w:sz w:val="24"/>
              </w:rPr>
            </w:pPr>
          </w:p>
          <w:p w:rsidR="00FD54FC" w:rsidRPr="00EF7F33" w:rsidDel="00501397" w:rsidRDefault="00FD54FC" w:rsidP="00FD54FC">
            <w:pPr>
              <w:spacing w:before="0" w:after="0"/>
              <w:ind w:left="33"/>
              <w:rPr>
                <w:rFonts w:ascii="Times New Roman" w:hAnsi="Times New Roman"/>
                <w:b/>
                <w:bCs/>
                <w:sz w:val="24"/>
                <w:u w:val="single"/>
              </w:rPr>
            </w:pPr>
            <w:r w:rsidRPr="00EF7F33">
              <w:rPr>
                <w:rFonts w:ascii="Times New Roman" w:hAnsi="Times New Roman"/>
                <w:sz w:val="24"/>
              </w:rPr>
              <w:t xml:space="preserve">MSFI 7.8(f); MSFI 9.4.1.2.; Prilog V. dio 1.15. </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110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Neizvedena financijska imovina kojom se ne trguje mjerena po troškovnoj metodi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Članak 35. BAD-a; članak 6. stavak 1. točka i. i članak 8. stavak 2. Računovodstvene direktive; Prilog V. dio 1.16.</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Iskazuju samo institucije na koje se primjenjuju nacionalna općeprihvaćena</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računovodstvena načela.</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120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Ostala neizvedena financijska imovina kojom se ne trguje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Članak 37. BAD-a; članak 12. stavak 7. Računovodstvene direktive; Prilog V. dio 1.16.</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Iskazuju samo institucije na koje se primjenjuju nacionalna općeprihvaćena</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računovodstvena načela.</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130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Kratke pozicije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Knjigovodstvena vrijednost kratkih pozicija, kako je definirano u MSFI-ju 9 BA.7(b) kad je izravna druga ugovorna strana opća država kako je definirano u točki 1.</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Kratke pozicije nastaju kad institucija prodaje vrijednosne papire koje je stekla u okv</w:t>
            </w:r>
            <w:r w:rsidRPr="00EF7F33">
              <w:rPr>
                <w:rFonts w:ascii="Times New Roman" w:hAnsi="Times New Roman"/>
                <w:sz w:val="24"/>
              </w:rPr>
              <w:t>i</w:t>
            </w:r>
            <w:r w:rsidRPr="00EF7F33">
              <w:rPr>
                <w:rFonts w:ascii="Times New Roman" w:hAnsi="Times New Roman"/>
                <w:sz w:val="24"/>
              </w:rPr>
              <w:t>ru obratnog repo kredita ili koje je pozajmila u okviru transakcije pozajmljivanja vrij</w:t>
            </w:r>
            <w:r w:rsidRPr="00EF7F33">
              <w:rPr>
                <w:rFonts w:ascii="Times New Roman" w:hAnsi="Times New Roman"/>
                <w:sz w:val="24"/>
              </w:rPr>
              <w:t>e</w:t>
            </w:r>
            <w:r w:rsidRPr="00EF7F33">
              <w:rPr>
                <w:rFonts w:ascii="Times New Roman" w:hAnsi="Times New Roman"/>
                <w:sz w:val="24"/>
              </w:rPr>
              <w:t>dnosnih papira, u kojima je opća država izravna druga ugovorna strana.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Knjigovodstvena vrijednost jednaka je fer vrijednosti kratkih pozicija.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Kratke pozicije moraju se iskazati prema razdoblju preostalog roka do dospijeća, kako je definirano u redcima od 170 do 230, i prema neposrednoj drugoj ugovornoj strani. Kratke pozicije zatim se koriste za netiranje s pozicijama koje imaju isti preostali rok do dospijeća i neposrednu drugu ugovornu stranu za potrebe izračuna u stupcima od 030 do 120.</w:t>
            </w:r>
          </w:p>
        </w:tc>
      </w:tr>
      <w:tr w:rsidR="00FD54FC" w:rsidRPr="00EF7F33" w:rsidTr="00672D2A">
        <w:tc>
          <w:tcPr>
            <w:tcW w:w="1188" w:type="dxa"/>
          </w:tcPr>
          <w:p w:rsidR="00FD54FC" w:rsidRPr="00EF7F33" w:rsidDel="00E97A51" w:rsidRDefault="00FD54FC" w:rsidP="00FD54FC">
            <w:pPr>
              <w:spacing w:before="0" w:after="0"/>
              <w:ind w:left="33"/>
              <w:rPr>
                <w:rFonts w:ascii="Times New Roman" w:hAnsi="Times New Roman"/>
                <w:bCs/>
                <w:sz w:val="24"/>
              </w:rPr>
            </w:pPr>
            <w:r w:rsidRPr="00EF7F33">
              <w:rPr>
                <w:rFonts w:ascii="Times New Roman" w:hAnsi="Times New Roman"/>
                <w:sz w:val="24"/>
              </w:rPr>
              <w:t>140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Od čega: kratke pozicije iz obratnih repo kredita koji se klasificiraju kao fina</w:t>
            </w:r>
            <w:r w:rsidRPr="00EF7F33">
              <w:rPr>
                <w:rFonts w:ascii="Times New Roman" w:hAnsi="Times New Roman"/>
                <w:b/>
                <w:sz w:val="24"/>
                <w:u w:val="single"/>
              </w:rPr>
              <w:t>n</w:t>
            </w:r>
            <w:r w:rsidRPr="00EF7F33">
              <w:rPr>
                <w:rFonts w:ascii="Times New Roman" w:hAnsi="Times New Roman"/>
                <w:b/>
                <w:sz w:val="24"/>
                <w:u w:val="single"/>
              </w:rPr>
              <w:t>cijska imovina koja se drži radi trgovanja ili kojom se trguje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Knjigovodstvena vrijednost kratkih pozicija, kako je definirano u MSFI-ju 9 BA.7(b), koje nastaju kad institucija prodaje vrijednosne papire koje je stekla u okviru obratnih repo kredita, u kojima je opća država izravna druga ugovorna strana, koji su uključeni u računovodstvene portfelje financijske imovine koja se drži radi trgovanja ili kojom se trguje (stupac 030 ili 040).</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 xml:space="preserve">Kratke pozicije koje nastaju kad su prodani vrijednosni papiri pozajmljeni u okviru transakcije pozajmljivanja vrijednosnih papira ne uključuju se u ovaj stupac. </w:t>
            </w:r>
          </w:p>
          <w:p w:rsidR="00FD54FC" w:rsidRPr="00EF7F33" w:rsidDel="00E97A51" w:rsidRDefault="00FD54FC" w:rsidP="00FD54FC">
            <w:pPr>
              <w:spacing w:before="0" w:after="0"/>
              <w:ind w:left="33"/>
              <w:rPr>
                <w:rFonts w:ascii="Times New Roman" w:hAnsi="Times New Roman"/>
                <w:b/>
                <w:bCs/>
                <w:sz w:val="24"/>
                <w:u w:val="single"/>
              </w:rPr>
            </w:pPr>
          </w:p>
        </w:tc>
      </w:tr>
      <w:tr w:rsidR="00FD54FC" w:rsidRPr="00EF7F33" w:rsidDel="004A25FD" w:rsidTr="00672D2A">
        <w:tc>
          <w:tcPr>
            <w:tcW w:w="1188" w:type="dxa"/>
          </w:tcPr>
          <w:p w:rsidR="00FD54FC" w:rsidRPr="00EF7F33" w:rsidDel="004A25FD"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150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Akumulirano umanjenje vrijednosti</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Ukupno akumulirano umanjenje vrijednosti koje se odnosi na neizvedenu financijsku imovinu iskazanu u stupcima od 080 do 120. [Prilog V., dio 2., točke 70. i 71.]</w:t>
            </w:r>
          </w:p>
          <w:p w:rsidR="00FD54FC" w:rsidRPr="00EF7F33" w:rsidDel="004A25FD"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160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Akumulirano umanjenje vrijednosti – od čega: financijske imovine po fer vrije</w:t>
            </w:r>
            <w:r w:rsidRPr="00EF7F33">
              <w:rPr>
                <w:rFonts w:ascii="Times New Roman" w:hAnsi="Times New Roman"/>
                <w:b/>
                <w:sz w:val="24"/>
                <w:u w:val="single"/>
              </w:rPr>
              <w:t>d</w:t>
            </w:r>
            <w:r w:rsidRPr="00EF7F33">
              <w:rPr>
                <w:rFonts w:ascii="Times New Roman" w:hAnsi="Times New Roman"/>
                <w:b/>
                <w:sz w:val="24"/>
                <w:u w:val="single"/>
              </w:rPr>
              <w:t>nosti kroz ostalu sveobuhvatnu dobit ili neizvedene financijske imovine kojom se ne trguje mjerene po fer vrijednosti prema vlasničkim instrumentima</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Ukupno akumulirano umanjenje vrijednosti koje se odnosi na neizvedenu financijsku imovinu iskazanu u stupcima 080 i 090. </w:t>
            </w:r>
          </w:p>
          <w:p w:rsidR="00FD54FC" w:rsidRPr="00EF7F33" w:rsidRDefault="00FD54FC" w:rsidP="00FD54FC">
            <w:pPr>
              <w:spacing w:before="0" w:after="0"/>
              <w:ind w:left="33"/>
              <w:rPr>
                <w:rFonts w:ascii="Times New Roman" w:hAnsi="Times New Roman"/>
                <w:b/>
                <w:bCs/>
                <w:sz w:val="24"/>
                <w:u w:val="single"/>
              </w:rPr>
            </w:pPr>
          </w:p>
        </w:tc>
      </w:tr>
      <w:tr w:rsidR="00FD54FC" w:rsidRPr="00EF7F33" w:rsidDel="004A25FD" w:rsidTr="00672D2A">
        <w:tc>
          <w:tcPr>
            <w:tcW w:w="1188" w:type="dxa"/>
          </w:tcPr>
          <w:p w:rsidR="00FD54FC" w:rsidRPr="00EF7F33" w:rsidDel="004A25FD" w:rsidRDefault="00FD54FC" w:rsidP="00FD54FC">
            <w:pPr>
              <w:spacing w:before="0" w:after="0"/>
              <w:ind w:left="33"/>
              <w:rPr>
                <w:rFonts w:ascii="Times New Roman" w:hAnsi="Times New Roman"/>
                <w:bCs/>
                <w:sz w:val="24"/>
              </w:rPr>
            </w:pPr>
            <w:r w:rsidRPr="00EF7F33">
              <w:rPr>
                <w:rFonts w:ascii="Times New Roman" w:hAnsi="Times New Roman"/>
                <w:sz w:val="24"/>
              </w:rPr>
              <w:t>170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Akumulirane negativne promjene fer vrijednosti zbog kreditnog rizika </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E863C1">
            <w:pPr>
              <w:spacing w:before="0" w:after="0"/>
              <w:ind w:left="33"/>
              <w:rPr>
                <w:rFonts w:ascii="Times New Roman" w:hAnsi="Times New Roman"/>
                <w:bCs/>
                <w:sz w:val="24"/>
              </w:rPr>
            </w:pPr>
            <w:r w:rsidRPr="00EF7F33">
              <w:rPr>
                <w:rFonts w:ascii="Times New Roman" w:hAnsi="Times New Roman"/>
                <w:sz w:val="24"/>
              </w:rPr>
              <w:t>Ukupne akumulirane negativne promjene fer vrijednosti zbog kreditnog rizika koje se odnose na pozicije iskazane u stupcima 050, 060, 070, 080 i 090. [Prilog V., dio 2., točka 69.]</w:t>
            </w:r>
          </w:p>
          <w:p w:rsidR="00FD54FC" w:rsidRPr="00EF7F33" w:rsidDel="004A25FD" w:rsidRDefault="00FD54FC" w:rsidP="00BE47D8">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180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Akumulirane negativne promjene fer vrijednosti zbog kreditnog rizika – od čega financijske imovine kojom se ne trguje koja se obvezno mjeri po fer vrijednosti kroz dobit ili gubitak, financijske imovine po fer vrijednosti kroz dobit ili gubitak ili financijske imovine kojom se ne trguje mjerene po fer vrijednosti kroz dobit ili gubitak</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Ukupne akumulirane negativne promjene fer vrijednosti zbog kreditnog rizika koje se odnose na pozicije iskazane u stupcima 050, 060 i 070.</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b/>
                <w:sz w:val="24"/>
                <w:u w:val="single"/>
              </w:rPr>
              <w:t xml:space="preserve"> </w:t>
            </w: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190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Akumulirane negativne promjene fer vrijednosti zbog kreditnog rizika – od čega financijske imovine po fer vrijednosti kroz ostalu sveobuhvatnu dobit ili neizv</w:t>
            </w:r>
            <w:r w:rsidRPr="00EF7F33">
              <w:rPr>
                <w:rFonts w:ascii="Times New Roman" w:hAnsi="Times New Roman"/>
                <w:b/>
                <w:sz w:val="24"/>
                <w:u w:val="single"/>
              </w:rPr>
              <w:t>e</w:t>
            </w:r>
            <w:r w:rsidRPr="00EF7F33">
              <w:rPr>
                <w:rFonts w:ascii="Times New Roman" w:hAnsi="Times New Roman"/>
                <w:b/>
                <w:sz w:val="24"/>
                <w:u w:val="single"/>
              </w:rPr>
              <w:t>dene financijske imovine kojom se ne trguje mjerene po fer vrijednosti prema vlasničkim instrumentima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Ukupne akumulirane negativne promjene fer vrijednosti zbog kreditnog rizika koje se odnose na pozicije iskazane u stupcima 080 i 090.</w:t>
            </w:r>
          </w:p>
          <w:p w:rsidR="00E863C1" w:rsidRPr="00EF7F33" w:rsidRDefault="00E863C1"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200-230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Izravne pozicije izvedenica iskazuju se u stupcima od 200 do 230.</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izvješćivanje o izvedenicama na koje se primjenjuju kapitalni zahtjevi za kreditni rizik druge ugovorne strane i tržišni rizik, vidjeti upute za raščlambu prema redcima.</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200-210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 s pozitivnom fer vrijednošću</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Svi izvedeni instrumenti u kojima je opća država druga ugovorna strana i koji imaju pozitivnu fer vrijednost za instituciju na izvještajni datum, neovisno o tome koriste li se u kvalificiranom odnosu zaštite od rizika, drže li se radi trgovanja ili su uključeni u </w:t>
            </w:r>
            <w:r w:rsidRPr="00EF7F33">
              <w:rPr>
                <w:rFonts w:ascii="Times New Roman" w:hAnsi="Times New Roman"/>
                <w:sz w:val="24"/>
              </w:rPr>
              <w:lastRenderedPageBreak/>
              <w:t>portfelj namijenjen trgovanju na temelju MSFI-ja i nacionalnih općeprihvaćenih rač</w:t>
            </w:r>
            <w:r w:rsidRPr="00EF7F33">
              <w:rPr>
                <w:rFonts w:ascii="Times New Roman" w:hAnsi="Times New Roman"/>
                <w:sz w:val="24"/>
              </w:rPr>
              <w:t>u</w:t>
            </w:r>
            <w:r w:rsidRPr="00EF7F33">
              <w:rPr>
                <w:rFonts w:ascii="Times New Roman" w:hAnsi="Times New Roman"/>
                <w:sz w:val="24"/>
              </w:rPr>
              <w:t xml:space="preserve">novodstvenih načela na temelju BAD-a.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Izvedenice koje se koriste u okviru ekonomske zaštite iskazuju se ovdje kad su uklj</w:t>
            </w:r>
            <w:r w:rsidRPr="00EF7F33">
              <w:rPr>
                <w:rFonts w:ascii="Times New Roman" w:hAnsi="Times New Roman"/>
                <w:sz w:val="24"/>
              </w:rPr>
              <w:t>u</w:t>
            </w:r>
            <w:r w:rsidRPr="00EF7F33">
              <w:rPr>
                <w:rFonts w:ascii="Times New Roman" w:hAnsi="Times New Roman"/>
                <w:sz w:val="24"/>
              </w:rPr>
              <w:t>čene u računovodstveni portfelj namijenjen trgovanju ili računovodstveni portfelj koji se drži radi trgovanja (Prilog V., dio 2., točke 120., 124., 125. i od 137. do 140.).</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200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Izvedenice s pozitivnom fer vrijednošću: knjigovodstvena vrijednost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Knjigovodstvena vrijednost izvedenica koje se obračunavaju kao financijska imovina na referentni izvještajni datum.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Na temelju općeprihvaćenih računovodstvenih načela na temelju BAD-a, izvedenice koje se iskazuju u ovim stupcima uključuju izvedene instrumente mjerene po troško</w:t>
            </w:r>
            <w:r w:rsidRPr="00EF7F33">
              <w:rPr>
                <w:rFonts w:ascii="Times New Roman" w:hAnsi="Times New Roman"/>
                <w:sz w:val="24"/>
              </w:rPr>
              <w:t>v</w:t>
            </w:r>
            <w:r w:rsidRPr="00EF7F33">
              <w:rPr>
                <w:rFonts w:ascii="Times New Roman" w:hAnsi="Times New Roman"/>
                <w:sz w:val="24"/>
              </w:rPr>
              <w:t xml:space="preserve">noj metodi ili mjerene po trošku ili tržišnoj vrijednosti ovisno o tome koji je iznos niži, koji su uključeni u portfelj namijenjen trgovanju ili određeni kao instrumenti zaštite od rizika. </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210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 s pozitivnom fer vrijednošću: zamišljeni iznos</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Na temelju MSFI-ja i nacionalnih općeprihvaćenih računovodstvenih načela na temelju BAD-a, zamišljeni iznos, kako je definirano u Prilogu V., dijelu 2., točkama od 133. do 135., svih ugovora o izvedenicama koji su sklopljeni ali još nisu namireni na ref</w:t>
            </w:r>
            <w:r w:rsidRPr="00EF7F33">
              <w:rPr>
                <w:rFonts w:ascii="Times New Roman" w:hAnsi="Times New Roman"/>
                <w:sz w:val="24"/>
              </w:rPr>
              <w:t>e</w:t>
            </w:r>
            <w:r w:rsidRPr="00EF7F33">
              <w:rPr>
                <w:rFonts w:ascii="Times New Roman" w:hAnsi="Times New Roman"/>
                <w:sz w:val="24"/>
              </w:rPr>
              <w:t>rentni izvještajni datum u kojima je opća država druga ugovorna strana, kako je pre</w:t>
            </w:r>
            <w:r w:rsidRPr="00EF7F33">
              <w:rPr>
                <w:rFonts w:ascii="Times New Roman" w:hAnsi="Times New Roman"/>
                <w:sz w:val="24"/>
              </w:rPr>
              <w:t>t</w:t>
            </w:r>
            <w:r w:rsidRPr="00EF7F33">
              <w:rPr>
                <w:rFonts w:ascii="Times New Roman" w:hAnsi="Times New Roman"/>
                <w:sz w:val="24"/>
              </w:rPr>
              <w:t>hodno definirano u točki 1., kad je njegova fer vrijednost pozitivna za instituciju na r</w:t>
            </w:r>
            <w:r w:rsidRPr="00EF7F33">
              <w:rPr>
                <w:rFonts w:ascii="Times New Roman" w:hAnsi="Times New Roman"/>
                <w:sz w:val="24"/>
              </w:rPr>
              <w:t>e</w:t>
            </w:r>
            <w:r w:rsidRPr="00EF7F33">
              <w:rPr>
                <w:rFonts w:ascii="Times New Roman" w:hAnsi="Times New Roman"/>
                <w:sz w:val="24"/>
              </w:rPr>
              <w:t>ferentni izvještajni datum.</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220-230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 s negativnom fer vrijednošću</w:t>
            </w:r>
          </w:p>
          <w:p w:rsidR="00FD54FC" w:rsidRPr="00EF7F33" w:rsidDel="00501397"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Svi izvedeni instrumenti u kojima je opća država druga ugovorna strana i koji imaju negativnu fer vrijednost za instituciju na referentni izvještajni datum, neovisno o tome koriste li se u kvalificiranom odnosu zaštite od rizika, drže li se radi trgovanja ili su uključeni u portfelj namijenjen trgovanju na temelju MSFI-ja i nacionalnih općepri</w:t>
            </w:r>
            <w:r w:rsidRPr="00EF7F33">
              <w:rPr>
                <w:rFonts w:ascii="Times New Roman" w:hAnsi="Times New Roman"/>
                <w:sz w:val="24"/>
              </w:rPr>
              <w:t>h</w:t>
            </w:r>
            <w:r w:rsidRPr="00EF7F33">
              <w:rPr>
                <w:rFonts w:ascii="Times New Roman" w:hAnsi="Times New Roman"/>
                <w:sz w:val="24"/>
              </w:rPr>
              <w:t xml:space="preserve">vaćenih računovodstvenih načela na temelju BAD-a.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Izvedenice koje se koriste u okviru ekonomske zaštite iskazuju se ovdje kad su uklj</w:t>
            </w:r>
            <w:r w:rsidRPr="00EF7F33">
              <w:rPr>
                <w:rFonts w:ascii="Times New Roman" w:hAnsi="Times New Roman"/>
                <w:sz w:val="24"/>
              </w:rPr>
              <w:t>u</w:t>
            </w:r>
            <w:r w:rsidRPr="00EF7F33">
              <w:rPr>
                <w:rFonts w:ascii="Times New Roman" w:hAnsi="Times New Roman"/>
                <w:sz w:val="24"/>
              </w:rPr>
              <w:t>čene u računovodstveni portfelj namijenjen trgovanju ili računovodstveni portfelj koji se drži radi trgovanja (Prilog V., dio 2., točke 120., 124., 125. i od 137. do 140.).</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220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Izvedenice s negativnom fer vrijednošću: knjigovodstvena vrijednost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Knjigovodstvena vrijednost izvedenica koje se obračunavaju kao financijske obveze na referentni izvještajni datum.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Na temelju općeprihvaćenih računovodstvenih načela na temelju BAD-a, izvedenice koje se iskazuju u ovim stupcima uključuju izvedene instrumente mjerene po troško</w:t>
            </w:r>
            <w:r w:rsidRPr="00EF7F33">
              <w:rPr>
                <w:rFonts w:ascii="Times New Roman" w:hAnsi="Times New Roman"/>
                <w:sz w:val="24"/>
              </w:rPr>
              <w:t>v</w:t>
            </w:r>
            <w:r w:rsidRPr="00EF7F33">
              <w:rPr>
                <w:rFonts w:ascii="Times New Roman" w:hAnsi="Times New Roman"/>
                <w:sz w:val="24"/>
              </w:rPr>
              <w:t xml:space="preserve">noj metodi ili mjerene po trošku ili tržišnoj vrijednosti ovisno o tome koji je iznos niži, koji su uključeni u portfelj namijenjen trgovanju ili određeni kao instrumenti zaštite od rizika. </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230</w:t>
            </w:r>
          </w:p>
        </w:tc>
        <w:tc>
          <w:tcPr>
            <w:tcW w:w="8640" w:type="dxa"/>
          </w:tcPr>
          <w:p w:rsidR="00FD54FC" w:rsidRPr="00EF7F33" w:rsidRDefault="00FD54FC" w:rsidP="00FD54FC">
            <w:pPr>
              <w:spacing w:before="0" w:after="0"/>
              <w:rPr>
                <w:rFonts w:ascii="Times New Roman" w:hAnsi="Times New Roman"/>
                <w:b/>
                <w:bCs/>
                <w:sz w:val="24"/>
                <w:u w:val="single"/>
              </w:rPr>
            </w:pPr>
            <w:r w:rsidRPr="00EF7F33">
              <w:rPr>
                <w:rFonts w:ascii="Times New Roman" w:hAnsi="Times New Roman"/>
                <w:b/>
                <w:sz w:val="24"/>
                <w:u w:val="single"/>
              </w:rPr>
              <w:t>Izvedenice s negativnom fer vrijednošću: zamišljeni iznos</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Na temelju MSFI-ja i nacionalnih općeprihvaćenih računovodstvenih načela na temelju BAD-a, zamišljeni iznos, kako je definirano u Prilogu V., dijelu 2., točkama od 133. do 135., svih ugovora o izvedenicama koji su sklopljeni ali još nisu namireni na ref</w:t>
            </w:r>
            <w:r w:rsidRPr="00EF7F33">
              <w:rPr>
                <w:rFonts w:ascii="Times New Roman" w:hAnsi="Times New Roman"/>
                <w:sz w:val="24"/>
              </w:rPr>
              <w:t>e</w:t>
            </w:r>
            <w:r w:rsidRPr="00EF7F33">
              <w:rPr>
                <w:rFonts w:ascii="Times New Roman" w:hAnsi="Times New Roman"/>
                <w:sz w:val="24"/>
              </w:rPr>
              <w:t>rentni datum u kojima je opća država druga ugovorna strana, kako je prethodno defin</w:t>
            </w:r>
            <w:r w:rsidRPr="00EF7F33">
              <w:rPr>
                <w:rFonts w:ascii="Times New Roman" w:hAnsi="Times New Roman"/>
                <w:sz w:val="24"/>
              </w:rPr>
              <w:t>i</w:t>
            </w:r>
            <w:r w:rsidRPr="00EF7F33">
              <w:rPr>
                <w:rFonts w:ascii="Times New Roman" w:hAnsi="Times New Roman"/>
                <w:sz w:val="24"/>
              </w:rPr>
              <w:t>rano u točki 1., kad je njegova fer vrijednost negativna za instituciju.</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B74792">
            <w:pPr>
              <w:spacing w:before="0" w:after="0"/>
              <w:ind w:left="33"/>
              <w:rPr>
                <w:rFonts w:ascii="Times New Roman" w:hAnsi="Times New Roman"/>
                <w:bCs/>
                <w:sz w:val="24"/>
              </w:rPr>
            </w:pPr>
            <w:r w:rsidRPr="00EF7F33">
              <w:rPr>
                <w:rFonts w:ascii="Times New Roman" w:hAnsi="Times New Roman"/>
                <w:sz w:val="24"/>
              </w:rPr>
              <w:t>240-260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IZVANBILANČNE IZLOŽENOSTI</w:t>
            </w: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240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Nominalni iznos</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Kad je opća država izravna druga ugovorna strana izvanbilančne stavke kako je pre</w:t>
            </w:r>
            <w:r w:rsidRPr="00EF7F33">
              <w:rPr>
                <w:rFonts w:ascii="Times New Roman" w:hAnsi="Times New Roman"/>
                <w:sz w:val="24"/>
              </w:rPr>
              <w:t>t</w:t>
            </w:r>
            <w:r w:rsidRPr="00EF7F33">
              <w:rPr>
                <w:rFonts w:ascii="Times New Roman" w:hAnsi="Times New Roman"/>
                <w:sz w:val="24"/>
              </w:rPr>
              <w:t>hodno definirano u točki 1., nominalni iznos obveza i financijskih jamstava koji se ne smatraju izvedenicama u skladu s MSFI-jem ili na temelju nacionalnih općeprihvać</w:t>
            </w:r>
            <w:r w:rsidRPr="00EF7F33">
              <w:rPr>
                <w:rFonts w:ascii="Times New Roman" w:hAnsi="Times New Roman"/>
                <w:sz w:val="24"/>
              </w:rPr>
              <w:t>e</w:t>
            </w:r>
            <w:r w:rsidRPr="00EF7F33">
              <w:rPr>
                <w:rFonts w:ascii="Times New Roman" w:hAnsi="Times New Roman"/>
                <w:sz w:val="24"/>
              </w:rPr>
              <w:t>nih računovodstvenih načela na temelju BAD-a (Prilog V., dio 2. točke od 102. do 119.).</w:t>
            </w:r>
          </w:p>
          <w:p w:rsidR="00FD54FC" w:rsidRPr="00EF7F33" w:rsidRDefault="00FD54FC" w:rsidP="00FD54FC">
            <w:pPr>
              <w:spacing w:before="0" w:after="0"/>
              <w:ind w:left="33"/>
              <w:rPr>
                <w:rFonts w:ascii="Times New Roman" w:hAnsi="Times New Roman"/>
                <w:bCs/>
                <w:sz w:val="24"/>
              </w:rPr>
            </w:pPr>
          </w:p>
          <w:p w:rsidR="00FD54FC" w:rsidRPr="00EF7F33" w:rsidDel="00501397" w:rsidRDefault="00FD54FC" w:rsidP="00FD54FC">
            <w:pPr>
              <w:spacing w:before="0" w:after="0"/>
              <w:ind w:left="33"/>
              <w:rPr>
                <w:rFonts w:ascii="Times New Roman" w:hAnsi="Times New Roman"/>
                <w:b/>
                <w:bCs/>
                <w:sz w:val="24"/>
                <w:u w:val="single"/>
              </w:rPr>
            </w:pPr>
            <w:r w:rsidRPr="00EF7F33">
              <w:rPr>
                <w:rFonts w:ascii="Times New Roman" w:hAnsi="Times New Roman"/>
                <w:sz w:val="24"/>
              </w:rPr>
              <w:t>U skladu s Prilogom V. dijelom 1. točkama 43. i 44. opća država je izravna druga ug</w:t>
            </w:r>
            <w:r w:rsidRPr="00EF7F33">
              <w:rPr>
                <w:rFonts w:ascii="Times New Roman" w:hAnsi="Times New Roman"/>
                <w:sz w:val="24"/>
              </w:rPr>
              <w:t>o</w:t>
            </w:r>
            <w:r w:rsidRPr="00EF7F33">
              <w:rPr>
                <w:rFonts w:ascii="Times New Roman" w:hAnsi="Times New Roman"/>
                <w:sz w:val="24"/>
              </w:rPr>
              <w:t>vorna strana: (a) za preuzeto financijsko jamstvo kad je opća država izravna druga ugovorna strana osiguranog dužničkog instrumenta i (b) za preuzetu obvezu po kred</w:t>
            </w:r>
            <w:r w:rsidRPr="00EF7F33">
              <w:rPr>
                <w:rFonts w:ascii="Times New Roman" w:hAnsi="Times New Roman"/>
                <w:sz w:val="24"/>
              </w:rPr>
              <w:t>i</w:t>
            </w:r>
            <w:r w:rsidRPr="00EF7F33">
              <w:rPr>
                <w:rFonts w:ascii="Times New Roman" w:hAnsi="Times New Roman"/>
                <w:sz w:val="24"/>
              </w:rPr>
              <w:t>tima i ostale preuzete obveze kad je opća država druga ugovorna strana čiji kreditni r</w:t>
            </w:r>
            <w:r w:rsidRPr="00EF7F33">
              <w:rPr>
                <w:rFonts w:ascii="Times New Roman" w:hAnsi="Times New Roman"/>
                <w:sz w:val="24"/>
              </w:rPr>
              <w:t>i</w:t>
            </w:r>
            <w:r w:rsidRPr="00EF7F33">
              <w:rPr>
                <w:rFonts w:ascii="Times New Roman" w:hAnsi="Times New Roman"/>
                <w:sz w:val="24"/>
              </w:rPr>
              <w:t xml:space="preserve">zik preuzima institucija koja izvješćuje. </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250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Rezervacije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Članak 4. BAD-a Obveze stavak 6. točka (c), izvanbilančne stavke, članak 27. st</w:t>
            </w:r>
            <w:r w:rsidRPr="00EF7F33">
              <w:rPr>
                <w:rFonts w:ascii="Times New Roman" w:hAnsi="Times New Roman"/>
                <w:sz w:val="24"/>
              </w:rPr>
              <w:t>a</w:t>
            </w:r>
            <w:r w:rsidRPr="00EF7F33">
              <w:rPr>
                <w:rFonts w:ascii="Times New Roman" w:hAnsi="Times New Roman"/>
                <w:sz w:val="24"/>
              </w:rPr>
              <w:t>vak 11., članak 28. stavak 8., članak 33.; MSFI 9.4.2.1(c)(ii),(d)(ii), 9.5.5.20; MRS 37, MSFI 4, Prilog V. dio 2.11.</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Rezervacije za sve izvanbilančne izloženosti neovisno o tome kako se mjere osim onih koje se mjere po fer vrijednosti kroz dobit ili gubitak u skladu s MSFI-jem 9.</w:t>
            </w:r>
          </w:p>
          <w:p w:rsidR="00FD54FC" w:rsidRPr="00EF7F33" w:rsidRDefault="00730040" w:rsidP="00FD54FC">
            <w:pPr>
              <w:spacing w:before="0" w:after="0"/>
              <w:ind w:left="33"/>
              <w:rPr>
                <w:rFonts w:ascii="Times New Roman" w:hAnsi="Times New Roman"/>
                <w:bCs/>
                <w:sz w:val="24"/>
              </w:rPr>
            </w:pPr>
            <w:r w:rsidRPr="00EF7F33">
              <w:rPr>
                <w:rFonts w:ascii="Times New Roman" w:hAnsi="Times New Roman"/>
                <w:sz w:val="24"/>
              </w:rPr>
              <w:t xml:space="preserve"> </w:t>
            </w: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Na temelju MSFI-ja umanjenje vrijednosti preuzete obveze po kreditima iskazuje se u stupcu 150 kad institucija ne može odvojeno utvrditi očekivane kreditne gubitke koji se odnose na iskorišteni i neiskorišteni iznos dužničkog instrumenta. Ako kombinirani očekivani kreditni gubici tog financijskog instrumenta premašuju bruto knjigovodstv</w:t>
            </w:r>
            <w:r w:rsidRPr="00EF7F33">
              <w:rPr>
                <w:rFonts w:ascii="Times New Roman" w:hAnsi="Times New Roman"/>
                <w:sz w:val="24"/>
              </w:rPr>
              <w:t>e</w:t>
            </w:r>
            <w:r w:rsidRPr="00EF7F33">
              <w:rPr>
                <w:rFonts w:ascii="Times New Roman" w:hAnsi="Times New Roman"/>
                <w:sz w:val="24"/>
              </w:rPr>
              <w:t>nu vrijednost dužničke komponente instrumenta, preostali saldo očekivanih kreditnih gubitaka iskazuje se kao rezervacija u stupcu 250.</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260</w:t>
            </w:r>
          </w:p>
        </w:tc>
        <w:tc>
          <w:tcPr>
            <w:tcW w:w="8640"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Akumulirane negativne promjene fer vrijednosti zbog kreditnog rizika </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izvanbilančne stavke mjerene po fer vrijednosti kroz dobit ili gubitak na temelju MSFI-ja 9, akumulirane negativne promjene fer vrijednosti zbog kreditnog rizika (Pr</w:t>
            </w:r>
            <w:r w:rsidRPr="00EF7F33">
              <w:rPr>
                <w:rFonts w:ascii="Times New Roman" w:hAnsi="Times New Roman"/>
                <w:sz w:val="24"/>
              </w:rPr>
              <w:t>i</w:t>
            </w:r>
            <w:r w:rsidRPr="00EF7F33">
              <w:rPr>
                <w:rFonts w:ascii="Times New Roman" w:hAnsi="Times New Roman"/>
                <w:sz w:val="24"/>
              </w:rPr>
              <w:t>log V., dio 2., točka 110.).</w:t>
            </w:r>
          </w:p>
          <w:p w:rsidR="00FD54FC" w:rsidRPr="00EF7F33" w:rsidRDefault="00730040" w:rsidP="00FD54FC">
            <w:pPr>
              <w:spacing w:before="0" w:after="0"/>
              <w:ind w:left="33"/>
              <w:rPr>
                <w:rFonts w:ascii="Times New Roman" w:hAnsi="Times New Roman"/>
                <w:b/>
                <w:bCs/>
                <w:sz w:val="24"/>
                <w:u w:val="single"/>
              </w:rPr>
            </w:pPr>
            <w:r w:rsidRPr="00EF7F33">
              <w:rPr>
                <w:rFonts w:ascii="Times New Roman" w:hAnsi="Times New Roman"/>
                <w:sz w:val="24"/>
                <w:u w:val="single"/>
              </w:rPr>
              <w:t xml:space="preserve"> </w:t>
            </w:r>
          </w:p>
        </w:tc>
      </w:tr>
      <w:tr w:rsidR="00FD54FC" w:rsidRPr="00EF7F33"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Del="008D1680" w:rsidRDefault="00FD54FC" w:rsidP="00B74792">
            <w:pPr>
              <w:spacing w:before="0" w:after="0"/>
              <w:ind w:left="33"/>
              <w:rPr>
                <w:rFonts w:ascii="Times New Roman" w:hAnsi="Times New Roman"/>
                <w:bCs/>
                <w:sz w:val="24"/>
              </w:rPr>
            </w:pPr>
            <w:r w:rsidRPr="00EF7F33">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Bilješka: prodane kreditne izvedenice čija su odnosna imovina izloženosti prema općim državama</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Moraju se iskazati kreditne izvedenice koje nisu u skladu s definicijom financijskih jamstava koje je institucija koja izvješćuje sklopila s drugim ugovornim stranama koje </w:t>
            </w:r>
            <w:r w:rsidRPr="00EF7F33">
              <w:rPr>
                <w:rFonts w:ascii="Times New Roman" w:hAnsi="Times New Roman"/>
                <w:sz w:val="24"/>
              </w:rPr>
              <w:lastRenderedPageBreak/>
              <w:t>nisu opće države i čija je referentna izloženost opća država.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Ovi se stupci ne iskazuju za izloženosti raščlanjene prema riziku, regulatornom prist</w:t>
            </w:r>
            <w:r w:rsidRPr="00EF7F33">
              <w:rPr>
                <w:rFonts w:ascii="Times New Roman" w:hAnsi="Times New Roman"/>
                <w:sz w:val="24"/>
              </w:rPr>
              <w:t>u</w:t>
            </w:r>
            <w:r w:rsidRPr="00EF7F33">
              <w:rPr>
                <w:rFonts w:ascii="Times New Roman" w:hAnsi="Times New Roman"/>
                <w:sz w:val="24"/>
              </w:rPr>
              <w:t>pu i kategoriji izloženosti (redci od 020 do 160).</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iskazane u ovom odjeljku ne uzimaju se u obzir za izračun vrijednosti izl</w:t>
            </w:r>
            <w:r w:rsidRPr="00EF7F33">
              <w:rPr>
                <w:rFonts w:ascii="Times New Roman" w:hAnsi="Times New Roman"/>
                <w:sz w:val="24"/>
              </w:rPr>
              <w:t>o</w:t>
            </w:r>
            <w:r w:rsidRPr="00EF7F33">
              <w:rPr>
                <w:rFonts w:ascii="Times New Roman" w:hAnsi="Times New Roman"/>
                <w:sz w:val="24"/>
              </w:rPr>
              <w:t>ženosti i iznosa izloženosti ponderiranog rizikom (stupci 290 i 300) koji se temelji i</w:t>
            </w:r>
            <w:r w:rsidRPr="00EF7F33">
              <w:rPr>
                <w:rFonts w:ascii="Times New Roman" w:hAnsi="Times New Roman"/>
                <w:sz w:val="24"/>
              </w:rPr>
              <w:t>s</w:t>
            </w:r>
            <w:r w:rsidRPr="00EF7F33">
              <w:rPr>
                <w:rFonts w:ascii="Times New Roman" w:hAnsi="Times New Roman"/>
                <w:sz w:val="24"/>
              </w:rPr>
              <w:t xml:space="preserve">ključivo na izravnim izloženostima. </w:t>
            </w:r>
          </w:p>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 </w:t>
            </w:r>
          </w:p>
        </w:tc>
      </w:tr>
      <w:tr w:rsidR="00FD54FC" w:rsidRPr="00EF7F33"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Del="008D1680"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 s pozitivnom fer vrijednošću – knjigovodstvena vrijednost</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Ukupna knjigovodstvena vrijednost iskazanih prodanih kreditnih izvedenica čija su odnosna imovina izloženosti prema općim državama koje imaju pozitivnu fer vrije</w:t>
            </w:r>
            <w:r w:rsidRPr="00EF7F33">
              <w:rPr>
                <w:rFonts w:ascii="Times New Roman" w:hAnsi="Times New Roman"/>
                <w:sz w:val="24"/>
              </w:rPr>
              <w:t>d</w:t>
            </w:r>
            <w:r w:rsidRPr="00EF7F33">
              <w:rPr>
                <w:rFonts w:ascii="Times New Roman" w:hAnsi="Times New Roman"/>
                <w:sz w:val="24"/>
              </w:rPr>
              <w:t>nost za instituciju na referentni izvještajni datum, ne uzimajući u obzir bonitetna vrij</w:t>
            </w:r>
            <w:r w:rsidRPr="00EF7F33">
              <w:rPr>
                <w:rFonts w:ascii="Times New Roman" w:hAnsi="Times New Roman"/>
                <w:sz w:val="24"/>
              </w:rPr>
              <w:t>e</w:t>
            </w:r>
            <w:r w:rsidRPr="00EF7F33">
              <w:rPr>
                <w:rFonts w:ascii="Times New Roman" w:hAnsi="Times New Roman"/>
                <w:sz w:val="24"/>
              </w:rPr>
              <w:t>dnosna usklađenja.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izvedenice na temelju MSFI-ja iznos koji treba iskazati u ovom stupcu jest knjig</w:t>
            </w:r>
            <w:r w:rsidRPr="00EF7F33">
              <w:rPr>
                <w:rFonts w:ascii="Times New Roman" w:hAnsi="Times New Roman"/>
                <w:sz w:val="24"/>
              </w:rPr>
              <w:t>o</w:t>
            </w:r>
            <w:r w:rsidRPr="00EF7F33">
              <w:rPr>
                <w:rFonts w:ascii="Times New Roman" w:hAnsi="Times New Roman"/>
                <w:sz w:val="24"/>
              </w:rPr>
              <w:t>vodstvena vrijednost izvedenica koje su financijska imovina na izvještajni datum.</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izvedenice na temelju nacionalnih općeprihvaćenih računovodstvenih načela na t</w:t>
            </w:r>
            <w:r w:rsidRPr="00EF7F33">
              <w:rPr>
                <w:rFonts w:ascii="Times New Roman" w:hAnsi="Times New Roman"/>
                <w:sz w:val="24"/>
              </w:rPr>
              <w:t>e</w:t>
            </w:r>
            <w:r w:rsidRPr="00EF7F33">
              <w:rPr>
                <w:rFonts w:ascii="Times New Roman" w:hAnsi="Times New Roman"/>
                <w:sz w:val="24"/>
              </w:rPr>
              <w:t>melju BAD-a iznos koji treba iskazati u ovom stupcu jest fer vrijednost izvedenica s pozitivnom fer vrijednošću na referentni izvještajni datum, neovisno o načinu njihova obračunavanja.</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Del="008D1680" w:rsidRDefault="00FD54FC" w:rsidP="00FD54FC">
            <w:pPr>
              <w:spacing w:before="0" w:after="0"/>
              <w:ind w:left="33"/>
              <w:rPr>
                <w:rFonts w:ascii="Times New Roman" w:hAnsi="Times New Roman"/>
                <w:bCs/>
                <w:sz w:val="24"/>
              </w:rPr>
            </w:pPr>
            <w:r w:rsidRPr="00EF7F33">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Izvedenice s negativnom fer vrijednošću – knjigovodstvena vrijednost</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Ukupna knjigovodstvena vrijednost iskazanih prodanih kreditnih izvedenica čija su odnosna imovina izloženosti prema općim državama koje imaju negativnu fer vrije</w:t>
            </w:r>
            <w:r w:rsidRPr="00EF7F33">
              <w:rPr>
                <w:rFonts w:ascii="Times New Roman" w:hAnsi="Times New Roman"/>
                <w:sz w:val="24"/>
              </w:rPr>
              <w:t>d</w:t>
            </w:r>
            <w:r w:rsidRPr="00EF7F33">
              <w:rPr>
                <w:rFonts w:ascii="Times New Roman" w:hAnsi="Times New Roman"/>
                <w:sz w:val="24"/>
              </w:rPr>
              <w:t>nost za instituciju na referentni izvještajni datum, ne uzimajući u obzir bonitetna vrij</w:t>
            </w:r>
            <w:r w:rsidRPr="00EF7F33">
              <w:rPr>
                <w:rFonts w:ascii="Times New Roman" w:hAnsi="Times New Roman"/>
                <w:sz w:val="24"/>
              </w:rPr>
              <w:t>e</w:t>
            </w:r>
            <w:r w:rsidRPr="00EF7F33">
              <w:rPr>
                <w:rFonts w:ascii="Times New Roman" w:hAnsi="Times New Roman"/>
                <w:sz w:val="24"/>
              </w:rPr>
              <w:t>dnosna usklađenja.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izvedenice na temelju MSFI-ja iznos koji treba iskazati u ovom stupcu jest knjig</w:t>
            </w:r>
            <w:r w:rsidRPr="00EF7F33">
              <w:rPr>
                <w:rFonts w:ascii="Times New Roman" w:hAnsi="Times New Roman"/>
                <w:sz w:val="24"/>
              </w:rPr>
              <w:t>o</w:t>
            </w:r>
            <w:r w:rsidRPr="00EF7F33">
              <w:rPr>
                <w:rFonts w:ascii="Times New Roman" w:hAnsi="Times New Roman"/>
                <w:sz w:val="24"/>
              </w:rPr>
              <w:t xml:space="preserve">vodstvena vrijednost izvedenica koje su financijske obveze na izvještajni datum.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sz w:val="24"/>
              </w:rPr>
              <w:t>Za izvedenice na temelju nacionalnih općeprihvaćenih računovodstvenih načela na t</w:t>
            </w:r>
            <w:r w:rsidRPr="00EF7F33">
              <w:rPr>
                <w:rFonts w:ascii="Times New Roman" w:hAnsi="Times New Roman"/>
                <w:sz w:val="24"/>
              </w:rPr>
              <w:t>e</w:t>
            </w:r>
            <w:r w:rsidRPr="00EF7F33">
              <w:rPr>
                <w:rFonts w:ascii="Times New Roman" w:hAnsi="Times New Roman"/>
                <w:sz w:val="24"/>
              </w:rPr>
              <w:t>melju BAD-a iznos koji treba iskazati u ovom stupcu jest fer vrijednost izvedenica s negativnom fer vrijednošću na referentni izvještajni datum, neovisno o načinu njihova obračunavanja.</w:t>
            </w:r>
            <w:r w:rsidRPr="00EF7F33">
              <w:rPr>
                <w:rFonts w:ascii="Times New Roman" w:hAnsi="Times New Roman"/>
                <w:b/>
                <w:sz w:val="24"/>
                <w:u w:val="single"/>
              </w:rPr>
              <w:t xml:space="preserve"> </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Del="008D1680" w:rsidRDefault="00FD54FC" w:rsidP="00FD54FC">
            <w:pPr>
              <w:spacing w:before="0" w:after="0"/>
              <w:ind w:left="33"/>
              <w:rPr>
                <w:rFonts w:ascii="Times New Roman" w:hAnsi="Times New Roman"/>
                <w:bCs/>
                <w:sz w:val="24"/>
              </w:rPr>
            </w:pPr>
            <w:r w:rsidRPr="00EF7F33">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Vrijednost izloženosti</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Vrijednost izloženosti za izloženosti na koje se primjenjuje okvir za kreditni rizik.</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izloženosti prema standardiziranom pristupu: vidjeti članak 111. CRR-a. Za izlož</w:t>
            </w:r>
            <w:r w:rsidRPr="00EF7F33">
              <w:rPr>
                <w:rFonts w:ascii="Times New Roman" w:hAnsi="Times New Roman"/>
                <w:sz w:val="24"/>
              </w:rPr>
              <w:t>e</w:t>
            </w:r>
            <w:r w:rsidRPr="00EF7F33">
              <w:rPr>
                <w:rFonts w:ascii="Times New Roman" w:hAnsi="Times New Roman"/>
                <w:sz w:val="24"/>
              </w:rPr>
              <w:t>nosti prema IRB pristupu: vidjeti članak 166. i članak 230. stavak 1. drugu rečenicu CRR-a.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izvješćivanje o izvedenicama na koje se primjenjuju kapitalni zahtjevi za kreditni rizik druge ugovorne strane i tržišni rizik, vidjeti upute za raščlambu prema redcima.</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 xml:space="preserve">Iznos izloženosti ponderiran rizikom </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 xml:space="preserve">Iznos izloženosti ponderiran rizikom za izloženosti na koje se primjenjuje okvir za kreditni rizik. </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izloženosti prema standardiziranom pristupu: vidjeti članak 113. stavke od 1. do 5. CRR-a. Za izloženosti prema IRB pristupu: vidjeti članak 153. stavke 1. i 3. CRR-a.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Za izvješćivanje o izravnim izloženostima u okviru područja primjene članka 271. CRR-a na koje se primjenjuju kapitalni zahtjevi za kreditni rizik druge ugovorne strane i tržišni rizik, vidjeti upute za raščlambu prema redcima.</w:t>
            </w:r>
          </w:p>
          <w:p w:rsidR="00FD54FC" w:rsidRPr="00EF7F33" w:rsidRDefault="00FD54FC" w:rsidP="00FD54FC">
            <w:pPr>
              <w:spacing w:before="0" w:after="0"/>
              <w:ind w:left="33"/>
              <w:rPr>
                <w:rFonts w:ascii="Times New Roman" w:hAnsi="Times New Roman"/>
                <w:b/>
                <w:bCs/>
                <w:sz w:val="24"/>
                <w:u w:val="single"/>
              </w:rPr>
            </w:pPr>
          </w:p>
        </w:tc>
      </w:tr>
    </w:tbl>
    <w:p w:rsidR="00FD54FC" w:rsidRPr="00EF7F33"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EF7F33" w:rsidTr="00672D2A">
        <w:tc>
          <w:tcPr>
            <w:tcW w:w="1188" w:type="dxa"/>
            <w:shd w:val="clear" w:color="auto" w:fill="CCCCCC"/>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Redci</w:t>
            </w:r>
          </w:p>
        </w:tc>
        <w:tc>
          <w:tcPr>
            <w:tcW w:w="8701" w:type="dxa"/>
            <w:shd w:val="clear" w:color="auto" w:fill="CCCCCC"/>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Upute</w:t>
            </w:r>
          </w:p>
        </w:tc>
      </w:tr>
      <w:tr w:rsidR="00FD54FC" w:rsidRPr="00EF7F33" w:rsidTr="00672D2A">
        <w:tc>
          <w:tcPr>
            <w:tcW w:w="9889" w:type="dxa"/>
            <w:gridSpan w:val="2"/>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RAŠČLAMBA IZLOŽENOSTI PREMA PREGULATORNOM PRISTUPU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shd w:val="clear" w:color="auto" w:fill="auto"/>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010</w:t>
            </w:r>
          </w:p>
        </w:tc>
        <w:tc>
          <w:tcPr>
            <w:tcW w:w="8701" w:type="dxa"/>
            <w:shd w:val="clear" w:color="auto" w:fill="auto"/>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Ukupne izloženosti</w:t>
            </w:r>
          </w:p>
          <w:p w:rsidR="00FD54FC" w:rsidRPr="00EF7F33" w:rsidRDefault="00FD54FC" w:rsidP="00FD54FC">
            <w:pPr>
              <w:spacing w:before="0" w:after="0"/>
              <w:ind w:left="33"/>
              <w:rPr>
                <w:rFonts w:ascii="Times New Roman" w:hAnsi="Times New Roman"/>
                <w:b/>
                <w:bCs/>
                <w:sz w:val="24"/>
                <w:u w:val="single"/>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Ukupne izloženosti prema općim državama, kako je definirano u točki 1.</w:t>
            </w:r>
          </w:p>
          <w:p w:rsidR="00FD54FC" w:rsidRPr="00EF7F33" w:rsidRDefault="00FD54FC"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A85E91">
            <w:pPr>
              <w:spacing w:before="0" w:after="0"/>
              <w:ind w:left="33"/>
              <w:rPr>
                <w:rFonts w:ascii="Times New Roman" w:hAnsi="Times New Roman"/>
                <w:bCs/>
                <w:sz w:val="24"/>
              </w:rPr>
            </w:pPr>
            <w:r w:rsidRPr="00EF7F33">
              <w:rPr>
                <w:rFonts w:ascii="Times New Roman" w:hAnsi="Times New Roman"/>
                <w:sz w:val="24"/>
              </w:rPr>
              <w:t>020-155</w:t>
            </w:r>
          </w:p>
        </w:tc>
        <w:tc>
          <w:tcPr>
            <w:tcW w:w="8701"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b/>
                <w:sz w:val="24"/>
                <w:u w:val="single"/>
              </w:rPr>
              <w:t>Izloženosti na koje se primjenjuje okvir za kreditni rizik</w:t>
            </w:r>
          </w:p>
          <w:p w:rsidR="00FD54FC" w:rsidRPr="00EF7F33" w:rsidRDefault="00FD54FC" w:rsidP="00542EAE">
            <w:pPr>
              <w:spacing w:before="0" w:after="0"/>
              <w:ind w:left="33"/>
              <w:rPr>
                <w:rFonts w:ascii="Times New Roman" w:hAnsi="Times New Roman"/>
                <w:bCs/>
                <w:sz w:val="24"/>
              </w:rPr>
            </w:pPr>
          </w:p>
          <w:p w:rsidR="00542EAE" w:rsidRPr="00EF7F33" w:rsidRDefault="00FD54FC" w:rsidP="009068C9">
            <w:pPr>
              <w:spacing w:before="0" w:after="0"/>
              <w:ind w:left="33"/>
              <w:rPr>
                <w:rFonts w:ascii="Times New Roman" w:hAnsi="Times New Roman"/>
                <w:bCs/>
                <w:sz w:val="24"/>
              </w:rPr>
            </w:pPr>
            <w:r w:rsidRPr="00EF7F33">
              <w:rPr>
                <w:rFonts w:ascii="Times New Roman" w:hAnsi="Times New Roman"/>
                <w:sz w:val="24"/>
              </w:rPr>
              <w:t>Ukupne izloženosti prema općim državama koje se ponderiraju rizikom u skladu s dij</w:t>
            </w:r>
            <w:r w:rsidRPr="00EF7F33">
              <w:rPr>
                <w:rFonts w:ascii="Times New Roman" w:hAnsi="Times New Roman"/>
                <w:sz w:val="24"/>
              </w:rPr>
              <w:t>e</w:t>
            </w:r>
            <w:r w:rsidRPr="00EF7F33">
              <w:rPr>
                <w:rFonts w:ascii="Times New Roman" w:hAnsi="Times New Roman"/>
                <w:sz w:val="24"/>
              </w:rPr>
              <w:t xml:space="preserve">lom trećim glavom II. CRR-a. Izloženosti na koje se primjenjuje okvir za kreditni rizik uključuju izloženosti iz knjige pozicija kojima se ne trguje i iz knjige trgovanja na koje se primjenjuje kapitalni zahtjev za kreditni rizik druge ugovorne strane. </w:t>
            </w:r>
          </w:p>
          <w:p w:rsidR="00FD54FC" w:rsidRPr="00EF7F33" w:rsidRDefault="00FD54FC" w:rsidP="009068C9">
            <w:pPr>
              <w:spacing w:before="0" w:after="0"/>
              <w:ind w:left="33"/>
              <w:rPr>
                <w:rFonts w:ascii="Times New Roman" w:hAnsi="Times New Roman"/>
                <w:bCs/>
                <w:sz w:val="24"/>
              </w:rPr>
            </w:pPr>
          </w:p>
          <w:p w:rsidR="00542EAE" w:rsidRPr="00EF7F33" w:rsidRDefault="00FD54FC" w:rsidP="009068C9">
            <w:pPr>
              <w:spacing w:before="0" w:after="0"/>
              <w:ind w:left="33"/>
              <w:rPr>
                <w:rFonts w:ascii="Times New Roman" w:hAnsi="Times New Roman"/>
                <w:bCs/>
                <w:sz w:val="24"/>
              </w:rPr>
            </w:pPr>
            <w:r w:rsidRPr="00EF7F33">
              <w:rPr>
                <w:rFonts w:ascii="Times New Roman" w:hAnsi="Times New Roman"/>
                <w:sz w:val="24"/>
              </w:rPr>
              <w:t>Izravne izloženosti u okviru područja primjene članka 271. CRR-a na koje se primj</w:t>
            </w:r>
            <w:r w:rsidRPr="00EF7F33">
              <w:rPr>
                <w:rFonts w:ascii="Times New Roman" w:hAnsi="Times New Roman"/>
                <w:sz w:val="24"/>
              </w:rPr>
              <w:t>e</w:t>
            </w:r>
            <w:r w:rsidRPr="00EF7F33">
              <w:rPr>
                <w:rFonts w:ascii="Times New Roman" w:hAnsi="Times New Roman"/>
                <w:sz w:val="24"/>
              </w:rPr>
              <w:t>njuju kapitalni zahtjevi za kreditni rizik druge ugovorne strane i tržišni rizik iskazuju se u redcima za kreditni rizik (020 do 155) i retku za tržišni rizik (redak 160): izloženosti zbog kreditnog rizika druge ugovorne strane iskazuju se  u redcima za kreditni rizik, dok se izloženosti zbog tržišnog rizika  iskazuju u retku za tržišni rizik.</w:t>
            </w:r>
          </w:p>
          <w:p w:rsidR="00542EAE" w:rsidRPr="00EF7F33" w:rsidRDefault="00542EAE" w:rsidP="009068C9">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030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Standardizirani pristup</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se ponderiraju rizikom u skladu s dijelom tr</w:t>
            </w:r>
            <w:r w:rsidRPr="00EF7F33">
              <w:rPr>
                <w:rFonts w:ascii="Times New Roman" w:hAnsi="Times New Roman"/>
                <w:sz w:val="24"/>
              </w:rPr>
              <w:t>e</w:t>
            </w:r>
            <w:r w:rsidRPr="00EF7F33">
              <w:rPr>
                <w:rFonts w:ascii="Times New Roman" w:hAnsi="Times New Roman"/>
                <w:sz w:val="24"/>
              </w:rPr>
              <w:t>ćim glavom II. poglavljem 2. CRR-a, uključujući izloženosti iz knjige pozicija kojima se ne trguje za koje se ponderiranje rizikom u skladu s tim poglavljem odnosi na kred</w:t>
            </w:r>
            <w:r w:rsidRPr="00EF7F33">
              <w:rPr>
                <w:rFonts w:ascii="Times New Roman" w:hAnsi="Times New Roman"/>
                <w:sz w:val="24"/>
              </w:rPr>
              <w:t>i</w:t>
            </w:r>
            <w:r w:rsidRPr="00EF7F33">
              <w:rPr>
                <w:rFonts w:ascii="Times New Roman" w:hAnsi="Times New Roman"/>
                <w:sz w:val="24"/>
              </w:rPr>
              <w:t>tni rizik druge ugovorne strane.</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040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Središnje države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središnje države. Te se izloženosti raspor</w:t>
            </w:r>
            <w:r w:rsidRPr="00EF7F33">
              <w:rPr>
                <w:rFonts w:ascii="Times New Roman" w:hAnsi="Times New Roman"/>
                <w:sz w:val="24"/>
              </w:rPr>
              <w:t>e</w:t>
            </w:r>
            <w:r w:rsidRPr="00EF7F33">
              <w:rPr>
                <w:rFonts w:ascii="Times New Roman" w:hAnsi="Times New Roman"/>
                <w:sz w:val="24"/>
              </w:rPr>
              <w:t>đuju u kategoriju izloženosti prema „središnjim državama ili središnjim bankama” u skladu s člancima 112. i 114. CRR-a, kako je određeno u uputama za obrazac C 07.00, osim kriterija u pogledu raspodjele izloženosti prema općim državama u druge kateg</w:t>
            </w:r>
            <w:r w:rsidRPr="00EF7F33">
              <w:rPr>
                <w:rFonts w:ascii="Times New Roman" w:hAnsi="Times New Roman"/>
                <w:sz w:val="24"/>
              </w:rPr>
              <w:t>o</w:t>
            </w:r>
            <w:r w:rsidRPr="00EF7F33">
              <w:rPr>
                <w:rFonts w:ascii="Times New Roman" w:hAnsi="Times New Roman"/>
                <w:sz w:val="24"/>
              </w:rPr>
              <w:t>rije izloženosti zbog tehnika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050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Jedinice područne (regionalne) ili lokalne samouprave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jedinice područne (regionalne) ili lokalne samouprave. Te se izloženosti raspoređuju u kategoriju izloženosti prema „jedinicama područne (regionalne) ili lokalne samouprave ” u skladu s člancima 112. i 115. CRR-a, kako je određeno u uputama za obrazac C 07.00, osim kriterija u pogledu raspodjele i</w:t>
            </w:r>
            <w:r w:rsidRPr="00EF7F33">
              <w:rPr>
                <w:rFonts w:ascii="Times New Roman" w:hAnsi="Times New Roman"/>
                <w:sz w:val="24"/>
              </w:rPr>
              <w:t>z</w:t>
            </w:r>
            <w:r w:rsidRPr="00EF7F33">
              <w:rPr>
                <w:rFonts w:ascii="Times New Roman" w:hAnsi="Times New Roman"/>
                <w:sz w:val="24"/>
              </w:rPr>
              <w:t>loženosti prema općim državama u druge kategorije izloženosti zbog tehnika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060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Subjekti javnog sektora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subjekti javnog sektora. Te se izloženosti raspoređuju u kategoriju izloženosti prema „subjektima javnog sektora” u skladu s člancima 112. i 116. CRR-a, kako je određeno u uputama za obrazac C 07.00, osim kr</w:t>
            </w:r>
            <w:r w:rsidRPr="00EF7F33">
              <w:rPr>
                <w:rFonts w:ascii="Times New Roman" w:hAnsi="Times New Roman"/>
                <w:sz w:val="24"/>
              </w:rPr>
              <w:t>i</w:t>
            </w:r>
            <w:r w:rsidRPr="00EF7F33">
              <w:rPr>
                <w:rFonts w:ascii="Times New Roman" w:hAnsi="Times New Roman"/>
                <w:sz w:val="24"/>
              </w:rPr>
              <w:t>terija u pogledu raspodjele izloženosti prema općim državama u druge kategorije izl</w:t>
            </w:r>
            <w:r w:rsidRPr="00EF7F33">
              <w:rPr>
                <w:rFonts w:ascii="Times New Roman" w:hAnsi="Times New Roman"/>
                <w:sz w:val="24"/>
              </w:rPr>
              <w:t>o</w:t>
            </w:r>
            <w:r w:rsidRPr="00EF7F33">
              <w:rPr>
                <w:rFonts w:ascii="Times New Roman" w:hAnsi="Times New Roman"/>
                <w:sz w:val="24"/>
              </w:rPr>
              <w:t>ženosti zbog tehnika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070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Međunarodne organizacije</w:t>
            </w:r>
          </w:p>
          <w:p w:rsidR="00FD54FC" w:rsidRPr="00EF7F33" w:rsidRDefault="00FD54FC" w:rsidP="00FD54FC">
            <w:pPr>
              <w:spacing w:before="0" w:after="0"/>
              <w:ind w:left="33"/>
              <w:rPr>
                <w:rFonts w:ascii="Times New Roman" w:hAnsi="Times New Roman"/>
                <w:bCs/>
                <w:sz w:val="24"/>
              </w:rPr>
            </w:pPr>
          </w:p>
          <w:p w:rsidR="00FD54FC" w:rsidRPr="00EF7F33" w:rsidRDefault="00530BA1"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međunarodne organizacije. Te se izloženosti raspoređuju u kategoriju izloženosti prema „međunarodnim organizacijama” u skladu s člancima 112. i 118. CRR-a, kako je određeno u uputama za obrazac C 07.00, osim kr</w:t>
            </w:r>
            <w:r w:rsidRPr="00EF7F33">
              <w:rPr>
                <w:rFonts w:ascii="Times New Roman" w:hAnsi="Times New Roman"/>
                <w:sz w:val="24"/>
              </w:rPr>
              <w:t>i</w:t>
            </w:r>
            <w:r w:rsidRPr="00EF7F33">
              <w:rPr>
                <w:rFonts w:ascii="Times New Roman" w:hAnsi="Times New Roman"/>
                <w:sz w:val="24"/>
              </w:rPr>
              <w:t>terija u pogledu raspodjele izloženosti prema općim državama u druge kategorije izl</w:t>
            </w:r>
            <w:r w:rsidRPr="00EF7F33">
              <w:rPr>
                <w:rFonts w:ascii="Times New Roman" w:hAnsi="Times New Roman"/>
                <w:sz w:val="24"/>
              </w:rPr>
              <w:t>o</w:t>
            </w:r>
            <w:r w:rsidRPr="00EF7F33">
              <w:rPr>
                <w:rFonts w:ascii="Times New Roman" w:hAnsi="Times New Roman"/>
                <w:sz w:val="24"/>
              </w:rPr>
              <w:t>ženosti zbog tehnika smanjenja rizika s učinkom zamjene na izloženost, koji se ne primjenjuju.</w:t>
            </w:r>
          </w:p>
          <w:p w:rsidR="00FD54FC" w:rsidRPr="00EF7F33" w:rsidRDefault="00FD54FC" w:rsidP="00FD54FC">
            <w:pPr>
              <w:spacing w:before="0" w:after="0"/>
              <w:ind w:left="33"/>
              <w:rPr>
                <w:rFonts w:ascii="Times New Roman" w:hAnsi="Times New Roman"/>
                <w:b/>
                <w:bCs/>
                <w:sz w:val="24"/>
                <w:u w:val="single"/>
              </w:rPr>
            </w:pPr>
          </w:p>
        </w:tc>
      </w:tr>
      <w:tr w:rsidR="00CE47AF" w:rsidRPr="00EF7F33" w:rsidTr="00672D2A">
        <w:tc>
          <w:tcPr>
            <w:tcW w:w="1188" w:type="dxa"/>
          </w:tcPr>
          <w:p w:rsidR="00CE47AF" w:rsidRPr="00EF7F33" w:rsidRDefault="00CE47AF" w:rsidP="00FD54FC">
            <w:pPr>
              <w:spacing w:before="0" w:after="0"/>
              <w:ind w:left="33"/>
              <w:rPr>
                <w:rFonts w:ascii="Times New Roman" w:hAnsi="Times New Roman"/>
                <w:bCs/>
                <w:sz w:val="24"/>
              </w:rPr>
            </w:pPr>
            <w:r w:rsidRPr="00EF7F33">
              <w:rPr>
                <w:rFonts w:ascii="Times New Roman" w:hAnsi="Times New Roman"/>
                <w:sz w:val="24"/>
              </w:rPr>
              <w:t>075</w:t>
            </w:r>
          </w:p>
        </w:tc>
        <w:tc>
          <w:tcPr>
            <w:tcW w:w="8701" w:type="dxa"/>
          </w:tcPr>
          <w:p w:rsidR="00CE47AF" w:rsidRPr="00EF7F33" w:rsidRDefault="00CE47AF" w:rsidP="00FD54FC">
            <w:pPr>
              <w:spacing w:before="0" w:after="0"/>
              <w:ind w:left="33"/>
              <w:rPr>
                <w:rFonts w:ascii="Times New Roman" w:hAnsi="Times New Roman"/>
                <w:b/>
                <w:bCs/>
                <w:sz w:val="24"/>
                <w:u w:val="single"/>
              </w:rPr>
            </w:pPr>
            <w:r w:rsidRPr="00EF7F33">
              <w:rPr>
                <w:rFonts w:ascii="Times New Roman" w:hAnsi="Times New Roman"/>
                <w:b/>
                <w:sz w:val="24"/>
                <w:u w:val="single"/>
              </w:rPr>
              <w:t>Ostale izloženosti prema općim državama u skladu sa standardiziranim prist</w:t>
            </w:r>
            <w:r w:rsidRPr="00EF7F33">
              <w:rPr>
                <w:rFonts w:ascii="Times New Roman" w:hAnsi="Times New Roman"/>
                <w:b/>
                <w:sz w:val="24"/>
                <w:u w:val="single"/>
              </w:rPr>
              <w:t>u</w:t>
            </w:r>
            <w:r w:rsidRPr="00EF7F33">
              <w:rPr>
                <w:rFonts w:ascii="Times New Roman" w:hAnsi="Times New Roman"/>
                <w:b/>
                <w:sz w:val="24"/>
                <w:u w:val="single"/>
              </w:rPr>
              <w:t>pom</w:t>
            </w:r>
          </w:p>
          <w:p w:rsidR="00CE47AF" w:rsidRPr="00EF7F33" w:rsidRDefault="00CE47AF" w:rsidP="00CE47AF">
            <w:pPr>
              <w:spacing w:before="0" w:after="0"/>
              <w:ind w:left="33"/>
              <w:rPr>
                <w:rFonts w:ascii="Times New Roman" w:hAnsi="Times New Roman"/>
                <w:bCs/>
                <w:sz w:val="24"/>
              </w:rPr>
            </w:pPr>
          </w:p>
          <w:p w:rsidR="00CE47AF" w:rsidRPr="00EF7F33" w:rsidRDefault="00530BA1" w:rsidP="00FD54FC">
            <w:pPr>
              <w:spacing w:before="0" w:after="0"/>
              <w:ind w:left="33"/>
              <w:rPr>
                <w:rFonts w:ascii="Times New Roman" w:hAnsi="Times New Roman"/>
                <w:bCs/>
                <w:sz w:val="24"/>
              </w:rPr>
            </w:pPr>
            <w:r w:rsidRPr="00EF7F33">
              <w:rPr>
                <w:rFonts w:ascii="Times New Roman" w:hAnsi="Times New Roman"/>
                <w:sz w:val="24"/>
              </w:rPr>
              <w:t>Izloženosti prema općim državama osim onih uključenih u prethodne retke od 040 do 070, koje su raspoređene u kategorije izloženosti u skladu sa standardiziranim prist</w:t>
            </w:r>
            <w:r w:rsidRPr="00EF7F33">
              <w:rPr>
                <w:rFonts w:ascii="Times New Roman" w:hAnsi="Times New Roman"/>
                <w:sz w:val="24"/>
              </w:rPr>
              <w:t>u</w:t>
            </w:r>
            <w:r w:rsidRPr="00EF7F33">
              <w:rPr>
                <w:rFonts w:ascii="Times New Roman" w:hAnsi="Times New Roman"/>
                <w:sz w:val="24"/>
              </w:rPr>
              <w:t>pom u skladu s člankom 112. CRR-a za potrebe izračuna kapitalnih zahtjeva.</w:t>
            </w:r>
          </w:p>
          <w:p w:rsidR="00530BA1" w:rsidRPr="00EF7F33" w:rsidRDefault="00530BA1" w:rsidP="00530BA1">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080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IRB pristup</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se ponderiraju rizikom u skladu s dijelom tr</w:t>
            </w:r>
            <w:r w:rsidRPr="00EF7F33">
              <w:rPr>
                <w:rFonts w:ascii="Times New Roman" w:hAnsi="Times New Roman"/>
                <w:sz w:val="24"/>
              </w:rPr>
              <w:t>e</w:t>
            </w:r>
            <w:r w:rsidRPr="00EF7F33">
              <w:rPr>
                <w:rFonts w:ascii="Times New Roman" w:hAnsi="Times New Roman"/>
                <w:sz w:val="24"/>
              </w:rPr>
              <w:t>ćim glavom II. poglavljem 3. CRR-a, uključujući izloženosti iz knjige pozicija kojima se ne trguje za koje se ponderiranje rizikom u skladu s tim poglavljem odnosi na kred</w:t>
            </w:r>
            <w:r w:rsidRPr="00EF7F33">
              <w:rPr>
                <w:rFonts w:ascii="Times New Roman" w:hAnsi="Times New Roman"/>
                <w:sz w:val="24"/>
              </w:rPr>
              <w:t>i</w:t>
            </w:r>
            <w:r w:rsidRPr="00EF7F33">
              <w:rPr>
                <w:rFonts w:ascii="Times New Roman" w:hAnsi="Times New Roman"/>
                <w:sz w:val="24"/>
              </w:rPr>
              <w:t>tni rizik druge ugovorne strane.</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090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Središnje države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središnje države i koje se raspoređuju u k</w:t>
            </w:r>
            <w:r w:rsidRPr="00EF7F33">
              <w:rPr>
                <w:rFonts w:ascii="Times New Roman" w:hAnsi="Times New Roman"/>
                <w:sz w:val="24"/>
              </w:rPr>
              <w:t>a</w:t>
            </w:r>
            <w:r w:rsidRPr="00EF7F33">
              <w:rPr>
                <w:rFonts w:ascii="Times New Roman" w:hAnsi="Times New Roman"/>
                <w:sz w:val="24"/>
              </w:rPr>
              <w:t>tegoriju izloženosti prema „središnjim državama i središnjim bankama” u skladu s člankom 147. stavkom 3. točkom (a) CRR-a, kako je određeno u uputama za obrazac C 08.01 i C 08.02, osim kriterija u pogledu raspodjele izloženosti prema općim drž</w:t>
            </w:r>
            <w:r w:rsidRPr="00EF7F33">
              <w:rPr>
                <w:rFonts w:ascii="Times New Roman" w:hAnsi="Times New Roman"/>
                <w:sz w:val="24"/>
              </w:rPr>
              <w:t>a</w:t>
            </w:r>
            <w:r w:rsidRPr="00EF7F33">
              <w:rPr>
                <w:rFonts w:ascii="Times New Roman" w:hAnsi="Times New Roman"/>
                <w:sz w:val="24"/>
              </w:rPr>
              <w:t>vama u druge kategorije izloženosti zbog tehnika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100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Jedinice područne (regionalne) ili lokalne samouprave [središnje države i sredi</w:t>
            </w:r>
            <w:r w:rsidRPr="00EF7F33">
              <w:rPr>
                <w:rFonts w:ascii="Times New Roman" w:hAnsi="Times New Roman"/>
                <w:b/>
                <w:sz w:val="24"/>
                <w:u w:val="single"/>
              </w:rPr>
              <w:t>š</w:t>
            </w:r>
            <w:r w:rsidRPr="00EF7F33">
              <w:rPr>
                <w:rFonts w:ascii="Times New Roman" w:hAnsi="Times New Roman"/>
                <w:b/>
                <w:sz w:val="24"/>
                <w:u w:val="single"/>
              </w:rPr>
              <w:lastRenderedPageBreak/>
              <w:t>nje banke]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jedinice područne (regionalne) ili lokalne samouprave i koje se raspoređuju u kategoriju izloženosti prema „središnjim državama i središnjim bankama” u skladu s člankom 147. stavkom 3. točkom (a) CRR-a, kako je određeno u uputama za obrazac C 08.01 i C 08.02, osim kriterija u pogledu raspodjele izloženosti prema općim državama u druge kategorije izloženosti zbog tehnika smanj</w:t>
            </w:r>
            <w:r w:rsidRPr="00EF7F33">
              <w:rPr>
                <w:rFonts w:ascii="Times New Roman" w:hAnsi="Times New Roman"/>
                <w:sz w:val="24"/>
              </w:rPr>
              <w:t>e</w:t>
            </w:r>
            <w:r w:rsidRPr="00EF7F33">
              <w:rPr>
                <w:rFonts w:ascii="Times New Roman" w:hAnsi="Times New Roman"/>
                <w:sz w:val="24"/>
              </w:rPr>
              <w:t>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110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Jedinice područne (regionalne) ili lokalne samouprave [institucije]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jedinice područne (regionalne) ili lokalne samouprave i koje se raspoređuju u kategoriju izloženosti prema „institucijama” u skl</w:t>
            </w:r>
            <w:r w:rsidRPr="00EF7F33">
              <w:rPr>
                <w:rFonts w:ascii="Times New Roman" w:hAnsi="Times New Roman"/>
                <w:sz w:val="24"/>
              </w:rPr>
              <w:t>a</w:t>
            </w:r>
            <w:r w:rsidRPr="00EF7F33">
              <w:rPr>
                <w:rFonts w:ascii="Times New Roman" w:hAnsi="Times New Roman"/>
                <w:sz w:val="24"/>
              </w:rPr>
              <w:t>du s člankom 147. stavkom 4. točkom (a) CRR-a, kako je određeno u uputama za obr</w:t>
            </w:r>
            <w:r w:rsidRPr="00EF7F33">
              <w:rPr>
                <w:rFonts w:ascii="Times New Roman" w:hAnsi="Times New Roman"/>
                <w:sz w:val="24"/>
              </w:rPr>
              <w:t>a</w:t>
            </w:r>
            <w:r w:rsidRPr="00EF7F33">
              <w:rPr>
                <w:rFonts w:ascii="Times New Roman" w:hAnsi="Times New Roman"/>
                <w:sz w:val="24"/>
              </w:rPr>
              <w:t>zac C 08.01 i C 08.02, osim kriterija u pogledu raspodjele izloženosti prema općim d</w:t>
            </w:r>
            <w:r w:rsidRPr="00EF7F33">
              <w:rPr>
                <w:rFonts w:ascii="Times New Roman" w:hAnsi="Times New Roman"/>
                <w:sz w:val="24"/>
              </w:rPr>
              <w:t>r</w:t>
            </w:r>
            <w:r w:rsidRPr="00EF7F33">
              <w:rPr>
                <w:rFonts w:ascii="Times New Roman" w:hAnsi="Times New Roman"/>
                <w:sz w:val="24"/>
              </w:rPr>
              <w:t>žavama u druge kategorije izloženosti zbog tehnika smanjenja rizika s učinkom zamj</w:t>
            </w:r>
            <w:r w:rsidRPr="00EF7F33">
              <w:rPr>
                <w:rFonts w:ascii="Times New Roman" w:hAnsi="Times New Roman"/>
                <w:sz w:val="24"/>
              </w:rPr>
              <w:t>e</w:t>
            </w:r>
            <w:r w:rsidRPr="00EF7F33">
              <w:rPr>
                <w:rFonts w:ascii="Times New Roman" w:hAnsi="Times New Roman"/>
                <w:sz w:val="24"/>
              </w:rPr>
              <w:t>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120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Subjekti javnog sektora [središnje države i središnje banke]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subjekti javnog sektora u skladu s člankom 4. točkom 8. CRR-a i koje se raspoređuju u kategoriju izloženosti prema „središnjim državama i središnjim bankama” u skladu s člankom 147. stavkom 3. točkom (a) CRR-a, kako je određeno u uputama za obrazac C 08.01 i C 08.02, osim kriterija u pogledu raspodjele izloženosti prema općim državama u druge kategorije izloženosti zbog te</w:t>
            </w:r>
            <w:r w:rsidRPr="00EF7F33">
              <w:rPr>
                <w:rFonts w:ascii="Times New Roman" w:hAnsi="Times New Roman"/>
                <w:sz w:val="24"/>
              </w:rPr>
              <w:t>h</w:t>
            </w:r>
            <w:r w:rsidRPr="00EF7F33">
              <w:rPr>
                <w:rFonts w:ascii="Times New Roman" w:hAnsi="Times New Roman"/>
                <w:sz w:val="24"/>
              </w:rPr>
              <w:t>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130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Subjekti javnog sektora [institucije]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subjekti javnog sektora u skladu s člankom 4. točkom 8. CRR-a i koje se raspoređuju u kategoriju izloženosti prema „institucij</w:t>
            </w:r>
            <w:r w:rsidRPr="00EF7F33">
              <w:rPr>
                <w:rFonts w:ascii="Times New Roman" w:hAnsi="Times New Roman"/>
                <w:sz w:val="24"/>
              </w:rPr>
              <w:t>a</w:t>
            </w:r>
            <w:r w:rsidRPr="00EF7F33">
              <w:rPr>
                <w:rFonts w:ascii="Times New Roman" w:hAnsi="Times New Roman"/>
                <w:sz w:val="24"/>
              </w:rPr>
              <w:t>ma” u skladu s člankom 147. stavkom 4. točkom (b) CRR-a, kako je određeno u up</w:t>
            </w:r>
            <w:r w:rsidRPr="00EF7F33">
              <w:rPr>
                <w:rFonts w:ascii="Times New Roman" w:hAnsi="Times New Roman"/>
                <w:sz w:val="24"/>
              </w:rPr>
              <w:t>u</w:t>
            </w:r>
            <w:r w:rsidRPr="00EF7F33">
              <w:rPr>
                <w:rFonts w:ascii="Times New Roman" w:hAnsi="Times New Roman"/>
                <w:sz w:val="24"/>
              </w:rPr>
              <w:t>tama za obrazac C 08.01 i C 08.02, osim kriterija u pogledu raspodjele izloženosti pr</w:t>
            </w:r>
            <w:r w:rsidRPr="00EF7F33">
              <w:rPr>
                <w:rFonts w:ascii="Times New Roman" w:hAnsi="Times New Roman"/>
                <w:sz w:val="24"/>
              </w:rPr>
              <w:t>e</w:t>
            </w:r>
            <w:r w:rsidRPr="00EF7F33">
              <w:rPr>
                <w:rFonts w:ascii="Times New Roman" w:hAnsi="Times New Roman"/>
                <w:sz w:val="24"/>
              </w:rPr>
              <w:t>ma općim državama u druge kategorije izloženosti zbog tehnika smanjenja rizika s učinkom zamjene na izloženost, koji se ne primjenjuju.</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Del="00C211CB" w:rsidRDefault="00FD54FC" w:rsidP="00FD54FC">
            <w:pPr>
              <w:spacing w:before="0" w:after="0"/>
              <w:ind w:left="33"/>
              <w:rPr>
                <w:rFonts w:ascii="Times New Roman" w:hAnsi="Times New Roman"/>
                <w:bCs/>
                <w:sz w:val="24"/>
              </w:rPr>
            </w:pPr>
            <w:r w:rsidRPr="00EF7F33">
              <w:rPr>
                <w:rFonts w:ascii="Times New Roman" w:hAnsi="Times New Roman"/>
                <w:sz w:val="24"/>
              </w:rPr>
              <w:t>140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Međunarodne organizacije [središnje države i središnje banke]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općim državama koje su međunarodne organizacije i koje se rasp</w:t>
            </w:r>
            <w:r w:rsidRPr="00EF7F33">
              <w:rPr>
                <w:rFonts w:ascii="Times New Roman" w:hAnsi="Times New Roman"/>
                <w:sz w:val="24"/>
              </w:rPr>
              <w:t>o</w:t>
            </w:r>
            <w:r w:rsidRPr="00EF7F33">
              <w:rPr>
                <w:rFonts w:ascii="Times New Roman" w:hAnsi="Times New Roman"/>
                <w:sz w:val="24"/>
              </w:rPr>
              <w:t>ređuju u kategoriju izloženosti prema „središnjim državama i središnjim bankama” u skladu s člankom 147. stavkom 3. točkom (a) CRR-a, kako je određeno u uputama za obrazac C 08.01 i C 08.02, osim kriterija u pogledu raspodjele izloženosti prema općim državama u druge kategorije izloženosti zbog tehnika smanjenja rizika s učinkom za</w:t>
            </w:r>
            <w:r w:rsidRPr="00EF7F33">
              <w:rPr>
                <w:rFonts w:ascii="Times New Roman" w:hAnsi="Times New Roman"/>
                <w:sz w:val="24"/>
              </w:rPr>
              <w:t>m</w:t>
            </w:r>
            <w:r w:rsidRPr="00EF7F33">
              <w:rPr>
                <w:rFonts w:ascii="Times New Roman" w:hAnsi="Times New Roman"/>
                <w:sz w:val="24"/>
              </w:rPr>
              <w:t>jene na izloženost, koji se ne primjenjuju.</w:t>
            </w:r>
          </w:p>
          <w:p w:rsidR="00FD54FC" w:rsidRPr="00EF7F33" w:rsidRDefault="00FD54FC" w:rsidP="00FD54FC">
            <w:pPr>
              <w:spacing w:before="0" w:after="0"/>
              <w:ind w:left="33"/>
              <w:rPr>
                <w:rFonts w:ascii="Times New Roman" w:hAnsi="Times New Roman"/>
                <w:b/>
                <w:bCs/>
                <w:sz w:val="24"/>
                <w:u w:val="single"/>
              </w:rPr>
            </w:pPr>
          </w:p>
        </w:tc>
      </w:tr>
      <w:tr w:rsidR="00530BA1" w:rsidRPr="00EF7F33" w:rsidTr="00672D2A">
        <w:tc>
          <w:tcPr>
            <w:tcW w:w="1188" w:type="dxa"/>
          </w:tcPr>
          <w:p w:rsidR="00530BA1" w:rsidRPr="00EF7F33" w:rsidRDefault="00530BA1" w:rsidP="00FD54FC">
            <w:pPr>
              <w:spacing w:before="0" w:after="0"/>
              <w:ind w:left="33"/>
              <w:rPr>
                <w:rFonts w:ascii="Times New Roman" w:hAnsi="Times New Roman"/>
                <w:bCs/>
                <w:sz w:val="24"/>
              </w:rPr>
            </w:pPr>
            <w:r w:rsidRPr="00EF7F33">
              <w:rPr>
                <w:rFonts w:ascii="Times New Roman" w:hAnsi="Times New Roman"/>
                <w:sz w:val="24"/>
              </w:rPr>
              <w:t>155</w:t>
            </w:r>
          </w:p>
        </w:tc>
        <w:tc>
          <w:tcPr>
            <w:tcW w:w="8701" w:type="dxa"/>
          </w:tcPr>
          <w:p w:rsidR="00530BA1" w:rsidRPr="00EF7F33" w:rsidRDefault="00530BA1" w:rsidP="00530BA1">
            <w:pPr>
              <w:spacing w:before="0" w:after="0"/>
              <w:ind w:left="33"/>
              <w:rPr>
                <w:rFonts w:ascii="Times New Roman" w:hAnsi="Times New Roman"/>
                <w:b/>
                <w:bCs/>
                <w:sz w:val="24"/>
                <w:u w:val="single"/>
              </w:rPr>
            </w:pPr>
            <w:r w:rsidRPr="00EF7F33">
              <w:rPr>
                <w:rFonts w:ascii="Times New Roman" w:hAnsi="Times New Roman"/>
                <w:b/>
                <w:sz w:val="24"/>
                <w:u w:val="single"/>
              </w:rPr>
              <w:t>Ostale izloženosti prema općim državama u skladu s IRB pristupom</w:t>
            </w:r>
          </w:p>
          <w:p w:rsidR="00530BA1" w:rsidRPr="00EF7F33" w:rsidRDefault="00530BA1" w:rsidP="00530BA1">
            <w:pPr>
              <w:spacing w:before="0" w:after="0"/>
              <w:ind w:left="33"/>
              <w:rPr>
                <w:rFonts w:ascii="Times New Roman" w:hAnsi="Times New Roman"/>
                <w:bCs/>
                <w:sz w:val="24"/>
              </w:rPr>
            </w:pPr>
          </w:p>
          <w:p w:rsidR="00530BA1" w:rsidRPr="00EF7F33" w:rsidRDefault="00530BA1" w:rsidP="00530BA1">
            <w:pPr>
              <w:spacing w:before="0" w:after="0"/>
              <w:ind w:left="33"/>
              <w:rPr>
                <w:rFonts w:ascii="Times New Roman" w:hAnsi="Times New Roman"/>
                <w:bCs/>
                <w:sz w:val="24"/>
              </w:rPr>
            </w:pPr>
            <w:r w:rsidRPr="00EF7F33">
              <w:rPr>
                <w:rFonts w:ascii="Times New Roman" w:hAnsi="Times New Roman"/>
                <w:sz w:val="24"/>
              </w:rPr>
              <w:t>Izloženosti prema općim državama osim onih uključenih u prethodne retke od 090 do 140, koje su raspoređene u kategorije izloženosti u skladu s IRB  pristupom u skladu s člankom 147. CRR-a za potrebe izračuna kapitalnih zahtjeva.</w:t>
            </w:r>
          </w:p>
          <w:p w:rsidR="00530BA1" w:rsidRPr="00EF7F33" w:rsidRDefault="00530BA1" w:rsidP="00FD54FC">
            <w:pPr>
              <w:spacing w:before="0" w:after="0"/>
              <w:ind w:left="33"/>
              <w:rPr>
                <w:rFonts w:ascii="Times New Roman" w:hAnsi="Times New Roman"/>
                <w:b/>
                <w:bCs/>
                <w:sz w:val="24"/>
                <w:u w:val="single"/>
              </w:rPr>
            </w:pPr>
          </w:p>
        </w:tc>
      </w:tr>
      <w:tr w:rsidR="00FD54FC" w:rsidRPr="00EF7F33" w:rsidTr="00672D2A">
        <w:tc>
          <w:tcPr>
            <w:tcW w:w="1188" w:type="dxa"/>
          </w:tcPr>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lastRenderedPageBreak/>
              <w:t>160</w:t>
            </w:r>
          </w:p>
        </w:tc>
        <w:tc>
          <w:tcPr>
            <w:tcW w:w="8701" w:type="dxa"/>
          </w:tcPr>
          <w:p w:rsidR="00FD54FC" w:rsidRPr="00EF7F33" w:rsidRDefault="00FD54FC" w:rsidP="00FD54FC">
            <w:pPr>
              <w:spacing w:before="0" w:after="0"/>
              <w:ind w:left="33"/>
              <w:rPr>
                <w:rFonts w:ascii="Times New Roman" w:hAnsi="Times New Roman"/>
                <w:b/>
                <w:bCs/>
                <w:sz w:val="24"/>
                <w:u w:val="single"/>
              </w:rPr>
            </w:pPr>
            <w:r w:rsidRPr="00EF7F33">
              <w:rPr>
                <w:rFonts w:ascii="Times New Roman" w:hAnsi="Times New Roman"/>
                <w:b/>
                <w:sz w:val="24"/>
                <w:u w:val="single"/>
              </w:rPr>
              <w:t>Izloženosti koje podliježu tržišnom riziku</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koje podliježu tržišnom riziku obuhvaćaju pozicije za koje se kapitalni za</w:t>
            </w:r>
            <w:r w:rsidRPr="00EF7F33">
              <w:rPr>
                <w:rFonts w:ascii="Times New Roman" w:hAnsi="Times New Roman"/>
                <w:sz w:val="24"/>
              </w:rPr>
              <w:t>h</w:t>
            </w:r>
            <w:r w:rsidRPr="00EF7F33">
              <w:rPr>
                <w:rFonts w:ascii="Times New Roman" w:hAnsi="Times New Roman"/>
                <w:sz w:val="24"/>
              </w:rPr>
              <w:t>tjevi izračunavaju u skladu s dijelom trećim glavom IV.</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Izravne izloženosti u okviru područja primjene članka 271. CRR-a na koje se primj</w:t>
            </w:r>
            <w:r w:rsidRPr="00EF7F33">
              <w:rPr>
                <w:rFonts w:ascii="Times New Roman" w:hAnsi="Times New Roman"/>
                <w:sz w:val="24"/>
              </w:rPr>
              <w:t>e</w:t>
            </w:r>
            <w:r w:rsidRPr="00EF7F33">
              <w:rPr>
                <w:rFonts w:ascii="Times New Roman" w:hAnsi="Times New Roman"/>
                <w:sz w:val="24"/>
              </w:rPr>
              <w:t>njuju kapitalni zahtjevi za kreditni rizik druge ugovorne strane i tržišni rizik iskazuju se u redcima za kreditni rizik (020 do 155) i retku za tržišni rizik (redak 160): izloženost zbog kreditnog rizika druge ugovorne strane iskazuje se  u redcima za kreditni rizik, dok se izloženost zbog tržišnog rizika  iskazuje u retku za tržišni rizik.</w:t>
            </w:r>
          </w:p>
          <w:p w:rsidR="00FD54FC" w:rsidRPr="00EF7F33" w:rsidRDefault="00FD54FC" w:rsidP="00FD54FC">
            <w:pPr>
              <w:spacing w:before="0" w:after="0"/>
              <w:ind w:left="33"/>
              <w:rPr>
                <w:rFonts w:ascii="Times New Roman" w:hAnsi="Times New Roman"/>
                <w:bCs/>
                <w:sz w:val="24"/>
              </w:rPr>
            </w:pPr>
          </w:p>
        </w:tc>
      </w:tr>
      <w:tr w:rsidR="00FD54FC" w:rsidRPr="00EF7F33" w:rsidTr="00672D2A">
        <w:tc>
          <w:tcPr>
            <w:tcW w:w="1188" w:type="dxa"/>
          </w:tcPr>
          <w:p w:rsidR="00FD54FC" w:rsidRPr="00EF7F33" w:rsidRDefault="00FD54FC" w:rsidP="00B74792">
            <w:pPr>
              <w:spacing w:before="0" w:after="0"/>
              <w:ind w:left="33"/>
              <w:rPr>
                <w:rFonts w:ascii="Times New Roman" w:hAnsi="Times New Roman"/>
                <w:bCs/>
                <w:sz w:val="24"/>
              </w:rPr>
            </w:pPr>
            <w:r w:rsidRPr="00EF7F33">
              <w:rPr>
                <w:rFonts w:ascii="Times New Roman" w:hAnsi="Times New Roman"/>
                <w:sz w:val="24"/>
              </w:rPr>
              <w:t>170-230</w:t>
            </w:r>
          </w:p>
        </w:tc>
        <w:tc>
          <w:tcPr>
            <w:tcW w:w="8701" w:type="dxa"/>
          </w:tcPr>
          <w:p w:rsidR="00FD54FC" w:rsidRPr="00EF7F33" w:rsidRDefault="00FD54FC" w:rsidP="00FD54FC">
            <w:pPr>
              <w:spacing w:before="0" w:after="0"/>
              <w:ind w:left="33"/>
              <w:rPr>
                <w:rFonts w:ascii="Times New Roman" w:hAnsi="Times New Roman"/>
                <w:b/>
                <w:bCs/>
                <w:sz w:val="24"/>
              </w:rPr>
            </w:pPr>
            <w:r w:rsidRPr="00EF7F33">
              <w:rPr>
                <w:rFonts w:ascii="Times New Roman" w:hAnsi="Times New Roman"/>
                <w:b/>
                <w:sz w:val="24"/>
              </w:rPr>
              <w:t>RAŠČLAMBA IZLOŽENOSTI PREMA PREOSTALOM ROKU DO DOSPIJ</w:t>
            </w:r>
            <w:r w:rsidRPr="00EF7F33">
              <w:rPr>
                <w:rFonts w:ascii="Times New Roman" w:hAnsi="Times New Roman"/>
                <w:b/>
                <w:sz w:val="24"/>
              </w:rPr>
              <w:t>E</w:t>
            </w:r>
            <w:r w:rsidRPr="00EF7F33">
              <w:rPr>
                <w:rFonts w:ascii="Times New Roman" w:hAnsi="Times New Roman"/>
                <w:b/>
                <w:sz w:val="24"/>
              </w:rPr>
              <w:t>ĆA</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Preostali rok do dospijeća izračunava se brojem dana od ugovornog datuma dospijeća do referentnog izvještajnog datuma za sve pozicije.</w:t>
            </w:r>
          </w:p>
          <w:p w:rsidR="00FD54FC" w:rsidRPr="00EF7F33" w:rsidRDefault="00FD54FC" w:rsidP="00FD54FC">
            <w:pPr>
              <w:spacing w:before="0" w:after="0"/>
              <w:ind w:left="33"/>
              <w:rPr>
                <w:rFonts w:ascii="Times New Roman" w:hAnsi="Times New Roman"/>
                <w:bCs/>
                <w:sz w:val="24"/>
              </w:rPr>
            </w:pPr>
          </w:p>
          <w:p w:rsidR="00FD54FC" w:rsidRPr="00EF7F33" w:rsidRDefault="00FD54FC" w:rsidP="00FD54FC">
            <w:pPr>
              <w:spacing w:before="0" w:after="0"/>
              <w:ind w:left="33"/>
              <w:rPr>
                <w:rFonts w:ascii="Times New Roman" w:hAnsi="Times New Roman"/>
                <w:bCs/>
                <w:sz w:val="24"/>
              </w:rPr>
            </w:pPr>
            <w:r w:rsidRPr="00EF7F33">
              <w:rPr>
                <w:rFonts w:ascii="Times New Roman" w:hAnsi="Times New Roman"/>
                <w:sz w:val="24"/>
              </w:rPr>
              <w:t>Izloženosti prema središnjim državama raščlanjuju se prema preostalom roku do dosp</w:t>
            </w:r>
            <w:r w:rsidRPr="00EF7F33">
              <w:rPr>
                <w:rFonts w:ascii="Times New Roman" w:hAnsi="Times New Roman"/>
                <w:sz w:val="24"/>
              </w:rPr>
              <w:t>i</w:t>
            </w:r>
            <w:r w:rsidRPr="00EF7F33">
              <w:rPr>
                <w:rFonts w:ascii="Times New Roman" w:hAnsi="Times New Roman"/>
                <w:sz w:val="24"/>
              </w:rPr>
              <w:t>jeća i raspoređuju se u odgovarajuća razdoblja kako slijedi:</w:t>
            </w:r>
          </w:p>
          <w:p w:rsidR="00FD54FC" w:rsidRPr="00EF7F33" w:rsidRDefault="00FD54FC" w:rsidP="00FD54FC">
            <w:pPr>
              <w:spacing w:before="0" w:after="0"/>
              <w:ind w:left="33"/>
              <w:rPr>
                <w:rFonts w:ascii="Times New Roman" w:hAnsi="Times New Roman"/>
                <w:bCs/>
                <w:sz w:val="24"/>
              </w:rPr>
            </w:pP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[ 0 - 3M [</w:t>
            </w:r>
            <w:r w:rsidRPr="00EF7F33">
              <w:rPr>
                <w:rFonts w:ascii="Times New Roman" w:hAnsi="Times New Roman"/>
                <w:sz w:val="24"/>
              </w:rPr>
              <w:t xml:space="preserve"> : manje od 90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[ 3M - 1G [</w:t>
            </w:r>
            <w:r w:rsidRPr="00EF7F33">
              <w:rPr>
                <w:rFonts w:ascii="Times New Roman" w:hAnsi="Times New Roman"/>
                <w:sz w:val="24"/>
              </w:rPr>
              <w:t xml:space="preserve"> : 90 dana ili više od 90 dana, ali manje od 365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[ 1G – 2G [</w:t>
            </w:r>
            <w:r w:rsidRPr="00EF7F33">
              <w:rPr>
                <w:rFonts w:ascii="Times New Roman" w:hAnsi="Times New Roman"/>
                <w:sz w:val="24"/>
              </w:rPr>
              <w:t xml:space="preserve"> : 365 dana ili više od 365 dana, ali manje od 730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[ 2G – 3G [</w:t>
            </w:r>
            <w:r w:rsidRPr="00EF7F33">
              <w:rPr>
                <w:rFonts w:ascii="Times New Roman" w:hAnsi="Times New Roman"/>
                <w:sz w:val="24"/>
              </w:rPr>
              <w:t xml:space="preserve"> : 730 dana ili više od 730 dana, ali manje od 1 095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[ 3G – 5G [</w:t>
            </w:r>
            <w:r w:rsidRPr="00EF7F33">
              <w:rPr>
                <w:rFonts w:ascii="Times New Roman" w:hAnsi="Times New Roman"/>
                <w:sz w:val="24"/>
              </w:rPr>
              <w:t xml:space="preserve"> : 1095 dana ili više od 1095 dana, ali manje od 1825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[ 5G – 10G [</w:t>
            </w:r>
            <w:r w:rsidRPr="00EF7F33">
              <w:rPr>
                <w:rFonts w:ascii="Times New Roman" w:hAnsi="Times New Roman"/>
                <w:sz w:val="24"/>
              </w:rPr>
              <w:t xml:space="preserve"> : 1825 dana ili više od 1825 dana, ali manje od 3650 dana</w:t>
            </w:r>
          </w:p>
          <w:p w:rsidR="00FD54FC" w:rsidRPr="00EF7F33" w:rsidRDefault="00125707" w:rsidP="0023700C">
            <w:pPr>
              <w:spacing w:before="0" w:after="0"/>
              <w:ind w:left="808" w:hanging="360"/>
              <w:rPr>
                <w:rFonts w:ascii="Symbol" w:hAnsi="Symbol"/>
                <w:bCs/>
                <w:sz w:val="24"/>
              </w:rPr>
            </w:pPr>
            <w:r w:rsidRPr="00EF7F33">
              <w:tab/>
            </w:r>
            <w:r w:rsidRPr="00EF7F33">
              <w:rPr>
                <w:rFonts w:ascii="Times New Roman" w:hAnsi="Times New Roman"/>
                <w:b/>
                <w:sz w:val="24"/>
              </w:rPr>
              <w:t>[ 10G – dulje</w:t>
            </w:r>
            <w:r w:rsidRPr="00EF7F33">
              <w:rPr>
                <w:rFonts w:ascii="Times New Roman" w:hAnsi="Times New Roman"/>
                <w:sz w:val="24"/>
              </w:rPr>
              <w:t xml:space="preserve"> :</w:t>
            </w:r>
            <w:r w:rsidRPr="00EF7F33">
              <w:t xml:space="preserve"> </w:t>
            </w:r>
            <w:r w:rsidRPr="00EF7F33">
              <w:rPr>
                <w:rFonts w:ascii="Times New Roman" w:hAnsi="Times New Roman"/>
                <w:sz w:val="24"/>
              </w:rPr>
              <w:t xml:space="preserve"> 3650 dana ili više od 3650 dana </w:t>
            </w:r>
          </w:p>
          <w:p w:rsidR="00FD54FC" w:rsidRPr="00EF7F33" w:rsidRDefault="00FD54FC" w:rsidP="00FD54FC">
            <w:pPr>
              <w:spacing w:before="0" w:after="0"/>
              <w:ind w:left="33"/>
              <w:rPr>
                <w:rFonts w:ascii="Times New Roman" w:hAnsi="Times New Roman"/>
                <w:bCs/>
                <w:sz w:val="24"/>
              </w:rPr>
            </w:pPr>
          </w:p>
        </w:tc>
      </w:tr>
    </w:tbl>
    <w:p w:rsidR="00FD54FC" w:rsidRPr="00EF7F33" w:rsidRDefault="00FD54FC" w:rsidP="006452A4">
      <w:pPr>
        <w:spacing w:after="0"/>
        <w:rPr>
          <w:rStyle w:val="InstructionsTabelleText"/>
          <w:rFonts w:ascii="Times New Roman" w:hAnsi="Times New Roman"/>
          <w:sz w:val="24"/>
        </w:rPr>
      </w:pPr>
    </w:p>
    <w:sectPr w:rsidR="00FD54FC" w:rsidRPr="00EF7F33"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17E" w:rsidRDefault="006C517E" w:rsidP="00D946DB">
      <w:pPr>
        <w:spacing w:before="0" w:after="0"/>
      </w:pPr>
      <w:r>
        <w:separator/>
      </w:r>
    </w:p>
  </w:endnote>
  <w:endnote w:type="continuationSeparator" w:id="0">
    <w:p w:rsidR="006C517E" w:rsidRDefault="006C517E" w:rsidP="00D946DB">
      <w:pPr>
        <w:spacing w:before="0" w:after="0"/>
      </w:pPr>
      <w:r>
        <w:continuationSeparator/>
      </w:r>
    </w:p>
  </w:endnote>
  <w:endnote w:type="continuationNotice" w:id="1">
    <w:p w:rsidR="006C517E" w:rsidRDefault="006C51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Pr="00ED1956" w:rsidRDefault="006C517E">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7F1AD6">
      <w:rPr>
        <w:rFonts w:ascii="Times New Roman" w:hAnsi="Times New Roman"/>
        <w:noProof/>
        <w:sz w:val="22"/>
        <w:szCs w:val="22"/>
      </w:rPr>
      <w:t>3</w:t>
    </w:r>
    <w:r w:rsidRPr="00ED1956">
      <w:rPr>
        <w:rFonts w:ascii="Times New Roman" w:hAnsi="Times New Roman"/>
        <w:sz w:val="22"/>
        <w:szCs w:val="22"/>
      </w:rPr>
      <w:fldChar w:fldCharType="end"/>
    </w:r>
  </w:p>
  <w:p w:rsidR="006C517E" w:rsidRDefault="006C51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Pr="00E85358" w:rsidRDefault="006C517E">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7F1AD6">
      <w:rPr>
        <w:noProof/>
        <w:sz w:val="22"/>
        <w:szCs w:val="22"/>
      </w:rPr>
      <w:t>1</w:t>
    </w:r>
    <w:r w:rsidRPr="00E85358">
      <w:rPr>
        <w:noProof/>
        <w:sz w:val="22"/>
        <w:szCs w:val="22"/>
      </w:rPr>
      <w:fldChar w:fldCharType="end"/>
    </w:r>
  </w:p>
  <w:p w:rsidR="006C517E" w:rsidRDefault="006C51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Default="006C517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6C517E" w:rsidRDefault="006C51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Pr="00ED1956" w:rsidRDefault="006C517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7F1AD6">
      <w:rPr>
        <w:rFonts w:ascii="Times New Roman" w:hAnsi="Times New Roman"/>
        <w:noProof/>
        <w:sz w:val="20"/>
        <w:szCs w:val="20"/>
      </w:rPr>
      <w:t>162</w:t>
    </w:r>
    <w:r w:rsidRPr="00ED1956">
      <w:rPr>
        <w:rFonts w:ascii="Times New Roman" w:hAnsi="Times New Roman"/>
        <w:sz w:val="20"/>
        <w:szCs w:val="20"/>
      </w:rPr>
      <w:fldChar w:fldCharType="end"/>
    </w:r>
  </w:p>
  <w:p w:rsidR="006C517E" w:rsidRPr="00A772B4" w:rsidRDefault="006C517E"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17E" w:rsidRDefault="006C517E" w:rsidP="00D946DB">
      <w:pPr>
        <w:spacing w:before="0" w:after="0"/>
      </w:pPr>
      <w:r>
        <w:separator/>
      </w:r>
    </w:p>
  </w:footnote>
  <w:footnote w:type="continuationSeparator" w:id="0">
    <w:p w:rsidR="006C517E" w:rsidRDefault="006C517E" w:rsidP="00D946DB">
      <w:pPr>
        <w:spacing w:before="0" w:after="0"/>
      </w:pPr>
      <w:r>
        <w:continuationSeparator/>
      </w:r>
    </w:p>
  </w:footnote>
  <w:footnote w:type="continuationNotice" w:id="1">
    <w:p w:rsidR="006C517E" w:rsidRDefault="006C517E">
      <w:pPr>
        <w:spacing w:before="0" w:after="0"/>
      </w:pPr>
    </w:p>
  </w:footnote>
  <w:footnote w:id="2">
    <w:p w:rsidR="006C517E" w:rsidRPr="0017440D" w:rsidRDefault="006C517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Podaci koji se zahtijevaju od institucija u ovom obrascu iskazuju se na akumuliranoj osnovi za kalendarsku godinu ili godinu izvješćivanja (tj. od 1. siječnja tekuće godine).</w:t>
      </w:r>
    </w:p>
  </w:footnote>
  <w:footnote w:id="3">
    <w:p w:rsidR="006C517E" w:rsidRPr="0017440D" w:rsidRDefault="006C517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„Samostalne institucije” nisu dio grupe niti se konsolidiraju u istoj zemlji u kojoj podliježu kapitalnim zahtjevima.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Default="006C51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E" w:rsidRDefault="006C517E">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09A"/>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2CCA"/>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97"/>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A37"/>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17E"/>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1AD6"/>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1145"/>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48D1"/>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D9"/>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0B8"/>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5782"/>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260D"/>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3470"/>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EF7F33"/>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22C3"/>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hr-HR" w:eastAsia="hr-HR" w:bidi="hr-H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uiPriority w:val="99"/>
    <w:locked/>
    <w:rsid w:val="00884FEB"/>
    <w:rPr>
      <w:rFonts w:cs="Times New Roman"/>
      <w:sz w:val="24"/>
      <w:szCs w:val="24"/>
      <w:lang w:val="hr-HR" w:eastAsia="hr-HR"/>
    </w:rPr>
  </w:style>
  <w:style w:type="character" w:customStyle="1" w:styleId="Heading4Char">
    <w:name w:val="Heading 4 Char"/>
    <w:link w:val="Heading4"/>
    <w:uiPriority w:val="99"/>
    <w:locked/>
    <w:rsid w:val="00DE0962"/>
    <w:rPr>
      <w:rFonts w:ascii="Verdana" w:eastAsia="Times New Roman" w:hAnsi="Verdana"/>
      <w:b/>
      <w:szCs w:val="24"/>
      <w:u w:val="single"/>
      <w:lang w:eastAsia="hr-HR" w:bidi="hr-HR"/>
    </w:rPr>
  </w:style>
  <w:style w:type="character" w:customStyle="1" w:styleId="Heading5Char">
    <w:name w:val="Heading 5 Char"/>
    <w:link w:val="Heading5"/>
    <w:uiPriority w:val="1"/>
    <w:locked/>
    <w:rsid w:val="001E5A75"/>
    <w:rPr>
      <w:rFonts w:ascii="Arial" w:hAnsi="Arial" w:cs="Times New Roman"/>
      <w:b/>
      <w:i/>
      <w:sz w:val="20"/>
      <w:szCs w:val="20"/>
      <w:lang w:eastAsia="hr-HR"/>
    </w:rPr>
  </w:style>
  <w:style w:type="character" w:customStyle="1" w:styleId="Heading6Char">
    <w:name w:val="Heading 6 Char"/>
    <w:link w:val="Heading6"/>
    <w:semiHidden/>
    <w:locked/>
    <w:rsid w:val="001E5A75"/>
    <w:rPr>
      <w:rFonts w:ascii="Times New Roman" w:hAnsi="Times New Roman" w:cs="Times New Roman"/>
      <w:b/>
      <w:bCs/>
      <w:lang w:eastAsia="hr-HR"/>
    </w:rPr>
  </w:style>
  <w:style w:type="character" w:customStyle="1" w:styleId="Heading7Char">
    <w:name w:val="Heading 7 Char"/>
    <w:link w:val="Heading7"/>
    <w:semiHidden/>
    <w:locked/>
    <w:rsid w:val="001E5A75"/>
    <w:rPr>
      <w:rFonts w:ascii="Times New Roman" w:hAnsi="Times New Roman" w:cs="Times New Roman"/>
      <w:sz w:val="20"/>
      <w:szCs w:val="20"/>
      <w:lang w:eastAsia="hr-HR"/>
    </w:rPr>
  </w:style>
  <w:style w:type="character" w:customStyle="1" w:styleId="Heading8Char">
    <w:name w:val="Heading 8 Char"/>
    <w:link w:val="Heading8"/>
    <w:semiHidden/>
    <w:locked/>
    <w:rsid w:val="001E5A75"/>
    <w:rPr>
      <w:rFonts w:ascii="Times New Roman" w:hAnsi="Times New Roman" w:cs="Times New Roman"/>
      <w:i/>
      <w:iCs/>
      <w:sz w:val="20"/>
      <w:szCs w:val="20"/>
      <w:lang w:eastAsia="hr-HR"/>
    </w:rPr>
  </w:style>
  <w:style w:type="character" w:customStyle="1" w:styleId="Heading9Char">
    <w:name w:val="Heading 9 Char"/>
    <w:link w:val="Heading9"/>
    <w:semiHidden/>
    <w:locked/>
    <w:rsid w:val="001E5A75"/>
    <w:rPr>
      <w:rFonts w:ascii="Arial" w:hAnsi="Arial" w:cs="Arial"/>
      <w:lang w:eastAsia="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hr-H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hr-H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hr-H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hr-H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hr-H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hr-H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r-HR" w:bidi="hr-H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hr-HR" w:bidi="hr-H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r-HR" w:bidi="hr-H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hr-HR" w:eastAsia="hr-H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hr-HR" w:bidi="hr-H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hr-HR" w:bidi="hr-H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hr-HR"/>
    </w:rPr>
  </w:style>
  <w:style w:type="character" w:customStyle="1" w:styleId="NumPar1Char">
    <w:name w:val="NumPar 1 Char"/>
    <w:link w:val="NumPar1"/>
    <w:uiPriority w:val="99"/>
    <w:locked/>
    <w:rsid w:val="00D34F75"/>
    <w:rPr>
      <w:rFonts w:cs="Times New Roman"/>
      <w:sz w:val="24"/>
      <w:szCs w:val="24"/>
      <w:lang w:val="hr-HR" w:eastAsia="hr-H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hr-HR" w:eastAsia="hr-H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hr-H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hr-HR" w:eastAsia="hr-HR" w:bidi="hr-H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uiPriority w:val="99"/>
    <w:locked/>
    <w:rsid w:val="00884FEB"/>
    <w:rPr>
      <w:rFonts w:cs="Times New Roman"/>
      <w:sz w:val="24"/>
      <w:szCs w:val="24"/>
      <w:lang w:val="hr-HR" w:eastAsia="hr-HR"/>
    </w:rPr>
  </w:style>
  <w:style w:type="character" w:customStyle="1" w:styleId="Heading4Char">
    <w:name w:val="Heading 4 Char"/>
    <w:link w:val="Heading4"/>
    <w:uiPriority w:val="99"/>
    <w:locked/>
    <w:rsid w:val="00DE0962"/>
    <w:rPr>
      <w:rFonts w:ascii="Verdana" w:eastAsia="Times New Roman" w:hAnsi="Verdana"/>
      <w:b/>
      <w:szCs w:val="24"/>
      <w:u w:val="single"/>
      <w:lang w:eastAsia="hr-HR" w:bidi="hr-HR"/>
    </w:rPr>
  </w:style>
  <w:style w:type="character" w:customStyle="1" w:styleId="Heading5Char">
    <w:name w:val="Heading 5 Char"/>
    <w:link w:val="Heading5"/>
    <w:uiPriority w:val="1"/>
    <w:locked/>
    <w:rsid w:val="001E5A75"/>
    <w:rPr>
      <w:rFonts w:ascii="Arial" w:hAnsi="Arial" w:cs="Times New Roman"/>
      <w:b/>
      <w:i/>
      <w:sz w:val="20"/>
      <w:szCs w:val="20"/>
      <w:lang w:eastAsia="hr-HR"/>
    </w:rPr>
  </w:style>
  <w:style w:type="character" w:customStyle="1" w:styleId="Heading6Char">
    <w:name w:val="Heading 6 Char"/>
    <w:link w:val="Heading6"/>
    <w:semiHidden/>
    <w:locked/>
    <w:rsid w:val="001E5A75"/>
    <w:rPr>
      <w:rFonts w:ascii="Times New Roman" w:hAnsi="Times New Roman" w:cs="Times New Roman"/>
      <w:b/>
      <w:bCs/>
      <w:lang w:eastAsia="hr-HR"/>
    </w:rPr>
  </w:style>
  <w:style w:type="character" w:customStyle="1" w:styleId="Heading7Char">
    <w:name w:val="Heading 7 Char"/>
    <w:link w:val="Heading7"/>
    <w:semiHidden/>
    <w:locked/>
    <w:rsid w:val="001E5A75"/>
    <w:rPr>
      <w:rFonts w:ascii="Times New Roman" w:hAnsi="Times New Roman" w:cs="Times New Roman"/>
      <w:sz w:val="20"/>
      <w:szCs w:val="20"/>
      <w:lang w:eastAsia="hr-HR"/>
    </w:rPr>
  </w:style>
  <w:style w:type="character" w:customStyle="1" w:styleId="Heading8Char">
    <w:name w:val="Heading 8 Char"/>
    <w:link w:val="Heading8"/>
    <w:semiHidden/>
    <w:locked/>
    <w:rsid w:val="001E5A75"/>
    <w:rPr>
      <w:rFonts w:ascii="Times New Roman" w:hAnsi="Times New Roman" w:cs="Times New Roman"/>
      <w:i/>
      <w:iCs/>
      <w:sz w:val="20"/>
      <w:szCs w:val="20"/>
      <w:lang w:eastAsia="hr-HR"/>
    </w:rPr>
  </w:style>
  <w:style w:type="character" w:customStyle="1" w:styleId="Heading9Char">
    <w:name w:val="Heading 9 Char"/>
    <w:link w:val="Heading9"/>
    <w:semiHidden/>
    <w:locked/>
    <w:rsid w:val="001E5A75"/>
    <w:rPr>
      <w:rFonts w:ascii="Arial" w:hAnsi="Arial" w:cs="Arial"/>
      <w:lang w:eastAsia="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hr-H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hr-H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hr-H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hr-H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hr-H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hr-H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r-HR" w:bidi="hr-H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hr-HR" w:bidi="hr-H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r-HR" w:bidi="hr-H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hr-HR" w:eastAsia="hr-H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hr-HR" w:bidi="hr-H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hr-HR" w:bidi="hr-H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hr-HR"/>
    </w:rPr>
  </w:style>
  <w:style w:type="character" w:customStyle="1" w:styleId="NumPar1Char">
    <w:name w:val="NumPar 1 Char"/>
    <w:link w:val="NumPar1"/>
    <w:uiPriority w:val="99"/>
    <w:locked/>
    <w:rsid w:val="00D34F75"/>
    <w:rPr>
      <w:rFonts w:cs="Times New Roman"/>
      <w:sz w:val="24"/>
      <w:szCs w:val="24"/>
      <w:lang w:val="hr-HR" w:eastAsia="hr-H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hr-HR" w:eastAsia="hr-H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hr-H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4F250-F5AE-4336-B68B-F6E4A6D3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226</Pages>
  <Words>75244</Words>
  <Characters>428894</Characters>
  <Application>Microsoft Office Word</Application>
  <DocSecurity>0</DocSecurity>
  <Lines>3574</Lines>
  <Paragraphs>1006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503132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DQC</cp:lastModifiedBy>
  <cp:revision>15</cp:revision>
  <cp:lastPrinted>2018-06-07T11:13:00Z</cp:lastPrinted>
  <dcterms:created xsi:type="dcterms:W3CDTF">2018-06-28T09:52:00Z</dcterms:created>
  <dcterms:modified xsi:type="dcterms:W3CDTF">2018-09-06T13:55:00Z</dcterms:modified>
</cp:coreProperties>
</file>