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LT</w:t>
      </w:r>
    </w:p>
    <w:p w:rsidR="00453999" w:rsidRDefault="00453999" w:rsidP="00A33695">
      <w:pPr>
        <w:jc w:val="center"/>
        <w:rPr>
          <w:rFonts w:ascii="Times New Roman" w:hAnsi="Times New Roman"/>
          <w:b/>
          <w:sz w:val="24"/>
        </w:rPr>
      </w:pPr>
      <w:r>
        <w:rPr>
          <w:rFonts w:ascii="Times New Roman" w:hAnsi="Times New Roman"/>
          <w:b/>
          <w:sz w:val="24"/>
        </w:rPr>
        <w:t>II PRIEDAS</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II PRIEDAS</w:t>
      </w:r>
    </w:p>
    <w:p w:rsidR="002648B0" w:rsidRPr="00392FFD" w:rsidRDefault="002648B0" w:rsidP="00C87CEE">
      <w:pPr>
        <w:jc w:val="center"/>
        <w:rPr>
          <w:rFonts w:ascii="Times New Roman" w:hAnsi="Times New Roman"/>
          <w:b/>
          <w:sz w:val="24"/>
        </w:rPr>
      </w:pPr>
      <w:r>
        <w:rPr>
          <w:rFonts w:ascii="Times New Roman" w:hAnsi="Times New Roman"/>
          <w:b/>
          <w:sz w:val="24"/>
        </w:rPr>
        <w:t>INFORMACIJOS APIE NUOSAVAS LĖŠAS IR NUOSAVŲ LĖŠŲ REIKALAVIMUS TEIKIMAS</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Turinys</w:t>
      </w:r>
    </w:p>
    <w:p w:rsidR="0000351F" w:rsidRDefault="0000351F">
      <w:pPr>
        <w:pStyle w:val="TOC2"/>
        <w:rPr>
          <w:rFonts w:asciiTheme="minorHAnsi" w:eastAsiaTheme="minorEastAsia" w:hAnsiTheme="minorHAnsi" w:cstheme="minorBidi"/>
          <w:b w:val="0"/>
          <w:smallCaps w:val="0"/>
          <w:sz w:val="22"/>
          <w:lang w:val="en-GB" w:eastAsia="en-GB"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4010007" w:history="1">
        <w:r w:rsidRPr="00032EED">
          <w:rPr>
            <w:rStyle w:val="Hyperlink"/>
            <w:rFonts w:ascii="Times New Roman" w:hAnsi="Times New Roman"/>
          </w:rPr>
          <w:t>I DALIS. BENDRIEJI NURODYMAI</w:t>
        </w:r>
        <w:r>
          <w:rPr>
            <w:webHidden/>
          </w:rPr>
          <w:tab/>
        </w:r>
        <w:r>
          <w:rPr>
            <w:webHidden/>
          </w:rPr>
          <w:fldChar w:fldCharType="begin"/>
        </w:r>
        <w:r>
          <w:rPr>
            <w:webHidden/>
          </w:rPr>
          <w:instrText xml:space="preserve"> PAGEREF _Toc524010007 \h </w:instrText>
        </w:r>
        <w:r>
          <w:rPr>
            <w:webHidden/>
          </w:rPr>
        </w:r>
        <w:r>
          <w:rPr>
            <w:webHidden/>
          </w:rPr>
          <w:fldChar w:fldCharType="separate"/>
        </w:r>
        <w:r>
          <w:rPr>
            <w:webHidden/>
          </w:rPr>
          <w:t>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08" w:history="1">
        <w:r w:rsidRPr="00032EED">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Struktūra ir tvarka</w:t>
        </w:r>
        <w:r>
          <w:rPr>
            <w:webHidden/>
          </w:rPr>
          <w:tab/>
        </w:r>
        <w:r>
          <w:rPr>
            <w:webHidden/>
          </w:rPr>
          <w:fldChar w:fldCharType="begin"/>
        </w:r>
        <w:r>
          <w:rPr>
            <w:webHidden/>
          </w:rPr>
          <w:instrText xml:space="preserve"> PAGEREF _Toc524010008 \h </w:instrText>
        </w:r>
        <w:r>
          <w:rPr>
            <w:webHidden/>
          </w:rPr>
        </w:r>
        <w:r>
          <w:rPr>
            <w:webHidden/>
          </w:rPr>
          <w:fldChar w:fldCharType="separate"/>
        </w:r>
        <w:r>
          <w:rPr>
            <w:webHidden/>
          </w:rPr>
          <w:t>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09" w:history="1">
        <w:r w:rsidRPr="00032EED">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Struktūra</w:t>
        </w:r>
        <w:r>
          <w:rPr>
            <w:webHidden/>
          </w:rPr>
          <w:tab/>
        </w:r>
        <w:r>
          <w:rPr>
            <w:webHidden/>
          </w:rPr>
          <w:fldChar w:fldCharType="begin"/>
        </w:r>
        <w:r>
          <w:rPr>
            <w:webHidden/>
          </w:rPr>
          <w:instrText xml:space="preserve"> PAGEREF _Toc524010009 \h </w:instrText>
        </w:r>
        <w:r>
          <w:rPr>
            <w:webHidden/>
          </w:rPr>
        </w:r>
        <w:r>
          <w:rPr>
            <w:webHidden/>
          </w:rPr>
          <w:fldChar w:fldCharType="separate"/>
        </w:r>
        <w:r>
          <w:rPr>
            <w:webHidden/>
          </w:rPr>
          <w:t>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10" w:history="1">
        <w:r w:rsidRPr="00032EED">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Numeravimo tvarka</w:t>
        </w:r>
        <w:r>
          <w:rPr>
            <w:webHidden/>
          </w:rPr>
          <w:tab/>
        </w:r>
        <w:r>
          <w:rPr>
            <w:webHidden/>
          </w:rPr>
          <w:fldChar w:fldCharType="begin"/>
        </w:r>
        <w:r>
          <w:rPr>
            <w:webHidden/>
          </w:rPr>
          <w:instrText xml:space="preserve"> PAGEREF _Toc524010010 \h </w:instrText>
        </w:r>
        <w:r>
          <w:rPr>
            <w:webHidden/>
          </w:rPr>
        </w:r>
        <w:r>
          <w:rPr>
            <w:webHidden/>
          </w:rPr>
          <w:fldChar w:fldCharType="separate"/>
        </w:r>
        <w:r>
          <w:rPr>
            <w:webHidden/>
          </w:rPr>
          <w:t>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11" w:history="1">
        <w:r w:rsidRPr="00032EED">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Ženklų tvarka</w:t>
        </w:r>
        <w:r>
          <w:rPr>
            <w:webHidden/>
          </w:rPr>
          <w:tab/>
        </w:r>
        <w:r>
          <w:rPr>
            <w:webHidden/>
          </w:rPr>
          <w:fldChar w:fldCharType="begin"/>
        </w:r>
        <w:r>
          <w:rPr>
            <w:webHidden/>
          </w:rPr>
          <w:instrText xml:space="preserve"> PAGEREF _Toc524010011 \h </w:instrText>
        </w:r>
        <w:r>
          <w:rPr>
            <w:webHidden/>
          </w:rPr>
        </w:r>
        <w:r>
          <w:rPr>
            <w:webHidden/>
          </w:rPr>
          <w:fldChar w:fldCharType="separate"/>
        </w:r>
        <w:r>
          <w:rPr>
            <w:webHidden/>
          </w:rPr>
          <w:t>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12" w:history="1">
        <w:r w:rsidRPr="00032EED">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Santrumpos</w:t>
        </w:r>
        <w:r>
          <w:rPr>
            <w:webHidden/>
          </w:rPr>
          <w:tab/>
        </w:r>
        <w:r>
          <w:rPr>
            <w:webHidden/>
          </w:rPr>
          <w:fldChar w:fldCharType="begin"/>
        </w:r>
        <w:r>
          <w:rPr>
            <w:webHidden/>
          </w:rPr>
          <w:instrText xml:space="preserve"> PAGEREF _Toc524010012 \h </w:instrText>
        </w:r>
        <w:r>
          <w:rPr>
            <w:webHidden/>
          </w:rPr>
        </w:r>
        <w:r>
          <w:rPr>
            <w:webHidden/>
          </w:rPr>
          <w:fldChar w:fldCharType="separate"/>
        </w:r>
        <w:r>
          <w:rPr>
            <w:webHidden/>
          </w:rPr>
          <w:t>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13" w:history="1">
        <w:r w:rsidRPr="00032EED">
          <w:rPr>
            <w:rStyle w:val="Hyperlink"/>
            <w:rFonts w:ascii="Times New Roman" w:hAnsi="Times New Roman"/>
          </w:rPr>
          <w:t>II DALIS. NURODYMAI DĖL FORMŲ</w:t>
        </w:r>
        <w:r>
          <w:rPr>
            <w:webHidden/>
          </w:rPr>
          <w:tab/>
        </w:r>
        <w:r>
          <w:rPr>
            <w:webHidden/>
          </w:rPr>
          <w:fldChar w:fldCharType="begin"/>
        </w:r>
        <w:r>
          <w:rPr>
            <w:webHidden/>
          </w:rPr>
          <w:instrText xml:space="preserve"> PAGEREF _Toc524010013 \h </w:instrText>
        </w:r>
        <w:r>
          <w:rPr>
            <w:webHidden/>
          </w:rPr>
        </w:r>
        <w:r>
          <w:rPr>
            <w:webHidden/>
          </w:rPr>
          <w:fldChar w:fldCharType="separate"/>
        </w:r>
        <w:r>
          <w:rPr>
            <w:webHidden/>
          </w:rPr>
          <w:t>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14" w:history="1">
        <w:r w:rsidRPr="00032EED">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Kapitalo pakankamumo apžvalga (CA)</w:t>
        </w:r>
        <w:r>
          <w:rPr>
            <w:webHidden/>
          </w:rPr>
          <w:tab/>
        </w:r>
        <w:r>
          <w:rPr>
            <w:webHidden/>
          </w:rPr>
          <w:fldChar w:fldCharType="begin"/>
        </w:r>
        <w:r>
          <w:rPr>
            <w:webHidden/>
          </w:rPr>
          <w:instrText xml:space="preserve"> PAGEREF _Toc524010014 \h </w:instrText>
        </w:r>
        <w:r>
          <w:rPr>
            <w:webHidden/>
          </w:rPr>
        </w:r>
        <w:r>
          <w:rPr>
            <w:webHidden/>
          </w:rPr>
          <w:fldChar w:fldCharType="separate"/>
        </w:r>
        <w:r>
          <w:rPr>
            <w:webHidden/>
          </w:rPr>
          <w:t>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15" w:history="1">
        <w:r w:rsidRPr="00032EED">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_Toc524010015 \h </w:instrText>
        </w:r>
        <w:r>
          <w:rPr>
            <w:webHidden/>
          </w:rPr>
        </w:r>
        <w:r>
          <w:rPr>
            <w:webHidden/>
          </w:rPr>
          <w:fldChar w:fldCharType="separate"/>
        </w:r>
        <w:r>
          <w:rPr>
            <w:webHidden/>
          </w:rPr>
          <w:t>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16" w:history="1">
        <w:r w:rsidRPr="00032EED">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01.00. NUOSAVOS LĖŠOS (CA1)</w:t>
        </w:r>
        <w:r>
          <w:rPr>
            <w:webHidden/>
          </w:rPr>
          <w:tab/>
        </w:r>
        <w:r>
          <w:rPr>
            <w:webHidden/>
          </w:rPr>
          <w:fldChar w:fldCharType="begin"/>
        </w:r>
        <w:r>
          <w:rPr>
            <w:webHidden/>
          </w:rPr>
          <w:instrText xml:space="preserve"> PAGEREF _Toc524010016 \h </w:instrText>
        </w:r>
        <w:r>
          <w:rPr>
            <w:webHidden/>
          </w:rPr>
        </w:r>
        <w:r>
          <w:rPr>
            <w:webHidden/>
          </w:rPr>
          <w:fldChar w:fldCharType="separate"/>
        </w:r>
        <w:r>
          <w:rPr>
            <w:webHidden/>
          </w:rPr>
          <w:t>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17" w:history="1">
        <w:r w:rsidRPr="00032EED">
          <w:rPr>
            <w:rStyle w:val="Hyperlink"/>
            <w:rFonts w:ascii="Times New Roman" w:hAnsi="Times New Roman"/>
          </w:rPr>
          <w:t>1.2.1.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_Toc524010017 \h </w:instrText>
        </w:r>
        <w:r>
          <w:rPr>
            <w:webHidden/>
          </w:rPr>
        </w:r>
        <w:r>
          <w:rPr>
            <w:webHidden/>
          </w:rPr>
          <w:fldChar w:fldCharType="separate"/>
        </w:r>
        <w:r>
          <w:rPr>
            <w:webHidden/>
          </w:rPr>
          <w:t>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18" w:history="1">
        <w:r w:rsidRPr="00032EED">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02.00. NUOSAVŲ LĖŠŲ REIKALAVIMAI (CA2)</w:t>
        </w:r>
        <w:r>
          <w:rPr>
            <w:webHidden/>
          </w:rPr>
          <w:tab/>
        </w:r>
        <w:r>
          <w:rPr>
            <w:webHidden/>
          </w:rPr>
          <w:fldChar w:fldCharType="begin"/>
        </w:r>
        <w:r>
          <w:rPr>
            <w:webHidden/>
          </w:rPr>
          <w:instrText xml:space="preserve"> PAGEREF _Toc524010018 \h </w:instrText>
        </w:r>
        <w:r>
          <w:rPr>
            <w:webHidden/>
          </w:rPr>
        </w:r>
        <w:r>
          <w:rPr>
            <w:webHidden/>
          </w:rPr>
          <w:fldChar w:fldCharType="separate"/>
        </w:r>
        <w:r>
          <w:rPr>
            <w:webHidden/>
          </w:rPr>
          <w:t>24</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19" w:history="1">
        <w:r w:rsidRPr="00032EED">
          <w:rPr>
            <w:rStyle w:val="Hyperlink"/>
            <w:rFonts w:ascii="Times New Roman" w:hAnsi="Times New Roman"/>
          </w:rPr>
          <w:t>1.3.1.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_Toc524010019 \h </w:instrText>
        </w:r>
        <w:r>
          <w:rPr>
            <w:webHidden/>
          </w:rPr>
        </w:r>
        <w:r>
          <w:rPr>
            <w:webHidden/>
          </w:rPr>
          <w:fldChar w:fldCharType="separate"/>
        </w:r>
        <w:r>
          <w:rPr>
            <w:webHidden/>
          </w:rPr>
          <w:t>24</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20" w:history="1">
        <w:r w:rsidRPr="00032EED">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03.00. KAPITALO PAKANKAMUMO KOEFICIENTAI IR KAPITALO LYGIAI (CA3)</w:t>
        </w:r>
        <w:r>
          <w:rPr>
            <w:webHidden/>
          </w:rPr>
          <w:tab/>
        </w:r>
        <w:r>
          <w:rPr>
            <w:webHidden/>
          </w:rPr>
          <w:fldChar w:fldCharType="begin"/>
        </w:r>
        <w:r>
          <w:rPr>
            <w:webHidden/>
          </w:rPr>
          <w:instrText xml:space="preserve"> PAGEREF _Toc524010020 \h </w:instrText>
        </w:r>
        <w:r>
          <w:rPr>
            <w:webHidden/>
          </w:rPr>
        </w:r>
        <w:r>
          <w:rPr>
            <w:webHidden/>
          </w:rPr>
          <w:fldChar w:fldCharType="separate"/>
        </w:r>
        <w:r>
          <w:rPr>
            <w:webHidden/>
          </w:rPr>
          <w:t>34</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21" w:history="1">
        <w:r w:rsidRPr="00032EED">
          <w:rPr>
            <w:rStyle w:val="Hyperlink"/>
            <w:rFonts w:ascii="Times New Roman" w:hAnsi="Times New Roman"/>
          </w:rPr>
          <w:t>1.4.1.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_Toc524010021 \h </w:instrText>
        </w:r>
        <w:r>
          <w:rPr>
            <w:webHidden/>
          </w:rPr>
        </w:r>
        <w:r>
          <w:rPr>
            <w:webHidden/>
          </w:rPr>
          <w:fldChar w:fldCharType="separate"/>
        </w:r>
        <w:r>
          <w:rPr>
            <w:webHidden/>
          </w:rPr>
          <w:t>34</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22" w:history="1">
        <w:r w:rsidRPr="00032EED">
          <w:rPr>
            <w:rStyle w:val="Hyperlink"/>
            <w:rFonts w:ascii="Times New Roman" w:hAnsi="Times New Roman"/>
          </w:rPr>
          <w:t>1.5.</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04.00. PAPILDOMI STRAIPSNIAI (CA4)</w:t>
        </w:r>
        <w:r>
          <w:rPr>
            <w:webHidden/>
          </w:rPr>
          <w:tab/>
        </w:r>
        <w:r>
          <w:rPr>
            <w:webHidden/>
          </w:rPr>
          <w:fldChar w:fldCharType="begin"/>
        </w:r>
        <w:r>
          <w:rPr>
            <w:webHidden/>
          </w:rPr>
          <w:instrText xml:space="preserve"> PAGEREF _Toc524010022 \h </w:instrText>
        </w:r>
        <w:r>
          <w:rPr>
            <w:webHidden/>
          </w:rPr>
        </w:r>
        <w:r>
          <w:rPr>
            <w:webHidden/>
          </w:rPr>
          <w:fldChar w:fldCharType="separate"/>
        </w:r>
        <w:r>
          <w:rPr>
            <w:webHidden/>
          </w:rPr>
          <w:t>37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23" w:history="1">
        <w:r w:rsidRPr="00032EED">
          <w:rPr>
            <w:rStyle w:val="Hyperlink"/>
            <w:rFonts w:ascii="Times New Roman" w:hAnsi="Times New Roman"/>
          </w:rPr>
          <w:t>1.5.1.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_Toc524010023 \h </w:instrText>
        </w:r>
        <w:r>
          <w:rPr>
            <w:webHidden/>
          </w:rPr>
        </w:r>
        <w:r>
          <w:rPr>
            <w:webHidden/>
          </w:rPr>
          <w:fldChar w:fldCharType="separate"/>
        </w:r>
        <w:r>
          <w:rPr>
            <w:webHidden/>
          </w:rPr>
          <w:t>37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24" w:history="1">
        <w:r w:rsidRPr="00032EED">
          <w:rPr>
            <w:rStyle w:val="Hyperlink"/>
            <w:rFonts w:ascii="Times New Roman" w:hAnsi="Times New Roman"/>
          </w:rPr>
          <w:t>1.6.</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PEREINAMOJO LAIKOTARPIO NUOSTATOS ir PRIEMONĖS, KURIOMS TAIKOMAS TĘSTINUMO PRINCIPAS. PRIEMONĖS, KURIOS NĖRA VALSTYBĖS PAGALBA (CA5)</w:t>
        </w:r>
        <w:r>
          <w:rPr>
            <w:webHidden/>
          </w:rPr>
          <w:tab/>
        </w:r>
        <w:r>
          <w:rPr>
            <w:webHidden/>
          </w:rPr>
          <w:fldChar w:fldCharType="begin"/>
        </w:r>
        <w:r>
          <w:rPr>
            <w:webHidden/>
          </w:rPr>
          <w:instrText xml:space="preserve"> PAGEREF _Toc524010024 \h </w:instrText>
        </w:r>
        <w:r>
          <w:rPr>
            <w:webHidden/>
          </w:rPr>
        </w:r>
        <w:r>
          <w:rPr>
            <w:webHidden/>
          </w:rPr>
          <w:fldChar w:fldCharType="separate"/>
        </w:r>
        <w:r>
          <w:rPr>
            <w:webHidden/>
          </w:rPr>
          <w:t>53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25" w:history="1">
        <w:r w:rsidRPr="00032EED">
          <w:rPr>
            <w:rStyle w:val="Hyperlink"/>
            <w:rFonts w:ascii="Times New Roman" w:hAnsi="Times New Roman"/>
          </w:rPr>
          <w:t>1.6.1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_Toc524010025 \h </w:instrText>
        </w:r>
        <w:r>
          <w:rPr>
            <w:webHidden/>
          </w:rPr>
        </w:r>
        <w:r>
          <w:rPr>
            <w:webHidden/>
          </w:rPr>
          <w:fldChar w:fldCharType="separate"/>
        </w:r>
        <w:r>
          <w:rPr>
            <w:webHidden/>
          </w:rPr>
          <w:t>53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26" w:history="1">
        <w:r w:rsidRPr="00032EED">
          <w:rPr>
            <w:rStyle w:val="Hyperlink"/>
            <w:rFonts w:ascii="Times New Roman" w:hAnsi="Times New Roman"/>
          </w:rPr>
          <w:t>1.6.2.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05.01. PEREINAMOJO LAIKOTARPIO NUOSTATOS (CA5.1)</w:t>
        </w:r>
        <w:r>
          <w:rPr>
            <w:webHidden/>
          </w:rPr>
          <w:tab/>
        </w:r>
        <w:r>
          <w:rPr>
            <w:webHidden/>
          </w:rPr>
          <w:fldChar w:fldCharType="begin"/>
        </w:r>
        <w:r>
          <w:rPr>
            <w:webHidden/>
          </w:rPr>
          <w:instrText xml:space="preserve"> PAGEREF _Toc524010026 \h </w:instrText>
        </w:r>
        <w:r>
          <w:rPr>
            <w:webHidden/>
          </w:rPr>
        </w:r>
        <w:r>
          <w:rPr>
            <w:webHidden/>
          </w:rPr>
          <w:fldChar w:fldCharType="separate"/>
        </w:r>
        <w:r>
          <w:rPr>
            <w:webHidden/>
          </w:rPr>
          <w:t>54</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27" w:history="1">
        <w:r w:rsidRPr="00032EED">
          <w:rPr>
            <w:rStyle w:val="Hyperlink"/>
            <w:rFonts w:ascii="Times New Roman" w:hAnsi="Times New Roman"/>
          </w:rPr>
          <w:t>1.6.2.1.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_Toc524010027 \h </w:instrText>
        </w:r>
        <w:r>
          <w:rPr>
            <w:webHidden/>
          </w:rPr>
        </w:r>
        <w:r>
          <w:rPr>
            <w:webHidden/>
          </w:rPr>
          <w:fldChar w:fldCharType="separate"/>
        </w:r>
        <w:r>
          <w:rPr>
            <w:webHidden/>
          </w:rPr>
          <w:t>54</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28" w:history="1">
        <w:r w:rsidRPr="00032EED">
          <w:rPr>
            <w:rStyle w:val="Hyperlink"/>
            <w:rFonts w:ascii="Times New Roman" w:hAnsi="Times New Roman"/>
          </w:rPr>
          <w:t>1.6.3.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05.02. PRIEMONĖS, KURIOMS TAIKOMAS TĘSTINUMO PRINCIPAS, KURIOS NĖRA VALSTYBĖS PAGALBA (CA5.2)</w:t>
        </w:r>
        <w:r>
          <w:rPr>
            <w:webHidden/>
          </w:rPr>
          <w:tab/>
        </w:r>
        <w:r>
          <w:rPr>
            <w:webHidden/>
          </w:rPr>
          <w:fldChar w:fldCharType="begin"/>
        </w:r>
        <w:r>
          <w:rPr>
            <w:webHidden/>
          </w:rPr>
          <w:instrText xml:space="preserve"> PAGEREF _Toc524010028 \h </w:instrText>
        </w:r>
        <w:r>
          <w:rPr>
            <w:webHidden/>
          </w:rPr>
        </w:r>
        <w:r>
          <w:rPr>
            <w:webHidden/>
          </w:rPr>
          <w:fldChar w:fldCharType="separate"/>
        </w:r>
        <w:r>
          <w:rPr>
            <w:webHidden/>
          </w:rPr>
          <w:t>63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29" w:history="1">
        <w:r w:rsidRPr="00032EED">
          <w:rPr>
            <w:rStyle w:val="Hyperlink"/>
            <w:rFonts w:ascii="Times New Roman" w:hAnsi="Times New Roman"/>
          </w:rPr>
          <w:t>1.6.3.1.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_Toc524010029 \h </w:instrText>
        </w:r>
        <w:r>
          <w:rPr>
            <w:webHidden/>
          </w:rPr>
        </w:r>
        <w:r>
          <w:rPr>
            <w:webHidden/>
          </w:rPr>
          <w:fldChar w:fldCharType="separate"/>
        </w:r>
        <w:r>
          <w:rPr>
            <w:webHidden/>
          </w:rPr>
          <w:t>63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30" w:history="1">
        <w:r w:rsidRPr="00032EED">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GRUPĖS MOKUMAS. INFORMACIJA APIE SUSIJUSIUS SUBJEKTUS (GS)</w:t>
        </w:r>
        <w:r>
          <w:rPr>
            <w:webHidden/>
          </w:rPr>
          <w:tab/>
        </w:r>
        <w:r>
          <w:rPr>
            <w:webHidden/>
          </w:rPr>
          <w:fldChar w:fldCharType="begin"/>
        </w:r>
        <w:r>
          <w:rPr>
            <w:webHidden/>
          </w:rPr>
          <w:instrText xml:space="preserve"> PAGEREF _Toc524010030 \h </w:instrText>
        </w:r>
        <w:r>
          <w:rPr>
            <w:webHidden/>
          </w:rPr>
        </w:r>
        <w:r>
          <w:rPr>
            <w:webHidden/>
          </w:rPr>
          <w:fldChar w:fldCharType="separate"/>
        </w:r>
        <w:r>
          <w:rPr>
            <w:webHidden/>
          </w:rPr>
          <w:t>65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31" w:history="1">
        <w:r w:rsidRPr="00032EED">
          <w:rPr>
            <w:rStyle w:val="Hyperlink"/>
            <w:rFonts w:ascii="Times New Roman" w:hAnsi="Times New Roman"/>
          </w:rPr>
          <w:t>2.1.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_Toc524010031 \h </w:instrText>
        </w:r>
        <w:r>
          <w:rPr>
            <w:webHidden/>
          </w:rPr>
        </w:r>
        <w:r>
          <w:rPr>
            <w:webHidden/>
          </w:rPr>
          <w:fldChar w:fldCharType="separate"/>
        </w:r>
        <w:r>
          <w:rPr>
            <w:webHidden/>
          </w:rPr>
          <w:t>65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32" w:history="1">
        <w:r w:rsidRPr="00032EED">
          <w:rPr>
            <w:rStyle w:val="Hyperlink"/>
            <w:rFonts w:ascii="Times New Roman" w:hAnsi="Times New Roman"/>
          </w:rPr>
          <w:t>2.2.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Išsami informacija apie grupės mokumą</w:t>
        </w:r>
        <w:r>
          <w:rPr>
            <w:webHidden/>
          </w:rPr>
          <w:tab/>
        </w:r>
        <w:r>
          <w:rPr>
            <w:webHidden/>
          </w:rPr>
          <w:fldChar w:fldCharType="begin"/>
        </w:r>
        <w:r>
          <w:rPr>
            <w:webHidden/>
          </w:rPr>
          <w:instrText xml:space="preserve"> PAGEREF _Toc524010032 \h </w:instrText>
        </w:r>
        <w:r>
          <w:rPr>
            <w:webHidden/>
          </w:rPr>
        </w:r>
        <w:r>
          <w:rPr>
            <w:webHidden/>
          </w:rPr>
          <w:fldChar w:fldCharType="separate"/>
        </w:r>
        <w:r>
          <w:rPr>
            <w:webHidden/>
          </w:rPr>
          <w:t>66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33" w:history="1">
        <w:r w:rsidRPr="00032EED">
          <w:rPr>
            <w:rStyle w:val="Hyperlink"/>
            <w:rFonts w:ascii="Times New Roman" w:hAnsi="Times New Roman"/>
          </w:rPr>
          <w:t>2.3.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Informacija apie atskirų subjektų indėlį į grupės mokumą</w:t>
        </w:r>
        <w:r>
          <w:rPr>
            <w:webHidden/>
          </w:rPr>
          <w:tab/>
        </w:r>
        <w:r>
          <w:rPr>
            <w:webHidden/>
          </w:rPr>
          <w:fldChar w:fldCharType="begin"/>
        </w:r>
        <w:r>
          <w:rPr>
            <w:webHidden/>
          </w:rPr>
          <w:instrText xml:space="preserve"> PAGEREF _Toc524010033 \h </w:instrText>
        </w:r>
        <w:r>
          <w:rPr>
            <w:webHidden/>
          </w:rPr>
        </w:r>
        <w:r>
          <w:rPr>
            <w:webHidden/>
          </w:rPr>
          <w:fldChar w:fldCharType="separate"/>
        </w:r>
        <w:r>
          <w:rPr>
            <w:webHidden/>
          </w:rPr>
          <w:t>66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34" w:history="1">
        <w:r w:rsidRPr="00032EED">
          <w:rPr>
            <w:rStyle w:val="Hyperlink"/>
            <w:rFonts w:ascii="Times New Roman" w:hAnsi="Times New Roman"/>
          </w:rPr>
          <w:t>2.4.</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06.01. GRUPĖS MOKUMAS. INFORMACIJA APIE SUSIJUSIUS SUBJEKTUS. Bendra suma (GS TOTAL)</w:t>
        </w:r>
        <w:r>
          <w:rPr>
            <w:webHidden/>
          </w:rPr>
          <w:tab/>
        </w:r>
        <w:r>
          <w:rPr>
            <w:webHidden/>
          </w:rPr>
          <w:fldChar w:fldCharType="begin"/>
        </w:r>
        <w:r>
          <w:rPr>
            <w:webHidden/>
          </w:rPr>
          <w:instrText xml:space="preserve"> PAGEREF _Toc524010034 \h </w:instrText>
        </w:r>
        <w:r>
          <w:rPr>
            <w:webHidden/>
          </w:rPr>
        </w:r>
        <w:r>
          <w:rPr>
            <w:webHidden/>
          </w:rPr>
          <w:fldChar w:fldCharType="separate"/>
        </w:r>
        <w:r>
          <w:rPr>
            <w:webHidden/>
          </w:rPr>
          <w:t>67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35" w:history="1">
        <w:r w:rsidRPr="00032EED">
          <w:rPr>
            <w:rStyle w:val="Hyperlink"/>
            <w:rFonts w:ascii="Times New Roman" w:hAnsi="Times New Roman"/>
          </w:rPr>
          <w:t>2.5.</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06.02. GRUPĖS MOKUMAS. INFORMACIJA APIE SUSIJUSIUS SUBJEKTUS (GS)</w:t>
        </w:r>
        <w:r>
          <w:rPr>
            <w:webHidden/>
          </w:rPr>
          <w:tab/>
        </w:r>
        <w:r>
          <w:rPr>
            <w:webHidden/>
          </w:rPr>
          <w:fldChar w:fldCharType="begin"/>
        </w:r>
        <w:r>
          <w:rPr>
            <w:webHidden/>
          </w:rPr>
          <w:instrText xml:space="preserve"> PAGEREF _Toc524010035 \h </w:instrText>
        </w:r>
        <w:r>
          <w:rPr>
            <w:webHidden/>
          </w:rPr>
        </w:r>
        <w:r>
          <w:rPr>
            <w:webHidden/>
          </w:rPr>
          <w:fldChar w:fldCharType="separate"/>
        </w:r>
        <w:r>
          <w:rPr>
            <w:webHidden/>
          </w:rPr>
          <w:t>67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36" w:history="1">
        <w:r w:rsidRPr="00032EED">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Kredito rizikos formos</w:t>
        </w:r>
        <w:r>
          <w:rPr>
            <w:webHidden/>
          </w:rPr>
          <w:tab/>
        </w:r>
        <w:r>
          <w:rPr>
            <w:webHidden/>
          </w:rPr>
          <w:fldChar w:fldCharType="begin"/>
        </w:r>
        <w:r>
          <w:rPr>
            <w:webHidden/>
          </w:rPr>
          <w:instrText xml:space="preserve"> PAGEREF _Toc524010036 \h </w:instrText>
        </w:r>
        <w:r>
          <w:rPr>
            <w:webHidden/>
          </w:rPr>
        </w:r>
        <w:r>
          <w:rPr>
            <w:webHidden/>
          </w:rPr>
          <w:fldChar w:fldCharType="separate"/>
        </w:r>
        <w:r>
          <w:rPr>
            <w:webHidden/>
          </w:rPr>
          <w:t>76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37" w:history="1">
        <w:r w:rsidRPr="00032EED">
          <w:rPr>
            <w:rStyle w:val="Hyperlink"/>
            <w:rFonts w:ascii="Times New Roman" w:hAnsi="Times New Roman"/>
          </w:rPr>
          <w:t>3.1.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_Toc524010037 \h </w:instrText>
        </w:r>
        <w:r>
          <w:rPr>
            <w:webHidden/>
          </w:rPr>
        </w:r>
        <w:r>
          <w:rPr>
            <w:webHidden/>
          </w:rPr>
          <w:fldChar w:fldCharType="separate"/>
        </w:r>
        <w:r>
          <w:rPr>
            <w:webHidden/>
          </w:rPr>
          <w:t>76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38" w:history="1">
        <w:r w:rsidRPr="00032EED">
          <w:rPr>
            <w:rStyle w:val="Hyperlink"/>
            <w:rFonts w:ascii="Times New Roman" w:hAnsi="Times New Roman"/>
          </w:rPr>
          <w:t>3.1.1.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Informacijos apie KRM metodus, turinčius pakeitimo poveikį, teikimas</w:t>
        </w:r>
        <w:r>
          <w:rPr>
            <w:webHidden/>
          </w:rPr>
          <w:tab/>
        </w:r>
        <w:r>
          <w:rPr>
            <w:webHidden/>
          </w:rPr>
          <w:fldChar w:fldCharType="begin"/>
        </w:r>
        <w:r>
          <w:rPr>
            <w:webHidden/>
          </w:rPr>
          <w:instrText xml:space="preserve"> PAGEREF _Toc524010038 \h </w:instrText>
        </w:r>
        <w:r>
          <w:rPr>
            <w:webHidden/>
          </w:rPr>
        </w:r>
        <w:r>
          <w:rPr>
            <w:webHidden/>
          </w:rPr>
          <w:fldChar w:fldCharType="separate"/>
        </w:r>
        <w:r>
          <w:rPr>
            <w:webHidden/>
          </w:rPr>
          <w:t>76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39" w:history="1">
        <w:r w:rsidRPr="00032EED">
          <w:rPr>
            <w:rStyle w:val="Hyperlink"/>
            <w:rFonts w:ascii="Times New Roman" w:hAnsi="Times New Roman"/>
          </w:rPr>
          <w:t>3.1.2.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Informacijos apie sandorio šalies kredito riziką teikimas</w:t>
        </w:r>
        <w:r>
          <w:rPr>
            <w:webHidden/>
          </w:rPr>
          <w:tab/>
        </w:r>
        <w:r>
          <w:rPr>
            <w:webHidden/>
          </w:rPr>
          <w:fldChar w:fldCharType="begin"/>
        </w:r>
        <w:r>
          <w:rPr>
            <w:webHidden/>
          </w:rPr>
          <w:instrText xml:space="preserve"> PAGEREF _Toc524010039 \h </w:instrText>
        </w:r>
        <w:r>
          <w:rPr>
            <w:webHidden/>
          </w:rPr>
        </w:r>
        <w:r>
          <w:rPr>
            <w:webHidden/>
          </w:rPr>
          <w:fldChar w:fldCharType="separate"/>
        </w:r>
        <w:r>
          <w:rPr>
            <w:webHidden/>
          </w:rPr>
          <w:t>77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40" w:history="1">
        <w:r w:rsidRPr="00032EED">
          <w:rPr>
            <w:rStyle w:val="Hyperlink"/>
            <w:rFonts w:ascii="Times New Roman" w:hAnsi="Times New Roman"/>
          </w:rPr>
          <w:t>3.2.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07.00. Kredito rizika, sandorio šalies kredito rizika ir nebaigti sandoriai. Standartizuotas metodas, taikomas kapitalo reikalavimams apskaičiuoti (CR SA)</w:t>
        </w:r>
        <w:r>
          <w:rPr>
            <w:webHidden/>
          </w:rPr>
          <w:tab/>
        </w:r>
        <w:r>
          <w:rPr>
            <w:webHidden/>
          </w:rPr>
          <w:fldChar w:fldCharType="begin"/>
        </w:r>
        <w:r>
          <w:rPr>
            <w:webHidden/>
          </w:rPr>
          <w:instrText xml:space="preserve"> PAGEREF _Toc524010040 \h </w:instrText>
        </w:r>
        <w:r>
          <w:rPr>
            <w:webHidden/>
          </w:rPr>
        </w:r>
        <w:r>
          <w:rPr>
            <w:webHidden/>
          </w:rPr>
          <w:fldChar w:fldCharType="separate"/>
        </w:r>
        <w:r>
          <w:rPr>
            <w:webHidden/>
          </w:rPr>
          <w:t>77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41" w:history="1">
        <w:r w:rsidRPr="00032EED">
          <w:rPr>
            <w:rStyle w:val="Hyperlink"/>
            <w:rFonts w:ascii="Times New Roman" w:hAnsi="Times New Roman"/>
          </w:rPr>
          <w:t>3.2.1.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_Toc524010041 \h </w:instrText>
        </w:r>
        <w:r>
          <w:rPr>
            <w:webHidden/>
          </w:rPr>
        </w:r>
        <w:r>
          <w:rPr>
            <w:webHidden/>
          </w:rPr>
          <w:fldChar w:fldCharType="separate"/>
        </w:r>
        <w:r>
          <w:rPr>
            <w:webHidden/>
          </w:rPr>
          <w:t>77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42" w:history="1">
        <w:r w:rsidRPr="00032EED">
          <w:rPr>
            <w:rStyle w:val="Hyperlink"/>
            <w:rFonts w:ascii="Times New Roman" w:hAnsi="Times New Roman"/>
          </w:rPr>
          <w:t>3.2.2.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CR SA formos turinys</w:t>
        </w:r>
        <w:r>
          <w:rPr>
            <w:webHidden/>
          </w:rPr>
          <w:tab/>
        </w:r>
        <w:r>
          <w:rPr>
            <w:webHidden/>
          </w:rPr>
          <w:fldChar w:fldCharType="begin"/>
        </w:r>
        <w:r>
          <w:rPr>
            <w:webHidden/>
          </w:rPr>
          <w:instrText xml:space="preserve"> PAGEREF _Toc524010042 \h </w:instrText>
        </w:r>
        <w:r>
          <w:rPr>
            <w:webHidden/>
          </w:rPr>
        </w:r>
        <w:r>
          <w:rPr>
            <w:webHidden/>
          </w:rPr>
          <w:fldChar w:fldCharType="separate"/>
        </w:r>
        <w:r>
          <w:rPr>
            <w:webHidden/>
          </w:rPr>
          <w:t>77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43" w:history="1">
        <w:r w:rsidRPr="00032EED">
          <w:rPr>
            <w:rStyle w:val="Hyperlink"/>
            <w:rFonts w:ascii="Times New Roman" w:hAnsi="Times New Roman"/>
          </w:rPr>
          <w:t>3.2.3.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 xml:space="preserve"> Pozicijų priskyrimas prie pozicijų klasių pagal standartizuotą metodą</w:t>
        </w:r>
        <w:r>
          <w:rPr>
            <w:webHidden/>
          </w:rPr>
          <w:tab/>
        </w:r>
        <w:r>
          <w:rPr>
            <w:webHidden/>
          </w:rPr>
          <w:fldChar w:fldCharType="begin"/>
        </w:r>
        <w:r>
          <w:rPr>
            <w:webHidden/>
          </w:rPr>
          <w:instrText xml:space="preserve"> PAGEREF _Toc524010043 \h </w:instrText>
        </w:r>
        <w:r>
          <w:rPr>
            <w:webHidden/>
          </w:rPr>
        </w:r>
        <w:r>
          <w:rPr>
            <w:webHidden/>
          </w:rPr>
          <w:fldChar w:fldCharType="separate"/>
        </w:r>
        <w:r>
          <w:rPr>
            <w:webHidden/>
          </w:rPr>
          <w:t>79</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44" w:history="1">
        <w:r w:rsidRPr="00032EED">
          <w:rPr>
            <w:rStyle w:val="Hyperlink"/>
            <w:rFonts w:ascii="Times New Roman" w:hAnsi="Times New Roman"/>
          </w:rPr>
          <w:t>3.2.4.</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Kai kurių KRR 112 straipsnyje nurodytų pozicijų klasių apimties paaiškinimai</w:t>
        </w:r>
        <w:r>
          <w:rPr>
            <w:webHidden/>
          </w:rPr>
          <w:tab/>
        </w:r>
        <w:r>
          <w:rPr>
            <w:webHidden/>
          </w:rPr>
          <w:fldChar w:fldCharType="begin"/>
        </w:r>
        <w:r>
          <w:rPr>
            <w:webHidden/>
          </w:rPr>
          <w:instrText xml:space="preserve"> PAGEREF _Toc524010044 \h </w:instrText>
        </w:r>
        <w:r>
          <w:rPr>
            <w:webHidden/>
          </w:rPr>
        </w:r>
        <w:r>
          <w:rPr>
            <w:webHidden/>
          </w:rPr>
          <w:fldChar w:fldCharType="separate"/>
        </w:r>
        <w:r>
          <w:rPr>
            <w:webHidden/>
          </w:rPr>
          <w:t>83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45" w:history="1">
        <w:r w:rsidRPr="00032EED">
          <w:rPr>
            <w:rStyle w:val="Hyperlink"/>
            <w:rFonts w:ascii="Times New Roman" w:hAnsi="Times New Roman"/>
          </w:rPr>
          <w:t>3.2.4.1.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Pozicijų klasė „Įstaigų pozicijos“</w:t>
        </w:r>
        <w:r>
          <w:rPr>
            <w:webHidden/>
          </w:rPr>
          <w:tab/>
        </w:r>
        <w:r>
          <w:rPr>
            <w:webHidden/>
          </w:rPr>
          <w:fldChar w:fldCharType="begin"/>
        </w:r>
        <w:r>
          <w:rPr>
            <w:webHidden/>
          </w:rPr>
          <w:instrText xml:space="preserve"> PAGEREF _Toc524010045 \h </w:instrText>
        </w:r>
        <w:r>
          <w:rPr>
            <w:webHidden/>
          </w:rPr>
        </w:r>
        <w:r>
          <w:rPr>
            <w:webHidden/>
          </w:rPr>
          <w:fldChar w:fldCharType="separate"/>
        </w:r>
        <w:r>
          <w:rPr>
            <w:webHidden/>
          </w:rPr>
          <w:t>83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46" w:history="1">
        <w:r w:rsidRPr="00032EED">
          <w:rPr>
            <w:rStyle w:val="Hyperlink"/>
            <w:rFonts w:ascii="Times New Roman" w:hAnsi="Times New Roman"/>
          </w:rPr>
          <w:t>3.2.4.2.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Pozicijų klasė „Padengtųjų obligacijų pozicijos“</w:t>
        </w:r>
        <w:r>
          <w:rPr>
            <w:webHidden/>
          </w:rPr>
          <w:tab/>
        </w:r>
        <w:r>
          <w:rPr>
            <w:webHidden/>
          </w:rPr>
          <w:fldChar w:fldCharType="begin"/>
        </w:r>
        <w:r>
          <w:rPr>
            <w:webHidden/>
          </w:rPr>
          <w:instrText xml:space="preserve"> PAGEREF _Toc524010046 \h </w:instrText>
        </w:r>
        <w:r>
          <w:rPr>
            <w:webHidden/>
          </w:rPr>
        </w:r>
        <w:r>
          <w:rPr>
            <w:webHidden/>
          </w:rPr>
          <w:fldChar w:fldCharType="separate"/>
        </w:r>
        <w:r>
          <w:rPr>
            <w:webHidden/>
          </w:rPr>
          <w:t>83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47" w:history="1">
        <w:r w:rsidRPr="00032EED">
          <w:rPr>
            <w:rStyle w:val="Hyperlink"/>
            <w:rFonts w:ascii="Times New Roman" w:hAnsi="Times New Roman"/>
          </w:rPr>
          <w:t>3.2.4.3.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Pozicijų klasė „Pozicijos, kurias sudaro kolektyvinio investavimo subjektų (KIS) investiciniai vienetai arba akcijos“</w:t>
        </w:r>
        <w:r>
          <w:rPr>
            <w:webHidden/>
          </w:rPr>
          <w:tab/>
        </w:r>
        <w:r>
          <w:rPr>
            <w:webHidden/>
          </w:rPr>
          <w:fldChar w:fldCharType="begin"/>
        </w:r>
        <w:r>
          <w:rPr>
            <w:webHidden/>
          </w:rPr>
          <w:instrText xml:space="preserve"> PAGEREF _Toc524010047 \h </w:instrText>
        </w:r>
        <w:r>
          <w:rPr>
            <w:webHidden/>
          </w:rPr>
        </w:r>
        <w:r>
          <w:rPr>
            <w:webHidden/>
          </w:rPr>
          <w:fldChar w:fldCharType="separate"/>
        </w:r>
        <w:r>
          <w:rPr>
            <w:webHidden/>
          </w:rPr>
          <w:t>83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48" w:history="1">
        <w:r w:rsidRPr="00032EED">
          <w:rPr>
            <w:rStyle w:val="Hyperlink"/>
            <w:rFonts w:ascii="Times New Roman" w:hAnsi="Times New Roman"/>
          </w:rPr>
          <w:t>3.2.5.</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_Toc524010048 \h </w:instrText>
        </w:r>
        <w:r>
          <w:rPr>
            <w:webHidden/>
          </w:rPr>
        </w:r>
        <w:r>
          <w:rPr>
            <w:webHidden/>
          </w:rPr>
          <w:fldChar w:fldCharType="separate"/>
        </w:r>
        <w:r>
          <w:rPr>
            <w:webHidden/>
          </w:rPr>
          <w:t>83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49" w:history="1">
        <w:r w:rsidRPr="00032EED">
          <w:rPr>
            <w:rStyle w:val="Hyperlink"/>
            <w:rFonts w:ascii="Times New Roman" w:hAnsi="Times New Roman"/>
          </w:rPr>
          <w:t>3.3.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Kredito rizika, sandorio šalies kredito rizika ir nebaigti sandoriai. IRB metodas, taikomas nuosavų lėšų reikalavimams (CR IRB)</w:t>
        </w:r>
        <w:r>
          <w:rPr>
            <w:webHidden/>
          </w:rPr>
          <w:tab/>
        </w:r>
        <w:r>
          <w:rPr>
            <w:webHidden/>
          </w:rPr>
          <w:fldChar w:fldCharType="begin"/>
        </w:r>
        <w:r>
          <w:rPr>
            <w:webHidden/>
          </w:rPr>
          <w:instrText xml:space="preserve"> PAGEREF _Toc524010049 \h </w:instrText>
        </w:r>
        <w:r>
          <w:rPr>
            <w:webHidden/>
          </w:rPr>
        </w:r>
        <w:r>
          <w:rPr>
            <w:webHidden/>
          </w:rPr>
          <w:fldChar w:fldCharType="separate"/>
        </w:r>
        <w:r>
          <w:rPr>
            <w:webHidden/>
          </w:rPr>
          <w:t>91</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50" w:history="1">
        <w:r w:rsidRPr="00032EED">
          <w:rPr>
            <w:rStyle w:val="Hyperlink"/>
            <w:rFonts w:ascii="Times New Roman" w:hAnsi="Times New Roman"/>
          </w:rPr>
          <w:t>3.3.1.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CR IRB formos turinys</w:t>
        </w:r>
        <w:r>
          <w:rPr>
            <w:webHidden/>
          </w:rPr>
          <w:tab/>
        </w:r>
        <w:r>
          <w:rPr>
            <w:webHidden/>
          </w:rPr>
          <w:fldChar w:fldCharType="begin"/>
        </w:r>
        <w:r>
          <w:rPr>
            <w:webHidden/>
          </w:rPr>
          <w:instrText xml:space="preserve"> PAGEREF _Toc524010050 \h </w:instrText>
        </w:r>
        <w:r>
          <w:rPr>
            <w:webHidden/>
          </w:rPr>
        </w:r>
        <w:r>
          <w:rPr>
            <w:webHidden/>
          </w:rPr>
          <w:fldChar w:fldCharType="separate"/>
        </w:r>
        <w:r>
          <w:rPr>
            <w:webHidden/>
          </w:rPr>
          <w:t>91</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51" w:history="1">
        <w:r w:rsidRPr="00032EED">
          <w:rPr>
            <w:rStyle w:val="Hyperlink"/>
            <w:rFonts w:ascii="Times New Roman" w:hAnsi="Times New Roman"/>
          </w:rPr>
          <w:t>3.3.2.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CR IRB formos suskirstymas</w:t>
        </w:r>
        <w:r>
          <w:rPr>
            <w:webHidden/>
          </w:rPr>
          <w:tab/>
        </w:r>
        <w:r>
          <w:rPr>
            <w:webHidden/>
          </w:rPr>
          <w:fldChar w:fldCharType="begin"/>
        </w:r>
        <w:r>
          <w:rPr>
            <w:webHidden/>
          </w:rPr>
          <w:instrText xml:space="preserve"> PAGEREF _Toc524010051 \h </w:instrText>
        </w:r>
        <w:r>
          <w:rPr>
            <w:webHidden/>
          </w:rPr>
        </w:r>
        <w:r>
          <w:rPr>
            <w:webHidden/>
          </w:rPr>
          <w:fldChar w:fldCharType="separate"/>
        </w:r>
        <w:r>
          <w:rPr>
            <w:webHidden/>
          </w:rPr>
          <w:t>92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52" w:history="1">
        <w:r w:rsidRPr="00032EED">
          <w:rPr>
            <w:rStyle w:val="Hyperlink"/>
            <w:rFonts w:ascii="Times New Roman" w:hAnsi="Times New Roman"/>
          </w:rPr>
          <w:t>3.3.3.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08.01. Kredito rizika, sandorio šalies kredito rizika ir nebaigti sandoriai. IRB metodas, taikomas kapitalo reikalavimams apskaičiuoti (CR IRB 1)</w:t>
        </w:r>
        <w:r>
          <w:rPr>
            <w:webHidden/>
          </w:rPr>
          <w:tab/>
        </w:r>
        <w:r>
          <w:rPr>
            <w:webHidden/>
          </w:rPr>
          <w:fldChar w:fldCharType="begin"/>
        </w:r>
        <w:r>
          <w:rPr>
            <w:webHidden/>
          </w:rPr>
          <w:instrText xml:space="preserve"> PAGEREF _Toc524010052 \h </w:instrText>
        </w:r>
        <w:r>
          <w:rPr>
            <w:webHidden/>
          </w:rPr>
        </w:r>
        <w:r>
          <w:rPr>
            <w:webHidden/>
          </w:rPr>
          <w:fldChar w:fldCharType="separate"/>
        </w:r>
        <w:r>
          <w:rPr>
            <w:webHidden/>
          </w:rPr>
          <w:t>93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53" w:history="1">
        <w:r w:rsidRPr="00032EED">
          <w:rPr>
            <w:rStyle w:val="Hyperlink"/>
            <w:rFonts w:ascii="Times New Roman" w:hAnsi="Times New Roman"/>
          </w:rPr>
          <w:t>3.3.3.1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_Toc524010053 \h </w:instrText>
        </w:r>
        <w:r>
          <w:rPr>
            <w:webHidden/>
          </w:rPr>
        </w:r>
        <w:r>
          <w:rPr>
            <w:webHidden/>
          </w:rPr>
          <w:fldChar w:fldCharType="separate"/>
        </w:r>
        <w:r>
          <w:rPr>
            <w:webHidden/>
          </w:rPr>
          <w:t>93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54" w:history="1">
        <w:r w:rsidRPr="00032EED">
          <w:rPr>
            <w:rStyle w:val="Hyperlink"/>
            <w:rFonts w:ascii="Times New Roman" w:hAnsi="Times New Roman"/>
          </w:rPr>
          <w:t>3.3.4.</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08.02. Kredito rizika, sandorio šalies kredito rizika ir nebaigti sandoriai. IRB metodas, taikomas kapitalo reikalavimams apskaičiuoti (suskirstymas pagal įsipareigojančiojo asmens rangą arba grupę) (CR IRB 2 forma)</w:t>
        </w:r>
        <w:r>
          <w:rPr>
            <w:webHidden/>
          </w:rPr>
          <w:tab/>
        </w:r>
        <w:r>
          <w:rPr>
            <w:webHidden/>
          </w:rPr>
          <w:fldChar w:fldCharType="begin"/>
        </w:r>
        <w:r>
          <w:rPr>
            <w:webHidden/>
          </w:rPr>
          <w:instrText xml:space="preserve"> PAGEREF _Toc524010054 \h </w:instrText>
        </w:r>
        <w:r>
          <w:rPr>
            <w:webHidden/>
          </w:rPr>
        </w:r>
        <w:r>
          <w:rPr>
            <w:webHidden/>
          </w:rPr>
          <w:fldChar w:fldCharType="separate"/>
        </w:r>
        <w:r>
          <w:rPr>
            <w:webHidden/>
          </w:rPr>
          <w:t>102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55" w:history="1">
        <w:r w:rsidRPr="00032EED">
          <w:rPr>
            <w:rStyle w:val="Hyperlink"/>
            <w:rFonts w:ascii="Times New Roman" w:hAnsi="Times New Roman"/>
          </w:rPr>
          <w:t>3.4.</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Kredito rizika, sandorio šalies kredito rizika ir nebaigti sandoriai. Informacija su geografiniu suskirstymu</w:t>
        </w:r>
        <w:r>
          <w:rPr>
            <w:webHidden/>
          </w:rPr>
          <w:tab/>
        </w:r>
        <w:r>
          <w:rPr>
            <w:webHidden/>
          </w:rPr>
          <w:fldChar w:fldCharType="begin"/>
        </w:r>
        <w:r>
          <w:rPr>
            <w:webHidden/>
          </w:rPr>
          <w:instrText xml:space="preserve"> PAGEREF _Toc524010055 \h </w:instrText>
        </w:r>
        <w:r>
          <w:rPr>
            <w:webHidden/>
          </w:rPr>
        </w:r>
        <w:r>
          <w:rPr>
            <w:webHidden/>
          </w:rPr>
          <w:fldChar w:fldCharType="separate"/>
        </w:r>
        <w:r>
          <w:rPr>
            <w:webHidden/>
          </w:rPr>
          <w:t>102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56" w:history="1">
        <w:r w:rsidRPr="00032EED">
          <w:rPr>
            <w:rStyle w:val="Hyperlink"/>
            <w:rFonts w:ascii="Times New Roman" w:hAnsi="Times New Roman"/>
          </w:rPr>
          <w:t>3.4.1.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09.01. Geografinis pozicijų suskirstymas pagal įsipareigojančiojo asmens įsisteigimo vietą. Pozicijos, kurioms taikomas SA metodas (CR GB 1)</w:t>
        </w:r>
        <w:r>
          <w:rPr>
            <w:webHidden/>
          </w:rPr>
          <w:tab/>
        </w:r>
        <w:r>
          <w:rPr>
            <w:webHidden/>
          </w:rPr>
          <w:fldChar w:fldCharType="begin"/>
        </w:r>
        <w:r>
          <w:rPr>
            <w:webHidden/>
          </w:rPr>
          <w:instrText xml:space="preserve"> PAGEREF _Toc524010056 \h </w:instrText>
        </w:r>
        <w:r>
          <w:rPr>
            <w:webHidden/>
          </w:rPr>
        </w:r>
        <w:r>
          <w:rPr>
            <w:webHidden/>
          </w:rPr>
          <w:fldChar w:fldCharType="separate"/>
        </w:r>
        <w:r>
          <w:rPr>
            <w:webHidden/>
          </w:rPr>
          <w:t>103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57" w:history="1">
        <w:r w:rsidRPr="00032EED">
          <w:rPr>
            <w:rStyle w:val="Hyperlink"/>
            <w:rFonts w:ascii="Times New Roman" w:hAnsi="Times New Roman"/>
          </w:rPr>
          <w:t>3.4.1.1.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_Toc524010057 \h </w:instrText>
        </w:r>
        <w:r>
          <w:rPr>
            <w:webHidden/>
          </w:rPr>
        </w:r>
        <w:r>
          <w:rPr>
            <w:webHidden/>
          </w:rPr>
          <w:fldChar w:fldCharType="separate"/>
        </w:r>
        <w:r>
          <w:rPr>
            <w:webHidden/>
          </w:rPr>
          <w:t>103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58" w:history="1">
        <w:r w:rsidRPr="00032EED">
          <w:rPr>
            <w:rStyle w:val="Hyperlink"/>
            <w:rFonts w:ascii="Times New Roman" w:hAnsi="Times New Roman"/>
          </w:rPr>
          <w:t>3.4.2.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09.02. Geografinis pozicijų suskirstymas pagal įsipareigojančiojo asmens įsisteigimo vietą. Pozicijos, kurioms taikomas IRB metodas (CR GB 2)</w:t>
        </w:r>
        <w:r>
          <w:rPr>
            <w:webHidden/>
          </w:rPr>
          <w:tab/>
        </w:r>
        <w:r>
          <w:rPr>
            <w:webHidden/>
          </w:rPr>
          <w:fldChar w:fldCharType="begin"/>
        </w:r>
        <w:r>
          <w:rPr>
            <w:webHidden/>
          </w:rPr>
          <w:instrText xml:space="preserve"> PAGEREF _Toc524010058 \h </w:instrText>
        </w:r>
        <w:r>
          <w:rPr>
            <w:webHidden/>
          </w:rPr>
        </w:r>
        <w:r>
          <w:rPr>
            <w:webHidden/>
          </w:rPr>
          <w:fldChar w:fldCharType="separate"/>
        </w:r>
        <w:r>
          <w:rPr>
            <w:webHidden/>
          </w:rPr>
          <w:t>105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59" w:history="1">
        <w:r w:rsidRPr="00032EED">
          <w:rPr>
            <w:rStyle w:val="Hyperlink"/>
            <w:rFonts w:ascii="Times New Roman" w:hAnsi="Times New Roman"/>
          </w:rPr>
          <w:t>3.4.2.1.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_Toc524010059 \h </w:instrText>
        </w:r>
        <w:r>
          <w:rPr>
            <w:webHidden/>
          </w:rPr>
        </w:r>
        <w:r>
          <w:rPr>
            <w:webHidden/>
          </w:rPr>
          <w:fldChar w:fldCharType="separate"/>
        </w:r>
        <w:r>
          <w:rPr>
            <w:webHidden/>
          </w:rPr>
          <w:t>105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60" w:history="1">
        <w:r w:rsidRPr="00032EED">
          <w:rPr>
            <w:rStyle w:val="Hyperlink"/>
            <w:rFonts w:ascii="Times New Roman" w:hAnsi="Times New Roman"/>
          </w:rPr>
          <w:t>3.4.3.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09.04. Kredito pozicijų, kurios svarbios apskaičiuojant anticiklinį kapitalo rezervą, suskirstymas pagal šalį ir įstaigos specialaus anticiklinio kapitalo rezervo norma (CCB)</w:t>
        </w:r>
        <w:r>
          <w:rPr>
            <w:webHidden/>
          </w:rPr>
          <w:tab/>
        </w:r>
        <w:r>
          <w:rPr>
            <w:webHidden/>
          </w:rPr>
          <w:fldChar w:fldCharType="begin"/>
        </w:r>
        <w:r>
          <w:rPr>
            <w:webHidden/>
          </w:rPr>
          <w:instrText xml:space="preserve"> PAGEREF _Toc524010060 \h </w:instrText>
        </w:r>
        <w:r>
          <w:rPr>
            <w:webHidden/>
          </w:rPr>
        </w:r>
        <w:r>
          <w:rPr>
            <w:webHidden/>
          </w:rPr>
          <w:fldChar w:fldCharType="separate"/>
        </w:r>
        <w:r>
          <w:rPr>
            <w:webHidden/>
          </w:rPr>
          <w:t>108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61" w:history="1">
        <w:r w:rsidRPr="00032EED">
          <w:rPr>
            <w:rStyle w:val="Hyperlink"/>
            <w:rFonts w:ascii="Times New Roman" w:hAnsi="Times New Roman"/>
          </w:rPr>
          <w:t>3.4.3.1.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_Toc524010061 \h </w:instrText>
        </w:r>
        <w:r>
          <w:rPr>
            <w:webHidden/>
          </w:rPr>
        </w:r>
        <w:r>
          <w:rPr>
            <w:webHidden/>
          </w:rPr>
          <w:fldChar w:fldCharType="separate"/>
        </w:r>
        <w:r>
          <w:rPr>
            <w:webHidden/>
          </w:rPr>
          <w:t>108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62" w:history="1">
        <w:r w:rsidRPr="00032EED">
          <w:rPr>
            <w:rStyle w:val="Hyperlink"/>
            <w:rFonts w:ascii="Times New Roman" w:hAnsi="Times New Roman"/>
          </w:rPr>
          <w:t>3.4.3.2.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_Toc524010062 \h </w:instrText>
        </w:r>
        <w:r>
          <w:rPr>
            <w:webHidden/>
          </w:rPr>
        </w:r>
        <w:r>
          <w:rPr>
            <w:webHidden/>
          </w:rPr>
          <w:fldChar w:fldCharType="separate"/>
        </w:r>
        <w:r>
          <w:rPr>
            <w:webHidden/>
          </w:rPr>
          <w:t>109</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63" w:history="1">
        <w:r w:rsidRPr="00032EED">
          <w:rPr>
            <w:rStyle w:val="Hyperlink"/>
            <w:rFonts w:ascii="Times New Roman" w:hAnsi="Times New Roman"/>
          </w:rPr>
          <w:t>3.5.</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10.01 ir C 10.02. Nuosavybės vertybinių popierių pozicijos, kurioms taikomas vidaus reitingais pagrįstas metodas (CR EQU IRB 1 ir CR EQU IRB 2)</w:t>
        </w:r>
        <w:r>
          <w:rPr>
            <w:webHidden/>
          </w:rPr>
          <w:tab/>
        </w:r>
        <w:r>
          <w:rPr>
            <w:webHidden/>
          </w:rPr>
          <w:fldChar w:fldCharType="begin"/>
        </w:r>
        <w:r>
          <w:rPr>
            <w:webHidden/>
          </w:rPr>
          <w:instrText xml:space="preserve"> PAGEREF _Toc524010063 \h </w:instrText>
        </w:r>
        <w:r>
          <w:rPr>
            <w:webHidden/>
          </w:rPr>
        </w:r>
        <w:r>
          <w:rPr>
            <w:webHidden/>
          </w:rPr>
          <w:fldChar w:fldCharType="separate"/>
        </w:r>
        <w:r>
          <w:rPr>
            <w:webHidden/>
          </w:rPr>
          <w:t>113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64" w:history="1">
        <w:r w:rsidRPr="00032EED">
          <w:rPr>
            <w:rStyle w:val="Hyperlink"/>
            <w:rFonts w:ascii="Times New Roman" w:hAnsi="Times New Roman"/>
          </w:rPr>
          <w:t>3.5.1.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_Toc524010064 \h </w:instrText>
        </w:r>
        <w:r>
          <w:rPr>
            <w:webHidden/>
          </w:rPr>
        </w:r>
        <w:r>
          <w:rPr>
            <w:webHidden/>
          </w:rPr>
          <w:fldChar w:fldCharType="separate"/>
        </w:r>
        <w:r>
          <w:rPr>
            <w:webHidden/>
          </w:rPr>
          <w:t>113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65" w:history="1">
        <w:r w:rsidRPr="00032EED">
          <w:rPr>
            <w:rStyle w:val="Hyperlink"/>
            <w:rFonts w:ascii="Times New Roman" w:hAnsi="Times New Roman"/>
          </w:rPr>
          <w:t>3.5.2.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 (taikomi ir CR EQU IRB 1, ir CR EQU IRB 2 formai)</w:t>
        </w:r>
        <w:r>
          <w:rPr>
            <w:webHidden/>
          </w:rPr>
          <w:tab/>
        </w:r>
        <w:r>
          <w:rPr>
            <w:webHidden/>
          </w:rPr>
          <w:fldChar w:fldCharType="begin"/>
        </w:r>
        <w:r>
          <w:rPr>
            <w:webHidden/>
          </w:rPr>
          <w:instrText xml:space="preserve"> PAGEREF _Toc524010065 \h </w:instrText>
        </w:r>
        <w:r>
          <w:rPr>
            <w:webHidden/>
          </w:rPr>
        </w:r>
        <w:r>
          <w:rPr>
            <w:webHidden/>
          </w:rPr>
          <w:fldChar w:fldCharType="separate"/>
        </w:r>
        <w:r>
          <w:rPr>
            <w:webHidden/>
          </w:rPr>
          <w:t>114</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66" w:history="1">
        <w:r w:rsidRPr="00032EED">
          <w:rPr>
            <w:rStyle w:val="Hyperlink"/>
            <w:rFonts w:ascii="Times New Roman" w:hAnsi="Times New Roman"/>
          </w:rPr>
          <w:t>3.6.</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11.00. Atsiskaitymo / pristatymo rizika (CR SETT)</w:t>
        </w:r>
        <w:r>
          <w:rPr>
            <w:webHidden/>
          </w:rPr>
          <w:tab/>
        </w:r>
        <w:r>
          <w:rPr>
            <w:webHidden/>
          </w:rPr>
          <w:fldChar w:fldCharType="begin"/>
        </w:r>
        <w:r>
          <w:rPr>
            <w:webHidden/>
          </w:rPr>
          <w:instrText xml:space="preserve"> PAGEREF _Toc524010066 \h </w:instrText>
        </w:r>
        <w:r>
          <w:rPr>
            <w:webHidden/>
          </w:rPr>
        </w:r>
        <w:r>
          <w:rPr>
            <w:webHidden/>
          </w:rPr>
          <w:fldChar w:fldCharType="separate"/>
        </w:r>
        <w:r>
          <w:rPr>
            <w:webHidden/>
          </w:rPr>
          <w:t>118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67" w:history="1">
        <w:r w:rsidRPr="00032EED">
          <w:rPr>
            <w:rStyle w:val="Hyperlink"/>
            <w:rFonts w:ascii="Times New Roman" w:hAnsi="Times New Roman"/>
          </w:rPr>
          <w:t>3.6.1.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_Toc524010067 \h </w:instrText>
        </w:r>
        <w:r>
          <w:rPr>
            <w:webHidden/>
          </w:rPr>
        </w:r>
        <w:r>
          <w:rPr>
            <w:webHidden/>
          </w:rPr>
          <w:fldChar w:fldCharType="separate"/>
        </w:r>
        <w:r>
          <w:rPr>
            <w:webHidden/>
          </w:rPr>
          <w:t>118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68" w:history="1">
        <w:r w:rsidRPr="00032EED">
          <w:rPr>
            <w:rStyle w:val="Hyperlink"/>
            <w:rFonts w:ascii="Times New Roman" w:hAnsi="Times New Roman"/>
          </w:rPr>
          <w:t>3.6.2.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_Toc524010068 \h </w:instrText>
        </w:r>
        <w:r>
          <w:rPr>
            <w:webHidden/>
          </w:rPr>
        </w:r>
        <w:r>
          <w:rPr>
            <w:webHidden/>
          </w:rPr>
          <w:fldChar w:fldCharType="separate"/>
        </w:r>
        <w:r>
          <w:rPr>
            <w:webHidden/>
          </w:rPr>
          <w:t>119</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69" w:history="1">
        <w:r w:rsidRPr="00032EED">
          <w:rPr>
            <w:rStyle w:val="Hyperlink"/>
            <w:rFonts w:ascii="Times New Roman" w:hAnsi="Times New Roman"/>
          </w:rPr>
          <w:t>3.7.</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12.00. Kredito rizika. Pakeitimas vertybiniais popieriais. Standartizuotas metodas, taikomas nuosavų lėšų reikalavimams (CR SEC SA)</w:t>
        </w:r>
        <w:r>
          <w:rPr>
            <w:webHidden/>
          </w:rPr>
          <w:tab/>
        </w:r>
        <w:r>
          <w:rPr>
            <w:webHidden/>
          </w:rPr>
          <w:fldChar w:fldCharType="begin"/>
        </w:r>
        <w:r>
          <w:rPr>
            <w:webHidden/>
          </w:rPr>
          <w:instrText xml:space="preserve"> PAGEREF _Toc524010069 \h </w:instrText>
        </w:r>
        <w:r>
          <w:rPr>
            <w:webHidden/>
          </w:rPr>
        </w:r>
        <w:r>
          <w:rPr>
            <w:webHidden/>
          </w:rPr>
          <w:fldChar w:fldCharType="separate"/>
        </w:r>
        <w:r>
          <w:rPr>
            <w:webHidden/>
          </w:rPr>
          <w:t>122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70" w:history="1">
        <w:r w:rsidRPr="00032EED">
          <w:rPr>
            <w:rStyle w:val="Hyperlink"/>
            <w:rFonts w:ascii="Times New Roman" w:hAnsi="Times New Roman"/>
          </w:rPr>
          <w:t>3.7.1.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_Toc524010070 \h </w:instrText>
        </w:r>
        <w:r>
          <w:rPr>
            <w:webHidden/>
          </w:rPr>
        </w:r>
        <w:r>
          <w:rPr>
            <w:webHidden/>
          </w:rPr>
          <w:fldChar w:fldCharType="separate"/>
        </w:r>
        <w:r>
          <w:rPr>
            <w:webHidden/>
          </w:rPr>
          <w:t>122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71" w:history="1">
        <w:r w:rsidRPr="00032EED">
          <w:rPr>
            <w:rStyle w:val="Hyperlink"/>
            <w:rFonts w:ascii="Times New Roman" w:hAnsi="Times New Roman"/>
          </w:rPr>
          <w:t>3.7.2.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_Toc524010071 \h </w:instrText>
        </w:r>
        <w:r>
          <w:rPr>
            <w:webHidden/>
          </w:rPr>
        </w:r>
        <w:r>
          <w:rPr>
            <w:webHidden/>
          </w:rPr>
          <w:fldChar w:fldCharType="separate"/>
        </w:r>
        <w:r>
          <w:rPr>
            <w:webHidden/>
          </w:rPr>
          <w:t>122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72" w:history="1">
        <w:r w:rsidRPr="00032EED">
          <w:rPr>
            <w:rStyle w:val="Hyperlink"/>
            <w:rFonts w:ascii="Times New Roman" w:hAnsi="Times New Roman"/>
          </w:rPr>
          <w:t>3.8.</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13.00. Kredito rizika. Pakeitimas vertybiniais popieriais. Vidaus reitingais pagrįstas metodas, taikomas nuosavų lėšų reikalavimams (CR SEC IRB)</w:t>
        </w:r>
        <w:r>
          <w:rPr>
            <w:webHidden/>
          </w:rPr>
          <w:tab/>
        </w:r>
        <w:r>
          <w:rPr>
            <w:webHidden/>
          </w:rPr>
          <w:fldChar w:fldCharType="begin"/>
        </w:r>
        <w:r>
          <w:rPr>
            <w:webHidden/>
          </w:rPr>
          <w:instrText xml:space="preserve"> PAGEREF _Toc524010072 \h </w:instrText>
        </w:r>
        <w:r>
          <w:rPr>
            <w:webHidden/>
          </w:rPr>
        </w:r>
        <w:r>
          <w:rPr>
            <w:webHidden/>
          </w:rPr>
          <w:fldChar w:fldCharType="separate"/>
        </w:r>
        <w:r>
          <w:rPr>
            <w:webHidden/>
          </w:rPr>
          <w:t>132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73" w:history="1">
        <w:r w:rsidRPr="00032EED">
          <w:rPr>
            <w:rStyle w:val="Hyperlink"/>
            <w:rFonts w:ascii="Times New Roman" w:hAnsi="Times New Roman"/>
          </w:rPr>
          <w:t>3.8.1.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_Toc524010073 \h </w:instrText>
        </w:r>
        <w:r>
          <w:rPr>
            <w:webHidden/>
          </w:rPr>
        </w:r>
        <w:r>
          <w:rPr>
            <w:webHidden/>
          </w:rPr>
          <w:fldChar w:fldCharType="separate"/>
        </w:r>
        <w:r>
          <w:rPr>
            <w:webHidden/>
          </w:rPr>
          <w:t>132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74" w:history="1">
        <w:r w:rsidRPr="00032EED">
          <w:rPr>
            <w:rStyle w:val="Hyperlink"/>
            <w:rFonts w:ascii="Times New Roman" w:hAnsi="Times New Roman"/>
          </w:rPr>
          <w:t>3.8.2.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_Toc524010074 \h </w:instrText>
        </w:r>
        <w:r>
          <w:rPr>
            <w:webHidden/>
          </w:rPr>
        </w:r>
        <w:r>
          <w:rPr>
            <w:webHidden/>
          </w:rPr>
          <w:fldChar w:fldCharType="separate"/>
        </w:r>
        <w:r>
          <w:rPr>
            <w:webHidden/>
          </w:rPr>
          <w:t>132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75" w:history="1">
        <w:r w:rsidRPr="00032EED">
          <w:rPr>
            <w:rStyle w:val="Hyperlink"/>
            <w:rFonts w:ascii="Times New Roman" w:hAnsi="Times New Roman"/>
          </w:rPr>
          <w:t>3.9.</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14.00. Išsami informacija apie pakeitimą vertybiniais popieriais (SEC DETAILS)</w:t>
        </w:r>
        <w:r>
          <w:rPr>
            <w:webHidden/>
          </w:rPr>
          <w:tab/>
        </w:r>
        <w:r>
          <w:rPr>
            <w:webHidden/>
          </w:rPr>
          <w:fldChar w:fldCharType="begin"/>
        </w:r>
        <w:r>
          <w:rPr>
            <w:webHidden/>
          </w:rPr>
          <w:instrText xml:space="preserve"> PAGEREF _Toc524010075 \h </w:instrText>
        </w:r>
        <w:r>
          <w:rPr>
            <w:webHidden/>
          </w:rPr>
        </w:r>
        <w:r>
          <w:rPr>
            <w:webHidden/>
          </w:rPr>
          <w:fldChar w:fldCharType="separate"/>
        </w:r>
        <w:r>
          <w:rPr>
            <w:webHidden/>
          </w:rPr>
          <w:t>141</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76" w:history="1">
        <w:r w:rsidRPr="00032EED">
          <w:rPr>
            <w:rStyle w:val="Hyperlink"/>
            <w:rFonts w:ascii="Times New Roman" w:hAnsi="Times New Roman"/>
          </w:rPr>
          <w:t>3.9.1.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_Toc524010076 \h </w:instrText>
        </w:r>
        <w:r>
          <w:rPr>
            <w:webHidden/>
          </w:rPr>
        </w:r>
        <w:r>
          <w:rPr>
            <w:webHidden/>
          </w:rPr>
          <w:fldChar w:fldCharType="separate"/>
        </w:r>
        <w:r>
          <w:rPr>
            <w:webHidden/>
          </w:rPr>
          <w:t>141</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77" w:history="1">
        <w:r w:rsidRPr="00032EED">
          <w:rPr>
            <w:rStyle w:val="Hyperlink"/>
            <w:rFonts w:ascii="Times New Roman" w:hAnsi="Times New Roman"/>
          </w:rPr>
          <w:t>3.9.2.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_Toc524010077 \h </w:instrText>
        </w:r>
        <w:r>
          <w:rPr>
            <w:webHidden/>
          </w:rPr>
        </w:r>
        <w:r>
          <w:rPr>
            <w:webHidden/>
          </w:rPr>
          <w:fldChar w:fldCharType="separate"/>
        </w:r>
        <w:r>
          <w:rPr>
            <w:webHidden/>
          </w:rPr>
          <w:t>142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78" w:history="1">
        <w:r w:rsidRPr="00032EED">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Operacinės rizikos formos</w:t>
        </w:r>
        <w:r>
          <w:rPr>
            <w:webHidden/>
          </w:rPr>
          <w:tab/>
        </w:r>
        <w:r>
          <w:rPr>
            <w:webHidden/>
          </w:rPr>
          <w:fldChar w:fldCharType="begin"/>
        </w:r>
        <w:r>
          <w:rPr>
            <w:webHidden/>
          </w:rPr>
          <w:instrText xml:space="preserve"> PAGEREF _Toc524010078 \h </w:instrText>
        </w:r>
        <w:r>
          <w:rPr>
            <w:webHidden/>
          </w:rPr>
        </w:r>
        <w:r>
          <w:rPr>
            <w:webHidden/>
          </w:rPr>
          <w:fldChar w:fldCharType="separate"/>
        </w:r>
        <w:r>
          <w:rPr>
            <w:webHidden/>
          </w:rPr>
          <w:t>156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79" w:history="1">
        <w:r w:rsidRPr="00032EED">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032EED">
          <w:rPr>
            <w:rStyle w:val="Hyperlink"/>
          </w:rPr>
          <w:t xml:space="preserve"> </w:t>
        </w:r>
        <w:r w:rsidRPr="00032EED">
          <w:rPr>
            <w:rStyle w:val="Hyperlink"/>
            <w:rFonts w:ascii="Times New Roman" w:hAnsi="Times New Roman"/>
          </w:rPr>
          <w:t>C 16.00. Operacinė rizika (OPR)</w:t>
        </w:r>
        <w:r>
          <w:rPr>
            <w:webHidden/>
          </w:rPr>
          <w:tab/>
        </w:r>
        <w:r>
          <w:rPr>
            <w:webHidden/>
          </w:rPr>
          <w:fldChar w:fldCharType="begin"/>
        </w:r>
        <w:r>
          <w:rPr>
            <w:webHidden/>
          </w:rPr>
          <w:instrText xml:space="preserve"> PAGEREF _Toc524010079 \h </w:instrText>
        </w:r>
        <w:r>
          <w:rPr>
            <w:webHidden/>
          </w:rPr>
        </w:r>
        <w:r>
          <w:rPr>
            <w:webHidden/>
          </w:rPr>
          <w:fldChar w:fldCharType="separate"/>
        </w:r>
        <w:r>
          <w:rPr>
            <w:webHidden/>
          </w:rPr>
          <w:t>156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80" w:history="1">
        <w:r w:rsidRPr="00032EED">
          <w:rPr>
            <w:rStyle w:val="Hyperlink"/>
            <w:rFonts w:ascii="Times New Roman" w:hAnsi="Times New Roman"/>
          </w:rPr>
          <w:t>4.1.1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_Toc524010080 \h </w:instrText>
        </w:r>
        <w:r>
          <w:rPr>
            <w:webHidden/>
          </w:rPr>
        </w:r>
        <w:r>
          <w:rPr>
            <w:webHidden/>
          </w:rPr>
          <w:fldChar w:fldCharType="separate"/>
        </w:r>
        <w:r>
          <w:rPr>
            <w:webHidden/>
          </w:rPr>
          <w:t>156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81" w:history="1">
        <w:r w:rsidRPr="00032EED">
          <w:rPr>
            <w:rStyle w:val="Hyperlink"/>
            <w:rFonts w:ascii="Times New Roman" w:hAnsi="Times New Roman"/>
          </w:rPr>
          <w:t>4.1.2.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_Toc524010081 \h </w:instrText>
        </w:r>
        <w:r>
          <w:rPr>
            <w:webHidden/>
          </w:rPr>
        </w:r>
        <w:r>
          <w:rPr>
            <w:webHidden/>
          </w:rPr>
          <w:fldChar w:fldCharType="separate"/>
        </w:r>
        <w:r>
          <w:rPr>
            <w:webHidden/>
          </w:rPr>
          <w:t>157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82" w:history="1">
        <w:r w:rsidRPr="00032EED">
          <w:rPr>
            <w:rStyle w:val="Hyperlink"/>
            <w:rFonts w:ascii="Times New Roman" w:hAnsi="Times New Roman"/>
          </w:rPr>
          <w:t>4.2.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Operacinė rizika. Išsami informacija apie praėjusių metų nuostolius (OPR DETAILS)</w:t>
        </w:r>
        <w:r>
          <w:rPr>
            <w:webHidden/>
          </w:rPr>
          <w:tab/>
        </w:r>
        <w:r>
          <w:rPr>
            <w:webHidden/>
          </w:rPr>
          <w:fldChar w:fldCharType="begin"/>
        </w:r>
        <w:r>
          <w:rPr>
            <w:webHidden/>
          </w:rPr>
          <w:instrText xml:space="preserve"> PAGEREF _Toc524010082 \h </w:instrText>
        </w:r>
        <w:r>
          <w:rPr>
            <w:webHidden/>
          </w:rPr>
        </w:r>
        <w:r>
          <w:rPr>
            <w:webHidden/>
          </w:rPr>
          <w:fldChar w:fldCharType="separate"/>
        </w:r>
        <w:r>
          <w:rPr>
            <w:webHidden/>
          </w:rPr>
          <w:t>160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83" w:history="1">
        <w:r w:rsidRPr="00032EED">
          <w:rPr>
            <w:rStyle w:val="Hyperlink"/>
            <w:rFonts w:ascii="Times New Roman" w:hAnsi="Times New Roman"/>
          </w:rPr>
          <w:t>4.2.1.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_Toc524010083 \h </w:instrText>
        </w:r>
        <w:r>
          <w:rPr>
            <w:webHidden/>
          </w:rPr>
        </w:r>
        <w:r>
          <w:rPr>
            <w:webHidden/>
          </w:rPr>
          <w:fldChar w:fldCharType="separate"/>
        </w:r>
        <w:r>
          <w:rPr>
            <w:webHidden/>
          </w:rPr>
          <w:t>160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84" w:history="1">
        <w:r w:rsidRPr="00032EED">
          <w:rPr>
            <w:rStyle w:val="Hyperlink"/>
            <w:rFonts w:ascii="Times New Roman" w:hAnsi="Times New Roman"/>
          </w:rPr>
          <w:t>4.2.2.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17.01. Operacinės rizikos nuostoliai ir susigrąžintos sumos pagal verslo liniją ir įvykių rūšį per praėjusius metus (OPR DETAILS 1)</w:t>
        </w:r>
        <w:r>
          <w:rPr>
            <w:webHidden/>
          </w:rPr>
          <w:tab/>
        </w:r>
        <w:r>
          <w:rPr>
            <w:webHidden/>
          </w:rPr>
          <w:fldChar w:fldCharType="begin"/>
        </w:r>
        <w:r>
          <w:rPr>
            <w:webHidden/>
          </w:rPr>
          <w:instrText xml:space="preserve"> PAGEREF _Toc524010084 \h </w:instrText>
        </w:r>
        <w:r>
          <w:rPr>
            <w:webHidden/>
          </w:rPr>
        </w:r>
        <w:r>
          <w:rPr>
            <w:webHidden/>
          </w:rPr>
          <w:fldChar w:fldCharType="separate"/>
        </w:r>
        <w:r>
          <w:rPr>
            <w:webHidden/>
          </w:rPr>
          <w:t>161</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85" w:history="1">
        <w:r w:rsidRPr="00032EED">
          <w:rPr>
            <w:rStyle w:val="Hyperlink"/>
            <w:rFonts w:ascii="Times New Roman" w:hAnsi="Times New Roman"/>
          </w:rPr>
          <w:t>4.2.2.1.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_Toc524010085 \h </w:instrText>
        </w:r>
        <w:r>
          <w:rPr>
            <w:webHidden/>
          </w:rPr>
        </w:r>
        <w:r>
          <w:rPr>
            <w:webHidden/>
          </w:rPr>
          <w:fldChar w:fldCharType="separate"/>
        </w:r>
        <w:r>
          <w:rPr>
            <w:webHidden/>
          </w:rPr>
          <w:t>161</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86" w:history="1">
        <w:r w:rsidRPr="00032EED">
          <w:rPr>
            <w:rStyle w:val="Hyperlink"/>
            <w:rFonts w:ascii="Times New Roman" w:hAnsi="Times New Roman"/>
          </w:rPr>
          <w:t>4.2.2.2.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_Toc524010086 \h </w:instrText>
        </w:r>
        <w:r>
          <w:rPr>
            <w:webHidden/>
          </w:rPr>
        </w:r>
        <w:r>
          <w:rPr>
            <w:webHidden/>
          </w:rPr>
          <w:fldChar w:fldCharType="separate"/>
        </w:r>
        <w:r>
          <w:rPr>
            <w:webHidden/>
          </w:rPr>
          <w:t>162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87" w:history="1">
        <w:r w:rsidRPr="00032EED">
          <w:rPr>
            <w:rStyle w:val="Hyperlink"/>
            <w:rFonts w:ascii="Times New Roman" w:hAnsi="Times New Roman"/>
          </w:rPr>
          <w:t>4.2.3.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17.02. Operacinė rizika. Išsami informacija apie praėjusių metų didžiausius nuostolio įvykius (OPR DETAILS 2)</w:t>
        </w:r>
        <w:r>
          <w:rPr>
            <w:webHidden/>
          </w:rPr>
          <w:tab/>
        </w:r>
        <w:r>
          <w:rPr>
            <w:webHidden/>
          </w:rPr>
          <w:fldChar w:fldCharType="begin"/>
        </w:r>
        <w:r>
          <w:rPr>
            <w:webHidden/>
          </w:rPr>
          <w:instrText xml:space="preserve"> PAGEREF _Toc524010087 \h </w:instrText>
        </w:r>
        <w:r>
          <w:rPr>
            <w:webHidden/>
          </w:rPr>
        </w:r>
        <w:r>
          <w:rPr>
            <w:webHidden/>
          </w:rPr>
          <w:fldChar w:fldCharType="separate"/>
        </w:r>
        <w:r>
          <w:rPr>
            <w:webHidden/>
          </w:rPr>
          <w:t>168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88" w:history="1">
        <w:r w:rsidRPr="00032EED">
          <w:rPr>
            <w:rStyle w:val="Hyperlink"/>
            <w:rFonts w:ascii="Times New Roman" w:hAnsi="Times New Roman"/>
          </w:rPr>
          <w:t>4.2.3.1.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_Toc524010088 \h </w:instrText>
        </w:r>
        <w:r>
          <w:rPr>
            <w:webHidden/>
          </w:rPr>
        </w:r>
        <w:r>
          <w:rPr>
            <w:webHidden/>
          </w:rPr>
          <w:fldChar w:fldCharType="separate"/>
        </w:r>
        <w:r>
          <w:rPr>
            <w:webHidden/>
          </w:rPr>
          <w:t>168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89" w:history="1">
        <w:r w:rsidRPr="00032EED">
          <w:rPr>
            <w:rStyle w:val="Hyperlink"/>
            <w:rFonts w:ascii="Times New Roman" w:hAnsi="Times New Roman"/>
          </w:rPr>
          <w:t>4.2.3.2.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_Toc524010089 \h </w:instrText>
        </w:r>
        <w:r>
          <w:rPr>
            <w:webHidden/>
          </w:rPr>
        </w:r>
        <w:r>
          <w:rPr>
            <w:webHidden/>
          </w:rPr>
          <w:fldChar w:fldCharType="separate"/>
        </w:r>
        <w:r>
          <w:rPr>
            <w:webHidden/>
          </w:rPr>
          <w:t>168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90" w:history="1">
        <w:r w:rsidRPr="00032EED">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Rinkos rizikos formos</w:t>
        </w:r>
        <w:r>
          <w:rPr>
            <w:webHidden/>
          </w:rPr>
          <w:tab/>
        </w:r>
        <w:r>
          <w:rPr>
            <w:webHidden/>
          </w:rPr>
          <w:fldChar w:fldCharType="begin"/>
        </w:r>
        <w:r>
          <w:rPr>
            <w:webHidden/>
          </w:rPr>
          <w:instrText xml:space="preserve"> PAGEREF _Toc524010090 \h </w:instrText>
        </w:r>
        <w:r>
          <w:rPr>
            <w:webHidden/>
          </w:rPr>
        </w:r>
        <w:r>
          <w:rPr>
            <w:webHidden/>
          </w:rPr>
          <w:fldChar w:fldCharType="separate"/>
        </w:r>
        <w:r>
          <w:rPr>
            <w:webHidden/>
          </w:rPr>
          <w:t>170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91" w:history="1">
        <w:r w:rsidRPr="00032EED">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18.00. Rinkos rizika. Standartizuotas metodas, taikomas skolos priemonių, kuriomis prekiaujama, pozicijų rizikai (MKR SA TDI)</w:t>
        </w:r>
        <w:r>
          <w:rPr>
            <w:webHidden/>
          </w:rPr>
          <w:tab/>
        </w:r>
        <w:r>
          <w:rPr>
            <w:webHidden/>
          </w:rPr>
          <w:fldChar w:fldCharType="begin"/>
        </w:r>
        <w:r>
          <w:rPr>
            <w:webHidden/>
          </w:rPr>
          <w:instrText xml:space="preserve"> PAGEREF _Toc524010091 \h </w:instrText>
        </w:r>
        <w:r>
          <w:rPr>
            <w:webHidden/>
          </w:rPr>
        </w:r>
        <w:r>
          <w:rPr>
            <w:webHidden/>
          </w:rPr>
          <w:fldChar w:fldCharType="separate"/>
        </w:r>
        <w:r>
          <w:rPr>
            <w:webHidden/>
          </w:rPr>
          <w:t>170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92" w:history="1">
        <w:r w:rsidRPr="00032EED">
          <w:rPr>
            <w:rStyle w:val="Hyperlink"/>
            <w:rFonts w:ascii="Times New Roman" w:hAnsi="Times New Roman"/>
          </w:rPr>
          <w:t>5.1.1.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_Toc524010092 \h </w:instrText>
        </w:r>
        <w:r>
          <w:rPr>
            <w:webHidden/>
          </w:rPr>
        </w:r>
        <w:r>
          <w:rPr>
            <w:webHidden/>
          </w:rPr>
          <w:fldChar w:fldCharType="separate"/>
        </w:r>
        <w:r>
          <w:rPr>
            <w:webHidden/>
          </w:rPr>
          <w:t>170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93" w:history="1">
        <w:r w:rsidRPr="00032EED">
          <w:rPr>
            <w:rStyle w:val="Hyperlink"/>
            <w:rFonts w:ascii="Times New Roman" w:hAnsi="Times New Roman"/>
          </w:rPr>
          <w:t>5.1.2.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_Toc524010093 \h </w:instrText>
        </w:r>
        <w:r>
          <w:rPr>
            <w:webHidden/>
          </w:rPr>
        </w:r>
        <w:r>
          <w:rPr>
            <w:webHidden/>
          </w:rPr>
          <w:fldChar w:fldCharType="separate"/>
        </w:r>
        <w:r>
          <w:rPr>
            <w:webHidden/>
          </w:rPr>
          <w:t>170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94" w:history="1">
        <w:r w:rsidRPr="00032EED">
          <w:rPr>
            <w:rStyle w:val="Hyperlink"/>
            <w:rFonts w:ascii="Times New Roman" w:hAnsi="Times New Roman"/>
          </w:rPr>
          <w:t>5.2.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19.00. RINKOS RIZIKA. STANDARTIZUOTAS METODAS, TAIKOMAS SPECIFINEI PAKEITIMO VERTYBINIAIS POPIERIAIS RIZIKAI (MKR SA SEC)</w:t>
        </w:r>
        <w:r>
          <w:rPr>
            <w:webHidden/>
          </w:rPr>
          <w:tab/>
        </w:r>
        <w:r>
          <w:rPr>
            <w:webHidden/>
          </w:rPr>
          <w:fldChar w:fldCharType="begin"/>
        </w:r>
        <w:r>
          <w:rPr>
            <w:webHidden/>
          </w:rPr>
          <w:instrText xml:space="preserve"> PAGEREF _Toc524010094 \h </w:instrText>
        </w:r>
        <w:r>
          <w:rPr>
            <w:webHidden/>
          </w:rPr>
        </w:r>
        <w:r>
          <w:rPr>
            <w:webHidden/>
          </w:rPr>
          <w:fldChar w:fldCharType="separate"/>
        </w:r>
        <w:r>
          <w:rPr>
            <w:webHidden/>
          </w:rPr>
          <w:t>173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95" w:history="1">
        <w:r w:rsidRPr="00032EED">
          <w:rPr>
            <w:rStyle w:val="Hyperlink"/>
            <w:rFonts w:ascii="Times New Roman" w:hAnsi="Times New Roman"/>
          </w:rPr>
          <w:t>5.2.1.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_Toc524010095 \h </w:instrText>
        </w:r>
        <w:r>
          <w:rPr>
            <w:webHidden/>
          </w:rPr>
        </w:r>
        <w:r>
          <w:rPr>
            <w:webHidden/>
          </w:rPr>
          <w:fldChar w:fldCharType="separate"/>
        </w:r>
        <w:r>
          <w:rPr>
            <w:webHidden/>
          </w:rPr>
          <w:t>173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96" w:history="1">
        <w:r w:rsidRPr="00032EED">
          <w:rPr>
            <w:rStyle w:val="Hyperlink"/>
            <w:rFonts w:ascii="Times New Roman" w:hAnsi="Times New Roman"/>
          </w:rPr>
          <w:t>5.2.2.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_Toc524010096 \h </w:instrText>
        </w:r>
        <w:r>
          <w:rPr>
            <w:webHidden/>
          </w:rPr>
        </w:r>
        <w:r>
          <w:rPr>
            <w:webHidden/>
          </w:rPr>
          <w:fldChar w:fldCharType="separate"/>
        </w:r>
        <w:r>
          <w:rPr>
            <w:webHidden/>
          </w:rPr>
          <w:t>174</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97" w:history="1">
        <w:r w:rsidRPr="00032EED">
          <w:rPr>
            <w:rStyle w:val="Hyperlink"/>
            <w:rFonts w:ascii="Times New Roman" w:hAnsi="Times New Roman"/>
          </w:rPr>
          <w:t>5.3.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20.00. RINKOS RIZIKA. STANDARTIZUOTAS METODAS, TAIKOMAS SPECIFINEI RIZIKAI, SUSIJUSIAI SU KORELIACINĖS PREKYBOS PORTFELIUI PRISKIRTOMIS POZICIJOMIS (MKR SA CTP)</w:t>
        </w:r>
        <w:r>
          <w:rPr>
            <w:webHidden/>
          </w:rPr>
          <w:tab/>
        </w:r>
        <w:r>
          <w:rPr>
            <w:webHidden/>
          </w:rPr>
          <w:fldChar w:fldCharType="begin"/>
        </w:r>
        <w:r>
          <w:rPr>
            <w:webHidden/>
          </w:rPr>
          <w:instrText xml:space="preserve"> PAGEREF _Toc524010097 \h </w:instrText>
        </w:r>
        <w:r>
          <w:rPr>
            <w:webHidden/>
          </w:rPr>
        </w:r>
        <w:r>
          <w:rPr>
            <w:webHidden/>
          </w:rPr>
          <w:fldChar w:fldCharType="separate"/>
        </w:r>
        <w:r>
          <w:rPr>
            <w:webHidden/>
          </w:rPr>
          <w:t>176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98" w:history="1">
        <w:r w:rsidRPr="00032EED">
          <w:rPr>
            <w:rStyle w:val="Hyperlink"/>
            <w:rFonts w:ascii="Times New Roman" w:hAnsi="Times New Roman"/>
          </w:rPr>
          <w:t>5.3.1.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_Toc524010098 \h </w:instrText>
        </w:r>
        <w:r>
          <w:rPr>
            <w:webHidden/>
          </w:rPr>
        </w:r>
        <w:r>
          <w:rPr>
            <w:webHidden/>
          </w:rPr>
          <w:fldChar w:fldCharType="separate"/>
        </w:r>
        <w:r>
          <w:rPr>
            <w:webHidden/>
          </w:rPr>
          <w:t>176</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099" w:history="1">
        <w:r w:rsidRPr="00032EED">
          <w:rPr>
            <w:rStyle w:val="Hyperlink"/>
            <w:rFonts w:ascii="Times New Roman" w:hAnsi="Times New Roman"/>
          </w:rPr>
          <w:t>5.3.2.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_Toc524010099 \h </w:instrText>
        </w:r>
        <w:r>
          <w:rPr>
            <w:webHidden/>
          </w:rPr>
        </w:r>
        <w:r>
          <w:rPr>
            <w:webHidden/>
          </w:rPr>
          <w:fldChar w:fldCharType="separate"/>
        </w:r>
        <w:r>
          <w:rPr>
            <w:webHidden/>
          </w:rPr>
          <w:t>177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00" w:history="1">
        <w:r w:rsidRPr="00032EED">
          <w:rPr>
            <w:rStyle w:val="Hyperlink"/>
            <w:rFonts w:ascii="Times New Roman" w:hAnsi="Times New Roman"/>
          </w:rPr>
          <w:t>5.4.</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21.00. Rinkos rizika. Standartizuotas metodas, taikomas nuosavybės vertybinių popierių pozicijos rizikai (MKR SA EQU)</w:t>
        </w:r>
        <w:r>
          <w:rPr>
            <w:webHidden/>
          </w:rPr>
          <w:tab/>
        </w:r>
        <w:r>
          <w:rPr>
            <w:webHidden/>
          </w:rPr>
          <w:fldChar w:fldCharType="begin"/>
        </w:r>
        <w:r>
          <w:rPr>
            <w:webHidden/>
          </w:rPr>
          <w:instrText xml:space="preserve"> PAGEREF _Toc524010100 \h </w:instrText>
        </w:r>
        <w:r>
          <w:rPr>
            <w:webHidden/>
          </w:rPr>
        </w:r>
        <w:r>
          <w:rPr>
            <w:webHidden/>
          </w:rPr>
          <w:fldChar w:fldCharType="separate"/>
        </w:r>
        <w:r>
          <w:rPr>
            <w:webHidden/>
          </w:rPr>
          <w:t>180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01" w:history="1">
        <w:r w:rsidRPr="00032EED">
          <w:rPr>
            <w:rStyle w:val="Hyperlink"/>
            <w:rFonts w:ascii="Times New Roman" w:hAnsi="Times New Roman"/>
          </w:rPr>
          <w:t>5.4.1.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_Toc524010101 \h </w:instrText>
        </w:r>
        <w:r>
          <w:rPr>
            <w:webHidden/>
          </w:rPr>
        </w:r>
        <w:r>
          <w:rPr>
            <w:webHidden/>
          </w:rPr>
          <w:fldChar w:fldCharType="separate"/>
        </w:r>
        <w:r>
          <w:rPr>
            <w:webHidden/>
          </w:rPr>
          <w:t>180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02" w:history="1">
        <w:r w:rsidRPr="00032EED">
          <w:rPr>
            <w:rStyle w:val="Hyperlink"/>
            <w:rFonts w:ascii="Times New Roman" w:hAnsi="Times New Roman"/>
          </w:rPr>
          <w:t>5.4.2.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_Toc524010102 \h </w:instrText>
        </w:r>
        <w:r>
          <w:rPr>
            <w:webHidden/>
          </w:rPr>
        </w:r>
        <w:r>
          <w:rPr>
            <w:webHidden/>
          </w:rPr>
          <w:fldChar w:fldCharType="separate"/>
        </w:r>
        <w:r>
          <w:rPr>
            <w:webHidden/>
          </w:rPr>
          <w:t>180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03" w:history="1">
        <w:r w:rsidRPr="00032EED">
          <w:rPr>
            <w:rStyle w:val="Hyperlink"/>
            <w:rFonts w:ascii="Times New Roman" w:hAnsi="Times New Roman"/>
          </w:rPr>
          <w:t>5.5.</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22.00. Rinkos rizika. Standartizuoti metodai, taikomi užsienio valiutos kurso rizikai (MKR SA FX)</w:t>
        </w:r>
        <w:r>
          <w:rPr>
            <w:webHidden/>
          </w:rPr>
          <w:tab/>
        </w:r>
        <w:r>
          <w:rPr>
            <w:webHidden/>
          </w:rPr>
          <w:fldChar w:fldCharType="begin"/>
        </w:r>
        <w:r>
          <w:rPr>
            <w:webHidden/>
          </w:rPr>
          <w:instrText xml:space="preserve"> PAGEREF _Toc524010103 \h </w:instrText>
        </w:r>
        <w:r>
          <w:rPr>
            <w:webHidden/>
          </w:rPr>
        </w:r>
        <w:r>
          <w:rPr>
            <w:webHidden/>
          </w:rPr>
          <w:fldChar w:fldCharType="separate"/>
        </w:r>
        <w:r>
          <w:rPr>
            <w:webHidden/>
          </w:rPr>
          <w:t>182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04" w:history="1">
        <w:r w:rsidRPr="00032EED">
          <w:rPr>
            <w:rStyle w:val="Hyperlink"/>
            <w:rFonts w:ascii="Times New Roman" w:hAnsi="Times New Roman"/>
          </w:rPr>
          <w:t>5.5.1.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_Toc524010104 \h </w:instrText>
        </w:r>
        <w:r>
          <w:rPr>
            <w:webHidden/>
          </w:rPr>
        </w:r>
        <w:r>
          <w:rPr>
            <w:webHidden/>
          </w:rPr>
          <w:fldChar w:fldCharType="separate"/>
        </w:r>
        <w:r>
          <w:rPr>
            <w:webHidden/>
          </w:rPr>
          <w:t>182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05" w:history="1">
        <w:r w:rsidRPr="00032EED">
          <w:rPr>
            <w:rStyle w:val="Hyperlink"/>
            <w:rFonts w:ascii="Times New Roman" w:hAnsi="Times New Roman"/>
          </w:rPr>
          <w:t>5.5.2.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_Toc524010105 \h </w:instrText>
        </w:r>
        <w:r>
          <w:rPr>
            <w:webHidden/>
          </w:rPr>
        </w:r>
        <w:r>
          <w:rPr>
            <w:webHidden/>
          </w:rPr>
          <w:fldChar w:fldCharType="separate"/>
        </w:r>
        <w:r>
          <w:rPr>
            <w:webHidden/>
          </w:rPr>
          <w:t>182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06" w:history="1">
        <w:r w:rsidRPr="00032EED">
          <w:rPr>
            <w:rStyle w:val="Hyperlink"/>
            <w:rFonts w:ascii="Times New Roman" w:hAnsi="Times New Roman"/>
          </w:rPr>
          <w:t>5.6.</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23.00. Rinkos rizika. Standartizuoti metodai, taikomi biržos prekėms (MKR SA COM)</w:t>
        </w:r>
        <w:r>
          <w:rPr>
            <w:webHidden/>
          </w:rPr>
          <w:tab/>
        </w:r>
        <w:r>
          <w:rPr>
            <w:webHidden/>
          </w:rPr>
          <w:fldChar w:fldCharType="begin"/>
        </w:r>
        <w:r>
          <w:rPr>
            <w:webHidden/>
          </w:rPr>
          <w:instrText xml:space="preserve"> PAGEREF _Toc524010106 \h </w:instrText>
        </w:r>
        <w:r>
          <w:rPr>
            <w:webHidden/>
          </w:rPr>
        </w:r>
        <w:r>
          <w:rPr>
            <w:webHidden/>
          </w:rPr>
          <w:fldChar w:fldCharType="separate"/>
        </w:r>
        <w:r>
          <w:rPr>
            <w:webHidden/>
          </w:rPr>
          <w:t>185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07" w:history="1">
        <w:r w:rsidRPr="00032EED">
          <w:rPr>
            <w:rStyle w:val="Hyperlink"/>
            <w:rFonts w:ascii="Times New Roman" w:hAnsi="Times New Roman"/>
          </w:rPr>
          <w:t>5.6.1.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_Toc524010107 \h </w:instrText>
        </w:r>
        <w:r>
          <w:rPr>
            <w:webHidden/>
          </w:rPr>
        </w:r>
        <w:r>
          <w:rPr>
            <w:webHidden/>
          </w:rPr>
          <w:fldChar w:fldCharType="separate"/>
        </w:r>
        <w:r>
          <w:rPr>
            <w:webHidden/>
          </w:rPr>
          <w:t>185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08" w:history="1">
        <w:r w:rsidRPr="00032EED">
          <w:rPr>
            <w:rStyle w:val="Hyperlink"/>
            <w:rFonts w:ascii="Times New Roman" w:hAnsi="Times New Roman"/>
          </w:rPr>
          <w:t>5.6.2.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_Toc524010108 \h </w:instrText>
        </w:r>
        <w:r>
          <w:rPr>
            <w:webHidden/>
          </w:rPr>
        </w:r>
        <w:r>
          <w:rPr>
            <w:webHidden/>
          </w:rPr>
          <w:fldChar w:fldCharType="separate"/>
        </w:r>
        <w:r>
          <w:rPr>
            <w:webHidden/>
          </w:rPr>
          <w:t>185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09" w:history="1">
        <w:r w:rsidRPr="00032EED">
          <w:rPr>
            <w:rStyle w:val="Hyperlink"/>
            <w:rFonts w:ascii="Times New Roman" w:hAnsi="Times New Roman"/>
          </w:rPr>
          <w:t>5.7.</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24.00. Rinkos rizikos vidaus modelis (MKR IM)</w:t>
        </w:r>
        <w:r>
          <w:rPr>
            <w:webHidden/>
          </w:rPr>
          <w:tab/>
        </w:r>
        <w:r>
          <w:rPr>
            <w:webHidden/>
          </w:rPr>
          <w:fldChar w:fldCharType="begin"/>
        </w:r>
        <w:r>
          <w:rPr>
            <w:webHidden/>
          </w:rPr>
          <w:instrText xml:space="preserve"> PAGEREF _Toc524010109 \h </w:instrText>
        </w:r>
        <w:r>
          <w:rPr>
            <w:webHidden/>
          </w:rPr>
        </w:r>
        <w:r>
          <w:rPr>
            <w:webHidden/>
          </w:rPr>
          <w:fldChar w:fldCharType="separate"/>
        </w:r>
        <w:r>
          <w:rPr>
            <w:webHidden/>
          </w:rPr>
          <w:t>187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10" w:history="1">
        <w:r w:rsidRPr="00032EED">
          <w:rPr>
            <w:rStyle w:val="Hyperlink"/>
            <w:rFonts w:ascii="Times New Roman" w:hAnsi="Times New Roman"/>
          </w:rPr>
          <w:t>5.7.1.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_Toc524010110 \h </w:instrText>
        </w:r>
        <w:r>
          <w:rPr>
            <w:webHidden/>
          </w:rPr>
        </w:r>
        <w:r>
          <w:rPr>
            <w:webHidden/>
          </w:rPr>
          <w:fldChar w:fldCharType="separate"/>
        </w:r>
        <w:r>
          <w:rPr>
            <w:webHidden/>
          </w:rPr>
          <w:t>187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11" w:history="1">
        <w:r w:rsidRPr="00032EED">
          <w:rPr>
            <w:rStyle w:val="Hyperlink"/>
            <w:rFonts w:ascii="Times New Roman" w:hAnsi="Times New Roman"/>
          </w:rPr>
          <w:t>5.7.2.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_Toc524010111 \h </w:instrText>
        </w:r>
        <w:r>
          <w:rPr>
            <w:webHidden/>
          </w:rPr>
        </w:r>
        <w:r>
          <w:rPr>
            <w:webHidden/>
          </w:rPr>
          <w:fldChar w:fldCharType="separate"/>
        </w:r>
        <w:r>
          <w:rPr>
            <w:webHidden/>
          </w:rPr>
          <w:t>187</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12" w:history="1">
        <w:r w:rsidRPr="00032EED">
          <w:rPr>
            <w:rStyle w:val="Hyperlink"/>
            <w:rFonts w:ascii="Times New Roman" w:hAnsi="Times New Roman"/>
          </w:rPr>
          <w:t>5.8.</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25.00. KREDITO VERTINIMO KOREGAVIMO RIZIKA (CVA)</w:t>
        </w:r>
        <w:r>
          <w:rPr>
            <w:webHidden/>
          </w:rPr>
          <w:tab/>
        </w:r>
        <w:r>
          <w:rPr>
            <w:webHidden/>
          </w:rPr>
          <w:fldChar w:fldCharType="begin"/>
        </w:r>
        <w:r>
          <w:rPr>
            <w:webHidden/>
          </w:rPr>
          <w:instrText xml:space="preserve"> PAGEREF _Toc524010112 \h </w:instrText>
        </w:r>
        <w:r>
          <w:rPr>
            <w:webHidden/>
          </w:rPr>
        </w:r>
        <w:r>
          <w:rPr>
            <w:webHidden/>
          </w:rPr>
          <w:fldChar w:fldCharType="separate"/>
        </w:r>
        <w:r>
          <w:rPr>
            <w:webHidden/>
          </w:rPr>
          <w:t>190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13" w:history="1">
        <w:r w:rsidRPr="00032EED">
          <w:rPr>
            <w:rStyle w:val="Hyperlink"/>
            <w:rFonts w:ascii="Times New Roman" w:hAnsi="Times New Roman"/>
          </w:rPr>
          <w:t>5.8.1.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_Toc524010113 \h </w:instrText>
        </w:r>
        <w:r>
          <w:rPr>
            <w:webHidden/>
          </w:rPr>
        </w:r>
        <w:r>
          <w:rPr>
            <w:webHidden/>
          </w:rPr>
          <w:fldChar w:fldCharType="separate"/>
        </w:r>
        <w:r>
          <w:rPr>
            <w:webHidden/>
          </w:rPr>
          <w:t>190</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14" w:history="1">
        <w:r w:rsidRPr="00032EED">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Rizikos ribojimo principais pagrįstas vertinimas (PruVal)</w:t>
        </w:r>
        <w:r>
          <w:rPr>
            <w:webHidden/>
          </w:rPr>
          <w:tab/>
        </w:r>
        <w:r>
          <w:rPr>
            <w:webHidden/>
          </w:rPr>
          <w:fldChar w:fldCharType="begin"/>
        </w:r>
        <w:r>
          <w:rPr>
            <w:webHidden/>
          </w:rPr>
          <w:instrText xml:space="preserve"> PAGEREF _Toc524010114 \h </w:instrText>
        </w:r>
        <w:r>
          <w:rPr>
            <w:webHidden/>
          </w:rPr>
        </w:r>
        <w:r>
          <w:rPr>
            <w:webHidden/>
          </w:rPr>
          <w:fldChar w:fldCharType="separate"/>
        </w:r>
        <w:r>
          <w:rPr>
            <w:webHidden/>
          </w:rPr>
          <w:t>193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15" w:history="1">
        <w:r w:rsidRPr="00032EED">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32.01. Rizikos ribojimo principais pagrįstas vertinimas. Tikrąja verte įvertintas turtas ir įsipareigojimai (PruVal 1)</w:t>
        </w:r>
        <w:r>
          <w:rPr>
            <w:webHidden/>
          </w:rPr>
          <w:tab/>
        </w:r>
        <w:r>
          <w:rPr>
            <w:webHidden/>
          </w:rPr>
          <w:fldChar w:fldCharType="begin"/>
        </w:r>
        <w:r>
          <w:rPr>
            <w:webHidden/>
          </w:rPr>
          <w:instrText xml:space="preserve"> PAGEREF _Toc524010115 \h </w:instrText>
        </w:r>
        <w:r>
          <w:rPr>
            <w:webHidden/>
          </w:rPr>
        </w:r>
        <w:r>
          <w:rPr>
            <w:webHidden/>
          </w:rPr>
          <w:fldChar w:fldCharType="separate"/>
        </w:r>
        <w:r>
          <w:rPr>
            <w:webHidden/>
          </w:rPr>
          <w:t>193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16" w:history="1">
        <w:r w:rsidRPr="00032EED">
          <w:rPr>
            <w:rStyle w:val="Hyperlink"/>
            <w:rFonts w:ascii="Times New Roman" w:hAnsi="Times New Roman"/>
          </w:rPr>
          <w:t>6.1.1.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_Toc524010116 \h </w:instrText>
        </w:r>
        <w:r>
          <w:rPr>
            <w:webHidden/>
          </w:rPr>
        </w:r>
        <w:r>
          <w:rPr>
            <w:webHidden/>
          </w:rPr>
          <w:fldChar w:fldCharType="separate"/>
        </w:r>
        <w:r>
          <w:rPr>
            <w:webHidden/>
          </w:rPr>
          <w:t>193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17" w:history="1">
        <w:r w:rsidRPr="00032EED">
          <w:rPr>
            <w:rStyle w:val="Hyperlink"/>
            <w:rFonts w:ascii="Times New Roman" w:hAnsi="Times New Roman"/>
          </w:rPr>
          <w:t>6.1.2.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_Toc524010117 \h </w:instrText>
        </w:r>
        <w:r>
          <w:rPr>
            <w:webHidden/>
          </w:rPr>
        </w:r>
        <w:r>
          <w:rPr>
            <w:webHidden/>
          </w:rPr>
          <w:fldChar w:fldCharType="separate"/>
        </w:r>
        <w:r>
          <w:rPr>
            <w:webHidden/>
          </w:rPr>
          <w:t>193</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18" w:history="1">
        <w:r w:rsidRPr="00032EED">
          <w:rPr>
            <w:rStyle w:val="Hyperlink"/>
            <w:rFonts w:ascii="Times New Roman" w:hAnsi="Times New Roman"/>
          </w:rPr>
          <w:t>6.2.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32.02. Rizikos ribojimo principais pagrįstas vertinimas. Pagrindinis metodas (PruVal 2)</w:t>
        </w:r>
        <w:r>
          <w:rPr>
            <w:webHidden/>
          </w:rPr>
          <w:tab/>
        </w:r>
        <w:r>
          <w:rPr>
            <w:webHidden/>
          </w:rPr>
          <w:fldChar w:fldCharType="begin"/>
        </w:r>
        <w:r>
          <w:rPr>
            <w:webHidden/>
          </w:rPr>
          <w:instrText xml:space="preserve"> PAGEREF _Toc524010118 \h </w:instrText>
        </w:r>
        <w:r>
          <w:rPr>
            <w:webHidden/>
          </w:rPr>
        </w:r>
        <w:r>
          <w:rPr>
            <w:webHidden/>
          </w:rPr>
          <w:fldChar w:fldCharType="separate"/>
        </w:r>
        <w:r>
          <w:rPr>
            <w:webHidden/>
          </w:rPr>
          <w:t>198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19" w:history="1">
        <w:r w:rsidRPr="00032EED">
          <w:rPr>
            <w:rStyle w:val="Hyperlink"/>
            <w:rFonts w:ascii="Times New Roman" w:hAnsi="Times New Roman"/>
          </w:rPr>
          <w:t>6.2.1.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_Toc524010119 \h </w:instrText>
        </w:r>
        <w:r>
          <w:rPr>
            <w:webHidden/>
          </w:rPr>
        </w:r>
        <w:r>
          <w:rPr>
            <w:webHidden/>
          </w:rPr>
          <w:fldChar w:fldCharType="separate"/>
        </w:r>
        <w:r>
          <w:rPr>
            <w:webHidden/>
          </w:rPr>
          <w:t>198</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20" w:history="1">
        <w:r w:rsidRPr="00032EED">
          <w:rPr>
            <w:rStyle w:val="Hyperlink"/>
            <w:rFonts w:ascii="Times New Roman" w:hAnsi="Times New Roman"/>
          </w:rPr>
          <w:t>6.2.2.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_Toc524010120 \h </w:instrText>
        </w:r>
        <w:r>
          <w:rPr>
            <w:webHidden/>
          </w:rPr>
        </w:r>
        <w:r>
          <w:rPr>
            <w:webHidden/>
          </w:rPr>
          <w:fldChar w:fldCharType="separate"/>
        </w:r>
        <w:r>
          <w:rPr>
            <w:webHidden/>
          </w:rPr>
          <w:t>199</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21" w:history="1">
        <w:r w:rsidRPr="00032EED">
          <w:rPr>
            <w:rStyle w:val="Hyperlink"/>
            <w:rFonts w:ascii="Times New Roman" w:hAnsi="Times New Roman"/>
          </w:rPr>
          <w:t>6.3. C 32.03. Rizikos ribojimo principais pagrįstas vertinimas. Modelio rizikos AVA (PruVal 3)</w:t>
        </w:r>
        <w:r>
          <w:rPr>
            <w:webHidden/>
          </w:rPr>
          <w:tab/>
        </w:r>
        <w:r>
          <w:rPr>
            <w:webHidden/>
          </w:rPr>
          <w:fldChar w:fldCharType="begin"/>
        </w:r>
        <w:r>
          <w:rPr>
            <w:webHidden/>
          </w:rPr>
          <w:instrText xml:space="preserve"> PAGEREF _Toc524010121 \h </w:instrText>
        </w:r>
        <w:r>
          <w:rPr>
            <w:webHidden/>
          </w:rPr>
        </w:r>
        <w:r>
          <w:rPr>
            <w:webHidden/>
          </w:rPr>
          <w:fldChar w:fldCharType="separate"/>
        </w:r>
        <w:r>
          <w:rPr>
            <w:webHidden/>
          </w:rPr>
          <w:t>209</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22" w:history="1">
        <w:r w:rsidRPr="00032EED">
          <w:rPr>
            <w:rStyle w:val="Hyperlink"/>
            <w:rFonts w:ascii="Times New Roman" w:hAnsi="Times New Roman"/>
          </w:rPr>
          <w:t>6.3.1.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_Toc524010122 \h </w:instrText>
        </w:r>
        <w:r>
          <w:rPr>
            <w:webHidden/>
          </w:rPr>
        </w:r>
        <w:r>
          <w:rPr>
            <w:webHidden/>
          </w:rPr>
          <w:fldChar w:fldCharType="separate"/>
        </w:r>
        <w:r>
          <w:rPr>
            <w:webHidden/>
          </w:rPr>
          <w:t>209</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23" w:history="1">
        <w:r w:rsidRPr="00032EED">
          <w:rPr>
            <w:rStyle w:val="Hyperlink"/>
            <w:rFonts w:ascii="Times New Roman" w:hAnsi="Times New Roman"/>
          </w:rPr>
          <w:t>6.3.2.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_Toc524010123 \h </w:instrText>
        </w:r>
        <w:r>
          <w:rPr>
            <w:webHidden/>
          </w:rPr>
        </w:r>
        <w:r>
          <w:rPr>
            <w:webHidden/>
          </w:rPr>
          <w:fldChar w:fldCharType="separate"/>
        </w:r>
        <w:r>
          <w:rPr>
            <w:webHidden/>
          </w:rPr>
          <w:t>209</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24" w:history="1">
        <w:r w:rsidRPr="00032EED">
          <w:rPr>
            <w:rStyle w:val="Hyperlink"/>
            <w:rFonts w:ascii="Times New Roman" w:hAnsi="Times New Roman"/>
          </w:rPr>
          <w:t>6.4. C 32.04. Rizikos ribojimo principais pagrįstas vertinimas. Koncentruotų pozicijų AVA (PruVal 4)</w:t>
        </w:r>
        <w:r>
          <w:rPr>
            <w:webHidden/>
          </w:rPr>
          <w:tab/>
        </w:r>
        <w:r>
          <w:rPr>
            <w:webHidden/>
          </w:rPr>
          <w:fldChar w:fldCharType="begin"/>
        </w:r>
        <w:r>
          <w:rPr>
            <w:webHidden/>
          </w:rPr>
          <w:instrText xml:space="preserve"> PAGEREF _Toc524010124 \h </w:instrText>
        </w:r>
        <w:r>
          <w:rPr>
            <w:webHidden/>
          </w:rPr>
        </w:r>
        <w:r>
          <w:rPr>
            <w:webHidden/>
          </w:rPr>
          <w:fldChar w:fldCharType="separate"/>
        </w:r>
        <w:r>
          <w:rPr>
            <w:webHidden/>
          </w:rPr>
          <w:t>212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25" w:history="1">
        <w:r w:rsidRPr="00032EED">
          <w:rPr>
            <w:rStyle w:val="Hyperlink"/>
            <w:rFonts w:ascii="Times New Roman" w:hAnsi="Times New Roman"/>
          </w:rPr>
          <w:t>6.4.1.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_Toc524010125 \h </w:instrText>
        </w:r>
        <w:r>
          <w:rPr>
            <w:webHidden/>
          </w:rPr>
        </w:r>
        <w:r>
          <w:rPr>
            <w:webHidden/>
          </w:rPr>
          <w:fldChar w:fldCharType="separate"/>
        </w:r>
        <w:r>
          <w:rPr>
            <w:webHidden/>
          </w:rPr>
          <w:t>212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26" w:history="1">
        <w:r w:rsidRPr="00032EED">
          <w:rPr>
            <w:rStyle w:val="Hyperlink"/>
            <w:rFonts w:ascii="Times New Roman" w:hAnsi="Times New Roman"/>
          </w:rPr>
          <w:t>6.4.2.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_Toc524010126 \h </w:instrText>
        </w:r>
        <w:r>
          <w:rPr>
            <w:webHidden/>
          </w:rPr>
        </w:r>
        <w:r>
          <w:rPr>
            <w:webHidden/>
          </w:rPr>
          <w:fldChar w:fldCharType="separate"/>
        </w:r>
        <w:r>
          <w:rPr>
            <w:webHidden/>
          </w:rPr>
          <w:t>212</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27" w:history="1">
        <w:r w:rsidRPr="00032EED">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C 33.00. Valdžios sektoriaus pozicijos (GOV)</w:t>
        </w:r>
        <w:r>
          <w:rPr>
            <w:webHidden/>
          </w:rPr>
          <w:tab/>
        </w:r>
        <w:r>
          <w:rPr>
            <w:webHidden/>
          </w:rPr>
          <w:fldChar w:fldCharType="begin"/>
        </w:r>
        <w:r>
          <w:rPr>
            <w:webHidden/>
          </w:rPr>
          <w:instrText xml:space="preserve"> PAGEREF _Toc524010127 \h </w:instrText>
        </w:r>
        <w:r>
          <w:rPr>
            <w:webHidden/>
          </w:rPr>
        </w:r>
        <w:r>
          <w:rPr>
            <w:webHidden/>
          </w:rPr>
          <w:fldChar w:fldCharType="separate"/>
        </w:r>
        <w:r>
          <w:rPr>
            <w:webHidden/>
          </w:rPr>
          <w:t>214</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28" w:history="1">
        <w:r w:rsidRPr="00032EED">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Bendrosios pastabos</w:t>
        </w:r>
        <w:r>
          <w:rPr>
            <w:webHidden/>
          </w:rPr>
          <w:tab/>
        </w:r>
        <w:r>
          <w:rPr>
            <w:webHidden/>
          </w:rPr>
          <w:fldChar w:fldCharType="begin"/>
        </w:r>
        <w:r>
          <w:rPr>
            <w:webHidden/>
          </w:rPr>
          <w:instrText xml:space="preserve"> PAGEREF _Toc524010128 \h </w:instrText>
        </w:r>
        <w:r>
          <w:rPr>
            <w:webHidden/>
          </w:rPr>
        </w:r>
        <w:r>
          <w:rPr>
            <w:webHidden/>
          </w:rPr>
          <w:fldChar w:fldCharType="separate"/>
        </w:r>
        <w:r>
          <w:rPr>
            <w:webHidden/>
          </w:rPr>
          <w:t>214</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29" w:history="1">
        <w:r w:rsidRPr="00032EED">
          <w:rPr>
            <w:rStyle w:val="Hyperlink"/>
            <w:rFonts w:ascii="Times New Roman" w:hAnsi="Times New Roman"/>
          </w:rPr>
          <w:t>7.2.</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Valdžios sektoriaus pozicijų formos apimtis</w:t>
        </w:r>
        <w:r>
          <w:rPr>
            <w:webHidden/>
          </w:rPr>
          <w:tab/>
        </w:r>
        <w:r>
          <w:rPr>
            <w:webHidden/>
          </w:rPr>
          <w:fldChar w:fldCharType="begin"/>
        </w:r>
        <w:r>
          <w:rPr>
            <w:webHidden/>
          </w:rPr>
          <w:instrText xml:space="preserve"> PAGEREF _Toc524010129 \h </w:instrText>
        </w:r>
        <w:r>
          <w:rPr>
            <w:webHidden/>
          </w:rPr>
        </w:r>
        <w:r>
          <w:rPr>
            <w:webHidden/>
          </w:rPr>
          <w:fldChar w:fldCharType="separate"/>
        </w:r>
        <w:r>
          <w:rPr>
            <w:webHidden/>
          </w:rPr>
          <w:t>215</w:t>
        </w:r>
        <w:r>
          <w:rPr>
            <w:webHidden/>
          </w:rPr>
          <w:fldChar w:fldCharType="end"/>
        </w:r>
      </w:hyperlink>
    </w:p>
    <w:p w:rsidR="0000351F" w:rsidRDefault="0000351F">
      <w:pPr>
        <w:pStyle w:val="TOC2"/>
        <w:rPr>
          <w:rFonts w:asciiTheme="minorHAnsi" w:eastAsiaTheme="minorEastAsia" w:hAnsiTheme="minorHAnsi" w:cstheme="minorBidi"/>
          <w:b w:val="0"/>
          <w:smallCaps w:val="0"/>
          <w:sz w:val="22"/>
          <w:lang w:val="en-GB" w:eastAsia="en-GB" w:bidi="ar-SA"/>
        </w:rPr>
      </w:pPr>
      <w:hyperlink w:anchor="_Toc524010130" w:history="1">
        <w:r w:rsidRPr="00032EED">
          <w:rPr>
            <w:rStyle w:val="Hyperlink"/>
            <w:rFonts w:ascii="Times New Roman" w:hAnsi="Times New Roman"/>
          </w:rPr>
          <w:t>7.3.</w:t>
        </w:r>
        <w:r>
          <w:rPr>
            <w:rFonts w:asciiTheme="minorHAnsi" w:eastAsiaTheme="minorEastAsia" w:hAnsiTheme="minorHAnsi" w:cstheme="minorBidi"/>
            <w:b w:val="0"/>
            <w:smallCaps w:val="0"/>
            <w:sz w:val="22"/>
            <w:lang w:val="en-GB" w:eastAsia="en-GB" w:bidi="ar-SA"/>
          </w:rPr>
          <w:tab/>
        </w:r>
        <w:r w:rsidRPr="00032EED">
          <w:rPr>
            <w:rStyle w:val="Hyperlink"/>
            <w:rFonts w:ascii="Times New Roman" w:hAnsi="Times New Roman"/>
          </w:rPr>
          <w:t>Nurodymai dėl konkrečių pozicijų</w:t>
        </w:r>
        <w:r>
          <w:rPr>
            <w:webHidden/>
          </w:rPr>
          <w:tab/>
        </w:r>
        <w:r>
          <w:rPr>
            <w:webHidden/>
          </w:rPr>
          <w:fldChar w:fldCharType="begin"/>
        </w:r>
        <w:r>
          <w:rPr>
            <w:webHidden/>
          </w:rPr>
          <w:instrText xml:space="preserve"> PAGEREF _Toc524010130 \h </w:instrText>
        </w:r>
        <w:r>
          <w:rPr>
            <w:webHidden/>
          </w:rPr>
        </w:r>
        <w:r>
          <w:rPr>
            <w:webHidden/>
          </w:rPr>
          <w:fldChar w:fldCharType="separate"/>
        </w:r>
        <w:r>
          <w:rPr>
            <w:webHidden/>
          </w:rPr>
          <w:t>215</w:t>
        </w:r>
        <w:r>
          <w:rPr>
            <w:webHidden/>
          </w:rPr>
          <w:fldChar w:fldCharType="end"/>
        </w:r>
      </w:hyperlink>
    </w:p>
    <w:p w:rsidR="00E6107F" w:rsidRDefault="0000351F">
      <w:pPr>
        <w:rPr>
          <w:rFonts w:asciiTheme="minorHAnsi" w:eastAsiaTheme="minorEastAsia" w:hAnsiTheme="minorHAnsi" w:cstheme="minorBidi"/>
          <w:sz w:val="22"/>
        </w:rPr>
        <w:sectPr w:rsidR="00E6107F"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3" w:name="_Toc264038394"/>
      <w:bookmarkStart w:id="4" w:name="_Toc360188317"/>
      <w:bookmarkStart w:id="5" w:name="_Toc516210599"/>
      <w:bookmarkStart w:id="6" w:name="_Toc473560865"/>
      <w:bookmarkStart w:id="7" w:name="_Toc524010007"/>
      <w:r>
        <w:rPr>
          <w:rFonts w:ascii="Times New Roman" w:hAnsi="Times New Roman"/>
        </w:rPr>
        <w:t>I DALIS.</w:t>
      </w:r>
      <w:bookmarkEnd w:id="3"/>
      <w:r>
        <w:rPr>
          <w:rFonts w:ascii="Times New Roman" w:hAnsi="Times New Roman"/>
        </w:rPr>
        <w:t xml:space="preserve"> BENDRIEJI NURODYMAI</w:t>
      </w:r>
      <w:bookmarkEnd w:id="4"/>
      <w:bookmarkEnd w:id="5"/>
      <w:bookmarkEnd w:id="6"/>
      <w:bookmarkEnd w:id="7"/>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8" w:name="_Toc360188318"/>
      <w:bookmarkStart w:id="9" w:name="_Toc516210600"/>
      <w:bookmarkStart w:id="10" w:name="_Toc473560866"/>
      <w:bookmarkStart w:id="11" w:name="_Toc524010008"/>
      <w:r>
        <w:rPr>
          <w:rFonts w:ascii="Times New Roman" w:hAnsi="Times New Roman"/>
          <w:sz w:val="24"/>
          <w:u w:val="none"/>
        </w:rPr>
        <w:t>1.</w:t>
      </w:r>
      <w:r>
        <w:tab/>
      </w:r>
      <w:r>
        <w:rPr>
          <w:rFonts w:ascii="Times New Roman" w:hAnsi="Times New Roman"/>
          <w:sz w:val="24"/>
          <w:u w:val="none"/>
        </w:rPr>
        <w:t>Struktūra ir tvarka</w:t>
      </w:r>
      <w:bookmarkEnd w:id="8"/>
      <w:bookmarkEnd w:id="9"/>
      <w:bookmarkEnd w:id="10"/>
      <w:bookmarkEnd w:id="11"/>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2" w:name="_Toc360188319"/>
      <w:bookmarkStart w:id="13" w:name="_Toc516210601"/>
      <w:bookmarkStart w:id="14" w:name="_Toc473560867"/>
      <w:bookmarkStart w:id="15" w:name="_Toc264038399"/>
      <w:bookmarkStart w:id="16" w:name="_Toc294018834"/>
      <w:bookmarkStart w:id="17" w:name="_Toc524010009"/>
      <w:r>
        <w:rPr>
          <w:rFonts w:ascii="Times New Roman" w:hAnsi="Times New Roman"/>
          <w:sz w:val="24"/>
          <w:u w:val="none"/>
        </w:rPr>
        <w:t>1.1.</w:t>
      </w:r>
      <w:r>
        <w:tab/>
      </w:r>
      <w:r>
        <w:rPr>
          <w:rFonts w:ascii="Times New Roman" w:hAnsi="Times New Roman"/>
          <w:sz w:val="24"/>
          <w:u w:val="none"/>
        </w:rPr>
        <w:t>Struktūra</w:t>
      </w:r>
      <w:bookmarkEnd w:id="12"/>
      <w:bookmarkEnd w:id="13"/>
      <w:bookmarkEnd w:id="14"/>
      <w:bookmarkEnd w:id="17"/>
    </w:p>
    <w:p w:rsidR="002648B0" w:rsidRPr="00392FFD" w:rsidRDefault="00125707" w:rsidP="00C37B29">
      <w:pPr>
        <w:pStyle w:val="InstructionsText2"/>
        <w:numPr>
          <w:ilvl w:val="0"/>
          <w:numId w:val="0"/>
        </w:numPr>
        <w:ind w:left="993"/>
      </w:pPr>
      <w:r>
        <w:t>1.</w:t>
      </w:r>
      <w:r>
        <w:tab/>
        <w:t>Sistemą iš viso sudaro penkios formų grupės:</w:t>
      </w:r>
    </w:p>
    <w:p w:rsidR="002648B0" w:rsidRPr="00392FFD" w:rsidRDefault="00125707" w:rsidP="00C37B29">
      <w:pPr>
        <w:pStyle w:val="InstructionsText2"/>
        <w:numPr>
          <w:ilvl w:val="0"/>
          <w:numId w:val="0"/>
        </w:numPr>
        <w:ind w:left="993"/>
      </w:pPr>
      <w:r>
        <w:t>a)</w:t>
      </w:r>
      <w:r>
        <w:tab/>
        <w:t>kapitalo pakankamumas, reguliuojamojo kapitalo apžvalga, bendra rizikos p</w:t>
      </w:r>
      <w:r>
        <w:t>o</w:t>
      </w:r>
      <w:r>
        <w:t>zicijos suma;</w:t>
      </w:r>
    </w:p>
    <w:p w:rsidR="00436204" w:rsidRPr="00392FFD" w:rsidRDefault="00125707" w:rsidP="00C37B29">
      <w:pPr>
        <w:pStyle w:val="InstructionsText2"/>
        <w:numPr>
          <w:ilvl w:val="0"/>
          <w:numId w:val="0"/>
        </w:numPr>
        <w:ind w:left="993"/>
      </w:pPr>
      <w:r>
        <w:t>b)</w:t>
      </w:r>
      <w:r>
        <w:tab/>
        <w:t>grupės mokumas, visų atskirų subjektų, įtrauktų į informaciją teikiančio su</w:t>
      </w:r>
      <w:r>
        <w:t>b</w:t>
      </w:r>
      <w:r>
        <w:t>jekto konsolidavimo apimtį, mokumo reikalavimų laikymosi apžvalga;</w:t>
      </w:r>
    </w:p>
    <w:p w:rsidR="002648B0" w:rsidRPr="00392FFD" w:rsidRDefault="00125707" w:rsidP="00C37B29">
      <w:pPr>
        <w:pStyle w:val="InstructionsText2"/>
        <w:numPr>
          <w:ilvl w:val="0"/>
          <w:numId w:val="0"/>
        </w:numPr>
        <w:ind w:left="993"/>
      </w:pPr>
      <w:r>
        <w:t>c)</w:t>
      </w:r>
      <w:r>
        <w:tab/>
        <w:t>kredito rizika (įskaitant sandorio šalies riziką, gautinų sumų sumažėjimo riziką ir atsiskaitymo riziką);</w:t>
      </w:r>
    </w:p>
    <w:p w:rsidR="002648B0" w:rsidRPr="00392FFD" w:rsidRDefault="00125707" w:rsidP="00C37B29">
      <w:pPr>
        <w:pStyle w:val="InstructionsText2"/>
        <w:numPr>
          <w:ilvl w:val="0"/>
          <w:numId w:val="0"/>
        </w:numPr>
        <w:ind w:left="993"/>
      </w:pPr>
      <w:r>
        <w:t>d)</w:t>
      </w:r>
      <w:r>
        <w:tab/>
        <w:t>rinkos rizika (įskaitant prekybos knygos pozicijų riziką, užsienio valiutos kurso riziką, biržos prekių kainos ir kredito vertinimo koregavimo riziką);</w:t>
      </w:r>
    </w:p>
    <w:p w:rsidR="002648B0" w:rsidRPr="00392FFD" w:rsidRDefault="00125707" w:rsidP="00C37B29">
      <w:pPr>
        <w:pStyle w:val="InstructionsText2"/>
        <w:numPr>
          <w:ilvl w:val="0"/>
          <w:numId w:val="0"/>
        </w:numPr>
        <w:ind w:left="993"/>
      </w:pPr>
      <w:r>
        <w:t>e)</w:t>
      </w:r>
      <w:r>
        <w:tab/>
        <w:t>operacinė rizika.</w:t>
      </w:r>
    </w:p>
    <w:p w:rsidR="002648B0" w:rsidRPr="00392FFD" w:rsidRDefault="00125707" w:rsidP="00C37B29">
      <w:pPr>
        <w:pStyle w:val="InstructionsText2"/>
        <w:numPr>
          <w:ilvl w:val="0"/>
          <w:numId w:val="0"/>
        </w:numPr>
        <w:ind w:left="993"/>
      </w:pPr>
      <w:r>
        <w:t>2.</w:t>
      </w:r>
      <w:r>
        <w:tab/>
        <w:t>Kiekvienai formai pateikiamos nuorodos į teisės aktus. Išsamesnė informacija apie bendresnius informacijos teikimo pagal kiekvieną formų grupę aspektus, nur</w:t>
      </w:r>
      <w:r>
        <w:t>o</w:t>
      </w:r>
      <w:r>
        <w:t>dymai dėl konkrečių pozicijų, taip pat patvirtinimo taisyklės yra pateikti šioje t</w:t>
      </w:r>
      <w:r>
        <w:t>e</w:t>
      </w:r>
      <w:r>
        <w:t>chninio įgyvendinimo standarto dalyje.</w:t>
      </w:r>
    </w:p>
    <w:p w:rsidR="005643EA" w:rsidRPr="00392FFD" w:rsidRDefault="00125707" w:rsidP="00C37B29">
      <w:pPr>
        <w:pStyle w:val="InstructionsText2"/>
        <w:numPr>
          <w:ilvl w:val="0"/>
          <w:numId w:val="0"/>
        </w:numPr>
        <w:ind w:left="993"/>
      </w:pPr>
      <w:r>
        <w:t>3.</w:t>
      </w:r>
      <w:r>
        <w:tab/>
        <w:t>Įstaigos pildo tik joms aktualias formas, atsižvelgdamos į nuosavų lėšų reikal</w:t>
      </w:r>
      <w:r>
        <w:t>a</w:t>
      </w:r>
      <w:r>
        <w:t>vimams nustatyti taikomą metodą.</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0"/>
      <w:bookmarkStart w:id="19" w:name="_Toc516210602"/>
      <w:bookmarkStart w:id="20" w:name="_Toc473560868"/>
      <w:bookmarkStart w:id="21" w:name="_Toc524010010"/>
      <w:r>
        <w:rPr>
          <w:rFonts w:ascii="Times New Roman" w:hAnsi="Times New Roman"/>
          <w:sz w:val="24"/>
          <w:u w:val="none"/>
        </w:rPr>
        <w:t>1.2.</w:t>
      </w:r>
      <w:r>
        <w:tab/>
      </w:r>
      <w:r>
        <w:rPr>
          <w:rFonts w:ascii="Times New Roman" w:hAnsi="Times New Roman"/>
          <w:sz w:val="24"/>
          <w:u w:val="none"/>
        </w:rPr>
        <w:t>Numeravimo tvarka</w:t>
      </w:r>
      <w:bookmarkEnd w:id="18"/>
      <w:bookmarkEnd w:id="19"/>
      <w:bookmarkEnd w:id="20"/>
      <w:bookmarkEnd w:id="21"/>
    </w:p>
    <w:p w:rsidR="002648B0" w:rsidRPr="00392FFD" w:rsidRDefault="00125707" w:rsidP="00C37B29">
      <w:pPr>
        <w:pStyle w:val="InstructionsText2"/>
        <w:numPr>
          <w:ilvl w:val="0"/>
          <w:numId w:val="0"/>
        </w:numPr>
        <w:ind w:left="993"/>
      </w:pPr>
      <w:r>
        <w:t>4.</w:t>
      </w:r>
      <w:r>
        <w:tab/>
        <w:t>Dokumente nurodant formų skiltis, eilutes ir laukelius taikoma toliau pateiktoje lentelėje nurodyta žymėjimo tvarka. Šie skaitiniai kodai plačiai naudojami patvirt</w:t>
      </w:r>
      <w:r>
        <w:t>i</w:t>
      </w:r>
      <w:r>
        <w:t>nimo taisyklėse.</w:t>
      </w:r>
    </w:p>
    <w:p w:rsidR="005643EA" w:rsidRPr="00392FFD" w:rsidRDefault="00125707" w:rsidP="00C37B29">
      <w:pPr>
        <w:pStyle w:val="InstructionsText2"/>
        <w:numPr>
          <w:ilvl w:val="0"/>
          <w:numId w:val="0"/>
        </w:numPr>
        <w:ind w:left="993"/>
      </w:pPr>
      <w:r>
        <w:t>5.</w:t>
      </w:r>
      <w:r>
        <w:tab/>
        <w:t>Nurodymuose laikomasi šios bendros žymėjimo tvarkos: {forma;eilutė;skiltis}.</w:t>
      </w:r>
    </w:p>
    <w:p w:rsidR="002648B0" w:rsidRPr="00392FFD" w:rsidRDefault="00125707" w:rsidP="00C37B29">
      <w:pPr>
        <w:pStyle w:val="InstructionsText2"/>
        <w:numPr>
          <w:ilvl w:val="0"/>
          <w:numId w:val="0"/>
        </w:numPr>
        <w:ind w:left="993"/>
      </w:pPr>
      <w:r>
        <w:t>6.</w:t>
      </w:r>
      <w:r>
        <w:tab/>
        <w:t>Kai tvirtinimas atliekamas formoje ir naudojami tik tos formos duomenų vien</w:t>
      </w:r>
      <w:r>
        <w:t>e</w:t>
      </w:r>
      <w:r>
        <w:t>tai, forma nenurodoma: {eilutė;skiltis}.</w:t>
      </w:r>
    </w:p>
    <w:p w:rsidR="005643EA" w:rsidRPr="00392FFD" w:rsidRDefault="00125707" w:rsidP="00C37B29">
      <w:pPr>
        <w:pStyle w:val="InstructionsText2"/>
        <w:numPr>
          <w:ilvl w:val="0"/>
          <w:numId w:val="0"/>
        </w:numPr>
        <w:ind w:left="993"/>
      </w:pPr>
      <w:r>
        <w:t>7.</w:t>
      </w:r>
      <w:r>
        <w:tab/>
        <w:t>Kai formą sudaro tik viena skiltis, nurodomos tik eilutės: {forma;eilutė}</w:t>
      </w:r>
    </w:p>
    <w:p w:rsidR="002648B0" w:rsidRPr="00392FFD" w:rsidRDefault="00125707" w:rsidP="00C37B29">
      <w:pPr>
        <w:pStyle w:val="InstructionsText2"/>
        <w:numPr>
          <w:ilvl w:val="0"/>
          <w:numId w:val="0"/>
        </w:numPr>
        <w:ind w:left="993"/>
      </w:pPr>
      <w:r>
        <w:t>8.</w:t>
      </w:r>
      <w:r>
        <w:tab/>
        <w:t>Žvaigždutės ženklas naudojamas, kai norima pažymėti, kad tvirtinamos ank</w:t>
      </w:r>
      <w:r>
        <w:t>s</w:t>
      </w:r>
      <w:r>
        <w:t>čiau nurodytos eilutės arba skiltys.</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2" w:name="_Toc360188321"/>
      <w:bookmarkStart w:id="23" w:name="_Toc516210603"/>
      <w:bookmarkStart w:id="24" w:name="_Toc473560869"/>
      <w:bookmarkStart w:id="25" w:name="_Toc524010011"/>
      <w:r>
        <w:rPr>
          <w:rFonts w:ascii="Times New Roman" w:hAnsi="Times New Roman"/>
          <w:sz w:val="24"/>
          <w:u w:val="none"/>
        </w:rPr>
        <w:t>1.3.</w:t>
      </w:r>
      <w:r>
        <w:tab/>
      </w:r>
      <w:r>
        <w:rPr>
          <w:rFonts w:ascii="Times New Roman" w:hAnsi="Times New Roman"/>
          <w:sz w:val="24"/>
          <w:u w:val="none"/>
        </w:rPr>
        <w:t>Ženklų tvarka</w:t>
      </w:r>
      <w:bookmarkEnd w:id="15"/>
      <w:bookmarkEnd w:id="16"/>
      <w:bookmarkEnd w:id="22"/>
      <w:bookmarkEnd w:id="23"/>
      <w:bookmarkEnd w:id="24"/>
      <w:bookmarkEnd w:id="25"/>
    </w:p>
    <w:p w:rsidR="002648B0" w:rsidRDefault="00125707" w:rsidP="00C37B29">
      <w:pPr>
        <w:pStyle w:val="InstructionsText2"/>
        <w:numPr>
          <w:ilvl w:val="0"/>
          <w:numId w:val="0"/>
        </w:numPr>
        <w:ind w:left="993"/>
      </w:pPr>
      <w:r>
        <w:t>9.</w:t>
      </w:r>
      <w:r>
        <w:tab/>
        <w:t>Visos sumos, dėl kurių nuosavos lėšos arba kapitalo reikalavimai padidėja, n</w:t>
      </w:r>
      <w:r>
        <w:t>u</w:t>
      </w:r>
      <w:r>
        <w:t xml:space="preserve">rodomos teigiamu skaičiumi. Priešingai – visos sumos, dėl kurių bendra nuosavų </w:t>
      </w:r>
      <w:r>
        <w:lastRenderedPageBreak/>
        <w:t>lėšų suma arba kapitalo reikalavimai mažėja, nurodomos neigiamu skaičiumi. Prieš straipsnio pavadinimą įrašytas minuso ženklas (−) reiškia prielaidą, kad tame straipsnyje teigiamas skaičius nebus rašomas.</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6" w:name="_Toc516210604"/>
      <w:bookmarkStart w:id="27" w:name="_Toc524010012"/>
      <w:r>
        <w:rPr>
          <w:rFonts w:ascii="Times New Roman" w:hAnsi="Times New Roman"/>
          <w:sz w:val="24"/>
          <w:u w:val="none"/>
        </w:rPr>
        <w:t>1.4.</w:t>
      </w:r>
      <w:r>
        <w:tab/>
      </w:r>
      <w:r>
        <w:rPr>
          <w:rFonts w:ascii="Times New Roman" w:hAnsi="Times New Roman"/>
          <w:sz w:val="24"/>
          <w:u w:val="none"/>
        </w:rPr>
        <w:t>Santrumpos</w:t>
      </w:r>
      <w:bookmarkEnd w:id="26"/>
      <w:bookmarkEnd w:id="27"/>
    </w:p>
    <w:p w:rsidR="00304CA5" w:rsidRPr="001F2830" w:rsidRDefault="00304CA5" w:rsidP="00C37B29">
      <w:pPr>
        <w:pStyle w:val="InstructionsText2"/>
        <w:numPr>
          <w:ilvl w:val="0"/>
          <w:numId w:val="0"/>
        </w:numPr>
        <w:ind w:left="993"/>
      </w:pPr>
      <w:r>
        <w:t>9a. Šiame priede darant nuorodą į Reglamentą (ES) Nr. 575/2013 vartojama sa</w:t>
      </w:r>
      <w:r>
        <w:t>n</w:t>
      </w:r>
      <w:r>
        <w:t xml:space="preserve">trumpa KRR, </w:t>
      </w:r>
      <w:r>
        <w:rPr>
          <w:rStyle w:val="FormatvorlageInstructionsTabelleText"/>
          <w:rFonts w:ascii="Times New Roman" w:hAnsi="Times New Roman"/>
          <w:sz w:val="24"/>
        </w:rPr>
        <w:t>o</w:t>
      </w:r>
      <w:r>
        <w:t xml:space="preserve"> į Europos Parlamento ir Tarybos direktyvą 2013/36/ES – KRD.</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8" w:name="_Toc264033192"/>
      <w:bookmarkEnd w:id="28"/>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9" w:name="_Toc360188322"/>
      <w:bookmarkStart w:id="30" w:name="_Toc516210605"/>
      <w:bookmarkStart w:id="31" w:name="_Toc473560870"/>
      <w:bookmarkStart w:id="32" w:name="_Toc524010013"/>
      <w:r>
        <w:rPr>
          <w:rFonts w:ascii="Times New Roman" w:hAnsi="Times New Roman"/>
        </w:rPr>
        <w:t>II DALIS. NURODYMAI DĖL FORMŲ</w:t>
      </w:r>
      <w:bookmarkEnd w:id="29"/>
      <w:bookmarkEnd w:id="30"/>
      <w:bookmarkEnd w:id="31"/>
      <w:bookmarkEnd w:id="32"/>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3" w:name="_Toc360188323"/>
      <w:bookmarkStart w:id="34" w:name="_Toc516210606"/>
      <w:bookmarkStart w:id="35" w:name="_Toc473560871"/>
      <w:bookmarkStart w:id="36" w:name="_Toc524010014"/>
      <w:r>
        <w:rPr>
          <w:rFonts w:ascii="Times New Roman" w:hAnsi="Times New Roman"/>
          <w:sz w:val="24"/>
          <w:u w:val="none"/>
        </w:rPr>
        <w:t>1.</w:t>
      </w:r>
      <w:r>
        <w:tab/>
      </w:r>
      <w:r>
        <w:rPr>
          <w:rFonts w:ascii="Times New Roman" w:hAnsi="Times New Roman"/>
          <w:sz w:val="24"/>
          <w:u w:val="none"/>
        </w:rPr>
        <w:t>Kapitalo pakankamumo apžvalga</w:t>
      </w:r>
      <w:bookmarkEnd w:id="33"/>
      <w:r>
        <w:rPr>
          <w:rFonts w:ascii="Times New Roman" w:hAnsi="Times New Roman"/>
          <w:sz w:val="24"/>
          <w:u w:val="none"/>
        </w:rPr>
        <w:t xml:space="preserve"> (CA)</w:t>
      </w:r>
      <w:bookmarkEnd w:id="34"/>
      <w:bookmarkEnd w:id="35"/>
      <w:bookmarkEnd w:id="3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7" w:name="_Toc308175819"/>
      <w:bookmarkStart w:id="38" w:name="_Toc360188324"/>
      <w:bookmarkStart w:id="39" w:name="_Toc516210607"/>
      <w:bookmarkStart w:id="40" w:name="_Toc473560872"/>
      <w:bookmarkStart w:id="41" w:name="_Toc524010015"/>
      <w:r>
        <w:rPr>
          <w:rFonts w:ascii="Times New Roman" w:hAnsi="Times New Roman"/>
          <w:sz w:val="24"/>
          <w:u w:val="none"/>
        </w:rPr>
        <w:t>1.1.</w:t>
      </w:r>
      <w:r>
        <w:tab/>
      </w:r>
      <w:r>
        <w:rPr>
          <w:rFonts w:ascii="Times New Roman" w:hAnsi="Times New Roman"/>
          <w:sz w:val="24"/>
          <w:u w:val="none"/>
        </w:rPr>
        <w:t>Bendrosios pastabos</w:t>
      </w:r>
      <w:bookmarkEnd w:id="37"/>
      <w:bookmarkEnd w:id="38"/>
      <w:bookmarkEnd w:id="39"/>
      <w:bookmarkEnd w:id="40"/>
      <w:bookmarkEnd w:id="41"/>
    </w:p>
    <w:p w:rsidR="002648B0" w:rsidRPr="00392FFD" w:rsidRDefault="00125707" w:rsidP="00C37B29">
      <w:pPr>
        <w:pStyle w:val="InstructionsText2"/>
        <w:numPr>
          <w:ilvl w:val="0"/>
          <w:numId w:val="0"/>
        </w:numPr>
        <w:ind w:left="993"/>
      </w:pPr>
      <w:r>
        <w:t>10.</w:t>
      </w:r>
      <w:r>
        <w:tab/>
        <w:t xml:space="preserve">CA formoje pateikiama informacija apie 1 ramsčio skaitiklius (nuosavas lėšas, 1 lygio, bendrą 1 lygio nuosavą kapitalą), vardiklį (nuosavų lėšų reikalavimus), pereinamojo laikotarpio nuostatas ir ji yra suskirstyta į penkias formas: </w:t>
      </w:r>
    </w:p>
    <w:p w:rsidR="005643EA" w:rsidRPr="00392FFD" w:rsidRDefault="00125707" w:rsidP="00C37B29">
      <w:pPr>
        <w:pStyle w:val="InstructionsText2"/>
        <w:numPr>
          <w:ilvl w:val="0"/>
          <w:numId w:val="0"/>
        </w:numPr>
        <w:ind w:left="993"/>
      </w:pPr>
      <w:r>
        <w:t>a)</w:t>
      </w:r>
      <w:r>
        <w:tab/>
        <w:t>CA1 formoje nurodoma įstaigų nuosavų lėšų suma, suskirstyta į tą sumą sud</w:t>
      </w:r>
      <w:r>
        <w:t>a</w:t>
      </w:r>
      <w:r>
        <w:t>rančius straipsnius. Gauta nuosavų lėšų suma nurodoma atsižvelgiant į agreguotą pereinamojo laikotarpio nuostatų poveikį kiekvienos rūšies kapitalui;</w:t>
      </w:r>
    </w:p>
    <w:p w:rsidR="005643EA" w:rsidRPr="00392FFD" w:rsidRDefault="00125707" w:rsidP="00C37B29">
      <w:pPr>
        <w:pStyle w:val="InstructionsText2"/>
        <w:numPr>
          <w:ilvl w:val="0"/>
          <w:numId w:val="0"/>
        </w:numPr>
        <w:ind w:left="993"/>
      </w:pPr>
      <w:r>
        <w:t>b)</w:t>
      </w:r>
      <w:r>
        <w:tab/>
        <w:t>CA2 formoje nurodomos bendros rizikos pozicijos sumos, kaip apibrėžta KRR 92 straipsnio 3 dalyje;</w:t>
      </w:r>
    </w:p>
    <w:p w:rsidR="005643EA" w:rsidRPr="00392FFD" w:rsidRDefault="00125707" w:rsidP="00C37B29">
      <w:pPr>
        <w:pStyle w:val="InstructionsText2"/>
        <w:numPr>
          <w:ilvl w:val="0"/>
          <w:numId w:val="0"/>
        </w:numPr>
        <w:ind w:left="993"/>
      </w:pPr>
      <w:r>
        <w:t>c)</w:t>
      </w:r>
      <w:r>
        <w:tab/>
        <w:t>CA3 formoje nurodomi koeficientai, kuriems KRR nustatyti mažiausi lygiai, ir pateikiami kai kurie kiti susiję duomenys;</w:t>
      </w:r>
    </w:p>
    <w:p w:rsidR="005643EA" w:rsidRPr="00392FFD" w:rsidRDefault="00125707" w:rsidP="00C37B29">
      <w:pPr>
        <w:pStyle w:val="InstructionsText2"/>
        <w:numPr>
          <w:ilvl w:val="0"/>
          <w:numId w:val="0"/>
        </w:numPr>
        <w:ind w:left="993"/>
      </w:pPr>
      <w:r>
        <w:t>d)</w:t>
      </w:r>
      <w:r>
        <w:tab/>
        <w:t xml:space="preserve">CA4 formoje nurodomi papildomi straipsniai, kurie yra reikalingi CA1 formos straipsniams apskaičiuoti, ir pateikiama informacija apie KRD nurodytus kapitalo rezervus; </w:t>
      </w:r>
    </w:p>
    <w:p w:rsidR="005643EA" w:rsidRPr="00392FFD" w:rsidRDefault="00125707" w:rsidP="00C37B29">
      <w:pPr>
        <w:pStyle w:val="InstructionsText2"/>
        <w:numPr>
          <w:ilvl w:val="0"/>
          <w:numId w:val="0"/>
        </w:numPr>
        <w:ind w:left="993"/>
      </w:pPr>
      <w:r>
        <w:t>e)</w:t>
      </w:r>
      <w:r>
        <w:tab/>
        <w:t>CA5 formoje pateikiami duomenys, kurie yra reikalingi pereinamojo laikota</w:t>
      </w:r>
      <w:r>
        <w:t>r</w:t>
      </w:r>
      <w:r>
        <w:t>pio nuostatų dėl nuosavų lėšų poveikiui apskaičiuoti. Pasibaigus pereinamojo laik</w:t>
      </w:r>
      <w:r>
        <w:t>o</w:t>
      </w:r>
      <w:r>
        <w:t>tarpio nuostatų galiojimui, CA5 forma nebebus rengiama.</w:t>
      </w:r>
    </w:p>
    <w:p w:rsidR="00783881" w:rsidRPr="00392FFD" w:rsidRDefault="00125707" w:rsidP="00C37B29">
      <w:pPr>
        <w:pStyle w:val="InstructionsText2"/>
        <w:numPr>
          <w:ilvl w:val="0"/>
          <w:numId w:val="0"/>
        </w:numPr>
        <w:ind w:left="993"/>
      </w:pPr>
      <w:r>
        <w:t>11.</w:t>
      </w:r>
      <w:r>
        <w:tab/>
        <w:t>Formos taikomos visiems informaciją teikiantiems subjektams, neatsižvelgiant į apskaitos standartus, kurių jie laikosi, tačiau kai kurie skaitikliui priskirti straip</w:t>
      </w:r>
      <w:r>
        <w:t>s</w:t>
      </w:r>
      <w:r>
        <w:t>niai yra būdingi TAS / TFAS pobūdžio vertinimo taisykles taikantiems subjektams. Paprastai vardiklį sudaranti informacija yra susijusi su atitinkamose formose patei</w:t>
      </w:r>
      <w:r>
        <w:t>k</w:t>
      </w:r>
      <w:r>
        <w:t>tais galutiniais rezultatais, skirtais bendrai rizikos pozicijos sumai apskaičiuoti.</w:t>
      </w:r>
    </w:p>
    <w:p w:rsidR="005643EA" w:rsidRPr="00392FFD" w:rsidRDefault="00125707" w:rsidP="00C37B29">
      <w:pPr>
        <w:pStyle w:val="InstructionsText2"/>
        <w:numPr>
          <w:ilvl w:val="0"/>
          <w:numId w:val="0"/>
        </w:numPr>
        <w:ind w:left="993"/>
      </w:pPr>
      <w:r>
        <w:t>12.</w:t>
      </w:r>
      <w:r>
        <w:tab/>
        <w:t>Bendrą nuosavų lėšų sumą sudaro įvairių rūšių kapitalas: 1 lygio kapitalas (T1), kurį sudaro bendro 1 lygio nuosavo kapitalo (CET1) ir papildomo 1 lygio k</w:t>
      </w:r>
      <w:r>
        <w:t>a</w:t>
      </w:r>
      <w:r>
        <w:t xml:space="preserve">pitalo (AT1) suma, ir 2 lygio kapitalas (T2). </w:t>
      </w:r>
    </w:p>
    <w:p w:rsidR="00783881" w:rsidRPr="00392FFD" w:rsidRDefault="00125707" w:rsidP="00C37B29">
      <w:pPr>
        <w:pStyle w:val="InstructionsText2"/>
        <w:numPr>
          <w:ilvl w:val="0"/>
          <w:numId w:val="0"/>
        </w:numPr>
        <w:ind w:left="993"/>
      </w:pPr>
      <w:r>
        <w:t>13.</w:t>
      </w:r>
      <w:r>
        <w:tab/>
        <w:t>Į pereinamojo laikotarpio nuostatas CA formose atsižvelgiama taip:</w:t>
      </w:r>
    </w:p>
    <w:p w:rsidR="00783881" w:rsidRPr="00392FFD" w:rsidRDefault="00125707" w:rsidP="00C37B29">
      <w:pPr>
        <w:pStyle w:val="InstructionsText2"/>
        <w:numPr>
          <w:ilvl w:val="0"/>
          <w:numId w:val="0"/>
        </w:numPr>
        <w:ind w:left="993"/>
      </w:pPr>
      <w:r>
        <w:t>a)</w:t>
      </w:r>
      <w:r>
        <w:tab/>
        <w:t>CA1 formos straipsniai paprastai nurodomi prieš pereinamojo laikotarpio kor</w:t>
      </w:r>
      <w:r>
        <w:t>e</w:t>
      </w:r>
      <w:r>
        <w:t xml:space="preserve">gavimus. Tai reiškia, kad CA1 straipsnių reikšmės yra apskaičiuotos pagal </w:t>
      </w:r>
      <w:r>
        <w:rPr>
          <w:i/>
        </w:rPr>
        <w:t>galut</w:t>
      </w:r>
      <w:r>
        <w:rPr>
          <w:i/>
        </w:rPr>
        <w:t>i</w:t>
      </w:r>
      <w:r>
        <w:rPr>
          <w:i/>
        </w:rPr>
        <w:t>nes nuostatas</w:t>
      </w:r>
      <w:r>
        <w:t xml:space="preserve"> (t. y. taip, tarsi pereinamojo laikotarpio nuostatų nebūtų), išskyrus straipsnius, kuriuose apibendrinamas pereinamojo laikotarpio nuostatų poveikis. Kiekvienos rūšies kapitalui (t. y. CET1, AT1 ir T2) skirti trys skirtingi straipsniai, į kuriuos įtraukiami visi koregavimai dėl pereinamojo laikotarpio nuostatų.</w:t>
      </w:r>
    </w:p>
    <w:p w:rsidR="00113EA5" w:rsidRPr="00392FFD" w:rsidRDefault="00125707" w:rsidP="00C37B29">
      <w:pPr>
        <w:pStyle w:val="InstructionsText2"/>
        <w:numPr>
          <w:ilvl w:val="0"/>
          <w:numId w:val="0"/>
        </w:numPr>
        <w:ind w:left="993"/>
      </w:pPr>
      <w:r>
        <w:t>b)</w:t>
      </w:r>
      <w:r>
        <w:tab/>
        <w:t xml:space="preserve">Pereinamojo laikotarpio nuostatos taip pat gali paveikti AT1 ir T2 trūkumą (t. y. AT1 arba T2 atskaitymo perviršį, kuris reglamentuojamas atitinkamai KRR 36 straipsnio 1 dalies j punktu ir 56 straipsnio e punktu), taigi straipsniai, į kuriuos </w:t>
      </w:r>
      <w:r>
        <w:lastRenderedPageBreak/>
        <w:t>įtraukti šie trūkumai, gali netiesiogiai parodyti pereinamojo laikotarpio nuostatų poveikį.</w:t>
      </w:r>
    </w:p>
    <w:p w:rsidR="005643EA" w:rsidRPr="00392FFD" w:rsidRDefault="00125707" w:rsidP="00C37B29">
      <w:pPr>
        <w:pStyle w:val="InstructionsText2"/>
        <w:numPr>
          <w:ilvl w:val="0"/>
          <w:numId w:val="0"/>
        </w:numPr>
        <w:ind w:left="993"/>
      </w:pPr>
      <w:r>
        <w:t>c)</w:t>
      </w:r>
      <w:r>
        <w:tab/>
        <w:t xml:space="preserve">CA5 forma naudojama tik informacijai apie pereinamojo laikotarpio nuostatas pateikti. </w:t>
      </w:r>
    </w:p>
    <w:p w:rsidR="00783881" w:rsidRPr="00392FFD" w:rsidRDefault="00125707" w:rsidP="00C37B29">
      <w:pPr>
        <w:pStyle w:val="InstructionsText2"/>
        <w:numPr>
          <w:ilvl w:val="0"/>
          <w:numId w:val="0"/>
        </w:numPr>
        <w:ind w:left="993"/>
      </w:pPr>
      <w:r>
        <w:t>14.</w:t>
      </w:r>
      <w:r>
        <w:tab/>
        <w:t>II ramsčio reikalavimai Sąjungoje gali būti taikomi skirtingai (KRD 104 straipsnio 2 dalis turi būti perkelta į nacionalinio reglamentavimo sistemas). Te</w:t>
      </w:r>
      <w:r>
        <w:t>i</w:t>
      </w:r>
      <w:r>
        <w:t xml:space="preserve">kiant informaciją apie mokumą pagal KRR nurodomas tik II ramsčio reikalavimų poveikis mokumo koeficientui arba siekiamam koeficientui. Išsamios informacijos pagal II ramsčio reikalavimus teikimas KRR 99 straipsnyje nenumatytas. </w:t>
      </w:r>
    </w:p>
    <w:p w:rsidR="005643EA" w:rsidRPr="00392FFD" w:rsidRDefault="00125707" w:rsidP="00C37B29">
      <w:pPr>
        <w:pStyle w:val="InstructionsText2"/>
        <w:numPr>
          <w:ilvl w:val="0"/>
          <w:numId w:val="0"/>
        </w:numPr>
        <w:ind w:left="993"/>
      </w:pPr>
      <w:r>
        <w:t>a)</w:t>
      </w:r>
      <w:r>
        <w:tab/>
        <w:t>CA1, CA2 arba CA5 formoje pateikiami duomenys yra susiję tik su I ramsčiu.</w:t>
      </w:r>
    </w:p>
    <w:p w:rsidR="005643EA" w:rsidRPr="00392FFD" w:rsidRDefault="00125707" w:rsidP="00C37B29">
      <w:pPr>
        <w:pStyle w:val="InstructionsText2"/>
        <w:numPr>
          <w:ilvl w:val="0"/>
          <w:numId w:val="0"/>
        </w:numPr>
        <w:ind w:left="993"/>
      </w:pPr>
      <w:r>
        <w:t>b)</w:t>
      </w:r>
      <w:r>
        <w:tab/>
        <w:t>CA3 formoje nurodomas agreguotas papildomų II ramsčio reikalavimų pove</w:t>
      </w:r>
      <w:r>
        <w:t>i</w:t>
      </w:r>
      <w:r>
        <w:t xml:space="preserve">kis mokumo koeficientui. Vienoje dalyje parodomas sumų poveikis koeficientams, kitoje dėmesys skiriamas pačiam koeficientui. Nė viena koeficientų duomenų dalis nėra kitokiais būdais susieta su CA1, CA2 arba CA5 forma. </w:t>
      </w:r>
    </w:p>
    <w:p w:rsidR="005643EA" w:rsidRPr="00392FFD" w:rsidRDefault="00125707" w:rsidP="00C37B29">
      <w:pPr>
        <w:pStyle w:val="InstructionsText2"/>
        <w:numPr>
          <w:ilvl w:val="0"/>
          <w:numId w:val="0"/>
        </w:numPr>
        <w:ind w:left="993"/>
      </w:pPr>
      <w:r>
        <w:t>c)</w:t>
      </w:r>
      <w:r>
        <w:tab/>
        <w:t>CA4 formoje yra vienas laukelis, skirtas papildomiems nuosavų lėšų reikal</w:t>
      </w:r>
      <w:r>
        <w:t>a</w:t>
      </w:r>
      <w:r>
        <w:t>vimams, susijusiems su II ramsčiu, nurodyti. Šis laukelis pagal patvirtinimo taisy</w:t>
      </w:r>
      <w:r>
        <w:t>k</w:t>
      </w:r>
      <w:r>
        <w:t>les nėra susietas su CA3 formos kapitalo koeficientais ir yra susijęs su KRD 104 straipsnio 2 dalies nuostatomis, kuriose aiškiai nurodyta, kad vienas iš galimų sprendimų pagal II ramstį gali būti reikalavimas dėl papildomų nuosavų lėšų.</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2" w:name="_Toc516210608"/>
      <w:bookmarkStart w:id="43" w:name="_Toc473560873"/>
      <w:bookmarkStart w:id="44" w:name="_Toc308175820"/>
      <w:bookmarkStart w:id="45" w:name="_Toc360188325"/>
      <w:bookmarkStart w:id="46" w:name="_Toc524010016"/>
      <w:r>
        <w:rPr>
          <w:rFonts w:ascii="Times New Roman" w:hAnsi="Times New Roman"/>
          <w:sz w:val="24"/>
          <w:u w:val="none"/>
        </w:rPr>
        <w:t>1.2.</w:t>
      </w:r>
      <w:r>
        <w:tab/>
      </w:r>
      <w:r>
        <w:rPr>
          <w:rFonts w:ascii="Times New Roman" w:hAnsi="Times New Roman"/>
          <w:sz w:val="24"/>
        </w:rPr>
        <w:t>C 01.00. NUOSAVOS LĖŠOS (CA1)</w:t>
      </w:r>
      <w:bookmarkEnd w:id="42"/>
      <w:bookmarkEnd w:id="43"/>
      <w:bookmarkEnd w:id="46"/>
      <w:r>
        <w:rPr>
          <w:rFonts w:ascii="Times New Roman" w:hAnsi="Times New Roman"/>
          <w:sz w:val="24"/>
        </w:rPr>
        <w:t xml:space="preserve"> </w:t>
      </w:r>
      <w:bookmarkEnd w:id="44"/>
      <w:bookmarkEnd w:id="4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7" w:name="_Toc308175821"/>
      <w:bookmarkStart w:id="48" w:name="_Toc310414968"/>
      <w:bookmarkStart w:id="49" w:name="_Toc360188326"/>
      <w:bookmarkStart w:id="50" w:name="_Toc516210609"/>
      <w:bookmarkStart w:id="51" w:name="_Toc473560874"/>
      <w:bookmarkStart w:id="52" w:name="_Toc524010017"/>
      <w:r>
        <w:rPr>
          <w:rFonts w:ascii="Times New Roman" w:hAnsi="Times New Roman"/>
          <w:sz w:val="24"/>
          <w:u w:val="none"/>
        </w:rPr>
        <w:t>1.2.1.</w:t>
      </w:r>
      <w:r>
        <w:tab/>
      </w:r>
      <w:r>
        <w:rPr>
          <w:rFonts w:ascii="Times New Roman" w:hAnsi="Times New Roman"/>
          <w:sz w:val="24"/>
        </w:rPr>
        <w:t>Nurodymai dėl konkrečių</w:t>
      </w:r>
      <w:bookmarkEnd w:id="47"/>
      <w:bookmarkEnd w:id="48"/>
      <w:r>
        <w:rPr>
          <w:rFonts w:ascii="Times New Roman" w:hAnsi="Times New Roman"/>
          <w:sz w:val="24"/>
        </w:rPr>
        <w:t xml:space="preserve"> pozicijų</w:t>
      </w:r>
      <w:bookmarkEnd w:id="49"/>
      <w:bookmarkEnd w:id="50"/>
      <w:bookmarkEnd w:id="51"/>
      <w:bookmarkEnd w:id="52"/>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Eilutė</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Nuosavos lėšos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118 punktas ir 72 straipsnis.</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Įstaigos nuosavas lėšas sudaro jos 1 ir 2 lygių kapitalo suma.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1 lygio kapitalas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25 straipsnis.</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1 lygio kapitalą sudaro įstaigos bendro 1 lygio nuosavo kapitalo ir papild</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mo 1 lygio kapitalo suma.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Bendras 1 lygio nuosavas kapitalas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50 straipsnis.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Kapitalo priemonės, atitinkančios CET1 kapitalo reikalavimus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26 straipsnio 1 dalies a ir b punktai, 27–30 straipsniai, 36 straipsnio 1 dalies f punktas ir 42 straipsnis.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Apmokėtos kapitalo priemonės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26 straipsnio 1 dalies a punktas ir 27–31 straipsniai.</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Prie jų priskiriamos savidraudos įmonių, kooperatinių bendrovių arba pan</w:t>
            </w:r>
            <w:r>
              <w:rPr>
                <w:rStyle w:val="FormatvorlageInstructionsTabelleText"/>
                <w:rFonts w:ascii="Times New Roman" w:hAnsi="Times New Roman"/>
                <w:sz w:val="24"/>
              </w:rPr>
              <w:t>a</w:t>
            </w:r>
            <w:r>
              <w:rPr>
                <w:rStyle w:val="FormatvorlageInstructionsTabelleText"/>
                <w:rFonts w:ascii="Times New Roman" w:hAnsi="Times New Roman"/>
                <w:sz w:val="24"/>
              </w:rPr>
              <w:t>šių įstaigų kapitalo priemonės (KRR 27 ir 29 straipsniai).</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 tomis priemonėmis susiję akcijų priedai neįskaičiuojami.</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Viešosios valdžios institucijų ekstremaliųjų situacijų atveju pasirašytos kap</w:t>
            </w:r>
            <w:r>
              <w:rPr>
                <w:rStyle w:val="FormatvorlageInstructionsTabelleText"/>
                <w:rFonts w:ascii="Times New Roman" w:hAnsi="Times New Roman"/>
                <w:sz w:val="24"/>
              </w:rPr>
              <w:t>i</w:t>
            </w:r>
            <w:r>
              <w:rPr>
                <w:rStyle w:val="FormatvorlageInstructionsTabelleText"/>
                <w:rFonts w:ascii="Times New Roman" w:hAnsi="Times New Roman"/>
                <w:sz w:val="24"/>
              </w:rPr>
              <w:t>talo priemonės įskaičiuojamos, jeigu įvykdomos visos KRR 31 straipsnio s</w:t>
            </w:r>
            <w:r>
              <w:rPr>
                <w:rStyle w:val="FormatvorlageInstructionsTabelleText"/>
                <w:rFonts w:ascii="Times New Roman" w:hAnsi="Times New Roman"/>
                <w:sz w:val="24"/>
              </w:rPr>
              <w:t>ą</w:t>
            </w:r>
            <w:r>
              <w:rPr>
                <w:rStyle w:val="FormatvorlageInstructionsTabelleText"/>
                <w:rFonts w:ascii="Times New Roman" w:hAnsi="Times New Roman"/>
                <w:sz w:val="24"/>
              </w:rPr>
              <w:t>lygos.</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Iš jų: viešosios valdžios institucijų ekstremaliųjų situacijų atveju pasirašytos kapitalo priemonės</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31 straipsnis.</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Viešosios valdžios institucijų ekstremaliųjų situacijų atveju pasirašytos kap</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talo priemonės įskaičiuojamos į CET1 kapitalą, jeigu įvykdomos visos KRR 31 straipsnio sąlygos.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Papildomas straipsnis: reikalavimų neatitinkančios kap</w:t>
            </w:r>
            <w:r>
              <w:rPr>
                <w:rStyle w:val="InstructionsTabelleberschrift"/>
                <w:rFonts w:ascii="Times New Roman" w:hAnsi="Times New Roman"/>
                <w:sz w:val="24"/>
              </w:rPr>
              <w:t>i</w:t>
            </w:r>
            <w:r>
              <w:rPr>
                <w:rStyle w:val="InstructionsTabelleberschrift"/>
                <w:rFonts w:ascii="Times New Roman" w:hAnsi="Times New Roman"/>
                <w:sz w:val="24"/>
              </w:rPr>
              <w:t>talo priemonės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28 straipsnio 1 dalies b, l ir m punktai.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Sąlygos, nurodytos tuose punktuose, atspindi įvairius kapitalo atvejus ir gali kisti, taigi gali būti, kad nurodoma suma vėlesniais laikotarpiais reikalav</w:t>
            </w:r>
            <w:r>
              <w:rPr>
                <w:rStyle w:val="FormatvorlageInstructionsTabelleText"/>
                <w:rFonts w:ascii="Times New Roman" w:hAnsi="Times New Roman"/>
                <w:sz w:val="24"/>
              </w:rPr>
              <w:t>i</w:t>
            </w:r>
            <w:r>
              <w:rPr>
                <w:rStyle w:val="FormatvorlageInstructionsTabelleText"/>
                <w:rFonts w:ascii="Times New Roman" w:hAnsi="Times New Roman"/>
                <w:sz w:val="24"/>
              </w:rPr>
              <w:t>mus atitiks.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w:t>
            </w:r>
            <w:r>
              <w:rPr>
                <w:rStyle w:val="FormatvorlageInstructionsTabelleText"/>
                <w:rFonts w:ascii="Times New Roman" w:hAnsi="Times New Roman"/>
                <w:sz w:val="24"/>
              </w:rPr>
              <w:t>a</w:t>
            </w:r>
            <w:r>
              <w:rPr>
                <w:rStyle w:val="FormatvorlageInstructionsTabelleText"/>
                <w:rFonts w:ascii="Times New Roman" w:hAnsi="Times New Roman"/>
                <w:sz w:val="24"/>
              </w:rPr>
              <w:t>mi.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Akcijų priedai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124 punktas, 26 straipsnio 1 dalies b punktas.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Sąvokos „akcijų priedai“ reikšmė yra tokia pati, kaip apibrėžta taikomame apskaitos standarte.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Šiame straipsnyje nurodoma sumos dalis, susijusi su „Apmokėtomis kapitalo priemonėmis“.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Nuosavos CET1 priemonės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36 straipsnio 1 dalies f punktas ir 42 straipsnis.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Informaciją teikiančios įstaigos arba grupės ataskaitinę dieną turimos nuos</w:t>
            </w:r>
            <w:r>
              <w:rPr>
                <w:rStyle w:val="FormatvorlageInstructionsTabelleText"/>
                <w:rFonts w:ascii="Times New Roman" w:hAnsi="Times New Roman"/>
                <w:sz w:val="24"/>
              </w:rPr>
              <w:t>a</w:t>
            </w:r>
            <w:r>
              <w:rPr>
                <w:rStyle w:val="FormatvorlageInstructionsTabelleText"/>
                <w:rFonts w:ascii="Times New Roman" w:hAnsi="Times New Roman"/>
                <w:sz w:val="24"/>
              </w:rPr>
              <w:t>vos CET1 priemonės. Taikomos KRR 42 straipsnyje numatytos išimtys.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akcijos, priskirtos prie „Reikalavimų neatitinkančių kapitalo pri</w:t>
            </w:r>
            <w:r>
              <w:rPr>
                <w:rStyle w:val="FormatvorlageInstructionsTabelleText"/>
                <w:rFonts w:ascii="Times New Roman" w:hAnsi="Times New Roman"/>
                <w:sz w:val="24"/>
              </w:rPr>
              <w:t>e</w:t>
            </w:r>
            <w:r>
              <w:rPr>
                <w:rStyle w:val="FormatvorlageInstructionsTabelleText"/>
                <w:rFonts w:ascii="Times New Roman" w:hAnsi="Times New Roman"/>
                <w:sz w:val="24"/>
              </w:rPr>
              <w:t>monių“, šioje eilutėje nenurodomos.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įskaičiuojami su nuosavomis akcijomis susiję akcijų pri</w:t>
            </w:r>
            <w:r>
              <w:rPr>
                <w:rStyle w:val="FormatvorlageInstructionsTabelleText"/>
                <w:rFonts w:ascii="Times New Roman" w:hAnsi="Times New Roman"/>
                <w:sz w:val="24"/>
              </w:rPr>
              <w:t>e</w:t>
            </w:r>
            <w:r>
              <w:rPr>
                <w:rStyle w:val="FormatvorlageInstructionsTabelleText"/>
                <w:rFonts w:ascii="Times New Roman" w:hAnsi="Times New Roman"/>
                <w:sz w:val="24"/>
              </w:rPr>
              <w:t>dai.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1.1.1.1.4–1.1.1.1.4.3 punktus neįtraukiami nei faktiniai, nei neapibrėžtieji įsipareigojimai pirkti nuosavas CET1 priemones. Faktiniai arba neapibrė</w:t>
            </w:r>
            <w:r>
              <w:rPr>
                <w:rStyle w:val="FormatvorlageInstructionsTabelleText"/>
                <w:rFonts w:ascii="Times New Roman" w:hAnsi="Times New Roman"/>
                <w:sz w:val="24"/>
              </w:rPr>
              <w:t>ž</w:t>
            </w:r>
            <w:r>
              <w:rPr>
                <w:rStyle w:val="FormatvorlageInstructionsTabelleText"/>
                <w:rFonts w:ascii="Times New Roman" w:hAnsi="Times New Roman"/>
                <w:sz w:val="24"/>
              </w:rPr>
              <w:t>tieji įsipareigojimai pirkti nuosavas CET1 priemones nurodomi atskirai 1.1.1.1.5 punkte.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Tiesiogiai turimos CET1 priemonės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36 straipsnio 1 dalies f punktas ir 42 straipsnis.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Konsoliduotos grupės įstaigų turimos bendro 1 lygio nuosavo kapitalo pri</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monės, įtrauktos į 1.1.1.1 punktą.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įskaičiuojamos prekybos knygoje turimos kapitalo dalys, apskaičiuotos remiantis grynąja ilgąja pozicija, kaip nurodyta KRR 42 straipsnio a punkte.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Netiesiogiai turimos CET1 priemonės</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114 punktas, 36 straipsnio 1 dalies f punktas ir 42 straipsnis.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Dirbtinai turimos CET1 priemonės</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KRR 4 straipsnio 1 dalies 126 punktas, 36 straipsnio 1 dalies f punktas ir 42 straipsnis.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Faktiniai arba neapibrėžtieji įsipareigojimai pirkti nuosavas CET1 priemones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36 straipsnio 1 dalies f punktas ir 42 straipsnis.</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Pagal KRR 36 straipsnio 1 dalies f punktą</w:t>
            </w:r>
            <w:r>
              <w:t xml:space="preserve"> „nuosavos bendro 1 lygio kapitalo priemonės, dėl kurių įstaiga turi faktinių arba neapibrėžtųjų įsipareigojimų pirkti pagal esamą sutartinį įsipareigojimą“, yra atskaitomos.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Nepaskirstytasis pelnas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26 straipsnio 1 dalies c punktas ir 26 straipsnio 2 dalis.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Nepaskirstytąjį pelną sudaro ankstesnių metų nepaskirstytojo pelno ir reik</w:t>
            </w:r>
            <w:r>
              <w:rPr>
                <w:rStyle w:val="FormatvorlageInstructionsTabelleText"/>
                <w:rFonts w:ascii="Times New Roman" w:hAnsi="Times New Roman"/>
                <w:sz w:val="24"/>
              </w:rPr>
              <w:t>a</w:t>
            </w:r>
            <w:r>
              <w:rPr>
                <w:rStyle w:val="FormatvorlageInstructionsTabelleText"/>
                <w:rFonts w:ascii="Times New Roman" w:hAnsi="Times New Roman"/>
                <w:sz w:val="24"/>
              </w:rPr>
              <w:t>lavimus atitinkančio tarpinio arba metų pabaigos pelno suma.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Ankstesnių metų nepaskirstytasis pelnas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123 punktas ir 26 straipsnio 1 dalies c punktas.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123 punkte nurodoma, kad nepaskirstytasis pelnas yra „į kitą laikotarpį perkeliamas pelnas ir nuostoliai, likę po galutinio pelno arba nuostolių paskirstymo pagal taikomus apskaitos standartus“.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Reikalavimus atitinkantis pelnas arba nuostoliai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121 punktas, 26 straipsnio 2 dalis ir 36 straipsnio 1 dalies a punktas.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Pagal KRR 26 straipsnio 2 dalį leidžiama, gavus kompetentingos institucijos išankstinį leidimą, į nepaskirstytąjį pelną įtraukti tarpinį arba metų pabaigos pelną, jeigu įvykdomos tam tikros sąlygos.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Kita vertus, iš CET1 atskaitomi nuostoliai, kaip nurodyta KRR 36 straipsnio 1 dalies a punkte.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Patronuojančiosios įmonės savininkams priskirtinas pe</w:t>
            </w:r>
            <w:r>
              <w:rPr>
                <w:rStyle w:val="InstructionsTabelleberschrift"/>
                <w:rFonts w:ascii="Times New Roman" w:hAnsi="Times New Roman"/>
                <w:sz w:val="24"/>
              </w:rPr>
              <w:t>l</w:t>
            </w:r>
            <w:r>
              <w:rPr>
                <w:rStyle w:val="InstructionsTabelleberschrift"/>
                <w:rFonts w:ascii="Times New Roman" w:hAnsi="Times New Roman"/>
                <w:sz w:val="24"/>
              </w:rPr>
              <w:t>nas arba nuostoliai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26 straipsnio 2 dalis ir 36 straipsnio 1 dalies a punktas.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 buhalterinėje pajamų ataskaitoje nurodytas pelnas arba nuostolis.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Reikalavimų neatitinkanti tarpinio arba metų paba</w:t>
            </w:r>
            <w:r>
              <w:rPr>
                <w:rStyle w:val="InstructionsTabelleberschrift"/>
                <w:rFonts w:ascii="Times New Roman" w:hAnsi="Times New Roman"/>
                <w:sz w:val="24"/>
              </w:rPr>
              <w:t>i</w:t>
            </w:r>
            <w:r>
              <w:rPr>
                <w:rStyle w:val="InstructionsTabelleberschrift"/>
                <w:rFonts w:ascii="Times New Roman" w:hAnsi="Times New Roman"/>
                <w:sz w:val="24"/>
              </w:rPr>
              <w:lastRenderedPageBreak/>
              <w:t>gos pelno dalis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26 straipsnio 2 dalis.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įstaiga nurodo per ataskaitinį laikotarpį turėjusi nuostolių, šioje eilutėje nerašoma nieko. Taip yra dėl to, kad iš CET1 atskaitoma visa nuostolių s</w:t>
            </w:r>
            <w:r>
              <w:rPr>
                <w:rStyle w:val="FormatvorlageInstructionsTabelleText"/>
                <w:rFonts w:ascii="Times New Roman" w:hAnsi="Times New Roman"/>
                <w:sz w:val="24"/>
              </w:rPr>
              <w:t>u</w:t>
            </w:r>
            <w:r>
              <w:rPr>
                <w:rStyle w:val="FormatvorlageInstructionsTabelleText"/>
                <w:rFonts w:ascii="Times New Roman" w:hAnsi="Times New Roman"/>
                <w:sz w:val="24"/>
              </w:rPr>
              <w:t>ma.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įstaiga nurodo turėjusi pelno, nurodoma reikalavimų pagal KRR 26 straipsnio 2 dalį neatitinkanti dalis (t. y. neaudituotas pelnas ir numatomi mokesčiai arba dividendai).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Atkreipkite dėmesį, kad iš pelno atskaitytiną sumą sudaro bent tarpiniai d</w:t>
            </w:r>
            <w:r>
              <w:rPr>
                <w:rStyle w:val="FormatvorlageInstructionsTabelleText"/>
                <w:rFonts w:ascii="Times New Roman" w:hAnsi="Times New Roman"/>
                <w:sz w:val="24"/>
              </w:rPr>
              <w:t>i</w:t>
            </w:r>
            <w:r>
              <w:rPr>
                <w:rStyle w:val="FormatvorlageInstructionsTabelleText"/>
                <w:rFonts w:ascii="Times New Roman" w:hAnsi="Times New Roman"/>
                <w:sz w:val="24"/>
              </w:rPr>
              <w:t>videndai.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Sukauptos kitos bendrosios pajamos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100 punktas ir 26 straipsnio 1 dalies d punktas.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Suma nurodoma atėmus visus skaičiavimo metu numatomus mokesčius, bet dar nepritaikius rizikos ribojimo filtrų. Nurodytina suma nustatoma pagal Komisijos deleguotojo reglamento (ES) Nr. 241/2014 13 straipsnio 4 dalį.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Kiti rezervai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117 punktas ir 26 straipsnio 1 dalies e punktas.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apibrėžta: „kiti rezervai – rezervai, kaip apibrėžta taikytiname apska</w:t>
            </w:r>
            <w:r>
              <w:rPr>
                <w:rStyle w:val="FormatvorlageInstructionsTabelleText"/>
                <w:rFonts w:ascii="Times New Roman" w:hAnsi="Times New Roman"/>
                <w:sz w:val="24"/>
              </w:rPr>
              <w:t>i</w:t>
            </w:r>
            <w:r>
              <w:rPr>
                <w:rStyle w:val="FormatvorlageInstructionsTabelleText"/>
                <w:rFonts w:ascii="Times New Roman" w:hAnsi="Times New Roman"/>
                <w:sz w:val="24"/>
              </w:rPr>
              <w:t>tos standarte, kuriuos reikia atskleisti pagal tą taikytiną apskaitos standartą, neįskaitant jokių sumų, kurios jau įskaitytos į sukauptas kitas bendrąsias p</w:t>
            </w:r>
            <w:r>
              <w:rPr>
                <w:rStyle w:val="FormatvorlageInstructionsTabelleText"/>
                <w:rFonts w:ascii="Times New Roman" w:hAnsi="Times New Roman"/>
                <w:sz w:val="24"/>
              </w:rPr>
              <w:t>a</w:t>
            </w:r>
            <w:r>
              <w:rPr>
                <w:rStyle w:val="FormatvorlageInstructionsTabelleText"/>
                <w:rFonts w:ascii="Times New Roman" w:hAnsi="Times New Roman"/>
                <w:sz w:val="24"/>
              </w:rPr>
              <w:t>jamas arba nepaskirstytąjį pelną“.</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turi būti nurodoma atėmus visus skaičiavimo metu numatomus m</w:t>
            </w:r>
            <w:r>
              <w:rPr>
                <w:rStyle w:val="FormatvorlageInstructionsTabelleText"/>
                <w:rFonts w:ascii="Times New Roman" w:hAnsi="Times New Roman"/>
                <w:sz w:val="24"/>
              </w:rPr>
              <w:t>o</w:t>
            </w:r>
            <w:r>
              <w:rPr>
                <w:rStyle w:val="FormatvorlageInstructionsTabelleText"/>
                <w:rFonts w:ascii="Times New Roman" w:hAnsi="Times New Roman"/>
                <w:sz w:val="24"/>
              </w:rPr>
              <w:t>kesčius.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Atidėjiniai bendrai bankinei rizikai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112 punktas ir 26 straipsnio 1 dalies f punktas.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Atidėjiniai bendrai bankinei rizikai Direktyvos 86/635/EEB 38 straipsnyje apibrėžiami kaip „sumos, kurias kredito įstaiga nutaria atidėti tokiai rizikai padengti, jei to reikalauja specifinė rizika, susijusi su bankine veikla“.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turi būti nurodoma atėmus visus skaičiavimo metu numatomus m</w:t>
            </w:r>
            <w:r>
              <w:rPr>
                <w:rStyle w:val="FormatvorlageInstructionsTabelleText"/>
                <w:rFonts w:ascii="Times New Roman" w:hAnsi="Times New Roman"/>
                <w:sz w:val="24"/>
              </w:rPr>
              <w:t>o</w:t>
            </w:r>
            <w:r>
              <w:rPr>
                <w:rStyle w:val="FormatvorlageInstructionsTabelleText"/>
                <w:rFonts w:ascii="Times New Roman" w:hAnsi="Times New Roman"/>
                <w:sz w:val="24"/>
              </w:rPr>
              <w:t>kesčius.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Pereinamojo laikotarpio koregavimai dėl CET1 kapitalo pri</w:t>
            </w:r>
            <w:r>
              <w:rPr>
                <w:rStyle w:val="InstructionsTabelleberschrift"/>
                <w:rFonts w:ascii="Times New Roman" w:hAnsi="Times New Roman"/>
                <w:sz w:val="24"/>
              </w:rPr>
              <w:t>e</w:t>
            </w:r>
            <w:r>
              <w:rPr>
                <w:rStyle w:val="InstructionsTabelleberschrift"/>
                <w:rFonts w:ascii="Times New Roman" w:hAnsi="Times New Roman"/>
                <w:sz w:val="24"/>
              </w:rPr>
              <w:t>monių, kurioms taikomas tęstinumo principas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483 straipsnio 1–3 dalys, 484–487 straipsniai.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priemonių, pereinamuoju laikotarpiu likusių galioti kaip CET1, suma. Nurodoma suma yra tiesiogiai perkeliama iš CA5 formos.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Mažumos dalys, pripažintos kaip CET1 kapitalas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120 punktas ir 84 straipsnis.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Visų patronuojamųjų įmonių mažumos dalių suma, įtraukta į konsoliduotą CET1.</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 xml:space="preserve">Pereinamojo laikotarpio koregavimai dėl papildomų mažumos </w:t>
            </w:r>
            <w:r>
              <w:rPr>
                <w:rStyle w:val="InstructionsTabelleberschrift"/>
                <w:rFonts w:ascii="Times New Roman" w:hAnsi="Times New Roman"/>
                <w:sz w:val="24"/>
              </w:rPr>
              <w:lastRenderedPageBreak/>
              <w:t>dalių</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479 ir 480 straipsniai.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Mažumos dalių koregavimai dėl pereinamojo laikotarpio nuostatų. Šis straipsnis tiesiogiai perkeliamas iš CA5 formos.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CET1 koregavimai pritaikius riziką ribojančius filtrus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KRR 32–35 straipsniai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Nuosavo kapitalo padidėjimas dėl vertybiniais popi</w:t>
            </w:r>
            <w:r>
              <w:rPr>
                <w:rStyle w:val="InstructionsTabelleberschrift"/>
                <w:rFonts w:ascii="Times New Roman" w:hAnsi="Times New Roman"/>
                <w:sz w:val="24"/>
              </w:rPr>
              <w:t>e</w:t>
            </w:r>
            <w:r>
              <w:rPr>
                <w:rStyle w:val="InstructionsTabelleberschrift"/>
                <w:rFonts w:ascii="Times New Roman" w:hAnsi="Times New Roman"/>
                <w:sz w:val="24"/>
              </w:rPr>
              <w:t>riais pakeisto turto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32 straipsnio 1 dalis.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kuri susidaro įstaigos nuosavam kapitalui padidėjus dėl vertybiniais popieriais pakeisto turto, remiantis taikomu apskaitos standartu.</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Pavyzdžiui, į šį straipsnį įtraukiamos būsimos pajamos iš maržos, dėl kurios susidarys įstaigos pelnas iš pardavimo, arba, kai įstaiga yra pakeitimo vert</w:t>
            </w:r>
            <w:r>
              <w:rPr>
                <w:rStyle w:val="FormatvorlageInstructionsTabelleText"/>
                <w:rFonts w:ascii="Times New Roman" w:hAnsi="Times New Roman"/>
                <w:sz w:val="24"/>
              </w:rPr>
              <w:t>y</w:t>
            </w:r>
            <w:r>
              <w:rPr>
                <w:rStyle w:val="FormatvorlageInstructionsTabelleText"/>
                <w:rFonts w:ascii="Times New Roman" w:hAnsi="Times New Roman"/>
                <w:sz w:val="24"/>
              </w:rPr>
              <w:t>biniais popieriais iniciatorė, grynasis pelnas, gaunamas kapitalizuojant ate</w:t>
            </w:r>
            <w:r>
              <w:rPr>
                <w:rStyle w:val="FormatvorlageInstructionsTabelleText"/>
                <w:rFonts w:ascii="Times New Roman" w:hAnsi="Times New Roman"/>
                <w:sz w:val="24"/>
              </w:rPr>
              <w:t>i</w:t>
            </w:r>
            <w:r>
              <w:rPr>
                <w:rStyle w:val="FormatvorlageInstructionsTabelleText"/>
                <w:rFonts w:ascii="Times New Roman" w:hAnsi="Times New Roman"/>
                <w:sz w:val="24"/>
              </w:rPr>
              <w:t>ties pajamas iš vertybiniais popieriais pakeisto turto, didinančio pakeitimo vertybiniais popieriais pozicijų kredito vertę.</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Pinigų srautų apsidraudimo rezervas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33 straipsnio 1 dalies a punktas.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Nurodomos sumos reikšmė gali būti teigiama arba neigiama. Reikšmė bus teigiama, jeigu pinigų srautų apsidraudimo rezerve yra nuostolis (t. y. jeigu dėl jo sumažėja apskaitinis nuosavas kapitalas), ir atvirkščiai. Taigi ženklas turi būti priešingas finansinėje apskaitoje įrašytam ženklui.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nurodoma atėmus visus skaičiavimo metu numatomus mokesčius.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Kaupiamasis pelnas ir nuostoliai iš įstaigos įsipareigojimų, vertinamų tikrąja verte, kurie susidaro dėl pačios įstaigos kredito riz</w:t>
            </w:r>
            <w:r>
              <w:rPr>
                <w:rStyle w:val="InstructionsTabelleberschrift"/>
                <w:rFonts w:ascii="Times New Roman" w:hAnsi="Times New Roman"/>
                <w:sz w:val="24"/>
              </w:rPr>
              <w:t>i</w:t>
            </w:r>
            <w:r>
              <w:rPr>
                <w:rStyle w:val="InstructionsTabelleberschrift"/>
                <w:rFonts w:ascii="Times New Roman" w:hAnsi="Times New Roman"/>
                <w:sz w:val="24"/>
              </w:rPr>
              <w:t>kos pokyčių</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33 straipsnio 1 dalies b punktas.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Nurodomos sumos reikšmė gali būti teigiama arba neigiama. Reikšmė bus teigiama, jeigu dėl pačios įstaigos kredito rizikos pokyčių susidaro nuostolis (t. y. jeigu dėl jo sumažėja apskaitinis nuosavas kapitalas), ir atvirkščiai. Taigi ženklas turi būti priešingas finansinėje apskaitoje įrašytam ženklui.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Neaudituotas pelnas į šį straipsnį neįtraukiamas.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Tikrąja verte vertinamas pelnas ir nuostoliai, kurie sus</w:t>
            </w:r>
            <w:r>
              <w:rPr>
                <w:rStyle w:val="InstructionsTabelleberschrift"/>
                <w:rFonts w:ascii="Times New Roman" w:hAnsi="Times New Roman"/>
                <w:sz w:val="24"/>
              </w:rPr>
              <w:t>i</w:t>
            </w:r>
            <w:r>
              <w:rPr>
                <w:rStyle w:val="InstructionsTabelleberschrift"/>
                <w:rFonts w:ascii="Times New Roman" w:hAnsi="Times New Roman"/>
                <w:sz w:val="24"/>
              </w:rPr>
              <w:t>daro dėl pačios įstaigos kredito rizikos, susijusios su išvestinių finans</w:t>
            </w:r>
            <w:r>
              <w:rPr>
                <w:rStyle w:val="InstructionsTabelleberschrift"/>
                <w:rFonts w:ascii="Times New Roman" w:hAnsi="Times New Roman"/>
                <w:sz w:val="24"/>
              </w:rPr>
              <w:t>i</w:t>
            </w:r>
            <w:r>
              <w:rPr>
                <w:rStyle w:val="InstructionsTabelleberschrift"/>
                <w:rFonts w:ascii="Times New Roman" w:hAnsi="Times New Roman"/>
                <w:sz w:val="24"/>
              </w:rPr>
              <w:t>nių priemonių įsipareigojimais</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33 straipsnio 1 dalies c punktas ir 33 straipsnio 2 dalis.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Nurodomos sumos reikšmė gali būti teigiama arba neigiama. Reikšmė bus teigiama, jeigu dėl pačios įstaigos kredito rizikos pokyčių susidaro nuostolis, ir atvirkščiai. Taigi ženklas turi būti priešingas finansinėje apskaitoje įraš</w:t>
            </w:r>
            <w:r>
              <w:rPr>
                <w:rStyle w:val="FormatvorlageInstructionsTabelleText"/>
                <w:rFonts w:ascii="Times New Roman" w:hAnsi="Times New Roman"/>
                <w:sz w:val="24"/>
              </w:rPr>
              <w:t>y</w:t>
            </w:r>
            <w:r>
              <w:rPr>
                <w:rStyle w:val="FormatvorlageInstructionsTabelleText"/>
                <w:rFonts w:ascii="Times New Roman" w:hAnsi="Times New Roman"/>
                <w:sz w:val="24"/>
              </w:rPr>
              <w:t>tam ženklui.</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Neaudituotas pelnas į šį straipsnį neįtraukiamas.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Vertės koregavimai pagal rizikos ribojimo principais pagrįsto vertinimo reikalavimus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34 ir 105 straipsniai.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Prekybos knygos arba ne prekybos knygos pozicijų tikrosios vertės koreg</w:t>
            </w:r>
            <w:r>
              <w:rPr>
                <w:rStyle w:val="FormatvorlageInstructionsTabelleText"/>
                <w:rFonts w:ascii="Times New Roman" w:hAnsi="Times New Roman"/>
                <w:sz w:val="24"/>
              </w:rPr>
              <w:t>a</w:t>
            </w:r>
            <w:r>
              <w:rPr>
                <w:rStyle w:val="FormatvorlageInstructionsTabelleText"/>
                <w:rFonts w:ascii="Times New Roman" w:hAnsi="Times New Roman"/>
                <w:sz w:val="24"/>
              </w:rPr>
              <w:t>vimai laikantis KRR 105 straipsnyje nustatytų griežtesnių rizikos ribojimo principais pagrįsto vertinimo standartų.</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Prestižas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113 punktas, 36 straipsnio 1 dalies b punktas ir 37 straipsnis.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Prestižas, apskaitomas kaip nematerialusis turtas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113 punktas ir 36 straipsnio 1 dalies b punktas.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Sąvokos „prestižas“ reikšmė yra tokia pati, kaip apibrėžta taikomame a</w:t>
            </w:r>
            <w:r>
              <w:rPr>
                <w:rStyle w:val="FormatvorlageInstructionsTabelleText"/>
                <w:rFonts w:ascii="Times New Roman" w:hAnsi="Times New Roman"/>
                <w:sz w:val="24"/>
              </w:rPr>
              <w:t>p</w:t>
            </w:r>
            <w:r>
              <w:rPr>
                <w:rStyle w:val="FormatvorlageInstructionsTabelleText"/>
                <w:rFonts w:ascii="Times New Roman" w:hAnsi="Times New Roman"/>
                <w:sz w:val="24"/>
              </w:rPr>
              <w:t>skaitos standarte.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ta pati suma, kokia įrašyta balanse.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Prestižas, įtrauktas į reikšmingų investicijų vertinimą</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37 straipsnio b punktas ir 43 straipsnis.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Atidėtųjų mokesčių įsipareigojimai, susiję su prestižu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37 straipsnio a punktas.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įsipareigojimų suma, kuri būtų anuliuota, jeigu prestižo vertė sumažėtų arba būtų nutrauktas jo pripažinimas pagal atitinkamą a</w:t>
            </w:r>
            <w:r>
              <w:rPr>
                <w:rStyle w:val="FormatvorlageInstructionsTabelleText"/>
                <w:rFonts w:ascii="Times New Roman" w:hAnsi="Times New Roman"/>
                <w:sz w:val="24"/>
              </w:rPr>
              <w:t>p</w:t>
            </w:r>
            <w:r>
              <w:rPr>
                <w:rStyle w:val="FormatvorlageInstructionsTabelleText"/>
                <w:rFonts w:ascii="Times New Roman" w:hAnsi="Times New Roman"/>
                <w:sz w:val="24"/>
              </w:rPr>
              <w:t>skaitos standartą.</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Kitas nematerialusis turtas</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115 punktas, 36 straipsnio 1 dalies b punktas ir 37 straipsnio a punktas.</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Kitas nematerialusis turtas – nematerialusis turtas pagal taikomą apskaitos standartą, atėmus prestižą (taip pat pagal taikomą apskaitos standartą).</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Kitas nematerialusis turtas prieš atidėtųjų mokesčių įsipareigojimų atskaitymą</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115 punktas ir 36 straipsnio 1 dalies b punktas.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Kitas nematerialusis turtas – nematerialusis turtas pagal taikomą apskaitos standartą, atėmus prestižą (taip pat pagal taikomą apskaitos standartą).</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sutampa su balanse įrašyta nematerialiojo turto, išskyrus prestižą, suma.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Atidėtųjų mokesčių įsipareigojimai, susiję su kitu nemat</w:t>
            </w:r>
            <w:r>
              <w:rPr>
                <w:rStyle w:val="InstructionsTabelleberschrift"/>
                <w:rFonts w:ascii="Times New Roman" w:hAnsi="Times New Roman"/>
                <w:sz w:val="24"/>
              </w:rPr>
              <w:t>e</w:t>
            </w:r>
            <w:r>
              <w:rPr>
                <w:rStyle w:val="InstructionsTabelleberschrift"/>
                <w:rFonts w:ascii="Times New Roman" w:hAnsi="Times New Roman"/>
                <w:sz w:val="24"/>
              </w:rPr>
              <w:t>rialiuoju turtu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37 straipsnio a punktas.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įsipareigojimų suma, kuri būtų anuliuota, jeigu nemat</w:t>
            </w:r>
            <w:r>
              <w:rPr>
                <w:rStyle w:val="FormatvorlageInstructionsTabelleText"/>
                <w:rFonts w:ascii="Times New Roman" w:hAnsi="Times New Roman"/>
                <w:sz w:val="24"/>
              </w:rPr>
              <w:t>e</w:t>
            </w:r>
            <w:r>
              <w:rPr>
                <w:rStyle w:val="FormatvorlageInstructionsTabelleText"/>
                <w:rFonts w:ascii="Times New Roman" w:hAnsi="Times New Roman"/>
                <w:sz w:val="24"/>
              </w:rPr>
              <w:t>rialiojo turto, išskyrus prestižą, vertė sumažėtų arba būtų nutrauktas jo pr</w:t>
            </w:r>
            <w:r>
              <w:rPr>
                <w:rStyle w:val="FormatvorlageInstructionsTabelleText"/>
                <w:rFonts w:ascii="Times New Roman" w:hAnsi="Times New Roman"/>
                <w:sz w:val="24"/>
              </w:rPr>
              <w:t>i</w:t>
            </w:r>
            <w:r>
              <w:rPr>
                <w:rStyle w:val="FormatvorlageInstructionsTabelleText"/>
                <w:rFonts w:ascii="Times New Roman" w:hAnsi="Times New Roman"/>
                <w:sz w:val="24"/>
              </w:rPr>
              <w:t>pažinimas pagal taikomą apskaitos standartą.</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Atidėtųjų mokesčių turtas, kuris priklauso nuo būsimo pelningumo ir susidaro ne dėl laikinųjų skirtumų, atėmus susijusius at</w:t>
            </w:r>
            <w:r>
              <w:rPr>
                <w:rStyle w:val="InstructionsTabelleberschrift"/>
                <w:rFonts w:ascii="Times New Roman" w:hAnsi="Times New Roman"/>
                <w:sz w:val="24"/>
              </w:rPr>
              <w:t>i</w:t>
            </w:r>
            <w:r>
              <w:rPr>
                <w:rStyle w:val="InstructionsTabelleberschrift"/>
                <w:rFonts w:ascii="Times New Roman" w:hAnsi="Times New Roman"/>
                <w:sz w:val="24"/>
              </w:rPr>
              <w:t>dėtųjų mokesčių įsipareigojimus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36 straipsnio 1 dalies c punktas ir 38 straipsnis.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Kredito rizikos koregavimų pagal IRB metodą trūk</w:t>
            </w:r>
            <w:r>
              <w:rPr>
                <w:rStyle w:val="InstructionsTabelleberschrift"/>
                <w:rFonts w:ascii="Times New Roman" w:hAnsi="Times New Roman"/>
                <w:sz w:val="24"/>
              </w:rPr>
              <w:t>u</w:t>
            </w:r>
            <w:r>
              <w:rPr>
                <w:rStyle w:val="InstructionsTabelleberschrift"/>
                <w:rFonts w:ascii="Times New Roman" w:hAnsi="Times New Roman"/>
                <w:sz w:val="24"/>
              </w:rPr>
              <w:t>mas, atsižvelgiant į tikėtinus nuostolius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36 straipsnio 1 dalies d punktas, 40, 158 ir 159 straipsniai.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Nurodomos sumos nemažinamos padidėjusia atidėtųjų mokesčių turto, kuris priklauso nuo būsimo pelningumo, dalimi arba dėl kito papildomo mokesčių poveikio, kuris galėtų atsirasti, jeigu atidėjiniai būtų padidinti iki tikėtinų nuostolių lygio (KRR 40 straipsnis).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Nustatytų išmokų pensijų fondo turtas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109 punktas, 36 straipsnio 1 dalies e punktas ir 41 straipsnis.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Nustatytų išmokų pensijų fondo turtas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109 punktas ir 36 straipsnio 1 dalies e punktas.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Nustatytų išmokų pensijų fondo turtas apibrėžiamas kaip „nustatyto dydžio išmokų pensijų fondo ar sistemos turtas, apskaičiuotas iš jo atėmus to fondo arba pagal tą sistemą prisiimtus įsipareigojimus“.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sutampa su balanse įrašyta suma (jei ji nurodyta atskirai).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Atidėtųjų mokesčių įsipareigojimai, susiję su nustatytų išmokų pensijų fondo turtu</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108 ir 109 punktai, 41 straipsnio 1 dalies a pun</w:t>
            </w:r>
            <w:r>
              <w:rPr>
                <w:rStyle w:val="FormatvorlageInstructionsTabelleText"/>
                <w:rFonts w:ascii="Times New Roman" w:hAnsi="Times New Roman"/>
                <w:sz w:val="24"/>
              </w:rPr>
              <w:t>k</w:t>
            </w:r>
            <w:r>
              <w:rPr>
                <w:rStyle w:val="FormatvorlageInstructionsTabelleText"/>
                <w:rFonts w:ascii="Times New Roman" w:hAnsi="Times New Roman"/>
                <w:sz w:val="24"/>
              </w:rPr>
              <w:t>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įsipareigojimų suma, kuri būtų anuliuota, jeigu nustatytų išmokų pensijų fondo turto vertė sumažėtų arba būtų nutrauktas jo pripaž</w:t>
            </w:r>
            <w:r>
              <w:rPr>
                <w:rStyle w:val="FormatvorlageInstructionsTabelleText"/>
                <w:rFonts w:ascii="Times New Roman" w:hAnsi="Times New Roman"/>
                <w:sz w:val="24"/>
              </w:rPr>
              <w:t>i</w:t>
            </w:r>
            <w:r>
              <w:rPr>
                <w:rStyle w:val="FormatvorlageInstructionsTabelleText"/>
                <w:rFonts w:ascii="Times New Roman" w:hAnsi="Times New Roman"/>
                <w:sz w:val="24"/>
              </w:rPr>
              <w:t>nimas pagal atitinkamą apskaitos standartą.</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Nustatytų išmokų pensijų fondo turtas, kurį įstaiga gali neribotai naudoti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109 punktas ir 41 straipsnio 1 dalies b punktas.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kokia nors suma nurodoma tik tada, jeigu yra gautas ko</w:t>
            </w:r>
            <w:r>
              <w:rPr>
                <w:rStyle w:val="FormatvorlageInstructionsTabelleText"/>
                <w:rFonts w:ascii="Times New Roman" w:hAnsi="Times New Roman"/>
                <w:sz w:val="24"/>
              </w:rPr>
              <w:t>m</w:t>
            </w:r>
            <w:r>
              <w:rPr>
                <w:rStyle w:val="FormatvorlageInstructionsTabelleText"/>
                <w:rFonts w:ascii="Times New Roman" w:hAnsi="Times New Roman"/>
                <w:sz w:val="24"/>
              </w:rPr>
              <w:t>petentingos institucijos išankstinis leidimas mažinti atskaitomą nustatytų i</w:t>
            </w:r>
            <w:r>
              <w:rPr>
                <w:rStyle w:val="FormatvorlageInstructionsTabelleText"/>
                <w:rFonts w:ascii="Times New Roman" w:hAnsi="Times New Roman"/>
                <w:sz w:val="24"/>
              </w:rPr>
              <w:t>š</w:t>
            </w:r>
            <w:r>
              <w:rPr>
                <w:rStyle w:val="FormatvorlageInstructionsTabelleText"/>
                <w:rFonts w:ascii="Times New Roman" w:hAnsi="Times New Roman"/>
                <w:sz w:val="24"/>
              </w:rPr>
              <w:t>mokų pensijų fondo turto sumą.</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šią eilutę įtraukiamam turtui taikomas rizikos koeficientas pagal kredito r</w:t>
            </w:r>
            <w:r>
              <w:rPr>
                <w:rStyle w:val="FormatvorlageInstructionsTabelleText"/>
                <w:rFonts w:ascii="Times New Roman" w:hAnsi="Times New Roman"/>
                <w:sz w:val="24"/>
              </w:rPr>
              <w:t>i</w:t>
            </w:r>
            <w:r>
              <w:rPr>
                <w:rStyle w:val="FormatvorlageInstructionsTabelleText"/>
                <w:rFonts w:ascii="Times New Roman" w:hAnsi="Times New Roman"/>
                <w:sz w:val="24"/>
              </w:rPr>
              <w:t>zikos reikalavimus.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Abipusė kryžminė CET1 kapitalo dalių nuosavybė</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122 punktas, 36 straipsnio 1 dalies g punktas ir 44 straipsnis.</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finansų sektoriaus subjektų (apibrėžtų KRR 4 straipsnio 1 dalies 27 punkte), su kuriais turima abipusės kryžminės kapitalo dalių nuosavybės, CET1 priemonės, kurios, kompetentingos institucijos nuomone, buvo suku</w:t>
            </w:r>
            <w:r>
              <w:rPr>
                <w:rStyle w:val="FormatvorlageInstructionsTabelleText"/>
                <w:rFonts w:ascii="Times New Roman" w:hAnsi="Times New Roman"/>
                <w:sz w:val="24"/>
              </w:rPr>
              <w:t>r</w:t>
            </w:r>
            <w:r>
              <w:rPr>
                <w:rStyle w:val="FormatvorlageInstructionsTabelleText"/>
                <w:rFonts w:ascii="Times New Roman" w:hAnsi="Times New Roman"/>
                <w:sz w:val="24"/>
              </w:rPr>
              <w:lastRenderedPageBreak/>
              <w:t>tos siekiant dirbtinai padidinti įstaigos nuosavas lėšas.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apskaičiuojama pagal bendrąsias ilgąsias pozicijas, į ją turi būti įtraukti 1 lygio nuosavų lėšų draudimo straipsniai.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Atskaitymai iš AT1 straipsnių, viršijantys AT1 kapit</w:t>
            </w:r>
            <w:r>
              <w:rPr>
                <w:rStyle w:val="InstructionsTabelleberschrift"/>
                <w:rFonts w:ascii="Times New Roman" w:hAnsi="Times New Roman"/>
                <w:sz w:val="24"/>
              </w:rPr>
              <w:t>a</w:t>
            </w:r>
            <w:r>
              <w:rPr>
                <w:rStyle w:val="InstructionsTabelleberschrift"/>
                <w:rFonts w:ascii="Times New Roman" w:hAnsi="Times New Roman"/>
                <w:sz w:val="24"/>
              </w:rPr>
              <w:t xml:space="preserve">lą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36 straipsnio 1 dalies j punktas.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tiesiogiai perkeliama iš CA1 formos straipsnio „Atskait</w:t>
            </w:r>
            <w:r>
              <w:rPr>
                <w:rStyle w:val="FormatvorlageInstructionsTabelleText"/>
                <w:rFonts w:ascii="Times New Roman" w:hAnsi="Times New Roman"/>
                <w:sz w:val="24"/>
              </w:rPr>
              <w:t>y</w:t>
            </w:r>
            <w:r>
              <w:rPr>
                <w:rStyle w:val="FormatvorlageInstructionsTabelleText"/>
                <w:rFonts w:ascii="Times New Roman" w:hAnsi="Times New Roman"/>
                <w:sz w:val="24"/>
              </w:rPr>
              <w:t>mai iš AT1 straipsnių, viršijantys AT1 kapitalą“. Ši suma turi būti atskaityta iš CET1.</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Kvalifikuotoji akcijų paketo dalis, turima ne finansų sektoriaus įmonėse, kuriai kaip alternatyva gali būti taikomas 1250 % rizikos koeficientas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36 punktas, 36 straipsnio 1 dalies k punkto i p</w:t>
            </w:r>
            <w:r>
              <w:rPr>
                <w:rStyle w:val="FormatvorlageInstructionsTabelleText"/>
                <w:rFonts w:ascii="Times New Roman" w:hAnsi="Times New Roman"/>
                <w:sz w:val="24"/>
              </w:rPr>
              <w:t>a</w:t>
            </w:r>
            <w:r>
              <w:rPr>
                <w:rStyle w:val="FormatvorlageInstructionsTabelleText"/>
                <w:rFonts w:ascii="Times New Roman" w:hAnsi="Times New Roman"/>
                <w:sz w:val="24"/>
              </w:rPr>
              <w:t>punktis ir 89–91 straipsniai.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Kvalifikuotoji akcijų paketo dalis – tiesiogiai arba netiesiogiai turima įm</w:t>
            </w:r>
            <w:r>
              <w:rPr>
                <w:rStyle w:val="FormatvorlageInstructionsTabelleText"/>
                <w:rFonts w:ascii="Times New Roman" w:hAnsi="Times New Roman"/>
                <w:sz w:val="24"/>
              </w:rPr>
              <w:t>o</w:t>
            </w:r>
            <w:r>
              <w:rPr>
                <w:rStyle w:val="FormatvorlageInstructionsTabelleText"/>
                <w:rFonts w:ascii="Times New Roman" w:hAnsi="Times New Roman"/>
                <w:sz w:val="24"/>
              </w:rPr>
              <w:t>nės kapitalo dalis, kuri sudaro 10 % ar daugiau kapitalo ar balsavimo teisių, arba tokia dalis, kuri suteikia galimybę daryti reikšmingą įtaką tos įmonės valdymui.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Pagal KRR 36 straipsnio 1 dalies k punkto i papunktį ji gali būti atskaityta iš CET1 (naudojant šį straipsnį) arba jai gali būti taikomas 1250 % rizikos ko</w:t>
            </w:r>
            <w:r>
              <w:rPr>
                <w:rStyle w:val="FormatvorlageInstructionsTabelleText"/>
                <w:rFonts w:ascii="Times New Roman" w:hAnsi="Times New Roman"/>
                <w:sz w:val="24"/>
              </w:rPr>
              <w:t>e</w:t>
            </w:r>
            <w:r>
              <w:rPr>
                <w:rStyle w:val="FormatvorlageInstructionsTabelleText"/>
                <w:rFonts w:ascii="Times New Roman" w:hAnsi="Times New Roman"/>
                <w:sz w:val="24"/>
              </w:rPr>
              <w:t>ficientas.</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Pakeitimo vertybiniais popieriais pozicijos, kurioms kaip alternatyva gali būti taikomas 1250 % rizikos koeficientas</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Iki 2018 m. gruodžio 31 d. galiojusios redakcijos KRR 36 straipsnio 1 dalies k punkto ii papunktis, 243 straipsnio 1 dalies b punktas, 244 straipsnio 1 d</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lies b punktas, 258 straipsnis ir 266 straipsnio 3 dalis arba atitinkamai KRR 244 straipsnio 1 dalies b punktas, 245 straipsnio 1 dalies b punktas, 253 straipsnio 1 dalis ir 268 straipsnio 4 dalis.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nurodomos pakeitimo vertybiniais popieriais pozicijos, kurioms taikomas 1250 % rizikos koeficientas, kurias antraip galima atska</w:t>
            </w:r>
            <w:r>
              <w:rPr>
                <w:rStyle w:val="FormatvorlageInstructionsTabelleText"/>
                <w:rFonts w:ascii="Times New Roman" w:hAnsi="Times New Roman"/>
                <w:sz w:val="24"/>
              </w:rPr>
              <w:t>i</w:t>
            </w:r>
            <w:r>
              <w:rPr>
                <w:rStyle w:val="FormatvorlageInstructionsTabelleText"/>
                <w:rFonts w:ascii="Times New Roman" w:hAnsi="Times New Roman"/>
                <w:sz w:val="24"/>
              </w:rPr>
              <w:t>tyti iš CET1 (KRR 36 straipsnio 1 dalies k punkto ii papunktis).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Nebaigti sandoriai, kuriems kaip alternatyva gali būti taikomas 1250 % rizikos koeficientas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36 straipsnio 1 dalies k punkto iii papunktis ir 379 straipsnio 3 dalis.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Nebaigtiems sandoriams 1 250 % rizikos koeficientas pradedamas taikyti praėjus 5 dienoms nuo antro sutartinio mokėjimo arba įsipareigojimo prist</w:t>
            </w:r>
            <w:r>
              <w:rPr>
                <w:rStyle w:val="FormatvorlageInstructionsTabelleText"/>
                <w:rFonts w:ascii="Times New Roman" w:hAnsi="Times New Roman"/>
                <w:sz w:val="24"/>
              </w:rPr>
              <w:t>a</w:t>
            </w:r>
            <w:r>
              <w:rPr>
                <w:rStyle w:val="FormatvorlageInstructionsTabelleText"/>
                <w:rFonts w:ascii="Times New Roman" w:hAnsi="Times New Roman"/>
                <w:sz w:val="24"/>
              </w:rPr>
              <w:t>tyti ir taikomas iki sandorio įvykdymo, laikantis nuosavų lėšų reikalavimų atsiskaitymo rizikai padengti. Antraip juos galima atskaityti iš CET1 (KRR 36 straipsnio 1 dalies k punkto iii papunktis). Pastaruoju atveju jos nurod</w:t>
            </w:r>
            <w:r>
              <w:rPr>
                <w:rStyle w:val="FormatvorlageInstructionsTabelleText"/>
                <w:rFonts w:ascii="Times New Roman" w:hAnsi="Times New Roman"/>
                <w:sz w:val="24"/>
              </w:rPr>
              <w:t>o</w:t>
            </w:r>
            <w:r>
              <w:rPr>
                <w:rStyle w:val="FormatvorlageInstructionsTabelleText"/>
                <w:rFonts w:ascii="Times New Roman" w:hAnsi="Times New Roman"/>
                <w:sz w:val="24"/>
              </w:rPr>
              <w:t>mos šiame straipsnyje.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Į krepšelį įtrauktos pozicijos, kurių rizikos koeficiento pagal IRB metodą įstaiga negali nustatyti ir kurioms kaip alternatyva gali būti taikomas 1250 % rizikos koeficientas</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KRR 36 straipsnio 1 dalies k punkto iv papunktis ir 153 straipsnio 8 dalis.</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Pagal KRR 36 straipsnio 1 dalies k punkto iv papunktį jos gali būti atskait</w:t>
            </w:r>
            <w:r>
              <w:rPr>
                <w:rStyle w:val="FormatvorlageInstructionsTabelleText"/>
                <w:rFonts w:ascii="Times New Roman" w:hAnsi="Times New Roman"/>
                <w:sz w:val="24"/>
              </w:rPr>
              <w:t>y</w:t>
            </w:r>
            <w:r>
              <w:rPr>
                <w:rStyle w:val="FormatvorlageInstructionsTabelleText"/>
                <w:rFonts w:ascii="Times New Roman" w:hAnsi="Times New Roman"/>
                <w:sz w:val="24"/>
              </w:rPr>
              <w:t>tos iš CET1 (naudojant šį straipsnį) arba joms gali būti taikomas 1250 % r</w:t>
            </w:r>
            <w:r>
              <w:rPr>
                <w:rStyle w:val="FormatvorlageInstructionsTabelleText"/>
                <w:rFonts w:ascii="Times New Roman" w:hAnsi="Times New Roman"/>
                <w:sz w:val="24"/>
              </w:rPr>
              <w:t>i</w:t>
            </w:r>
            <w:r>
              <w:rPr>
                <w:rStyle w:val="FormatvorlageInstructionsTabelleText"/>
                <w:rFonts w:ascii="Times New Roman" w:hAnsi="Times New Roman"/>
                <w:sz w:val="24"/>
              </w:rPr>
              <w:t>zikos koeficientas.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Nuosavybės vertybinių popierių pozicijos pagal vidaus modelių metodą, kurioms kaip alternatyva gali būti taikomas 1250 % rizikos koeficientas</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36 straipsnio 1 dalies k punkto v papunktis ir 155 straipsnio 4 dalis.</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Pagal KRR 36 straipsnio 1 dalies k punkto v papunktį jos gali būti atskait</w:t>
            </w:r>
            <w:r>
              <w:rPr>
                <w:rStyle w:val="FormatvorlageInstructionsTabelleText"/>
                <w:rFonts w:ascii="Times New Roman" w:hAnsi="Times New Roman"/>
                <w:sz w:val="24"/>
              </w:rPr>
              <w:t>y</w:t>
            </w:r>
            <w:r>
              <w:rPr>
                <w:rStyle w:val="FormatvorlageInstructionsTabelleText"/>
                <w:rFonts w:ascii="Times New Roman" w:hAnsi="Times New Roman"/>
                <w:sz w:val="24"/>
              </w:rPr>
              <w:t>tos iš CET1 (naudojant šį straipsnį) arba joms gali būti taikomas 1250 % r</w:t>
            </w:r>
            <w:r>
              <w:rPr>
                <w:rStyle w:val="FormatvorlageInstructionsTabelleText"/>
                <w:rFonts w:ascii="Times New Roman" w:hAnsi="Times New Roman"/>
                <w:sz w:val="24"/>
              </w:rPr>
              <w:t>i</w:t>
            </w:r>
            <w:r>
              <w:rPr>
                <w:rStyle w:val="FormatvorlageInstructionsTabelleText"/>
                <w:rFonts w:ascii="Times New Roman" w:hAnsi="Times New Roman"/>
                <w:sz w:val="24"/>
              </w:rPr>
              <w:t>zikos koeficientas.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Finansų sektoriaus subjektų, kuriuose įstaiga neturi reikšmingų investicijų, CET1 priemonės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27 punktas, 36 straipsnio 1 dalies h punktas; 43–46 straipsniai, 49 straipsnio 2 ir 3 dalys ir 79 straipsnis.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turimų finansų sektoriaus subjektų (apibrėžtų KRR 4 straipsnio 1 dalies 27 punkte), kuriuose įstaiga neturi reikšmingų investicijų, priemonių dalis, kuri turi būti atskaityta iš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atskaitymo alternatyvas, kai taikomas konsolidavimas (49 straipsnio 2 ir 3 dalys).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Atskaitomas atidėtųjų mokesčių turtas, kuris prikla</w:t>
            </w:r>
            <w:r>
              <w:rPr>
                <w:rStyle w:val="InstructionsTabelleberschrift"/>
                <w:rFonts w:ascii="Times New Roman" w:hAnsi="Times New Roman"/>
                <w:sz w:val="24"/>
              </w:rPr>
              <w:t>u</w:t>
            </w:r>
            <w:r>
              <w:rPr>
                <w:rStyle w:val="InstructionsTabelleberschrift"/>
                <w:rFonts w:ascii="Times New Roman" w:hAnsi="Times New Roman"/>
                <w:sz w:val="24"/>
              </w:rPr>
              <w:t>so nuo būsimo pelningumo ir susidaro dėl laikinųjų skirtumų</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36 straipsnio 1 dalies c punktas; 38 straipsnis ir 48 straipsnio 1 dalies a punktas.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turto, kuris priklauso nuo būsimo pelningumo ir susid</w:t>
            </w:r>
            <w:r>
              <w:rPr>
                <w:rStyle w:val="FormatvorlageInstructionsTabelleText"/>
                <w:rFonts w:ascii="Times New Roman" w:hAnsi="Times New Roman"/>
                <w:sz w:val="24"/>
              </w:rPr>
              <w:t>a</w:t>
            </w:r>
            <w:r>
              <w:rPr>
                <w:rStyle w:val="FormatvorlageInstructionsTabelleText"/>
                <w:rFonts w:ascii="Times New Roman" w:hAnsi="Times New Roman"/>
                <w:sz w:val="24"/>
              </w:rPr>
              <w:t>ro dėl laikinųjų skirtumų, dalis (atėmus susijusių atidėtųjų mokesčių įsip</w:t>
            </w:r>
            <w:r>
              <w:rPr>
                <w:rStyle w:val="FormatvorlageInstructionsTabelleText"/>
                <w:rFonts w:ascii="Times New Roman" w:hAnsi="Times New Roman"/>
                <w:sz w:val="24"/>
              </w:rPr>
              <w:t>a</w:t>
            </w:r>
            <w:r>
              <w:rPr>
                <w:rStyle w:val="FormatvorlageInstructionsTabelleText"/>
                <w:rFonts w:ascii="Times New Roman" w:hAnsi="Times New Roman"/>
                <w:sz w:val="24"/>
              </w:rPr>
              <w:t>reigojimų dalį, pagal KRR 38 straipsnio 5 dalies b punktą priskirtą prie at</w:t>
            </w:r>
            <w:r>
              <w:rPr>
                <w:rStyle w:val="FormatvorlageInstructionsTabelleText"/>
                <w:rFonts w:ascii="Times New Roman" w:hAnsi="Times New Roman"/>
                <w:sz w:val="24"/>
              </w:rPr>
              <w:t>i</w:t>
            </w:r>
            <w:r>
              <w:rPr>
                <w:rStyle w:val="FormatvorlageInstructionsTabelleText"/>
                <w:rFonts w:ascii="Times New Roman" w:hAnsi="Times New Roman"/>
                <w:sz w:val="24"/>
              </w:rPr>
              <w:t>dėtųjų mokesčių turto, kuris susidaro dėl laikinųjų skirtumų), kuri turi būti atskaityta laikantis KRR 48 straipsnio 1 dalies a punkte nurodytos 10 % r</w:t>
            </w:r>
            <w:r>
              <w:rPr>
                <w:rStyle w:val="FormatvorlageInstructionsTabelleText"/>
                <w:rFonts w:ascii="Times New Roman" w:hAnsi="Times New Roman"/>
                <w:sz w:val="24"/>
              </w:rPr>
              <w:t>i</w:t>
            </w:r>
            <w:r>
              <w:rPr>
                <w:rStyle w:val="FormatvorlageInstructionsTabelleText"/>
                <w:rFonts w:ascii="Times New Roman" w:hAnsi="Times New Roman"/>
                <w:sz w:val="24"/>
              </w:rPr>
              <w:t>bos.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Finansų sektoriaus subjektų, kuriuose įstaiga turi reikšmingų investicijų, CET1 priemonės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27 punktas; 36 straipsnio 1 dalies i punktas; 43, 45, 47 straipsniai, 48 straipsnio 1 dalies b punktas; 49 straipsnio 1–3 dalys ir 79 straipsnis.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turimų finansų sektoriaus subjektų (apibrėžtų KRR 4 straipsnio 1 dalies 27 punkte), kuriuose įstaiga turi reikšmingų investicijų, CET1 pri</w:t>
            </w:r>
            <w:r>
              <w:rPr>
                <w:rStyle w:val="FormatvorlageInstructionsTabelleText"/>
                <w:rFonts w:ascii="Times New Roman" w:hAnsi="Times New Roman"/>
                <w:sz w:val="24"/>
              </w:rPr>
              <w:t>e</w:t>
            </w:r>
            <w:r>
              <w:rPr>
                <w:rStyle w:val="FormatvorlageInstructionsTabelleText"/>
                <w:rFonts w:ascii="Times New Roman" w:hAnsi="Times New Roman"/>
                <w:sz w:val="24"/>
              </w:rPr>
              <w:t>monių dalis, kuri turi būti atskaityta laikantis KRR 48 straipsnio 1 dalies b punkte nustatytos 10 % ribos.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atskaitymo alternatyvas, kai taikomas konsolidavimas (49 straipsnio 1, 2 ir 3 dalys).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17,65 % ribą viršijanti suma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KRR 48 straipsnio 1 dalis.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turto, kuris priklauso nuo būsimo pelningumo ir susid</w:t>
            </w:r>
            <w:r>
              <w:rPr>
                <w:rStyle w:val="FormatvorlageInstructionsTabelleText"/>
                <w:rFonts w:ascii="Times New Roman" w:hAnsi="Times New Roman"/>
                <w:sz w:val="24"/>
              </w:rPr>
              <w:t>a</w:t>
            </w:r>
            <w:r>
              <w:rPr>
                <w:rStyle w:val="FormatvorlageInstructionsTabelleText"/>
                <w:rFonts w:ascii="Times New Roman" w:hAnsi="Times New Roman"/>
                <w:sz w:val="24"/>
              </w:rPr>
              <w:t>ro dėl laikinųjų skirtumų, dalis ir įstaigos tiesiogiai bei netiesiogiai turimų finansų sektoriaus subjektų (apibrėžtų KRR 4 straipsnio 1 dalies 27 punkte), kuriuose įstaiga turi reikšmingų investicijų, CET1 priemonių dalis, kuri turi būti atskaityta laikantis KRR 48 straipsnio 1 dalyje nustatytos 17,65 % ribos.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Kiti CET1 kapitalo pereinamojo laikotarpio koregavimai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469–472, 478 ir 481 straipsniai.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Atskaitymų koregavimai dėl pereinamojo laikotarpio nuostatų. Nurodoma suma yra tiesiogiai perkeliama iš CA5 formos.</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Papildomi atskaitymai iš CET1 kapitalo pagal KRR 3 straipsnį</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3 straipsnis.</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CET1 kapitalo elementai arba atskaitymai: kita</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 eilutė įterpta tik tam, kad būtų galima lanksčiau rengti informaciją. Ji pi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doma tik tais retais atvejais, kai nėra galutinio sprendimo tam tikrus kapitalo straipsnius / atskaitymus įtraukti į esamą CA1 formą. Todėl ši eilutė pildoma tik tada, kai CET1 kapitalo elementas arba atitinkamas CET1 elemento 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skaitymas negali būti įtrauktas į vieną iš 020–524 eilučių.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 laukelio negalima naudoti kapitalo straipsniams / atskaitymams, kuriems KRR netaikomas, įtraukti į mokumo koeficientų skaičiavimus (pvz., naci</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naliniams kapitalo straipsniams / atskaitymams, kuriems KRR netaikomas, įtraukti).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PAPILDOMAS 1 LYGIO KAPITALAS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61 straipsnis.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Kapitalo priemonės, atitinkančios AT1 kapitalo reikalavimus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51 straipsnio a punktas, 52–54 straipsniai, 56 straipsnio a punktas ir 57 straipsnis.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Apmokėtos kapitalo priemonės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51 straipsnio a punktas ir 52–54 straipsniai.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w:t>
            </w:r>
            <w:r>
              <w:rPr>
                <w:rStyle w:val="FormatvorlageInstructionsTabelleText"/>
                <w:rFonts w:ascii="Times New Roman" w:hAnsi="Times New Roman"/>
                <w:sz w:val="24"/>
              </w:rPr>
              <w:t>a</w:t>
            </w:r>
            <w:r>
              <w:rPr>
                <w:rStyle w:val="FormatvorlageInstructionsTabelleText"/>
                <w:rFonts w:ascii="Times New Roman" w:hAnsi="Times New Roman"/>
                <w:sz w:val="24"/>
              </w:rPr>
              <w:t>mi.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Papildomas straipsnis: reikalavimų neatitinkančios kap</w:t>
            </w:r>
            <w:r>
              <w:rPr>
                <w:rStyle w:val="InstructionsTabelleberschrift"/>
                <w:rFonts w:ascii="Times New Roman" w:hAnsi="Times New Roman"/>
                <w:sz w:val="24"/>
              </w:rPr>
              <w:t>i</w:t>
            </w:r>
            <w:r>
              <w:rPr>
                <w:rStyle w:val="InstructionsTabelleberschrift"/>
                <w:rFonts w:ascii="Times New Roman" w:hAnsi="Times New Roman"/>
                <w:sz w:val="24"/>
              </w:rPr>
              <w:t>talo priemonės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52 straipsnio 1 dalies c, e ir f punktai.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Sąlygos, nurodytos tuose punktuose, atspindi įvairius kapitalo atvejus ir gali kisti, taigi gali būti, kad nurodoma suma vėlesniais laikotarpiais reikalav</w:t>
            </w:r>
            <w:r>
              <w:rPr>
                <w:rStyle w:val="FormatvorlageInstructionsTabelleText"/>
                <w:rFonts w:ascii="Times New Roman" w:hAnsi="Times New Roman"/>
                <w:sz w:val="24"/>
              </w:rPr>
              <w:t>i</w:t>
            </w:r>
            <w:r>
              <w:rPr>
                <w:rStyle w:val="FormatvorlageInstructionsTabelleText"/>
                <w:rFonts w:ascii="Times New Roman" w:hAnsi="Times New Roman"/>
                <w:sz w:val="24"/>
              </w:rPr>
              <w:t>mus atitiks.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w:t>
            </w:r>
            <w:r>
              <w:rPr>
                <w:rStyle w:val="FormatvorlageInstructionsTabelleText"/>
                <w:rFonts w:ascii="Times New Roman" w:hAnsi="Times New Roman"/>
                <w:sz w:val="24"/>
              </w:rPr>
              <w:t>a</w:t>
            </w:r>
            <w:r>
              <w:rPr>
                <w:rStyle w:val="FormatvorlageInstructionsTabelleText"/>
                <w:rFonts w:ascii="Times New Roman" w:hAnsi="Times New Roman"/>
                <w:sz w:val="24"/>
              </w:rPr>
              <w:t>mi.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Akcijų priedai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51 straipsnio b punktas.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Sąvokos „akcijų priedai“ reikšmė yra tokia pati, kaip apibrėžta taikomame apskaitos standarte.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nurodoma sumos dalis, susijusi su „Apmokėtomis kapitalo priemonėmis“.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Nuosavos AT1 priemonės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52 straipsnio 1 dalies b punktas, 56 straipsnio a punktas ir 57 straip</w:t>
            </w:r>
            <w:r>
              <w:rPr>
                <w:rStyle w:val="FormatvorlageInstructionsTabelleText"/>
                <w:rFonts w:ascii="Times New Roman" w:hAnsi="Times New Roman"/>
                <w:sz w:val="24"/>
              </w:rPr>
              <w:t>s</w:t>
            </w:r>
            <w:r>
              <w:rPr>
                <w:rStyle w:val="FormatvorlageInstructionsTabelleText"/>
                <w:rFonts w:ascii="Times New Roman" w:hAnsi="Times New Roman"/>
                <w:sz w:val="24"/>
              </w:rPr>
              <w:t>nis.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Informaciją teikiančios įstaigos arba grupės ataskaitinę dieną turimos nuos</w:t>
            </w:r>
            <w:r>
              <w:rPr>
                <w:rStyle w:val="FormatvorlageInstructionsTabelleText"/>
                <w:rFonts w:ascii="Times New Roman" w:hAnsi="Times New Roman"/>
                <w:sz w:val="24"/>
              </w:rPr>
              <w:t>a</w:t>
            </w:r>
            <w:r>
              <w:rPr>
                <w:rStyle w:val="FormatvorlageInstructionsTabelleText"/>
                <w:rFonts w:ascii="Times New Roman" w:hAnsi="Times New Roman"/>
                <w:sz w:val="24"/>
              </w:rPr>
              <w:t>vos AT1 priemonės. Taikomos KRR 57 straipsnyje numatytos išimtys.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akcijos, priskirtos prie „Reikalavimų neatitinkančių kapitalo pri</w:t>
            </w:r>
            <w:r>
              <w:rPr>
                <w:rStyle w:val="FormatvorlageInstructionsTabelleText"/>
                <w:rFonts w:ascii="Times New Roman" w:hAnsi="Times New Roman"/>
                <w:sz w:val="24"/>
              </w:rPr>
              <w:t>e</w:t>
            </w:r>
            <w:r>
              <w:rPr>
                <w:rStyle w:val="FormatvorlageInstructionsTabelleText"/>
                <w:rFonts w:ascii="Times New Roman" w:hAnsi="Times New Roman"/>
                <w:sz w:val="24"/>
              </w:rPr>
              <w:t>monių“, šioje eilutėje nenurodomos.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įskaičiuojami su nuosavomis akcijomis susiję akcijų pri</w:t>
            </w:r>
            <w:r>
              <w:rPr>
                <w:rStyle w:val="FormatvorlageInstructionsTabelleText"/>
                <w:rFonts w:ascii="Times New Roman" w:hAnsi="Times New Roman"/>
                <w:sz w:val="24"/>
              </w:rPr>
              <w:t>e</w:t>
            </w:r>
            <w:r>
              <w:rPr>
                <w:rStyle w:val="FormatvorlageInstructionsTabelleText"/>
                <w:rFonts w:ascii="Times New Roman" w:hAnsi="Times New Roman"/>
                <w:sz w:val="24"/>
              </w:rPr>
              <w:t>dai.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1.1.2.1.4–1.1.2.1.4.3 punktus neįtraukiami nei faktiniai, nei neapibrėžtieji įsipareigojimai pirkti nuosavas CET1 priemones. Faktiniai arba neapibrė</w:t>
            </w:r>
            <w:r>
              <w:rPr>
                <w:rStyle w:val="FormatvorlageInstructionsTabelleText"/>
                <w:rFonts w:ascii="Times New Roman" w:hAnsi="Times New Roman"/>
                <w:sz w:val="24"/>
              </w:rPr>
              <w:t>ž</w:t>
            </w:r>
            <w:r>
              <w:rPr>
                <w:rStyle w:val="FormatvorlageInstructionsTabelleText"/>
                <w:rFonts w:ascii="Times New Roman" w:hAnsi="Times New Roman"/>
                <w:sz w:val="24"/>
              </w:rPr>
              <w:t>tieji įsipareigojimai pirkti nuosavas AT1 priemones nurodomi atskirai 1.1.2.1.5 punkte.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Tiesiogiai turimos AT1 priemonės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114 punktas, 52 straipsnio 1 dalies b punktas, 56 straipsnio a punktas ir 57 straipsnis.</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Konsoliduotos grupės įstaigų turimos papildomos 1 lygio priemonės įtra</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kiamos į 1.1.2.1.1 punktą.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Netiesiogiai turimos AT1 priemonės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52 straipsnio 1 dalies b punkto ii papunktis, 56 straipsnio a punktas ir 57 straipsnis.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Dirbtinai turimos AT1 priemonės</w:t>
            </w:r>
          </w:p>
          <w:p w:rsidR="005643EA" w:rsidRPr="007E39E6" w:rsidRDefault="00805255" w:rsidP="00FD239F">
            <w:pPr>
              <w:pStyle w:val="InstructionsText"/>
              <w:rPr>
                <w:rStyle w:val="InstructionsTabelleberschrift"/>
                <w:rFonts w:ascii="Times New Roman" w:hAnsi="Times New Roman"/>
                <w:b w:val="0"/>
                <w:bCs w:val="0"/>
                <w:sz w:val="24"/>
                <w:u w:val="none"/>
              </w:rPr>
            </w:pPr>
            <w:r>
              <w:t>KRR 4 straipsnio 1 dalies 126 punktas, 52 straipsnio 1 dalies b punktas, 56 straipsnio a punktas ir 57 straipsnis.</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Faktiniai arba neapibrėžtieji įsipareigojimai pirkti nuosavas AT1 priemones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56 straipsnio a punktas ir 57 straipsnis.</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Pagal KRR 56 straipsnio a punktą</w:t>
            </w:r>
            <w:r>
              <w:t xml:space="preserve"> įstaigos nuosavos papildomos 1 lygio priemonės, kurias įstaiga galėtų būti įsipareigojusi pirkti pagal esamus suta</w:t>
            </w:r>
            <w:r>
              <w:t>r</w:t>
            </w:r>
            <w:r>
              <w:t>tinius įsipareigojimus, yra atskaitomos.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Pereinamojo laikotarpio koregavimai dėl AT1 kapitalo priem</w:t>
            </w:r>
            <w:r>
              <w:rPr>
                <w:rStyle w:val="InstructionsTabelleberschrift"/>
                <w:rFonts w:ascii="Times New Roman" w:hAnsi="Times New Roman"/>
                <w:sz w:val="24"/>
              </w:rPr>
              <w:t>o</w:t>
            </w:r>
            <w:r>
              <w:rPr>
                <w:rStyle w:val="InstructionsTabelleberschrift"/>
                <w:rFonts w:ascii="Times New Roman" w:hAnsi="Times New Roman"/>
                <w:sz w:val="24"/>
              </w:rPr>
              <w:t>nių, kurioms taikomas tęstinumo principas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483 straipsnio 4 ir 5 dalys, 484–487, 489 ir 491 straipsniai.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priemonių, pereinamuoju laikotarpiu likusių galioti kaip AT1, s</w:t>
            </w:r>
            <w:r>
              <w:rPr>
                <w:rStyle w:val="FormatvorlageInstructionsTabelleText"/>
                <w:rFonts w:ascii="Times New Roman" w:hAnsi="Times New Roman"/>
                <w:sz w:val="24"/>
              </w:rPr>
              <w:t>u</w:t>
            </w:r>
            <w:r>
              <w:rPr>
                <w:rStyle w:val="FormatvorlageInstructionsTabelleText"/>
                <w:rFonts w:ascii="Times New Roman" w:hAnsi="Times New Roman"/>
                <w:sz w:val="24"/>
              </w:rPr>
              <w:lastRenderedPageBreak/>
              <w:t>ma. Nurodoma suma yra tiesiogiai perkeliama iš CA5 formos.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Patronuojamųjų įmonių išleistos priemonės, pripažintos kaip AT1 kapitalas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83, 85 ir 86 straipsniai.</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patronuojamųjų įmonių kvalifikuotojo T1 kapitalo suma, įtraukiama į konsoliduotą AT1 kapitalą.</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Įtraukiamas specialiosios paskirties subjekto išleistas kvalifikuotasis AT1 kapitalas (KRR 83 straipsnis).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Pereinamojo laikotarpio koregavimai dėl papildomai AT1 kap</w:t>
            </w:r>
            <w:r>
              <w:rPr>
                <w:rStyle w:val="InstructionsTabelleberschrift"/>
                <w:rFonts w:ascii="Times New Roman" w:hAnsi="Times New Roman"/>
                <w:sz w:val="24"/>
              </w:rPr>
              <w:t>i</w:t>
            </w:r>
            <w:r>
              <w:rPr>
                <w:rStyle w:val="InstructionsTabelleberschrift"/>
                <w:rFonts w:ascii="Times New Roman" w:hAnsi="Times New Roman"/>
                <w:sz w:val="24"/>
              </w:rPr>
              <w:t>tale pripažįstamų patronuojamųjų įmonių išleistų priemonių</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480 straipsnis.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Kvalifikuotojo T1 kapitalo, įtraukto į konsoliduotą AT1 kapitalą, koregav</w:t>
            </w:r>
            <w:r>
              <w:rPr>
                <w:rStyle w:val="FormatvorlageInstructionsTabelleText"/>
                <w:rFonts w:ascii="Times New Roman" w:hAnsi="Times New Roman"/>
                <w:sz w:val="24"/>
              </w:rPr>
              <w:t>i</w:t>
            </w:r>
            <w:r>
              <w:rPr>
                <w:rStyle w:val="FormatvorlageInstructionsTabelleText"/>
                <w:rFonts w:ascii="Times New Roman" w:hAnsi="Times New Roman"/>
                <w:sz w:val="24"/>
              </w:rPr>
              <w:t>mai dėl pereinamojo laikotarpio nuostatų. Šis straipsnis tiesiogiai perkeli</w:t>
            </w:r>
            <w:r>
              <w:rPr>
                <w:rStyle w:val="FormatvorlageInstructionsTabelleText"/>
                <w:rFonts w:ascii="Times New Roman" w:hAnsi="Times New Roman"/>
                <w:sz w:val="24"/>
              </w:rPr>
              <w:t>a</w:t>
            </w:r>
            <w:r>
              <w:rPr>
                <w:rStyle w:val="FormatvorlageInstructionsTabelleText"/>
                <w:rFonts w:ascii="Times New Roman" w:hAnsi="Times New Roman"/>
                <w:sz w:val="24"/>
              </w:rPr>
              <w:t>mas iš CA5 formos.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Abipusė kryžminė AT1 kapitalo dalių nuosavybė</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122 punktas, 56 straipsnio b punktas ir 58 straip</w:t>
            </w:r>
            <w:r>
              <w:rPr>
                <w:rStyle w:val="FormatvorlageInstructionsTabelleText"/>
                <w:rFonts w:ascii="Times New Roman" w:hAnsi="Times New Roman"/>
                <w:sz w:val="24"/>
              </w:rPr>
              <w:t>s</w:t>
            </w:r>
            <w:r>
              <w:rPr>
                <w:rStyle w:val="FormatvorlageInstructionsTabelleText"/>
                <w:rFonts w:ascii="Times New Roman" w:hAnsi="Times New Roman"/>
                <w:sz w:val="24"/>
              </w:rPr>
              <w:t>nis.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finansų sektoriaus subjektų (apibrėžtų KRR 4 straipsnio 1 dalies 27 punkte), su kuriais turima abipusės kryžminės kapitalo dalių nuosavybės, AT1 priemonės, kurios, kompetentingos institucijos nuomone, buvo suku</w:t>
            </w:r>
            <w:r>
              <w:rPr>
                <w:rStyle w:val="FormatvorlageInstructionsTabelleText"/>
                <w:rFonts w:ascii="Times New Roman" w:hAnsi="Times New Roman"/>
                <w:sz w:val="24"/>
              </w:rPr>
              <w:t>r</w:t>
            </w:r>
            <w:r>
              <w:rPr>
                <w:rStyle w:val="FormatvorlageInstructionsTabelleText"/>
                <w:rFonts w:ascii="Times New Roman" w:hAnsi="Times New Roman"/>
                <w:sz w:val="24"/>
              </w:rPr>
              <w:t>tos siekiant dirbtinai padidinti įstaigos nuosavas lėšas.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apskaičiuojama pagal bendrąsias ilgąsias pozicijas, į ją turi būti įtraukti papildomų 1 lygio nuosavų lėšų draudimo straipsniai.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Finansų sektoriaus subjektų, kuriuose įstaiga neturi reik</w:t>
            </w:r>
            <w:r>
              <w:rPr>
                <w:rStyle w:val="InstructionsTabelleberschrift"/>
                <w:rFonts w:ascii="Times New Roman" w:hAnsi="Times New Roman"/>
                <w:sz w:val="24"/>
              </w:rPr>
              <w:t>š</w:t>
            </w:r>
            <w:r>
              <w:rPr>
                <w:rStyle w:val="InstructionsTabelleberschrift"/>
                <w:rFonts w:ascii="Times New Roman" w:hAnsi="Times New Roman"/>
                <w:sz w:val="24"/>
              </w:rPr>
              <w:t>mingų investicijų, AT1 priemonės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27 punktas, 56 straipsnio c punktas; 59, 60 ir 79 straipsniai.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turimų finansų sektoriaus subjektų (apibrėžtų KRR 4 straipsnio 1 dalies 27 punkte), kuriuose įstaiga neturi reikšmingų investicijų, priemonių dalis, kuri turi būti atskaityta iš AT1.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Finansų sektoriaus subjektų, kuriuose įstaiga turi reikšmingų investicijų, AT1 priemonės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27 punktas, 56 straipsnio d punktas, 59 ir 79 straipsniai</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turima finansų sektoriaus subjektų (apibrėžtų KRR 4 straipsnio 1 dalies 27 punkte), kuriuose įstaiga turi reikšmingų investicijų, AT1 priem</w:t>
            </w:r>
            <w:r>
              <w:rPr>
                <w:rStyle w:val="FormatvorlageInstructionsTabelleText"/>
                <w:rFonts w:ascii="Times New Roman" w:hAnsi="Times New Roman"/>
                <w:sz w:val="24"/>
              </w:rPr>
              <w:t>o</w:t>
            </w:r>
            <w:r>
              <w:rPr>
                <w:rStyle w:val="FormatvorlageInstructionsTabelleText"/>
                <w:rFonts w:ascii="Times New Roman" w:hAnsi="Times New Roman"/>
                <w:sz w:val="24"/>
              </w:rPr>
              <w:t>nių dalis yra atskaitoma visa.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Atskaitymai iš T2 straipsnių, viršijantys T2 kapitalą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56 straipsnio e punktas.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tiesiogiai perkeliama iš CA1 formos straipsnio „Atskait</w:t>
            </w:r>
            <w:r>
              <w:rPr>
                <w:rStyle w:val="FormatvorlageInstructionsTabelleText"/>
                <w:rFonts w:ascii="Times New Roman" w:hAnsi="Times New Roman"/>
                <w:sz w:val="24"/>
              </w:rPr>
              <w:t>y</w:t>
            </w:r>
            <w:r>
              <w:rPr>
                <w:rStyle w:val="FormatvorlageInstructionsTabelleText"/>
                <w:rFonts w:ascii="Times New Roman" w:hAnsi="Times New Roman"/>
                <w:sz w:val="24"/>
              </w:rPr>
              <w:t>mai iš T2 straipsnių, viršijantys T2 kapitalą (atskaitoma iš AT1)“.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Kiti AT1 kapitalo pereinamojo laikotarpio koregavimai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474, 475, 478 ir 481 straipsniai.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Koregavimai dėl pereinamojo laikotarpio nuostatų. Nurodoma suma yra ti</w:t>
            </w:r>
            <w:r>
              <w:rPr>
                <w:rStyle w:val="FormatvorlageInstructionsTabelleText"/>
                <w:rFonts w:ascii="Times New Roman" w:hAnsi="Times New Roman"/>
                <w:sz w:val="24"/>
              </w:rPr>
              <w:t>e</w:t>
            </w:r>
            <w:r>
              <w:rPr>
                <w:rStyle w:val="FormatvorlageInstructionsTabelleText"/>
                <w:rFonts w:ascii="Times New Roman" w:hAnsi="Times New Roman"/>
                <w:sz w:val="24"/>
              </w:rPr>
              <w:t>siogiai perkeliama iš CA5 formos.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Atskaitymai iš AT1 straipsnių, viršijantys AT1 kapitalą (atskaitoma iš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36 straipsnio 1 dalies j punktas.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Papildomo 1 lygio kapitalo reikšmė negali būti neigiama, bet gali būti, kad AT1 atskaitymai bus didesni už AT1 kapitalo ir susijusių akcijų priedų s</w:t>
            </w:r>
            <w:r>
              <w:rPr>
                <w:rStyle w:val="FormatvorlageInstructionsTabelleText"/>
                <w:rFonts w:ascii="Times New Roman" w:hAnsi="Times New Roman"/>
                <w:sz w:val="24"/>
              </w:rPr>
              <w:t>u</w:t>
            </w:r>
            <w:r>
              <w:rPr>
                <w:rStyle w:val="FormatvorlageInstructionsTabelleText"/>
                <w:rFonts w:ascii="Times New Roman" w:hAnsi="Times New Roman"/>
                <w:sz w:val="24"/>
              </w:rPr>
              <w:t>mą. Kai taip nutinka, AT1 turi būti prilyginamas nuliui, o jį viršijantys AT1 atskaitymai turi būti atlikti iš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Šiuo straipsniu užtikrinama, kad 1.1.2.1–1.1.2.12 punktų suma niekada n</w:t>
            </w:r>
            <w:r>
              <w:rPr>
                <w:rStyle w:val="FormatvorlageInstructionsTabelleText"/>
                <w:rFonts w:ascii="Times New Roman" w:hAnsi="Times New Roman"/>
                <w:sz w:val="24"/>
              </w:rPr>
              <w:t>e</w:t>
            </w:r>
            <w:r>
              <w:rPr>
                <w:rStyle w:val="FormatvorlageInstructionsTabelleText"/>
                <w:rFonts w:ascii="Times New Roman" w:hAnsi="Times New Roman"/>
                <w:sz w:val="24"/>
              </w:rPr>
              <w:t>būtų mažesnė už nulį. Jeigu šiame straipsnyje įrašomas teigiamas skaičius, 1.1.1.16 punkte įrašomas jam priešingas skaičius.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Papildomi atskaitymai iš AT1 kapitalo pagal KRR 3 straipsnį</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3 straipsnis.</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AT1 kapitalo elementai arba atskaitymai: kita</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 eilutė įterpta tik tam, kad būtų galima lanksčiau rengti informaciją. Ji pi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doma tik tais retais atvejais, kai nėra galutinio sprendimo tam tikrus kapitalo straipsnius / atskaitymus įtraukti į esamą CA1 formą. Todėl ši eilutė pildoma tik tada, kai AT1 kapitalo elementas arba atitinkamas AT1 elemento atska</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tymas negali būti įtrauktas į vieną iš 530–744 eilučių.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 laukelio negalima naudoti kapitalo straipsniams / atskaitymams, kuriems KRR netaikomas, įtraukti į mokumo koeficientų skaičiavimus (pvz., naci</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naliniams kapitalo straipsniams / atskaitymams, kuriems KRR netaikomas, įtraukti).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2 LYGIO KAPITALAS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71 straipsnis.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Kapitalo priemonės ir subordinuotosios paskolos, atitinkančios T2 kapitalo reikalavimus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62 straipsnio a punktas, 63–65 straipsniai, 66 straipsnio a punktas ir 67 straipsnis.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Apmokėtos kapitalo priemonės ir subordinuotosios paskolos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62 straipsnio a punktas, 63 ir 65 straipsniai.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w:t>
            </w:r>
            <w:r>
              <w:rPr>
                <w:rStyle w:val="FormatvorlageInstructionsTabelleText"/>
                <w:rFonts w:ascii="Times New Roman" w:hAnsi="Times New Roman"/>
                <w:sz w:val="24"/>
              </w:rPr>
              <w:t>a</w:t>
            </w:r>
            <w:r>
              <w:rPr>
                <w:rStyle w:val="FormatvorlageInstructionsTabelleText"/>
                <w:rFonts w:ascii="Times New Roman" w:hAnsi="Times New Roman"/>
                <w:sz w:val="24"/>
              </w:rPr>
              <w:t>mi.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Papildomas straipsnis: reikalavimų neatitinkančios kap</w:t>
            </w:r>
            <w:r>
              <w:rPr>
                <w:rStyle w:val="InstructionsTabelleberschrift"/>
                <w:rFonts w:ascii="Times New Roman" w:hAnsi="Times New Roman"/>
                <w:sz w:val="24"/>
              </w:rPr>
              <w:t>i</w:t>
            </w:r>
            <w:r>
              <w:rPr>
                <w:rStyle w:val="InstructionsTabelleberschrift"/>
                <w:rFonts w:ascii="Times New Roman" w:hAnsi="Times New Roman"/>
                <w:sz w:val="24"/>
              </w:rPr>
              <w:t>talo priemonės</w:t>
            </w:r>
            <w:r>
              <w:t xml:space="preserve"> </w:t>
            </w:r>
            <w:r>
              <w:rPr>
                <w:rStyle w:val="InstructionsTabelleberschrift"/>
                <w:rFonts w:ascii="Times New Roman" w:hAnsi="Times New Roman"/>
                <w:sz w:val="24"/>
              </w:rPr>
              <w:t>ir subordinuotosios paskolos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63 straipsnio c, e ir f punktai ir 64 straipsnis.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Sąlygos, nurodytos tuose punktuose, atspindi įvairius kapitalo atvejus ir gali </w:t>
            </w:r>
            <w:r>
              <w:rPr>
                <w:rStyle w:val="FormatvorlageInstructionsTabelleText"/>
                <w:rFonts w:ascii="Times New Roman" w:hAnsi="Times New Roman"/>
                <w:sz w:val="24"/>
              </w:rPr>
              <w:lastRenderedPageBreak/>
              <w:t>kisti, taigi gali būti, kad nurodoma suma vėlesniais laikotarpiais reikalav</w:t>
            </w:r>
            <w:r>
              <w:rPr>
                <w:rStyle w:val="FormatvorlageInstructionsTabelleText"/>
                <w:rFonts w:ascii="Times New Roman" w:hAnsi="Times New Roman"/>
                <w:sz w:val="24"/>
              </w:rPr>
              <w:t>i</w:t>
            </w:r>
            <w:r>
              <w:rPr>
                <w:rStyle w:val="FormatvorlageInstructionsTabelleText"/>
                <w:rFonts w:ascii="Times New Roman" w:hAnsi="Times New Roman"/>
                <w:sz w:val="24"/>
              </w:rPr>
              <w:t>mus atitiks.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w:t>
            </w:r>
            <w:r>
              <w:rPr>
                <w:rStyle w:val="FormatvorlageInstructionsTabelleText"/>
                <w:rFonts w:ascii="Times New Roman" w:hAnsi="Times New Roman"/>
                <w:sz w:val="24"/>
              </w:rPr>
              <w:t>a</w:t>
            </w:r>
            <w:r>
              <w:rPr>
                <w:rStyle w:val="FormatvorlageInstructionsTabelleText"/>
                <w:rFonts w:ascii="Times New Roman" w:hAnsi="Times New Roman"/>
                <w:sz w:val="24"/>
              </w:rPr>
              <w:t>mi.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Akcijų priedai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62 straipsnio b punktas ir 65 straipsnis.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Sąvokos „akcijų priedai“ reikšmė yra tokia pati, kaip apibrėžta taikomame apskaitos standarte.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nurodoma sumos dalis, susijusi su „Apmokėtomis kapitalo priemonėmis“.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Nuosavos T2 priemonės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63 straipsnio b punkto i papunktis, 66 straipsnio a punktas ir 67 straipsnis.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Informaciją teikiančios įstaigos arba grupės ataskaitinę dieną turimos nuos</w:t>
            </w:r>
            <w:r>
              <w:rPr>
                <w:rStyle w:val="FormatvorlageInstructionsTabelleText"/>
                <w:rFonts w:ascii="Times New Roman" w:hAnsi="Times New Roman"/>
                <w:sz w:val="24"/>
              </w:rPr>
              <w:t>a</w:t>
            </w:r>
            <w:r>
              <w:rPr>
                <w:rStyle w:val="FormatvorlageInstructionsTabelleText"/>
                <w:rFonts w:ascii="Times New Roman" w:hAnsi="Times New Roman"/>
                <w:sz w:val="24"/>
              </w:rPr>
              <w:t>vos T2 priemonės. Taikomos KRR 67 straipsnyje numatytos išimtys.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akcijos, priskirtos prie „Reikalavimų neatitinkančių kapitalo pri</w:t>
            </w:r>
            <w:r>
              <w:rPr>
                <w:rStyle w:val="FormatvorlageInstructionsTabelleText"/>
                <w:rFonts w:ascii="Times New Roman" w:hAnsi="Times New Roman"/>
                <w:sz w:val="24"/>
              </w:rPr>
              <w:t>e</w:t>
            </w:r>
            <w:r>
              <w:rPr>
                <w:rStyle w:val="FormatvorlageInstructionsTabelleText"/>
                <w:rFonts w:ascii="Times New Roman" w:hAnsi="Times New Roman"/>
                <w:sz w:val="24"/>
              </w:rPr>
              <w:t>monių“, šioje eilutėje nenurodomos.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įskaičiuojami su nuosavomis akcijomis susiję akcijų pri</w:t>
            </w:r>
            <w:r>
              <w:rPr>
                <w:rStyle w:val="FormatvorlageInstructionsTabelleText"/>
                <w:rFonts w:ascii="Times New Roman" w:hAnsi="Times New Roman"/>
                <w:sz w:val="24"/>
              </w:rPr>
              <w:t>e</w:t>
            </w:r>
            <w:r>
              <w:rPr>
                <w:rStyle w:val="FormatvorlageInstructionsTabelleText"/>
                <w:rFonts w:ascii="Times New Roman" w:hAnsi="Times New Roman"/>
                <w:sz w:val="24"/>
              </w:rPr>
              <w:t>dai.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1.2.1.4–1.2.1.4.3 punktus neįtraukiami nei faktiniai, nei neapibrėžtieji įs</w:t>
            </w:r>
            <w:r>
              <w:rPr>
                <w:rStyle w:val="FormatvorlageInstructionsTabelleText"/>
                <w:rFonts w:ascii="Times New Roman" w:hAnsi="Times New Roman"/>
                <w:sz w:val="24"/>
              </w:rPr>
              <w:t>i</w:t>
            </w:r>
            <w:r>
              <w:rPr>
                <w:rStyle w:val="FormatvorlageInstructionsTabelleText"/>
                <w:rFonts w:ascii="Times New Roman" w:hAnsi="Times New Roman"/>
                <w:sz w:val="24"/>
              </w:rPr>
              <w:t>pareigojimai pirkti nuosavas T2 priemones. Faktiniai arba neapibrėžtieji įs</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pareigojimai pirkti nuosavas </w:t>
            </w:r>
            <w:r>
              <w:rPr>
                <w:rStyle w:val="FormatvorlageInstructionsTabelleText"/>
                <w:rFonts w:ascii="Times New Roman" w:hAnsi="Times New Roman"/>
                <w:sz w:val="24"/>
              </w:rPr>
              <w:br/>
              <w:t>T2 priemones nurodomi atskirai 1.2.1.5 punkte.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Tiesiogiai turimos T2 priemonės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63 straipsnio b punktas, 66 straipsnio a punktas ir 67 straipsnis.</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Konsoliduotos grupės įstaigų turimos T2 priemonės, įtrauktos į 1.2.1.1 punktą.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Netiesiogiai turimos T2 priemonės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114 punktas, 63 straipsnio b punktas, 66 straipsnio a punktas ir 67 straipsnis.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Dirbtinai turimos T2 priemonės</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KRR 4 straipsnio 1 dalies 126 punktas, 63 straipsnio b punktas, 66 straipsnio a punktas ir 67 straipsnis.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Faktiniai arba neapibrėžtieji įsipareigojimai pirkti nuosavas T2 priemones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66 straipsnio a punktas ir 67 straipsnis.</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Pagal KRR 66 straipsnio a punktą</w:t>
            </w:r>
            <w:r>
              <w:t xml:space="preserve"> įstaigos nuosavos papildomos 2 lygio priemonės, kurias įstaiga galėtų būti įsipareigojusi pirkti pagal esamus suta</w:t>
            </w:r>
            <w:r>
              <w:t>r</w:t>
            </w:r>
            <w:r>
              <w:t>tinius įsipareigojimus, yra atskaitomos.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Pereinamojo laikotarpio koregavimai dėl T2 kapitalo priemonių </w:t>
            </w:r>
            <w:r>
              <w:rPr>
                <w:rStyle w:val="InstructionsTabelleberschrift"/>
                <w:rFonts w:ascii="Times New Roman" w:hAnsi="Times New Roman"/>
                <w:sz w:val="24"/>
              </w:rPr>
              <w:lastRenderedPageBreak/>
              <w:t>ir subordinuotųjų paskolų, kurioms taikomas tęstinumo principas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483 straipsnio 6 ir 7 dalys, 484, 486, 488, 490 ir 491 straipsniai.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priemonių, pereinamuoju laikotarpiu likusių galioti kaip T2, suma. Nurodoma suma yra tiesiogiai perkeliama iš CA5 formos.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Patronuojamųjų įmonių išleistos priemonės, pripažintos kaip T2 kapitalas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83, 87 ir 88 straipsniai.</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patronuojamųjų įmonių kvalifikuotųjų nuosavų lėšų suma, įtraukta į konsoliduotą T2 kapitalą.</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Įtraukiamas specialiosios paskirties subjekto išleistas kvalifikuotasis 2 lygio kapitalas (KRR 83 straipsnis).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Pereinamojo laikotarpio koregavimai dėl papildomai T2 kapitale pripažįstamų patronuojamųjų įmonių išleistų priemonių</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480 straipsnis.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Kvalifikuotųjų nuosavų lėšų, įtrauktų į konsoliduotą T2 kapitalą, koregav</w:t>
            </w:r>
            <w:r>
              <w:rPr>
                <w:rStyle w:val="FormatvorlageInstructionsTabelleText"/>
                <w:rFonts w:ascii="Times New Roman" w:hAnsi="Times New Roman"/>
                <w:sz w:val="24"/>
              </w:rPr>
              <w:t>i</w:t>
            </w:r>
            <w:r>
              <w:rPr>
                <w:rStyle w:val="FormatvorlageInstructionsTabelleText"/>
                <w:rFonts w:ascii="Times New Roman" w:hAnsi="Times New Roman"/>
                <w:sz w:val="24"/>
              </w:rPr>
              <w:t>mai dėl pereinamojo laikotarpio nuostatų. Šis straipsnis tiesiogiai perkeli</w:t>
            </w:r>
            <w:r>
              <w:rPr>
                <w:rStyle w:val="FormatvorlageInstructionsTabelleText"/>
                <w:rFonts w:ascii="Times New Roman" w:hAnsi="Times New Roman"/>
                <w:sz w:val="24"/>
              </w:rPr>
              <w:t>a</w:t>
            </w:r>
            <w:r>
              <w:rPr>
                <w:rStyle w:val="FormatvorlageInstructionsTabelleText"/>
                <w:rFonts w:ascii="Times New Roman" w:hAnsi="Times New Roman"/>
                <w:sz w:val="24"/>
              </w:rPr>
              <w:t>mas iš CA5 formos.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Atidėjinių pagal IRB metodą perviršis, atsižvelgiant į reikalav</w:t>
            </w:r>
            <w:r>
              <w:rPr>
                <w:rStyle w:val="InstructionsTabelleberschrift"/>
                <w:rFonts w:ascii="Times New Roman" w:hAnsi="Times New Roman"/>
                <w:sz w:val="24"/>
              </w:rPr>
              <w:t>i</w:t>
            </w:r>
            <w:r>
              <w:rPr>
                <w:rStyle w:val="InstructionsTabelleberschrift"/>
                <w:rFonts w:ascii="Times New Roman" w:hAnsi="Times New Roman"/>
                <w:sz w:val="24"/>
              </w:rPr>
              <w:t>mus atitinkančius tikėtinus nuostolius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62 straipsnio d punktas.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Kai įstaigos pagal riziką įvertintų pozicijų sumas apskaičiuoja pagal IRB metodą, šį straipsnį sudaro teigiamos reikšmės, gautos palyginus atidėjinius ir tikėtinus nuostolius, kurie atitinka T2 kapitalo reikalavimus.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Bendrosios kredito rizikos koregavimai pagal SA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62 straipsnio c punktas.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Kai įstaigos pagal riziką įvertintų pozicijų sumas apskaičiuoja pagal standa</w:t>
            </w:r>
            <w:r>
              <w:rPr>
                <w:rStyle w:val="FormatvorlageInstructionsTabelleText"/>
                <w:rFonts w:ascii="Times New Roman" w:hAnsi="Times New Roman"/>
                <w:sz w:val="24"/>
              </w:rPr>
              <w:t>r</w:t>
            </w:r>
            <w:r>
              <w:rPr>
                <w:rStyle w:val="FormatvorlageInstructionsTabelleText"/>
                <w:rFonts w:ascii="Times New Roman" w:hAnsi="Times New Roman"/>
                <w:sz w:val="24"/>
              </w:rPr>
              <w:t>tizuotą metodą, šį straipsnį sudaro bendrosios kredito rizikos koregavimai, atitinkantys T2 kapitalo reikalavimus.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Abipusė kryžminė T2 kapitalo dalių nuosavybė</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122 punktas, 66 straipsnio b punktas ir 68 straip</w:t>
            </w:r>
            <w:r>
              <w:rPr>
                <w:rStyle w:val="FormatvorlageInstructionsTabelleText"/>
                <w:rFonts w:ascii="Times New Roman" w:hAnsi="Times New Roman"/>
                <w:sz w:val="24"/>
              </w:rPr>
              <w:t>s</w:t>
            </w:r>
            <w:r>
              <w:rPr>
                <w:rStyle w:val="FormatvorlageInstructionsTabelleText"/>
                <w:rFonts w:ascii="Times New Roman" w:hAnsi="Times New Roman"/>
                <w:sz w:val="24"/>
              </w:rPr>
              <w:t>nis.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finansų sektoriaus subjektų (apibrėžtų KRR 4 straipsnio 1 dalies 27 punkte), su kuriais turima abipusės kryžminės nuosavybės, T2 priemonės, kurios, kompetentingos institucijos nuomone, buvo sukurtos siekiant dirbt</w:t>
            </w:r>
            <w:r>
              <w:rPr>
                <w:rStyle w:val="FormatvorlageInstructionsTabelleText"/>
                <w:rFonts w:ascii="Times New Roman" w:hAnsi="Times New Roman"/>
                <w:sz w:val="24"/>
              </w:rPr>
              <w:t>i</w:t>
            </w:r>
            <w:r>
              <w:rPr>
                <w:rStyle w:val="FormatvorlageInstructionsTabelleText"/>
                <w:rFonts w:ascii="Times New Roman" w:hAnsi="Times New Roman"/>
                <w:sz w:val="24"/>
              </w:rPr>
              <w:t>nai padidinti įstaigos nuosavas lėšas.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turi būti apskaičiuota pagal bendrąsias ilgąsias pozicijas, į ją turi būti įtraukti 2 ir 3 lygių nuosavų lėšų draudimo straipsniai.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Finansų sektoriaus subjektų, kuriuose įstaiga neturi reik</w:t>
            </w:r>
            <w:r>
              <w:rPr>
                <w:rStyle w:val="InstructionsTabelleberschrift"/>
                <w:rFonts w:ascii="Times New Roman" w:hAnsi="Times New Roman"/>
                <w:sz w:val="24"/>
              </w:rPr>
              <w:t>š</w:t>
            </w:r>
            <w:r>
              <w:rPr>
                <w:rStyle w:val="InstructionsTabelleberschrift"/>
                <w:rFonts w:ascii="Times New Roman" w:hAnsi="Times New Roman"/>
                <w:sz w:val="24"/>
              </w:rPr>
              <w:t>mingų investicijų, T2 priemonės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KRR 4 straipsnio 1 dalies 27 punktas, 66 straipsnio c punktas, 68–70 ir 79 </w:t>
            </w:r>
            <w:r>
              <w:rPr>
                <w:rStyle w:val="FormatvorlageInstructionsTabelleText"/>
                <w:rFonts w:ascii="Times New Roman" w:hAnsi="Times New Roman"/>
                <w:sz w:val="24"/>
              </w:rPr>
              <w:lastRenderedPageBreak/>
              <w:t>straipsniai.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turimų finansų sektoriaus subjektų (apibrėžtų KRR 4 straipsnio 1 dalies 27 punkte), kuriuose įstaiga neturi reikšmingų investicijų, priemonių dalis, kuri turi būti atskaityta iš T2.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Finansų sektoriaus subjektų, kuriuose įstaiga turi reikšmingų investicijų, T2 priemonės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27 punktas, 66 straipsnio d punktas, 68, 69 ir 79 straipsniai.</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turimos finansų sektoriaus subjektų (apibrėžtų KRR 4 straipsnio 1 dalies 27 punkte), kuriuose įstaiga turi reikšmingų investicijų, T2 priemonės yra atskaitomos visos.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Kiti T2 kapitalo pereinamojo laikotarpio koregavimai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476–478 ir 481 straipsniai.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Koregavimai dėl pereinamojo laikotarpio nuostatų. Nurodoma suma yra ti</w:t>
            </w:r>
            <w:r>
              <w:rPr>
                <w:rStyle w:val="FormatvorlageInstructionsTabelleText"/>
                <w:rFonts w:ascii="Times New Roman" w:hAnsi="Times New Roman"/>
                <w:sz w:val="24"/>
              </w:rPr>
              <w:t>e</w:t>
            </w:r>
            <w:r>
              <w:rPr>
                <w:rStyle w:val="FormatvorlageInstructionsTabelleText"/>
                <w:rFonts w:ascii="Times New Roman" w:hAnsi="Times New Roman"/>
                <w:sz w:val="24"/>
              </w:rPr>
              <w:t>siogiai perkeliama iš CA5 formos.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Atskaitymai iš T2 straipsnių, viršijantys T2 kapitalą (atskaitoma iš AT1)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56 straipsnio e punktas.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 lygio kapitalo reikšmė negali būti neigiama, bet gali būti, kad T2 atskait</w:t>
            </w:r>
            <w:r>
              <w:rPr>
                <w:rStyle w:val="FormatvorlageInstructionsTabelleText"/>
                <w:rFonts w:ascii="Times New Roman" w:hAnsi="Times New Roman"/>
                <w:sz w:val="24"/>
              </w:rPr>
              <w:t>y</w:t>
            </w:r>
            <w:r>
              <w:rPr>
                <w:rStyle w:val="FormatvorlageInstructionsTabelleText"/>
                <w:rFonts w:ascii="Times New Roman" w:hAnsi="Times New Roman"/>
                <w:sz w:val="24"/>
              </w:rPr>
              <w:t>mai bus didesni už T2 kapitalo ir susijusių akcijų priedų sumą. Kai taip n</w:t>
            </w:r>
            <w:r>
              <w:rPr>
                <w:rStyle w:val="FormatvorlageInstructionsTabelleText"/>
                <w:rFonts w:ascii="Times New Roman" w:hAnsi="Times New Roman"/>
                <w:sz w:val="24"/>
              </w:rPr>
              <w:t>u</w:t>
            </w:r>
            <w:r>
              <w:rPr>
                <w:rStyle w:val="FormatvorlageInstructionsTabelleText"/>
                <w:rFonts w:ascii="Times New Roman" w:hAnsi="Times New Roman"/>
                <w:sz w:val="24"/>
              </w:rPr>
              <w:t>tinka, T2 prilyginamas nuliui, o jį viršijantys T2 atskaitymai atliekami iš AT1.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Šiuo straipsniu užtikrinama, kad 1.2.1–1.2.13 punktų suma niekada nebūtų mažesnė už nulį. Jeigu šiame straipsnyje įrašomas teigiamas skaičius, 1.1.2.8 punkte įrašomas jam priešingas skaičius.</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Papildomi atskaitymai iš T2 kapitalo pagal KRR 3 straipsnį</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3 straipsnis.</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T2 kapitalo elementai arba atskaitymai: kita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 eilutė įterpta tik tam, kad būtų galima lanksčiau rengti informaciją. Ji pi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doma tik tais retais atvejais, kai nėra galutinio sprendimo tam tikrus kapitalo straipsnius / atskaitymus įtraukti į esamą CA1 formą. Todėl ši eilutė pildoma tik tada, kai T2 kapitalo elementas arba atitinkamas T2 kapitalo elemento 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skaitymas negali būti įtrauktas į vieną iš 750–974 eilučių.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 laukelio negalima naudoti kapitalo straipsniams / atskaitymams, kuriems KRR netaikomas, įtraukti į mokumo koeficientų skaičiavimus (pvz., naci</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naliniams kapitalo straipsniams / atskaitymams, kuriems KRR netaikomas, įtraukti).</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3" w:name="_Toc516210610"/>
      <w:bookmarkStart w:id="54" w:name="_Toc473560875"/>
      <w:bookmarkStart w:id="55" w:name="_Toc308175823"/>
      <w:bookmarkStart w:id="56" w:name="_Toc360188327"/>
      <w:bookmarkStart w:id="57" w:name="_Toc524010018"/>
      <w:r>
        <w:rPr>
          <w:rFonts w:ascii="Times New Roman" w:hAnsi="Times New Roman"/>
          <w:sz w:val="24"/>
          <w:u w:val="none"/>
        </w:rPr>
        <w:lastRenderedPageBreak/>
        <w:t>1.3.</w:t>
      </w:r>
      <w:r>
        <w:tab/>
      </w:r>
      <w:r>
        <w:rPr>
          <w:rFonts w:ascii="Times New Roman" w:hAnsi="Times New Roman"/>
          <w:sz w:val="24"/>
        </w:rPr>
        <w:t>C 02.00. NUOSAVŲ LĖŠŲ REIKALAVIMAI (CA2)</w:t>
      </w:r>
      <w:bookmarkEnd w:id="53"/>
      <w:bookmarkEnd w:id="54"/>
      <w:bookmarkEnd w:id="57"/>
      <w:r>
        <w:rPr>
          <w:rFonts w:ascii="Times New Roman" w:hAnsi="Times New Roman"/>
          <w:sz w:val="24"/>
        </w:rPr>
        <w:t xml:space="preserve"> </w:t>
      </w:r>
      <w:bookmarkEnd w:id="55"/>
      <w:bookmarkEnd w:id="5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8" w:name="_Toc308175824"/>
      <w:bookmarkStart w:id="59" w:name="_Toc310414970"/>
      <w:bookmarkStart w:id="60" w:name="_Toc360188328"/>
      <w:bookmarkStart w:id="61" w:name="_Toc516210611"/>
      <w:bookmarkStart w:id="62" w:name="_Toc473560876"/>
      <w:bookmarkStart w:id="63" w:name="_Toc524010019"/>
      <w:r>
        <w:rPr>
          <w:rFonts w:ascii="Times New Roman" w:hAnsi="Times New Roman"/>
          <w:sz w:val="24"/>
          <w:u w:val="none"/>
        </w:rPr>
        <w:t>1.3.1.</w:t>
      </w:r>
      <w:r>
        <w:tab/>
      </w:r>
      <w:r>
        <w:rPr>
          <w:rFonts w:ascii="Times New Roman" w:hAnsi="Times New Roman"/>
          <w:sz w:val="24"/>
        </w:rPr>
        <w:t>Nurodymai dėl konkrečių</w:t>
      </w:r>
      <w:bookmarkEnd w:id="58"/>
      <w:bookmarkEnd w:id="59"/>
      <w:r>
        <w:rPr>
          <w:rFonts w:ascii="Times New Roman" w:hAnsi="Times New Roman"/>
          <w:sz w:val="24"/>
        </w:rPr>
        <w:t xml:space="preserve"> pozicijų</w:t>
      </w:r>
      <w:bookmarkEnd w:id="60"/>
      <w:bookmarkEnd w:id="61"/>
      <w:bookmarkEnd w:id="62"/>
      <w:bookmarkEnd w:id="63"/>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Eilutė</w:t>
            </w:r>
          </w:p>
        </w:tc>
        <w:tc>
          <w:tcPr>
            <w:tcW w:w="7274" w:type="dxa"/>
            <w:shd w:val="clear" w:color="auto" w:fill="D9D9D9"/>
          </w:tcPr>
          <w:p w:rsidR="005643EA" w:rsidRPr="00392FFD" w:rsidRDefault="002648B0" w:rsidP="00FD239F">
            <w:pPr>
              <w:pStyle w:val="InstructionsText"/>
            </w:pPr>
            <w:r>
              <w:t>Nuorodos į teisės aktus ir nurodymai</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BENDRA RIZIKOS POZICIJOS SUMA</w:t>
            </w:r>
          </w:p>
          <w:p w:rsidR="002648B0" w:rsidRPr="00392FFD" w:rsidRDefault="002648B0" w:rsidP="00FD239F">
            <w:pPr>
              <w:pStyle w:val="InstructionsText"/>
            </w:pPr>
            <w:r>
              <w:t>KRR 92 straipsnio 3 dalis, 95, 96 ir 98 straipsniai.</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iš jos: investicinėms įmonėms pagal KRR 95 straipsnio 2 dalį ir 98 straipsnį</w:t>
            </w:r>
          </w:p>
          <w:p w:rsidR="005643EA" w:rsidRPr="00392FFD" w:rsidRDefault="002648B0" w:rsidP="00FD239F">
            <w:pPr>
              <w:pStyle w:val="InstructionsText"/>
            </w:pPr>
            <w:r>
              <w:t xml:space="preserve">Investicinėms įmonėms pagal KRR 95 straipsnio </w:t>
            </w:r>
            <w:r>
              <w:rPr>
                <w:rStyle w:val="FormatvorlageInstructionsTabelleText"/>
                <w:rFonts w:ascii="Times New Roman" w:hAnsi="Times New Roman"/>
                <w:sz w:val="24"/>
              </w:rPr>
              <w:t xml:space="preserve">2 </w:t>
            </w:r>
            <w:r>
              <w:t>dalį ir 98 straipsnį.</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iš jos: investicinėms įmonėms pagal KRR 96 straipsnio 2 dalį ir 97 straipsnį</w:t>
            </w:r>
          </w:p>
          <w:p w:rsidR="005643EA" w:rsidRPr="00392FFD" w:rsidRDefault="002648B0" w:rsidP="00FD239F">
            <w:pPr>
              <w:pStyle w:val="InstructionsText"/>
            </w:pPr>
            <w:r>
              <w:t xml:space="preserve">Investicinėms įmonėms pagal KRR 96 straipsnio </w:t>
            </w:r>
            <w:r>
              <w:rPr>
                <w:rStyle w:val="FormatvorlageInstructionsTabelleText"/>
                <w:rFonts w:ascii="Times New Roman" w:hAnsi="Times New Roman"/>
                <w:sz w:val="24"/>
              </w:rPr>
              <w:t xml:space="preserve">2 </w:t>
            </w:r>
            <w:r>
              <w:t>dalį ir 97 straipsnį.</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PAGAL KREDITO RIZIKĄ, SANDORIO ŠALIES KRED</w:t>
            </w:r>
            <w:r>
              <w:rPr>
                <w:rStyle w:val="InstructionsTabelleberschrift"/>
                <w:rFonts w:ascii="Times New Roman" w:hAnsi="Times New Roman"/>
                <w:sz w:val="24"/>
              </w:rPr>
              <w:t>I</w:t>
            </w:r>
            <w:r>
              <w:rPr>
                <w:rStyle w:val="InstructionsTabelleberschrift"/>
                <w:rFonts w:ascii="Times New Roman" w:hAnsi="Times New Roman"/>
                <w:sz w:val="24"/>
              </w:rPr>
              <w:t>TO RIZIKĄ, GAUTINŲ SUMŲ SUMAŽĖJIMO RIZIKĄ IR SU NEBAIGTAIS SANDORIAIS SUSIJUSIĄ RIZIKĄ ĮVERTINTŲ POZICIJŲ SUMOS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92 straipsnio 3 dalies a ir f punktai.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Standartizuotas metodas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ir SEC SA formos bendrų pozicijų sumų lygmeniu.</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Pozicijų klasės pagal standartizuotą metodą, išskyrus pake</w:t>
            </w:r>
            <w:r>
              <w:rPr>
                <w:rStyle w:val="InstructionsTabelleberschrift"/>
                <w:rFonts w:ascii="Times New Roman" w:hAnsi="Times New Roman"/>
                <w:sz w:val="24"/>
              </w:rPr>
              <w:t>i</w:t>
            </w:r>
            <w:r>
              <w:rPr>
                <w:rStyle w:val="InstructionsTabelleberschrift"/>
                <w:rFonts w:ascii="Times New Roman" w:hAnsi="Times New Roman"/>
                <w:sz w:val="24"/>
              </w:rPr>
              <w:t>timo vertybiniais popieriais pozicijas</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CR SA forma bendrų pozicijų sumų lygmeniu. Pozicijų klasės pagal SA metodą</w:t>
            </w:r>
            <w:r>
              <w:t xml:space="preserve"> </w:t>
            </w:r>
            <w:r>
              <w:rPr>
                <w:rStyle w:val="InstructionsTabelleberschrift"/>
                <w:rFonts w:ascii="Times New Roman" w:hAnsi="Times New Roman"/>
                <w:b w:val="0"/>
                <w:sz w:val="24"/>
                <w:u w:val="none"/>
              </w:rPr>
              <w:t>– tai</w:t>
            </w:r>
            <w:r>
              <w:t xml:space="preserve"> </w:t>
            </w:r>
            <w:r>
              <w:rPr>
                <w:rStyle w:val="FormatvorlageInstructionsTabelleText"/>
                <w:rFonts w:ascii="Times New Roman" w:hAnsi="Times New Roman"/>
                <w:sz w:val="24"/>
              </w:rPr>
              <w:t>KRR 112 straipsnyje išvardytos pozicijų klasės, išskyrus pakeitimo vertybiniais popieriais pozicijas.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Centrinės valdžios arba centrinių bankų pozicijos</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Regioninės arba vietos valdžios institucijų pozicijos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Viešojo sektoriaus subjektų pozicijos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Daugiašalių plėtros bankų pozicijos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Žr. CR SA formą.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Tarptautinių organizacijų pozicijos</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Įstaigų pozicijos</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Įmonių pozicijos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Žr. CR SA formą.</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Mažmeninės pozicijos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Nekilnojamojo turto hipoteka užtikrintos pozicijos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Pozicijos esant įsipareigojimų neįvykdymui</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Pozicijos, susijusios su ypač didele rizika</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Padengtųjų obligacijų pozicijos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Trumpalaikį kredito rizikos vertinimą turinčių įstaigų ir įmonių pozicijos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Pozicijos, kurias sudaro kolektyvinio investavimo su</w:t>
            </w:r>
            <w:r>
              <w:rPr>
                <w:rStyle w:val="InstructionsTabelleberschrift"/>
                <w:rFonts w:ascii="Times New Roman" w:hAnsi="Times New Roman"/>
                <w:sz w:val="24"/>
              </w:rPr>
              <w:t>b</w:t>
            </w:r>
            <w:r>
              <w:rPr>
                <w:rStyle w:val="InstructionsTabelleberschrift"/>
                <w:rFonts w:ascii="Times New Roman" w:hAnsi="Times New Roman"/>
                <w:sz w:val="24"/>
              </w:rPr>
              <w:t>jektų (KIS) investiciniai vienetai arba akcijos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Nuosavybės vertybinių popierių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Kitos pozicijos</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Žr. CR SA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Pakeitimo vertybiniais popieriais pozicijos pagal standart</w:t>
            </w:r>
            <w:r>
              <w:rPr>
                <w:rStyle w:val="InstructionsTabelleberschrift"/>
                <w:rFonts w:ascii="Times New Roman" w:hAnsi="Times New Roman"/>
                <w:sz w:val="24"/>
              </w:rPr>
              <w:t>i</w:t>
            </w:r>
            <w:r>
              <w:rPr>
                <w:rStyle w:val="InstructionsTabelleberschrift"/>
                <w:rFonts w:ascii="Times New Roman" w:hAnsi="Times New Roman"/>
                <w:sz w:val="24"/>
              </w:rPr>
              <w:t xml:space="preserve">zuotą metodą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SA forma bendros pakeitimo vertybiniais popieriais rūšių s</w:t>
            </w:r>
            <w:r>
              <w:rPr>
                <w:rStyle w:val="FormatvorlageInstructionsTabelleText"/>
                <w:rFonts w:ascii="Times New Roman" w:hAnsi="Times New Roman"/>
                <w:sz w:val="24"/>
              </w:rPr>
              <w:t>u</w:t>
            </w:r>
            <w:r>
              <w:rPr>
                <w:rStyle w:val="FormatvorlageInstructionsTabelleText"/>
                <w:rFonts w:ascii="Times New Roman" w:hAnsi="Times New Roman"/>
                <w:sz w:val="24"/>
              </w:rPr>
              <w:t>mos lygmeniu.</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Iš jų: pakartotinio pakeitimo vertybiniais popieriais pozicijos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SA forma bendros pakeitimo vertybiniais popieriais rūšių s</w:t>
            </w:r>
            <w:r>
              <w:rPr>
                <w:rStyle w:val="FormatvorlageInstructionsTabelleText"/>
                <w:rFonts w:ascii="Times New Roman" w:hAnsi="Times New Roman"/>
                <w:sz w:val="24"/>
              </w:rPr>
              <w:t>u</w:t>
            </w:r>
            <w:r>
              <w:rPr>
                <w:rStyle w:val="FormatvorlageInstructionsTabelleText"/>
                <w:rFonts w:ascii="Times New Roman" w:hAnsi="Times New Roman"/>
                <w:sz w:val="24"/>
              </w:rPr>
              <w:t>mos lygmeniu.</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Vidaus reitingais pagrįstas metodas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 metodai, kai nenaudojami nei pačios įstaigos apskaičiuoti LGD įverčiai, nei perskaičiavimo koeficientai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IRB forma bendros pozicijų sumos lygmeniu (kai nenaudojami nei pačios įstaigos apskaičiuoti LGD įverčiai, nei perskaičiavimo koeficie</w:t>
            </w:r>
            <w:r>
              <w:rPr>
                <w:rStyle w:val="FormatvorlageInstructionsTabelleText"/>
                <w:rFonts w:ascii="Times New Roman" w:hAnsi="Times New Roman"/>
                <w:sz w:val="24"/>
              </w:rPr>
              <w:t>n</w:t>
            </w:r>
            <w:r>
              <w:rPr>
                <w:rStyle w:val="FormatvorlageInstructionsTabelleText"/>
                <w:rFonts w:ascii="Times New Roman" w:hAnsi="Times New Roman"/>
                <w:sz w:val="24"/>
              </w:rPr>
              <w:t>tai).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Centrinės valdžios ir centrinių bankų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Įstaigų pozicijos</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Įmonių pozicijos: MVĮ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Įmonių pozicijos: specializuoto skolinimo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Žr. CR IRB formą.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Įmonių pozicijos: kitos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 metodai, kai naudojami pačios įstaigos apskaičiuoti LGD įverčiai ir (arba) perskaičiavimo koeficientas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IRB forma bendros pozicijų sumos lygmeniu (kai naudojami pačios įstaigos apskaičiuoti LGD įverčiai ir (arba) perskaičiavimo koeficientai).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Centrinės valdžios ir centrinių bankų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Įstaigų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Žr. CR IRB formą.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Įmonių pozicijos: MVĮ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Įmonių pozicijos: specializuoto skolinimo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Įmonių pozicijos: kitos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Mažmeninės pozicijos: užtikrintos nekilnojamuoju turtu MVĮ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Mažmeninės pozicijos: užtikrintos nekilnojamuoju turtu ne MVĮ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Mažmeninės pozicijos: reikalavimus atitinkančios a</w:t>
            </w:r>
            <w:r>
              <w:rPr>
                <w:rStyle w:val="InstructionsTabelleberschrift"/>
                <w:rFonts w:ascii="Times New Roman" w:hAnsi="Times New Roman"/>
                <w:sz w:val="24"/>
              </w:rPr>
              <w:t>t</w:t>
            </w:r>
            <w:r>
              <w:rPr>
                <w:rStyle w:val="InstructionsTabelleberschrift"/>
                <w:rFonts w:ascii="Times New Roman" w:hAnsi="Times New Roman"/>
                <w:sz w:val="24"/>
              </w:rPr>
              <w:t>naujinamosios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Mažmeninės pozicijos: kitos MVĮ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Mažmeninės pozicijos: kitos ne MVĮ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Nuosavybės vertybinių popierių pozicijos pagal IRB metodą</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Žr. CR EQU IRB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Pakeitimo vertybiniais popieriais pozicijos pagal IRB metodą</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IRB forma bendros pakeitimo vertybiniais popieriais rūšių s</w:t>
            </w:r>
            <w:r>
              <w:rPr>
                <w:rStyle w:val="FormatvorlageInstructionsTabelleText"/>
                <w:rFonts w:ascii="Times New Roman" w:hAnsi="Times New Roman"/>
                <w:sz w:val="24"/>
              </w:rPr>
              <w:t>u</w:t>
            </w:r>
            <w:r>
              <w:rPr>
                <w:rStyle w:val="FormatvorlageInstructionsTabelleText"/>
                <w:rFonts w:ascii="Times New Roman" w:hAnsi="Times New Roman"/>
                <w:sz w:val="24"/>
              </w:rPr>
              <w:t>mos lygmeniu.</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iš jų: pakartotinio pakeitimo vertybiniais popieriais pozicijos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IRB forma bendros pakeitimo vertybiniais popieriais rūšių s</w:t>
            </w:r>
            <w:r>
              <w:rPr>
                <w:rStyle w:val="FormatvorlageInstructionsTabelleText"/>
                <w:rFonts w:ascii="Times New Roman" w:hAnsi="Times New Roman"/>
                <w:sz w:val="24"/>
              </w:rPr>
              <w:t>u</w:t>
            </w:r>
            <w:r>
              <w:rPr>
                <w:rStyle w:val="FormatvorlageInstructionsTabelleText"/>
                <w:rFonts w:ascii="Times New Roman" w:hAnsi="Times New Roman"/>
                <w:sz w:val="24"/>
              </w:rPr>
              <w:t>mos lygmeniu.</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Kito nekreditinių įsipareigojimų turto pozicijos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Nurodoma suma yra pagal riziką įvertintų pozicijų suma, apskaičiuota pagal KRR 156 straipsnį.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Rizikos pozicijos suma, susijusi su įmokomis į pagrindinės sandorio šalies įsipareigojimų neįvykdymo fondą</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KRR 307–309 straipsniai.</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BENDRA RIZIKOS POZICIJOS SUMA ATSISKAITYMO / PRISTATYMO RIZIKAI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KRR 92 straipsnio 3 dalies c punkto ii papunktis ir 92 straipsnio 4 dalies b punktas.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Atsiskaitymo / pristatymo rizika ne prekybos knygoje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SETT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Atsiskaitymo / pristatymo rizika prekybos knygoje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SETT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BENDRA RIZIKOS POZICIJOS SUMA POZICIJOS RIZ</w:t>
            </w:r>
            <w:r>
              <w:rPr>
                <w:rStyle w:val="InstructionsTabelleberschrift"/>
                <w:rFonts w:ascii="Times New Roman" w:hAnsi="Times New Roman"/>
                <w:sz w:val="24"/>
              </w:rPr>
              <w:t>I</w:t>
            </w:r>
            <w:r>
              <w:rPr>
                <w:rStyle w:val="InstructionsTabelleberschrift"/>
                <w:rFonts w:ascii="Times New Roman" w:hAnsi="Times New Roman"/>
                <w:sz w:val="24"/>
              </w:rPr>
              <w:t>KAI, UŽSIENIO VALIUTOS KURSO RIZIKAI IR BIRŽOS PR</w:t>
            </w:r>
            <w:r>
              <w:rPr>
                <w:rStyle w:val="InstructionsTabelleberschrift"/>
                <w:rFonts w:ascii="Times New Roman" w:hAnsi="Times New Roman"/>
                <w:sz w:val="24"/>
              </w:rPr>
              <w:t>E</w:t>
            </w:r>
            <w:r>
              <w:rPr>
                <w:rStyle w:val="InstructionsTabelleberschrift"/>
                <w:rFonts w:ascii="Times New Roman" w:hAnsi="Times New Roman"/>
                <w:sz w:val="24"/>
              </w:rPr>
              <w:t xml:space="preserve">KIŲ KAINOS RIZIKAI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KRR 92 straipsnio 3 dalies b punkto i papunktis, c punkto i ir iii papun</w:t>
            </w:r>
            <w:r>
              <w:rPr>
                <w:rStyle w:val="FormatvorlageInstructionsTabelleText"/>
                <w:rFonts w:ascii="Times New Roman" w:hAnsi="Times New Roman"/>
                <w:sz w:val="24"/>
              </w:rPr>
              <w:t>k</w:t>
            </w:r>
            <w:r>
              <w:rPr>
                <w:rStyle w:val="FormatvorlageInstructionsTabelleText"/>
                <w:rFonts w:ascii="Times New Roman" w:hAnsi="Times New Roman"/>
                <w:sz w:val="24"/>
              </w:rPr>
              <w:t>čiai, 92 straipsnio 4 dalies b punktas.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Rizikos pozicijos suma pozicijos rizikai, užsienio valiutos ku</w:t>
            </w:r>
            <w:r>
              <w:rPr>
                <w:rStyle w:val="InstructionsTabelleberschrift"/>
                <w:rFonts w:ascii="Times New Roman" w:hAnsi="Times New Roman"/>
                <w:sz w:val="24"/>
              </w:rPr>
              <w:t>r</w:t>
            </w:r>
            <w:r>
              <w:rPr>
                <w:rStyle w:val="InstructionsTabelleberschrift"/>
                <w:rFonts w:ascii="Times New Roman" w:hAnsi="Times New Roman"/>
                <w:sz w:val="24"/>
              </w:rPr>
              <w:t>so rizikai ir biržos prekių kainos rizikai pagal standartizuotus met</w:t>
            </w:r>
            <w:r>
              <w:rPr>
                <w:rStyle w:val="InstructionsTabelleberschrift"/>
                <w:rFonts w:ascii="Times New Roman" w:hAnsi="Times New Roman"/>
                <w:sz w:val="24"/>
              </w:rPr>
              <w:t>o</w:t>
            </w:r>
            <w:r>
              <w:rPr>
                <w:rStyle w:val="InstructionsTabelleberschrift"/>
                <w:rFonts w:ascii="Times New Roman" w:hAnsi="Times New Roman"/>
                <w:sz w:val="24"/>
              </w:rPr>
              <w:t>dus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Skolos priemonės, kuriomis prekiaujama</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forma bendros valiutų sumos lygmeniu.</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Nuosavybės vertybinių popierių pozicijos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forma bendros nacionalinių rinkų sumos lygmeniu.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Specialus metodas KIS pozicijų rizikai</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KRR 348 straipsnio 1 dalis, 350 straipsnio 3 dalies c punktas ir 364 straipsnio 2 dalies a punktas.</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Bendra rizikos pozicijos suma KIS pozicijoms, jeigu kapitalo reikalav</w:t>
            </w:r>
            <w:r>
              <w:rPr>
                <w:rStyle w:val="FormatvorlageInstructionsTabelleText"/>
                <w:rFonts w:ascii="Times New Roman" w:hAnsi="Times New Roman"/>
                <w:sz w:val="24"/>
              </w:rPr>
              <w:t>i</w:t>
            </w:r>
            <w:r>
              <w:rPr>
                <w:rStyle w:val="FormatvorlageInstructionsTabelleText"/>
                <w:rFonts w:ascii="Times New Roman" w:hAnsi="Times New Roman"/>
                <w:sz w:val="24"/>
              </w:rPr>
              <w:t>mai apskaičiuojami pagal KRR 348 straipsnio 1 dalį nedelsiant arba pr</w:t>
            </w:r>
            <w:r>
              <w:rPr>
                <w:rStyle w:val="FormatvorlageInstructionsTabelleText"/>
                <w:rFonts w:ascii="Times New Roman" w:hAnsi="Times New Roman"/>
                <w:sz w:val="24"/>
              </w:rPr>
              <w:t>i</w:t>
            </w:r>
            <w:r>
              <w:rPr>
                <w:rStyle w:val="FormatvorlageInstructionsTabelleText"/>
                <w:rFonts w:ascii="Times New Roman" w:hAnsi="Times New Roman"/>
                <w:sz w:val="24"/>
              </w:rPr>
              <w:lastRenderedPageBreak/>
              <w:t>taikius KRR 350 straipsnio 3 dalies c punkte nustatytą apribojimą. KRR šios pozicijos nėra aiškiai priskirtos nei prie palūkanų normų, nei prie nuosavybės vertybinių popierių rizikos.</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Jeigu taikomas specialus metodas pagal KRR 348 straipsnio 1 dalies pirmą sakinį, nurodoma suma yra 32 % atitinkamos grynosios KIS poz</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cijos, padauginta iš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Jeigu taikomas specialus metodas pagal KRR 348 straipsnio 1 dalies an</w:t>
            </w:r>
            <w:r>
              <w:rPr>
                <w:rStyle w:val="FormatvorlageInstructionsTabelleText"/>
                <w:rFonts w:ascii="Times New Roman" w:hAnsi="Times New Roman"/>
                <w:sz w:val="24"/>
              </w:rPr>
              <w:t>t</w:t>
            </w:r>
            <w:r>
              <w:rPr>
                <w:rStyle w:val="FormatvorlageInstructionsTabelleText"/>
                <w:rFonts w:ascii="Times New Roman" w:hAnsi="Times New Roman"/>
                <w:sz w:val="24"/>
              </w:rPr>
              <w:t>rą sakinį, nurodoma suma yra mažesnioji iš šių: 32 % atitinkamos gryn</w:t>
            </w:r>
            <w:r>
              <w:rPr>
                <w:rStyle w:val="FormatvorlageInstructionsTabelleText"/>
                <w:rFonts w:ascii="Times New Roman" w:hAnsi="Times New Roman"/>
                <w:sz w:val="24"/>
              </w:rPr>
              <w:t>o</w:t>
            </w:r>
            <w:r>
              <w:rPr>
                <w:rStyle w:val="FormatvorlageInstructionsTabelleText"/>
                <w:rFonts w:ascii="Times New Roman" w:hAnsi="Times New Roman"/>
                <w:sz w:val="24"/>
              </w:rPr>
              <w:t>sios KIS pozicijos arba skirtumas tarp 40 % šios grynosios pozicijos ir nuosavų lėšų reikalavimų, kurie kyla dėl užsienio valiutos kurso rizikos, susijusios su šia KIS pozicija, atitinkamai padauginta iš 12,5.</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Papildomas straipsnis: KIS, investuojantys tik į skolos priemones, kuriomis prekiaujama</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Bendra rizikos pozicijos suma KIS pozicijoms, jeigu KIS investuoja tik į priemones, susijusias su palūkanų normų rizika.</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KIS, investuojantys tik į nuosavybės priemones arba į mišrias priemones</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Bendra rizikos pozicijos suma KIS pozicijoms, jeigu KIS investuoja tik arba į priemones, susijusias su nuosavybės vertybinių popierių rizika, a</w:t>
            </w:r>
            <w:r>
              <w:rPr>
                <w:rStyle w:val="FormatvorlageInstructionsTabelleText"/>
                <w:rFonts w:ascii="Times New Roman" w:hAnsi="Times New Roman"/>
                <w:sz w:val="24"/>
              </w:rPr>
              <w:t>r</w:t>
            </w:r>
            <w:r>
              <w:rPr>
                <w:rStyle w:val="FormatvorlageInstructionsTabelleText"/>
                <w:rFonts w:ascii="Times New Roman" w:hAnsi="Times New Roman"/>
                <w:sz w:val="24"/>
              </w:rPr>
              <w:t>ba į mišrias priemones, arba jeigu KIS sudedamosios dalys yra nežin</w:t>
            </w:r>
            <w:r>
              <w:rPr>
                <w:rStyle w:val="FormatvorlageInstructionsTabelleText"/>
                <w:rFonts w:ascii="Times New Roman" w:hAnsi="Times New Roman"/>
                <w:sz w:val="24"/>
              </w:rPr>
              <w:t>o</w:t>
            </w:r>
            <w:r>
              <w:rPr>
                <w:rStyle w:val="FormatvorlageInstructionsTabelleText"/>
                <w:rFonts w:ascii="Times New Roman" w:hAnsi="Times New Roman"/>
                <w:sz w:val="24"/>
              </w:rPr>
              <w:t>mos.</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Užsienio valiutos kurso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MKR SA FX formą.</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Biržos prekių kainų pozicijos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MKR SA COM formą.</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Rizikos pozicijos suma pozicijos rizikai, užsienio valiutos ku</w:t>
            </w:r>
            <w:r>
              <w:rPr>
                <w:rStyle w:val="InstructionsTabelleberschrift"/>
                <w:rFonts w:ascii="Times New Roman" w:hAnsi="Times New Roman"/>
                <w:sz w:val="24"/>
              </w:rPr>
              <w:t>r</w:t>
            </w:r>
            <w:r>
              <w:rPr>
                <w:rStyle w:val="InstructionsTabelleberschrift"/>
                <w:rFonts w:ascii="Times New Roman" w:hAnsi="Times New Roman"/>
                <w:sz w:val="24"/>
              </w:rPr>
              <w:t>so rizikai ir biržos prekių kainos rizikai pagal vidaus modelius (IM)</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MKR IM formą.</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BENDRA RIZIKOS POZICIJOS SUMA OPERACINEI R</w:t>
            </w:r>
            <w:r>
              <w:rPr>
                <w:rStyle w:val="InstructionsTabelleberschrift"/>
                <w:rFonts w:ascii="Times New Roman" w:hAnsi="Times New Roman"/>
                <w:sz w:val="24"/>
              </w:rPr>
              <w:t>I</w:t>
            </w:r>
            <w:r>
              <w:rPr>
                <w:rStyle w:val="InstructionsTabelleberschrift"/>
                <w:rFonts w:ascii="Times New Roman" w:hAnsi="Times New Roman"/>
                <w:sz w:val="24"/>
              </w:rPr>
              <w:t>ZIKAI (OpR)</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KRR 92 straipsnio 3 dalies e punktas ir 92 straipsnio 4 dalies b punktas.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Investicinėse įmonėse pagal KRR 95 straipsnio 2 dalį, 96 straipsnio 2 d</w:t>
            </w:r>
            <w:r>
              <w:rPr>
                <w:rStyle w:val="FormatvorlageInstructionsTabelleText"/>
                <w:rFonts w:ascii="Times New Roman" w:hAnsi="Times New Roman"/>
                <w:sz w:val="24"/>
              </w:rPr>
              <w:t>a</w:t>
            </w:r>
            <w:r>
              <w:rPr>
                <w:rStyle w:val="FormatvorlageInstructionsTabelleText"/>
                <w:rFonts w:ascii="Times New Roman" w:hAnsi="Times New Roman"/>
                <w:sz w:val="24"/>
              </w:rPr>
              <w:t>lį ir 98 straipsnį šis elementas yra lygus nuliui.</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OpR bazinio indikatoriaus metodas (BIA)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OPR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OpR standartizuotas (TSA) / alternatyvus standartizuotas (ASA) metodai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OPR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OpR pažangieji vertinimo metodai (AMA)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OPR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PAPILDOMA RIZIKOS POZICIJOS SUMA DĖL PAST</w:t>
            </w:r>
            <w:r>
              <w:rPr>
                <w:rStyle w:val="InstructionsTabelleberschrift"/>
                <w:rFonts w:ascii="Times New Roman" w:hAnsi="Times New Roman"/>
                <w:sz w:val="24"/>
              </w:rPr>
              <w:t>O</w:t>
            </w:r>
            <w:r>
              <w:rPr>
                <w:rStyle w:val="InstructionsTabelleberschrift"/>
                <w:rFonts w:ascii="Times New Roman" w:hAnsi="Times New Roman"/>
                <w:sz w:val="24"/>
              </w:rPr>
              <w:t>VIŲJŲ PRIDĖTINIŲ IŠLAIDŲ</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KRR 95 straipsnio 2 dalis, 96 straipsnio 2 dalis, 97 straipsnis ir 98 straipsnio 1 dalies a punktas.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Tik investicinėms įmonėms pagal KRR 95 straipsnio 2 dalį, 96 straipsnio 2 dalį ir 98 straipsnį. Taip pat žr. KRR 97 straipsnį.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KRR 96 straipsnyje nurodytos investicinės įmonės 97 straipsnyje nur</w:t>
            </w:r>
            <w:r>
              <w:rPr>
                <w:rStyle w:val="FormatvorlageInstructionsTabelleText"/>
                <w:rFonts w:ascii="Times New Roman" w:hAnsi="Times New Roman"/>
                <w:sz w:val="24"/>
              </w:rPr>
              <w:t>o</w:t>
            </w:r>
            <w:r>
              <w:rPr>
                <w:rStyle w:val="FormatvorlageInstructionsTabelleText"/>
                <w:rFonts w:ascii="Times New Roman" w:hAnsi="Times New Roman"/>
                <w:sz w:val="24"/>
              </w:rPr>
              <w:t>dytą sumą padaugina iš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KRR 95 straipsnyje nurodytos investicinės įmonės informaciją teikia taip:</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jeigu</w:t>
            </w:r>
            <w:r>
              <w:t xml:space="preserve"> KRR 95 straipsnio 2 dalies a punkte </w:t>
            </w:r>
            <w:r>
              <w:rPr>
                <w:rStyle w:val="FormatvorlageInstructionsTabelleText"/>
                <w:rFonts w:ascii="Times New Roman" w:hAnsi="Times New Roman"/>
                <w:sz w:val="24"/>
              </w:rPr>
              <w:t>nurodyta suma yra d</w:t>
            </w:r>
            <w:r>
              <w:rPr>
                <w:rStyle w:val="FormatvorlageInstructionsTabelleText"/>
                <w:rFonts w:ascii="Times New Roman" w:hAnsi="Times New Roman"/>
                <w:sz w:val="24"/>
              </w:rPr>
              <w:t>i</w:t>
            </w:r>
            <w:r>
              <w:rPr>
                <w:rStyle w:val="FormatvorlageInstructionsTabelleText"/>
                <w:rFonts w:ascii="Times New Roman" w:hAnsi="Times New Roman"/>
                <w:sz w:val="24"/>
              </w:rPr>
              <w:t>desnė negu 95 straipsnio 2 dalyje b punkte nurodyta suma, įrašoma suma yra lygi nuliui;</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jeigu</w:t>
            </w:r>
            <w:r>
              <w:t xml:space="preserve"> KRR 95 straipsnio 2 dalies b punkte </w:t>
            </w:r>
            <w:r>
              <w:rPr>
                <w:rStyle w:val="FormatvorlageInstructionsTabelleText"/>
                <w:rFonts w:ascii="Times New Roman" w:hAnsi="Times New Roman"/>
                <w:sz w:val="24"/>
              </w:rPr>
              <w:t>nurodyta suma yra d</w:t>
            </w:r>
            <w:r>
              <w:rPr>
                <w:rStyle w:val="FormatvorlageInstructionsTabelleText"/>
                <w:rFonts w:ascii="Times New Roman" w:hAnsi="Times New Roman"/>
                <w:sz w:val="24"/>
              </w:rPr>
              <w:t>i</w:t>
            </w:r>
            <w:r>
              <w:rPr>
                <w:rStyle w:val="FormatvorlageInstructionsTabelleText"/>
                <w:rFonts w:ascii="Times New Roman" w:hAnsi="Times New Roman"/>
                <w:sz w:val="24"/>
              </w:rPr>
              <w:t>desnė negu 95 straipsnio 2 dalyje a punkte nurodyta suma, įrašoma s</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ma, gauta iš pirmosios sumos atėmus antrąją.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BENDRA RIZIKOS POZICIJOS SUMA KREDITO VE</w:t>
            </w:r>
            <w:r>
              <w:rPr>
                <w:rStyle w:val="InstructionsTabelleberschrift"/>
                <w:rFonts w:ascii="Times New Roman" w:hAnsi="Times New Roman"/>
                <w:sz w:val="24"/>
              </w:rPr>
              <w:t>R</w:t>
            </w:r>
            <w:r>
              <w:rPr>
                <w:rStyle w:val="InstructionsTabelleberschrift"/>
                <w:rFonts w:ascii="Times New Roman" w:hAnsi="Times New Roman"/>
                <w:sz w:val="24"/>
              </w:rPr>
              <w:t>TINIMO KOREGAVIMUI</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KRR 92 straipsnio 3 dalies d punktas. Žr. CVA formą.</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Pažangusis metodas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Nuosavų lėšų reikalavimai kredito vertinimo koregavimo rizikai padengti pagal KRR 383 straipsnį. Žr. CVA formą.</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Standartizuotas metodas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Nuosavų lėšų reikalavimai kredito vertinimo koregavimo rizikai padengti pagal KRR 384 straipsnį. Žr. CVA formą.</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Grindžiama OEM</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Nuosavų lėšų reikalavimai kredito vertinimo koregavimo rizikai padengti pagal KRR 385 straipsnį. Žr. CVA formą.</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BENDRA RIZIKOS POZICIJOS SUMA, SUSIJUSI SU D</w:t>
            </w:r>
            <w:r>
              <w:rPr>
                <w:rStyle w:val="InstructionsTabelleberschrift"/>
                <w:rFonts w:ascii="Times New Roman" w:hAnsi="Times New Roman"/>
                <w:sz w:val="24"/>
              </w:rPr>
              <w:t>I</w:t>
            </w:r>
            <w:r>
              <w:rPr>
                <w:rStyle w:val="InstructionsTabelleberschrift"/>
                <w:rFonts w:ascii="Times New Roman" w:hAnsi="Times New Roman"/>
                <w:sz w:val="24"/>
              </w:rPr>
              <w:t>DELĖMIS PREKYBOS KNYGOS POZICIJOMIS</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KRR 92 straipsnio 3 dalies b punkto ii papunktis, 395–401 straipsniai.</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KITOS RIZIKOS POZICIJOS SUMOS</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KRR 3, 458 ir 459 straipsniai ir rizikos pozicijos sumos, kurių negalima priskirti prie nei vieno iš 1.1–1.7 straipsnių.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Įstaigos nurodo sumas, kurių reikia, kad atitiktų:</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Komisijos pagal KRR 458 ir 459 straipsnius nustatytus griežtesnius riz</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kos ribojimo reikalavimus;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papildomas rizikos pozicijos sumas pagal KRR 3 straipsnį.</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Šis straipsnis nėra susijęs su detaliąja forma.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iš jų: papildomi griežtesni rizikos ribojimo reikalavimai pagal 458 straipsnį</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KRR 458 straipsnis.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iš jų: reikalavimai didelėms pozicijoms</w:t>
            </w:r>
          </w:p>
          <w:p w:rsidR="005643EA" w:rsidRPr="00392FFD" w:rsidRDefault="002648B0" w:rsidP="00FD239F">
            <w:pPr>
              <w:pStyle w:val="InstructionsText"/>
              <w:rPr>
                <w:rStyle w:val="InstructionsTabelleberschrift"/>
                <w:rFonts w:ascii="Times New Roman" w:hAnsi="Times New Roman"/>
                <w:sz w:val="24"/>
              </w:rPr>
            </w:pPr>
            <w:r>
              <w:t>KRR 458 straipsnis.</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iš jų: dėl pakeistų gyvenamosios ir komercinės paski</w:t>
            </w:r>
            <w:r>
              <w:rPr>
                <w:rStyle w:val="InstructionsTabelleberschrift"/>
                <w:rFonts w:ascii="Times New Roman" w:hAnsi="Times New Roman"/>
                <w:sz w:val="24"/>
              </w:rPr>
              <w:t>r</w:t>
            </w:r>
            <w:r>
              <w:rPr>
                <w:rStyle w:val="InstructionsTabelleberschrift"/>
                <w:rFonts w:ascii="Times New Roman" w:hAnsi="Times New Roman"/>
                <w:sz w:val="24"/>
              </w:rPr>
              <w:t>ties nekilnojamojo turto sektoriaus kainų burbulams skirtų rizikos koeficientų</w:t>
            </w:r>
          </w:p>
          <w:p w:rsidR="005643EA" w:rsidRPr="00392FFD" w:rsidRDefault="002648B0" w:rsidP="00FD239F">
            <w:pPr>
              <w:pStyle w:val="InstructionsText"/>
              <w:rPr>
                <w:rStyle w:val="InstructionsTabelleberschrift"/>
                <w:rFonts w:ascii="Times New Roman" w:hAnsi="Times New Roman"/>
                <w:sz w:val="24"/>
              </w:rPr>
            </w:pPr>
            <w:r>
              <w:t>KRR 458 straipsnis.</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iš jų: dėl pozicijų finansų sektoriaus viduje</w:t>
            </w:r>
          </w:p>
          <w:p w:rsidR="005643EA" w:rsidRPr="00392FFD" w:rsidRDefault="002648B0" w:rsidP="00FD239F">
            <w:pPr>
              <w:pStyle w:val="InstructionsText"/>
              <w:rPr>
                <w:rStyle w:val="InstructionsTabelleberschrift"/>
                <w:rFonts w:ascii="Times New Roman" w:hAnsi="Times New Roman"/>
                <w:sz w:val="24"/>
              </w:rPr>
            </w:pPr>
            <w:r>
              <w:t>KRR 458 straipsnis.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iš jų: papildomi griežtesni rizikos ribojimo reikalavimai pagal 459 straipsnį</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KRR 459 straipsnis.</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iš jų: papildoma rizikos pozicijos suma pagal KRR 3 straipsnį</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 straipsnis.</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Turi būti nurodoma papildoma rizikos pozicijos suma. Ji apima tik p</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pildomas sumas (pvz., jei pozicijai, kurios vertė 100, taikomas 20 % 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zikos koeficientas ir įstaiga, remdamasi KRR 3 straipsniu, taiko 50 % 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zikos koeficientą, nurodoma suma yra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4" w:name="_Toc473560877"/>
            <w:bookmarkStart w:id="65" w:name="_Toc308175826"/>
            <w:bookmarkStart w:id="66" w:name="_Toc360188329"/>
            <w:r>
              <w:rPr>
                <w:rStyle w:val="FormatvorlageInstructionsTabelleText"/>
                <w:rFonts w:ascii="Times New Roman" w:hAnsi="Times New Roman"/>
                <w:sz w:val="24"/>
              </w:rPr>
              <w:t>770–900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iš jų: pagal kredito riziką įvertintų pozicijų sumos – pakeitimo vertybiniais popieriais pozicijos (pagal peržiūrėtą pakeitimo vert</w:t>
            </w:r>
            <w:r>
              <w:rPr>
                <w:rStyle w:val="InstructionsTabelleberschrift"/>
                <w:rFonts w:ascii="Times New Roman" w:hAnsi="Times New Roman"/>
                <w:sz w:val="24"/>
              </w:rPr>
              <w:t>y</w:t>
            </w:r>
            <w:r>
              <w:rPr>
                <w:rStyle w:val="InstructionsTabelleberschrift"/>
                <w:rFonts w:ascii="Times New Roman" w:hAnsi="Times New Roman"/>
                <w:sz w:val="24"/>
              </w:rPr>
              <w:t>biniais popieriais sistemą)</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 770–900 eilutes įstaigos įrašo</w:t>
            </w:r>
            <w:r>
              <w:t xml:space="preserve"> ataskaitinių datų po 2019 m. sausio 1 d. duomenis.</w:t>
            </w:r>
          </w:p>
          <w:p w:rsidR="00FE6995" w:rsidRPr="0085692D" w:rsidRDefault="00FE6995" w:rsidP="00FE6995">
            <w:pPr>
              <w:pStyle w:val="InstructionsText"/>
            </w:pPr>
            <w:r>
              <w:rPr>
                <w:rStyle w:val="InstructionsTabelleberschrift"/>
                <w:rFonts w:ascii="Times New Roman" w:hAnsi="Times New Roman"/>
                <w:b w:val="0"/>
                <w:sz w:val="24"/>
                <w:u w:val="none"/>
              </w:rPr>
              <w:t>770–900</w:t>
            </w:r>
            <w:r>
              <w:t xml:space="preserve"> eilutėse nurodomos tų pakeitimo vertybiniais popieriais pozic</w:t>
            </w:r>
            <w:r>
              <w:t>i</w:t>
            </w:r>
            <w:r>
              <w:t>jų, kurių pagal riziką įvertintų pozicijų suma apskaičiuojama pagal KRR nuostatas, pagal kredito riziką įvertintų pozicijų sumos.</w:t>
            </w:r>
          </w:p>
          <w:p w:rsidR="00FE6995" w:rsidRPr="00672D2A" w:rsidRDefault="00FE6995" w:rsidP="00FE6995">
            <w:pPr>
              <w:pStyle w:val="InstructionsText"/>
              <w:rPr>
                <w:rStyle w:val="InstructionsTabelleberschrift"/>
                <w:rFonts w:ascii="Times New Roman" w:hAnsi="Times New Roman"/>
                <w:sz w:val="24"/>
              </w:rPr>
            </w:pPr>
            <w:r>
              <w:t>Nurodomos sumos atitinka bendrą pagal riziką įvertintų pozicijų sumą, apskaičiuotą pagal KRR trečios dalies II antraštinės dalies 5 skyrių, ats</w:t>
            </w:r>
            <w:r>
              <w:t>i</w:t>
            </w:r>
            <w:r>
              <w:t>žvelgiant į bendrą rizikos koeficientą, taikomą pagal KRR 247 straipsnio 6 dalį, ir apribojimus, nurodytus KRR trečios dalies II antraštinės dalies 5 skyriaus 3 skirsnio 4 poskirsnyje.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tab/>
            </w:r>
            <w:r>
              <w:rPr>
                <w:rStyle w:val="InstructionsTabelleberschrift"/>
                <w:rFonts w:ascii="Times New Roman" w:hAnsi="Times New Roman"/>
                <w:sz w:val="24"/>
              </w:rPr>
              <w:t>iš jų: pagal kredito riziką įvertintų pozicijų sumos – pakeit</w:t>
            </w:r>
            <w:r>
              <w:rPr>
                <w:rStyle w:val="InstructionsTabelleberschrift"/>
                <w:rFonts w:ascii="Times New Roman" w:hAnsi="Times New Roman"/>
                <w:sz w:val="24"/>
              </w:rPr>
              <w:t>i</w:t>
            </w:r>
            <w:r>
              <w:rPr>
                <w:rStyle w:val="InstructionsTabelleberschrift"/>
                <w:rFonts w:ascii="Times New Roman" w:hAnsi="Times New Roman"/>
                <w:sz w:val="24"/>
              </w:rPr>
              <w:t>mo vertybiniais popieriais pozicijos (pagal peržiūrėtą pakeitimo ve</w:t>
            </w:r>
            <w:r>
              <w:rPr>
                <w:rStyle w:val="InstructionsTabelleberschrift"/>
                <w:rFonts w:ascii="Times New Roman" w:hAnsi="Times New Roman"/>
                <w:sz w:val="24"/>
              </w:rPr>
              <w:t>r</w:t>
            </w:r>
            <w:r>
              <w:rPr>
                <w:rStyle w:val="InstructionsTabelleberschrift"/>
                <w:rFonts w:ascii="Times New Roman" w:hAnsi="Times New Roman"/>
                <w:sz w:val="24"/>
              </w:rPr>
              <w:t>tybiniais popieriais sistemą)</w:t>
            </w:r>
          </w:p>
          <w:p w:rsidR="009B591B" w:rsidRPr="00241190" w:rsidRDefault="009B591B" w:rsidP="003B20D7">
            <w:pPr>
              <w:pStyle w:val="InstructionsText"/>
              <w:rPr>
                <w:rStyle w:val="InstructionsTabelleberschrift"/>
                <w:rFonts w:ascii="Times New Roman" w:hAnsi="Times New Roman"/>
                <w:bCs w:val="0"/>
                <w:sz w:val="24"/>
              </w:rPr>
            </w:pPr>
            <w:r>
              <w:t xml:space="preserve">KRR 92 straipsnio 3 dalies a punktas ir trečios dalies II antraštinės dalies 5 skyrius.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tab/>
            </w:r>
            <w:r>
              <w:rPr>
                <w:rStyle w:val="InstructionsTabelleberschrift"/>
                <w:rFonts w:ascii="Times New Roman" w:hAnsi="Times New Roman"/>
                <w:sz w:val="24"/>
              </w:rPr>
              <w:t xml:space="preserve"> Vidaus reitingais pagrįstas metodas (SEC-IRBA)</w:t>
            </w:r>
          </w:p>
          <w:p w:rsidR="00BD661B" w:rsidRPr="0085692D" w:rsidRDefault="00BD661B" w:rsidP="00FD239F">
            <w:pPr>
              <w:pStyle w:val="InstructionsText"/>
              <w:rPr>
                <w:rStyle w:val="InstructionsTabelleberschrift"/>
                <w:rFonts w:ascii="Times New Roman" w:hAnsi="Times New Roman"/>
                <w:b w:val="0"/>
                <w:bCs w:val="0"/>
                <w:sz w:val="24"/>
                <w:u w:val="none"/>
              </w:rPr>
            </w:pPr>
            <w:r>
              <w:t>KRR 254 straipsnio 1 dalies a punktas, 259 ir 260 straipsniai.</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tab/>
            </w:r>
            <w:r>
              <w:rPr>
                <w:rStyle w:val="InstructionsTabelleberschrift"/>
                <w:rFonts w:ascii="Times New Roman" w:hAnsi="Times New Roman"/>
                <w:sz w:val="24"/>
              </w:rPr>
              <w:t>Pakeitimo vertybiniais popieriais pozicijos, neatiti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reikalavimų</w:t>
            </w:r>
          </w:p>
          <w:p w:rsidR="003D7822" w:rsidRPr="0085692D" w:rsidRDefault="00924FE7" w:rsidP="003B20D7">
            <w:pPr>
              <w:pStyle w:val="InstructionsText"/>
              <w:rPr>
                <w:rStyle w:val="InstructionsTabelleberschrift"/>
                <w:rFonts w:ascii="Times New Roman" w:hAnsi="Times New Roman"/>
                <w:b w:val="0"/>
                <w:sz w:val="24"/>
              </w:rPr>
            </w:pPr>
            <w:r>
              <w:t>KRR 254 straipsnio 1 dalies a punktas, 259 straipsnis.</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tab/>
            </w:r>
            <w:r>
              <w:rPr>
                <w:rStyle w:val="InstructionsTabelleberschrift"/>
                <w:rFonts w:ascii="Times New Roman" w:hAnsi="Times New Roman"/>
                <w:sz w:val="24"/>
              </w:rPr>
              <w:t>PSS pakeitimo vertybiniais popieriais pozicijos, 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reikalavimus</w:t>
            </w:r>
          </w:p>
          <w:p w:rsidR="00924FE7" w:rsidRPr="0085692D" w:rsidRDefault="00602FA5" w:rsidP="00FD239F">
            <w:pPr>
              <w:pStyle w:val="InstructionsText"/>
            </w:pPr>
            <w:r>
              <w:t>KRR 254 straipsnio 1 dalies a punktas, 259 ir 260 straipsniai.</w:t>
            </w:r>
          </w:p>
          <w:p w:rsidR="008B1A0F" w:rsidRPr="00241190" w:rsidRDefault="00366794" w:rsidP="003B20D7">
            <w:pPr>
              <w:pStyle w:val="InstructionsText"/>
              <w:rPr>
                <w:rStyle w:val="InstructionsTabelleberschrift"/>
                <w:rFonts w:ascii="Times New Roman" w:hAnsi="Times New Roman"/>
                <w:sz w:val="24"/>
              </w:rPr>
            </w:pPr>
            <w:r>
              <w:t>Šioje eilutėje nurodomos tiek PSS pakeitimo vertybiniais popieriais p</w:t>
            </w:r>
            <w:r>
              <w:t>o</w:t>
            </w:r>
            <w:r>
              <w:t>zicijos, atitinkančios diferencijuotos kapitalo tvarkos reikalavimus pagal KRR 243 straipsnį, tiek didesnio prioriteto MVĮ pakeitimo vertybiniais popieriais pozicijos, atitinkančios diferencijuotos kapitalo tvarkos reik</w:t>
            </w:r>
            <w:r>
              <w:t>a</w:t>
            </w:r>
            <w:r>
              <w:t>lavimus pagal KRR 270 straipsnį.</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Standartizuotas metodas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KRR 254 straipsnio 1 dalies b punktas</w:t>
            </w:r>
            <w:r>
              <w:t xml:space="preserve"> ir 6 dalis, 261, 262 ir 269 </w:t>
            </w:r>
            <w:r>
              <w:rPr>
                <w:rStyle w:val="FormatvorlageInstructionsTabelleText"/>
                <w:rFonts w:ascii="Times New Roman" w:hAnsi="Times New Roman"/>
                <w:sz w:val="24"/>
              </w:rPr>
              <w:t>straip</w:t>
            </w:r>
            <w:r>
              <w:rPr>
                <w:rStyle w:val="FormatvorlageInstructionsTabelleText"/>
                <w:rFonts w:ascii="Times New Roman" w:hAnsi="Times New Roman"/>
                <w:sz w:val="24"/>
              </w:rPr>
              <w:t>s</w:t>
            </w:r>
            <w:r>
              <w:rPr>
                <w:rStyle w:val="FormatvorlageInstructionsTabelleText"/>
                <w:rFonts w:ascii="Times New Roman" w:hAnsi="Times New Roman"/>
                <w:sz w:val="24"/>
              </w:rPr>
              <w:t>niai</w:t>
            </w:r>
            <w:r>
              <w:t>.</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tab/>
            </w:r>
            <w:r>
              <w:rPr>
                <w:rStyle w:val="InstructionsTabelleberschrift"/>
                <w:rFonts w:ascii="Times New Roman" w:hAnsi="Times New Roman"/>
                <w:sz w:val="24"/>
              </w:rPr>
              <w:t>Pakeitimo vertybiniais popieriais pozicijos, neatiti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reikalavimų</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KRR 254 straipsnio 1 dalies b punktas</w:t>
            </w:r>
            <w:r>
              <w:t xml:space="preserve"> ir 6 dalis, 261 ir 269 </w:t>
            </w:r>
            <w:r>
              <w:rPr>
                <w:rStyle w:val="FormatvorlageInstructionsTabelleText"/>
                <w:rFonts w:ascii="Times New Roman" w:hAnsi="Times New Roman"/>
                <w:sz w:val="24"/>
              </w:rPr>
              <w:t>straipsniai</w:t>
            </w:r>
            <w:r>
              <w:t>.</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tab/>
            </w:r>
            <w:r>
              <w:rPr>
                <w:rStyle w:val="InstructionsTabelleberschrift"/>
                <w:rFonts w:ascii="Times New Roman" w:hAnsi="Times New Roman"/>
                <w:sz w:val="24"/>
              </w:rPr>
              <w:t>PSS pakeitimo vertybiniais popieriais pozicijos, 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reikalavimus</w:t>
            </w:r>
          </w:p>
          <w:p w:rsidR="004E6D5F" w:rsidRPr="00220265" w:rsidRDefault="004E6D5F" w:rsidP="00FD239F">
            <w:pPr>
              <w:pStyle w:val="InstructionsText"/>
            </w:pPr>
            <w:r>
              <w:t>KRR 254 straipsnio 1 dalies b punktas, 261 ir 262 straipsniai.</w:t>
            </w:r>
          </w:p>
          <w:p w:rsidR="008B1A0F" w:rsidRPr="00241190" w:rsidRDefault="00366794" w:rsidP="003B20D7">
            <w:pPr>
              <w:pStyle w:val="InstructionsText"/>
              <w:rPr>
                <w:rStyle w:val="InstructionsTabelleberschrift"/>
                <w:rFonts w:ascii="Times New Roman" w:hAnsi="Times New Roman"/>
                <w:sz w:val="24"/>
              </w:rPr>
            </w:pPr>
            <w:r>
              <w:t>Šioje eilutėje nurodomos tiek PSS pakeitimo vertybiniais popieriais p</w:t>
            </w:r>
            <w:r>
              <w:t>o</w:t>
            </w:r>
            <w:r>
              <w:t>zicijos, atitinkančios diferencijuotos kapitalo tvarkos reikalavimus pagal KRR 243 straipsnį, tiek didesnio prioriteto MVĮ pakeitimo vertybiniais popieriais pozicijos, atitinkančios diferencijuotos kapitalo tvarkos reik</w:t>
            </w:r>
            <w:r>
              <w:t>a</w:t>
            </w:r>
            <w:r>
              <w:t>lavimus pagal KRR 270 straipsnį.</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tab/>
            </w:r>
            <w:r>
              <w:rPr>
                <w:rStyle w:val="InstructionsTabelleberschrift"/>
                <w:rFonts w:ascii="Times New Roman" w:hAnsi="Times New Roman"/>
                <w:sz w:val="24"/>
              </w:rPr>
              <w:t xml:space="preserve"> Išorės reitingais pagrįstas metodas (SEC-ERBA)</w:t>
            </w:r>
          </w:p>
          <w:p w:rsidR="009B591B" w:rsidRPr="00241190" w:rsidRDefault="009B591B" w:rsidP="003B20D7">
            <w:pPr>
              <w:pStyle w:val="InstructionsText"/>
              <w:rPr>
                <w:rStyle w:val="InstructionsTabelleberschrift"/>
                <w:rFonts w:ascii="Times New Roman" w:hAnsi="Times New Roman"/>
                <w:sz w:val="24"/>
              </w:rPr>
            </w:pPr>
            <w:r>
              <w:t>KRR 254 straipsnio 1 dalies c punktas bei 2, 3 ir 4 dalys, 263 ir 264 straipsniai.</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tab/>
            </w:r>
            <w:r>
              <w:rPr>
                <w:rStyle w:val="InstructionsTabelleberschrift"/>
                <w:rFonts w:ascii="Times New Roman" w:hAnsi="Times New Roman"/>
                <w:sz w:val="24"/>
              </w:rPr>
              <w:t>Pakeitimo vertybiniais popieriais pozicijos, neatiti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reikalavimų</w:t>
            </w:r>
          </w:p>
          <w:p w:rsidR="009B591B" w:rsidRPr="00241190" w:rsidRDefault="009B591B" w:rsidP="003B20D7">
            <w:pPr>
              <w:pStyle w:val="InstructionsText"/>
              <w:rPr>
                <w:rStyle w:val="InstructionsTabelleberschrift"/>
                <w:rFonts w:ascii="Times New Roman" w:hAnsi="Times New Roman"/>
                <w:sz w:val="24"/>
              </w:rPr>
            </w:pPr>
            <w:r>
              <w:t>KRR 254 straipsnio 1 dalies c punktas bei 2, 3 ir 4 dalys, 263 straipsnis.</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tab/>
            </w:r>
            <w:r>
              <w:rPr>
                <w:rStyle w:val="InstructionsTabelleberschrift"/>
                <w:rFonts w:ascii="Times New Roman" w:hAnsi="Times New Roman"/>
                <w:sz w:val="24"/>
              </w:rPr>
              <w:t>PSS pakeitimo vertybiniais popieriais pozicijos, 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reikalavimus</w:t>
            </w:r>
          </w:p>
          <w:p w:rsidR="009B591B" w:rsidRPr="00220265" w:rsidRDefault="009B591B" w:rsidP="00FD239F">
            <w:pPr>
              <w:pStyle w:val="InstructionsText"/>
            </w:pPr>
            <w:r>
              <w:t>KRR 254 straipsnio 1 dalies c punktas bei 2, 3 ir 4 dalys, 263 ir 264 straipsniai.</w:t>
            </w:r>
          </w:p>
          <w:p w:rsidR="009B591B" w:rsidRPr="00241190" w:rsidRDefault="009B591B" w:rsidP="003B20D7">
            <w:pPr>
              <w:pStyle w:val="InstructionsText"/>
              <w:rPr>
                <w:rStyle w:val="InstructionsTabelleberschrift"/>
                <w:rFonts w:ascii="Times New Roman" w:hAnsi="Times New Roman"/>
                <w:sz w:val="24"/>
              </w:rPr>
            </w:pPr>
            <w:r>
              <w:t>Šioje eilutėje nurodomos tiek PSS pakeitimo vertybiniais popieriais p</w:t>
            </w:r>
            <w:r>
              <w:t>o</w:t>
            </w:r>
            <w:r>
              <w:t>zicijos, atitinkančios diferencijuotos kapitalo tvarkos reikalavimus pagal KRR 243 straipsnį, tiek didesnio prioriteto MVĮ pakeitimo vertybiniais popieriais pozicijos, atitinkančios diferencijuotos kapitalo tvarkos reik</w:t>
            </w:r>
            <w:r>
              <w:t>a</w:t>
            </w:r>
            <w:r>
              <w:t>lavimus pagal KRR 270 straipsnį.</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tab/>
            </w:r>
            <w:r>
              <w:rPr>
                <w:rStyle w:val="InstructionsTabelleberschrift"/>
                <w:rFonts w:ascii="Times New Roman" w:hAnsi="Times New Roman"/>
                <w:sz w:val="24"/>
              </w:rPr>
              <w:t xml:space="preserve"> Vidinio vertinimo metodas (IAA)</w:t>
            </w:r>
          </w:p>
          <w:p w:rsidR="009B591B" w:rsidRPr="00241190" w:rsidRDefault="009B591B" w:rsidP="003B20D7">
            <w:pPr>
              <w:pStyle w:val="InstructionsText"/>
              <w:rPr>
                <w:rStyle w:val="InstructionsTabelleberschrift"/>
                <w:rFonts w:ascii="Times New Roman" w:hAnsi="Times New Roman"/>
                <w:sz w:val="24"/>
              </w:rPr>
            </w:pPr>
            <w:r>
              <w:lastRenderedPageBreak/>
              <w:t>KRR 254 straipsnio 5 dalis, 265 ir 266 straipsniai.</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tab/>
            </w:r>
            <w:r>
              <w:rPr>
                <w:rStyle w:val="InstructionsTabelleberschrift"/>
                <w:rFonts w:ascii="Times New Roman" w:hAnsi="Times New Roman"/>
                <w:sz w:val="24"/>
              </w:rPr>
              <w:t>Pakeitimo vertybiniais popieriais pozicijos, neatiti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reikalavimų</w:t>
            </w:r>
          </w:p>
          <w:p w:rsidR="009B591B" w:rsidRPr="00220265" w:rsidRDefault="009B591B" w:rsidP="003B20D7">
            <w:pPr>
              <w:pStyle w:val="InstructionsText"/>
              <w:rPr>
                <w:rStyle w:val="InstructionsTabelleberschrift"/>
                <w:rFonts w:ascii="Times New Roman" w:hAnsi="Times New Roman"/>
                <w:b w:val="0"/>
                <w:sz w:val="24"/>
                <w:u w:val="none"/>
              </w:rPr>
            </w:pPr>
            <w:r>
              <w:t>KRR 254 straipsnio 5 dalis, 265 ir 266 straipsniai.</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tab/>
            </w:r>
            <w:r>
              <w:rPr>
                <w:rStyle w:val="InstructionsTabelleberschrift"/>
                <w:rFonts w:ascii="Times New Roman" w:hAnsi="Times New Roman"/>
                <w:sz w:val="24"/>
              </w:rPr>
              <w:t>PSS pakeitimo vertybiniais popieriais pozicijos, 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reikalavimus</w:t>
            </w:r>
          </w:p>
          <w:p w:rsidR="009B591B" w:rsidRPr="00220265" w:rsidRDefault="009B591B" w:rsidP="00FD239F">
            <w:pPr>
              <w:pStyle w:val="InstructionsText"/>
            </w:pPr>
            <w:r>
              <w:t>KRR 254 straipsnio 5 dalis, 265 ir 266 straipsniai.</w:t>
            </w:r>
          </w:p>
          <w:p w:rsidR="009B591B" w:rsidRPr="00241190" w:rsidRDefault="009B591B" w:rsidP="003B20D7">
            <w:pPr>
              <w:pStyle w:val="InstructionsText"/>
              <w:rPr>
                <w:rStyle w:val="InstructionsTabelleberschrift"/>
                <w:rFonts w:ascii="Times New Roman" w:hAnsi="Times New Roman"/>
                <w:sz w:val="24"/>
              </w:rPr>
            </w:pPr>
            <w:r>
              <w:t>Šioje eilutėje nurodomos tiek PSS pakeitimo vertybiniais popieriais p</w:t>
            </w:r>
            <w:r>
              <w:t>o</w:t>
            </w:r>
            <w:r>
              <w:t>zicijos, atitinkančios diferencijuotos kapitalo tvarkos reikalavimus pagal KRR 243 straipsnį, tiek didesnio prioriteto MVĮ pakeitimo vertybiniais popieriais pozicijos, atitinkančios diferencijuotos kapitalo tvarkos reik</w:t>
            </w:r>
            <w:r>
              <w:t>a</w:t>
            </w:r>
            <w:r>
              <w:t>lavimus pagal KRR 270 straipsnį.</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tab/>
            </w:r>
            <w:r>
              <w:rPr>
                <w:rStyle w:val="InstructionsTabelleberschrift"/>
                <w:rFonts w:ascii="Times New Roman" w:hAnsi="Times New Roman"/>
                <w:sz w:val="24"/>
              </w:rPr>
              <w:t xml:space="preserve"> Kita (RW = 1 250 %)</w:t>
            </w:r>
          </w:p>
          <w:p w:rsidR="009B591B" w:rsidRPr="00241190" w:rsidRDefault="009B591B" w:rsidP="003B20D7">
            <w:pPr>
              <w:pStyle w:val="InstructionsText"/>
              <w:rPr>
                <w:rStyle w:val="InstructionsTabelleberschrift"/>
                <w:rFonts w:ascii="Times New Roman" w:hAnsi="Times New Roman"/>
                <w:sz w:val="24"/>
              </w:rPr>
            </w:pPr>
            <w:r>
              <w:t>KRR 254 straipsnio 7 dalis.</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iš jų: Bendra rizikos pozicijos suma pozicijos rizikai. Skolos priemonės, kuriomis prekiaujama, – pakeitimo vertybiniais popi</w:t>
            </w:r>
            <w:r>
              <w:rPr>
                <w:rStyle w:val="InstructionsTabelleberschrift"/>
                <w:rFonts w:ascii="Times New Roman" w:hAnsi="Times New Roman"/>
                <w:sz w:val="24"/>
              </w:rPr>
              <w:t>e</w:t>
            </w:r>
            <w:r>
              <w:rPr>
                <w:rStyle w:val="InstructionsTabelleberschrift"/>
                <w:rFonts w:ascii="Times New Roman" w:hAnsi="Times New Roman"/>
                <w:sz w:val="24"/>
              </w:rPr>
              <w:t>riais priemonių specifinė rizika (pagal peržiūrėtą pakeitimo vertyb</w:t>
            </w:r>
            <w:r>
              <w:rPr>
                <w:rStyle w:val="InstructionsTabelleberschrift"/>
                <w:rFonts w:ascii="Times New Roman" w:hAnsi="Times New Roman"/>
                <w:sz w:val="24"/>
              </w:rPr>
              <w:t>i</w:t>
            </w:r>
            <w:r>
              <w:rPr>
                <w:rStyle w:val="InstructionsTabelleberschrift"/>
                <w:rFonts w:ascii="Times New Roman" w:hAnsi="Times New Roman"/>
                <w:sz w:val="24"/>
              </w:rPr>
              <w:t>niais popieriais sistemą)</w:t>
            </w:r>
          </w:p>
          <w:p w:rsidR="002A6913" w:rsidRPr="002A6913" w:rsidRDefault="002A6913" w:rsidP="00FD239F">
            <w:pPr>
              <w:pStyle w:val="InstructionsText"/>
              <w:rPr>
                <w:bCs/>
              </w:rPr>
            </w:pPr>
            <w:r>
              <w:rPr>
                <w:rStyle w:val="InstructionsTabelleberschrift"/>
                <w:rFonts w:ascii="Times New Roman" w:hAnsi="Times New Roman"/>
                <w:b w:val="0"/>
                <w:sz w:val="24"/>
                <w:u w:val="none"/>
              </w:rPr>
              <w:t>Į 910–1040 eilutes įstaigos įrašo</w:t>
            </w:r>
            <w:r>
              <w:t xml:space="preserve"> ataskaitinių datų po 2019 m. sausio 1 d. duomenis.</w:t>
            </w:r>
          </w:p>
          <w:p w:rsidR="004E2BE7" w:rsidRPr="00220265" w:rsidRDefault="004E2BE7" w:rsidP="00FD239F">
            <w:pPr>
              <w:pStyle w:val="InstructionsText"/>
            </w:pPr>
            <w:r>
              <w:t>910–1040 eilutėse nurodomos tų prekybos knygoje įrašytų pakeitimo vertybiniais popieriais pozicijų, kurių bendros rizikos pozicijų sumos a</w:t>
            </w:r>
            <w:r>
              <w:t>p</w:t>
            </w:r>
            <w:r>
              <w:t>skaičiuojamos pagal KRR nuostatas, pagal riziką įvertintų pozicijų s</w:t>
            </w:r>
            <w:r>
              <w:t>u</w:t>
            </w:r>
            <w:r>
              <w:t>mos. Tačiau pakeitimo vertybiniais popieriais pozicijų, kurioms taikomi nuosavų lėšų reikalavimai koreliacinės prekybos portfeliui pagal iš dalies pakeisto KRR 338 straipsnį, šiose eilutėse nurodyti nereikia, nes jos n</w:t>
            </w:r>
            <w:r>
              <w:t>u</w:t>
            </w:r>
            <w:r>
              <w:t>rodomos MKR SA CTP formoje.</w:t>
            </w:r>
          </w:p>
          <w:p w:rsidR="004E2BE7" w:rsidRPr="00220265" w:rsidRDefault="004E2BE7" w:rsidP="00FD239F">
            <w:pPr>
              <w:pStyle w:val="InstructionsText"/>
            </w:pPr>
            <w:r>
              <w:t>Nurodomos sumos atitinka bendrą rizikos pozicijos sumą, apskaičiuotą nuosavų lėšų reikalavimus, apskaičiuotus pagal KRR 337 straipsnį, p</w:t>
            </w:r>
            <w:r>
              <w:t>a</w:t>
            </w:r>
            <w:r>
              <w:t>dauginus iš 12,5. Nurodoma suma atsižvelgiama į taikytiną bendrą riz</w:t>
            </w:r>
            <w:r>
              <w:t>i</w:t>
            </w:r>
            <w:r>
              <w:t>kos koeficientą pagal KRR 337 straipsnio 3 dalį ir grynosios pozicijos nuosavų lėšų reikalavimo limitą pagal KRR 335 straipsnį.</w:t>
            </w:r>
          </w:p>
          <w:p w:rsidR="007A1E2E" w:rsidRPr="00241190" w:rsidRDefault="007A1E2E" w:rsidP="002A6913">
            <w:pPr>
              <w:pStyle w:val="InstructionsText"/>
              <w:rPr>
                <w:rStyle w:val="InstructionsTabelleberschrift"/>
                <w:rFonts w:ascii="Times New Roman" w:hAnsi="Times New Roman"/>
                <w:bCs w:val="0"/>
                <w:sz w:val="24"/>
              </w:rPr>
            </w:pPr>
            <w:r>
              <w:t>Atsižvelgiant į rizikos koeficientų nustatymą pagal KRR 337 straipsnį, nuosavų lėšų reikalavimams prekybos knygoje įrašytoms priemonėms, kurios yra pakeitimo vertybiniais popieriais pozicijos, apskaičiuoti ta</w:t>
            </w:r>
            <w:r>
              <w:t>i</w:t>
            </w:r>
            <w:r>
              <w:t>komas metodas yra tas metodas, kurį įstaiga taikytų pozicijai ne prek</w:t>
            </w:r>
            <w:r>
              <w:t>y</w:t>
            </w:r>
            <w:r>
              <w:t>bos knygoje.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tab/>
            </w:r>
            <w:r>
              <w:rPr>
                <w:rStyle w:val="InstructionsTabelleberschrift"/>
                <w:rFonts w:ascii="Times New Roman" w:hAnsi="Times New Roman"/>
                <w:sz w:val="24"/>
              </w:rPr>
              <w:t>iš jų: Bendra rizikos pozicijos suma pozicijos rizikai. Skolos priemonės, kuriomis prekiaujama, – pakeitimo vertybiniais popi</w:t>
            </w:r>
            <w:r>
              <w:rPr>
                <w:rStyle w:val="InstructionsTabelleberschrift"/>
                <w:rFonts w:ascii="Times New Roman" w:hAnsi="Times New Roman"/>
                <w:sz w:val="24"/>
              </w:rPr>
              <w:t>e</w:t>
            </w:r>
            <w:r>
              <w:rPr>
                <w:rStyle w:val="InstructionsTabelleberschrift"/>
                <w:rFonts w:ascii="Times New Roman" w:hAnsi="Times New Roman"/>
                <w:sz w:val="24"/>
              </w:rPr>
              <w:t>riais priemonių specifinė rizika (pagal peržiūrėtą pakeitimo vertyb</w:t>
            </w:r>
            <w:r>
              <w:rPr>
                <w:rStyle w:val="InstructionsTabelleberschrift"/>
                <w:rFonts w:ascii="Times New Roman" w:hAnsi="Times New Roman"/>
                <w:sz w:val="24"/>
              </w:rPr>
              <w:t>i</w:t>
            </w:r>
            <w:r>
              <w:rPr>
                <w:rStyle w:val="InstructionsTabelleberschrift"/>
                <w:rFonts w:ascii="Times New Roman" w:hAnsi="Times New Roman"/>
                <w:sz w:val="24"/>
              </w:rPr>
              <w:t>niais popieriais sistemą)</w:t>
            </w:r>
          </w:p>
          <w:p w:rsidR="00BB3CBE" w:rsidRPr="00241190" w:rsidRDefault="00BB3CBE" w:rsidP="002A6913">
            <w:pPr>
              <w:pStyle w:val="InstructionsText"/>
              <w:rPr>
                <w:rStyle w:val="InstructionsTabelleberschrift"/>
                <w:rFonts w:ascii="Times New Roman" w:hAnsi="Times New Roman"/>
                <w:sz w:val="24"/>
              </w:rPr>
            </w:pPr>
            <w:r>
              <w:t>KRR 92 straipsnio 3 dalies b punkto i papunktis ir 4 dalis, 335 ir 337 straipsniai.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tab/>
            </w:r>
            <w:r>
              <w:rPr>
                <w:rStyle w:val="InstructionsTabelleberschrift"/>
                <w:rFonts w:ascii="Times New Roman" w:hAnsi="Times New Roman"/>
                <w:sz w:val="24"/>
              </w:rPr>
              <w:t xml:space="preserve"> Vidaus reitingais pagrįstas metodas (SEC-IRBA)</w:t>
            </w:r>
          </w:p>
          <w:p w:rsidR="007A1E2E" w:rsidRPr="00241190" w:rsidRDefault="007A1E2E" w:rsidP="002A6913">
            <w:pPr>
              <w:pStyle w:val="InstructionsText"/>
              <w:rPr>
                <w:rStyle w:val="InstructionsTabelleberschrift"/>
                <w:rFonts w:ascii="Times New Roman" w:hAnsi="Times New Roman"/>
                <w:sz w:val="24"/>
              </w:rPr>
            </w:pPr>
            <w:r>
              <w:t>KRR 254 straipsnio 1 dalies a punktas, 259, 260 ir 337 straipsniai.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tab/>
            </w:r>
            <w:r>
              <w:rPr>
                <w:rStyle w:val="InstructionsTabelleberschrift"/>
                <w:rFonts w:ascii="Times New Roman" w:hAnsi="Times New Roman"/>
                <w:sz w:val="24"/>
              </w:rPr>
              <w:t>Pakeitimo vertybiniais popieriais pozicijos, neatiti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reikalavimų</w:t>
            </w:r>
          </w:p>
          <w:p w:rsidR="007A1E2E" w:rsidRPr="00241190" w:rsidRDefault="007A1E2E" w:rsidP="002A6913">
            <w:pPr>
              <w:pStyle w:val="InstructionsText"/>
              <w:rPr>
                <w:rStyle w:val="InstructionsTabelleberschrift"/>
                <w:rFonts w:ascii="Times New Roman" w:hAnsi="Times New Roman"/>
                <w:sz w:val="24"/>
              </w:rPr>
            </w:pPr>
            <w:r>
              <w:t>KRR 254 straipsnio 1 dalies a punktas, 259 ir 337 straipsniai.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tab/>
            </w:r>
            <w:r>
              <w:rPr>
                <w:rStyle w:val="InstructionsTabelleberschrift"/>
                <w:rFonts w:ascii="Times New Roman" w:hAnsi="Times New Roman"/>
                <w:sz w:val="24"/>
              </w:rPr>
              <w:t>PSS pakeitimo vertybiniais popieriais pozicijos, 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reikalavimus</w:t>
            </w:r>
          </w:p>
          <w:p w:rsidR="007A1E2E" w:rsidRPr="00220265" w:rsidRDefault="007A1E2E" w:rsidP="00FD239F">
            <w:pPr>
              <w:pStyle w:val="InstructionsText"/>
            </w:pPr>
            <w:r>
              <w:t>KRR 254 straipsnio 1 dalies a punktas, 259, 260 ir 337 straipsniai.</w:t>
            </w:r>
          </w:p>
          <w:p w:rsidR="007A1E2E" w:rsidRPr="00241190" w:rsidRDefault="007A1E2E" w:rsidP="00FD239F">
            <w:pPr>
              <w:pStyle w:val="InstructionsText"/>
              <w:rPr>
                <w:rStyle w:val="InstructionsTabelleberschrift"/>
                <w:rFonts w:ascii="Times New Roman" w:hAnsi="Times New Roman"/>
                <w:sz w:val="24"/>
              </w:rPr>
            </w:pPr>
            <w:r>
              <w:t>Šioje eilutėje nurodomos tiek PSS pakeitimo vertybiniais popieriais p</w:t>
            </w:r>
            <w:r>
              <w:t>o</w:t>
            </w:r>
            <w:r>
              <w:t>zicijos, atitinkančios diferencijuotos kapitalo tvarkos reikalavimus pagal KRR 243 straipsnį, tiek didesnio prioriteto MVĮ pakeitimo vertybiniais popieriais pozicijos, atitinkančios diferencijuotos kapitalo tvarkos reik</w:t>
            </w:r>
            <w:r>
              <w:t>a</w:t>
            </w:r>
            <w:r>
              <w:t>lavimus pagal KRR 270 straipsnį.</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tab/>
            </w:r>
            <w:r>
              <w:rPr>
                <w:rStyle w:val="InstructionsTabelleberschrift"/>
                <w:rFonts w:ascii="Times New Roman" w:hAnsi="Times New Roman"/>
                <w:sz w:val="24"/>
              </w:rPr>
              <w:t>Standartizuotas metodas (SEC-SA)</w:t>
            </w:r>
          </w:p>
          <w:p w:rsidR="007A1E2E" w:rsidRPr="00241190" w:rsidRDefault="007A1E2E" w:rsidP="002A6913">
            <w:pPr>
              <w:pStyle w:val="InstructionsText"/>
              <w:rPr>
                <w:rStyle w:val="InstructionsTabelleberschrift"/>
                <w:rFonts w:ascii="Times New Roman" w:hAnsi="Times New Roman"/>
                <w:sz w:val="24"/>
              </w:rPr>
            </w:pPr>
            <w:r>
              <w:t>KRR 254 straipsnio 1 dalies b punktas ir 6 dalis, 261, 262, 269 ir 337 straipsniai.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tab/>
            </w:r>
            <w:r>
              <w:rPr>
                <w:rStyle w:val="InstructionsTabelleberschrift"/>
                <w:rFonts w:ascii="Times New Roman" w:hAnsi="Times New Roman"/>
                <w:sz w:val="24"/>
              </w:rPr>
              <w:t>Pakeitimo vertybiniais popieriais pozicijos, neatiti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reikalavimų</w:t>
            </w:r>
          </w:p>
          <w:p w:rsidR="007A1E2E" w:rsidRPr="00241190" w:rsidRDefault="007A1E2E" w:rsidP="002A6913">
            <w:pPr>
              <w:pStyle w:val="InstructionsText"/>
              <w:rPr>
                <w:rStyle w:val="InstructionsTabelleberschrift"/>
                <w:rFonts w:ascii="Times New Roman" w:hAnsi="Times New Roman"/>
                <w:sz w:val="24"/>
              </w:rPr>
            </w:pPr>
            <w:r>
              <w:t>KRR 254 straipsnio 1 dalies b punktas ir 6 dalis, 261, 269 ir 337 straip</w:t>
            </w:r>
            <w:r>
              <w:t>s</w:t>
            </w:r>
            <w:r>
              <w:t>niai.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tab/>
            </w:r>
            <w:r>
              <w:rPr>
                <w:rStyle w:val="InstructionsTabelleberschrift"/>
                <w:rFonts w:ascii="Times New Roman" w:hAnsi="Times New Roman"/>
                <w:sz w:val="24"/>
              </w:rPr>
              <w:t>PSS pakeitimo vertybiniais popieriais pozicijos, 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reikalavimus</w:t>
            </w:r>
          </w:p>
          <w:p w:rsidR="007A1E2E" w:rsidRPr="00220265" w:rsidRDefault="007A1E2E" w:rsidP="00FD239F">
            <w:pPr>
              <w:pStyle w:val="InstructionsText"/>
            </w:pPr>
            <w:r>
              <w:t>KRR 254 straipsnio 1 dalies b punktas, 261, 262 ir 337 straipsniai.</w:t>
            </w:r>
          </w:p>
          <w:p w:rsidR="007A1E2E" w:rsidRPr="00241190" w:rsidRDefault="007A1E2E" w:rsidP="00FD239F">
            <w:pPr>
              <w:pStyle w:val="InstructionsText"/>
              <w:rPr>
                <w:rStyle w:val="InstructionsTabelleberschrift"/>
                <w:rFonts w:ascii="Times New Roman" w:hAnsi="Times New Roman"/>
                <w:sz w:val="24"/>
              </w:rPr>
            </w:pPr>
            <w:r>
              <w:t>Šioje eilutėje nurodomos tiek PSS pakeitimo vertybiniais popieriais p</w:t>
            </w:r>
            <w:r>
              <w:t>o</w:t>
            </w:r>
            <w:r>
              <w:t>zicijos, atitinkančios diferencijuotos kapitalo tvarkos reikalavimus pagal KRR 243 straipsnį, tiek didesnio prioriteto MVĮ pakeitimo vertybiniais popieriais pozicijos, atitinkančios diferencijuotos kapitalo tvarkos reik</w:t>
            </w:r>
            <w:r>
              <w:t>a</w:t>
            </w:r>
            <w:r>
              <w:t>lavimus pagal KRR 270 straipsnį.</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tab/>
            </w:r>
            <w:r>
              <w:rPr>
                <w:rStyle w:val="InstructionsTabelleberschrift"/>
                <w:rFonts w:ascii="Times New Roman" w:hAnsi="Times New Roman"/>
                <w:sz w:val="24"/>
              </w:rPr>
              <w:t xml:space="preserve"> Išorės reitingais pagrįstas metodas (SEC-ERBA)</w:t>
            </w:r>
          </w:p>
          <w:p w:rsidR="007A1E2E" w:rsidRPr="00241190" w:rsidRDefault="007A1E2E" w:rsidP="002A6913">
            <w:pPr>
              <w:pStyle w:val="InstructionsText"/>
              <w:rPr>
                <w:rStyle w:val="InstructionsTabelleberschrift"/>
                <w:rFonts w:ascii="Times New Roman" w:hAnsi="Times New Roman"/>
                <w:sz w:val="24"/>
              </w:rPr>
            </w:pPr>
            <w:r>
              <w:t>KRR 254 straipsnio 1 dalies c punktas bei 2, 3 ir 4 dalys, 263, 264 ir 337 straipsniai.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tab/>
            </w:r>
            <w:r>
              <w:rPr>
                <w:rStyle w:val="InstructionsTabelleberschrift"/>
                <w:rFonts w:ascii="Times New Roman" w:hAnsi="Times New Roman"/>
                <w:sz w:val="24"/>
              </w:rPr>
              <w:t>Pakeitimo vertybiniais popieriais pozicijos, neatiti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reikalavimų</w:t>
            </w:r>
          </w:p>
          <w:p w:rsidR="007A1E2E" w:rsidRPr="00241190" w:rsidRDefault="007A1E2E" w:rsidP="002A6913">
            <w:pPr>
              <w:pStyle w:val="InstructionsText"/>
              <w:rPr>
                <w:rStyle w:val="InstructionsTabelleberschrift"/>
                <w:rFonts w:ascii="Times New Roman" w:hAnsi="Times New Roman"/>
                <w:sz w:val="24"/>
              </w:rPr>
            </w:pPr>
            <w:r>
              <w:t>KRR 254 straipsnio 1 dalies c punktas bei 2, 3 ir 4 dalys, 263 ir 337 straipsniai.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tab/>
            </w:r>
            <w:r>
              <w:rPr>
                <w:rStyle w:val="InstructionsTabelleberschrift"/>
                <w:rFonts w:ascii="Times New Roman" w:hAnsi="Times New Roman"/>
                <w:sz w:val="24"/>
              </w:rPr>
              <w:t>PSS pakeitimo vertybiniais popieriais pozicijos, 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reikalavimus</w:t>
            </w:r>
          </w:p>
          <w:p w:rsidR="007A1E2E" w:rsidRPr="00220265" w:rsidRDefault="007A1E2E" w:rsidP="00FD239F">
            <w:pPr>
              <w:pStyle w:val="InstructionsText"/>
            </w:pPr>
            <w:r>
              <w:t>KRR 254 straipsnio 1 dalies c punktas bei 2, 3 ir 4 dalys, 263, 264 ir 337 straipsniai.</w:t>
            </w:r>
          </w:p>
          <w:p w:rsidR="007A1E2E" w:rsidRPr="00241190" w:rsidRDefault="007A1E2E" w:rsidP="002A6913">
            <w:pPr>
              <w:pStyle w:val="InstructionsText"/>
              <w:rPr>
                <w:rStyle w:val="InstructionsTabelleberschrift"/>
                <w:rFonts w:ascii="Times New Roman" w:hAnsi="Times New Roman"/>
                <w:sz w:val="24"/>
              </w:rPr>
            </w:pPr>
            <w:r>
              <w:t>Šioje eilutėje nurodomos tiek PSS pakeitimo vertybiniais popieriais p</w:t>
            </w:r>
            <w:r>
              <w:t>o</w:t>
            </w:r>
            <w:r>
              <w:t xml:space="preserve">zicijos, atitinkančios diferencijuotos kapitalo tvarkos reikalavimus pagal </w:t>
            </w:r>
            <w:r>
              <w:lastRenderedPageBreak/>
              <w:t>KRR 243 straipsnį, tiek didesnio prioriteto MVĮ pakeitimo vertybiniais popieriais pozicijos, atitinkančios diferencijuotos kapitalo tvarkos reik</w:t>
            </w:r>
            <w:r>
              <w:t>a</w:t>
            </w:r>
            <w:r>
              <w:t>lavimus pagal KRR 270 straipsnį.</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tab/>
            </w:r>
            <w:r>
              <w:rPr>
                <w:rStyle w:val="InstructionsTabelleberschrift"/>
                <w:rFonts w:ascii="Times New Roman" w:hAnsi="Times New Roman"/>
                <w:sz w:val="24"/>
              </w:rPr>
              <w:t>Vidinio vertinimo metodas (IAA)</w:t>
            </w:r>
          </w:p>
          <w:p w:rsidR="007A1E2E" w:rsidRPr="00241190" w:rsidRDefault="007A1E2E" w:rsidP="002A6913">
            <w:pPr>
              <w:pStyle w:val="InstructionsText"/>
              <w:rPr>
                <w:rStyle w:val="InstructionsTabelleberschrift"/>
                <w:rFonts w:ascii="Times New Roman" w:hAnsi="Times New Roman"/>
                <w:sz w:val="24"/>
              </w:rPr>
            </w:pPr>
            <w:r>
              <w:t>KRR 254 straipsnio 5 dalis, 265, 266 ir 337 straipsniai.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tab/>
            </w:r>
            <w:r>
              <w:rPr>
                <w:rStyle w:val="InstructionsTabelleberschrift"/>
                <w:rFonts w:ascii="Times New Roman" w:hAnsi="Times New Roman"/>
                <w:sz w:val="24"/>
              </w:rPr>
              <w:t>Pakeitimo vertybiniais popieriais pozicijos, neatiti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reikalavimų</w:t>
            </w:r>
          </w:p>
          <w:p w:rsidR="007A1E2E" w:rsidRPr="00241190" w:rsidRDefault="007A1E2E" w:rsidP="002A6913">
            <w:pPr>
              <w:pStyle w:val="InstructionsText"/>
              <w:rPr>
                <w:rStyle w:val="InstructionsTabelleberschrift"/>
                <w:rFonts w:ascii="Times New Roman" w:hAnsi="Times New Roman"/>
                <w:sz w:val="24"/>
              </w:rPr>
            </w:pPr>
            <w:r>
              <w:t>KRR 254 straipsnio 5 dalis, 265, 266 ir 337 straipsniai.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tab/>
            </w:r>
            <w:r>
              <w:rPr>
                <w:rStyle w:val="InstructionsTabelleberschrift"/>
                <w:rFonts w:ascii="Times New Roman" w:hAnsi="Times New Roman"/>
                <w:sz w:val="24"/>
              </w:rPr>
              <w:t>PSS pakeitimo vertybiniais popieriais pozicijos, atiti</w:t>
            </w:r>
            <w:r>
              <w:rPr>
                <w:rStyle w:val="InstructionsTabelleberschrift"/>
                <w:rFonts w:ascii="Times New Roman" w:hAnsi="Times New Roman"/>
                <w:sz w:val="24"/>
              </w:rPr>
              <w:t>n</w:t>
            </w:r>
            <w:r>
              <w:rPr>
                <w:rStyle w:val="InstructionsTabelleberschrift"/>
                <w:rFonts w:ascii="Times New Roman" w:hAnsi="Times New Roman"/>
                <w:sz w:val="24"/>
              </w:rPr>
              <w:t>kančios diferencijuotos kapitalo tvarkos reikalavimus</w:t>
            </w:r>
          </w:p>
          <w:p w:rsidR="007A1E2E" w:rsidRPr="00220265" w:rsidRDefault="007A1E2E" w:rsidP="00FD239F">
            <w:pPr>
              <w:pStyle w:val="InstructionsText"/>
            </w:pPr>
            <w:r>
              <w:t>KRR 254 straipsnio 5 dalis, 265, 266 ir 337 straipsniai.</w:t>
            </w:r>
          </w:p>
          <w:p w:rsidR="007A1E2E" w:rsidRPr="00241190" w:rsidRDefault="007A1E2E" w:rsidP="002A6913">
            <w:pPr>
              <w:pStyle w:val="InstructionsText"/>
              <w:rPr>
                <w:rStyle w:val="InstructionsTabelleberschrift"/>
                <w:rFonts w:ascii="Times New Roman" w:hAnsi="Times New Roman"/>
                <w:sz w:val="24"/>
              </w:rPr>
            </w:pPr>
            <w:r>
              <w:t>Šioje eilutėje nurodomos tiek PSS pakeitimo vertybiniais popieriais p</w:t>
            </w:r>
            <w:r>
              <w:t>o</w:t>
            </w:r>
            <w:r>
              <w:t>zicijos, atitinkančios diferencijuotos kapitalo tvarkos reikalavimus pagal KRR 243 straipsnį, tiek didesnio prioriteto MVĮ pakeitimo vertybiniais popieriais pozicijos, atitinkančios diferencijuotos kapitalo tvarkos reik</w:t>
            </w:r>
            <w:r>
              <w:t>a</w:t>
            </w:r>
            <w:r>
              <w:t>lavimus pagal KRR 270 straipsnį.</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tab/>
            </w:r>
            <w:r>
              <w:rPr>
                <w:rStyle w:val="InstructionsTabelleberschrift"/>
                <w:rFonts w:ascii="Times New Roman" w:hAnsi="Times New Roman"/>
                <w:sz w:val="24"/>
              </w:rPr>
              <w:t xml:space="preserve"> Kita (RW = 1 250 %)</w:t>
            </w:r>
          </w:p>
          <w:p w:rsidR="007A1E2E" w:rsidRPr="00241190" w:rsidRDefault="007A1E2E" w:rsidP="002A6913">
            <w:pPr>
              <w:pStyle w:val="InstructionsText"/>
              <w:rPr>
                <w:rStyle w:val="InstructionsTabelleberschrift"/>
                <w:rFonts w:ascii="Times New Roman" w:hAnsi="Times New Roman"/>
                <w:sz w:val="24"/>
              </w:rPr>
            </w:pPr>
            <w:r>
              <w:t>KRR 254 straipsnio 7 dalis, 337 straipsnis.</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7" w:name="_Toc516210612"/>
      <w:bookmarkStart w:id="68" w:name="_Toc524010020"/>
      <w:r>
        <w:rPr>
          <w:rFonts w:ascii="Times New Roman" w:hAnsi="Times New Roman"/>
          <w:sz w:val="24"/>
          <w:u w:val="none"/>
        </w:rPr>
        <w:t>1.4.</w:t>
      </w:r>
      <w:r>
        <w:tab/>
      </w:r>
      <w:r>
        <w:rPr>
          <w:rFonts w:ascii="Times New Roman" w:hAnsi="Times New Roman"/>
          <w:sz w:val="24"/>
          <w:u w:val="none"/>
        </w:rPr>
        <w:t>C 03.00. KAPITALO PAKANKAMUMO KOEFICIENTAI IR KAPITALO LYGIAI (CA3)</w:t>
      </w:r>
      <w:bookmarkEnd w:id="67"/>
      <w:bookmarkEnd w:id="64"/>
      <w:bookmarkEnd w:id="68"/>
      <w:r>
        <w:rPr>
          <w:rFonts w:ascii="Times New Roman" w:hAnsi="Times New Roman"/>
          <w:sz w:val="24"/>
          <w:u w:val="none"/>
        </w:rPr>
        <w:t xml:space="preserve"> </w:t>
      </w:r>
      <w:bookmarkEnd w:id="65"/>
      <w:bookmarkEnd w:id="6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9" w:name="_Toc308175827"/>
      <w:bookmarkStart w:id="70" w:name="_Toc310414972"/>
      <w:bookmarkStart w:id="71" w:name="_Toc360188330"/>
      <w:bookmarkStart w:id="72" w:name="_Toc516210613"/>
      <w:bookmarkStart w:id="73" w:name="_Toc473560878"/>
      <w:bookmarkStart w:id="74" w:name="_Toc524010021"/>
      <w:r>
        <w:rPr>
          <w:rFonts w:ascii="Times New Roman" w:hAnsi="Times New Roman"/>
          <w:sz w:val="24"/>
          <w:u w:val="none"/>
        </w:rPr>
        <w:t>1.4.1.</w:t>
      </w:r>
      <w:r>
        <w:tab/>
      </w:r>
      <w:r>
        <w:rPr>
          <w:rFonts w:ascii="Times New Roman" w:hAnsi="Times New Roman"/>
          <w:sz w:val="24"/>
        </w:rPr>
        <w:t>Nurodymai dėl konkrečių</w:t>
      </w:r>
      <w:bookmarkEnd w:id="69"/>
      <w:bookmarkEnd w:id="70"/>
      <w:r>
        <w:rPr>
          <w:rFonts w:ascii="Times New Roman" w:hAnsi="Times New Roman"/>
          <w:sz w:val="24"/>
        </w:rPr>
        <w:t xml:space="preserve"> pozicijų</w:t>
      </w:r>
      <w:bookmarkEnd w:id="71"/>
      <w:bookmarkEnd w:id="72"/>
      <w:bookmarkEnd w:id="73"/>
      <w:bookmarkEnd w:id="7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Eilutės</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CET1 kapitalo pakankamumo koeficientas</w:t>
            </w:r>
          </w:p>
          <w:p w:rsidR="005643EA" w:rsidRPr="00392FFD" w:rsidRDefault="002648B0" w:rsidP="00FD239F">
            <w:pPr>
              <w:pStyle w:val="InstructionsText"/>
            </w:pPr>
            <w:r>
              <w:t>KRR 92 straipsnio 2 dalies a punktas.</w:t>
            </w:r>
          </w:p>
          <w:p w:rsidR="005643EA" w:rsidRPr="00392FFD" w:rsidRDefault="002648B0" w:rsidP="00FD239F">
            <w:pPr>
              <w:pStyle w:val="InstructionsText"/>
            </w:pPr>
            <w:r>
              <w:t>CET1 kapitalo pakankamumo koeficientas yra įstaigos CET1 kapitalas, išreikštas bendros rizikos pozicijos sumos procentine dalimi.</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CET1 kapitalo perviršis (+) / deficitas (–)</w:t>
            </w:r>
          </w:p>
          <w:p w:rsidR="005643EA" w:rsidRPr="00392FFD" w:rsidRDefault="002648B0" w:rsidP="00FD239F">
            <w:pPr>
              <w:pStyle w:val="InstructionsText"/>
            </w:pPr>
            <w:r>
              <w:t>Šiame straipsnyje parodomas absoliutusis CET1 kapitalo perviršio arba deficito dydis pagal KRR 92 straipsnio 1 dalies a punkte nustatytą reikalavimą (4,5 %), t. y. neatsižvelgiant į kapitalo rezervus ir pereinamojo laikotarpio nuostatas dėl pakankamumo koeficiento.</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T1 kapitalo pakankamumo koeficientas</w:t>
            </w:r>
          </w:p>
          <w:p w:rsidR="005643EA" w:rsidRPr="00392FFD" w:rsidRDefault="002648B0" w:rsidP="00FD239F">
            <w:pPr>
              <w:pStyle w:val="InstructionsText"/>
            </w:pPr>
            <w:r>
              <w:t>KRR 92 straipsnio 2 dalies b punktas.</w:t>
            </w:r>
          </w:p>
          <w:p w:rsidR="005643EA" w:rsidRPr="00392FFD" w:rsidRDefault="002648B0" w:rsidP="00FD239F">
            <w:pPr>
              <w:pStyle w:val="InstructionsText"/>
            </w:pPr>
            <w:r>
              <w:t>T1 kapitalo pakankamumo koeficientas yra įstaigos 1 lygio kapitalas, išreikštas bendros rizikos pozicijos sumos procentine dalimi.</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T1 kapitalo perviršis (+) / deficitas (–)</w:t>
            </w:r>
          </w:p>
          <w:p w:rsidR="005643EA" w:rsidRPr="00392FFD" w:rsidRDefault="002648B0" w:rsidP="00FD239F">
            <w:pPr>
              <w:pStyle w:val="InstructionsText"/>
            </w:pPr>
            <w:r>
              <w:t>Šiame straipsnyje parodomas absoliutusis T1 kapitalo perviršio arba deficito d</w:t>
            </w:r>
            <w:r>
              <w:t>y</w:t>
            </w:r>
            <w:r>
              <w:t xml:space="preserve">dis pagal KRR 92 straipsnio 1 dalies b punkte nustatytą reikalavimą (6 %), t. y. </w:t>
            </w:r>
            <w:r>
              <w:lastRenderedPageBreak/>
              <w:t>neatsižvelgiant į kapitalo rezervus ir pereinamojo laikotarpio nuostatas dėl p</w:t>
            </w:r>
            <w:r>
              <w:t>a</w:t>
            </w:r>
            <w:r>
              <w:t>kankamumo koeficiento.</w:t>
            </w:r>
          </w:p>
        </w:tc>
      </w:tr>
      <w:tr w:rsidR="002648B0" w:rsidRPr="00392FFD" w:rsidTr="00672D2A">
        <w:tc>
          <w:tcPr>
            <w:tcW w:w="703" w:type="dxa"/>
          </w:tcPr>
          <w:p w:rsidR="002648B0" w:rsidRPr="00392FFD" w:rsidRDefault="002648B0" w:rsidP="00FD239F">
            <w:pPr>
              <w:pStyle w:val="InstructionsText"/>
            </w:pPr>
            <w:r>
              <w:lastRenderedPageBreak/>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Bendras kapitalo pakankamumo koeficientas</w:t>
            </w:r>
          </w:p>
          <w:p w:rsidR="005643EA" w:rsidRPr="00392FFD" w:rsidRDefault="002648B0" w:rsidP="00FD239F">
            <w:pPr>
              <w:pStyle w:val="InstructionsText"/>
            </w:pPr>
            <w:r>
              <w:t>KRR 92 straipsnio 2 dalies c punktas.</w:t>
            </w:r>
          </w:p>
          <w:p w:rsidR="005643EA" w:rsidRPr="00392FFD" w:rsidRDefault="002648B0" w:rsidP="00FD239F">
            <w:pPr>
              <w:pStyle w:val="InstructionsText"/>
            </w:pPr>
            <w:r>
              <w:t>Bendras kapitalo pakankamumo koeficientas yra įstaigos nuosavos lėšos, išreik</w:t>
            </w:r>
            <w:r>
              <w:t>š</w:t>
            </w:r>
            <w:r>
              <w:t>tos bendros rizikos pozicijos sumos procentine dalimi.</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Viso kapitalo perviršis (+) / deficitas (-)</w:t>
            </w:r>
          </w:p>
          <w:p w:rsidR="005643EA" w:rsidRPr="00392FFD" w:rsidRDefault="002648B0" w:rsidP="00FD239F">
            <w:pPr>
              <w:pStyle w:val="InstructionsText"/>
            </w:pPr>
            <w:r>
              <w:t>Šiame straipsnyje parodomas absoliutusis nuosavų lėšų perviršio arba deficito dydis pagal KRR 92 straipsnio 1 dalies c punkte nustatytą reikalavimą (8 %), t. y. neatsižvelgiant į kapitalo rezervus ir pereinamojo laikotarpio nuostatas dėl p</w:t>
            </w:r>
            <w:r>
              <w:t>a</w:t>
            </w:r>
            <w:r>
              <w:t>kankamumo koeficiento.</w:t>
            </w:r>
          </w:p>
        </w:tc>
      </w:tr>
      <w:tr w:rsidR="009C083D" w:rsidRPr="00392FFD" w:rsidTr="00672D2A">
        <w:tc>
          <w:tcPr>
            <w:tcW w:w="703" w:type="dxa"/>
          </w:tcPr>
          <w:p w:rsidR="009C083D" w:rsidRDefault="009C083D" w:rsidP="00FD239F">
            <w:pPr>
              <w:pStyle w:val="InstructionsText"/>
            </w:pPr>
            <w:r>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Bendro SREP kapitalo reikalavimo (TSCR) koeficientas</w:t>
            </w:r>
          </w:p>
          <w:p w:rsidR="009C083D" w:rsidRDefault="009C083D" w:rsidP="00FD239F">
            <w:pPr>
              <w:pStyle w:val="InstructionsText"/>
            </w:pPr>
            <w:r>
              <w:t>Toliau nurodytų i ir ii punktų suma:</w:t>
            </w:r>
          </w:p>
          <w:p w:rsidR="009C083D" w:rsidRDefault="009C083D" w:rsidP="00FD239F">
            <w:pPr>
              <w:pStyle w:val="InstructionsText"/>
              <w:numPr>
                <w:ilvl w:val="0"/>
                <w:numId w:val="20"/>
              </w:numPr>
            </w:pPr>
            <w:r>
              <w:t xml:space="preserve">bendras kapitalo pakankamumo koeficientas (8 %), kaip nurodyta KRR 92 straipsnio 1 dalies c punkte; </w:t>
            </w:r>
          </w:p>
          <w:p w:rsidR="009C083D" w:rsidRDefault="009C083D" w:rsidP="00FD239F">
            <w:pPr>
              <w:pStyle w:val="InstructionsText"/>
              <w:numPr>
                <w:ilvl w:val="0"/>
                <w:numId w:val="20"/>
              </w:numPr>
            </w:pPr>
            <w:r>
              <w:t>papildomų nuosavų lėšų reikalavimų (II ramsčio reikalavimai, P2R) ko</w:t>
            </w:r>
            <w:r>
              <w:t>e</w:t>
            </w:r>
            <w:r>
              <w:t xml:space="preserve">ficientas, nustatytas pagal kriterijus, nurodytus </w:t>
            </w:r>
            <w:r>
              <w:rPr>
                <w:i/>
              </w:rPr>
              <w:t>EBI gairėse dėl priežiūr</w:t>
            </w:r>
            <w:r>
              <w:rPr>
                <w:i/>
              </w:rPr>
              <w:t>i</w:t>
            </w:r>
            <w:r>
              <w:rPr>
                <w:i/>
              </w:rPr>
              <w:t>nio tikrinimo ir vertinimo proceso bendros tvarkos bei metodikos ir pri</w:t>
            </w:r>
            <w:r>
              <w:rPr>
                <w:i/>
              </w:rPr>
              <w:t>e</w:t>
            </w:r>
            <w:r>
              <w:rPr>
                <w:i/>
              </w:rPr>
              <w:t>žiūrinio testavimo nepalankiausiomis sąlygomis</w:t>
            </w:r>
            <w:r>
              <w:t xml:space="preserve"> (EBA SREP GL).</w:t>
            </w:r>
          </w:p>
          <w:p w:rsidR="009C083D" w:rsidRDefault="009C083D" w:rsidP="00FD239F">
            <w:pPr>
              <w:pStyle w:val="InstructionsText"/>
            </w:pPr>
            <w:r>
              <w:t>Šiame straipsnyje atsižvelgiama į bendro SREP kapitalo reikalavimo (TSCR) koeficientą, kurį įstaigai pateikė kompetentinga institucija. TSCR yra apibrėžta EBA SREP GL 1.2 skirsnyje.</w:t>
            </w:r>
          </w:p>
          <w:p w:rsidR="00C9673B" w:rsidRPr="00201704" w:rsidRDefault="00236E33" w:rsidP="00FD239F">
            <w:pPr>
              <w:pStyle w:val="InstructionsText"/>
              <w:rPr>
                <w:rStyle w:val="InstructionsTabelleberschrift"/>
                <w:rFonts w:ascii="Times New Roman" w:hAnsi="Times New Roman"/>
                <w:b w:val="0"/>
                <w:bCs w:val="0"/>
                <w:sz w:val="24"/>
                <w:u w:val="none"/>
              </w:rPr>
            </w:pPr>
            <w:r>
              <w:t xml:space="preserve">Jei kompetentinga institucija nėra pateikusi papildomų nuosavų lėšų reikalavimų, nurodomas tik i punktas. </w:t>
            </w:r>
          </w:p>
        </w:tc>
      </w:tr>
      <w:tr w:rsidR="009C083D" w:rsidRPr="00392FFD" w:rsidTr="00672D2A">
        <w:tc>
          <w:tcPr>
            <w:tcW w:w="703" w:type="dxa"/>
          </w:tcPr>
          <w:p w:rsidR="009C083D" w:rsidRDefault="009C083D" w:rsidP="00FD239F">
            <w:pPr>
              <w:pStyle w:val="InstructionsText"/>
            </w:pPr>
            <w:r>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sudarytina iš CET1 kapitalo </w:t>
            </w:r>
          </w:p>
          <w:p w:rsidR="009C083D" w:rsidRDefault="009C083D" w:rsidP="00FD239F">
            <w:pPr>
              <w:pStyle w:val="InstructionsText"/>
            </w:pPr>
            <w:r>
              <w:t>Toliau nurodytų i ir ii punktų suma:</w:t>
            </w:r>
          </w:p>
          <w:p w:rsidR="009C083D" w:rsidRDefault="009C083D" w:rsidP="00FD239F">
            <w:pPr>
              <w:pStyle w:val="InstructionsText"/>
              <w:numPr>
                <w:ilvl w:val="0"/>
                <w:numId w:val="21"/>
              </w:numPr>
            </w:pPr>
            <w:r>
              <w:t>CET1 kapitalo pakankamumo koeficientas (4,5 %) pagal KRR 92 straipsnio 1 dalies a punktą;</w:t>
            </w:r>
          </w:p>
          <w:p w:rsidR="0002157C" w:rsidRPr="009068C9" w:rsidRDefault="009C083D" w:rsidP="00FD239F">
            <w:pPr>
              <w:pStyle w:val="InstructionsText"/>
              <w:numPr>
                <w:ilvl w:val="0"/>
                <w:numId w:val="21"/>
              </w:numPr>
              <w:rPr>
                <w:b/>
                <w:bCs/>
                <w:u w:val="single"/>
              </w:rPr>
            </w:pPr>
            <w:r>
              <w:t>P2R koeficiento, nurodyto 130 eilutės ii punkte, dalis, kuri, kompetenti</w:t>
            </w:r>
            <w:r>
              <w:t>n</w:t>
            </w:r>
            <w:r>
              <w:t>gos institucijos reikalavimu, laikytina CET1 kapitalo forma.</w:t>
            </w:r>
          </w:p>
          <w:p w:rsidR="009C083D" w:rsidRPr="00392FFD" w:rsidRDefault="005B54BB" w:rsidP="009068C9">
            <w:pPr>
              <w:pStyle w:val="InstructionsText"/>
              <w:rPr>
                <w:rStyle w:val="InstructionsTabelleberschrift"/>
                <w:rFonts w:ascii="Times New Roman" w:hAnsi="Times New Roman"/>
                <w:sz w:val="24"/>
              </w:rPr>
            </w:pPr>
            <w:r>
              <w:t>Jei kompetentinga institucija nėra pateikusi papildomų nuosavų lėšų reikalavimų, laikytinų CET1 kapitalo forma, nurodomas tik i punktas.</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sudarytina iš 1 lygio kapitalo</w:t>
            </w:r>
          </w:p>
          <w:p w:rsidR="009C083D" w:rsidRDefault="009C083D" w:rsidP="00FD239F">
            <w:pPr>
              <w:pStyle w:val="InstructionsText"/>
            </w:pPr>
            <w:r>
              <w:t>Toliau nurodytų i ir ii punktų suma:</w:t>
            </w:r>
          </w:p>
          <w:p w:rsidR="009C083D" w:rsidRDefault="009C083D" w:rsidP="00FD239F">
            <w:pPr>
              <w:pStyle w:val="InstructionsText"/>
              <w:numPr>
                <w:ilvl w:val="0"/>
                <w:numId w:val="22"/>
              </w:numPr>
            </w:pPr>
            <w:r>
              <w:t>1 lygio kapitalo pakankamumo koeficientas (6 %) pagal KRR 92 straip</w:t>
            </w:r>
            <w:r>
              <w:t>s</w:t>
            </w:r>
            <w:r>
              <w:t>nio 1 dalies b punktą;</w:t>
            </w:r>
          </w:p>
          <w:p w:rsidR="009C083D" w:rsidRPr="009068C9" w:rsidRDefault="009C083D" w:rsidP="00FD239F">
            <w:pPr>
              <w:pStyle w:val="InstructionsText"/>
              <w:numPr>
                <w:ilvl w:val="0"/>
                <w:numId w:val="22"/>
              </w:numPr>
              <w:rPr>
                <w:bCs/>
                <w:u w:val="single"/>
              </w:rPr>
            </w:pPr>
            <w:r>
              <w:t>P2R koeficiento, nurodyto 130 eilutės ii punkte, dalis, kuri, kompetenti</w:t>
            </w:r>
            <w:r>
              <w:t>n</w:t>
            </w:r>
            <w:r>
              <w:t>gos institucijos reikalavimu, laikytina 1 lygio kapitalo forma.</w:t>
            </w:r>
          </w:p>
          <w:p w:rsidR="00DA6CB8" w:rsidRPr="007615A8" w:rsidRDefault="005B54BB" w:rsidP="009068C9">
            <w:pPr>
              <w:pStyle w:val="InstructionsText"/>
              <w:rPr>
                <w:rStyle w:val="InstructionsTabelleberschrift"/>
                <w:rFonts w:ascii="Times New Roman" w:hAnsi="Times New Roman"/>
                <w:b w:val="0"/>
                <w:sz w:val="24"/>
              </w:rPr>
            </w:pPr>
            <w:r>
              <w:t>Jei kompetentinga institucija nėra pateikusi papildomų nuosavų lėšų reikalavimų, laikytinų 1 lygio kapitalo forma, nurodomas tik i punktas.</w:t>
            </w:r>
          </w:p>
        </w:tc>
      </w:tr>
      <w:tr w:rsidR="009C083D" w:rsidRPr="00392FFD" w:rsidTr="00672D2A">
        <w:tc>
          <w:tcPr>
            <w:tcW w:w="703" w:type="dxa"/>
          </w:tcPr>
          <w:p w:rsidR="009C083D" w:rsidRPr="00392FFD" w:rsidRDefault="009C083D" w:rsidP="00FD239F">
            <w:pPr>
              <w:pStyle w:val="InstructionsText"/>
            </w:pPr>
            <w:r>
              <w:lastRenderedPageBreak/>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Bendro kapitalo reikalavimo (OCR) koeficientas</w:t>
            </w:r>
          </w:p>
          <w:p w:rsidR="009C083D" w:rsidRDefault="009C083D" w:rsidP="00FD239F">
            <w:pPr>
              <w:pStyle w:val="InstructionsText"/>
            </w:pPr>
            <w:r>
              <w:t>Toliau nurodytų i ir ii punktų suma:</w:t>
            </w:r>
          </w:p>
          <w:p w:rsidR="009C083D" w:rsidRDefault="009C083D" w:rsidP="00FD239F">
            <w:pPr>
              <w:pStyle w:val="InstructionsText"/>
              <w:numPr>
                <w:ilvl w:val="0"/>
                <w:numId w:val="23"/>
              </w:numPr>
            </w:pPr>
            <w:r>
              <w:t>130 eilutėje nurodytas TSCR koeficientas;</w:t>
            </w:r>
          </w:p>
          <w:p w:rsidR="009C083D" w:rsidRDefault="009C083D" w:rsidP="00FD239F">
            <w:pPr>
              <w:pStyle w:val="InstructionsText"/>
              <w:numPr>
                <w:ilvl w:val="0"/>
                <w:numId w:val="23"/>
              </w:numPr>
            </w:pPr>
            <w:r>
              <w:t>kiek tai teisiniu požiūriu taikytina, jungtinio rezervo reikalavimo koef</w:t>
            </w:r>
            <w:r>
              <w:t>i</w:t>
            </w:r>
            <w:r>
              <w:t>cientas, nurodytas KRD 128 straipsnio 6 punkte.</w:t>
            </w:r>
          </w:p>
          <w:p w:rsidR="005B54BB" w:rsidRDefault="009C083D" w:rsidP="00FD239F">
            <w:pPr>
              <w:pStyle w:val="InstructionsText"/>
            </w:pPr>
            <w:r>
              <w:t>Šiame straipsnyje atsižvelgiama į bendro kapitalo reikalavimo (OCR) koeficie</w:t>
            </w:r>
            <w:r>
              <w:t>n</w:t>
            </w:r>
            <w:r>
              <w:t>tą, apibrėžtą EBA SREP GL 1.2 skirsnyje.</w:t>
            </w:r>
          </w:p>
          <w:p w:rsidR="00645573" w:rsidRPr="00392FFD" w:rsidRDefault="007260DA" w:rsidP="00FD239F">
            <w:pPr>
              <w:pStyle w:val="InstructionsText"/>
              <w:rPr>
                <w:rStyle w:val="InstructionsTabelleberschrift"/>
                <w:rFonts w:ascii="Times New Roman" w:hAnsi="Times New Roman"/>
                <w:sz w:val="24"/>
              </w:rPr>
            </w:pPr>
            <w:r>
              <w:t>Jei joks rezervo reikalavimas nėra taikomas, nurodomas tik i punktas.</w:t>
            </w:r>
          </w:p>
        </w:tc>
      </w:tr>
      <w:tr w:rsidR="009C083D" w:rsidRPr="00392FFD" w:rsidTr="00672D2A">
        <w:tc>
          <w:tcPr>
            <w:tcW w:w="703" w:type="dxa"/>
          </w:tcPr>
          <w:p w:rsidR="009C083D" w:rsidRPr="00392FFD" w:rsidRDefault="009C083D" w:rsidP="00FD239F">
            <w:pPr>
              <w:pStyle w:val="InstructionsText"/>
            </w:pPr>
            <w:r>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sudarytina iš CET1 kapitalo </w:t>
            </w:r>
          </w:p>
          <w:p w:rsidR="009C083D" w:rsidRDefault="009C083D" w:rsidP="00FD239F">
            <w:pPr>
              <w:pStyle w:val="InstructionsText"/>
            </w:pPr>
            <w:r>
              <w:t>Toliau nurodytų i ir ii punktų suma:</w:t>
            </w:r>
          </w:p>
          <w:p w:rsidR="009C083D" w:rsidRDefault="009C083D" w:rsidP="00FD239F">
            <w:pPr>
              <w:pStyle w:val="InstructionsText"/>
              <w:numPr>
                <w:ilvl w:val="0"/>
                <w:numId w:val="24"/>
              </w:numPr>
            </w:pPr>
            <w:r>
              <w:t>TSCR koeficientas, sudarytinas iš CET1 kapitalo, nurodytas 140 eilutėje;</w:t>
            </w:r>
          </w:p>
          <w:p w:rsidR="009C083D" w:rsidRPr="009068C9" w:rsidRDefault="009C083D" w:rsidP="00FD239F">
            <w:pPr>
              <w:pStyle w:val="InstructionsText"/>
              <w:numPr>
                <w:ilvl w:val="0"/>
                <w:numId w:val="24"/>
              </w:numPr>
              <w:rPr>
                <w:bCs/>
                <w:u w:val="single"/>
              </w:rPr>
            </w:pPr>
            <w:r>
              <w:t>kiek tai teisiniu požiūriu taikytina, jungtinio rezervo reikalavimo koef</w:t>
            </w:r>
            <w:r>
              <w:t>i</w:t>
            </w:r>
            <w:r>
              <w:t>cientas, nurodytas KRD 128 straipsnio 6 punkte.</w:t>
            </w:r>
          </w:p>
          <w:p w:rsidR="00BA325A" w:rsidRPr="007615A8" w:rsidRDefault="00087E1A" w:rsidP="009068C9">
            <w:pPr>
              <w:pStyle w:val="InstructionsText"/>
              <w:rPr>
                <w:rStyle w:val="InstructionsTabelleberschrift"/>
                <w:rFonts w:ascii="Times New Roman" w:hAnsi="Times New Roman"/>
                <w:b w:val="0"/>
                <w:sz w:val="24"/>
              </w:rPr>
            </w:pPr>
            <w:r>
              <w:t>Jei joks rezervo reikalavimas nėra taikomas, nurodomas tik i punktas.</w:t>
            </w:r>
          </w:p>
        </w:tc>
      </w:tr>
      <w:tr w:rsidR="009C083D" w:rsidRPr="00392FFD" w:rsidTr="00672D2A">
        <w:tc>
          <w:tcPr>
            <w:tcW w:w="703" w:type="dxa"/>
          </w:tcPr>
          <w:p w:rsidR="009C083D" w:rsidRPr="00392FFD" w:rsidRDefault="009C083D" w:rsidP="00FD239F">
            <w:pPr>
              <w:pStyle w:val="InstructionsText"/>
            </w:pPr>
            <w:r>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sudarytina iš 1 lygio kapitalo</w:t>
            </w:r>
          </w:p>
          <w:p w:rsidR="009C083D" w:rsidRDefault="009C083D" w:rsidP="00FD239F">
            <w:pPr>
              <w:pStyle w:val="InstructionsText"/>
            </w:pPr>
            <w:r>
              <w:t>Toliau nurodytų i ir ii punktų suma:</w:t>
            </w:r>
          </w:p>
          <w:p w:rsidR="009C083D" w:rsidRDefault="009C083D" w:rsidP="00FD239F">
            <w:pPr>
              <w:pStyle w:val="InstructionsText"/>
              <w:numPr>
                <w:ilvl w:val="0"/>
                <w:numId w:val="25"/>
              </w:numPr>
            </w:pPr>
            <w:r>
              <w:t>TSCR koeficientas, sudarytinas iš 1 lygio kapitalo, nurodytas 150 eilut</w:t>
            </w:r>
            <w:r>
              <w:t>ė</w:t>
            </w:r>
            <w:r>
              <w:t>je;</w:t>
            </w:r>
          </w:p>
          <w:p w:rsidR="009C083D" w:rsidRPr="009068C9" w:rsidRDefault="009C083D" w:rsidP="00FD239F">
            <w:pPr>
              <w:pStyle w:val="InstructionsText"/>
              <w:numPr>
                <w:ilvl w:val="0"/>
                <w:numId w:val="25"/>
              </w:numPr>
              <w:rPr>
                <w:bCs/>
                <w:u w:val="single"/>
              </w:rPr>
            </w:pPr>
            <w:r>
              <w:t>kiek tai teisiniu požiūriu taikytina, jungtinio rezervo reikalavimo koef</w:t>
            </w:r>
            <w:r>
              <w:t>i</w:t>
            </w:r>
            <w:r>
              <w:t>cientas, nurodytas KRD 128 straipsnio 6 punkte.</w:t>
            </w:r>
          </w:p>
          <w:p w:rsidR="00BA325A" w:rsidRPr="007615A8" w:rsidRDefault="00087E1A" w:rsidP="009068C9">
            <w:pPr>
              <w:pStyle w:val="InstructionsText"/>
              <w:rPr>
                <w:rStyle w:val="InstructionsTabelleberschrift"/>
                <w:rFonts w:ascii="Times New Roman" w:hAnsi="Times New Roman"/>
                <w:b w:val="0"/>
                <w:sz w:val="24"/>
              </w:rPr>
            </w:pPr>
            <w:r>
              <w:t>Jei joks rezervo reikalavimas nėra taikomas, nurodomas tik i punktas.</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Bendro kapitalo reikalavimo (OCR) ir II ramsčio gairių (P2G) koef</w:t>
            </w:r>
            <w:r>
              <w:rPr>
                <w:rStyle w:val="InstructionsTabelleberschrift"/>
                <w:rFonts w:ascii="Times New Roman" w:hAnsi="Times New Roman"/>
                <w:sz w:val="24"/>
              </w:rPr>
              <w:t>i</w:t>
            </w:r>
            <w:r>
              <w:rPr>
                <w:rStyle w:val="InstructionsTabelleberschrift"/>
                <w:rFonts w:ascii="Times New Roman" w:hAnsi="Times New Roman"/>
                <w:sz w:val="24"/>
              </w:rPr>
              <w:t>cientas</w:t>
            </w:r>
          </w:p>
          <w:p w:rsidR="009C083D" w:rsidRDefault="009C083D" w:rsidP="00FD239F">
            <w:pPr>
              <w:pStyle w:val="InstructionsText"/>
            </w:pPr>
            <w:r>
              <w:t>Toliau nurodytų i ir ii punktų suma:</w:t>
            </w:r>
          </w:p>
          <w:p w:rsidR="009C083D" w:rsidRDefault="009C083D" w:rsidP="00FD239F">
            <w:pPr>
              <w:pStyle w:val="InstructionsText"/>
              <w:numPr>
                <w:ilvl w:val="0"/>
                <w:numId w:val="26"/>
              </w:numPr>
            </w:pPr>
            <w:r>
              <w:t>160 eilutėje nurodytas OCR koeficientas;</w:t>
            </w:r>
          </w:p>
          <w:p w:rsidR="009C083D" w:rsidRPr="009068C9" w:rsidRDefault="009C083D" w:rsidP="00FD239F">
            <w:pPr>
              <w:pStyle w:val="InstructionsText"/>
              <w:numPr>
                <w:ilvl w:val="0"/>
                <w:numId w:val="26"/>
              </w:numPr>
              <w:rPr>
                <w:bCs/>
                <w:u w:val="single"/>
              </w:rPr>
            </w:pPr>
            <w:r>
              <w:t>atitinkamais atvejais II ramsčio gairių (P2G) koeficientas, apibrėžtas EBA SREP GL. P2G įtraukiamas tik tuo atveju, jei kompetentinga inst</w:t>
            </w:r>
            <w:r>
              <w:t>i</w:t>
            </w:r>
            <w:r>
              <w:t>tucija yra jį pateikusi įstaigai.</w:t>
            </w:r>
          </w:p>
          <w:p w:rsidR="0047693D" w:rsidRPr="007615A8" w:rsidRDefault="005B54BB" w:rsidP="009068C9">
            <w:pPr>
              <w:pStyle w:val="InstructionsText"/>
              <w:rPr>
                <w:rStyle w:val="InstructionsTabelleberschrift"/>
                <w:rFonts w:ascii="Times New Roman" w:hAnsi="Times New Roman"/>
                <w:b w:val="0"/>
                <w:sz w:val="24"/>
              </w:rPr>
            </w:pPr>
            <w:r>
              <w:t xml:space="preserve">Jei kompetentinga institucija nėra pateikusi P2G, nurodomas tik i punktas.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ir P2G: sudarytina iš CET1 kapitalo </w:t>
            </w:r>
          </w:p>
          <w:p w:rsidR="009C083D" w:rsidRDefault="009C083D" w:rsidP="00FD239F">
            <w:pPr>
              <w:pStyle w:val="InstructionsText"/>
            </w:pPr>
            <w:r>
              <w:t>Toliau nurodytų i ir ii punktų suma:</w:t>
            </w:r>
          </w:p>
          <w:p w:rsidR="009C083D" w:rsidRDefault="009C083D" w:rsidP="00FD239F">
            <w:pPr>
              <w:pStyle w:val="InstructionsText"/>
              <w:numPr>
                <w:ilvl w:val="0"/>
                <w:numId w:val="27"/>
              </w:numPr>
            </w:pPr>
            <w:r>
              <w:t>OCR koeficientas, sudarytinas iš CET1 kapitalo, nurodytas 170 eilutėje;</w:t>
            </w:r>
          </w:p>
          <w:p w:rsidR="009C083D" w:rsidRPr="009068C9" w:rsidRDefault="009C083D" w:rsidP="00FD239F">
            <w:pPr>
              <w:pStyle w:val="InstructionsText"/>
              <w:numPr>
                <w:ilvl w:val="0"/>
                <w:numId w:val="27"/>
              </w:numPr>
              <w:rPr>
                <w:bCs/>
                <w:u w:val="single"/>
              </w:rPr>
            </w:pPr>
            <w:r>
              <w:t>atitinkamais atvejais P2R koeficiento, nurodyto 190 eilutės ii punkte, d</w:t>
            </w:r>
            <w:r>
              <w:t>a</w:t>
            </w:r>
            <w:r>
              <w:t>lis, kuri, kompetentingos institucijos reikalavimu, laikytina CET1 kapit</w:t>
            </w:r>
            <w:r>
              <w:t>a</w:t>
            </w:r>
            <w:r>
              <w:t>lo forma. P2G įtraukiamas tik tuo atveju, jei kompetentinga institucija yra jį pateikusi įstaigai.</w:t>
            </w:r>
          </w:p>
          <w:p w:rsidR="0047693D" w:rsidRPr="007615A8" w:rsidRDefault="005B54BB" w:rsidP="009068C9">
            <w:pPr>
              <w:pStyle w:val="InstructionsText"/>
              <w:rPr>
                <w:rStyle w:val="InstructionsTabelleberschrift"/>
                <w:rFonts w:ascii="Times New Roman" w:hAnsi="Times New Roman"/>
                <w:b w:val="0"/>
                <w:sz w:val="24"/>
              </w:rPr>
            </w:pPr>
            <w:r>
              <w:t>Jei kompetentinga institucija nėra pateikusi P2G, nurodomas tik i punktas.</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ir P2G: sudarytina iš 1 lygio kapitalo </w:t>
            </w:r>
          </w:p>
          <w:p w:rsidR="009C083D" w:rsidRDefault="009C083D" w:rsidP="00FD239F">
            <w:pPr>
              <w:pStyle w:val="InstructionsText"/>
            </w:pPr>
            <w:r>
              <w:lastRenderedPageBreak/>
              <w:t>Toliau nurodytų i ir ii punktų suma:</w:t>
            </w:r>
          </w:p>
          <w:p w:rsidR="009C083D" w:rsidRDefault="009C083D" w:rsidP="00FD239F">
            <w:pPr>
              <w:pStyle w:val="InstructionsText"/>
              <w:numPr>
                <w:ilvl w:val="0"/>
                <w:numId w:val="28"/>
              </w:numPr>
            </w:pPr>
            <w:r>
              <w:t>OCR koeficientas, sudarytinas iš 1 lygio kapitalo, nurodytas 180 eilutėje;</w:t>
            </w:r>
          </w:p>
          <w:p w:rsidR="009C083D" w:rsidRDefault="009C083D" w:rsidP="00FD239F">
            <w:pPr>
              <w:pStyle w:val="InstructionsText"/>
              <w:numPr>
                <w:ilvl w:val="0"/>
                <w:numId w:val="28"/>
              </w:numPr>
            </w:pPr>
            <w:r>
              <w:t>atitinkamais atvejais P2R koeficiento, nurodyto 190 eilutės ii punkte, d</w:t>
            </w:r>
            <w:r>
              <w:t>a</w:t>
            </w:r>
            <w:r>
              <w:t>lis, kuri, kompetentingos institucijos reikalavimu, laikytina 1 lygio kap</w:t>
            </w:r>
            <w:r>
              <w:t>i</w:t>
            </w:r>
            <w:r>
              <w:t>talo forma. P2G įtraukiamas tik tuo atveju, jei kompetentinga institucija yra jį pateikusi įstaigai.</w:t>
            </w:r>
          </w:p>
          <w:p w:rsidR="0047693D" w:rsidRPr="007615A8" w:rsidRDefault="005B54BB" w:rsidP="009068C9">
            <w:pPr>
              <w:pStyle w:val="InstructionsText"/>
              <w:rPr>
                <w:rStyle w:val="InstructionsTabelleberschrift"/>
                <w:rFonts w:ascii="Times New Roman" w:hAnsi="Times New Roman"/>
                <w:b w:val="0"/>
                <w:bCs w:val="0"/>
                <w:sz w:val="24"/>
                <w:u w:val="none"/>
              </w:rPr>
            </w:pPr>
            <w:r>
              <w:t>Jei kompetentinga institucija nėra pateikusi P2G, nurodomas tik i punktas.</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5" w:name="_Toc516210614"/>
      <w:bookmarkStart w:id="76" w:name="_Toc473560879"/>
      <w:bookmarkStart w:id="77" w:name="_Toc308175830"/>
      <w:bookmarkStart w:id="78" w:name="_Toc360188331"/>
      <w:bookmarkStart w:id="79" w:name="_Toc524010022"/>
      <w:r>
        <w:rPr>
          <w:rFonts w:ascii="Times New Roman" w:hAnsi="Times New Roman"/>
          <w:sz w:val="24"/>
          <w:u w:val="none"/>
        </w:rPr>
        <w:t>1.5.</w:t>
      </w:r>
      <w:r>
        <w:tab/>
      </w:r>
      <w:r>
        <w:rPr>
          <w:rFonts w:ascii="Times New Roman" w:hAnsi="Times New Roman"/>
          <w:sz w:val="24"/>
        </w:rPr>
        <w:t>C 04.00. PAPILDOMI STRAIPSNIAI (CA4)</w:t>
      </w:r>
      <w:bookmarkEnd w:id="75"/>
      <w:bookmarkEnd w:id="76"/>
      <w:bookmarkEnd w:id="79"/>
      <w:r>
        <w:rPr>
          <w:rFonts w:ascii="Times New Roman" w:hAnsi="Times New Roman"/>
          <w:sz w:val="24"/>
        </w:rPr>
        <w:t xml:space="preserve"> </w:t>
      </w:r>
      <w:bookmarkEnd w:id="77"/>
      <w:bookmarkEnd w:id="78"/>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0" w:name="_Toc308175831"/>
      <w:bookmarkStart w:id="81" w:name="_Toc310414974"/>
      <w:bookmarkStart w:id="82" w:name="_Toc360188332"/>
      <w:bookmarkStart w:id="83" w:name="_Toc516210615"/>
      <w:bookmarkStart w:id="84" w:name="_Toc473560880"/>
      <w:bookmarkStart w:id="85" w:name="_Toc524010023"/>
      <w:r>
        <w:rPr>
          <w:rFonts w:ascii="Times New Roman" w:hAnsi="Times New Roman"/>
          <w:sz w:val="24"/>
          <w:u w:val="none"/>
        </w:rPr>
        <w:t>1.5.1.</w:t>
      </w:r>
      <w:r>
        <w:tab/>
      </w:r>
      <w:r>
        <w:rPr>
          <w:rFonts w:ascii="Times New Roman" w:hAnsi="Times New Roman"/>
          <w:sz w:val="24"/>
        </w:rPr>
        <w:t>Nurodymai dėl konkrečių</w:t>
      </w:r>
      <w:bookmarkEnd w:id="80"/>
      <w:bookmarkEnd w:id="81"/>
      <w:r>
        <w:rPr>
          <w:rFonts w:ascii="Times New Roman" w:hAnsi="Times New Roman"/>
          <w:sz w:val="24"/>
        </w:rPr>
        <w:t xml:space="preserve"> pozicijų</w:t>
      </w:r>
      <w:bookmarkEnd w:id="82"/>
      <w:bookmarkEnd w:id="83"/>
      <w:bookmarkEnd w:id="84"/>
      <w:bookmarkEnd w:id="85"/>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Eilutės</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Bendra atidėtųjų mokesčių turto suma</w:t>
            </w:r>
          </w:p>
          <w:p w:rsidR="005643EA" w:rsidRPr="00392FFD" w:rsidRDefault="002648B0" w:rsidP="00FD239F">
            <w:pPr>
              <w:pStyle w:val="InstructionsText"/>
            </w:pPr>
            <w:r>
              <w:t>Šiame straipsnyje nurodoma suma yra lygi naujausiame patikrintame ar audituotame balanse įrašytai sumai.</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Atidėtųjų mokesčių turtas, kuris nepriklauso nuo būsimo pelningumo</w:t>
            </w:r>
          </w:p>
          <w:p w:rsidR="005643EA" w:rsidRPr="00392FFD" w:rsidRDefault="002648B0" w:rsidP="00FD239F">
            <w:pPr>
              <w:pStyle w:val="InstructionsText"/>
            </w:pPr>
            <w:r>
              <w:t>KRR 39 straipsnio 2 dalis.</w:t>
            </w:r>
          </w:p>
          <w:p w:rsidR="005643EA" w:rsidRPr="00392FFD" w:rsidRDefault="002648B0" w:rsidP="00FD239F">
            <w:pPr>
              <w:pStyle w:val="InstructionsText"/>
            </w:pPr>
            <w:r>
              <w:t>Atidėtųjų mokesčių turtas, kuris nepriklauso nuo būsimo pelningumo ir kuriam dėl to yra taikomas rizikos koeficientas.</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Atidėtųjų mokesčių turtas, kuris priklauso nuo būsimo pe</w:t>
            </w:r>
            <w:r>
              <w:rPr>
                <w:rStyle w:val="InstructionsTabelleberschrift"/>
                <w:rFonts w:ascii="Times New Roman" w:hAnsi="Times New Roman"/>
                <w:sz w:val="24"/>
              </w:rPr>
              <w:t>l</w:t>
            </w:r>
            <w:r>
              <w:rPr>
                <w:rStyle w:val="InstructionsTabelleberschrift"/>
                <w:rFonts w:ascii="Times New Roman" w:hAnsi="Times New Roman"/>
                <w:sz w:val="24"/>
              </w:rPr>
              <w:t>ningumo ir susidaro ne dėl laikinųjų skirtumų</w:t>
            </w:r>
          </w:p>
          <w:p w:rsidR="005643EA" w:rsidRPr="00392FFD" w:rsidRDefault="002648B0" w:rsidP="00FD239F">
            <w:pPr>
              <w:pStyle w:val="InstructionsText"/>
            </w:pPr>
            <w:r>
              <w:t>KRR 36 straipsnio 1 dalies c punktas ir 38 straipsnis.</w:t>
            </w:r>
          </w:p>
          <w:p w:rsidR="005643EA" w:rsidRPr="00392FFD" w:rsidRDefault="002648B0" w:rsidP="00FD239F">
            <w:pPr>
              <w:pStyle w:val="InstructionsText"/>
            </w:pPr>
            <w:r>
              <w:t>Atidėtųjų mokesčių turtas, kuris priklauso nuo būsimo pelningumo, bet susidaro ne dėl laikinųjų skirtumų, todėl jam netaikomos jokios ribos (t. y. jis visas atskaitomas iš CET1).</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Atidėtųjų mokesčių turtas, kuris priklauso nuo būsimo pe</w:t>
            </w:r>
            <w:r>
              <w:rPr>
                <w:rStyle w:val="InstructionsTabelleberschrift"/>
                <w:rFonts w:ascii="Times New Roman" w:hAnsi="Times New Roman"/>
                <w:sz w:val="24"/>
              </w:rPr>
              <w:t>l</w:t>
            </w:r>
            <w:r>
              <w:rPr>
                <w:rStyle w:val="InstructionsTabelleberschrift"/>
                <w:rFonts w:ascii="Times New Roman" w:hAnsi="Times New Roman"/>
                <w:sz w:val="24"/>
              </w:rPr>
              <w:t>ningumo ir susidaro dėl laikinųjų skirtumų</w:t>
            </w:r>
          </w:p>
          <w:p w:rsidR="005643EA" w:rsidRPr="00392FFD" w:rsidRDefault="002648B0" w:rsidP="00FD239F">
            <w:pPr>
              <w:pStyle w:val="InstructionsText"/>
            </w:pPr>
            <w:r>
              <w:t>KRR 36 straipsnio 1 dalies c punktas; 38 straipsnis ir 48 straipsnio 1 d</w:t>
            </w:r>
            <w:r>
              <w:t>a</w:t>
            </w:r>
            <w:r>
              <w:t>lies a punktas.</w:t>
            </w:r>
          </w:p>
          <w:p w:rsidR="005643EA" w:rsidRPr="00392FFD" w:rsidRDefault="002648B0" w:rsidP="00FD239F">
            <w:pPr>
              <w:pStyle w:val="InstructionsText"/>
            </w:pPr>
            <w:r>
              <w:t>Atidėtųjų mokesčių turtas, kuris priklauso nuo būsimo pelningumo ir s</w:t>
            </w:r>
            <w:r>
              <w:t>u</w:t>
            </w:r>
            <w:r>
              <w:t>sidaro dėl laikinųjų skirtumų, todėl iš CET1 jis atskaitomas laikantis 10 % ir 17,65 % ribos pagal KRR 48 straipsnį.</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Bendra atidėtųjų mokesčių įsipareigojimų suma</w:t>
            </w:r>
          </w:p>
          <w:p w:rsidR="005643EA" w:rsidRPr="00392FFD" w:rsidRDefault="002648B0" w:rsidP="00FD239F">
            <w:pPr>
              <w:pStyle w:val="InstructionsText"/>
            </w:pPr>
            <w:r>
              <w:t>Šiame straipsnyje nurodoma suma yra lygi naujausiame patikrintame ar audituotame balanse įrašytai sumai.</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Atidėtųjų mokesčių įsipareigojimai, kurie nėra atskaitomi iš atidėtųjų mokesčių turto, kuris priklauso nuo būsimo pelningumo</w:t>
            </w:r>
          </w:p>
          <w:p w:rsidR="005643EA" w:rsidRPr="00392FFD" w:rsidRDefault="002648B0" w:rsidP="00FD239F">
            <w:pPr>
              <w:pStyle w:val="InstructionsText"/>
            </w:pPr>
            <w:r>
              <w:lastRenderedPageBreak/>
              <w:t>KRR 38 straipsnio 3 ir 4 dalys.</w:t>
            </w:r>
          </w:p>
          <w:p w:rsidR="005643EA" w:rsidRPr="00392FFD" w:rsidRDefault="002648B0" w:rsidP="00FD239F">
            <w:pPr>
              <w:pStyle w:val="InstructionsText"/>
            </w:pPr>
            <w:r>
              <w:t>Atidėtųjų mokesčių įsipareigojimai, kai nėra įvykdytos KRR 38 straip</w:t>
            </w:r>
            <w:r>
              <w:t>s</w:t>
            </w:r>
            <w:r>
              <w:t>nio 3 ir 4 dalių sąlygos. Taigi į šį straipsnį įtraukiami atidėtųjų mokesčių įsipareigojimai, kuriais mažinama reikalaujama atskaityti prestižo, kito nematerialiojo turto arba nustatytų išmokų pensijų fondo turto suma ir kurie atitinkamai yra nurodyti CA1 formos 1.1.1.10.3, 1.1.1.11.2 ir 1.1.1.14.2 punktuose.</w:t>
            </w:r>
          </w:p>
        </w:tc>
      </w:tr>
      <w:tr w:rsidR="002648B0" w:rsidRPr="00392FFD" w:rsidTr="00672D2A">
        <w:tc>
          <w:tcPr>
            <w:tcW w:w="1506" w:type="dxa"/>
          </w:tcPr>
          <w:p w:rsidR="002648B0" w:rsidRPr="00392FFD" w:rsidRDefault="002648B0" w:rsidP="00FD239F">
            <w:pPr>
              <w:pStyle w:val="InstructionsText"/>
            </w:pPr>
            <w:r>
              <w:lastRenderedPageBreak/>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Atidėtųjų mokesčių įsipareigojimai, kurie yra atskaitomi iš atidėtųjų mokesčių turto, kuris priklauso nuo būsimo pelningumo</w:t>
            </w:r>
          </w:p>
          <w:p w:rsidR="005643EA" w:rsidRPr="00392FFD" w:rsidRDefault="002648B0" w:rsidP="00FD239F">
            <w:pPr>
              <w:pStyle w:val="InstructionsText"/>
            </w:pPr>
            <w:r>
              <w:t>KRR 38 straipsnis.</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Atskaitomi atidėtųjų mokesčių įsipareigojimai, susiję su at</w:t>
            </w:r>
            <w:r>
              <w:rPr>
                <w:rStyle w:val="InstructionsTabelleberschrift"/>
                <w:rFonts w:ascii="Times New Roman" w:hAnsi="Times New Roman"/>
                <w:sz w:val="24"/>
              </w:rPr>
              <w:t>i</w:t>
            </w:r>
            <w:r>
              <w:rPr>
                <w:rStyle w:val="InstructionsTabelleberschrift"/>
                <w:rFonts w:ascii="Times New Roman" w:hAnsi="Times New Roman"/>
                <w:sz w:val="24"/>
              </w:rPr>
              <w:t>dėtųjų mokesčių turtu, kuris priklauso nuo būsimo pelningumo ir susidaro ne dėl laikinųjų skirtumų</w:t>
            </w:r>
          </w:p>
          <w:p w:rsidR="005643EA" w:rsidRPr="00392FFD" w:rsidRDefault="002648B0" w:rsidP="00FD239F">
            <w:pPr>
              <w:pStyle w:val="InstructionsText"/>
            </w:pPr>
            <w:r>
              <w:t>KRR 38 straipsnio 3, 4 ir 5 dalys.</w:t>
            </w:r>
          </w:p>
          <w:p w:rsidR="005643EA" w:rsidRPr="00392FFD" w:rsidRDefault="002648B0" w:rsidP="00FD239F">
            <w:pPr>
              <w:pStyle w:val="InstructionsText"/>
            </w:pPr>
            <w:r>
              <w:t>Atidėtųjų mokesčių įsipareigojimai, kuriais gali būti mažinamas atidėt</w:t>
            </w:r>
            <w:r>
              <w:t>ų</w:t>
            </w:r>
            <w:r>
              <w:t>jų mokesčių turtas, kuris priklauso nuo būsimo pelningumo, pagal KRR 38 straipsnio 3 ir 4 dalis ir kurie nėra priskiriami prie atidėtųjų mokesčių turto, kuris priklauso nuo būsimo pelningumo ir susidaro dėl laikinųjų skirtumų, pagal KRR 38 straipsnio 5 dalį.</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Atskaitomi atidėtųjų mokesčių įsipareigojimai, susiję su at</w:t>
            </w:r>
            <w:r>
              <w:rPr>
                <w:rStyle w:val="InstructionsTabelleberschrift"/>
                <w:rFonts w:ascii="Times New Roman" w:hAnsi="Times New Roman"/>
                <w:sz w:val="24"/>
              </w:rPr>
              <w:t>i</w:t>
            </w:r>
            <w:r>
              <w:rPr>
                <w:rStyle w:val="InstructionsTabelleberschrift"/>
                <w:rFonts w:ascii="Times New Roman" w:hAnsi="Times New Roman"/>
                <w:sz w:val="24"/>
              </w:rPr>
              <w:t>dėtųjų mokesčių turtu, kuris priklauso nuo būsimo pelningumo ir susidaro dėl laikinųjų skirtumų</w:t>
            </w:r>
          </w:p>
          <w:p w:rsidR="005643EA" w:rsidRPr="00392FFD" w:rsidRDefault="002648B0" w:rsidP="00FD239F">
            <w:pPr>
              <w:pStyle w:val="InstructionsText"/>
            </w:pPr>
            <w:r>
              <w:t>KRR 38 straipsnio 3, 4 ir 5 dalys.</w:t>
            </w:r>
          </w:p>
          <w:p w:rsidR="005643EA" w:rsidRPr="00392FFD" w:rsidRDefault="002648B0" w:rsidP="00FD239F">
            <w:pPr>
              <w:pStyle w:val="InstructionsText"/>
            </w:pPr>
            <w:r>
              <w:t>Atidėtųjų mokesčių įsipareigojimai, kuriais gali būti mažinamas atidėt</w:t>
            </w:r>
            <w:r>
              <w:t>ų</w:t>
            </w:r>
            <w:r>
              <w:t>jų mokesčių turtas, kuris priklauso nuo būsimo pelningumo, pagal KRR 38 straipsnio 3 ir 4 dalis ir kurie yra priskiriami prie atidėtųjų mokesčių turto, kuris priklauso nuo būsimo pelningumo ir susidaro dėl laikinųjų skirtumų, pagal KRR 38 straipsnio 5 dalį.</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Mokesčių permokos ir perkelti mokestiniai nuostoliai</w:t>
            </w:r>
          </w:p>
          <w:p w:rsidR="00550113" w:rsidRPr="00392FFD" w:rsidRDefault="00201704" w:rsidP="00FD239F">
            <w:pPr>
              <w:pStyle w:val="InstructionsText"/>
            </w:pPr>
            <w:r>
              <w:t>KRR 39 straipsnio 1 dalis.</w:t>
            </w:r>
          </w:p>
          <w:p w:rsidR="00550113" w:rsidRPr="00392FFD" w:rsidRDefault="00550113" w:rsidP="00FD239F">
            <w:pPr>
              <w:pStyle w:val="InstructionsText"/>
              <w:rPr>
                <w:rStyle w:val="InstructionsTabelleberschrift"/>
                <w:rFonts w:ascii="Times New Roman" w:hAnsi="Times New Roman"/>
                <w:b w:val="0"/>
                <w:bCs w:val="0"/>
                <w:sz w:val="24"/>
                <w:u w:val="none"/>
              </w:rPr>
            </w:pPr>
            <w:r>
              <w:t>Mokesčių permokų ir mokestinių nuostolių suma, neatskaitoma iš nu</w:t>
            </w:r>
            <w:r>
              <w:t>o</w:t>
            </w:r>
            <w:r>
              <w:t>savų lėšų pagal KRR 39 straipsnio 1 dalį; nurodoma suma atitinka sumą prieš taikant rizikos koeficientus.</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Atidėtųjų mokesčių turtas, kuriam taikomas 250 % rizikos koeficientas</w:t>
            </w:r>
          </w:p>
          <w:p w:rsidR="00DF65DF" w:rsidRPr="00392FFD" w:rsidRDefault="00201704" w:rsidP="00FD239F">
            <w:pPr>
              <w:pStyle w:val="InstructionsText"/>
            </w:pPr>
            <w:r>
              <w:t>KRR 48 straipsnio 4 dalis.</w:t>
            </w:r>
          </w:p>
          <w:p w:rsidR="00DF65DF" w:rsidRPr="00201704" w:rsidRDefault="00DF65DF" w:rsidP="00FD239F">
            <w:pPr>
              <w:pStyle w:val="InstructionsText"/>
              <w:rPr>
                <w:rStyle w:val="InstructionsTabelleberschrift"/>
                <w:rFonts w:ascii="Times New Roman" w:hAnsi="Times New Roman"/>
                <w:b w:val="0"/>
                <w:bCs w:val="0"/>
                <w:sz w:val="24"/>
                <w:u w:val="none"/>
              </w:rPr>
            </w:pPr>
            <w:r>
              <w:t>Atidėtųjų mokesčių turtas, kuris priklauso nuo būsimo pelningumo ir s</w:t>
            </w:r>
            <w:r>
              <w:t>u</w:t>
            </w:r>
            <w:r>
              <w:t>sidaro dėl laikinųjų skirtumų ir kuris nėra atskaitomas pagal KRR 48 straipsnio 1 dalį, bet kuriam pagal KRR 48 straipsnio 4 dalį taikomas 250 % rizikos koeficientas, atsižvelgus į KRR 470 straipsnio poveikį. Nurodoma suma atitinka atidėtųjų mokesčių turto sumą prieš taikant r</w:t>
            </w:r>
            <w:r>
              <w:t>i</w:t>
            </w:r>
            <w:r>
              <w:t>zikos koeficientą.</w:t>
            </w:r>
          </w:p>
        </w:tc>
      </w:tr>
      <w:tr w:rsidR="00DF65DF" w:rsidRPr="00392FFD" w:rsidTr="00672D2A">
        <w:tc>
          <w:tcPr>
            <w:tcW w:w="1506" w:type="dxa"/>
          </w:tcPr>
          <w:p w:rsidR="00DF65DF" w:rsidRPr="00392FFD" w:rsidRDefault="00DF65DF" w:rsidP="00FD239F">
            <w:pPr>
              <w:pStyle w:val="InstructionsText"/>
            </w:pPr>
            <w:r>
              <w:lastRenderedPageBreak/>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Atidėtųjų mokesčių turtas, kuriam taikomas 0 % rizikos ko</w:t>
            </w:r>
            <w:r>
              <w:rPr>
                <w:rStyle w:val="InstructionsTabelleberschrift"/>
                <w:rFonts w:ascii="Times New Roman" w:hAnsi="Times New Roman"/>
                <w:sz w:val="24"/>
              </w:rPr>
              <w:t>e</w:t>
            </w:r>
            <w:r>
              <w:rPr>
                <w:rStyle w:val="InstructionsTabelleberschrift"/>
                <w:rFonts w:ascii="Times New Roman" w:hAnsi="Times New Roman"/>
                <w:sz w:val="24"/>
              </w:rPr>
              <w:t>ficientas</w:t>
            </w:r>
          </w:p>
          <w:p w:rsidR="00DF65DF" w:rsidRPr="00392FFD" w:rsidRDefault="00DF65DF" w:rsidP="00FD239F">
            <w:pPr>
              <w:pStyle w:val="InstructionsText"/>
            </w:pPr>
            <w:r>
              <w:t>KRR 469 straipsnio 1 dalies d punktas, 470 straipsnis, 472 straipsnio 5 dalis ir 478 straipsnis.</w:t>
            </w:r>
          </w:p>
          <w:p w:rsidR="00DF65DF" w:rsidRPr="00201704" w:rsidRDefault="00DF65DF" w:rsidP="00FD239F">
            <w:pPr>
              <w:pStyle w:val="InstructionsText"/>
              <w:rPr>
                <w:rStyle w:val="InstructionsTabelleberschrift"/>
                <w:rFonts w:ascii="Times New Roman" w:hAnsi="Times New Roman"/>
                <w:b w:val="0"/>
                <w:bCs w:val="0"/>
                <w:sz w:val="24"/>
                <w:u w:val="none"/>
              </w:rPr>
            </w:pPr>
            <w:r>
              <w:t>Atidėtųjų mokesčių turtas, kuris priklauso nuo būsimo pelningumo ir s</w:t>
            </w:r>
            <w:r>
              <w:t>u</w:t>
            </w:r>
            <w:r>
              <w:t>sidaro dėl laikinųjų skirtumų ir kuris nėra atskaitomas pagal KRR 469 straipsnio 1 dalies d punktą ir 470 straipsnį, bet kuriam pagal KRR 472 straipsnio 5 dalį taikomas 0 % rizikos koeficientas. Nurodoma suma at</w:t>
            </w:r>
            <w:r>
              <w:t>i</w:t>
            </w:r>
            <w:r>
              <w:t>tinka atidėtųjų mokesčių turto sumą prieš taikant rizikos koeficientą.</w:t>
            </w:r>
          </w:p>
        </w:tc>
      </w:tr>
      <w:tr w:rsidR="002648B0" w:rsidRPr="00392FFD" w:rsidTr="00672D2A">
        <w:tc>
          <w:tcPr>
            <w:tcW w:w="1506" w:type="dxa"/>
          </w:tcPr>
          <w:p w:rsidR="002648B0" w:rsidRPr="00392FFD" w:rsidRDefault="002648B0" w:rsidP="00FD239F">
            <w:pPr>
              <w:pStyle w:val="InstructionsText"/>
            </w:pPr>
            <w:r>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Kredito rizikos koregavimų, papildomų vertės koregavimų ir kitų nuosavų lėšų sumažinimų pagal IRB metodą perviršis (+) arba trūkumas (-), atsižvelgiant į tikėtinus nuostolius pagal pozicijas, k</w:t>
            </w:r>
            <w:r>
              <w:rPr>
                <w:rStyle w:val="InstructionsTabelleberschrift"/>
                <w:rFonts w:ascii="Times New Roman" w:hAnsi="Times New Roman"/>
                <w:sz w:val="24"/>
              </w:rPr>
              <w:t>u</w:t>
            </w:r>
            <w:r>
              <w:rPr>
                <w:rStyle w:val="InstructionsTabelleberschrift"/>
                <w:rFonts w:ascii="Times New Roman" w:hAnsi="Times New Roman"/>
                <w:sz w:val="24"/>
              </w:rPr>
              <w:t>rių atžvilgiu nėra įsipareigojimų neįvykdymo atvejų</w:t>
            </w:r>
          </w:p>
          <w:p w:rsidR="005643EA" w:rsidRPr="00392FFD" w:rsidRDefault="002648B0" w:rsidP="00FD239F">
            <w:pPr>
              <w:pStyle w:val="InstructionsText"/>
            </w:pPr>
            <w:r>
              <w:t>KRR 36 straipsnio 1 dalies d punktas, 62 straipsnio d punktas, 158 ir 159 straipsniai.</w:t>
            </w:r>
          </w:p>
          <w:p w:rsidR="005643EA" w:rsidRPr="00392FFD" w:rsidRDefault="002648B0" w:rsidP="00FD239F">
            <w:pPr>
              <w:pStyle w:val="InstructionsText"/>
            </w:pPr>
            <w:r>
              <w:t>Šį punktą pildo tik IRB metodą taikančios įstaigos.</w:t>
            </w:r>
          </w:p>
        </w:tc>
      </w:tr>
      <w:tr w:rsidR="002648B0" w:rsidRPr="00392FFD" w:rsidTr="00672D2A">
        <w:tc>
          <w:tcPr>
            <w:tcW w:w="1506" w:type="dxa"/>
          </w:tcPr>
          <w:p w:rsidR="002648B0" w:rsidRPr="00392FFD" w:rsidRDefault="002648B0" w:rsidP="00FD239F">
            <w:pPr>
              <w:pStyle w:val="InstructionsText"/>
            </w:pPr>
            <w:r>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Bendra kredito rizikos koregavimų, papildomų vertės kor</w:t>
            </w:r>
            <w:r>
              <w:rPr>
                <w:rStyle w:val="InstructionsTabelleberschrift"/>
                <w:rFonts w:ascii="Times New Roman" w:hAnsi="Times New Roman"/>
                <w:sz w:val="24"/>
              </w:rPr>
              <w:t>e</w:t>
            </w:r>
            <w:r>
              <w:rPr>
                <w:rStyle w:val="InstructionsTabelleberschrift"/>
                <w:rFonts w:ascii="Times New Roman" w:hAnsi="Times New Roman"/>
                <w:sz w:val="24"/>
              </w:rPr>
              <w:t>gavimų ir kitų nuosavų lėšų sumažinimų suma, į kurią galima ats</w:t>
            </w:r>
            <w:r>
              <w:rPr>
                <w:rStyle w:val="InstructionsTabelleberschrift"/>
                <w:rFonts w:ascii="Times New Roman" w:hAnsi="Times New Roman"/>
                <w:sz w:val="24"/>
              </w:rPr>
              <w:t>i</w:t>
            </w:r>
            <w:r>
              <w:rPr>
                <w:rStyle w:val="InstructionsTabelleberschrift"/>
                <w:rFonts w:ascii="Times New Roman" w:hAnsi="Times New Roman"/>
                <w:sz w:val="24"/>
              </w:rPr>
              <w:t>žvelgti apskaičiuojant tikėtinų nuostolių sumą</w:t>
            </w:r>
          </w:p>
          <w:p w:rsidR="005643EA" w:rsidRPr="00392FFD" w:rsidRDefault="002648B0" w:rsidP="00FD239F">
            <w:pPr>
              <w:pStyle w:val="InstructionsText"/>
            </w:pPr>
            <w:r>
              <w:t>KRR 159 straipsnis.</w:t>
            </w:r>
          </w:p>
          <w:p w:rsidR="005643EA" w:rsidRPr="00392FFD" w:rsidRDefault="002648B0" w:rsidP="00FD239F">
            <w:pPr>
              <w:pStyle w:val="InstructionsText"/>
            </w:pPr>
            <w:r>
              <w:t>Šį punktą pildo tik IRB metodą taikančios įstaigos.</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Bendrosios kredito rizikos koregavimai</w:t>
            </w:r>
          </w:p>
          <w:p w:rsidR="005643EA" w:rsidRPr="00392FFD" w:rsidRDefault="002648B0" w:rsidP="00FD239F">
            <w:pPr>
              <w:pStyle w:val="InstructionsText"/>
            </w:pPr>
            <w:r>
              <w:t>KRR 159 straipsnis.</w:t>
            </w:r>
          </w:p>
          <w:p w:rsidR="005643EA" w:rsidRPr="00392FFD" w:rsidRDefault="002648B0" w:rsidP="00FD239F">
            <w:pPr>
              <w:pStyle w:val="InstructionsText"/>
            </w:pPr>
            <w:r>
              <w:t>Šį punktą pildo tik IRB metodą taikančios įstaigos.</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Specifinės kredito rizikos koregavimai</w:t>
            </w:r>
          </w:p>
          <w:p w:rsidR="005643EA" w:rsidRPr="00392FFD" w:rsidRDefault="002648B0" w:rsidP="00FD239F">
            <w:pPr>
              <w:pStyle w:val="InstructionsText"/>
            </w:pPr>
            <w:r>
              <w:t>KRR 159 straipsnis.</w:t>
            </w:r>
          </w:p>
          <w:p w:rsidR="005643EA" w:rsidRPr="00392FFD" w:rsidRDefault="002648B0" w:rsidP="00FD239F">
            <w:pPr>
              <w:pStyle w:val="InstructionsText"/>
            </w:pPr>
            <w:r>
              <w:t>Šį punktą pildo tik IRB metodą taikančios įstaigos.</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Papildomi vertės koregavimai ir kiti nuosavų lėšų sumažin</w:t>
            </w:r>
            <w:r>
              <w:rPr>
                <w:rStyle w:val="InstructionsTabelleberschrift"/>
                <w:rFonts w:ascii="Times New Roman" w:hAnsi="Times New Roman"/>
                <w:sz w:val="24"/>
              </w:rPr>
              <w:t>i</w:t>
            </w:r>
            <w:r>
              <w:rPr>
                <w:rStyle w:val="InstructionsTabelleberschrift"/>
                <w:rFonts w:ascii="Times New Roman" w:hAnsi="Times New Roman"/>
                <w:sz w:val="24"/>
              </w:rPr>
              <w:t>mai</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34, 110 ir 159 straipsniai.</w:t>
            </w:r>
          </w:p>
          <w:p w:rsidR="005643EA" w:rsidRPr="00201704" w:rsidRDefault="002648B0" w:rsidP="00FD239F">
            <w:pPr>
              <w:pStyle w:val="InstructionsText"/>
              <w:rPr>
                <w:rStyle w:val="InstructionsTabelleberschrift"/>
                <w:rFonts w:ascii="Times New Roman" w:hAnsi="Times New Roman"/>
                <w:b w:val="0"/>
                <w:bCs w:val="0"/>
                <w:sz w:val="24"/>
                <w:u w:val="none"/>
              </w:rPr>
            </w:pPr>
            <w:r>
              <w:t>Šį punktą pildo tik IRB metodą taikančios įstaigos.</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Bendra reikalavimus atitinkančių tikėtinų nuostolių suma </w:t>
            </w:r>
          </w:p>
          <w:p w:rsidR="005643EA" w:rsidRPr="00392FFD" w:rsidRDefault="002648B0" w:rsidP="00FD239F">
            <w:pPr>
              <w:pStyle w:val="InstructionsText"/>
            </w:pPr>
            <w:r>
              <w:t>KRR 158 straipsnio 5, 6 ir 10 dalys ir 159 straipsnis.</w:t>
            </w:r>
          </w:p>
          <w:p w:rsidR="005643EA" w:rsidRPr="00392FFD" w:rsidRDefault="00F11185" w:rsidP="00FD239F">
            <w:pPr>
              <w:pStyle w:val="InstructionsText"/>
            </w:pPr>
            <w:r>
              <w:t>Šį punktą pildo tik IRB metodą taikančios įstaigos. Nurodomi tik tikėtini nuostoliai, susiję pozicijomis, kurių atžvilgiu nėra įsipareigojimų ne</w:t>
            </w:r>
            <w:r>
              <w:t>į</w:t>
            </w:r>
            <w:r>
              <w:t>vykdymo atvejų.</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Specifinės kredito rizikos koregavimų pagal IRB metodą perviršis (+) arba trūkumas (−), atsižvelgiant į tikėtinus nuostolius pagal p</w:t>
            </w:r>
            <w:r>
              <w:rPr>
                <w:rStyle w:val="InstructionsTabelleberschrift"/>
                <w:rFonts w:ascii="Times New Roman" w:hAnsi="Times New Roman"/>
                <w:sz w:val="24"/>
              </w:rPr>
              <w:t>o</w:t>
            </w:r>
            <w:r>
              <w:rPr>
                <w:rStyle w:val="InstructionsTabelleberschrift"/>
                <w:rFonts w:ascii="Times New Roman" w:hAnsi="Times New Roman"/>
                <w:sz w:val="24"/>
              </w:rPr>
              <w:t>zicijas esant įsipareigojimų neįvykdymui</w:t>
            </w:r>
          </w:p>
          <w:p w:rsidR="005643EA" w:rsidRPr="00392FFD" w:rsidRDefault="00630711" w:rsidP="00FD239F">
            <w:pPr>
              <w:pStyle w:val="InstructionsText"/>
            </w:pPr>
            <w:r>
              <w:t xml:space="preserve">KRR 36 straipsnio 1 dalies d punktas, 62 straipsnio d punktas, 158 ir 159 </w:t>
            </w:r>
            <w:r>
              <w:lastRenderedPageBreak/>
              <w:t>straipsniai.</w:t>
            </w:r>
          </w:p>
          <w:p w:rsidR="005643EA" w:rsidRPr="00201704" w:rsidRDefault="00630711" w:rsidP="00FD239F">
            <w:pPr>
              <w:pStyle w:val="InstructionsText"/>
              <w:rPr>
                <w:rStyle w:val="InstructionsTabelleberschrift"/>
                <w:rFonts w:ascii="Times New Roman" w:hAnsi="Times New Roman"/>
                <w:b w:val="0"/>
                <w:bCs w:val="0"/>
                <w:sz w:val="24"/>
                <w:u w:val="none"/>
              </w:rPr>
            </w:pPr>
            <w:r>
              <w:t>Šį punktą pildo tik IRB metodą taikančios įstaigos.</w:t>
            </w:r>
          </w:p>
        </w:tc>
      </w:tr>
      <w:tr w:rsidR="00F11185" w:rsidRPr="00392FFD" w:rsidTr="00672D2A">
        <w:tc>
          <w:tcPr>
            <w:tcW w:w="1506" w:type="dxa"/>
          </w:tcPr>
          <w:p w:rsidR="00F11185" w:rsidRPr="00392FFD" w:rsidRDefault="00F11185" w:rsidP="00FD239F">
            <w:pPr>
              <w:pStyle w:val="InstructionsText"/>
            </w:pPr>
            <w:r>
              <w:lastRenderedPageBreak/>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Specifinės kredito rizikos koregavimai ir panašiai vertinamos pozicijos</w:t>
            </w:r>
          </w:p>
          <w:p w:rsidR="005643EA" w:rsidRPr="00392FFD" w:rsidRDefault="00630711" w:rsidP="00FD239F">
            <w:pPr>
              <w:pStyle w:val="InstructionsText"/>
            </w:pPr>
            <w:r>
              <w:t>KRR 159 straipsnis.</w:t>
            </w:r>
          </w:p>
          <w:p w:rsidR="005643EA" w:rsidRPr="00201704" w:rsidRDefault="00630711" w:rsidP="00FD239F">
            <w:pPr>
              <w:pStyle w:val="InstructionsText"/>
              <w:rPr>
                <w:rStyle w:val="InstructionsTabelleberschrift"/>
                <w:rFonts w:ascii="Times New Roman" w:hAnsi="Times New Roman"/>
                <w:b w:val="0"/>
                <w:bCs w:val="0"/>
                <w:sz w:val="24"/>
                <w:u w:val="none"/>
              </w:rPr>
            </w:pPr>
            <w:r>
              <w:t>Šį punktą pildo tik IRB metodą taikančios įstaigos.</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Bendra reikalavimus atitinkančių tikėtinų nuostolių suma</w:t>
            </w:r>
          </w:p>
          <w:p w:rsidR="005643EA" w:rsidRPr="00392FFD" w:rsidRDefault="00630711" w:rsidP="00FD239F">
            <w:pPr>
              <w:pStyle w:val="InstructionsText"/>
              <w:rPr>
                <w:rStyle w:val="InstructionsTabelleberschrift"/>
                <w:rFonts w:ascii="Times New Roman" w:hAnsi="Times New Roman"/>
                <w:sz w:val="24"/>
              </w:rPr>
            </w:pPr>
            <w:r>
              <w:t>KRR 158 straipsnio 5, 6 ir 10 dalys ir 159 straipsnis.</w:t>
            </w:r>
          </w:p>
          <w:p w:rsidR="005643EA" w:rsidRPr="00201704" w:rsidRDefault="00F11185" w:rsidP="00FD239F">
            <w:pPr>
              <w:pStyle w:val="InstructionsText"/>
              <w:rPr>
                <w:rStyle w:val="InstructionsTabelleberschrift"/>
                <w:rFonts w:ascii="Times New Roman" w:hAnsi="Times New Roman"/>
                <w:b w:val="0"/>
                <w:bCs w:val="0"/>
                <w:sz w:val="24"/>
                <w:u w:val="none"/>
              </w:rPr>
            </w:pPr>
            <w:r>
              <w:t>Šį punktą pildo tik IRB metodą taikančios įstaigos. Nurodomi tik tikėtini nuostoliai, susiję su pozicijomis esant įsipareigojimų neįvykdymui.</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Pagal riziką įvertintų pozicijų sumos, skirtos T2 reikalavimus atitinkančio atidėjinio perviršio apribojimui apskaičiuoti</w:t>
            </w:r>
          </w:p>
          <w:p w:rsidR="005643EA" w:rsidRPr="00392FFD" w:rsidRDefault="002648B0" w:rsidP="00FD239F">
            <w:pPr>
              <w:pStyle w:val="InstructionsText"/>
            </w:pPr>
            <w:r>
              <w:t>KRR 62 straipsnio d punktas.</w:t>
            </w:r>
          </w:p>
          <w:p w:rsidR="005643EA" w:rsidRPr="00392FFD" w:rsidRDefault="002648B0" w:rsidP="00FD239F">
            <w:pPr>
              <w:pStyle w:val="InstructionsText"/>
            </w:pPr>
            <w:r>
              <w:t>IRB metodą taikančioms įstaigoms pagal KRR 62 straipsnio d punktą atidėjinių (tikėtiniems nuostoliams padengti) perviršio sumai, kurią g</w:t>
            </w:r>
            <w:r>
              <w:t>a</w:t>
            </w:r>
            <w:r>
              <w:t>lima įtraukti į T2 kapitalą, taikomas apribojimas – 0,6 % pagal riziką įvertintų pozicijos sumų, apskaičiuotų pagal IRB metodą.</w:t>
            </w:r>
          </w:p>
          <w:p w:rsidR="005643EA" w:rsidRPr="00392FFD" w:rsidRDefault="002648B0" w:rsidP="00FD239F">
            <w:pPr>
              <w:pStyle w:val="InstructionsText"/>
            </w:pPr>
            <w:r>
              <w:t>Šiame straipsnyje nurodoma suma – pagal riziką įvertintų pozicijų s</w:t>
            </w:r>
            <w:r>
              <w:t>u</w:t>
            </w:r>
            <w:r>
              <w:t>mos (t. y. nepadaugintos iš 0,6 %), kurios sudaro apribojimo apskaiči</w:t>
            </w:r>
            <w:r>
              <w:t>a</w:t>
            </w:r>
            <w:r>
              <w:t>vimo pagrindą.</w:t>
            </w:r>
          </w:p>
        </w:tc>
      </w:tr>
      <w:tr w:rsidR="002648B0" w:rsidRPr="00392FFD" w:rsidTr="00672D2A">
        <w:tc>
          <w:tcPr>
            <w:tcW w:w="1506" w:type="dxa"/>
          </w:tcPr>
          <w:p w:rsidR="002648B0" w:rsidRPr="00392FFD" w:rsidRDefault="002648B0" w:rsidP="00FD239F">
            <w:pPr>
              <w:pStyle w:val="InstructionsText"/>
            </w:pPr>
            <w:r>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Visa bendroji atidėjinių suma, kurią galima įtraukti į T2 k</w:t>
            </w:r>
            <w:r>
              <w:rPr>
                <w:rStyle w:val="InstructionsTabelleberschrift"/>
                <w:rFonts w:ascii="Times New Roman" w:hAnsi="Times New Roman"/>
                <w:sz w:val="24"/>
              </w:rPr>
              <w:t>a</w:t>
            </w:r>
            <w:r>
              <w:rPr>
                <w:rStyle w:val="InstructionsTabelleberschrift"/>
                <w:rFonts w:ascii="Times New Roman" w:hAnsi="Times New Roman"/>
                <w:sz w:val="24"/>
              </w:rPr>
              <w:t>pitalą</w:t>
            </w:r>
          </w:p>
          <w:p w:rsidR="005643EA" w:rsidRPr="00392FFD" w:rsidRDefault="002648B0" w:rsidP="00FD239F">
            <w:pPr>
              <w:pStyle w:val="InstructionsText"/>
            </w:pPr>
            <w:r>
              <w:t>KRR 62 straipsnio c punktas.</w:t>
            </w:r>
          </w:p>
          <w:p w:rsidR="005643EA" w:rsidRPr="00392FFD" w:rsidRDefault="002648B0" w:rsidP="00FD239F">
            <w:pPr>
              <w:pStyle w:val="InstructionsText"/>
            </w:pPr>
            <w:r>
              <w:t>Į šį straipsnį įtraukiami bendrosios kredito rizikos koregavimai, kuriuos galima įtraukti į T2 kapitalą, prieš taikant apribojimą.</w:t>
            </w:r>
          </w:p>
          <w:p w:rsidR="005643EA" w:rsidRPr="00392FFD" w:rsidRDefault="002648B0" w:rsidP="00FD239F">
            <w:pPr>
              <w:pStyle w:val="InstructionsText"/>
            </w:pPr>
            <w:r>
              <w:t>Suma nurodoma neatskaičius mokesčių.</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Pagal riziką įvertintų pozicijų sumos, skirtos T2 reikalavimus atitinkančio atidėjinio apribojimui apskaičiuoti</w:t>
            </w:r>
          </w:p>
          <w:p w:rsidR="005643EA" w:rsidRPr="00392FFD" w:rsidRDefault="002648B0" w:rsidP="00FD239F">
            <w:pPr>
              <w:pStyle w:val="InstructionsText"/>
            </w:pPr>
            <w:r>
              <w:t>KRR 62 straipsnio c punktas.</w:t>
            </w:r>
          </w:p>
          <w:p w:rsidR="005643EA" w:rsidRPr="00392FFD" w:rsidRDefault="002648B0" w:rsidP="00FD239F">
            <w:pPr>
              <w:pStyle w:val="InstructionsText"/>
            </w:pPr>
            <w:r>
              <w:t>Pagal KRR 62 straipsnio c punktą kredito rizikos koregavimams, kuriuos galima įtraukti į T2 kapitalą, taikomas apribojimas – 1,25 % pagal riziką įvertintų pozicijos sumų.</w:t>
            </w:r>
          </w:p>
          <w:p w:rsidR="005643EA" w:rsidRPr="00392FFD" w:rsidRDefault="002648B0" w:rsidP="00FD239F">
            <w:pPr>
              <w:pStyle w:val="InstructionsText"/>
            </w:pPr>
            <w:r>
              <w:t>Šiame straipsnyje nurodoma suma – pagal riziką įvertintų pozicijų s</w:t>
            </w:r>
            <w:r>
              <w:t>u</w:t>
            </w:r>
            <w:r>
              <w:t>mos (t. y. nepadaugintos iš 1,25 %), kurios sudaro apribojimo apskaiči</w:t>
            </w:r>
            <w:r>
              <w:t>a</w:t>
            </w:r>
            <w:r>
              <w:t>vimo pagrindą.</w:t>
            </w:r>
          </w:p>
        </w:tc>
      </w:tr>
      <w:tr w:rsidR="002648B0" w:rsidRPr="00392FFD" w:rsidTr="00672D2A">
        <w:tc>
          <w:tcPr>
            <w:tcW w:w="1506" w:type="dxa"/>
          </w:tcPr>
          <w:p w:rsidR="002648B0" w:rsidRPr="00392FFD" w:rsidRDefault="002648B0" w:rsidP="00FD239F">
            <w:pPr>
              <w:pStyle w:val="InstructionsText"/>
            </w:pPr>
            <w:r>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Neatskaitomų turimų finansų sektoriaus subjektų, kuriuose įstaiga neturi reikšmingų investicijų, kapitalo dalių riba</w:t>
            </w:r>
          </w:p>
          <w:p w:rsidR="005643EA" w:rsidRPr="00392FFD" w:rsidRDefault="002648B0" w:rsidP="00FD239F">
            <w:pPr>
              <w:pStyle w:val="InstructionsText"/>
            </w:pPr>
            <w:r>
              <w:t>KRR 46 straipsnio 1 dalies a punktas.</w:t>
            </w:r>
          </w:p>
          <w:p w:rsidR="005643EA" w:rsidRPr="00392FFD" w:rsidRDefault="002648B0" w:rsidP="00FD239F">
            <w:pPr>
              <w:pStyle w:val="InstructionsText"/>
            </w:pPr>
            <w:r>
              <w:t xml:space="preserve">Šiame straipsnyje nurodoma riba, iki kurios turimos finansų sektoriaus subjektų, kuriuose įstaiga neturi reikšmingų investicijų, kapitalo dalys </w:t>
            </w:r>
            <w:r>
              <w:lastRenderedPageBreak/>
              <w:t>nėra atskaitomos. Ši suma gaunama sudėjus visus straipsnius, pagal k</w:t>
            </w:r>
            <w:r>
              <w:t>u</w:t>
            </w:r>
            <w:r>
              <w:t>riuos ši riba apskaičiuojama, ir gautą sumą padauginus iš 10 %.</w:t>
            </w:r>
          </w:p>
        </w:tc>
      </w:tr>
      <w:tr w:rsidR="002648B0" w:rsidRPr="00392FFD" w:rsidTr="00672D2A">
        <w:tc>
          <w:tcPr>
            <w:tcW w:w="1506" w:type="dxa"/>
          </w:tcPr>
          <w:p w:rsidR="002648B0" w:rsidRPr="00392FFD" w:rsidRDefault="002648B0" w:rsidP="00FD239F">
            <w:pPr>
              <w:pStyle w:val="InstructionsText"/>
            </w:pPr>
            <w:r>
              <w:lastRenderedPageBreak/>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10 % CET1 riba </w:t>
            </w:r>
          </w:p>
          <w:p w:rsidR="005643EA" w:rsidRPr="00392FFD" w:rsidRDefault="002648B0" w:rsidP="00FD239F">
            <w:pPr>
              <w:pStyle w:val="InstructionsText"/>
            </w:pPr>
            <w:r>
              <w:t>KRR 48 straipsnio 1 dalies a ir b punktai.</w:t>
            </w:r>
          </w:p>
          <w:p w:rsidR="005643EA" w:rsidRPr="00392FFD" w:rsidRDefault="002648B0" w:rsidP="00FD239F">
            <w:pPr>
              <w:pStyle w:val="InstructionsText"/>
            </w:pPr>
            <w:r>
              <w:t>Šiame straipsnyje nurodoma 10 % riba, taikoma turimoms finansų sekt</w:t>
            </w:r>
            <w:r>
              <w:t>o</w:t>
            </w:r>
            <w:r>
              <w:t>riaus subjektų, kuriuose įstaiga turi reikšmingų investicijų, kapitalo d</w:t>
            </w:r>
            <w:r>
              <w:t>a</w:t>
            </w:r>
            <w:r>
              <w:t>lims ir atidėtųjų mokesčių turtui, kuris priklauso nuo būsimo pelningumo ir susidaro dėl laikinųjų skirtumų.</w:t>
            </w:r>
          </w:p>
          <w:p w:rsidR="005643EA" w:rsidRPr="00392FFD" w:rsidRDefault="003C7853" w:rsidP="00FD239F">
            <w:pPr>
              <w:pStyle w:val="InstructionsText"/>
            </w:pPr>
            <w:r>
              <w:t>Ši suma gaunama sudėjus visus straipsnius, pagal kuriuos ši riba apska</w:t>
            </w:r>
            <w:r>
              <w:t>i</w:t>
            </w:r>
            <w:r>
              <w:t>čiuojama, ir gautą sumą padauginus iš 10 %.</w:t>
            </w:r>
          </w:p>
        </w:tc>
      </w:tr>
      <w:tr w:rsidR="002648B0" w:rsidRPr="00392FFD" w:rsidTr="00672D2A">
        <w:tc>
          <w:tcPr>
            <w:tcW w:w="1506" w:type="dxa"/>
          </w:tcPr>
          <w:p w:rsidR="002648B0" w:rsidRPr="00392FFD" w:rsidRDefault="002648B0" w:rsidP="00FD239F">
            <w:pPr>
              <w:pStyle w:val="InstructionsText"/>
            </w:pPr>
            <w:r>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17,65 % CET1 riba </w:t>
            </w:r>
          </w:p>
          <w:p w:rsidR="005643EA" w:rsidRPr="00392FFD" w:rsidRDefault="002648B0" w:rsidP="00FD239F">
            <w:pPr>
              <w:pStyle w:val="InstructionsText"/>
            </w:pPr>
            <w:r>
              <w:t>KRR 48 straipsnio 1 dalis.</w:t>
            </w:r>
          </w:p>
          <w:p w:rsidR="005643EA" w:rsidRPr="00392FFD" w:rsidRDefault="002648B0" w:rsidP="00FD239F">
            <w:pPr>
              <w:pStyle w:val="InstructionsText"/>
            </w:pPr>
            <w:r>
              <w:t>Šiame straipsnyje nurodoma 17,65 % riba, taikoma turimoms finansų sektoriaus subjektų, kuriuose įstaiga turi reikšmingų investicijų, kapitalo dalims ir atidėtųjų mokesčių turtui, kuris priklauso nuo būsimo pelni</w:t>
            </w:r>
            <w:r>
              <w:t>n</w:t>
            </w:r>
            <w:r>
              <w:t>gumo ir susidaro dėl laikinųjų skirtumų, ir kuri turi būti taikoma prita</w:t>
            </w:r>
            <w:r>
              <w:t>i</w:t>
            </w:r>
            <w:r>
              <w:t>kius 10 % ribą.</w:t>
            </w:r>
          </w:p>
          <w:p w:rsidR="005643EA" w:rsidRPr="00392FFD" w:rsidRDefault="002648B0" w:rsidP="00FD239F">
            <w:pPr>
              <w:pStyle w:val="InstructionsText"/>
            </w:pPr>
            <w:r>
              <w:t>Riba apskaičiuota taip, kad pripažįstama dviejų straipsnių suma nevirš</w:t>
            </w:r>
            <w:r>
              <w:t>y</w:t>
            </w:r>
            <w:r>
              <w:t>tų 15 % galutinio bendro 1 lygio nuosavo kapitalo, t. y. CET1 kapitalo, po visų atskaitymų, neįskaičiuojant koregavimų dėl pereinamojo laik</w:t>
            </w:r>
            <w:r>
              <w:t>o</w:t>
            </w:r>
            <w:r>
              <w:t>tarpio nuostatų.</w:t>
            </w:r>
          </w:p>
        </w:tc>
      </w:tr>
      <w:tr w:rsidR="00216D67" w:rsidRPr="00392FFD" w:rsidTr="00672D2A">
        <w:tc>
          <w:tcPr>
            <w:tcW w:w="1506" w:type="dxa"/>
          </w:tcPr>
          <w:p w:rsidR="00216D67" w:rsidRPr="00392FFD" w:rsidRDefault="00216D67" w:rsidP="00FD239F">
            <w:pPr>
              <w:pStyle w:val="InstructionsText"/>
            </w:pPr>
            <w:r>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Reikalavimus atitinkantis kapitalas nustatant kvalifikuotąją akcijų paketo dalį, turimą ne finansų sektoriuje</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4 straipsnio 1 dalies 71 punkto a papunktis.</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Reikalavimus atitinkantis kapitalas nustatant dideles pozic</w:t>
            </w:r>
            <w:r>
              <w:rPr>
                <w:rStyle w:val="InstructionsTabelleberschrift"/>
                <w:rFonts w:ascii="Times New Roman" w:hAnsi="Times New Roman"/>
                <w:sz w:val="24"/>
              </w:rPr>
              <w:t>i</w:t>
            </w:r>
            <w:r>
              <w:rPr>
                <w:rStyle w:val="InstructionsTabelleberschrift"/>
                <w:rFonts w:ascii="Times New Roman" w:hAnsi="Times New Roman"/>
                <w:sz w:val="24"/>
              </w:rPr>
              <w:t>jas</w:t>
            </w:r>
          </w:p>
          <w:p w:rsidR="00216D67" w:rsidRPr="00201704" w:rsidRDefault="00216D67" w:rsidP="00FD239F">
            <w:pPr>
              <w:pStyle w:val="InstructionsText"/>
              <w:rPr>
                <w:rStyle w:val="InstructionsTabelleberschrift"/>
                <w:rFonts w:ascii="Times New Roman" w:hAnsi="Times New Roman"/>
                <w:b w:val="0"/>
                <w:bCs w:val="0"/>
                <w:sz w:val="24"/>
                <w:u w:val="none"/>
              </w:rPr>
            </w:pPr>
            <w:r>
              <w:t>4 straipsnio 1 dalies 71 punkto b papunktis.</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Turima finansų sektoriaus subjektų, kuriuose įstaiga neturi reikšmingų investicijų, CET1 kapitalo dalis atėmus trumpąsias p</w:t>
            </w:r>
            <w:r>
              <w:rPr>
                <w:rStyle w:val="InstructionsTabelleberschrift"/>
                <w:rFonts w:ascii="Times New Roman" w:hAnsi="Times New Roman"/>
                <w:sz w:val="24"/>
              </w:rPr>
              <w:t>o</w:t>
            </w:r>
            <w:r>
              <w:rPr>
                <w:rStyle w:val="InstructionsTabelleberschrift"/>
                <w:rFonts w:ascii="Times New Roman" w:hAnsi="Times New Roman"/>
                <w:sz w:val="24"/>
              </w:rPr>
              <w:t>zicijas</w:t>
            </w:r>
          </w:p>
          <w:p w:rsidR="005643EA" w:rsidRPr="00392FFD" w:rsidRDefault="002648B0" w:rsidP="00FD239F">
            <w:pPr>
              <w:pStyle w:val="InstructionsText"/>
            </w:pPr>
            <w:r>
              <w:t>KRR 44–46 ir 49 straipsniai.</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Tiesiogiai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neturi reikšmingų investicijų, CET1 kapitalo dalis</w:t>
            </w:r>
          </w:p>
          <w:p w:rsidR="005643EA" w:rsidRPr="00392FFD" w:rsidRDefault="002648B0" w:rsidP="00FD239F">
            <w:pPr>
              <w:pStyle w:val="InstructionsText"/>
            </w:pPr>
            <w:r>
              <w:t>KRR 44, 45, 46 ir 49 straipsniai.</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Bendroji 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neturi reikšmingų investicijų, CET1 kapitalo dalis</w:t>
            </w:r>
          </w:p>
          <w:p w:rsidR="005643EA" w:rsidRPr="00392FFD" w:rsidRDefault="002648B0" w:rsidP="00FD239F">
            <w:pPr>
              <w:pStyle w:val="InstructionsText"/>
            </w:pPr>
            <w:r>
              <w:t>KRR 44, 46 ir 49 straipsniai.</w:t>
            </w:r>
          </w:p>
          <w:p w:rsidR="005643EA" w:rsidRPr="00392FFD" w:rsidRDefault="002648B0" w:rsidP="00FD239F">
            <w:pPr>
              <w:pStyle w:val="InstructionsText"/>
            </w:pPr>
            <w:r>
              <w:t>Tiesiogiai turima finansų sektoriaus subjektų, kuriuose įstaiga neturi reikšmingų investicijų, CET1 kapitalo dalis, išskyrus:</w:t>
            </w:r>
          </w:p>
          <w:p w:rsidR="005643EA" w:rsidRPr="00392FFD" w:rsidRDefault="002648B0" w:rsidP="00FD239F">
            <w:pPr>
              <w:pStyle w:val="InstructionsText"/>
            </w:pPr>
            <w:r>
              <w:t>a)</w:t>
            </w:r>
            <w:r>
              <w:tab/>
              <w:t>5 darbo dienas arba trumpesnį laikotarpį turimas platinamas p</w:t>
            </w:r>
            <w:r>
              <w:t>o</w:t>
            </w:r>
            <w:r>
              <w:t xml:space="preserve">zicijas; </w:t>
            </w:r>
          </w:p>
          <w:p w:rsidR="005643EA" w:rsidRPr="00392FFD" w:rsidRDefault="002648B0" w:rsidP="00FD239F">
            <w:pPr>
              <w:pStyle w:val="InstructionsText"/>
            </w:pPr>
            <w:r>
              <w:lastRenderedPageBreak/>
              <w:t>b)</w:t>
            </w:r>
            <w:r>
              <w:tab/>
              <w:t xml:space="preserve">sumas, susijusias su investicijomis, kurioms taikoma kuri nors iš 49 straipsnyje numatytų alternatyvų, ir </w:t>
            </w:r>
          </w:p>
          <w:p w:rsidR="005643EA" w:rsidRPr="00392FFD" w:rsidRDefault="002648B0" w:rsidP="00FD239F">
            <w:pPr>
              <w:pStyle w:val="InstructionsText"/>
            </w:pPr>
            <w:r>
              <w:t>c)</w:t>
            </w:r>
            <w:r>
              <w:tab/>
              <w:t>turimas kapitalo dalis, kurios laikomos abipuse kryžmine kapitalo dalių nuosavybe, kaip nurodyta KRR 36 straipsnio 1 dalies g punkte.</w:t>
            </w:r>
          </w:p>
        </w:tc>
      </w:tr>
      <w:tr w:rsidR="002648B0" w:rsidRPr="00392FFD" w:rsidTr="00672D2A">
        <w:tc>
          <w:tcPr>
            <w:tcW w:w="1506" w:type="dxa"/>
          </w:tcPr>
          <w:p w:rsidR="002648B0" w:rsidRPr="00392FFD" w:rsidRDefault="002648B0" w:rsidP="00FD239F">
            <w:pPr>
              <w:pStyle w:val="InstructionsText"/>
            </w:pPr>
            <w:r>
              <w:lastRenderedPageBreak/>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Leidžiama trumpųjų pozicijų ir pirmiau nurodytų tiesi</w:t>
            </w:r>
            <w:r>
              <w:rPr>
                <w:rStyle w:val="InstructionsTabelleberschrift"/>
                <w:rFonts w:ascii="Times New Roman" w:hAnsi="Times New Roman"/>
                <w:sz w:val="24"/>
              </w:rPr>
              <w:t>o</w:t>
            </w:r>
            <w:r>
              <w:rPr>
                <w:rStyle w:val="InstructionsTabelleberschrift"/>
                <w:rFonts w:ascii="Times New Roman" w:hAnsi="Times New Roman"/>
                <w:sz w:val="24"/>
              </w:rPr>
              <w:t>giai turimų kapitalo dalių bendrosios sumos užskaita</w:t>
            </w:r>
          </w:p>
          <w:p w:rsidR="005643EA" w:rsidRPr="00392FFD" w:rsidRDefault="002648B0" w:rsidP="00FD239F">
            <w:pPr>
              <w:pStyle w:val="InstructionsText"/>
            </w:pPr>
            <w:r>
              <w:t>KRR 45 straipsnis.</w:t>
            </w:r>
          </w:p>
          <w:p w:rsidR="005643EA" w:rsidRPr="00392FFD" w:rsidRDefault="002648B0" w:rsidP="00FD239F">
            <w:pPr>
              <w:pStyle w:val="InstructionsText"/>
            </w:pPr>
            <w:r>
              <w:t>Pagal KRR 45 straipsnį trumpąsias pozicijas leidžiama užskaityti toje pačioje pagrindinėje pozicijoje, jeigu trumposios pozicijos terminas s</w:t>
            </w:r>
            <w:r>
              <w:t>u</w:t>
            </w:r>
            <w:r>
              <w:t>tampa su ilgosios pozicijos terminu arba jos likęs terminas yra ne tru</w:t>
            </w:r>
            <w:r>
              <w:t>m</w:t>
            </w:r>
            <w:r>
              <w:t>pesnis kaip vieni metai.</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Netiesiogiai turima finansų sektoriaus subjektų, kuriuose įstaiga neturi reikšmingų investicijų, CET1 kapitalo dalis</w:t>
            </w:r>
          </w:p>
          <w:p w:rsidR="005643EA" w:rsidRPr="00392FFD" w:rsidRDefault="002648B0" w:rsidP="00FD239F">
            <w:pPr>
              <w:pStyle w:val="InstructionsText"/>
            </w:pPr>
            <w:r>
              <w:t>KRR 4 straipsnio 1 dalies 114 punktas, 44 ir 45 straipsniai.</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Bendroji netiesiogiai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neturi reikšmingų investicijų, CET1 kapitalo dalis</w:t>
            </w:r>
          </w:p>
          <w:p w:rsidR="005643EA" w:rsidRPr="00392FFD" w:rsidRDefault="002648B0" w:rsidP="00FD239F">
            <w:pPr>
              <w:pStyle w:val="InstructionsText"/>
            </w:pPr>
            <w:r>
              <w:t>KRR 4 straipsnio 1 dalies 114 punktas, 44 ir 45 straipsniai.</w:t>
            </w:r>
          </w:p>
          <w:p w:rsidR="005643EA" w:rsidRPr="00392FFD" w:rsidRDefault="002648B0" w:rsidP="00FD239F">
            <w:pPr>
              <w:pStyle w:val="InstructionsText"/>
            </w:pPr>
            <w:r>
              <w:t>Nurodoma suma – netiesiogiai turima finansų sektoriaus subjektų kapit</w:t>
            </w:r>
            <w:r>
              <w:t>a</w:t>
            </w:r>
            <w:r>
              <w:t>lo priemonių dalis prekybos knygoje, kurią sudaro turimi indekso vert</w:t>
            </w:r>
            <w:r>
              <w:t>y</w:t>
            </w:r>
            <w:r>
              <w:t>biniai popieriai. Ji nustatoma apskaičiuojant pagrindinės pozicijos ir į indeksus įtrauktų finansų sektoriaus subjektų kapitalo priemonių santykį.</w:t>
            </w:r>
          </w:p>
          <w:p w:rsidR="005643EA" w:rsidRPr="00392FFD" w:rsidRDefault="002648B0" w:rsidP="00FD239F">
            <w:pPr>
              <w:pStyle w:val="InstructionsText"/>
            </w:pPr>
            <w:r>
              <w:t>Kapitalo dalys, laikomos abipuse kryžmine kapitalo dalių nuosavybe p</w:t>
            </w:r>
            <w:r>
              <w:t>a</w:t>
            </w:r>
            <w:r>
              <w:t>gal KRR 36 straipsnio 1 dalies g punktą, neįskaičiuojamos.</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Leidžiama trumpųjų pozicijų ir pirmiau nurodytų neti</w:t>
            </w:r>
            <w:r>
              <w:rPr>
                <w:rStyle w:val="InstructionsTabelleberschrift"/>
                <w:rFonts w:ascii="Times New Roman" w:hAnsi="Times New Roman"/>
                <w:sz w:val="24"/>
              </w:rPr>
              <w:t>e</w:t>
            </w:r>
            <w:r>
              <w:rPr>
                <w:rStyle w:val="InstructionsTabelleberschrift"/>
                <w:rFonts w:ascii="Times New Roman" w:hAnsi="Times New Roman"/>
                <w:sz w:val="24"/>
              </w:rPr>
              <w:t>siogiai turimų kapitalo dalių bendrosios sumos užskaita</w:t>
            </w:r>
          </w:p>
          <w:p w:rsidR="005643EA" w:rsidRPr="00392FFD" w:rsidRDefault="002648B0" w:rsidP="00FD239F">
            <w:pPr>
              <w:pStyle w:val="InstructionsText"/>
            </w:pPr>
            <w:r>
              <w:t>KRR 4 straipsnio 1 dalies 114 punktas ir 45 straipsnis.</w:t>
            </w:r>
          </w:p>
          <w:p w:rsidR="005643EA" w:rsidRPr="00392FFD" w:rsidRDefault="002648B0" w:rsidP="00FD239F">
            <w:pPr>
              <w:pStyle w:val="InstructionsText"/>
            </w:pPr>
            <w:r>
              <w:t>Pagal KRR 45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Dirbtinai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neturi reikšmingų investicijų, CET1 kapitalo dalis</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 straipsnio 1 dalies 126 punktas, 44 ir 45 straipsniai.</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Bendroji dirbtinai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neturi reikšmingų investicijų, CET1 kapitalo dalis</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 straipsnio 1 dalies 126 punktas, 44 ir 45 straipsniai.</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Leidžiama trumpųjų pozicijų ir pirmiau nurodytų dirbt</w:t>
            </w:r>
            <w:r>
              <w:rPr>
                <w:rStyle w:val="InstructionsTabelleberschrift"/>
                <w:rFonts w:ascii="Times New Roman" w:hAnsi="Times New Roman"/>
                <w:sz w:val="24"/>
              </w:rPr>
              <w:t>i</w:t>
            </w:r>
            <w:r>
              <w:rPr>
                <w:rStyle w:val="InstructionsTabelleberschrift"/>
                <w:rFonts w:ascii="Times New Roman" w:hAnsi="Times New Roman"/>
                <w:sz w:val="24"/>
              </w:rPr>
              <w:t>nai turimų kapitalo dalių bendrosios sumos užskaita</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 straipsnio 1 dalies 126 punktas ir 45 straipsnis.</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Turima finansų sektoriaus subjektų, kuriuose įstaiga neturi reikšmingų investicijų, AT1 kapitalo dalis atėmus trumpąsias poz</w:t>
            </w:r>
            <w:r>
              <w:rPr>
                <w:rStyle w:val="InstructionsTabelleberschrift"/>
                <w:rFonts w:ascii="Times New Roman" w:hAnsi="Times New Roman"/>
                <w:sz w:val="24"/>
              </w:rPr>
              <w:t>i</w:t>
            </w:r>
            <w:r>
              <w:rPr>
                <w:rStyle w:val="InstructionsTabelleberschrift"/>
                <w:rFonts w:ascii="Times New Roman" w:hAnsi="Times New Roman"/>
                <w:sz w:val="24"/>
              </w:rPr>
              <w:lastRenderedPageBreak/>
              <w:t>cijas</w:t>
            </w:r>
          </w:p>
          <w:p w:rsidR="005643EA" w:rsidRPr="00392FFD" w:rsidRDefault="002648B0" w:rsidP="00FD239F">
            <w:pPr>
              <w:pStyle w:val="InstructionsText"/>
            </w:pPr>
            <w:r>
              <w:t>KRR 58–60 straipsniai</w:t>
            </w:r>
          </w:p>
        </w:tc>
      </w:tr>
      <w:tr w:rsidR="002648B0" w:rsidRPr="00392FFD" w:rsidTr="00672D2A">
        <w:tc>
          <w:tcPr>
            <w:tcW w:w="1506" w:type="dxa"/>
          </w:tcPr>
          <w:p w:rsidR="002648B0" w:rsidRPr="00392FFD" w:rsidRDefault="002648B0" w:rsidP="00FD239F">
            <w:pPr>
              <w:pStyle w:val="InstructionsText"/>
            </w:pPr>
            <w:r>
              <w:lastRenderedPageBreak/>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Tiesiogiai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neturi reikšmingų investicijų, AT1 kapitalo dalis</w:t>
            </w:r>
          </w:p>
          <w:p w:rsidR="005643EA" w:rsidRPr="00392FFD" w:rsidRDefault="002648B0" w:rsidP="00FD239F">
            <w:pPr>
              <w:pStyle w:val="InstructionsText"/>
            </w:pPr>
            <w:r>
              <w:t>KRR 58, 59 straipsniai ir 60 straipsnio 2 dalis.</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Bendroji 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neturi reikšmingų investicijų, AT1 kapitalo dalis</w:t>
            </w:r>
          </w:p>
          <w:p w:rsidR="005643EA" w:rsidRPr="00392FFD" w:rsidRDefault="002648B0" w:rsidP="00FD239F">
            <w:pPr>
              <w:pStyle w:val="InstructionsText"/>
            </w:pPr>
            <w:r>
              <w:t>KRR 58 straipsnis ir 60 straipsnio 2 dalis.</w:t>
            </w:r>
          </w:p>
          <w:p w:rsidR="005643EA" w:rsidRPr="00392FFD" w:rsidRDefault="002648B0" w:rsidP="00FD239F">
            <w:pPr>
              <w:pStyle w:val="InstructionsText"/>
            </w:pPr>
            <w:r>
              <w:t>Tiesiogiai turima finansų sektoriaus subjektų, kuriuose įstaiga neturi reikšmingų investicijų, AT1 kapitalo dalis, išskyrus:</w:t>
            </w:r>
          </w:p>
          <w:p w:rsidR="005643EA" w:rsidRPr="00392FFD" w:rsidRDefault="002648B0" w:rsidP="00FD239F">
            <w:pPr>
              <w:pStyle w:val="InstructionsText"/>
            </w:pPr>
            <w:r>
              <w:t>a)</w:t>
            </w:r>
            <w:r>
              <w:tab/>
              <w:t>5 darbo dienas arba trumpesnį laikotarpį turimas platinamas p</w:t>
            </w:r>
            <w:r>
              <w:t>o</w:t>
            </w:r>
            <w:r>
              <w:t xml:space="preserve">zicijas ir </w:t>
            </w:r>
          </w:p>
          <w:p w:rsidR="005643EA" w:rsidRPr="00392FFD" w:rsidRDefault="002648B0" w:rsidP="00FD239F">
            <w:pPr>
              <w:pStyle w:val="InstructionsText"/>
            </w:pPr>
            <w:r>
              <w:t>b)</w:t>
            </w:r>
            <w:r>
              <w:tab/>
              <w:t>turimas kapitalo dalis, laikomas abipuse kryžmine kapitalo dalių nuosavybe, kaip nurodyta KRR 56 straipsnio b punkte.</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Leidžiama trumpųjų pozicijų ir pirmiau nurodytų tiesi</w:t>
            </w:r>
            <w:r>
              <w:rPr>
                <w:rStyle w:val="InstructionsTabelleberschrift"/>
                <w:rFonts w:ascii="Times New Roman" w:hAnsi="Times New Roman"/>
                <w:sz w:val="24"/>
              </w:rPr>
              <w:t>o</w:t>
            </w:r>
            <w:r>
              <w:rPr>
                <w:rStyle w:val="InstructionsTabelleberschrift"/>
                <w:rFonts w:ascii="Times New Roman" w:hAnsi="Times New Roman"/>
                <w:sz w:val="24"/>
              </w:rPr>
              <w:t>giai turimų kapitalo dalių bendrosios sumos užskaita</w:t>
            </w:r>
          </w:p>
          <w:p w:rsidR="005643EA" w:rsidRPr="00392FFD" w:rsidRDefault="002648B0" w:rsidP="00FD239F">
            <w:pPr>
              <w:pStyle w:val="InstructionsText"/>
            </w:pPr>
            <w:r>
              <w:t>KRR 59 straipsnis.</w:t>
            </w:r>
          </w:p>
          <w:p w:rsidR="005643EA" w:rsidRPr="00392FFD" w:rsidRDefault="002648B0" w:rsidP="00FD239F">
            <w:pPr>
              <w:pStyle w:val="InstructionsText"/>
            </w:pPr>
            <w:r>
              <w:t>Pagal KRR 59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2648B0" w:rsidRPr="00392FFD" w:rsidTr="00672D2A">
        <w:tc>
          <w:tcPr>
            <w:tcW w:w="1506" w:type="dxa"/>
          </w:tcPr>
          <w:p w:rsidR="002648B0" w:rsidRPr="00392FFD" w:rsidRDefault="002648B0" w:rsidP="00FD239F">
            <w:pPr>
              <w:pStyle w:val="InstructionsText"/>
            </w:pPr>
            <w:r>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Netiesiogiai turima finansų sektoriaus subjektų, kuriuose įstaiga neturi reikšmingų investicijų, AT1 kapitalo dalis</w:t>
            </w:r>
          </w:p>
          <w:p w:rsidR="005643EA" w:rsidRPr="00392FFD" w:rsidRDefault="002648B0" w:rsidP="00FD239F">
            <w:pPr>
              <w:pStyle w:val="InstructionsText"/>
            </w:pPr>
            <w:r>
              <w:t>KRR 4 straipsnio 1 dalies 114 punktas, 58 ir 59 straipsniai.</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Bendroji netiesiogiai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neturi reikšmingų investicijų, AT1 kapitalo dalis</w:t>
            </w:r>
          </w:p>
          <w:p w:rsidR="005643EA" w:rsidRPr="00392FFD" w:rsidRDefault="002648B0" w:rsidP="00FD239F">
            <w:pPr>
              <w:pStyle w:val="InstructionsText"/>
            </w:pPr>
            <w:r>
              <w:t>KRR 4 straipsnio 1 dalies 114 punktas, 58 ir 59 straipsniai.</w:t>
            </w:r>
          </w:p>
          <w:p w:rsidR="005643EA" w:rsidRPr="00392FFD" w:rsidRDefault="002648B0" w:rsidP="00FD239F">
            <w:pPr>
              <w:pStyle w:val="InstructionsText"/>
            </w:pPr>
            <w:r>
              <w:t>Nurodoma suma – netiesiogiai turima finansų sektoriaus subjektų kapit</w:t>
            </w:r>
            <w:r>
              <w:t>a</w:t>
            </w:r>
            <w:r>
              <w:t>lo priemonių dalis prekybos knygoje, kurią sudaro turimi indekso vert</w:t>
            </w:r>
            <w:r>
              <w:t>y</w:t>
            </w:r>
            <w:r>
              <w:t>biniai popieriai. Ji nustatoma apskaičiuojant pagrindinės pozicijos ir į indeksus įtrauktų finansų sektoriaus subjektų kapitalo priemonių santykį.</w:t>
            </w:r>
          </w:p>
          <w:p w:rsidR="005643EA" w:rsidRPr="00392FFD" w:rsidRDefault="002648B0" w:rsidP="00FD239F">
            <w:pPr>
              <w:pStyle w:val="InstructionsText"/>
            </w:pPr>
            <w:r>
              <w:t>Kapitalo dalys, laikomos abipuse kryžmine kapitalo dalių nuosavybe p</w:t>
            </w:r>
            <w:r>
              <w:t>a</w:t>
            </w:r>
            <w:r>
              <w:t>gal KRR 56 straipsnio b punktą, neįskaičiuojamos.</w:t>
            </w:r>
          </w:p>
        </w:tc>
      </w:tr>
      <w:tr w:rsidR="002648B0" w:rsidRPr="00392FFD" w:rsidTr="00672D2A">
        <w:tc>
          <w:tcPr>
            <w:tcW w:w="1506" w:type="dxa"/>
          </w:tcPr>
          <w:p w:rsidR="002648B0" w:rsidRPr="00392FFD" w:rsidRDefault="002648B0" w:rsidP="00FD239F">
            <w:pPr>
              <w:pStyle w:val="InstructionsText"/>
            </w:pPr>
            <w:r>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Leidžiama trumpųjų pozicijų ir pirmiau nurodytų neti</w:t>
            </w:r>
            <w:r>
              <w:rPr>
                <w:rStyle w:val="InstructionsTabelleberschrift"/>
                <w:rFonts w:ascii="Times New Roman" w:hAnsi="Times New Roman"/>
                <w:sz w:val="24"/>
              </w:rPr>
              <w:t>e</w:t>
            </w:r>
            <w:r>
              <w:rPr>
                <w:rStyle w:val="InstructionsTabelleberschrift"/>
                <w:rFonts w:ascii="Times New Roman" w:hAnsi="Times New Roman"/>
                <w:sz w:val="24"/>
              </w:rPr>
              <w:t>siogiai turimų kapitalo dalių bendrosios sumos užskaita</w:t>
            </w:r>
          </w:p>
          <w:p w:rsidR="005643EA" w:rsidRPr="00392FFD" w:rsidRDefault="002648B0" w:rsidP="00FD239F">
            <w:pPr>
              <w:pStyle w:val="InstructionsText"/>
            </w:pPr>
            <w:r>
              <w:t>KRR 4 straipsnio 1 dalies 114 punktas ir 59 straipsnis.</w:t>
            </w:r>
          </w:p>
          <w:p w:rsidR="005643EA" w:rsidRPr="00392FFD" w:rsidRDefault="002648B0" w:rsidP="00FD239F">
            <w:pPr>
              <w:pStyle w:val="InstructionsText"/>
            </w:pPr>
            <w:r>
              <w:t>Pagal KRR 59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2648B0" w:rsidRPr="00392FFD" w:rsidTr="00672D2A">
        <w:tc>
          <w:tcPr>
            <w:tcW w:w="1506" w:type="dxa"/>
          </w:tcPr>
          <w:p w:rsidR="002648B0" w:rsidRPr="00392FFD" w:rsidRDefault="002648B0" w:rsidP="00FD239F">
            <w:pPr>
              <w:pStyle w:val="InstructionsText"/>
            </w:pPr>
            <w:r>
              <w:lastRenderedPageBreak/>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Dirbtinai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neturi reikšmingų investicijų, AT1 kapitalo dalis</w:t>
            </w:r>
          </w:p>
          <w:p w:rsidR="005643EA" w:rsidRPr="00201704" w:rsidRDefault="002648B0" w:rsidP="00FD239F">
            <w:pPr>
              <w:pStyle w:val="InstructionsText"/>
              <w:rPr>
                <w:rStyle w:val="InstructionsTabelleberschrift"/>
                <w:rFonts w:ascii="Times New Roman" w:hAnsi="Times New Roman"/>
                <w:b w:val="0"/>
                <w:bCs w:val="0"/>
                <w:sz w:val="24"/>
                <w:u w:val="none"/>
              </w:rPr>
            </w:pPr>
            <w:r>
              <w:t>KRR 4 straipsnio 1 dalies 126 punktas, 58 ir 59 straipsniai.</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Bendroji dirbtinai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neturi reikšmingų investicijų, AT1 kapitalo dalis</w:t>
            </w:r>
          </w:p>
          <w:p w:rsidR="005643EA" w:rsidRPr="00201704" w:rsidRDefault="002648B0" w:rsidP="00FD239F">
            <w:pPr>
              <w:pStyle w:val="InstructionsText"/>
              <w:rPr>
                <w:rStyle w:val="InstructionsTabelleberschrift"/>
                <w:rFonts w:ascii="Times New Roman" w:hAnsi="Times New Roman"/>
                <w:b w:val="0"/>
                <w:bCs w:val="0"/>
                <w:sz w:val="24"/>
                <w:u w:val="none"/>
              </w:rPr>
            </w:pPr>
            <w:r>
              <w:t>KRR 4 straipsnio 1 dalies 126 punktas, 58 ir 59 straipsniai.</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Leidžiama trumpųjų pozicijų ir pirmiau nurodytų dirbt</w:t>
            </w:r>
            <w:r>
              <w:rPr>
                <w:rStyle w:val="InstructionsTabelleberschrift"/>
                <w:rFonts w:ascii="Times New Roman" w:hAnsi="Times New Roman"/>
                <w:sz w:val="24"/>
              </w:rPr>
              <w:t>i</w:t>
            </w:r>
            <w:r>
              <w:rPr>
                <w:rStyle w:val="InstructionsTabelleberschrift"/>
                <w:rFonts w:ascii="Times New Roman" w:hAnsi="Times New Roman"/>
                <w:sz w:val="24"/>
              </w:rPr>
              <w:t>nai turimų kapitalo dalių bendrosios sumos užskaita</w:t>
            </w:r>
          </w:p>
          <w:p w:rsidR="005643EA" w:rsidRPr="00201704" w:rsidRDefault="002648B0" w:rsidP="00FD239F">
            <w:pPr>
              <w:pStyle w:val="InstructionsText"/>
              <w:rPr>
                <w:rStyle w:val="InstructionsTabelleberschrift"/>
                <w:rFonts w:ascii="Times New Roman" w:hAnsi="Times New Roman"/>
                <w:b w:val="0"/>
                <w:bCs w:val="0"/>
                <w:sz w:val="24"/>
                <w:u w:val="none"/>
              </w:rPr>
            </w:pPr>
            <w:r>
              <w:t>KRR 4 straipsnio 1 dalies 126 punktas ir 59 straipsnis.</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Turima finansų sektoriaus subjektų, kuriuose įstaiga neturi reikšmingų investicijų, T2 kapitalo dalis atėmus trumpąsias pozic</w:t>
            </w:r>
            <w:r>
              <w:rPr>
                <w:rStyle w:val="InstructionsTabelleberschrift"/>
                <w:rFonts w:ascii="Times New Roman" w:hAnsi="Times New Roman"/>
                <w:sz w:val="24"/>
              </w:rPr>
              <w:t>i</w:t>
            </w:r>
            <w:r>
              <w:rPr>
                <w:rStyle w:val="InstructionsTabelleberschrift"/>
                <w:rFonts w:ascii="Times New Roman" w:hAnsi="Times New Roman"/>
                <w:sz w:val="24"/>
              </w:rPr>
              <w:t>jas</w:t>
            </w:r>
          </w:p>
          <w:p w:rsidR="005643EA" w:rsidRPr="00392FFD" w:rsidRDefault="002648B0" w:rsidP="00FD239F">
            <w:pPr>
              <w:pStyle w:val="InstructionsText"/>
            </w:pPr>
            <w:r>
              <w:t>KRR 68–70 straipsniai.</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Tiesiogiai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neturi reikšmingų investicijų, T2 kapitalo dalis</w:t>
            </w:r>
          </w:p>
          <w:p w:rsidR="005643EA" w:rsidRPr="00392FFD" w:rsidRDefault="002648B0" w:rsidP="00FD239F">
            <w:pPr>
              <w:pStyle w:val="InstructionsText"/>
            </w:pPr>
            <w:r>
              <w:t>KRR 68, 69 straipsniai ir 70 straipsnio 2 dalis.</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Bendroji 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neturi reikšmingų investicijų, T2 kapitalo dalis</w:t>
            </w:r>
          </w:p>
          <w:p w:rsidR="005643EA" w:rsidRPr="00392FFD" w:rsidRDefault="002648B0" w:rsidP="00FD239F">
            <w:pPr>
              <w:pStyle w:val="InstructionsText"/>
            </w:pPr>
            <w:r>
              <w:t>KRR 68 straipsnis ir 70 straipsnio 2 dalis.</w:t>
            </w:r>
          </w:p>
          <w:p w:rsidR="005643EA" w:rsidRPr="00392FFD" w:rsidRDefault="002648B0" w:rsidP="00FD239F">
            <w:pPr>
              <w:pStyle w:val="InstructionsText"/>
            </w:pPr>
            <w:r>
              <w:t>Tiesiogiai turima finansų sektoriaus subjektų, kuriuose įstaiga neturi reikšmingų investicijų, T2 kapitalo dalis, išskyrus:</w:t>
            </w:r>
          </w:p>
          <w:p w:rsidR="005643EA" w:rsidRPr="00392FFD" w:rsidRDefault="002648B0" w:rsidP="00FD239F">
            <w:pPr>
              <w:pStyle w:val="InstructionsText"/>
            </w:pPr>
            <w:r>
              <w:t>a)</w:t>
            </w:r>
            <w:r>
              <w:tab/>
              <w:t>5 darbo dienas arba trumpesnį laikotarpį turimas platinamas p</w:t>
            </w:r>
            <w:r>
              <w:t>o</w:t>
            </w:r>
            <w:r>
              <w:t xml:space="preserve">zicijas ir </w:t>
            </w:r>
          </w:p>
          <w:p w:rsidR="005643EA" w:rsidRPr="00392FFD" w:rsidRDefault="002648B0" w:rsidP="00FD239F">
            <w:pPr>
              <w:pStyle w:val="InstructionsText"/>
            </w:pPr>
            <w:r>
              <w:t>b)</w:t>
            </w:r>
            <w:r>
              <w:tab/>
              <w:t>turimas kapitalo dalis, laikomas abipuse kryžmine kapitalo dalių nuosavybe, kaip nurodyta KRR 66 straipsnio b punkte.</w:t>
            </w:r>
          </w:p>
        </w:tc>
      </w:tr>
      <w:tr w:rsidR="002648B0" w:rsidRPr="00392FFD" w:rsidTr="00672D2A">
        <w:tc>
          <w:tcPr>
            <w:tcW w:w="1506" w:type="dxa"/>
          </w:tcPr>
          <w:p w:rsidR="002648B0" w:rsidRPr="00392FFD" w:rsidRDefault="002648B0" w:rsidP="00FD239F">
            <w:pPr>
              <w:pStyle w:val="InstructionsText"/>
            </w:pPr>
            <w:r>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Leidžiama trumpųjų pozicijų ir pirmiau nurodytų tiesi</w:t>
            </w:r>
            <w:r>
              <w:rPr>
                <w:rStyle w:val="InstructionsTabelleberschrift"/>
                <w:rFonts w:ascii="Times New Roman" w:hAnsi="Times New Roman"/>
                <w:sz w:val="24"/>
              </w:rPr>
              <w:t>o</w:t>
            </w:r>
            <w:r>
              <w:rPr>
                <w:rStyle w:val="InstructionsTabelleberschrift"/>
                <w:rFonts w:ascii="Times New Roman" w:hAnsi="Times New Roman"/>
                <w:sz w:val="24"/>
              </w:rPr>
              <w:t>giai turimų kapitalo dalių bendrosios sumos užskaita</w:t>
            </w:r>
          </w:p>
          <w:p w:rsidR="005643EA" w:rsidRPr="00392FFD" w:rsidRDefault="002648B0" w:rsidP="00FD239F">
            <w:pPr>
              <w:pStyle w:val="InstructionsText"/>
            </w:pPr>
            <w:r>
              <w:t>KRR 69 straipsnis.</w:t>
            </w:r>
          </w:p>
          <w:p w:rsidR="005643EA" w:rsidRPr="00392FFD" w:rsidRDefault="002648B0" w:rsidP="00FD239F">
            <w:pPr>
              <w:pStyle w:val="InstructionsText"/>
            </w:pPr>
            <w:r>
              <w:t>Pagal KRR 69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Netiesiogiai turima finansų sektoriaus subjektų, kuriuose įstaiga neturi reikšmingų investicijų, T2 kapitalo dalis</w:t>
            </w:r>
          </w:p>
          <w:p w:rsidR="005643EA" w:rsidRPr="00392FFD" w:rsidRDefault="002648B0" w:rsidP="00FD239F">
            <w:pPr>
              <w:pStyle w:val="InstructionsText"/>
            </w:pPr>
            <w:r>
              <w:t>KRR 4 straipsnio 1 dalies 114 punktas, 68 ir 69 straipsniai.</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Bendroji netiesiogiai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neturi reikšmingų investicijų, T2 kapitalo dalis</w:t>
            </w:r>
          </w:p>
          <w:p w:rsidR="005643EA" w:rsidRPr="00392FFD" w:rsidRDefault="002648B0" w:rsidP="00FD239F">
            <w:pPr>
              <w:pStyle w:val="InstructionsText"/>
            </w:pPr>
            <w:r>
              <w:t>KRR 4 straipsnio 1 dalies 114 punktas, 68 ir 69 straipsniai.</w:t>
            </w:r>
          </w:p>
          <w:p w:rsidR="005643EA" w:rsidRPr="00392FFD" w:rsidRDefault="002648B0" w:rsidP="00FD239F">
            <w:pPr>
              <w:pStyle w:val="InstructionsText"/>
            </w:pPr>
            <w:r>
              <w:t>Nurodoma suma – netiesiogiai turima finansų sektoriaus subjektų kapit</w:t>
            </w:r>
            <w:r>
              <w:t>a</w:t>
            </w:r>
            <w:r>
              <w:t>lo priemonių dalis prekybos knygoje, kurią sudaro turimi indekso vert</w:t>
            </w:r>
            <w:r>
              <w:t>y</w:t>
            </w:r>
            <w:r>
              <w:lastRenderedPageBreak/>
              <w:t>biniai popieriai. Ji nustatoma apskaičiuojant pagrindinės pozicijos ir į indeksus įtrauktų finansų sektoriaus subjektų kapitalo priemonių santykį.</w:t>
            </w:r>
          </w:p>
          <w:p w:rsidR="005643EA" w:rsidRPr="00392FFD" w:rsidRDefault="002648B0" w:rsidP="00FD239F">
            <w:pPr>
              <w:pStyle w:val="InstructionsText"/>
            </w:pPr>
            <w:r>
              <w:t>Kapitalo dalys, laikomos abipuse kryžmine kapitalo dalių nuosavybe p</w:t>
            </w:r>
            <w:r>
              <w:t>a</w:t>
            </w:r>
            <w:r>
              <w:t>gal KRR 66 straipsnio b punktą, neįskaičiuojamos.</w:t>
            </w:r>
          </w:p>
        </w:tc>
      </w:tr>
      <w:tr w:rsidR="002648B0" w:rsidRPr="00392FFD" w:rsidTr="00672D2A">
        <w:tc>
          <w:tcPr>
            <w:tcW w:w="1506" w:type="dxa"/>
          </w:tcPr>
          <w:p w:rsidR="002648B0" w:rsidRPr="00392FFD" w:rsidRDefault="002648B0" w:rsidP="00FD239F">
            <w:pPr>
              <w:pStyle w:val="InstructionsText"/>
            </w:pPr>
            <w:r>
              <w:lastRenderedPageBreak/>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Leidžiama trumpųjų pozicijų ir pirmiau nurodytų neti</w:t>
            </w:r>
            <w:r>
              <w:rPr>
                <w:rStyle w:val="InstructionsTabelleberschrift"/>
                <w:rFonts w:ascii="Times New Roman" w:hAnsi="Times New Roman"/>
                <w:sz w:val="24"/>
              </w:rPr>
              <w:t>e</w:t>
            </w:r>
            <w:r>
              <w:rPr>
                <w:rStyle w:val="InstructionsTabelleberschrift"/>
                <w:rFonts w:ascii="Times New Roman" w:hAnsi="Times New Roman"/>
                <w:sz w:val="24"/>
              </w:rPr>
              <w:t>siogiai turimų kapitalo dalių bendrosios sumos užskaita</w:t>
            </w:r>
          </w:p>
          <w:p w:rsidR="005643EA" w:rsidRPr="00392FFD" w:rsidRDefault="002648B0" w:rsidP="00FD239F">
            <w:pPr>
              <w:pStyle w:val="InstructionsText"/>
            </w:pPr>
            <w:r>
              <w:t>KRR 4 straipsnio 1 dalies 114 punktas ir 69 straipsnis.</w:t>
            </w:r>
          </w:p>
          <w:p w:rsidR="005643EA" w:rsidRPr="00392FFD" w:rsidRDefault="002648B0" w:rsidP="00FD239F">
            <w:pPr>
              <w:pStyle w:val="InstructionsText"/>
            </w:pPr>
            <w:r>
              <w:t>Pagal KRR 69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Dirbtinai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neturi reikšmingų investicijų, T2 kapitalo dalis</w:t>
            </w:r>
          </w:p>
          <w:p w:rsidR="005643EA" w:rsidRPr="00392FFD" w:rsidRDefault="00805255" w:rsidP="00FD239F">
            <w:pPr>
              <w:pStyle w:val="InstructionsText"/>
              <w:rPr>
                <w:rStyle w:val="InstructionsTabelleberschrift"/>
                <w:rFonts w:ascii="Times New Roman" w:hAnsi="Times New Roman"/>
                <w:sz w:val="24"/>
              </w:rPr>
            </w:pPr>
            <w:r>
              <w:t>KRR 4 straipsnio 1 dalies 126 punktas, 68 ir 69 straipsniai.</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Bendroji dirbtinai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neturi reikšmingų investicijų, T2 kapitalo dalis</w:t>
            </w:r>
          </w:p>
          <w:p w:rsidR="005643EA" w:rsidRPr="00201704" w:rsidRDefault="00805255" w:rsidP="00FD239F">
            <w:pPr>
              <w:pStyle w:val="InstructionsText"/>
              <w:rPr>
                <w:rStyle w:val="InstructionsTabelleberschrift"/>
                <w:rFonts w:ascii="Times New Roman" w:hAnsi="Times New Roman"/>
                <w:b w:val="0"/>
                <w:bCs w:val="0"/>
                <w:sz w:val="24"/>
                <w:u w:val="none"/>
              </w:rPr>
            </w:pPr>
            <w:r>
              <w:t>KRR 4 straipsnio 1 dalies 126 punktas, 68 ir 69 straipsniai.</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Leidžiama trumpųjų pozicijų ir pirmiau nurodytų dirbt</w:t>
            </w:r>
            <w:r>
              <w:rPr>
                <w:rStyle w:val="InstructionsTabelleberschrift"/>
                <w:rFonts w:ascii="Times New Roman" w:hAnsi="Times New Roman"/>
                <w:sz w:val="24"/>
              </w:rPr>
              <w:t>i</w:t>
            </w:r>
            <w:r>
              <w:rPr>
                <w:rStyle w:val="InstructionsTabelleberschrift"/>
                <w:rFonts w:ascii="Times New Roman" w:hAnsi="Times New Roman"/>
                <w:sz w:val="24"/>
              </w:rPr>
              <w:t>nai turimų kapitalo dalių bendrosios sumos užskaita</w:t>
            </w:r>
          </w:p>
          <w:p w:rsidR="005643EA" w:rsidRPr="00201704" w:rsidRDefault="00805255" w:rsidP="00FD239F">
            <w:pPr>
              <w:pStyle w:val="InstructionsText"/>
              <w:rPr>
                <w:rStyle w:val="InstructionsTabelleberschrift"/>
                <w:rFonts w:ascii="Times New Roman" w:hAnsi="Times New Roman"/>
                <w:b w:val="0"/>
                <w:bCs w:val="0"/>
                <w:sz w:val="24"/>
                <w:u w:val="none"/>
              </w:rPr>
            </w:pPr>
            <w:r>
              <w:t>KRR 4 straipsnio 1 dalies 126 punktas ir 69 straipsnis.</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Turima finansų sektoriaus subjektų, kuriuose įstaiga turi reikšmingų investicijų, CET1 kapitalo dalis atėmus trumpąsias p</w:t>
            </w:r>
            <w:r>
              <w:rPr>
                <w:rStyle w:val="InstructionsTabelleberschrift"/>
                <w:rFonts w:ascii="Times New Roman" w:hAnsi="Times New Roman"/>
                <w:sz w:val="24"/>
              </w:rPr>
              <w:t>o</w:t>
            </w:r>
            <w:r>
              <w:rPr>
                <w:rStyle w:val="InstructionsTabelleberschrift"/>
                <w:rFonts w:ascii="Times New Roman" w:hAnsi="Times New Roman"/>
                <w:sz w:val="24"/>
              </w:rPr>
              <w:t>zicijas</w:t>
            </w:r>
          </w:p>
          <w:p w:rsidR="005643EA" w:rsidRPr="00392FFD" w:rsidRDefault="002648B0" w:rsidP="00FD239F">
            <w:pPr>
              <w:pStyle w:val="InstructionsText"/>
            </w:pPr>
            <w:r>
              <w:t>KRR 44, 45, 47 ir 49 straipsniai.</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Tiesiogiai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turi reikšmingų investicijų, CET1 kapitalo dalis</w:t>
            </w:r>
          </w:p>
          <w:p w:rsidR="005643EA" w:rsidRPr="00392FFD" w:rsidRDefault="002648B0" w:rsidP="00FD239F">
            <w:pPr>
              <w:pStyle w:val="InstructionsText"/>
            </w:pPr>
            <w:r>
              <w:t>KRR 44, 45, 47 ir 49 straipsniai.</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Bendroji 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turi reikšmingų investicijų, CET1 kapitalo dalis</w:t>
            </w:r>
          </w:p>
          <w:p w:rsidR="005643EA" w:rsidRPr="00392FFD" w:rsidRDefault="002648B0" w:rsidP="00FD239F">
            <w:pPr>
              <w:pStyle w:val="InstructionsText"/>
            </w:pPr>
            <w:r>
              <w:t>KRR 44, 45, 47 ir 49 straipsniai.</w:t>
            </w:r>
          </w:p>
          <w:p w:rsidR="005643EA" w:rsidRPr="00392FFD" w:rsidRDefault="002648B0" w:rsidP="00FD239F">
            <w:pPr>
              <w:pStyle w:val="InstructionsText"/>
            </w:pPr>
            <w:r>
              <w:t>Tiesiogiai turima finansų sektoriaus subjektų, kuriuose įstaiga turi reikšmingų investicijų, CET1 kapitalo dalis, išskyrus:</w:t>
            </w:r>
          </w:p>
          <w:p w:rsidR="005643EA" w:rsidRPr="00392FFD" w:rsidRDefault="002648B0" w:rsidP="00FD239F">
            <w:pPr>
              <w:pStyle w:val="InstructionsText"/>
            </w:pPr>
            <w:r>
              <w:t>a)</w:t>
            </w:r>
            <w:r>
              <w:tab/>
              <w:t>5 darbo dienas arba trumpesnį laikotarpį turimas platinamas p</w:t>
            </w:r>
            <w:r>
              <w:t>o</w:t>
            </w:r>
            <w:r>
              <w:t xml:space="preserve">zicijas; </w:t>
            </w:r>
          </w:p>
          <w:p w:rsidR="005643EA" w:rsidRPr="00392FFD" w:rsidRDefault="002648B0" w:rsidP="00FD239F">
            <w:pPr>
              <w:pStyle w:val="InstructionsText"/>
            </w:pPr>
            <w:r>
              <w:t>b)</w:t>
            </w:r>
            <w:r>
              <w:tab/>
              <w:t xml:space="preserve">sumas, susijusias su investicijomis, kurioms taikoma kuri nors iš 49 straipsnyje numatytų alternatyvų, ir </w:t>
            </w:r>
          </w:p>
          <w:p w:rsidR="005643EA" w:rsidRPr="00392FFD" w:rsidRDefault="002648B0" w:rsidP="00FD239F">
            <w:pPr>
              <w:pStyle w:val="InstructionsText"/>
            </w:pPr>
            <w:r>
              <w:t>c)</w:t>
            </w:r>
            <w:r>
              <w:tab/>
              <w:t>turimas kapitalo dalis, kurios laikomos abipuse kryžmine kapitalo dalių nuosavybe, kaip nurodyta KRR 36 straipsnio 1 dalies g punkte.</w:t>
            </w:r>
          </w:p>
        </w:tc>
      </w:tr>
      <w:tr w:rsidR="002648B0" w:rsidRPr="00392FFD" w:rsidTr="00672D2A">
        <w:tc>
          <w:tcPr>
            <w:tcW w:w="1506" w:type="dxa"/>
          </w:tcPr>
          <w:p w:rsidR="002648B0" w:rsidRPr="00392FFD" w:rsidRDefault="002648B0" w:rsidP="00FD239F">
            <w:pPr>
              <w:pStyle w:val="InstructionsText"/>
            </w:pPr>
            <w:r>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Leidžiama trumpųjų pozicijų ir pirmiau nurodytų tiesi</w:t>
            </w:r>
            <w:r>
              <w:rPr>
                <w:rStyle w:val="InstructionsTabelleberschrift"/>
                <w:rFonts w:ascii="Times New Roman" w:hAnsi="Times New Roman"/>
                <w:sz w:val="24"/>
              </w:rPr>
              <w:t>o</w:t>
            </w:r>
            <w:r>
              <w:rPr>
                <w:rStyle w:val="InstructionsTabelleberschrift"/>
                <w:rFonts w:ascii="Times New Roman" w:hAnsi="Times New Roman"/>
                <w:sz w:val="24"/>
              </w:rPr>
              <w:t>giai turimų kapitalo dalių bendrosios sumos užskaita</w:t>
            </w:r>
          </w:p>
          <w:p w:rsidR="005643EA" w:rsidRPr="00392FFD" w:rsidRDefault="002648B0" w:rsidP="00FD239F">
            <w:pPr>
              <w:pStyle w:val="InstructionsText"/>
            </w:pPr>
            <w:r>
              <w:lastRenderedPageBreak/>
              <w:t>KRR 45 straipsnis.</w:t>
            </w:r>
          </w:p>
          <w:p w:rsidR="005643EA" w:rsidRPr="00392FFD" w:rsidRDefault="002648B0" w:rsidP="00FD239F">
            <w:pPr>
              <w:pStyle w:val="InstructionsText"/>
            </w:pPr>
            <w:r>
              <w:t>Pagal KRR 45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2648B0" w:rsidRPr="00392FFD" w:rsidTr="00672D2A">
        <w:tc>
          <w:tcPr>
            <w:tcW w:w="1506" w:type="dxa"/>
          </w:tcPr>
          <w:p w:rsidR="002648B0" w:rsidRPr="00392FFD" w:rsidRDefault="002648B0" w:rsidP="00FD239F">
            <w:pPr>
              <w:pStyle w:val="InstructionsText"/>
            </w:pPr>
            <w:r>
              <w:lastRenderedPageBreak/>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Netiesiogiai turima finansų sektoriaus subjektų, kuriuose įstaiga turi reikšmingų investicijų, CET1 kapitalo dalis</w:t>
            </w:r>
          </w:p>
          <w:p w:rsidR="005643EA" w:rsidRPr="00392FFD" w:rsidRDefault="002648B0" w:rsidP="00FD239F">
            <w:pPr>
              <w:pStyle w:val="InstructionsText"/>
            </w:pPr>
            <w:r>
              <w:t>KRR 4 straipsnio 1 dalies 114 punktas, 44 ir 45 straipsniai.</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Bendroji netiesiogiai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turi reikšmingų investicijų, CET1 kapitalo dalis</w:t>
            </w:r>
          </w:p>
          <w:p w:rsidR="005643EA" w:rsidRPr="00392FFD" w:rsidRDefault="002648B0" w:rsidP="00FD239F">
            <w:pPr>
              <w:pStyle w:val="InstructionsText"/>
            </w:pPr>
            <w:r>
              <w:t>KRR 4 straipsnio 1 dalies 114 punktas, 44 ir 45 straipsniai.</w:t>
            </w:r>
          </w:p>
          <w:p w:rsidR="005643EA" w:rsidRPr="00392FFD" w:rsidRDefault="002648B0" w:rsidP="00FD239F">
            <w:pPr>
              <w:pStyle w:val="InstructionsText"/>
            </w:pPr>
            <w:r>
              <w:t>Nurodoma suma – netiesiogiai turima finansų sektoriaus subjektų kapit</w:t>
            </w:r>
            <w:r>
              <w:t>a</w:t>
            </w:r>
            <w:r>
              <w:t>lo priemonių dalis prekybos knygoje, kurią sudaro turimi indekso vert</w:t>
            </w:r>
            <w:r>
              <w:t>y</w:t>
            </w:r>
            <w:r>
              <w:t>biniai popieriai. Ji nustatoma apskaičiuojant pagrindinės pozicijos ir į indeksus įtrauktų finansų sektoriaus subjektų kapitalo priemonių santykį.</w:t>
            </w:r>
          </w:p>
          <w:p w:rsidR="005643EA" w:rsidRPr="00392FFD" w:rsidRDefault="002648B0" w:rsidP="00FD239F">
            <w:pPr>
              <w:pStyle w:val="InstructionsText"/>
            </w:pPr>
            <w:r>
              <w:t>Kapitalo dalys, laikomos abipuse kryžmine kapitalo dalių nuosavybe p</w:t>
            </w:r>
            <w:r>
              <w:t>a</w:t>
            </w:r>
            <w:r>
              <w:t>gal KRR 36 straipsnio 1 dalies g punktą, neįskaičiuojamos.</w:t>
            </w:r>
          </w:p>
        </w:tc>
      </w:tr>
      <w:tr w:rsidR="002648B0" w:rsidRPr="00392FFD" w:rsidTr="00672D2A">
        <w:tc>
          <w:tcPr>
            <w:tcW w:w="1506" w:type="dxa"/>
          </w:tcPr>
          <w:p w:rsidR="002648B0" w:rsidRPr="00392FFD" w:rsidRDefault="002648B0" w:rsidP="00FD239F">
            <w:pPr>
              <w:pStyle w:val="InstructionsText"/>
            </w:pPr>
            <w:r>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Leidžiama trumpųjų pozicijų ir pirmiau nurodytų neti</w:t>
            </w:r>
            <w:r>
              <w:rPr>
                <w:rStyle w:val="InstructionsTabelleberschrift"/>
                <w:rFonts w:ascii="Times New Roman" w:hAnsi="Times New Roman"/>
                <w:sz w:val="24"/>
              </w:rPr>
              <w:t>e</w:t>
            </w:r>
            <w:r>
              <w:rPr>
                <w:rStyle w:val="InstructionsTabelleberschrift"/>
                <w:rFonts w:ascii="Times New Roman" w:hAnsi="Times New Roman"/>
                <w:sz w:val="24"/>
              </w:rPr>
              <w:t>siogiai turimų kapitalo dalių bendrosios sumos užskaita</w:t>
            </w:r>
          </w:p>
          <w:p w:rsidR="005643EA" w:rsidRPr="00392FFD" w:rsidRDefault="002648B0" w:rsidP="00FD239F">
            <w:pPr>
              <w:pStyle w:val="InstructionsText"/>
            </w:pPr>
            <w:r>
              <w:t>KRR 4 straipsnio 1 dalies 114 punktas ir 45 straipsnis.</w:t>
            </w:r>
          </w:p>
          <w:p w:rsidR="005643EA" w:rsidRPr="00392FFD" w:rsidRDefault="002648B0" w:rsidP="00FD239F">
            <w:pPr>
              <w:pStyle w:val="InstructionsText"/>
            </w:pPr>
            <w:r>
              <w:t>Pagal KRR 45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Dirbtinai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turi reikšmingų investicijų, CET1 kapitalo dalis</w:t>
            </w:r>
          </w:p>
          <w:p w:rsidR="005643EA" w:rsidRPr="00392FFD" w:rsidRDefault="00805255" w:rsidP="00FD239F">
            <w:pPr>
              <w:pStyle w:val="InstructionsText"/>
            </w:pPr>
            <w:r>
              <w:t>KRR 4 straipsnio 1 dalies 126 punktas, 44 ir 45 straipsniai.</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Bendroji dirbtinai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turi reikšmingų investicijų, CET1 kapitalo dalis</w:t>
            </w:r>
          </w:p>
          <w:p w:rsidR="005643EA" w:rsidRPr="00392FFD" w:rsidRDefault="00805255" w:rsidP="00FD239F">
            <w:pPr>
              <w:pStyle w:val="InstructionsText"/>
            </w:pPr>
            <w:r>
              <w:t>KRR 4 straipsnio 1 dalies 126 punktas, 44 ir 45 straipsniai.</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Leidžiama trumpųjų pozicijų ir pirmiau nurodytų dirbt</w:t>
            </w:r>
            <w:r>
              <w:rPr>
                <w:rStyle w:val="InstructionsTabelleberschrift"/>
                <w:rFonts w:ascii="Times New Roman" w:hAnsi="Times New Roman"/>
                <w:sz w:val="24"/>
              </w:rPr>
              <w:t>i</w:t>
            </w:r>
            <w:r>
              <w:rPr>
                <w:rStyle w:val="InstructionsTabelleberschrift"/>
                <w:rFonts w:ascii="Times New Roman" w:hAnsi="Times New Roman"/>
                <w:sz w:val="24"/>
              </w:rPr>
              <w:t>nai turimų kapitalo dalių bendrosios sumos užskaita</w:t>
            </w:r>
          </w:p>
          <w:p w:rsidR="005643EA" w:rsidRPr="00392FFD" w:rsidRDefault="00805255" w:rsidP="00FD239F">
            <w:pPr>
              <w:pStyle w:val="InstructionsText"/>
            </w:pPr>
            <w:r>
              <w:t>KRR 4 straipsnio 1 dalies 126 punktas ir 45 straipsnis.</w:t>
            </w:r>
          </w:p>
        </w:tc>
      </w:tr>
      <w:tr w:rsidR="002648B0" w:rsidRPr="00392FFD" w:rsidTr="00672D2A">
        <w:tc>
          <w:tcPr>
            <w:tcW w:w="1506" w:type="dxa"/>
          </w:tcPr>
          <w:p w:rsidR="002648B0" w:rsidRPr="00392FFD" w:rsidRDefault="002648B0" w:rsidP="00FD239F">
            <w:pPr>
              <w:pStyle w:val="InstructionsText"/>
            </w:pPr>
            <w:r>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 Turima finansų sektoriaus subjektų, kuriuose įstaiga turi reik</w:t>
            </w:r>
            <w:r>
              <w:rPr>
                <w:rStyle w:val="InstructionsTabelleberschrift"/>
                <w:rFonts w:ascii="Times New Roman" w:hAnsi="Times New Roman"/>
                <w:sz w:val="24"/>
              </w:rPr>
              <w:t>š</w:t>
            </w:r>
            <w:r>
              <w:rPr>
                <w:rStyle w:val="InstructionsTabelleberschrift"/>
                <w:rFonts w:ascii="Times New Roman" w:hAnsi="Times New Roman"/>
                <w:sz w:val="24"/>
              </w:rPr>
              <w:t>mingų investicijų, AT1 kapitalo dalis atėmus trumpąsias pozicijas</w:t>
            </w:r>
          </w:p>
          <w:p w:rsidR="005643EA" w:rsidRPr="00392FFD" w:rsidRDefault="002648B0" w:rsidP="00FD239F">
            <w:pPr>
              <w:pStyle w:val="InstructionsText"/>
            </w:pPr>
            <w:r>
              <w:t>KRR 58 ir 59 straipsniai.</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Tiesiogiai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turi reikšmingų investicijų, AT1 kapitalo dalis</w:t>
            </w:r>
          </w:p>
          <w:p w:rsidR="005643EA" w:rsidRPr="00392FFD" w:rsidRDefault="002648B0" w:rsidP="00FD239F">
            <w:pPr>
              <w:pStyle w:val="InstructionsText"/>
            </w:pPr>
            <w:r>
              <w:t>KRR 58 ir 59 straipsniai.</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Bendroji 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lastRenderedPageBreak/>
              <w:t>riuose įstaiga turi reikšmingų investicijų, AT1 kapitalo dalis</w:t>
            </w:r>
          </w:p>
          <w:p w:rsidR="005643EA" w:rsidRPr="00392FFD" w:rsidRDefault="002648B0" w:rsidP="00FD239F">
            <w:pPr>
              <w:pStyle w:val="InstructionsText"/>
            </w:pPr>
            <w:r>
              <w:t>KRR 58 straipsnis.</w:t>
            </w:r>
          </w:p>
          <w:p w:rsidR="005643EA" w:rsidRPr="00392FFD" w:rsidRDefault="002648B0" w:rsidP="00FD239F">
            <w:pPr>
              <w:pStyle w:val="InstructionsText"/>
            </w:pPr>
            <w:r>
              <w:t>Tiesiogiai turima finansų sektoriaus subjektų, kuriuose įstaiga turi reikšmingų investicijų, AT1 kapitalo dalis, išskyrus:</w:t>
            </w:r>
          </w:p>
          <w:p w:rsidR="005643EA" w:rsidRPr="00392FFD" w:rsidRDefault="002648B0" w:rsidP="00FD239F">
            <w:pPr>
              <w:pStyle w:val="InstructionsText"/>
            </w:pPr>
            <w:r>
              <w:t>a)</w:t>
            </w:r>
            <w:r>
              <w:tab/>
              <w:t>5 darbo dienas arba trumpesnį laikotarpį turimas platinamas p</w:t>
            </w:r>
            <w:r>
              <w:t>o</w:t>
            </w:r>
            <w:r>
              <w:t xml:space="preserve">zicijas (56 straipsnio d punktas) ir </w:t>
            </w:r>
          </w:p>
          <w:p w:rsidR="005643EA" w:rsidRPr="00392FFD" w:rsidRDefault="002648B0" w:rsidP="00FD239F">
            <w:pPr>
              <w:pStyle w:val="InstructionsText"/>
            </w:pPr>
            <w:r>
              <w:t>b)</w:t>
            </w:r>
            <w:r>
              <w:tab/>
              <w:t>turimas kapitalo dalis, laikomas abipuse kryžmine kapitalo dalių nuosavybe, kaip nurodyta KRR 56 straipsnio b punkte.</w:t>
            </w:r>
          </w:p>
        </w:tc>
      </w:tr>
      <w:tr w:rsidR="002648B0" w:rsidRPr="00392FFD" w:rsidTr="00672D2A">
        <w:tc>
          <w:tcPr>
            <w:tcW w:w="1506" w:type="dxa"/>
          </w:tcPr>
          <w:p w:rsidR="002648B0" w:rsidRPr="00392FFD" w:rsidRDefault="002648B0" w:rsidP="00FD239F">
            <w:pPr>
              <w:pStyle w:val="InstructionsText"/>
            </w:pPr>
            <w:r>
              <w:lastRenderedPageBreak/>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Leidžiama trumpųjų pozicijų ir pirmiau nurodytų tiesi</w:t>
            </w:r>
            <w:r>
              <w:rPr>
                <w:rStyle w:val="InstructionsTabelleberschrift"/>
                <w:rFonts w:ascii="Times New Roman" w:hAnsi="Times New Roman"/>
                <w:sz w:val="24"/>
              </w:rPr>
              <w:t>o</w:t>
            </w:r>
            <w:r>
              <w:rPr>
                <w:rStyle w:val="InstructionsTabelleberschrift"/>
                <w:rFonts w:ascii="Times New Roman" w:hAnsi="Times New Roman"/>
                <w:sz w:val="24"/>
              </w:rPr>
              <w:t>giai turimų kapitalo dalių bendrosios sumos užskaita</w:t>
            </w:r>
          </w:p>
          <w:p w:rsidR="005643EA" w:rsidRPr="00392FFD" w:rsidRDefault="002648B0" w:rsidP="00FD239F">
            <w:pPr>
              <w:pStyle w:val="InstructionsText"/>
            </w:pPr>
            <w:r>
              <w:t>KRR 59 straipsnis.</w:t>
            </w:r>
          </w:p>
          <w:p w:rsidR="005643EA" w:rsidRPr="00392FFD" w:rsidRDefault="002648B0" w:rsidP="00FD239F">
            <w:pPr>
              <w:pStyle w:val="InstructionsText"/>
            </w:pPr>
            <w:r>
              <w:t>Pagal KRR 59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Netiesiogiai turima finansų sektoriaus subjektų, kuriuose įstaiga turi reikšmingų investicijų, AT1 kapitalo dalis</w:t>
            </w:r>
          </w:p>
          <w:p w:rsidR="005643EA" w:rsidRPr="00392FFD" w:rsidRDefault="002648B0" w:rsidP="00FD239F">
            <w:pPr>
              <w:pStyle w:val="InstructionsText"/>
            </w:pPr>
            <w:r>
              <w:t>KRR 4 straipsnio 1 dalies 114 punktas, 58 ir 59 straipsniai.</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Bendroji netiesiogiai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turi reikšmingų investicijų, AT1 kapitalo dalis</w:t>
            </w:r>
          </w:p>
          <w:p w:rsidR="005643EA" w:rsidRPr="00392FFD" w:rsidRDefault="002648B0" w:rsidP="00FD239F">
            <w:pPr>
              <w:pStyle w:val="InstructionsText"/>
            </w:pPr>
            <w:r>
              <w:t>KRR 4 straipsnio 1 dalies 114 punktas, 58 ir 59 straipsniai.</w:t>
            </w:r>
          </w:p>
          <w:p w:rsidR="005643EA" w:rsidRPr="00392FFD" w:rsidRDefault="002648B0" w:rsidP="00FD239F">
            <w:pPr>
              <w:pStyle w:val="InstructionsText"/>
            </w:pPr>
            <w:r>
              <w:t>Nurodoma suma – netiesiogiai turima finansų sektoriaus subjektų kapit</w:t>
            </w:r>
            <w:r>
              <w:t>a</w:t>
            </w:r>
            <w:r>
              <w:t>lo priemonių dalis prekybos knygoje, kurią sudaro turimi indekso vert</w:t>
            </w:r>
            <w:r>
              <w:t>y</w:t>
            </w:r>
            <w:r>
              <w:t>biniai popieriai. Ji nustatoma apskaičiuojant pagrindinės pozicijos ir į indeksus įtrauktų finansų sektoriaus subjektų kapitalo priemonių santykį.</w:t>
            </w:r>
          </w:p>
          <w:p w:rsidR="005643EA" w:rsidRPr="00392FFD" w:rsidRDefault="002648B0" w:rsidP="00FD239F">
            <w:pPr>
              <w:pStyle w:val="InstructionsText"/>
            </w:pPr>
            <w:r>
              <w:t>Kapitalo dalys, laikomos abipuse kryžmine kapitalo dalių nuosavybe p</w:t>
            </w:r>
            <w:r>
              <w:t>a</w:t>
            </w:r>
            <w:r>
              <w:t>gal KRR 56 straipsnio b punktą, neįskaičiuojamos.</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Leidžiama trumpųjų pozicijų ir pirmiau nurodytų neti</w:t>
            </w:r>
            <w:r>
              <w:rPr>
                <w:rStyle w:val="InstructionsTabelleberschrift"/>
                <w:rFonts w:ascii="Times New Roman" w:hAnsi="Times New Roman"/>
                <w:sz w:val="24"/>
              </w:rPr>
              <w:t>e</w:t>
            </w:r>
            <w:r>
              <w:rPr>
                <w:rStyle w:val="InstructionsTabelleberschrift"/>
                <w:rFonts w:ascii="Times New Roman" w:hAnsi="Times New Roman"/>
                <w:sz w:val="24"/>
              </w:rPr>
              <w:t>siogiai turimų kapitalo dalių bendrosios sumos užskaita</w:t>
            </w:r>
          </w:p>
          <w:p w:rsidR="005643EA" w:rsidRPr="00392FFD" w:rsidRDefault="002648B0" w:rsidP="00FD239F">
            <w:pPr>
              <w:pStyle w:val="InstructionsText"/>
            </w:pPr>
            <w:r>
              <w:t>KRR 4 straipsnio 1 dalies 114 punktas ir 59 straipsnis.</w:t>
            </w:r>
          </w:p>
          <w:p w:rsidR="005643EA" w:rsidRPr="00392FFD" w:rsidRDefault="002648B0" w:rsidP="00FD239F">
            <w:pPr>
              <w:pStyle w:val="InstructionsText"/>
            </w:pPr>
            <w:r>
              <w:t>Pagal KRR 59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E81DB9" w:rsidRPr="00392FFD" w:rsidTr="00672D2A">
        <w:tc>
          <w:tcPr>
            <w:tcW w:w="1506" w:type="dxa"/>
          </w:tcPr>
          <w:p w:rsidR="00E81DB9" w:rsidRPr="00392FFD" w:rsidRDefault="00E81DB9" w:rsidP="00FD239F">
            <w:pPr>
              <w:pStyle w:val="InstructionsText"/>
            </w:pPr>
            <w:r>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Dirbtinai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turi reikšmingų investicijų, AT1 kapitalo dalis</w:t>
            </w:r>
          </w:p>
          <w:p w:rsidR="005643EA" w:rsidRPr="00201704" w:rsidRDefault="00E81DB9" w:rsidP="00FD239F">
            <w:pPr>
              <w:pStyle w:val="InstructionsText"/>
              <w:rPr>
                <w:rStyle w:val="InstructionsTabelleberschrift"/>
                <w:rFonts w:ascii="Times New Roman" w:hAnsi="Times New Roman"/>
                <w:b w:val="0"/>
                <w:bCs w:val="0"/>
                <w:sz w:val="24"/>
                <w:u w:val="none"/>
              </w:rPr>
            </w:pPr>
            <w:r>
              <w:t>KRR 4 straipsnio 1 dalies 126 punktas, 58 ir 59 straipsniai.</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Bendroji dirbtinai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turi reikšmingų investicijų, AT1 kapitalo dalis</w:t>
            </w:r>
          </w:p>
          <w:p w:rsidR="005643EA" w:rsidRPr="00201704" w:rsidRDefault="00E81DB9" w:rsidP="00FD239F">
            <w:pPr>
              <w:pStyle w:val="InstructionsText"/>
              <w:rPr>
                <w:rStyle w:val="InstructionsTabelleberschrift"/>
                <w:rFonts w:ascii="Times New Roman" w:hAnsi="Times New Roman"/>
                <w:b w:val="0"/>
                <w:bCs w:val="0"/>
                <w:sz w:val="24"/>
                <w:u w:val="none"/>
              </w:rPr>
            </w:pPr>
            <w:r>
              <w:t>KRR 4 straipsnio 1 dalies 126 punktas, 58 ir 59 straipsniai.</w:t>
            </w:r>
          </w:p>
        </w:tc>
      </w:tr>
      <w:tr w:rsidR="00E81DB9" w:rsidRPr="00392FFD" w:rsidTr="00672D2A">
        <w:tc>
          <w:tcPr>
            <w:tcW w:w="1506" w:type="dxa"/>
          </w:tcPr>
          <w:p w:rsidR="00E81DB9" w:rsidRPr="00392FFD" w:rsidRDefault="00E81DB9" w:rsidP="00FD239F">
            <w:pPr>
              <w:pStyle w:val="InstructionsText"/>
            </w:pPr>
            <w:r>
              <w:lastRenderedPageBreak/>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Leidžiama trumpųjų pozicijų ir pirmiau nurodytų dirbt</w:t>
            </w:r>
            <w:r>
              <w:rPr>
                <w:rStyle w:val="InstructionsTabelleberschrift"/>
                <w:rFonts w:ascii="Times New Roman" w:hAnsi="Times New Roman"/>
                <w:sz w:val="24"/>
              </w:rPr>
              <w:t>i</w:t>
            </w:r>
            <w:r>
              <w:rPr>
                <w:rStyle w:val="InstructionsTabelleberschrift"/>
                <w:rFonts w:ascii="Times New Roman" w:hAnsi="Times New Roman"/>
                <w:sz w:val="24"/>
              </w:rPr>
              <w:t>nai turimų kapitalo dalių bendrosios sumos užskaita</w:t>
            </w:r>
          </w:p>
          <w:p w:rsidR="005643EA" w:rsidRPr="00201704" w:rsidRDefault="00E81DB9" w:rsidP="00FD239F">
            <w:pPr>
              <w:pStyle w:val="InstructionsText"/>
              <w:rPr>
                <w:rStyle w:val="InstructionsTabelleberschrift"/>
                <w:rFonts w:ascii="Times New Roman" w:hAnsi="Times New Roman"/>
                <w:b w:val="0"/>
                <w:bCs w:val="0"/>
                <w:sz w:val="24"/>
                <w:u w:val="none"/>
              </w:rPr>
            </w:pPr>
            <w:r>
              <w:t>KRR 4 straipsnio 1 dalies 126 punktas ir 59 straipsnis.</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 Turima finansų sektoriaus subjektų, kuriuose įstaiga turi reik</w:t>
            </w:r>
            <w:r>
              <w:rPr>
                <w:rStyle w:val="InstructionsTabelleberschrift"/>
                <w:rFonts w:ascii="Times New Roman" w:hAnsi="Times New Roman"/>
                <w:sz w:val="24"/>
              </w:rPr>
              <w:t>š</w:t>
            </w:r>
            <w:r>
              <w:rPr>
                <w:rStyle w:val="InstructionsTabelleberschrift"/>
                <w:rFonts w:ascii="Times New Roman" w:hAnsi="Times New Roman"/>
                <w:sz w:val="24"/>
              </w:rPr>
              <w:t>mingų investicijų, T2 kapitalo dalis atėmus trumpąsias pozicijas</w:t>
            </w:r>
          </w:p>
          <w:p w:rsidR="005643EA" w:rsidRPr="00392FFD" w:rsidRDefault="002648B0" w:rsidP="00FD239F">
            <w:pPr>
              <w:pStyle w:val="InstructionsText"/>
            </w:pPr>
            <w:r>
              <w:t>KRR 68 ir 69 straipsniai.</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Tiesiogiai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turi reikšmingų investicijų, T2 kapitalo dalis</w:t>
            </w:r>
          </w:p>
          <w:p w:rsidR="005643EA" w:rsidRPr="00392FFD" w:rsidRDefault="002648B0" w:rsidP="00FD239F">
            <w:pPr>
              <w:pStyle w:val="InstructionsText"/>
            </w:pPr>
            <w:r>
              <w:t>KRR 68 ir 69 straipsniai.</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Bendroji 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turi reikšmingų investicijų, T2 kapitalo dalis</w:t>
            </w:r>
          </w:p>
          <w:p w:rsidR="005643EA" w:rsidRPr="00392FFD" w:rsidRDefault="002648B0" w:rsidP="00FD239F">
            <w:pPr>
              <w:pStyle w:val="InstructionsText"/>
            </w:pPr>
            <w:r>
              <w:t>KRR 68 straipsnis.</w:t>
            </w:r>
          </w:p>
          <w:p w:rsidR="005643EA" w:rsidRPr="00392FFD" w:rsidRDefault="002648B0" w:rsidP="00FD239F">
            <w:pPr>
              <w:pStyle w:val="InstructionsText"/>
            </w:pPr>
            <w:r>
              <w:t>Tiesiogiai turima finansų sektoriaus subjektų, kuriuose įstaiga turi reikšmingų investicijų, T2 kapitalo dalis, išskyrus:</w:t>
            </w:r>
          </w:p>
          <w:p w:rsidR="005643EA" w:rsidRPr="00392FFD" w:rsidRDefault="002648B0" w:rsidP="00FD239F">
            <w:pPr>
              <w:pStyle w:val="InstructionsText"/>
            </w:pPr>
            <w:r>
              <w:t>a)</w:t>
            </w:r>
            <w:r>
              <w:tab/>
              <w:t>5 darbo dienas arba trumpesnį laikotarpį turimas platinamas p</w:t>
            </w:r>
            <w:r>
              <w:t>o</w:t>
            </w:r>
            <w:r>
              <w:t xml:space="preserve">zicijas (66 straipsnio d punktas) ir </w:t>
            </w:r>
          </w:p>
          <w:p w:rsidR="005643EA" w:rsidRPr="00392FFD" w:rsidRDefault="002648B0" w:rsidP="00FD239F">
            <w:pPr>
              <w:pStyle w:val="InstructionsText"/>
            </w:pPr>
            <w:r>
              <w:t>b)</w:t>
            </w:r>
            <w:r>
              <w:tab/>
              <w:t>turimas kapitalo dalis, laikomas abipuse kryžmine kapitalo dalių nuosavybe, kaip nurodyta KRR 66 straipsnio b punkte.</w:t>
            </w:r>
          </w:p>
        </w:tc>
      </w:tr>
      <w:tr w:rsidR="002648B0" w:rsidRPr="00392FFD" w:rsidTr="00672D2A">
        <w:tc>
          <w:tcPr>
            <w:tcW w:w="1506" w:type="dxa"/>
          </w:tcPr>
          <w:p w:rsidR="002648B0" w:rsidRPr="00392FFD" w:rsidRDefault="002648B0" w:rsidP="00FD239F">
            <w:pPr>
              <w:pStyle w:val="InstructionsText"/>
            </w:pPr>
            <w:r>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Leidžiama trumpųjų pozicijų ir pirmiau nurodytų tiesi</w:t>
            </w:r>
            <w:r>
              <w:rPr>
                <w:rStyle w:val="InstructionsTabelleberschrift"/>
                <w:rFonts w:ascii="Times New Roman" w:hAnsi="Times New Roman"/>
                <w:sz w:val="24"/>
              </w:rPr>
              <w:t>o</w:t>
            </w:r>
            <w:r>
              <w:rPr>
                <w:rStyle w:val="InstructionsTabelleberschrift"/>
                <w:rFonts w:ascii="Times New Roman" w:hAnsi="Times New Roman"/>
                <w:sz w:val="24"/>
              </w:rPr>
              <w:t>giai turimų kapitalo dalių bendrosios sumos užskaita</w:t>
            </w:r>
          </w:p>
          <w:p w:rsidR="005643EA" w:rsidRPr="00392FFD" w:rsidRDefault="002648B0" w:rsidP="00FD239F">
            <w:pPr>
              <w:pStyle w:val="InstructionsText"/>
            </w:pPr>
            <w:r>
              <w:t>KRR 69 straipsnis.</w:t>
            </w:r>
          </w:p>
          <w:p w:rsidR="005643EA" w:rsidRPr="00392FFD" w:rsidRDefault="002648B0" w:rsidP="00FD239F">
            <w:pPr>
              <w:pStyle w:val="InstructionsText"/>
            </w:pPr>
            <w:r>
              <w:t>Pagal KRR 69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Netiesiogiai turima finansų sektoriaus subjektų, kuriuose įstaiga turi reikšmingų investicijų, T2 kapitalo dalis</w:t>
            </w:r>
          </w:p>
          <w:p w:rsidR="005643EA" w:rsidRPr="00392FFD" w:rsidRDefault="002648B0" w:rsidP="00FD239F">
            <w:pPr>
              <w:pStyle w:val="InstructionsText"/>
            </w:pPr>
            <w:r>
              <w:t>KRR 4 straipsnio 1 dalies 114 punktas, 68 ir 69 straipsniai.</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Bendroji netiesiogiai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turi reikšmingų investicijų, T2 kapitalo dalis</w:t>
            </w:r>
          </w:p>
          <w:p w:rsidR="005643EA" w:rsidRPr="00392FFD" w:rsidRDefault="002648B0" w:rsidP="00FD239F">
            <w:pPr>
              <w:pStyle w:val="InstructionsText"/>
            </w:pPr>
            <w:r>
              <w:t>KRR 4 straipsnio 1 dalies 114 punktas, 68 ir 69 straipsniai.</w:t>
            </w:r>
          </w:p>
          <w:p w:rsidR="005643EA" w:rsidRPr="00392FFD" w:rsidRDefault="002648B0" w:rsidP="00FD239F">
            <w:pPr>
              <w:pStyle w:val="InstructionsText"/>
            </w:pPr>
            <w:r>
              <w:t>Nurodoma suma – netiesiogiai turima finansų sektoriaus subjektų kapit</w:t>
            </w:r>
            <w:r>
              <w:t>a</w:t>
            </w:r>
            <w:r>
              <w:t>lo priemonių dalis prekybos knygoje, kurią sudaro turimi indekso vert</w:t>
            </w:r>
            <w:r>
              <w:t>y</w:t>
            </w:r>
            <w:r>
              <w:t>biniai popieriai. Ji nustatoma apskaičiuojant pagrindinės pozicijos ir į indeksus įtrauktų finansų sektoriaus subjektų kapitalo priemonių santykį.</w:t>
            </w:r>
          </w:p>
          <w:p w:rsidR="005643EA" w:rsidRPr="00392FFD" w:rsidRDefault="002648B0" w:rsidP="00FD239F">
            <w:pPr>
              <w:pStyle w:val="InstructionsText"/>
            </w:pPr>
            <w:r>
              <w:t>Kapitalo dalys, laikomos abipuse kryžmine kapitalo dalių nuosavybe p</w:t>
            </w:r>
            <w:r>
              <w:t>a</w:t>
            </w:r>
            <w:r>
              <w:t>gal KRR 66 straipsnio b punktą, neįskaičiuojamos.</w:t>
            </w:r>
          </w:p>
        </w:tc>
      </w:tr>
      <w:tr w:rsidR="002648B0" w:rsidRPr="00392FFD" w:rsidTr="00672D2A">
        <w:tc>
          <w:tcPr>
            <w:tcW w:w="1506" w:type="dxa"/>
          </w:tcPr>
          <w:p w:rsidR="002648B0" w:rsidRPr="00392FFD" w:rsidRDefault="002648B0" w:rsidP="00FD239F">
            <w:pPr>
              <w:pStyle w:val="InstructionsText"/>
            </w:pPr>
            <w:r>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Leidžiama trumpųjų pozicijų ir pirmiau nurodytų neti</w:t>
            </w:r>
            <w:r>
              <w:rPr>
                <w:rStyle w:val="InstructionsTabelleberschrift"/>
                <w:rFonts w:ascii="Times New Roman" w:hAnsi="Times New Roman"/>
                <w:sz w:val="24"/>
              </w:rPr>
              <w:t>e</w:t>
            </w:r>
            <w:r>
              <w:rPr>
                <w:rStyle w:val="InstructionsTabelleberschrift"/>
                <w:rFonts w:ascii="Times New Roman" w:hAnsi="Times New Roman"/>
                <w:sz w:val="24"/>
              </w:rPr>
              <w:t>siogiai turimų kapitalo dalių bendrosios sumos užskaita</w:t>
            </w:r>
          </w:p>
          <w:p w:rsidR="005643EA" w:rsidRPr="00392FFD" w:rsidRDefault="002648B0" w:rsidP="00FD239F">
            <w:pPr>
              <w:pStyle w:val="InstructionsText"/>
            </w:pPr>
            <w:r>
              <w:t>KRR 4 straipsnio 1 dalies 114 punktas, 69 straipsnis.</w:t>
            </w:r>
          </w:p>
          <w:p w:rsidR="005643EA" w:rsidRPr="00392FFD" w:rsidRDefault="002648B0" w:rsidP="00FD239F">
            <w:pPr>
              <w:pStyle w:val="InstructionsText"/>
            </w:pPr>
            <w:r>
              <w:lastRenderedPageBreak/>
              <w:t>Pagal KRR 69 straipsnio a punktą trumpąsias pozicijas leidžiama užska</w:t>
            </w:r>
            <w:r>
              <w:t>i</w:t>
            </w:r>
            <w:r>
              <w:t>tyti toje pačioje pagrindinėje pozicijoje, jeigu trumposios pozicijos te</w:t>
            </w:r>
            <w:r>
              <w:t>r</w:t>
            </w:r>
            <w:r>
              <w:t>minas sutampa su ilgosios pozicijos terminu arba jos likęs terminas yra ne trumpesnis kaip vieni metai.</w:t>
            </w:r>
          </w:p>
        </w:tc>
      </w:tr>
      <w:tr w:rsidR="002648B0" w:rsidRPr="00392FFD" w:rsidTr="00672D2A">
        <w:tc>
          <w:tcPr>
            <w:tcW w:w="1506" w:type="dxa"/>
          </w:tcPr>
          <w:p w:rsidR="002648B0" w:rsidRPr="00392FFD" w:rsidRDefault="002648B0" w:rsidP="00FD239F">
            <w:pPr>
              <w:pStyle w:val="InstructionsText"/>
            </w:pPr>
            <w:r>
              <w:lastRenderedPageBreak/>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Dirbtinai turima finansų sektoriaus subjektų, kuriuose įsta</w:t>
            </w:r>
            <w:r>
              <w:rPr>
                <w:rStyle w:val="InstructionsTabelleberschrift"/>
                <w:rFonts w:ascii="Times New Roman" w:hAnsi="Times New Roman"/>
                <w:sz w:val="24"/>
              </w:rPr>
              <w:t>i</w:t>
            </w:r>
            <w:r>
              <w:rPr>
                <w:rStyle w:val="InstructionsTabelleberschrift"/>
                <w:rFonts w:ascii="Times New Roman" w:hAnsi="Times New Roman"/>
                <w:sz w:val="24"/>
              </w:rPr>
              <w:t>ga turi reikšmingų investicijų, T2 kapitalo dalis</w:t>
            </w:r>
          </w:p>
          <w:p w:rsidR="005643EA" w:rsidRPr="00201704" w:rsidRDefault="00805255" w:rsidP="00FD239F">
            <w:pPr>
              <w:pStyle w:val="InstructionsText"/>
              <w:rPr>
                <w:rStyle w:val="InstructionsTabelleberschrift"/>
                <w:rFonts w:ascii="Times New Roman" w:hAnsi="Times New Roman"/>
                <w:b w:val="0"/>
                <w:bCs w:val="0"/>
                <w:sz w:val="24"/>
                <w:u w:val="none"/>
              </w:rPr>
            </w:pPr>
            <w:r>
              <w:t>KRR 4 straipsnio 1 dalies 126 punktas, 68 ir 69 straipsniai.</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Bendroji dirbtinai turima finansų sektoriaus subjektų, k</w:t>
            </w:r>
            <w:r>
              <w:rPr>
                <w:rStyle w:val="InstructionsTabelleberschrift"/>
                <w:rFonts w:ascii="Times New Roman" w:hAnsi="Times New Roman"/>
                <w:sz w:val="24"/>
              </w:rPr>
              <w:t>u</w:t>
            </w:r>
            <w:r>
              <w:rPr>
                <w:rStyle w:val="InstructionsTabelleberschrift"/>
                <w:rFonts w:ascii="Times New Roman" w:hAnsi="Times New Roman"/>
                <w:sz w:val="24"/>
              </w:rPr>
              <w:t>riuose įstaiga turi reikšmingų investicijų, T2 kapitalo dalis</w:t>
            </w:r>
          </w:p>
          <w:p w:rsidR="005643EA" w:rsidRPr="00201704" w:rsidRDefault="00805255" w:rsidP="00FD239F">
            <w:pPr>
              <w:pStyle w:val="InstructionsText"/>
              <w:rPr>
                <w:rStyle w:val="InstructionsTabelleberschrift"/>
                <w:rFonts w:ascii="Times New Roman" w:hAnsi="Times New Roman"/>
                <w:b w:val="0"/>
                <w:bCs w:val="0"/>
                <w:sz w:val="24"/>
                <w:u w:val="none"/>
              </w:rPr>
            </w:pPr>
            <w:r>
              <w:t>KRR 4 straipsnio 1 dalies 126 punktas, 68 ir 69 straipsniai.</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Leidžiama trumpųjų pozicijų ir pirmiau nurodytų dirbt</w:t>
            </w:r>
            <w:r>
              <w:rPr>
                <w:rStyle w:val="InstructionsTabelleberschrift"/>
                <w:rFonts w:ascii="Times New Roman" w:hAnsi="Times New Roman"/>
                <w:sz w:val="24"/>
              </w:rPr>
              <w:t>i</w:t>
            </w:r>
            <w:r>
              <w:rPr>
                <w:rStyle w:val="InstructionsTabelleberschrift"/>
                <w:rFonts w:ascii="Times New Roman" w:hAnsi="Times New Roman"/>
                <w:sz w:val="24"/>
              </w:rPr>
              <w:t>nai turimų kapitalo dalių bendrosios sumos užskaita</w:t>
            </w:r>
          </w:p>
          <w:p w:rsidR="005643EA" w:rsidRPr="00201704" w:rsidRDefault="00805255" w:rsidP="00FD239F">
            <w:pPr>
              <w:pStyle w:val="InstructionsText"/>
              <w:rPr>
                <w:rStyle w:val="InstructionsTabelleberschrift"/>
                <w:rFonts w:ascii="Times New Roman" w:hAnsi="Times New Roman"/>
                <w:b w:val="0"/>
                <w:bCs w:val="0"/>
                <w:sz w:val="24"/>
                <w:u w:val="none"/>
              </w:rPr>
            </w:pPr>
            <w:r>
              <w:t>KRR 4 straipsnio 1 dalies 126 punktas ir 69 straipsnis.</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Pagal riziką įvertintos finansų sektoriaus subjektuose turimų CET1 kapitalo dalių, kurios nėra atskaitomos iš įstaigos CET1 kap</w:t>
            </w:r>
            <w:r>
              <w:rPr>
                <w:rStyle w:val="InstructionsTabelleberschrift"/>
                <w:rFonts w:ascii="Times New Roman" w:hAnsi="Times New Roman"/>
                <w:sz w:val="24"/>
              </w:rPr>
              <w:t>i</w:t>
            </w:r>
            <w:r>
              <w:rPr>
                <w:rStyle w:val="InstructionsTabelleberschrift"/>
                <w:rFonts w:ascii="Times New Roman" w:hAnsi="Times New Roman"/>
                <w:sz w:val="24"/>
              </w:rPr>
              <w:t>talo, pozicijos</w:t>
            </w:r>
          </w:p>
          <w:p w:rsidR="005643EA" w:rsidRPr="00392FFD" w:rsidRDefault="002648B0" w:rsidP="00FD239F">
            <w:pPr>
              <w:pStyle w:val="InstructionsText"/>
            </w:pPr>
            <w:r>
              <w:t>KRR 46 straipsnio 4 dalis, 48 straipsnio 4 dalis ir 49 straipsnio 4 dalis.</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Pagal riziką įvertintos finansų sektoriaus subjektuose turimų AT1 kapitalo dalių, kurios nėra atskaitomos iš įstaigos AT1 kapit</w:t>
            </w:r>
            <w:r>
              <w:rPr>
                <w:rStyle w:val="InstructionsTabelleberschrift"/>
                <w:rFonts w:ascii="Times New Roman" w:hAnsi="Times New Roman"/>
                <w:sz w:val="24"/>
              </w:rPr>
              <w:t>a</w:t>
            </w:r>
            <w:r>
              <w:rPr>
                <w:rStyle w:val="InstructionsTabelleberschrift"/>
                <w:rFonts w:ascii="Times New Roman" w:hAnsi="Times New Roman"/>
                <w:sz w:val="24"/>
              </w:rPr>
              <w:t>lo, pozicijos</w:t>
            </w:r>
          </w:p>
          <w:p w:rsidR="005643EA" w:rsidRPr="00392FFD" w:rsidRDefault="002648B0" w:rsidP="00FD239F">
            <w:pPr>
              <w:pStyle w:val="InstructionsText"/>
            </w:pPr>
            <w:r>
              <w:t>KRR 60 straipsnio 4 dalis.</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Pagal riziką įvertintos finansų sektoriaus subjektuose turimų T2 kapitalo dalių, kurios nėra atskaitomos iš įstaigos T2 kapitalo, poz</w:t>
            </w:r>
            <w:r>
              <w:rPr>
                <w:rStyle w:val="InstructionsTabelleberschrift"/>
                <w:rFonts w:ascii="Times New Roman" w:hAnsi="Times New Roman"/>
                <w:sz w:val="24"/>
              </w:rPr>
              <w:t>i</w:t>
            </w:r>
            <w:r>
              <w:rPr>
                <w:rStyle w:val="InstructionsTabelleberschrift"/>
                <w:rFonts w:ascii="Times New Roman" w:hAnsi="Times New Roman"/>
                <w:sz w:val="24"/>
              </w:rPr>
              <w:t>cijos</w:t>
            </w:r>
          </w:p>
          <w:p w:rsidR="005643EA" w:rsidRPr="00392FFD" w:rsidRDefault="002648B0" w:rsidP="00FD239F">
            <w:pPr>
              <w:pStyle w:val="InstructionsText"/>
            </w:pPr>
            <w:r>
              <w:t>KRR 70 straipsnio 4 dalis.</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Turimos finansų sektoriaus subjektų, kuriuose įstaiga neturi reikšmingų investicijų, CET1 kapitalo priemonės, kurioms nuost</w:t>
            </w:r>
            <w:r>
              <w:rPr>
                <w:rStyle w:val="InstructionsTabelleberschrift"/>
                <w:rFonts w:ascii="Times New Roman" w:hAnsi="Times New Roman"/>
                <w:sz w:val="24"/>
              </w:rPr>
              <w:t>a</w:t>
            </w:r>
            <w:r>
              <w:rPr>
                <w:rStyle w:val="InstructionsTabelleberschrift"/>
                <w:rFonts w:ascii="Times New Roman" w:hAnsi="Times New Roman"/>
                <w:sz w:val="24"/>
              </w:rPr>
              <w:t>tos dėl atskaitymo laikinai netaikomos</w:t>
            </w:r>
          </w:p>
          <w:p w:rsidR="005643EA" w:rsidRPr="00392FFD" w:rsidRDefault="002648B0" w:rsidP="00FD239F">
            <w:pPr>
              <w:pStyle w:val="InstructionsText"/>
            </w:pPr>
            <w:r>
              <w:t>KRR 79 straipsnis.</w:t>
            </w:r>
          </w:p>
          <w:p w:rsidR="005643EA" w:rsidRPr="00392FFD" w:rsidRDefault="002648B0" w:rsidP="00FD239F">
            <w:pPr>
              <w:pStyle w:val="InstructionsText"/>
            </w:pPr>
            <w:r>
              <w:t>Kompetentinga institucija gali leisti laikinai netaikyti nuostatų dėl a</w:t>
            </w:r>
            <w:r>
              <w:t>t</w:t>
            </w:r>
            <w:r>
              <w:t>skaitymo iš CET1 turimoms konkretaus finansų sektoriaus subjekto priemonėms, jeigu mano, kad tos priemonės įsigytos finansinės paramos, skirtos tokiam subjektui reorganizuoti ir išgelbėti, teikimo tikslais.</w:t>
            </w:r>
          </w:p>
          <w:p w:rsidR="005643EA" w:rsidRPr="00392FFD" w:rsidRDefault="002648B0" w:rsidP="00FD239F">
            <w:pPr>
              <w:pStyle w:val="InstructionsText"/>
            </w:pPr>
            <w:r>
              <w:t>Atkreipkite dėmesį, kad šios priemonės taip pat turi būti nurodytos 12.1 punkte.</w:t>
            </w:r>
          </w:p>
        </w:tc>
      </w:tr>
      <w:tr w:rsidR="002648B0" w:rsidRPr="00392FFD" w:rsidTr="00672D2A">
        <w:tc>
          <w:tcPr>
            <w:tcW w:w="1506" w:type="dxa"/>
          </w:tcPr>
          <w:p w:rsidR="002648B0" w:rsidRPr="00392FFD" w:rsidRDefault="002648B0" w:rsidP="00FD239F">
            <w:pPr>
              <w:pStyle w:val="InstructionsText"/>
            </w:pPr>
            <w:r>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Turimos finansų sektoriaus subjektų, kuriuose įstaiga turi reikšmingų investicijų, CET1 kapitalo priemonės, kurioms nuost</w:t>
            </w:r>
            <w:r>
              <w:rPr>
                <w:rStyle w:val="InstructionsTabelleberschrift"/>
                <w:rFonts w:ascii="Times New Roman" w:hAnsi="Times New Roman"/>
                <w:sz w:val="24"/>
              </w:rPr>
              <w:t>a</w:t>
            </w:r>
            <w:r>
              <w:rPr>
                <w:rStyle w:val="InstructionsTabelleberschrift"/>
                <w:rFonts w:ascii="Times New Roman" w:hAnsi="Times New Roman"/>
                <w:sz w:val="24"/>
              </w:rPr>
              <w:t>tos dėl atskaitymo laikinai netaikomos</w:t>
            </w:r>
          </w:p>
          <w:p w:rsidR="005643EA" w:rsidRPr="00392FFD" w:rsidRDefault="002648B0" w:rsidP="00FD239F">
            <w:pPr>
              <w:pStyle w:val="InstructionsText"/>
            </w:pPr>
            <w:r>
              <w:t>KRR 79 straipsnis.</w:t>
            </w:r>
          </w:p>
          <w:p w:rsidR="005643EA" w:rsidRPr="00392FFD" w:rsidRDefault="002648B0" w:rsidP="00FD239F">
            <w:pPr>
              <w:pStyle w:val="InstructionsText"/>
            </w:pPr>
            <w:r>
              <w:t>Kompetentinga institucija gali leisti laikinai netaikyti nuostatų dėl a</w:t>
            </w:r>
            <w:r>
              <w:t>t</w:t>
            </w:r>
            <w:r>
              <w:t xml:space="preserve">skaitymo iš CET1 turimoms konkretaus finansų sektoriaus subjekto </w:t>
            </w:r>
            <w:r>
              <w:lastRenderedPageBreak/>
              <w:t>priemonėms, jeigu mano, kad tos priemonės įsigytos finansinės paramos, skirtos tokiam subjektui reorganizuoti ir išgelbėti, teikimo tikslais.</w:t>
            </w:r>
          </w:p>
          <w:p w:rsidR="005643EA" w:rsidRPr="00392FFD" w:rsidRDefault="002648B0" w:rsidP="00FD239F">
            <w:pPr>
              <w:pStyle w:val="InstructionsText"/>
            </w:pPr>
            <w:r>
              <w:t>Atkreipkite dėmesį, kad šios priemonės taip pat turi būti nurodytos 15.1 punkte.</w:t>
            </w:r>
          </w:p>
        </w:tc>
      </w:tr>
      <w:tr w:rsidR="002648B0" w:rsidRPr="00392FFD" w:rsidTr="00672D2A">
        <w:tc>
          <w:tcPr>
            <w:tcW w:w="1506" w:type="dxa"/>
          </w:tcPr>
          <w:p w:rsidR="002648B0" w:rsidRPr="00392FFD" w:rsidRDefault="002648B0" w:rsidP="00FD239F">
            <w:pPr>
              <w:pStyle w:val="InstructionsText"/>
            </w:pPr>
            <w:r>
              <w:lastRenderedPageBreak/>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Turimos finansų sektoriaus subjektų, kuriuose įstaiga neturi reikšmingų investicijų, AT1 kapitalo priemonės, kurioms nuostatos dėl atskaitymo laikinai netaikomos</w:t>
            </w:r>
          </w:p>
          <w:p w:rsidR="005643EA" w:rsidRPr="00392FFD" w:rsidRDefault="002648B0" w:rsidP="00FD239F">
            <w:pPr>
              <w:pStyle w:val="InstructionsText"/>
            </w:pPr>
            <w:r>
              <w:t>KRR 79 straipsnis.</w:t>
            </w:r>
          </w:p>
          <w:p w:rsidR="005643EA" w:rsidRPr="00392FFD" w:rsidRDefault="002648B0" w:rsidP="00FD239F">
            <w:pPr>
              <w:pStyle w:val="InstructionsText"/>
            </w:pPr>
            <w:r>
              <w:t>Kompetentinga institucija gali leisti laikinai netaikyti nuostatų dėl a</w:t>
            </w:r>
            <w:r>
              <w:t>t</w:t>
            </w:r>
            <w:r>
              <w:t>skaitymo iš AT1 turimoms konkretaus finansų sektoriaus subjekto pri</w:t>
            </w:r>
            <w:r>
              <w:t>e</w:t>
            </w:r>
            <w:r>
              <w:t>monėms, jeigu mano, kad tos priemonės įsigytos finansinės paramos, skirtos tokiam subjektui reorganizuoti ir išgelbėti, teikimo tikslais.</w:t>
            </w:r>
          </w:p>
          <w:p w:rsidR="005643EA" w:rsidRPr="00392FFD" w:rsidRDefault="002648B0" w:rsidP="00FD239F">
            <w:pPr>
              <w:pStyle w:val="InstructionsText"/>
            </w:pPr>
            <w:r>
              <w:t>Atkreipkite dėmesį, kad šios priemonės taip pat turi būti nurodytos 13.1 punkte.</w:t>
            </w:r>
          </w:p>
        </w:tc>
      </w:tr>
      <w:tr w:rsidR="002648B0" w:rsidRPr="00392FFD" w:rsidTr="00672D2A">
        <w:tc>
          <w:tcPr>
            <w:tcW w:w="1506" w:type="dxa"/>
          </w:tcPr>
          <w:p w:rsidR="002648B0" w:rsidRPr="00392FFD" w:rsidRDefault="002648B0" w:rsidP="00FD239F">
            <w:pPr>
              <w:pStyle w:val="InstructionsText"/>
            </w:pPr>
            <w:r>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Turimos finansų sektoriaus subjektų, kuriuose įstaiga turi reikšmingų investicijų, AT1 kapitalo priemonės, kurioms nuostatos dėl atskaitymo laikinai netaikomos</w:t>
            </w:r>
          </w:p>
          <w:p w:rsidR="005643EA" w:rsidRPr="00392FFD" w:rsidRDefault="002648B0" w:rsidP="00FD239F">
            <w:pPr>
              <w:pStyle w:val="InstructionsText"/>
            </w:pPr>
            <w:r>
              <w:t>KRR 79 straipsnis.</w:t>
            </w:r>
          </w:p>
          <w:p w:rsidR="005643EA" w:rsidRPr="00392FFD" w:rsidRDefault="002648B0" w:rsidP="00FD239F">
            <w:pPr>
              <w:pStyle w:val="InstructionsText"/>
            </w:pPr>
            <w:r>
              <w:t>Kompetentinga institucija gali leisti laikinai netaikyti nuostatų dėl a</w:t>
            </w:r>
            <w:r>
              <w:t>t</w:t>
            </w:r>
            <w:r>
              <w:t>skaitymo iš AT1 turimoms konkretaus finansų sektoriaus subjekto pri</w:t>
            </w:r>
            <w:r>
              <w:t>e</w:t>
            </w:r>
            <w:r>
              <w:t>monėms, jeigu mano, kad tos priemonės įsigytos finansinės paramos, skirtos tokiam subjektui reorganizuoti ir išgelbėti, teikimo tikslais.</w:t>
            </w:r>
          </w:p>
          <w:p w:rsidR="005643EA" w:rsidRPr="00392FFD" w:rsidRDefault="002648B0" w:rsidP="00FD239F">
            <w:pPr>
              <w:pStyle w:val="InstructionsText"/>
            </w:pPr>
            <w:r>
              <w:t>Atkreipkite dėmesį, kad šios priemonės taip pat turi būti nurodytos 16.1 punkte.</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Turimos finansų sektoriaus subjektų, kuriuose įstaiga neturi reikšmingų investicijų, T2 kapitalo priemonės, kurioms nuostatos dėl atskaitymo laikinai netaikomos</w:t>
            </w:r>
          </w:p>
          <w:p w:rsidR="005643EA" w:rsidRPr="00392FFD" w:rsidRDefault="002648B0" w:rsidP="00FD239F">
            <w:pPr>
              <w:pStyle w:val="InstructionsText"/>
            </w:pPr>
            <w:r>
              <w:t>KRR 79 straipsnis.</w:t>
            </w:r>
          </w:p>
          <w:p w:rsidR="005643EA" w:rsidRPr="00392FFD" w:rsidRDefault="002648B0" w:rsidP="00FD239F">
            <w:pPr>
              <w:pStyle w:val="InstructionsText"/>
            </w:pPr>
            <w:r>
              <w:t>Kompetentinga institucija gali leisti laikinai netaikyti nuostatų dėl a</w:t>
            </w:r>
            <w:r>
              <w:t>t</w:t>
            </w:r>
            <w:r>
              <w:t>skaitymo iš T2 turimoms konkretaus finansų sektoriaus subjekto pri</w:t>
            </w:r>
            <w:r>
              <w:t>e</w:t>
            </w:r>
            <w:r>
              <w:t>monėms, jeigu mano, kad tos priemonės įsigytos finansinės paramos, skirtos tokiam subjektui reorganizuoti ir išgelbėti, teikimo tikslais.</w:t>
            </w:r>
          </w:p>
          <w:p w:rsidR="005643EA" w:rsidRPr="00392FFD" w:rsidRDefault="002648B0" w:rsidP="00FD239F">
            <w:pPr>
              <w:pStyle w:val="InstructionsText"/>
            </w:pPr>
            <w:r>
              <w:t>Atkreipkite dėmesį, kad šios priemonės taip pat turi būti nurodytos 14.1 punkte.</w:t>
            </w:r>
          </w:p>
        </w:tc>
      </w:tr>
      <w:tr w:rsidR="002648B0" w:rsidRPr="00392FFD" w:rsidTr="00672D2A">
        <w:tc>
          <w:tcPr>
            <w:tcW w:w="1506" w:type="dxa"/>
          </w:tcPr>
          <w:p w:rsidR="002648B0" w:rsidRPr="00392FFD" w:rsidRDefault="002648B0" w:rsidP="00FD239F">
            <w:pPr>
              <w:pStyle w:val="InstructionsText"/>
            </w:pPr>
            <w:r>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Turimos finansų sektoriaus subjektų, kuriuose įstaiga turi reikšmingų investicijų, T2 kapitalo priemonės, kurioms nuostatos dėl atskaitymo laikinai netaikomos</w:t>
            </w:r>
          </w:p>
          <w:p w:rsidR="005643EA" w:rsidRPr="00392FFD" w:rsidRDefault="002648B0" w:rsidP="00FD239F">
            <w:pPr>
              <w:pStyle w:val="InstructionsText"/>
            </w:pPr>
            <w:r>
              <w:t>KRR 79 straipsnis.</w:t>
            </w:r>
          </w:p>
          <w:p w:rsidR="005643EA" w:rsidRPr="00392FFD" w:rsidRDefault="002648B0" w:rsidP="00FD239F">
            <w:pPr>
              <w:pStyle w:val="InstructionsText"/>
            </w:pPr>
            <w:r>
              <w:t>Kompetentinga institucija gali leisti laikinai netaikyti nuostatų dėl a</w:t>
            </w:r>
            <w:r>
              <w:t>t</w:t>
            </w:r>
            <w:r>
              <w:t>skaitymo iš T2 turimoms konkretaus finansų sektoriaus subjekto pri</w:t>
            </w:r>
            <w:r>
              <w:t>e</w:t>
            </w:r>
            <w:r>
              <w:t>monėms, jeigu mano, kad tos priemonės įsigytos finansinės paramos, skirtos tokiam subjektui reorganizuoti ir išgelbėti, teikimo tikslais.</w:t>
            </w:r>
          </w:p>
          <w:p w:rsidR="005643EA" w:rsidRPr="00392FFD" w:rsidRDefault="002648B0" w:rsidP="00FD239F">
            <w:pPr>
              <w:pStyle w:val="InstructionsText"/>
            </w:pPr>
            <w:r>
              <w:lastRenderedPageBreak/>
              <w:t>Atkreipkite dėmesį, kad šios priemonės taip pat turi būti nurodytos 17.1 punkte.</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lastRenderedPageBreak/>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Jungtinio rezervo reikalavimas</w:t>
            </w:r>
          </w:p>
          <w:p w:rsidR="005643EA" w:rsidRPr="00392FFD" w:rsidRDefault="002648B0" w:rsidP="00FD239F">
            <w:pPr>
              <w:pStyle w:val="InstructionsText"/>
            </w:pPr>
            <w:r>
              <w:t>KRD 128 straipsnio 6 punktas.</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Kapitalo apsaugos rezervas</w:t>
            </w:r>
          </w:p>
          <w:p w:rsidR="005643EA" w:rsidRPr="00392FFD" w:rsidRDefault="002648B0" w:rsidP="00FD239F">
            <w:pPr>
              <w:pStyle w:val="InstructionsText"/>
            </w:pPr>
            <w:r>
              <w:t xml:space="preserve">KRD 128 straipsnio 1 dalis ir 129 straipsnis. </w:t>
            </w:r>
          </w:p>
          <w:p w:rsidR="005643EA" w:rsidRPr="00392FFD" w:rsidRDefault="002648B0" w:rsidP="00FD239F">
            <w:pPr>
              <w:pStyle w:val="InstructionsText"/>
            </w:pPr>
            <w:r>
              <w:t>Pagal 129 straipsnio 1 dalį kapitalo apsaugos rezervas yra papildoma bendro 1 lygio nuosavo kapitalo suma. Kadangi kapitalo apsaugos reze</w:t>
            </w:r>
            <w:r>
              <w:t>r</w:t>
            </w:r>
            <w:r>
              <w:t>vo 2,5 % norma yra pastovi, suma nurodoma šiame laukelyje.</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Apsaugos rezervas, sudarytas dėl valstybės narės lygmeniu nustat</w:t>
            </w:r>
            <w:r>
              <w:rPr>
                <w:rStyle w:val="InstructionsTabelleberschrift"/>
                <w:rFonts w:ascii="Times New Roman" w:hAnsi="Times New Roman"/>
                <w:sz w:val="24"/>
              </w:rPr>
              <w:t>y</w:t>
            </w:r>
            <w:r>
              <w:rPr>
                <w:rStyle w:val="InstructionsTabelleberschrift"/>
                <w:rFonts w:ascii="Times New Roman" w:hAnsi="Times New Roman"/>
                <w:sz w:val="24"/>
              </w:rPr>
              <w:t xml:space="preserve">tos makroprudencinės rizikos arba sisteminės rizikos </w:t>
            </w:r>
          </w:p>
          <w:p w:rsidR="005643EA" w:rsidRPr="00392FFD" w:rsidRDefault="002648B0" w:rsidP="00FD239F">
            <w:pPr>
              <w:pStyle w:val="InstructionsText"/>
            </w:pPr>
            <w:r>
              <w:t>KRR 458 straipsnio 2 dalies d punkto iv papunktis.</w:t>
            </w:r>
          </w:p>
          <w:p w:rsidR="00DF65DF" w:rsidRPr="00392FFD" w:rsidRDefault="002648B0" w:rsidP="00FD239F">
            <w:pPr>
              <w:pStyle w:val="InstructionsText"/>
            </w:pPr>
            <w:r>
              <w:t>Šiame laukelyje nurodoma apsaugos rezervo, sudaryto dėl valstybės n</w:t>
            </w:r>
            <w:r>
              <w:t>a</w:t>
            </w:r>
            <w:r>
              <w:t>rės lygmeniu nustatytos makroprudencinės rizikos arba sisteminės riz</w:t>
            </w:r>
            <w:r>
              <w:t>i</w:t>
            </w:r>
            <w:r>
              <w:t>kos, kurį pagal KRR 458 straipsnį gali būti reikalaujama turėti kartu su kapitalo apsaugos rezervu, suma.</w:t>
            </w:r>
          </w:p>
          <w:p w:rsidR="005643EA" w:rsidRPr="00392FFD" w:rsidRDefault="00DF65DF" w:rsidP="00FD239F">
            <w:pPr>
              <w:pStyle w:val="InstructionsText"/>
            </w:pPr>
            <w:r>
              <w:t>Nurodoma suma atitinka nuosavų lėšų sumą, reikalingą atitinkamiems kapitalo rezervo reikalavimams ataskaitinę dieną įvykdyti.</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Įstaigos specialus anticiklinis kapitalo rezervas </w:t>
            </w:r>
          </w:p>
          <w:p w:rsidR="00DF65DF" w:rsidRPr="00392FFD" w:rsidRDefault="002648B0" w:rsidP="00FD239F">
            <w:pPr>
              <w:pStyle w:val="InstructionsText"/>
            </w:pPr>
            <w:r>
              <w:t xml:space="preserve">KRD 128 straipsnio 2 punktas, 130, 135–140 straipsniai. </w:t>
            </w:r>
          </w:p>
          <w:p w:rsidR="005643EA" w:rsidRPr="00392FFD" w:rsidRDefault="00DF65DF" w:rsidP="00FD239F">
            <w:pPr>
              <w:pStyle w:val="InstructionsText"/>
            </w:pPr>
            <w:r>
              <w:t>Nurodoma suma atitinka nuosavų lėšų sumą, reikalingą atitinkamiems kapitalo rezervo reikalavimams ataskaitinę dieną įvykdyti.</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Sisteminės rizikos rezervas </w:t>
            </w:r>
          </w:p>
          <w:p w:rsidR="00DF65DF" w:rsidRPr="00392FFD" w:rsidRDefault="002648B0" w:rsidP="00FD239F">
            <w:pPr>
              <w:pStyle w:val="InstructionsText"/>
            </w:pPr>
            <w:r>
              <w:t xml:space="preserve">KRD 128 straipsnio 5 punktas, 133 ir 134 straipsniai. </w:t>
            </w:r>
          </w:p>
          <w:p w:rsidR="005643EA" w:rsidRPr="00392FFD" w:rsidRDefault="00DF65DF" w:rsidP="00FD239F">
            <w:pPr>
              <w:pStyle w:val="InstructionsText"/>
            </w:pPr>
            <w:r>
              <w:t>Nurodoma suma atitinka nuosavų lėšų sumą, reikalingą atitinkamiems kapitalo rezervo reikalavimams ataskaitinę dieną įvykdyti.</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Pasaulinės sisteminės svarbos įstaigos rezervas</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KRD 128 straipsnio 3 punktas ir 131 straipsnis.</w:t>
            </w:r>
          </w:p>
          <w:p w:rsidR="005643EA" w:rsidRPr="00201704" w:rsidRDefault="00DF65DF" w:rsidP="00FD239F">
            <w:pPr>
              <w:pStyle w:val="InstructionsText"/>
              <w:rPr>
                <w:rStyle w:val="InstructionsTabelleberschrift"/>
                <w:rFonts w:ascii="Times New Roman" w:hAnsi="Times New Roman"/>
                <w:b w:val="0"/>
                <w:bCs w:val="0"/>
                <w:sz w:val="24"/>
                <w:u w:val="none"/>
              </w:rPr>
            </w:pPr>
            <w:r>
              <w:t>Nurodoma suma atitinka nuosavų lėšų sumą, reikalingą atitinkamiems kapitalo rezervo reikalavimams ataskaitinę dieną įvykdyti.</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Kitos sisteminės svarbos įstaigos rezervas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KRD 128 straipsnio 4 punktas ir 131 straipsnis.</w:t>
            </w:r>
          </w:p>
          <w:p w:rsidR="005643EA" w:rsidRPr="00201704" w:rsidRDefault="00DF65DF" w:rsidP="00FD239F">
            <w:pPr>
              <w:pStyle w:val="InstructionsText"/>
              <w:rPr>
                <w:rStyle w:val="InstructionsTabelleberschrift"/>
                <w:rFonts w:ascii="Times New Roman" w:hAnsi="Times New Roman"/>
                <w:b w:val="0"/>
                <w:bCs w:val="0"/>
                <w:sz w:val="24"/>
                <w:u w:val="none"/>
              </w:rPr>
            </w:pPr>
            <w:r>
              <w:t>Nurodoma suma atitinka nuosavų lėšų sumą, reikalingą atitinkamiems kapitalo rezervo reikalavimams ataskaitinę dieną įvykdyti.</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Nuosavų lėšų reikalavimai, susiję su II ramsčio koregavimais</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KRD 104 straipsnio 2 dalis.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Jeigu kompetentinga institucija nusprendžia, kad įstaiga turi pagal II ramstį apskaičiuoti papildomus nuosavų lėšų reikalavimus, šie papildomi nuosavų lėšų reikalavimai nurodomi šiame laukelyje.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lastRenderedPageBreak/>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Pradinis kapitalas</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KRD 12, 28–31 straipsniai ir KRR 93 straipsnis.</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Nuosavos lėšos, nustatomos pagal pastoviąsias pridėtines i</w:t>
            </w:r>
            <w:r>
              <w:rPr>
                <w:rStyle w:val="InstructionsTabelleberschrift"/>
                <w:rFonts w:ascii="Times New Roman" w:hAnsi="Times New Roman"/>
                <w:sz w:val="24"/>
              </w:rPr>
              <w:t>š</w:t>
            </w:r>
            <w:r>
              <w:rPr>
                <w:rStyle w:val="InstructionsTabelleberschrift"/>
                <w:rFonts w:ascii="Times New Roman" w:hAnsi="Times New Roman"/>
                <w:sz w:val="24"/>
              </w:rPr>
              <w:t>laidas</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96 straipsnio 2 dalies b punktas, 97 straipsnis ir 98 straipsnio 1 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lies a punktas.</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Ne vidaus pradinės pozicijos</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Informacija, kurios reikia ribai apskaičiuoti pildant CR GB formą pagal šio reglamento 5 straipsnio a punkto 4 papunktį. Riba apskaičiuojama remiantis pradine pozicija iki perskaičiavimo koeficiento taikymo.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Pozicijos yra laikomos vidaus pozicijomis, kai yra susijusios su valst</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bėje narėje, kurioje yra įstaiga, esančiomis sandorio šalimis.</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Bendra pradinių pozicijų suma</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kurios reikia ribai apskaičiuoti pildant CR GB formą pagal šio reglamento 5 straipsnio a punkto 4 papunktį. Riba apskaičiuojama remiantis pradine pozicija iki perskaičiavimo koeficiento taikymo.</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Pozicijos yra laikomos vidaus pozicijomis, kai yra susijusios su valst</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bėje narėje, kurioje yra įstaiga, esančiomis sandorio šalimis.</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Bendros nuosavų lėšų sumos koregavimai</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500 straipsnio 4 dalis.</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Šioje pozicijoje turi būti nurodomas 880 pozicijoje nurodytos sumos ir bendros nuosavų lėšų sumos pagal KRR skirtumas.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 taikomas alternatyvus SA metodas (KRR 500 straipsnio 2 dalis), ši eilutė nepildoma.</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Nuosavos lėšos, visiškai koreguotos atsižvelgiant į žemiausią ribą pagal susitarimą „Bazelis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500 straipsnio 4 dalis.</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pozicijoje turi būti nurodoma bendra nuosavų lėšų suma pagal KRR, pakoreguota, kaip reikalaujama KRR 500 straipsnio 4 dalimi (t. y. visiškai koreguota, siekiant atspindėti nuosavų lėšų apskaičiavimo pagal Direktyvos 93/6/EEB ir Direktyvos 2000/12/EB redakcijas, galiojusias iki 2007 m. sausio 1 d., ir nuosavų lėšų apskaičiavimo pagal KRR ski</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tumą, kuris atsiranda dėl skirtingo tikėtinų nuostolių ir netikėtinų nuost</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lių vertinimo pagal KRR trečios dalies II antraštinės dalies 3 skyrių).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 taikomas alternatyvus SA metodas (KRR 500 straipsnio 2 dalis), ši eilutė nepildoma.</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Nuosavų lėšų reikalavimai atsižvelgiant į žemiausią ribą pagal sus</w:t>
            </w:r>
            <w:r>
              <w:rPr>
                <w:rStyle w:val="InstructionsTabelleberschrift"/>
                <w:rFonts w:ascii="Times New Roman" w:hAnsi="Times New Roman"/>
                <w:sz w:val="24"/>
              </w:rPr>
              <w:t>i</w:t>
            </w:r>
            <w:r>
              <w:rPr>
                <w:rStyle w:val="InstructionsTabelleberschrift"/>
                <w:rFonts w:ascii="Times New Roman" w:hAnsi="Times New Roman"/>
                <w:sz w:val="24"/>
              </w:rPr>
              <w:t>tarimą „Bazelis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KRR 500 straipsnio 1 dalies b punktas.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Šioje pozicijoje turi būti nurodoma nuosavų lėšų suma, kurią turėti re</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kalaujama pagal KRR 500 straipsnio 1 dalies b punktą (t. y. 80 % be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lastRenderedPageBreak/>
              <w:t>dros minimalios nuosavų lėšų sumos, kurią įstaigos būtų reikalaujama turėti pagal Direktyvos 93/6/EEB 4 straipsnio ir 2000 m. kovo 20 d. E</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ropos Parlamento ir Tarybos direktyvos 2000/12/EB dėl kredito įstaigų veiklos pradėjimo ir vykdymo iki 2007 m. sausio mėn. galiojusias 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dakcijas).</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lastRenderedPageBreak/>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Nuosavų lėšų reikalavimai atsižvelgiant į žemiausią ribą pagal sus</w:t>
            </w:r>
            <w:r>
              <w:rPr>
                <w:rStyle w:val="InstructionsTabelleberschrift"/>
                <w:rFonts w:ascii="Times New Roman" w:hAnsi="Times New Roman"/>
                <w:sz w:val="24"/>
              </w:rPr>
              <w:t>i</w:t>
            </w:r>
            <w:r>
              <w:rPr>
                <w:rStyle w:val="InstructionsTabelleberschrift"/>
                <w:rFonts w:ascii="Times New Roman" w:hAnsi="Times New Roman"/>
                <w:sz w:val="24"/>
              </w:rPr>
              <w:t>tarimą „Bazelis I“. Alternatyvus SA metodas</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KRR 500 straipsnio 2 ir 3 dalys.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pozicijoje turi būti nurodoma nuosavų lėšų suma, kurią turėti re</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kalaujama pagal KRR 500 straipsnio 2 dalį (t. y. 80 % nuosavų lėšų, k</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rias įstaiga turėtų turėti pagal 92 straipsnį, apskaičiuodama pagal riziką įvertintų pozicijų sumas atitinkamai pagal KRR trečios dalies II antrašt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nės dalies 2 skyrių ir trečios dalies III antraštinės dalies 2 arba 3 skyrius, vietoj atitinkamai KRR trečios dalies II antraštinės dalies 3 skyriaus arba trečios dalies III antraštinės dalies 4 skyriaus).</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Bendrų nuosavų lėšų deficitas pagal nuosavų lėšų reikalavimus ats</w:t>
            </w:r>
            <w:r>
              <w:rPr>
                <w:rStyle w:val="InstructionsTabelleberschrift"/>
                <w:rFonts w:ascii="Times New Roman" w:hAnsi="Times New Roman"/>
                <w:sz w:val="24"/>
              </w:rPr>
              <w:t>i</w:t>
            </w:r>
            <w:r>
              <w:rPr>
                <w:rStyle w:val="InstructionsTabelleberschrift"/>
                <w:rFonts w:ascii="Times New Roman" w:hAnsi="Times New Roman"/>
                <w:sz w:val="24"/>
              </w:rPr>
              <w:t>žvelgiant į žemiausią ribą pagal susitarimą „Bazelis I“ arba altern</w:t>
            </w:r>
            <w:r>
              <w:rPr>
                <w:rStyle w:val="InstructionsTabelleberschrift"/>
                <w:rFonts w:ascii="Times New Roman" w:hAnsi="Times New Roman"/>
                <w:sz w:val="24"/>
              </w:rPr>
              <w:t>a</w:t>
            </w:r>
            <w:r>
              <w:rPr>
                <w:rStyle w:val="InstructionsTabelleberschrift"/>
                <w:rFonts w:ascii="Times New Roman" w:hAnsi="Times New Roman"/>
                <w:sz w:val="24"/>
              </w:rPr>
              <w:t>tyvų SA metodą</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KRR 500 straipsnio 1 dalies b punktas ir 500 straipsnio 2 dalis.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eilutėje įrašoma:</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jeigu taikomas KRR 500 straipsnio 1 dalies b punktas, o 880 e</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lutė &lt; 890 eilutę: </w:t>
            </w:r>
            <w:r>
              <w:rPr>
                <w:rStyle w:val="InstructionsTabelleberschrift"/>
                <w:rFonts w:ascii="Times New Roman" w:hAnsi="Times New Roman"/>
                <w:b w:val="0"/>
                <w:sz w:val="24"/>
                <w:u w:val="none"/>
              </w:rPr>
              <w:br/>
              <w:t xml:space="preserve">890 ir 880 eilučių skirtumas;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arba jeigu taikoma KRR 500 straipsnio 2 dalis, o C 01.00 formos 010 eilutė &lt; C 04.00 formos 900 eilutę: C 04.00 formos 900 eilutės ir C 01.00 formos 010 eilutės skirtumas.</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6" w:name="_Toc360188333"/>
      <w:bookmarkStart w:id="87" w:name="_Toc516210616"/>
      <w:bookmarkStart w:id="88" w:name="_Toc473560881"/>
      <w:bookmarkStart w:id="89" w:name="_Toc308175834"/>
      <w:bookmarkStart w:id="90" w:name="_Toc524010024"/>
      <w:r>
        <w:rPr>
          <w:rFonts w:ascii="Times New Roman" w:hAnsi="Times New Roman"/>
          <w:sz w:val="24"/>
          <w:u w:val="none"/>
        </w:rPr>
        <w:t>1.6.</w:t>
      </w:r>
      <w:r>
        <w:tab/>
      </w:r>
      <w:r>
        <w:rPr>
          <w:rFonts w:ascii="Times New Roman" w:hAnsi="Times New Roman"/>
          <w:sz w:val="24"/>
        </w:rPr>
        <w:t>PEREINAMOJO LAIKOTARPIO NUOSTATOS ir PRIEMONĖS, KURIOMS TA</w:t>
      </w:r>
      <w:r>
        <w:rPr>
          <w:rFonts w:ascii="Times New Roman" w:hAnsi="Times New Roman"/>
          <w:sz w:val="24"/>
        </w:rPr>
        <w:t>I</w:t>
      </w:r>
      <w:r>
        <w:rPr>
          <w:rFonts w:ascii="Times New Roman" w:hAnsi="Times New Roman"/>
          <w:sz w:val="24"/>
        </w:rPr>
        <w:t>KOMAS TĘSTINUMO PRINCIPAS. PRIEMONĖS, KURIOS NĖRA VALSTYBĖS PAGALBA (CA5</w:t>
      </w:r>
      <w:bookmarkEnd w:id="86"/>
      <w:r>
        <w:rPr>
          <w:rFonts w:ascii="Times New Roman" w:hAnsi="Times New Roman"/>
          <w:sz w:val="24"/>
        </w:rPr>
        <w:t>)</w:t>
      </w:r>
      <w:bookmarkEnd w:id="87"/>
      <w:bookmarkEnd w:id="88"/>
      <w:bookmarkEnd w:id="90"/>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1" w:name="_Toc308175835"/>
      <w:bookmarkStart w:id="92" w:name="_Toc360188334"/>
      <w:bookmarkStart w:id="93" w:name="_Toc516210617"/>
      <w:bookmarkStart w:id="94" w:name="_Toc473560882"/>
      <w:bookmarkStart w:id="95" w:name="_Toc524010025"/>
      <w:bookmarkEnd w:id="89"/>
      <w:r>
        <w:rPr>
          <w:rFonts w:ascii="Times New Roman" w:hAnsi="Times New Roman"/>
          <w:sz w:val="24"/>
          <w:u w:val="none"/>
        </w:rPr>
        <w:t>1.6.1</w:t>
      </w:r>
      <w:r>
        <w:tab/>
      </w:r>
      <w:r>
        <w:rPr>
          <w:rFonts w:ascii="Times New Roman" w:hAnsi="Times New Roman"/>
          <w:sz w:val="24"/>
        </w:rPr>
        <w:t>Bendrosios pastabos</w:t>
      </w:r>
      <w:bookmarkEnd w:id="91"/>
      <w:bookmarkEnd w:id="92"/>
      <w:bookmarkEnd w:id="93"/>
      <w:bookmarkEnd w:id="94"/>
      <w:bookmarkEnd w:id="95"/>
    </w:p>
    <w:p w:rsidR="00783881" w:rsidRPr="00392FFD" w:rsidRDefault="00B43C2A" w:rsidP="00C37B29">
      <w:pPr>
        <w:pStyle w:val="InstructionsText2"/>
        <w:numPr>
          <w:ilvl w:val="0"/>
          <w:numId w:val="0"/>
        </w:numPr>
        <w:ind w:left="993"/>
      </w:pPr>
      <w:r>
        <w:t>15.</w:t>
      </w:r>
      <w:r>
        <w:tab/>
        <w:t>CA5 formoje apibendrinami nuosavų lėšų sudedamųjų dalių ir atskaitymų, k</w:t>
      </w:r>
      <w:r>
        <w:t>u</w:t>
      </w:r>
      <w:r>
        <w:t xml:space="preserve">riems taikomos KRR 465–491 straipsniuose išdėstytos pereinamojo laikotarpio nuostatos, skaičiavimai. </w:t>
      </w:r>
    </w:p>
    <w:p w:rsidR="00496C53" w:rsidRPr="00392FFD" w:rsidRDefault="00125707" w:rsidP="00C37B29">
      <w:pPr>
        <w:pStyle w:val="InstructionsText2"/>
        <w:numPr>
          <w:ilvl w:val="0"/>
          <w:numId w:val="0"/>
        </w:numPr>
        <w:ind w:left="993"/>
      </w:pPr>
      <w:r>
        <w:t>16.</w:t>
      </w:r>
      <w:r>
        <w:tab/>
        <w:t>CA5 formos struktūra tokia:</w:t>
      </w:r>
    </w:p>
    <w:p w:rsidR="002648B0" w:rsidRPr="00392FFD" w:rsidRDefault="00125707" w:rsidP="00C37B29">
      <w:pPr>
        <w:pStyle w:val="InstructionsText2"/>
        <w:numPr>
          <w:ilvl w:val="0"/>
          <w:numId w:val="0"/>
        </w:numPr>
        <w:ind w:left="993"/>
      </w:pPr>
      <w:r>
        <w:t>a)</w:t>
      </w:r>
      <w:r>
        <w:tab/>
      </w:r>
      <w:r>
        <w:rPr>
          <w:u w:val="single"/>
        </w:rPr>
        <w:t>5.1 formoje</w:t>
      </w:r>
      <w:r>
        <w:t xml:space="preserve"> apibendrinami visi koregavimai, kuriuos reikia atlikti įvairioms nuosavų lėšų sudedamosioms dalims (jos nurodomos CA1 formoje pagal galutines nuostatas) dėl pereinamojo laikotarpio nuostatų taikymo. Šios lentelės įrašai pate</w:t>
      </w:r>
      <w:r>
        <w:t>i</w:t>
      </w:r>
      <w:r>
        <w:t>kiami kaip įvairių CA1 formoje nurodytų kapitalo sudedamųjų dalių koregavimai, taip parodant pereinamojo laikotarpio nuostatų poveikį nuosavų lėšų sudedam</w:t>
      </w:r>
      <w:r>
        <w:t>o</w:t>
      </w:r>
      <w:r>
        <w:t>sioms dalims.</w:t>
      </w:r>
    </w:p>
    <w:p w:rsidR="002648B0" w:rsidRPr="00392FFD" w:rsidRDefault="00125707" w:rsidP="00C37B29">
      <w:pPr>
        <w:pStyle w:val="InstructionsText2"/>
        <w:numPr>
          <w:ilvl w:val="0"/>
          <w:numId w:val="0"/>
        </w:numPr>
        <w:ind w:left="993"/>
      </w:pPr>
      <w:r>
        <w:lastRenderedPageBreak/>
        <w:t>b)</w:t>
      </w:r>
      <w:r>
        <w:tab/>
      </w:r>
      <w:r>
        <w:rPr>
          <w:u w:val="single"/>
        </w:rPr>
        <w:t>5.2 formoje</w:t>
      </w:r>
      <w:r>
        <w:t xml:space="preserve"> pateikiami išsamesni duomenys apie tai, kaip apskaičiuotos tos priemonės, kurioms taikomas tęstinumo principas ir kurios nėra valstybės pagalba. </w:t>
      </w:r>
    </w:p>
    <w:p w:rsidR="005643EA" w:rsidRPr="00392FFD" w:rsidRDefault="00125707" w:rsidP="00C37B29">
      <w:pPr>
        <w:pStyle w:val="InstructionsText2"/>
        <w:numPr>
          <w:ilvl w:val="0"/>
          <w:numId w:val="0"/>
        </w:numPr>
        <w:ind w:left="993"/>
      </w:pPr>
      <w:bookmarkStart w:id="96" w:name="_Toc307386943"/>
      <w:r>
        <w:t>17.</w:t>
      </w:r>
      <w:r>
        <w:tab/>
        <w:t>Pirmose keturiose skiltyse įstaigos nurodo bendro 1 lygio nuosavo kapitalo, papildomo 1 lygio kapitalo ir 2 lygio kapitalo koregavimus bei sumą, laikytiną p</w:t>
      </w:r>
      <w:r>
        <w:t>a</w:t>
      </w:r>
      <w:r>
        <w:t>gal riziką įvertintu turtu. Įstaigos 050 skiltyje taip pat turi nurodyti taikomą proce</w:t>
      </w:r>
      <w:r>
        <w:t>n</w:t>
      </w:r>
      <w:r>
        <w:t>tinę dalį, o 060 skiltyje – reikalavimus atitinkančią sumą, neatsižvelgiant į perein</w:t>
      </w:r>
      <w:r>
        <w:t>a</w:t>
      </w:r>
      <w:r>
        <w:t>mojo laikotarpio nuostatas.</w:t>
      </w:r>
    </w:p>
    <w:p w:rsidR="005643EA" w:rsidRPr="00392FFD" w:rsidRDefault="00125707" w:rsidP="00C37B29">
      <w:pPr>
        <w:pStyle w:val="InstructionsText2"/>
        <w:numPr>
          <w:ilvl w:val="0"/>
          <w:numId w:val="0"/>
        </w:numPr>
        <w:ind w:left="993"/>
      </w:pPr>
      <w:r>
        <w:t>18.</w:t>
      </w:r>
      <w:r>
        <w:tab/>
        <w:t>Įstaigos CA5 formoje duomenis teikia tik tuo laikotarpiu, kurį pagal KRR d</w:t>
      </w:r>
      <w:r>
        <w:t>e</w:t>
      </w:r>
      <w:r>
        <w:t>šimtą dalį taikomos pereinamojo laikotarpio nuostatos.</w:t>
      </w:r>
    </w:p>
    <w:p w:rsidR="005643EA" w:rsidRPr="00392FFD" w:rsidRDefault="00125707" w:rsidP="00C37B29">
      <w:pPr>
        <w:pStyle w:val="InstructionsText2"/>
        <w:numPr>
          <w:ilvl w:val="0"/>
          <w:numId w:val="0"/>
        </w:numPr>
        <w:ind w:left="993"/>
      </w:pPr>
      <w:r>
        <w:t>19.</w:t>
      </w:r>
      <w:r>
        <w:tab/>
        <w:t>Pagal kai kurias iš pereinamojo laikotarpio nuostatų yra reikalaujamas atska</w:t>
      </w:r>
      <w:r>
        <w:t>i</w:t>
      </w:r>
      <w:r>
        <w:t>tymas iš 1 lygio kapitalo. Tokiu atveju, jeigu susidaro likutinė atskaitymo arba a</w:t>
      </w:r>
      <w:r>
        <w:t>t</w:t>
      </w:r>
      <w:r>
        <w:t>skaitymų iš 1 lygio kapitalo suma ir papildomas 1 lygio kapitalas yra nepakank</w:t>
      </w:r>
      <w:r>
        <w:t>a</w:t>
      </w:r>
      <w:r>
        <w:t>mas tai sumai atskaityti, ši suma atskaitoma iš CET1.</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7" w:name="_Toc516210618"/>
      <w:bookmarkStart w:id="98" w:name="_Toc473560883"/>
      <w:bookmarkStart w:id="99" w:name="_Toc360188335"/>
      <w:bookmarkStart w:id="100" w:name="_Toc308175836"/>
      <w:bookmarkStart w:id="101" w:name="_Toc524010026"/>
      <w:bookmarkEnd w:id="96"/>
      <w:r>
        <w:rPr>
          <w:rFonts w:ascii="Times New Roman" w:hAnsi="Times New Roman"/>
          <w:sz w:val="24"/>
          <w:u w:val="none"/>
        </w:rPr>
        <w:t>1.6.2.</w:t>
      </w:r>
      <w:r>
        <w:tab/>
      </w:r>
      <w:r>
        <w:rPr>
          <w:rFonts w:ascii="Times New Roman" w:hAnsi="Times New Roman"/>
          <w:sz w:val="24"/>
        </w:rPr>
        <w:t>C 05.01. PEREINAMOJO LAIKOTARPIO NUOSTATOS (CA5.1)</w:t>
      </w:r>
      <w:bookmarkEnd w:id="97"/>
      <w:bookmarkEnd w:id="98"/>
      <w:bookmarkEnd w:id="101"/>
      <w:r>
        <w:rPr>
          <w:rFonts w:ascii="Times New Roman" w:hAnsi="Times New Roman"/>
          <w:sz w:val="24"/>
        </w:rPr>
        <w:t xml:space="preserve"> </w:t>
      </w:r>
      <w:bookmarkEnd w:id="99"/>
      <w:bookmarkEnd w:id="100"/>
    </w:p>
    <w:p w:rsidR="002648B0" w:rsidRPr="00392FFD" w:rsidRDefault="00125707" w:rsidP="00C37B29">
      <w:pPr>
        <w:pStyle w:val="InstructionsText2"/>
        <w:numPr>
          <w:ilvl w:val="0"/>
          <w:numId w:val="0"/>
        </w:numPr>
        <w:ind w:left="993"/>
      </w:pPr>
      <w:r>
        <w:t>20.</w:t>
      </w:r>
      <w:r>
        <w:tab/>
        <w:t>5.1 lentelėje įstaigos palygina, kaip nuosavų lėšų sudedamosioms dalims yra taikomos pereinamojo laikotarpio nuostatos, išdėstytos KRR 465–491 straipsniu</w:t>
      </w:r>
      <w:r>
        <w:t>o</w:t>
      </w:r>
      <w:r>
        <w:t xml:space="preserve">se, ir galutinės nuostatos, išdėstytos KRR antros dalies II antraštinėje dalyje. </w:t>
      </w:r>
    </w:p>
    <w:p w:rsidR="00783881" w:rsidRPr="00392FFD" w:rsidRDefault="00125707" w:rsidP="00C37B29">
      <w:pPr>
        <w:pStyle w:val="InstructionsText2"/>
        <w:numPr>
          <w:ilvl w:val="0"/>
          <w:numId w:val="0"/>
        </w:numPr>
        <w:ind w:left="993"/>
      </w:pPr>
      <w:r>
        <w:t>21.</w:t>
      </w:r>
      <w:r>
        <w:tab/>
        <w:t>020–060 eilutėse įstaigos pateikia informaciją apie pereinamojo laikotarpio nuostatų taikymą priemonėms, kurioms taikomas tęstinumo principas. CA 5.1 fo</w:t>
      </w:r>
      <w:r>
        <w:t>r</w:t>
      </w:r>
      <w:r>
        <w:t>mos 060 eilutės 010–030 skiltyse nurodytinus skaičius galima perkelti iš atitinkamų CA 5.2 formos skyrių.</w:t>
      </w:r>
    </w:p>
    <w:p w:rsidR="00496C53" w:rsidRPr="00392FFD" w:rsidRDefault="00125707" w:rsidP="00C37B29">
      <w:pPr>
        <w:pStyle w:val="InstructionsText2"/>
        <w:numPr>
          <w:ilvl w:val="0"/>
          <w:numId w:val="0"/>
        </w:numPr>
        <w:ind w:left="993"/>
      </w:pPr>
      <w:r>
        <w:t>22.</w:t>
      </w:r>
      <w:r>
        <w:tab/>
        <w:t>070–092 eilutėse įstaigos pateikia informaciją apie pereinamojo laikotarpio nuostatų taikymą mažumos dalims ir papildomoms 1 lygio bei 2 lygio priemonėms, kurių emitentės yra patronuojamosios įmonės (pagal KRR 479 ir 480 straipsnius).</w:t>
      </w:r>
    </w:p>
    <w:p w:rsidR="00783881" w:rsidRPr="00392FFD" w:rsidRDefault="00125707" w:rsidP="00C37B29">
      <w:pPr>
        <w:pStyle w:val="InstructionsText2"/>
        <w:numPr>
          <w:ilvl w:val="0"/>
          <w:numId w:val="0"/>
        </w:numPr>
        <w:ind w:left="993"/>
      </w:pPr>
      <w:r>
        <w:t>23.</w:t>
      </w:r>
      <w:r>
        <w:tab/>
        <w:t>Nuo 100 eilutės įstaigos pateikia informaciją apie pereinamojo laikotarpio nu</w:t>
      </w:r>
      <w:r>
        <w:t>o</w:t>
      </w:r>
      <w:r>
        <w:t>statų taikymą nerealizuotam pelnui ir nuostoliams, atskaitymams, taip pat papild</w:t>
      </w:r>
      <w:r>
        <w:t>o</w:t>
      </w:r>
      <w:r>
        <w:t>miems filtrams ir atskaitymams.</w:t>
      </w:r>
    </w:p>
    <w:p w:rsidR="005643EA" w:rsidRPr="00392FFD" w:rsidRDefault="00125707" w:rsidP="00C37B29">
      <w:pPr>
        <w:pStyle w:val="InstructionsText2"/>
        <w:numPr>
          <w:ilvl w:val="0"/>
          <w:numId w:val="0"/>
        </w:numPr>
        <w:ind w:left="993"/>
      </w:pPr>
      <w:r>
        <w:t>24.</w:t>
      </w:r>
      <w:r>
        <w:tab/>
        <w:t xml:space="preserve">Tam tikrais atvejais pereinamojo laikotarpio atskaitymai iš CET1, AT1 arba T2 kapitalo gali viršyti įstaigos CET1, AT1 arba T2 kapitalą. Toks poveikis – jeigu jį lemia pereinamojo laikotarpio nuostatos – parodomas atitinkamuose CA1 formos laukeliuose. Todėl į koregavimus CA5 formos skiltyse neįtraukiamas joks šalutinis poveikis, jeigu kapitalo turima nepakankamai.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2" w:name="_Toc360188336"/>
      <w:bookmarkStart w:id="103" w:name="_Toc516210619"/>
      <w:bookmarkStart w:id="104" w:name="_Toc473560884"/>
      <w:bookmarkStart w:id="105" w:name="_Toc524010027"/>
      <w:r>
        <w:rPr>
          <w:rFonts w:ascii="Times New Roman" w:hAnsi="Times New Roman"/>
          <w:sz w:val="24"/>
          <w:u w:val="none"/>
        </w:rPr>
        <w:t>1.6.2.1.</w:t>
      </w:r>
      <w:r>
        <w:tab/>
      </w:r>
      <w:r>
        <w:rPr>
          <w:rFonts w:ascii="Times New Roman" w:hAnsi="Times New Roman"/>
          <w:sz w:val="24"/>
        </w:rPr>
        <w:t>Nurodymai dėl konkrečių pozicijų</w:t>
      </w:r>
      <w:bookmarkEnd w:id="102"/>
      <w:bookmarkEnd w:id="103"/>
      <w:bookmarkEnd w:id="104"/>
      <w:bookmarkEnd w:id="105"/>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Skiltys</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CET1 koregavimai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AT1 koregavimai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T2 koregavimai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Koregavimai, įtraukti į pagal riziką įvertintą turtą (RWA)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 skiltis apima atitinkamas sumas, kuriomis dėl pereinamojo laikotarpio nuostatų koreguojama bendra rizikos pozicijos suma pagal KRR 92 straipsnio 3 dalį. Nurodant sumas atsižvelgiama į pagal KRR 92 straipsnio 4 dalį taikomas trečios dalies II antraštinės dalies 2 ar 3 skyriaus arba IV antraštinės dalies nuostatas. Vadinasi, pereinamosios sumos, kurioms ta</w:t>
            </w:r>
            <w:r>
              <w:rPr>
                <w:rStyle w:val="InstructionsTabelleText"/>
                <w:rFonts w:ascii="Times New Roman" w:hAnsi="Times New Roman"/>
                <w:sz w:val="24"/>
              </w:rPr>
              <w:t>i</w:t>
            </w:r>
            <w:r>
              <w:rPr>
                <w:rStyle w:val="InstructionsTabelleText"/>
                <w:rFonts w:ascii="Times New Roman" w:hAnsi="Times New Roman"/>
                <w:sz w:val="24"/>
              </w:rPr>
              <w:t>komos trečios dalies II antraštinės dalies 2 ar 3 skyriaus nuostatos, nur</w:t>
            </w:r>
            <w:r>
              <w:rPr>
                <w:rStyle w:val="InstructionsTabelleText"/>
                <w:rFonts w:ascii="Times New Roman" w:hAnsi="Times New Roman"/>
                <w:sz w:val="24"/>
              </w:rPr>
              <w:t>o</w:t>
            </w:r>
            <w:r>
              <w:rPr>
                <w:rStyle w:val="InstructionsTabelleText"/>
                <w:rFonts w:ascii="Times New Roman" w:hAnsi="Times New Roman"/>
                <w:sz w:val="24"/>
              </w:rPr>
              <w:t>domos kaip pagal riziką įvertintų pozicijų sumos, o pereinamosios sumos, kurioms taikomos trečios dalies IV antraštinės dalies nuostatos, atitinka nuosavų lėšų reikalavimų sumą, padaugintą iš 12,5.</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Kadangi 010–030 skiltys yra tiesiogiai susietos su CA1 forma, bendros r</w:t>
            </w:r>
            <w:r>
              <w:rPr>
                <w:rStyle w:val="InstructionsTabelleText"/>
                <w:rFonts w:ascii="Times New Roman" w:hAnsi="Times New Roman"/>
                <w:sz w:val="24"/>
              </w:rPr>
              <w:t>i</w:t>
            </w:r>
            <w:r>
              <w:rPr>
                <w:rStyle w:val="InstructionsTabelleText"/>
                <w:rFonts w:ascii="Times New Roman" w:hAnsi="Times New Roman"/>
                <w:sz w:val="24"/>
              </w:rPr>
              <w:t>zikos pozicijos sumos koregavimai nėra tiesiogiai susieti su atitinkamomis formomis, kuriose pateikiama informacija apie kredito riziką. Jeigu be</w:t>
            </w:r>
            <w:r>
              <w:rPr>
                <w:rStyle w:val="InstructionsTabelleText"/>
                <w:rFonts w:ascii="Times New Roman" w:hAnsi="Times New Roman"/>
                <w:sz w:val="24"/>
              </w:rPr>
              <w:t>n</w:t>
            </w:r>
            <w:r>
              <w:rPr>
                <w:rStyle w:val="InstructionsTabelleText"/>
                <w:rFonts w:ascii="Times New Roman" w:hAnsi="Times New Roman"/>
                <w:sz w:val="24"/>
              </w:rPr>
              <w:t xml:space="preserve">dros rizikos pozicijos sumos koregavimus reikia atlikti dėl pereinamojo laikotarpio nuostatų, tie koregavimai tiesiogiai įtraukiami į CR SA, CR IRB, CR EQU IRB, MKR SA TDI, MKR SA EQU ar MKR IM formas. Be to, jų poveikis nurodomas CA5.1 formos 040 skiltyje. Todėl šios sumos yra tik papildomi straipsniai.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Taikoma procentinė dalis</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Reikalavimus atitinkanti suma neatsižvelgiant į pereinamojo laikota</w:t>
            </w:r>
            <w:r>
              <w:rPr>
                <w:rStyle w:val="InstructionsTabelleberschrift"/>
                <w:rFonts w:ascii="Times New Roman" w:hAnsi="Times New Roman"/>
                <w:sz w:val="24"/>
              </w:rPr>
              <w:t>r</w:t>
            </w:r>
            <w:r>
              <w:rPr>
                <w:rStyle w:val="InstructionsTabelleberschrift"/>
                <w:rFonts w:ascii="Times New Roman" w:hAnsi="Times New Roman"/>
                <w:sz w:val="24"/>
              </w:rPr>
              <w:t>pio nuostatas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 skiltyje įrašoma kiekvienos priemonės suma iki pereinamojo laikota</w:t>
            </w:r>
            <w:r>
              <w:rPr>
                <w:rStyle w:val="InstructionsTabelleText"/>
                <w:rFonts w:ascii="Times New Roman" w:hAnsi="Times New Roman"/>
                <w:sz w:val="24"/>
              </w:rPr>
              <w:t>r</w:t>
            </w:r>
            <w:r>
              <w:rPr>
                <w:rStyle w:val="InstructionsTabelleText"/>
                <w:rFonts w:ascii="Times New Roman" w:hAnsi="Times New Roman"/>
                <w:sz w:val="24"/>
              </w:rPr>
              <w:t>pio nuostatų taikymo, t. y. bazinė suma, pagal kurią skaičiuojami koreg</w:t>
            </w:r>
            <w:r>
              <w:rPr>
                <w:rStyle w:val="InstructionsTabelleText"/>
                <w:rFonts w:ascii="Times New Roman" w:hAnsi="Times New Roman"/>
                <w:sz w:val="24"/>
              </w:rPr>
              <w:t>a</w:t>
            </w:r>
            <w:r>
              <w:rPr>
                <w:rStyle w:val="InstructionsTabelleText"/>
                <w:rFonts w:ascii="Times New Roman" w:hAnsi="Times New Roman"/>
                <w:sz w:val="24"/>
              </w:rPr>
              <w:t>vimai.</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Eilutės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Bendra koregavimų suma</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Šioje eilutėje pažymimas bendras pereinamojo laikotarpio koregavimų p</w:t>
            </w:r>
            <w:r>
              <w:rPr>
                <w:rStyle w:val="InstructionsTabelleText"/>
                <w:rFonts w:ascii="Times New Roman" w:hAnsi="Times New Roman"/>
                <w:sz w:val="24"/>
              </w:rPr>
              <w:t>o</w:t>
            </w:r>
            <w:r>
              <w:rPr>
                <w:rStyle w:val="InstructionsTabelleText"/>
                <w:rFonts w:ascii="Times New Roman" w:hAnsi="Times New Roman"/>
                <w:sz w:val="24"/>
              </w:rPr>
              <w:t>veikis įvairių rūšių kapitalui, taip pat įtraukiamos dėl tų koregavimų sus</w:t>
            </w:r>
            <w:r>
              <w:rPr>
                <w:rStyle w:val="InstructionsTabelleText"/>
                <w:rFonts w:ascii="Times New Roman" w:hAnsi="Times New Roman"/>
                <w:sz w:val="24"/>
              </w:rPr>
              <w:t>i</w:t>
            </w:r>
            <w:r>
              <w:rPr>
                <w:rStyle w:val="InstructionsTabelleText"/>
                <w:rFonts w:ascii="Times New Roman" w:hAnsi="Times New Roman"/>
                <w:sz w:val="24"/>
              </w:rPr>
              <w:t>dariusios pagal riziką įvertintos sumos.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Priemonės, kurioms taikomas tęstinumo principas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KRR 483–491 straipsniai.</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Šioje eilutėje parodomas bendras pereinamuoju laikotarpiu likusių galioti skirtingų rūšių kapitalui skirtų priemonių poveikis.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tab/>
            </w:r>
            <w:r>
              <w:rPr>
                <w:rStyle w:val="InstructionsTabelleberschrift"/>
                <w:rFonts w:ascii="Times New Roman" w:hAnsi="Times New Roman"/>
                <w:sz w:val="24"/>
              </w:rPr>
              <w:t>Priemonės, kurioms taikomas tęstinumo principas, kurios yra valstybės pagalba</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KRR 483 straipsnis.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Priemonės, kurios pagal Direktyvą 2006/48/EB galėjo būti la</w:t>
            </w:r>
            <w:r>
              <w:rPr>
                <w:rStyle w:val="InstructionsTabelleberschrift"/>
                <w:rFonts w:ascii="Times New Roman" w:hAnsi="Times New Roman"/>
                <w:sz w:val="24"/>
              </w:rPr>
              <w:t>i</w:t>
            </w:r>
            <w:r>
              <w:rPr>
                <w:rStyle w:val="InstructionsTabelleberschrift"/>
                <w:rFonts w:ascii="Times New Roman" w:hAnsi="Times New Roman"/>
                <w:sz w:val="24"/>
              </w:rPr>
              <w:t>komos nuosavomis lėšomis</w:t>
            </w:r>
          </w:p>
          <w:p w:rsidR="005643EA" w:rsidRPr="00201704" w:rsidRDefault="002648B0" w:rsidP="00FD239F">
            <w:pPr>
              <w:pStyle w:val="InstructionsText"/>
              <w:rPr>
                <w:bCs/>
              </w:rPr>
            </w:pPr>
            <w:r>
              <w:rPr>
                <w:rStyle w:val="InstructionsTabelleText"/>
                <w:rFonts w:ascii="Times New Roman" w:hAnsi="Times New Roman"/>
                <w:sz w:val="24"/>
              </w:rPr>
              <w:t>KRR 483 straipsnio 1, 2, 4 ir 6 dalys.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Valstybėje narėje, kuriai taikoma ekonominio koregavimo pr</w:t>
            </w:r>
            <w:r>
              <w:rPr>
                <w:rStyle w:val="InstructionsTabelleberschrift"/>
                <w:rFonts w:ascii="Times New Roman" w:hAnsi="Times New Roman"/>
                <w:sz w:val="24"/>
              </w:rPr>
              <w:t>o</w:t>
            </w:r>
            <w:r>
              <w:rPr>
                <w:rStyle w:val="InstructionsTabelleberschrift"/>
                <w:rFonts w:ascii="Times New Roman" w:hAnsi="Times New Roman"/>
                <w:sz w:val="24"/>
              </w:rPr>
              <w:t>grama, įsteigtų įstaigų išleistos priemonės</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lastRenderedPageBreak/>
              <w:t>KRR 483 straipsnio 1, 3, 5, 7 ir 8 dalys.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Priemonės, kurios nėra valstybės pagalba</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Nurodoma suma yra perkeliama iš CA5.2 formos 060 skilties.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Mažumos dalys ir lygiavertės priemonės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KRR 479 ir 480 straipsniai.</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Šioje eilutėje parodomas pereinamojo laikotarpio nuostatų poveikis maž</w:t>
            </w:r>
            <w:r>
              <w:rPr>
                <w:rStyle w:val="InstructionsTabelleText"/>
                <w:rFonts w:ascii="Times New Roman" w:hAnsi="Times New Roman"/>
                <w:sz w:val="24"/>
              </w:rPr>
              <w:t>u</w:t>
            </w:r>
            <w:r>
              <w:rPr>
                <w:rStyle w:val="InstructionsTabelleText"/>
                <w:rFonts w:ascii="Times New Roman" w:hAnsi="Times New Roman"/>
                <w:sz w:val="24"/>
              </w:rPr>
              <w:t>mos dalims, kurios gali būti laikomos bendru 1 lygio kapitalu, kvalifiku</w:t>
            </w:r>
            <w:r>
              <w:rPr>
                <w:rStyle w:val="InstructionsTabelleText"/>
                <w:rFonts w:ascii="Times New Roman" w:hAnsi="Times New Roman"/>
                <w:sz w:val="24"/>
              </w:rPr>
              <w:t>o</w:t>
            </w:r>
            <w:r>
              <w:rPr>
                <w:rStyle w:val="InstructionsTabelleText"/>
                <w:rFonts w:ascii="Times New Roman" w:hAnsi="Times New Roman"/>
                <w:sz w:val="24"/>
              </w:rPr>
              <w:t>tosioms 1 lygio priemonėms, kurios gali būti laikomos konsoliduotu papi</w:t>
            </w:r>
            <w:r>
              <w:rPr>
                <w:rStyle w:val="InstructionsTabelleText"/>
                <w:rFonts w:ascii="Times New Roman" w:hAnsi="Times New Roman"/>
                <w:sz w:val="24"/>
              </w:rPr>
              <w:t>l</w:t>
            </w:r>
            <w:r>
              <w:rPr>
                <w:rStyle w:val="InstructionsTabelleText"/>
                <w:rFonts w:ascii="Times New Roman" w:hAnsi="Times New Roman"/>
                <w:sz w:val="24"/>
              </w:rPr>
              <w:t>domu 1 lygio kapitalu, ir kvalifikuotosioms nuosavoms lėšoms, kurios gali būti laikomos konsoliduotu 2 lygio kapitalu.</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Kapitalo priemonės ir straipsniai, nesudarantys mažumos dalių</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KRR 479 straipsnis.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Šios eilutės 060 skiltyje nurodoma suma, kuri atitinka konsoliduotų reze</w:t>
            </w:r>
            <w:r>
              <w:rPr>
                <w:rStyle w:val="InstructionsTabelleText"/>
                <w:rFonts w:ascii="Times New Roman" w:hAnsi="Times New Roman"/>
                <w:sz w:val="24"/>
              </w:rPr>
              <w:t>r</w:t>
            </w:r>
            <w:r>
              <w:rPr>
                <w:rStyle w:val="InstructionsTabelleText"/>
                <w:rFonts w:ascii="Times New Roman" w:hAnsi="Times New Roman"/>
                <w:sz w:val="24"/>
              </w:rPr>
              <w:t xml:space="preserve">vų reikalavimus pagal ankstesnį reglamentavimą.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Mažumos dalių pripažinimas pereinamuoju laikotarpiu kons</w:t>
            </w:r>
            <w:r>
              <w:rPr>
                <w:rStyle w:val="InstructionsTabelleberschrift"/>
                <w:rFonts w:ascii="Times New Roman" w:hAnsi="Times New Roman"/>
                <w:sz w:val="24"/>
              </w:rPr>
              <w:t>o</w:t>
            </w:r>
            <w:r>
              <w:rPr>
                <w:rStyle w:val="InstructionsTabelleberschrift"/>
                <w:rFonts w:ascii="Times New Roman" w:hAnsi="Times New Roman"/>
                <w:sz w:val="24"/>
              </w:rPr>
              <w:t>liduotomis nuosavomis lėšomis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84 ir 480 straipsniai.</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Šios eilutės 060 skiltyje nurodoma suma yra reikalavimus atitinkanti suma nepritaikius pereinamojo laikotarpio nuostatų.</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Kvalifikuotojo papildomo 1 lygio kapitalo pripažinimas pere</w:t>
            </w:r>
            <w:r>
              <w:rPr>
                <w:rStyle w:val="InstructionsTabelleberschrift"/>
                <w:rFonts w:ascii="Times New Roman" w:hAnsi="Times New Roman"/>
                <w:sz w:val="24"/>
              </w:rPr>
              <w:t>i</w:t>
            </w:r>
            <w:r>
              <w:rPr>
                <w:rStyle w:val="InstructionsTabelleberschrift"/>
                <w:rFonts w:ascii="Times New Roman" w:hAnsi="Times New Roman"/>
                <w:sz w:val="24"/>
              </w:rPr>
              <w:t>namuoju laikotarpiu konsoliduotomis nuosavomis lėšomis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85 ir 480 straipsniai.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yra reikalavimus atitinkanti suma nepritaikius pereinamojo laikotarpio nuostatų.</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Kvalifikuotojo 2 lygio kapitalo pripažinimas pereinamuoju la</w:t>
            </w:r>
            <w:r>
              <w:rPr>
                <w:rStyle w:val="InstructionsTabelleberschrift"/>
                <w:rFonts w:ascii="Times New Roman" w:hAnsi="Times New Roman"/>
                <w:sz w:val="24"/>
              </w:rPr>
              <w:t>i</w:t>
            </w:r>
            <w:r>
              <w:rPr>
                <w:rStyle w:val="InstructionsTabelleberschrift"/>
                <w:rFonts w:ascii="Times New Roman" w:hAnsi="Times New Roman"/>
                <w:sz w:val="24"/>
              </w:rPr>
              <w:t>kotarpiu konsoliduotomis nuosavomis lėšomis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87 ir 480 straipsniai.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yra reikalavimus atitinkanti suma nepritaikius pereinamojo laikotarpio nuostatų.</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Kiti pereinamojo laikotarpio koregavimai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KRR 467–478 ir 481 straipsniai.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Šioje eilutėje pagal riziką įvertintą turtą bendras pereinamojo laikotarpio koregavimų poveikis įvairių rūšių kapitalo atskaitymui, nerealizuotam pe</w:t>
            </w:r>
            <w:r>
              <w:rPr>
                <w:rStyle w:val="InstructionsTabelleText"/>
                <w:rFonts w:ascii="Times New Roman" w:hAnsi="Times New Roman"/>
                <w:sz w:val="24"/>
              </w:rPr>
              <w:t>l</w:t>
            </w:r>
            <w:r>
              <w:rPr>
                <w:rStyle w:val="InstructionsTabelleText"/>
                <w:rFonts w:ascii="Times New Roman" w:hAnsi="Times New Roman"/>
                <w:sz w:val="24"/>
              </w:rPr>
              <w:t>nui ir nuostoliams, papildomiems filtrams ir atskaitymams, taip pat įtra</w:t>
            </w:r>
            <w:r>
              <w:rPr>
                <w:rStyle w:val="InstructionsTabelleText"/>
                <w:rFonts w:ascii="Times New Roman" w:hAnsi="Times New Roman"/>
                <w:sz w:val="24"/>
              </w:rPr>
              <w:t>u</w:t>
            </w:r>
            <w:r>
              <w:rPr>
                <w:rStyle w:val="InstructionsTabelleText"/>
                <w:rFonts w:ascii="Times New Roman" w:hAnsi="Times New Roman"/>
                <w:sz w:val="24"/>
              </w:rPr>
              <w:t>kiamos pagal riziką įvertintos sumos, susidariusios dėl tų koregavimų.</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Nerealizuotas pelnas ir nuostoliai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KRR 467 ir 468 straipsniai.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Šioje eilutėje nurodomas bendras pereinamojo laikotarpio nuostatų pove</w:t>
            </w:r>
            <w:r>
              <w:rPr>
                <w:rStyle w:val="InstructionsTabelleText"/>
                <w:rFonts w:ascii="Times New Roman" w:hAnsi="Times New Roman"/>
                <w:sz w:val="24"/>
              </w:rPr>
              <w:t>i</w:t>
            </w:r>
            <w:r>
              <w:rPr>
                <w:rStyle w:val="InstructionsTabelleText"/>
                <w:rFonts w:ascii="Times New Roman" w:hAnsi="Times New Roman"/>
                <w:sz w:val="24"/>
              </w:rPr>
              <w:t>kis nerealizuotam pelnui ir nuostoliams, vertinamiems tikrąja verte.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Nerealizuotas pelnas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468 straipsnio 1 dalis.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Nerealizuoti nuostoliai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467 straipsnio 1 dalis.</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Centrinės valdžios pozicijų, priskiriamų prie ES taikomo 39-ojo TAS „parduoti laikomų“ kategorijos, nerealizuotas pelnas</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468 straipsnis.</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Centrinės valdžios pozicijų, priskiriamų prie ES taikomo 39-ojo TAS „parduoti laikomų“ kategorijos, nerealizuoti nuostoliai</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467 straipsnis.</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Tikrąja verte vertinamas pelnas ir nuostoliai, kurie susidaro dėl pačios įstaigos kredito rizikos, susijusios su išvestinių finansinių pri</w:t>
            </w:r>
            <w:r>
              <w:rPr>
                <w:rStyle w:val="InstructionsTabelleberschrift"/>
                <w:rFonts w:ascii="Times New Roman" w:hAnsi="Times New Roman"/>
                <w:sz w:val="24"/>
              </w:rPr>
              <w:t>e</w:t>
            </w:r>
            <w:r>
              <w:rPr>
                <w:rStyle w:val="InstructionsTabelleberschrift"/>
                <w:rFonts w:ascii="Times New Roman" w:hAnsi="Times New Roman"/>
                <w:sz w:val="24"/>
              </w:rPr>
              <w:t>monių įsipareigojimais</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468 straipsnis.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Atskaitymai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KRR 36 straipsnio 1 dalis, 469–478 straipsniai.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Šioje eilutėje pažymimas bendras pereinamojo laikotarpio nuostatų pove</w:t>
            </w:r>
            <w:r>
              <w:rPr>
                <w:rStyle w:val="InstructionsTabelleText"/>
                <w:rFonts w:ascii="Times New Roman" w:hAnsi="Times New Roman"/>
                <w:sz w:val="24"/>
              </w:rPr>
              <w:t>i</w:t>
            </w:r>
            <w:r>
              <w:rPr>
                <w:rStyle w:val="InstructionsTabelleText"/>
                <w:rFonts w:ascii="Times New Roman" w:hAnsi="Times New Roman"/>
                <w:sz w:val="24"/>
              </w:rPr>
              <w:t>kis atskaitymams.</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tab/>
            </w:r>
            <w:r>
              <w:rPr>
                <w:rStyle w:val="InstructionsTabelleberschrift"/>
                <w:rFonts w:ascii="Times New Roman" w:hAnsi="Times New Roman"/>
                <w:sz w:val="24"/>
              </w:rPr>
              <w:t>Einamųjų finansinių metų nuostoliai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KRR 36 straipsnio 1 dalies a punktas, 469 straipsnio 1 dalis, 472 straipsnio 3 dalis ir 478 straipsnis.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Šios eilutės 060 skiltyje nurodoma suma yra pradinio atskaitymo pagal KRR 36 straipsnio 1 dalies a punktą suma.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Jeigu iš įmonių buvo reikalaujama atskaityti tik reikšmingus nuostolius: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jeigu bendra tarpinio grynojo nuostolio suma buvo „reikšminga“, iš 1 l</w:t>
            </w:r>
            <w:r>
              <w:rPr>
                <w:rStyle w:val="InstructionsTabelleText"/>
                <w:rFonts w:ascii="Times New Roman" w:hAnsi="Times New Roman"/>
                <w:sz w:val="24"/>
              </w:rPr>
              <w:t>y</w:t>
            </w:r>
            <w:r>
              <w:rPr>
                <w:rStyle w:val="InstructionsTabelleText"/>
                <w:rFonts w:ascii="Times New Roman" w:hAnsi="Times New Roman"/>
                <w:sz w:val="24"/>
              </w:rPr>
              <w:t>gio kapitalo bus atskaityta visa likutinė suma, arba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jeigu bendra tarpinio grynojo nuostolio suma nebuvo „reikšminga“, lik</w:t>
            </w:r>
            <w:r>
              <w:rPr>
                <w:rStyle w:val="InstructionsTabelleText"/>
                <w:rFonts w:ascii="Times New Roman" w:hAnsi="Times New Roman"/>
                <w:sz w:val="24"/>
              </w:rPr>
              <w:t>u</w:t>
            </w:r>
            <w:r>
              <w:rPr>
                <w:rStyle w:val="InstructionsTabelleText"/>
                <w:rFonts w:ascii="Times New Roman" w:hAnsi="Times New Roman"/>
                <w:sz w:val="24"/>
              </w:rPr>
              <w:t>tinė suma nebus atskaitoma.</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tab/>
            </w:r>
            <w:r>
              <w:rPr>
                <w:rStyle w:val="InstructionsTabelleberschrift"/>
                <w:rFonts w:ascii="Times New Roman" w:hAnsi="Times New Roman"/>
                <w:sz w:val="24"/>
              </w:rPr>
              <w:t>Nematerialusis turtas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36 straipsnio 1 dalies b punktas, 469 straipsnio 1 dalis, 472 straipsnio 4 dalis ir 478 straipsnis.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Nustatydamos, kokią nematerialiojo turto sumą atskaityti, įstaigos turi ats</w:t>
            </w:r>
            <w:r>
              <w:rPr>
                <w:rStyle w:val="InstructionsTabelleText"/>
                <w:rFonts w:ascii="Times New Roman" w:hAnsi="Times New Roman"/>
                <w:sz w:val="24"/>
              </w:rPr>
              <w:t>i</w:t>
            </w:r>
            <w:r>
              <w:rPr>
                <w:rStyle w:val="InstructionsTabelleText"/>
                <w:rFonts w:ascii="Times New Roman" w:hAnsi="Times New Roman"/>
                <w:sz w:val="24"/>
              </w:rPr>
              <w:t>žvelgti į KRR 37 straipsnio nuostatas.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yra pradinio atskaitymo pagal KRR 36 straipsnio 1 dalies b punktą suma.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Atidėtųjų mokesčių turtas, kuris priklauso nuo būsimo pelningumo ir susidaro ne dėl laikinųjų skirtumų</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36 straipsnio 1 dalies c punktas, 469 straipsnio 1 dalis, 472 straipsnio 5 dalis ir 478 straipsnis.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Nustatydamos, kokią pirmiau paminėto atidėtųjų mokesčių turto sumą a</w:t>
            </w:r>
            <w:r>
              <w:rPr>
                <w:rStyle w:val="InstructionsTabelleText"/>
                <w:rFonts w:ascii="Times New Roman" w:hAnsi="Times New Roman"/>
                <w:sz w:val="24"/>
              </w:rPr>
              <w:t>t</w:t>
            </w:r>
            <w:r>
              <w:rPr>
                <w:rStyle w:val="InstructionsTabelleText"/>
                <w:rFonts w:ascii="Times New Roman" w:hAnsi="Times New Roman"/>
                <w:sz w:val="24"/>
              </w:rPr>
              <w:t>skaityti, įstaigos turi atsižvelgti į KRR 38 straipsnio nuostatas dėl atidėtųjų mokesčių turto mažinimo atidėtųjų mokesčių įsipareigojimų suma.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bendra suma pagal KRR 469 straipsnio 1 dalį.</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tab/>
            </w:r>
            <w:r>
              <w:rPr>
                <w:rStyle w:val="InstructionsTabelleberschrift"/>
                <w:rFonts w:ascii="Times New Roman" w:hAnsi="Times New Roman"/>
                <w:sz w:val="24"/>
              </w:rPr>
              <w:t>Atidėjinių pagal IRB metodą trūkumas, atsižvelgiant į tikėtinus nuostolius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36 straipsnio 1 dalies d punktas, 469 straipsnio 1 dalis, 472 straipsnio 6 dalis ir 478 straipsnis.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Nustatydamos pirmiau minėtų atidėjinių pagal IRB metodą trūkumą tikėt</w:t>
            </w:r>
            <w:r>
              <w:rPr>
                <w:rStyle w:val="InstructionsTabelleText"/>
                <w:rFonts w:ascii="Times New Roman" w:hAnsi="Times New Roman"/>
                <w:sz w:val="24"/>
              </w:rPr>
              <w:t>i</w:t>
            </w:r>
            <w:r>
              <w:rPr>
                <w:rStyle w:val="InstructionsTabelleText"/>
                <w:rFonts w:ascii="Times New Roman" w:hAnsi="Times New Roman"/>
                <w:sz w:val="24"/>
              </w:rPr>
              <w:t>niems nuostoliams padengti, kurį reikia atskaityti, įstaigos turi atsižvelgti į KRR 40 straipsnio nuostatas.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36 straipsnio 1 dalies d punktą suma.</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Nustatytų išmokų pensijų fondo turtas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33 straipsnio 1 dalies e punktas, 469 straipsnio 1 dalis, 472 straipsnio 7 dalis, 473 ir 478 straipsniai.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Nustatydamos, kokią pirmiau minėto nustatytų išmokų pensijų fondo turto sumą reikia atskaityti, įstaigos turi atsižvelgti į KRR 41 straipsnio nuost</w:t>
            </w:r>
            <w:r>
              <w:rPr>
                <w:rStyle w:val="InstructionsTabelleText"/>
                <w:rFonts w:ascii="Times New Roman" w:hAnsi="Times New Roman"/>
                <w:sz w:val="24"/>
              </w:rPr>
              <w:t>a</w:t>
            </w:r>
            <w:r>
              <w:rPr>
                <w:rStyle w:val="InstructionsTabelleText"/>
                <w:rFonts w:ascii="Times New Roman" w:hAnsi="Times New Roman"/>
                <w:sz w:val="24"/>
              </w:rPr>
              <w:t>tas.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36 straipsnio 1 dalies e punktą suma.</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iš jo: 19-ojo TAS pakeitimų įdiegimas. Teigiamas straipsnis</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KRR 473 straipsnis.</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iš jo: 19-ojo TAS pakeitimų įdiegimas. Neigiamas straipsnis</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KRR 473 straipsnis.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tab/>
            </w:r>
            <w:r>
              <w:rPr>
                <w:rStyle w:val="InstructionsTabelleberschrift"/>
                <w:rFonts w:ascii="Times New Roman" w:hAnsi="Times New Roman"/>
                <w:sz w:val="24"/>
              </w:rPr>
              <w:t>Nuosavos priemonės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36 straipsnio 1 dalies f punktas, 469 straipsnio 1 dalis, 472 straipsnio 8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36 straipsnio 1 dalies f punktą suma.</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Nuosavos CET1 priemonės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36 straipsnio 1 dalies f punktas, 469 straipsnio 1 dalis, 472 straipsnio 8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Nustatydamos, kokią pirmiau paminėtų nuosavų bendro 1 lygio nuosavo kapitalo priemonių sumą atskaityti, įstaigos atsižvelgia į KRR 42 straipsnio nuostatas.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Kadangi „likutinės sumos“ vertinamos skirtingai atsižvelgiant į priemonės pobūdį, įstaigos turimas bendro nuosavo kapitalo priemones atitinkamai </w:t>
            </w:r>
            <w:r>
              <w:rPr>
                <w:rStyle w:val="InstructionsTabelleText"/>
                <w:rFonts w:ascii="Times New Roman" w:hAnsi="Times New Roman"/>
                <w:sz w:val="24"/>
              </w:rPr>
              <w:lastRenderedPageBreak/>
              <w:t>suskirsto į turimas „tiesiogiai“ ir „netiesiogiai“.</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36 straipsnio 1 dalies f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tab/>
            </w:r>
            <w:r>
              <w:rPr>
                <w:rStyle w:val="InstructionsTabelleberschrift"/>
                <w:rFonts w:ascii="Times New Roman" w:hAnsi="Times New Roman"/>
                <w:sz w:val="24"/>
              </w:rPr>
              <w:t>iš jų: tiesiogiai turimos kapitalo dalys</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469 straipsnio 1 dalies b punktas, 472 straipsnio 8 dalies a punktas.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Šios eilutės 060 skiltyje nurodoma suma: tiesiogiai turimų kapitalo dalių, įskaitant priemones, kurias įstaiga galėtų būti įpareigota pirkti pagal esamą arba neapibrėžtąjį sutartinį įsipareigojimą, bendra suma.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iš jų: netiesiogiai turimos kapitalo dalys</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469 straipsnio 1 dalies b punktas, 472 straipsnio 8 dalies b punktas.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Šios eilutės 060 skiltyje nurodoma suma: netiesiogiai turimų kapitalo dalių, įskaitant priemones, kurias įstaiga galėtų būti įpareigota pirkti pagal esamą arba neapibrėžtąjį sutartinį įsipareigojimą, bendra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Nuosavos AT1 priemonės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56 straipsnio a punktas, 474 straipsnis, 475 straipsnio 2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Nustatydamos, kokią pirmiau minėtų kapitalo dalių sumą atskaityti, įsta</w:t>
            </w:r>
            <w:r>
              <w:rPr>
                <w:rStyle w:val="InstructionsTabelleText"/>
                <w:rFonts w:ascii="Times New Roman" w:hAnsi="Times New Roman"/>
                <w:sz w:val="24"/>
              </w:rPr>
              <w:t>i</w:t>
            </w:r>
            <w:r>
              <w:rPr>
                <w:rStyle w:val="InstructionsTabelleText"/>
                <w:rFonts w:ascii="Times New Roman" w:hAnsi="Times New Roman"/>
                <w:sz w:val="24"/>
              </w:rPr>
              <w:t>gos atsižvelgia į KRR 57 straipsnio nuostatas.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Kadangi „likutinės sumos“ vertinamos skirtingai atsižvelgiant į priemonės pobūdį (KRR 475 straipsnio 2 dalis), įstaigos pirmiau minėtas turimas k</w:t>
            </w:r>
            <w:r>
              <w:rPr>
                <w:rStyle w:val="InstructionsTabelleText"/>
                <w:rFonts w:ascii="Times New Roman" w:hAnsi="Times New Roman"/>
                <w:sz w:val="24"/>
              </w:rPr>
              <w:t>a</w:t>
            </w:r>
            <w:r>
              <w:rPr>
                <w:rStyle w:val="InstructionsTabelleText"/>
                <w:rFonts w:ascii="Times New Roman" w:hAnsi="Times New Roman"/>
                <w:sz w:val="24"/>
              </w:rPr>
              <w:t>pitalo dalis suskirsto į „tiesiogiai“ ir „netiesiogiai“ turimas nuosavas papi</w:t>
            </w:r>
            <w:r>
              <w:rPr>
                <w:rStyle w:val="InstructionsTabelleText"/>
                <w:rFonts w:ascii="Times New Roman" w:hAnsi="Times New Roman"/>
                <w:sz w:val="24"/>
              </w:rPr>
              <w:t>l</w:t>
            </w:r>
            <w:r>
              <w:rPr>
                <w:rStyle w:val="InstructionsTabelleText"/>
                <w:rFonts w:ascii="Times New Roman" w:hAnsi="Times New Roman"/>
                <w:sz w:val="24"/>
              </w:rPr>
              <w:t>domo 1 lygio kapitalo dalis.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56 straipsnio a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iš jų: tiesiogiai turimos kapitalo dalys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Šios eilutės 060 skiltyje nurodoma suma: Tiesiogiai turimų kapitalo dalių, įskaitant priemones, kurias įstaiga galėtų būti įpareigota pirkti pagal esamą arba neapibrėžtąjį sutartinį įsipareigojimą, bendra suma; KRR 474 straip</w:t>
            </w:r>
            <w:r>
              <w:rPr>
                <w:rStyle w:val="InstructionsTabelleText"/>
                <w:rFonts w:ascii="Times New Roman" w:hAnsi="Times New Roman"/>
                <w:sz w:val="24"/>
              </w:rPr>
              <w:t>s</w:t>
            </w:r>
            <w:r>
              <w:rPr>
                <w:rStyle w:val="InstructionsTabelleText"/>
                <w:rFonts w:ascii="Times New Roman" w:hAnsi="Times New Roman"/>
                <w:sz w:val="24"/>
              </w:rPr>
              <w:t>nio b punktas ir 475 straipsnio 2 dalies a punktas.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iš jų: netiesiogiai turimos kapitalo dalys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Šios eilutės 060 skiltyje nurodoma suma: Netiesiogiai turimų kapitalo d</w:t>
            </w:r>
            <w:r>
              <w:rPr>
                <w:rStyle w:val="InstructionsTabelleText"/>
                <w:rFonts w:ascii="Times New Roman" w:hAnsi="Times New Roman"/>
                <w:sz w:val="24"/>
              </w:rPr>
              <w:t>a</w:t>
            </w:r>
            <w:r>
              <w:rPr>
                <w:rStyle w:val="InstructionsTabelleText"/>
                <w:rFonts w:ascii="Times New Roman" w:hAnsi="Times New Roman"/>
                <w:sz w:val="24"/>
              </w:rPr>
              <w:t>lių, įskaitant priemones, kurias įstaiga galėtų būti įpareigota pirkti pagal esamą arba neapibrėžtąjį sutartinį įsipareigojimą, bendra suma; KRR 474 straipsnio b punktas, 475 straipsnio 2 dalies b punktas.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tab/>
            </w:r>
            <w:r>
              <w:rPr>
                <w:rStyle w:val="InstructionsTabelleberschrift"/>
                <w:rFonts w:ascii="Times New Roman" w:hAnsi="Times New Roman"/>
                <w:sz w:val="24"/>
              </w:rPr>
              <w:t>Nuosavos T2 priemonės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66 straipsnio a punktas, 476 straipsnis, 477 straipsnio 2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Nustatydamos, kokią turimų kapitalo dalių sumą atskaityti, įstaigos turi a</w:t>
            </w:r>
            <w:r>
              <w:rPr>
                <w:rStyle w:val="InstructionsTabelleText"/>
                <w:rFonts w:ascii="Times New Roman" w:hAnsi="Times New Roman"/>
                <w:sz w:val="24"/>
              </w:rPr>
              <w:t>t</w:t>
            </w:r>
            <w:r>
              <w:rPr>
                <w:rStyle w:val="InstructionsTabelleText"/>
                <w:rFonts w:ascii="Times New Roman" w:hAnsi="Times New Roman"/>
                <w:sz w:val="24"/>
              </w:rPr>
              <w:t>sižvelgti į KRR 67 straipsnio nuostatas.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Kadangi „likutinės sumos“ vertinamos skirtingai atsižvelgiant į priemonės pobūdį (KRR 477 straipsnio 2 dalis), įstaigos pirmiau minėtas turimas k</w:t>
            </w:r>
            <w:r>
              <w:rPr>
                <w:rStyle w:val="InstructionsTabelleText"/>
                <w:rFonts w:ascii="Times New Roman" w:hAnsi="Times New Roman"/>
                <w:sz w:val="24"/>
              </w:rPr>
              <w:t>a</w:t>
            </w:r>
            <w:r>
              <w:rPr>
                <w:rStyle w:val="InstructionsTabelleText"/>
                <w:rFonts w:ascii="Times New Roman" w:hAnsi="Times New Roman"/>
                <w:sz w:val="24"/>
              </w:rPr>
              <w:lastRenderedPageBreak/>
              <w:t>pitalo dalis suskirsto į „tiesiogiai“ ir „netiesiogiai“ turimas nuosavas 2 l</w:t>
            </w:r>
            <w:r>
              <w:rPr>
                <w:rStyle w:val="InstructionsTabelleText"/>
                <w:rFonts w:ascii="Times New Roman" w:hAnsi="Times New Roman"/>
                <w:sz w:val="24"/>
              </w:rPr>
              <w:t>y</w:t>
            </w:r>
            <w:r>
              <w:rPr>
                <w:rStyle w:val="InstructionsTabelleText"/>
                <w:rFonts w:ascii="Times New Roman" w:hAnsi="Times New Roman"/>
                <w:sz w:val="24"/>
              </w:rPr>
              <w:t>gio kapitalo dalis.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66 straipsnio a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tiesiogiai turimos kapitalo dalys</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Šios eilutės 060 skiltyje nurodoma suma: tiesiogiai turimų kapitalo dalių, įskaitant priemones, kurias įstaiga galėtų būti įpareigota pirkti pagal esamą arba neapibrėžtąjį sutartinį įsipareigojimą, bendra suma; KRR 476 straip</w:t>
            </w:r>
            <w:r>
              <w:rPr>
                <w:rStyle w:val="InstructionsTabelleText"/>
                <w:rFonts w:ascii="Times New Roman" w:hAnsi="Times New Roman"/>
                <w:sz w:val="24"/>
              </w:rPr>
              <w:t>s</w:t>
            </w:r>
            <w:r>
              <w:rPr>
                <w:rStyle w:val="InstructionsTabelleText"/>
                <w:rFonts w:ascii="Times New Roman" w:hAnsi="Times New Roman"/>
                <w:sz w:val="24"/>
              </w:rPr>
              <w:t>nio b punktas ir 477 straipsnio 2 dalies a punktas.</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netiesiogiai turimos kapitalo dalys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Šios eilutės 060 skiltyje nurodoma suma: netiesiogiai turimų kapitalo dalių, įskaitant priemones, kurias įstaiga galėtų būti įpareigota pirkti pagal esamą arba neapibrėžtąjį sutartinį įsipareigojimą, bendra suma; KRR 476 straip</w:t>
            </w:r>
            <w:r>
              <w:rPr>
                <w:rStyle w:val="InstructionsTabelleText"/>
                <w:rFonts w:ascii="Times New Roman" w:hAnsi="Times New Roman"/>
                <w:sz w:val="24"/>
              </w:rPr>
              <w:t>s</w:t>
            </w:r>
            <w:r>
              <w:rPr>
                <w:rStyle w:val="InstructionsTabelleText"/>
                <w:rFonts w:ascii="Times New Roman" w:hAnsi="Times New Roman"/>
                <w:sz w:val="24"/>
              </w:rPr>
              <w:t>nio b punktas ir 477 straipsnio 2 dalies b punktas.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tab/>
            </w:r>
            <w:r>
              <w:rPr>
                <w:rStyle w:val="InstructionsTabelleberschrift"/>
                <w:rFonts w:ascii="Times New Roman" w:hAnsi="Times New Roman"/>
                <w:sz w:val="24"/>
              </w:rPr>
              <w:t>Abipusė kryžminė kapitalo dalių nuosavybė</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„Likutinės sumos“ vertinamos skirtingai pagal tai, ar turimos finansų se</w:t>
            </w:r>
            <w:r>
              <w:rPr>
                <w:rStyle w:val="InstructionsTabelleText"/>
                <w:rFonts w:ascii="Times New Roman" w:hAnsi="Times New Roman"/>
                <w:sz w:val="24"/>
              </w:rPr>
              <w:t>k</w:t>
            </w:r>
            <w:r>
              <w:rPr>
                <w:rStyle w:val="InstructionsTabelleText"/>
                <w:rFonts w:ascii="Times New Roman" w:hAnsi="Times New Roman"/>
                <w:sz w:val="24"/>
              </w:rPr>
              <w:t>toriaus subjekto bendro 1 lygio nuosavo kapitalo,</w:t>
            </w:r>
            <w:r>
              <w:t xml:space="preserve"> </w:t>
            </w:r>
            <w:r>
              <w:rPr>
                <w:rStyle w:val="InstructionsTabelleText"/>
                <w:rFonts w:ascii="Times New Roman" w:hAnsi="Times New Roman"/>
                <w:sz w:val="24"/>
              </w:rPr>
              <w:t>papildomo 1 lygio kap</w:t>
            </w:r>
            <w:r>
              <w:rPr>
                <w:rStyle w:val="InstructionsTabelleText"/>
                <w:rFonts w:ascii="Times New Roman" w:hAnsi="Times New Roman"/>
                <w:sz w:val="24"/>
              </w:rPr>
              <w:t>i</w:t>
            </w:r>
            <w:r>
              <w:rPr>
                <w:rStyle w:val="InstructionsTabelleText"/>
                <w:rFonts w:ascii="Times New Roman" w:hAnsi="Times New Roman"/>
                <w:sz w:val="24"/>
              </w:rPr>
              <w:t>talo arba 2 lygio kapitalo dalys laikytinos reikšmingomis, ar ne (KRR 472 straipsnio 9 dalis, 475 straipsnio 3 dalis ir 477 straipsnio 3 dalis), todėl įstaigos abipusę kryžminę kapitalo dalių nuosavybę suskirsto į reikšmingas ir nereikšmingas investicijas.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tab/>
            </w:r>
            <w:r>
              <w:rPr>
                <w:rStyle w:val="InstructionsTabelleberschrift"/>
                <w:rFonts w:ascii="Times New Roman" w:hAnsi="Times New Roman"/>
                <w:sz w:val="24"/>
              </w:rPr>
              <w:t>Abipusė kryžminė CET1 kapitalo dalių nuosavybė</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36 straipsnio 1 dalies g punktas, 469 straipsnio 1 dalis, 472 straipsnio 9 dalis ir 478 straipsnis.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Šios eilutės 060 skiltyje nurodoma suma: pradinio atskaitymo pagal KRR 36 straipsnio 1 dalies g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tab/>
            </w:r>
            <w:r>
              <w:rPr>
                <w:rStyle w:val="InstructionsTabelleberschrift"/>
                <w:rFonts w:ascii="Times New Roman" w:hAnsi="Times New Roman"/>
                <w:sz w:val="24"/>
              </w:rPr>
              <w:t>Abipusė kryžminė finansų sektoriaus subjektų, kuriuose įstaiga neturi reikšmingų investicijų, CET1 kapitalo dalių nuosavybė</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36 straipsnio 1 dalies g punktas, 469 straipsnio 1 dalis, 472 straipsnio 9 dalies a punktas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likutinė suma pagal KRR 469 straipsnio 1 dalies b punktą.</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tab/>
            </w:r>
            <w:r>
              <w:rPr>
                <w:rStyle w:val="InstructionsTabelleberschrift"/>
                <w:rFonts w:ascii="Times New Roman" w:hAnsi="Times New Roman"/>
                <w:sz w:val="24"/>
              </w:rPr>
              <w:t>Abipusė kryžminė finansų sektoriaus subjektų, kuriuose įstaiga turi reikšmingų investicijų, CET1 kapitalo dalių nuosavybė</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36 straipsnio 1 dalies g punktas, 469 straipsnio 1 dalis, 472 straipsnio 9 dalies b punktas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likutinė suma pagal KRR 469 straipsnio 1 dalies b punktą.</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tab/>
            </w:r>
            <w:r>
              <w:rPr>
                <w:rStyle w:val="InstructionsTabelleberschrift"/>
                <w:rFonts w:ascii="Times New Roman" w:hAnsi="Times New Roman"/>
                <w:sz w:val="24"/>
              </w:rPr>
              <w:t>Abipusė kryžminė AT1 kapitalo dalių nuosavybė</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56 straipsnio b punktas, 474 straipsnis, 475 straipsnio 3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Šios eilutės 060 skiltyje nurodoma suma: pradinio atskaitymo pagal KRR </w:t>
            </w:r>
            <w:r>
              <w:rPr>
                <w:rStyle w:val="InstructionsTabelleText"/>
                <w:rFonts w:ascii="Times New Roman" w:hAnsi="Times New Roman"/>
                <w:sz w:val="24"/>
              </w:rPr>
              <w:lastRenderedPageBreak/>
              <w:t>56 straipsnio b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tab/>
            </w:r>
            <w:r>
              <w:rPr>
                <w:rStyle w:val="InstructionsTabelleberschrift"/>
                <w:rFonts w:ascii="Times New Roman" w:hAnsi="Times New Roman"/>
                <w:sz w:val="24"/>
              </w:rPr>
              <w:t>Abipusė kryžminė finansų sektoriaus subjektų, kuriuose įstaiga neturi reikšmingų investicijų, AT1 kapitalo dalių nuosavybė</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56 straipsnio b punktas, 474 straipsnis, 475 straipsnio 3 dalies a punktas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likutinė suma pagal KRR 475 straipsnio 3 dalį.</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tab/>
            </w:r>
            <w:r>
              <w:rPr>
                <w:rStyle w:val="InstructionsTabelleberschrift"/>
                <w:rFonts w:ascii="Times New Roman" w:hAnsi="Times New Roman"/>
                <w:sz w:val="24"/>
              </w:rPr>
              <w:t>Abipusė kryžminė finansų sektoriaus subjektų, kuriuose įstaiga turi reikšmingų investicijų, AT1 kapitalo dalių nuosavybė</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56 straipsnio b punktas, 474 straipsnis, 475 straipsnio 3 dalies b punktas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likutinė suma pagal KRR 475 straipsnio 3 dalį.</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tab/>
            </w:r>
            <w:r>
              <w:rPr>
                <w:rStyle w:val="InstructionsTabelleberschrift"/>
                <w:rFonts w:ascii="Times New Roman" w:hAnsi="Times New Roman"/>
                <w:sz w:val="24"/>
              </w:rPr>
              <w:t>Abipusė kryžminė T2 kapitalo dalių nuosavybė</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66 straipsnio b punktas, 476 straipsnis, 477 straipsnio 3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w:t>
            </w:r>
            <w:r>
              <w:t xml:space="preserve"> </w:t>
            </w:r>
            <w:r>
              <w:rPr>
                <w:rStyle w:val="InstructionsTabelleText"/>
                <w:rFonts w:ascii="Times New Roman" w:hAnsi="Times New Roman"/>
                <w:sz w:val="24"/>
              </w:rPr>
              <w:t>pradinio atskaitymo pagal KRR 66 straipsnio b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tab/>
            </w:r>
            <w:r>
              <w:rPr>
                <w:rStyle w:val="InstructionsTabelleberschrift"/>
                <w:rFonts w:ascii="Times New Roman" w:hAnsi="Times New Roman"/>
                <w:sz w:val="24"/>
              </w:rPr>
              <w:t>Abipusė kryžminė finansų sektoriaus subjektų, kuriuose įstaiga neturi reikšmingų investicijų, T2 kapitalo dalių nuosavybė</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66 straipsnio b punktas, 476 straipsnis, 477 straipsnio 3 dalies a punktas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likutinė suma pagal KRR 477 straipsnio 3 dalį.</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tab/>
            </w:r>
            <w:r>
              <w:rPr>
                <w:rStyle w:val="InstructionsTabelleberschrift"/>
                <w:rFonts w:ascii="Times New Roman" w:hAnsi="Times New Roman"/>
                <w:sz w:val="24"/>
              </w:rPr>
              <w:t>Abipusė kryžminė finansų sektoriaus subjektų, kuriuose įstaiga turi reikšmingų investicijų, T2 kapitalo dalių nuosavybė</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66 straipsnio b punktas, 476 straipsnis, 477 straipsnio 3 dalies b punktas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likutinė suma pagal KRR 477 straipsnio 3 dalį.</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tab/>
            </w:r>
            <w:r>
              <w:rPr>
                <w:rStyle w:val="InstructionsTabelleberschrift"/>
                <w:rFonts w:ascii="Times New Roman" w:hAnsi="Times New Roman"/>
                <w:sz w:val="24"/>
              </w:rPr>
              <w:t>Finansų sektoriaus subjektų, kuriuose įstaiga neturi reikšmingų investicijų, nuosavų lėšų priemonės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tab/>
            </w:r>
            <w:r>
              <w:rPr>
                <w:rStyle w:val="InstructionsTabelleberschrift"/>
                <w:rFonts w:ascii="Times New Roman" w:hAnsi="Times New Roman"/>
                <w:sz w:val="24"/>
              </w:rPr>
              <w:t>Finansų sektoriaus subjektų, kuriuose įstaiga neturi reikšmingų investicijų, CET1 priemonės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36 straipsnio 1 dalies h punktas, 469 straipsnio 1 dalis, 472 straipsnio 10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36 straipsnio 1 dalies h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tab/>
            </w:r>
            <w:r>
              <w:rPr>
                <w:rStyle w:val="InstructionsTabelleberschrift"/>
                <w:rFonts w:ascii="Times New Roman" w:hAnsi="Times New Roman"/>
                <w:sz w:val="24"/>
              </w:rPr>
              <w:t>Finansų sektoriaus subjektų, kuriuose įstaiga neturi reikšmingų investicijų, AT1 priemonės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KRR 56 straipsnio c punktas, 474 straipsnis, 475 straipsnio 4 dalis ir 478 </w:t>
            </w:r>
            <w:r>
              <w:rPr>
                <w:rStyle w:val="InstructionsTabelleText"/>
                <w:rFonts w:ascii="Times New Roman" w:hAnsi="Times New Roman"/>
                <w:sz w:val="24"/>
              </w:rPr>
              <w:lastRenderedPageBreak/>
              <w:t>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56 straipsnio c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tab/>
            </w:r>
            <w:r>
              <w:rPr>
                <w:rStyle w:val="InstructionsTabelleberschrift"/>
                <w:rFonts w:ascii="Times New Roman" w:hAnsi="Times New Roman"/>
                <w:sz w:val="24"/>
              </w:rPr>
              <w:t>Finansų sektoriaus subjektų, kuriuose įstaiga neturi reikšmingų investicijų, T2 priemonės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66 straipsnio c punktas, 476 straipsnis, 477 straipsnio 4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66 straipsnio c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Atidėtųjų mokesčių turtas, kuris priklauso nuo būsimo pelni</w:t>
            </w:r>
            <w:r>
              <w:rPr>
                <w:rStyle w:val="InstructionsTabelleberschrift"/>
                <w:rFonts w:ascii="Times New Roman" w:hAnsi="Times New Roman"/>
                <w:sz w:val="24"/>
              </w:rPr>
              <w:t>n</w:t>
            </w:r>
            <w:r>
              <w:rPr>
                <w:rStyle w:val="InstructionsTabelleberschrift"/>
                <w:rFonts w:ascii="Times New Roman" w:hAnsi="Times New Roman"/>
                <w:sz w:val="24"/>
              </w:rPr>
              <w:t>gumo ir susidaro dėl laikinųjų skirtumų, ir finansų sektoriaus subje</w:t>
            </w:r>
            <w:r>
              <w:rPr>
                <w:rStyle w:val="InstructionsTabelleberschrift"/>
                <w:rFonts w:ascii="Times New Roman" w:hAnsi="Times New Roman"/>
                <w:sz w:val="24"/>
              </w:rPr>
              <w:t>k</w:t>
            </w:r>
            <w:r>
              <w:rPr>
                <w:rStyle w:val="InstructionsTabelleberschrift"/>
                <w:rFonts w:ascii="Times New Roman" w:hAnsi="Times New Roman"/>
                <w:sz w:val="24"/>
              </w:rPr>
              <w:t>tų, kuriuose įstaiga turi reikšmingų investicijų, CET1 priemonės</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470 straipsnio 2 ir 3 dalys.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KRR 470 straipsnio 1 dalis.</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Atidėtųjų mokesčių turtas, kuris priklauso nuo būsimo pelningumo ir susidaro dėl laikinųjų skirtumų</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KRR 469 straipsnio 1 dalies c punktas, 478 straipsnis ir 472 straipsnio 5 dalis.</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Atidėtųjų mokesčių turto, kuris priklauso nuo būsimo pelningumo ir sus</w:t>
            </w:r>
            <w:r>
              <w:rPr>
                <w:rStyle w:val="InstructionsTabelleText"/>
                <w:rFonts w:ascii="Times New Roman" w:hAnsi="Times New Roman"/>
                <w:sz w:val="24"/>
              </w:rPr>
              <w:t>i</w:t>
            </w:r>
            <w:r>
              <w:rPr>
                <w:rStyle w:val="InstructionsTabelleText"/>
                <w:rFonts w:ascii="Times New Roman" w:hAnsi="Times New Roman"/>
                <w:sz w:val="24"/>
              </w:rPr>
              <w:t>daro dėl laikinųjų skirtumų, dalis, viršijanti 10 % ribą, nustatytą KRR 470 straipsnio 2 dalies a punkte.</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tab/>
            </w:r>
            <w:r>
              <w:rPr>
                <w:rStyle w:val="InstructionsTabelleberschrift"/>
                <w:rFonts w:ascii="Times New Roman" w:hAnsi="Times New Roman"/>
                <w:sz w:val="24"/>
              </w:rPr>
              <w:t>Finansų sektoriaus subjektų, kuriuose įstaiga turi reikšmingų investicijų, nuosavų lėšų priemonės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tab/>
            </w:r>
            <w:r>
              <w:rPr>
                <w:rStyle w:val="InstructionsTabelleberschrift"/>
                <w:rFonts w:ascii="Times New Roman" w:hAnsi="Times New Roman"/>
                <w:sz w:val="24"/>
              </w:rPr>
              <w:t>Finansų sektoriaus subjektų, kuriuose įstaiga turi reikšmingų investicijų, CET1 priemonės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36 straipsnio 1 dalies i punktas, 469 straipsnio 1 dalis, 472 straipsnio 11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36 straipsnio 1 dalies i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Finansų sektoriaus subjektų, kuriuose įstaiga turi reikšmingų investicijų, AT1 priemonės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56 straipsnio d punktas, 474 straipsnis, 475 straipsnio 4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56 straipsnio d punktą suma.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Finansų sektoriaus subjektų, kuriuose įstaiga turi reikšmingų investicijų, T2 priemonės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66 straipsnio d punktas, 476 straipsnis, 477 straipsnio 4 dalis ir 478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Šios eilutės 060 skiltyje nurodoma suma: pradinio atskaitymo pagal KRR 66 straipsnio d punktą suma.</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Draudimo bendrovėse turimų nuosavo kapitalo dalių a</w:t>
            </w:r>
            <w:r>
              <w:rPr>
                <w:rStyle w:val="InstructionsTabelleberschrift"/>
                <w:rFonts w:ascii="Times New Roman" w:hAnsi="Times New Roman"/>
                <w:sz w:val="24"/>
              </w:rPr>
              <w:t>t</w:t>
            </w:r>
            <w:r>
              <w:rPr>
                <w:rStyle w:val="InstructionsTabelleberschrift"/>
                <w:rFonts w:ascii="Times New Roman" w:hAnsi="Times New Roman"/>
                <w:sz w:val="24"/>
              </w:rPr>
              <w:t>skaitymo iš CET 1 straipsnių išimtis</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471 straipsnis.</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Papildomi filtrai ir atskaitymai</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KRR 481 straipsnis.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Šioje eilutėje parodomas bendras pereinamojo laikotarpio nuostatų pove</w:t>
            </w:r>
            <w:r>
              <w:rPr>
                <w:rStyle w:val="InstructionsTabelleText"/>
                <w:rFonts w:ascii="Times New Roman" w:hAnsi="Times New Roman"/>
                <w:sz w:val="24"/>
              </w:rPr>
              <w:t>i</w:t>
            </w:r>
            <w:r>
              <w:rPr>
                <w:rStyle w:val="InstructionsTabelleText"/>
                <w:rFonts w:ascii="Times New Roman" w:hAnsi="Times New Roman"/>
                <w:sz w:val="24"/>
              </w:rPr>
              <w:t>kis papildomiems filtrams ir atskaitymams.</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Pagal KRR 481 straipsnį įstaigos 1.3.3 punkte turi pateikti informaciją apie filtrus ir atskaitymus, būtinus pagal Direktyvos 2006/48/EB 57 ir 66 straipsnių ir Direktyvos 2006/49/EB 13 ir 16 straipsnių perkėlimo į naci</w:t>
            </w:r>
            <w:r>
              <w:rPr>
                <w:rStyle w:val="InstructionsTabelleText"/>
                <w:rFonts w:ascii="Times New Roman" w:hAnsi="Times New Roman"/>
                <w:sz w:val="24"/>
              </w:rPr>
              <w:t>o</w:t>
            </w:r>
            <w:r>
              <w:rPr>
                <w:rStyle w:val="InstructionsTabelleText"/>
                <w:rFonts w:ascii="Times New Roman" w:hAnsi="Times New Roman"/>
                <w:sz w:val="24"/>
              </w:rPr>
              <w:t xml:space="preserve">nalinę teisę priemones, bet neprivalomus pagal antrą dalį.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Koregavimai dėl 9-ojo TFAS pereinamojo laikotarpio priem</w:t>
            </w:r>
            <w:r>
              <w:rPr>
                <w:rStyle w:val="InstructionsTabelleberschrift"/>
                <w:rFonts w:ascii="Times New Roman" w:hAnsi="Times New Roman"/>
                <w:sz w:val="24"/>
              </w:rPr>
              <w:t>o</w:t>
            </w:r>
            <w:r>
              <w:rPr>
                <w:rStyle w:val="InstructionsTabelleberschrift"/>
                <w:rFonts w:ascii="Times New Roman" w:hAnsi="Times New Roman"/>
                <w:sz w:val="24"/>
              </w:rPr>
              <w:t>nių</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pateikia informaciją, susijusią su 9-ojo TFAS pereinamojo laik</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tarpio priemonėmis, pagal taikytinas teisės nuostatas.</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6" w:name="_Toc361666252"/>
      <w:bookmarkStart w:id="107" w:name="_Toc308175839"/>
      <w:bookmarkStart w:id="108" w:name="_Toc516210620"/>
      <w:bookmarkStart w:id="109" w:name="_Toc473560885"/>
      <w:bookmarkStart w:id="110" w:name="_Toc360188337"/>
      <w:bookmarkStart w:id="111" w:name="_Toc524010028"/>
      <w:bookmarkEnd w:id="106"/>
      <w:r>
        <w:rPr>
          <w:rFonts w:ascii="Times New Roman" w:hAnsi="Times New Roman"/>
          <w:sz w:val="24"/>
          <w:u w:val="none"/>
        </w:rPr>
        <w:t>1.6.3.</w:t>
      </w:r>
      <w:r>
        <w:tab/>
      </w:r>
      <w:r>
        <w:rPr>
          <w:rFonts w:ascii="Times New Roman" w:hAnsi="Times New Roman"/>
          <w:sz w:val="24"/>
        </w:rPr>
        <w:t>C 05.02. PRIEMONĖS, KURIOMS TAIKOMAS TĘSTINUMO PRINCIPAS, K</w:t>
      </w:r>
      <w:r>
        <w:rPr>
          <w:rFonts w:ascii="Times New Roman" w:hAnsi="Times New Roman"/>
          <w:sz w:val="24"/>
        </w:rPr>
        <w:t>U</w:t>
      </w:r>
      <w:r>
        <w:rPr>
          <w:rFonts w:ascii="Times New Roman" w:hAnsi="Times New Roman"/>
          <w:sz w:val="24"/>
        </w:rPr>
        <w:t>RIOS NĖRA VALSTYBĖS PAGALBA (CA5.2)</w:t>
      </w:r>
      <w:bookmarkEnd w:id="107"/>
      <w:bookmarkEnd w:id="108"/>
      <w:bookmarkEnd w:id="109"/>
      <w:bookmarkEnd w:id="111"/>
      <w:r>
        <w:rPr>
          <w:rFonts w:ascii="Times New Roman" w:hAnsi="Times New Roman"/>
          <w:sz w:val="24"/>
        </w:rPr>
        <w:t xml:space="preserve"> </w:t>
      </w:r>
      <w:bookmarkEnd w:id="110"/>
    </w:p>
    <w:p w:rsidR="00783881" w:rsidRPr="00392FFD" w:rsidRDefault="00125707" w:rsidP="00C37B29">
      <w:pPr>
        <w:pStyle w:val="InstructionsText2"/>
        <w:numPr>
          <w:ilvl w:val="0"/>
          <w:numId w:val="0"/>
        </w:numPr>
        <w:ind w:left="993"/>
      </w:pPr>
      <w:r>
        <w:t>25.</w:t>
      </w:r>
      <w:r>
        <w:tab/>
        <w:t>Įstaigos pateikia informaciją apie pereinamojo laikotarpio nuostatų taikymą priemonėms, kurioms taikomas tęstinumo principas, kurios nėra valstybės pagalba (KRR 484–491 straipsniai).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2" w:name="_Toc360188338"/>
      <w:bookmarkStart w:id="113" w:name="_Toc516210621"/>
      <w:bookmarkStart w:id="114" w:name="_Toc473560886"/>
      <w:bookmarkStart w:id="115" w:name="_Toc524010029"/>
      <w:r>
        <w:rPr>
          <w:rFonts w:ascii="Times New Roman" w:hAnsi="Times New Roman"/>
          <w:sz w:val="24"/>
          <w:u w:val="none"/>
        </w:rPr>
        <w:t>1.6.3.1.</w:t>
      </w:r>
      <w:r>
        <w:tab/>
      </w:r>
      <w:r>
        <w:rPr>
          <w:rFonts w:ascii="Times New Roman" w:hAnsi="Times New Roman"/>
          <w:sz w:val="24"/>
        </w:rPr>
        <w:t>Nurodymai dėl konkrečių pozicijų</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Skiltys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Priemonių suma ir susiję akcijų priedai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KRR 484 straipsnio 3 ir 5 dalys.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Priemonės, kurias pagal nustatytus kriterijus reikia įrašyti kiekvienoje eil</w:t>
            </w:r>
            <w:r>
              <w:rPr>
                <w:rStyle w:val="InstructionsTabelleText"/>
                <w:rFonts w:ascii="Times New Roman" w:hAnsi="Times New Roman"/>
                <w:sz w:val="24"/>
              </w:rPr>
              <w:t>u</w:t>
            </w:r>
            <w:r>
              <w:rPr>
                <w:rStyle w:val="InstructionsTabelleText"/>
                <w:rFonts w:ascii="Times New Roman" w:hAnsi="Times New Roman"/>
                <w:sz w:val="24"/>
              </w:rPr>
              <w:t>tėje, įskaitant su jomis susijusius akcijų priedus.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Apribojimo apskaičiavimo pagrindas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KRR 486 straipsnio 2–4 dalys.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Taikoma procentinė dalis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KRR 486 straipsnio 5 dalis.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Apribojimas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KRR 486 straipsnio 2 ir 5 dalys.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Suma, kuri viršija tęstinumo ribą</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KRR 486 straipsnio 2 ir 5 dalys.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Bendra priemonių, kurioms taikomas tęstinumo principas, suma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Nurodoma suma yra lygi atitinkamose CA5.1 formos 060 eilutės skiltyse nurodytoms sumoms.</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Eilutės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Priemonės, kurioms buvo galima taikyti Direktyvos 2006/48/EB 57 straipsnio a punktą</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KRR 484 straipsnio 3 dalis.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Priemonės, kurioms buvo galima taikyti Direktyvos 2006/48/EB 57 straipsnio ca punktą ir 154 straipsnio 8 ir 9 dalis ir kurioms nust</w:t>
            </w:r>
            <w:r>
              <w:rPr>
                <w:rStyle w:val="InstructionsTabelleberschrift"/>
                <w:rFonts w:ascii="Times New Roman" w:hAnsi="Times New Roman"/>
                <w:sz w:val="24"/>
              </w:rPr>
              <w:t>a</w:t>
            </w:r>
            <w:r>
              <w:rPr>
                <w:rStyle w:val="InstructionsTabelleberschrift"/>
                <w:rFonts w:ascii="Times New Roman" w:hAnsi="Times New Roman"/>
                <w:sz w:val="24"/>
              </w:rPr>
              <w:t>tytas 489 straipsnyje nurodytas apribojimas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KRR 484 straipsnio 4 dalis.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Bendra priemonių, kurių negali būti pareikalauta arba kurių neskatinama išpirkti, suma</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KRR 484 straipsnio 4 dalis ir 489 straipsnis.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Priemonės, kurioms taikomas tęstinumo principas, kurių gali būti pareikalauta ir kurias gali būti skatinama išpirkti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KRR 489 straipsnis.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Priemonės, kurių gali būti pareikalauta po ataskaitinės datos ir kurios pasibaigus efektyviajam terminui atitinka KRR 52 straipsnyje nustatytas sąlygas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489 straipsnio 3 dalis ir 491 straipsnio a punktas.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Priemonės, kurių gali būti pareikalauta po ataskaitinės datos ir kurios pasibaigus efektyviajam terminui neatitinka KRR 52 straipsn</w:t>
            </w:r>
            <w:r>
              <w:rPr>
                <w:rStyle w:val="InstructionsTabelleberschrift"/>
                <w:rFonts w:ascii="Times New Roman" w:hAnsi="Times New Roman"/>
                <w:sz w:val="24"/>
              </w:rPr>
              <w:t>y</w:t>
            </w:r>
            <w:r>
              <w:rPr>
                <w:rStyle w:val="InstructionsTabelleberschrift"/>
                <w:rFonts w:ascii="Times New Roman" w:hAnsi="Times New Roman"/>
                <w:sz w:val="24"/>
              </w:rPr>
              <w:t>je nustatytų sąlygų</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KRR 489 straipsnio 5 dalis ir 491 straipsnio a punktas.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Priemonės, kurių galėjo būti pareikalauta iki 2011 m. liepos 20 d. imtinai ir kurios pasibaigus efektyviajam terminui neatitinka KRR 52 straipsnyje nustatytų sąlygų</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KRR 489 straipsnio 6 dalis ir 491 straipsnio c punktas.</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CET1 priemonėms, kurioms taikomas tęstinumo principas, n</w:t>
            </w:r>
            <w:r>
              <w:rPr>
                <w:rStyle w:val="InstructionsTabelleberschrift"/>
                <w:rFonts w:ascii="Times New Roman" w:hAnsi="Times New Roman"/>
                <w:sz w:val="24"/>
              </w:rPr>
              <w:t>u</w:t>
            </w:r>
            <w:r>
              <w:rPr>
                <w:rStyle w:val="InstructionsTabelleberschrift"/>
                <w:rFonts w:ascii="Times New Roman" w:hAnsi="Times New Roman"/>
                <w:sz w:val="24"/>
              </w:rPr>
              <w:t>statyto apribojimo perviršis</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487 straipsnio 1 dalis.</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CET1 priemonėms, kurioms taikomas tęstinumo principas, nustatytą ribą viršijančios priemonės gali būti priskiriamos prie priemonių, kurios gali t</w:t>
            </w:r>
            <w:r>
              <w:rPr>
                <w:rStyle w:val="InstructionsTabelleText"/>
                <w:rFonts w:ascii="Times New Roman" w:hAnsi="Times New Roman"/>
                <w:sz w:val="24"/>
              </w:rPr>
              <w:t>o</w:t>
            </w:r>
            <w:r>
              <w:rPr>
                <w:rStyle w:val="InstructionsTabelleText"/>
                <w:rFonts w:ascii="Times New Roman" w:hAnsi="Times New Roman"/>
                <w:sz w:val="24"/>
              </w:rPr>
              <w:t>liau galioti kaip AT1 priemonės.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Straipsniai, kuriems buvo galima taikyti Direktyvos 2006/48/EB 57 straipsnio e, f, g arba h punktą laikantis 490 straipsnyje nustatyto apribojimo</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KRR 484 straipsnio 5 dalis.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Bendra straipsnių, kuriems netaikoma paskata išpirkti, suma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490 straipsnis.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Straipsniai, kuriems taikomas tęstinumo principas ir kuriems taikoma paskata išpirkti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KRR 490 straipsnis.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Straipsniai, kurių gali būti pareikalauta po ataskaitinės datos ir kurie pasibaigus efektyviajam terminui atitinka KRR 63 straipsnyje nustatytas sąlygas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KRR 490 straipsnio 3 dalis ir 491 straipsnio a punktas.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Straipsniai, kurių gali būti pareikalauta po ataskaitinės datos ir kurie pasibaigus efektyviajam terminui neatitinka KRR 63 straipsnyje nustatytų sąlygų</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KRR 490 straipsnio 5 dalis ir 491 straipsnio a punktas.</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Straipsniai, kurių galėjo būti pareikalauta iki 2011 m. liepos 20 d. imtinai ir kurie pasibaigus efektyviajam terminui neatitinka KRR 63 straipsnyje nustatytų sąlygų</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KRR 490 straipsnio 6 dalis ir 491 straipsnio c punktas.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AT1 priemonėms, kurioms taikomas tęstinumo principas, n</w:t>
            </w:r>
            <w:r>
              <w:rPr>
                <w:rStyle w:val="InstructionsTabelleberschrift"/>
                <w:rFonts w:ascii="Times New Roman" w:hAnsi="Times New Roman"/>
                <w:sz w:val="24"/>
              </w:rPr>
              <w:t>u</w:t>
            </w:r>
            <w:r>
              <w:rPr>
                <w:rStyle w:val="InstructionsTabelleberschrift"/>
                <w:rFonts w:ascii="Times New Roman" w:hAnsi="Times New Roman"/>
                <w:sz w:val="24"/>
              </w:rPr>
              <w:t>statyto apribojimo perviršis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KRR 487 straipsnio 2 dalis.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AT1 priemonėms, kurioms taikomas tęstinumo principas, nustatytą aprib</w:t>
            </w:r>
            <w:r>
              <w:rPr>
                <w:rStyle w:val="InstructionsTabelleText"/>
                <w:rFonts w:ascii="Times New Roman" w:hAnsi="Times New Roman"/>
                <w:sz w:val="24"/>
              </w:rPr>
              <w:t>o</w:t>
            </w:r>
            <w:r>
              <w:rPr>
                <w:rStyle w:val="InstructionsTabelleText"/>
                <w:rFonts w:ascii="Times New Roman" w:hAnsi="Times New Roman"/>
                <w:sz w:val="24"/>
              </w:rPr>
              <w:t>jimą viršijančios priemonės gali būti priskiriamos prie priemonių, kurios gali toliau galioti kaip T2 priemonės.</w:t>
            </w:r>
          </w:p>
        </w:tc>
      </w:tr>
    </w:tbl>
    <w:p w:rsidR="00464F34" w:rsidRPr="00392FFD"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9" w:name="_Toc360188339"/>
      <w:bookmarkStart w:id="120" w:name="_Toc516210622"/>
      <w:bookmarkStart w:id="121" w:name="_Toc473560887"/>
      <w:bookmarkStart w:id="122" w:name="_Toc524010030"/>
      <w:bookmarkEnd w:id="116"/>
      <w:bookmarkEnd w:id="117"/>
      <w:bookmarkEnd w:id="118"/>
      <w:r>
        <w:rPr>
          <w:rFonts w:ascii="Times New Roman" w:hAnsi="Times New Roman"/>
          <w:sz w:val="24"/>
          <w:u w:val="none"/>
        </w:rPr>
        <w:t>2.</w:t>
      </w:r>
      <w:r>
        <w:tab/>
      </w:r>
      <w:r>
        <w:rPr>
          <w:rFonts w:ascii="Times New Roman" w:hAnsi="Times New Roman"/>
          <w:sz w:val="24"/>
        </w:rPr>
        <w:t>GRUPĖS MOKUMAS. INFORMACIJA APIE SUSIJUSIUS SUBJEKTUS (GS</w:t>
      </w:r>
      <w:bookmarkEnd w:id="119"/>
      <w:r>
        <w:rPr>
          <w:rFonts w:ascii="Times New Roman" w:hAnsi="Times New Roman"/>
          <w:sz w:val="24"/>
        </w:rPr>
        <w:t>)</w:t>
      </w:r>
      <w:bookmarkEnd w:id="120"/>
      <w:bookmarkEnd w:id="121"/>
      <w:bookmarkEnd w:id="122"/>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4010031"/>
      <w:r>
        <w:rPr>
          <w:rFonts w:ascii="Times New Roman" w:hAnsi="Times New Roman"/>
          <w:sz w:val="24"/>
          <w:u w:val="none"/>
        </w:rPr>
        <w:t>2.1.</w:t>
      </w:r>
      <w:r>
        <w:tab/>
      </w:r>
      <w:r>
        <w:rPr>
          <w:rFonts w:ascii="Times New Roman" w:hAnsi="Times New Roman"/>
          <w:sz w:val="24"/>
        </w:rPr>
        <w:t>Bendrosios pastabos</w:t>
      </w:r>
      <w:bookmarkEnd w:id="123"/>
      <w:bookmarkEnd w:id="124"/>
      <w:bookmarkEnd w:id="125"/>
      <w:bookmarkEnd w:id="126"/>
      <w:bookmarkEnd w:id="127"/>
      <w:bookmarkEnd w:id="128"/>
      <w:bookmarkEnd w:id="129"/>
      <w:bookmarkEnd w:id="130"/>
    </w:p>
    <w:p w:rsidR="00464F34" w:rsidRPr="00392FFD" w:rsidRDefault="00125707" w:rsidP="00C37B29">
      <w:pPr>
        <w:pStyle w:val="InstructionsText2"/>
        <w:numPr>
          <w:ilvl w:val="0"/>
          <w:numId w:val="0"/>
        </w:numPr>
        <w:ind w:left="993"/>
      </w:pPr>
      <w:r>
        <w:t>26.</w:t>
      </w:r>
      <w:r>
        <w:tab/>
        <w:t>C 06.01 ir C 06.02 formose informacija teikiama, jeigu nuosavų lėšų reikal</w:t>
      </w:r>
      <w:r>
        <w:t>a</w:t>
      </w:r>
      <w:r>
        <w:t>vimai apskaičiuojami konsoliduotai. Šią formą sudaro keturios dalys, kuriose pate</w:t>
      </w:r>
      <w:r>
        <w:t>i</w:t>
      </w:r>
      <w:r>
        <w:lastRenderedPageBreak/>
        <w:t>kiama skirtinga informacija apie visus atskirus subjektus (įskaitant informaciją te</w:t>
      </w:r>
      <w:r>
        <w:t>i</w:t>
      </w:r>
      <w:r>
        <w:t>kiančią įstaigą), kurie yra konsoliduojami:</w:t>
      </w:r>
    </w:p>
    <w:p w:rsidR="00C93697" w:rsidRPr="000F1CEA" w:rsidRDefault="00125707" w:rsidP="00C37B29">
      <w:pPr>
        <w:pStyle w:val="InstructionsText2"/>
        <w:numPr>
          <w:ilvl w:val="0"/>
          <w:numId w:val="0"/>
        </w:numPr>
        <w:ind w:left="993"/>
      </w:pPr>
      <w:r>
        <w:t>a)</w:t>
      </w:r>
      <w:r>
        <w:tab/>
        <w:t>konsoliduojami subjektai;</w:t>
      </w:r>
    </w:p>
    <w:p w:rsidR="00C93697" w:rsidRPr="000F1CEA" w:rsidRDefault="00125707" w:rsidP="00C37B29">
      <w:pPr>
        <w:pStyle w:val="InstructionsText2"/>
        <w:numPr>
          <w:ilvl w:val="0"/>
          <w:numId w:val="0"/>
        </w:numPr>
        <w:ind w:left="993"/>
      </w:pPr>
      <w:r>
        <w:t>b)</w:t>
      </w:r>
      <w:r>
        <w:tab/>
        <w:t>išsami informacija apie grupės mokumą;</w:t>
      </w:r>
    </w:p>
    <w:p w:rsidR="00C93697" w:rsidRPr="000F1CEA" w:rsidRDefault="00125707" w:rsidP="00C37B29">
      <w:pPr>
        <w:pStyle w:val="InstructionsText2"/>
        <w:numPr>
          <w:ilvl w:val="0"/>
          <w:numId w:val="0"/>
        </w:numPr>
        <w:ind w:left="993"/>
      </w:pPr>
      <w:r>
        <w:t>c)</w:t>
      </w:r>
      <w:r>
        <w:tab/>
        <w:t>informacija apie atskirų subjektų indėlį į grupės mokumą;</w:t>
      </w:r>
    </w:p>
    <w:p w:rsidR="00C93697" w:rsidRPr="000F1CEA" w:rsidRDefault="00125707" w:rsidP="00C37B29">
      <w:pPr>
        <w:pStyle w:val="InstructionsText2"/>
        <w:numPr>
          <w:ilvl w:val="0"/>
          <w:numId w:val="0"/>
        </w:numPr>
        <w:ind w:left="993"/>
      </w:pPr>
      <w:r>
        <w:t>d)</w:t>
      </w:r>
      <w:r>
        <w:tab/>
        <w:t>informacija apie kapitalo rezervus.</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Įstaigos, kurioms pagal KRR 7 straipsnį taikoma reikalavimų netaikymo nu</w:t>
      </w:r>
      <w:r>
        <w:t>o</w:t>
      </w:r>
      <w:r>
        <w:t>stata, užpildo tik 010–060 ir 250–400 skiltis.</w:t>
      </w:r>
    </w:p>
    <w:p w:rsidR="004C0508" w:rsidRPr="00392FFD" w:rsidRDefault="00125707" w:rsidP="00C37B29">
      <w:pPr>
        <w:pStyle w:val="InstructionsText2"/>
        <w:numPr>
          <w:ilvl w:val="0"/>
          <w:numId w:val="0"/>
        </w:numPr>
        <w:ind w:left="993"/>
      </w:pPr>
      <w:r>
        <w:t>28.</w:t>
      </w:r>
      <w:r>
        <w:tab/>
        <w:t>Nurodant vertes atsižvelgiama į visas atitinkamą ataskaitinę datą taikytinas KRR pereinamojo laikotarpio nuostatas.</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1" w:name="_Toc360188341"/>
      <w:bookmarkStart w:id="132" w:name="_Toc516210624"/>
      <w:bookmarkStart w:id="133" w:name="_Toc473560889"/>
      <w:bookmarkStart w:id="134" w:name="_Toc524010032"/>
      <w:r>
        <w:rPr>
          <w:rFonts w:ascii="Times New Roman" w:hAnsi="Times New Roman"/>
          <w:sz w:val="24"/>
          <w:u w:val="none"/>
        </w:rPr>
        <w:t>2.2.</w:t>
      </w:r>
      <w:r>
        <w:tab/>
      </w:r>
      <w:r>
        <w:rPr>
          <w:rFonts w:ascii="Times New Roman" w:hAnsi="Times New Roman"/>
          <w:sz w:val="24"/>
        </w:rPr>
        <w:t>Išsami informacija apie grupės mokumą</w:t>
      </w:r>
      <w:bookmarkEnd w:id="131"/>
      <w:bookmarkEnd w:id="132"/>
      <w:bookmarkEnd w:id="133"/>
      <w:bookmarkEnd w:id="134"/>
    </w:p>
    <w:p w:rsidR="00464F34" w:rsidRPr="00392FFD" w:rsidRDefault="00125707" w:rsidP="00C37B29">
      <w:pPr>
        <w:pStyle w:val="InstructionsText2"/>
        <w:numPr>
          <w:ilvl w:val="0"/>
          <w:numId w:val="0"/>
        </w:numPr>
        <w:ind w:left="993"/>
      </w:pPr>
      <w:r>
        <w:t>29.</w:t>
      </w:r>
      <w:r>
        <w:tab/>
        <w:t>Šios formos antros dalies (išsami informacija apie grupės mokumą) 070–210 skiltys yra skirtos informacijai apie kredito ir kitas reguliuojamąsias finansų įsta</w:t>
      </w:r>
      <w:r>
        <w:t>i</w:t>
      </w:r>
      <w:r>
        <w:t>gas, kurioms faktiškai atskirai yra taikomi konkretūs mokumo reikalavimai, patei</w:t>
      </w:r>
      <w:r>
        <w:t>k</w:t>
      </w:r>
      <w:r>
        <w:t>ti. Joje parodomi kiekvieno subjekto, kurio informacija teikiama, nuosavų lėšų re</w:t>
      </w:r>
      <w:r>
        <w:t>i</w:t>
      </w:r>
      <w:r>
        <w:t xml:space="preserve">kalavimai pagal kiekvieną rizikos kategoriją ir nuosavų lėšų reikalavimai mokumo tikslams pasiekti. </w:t>
      </w:r>
    </w:p>
    <w:p w:rsidR="00464F34" w:rsidRPr="00392FFD" w:rsidRDefault="00125707" w:rsidP="00C37B29">
      <w:pPr>
        <w:pStyle w:val="InstructionsText2"/>
        <w:numPr>
          <w:ilvl w:val="0"/>
          <w:numId w:val="0"/>
        </w:numPr>
        <w:ind w:left="993"/>
      </w:pPr>
      <w:r>
        <w:t>30.</w:t>
      </w:r>
      <w:r>
        <w:tab/>
        <w:t>Jeigu dalyvavimas konsoliduojamas proporcingai, su nuosavų lėšų reikalav</w:t>
      </w:r>
      <w:r>
        <w:t>i</w:t>
      </w:r>
      <w:r>
        <w:t>mais ir nuosavomis lėšomis susiję skaičiai parodo atitinkamas proporcingas sumas.</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5" w:name="_Toc360188342"/>
      <w:bookmarkStart w:id="136" w:name="_Toc516210625"/>
      <w:bookmarkStart w:id="137" w:name="_Toc473560890"/>
      <w:bookmarkStart w:id="138" w:name="_Toc524010033"/>
      <w:r>
        <w:rPr>
          <w:rFonts w:ascii="Times New Roman" w:hAnsi="Times New Roman"/>
          <w:sz w:val="24"/>
          <w:u w:val="none"/>
        </w:rPr>
        <w:t>2.3.</w:t>
      </w:r>
      <w:r>
        <w:tab/>
      </w:r>
      <w:r>
        <w:rPr>
          <w:rFonts w:ascii="Times New Roman" w:hAnsi="Times New Roman"/>
          <w:sz w:val="24"/>
        </w:rPr>
        <w:t>Informacija apie atskirų subjektų indėlį į grupės mokumą</w:t>
      </w:r>
      <w:bookmarkEnd w:id="135"/>
      <w:bookmarkEnd w:id="136"/>
      <w:bookmarkEnd w:id="137"/>
      <w:bookmarkEnd w:id="138"/>
    </w:p>
    <w:p w:rsidR="00464F34" w:rsidRPr="00392FFD" w:rsidRDefault="00125707" w:rsidP="00C37B29">
      <w:pPr>
        <w:pStyle w:val="InstructionsText2"/>
        <w:numPr>
          <w:ilvl w:val="0"/>
          <w:numId w:val="0"/>
        </w:numPr>
        <w:ind w:left="993"/>
      </w:pPr>
      <w:r>
        <w:t>31.</w:t>
      </w:r>
      <w:r>
        <w:tab/>
        <w:t>Šios formos trečios dalies (informacija apie visų subjektų, konsoliduojamų p</w:t>
      </w:r>
      <w:r>
        <w:t>a</w:t>
      </w:r>
      <w:r>
        <w:t>gal KRR, indėlį į grupės mokumą, įskaitant ir tuos subjektus, kuriems atskirai nėra taikomi konkretūs mokumo reikalavimai) 250–400 skiltys yra skirtos nurodyti, k</w:t>
      </w:r>
      <w:r>
        <w:t>u</w:t>
      </w:r>
      <w:r>
        <w:t>rie grupės subjektai kelia riziką ir pritraukia nuosavų lėšų iš rinkos, remiantis du</w:t>
      </w:r>
      <w:r>
        <w:t>o</w:t>
      </w:r>
      <w:r>
        <w:t>menimis, kuriuos galima lengvai gauti arba parengti taip, kad kapitalo pakankam</w:t>
      </w:r>
      <w:r>
        <w:t>u</w:t>
      </w:r>
      <w:r>
        <w:t>mo koeficiento nereikėtų perskaičiuoti pagal kiekvieną atskirą arba konsoliduojamą subjektą. Subjekto lygmeniu į grupės rezultatus įtraukiami ne individualūs mokumo koeficiento elementai, bet rizikos ir nuosavų lėšų skaičiai, todėl jie neturi būti ta</w:t>
      </w:r>
      <w:r>
        <w:t>r</w:t>
      </w:r>
      <w:r>
        <w:t xml:space="preserve">pusavyje lyginami. </w:t>
      </w:r>
    </w:p>
    <w:p w:rsidR="00464F34" w:rsidRPr="00392FFD" w:rsidRDefault="00125707" w:rsidP="00C37B29">
      <w:pPr>
        <w:pStyle w:val="InstructionsText2"/>
        <w:numPr>
          <w:ilvl w:val="0"/>
          <w:numId w:val="0"/>
        </w:numPr>
        <w:ind w:left="993"/>
      </w:pPr>
      <w:r>
        <w:t>32.</w:t>
      </w:r>
      <w:r>
        <w:tab/>
        <w:t>Trečioje dalyje taip pat nurodomos mažumos dalių, kvalifikuotojo papildomo 1 lygio (AT1) kapitalo ir kvalifikuotojo 2 lygio (T2) kapitalo, kurį galima įtraukti į konsoliduotas nuosavas lėšas, sumos.</w:t>
      </w:r>
    </w:p>
    <w:p w:rsidR="00464F34" w:rsidRPr="00392FFD" w:rsidRDefault="00125707" w:rsidP="00C37B29">
      <w:pPr>
        <w:pStyle w:val="InstructionsText2"/>
        <w:numPr>
          <w:ilvl w:val="0"/>
          <w:numId w:val="0"/>
        </w:numPr>
        <w:ind w:left="993"/>
      </w:pPr>
      <w:r>
        <w:t>33.</w:t>
      </w:r>
      <w:r>
        <w:tab/>
        <w:t>Kadangi šios formos trečioje dalyje nurodomi „indėliai“, joje nurodomos reikšmės tam tikrais atvejais skirsis nuo reikšmių, nurodomų skiltyse, kuriose p</w:t>
      </w:r>
      <w:r>
        <w:t>a</w:t>
      </w:r>
      <w:r>
        <w:t>teikiama išsami informacija apie grupės mokumą.</w:t>
      </w:r>
    </w:p>
    <w:p w:rsidR="00464F34" w:rsidRPr="00392FFD" w:rsidRDefault="00125707" w:rsidP="00C37B29">
      <w:pPr>
        <w:pStyle w:val="InstructionsText2"/>
        <w:numPr>
          <w:ilvl w:val="0"/>
          <w:numId w:val="0"/>
        </w:numPr>
        <w:ind w:left="993"/>
      </w:pPr>
      <w:r>
        <w:t>34.</w:t>
      </w:r>
      <w:r>
        <w:tab/>
        <w:t>Principas – vienodai išbraukti rizikos arba nuosavų lėšų pozicijas, kurios du</w:t>
      </w:r>
      <w:r>
        <w:t>b</w:t>
      </w:r>
      <w:r>
        <w:t>liuojasi toje pačioje grupėje, ir taip parodyti grupės konsoliduotoje CA formoje n</w:t>
      </w:r>
      <w:r>
        <w:t>u</w:t>
      </w:r>
      <w:r>
        <w:t xml:space="preserve">rodytas sumas, pridedant „Grupės mokumo“ formoje nurodytas kiekvieno subjekto </w:t>
      </w:r>
      <w:r>
        <w:lastRenderedPageBreak/>
        <w:t>sumas. Tais atvejais, kai neviršijama 1 % riba, tiesioginė sąsaja su CA forma neg</w:t>
      </w:r>
      <w:r>
        <w:t>a</w:t>
      </w:r>
      <w:r>
        <w:t>lima.</w:t>
      </w:r>
    </w:p>
    <w:p w:rsidR="00464F34" w:rsidRPr="00392FFD" w:rsidRDefault="00125707" w:rsidP="00C37B29">
      <w:pPr>
        <w:pStyle w:val="InstructionsText2"/>
        <w:numPr>
          <w:ilvl w:val="0"/>
          <w:numId w:val="0"/>
        </w:numPr>
        <w:ind w:left="993"/>
      </w:pPr>
      <w:r>
        <w:t>35.</w:t>
      </w:r>
      <w:r>
        <w:tab/>
        <w:t>Įstaigos apibrėžia tinkamiausią subjektų suskirstymo metodiką, kad atsižvelgtų į galimą diversifikavimo poveikį rinkos rizikai ir operacinei rizikai.</w:t>
      </w:r>
    </w:p>
    <w:p w:rsidR="00464F34" w:rsidRPr="00392FFD" w:rsidRDefault="00125707" w:rsidP="00C37B29">
      <w:pPr>
        <w:pStyle w:val="InstructionsText2"/>
        <w:numPr>
          <w:ilvl w:val="0"/>
          <w:numId w:val="0"/>
        </w:numPr>
        <w:ind w:left="993"/>
      </w:pPr>
      <w:r>
        <w:t>36.</w:t>
      </w:r>
      <w:r>
        <w:tab/>
        <w:t>Viena konsoliduota grupė gali būti įtraukta į kitą konsoliduotą grupę. Tai rei</w:t>
      </w:r>
      <w:r>
        <w:t>š</w:t>
      </w:r>
      <w:r>
        <w:t>kia, kad informacija apie pogrupį sudarančius subjektus visos grupės mokumo (GS) formoje teikiama atskirai pagal kiekvieną subjektą, net jeigu informacijos teikimo reikalavimai taikomi pačiam pogrupiui. Jeigu pogrupiui taikomi informacijos te</w:t>
      </w:r>
      <w:r>
        <w:t>i</w:t>
      </w:r>
      <w:r>
        <w:t>kimo reikalavimai, jis informaciją GS formoje taip pat teikia atskirai pagal kiekvi</w:t>
      </w:r>
      <w:r>
        <w:t>e</w:t>
      </w:r>
      <w:r>
        <w:t xml:space="preserve">ną subjektą, nors šie duomenys ir yra įtraukti į aukštesniu lygmeniu konsoliduotos grupės pateiktą GS formą. </w:t>
      </w:r>
    </w:p>
    <w:p w:rsidR="00464F34" w:rsidRPr="00392FFD" w:rsidRDefault="00125707" w:rsidP="00C37B29">
      <w:pPr>
        <w:pStyle w:val="InstructionsText2"/>
        <w:numPr>
          <w:ilvl w:val="0"/>
          <w:numId w:val="0"/>
        </w:numPr>
        <w:ind w:left="993"/>
      </w:pPr>
      <w:r>
        <w:t>37.</w:t>
      </w:r>
      <w:r>
        <w:tab/>
        <w:t>Įstaiga duomenis apie subjekto indėlį teikia tada, kai jo indėlis į bendrą rizikos pozicijos sumą sudaro daugiau kaip 1 % grupės bendros rizikos pozicijos sumos a</w:t>
      </w:r>
      <w:r>
        <w:t>r</w:t>
      </w:r>
      <w:r>
        <w:t>ba kai jo indėlis į bendrą nuosavų lėšų sumą sudaro daugiau kaip 1 % grupės be</w:t>
      </w:r>
      <w:r>
        <w:t>n</w:t>
      </w:r>
      <w:r>
        <w:t>dros nuosavų lėšų sumos. Ši riba netaikoma tais atvejais, kai patronuojamosios įmonės arba pogrupiai grupei suteikia nuosavų lėšų (mažumos dalių arba į nuosavas lėšas įtrauktų kvalifikuotųjų AT1 arba T2 priemonių pavidalu).</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9" w:name="_Toc516210626"/>
      <w:bookmarkStart w:id="140" w:name="_Toc473560891"/>
      <w:bookmarkStart w:id="141" w:name="_Toc524010034"/>
      <w:r>
        <w:rPr>
          <w:rFonts w:ascii="Times New Roman" w:hAnsi="Times New Roman"/>
          <w:sz w:val="24"/>
          <w:u w:val="none"/>
        </w:rPr>
        <w:t>2.4.</w:t>
      </w:r>
      <w:r>
        <w:tab/>
      </w:r>
      <w:r>
        <w:rPr>
          <w:rFonts w:ascii="Times New Roman" w:hAnsi="Times New Roman"/>
          <w:sz w:val="24"/>
        </w:rPr>
        <w:t>C 06.01. GRUPĖS MOKUMAS. INFORMACIJA APIE SUSIJUSIUS SUBJEKTUS. Bendra suma (GS TOTAL)</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Skiltys</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Nurodymai</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KONSOLIDUOJAMI SUBJEKTAI</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Žr. nurodymus dėl C 06.02 formos.</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KAPITALO REZERVAI</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Žr. nurodymus dėl C 06.02 formos.</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Eilutės</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Nurodymai</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BENDRA SUMA</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Bendra suma atitinka visose C 06.02 formos eilutėse pateiktų verčių sumą.</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2" w:name="_Toc516210627"/>
      <w:bookmarkStart w:id="143" w:name="_Toc473560892"/>
      <w:bookmarkStart w:id="144" w:name="_Toc524010035"/>
      <w:r>
        <w:rPr>
          <w:rFonts w:ascii="Times New Roman" w:hAnsi="Times New Roman"/>
          <w:sz w:val="24"/>
          <w:u w:val="none"/>
        </w:rPr>
        <w:t>2.5.</w:t>
      </w:r>
      <w:r>
        <w:tab/>
      </w:r>
      <w:r>
        <w:rPr>
          <w:rFonts w:ascii="Times New Roman" w:hAnsi="Times New Roman"/>
          <w:sz w:val="24"/>
        </w:rPr>
        <w:t>C 06.02. GRUPĖS MOKUMAS. INFORMACIJA APIE SUSIJUSIUS SUBJEKTUS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Skiltys</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Nurodymai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KONSOLIDUOJAMI SUBJEKTAI</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Ši forma yra skirta informacijai apie visus subjektus, konsoliduojamus pagal KRR pi</w:t>
            </w:r>
            <w:r>
              <w:rPr>
                <w:rStyle w:val="InstructionsTabelleText"/>
                <w:rFonts w:ascii="Times New Roman" w:hAnsi="Times New Roman"/>
                <w:sz w:val="24"/>
              </w:rPr>
              <w:t>r</w:t>
            </w:r>
            <w:r>
              <w:rPr>
                <w:rStyle w:val="InstructionsTabelleText"/>
                <w:rFonts w:ascii="Times New Roman" w:hAnsi="Times New Roman"/>
                <w:sz w:val="24"/>
              </w:rPr>
              <w:t>mos dalies II antraštinės dalies</w:t>
            </w:r>
            <w:r>
              <w:t xml:space="preserve"> </w:t>
            </w:r>
            <w:r>
              <w:rPr>
                <w:rFonts w:ascii="Times New Roman" w:hAnsi="Times New Roman"/>
                <w:sz w:val="24"/>
              </w:rPr>
              <w:t>2 skyrių, rinkti pagal atskirą subjektą.</w:t>
            </w:r>
            <w:r>
              <w:rPr>
                <w:rStyle w:val="InstructionsTabelleText"/>
                <w:rFonts w:ascii="Times New Roman" w:hAnsi="Times New Roman"/>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PAVADINIMAS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Konsoliduojamo subjekto pavadinimas.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KODAS</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Kiekvienai lentelės eilutei suteikiamas unikalus eilutės identifikatorius.</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Konsoliduojamam subjektui priskirtas kodas.</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Faktinė kodo struktūra priklauso nuo nacionalinės informacijos teikimo sistemos.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LEI KODAS</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LEI – juridinio asmens identifikatorius – Finansinio stabilumo tarybos pasiūlytas ir D</w:t>
            </w:r>
            <w:r>
              <w:rPr>
                <w:rStyle w:val="InstructionsTabelleText"/>
                <w:rFonts w:ascii="Times New Roman" w:hAnsi="Times New Roman"/>
                <w:sz w:val="24"/>
              </w:rPr>
              <w:t>i</w:t>
            </w:r>
            <w:r>
              <w:rPr>
                <w:rStyle w:val="InstructionsTabelleText"/>
                <w:rFonts w:ascii="Times New Roman" w:hAnsi="Times New Roman"/>
                <w:sz w:val="24"/>
              </w:rPr>
              <w:t>džiojo dvidešimtuko patvirtintas nuorodos kodas, kad būtų galima unikaliai identif</w:t>
            </w:r>
            <w:r>
              <w:rPr>
                <w:rStyle w:val="InstructionsTabelleText"/>
                <w:rFonts w:ascii="Times New Roman" w:hAnsi="Times New Roman"/>
                <w:sz w:val="24"/>
              </w:rPr>
              <w:t>i</w:t>
            </w:r>
            <w:r>
              <w:rPr>
                <w:rStyle w:val="InstructionsTabelleText"/>
                <w:rFonts w:ascii="Times New Roman" w:hAnsi="Times New Roman"/>
                <w:sz w:val="24"/>
              </w:rPr>
              <w:t>kuoti finansinių sandorių šalis visame pasaulyje.</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Kol pasaulinė LEI sistema pradės visapusiškai veikti, išankstinius LEI kodus sandorio šalims suteikia vietos veiklos padalinys, patvirtintas Reguliavimo priežiūros komiteto (ROC, išsamios informacijos galima rasti šioje svetainėje: www.leiroc.org).</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Jeigu konkreti sandorio šalis turi juridinio asmens identifikatorių (LEI kodą), jis naud</w:t>
            </w:r>
            <w:r>
              <w:rPr>
                <w:rStyle w:val="InstructionsTabelleText"/>
                <w:rFonts w:ascii="Times New Roman" w:hAnsi="Times New Roman"/>
                <w:sz w:val="24"/>
              </w:rPr>
              <w:t>o</w:t>
            </w:r>
            <w:r>
              <w:rPr>
                <w:rStyle w:val="InstructionsTabelleText"/>
                <w:rFonts w:ascii="Times New Roman" w:hAnsi="Times New Roman"/>
                <w:sz w:val="24"/>
              </w:rPr>
              <w:t xml:space="preserve">jamas tai sandorio šaliai identifikuoti.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ĮSTAIGOS ARBA LYGIAVERČIAI REIKALAVIMAI (TAIP / NE)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„TAIP“ reikia žymėti tada, kai įstaigai taikomi nuosavų lėšų reikalavimai pagal KRR ir KRD arba nuostatos, kurios yra bent jau lygiavertės Bazelio susitarimo nuostatoms.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Kitais atvejais reikia žymėti „NE“.</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Mažumos dalys:</w:t>
            </w:r>
          </w:p>
          <w:p w:rsidR="00464F34" w:rsidRPr="00392FFD" w:rsidRDefault="00417984" w:rsidP="00464F34">
            <w:pPr>
              <w:rPr>
                <w:rStyle w:val="InstructionsTabelleText"/>
                <w:rFonts w:ascii="Times New Roman" w:hAnsi="Times New Roman"/>
                <w:sz w:val="24"/>
              </w:rPr>
            </w:pPr>
            <w:r>
              <w:rPr>
                <w:rFonts w:ascii="Times New Roman" w:hAnsi="Times New Roman"/>
                <w:sz w:val="24"/>
              </w:rPr>
              <w:t>KRR 81 straipsnio 1 dalies a punkto ii papunktis ir 82 straipsnio 1 dalies a punkto ii papunktis.</w:t>
            </w:r>
          </w:p>
          <w:p w:rsidR="00464F34" w:rsidRPr="00392FFD" w:rsidRDefault="00464F34" w:rsidP="00464F34">
            <w:pPr>
              <w:rPr>
                <w:rStyle w:val="InstructionsTabelleText"/>
                <w:rFonts w:ascii="Times New Roman" w:hAnsi="Times New Roman"/>
                <w:sz w:val="24"/>
              </w:rPr>
            </w:pPr>
            <w:r>
              <w:rPr>
                <w:rFonts w:ascii="Times New Roman" w:hAnsi="Times New Roman"/>
                <w:sz w:val="24"/>
              </w:rPr>
              <w:t>Atsižvelgiant į mažumos dalių ir patronuojamųjų įmonių išleistų AT1 bei T2 priemonių poveikį, įtraukti patronuojamųjų įmonių priemones galima, jeigu patronuojamoji įmonė yra įstaiga arba įmonė, kuriai pagal nacionalinę teisę taikomi KRR reikalavimai.</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SUBJEKTO RŪŠIS</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Subjekto rūšis nurodoma pagal šias kategorijas:</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kredito įstaiga –</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KRR 4 straipsnio 1 dalies 1 punktas;</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investicinė įmonė –</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KRR 4 straipsnio 1 dalies 2 punktas;</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finansų įstaiga (kita) –</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KRR 4 straipsnio 1 dalies 20, 21 ir 26 punktai.</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Finansų įstaigos, kaip apibrėžta KRR 4 straipsnio 1 dalies 26 punkte, nepatenka</w:t>
            </w:r>
            <w:r>
              <w:rPr>
                <w:rStyle w:val="InstructionsTabelleText"/>
                <w:rFonts w:ascii="Times New Roman" w:hAnsi="Times New Roman"/>
                <w:sz w:val="24"/>
              </w:rPr>
              <w:t>n</w:t>
            </w:r>
            <w:r>
              <w:rPr>
                <w:rStyle w:val="InstructionsTabelleText"/>
                <w:rFonts w:ascii="Times New Roman" w:hAnsi="Times New Roman"/>
                <w:sz w:val="24"/>
              </w:rPr>
              <w:t>čios į nė vieną iš d, f ar g punktų kategorijų;</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lastRenderedPageBreak/>
              <w:t>d)</w:t>
            </w:r>
            <w:r>
              <w:tab/>
            </w:r>
            <w:r>
              <w:rPr>
                <w:rStyle w:val="InstructionsTabelleText"/>
                <w:rFonts w:ascii="Times New Roman" w:hAnsi="Times New Roman"/>
                <w:sz w:val="24"/>
              </w:rPr>
              <w:t>(mišrią veiklą vykdanti) finansų kontroliuojančioji bendrovė –</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KRR 4 straipsnio 1 dalies 20 ir 21 punktai;</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papildomas paslaugas teikianti įmonė –</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KRR 4 straipsnio 1 dalies 18 punktas;</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specialios paskirties pakeitimo vertybiniais popieriais subjektas (SPPVPS) –</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KRR 4 straipsnio 1 dalies 66 punktas;</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padengtųjų obligacijų bendrovė –</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subjektas, įsteigtas tam, kad leistų padengtąsias obligacijas arba laikytų padengt</w:t>
            </w:r>
            <w:r>
              <w:rPr>
                <w:rStyle w:val="InstructionsTabelleText"/>
                <w:rFonts w:ascii="Times New Roman" w:hAnsi="Times New Roman"/>
                <w:sz w:val="24"/>
              </w:rPr>
              <w:t>ą</w:t>
            </w:r>
            <w:r>
              <w:rPr>
                <w:rStyle w:val="InstructionsTabelleText"/>
                <w:rFonts w:ascii="Times New Roman" w:hAnsi="Times New Roman"/>
                <w:sz w:val="24"/>
              </w:rPr>
              <w:t>sias obligacijas užtikrinančią užtikrinimo priemonę, jei nepatenka į nė vieną iš pi</w:t>
            </w:r>
            <w:r>
              <w:rPr>
                <w:rStyle w:val="InstructionsTabelleText"/>
                <w:rFonts w:ascii="Times New Roman" w:hAnsi="Times New Roman"/>
                <w:sz w:val="24"/>
              </w:rPr>
              <w:t>r</w:t>
            </w:r>
            <w:r>
              <w:rPr>
                <w:rStyle w:val="InstructionsTabelleText"/>
                <w:rFonts w:ascii="Times New Roman" w:hAnsi="Times New Roman"/>
                <w:sz w:val="24"/>
              </w:rPr>
              <w:t>miau nurodytų a, b, arba d–f kategorijų;</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kitos rūšies subjektas –</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subjektas, nepatenkantis į a–g punktų kategorijas.</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subjektui KRR ir KRD netaikomi, tačiau taikomos nuostatos, kurios yra bent l</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giavertės Bazelio nuostatoms, atitinkama kategorija nustatoma kuo rūpestingiau.</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DUOMENŲ APIMTIS. </w:t>
            </w:r>
            <w:r>
              <w:rPr>
                <w:rFonts w:ascii="Times New Roman" w:hAnsi="Times New Roman"/>
                <w:b/>
                <w:caps/>
                <w:sz w:val="24"/>
                <w:u w:val="single"/>
              </w:rPr>
              <w:t>Atskiras visiškai konsoliduojamas su</w:t>
            </w:r>
            <w:r>
              <w:rPr>
                <w:rFonts w:ascii="Times New Roman" w:hAnsi="Times New Roman"/>
                <w:b/>
                <w:caps/>
                <w:sz w:val="24"/>
                <w:u w:val="single"/>
              </w:rPr>
              <w:t>b</w:t>
            </w:r>
            <w:r>
              <w:rPr>
                <w:rFonts w:ascii="Times New Roman" w:hAnsi="Times New Roman"/>
                <w:b/>
                <w:caps/>
                <w:sz w:val="24"/>
                <w:u w:val="single"/>
              </w:rPr>
              <w:t>jektas (SF) arba atskiras iš dalies konsoliduojamas subje</w:t>
            </w:r>
            <w:r>
              <w:rPr>
                <w:rFonts w:ascii="Times New Roman" w:hAnsi="Times New Roman"/>
                <w:b/>
                <w:caps/>
                <w:sz w:val="24"/>
                <w:u w:val="single"/>
              </w:rPr>
              <w:t>k</w:t>
            </w:r>
            <w:r>
              <w:rPr>
                <w:rFonts w:ascii="Times New Roman" w:hAnsi="Times New Roman"/>
                <w:b/>
                <w:caps/>
                <w:sz w:val="24"/>
                <w:u w:val="single"/>
              </w:rPr>
              <w:t>tas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SF</w:t>
            </w:r>
            <w:r>
              <w:t xml:space="preserve"> </w:t>
            </w:r>
            <w:r>
              <w:rPr>
                <w:rFonts w:ascii="Times New Roman" w:hAnsi="Times New Roman"/>
                <w:sz w:val="24"/>
              </w:rPr>
              <w:t>nurodoma atskirų visiškai konsoliduojamų patronuojamųjų įmonių atveju.</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SP</w:t>
            </w:r>
            <w:r>
              <w:t xml:space="preserve"> </w:t>
            </w:r>
            <w:r>
              <w:rPr>
                <w:rFonts w:ascii="Times New Roman" w:hAnsi="Times New Roman"/>
                <w:sz w:val="24"/>
              </w:rPr>
              <w:t>nurodoma atskirų iš dalies konsoliduojamų patronuojamųjų įmonių atveju.</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ŠALIES KODAS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Įstaigos nurodo dviraidį šalies kodą pagal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TURIMOS KAPITALO DALYS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Ši procentinė dalis nurodo patronuojančiosios įmonės faktiškai turimą patronuojamųjų įmonių kapitalo dalį. Jeigu tiesioginė patronuojamoji įmonė yra visiškai konsoliduoj</w:t>
            </w:r>
            <w:r>
              <w:rPr>
                <w:rStyle w:val="InstructionsTabelleText"/>
                <w:rFonts w:ascii="Times New Roman" w:hAnsi="Times New Roman"/>
                <w:sz w:val="24"/>
              </w:rPr>
              <w:t>a</w:t>
            </w:r>
            <w:r>
              <w:rPr>
                <w:rStyle w:val="InstructionsTabelleText"/>
                <w:rFonts w:ascii="Times New Roman" w:hAnsi="Times New Roman"/>
                <w:sz w:val="24"/>
              </w:rPr>
              <w:t>ma, faktinė dalis yra, pvz., 70 %. Vadovaujantis KRR 4 straipsnio 1 dalies 16 punktu, pateikiant informaciją apie turimą patronuojamosios įmonės patronuojamosios įmonės kapitalo dalį sudauginamos atitinkamų patronuojamųjų įmonių tarpusavyje turimos d</w:t>
            </w:r>
            <w:r>
              <w:rPr>
                <w:rStyle w:val="InstructionsTabelleText"/>
                <w:rFonts w:ascii="Times New Roman" w:hAnsi="Times New Roman"/>
                <w:sz w:val="24"/>
              </w:rPr>
              <w:t>a</w:t>
            </w:r>
            <w:r>
              <w:rPr>
                <w:rStyle w:val="InstructionsTabelleText"/>
                <w:rFonts w:ascii="Times New Roman" w:hAnsi="Times New Roman"/>
                <w:sz w:val="24"/>
              </w:rPr>
              <w:t>lys.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INFORMACIJA APIE SUBJEKTUS, KURIEMS TAIKOMI NUOSAVŲ LĖŠŲ REIKALAVIMAI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Šiame išsamios informacijos skyriuje (t. y. 070–240 skiltyse) pateikiama informacija tik apie tuos subjektus ir pogrupius, kurie yra konsoliduojami (</w:t>
            </w:r>
            <w:r>
              <w:rPr>
                <w:rFonts w:ascii="Times New Roman" w:hAnsi="Times New Roman"/>
                <w:sz w:val="24"/>
              </w:rPr>
              <w:t>KRR pirmos dalies II antraštinės dalies 2 skyrius)</w:t>
            </w:r>
            <w:r>
              <w:rPr>
                <w:rStyle w:val="InstructionsTabelleText"/>
                <w:rFonts w:ascii="Times New Roman" w:hAnsi="Times New Roman"/>
                <w:sz w:val="24"/>
              </w:rPr>
              <w:t xml:space="preserve">, kuriems faktiškai taikomi mokumo reikalavimai pagal KRR arba nuostatos, kurios yra bent jau lygiavertės Bazelio susitarimo nuostatoms (t. y. dėl kurių 030 skiltyje pažymėta „TAIP“). </w:t>
            </w:r>
          </w:p>
          <w:p w:rsidR="00464F34" w:rsidRPr="00392FFD" w:rsidRDefault="00464F34" w:rsidP="00464F34">
            <w:pPr>
              <w:rPr>
                <w:rFonts w:ascii="Times New Roman" w:hAnsi="Times New Roman"/>
                <w:sz w:val="24"/>
              </w:rPr>
            </w:pPr>
            <w:r>
              <w:rPr>
                <w:rFonts w:ascii="Times New Roman" w:hAnsi="Times New Roman"/>
                <w:sz w:val="24"/>
              </w:rPr>
              <w:t>Informacija pateikiama apie visas atskiras konsoliduotos grupės įstaigas, kurioms ta</w:t>
            </w:r>
            <w:r>
              <w:rPr>
                <w:rFonts w:ascii="Times New Roman" w:hAnsi="Times New Roman"/>
                <w:sz w:val="24"/>
              </w:rPr>
              <w:t>i</w:t>
            </w:r>
            <w:r>
              <w:rPr>
                <w:rFonts w:ascii="Times New Roman" w:hAnsi="Times New Roman"/>
                <w:sz w:val="24"/>
              </w:rPr>
              <w:t xml:space="preserve">komi nuosavų lėšų reikalavimai, nepaisant to, kur jos yra. </w:t>
            </w:r>
          </w:p>
          <w:p w:rsidR="00464F34" w:rsidRPr="00392FFD" w:rsidRDefault="00464F34" w:rsidP="00464F34">
            <w:pPr>
              <w:rPr>
                <w:rFonts w:ascii="Times New Roman" w:hAnsi="Times New Roman"/>
                <w:sz w:val="24"/>
              </w:rPr>
            </w:pPr>
            <w:r>
              <w:rPr>
                <w:rFonts w:ascii="Times New Roman" w:hAnsi="Times New Roman"/>
                <w:sz w:val="24"/>
              </w:rPr>
              <w:t>Šioje dalyje informacija turi būti pateikiama pagal įstaigos veiklos vietos mokumo ta</w:t>
            </w:r>
            <w:r>
              <w:rPr>
                <w:rFonts w:ascii="Times New Roman" w:hAnsi="Times New Roman"/>
                <w:sz w:val="24"/>
              </w:rPr>
              <w:t>i</w:t>
            </w:r>
            <w:r>
              <w:rPr>
                <w:rFonts w:ascii="Times New Roman" w:hAnsi="Times New Roman"/>
                <w:sz w:val="24"/>
              </w:rPr>
              <w:t>sykles (todėl pildant šią formą kiekvienu atskiru atveju nereikia atlikti dvigubo skaiči</w:t>
            </w:r>
            <w:r>
              <w:rPr>
                <w:rFonts w:ascii="Times New Roman" w:hAnsi="Times New Roman"/>
                <w:sz w:val="24"/>
              </w:rPr>
              <w:t>a</w:t>
            </w:r>
            <w:r>
              <w:rPr>
                <w:rFonts w:ascii="Times New Roman" w:hAnsi="Times New Roman"/>
                <w:sz w:val="24"/>
              </w:rPr>
              <w:lastRenderedPageBreak/>
              <w:t>vimo pagal patronuojančiosios įstaigos taisykles). Jeigu vietos mokumo taisyklės yra kitokios, negu nustatyta KRR, ir detalus palyginimas nėra pateiktas, informacija turi būti papildyta, jeigu turimi reikiamo išsamumo duomenys. Todėl ši dalis – tai faktinė forma, kurioje apibendrinami skaičiavimai, kuriuos atskiros grupės įstaigos atlieka, a</w:t>
            </w:r>
            <w:r>
              <w:rPr>
                <w:rFonts w:ascii="Times New Roman" w:hAnsi="Times New Roman"/>
                <w:sz w:val="24"/>
              </w:rPr>
              <w:t>t</w:t>
            </w:r>
            <w:r>
              <w:rPr>
                <w:rFonts w:ascii="Times New Roman" w:hAnsi="Times New Roman"/>
                <w:sz w:val="24"/>
              </w:rPr>
              <w:t>sižvelgdamos į tai, kad kai kurioms įstaigoms gali būti taikomos skirtingos mokumo taisyklės.</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Informacija apie investicinių įmonių pastoviąsias pridėtines išlaidas</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Investicinės įmonės, skaičiuodamos savo kapitalo pakankamumą pagal KRR 95, 96, 97 ir 98 straipsnius, įtraukia nuosavų lėšų reikalavimus, susijusius su pastoviosiomis pr</w:t>
            </w:r>
            <w:r>
              <w:rPr>
                <w:rStyle w:val="InstructionsTabelleText"/>
                <w:rFonts w:ascii="Times New Roman" w:hAnsi="Times New Roman"/>
                <w:sz w:val="24"/>
              </w:rPr>
              <w:t>i</w:t>
            </w:r>
            <w:r>
              <w:rPr>
                <w:rStyle w:val="InstructionsTabelleText"/>
                <w:rFonts w:ascii="Times New Roman" w:hAnsi="Times New Roman"/>
                <w:sz w:val="24"/>
              </w:rPr>
              <w:t>dėtinėmis išlaidomis.</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Bendros rizikos pozicijos sumos dalis, susijusi su pastoviosiomis pridėtinėmis išlaid</w:t>
            </w:r>
            <w:r>
              <w:rPr>
                <w:rStyle w:val="InstructionsTabelleText"/>
                <w:rFonts w:ascii="Times New Roman" w:hAnsi="Times New Roman"/>
                <w:sz w:val="24"/>
              </w:rPr>
              <w:t>o</w:t>
            </w:r>
            <w:r>
              <w:rPr>
                <w:rStyle w:val="InstructionsTabelleText"/>
                <w:rFonts w:ascii="Times New Roman" w:hAnsi="Times New Roman"/>
                <w:sz w:val="24"/>
              </w:rPr>
              <w:t xml:space="preserve">mis, nurodoma šios formos 2 dalies 100 skiltyje.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BENDRA RIZIKOS POZICIJOS SUMA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Nurodoma 080–110 skilčių reikšmių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KREDITO RIZIKA, SANDORIO ŠALIES KREDITO RIZIKA, GAUTINŲ S</w:t>
            </w:r>
            <w:r>
              <w:rPr>
                <w:rStyle w:val="InstructionsTabelleberschrift"/>
                <w:rFonts w:ascii="Times New Roman" w:hAnsi="Times New Roman"/>
                <w:sz w:val="24"/>
              </w:rPr>
              <w:t>U</w:t>
            </w:r>
            <w:r>
              <w:rPr>
                <w:rStyle w:val="InstructionsTabelleberschrift"/>
                <w:rFonts w:ascii="Times New Roman" w:hAnsi="Times New Roman"/>
                <w:sz w:val="24"/>
              </w:rPr>
              <w:t>MŲ SUMAŽĖJIMO RIZIKA, SU NEBAIGTAIS SANDORIAIS SUSIJUSI R</w:t>
            </w:r>
            <w:r>
              <w:rPr>
                <w:rStyle w:val="InstructionsTabelleberschrift"/>
                <w:rFonts w:ascii="Times New Roman" w:hAnsi="Times New Roman"/>
                <w:sz w:val="24"/>
              </w:rPr>
              <w:t>I</w:t>
            </w:r>
            <w:r>
              <w:rPr>
                <w:rStyle w:val="InstructionsTabelleberschrift"/>
                <w:rFonts w:ascii="Times New Roman" w:hAnsi="Times New Roman"/>
                <w:sz w:val="24"/>
              </w:rPr>
              <w:t>ZIKA IR ATSISKAITYMO / PRISTATYMO RIZIKA</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Šioje skiltyje nurodoma suma atitinka pagal riziką įvertintų pozicijų sumų, kurios yra lygios arba prilygsta sumoms, kurios turi būti nurodytos 040 eilutėje</w:t>
            </w:r>
            <w:r>
              <w:t xml:space="preserve"> </w:t>
            </w:r>
            <w:r>
              <w:rPr>
                <w:rStyle w:val="InstructionsTabelleberschrift"/>
                <w:rFonts w:ascii="Times New Roman" w:hAnsi="Times New Roman"/>
                <w:b w:val="0"/>
                <w:sz w:val="24"/>
                <w:u w:val="none"/>
              </w:rPr>
              <w:t>„PAGAL KR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DITO RIZIKĄ, SANDORIO ŠALIES KREDITO RIZIKĄ, GAUTINŲ SUMŲ S</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MAŽĖJIMO RIZIKĄ IR SU NEBAIGTAIS SANDORIAIS SUSIJUSIĄ RIZIKĄ ĮVERTINTŲ POZICIJŲ SUMOS“</w:t>
            </w:r>
            <w:r>
              <w:rPr>
                <w:rStyle w:val="InstructionsTabelleText"/>
                <w:rFonts w:ascii="Times New Roman" w:hAnsi="Times New Roman"/>
                <w:sz w:val="24"/>
              </w:rPr>
              <w:t>, ir nuosavų lėšų reikalavimų, kurie yra lygūs arba prilygsta reikalavimams, kurie turi būti nurodyti CA2 formos 490 eilutėje „BENDRA RIZIKOS POZICIJOS SUMA ATSISKAITYMŲ / PRISTATYMO RIZIKAI“, sumą.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POZICIJOS RIZIKA, UŽSIENIO VALIUTOS KURSO RIZIKA IR BIRŽOS PREKIŲ KAINOS RIZIKA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Šioje skiltyje nurodoma suma atitinka nuosavų lėšų reikalavimų sumą, lygią arba pr</w:t>
            </w:r>
            <w:r>
              <w:rPr>
                <w:rStyle w:val="InstructionsTabelleText"/>
                <w:rFonts w:ascii="Times New Roman" w:hAnsi="Times New Roman"/>
                <w:sz w:val="24"/>
              </w:rPr>
              <w:t>i</w:t>
            </w:r>
            <w:r>
              <w:rPr>
                <w:rStyle w:val="InstructionsTabelleText"/>
                <w:rFonts w:ascii="Times New Roman" w:hAnsi="Times New Roman"/>
                <w:sz w:val="24"/>
              </w:rPr>
              <w:t>lygstančią sumoms, kurios turi būti nurodytos CA2 formos 520 eilutėje „BENDRA RIZIKOS POZICIJOS SUMA POZICIJOS RIZIKAI, UŽSIENIO VALIUTOS KU</w:t>
            </w:r>
            <w:r>
              <w:rPr>
                <w:rStyle w:val="InstructionsTabelleText"/>
                <w:rFonts w:ascii="Times New Roman" w:hAnsi="Times New Roman"/>
                <w:sz w:val="24"/>
              </w:rPr>
              <w:t>R</w:t>
            </w:r>
            <w:r>
              <w:rPr>
                <w:rStyle w:val="InstructionsTabelleText"/>
                <w:rFonts w:ascii="Times New Roman" w:hAnsi="Times New Roman"/>
                <w:sz w:val="24"/>
              </w:rPr>
              <w:t>SO RIZIKAI IR BIRŽOS PREKIŲ KAINOS RIZIKAI“.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OPERACINĖ RIZIKA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Šioje skiltyje nurodoma suma atitinka rizikos pozicijos sumą, lygią arba prilygstančią sumai, kuri turi būti nurodyta CA2 formos 590 eilutėje „BENDRA RIZIKOS POZIC</w:t>
            </w:r>
            <w:r>
              <w:rPr>
                <w:rStyle w:val="InstructionsTabelleText"/>
                <w:rFonts w:ascii="Times New Roman" w:hAnsi="Times New Roman"/>
                <w:sz w:val="24"/>
              </w:rPr>
              <w:t>I</w:t>
            </w:r>
            <w:r>
              <w:rPr>
                <w:rStyle w:val="InstructionsTabelleText"/>
                <w:rFonts w:ascii="Times New Roman" w:hAnsi="Times New Roman"/>
                <w:sz w:val="24"/>
              </w:rPr>
              <w:t>JOS SUMA OPERACINEI RIZIKAI (OpR)“.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Pastoviosios pridėtinės išlaidos įskaitomos į šią skiltį ir į CA2 formos 630 eilutę „P</w:t>
            </w:r>
            <w:r>
              <w:rPr>
                <w:rStyle w:val="InstructionsTabelleText"/>
                <w:rFonts w:ascii="Times New Roman" w:hAnsi="Times New Roman"/>
                <w:sz w:val="24"/>
              </w:rPr>
              <w:t>A</w:t>
            </w:r>
            <w:r>
              <w:rPr>
                <w:rStyle w:val="InstructionsTabelleText"/>
                <w:rFonts w:ascii="Times New Roman" w:hAnsi="Times New Roman"/>
                <w:sz w:val="24"/>
              </w:rPr>
              <w:t>PILDOMA RIZIKOS POZICIJOS SUMA DĖL PASTOVIŲJŲ PRIDĖTINIŲ IŠLA</w:t>
            </w:r>
            <w:r>
              <w:rPr>
                <w:rStyle w:val="InstructionsTabelleText"/>
                <w:rFonts w:ascii="Times New Roman" w:hAnsi="Times New Roman"/>
                <w:sz w:val="24"/>
              </w:rPr>
              <w:t>I</w:t>
            </w:r>
            <w:r>
              <w:rPr>
                <w:rStyle w:val="InstructionsTabelleText"/>
                <w:rFonts w:ascii="Times New Roman" w:hAnsi="Times New Roman"/>
                <w:sz w:val="24"/>
              </w:rPr>
              <w:t>DŲ“.</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KITOS RIZIKOS POZICIJOS SUMOS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Šioje skiltyje nurodoma suma atitinka kitur specialiai nenurodytos rizikos pozicijos sumą. Tai – CA2 formos 640, 680 ir 690 eilučių reikšmių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IŠSAMI INFORMACIJA APIE NUOSAVAS LĖŠAS GRUPĖS MOKUMUI U</w:t>
            </w:r>
            <w:r>
              <w:rPr>
                <w:rStyle w:val="InstructionsTabelleberschrift"/>
                <w:rFonts w:ascii="Times New Roman" w:hAnsi="Times New Roman"/>
                <w:sz w:val="24"/>
              </w:rPr>
              <w:t>Ž</w:t>
            </w:r>
            <w:r>
              <w:rPr>
                <w:rStyle w:val="InstructionsTabelleberschrift"/>
                <w:rFonts w:ascii="Times New Roman" w:hAnsi="Times New Roman"/>
                <w:sz w:val="24"/>
              </w:rPr>
              <w:lastRenderedPageBreak/>
              <w:t>TIKRINTI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Šiose skiltyse informacija teikiama pagal įstaigos arba pogrupio veiklos vietos mok</w:t>
            </w:r>
            <w:r>
              <w:rPr>
                <w:rStyle w:val="InstructionsTabelleText"/>
                <w:rFonts w:ascii="Times New Roman" w:hAnsi="Times New Roman"/>
                <w:sz w:val="24"/>
              </w:rPr>
              <w:t>u</w:t>
            </w:r>
            <w:r>
              <w:rPr>
                <w:rStyle w:val="InstructionsTabelleText"/>
                <w:rFonts w:ascii="Times New Roman" w:hAnsi="Times New Roman"/>
                <w:sz w:val="24"/>
              </w:rPr>
              <w:t>mo taisykles.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NUOSAVOS LĖŠOS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Šioje skiltyje nurodoma suma atitinka nuosavų lėšų sumą, lygią arba prilygstančią s</w:t>
            </w:r>
            <w:r>
              <w:rPr>
                <w:rStyle w:val="InstructionsTabelleText"/>
                <w:rFonts w:ascii="Times New Roman" w:hAnsi="Times New Roman"/>
                <w:sz w:val="24"/>
              </w:rPr>
              <w:t>u</w:t>
            </w:r>
            <w:r>
              <w:rPr>
                <w:rStyle w:val="InstructionsTabelleText"/>
                <w:rFonts w:ascii="Times New Roman" w:hAnsi="Times New Roman"/>
                <w:sz w:val="24"/>
              </w:rPr>
              <w:t>moms, kurios turi būti nurodytos CA1 formos 010 eilutėje „NUOSAVOS LĖŠOS“.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IŠ JŲ: KVALIFIKUOTOSIOS NUOSAVOS LĖŠOS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KRR 82 straipsnis.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Šioje skiltyje informacija pateikiama tik apie patronuojamąsias įmones, apie kurias i</w:t>
            </w:r>
            <w:r>
              <w:rPr>
                <w:rStyle w:val="InstructionsTabelleText"/>
                <w:rFonts w:ascii="Times New Roman" w:hAnsi="Times New Roman"/>
                <w:sz w:val="24"/>
              </w:rPr>
              <w:t>n</w:t>
            </w:r>
            <w:r>
              <w:rPr>
                <w:rStyle w:val="InstructionsTabelleText"/>
                <w:rFonts w:ascii="Times New Roman" w:hAnsi="Times New Roman"/>
                <w:sz w:val="24"/>
              </w:rPr>
              <w:t xml:space="preserve">formacija teikiama atskirai, kurios yra visiškai konsoliduojamos ir yra įstaigos.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Kvalifikuotoji akcijų paketo dalis pirmiau nurodytų patronuojamųjų įmonių atveju yra asmenims, kurie nėra pagal KRR konsoliduojamos įmonės, priklausančios priemonės (įskaitant susijusį nepaskirstytąjį pelną, akcijų priedus ir kitus rezervus).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SUSIJUSIOS NUOSAVŲ LĖŠŲ PRIEMONĖS, SUSIJĘS NEPASKIRSTYTASIS PELNAS, AKCIJŲ PRIEDAI IR KITI REZERVAI</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87 straipsnio 1 dalies b punktas.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BENDRA 1 LYGIO KAPITALO SUMA</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KRR 25 straipsnis.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IŠ JOS: KVALIFIKUOTASIS 1 LYGIO KAPITALAS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82 straipsnis.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Šioje skiltyje informacija pateikiama tik apie patronuojamąsias įmones, apie kurias i</w:t>
            </w:r>
            <w:r>
              <w:rPr>
                <w:rStyle w:val="InstructionsTabelleText"/>
                <w:rFonts w:ascii="Times New Roman" w:hAnsi="Times New Roman"/>
                <w:sz w:val="24"/>
              </w:rPr>
              <w:t>n</w:t>
            </w:r>
            <w:r>
              <w:rPr>
                <w:rStyle w:val="InstructionsTabelleText"/>
                <w:rFonts w:ascii="Times New Roman" w:hAnsi="Times New Roman"/>
                <w:sz w:val="24"/>
              </w:rPr>
              <w:t>formacija teikiama atskirai, kurios yra visiškai konsoliduojamos ir yra įstaigos.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Kvalifikuotoji akcijų paketo dalis pirmiau nurodytų patronuojamųjų įmonių atveju yra asmenims, kurie nėra pagal KRR konsoliduojamos įmonės, priklausančios priemonės (įskaitant susijusį nepaskirstytąjį pelną ir akcijų priedus).</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SUSIJUSIOS T1 PRIEMONĖS, SUSIJĘS NEPASKIRSTYTASIS PELNAS IR AKCIJŲ PRIEDAI</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KRR 85 straipsnio 1 dalies b punktas.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BENDRAS 1 LYGIO NUOSAVAS KAPITALAS</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KRR 50 straipsnis.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IŠ JO: MAŽUMOS DALYS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81 straipsnis.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Šioje skiltyje informacija pateikiama tik apie visiškai konsoliduojamas patronuojam</w:t>
            </w:r>
            <w:r>
              <w:rPr>
                <w:rStyle w:val="InstructionsTabelleText"/>
                <w:rFonts w:ascii="Times New Roman" w:hAnsi="Times New Roman"/>
                <w:sz w:val="24"/>
              </w:rPr>
              <w:t>ą</w:t>
            </w:r>
            <w:r>
              <w:rPr>
                <w:rStyle w:val="InstructionsTabelleText"/>
                <w:rFonts w:ascii="Times New Roman" w:hAnsi="Times New Roman"/>
                <w:sz w:val="24"/>
              </w:rPr>
              <w:t>sias įmones, kurios yra įstaigos, išskyrus KRR 84 straipsnio 3 dalyje nurodytas patr</w:t>
            </w:r>
            <w:r>
              <w:rPr>
                <w:rStyle w:val="InstructionsTabelleText"/>
                <w:rFonts w:ascii="Times New Roman" w:hAnsi="Times New Roman"/>
                <w:sz w:val="24"/>
              </w:rPr>
              <w:t>o</w:t>
            </w:r>
            <w:r>
              <w:rPr>
                <w:rStyle w:val="InstructionsTabelleText"/>
                <w:rFonts w:ascii="Times New Roman" w:hAnsi="Times New Roman"/>
                <w:sz w:val="24"/>
              </w:rPr>
              <w:t>nuojamąsias įmones. Visi skaičiavimai, kuriuos reikia atlikti pagal KRR 84 straipsnį, atliekami kiekvieną patronuojamąją įmonę konsoliduojant pogrupio lygmeniu, prire</w:t>
            </w:r>
            <w:r>
              <w:rPr>
                <w:rStyle w:val="InstructionsTabelleText"/>
                <w:rFonts w:ascii="Times New Roman" w:hAnsi="Times New Roman"/>
                <w:sz w:val="24"/>
              </w:rPr>
              <w:t>i</w:t>
            </w:r>
            <w:r>
              <w:rPr>
                <w:rStyle w:val="InstructionsTabelleText"/>
                <w:rFonts w:ascii="Times New Roman" w:hAnsi="Times New Roman"/>
                <w:sz w:val="24"/>
              </w:rPr>
              <w:t>kus laikantis 84 straipsnio 2 dalies, o kitais atvejais – atskirai.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ir šioje formoje laikoma, kad mažumos dalys pirmiau nurodytų patronuojamųjų įmonių atveju yra asmenims, kurie nėra pagal KRR konsoliduojamos įmonės, prikla</w:t>
            </w:r>
            <w:r>
              <w:rPr>
                <w:rStyle w:val="InstructionsTabelleText"/>
                <w:rFonts w:ascii="Times New Roman" w:hAnsi="Times New Roman"/>
                <w:sz w:val="24"/>
              </w:rPr>
              <w:t>u</w:t>
            </w:r>
            <w:r>
              <w:rPr>
                <w:rStyle w:val="InstructionsTabelleText"/>
                <w:rFonts w:ascii="Times New Roman" w:hAnsi="Times New Roman"/>
                <w:sz w:val="24"/>
              </w:rPr>
              <w:t>sančios CET1 priemonės (įskaitant susijusį nepaskirstytąjį pelną ir akcijų priedus).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SUSIJUSIOS NUOSAVŲ LĖŠŲ PRIEMONĖS, SUSIJĘS NEPASKIRSTYTASIS PELNAS, AKCIJŲ PRIEDAI IR KITI REZERVAI</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84 straipsnio 1 dalies b punktas.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PAPILDOMAS 1 LYGIO KAPITALAS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KRR 61 straipsnis.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IŠ JO: KVALIFIKUOTASIS PAPILDOMAS 1 LYGIO KAPITALAS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82 ir 83 straipsniai.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Šioje skiltyje pateikiama tik informacija apie visiškai konsoliduojamas patronuojam</w:t>
            </w:r>
            <w:r>
              <w:rPr>
                <w:rStyle w:val="InstructionsTabelleText"/>
                <w:rFonts w:ascii="Times New Roman" w:hAnsi="Times New Roman"/>
                <w:sz w:val="24"/>
              </w:rPr>
              <w:t>ą</w:t>
            </w:r>
            <w:r>
              <w:rPr>
                <w:rStyle w:val="InstructionsTabelleText"/>
                <w:rFonts w:ascii="Times New Roman" w:hAnsi="Times New Roman"/>
                <w:sz w:val="24"/>
              </w:rPr>
              <w:t>sias įmones, apie kurias informacija teikiama individualiai ir kurios yra įstaigos, išsk</w:t>
            </w:r>
            <w:r>
              <w:rPr>
                <w:rStyle w:val="InstructionsTabelleText"/>
                <w:rFonts w:ascii="Times New Roman" w:hAnsi="Times New Roman"/>
                <w:sz w:val="24"/>
              </w:rPr>
              <w:t>y</w:t>
            </w:r>
            <w:r>
              <w:rPr>
                <w:rStyle w:val="InstructionsTabelleText"/>
                <w:rFonts w:ascii="Times New Roman" w:hAnsi="Times New Roman"/>
                <w:sz w:val="24"/>
              </w:rPr>
              <w:t>rus KRR 85 straipsnio 2 dalyje nurodytas patronuojamąsias įmones. Visi skaičiavimai, kuriuos reikia atlikti pagal KRR 85 straipsnį, atliekami kiekvieną patronuojamąją įm</w:t>
            </w:r>
            <w:r>
              <w:rPr>
                <w:rStyle w:val="InstructionsTabelleText"/>
                <w:rFonts w:ascii="Times New Roman" w:hAnsi="Times New Roman"/>
                <w:sz w:val="24"/>
              </w:rPr>
              <w:t>o</w:t>
            </w:r>
            <w:r>
              <w:rPr>
                <w:rStyle w:val="InstructionsTabelleText"/>
                <w:rFonts w:ascii="Times New Roman" w:hAnsi="Times New Roman"/>
                <w:sz w:val="24"/>
              </w:rPr>
              <w:t>nę konsoliduojant pogrupio lygmeniu, prireikus laikantis 85 straipsnio 2 dalies, o kitais atvejais – atskirai.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ir šioje formoje laikoma, kad mažumos dalys pirmiau nurodytų patronuojamųjų įmonių atveju yra asmenims, kurie nėra pagal KRR konsoliduojamos įmonės, prikla</w:t>
            </w:r>
            <w:r>
              <w:rPr>
                <w:rStyle w:val="InstructionsTabelleText"/>
                <w:rFonts w:ascii="Times New Roman" w:hAnsi="Times New Roman"/>
                <w:sz w:val="24"/>
              </w:rPr>
              <w:t>u</w:t>
            </w:r>
            <w:r>
              <w:rPr>
                <w:rStyle w:val="InstructionsTabelleText"/>
                <w:rFonts w:ascii="Times New Roman" w:hAnsi="Times New Roman"/>
                <w:sz w:val="24"/>
              </w:rPr>
              <w:t>sančios AT1 priemonės (įskaitant susijusį nepaskirstytąjį pelną ir akcijų priedus).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2 LYGIO KAPITALAS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KRR 71 straipsnis.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IŠ JO: KVALIFIKUOTASIS 2 LYGIO KAPITALAS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82 ir 83 straipsniai.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Šioje skiltyje pateikiama tik informacija apie visiškai konsoliduojamas patronuojam</w:t>
            </w:r>
            <w:r>
              <w:rPr>
                <w:rStyle w:val="InstructionsTabelleText"/>
                <w:rFonts w:ascii="Times New Roman" w:hAnsi="Times New Roman"/>
                <w:sz w:val="24"/>
              </w:rPr>
              <w:t>ą</w:t>
            </w:r>
            <w:r>
              <w:rPr>
                <w:rStyle w:val="InstructionsTabelleText"/>
                <w:rFonts w:ascii="Times New Roman" w:hAnsi="Times New Roman"/>
                <w:sz w:val="24"/>
              </w:rPr>
              <w:t>sias įmones, apie kurias informacija teikiama individualiai ir kurios yra įstaigos, išsk</w:t>
            </w:r>
            <w:r>
              <w:rPr>
                <w:rStyle w:val="InstructionsTabelleText"/>
                <w:rFonts w:ascii="Times New Roman" w:hAnsi="Times New Roman"/>
                <w:sz w:val="24"/>
              </w:rPr>
              <w:t>y</w:t>
            </w:r>
            <w:r>
              <w:rPr>
                <w:rStyle w:val="InstructionsTabelleText"/>
                <w:rFonts w:ascii="Times New Roman" w:hAnsi="Times New Roman"/>
                <w:sz w:val="24"/>
              </w:rPr>
              <w:t>rus KRR 87 straipsnio 2 dalyje nurodytas patronuojamąsias įmones. Visi skaičiavimai, kuriuos reikia atlikti pagal KRR 87 straipsnį, atliekami kiekvieną patronuojamąją įm</w:t>
            </w:r>
            <w:r>
              <w:rPr>
                <w:rStyle w:val="InstructionsTabelleText"/>
                <w:rFonts w:ascii="Times New Roman" w:hAnsi="Times New Roman"/>
                <w:sz w:val="24"/>
              </w:rPr>
              <w:t>o</w:t>
            </w:r>
            <w:r>
              <w:rPr>
                <w:rStyle w:val="InstructionsTabelleText"/>
                <w:rFonts w:ascii="Times New Roman" w:hAnsi="Times New Roman"/>
                <w:sz w:val="24"/>
              </w:rPr>
              <w:t xml:space="preserve">nę konsoliduojant pogrupio lygmeniu, prireikus laikantis KRR 87 straipsnio 2 dalies, o kitais atvejais – atskirai.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ir šioje formoje laikoma, kad mažumos dalys pirmiau nurodytų patronuojamųjų įmonių atveju yra asmenims, kurie nėra pagal KRR konsoliduojamos įmonės, prikla</w:t>
            </w:r>
            <w:r>
              <w:rPr>
                <w:rStyle w:val="InstructionsTabelleText"/>
                <w:rFonts w:ascii="Times New Roman" w:hAnsi="Times New Roman"/>
                <w:sz w:val="24"/>
              </w:rPr>
              <w:t>u</w:t>
            </w:r>
            <w:r>
              <w:rPr>
                <w:rStyle w:val="InstructionsTabelleText"/>
                <w:rFonts w:ascii="Times New Roman" w:hAnsi="Times New Roman"/>
                <w:sz w:val="24"/>
              </w:rPr>
              <w:lastRenderedPageBreak/>
              <w:t>sančios T2 priemonės (įskaitant susijusį nepaskirstytąjį pelną ir akcijų priedus).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Suma nurodoma atsižvelgiant į visų pereinamojo laikotarpio nuostatų poveikį, t. y. tai turi būti ataskaitinę datą reikalavimus atitinkanti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INFORMACIJA APIE SUBJEKTŲ INDĖLĮ Į GRUPĖS MOKUMĄ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INDĖLIS Į RIZIKĄ</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Toliau išdėstytose skiltyse informacija teikiama pagal informaciją teikiančiai įstaigai taikomas mokumo taisykles.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BENDRA RIZIKOS POZICIJOS SUMA</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Nurodoma 260–290 skilčių reikšmių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KREDITO RIZIKA, SANDORIO ŠALIES KREDITO RIZIKA, GAUTINŲ S</w:t>
            </w:r>
            <w:r>
              <w:rPr>
                <w:rStyle w:val="InstructionsTabelleberschrift"/>
                <w:rFonts w:ascii="Times New Roman" w:hAnsi="Times New Roman"/>
                <w:sz w:val="24"/>
              </w:rPr>
              <w:t>U</w:t>
            </w:r>
            <w:r>
              <w:rPr>
                <w:rStyle w:val="InstructionsTabelleberschrift"/>
                <w:rFonts w:ascii="Times New Roman" w:hAnsi="Times New Roman"/>
                <w:sz w:val="24"/>
              </w:rPr>
              <w:t>MŲ SUMAŽĖJIMO RIZIKA, SU NEBAIGTAIS SANDORIAIS SUSIJUSI R</w:t>
            </w:r>
            <w:r>
              <w:rPr>
                <w:rStyle w:val="InstructionsTabelleberschrift"/>
                <w:rFonts w:ascii="Times New Roman" w:hAnsi="Times New Roman"/>
                <w:sz w:val="24"/>
              </w:rPr>
              <w:t>I</w:t>
            </w:r>
            <w:r>
              <w:rPr>
                <w:rStyle w:val="InstructionsTabelleberschrift"/>
                <w:rFonts w:ascii="Times New Roman" w:hAnsi="Times New Roman"/>
                <w:sz w:val="24"/>
              </w:rPr>
              <w:t>ZIKA IR ATSISKAITYMO / PRISTATYMO RIZIKA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Nurodoma suma – pagal kredito riziką įvertintų pozicijų sumos ir nuosavų lėšų reik</w:t>
            </w:r>
            <w:r>
              <w:rPr>
                <w:rStyle w:val="InstructionsTabelleText"/>
                <w:rFonts w:ascii="Times New Roman" w:hAnsi="Times New Roman"/>
                <w:sz w:val="24"/>
              </w:rPr>
              <w:t>a</w:t>
            </w:r>
            <w:r>
              <w:rPr>
                <w:rStyle w:val="InstructionsTabelleText"/>
                <w:rFonts w:ascii="Times New Roman" w:hAnsi="Times New Roman"/>
                <w:sz w:val="24"/>
              </w:rPr>
              <w:t>lavimai atsiskaitymo / pristatymo rizikai padengti pagal KRR, išskyrus bet kokias s</w:t>
            </w:r>
            <w:r>
              <w:rPr>
                <w:rStyle w:val="InstructionsTabelleText"/>
                <w:rFonts w:ascii="Times New Roman" w:hAnsi="Times New Roman"/>
                <w:sz w:val="24"/>
              </w:rPr>
              <w:t>u</w:t>
            </w:r>
            <w:r>
              <w:rPr>
                <w:rStyle w:val="InstructionsTabelleText"/>
                <w:rFonts w:ascii="Times New Roman" w:hAnsi="Times New Roman"/>
                <w:sz w:val="24"/>
              </w:rPr>
              <w:t>mas, susijusias su sandoriais su kitais subjektais, įtrauktais į grupės konsoliduoto m</w:t>
            </w:r>
            <w:r>
              <w:rPr>
                <w:rStyle w:val="InstructionsTabelleText"/>
                <w:rFonts w:ascii="Times New Roman" w:hAnsi="Times New Roman"/>
                <w:sz w:val="24"/>
              </w:rPr>
              <w:t>o</w:t>
            </w:r>
            <w:r>
              <w:rPr>
                <w:rStyle w:val="InstructionsTabelleText"/>
                <w:rFonts w:ascii="Times New Roman" w:hAnsi="Times New Roman"/>
                <w:sz w:val="24"/>
              </w:rPr>
              <w:t>kumo koeficiento skaičiavimą.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POZICIJOS RIZIKA, UŽSIENIO VALIUTOS KURSO RIZIKA IR BIRŽOS PREKIŲ KAINOS RIZIKA</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Rinkos rizikos pozicijos sumos apskaičiuojamos kiekvieno subjekto lygmeniu, remia</w:t>
            </w:r>
            <w:r>
              <w:rPr>
                <w:rStyle w:val="InstructionsTabelleText"/>
                <w:rFonts w:ascii="Times New Roman" w:hAnsi="Times New Roman"/>
                <w:sz w:val="24"/>
              </w:rPr>
              <w:t>n</w:t>
            </w:r>
            <w:r>
              <w:rPr>
                <w:rStyle w:val="InstructionsTabelleText"/>
                <w:rFonts w:ascii="Times New Roman" w:hAnsi="Times New Roman"/>
                <w:sz w:val="24"/>
              </w:rPr>
              <w:t>tis KRR. Subjektai nurodo savo indėlį į bendrą pozicijos, užsienio valiutos kurso ir bi</w:t>
            </w:r>
            <w:r>
              <w:rPr>
                <w:rStyle w:val="InstructionsTabelleText"/>
                <w:rFonts w:ascii="Times New Roman" w:hAnsi="Times New Roman"/>
                <w:sz w:val="24"/>
              </w:rPr>
              <w:t>r</w:t>
            </w:r>
            <w:r>
              <w:rPr>
                <w:rStyle w:val="InstructionsTabelleText"/>
                <w:rFonts w:ascii="Times New Roman" w:hAnsi="Times New Roman"/>
                <w:sz w:val="24"/>
              </w:rPr>
              <w:t>žos prekių kainos rizikos pozicijos sumą. Nurodomų reikšmių suma atitinka sumą, n</w:t>
            </w:r>
            <w:r>
              <w:rPr>
                <w:rStyle w:val="InstructionsTabelleText"/>
                <w:rFonts w:ascii="Times New Roman" w:hAnsi="Times New Roman"/>
                <w:sz w:val="24"/>
              </w:rPr>
              <w:t>u</w:t>
            </w:r>
            <w:r>
              <w:rPr>
                <w:rStyle w:val="InstructionsTabelleText"/>
                <w:rFonts w:ascii="Times New Roman" w:hAnsi="Times New Roman"/>
                <w:sz w:val="24"/>
              </w:rPr>
              <w:t>rodytą konsoliduotos ataskaitos 520 eilutėje „BENDRA RIZIKOS POZICIJOS SUMA POZICIJOS RIZIKAI, UŽSIENIO VALIUTOS KURSO RIZIKAI IR BIRŽOS PR</w:t>
            </w:r>
            <w:r>
              <w:rPr>
                <w:rStyle w:val="InstructionsTabelleText"/>
                <w:rFonts w:ascii="Times New Roman" w:hAnsi="Times New Roman"/>
                <w:sz w:val="24"/>
              </w:rPr>
              <w:t>E</w:t>
            </w:r>
            <w:r>
              <w:rPr>
                <w:rStyle w:val="InstructionsTabelleText"/>
                <w:rFonts w:ascii="Times New Roman" w:hAnsi="Times New Roman"/>
                <w:sz w:val="24"/>
              </w:rPr>
              <w:t>KIŲ KAINOS RIZIKAI“.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OPERACINĖ RIZIKA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AMA metodo atveju nurodomos operacinės rizikos pozicijos sumos apima diversifik</w:t>
            </w:r>
            <w:r>
              <w:rPr>
                <w:rStyle w:val="InstructionsTabelleText"/>
                <w:rFonts w:ascii="Times New Roman" w:hAnsi="Times New Roman"/>
                <w:sz w:val="24"/>
              </w:rPr>
              <w:t>a</w:t>
            </w:r>
            <w:r>
              <w:rPr>
                <w:rStyle w:val="InstructionsTabelleText"/>
                <w:rFonts w:ascii="Times New Roman" w:hAnsi="Times New Roman"/>
                <w:sz w:val="24"/>
              </w:rPr>
              <w:t>vimo poveikį.</w:t>
            </w:r>
          </w:p>
          <w:p w:rsidR="00464F34" w:rsidRPr="00392FFD" w:rsidRDefault="00464F34" w:rsidP="00464F34">
            <w:pPr>
              <w:rPr>
                <w:rStyle w:val="InstructionsTabelleText"/>
                <w:rFonts w:ascii="Times New Roman" w:hAnsi="Times New Roman"/>
                <w:sz w:val="24"/>
              </w:rPr>
            </w:pPr>
            <w:r>
              <w:rPr>
                <w:rFonts w:ascii="Times New Roman" w:hAnsi="Times New Roman"/>
                <w:sz w:val="24"/>
              </w:rPr>
              <w:t>Pastoviosios pridėtinės išlaidos įskaitomos į šią skiltį.</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KITOS RIZIKOS POZICIJOS SUMOS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Šioje skiltyje nurodoma suma atitinka kitur specialiai nenurodytos rizikos pozicijos sumą.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INDĖLIS Į NUOSAVAS LĖŠAS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Šioje formos dalyje nesiekiama įstaigoms nustatyti reikalavimo atlikti visus bendro k</w:t>
            </w:r>
            <w:r>
              <w:rPr>
                <w:rStyle w:val="InstructionsTabelleText"/>
                <w:rFonts w:ascii="Times New Roman" w:hAnsi="Times New Roman"/>
                <w:sz w:val="24"/>
              </w:rPr>
              <w:t>a</w:t>
            </w:r>
            <w:r>
              <w:rPr>
                <w:rStyle w:val="InstructionsTabelleText"/>
                <w:rFonts w:ascii="Times New Roman" w:hAnsi="Times New Roman"/>
                <w:sz w:val="24"/>
              </w:rPr>
              <w:t xml:space="preserve">pitalo pakankamumo koeficiento skaičiavimus kiekvieno subjekto lygmeniu.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300–350 skiltis pildo tie konsoliduoti subjektai, kurie prisideda prie nuosavų lėšų m</w:t>
            </w:r>
            <w:r>
              <w:rPr>
                <w:rFonts w:ascii="Times New Roman" w:hAnsi="Times New Roman"/>
                <w:sz w:val="24"/>
              </w:rPr>
              <w:t>a</w:t>
            </w:r>
            <w:r>
              <w:rPr>
                <w:rFonts w:ascii="Times New Roman" w:hAnsi="Times New Roman"/>
                <w:sz w:val="24"/>
              </w:rPr>
              <w:t>žumos dalimi, kvalifikuotuoju 1 lygio kapitalu ir (arba) kvalifikuotosiomis nuosavomis lėšomis. Taikant II dalies 2.3 skirsnio paskutiniame sakinyje nurodytą ribą, 360–400 skiltis pildo visi konsoliduoti subjektai, kurie prisideda prie konsoliduotų nuosavų lėšų.</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lastRenderedPageBreak/>
              <w:t>Į nuosavas lėšas, kurias į subjektą įneša kiti subjektai, konsoliduojami kartu su info</w:t>
            </w:r>
            <w:r>
              <w:rPr>
                <w:rStyle w:val="InstructionsTabelleText"/>
                <w:rFonts w:ascii="Times New Roman" w:hAnsi="Times New Roman"/>
                <w:sz w:val="24"/>
              </w:rPr>
              <w:t>r</w:t>
            </w:r>
            <w:r>
              <w:rPr>
                <w:rStyle w:val="InstructionsTabelleText"/>
                <w:rFonts w:ascii="Times New Roman" w:hAnsi="Times New Roman"/>
                <w:sz w:val="24"/>
              </w:rPr>
              <w:t>maciją teikiančiu subjektu, neatsižvelgiama; šioje skiltyje nurodomas tik grynasis ind</w:t>
            </w:r>
            <w:r>
              <w:rPr>
                <w:rStyle w:val="InstructionsTabelleText"/>
                <w:rFonts w:ascii="Times New Roman" w:hAnsi="Times New Roman"/>
                <w:sz w:val="24"/>
              </w:rPr>
              <w:t>ė</w:t>
            </w:r>
            <w:r>
              <w:rPr>
                <w:rStyle w:val="InstructionsTabelleText"/>
                <w:rFonts w:ascii="Times New Roman" w:hAnsi="Times New Roman"/>
                <w:sz w:val="24"/>
              </w:rPr>
              <w:t xml:space="preserve">lis į grupės nuosavas lėšas – tai dažniausiai yra nuosavos lėšos, gautos iš trečiųjų šalių, ir sukaupti rezervai.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Toliau išdėstytose skiltyse informacija teikiama pagal informaciją teikiančiai įstaigai taikomas mokumo taisykles.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Į KONSOLIDUOTAS NUOSAVAS LĖŠAS ĮTRAUKTOS KVALIFIKUOTOS</w:t>
            </w:r>
            <w:r>
              <w:rPr>
                <w:rStyle w:val="InstructionsTabelleberschrift"/>
                <w:rFonts w:ascii="Times New Roman" w:hAnsi="Times New Roman"/>
                <w:sz w:val="24"/>
              </w:rPr>
              <w:t>I</w:t>
            </w:r>
            <w:r>
              <w:rPr>
                <w:rStyle w:val="InstructionsTabelleberschrift"/>
                <w:rFonts w:ascii="Times New Roman" w:hAnsi="Times New Roman"/>
                <w:sz w:val="24"/>
              </w:rPr>
              <w:t>OS NUOSAVOS LĖŠOS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Suma, nurodoma kaip „Į KONSOLIDUOTAS NUOSAVAS LĖŠAS ĮTRAUKTOS KVALIFIKUOTOSIOS NUOSAVOS LĖŠOS“, yra suma, apskaičiuota pagal KRR antros dalies II antraštinę dalį, neįskaitant jokių kitų grupės subjektų įneštų lėšų.</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Į KONSOLIDUOTAS NUOSAVAS LĖŠAS ĮTRAUKTOS KVALIFIKUOTOS</w:t>
            </w:r>
            <w:r>
              <w:rPr>
                <w:rStyle w:val="InstructionsTabelleberschrift"/>
                <w:rFonts w:ascii="Times New Roman" w:hAnsi="Times New Roman"/>
                <w:sz w:val="24"/>
              </w:rPr>
              <w:t>I</w:t>
            </w:r>
            <w:r>
              <w:rPr>
                <w:rStyle w:val="InstructionsTabelleberschrift"/>
                <w:rFonts w:ascii="Times New Roman" w:hAnsi="Times New Roman"/>
                <w:sz w:val="24"/>
              </w:rPr>
              <w:t>OS NUOSAVOS LĖŠOS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87 straipsnis.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Į KONSOLIDUOTĄ 1 LYGIO KAPITALĄ ĮTRAUKTOS KVALIFIKUOTOS</w:t>
            </w:r>
            <w:r>
              <w:rPr>
                <w:rStyle w:val="InstructionsTabelleberschrift"/>
                <w:rFonts w:ascii="Times New Roman" w:hAnsi="Times New Roman"/>
                <w:sz w:val="24"/>
              </w:rPr>
              <w:t>I</w:t>
            </w:r>
            <w:r>
              <w:rPr>
                <w:rStyle w:val="InstructionsTabelleberschrift"/>
                <w:rFonts w:ascii="Times New Roman" w:hAnsi="Times New Roman"/>
                <w:sz w:val="24"/>
              </w:rPr>
              <w:t>OS 1 LYGIO PRIEMONĖS</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KRR 85 straipsnis.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Į KONSOLIDUOTĄ BENDRĄ 1 LYGIO NUOSAVĄ KAPITALĄ ĮTRAUKTOS MAŽUMOS DALYS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84 straipsnis.</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Nurodoma suma – tai patronuojamosios įmonės mažumos dalių suma, įtraukta į kons</w:t>
            </w:r>
            <w:r>
              <w:rPr>
                <w:rStyle w:val="InstructionsTabelleText"/>
                <w:rFonts w:ascii="Times New Roman" w:hAnsi="Times New Roman"/>
                <w:sz w:val="24"/>
              </w:rPr>
              <w:t>o</w:t>
            </w:r>
            <w:r>
              <w:rPr>
                <w:rStyle w:val="InstructionsTabelleText"/>
                <w:rFonts w:ascii="Times New Roman" w:hAnsi="Times New Roman"/>
                <w:sz w:val="24"/>
              </w:rPr>
              <w:t xml:space="preserve">liduotą CET1 kapitalą pagal KRR.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Į KONSOLIDUOTĄ PAPILDOMĄ 1 LYGIO KAPITALĄ ĮTRAUKTOS KV</w:t>
            </w:r>
            <w:r>
              <w:rPr>
                <w:rStyle w:val="InstructionsTabelleberschrift"/>
                <w:rFonts w:ascii="Times New Roman" w:hAnsi="Times New Roman"/>
                <w:sz w:val="24"/>
              </w:rPr>
              <w:t>A</w:t>
            </w:r>
            <w:r>
              <w:rPr>
                <w:rStyle w:val="InstructionsTabelleberschrift"/>
                <w:rFonts w:ascii="Times New Roman" w:hAnsi="Times New Roman"/>
                <w:sz w:val="24"/>
              </w:rPr>
              <w:t>LIFIKUOTOSIOS 1 LYGIO PRIEMONĖS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86 straipsnis.</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Nurodoma suma – tai patronuojamosios įmonės kvalifikuotojo T1 kapitalo suma, įtraukta į konsoliduotą AT1 kapitalą pagal KRR.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Į KONSOLIDUOTĄ 2 LYGIO KAPITALĄ ĮTRAUKTOS KVALIFIKUOTOS</w:t>
            </w:r>
            <w:r>
              <w:rPr>
                <w:rStyle w:val="InstructionsTabelleberschrift"/>
                <w:rFonts w:ascii="Times New Roman" w:hAnsi="Times New Roman"/>
                <w:sz w:val="24"/>
              </w:rPr>
              <w:t>I</w:t>
            </w:r>
            <w:r>
              <w:rPr>
                <w:rStyle w:val="InstructionsTabelleberschrift"/>
                <w:rFonts w:ascii="Times New Roman" w:hAnsi="Times New Roman"/>
                <w:sz w:val="24"/>
              </w:rPr>
              <w:t>OS NUOSAVŲ LĖŠŲ PRIEMONĖS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KRR 88 straipsnis.</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Nurodoma suma – tai patronuojamosios įmonės kvalifikuotųjų nuosavų lėšų suma, įtraukta į konsoliduotą T2 kapitalą pagal KRR.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PAPILDOMAS STRAIPSNIS. (−) PRESTIŽAS / (+) NEIGIAMAS PRESTIŽAS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KONSOLIDUOTOS NUOSAVOS LĖŠOS</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KRR 18 straipsnis.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Suma, nurodoma kaip „KONSOLIDUOTOS NUOSAVOS LĖŠOS“, yra suma, apska</w:t>
            </w:r>
            <w:r>
              <w:rPr>
                <w:rStyle w:val="InstructionsTabelleText"/>
                <w:rFonts w:ascii="Times New Roman" w:hAnsi="Times New Roman"/>
                <w:sz w:val="24"/>
              </w:rPr>
              <w:t>i</w:t>
            </w:r>
            <w:r>
              <w:rPr>
                <w:rStyle w:val="InstructionsTabelleText"/>
                <w:rFonts w:ascii="Times New Roman" w:hAnsi="Times New Roman"/>
                <w:sz w:val="24"/>
              </w:rPr>
              <w:t>čiuota pagal balansą, neįskaitant jokių kitų grupės subjektų įneštų lėšų.</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lastRenderedPageBreak/>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KONSOLIDUOTOS NUOSAVOS LĖŠOS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IŠ JŲ: BENDRAS 1 LYGIO NUOSAVAS KAPITALAS</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IŠ JŲ: PAPILDOMAS 1 LYGIO KAPITALAS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IŠ JŲ: INDĖLIAI Į KONSOLIDUOTĄ REZULTATĄ</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Nurodomas kiekvieno subjekto indėlis į konsoliduotą rezultatą (pelną arba nuostolį (−)). Įskaitomi mažumos dalims priskiriami rezultatai.</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IŠ JŲ: (−) PRESTIŽAS / (+) NEIGIAMAS PRESTIŽAS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Čia nurodomas informaciją apie patronuojamąją įmonę teikiančio subjekto prestižas arba neigiamas prestižas.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KAPITALO REZERVAI</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kapitalo rezervus GS formoje teikiama pagal tokią pačią bendrą stru</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tūrą kaip CA4 formoje, laikantis tų pačių informacijos teikimo principų. Teikiant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formaciją apie kapitalo rezervus GS formoje atitinkamos sumos nurodomos atsižve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giant į nuostatas, taikytinas siekiant nustatyti rezervo reikalavimą konsoliduotai grupės būklei. Todėl nurodytos kapitalo rezervo sumos rodo kiekvieno subjekto įnašus į gr</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pės kapitalo rezervą. Nurodytos sumos turi būti pagrįstos KRD perkėlimo į nacionalinę teisę priemonėmis ir KRR, įskaitant visas juose numatytas pereinamojo laikotarpio nuostatas.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JUNGTINIO REZERVO REIKALAVIMAS</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KRD 128 straipsnio 6 punktas.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KAPITALO APSAUGOS REZERVAS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KRD 128 straipsnio 1 punktas ir 129 straipsnis.</w:t>
            </w:r>
          </w:p>
          <w:p w:rsidR="00464F34" w:rsidRPr="00392FFD" w:rsidRDefault="00464F34" w:rsidP="00FD239F">
            <w:pPr>
              <w:pStyle w:val="InstructionsText"/>
              <w:rPr>
                <w:rStyle w:val="InstructionsTabelleText"/>
                <w:rFonts w:ascii="Times New Roman" w:hAnsi="Times New Roman"/>
                <w:sz w:val="24"/>
              </w:rPr>
            </w:pPr>
            <w:r>
              <w:t>Pagal 129 straipsnio 1 dalį kapitalo apsaugos rezervas yra papildoma bendro 1 lygio nuosavo kapitalo suma. Kadangi kapitalo apsaugos rezervo 2,5 % norma yra pastovi, suma nurodoma šiame laukelyje.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ĮSTAIGOS SPECIALUS ANTICIKLINIS KAPITALO REZERVAS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KRD 128 straipsnio 2 punktas, 130 straipsnis ir 135–140 straipsniai.</w:t>
            </w:r>
          </w:p>
          <w:p w:rsidR="00464F34" w:rsidRPr="00392FFD" w:rsidRDefault="00464F34" w:rsidP="00FD239F">
            <w:pPr>
              <w:pStyle w:val="InstructionsText"/>
              <w:rPr>
                <w:rStyle w:val="InstructionsTabelleText"/>
                <w:rFonts w:ascii="Times New Roman" w:hAnsi="Times New Roman"/>
                <w:sz w:val="24"/>
              </w:rPr>
            </w:pPr>
            <w:r>
              <w:t>Šiame laukelyje nurodoma konkreti anticiklinio rezervo suma.</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APSAUGOS REZERVAS, SUDARYTAS DĖL VALSTYBĖS NARĖS LYGM</w:t>
            </w:r>
            <w:r>
              <w:rPr>
                <w:rStyle w:val="InstructionsTabelleberschrift"/>
                <w:rFonts w:ascii="Times New Roman" w:hAnsi="Times New Roman"/>
                <w:sz w:val="24"/>
              </w:rPr>
              <w:t>E</w:t>
            </w:r>
            <w:r>
              <w:rPr>
                <w:rStyle w:val="InstructionsTabelleberschrift"/>
                <w:rFonts w:ascii="Times New Roman" w:hAnsi="Times New Roman"/>
                <w:sz w:val="24"/>
              </w:rPr>
              <w:t>NIU NUSTATYTOS MAKROPRUDENCINĖS RIZIKOS ARBA SISTEMINĖS RIZIKOS</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458 straipsnio 2 dalies d punkto iv papunktis.</w:t>
            </w:r>
          </w:p>
          <w:p w:rsidR="00464F34" w:rsidRPr="00392FFD" w:rsidRDefault="00464F34" w:rsidP="00FD239F">
            <w:pPr>
              <w:pStyle w:val="InstructionsText"/>
              <w:rPr>
                <w:rStyle w:val="InstructionsTabelleberschrift"/>
                <w:rFonts w:ascii="Times New Roman" w:hAnsi="Times New Roman"/>
                <w:sz w:val="24"/>
              </w:rPr>
            </w:pPr>
            <w:r>
              <w:t>Šiame laukelyje nurodoma apsaugos rezervo, sudaryto dėl valstybės narės lygmeniu nustatytos makroprudencinės rizikos arba sisteminės rizikos, kurį pagal KRR 458 straipsnį gali būti reikalaujama turėti kartu su kapitalo apsaugos rezervu,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SISTEMINĖS RIZIKOS REZERVAS</w:t>
            </w:r>
          </w:p>
          <w:p w:rsidR="00464F34" w:rsidRPr="00392FFD" w:rsidRDefault="00464F34" w:rsidP="00FD239F">
            <w:pPr>
              <w:pStyle w:val="InstructionsText"/>
            </w:pPr>
            <w:r>
              <w:lastRenderedPageBreak/>
              <w:t xml:space="preserve">KRD 128 straipsnio 5 punktas, 133 ir 134 straipsniai.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Šiame laukelyje nurodoma sisteminės rizikos rezervo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PASAULINĖS SISTEMINĖS SVARBOS ĮSTAIGOS REZERVAS</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KRD 128 straipsnio 3 punktas ir 131 straipsnis.</w:t>
            </w:r>
          </w:p>
          <w:p w:rsidR="00483FC9" w:rsidRPr="00392FFD" w:rsidRDefault="00464F34" w:rsidP="00FD239F">
            <w:pPr>
              <w:pStyle w:val="InstructionsText"/>
              <w:rPr>
                <w:rStyle w:val="InstructionsTabelleberschrift"/>
                <w:rFonts w:ascii="Times New Roman" w:hAnsi="Times New Roman"/>
                <w:sz w:val="24"/>
              </w:rPr>
            </w:pPr>
            <w:r>
              <w:t>Šiame laukelyje nurodoma pasaulinės sisteminės svarbos įstaigos rezervo suma.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KITOS SISTEMINĖS SVARBOS ĮSTAIGOS REZERVAS</w:t>
            </w:r>
            <w:r>
              <w:tab/>
            </w:r>
          </w:p>
          <w:p w:rsidR="00464F34" w:rsidRPr="00392FFD" w:rsidRDefault="00464F34" w:rsidP="00FD239F">
            <w:pPr>
              <w:pStyle w:val="InstructionsText"/>
            </w:pPr>
            <w:r>
              <w:t>KRD 128 straipsnio 4 punktas ir 131 straipsnis.</w:t>
            </w:r>
          </w:p>
          <w:p w:rsidR="00464F34" w:rsidRPr="00392FFD" w:rsidRDefault="00464F34" w:rsidP="00FD239F">
            <w:pPr>
              <w:pStyle w:val="InstructionsText"/>
              <w:rPr>
                <w:rStyle w:val="InstructionsTabelleberschrift"/>
                <w:rFonts w:ascii="Times New Roman" w:hAnsi="Times New Roman"/>
                <w:sz w:val="24"/>
              </w:rPr>
            </w:pPr>
            <w:r>
              <w:t>Šiame laukelyje nurodoma kitos sisteminės svarbos įstaigos rezervo suma.</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4010036"/>
      <w:r>
        <w:rPr>
          <w:rFonts w:ascii="Times New Roman" w:hAnsi="Times New Roman"/>
          <w:sz w:val="24"/>
          <w:u w:val="none"/>
        </w:rPr>
        <w:t>3.</w:t>
      </w:r>
      <w:r>
        <w:tab/>
      </w:r>
      <w:r>
        <w:rPr>
          <w:rFonts w:ascii="Times New Roman" w:hAnsi="Times New Roman"/>
          <w:sz w:val="24"/>
        </w:rPr>
        <w:t>Kredito rizikos formos</w:t>
      </w:r>
      <w:bookmarkEnd w:id="145"/>
      <w:bookmarkEnd w:id="146"/>
      <w:bookmarkEnd w:id="147"/>
      <w:bookmarkEnd w:id="148"/>
      <w:bookmarkEnd w:id="149"/>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262568022"/>
      <w:bookmarkStart w:id="154" w:name="_Toc295829848"/>
      <w:bookmarkStart w:id="155" w:name="_Toc310415014"/>
      <w:bookmarkStart w:id="156" w:name="_Toc524010037"/>
      <w:r>
        <w:rPr>
          <w:rFonts w:ascii="Times New Roman" w:hAnsi="Times New Roman"/>
          <w:sz w:val="24"/>
          <w:u w:val="none"/>
        </w:rPr>
        <w:t>3.1.</w:t>
      </w:r>
      <w:r>
        <w:tab/>
      </w:r>
      <w:r>
        <w:rPr>
          <w:rFonts w:ascii="Times New Roman" w:hAnsi="Times New Roman"/>
          <w:sz w:val="24"/>
        </w:rPr>
        <w:t>Bendrosios pastabos</w:t>
      </w:r>
      <w:bookmarkEnd w:id="150"/>
      <w:bookmarkEnd w:id="151"/>
      <w:bookmarkEnd w:id="152"/>
      <w:bookmarkEnd w:id="156"/>
      <w:r>
        <w:rPr>
          <w:rFonts w:ascii="Times New Roman" w:hAnsi="Times New Roman"/>
          <w:sz w:val="24"/>
        </w:rPr>
        <w:t xml:space="preserve"> </w:t>
      </w:r>
      <w:bookmarkEnd w:id="153"/>
      <w:bookmarkEnd w:id="154"/>
      <w:bookmarkEnd w:id="155"/>
    </w:p>
    <w:p w:rsidR="00464F34" w:rsidRPr="00392FFD" w:rsidRDefault="00125707" w:rsidP="00C37B29">
      <w:pPr>
        <w:pStyle w:val="InstructionsText2"/>
        <w:numPr>
          <w:ilvl w:val="0"/>
          <w:numId w:val="0"/>
        </w:numPr>
        <w:ind w:left="993"/>
      </w:pPr>
      <w:r>
        <w:t>38.</w:t>
      </w:r>
      <w:r>
        <w:tab/>
        <w:t>Standartizuotam ir IRB kredito rizikos metodams skirtos skirtingos formų gr</w:t>
      </w:r>
      <w:r>
        <w:t>u</w:t>
      </w:r>
      <w:r>
        <w:t>pės. Be to, jei viršijama atitinkama 5 straipsnio a punkto 4 papunktyje nustatyta r</w:t>
      </w:r>
      <w:r>
        <w:t>i</w:t>
      </w:r>
      <w:r>
        <w:t>ba, pildomos atskiros formos, kuriose pateikiama informacija apie geografinį poz</w:t>
      </w:r>
      <w:r>
        <w:t>i</w:t>
      </w:r>
      <w:r>
        <w:t xml:space="preserve">cijų suskirstymą.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4010038"/>
      <w:r>
        <w:rPr>
          <w:rFonts w:ascii="Times New Roman" w:hAnsi="Times New Roman"/>
          <w:sz w:val="24"/>
          <w:u w:val="none"/>
        </w:rPr>
        <w:t>3.1.1.</w:t>
      </w:r>
      <w:r>
        <w:tab/>
      </w:r>
      <w:r>
        <w:rPr>
          <w:rFonts w:ascii="Times New Roman" w:hAnsi="Times New Roman"/>
          <w:sz w:val="24"/>
        </w:rPr>
        <w:t>Informacijos apie KRM metodus, turinčius pakeitimo poveikį, teikimas</w:t>
      </w:r>
      <w:bookmarkEnd w:id="157"/>
      <w:bookmarkEnd w:id="158"/>
      <w:bookmarkEnd w:id="159"/>
      <w:bookmarkEnd w:id="160"/>
      <w:bookmarkEnd w:id="161"/>
      <w:bookmarkEnd w:id="162"/>
      <w:bookmarkEnd w:id="163"/>
    </w:p>
    <w:p w:rsidR="00464F34" w:rsidRPr="00392FFD" w:rsidRDefault="00125707" w:rsidP="00C37B29">
      <w:pPr>
        <w:pStyle w:val="InstructionsText2"/>
        <w:numPr>
          <w:ilvl w:val="0"/>
          <w:numId w:val="0"/>
        </w:numPr>
        <w:ind w:left="993"/>
      </w:pPr>
      <w:r>
        <w:t>39.</w:t>
      </w:r>
      <w:r>
        <w:tab/>
        <w:t>KRR 235 straipsnyje paaiškinama pozicijos, kuri yra visiškai užtikrinta neti</w:t>
      </w:r>
      <w:r>
        <w:t>e</w:t>
      </w:r>
      <w:r>
        <w:t>sioginiu užtikrinimu, apskaičiavimo tvarka.</w:t>
      </w:r>
    </w:p>
    <w:p w:rsidR="00464F34" w:rsidRPr="00392FFD" w:rsidRDefault="00125707" w:rsidP="00C37B29">
      <w:pPr>
        <w:pStyle w:val="InstructionsText2"/>
        <w:numPr>
          <w:ilvl w:val="0"/>
          <w:numId w:val="0"/>
        </w:numPr>
        <w:ind w:left="993"/>
      </w:pPr>
      <w:r>
        <w:t>40.</w:t>
      </w:r>
      <w:r>
        <w:tab/>
        <w:t>KRR 236 straipsnyje paaiškinama pozicijos, kuri yra visiškai užtikrinta neti</w:t>
      </w:r>
      <w:r>
        <w:t>e</w:t>
      </w:r>
      <w:r>
        <w:t>sioginiu užtikrinimu, apskaičiavimo tvarka visiško užtikrinimo / dalinio užtikrin</w:t>
      </w:r>
      <w:r>
        <w:t>i</w:t>
      </w:r>
      <w:r>
        <w:t>mo, turinčio tą patį prioritetą, atvejais.</w:t>
      </w:r>
    </w:p>
    <w:p w:rsidR="00464F34" w:rsidRPr="00392FFD" w:rsidRDefault="00125707" w:rsidP="00C37B29">
      <w:pPr>
        <w:pStyle w:val="InstructionsText2"/>
        <w:numPr>
          <w:ilvl w:val="0"/>
          <w:numId w:val="0"/>
        </w:numPr>
        <w:ind w:left="993"/>
      </w:pPr>
      <w:r>
        <w:t>41.</w:t>
      </w:r>
      <w:r>
        <w:tab/>
        <w:t>KRR 196, 197 ir 200 straipsniais reglamentuojamas tiesioginis kredito užtikr</w:t>
      </w:r>
      <w:r>
        <w:t>i</w:t>
      </w:r>
      <w:r>
        <w:t>nimas.</w:t>
      </w:r>
    </w:p>
    <w:p w:rsidR="00464F34" w:rsidRPr="00392FFD" w:rsidRDefault="00125707" w:rsidP="00C37B29">
      <w:pPr>
        <w:pStyle w:val="InstructionsText2"/>
        <w:numPr>
          <w:ilvl w:val="0"/>
          <w:numId w:val="0"/>
        </w:numPr>
        <w:ind w:left="993"/>
      </w:pPr>
      <w:r>
        <w:t>42.</w:t>
      </w:r>
      <w:r>
        <w:tab/>
        <w:t>Įsipareigojančiųjų asmenų (tiesioginių sandorių šalių) pozicijos ir užtikrinimo teikėjų pozicijos, kurios yra priskirtos prie tos pačios pozicijų klasės, parodomos kaip tos pačios pozicijų klasės gaunamų pinigų srautas ir netenkamų pinigų srautas.</w:t>
      </w:r>
    </w:p>
    <w:p w:rsidR="00464F34" w:rsidRPr="00392FFD" w:rsidRDefault="00125707" w:rsidP="00C37B29">
      <w:pPr>
        <w:pStyle w:val="InstructionsText2"/>
        <w:numPr>
          <w:ilvl w:val="0"/>
          <w:numId w:val="0"/>
        </w:numPr>
        <w:ind w:left="993"/>
      </w:pPr>
      <w:r>
        <w:t>43.</w:t>
      </w:r>
      <w:r>
        <w:tab/>
        <w:t>Pozicijos rūšis nepakinta dėl netiesioginio kredito užtikrinimo.</w:t>
      </w:r>
    </w:p>
    <w:p w:rsidR="00464F34" w:rsidRPr="00392FFD" w:rsidRDefault="00125707" w:rsidP="00C37B29">
      <w:pPr>
        <w:pStyle w:val="InstructionsText2"/>
        <w:numPr>
          <w:ilvl w:val="0"/>
          <w:numId w:val="0"/>
        </w:numPr>
        <w:ind w:left="993"/>
      </w:pPr>
      <w:r>
        <w:t>44.</w:t>
      </w:r>
      <w:r>
        <w:tab/>
        <w:t>Jeigu pozicija yra užtikrinta netiesioginiu kredito užtikrinimu, užtikrintoji dalis yra priskiriama kaip netenkamų pinigų srautas, pvz., įsipareigojančiojo asmens p</w:t>
      </w:r>
      <w:r>
        <w:t>o</w:t>
      </w:r>
      <w:r>
        <w:t>zicijų klasėje, ir kaip gaunamų pinigų srautas – užtikrinimo teikėjo pozicijų klasėje. Tačiau pasikeitus pozicijos klasei pozicijos rūšis nesikeičia.</w:t>
      </w:r>
    </w:p>
    <w:p w:rsidR="00464F34" w:rsidRPr="00392FFD" w:rsidRDefault="00125707" w:rsidP="00C37B29">
      <w:pPr>
        <w:pStyle w:val="InstructionsText2"/>
        <w:numPr>
          <w:ilvl w:val="0"/>
          <w:numId w:val="0"/>
        </w:numPr>
        <w:ind w:left="993"/>
      </w:pPr>
      <w:r>
        <w:t>45.</w:t>
      </w:r>
      <w:r>
        <w:tab/>
        <w:t>Pakeitimo poveikis COREP informacijos teikimo sistemoje atspindi faktinį r</w:t>
      </w:r>
      <w:r>
        <w:t>i</w:t>
      </w:r>
      <w:r>
        <w:t xml:space="preserve">zikos koeficientų taikymą padengtai pozicijos daliai. Pati padengta pozicijos dalis yra įvertinama pagal riziką remiantis SA metodu ir nurodoma CR SA formoje.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4010039"/>
      <w:r>
        <w:rPr>
          <w:rFonts w:ascii="Times New Roman" w:hAnsi="Times New Roman"/>
          <w:sz w:val="24"/>
          <w:u w:val="none"/>
        </w:rPr>
        <w:lastRenderedPageBreak/>
        <w:t>3.1.2.</w:t>
      </w:r>
      <w:r>
        <w:tab/>
      </w:r>
      <w:r>
        <w:rPr>
          <w:rFonts w:ascii="Times New Roman" w:hAnsi="Times New Roman"/>
          <w:sz w:val="24"/>
        </w:rPr>
        <w:t>Informacijos apie sandorio šalies kredito riziką teikimas</w:t>
      </w:r>
      <w:bookmarkEnd w:id="164"/>
      <w:bookmarkEnd w:id="165"/>
      <w:bookmarkEnd w:id="166"/>
      <w:bookmarkEnd w:id="167"/>
      <w:bookmarkEnd w:id="168"/>
      <w:bookmarkEnd w:id="169"/>
      <w:bookmarkEnd w:id="170"/>
    </w:p>
    <w:p w:rsidR="00464F34" w:rsidRPr="00392FFD" w:rsidRDefault="00125707" w:rsidP="00C37B29">
      <w:pPr>
        <w:pStyle w:val="InstructionsText2"/>
        <w:numPr>
          <w:ilvl w:val="0"/>
          <w:numId w:val="0"/>
        </w:numPr>
        <w:ind w:left="993"/>
      </w:pPr>
      <w:r>
        <w:t>46.</w:t>
      </w:r>
      <w:r>
        <w:tab/>
        <w:t>Pozicijos, atsirandančios dėl sandorio šalies kredito rizikos pozicijų, nurod</w:t>
      </w:r>
      <w:r>
        <w:t>o</w:t>
      </w:r>
      <w:r>
        <w:t>mos CR SA arba CR IRB formose, nepaisant to, ar tai yra bankinės knygos, ar pr</w:t>
      </w:r>
      <w:r>
        <w:t>e</w:t>
      </w:r>
      <w:r>
        <w:t xml:space="preserve">kybos knygos straipsniai.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4010040"/>
      <w:r>
        <w:rPr>
          <w:rFonts w:ascii="Times New Roman" w:hAnsi="Times New Roman"/>
          <w:sz w:val="24"/>
          <w:u w:val="none"/>
        </w:rPr>
        <w:t>3.2.</w:t>
      </w:r>
      <w:r>
        <w:tab/>
      </w:r>
      <w:r>
        <w:rPr>
          <w:rFonts w:ascii="Times New Roman" w:hAnsi="Times New Roman"/>
          <w:sz w:val="24"/>
        </w:rPr>
        <w:t>C 07.00. Kredito rizika, sandorio šalies kredito rizika ir nebaigti sandoriai. Standart</w:t>
      </w:r>
      <w:r>
        <w:rPr>
          <w:rFonts w:ascii="Times New Roman" w:hAnsi="Times New Roman"/>
          <w:sz w:val="24"/>
        </w:rPr>
        <w:t>i</w:t>
      </w:r>
      <w:r>
        <w:rPr>
          <w:rFonts w:ascii="Times New Roman" w:hAnsi="Times New Roman"/>
          <w:sz w:val="24"/>
        </w:rPr>
        <w:t>zuotas metodas, taikomas kapitalo reikalavimams apskaičiuoti</w:t>
      </w:r>
      <w:bookmarkEnd w:id="171"/>
      <w:bookmarkEnd w:id="172"/>
      <w:bookmarkEnd w:id="173"/>
      <w:bookmarkEnd w:id="174"/>
      <w:r>
        <w:rPr>
          <w:rFonts w:ascii="Times New Roman" w:hAnsi="Times New Roman"/>
          <w:sz w:val="24"/>
        </w:rPr>
        <w:t xml:space="preserve"> (CR SA)</w:t>
      </w:r>
      <w:bookmarkEnd w:id="175"/>
      <w:bookmarkEnd w:id="176"/>
      <w:bookmarkEnd w:id="17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4010041"/>
      <w:r>
        <w:rPr>
          <w:rFonts w:ascii="Times New Roman" w:hAnsi="Times New Roman"/>
          <w:sz w:val="24"/>
          <w:u w:val="none"/>
        </w:rPr>
        <w:t>3.2.1.</w:t>
      </w:r>
      <w:r>
        <w:tab/>
      </w:r>
      <w:r>
        <w:rPr>
          <w:rFonts w:ascii="Times New Roman" w:hAnsi="Times New Roman"/>
          <w:sz w:val="24"/>
        </w:rPr>
        <w:t>Bendrosios pastabos</w:t>
      </w:r>
      <w:bookmarkEnd w:id="178"/>
      <w:bookmarkEnd w:id="179"/>
      <w:bookmarkEnd w:id="180"/>
      <w:bookmarkEnd w:id="181"/>
      <w:bookmarkEnd w:id="182"/>
      <w:bookmarkEnd w:id="183"/>
      <w:bookmarkEnd w:id="184"/>
      <w:bookmarkEnd w:id="185"/>
      <w:bookmarkEnd w:id="186"/>
    </w:p>
    <w:p w:rsidR="00464F34" w:rsidRPr="00392FFD" w:rsidRDefault="00125707" w:rsidP="00C37B29">
      <w:pPr>
        <w:pStyle w:val="InstructionsText2"/>
        <w:numPr>
          <w:ilvl w:val="0"/>
          <w:numId w:val="0"/>
        </w:numPr>
        <w:ind w:left="993"/>
      </w:pPr>
      <w:r>
        <w:t>47.</w:t>
      </w:r>
      <w:r>
        <w:tab/>
        <w:t>CR SA formose pateikiama reikiama informacija apie nuosavų lėšų reikalav</w:t>
      </w:r>
      <w:r>
        <w:t>i</w:t>
      </w:r>
      <w:r>
        <w:t>mų kredito rizikai padengti apskaičiavimą pagal standartizuotą metodą. Visų pirma jose pateikiama išsami informacija apie:</w:t>
      </w:r>
    </w:p>
    <w:p w:rsidR="00464F34" w:rsidRPr="00392FFD" w:rsidRDefault="00125707" w:rsidP="00C37B29">
      <w:pPr>
        <w:pStyle w:val="InstructionsText2"/>
        <w:numPr>
          <w:ilvl w:val="0"/>
          <w:numId w:val="0"/>
        </w:numPr>
        <w:ind w:left="993"/>
      </w:pPr>
      <w:r>
        <w:t>a)</w:t>
      </w:r>
      <w:r>
        <w:tab/>
        <w:t>pozicijų verčių pasiskirstymą pagal skirtingą pozicijos rūšį, rizikos koeficientą ir pozicijų klasę;</w:t>
      </w:r>
    </w:p>
    <w:p w:rsidR="00464F34" w:rsidRPr="00392FFD" w:rsidRDefault="00125707" w:rsidP="00C37B29">
      <w:pPr>
        <w:pStyle w:val="InstructionsText2"/>
        <w:numPr>
          <w:ilvl w:val="0"/>
          <w:numId w:val="0"/>
        </w:numPr>
        <w:ind w:left="993"/>
      </w:pPr>
      <w:r>
        <w:t>b)</w:t>
      </w:r>
      <w:r>
        <w:tab/>
        <w:t xml:space="preserve">rizikai mažinti naudojamų kredito rizikos mažinimo metodų mastą ir pobūdį.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4010042"/>
      <w:r>
        <w:rPr>
          <w:rFonts w:ascii="Times New Roman" w:hAnsi="Times New Roman"/>
          <w:sz w:val="24"/>
          <w:u w:val="none"/>
        </w:rPr>
        <w:t>3.2.2.</w:t>
      </w:r>
      <w:r>
        <w:tab/>
      </w:r>
      <w:r>
        <w:rPr>
          <w:rFonts w:ascii="Times New Roman" w:hAnsi="Times New Roman"/>
          <w:sz w:val="24"/>
        </w:rPr>
        <w:t>CR SA formos turinys</w:t>
      </w:r>
      <w:bookmarkEnd w:id="187"/>
      <w:bookmarkEnd w:id="188"/>
      <w:bookmarkEnd w:id="189"/>
      <w:bookmarkEnd w:id="190"/>
      <w:bookmarkEnd w:id="191"/>
      <w:bookmarkEnd w:id="192"/>
      <w:bookmarkEnd w:id="193"/>
      <w:bookmarkEnd w:id="194"/>
      <w:bookmarkEnd w:id="195"/>
    </w:p>
    <w:p w:rsidR="00464F34" w:rsidRPr="00392FFD" w:rsidRDefault="00125707" w:rsidP="00C37B29">
      <w:pPr>
        <w:pStyle w:val="InstructionsText2"/>
        <w:numPr>
          <w:ilvl w:val="0"/>
          <w:numId w:val="0"/>
        </w:numPr>
        <w:ind w:left="993"/>
      </w:pPr>
      <w:r>
        <w:t>48.</w:t>
      </w:r>
      <w:r>
        <w:tab/>
        <w:t>Pagal KRR 112 straipsnį, siekiant apskaičiuoti nuosavų lėšų reikalavimus, kiekviena SA pozicija priskiriama prie vienos iš 16 SA pozicijų klasių.</w:t>
      </w:r>
    </w:p>
    <w:p w:rsidR="00464F34" w:rsidRPr="00392FFD" w:rsidRDefault="00125707" w:rsidP="00C37B29">
      <w:pPr>
        <w:pStyle w:val="InstructionsText2"/>
        <w:numPr>
          <w:ilvl w:val="0"/>
          <w:numId w:val="0"/>
        </w:numPr>
        <w:ind w:left="993"/>
      </w:pPr>
      <w:r>
        <w:t>49.</w:t>
      </w:r>
      <w:r>
        <w:tab/>
        <w:t xml:space="preserve">CR SA formoje reikia pateikti informaciją apie visas pozicijų klases bendrai ir apie kiekvieną pozicijų klasę atskirai, kaip nurodyta norint taikyti standartizuotą metodą. Bendros sumos ir informacija apie kiekvieną pozicijų klasę yra nurodomos skirtingu aspektu. </w:t>
      </w:r>
    </w:p>
    <w:p w:rsidR="00464F34" w:rsidRPr="00392FFD" w:rsidRDefault="00125707" w:rsidP="00C37B29">
      <w:pPr>
        <w:pStyle w:val="InstructionsText2"/>
        <w:numPr>
          <w:ilvl w:val="0"/>
          <w:numId w:val="0"/>
        </w:numPr>
        <w:ind w:left="993"/>
      </w:pPr>
      <w:r>
        <w:t>50.</w:t>
      </w:r>
      <w:r>
        <w:tab/>
        <w:t>Tačiau CR SA formoje informacija neteikiama apie šias pozicijas:</w:t>
      </w:r>
    </w:p>
    <w:p w:rsidR="00464F34" w:rsidRPr="00392FFD" w:rsidRDefault="00125707" w:rsidP="00C37B29">
      <w:pPr>
        <w:pStyle w:val="InstructionsText2"/>
        <w:numPr>
          <w:ilvl w:val="0"/>
          <w:numId w:val="0"/>
        </w:numPr>
        <w:ind w:left="993"/>
      </w:pPr>
      <w:r>
        <w:t>a)</w:t>
      </w:r>
      <w:r>
        <w:tab/>
        <w:t>pozicijas, pagal KRR 112 straipsnio m punktą priskirtas prie pozicijų klasės „Pakeitimo vertybiniais popieriais pozicijos“, – jos nurodomos CR SEC formose;</w:t>
      </w:r>
    </w:p>
    <w:p w:rsidR="00464F34" w:rsidRPr="00392FFD" w:rsidRDefault="00125707" w:rsidP="00C37B29">
      <w:pPr>
        <w:pStyle w:val="InstructionsText2"/>
        <w:numPr>
          <w:ilvl w:val="0"/>
          <w:numId w:val="0"/>
        </w:numPr>
        <w:ind w:left="993"/>
      </w:pPr>
      <w:r>
        <w:t>b)</w:t>
      </w:r>
      <w:r>
        <w:tab/>
        <w:t>iš nuosavų lėšų atskaitytas pozicijas.</w:t>
      </w:r>
    </w:p>
    <w:p w:rsidR="00464F34" w:rsidRPr="00392FFD" w:rsidRDefault="00125707" w:rsidP="00C37B29">
      <w:pPr>
        <w:pStyle w:val="InstructionsText2"/>
        <w:numPr>
          <w:ilvl w:val="0"/>
          <w:numId w:val="0"/>
        </w:numPr>
        <w:ind w:left="993"/>
      </w:pPr>
      <w:r>
        <w:t>51.</w:t>
      </w:r>
      <w:r>
        <w:tab/>
        <w:t>CR SA formoje pateikiama informacija apie šiuos nuosavų lėšų reikalavimus:</w:t>
      </w:r>
    </w:p>
    <w:p w:rsidR="00464F34" w:rsidRPr="00392FFD" w:rsidRDefault="00125707" w:rsidP="00C37B29">
      <w:pPr>
        <w:pStyle w:val="InstructionsText2"/>
        <w:numPr>
          <w:ilvl w:val="0"/>
          <w:numId w:val="0"/>
        </w:numPr>
        <w:ind w:left="993"/>
      </w:pPr>
      <w:r>
        <w:t>a)</w:t>
      </w:r>
      <w:r>
        <w:tab/>
        <w:t>kredito rizikai pagal KRR trečios dalies II antraštinės dalies 2 skyrių (standart</w:t>
      </w:r>
      <w:r>
        <w:t>i</w:t>
      </w:r>
      <w:r>
        <w:t>zuotas metodas) bankinėje knygoje, įskaitant sandorio šalies kredito riziką pagal KRR trečios dalies II antraštinės dalies 6 skyrių (sandorio šalies kredito rizika) bankinėje knygoje, padengti;</w:t>
      </w:r>
    </w:p>
    <w:p w:rsidR="00464F34" w:rsidRPr="00392FFD" w:rsidRDefault="00125707" w:rsidP="00C37B29">
      <w:pPr>
        <w:pStyle w:val="InstructionsText2"/>
        <w:numPr>
          <w:ilvl w:val="0"/>
          <w:numId w:val="0"/>
        </w:numPr>
        <w:ind w:left="993"/>
      </w:pPr>
      <w:r>
        <w:t>b)</w:t>
      </w:r>
      <w:r>
        <w:tab/>
        <w:t>sandorio šalies kredito rizikai pagal KRR trečios dalies II antraštinės dalies 6 skyrių (sandorio šalies kredito rizika) prekybos knygoje padengti;</w:t>
      </w:r>
    </w:p>
    <w:p w:rsidR="00464F34" w:rsidRPr="00392FFD" w:rsidRDefault="00125707" w:rsidP="00C37B29">
      <w:pPr>
        <w:pStyle w:val="InstructionsText2"/>
        <w:numPr>
          <w:ilvl w:val="0"/>
          <w:numId w:val="0"/>
        </w:numPr>
        <w:ind w:left="993"/>
      </w:pPr>
      <w:r>
        <w:t>c)</w:t>
      </w:r>
      <w:r>
        <w:tab/>
        <w:t>atsiskaitymų rizikai, kuri kyla dėl KRR 379 straipsnyje nurodytų nebaigtų sa</w:t>
      </w:r>
      <w:r>
        <w:t>n</w:t>
      </w:r>
      <w:r>
        <w:t>dorių visose verslo veiklos srityse, padengti.</w:t>
      </w:r>
    </w:p>
    <w:p w:rsidR="00464F34" w:rsidRPr="00392FFD" w:rsidRDefault="00125707" w:rsidP="00C37B29">
      <w:pPr>
        <w:pStyle w:val="InstructionsText2"/>
        <w:numPr>
          <w:ilvl w:val="0"/>
          <w:numId w:val="0"/>
        </w:numPr>
        <w:ind w:left="993"/>
      </w:pPr>
      <w:r>
        <w:t>52.</w:t>
      </w:r>
      <w:r>
        <w:tab/>
        <w:t>Į formą įtraukiamos visos pozicijos, kurioms skaičiuojamas nuosavų lėšų reik</w:t>
      </w:r>
      <w:r>
        <w:t>a</w:t>
      </w:r>
      <w:r>
        <w:t xml:space="preserve">lavimas pagal KRR trečios dalies II antraštinės dalies 2 skyrių kartu KRR trečios </w:t>
      </w:r>
      <w:r>
        <w:lastRenderedPageBreak/>
        <w:t>dalies II antraštinės dalies 4 ir 6 skyriais. Įstaigos, kurios taiko KRR 94 straipsnio 1 dalį, šioje formoje taip pat turi nurodyti savo prekybos knygos pozicijas, jeigu jos nuosavų lėšų reikalavimą apskaičiuoja pagal KRR trečios dalies II antraštinės dalies 2 skyrių (KRR trečios dalies II antraštinės dalies 2 ir 6 skyriai ir V antraštinė dalis). Todėl formoje pateikiama išsami informacija ne tik apie pozicijos rūšį (pvz., bala</w:t>
      </w:r>
      <w:r>
        <w:t>n</w:t>
      </w:r>
      <w:r>
        <w:t>sinius / nebalansinius straipsnius), bet ir apie rizikos koeficientų paskirstymą atiti</w:t>
      </w:r>
      <w:r>
        <w:t>n</w:t>
      </w:r>
      <w:r>
        <w:t>kamoje pozicijų klasėje.</w:t>
      </w:r>
    </w:p>
    <w:p w:rsidR="00464F34" w:rsidRPr="00392FFD" w:rsidRDefault="00125707" w:rsidP="00C37B29">
      <w:pPr>
        <w:pStyle w:val="InstructionsText2"/>
        <w:numPr>
          <w:ilvl w:val="0"/>
          <w:numId w:val="0"/>
        </w:numPr>
        <w:ind w:left="993"/>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53.</w:t>
      </w:r>
      <w:r>
        <w:tab/>
        <w:t>Be to, CR SA formos 290–320 eilutėse nurodomi papildomi straipsniai, taip siekiant surinkti išsamesnės informacijos apie nekilnojamojo turto hipoteka užti</w:t>
      </w:r>
      <w:r>
        <w:t>k</w:t>
      </w:r>
      <w:r>
        <w:t xml:space="preserve">rintas pozicijas ir pozicijas esant įsipareigojimų neįvykdymui. </w:t>
      </w:r>
    </w:p>
    <w:p w:rsidR="00464F34" w:rsidRPr="00392FFD" w:rsidRDefault="00125707" w:rsidP="00C37B29">
      <w:pPr>
        <w:pStyle w:val="InstructionsText2"/>
        <w:numPr>
          <w:ilvl w:val="0"/>
          <w:numId w:val="0"/>
        </w:numPr>
        <w:ind w:left="993"/>
      </w:pPr>
      <w:r>
        <w:t>54.</w:t>
      </w:r>
      <w:r>
        <w:tab/>
        <w:t xml:space="preserve">Šie papildomi straipsniai nurodomi šiose pozicijų klasėse: </w:t>
      </w:r>
    </w:p>
    <w:p w:rsidR="00464F34" w:rsidRPr="00392FFD" w:rsidRDefault="00125707" w:rsidP="00C37B29">
      <w:pPr>
        <w:pStyle w:val="InstructionsText2"/>
        <w:numPr>
          <w:ilvl w:val="0"/>
          <w:numId w:val="0"/>
        </w:numPr>
        <w:ind w:left="993"/>
      </w:pPr>
      <w:r>
        <w:t>a)</w:t>
      </w:r>
      <w:r>
        <w:tab/>
        <w:t>centrinės valdžios arba centrinių bankų pozicijos (KRR 112 straipsnio a pun</w:t>
      </w:r>
      <w:r>
        <w:t>k</w:t>
      </w:r>
      <w:r>
        <w:t>tas);</w:t>
      </w:r>
    </w:p>
    <w:p w:rsidR="00464F34" w:rsidRPr="00392FFD" w:rsidRDefault="00125707" w:rsidP="00C37B29">
      <w:pPr>
        <w:pStyle w:val="InstructionsText2"/>
        <w:numPr>
          <w:ilvl w:val="0"/>
          <w:numId w:val="0"/>
        </w:numPr>
        <w:ind w:left="993"/>
      </w:pPr>
      <w:r>
        <w:t>b)</w:t>
      </w:r>
      <w:r>
        <w:tab/>
        <w:t>regioninės arba vietos valdžios pozicijos (KRR 112 straipsnio b punktas);</w:t>
      </w:r>
    </w:p>
    <w:p w:rsidR="00464F34" w:rsidRPr="00392FFD" w:rsidRDefault="00125707" w:rsidP="00C37B29">
      <w:pPr>
        <w:pStyle w:val="InstructionsText2"/>
        <w:numPr>
          <w:ilvl w:val="0"/>
          <w:numId w:val="0"/>
        </w:numPr>
        <w:ind w:left="993"/>
      </w:pPr>
      <w:r>
        <w:t>c)</w:t>
      </w:r>
      <w:r>
        <w:tab/>
        <w:t>viešojo sektoriaus subjektų pozicijos (KRR 112 straipsnio c punktas);</w:t>
      </w:r>
    </w:p>
    <w:p w:rsidR="00464F34" w:rsidRPr="00392FFD" w:rsidRDefault="00125707" w:rsidP="00C37B29">
      <w:pPr>
        <w:pStyle w:val="InstructionsText2"/>
        <w:numPr>
          <w:ilvl w:val="0"/>
          <w:numId w:val="0"/>
        </w:numPr>
        <w:ind w:left="993"/>
      </w:pPr>
      <w:r>
        <w:t>d)</w:t>
      </w:r>
      <w:r>
        <w:tab/>
        <w:t>įstaigų pozicijos (KRR 112 straipsnio f punktas);</w:t>
      </w:r>
    </w:p>
    <w:p w:rsidR="00464F34" w:rsidRPr="00392FFD" w:rsidRDefault="00125707" w:rsidP="00C37B29">
      <w:pPr>
        <w:pStyle w:val="InstructionsText2"/>
        <w:numPr>
          <w:ilvl w:val="0"/>
          <w:numId w:val="0"/>
        </w:numPr>
        <w:ind w:left="993"/>
      </w:pPr>
      <w:r>
        <w:t>e)</w:t>
      </w:r>
      <w:r>
        <w:tab/>
        <w:t>įmonių pozicijos (KRR 112 straipsnio g punktas);</w:t>
      </w:r>
    </w:p>
    <w:p w:rsidR="00464F34" w:rsidRPr="00392FFD" w:rsidRDefault="00125707" w:rsidP="00C37B29">
      <w:pPr>
        <w:pStyle w:val="InstructionsText2"/>
        <w:numPr>
          <w:ilvl w:val="0"/>
          <w:numId w:val="0"/>
        </w:numPr>
        <w:ind w:left="993"/>
      </w:pPr>
      <w:r>
        <w:t>f)</w:t>
      </w:r>
      <w:r>
        <w:tab/>
        <w:t>mažmeninės pozicijos (KRR 112 straipsnio h punktas).</w:t>
      </w:r>
    </w:p>
    <w:p w:rsidR="00464F34" w:rsidRPr="00392FFD" w:rsidRDefault="00125707" w:rsidP="00C37B29">
      <w:pPr>
        <w:pStyle w:val="InstructionsText2"/>
        <w:numPr>
          <w:ilvl w:val="0"/>
          <w:numId w:val="0"/>
        </w:numPr>
        <w:ind w:left="993"/>
      </w:pPr>
      <w:r>
        <w:t>55.</w:t>
      </w:r>
      <w:r>
        <w:tab/>
        <w:t>Papildomi straipsniai neturi įtakos nei KRR 112 straipsnio a–c ir f–h punktu</w:t>
      </w:r>
      <w:r>
        <w:t>o</w:t>
      </w:r>
      <w:r>
        <w:t xml:space="preserve">se, nei i ir j punktuose nurodytų pozicijų klasių pagal riziką įvertintų pozicijų sumų, nurodomų CR SA, skaičiavimui. </w:t>
      </w:r>
    </w:p>
    <w:p w:rsidR="00464F34" w:rsidRPr="00392FFD" w:rsidRDefault="00125707" w:rsidP="00C37B29">
      <w:pPr>
        <w:pStyle w:val="InstructionsText2"/>
        <w:numPr>
          <w:ilvl w:val="0"/>
          <w:numId w:val="0"/>
        </w:numPr>
        <w:ind w:left="993"/>
      </w:pPr>
      <w:r>
        <w:t>56.</w:t>
      </w:r>
      <w:r>
        <w:tab/>
        <w:t>Papildomų straipsnių eilutėse pateikiama papildoma informacija apie pozicijų klasių „pozicijos esant įsipareigojimų neįvykdymui“ arba „nekilnojamojo turto h</w:t>
      </w:r>
      <w:r>
        <w:t>i</w:t>
      </w:r>
      <w:r>
        <w:t>poteka užtikrintos pozicijos“ struktūrą pagal įsipareigojantįjį asmenį. Pozicijos n</w:t>
      </w:r>
      <w:r>
        <w:t>u</w:t>
      </w:r>
      <w:r>
        <w:t>rodomos šiose eilutėse, jeigu įsipareigojantieji asmenys būtų įrašyti CR SA pozicijų klasėse: „centrinės valdžios arba centrinių bankų pozicijos“, „regioninės arba vietos valdžios pozicijos“, „viešojo sektoriaus subjektų pozicijos“, „įstaigų pozicijos“, „įmonių pozicijos“ ir „mažmeninės pozicijos“, jei šios pozicijos nebūtų buvusios priskirtos prie pozicijų klasių „pozicijos esant įsipareigojimų neįvykdymui“ arba „nekilnojamojo turto hipoteka užtikrintos pozicijos“. Tačiau nurodomi tie patys skaičiai, kurie naudojami apskaičiuojant pagal riziką įvertintų pozicijų sumas poz</w:t>
      </w:r>
      <w:r>
        <w:t>i</w:t>
      </w:r>
      <w:r>
        <w:t>cijų klasėse „pozicijos esant įsipareigojimų neįvykdymui“ arba „nekilnojamojo tu</w:t>
      </w:r>
      <w:r>
        <w:t>r</w:t>
      </w:r>
      <w:r>
        <w:t>to hipoteka užtikrintos pozicijos“.</w:t>
      </w:r>
    </w:p>
    <w:p w:rsidR="00464F34" w:rsidRPr="00392FFD" w:rsidRDefault="00125707" w:rsidP="00C37B29">
      <w:pPr>
        <w:pStyle w:val="InstructionsText2"/>
        <w:numPr>
          <w:ilvl w:val="0"/>
          <w:numId w:val="0"/>
        </w:numPr>
        <w:ind w:left="993"/>
      </w:pPr>
      <w:r>
        <w:t>57.</w:t>
      </w:r>
      <w:r>
        <w:tab/>
        <w:t>Pavyzdžiui, pozicijos, kurios rizikos pozicijos sumos yra apskaičiuojamos p</w:t>
      </w:r>
      <w:r>
        <w:t>a</w:t>
      </w:r>
      <w:r>
        <w:t>gal KRR 127 straipsnį ir kurios vertės koregavimai yra mažesni nei 20 %, atveju ši informacija pateikiama CR SA formos 320 eilutėje prie bendros sumos, pozicijų klasėje „pozicijos esant įsipareigojimų neįvykdymui“. Jeigu prieš tai, kai buvo ne</w:t>
      </w:r>
      <w:r>
        <w:t>į</w:t>
      </w:r>
      <w:r>
        <w:t>vykdyti įsipareigojimai, ši pozicija buvo įstaigos pozicija, ši informacija taip pat nurodoma 320 eilutės pozicijų klasėje „įstaigų pozicijos“.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4010043"/>
      <w:r>
        <w:rPr>
          <w:rFonts w:ascii="Times New Roman" w:hAnsi="Times New Roman"/>
          <w:sz w:val="24"/>
          <w:u w:val="none"/>
        </w:rPr>
        <w:lastRenderedPageBreak/>
        <w:t>3.2.3.</w:t>
      </w:r>
      <w:r>
        <w:tab/>
      </w:r>
      <w:r>
        <w:rPr>
          <w:rFonts w:ascii="Times New Roman" w:hAnsi="Times New Roman"/>
          <w:sz w:val="24"/>
        </w:rPr>
        <w:t xml:space="preserve"> </w:t>
      </w:r>
      <w:bookmarkStart w:id="226" w:name="_Toc310415022"/>
      <w:bookmarkStart w:id="227" w:name="_Toc360188351"/>
      <w:bookmarkStart w:id="228" w:name="_Toc473560900"/>
      <w:r>
        <w:rPr>
          <w:rFonts w:ascii="Times New Roman" w:hAnsi="Times New Roman"/>
          <w:sz w:val="24"/>
        </w:rPr>
        <w:t>Pozicijų priskyrimas prie pozicijų klasių pagal standartizuotą metodą</w:t>
      </w:r>
      <w:bookmarkEnd w:id="220"/>
      <w:bookmarkEnd w:id="221"/>
      <w:bookmarkEnd w:id="222"/>
      <w:bookmarkEnd w:id="223"/>
      <w:bookmarkEnd w:id="224"/>
      <w:bookmarkEnd w:id="226"/>
      <w:bookmarkEnd w:id="227"/>
      <w:bookmarkEnd w:id="228"/>
      <w:bookmarkEnd w:id="225"/>
    </w:p>
    <w:p w:rsidR="00464F34" w:rsidRPr="00392FFD" w:rsidRDefault="00125707" w:rsidP="00C37B29">
      <w:pPr>
        <w:pStyle w:val="InstructionsText2"/>
        <w:numPr>
          <w:ilvl w:val="0"/>
          <w:numId w:val="0"/>
        </w:numPr>
        <w:ind w:left="993"/>
      </w:pPr>
      <w:r>
        <w:t>58.</w:t>
      </w:r>
      <w:r>
        <w:tab/>
        <w:t xml:space="preserve">Siekiant užtikrinti nuoseklų pozicijų priskyrimą prie skirtingų KRR 112 straipsnyje apibrėžtų pozicijų klasių, nuosekliai taikoma tokia tvarka: </w:t>
      </w:r>
    </w:p>
    <w:p w:rsidR="00464F34" w:rsidRPr="00392FFD" w:rsidRDefault="00125707" w:rsidP="00C37B29">
      <w:pPr>
        <w:pStyle w:val="InstructionsText2"/>
        <w:numPr>
          <w:ilvl w:val="0"/>
          <w:numId w:val="0"/>
        </w:numPr>
        <w:ind w:left="993"/>
      </w:pPr>
      <w:r>
        <w:t>a)</w:t>
      </w:r>
      <w:r>
        <w:tab/>
        <w:t>Pirmame etape pradinė pozicija iki perskaičiavimo koeficientų taikymo prisk</w:t>
      </w:r>
      <w:r>
        <w:t>i</w:t>
      </w:r>
      <w:r>
        <w:t>riama prie atitinkamos (pradinių) pozicijų klasės, kaip nurodyta KRR 112 straip</w:t>
      </w:r>
      <w:r>
        <w:t>s</w:t>
      </w:r>
      <w:r>
        <w:t>nyje, nedarant poveikio tam, kokia konkreti tvarka (rizikos koeficientas) bus taik</w:t>
      </w:r>
      <w:r>
        <w:t>o</w:t>
      </w:r>
      <w:r>
        <w:t>ma kiekvienai konkrečiai pozicijai pozicijų klasėje, prie kurios ji priskirta.</w:t>
      </w:r>
    </w:p>
    <w:p w:rsidR="00464F34" w:rsidRPr="00392FFD" w:rsidRDefault="00125707" w:rsidP="00C37B29">
      <w:pPr>
        <w:pStyle w:val="InstructionsText2"/>
        <w:numPr>
          <w:ilvl w:val="0"/>
          <w:numId w:val="0"/>
        </w:numPr>
        <w:ind w:left="993"/>
      </w:pPr>
      <w:r>
        <w:t>b)</w:t>
      </w:r>
      <w:r>
        <w:tab/>
        <w:t>Antrame etape pozicijos, pritaikius kredito rizikos mažinimo (KRM) metodus, turinčius pozicijos pakeitimo poveikį (pvz., juos sudaro garantijos, kredito išvest</w:t>
      </w:r>
      <w:r>
        <w:t>i</w:t>
      </w:r>
      <w:r>
        <w:t>nės finansines priemonės, paprastasis finansinių užtikrinimo priemonių metodas), per gaunamų ir netenkamų pinigų srautus gali būti perskirtos į kitas pozicijų klases.</w:t>
      </w:r>
    </w:p>
    <w:p w:rsidR="00464F34" w:rsidRPr="00392FFD" w:rsidRDefault="00125707" w:rsidP="00C37B29">
      <w:pPr>
        <w:pStyle w:val="InstructionsText2"/>
        <w:numPr>
          <w:ilvl w:val="0"/>
          <w:numId w:val="0"/>
        </w:numPr>
        <w:ind w:left="993"/>
      </w:pPr>
      <w:r>
        <w:t>59.</w:t>
      </w:r>
      <w:r>
        <w:tab/>
        <w:t>Šie kriterijai taikomi siekiant suskirstyti pradines pozicijas iki perskaičiavimo koeficientų taikymo pagal įvairias pozicijų klases (pirmas etapas), nedarant pove</w:t>
      </w:r>
      <w:r>
        <w:t>i</w:t>
      </w:r>
      <w:r>
        <w:t>kio paskesniam perskirstymui dėl KRM metodų, turinčių pozicijos pakeitimo p</w:t>
      </w:r>
      <w:r>
        <w:t>o</w:t>
      </w:r>
      <w:r>
        <w:t>veikį, taikymo ar tvarkai (rizikos koeficientui), kuri bus taikoma kiekvienai konkr</w:t>
      </w:r>
      <w:r>
        <w:t>e</w:t>
      </w:r>
      <w:r>
        <w:t>čiai pozicijai pozicijų klasėje, prie kurios ji priskirta.</w:t>
      </w:r>
    </w:p>
    <w:p w:rsidR="00464F34" w:rsidRPr="00392FFD" w:rsidRDefault="00125707" w:rsidP="00C37B29">
      <w:pPr>
        <w:pStyle w:val="InstructionsText2"/>
        <w:numPr>
          <w:ilvl w:val="0"/>
          <w:numId w:val="0"/>
        </w:numPr>
        <w:ind w:left="993"/>
      </w:pPr>
      <w:r>
        <w:t>60.</w:t>
      </w:r>
      <w:r>
        <w:tab/>
        <w:t>Siekiant suskirstyti pradines pozicijas iki perskaičiavimo koeficiento taikymo pirmame etape, su pozicija susiję KRM metodai netaikomi (atkreipkite dėmesį, kad jie aiškiai taikomi tik antrame etape), nebent užtikrinimo poveikis yra neatsiejama pozicijų klasės apibrėžties dalis, kaip, pavyzdžiui, KRR 112 straipsnio i punkte n</w:t>
      </w:r>
      <w:r>
        <w:t>u</w:t>
      </w:r>
      <w:r>
        <w:t>rodytos pozicijų klasės atveju (pozicijos, užtikrintos nekilnojamojo turto hipoteka).</w:t>
      </w:r>
    </w:p>
    <w:p w:rsidR="00464F34" w:rsidRPr="00392FFD" w:rsidRDefault="00125707" w:rsidP="00C37B29">
      <w:pPr>
        <w:pStyle w:val="InstructionsText2"/>
        <w:numPr>
          <w:ilvl w:val="0"/>
          <w:numId w:val="0"/>
        </w:numPr>
        <w:ind w:left="993"/>
      </w:pPr>
      <w:r>
        <w:t>61.</w:t>
      </w:r>
      <w:r>
        <w:tab/>
        <w:t>KRR 112 straipsnyje pozicijų klasių atskyrimo kriterijai nėra nustatyti. Tai g</w:t>
      </w:r>
      <w:r>
        <w:t>a</w:t>
      </w:r>
      <w:r>
        <w:t>lėtų reikšti, kad viena pozicija potencialiai galėtų būti priskirta prie skirtingų pozic</w:t>
      </w:r>
      <w:r>
        <w:t>i</w:t>
      </w:r>
      <w:r>
        <w:t>jų klasių, jeigu klasifikavimui nėra nustatytų vertinimo prioritetų kriterijų. Akivai</w:t>
      </w:r>
      <w:r>
        <w:t>z</w:t>
      </w:r>
      <w:r>
        <w:t>džiausias pavyzdys būtų trumpalaikį kredito rizikos vertinimą turinčių įstaigų ir įmonių pozicijos (KRR 112 straipsnio n punktas) ir įstaigų pozicijos (KRR 112 straipsnio f punktas) / įmonių pozicijos (KRR 112 straipsnio g punktas). Šiuo atveju yra aišku, kad KRR netiesiogiai nustatomi prioritetai, nes pirmiausia vertinama, ar tam tikrą poziciją galima priskirti prie trumpalaikį kredito vertinimą turinčių įstaigų ir įmonių pozicijų, ir tik paskui tas pats vertinimas atliekamas įstaigų pozicijų ir įmonių pozicijų atžvilgiu. Antraip būtų akivaizdu, kad prie KRR 112 straipsnio n punkte nurodytos pozicijų klasės jokia pozicija niekada nebūtų priskirta. Pateiktas pavyzdys yra vienas akivaizdžiausių, bet šis atvejis nėra vienintelis galimas. Derėtų pažymėti, kad kriterijai, naudojami pozicijų klasėms nustatyti pagal standartizuotą metodą, yra skirtingi (įstaigų kategorijos, pozicijos terminas, pradelsimas ir t. t.) ir tai yra pagrindinė priežastis, kodėl grupės nėra atskiros.</w:t>
      </w:r>
    </w:p>
    <w:p w:rsidR="00464F34" w:rsidRPr="00392FFD" w:rsidRDefault="00125707" w:rsidP="00C37B29">
      <w:pPr>
        <w:pStyle w:val="InstructionsText2"/>
        <w:numPr>
          <w:ilvl w:val="0"/>
          <w:numId w:val="0"/>
        </w:numPr>
        <w:ind w:left="993"/>
      </w:pPr>
      <w:r>
        <w:t>62.</w:t>
      </w:r>
      <w:r>
        <w:tab/>
        <w:t>Kad būtų pateikiama nuosekli ir palyginama informacija, reikia nurodyti vert</w:t>
      </w:r>
      <w:r>
        <w:t>i</w:t>
      </w:r>
      <w:r>
        <w:t>nimo kriterijus, pagal kuriuos nustatomi pradinės pozicijos iki perskaičiavimo ko</w:t>
      </w:r>
      <w:r>
        <w:t>e</w:t>
      </w:r>
      <w:r>
        <w:t>ficiento taikymo priskyrimo prie pozicijų klasių prioritetai, nedarant poveikio kon</w:t>
      </w:r>
      <w:r>
        <w:t>k</w:t>
      </w:r>
      <w:r>
        <w:t>rečiai tvarkai (rizikos koeficientui), kuri bus taikoma kiekvienai konkrečiai pozic</w:t>
      </w:r>
      <w:r>
        <w:t>i</w:t>
      </w:r>
      <w:r>
        <w:t>jai pozicijų klasėje, prie kurios ji priskirta. Toliau pateiktoje sprendimų medžio schemoje išvardyti prioritetų nustatymo kriterijai yra pagrįsti KRR aiškiai nustatytų sąlygų, skirtų įvertinti, ar poziciją galima priskirti prie konkrečios pozicijų klasės, vertinimu ir (jei poziciją galima priskirti konkrečiai pozicijų klasei) bet kokiu i</w:t>
      </w:r>
      <w:r>
        <w:t>n</w:t>
      </w:r>
      <w:r>
        <w:lastRenderedPageBreak/>
        <w:t>formaciją teikiančių įstaigų arba priežiūros institucijos sprendimu dėl tam tikrų p</w:t>
      </w:r>
      <w:r>
        <w:t>o</w:t>
      </w:r>
      <w:r>
        <w:t>zicijų klasių naudojimo. Patys pozicijų priskyrimo teikiant informaciją rezultatai atitiktų KRR nuostatas. Įstaigoms nedraudžiama taikyti kitą vidinę priskyrimo tva</w:t>
      </w:r>
      <w:r>
        <w:t>r</w:t>
      </w:r>
      <w:r>
        <w:t>ką, kuri taip pat gali atitikti visas susijusias KRR nuostatas ir atitinkamų forumų p</w:t>
      </w:r>
      <w:r>
        <w:t>a</w:t>
      </w:r>
      <w:r>
        <w:t>teiktus jų išaiškinimus.</w:t>
      </w:r>
    </w:p>
    <w:p w:rsidR="00464F34" w:rsidRPr="00392FFD" w:rsidRDefault="00125707" w:rsidP="00C37B29">
      <w:pPr>
        <w:pStyle w:val="InstructionsText2"/>
        <w:numPr>
          <w:ilvl w:val="0"/>
          <w:numId w:val="0"/>
        </w:numPr>
        <w:ind w:left="993"/>
      </w:pPr>
      <w:r>
        <w:t>63.</w:t>
      </w:r>
      <w:r>
        <w:tab/>
        <w:t>Vertinant pozicijas pagal sprendimų medžio schemą vienai pozicijų klasei s</w:t>
      </w:r>
      <w:r>
        <w:t>u</w:t>
      </w:r>
      <w:r>
        <w:t>teikiama pirmenybė prieš kitas klases (t. y. pirmiausia vertinama, ar pozicija gali būti priskirta prie tos pozicijų klasės, nedarant poveikio vertinimo rezultatui), jeigu kitu atveju prie tos klasės nebūtų priskirta jokia pozicija. Taip nutiktų, jeigu nesant prioritetų nustatymo kriterijų viena pozicijų klasė būtų kitos klases poklasis. Toliau pateiktoje sprendimų medžio schemoje grafiškai parodytus kriterijus reikėtų taikyti iš eilės.</w:t>
      </w:r>
    </w:p>
    <w:p w:rsidR="00464F34" w:rsidRPr="00392FFD" w:rsidRDefault="00125707" w:rsidP="00C37B29">
      <w:pPr>
        <w:pStyle w:val="InstructionsText2"/>
        <w:numPr>
          <w:ilvl w:val="0"/>
          <w:numId w:val="0"/>
        </w:numPr>
        <w:ind w:left="993"/>
      </w:pPr>
      <w:r>
        <w:t>64.</w:t>
      </w:r>
      <w:r>
        <w:tab/>
        <w:t>Atsižvelgiant į tai, vertinimas pagal toliau parodytą sprendimų medžio schemą būtų atliekamas tokia eilės tvarka:</w:t>
      </w:r>
    </w:p>
    <w:p w:rsidR="00464F34" w:rsidRPr="00392FFD" w:rsidRDefault="00464F34" w:rsidP="00FD239F">
      <w:pPr>
        <w:pStyle w:val="InstructionsText"/>
      </w:pPr>
      <w:r>
        <w:t>1. pakeitimo vertybiniais popieriais pozicijos;</w:t>
      </w:r>
    </w:p>
    <w:p w:rsidR="00464F34" w:rsidRPr="00392FFD" w:rsidRDefault="00464F34" w:rsidP="00FD239F">
      <w:pPr>
        <w:pStyle w:val="InstructionsText"/>
      </w:pPr>
      <w:r>
        <w:t>2. su ypač didele rizika susijusios pozicijos;</w:t>
      </w:r>
    </w:p>
    <w:p w:rsidR="00464F34" w:rsidRPr="00392FFD" w:rsidRDefault="00464F34" w:rsidP="00FD239F">
      <w:pPr>
        <w:pStyle w:val="InstructionsText"/>
      </w:pPr>
      <w:r>
        <w:t>3. nuosavybės vertybinių popierių pozicijos;</w:t>
      </w:r>
    </w:p>
    <w:p w:rsidR="00464F34" w:rsidRPr="00392FFD" w:rsidRDefault="00464F34" w:rsidP="00FD239F">
      <w:pPr>
        <w:pStyle w:val="InstructionsText"/>
      </w:pPr>
      <w:r>
        <w:t>4. pozicijos esant įsipareigojimų neįvykdymui;</w:t>
      </w:r>
    </w:p>
    <w:p w:rsidR="00464F34" w:rsidRPr="00392FFD" w:rsidRDefault="00464F34" w:rsidP="00FD239F">
      <w:pPr>
        <w:pStyle w:val="InstructionsText"/>
      </w:pPr>
      <w:r>
        <w:t>5. pozicijos, kurias sudaro kolektyvinio investavimo subjektų (KIS) investiciniai vienetai arba akcijos / pozicijos, kurias sudaro padengtosios obligacijos (atskiros pozicijų klasės);</w:t>
      </w:r>
    </w:p>
    <w:p w:rsidR="00464F34" w:rsidRPr="00392FFD" w:rsidRDefault="00464F34" w:rsidP="00FD239F">
      <w:pPr>
        <w:pStyle w:val="InstructionsText"/>
      </w:pPr>
      <w:r>
        <w:t>6. nekilnojamojo turto hipoteka užtikrintos pozicijos;</w:t>
      </w:r>
    </w:p>
    <w:p w:rsidR="00464F34" w:rsidRPr="00392FFD" w:rsidRDefault="00464F34" w:rsidP="00FD239F">
      <w:pPr>
        <w:pStyle w:val="InstructionsText"/>
      </w:pPr>
      <w:r>
        <w:t>7. kitos pozicijos;</w:t>
      </w:r>
    </w:p>
    <w:p w:rsidR="00464F34" w:rsidRPr="00392FFD" w:rsidRDefault="00464F34" w:rsidP="00FD239F">
      <w:pPr>
        <w:pStyle w:val="InstructionsText"/>
      </w:pPr>
      <w:r>
        <w:t>8. trumpalaikį kredito rizikos vertinimą turinčių įstaigų ir įmonių pozicijos;</w:t>
      </w:r>
    </w:p>
    <w:p w:rsidR="00464F34" w:rsidRPr="00392FFD" w:rsidRDefault="00464F34" w:rsidP="00FD239F">
      <w:pPr>
        <w:pStyle w:val="InstructionsText"/>
      </w:pPr>
      <w:r>
        <w:t>9. visos kitos pozicijų klasės (atskiros pozicijų klasės): centrinės valdžios arba centrinių bankų pozicijos; regioninės arba vietos valdžios pozicijos; viešojo sektoriaus subjektų pozicijos; daugiašalių plėtros bankų pozicijos; tarptautinių organizacijų pozicijos; įstaigų pozicijos; įmonių ir mažmeninės pozicijos.</w:t>
      </w:r>
    </w:p>
    <w:p w:rsidR="00464F34" w:rsidRPr="00392FFD" w:rsidRDefault="00125707" w:rsidP="00C37B29">
      <w:pPr>
        <w:pStyle w:val="InstructionsText2"/>
        <w:numPr>
          <w:ilvl w:val="0"/>
          <w:numId w:val="0"/>
        </w:numPr>
        <w:ind w:left="993"/>
      </w:pPr>
      <w:r>
        <w:t>65.</w:t>
      </w:r>
      <w:r>
        <w:tab/>
        <w:t>Pozicijų, kurias sudaro kolektyvinio investavimo subjektų investiciniai vienetai arba akcijos, atveju, kai taikomas skaidrumo metodas (KRR 132 straipsnio 3–5 d</w:t>
      </w:r>
      <w:r>
        <w:t>a</w:t>
      </w:r>
      <w:r>
        <w:t>lys), šias pozicijas sudarančios atskiros pozicijos įvertinamos ir suklasifikuojamos pagal atitinkamus rizikos koeficientus, nustatytus pagal joms taikomą tvarką, tačiau visos atskiros pozicijos priskiriamos prie pozicijų klasės „pozicijos, kurias sudaro kolektyvinio investavimo subjektų (KIS) investiciniai vienetai arba akcijos“.</w:t>
      </w:r>
    </w:p>
    <w:p w:rsidR="00464F34" w:rsidRPr="00392FFD" w:rsidRDefault="00125707" w:rsidP="00C37B29">
      <w:pPr>
        <w:pStyle w:val="InstructionsText2"/>
        <w:numPr>
          <w:ilvl w:val="0"/>
          <w:numId w:val="0"/>
        </w:numPr>
        <w:ind w:left="993"/>
      </w:pPr>
      <w:r>
        <w:t>66.</w:t>
      </w:r>
      <w:r>
        <w:tab/>
        <w:t>KRR 134 straipsnio 6 dalyje nurodytų n-tojo įsipareigojimų neįvykdymo kred</w:t>
      </w:r>
      <w:r>
        <w:t>i</w:t>
      </w:r>
      <w:r>
        <w:t>to išvestinių finansinių priemonių atveju, jeigu šios priemonės yra reitinguotos, jos tiesiogiai priskiriamos prie pakeitimo vertybiniais popieriais pozicijų. Jeigu jos nėra reitinguotos, tuomet priskiriamos prie pozicijų klasės „kitos pozicijos“. Antruoju atveju sutarties nominalioji vertė nurodoma kaip pradinė pozicija iki perskaičiav</w:t>
      </w:r>
      <w:r>
        <w:t>i</w:t>
      </w:r>
      <w:r>
        <w:t>mo koeficientų taikymo ir įrašoma eilutėje „Kiti rizikos koeficientai“ (taikomas r</w:t>
      </w:r>
      <w:r>
        <w:t>i</w:t>
      </w:r>
      <w:r>
        <w:t xml:space="preserve">zikos koeficientas – KRR 134 straipsnio 6 dalyje nurodyto dydžio koeficientas). </w:t>
      </w:r>
    </w:p>
    <w:p w:rsidR="00464F34" w:rsidRPr="00392FFD" w:rsidRDefault="00125707" w:rsidP="00C37B29">
      <w:pPr>
        <w:pStyle w:val="InstructionsText2"/>
        <w:numPr>
          <w:ilvl w:val="0"/>
          <w:numId w:val="0"/>
        </w:numPr>
        <w:ind w:left="993"/>
      </w:pPr>
      <w:r>
        <w:t>67.</w:t>
      </w:r>
      <w:r>
        <w:tab/>
        <w:t>Antrame etape, pritaikius rizikos mažinimo metodus, turinčius pakeitimo p</w:t>
      </w:r>
      <w:r>
        <w:t>o</w:t>
      </w:r>
      <w:r>
        <w:t>veikį, pozicijos perskiriamos į užtikrinimo teikėjo pozicijų klasę.</w:t>
      </w:r>
    </w:p>
    <w:p w:rsidR="00464F34" w:rsidRPr="00392FFD" w:rsidRDefault="00464F34" w:rsidP="00FD239F">
      <w:pPr>
        <w:pStyle w:val="InstructionsText"/>
      </w:pPr>
      <w:r>
        <w:br w:type="page"/>
      </w:r>
      <w:r>
        <w:lastRenderedPageBreak/>
        <w:t>SPRENDIMŲ MEDŽIO SCHEMA, KURIA REMIANTIS PRADINĖS POZICIJOS IKI PERSKAIČIAVIMO KOEFICIENTŲ TAIKYMO PAGAL KRR NUSTATYTĄ STA</w:t>
      </w:r>
      <w:r>
        <w:t>N</w:t>
      </w:r>
      <w:r>
        <w:t xml:space="preserve">DARTIZUOTĄ METODĄ PRISKIRIAMOS PRIE POZICIJŲ KLASIŲ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Pradinė pozicija iki perskaičiavimo koeficientų taikymo</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Ar ją galima priskirti prie 112 straipsnio m punkte nurodytos poz</w:t>
            </w:r>
            <w:r>
              <w:t>i</w:t>
            </w:r>
            <w:r>
              <w:t>cijų klasės?</w:t>
            </w:r>
          </w:p>
        </w:tc>
        <w:tc>
          <w:tcPr>
            <w:tcW w:w="1417" w:type="dxa"/>
            <w:shd w:val="clear" w:color="auto" w:fill="auto"/>
          </w:tcPr>
          <w:p w:rsidR="00BD52C3" w:rsidRPr="00392FFD" w:rsidRDefault="00BD52C3" w:rsidP="00FD239F">
            <w:pPr>
              <w:pStyle w:val="InstructionsText"/>
            </w:pPr>
            <w:r>
              <w:t>TAIP</w:t>
            </w:r>
            <w:r>
              <w:rPr>
                <w:noProof/>
                <w:lang w:val="en-GB" w:eastAsia="en-GB" w:bidi="ar-SA"/>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Pakeitimo vertybiniais popieriais poz</w:t>
            </w:r>
            <w:r>
              <w:t>i</w:t>
            </w:r>
            <w:r>
              <w:t>cijos</w:t>
            </w:r>
          </w:p>
        </w:tc>
      </w:tr>
      <w:tr w:rsidR="005B3B7C" w:rsidRPr="00392FFD" w:rsidTr="00672D2A">
        <w:tc>
          <w:tcPr>
            <w:tcW w:w="3761" w:type="dxa"/>
            <w:shd w:val="clear" w:color="auto" w:fill="auto"/>
          </w:tcPr>
          <w:p w:rsidR="00581FA5" w:rsidRPr="00392FFD" w:rsidRDefault="00581FA5" w:rsidP="00FD239F">
            <w:pPr>
              <w:pStyle w:val="InstructionsText"/>
            </w:pPr>
            <w:r>
              <w:t>NE</w:t>
            </w:r>
            <w:r>
              <w:rPr>
                <w:noProof/>
                <w:lang w:val="en-GB" w:eastAsia="en-GB" w:bidi="ar-SA"/>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Ar ją galima priskirti prie 112 straipsnio k punkte nurodytos poz</w:t>
            </w:r>
            <w:r>
              <w:t>i</w:t>
            </w:r>
            <w:r>
              <w:t>cijų klasės?</w:t>
            </w:r>
          </w:p>
        </w:tc>
        <w:tc>
          <w:tcPr>
            <w:tcW w:w="1417" w:type="dxa"/>
            <w:shd w:val="clear" w:color="auto" w:fill="auto"/>
          </w:tcPr>
          <w:p w:rsidR="00AC3054" w:rsidRPr="00392FFD" w:rsidRDefault="00974E3F" w:rsidP="00FD239F">
            <w:pPr>
              <w:pStyle w:val="InstructionsText"/>
            </w:pPr>
            <w:r>
              <w:t>TAIP</w:t>
            </w:r>
            <w:r>
              <w:rPr>
                <w:noProof/>
                <w:lang w:val="en-GB" w:eastAsia="en-GB" w:bidi="ar-SA"/>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Pozicijos, susijusios su ypač didele r</w:t>
            </w:r>
            <w:r>
              <w:t>i</w:t>
            </w:r>
            <w:r>
              <w:t>zika (taip pat žr. 128 straipsnį)</w:t>
            </w:r>
          </w:p>
        </w:tc>
      </w:tr>
      <w:tr w:rsidR="003A1B96" w:rsidRPr="00392FFD" w:rsidTr="00672D2A">
        <w:tc>
          <w:tcPr>
            <w:tcW w:w="3761" w:type="dxa"/>
            <w:shd w:val="clear" w:color="auto" w:fill="auto"/>
          </w:tcPr>
          <w:p w:rsidR="007241D3" w:rsidRPr="00392FFD" w:rsidRDefault="007241D3" w:rsidP="00FD239F">
            <w:pPr>
              <w:pStyle w:val="InstructionsText"/>
            </w:pPr>
            <w:r>
              <w:t>NE</w:t>
            </w:r>
            <w:r>
              <w:rPr>
                <w:noProof/>
                <w:lang w:val="en-GB" w:eastAsia="en-GB" w:bidi="ar-SA"/>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Ar ją galima priskirti prie 112 straipsnio p punkte nurodytos poz</w:t>
            </w:r>
            <w:r>
              <w:t>i</w:t>
            </w:r>
            <w:r>
              <w:t>cijų klasės?</w:t>
            </w:r>
          </w:p>
        </w:tc>
        <w:tc>
          <w:tcPr>
            <w:tcW w:w="1417" w:type="dxa"/>
            <w:shd w:val="clear" w:color="auto" w:fill="auto"/>
          </w:tcPr>
          <w:p w:rsidR="00BD52C3" w:rsidRPr="00392FFD" w:rsidRDefault="00BD52C3" w:rsidP="00FD239F">
            <w:pPr>
              <w:pStyle w:val="InstructionsText"/>
            </w:pPr>
            <w:r>
              <w:t>TAIP</w:t>
            </w:r>
            <w:r>
              <w:rPr>
                <w:noProof/>
                <w:lang w:val="en-GB" w:eastAsia="en-GB" w:bidi="ar-SA"/>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Nuosavybės vertybinių popierių pozic</w:t>
            </w:r>
            <w:r>
              <w:t>i</w:t>
            </w:r>
            <w:r>
              <w:t>jos (taip pat žr. 133 straipsnį)</w:t>
            </w:r>
          </w:p>
        </w:tc>
      </w:tr>
      <w:tr w:rsidR="003A1B96" w:rsidRPr="00392FFD" w:rsidTr="00672D2A">
        <w:tc>
          <w:tcPr>
            <w:tcW w:w="3761" w:type="dxa"/>
            <w:shd w:val="clear" w:color="auto" w:fill="auto"/>
          </w:tcPr>
          <w:p w:rsidR="007241D3" w:rsidRPr="00392FFD" w:rsidRDefault="007241D3" w:rsidP="00FD239F">
            <w:pPr>
              <w:pStyle w:val="InstructionsText"/>
            </w:pPr>
            <w:r>
              <w:t>NE</w:t>
            </w:r>
            <w:r>
              <w:rPr>
                <w:noProof/>
                <w:lang w:val="en-GB" w:eastAsia="en-GB" w:bidi="ar-SA"/>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Ar ją galima priskirti prie 112 straipsnio j punkte nurodytos pozic</w:t>
            </w:r>
            <w:r>
              <w:t>i</w:t>
            </w:r>
            <w:r>
              <w:t>jų klasės?</w:t>
            </w:r>
          </w:p>
        </w:tc>
        <w:tc>
          <w:tcPr>
            <w:tcW w:w="1417" w:type="dxa"/>
            <w:shd w:val="clear" w:color="auto" w:fill="auto"/>
          </w:tcPr>
          <w:p w:rsidR="00BD52C3" w:rsidRPr="00392FFD" w:rsidRDefault="00BD52C3" w:rsidP="00FD239F">
            <w:pPr>
              <w:pStyle w:val="InstructionsText"/>
            </w:pPr>
            <w:r>
              <w:t>TAIP</w:t>
            </w:r>
            <w:r>
              <w:rPr>
                <w:noProof/>
                <w:lang w:val="en-GB" w:eastAsia="en-GB" w:bidi="ar-SA"/>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Pozicijos esant įsipareigojimų neįvy</w:t>
            </w:r>
            <w:r>
              <w:t>k</w:t>
            </w:r>
            <w:r>
              <w:t>dymui</w:t>
            </w:r>
          </w:p>
        </w:tc>
      </w:tr>
      <w:tr w:rsidR="00581FA5" w:rsidRPr="00392FFD" w:rsidTr="00672D2A">
        <w:tc>
          <w:tcPr>
            <w:tcW w:w="3761" w:type="dxa"/>
            <w:shd w:val="clear" w:color="auto" w:fill="auto"/>
          </w:tcPr>
          <w:p w:rsidR="007241D3" w:rsidRPr="00392FFD" w:rsidRDefault="007241D3" w:rsidP="00FD239F">
            <w:pPr>
              <w:pStyle w:val="InstructionsText"/>
            </w:pPr>
            <w:r>
              <w:t>NE</w:t>
            </w:r>
            <w:r>
              <w:rPr>
                <w:noProof/>
                <w:lang w:val="en-GB" w:eastAsia="en-GB" w:bidi="ar-SA"/>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Ar ją galima priskirti prie 112 straipsnio l ir o punktuose nurodytų pozicijų klasių?</w:t>
            </w:r>
          </w:p>
        </w:tc>
        <w:tc>
          <w:tcPr>
            <w:tcW w:w="1417" w:type="dxa"/>
            <w:shd w:val="clear" w:color="auto" w:fill="auto"/>
          </w:tcPr>
          <w:p w:rsidR="00BD52C3" w:rsidRPr="00392FFD" w:rsidRDefault="00BD52C3" w:rsidP="00FD239F">
            <w:pPr>
              <w:pStyle w:val="InstructionsText"/>
            </w:pPr>
            <w:r>
              <w:t>TAIP</w:t>
            </w:r>
            <w:r>
              <w:rPr>
                <w:noProof/>
                <w:lang w:val="en-GB" w:eastAsia="en-GB" w:bidi="ar-SA"/>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Pozicijos, kurias sudaro kolektyvinio investavimo subjektų (KIS) investic</w:t>
            </w:r>
            <w:r>
              <w:t>i</w:t>
            </w:r>
            <w:r>
              <w:t>niai vienetai arba akcijos.</w:t>
            </w:r>
          </w:p>
          <w:p w:rsidR="00581FA5" w:rsidRPr="00392FFD" w:rsidRDefault="00581FA5" w:rsidP="00FD239F">
            <w:pPr>
              <w:pStyle w:val="InstructionsText"/>
            </w:pPr>
            <w:r>
              <w:t>Padengtųjų obligacijų pozicijos (taip pat žr. 129 straipsnį).</w:t>
            </w:r>
          </w:p>
          <w:p w:rsidR="00581FA5" w:rsidRPr="00392FFD" w:rsidRDefault="00581FA5" w:rsidP="00FD239F">
            <w:pPr>
              <w:pStyle w:val="InstructionsText"/>
            </w:pPr>
            <w:r>
              <w:t>Šios dvi pozicijų klasės tarpusavyje yra atskiros (žr. pastabas pirmiau pateikt</w:t>
            </w:r>
            <w:r>
              <w:t>a</w:t>
            </w:r>
            <w:r>
              <w:t xml:space="preserve">me paaiškinime dėl skaidrumo metodo). Todėl priskyrimas prie vienos iš jų yra </w:t>
            </w:r>
            <w:r>
              <w:lastRenderedPageBreak/>
              <w:t>tiesioginis.</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NE</w:t>
            </w:r>
            <w:r>
              <w:rPr>
                <w:noProof/>
                <w:lang w:val="en-GB" w:eastAsia="en-GB" w:bidi="ar-SA"/>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Ar ją galima priskirti prie 112 straipsnio i punkte nurodytos pozic</w:t>
            </w:r>
            <w:r>
              <w:t>i</w:t>
            </w:r>
            <w:r>
              <w:t>jų klasės?</w:t>
            </w:r>
          </w:p>
        </w:tc>
        <w:tc>
          <w:tcPr>
            <w:tcW w:w="1417" w:type="dxa"/>
            <w:shd w:val="clear" w:color="auto" w:fill="auto"/>
          </w:tcPr>
          <w:p w:rsidR="00BD52C3" w:rsidRPr="00392FFD" w:rsidRDefault="00BD52C3" w:rsidP="00FD239F">
            <w:pPr>
              <w:pStyle w:val="InstructionsText"/>
            </w:pPr>
            <w:r>
              <w:t>TAIP</w:t>
            </w:r>
            <w:r>
              <w:rPr>
                <w:noProof/>
                <w:lang w:val="en-GB" w:eastAsia="en-GB" w:bidi="ar-SA"/>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Nekilnojamojo turto hipoteka užtikri</w:t>
            </w:r>
            <w:r>
              <w:t>n</w:t>
            </w:r>
            <w:r>
              <w:t>tos pozicijos (taip pat žr. 124 straipsnį)</w:t>
            </w:r>
          </w:p>
        </w:tc>
      </w:tr>
      <w:tr w:rsidR="00581FA5" w:rsidRPr="00392FFD" w:rsidTr="00672D2A">
        <w:tc>
          <w:tcPr>
            <w:tcW w:w="3761" w:type="dxa"/>
            <w:shd w:val="clear" w:color="auto" w:fill="auto"/>
          </w:tcPr>
          <w:p w:rsidR="007241D3" w:rsidRPr="00392FFD" w:rsidRDefault="007241D3" w:rsidP="00FD239F">
            <w:pPr>
              <w:pStyle w:val="InstructionsText"/>
            </w:pPr>
            <w:r>
              <w:t>NE</w:t>
            </w:r>
            <w:r>
              <w:rPr>
                <w:noProof/>
                <w:lang w:val="en-GB" w:eastAsia="en-GB" w:bidi="ar-SA"/>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Ar ją galima priskirti prie 112 straipsnio q punkte nurodytos poz</w:t>
            </w:r>
            <w:r>
              <w:t>i</w:t>
            </w:r>
            <w:r>
              <w:t>cijų klasės?</w:t>
            </w:r>
          </w:p>
        </w:tc>
        <w:tc>
          <w:tcPr>
            <w:tcW w:w="1417" w:type="dxa"/>
            <w:shd w:val="clear" w:color="auto" w:fill="auto"/>
          </w:tcPr>
          <w:p w:rsidR="00BD52C3" w:rsidRPr="00392FFD" w:rsidRDefault="00BD52C3" w:rsidP="00FD239F">
            <w:pPr>
              <w:pStyle w:val="InstructionsText"/>
            </w:pPr>
            <w:r>
              <w:t>TAIP</w:t>
            </w:r>
            <w:r>
              <w:rPr>
                <w:noProof/>
                <w:lang w:val="en-GB" w:eastAsia="en-GB" w:bidi="ar-SA"/>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Kitos pozicijos</w:t>
            </w:r>
          </w:p>
        </w:tc>
      </w:tr>
      <w:tr w:rsidR="00581FA5" w:rsidRPr="00392FFD" w:rsidTr="00672D2A">
        <w:tc>
          <w:tcPr>
            <w:tcW w:w="3761" w:type="dxa"/>
            <w:shd w:val="clear" w:color="auto" w:fill="auto"/>
          </w:tcPr>
          <w:p w:rsidR="007241D3" w:rsidRPr="00392FFD" w:rsidRDefault="007241D3" w:rsidP="00FD239F">
            <w:pPr>
              <w:pStyle w:val="InstructionsText"/>
            </w:pPr>
            <w:r>
              <w:t>NE</w:t>
            </w:r>
            <w:r>
              <w:rPr>
                <w:noProof/>
                <w:lang w:val="en-GB" w:eastAsia="en-GB" w:bidi="ar-SA"/>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Ar ją galima priskirti prie 112 straipsnio n punkte nurodytos poz</w:t>
            </w:r>
            <w:r>
              <w:t>i</w:t>
            </w:r>
            <w:r>
              <w:t>cijų klasės?</w:t>
            </w:r>
          </w:p>
        </w:tc>
        <w:tc>
          <w:tcPr>
            <w:tcW w:w="1417" w:type="dxa"/>
            <w:shd w:val="clear" w:color="auto" w:fill="auto"/>
          </w:tcPr>
          <w:p w:rsidR="0063493E" w:rsidRPr="00392FFD" w:rsidRDefault="0063493E" w:rsidP="00FD239F">
            <w:pPr>
              <w:pStyle w:val="InstructionsText"/>
            </w:pPr>
            <w:r>
              <w:t>TAIP</w:t>
            </w:r>
            <w:r>
              <w:rPr>
                <w:noProof/>
                <w:lang w:val="en-GB" w:eastAsia="en-GB" w:bidi="ar-SA"/>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Trumpalaikį kredito rizikos vertinimą turinčių įstaigų ir įmonių pozicijos</w:t>
            </w:r>
          </w:p>
        </w:tc>
      </w:tr>
      <w:tr w:rsidR="00581FA5" w:rsidRPr="00392FFD" w:rsidTr="00672D2A">
        <w:tc>
          <w:tcPr>
            <w:tcW w:w="3761" w:type="dxa"/>
            <w:shd w:val="clear" w:color="auto" w:fill="auto"/>
          </w:tcPr>
          <w:p w:rsidR="007241D3" w:rsidRPr="00392FFD" w:rsidRDefault="007241D3" w:rsidP="00FD239F">
            <w:pPr>
              <w:pStyle w:val="InstructionsText"/>
            </w:pPr>
            <w:r>
              <w:t>NE</w:t>
            </w:r>
            <w:r>
              <w:rPr>
                <w:noProof/>
                <w:lang w:val="en-GB" w:eastAsia="en-GB" w:bidi="ar-SA"/>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Toliau išvardytos pozicijų klasės tarpusavyje yra atskiros. Todėl priskyrimas prie vienos iš jų yra tiesioginis.</w:t>
            </w:r>
          </w:p>
          <w:p w:rsidR="00581FA5" w:rsidRPr="00392FFD" w:rsidRDefault="00581FA5" w:rsidP="00FD239F">
            <w:pPr>
              <w:pStyle w:val="InstructionsText"/>
            </w:pPr>
            <w:r>
              <w:t>Centrinės valdžios arba centrinių bankų pozicijos</w:t>
            </w:r>
          </w:p>
          <w:p w:rsidR="00581FA5" w:rsidRPr="00392FFD" w:rsidRDefault="00581FA5" w:rsidP="00FD239F">
            <w:pPr>
              <w:pStyle w:val="InstructionsText"/>
            </w:pPr>
            <w:r>
              <w:t>Regioninės arba vietos valdžios pozicijos</w:t>
            </w:r>
          </w:p>
          <w:p w:rsidR="00581FA5" w:rsidRPr="00392FFD" w:rsidRDefault="00581FA5" w:rsidP="00FD239F">
            <w:pPr>
              <w:pStyle w:val="InstructionsText"/>
            </w:pPr>
            <w:r>
              <w:t>Viešojo sektoriaus subjektų pozicijos</w:t>
            </w:r>
          </w:p>
          <w:p w:rsidR="00581FA5" w:rsidRPr="00392FFD" w:rsidRDefault="00581FA5" w:rsidP="00FD239F">
            <w:pPr>
              <w:pStyle w:val="InstructionsText"/>
            </w:pPr>
            <w:r>
              <w:t>Daugiašalių plėtros bankų pozicijos</w:t>
            </w:r>
          </w:p>
          <w:p w:rsidR="00581FA5" w:rsidRPr="00392FFD" w:rsidRDefault="00581FA5" w:rsidP="00FD239F">
            <w:pPr>
              <w:pStyle w:val="InstructionsText"/>
            </w:pPr>
            <w:r>
              <w:t>Tarptautinių organizacijų pozicijos</w:t>
            </w:r>
          </w:p>
          <w:p w:rsidR="00581FA5" w:rsidRPr="00392FFD" w:rsidRDefault="00581FA5" w:rsidP="00FD239F">
            <w:pPr>
              <w:pStyle w:val="InstructionsText"/>
            </w:pPr>
            <w:r>
              <w:t>Įstaigų pozicijos</w:t>
            </w:r>
          </w:p>
          <w:p w:rsidR="00581FA5" w:rsidRPr="00392FFD" w:rsidRDefault="00581FA5" w:rsidP="00FD239F">
            <w:pPr>
              <w:pStyle w:val="InstructionsText"/>
            </w:pPr>
            <w:r>
              <w:t>Įmonių pozicijos</w:t>
            </w:r>
          </w:p>
          <w:p w:rsidR="00581FA5" w:rsidRPr="00392FFD" w:rsidRDefault="00581FA5" w:rsidP="00FD239F">
            <w:pPr>
              <w:pStyle w:val="InstructionsText"/>
            </w:pPr>
            <w:r>
              <w:t>Mažmeninės pozicijos</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4010044"/>
      <w:r>
        <w:rPr>
          <w:rFonts w:ascii="Times New Roman" w:hAnsi="Times New Roman"/>
          <w:sz w:val="24"/>
          <w:u w:val="none"/>
        </w:rPr>
        <w:t>3.2.4.</w:t>
      </w:r>
      <w:r>
        <w:tab/>
      </w:r>
      <w:r>
        <w:rPr>
          <w:rFonts w:ascii="Times New Roman" w:hAnsi="Times New Roman"/>
          <w:sz w:val="24"/>
        </w:rPr>
        <w:t>Kai kurių KRR 112 straipsnyje nurodytų pozicijų klasių apimties paaiškinimai</w:t>
      </w:r>
      <w:bookmarkEnd w:id="229"/>
      <w:bookmarkEnd w:id="230"/>
      <w:bookmarkEnd w:id="231"/>
      <w:bookmarkEnd w:id="232"/>
      <w:bookmarkEnd w:id="233"/>
      <w:bookmarkEnd w:id="234"/>
      <w:bookmarkEnd w:id="235"/>
      <w:bookmarkEnd w:id="236"/>
      <w:bookmarkEnd w:id="23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4010045"/>
      <w:r>
        <w:rPr>
          <w:rFonts w:ascii="Times New Roman" w:hAnsi="Times New Roman"/>
          <w:sz w:val="24"/>
          <w:u w:val="none"/>
        </w:rPr>
        <w:t>3.2.4.1.</w:t>
      </w:r>
      <w:r>
        <w:tab/>
      </w:r>
      <w:r>
        <w:rPr>
          <w:rFonts w:ascii="Times New Roman" w:hAnsi="Times New Roman"/>
          <w:sz w:val="24"/>
        </w:rPr>
        <w:t>Pozicijų klasė „Įstaigų pozicijos“</w:t>
      </w:r>
      <w:bookmarkEnd w:id="238"/>
      <w:bookmarkEnd w:id="239"/>
      <w:bookmarkEnd w:id="240"/>
      <w:bookmarkEnd w:id="241"/>
    </w:p>
    <w:p w:rsidR="00464F34" w:rsidRPr="00392FFD" w:rsidRDefault="00125707" w:rsidP="00C37B29">
      <w:pPr>
        <w:pStyle w:val="InstructionsText2"/>
        <w:numPr>
          <w:ilvl w:val="0"/>
          <w:numId w:val="0"/>
        </w:numPr>
        <w:ind w:left="993"/>
      </w:pPr>
      <w:r>
        <w:t>68.</w:t>
      </w:r>
      <w:r>
        <w:tab/>
        <w:t>Grupės vidaus pozicijos pagal KRR 113 straipsnio 6 ir 7 dalis nurodomos taip:</w:t>
      </w:r>
    </w:p>
    <w:p w:rsidR="00464F34" w:rsidRPr="00392FFD" w:rsidRDefault="00125707" w:rsidP="00C37B29">
      <w:pPr>
        <w:pStyle w:val="InstructionsText2"/>
        <w:numPr>
          <w:ilvl w:val="0"/>
          <w:numId w:val="0"/>
        </w:numPr>
        <w:ind w:left="993"/>
      </w:pPr>
      <w:r>
        <w:t>69.</w:t>
      </w:r>
      <w:r>
        <w:tab/>
        <w:t>Pozicijos, kurios atitinka KRR 113 straipsnio 7 dalies reikalavimus, nurodomos pagal atitinkamą pozicijų klasę, prie kurios jos būtų priskirtos, jeigu nebūtų grupės vidaus pozicijos.</w:t>
      </w:r>
    </w:p>
    <w:p w:rsidR="00464F34" w:rsidRPr="00392FFD" w:rsidRDefault="00125707" w:rsidP="00C37B29">
      <w:pPr>
        <w:pStyle w:val="InstructionsText2"/>
        <w:numPr>
          <w:ilvl w:val="0"/>
          <w:numId w:val="0"/>
        </w:numPr>
        <w:ind w:left="993"/>
      </w:pPr>
      <w:r>
        <w:t>70.</w:t>
      </w:r>
      <w:r>
        <w:tab/>
        <w:t>Pagal KRR 113 straipsnio 6 ir 7 dalis „įstaiga gali, gavusi kompetentingų inst</w:t>
      </w:r>
      <w:r>
        <w:t>i</w:t>
      </w:r>
      <w:r>
        <w:t>tucijų išankstinį leidimą, nuspręsti netaikyti šio straipsnio 1 dalyje nustatytų reik</w:t>
      </w:r>
      <w:r>
        <w:t>a</w:t>
      </w:r>
      <w:r>
        <w:t>lavimų tos įstaigos pozicijoms su sandorio šalimi, kuri yra jos patronuojančioji įmonė, patronuojamoji įmonė, jos patronuojančiosios įmonės patronuojamoji įmonė arba įmonė, susijusi ryšiais, kaip apibrėžta Direktyvos 83/349/EEB 12 straipsnio 1 dalyje“. Tai reiškia, kad sandorio šalys, kurios yra grupės vidaus subjektai, gali būti ne tik įstaigos, bet ir įmonės, priskiriamos prie kitų pozicijų klasių, pvz., pagalbinių paslaugų įmonės arba Direktyvos 83/349/EEB 12 straipsnio 1 dalyje apibrėžtos įmonės. Todėl grupės vidaus pozicijos nurodomos pagal atitinkamą pozicijų klasę.</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4010046"/>
      <w:r>
        <w:rPr>
          <w:rFonts w:ascii="Times New Roman" w:hAnsi="Times New Roman"/>
          <w:sz w:val="24"/>
          <w:u w:val="none"/>
        </w:rPr>
        <w:t>3.2.4.2.</w:t>
      </w:r>
      <w:r>
        <w:tab/>
      </w:r>
      <w:r>
        <w:rPr>
          <w:rFonts w:ascii="Times New Roman" w:hAnsi="Times New Roman"/>
          <w:sz w:val="24"/>
        </w:rPr>
        <w:t>Pozicijų klasė „Padengtųjų obligacijų pozicijos“</w:t>
      </w:r>
      <w:bookmarkEnd w:id="242"/>
      <w:bookmarkEnd w:id="243"/>
      <w:bookmarkEnd w:id="244"/>
      <w:bookmarkEnd w:id="245"/>
    </w:p>
    <w:p w:rsidR="00464F34" w:rsidRPr="00392FFD" w:rsidRDefault="00125707" w:rsidP="00C37B29">
      <w:pPr>
        <w:pStyle w:val="InstructionsText2"/>
        <w:numPr>
          <w:ilvl w:val="0"/>
          <w:numId w:val="0"/>
        </w:numPr>
        <w:ind w:left="993"/>
      </w:pPr>
      <w:r>
        <w:t>71.</w:t>
      </w:r>
      <w:r>
        <w:tab/>
        <w:t>Pozicijos, kurioms taikomas SA metodas, prie pozicijų klasės „Padengtųjų o</w:t>
      </w:r>
      <w:r>
        <w:t>b</w:t>
      </w:r>
      <w:r>
        <w:t>ligacijų pozicijos“ priskiriamos taip:</w:t>
      </w:r>
    </w:p>
    <w:p w:rsidR="00464F34" w:rsidRPr="00392FFD" w:rsidRDefault="00125707" w:rsidP="00C37B29">
      <w:pPr>
        <w:pStyle w:val="InstructionsText2"/>
        <w:numPr>
          <w:ilvl w:val="0"/>
          <w:numId w:val="0"/>
        </w:numPr>
        <w:ind w:left="993"/>
      </w:pPr>
      <w:r>
        <w:t>72.</w:t>
      </w:r>
      <w:r>
        <w:tab/>
        <w:t>Kad Direktyvos 2009/65/EB 52 straipsnio 4 dalyje apibrėžtas obligacijas būtų galima priskirti prie pozicijų klasės „Padengtųjų obligacijų pozicijos“, jos turi at</w:t>
      </w:r>
      <w:r>
        <w:t>i</w:t>
      </w:r>
      <w:r>
        <w:t>tikti KRR 129 straipsnio 1 ir 2 dalių reikalavimus. Tai, ar jos atitinka šiuos reikal</w:t>
      </w:r>
      <w:r>
        <w:t>a</w:t>
      </w:r>
      <w:r>
        <w:t>vimus, turi būti tikrinama kiekvienu atveju. Vis dėlto Direktyvos 2009/65/EB 52 straipsnio 4 dalyje apibrėžtos ir iki 2007 m. gruodžio 31 d. išleistos obligacijos, r</w:t>
      </w:r>
      <w:r>
        <w:t>e</w:t>
      </w:r>
      <w:r>
        <w:t>miantis KRR 129 straipsnio 6 dalimi, taip pat priskiriamos prie pozicijų klasės „P</w:t>
      </w:r>
      <w:r>
        <w:t>a</w:t>
      </w:r>
      <w:r>
        <w:t>dengtųjų obligacijų pozicijos“.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4010047"/>
      <w:r>
        <w:rPr>
          <w:rFonts w:ascii="Times New Roman" w:hAnsi="Times New Roman"/>
          <w:sz w:val="24"/>
          <w:u w:val="none"/>
        </w:rPr>
        <w:t>3.2.4.3.</w:t>
      </w:r>
      <w:r>
        <w:tab/>
      </w:r>
      <w:r>
        <w:rPr>
          <w:rFonts w:ascii="Times New Roman" w:hAnsi="Times New Roman"/>
          <w:sz w:val="24"/>
        </w:rPr>
        <w:t>Pozicijų klasė „Pozicijos, kurias sudaro kolektyvinio investavimo subjektų (KIS) investiciniai vienetai arba akcijos“</w:t>
      </w:r>
      <w:bookmarkEnd w:id="246"/>
      <w:bookmarkEnd w:id="247"/>
      <w:bookmarkEnd w:id="248"/>
      <w:bookmarkEnd w:id="249"/>
    </w:p>
    <w:p w:rsidR="00464F34" w:rsidRPr="00392FFD" w:rsidRDefault="00125707" w:rsidP="00C37B29">
      <w:pPr>
        <w:pStyle w:val="InstructionsText2"/>
        <w:numPr>
          <w:ilvl w:val="0"/>
          <w:numId w:val="0"/>
        </w:numPr>
        <w:ind w:left="993"/>
      </w:pPr>
      <w:r>
        <w:t>73.</w:t>
      </w:r>
      <w:r>
        <w:tab/>
        <w:t>Jeigu pasinaudojama KRR 132 straipsnio 5 dalyje numatyta galimybe, pozic</w:t>
      </w:r>
      <w:r>
        <w:t>i</w:t>
      </w:r>
      <w:r>
        <w:t>jos, kurias sudaro KIS investiciniai vienetai arba akcijos, nurodomos kaip balans</w:t>
      </w:r>
      <w:r>
        <w:t>i</w:t>
      </w:r>
      <w:r>
        <w:t xml:space="preserve">niai straipsniai pagal KRR 111 straipsnio 1 dalies pirmą sakinį.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4010048"/>
      <w:r>
        <w:rPr>
          <w:rFonts w:ascii="Times New Roman" w:hAnsi="Times New Roman"/>
          <w:sz w:val="24"/>
          <w:u w:val="none"/>
        </w:rPr>
        <w:t>3.2.5.</w:t>
      </w:r>
      <w:r>
        <w:tab/>
      </w:r>
      <w:r>
        <w:rPr>
          <w:rFonts w:ascii="Times New Roman" w:hAnsi="Times New Roman"/>
          <w:sz w:val="24"/>
        </w:rPr>
        <w:t>Nurodymai dėl konkrečių pozicijų</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Skiltys</w:t>
            </w:r>
          </w:p>
        </w:tc>
      </w:tr>
      <w:tr w:rsidR="00464F34" w:rsidRPr="00392FFD" w:rsidTr="00672D2A">
        <w:tc>
          <w:tcPr>
            <w:tcW w:w="1188" w:type="dxa"/>
          </w:tcPr>
          <w:p w:rsidR="00464F34" w:rsidRPr="00392FFD" w:rsidRDefault="00464F34" w:rsidP="00FD239F">
            <w:pPr>
              <w:pStyle w:val="InstructionsText"/>
            </w:pPr>
            <w:r>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PRADINĖ POZICIJA IKI PERSKAIČIAVIMO KOEFICIENTŲ TAIKYMO</w:t>
            </w:r>
          </w:p>
          <w:p w:rsidR="00464F34" w:rsidRPr="00392FFD" w:rsidRDefault="00464F34" w:rsidP="00FD239F">
            <w:pPr>
              <w:pStyle w:val="InstructionsText"/>
            </w:pPr>
            <w:r>
              <w:t>Pozicijos vertė pagal KRR 111 straipsnį, neatsižvelgiant į vertės koregavimus ir atid</w:t>
            </w:r>
            <w:r>
              <w:t>ė</w:t>
            </w:r>
            <w:r>
              <w:t>jinius, perskaičiavimo koeficientus ir kredito rizikos mažinimo metodų poveikį, atiti</w:t>
            </w:r>
            <w:r>
              <w:t>n</w:t>
            </w:r>
            <w:r>
              <w:t>kanti šiuos KRR 111 straipsnio 2 dalyje nustatytus kriterijus:</w:t>
            </w:r>
          </w:p>
          <w:p w:rsidR="00464F34" w:rsidRPr="00392FFD" w:rsidRDefault="00464F34" w:rsidP="00FD239F">
            <w:pPr>
              <w:pStyle w:val="InstructionsText"/>
            </w:pPr>
            <w:r>
              <w:t xml:space="preserve">išvestinių finansinių priemonių, atpirkimo sandorių, vertybinių popierių arba biržos </w:t>
            </w:r>
            <w:r>
              <w:lastRenderedPageBreak/>
              <w:t>prekių skolinimo ar skolinimosi sandorių, ilgalaikių atsiskaitymo sandorių ir garantinės įmokos skolinimo sandorių, kuriems taikomas KRR trečios dalies II antraštinės dalies 6 skyrius arba KRR 92 straipsnio 3 dalies f punktas, atveju pradinė pozicijos vertė yra lygi sandorio šalies kredito rizikos pozicijos vertei, apskaičiuotai pagal KRR trečios dalies II antraštinės dalies 6 skyriuje nurodytus metodus.</w:t>
            </w:r>
          </w:p>
          <w:p w:rsidR="00464F34" w:rsidRPr="00392FFD" w:rsidRDefault="00464F34" w:rsidP="00FD239F">
            <w:pPr>
              <w:pStyle w:val="InstructionsText"/>
            </w:pPr>
            <w:r>
              <w:t xml:space="preserve">Finansinės nuomos pozicijų vertė apskaičiuojama pagal KRR 134 straipsnio 7 dalį. </w:t>
            </w:r>
          </w:p>
          <w:p w:rsidR="00464F34" w:rsidRPr="00392FFD" w:rsidRDefault="00464F34" w:rsidP="00FD239F">
            <w:pPr>
              <w:pStyle w:val="InstructionsText"/>
            </w:pPr>
          </w:p>
          <w:p w:rsidR="00464F34" w:rsidRPr="00392FFD" w:rsidRDefault="00464F34" w:rsidP="00FD239F">
            <w:pPr>
              <w:pStyle w:val="InstructionsText"/>
            </w:pPr>
            <w:r>
              <w:t>KRR 219 straipsnyje nurodytų balansinių užskaitos sandorių atveju pozicijos vertės n</w:t>
            </w:r>
            <w:r>
              <w:t>u</w:t>
            </w:r>
            <w:r>
              <w:t>rodomos pagal gautas pinigines užtikrinimo priemones.</w:t>
            </w:r>
          </w:p>
          <w:p w:rsidR="00464F34" w:rsidRPr="00392FFD" w:rsidRDefault="00464F34" w:rsidP="00FD239F">
            <w:pPr>
              <w:pStyle w:val="InstructionsText"/>
            </w:pPr>
          </w:p>
          <w:p w:rsidR="00464F34" w:rsidRPr="00392FFD" w:rsidRDefault="00464F34" w:rsidP="00FD239F">
            <w:pPr>
              <w:pStyle w:val="InstructionsText"/>
            </w:pPr>
            <w:r>
              <w:t>Pagrindinių užskaitos sandorių, kuriems priklauso atpirkimo sandoriai ir (arba) vert</w:t>
            </w:r>
            <w:r>
              <w:t>y</w:t>
            </w:r>
            <w:r>
              <w:t>binių popierių ar biržos prekių skolinimo arba skolinimosi sandoriai, ir (arba) kiti kap</w:t>
            </w:r>
            <w:r>
              <w:t>i</w:t>
            </w:r>
            <w:r>
              <w:t>talo rinkos veikiami sandoriai pagal KRR trečios dalies II antraštinės dalies 6 skyrių, atveju tiesioginio kredito užtikrinimo, kurį sudaro pagrindiniai užskaitos sandoriai, p</w:t>
            </w:r>
            <w:r>
              <w:t>o</w:t>
            </w:r>
            <w:r>
              <w:t>veikis pagal KRR 220 straipsnio 4 dalį nurodomas 010 skiltyje. Todėl pagrindinių u</w:t>
            </w:r>
            <w:r>
              <w:t>ž</w:t>
            </w:r>
            <w:r>
              <w:t>skaitos sandorių, kuriems priklauso atpirkimo sandoriai, kuriems taikomas KRR trečios dalies II antraštinės dalies 6 skyrius, E* vertė, apskaičiuota pagal KRR 220 ir 221 straipsnius, nurodoma CR SA formos 010 skiltyje.</w:t>
            </w:r>
          </w:p>
        </w:tc>
      </w:tr>
      <w:tr w:rsidR="00464F34" w:rsidRPr="00392FFD" w:rsidTr="00672D2A">
        <w:tc>
          <w:tcPr>
            <w:tcW w:w="1188" w:type="dxa"/>
          </w:tcPr>
          <w:p w:rsidR="00464F34" w:rsidRPr="00392FFD" w:rsidRDefault="00464F34" w:rsidP="00FD239F">
            <w:pPr>
              <w:pStyle w:val="InstructionsText"/>
            </w:pPr>
            <w:r>
              <w:lastRenderedPageBreak/>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Su pradine pozicija susiję vertės koregavimai ir atidėjiniai</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KRR 24 ir 111 straipsniai.</w:t>
            </w:r>
          </w:p>
          <w:p w:rsidR="00464F34" w:rsidRPr="00392FFD" w:rsidRDefault="00464F34" w:rsidP="00FD239F">
            <w:pPr>
              <w:pStyle w:val="InstructionsText"/>
            </w:pPr>
          </w:p>
          <w:p w:rsidR="00464F34" w:rsidRPr="00392FFD" w:rsidRDefault="00464F34" w:rsidP="00FD239F">
            <w:pPr>
              <w:pStyle w:val="InstructionsText"/>
            </w:pPr>
            <w:r>
              <w:t>Vertės koregavimai ir atidėjiniai kredito nuostoliams padengti, atliekami pagal info</w:t>
            </w:r>
            <w:r>
              <w:t>r</w:t>
            </w:r>
            <w:r>
              <w:t xml:space="preserve">maciją teikiančiam subjektui taikomą apskaitos sistemą.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Pozicija atėmus vertės koregavimus ir atidėjinius</w:t>
            </w:r>
          </w:p>
          <w:p w:rsidR="00464F34" w:rsidRPr="00392FFD" w:rsidRDefault="00464F34" w:rsidP="00FD239F">
            <w:pPr>
              <w:pStyle w:val="InstructionsText"/>
            </w:pPr>
            <w:r>
              <w:t>010 ir 030 skilčių reikšmių suma.</w:t>
            </w:r>
          </w:p>
        </w:tc>
      </w:tr>
      <w:tr w:rsidR="00464F34" w:rsidRPr="00392FFD" w:rsidTr="00672D2A">
        <w:tc>
          <w:tcPr>
            <w:tcW w:w="1188" w:type="dxa"/>
          </w:tcPr>
          <w:p w:rsidR="00464F34" w:rsidRPr="00392FFD" w:rsidRDefault="00464F34" w:rsidP="00FD239F">
            <w:pPr>
              <w:pStyle w:val="InstructionsText"/>
            </w:pPr>
            <w:r>
              <w:t>050–100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KREDITO RIZIKOS MAŽINIMO (KRM) METODAI, TURINTYS POZICIJOS PAKEITIMO POVEIKĮ</w:t>
            </w:r>
          </w:p>
          <w:p w:rsidR="00464F34" w:rsidRPr="00392FFD" w:rsidRDefault="00464F34" w:rsidP="00FD239F">
            <w:pPr>
              <w:pStyle w:val="InstructionsText"/>
            </w:pPr>
            <w:r>
              <w:t>KRR 4 straipsnio 1 dalies 57 punkte apibrėžti kredito rizikos mažinimo metodai, k</w:t>
            </w:r>
            <w:r>
              <w:t>u</w:t>
            </w:r>
            <w:r>
              <w:t>riais pozicijos arba pozicijų kredito rizika mažinama pakeičiant pozicijas, kaip paai</w:t>
            </w:r>
            <w:r>
              <w:t>š</w:t>
            </w:r>
            <w:r>
              <w:t>kinta toliau punkte „Pozicijos pakeitimas dėl KRM“.</w:t>
            </w:r>
          </w:p>
          <w:p w:rsidR="00464F34" w:rsidRPr="00392FFD" w:rsidRDefault="00464F34" w:rsidP="00FD239F">
            <w:pPr>
              <w:pStyle w:val="InstructionsText"/>
            </w:pPr>
            <w:r>
              <w:t>Jeigu užtikrinimo priemonė daro poveikį pozicijos vertei (pvz., jeigu ji taikoma kaip kredito rizikos mažinimo metodas, turintis pozicijos pakeitimo poveikį), ji apribojama pozicijos verte.</w:t>
            </w:r>
          </w:p>
          <w:p w:rsidR="00464F34" w:rsidRPr="00392FFD" w:rsidRDefault="00464F34" w:rsidP="00FD239F">
            <w:pPr>
              <w:pStyle w:val="InstructionsText"/>
            </w:pPr>
            <w:r>
              <w:t>Informacija teikiama apie:</w:t>
            </w:r>
          </w:p>
          <w:p w:rsidR="00464F34" w:rsidRPr="00392FFD" w:rsidRDefault="00125707" w:rsidP="00FD239F">
            <w:pPr>
              <w:pStyle w:val="InstructionsText"/>
            </w:pPr>
            <w:r>
              <w:rPr>
                <w:rFonts w:ascii="Arial" w:hAnsi="Arial"/>
              </w:rPr>
              <w:t>–</w:t>
            </w:r>
            <w:r>
              <w:tab/>
              <w:t>užtikrinimo priemones, įtrauktas pagal paprastąjį finansinių užtikrinimo pri</w:t>
            </w:r>
            <w:r>
              <w:t>e</w:t>
            </w:r>
            <w:r>
              <w:t>monių metodą;</w:t>
            </w:r>
          </w:p>
          <w:p w:rsidR="00464F34" w:rsidRPr="00392FFD" w:rsidRDefault="00125707" w:rsidP="00FD239F">
            <w:pPr>
              <w:pStyle w:val="InstructionsText"/>
            </w:pPr>
            <w:r>
              <w:rPr>
                <w:rFonts w:ascii="Arial" w:hAnsi="Arial"/>
              </w:rPr>
              <w:t>–</w:t>
            </w:r>
            <w:r>
              <w:tab/>
              <w:t>reikalavimus atitinkantį netiesioginį kredito užtikrinimą.</w:t>
            </w:r>
          </w:p>
          <w:p w:rsidR="00464F34" w:rsidRPr="00392FFD" w:rsidRDefault="00464F34" w:rsidP="00FD239F">
            <w:pPr>
              <w:pStyle w:val="InstructionsText"/>
            </w:pPr>
            <w:r>
              <w:t xml:space="preserve">Taip pat žr. 4.1.1 punkto nurodymus. </w:t>
            </w:r>
          </w:p>
        </w:tc>
      </w:tr>
      <w:tr w:rsidR="00464F34" w:rsidRPr="00392FFD" w:rsidTr="00672D2A">
        <w:tc>
          <w:tcPr>
            <w:tcW w:w="1188" w:type="dxa"/>
          </w:tcPr>
          <w:p w:rsidR="00464F34" w:rsidRPr="00392FFD" w:rsidRDefault="00464F34" w:rsidP="00FD239F">
            <w:pPr>
              <w:pStyle w:val="InstructionsText"/>
            </w:pPr>
            <w:r>
              <w:t>050–060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Netiesioginis kredito užtikrinimas. Pakoreguotos vertės (Ga)</w:t>
            </w:r>
          </w:p>
          <w:p w:rsidR="00464F34" w:rsidRPr="00392FFD" w:rsidRDefault="00464F34" w:rsidP="00FD239F">
            <w:pPr>
              <w:pStyle w:val="InstructionsText"/>
            </w:pPr>
            <w:r>
              <w:t>KRR 235 straipsnis.</w:t>
            </w:r>
          </w:p>
          <w:p w:rsidR="00464F34" w:rsidRPr="00392FFD" w:rsidRDefault="00464F34" w:rsidP="00FD239F">
            <w:pPr>
              <w:pStyle w:val="InstructionsText"/>
            </w:pPr>
            <w:r>
              <w:t xml:space="preserve">KRR 239 straipsnio 3 dalyje apibrėžta pakoreguota netiesioginio kredito užtikrinimo </w:t>
            </w:r>
            <w:r>
              <w:lastRenderedPageBreak/>
              <w:t>vertė (Ga).</w:t>
            </w:r>
          </w:p>
        </w:tc>
      </w:tr>
      <w:tr w:rsidR="00464F34" w:rsidRPr="00392FFD" w:rsidTr="00672D2A">
        <w:tc>
          <w:tcPr>
            <w:tcW w:w="1188" w:type="dxa"/>
          </w:tcPr>
          <w:p w:rsidR="00464F34" w:rsidRPr="00392FFD" w:rsidRDefault="00464F34" w:rsidP="00FD239F">
            <w:pPr>
              <w:pStyle w:val="InstructionsText"/>
            </w:pPr>
            <w:r>
              <w:lastRenderedPageBreak/>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Garantijos</w:t>
            </w:r>
          </w:p>
          <w:p w:rsidR="00464F34" w:rsidRPr="00392FFD" w:rsidRDefault="00464F34" w:rsidP="00FD239F">
            <w:pPr>
              <w:pStyle w:val="InstructionsText"/>
            </w:pPr>
            <w:r>
              <w:t>KRR 203 straipsnis.</w:t>
            </w:r>
          </w:p>
          <w:p w:rsidR="00464F34" w:rsidRPr="00392FFD" w:rsidRDefault="00464F34" w:rsidP="00FD239F">
            <w:pPr>
              <w:pStyle w:val="InstructionsText"/>
              <w:rPr>
                <w:b/>
                <w:u w:val="single"/>
              </w:rPr>
            </w:pPr>
            <w:r>
              <w:t>KRR 4 straipsnio 1 dalies 59 punkte apibrėžtas netiesioginis kredito užtikrinimas, kurį sudaro ne kredito išvestinės finansinės priemonės.</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Kredito išvestinės finansinės priemonės</w:t>
            </w:r>
          </w:p>
          <w:p w:rsidR="00464F34" w:rsidRPr="00392FFD" w:rsidRDefault="00464F34" w:rsidP="00FD239F">
            <w:pPr>
              <w:pStyle w:val="InstructionsText"/>
              <w:rPr>
                <w:b/>
                <w:u w:val="single"/>
              </w:rPr>
            </w:pPr>
            <w:r>
              <w:t>KRR 204 straipsnis.</w:t>
            </w:r>
          </w:p>
        </w:tc>
      </w:tr>
      <w:tr w:rsidR="00464F34" w:rsidRPr="00392FFD" w:rsidTr="00672D2A">
        <w:tc>
          <w:tcPr>
            <w:tcW w:w="1188" w:type="dxa"/>
          </w:tcPr>
          <w:p w:rsidR="00464F34" w:rsidRPr="00392FFD" w:rsidRDefault="00464F34" w:rsidP="00FD239F">
            <w:pPr>
              <w:pStyle w:val="InstructionsText"/>
            </w:pPr>
            <w:r>
              <w:t>070–080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Tiesioginis kredito užtikrinimas</w:t>
            </w:r>
          </w:p>
          <w:p w:rsidR="00464F34" w:rsidRPr="00392FFD" w:rsidRDefault="009C44E7" w:rsidP="00FD239F">
            <w:pPr>
              <w:pStyle w:val="InstructionsText"/>
            </w:pPr>
            <w:r>
              <w:t>Šiose skiltyse nurodomas tiesioginis kredito užtikrinimas pagal KRR 4 straipsnio 1 d</w:t>
            </w:r>
            <w:r>
              <w:t>a</w:t>
            </w:r>
            <w:r>
              <w:t>lies 58 punktą ir 196, 197 ir 200 straipsnius. Į šias sumas neįtraukiami pagrindiniai u</w:t>
            </w:r>
            <w:r>
              <w:t>ž</w:t>
            </w:r>
            <w:r>
              <w:t xml:space="preserve">skaitos sandoriai (jau įtraukti į pradinės pozicijos vertę iki perskaičiavimo koeficientų taikymo). </w:t>
            </w:r>
          </w:p>
          <w:p w:rsidR="00464F34" w:rsidRPr="00392FFD" w:rsidRDefault="00464F34" w:rsidP="00FD239F">
            <w:pPr>
              <w:pStyle w:val="InstructionsText"/>
            </w:pPr>
            <w:r>
              <w:t>Su kreditu susiję vekseliai ir balansinės užskaitos pozicijos, susidarančios pagal reik</w:t>
            </w:r>
            <w:r>
              <w:t>a</w:t>
            </w:r>
            <w:r>
              <w:t>lavimus atitinkančius balansinius užskaitos sandorius, turi būti laikomi piniginėmis u</w:t>
            </w:r>
            <w:r>
              <w:t>ž</w:t>
            </w:r>
            <w:r>
              <w:t>tikrinimo priemonėmis pagal KRR 218 ir 219 straipsnius.</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Paprastasis finansinių užtikrinimo priemonių metodas</w:t>
            </w:r>
          </w:p>
          <w:p w:rsidR="00464F34" w:rsidRPr="00392FFD" w:rsidRDefault="00464F34" w:rsidP="00FD239F">
            <w:pPr>
              <w:pStyle w:val="InstructionsText"/>
            </w:pPr>
            <w:r>
              <w:t>KRR 222 straipsnio 1 ir 2 dalys.</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Kitas tiesioginis kredito užtikrinimas</w:t>
            </w:r>
          </w:p>
          <w:p w:rsidR="00464F34" w:rsidRPr="00392FFD" w:rsidRDefault="00464F34" w:rsidP="00FD239F">
            <w:pPr>
              <w:pStyle w:val="InstructionsText"/>
            </w:pPr>
            <w:r>
              <w:t>KRR 232 straipsnis.</w:t>
            </w:r>
          </w:p>
        </w:tc>
      </w:tr>
      <w:tr w:rsidR="00464F34" w:rsidRPr="00392FFD" w:rsidTr="00672D2A">
        <w:tc>
          <w:tcPr>
            <w:tcW w:w="1188" w:type="dxa"/>
          </w:tcPr>
          <w:p w:rsidR="00464F34" w:rsidRPr="00392FFD" w:rsidRDefault="00464F34" w:rsidP="00FD239F">
            <w:pPr>
              <w:pStyle w:val="InstructionsText"/>
            </w:pPr>
            <w:r>
              <w:t>090–100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PAKEITIMAS DĖL KRM</w:t>
            </w:r>
          </w:p>
          <w:p w:rsidR="00464F34" w:rsidRPr="00392FFD" w:rsidRDefault="00464F34" w:rsidP="00FD239F">
            <w:pPr>
              <w:pStyle w:val="InstructionsText"/>
            </w:pPr>
            <w:r>
              <w:t>KRR 222 straipsnio 3 dalis, 235 straipsnio 1 ir 2 dalys ir 236 straipsnis.</w:t>
            </w:r>
          </w:p>
          <w:p w:rsidR="00464F34" w:rsidRPr="00392FFD" w:rsidRDefault="00464F34" w:rsidP="00FD239F">
            <w:pPr>
              <w:pStyle w:val="InstructionsText"/>
            </w:pPr>
            <w:r>
              <w:t>Netenkamų pinigų srautas yra lygus padengtai pradinės pozicijos iki perskaičiavimo koeficientų taikymo daliai, kuri atskaitoma iš įsipareigojančiojo asmens pozicijų klasės ir paskiau priskiriama prie užtikrinimo teikėjo pozicijų klasės. Ši suma laikoma užti</w:t>
            </w:r>
            <w:r>
              <w:t>k</w:t>
            </w:r>
            <w:r>
              <w:t>rinimo teikėjo pozicijų klasės gaunamų pinigų srautu.</w:t>
            </w:r>
          </w:p>
          <w:p w:rsidR="00464F34" w:rsidRPr="00392FFD" w:rsidRDefault="00464F34" w:rsidP="00FD239F">
            <w:pPr>
              <w:pStyle w:val="InstructionsText"/>
              <w:rPr>
                <w:b/>
              </w:rPr>
            </w:pPr>
            <w:r>
              <w:t>Tos pačios pozicijų klasės gaunamų ir netenkamų pinigų srautai taip pat turi būti nur</w:t>
            </w:r>
            <w:r>
              <w:t>o</w:t>
            </w:r>
            <w:r>
              <w:t>dyti.</w:t>
            </w:r>
          </w:p>
          <w:p w:rsidR="00464F34" w:rsidRPr="00392FFD" w:rsidRDefault="00464F34" w:rsidP="00FD239F">
            <w:pPr>
              <w:pStyle w:val="InstructionsText"/>
            </w:pPr>
            <w:r>
              <w:t>Į pozicijas, susidarančias dėl galimų gaunamų ir netenkamų pinigų srautų, perkeliamų iš kitų formų ir į kitas formas, taip pat atsižvelgiama.</w:t>
            </w:r>
          </w:p>
        </w:tc>
      </w:tr>
      <w:tr w:rsidR="00464F34" w:rsidRPr="00392FFD" w:rsidTr="00672D2A">
        <w:tc>
          <w:tcPr>
            <w:tcW w:w="1188" w:type="dxa"/>
          </w:tcPr>
          <w:p w:rsidR="00464F34" w:rsidRPr="00392FFD" w:rsidRDefault="00464F34" w:rsidP="00FD239F">
            <w:pPr>
              <w:pStyle w:val="InstructionsText"/>
            </w:pPr>
            <w:r>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GRYNOJI POZICIJA PRITAIKIUS KRM, TURINČIUS PAKEITIMO POVE</w:t>
            </w:r>
            <w:r>
              <w:rPr>
                <w:rStyle w:val="InstructionsTabelleberschrift"/>
                <w:rFonts w:ascii="Times New Roman" w:hAnsi="Times New Roman"/>
                <w:sz w:val="24"/>
              </w:rPr>
              <w:t>I</w:t>
            </w:r>
            <w:r>
              <w:rPr>
                <w:rStyle w:val="InstructionsTabelleberschrift"/>
                <w:rFonts w:ascii="Times New Roman" w:hAnsi="Times New Roman"/>
                <w:sz w:val="24"/>
              </w:rPr>
              <w:t>KĮ, IKI PERSKAIČIAVIMO KOEFICIENTO TAIKYMO</w:t>
            </w:r>
          </w:p>
          <w:p w:rsidR="00464F34" w:rsidRPr="00392FFD" w:rsidRDefault="00464F34" w:rsidP="00FD239F">
            <w:pPr>
              <w:pStyle w:val="InstructionsText"/>
            </w:pPr>
            <w:r>
              <w:t>Grynoji pozicijos vertė atskaičius vertės koregavimus ir atsižvelgus į netenkamų ir gaunamų pinigų srautus dėl KREDITO RIZIKOS MAŽINIMO (KRM) METODŲ, TURINČIŲ POZICIJOS PAKEITIMO POVEIKĮ.</w:t>
            </w:r>
          </w:p>
        </w:tc>
      </w:tr>
      <w:tr w:rsidR="00464F34" w:rsidRPr="00392FFD" w:rsidTr="00672D2A">
        <w:tc>
          <w:tcPr>
            <w:tcW w:w="1188" w:type="dxa"/>
          </w:tcPr>
          <w:p w:rsidR="00464F34" w:rsidRPr="00392FFD" w:rsidRDefault="00464F34" w:rsidP="00FD239F">
            <w:pPr>
              <w:pStyle w:val="InstructionsText"/>
            </w:pPr>
            <w:r>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KREDITO RIZIKOS MAŽINIMO METODAI, VEIKIANTYS POZICIJOS SUMĄ. TIESIOGINIS KREDITO UŽTIKRINIMAS, IŠSAMUSIS FINANSINIŲ UŽTIKRINIMO PRIEMONIŲ METODAS</w:t>
            </w:r>
          </w:p>
          <w:p w:rsidR="00464F34" w:rsidRPr="00392FFD" w:rsidRDefault="00464F34" w:rsidP="00FD239F">
            <w:pPr>
              <w:pStyle w:val="InstructionsText"/>
            </w:pPr>
            <w:r>
              <w:t>KRR 223, 224, 225, 226, 227 ir 228 straipsniai. Tai taip pat apima su kreditu susijusius vekselius (KRR 218 straipsnis).</w:t>
            </w:r>
          </w:p>
          <w:p w:rsidR="00464F34" w:rsidRPr="00392FFD" w:rsidRDefault="00464F34" w:rsidP="00FD239F">
            <w:pPr>
              <w:pStyle w:val="InstructionsText"/>
            </w:pPr>
            <w:r>
              <w:t>Su kreditu susiję vekseliai ir balansinės užskaitos pozicijos, susidarančios pagal reik</w:t>
            </w:r>
            <w:r>
              <w:t>a</w:t>
            </w:r>
            <w:r>
              <w:lastRenderedPageBreak/>
              <w:t>lavimus atitinkančius balansinius užskaitos sandorius, yra laikomi piniginėmis užtikr</w:t>
            </w:r>
            <w:r>
              <w:t>i</w:t>
            </w:r>
            <w:r>
              <w:t>nimo priemonėmis pagal KRR 218 ir 219 straipsnius.</w:t>
            </w:r>
          </w:p>
          <w:p w:rsidR="00464F34" w:rsidRPr="00392FFD" w:rsidRDefault="00464F34" w:rsidP="00FD239F">
            <w:pPr>
              <w:pStyle w:val="InstructionsText"/>
            </w:pPr>
            <w:r>
              <w:t>Užtikrinimo pagal išsamųjį finansinių užtikrinimo priemonių metodą, taikomą pozic</w:t>
            </w:r>
            <w:r>
              <w:t>i</w:t>
            </w:r>
            <w:r>
              <w:t>jai, užtikrintai reikalavimus atitinkančia finansine užtikrinimo priemone, poveikis a</w:t>
            </w:r>
            <w:r>
              <w:t>p</w:t>
            </w:r>
            <w:r>
              <w:t xml:space="preserve">skaičiuojamas pagal KRR 223, 224, 225, 226, 227 ir 228 straipsnius. </w:t>
            </w:r>
          </w:p>
        </w:tc>
      </w:tr>
      <w:tr w:rsidR="00464F34" w:rsidRPr="00392FFD" w:rsidTr="00672D2A">
        <w:tc>
          <w:tcPr>
            <w:tcW w:w="1188" w:type="dxa"/>
          </w:tcPr>
          <w:p w:rsidR="00464F34" w:rsidRPr="00392FFD" w:rsidRDefault="00464F34" w:rsidP="00FD239F">
            <w:pPr>
              <w:pStyle w:val="InstructionsText"/>
            </w:pPr>
            <w:r>
              <w:lastRenderedPageBreak/>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kintamumo koregavimas</w:t>
            </w:r>
          </w:p>
          <w:p w:rsidR="00464F34" w:rsidRPr="00392FFD" w:rsidRDefault="00464F34" w:rsidP="00FD239F">
            <w:pPr>
              <w:pStyle w:val="InstructionsText"/>
            </w:pPr>
            <w:r>
              <w:t xml:space="preserve">KRR 223 straipsnio 2 ir 3 dalys. </w:t>
            </w:r>
          </w:p>
          <w:p w:rsidR="00464F34" w:rsidRPr="00392FFD" w:rsidRDefault="00464F34" w:rsidP="00FD239F">
            <w:pPr>
              <w:pStyle w:val="InstructionsText"/>
            </w:pPr>
            <w:r>
              <w:t>Nurodoma suma apskaičiuojama pagal kintamumo koregavimo poveikį pozicijai (Eva−E) = E*He.</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Finansinės užtikrinimo priemonės pakoreguota vertė (Cvam)</w:t>
            </w:r>
          </w:p>
          <w:p w:rsidR="00464F34" w:rsidRPr="00392FFD" w:rsidRDefault="00464F34" w:rsidP="00FD239F">
            <w:pPr>
              <w:pStyle w:val="InstructionsText"/>
            </w:pPr>
            <w:r>
              <w:t>KRR 239 straipsnio 2 dalis.</w:t>
            </w:r>
          </w:p>
          <w:p w:rsidR="00464F34" w:rsidRPr="00392FFD" w:rsidRDefault="00464F34" w:rsidP="00FD239F">
            <w:pPr>
              <w:pStyle w:val="InstructionsText"/>
            </w:pPr>
            <w:r>
              <w:t>Prekybos knygos operacijų atveju įskaitomos finansinės užtikrinimo priemonės ir bi</w:t>
            </w:r>
            <w:r>
              <w:t>r</w:t>
            </w:r>
            <w:r>
              <w:t>žos prekės, kurias galima įtraukti į prekybos knygos pozicijas pagal KRR 299 straip</w:t>
            </w:r>
            <w:r>
              <w:t>s</w:t>
            </w:r>
            <w:r>
              <w:t xml:space="preserve">nio 2 dalies c–f punktus. </w:t>
            </w:r>
          </w:p>
          <w:p w:rsidR="00464F34" w:rsidRPr="00392FFD" w:rsidRDefault="00464F34" w:rsidP="00FD239F">
            <w:pPr>
              <w:pStyle w:val="InstructionsText"/>
            </w:pPr>
            <w:r>
              <w:t>Nurodoma suma yra lygi Cvam= C*(1−Hc−Hfx)*(t−t*)/(T−t*). C, Hc, Hfx, t, T ir t* reikšmės paaiškintos KRR trečios dalies II antraštinės dalies 4 skyriaus 4 ir 5 skir</w:t>
            </w:r>
            <w:r>
              <w:t>s</w:t>
            </w:r>
            <w:r>
              <w:t>niuose.</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Iš jos: kintamumo ir termino koregavimai</w:t>
            </w:r>
          </w:p>
          <w:p w:rsidR="00464F34" w:rsidRPr="00392FFD" w:rsidRDefault="00464F34" w:rsidP="00FD239F">
            <w:pPr>
              <w:pStyle w:val="InstructionsText"/>
            </w:pPr>
            <w:r>
              <w:t xml:space="preserve">KRR 223 straipsnio 1 dalis ir 239 straipsnio 2 dalis. </w:t>
            </w:r>
          </w:p>
          <w:p w:rsidR="00464F34" w:rsidRPr="00392FFD" w:rsidRDefault="00464F34" w:rsidP="00FD239F">
            <w:pPr>
              <w:pStyle w:val="InstructionsText"/>
            </w:pPr>
            <w:r>
              <w:t>Nurodoma suma parodo bendrą kintamumo ir termino koregavimų poveikį (Cvam−C) = C*[(1−Hc−Hfx)*(t−t*)/(T−t*)−1], kur kintamumo koregavimo poveikis yra lygus (Cva−C) = C*[(1−Hc−Hfx)−1], o termino koregavimo poveikis yra lygus (Cvam−Cva)= C*(1−Hc−Hfx)*[(t−t*)/(T−t*)−1].</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Visiškai koreguota pozicijos vertė (E*)</w:t>
            </w:r>
          </w:p>
          <w:p w:rsidR="00464F34" w:rsidRPr="00392FFD" w:rsidRDefault="00464F34" w:rsidP="00FD239F">
            <w:pPr>
              <w:pStyle w:val="InstructionsText"/>
              <w:rPr>
                <w:b/>
                <w:u w:val="single"/>
              </w:rPr>
            </w:pPr>
            <w:r>
              <w:t>KRR 220 straipsnio 4 dalis, 223 straipsnio 2–5 dalys ir 228 straipsnio 1 dalis.</w:t>
            </w:r>
          </w:p>
        </w:tc>
      </w:tr>
      <w:tr w:rsidR="00464F34" w:rsidRPr="00392FFD" w:rsidTr="00672D2A">
        <w:tc>
          <w:tcPr>
            <w:tcW w:w="1188" w:type="dxa"/>
          </w:tcPr>
          <w:p w:rsidR="00464F34" w:rsidRPr="00392FFD" w:rsidRDefault="00464F34" w:rsidP="00FD239F">
            <w:pPr>
              <w:pStyle w:val="InstructionsText"/>
            </w:pPr>
            <w:r>
              <w:t>160 – 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Visiškai koreguotos nebalansinių straipsnių pozicijos vertės suskirstymas pagal perskaičiavimo koeficientą</w:t>
            </w:r>
          </w:p>
          <w:p w:rsidR="00464F34" w:rsidRPr="00392FFD" w:rsidRDefault="00464F34" w:rsidP="00FD239F">
            <w:pPr>
              <w:pStyle w:val="InstructionsText"/>
            </w:pPr>
            <w:r>
              <w:t>KRR 111 straipsnio 1 dalis ir 4 straipsnio 1 dalies 56 punktas. Taip pat žr. KRR 222 straipsnio 3 dalį ir 228 straipsnio 1 dalį.</w:t>
            </w:r>
          </w:p>
          <w:p w:rsidR="000A4C10" w:rsidRPr="00392FFD" w:rsidRDefault="000A4C10" w:rsidP="00FD239F">
            <w:pPr>
              <w:pStyle w:val="InstructionsText"/>
              <w:rPr>
                <w:b/>
                <w:u w:val="single"/>
              </w:rPr>
            </w:pPr>
            <w:r>
              <w:t>Nurodomi skaičiai yra visiškai koreguotos pozicijos vertės prieš pritaikant perskaiči</w:t>
            </w:r>
            <w:r>
              <w:t>a</w:t>
            </w:r>
            <w:r>
              <w:t>vimo koeficientą.</w:t>
            </w:r>
          </w:p>
        </w:tc>
      </w:tr>
      <w:tr w:rsidR="00464F34" w:rsidRPr="00392FFD" w:rsidTr="00672D2A">
        <w:tc>
          <w:tcPr>
            <w:tcW w:w="1188" w:type="dxa"/>
          </w:tcPr>
          <w:p w:rsidR="00464F34" w:rsidRPr="00392FFD" w:rsidRDefault="00464F34" w:rsidP="00FD239F">
            <w:pPr>
              <w:pStyle w:val="InstructionsText"/>
            </w:pPr>
            <w:r>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Pozicijos vertė</w:t>
            </w:r>
          </w:p>
          <w:p w:rsidR="00464F34" w:rsidRPr="00392FFD" w:rsidRDefault="00531FC9" w:rsidP="00FD239F">
            <w:pPr>
              <w:pStyle w:val="InstructionsText"/>
            </w:pPr>
            <w:r>
              <w:t>KRR 111 straipsnis ir trečios dalies II antraštinės dalies 4 skyriaus 4 skirsnis.</w:t>
            </w:r>
          </w:p>
          <w:p w:rsidR="00464F34" w:rsidRPr="00392FFD" w:rsidRDefault="00464F34" w:rsidP="00FD239F">
            <w:pPr>
              <w:pStyle w:val="InstructionsText"/>
            </w:pPr>
            <w:r>
              <w:t>Pozicijos vertė atsižvelgus į vertės koregavimus, visas kredito rizikos mažinimo pri</w:t>
            </w:r>
            <w:r>
              <w:t>e</w:t>
            </w:r>
            <w:r>
              <w:t>mones ir kredito perskaičiavimo koeficientus, kuriai turi būti pritaikomi rizikos koef</w:t>
            </w:r>
            <w:r>
              <w:t>i</w:t>
            </w:r>
            <w:r>
              <w:t>cientai pagal KRR 113 straipsnį ir trečios dalies II antraštinės dalies 2 skyriaus 2 skir</w:t>
            </w:r>
            <w:r>
              <w:t>s</w:t>
            </w:r>
            <w:r>
              <w:t>nį.</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susidaranti dėl sandorio šalies kredito rizikos</w:t>
            </w:r>
          </w:p>
          <w:p w:rsidR="00464F34" w:rsidRPr="00392FFD" w:rsidRDefault="00464F34" w:rsidP="00FD239F">
            <w:pPr>
              <w:pStyle w:val="InstructionsText"/>
              <w:rPr>
                <w:b/>
                <w:u w:val="single"/>
              </w:rPr>
            </w:pPr>
            <w:r>
              <w:t xml:space="preserve">Išvestinių finansinių priemonių, atpirkimo sandorių, vertybinių popierių arba biržos prekių skolinimo ar skolinimosi sandorių, ilgalaikių atsiskaitymo sandorių ir garantinės įmokos skolinimo sandorių, kuriems taikomas KRR trečios dalies II antraštinės dalies 6 </w:t>
            </w:r>
            <w:r>
              <w:lastRenderedPageBreak/>
              <w:t>skyrius, atveju sandorio šalies kredito rizikos pozicijos vertė, apskaičiuota pagal KRR trečios dalies II antraštinės dalies 6 skyriaus 2, 3, 4 ir 5 skirsniuose nurodytus metodus.</w:t>
            </w:r>
          </w:p>
        </w:tc>
      </w:tr>
      <w:tr w:rsidR="00464F34" w:rsidRPr="00392FFD" w:rsidTr="00672D2A">
        <w:tc>
          <w:tcPr>
            <w:tcW w:w="1188" w:type="dxa"/>
          </w:tcPr>
          <w:p w:rsidR="00464F34" w:rsidRPr="00392FFD" w:rsidRDefault="00464F34" w:rsidP="00FD239F">
            <w:pPr>
              <w:pStyle w:val="InstructionsText"/>
            </w:pPr>
            <w:r>
              <w:lastRenderedPageBreak/>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suma iki MVĮ rėmimo koeficiento taikymo</w:t>
            </w:r>
          </w:p>
          <w:p w:rsidR="00464F34" w:rsidRPr="00392FFD" w:rsidRDefault="00464F34" w:rsidP="00FD239F">
            <w:pPr>
              <w:pStyle w:val="InstructionsText"/>
              <w:rPr>
                <w:b/>
                <w:u w:val="single"/>
              </w:rPr>
            </w:pPr>
            <w:r>
              <w:t>KRR 113 straipsnio 1–5 dalys, neatsižvelgiant į MVĮ rėmimo koeficientą pagal KRR 501 straipsnį.</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suma pritaikius MVĮ rėmimo koeficientą</w:t>
            </w:r>
          </w:p>
          <w:p w:rsidR="00464F34" w:rsidRPr="00392FFD" w:rsidRDefault="00464F34" w:rsidP="00FD239F">
            <w:pPr>
              <w:pStyle w:val="InstructionsText"/>
              <w:rPr>
                <w:b/>
                <w:u w:val="single"/>
              </w:rPr>
            </w:pPr>
            <w:r>
              <w:t>KRR 113 straipsnio 1–5 dalys, atsižvelgiant į MVĮ rėmimo koeficientą pagal KRR 500 straipsnį.</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su paskirtos ECAI atliktu kredito vertinimu</w:t>
            </w:r>
          </w:p>
          <w:p w:rsidR="003812AC" w:rsidRPr="00392FFD" w:rsidRDefault="003812AC" w:rsidP="00FD239F">
            <w:pPr>
              <w:pStyle w:val="InstructionsText"/>
            </w:pPr>
            <w:r>
              <w:t>KRR 112 straipsnio a–d, f, g, l, n, o ir q punktai.</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su kredito vertinimu pagal centrinės valdžios sektoriaus institucijų duom</w:t>
            </w:r>
            <w:r>
              <w:rPr>
                <w:rStyle w:val="InstructionsTabelleberschrift"/>
                <w:rFonts w:ascii="Times New Roman" w:hAnsi="Times New Roman"/>
                <w:sz w:val="24"/>
              </w:rPr>
              <w:t>e</w:t>
            </w:r>
            <w:r>
              <w:rPr>
                <w:rStyle w:val="InstructionsTabelleberschrift"/>
                <w:rFonts w:ascii="Times New Roman" w:hAnsi="Times New Roman"/>
                <w:sz w:val="24"/>
              </w:rPr>
              <w:t>nis</w:t>
            </w:r>
          </w:p>
          <w:p w:rsidR="003812AC" w:rsidRPr="00392FFD" w:rsidRDefault="003812AC" w:rsidP="00FD239F">
            <w:pPr>
              <w:pStyle w:val="InstructionsText"/>
            </w:pPr>
            <w:r>
              <w:t>KRR 112 straipsnio b–d, f, g, l ir o punktai.</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Eilutės</w:t>
            </w:r>
          </w:p>
        </w:tc>
        <w:tc>
          <w:tcPr>
            <w:tcW w:w="8701" w:type="dxa"/>
            <w:shd w:val="clear" w:color="auto" w:fill="CCCCCC"/>
          </w:tcPr>
          <w:p w:rsidR="00464F34" w:rsidRPr="00392FFD" w:rsidRDefault="00464F34" w:rsidP="00FD239F">
            <w:pPr>
              <w:pStyle w:val="InstructionsText"/>
            </w:pPr>
            <w:r>
              <w:t>Nurodymai</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Bendra pozicijų suma</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esant įsipareigojimų neįvykdymui</w:t>
            </w:r>
          </w:p>
          <w:p w:rsidR="00610B56" w:rsidRPr="00392FFD" w:rsidRDefault="00610B56" w:rsidP="00FD239F">
            <w:pPr>
              <w:pStyle w:val="InstructionsText"/>
            </w:pPr>
            <w:r>
              <w:t>KRR 127 straipsnis.</w:t>
            </w:r>
          </w:p>
          <w:p w:rsidR="00610B56" w:rsidRPr="00392FFD" w:rsidRDefault="00610B56" w:rsidP="00FD239F">
            <w:pPr>
              <w:pStyle w:val="InstructionsText"/>
            </w:pPr>
            <w:r>
              <w:t>Šioje eilutėje pateikiama informacija, susijusi tik su pozicijų klasėmis „Pozicijos, sus</w:t>
            </w:r>
            <w:r>
              <w:t>i</w:t>
            </w:r>
            <w:r>
              <w:t>jusios su ypač didele rizika“ ir „Nuosavybės vertybinių popierių pozicijos“.</w:t>
            </w:r>
          </w:p>
          <w:p w:rsidR="00761891" w:rsidRPr="00392FFD" w:rsidRDefault="00761891" w:rsidP="00A04CFA">
            <w:pPr>
              <w:pStyle w:val="InstructionsText"/>
            </w:pPr>
            <w:r>
              <w:t>Jeigu pozicija nurodyta KRR 128 straipsnio 2 dalyje arba atitinka KRR 128 straipsnio 3 dalyje arba 133 straipsnyje nustatytus kriterijus, ji priskiriama prie pozicijų klasės „P</w:t>
            </w:r>
            <w:r>
              <w:t>o</w:t>
            </w:r>
            <w:r>
              <w:t>zicijos, susijusios su ypač didele rizika“ arba „Nuosavybės vertybinių popierių pozic</w:t>
            </w:r>
            <w:r>
              <w:t>i</w:t>
            </w:r>
            <w:r>
              <w:t>jos“. Todėl kitaip priskiriama negali būti, net jeigu tai yra pozicija esant įsipareigojimų neįvykdymui pagal KRR 127 straipsnį.</w:t>
            </w:r>
          </w:p>
        </w:tc>
      </w:tr>
      <w:tr w:rsidR="00464F34" w:rsidRPr="00392FFD" w:rsidTr="00672D2A">
        <w:tc>
          <w:tcPr>
            <w:tcW w:w="1188" w:type="dxa"/>
            <w:shd w:val="clear" w:color="auto" w:fill="auto"/>
          </w:tcPr>
          <w:p w:rsidR="00464F34" w:rsidRPr="00392FFD" w:rsidRDefault="00462BAB" w:rsidP="00FD239F">
            <w:pPr>
              <w:pStyle w:val="InstructionsText"/>
            </w:pPr>
            <w:r>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MVĮ pozicijos</w:t>
            </w:r>
          </w:p>
          <w:p w:rsidR="00464F34" w:rsidRPr="00392FFD" w:rsidRDefault="00464F34" w:rsidP="00FD239F">
            <w:pPr>
              <w:pStyle w:val="InstructionsText"/>
            </w:pPr>
            <w:r>
              <w:t xml:space="preserve">Nurodomos visos MVĮ pozicijos.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kurioms taikomas MVĮ rėmimo koeficientas</w:t>
            </w:r>
          </w:p>
          <w:p w:rsidR="00464F34" w:rsidRPr="00392FFD" w:rsidRDefault="00464F34" w:rsidP="00FD239F">
            <w:pPr>
              <w:pStyle w:val="InstructionsText"/>
            </w:pPr>
            <w:r>
              <w:t xml:space="preserve">Nurodomos tik tos pozicijos, kurios atitinka KRR 501 straipsnio reikalavimus.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gyvenamosios paskirties nekilnojamojo turto hipoteka užtikrintos pozicijos</w:t>
            </w:r>
          </w:p>
          <w:p w:rsidR="00464F34" w:rsidRPr="00392FFD" w:rsidRDefault="00464F34" w:rsidP="00FD239F">
            <w:pPr>
              <w:pStyle w:val="InstructionsText"/>
            </w:pPr>
            <w:r>
              <w:t>KRR 125 straipsnis.</w:t>
            </w:r>
          </w:p>
          <w:p w:rsidR="00464F34" w:rsidRPr="00392FFD" w:rsidRDefault="00464F34" w:rsidP="00FD239F">
            <w:pPr>
              <w:pStyle w:val="InstructionsText"/>
              <w:rPr>
                <w:b/>
                <w:u w:val="single"/>
              </w:rPr>
            </w:pPr>
            <w:r>
              <w:t>Tik tos pozicijos, kurios priskirtos prie pozicijų klasės „Nekilnojamojo turto hipoteka užtikrintos pozicijos“.</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kurioms nuolat iš dalies taikomas standartizuotas metodas</w:t>
            </w:r>
          </w:p>
          <w:p w:rsidR="00464F34" w:rsidRPr="00392FFD" w:rsidRDefault="00464F34" w:rsidP="00255BA9">
            <w:pPr>
              <w:pStyle w:val="InstructionsText"/>
            </w:pPr>
            <w:r>
              <w:t>Pozicijos, kurioms taikoma KRR 150 straipsnio 1 dalyje nurodyta tvarka.</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kurioms taikomas standartizuotas metodas, gavus išankstinį pri</w:t>
            </w:r>
            <w:r>
              <w:rPr>
                <w:rStyle w:val="InstructionsTabelleberschrift"/>
                <w:rFonts w:ascii="Times New Roman" w:hAnsi="Times New Roman"/>
                <w:sz w:val="24"/>
              </w:rPr>
              <w:t>e</w:t>
            </w:r>
            <w:r>
              <w:rPr>
                <w:rStyle w:val="InstructionsTabelleberschrift"/>
                <w:rFonts w:ascii="Times New Roman" w:hAnsi="Times New Roman"/>
                <w:sz w:val="24"/>
              </w:rPr>
              <w:t>žiūros institucijų leidimą nuosekliai taikyti IRB metodą</w:t>
            </w:r>
          </w:p>
          <w:p w:rsidR="00464F34" w:rsidRPr="00392FFD" w:rsidRDefault="00464F34" w:rsidP="00255BA9">
            <w:pPr>
              <w:pStyle w:val="InstructionsText"/>
            </w:pPr>
            <w:r>
              <w:t>Pozicijos, kurioms taikoma KRR 148 straipsnio 1 dalyje nurodyta tvarka.</w:t>
            </w:r>
          </w:p>
        </w:tc>
      </w:tr>
      <w:tr w:rsidR="00464F34" w:rsidRPr="00392FFD" w:rsidTr="00672D2A">
        <w:tc>
          <w:tcPr>
            <w:tcW w:w="1188" w:type="dxa"/>
          </w:tcPr>
          <w:p w:rsidR="00464F34" w:rsidRPr="00392FFD" w:rsidRDefault="00462BAB" w:rsidP="00FD239F">
            <w:pPr>
              <w:pStyle w:val="InstructionsText"/>
            </w:pPr>
            <w:r>
              <w:lastRenderedPageBreak/>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BENDROS POZICIJŲ SUMOS SUSKIRSTYMAS PAGAL POZICIJŲ RŪŠĮ</w:t>
            </w:r>
          </w:p>
          <w:p w:rsidR="00464F34" w:rsidRPr="00392FFD" w:rsidRDefault="00464F34" w:rsidP="00FD239F">
            <w:pPr>
              <w:pStyle w:val="InstructionsText"/>
            </w:pPr>
            <w:r>
              <w:t>Informaciją teikiančios įstaigos bankinės knygos pozicijos pagal toliau išvardytus krit</w:t>
            </w:r>
            <w:r>
              <w:t>e</w:t>
            </w:r>
            <w:r>
              <w:t>rijus suskirstomos į balansines pozicijas, susijusias su kredito rizika, nebalansines poz</w:t>
            </w:r>
            <w:r>
              <w:t>i</w:t>
            </w:r>
            <w:r>
              <w:t xml:space="preserve">cijas, susijusias su kredito rizika, ir pozicijas, susijusias su sandorio šalies kredito rizika. </w:t>
            </w:r>
          </w:p>
          <w:p w:rsidR="00464F34" w:rsidRPr="00392FFD" w:rsidRDefault="00464F34" w:rsidP="00FD239F">
            <w:pPr>
              <w:pStyle w:val="InstructionsText"/>
            </w:pPr>
            <w:r>
              <w:t>Informaciją teikiančios įstaigos prekybos knygos sandorio šalies kredito rizikos pozic</w:t>
            </w:r>
            <w:r>
              <w:t>i</w:t>
            </w:r>
            <w:r>
              <w:t>jos pagal KRR 92 straipsnio 3 dalies f punktą ir 299 straipsnio 2 dalį yra priskiriamos prie pozicijų, susijusių su sandorio šalies kredito rizika. Įstaigos, kurios taiko KRR 94 straipsnio 1 dalį, taip pat suskirsto savo prekybos knygos pozicijas pagal toliau išvard</w:t>
            </w:r>
            <w:r>
              <w:t>y</w:t>
            </w:r>
            <w:r>
              <w:t>tus kriterijus į balansines pozicijas, susijusias su kredito rizika, nebalansines pozicijas, susijusias su kredito rizika, ir pozicijas, susijusias su sandorio šalies kredito rizika.</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Balansinės pozicijos, susijusios su kredito rizika </w:t>
            </w:r>
          </w:p>
          <w:p w:rsidR="00464F34" w:rsidRPr="00392FFD" w:rsidRDefault="00464F34" w:rsidP="00FD239F">
            <w:pPr>
              <w:pStyle w:val="InstructionsText"/>
            </w:pPr>
            <w:r>
              <w:t>KRR 24 straipsnyje nurodytas ir prie kitų kategorijų nepriskirtas turtas.</w:t>
            </w:r>
          </w:p>
          <w:p w:rsidR="00464F34" w:rsidRPr="00392FFD" w:rsidRDefault="00464F34" w:rsidP="00FD239F">
            <w:pPr>
              <w:pStyle w:val="InstructionsText"/>
            </w:pPr>
            <w:r>
              <w:t>Pozicijos, kurias sudaro balansiniai straipsniai ir kurios yra įtrauktos į vertybinių popi</w:t>
            </w:r>
            <w:r>
              <w:t>e</w:t>
            </w:r>
            <w:r>
              <w:t>rių finansavimo sandorius, išvestinių finansinių priemonių ir ilgalaikius atsiskaitymo sandorius arba kurios susidaro pagal įpareigojančius kryžminės produktų užskaitos sus</w:t>
            </w:r>
            <w:r>
              <w:t>i</w:t>
            </w:r>
            <w:r>
              <w:t>tarimus, nurodomos 090, 110 ir 130 eilutėse, todėl į šią eilutę neįtraukiamos.</w:t>
            </w:r>
          </w:p>
          <w:p w:rsidR="00464F34" w:rsidRPr="00392FFD" w:rsidRDefault="00464F34" w:rsidP="00FD239F">
            <w:pPr>
              <w:pStyle w:val="InstructionsText"/>
            </w:pPr>
            <w:r>
              <w:t>Nors nebaigti sandoriai pagal KRR 379 straipsnio 1 dalį (jei nėra atskaitomi) nėra b</w:t>
            </w:r>
            <w:r>
              <w:t>a</w:t>
            </w:r>
            <w:r>
              <w:t>lansiniai straipsniai, jie vis tiek nurodomi šioje eilutėje.</w:t>
            </w:r>
          </w:p>
          <w:p w:rsidR="00464F34" w:rsidRPr="00392FFD" w:rsidRDefault="00464F34" w:rsidP="00FD239F">
            <w:pPr>
              <w:pStyle w:val="InstructionsText"/>
              <w:rPr>
                <w:b/>
                <w:u w:val="single"/>
              </w:rPr>
            </w:pPr>
            <w:r>
              <w:t xml:space="preserve">Pozicijos, kurias sudaro pagrindinei sandorio šaliai perduotas turtas pagal KRR 4 straipsnio 1 dalies 90 punktą ir įsipareigojimų neįvykdymo fondo pozicijos pagal KRR 4 straipsnio 1 dalies 89 punktą, įtraukiamos, jeigu nėra nurodytos 030 eilutėje.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Nebalansinės pozicijos, susijusios su kredito rizika</w:t>
            </w:r>
          </w:p>
          <w:p w:rsidR="00464F34" w:rsidRPr="00392FFD" w:rsidRDefault="00464F34" w:rsidP="00FD239F">
            <w:pPr>
              <w:pStyle w:val="InstructionsText"/>
            </w:pPr>
            <w:r>
              <w:t>Nebalansines pozicijas sudaro KRR I priede išvardyti straipsniai.</w:t>
            </w:r>
          </w:p>
          <w:p w:rsidR="00464F34" w:rsidRPr="00392FFD" w:rsidRDefault="00464F34" w:rsidP="00FD239F">
            <w:pPr>
              <w:pStyle w:val="InstructionsText"/>
            </w:pPr>
            <w:r>
              <w:t>Pozicijos, kurias sudaro nebalansiniai straipsniai ir kurios yra įtrauktos į vertybinių p</w:t>
            </w:r>
            <w:r>
              <w:t>o</w:t>
            </w:r>
            <w:r>
              <w:t>pierių finansavimo sandorius, išvestinių finansinių priemonių ir ilgalaikius atsiskaitymo sandorius arba kurios susidaro pagal įpareigojančius kryžminės produktų užskaitos sus</w:t>
            </w:r>
            <w:r>
              <w:t>i</w:t>
            </w:r>
            <w:r>
              <w:t>tarimus, nurodomos 040, 060 eilutėse, todėl į šią eilutę neįtraukiamos.</w:t>
            </w:r>
          </w:p>
          <w:p w:rsidR="00464F34" w:rsidRPr="00392FFD" w:rsidRDefault="00464F34" w:rsidP="00FD239F">
            <w:pPr>
              <w:pStyle w:val="InstructionsText"/>
              <w:rPr>
                <w:b/>
                <w:u w:val="single"/>
              </w:rPr>
            </w:pPr>
            <w:r>
              <w:t>Pozicijos, kurias sudaro pagrindinei sandorio šaliai perduotas turtas pagal KRR 4 straipsnio 1 dalies 90 punktą ir įsipareigojimų neįvykdymo fondo pozicijos pagal KRR 4 straipsnio 1 dalies 89 punktą, įtraukiamos, jeigu yra laikomos nebalansiniais straip</w:t>
            </w:r>
            <w:r>
              <w:t>s</w:t>
            </w:r>
            <w:r>
              <w:t>niais.</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Pozicijos / sandoriai, susiję su sandorio šalies kredito rizika</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Vertybinių popierių finansavimo sandoriai </w:t>
            </w:r>
          </w:p>
          <w:p w:rsidR="00464F34" w:rsidRPr="00392FFD" w:rsidRDefault="00464F34" w:rsidP="00FD239F">
            <w:pPr>
              <w:pStyle w:val="InstructionsText"/>
            </w:pPr>
            <w:r>
              <w:t>Vertybinių popierių įsigijimo finansavimo sandoriai (VPĮFS), apibrėžti Bazelio komit</w:t>
            </w:r>
            <w:r>
              <w:t>e</w:t>
            </w:r>
            <w:r>
              <w:t>to dokumento „Susitarimo „Bazelis II“ taikymas prekybos veiklai ir dvigubo įsipareig</w:t>
            </w:r>
            <w:r>
              <w:t>o</w:t>
            </w:r>
            <w:r>
              <w:t>jimų neįvykdymo poveikio vertinimas“ (angl. „The Application of Basel II to Trading Activities and the Treatment of Double Default Effects“) 17 dalyje, apima: i) atpirkimo ir atvirkštinius atpirkimo sandorius, apibrėžtus KRR 4 straipsnio 1 dalies 82 punkte, taip pat vertybinių popierių arba biržos prekių skolinimo ir skolinimosi sandorius; ii) KRR 272 straipsnio 3 dalyje apibrėžtus garantinės įmokos skolinimo sandorius.</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kurių tarpuskaita atliekama per reikalavimus atitinkančią pagrindinę sa</w:t>
            </w:r>
            <w:r>
              <w:rPr>
                <w:rStyle w:val="InstructionsTabelleberschrift"/>
                <w:rFonts w:ascii="Times New Roman" w:hAnsi="Times New Roman"/>
                <w:sz w:val="24"/>
              </w:rPr>
              <w:t>n</w:t>
            </w:r>
            <w:r>
              <w:rPr>
                <w:rStyle w:val="InstructionsTabelleberschrift"/>
                <w:rFonts w:ascii="Times New Roman" w:hAnsi="Times New Roman"/>
                <w:sz w:val="24"/>
              </w:rPr>
              <w:t>dorio šalį</w:t>
            </w:r>
          </w:p>
          <w:p w:rsidR="00464F34" w:rsidRPr="00392FFD" w:rsidRDefault="00464F34" w:rsidP="00FD239F">
            <w:pPr>
              <w:pStyle w:val="InstructionsText"/>
            </w:pPr>
            <w:r>
              <w:t>KRR 306 straipsnis, taikomas reikalavimus atitinkančioms pagrindinėms sandorio š</w:t>
            </w:r>
            <w:r>
              <w:t>a</w:t>
            </w:r>
            <w:r>
              <w:lastRenderedPageBreak/>
              <w:t>lims pagal 4 straipsnio 1 dalies 88 punktą kartu su KRR 301 straipsnio 2 dalimi.</w:t>
            </w:r>
          </w:p>
          <w:p w:rsidR="00464F34" w:rsidRPr="00392FFD" w:rsidRDefault="00D02E89" w:rsidP="00FD239F">
            <w:pPr>
              <w:pStyle w:val="InstructionsText"/>
            </w:pPr>
            <w:r>
              <w:t>Pagrindinės sandorio šalies prekybos pozicijos pagal KRR 4 straipsnio 1 dalies 91 punktą.</w:t>
            </w:r>
          </w:p>
        </w:tc>
      </w:tr>
      <w:tr w:rsidR="00464F34" w:rsidRPr="00392FFD" w:rsidTr="00672D2A">
        <w:tc>
          <w:tcPr>
            <w:tcW w:w="1188" w:type="dxa"/>
          </w:tcPr>
          <w:p w:rsidR="00464F34" w:rsidRPr="00392FFD" w:rsidRDefault="00462BAB" w:rsidP="00FD239F">
            <w:pPr>
              <w:pStyle w:val="InstructionsText"/>
            </w:pPr>
            <w:r>
              <w:lastRenderedPageBreak/>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Išvestinės finansinės priemonės ir ilgalaikiai atsiskaitymo sandoriai </w:t>
            </w:r>
          </w:p>
          <w:p w:rsidR="00464F34" w:rsidRPr="00392FFD" w:rsidRDefault="00464F34" w:rsidP="00FD239F">
            <w:pPr>
              <w:pStyle w:val="InstructionsText"/>
            </w:pPr>
            <w:r>
              <w:t>Prie išvestinių finansinių priemonių priskiriamos KRR II priede išvardytos sutartys.</w:t>
            </w:r>
          </w:p>
          <w:p w:rsidR="00464F34" w:rsidRPr="00392FFD" w:rsidRDefault="00464F34" w:rsidP="00FD239F">
            <w:pPr>
              <w:pStyle w:val="InstructionsText"/>
            </w:pPr>
            <w:r>
              <w:t>Ilgalaikiai atsiskaitymo sandoriai, apibrėžti KRR 272 straipsnio 2 dalyje.</w:t>
            </w:r>
          </w:p>
          <w:p w:rsidR="00464F34" w:rsidRPr="00392FFD" w:rsidRDefault="00464F34" w:rsidP="00FD239F">
            <w:pPr>
              <w:pStyle w:val="InstructionsText"/>
            </w:pPr>
            <w:r>
              <w:t>Išvestinės finansinės priemonės ir ilgalaikiai atsiskaitymo sandoriai, įtraukti į kryžminės produktų užskaitos susitarimus ir nurodyti 130 eilutėje, į šią eilutę neįtraukiami.</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Iš jų: kurių tarpuskaita atliekama per reikalavimus atitinkančią pagrindinę sa</w:t>
            </w:r>
            <w:r>
              <w:rPr>
                <w:rStyle w:val="InstructionsTabelleberschrift"/>
                <w:rFonts w:ascii="Times New Roman" w:hAnsi="Times New Roman"/>
                <w:sz w:val="24"/>
              </w:rPr>
              <w:t>n</w:t>
            </w:r>
            <w:r>
              <w:rPr>
                <w:rStyle w:val="InstructionsTabelleberschrift"/>
                <w:rFonts w:ascii="Times New Roman" w:hAnsi="Times New Roman"/>
                <w:sz w:val="24"/>
              </w:rPr>
              <w:t>dorio šalį</w:t>
            </w:r>
          </w:p>
          <w:p w:rsidR="00464F34" w:rsidRPr="00392FFD" w:rsidRDefault="00464F34" w:rsidP="00FD239F">
            <w:pPr>
              <w:pStyle w:val="InstructionsText"/>
            </w:pPr>
            <w:r>
              <w:t>KRR 306 straipsnis, taikomas reikalavimus atitinkančioms pagrindinėms sandorio š</w:t>
            </w:r>
            <w:r>
              <w:t>a</w:t>
            </w:r>
            <w:r>
              <w:t>lims pagal 4 straipsnio 1 dalies 88 punktą kartu su KRR 301 straipsnio 2 dalimi.</w:t>
            </w:r>
          </w:p>
          <w:p w:rsidR="00464F34" w:rsidRPr="00392FFD" w:rsidRDefault="00770830" w:rsidP="00FD239F">
            <w:pPr>
              <w:pStyle w:val="InstructionsText"/>
              <w:rPr>
                <w:b/>
                <w:u w:val="single"/>
              </w:rPr>
            </w:pPr>
            <w:r>
              <w:t>Pagrindinės sandorio šalies prekybos pozicijos pagal KRR 4 straipsnio 1 dalies 91 punktą.</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Pagal įpareigojančius kryžminės produktų užskaitos susitarimus</w:t>
            </w:r>
          </w:p>
          <w:p w:rsidR="00464F34" w:rsidRPr="00392FFD" w:rsidRDefault="00464F34" w:rsidP="00FD239F">
            <w:pPr>
              <w:pStyle w:val="InstructionsText"/>
            </w:pPr>
            <w:r>
              <w:t>Į šią eilutę įtraukiamos pozicijos, kurių dėl įpareigojančių kryžminės produktų užskaitos susitarimų (apibrėžtų KRR 272 straipsnio 11 dalyje) negalima priskirti nei prie išvest</w:t>
            </w:r>
            <w:r>
              <w:t>i</w:t>
            </w:r>
            <w:r>
              <w:t>nių finansinių priemonių ir ilgalaikių atsiskaitymo sandorių, nei prie vertybinių popierių finansavimo sandorių.</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POZICIJŲ SUSKIRSTYMAS PAGAL RIZIKOS KOEFICIENTĄ</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KRR 306 straipsnio 1 dalis.</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KRR 305 straipsnio 3 dalis.</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FD239F">
            <w:pPr>
              <w:pStyle w:val="InstructionsText"/>
            </w:pPr>
            <w:r>
              <w:t>KRR 232 straipsnio 3 dalies c punktas.</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KRR 133 straipsnio 2 dalis ir 48 straipsnio 4 dalis.</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KRR 471 straipsnis.</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FD239F">
            <w:pPr>
              <w:pStyle w:val="InstructionsText"/>
              <w:rPr>
                <w:b/>
                <w:u w:val="single"/>
              </w:rPr>
            </w:pPr>
            <w:r>
              <w:t>KRR 133 straipsnio 2 dalis, 379 straipsnis.</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rizikos koeficientai</w:t>
            </w:r>
          </w:p>
          <w:p w:rsidR="00462BAB" w:rsidRPr="00392FFD" w:rsidRDefault="00462BAB" w:rsidP="00FD239F">
            <w:pPr>
              <w:pStyle w:val="InstructionsText"/>
            </w:pPr>
            <w:r>
              <w:t>Ši eilutė nepildoma pozicijų klasėms „Valdžios sektoriaus pozicijos“, „Įmonių pozic</w:t>
            </w:r>
            <w:r>
              <w:t>i</w:t>
            </w:r>
            <w:r>
              <w:t>jos“, „Įstaigų pozicijos“ ir „Mažmeninės pozicijos“.</w:t>
            </w:r>
          </w:p>
          <w:p w:rsidR="00462BAB" w:rsidRPr="00392FFD" w:rsidRDefault="00462BAB" w:rsidP="00FD239F">
            <w:pPr>
              <w:pStyle w:val="InstructionsText"/>
            </w:pPr>
          </w:p>
          <w:p w:rsidR="00462BAB" w:rsidRPr="00392FFD" w:rsidRDefault="00462BAB" w:rsidP="00FD239F">
            <w:pPr>
              <w:pStyle w:val="InstructionsText"/>
            </w:pPr>
            <w:r>
              <w:t>Ji skirta informacijai apie tas pozicijas, kurioms netaikomi formoje išvardyti rizikos koeficientai, pateikti.</w:t>
            </w:r>
          </w:p>
          <w:p w:rsidR="00462BAB" w:rsidRPr="00392FFD" w:rsidRDefault="00462BAB" w:rsidP="00FD239F">
            <w:pPr>
              <w:pStyle w:val="InstructionsText"/>
            </w:pPr>
            <w:r>
              <w:t xml:space="preserve">KRR 113 straipsnio 1 ir 5 dalys. </w:t>
            </w:r>
          </w:p>
          <w:p w:rsidR="00462BAB" w:rsidRPr="00392FFD" w:rsidRDefault="00462BAB" w:rsidP="00FD239F">
            <w:pPr>
              <w:pStyle w:val="InstructionsText"/>
            </w:pPr>
          </w:p>
          <w:p w:rsidR="00462BAB" w:rsidRPr="00392FFD" w:rsidRDefault="00462BAB" w:rsidP="00FD239F">
            <w:pPr>
              <w:pStyle w:val="InstructionsText"/>
            </w:pPr>
            <w:r>
              <w:t>Nereitinguotos n-tojo įsipareigojimų neįvykdymo kredito išvestinės finansinės priem</w:t>
            </w:r>
            <w:r>
              <w:t>o</w:t>
            </w:r>
            <w:r>
              <w:t>nės pagal standartizuotą metodą (KRR 134 straipsnio 6 dalis) nurodomos šioje eilutėje prie pozicijų klasės „Kitos pozicijos“.</w:t>
            </w:r>
          </w:p>
          <w:p w:rsidR="00462BAB" w:rsidRPr="00392FFD" w:rsidRDefault="00462BAB" w:rsidP="00FD239F">
            <w:pPr>
              <w:pStyle w:val="InstructionsText"/>
            </w:pPr>
            <w:r>
              <w:t xml:space="preserve">Taip pat žr. KRR 124 straipsnio 2 dalį ir 152 straipsnio 2 dalies b punktą. </w:t>
            </w:r>
          </w:p>
        </w:tc>
      </w:tr>
      <w:tr w:rsidR="00462BAB" w:rsidRPr="00392FFD" w:rsidTr="00672D2A">
        <w:tc>
          <w:tcPr>
            <w:tcW w:w="1188" w:type="dxa"/>
            <w:shd w:val="clear" w:color="auto" w:fill="auto"/>
          </w:tcPr>
          <w:p w:rsidR="00462BAB" w:rsidRPr="00392FFD" w:rsidRDefault="00462BAB" w:rsidP="00FD239F">
            <w:pPr>
              <w:pStyle w:val="InstructionsText"/>
            </w:pPr>
            <w:r>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Papildomi straipsniai</w:t>
            </w:r>
          </w:p>
          <w:p w:rsidR="00462BAB" w:rsidRPr="00392FFD" w:rsidRDefault="00462BAB" w:rsidP="00FD239F">
            <w:pPr>
              <w:pStyle w:val="InstructionsText"/>
              <w:rPr>
                <w:b/>
                <w:u w:val="single"/>
              </w:rPr>
            </w:pPr>
            <w:r>
              <w:t>Taip pat žr. bendroje CR SA formos dalyje pateiktą paaiškinimą apie papildomus straipsnius.</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Komercinės paskirties nekilnojamojo turto hipoteka užtikrintos pozicijos</w:t>
            </w:r>
          </w:p>
          <w:p w:rsidR="00462BAB" w:rsidRPr="00392FFD" w:rsidRDefault="00462BAB" w:rsidP="00FD239F">
            <w:pPr>
              <w:pStyle w:val="InstructionsText"/>
            </w:pPr>
            <w:r>
              <w:t>KRR 112 straipsnio i punktas.</w:t>
            </w:r>
          </w:p>
          <w:p w:rsidR="00462BAB" w:rsidRPr="00392FFD" w:rsidRDefault="00462BAB" w:rsidP="00FD239F">
            <w:pPr>
              <w:pStyle w:val="InstructionsText"/>
            </w:pPr>
            <w:r>
              <w:t>Tai tik papildomas straipsnis. Nepaisant to, kaip apskaičiuojamos pagal riziką įvertintos KRR 124 ir 126 straipsniuose nurodytų komercinės paskirties nekilnojamojo turto hip</w:t>
            </w:r>
            <w:r>
              <w:t>o</w:t>
            </w:r>
            <w:r>
              <w:t>teka užtikrintų pozicijų sumos, pozicijos suskirstomos ir nurodomos šioje eilutėje pagal tai, ar yra užtikrintos komercinės paskirties nekilnojamuoju turtu.</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esant įsipareigojimų neįvykdymui, kurioms taikomas 100 % rizikos ko</w:t>
            </w:r>
            <w:r>
              <w:rPr>
                <w:rStyle w:val="InstructionsTabelleberschrift"/>
                <w:rFonts w:ascii="Times New Roman" w:hAnsi="Times New Roman"/>
                <w:sz w:val="24"/>
              </w:rPr>
              <w:t>e</w:t>
            </w:r>
            <w:r>
              <w:rPr>
                <w:rStyle w:val="InstructionsTabelleberschrift"/>
                <w:rFonts w:ascii="Times New Roman" w:hAnsi="Times New Roman"/>
                <w:sz w:val="24"/>
              </w:rPr>
              <w:t>ficientas</w:t>
            </w:r>
          </w:p>
          <w:p w:rsidR="00462BAB" w:rsidRPr="00392FFD" w:rsidRDefault="00462BAB" w:rsidP="00FD239F">
            <w:pPr>
              <w:pStyle w:val="InstructionsText"/>
            </w:pPr>
            <w:r>
              <w:t>KRR 112 straipsnio j punktas.</w:t>
            </w:r>
          </w:p>
          <w:p w:rsidR="00462BAB" w:rsidRPr="00392FFD" w:rsidRDefault="00462BAB" w:rsidP="00FD239F">
            <w:pPr>
              <w:pStyle w:val="InstructionsText"/>
            </w:pPr>
            <w:r>
              <w:t xml:space="preserve">Pozicijos, priskirtos prie pozicijų klasės „Pozicijos esant įsipareigojimų neįvykdymui“, kurios būtų įtraukiamos į šią pozicijų klasę, jeigu nebūtų susijusios su įsipareigojimo </w:t>
            </w:r>
            <w:r>
              <w:lastRenderedPageBreak/>
              <w:t>neįvykdymo atvejais.</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Gyvenamosios paskirties nekilnojamojo turto hipoteka užtikrintos pozicijos </w:t>
            </w:r>
          </w:p>
          <w:p w:rsidR="00462BAB" w:rsidRPr="00392FFD" w:rsidRDefault="00462BAB" w:rsidP="00FD239F">
            <w:pPr>
              <w:pStyle w:val="InstructionsText"/>
            </w:pPr>
            <w:r>
              <w:t>KRR 112 straipsnio i punktas.</w:t>
            </w:r>
          </w:p>
          <w:p w:rsidR="00462BAB" w:rsidRPr="00392FFD" w:rsidRDefault="00462BAB" w:rsidP="00FD239F">
            <w:pPr>
              <w:pStyle w:val="InstructionsText"/>
              <w:rPr>
                <w:b/>
                <w:u w:val="single"/>
              </w:rPr>
            </w:pPr>
            <w:r>
              <w:t>Tai tik papildomas straipsnis. Nepaisant to, kaip apskaičiuojamos pagal riziką įvertintos KRR 124 ir 125 straipsniuose nurodytų gyvenamosios paskirties nekilnojamojo turto hipoteka užtikrintų pozicijų sumos, pozicijos suskirstomos ir nurodomos šioje eilutėje pagal tai, ar yra užtikrintos nekilnojamuoju turtu.</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esant įsipareigojimų neįvykdymui, kurioms taikomas 150 % rizikos ko</w:t>
            </w:r>
            <w:r>
              <w:rPr>
                <w:rStyle w:val="InstructionsTabelleberschrift"/>
                <w:rFonts w:ascii="Times New Roman" w:hAnsi="Times New Roman"/>
                <w:sz w:val="24"/>
              </w:rPr>
              <w:t>e</w:t>
            </w:r>
            <w:r>
              <w:rPr>
                <w:rStyle w:val="InstructionsTabelleberschrift"/>
                <w:rFonts w:ascii="Times New Roman" w:hAnsi="Times New Roman"/>
                <w:sz w:val="24"/>
              </w:rPr>
              <w:t xml:space="preserve">ficientas </w:t>
            </w:r>
          </w:p>
          <w:p w:rsidR="00462BAB" w:rsidRPr="00392FFD" w:rsidRDefault="00462BAB" w:rsidP="00FD239F">
            <w:pPr>
              <w:pStyle w:val="InstructionsText"/>
            </w:pPr>
            <w:r>
              <w:t>KRR 112 straipsnio j punktas.</w:t>
            </w:r>
          </w:p>
          <w:p w:rsidR="00462BAB" w:rsidRPr="00392FFD" w:rsidRDefault="00462BAB" w:rsidP="00FD239F">
            <w:pPr>
              <w:pStyle w:val="InstructionsText"/>
            </w:pPr>
            <w:r>
              <w:t>Pozicijos, priskirtos prie pozicijų klasės „Pozicijos esant įsipareigojimų neįvykdymui“, kurios būtų įtraukiamos į šią pozicijų klasę, jeigu nebūtų susijusios su įsipareigojimo neįvykdymo atvejais.</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4010049"/>
      <w:r>
        <w:rPr>
          <w:rFonts w:ascii="Times New Roman" w:hAnsi="Times New Roman"/>
          <w:sz w:val="24"/>
          <w:u w:val="none"/>
        </w:rPr>
        <w:t>3.3.</w:t>
      </w:r>
      <w:r>
        <w:tab/>
      </w:r>
      <w:r>
        <w:rPr>
          <w:rFonts w:ascii="Times New Roman" w:hAnsi="Times New Roman"/>
          <w:sz w:val="24"/>
        </w:rPr>
        <w:t>Kredito rizika, sandorio šalies kredito rizika ir nebaigti sandoriai. IRB metodas, ta</w:t>
      </w:r>
      <w:r>
        <w:rPr>
          <w:rFonts w:ascii="Times New Roman" w:hAnsi="Times New Roman"/>
          <w:sz w:val="24"/>
        </w:rPr>
        <w:t>i</w:t>
      </w:r>
      <w:r>
        <w:rPr>
          <w:rFonts w:ascii="Times New Roman" w:hAnsi="Times New Roman"/>
          <w:sz w:val="24"/>
        </w:rPr>
        <w:t>komas nuosavų lėšų reikalavimams</w:t>
      </w:r>
      <w:bookmarkEnd w:id="259"/>
      <w:r>
        <w:rPr>
          <w:rFonts w:ascii="Times New Roman" w:hAnsi="Times New Roman"/>
          <w:sz w:val="24"/>
        </w:rPr>
        <w:t xml:space="preserve"> (CR IRB)</w:t>
      </w:r>
      <w:bookmarkEnd w:id="260"/>
      <w:bookmarkEnd w:id="261"/>
      <w:bookmarkEnd w:id="262"/>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4010050"/>
      <w:r>
        <w:rPr>
          <w:rFonts w:ascii="Times New Roman" w:hAnsi="Times New Roman"/>
          <w:sz w:val="24"/>
          <w:u w:val="none"/>
        </w:rPr>
        <w:t>3.3.1.</w:t>
      </w:r>
      <w:r>
        <w:tab/>
      </w:r>
      <w:r>
        <w:rPr>
          <w:rFonts w:ascii="Times New Roman" w:hAnsi="Times New Roman"/>
          <w:sz w:val="24"/>
        </w:rPr>
        <w:t>CR IRB formos turinys</w:t>
      </w:r>
      <w:bookmarkEnd w:id="263"/>
      <w:bookmarkEnd w:id="264"/>
      <w:bookmarkEnd w:id="265"/>
      <w:bookmarkEnd w:id="266"/>
    </w:p>
    <w:p w:rsidR="001C7AB7" w:rsidRPr="00392FFD" w:rsidRDefault="00125707" w:rsidP="00C37B29">
      <w:pPr>
        <w:pStyle w:val="InstructionsText2"/>
        <w:numPr>
          <w:ilvl w:val="0"/>
          <w:numId w:val="0"/>
        </w:numPr>
        <w:ind w:left="993"/>
      </w:pPr>
      <w:r>
        <w:t>74.</w:t>
      </w:r>
      <w:r>
        <w:tab/>
        <w:t>CR IRB formoje pateikiama informacija apie nuosavų lėšų reikalavimus:</w:t>
      </w:r>
    </w:p>
    <w:p w:rsidR="001C7AB7" w:rsidRPr="00392FFD" w:rsidRDefault="00125707" w:rsidP="00C37B29">
      <w:pPr>
        <w:pStyle w:val="InstructionsText2"/>
        <w:numPr>
          <w:ilvl w:val="0"/>
          <w:numId w:val="0"/>
        </w:numPr>
        <w:ind w:left="993"/>
      </w:pPr>
      <w:r>
        <w:t>i.</w:t>
      </w:r>
      <w:r>
        <w:tab/>
        <w:t>kredito rizikai bankinėje knygoje padengti, įskaitant:</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sandorio šalies kredito riziką bankinėje knygoje;</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įsigytų gautinų sumų sumažėjimo riziką;</w:t>
      </w:r>
    </w:p>
    <w:p w:rsidR="001C7AB7" w:rsidRPr="00392FFD" w:rsidRDefault="00125707" w:rsidP="00C37B29">
      <w:pPr>
        <w:pStyle w:val="InstructionsText2"/>
        <w:numPr>
          <w:ilvl w:val="0"/>
          <w:numId w:val="0"/>
        </w:numPr>
        <w:ind w:left="993"/>
      </w:pPr>
      <w:r>
        <w:t>ii.</w:t>
      </w:r>
      <w:r>
        <w:tab/>
        <w:t>sandorio šalies kredito rizikai prekybos knygoje padengti;</w:t>
      </w:r>
    </w:p>
    <w:p w:rsidR="001C7AB7" w:rsidRPr="00392FFD" w:rsidRDefault="00125707" w:rsidP="00C37B29">
      <w:pPr>
        <w:pStyle w:val="InstructionsText2"/>
        <w:numPr>
          <w:ilvl w:val="0"/>
          <w:numId w:val="0"/>
        </w:numPr>
        <w:ind w:left="993"/>
      </w:pPr>
      <w:r>
        <w:t>iii.</w:t>
      </w:r>
      <w:r>
        <w:tab/>
        <w:t>nebaigtiems sandoriams, susijusiems su visa verslo veikla, padengti.</w:t>
      </w:r>
    </w:p>
    <w:p w:rsidR="001C7AB7" w:rsidRPr="00392FFD" w:rsidRDefault="00125707" w:rsidP="00C37B29">
      <w:pPr>
        <w:pStyle w:val="InstructionsText2"/>
        <w:numPr>
          <w:ilvl w:val="0"/>
          <w:numId w:val="0"/>
        </w:numPr>
        <w:ind w:left="993"/>
      </w:pPr>
      <w:r>
        <w:t>75.</w:t>
      </w:r>
      <w:r>
        <w:tab/>
        <w:t xml:space="preserve">Formoje nurodomos tos pozicijos, kurių pagal riziką įvertintų pozicijų sumos yra apskaičiuojamos pagal KRR trečios dalies II antraštinės dalies 3 skyriaus 151–157 straipsnius (IRB metodas). </w:t>
      </w:r>
    </w:p>
    <w:p w:rsidR="001C7AB7" w:rsidRPr="00392FFD" w:rsidRDefault="00125707" w:rsidP="00C37B29">
      <w:pPr>
        <w:pStyle w:val="InstructionsText2"/>
        <w:numPr>
          <w:ilvl w:val="0"/>
          <w:numId w:val="0"/>
        </w:numPr>
        <w:ind w:left="993"/>
      </w:pPr>
      <w:r>
        <w:t>76.</w:t>
      </w:r>
      <w:r>
        <w:tab/>
        <w:t xml:space="preserve">CR IRB formoje neteikiami šie duomenys: </w:t>
      </w:r>
    </w:p>
    <w:p w:rsidR="001C7AB7" w:rsidRPr="00392FFD" w:rsidRDefault="00125707" w:rsidP="00C37B29">
      <w:pPr>
        <w:pStyle w:val="InstructionsText2"/>
        <w:numPr>
          <w:ilvl w:val="0"/>
          <w:numId w:val="0"/>
        </w:numPr>
        <w:ind w:left="993"/>
      </w:pPr>
      <w:r>
        <w:t>i.</w:t>
      </w:r>
      <w:r>
        <w:tab/>
        <w:t xml:space="preserve">nuosavybės vertybinių popierių pozicijos, nurodomos CR EQU IRB formoje; </w:t>
      </w:r>
    </w:p>
    <w:p w:rsidR="001C7AB7" w:rsidRPr="00392FFD" w:rsidRDefault="00125707" w:rsidP="00C37B29">
      <w:pPr>
        <w:pStyle w:val="InstructionsText2"/>
        <w:numPr>
          <w:ilvl w:val="0"/>
          <w:numId w:val="0"/>
        </w:numPr>
        <w:ind w:left="993"/>
      </w:pPr>
      <w:r>
        <w:t>ii.</w:t>
      </w:r>
      <w:r>
        <w:tab/>
        <w:t>pakeitimo vertybiniais popieriais pozicijos, nurodomos CR SEC SA, CR SEC IRB ir (arba) CE SEC DETAILS formose;</w:t>
      </w:r>
    </w:p>
    <w:p w:rsidR="001C7AB7" w:rsidRPr="00392FFD" w:rsidRDefault="00125707" w:rsidP="00C37B29">
      <w:pPr>
        <w:pStyle w:val="InstructionsText2"/>
        <w:numPr>
          <w:ilvl w:val="0"/>
          <w:numId w:val="0"/>
        </w:numPr>
        <w:ind w:left="993"/>
      </w:pPr>
      <w:r>
        <w:t>iii.</w:t>
      </w:r>
      <w:r>
        <w:tab/>
        <w:t xml:space="preserve"> KRR 147 straipsnio 2 dalies g punkte nurodytas „kitas ne kreditinių įsipareig</w:t>
      </w:r>
      <w:r>
        <w:t>o</w:t>
      </w:r>
      <w:r>
        <w:t>jimų turtas“. Šios pozicijų klasės rizikos koeficientas visą laiką turi būti 100 %, i</w:t>
      </w:r>
      <w:r>
        <w:t>š</w:t>
      </w:r>
      <w:r>
        <w:t>skyrus grynųjų pinigų, pinigų ekvivalentų straipsnius ir pozicijas, kurias sudaro l</w:t>
      </w:r>
      <w:r>
        <w:t>i</w:t>
      </w:r>
      <w:r>
        <w:t>kutinė turto, kuris yra finansinės nuomos objektas, vertė, kaip nurodyta KRR 156 straipsnyje. Šios pozicijų klasės pagal riziką įvertintų pozicijų sumos yra nurod</w:t>
      </w:r>
      <w:r>
        <w:t>o</w:t>
      </w:r>
      <w:r>
        <w:t>mos tiesiogiai CA formoje;</w:t>
      </w:r>
    </w:p>
    <w:p w:rsidR="001C7AB7" w:rsidRPr="00392FFD" w:rsidRDefault="00125707" w:rsidP="00C37B29">
      <w:pPr>
        <w:pStyle w:val="InstructionsText2"/>
        <w:numPr>
          <w:ilvl w:val="0"/>
          <w:numId w:val="0"/>
        </w:numPr>
        <w:ind w:left="993"/>
      </w:pPr>
      <w:r>
        <w:lastRenderedPageBreak/>
        <w:t>iv.</w:t>
      </w:r>
      <w:r>
        <w:tab/>
        <w:t>kredito vertinimo koregavimo rizika, nurodoma CVA rizikos formoje;</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CR IRB formoje neprašoma pateikti geografinio IRB pozicijų suskirstymo p</w:t>
      </w:r>
      <w:r>
        <w:rPr>
          <w:rFonts w:ascii="Times New Roman" w:hAnsi="Times New Roman"/>
          <w:sz w:val="24"/>
        </w:rPr>
        <w:t>a</w:t>
      </w:r>
      <w:r>
        <w:rPr>
          <w:rFonts w:ascii="Times New Roman" w:hAnsi="Times New Roman"/>
          <w:sz w:val="24"/>
        </w:rPr>
        <w:t xml:space="preserve">gal sandorio šalies įsisteigimo vietą. Šis suskirstymas pateikiamas CR GB formoje. </w:t>
      </w:r>
    </w:p>
    <w:p w:rsidR="001C7AB7" w:rsidRPr="00392FFD" w:rsidRDefault="00125707" w:rsidP="00C37B29">
      <w:pPr>
        <w:pStyle w:val="InstructionsText2"/>
        <w:numPr>
          <w:ilvl w:val="0"/>
          <w:numId w:val="0"/>
        </w:numPr>
        <w:ind w:left="993"/>
      </w:pPr>
      <w:r>
        <w:t>77.</w:t>
      </w:r>
      <w:r>
        <w:tab/>
        <w:t>Kad būtų aišku, ar įstaiga naudoja pačios įstaigos apskaičiuotus LGD įverčius ir (arba) kredito perskaičiavimo koeficientus, apie kiekvieną nurodomą pozicijų klasę pateikiama ši informacija:</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„NE“ = pažymima tada, jei naudojami priežiūros institucijų nustatyti LGD įverčiai ir kredito perskaičiavimo koeficientai (pagrindinis IRB metodas, F–IRB).</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„TAIP“ = pažymima tada, jei naudojami pačios įstaigos apskaičiuoti LGD įverčiai ir kredito perskaičiavimo koeficientai (pažangusis IRB metodas, A–IRB).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Teikiant informaciją apie mažmeninius portfelius visais atvejais pažymima „TAIP“.</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Jeigu vienai savo IRB pozicijų daliai įstaiga naudoja savo pačios apskaičiuotus LGD įverčius, kad apskaičiuotų </w:t>
      </w:r>
      <w:r>
        <w:rPr>
          <w:rStyle w:val="InstructionsTabelleText"/>
          <w:rFonts w:ascii="Times New Roman" w:hAnsi="Times New Roman"/>
          <w:sz w:val="24"/>
        </w:rPr>
        <w:t>pagal riziką įvertintų pozicijų sumas</w:t>
      </w:r>
      <w:r>
        <w:rPr>
          <w:rFonts w:ascii="Times New Roman" w:hAnsi="Times New Roman"/>
          <w:sz w:val="24"/>
        </w:rPr>
        <w:t xml:space="preserve">, o kitų IRB pozicijų </w:t>
      </w:r>
      <w:r>
        <w:rPr>
          <w:rStyle w:val="InstructionsTabelleText"/>
          <w:rFonts w:ascii="Times New Roman" w:hAnsi="Times New Roman"/>
          <w:sz w:val="24"/>
        </w:rPr>
        <w:t xml:space="preserve">pagal riziką įvertintų pozicijų sumoms </w:t>
      </w:r>
      <w:r>
        <w:rPr>
          <w:rFonts w:ascii="Times New Roman" w:hAnsi="Times New Roman"/>
          <w:sz w:val="24"/>
        </w:rPr>
        <w:t>apskaičiuoti naudoja priežiūros institucijų n</w:t>
      </w:r>
      <w:r>
        <w:rPr>
          <w:rFonts w:ascii="Times New Roman" w:hAnsi="Times New Roman"/>
          <w:sz w:val="24"/>
        </w:rPr>
        <w:t>u</w:t>
      </w:r>
      <w:r>
        <w:rPr>
          <w:rFonts w:ascii="Times New Roman" w:hAnsi="Times New Roman"/>
          <w:sz w:val="24"/>
        </w:rPr>
        <w:t>statytus LGD įverčius, pildoma viena CR IRB bendra suma F–IRB pozicijoms ir viena CR IRB bendra suma A–IRB pozicijoms.</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4010051"/>
      <w:r>
        <w:rPr>
          <w:rFonts w:ascii="Times New Roman" w:hAnsi="Times New Roman"/>
          <w:sz w:val="24"/>
          <w:u w:val="none"/>
        </w:rPr>
        <w:t>3.3.2.</w:t>
      </w:r>
      <w:r>
        <w:tab/>
      </w:r>
      <w:r>
        <w:rPr>
          <w:rFonts w:ascii="Times New Roman" w:hAnsi="Times New Roman"/>
          <w:sz w:val="24"/>
        </w:rPr>
        <w:t>CR IRB formos suskirstymas</w:t>
      </w:r>
      <w:bookmarkEnd w:id="267"/>
      <w:bookmarkEnd w:id="268"/>
      <w:bookmarkEnd w:id="269"/>
      <w:bookmarkEnd w:id="270"/>
      <w:bookmarkEnd w:id="271"/>
      <w:bookmarkEnd w:id="272"/>
      <w:bookmarkEnd w:id="273"/>
      <w:bookmarkEnd w:id="274"/>
      <w:bookmarkEnd w:id="275"/>
    </w:p>
    <w:p w:rsidR="001C7AB7" w:rsidRPr="00392FFD" w:rsidRDefault="00125707" w:rsidP="00C37B29">
      <w:pPr>
        <w:pStyle w:val="InstructionsText2"/>
        <w:numPr>
          <w:ilvl w:val="0"/>
          <w:numId w:val="0"/>
        </w:numPr>
        <w:ind w:left="993"/>
      </w:pPr>
      <w:r>
        <w:t>78.</w:t>
      </w:r>
      <w:r>
        <w:tab/>
        <w:t>CR IRB formą sudaro dvi formos. CR IRB 1 formoje pateikiama bendra IRB pozicijų ir įvairių metodų, pagal kuriuos skaičiuojamos bendros rizikos pozicijų sumos, apžvalga, taip pat bendros pozicijų sumos suskirstymas pagal pozicijos r</w:t>
      </w:r>
      <w:r>
        <w:t>ū</w:t>
      </w:r>
      <w:r>
        <w:t>šis. CR IRB 2 formoje pateikiamas bendros pozicijų, priskirtų įsipareigojančiųjų asmenų rangams arba grupėms, sumos suskirstymas. CR IRB 1 ir CR IRB 2 formos pildomos atskirai šioms pozicijų klasėms ir poklasiams:</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Bendra suma</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(Bendra suma formoje nurodoma atskirai, kai taikomas pagrindinis IRB met</w:t>
      </w:r>
      <w:r>
        <w:rPr>
          <w:rFonts w:ascii="Times New Roman" w:hAnsi="Times New Roman"/>
          <w:sz w:val="24"/>
        </w:rPr>
        <w:t>o</w:t>
      </w:r>
      <w:r>
        <w:rPr>
          <w:rFonts w:ascii="Times New Roman" w:hAnsi="Times New Roman"/>
          <w:sz w:val="24"/>
        </w:rPr>
        <w:t>das ir kai taikomas pažangusis IRB metodas).</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Centrinių bankų ir centrinės valdžios pozicijos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(KRR 147 straipsnio 2 dalies a punktas)</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Įstaigų pozicijos</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(KRR 147 straipsnio 2 dalies b punktas)</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Įmonių pozicijos: MVĮ pozicijos</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(KRR 147 straipsnio 2 dalies c punktas)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Įmonių pozicijos: specializuoto skolinimo pozicijos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(KRR 147 straipsnio 8 dalis)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Įmonių pozicijos: kitos pozicijos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(Visos įmonės pagal 147 straipsnio 2 dalies c punktą, neįtrauktos į 4.1 ir 4.2 punktus).</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Mažmeninės pozicijos: užtikrintos nekilnojamuoju turtu MVĮ pozicijos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(Pozicijos pagal KRR 147 straipsnio 2 dalies d punktą kartu su 154 straipsnio 3 dalimi, užtikrintos nekilnojamuoju turtu).</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Mažmeninės pozicijos: užtikrintos nekilnojamuoju turtu ne MVĮ pozicijos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(Pozicijos pagal KRR 147 straipsnio 2 dalies d punktą, užtikrintos nekilnoj</w:t>
      </w:r>
      <w:r>
        <w:rPr>
          <w:rFonts w:ascii="Times New Roman" w:hAnsi="Times New Roman"/>
          <w:sz w:val="24"/>
        </w:rPr>
        <w:t>a</w:t>
      </w:r>
      <w:r>
        <w:rPr>
          <w:rFonts w:ascii="Times New Roman" w:hAnsi="Times New Roman"/>
          <w:sz w:val="24"/>
        </w:rPr>
        <w:t xml:space="preserve">muoju turtu, bet nenurodytos 5.1 punkte).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Mažmeninės pozicijos: reikalavimus atitinkančios atnaujinamosios pozicijos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(KRR 147 straipsnio 2 dalies d punktas ir 154 straipsnio 4 dalis).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Mažmeninės pozicijos: kitos MVĮ pozicijos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(KRR 147 straipsnio 2 dalies d punktas, nenurodytos 5.1 ir 5.3 punktuose). </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Mažmeninės pozicijos: kitos ne MVĮ pozicijos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(KRR 147 straipsnio 2 dalies d punktas, nenurodytos 5.2 ir 5.3 punktuose).</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6" w:name="_Toc516210644"/>
      <w:bookmarkStart w:id="277" w:name="_Toc473560909"/>
      <w:bookmarkStart w:id="278" w:name="_Toc239157380"/>
      <w:bookmarkStart w:id="279" w:name="_Toc262568038"/>
      <w:bookmarkStart w:id="280" w:name="_Toc264038436"/>
      <w:bookmarkStart w:id="281" w:name="_Toc295829866"/>
      <w:bookmarkStart w:id="282" w:name="_Toc308155143"/>
      <w:bookmarkStart w:id="283" w:name="_Toc310415030"/>
      <w:bookmarkStart w:id="284" w:name="_Toc360188360"/>
      <w:bookmarkStart w:id="285" w:name="_Toc524010052"/>
      <w:r>
        <w:rPr>
          <w:rFonts w:ascii="Times New Roman" w:hAnsi="Times New Roman"/>
          <w:sz w:val="24"/>
          <w:u w:val="none"/>
        </w:rPr>
        <w:t>3.3.3.</w:t>
      </w:r>
      <w:r>
        <w:tab/>
      </w:r>
      <w:r>
        <w:rPr>
          <w:rFonts w:ascii="Times New Roman" w:hAnsi="Times New Roman"/>
          <w:sz w:val="24"/>
        </w:rPr>
        <w:t>C 08.01. Kredito rizika, sandorio šalies kredito rizika ir nebaigti sandoriai. IRB met</w:t>
      </w:r>
      <w:r>
        <w:rPr>
          <w:rFonts w:ascii="Times New Roman" w:hAnsi="Times New Roman"/>
          <w:sz w:val="24"/>
        </w:rPr>
        <w:t>o</w:t>
      </w:r>
      <w:r>
        <w:rPr>
          <w:rFonts w:ascii="Times New Roman" w:hAnsi="Times New Roman"/>
          <w:sz w:val="24"/>
        </w:rPr>
        <w:t>das, taikomas kapitalo reikalavimams apskaičiuoti (CR IRB 1)</w:t>
      </w:r>
      <w:bookmarkEnd w:id="276"/>
      <w:bookmarkEnd w:id="277"/>
      <w:bookmarkEnd w:id="285"/>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4010053"/>
      <w:r>
        <w:rPr>
          <w:rFonts w:ascii="Times New Roman" w:hAnsi="Times New Roman"/>
          <w:sz w:val="24"/>
          <w:u w:val="none"/>
        </w:rPr>
        <w:t>3.3.3.1</w:t>
      </w:r>
      <w:r>
        <w:tab/>
      </w:r>
      <w:r>
        <w:rPr>
          <w:rFonts w:ascii="Times New Roman" w:hAnsi="Times New Roman"/>
          <w:sz w:val="24"/>
        </w:rPr>
        <w:t>Nurodymai dėl konkrečių pozicijų</w:t>
      </w:r>
      <w:bookmarkEnd w:id="278"/>
      <w:bookmarkEnd w:id="279"/>
      <w:bookmarkEnd w:id="280"/>
      <w:bookmarkEnd w:id="281"/>
      <w:bookmarkEnd w:id="282"/>
      <w:bookmarkEnd w:id="283"/>
      <w:bookmarkEnd w:id="284"/>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Skiltys</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Nurodymai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VIDAUS REITINGŲ SISTEMA / PD, PRISKIRTA ĮSIPAREIGOJANČIOJO A</w:t>
            </w:r>
            <w:r>
              <w:rPr>
                <w:rStyle w:val="InstructionsTabelleberschrift"/>
                <w:rFonts w:ascii="Times New Roman" w:hAnsi="Times New Roman"/>
                <w:sz w:val="24"/>
              </w:rPr>
              <w:t>S</w:t>
            </w:r>
            <w:r>
              <w:rPr>
                <w:rStyle w:val="InstructionsTabelleberschrift"/>
                <w:rFonts w:ascii="Times New Roman" w:hAnsi="Times New Roman"/>
                <w:sz w:val="24"/>
              </w:rPr>
              <w:t>MENS RANGUI ARBA GRUPEI (%)</w:t>
            </w:r>
          </w:p>
          <w:p w:rsidR="001C7AB7" w:rsidRPr="00392FFD" w:rsidRDefault="001C7AB7" w:rsidP="001C7AB7">
            <w:pPr>
              <w:rPr>
                <w:rFonts w:ascii="Times New Roman" w:hAnsi="Times New Roman"/>
                <w:sz w:val="24"/>
              </w:rPr>
            </w:pPr>
            <w:r>
              <w:rPr>
                <w:rStyle w:val="InstructionsTabelleText"/>
                <w:rFonts w:ascii="Times New Roman" w:hAnsi="Times New Roman"/>
                <w:sz w:val="24"/>
              </w:rPr>
              <w:t>Įsipareigojimų neįvykdymo tikimybė (PD) įsipareigojančiojo asmens rangui arba grupei priskiriama remiantis KRR 180 straipsnio nuostatomis. Kiekvieno rango arba grupės a</w:t>
            </w:r>
            <w:r>
              <w:rPr>
                <w:rStyle w:val="InstructionsTabelleText"/>
                <w:rFonts w:ascii="Times New Roman" w:hAnsi="Times New Roman"/>
                <w:sz w:val="24"/>
              </w:rPr>
              <w:t>t</w:t>
            </w:r>
            <w:r>
              <w:rPr>
                <w:rStyle w:val="InstructionsTabelleText"/>
                <w:rFonts w:ascii="Times New Roman" w:hAnsi="Times New Roman"/>
                <w:sz w:val="24"/>
              </w:rPr>
              <w:t>veju nurodoma konkretaus įsipareigojančiojo asmens rangui arba grupei priskirta PD. Kai reikšmes sudaro įsipareigojančiojo asmens rangų arba grupių reikšmių suma (pvz., be</w:t>
            </w:r>
            <w:r>
              <w:rPr>
                <w:rStyle w:val="InstructionsTabelleText"/>
                <w:rFonts w:ascii="Times New Roman" w:hAnsi="Times New Roman"/>
                <w:sz w:val="24"/>
              </w:rPr>
              <w:t>n</w:t>
            </w:r>
            <w:r>
              <w:rPr>
                <w:rStyle w:val="InstructionsTabelleText"/>
                <w:rFonts w:ascii="Times New Roman" w:hAnsi="Times New Roman"/>
                <w:sz w:val="24"/>
              </w:rPr>
              <w:t>dra pozicijų suma), nurodomas įsipareigojimų neįvykdymo tikimybių, priskirtų į tą sumą įtrauktiems įsipareigojančiųjų asmenų rangams arba grupėms, pozicijų svertinis vidurkis. Pozicijų svertiniam PD vidurkiui apskaičiuoti naudojama pozicijos vertė (110 skiltis)</w:t>
            </w:r>
            <w:r>
              <w:rPr>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Kiekvieno rango arba grupės atveju nurodoma konkrečiam įsipareigojančiojo asmens rangui arba grupei priskirta PD. Visi nurodomi rizikos parametrai apskaičiuojami pagal atitinkamos kompetentingos institucijos patvirtintus vidaus reitingų sistemoje naudoj</w:t>
            </w:r>
            <w:r>
              <w:rPr>
                <w:rStyle w:val="InstructionsTabelleText"/>
                <w:rFonts w:ascii="Times New Roman" w:hAnsi="Times New Roman"/>
                <w:sz w:val="24"/>
              </w:rPr>
              <w:t>a</w:t>
            </w:r>
            <w:r>
              <w:rPr>
                <w:rStyle w:val="InstructionsTabelleText"/>
                <w:rFonts w:ascii="Times New Roman" w:hAnsi="Times New Roman"/>
                <w:sz w:val="24"/>
              </w:rPr>
              <w:t>mus rizikos parametrus.</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Naudoti priežiūros institucijų nustatytą bazinę skalę nei siekiama, nei pageidautina. Jeigu informaciją teikianti įstaiga taiko unikalią reitingų sistemą arba gali informaciją pateikti pagal vidaus bazinę skalę, ši skalė ir taikoma.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Kitais atvejais skirtingos reitingų sistemos sujungiamos ir duomenys sugrupuojami pagal šiuos kriterijus: įvairiose reitingų sistemose naudojami įsipareigojančiųjų asmenų rangai sujungiami ir sugrupuojami nuo mažiausios iki didžiausios PD, priskirtos kiekvienam įsipareigojančiojo asmens rangui. Jeigu įstaiga naudoja daug rangų arba grupių, su ko</w:t>
            </w:r>
            <w:r>
              <w:rPr>
                <w:rStyle w:val="InstructionsTabelleText"/>
                <w:rFonts w:ascii="Times New Roman" w:hAnsi="Times New Roman"/>
                <w:sz w:val="24"/>
              </w:rPr>
              <w:t>m</w:t>
            </w:r>
            <w:r>
              <w:rPr>
                <w:rStyle w:val="InstructionsTabelleText"/>
                <w:rFonts w:ascii="Times New Roman" w:hAnsi="Times New Roman"/>
                <w:sz w:val="24"/>
              </w:rPr>
              <w:t>petentingomis institucijomis gali būti susitarta nurodyti mažesnį rangų arba grupių ska</w:t>
            </w:r>
            <w:r>
              <w:rPr>
                <w:rStyle w:val="InstructionsTabelleText"/>
                <w:rFonts w:ascii="Times New Roman" w:hAnsi="Times New Roman"/>
                <w:sz w:val="24"/>
              </w:rPr>
              <w:t>i</w:t>
            </w:r>
            <w:r>
              <w:rPr>
                <w:rStyle w:val="InstructionsTabelleText"/>
                <w:rFonts w:ascii="Times New Roman" w:hAnsi="Times New Roman"/>
                <w:sz w:val="24"/>
              </w:rPr>
              <w:t>čių.</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Įstaigos turi iš anksto kreiptis į kompetentingą instituciją, jeigu nori nurodyti kitokį rangų skaičių, palyginti su skaičiumi vidaus rangų sistemoje.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PD svertiniam vidurkiui apskaičiuoti naudojama 110 skiltyje nurodyta pozicijos vertė. Apskaičiuojant pozicijų svertinį PD vidurkį atsižvelgiama į visas pozicijas, įskaitant p</w:t>
            </w:r>
            <w:r>
              <w:rPr>
                <w:rStyle w:val="InstructionsTabelleText"/>
                <w:rFonts w:ascii="Times New Roman" w:hAnsi="Times New Roman"/>
                <w:sz w:val="24"/>
              </w:rPr>
              <w:t>o</w:t>
            </w:r>
            <w:r>
              <w:rPr>
                <w:rStyle w:val="InstructionsTabelleText"/>
                <w:rFonts w:ascii="Times New Roman" w:hAnsi="Times New Roman"/>
                <w:sz w:val="24"/>
              </w:rPr>
              <w:t>zicijas esant įsipareigojimų neįvykdymui (pvz., apskaičiuojant bendrą pozicijos sumą). Pozicijos esant įsipareigojimų neįvykdymui – tai pozicijos, priskirtos paskutiniam (-iams) rangui (-ams) reitingų sistemoje, kai PD yra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PRADINĖ POZICIJA IKI PERSKAIČIAVIMO KOEFICIENTŲ TAIKYMO</w:t>
            </w:r>
          </w:p>
          <w:p w:rsidR="001C7AB7" w:rsidRPr="00392FFD" w:rsidRDefault="001C7AB7" w:rsidP="001C7AB7">
            <w:pPr>
              <w:rPr>
                <w:rFonts w:ascii="Times New Roman" w:hAnsi="Times New Roman"/>
                <w:sz w:val="24"/>
              </w:rPr>
            </w:pPr>
            <w:r>
              <w:rPr>
                <w:rFonts w:ascii="Times New Roman" w:hAnsi="Times New Roman"/>
                <w:sz w:val="24"/>
              </w:rPr>
              <w:t>Įstaigos nurodo pozicijos vertę iki visų vertės koregavimų, atidėjinių, kredito rizikos m</w:t>
            </w:r>
            <w:r>
              <w:rPr>
                <w:rFonts w:ascii="Times New Roman" w:hAnsi="Times New Roman"/>
                <w:sz w:val="24"/>
              </w:rPr>
              <w:t>a</w:t>
            </w:r>
            <w:r>
              <w:rPr>
                <w:rFonts w:ascii="Times New Roman" w:hAnsi="Times New Roman"/>
                <w:sz w:val="24"/>
              </w:rPr>
              <w:t xml:space="preserve">žinimo metodų poveikio arba kredito perskaičiavimo koeficientų taikymo. </w:t>
            </w:r>
          </w:p>
          <w:p w:rsidR="001C7AB7" w:rsidRPr="00392FFD" w:rsidRDefault="001C7AB7" w:rsidP="001C7AB7">
            <w:pPr>
              <w:rPr>
                <w:rFonts w:ascii="Times New Roman" w:hAnsi="Times New Roman"/>
                <w:sz w:val="24"/>
              </w:rPr>
            </w:pPr>
            <w:r>
              <w:rPr>
                <w:rFonts w:ascii="Times New Roman" w:hAnsi="Times New Roman"/>
                <w:sz w:val="24"/>
              </w:rPr>
              <w:t>Pradinės pozicijos vertė nurodoma pagal KRR 24 straipsnį ir 166 straipsnio 1, 2 ir 4–7 dalis.</w:t>
            </w:r>
          </w:p>
          <w:p w:rsidR="001C7AB7" w:rsidRPr="00392FFD" w:rsidRDefault="001C7AB7" w:rsidP="001C7AB7">
            <w:pPr>
              <w:rPr>
                <w:rFonts w:ascii="Times New Roman" w:hAnsi="Times New Roman"/>
                <w:sz w:val="24"/>
              </w:rPr>
            </w:pPr>
            <w:r>
              <w:rPr>
                <w:rFonts w:ascii="Times New Roman" w:hAnsi="Times New Roman"/>
                <w:sz w:val="24"/>
              </w:rPr>
              <w:t>Poveikis pagal KRR 166 straipsnio 3 dalį (balansinės paskolų ir indėlių užskaitos pove</w:t>
            </w:r>
            <w:r>
              <w:rPr>
                <w:rFonts w:ascii="Times New Roman" w:hAnsi="Times New Roman"/>
                <w:sz w:val="24"/>
              </w:rPr>
              <w:t>i</w:t>
            </w:r>
            <w:r>
              <w:rPr>
                <w:rFonts w:ascii="Times New Roman" w:hAnsi="Times New Roman"/>
                <w:sz w:val="24"/>
              </w:rPr>
              <w:t>kis) yra nurodomas atskirai kaip tiesioginis kredito užtikrinimas, todėl juo pradinė pozic</w:t>
            </w:r>
            <w:r>
              <w:rPr>
                <w:rFonts w:ascii="Times New Roman" w:hAnsi="Times New Roman"/>
                <w:sz w:val="24"/>
              </w:rPr>
              <w:t>i</w:t>
            </w:r>
            <w:r>
              <w:rPr>
                <w:rFonts w:ascii="Times New Roman" w:hAnsi="Times New Roman"/>
                <w:sz w:val="24"/>
              </w:rPr>
              <w:t xml:space="preserve">ja nemažinama.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IŠ JOS: STAMBŪS FINANSŲ SEKTORIAUS SUBJEKTAI IR NEREGULIU</w:t>
            </w:r>
            <w:r>
              <w:rPr>
                <w:rFonts w:ascii="Times New Roman" w:hAnsi="Times New Roman"/>
                <w:b/>
                <w:sz w:val="24"/>
                <w:u w:val="single"/>
              </w:rPr>
              <w:t>O</w:t>
            </w:r>
            <w:r>
              <w:rPr>
                <w:rFonts w:ascii="Times New Roman" w:hAnsi="Times New Roman"/>
                <w:b/>
                <w:sz w:val="24"/>
                <w:u w:val="single"/>
              </w:rPr>
              <w:t>JAMIEJI FINANSŲ SUBJEKTAI</w:t>
            </w:r>
          </w:p>
          <w:p w:rsidR="001C7AB7" w:rsidRPr="00392FFD" w:rsidRDefault="001C7AB7" w:rsidP="001C7AB7">
            <w:pPr>
              <w:rPr>
                <w:rFonts w:ascii="Times New Roman" w:hAnsi="Times New Roman"/>
                <w:b/>
                <w:sz w:val="24"/>
                <w:u w:val="single"/>
              </w:rPr>
            </w:pPr>
            <w:r>
              <w:rPr>
                <w:rFonts w:ascii="Times New Roman" w:hAnsi="Times New Roman"/>
                <w:sz w:val="24"/>
              </w:rPr>
              <w:t>Pradinės pozicijos iki perskaičiavimo koeficiento taikymo suskirstymas pagal visas poz</w:t>
            </w:r>
            <w:r>
              <w:rPr>
                <w:rFonts w:ascii="Times New Roman" w:hAnsi="Times New Roman"/>
                <w:sz w:val="24"/>
              </w:rPr>
              <w:t>i</w:t>
            </w:r>
            <w:r>
              <w:rPr>
                <w:rFonts w:ascii="Times New Roman" w:hAnsi="Times New Roman"/>
                <w:sz w:val="24"/>
              </w:rPr>
              <w:t>cijas, apibrėžtas KRR 142 straipsnio 4 ir 5 dalyse, kurioms taikomas didesnis koreliacijos koeficientas pagal KRR 153 straipsnio 2 dalį.</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KREDITO RIZIKOS MAŽINIMO (KRM) METODAI, TURINTYS POZICIJOS PAKEITIMO POVEIKĮ</w:t>
            </w:r>
          </w:p>
          <w:p w:rsidR="001C7AB7" w:rsidRPr="00392FFD" w:rsidRDefault="001C7AB7" w:rsidP="001C7AB7">
            <w:pPr>
              <w:rPr>
                <w:rFonts w:ascii="Times New Roman" w:hAnsi="Times New Roman"/>
                <w:sz w:val="24"/>
              </w:rPr>
            </w:pPr>
            <w:r>
              <w:rPr>
                <w:rFonts w:ascii="Times New Roman" w:hAnsi="Times New Roman"/>
                <w:sz w:val="24"/>
              </w:rPr>
              <w:t>KRR 4 straipsnio 1 dalies 57 punkte apibrėžti kredito rizikos mažinimo metodai, kuriais keičiant pozicijas mažinama pozicijos arba pozicijų kredito rizika, kaip paaiškinta toliau punkte „POZICIJOS PAKEITIMAS DĖL KRM“.</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NETIESIOGINIS KREDITO UŽTIKRINIMAS</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Netiesioginis kredito užtikrinimas. KRR 4 straipsnio 1 dalies 59 punkte apibrėžtos vertės.</w:t>
            </w:r>
          </w:p>
          <w:p w:rsidR="001C7AB7" w:rsidRPr="00392FFD" w:rsidRDefault="001C7AB7" w:rsidP="001C7AB7">
            <w:pPr>
              <w:rPr>
                <w:rFonts w:ascii="Times New Roman" w:hAnsi="Times New Roman"/>
                <w:sz w:val="24"/>
              </w:rPr>
            </w:pPr>
            <w:r>
              <w:rPr>
                <w:rFonts w:ascii="Times New Roman" w:hAnsi="Times New Roman"/>
                <w:sz w:val="24"/>
              </w:rPr>
              <w:t>Jeigu užtikrinimo priemonė daro poveikį pozicijai (pvz., jeigu ji taikoma kaip kredito r</w:t>
            </w:r>
            <w:r>
              <w:rPr>
                <w:rFonts w:ascii="Times New Roman" w:hAnsi="Times New Roman"/>
                <w:sz w:val="24"/>
              </w:rPr>
              <w:t>i</w:t>
            </w:r>
            <w:r>
              <w:rPr>
                <w:rFonts w:ascii="Times New Roman" w:hAnsi="Times New Roman"/>
                <w:sz w:val="24"/>
              </w:rPr>
              <w:t>zikos mažinimo metodas, turintis pozicijos pakeitimo poveikį), ji apribojama pozicijos verte.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GARANTIJOS</w:t>
            </w:r>
          </w:p>
          <w:p w:rsidR="001C7AB7" w:rsidRPr="00392FFD" w:rsidRDefault="001C7AB7" w:rsidP="001C7AB7">
            <w:pPr>
              <w:jc w:val="left"/>
              <w:rPr>
                <w:rFonts w:ascii="Times New Roman" w:hAnsi="Times New Roman"/>
                <w:sz w:val="24"/>
              </w:rPr>
            </w:pPr>
            <w:r>
              <w:rPr>
                <w:rFonts w:ascii="Times New Roman" w:hAnsi="Times New Roman"/>
                <w:sz w:val="24"/>
              </w:rPr>
              <w:t>Kai pačios įstaigos apskaičiuoti LGD įverčiai nenaudojami, nurodoma KRR 236 straip</w:t>
            </w:r>
            <w:r>
              <w:rPr>
                <w:rFonts w:ascii="Times New Roman" w:hAnsi="Times New Roman"/>
                <w:sz w:val="24"/>
              </w:rPr>
              <w:t>s</w:t>
            </w:r>
            <w:r>
              <w:rPr>
                <w:rFonts w:ascii="Times New Roman" w:hAnsi="Times New Roman"/>
                <w:sz w:val="24"/>
              </w:rPr>
              <w:t>nyje apibrėžta pakoreguota vertė (Ga).</w:t>
            </w:r>
          </w:p>
          <w:p w:rsidR="001C7AB7" w:rsidRPr="00392FFD" w:rsidRDefault="001C7AB7" w:rsidP="001C7AB7">
            <w:pPr>
              <w:jc w:val="left"/>
              <w:rPr>
                <w:rFonts w:ascii="Times New Roman" w:hAnsi="Times New Roman"/>
                <w:sz w:val="24"/>
              </w:rPr>
            </w:pPr>
            <w:r>
              <w:rPr>
                <w:rFonts w:ascii="Times New Roman" w:hAnsi="Times New Roman"/>
                <w:sz w:val="24"/>
              </w:rPr>
              <w:t xml:space="preserve">Kai pačios įstaigos apskaičiuoti LGD įverčiai naudojami (KRR 183 straipsnis, išskyrus 3 dalį), nurodoma atitinkama vidaus modelyje naudojama vertė. </w:t>
            </w:r>
          </w:p>
          <w:p w:rsidR="001C7AB7" w:rsidRPr="00392FFD" w:rsidRDefault="001C7AB7" w:rsidP="001C7AB7">
            <w:pPr>
              <w:jc w:val="left"/>
              <w:rPr>
                <w:rFonts w:ascii="Times New Roman" w:hAnsi="Times New Roman"/>
                <w:sz w:val="24"/>
              </w:rPr>
            </w:pPr>
            <w:r>
              <w:rPr>
                <w:rFonts w:ascii="Times New Roman" w:hAnsi="Times New Roman"/>
                <w:sz w:val="24"/>
              </w:rPr>
              <w:t>Kai LGD nėra koreguojamas, garantijos nurodomos 040 skiltyje. Kai LGD yra koregu</w:t>
            </w:r>
            <w:r>
              <w:rPr>
                <w:rFonts w:ascii="Times New Roman" w:hAnsi="Times New Roman"/>
                <w:sz w:val="24"/>
              </w:rPr>
              <w:t>o</w:t>
            </w:r>
            <w:r>
              <w:rPr>
                <w:rFonts w:ascii="Times New Roman" w:hAnsi="Times New Roman"/>
                <w:sz w:val="24"/>
              </w:rPr>
              <w:t>jamas, garantijų suma nurodoma 150 skiltyje.</w:t>
            </w:r>
          </w:p>
          <w:p w:rsidR="00785F3E" w:rsidRPr="00392FFD" w:rsidRDefault="00785F3E" w:rsidP="001C7AB7">
            <w:pPr>
              <w:jc w:val="left"/>
              <w:rPr>
                <w:rFonts w:ascii="Times New Roman" w:hAnsi="Times New Roman"/>
                <w:sz w:val="24"/>
              </w:rPr>
            </w:pPr>
            <w:r>
              <w:rPr>
                <w:rFonts w:ascii="Times New Roman" w:hAnsi="Times New Roman"/>
                <w:sz w:val="24"/>
              </w:rPr>
              <w:t>Pozicijų, kurioms taikomas dvigubo įsipareigojimų neįvykdymo vertinimas, atveju neti</w:t>
            </w:r>
            <w:r>
              <w:rPr>
                <w:rFonts w:ascii="Times New Roman" w:hAnsi="Times New Roman"/>
                <w:sz w:val="24"/>
              </w:rPr>
              <w:t>e</w:t>
            </w:r>
            <w:r>
              <w:rPr>
                <w:rFonts w:ascii="Times New Roman" w:hAnsi="Times New Roman"/>
                <w:sz w:val="24"/>
              </w:rPr>
              <w:t>sioginio kredito užtikrinimo vertė nurodoma 220 skiltyje.</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KREDITO IŠVESTINĖS FINANSINĖS PRIEMONĖS</w:t>
            </w:r>
          </w:p>
          <w:p w:rsidR="001C7AB7" w:rsidRPr="00392FFD" w:rsidRDefault="001C7AB7" w:rsidP="001C7AB7">
            <w:pPr>
              <w:rPr>
                <w:rFonts w:ascii="Times New Roman" w:hAnsi="Times New Roman"/>
                <w:sz w:val="24"/>
              </w:rPr>
            </w:pPr>
            <w:r>
              <w:rPr>
                <w:rFonts w:ascii="Times New Roman" w:hAnsi="Times New Roman"/>
                <w:sz w:val="24"/>
              </w:rPr>
              <w:t>Kai pačios įstaigos apskaičiuoti LGD įverčiai nenaudojami, nurodoma KRR 216 straip</w:t>
            </w:r>
            <w:r>
              <w:rPr>
                <w:rFonts w:ascii="Times New Roman" w:hAnsi="Times New Roman"/>
                <w:sz w:val="24"/>
              </w:rPr>
              <w:t>s</w:t>
            </w:r>
            <w:r>
              <w:rPr>
                <w:rFonts w:ascii="Times New Roman" w:hAnsi="Times New Roman"/>
                <w:sz w:val="24"/>
              </w:rPr>
              <w:t>nyje apibrėžta pakoreguota vertė (Ga).</w:t>
            </w:r>
          </w:p>
          <w:p w:rsidR="00785F3E" w:rsidRPr="00392FFD" w:rsidRDefault="00785F3E" w:rsidP="001C7AB7">
            <w:pPr>
              <w:rPr>
                <w:rFonts w:ascii="Times New Roman" w:hAnsi="Times New Roman"/>
                <w:sz w:val="24"/>
              </w:rPr>
            </w:pPr>
            <w:r>
              <w:rPr>
                <w:rFonts w:ascii="Times New Roman" w:hAnsi="Times New Roman"/>
                <w:sz w:val="24"/>
              </w:rPr>
              <w:t>Kai pačios įstaigos apskaičiuoti LGD įverčiai naudojami (KRR 183 straipsnis), nurod</w:t>
            </w:r>
            <w:r>
              <w:rPr>
                <w:rFonts w:ascii="Times New Roman" w:hAnsi="Times New Roman"/>
                <w:sz w:val="24"/>
              </w:rPr>
              <w:t>o</w:t>
            </w:r>
            <w:r>
              <w:rPr>
                <w:rFonts w:ascii="Times New Roman" w:hAnsi="Times New Roman"/>
                <w:sz w:val="24"/>
              </w:rPr>
              <w:lastRenderedPageBreak/>
              <w:t>ma atitinkama vidaus modelyje naudojama vertė.</w:t>
            </w:r>
          </w:p>
          <w:p w:rsidR="001C7AB7" w:rsidRPr="00392FFD" w:rsidRDefault="001C7AB7" w:rsidP="001C7AB7">
            <w:pPr>
              <w:rPr>
                <w:rFonts w:ascii="Times New Roman" w:hAnsi="Times New Roman"/>
                <w:sz w:val="24"/>
              </w:rPr>
            </w:pPr>
            <w:r>
              <w:rPr>
                <w:rFonts w:ascii="Times New Roman" w:hAnsi="Times New Roman"/>
                <w:sz w:val="24"/>
              </w:rPr>
              <w:t>Kai LGD yra koreguojamas, kredito išvestinių finansinių priemonių suma nurodoma 160 skiltyje.</w:t>
            </w:r>
          </w:p>
          <w:p w:rsidR="001C7AB7" w:rsidRPr="00392FFD" w:rsidRDefault="001C7AB7" w:rsidP="00785F3E">
            <w:pPr>
              <w:jc w:val="left"/>
              <w:rPr>
                <w:rFonts w:ascii="Times New Roman" w:hAnsi="Times New Roman"/>
                <w:sz w:val="24"/>
              </w:rPr>
            </w:pPr>
            <w:r>
              <w:rPr>
                <w:rFonts w:ascii="Times New Roman" w:hAnsi="Times New Roman"/>
                <w:sz w:val="24"/>
              </w:rPr>
              <w:t>Pozicijų, kurioms taikomas dvigubo įsipareigojimų neįvykdymo vertinimas, atveju neti</w:t>
            </w:r>
            <w:r>
              <w:rPr>
                <w:rFonts w:ascii="Times New Roman" w:hAnsi="Times New Roman"/>
                <w:sz w:val="24"/>
              </w:rPr>
              <w:t>e</w:t>
            </w:r>
            <w:r>
              <w:rPr>
                <w:rFonts w:ascii="Times New Roman" w:hAnsi="Times New Roman"/>
                <w:sz w:val="24"/>
              </w:rPr>
              <w:t>sioginio kredito užtikrinimo vertė nurodoma 220 skiltyje.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KITAS TIESIOGINIS KREDITO UŽTIKRINIMAS</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Jeigu užtikrinimo priemonė daro poveikį pozicijai (pvz., jeigu ji taikoma kaip kredito r</w:t>
            </w:r>
            <w:r>
              <w:rPr>
                <w:rStyle w:val="InstructionsTabelleText"/>
                <w:rFonts w:ascii="Times New Roman" w:hAnsi="Times New Roman"/>
                <w:sz w:val="24"/>
              </w:rPr>
              <w:t>i</w:t>
            </w:r>
            <w:r>
              <w:rPr>
                <w:rStyle w:val="InstructionsTabelleText"/>
                <w:rFonts w:ascii="Times New Roman" w:hAnsi="Times New Roman"/>
                <w:sz w:val="24"/>
              </w:rPr>
              <w:t>zikos mažinimo metodas, turintis pozicijos pakeitimo poveikį), ji apribojama pozicijos verte.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Kai pačios įstaigos apskaičiuoti LGD įverčiai nenaudojami, taikomas KRR 232 straip</w:t>
            </w:r>
            <w:r>
              <w:rPr>
                <w:rStyle w:val="InstructionsTabelleText"/>
                <w:rFonts w:ascii="Times New Roman" w:hAnsi="Times New Roman"/>
                <w:sz w:val="24"/>
              </w:rPr>
              <w:t>s</w:t>
            </w:r>
            <w:r>
              <w:rPr>
                <w:rStyle w:val="InstructionsTabelleText"/>
                <w:rFonts w:ascii="Times New Roman" w:hAnsi="Times New Roman"/>
                <w:sz w:val="24"/>
              </w:rPr>
              <w:t>nis.</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Kai naudojami pačios įstaigos apskaičiuoti LGD įverčiai, nurodomos tos kredito rizikos mažinimo priemonės, kurios atitinka KRR 212 straipsnyje nustatytus kriterijus. Nurod</w:t>
            </w:r>
            <w:r>
              <w:rPr>
                <w:rStyle w:val="InstructionsTabelleText"/>
                <w:rFonts w:ascii="Times New Roman" w:hAnsi="Times New Roman"/>
                <w:sz w:val="24"/>
              </w:rPr>
              <w:t>o</w:t>
            </w:r>
            <w:r>
              <w:rPr>
                <w:rStyle w:val="InstructionsTabelleText"/>
                <w:rFonts w:ascii="Times New Roman" w:hAnsi="Times New Roman"/>
                <w:sz w:val="24"/>
              </w:rPr>
              <w:t>ma atitinkama įstaigos vidaus modelyje naudojama vertė.</w:t>
            </w:r>
          </w:p>
          <w:p w:rsidR="001C7AB7" w:rsidRPr="00392FFD" w:rsidRDefault="001C7AB7" w:rsidP="001C7AB7">
            <w:pPr>
              <w:rPr>
                <w:rFonts w:ascii="Times New Roman" w:hAnsi="Times New Roman"/>
                <w:sz w:val="24"/>
              </w:rPr>
            </w:pPr>
            <w:r>
              <w:rPr>
                <w:rStyle w:val="InstructionsTabelleText"/>
                <w:rFonts w:ascii="Times New Roman" w:hAnsi="Times New Roman"/>
                <w:sz w:val="24"/>
              </w:rPr>
              <w:t>Kai LGD nėra koreguojamas, nurodoma 060 skiltyje. Kai LGD yra koreguojamas, suma nurodoma 170 skiltyje.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POZICIJOS PAKEITIMAS DĖL KRM</w:t>
            </w:r>
          </w:p>
          <w:p w:rsidR="001C7AB7" w:rsidRPr="00392FFD" w:rsidRDefault="001C7AB7" w:rsidP="001C7AB7">
            <w:pPr>
              <w:rPr>
                <w:rFonts w:ascii="Times New Roman" w:hAnsi="Times New Roman"/>
                <w:sz w:val="24"/>
              </w:rPr>
            </w:pPr>
            <w:r>
              <w:rPr>
                <w:rFonts w:ascii="Times New Roman" w:hAnsi="Times New Roman"/>
                <w:sz w:val="24"/>
              </w:rPr>
              <w:t>Netenkamų pinigų srautas yra lygus padengtai pradinės pozicijos vertės iki perskaičiav</w:t>
            </w:r>
            <w:r>
              <w:rPr>
                <w:rFonts w:ascii="Times New Roman" w:hAnsi="Times New Roman"/>
                <w:sz w:val="24"/>
              </w:rPr>
              <w:t>i</w:t>
            </w:r>
            <w:r>
              <w:rPr>
                <w:rFonts w:ascii="Times New Roman" w:hAnsi="Times New Roman"/>
                <w:sz w:val="24"/>
              </w:rPr>
              <w:t>mo koeficientų taikymo daliai, kuri atskaitoma iš įsipareigojančiojo asmens pozicijų kl</w:t>
            </w:r>
            <w:r>
              <w:rPr>
                <w:rFonts w:ascii="Times New Roman" w:hAnsi="Times New Roman"/>
                <w:sz w:val="24"/>
              </w:rPr>
              <w:t>a</w:t>
            </w:r>
            <w:r>
              <w:rPr>
                <w:rFonts w:ascii="Times New Roman" w:hAnsi="Times New Roman"/>
                <w:sz w:val="24"/>
              </w:rPr>
              <w:t>sės ir atitinkamais atvejais – iš įsipareigojančiojo asmens rango arba grupės ir paskui pr</w:t>
            </w:r>
            <w:r>
              <w:rPr>
                <w:rFonts w:ascii="Times New Roman" w:hAnsi="Times New Roman"/>
                <w:sz w:val="24"/>
              </w:rPr>
              <w:t>i</w:t>
            </w:r>
            <w:r>
              <w:rPr>
                <w:rFonts w:ascii="Times New Roman" w:hAnsi="Times New Roman"/>
                <w:sz w:val="24"/>
              </w:rPr>
              <w:t>skiriama prie užtikrinimo teikėjo pozicijų klasės, o atitinkamais atvejais – prie įsipareig</w:t>
            </w:r>
            <w:r>
              <w:rPr>
                <w:rFonts w:ascii="Times New Roman" w:hAnsi="Times New Roman"/>
                <w:sz w:val="24"/>
              </w:rPr>
              <w:t>o</w:t>
            </w:r>
            <w:r>
              <w:rPr>
                <w:rFonts w:ascii="Times New Roman" w:hAnsi="Times New Roman"/>
                <w:sz w:val="24"/>
              </w:rPr>
              <w:t>jančiojo asmens rango arba grupės. Ši suma laikoma užtikrinimo teikėjo pozicijų klasės ir tam tikrais atvejais – įsipareigojančiojo asmens rango arba grupės gaunamų pinigų sra</w:t>
            </w:r>
            <w:r>
              <w:rPr>
                <w:rFonts w:ascii="Times New Roman" w:hAnsi="Times New Roman"/>
                <w:sz w:val="24"/>
              </w:rPr>
              <w:t>u</w:t>
            </w:r>
            <w:r>
              <w:rPr>
                <w:rFonts w:ascii="Times New Roman" w:hAnsi="Times New Roman"/>
                <w:sz w:val="24"/>
              </w:rPr>
              <w:t>tu.</w:t>
            </w:r>
          </w:p>
          <w:p w:rsidR="001C7AB7" w:rsidRPr="00392FFD" w:rsidRDefault="001C7AB7" w:rsidP="001C7AB7">
            <w:pPr>
              <w:rPr>
                <w:rFonts w:ascii="Times New Roman" w:hAnsi="Times New Roman"/>
                <w:b/>
                <w:sz w:val="24"/>
              </w:rPr>
            </w:pPr>
            <w:r>
              <w:rPr>
                <w:rFonts w:ascii="Times New Roman" w:hAnsi="Times New Roman"/>
                <w:sz w:val="24"/>
              </w:rPr>
              <w:t>Į tos pačios pozicijų klasės ir atitinkamais atvejais – įsipareigojančiojo asmens rango arba grupės gaunamus ir netenkamus pinigų srautus taip pat atsižvelgiama.</w:t>
            </w:r>
          </w:p>
          <w:p w:rsidR="001C7AB7" w:rsidRPr="00392FFD" w:rsidRDefault="001C7AB7" w:rsidP="001C7AB7">
            <w:pPr>
              <w:rPr>
                <w:rFonts w:ascii="Times New Roman" w:hAnsi="Times New Roman"/>
                <w:sz w:val="24"/>
              </w:rPr>
            </w:pPr>
            <w:r>
              <w:rPr>
                <w:rFonts w:ascii="Times New Roman" w:hAnsi="Times New Roman"/>
                <w:sz w:val="24"/>
              </w:rPr>
              <w:t>Į pozicijas, susidarančias dėl galimų gaunamų ir netenkamų pinigų srautų, perkeliamų iš kitų formų ir į kitas formas, taip pat atsižvelgiama.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POZICIJOS VERTĖ PRITAIKIUS KRM, TURINČIUS PAKEITIMO POVEIKĮ, IKI PERSKAIČIAVIMO KOEFICIENTŲ TAIKYMO</w:t>
            </w:r>
          </w:p>
          <w:p w:rsidR="001C7AB7" w:rsidRPr="00392FFD" w:rsidRDefault="001C7AB7" w:rsidP="001C7AB7">
            <w:pPr>
              <w:rPr>
                <w:rFonts w:ascii="Times New Roman" w:hAnsi="Times New Roman"/>
                <w:sz w:val="24"/>
              </w:rPr>
            </w:pPr>
            <w:r>
              <w:rPr>
                <w:rFonts w:ascii="Times New Roman" w:hAnsi="Times New Roman"/>
                <w:sz w:val="24"/>
              </w:rPr>
              <w:t>Pozicija, priskirta atitinkamo įsipareigojančiojo asmens rangui arba grupei ir pozicijų klasei, atsižvelgus į netenkamų ir gaunamų pinigų srautus dėl KRM metodų, turinčių p</w:t>
            </w:r>
            <w:r>
              <w:rPr>
                <w:rFonts w:ascii="Times New Roman" w:hAnsi="Times New Roman"/>
                <w:sz w:val="24"/>
              </w:rPr>
              <w:t>o</w:t>
            </w:r>
            <w:r>
              <w:rPr>
                <w:rFonts w:ascii="Times New Roman" w:hAnsi="Times New Roman"/>
                <w:sz w:val="24"/>
              </w:rPr>
              <w:t>zicijos pakeitimo poveikį.</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Iš jos: nebalansiniai straipsniai </w:t>
            </w:r>
          </w:p>
          <w:p w:rsidR="001C7AB7" w:rsidRPr="00392FFD" w:rsidRDefault="001C7AB7" w:rsidP="001C7AB7">
            <w:pPr>
              <w:rPr>
                <w:rFonts w:ascii="Times New Roman" w:hAnsi="Times New Roman"/>
                <w:sz w:val="24"/>
              </w:rPr>
            </w:pPr>
            <w:r>
              <w:rPr>
                <w:rFonts w:ascii="Times New Roman" w:hAnsi="Times New Roman"/>
                <w:sz w:val="24"/>
              </w:rPr>
              <w:t>Žr. CR−SA formos nurodymus.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POZICIJOS VERTĖ</w:t>
            </w:r>
          </w:p>
          <w:p w:rsidR="001C7AB7" w:rsidRPr="00392FFD" w:rsidRDefault="001C7AB7" w:rsidP="001C7AB7">
            <w:pPr>
              <w:rPr>
                <w:rFonts w:ascii="Times New Roman" w:hAnsi="Times New Roman"/>
                <w:sz w:val="24"/>
              </w:rPr>
            </w:pPr>
            <w:r>
              <w:rPr>
                <w:rFonts w:ascii="Times New Roman" w:hAnsi="Times New Roman"/>
                <w:sz w:val="24"/>
              </w:rPr>
              <w:t>Nurodoma vertė pagal KRR 166 straipsnį ir 230 straipsnio 1 dalies antrą sakinį.</w:t>
            </w:r>
          </w:p>
          <w:p w:rsidR="001C7AB7" w:rsidRPr="00392FFD" w:rsidRDefault="001C7AB7" w:rsidP="001C7AB7">
            <w:pPr>
              <w:rPr>
                <w:rFonts w:ascii="Times New Roman" w:hAnsi="Times New Roman"/>
                <w:sz w:val="24"/>
              </w:rPr>
            </w:pPr>
            <w:r>
              <w:rPr>
                <w:rFonts w:ascii="Times New Roman" w:hAnsi="Times New Roman"/>
                <w:sz w:val="24"/>
              </w:rPr>
              <w:t xml:space="preserve">I priede nurodytų priemonių atveju taikomi kredito perskaičiavimo koeficientai (KRR 166 straipsnio 8–10 dalys), nepaisant įstaigos pasirinkto metodo. </w:t>
            </w:r>
          </w:p>
          <w:p w:rsidR="001C7AB7" w:rsidRPr="00392FFD" w:rsidRDefault="001C7AB7" w:rsidP="001C7AB7">
            <w:pPr>
              <w:rPr>
                <w:rFonts w:ascii="Times New Roman" w:hAnsi="Times New Roman"/>
                <w:sz w:val="24"/>
              </w:rPr>
            </w:pPr>
            <w:r>
              <w:rPr>
                <w:rStyle w:val="InstructionsTabelleText"/>
                <w:rFonts w:ascii="Times New Roman" w:hAnsi="Times New Roman"/>
                <w:sz w:val="24"/>
              </w:rPr>
              <w:lastRenderedPageBreak/>
              <w:t>040–060 eilutėse (vertybinių popierių finansavimo sandoriai, išvestinės finansinės pri</w:t>
            </w:r>
            <w:r>
              <w:rPr>
                <w:rStyle w:val="InstructionsTabelleText"/>
                <w:rFonts w:ascii="Times New Roman" w:hAnsi="Times New Roman"/>
                <w:sz w:val="24"/>
              </w:rPr>
              <w:t>e</w:t>
            </w:r>
            <w:r>
              <w:rPr>
                <w:rStyle w:val="InstructionsTabelleText"/>
                <w:rFonts w:ascii="Times New Roman" w:hAnsi="Times New Roman"/>
                <w:sz w:val="24"/>
              </w:rPr>
              <w:t>monės ir ilgalaikiai atsiskaitymo sandoriai bei pozicijos, susidarančios pagal įpareigoja</w:t>
            </w:r>
            <w:r>
              <w:rPr>
                <w:rStyle w:val="InstructionsTabelleText"/>
                <w:rFonts w:ascii="Times New Roman" w:hAnsi="Times New Roman"/>
                <w:sz w:val="24"/>
              </w:rPr>
              <w:t>n</w:t>
            </w:r>
            <w:r>
              <w:rPr>
                <w:rStyle w:val="InstructionsTabelleText"/>
                <w:rFonts w:ascii="Times New Roman" w:hAnsi="Times New Roman"/>
                <w:sz w:val="24"/>
              </w:rPr>
              <w:t>čius kryžminės produktų užskaitos susitarimus) remiantis KRR trečios dalies II antrašt</w:t>
            </w:r>
            <w:r>
              <w:rPr>
                <w:rStyle w:val="InstructionsTabelleText"/>
                <w:rFonts w:ascii="Times New Roman" w:hAnsi="Times New Roman"/>
                <w:sz w:val="24"/>
              </w:rPr>
              <w:t>i</w:t>
            </w:r>
            <w:r>
              <w:rPr>
                <w:rStyle w:val="InstructionsTabelleText"/>
                <w:rFonts w:ascii="Times New Roman" w:hAnsi="Times New Roman"/>
                <w:sz w:val="24"/>
              </w:rPr>
              <w:t>nės dalies 6 skyriumi pozicijos vertė yra tokia pati kaip sandorio šalies kredito rizika, a</w:t>
            </w:r>
            <w:r>
              <w:rPr>
                <w:rStyle w:val="InstructionsTabelleText"/>
                <w:rFonts w:ascii="Times New Roman" w:hAnsi="Times New Roman"/>
                <w:sz w:val="24"/>
              </w:rPr>
              <w:t>p</w:t>
            </w:r>
            <w:r>
              <w:rPr>
                <w:rStyle w:val="InstructionsTabelleText"/>
                <w:rFonts w:ascii="Times New Roman" w:hAnsi="Times New Roman"/>
                <w:sz w:val="24"/>
              </w:rPr>
              <w:t>skaičiuota pagal KRR trečios dalies II antraštinės dalies 6 skyriaus 3, 4, 5, 6 ir 7 skir</w:t>
            </w:r>
            <w:r>
              <w:rPr>
                <w:rStyle w:val="InstructionsTabelleText"/>
                <w:rFonts w:ascii="Times New Roman" w:hAnsi="Times New Roman"/>
                <w:sz w:val="24"/>
              </w:rPr>
              <w:t>s</w:t>
            </w:r>
            <w:r>
              <w:rPr>
                <w:rStyle w:val="InstructionsTabelleText"/>
                <w:rFonts w:ascii="Times New Roman" w:hAnsi="Times New Roman"/>
                <w:sz w:val="24"/>
              </w:rPr>
              <w:t>niuose nurodytus metodus. Šios vertės nurodomos šioje, o ne 130 skiltyje „Iš jos: susid</w:t>
            </w:r>
            <w:r>
              <w:rPr>
                <w:rStyle w:val="InstructionsTabelleText"/>
                <w:rFonts w:ascii="Times New Roman" w:hAnsi="Times New Roman"/>
                <w:sz w:val="24"/>
              </w:rPr>
              <w:t>a</w:t>
            </w:r>
            <w:r>
              <w:rPr>
                <w:rStyle w:val="InstructionsTabelleText"/>
                <w:rFonts w:ascii="Times New Roman" w:hAnsi="Times New Roman"/>
                <w:sz w:val="24"/>
              </w:rPr>
              <w:t>ranti dėl sandorio šalies kredito rizikos“.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Iš jos: susidaranti dėl sandorio šalies kredito rizikos </w:t>
            </w:r>
          </w:p>
          <w:p w:rsidR="001C7AB7" w:rsidRPr="00392FFD" w:rsidRDefault="001C7AB7" w:rsidP="00FD6CCB">
            <w:pPr>
              <w:rPr>
                <w:rFonts w:ascii="Times New Roman" w:hAnsi="Times New Roman"/>
                <w:sz w:val="24"/>
              </w:rPr>
            </w:pPr>
            <w:r>
              <w:rPr>
                <w:rFonts w:ascii="Times New Roman" w:hAnsi="Times New Roman"/>
                <w:sz w:val="24"/>
              </w:rPr>
              <w:t>Žr. CR SA formos nurodymus.</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IŠ JOS: STAMBŪS FINANSŲ SEKTORIAUS SUBJEKTAI IR NEREGULIU</w:t>
            </w:r>
            <w:r>
              <w:rPr>
                <w:rFonts w:ascii="Times New Roman" w:hAnsi="Times New Roman"/>
                <w:b/>
                <w:sz w:val="24"/>
                <w:u w:val="single"/>
              </w:rPr>
              <w:t>O</w:t>
            </w:r>
            <w:r>
              <w:rPr>
                <w:rFonts w:ascii="Times New Roman" w:hAnsi="Times New Roman"/>
                <w:b/>
                <w:sz w:val="24"/>
                <w:u w:val="single"/>
              </w:rPr>
              <w:t>JAMIEJI FINANSŲ SUBJEKTAI</w:t>
            </w:r>
          </w:p>
          <w:p w:rsidR="001C7AB7" w:rsidRPr="00392FFD" w:rsidRDefault="001C7AB7" w:rsidP="001C7AB7">
            <w:pPr>
              <w:rPr>
                <w:rFonts w:ascii="Times New Roman" w:hAnsi="Times New Roman"/>
                <w:b/>
                <w:sz w:val="24"/>
                <w:u w:val="single"/>
              </w:rPr>
            </w:pPr>
            <w:r>
              <w:rPr>
                <w:rFonts w:ascii="Times New Roman" w:hAnsi="Times New Roman"/>
                <w:sz w:val="24"/>
              </w:rPr>
              <w:t>Pozicijos vertės suskirstymas pagal visas pozicijas, apibrėžtas KRR 142 straipsnio 4 ir 5 dalyse, kurioms taikomas didesnis koreliacijos koeficientas, kaip nurodyta KRR 153 straipsnio 2 dalyje.</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KREDITO RIZIKOS MAŽINIMO METODAI, Į KURIUOS ATSIŽVELGIAMA LGD ĮVERČIUOSE, NEĮSKAITANT DVIGUBO ĮSIPAREIGOJIMŲ NEĮVY</w:t>
            </w:r>
            <w:r>
              <w:rPr>
                <w:rFonts w:ascii="Times New Roman" w:hAnsi="Times New Roman"/>
                <w:b/>
                <w:sz w:val="24"/>
                <w:u w:val="single"/>
              </w:rPr>
              <w:t>K</w:t>
            </w:r>
            <w:r>
              <w:rPr>
                <w:rFonts w:ascii="Times New Roman" w:hAnsi="Times New Roman"/>
                <w:b/>
                <w:sz w:val="24"/>
                <w:u w:val="single"/>
              </w:rPr>
              <w:t>DYMO VERTINIMO</w:t>
            </w:r>
          </w:p>
          <w:p w:rsidR="001C7AB7" w:rsidRPr="00392FFD" w:rsidRDefault="001C7AB7" w:rsidP="001C7AB7">
            <w:pPr>
              <w:rPr>
                <w:rFonts w:ascii="Times New Roman" w:hAnsi="Times New Roman"/>
                <w:sz w:val="24"/>
              </w:rPr>
            </w:pPr>
            <w:r>
              <w:rPr>
                <w:rFonts w:ascii="Times New Roman" w:hAnsi="Times New Roman"/>
                <w:sz w:val="24"/>
              </w:rPr>
              <w:t>KRM metodai, kurie daro poveikį LGD dėl KRM metodų pakeitimo poveikio, į šias ski</w:t>
            </w:r>
            <w:r>
              <w:rPr>
                <w:rFonts w:ascii="Times New Roman" w:hAnsi="Times New Roman"/>
                <w:sz w:val="24"/>
              </w:rPr>
              <w:t>l</w:t>
            </w:r>
            <w:r>
              <w:rPr>
                <w:rFonts w:ascii="Times New Roman" w:hAnsi="Times New Roman"/>
                <w:sz w:val="24"/>
              </w:rPr>
              <w:t xml:space="preserve">tis neįtraukiami. </w:t>
            </w:r>
          </w:p>
          <w:p w:rsidR="001C7AB7" w:rsidRPr="00392FFD" w:rsidRDefault="00C61FF5" w:rsidP="001C7AB7">
            <w:pPr>
              <w:rPr>
                <w:rFonts w:ascii="Times New Roman" w:hAnsi="Times New Roman"/>
                <w:sz w:val="24"/>
              </w:rPr>
            </w:pPr>
            <w:r>
              <w:rPr>
                <w:rFonts w:ascii="Times New Roman" w:hAnsi="Times New Roman"/>
                <w:sz w:val="24"/>
              </w:rPr>
              <w:t>Kai pačios įstaigos apskaičiuoti LGD įverčiai nenaudojami: KRR 228 straipsnio 2 dalis, 230 straipsnio 1 ir 2 dalys ir 231 straipsnis.</w:t>
            </w:r>
          </w:p>
          <w:p w:rsidR="001C7AB7" w:rsidRPr="00392FFD" w:rsidRDefault="00C61FF5" w:rsidP="001C7AB7">
            <w:pPr>
              <w:rPr>
                <w:rFonts w:ascii="Times New Roman" w:hAnsi="Times New Roman"/>
                <w:sz w:val="24"/>
              </w:rPr>
            </w:pPr>
            <w:r>
              <w:rPr>
                <w:rFonts w:ascii="Times New Roman" w:hAnsi="Times New Roman"/>
                <w:sz w:val="24"/>
              </w:rPr>
              <w:t xml:space="preserve">Kai pačios įstaigos apskaičiuoti LGD įverčiai naudojami: </w:t>
            </w:r>
          </w:p>
          <w:p w:rsidR="001C7AB7" w:rsidRPr="00392FFD" w:rsidRDefault="001C7AB7" w:rsidP="001C7AB7">
            <w:pPr>
              <w:rPr>
                <w:rFonts w:ascii="Times New Roman" w:hAnsi="Times New Roman"/>
                <w:sz w:val="24"/>
              </w:rPr>
            </w:pPr>
            <w:r>
              <w:rPr>
                <w:rFonts w:ascii="Times New Roman" w:hAnsi="Times New Roman"/>
                <w:sz w:val="24"/>
              </w:rPr>
              <w:t xml:space="preserve">- netiesioginio kredito užtikrinimo atveju centrinės valdžios ir centrinių bankų, įstaigų ir įmonių pozicijoms: KRR 161 straipsnio 3 dalis. Dėl mažmeninių pozicijų žr. KRR 164 straipsnio 2 dalį. </w:t>
            </w:r>
          </w:p>
          <w:p w:rsidR="001C7AB7" w:rsidRPr="00392FFD" w:rsidRDefault="001C7AB7" w:rsidP="00255BA9">
            <w:pPr>
              <w:rPr>
                <w:rFonts w:ascii="Times New Roman" w:hAnsi="Times New Roman"/>
                <w:b/>
                <w:sz w:val="24"/>
                <w:u w:val="single"/>
              </w:rPr>
            </w:pPr>
            <w:r>
              <w:rPr>
                <w:rFonts w:ascii="Times New Roman" w:hAnsi="Times New Roman"/>
                <w:sz w:val="24"/>
              </w:rPr>
              <w:t>- tiesioginio kredito užtikrinimo atveju – užtikrinimo priemonė, į kurią atsižvelgta LGD įverčiuose pagal KRR 181 straipsnio 1 dalies e ir f punktus.</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GARANTIJOS </w:t>
            </w:r>
          </w:p>
          <w:p w:rsidR="001C7AB7" w:rsidRPr="00392FFD" w:rsidRDefault="001C7AB7" w:rsidP="001C7AB7">
            <w:pPr>
              <w:jc w:val="left"/>
              <w:rPr>
                <w:rFonts w:ascii="Times New Roman" w:hAnsi="Times New Roman"/>
                <w:b/>
                <w:sz w:val="24"/>
                <w:u w:val="single"/>
              </w:rPr>
            </w:pPr>
            <w:r>
              <w:rPr>
                <w:rFonts w:ascii="Times New Roman" w:hAnsi="Times New Roman"/>
                <w:sz w:val="24"/>
              </w:rPr>
              <w:t>Žr. nurodymus dėl 040 skilties.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KREDITO IŠVESTINĖS FINANSINĖS PRIEMONĖS </w:t>
            </w:r>
          </w:p>
          <w:p w:rsidR="001C7AB7" w:rsidRPr="00392FFD" w:rsidRDefault="001C7AB7" w:rsidP="001C7AB7">
            <w:pPr>
              <w:rPr>
                <w:rFonts w:ascii="Times New Roman" w:hAnsi="Times New Roman"/>
                <w:sz w:val="24"/>
              </w:rPr>
            </w:pPr>
            <w:r>
              <w:rPr>
                <w:rFonts w:ascii="Times New Roman" w:hAnsi="Times New Roman"/>
                <w:sz w:val="24"/>
              </w:rPr>
              <w:t>Žr. nurodymus dėl 050 skilties.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NAUDOJAMI PAČIOS ĮSTAIGOS APSKAIČIUOTI LGD ĮVERČIAI: KITAS TIESIOGINIS KREDITO UŽTIKRINIMAS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Atitinkama įstaigos vidaus modelyje naudojama vertė.</w:t>
            </w:r>
          </w:p>
          <w:p w:rsidR="001C7AB7" w:rsidRPr="00392FFD" w:rsidRDefault="001C7AB7" w:rsidP="00255BA9">
            <w:pPr>
              <w:rPr>
                <w:rFonts w:ascii="Times New Roman" w:hAnsi="Times New Roman"/>
                <w:sz w:val="24"/>
              </w:rPr>
            </w:pPr>
            <w:r>
              <w:rPr>
                <w:rFonts w:ascii="Times New Roman" w:hAnsi="Times New Roman"/>
                <w:sz w:val="24"/>
              </w:rPr>
              <w:t>Kredito rizikos mažinimo priemonės, atitinkančios KRR 212 straipsnyje nurodytus krit</w:t>
            </w:r>
            <w:r>
              <w:rPr>
                <w:rFonts w:ascii="Times New Roman" w:hAnsi="Times New Roman"/>
                <w:sz w:val="24"/>
              </w:rPr>
              <w:t>e</w:t>
            </w:r>
            <w:r>
              <w:rPr>
                <w:rFonts w:ascii="Times New Roman" w:hAnsi="Times New Roman"/>
                <w:sz w:val="24"/>
              </w:rPr>
              <w:t xml:space="preserve">rijus.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REIKALAVIMUS ATITINKANTI FINANSINĖ UŽTIKRINIMO PRIEMONĖ</w:t>
            </w:r>
          </w:p>
          <w:p w:rsidR="001C7AB7" w:rsidRPr="00392FFD" w:rsidRDefault="001C7AB7" w:rsidP="001C7AB7">
            <w:pPr>
              <w:rPr>
                <w:rFonts w:ascii="Times New Roman" w:hAnsi="Times New Roman"/>
                <w:sz w:val="24"/>
              </w:rPr>
            </w:pPr>
            <w:r>
              <w:rPr>
                <w:rFonts w:ascii="Times New Roman" w:hAnsi="Times New Roman"/>
                <w:sz w:val="24"/>
              </w:rPr>
              <w:t>Prekybos knygos operacijų atveju įskaitomos finansinės priemonės ir biržos prekės, k</w:t>
            </w:r>
            <w:r>
              <w:rPr>
                <w:rFonts w:ascii="Times New Roman" w:hAnsi="Times New Roman"/>
                <w:sz w:val="24"/>
              </w:rPr>
              <w:t>u</w:t>
            </w:r>
            <w:r>
              <w:rPr>
                <w:rFonts w:ascii="Times New Roman" w:hAnsi="Times New Roman"/>
                <w:sz w:val="24"/>
              </w:rPr>
              <w:lastRenderedPageBreak/>
              <w:t>rias galima įtraukti į prekybos knygos pozicijas pagal KRR 299 straipsnio 2 dalies c–f punktus. Su kreditu susiję vekseliai ir balansinė užskaita pagal KRR trečios dalies II an</w:t>
            </w:r>
            <w:r>
              <w:rPr>
                <w:rFonts w:ascii="Times New Roman" w:hAnsi="Times New Roman"/>
                <w:sz w:val="24"/>
              </w:rPr>
              <w:t>t</w:t>
            </w:r>
            <w:r>
              <w:rPr>
                <w:rFonts w:ascii="Times New Roman" w:hAnsi="Times New Roman"/>
                <w:sz w:val="24"/>
              </w:rPr>
              <w:t>raštinės dalies 4 skyriaus 4 skirsnį yra laikomi piniginėmis užtikrinimo priemonėmis.</w:t>
            </w:r>
          </w:p>
          <w:p w:rsidR="001C7AB7" w:rsidRPr="00392FFD" w:rsidRDefault="001C7AB7" w:rsidP="001C7AB7">
            <w:pPr>
              <w:rPr>
                <w:rFonts w:ascii="Times New Roman" w:hAnsi="Times New Roman"/>
                <w:sz w:val="24"/>
              </w:rPr>
            </w:pPr>
            <w:r>
              <w:rPr>
                <w:rFonts w:ascii="Times New Roman" w:hAnsi="Times New Roman"/>
                <w:sz w:val="24"/>
              </w:rPr>
              <w:t>Kai pačios įstaigos apskaičiuoti LGD įverčiai nenaudojami: vertės pagal KRR 193 straipsnio 1–4 dalis ir 194 straipsnio 1 dalį. Nurodoma pakoreguota vertė (Cvam), kaip nurodyta KRR 223 straipsnio 2 dalyje.</w:t>
            </w:r>
          </w:p>
          <w:p w:rsidR="001C7AB7" w:rsidRPr="00392FFD" w:rsidRDefault="001C7AB7" w:rsidP="00902EFC">
            <w:pPr>
              <w:rPr>
                <w:rFonts w:ascii="Times New Roman" w:hAnsi="Times New Roman"/>
                <w:b/>
                <w:sz w:val="24"/>
                <w:u w:val="single"/>
              </w:rPr>
            </w:pPr>
            <w:r>
              <w:rPr>
                <w:rFonts w:ascii="Times New Roman" w:hAnsi="Times New Roman"/>
                <w:sz w:val="24"/>
              </w:rPr>
              <w:t>Kai pačios įstaigos apskaičiuoti LGD įverčiai naudojami: finansinė užtikrinimo priem</w:t>
            </w:r>
            <w:r>
              <w:rPr>
                <w:rFonts w:ascii="Times New Roman" w:hAnsi="Times New Roman"/>
                <w:sz w:val="24"/>
              </w:rPr>
              <w:t>o</w:t>
            </w:r>
            <w:r>
              <w:rPr>
                <w:rFonts w:ascii="Times New Roman" w:hAnsi="Times New Roman"/>
                <w:sz w:val="24"/>
              </w:rPr>
              <w:t>nė, į kurią atsižvelgta LGD įvarčiuose pagal KRR 181 straipsnio 1 dalies e ir f punktus. Nurodoma suma – apskaičiuota užtikrinimo priemonės rinkos vertė.</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KITOS REIKALAVIMUS ATITINKANČIOS UŽTIKRINIMO PRIEMONĖS</w:t>
            </w:r>
          </w:p>
          <w:p w:rsidR="001C7AB7" w:rsidRPr="00392FFD" w:rsidRDefault="00C61FF5" w:rsidP="001C7AB7">
            <w:pPr>
              <w:rPr>
                <w:rFonts w:ascii="Times New Roman" w:hAnsi="Times New Roman"/>
                <w:sz w:val="24"/>
              </w:rPr>
            </w:pPr>
            <w:r>
              <w:rPr>
                <w:rFonts w:ascii="Times New Roman" w:hAnsi="Times New Roman"/>
                <w:sz w:val="24"/>
              </w:rPr>
              <w:t>Kai pačios įstaigos apskaičiuoti LGD įverčiai nenaudojami: KRR 199 straipsnio 1–8 d</w:t>
            </w:r>
            <w:r>
              <w:rPr>
                <w:rFonts w:ascii="Times New Roman" w:hAnsi="Times New Roman"/>
                <w:sz w:val="24"/>
              </w:rPr>
              <w:t>a</w:t>
            </w:r>
            <w:r>
              <w:rPr>
                <w:rFonts w:ascii="Times New Roman" w:hAnsi="Times New Roman"/>
                <w:sz w:val="24"/>
              </w:rPr>
              <w:t>lys ir 229 straipsnis.</w:t>
            </w:r>
          </w:p>
          <w:p w:rsidR="001C7AB7" w:rsidRPr="00392FFD" w:rsidRDefault="00C61FF5" w:rsidP="00C61FF5">
            <w:pPr>
              <w:rPr>
                <w:rFonts w:ascii="Times New Roman" w:hAnsi="Times New Roman"/>
                <w:b/>
                <w:sz w:val="24"/>
                <w:u w:val="single"/>
              </w:rPr>
            </w:pPr>
            <w:r>
              <w:rPr>
                <w:rFonts w:ascii="Times New Roman" w:hAnsi="Times New Roman"/>
                <w:sz w:val="24"/>
              </w:rPr>
              <w:t>Kai pačios įstaigos apskaičiuoti LGD įverčiai naudojami: kita užtikrinimo priemonė, į kurią atsižvelgta LGD įvarčiuose pagal KRR 181 straipsnio 1 dalies e ir f punktus.</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NEKILNOJAMASIS TURTAS</w:t>
            </w:r>
          </w:p>
          <w:p w:rsidR="001C7AB7" w:rsidRPr="00392FFD" w:rsidRDefault="00C61FF5" w:rsidP="00C61FF5">
            <w:pPr>
              <w:spacing w:line="240" w:lineRule="exact"/>
              <w:rPr>
                <w:rFonts w:ascii="Times New Roman" w:hAnsi="Times New Roman"/>
                <w:sz w:val="24"/>
              </w:rPr>
            </w:pPr>
            <w:r>
              <w:rPr>
                <w:rFonts w:ascii="Times New Roman" w:hAnsi="Times New Roman"/>
                <w:sz w:val="24"/>
              </w:rPr>
              <w:t>Kai pačios įstaigos apskaičiuoti LGD įverčiai nenaudojami, nurodomos vertės pagal KRR 199 straipsnio 2–4 dalis. Nekilnojamojo turto išperkamoji nuoma taip pat įtrauki</w:t>
            </w:r>
            <w:r>
              <w:rPr>
                <w:rFonts w:ascii="Times New Roman" w:hAnsi="Times New Roman"/>
                <w:sz w:val="24"/>
              </w:rPr>
              <w:t>a</w:t>
            </w:r>
            <w:r>
              <w:rPr>
                <w:rFonts w:ascii="Times New Roman" w:hAnsi="Times New Roman"/>
                <w:sz w:val="24"/>
              </w:rPr>
              <w:t>ma (žr. KRR 199 straipsnio 7 dalį). Taip pat žr. KRR 229 straipsnį.</w:t>
            </w:r>
          </w:p>
          <w:p w:rsidR="001C7AB7" w:rsidRPr="00392FFD" w:rsidRDefault="001C7AB7" w:rsidP="00C61FF5">
            <w:pPr>
              <w:spacing w:line="240" w:lineRule="exact"/>
              <w:rPr>
                <w:rFonts w:ascii="Times New Roman" w:hAnsi="Times New Roman"/>
                <w:sz w:val="24"/>
              </w:rPr>
            </w:pPr>
            <w:r>
              <w:rPr>
                <w:rFonts w:ascii="Times New Roman" w:hAnsi="Times New Roman"/>
                <w:sz w:val="24"/>
              </w:rPr>
              <w:t>Kai naudojami pačios įstaigos apskaičiuoti LGD įverčiai, nurodoma suma – nustatyta rinkos vertė.</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KITOS FIZINĖS UŽTIKRINIMO PRIEMONĖS</w:t>
            </w:r>
          </w:p>
          <w:p w:rsidR="001C7AB7" w:rsidRPr="00392FFD" w:rsidRDefault="00C61FF5" w:rsidP="001C7AB7">
            <w:pPr>
              <w:rPr>
                <w:rFonts w:ascii="Times New Roman" w:hAnsi="Times New Roman"/>
                <w:sz w:val="24"/>
              </w:rPr>
            </w:pPr>
            <w:r>
              <w:rPr>
                <w:rFonts w:ascii="Times New Roman" w:hAnsi="Times New Roman"/>
                <w:sz w:val="24"/>
              </w:rPr>
              <w:t xml:space="preserve">Kai pačios įstaigos apskaičiuoti LGD įverčiai nenaudojami, nurodomos vertės pagal KRR 199 straipsnio 6 ir 8 dalis. Kito, ne nekilnojamojo, turto išperkamoji nuoma taip pat įtraukiama (žr. KRR 199 straipsnio 7 dalį). Taip pat žr. KRR 229 straipsnio 3 dalį. </w:t>
            </w:r>
          </w:p>
          <w:p w:rsidR="001C7AB7" w:rsidRPr="00392FFD" w:rsidRDefault="00C61FF5" w:rsidP="00C61FF5">
            <w:pPr>
              <w:rPr>
                <w:rFonts w:ascii="Times New Roman" w:hAnsi="Times New Roman"/>
                <w:b/>
                <w:sz w:val="24"/>
                <w:u w:val="single"/>
              </w:rPr>
            </w:pPr>
            <w:r>
              <w:rPr>
                <w:rFonts w:ascii="Times New Roman" w:hAnsi="Times New Roman"/>
                <w:sz w:val="24"/>
              </w:rPr>
              <w:t>Kai pačios įstaigos apskaičiuoti LGD įverčiai naudojami, nurodoma suma – nustatyta u</w:t>
            </w:r>
            <w:r>
              <w:rPr>
                <w:rFonts w:ascii="Times New Roman" w:hAnsi="Times New Roman"/>
                <w:sz w:val="24"/>
              </w:rPr>
              <w:t>ž</w:t>
            </w:r>
            <w:r>
              <w:rPr>
                <w:rFonts w:ascii="Times New Roman" w:hAnsi="Times New Roman"/>
                <w:sz w:val="24"/>
              </w:rPr>
              <w:t>tikrinimo priemonės rinkos vertė.</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GAUTINOS SUMOS</w:t>
            </w:r>
          </w:p>
          <w:p w:rsidR="001C7AB7" w:rsidRPr="00392FFD" w:rsidRDefault="001C7AB7" w:rsidP="001C7AB7">
            <w:pPr>
              <w:rPr>
                <w:rFonts w:ascii="Times New Roman" w:hAnsi="Times New Roman"/>
                <w:sz w:val="24"/>
              </w:rPr>
            </w:pPr>
            <w:r>
              <w:rPr>
                <w:rFonts w:ascii="Times New Roman" w:hAnsi="Times New Roman"/>
                <w:sz w:val="24"/>
              </w:rPr>
              <w:t>Kai pačios įstaigos apskaičiuoti LGD įverčiai nenaudojami, nurodomos vertės pagal KRR 199 straipsnio 5 dalį, 229 straipsnio 2 dalį.</w:t>
            </w:r>
          </w:p>
          <w:p w:rsidR="001C7AB7" w:rsidRPr="00392FFD" w:rsidRDefault="001C7AB7" w:rsidP="001C7AB7">
            <w:pPr>
              <w:rPr>
                <w:rFonts w:ascii="Times New Roman" w:hAnsi="Times New Roman"/>
                <w:b/>
                <w:sz w:val="24"/>
                <w:u w:val="single"/>
              </w:rPr>
            </w:pPr>
            <w:r>
              <w:rPr>
                <w:rFonts w:ascii="Times New Roman" w:hAnsi="Times New Roman"/>
                <w:sz w:val="24"/>
              </w:rPr>
              <w:t>Kai pačios įstaigos apskaičiuoti LGD įverčiai naudojami, nurodoma suma – nustatyta u</w:t>
            </w:r>
            <w:r>
              <w:rPr>
                <w:rFonts w:ascii="Times New Roman" w:hAnsi="Times New Roman"/>
                <w:sz w:val="24"/>
              </w:rPr>
              <w:t>ž</w:t>
            </w:r>
            <w:r>
              <w:rPr>
                <w:rFonts w:ascii="Times New Roman" w:hAnsi="Times New Roman"/>
                <w:sz w:val="24"/>
              </w:rPr>
              <w:t>tikrinimo priemonės rinkos vertė.</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KAI TAIKOMAS DVIGUBO ĮSIPAREIGOJIMŲ NEĮVYKDYMO VERTIN</w:t>
            </w:r>
            <w:r>
              <w:rPr>
                <w:rFonts w:ascii="Times New Roman" w:hAnsi="Times New Roman"/>
                <w:b/>
                <w:sz w:val="24"/>
                <w:u w:val="single"/>
              </w:rPr>
              <w:t>I</w:t>
            </w:r>
            <w:r>
              <w:rPr>
                <w:rFonts w:ascii="Times New Roman" w:hAnsi="Times New Roman"/>
                <w:b/>
                <w:sz w:val="24"/>
                <w:u w:val="single"/>
              </w:rPr>
              <w:t>MAS. NETIESIOGINIS KREDITO UŽTIKRINIMAS</w:t>
            </w:r>
          </w:p>
          <w:p w:rsidR="001C7AB7" w:rsidRPr="00392FFD" w:rsidRDefault="001C7AB7" w:rsidP="00902EFC">
            <w:pPr>
              <w:rPr>
                <w:rFonts w:ascii="Times New Roman" w:hAnsi="Times New Roman"/>
                <w:b/>
                <w:sz w:val="24"/>
                <w:u w:val="single"/>
              </w:rPr>
            </w:pPr>
            <w:r>
              <w:rPr>
                <w:rFonts w:ascii="Times New Roman" w:hAnsi="Times New Roman"/>
                <w:sz w:val="24"/>
              </w:rPr>
              <w:t xml:space="preserve">Garantijos ir kredito išvestinės finansinės priemonės, kuriomis padengiamos pozicijos, kurioms taikomas dvigubo įsipareigojimų neįvykdymo skaičiavimas, kaip numatyta KRR 202 straipsnyje ir 217 straipsnio 1 dalyje. Taip pat žr. 040 skiltį „Garantijos“ ir 050 skiltį „Kredito išvestinės finansinės priemonės“.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POZICIJŲ SVERTINIS LGD VIDURKIS (%)</w:t>
            </w:r>
          </w:p>
          <w:p w:rsidR="001C7AB7" w:rsidRPr="00392FFD" w:rsidRDefault="001C7AB7" w:rsidP="001C7AB7">
            <w:pPr>
              <w:rPr>
                <w:rFonts w:ascii="Times New Roman" w:hAnsi="Times New Roman"/>
                <w:sz w:val="24"/>
              </w:rPr>
            </w:pPr>
            <w:r>
              <w:rPr>
                <w:rFonts w:ascii="Times New Roman" w:hAnsi="Times New Roman"/>
                <w:sz w:val="24"/>
              </w:rPr>
              <w:t>Atsižvelgiama į visą KRM metodų poveikį LGD vertėms, kaip nurodyta KRR trečios d</w:t>
            </w:r>
            <w:r>
              <w:rPr>
                <w:rFonts w:ascii="Times New Roman" w:hAnsi="Times New Roman"/>
                <w:sz w:val="24"/>
              </w:rPr>
              <w:t>a</w:t>
            </w:r>
            <w:r>
              <w:rPr>
                <w:rFonts w:ascii="Times New Roman" w:hAnsi="Times New Roman"/>
                <w:sz w:val="24"/>
              </w:rPr>
              <w:t>lies II antraštinės dalies 3 ir 4 skyriuose. Jeigu pozicijoms taikomas dvigubo įsipareig</w:t>
            </w:r>
            <w:r>
              <w:rPr>
                <w:rFonts w:ascii="Times New Roman" w:hAnsi="Times New Roman"/>
                <w:sz w:val="24"/>
              </w:rPr>
              <w:t>o</w:t>
            </w:r>
            <w:r>
              <w:rPr>
                <w:rFonts w:ascii="Times New Roman" w:hAnsi="Times New Roman"/>
                <w:sz w:val="24"/>
              </w:rPr>
              <w:lastRenderedPageBreak/>
              <w:t>jimų neįvykdymo skaičiavimas, nurodomas LGD – tai LGD, pasirinktas pagal KRR 161 straipsnio 4 dalį.</w:t>
            </w:r>
          </w:p>
          <w:p w:rsidR="001C7AB7" w:rsidRPr="00392FFD" w:rsidRDefault="001C7AB7" w:rsidP="001C7AB7">
            <w:pPr>
              <w:rPr>
                <w:rFonts w:ascii="Times New Roman" w:hAnsi="Times New Roman"/>
                <w:sz w:val="24"/>
              </w:rPr>
            </w:pPr>
            <w:r>
              <w:rPr>
                <w:rFonts w:ascii="Times New Roman" w:hAnsi="Times New Roman"/>
                <w:sz w:val="24"/>
              </w:rPr>
              <w:t>Pozicijų esant įsipareigojimų neįvykdymui atveju atsižvelgiama į KRR 181 straipsnio 1 dalies h punkto nuostatas.</w:t>
            </w:r>
          </w:p>
          <w:p w:rsidR="001C7AB7" w:rsidRPr="00392FFD" w:rsidRDefault="001C7AB7" w:rsidP="001C7AB7">
            <w:pPr>
              <w:rPr>
                <w:rFonts w:ascii="Times New Roman" w:hAnsi="Times New Roman"/>
                <w:sz w:val="24"/>
              </w:rPr>
            </w:pPr>
            <w:r>
              <w:rPr>
                <w:rFonts w:ascii="Times New Roman" w:hAnsi="Times New Roman"/>
                <w:sz w:val="24"/>
              </w:rPr>
              <w:t>Pozicijų svertiniams vidurkiams apskaičiuoti naudojama 110 skiltyje apibrėžta pozicijos vertė.</w:t>
            </w:r>
          </w:p>
          <w:p w:rsidR="001C7AB7" w:rsidRPr="00392FFD" w:rsidRDefault="001C7AB7" w:rsidP="001C7AB7">
            <w:pPr>
              <w:rPr>
                <w:rFonts w:ascii="Times New Roman" w:hAnsi="Times New Roman"/>
                <w:sz w:val="24"/>
              </w:rPr>
            </w:pPr>
            <w:r>
              <w:rPr>
                <w:rFonts w:ascii="Times New Roman" w:hAnsi="Times New Roman"/>
                <w:sz w:val="24"/>
              </w:rPr>
              <w:t>Turi būti atsižvelgta į visą poveikį (todėl teikiant informaciją atsižvelgiama į hipotekai taikomą ribą).</w:t>
            </w:r>
          </w:p>
          <w:p w:rsidR="001C7AB7" w:rsidRPr="00392FFD" w:rsidRDefault="001C7AB7" w:rsidP="001C7AB7">
            <w:pPr>
              <w:rPr>
                <w:rFonts w:ascii="Times New Roman" w:hAnsi="Times New Roman"/>
                <w:sz w:val="24"/>
              </w:rPr>
            </w:pPr>
            <w:r>
              <w:rPr>
                <w:rFonts w:ascii="Times New Roman" w:hAnsi="Times New Roman"/>
                <w:sz w:val="24"/>
              </w:rPr>
              <w:t>Jeigu įstaigos taiko IRB metodą, bet nenaudoja pačios įstaigos apskaičiuotų LGD įverčių, finansinės užtikrinimo priemonės rizikos mažinimo poveikis parodomas E*, visiškai k</w:t>
            </w:r>
            <w:r>
              <w:rPr>
                <w:rFonts w:ascii="Times New Roman" w:hAnsi="Times New Roman"/>
                <w:sz w:val="24"/>
              </w:rPr>
              <w:t>o</w:t>
            </w:r>
            <w:r>
              <w:rPr>
                <w:rFonts w:ascii="Times New Roman" w:hAnsi="Times New Roman"/>
                <w:sz w:val="24"/>
              </w:rPr>
              <w:t>reguotoje pozicijos vertėje, paskui – LGD* pagal KRR 228 straipsnio 2 dalį.</w:t>
            </w:r>
          </w:p>
          <w:p w:rsidR="001C7AB7" w:rsidRPr="00392FFD" w:rsidRDefault="001C7AB7" w:rsidP="001C7AB7">
            <w:pPr>
              <w:rPr>
                <w:rFonts w:ascii="Times New Roman" w:hAnsi="Times New Roman"/>
                <w:sz w:val="24"/>
              </w:rPr>
            </w:pPr>
            <w:r>
              <w:rPr>
                <w:rFonts w:ascii="Times New Roman" w:hAnsi="Times New Roman"/>
                <w:sz w:val="24"/>
              </w:rPr>
              <w:t>Pozicijų svertinis LGD vidurkis, susijęs su kiekvienu PD „įsipareigojančiojo asmens ra</w:t>
            </w:r>
            <w:r>
              <w:rPr>
                <w:rFonts w:ascii="Times New Roman" w:hAnsi="Times New Roman"/>
                <w:sz w:val="24"/>
              </w:rPr>
              <w:t>n</w:t>
            </w:r>
            <w:r>
              <w:rPr>
                <w:rFonts w:ascii="Times New Roman" w:hAnsi="Times New Roman"/>
                <w:sz w:val="24"/>
              </w:rPr>
              <w:t>gu arba grupe“, apskaičiuojamas pagal riziką ribojančių LGD vidurkį, priskirtą to PD rango / grupės pozicijoms, ir įvertintą pagal atitinkamą 110 skiltyje nurodytą pozicijos vertę.</w:t>
            </w:r>
          </w:p>
          <w:p w:rsidR="001C7AB7" w:rsidRPr="00392FFD" w:rsidRDefault="001C7AB7" w:rsidP="001C7AB7">
            <w:pPr>
              <w:rPr>
                <w:rFonts w:ascii="Times New Roman" w:hAnsi="Times New Roman"/>
                <w:sz w:val="24"/>
              </w:rPr>
            </w:pPr>
            <w:r>
              <w:rPr>
                <w:rFonts w:ascii="Times New Roman" w:hAnsi="Times New Roman"/>
                <w:sz w:val="24"/>
              </w:rPr>
              <w:t>Jeigu naudojami pačios įstaigos apskaičiuoti LGD įverčiai, atsižvelgiama į KRR 175 straipsnį ir 181 straipsnio 1 ir 2 dalis.</w:t>
            </w:r>
          </w:p>
          <w:p w:rsidR="001C7AB7" w:rsidRPr="00392FFD" w:rsidRDefault="001C7AB7" w:rsidP="001C7AB7">
            <w:pPr>
              <w:rPr>
                <w:rFonts w:ascii="Times New Roman" w:hAnsi="Times New Roman"/>
                <w:sz w:val="24"/>
              </w:rPr>
            </w:pPr>
            <w:r>
              <w:rPr>
                <w:rFonts w:ascii="Times New Roman" w:hAnsi="Times New Roman"/>
                <w:sz w:val="24"/>
              </w:rPr>
              <w:t>Jeigu pozicijoms taikomas dvigubo įsipareigojimų neįvykdymo skaičiavimas, nurodomas LGD – tai LGD, pasirinktas pagal KRR 161 straipsnio 4 dalį.</w:t>
            </w:r>
          </w:p>
          <w:p w:rsidR="001C7AB7" w:rsidRPr="00392FFD" w:rsidRDefault="001C7AB7" w:rsidP="001C7AB7">
            <w:pPr>
              <w:rPr>
                <w:rFonts w:ascii="Times New Roman" w:hAnsi="Times New Roman"/>
                <w:sz w:val="24"/>
              </w:rPr>
            </w:pPr>
            <w:r>
              <w:rPr>
                <w:rFonts w:ascii="Times New Roman" w:hAnsi="Times New Roman"/>
                <w:sz w:val="24"/>
              </w:rPr>
              <w:t>Pozicijų svertinis LGD vidurkis apskaičiuojamas pagal rizikos parametrus, kurie realiai naudojami atitinkamos kompetentingos institucijos patvirtintoje vidaus reitingų sistem</w:t>
            </w:r>
            <w:r>
              <w:rPr>
                <w:rFonts w:ascii="Times New Roman" w:hAnsi="Times New Roman"/>
                <w:sz w:val="24"/>
              </w:rPr>
              <w:t>o</w:t>
            </w:r>
            <w:r>
              <w:rPr>
                <w:rFonts w:ascii="Times New Roman" w:hAnsi="Times New Roman"/>
                <w:sz w:val="24"/>
              </w:rPr>
              <w:t>je.</w:t>
            </w:r>
          </w:p>
          <w:p w:rsidR="001C7AB7" w:rsidRPr="00392FFD" w:rsidRDefault="00224FE5" w:rsidP="001C7AB7">
            <w:pPr>
              <w:rPr>
                <w:rFonts w:ascii="Times New Roman" w:hAnsi="Times New Roman"/>
                <w:sz w:val="24"/>
              </w:rPr>
            </w:pPr>
            <w:r>
              <w:rPr>
                <w:rFonts w:ascii="Times New Roman" w:hAnsi="Times New Roman"/>
                <w:sz w:val="24"/>
              </w:rPr>
              <w:t>Specializuoto skolinimo, nurodyto 153 straipsnio 5 dalyje, duomenų pateikti nereikia.</w:t>
            </w:r>
          </w:p>
          <w:p w:rsidR="001C7AB7" w:rsidRPr="00392FFD" w:rsidRDefault="001C7AB7" w:rsidP="001C7AB7">
            <w:pPr>
              <w:rPr>
                <w:rFonts w:ascii="Times New Roman" w:hAnsi="Times New Roman"/>
                <w:sz w:val="24"/>
              </w:rPr>
            </w:pPr>
            <w:r>
              <w:rPr>
                <w:rFonts w:ascii="Times New Roman" w:hAnsi="Times New Roman"/>
                <w:sz w:val="24"/>
              </w:rPr>
              <w:t xml:space="preserve">Stambių reguliuojamų finansų sektoriaus subjektų ir nereguliuojamųjų finansų subjektų pozicijos ir atitinkami jų LGD neįtraukiami į 230 skilties skaičiavimus, jie įtraukiami tik į 240 skilties skaičiavimus.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STAMBIŲ FINANSŲ SEKTORIAUS SUBJEKTŲ IR NEREGULIUOJAMŲJŲ FINANSŲ SUBJEKTŲ POZICIJŲ SVERTINIS LGD VIDURKIS (%)</w:t>
            </w:r>
          </w:p>
          <w:p w:rsidR="001C7AB7" w:rsidRPr="00392FFD" w:rsidRDefault="001C7AB7" w:rsidP="001C7AB7">
            <w:pPr>
              <w:rPr>
                <w:rFonts w:ascii="Times New Roman" w:hAnsi="Times New Roman"/>
                <w:sz w:val="24"/>
              </w:rPr>
            </w:pPr>
            <w:r>
              <w:rPr>
                <w:rFonts w:ascii="Times New Roman" w:hAnsi="Times New Roman"/>
                <w:sz w:val="24"/>
              </w:rPr>
              <w:t>Visų KRR 142 straipsnio 4 ir 5 dalyse apibrėžtų pozicijų, kurioms taikomas didesnis k</w:t>
            </w:r>
            <w:r>
              <w:rPr>
                <w:rFonts w:ascii="Times New Roman" w:hAnsi="Times New Roman"/>
                <w:sz w:val="24"/>
              </w:rPr>
              <w:t>o</w:t>
            </w:r>
            <w:r>
              <w:rPr>
                <w:rFonts w:ascii="Times New Roman" w:hAnsi="Times New Roman"/>
                <w:sz w:val="24"/>
              </w:rPr>
              <w:t>reliacijos koeficientas, kaip nurodyta KRR 153 straipsnio 2 dalyje, svertinis LGD vidu</w:t>
            </w:r>
            <w:r>
              <w:rPr>
                <w:rFonts w:ascii="Times New Roman" w:hAnsi="Times New Roman"/>
                <w:sz w:val="24"/>
              </w:rPr>
              <w:t>r</w:t>
            </w:r>
            <w:r>
              <w:rPr>
                <w:rFonts w:ascii="Times New Roman" w:hAnsi="Times New Roman"/>
                <w:sz w:val="24"/>
              </w:rPr>
              <w:t>kis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POZICIJOS TERMINO SVERTINIO VIDURKIO VERTĖ (DIENOMIS)</w:t>
            </w:r>
          </w:p>
          <w:p w:rsidR="001C7AB7" w:rsidRPr="00392FFD" w:rsidRDefault="001C7AB7" w:rsidP="001C7AB7">
            <w:pPr>
              <w:rPr>
                <w:rFonts w:ascii="Times New Roman" w:hAnsi="Times New Roman"/>
                <w:sz w:val="24"/>
              </w:rPr>
            </w:pPr>
            <w:r>
              <w:rPr>
                <w:rFonts w:ascii="Times New Roman" w:hAnsi="Times New Roman"/>
                <w:sz w:val="24"/>
              </w:rPr>
              <w:t>Vertė nurodoma pagal KRR 162 straipsnį. Pozicijų termino svertiniams vidurkiams a</w:t>
            </w:r>
            <w:r>
              <w:rPr>
                <w:rFonts w:ascii="Times New Roman" w:hAnsi="Times New Roman"/>
                <w:sz w:val="24"/>
              </w:rPr>
              <w:t>p</w:t>
            </w:r>
            <w:r>
              <w:rPr>
                <w:rFonts w:ascii="Times New Roman" w:hAnsi="Times New Roman"/>
                <w:sz w:val="24"/>
              </w:rPr>
              <w:t>skaičiuoti naudojama pozicijos vertė (110 skiltis). Termino vidurkis nurodomas dien</w:t>
            </w:r>
            <w:r>
              <w:rPr>
                <w:rFonts w:ascii="Times New Roman" w:hAnsi="Times New Roman"/>
                <w:sz w:val="24"/>
              </w:rPr>
              <w:t>o</w:t>
            </w:r>
            <w:r>
              <w:rPr>
                <w:rFonts w:ascii="Times New Roman" w:hAnsi="Times New Roman"/>
                <w:sz w:val="24"/>
              </w:rPr>
              <w:t>mis.</w:t>
            </w:r>
          </w:p>
          <w:p w:rsidR="001C7AB7" w:rsidRPr="00392FFD" w:rsidRDefault="001C7AB7" w:rsidP="00FD6CCB">
            <w:pPr>
              <w:rPr>
                <w:rFonts w:ascii="Times New Roman" w:hAnsi="Times New Roman"/>
                <w:sz w:val="24"/>
              </w:rPr>
            </w:pPr>
            <w:r>
              <w:rPr>
                <w:rFonts w:ascii="Times New Roman" w:hAnsi="Times New Roman"/>
                <w:sz w:val="24"/>
              </w:rPr>
              <w:t xml:space="preserve">Nenurodomi duomenys, susiję su tomis pozicijomis, kurių atveju terminas nėra vienas iš dydžių, pagal kuriuos apskaičiuojamos </w:t>
            </w:r>
            <w:r>
              <w:rPr>
                <w:rStyle w:val="InstructionsTabelleText"/>
                <w:rFonts w:ascii="Times New Roman" w:hAnsi="Times New Roman"/>
                <w:sz w:val="24"/>
              </w:rPr>
              <w:t>pagal riziką įvertintų pozicijų sumos</w:t>
            </w:r>
            <w:r>
              <w:rPr>
                <w:rFonts w:ascii="Times New Roman" w:hAnsi="Times New Roman"/>
                <w:sz w:val="24"/>
              </w:rPr>
              <w:t>. Tai reiškia, kad ši skiltis pozicijų klasei „Mažmeninės pozicijos“ nepildoma.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PAGAL RIZIKĄ ĮVERTINTŲ POZICIJŲ SUMA IKI MVĮ RĖMIMO KOEFIC</w:t>
            </w:r>
            <w:r>
              <w:rPr>
                <w:rFonts w:ascii="Times New Roman" w:hAnsi="Times New Roman"/>
                <w:b/>
                <w:sz w:val="24"/>
                <w:u w:val="single"/>
              </w:rPr>
              <w:t>I</w:t>
            </w:r>
            <w:r>
              <w:rPr>
                <w:rFonts w:ascii="Times New Roman" w:hAnsi="Times New Roman"/>
                <w:b/>
                <w:sz w:val="24"/>
                <w:u w:val="single"/>
              </w:rPr>
              <w:t>ENTO TAIKYMO</w:t>
            </w:r>
          </w:p>
          <w:p w:rsidR="001C7AB7" w:rsidRPr="00392FFD" w:rsidRDefault="001C7AB7" w:rsidP="001C7AB7">
            <w:pPr>
              <w:rPr>
                <w:rFonts w:ascii="Times New Roman" w:hAnsi="Times New Roman"/>
                <w:sz w:val="24"/>
              </w:rPr>
            </w:pPr>
            <w:r>
              <w:rPr>
                <w:rFonts w:ascii="Times New Roman" w:hAnsi="Times New Roman"/>
                <w:sz w:val="24"/>
              </w:rPr>
              <w:t xml:space="preserve">Dėl centrinės valdžios, centrinių bankų, įmonių ir įstaigų pozicijų žr. KRR 153 straipsnio </w:t>
            </w:r>
            <w:r>
              <w:rPr>
                <w:rFonts w:ascii="Times New Roman" w:hAnsi="Times New Roman"/>
                <w:sz w:val="24"/>
              </w:rPr>
              <w:lastRenderedPageBreak/>
              <w:t xml:space="preserve">1 ir 3 dalis. Dėl mažmeninių pozicijų žr. KRR 154 straipsnio 1 dalį. </w:t>
            </w:r>
          </w:p>
          <w:p w:rsidR="001C7AB7" w:rsidRPr="00392FFD" w:rsidRDefault="001C7AB7" w:rsidP="00FD6CCB">
            <w:pPr>
              <w:rPr>
                <w:rFonts w:ascii="Times New Roman" w:hAnsi="Times New Roman"/>
                <w:b/>
                <w:sz w:val="24"/>
                <w:u w:val="single"/>
              </w:rPr>
            </w:pPr>
            <w:r>
              <w:rPr>
                <w:rFonts w:ascii="Times New Roman" w:hAnsi="Times New Roman"/>
                <w:sz w:val="24"/>
              </w:rPr>
              <w:t>Į MVĮ rėmimo koeficientą pagal KRR 501 straipsnį neatsižvelgiama.</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lastRenderedPageBreak/>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PAGAL RIZIKĄ ĮVERTINTŲ POZICIJŲ SUMA PRITAIKIUS MVĮ RĖMIMO KOEFICIENTĄ</w:t>
            </w:r>
          </w:p>
          <w:p w:rsidR="001C7AB7" w:rsidRPr="00392FFD" w:rsidRDefault="001C7AB7" w:rsidP="001C7AB7">
            <w:pPr>
              <w:rPr>
                <w:rFonts w:ascii="Times New Roman" w:hAnsi="Times New Roman"/>
                <w:sz w:val="24"/>
              </w:rPr>
            </w:pPr>
            <w:r>
              <w:rPr>
                <w:rFonts w:ascii="Times New Roman" w:hAnsi="Times New Roman"/>
                <w:sz w:val="24"/>
              </w:rPr>
              <w:t>Dėl centrinės valdžios, centrinių bankų, įmonių ir įstaigų pozicijų žr. KRR 153 straipsnio 1 ir 3 dalis. Dėl mažmeninių pozicijų žr. KRR 154 straipsnio 1 dalį.</w:t>
            </w:r>
          </w:p>
          <w:p w:rsidR="001C7AB7" w:rsidRPr="00392FFD" w:rsidRDefault="001C7AB7" w:rsidP="00FD6CCB">
            <w:pPr>
              <w:rPr>
                <w:rFonts w:ascii="Times New Roman" w:hAnsi="Times New Roman"/>
                <w:b/>
                <w:sz w:val="24"/>
                <w:u w:val="single"/>
              </w:rPr>
            </w:pPr>
            <w:r>
              <w:rPr>
                <w:rFonts w:ascii="Times New Roman" w:hAnsi="Times New Roman"/>
                <w:sz w:val="24"/>
              </w:rPr>
              <w:t>Atsižvelgiama į MVĮ rėmimo koeficientą pagal KRR 501 straipsnį.</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IŠ JOS: STAMBŪS FINANSŲ SEKTORIAUS SUBJEKTAI IR NEREGULIU</w:t>
            </w:r>
            <w:r>
              <w:rPr>
                <w:rFonts w:ascii="Times New Roman" w:hAnsi="Times New Roman"/>
                <w:b/>
                <w:sz w:val="24"/>
                <w:u w:val="single"/>
              </w:rPr>
              <w:t>O</w:t>
            </w:r>
            <w:r>
              <w:rPr>
                <w:rFonts w:ascii="Times New Roman" w:hAnsi="Times New Roman"/>
                <w:b/>
                <w:sz w:val="24"/>
                <w:u w:val="single"/>
              </w:rPr>
              <w:t>JAMIEJI FINANSŲ SUBJEKTAI</w:t>
            </w:r>
          </w:p>
          <w:p w:rsidR="001C7AB7" w:rsidRPr="00392FFD" w:rsidDel="005A2363" w:rsidRDefault="001C7AB7" w:rsidP="00FD6CCB">
            <w:pPr>
              <w:rPr>
                <w:rFonts w:ascii="Times New Roman" w:hAnsi="Times New Roman"/>
                <w:sz w:val="24"/>
              </w:rPr>
            </w:pPr>
            <w:r>
              <w:rPr>
                <w:rFonts w:ascii="Times New Roman" w:hAnsi="Times New Roman"/>
                <w:sz w:val="24"/>
              </w:rPr>
              <w:t>Pagal riziką įvertintų pozicijų sumos, pritaikius MVĮ rėmimo koeficientą, suskirstymas pagal visas KRR 142 straipsnio 4 ir 5 dalyse apibrėžtas pozicijas, kurioms taikomas d</w:t>
            </w:r>
            <w:r>
              <w:rPr>
                <w:rFonts w:ascii="Times New Roman" w:hAnsi="Times New Roman"/>
                <w:sz w:val="24"/>
              </w:rPr>
              <w:t>i</w:t>
            </w:r>
            <w:r>
              <w:rPr>
                <w:rFonts w:ascii="Times New Roman" w:hAnsi="Times New Roman"/>
                <w:sz w:val="24"/>
              </w:rPr>
              <w:t>desnis koreliacijos koeficientas pagal KRR 153 straipsnio 2 dalį.</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TIKĖTINO NUOSTOLIO SUMA</w:t>
            </w:r>
          </w:p>
          <w:p w:rsidR="001C7AB7" w:rsidRPr="00392FFD" w:rsidRDefault="001C7AB7" w:rsidP="00FD6CCB">
            <w:pPr>
              <w:jc w:val="left"/>
              <w:rPr>
                <w:rFonts w:ascii="Times New Roman" w:hAnsi="Times New Roman"/>
                <w:sz w:val="24"/>
              </w:rPr>
            </w:pPr>
            <w:r>
              <w:rPr>
                <w:rFonts w:ascii="Times New Roman" w:hAnsi="Times New Roman"/>
                <w:sz w:val="24"/>
              </w:rPr>
              <w:t>Dėl tikėtino nuostolio apibrėžties žr. KRR 5 straipsnio 3 dalį, dėl apskaičiavimo – KRR 158 straipsnį. Nurodoma tikėtino nuostolio suma apskaičiuojama pagal rizikos parame</w:t>
            </w:r>
            <w:r>
              <w:rPr>
                <w:rFonts w:ascii="Times New Roman" w:hAnsi="Times New Roman"/>
                <w:sz w:val="24"/>
              </w:rPr>
              <w:t>t</w:t>
            </w:r>
            <w:r>
              <w:rPr>
                <w:rFonts w:ascii="Times New Roman" w:hAnsi="Times New Roman"/>
                <w:sz w:val="24"/>
              </w:rPr>
              <w:t>rus, realiai naudojamus atitinkamos kompetentingos institucijos patvirtintoje vidaus re</w:t>
            </w:r>
            <w:r>
              <w:rPr>
                <w:rFonts w:ascii="Times New Roman" w:hAnsi="Times New Roman"/>
                <w:sz w:val="24"/>
              </w:rPr>
              <w:t>i</w:t>
            </w:r>
            <w:r>
              <w:rPr>
                <w:rFonts w:ascii="Times New Roman" w:hAnsi="Times New Roman"/>
                <w:sz w:val="24"/>
              </w:rPr>
              <w:t>tingų sistemoje.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VERTĖS KOREGAVIMAI IR ATIDĖJINIAI</w:t>
            </w:r>
          </w:p>
          <w:p w:rsidR="001C7AB7" w:rsidRPr="00392FFD" w:rsidRDefault="001C7AB7" w:rsidP="00FD6CCB">
            <w:pPr>
              <w:rPr>
                <w:rFonts w:ascii="Times New Roman" w:hAnsi="Times New Roman"/>
                <w:sz w:val="24"/>
              </w:rPr>
            </w:pPr>
            <w:r>
              <w:rPr>
                <w:rFonts w:ascii="Times New Roman" w:hAnsi="Times New Roman"/>
                <w:sz w:val="24"/>
              </w:rPr>
              <w:t>Nurodomi vertės koregavimai bei specialieji ir bendrieji atidėjiniai pagal KRR 159 straipsnį. Atidėjiniai bendrajai rizikai padengti nurodomi sumas paskirstant proporcingai pagal tikėtiną nuostolį, susijusį su įvairaus rango įsipareigojančiaisiais asmenimis.</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ĮSIPAREIGOJANČIŲJŲ ASMENŲ SKAIČIUS</w:t>
            </w:r>
          </w:p>
          <w:p w:rsidR="001C7AB7" w:rsidRPr="00392FFD" w:rsidRDefault="001C7AB7" w:rsidP="001C7AB7">
            <w:pPr>
              <w:rPr>
                <w:rFonts w:ascii="Times New Roman" w:hAnsi="Times New Roman"/>
                <w:sz w:val="24"/>
              </w:rPr>
            </w:pPr>
            <w:r>
              <w:rPr>
                <w:rFonts w:ascii="Times New Roman" w:hAnsi="Times New Roman"/>
                <w:sz w:val="24"/>
              </w:rPr>
              <w:t>KRR 172 straipsnio 1 ir 2 dalys.</w:t>
            </w:r>
          </w:p>
          <w:p w:rsidR="001C7AB7" w:rsidRPr="00392FFD" w:rsidRDefault="001C7AB7" w:rsidP="001C7AB7">
            <w:pPr>
              <w:rPr>
                <w:rFonts w:ascii="Times New Roman" w:hAnsi="Times New Roman"/>
                <w:sz w:val="24"/>
              </w:rPr>
            </w:pPr>
            <w:r>
              <w:rPr>
                <w:rFonts w:ascii="Times New Roman" w:hAnsi="Times New Roman"/>
                <w:sz w:val="24"/>
              </w:rPr>
              <w:t>Visų pozicijų, išskyrus mažmenines pozicijas, atveju, išskyrus KRR 172 straipsnio 1 d</w:t>
            </w:r>
            <w:r>
              <w:rPr>
                <w:rFonts w:ascii="Times New Roman" w:hAnsi="Times New Roman"/>
                <w:sz w:val="24"/>
              </w:rPr>
              <w:t>a</w:t>
            </w:r>
            <w:r>
              <w:rPr>
                <w:rFonts w:ascii="Times New Roman" w:hAnsi="Times New Roman"/>
                <w:sz w:val="24"/>
              </w:rPr>
              <w:t>lies e punkto antrame sakinyje nurodytus atvejus, įstaigos nurodo juridinių asmenų / įs</w:t>
            </w:r>
            <w:r>
              <w:rPr>
                <w:rFonts w:ascii="Times New Roman" w:hAnsi="Times New Roman"/>
                <w:sz w:val="24"/>
              </w:rPr>
              <w:t>i</w:t>
            </w:r>
            <w:r>
              <w:rPr>
                <w:rFonts w:ascii="Times New Roman" w:hAnsi="Times New Roman"/>
                <w:sz w:val="24"/>
              </w:rPr>
              <w:t>pareigojančiųjų asmenų, kurie buvo reitinguoti atskirai, skaičių, neatsižvelgdamos į s</w:t>
            </w:r>
            <w:r>
              <w:rPr>
                <w:rFonts w:ascii="Times New Roman" w:hAnsi="Times New Roman"/>
                <w:sz w:val="24"/>
              </w:rPr>
              <w:t>u</w:t>
            </w:r>
            <w:r>
              <w:rPr>
                <w:rFonts w:ascii="Times New Roman" w:hAnsi="Times New Roman"/>
                <w:sz w:val="24"/>
              </w:rPr>
              <w:t xml:space="preserve">teiktų skirtingų paskolų arba pozicijų skaičių. </w:t>
            </w:r>
          </w:p>
          <w:p w:rsidR="001C7AB7" w:rsidRPr="00392FFD" w:rsidRDefault="001C7AB7" w:rsidP="001C7AB7">
            <w:pPr>
              <w:rPr>
                <w:rFonts w:ascii="Times New Roman" w:hAnsi="Times New Roman"/>
                <w:sz w:val="24"/>
              </w:rPr>
            </w:pPr>
            <w:r>
              <w:rPr>
                <w:rFonts w:ascii="Times New Roman" w:hAnsi="Times New Roman"/>
                <w:sz w:val="24"/>
              </w:rPr>
              <w:t>Mažmeninių pozicijų klasės atveju arba tada, kai pagal KRR 172 straipsnio 1 dalies e punkto antrą sakinį atskiros to paties įsipareigojančiojo asmens pozicijos priskiriamos skirtingiems įsipareigojančiųjų asmenų rangams kitų pozicijų atžvilgiu, įstaiga nurodo pozicijų, kurios atskirai priskirtos tam tikram reitingo rangui ar grupei, skaičių. Kai ta</w:t>
            </w:r>
            <w:r>
              <w:rPr>
                <w:rFonts w:ascii="Times New Roman" w:hAnsi="Times New Roman"/>
                <w:sz w:val="24"/>
              </w:rPr>
              <w:t>i</w:t>
            </w:r>
            <w:r>
              <w:rPr>
                <w:rFonts w:ascii="Times New Roman" w:hAnsi="Times New Roman"/>
                <w:sz w:val="24"/>
              </w:rPr>
              <w:t xml:space="preserve">koma KRR 172 straipsnio 2 dalis, įsipareigojantysis asmuo gali būti priskiriamas daugiau negu vienam rangui. </w:t>
            </w:r>
          </w:p>
          <w:p w:rsidR="001C7AB7" w:rsidRPr="00392FFD" w:rsidRDefault="001C7AB7" w:rsidP="00241845">
            <w:pPr>
              <w:rPr>
                <w:rFonts w:ascii="Times New Roman" w:hAnsi="Times New Roman"/>
                <w:sz w:val="24"/>
              </w:rPr>
            </w:pPr>
            <w:r>
              <w:rPr>
                <w:rStyle w:val="InstructionsTabelleText"/>
                <w:rFonts w:ascii="Times New Roman" w:hAnsi="Times New Roman"/>
                <w:sz w:val="24"/>
              </w:rPr>
              <w:t>Kadangi šioje skiltyje teikiama informacija apie reitingų sistemų struktūros dalį, ji yra susijusi su pradinėmis pozicijomis iki perskaičiavimo koeficiento taikymo, priskirtomis kiekvienam įsipareigojančiųjų asmenų rangui arba grupei, neatsižvelgiant į KRM metodų poveikį (ypač perskirstymo poveikį).</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Eilutės</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Nurodymai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BENDRA POZICIJŲ SUMA</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Iš jos: pozicijos, kurioms taikomas MVĮ rėmimo koeficientas</w:t>
            </w:r>
          </w:p>
          <w:p w:rsidR="00785F3E" w:rsidRPr="00392FFD" w:rsidRDefault="00785F3E" w:rsidP="00785F3E">
            <w:pPr>
              <w:rPr>
                <w:rFonts w:ascii="Times New Roman" w:hAnsi="Times New Roman"/>
                <w:sz w:val="24"/>
              </w:rPr>
            </w:pPr>
            <w:r>
              <w:rPr>
                <w:rFonts w:ascii="Times New Roman" w:hAnsi="Times New Roman"/>
                <w:sz w:val="24"/>
              </w:rPr>
              <w:t>Nurodomos tik tos pozicijos, kurios atitinka KRR 501 straipsnio reikalavimus.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BENDROS POZICIJŲ SUMOS SUSKIRSTYMAS PAGAL POZICIJŲ RŪŠĮ</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Balansiniai straipsniai, susiję su kredito rizika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KRR 24 straipsnyje nurodytas ir prie kitų kategorijų nepriskirtas turtas.</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Pozicijos, kurias sudaro balansiniai straipsniai ir kurios yra įtrauktos į vertybinių popi</w:t>
            </w:r>
            <w:r>
              <w:rPr>
                <w:rStyle w:val="InstructionsTabelleText"/>
                <w:rFonts w:ascii="Times New Roman" w:hAnsi="Times New Roman"/>
                <w:sz w:val="24"/>
              </w:rPr>
              <w:t>e</w:t>
            </w:r>
            <w:r>
              <w:rPr>
                <w:rStyle w:val="InstructionsTabelleText"/>
                <w:rFonts w:ascii="Times New Roman" w:hAnsi="Times New Roman"/>
                <w:sz w:val="24"/>
              </w:rPr>
              <w:t>rių finansavimo sandorius, išvestinių finansinių priemonių ir ilgalaikius atsiskaitymo sandorius arba kurios susidaro pagal įpareigojančius kryžminės produktų užskaitos sus</w:t>
            </w:r>
            <w:r>
              <w:rPr>
                <w:rStyle w:val="InstructionsTabelleText"/>
                <w:rFonts w:ascii="Times New Roman" w:hAnsi="Times New Roman"/>
                <w:sz w:val="24"/>
              </w:rPr>
              <w:t>i</w:t>
            </w:r>
            <w:r>
              <w:rPr>
                <w:rStyle w:val="InstructionsTabelleText"/>
                <w:rFonts w:ascii="Times New Roman" w:hAnsi="Times New Roman"/>
                <w:sz w:val="24"/>
              </w:rPr>
              <w:t>tarimus, nurodomos 040–060 eilutėse, todėl į šią eilutę neįtraukiamos.</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Nors nebaigti sandoriai pagal KRR 379 straipsnio 1 dalį (jei nėra atskaitomi) nėra bala</w:t>
            </w:r>
            <w:r>
              <w:rPr>
                <w:rStyle w:val="InstructionsTabelleText"/>
                <w:rFonts w:ascii="Times New Roman" w:hAnsi="Times New Roman"/>
                <w:sz w:val="24"/>
              </w:rPr>
              <w:t>n</w:t>
            </w:r>
            <w:r>
              <w:rPr>
                <w:rStyle w:val="InstructionsTabelleText"/>
                <w:rFonts w:ascii="Times New Roman" w:hAnsi="Times New Roman"/>
                <w:sz w:val="24"/>
              </w:rPr>
              <w:t>siniai straipsniai, jie vis tiek nurodomi šioje eilutėje.</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Pozicijos, kurias sudaro pagrindinei sandorio šaliai perduotas turtas pagal KRR 4 straipsnio 1 dalies 91 punktą ir įsipareigojimų neįvykdymo fondo pozicijos pagal KRR 4 straipsnio 1 dalies 89 punktą, įtraukiamos, jeigu nėra nurodytos 030 eilutėje.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Nebalansiniai straipsniai, susiję su kredito rizika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Nebalansines pozicijas sudaro KRR I priede išvardyti straipsniai.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Pozicijos, kurias sudaro nebalansiniai straipsniai ir kurios yra įtrauktos į vertybinių p</w:t>
            </w:r>
            <w:r>
              <w:rPr>
                <w:rStyle w:val="InstructionsTabelleText"/>
                <w:rFonts w:ascii="Times New Roman" w:hAnsi="Times New Roman"/>
                <w:sz w:val="24"/>
              </w:rPr>
              <w:t>o</w:t>
            </w:r>
            <w:r>
              <w:rPr>
                <w:rStyle w:val="InstructionsTabelleText"/>
                <w:rFonts w:ascii="Times New Roman" w:hAnsi="Times New Roman"/>
                <w:sz w:val="24"/>
              </w:rPr>
              <w:t>pierių finansavimo sandorius, išvestinių finansinių priemonių ir ilgalaikius atsiskaitymo sandorius arba kurios susidaro pagal įpareigojančius kryžminės produktų užskaitos sus</w:t>
            </w:r>
            <w:r>
              <w:rPr>
                <w:rStyle w:val="InstructionsTabelleText"/>
                <w:rFonts w:ascii="Times New Roman" w:hAnsi="Times New Roman"/>
                <w:sz w:val="24"/>
              </w:rPr>
              <w:t>i</w:t>
            </w:r>
            <w:r>
              <w:rPr>
                <w:rStyle w:val="InstructionsTabelleText"/>
                <w:rFonts w:ascii="Times New Roman" w:hAnsi="Times New Roman"/>
                <w:sz w:val="24"/>
              </w:rPr>
              <w:t>tarimus, nurodomos 040–060 eilutėse, todėl į šią eilutę neįtraukiamos.</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Pozicijos, kurias sudaro pagrindinei sandorio šaliai perduotas turtas pagal KRR 4 straipsnio 1 dalies 91 punktą ir įsipareigojimų neįvykdymo fondo pozicijos pagal KRR 4 straipsnio 1 dalies 89 punktą, įtraukiamos, jeigu yra laikomos nebalansiniais straipsniais.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Pozicijos / sandoriai, susiję su sandorio šalies kredito rizika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Vertybinių popierių finansavimo sandoriai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Vertybinių popierių įsigijimo finansavimo sandoriai (VPĮFS), apibrėžti Bazelio komit</w:t>
            </w:r>
            <w:r>
              <w:rPr>
                <w:rStyle w:val="InstructionsTabelleText"/>
                <w:rFonts w:ascii="Times New Roman" w:hAnsi="Times New Roman"/>
                <w:sz w:val="24"/>
              </w:rPr>
              <w:t>e</w:t>
            </w:r>
            <w:r>
              <w:rPr>
                <w:rStyle w:val="InstructionsTabelleText"/>
                <w:rFonts w:ascii="Times New Roman" w:hAnsi="Times New Roman"/>
                <w:sz w:val="24"/>
              </w:rPr>
              <w:t>to dokumento „Susitarimo „Bazelis II“ taikymas prekybos veiklai ir dvigubo įsipareig</w:t>
            </w:r>
            <w:r>
              <w:rPr>
                <w:rStyle w:val="InstructionsTabelleText"/>
                <w:rFonts w:ascii="Times New Roman" w:hAnsi="Times New Roman"/>
                <w:sz w:val="24"/>
              </w:rPr>
              <w:t>o</w:t>
            </w:r>
            <w:r>
              <w:rPr>
                <w:rStyle w:val="InstructionsTabelleText"/>
                <w:rFonts w:ascii="Times New Roman" w:hAnsi="Times New Roman"/>
                <w:sz w:val="24"/>
              </w:rPr>
              <w:t>jimų neįvykdymo poveikio vertinimas“ (angl. „The Application of Basel II to Trading Activities and the Treatment of Double Default Effects“) 17 dalyje, apima: i) atpirkimo ir atvirkštinius atpirkimo susitarimus, apibrėžtus KRR 4 straipsnio 1 dalies 82 punkte, bei vertybinių popierių arba biržos prekių skolinimo ir skolinimosi sandorius ir ii) KRR 272 straipsnio 3 dalyje apibrėžtus garantinių įmokų skolinimo sandorius.</w:t>
            </w:r>
          </w:p>
          <w:p w:rsidR="001C7AB7" w:rsidRPr="00392FFD" w:rsidRDefault="001C7AB7" w:rsidP="00FD6CCB">
            <w:pPr>
              <w:rPr>
                <w:rFonts w:ascii="Times New Roman" w:hAnsi="Times New Roman"/>
                <w:sz w:val="24"/>
              </w:rPr>
            </w:pPr>
            <w:r>
              <w:rPr>
                <w:rStyle w:val="InstructionsTabelleText"/>
                <w:rFonts w:ascii="Times New Roman" w:hAnsi="Times New Roman"/>
                <w:sz w:val="24"/>
              </w:rPr>
              <w:t>Vertybinių popierių finansavimo sandoriai, įtraukti į kryžminę produktų užskaitą ir dėl to nurodyti 060 eilutėje, į šią eilutę neįtraukiami.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Išvestinės finansinės priemonės</w:t>
            </w:r>
            <w:r>
              <w:t xml:space="preserve"> </w:t>
            </w:r>
            <w:r>
              <w:rPr>
                <w:rStyle w:val="InstructionsTabelleberschrift"/>
                <w:rFonts w:ascii="Times New Roman" w:hAnsi="Times New Roman"/>
                <w:sz w:val="24"/>
              </w:rPr>
              <w:t>ir ilgalaikiai atsiskaitymo sandoriai</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 xml:space="preserve">Išvestinėms finansinėms priemonėms priskiriamos KRR II priede išvardytos sutartys. Išvestinės finansinės priemonės ir ilgalaikiai atsiskaitymo sandoriai, įtraukti į kryžminę </w:t>
            </w:r>
            <w:r>
              <w:rPr>
                <w:rStyle w:val="InstructionsTabelleText"/>
                <w:rFonts w:ascii="Times New Roman" w:hAnsi="Times New Roman"/>
                <w:sz w:val="24"/>
              </w:rPr>
              <w:lastRenderedPageBreak/>
              <w:t>produktų užskaitą ir dėl to nurodyti 060 eilutėje, į šią eilutę neįtraukiami.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Pagal įpareigojančius kryžminės produktų užskaitos susitarimus</w:t>
            </w:r>
          </w:p>
          <w:p w:rsidR="001C7AB7" w:rsidRPr="00392FFD" w:rsidRDefault="00FD6CCB" w:rsidP="001C7AB7">
            <w:pPr>
              <w:rPr>
                <w:rFonts w:ascii="Times New Roman" w:hAnsi="Times New Roman"/>
                <w:sz w:val="24"/>
              </w:rPr>
            </w:pPr>
            <w:r>
              <w:rPr>
                <w:rFonts w:ascii="Times New Roman" w:hAnsi="Times New Roman"/>
                <w:sz w:val="24"/>
              </w:rPr>
              <w:t>Žr. CR SA formos nurodymus.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POZICIJOS, PRISKIRTOS ĮSIPAREIGOJANČIŲJŲ ASMENŲ RANGAMS A</w:t>
            </w:r>
            <w:r>
              <w:rPr>
                <w:rFonts w:ascii="Times New Roman" w:hAnsi="Times New Roman"/>
                <w:b/>
                <w:sz w:val="24"/>
                <w:u w:val="single"/>
              </w:rPr>
              <w:t>R</w:t>
            </w:r>
            <w:r>
              <w:rPr>
                <w:rFonts w:ascii="Times New Roman" w:hAnsi="Times New Roman"/>
                <w:b/>
                <w:sz w:val="24"/>
                <w:u w:val="single"/>
              </w:rPr>
              <w:t>BA GRUPĖMS. BENDRA SUMA</w:t>
            </w:r>
          </w:p>
          <w:p w:rsidR="001C7AB7" w:rsidRPr="00392FFD" w:rsidRDefault="001C7AB7" w:rsidP="001C7AB7">
            <w:pPr>
              <w:rPr>
                <w:rFonts w:ascii="Times New Roman" w:hAnsi="Times New Roman"/>
                <w:sz w:val="24"/>
              </w:rPr>
            </w:pPr>
            <w:r>
              <w:rPr>
                <w:rFonts w:ascii="Times New Roman" w:hAnsi="Times New Roman"/>
                <w:sz w:val="24"/>
              </w:rPr>
              <w:t xml:space="preserve">Dėl įmonių, įstaigų, centrinės valdžios ir centrinių bankų pozicijų žr. KRR 142 straipsnio 1 dalies 6 punktą ir 170 straipsnio 1 dalies c punktą. </w:t>
            </w:r>
          </w:p>
          <w:p w:rsidR="001C7AB7" w:rsidRPr="00392FFD" w:rsidRDefault="001C7AB7" w:rsidP="001C7AB7">
            <w:pPr>
              <w:rPr>
                <w:rFonts w:ascii="Times New Roman" w:hAnsi="Times New Roman"/>
                <w:sz w:val="24"/>
              </w:rPr>
            </w:pPr>
            <w:r>
              <w:rPr>
                <w:rFonts w:ascii="Times New Roman" w:hAnsi="Times New Roman"/>
                <w:sz w:val="24"/>
              </w:rPr>
              <w:t xml:space="preserve">Dėl mažmeninių pozicijų žr. KRR 170 straipsnio 3 dalies b punktą. Dėl pozicijų, kurios susidaro dėl įsigytų gautinų sumų, žr. KRR 166 straipsnio 6 dalį. </w:t>
            </w:r>
          </w:p>
          <w:p w:rsidR="001C7AB7" w:rsidRPr="00392FFD" w:rsidRDefault="001C7AB7" w:rsidP="001C7AB7">
            <w:pPr>
              <w:rPr>
                <w:rFonts w:ascii="Times New Roman" w:hAnsi="Times New Roman"/>
                <w:sz w:val="24"/>
              </w:rPr>
            </w:pPr>
            <w:r>
              <w:rPr>
                <w:rFonts w:ascii="Times New Roman" w:hAnsi="Times New Roman"/>
                <w:sz w:val="24"/>
              </w:rPr>
              <w:t>Įsigytų gautinų sumų sumažėjimo rizikos pozicijos nenurodomos pagal įsipareigojanči</w:t>
            </w:r>
            <w:r>
              <w:rPr>
                <w:rFonts w:ascii="Times New Roman" w:hAnsi="Times New Roman"/>
                <w:sz w:val="24"/>
              </w:rPr>
              <w:t>o</w:t>
            </w:r>
            <w:r>
              <w:rPr>
                <w:rFonts w:ascii="Times New Roman" w:hAnsi="Times New Roman"/>
                <w:sz w:val="24"/>
              </w:rPr>
              <w:t>jo asmens rangą arba grupę ir nurodomos 180 eilutėje.</w:t>
            </w:r>
          </w:p>
          <w:p w:rsidR="001C7AB7" w:rsidRPr="00392FFD" w:rsidRDefault="001C7AB7" w:rsidP="001C7AB7">
            <w:pPr>
              <w:rPr>
                <w:rFonts w:ascii="Times New Roman" w:hAnsi="Times New Roman"/>
                <w:sz w:val="24"/>
              </w:rPr>
            </w:pPr>
            <w:r>
              <w:rPr>
                <w:rFonts w:ascii="Times New Roman" w:hAnsi="Times New Roman"/>
                <w:sz w:val="24"/>
              </w:rPr>
              <w:t xml:space="preserve">Jeigu įstaiga naudoja daug rangų arba grupių, su kompetentingomis institucijomis gali būti susitarta nurodyti mažesnį rangų arba grupių skaičių. </w:t>
            </w:r>
          </w:p>
          <w:p w:rsidR="001C7AB7" w:rsidRPr="00392FFD" w:rsidRDefault="00C93697" w:rsidP="00FD6CCB">
            <w:pPr>
              <w:rPr>
                <w:rFonts w:ascii="Times New Roman" w:hAnsi="Times New Roman"/>
                <w:sz w:val="24"/>
              </w:rPr>
            </w:pPr>
            <w:r>
              <w:rPr>
                <w:rFonts w:ascii="Times New Roman" w:hAnsi="Times New Roman"/>
                <w:sz w:val="24"/>
              </w:rPr>
              <w:t xml:space="preserve">Bazinė skalė nenaudojama. Įstaigos pačios nustato, kokią skalę naudos vietoj jos.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SPECIALIZUOTO SKOLINIMO SKIRSTYMO KRITERIJAI. BENDRA SUMA</w:t>
            </w:r>
          </w:p>
          <w:p w:rsidR="001C7AB7" w:rsidRPr="00392FFD" w:rsidRDefault="001C7AB7" w:rsidP="00FD6CCB">
            <w:pPr>
              <w:rPr>
                <w:rFonts w:ascii="Times New Roman" w:hAnsi="Times New Roman"/>
                <w:sz w:val="24"/>
              </w:rPr>
            </w:pPr>
            <w:r>
              <w:rPr>
                <w:rFonts w:ascii="Times New Roman" w:hAnsi="Times New Roman"/>
                <w:sz w:val="24"/>
              </w:rPr>
              <w:t xml:space="preserve">KRR 153 straipsnio 5 dalis. Taikoma tik įmonių, įstaigų, centrinės valdžios ir centrinių bankų pozicijų klasėms.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SUSKIRSTYMAS PAGAL BENDRŲ POZICIJŲ RIZIKOS KOEFICIENTĄ, REMIANTIS SPECIALIZUOTO SKOLINIMO SKIRSTYMO KRITERIJAIS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Iš jų: 1 kategorija </w:t>
            </w:r>
          </w:p>
          <w:p w:rsidR="001C7AB7" w:rsidRPr="00392FFD" w:rsidRDefault="001C7AB7" w:rsidP="001C7AB7">
            <w:pPr>
              <w:rPr>
                <w:rFonts w:ascii="Times New Roman" w:hAnsi="Times New Roman"/>
                <w:sz w:val="24"/>
              </w:rPr>
            </w:pPr>
            <w:r>
              <w:rPr>
                <w:rFonts w:ascii="Times New Roman" w:hAnsi="Times New Roman"/>
                <w:sz w:val="24"/>
              </w:rPr>
              <w:t>KRR 153 straipsnio 5 dalis, 1 lentelė.</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ALTERNATYVI TVARKA: UŽTIKRINTOS NEKILNOJAMUOJU TURTU</w:t>
            </w:r>
          </w:p>
          <w:p w:rsidR="001C7AB7" w:rsidRPr="00392FFD" w:rsidRDefault="001C7AB7" w:rsidP="001C7AB7">
            <w:pPr>
              <w:rPr>
                <w:rFonts w:ascii="Times New Roman" w:hAnsi="Times New Roman"/>
                <w:sz w:val="24"/>
              </w:rPr>
            </w:pPr>
            <w:r>
              <w:rPr>
                <w:rFonts w:ascii="Times New Roman" w:hAnsi="Times New Roman"/>
                <w:sz w:val="24"/>
              </w:rPr>
              <w:t>KRR 193 straipsnio 1 ir 2 dalys, 194 straipsnio 1–7 dalys ir 230 straipsnio 3 dalis.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POZICIJOS, KURIOS SUSIDARĖ DĖL NEBAIGTŲ SANDORIŲ, KURIOMS TAIKOMI RIZIKOS KOEFICIENTAI PAGAL ALTERNATYVIĄ TVARKĄ ARBA 100 %, IR KITOS POZICIJOS, KURIOMS TAIKOMI RIZIKOS KOEF</w:t>
            </w:r>
            <w:r>
              <w:rPr>
                <w:rStyle w:val="InstructionsTabelleberschrift"/>
                <w:rFonts w:ascii="Times New Roman" w:hAnsi="Times New Roman"/>
                <w:sz w:val="24"/>
              </w:rPr>
              <w:t>I</w:t>
            </w:r>
            <w:r>
              <w:rPr>
                <w:rStyle w:val="InstructionsTabelleberschrift"/>
                <w:rFonts w:ascii="Times New Roman" w:hAnsi="Times New Roman"/>
                <w:sz w:val="24"/>
              </w:rPr>
              <w:t>CIENTAI</w:t>
            </w:r>
          </w:p>
          <w:p w:rsidR="001C7AB7" w:rsidRPr="00392FFD" w:rsidRDefault="001C7AB7" w:rsidP="00417984">
            <w:pPr>
              <w:rPr>
                <w:rFonts w:ascii="Times New Roman" w:hAnsi="Times New Roman"/>
                <w:sz w:val="24"/>
              </w:rPr>
            </w:pPr>
            <w:r>
              <w:rPr>
                <w:rFonts w:ascii="Times New Roman" w:hAnsi="Times New Roman"/>
                <w:sz w:val="24"/>
              </w:rPr>
              <w:t>Pozicijos, susidariusios dėl nebaigtų sandorių, kurioms pagal KRR 379 straipsnio 2 d</w:t>
            </w:r>
            <w:r>
              <w:rPr>
                <w:rFonts w:ascii="Times New Roman" w:hAnsi="Times New Roman"/>
                <w:sz w:val="24"/>
              </w:rPr>
              <w:t>a</w:t>
            </w:r>
            <w:r>
              <w:rPr>
                <w:rFonts w:ascii="Times New Roman" w:hAnsi="Times New Roman"/>
                <w:sz w:val="24"/>
              </w:rPr>
              <w:t>lies pirmos pastraipos paskutinį sakinį taikoma alternatyvi tvarka arba pagal KRR 379 straipsnio 2 dalies paskutinę pastraipą 100 % rizikos koeficientas. Nereitinguotos n-tojo įsipareigojimų neįvykdymo kredito išvestinės finansinės priemonės pagal KRR 153 straipsnio 8 dalį ir visos kitos pozicijos, kurioms taikomi rizikos koeficientai ir kurios neįtrauktos į kitas eilutes, nurodomos šioje eilutėje.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GAUTINŲ SUMŲ SUMAŽĖJIMO RIZIKA: BENDRA ĮSIGYTŲ GAUTINŲ S</w:t>
            </w:r>
            <w:r>
              <w:rPr>
                <w:rStyle w:val="InstructionsTabelleberschrift"/>
                <w:rFonts w:ascii="Times New Roman" w:hAnsi="Times New Roman"/>
                <w:sz w:val="24"/>
              </w:rPr>
              <w:t>U</w:t>
            </w:r>
            <w:r>
              <w:rPr>
                <w:rStyle w:val="InstructionsTabelleberschrift"/>
                <w:rFonts w:ascii="Times New Roman" w:hAnsi="Times New Roman"/>
                <w:sz w:val="24"/>
              </w:rPr>
              <w:t>MŲ SUMA</w:t>
            </w:r>
          </w:p>
          <w:p w:rsidR="001C7AB7" w:rsidRPr="00392FFD" w:rsidRDefault="001C7AB7" w:rsidP="001C7AB7">
            <w:pPr>
              <w:rPr>
                <w:rFonts w:ascii="Times New Roman" w:hAnsi="Times New Roman"/>
                <w:sz w:val="24"/>
              </w:rPr>
            </w:pPr>
            <w:r>
              <w:rPr>
                <w:rFonts w:ascii="Times New Roman" w:hAnsi="Times New Roman"/>
                <w:sz w:val="24"/>
              </w:rPr>
              <w:t>Dėl gautinų sumų sumažėjimo rizikos žr. KRR 4 straipsnio 1 dalies 53 punktą. Dėl ga</w:t>
            </w:r>
            <w:r>
              <w:rPr>
                <w:rFonts w:ascii="Times New Roman" w:hAnsi="Times New Roman"/>
                <w:sz w:val="24"/>
              </w:rPr>
              <w:t>u</w:t>
            </w:r>
            <w:r>
              <w:rPr>
                <w:rFonts w:ascii="Times New Roman" w:hAnsi="Times New Roman"/>
                <w:sz w:val="24"/>
              </w:rPr>
              <w:t>tinų sumų sumažėjimo rizikos koeficiento apskaičiavimo žr. KRR 157 straipsnio 1 dalį.</w:t>
            </w:r>
          </w:p>
          <w:p w:rsidR="001C7AB7" w:rsidRPr="00392FFD" w:rsidRDefault="001C7AB7" w:rsidP="00FD6CCB">
            <w:pPr>
              <w:rPr>
                <w:rFonts w:ascii="Times New Roman" w:hAnsi="Times New Roman"/>
                <w:sz w:val="24"/>
              </w:rPr>
            </w:pPr>
            <w:r>
              <w:rPr>
                <w:rFonts w:ascii="Times New Roman" w:hAnsi="Times New Roman"/>
                <w:sz w:val="24"/>
              </w:rPr>
              <w:t xml:space="preserve">Pagal KRR 166 straipsnio 6 dalį įsigytų gautinų sumų pozicijos vertė apskaičiuojama iš </w:t>
            </w:r>
            <w:r>
              <w:rPr>
                <w:rFonts w:ascii="Times New Roman" w:hAnsi="Times New Roman"/>
                <w:sz w:val="24"/>
              </w:rPr>
              <w:lastRenderedPageBreak/>
              <w:t xml:space="preserve">nesumokėtos sumos atėmus pagal gautinų sumų sumažėjimo </w:t>
            </w:r>
            <w:r>
              <w:rPr>
                <w:rStyle w:val="InstructionsTabelleText"/>
                <w:rFonts w:ascii="Times New Roman" w:hAnsi="Times New Roman"/>
                <w:sz w:val="24"/>
              </w:rPr>
              <w:t>riziką įvertintų pozicijų sumas</w:t>
            </w:r>
            <w:r>
              <w:rPr>
                <w:rFonts w:ascii="Times New Roman" w:hAnsi="Times New Roman"/>
                <w:sz w:val="24"/>
              </w:rPr>
              <w:t xml:space="preserve"> prieš kredito rizikos mažinimą.</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4010054"/>
      <w:r>
        <w:rPr>
          <w:rFonts w:ascii="Times New Roman" w:hAnsi="Times New Roman"/>
          <w:sz w:val="24"/>
          <w:u w:val="none"/>
        </w:rPr>
        <w:t>3.3.4.</w:t>
      </w:r>
      <w:r>
        <w:tab/>
      </w:r>
      <w:r>
        <w:rPr>
          <w:rFonts w:ascii="Times New Roman" w:hAnsi="Times New Roman"/>
          <w:sz w:val="24"/>
        </w:rPr>
        <w:t>C 08.02. Kredito rizika, sandorio šalies kredito rizika ir nebaigti sandoriai. IRB met</w:t>
      </w:r>
      <w:r>
        <w:rPr>
          <w:rFonts w:ascii="Times New Roman" w:hAnsi="Times New Roman"/>
          <w:sz w:val="24"/>
        </w:rPr>
        <w:t>o</w:t>
      </w:r>
      <w:r>
        <w:rPr>
          <w:rFonts w:ascii="Times New Roman" w:hAnsi="Times New Roman"/>
          <w:sz w:val="24"/>
        </w:rPr>
        <w:t>das, taikomas kapitalo reikalavimams apskaičiuoti (suskirstymas pagal įsipareigojančiojo asmens rangą arba grupę) (CR IRB 2 forma)</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Skiltis</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Nurodymai</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Įsipareigojančiojo asmens rangas (eilutės identifikatorius)</w:t>
            </w:r>
          </w:p>
          <w:p w:rsidR="00E97CD2" w:rsidRPr="00392FFD" w:rsidRDefault="00E97CD2" w:rsidP="003F05A0">
            <w:pPr>
              <w:rPr>
                <w:rFonts w:ascii="Times New Roman" w:hAnsi="Times New Roman"/>
                <w:sz w:val="24"/>
              </w:rPr>
            </w:pPr>
            <w:r>
              <w:rPr>
                <w:rFonts w:ascii="Times New Roman" w:hAnsi="Times New Roman"/>
                <w:sz w:val="24"/>
              </w:rPr>
              <w:t>Kiekvienai konkretaus lentelės lapo eilutei suteikiamas unikalus eilutės ident</w:t>
            </w:r>
            <w:r>
              <w:rPr>
                <w:rFonts w:ascii="Times New Roman" w:hAnsi="Times New Roman"/>
                <w:sz w:val="24"/>
              </w:rPr>
              <w:t>i</w:t>
            </w:r>
            <w:r>
              <w:rPr>
                <w:rFonts w:ascii="Times New Roman" w:hAnsi="Times New Roman"/>
                <w:sz w:val="24"/>
              </w:rPr>
              <w:t>fikatorius. Jis nurodomas eilės tvarka (1, 2, 3 ir t. t.).</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Šioms skiltims galioja tie patys nurodymai kaip atitinkamu numeriu pažym</w:t>
            </w:r>
            <w:r>
              <w:rPr>
                <w:rFonts w:ascii="Times New Roman" w:hAnsi="Times New Roman"/>
                <w:sz w:val="24"/>
              </w:rPr>
              <w:t>ė</w:t>
            </w:r>
            <w:r>
              <w:rPr>
                <w:rFonts w:ascii="Times New Roman" w:hAnsi="Times New Roman"/>
                <w:sz w:val="24"/>
              </w:rPr>
              <w:t>toms CR IRB 1 formos skiltims.</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Eilutė</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Nurodymai</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Šiose eilutėse nurodomos vertės suskirstomos nuo mažiausios iki didžiausios PD, priskirtos įsipareigojančiojo asmens rangui arba grupei. Įsipareigojančiųjų asmenų PD įsipareigojimo neįvykdymo atveju yra 100 %. Pozicijos, kurioms taikoma alternatyvi užtikrinimo nekilnojamuoju turtu tvarka (galima tik tada, kai nenaudojami pačios įstaigos apskaičiuoti LGD įverčiai), neskirstomos p</w:t>
            </w:r>
            <w:r>
              <w:rPr>
                <w:rFonts w:ascii="Times New Roman" w:hAnsi="Times New Roman"/>
                <w:sz w:val="24"/>
              </w:rPr>
              <w:t>a</w:t>
            </w:r>
            <w:r>
              <w:rPr>
                <w:rFonts w:ascii="Times New Roman" w:hAnsi="Times New Roman"/>
                <w:sz w:val="24"/>
              </w:rPr>
              <w:t>gal įsipareigojančiojo asmens PD ir šioje formoje nenurodomos.</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4010055"/>
      <w:r>
        <w:rPr>
          <w:rFonts w:ascii="Times New Roman" w:hAnsi="Times New Roman"/>
          <w:sz w:val="24"/>
          <w:u w:val="none"/>
        </w:rPr>
        <w:t>3.4.</w:t>
      </w:r>
      <w:r>
        <w:tab/>
      </w:r>
      <w:r>
        <w:rPr>
          <w:rFonts w:ascii="Times New Roman" w:hAnsi="Times New Roman"/>
          <w:sz w:val="24"/>
        </w:rPr>
        <w:t>Kredito rizika, sandorio šalies kredito rizika ir nebaigti sandoriai. Informacija su geo</w:t>
      </w:r>
      <w:r>
        <w:rPr>
          <w:rFonts w:ascii="Times New Roman" w:hAnsi="Times New Roman"/>
          <w:sz w:val="24"/>
        </w:rPr>
        <w:t>g</w:t>
      </w:r>
      <w:r>
        <w:rPr>
          <w:rFonts w:ascii="Times New Roman" w:hAnsi="Times New Roman"/>
          <w:sz w:val="24"/>
        </w:rPr>
        <w:t>rafiniu suskirstymu</w:t>
      </w:r>
      <w:bookmarkEnd w:id="372"/>
      <w:bookmarkEnd w:id="373"/>
      <w:bookmarkEnd w:id="374"/>
      <w:bookmarkEnd w:id="375"/>
    </w:p>
    <w:p w:rsidR="004357B9" w:rsidRPr="00392FFD" w:rsidRDefault="00125707" w:rsidP="00C37B29">
      <w:pPr>
        <w:pStyle w:val="InstructionsText2"/>
        <w:numPr>
          <w:ilvl w:val="0"/>
          <w:numId w:val="0"/>
        </w:numPr>
        <w:ind w:left="993"/>
      </w:pPr>
      <w:r>
        <w:t>79.</w:t>
      </w:r>
      <w:r>
        <w:tab/>
        <w:t>Visos įstaigos pateikia agreguotus bendru lygmeniu duomenis. Be to, šio re</w:t>
      </w:r>
      <w:r>
        <w:t>g</w:t>
      </w:r>
      <w:r>
        <w:t>lamento 5 straipsnio a punkto 4 papunktyje nustatytą ribą atitinkančios įstaigos p</w:t>
      </w:r>
      <w:r>
        <w:t>a</w:t>
      </w:r>
      <w:r>
        <w:t>teikia pagal šalis suskirstytą informaciją, susijusią su savo buveinės šalimi ir vis</w:t>
      </w:r>
      <w:r>
        <w:t>o</w:t>
      </w:r>
      <w:r>
        <w:t>mis kitomis ne buveinės šalimis. Riba taikoma tik 1 ir 2 lentelėms. Viršvalstybinių organizacijų pozicijos priskiriamos geografinei teritorijai „Kitos šalys“.</w:t>
      </w:r>
    </w:p>
    <w:p w:rsidR="004357B9" w:rsidRPr="00392FFD" w:rsidRDefault="00125707" w:rsidP="00C37B29">
      <w:pPr>
        <w:pStyle w:val="InstructionsText2"/>
        <w:numPr>
          <w:ilvl w:val="0"/>
          <w:numId w:val="0"/>
        </w:numPr>
        <w:ind w:left="993"/>
      </w:pPr>
      <w:r>
        <w:t>80.</w:t>
      </w:r>
      <w:r>
        <w:tab/>
        <w:t>Sąvoka „įsipareigojančiojo asmens įsisteigimo vieta“ nurodo šalį, kurioje įsip</w:t>
      </w:r>
      <w:r>
        <w:t>a</w:t>
      </w:r>
      <w:r>
        <w:t>reigojantysis asmuo įsisteigęs. Ši sąvoka gali būti taikoma tiesioginio įsipareigoja</w:t>
      </w:r>
      <w:r>
        <w:t>n</w:t>
      </w:r>
      <w:r>
        <w:t>čiojo asmens pagrindu arba galutinės rizikos pagrindu. Taigi dėl KRM metodų, t</w:t>
      </w:r>
      <w:r>
        <w:t>u</w:t>
      </w:r>
      <w:r>
        <w:t>rinčių pozicijos pakeitimo poveikį, pozicijos priskyrimas šaliai gali pasikeisti. Vir</w:t>
      </w:r>
      <w:r>
        <w:t>š</w:t>
      </w:r>
      <w:r>
        <w:t>valstybinių organizacijų pozicijos priskiriamos ne įstaigos įsisteigimo šaliai, bet g</w:t>
      </w:r>
      <w:r>
        <w:t>e</w:t>
      </w:r>
      <w:r>
        <w:t>ografinei teritorijai „Kitos šalys“, nepriklausomai nuo pozicijų klasės, kuriai prisk</w:t>
      </w:r>
      <w:r>
        <w:t>i</w:t>
      </w:r>
      <w:r>
        <w:t>riama viršvalstybinių organizacijų pozicija.</w:t>
      </w:r>
    </w:p>
    <w:p w:rsidR="0096378F" w:rsidRPr="00392FFD" w:rsidRDefault="00125707" w:rsidP="00C37B29">
      <w:pPr>
        <w:pStyle w:val="InstructionsText2"/>
        <w:numPr>
          <w:ilvl w:val="0"/>
          <w:numId w:val="0"/>
        </w:numPr>
        <w:ind w:left="993"/>
      </w:pPr>
      <w:r>
        <w:t>81.</w:t>
      </w:r>
      <w:r>
        <w:tab/>
        <w:t xml:space="preserve">Duomenys skiltyje „Pradinė pozicija iki perskaičiavimo koeficientų taikymo“ nurodomi pagal tiesioginio įsipareigojančiojo asmens įsisteigimo šalį. „Pozicijų </w:t>
      </w:r>
      <w:r>
        <w:lastRenderedPageBreak/>
        <w:t>vertė“ ir „pagal riziką įvertintų pozicijų sumos“ nurodomos pagal galutinio įsip</w:t>
      </w:r>
      <w:r>
        <w:t>a</w:t>
      </w:r>
      <w:r>
        <w:t>reigojančiojo asmens įsisteigimo šalį.</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4010056"/>
      <w:r>
        <w:rPr>
          <w:rFonts w:ascii="Times New Roman" w:hAnsi="Times New Roman"/>
          <w:sz w:val="24"/>
          <w:u w:val="none"/>
        </w:rPr>
        <w:t>3.4.1.</w:t>
      </w:r>
      <w:r>
        <w:tab/>
      </w:r>
      <w:r>
        <w:rPr>
          <w:rFonts w:ascii="Times New Roman" w:hAnsi="Times New Roman"/>
          <w:sz w:val="24"/>
        </w:rPr>
        <w:t>C 09.01. Geografinis pozicijų suskirstymas pagal įsipareigojančiojo asmens įsisteig</w:t>
      </w:r>
      <w:r>
        <w:rPr>
          <w:rFonts w:ascii="Times New Roman" w:hAnsi="Times New Roman"/>
          <w:sz w:val="24"/>
        </w:rPr>
        <w:t>i</w:t>
      </w:r>
      <w:r>
        <w:rPr>
          <w:rFonts w:ascii="Times New Roman" w:hAnsi="Times New Roman"/>
          <w:sz w:val="24"/>
        </w:rPr>
        <w:t>mo vietą. Pozicijos, kurioms taikomas SA metodas (CR GB 1)</w:t>
      </w:r>
      <w:bookmarkEnd w:id="376"/>
      <w:bookmarkEnd w:id="377"/>
      <w:bookmarkEnd w:id="378"/>
      <w:bookmarkEnd w:id="379"/>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4010057"/>
      <w:r>
        <w:rPr>
          <w:rFonts w:ascii="Times New Roman" w:hAnsi="Times New Roman"/>
          <w:sz w:val="24"/>
          <w:u w:val="none"/>
        </w:rPr>
        <w:t>3.4.1.1.</w:t>
      </w:r>
      <w:r>
        <w:tab/>
      </w:r>
      <w:r>
        <w:rPr>
          <w:rFonts w:ascii="Times New Roman" w:hAnsi="Times New Roman"/>
          <w:sz w:val="24"/>
        </w:rPr>
        <w:t>Nurodymai dėl konkrečių pozicijų</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Skiltys</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PRADINĖ POZICIJA IKI PERSKAIČIAVIMO KOEFICIENTŲ TAIKYMO</w:t>
            </w:r>
          </w:p>
          <w:p w:rsidR="004357B9" w:rsidRPr="00392FFD" w:rsidRDefault="004357B9" w:rsidP="004357B9">
            <w:pPr>
              <w:rPr>
                <w:rFonts w:ascii="Times New Roman" w:hAnsi="Times New Roman"/>
                <w:sz w:val="24"/>
              </w:rPr>
            </w:pPr>
            <w:r>
              <w:rPr>
                <w:rFonts w:ascii="Times New Roman" w:hAnsi="Times New Roman"/>
                <w:sz w:val="24"/>
              </w:rPr>
              <w:t>Ta pati apibrėžtis kaip CR SA formos 010 skiltyje.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Pozicijos esant įsipareigojimų neįvykdymui</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Pradinės pozicijos, priskirtos prie pozicijų klasės „pozicijos esant įsipareigojimų ne</w:t>
            </w:r>
            <w:r>
              <w:rPr>
                <w:rStyle w:val="InstructionsTabelleText"/>
                <w:rFonts w:ascii="Times New Roman" w:hAnsi="Times New Roman"/>
                <w:sz w:val="24"/>
              </w:rPr>
              <w:t>į</w:t>
            </w:r>
            <w:r>
              <w:rPr>
                <w:rStyle w:val="InstructionsTabelleText"/>
                <w:rFonts w:ascii="Times New Roman" w:hAnsi="Times New Roman"/>
                <w:sz w:val="24"/>
              </w:rPr>
              <w:t>vykdymui“ ir pozicijų esant įsipareigojimų neįvykdymui klasių „pozicijos, susijusios su ypač didele rizika“ arba „nuosavybės vertybinių popierių pozicijos“, iki perskaiči</w:t>
            </w:r>
            <w:r>
              <w:rPr>
                <w:rStyle w:val="InstructionsTabelleText"/>
                <w:rFonts w:ascii="Times New Roman" w:hAnsi="Times New Roman"/>
                <w:sz w:val="24"/>
              </w:rPr>
              <w:t>a</w:t>
            </w:r>
            <w:r>
              <w:rPr>
                <w:rStyle w:val="InstructionsTabelleText"/>
                <w:rFonts w:ascii="Times New Roman" w:hAnsi="Times New Roman"/>
                <w:sz w:val="24"/>
              </w:rPr>
              <w:t>vimo koeficientų taikymo.</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Šiame papildomame straipsnyje pateikiama papildoma informacija apie pozicijų esant įsipareigojimų neįvykdymui įsipareigojančiųjų asmenų struktūrą. Pozicijos, pagal KRR 112 straipsnio j punktą priskirtos prie pozicijų klasės „pozicijos esant įsipareigojimų neįvykdymui“, nurodomos, kai informacija apie įsipareigojančiuosius asmenis būtų buvus pateikta, jeigu šios pozicijos nebūtų priskirtos prie pozicijų klasės „pozicijos esant įsipareigojimų neįvykdymui“. </w:t>
            </w:r>
          </w:p>
          <w:p w:rsidR="004357B9" w:rsidRPr="00392FFD" w:rsidRDefault="004357B9" w:rsidP="004357B9">
            <w:pPr>
              <w:rPr>
                <w:rFonts w:ascii="Times New Roman" w:hAnsi="Times New Roman"/>
                <w:sz w:val="24"/>
              </w:rPr>
            </w:pPr>
            <w:r>
              <w:rPr>
                <w:rStyle w:val="InstructionsTabelleText"/>
                <w:rFonts w:ascii="Times New Roman" w:hAnsi="Times New Roman"/>
                <w:sz w:val="24"/>
              </w:rPr>
              <w:t>Tai papildomas straipsnis, todėl jis neturi įtakos pagal riziką įvertintų pozicijų, prikla</w:t>
            </w:r>
            <w:r>
              <w:rPr>
                <w:rStyle w:val="InstructionsTabelleText"/>
                <w:rFonts w:ascii="Times New Roman" w:hAnsi="Times New Roman"/>
                <w:sz w:val="24"/>
              </w:rPr>
              <w:t>u</w:t>
            </w:r>
            <w:r>
              <w:rPr>
                <w:rStyle w:val="InstructionsTabelleText"/>
                <w:rFonts w:ascii="Times New Roman" w:hAnsi="Times New Roman"/>
                <w:sz w:val="24"/>
              </w:rPr>
              <w:t>sančių atitinkamai KRR 112 straipsnio j, k ar p punkte nurodytoms pozicijų klasėms „pozicijos esant įsipareigojimų neįvykdymui“, „pozicijos, susijusios su ypač didele r</w:t>
            </w:r>
            <w:r>
              <w:rPr>
                <w:rStyle w:val="InstructionsTabelleText"/>
                <w:rFonts w:ascii="Times New Roman" w:hAnsi="Times New Roman"/>
                <w:sz w:val="24"/>
              </w:rPr>
              <w:t>i</w:t>
            </w:r>
            <w:r>
              <w:rPr>
                <w:rStyle w:val="InstructionsTabelleText"/>
                <w:rFonts w:ascii="Times New Roman" w:hAnsi="Times New Roman"/>
                <w:sz w:val="24"/>
              </w:rPr>
              <w:t>zika“ arba „nuosavybės vertybinių popierių pozicijos“, sumų skaičiavimui.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Per laikotarpį pastebėti nauji įsipareigojimų neįvykdymo atvejai</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Pradinių pozicijų, perkeltų į pozicijų klasę „pozicijos esant įsipareigojimų neįvykd</w:t>
            </w:r>
            <w:r>
              <w:rPr>
                <w:rStyle w:val="InstructionsTabelleText"/>
                <w:rFonts w:ascii="Times New Roman" w:hAnsi="Times New Roman"/>
                <w:sz w:val="24"/>
              </w:rPr>
              <w:t>y</w:t>
            </w:r>
            <w:r>
              <w:rPr>
                <w:rStyle w:val="InstructionsTabelleText"/>
                <w:rFonts w:ascii="Times New Roman" w:hAnsi="Times New Roman"/>
                <w:sz w:val="24"/>
              </w:rPr>
              <w:t>mui“ per tris mėnesius nuo paskutinės ataskaitinės datos, suma nurodoma pozicijų kl</w:t>
            </w:r>
            <w:r>
              <w:rPr>
                <w:rStyle w:val="InstructionsTabelleText"/>
                <w:rFonts w:ascii="Times New Roman" w:hAnsi="Times New Roman"/>
                <w:sz w:val="24"/>
              </w:rPr>
              <w:t>a</w:t>
            </w:r>
            <w:r>
              <w:rPr>
                <w:rStyle w:val="InstructionsTabelleText"/>
                <w:rFonts w:ascii="Times New Roman" w:hAnsi="Times New Roman"/>
                <w:sz w:val="24"/>
              </w:rPr>
              <w:t>sėje, kuriai įsipareigojantysis asmuo priklausė iš pradžių.</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Bendrosios kredito rizikos koregavimai</w:t>
            </w:r>
          </w:p>
          <w:p w:rsidR="004357B9" w:rsidRDefault="004357B9" w:rsidP="004357B9">
            <w:pPr>
              <w:rPr>
                <w:rFonts w:ascii="Times New Roman" w:hAnsi="Times New Roman"/>
                <w:sz w:val="24"/>
              </w:rPr>
            </w:pPr>
            <w:r>
              <w:rPr>
                <w:rFonts w:ascii="Times New Roman" w:hAnsi="Times New Roman"/>
                <w:sz w:val="24"/>
              </w:rPr>
              <w:t xml:space="preserve">Kredito rizikos koregavimai pagal KRR 110 straipsnį. </w:t>
            </w:r>
          </w:p>
          <w:p w:rsidR="00D95045" w:rsidRPr="00AE7CD3" w:rsidRDefault="00D95045" w:rsidP="00D95045">
            <w:pPr>
              <w:rPr>
                <w:rFonts w:ascii="Times New Roman" w:hAnsi="Times New Roman"/>
                <w:sz w:val="24"/>
              </w:rPr>
            </w:pPr>
            <w:r>
              <w:rPr>
                <w:rFonts w:ascii="Times New Roman" w:hAnsi="Times New Roman"/>
                <w:sz w:val="24"/>
              </w:rPr>
              <w:t>Į šį straipsnį įtraukiami bendrosios kredito rizikos koregavimai, kuriuos galima įtraukti į T2 kapitalą, prieš taikant KRR 62 straipsnio c punkte nurodytą apribojimą.</w:t>
            </w:r>
          </w:p>
          <w:p w:rsidR="00D95045" w:rsidRPr="00392FFD" w:rsidRDefault="00D95045" w:rsidP="00D95045">
            <w:pPr>
              <w:rPr>
                <w:rFonts w:ascii="Times New Roman" w:hAnsi="Times New Roman"/>
                <w:b/>
                <w:sz w:val="24"/>
                <w:u w:val="single"/>
              </w:rPr>
            </w:pPr>
            <w:r>
              <w:rPr>
                <w:rFonts w:ascii="Times New Roman" w:hAnsi="Times New Roman"/>
                <w:sz w:val="24"/>
              </w:rPr>
              <w:t>Suma nurodoma neatskaičius mokesčių.</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Specifinės kredito rizikos koregavimai</w:t>
            </w:r>
          </w:p>
          <w:p w:rsidR="004357B9" w:rsidRPr="00392FFD" w:rsidRDefault="004357B9" w:rsidP="004357B9">
            <w:pPr>
              <w:rPr>
                <w:rFonts w:ascii="Times New Roman" w:hAnsi="Times New Roman"/>
                <w:b/>
                <w:sz w:val="24"/>
                <w:u w:val="single"/>
              </w:rPr>
            </w:pPr>
            <w:r>
              <w:rPr>
                <w:rFonts w:ascii="Times New Roman" w:hAnsi="Times New Roman"/>
                <w:sz w:val="24"/>
              </w:rPr>
              <w:t>Kredito rizikos koregavimai pagal KRR 110 straipsnį.</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Nurašymai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Nurašymai apima ir sumažėjusios vertės finansinio turto balansinės vertės sumažinimą, pripažįstamą tiesiogiai pelno (nuostolių) ataskaitoje [7-ojo TFAS B5 straipsnio d pun</w:t>
            </w:r>
            <w:r>
              <w:rPr>
                <w:rStyle w:val="InstructionsTabelleText"/>
                <w:rFonts w:ascii="Times New Roman" w:hAnsi="Times New Roman"/>
                <w:sz w:val="24"/>
              </w:rPr>
              <w:t>k</w:t>
            </w:r>
            <w:r>
              <w:rPr>
                <w:rStyle w:val="InstructionsTabelleText"/>
                <w:rFonts w:ascii="Times New Roman" w:hAnsi="Times New Roman"/>
                <w:sz w:val="24"/>
              </w:rPr>
              <w:lastRenderedPageBreak/>
              <w:t>to i papunktis], ir rezervinių sąskaitų sumų sumažinimą dėl sumažėjusios finansinio turto vertės [7-ojo TFAS B5 straipsnio d punkto ii papunktis].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Kredito rizikos koregavimai / nurašymai pastebėtais naujais įsipareigojimų ne</w:t>
            </w:r>
            <w:r>
              <w:rPr>
                <w:rFonts w:ascii="Times New Roman" w:hAnsi="Times New Roman"/>
                <w:b/>
                <w:sz w:val="24"/>
                <w:u w:val="single"/>
              </w:rPr>
              <w:t>į</w:t>
            </w:r>
            <w:r>
              <w:rPr>
                <w:rFonts w:ascii="Times New Roman" w:hAnsi="Times New Roman"/>
                <w:b/>
                <w:sz w:val="24"/>
                <w:u w:val="single"/>
              </w:rPr>
              <w:t>vykdymo atvejais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Kredito rizikos koregavimų ir nurašymų suma, apimanti pozicijas, priskirtas prie poz</w:t>
            </w:r>
            <w:r>
              <w:rPr>
                <w:rStyle w:val="InstructionsTabelleText"/>
                <w:rFonts w:ascii="Times New Roman" w:hAnsi="Times New Roman"/>
                <w:sz w:val="24"/>
              </w:rPr>
              <w:t>i</w:t>
            </w:r>
            <w:r>
              <w:rPr>
                <w:rStyle w:val="InstructionsTabelleText"/>
                <w:rFonts w:ascii="Times New Roman" w:hAnsi="Times New Roman"/>
                <w:sz w:val="24"/>
              </w:rPr>
              <w:t>cijų klasės „pozicijos esant įsipareigojimų neįvykdymui“ per 3 mėnesius nuo paskut</w:t>
            </w:r>
            <w:r>
              <w:rPr>
                <w:rStyle w:val="InstructionsTabelleText"/>
                <w:rFonts w:ascii="Times New Roman" w:hAnsi="Times New Roman"/>
                <w:sz w:val="24"/>
              </w:rPr>
              <w:t>i</w:t>
            </w:r>
            <w:r>
              <w:rPr>
                <w:rStyle w:val="InstructionsTabelleText"/>
                <w:rFonts w:ascii="Times New Roman" w:hAnsi="Times New Roman"/>
                <w:sz w:val="24"/>
              </w:rPr>
              <w:t>nio duomenų pateikimo.</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Pozicijos vertė</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SA formos 200 skiltyje.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PAGAL RIZIKĄ ĮVERTINTŲ POZICIJŲ SUMA IKI MVĮ RĖMIMO KOEF</w:t>
            </w:r>
            <w:r>
              <w:rPr>
                <w:rFonts w:ascii="Times New Roman" w:hAnsi="Times New Roman"/>
                <w:b/>
                <w:sz w:val="24"/>
                <w:u w:val="single"/>
              </w:rPr>
              <w:t>I</w:t>
            </w:r>
            <w:r>
              <w:rPr>
                <w:rFonts w:ascii="Times New Roman" w:hAnsi="Times New Roman"/>
                <w:b/>
                <w:sz w:val="24"/>
                <w:u w:val="single"/>
              </w:rPr>
              <w:t>CIENTO TAIKYMO</w:t>
            </w:r>
          </w:p>
          <w:p w:rsidR="004357B9" w:rsidRPr="00392FFD" w:rsidRDefault="004357B9" w:rsidP="004357B9">
            <w:pPr>
              <w:rPr>
                <w:rFonts w:ascii="Times New Roman" w:hAnsi="Times New Roman"/>
                <w:b/>
                <w:sz w:val="24"/>
                <w:u w:val="single"/>
              </w:rPr>
            </w:pPr>
            <w:r>
              <w:rPr>
                <w:rFonts w:ascii="Times New Roman" w:hAnsi="Times New Roman"/>
                <w:sz w:val="24"/>
              </w:rPr>
              <w:t>Ta pati apibrėžtis kaip CR SA formos 215 skiltyje.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PAGAL RIZIKĄ ĮVERTINTŲ POZICIJŲ SUMA PRITAIKIUS MVĮ RĖMIMO KOEFICIENTĄ</w:t>
            </w:r>
          </w:p>
          <w:p w:rsidR="004357B9" w:rsidRPr="00392FFD" w:rsidRDefault="004357B9" w:rsidP="004357B9">
            <w:pPr>
              <w:rPr>
                <w:rFonts w:ascii="Times New Roman" w:hAnsi="Times New Roman"/>
                <w:b/>
                <w:sz w:val="24"/>
                <w:u w:val="single"/>
              </w:rPr>
            </w:pPr>
            <w:r>
              <w:rPr>
                <w:rFonts w:ascii="Times New Roman" w:hAnsi="Times New Roman"/>
                <w:sz w:val="24"/>
              </w:rPr>
              <w:t>Ta pati apibrėžtis kaip CR SA formos 220 skiltyje.</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Eilutės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Centrinės valdžios arba centrinių bankų pozicijos</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KRR 112 straipsnio a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Regioninės arba vietos valdžios institucijų pozicijos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KRR 112 straipsnio b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Viešojo sektoriaus subjektų pozicijos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KRR 112 straipsnio c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Daugiašalių plėtros bankų pozicijos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KRR 112 straipsnio d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Tarptautinių organizacijų pozicijos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KRR 112 straipsnio e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Įstaigų pozicijos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KRR 112 straipsnio f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Įmonių pozicijos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KRR 112 straipsnio g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Iš jų: MVĮ pozicijos</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Ta pati apibrėžtis kaip CR SA formos 020 eilutėje.</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Mažmeninės pozicijos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KRR 112 straipsnio h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Iš jų: MVĮ pozicijos</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020 eilutėje.</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Nekilnojamojo turto hipoteka užtikrintos pozicijos</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KRR 112 straipsnio i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Iš jų: MVĮ pozicijos</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020 eilutėje.</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Pozicijos esant įsipareigojimų neįvykdymui</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KRR 112 straipsnio j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Pozicijos, susijusios su ypač didele rizika</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KRR 112 straipsnio k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Padengtųjų obligacijų pozicijos</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KRR 112 straipsnio l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Trumpalaikį kredito vertinimą turinčių įstaigų ir įmonių pozicijos</w:t>
            </w:r>
          </w:p>
          <w:p w:rsidR="004357B9" w:rsidRPr="00392FFD" w:rsidRDefault="004357B9" w:rsidP="004357B9">
            <w:pPr>
              <w:ind w:left="72"/>
              <w:rPr>
                <w:rFonts w:ascii="Times New Roman" w:hAnsi="Times New Roman"/>
                <w:sz w:val="24"/>
              </w:rPr>
            </w:pPr>
            <w:r>
              <w:rPr>
                <w:rFonts w:ascii="Times New Roman" w:hAnsi="Times New Roman"/>
                <w:sz w:val="24"/>
              </w:rPr>
              <w:t>KRR 112 straipsnio n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Pozicijos, kurias sudaro kolektyvinio investavimo subjektų (KIS) investiciniai vienetai arba akcijos</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KRR 112 straipsnio o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Nuosavybės vertybinių popierių pozicijos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KRR 112 straipsnio p punktas.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Kitos pozicijos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KRR 112 straipsnio q punktas.</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Bendra pozicijų suma</w:t>
            </w:r>
          </w:p>
        </w:tc>
      </w:tr>
    </w:tbl>
    <w:p w:rsidR="004357B9" w:rsidRPr="00392FFD" w:rsidRDefault="004357B9" w:rsidP="004357B9">
      <w:pPr>
        <w:spacing w:before="0" w:after="200" w:line="312" w:lineRule="auto"/>
        <w:jc w:val="left"/>
        <w:rPr>
          <w:rFonts w:ascii="Times New Roman" w:hAnsi="Times New Roman"/>
          <w:sz w:val="24"/>
        </w:rPr>
      </w:pPr>
      <w:bookmarkStart w:id="384"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4010058"/>
      <w:r>
        <w:rPr>
          <w:rFonts w:ascii="Times New Roman" w:hAnsi="Times New Roman"/>
          <w:sz w:val="24"/>
          <w:u w:val="none"/>
        </w:rPr>
        <w:t>3.4.2.</w:t>
      </w:r>
      <w:r>
        <w:tab/>
      </w:r>
      <w:r>
        <w:rPr>
          <w:rFonts w:ascii="Times New Roman" w:hAnsi="Times New Roman"/>
          <w:sz w:val="24"/>
        </w:rPr>
        <w:t>C 09.02. Geografinis pozicijų suskirstymas pagal įsipareigojančiojo asmens įsisteig</w:t>
      </w:r>
      <w:r>
        <w:rPr>
          <w:rFonts w:ascii="Times New Roman" w:hAnsi="Times New Roman"/>
          <w:sz w:val="24"/>
        </w:rPr>
        <w:t>i</w:t>
      </w:r>
      <w:r>
        <w:rPr>
          <w:rFonts w:ascii="Times New Roman" w:hAnsi="Times New Roman"/>
          <w:sz w:val="24"/>
        </w:rPr>
        <w:t>mo vietą. Pozicijos, kurioms taikomas IRB metodas</w:t>
      </w:r>
      <w:bookmarkEnd w:id="385"/>
      <w:r>
        <w:rPr>
          <w:rFonts w:ascii="Times New Roman" w:hAnsi="Times New Roman"/>
          <w:sz w:val="24"/>
        </w:rPr>
        <w:t xml:space="preserve"> (CR GB 2)</w:t>
      </w:r>
      <w:bookmarkEnd w:id="386"/>
      <w:bookmarkEnd w:id="387"/>
      <w:bookmarkEnd w:id="38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4010059"/>
      <w:r>
        <w:rPr>
          <w:rFonts w:ascii="Times New Roman" w:hAnsi="Times New Roman"/>
          <w:sz w:val="24"/>
          <w:u w:val="none"/>
        </w:rPr>
        <w:t>3.4.2.1.</w:t>
      </w:r>
      <w:r>
        <w:tab/>
      </w:r>
      <w:r>
        <w:rPr>
          <w:rFonts w:ascii="Times New Roman" w:hAnsi="Times New Roman"/>
          <w:sz w:val="24"/>
        </w:rPr>
        <w:t>Nurodymai dėl konkrečių pozicijų</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Skiltys</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PRADINĖ POZICIJA IKI PERSKAIČIAVIMO KOEFICIENTŲ TAIKYMO</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Ta pati apibrėžtis kaip CR IRB formos 020 skiltyje.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Iš jos: pozicijos esant įsipareigojimų neįvykdymui</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Pozicijų, kurios pagal KRR 178 straipsnį buvo priskirtos prie pozicijų klasės „pozicijos esant įsipareigojimų neįvykdymui“, pradinės pozicijos vertė.</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Per laikotarpį pastebėti nauji įsipareigojimų neįvykdymo atvejai</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Pradinių pozicijų, perkeltų į pozicijų klasę „pozicijos esant įsipareigojimų neįvykd</w:t>
            </w:r>
            <w:r>
              <w:rPr>
                <w:rStyle w:val="InstructionsTabelleText"/>
                <w:rFonts w:ascii="Times New Roman" w:hAnsi="Times New Roman"/>
                <w:sz w:val="24"/>
              </w:rPr>
              <w:t>y</w:t>
            </w:r>
            <w:r>
              <w:rPr>
                <w:rStyle w:val="InstructionsTabelleText"/>
                <w:rFonts w:ascii="Times New Roman" w:hAnsi="Times New Roman"/>
                <w:sz w:val="24"/>
              </w:rPr>
              <w:t>mui“ per tris mėnesius nuo paskutinės ataskaitinės datos, suma nurodoma pozicijų kl</w:t>
            </w:r>
            <w:r>
              <w:rPr>
                <w:rStyle w:val="InstructionsTabelleText"/>
                <w:rFonts w:ascii="Times New Roman" w:hAnsi="Times New Roman"/>
                <w:sz w:val="24"/>
              </w:rPr>
              <w:t>a</w:t>
            </w:r>
            <w:r>
              <w:rPr>
                <w:rStyle w:val="InstructionsTabelleText"/>
                <w:rFonts w:ascii="Times New Roman" w:hAnsi="Times New Roman"/>
                <w:sz w:val="24"/>
              </w:rPr>
              <w:t>sėje, kuriai įsipareigojantysis asmuo priklausė iš pradžių.</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Bendrosios kredito rizikos koregavimai</w:t>
            </w:r>
          </w:p>
          <w:p w:rsidR="004357B9" w:rsidRPr="00392FFD" w:rsidRDefault="004357B9" w:rsidP="00D82B60">
            <w:pPr>
              <w:rPr>
                <w:rFonts w:ascii="Times New Roman" w:hAnsi="Times New Roman"/>
                <w:b/>
                <w:sz w:val="24"/>
                <w:u w:val="single"/>
              </w:rPr>
            </w:pPr>
            <w:r>
              <w:rPr>
                <w:rFonts w:ascii="Times New Roman" w:hAnsi="Times New Roman"/>
                <w:sz w:val="24"/>
              </w:rPr>
              <w:t xml:space="preserve">Kredito rizikos koregavimai pagal KRR 110 straipsnį.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Specifinės kredito rizikos koregavimai</w:t>
            </w:r>
          </w:p>
          <w:p w:rsidR="004357B9" w:rsidRPr="00392FFD" w:rsidRDefault="004357B9" w:rsidP="004357B9">
            <w:pPr>
              <w:rPr>
                <w:rFonts w:ascii="Times New Roman" w:hAnsi="Times New Roman"/>
                <w:b/>
                <w:sz w:val="24"/>
                <w:u w:val="single"/>
              </w:rPr>
            </w:pPr>
            <w:r>
              <w:rPr>
                <w:rFonts w:ascii="Times New Roman" w:hAnsi="Times New Roman"/>
                <w:sz w:val="24"/>
              </w:rPr>
              <w:t>Kredito rizikos koregavimai pagal KRR 110 straipsnį.</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Nurašymai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Nurašymai apima ir sumažėjusios vertės finansinio turto balansinės vertės sumažinimą, pripažįstamą tiesiogiai pelno (nuostolių) ataskaitoje [7-ojo TFAS B5 straipsnio d pun</w:t>
            </w:r>
            <w:r>
              <w:rPr>
                <w:rStyle w:val="InstructionsTabelleText"/>
                <w:rFonts w:ascii="Times New Roman" w:hAnsi="Times New Roman"/>
                <w:sz w:val="24"/>
              </w:rPr>
              <w:t>k</w:t>
            </w:r>
            <w:r>
              <w:rPr>
                <w:rStyle w:val="InstructionsTabelleText"/>
                <w:rFonts w:ascii="Times New Roman" w:hAnsi="Times New Roman"/>
                <w:sz w:val="24"/>
              </w:rPr>
              <w:t>to i papunktis], ir rezervinių sąskaitų sumų sumažinimą dėl sumažėjusios finansinio turto vertės [7-ojo TFAS B5 straipsnio d punkto ii papunktis].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Kredito rizikos koregavimai / nurašymai pastebėtais naujais įsipareigojimų ne</w:t>
            </w:r>
            <w:r>
              <w:rPr>
                <w:rFonts w:ascii="Times New Roman" w:hAnsi="Times New Roman"/>
                <w:b/>
                <w:sz w:val="24"/>
                <w:u w:val="single"/>
              </w:rPr>
              <w:t>į</w:t>
            </w:r>
            <w:r>
              <w:rPr>
                <w:rFonts w:ascii="Times New Roman" w:hAnsi="Times New Roman"/>
                <w:b/>
                <w:sz w:val="24"/>
                <w:u w:val="single"/>
              </w:rPr>
              <w:t>vykdymo atvejais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Kredito rizikos koregavimų ir nurašymų suma, apimanti pozicijas, priskirtas prie poz</w:t>
            </w:r>
            <w:r>
              <w:rPr>
                <w:rStyle w:val="InstructionsTabelleText"/>
                <w:rFonts w:ascii="Times New Roman" w:hAnsi="Times New Roman"/>
                <w:sz w:val="24"/>
              </w:rPr>
              <w:t>i</w:t>
            </w:r>
            <w:r>
              <w:rPr>
                <w:rStyle w:val="InstructionsTabelleText"/>
                <w:rFonts w:ascii="Times New Roman" w:hAnsi="Times New Roman"/>
                <w:sz w:val="24"/>
              </w:rPr>
              <w:t>cijų klasės „pozicijos esant įsipareigojimų neįvykdymui“ per 3 mėnesius nuo paskut</w:t>
            </w:r>
            <w:r>
              <w:rPr>
                <w:rStyle w:val="InstructionsTabelleText"/>
                <w:rFonts w:ascii="Times New Roman" w:hAnsi="Times New Roman"/>
                <w:sz w:val="24"/>
              </w:rPr>
              <w:t>i</w:t>
            </w:r>
            <w:r>
              <w:rPr>
                <w:rStyle w:val="InstructionsTabelleText"/>
                <w:rFonts w:ascii="Times New Roman" w:hAnsi="Times New Roman"/>
                <w:sz w:val="24"/>
              </w:rPr>
              <w:t>nio duomenų pateikimo.</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VIDAUS REITINGŲ SISTEMA / PD, PRISKIRTA ĮSIPAREIGOJANČIOJO ASMENS RANGUI ARBA GRUPEI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IRB formos 010 skiltyje.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POZICIJŲ SVERTINIS LGD VIDURKIS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Ta pati apibrėžtis kaip CR IRB formos 230 ir 240 skiltyse: pozicijų svertinis LGD v</w:t>
            </w:r>
            <w:r>
              <w:rPr>
                <w:rStyle w:val="InstructionsTabelleText"/>
                <w:rFonts w:ascii="Times New Roman" w:hAnsi="Times New Roman"/>
                <w:sz w:val="24"/>
              </w:rPr>
              <w:t>i</w:t>
            </w:r>
            <w:r>
              <w:rPr>
                <w:rStyle w:val="InstructionsTabelleText"/>
                <w:rFonts w:ascii="Times New Roman" w:hAnsi="Times New Roman"/>
                <w:sz w:val="24"/>
              </w:rPr>
              <w:t>durkis (%) apima visas pozicijas, įskaitant stambių finansų sektoriaus subjektų ir ner</w:t>
            </w:r>
            <w:r>
              <w:rPr>
                <w:rStyle w:val="InstructionsTabelleText"/>
                <w:rFonts w:ascii="Times New Roman" w:hAnsi="Times New Roman"/>
                <w:sz w:val="24"/>
              </w:rPr>
              <w:t>e</w:t>
            </w:r>
            <w:r>
              <w:rPr>
                <w:rStyle w:val="InstructionsTabelleText"/>
                <w:rFonts w:ascii="Times New Roman" w:hAnsi="Times New Roman"/>
                <w:sz w:val="24"/>
              </w:rPr>
              <w:t>guliuojamųjų finansų subjektų pozicijas. Taikomos KRR 181 straipsnio 1 dalies h punkto nuostatos.</w:t>
            </w:r>
          </w:p>
          <w:p w:rsidR="0042766A" w:rsidRPr="00392FFD" w:rsidRDefault="0042766A" w:rsidP="0042766A">
            <w:pPr>
              <w:rPr>
                <w:rFonts w:ascii="Times New Roman" w:hAnsi="Times New Roman"/>
                <w:b/>
                <w:sz w:val="24"/>
                <w:u w:val="single"/>
              </w:rPr>
            </w:pPr>
            <w:r>
              <w:rPr>
                <w:rFonts w:ascii="Times New Roman" w:hAnsi="Times New Roman"/>
                <w:sz w:val="24"/>
              </w:rPr>
              <w:t>Specializuoto skolinimo, nurodyto 153 straipsnio 5 dalyje, duomenų pateikti nereikia.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Iš jo: pozicijos esant įsipareigojimų neįvykdymui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Pozicijų, kurios pagal KRR 178 straipsnį buvo priskirtos prie pozicijų klasės „pozicijos esant įsipareigojimų neįvykdymui“, svertinis LGD vidurkis.</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Pozicijos vertė</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lastRenderedPageBreak/>
              <w:t>Ta pati apibrėžtis kaip CR IRB formos 110 skiltyje.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PAGAL RIZIKĄ ĮVERTINTŲ POZICIJŲ SUMA IKI MVĮ RĖMIMO KOEF</w:t>
            </w:r>
            <w:r>
              <w:rPr>
                <w:rFonts w:ascii="Times New Roman" w:hAnsi="Times New Roman"/>
                <w:b/>
                <w:sz w:val="24"/>
                <w:u w:val="single"/>
              </w:rPr>
              <w:t>I</w:t>
            </w:r>
            <w:r>
              <w:rPr>
                <w:rFonts w:ascii="Times New Roman" w:hAnsi="Times New Roman"/>
                <w:b/>
                <w:sz w:val="24"/>
                <w:u w:val="single"/>
              </w:rPr>
              <w:t>CIENTO TAIKYMO</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IRB formos 255 skiltyje.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Iš jos: pozicijos esant įsipareigojimų neįvykdymui</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Pozicijų, kurios pagal KRR 178 straipsnį buvo priskirtos prie pozicijų klasės „pozicijos esant įsipareigojimų neįvykdymui“, pagal riziką įvertintų pozicijų suma.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PAGAL RIZIKĄ ĮVERTINTŲ POZICIJŲ SUMA PRITAIKIUS MVĮ RĖMIMO KOEFICIENTĄ</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IRB formos 260 skiltyje.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TIKĖTINO NUOSTOLIO SUMA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IRB formos 280 skiltyje.</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Eilutės</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Centrinių bankų ir centrinės valdžios pozicijos </w:t>
            </w:r>
          </w:p>
          <w:p w:rsidR="004357B9" w:rsidRPr="00392FFD" w:rsidRDefault="004357B9" w:rsidP="004357B9">
            <w:pPr>
              <w:rPr>
                <w:rFonts w:ascii="Times New Roman" w:hAnsi="Times New Roman"/>
                <w:sz w:val="24"/>
              </w:rPr>
            </w:pPr>
            <w:r>
              <w:rPr>
                <w:rFonts w:ascii="Times New Roman" w:hAnsi="Times New Roman"/>
                <w:sz w:val="24"/>
              </w:rPr>
              <w:t>(KRR 147 straipsnio 2 dalies a punktas)</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Įstaigų pozicijos</w:t>
            </w:r>
          </w:p>
          <w:p w:rsidR="004357B9" w:rsidRPr="0023700C" w:rsidRDefault="004357B9" w:rsidP="004357B9">
            <w:pPr>
              <w:rPr>
                <w:rFonts w:ascii="Times New Roman" w:hAnsi="Times New Roman"/>
                <w:sz w:val="24"/>
              </w:rPr>
            </w:pPr>
            <w:r>
              <w:rPr>
                <w:rFonts w:ascii="Times New Roman" w:hAnsi="Times New Roman"/>
                <w:sz w:val="24"/>
              </w:rPr>
              <w:t>(KRR 147 straipsnio 2 dalies b punktas)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Įmonių pozicijos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(Visos įmonės pagal 147 straipsnio 2 dalies c punktą)</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iš jų: specializuoto skolinimo pozicijos (išskyrus pozicijas, kurioms taikomi skir</w:t>
            </w:r>
            <w:r>
              <w:rPr>
                <w:rFonts w:ascii="Times New Roman" w:hAnsi="Times New Roman"/>
                <w:b/>
                <w:sz w:val="24"/>
                <w:u w:val="single"/>
              </w:rPr>
              <w:t>s</w:t>
            </w:r>
            <w:r>
              <w:rPr>
                <w:rFonts w:ascii="Times New Roman" w:hAnsi="Times New Roman"/>
                <w:b/>
                <w:sz w:val="24"/>
                <w:u w:val="single"/>
              </w:rPr>
              <w:t>tymo kriterijai)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(KRR 147 straipsnio 8 dalies a punktas)</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Specializuoto skolinimo, nurodyto 153 straipsnio 5 dalyje, duomenų pateikti nereikia.</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Iš jų: specializuoto skolinimo pozicijos, kurioms taikomi skirstymo kriterijai</w:t>
            </w:r>
          </w:p>
          <w:p w:rsidR="000E093A" w:rsidRPr="00392FFD" w:rsidRDefault="000E093A" w:rsidP="00FD54FC">
            <w:pPr>
              <w:rPr>
                <w:rFonts w:ascii="Times New Roman" w:hAnsi="Times New Roman"/>
                <w:b/>
                <w:sz w:val="24"/>
                <w:u w:val="single"/>
              </w:rPr>
            </w:pPr>
            <w:r>
              <w:rPr>
                <w:rFonts w:ascii="Times New Roman" w:hAnsi="Times New Roman"/>
                <w:sz w:val="24"/>
              </w:rPr>
              <w:t>KRR 147 straipsnio 8 dalies a punktas ir 153 straipsnio 5 dalis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Iš jų: MVĮ pozicijos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(KRR 147 straipsnio 2 dalies c punktas)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Mažmeninės pozicijos</w:t>
            </w:r>
          </w:p>
          <w:p w:rsidR="004357B9" w:rsidRPr="00392FFD" w:rsidRDefault="004357B9" w:rsidP="004357B9">
            <w:pPr>
              <w:rPr>
                <w:rFonts w:ascii="Times New Roman" w:hAnsi="Times New Roman"/>
                <w:sz w:val="24"/>
              </w:rPr>
            </w:pPr>
            <w:r>
              <w:rPr>
                <w:rFonts w:ascii="Times New Roman" w:hAnsi="Times New Roman"/>
                <w:sz w:val="24"/>
              </w:rPr>
              <w:t>Visos mažmeninės pozicijos pagal 147 straipsnio 2 dalies d punktą.</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Mažmeninės pozicijos: užtikrintos nekilnojamuoju turtu pozicijos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lastRenderedPageBreak/>
              <w:t>Pozicijos pagal KRR 147 straipsnio 2 dalies d punktą, užtikrintos nekilnojamuoju turtu.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MVĮ pozicijos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Mažmeninės pozicijos pagal KRR 147 straipsnio 2 dalies d punktą ir 153 straipsnio 3 dalį, užtikrintos nekilnojamuoju turtu.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Ne MVĮ pozicijos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Mažmeninės pozicijos pagal KRR 147 straipsnio 2 dalies d punktą, užtikrintos nekiln</w:t>
            </w:r>
            <w:r>
              <w:rPr>
                <w:rFonts w:ascii="Times New Roman" w:hAnsi="Times New Roman"/>
                <w:sz w:val="24"/>
              </w:rPr>
              <w:t>o</w:t>
            </w:r>
            <w:r>
              <w:rPr>
                <w:rFonts w:ascii="Times New Roman" w:hAnsi="Times New Roman"/>
                <w:sz w:val="24"/>
              </w:rPr>
              <w:t>jamuoju turtu.</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Mažmeninės pozicijos: reikalavimus atitinkančios atnaujinamosios pozicijos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(KRR 147 straipsnio 2 dalies d punktas ir 154 straipsnio 4 dalis).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Kitos mažmeninės pozicijos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Kitos, 070–100 eilutėse nenurodytos, mažmeninės pozicijos pagal KRR 147 straipsnio 2 dalies d punktą.</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MVĮ pozicijos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Kitos mažmeninės pozicijos pagal KRR 147 straipsnio 2 dalies d punktą ir 153 straip</w:t>
            </w:r>
            <w:r>
              <w:rPr>
                <w:rFonts w:ascii="Times New Roman" w:hAnsi="Times New Roman"/>
                <w:sz w:val="24"/>
              </w:rPr>
              <w:t>s</w:t>
            </w:r>
            <w:r>
              <w:rPr>
                <w:rFonts w:ascii="Times New Roman" w:hAnsi="Times New Roman"/>
                <w:sz w:val="24"/>
              </w:rPr>
              <w:t>nio 3 punktą.</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Ne MVĮ pozicijos</w:t>
            </w:r>
          </w:p>
          <w:p w:rsidR="004357B9" w:rsidRPr="00392FFD" w:rsidRDefault="004357B9" w:rsidP="004357B9">
            <w:pPr>
              <w:rPr>
                <w:rFonts w:ascii="Times New Roman" w:hAnsi="Times New Roman"/>
                <w:sz w:val="24"/>
              </w:rPr>
            </w:pPr>
            <w:r>
              <w:rPr>
                <w:rFonts w:ascii="Times New Roman" w:hAnsi="Times New Roman"/>
                <w:sz w:val="24"/>
              </w:rPr>
              <w:t>Kitos mažmeninės pozicijos pagal KRR 147 straipsnio 2 dalies d punktą.</w:t>
            </w:r>
          </w:p>
        </w:tc>
      </w:tr>
      <w:bookmarkEnd w:id="384"/>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Nuosavybės vertybinių popierių pozicijos</w:t>
            </w:r>
          </w:p>
          <w:p w:rsidR="004357B9" w:rsidRPr="00392FFD" w:rsidRDefault="004357B9" w:rsidP="004357B9">
            <w:pPr>
              <w:rPr>
                <w:rFonts w:ascii="Times New Roman" w:hAnsi="Times New Roman"/>
                <w:b/>
                <w:sz w:val="24"/>
                <w:u w:val="single"/>
              </w:rPr>
            </w:pPr>
            <w:r>
              <w:rPr>
                <w:rFonts w:ascii="Times New Roman" w:hAnsi="Times New Roman"/>
                <w:sz w:val="24"/>
              </w:rPr>
              <w:t>Nuosavybės vertybinių popierių pozicijos pagal KRR 147 straipsnio 2 dalies e punktą.</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Bendra pozicijų suma</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4010060"/>
      <w:r>
        <w:rPr>
          <w:rFonts w:ascii="Times New Roman" w:hAnsi="Times New Roman"/>
          <w:sz w:val="24"/>
          <w:u w:val="none"/>
        </w:rPr>
        <w:t>3.4.3.</w:t>
      </w:r>
      <w:r>
        <w:tab/>
      </w:r>
      <w:r>
        <w:rPr>
          <w:rFonts w:ascii="Times New Roman" w:hAnsi="Times New Roman"/>
          <w:sz w:val="24"/>
        </w:rPr>
        <w:t>C 09.04. Kredito pozicijų, kurios svarbios apskaičiuojant anticiklinį kapitalo rezervą, suskirstymas pagal šalį ir įstaigos specialaus anticiklinio kapitalo rezervo norma</w:t>
      </w:r>
      <w:bookmarkEnd w:id="393"/>
      <w:r>
        <w:rPr>
          <w:rFonts w:ascii="Times New Roman" w:hAnsi="Times New Roman"/>
          <w:sz w:val="24"/>
        </w:rPr>
        <w:t xml:space="preserve"> (CCB)</w:t>
      </w:r>
      <w:bookmarkEnd w:id="394"/>
      <w:bookmarkEnd w:id="395"/>
      <w:bookmarkEnd w:id="396"/>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4010061"/>
      <w:r>
        <w:rPr>
          <w:rFonts w:ascii="Times New Roman" w:hAnsi="Times New Roman"/>
          <w:sz w:val="24"/>
          <w:u w:val="none"/>
        </w:rPr>
        <w:t>3.4.3.1.</w:t>
      </w:r>
      <w:r>
        <w:tab/>
      </w:r>
      <w:r>
        <w:rPr>
          <w:rFonts w:ascii="Times New Roman" w:hAnsi="Times New Roman"/>
          <w:sz w:val="24"/>
        </w:rPr>
        <w:t>Bendrosios pastabos</w:t>
      </w:r>
      <w:bookmarkEnd w:id="397"/>
      <w:bookmarkEnd w:id="398"/>
      <w:bookmarkEnd w:id="399"/>
      <w:bookmarkEnd w:id="400"/>
    </w:p>
    <w:p w:rsidR="00430F6F" w:rsidRPr="00392FFD" w:rsidRDefault="00125707" w:rsidP="00C37B29">
      <w:pPr>
        <w:pStyle w:val="InstructionsText2"/>
        <w:numPr>
          <w:ilvl w:val="0"/>
          <w:numId w:val="0"/>
        </w:numPr>
        <w:ind w:left="993"/>
      </w:pPr>
      <w:r>
        <w:t>82.</w:t>
      </w:r>
      <w:r>
        <w:tab/>
        <w:t>Šia lentele siekiama surinkti daugiau informacijos apie įstaigos specialaus ant</w:t>
      </w:r>
      <w:r>
        <w:t>i</w:t>
      </w:r>
      <w:r>
        <w:t xml:space="preserve">ciklinio kapitalo rezervo elementus. Privaloma pateikti informacija yra susijusi su nuosavų lėšų reikalavimais, nustatytais pagal KRR trečios dalies II ir IV antraštines dalis kredito pozicijoms, pakeitimo vertybiniais popieriais pozicijoms ir prekybos knygos pozicijoms, kurios yra svarbios apskaičiuojant įstaigos specialų anticiklinį kapitalo rezervą (CCB) pagal KRD 140 straipsnį, ir tų pozicijų (atitinkamų kredito pozicijų) geografine vieta. </w:t>
      </w:r>
    </w:p>
    <w:p w:rsidR="00430F6F" w:rsidRPr="00392FFD" w:rsidRDefault="00125707" w:rsidP="00C37B29">
      <w:pPr>
        <w:pStyle w:val="InstructionsText2"/>
        <w:numPr>
          <w:ilvl w:val="0"/>
          <w:numId w:val="0"/>
        </w:numPr>
        <w:ind w:left="993"/>
      </w:pPr>
      <w:r>
        <w:t>83.</w:t>
      </w:r>
      <w:r>
        <w:tab/>
        <w:t>C 09.04 formoje pateikiama informacija apie visas atitinkamas kredito pozic</w:t>
      </w:r>
      <w:r>
        <w:t>i</w:t>
      </w:r>
      <w:r>
        <w:t>jas visose tam tikrą jurisdikciją turinčiose teritorijose, kuriose šios pozicijos yra, taip pat atskirai pagal kiekvieną jurisdikciją turinčią teritoriją, kurioje yra atitink</w:t>
      </w:r>
      <w:r>
        <w:t>a</w:t>
      </w:r>
      <w:r>
        <w:lastRenderedPageBreak/>
        <w:t>mos kredito pozicijos. Bendros sumos ir informacija apie kiekvieną jurisdikciją t</w:t>
      </w:r>
      <w:r>
        <w:t>u</w:t>
      </w:r>
      <w:r>
        <w:t xml:space="preserve">rinčią teritoriją yra nurodomos skirtingu aspektu. </w:t>
      </w:r>
    </w:p>
    <w:p w:rsidR="007463E2" w:rsidRPr="00392FFD" w:rsidRDefault="00125707" w:rsidP="00C37B29">
      <w:pPr>
        <w:pStyle w:val="InstructionsText2"/>
        <w:numPr>
          <w:ilvl w:val="0"/>
          <w:numId w:val="0"/>
        </w:numPr>
        <w:ind w:left="993"/>
      </w:pPr>
      <w:r>
        <w:t>84.</w:t>
      </w:r>
      <w:r>
        <w:tab/>
        <w:t>Informaciją pateikiant pagal šį suskirstymą šio reglamento 5 straipsnio a pun</w:t>
      </w:r>
      <w:r>
        <w:t>k</w:t>
      </w:r>
      <w:r>
        <w:t>to 4 papunktyje nustatyta riba netaikoma.</w:t>
      </w:r>
    </w:p>
    <w:p w:rsidR="005A7CA9" w:rsidRPr="00392FFD" w:rsidRDefault="00125707" w:rsidP="00C37B29">
      <w:pPr>
        <w:pStyle w:val="InstructionsText2"/>
        <w:numPr>
          <w:ilvl w:val="0"/>
          <w:numId w:val="0"/>
        </w:numPr>
        <w:ind w:left="993"/>
      </w:pPr>
      <w:r>
        <w:t>85.</w:t>
      </w:r>
      <w:r>
        <w:tab/>
        <w:t>Siekiant nustatyti geografinę vietą, pozicijos paskirstomos tiesioginio įsipare</w:t>
      </w:r>
      <w:r>
        <w:t>i</w:t>
      </w:r>
      <w:r>
        <w:t>gojančiojo asmens pagrindu, kaip numatyta 2014 m. birželio 4 d. Komisijos del</w:t>
      </w:r>
      <w:r>
        <w:t>e</w:t>
      </w:r>
      <w:r>
        <w:t>guotajame reglamente (ES) Nr. 1152/2014 dėl techninių reguliavimo standartų, s</w:t>
      </w:r>
      <w:r>
        <w:t>u</w:t>
      </w:r>
      <w:r>
        <w:t>sijusių su atitinkamų kredito pozicijų geografinės vietos nustatymu siekiant apska</w:t>
      </w:r>
      <w:r>
        <w:t>i</w:t>
      </w:r>
      <w:r>
        <w:t>čiuoti įstaigos specialaus anticiklinio rezervo normas. Todėl teikiant šioje formoje nurodytą informaciją pozicijos priskyrimas geografinei vietai dėl KRM metodų n</w:t>
      </w:r>
      <w:r>
        <w:t>e</w:t>
      </w:r>
      <w:r>
        <w:t>sikeičia.</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4010062"/>
      <w:r>
        <w:rPr>
          <w:rFonts w:ascii="Times New Roman" w:hAnsi="Times New Roman"/>
          <w:sz w:val="24"/>
          <w:u w:val="none"/>
        </w:rPr>
        <w:t>3.4.3.2.</w:t>
      </w:r>
      <w:r>
        <w:tab/>
      </w:r>
      <w:r>
        <w:rPr>
          <w:rFonts w:ascii="Times New Roman" w:hAnsi="Times New Roman"/>
          <w:sz w:val="24"/>
        </w:rPr>
        <w:t>Nurodymai dėl konkrečių pozicijų</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Skiltys</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Suma</w:t>
            </w:r>
          </w:p>
          <w:p w:rsidR="00154859" w:rsidRPr="00392FFD" w:rsidRDefault="006E3440" w:rsidP="00535A98">
            <w:pPr>
              <w:rPr>
                <w:rFonts w:ascii="Times New Roman" w:hAnsi="Times New Roman"/>
                <w:b/>
                <w:sz w:val="24"/>
                <w:u w:val="single"/>
              </w:rPr>
            </w:pPr>
            <w:r>
              <w:rPr>
                <w:rFonts w:ascii="Times New Roman" w:hAnsi="Times New Roman"/>
                <w:sz w:val="24"/>
              </w:rPr>
              <w:t>Atitinkamų kredito pozicijų vertė ir su jomis siejami nuosavų lėšų reikalavimai, nustatyti pagal atitinkamai eilutei skirtus nurodymus.</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Procentinė dalis</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Kokybinė informacija</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 xml:space="preserve">Ši informacija teikiama tik apie įstaigos įsisteigimo šalį (buveinės valstybę narę atitinkančią jurisdikciją turinčią teritoriją) ir nurodoma kaip visų šalių „Bendra suma“.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Įstaigos nurodo {y} arba {n} pagal atitinkamai eilutei skirtus nurodymus.</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Eilutės</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Atitinkamos kredito pozicijos. Kredito rizika</w:t>
            </w:r>
          </w:p>
          <w:p w:rsidR="00BD5485" w:rsidRPr="00392FFD" w:rsidRDefault="00BD5485" w:rsidP="00BD5485">
            <w:pPr>
              <w:rPr>
                <w:rFonts w:ascii="Times New Roman" w:hAnsi="Times New Roman"/>
                <w:b/>
                <w:sz w:val="24"/>
                <w:u w:val="single"/>
              </w:rPr>
            </w:pPr>
            <w:r>
              <w:rPr>
                <w:rFonts w:ascii="Times New Roman" w:hAnsi="Times New Roman"/>
                <w:sz w:val="24"/>
              </w:rPr>
              <w:t>Atitinkamos kredito pozicijos, apibrėžtos pagal KRD 140 straipsnio 4 dalies a punktą.</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Pozicijos vertė pagal standartizuotą metodą</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Atitinkamų kredito pozicijų, apibrėžtų pagal KRD 140 straipsnio 4 dalies a pun</w:t>
            </w:r>
            <w:r>
              <w:rPr>
                <w:rFonts w:ascii="Times New Roman" w:hAnsi="Times New Roman"/>
                <w:sz w:val="24"/>
              </w:rPr>
              <w:t>k</w:t>
            </w:r>
            <w:r>
              <w:rPr>
                <w:rFonts w:ascii="Times New Roman" w:hAnsi="Times New Roman"/>
                <w:sz w:val="24"/>
              </w:rPr>
              <w:t xml:space="preserve">tą, pozicijos vertė, nustatyta pagal KRR 111 straipsnį.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Pakeitimo vertybiniais popieriais pozicijų bankinėje knygoje vertė pagal standa</w:t>
            </w:r>
            <w:r>
              <w:rPr>
                <w:rFonts w:ascii="Times New Roman" w:hAnsi="Times New Roman"/>
                <w:sz w:val="24"/>
              </w:rPr>
              <w:t>r</w:t>
            </w:r>
            <w:r>
              <w:rPr>
                <w:rFonts w:ascii="Times New Roman" w:hAnsi="Times New Roman"/>
                <w:sz w:val="24"/>
              </w:rPr>
              <w:t>tizuotą metodą į šią eilutę neįtraukiama, bet nurodoma 050 eilutėje.</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Pozicijos vertė pagal IRB metodą</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Atitinkamų kredito pozicijų, apibrėžtų pagal KRD 140 straipsnio 4 dalies a pun</w:t>
            </w:r>
            <w:r>
              <w:rPr>
                <w:rFonts w:ascii="Times New Roman" w:hAnsi="Times New Roman"/>
                <w:sz w:val="24"/>
              </w:rPr>
              <w:t>k</w:t>
            </w:r>
            <w:r>
              <w:rPr>
                <w:rFonts w:ascii="Times New Roman" w:hAnsi="Times New Roman"/>
                <w:sz w:val="24"/>
              </w:rPr>
              <w:lastRenderedPageBreak/>
              <w:t xml:space="preserve">tą, pozicijos vertė, nustatyta pagal KRR 166 straipsnį. </w:t>
            </w:r>
          </w:p>
          <w:p w:rsidR="00BD5485" w:rsidRPr="00392FFD" w:rsidRDefault="00BD5485" w:rsidP="00BD5485">
            <w:pPr>
              <w:rPr>
                <w:rFonts w:ascii="Times New Roman" w:hAnsi="Times New Roman"/>
                <w:b/>
                <w:bCs/>
                <w:sz w:val="24"/>
                <w:u w:val="single"/>
              </w:rPr>
            </w:pPr>
            <w:r>
              <w:rPr>
                <w:rFonts w:ascii="Times New Roman" w:hAnsi="Times New Roman"/>
                <w:sz w:val="24"/>
              </w:rPr>
              <w:t>Pakeitimo vertybiniais popieriais pozicijų bankinėje knygoje vertė pagal IRB m</w:t>
            </w:r>
            <w:r>
              <w:rPr>
                <w:rFonts w:ascii="Times New Roman" w:hAnsi="Times New Roman"/>
                <w:sz w:val="24"/>
              </w:rPr>
              <w:t>e</w:t>
            </w:r>
            <w:r>
              <w:rPr>
                <w:rFonts w:ascii="Times New Roman" w:hAnsi="Times New Roman"/>
                <w:sz w:val="24"/>
              </w:rPr>
              <w:t>todą į šią eilutę neįtraukiama, bet nurodoma 060 eilutėje.</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Atitinkamos kredito pozicijos. Rinkos rizika</w:t>
            </w:r>
          </w:p>
          <w:p w:rsidR="00BD5485" w:rsidRPr="00392FFD" w:rsidRDefault="00BD5485" w:rsidP="00BD5485">
            <w:pPr>
              <w:rPr>
                <w:rFonts w:ascii="Times New Roman" w:hAnsi="Times New Roman"/>
                <w:b/>
                <w:bCs/>
                <w:sz w:val="24"/>
                <w:u w:val="single"/>
              </w:rPr>
            </w:pPr>
            <w:r>
              <w:rPr>
                <w:rFonts w:ascii="Times New Roman" w:hAnsi="Times New Roman"/>
                <w:sz w:val="24"/>
              </w:rPr>
              <w:t>Atitinkamos kredito pozicijos, apibrėžtos pagal KRD 140 straipsnio 4 dalies b punktą.</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Prekybos knygos ilgųjų ir trumpųjų pozicijų suma standartizuotiems met</w:t>
            </w:r>
            <w:r>
              <w:rPr>
                <w:rFonts w:ascii="Times New Roman" w:hAnsi="Times New Roman"/>
                <w:b/>
                <w:sz w:val="24"/>
                <w:u w:val="single"/>
              </w:rPr>
              <w:t>o</w:t>
            </w:r>
            <w:r>
              <w:rPr>
                <w:rFonts w:ascii="Times New Roman" w:hAnsi="Times New Roman"/>
                <w:b/>
                <w:sz w:val="24"/>
                <w:u w:val="single"/>
              </w:rPr>
              <w:t>dams</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Toliau nurodytų atitinkamų kredito pozicijų, apibrėžtų pagal KRD 140 straipsnio 4 dalies b punktą, vadovaujantis KRR trečios dalies IV antraštinės dalies 2 sk</w:t>
            </w:r>
            <w:r>
              <w:rPr>
                <w:rFonts w:ascii="Times New Roman" w:hAnsi="Times New Roman"/>
                <w:sz w:val="24"/>
              </w:rPr>
              <w:t>y</w:t>
            </w:r>
            <w:r>
              <w:rPr>
                <w:rFonts w:ascii="Times New Roman" w:hAnsi="Times New Roman"/>
                <w:sz w:val="24"/>
              </w:rPr>
              <w:t xml:space="preserve">riumi, grynųjų ilgųjų ir grynųjų trumpųjų pozicijų suma pagal KRR 327 straipsnį: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skolos priemonių pozicijų, kurios nėra pakeitimo vertybiniais popieriais poz</w:t>
            </w:r>
            <w:r>
              <w:rPr>
                <w:rFonts w:ascii="Times New Roman" w:hAnsi="Times New Roman"/>
                <w:sz w:val="24"/>
              </w:rPr>
              <w:t>i</w:t>
            </w:r>
            <w:r>
              <w:rPr>
                <w:rFonts w:ascii="Times New Roman" w:hAnsi="Times New Roman"/>
                <w:sz w:val="24"/>
              </w:rPr>
              <w:t xml:space="preserve">cijos,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pakeitimo vertybiniais popieriais pozicijų prekybos knygoje,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koreliacinės prekybos portfelių pozicijų,</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nuosavybės vertybinių popierių pozicijų ir</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KIS pozicijų, jeigu kapitalo reikalavimai yra apskaičiuojami pagal KRR 348 straipsnį.</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Prekybos knygos pozicijų vertė pagal vidaus modelių metodus</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Atitinkamoms kredito pozicijoms, apibrėžtoms pagal KRD 140 straipsnio 4 dalies b punktą, vadovaujantis KRR trečios dalies IV antraštinės dalies 2 ir 5 skyriais, nurodoma šių elementų suma:</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ne išvestinių finansinių priemonių pozicijų, kurios yra atitinkamos kredito p</w:t>
            </w:r>
            <w:r>
              <w:rPr>
                <w:rFonts w:ascii="Times New Roman" w:hAnsi="Times New Roman"/>
                <w:sz w:val="24"/>
              </w:rPr>
              <w:t>o</w:t>
            </w:r>
            <w:r>
              <w:rPr>
                <w:rFonts w:ascii="Times New Roman" w:hAnsi="Times New Roman"/>
                <w:sz w:val="24"/>
              </w:rPr>
              <w:t>zicijos, kaip apibrėžta KRD 140 straipsnio 4 dalies b punkte, nustatytos pagal KRR 104 straipsnį, tikrosios vertės;</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išvestinių finansinių priemonių, kurios yra atitinkamos kredito pozicijos, kaip apibrėžta pagal KRD 140 straipsnio 4 dalies b punktą, tariamosios vertės.</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Atitinkamos kredito pozicijos. Pakeitimo vertybiniais popieriais pozicijos bankinėje knygoje</w:t>
            </w:r>
          </w:p>
          <w:p w:rsidR="00BD5485" w:rsidRPr="00392FFD" w:rsidRDefault="00BD5485" w:rsidP="00BD5485">
            <w:pPr>
              <w:rPr>
                <w:rFonts w:ascii="Times New Roman" w:hAnsi="Times New Roman"/>
                <w:b/>
                <w:bCs/>
                <w:sz w:val="24"/>
                <w:u w:val="single"/>
              </w:rPr>
            </w:pPr>
            <w:r>
              <w:rPr>
                <w:rFonts w:ascii="Times New Roman" w:hAnsi="Times New Roman"/>
                <w:sz w:val="24"/>
              </w:rPr>
              <w:t>Atitinkamos kredito pozicijos, apibrėžtos pagal KRD 140 straipsnio 4 dalies c punktą.</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Pakeitimo vertybiniais popieriais pozicijų bankinėje knygoje pozicijos vertė pagal standartizuotą metodą</w:t>
            </w:r>
          </w:p>
          <w:p w:rsidR="00BD5485" w:rsidRPr="00392FFD" w:rsidRDefault="00BD5485" w:rsidP="00BD5485">
            <w:pPr>
              <w:rPr>
                <w:rFonts w:ascii="Times New Roman" w:hAnsi="Times New Roman"/>
                <w:b/>
                <w:bCs/>
                <w:sz w:val="24"/>
                <w:u w:val="single"/>
              </w:rPr>
            </w:pPr>
            <w:r>
              <w:rPr>
                <w:rFonts w:ascii="Times New Roman" w:hAnsi="Times New Roman"/>
                <w:sz w:val="24"/>
              </w:rPr>
              <w:t>Atitinkamų kredito pozicijų, apibrėžtų pagal KRD 140 straipsnio 4 dalies c pun</w:t>
            </w:r>
            <w:r>
              <w:rPr>
                <w:rFonts w:ascii="Times New Roman" w:hAnsi="Times New Roman"/>
                <w:sz w:val="24"/>
              </w:rPr>
              <w:t>k</w:t>
            </w:r>
            <w:r>
              <w:rPr>
                <w:rFonts w:ascii="Times New Roman" w:hAnsi="Times New Roman"/>
                <w:sz w:val="24"/>
              </w:rPr>
              <w:t xml:space="preserve">tą, pozicijos vertė, nustatyta pagal KRR 246 straipsnį.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Pakeitimo vertybiniais popieriais pozicijų bankinėje knygoje pozicijos vertė pagal IRB metodą</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Atitinkamų kredito pozicijų, apibrėžtų pagal KRD 140 straipsnio 4 dalies c pun</w:t>
            </w:r>
            <w:r>
              <w:rPr>
                <w:rFonts w:ascii="Times New Roman" w:hAnsi="Times New Roman"/>
                <w:sz w:val="24"/>
              </w:rPr>
              <w:t>k</w:t>
            </w:r>
            <w:r>
              <w:rPr>
                <w:rFonts w:ascii="Times New Roman" w:hAnsi="Times New Roman"/>
                <w:sz w:val="24"/>
              </w:rPr>
              <w:t xml:space="preserve">tą, pozicijos vertė, nustatyta pagal KRR 246 straipsnį.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Nuosavų lėšų reikalavimai ir koeficientai</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Bendra nuosavų lėšų reikalavimų suma CCB</w:t>
            </w:r>
          </w:p>
          <w:p w:rsidR="00BD5485" w:rsidRPr="00392FFD" w:rsidRDefault="00BD5485" w:rsidP="00BD5485">
            <w:pPr>
              <w:rPr>
                <w:rFonts w:ascii="Times New Roman" w:hAnsi="Times New Roman"/>
                <w:b/>
                <w:bCs/>
                <w:sz w:val="24"/>
                <w:u w:val="single"/>
              </w:rPr>
            </w:pPr>
            <w:r>
              <w:rPr>
                <w:rFonts w:ascii="Times New Roman" w:hAnsi="Times New Roman"/>
                <w:sz w:val="24"/>
              </w:rPr>
              <w:t>Nurodoma 080, 090 ir 100 eilučių suma.</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Nuosavų lėšų reikalavimai </w:t>
            </w:r>
            <w:r>
              <w:rPr>
                <w:rFonts w:ascii="Times New Roman" w:hAnsi="Times New Roman"/>
                <w:b/>
                <w:sz w:val="24"/>
                <w:u w:val="single"/>
              </w:rPr>
              <w:t xml:space="preserve">atitinkamoms kredito pozicijoms. Kredito rizika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Nuosavų lėšų reikalavimai, nustatyti pagal KRR trečios dalies II antraštinės dalies 1–4 skyrius ir 6 skyrių, atitinkamoms kredito pozicijoms, apibrėžtoms pagal KRD 140 straipsnio 4 dalies a punktą, atitinkamoje šalyje.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Nuosavų lėšų reikalavimai pakeitimo vertybiniais popieriais pozicijoms bankinėje knygoje į šią eilutę neįtraukiami, bet nurodomi 100 eilutėje.</w:t>
            </w:r>
          </w:p>
          <w:p w:rsidR="00BD5485" w:rsidRPr="00392FFD" w:rsidRDefault="00BD5485" w:rsidP="00255BA9">
            <w:pPr>
              <w:rPr>
                <w:rFonts w:ascii="Times New Roman" w:hAnsi="Times New Roman"/>
                <w:b/>
                <w:bCs/>
                <w:sz w:val="24"/>
                <w:u w:val="single"/>
              </w:rPr>
            </w:pPr>
            <w:r>
              <w:rPr>
                <w:rFonts w:ascii="Times New Roman" w:hAnsi="Times New Roman"/>
                <w:sz w:val="24"/>
              </w:rPr>
              <w:t>Nuosavų lėšų reikalavimai sudaro 8 % pagal riziką įvertintų pozicijų sumos, n</w:t>
            </w:r>
            <w:r>
              <w:rPr>
                <w:rFonts w:ascii="Times New Roman" w:hAnsi="Times New Roman"/>
                <w:sz w:val="24"/>
              </w:rPr>
              <w:t>u</w:t>
            </w:r>
            <w:r>
              <w:rPr>
                <w:rFonts w:ascii="Times New Roman" w:hAnsi="Times New Roman"/>
                <w:sz w:val="24"/>
              </w:rPr>
              <w:t>statytos pagal KRR trečios dalies II antraštinės dalies 1–4 skyrių ir 6 skyriaus nuostatas.</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Nuosavų lėšų reikalavimai </w:t>
            </w:r>
            <w:r>
              <w:rPr>
                <w:rFonts w:ascii="Times New Roman" w:hAnsi="Times New Roman"/>
                <w:b/>
                <w:sz w:val="24"/>
                <w:u w:val="single"/>
              </w:rPr>
              <w:t xml:space="preserve">atitinkamoms kredito pozicijoms. Rinkos rizika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Nuosavų lėšų reikalavimai, nustatyti pagal KRR trečios dalies IV antraštinės d</w:t>
            </w:r>
            <w:r>
              <w:rPr>
                <w:rFonts w:ascii="Times New Roman" w:hAnsi="Times New Roman"/>
                <w:sz w:val="24"/>
              </w:rPr>
              <w:t>a</w:t>
            </w:r>
            <w:r>
              <w:rPr>
                <w:rFonts w:ascii="Times New Roman" w:hAnsi="Times New Roman"/>
                <w:sz w:val="24"/>
              </w:rPr>
              <w:t>lies 2 skyrių specifinei rizikai arba pagal KRR trečios dalies IV antraštinės dalies 5 skyrių papildomai įsipareigojimų neįvykdymo ir pokyčių rizikai, taikomi atiti</w:t>
            </w:r>
            <w:r>
              <w:rPr>
                <w:rFonts w:ascii="Times New Roman" w:hAnsi="Times New Roman"/>
                <w:sz w:val="24"/>
              </w:rPr>
              <w:t>n</w:t>
            </w:r>
            <w:r>
              <w:rPr>
                <w:rFonts w:ascii="Times New Roman" w:hAnsi="Times New Roman"/>
                <w:sz w:val="24"/>
              </w:rPr>
              <w:t xml:space="preserve">kamoms kredito pozicijoms, apibrėžtoms pagal KRD 140 straipsnio 4 dalies b punktą, atitinkamoje šalyje.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Nuosavų lėšų reikalavimai atitinkamoms kredito pozicijoms pagal rinkos rizikos sistemą, be kita ko, apima nuosavų lėšų reikalavimus pakeitimo vertybiniais p</w:t>
            </w:r>
            <w:r>
              <w:rPr>
                <w:rFonts w:ascii="Times New Roman" w:hAnsi="Times New Roman"/>
                <w:sz w:val="24"/>
              </w:rPr>
              <w:t>o</w:t>
            </w:r>
            <w:r>
              <w:rPr>
                <w:rFonts w:ascii="Times New Roman" w:hAnsi="Times New Roman"/>
                <w:sz w:val="24"/>
              </w:rPr>
              <w:t>pieriais pozicijoms pagal KRR trečios dalies IV antraštinės dalies 2 skyrių ir nu</w:t>
            </w:r>
            <w:r>
              <w:rPr>
                <w:rFonts w:ascii="Times New Roman" w:hAnsi="Times New Roman"/>
                <w:sz w:val="24"/>
              </w:rPr>
              <w:t>o</w:t>
            </w:r>
            <w:r>
              <w:rPr>
                <w:rFonts w:ascii="Times New Roman" w:hAnsi="Times New Roman"/>
                <w:sz w:val="24"/>
              </w:rPr>
              <w:t>savų lėšų reikalavimus kolektyvinio investavimo subjektų pozicijoms, nustatytus pagal KRR 348 straipsnį.</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Nuosavų lėšų reikalavimai </w:t>
            </w:r>
            <w:r>
              <w:rPr>
                <w:rFonts w:ascii="Times New Roman" w:hAnsi="Times New Roman"/>
                <w:b/>
                <w:sz w:val="24"/>
                <w:u w:val="single"/>
              </w:rPr>
              <w:t>atitinkamoms kredito pozicijoms. Pakeitimo ve</w:t>
            </w:r>
            <w:r>
              <w:rPr>
                <w:rFonts w:ascii="Times New Roman" w:hAnsi="Times New Roman"/>
                <w:b/>
                <w:sz w:val="24"/>
                <w:u w:val="single"/>
              </w:rPr>
              <w:t>r</w:t>
            </w:r>
            <w:r>
              <w:rPr>
                <w:rFonts w:ascii="Times New Roman" w:hAnsi="Times New Roman"/>
                <w:b/>
                <w:sz w:val="24"/>
                <w:u w:val="single"/>
              </w:rPr>
              <w:t>tybiniais popieriais pozicijos bankinėje knygoje</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Nuosavų lėšų reikalavimai, nustatyti pagal KRR trečios dalies II antraštinės dalies 5 skyrių, atitinkamoms kredito pozicijoms, apibrėžtoms pagal KRD 140 straipsnio 4 dalies c punktą, atitinkamoje šalyje.</w:t>
            </w:r>
          </w:p>
          <w:p w:rsidR="00BD5485" w:rsidRPr="00392FFD" w:rsidRDefault="00BD5485" w:rsidP="00BD5485">
            <w:pPr>
              <w:rPr>
                <w:rFonts w:ascii="Times New Roman" w:hAnsi="Times New Roman"/>
                <w:b/>
                <w:bCs/>
                <w:sz w:val="24"/>
                <w:u w:val="single"/>
              </w:rPr>
            </w:pPr>
            <w:r>
              <w:rPr>
                <w:rFonts w:ascii="Times New Roman" w:hAnsi="Times New Roman"/>
                <w:sz w:val="24"/>
              </w:rPr>
              <w:t>Nuosavų lėšų reikalavimai sudaro 8 % pagal riziką įvertintų pozicijų sumos, n</w:t>
            </w:r>
            <w:r>
              <w:rPr>
                <w:rFonts w:ascii="Times New Roman" w:hAnsi="Times New Roman"/>
                <w:sz w:val="24"/>
              </w:rPr>
              <w:t>u</w:t>
            </w:r>
            <w:r>
              <w:rPr>
                <w:rFonts w:ascii="Times New Roman" w:hAnsi="Times New Roman"/>
                <w:sz w:val="24"/>
              </w:rPr>
              <w:t>statytos pagal KRR trečios dalies II antraštinės dalies 5 skyriaus nuostatas.</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Nuosavų lėšų reikalavimams taikomi koeficientai</w:t>
            </w:r>
          </w:p>
          <w:p w:rsidR="00966663" w:rsidRPr="00392FFD" w:rsidRDefault="00966663" w:rsidP="00966663">
            <w:pPr>
              <w:rPr>
                <w:rFonts w:ascii="Times New Roman" w:hAnsi="Times New Roman"/>
                <w:sz w:val="24"/>
              </w:rPr>
            </w:pPr>
            <w:r>
              <w:rPr>
                <w:rFonts w:ascii="Times New Roman" w:hAnsi="Times New Roman"/>
                <w:sz w:val="24"/>
              </w:rPr>
              <w:t>Anticiklinio kapitalo rezervo normai kiekvienoje šalyje taikomas koeficientas a</w:t>
            </w:r>
            <w:r>
              <w:rPr>
                <w:rFonts w:ascii="Times New Roman" w:hAnsi="Times New Roman"/>
                <w:sz w:val="24"/>
              </w:rPr>
              <w:t>p</w:t>
            </w:r>
            <w:r>
              <w:rPr>
                <w:rFonts w:ascii="Times New Roman" w:hAnsi="Times New Roman"/>
                <w:sz w:val="24"/>
              </w:rPr>
              <w:t>skaičiuojamas kaip nuosavų lėšų reikalavimų santykis, nustatomas taip:</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skaitiklis: bendra nuosavų lėšų reikalavimų suma, susijusi su atitinkam</w:t>
            </w:r>
            <w:r>
              <w:rPr>
                <w:rFonts w:ascii="Times New Roman" w:hAnsi="Times New Roman"/>
                <w:sz w:val="24"/>
              </w:rPr>
              <w:t>o</w:t>
            </w:r>
            <w:r>
              <w:rPr>
                <w:rFonts w:ascii="Times New Roman" w:hAnsi="Times New Roman"/>
                <w:sz w:val="24"/>
              </w:rPr>
              <w:t xml:space="preserve">mis kredito pozicijomis atitinkamoje šalyje [r070; c010 šalių duomenys],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vardiklis: bendra nuosavų lėšų reikalavimų suma, susijusi su visomis kr</w:t>
            </w:r>
            <w:r>
              <w:rPr>
                <w:rFonts w:ascii="Times New Roman" w:hAnsi="Times New Roman"/>
                <w:sz w:val="24"/>
              </w:rPr>
              <w:t>e</w:t>
            </w:r>
            <w:r>
              <w:rPr>
                <w:rFonts w:ascii="Times New Roman" w:hAnsi="Times New Roman"/>
                <w:sz w:val="24"/>
              </w:rPr>
              <w:t>dito pozicijomis, kurios yra svarbios apskaičiuojant anticiklinio kapitalo rezervo normą pagal KRD 140 straipsnio 4 dalį [r070; c010; „Bendra suma“].</w:t>
            </w:r>
          </w:p>
          <w:p w:rsidR="003B00F4" w:rsidRPr="00392FFD" w:rsidRDefault="003B00F4" w:rsidP="003B00F4">
            <w:pPr>
              <w:rPr>
                <w:rFonts w:ascii="Times New Roman" w:hAnsi="Times New Roman"/>
                <w:b/>
                <w:bCs/>
                <w:sz w:val="24"/>
                <w:u w:val="single"/>
              </w:rPr>
            </w:pPr>
            <w:r>
              <w:rPr>
                <w:rFonts w:ascii="Times New Roman" w:hAnsi="Times New Roman"/>
                <w:sz w:val="24"/>
              </w:rPr>
              <w:t>Informacija apie nuosavų lėšų reikalavimų koeficientus nenurodoma kaip visų š</w:t>
            </w:r>
            <w:r>
              <w:rPr>
                <w:rFonts w:ascii="Times New Roman" w:hAnsi="Times New Roman"/>
                <w:sz w:val="24"/>
              </w:rPr>
              <w:t>a</w:t>
            </w:r>
            <w:r>
              <w:rPr>
                <w:rFonts w:ascii="Times New Roman" w:hAnsi="Times New Roman"/>
                <w:sz w:val="24"/>
              </w:rPr>
              <w:t>lių „Bendra suma“.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Anticiklinio kapitalo rezervo normos</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Paskirtosios institucijos nustatyta anticiklinio kapitalo rezervo norma</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Anticiklinio kapitalo rezervo norma, nustatyta atitinkamai šaliai tos šalies paski</w:t>
            </w:r>
            <w:r>
              <w:rPr>
                <w:rFonts w:ascii="Times New Roman" w:hAnsi="Times New Roman"/>
                <w:sz w:val="24"/>
              </w:rPr>
              <w:t>r</w:t>
            </w:r>
            <w:r>
              <w:rPr>
                <w:rFonts w:ascii="Times New Roman" w:hAnsi="Times New Roman"/>
                <w:sz w:val="24"/>
              </w:rPr>
              <w:t>tosios institucijos pagal KRD 136, 137, 138 ir 139 straipsnius.</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Ši eilutė nepildoma, jeigu anticiklinio kapitalo rezervo normos atitinkamai šaliai tos šalies paskirtoji institucija nėra nustačiusi.</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Paskirtosios institucijos nustatytos anticiklinio kapitalo rezervo normos, kurios ataskaitinę dieną atitinkamoje šalyje dar nėra taikomos, nenurodomos.</w:t>
            </w:r>
          </w:p>
          <w:p w:rsidR="00966663" w:rsidRPr="00392FFD" w:rsidRDefault="00966663" w:rsidP="000E6835">
            <w:pPr>
              <w:rPr>
                <w:rFonts w:ascii="Times New Roman" w:hAnsi="Times New Roman"/>
                <w:b/>
                <w:bCs/>
                <w:sz w:val="24"/>
                <w:u w:val="single"/>
              </w:rPr>
            </w:pPr>
            <w:r>
              <w:rPr>
                <w:rFonts w:ascii="Times New Roman" w:hAnsi="Times New Roman"/>
                <w:sz w:val="24"/>
              </w:rPr>
              <w:t xml:space="preserve">Informacija apie paskirtosios institucijos nustatytą anticiklinio kapitalo rezervo normą nenurodoma kaip visų šalių „Bendra suma“.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Įstaigos šalyje taikoma anticiklinio kapitalo rezervo norma</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Atitinkamai šaliai taikoma anticiklinio kapitalo rezervo norma, nustatyta įstaigos įsisteigimo šalies paskirtosios institucijos pagal KRD 137, 138, 139 straipsnius ir 140 straipsnio 1, 2 ir 3 dalis. Anticiklinio kapitalo rezervo normos, kurios ataska</w:t>
            </w:r>
            <w:r>
              <w:rPr>
                <w:rFonts w:ascii="Times New Roman" w:hAnsi="Times New Roman"/>
                <w:sz w:val="24"/>
              </w:rPr>
              <w:t>i</w:t>
            </w:r>
            <w:r>
              <w:rPr>
                <w:rFonts w:ascii="Times New Roman" w:hAnsi="Times New Roman"/>
                <w:sz w:val="24"/>
              </w:rPr>
              <w:t>tinę dieną dar nėra taikomos, nenurodomos.</w:t>
            </w:r>
          </w:p>
          <w:p w:rsidR="00966663" w:rsidRPr="00392FFD" w:rsidRDefault="00966663" w:rsidP="00133107">
            <w:pPr>
              <w:rPr>
                <w:rFonts w:ascii="Times New Roman" w:hAnsi="Times New Roman"/>
                <w:b/>
                <w:bCs/>
                <w:sz w:val="24"/>
                <w:u w:val="single"/>
              </w:rPr>
            </w:pPr>
            <w:r>
              <w:rPr>
                <w:rFonts w:ascii="Times New Roman" w:hAnsi="Times New Roman"/>
                <w:sz w:val="24"/>
              </w:rPr>
              <w:t>Informacija apie įstaigos šalyje taikomą anticiklinio kapitalo rezervo normą nen</w:t>
            </w:r>
            <w:r>
              <w:rPr>
                <w:rFonts w:ascii="Times New Roman" w:hAnsi="Times New Roman"/>
                <w:sz w:val="24"/>
              </w:rPr>
              <w:t>u</w:t>
            </w:r>
            <w:r>
              <w:rPr>
                <w:rFonts w:ascii="Times New Roman" w:hAnsi="Times New Roman"/>
                <w:sz w:val="24"/>
              </w:rPr>
              <w:t>rodoma kaip visų šalių „Bendra suma“.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Įstaigos specialaus anticiklinio kapitalo rezervo norma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Įstaigos specialaus anticiklinio kapitalo rezervo norma, nustatyta pagal KRD 140 straipsnio 1 dalį.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Įstaigos specialaus anticiklinio kapitalo rezervo norma apskaičiuojama kaip ant</w:t>
            </w:r>
            <w:r>
              <w:rPr>
                <w:rFonts w:ascii="Times New Roman" w:hAnsi="Times New Roman"/>
                <w:sz w:val="24"/>
              </w:rPr>
              <w:t>i</w:t>
            </w:r>
            <w:r>
              <w:rPr>
                <w:rFonts w:ascii="Times New Roman" w:hAnsi="Times New Roman"/>
                <w:sz w:val="24"/>
              </w:rPr>
              <w:t>ciklinio kapitalo rezervo normų, taikomų jurisdikciją turinčiose teritorijose, kuri</w:t>
            </w:r>
            <w:r>
              <w:rPr>
                <w:rFonts w:ascii="Times New Roman" w:hAnsi="Times New Roman"/>
                <w:sz w:val="24"/>
              </w:rPr>
              <w:t>o</w:t>
            </w:r>
            <w:r>
              <w:rPr>
                <w:rFonts w:ascii="Times New Roman" w:hAnsi="Times New Roman"/>
                <w:sz w:val="24"/>
              </w:rPr>
              <w:t>se yra įstaigos atitinkamos kredito pozicijos, arba taikomų taikant KRD 140 straipsnį pagal KRD 139 straipsnio 2 arba 3 dalį, svertinis vidurkis. Atitinkama anticiklinio kapitalo rezervo norma nurodoma [r120; c020; šalių duomenys] arba [r130; c020; šalių duomenys], nelygu, koks atvejis.</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Kiekvienoje šalyje anticiklinio kapitalo rezervo normai taikomas koeficientas yra nuosavų lėšų reikalavimų dalis bendroje nuosavų lėšų reikalavimų sumoje ir yra nurodomas [r110; c020; šalių duomenys]. </w:t>
            </w:r>
          </w:p>
          <w:p w:rsidR="00966663" w:rsidRPr="00392FFD" w:rsidRDefault="00966663" w:rsidP="00B816A3">
            <w:pPr>
              <w:rPr>
                <w:rFonts w:ascii="Times New Roman" w:hAnsi="Times New Roman"/>
                <w:b/>
                <w:bCs/>
                <w:sz w:val="24"/>
                <w:u w:val="single"/>
              </w:rPr>
            </w:pPr>
            <w:r>
              <w:rPr>
                <w:rFonts w:ascii="Times New Roman" w:hAnsi="Times New Roman"/>
                <w:sz w:val="24"/>
              </w:rPr>
              <w:t>Informacija apie įstaigos specialaus anticiklinio kapitalo rezervo normą nurodoma tik kaip visų šalių „Bendra suma“, o ne atskirai pagal kiekvieną šalį.</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t>150 – 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2 % ribos naudojimas</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2 % ribos naudojimas bendrajai kredito pozicijai</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Pagal Komisijos deleguotojo reglamento (ES) Nr. 1152/2014 2 straipsnio 5 dalies b punktą užsienio bendrąsias pozicijas, kurių bendra suma neviršija 2 % tos įsta</w:t>
            </w:r>
            <w:r>
              <w:rPr>
                <w:rFonts w:ascii="Times New Roman" w:hAnsi="Times New Roman"/>
                <w:sz w:val="24"/>
              </w:rPr>
              <w:t>i</w:t>
            </w:r>
            <w:r>
              <w:rPr>
                <w:rFonts w:ascii="Times New Roman" w:hAnsi="Times New Roman"/>
                <w:sz w:val="24"/>
              </w:rPr>
              <w:t>gos bendrųjų kredito, prekybos knygos ir pakeitimo vertybiniais popieriais pozic</w:t>
            </w:r>
            <w:r>
              <w:rPr>
                <w:rFonts w:ascii="Times New Roman" w:hAnsi="Times New Roman"/>
                <w:sz w:val="24"/>
              </w:rPr>
              <w:t>i</w:t>
            </w:r>
            <w:r>
              <w:rPr>
                <w:rFonts w:ascii="Times New Roman" w:hAnsi="Times New Roman"/>
                <w:sz w:val="24"/>
              </w:rPr>
              <w:t>jų bendros sumos, galima priskirti įstaigos buveinės valstybei narei. Bendrųjų kredito, prekybos knygos ir pakeitimo vertybiniais popieriais pozicijų bendra s</w:t>
            </w:r>
            <w:r>
              <w:rPr>
                <w:rFonts w:ascii="Times New Roman" w:hAnsi="Times New Roman"/>
                <w:sz w:val="24"/>
              </w:rPr>
              <w:t>u</w:t>
            </w:r>
            <w:r>
              <w:rPr>
                <w:rFonts w:ascii="Times New Roman" w:hAnsi="Times New Roman"/>
                <w:sz w:val="24"/>
              </w:rPr>
              <w:t xml:space="preserve">ma apskaičiuojama neįtraukiant bendrųjų kredito pozicijų, kurių vieta nustatyta pagal Komisijos deleguotojo reglamento (ES) Nr. 1152/2014 2 straipsnio 5 dalies </w:t>
            </w:r>
            <w:r>
              <w:rPr>
                <w:rFonts w:ascii="Times New Roman" w:hAnsi="Times New Roman"/>
                <w:sz w:val="24"/>
              </w:rPr>
              <w:lastRenderedPageBreak/>
              <w:t>a punktą ir 2 straipsnio 4 dalį.</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Jeigu įstaiga pasinaudoja šia nukrypti leidžiančia nuostata, ji lentelėje, skirtoje j</w:t>
            </w:r>
            <w:r>
              <w:rPr>
                <w:rFonts w:ascii="Times New Roman" w:hAnsi="Times New Roman"/>
                <w:sz w:val="24"/>
              </w:rPr>
              <w:t>u</w:t>
            </w:r>
            <w:r>
              <w:rPr>
                <w:rFonts w:ascii="Times New Roman" w:hAnsi="Times New Roman"/>
                <w:sz w:val="24"/>
              </w:rPr>
              <w:t>risdikciją turinčiai teritorijai, atitinkančiai jos buveinės valstybę narę, taip pat visų šalių punkte „Bendra suma“, pažymi „y“.</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Jeigu įstaiga nepasinaudoja šia nukrypti leidžiančia nuostata, atitinkamame lauk</w:t>
            </w:r>
            <w:r>
              <w:rPr>
                <w:rFonts w:ascii="Times New Roman" w:hAnsi="Times New Roman"/>
                <w:sz w:val="24"/>
              </w:rPr>
              <w:t>e</w:t>
            </w:r>
            <w:r>
              <w:rPr>
                <w:rFonts w:ascii="Times New Roman" w:hAnsi="Times New Roman"/>
                <w:sz w:val="24"/>
              </w:rPr>
              <w:t>lyje ji pažymi „n“.</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2 % ribos naudojimas prekybos knygos pozicijai</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Pagal Komisijos deleguotojo reglamento (ES) Nr. 1152/2014 3 straipsnio 3 dalį įstaigos gali priskirti prekybos knygos pozicijas savo buveinės valstybei narei, jeigu bendra prekybos knygos pozicijų suma neviršija 2 % jų visų bendrųjų kred</w:t>
            </w:r>
            <w:r>
              <w:rPr>
                <w:rFonts w:ascii="Times New Roman" w:hAnsi="Times New Roman"/>
                <w:sz w:val="24"/>
              </w:rPr>
              <w:t>i</w:t>
            </w:r>
            <w:r>
              <w:rPr>
                <w:rFonts w:ascii="Times New Roman" w:hAnsi="Times New Roman"/>
                <w:sz w:val="24"/>
              </w:rPr>
              <w:t>to, prekybos knygos ir pakeitimo vertybiniais popieriais pozicijų.</w:t>
            </w:r>
          </w:p>
          <w:p w:rsidR="006A3A82" w:rsidRPr="00392FFD" w:rsidRDefault="006A3A82" w:rsidP="006A3A82">
            <w:pPr>
              <w:rPr>
                <w:rFonts w:ascii="Times New Roman" w:hAnsi="Times New Roman"/>
                <w:sz w:val="24"/>
              </w:rPr>
            </w:pPr>
            <w:r>
              <w:rPr>
                <w:rFonts w:ascii="Times New Roman" w:hAnsi="Times New Roman"/>
                <w:sz w:val="24"/>
              </w:rPr>
              <w:t>Jeigu įstaiga pasinaudoja šia nukrypti leidžiančia nuostata, ji lentelėje, skirtoje j</w:t>
            </w:r>
            <w:r>
              <w:rPr>
                <w:rFonts w:ascii="Times New Roman" w:hAnsi="Times New Roman"/>
                <w:sz w:val="24"/>
              </w:rPr>
              <w:t>u</w:t>
            </w:r>
            <w:r>
              <w:rPr>
                <w:rFonts w:ascii="Times New Roman" w:hAnsi="Times New Roman"/>
                <w:sz w:val="24"/>
              </w:rPr>
              <w:t>risdikciją turinčiai teritorijai, atitinkančiai jos buveinės valstybę narę, taip pat visų šalių punkte „Bendra suma“, pažymi „y“.</w:t>
            </w:r>
          </w:p>
          <w:p w:rsidR="00966663" w:rsidRPr="00392FFD" w:rsidRDefault="006A3A82" w:rsidP="006A3A82">
            <w:pPr>
              <w:rPr>
                <w:rFonts w:ascii="Times New Roman" w:hAnsi="Times New Roman"/>
                <w:b/>
                <w:bCs/>
                <w:sz w:val="24"/>
                <w:u w:val="single"/>
              </w:rPr>
            </w:pPr>
            <w:r>
              <w:rPr>
                <w:rFonts w:ascii="Times New Roman" w:hAnsi="Times New Roman"/>
                <w:sz w:val="24"/>
              </w:rPr>
              <w:t>Jeigu įstaiga nepasinaudoja šia nukrypti leidžiančia nuostata, atitinkamame lauk</w:t>
            </w:r>
            <w:r>
              <w:rPr>
                <w:rFonts w:ascii="Times New Roman" w:hAnsi="Times New Roman"/>
                <w:sz w:val="24"/>
              </w:rPr>
              <w:t>e</w:t>
            </w:r>
            <w:r>
              <w:rPr>
                <w:rFonts w:ascii="Times New Roman" w:hAnsi="Times New Roman"/>
                <w:sz w:val="24"/>
              </w:rPr>
              <w:t>lyje ji pažymi „n“.</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4010063"/>
      <w:r>
        <w:rPr>
          <w:rFonts w:ascii="Times New Roman" w:hAnsi="Times New Roman"/>
          <w:sz w:val="24"/>
          <w:u w:val="none"/>
        </w:rPr>
        <w:t>3.5.</w:t>
      </w:r>
      <w:r>
        <w:tab/>
      </w:r>
      <w:r>
        <w:rPr>
          <w:rFonts w:ascii="Times New Roman" w:hAnsi="Times New Roman"/>
          <w:sz w:val="24"/>
        </w:rPr>
        <w:t>C 10.01 ir C 10.02. Nuosavybės vertybinių popierių pozicijos, kurioms taikomas v</w:t>
      </w:r>
      <w:r>
        <w:rPr>
          <w:rFonts w:ascii="Times New Roman" w:hAnsi="Times New Roman"/>
          <w:sz w:val="24"/>
        </w:rPr>
        <w:t>i</w:t>
      </w:r>
      <w:r>
        <w:rPr>
          <w:rFonts w:ascii="Times New Roman" w:hAnsi="Times New Roman"/>
          <w:sz w:val="24"/>
        </w:rPr>
        <w:t>daus reitingais pagrįstas metodas</w:t>
      </w:r>
      <w:bookmarkEnd w:id="405"/>
      <w:bookmarkEnd w:id="406"/>
      <w:bookmarkEnd w:id="407"/>
      <w:r>
        <w:rPr>
          <w:rFonts w:ascii="Times New Roman" w:hAnsi="Times New Roman"/>
          <w:sz w:val="24"/>
        </w:rPr>
        <w:t xml:space="preserve"> (CR EQU IRB 1 ir CR EQU IRB 2)</w:t>
      </w:r>
      <w:bookmarkEnd w:id="408"/>
      <w:bookmarkEnd w:id="409"/>
      <w:bookmarkEnd w:id="410"/>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4010064"/>
      <w:r>
        <w:rPr>
          <w:rFonts w:ascii="Times New Roman" w:hAnsi="Times New Roman"/>
          <w:sz w:val="24"/>
          <w:u w:val="none"/>
        </w:rPr>
        <w:t>3.5.1.</w:t>
      </w:r>
      <w:r>
        <w:tab/>
      </w:r>
      <w:r>
        <w:rPr>
          <w:rFonts w:ascii="Times New Roman" w:hAnsi="Times New Roman"/>
          <w:sz w:val="24"/>
        </w:rPr>
        <w:t>Bendrosios pastabos</w:t>
      </w:r>
      <w:bookmarkEnd w:id="411"/>
      <w:bookmarkEnd w:id="412"/>
      <w:bookmarkEnd w:id="413"/>
      <w:bookmarkEnd w:id="414"/>
      <w:bookmarkEnd w:id="415"/>
      <w:bookmarkEnd w:id="416"/>
      <w:bookmarkEnd w:id="417"/>
    </w:p>
    <w:p w:rsidR="00C61FF5" w:rsidRPr="00392FFD" w:rsidRDefault="00125707" w:rsidP="00C37B29">
      <w:pPr>
        <w:pStyle w:val="InstructionsText2"/>
        <w:numPr>
          <w:ilvl w:val="0"/>
          <w:numId w:val="0"/>
        </w:numPr>
        <w:ind w:left="993"/>
      </w:pPr>
      <w:r>
        <w:t>86.</w:t>
      </w:r>
      <w:r>
        <w:tab/>
        <w:t>CR EQU IRB formą sudaro dvi formos: CR EQU IRB 1 formoje bendrai a</w:t>
      </w:r>
      <w:r>
        <w:t>p</w:t>
      </w:r>
      <w:r>
        <w:t>žvelgiamos IRB pozicijos, priskirtos prie nuosavybės vertybinių popierių pozicijų klasės, ir įvairūs bendrai rizikos pozicijos sumai apskaičiuoti taikomi metodai. CR EQU IRB 2 formoje bendros pozicijų sumos, priskirtos įsipareigojančiojo asmens rangams, suskirstomos pagal PD / LGD metodą. Šiuose nurodymuose „CR EQU IRB forma“ nurodo ir CR EQU IRB 1, ir CR EQU IRB 2 formą.</w:t>
      </w:r>
    </w:p>
    <w:p w:rsidR="00C61FF5" w:rsidRPr="00392FFD" w:rsidRDefault="00125707" w:rsidP="00C37B29">
      <w:pPr>
        <w:pStyle w:val="InstructionsText2"/>
        <w:numPr>
          <w:ilvl w:val="0"/>
          <w:numId w:val="0"/>
        </w:numPr>
        <w:ind w:left="993"/>
      </w:pPr>
      <w:r>
        <w:t>87.</w:t>
      </w:r>
      <w:r>
        <w:tab/>
        <w:t>CE EQU IRB formoje pateikiama informacija apie tai, kaip pagal kredito riziką įvertintų KRR 147 straipsnio 2 dalies e punkte nurodytų vertybinių popierių pozic</w:t>
      </w:r>
      <w:r>
        <w:t>i</w:t>
      </w:r>
      <w:r>
        <w:t>jų sumos (KRR 92 straipsnio 3 dalies a punktas) apskaičiuojamos pagal IRB met</w:t>
      </w:r>
      <w:r>
        <w:t>o</w:t>
      </w:r>
      <w:r>
        <w:t>dą (KRR trečios dalies II antraštinės dalies 3 skyrius).</w:t>
      </w:r>
    </w:p>
    <w:p w:rsidR="00C61FF5" w:rsidRPr="00392FFD" w:rsidRDefault="00125707" w:rsidP="00C37B29">
      <w:pPr>
        <w:pStyle w:val="InstructionsText2"/>
        <w:numPr>
          <w:ilvl w:val="0"/>
          <w:numId w:val="0"/>
        </w:numPr>
        <w:ind w:left="993"/>
      </w:pPr>
      <w:r>
        <w:t>88.</w:t>
      </w:r>
      <w:r>
        <w:tab/>
        <w:t>Pagal KRR 147 straipsnio 6 dalį prie nuosavybės vertybinių popierių pozicijų klasės priskiriamos šios pozicijos:</w:t>
      </w:r>
    </w:p>
    <w:p w:rsidR="00C61FF5" w:rsidRPr="00392FFD" w:rsidRDefault="00125707" w:rsidP="00C37B29">
      <w:pPr>
        <w:pStyle w:val="InstructionsText2"/>
        <w:numPr>
          <w:ilvl w:val="0"/>
          <w:numId w:val="0"/>
        </w:numPr>
        <w:ind w:left="993"/>
      </w:pPr>
      <w:r>
        <w:t>a)</w:t>
      </w:r>
      <w:r>
        <w:tab/>
        <w:t>ne skolos pozicijos, nukreipiančios subordinuotą, likutinę pretenziją į emitento turtą arba pajamas; arba</w:t>
      </w:r>
    </w:p>
    <w:p w:rsidR="00C61FF5" w:rsidRPr="00392FFD" w:rsidRDefault="00125707" w:rsidP="00C37B29">
      <w:pPr>
        <w:pStyle w:val="InstructionsText2"/>
        <w:numPr>
          <w:ilvl w:val="0"/>
          <w:numId w:val="0"/>
        </w:numPr>
        <w:ind w:left="993"/>
      </w:pPr>
      <w:r>
        <w:t>b)</w:t>
      </w:r>
      <w:r>
        <w:tab/>
        <w:t>skolos pozicijos ir kiti vertybiniai popieriai, partnerystė, išvestinės finansinės priemonės arba kitos priemonės, kurių ekonominė esmė panaši į a punkte nurodytų pozicijų ekonominę esmę.</w:t>
      </w:r>
    </w:p>
    <w:p w:rsidR="00C61FF5" w:rsidRPr="00392FFD" w:rsidRDefault="00125707" w:rsidP="00C37B29">
      <w:pPr>
        <w:pStyle w:val="InstructionsText2"/>
        <w:numPr>
          <w:ilvl w:val="0"/>
          <w:numId w:val="0"/>
        </w:numPr>
        <w:ind w:left="993"/>
      </w:pPr>
      <w:r>
        <w:t>89.</w:t>
      </w:r>
      <w:r>
        <w:tab/>
        <w:t>Kolektyvinio investavimo subjektai, kuriems taikomas KRR 152 straipsnyje nurodytas paprastasis rizikos koeficientų metodas, taip pat nurodomi CR EQU IRB formoje.</w:t>
      </w:r>
    </w:p>
    <w:p w:rsidR="00C61FF5" w:rsidRPr="00392FFD" w:rsidRDefault="00125707" w:rsidP="00C37B29">
      <w:pPr>
        <w:pStyle w:val="InstructionsText2"/>
        <w:numPr>
          <w:ilvl w:val="0"/>
          <w:numId w:val="0"/>
        </w:numPr>
        <w:ind w:left="993"/>
      </w:pPr>
      <w:r>
        <w:lastRenderedPageBreak/>
        <w:t>90.</w:t>
      </w:r>
      <w:r>
        <w:tab/>
        <w:t xml:space="preserve">Pagal KRR 151 straipsnio 1 dalį įstaigos turi pateikti CR EQU IRB formą tada, kai taiko vieną iš KRR 155 straipsnyje nurodytų trijų metodų: </w:t>
      </w:r>
    </w:p>
    <w:p w:rsidR="00C61FF5" w:rsidRPr="00392FFD" w:rsidRDefault="00C61FF5" w:rsidP="00FD239F">
      <w:pPr>
        <w:pStyle w:val="InstructionsText"/>
      </w:pPr>
      <w:r>
        <w:t xml:space="preserve">– paprastąjį rizikos koeficientų metodą, </w:t>
      </w:r>
    </w:p>
    <w:p w:rsidR="00C61FF5" w:rsidRPr="00392FFD" w:rsidRDefault="00C61FF5" w:rsidP="00FD239F">
      <w:pPr>
        <w:pStyle w:val="InstructionsText"/>
      </w:pPr>
      <w:r>
        <w:t xml:space="preserve">– PD / LGD metodą arba </w:t>
      </w:r>
    </w:p>
    <w:p w:rsidR="00C61FF5" w:rsidRPr="00392FFD" w:rsidRDefault="00C61FF5" w:rsidP="00FD239F">
      <w:pPr>
        <w:pStyle w:val="InstructionsText"/>
      </w:pPr>
      <w:r>
        <w:t>– vidaus modelių metodą.</w:t>
      </w:r>
    </w:p>
    <w:p w:rsidR="00C61FF5" w:rsidRPr="00392FFD" w:rsidRDefault="00C61FF5" w:rsidP="00FD239F">
      <w:pPr>
        <w:pStyle w:val="InstructionsText"/>
      </w:pPr>
      <w:r>
        <w:t>Įstaigos, kurios taiko IRB metodą, CR EQU IRB formoje taip pat nurodo tų pagal riziką įve</w:t>
      </w:r>
      <w:r>
        <w:t>r</w:t>
      </w:r>
      <w:r>
        <w:t>tintų nuosavybės vertybinių popierių pozicijų, kurioms taikomi pastovūs rizikos koeficientai (bet kurios nėra vertinamos vien pagal paprastąjį rizikos koeficientų metodą arba pagal (laik</w:t>
      </w:r>
      <w:r>
        <w:t>i</w:t>
      </w:r>
      <w:r>
        <w:t>nai ar nuolat) iš dalies taikomą kredito rizikos standartizuotą metodą), sumas (pvz., nuosav</w:t>
      </w:r>
      <w:r>
        <w:t>y</w:t>
      </w:r>
      <w:r>
        <w:t>bės vertybinių popierių pozicijų, kurioms pagal KRR 48 straipsnio 4 dalį taikomas 250 % r</w:t>
      </w:r>
      <w:r>
        <w:t>i</w:t>
      </w:r>
      <w:r>
        <w:t>zikos koeficientas, o pagal KRR 471 straipsnio 2 dalį – 370 % rizikos koeficientas).</w:t>
      </w:r>
    </w:p>
    <w:p w:rsidR="00C61FF5" w:rsidRPr="00392FFD" w:rsidRDefault="00125707" w:rsidP="00C37B29">
      <w:pPr>
        <w:pStyle w:val="InstructionsText2"/>
        <w:numPr>
          <w:ilvl w:val="0"/>
          <w:numId w:val="0"/>
        </w:numPr>
        <w:ind w:left="993"/>
      </w:pPr>
      <w:r>
        <w:t>91.</w:t>
      </w:r>
      <w:r>
        <w:tab/>
        <w:t>CR EQU IRB formoje nereikia nurodyti šių nuosavybės vertybinių popierių reikalavimų:</w:t>
      </w:r>
    </w:p>
    <w:p w:rsidR="00C61FF5" w:rsidRPr="00392FFD" w:rsidRDefault="00C61FF5" w:rsidP="00FD239F">
      <w:pPr>
        <w:pStyle w:val="InstructionsText"/>
      </w:pPr>
      <w:r>
        <w:t xml:space="preserve">– prekybos knygos nuosavybės vertybinių popierių pozicijų (kai įstaigos nėra atleistos nuo prievolės skaičiuoti nuosavų lėšų reikalavimus prekybos knygos pozicijoms pagal KRR 94 straipsnį); </w:t>
      </w:r>
    </w:p>
    <w:p w:rsidR="00C61FF5" w:rsidRPr="00392FFD" w:rsidRDefault="00C61FF5" w:rsidP="00FD239F">
      <w:pPr>
        <w:pStyle w:val="InstructionsText"/>
      </w:pPr>
      <w:r>
        <w:t>– nuosavybės vertybinių popierių pozicijų, kurioms iš dalies taikomas standartizuotas metodas (KRR 150 straipsnis), įskaitant:</w:t>
      </w:r>
    </w:p>
    <w:p w:rsidR="00C61FF5" w:rsidRPr="00392FFD" w:rsidRDefault="00C61FF5" w:rsidP="00FD239F">
      <w:pPr>
        <w:pStyle w:val="InstructionsText"/>
      </w:pPr>
      <w:r>
        <w:t>– nuosavybės vertybinių popierių pozicijas, kurioms taikomas tęstinumo principas, pagal KRR 495 straipsnio 1 dalį;</w:t>
      </w:r>
    </w:p>
    <w:p w:rsidR="00C61FF5" w:rsidRPr="00392FFD" w:rsidRDefault="00C61FF5" w:rsidP="00FD239F">
      <w:pPr>
        <w:pStyle w:val="InstructionsText"/>
      </w:pPr>
      <w:r>
        <w:t>– subjektų, kurių kreditiniams įsipareigojimams remiantis standartizuotu metodu yra priskirtas 0 % rizikos koeficientas, įskaitant tuos valstybės remiamus subjektus, kuriems galima taikyti 0 % rizikos koeficientą (KRR 150 straipsnio 1 dalies g punktas), nuosavybės vertybinių p</w:t>
      </w:r>
      <w:r>
        <w:t>o</w:t>
      </w:r>
      <w:r>
        <w:t>pierių pozicijas;</w:t>
      </w:r>
    </w:p>
    <w:p w:rsidR="00C61FF5" w:rsidRPr="00392FFD" w:rsidRDefault="00C61FF5" w:rsidP="00FD239F">
      <w:pPr>
        <w:pStyle w:val="InstructionsText"/>
      </w:pPr>
      <w:r>
        <w:t>– nuosavybės vertybinių popierių pozicijas, susidariusias pagal teisės aktuose numatytas pr</w:t>
      </w:r>
      <w:r>
        <w:t>o</w:t>
      </w:r>
      <w:r>
        <w:t>gramas, skirtas konkretiems ekonomikos sektoriams remti, pagal kurias įstaigai suteikiamos didelės subsidijos investicijoms, o investicijoms į nuosavybės vertybinius popierius taikoma tam tikros formos valstybės priežiūra ir apribojimai (KRR 150 straipsnio 1 dalies h punktas);</w:t>
      </w:r>
    </w:p>
    <w:p w:rsidR="00C61FF5" w:rsidRPr="00392FFD" w:rsidRDefault="00C61FF5" w:rsidP="00FD239F">
      <w:pPr>
        <w:pStyle w:val="InstructionsText"/>
      </w:pPr>
      <w:r>
        <w:t>– pagalbinių paslaugų įmonių nuosavybės vertybinių popierių pozicijas, kurių pagal riziką įvertintų pozicijų sumas galima apskaičiuoti tuo pačiu būdu, kuris taikomas „kitam nekredit</w:t>
      </w:r>
      <w:r>
        <w:t>i</w:t>
      </w:r>
      <w:r>
        <w:t xml:space="preserve">nių įsipareigojimų turtui“ (pagal KRR 155 straipsnio 1 dalį); </w:t>
      </w:r>
    </w:p>
    <w:p w:rsidR="00C61FF5" w:rsidRPr="00392FFD" w:rsidRDefault="00C61FF5" w:rsidP="00FD239F">
      <w:pPr>
        <w:pStyle w:val="InstructionsText"/>
      </w:pPr>
      <w:r>
        <w:t>– nuosavybės vertybinių popierių reikalavimus, kurie atskaitomi iš nuosavų lėšų pagal KRR 46 ir 48 straipsnius.</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4010065"/>
      <w:r>
        <w:rPr>
          <w:rFonts w:ascii="Times New Roman" w:hAnsi="Times New Roman"/>
          <w:sz w:val="24"/>
          <w:u w:val="none"/>
        </w:rPr>
        <w:t>3.5.2.</w:t>
      </w:r>
      <w:r>
        <w:tab/>
      </w:r>
      <w:r>
        <w:rPr>
          <w:rFonts w:ascii="Times New Roman" w:hAnsi="Times New Roman"/>
          <w:sz w:val="24"/>
        </w:rPr>
        <w:t>Nurodymai dėl konkrečių pozicijų</w:t>
      </w:r>
      <w:bookmarkEnd w:id="418"/>
      <w:bookmarkEnd w:id="419"/>
      <w:r>
        <w:rPr>
          <w:rFonts w:ascii="Times New Roman" w:hAnsi="Times New Roman"/>
          <w:sz w:val="24"/>
        </w:rPr>
        <w:t xml:space="preserve"> (taikomi ir CR EQU IRB 1, ir CR EQU IRB 2 fo</w:t>
      </w:r>
      <w:r>
        <w:rPr>
          <w:rFonts w:ascii="Times New Roman" w:hAnsi="Times New Roman"/>
          <w:sz w:val="24"/>
        </w:rPr>
        <w:t>r</w:t>
      </w:r>
      <w:r>
        <w:rPr>
          <w:rFonts w:ascii="Times New Roman" w:hAnsi="Times New Roman"/>
          <w:sz w:val="24"/>
        </w:rPr>
        <w:t>mai)</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Skiltys</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ĮSIPAREIGOJANČIOJO ASMENS RANGAS (EILUTĖS IDENTIFIK</w:t>
            </w:r>
            <w:r>
              <w:rPr>
                <w:rStyle w:val="InstructionsTabelleberschrift"/>
                <w:rFonts w:ascii="Times New Roman" w:hAnsi="Times New Roman"/>
                <w:sz w:val="24"/>
              </w:rPr>
              <w:t>A</w:t>
            </w:r>
            <w:r>
              <w:rPr>
                <w:rStyle w:val="InstructionsTabelleberschrift"/>
                <w:rFonts w:ascii="Times New Roman" w:hAnsi="Times New Roman"/>
                <w:sz w:val="24"/>
              </w:rPr>
              <w:t>TORIUS)</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Įsipareigojančiojo asmens rangas yra eilutės identifikatorius ir kiekvienai lent</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lastRenderedPageBreak/>
              <w:t xml:space="preserve">lės eilutei yra unikalus. </w:t>
            </w:r>
            <w:r>
              <w:rPr>
                <w:rFonts w:ascii="Times New Roman" w:hAnsi="Times New Roman"/>
                <w:sz w:val="24"/>
              </w:rPr>
              <w:t>Jis nurodomas eilės tvarka (1, 2, 3 ir t. t.).</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VIDAUS REITINGŲ SISTEMA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ĮSIPAREIGOJANČIOJO ASMENS RANGUI PRISKIRTA PD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 LGD metodą taikančios įstaigos 010 skiltyje nurodo pagal KRR 165 straipsnio 1 dalies nuostatas apskaičiuotą įsipareigojimų neįvykdymo tikimybę (PD).</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Nurodoma įsipareigojančiojo asmens rangui arba grupei priskirta PD turi atitikti KRR trečios dalies II antraštinės dalies 3 skyriaus 6 skirsnyje nustatytus būt</w:t>
            </w:r>
            <w:r>
              <w:rPr>
                <w:rStyle w:val="InstructionsTabelleText"/>
                <w:rFonts w:ascii="Times New Roman" w:hAnsi="Times New Roman"/>
                <w:sz w:val="24"/>
              </w:rPr>
              <w:t>i</w:t>
            </w:r>
            <w:r>
              <w:rPr>
                <w:rStyle w:val="InstructionsTabelleText"/>
                <w:rFonts w:ascii="Times New Roman" w:hAnsi="Times New Roman"/>
                <w:sz w:val="24"/>
              </w:rPr>
              <w:t>niausius reikalavimus. Kiekvieno rango arba grupės atveju nurodoma to konkr</w:t>
            </w:r>
            <w:r>
              <w:rPr>
                <w:rStyle w:val="InstructionsTabelleText"/>
                <w:rFonts w:ascii="Times New Roman" w:hAnsi="Times New Roman"/>
                <w:sz w:val="24"/>
              </w:rPr>
              <w:t>e</w:t>
            </w:r>
            <w:r>
              <w:rPr>
                <w:rStyle w:val="InstructionsTabelleText"/>
                <w:rFonts w:ascii="Times New Roman" w:hAnsi="Times New Roman"/>
                <w:sz w:val="24"/>
              </w:rPr>
              <w:t>taus įsipareigojančiojo asmens rangui arba grupei priskirta PD. Visi nurodomi rizikos parametrai apskaičiuojami pagal atitinkamos kompetentingos institucijos patvirtintus vidaus reitingų sistemoje naudojamus rizikos parametrus.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Kai reikšmes sudaro įsipareigojančiojo asmens rangų arba grupių reikšmių suma (pvz., bendra pozicijų suma), nurodomas įsipareigojimų neįvykdymo tikimybių, priskirtų į tą sumą įtrauktiems įsipareigojančiųjų asmenų rangams arba grupėms, pozicijų svertinis vidurkis. Apskaičiuojant pozicijų svertinį PD vidurkį atsižve</w:t>
            </w:r>
            <w:r>
              <w:rPr>
                <w:rStyle w:val="InstructionsTabelleText"/>
                <w:rFonts w:ascii="Times New Roman" w:hAnsi="Times New Roman"/>
                <w:sz w:val="24"/>
              </w:rPr>
              <w:t>l</w:t>
            </w:r>
            <w:r>
              <w:rPr>
                <w:rStyle w:val="InstructionsTabelleText"/>
                <w:rFonts w:ascii="Times New Roman" w:hAnsi="Times New Roman"/>
                <w:sz w:val="24"/>
              </w:rPr>
              <w:t>giama į visas pozicijas, įskaitant pozicijas esant įsipareigojimų neįvykdymui. Apskaičiuojant pozicijų svertinį LGD vidurkį naudojama pozicijos vertė, ats</w:t>
            </w:r>
            <w:r>
              <w:rPr>
                <w:rStyle w:val="InstructionsTabelleText"/>
                <w:rFonts w:ascii="Times New Roman" w:hAnsi="Times New Roman"/>
                <w:sz w:val="24"/>
              </w:rPr>
              <w:t>i</w:t>
            </w:r>
            <w:r>
              <w:rPr>
                <w:rStyle w:val="InstructionsTabelleText"/>
                <w:rFonts w:ascii="Times New Roman" w:hAnsi="Times New Roman"/>
                <w:sz w:val="24"/>
              </w:rPr>
              <w:t xml:space="preserve">žvelgiant į netiesioginį kredito užtikrinimą (060 skiltis).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PRADINĖ POZICIJA IKI PERSKAIČIAVIMO KOEFICIENTŲ TA</w:t>
            </w:r>
            <w:r>
              <w:rPr>
                <w:rStyle w:val="InstructionsTabelleberschrift"/>
                <w:rFonts w:ascii="Times New Roman" w:hAnsi="Times New Roman"/>
                <w:sz w:val="24"/>
              </w:rPr>
              <w:t>I</w:t>
            </w:r>
            <w:r>
              <w:rPr>
                <w:rStyle w:val="InstructionsTabelleberschrift"/>
                <w:rFonts w:ascii="Times New Roman" w:hAnsi="Times New Roman"/>
                <w:sz w:val="24"/>
              </w:rPr>
              <w:t>KYMO</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020 skiltyje įstaigos nurodo pradinės pozicijos vertę (iki perskaičiavimo koef</w:t>
            </w:r>
            <w:r>
              <w:rPr>
                <w:rStyle w:val="InstructionsTabelleText"/>
                <w:rFonts w:ascii="Times New Roman" w:hAnsi="Times New Roman"/>
                <w:sz w:val="24"/>
              </w:rPr>
              <w:t>i</w:t>
            </w:r>
            <w:r>
              <w:rPr>
                <w:rStyle w:val="InstructionsTabelleText"/>
                <w:rFonts w:ascii="Times New Roman" w:hAnsi="Times New Roman"/>
                <w:sz w:val="24"/>
              </w:rPr>
              <w:t>cientų taikymo). Pagal KRR 167 straipsnio nuostatas nuosavybės vertybinių p</w:t>
            </w:r>
            <w:r>
              <w:rPr>
                <w:rStyle w:val="InstructionsTabelleText"/>
                <w:rFonts w:ascii="Times New Roman" w:hAnsi="Times New Roman"/>
                <w:sz w:val="24"/>
              </w:rPr>
              <w:t>o</w:t>
            </w:r>
            <w:r>
              <w:rPr>
                <w:rStyle w:val="InstructionsTabelleText"/>
                <w:rFonts w:ascii="Times New Roman" w:hAnsi="Times New Roman"/>
                <w:sz w:val="24"/>
              </w:rPr>
              <w:t>pierių pozicijos vertė yra apskaitinė vertė, gauta pritaikius specifinės kredito r</w:t>
            </w:r>
            <w:r>
              <w:rPr>
                <w:rStyle w:val="InstructionsTabelleText"/>
                <w:rFonts w:ascii="Times New Roman" w:hAnsi="Times New Roman"/>
                <w:sz w:val="24"/>
              </w:rPr>
              <w:t>i</w:t>
            </w:r>
            <w:r>
              <w:rPr>
                <w:rStyle w:val="InstructionsTabelleText"/>
                <w:rFonts w:ascii="Times New Roman" w:hAnsi="Times New Roman"/>
                <w:sz w:val="24"/>
              </w:rPr>
              <w:t xml:space="preserve">zikos koregavimą. </w:t>
            </w:r>
            <w:r>
              <w:rPr>
                <w:rFonts w:ascii="Times New Roman" w:hAnsi="Times New Roman"/>
                <w:sz w:val="24"/>
              </w:rPr>
              <w:t>Nebalansinių nuosavybės vertybinių popierių pozicijų vertė yra jų nominalioji vertė pritaikius specifinės kredito rizikos koregavimus.</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 skiltyje įstaigos taip pat nurodo prie nuosavybės vertybinių popierių pozicijų klasės priskirtus KRR I priede išvardytus nebalansinius straipsnius (pvz., „nev</w:t>
            </w:r>
            <w:r>
              <w:rPr>
                <w:rStyle w:val="InstructionsTabelleText"/>
                <w:rFonts w:ascii="Times New Roman" w:hAnsi="Times New Roman"/>
                <w:sz w:val="24"/>
              </w:rPr>
              <w:t>i</w:t>
            </w:r>
            <w:r>
              <w:rPr>
                <w:rStyle w:val="InstructionsTabelleText"/>
                <w:rFonts w:ascii="Times New Roman" w:hAnsi="Times New Roman"/>
                <w:sz w:val="24"/>
              </w:rPr>
              <w:t>siškai apmokėtų akcijų neapmokėtąją dalį“).</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Paprastąjį rizikos koeficientų arba PD / LGD metodą (nurodytus KRR 165 straipsnio 1 dalyje) taikančios įstaigos taip pat atsižvelgia į KRR 155 straipsnio 2 dalies nuostatas dėl įskaitymo.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KREDITO RIZIKOS MAŽINIMO (KRM) METODAI, TURINTYS P</w:t>
            </w:r>
            <w:r>
              <w:rPr>
                <w:rStyle w:val="InstructionsTabelleberschrift"/>
                <w:rFonts w:ascii="Times New Roman" w:hAnsi="Times New Roman"/>
                <w:sz w:val="24"/>
              </w:rPr>
              <w:t>O</w:t>
            </w:r>
            <w:r>
              <w:rPr>
                <w:rStyle w:val="InstructionsTabelleberschrift"/>
                <w:rFonts w:ascii="Times New Roman" w:hAnsi="Times New Roman"/>
                <w:sz w:val="24"/>
              </w:rPr>
              <w:t>ZICIJOS PAKEITIMO POVEIKĮ</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NETIESIOGINIS KREDITO UŽTIKRINIMAS</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GARANTIJOS</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KREDITO IŠVESTINĖS FINANSINĖS PRIEMONĖS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Nepaisant to, koks metodas taikomas pagal riziką įvertintų nuosavybės vertyb</w:t>
            </w:r>
            <w:r>
              <w:rPr>
                <w:rStyle w:val="InstructionsTabelleText"/>
                <w:rFonts w:ascii="Times New Roman" w:hAnsi="Times New Roman"/>
                <w:sz w:val="24"/>
              </w:rPr>
              <w:t>i</w:t>
            </w:r>
            <w:r>
              <w:rPr>
                <w:rStyle w:val="InstructionsTabelleText"/>
                <w:rFonts w:ascii="Times New Roman" w:hAnsi="Times New Roman"/>
                <w:sz w:val="24"/>
              </w:rPr>
              <w:t xml:space="preserve">nių popierių pozicijų sumoms apskaičiuoti, įstaigos gali pripažinti nuosavybės vertybinių popierių pozicijoms gautą netiesioginį kredito užtikrinimą (KRR 155 straipsnio 2, 3 ir 4 dalys). Paprastąjį rizikos koeficientų metodą arba PD / LGD </w:t>
            </w:r>
            <w:r>
              <w:rPr>
                <w:rStyle w:val="InstructionsTabelleText"/>
                <w:rFonts w:ascii="Times New Roman" w:hAnsi="Times New Roman"/>
                <w:sz w:val="24"/>
              </w:rPr>
              <w:lastRenderedPageBreak/>
              <w:t>metodą taikančios įstaigos 030 ir 040 skiltyse nurodo netiesioginio kredito užti</w:t>
            </w:r>
            <w:r>
              <w:rPr>
                <w:rStyle w:val="InstructionsTabelleText"/>
                <w:rFonts w:ascii="Times New Roman" w:hAnsi="Times New Roman"/>
                <w:sz w:val="24"/>
              </w:rPr>
              <w:t>k</w:t>
            </w:r>
            <w:r>
              <w:rPr>
                <w:rStyle w:val="InstructionsTabelleText"/>
                <w:rFonts w:ascii="Times New Roman" w:hAnsi="Times New Roman"/>
                <w:sz w:val="24"/>
              </w:rPr>
              <w:t>rinimo sumą, kurią sudaro garantijos (030 skiltis) arba kredito išvestinės finans</w:t>
            </w:r>
            <w:r>
              <w:rPr>
                <w:rStyle w:val="InstructionsTabelleText"/>
                <w:rFonts w:ascii="Times New Roman" w:hAnsi="Times New Roman"/>
                <w:sz w:val="24"/>
              </w:rPr>
              <w:t>i</w:t>
            </w:r>
            <w:r>
              <w:rPr>
                <w:rStyle w:val="InstructionsTabelleText"/>
                <w:rFonts w:ascii="Times New Roman" w:hAnsi="Times New Roman"/>
                <w:sz w:val="24"/>
              </w:rPr>
              <w:t>nės priemonės (040 skiltis), pripažįstamos pagal KRR trečios dalies II antrašt</w:t>
            </w:r>
            <w:r>
              <w:rPr>
                <w:rStyle w:val="InstructionsTabelleText"/>
                <w:rFonts w:ascii="Times New Roman" w:hAnsi="Times New Roman"/>
                <w:sz w:val="24"/>
              </w:rPr>
              <w:t>i</w:t>
            </w:r>
            <w:r>
              <w:rPr>
                <w:rStyle w:val="InstructionsTabelleText"/>
                <w:rFonts w:ascii="Times New Roman" w:hAnsi="Times New Roman"/>
                <w:sz w:val="24"/>
              </w:rPr>
              <w:t>nės dalies 4 skyriuje nustatytus metodus.</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KREDITO RIZIKOS MAŽINIMO (KRM) METODAI, TURINTYS P</w:t>
            </w:r>
            <w:r>
              <w:rPr>
                <w:rStyle w:val="InstructionsTabelleberschrift"/>
                <w:rFonts w:ascii="Times New Roman" w:hAnsi="Times New Roman"/>
                <w:sz w:val="24"/>
              </w:rPr>
              <w:t>O</w:t>
            </w:r>
            <w:r>
              <w:rPr>
                <w:rStyle w:val="InstructionsTabelleberschrift"/>
                <w:rFonts w:ascii="Times New Roman" w:hAnsi="Times New Roman"/>
                <w:sz w:val="24"/>
              </w:rPr>
              <w:t>ZICIJOS PAKEITIMO POVEIKĮ</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PAKEITIMAS DĖL KRM</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BENDRA NETENKAMŲ PINIGŲ SRAUTO SUMA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Įstaigos 050 skiltyje nurodo pradinės pozicijos vertės iki perskaičiavimo koef</w:t>
            </w:r>
            <w:r>
              <w:rPr>
                <w:rStyle w:val="InstructionsTabelleText"/>
                <w:rFonts w:ascii="Times New Roman" w:hAnsi="Times New Roman"/>
                <w:sz w:val="24"/>
              </w:rPr>
              <w:t>i</w:t>
            </w:r>
            <w:r>
              <w:rPr>
                <w:rStyle w:val="InstructionsTabelleText"/>
                <w:rFonts w:ascii="Times New Roman" w:hAnsi="Times New Roman"/>
                <w:sz w:val="24"/>
              </w:rPr>
              <w:t>cientų taikymo dalį, kuri padengta netiesioginiu kredito užtikrinimu, pripažįst</w:t>
            </w:r>
            <w:r>
              <w:rPr>
                <w:rStyle w:val="InstructionsTabelleText"/>
                <w:rFonts w:ascii="Times New Roman" w:hAnsi="Times New Roman"/>
                <w:sz w:val="24"/>
              </w:rPr>
              <w:t>a</w:t>
            </w:r>
            <w:r>
              <w:rPr>
                <w:rStyle w:val="InstructionsTabelleText"/>
                <w:rFonts w:ascii="Times New Roman" w:hAnsi="Times New Roman"/>
                <w:sz w:val="24"/>
              </w:rPr>
              <w:t>mu pagal KRR trečios dalies II antraštinės dalies 4 skyriuje nustatytus metodus.</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VERTĖ</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Paprastąjį rizikos koeficientų arba PD / LGD metodą taikančios įstaigos 060 skiltyje pozicijos vertę nurodo atsižvelgdamos į netiesioginio kredito užtikrin</w:t>
            </w:r>
            <w:r>
              <w:rPr>
                <w:rStyle w:val="InstructionsTabelleText"/>
                <w:rFonts w:ascii="Times New Roman" w:hAnsi="Times New Roman"/>
                <w:sz w:val="24"/>
              </w:rPr>
              <w:t>i</w:t>
            </w:r>
            <w:r>
              <w:rPr>
                <w:rStyle w:val="InstructionsTabelleText"/>
                <w:rFonts w:ascii="Times New Roman" w:hAnsi="Times New Roman"/>
                <w:sz w:val="24"/>
              </w:rPr>
              <w:t xml:space="preserve">mo daromą pakeitimo poveikį (KRR 155 straipsnio 2 ir 3 dalys, 167 straipsnis).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Primenama, kad nebalansinių nuosavybės vertybinių popierių pozicijų vertė yra nominalioji vertė pritaikius specifinės kredito rizikos koregavimą (KRR 167 straipsnis).</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POZICIJŲ SVERTINIS LGD VIDURKIS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 LGD metodą taikančios įstaigos CR EQU IRB 2 formos 070 skiltyje nur</w:t>
            </w:r>
            <w:r>
              <w:rPr>
                <w:rStyle w:val="InstructionsTabelleText"/>
                <w:rFonts w:ascii="Times New Roman" w:hAnsi="Times New Roman"/>
                <w:sz w:val="24"/>
              </w:rPr>
              <w:t>o</w:t>
            </w:r>
            <w:r>
              <w:rPr>
                <w:rStyle w:val="InstructionsTabelleText"/>
                <w:rFonts w:ascii="Times New Roman" w:hAnsi="Times New Roman"/>
                <w:sz w:val="24"/>
              </w:rPr>
              <w:t>do pozicijų LGD, priskirtų į apskaičiuojamą sumą įtrauktiems įsipareigojančiųjų asmenų rangams arba grupėms, svertinį vidurkį; CR EQU IRB formos 020 eilutė pildoma tokia pačia tvarka. Apskaičiuojant pozicijų svertinį LGD vidurkį naud</w:t>
            </w:r>
            <w:r>
              <w:rPr>
                <w:rStyle w:val="InstructionsTabelleText"/>
                <w:rFonts w:ascii="Times New Roman" w:hAnsi="Times New Roman"/>
                <w:sz w:val="24"/>
              </w:rPr>
              <w:t>o</w:t>
            </w:r>
            <w:r>
              <w:rPr>
                <w:rStyle w:val="InstructionsTabelleText"/>
                <w:rFonts w:ascii="Times New Roman" w:hAnsi="Times New Roman"/>
                <w:sz w:val="24"/>
              </w:rPr>
              <w:t>jama pozicijos vertė, atsižvelgiant į netiesioginį kredito užtikrinimą (060 skiltis). Įstaigos atsižvelgia į KRR 165 straipsnio 2 dalies nuostatas.</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 skiltyje įstaigos nurodo pagal riziką įvertintų nuosavybės vertybinių popi</w:t>
            </w:r>
            <w:r>
              <w:rPr>
                <w:rStyle w:val="InstructionsTabelleText"/>
                <w:rFonts w:ascii="Times New Roman" w:hAnsi="Times New Roman"/>
                <w:sz w:val="24"/>
              </w:rPr>
              <w:t>e</w:t>
            </w:r>
            <w:r>
              <w:rPr>
                <w:rStyle w:val="InstructionsTabelleText"/>
                <w:rFonts w:ascii="Times New Roman" w:hAnsi="Times New Roman"/>
                <w:sz w:val="24"/>
              </w:rPr>
              <w:t>rių pozicijų sumas, apskaičiuotas remiantis KRR 155 straipsnio nuostatomis.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Jeigu PD / LGD metodą taikančios įstaigos neturi pakankamai informacijos, kad galėtų taikyti KRR 178 straipsnyje pateiktą įsipareigojimų neįvykdymo apibrė</w:t>
            </w:r>
            <w:r>
              <w:rPr>
                <w:rStyle w:val="InstructionsTabelleText"/>
                <w:rFonts w:ascii="Times New Roman" w:hAnsi="Times New Roman"/>
                <w:sz w:val="24"/>
              </w:rPr>
              <w:t>ž</w:t>
            </w:r>
            <w:r>
              <w:rPr>
                <w:rStyle w:val="InstructionsTabelleText"/>
                <w:rFonts w:ascii="Times New Roman" w:hAnsi="Times New Roman"/>
                <w:sz w:val="24"/>
              </w:rPr>
              <w:t>tį, apskaičiuojant pagal riziką įvertintų pozicijų sumas rizikos koeficientams ta</w:t>
            </w:r>
            <w:r>
              <w:rPr>
                <w:rStyle w:val="InstructionsTabelleText"/>
                <w:rFonts w:ascii="Times New Roman" w:hAnsi="Times New Roman"/>
                <w:sz w:val="24"/>
              </w:rPr>
              <w:t>i</w:t>
            </w:r>
            <w:r>
              <w:rPr>
                <w:rStyle w:val="InstructionsTabelleText"/>
                <w:rFonts w:ascii="Times New Roman" w:hAnsi="Times New Roman"/>
                <w:sz w:val="24"/>
              </w:rPr>
              <w:t xml:space="preserve">komas 1,5 padidinimo daugiklis (KRR 155 straipsnio 3 dalis).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Rizikos įvertinimo formulėje naudojama reikšmė M (terminas), priskiriama nu</w:t>
            </w:r>
            <w:r>
              <w:rPr>
                <w:rStyle w:val="InstructionsTabelleText"/>
                <w:rFonts w:ascii="Times New Roman" w:hAnsi="Times New Roman"/>
                <w:sz w:val="24"/>
              </w:rPr>
              <w:t>o</w:t>
            </w:r>
            <w:r>
              <w:rPr>
                <w:rStyle w:val="InstructionsTabelleText"/>
                <w:rFonts w:ascii="Times New Roman" w:hAnsi="Times New Roman"/>
                <w:sz w:val="24"/>
              </w:rPr>
              <w:t>savybės vertybinių popierių pozicijoms, yra 5 metai (KRR 165 straipsnio 3 d</w:t>
            </w:r>
            <w:r>
              <w:rPr>
                <w:rStyle w:val="InstructionsTabelleText"/>
                <w:rFonts w:ascii="Times New Roman" w:hAnsi="Times New Roman"/>
                <w:sz w:val="24"/>
              </w:rPr>
              <w:t>a</w:t>
            </w:r>
            <w:r>
              <w:rPr>
                <w:rStyle w:val="InstructionsTabelleText"/>
                <w:rFonts w:ascii="Times New Roman" w:hAnsi="Times New Roman"/>
                <w:sz w:val="24"/>
              </w:rPr>
              <w:t>lis).</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PAPILDOMAS STRAIPSNIS. TIKĖTINO NUOSTOLIO SUMA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090 skiltyje įstaigos nurodo nuosavybės vertybinių popierių pozicijų tikėtino nuostolio sumą, apskaičiuotą pagal KRR 158 straipsnio 4, 7, 8 ir 9 dalis.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lastRenderedPageBreak/>
        <w:t>92.</w:t>
      </w:r>
      <w:r>
        <w:tab/>
        <w:t>Pagal KRR 155 straipsnį įstaigos įvairiems portfeliams gali taikyti skirtingus metodus (paprastąjį rizikos koeficientų, PD / LGD arba vidaus modelių metodą), kai pati įstaiga viduje taiko skirtingus metodus. CR EQU IRB 1 formoje įstaigos taip pat nurodo tų pagal riziką įvertintų nuosavybės vertybinių popierių pozicijų, kurioms taikomi pastovūs rizikos koeficientai (tačiau kurios nėra vertinamos vien pagal paprastąjį rizikos koeficientų metodą arba pagal (laikinai ar nuolat) iš dalies taikomą kredito rizikos standartizuotą metodą), sumas.</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Eilutės</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020 eilutė,</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 / LGD METODAS. BENDRA SUMA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 LGD metodą taikančios įstaigos (KRR 155 straipsnio 3 dalis) privalomą informaciją pateikia CR EQU IRB 1 formos 020 eilutėje.</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050–090 eilutės.</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PAPRASTASIS RIZIKOS KOEFICIENTŲ METODAS. BENDRA SUMA</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BENDROS POZICIJŲ, KURIOMS TAIKOMAS PAPRASTASIS RIZ</w:t>
            </w:r>
            <w:r>
              <w:rPr>
                <w:rStyle w:val="InstructionsTabelleText"/>
                <w:rFonts w:ascii="Times New Roman" w:hAnsi="Times New Roman"/>
                <w:b/>
                <w:sz w:val="24"/>
                <w:u w:val="single"/>
              </w:rPr>
              <w:t>I</w:t>
            </w:r>
            <w:r>
              <w:rPr>
                <w:rStyle w:val="InstructionsTabelleText"/>
                <w:rFonts w:ascii="Times New Roman" w:hAnsi="Times New Roman"/>
                <w:b/>
                <w:sz w:val="24"/>
                <w:u w:val="single"/>
              </w:rPr>
              <w:t>KOS KOEFICIENTŲ METODAS, SUMOS SUSKIRSTYMAS PAGAL RIZIKOS KOEFICIENTĄ</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Paprastąjį rizikos koeficientų metodą (KRR 155 straipsnio 2 dalis) taikančios įstaigos privalomą informaciją pateikia 050–090 eilutėse pagal pagrindinių p</w:t>
            </w:r>
            <w:r>
              <w:rPr>
                <w:rStyle w:val="InstructionsTabelleText"/>
                <w:rFonts w:ascii="Times New Roman" w:hAnsi="Times New Roman"/>
                <w:sz w:val="24"/>
              </w:rPr>
              <w:t>o</w:t>
            </w:r>
            <w:r>
              <w:rPr>
                <w:rStyle w:val="InstructionsTabelleText"/>
                <w:rFonts w:ascii="Times New Roman" w:hAnsi="Times New Roman"/>
                <w:sz w:val="24"/>
              </w:rPr>
              <w:t>zicijų savybes.</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100 eilutė</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VIDAUS MODELIŲ METODAS</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Vidaus modelių metodą (KRR 155 straipsnio 4 dalis) taikančios įstaigos priv</w:t>
            </w:r>
            <w:r>
              <w:rPr>
                <w:rStyle w:val="FormatvorlageInstructionsTabelleText"/>
                <w:rFonts w:ascii="Times New Roman" w:hAnsi="Times New Roman"/>
                <w:sz w:val="24"/>
              </w:rPr>
              <w:t>a</w:t>
            </w:r>
            <w:r>
              <w:rPr>
                <w:rStyle w:val="FormatvorlageInstructionsTabelleText"/>
                <w:rFonts w:ascii="Times New Roman" w:hAnsi="Times New Roman"/>
                <w:sz w:val="24"/>
              </w:rPr>
              <w:t>lomą informaciją pateikia 100 eilutėje.</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110 eilutė</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NUOSAVYBĖS VERTYBINIŲ POPIERIŲ POZICIJOS, KURIOMS TAIKOMI RIZIKOS KOEFICIENTAI</w:t>
            </w:r>
          </w:p>
          <w:p w:rsidR="00C61FF5" w:rsidRPr="00392FFD" w:rsidRDefault="00C61FF5" w:rsidP="00C61FF5">
            <w:pPr>
              <w:rPr>
                <w:rFonts w:ascii="Times New Roman" w:hAnsi="Times New Roman"/>
                <w:sz w:val="24"/>
              </w:rPr>
            </w:pPr>
            <w:r>
              <w:rPr>
                <w:rFonts w:ascii="Times New Roman" w:hAnsi="Times New Roman"/>
                <w:sz w:val="24"/>
              </w:rPr>
              <w:t>IRB metodą taikančios įstaigos taip pat nurodo pagal riziką įvertintų nuosav</w:t>
            </w:r>
            <w:r>
              <w:rPr>
                <w:rFonts w:ascii="Times New Roman" w:hAnsi="Times New Roman"/>
                <w:sz w:val="24"/>
              </w:rPr>
              <w:t>y</w:t>
            </w:r>
            <w:r>
              <w:rPr>
                <w:rFonts w:ascii="Times New Roman" w:hAnsi="Times New Roman"/>
                <w:sz w:val="24"/>
              </w:rPr>
              <w:t>bės vertybinių popierių pozicijų, kurioms taikomi pastovūs rizikos koeficientai (bet kurios nėra vertinamos vien pagal paprastąjį rizikos koeficientų metodą a</w:t>
            </w:r>
            <w:r>
              <w:rPr>
                <w:rFonts w:ascii="Times New Roman" w:hAnsi="Times New Roman"/>
                <w:sz w:val="24"/>
              </w:rPr>
              <w:t>r</w:t>
            </w:r>
            <w:r>
              <w:rPr>
                <w:rFonts w:ascii="Times New Roman" w:hAnsi="Times New Roman"/>
                <w:sz w:val="24"/>
              </w:rPr>
              <w:t>ba pagal (laikinai ar nuolat) iš dalies taikomą kredito rizikos standartizuotą m</w:t>
            </w:r>
            <w:r>
              <w:rPr>
                <w:rFonts w:ascii="Times New Roman" w:hAnsi="Times New Roman"/>
                <w:sz w:val="24"/>
              </w:rPr>
              <w:t>e</w:t>
            </w:r>
            <w:r>
              <w:rPr>
                <w:rFonts w:ascii="Times New Roman" w:hAnsi="Times New Roman"/>
                <w:sz w:val="24"/>
              </w:rPr>
              <w:t xml:space="preserve">todą), sumas. Pavyzdžiui,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finansų sektoriaus subjektų pagal riziką įvertintų nuosavybės vertybinių p</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pierių pozicijų, kurioms taikoma KRR 48 straipsnio 4 dalyje nustatyta tvarka, suma ir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nuosavybės vertybinių popierių pozicijos, kurioms pagal KRR 471 straipsnio 2 dalį taikomas 370 % rizikos koeficientas,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nurodomi 110 eilutėje.</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BENDROS POZICIJŲ, KURIOMS TAIKOMAS PD / LGD METODAS, SUMOS SUSKIRSTYMAS PAGAL ĮSIPAREIGOJANČIOJO ASMENS RANGĄ</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 LGD metodą taikančios įstaigos (KRR 155 straipsnio 3 dalis) privalomą informaciją pateikia CR EQU IRB 2 formoje.</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Jeigu PD / LGD metodą taikančios įstaigos naudoja unikalią reitingų sistemą arba gali informaciją teikti pagal vidaus bazinę skalę, CR EQU IRB 2 formoje jos nurodo reitingų rangus arba grupes pagal šią unikalią reitingų sistemą / b</w:t>
            </w:r>
            <w:r>
              <w:rPr>
                <w:rStyle w:val="InstructionsTabelleText"/>
                <w:rFonts w:ascii="Times New Roman" w:hAnsi="Times New Roman"/>
                <w:sz w:val="24"/>
              </w:rPr>
              <w:t>a</w:t>
            </w:r>
            <w:r>
              <w:rPr>
                <w:rStyle w:val="InstructionsTabelleText"/>
                <w:rFonts w:ascii="Times New Roman" w:hAnsi="Times New Roman"/>
                <w:sz w:val="24"/>
              </w:rPr>
              <w:t>zinę skalę. Visais kitais atvejais skirtingos reitingų sistemos sujungiamos ir duomenys sugrupuojami pagal šiuos kriterijus: įvairiose reitingų sistemose naudojami įsipareigojančiųjų asmenų rangai arba grupės sujungiami ir sugr</w:t>
            </w:r>
            <w:r>
              <w:rPr>
                <w:rStyle w:val="InstructionsTabelleText"/>
                <w:rFonts w:ascii="Times New Roman" w:hAnsi="Times New Roman"/>
                <w:sz w:val="24"/>
              </w:rPr>
              <w:t>u</w:t>
            </w:r>
            <w:r>
              <w:rPr>
                <w:rStyle w:val="InstructionsTabelleText"/>
                <w:rFonts w:ascii="Times New Roman" w:hAnsi="Times New Roman"/>
                <w:sz w:val="24"/>
              </w:rPr>
              <w:t>puojami nuo mažiausios iki didžiausios PD, priskirtos kiekvienam įsipareig</w:t>
            </w:r>
            <w:r>
              <w:rPr>
                <w:rStyle w:val="InstructionsTabelleText"/>
                <w:rFonts w:ascii="Times New Roman" w:hAnsi="Times New Roman"/>
                <w:sz w:val="24"/>
              </w:rPr>
              <w:t>o</w:t>
            </w:r>
            <w:r>
              <w:rPr>
                <w:rStyle w:val="InstructionsTabelleText"/>
                <w:rFonts w:ascii="Times New Roman" w:hAnsi="Times New Roman"/>
                <w:sz w:val="24"/>
              </w:rPr>
              <w:t>jančiojo asmens rangui arba grupei.</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4010066"/>
      <w:r>
        <w:rPr>
          <w:rFonts w:ascii="Times New Roman" w:hAnsi="Times New Roman"/>
          <w:sz w:val="24"/>
          <w:u w:val="none"/>
        </w:rPr>
        <w:t>3.6.</w:t>
      </w:r>
      <w:r>
        <w:tab/>
      </w:r>
      <w:r>
        <w:rPr>
          <w:rFonts w:ascii="Times New Roman" w:hAnsi="Times New Roman"/>
          <w:sz w:val="24"/>
        </w:rPr>
        <w:t>C 11.00. Atsiskaitymo / pristatymo rizika</w:t>
      </w:r>
      <w:bookmarkEnd w:id="424"/>
      <w:bookmarkEnd w:id="425"/>
      <w:r>
        <w:rPr>
          <w:rFonts w:ascii="Times New Roman" w:hAnsi="Times New Roman"/>
          <w:sz w:val="24"/>
        </w:rPr>
        <w:t xml:space="preserve"> (CR SETT)</w:t>
      </w:r>
      <w:bookmarkEnd w:id="426"/>
      <w:bookmarkEnd w:id="427"/>
      <w:bookmarkEnd w:id="42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4010067"/>
      <w:r>
        <w:rPr>
          <w:rFonts w:ascii="Times New Roman" w:hAnsi="Times New Roman"/>
          <w:sz w:val="24"/>
          <w:u w:val="none"/>
        </w:rPr>
        <w:t>3.6.1.</w:t>
      </w:r>
      <w:r>
        <w:tab/>
      </w:r>
      <w:r>
        <w:rPr>
          <w:rFonts w:ascii="Times New Roman" w:hAnsi="Times New Roman"/>
          <w:sz w:val="24"/>
        </w:rPr>
        <w:t>Bendrosios pastabos</w:t>
      </w:r>
      <w:bookmarkEnd w:id="429"/>
      <w:bookmarkEnd w:id="430"/>
      <w:bookmarkEnd w:id="431"/>
      <w:bookmarkEnd w:id="432"/>
      <w:bookmarkEnd w:id="433"/>
      <w:bookmarkEnd w:id="434"/>
      <w:bookmarkEnd w:id="435"/>
    </w:p>
    <w:p w:rsidR="00612780" w:rsidRPr="00392FFD" w:rsidRDefault="00125707" w:rsidP="00C37B29">
      <w:pPr>
        <w:pStyle w:val="InstructionsText2"/>
        <w:numPr>
          <w:ilvl w:val="0"/>
          <w:numId w:val="0"/>
        </w:numPr>
        <w:ind w:left="993"/>
      </w:pPr>
      <w:r>
        <w:t>93.</w:t>
      </w:r>
      <w:r>
        <w:tab/>
        <w:t>Šioje formoje prašoma pateikti informaciją ir apie prekybos, ir apie ne prek</w:t>
      </w:r>
      <w:r>
        <w:t>y</w:t>
      </w:r>
      <w:r>
        <w:t>bos knygos sandorius, pagal kuriuos neatsiskaityta po pristatymo datos, ir apie at</w:t>
      </w:r>
      <w:r>
        <w:t>i</w:t>
      </w:r>
      <w:r>
        <w:t xml:space="preserve">tinkamus nuosavų lėšų reikalavimus atsiskaitymo rizikai padengti pagal KRR 92 straipsnio 3 dalies c punkto ii papunktį ir 378 straipsnį. </w:t>
      </w:r>
    </w:p>
    <w:p w:rsidR="00612780" w:rsidRPr="00392FFD" w:rsidRDefault="00125707" w:rsidP="00C37B29">
      <w:pPr>
        <w:pStyle w:val="InstructionsText2"/>
        <w:numPr>
          <w:ilvl w:val="0"/>
          <w:numId w:val="0"/>
        </w:numPr>
        <w:ind w:left="993"/>
      </w:pPr>
      <w:r>
        <w:t>94.</w:t>
      </w:r>
      <w:r>
        <w:tab/>
        <w:t>Įstaigos šioje CR SETT formoje pateikia informaciją apie atsiskaitymo / prist</w:t>
      </w:r>
      <w:r>
        <w:t>a</w:t>
      </w:r>
      <w:r>
        <w:t>tymo riziką, susijusią su prekybos knygos arba ne prekybos knygos skolos priem</w:t>
      </w:r>
      <w:r>
        <w:t>o</w:t>
      </w:r>
      <w:r>
        <w:t xml:space="preserve">nėmis, nuosavybės vertybiniais popieriais, užsienio valiutomis ir biržos prekėmis. </w:t>
      </w:r>
    </w:p>
    <w:p w:rsidR="00612780" w:rsidRPr="00392FFD" w:rsidRDefault="00125707" w:rsidP="00C37B29">
      <w:pPr>
        <w:pStyle w:val="InstructionsText2"/>
        <w:numPr>
          <w:ilvl w:val="0"/>
          <w:numId w:val="0"/>
        </w:numPr>
        <w:ind w:left="993"/>
      </w:pPr>
      <w:r>
        <w:t>95.</w:t>
      </w:r>
      <w:r>
        <w:tab/>
        <w:t>Pagal KRR 378 straipsnį atpirkimo sandoriai, vertybinių popierių arba biržos prekių skolinimo ir skolinimosi sandoriai, susiję su skolos priemonėmis, nuosav</w:t>
      </w:r>
      <w:r>
        <w:t>y</w:t>
      </w:r>
      <w:r>
        <w:t>bės vertybiniais popieriais, užsienio valiutomis ir biržos prekėmis, nėra susiję su a</w:t>
      </w:r>
      <w:r>
        <w:t>t</w:t>
      </w:r>
      <w:r>
        <w:t>siskaitymo / pristatymo rizika. Tačiau atkreipkite dėmesį, kad išvestinių finansinių priemonių ir ilgalaikių atsiskaitymo sandorių, pagal kuriuos neatsiskaityta po prist</w:t>
      </w:r>
      <w:r>
        <w:t>a</w:t>
      </w:r>
      <w:r>
        <w:t>tymo datos, atveju vis tiek yra skaičiuojami nuosavų lėšų reikalavimai atsiskaitymo / pristatymo rizikai padengti, kaip nustatyta KRR 378 straipsnyje.</w:t>
      </w:r>
    </w:p>
    <w:p w:rsidR="00612780" w:rsidRPr="00392FFD" w:rsidRDefault="00125707" w:rsidP="00C37B29">
      <w:pPr>
        <w:pStyle w:val="InstructionsText2"/>
        <w:numPr>
          <w:ilvl w:val="0"/>
          <w:numId w:val="0"/>
        </w:numPr>
        <w:ind w:left="993"/>
      </w:pPr>
      <w:r>
        <w:t>96.</w:t>
      </w:r>
      <w:r>
        <w:tab/>
        <w:t>Jeigu pagal sandorį nėra atsiskaitoma po nustatytos pristatymo datos, įstaigos apskaičiuoja kainų skirtumą, kurio negali gauti. Tai yra sutartos atsiskaitymo už at</w:t>
      </w:r>
      <w:r>
        <w:t>i</w:t>
      </w:r>
      <w:r>
        <w:t xml:space="preserve">tinkamas skolos priemones, nuosavybės vertybinius popierius, užsienio valiutą arba biržos prekes kainos ir dabartinės jų rinkos vertės skirtumas, dėl kurio įstaiga gali patirti nuostolių. </w:t>
      </w:r>
    </w:p>
    <w:p w:rsidR="00612780" w:rsidRPr="00392FFD" w:rsidRDefault="00125707" w:rsidP="00C37B29">
      <w:pPr>
        <w:pStyle w:val="InstructionsText2"/>
        <w:numPr>
          <w:ilvl w:val="0"/>
          <w:numId w:val="0"/>
        </w:numPr>
        <w:ind w:left="993"/>
      </w:pPr>
      <w:r>
        <w:t>97.</w:t>
      </w:r>
      <w:r>
        <w:tab/>
        <w:t>Įstaigos šį skirtumą padaugina iš atitinkamo KRR 378 straipsnio 1 lentelėje p</w:t>
      </w:r>
      <w:r>
        <w:t>a</w:t>
      </w:r>
      <w:r>
        <w:t>teikto koeficiento ir taip nustato atitinkamus nuosavų lėšų reikalavimus.</w:t>
      </w:r>
    </w:p>
    <w:p w:rsidR="00612780" w:rsidRPr="00392FFD" w:rsidRDefault="00125707" w:rsidP="00C37B29">
      <w:pPr>
        <w:pStyle w:val="InstructionsText2"/>
        <w:numPr>
          <w:ilvl w:val="0"/>
          <w:numId w:val="0"/>
        </w:numPr>
        <w:ind w:left="993"/>
      </w:pPr>
      <w:r>
        <w:t>98.</w:t>
      </w:r>
      <w:r>
        <w:tab/>
        <w:t>Pagal 92 straipsnio 4 dalies b punktą, norint apskaičiuoti rizikos pozicijos s</w:t>
      </w:r>
      <w:r>
        <w:t>u</w:t>
      </w:r>
      <w:r>
        <w:t>mą, nuosavų lėšų reikalavimus atsiskaitymo / pristatymo rizikai padengti reikia p</w:t>
      </w:r>
      <w:r>
        <w:t>a</w:t>
      </w:r>
      <w:r>
        <w:t>dauginti iš 12,5.</w:t>
      </w:r>
    </w:p>
    <w:p w:rsidR="00612780" w:rsidRPr="00392FFD" w:rsidRDefault="00125707" w:rsidP="00C37B29">
      <w:pPr>
        <w:pStyle w:val="InstructionsText2"/>
        <w:numPr>
          <w:ilvl w:val="0"/>
          <w:numId w:val="0"/>
        </w:numPr>
        <w:ind w:left="993"/>
      </w:pPr>
      <w:r>
        <w:t>99.</w:t>
      </w:r>
      <w:r>
        <w:tab/>
        <w:t>Atkreipkite dėmesį, kad CR SETT formoje nuosavų lėšų reikalavimai KRR 379 straipsnyje nurodytiems nebaigtiems sandoriams nėra nurodomi; jie nurodomi kredito rizikos formose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4010068"/>
      <w:r>
        <w:rPr>
          <w:rFonts w:ascii="Times New Roman" w:hAnsi="Times New Roman"/>
          <w:sz w:val="24"/>
          <w:u w:val="none"/>
        </w:rPr>
        <w:lastRenderedPageBreak/>
        <w:t>3.6.2.</w:t>
      </w:r>
      <w:r>
        <w:tab/>
      </w:r>
      <w:r>
        <w:rPr>
          <w:rFonts w:ascii="Times New Roman" w:hAnsi="Times New Roman"/>
          <w:sz w:val="24"/>
        </w:rPr>
        <w:t>Nurodymai dėl konkrečių pozicijų</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Skiltys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NESUMOKĖTA ATSISKAITYMO KAINA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Pagal KRR 378 straipsnį įstaigos 010 skiltyje nurodo sandorius, pagal kuriuos po pristatymo datos sutarta atsiskaitymo kaina nebuvo sumokėta.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i/>
                <w:sz w:val="24"/>
              </w:rPr>
              <w:t>Visi sandoriai, pagal kuriuos neatsiskaityta</w:t>
            </w:r>
            <w:r>
              <w:rPr>
                <w:rFonts w:ascii="Times New Roman" w:hAnsi="Times New Roman"/>
                <w:sz w:val="24"/>
              </w:rPr>
              <w:t>, įtraukiami į šią 010 skiltį, nepaisant to, ar pagal juos po nustatytos atsiskaitymo datos susidarė pelnas, ar nuostolis.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KAINŲ SKIRTUMO POZICIJA DĖL SANDORIŲ, PAGAL KURIUOS NEATSISKAITYTA</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Pagal KRR 378 straipsnį įstaigos 020 skiltyje nurodo kainų skirtumą tarp suta</w:t>
            </w:r>
            <w:r>
              <w:rPr>
                <w:rFonts w:ascii="Times New Roman" w:hAnsi="Times New Roman"/>
                <w:sz w:val="24"/>
              </w:rPr>
              <w:t>r</w:t>
            </w:r>
            <w:r>
              <w:rPr>
                <w:rFonts w:ascii="Times New Roman" w:hAnsi="Times New Roman"/>
                <w:sz w:val="24"/>
              </w:rPr>
              <w:t xml:space="preserve">tos skolos priemonių, nuosavybės vertybinių popierių, užsienio valiutos ar biržos prekių atsiskaitymo kainos ir dabartinės jos rinkos vertės, </w:t>
            </w:r>
            <w:r>
              <w:rPr>
                <w:rFonts w:ascii="Times New Roman" w:hAnsi="Times New Roman"/>
                <w:i/>
                <w:sz w:val="24"/>
              </w:rPr>
              <w:t>jei dėl to skirtumo įstaiga gali turėti nuostolį</w:t>
            </w:r>
            <w:r>
              <w:rPr>
                <w:rFonts w:ascii="Times New Roman" w:hAnsi="Times New Roman"/>
                <w:sz w:val="24"/>
              </w:rPr>
              <w:t xml:space="preserve">.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020 skiltyje nurodomi tik </w:t>
            </w:r>
            <w:r>
              <w:rPr>
                <w:rFonts w:ascii="Times New Roman" w:hAnsi="Times New Roman"/>
                <w:i/>
                <w:sz w:val="24"/>
              </w:rPr>
              <w:t xml:space="preserve">sandoriai, pagal kuriuos neatsiskaičius </w:t>
            </w:r>
            <w:r>
              <w:rPr>
                <w:rFonts w:ascii="Times New Roman" w:hAnsi="Times New Roman"/>
                <w:sz w:val="24"/>
              </w:rPr>
              <w:t>nustatytą ats</w:t>
            </w:r>
            <w:r>
              <w:rPr>
                <w:rFonts w:ascii="Times New Roman" w:hAnsi="Times New Roman"/>
                <w:sz w:val="24"/>
              </w:rPr>
              <w:t>i</w:t>
            </w:r>
            <w:r>
              <w:rPr>
                <w:rFonts w:ascii="Times New Roman" w:hAnsi="Times New Roman"/>
                <w:sz w:val="24"/>
              </w:rPr>
              <w:t xml:space="preserve">skaitymo datą </w:t>
            </w:r>
            <w:r>
              <w:rPr>
                <w:rFonts w:ascii="Times New Roman" w:hAnsi="Times New Roman"/>
                <w:i/>
                <w:sz w:val="24"/>
              </w:rPr>
              <w:t>susidarė nuostolis</w:t>
            </w:r>
            <w:r>
              <w:rPr>
                <w:rFonts w:ascii="Times New Roman" w:hAnsi="Times New Roman"/>
                <w:sz w:val="24"/>
              </w:rPr>
              <w:t>.</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NUOSAVŲ LĖŠŲ REIKALAVIMAI</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030 skiltyje įstaigos nurodo pagal KRR 378 straipsnį apskaičiuotus nuosavų lėšų reikalavimus.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BENDRA ATSISKAITYMO RIZIKOS POZICIJOS SUMA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Pagal KRR 92 straipsnio 4 dalies b punktą įstaigos 030 skiltyje nurodytus nu</w:t>
            </w:r>
            <w:r>
              <w:rPr>
                <w:rFonts w:ascii="Times New Roman" w:hAnsi="Times New Roman"/>
                <w:sz w:val="24"/>
              </w:rPr>
              <w:t>o</w:t>
            </w:r>
            <w:r>
              <w:rPr>
                <w:rFonts w:ascii="Times New Roman" w:hAnsi="Times New Roman"/>
                <w:sz w:val="24"/>
              </w:rPr>
              <w:t>savų lėšų reikalavimus padaugina iš 12,5, taip apskaičiuodamos atsiskaitymo r</w:t>
            </w:r>
            <w:r>
              <w:rPr>
                <w:rFonts w:ascii="Times New Roman" w:hAnsi="Times New Roman"/>
                <w:sz w:val="24"/>
              </w:rPr>
              <w:t>i</w:t>
            </w:r>
            <w:r>
              <w:rPr>
                <w:rFonts w:ascii="Times New Roman" w:hAnsi="Times New Roman"/>
                <w:sz w:val="24"/>
              </w:rPr>
              <w:t>zikos pozicijos sumą.</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Eilutės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Bendra ne prekybos knygos sandorių, pagal kuriuos neatsiskaityta, suma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010 eilutėje įstaigos pateikia agreguotus ne prekybos knygos pozicijų atsiska</w:t>
            </w:r>
            <w:r>
              <w:rPr>
                <w:rFonts w:ascii="Times New Roman" w:hAnsi="Times New Roman"/>
                <w:sz w:val="24"/>
              </w:rPr>
              <w:t>i</w:t>
            </w:r>
            <w:r>
              <w:rPr>
                <w:rFonts w:ascii="Times New Roman" w:hAnsi="Times New Roman"/>
                <w:sz w:val="24"/>
              </w:rPr>
              <w:t>tymo / pristatymo rizikos duomenis (pagal KRR 92 straipsnio 3 dalies c punkto ii papunktį ir 378 straipsnį).</w:t>
            </w:r>
          </w:p>
          <w:p w:rsidR="00745369" w:rsidRPr="00392FFD" w:rsidRDefault="00612780" w:rsidP="00450A2E">
            <w:pPr>
              <w:spacing w:beforeLines="60" w:before="144"/>
              <w:rPr>
                <w:rFonts w:ascii="Times New Roman" w:hAnsi="Times New Roman"/>
                <w:sz w:val="24"/>
              </w:rPr>
            </w:pPr>
            <w:r>
              <w:rPr>
                <w:rFonts w:ascii="Times New Roman" w:hAnsi="Times New Roman"/>
                <w:sz w:val="24"/>
              </w:rPr>
              <w:t>010/010 laukelyje įstaigos pateikia agreguotus sandorių, pagal kuriuos atitink</w:t>
            </w:r>
            <w:r>
              <w:rPr>
                <w:rFonts w:ascii="Times New Roman" w:hAnsi="Times New Roman"/>
                <w:sz w:val="24"/>
              </w:rPr>
              <w:t>a</w:t>
            </w:r>
            <w:r>
              <w:rPr>
                <w:rFonts w:ascii="Times New Roman" w:hAnsi="Times New Roman"/>
                <w:sz w:val="24"/>
              </w:rPr>
              <w:t>ma sutarta atsiskaitymo kaina nebuvo sumokėta po nustatytos pristatymo dienos, duomenis.</w:t>
            </w:r>
          </w:p>
          <w:p w:rsidR="00745369" w:rsidRPr="00392FFD" w:rsidRDefault="00612780" w:rsidP="00450A2E">
            <w:pPr>
              <w:spacing w:beforeLines="60" w:before="144"/>
              <w:rPr>
                <w:rFonts w:ascii="Times New Roman" w:hAnsi="Times New Roman"/>
                <w:sz w:val="24"/>
              </w:rPr>
            </w:pPr>
            <w:r>
              <w:rPr>
                <w:rFonts w:ascii="Times New Roman" w:hAnsi="Times New Roman"/>
                <w:sz w:val="24"/>
              </w:rPr>
              <w:t>010/020 laukelyje įstaigos pateikia agreguotus kainų skirtumo pozicijos, susid</w:t>
            </w:r>
            <w:r>
              <w:rPr>
                <w:rFonts w:ascii="Times New Roman" w:hAnsi="Times New Roman"/>
                <w:sz w:val="24"/>
              </w:rPr>
              <w:t>a</w:t>
            </w:r>
            <w:r>
              <w:rPr>
                <w:rFonts w:ascii="Times New Roman" w:hAnsi="Times New Roman"/>
                <w:sz w:val="24"/>
              </w:rPr>
              <w:t>riusios dėl nuostolingų sandorių, pagal kuriuos neatsiskaityta, duomenis.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010/030 laukelyje įstaigos pateikia agreguotus nuosavų lėšų reikalavimų du</w:t>
            </w:r>
            <w:r>
              <w:rPr>
                <w:rFonts w:ascii="Times New Roman" w:hAnsi="Times New Roman"/>
                <w:sz w:val="24"/>
              </w:rPr>
              <w:t>o</w:t>
            </w:r>
            <w:r>
              <w:rPr>
                <w:rFonts w:ascii="Times New Roman" w:hAnsi="Times New Roman"/>
                <w:sz w:val="24"/>
              </w:rPr>
              <w:t>menis, gautus sudėjus nuosavų lėšų reikalavimus sandoriams, pagal kuriuos n</w:t>
            </w:r>
            <w:r>
              <w:rPr>
                <w:rFonts w:ascii="Times New Roman" w:hAnsi="Times New Roman"/>
                <w:sz w:val="24"/>
              </w:rPr>
              <w:t>e</w:t>
            </w:r>
            <w:r>
              <w:rPr>
                <w:rFonts w:ascii="Times New Roman" w:hAnsi="Times New Roman"/>
                <w:sz w:val="24"/>
              </w:rPr>
              <w:lastRenderedPageBreak/>
              <w:t>atsiskaityta, ir 020 skiltyje nurodytą kainos skirtumą padauginus iš atitinkamo koeficiento, grindžiamo darbo dienų, praėjusių nuo nustatytos atsiskaitymo d</w:t>
            </w:r>
            <w:r>
              <w:rPr>
                <w:rFonts w:ascii="Times New Roman" w:hAnsi="Times New Roman"/>
                <w:sz w:val="24"/>
              </w:rPr>
              <w:t>a</w:t>
            </w:r>
            <w:r>
              <w:rPr>
                <w:rFonts w:ascii="Times New Roman" w:hAnsi="Times New Roman"/>
                <w:sz w:val="24"/>
              </w:rPr>
              <w:t>tos, skaičiumi (KRR 378 straipsnio 1 lentelėje nurodytos kategorijos).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020–060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Sandoriai, pagal kuriuos neatsiskaityta iki 4 dienų (0 % koeficientas)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5–15 dienų (8 % koeficientas)</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16–30 dienų (50 % koeficientas)</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31–45 dienas (75 % koeficientas)</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46 dienas arba ilgiau (100 % koef</w:t>
            </w:r>
            <w:r>
              <w:rPr>
                <w:rStyle w:val="InstructionsTabelleberschrift"/>
                <w:rFonts w:ascii="Times New Roman" w:hAnsi="Times New Roman"/>
                <w:sz w:val="24"/>
              </w:rPr>
              <w:t>i</w:t>
            </w:r>
            <w:r>
              <w:rPr>
                <w:rStyle w:val="InstructionsTabelleberschrift"/>
                <w:rFonts w:ascii="Times New Roman" w:hAnsi="Times New Roman"/>
                <w:sz w:val="24"/>
              </w:rPr>
              <w:t>cientas)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Įstaigos, remdamosi KRR 378 straipsnio 1 lentelėje nurodytomis kategorijomis, 020–060 eilutėse pateikia informaciją apie ne prekybos knygos pozicijų atsiska</w:t>
            </w:r>
            <w:r>
              <w:rPr>
                <w:rFonts w:ascii="Times New Roman" w:hAnsi="Times New Roman"/>
                <w:sz w:val="24"/>
              </w:rPr>
              <w:t>i</w:t>
            </w:r>
            <w:r>
              <w:rPr>
                <w:rFonts w:ascii="Times New Roman" w:hAnsi="Times New Roman"/>
                <w:sz w:val="24"/>
              </w:rPr>
              <w:t xml:space="preserve">tymo / pristatymo riziką.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Jeigu pagal sandorį neatsiskaityta trumpiau negu 5 darbo dienas nuo nustatytos atsiskaitymo datos, nuosavų lėšų reikalavimų atsiskaitymo / pristatymo rizikai padengti skaičiuoti nereikia.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Bendra prekybos knygos sandorių, pagal kuriuos neatsiskaityta, suma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070 eilutėje įstaigos pateikia agreguotus prekybos knygos pozicijų atsiskaitymo / pristatymo rizikos duomenis (pagal KRR 92 straipsnio 3 dalies c punkto ii p</w:t>
            </w:r>
            <w:r>
              <w:rPr>
                <w:rFonts w:ascii="Times New Roman" w:hAnsi="Times New Roman"/>
                <w:sz w:val="24"/>
              </w:rPr>
              <w:t>a</w:t>
            </w:r>
            <w:r>
              <w:rPr>
                <w:rFonts w:ascii="Times New Roman" w:hAnsi="Times New Roman"/>
                <w:sz w:val="24"/>
              </w:rPr>
              <w:t>punktį ir 378 straipsnį).</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070/010 laukelyje įstaigos pateikia agreguotus sandorių, pagal kuriuos atitink</w:t>
            </w:r>
            <w:r>
              <w:rPr>
                <w:rFonts w:ascii="Times New Roman" w:hAnsi="Times New Roman"/>
                <w:sz w:val="24"/>
              </w:rPr>
              <w:t>a</w:t>
            </w:r>
            <w:r>
              <w:rPr>
                <w:rFonts w:ascii="Times New Roman" w:hAnsi="Times New Roman"/>
                <w:sz w:val="24"/>
              </w:rPr>
              <w:t>ma sutarta atsiskaitymo kaina nebuvo sumokėta po nustatytos pristatymo dienos, duomenis.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070/020 laukelyje įstaigos pateikia agreguotus kainų skirtumo pozicijos, susid</w:t>
            </w:r>
            <w:r>
              <w:rPr>
                <w:rFonts w:ascii="Times New Roman" w:hAnsi="Times New Roman"/>
                <w:sz w:val="24"/>
              </w:rPr>
              <w:t>a</w:t>
            </w:r>
            <w:r>
              <w:rPr>
                <w:rFonts w:ascii="Times New Roman" w:hAnsi="Times New Roman"/>
                <w:sz w:val="24"/>
              </w:rPr>
              <w:t>riusios dėl nuostolingų sandorių, pagal kuriuos neatsiskaityta, duomenis.</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070/030 laukelyje įstaigos pateikia agreguotus nuosavų lėšų reikalavimų du</w:t>
            </w:r>
            <w:r>
              <w:rPr>
                <w:rFonts w:ascii="Times New Roman" w:hAnsi="Times New Roman"/>
                <w:sz w:val="24"/>
              </w:rPr>
              <w:t>o</w:t>
            </w:r>
            <w:r>
              <w:rPr>
                <w:rFonts w:ascii="Times New Roman" w:hAnsi="Times New Roman"/>
                <w:sz w:val="24"/>
              </w:rPr>
              <w:t>menis, gautus sudėjus nuosavų lėšų reikalavimus sandoriams, pagal kuriuos n</w:t>
            </w:r>
            <w:r>
              <w:rPr>
                <w:rFonts w:ascii="Times New Roman" w:hAnsi="Times New Roman"/>
                <w:sz w:val="24"/>
              </w:rPr>
              <w:t>e</w:t>
            </w:r>
            <w:r>
              <w:rPr>
                <w:rFonts w:ascii="Times New Roman" w:hAnsi="Times New Roman"/>
                <w:sz w:val="24"/>
              </w:rPr>
              <w:t>atsiskaityta, ir 020 skiltyje nurodytą kainos skirtumą padauginus iš atitinkamo koeficiento, grindžiamo darbo dienų, praėjusių nuo nustatytos atsiskaitymo d</w:t>
            </w:r>
            <w:r>
              <w:rPr>
                <w:rFonts w:ascii="Times New Roman" w:hAnsi="Times New Roman"/>
                <w:sz w:val="24"/>
              </w:rPr>
              <w:t>a</w:t>
            </w:r>
            <w:r>
              <w:rPr>
                <w:rFonts w:ascii="Times New Roman" w:hAnsi="Times New Roman"/>
                <w:sz w:val="24"/>
              </w:rPr>
              <w:t>tos, skaičiumi (KRR 378 straipsnio 1 lentelėje nurodytos kategorijos).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080–120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Sandoriai, pagal kuriuos neatsiskaityta iki 4 dienų (0 % koeficientas)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5–15 dienų (8 % koeficientas)</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16–30 dienų (50 % koeficientas)</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31–45 dienas (75 % koeficientas)</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46 dienas arba ilgiau (100 % koef</w:t>
            </w:r>
            <w:r>
              <w:rPr>
                <w:rStyle w:val="InstructionsTabelleberschrift"/>
                <w:rFonts w:ascii="Times New Roman" w:hAnsi="Times New Roman"/>
                <w:sz w:val="24"/>
              </w:rPr>
              <w:t>i</w:t>
            </w:r>
            <w:r>
              <w:rPr>
                <w:rStyle w:val="InstructionsTabelleberschrift"/>
                <w:rFonts w:ascii="Times New Roman" w:hAnsi="Times New Roman"/>
                <w:sz w:val="24"/>
              </w:rPr>
              <w:t>cientas)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Įstaigos, remdamosi KRR 378 straipsnio 1 lentelėje nurodytomis kategorijomis, 080–120 eilutėse pateikia informaciją apie prekybos knygos pozicijų atsiskait</w:t>
            </w:r>
            <w:r>
              <w:rPr>
                <w:rFonts w:ascii="Times New Roman" w:hAnsi="Times New Roman"/>
                <w:sz w:val="24"/>
              </w:rPr>
              <w:t>y</w:t>
            </w:r>
            <w:r>
              <w:rPr>
                <w:rFonts w:ascii="Times New Roman" w:hAnsi="Times New Roman"/>
                <w:sz w:val="24"/>
              </w:rPr>
              <w:t xml:space="preserve">mo / pristatymo riziką.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lastRenderedPageBreak/>
              <w:t>Jeigu pagal sandorį neatsiskaityta trumpiau negu 5 darbo dienas nuo nustatytos atsiskaitymo datos, nuosavų lėšų reikalavimų atsiskaitymo / pristatymo rizikai padengti skaičiuoti nereikia.</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4010069"/>
      <w:r>
        <w:rPr>
          <w:rFonts w:ascii="Times New Roman" w:hAnsi="Times New Roman"/>
          <w:sz w:val="24"/>
          <w:u w:val="none"/>
        </w:rPr>
        <w:lastRenderedPageBreak/>
        <w:t>3.7.</w:t>
      </w:r>
      <w:r>
        <w:tab/>
      </w:r>
      <w:r>
        <w:rPr>
          <w:rFonts w:ascii="Times New Roman" w:hAnsi="Times New Roman"/>
          <w:sz w:val="24"/>
        </w:rPr>
        <w:t>C 12.00. Kredito rizika. Pakeitimas vertybiniais popieriais. Standartizuotas metodas, taikomas nuosavų lėšų reikalavimams</w:t>
      </w:r>
      <w:bookmarkEnd w:id="441"/>
      <w:bookmarkEnd w:id="442"/>
      <w:r>
        <w:rPr>
          <w:rFonts w:ascii="Times New Roman" w:hAnsi="Times New Roman"/>
          <w:sz w:val="24"/>
        </w:rPr>
        <w:t xml:space="preserve"> (CR SEC SA)</w:t>
      </w:r>
      <w:bookmarkEnd w:id="443"/>
      <w:bookmarkEnd w:id="444"/>
      <w:bookmarkEnd w:id="445"/>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4010070"/>
      <w:r>
        <w:rPr>
          <w:rFonts w:ascii="Times New Roman" w:hAnsi="Times New Roman"/>
          <w:sz w:val="24"/>
          <w:u w:val="none"/>
        </w:rPr>
        <w:t>3.7.1.</w:t>
      </w:r>
      <w:r>
        <w:tab/>
      </w:r>
      <w:r>
        <w:rPr>
          <w:rFonts w:ascii="Times New Roman" w:hAnsi="Times New Roman"/>
          <w:sz w:val="24"/>
        </w:rPr>
        <w:t>Bendrosios pastabos</w:t>
      </w:r>
      <w:bookmarkEnd w:id="446"/>
      <w:bookmarkEnd w:id="447"/>
      <w:bookmarkEnd w:id="448"/>
      <w:bookmarkEnd w:id="449"/>
      <w:bookmarkEnd w:id="450"/>
      <w:bookmarkEnd w:id="451"/>
    </w:p>
    <w:p w:rsidR="00C67004" w:rsidRDefault="00125707" w:rsidP="00C37B29">
      <w:pPr>
        <w:pStyle w:val="InstructionsText2"/>
        <w:numPr>
          <w:ilvl w:val="0"/>
          <w:numId w:val="0"/>
        </w:numPr>
        <w:ind w:left="993"/>
      </w:pPr>
      <w:r>
        <w:t>100.</w:t>
      </w:r>
      <w:r>
        <w:tab/>
        <w:t>Šioje formoje pateikiama informacija apie kiekvieną taikant standartizuotą m</w:t>
      </w:r>
      <w:r>
        <w:t>e</w:t>
      </w:r>
      <w:r>
        <w:t>todą vykdomą pakeitimą vertybiniais popieriais, kuriuo pripažįstamas reikšmingas rizikos perleidimas ir kurį vykdant dalyvauja informaciją teikianti įstaiga. Ataska</w:t>
      </w:r>
      <w:r>
        <w:t>i</w:t>
      </w:r>
      <w:r>
        <w:t>tinių datų po 2019 m. sausio 1 d. pakeitimo vertybiniais popieriais pozicijos, kurių pagal riziką įvertintų pozicijų suma nustatoma pagal peržiūrėtą pakeitimo vertyb</w:t>
      </w:r>
      <w:r>
        <w:t>i</w:t>
      </w:r>
      <w:r>
        <w:t>niais popieriais sistemą, nurodomos ne šioje formoje, o tik C 02.00 formoje. Lygiai taip pat ataskaitinių datų po 2019 m. sausio 1 d. pakeitimo vertybiniais popieriais pozicijos, kurioms pagal peržiūrėtą pakeitimo vertybiniais popieriais sistemą ta</w:t>
      </w:r>
      <w:r>
        <w:t>i</w:t>
      </w:r>
      <w:r>
        <w:t>komas 1250 % rizikos koeficientas ir kurios pagal KRR 36 straipsnio 1 dalies k punkto ii papunktį yra atskaitomos iš CET1, nurodomos ne šioje formoje, o tik C 01.00 formoje.</w:t>
      </w:r>
    </w:p>
    <w:p w:rsidR="00C67004" w:rsidRDefault="00C67004" w:rsidP="00C37B29">
      <w:pPr>
        <w:pStyle w:val="InstructionsText2"/>
        <w:numPr>
          <w:ilvl w:val="0"/>
          <w:numId w:val="0"/>
        </w:numPr>
        <w:ind w:left="993"/>
      </w:pPr>
      <w:r>
        <w:t>100 a. Šioje formoje visos nuorodos į KRR trečios dalies II antraštinės dalies 5 sk</w:t>
      </w:r>
      <w:r>
        <w:t>y</w:t>
      </w:r>
      <w:r>
        <w:t>riaus straipsnius laikomos nuorodomis į 2018 m. gruodžio 31 d. galiojančią KRR redakciją.</w:t>
      </w:r>
    </w:p>
    <w:p w:rsidR="00612780" w:rsidRPr="00392FFD" w:rsidRDefault="00C67004" w:rsidP="00C37B29">
      <w:pPr>
        <w:pStyle w:val="InstructionsText2"/>
        <w:numPr>
          <w:ilvl w:val="0"/>
          <w:numId w:val="0"/>
        </w:numPr>
        <w:ind w:left="993"/>
      </w:pPr>
      <w:r>
        <w:t>100b. Pateikiama informacija skirstoma pagal vykdant pakeitimą vertybiniais p</w:t>
      </w:r>
      <w:r>
        <w:t>o</w:t>
      </w:r>
      <w:r>
        <w:t>pieriais įstaigai tenkantį vaidmenį. Taigi, atitinkami formos punktai yra skirti įsta</w:t>
      </w:r>
      <w:r>
        <w:t>i</w:t>
      </w:r>
      <w:r>
        <w:t>goms iniciatorėms, rėmėjoms ir investuotojoms.</w:t>
      </w:r>
    </w:p>
    <w:p w:rsidR="00612780" w:rsidRPr="00392FFD" w:rsidRDefault="00125707" w:rsidP="00C37B29">
      <w:pPr>
        <w:pStyle w:val="InstructionsText2"/>
        <w:numPr>
          <w:ilvl w:val="0"/>
          <w:numId w:val="0"/>
        </w:numPr>
        <w:ind w:left="993"/>
      </w:pPr>
      <w:r>
        <w:t>101.</w:t>
      </w:r>
      <w:r>
        <w:tab/>
        <w:t>CR SEC SA formoje pateikiama bendra informacija apie tradicinį ir sintetinį pakeitimą vertybiniais popieriais bankinėje knygoje, kaip apibrėžta atitinkamai KRR 242 straipsnio 10 ir 11 dalyse.</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4010071"/>
      <w:r>
        <w:rPr>
          <w:rFonts w:ascii="Times New Roman" w:hAnsi="Times New Roman"/>
          <w:sz w:val="24"/>
          <w:u w:val="none"/>
        </w:rPr>
        <w:t>3.7.2.</w:t>
      </w:r>
      <w:r>
        <w:tab/>
      </w:r>
      <w:r>
        <w:rPr>
          <w:rFonts w:ascii="Times New Roman" w:hAnsi="Times New Roman"/>
          <w:sz w:val="24"/>
        </w:rPr>
        <w:t>Nurodymai dėl konkrečių pozicijų</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Skiltys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INICIJUOTŲ PAKEITIMO VERTYBINIAIS POPIERIAIS POZICIJŲ SUMA</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Įstaigos iniciatorės privalo nurodyti ataskaitinę datą turimą visų esamų pake</w:t>
            </w:r>
            <w:r>
              <w:rPr>
                <w:rFonts w:ascii="Times New Roman" w:hAnsi="Times New Roman"/>
                <w:sz w:val="24"/>
              </w:rPr>
              <w:t>i</w:t>
            </w:r>
            <w:r>
              <w:rPr>
                <w:rFonts w:ascii="Times New Roman" w:hAnsi="Times New Roman"/>
                <w:sz w:val="24"/>
              </w:rPr>
              <w:t>timo vertybiniais popieriais pozicijų, susidariusių dėl pakeitimo vertybiniais popieriais sandorių, neapmokėtą sumą, neatsižvelgiant į tai, kam pozicijos pr</w:t>
            </w:r>
            <w:r>
              <w:rPr>
                <w:rFonts w:ascii="Times New Roman" w:hAnsi="Times New Roman"/>
                <w:sz w:val="24"/>
              </w:rPr>
              <w:t>i</w:t>
            </w:r>
            <w:r>
              <w:rPr>
                <w:rFonts w:ascii="Times New Roman" w:hAnsi="Times New Roman"/>
                <w:sz w:val="24"/>
              </w:rPr>
              <w:t>klauso. Turi būti nurodomos balansinės pakeitimo vertybiniais popieriais poz</w:t>
            </w:r>
            <w:r>
              <w:rPr>
                <w:rFonts w:ascii="Times New Roman" w:hAnsi="Times New Roman"/>
                <w:sz w:val="24"/>
              </w:rPr>
              <w:t>i</w:t>
            </w:r>
            <w:r>
              <w:rPr>
                <w:rFonts w:ascii="Times New Roman" w:hAnsi="Times New Roman"/>
                <w:sz w:val="24"/>
              </w:rPr>
              <w:t>cijos (pvz., obligacijos, subordinuotosios paskolos) ir nebalansinės pozicijos bei išvestinės finansinės priemonės (pvz., subordinuotosios kredito linijos, li</w:t>
            </w:r>
            <w:r>
              <w:rPr>
                <w:rFonts w:ascii="Times New Roman" w:hAnsi="Times New Roman"/>
                <w:sz w:val="24"/>
              </w:rPr>
              <w:t>k</w:t>
            </w:r>
            <w:r>
              <w:rPr>
                <w:rFonts w:ascii="Times New Roman" w:hAnsi="Times New Roman"/>
                <w:sz w:val="24"/>
              </w:rPr>
              <w:t>vidumo priemonės, palūkanų normų apsikeitimo sandoriai, kredito įsipareig</w:t>
            </w:r>
            <w:r>
              <w:rPr>
                <w:rFonts w:ascii="Times New Roman" w:hAnsi="Times New Roman"/>
                <w:sz w:val="24"/>
              </w:rPr>
              <w:t>o</w:t>
            </w:r>
            <w:r>
              <w:rPr>
                <w:rFonts w:ascii="Times New Roman" w:hAnsi="Times New Roman"/>
                <w:sz w:val="24"/>
              </w:rPr>
              <w:t>jimų neįvykdymo apsikeitimo sandoriai ir kt.), susidariusios dėl pakeitimo ve</w:t>
            </w:r>
            <w:r>
              <w:rPr>
                <w:rFonts w:ascii="Times New Roman" w:hAnsi="Times New Roman"/>
                <w:sz w:val="24"/>
              </w:rPr>
              <w:t>r</w:t>
            </w:r>
            <w:r>
              <w:rPr>
                <w:rFonts w:ascii="Times New Roman" w:hAnsi="Times New Roman"/>
                <w:sz w:val="24"/>
              </w:rPr>
              <w:t xml:space="preserve">tybiniais popieriais.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Tradicinio pakeitimo vertybiniais popieriais atveju, kai įstaiga iniciatorė jokios pozicijos neturi, įstaiga iniciatorė to pakeitimo vertybiniais popieriais neįtra</w:t>
            </w:r>
            <w:r>
              <w:rPr>
                <w:rFonts w:ascii="Times New Roman" w:hAnsi="Times New Roman"/>
                <w:sz w:val="24"/>
              </w:rPr>
              <w:t>u</w:t>
            </w:r>
            <w:r>
              <w:rPr>
                <w:rFonts w:ascii="Times New Roman" w:hAnsi="Times New Roman"/>
                <w:sz w:val="24"/>
              </w:rPr>
              <w:t xml:space="preserve">kia į CR SEC SA arba CR SEC IRB formas. Tuo atveju į įstaigos iniciatorės turimas pakeitimo vertybiniais popieriais pozicijas įtraukiamos atnaujinamųjų </w:t>
            </w:r>
            <w:r>
              <w:rPr>
                <w:rFonts w:ascii="Times New Roman" w:hAnsi="Times New Roman"/>
                <w:sz w:val="24"/>
              </w:rPr>
              <w:lastRenderedPageBreak/>
              <w:t>pozicijų, apibrėžtų KRR 242 straipsnio 12 dalyje, pakeitimo vertybiniais p</w:t>
            </w:r>
            <w:r>
              <w:rPr>
                <w:rFonts w:ascii="Times New Roman" w:hAnsi="Times New Roman"/>
                <w:sz w:val="24"/>
              </w:rPr>
              <w:t>o</w:t>
            </w:r>
            <w:r>
              <w:rPr>
                <w:rFonts w:ascii="Times New Roman" w:hAnsi="Times New Roman"/>
                <w:sz w:val="24"/>
              </w:rPr>
              <w:t>pieriais išankstinės amortizacijos nuostatos.</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SINTETINIS PAKEITIMAS VERTYBINIAIS POPIERIAIS. VERT</w:t>
            </w:r>
            <w:r>
              <w:rPr>
                <w:rFonts w:ascii="Times New Roman" w:hAnsi="Times New Roman"/>
                <w:b/>
                <w:sz w:val="24"/>
                <w:u w:val="single"/>
              </w:rPr>
              <w:t>Y</w:t>
            </w:r>
            <w:r>
              <w:rPr>
                <w:rFonts w:ascii="Times New Roman" w:hAnsi="Times New Roman"/>
                <w:b/>
                <w:sz w:val="24"/>
                <w:u w:val="single"/>
              </w:rPr>
              <w:t>BINIAIS POPIERIAIS PAKEISTŲ POZICIJŲ KREDITO UŽTIKR</w:t>
            </w:r>
            <w:r>
              <w:rPr>
                <w:rFonts w:ascii="Times New Roman" w:hAnsi="Times New Roman"/>
                <w:b/>
                <w:sz w:val="24"/>
                <w:u w:val="single"/>
              </w:rPr>
              <w:t>I</w:t>
            </w:r>
            <w:r>
              <w:rPr>
                <w:rFonts w:ascii="Times New Roman" w:hAnsi="Times New Roman"/>
                <w:b/>
                <w:sz w:val="24"/>
                <w:u w:val="single"/>
              </w:rPr>
              <w:t>NIMAS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Remiantis KRR 249 ir 250 straipsniais, pakeitimo vertybiniais popieriais poz</w:t>
            </w:r>
            <w:r>
              <w:rPr>
                <w:rFonts w:ascii="Times New Roman" w:hAnsi="Times New Roman"/>
                <w:sz w:val="24"/>
              </w:rPr>
              <w:t>i</w:t>
            </w:r>
            <w:r>
              <w:rPr>
                <w:rFonts w:ascii="Times New Roman" w:hAnsi="Times New Roman"/>
                <w:sz w:val="24"/>
              </w:rPr>
              <w:t>cijų kredito užtikrinimas nurodomas taip, tarsi terminų nesutapimų nebūtų.</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TIESIOGINIS KREDITO UŽTIKRINIMAS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Išsami užtikrinimo priemonės vertės, pakoreguotos pagal kintamumą (C</w:t>
            </w:r>
            <w:r>
              <w:rPr>
                <w:rFonts w:ascii="Times New Roman" w:hAnsi="Times New Roman"/>
                <w:sz w:val="24"/>
                <w:vertAlign w:val="subscript"/>
              </w:rPr>
              <w:t>VA</w:t>
            </w:r>
            <w:r>
              <w:rPr>
                <w:rFonts w:ascii="Times New Roman" w:hAnsi="Times New Roman"/>
                <w:sz w:val="24"/>
              </w:rPr>
              <w:t>), kuri turėtų būti nurodoma šioje skiltyje, skaičiavimo tvarka yra nustatyta KRR 223 straipsnio 2 dalyje.</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BENDRA NETENKAMŲ PINIGŲ SRAUTO SUMA. PAGAL N</w:t>
            </w:r>
            <w:r>
              <w:rPr>
                <w:rFonts w:ascii="Times New Roman" w:hAnsi="Times New Roman"/>
                <w:b/>
                <w:sz w:val="24"/>
                <w:u w:val="single"/>
              </w:rPr>
              <w:t>E</w:t>
            </w:r>
            <w:r>
              <w:rPr>
                <w:rFonts w:ascii="Times New Roman" w:hAnsi="Times New Roman"/>
                <w:b/>
                <w:sz w:val="24"/>
                <w:u w:val="single"/>
              </w:rPr>
              <w:t xml:space="preserve">TIESIOGINĮ KREDITO UŽTIKRINIMĄ PAKOREGUOTOS VERTĖS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Remiantis bendra gaunamų ir netenkamų pinigų srautų taisykle, šioje skiltyje nurodomos sumos parodomos kaip gaunamų pinigų srautas atitinkamoje kred</w:t>
            </w:r>
            <w:r>
              <w:rPr>
                <w:rFonts w:ascii="Times New Roman" w:hAnsi="Times New Roman"/>
                <w:sz w:val="24"/>
              </w:rPr>
              <w:t>i</w:t>
            </w:r>
            <w:r>
              <w:rPr>
                <w:rFonts w:ascii="Times New Roman" w:hAnsi="Times New Roman"/>
                <w:sz w:val="24"/>
              </w:rPr>
              <w:t>to rizikos formoje (CR SA arba CR IRB) ir užtikrinimo teikėjo pozicijų klasėje (t. y. trečiosios šalies, kuriai netiesioginio kredito užtikrinimo priemonėmis perduodamas segmentas).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Nominaliosios kredito užtikrinimo sumos, pakoreguotos pagal užsienio vali</w:t>
            </w:r>
            <w:r>
              <w:rPr>
                <w:rFonts w:ascii="Times New Roman" w:hAnsi="Times New Roman"/>
                <w:sz w:val="24"/>
              </w:rPr>
              <w:t>u</w:t>
            </w:r>
            <w:r>
              <w:rPr>
                <w:rFonts w:ascii="Times New Roman" w:hAnsi="Times New Roman"/>
                <w:sz w:val="24"/>
              </w:rPr>
              <w:t>tos kurso riziką, (G*) skaičiavimo tvarka yra nustatyta KRR 233 straipsnio 3 dalyje.</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TARIAMOJI IŠLAIKYTO ARBA ATPIRKTO KREDITO UŽTIKR</w:t>
            </w:r>
            <w:r>
              <w:rPr>
                <w:rFonts w:ascii="Times New Roman" w:hAnsi="Times New Roman"/>
                <w:b/>
                <w:sz w:val="24"/>
                <w:u w:val="single"/>
              </w:rPr>
              <w:t>I</w:t>
            </w:r>
            <w:r>
              <w:rPr>
                <w:rFonts w:ascii="Times New Roman" w:hAnsi="Times New Roman"/>
                <w:b/>
                <w:sz w:val="24"/>
                <w:u w:val="single"/>
              </w:rPr>
              <w:t>NIMO SUMA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Visi segmentai, kurie buvo išlaikyti arba atpirkti, pvz., išlaikytos pirmojo nu</w:t>
            </w:r>
            <w:r>
              <w:rPr>
                <w:rFonts w:ascii="Times New Roman" w:hAnsi="Times New Roman"/>
                <w:sz w:val="24"/>
              </w:rPr>
              <w:t>o</w:t>
            </w:r>
            <w:r>
              <w:rPr>
                <w:rFonts w:ascii="Times New Roman" w:hAnsi="Times New Roman"/>
                <w:sz w:val="24"/>
              </w:rPr>
              <w:t>stolio pozicijos, nurodomos savo nominaliąja verte.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Skaičiuojant išlaikyto arba atpirkto kredito užtikrinimo sumą, į priežiūros inst</w:t>
            </w:r>
            <w:r>
              <w:rPr>
                <w:rFonts w:ascii="Times New Roman" w:hAnsi="Times New Roman"/>
                <w:sz w:val="24"/>
              </w:rPr>
              <w:t>i</w:t>
            </w:r>
            <w:r>
              <w:rPr>
                <w:rFonts w:ascii="Times New Roman" w:hAnsi="Times New Roman"/>
                <w:sz w:val="24"/>
              </w:rPr>
              <w:t>tucijų nustatyto kredito užtikrinimo vertės sumažinimo poveikį neatsižvelgi</w:t>
            </w:r>
            <w:r>
              <w:rPr>
                <w:rFonts w:ascii="Times New Roman" w:hAnsi="Times New Roman"/>
                <w:sz w:val="24"/>
              </w:rPr>
              <w:t>a</w:t>
            </w:r>
            <w:r>
              <w:rPr>
                <w:rFonts w:ascii="Times New Roman" w:hAnsi="Times New Roman"/>
                <w:sz w:val="24"/>
              </w:rPr>
              <w:t>ma.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PAKEITIMO VERTYBINIAIS POPIERIAIS POZICIJOS. PRADINĖ POZICIJA IKI PERSKAIČIAVIMO KOEFICIENTŲ TAIKYMO</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Informaciją teikiančios įstaigos turimos pakeitimo vertybiniais popieriais poz</w:t>
            </w:r>
            <w:r>
              <w:rPr>
                <w:rFonts w:ascii="Times New Roman" w:hAnsi="Times New Roman"/>
                <w:sz w:val="24"/>
              </w:rPr>
              <w:t>i</w:t>
            </w:r>
            <w:r>
              <w:rPr>
                <w:rFonts w:ascii="Times New Roman" w:hAnsi="Times New Roman"/>
                <w:sz w:val="24"/>
              </w:rPr>
              <w:t>cijos, apskaičiuotos pagal KRR 246 straipsnio 1 dalies a, c ir e punktus ir 2 d</w:t>
            </w:r>
            <w:r>
              <w:rPr>
                <w:rFonts w:ascii="Times New Roman" w:hAnsi="Times New Roman"/>
                <w:sz w:val="24"/>
              </w:rPr>
              <w:t>a</w:t>
            </w:r>
            <w:r>
              <w:rPr>
                <w:rFonts w:ascii="Times New Roman" w:hAnsi="Times New Roman"/>
                <w:sz w:val="24"/>
              </w:rPr>
              <w:t>lį, netaikant kredito perskaičiavimo koeficientų ir jokių kitų kredito rizikos k</w:t>
            </w:r>
            <w:r>
              <w:rPr>
                <w:rFonts w:ascii="Times New Roman" w:hAnsi="Times New Roman"/>
                <w:sz w:val="24"/>
              </w:rPr>
              <w:t>o</w:t>
            </w:r>
            <w:r>
              <w:rPr>
                <w:rFonts w:ascii="Times New Roman" w:hAnsi="Times New Roman"/>
                <w:sz w:val="24"/>
              </w:rPr>
              <w:t>regavimų ir atidėjinių. Užskaita taikoma tik tada, kai tam pačiam SPPVPS p</w:t>
            </w:r>
            <w:r>
              <w:rPr>
                <w:rFonts w:ascii="Times New Roman" w:hAnsi="Times New Roman"/>
                <w:sz w:val="24"/>
              </w:rPr>
              <w:t>a</w:t>
            </w:r>
            <w:r>
              <w:rPr>
                <w:rFonts w:ascii="Times New Roman" w:hAnsi="Times New Roman"/>
                <w:sz w:val="24"/>
              </w:rPr>
              <w:t>teikiama daug išvestinių finansinių priemonių sandorių, kuriems taikomas re</w:t>
            </w:r>
            <w:r>
              <w:rPr>
                <w:rFonts w:ascii="Times New Roman" w:hAnsi="Times New Roman"/>
                <w:sz w:val="24"/>
              </w:rPr>
              <w:t>i</w:t>
            </w:r>
            <w:r>
              <w:rPr>
                <w:rFonts w:ascii="Times New Roman" w:hAnsi="Times New Roman"/>
                <w:sz w:val="24"/>
              </w:rPr>
              <w:t>kalavimus atitinkantis užskaitos susitarimas.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skiltyje nurodomi vertės koregavimai ir atidėjiniai yra susiję tik su pake</w:t>
            </w:r>
            <w:r>
              <w:rPr>
                <w:rFonts w:ascii="Times New Roman" w:hAnsi="Times New Roman"/>
                <w:sz w:val="24"/>
              </w:rPr>
              <w:t>i</w:t>
            </w:r>
            <w:r>
              <w:rPr>
                <w:rFonts w:ascii="Times New Roman" w:hAnsi="Times New Roman"/>
                <w:sz w:val="24"/>
              </w:rPr>
              <w:t>timo vertybiniais popieriais pozicijomis. Į pakeistų vertybiniais popieriais p</w:t>
            </w:r>
            <w:r>
              <w:rPr>
                <w:rFonts w:ascii="Times New Roman" w:hAnsi="Times New Roman"/>
                <w:sz w:val="24"/>
              </w:rPr>
              <w:t>o</w:t>
            </w:r>
            <w:r>
              <w:rPr>
                <w:rFonts w:ascii="Times New Roman" w:hAnsi="Times New Roman"/>
                <w:sz w:val="24"/>
              </w:rPr>
              <w:t>zicijų vertės koregavimus neatsižvelgiama.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Išankstinės amortizacijos nuostatų atveju įstaigos nurodo „iniciatoriaus dalies“, apibrėžtos KRR 256 straipsnio 2 dalyje, sumą.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Sintetinio pakeitimo vertybiniais popieriais atveju įstaigos iniciatorės turimos balansinių straipsnių pozicijos ir (arba) investuotojo dalys (išankstinė amort</w:t>
            </w:r>
            <w:r>
              <w:rPr>
                <w:rFonts w:ascii="Times New Roman" w:hAnsi="Times New Roman"/>
                <w:sz w:val="24"/>
              </w:rPr>
              <w:t>i</w:t>
            </w:r>
            <w:r>
              <w:rPr>
                <w:rFonts w:ascii="Times New Roman" w:hAnsi="Times New Roman"/>
                <w:sz w:val="24"/>
              </w:rPr>
              <w:t>zacija) apskaičiuojamos agreguojant 010–040 skilčių reikšmes.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VERTĖS KOREGAVIMAI IR ATIDĖJINIAI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Vertės koregavimai ir atidėjiniai (KRR 159 straipsnis) kredito nuostoliams p</w:t>
            </w:r>
            <w:r>
              <w:rPr>
                <w:rFonts w:ascii="Times New Roman" w:hAnsi="Times New Roman"/>
                <w:sz w:val="24"/>
              </w:rPr>
              <w:t>a</w:t>
            </w:r>
            <w:r>
              <w:rPr>
                <w:rFonts w:ascii="Times New Roman" w:hAnsi="Times New Roman"/>
                <w:sz w:val="24"/>
              </w:rPr>
              <w:t>dengti, atliekami pagal informaciją teikiančiam subjektui taikomą apskaitos sistemą. Į vertės koregavimus įtraukiamos visos sumos, pripažintos pelnu arba nuostoliais, susijusios su finansinio turto kredito nuostoliais, patirtais nuo jo pradinio pripažinimo balanse (įskaitant nuostolius dėl finansinio turto kredito rizikos, vertinamus tikrąja verte, kurių nereikia atskaityti iš pozicijos vertės), ir pozicijų, įsigytų esant įsipareigojimų neįvykdymui, diskontai pagal KRR 166 straipsnio 1 dalį. Atidėjiniai apima sukauptas kredito nuostolių sumas pagal nebalansinius straipsnius.</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POZICIJA ATĖMUS VERTĖS KOREGAVIMUS IR ATIDĖJINIUS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pozicijos pagal KRR 246 straipsnio 1 ir 2 d</w:t>
            </w:r>
            <w:r>
              <w:rPr>
                <w:rFonts w:ascii="Times New Roman" w:hAnsi="Times New Roman"/>
                <w:sz w:val="24"/>
              </w:rPr>
              <w:t>a</w:t>
            </w:r>
            <w:r>
              <w:rPr>
                <w:rFonts w:ascii="Times New Roman" w:hAnsi="Times New Roman"/>
                <w:sz w:val="24"/>
              </w:rPr>
              <w:t>lis, netaikant perskaičiavimo koeficientų.</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Ši informacija yra susijusi su CR SA formos bendrų sumų 040 skiltimi.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KREDITO RIZIKOS MAŽINIMO (KRM) METODAI, TURINTYS P</w:t>
            </w:r>
            <w:r>
              <w:rPr>
                <w:rFonts w:ascii="Times New Roman" w:hAnsi="Times New Roman"/>
                <w:b/>
                <w:sz w:val="24"/>
                <w:u w:val="single"/>
              </w:rPr>
              <w:t>O</w:t>
            </w:r>
            <w:r>
              <w:rPr>
                <w:rFonts w:ascii="Times New Roman" w:hAnsi="Times New Roman"/>
                <w:b/>
                <w:sz w:val="24"/>
                <w:u w:val="single"/>
              </w:rPr>
              <w:t>ZICIJOS PAKEITIMO POVEIKĮ</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KRR 4 straipsnio 1 dalies 57 punktas ir trečios dalies II antraštinės dalies 4 skyrius.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Šioje skilčių grupėje pateikiama informacija apie kredito rizikos mažinimo m</w:t>
            </w:r>
            <w:r>
              <w:rPr>
                <w:rFonts w:ascii="Times New Roman" w:hAnsi="Times New Roman"/>
                <w:sz w:val="24"/>
              </w:rPr>
              <w:t>e</w:t>
            </w:r>
            <w:r>
              <w:rPr>
                <w:rFonts w:ascii="Times New Roman" w:hAnsi="Times New Roman"/>
                <w:sz w:val="24"/>
              </w:rPr>
              <w:t>todus, kuriais pozicijos arba pozicijų kredito rizika mažinama pakeičiant poz</w:t>
            </w:r>
            <w:r>
              <w:rPr>
                <w:rFonts w:ascii="Times New Roman" w:hAnsi="Times New Roman"/>
                <w:sz w:val="24"/>
              </w:rPr>
              <w:t>i</w:t>
            </w:r>
            <w:r>
              <w:rPr>
                <w:rFonts w:ascii="Times New Roman" w:hAnsi="Times New Roman"/>
                <w:sz w:val="24"/>
              </w:rPr>
              <w:t>cijas (kaip paaiškinta toliau apie gaunamų ir netenkamų pinigų srautus).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8" w:name="_Toc262228334"/>
            <w:r>
              <w:rPr>
                <w:rFonts w:ascii="Times New Roman" w:hAnsi="Times New Roman"/>
                <w:sz w:val="24"/>
              </w:rPr>
              <w:t>Žr. CR SA formos nurodymus (Informacijos teikimas apie KRM metodus, t</w:t>
            </w:r>
            <w:r>
              <w:rPr>
                <w:rFonts w:ascii="Times New Roman" w:hAnsi="Times New Roman"/>
                <w:sz w:val="24"/>
              </w:rPr>
              <w:t>u</w:t>
            </w:r>
            <w:r>
              <w:rPr>
                <w:rFonts w:ascii="Times New Roman" w:hAnsi="Times New Roman"/>
                <w:sz w:val="24"/>
              </w:rPr>
              <w:t>rinčius pakeitimo poveikį</w:t>
            </w:r>
            <w:bookmarkEnd w:id="458"/>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NETIESIOGINIS KREDITO UŽTIKRINIMAS. PAKOREGUOTOS VERTĖS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Netiesioginis kredito užtikrinimas yra apibrėžtas KRR 4 straipsnio 1 dalies 59 punkte ir reglamentuojamas 235 straipsniu.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lastRenderedPageBreak/>
              <w:t>Žr. CR SA formos nurodymus (Informacijos teikimas apie KRM metodus, t</w:t>
            </w:r>
            <w:r>
              <w:rPr>
                <w:rFonts w:ascii="Times New Roman" w:hAnsi="Times New Roman"/>
                <w:sz w:val="24"/>
              </w:rPr>
              <w:t>u</w:t>
            </w:r>
            <w:r>
              <w:rPr>
                <w:rFonts w:ascii="Times New Roman" w:hAnsi="Times New Roman"/>
                <w:sz w:val="24"/>
              </w:rPr>
              <w:t>rinčius pakeitimo poveikį).</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TIESIOGINIS KREDITO UŽTIKRINIMAS</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Tiesioginis kredito užtikrinimas yra apibrėžtas KRR 4 straipsnio 1 dalies 58 punkte ir reglamentuojamas 195, 197 ir 200 straipsniais.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Su kreditu susiję vekseliai ir balansinė užskaita, nurodyta KRR 218–236 straipsniuose, laikomi pinigine užtikrinimo priemone.</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Žr. CR SA formos nurodymus (Informacijos teikimas apie KRM metodus, t</w:t>
            </w:r>
            <w:r>
              <w:rPr>
                <w:rFonts w:ascii="Times New Roman" w:hAnsi="Times New Roman"/>
                <w:sz w:val="24"/>
              </w:rPr>
              <w:t>u</w:t>
            </w:r>
            <w:r>
              <w:rPr>
                <w:rFonts w:ascii="Times New Roman" w:hAnsi="Times New Roman"/>
                <w:sz w:val="24"/>
              </w:rPr>
              <w:t>rinčius pakeitimo poveikį).</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POZICIJOS PAKEITIMAS DĖL KRM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Taip pat nurodomi tos pačios pozicijų klasės gaunamų ir netenkamų pinigų srautai ir, jei taikoma, rizikos koeficientai arba įsipareigojančiojo asmens ra</w:t>
            </w:r>
            <w:r>
              <w:rPr>
                <w:rFonts w:ascii="Times New Roman" w:hAnsi="Times New Roman"/>
                <w:sz w:val="24"/>
              </w:rPr>
              <w:t>n</w:t>
            </w:r>
            <w:r>
              <w:rPr>
                <w:rFonts w:ascii="Times New Roman" w:hAnsi="Times New Roman"/>
                <w:sz w:val="24"/>
              </w:rPr>
              <w:t>gai.</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BENDRA NETENKAMŲ PINIGŲ SRAUTO SUMA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222 straipsnio 3 dalis ir 235 straipsnio 1 ir 2 dalys.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Netenkamų pinigų srautas yra lygus padengtai „pozicijos atėmus vertės kor</w:t>
            </w:r>
            <w:r>
              <w:rPr>
                <w:rFonts w:ascii="Times New Roman" w:hAnsi="Times New Roman"/>
                <w:sz w:val="24"/>
              </w:rPr>
              <w:t>e</w:t>
            </w:r>
            <w:r>
              <w:rPr>
                <w:rFonts w:ascii="Times New Roman" w:hAnsi="Times New Roman"/>
                <w:sz w:val="24"/>
              </w:rPr>
              <w:t>gavimus ir atidėjinius“ daliai, kuri atskaitoma iš įsipareigojančiojo asmens p</w:t>
            </w:r>
            <w:r>
              <w:rPr>
                <w:rFonts w:ascii="Times New Roman" w:hAnsi="Times New Roman"/>
                <w:sz w:val="24"/>
              </w:rPr>
              <w:t>o</w:t>
            </w:r>
            <w:r>
              <w:rPr>
                <w:rFonts w:ascii="Times New Roman" w:hAnsi="Times New Roman"/>
                <w:sz w:val="24"/>
              </w:rPr>
              <w:t>zicijų klasės ir, jei taikoma, iš rizikos koeficiento arba įsipareigojančiojo a</w:t>
            </w:r>
            <w:r>
              <w:rPr>
                <w:rFonts w:ascii="Times New Roman" w:hAnsi="Times New Roman"/>
                <w:sz w:val="24"/>
              </w:rPr>
              <w:t>s</w:t>
            </w:r>
            <w:r>
              <w:rPr>
                <w:rFonts w:ascii="Times New Roman" w:hAnsi="Times New Roman"/>
                <w:sz w:val="24"/>
              </w:rPr>
              <w:t>mens rango ir paskui priskiriama užtikrinimo teikėjo pozicijų klasei, ir, jei ta</w:t>
            </w:r>
            <w:r>
              <w:rPr>
                <w:rFonts w:ascii="Times New Roman" w:hAnsi="Times New Roman"/>
                <w:sz w:val="24"/>
              </w:rPr>
              <w:t>i</w:t>
            </w:r>
            <w:r>
              <w:rPr>
                <w:rFonts w:ascii="Times New Roman" w:hAnsi="Times New Roman"/>
                <w:sz w:val="24"/>
              </w:rPr>
              <w:t xml:space="preserve">koma, rizikos koeficientui arba įsipareigojančiojo asmens rangui.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suma laikoma užtikrinimo teikėjo pozicijų klasės ir, jei taikoma, rizikos ko</w:t>
            </w:r>
            <w:r>
              <w:rPr>
                <w:rFonts w:ascii="Times New Roman" w:hAnsi="Times New Roman"/>
                <w:sz w:val="24"/>
              </w:rPr>
              <w:t>e</w:t>
            </w:r>
            <w:r>
              <w:rPr>
                <w:rFonts w:ascii="Times New Roman" w:hAnsi="Times New Roman"/>
                <w:sz w:val="24"/>
              </w:rPr>
              <w:t>ficientų arba įsipareigojančiojo asmens rango gaunamų pinigų srautu.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informacija yra susijusi su CR SA formos bendrų sumų 090 skiltimi [(−) Bendra netenkamų pinigų srauto suma].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BENDRA GAUNAMŲ PINIGŲ SRAUTO SUMA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Pakeitimo vertybiniais popieriais pozicijos, kurias sudaro skolos vertybiniai popieriai ir kurios pagal KRR 197 straipsnio 1 dalį yra reikalavimus atitinkanti finansinė užtikrinimo priemonė tais atvejais, kai naudojamas paprastasis fina</w:t>
            </w:r>
            <w:r>
              <w:rPr>
                <w:rFonts w:ascii="Times New Roman" w:hAnsi="Times New Roman"/>
                <w:sz w:val="24"/>
              </w:rPr>
              <w:t>n</w:t>
            </w:r>
            <w:r>
              <w:rPr>
                <w:rFonts w:ascii="Times New Roman" w:hAnsi="Times New Roman"/>
                <w:sz w:val="24"/>
              </w:rPr>
              <w:t>sinių užtikrinimo priemonių metodas, šioje skiltyje nurodomos kaip gaunamų pinigų srautas.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Ši informacija yra susijusi su CR SA formos bendrų sumų 100 skiltimi [(−) Bendra gaunamų pinigų srauto suma].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GRYNOJI POZICIJA PRITAIKIUS KRM, TURINČIUS PAKEITIMO POVEIKĮ, IKI PERSKAIČIAVIMO KOEFICIENTO TAIKYMO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Pozicija, priskirta atitinkamam rizikos koeficientui ir pozicijų klasei, atsižve</w:t>
            </w:r>
            <w:r>
              <w:rPr>
                <w:rFonts w:ascii="Times New Roman" w:hAnsi="Times New Roman"/>
                <w:sz w:val="24"/>
              </w:rPr>
              <w:t>l</w:t>
            </w:r>
            <w:r>
              <w:rPr>
                <w:rFonts w:ascii="Times New Roman" w:hAnsi="Times New Roman"/>
                <w:sz w:val="24"/>
              </w:rPr>
              <w:lastRenderedPageBreak/>
              <w:t>gus į netenkamų ir gaunamų pinigų srautus dėl „Kredito rizikos mažinimo (KRM) metodų, turinčių pozicijos pakeitimo poveikį“.</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informacija yra susijusi su CR SA formos bendrų sumų 110 skiltimi.</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KREDITO RIZIKOS MAŽINIMO METODAI, VEIKIANTYS P</w:t>
            </w:r>
            <w:r>
              <w:rPr>
                <w:rFonts w:ascii="Times New Roman" w:hAnsi="Times New Roman"/>
                <w:b/>
                <w:sz w:val="24"/>
                <w:u w:val="single"/>
              </w:rPr>
              <w:t>O</w:t>
            </w:r>
            <w:r>
              <w:rPr>
                <w:rFonts w:ascii="Times New Roman" w:hAnsi="Times New Roman"/>
                <w:b/>
                <w:sz w:val="24"/>
                <w:u w:val="single"/>
              </w:rPr>
              <w:t>ZICIJOS SUMĄ. TIESIOGINIO KREDITO UŽTIKRINIMO VERTĖ, PAKOREGUOTA PAGAL IŠSAMŲJĮ FINANSINIŲ UŽTIKRINIMO PRIEMONIŲ METODĄ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Šis straipsnis taip pat apima su kreditu susijusius vekselius (KRR 218 straip</w:t>
            </w:r>
            <w:r>
              <w:rPr>
                <w:rFonts w:ascii="Times New Roman" w:hAnsi="Times New Roman"/>
                <w:sz w:val="24"/>
              </w:rPr>
              <w:t>s</w:t>
            </w:r>
            <w:r>
              <w:rPr>
                <w:rFonts w:ascii="Times New Roman" w:hAnsi="Times New Roman"/>
                <w:sz w:val="24"/>
              </w:rPr>
              <w:t>nis).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Ši informacija yra susijusi su CR SA formos bendrų sumų 120 ir 130 skiltimis.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VISIŠKAI KOREGUOTA POZICIJOS VERTĖ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pozicijos pagal KRR 246 straipsnį, todėl KRR 246 straipsnio 1 dalies c punkte nustatyti perskaičiavimo koeficientai n</w:t>
            </w:r>
            <w:r>
              <w:rPr>
                <w:rFonts w:ascii="Times New Roman" w:hAnsi="Times New Roman"/>
                <w:sz w:val="24"/>
              </w:rPr>
              <w:t>e</w:t>
            </w:r>
            <w:r>
              <w:rPr>
                <w:rFonts w:ascii="Times New Roman" w:hAnsi="Times New Roman"/>
                <w:sz w:val="24"/>
              </w:rPr>
              <w:t>taikomi.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Ši informacija yra susijusi su CR SA formos bendrų sumų 150 skiltimi.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NEBALANSINIŲ STRAIPSNIŲ VISIŠKAI KOREGUOTOS POZIC</w:t>
            </w:r>
            <w:r>
              <w:rPr>
                <w:rFonts w:ascii="Times New Roman" w:hAnsi="Times New Roman"/>
                <w:b/>
                <w:sz w:val="24"/>
                <w:u w:val="single"/>
              </w:rPr>
              <w:t>I</w:t>
            </w:r>
            <w:r>
              <w:rPr>
                <w:rFonts w:ascii="Times New Roman" w:hAnsi="Times New Roman"/>
                <w:b/>
                <w:sz w:val="24"/>
                <w:u w:val="single"/>
              </w:rPr>
              <w:t>JOS VERTĖS (E*) SUSKIRSTYMAS PAGAL PERSKAIČIAVIMO KOEFICIENTĄ</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KRR 246 straipsnio 1 dalies c punkte numatyta, kad nebalansinio pakeitimo vertybiniais popieriais pozicijos vertė turi būti apskaičiuojama jos nominaliąją vertę padauginus iš perskaičiavimo koeficiento. Šis perskaičiavimo koeficie</w:t>
            </w:r>
            <w:r>
              <w:rPr>
                <w:rFonts w:ascii="Times New Roman" w:hAnsi="Times New Roman"/>
                <w:sz w:val="24"/>
              </w:rPr>
              <w:t>n</w:t>
            </w:r>
            <w:r>
              <w:rPr>
                <w:rFonts w:ascii="Times New Roman" w:hAnsi="Times New Roman"/>
                <w:sz w:val="24"/>
              </w:rPr>
              <w:t>tas turi būti 100 %, nebent KRR nurodyta kitaip.</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Žr. CR SA formos bendrų sumų 160–190 skiltis.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Teikiant informaciją visiškai koreguotos pozicijų vertės (E*) nurodomos pagal vieną iš šių keturių tarpusavyje nederinamų perskaičiavimo koeficientų inte</w:t>
            </w:r>
            <w:r>
              <w:rPr>
                <w:rFonts w:ascii="Times New Roman" w:hAnsi="Times New Roman"/>
                <w:sz w:val="24"/>
              </w:rPr>
              <w:t>r</w:t>
            </w:r>
            <w:r>
              <w:rPr>
                <w:rFonts w:ascii="Times New Roman" w:hAnsi="Times New Roman"/>
                <w:sz w:val="24"/>
              </w:rPr>
              <w:t>valų: 0 %, ]0 %, 20 %], ]20 %, 50 %] ir ]50 %, 100 %].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POZICIJOS VERTĖ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pozicijos pagal KRR 246 straipsnį.</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Ši informacija yra susijusi su CR SA formos bendrų sumų 200 skiltimi.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IŠ NUOSAVŲ LĖŠŲ ATSKAITOMA POZICIJOS VERTĖ</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KRR 258 straipsnyje numatyta, kad pakeitimo vertybiniais popieriais pozicijų, kurioms priskiriamas 1250 % rizikos koeficientas, atveju įstaigos gali, užuot įtraukusios poziciją į savo pagal riziką įvertintų pozicijų sumų apskaičiavimą, atimti pozicijos vertę iš nuosavų lėšų.</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POZICIJOS VERTĖ, KURIAI TAIKOMI RIZIKOS KOEFICIENTAI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Pozicijos vertė, gauta iš jos atėmus iš nuosavų lėšų atskaitomą pozicijos vertę.</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POZICIJOS VERTĖS, KURIAI TAIKOMI RIZIKOS KOEFICIENTAI, SUSKIRSTYMAS PAGAL RIZIKOS KOEFICIENTĄ</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REITINGUOTOSIOS POZICIJOS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KRR 242 straipsnio 8 dalyje apibrėžtos reitinguotosios pozicijos.</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Pozicijos vertės, kurioms taikomi rizikos koeficientai, suskirstomos pagal kr</w:t>
            </w:r>
            <w:r>
              <w:rPr>
                <w:rFonts w:ascii="Times New Roman" w:hAnsi="Times New Roman"/>
                <w:sz w:val="24"/>
              </w:rPr>
              <w:t>e</w:t>
            </w:r>
            <w:r>
              <w:rPr>
                <w:rFonts w:ascii="Times New Roman" w:hAnsi="Times New Roman"/>
                <w:sz w:val="24"/>
              </w:rPr>
              <w:t>dito kokybės žingsnius (CQS), kaip numatyta KRR 251 straipsnio 1 lentelėje pagal SA metodą.</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1250 % (NEREITINGUOTOSIOS POZICIJOS)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Nereitinguotosios pozicijos apibrėžtos KRR 242 straipsnio 7 dalyje.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SKAIDRUMO METODAS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KRR 253, 254 straipsniai ir 256 straipsnio 5 dalis.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Pagal skaidrumo metodą pildomose skiltyse nurodomi visi nereitinguotųjų p</w:t>
            </w:r>
            <w:r>
              <w:rPr>
                <w:rFonts w:ascii="Times New Roman" w:hAnsi="Times New Roman"/>
                <w:sz w:val="24"/>
              </w:rPr>
              <w:t>o</w:t>
            </w:r>
            <w:r>
              <w:rPr>
                <w:rFonts w:ascii="Times New Roman" w:hAnsi="Times New Roman"/>
                <w:sz w:val="24"/>
              </w:rPr>
              <w:t>zicijų atvejai, kai rizikos koeficientas apskaičiuojamas pagal pagrindinį pozic</w:t>
            </w:r>
            <w:r>
              <w:rPr>
                <w:rFonts w:ascii="Times New Roman" w:hAnsi="Times New Roman"/>
                <w:sz w:val="24"/>
              </w:rPr>
              <w:t>i</w:t>
            </w:r>
            <w:r>
              <w:rPr>
                <w:rFonts w:ascii="Times New Roman" w:hAnsi="Times New Roman"/>
                <w:sz w:val="24"/>
              </w:rPr>
              <w:t>jų portfelį (vidutinis grupės rizikos koeficientas, didžiausias grupės rizikos koeficientas arba naudojamas koncentracijos koeficientas).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SKAIDRUMO METODAS. IŠ JO: ANTRASIS NUOSTOLIS PAGAL ABCP PROGRAMĄ</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Pozicijos vertė, nustatyta pakeitimo vertybiniais popieriais pozicijas priskiriant antrojo nuostolio arba geresniam segmentui pagal ABCP programą, kaip nur</w:t>
            </w:r>
            <w:r>
              <w:rPr>
                <w:rFonts w:ascii="Times New Roman" w:hAnsi="Times New Roman"/>
                <w:sz w:val="24"/>
              </w:rPr>
              <w:t>o</w:t>
            </w:r>
            <w:r>
              <w:rPr>
                <w:rFonts w:ascii="Times New Roman" w:hAnsi="Times New Roman"/>
                <w:sz w:val="24"/>
              </w:rPr>
              <w:t>dyta KRR 254 straipsnyje.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Turtu užtikrintų komercinių vekselių programa (ABCP) apibrėžta KRR 242 straipsnio 9 dalyje.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SKAIDRUMO METODAS. IŠ JO: VIDUTINIS RIZIKOS KOEFICIE</w:t>
            </w:r>
            <w:r>
              <w:rPr>
                <w:rFonts w:ascii="Times New Roman" w:hAnsi="Times New Roman"/>
                <w:b/>
                <w:sz w:val="24"/>
                <w:u w:val="single"/>
              </w:rPr>
              <w:t>N</w:t>
            </w:r>
            <w:r>
              <w:rPr>
                <w:rFonts w:ascii="Times New Roman" w:hAnsi="Times New Roman"/>
                <w:b/>
                <w:sz w:val="24"/>
                <w:u w:val="single"/>
              </w:rPr>
              <w:t>TAS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Nurodomas pagal pozicijos vertę įvertintas vidutinis svertinis rizikos koeficie</w:t>
            </w:r>
            <w:r>
              <w:rPr>
                <w:rFonts w:ascii="Times New Roman" w:hAnsi="Times New Roman"/>
                <w:sz w:val="24"/>
              </w:rPr>
              <w:t>n</w:t>
            </w:r>
            <w:r>
              <w:rPr>
                <w:rFonts w:ascii="Times New Roman" w:hAnsi="Times New Roman"/>
                <w:sz w:val="24"/>
              </w:rPr>
              <w:t>tas.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VIDINIO VERTINIMO METODAS (IAA)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KRR 109 straipsnio 1 dalis ir 259 straipsnio 3 dalis. </w:t>
            </w:r>
            <w:r>
              <w:rPr>
                <w:rFonts w:ascii="Times New Roman" w:hAnsi="Times New Roman"/>
                <w:sz w:val="24"/>
                <w:u w:val="single"/>
              </w:rPr>
              <w:t>Pakeitimo vertybiniais p</w:t>
            </w:r>
            <w:r>
              <w:rPr>
                <w:rFonts w:ascii="Times New Roman" w:hAnsi="Times New Roman"/>
                <w:sz w:val="24"/>
                <w:u w:val="single"/>
              </w:rPr>
              <w:t>o</w:t>
            </w:r>
            <w:r>
              <w:rPr>
                <w:rFonts w:ascii="Times New Roman" w:hAnsi="Times New Roman"/>
                <w:sz w:val="24"/>
                <w:u w:val="single"/>
              </w:rPr>
              <w:t>pieriais pozicijų pozicijos vertė pagal vidinio vertinimo metodą.</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VIDINIO VERTINIMO METODAS. VIDUTINIS RIZIKOS KOEFIC</w:t>
            </w:r>
            <w:r>
              <w:rPr>
                <w:rFonts w:ascii="Times New Roman" w:hAnsi="Times New Roman"/>
                <w:b/>
                <w:sz w:val="24"/>
                <w:u w:val="single"/>
              </w:rPr>
              <w:t>I</w:t>
            </w:r>
            <w:r>
              <w:rPr>
                <w:rFonts w:ascii="Times New Roman" w:hAnsi="Times New Roman"/>
                <w:b/>
                <w:sz w:val="24"/>
                <w:u w:val="single"/>
              </w:rPr>
              <w:t>ENTAS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Nurodomas pagal pozicijos vertę įvertintas vidutinis svertinis rizikos koeficie</w:t>
            </w:r>
            <w:r>
              <w:rPr>
                <w:rFonts w:ascii="Times New Roman" w:hAnsi="Times New Roman"/>
                <w:sz w:val="24"/>
              </w:rPr>
              <w:t>n</w:t>
            </w:r>
            <w:r>
              <w:rPr>
                <w:rFonts w:ascii="Times New Roman" w:hAnsi="Times New Roman"/>
                <w:sz w:val="24"/>
              </w:rPr>
              <w:t>tas.</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PAGAL RIZIKĄ ĮVERTINTŲ POZICIJŲ SUMA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Bendra pagal riziką įvertintų pozicijų suma, apskaičiuota pagal KRR trečios dalies II antraštinės dalies 5 skyriaus 3 skirsnį prieš koregavimą dėl terminų neatitikimo arba dėl išsamaus patikrinimo nuostatų pažeidimo, neįskaitant j</w:t>
            </w:r>
            <w:r>
              <w:rPr>
                <w:rFonts w:ascii="Times New Roman" w:hAnsi="Times New Roman"/>
                <w:sz w:val="24"/>
              </w:rPr>
              <w:t>o</w:t>
            </w:r>
            <w:r>
              <w:rPr>
                <w:rFonts w:ascii="Times New Roman" w:hAnsi="Times New Roman"/>
                <w:sz w:val="24"/>
              </w:rPr>
              <w:t>kios pagal riziką įvertintų pozicijų sumos, atitinkančios pozicijas, per nete</w:t>
            </w:r>
            <w:r>
              <w:rPr>
                <w:rFonts w:ascii="Times New Roman" w:hAnsi="Times New Roman"/>
                <w:sz w:val="24"/>
              </w:rPr>
              <w:t>n</w:t>
            </w:r>
            <w:r>
              <w:rPr>
                <w:rFonts w:ascii="Times New Roman" w:hAnsi="Times New Roman"/>
                <w:sz w:val="24"/>
              </w:rPr>
              <w:t xml:space="preserve">kamų pinigų srautą perskirstytas į kitą formą.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IŠ JOS: SINTETINIS PAKEITIMAS VERTYBINIAIS POPIERIAIS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Šioje skiltyje nurodant sintetinio pakeitimo vertybiniais popieriais sumą neats</w:t>
            </w:r>
            <w:r>
              <w:rPr>
                <w:rFonts w:ascii="Times New Roman" w:hAnsi="Times New Roman"/>
                <w:sz w:val="24"/>
              </w:rPr>
              <w:t>i</w:t>
            </w:r>
            <w:r>
              <w:rPr>
                <w:rFonts w:ascii="Times New Roman" w:hAnsi="Times New Roman"/>
                <w:sz w:val="24"/>
              </w:rPr>
              <w:t>žvelgiama į jokius terminų neatitikimus.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BENDRAS (KOREGAVIMO) POVEIKIS DĖL IŠSAMAUS PATIKR</w:t>
            </w:r>
            <w:r>
              <w:rPr>
                <w:rFonts w:ascii="Times New Roman" w:hAnsi="Times New Roman"/>
                <w:b/>
                <w:sz w:val="24"/>
                <w:u w:val="single"/>
              </w:rPr>
              <w:t>I</w:t>
            </w:r>
            <w:r>
              <w:rPr>
                <w:rFonts w:ascii="Times New Roman" w:hAnsi="Times New Roman"/>
                <w:b/>
                <w:sz w:val="24"/>
                <w:u w:val="single"/>
              </w:rPr>
              <w:t>NIMO NUOSTATŲ PAŽEIDIMO</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KRR 14 straipsnio 2 dalyje, 406 straipsnio 2 dalyje ir 407 straipsnyje reikala</w:t>
            </w:r>
            <w:r>
              <w:rPr>
                <w:rStyle w:val="InstructionsTabelleText"/>
                <w:rFonts w:ascii="Times New Roman" w:hAnsi="Times New Roman"/>
                <w:sz w:val="24"/>
              </w:rPr>
              <w:t>u</w:t>
            </w:r>
            <w:r>
              <w:rPr>
                <w:rStyle w:val="InstructionsTabelleText"/>
                <w:rFonts w:ascii="Times New Roman" w:hAnsi="Times New Roman"/>
                <w:sz w:val="24"/>
              </w:rPr>
              <w:t>jama, kad kaskart, kai įstaiga nesilaiko tam tikrų KRR 405, 406 ar 409 straip</w:t>
            </w:r>
            <w:r>
              <w:rPr>
                <w:rStyle w:val="InstructionsTabelleText"/>
                <w:rFonts w:ascii="Times New Roman" w:hAnsi="Times New Roman"/>
                <w:sz w:val="24"/>
              </w:rPr>
              <w:t>s</w:t>
            </w:r>
            <w:r>
              <w:rPr>
                <w:rStyle w:val="InstructionsTabelleText"/>
                <w:rFonts w:ascii="Times New Roman" w:hAnsi="Times New Roman"/>
                <w:sz w:val="24"/>
              </w:rPr>
              <w:t>nio reikalavimų, valstybės narės užtikrintų, kad kompetentingos institucijos nustatytų proporcingą papildomą rizikos koeficientą, kuris sudarytų ne mažiau kaip 250 % rizikos koeficiento (aukščiausia riba yra 1250 %) ir kuris būtų ta</w:t>
            </w:r>
            <w:r>
              <w:rPr>
                <w:rStyle w:val="InstructionsTabelleText"/>
                <w:rFonts w:ascii="Times New Roman" w:hAnsi="Times New Roman"/>
                <w:sz w:val="24"/>
              </w:rPr>
              <w:t>i</w:t>
            </w:r>
            <w:r>
              <w:rPr>
                <w:rStyle w:val="InstructionsTabelleText"/>
                <w:rFonts w:ascii="Times New Roman" w:hAnsi="Times New Roman"/>
                <w:sz w:val="24"/>
              </w:rPr>
              <w:t>komas atitinkamoms pakeitimo vertybiniais popieriais pozicijoms pagal KRR trečios dalies II antraštinės dalies 5 skyriaus 3 skirsnį. Toks papildomas rizikos koeficientas gali būti nustatomas ne tik įstaigoms investuotojoms, bet ir inici</w:t>
            </w:r>
            <w:r>
              <w:rPr>
                <w:rStyle w:val="InstructionsTabelleText"/>
                <w:rFonts w:ascii="Times New Roman" w:hAnsi="Times New Roman"/>
                <w:sz w:val="24"/>
              </w:rPr>
              <w:t>a</w:t>
            </w:r>
            <w:r>
              <w:rPr>
                <w:rStyle w:val="InstructionsTabelleText"/>
                <w:rFonts w:ascii="Times New Roman" w:hAnsi="Times New Roman"/>
                <w:sz w:val="24"/>
              </w:rPr>
              <w:t>torėms, rėmėjoms ir pirminėms skolintojoms.</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PAGAL RIZIKĄ ĮVERTINTŲ POZICIJŲ SUMOS KOREGAVIMAS DĖL TERMINŲ NESUTAPIMO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Nurodoma vertė, kai sintetinio pakeitimo vertybiniais popieriais atvejais nes</w:t>
            </w:r>
            <w:r>
              <w:rPr>
                <w:rStyle w:val="InstructionsTabelleText"/>
                <w:rFonts w:ascii="Times New Roman" w:hAnsi="Times New Roman"/>
                <w:sz w:val="24"/>
              </w:rPr>
              <w:t>u</w:t>
            </w:r>
            <w:r>
              <w:rPr>
                <w:rStyle w:val="InstructionsTabelleText"/>
                <w:rFonts w:ascii="Times New Roman" w:hAnsi="Times New Roman"/>
                <w:sz w:val="24"/>
              </w:rPr>
              <w:t>tampa terminai RW*–RW(SP), kaip nustatyta KRR 250 straipsnyje, išskyrus tuos atvejus, kai tam tikriems segmentams taikomas 1250 % rizikos koeficie</w:t>
            </w:r>
            <w:r>
              <w:rPr>
                <w:rStyle w:val="InstructionsTabelleText"/>
                <w:rFonts w:ascii="Times New Roman" w:hAnsi="Times New Roman"/>
                <w:sz w:val="24"/>
              </w:rPr>
              <w:t>n</w:t>
            </w:r>
            <w:r>
              <w:rPr>
                <w:rStyle w:val="InstructionsTabelleText"/>
                <w:rFonts w:ascii="Times New Roman" w:hAnsi="Times New Roman"/>
                <w:sz w:val="24"/>
              </w:rPr>
              <w:t>tas, tada nurodoma suma yra lygi nuliui. Atkreipkite dėmesį, kad į RW(SP) įskaičiuojamos ne tik pagal riziką įvertintų pozicijų sumos, nurodomos 330 skiltyje, bet ir pagal riziką įvertintų pozicijų sumos, atitinkančios pozicijas, per netenkamų pinigų srautus perskirstytas į kitas formas.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 PRIEŠ A</w:t>
            </w:r>
            <w:r>
              <w:rPr>
                <w:rFonts w:ascii="Times New Roman" w:hAnsi="Times New Roman"/>
                <w:b/>
                <w:sz w:val="24"/>
                <w:u w:val="single"/>
              </w:rPr>
              <w:t>P</w:t>
            </w:r>
            <w:r>
              <w:rPr>
                <w:rFonts w:ascii="Times New Roman" w:hAnsi="Times New Roman"/>
                <w:b/>
                <w:sz w:val="24"/>
                <w:u w:val="single"/>
              </w:rPr>
              <w:t>RIBOJIMĄ / PO APRIBOJIMO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Bendra pagal riziką įvertintų pozicijų suma, apskaičiuota pagal KRR trečios dalies II antraštinės dalies 5 skyriaus 3 skirsnį prieš taikant (370 skiltis) ir pr</w:t>
            </w:r>
            <w:r>
              <w:rPr>
                <w:rFonts w:ascii="Times New Roman" w:hAnsi="Times New Roman"/>
                <w:sz w:val="24"/>
              </w:rPr>
              <w:t>i</w:t>
            </w:r>
            <w:r>
              <w:rPr>
                <w:rFonts w:ascii="Times New Roman" w:hAnsi="Times New Roman"/>
                <w:sz w:val="24"/>
              </w:rPr>
              <w:t>taikius (380 skiltis) ribas, nurodytas KRR 252 straipsnyje (straipsnių, pagal k</w:t>
            </w:r>
            <w:r>
              <w:rPr>
                <w:rFonts w:ascii="Times New Roman" w:hAnsi="Times New Roman"/>
                <w:sz w:val="24"/>
              </w:rPr>
              <w:t>u</w:t>
            </w:r>
            <w:r>
              <w:rPr>
                <w:rFonts w:ascii="Times New Roman" w:hAnsi="Times New Roman"/>
                <w:sz w:val="24"/>
              </w:rPr>
              <w:t xml:space="preserve">riuos šiuo metu nevykdomi įsipareigojimai, arba ypač didelės rizikos pozicijų </w:t>
            </w:r>
            <w:r>
              <w:rPr>
                <w:rFonts w:ascii="Times New Roman" w:hAnsi="Times New Roman"/>
                <w:sz w:val="24"/>
              </w:rPr>
              <w:lastRenderedPageBreak/>
              <w:t>pakeitimas vertybiniais popieriais) arba 256 straipsnio 4 dalyje (papildomų nuosavų lėšų reikalavimai atnaujinamosioms pozicijoms pakeisti vertybiniais popieriais su išankstinės amortizacijos nuostatomis).</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PAPILDOMAS STRAIPSNIS. PAGAL RIZIKĄ ĮVERTINTŲ POZICIJŲ SUMA, ATITINKANTI NETENKAMŲ PINIGŲ SRAUTĄ DĖL PAKE</w:t>
            </w:r>
            <w:r>
              <w:rPr>
                <w:rFonts w:ascii="Times New Roman" w:hAnsi="Times New Roman"/>
                <w:b/>
                <w:sz w:val="24"/>
                <w:u w:val="single"/>
              </w:rPr>
              <w:t>I</w:t>
            </w:r>
            <w:r>
              <w:rPr>
                <w:rFonts w:ascii="Times New Roman" w:hAnsi="Times New Roman"/>
                <w:b/>
                <w:sz w:val="24"/>
                <w:u w:val="single"/>
              </w:rPr>
              <w:t>TIMO VERTYBINIAIS POPIERIAIS PAGAL SA METODĄ Į KITAS POZICIJŲ KLASES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Pagal riziką įvertintų pozicijų suma, susidaranti dėl pozicijų, perskirstytų riz</w:t>
            </w:r>
            <w:r>
              <w:rPr>
                <w:rFonts w:ascii="Times New Roman" w:hAnsi="Times New Roman"/>
                <w:sz w:val="24"/>
              </w:rPr>
              <w:t>i</w:t>
            </w:r>
            <w:r>
              <w:rPr>
                <w:rFonts w:ascii="Times New Roman" w:hAnsi="Times New Roman"/>
                <w:sz w:val="24"/>
              </w:rPr>
              <w:t>kos mažinimo priemonės teikėjui (todėl apskaičiuojama atitinkamoje formoje), į kurias atsižvelgiama apskaičiuojant pakeitimo vertybiniais popieriais pozic</w:t>
            </w:r>
            <w:r>
              <w:rPr>
                <w:rFonts w:ascii="Times New Roman" w:hAnsi="Times New Roman"/>
                <w:sz w:val="24"/>
              </w:rPr>
              <w:t>i</w:t>
            </w:r>
            <w:r>
              <w:rPr>
                <w:rFonts w:ascii="Times New Roman" w:hAnsi="Times New Roman"/>
                <w:sz w:val="24"/>
              </w:rPr>
              <w:t>joms taikomą apribojimą.</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CR SEC SA forma suskirstyta į tris pagrindines eilučių grupes, kuriose praš</w:t>
      </w:r>
      <w:r>
        <w:t>o</w:t>
      </w:r>
      <w:r>
        <w:t>ma pateikti informaciją apie įstaigų iniciatorių, investuotojų ir rėmėjų, inicijuotas / paremtas / išlaikytas arba nupirktas pozicijas. Kiekvienoje iš jų informacija suskir</w:t>
      </w:r>
      <w:r>
        <w:t>s</w:t>
      </w:r>
      <w:r>
        <w:t xml:space="preserve">toma nurodant balansinius ir nebalansinius straipsnius bei išvestines finansines priemones, taip pat pakeitimus vertybiniais popieriais ir pakartotinius pakeitimus vertybiniais popieriais. </w:t>
      </w:r>
    </w:p>
    <w:p w:rsidR="00612780" w:rsidRPr="00392FFD" w:rsidRDefault="00125707" w:rsidP="00C37B29">
      <w:pPr>
        <w:pStyle w:val="InstructionsText2"/>
        <w:numPr>
          <w:ilvl w:val="0"/>
          <w:numId w:val="0"/>
        </w:numPr>
        <w:ind w:left="993"/>
      </w:pPr>
      <w:r>
        <w:t>103.</w:t>
      </w:r>
      <w:r>
        <w:tab/>
        <w:t>Pagal reitingais pagrįstą metodą vertinamos pozicijos ir nereitinguotosios poz</w:t>
      </w:r>
      <w:r>
        <w:t>i</w:t>
      </w:r>
      <w:r>
        <w:t>cijos (pozicijos ataskaitinę dieną) taip pat suskirstomos pagal kredito kokybės žingsnius, taikytus pradžioje (paskutinė eilučių grupė). Šią informaciją turi pateikti įstaigos iniciatorės, rėmėjos ir investuotojos.</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Eilutės</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BENDRA POZICIJŲ SUMA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Bendra pozicijų suma yra bendra neapmokėta pakeitimo vertybiniais popieriais suma. Šioje eilutėje apibendrinami visi įstaigų iniciatorių, rėmėjų ir investuot</w:t>
            </w:r>
            <w:r>
              <w:rPr>
                <w:rFonts w:ascii="Times New Roman" w:hAnsi="Times New Roman"/>
                <w:sz w:val="24"/>
              </w:rPr>
              <w:t>o</w:t>
            </w:r>
            <w:r>
              <w:rPr>
                <w:rFonts w:ascii="Times New Roman" w:hAnsi="Times New Roman"/>
                <w:sz w:val="24"/>
              </w:rPr>
              <w:t>jų paskesnėse eilutėse pateikiami duomenys.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IŠ JOS: PAKARTOTINIS PAKEITIMAS VERTYBINIAIS POPIERIAIS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Bendra neapmokėta pakartotinio pakeitimo vertybiniais popieriais, remiantis KRR 4 straipsnio 1 dalies 63 ir 64 punktuose pateiktomis apibrėžtimis, suma.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INICIATORĖ. BENDRA POZICIJŲ SUMA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eilutėje apibendrinami pakeitimo vertybiniais popieriais pozicijų, kurių atžvilgiu įstaiga atlieka KRR 4 straipsnio 1 dalies 13 punkte apibrėžto iniciat</w:t>
            </w:r>
            <w:r>
              <w:rPr>
                <w:rFonts w:ascii="Times New Roman" w:hAnsi="Times New Roman"/>
                <w:sz w:val="24"/>
              </w:rPr>
              <w:t>o</w:t>
            </w:r>
            <w:r>
              <w:rPr>
                <w:rFonts w:ascii="Times New Roman" w:hAnsi="Times New Roman"/>
                <w:sz w:val="24"/>
              </w:rPr>
              <w:t>riaus vaidmenį, balansinių, nebalansinių straipsnių, išvestinių finansinių pri</w:t>
            </w:r>
            <w:r>
              <w:rPr>
                <w:rFonts w:ascii="Times New Roman" w:hAnsi="Times New Roman"/>
                <w:sz w:val="24"/>
              </w:rPr>
              <w:t>e</w:t>
            </w:r>
            <w:r>
              <w:rPr>
                <w:rFonts w:ascii="Times New Roman" w:hAnsi="Times New Roman"/>
                <w:sz w:val="24"/>
              </w:rPr>
              <w:t>monių ir išankstinės amortizacijos duomenys.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BALANSINIAI STRAIPSNIAI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KRR 246 straipsnio 1 dalies a punkte nurodyta, kad jei įstaiga pagal riziką įve</w:t>
            </w:r>
            <w:r>
              <w:rPr>
                <w:rFonts w:ascii="Times New Roman" w:hAnsi="Times New Roman"/>
                <w:sz w:val="24"/>
              </w:rPr>
              <w:t>r</w:t>
            </w:r>
            <w:r>
              <w:rPr>
                <w:rFonts w:ascii="Times New Roman" w:hAnsi="Times New Roman"/>
                <w:sz w:val="24"/>
              </w:rPr>
              <w:t>tintų pozicijų sumas apskaičiuoja pagal standartizuotą metodą, balansinių p</w:t>
            </w:r>
            <w:r>
              <w:rPr>
                <w:rFonts w:ascii="Times New Roman" w:hAnsi="Times New Roman"/>
                <w:sz w:val="24"/>
              </w:rPr>
              <w:t>a</w:t>
            </w:r>
            <w:r>
              <w:rPr>
                <w:rFonts w:ascii="Times New Roman" w:hAnsi="Times New Roman"/>
                <w:sz w:val="24"/>
              </w:rPr>
              <w:lastRenderedPageBreak/>
              <w:t>keitimo vertybiniais popieriais pozicijų atveju pozicijos vertė yra jos apskaitinė vertė, gauta atlikus specifinės kredito rizikos koregavimą.</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Balansiniai straipsniai suskirstomi į pakeitimą vertybiniais popieriais (050 eil</w:t>
            </w:r>
            <w:r>
              <w:rPr>
                <w:rFonts w:ascii="Times New Roman" w:hAnsi="Times New Roman"/>
                <w:sz w:val="24"/>
              </w:rPr>
              <w:t>u</w:t>
            </w:r>
            <w:r>
              <w:rPr>
                <w:rFonts w:ascii="Times New Roman" w:hAnsi="Times New Roman"/>
                <w:sz w:val="24"/>
              </w:rPr>
              <w:t>tė) ir pakartotinį pakeitimą vertybiniais popieriais (060 eilutė).</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NEBALANSINIAI STRAIPSNIAI IR IŠVESTINĖS FINANSINĖS PRIEMONĖS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Šiose eilutėse pateikiama informacija apie nebalansinių straipsnių ir išvestinių finansinių priemonių pakeitimo vertybiniais popieriais pozicijas, kurioms ta</w:t>
            </w:r>
            <w:r>
              <w:rPr>
                <w:rFonts w:ascii="Times New Roman" w:hAnsi="Times New Roman"/>
                <w:sz w:val="24"/>
              </w:rPr>
              <w:t>i</w:t>
            </w:r>
            <w:r>
              <w:rPr>
                <w:rFonts w:ascii="Times New Roman" w:hAnsi="Times New Roman"/>
                <w:sz w:val="24"/>
              </w:rPr>
              <w:t>komas perskaičiavimo koeficientas pagal pakeitimo vertybiniais popieriais si</w:t>
            </w:r>
            <w:r>
              <w:rPr>
                <w:rFonts w:ascii="Times New Roman" w:hAnsi="Times New Roman"/>
                <w:sz w:val="24"/>
              </w:rPr>
              <w:t>s</w:t>
            </w:r>
            <w:r>
              <w:rPr>
                <w:rFonts w:ascii="Times New Roman" w:hAnsi="Times New Roman"/>
                <w:sz w:val="24"/>
              </w:rPr>
              <w:t>temą. Pozicijos vertė nebalansinės pakeitimo vertybiniais popieriais pozicijos atveju yra apskaičiuojama iš jos nominaliosios vertės atėmus tos pakeitimo ve</w:t>
            </w:r>
            <w:r>
              <w:rPr>
                <w:rFonts w:ascii="Times New Roman" w:hAnsi="Times New Roman"/>
                <w:sz w:val="24"/>
              </w:rPr>
              <w:t>r</w:t>
            </w:r>
            <w:r>
              <w:rPr>
                <w:rFonts w:ascii="Times New Roman" w:hAnsi="Times New Roman"/>
                <w:sz w:val="24"/>
              </w:rPr>
              <w:t>tybiniais popieriais pozicijos specifinės rizikos koregavimą ir padauginus iš 100 % perskaičiavimo koeficiento, nebent nurodyta kitaip.</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KRR II priede nurodytos išvestinės finansinės priemonės sandorio šalies kred</w:t>
            </w:r>
            <w:r>
              <w:rPr>
                <w:rFonts w:ascii="Times New Roman" w:hAnsi="Times New Roman"/>
                <w:sz w:val="24"/>
              </w:rPr>
              <w:t>i</w:t>
            </w:r>
            <w:r>
              <w:rPr>
                <w:rFonts w:ascii="Times New Roman" w:hAnsi="Times New Roman"/>
                <w:sz w:val="24"/>
              </w:rPr>
              <w:t xml:space="preserve">to rizikos pozicija nustatoma pagal KRR trečios dalies II antraštinės dalies 6 skyrių.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Likvidumo, kredito priemonių ir valdymo įmonės grynųjų pinigų išankstinių mokėjimų atvejais įstaigos nurodo nepanaudotą sumą.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Palūkanų normų ir valiutų apsikeitimo sandorių atvejais jos nurodo pozicijos vertę (pagal KRR 246 straipsnio 1 dalį), pažymėtą CR SA bendrų sumų form</w:t>
            </w:r>
            <w:r>
              <w:rPr>
                <w:rFonts w:ascii="Times New Roman" w:hAnsi="Times New Roman"/>
                <w:sz w:val="24"/>
              </w:rPr>
              <w:t>o</w:t>
            </w:r>
            <w:r>
              <w:rPr>
                <w:rFonts w:ascii="Times New Roman" w:hAnsi="Times New Roman"/>
                <w:sz w:val="24"/>
              </w:rPr>
              <w:t>je.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Nebalansiniai straipsniai ir išvestinės finansinės priemonės suskirstomos pagal pakeitimo vertybiniais popieriais pozicijas (080 eilutė) ir pakartotinio pakeit</w:t>
            </w:r>
            <w:r>
              <w:rPr>
                <w:rFonts w:ascii="Times New Roman" w:hAnsi="Times New Roman"/>
                <w:sz w:val="24"/>
              </w:rPr>
              <w:t>i</w:t>
            </w:r>
            <w:r>
              <w:rPr>
                <w:rFonts w:ascii="Times New Roman" w:hAnsi="Times New Roman"/>
                <w:sz w:val="24"/>
              </w:rPr>
              <w:t>mo vertybiniais popieriais pozicijas (090 eilutė), kaip paaiškinta KRR 251 straipsnio 1 lentelėje.</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IŠANKSTINĖ AMORTIZACIJA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Šią eilutę pildo tik tos įstaigos iniciatorės, kurios turi atnaujinamųjų pakeitimo vertybiniais popieriais pozicijų su išankstinės amortizacijos nuostatomis, kaip nurodyta KRR 242 straipsnio 13 ir 14 dalyse.</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INVESTUOTOJA. BENDRA POZICIJŲ SUMA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Šioje eilutėje apibendrinami pakeitimo vertybiniais popieriais pozicijų, kurių atžvilgiu įstaiga atlieka investuotojo vaidmenį, balansinių ir nebalansinių straipsnių bei išvestinių finansinių priemonių duomenys.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KRR tiksli investuotojo apibrėžtis nėra pateikta. Atsižvelgiant į tai, juo laikoma įstaiga, turinti pakeitimo vertybiniais popieriais poziciją, kurią sudaro pakeit</w:t>
            </w:r>
            <w:r>
              <w:rPr>
                <w:rFonts w:ascii="Times New Roman" w:hAnsi="Times New Roman"/>
                <w:sz w:val="24"/>
              </w:rPr>
              <w:t>i</w:t>
            </w:r>
            <w:r>
              <w:rPr>
                <w:rFonts w:ascii="Times New Roman" w:hAnsi="Times New Roman"/>
                <w:sz w:val="24"/>
              </w:rPr>
              <w:t>mo vertybiniais popieriais sandoris, pagal kurį ji nėra nei iniciatorė, nei rėmėja.</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BALANSINIAI STRAIPSNIAI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Taikomi tie patys pakeitimo vertybiniais popieriais ir pakartotinio pakeitimo vertybiniais popieriais klasifikavimo kriterijai, kurie taikomi iniciatorių bala</w:t>
            </w:r>
            <w:r>
              <w:rPr>
                <w:rFonts w:ascii="Times New Roman" w:hAnsi="Times New Roman"/>
                <w:sz w:val="24"/>
              </w:rPr>
              <w:t>n</w:t>
            </w:r>
            <w:r>
              <w:rPr>
                <w:rFonts w:ascii="Times New Roman" w:hAnsi="Times New Roman"/>
                <w:sz w:val="24"/>
              </w:rPr>
              <w:t>siniams straipsniams.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NEBALANSINIAI STRAIPSNIAI IR IŠVESTINĖS FINANSINĖS PRIEMONĖS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Taikomi tie patys pakeitimo vertybiniais popieriais ir pakartotinio pakeitimo vertybiniais popieriais klasifikavimo kriterijai, kurie taikomi iniciatorių neb</w:t>
            </w:r>
            <w:r>
              <w:rPr>
                <w:rFonts w:ascii="Times New Roman" w:hAnsi="Times New Roman"/>
                <w:sz w:val="24"/>
              </w:rPr>
              <w:t>a</w:t>
            </w:r>
            <w:r>
              <w:rPr>
                <w:rFonts w:ascii="Times New Roman" w:hAnsi="Times New Roman"/>
                <w:sz w:val="24"/>
              </w:rPr>
              <w:t>lansiniams straipsniams ir išvestinėms finansinėms priemonėms.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RĖMĖJA. BENDRA POZICIJŲ SUMA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Šioje eilutėje apibendrinami pakeitimo vertybiniais popieriais pozicijų, kurių atžvilgiu įstaiga atlieka KRR 4 straipsnio 1 dalies 14 punkte apibrėžto rėmėjo vaidmenį, balansinių ir nebalansinių straipsnių ir išvestinių finansinių priem</w:t>
            </w:r>
            <w:r>
              <w:rPr>
                <w:rFonts w:ascii="Times New Roman" w:hAnsi="Times New Roman"/>
                <w:sz w:val="24"/>
              </w:rPr>
              <w:t>o</w:t>
            </w:r>
            <w:r>
              <w:rPr>
                <w:rFonts w:ascii="Times New Roman" w:hAnsi="Times New Roman"/>
                <w:sz w:val="24"/>
              </w:rPr>
              <w:t>nių duomenys. Jeigu įstaiga rėmėja vertybiniais popieriais keičia ir nuosavą tu</w:t>
            </w:r>
            <w:r>
              <w:rPr>
                <w:rFonts w:ascii="Times New Roman" w:hAnsi="Times New Roman"/>
                <w:sz w:val="24"/>
              </w:rPr>
              <w:t>r</w:t>
            </w:r>
            <w:r>
              <w:rPr>
                <w:rFonts w:ascii="Times New Roman" w:hAnsi="Times New Roman"/>
                <w:sz w:val="24"/>
              </w:rPr>
              <w:t>tą, ji užpildo įstaigai iniciatorei skirtas informacijos eilutes, įrašydama vertyb</w:t>
            </w:r>
            <w:r>
              <w:rPr>
                <w:rFonts w:ascii="Times New Roman" w:hAnsi="Times New Roman"/>
                <w:sz w:val="24"/>
              </w:rPr>
              <w:t>i</w:t>
            </w:r>
            <w:r>
              <w:rPr>
                <w:rFonts w:ascii="Times New Roman" w:hAnsi="Times New Roman"/>
                <w:sz w:val="24"/>
              </w:rPr>
              <w:t>niais popieriais keičiamą nuosavą turtą.</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BALANSINIAI STRAIPSNIAI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Taikomi tie patys pakeitimo vertybiniais popieriais ir pakartotinio pakeitimo vertybiniais popieriais klasifikavimo kriterijai, kurie taikomi iniciatorių bala</w:t>
            </w:r>
            <w:r>
              <w:rPr>
                <w:rFonts w:ascii="Times New Roman" w:hAnsi="Times New Roman"/>
                <w:sz w:val="24"/>
              </w:rPr>
              <w:t>n</w:t>
            </w:r>
            <w:r>
              <w:rPr>
                <w:rFonts w:ascii="Times New Roman" w:hAnsi="Times New Roman"/>
                <w:sz w:val="24"/>
              </w:rPr>
              <w:t>siniams straipsniams.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NEBALANSINIAI STRAIPSNIAI IR IŠVESTINĖS FINANSINĖS PRIEMONĖS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Taikomi tie patys pakeitimo vertybiniais popieriais ir pakartotinio pakeitimo vertybiniais popieriais klasifikavimo kriterijai, kurie taikomi iniciatorių neb</w:t>
            </w:r>
            <w:r>
              <w:rPr>
                <w:rFonts w:ascii="Times New Roman" w:hAnsi="Times New Roman"/>
                <w:sz w:val="24"/>
              </w:rPr>
              <w:t>a</w:t>
            </w:r>
            <w:r>
              <w:rPr>
                <w:rFonts w:ascii="Times New Roman" w:hAnsi="Times New Roman"/>
                <w:sz w:val="24"/>
              </w:rPr>
              <w:t>lansiniams straipsniams ir išvestinėms finansinėms priemonėms.</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NEAPMOKĖTŲ POZICIJŲ SUSKIRSTYMAS PAGAL PRADINĮ KR</w:t>
            </w:r>
            <w:r>
              <w:rPr>
                <w:rFonts w:ascii="Times New Roman" w:hAnsi="Times New Roman"/>
                <w:b/>
                <w:sz w:val="24"/>
                <w:u w:val="single"/>
              </w:rPr>
              <w:t>E</w:t>
            </w:r>
            <w:r>
              <w:rPr>
                <w:rFonts w:ascii="Times New Roman" w:hAnsi="Times New Roman"/>
                <w:b/>
                <w:sz w:val="24"/>
                <w:u w:val="single"/>
              </w:rPr>
              <w:t>DITO KOKYBĖS ŽINGSNĮ (CQS)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Šiose eilutėse pateikiama informacija apie neapmokėtas pagal reitingais pagrį</w:t>
            </w:r>
            <w:r>
              <w:rPr>
                <w:rFonts w:ascii="Times New Roman" w:hAnsi="Times New Roman"/>
                <w:sz w:val="24"/>
              </w:rPr>
              <w:t>s</w:t>
            </w:r>
            <w:r>
              <w:rPr>
                <w:rFonts w:ascii="Times New Roman" w:hAnsi="Times New Roman"/>
                <w:sz w:val="24"/>
              </w:rPr>
              <w:t>tą metodą vertinamas pozicijas ir nereitinguotąsias pozicijas (ataskaitinę dieną) pagal kredito kokybės žingsnius (CQS) (numatytus pagal SA metodą KRR 251 straipsnio 1 lentelėje), kurie taikyti inicijavimo dieną (pradžioje). Jeigu šios i</w:t>
            </w:r>
            <w:r>
              <w:rPr>
                <w:rFonts w:ascii="Times New Roman" w:hAnsi="Times New Roman"/>
                <w:sz w:val="24"/>
              </w:rPr>
              <w:t>n</w:t>
            </w:r>
            <w:r>
              <w:rPr>
                <w:rFonts w:ascii="Times New Roman" w:hAnsi="Times New Roman"/>
                <w:sz w:val="24"/>
              </w:rPr>
              <w:t>formacijos neturima, pateikiami anksčiausi turimi kredito kokybės žingsniams lygiaverčiai duomenys.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Šios eilutės pildomos tik 190, 210–270 ir 330–340 skiltyse.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4010072"/>
      <w:r>
        <w:rPr>
          <w:rFonts w:ascii="Times New Roman" w:hAnsi="Times New Roman"/>
          <w:sz w:val="24"/>
          <w:u w:val="none"/>
        </w:rPr>
        <w:lastRenderedPageBreak/>
        <w:t>3.8.</w:t>
      </w:r>
      <w:r>
        <w:tab/>
      </w:r>
      <w:r>
        <w:rPr>
          <w:rFonts w:ascii="Times New Roman" w:hAnsi="Times New Roman"/>
          <w:sz w:val="24"/>
        </w:rPr>
        <w:t>C 13.00. Kredito rizika. Pakeitimas vertybiniais popieriais. Vidaus reitingais pagrįstas metodas, taikomas nuosavų lėšų reikalavimams</w:t>
      </w:r>
      <w:bookmarkEnd w:id="459"/>
      <w:bookmarkEnd w:id="460"/>
      <w:bookmarkEnd w:id="461"/>
      <w:r>
        <w:rPr>
          <w:rFonts w:ascii="Times New Roman" w:hAnsi="Times New Roman"/>
          <w:sz w:val="24"/>
        </w:rPr>
        <w:t xml:space="preserve"> (CR SEC IRB)</w:t>
      </w:r>
      <w:bookmarkEnd w:id="462"/>
      <w:bookmarkEnd w:id="463"/>
      <w:bookmarkEnd w:id="464"/>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4010073"/>
      <w:r>
        <w:rPr>
          <w:rFonts w:ascii="Times New Roman" w:hAnsi="Times New Roman"/>
          <w:sz w:val="24"/>
          <w:u w:val="none"/>
        </w:rPr>
        <w:t>3.8.1.</w:t>
      </w:r>
      <w:r>
        <w:tab/>
      </w:r>
      <w:r>
        <w:rPr>
          <w:rFonts w:ascii="Times New Roman" w:hAnsi="Times New Roman"/>
          <w:sz w:val="24"/>
        </w:rPr>
        <w:t>Bendrosios pastabos</w:t>
      </w:r>
      <w:bookmarkEnd w:id="465"/>
      <w:bookmarkEnd w:id="466"/>
      <w:bookmarkEnd w:id="467"/>
      <w:bookmarkEnd w:id="468"/>
      <w:bookmarkEnd w:id="469"/>
      <w:bookmarkEnd w:id="470"/>
    </w:p>
    <w:p w:rsidR="00612780" w:rsidRDefault="00125707" w:rsidP="00C37B29">
      <w:pPr>
        <w:pStyle w:val="InstructionsText2"/>
        <w:numPr>
          <w:ilvl w:val="0"/>
          <w:numId w:val="0"/>
        </w:numPr>
        <w:ind w:left="993"/>
      </w:pPr>
      <w:r>
        <w:t>104.</w:t>
      </w:r>
      <w:r>
        <w:tab/>
        <w:t>Šioje formoje privaloma pateikti informaciją apie kiekvieną taikant vidaus re</w:t>
      </w:r>
      <w:r>
        <w:t>i</w:t>
      </w:r>
      <w:r>
        <w:t>tingais pagrįstą metodą vykdomą pakeitimą vertybiniais popieriais, kuriuo pripažį</w:t>
      </w:r>
      <w:r>
        <w:t>s</w:t>
      </w:r>
      <w:r>
        <w:t>tamas reikšmingas rizikos perleidimas ir kurį vykdant dalyvauja informaciją te</w:t>
      </w:r>
      <w:r>
        <w:t>i</w:t>
      </w:r>
      <w:r>
        <w:t>kianti įstaiga. Ataskaitinių datų po 2019 m. sausio 1 d. pakeitimo vertybiniais p</w:t>
      </w:r>
      <w:r>
        <w:t>o</w:t>
      </w:r>
      <w:r>
        <w:t>pieriais pozicijos, kurių pagal riziką įvertintų pozicijų sumos nustatomos pagal pe</w:t>
      </w:r>
      <w:r>
        <w:t>r</w:t>
      </w:r>
      <w:r>
        <w:t>žiūrėtą pakeitimo vertybiniais popieriais sistemą, nurodomos ne šioje formoje, o tik C 02.00 formoje. Lygiai taip pat ataskaitinių datų po 2019 m. sausio 1 d. pakeitimo vertybiniais popieriais pozicijos, kurioms pagal peržiūrėtą pakeitimo vertybiniais popieriais sistemą taikomas 1250 % rizikos koeficientas ir kurios pagal KRR 36 straipsnio 1 dalies k punkto ii papunktį yra atskaitomos iš CET1, nurodomos ne ši</w:t>
      </w:r>
      <w:r>
        <w:t>o</w:t>
      </w:r>
      <w:r>
        <w:t>je formoje, o tik C 01.00 formoje.</w:t>
      </w:r>
    </w:p>
    <w:p w:rsidR="001D5403" w:rsidRDefault="00C67004" w:rsidP="00C37B29">
      <w:pPr>
        <w:pStyle w:val="InstructionsText2"/>
        <w:numPr>
          <w:ilvl w:val="0"/>
          <w:numId w:val="0"/>
        </w:numPr>
        <w:ind w:left="993"/>
      </w:pPr>
      <w:r>
        <w:t>104 a. Šioje formoje visos nuorodos į KRR trečios dalies II antraštinės dalies 5 sk</w:t>
      </w:r>
      <w:r>
        <w:t>y</w:t>
      </w:r>
      <w:r>
        <w:t>riaus straipsnius laikomos nuorodomis į 2018 m. gruodžio 31 d. galiojančią KRR redakciją.</w:t>
      </w:r>
    </w:p>
    <w:p w:rsidR="00612780" w:rsidRPr="00392FFD" w:rsidRDefault="00125707" w:rsidP="00C37B29">
      <w:pPr>
        <w:pStyle w:val="InstructionsText2"/>
        <w:numPr>
          <w:ilvl w:val="0"/>
          <w:numId w:val="0"/>
        </w:numPr>
        <w:ind w:left="993"/>
      </w:pPr>
      <w:r>
        <w:t>105.</w:t>
      </w:r>
      <w:r>
        <w:tab/>
        <w:t>Pateikiama informacija skirstoma pagal vykdant pakeitimą vertybiniais popi</w:t>
      </w:r>
      <w:r>
        <w:t>e</w:t>
      </w:r>
      <w:r>
        <w:t>riais įstaigai tenkantį vaidmenį. Taigi, atitinkami formos punktai yra skirti įsta</w:t>
      </w:r>
      <w:r>
        <w:t>i</w:t>
      </w:r>
      <w:r>
        <w:t>goms iniciatorėms, rėmėjoms ir investuotojoms.</w:t>
      </w:r>
    </w:p>
    <w:p w:rsidR="00612780" w:rsidRPr="00392FFD" w:rsidRDefault="00125707" w:rsidP="00C37B29">
      <w:pPr>
        <w:pStyle w:val="InstructionsText2"/>
        <w:numPr>
          <w:ilvl w:val="0"/>
          <w:numId w:val="0"/>
        </w:numPr>
        <w:ind w:left="993"/>
      </w:pPr>
      <w:r>
        <w:t>106.</w:t>
      </w:r>
      <w:r>
        <w:tab/>
        <w:t>CR SEC IRB formos apimtis yra tokia pati kaip ir CR SEC SA formos, joje p</w:t>
      </w:r>
      <w:r>
        <w:t>a</w:t>
      </w:r>
      <w:r>
        <w:t>teikiama bendra informacija ir apie tradicinius, ir apie sintetinius pakeitimus vert</w:t>
      </w:r>
      <w:r>
        <w:t>y</w:t>
      </w:r>
      <w:r>
        <w:t xml:space="preserve">biniais popieriais bankinėje knygoje.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4010074"/>
      <w:r>
        <w:rPr>
          <w:rFonts w:ascii="Times New Roman" w:hAnsi="Times New Roman"/>
          <w:sz w:val="24"/>
          <w:u w:val="none"/>
        </w:rPr>
        <w:t>3.8.2.</w:t>
      </w:r>
      <w:r>
        <w:tab/>
      </w:r>
      <w:r>
        <w:rPr>
          <w:rFonts w:ascii="Times New Roman" w:hAnsi="Times New Roman"/>
          <w:sz w:val="24"/>
        </w:rPr>
        <w:t>Nurodymai dėl konkrečių pozicijų</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Skiltys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BENDRA INICIJUOTŲ PAKEITIMO VERTYBINIAIS POPIERIAIS POZICIJŲ SUMA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Balansinių straipsnių bendros sumos eilutėje šioje skiltyje nurodoma suma at</w:t>
            </w:r>
            <w:r>
              <w:rPr>
                <w:rFonts w:ascii="Times New Roman" w:hAnsi="Times New Roman"/>
                <w:sz w:val="24"/>
              </w:rPr>
              <w:t>i</w:t>
            </w:r>
            <w:r>
              <w:rPr>
                <w:rFonts w:ascii="Times New Roman" w:hAnsi="Times New Roman"/>
                <w:sz w:val="24"/>
              </w:rPr>
              <w:t>tinka neapmokėtų pakeitimo vertybiniais popieriais pozicijų ataskaitinę dieną sumą.</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Žr. CR SEC SA formos 010 skiltį.</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SINTETINIS PAKEITIMAS VERTYBINIAIS POPIERIAIS. VERTYB</w:t>
            </w:r>
            <w:r>
              <w:rPr>
                <w:rFonts w:ascii="Times New Roman" w:hAnsi="Times New Roman"/>
                <w:b/>
                <w:sz w:val="24"/>
                <w:u w:val="single"/>
              </w:rPr>
              <w:t>I</w:t>
            </w:r>
            <w:r>
              <w:rPr>
                <w:rFonts w:ascii="Times New Roman" w:hAnsi="Times New Roman"/>
                <w:b/>
                <w:sz w:val="24"/>
                <w:u w:val="single"/>
              </w:rPr>
              <w:t>NIAIS POPIERIAIS PAKEISTŲ POZICIJŲ KREDITO UŽTIKRIN</w:t>
            </w:r>
            <w:r>
              <w:rPr>
                <w:rFonts w:ascii="Times New Roman" w:hAnsi="Times New Roman"/>
                <w:b/>
                <w:sz w:val="24"/>
                <w:u w:val="single"/>
              </w:rPr>
              <w:t>I</w:t>
            </w:r>
            <w:r>
              <w:rPr>
                <w:rFonts w:ascii="Times New Roman" w:hAnsi="Times New Roman"/>
                <w:b/>
                <w:sz w:val="24"/>
                <w:u w:val="single"/>
              </w:rPr>
              <w:t>MAS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KRR 249 ir 250 straipsniai.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 xml:space="preserve">Koreguojant vertę pagal kredito rizikos mažinimo metodus, taikomus pakeitimo vertybiniais popieriais struktūroje, į terminų nesutapimus nėra atsižvelgiama.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TIESIOGINIS KREDITO UŽTIKRINIMAS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Išsami užtikrinimo priemonės vertės, pakoreguotos pagal kintamumą (C</w:t>
            </w:r>
            <w:r>
              <w:rPr>
                <w:rFonts w:ascii="Times New Roman" w:hAnsi="Times New Roman"/>
                <w:sz w:val="24"/>
                <w:vertAlign w:val="subscript"/>
              </w:rPr>
              <w:t>VA</w:t>
            </w:r>
            <w:r>
              <w:rPr>
                <w:rFonts w:ascii="Times New Roman" w:hAnsi="Times New Roman"/>
                <w:sz w:val="24"/>
              </w:rPr>
              <w:t>), k</w:t>
            </w:r>
            <w:r>
              <w:rPr>
                <w:rFonts w:ascii="Times New Roman" w:hAnsi="Times New Roman"/>
                <w:sz w:val="24"/>
              </w:rPr>
              <w:t>u</w:t>
            </w:r>
            <w:r>
              <w:rPr>
                <w:rFonts w:ascii="Times New Roman" w:hAnsi="Times New Roman"/>
                <w:sz w:val="24"/>
              </w:rPr>
              <w:t>ri turėtų būti nurodoma šioje skiltyje, skaičiavimo tvarka yra nustatyta KRR 223 straipsnio 2 dalyje.</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BENDRA NETENKAMŲ PINIGŲ SRAUTO SUMA. PAGAL NETI</w:t>
            </w:r>
            <w:r>
              <w:rPr>
                <w:rFonts w:ascii="Times New Roman" w:hAnsi="Times New Roman"/>
                <w:b/>
                <w:sz w:val="24"/>
                <w:u w:val="single"/>
              </w:rPr>
              <w:t>E</w:t>
            </w:r>
            <w:r>
              <w:rPr>
                <w:rFonts w:ascii="Times New Roman" w:hAnsi="Times New Roman"/>
                <w:b/>
                <w:sz w:val="24"/>
                <w:u w:val="single"/>
              </w:rPr>
              <w:t xml:space="preserve">SIOGINĮ KREDITO UŽTIKRINIMĄ PAKOREGUOTOS VERTĖS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Remiantis bendra gaunamų ir netenkamų pinigų srautų taisykle, CR SEC IRB formos 030 skiltyje nurodomos sumos atitinkamoje kredito rizikos formoje (CR SA arba CR IRB) ir užtikrinimo teikėjo (t. y. trečiosios šalies, kuriai netiesiog</w:t>
            </w:r>
            <w:r>
              <w:rPr>
                <w:rFonts w:ascii="Times New Roman" w:hAnsi="Times New Roman"/>
                <w:sz w:val="24"/>
              </w:rPr>
              <w:t>i</w:t>
            </w:r>
            <w:r>
              <w:rPr>
                <w:rFonts w:ascii="Times New Roman" w:hAnsi="Times New Roman"/>
                <w:sz w:val="24"/>
              </w:rPr>
              <w:t>nio kredito užtikrinimo priemonėmis perduodamas segmentas) pozicijų klasėje parodomos kaip gaunamų pinigų srautas</w:t>
            </w:r>
            <w:r>
              <w:rPr>
                <w:rFonts w:ascii="Times New Roman" w:hAnsi="Times New Roman"/>
                <w:i/>
                <w:sz w:val="24"/>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Nominaliosios kredito užtikrinimo sumos, pakoreguotos pagal užsienio valiutos kurso riziką, (G*) skaičiavimo tvarka yra nustatyta KRR 233 straipsnio 3 dal</w:t>
            </w:r>
            <w:r>
              <w:rPr>
                <w:rFonts w:ascii="Times New Roman" w:hAnsi="Times New Roman"/>
                <w:sz w:val="24"/>
              </w:rPr>
              <w:t>y</w:t>
            </w:r>
            <w:r>
              <w:rPr>
                <w:rFonts w:ascii="Times New Roman" w:hAnsi="Times New Roman"/>
                <w:sz w:val="24"/>
              </w:rPr>
              <w:t>je.</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TARIAMOJI IŠLAIKYTO ARBA ATPIRKTO KREDITO UŽTIKR</w:t>
            </w:r>
            <w:r>
              <w:rPr>
                <w:rFonts w:ascii="Times New Roman" w:hAnsi="Times New Roman"/>
                <w:b/>
                <w:sz w:val="24"/>
                <w:u w:val="single"/>
              </w:rPr>
              <w:t>I</w:t>
            </w:r>
            <w:r>
              <w:rPr>
                <w:rFonts w:ascii="Times New Roman" w:hAnsi="Times New Roman"/>
                <w:b/>
                <w:sz w:val="24"/>
                <w:u w:val="single"/>
              </w:rPr>
              <w:t>NIMO SUMA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Visi segmentai, kurie buvo išlaikyti arba atpirkti, pvz., išlaikytos pirmojo nu</w:t>
            </w:r>
            <w:r>
              <w:rPr>
                <w:rFonts w:ascii="Times New Roman" w:hAnsi="Times New Roman"/>
                <w:sz w:val="24"/>
              </w:rPr>
              <w:t>o</w:t>
            </w:r>
            <w:r>
              <w:rPr>
                <w:rFonts w:ascii="Times New Roman" w:hAnsi="Times New Roman"/>
                <w:sz w:val="24"/>
              </w:rPr>
              <w:t>stolio pozicijos, nurodomos savo nominaliąja verte.</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Skaičiuojant išlaikyto arba atpirkto kredito užtikrinimo sumą, į priežiūros inst</w:t>
            </w:r>
            <w:r>
              <w:rPr>
                <w:rFonts w:ascii="Times New Roman" w:hAnsi="Times New Roman"/>
                <w:sz w:val="24"/>
              </w:rPr>
              <w:t>i</w:t>
            </w:r>
            <w:r>
              <w:rPr>
                <w:rFonts w:ascii="Times New Roman" w:hAnsi="Times New Roman"/>
                <w:sz w:val="24"/>
              </w:rPr>
              <w:t>tucijų nustatyto kredito užtikrinimo vertės sumažinimo poveikį neatsižvelgi</w:t>
            </w:r>
            <w:r>
              <w:rPr>
                <w:rFonts w:ascii="Times New Roman" w:hAnsi="Times New Roman"/>
                <w:sz w:val="24"/>
              </w:rPr>
              <w:t>a</w:t>
            </w:r>
            <w:r>
              <w:rPr>
                <w:rFonts w:ascii="Times New Roman" w:hAnsi="Times New Roman"/>
                <w:sz w:val="24"/>
              </w:rPr>
              <w:t>ma.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 xml:space="preserve">PAKEITIMO VERTYBINIAIS POPIERIAIS POZICIJOS. PRADINĖ POZICIJA IKI PERSKAIČIAVIMO KOEFICIENTŲ TAIKYMO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Informaciją teikiančios įstaigos turimos pakeitimo vertybiniais popieriais poz</w:t>
            </w:r>
            <w:r>
              <w:rPr>
                <w:rFonts w:ascii="Times New Roman" w:hAnsi="Times New Roman"/>
                <w:sz w:val="24"/>
              </w:rPr>
              <w:t>i</w:t>
            </w:r>
            <w:r>
              <w:rPr>
                <w:rFonts w:ascii="Times New Roman" w:hAnsi="Times New Roman"/>
                <w:sz w:val="24"/>
              </w:rPr>
              <w:t>cijos, apskaičiuotos pagal KRR 246 straipsnio 1 dalies b, b ir e punktus ir 2 d</w:t>
            </w:r>
            <w:r>
              <w:rPr>
                <w:rFonts w:ascii="Times New Roman" w:hAnsi="Times New Roman"/>
                <w:sz w:val="24"/>
              </w:rPr>
              <w:t>a</w:t>
            </w:r>
            <w:r>
              <w:rPr>
                <w:rFonts w:ascii="Times New Roman" w:hAnsi="Times New Roman"/>
                <w:sz w:val="24"/>
              </w:rPr>
              <w:t>lį, netaikant kredito perskaičiavimo koeficientų ir jokių kitų kredito rizikos k</w:t>
            </w:r>
            <w:r>
              <w:rPr>
                <w:rFonts w:ascii="Times New Roman" w:hAnsi="Times New Roman"/>
                <w:sz w:val="24"/>
              </w:rPr>
              <w:t>o</w:t>
            </w:r>
            <w:r>
              <w:rPr>
                <w:rFonts w:ascii="Times New Roman" w:hAnsi="Times New Roman"/>
                <w:sz w:val="24"/>
              </w:rPr>
              <w:t>regavimų ir atidėjinių. Užskaita taikoma tik tada, kai tam pačiam SPPVPS p</w:t>
            </w:r>
            <w:r>
              <w:rPr>
                <w:rFonts w:ascii="Times New Roman" w:hAnsi="Times New Roman"/>
                <w:sz w:val="24"/>
              </w:rPr>
              <w:t>a</w:t>
            </w:r>
            <w:r>
              <w:rPr>
                <w:rFonts w:ascii="Times New Roman" w:hAnsi="Times New Roman"/>
                <w:sz w:val="24"/>
              </w:rPr>
              <w:t>teikiama daug išvestinių finansinių priemonių sandorių, kuriems taikomas re</w:t>
            </w:r>
            <w:r>
              <w:rPr>
                <w:rFonts w:ascii="Times New Roman" w:hAnsi="Times New Roman"/>
                <w:sz w:val="24"/>
              </w:rPr>
              <w:t>i</w:t>
            </w:r>
            <w:r>
              <w:rPr>
                <w:rFonts w:ascii="Times New Roman" w:hAnsi="Times New Roman"/>
                <w:sz w:val="24"/>
              </w:rPr>
              <w:t xml:space="preserve">kalavimus atitinkantis užskaitos susitarimas.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skiltyje nurodomi vertės koregavimai ir atidėjiniai yra susiję tik su pake</w:t>
            </w:r>
            <w:r>
              <w:rPr>
                <w:rFonts w:ascii="Times New Roman" w:hAnsi="Times New Roman"/>
                <w:sz w:val="24"/>
              </w:rPr>
              <w:t>i</w:t>
            </w:r>
            <w:r>
              <w:rPr>
                <w:rFonts w:ascii="Times New Roman" w:hAnsi="Times New Roman"/>
                <w:sz w:val="24"/>
              </w:rPr>
              <w:t>timo vertybiniais popieriais pozicijomis. Į vertybiniais popieriais pakeistų poz</w:t>
            </w:r>
            <w:r>
              <w:rPr>
                <w:rFonts w:ascii="Times New Roman" w:hAnsi="Times New Roman"/>
                <w:sz w:val="24"/>
              </w:rPr>
              <w:t>i</w:t>
            </w:r>
            <w:r>
              <w:rPr>
                <w:rFonts w:ascii="Times New Roman" w:hAnsi="Times New Roman"/>
                <w:sz w:val="24"/>
              </w:rPr>
              <w:t>cijų vertės koregavimus neatsižvelgiama.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Išankstinės amortizacijos nuostatų atveju įstaigos nurodo „iniciatoriaus dalies“, apibrėžtos KRR 256 straipsnio 2 dalyje, sumą.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Sintetinio pakeitimo vertybiniais popieriais atveju įstaigos iniciatorės turimos balansinių straipsnių pozicijos ir (arba) investuotojo dalys (išankstinė amortiz</w:t>
            </w:r>
            <w:r>
              <w:rPr>
                <w:rFonts w:ascii="Times New Roman" w:hAnsi="Times New Roman"/>
                <w:sz w:val="24"/>
              </w:rPr>
              <w:t>a</w:t>
            </w:r>
            <w:r>
              <w:rPr>
                <w:rFonts w:ascii="Times New Roman" w:hAnsi="Times New Roman"/>
                <w:sz w:val="24"/>
              </w:rPr>
              <w:t>cija) apskaičiuojamos agreguojant 010–040 skilčių reikšmes.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KREDITO RIZIKOS MAŽINIMO (KRM) METODAI, TURINTYS P</w:t>
            </w:r>
            <w:r>
              <w:rPr>
                <w:rFonts w:ascii="Times New Roman" w:hAnsi="Times New Roman"/>
                <w:b/>
                <w:sz w:val="24"/>
                <w:u w:val="single"/>
              </w:rPr>
              <w:t>O</w:t>
            </w:r>
            <w:r>
              <w:rPr>
                <w:rFonts w:ascii="Times New Roman" w:hAnsi="Times New Roman"/>
                <w:b/>
                <w:sz w:val="24"/>
                <w:u w:val="single"/>
              </w:rPr>
              <w:t>ZICIJOS PAKEITIMO POVEIKĮ</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Žr. KRR 4 straipsnio 1 dalies 57 punktą ir trečios dalies II antraštinės dalies 4 skyrių.</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Šioje skilčių grupėje pateikiama informacija apie kredito rizikos mažinimo m</w:t>
            </w:r>
            <w:r>
              <w:rPr>
                <w:rFonts w:ascii="Times New Roman" w:hAnsi="Times New Roman"/>
                <w:sz w:val="24"/>
              </w:rPr>
              <w:t>e</w:t>
            </w:r>
            <w:r>
              <w:rPr>
                <w:rFonts w:ascii="Times New Roman" w:hAnsi="Times New Roman"/>
                <w:sz w:val="24"/>
              </w:rPr>
              <w:t>todus, kuriais pozicijos arba pozicijų kredito rizika mažinama pakeičiant poz</w:t>
            </w:r>
            <w:r>
              <w:rPr>
                <w:rFonts w:ascii="Times New Roman" w:hAnsi="Times New Roman"/>
                <w:sz w:val="24"/>
              </w:rPr>
              <w:t>i</w:t>
            </w:r>
            <w:r>
              <w:rPr>
                <w:rFonts w:ascii="Times New Roman" w:hAnsi="Times New Roman"/>
                <w:sz w:val="24"/>
              </w:rPr>
              <w:t>cijas (kaip paaiškinta toliau apie gaunamų ir netenkamų pinigų srautus).</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NETIESIOGINIS KREDITO UŽTIKRINIMAS. PAKOREGUOTOS VERTĖS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Netiesioginis kredito užtikrinimas apibrėžtas KRR 4 straipsnio 1 dalies 59 punkte.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KRR 236 straipsnyje paaiškinama G</w:t>
            </w:r>
            <w:r>
              <w:rPr>
                <w:rFonts w:ascii="Times New Roman" w:hAnsi="Times New Roman"/>
                <w:sz w:val="24"/>
                <w:vertAlign w:val="subscript"/>
              </w:rPr>
              <w:t>A</w:t>
            </w:r>
            <w:r>
              <w:rPr>
                <w:rFonts w:ascii="Times New Roman" w:hAnsi="Times New Roman"/>
                <w:sz w:val="24"/>
              </w:rPr>
              <w:t xml:space="preserve"> apskaičiavimo tvarka visiško užtikrinimo / dalinio užtikrinimo, turinčio tą patį prioritetą, atvejais.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Ši informacija yra susijusi su CR IRB formos 040 ir 050 skiltimis.</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TIESIOGINIS KREDITO UŽTIKRINIMAS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Tiesioginis kredito užtikrinimas apibrėžtas KRR 4 straipsnio 1 dalies 58 pun</w:t>
            </w:r>
            <w:r>
              <w:rPr>
                <w:rFonts w:ascii="Times New Roman" w:hAnsi="Times New Roman"/>
                <w:sz w:val="24"/>
              </w:rPr>
              <w:t>k</w:t>
            </w:r>
            <w:r>
              <w:rPr>
                <w:rFonts w:ascii="Times New Roman" w:hAnsi="Times New Roman"/>
                <w:sz w:val="24"/>
              </w:rPr>
              <w:t>te.</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Kadangi paprastasis finansinių užtikrinimo priemonių metodas netaikomas, ši</w:t>
            </w:r>
            <w:r>
              <w:rPr>
                <w:rFonts w:ascii="Times New Roman" w:hAnsi="Times New Roman"/>
                <w:sz w:val="24"/>
              </w:rPr>
              <w:t>o</w:t>
            </w:r>
            <w:r>
              <w:rPr>
                <w:rFonts w:ascii="Times New Roman" w:hAnsi="Times New Roman"/>
                <w:sz w:val="24"/>
              </w:rPr>
              <w:t>je skiltyje nurodomas tik KRR 200 straipsnyje nurodytas tiesioginis kredito u</w:t>
            </w:r>
            <w:r>
              <w:rPr>
                <w:rFonts w:ascii="Times New Roman" w:hAnsi="Times New Roman"/>
                <w:sz w:val="24"/>
              </w:rPr>
              <w:t>ž</w:t>
            </w:r>
            <w:r>
              <w:rPr>
                <w:rFonts w:ascii="Times New Roman" w:hAnsi="Times New Roman"/>
                <w:sz w:val="24"/>
              </w:rPr>
              <w:t>tikrinimas.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informacija yra susijusi su CR IRB formos 060 skiltimi.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POZICIJOS PAKEITIMAS DĖL KRM</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Taip pat nurodomi tos pačios pozicijų klasės gaunamų ir netenkamų pinigų srautai ir, jei taikoma, rizikos koeficientai arba įsipareigojančiojo asmens ra</w:t>
            </w:r>
            <w:r>
              <w:rPr>
                <w:rFonts w:ascii="Times New Roman" w:hAnsi="Times New Roman"/>
                <w:sz w:val="24"/>
              </w:rPr>
              <w:t>n</w:t>
            </w:r>
            <w:r>
              <w:rPr>
                <w:rFonts w:ascii="Times New Roman" w:hAnsi="Times New Roman"/>
                <w:sz w:val="24"/>
              </w:rPr>
              <w:t>gai.</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BENDRA NETENKAMŲ PINIGŲ SRAUTO SUMA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KRR 236 straipsnis.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Netenkamų pinigų srautas yra lygus padengtai „pozicijos atėmus vertės koreg</w:t>
            </w:r>
            <w:r>
              <w:rPr>
                <w:rFonts w:ascii="Times New Roman" w:hAnsi="Times New Roman"/>
                <w:sz w:val="24"/>
              </w:rPr>
              <w:t>a</w:t>
            </w:r>
            <w:r>
              <w:rPr>
                <w:rFonts w:ascii="Times New Roman" w:hAnsi="Times New Roman"/>
                <w:sz w:val="24"/>
              </w:rPr>
              <w:t>vimus ir atidėjinius“ daliai, kuri atskaitoma iš įsipareigojančiojo asmens pozic</w:t>
            </w:r>
            <w:r>
              <w:rPr>
                <w:rFonts w:ascii="Times New Roman" w:hAnsi="Times New Roman"/>
                <w:sz w:val="24"/>
              </w:rPr>
              <w:t>i</w:t>
            </w:r>
            <w:r>
              <w:rPr>
                <w:rFonts w:ascii="Times New Roman" w:hAnsi="Times New Roman"/>
                <w:sz w:val="24"/>
              </w:rPr>
              <w:t xml:space="preserve">jų klasės ir, jei taikoma, iš rizikos koeficiento arba įsipareigojančiojo asmens rango ir paskui priskiriama užtikrinimo teikėjo pozicijų klasei, ir, jei taikoma, rizikos koeficientui arba įsipareigojančiojo asmens rangui.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suma laikoma užtikrinimo teikėjo pozicijų klasės ir, jei taikoma, rizikos ko</w:t>
            </w:r>
            <w:r>
              <w:rPr>
                <w:rFonts w:ascii="Times New Roman" w:hAnsi="Times New Roman"/>
                <w:sz w:val="24"/>
              </w:rPr>
              <w:t>e</w:t>
            </w:r>
            <w:r>
              <w:rPr>
                <w:rFonts w:ascii="Times New Roman" w:hAnsi="Times New Roman"/>
                <w:sz w:val="24"/>
              </w:rPr>
              <w:t>ficientų arba įsipareigojančiojo asmens rango gaunamų pinigų srautu.</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informacija yra susijusi su CR IRB formos 070 skiltimi.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BENDRA GAUNAMŲ PINIGŲ SRAUTO SUMA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Ši informacija yra susijusi su CR IRB formos 080 skiltimi.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POZICIJOS VERTĖ PRITAIKIUS KRM, TURINČIUS PAKEITIMO POVEIKĮ, IKI PERSKAIČIAVIMO KOEFICIENTŲ TAIKYMO</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Pozicija, priskirta atitinkamam rizikos koeficientui ir pozicijų klasei, atsižve</w:t>
            </w:r>
            <w:r>
              <w:rPr>
                <w:rStyle w:val="FormatvorlageInstructionsTabelleText"/>
                <w:rFonts w:ascii="Times New Roman" w:hAnsi="Times New Roman"/>
                <w:sz w:val="24"/>
              </w:rPr>
              <w:t>l</w:t>
            </w:r>
            <w:r>
              <w:rPr>
                <w:rStyle w:val="FormatvorlageInstructionsTabelleText"/>
                <w:rFonts w:ascii="Times New Roman" w:hAnsi="Times New Roman"/>
                <w:sz w:val="24"/>
              </w:rPr>
              <w:t>gus į netenkamų ir gaunamų pinigų srautus dėl „Kredito rizikos mažinimo (KRM) metodų, turinčių pozicijos pakeitimo poveikį“.</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Ši informacija yra susijusi su CR IRB formos 090 skiltimi.</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KREDITO RIZIKOS MAŽINIMO METODAI, VEIKIANTYS POZ</w:t>
            </w:r>
            <w:r>
              <w:rPr>
                <w:rStyle w:val="InstructionsTabelleberschrift"/>
                <w:rFonts w:ascii="Times New Roman" w:hAnsi="Times New Roman"/>
                <w:sz w:val="24"/>
              </w:rPr>
              <w:t>I</w:t>
            </w:r>
            <w:r>
              <w:rPr>
                <w:rStyle w:val="InstructionsTabelleberschrift"/>
                <w:rFonts w:ascii="Times New Roman" w:hAnsi="Times New Roman"/>
                <w:sz w:val="24"/>
              </w:rPr>
              <w:t>CIJOS SUMĄ. TIESIOGINIO KREDITO UŽTIKRINIMO VERTĖ, P</w:t>
            </w:r>
            <w:r>
              <w:rPr>
                <w:rStyle w:val="InstructionsTabelleberschrift"/>
                <w:rFonts w:ascii="Times New Roman" w:hAnsi="Times New Roman"/>
                <w:sz w:val="24"/>
              </w:rPr>
              <w:t>A</w:t>
            </w:r>
            <w:r>
              <w:rPr>
                <w:rStyle w:val="InstructionsTabelleberschrift"/>
                <w:rFonts w:ascii="Times New Roman" w:hAnsi="Times New Roman"/>
                <w:sz w:val="24"/>
              </w:rPr>
              <w:t>KOREGUOTA PAGAL IŠSAMŲJĮ FINANSINIŲ UŽTIKRINIMO PRIEMONIŲ METODĄ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KRR 218–222 straipsniai. Šis straipsnis taip pat apima su kreditu susijusius vekselius (KRR 218 straipsnis).</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VISIŠKAI KOREGUOTA POZICIJOS VERTĖ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pozicijos pagal KRR 246 straipsnį, todėl KRR 246 straipsnio 1 dalies c punkte nustatyti perskaičiavimo koeficientai netaik</w:t>
            </w:r>
            <w:r>
              <w:rPr>
                <w:rFonts w:ascii="Times New Roman" w:hAnsi="Times New Roman"/>
                <w:sz w:val="24"/>
              </w:rPr>
              <w:t>o</w:t>
            </w:r>
            <w:r>
              <w:rPr>
                <w:rFonts w:ascii="Times New Roman" w:hAnsi="Times New Roman"/>
                <w:sz w:val="24"/>
              </w:rPr>
              <w:t>mi.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NEBALANSINIŲ STRAIPSNIŲ VISIŠKAI KOREGUOTOS POZICIJOS VERTĖS (E*) SUSKIRSTYMAS PAGAL PERSKAIČIAVIMO KOEF</w:t>
            </w:r>
            <w:r>
              <w:rPr>
                <w:rFonts w:ascii="Times New Roman" w:hAnsi="Times New Roman"/>
                <w:b/>
                <w:sz w:val="24"/>
                <w:u w:val="single"/>
              </w:rPr>
              <w:t>I</w:t>
            </w:r>
            <w:r>
              <w:rPr>
                <w:rFonts w:ascii="Times New Roman" w:hAnsi="Times New Roman"/>
                <w:b/>
                <w:sz w:val="24"/>
                <w:u w:val="single"/>
              </w:rPr>
              <w:t>CIENTĄ</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KRR 246 straipsnio 1 dalies c punkte numatyta, kad nebalansinio pakeitimo vertybiniais popieriais pozicijos vertė turi būti apskaičiuojama jos nominaliąją vertę padauginus iš perskaičiavimo koeficiento. Šis perskaičiavimo dydis yra 100 %, nebent nurodyta kitaip.</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Šiuo atveju taikomas perskaičiavimo koeficientas apibrėžtas KRR 4 straipsnio 1 dalies 56 punkte.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Teikiant informaciją visiškai koreguotos pozicijų vertės (E*) nurodomos pagal vieną iš šių keturių tarpusavyje nederinamų perskaičiavimo koeficientų interv</w:t>
            </w:r>
            <w:r>
              <w:rPr>
                <w:rFonts w:ascii="Times New Roman" w:hAnsi="Times New Roman"/>
                <w:sz w:val="24"/>
              </w:rPr>
              <w:t>a</w:t>
            </w:r>
            <w:r>
              <w:rPr>
                <w:rFonts w:ascii="Times New Roman" w:hAnsi="Times New Roman"/>
                <w:sz w:val="24"/>
              </w:rPr>
              <w:t>lų: 0 %, (0 %, 20 %], (20 %, 50 %] ir (50 %, 100 %].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POZICIJOS VERTĖ</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pozicijos pagal KRR 246 straipsnį.</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Ši informacija yra susijusi su CR IRB formos 110 skiltimi.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IŠ NUOSAVŲ LĖŠŲ ATSKAITOMA POZICIJOS VERTĖ</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KRR 266 straipsnio 3 dalyje numatyta, kad pakeitimo vertybiniais popieriais pozicijų, kurioms taikomas 1250 % rizikos koeficientas, atveju įstaigos gali, užuot įtraukusios poziciją į savo pagal riziką įvertintų pozicijų sumų apskaiči</w:t>
            </w:r>
            <w:r>
              <w:rPr>
                <w:rFonts w:ascii="Times New Roman" w:hAnsi="Times New Roman"/>
                <w:sz w:val="24"/>
              </w:rPr>
              <w:t>a</w:t>
            </w:r>
            <w:r>
              <w:rPr>
                <w:rFonts w:ascii="Times New Roman" w:hAnsi="Times New Roman"/>
                <w:sz w:val="24"/>
              </w:rPr>
              <w:t>vimą, atimti pozicijos vertę iš nuosavų lėšų.</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POZICIJOS VERTĖ, KURIAI TAIKOMI RIZIKOS KOEFICIENTAI</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REITINGAIS PAGRĮSTAS METODAS (KREDITO KOKYBĖS ŽING</w:t>
            </w:r>
            <w:r>
              <w:rPr>
                <w:rFonts w:ascii="Times New Roman" w:hAnsi="Times New Roman"/>
                <w:b/>
                <w:sz w:val="24"/>
                <w:u w:val="single"/>
              </w:rPr>
              <w:t>S</w:t>
            </w:r>
            <w:r>
              <w:rPr>
                <w:rFonts w:ascii="Times New Roman" w:hAnsi="Times New Roman"/>
                <w:b/>
                <w:sz w:val="24"/>
                <w:u w:val="single"/>
              </w:rPr>
              <w:t>NIAI)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KRR 261 straipsnis.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IRB pakeitimo vertybiniais popieriais pozicijos su numanomu reitingu, kaip paaiškinta KRR 259 straipsnio 2 dalyje, nurodomos kaip reitinguotosios pozic</w:t>
            </w:r>
            <w:r>
              <w:rPr>
                <w:rFonts w:ascii="Times New Roman" w:hAnsi="Times New Roman"/>
                <w:sz w:val="24"/>
              </w:rPr>
              <w:t>i</w:t>
            </w:r>
            <w:r>
              <w:rPr>
                <w:rFonts w:ascii="Times New Roman" w:hAnsi="Times New Roman"/>
                <w:sz w:val="24"/>
              </w:rPr>
              <w:t>jos.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Pozicijos vertės, kurioms taikomi rizikos koeficientai, suskirstomos pagal kr</w:t>
            </w:r>
            <w:r>
              <w:rPr>
                <w:rFonts w:ascii="Times New Roman" w:hAnsi="Times New Roman"/>
                <w:sz w:val="24"/>
              </w:rPr>
              <w:t>e</w:t>
            </w:r>
            <w:r>
              <w:rPr>
                <w:rFonts w:ascii="Times New Roman" w:hAnsi="Times New Roman"/>
                <w:sz w:val="24"/>
              </w:rPr>
              <w:t xml:space="preserve">dito kokybės žingsnius (CQS), kaip numatyta KRR 261 straipsnio 1 dalies 4 lentelėje pagal IRB metodą.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PRIEŽIŪRINĖS FORMULĖS METODAS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Dėl priežiūrinės formulės metodo (SFM) žr. KRR 262 straipsnį.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Pakeitimo vertybiniais popieriais pozicijos rizikos koeficientas yra lygus dide</w:t>
            </w:r>
            <w:r>
              <w:rPr>
                <w:rFonts w:ascii="Times New Roman" w:hAnsi="Times New Roman"/>
                <w:sz w:val="24"/>
              </w:rPr>
              <w:t>s</w:t>
            </w:r>
            <w:r>
              <w:rPr>
                <w:rFonts w:ascii="Times New Roman" w:hAnsi="Times New Roman"/>
                <w:sz w:val="24"/>
              </w:rPr>
              <w:t>nei iš šių reikšmių: 7 % arba pagal pateiktas formules taikytinam rizikos koef</w:t>
            </w:r>
            <w:r>
              <w:rPr>
                <w:rFonts w:ascii="Times New Roman" w:hAnsi="Times New Roman"/>
                <w:sz w:val="24"/>
              </w:rPr>
              <w:t>i</w:t>
            </w:r>
            <w:r>
              <w:rPr>
                <w:rFonts w:ascii="Times New Roman" w:hAnsi="Times New Roman"/>
                <w:sz w:val="24"/>
              </w:rPr>
              <w:t xml:space="preserve">cientui.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PRIEŽIŪRINĖS FORMULĖS METODAS. VIDUTINIS RIZIKOS KO</w:t>
            </w:r>
            <w:r>
              <w:rPr>
                <w:rFonts w:ascii="Times New Roman" w:hAnsi="Times New Roman"/>
                <w:b/>
                <w:sz w:val="24"/>
                <w:u w:val="single"/>
              </w:rPr>
              <w:t>E</w:t>
            </w:r>
            <w:r>
              <w:rPr>
                <w:rFonts w:ascii="Times New Roman" w:hAnsi="Times New Roman"/>
                <w:b/>
                <w:sz w:val="24"/>
                <w:u w:val="single"/>
              </w:rPr>
              <w:t>FICIENTAS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Pakeitimo vertybiniais popieriais pozicijų kredito rizikos mažinimas gali būti pripažįstamas pagal KRR 264 straipsnį. Tokiu atveju, gavusi visišką pozicijos užtikrinimą, įstaiga nurodo pozicijos „faktinį rizikos koeficientą“, kaip tai n</w:t>
            </w:r>
            <w:r>
              <w:rPr>
                <w:rFonts w:ascii="Times New Roman" w:hAnsi="Times New Roman"/>
                <w:sz w:val="24"/>
              </w:rPr>
              <w:t>u</w:t>
            </w:r>
            <w:r>
              <w:rPr>
                <w:rFonts w:ascii="Times New Roman" w:hAnsi="Times New Roman"/>
                <w:sz w:val="24"/>
              </w:rPr>
              <w:t>rodyta KRR 264 straipsnio 2 dalyje (faktinis rizikos koeficientas apskaičiuoj</w:t>
            </w:r>
            <w:r>
              <w:rPr>
                <w:rFonts w:ascii="Times New Roman" w:hAnsi="Times New Roman"/>
                <w:sz w:val="24"/>
              </w:rPr>
              <w:t>a</w:t>
            </w:r>
            <w:r>
              <w:rPr>
                <w:rFonts w:ascii="Times New Roman" w:hAnsi="Times New Roman"/>
                <w:sz w:val="24"/>
              </w:rPr>
              <w:t>mas pagal riziką įvertintų pozicijų sumą padalijus iš pozicijos vertės ir gautą rezultatą padauginus iš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Jeigu pozicija yra užtikrinta iš dalies, įstaiga gali taikyti priežiūrinės formulės metodą ir „T“ reikšmę, pakoreguotą pagal KRR 264 straipsnio 3 dalį.</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Šioje skiltyje nurodomi vidutiniai svertiniai rizikos koeficientai.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SKAIDRUMO METODAS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Pagal skaidrumo metodą pildomos skiltys apima visas nereitinguotąsias pozic</w:t>
            </w:r>
            <w:r>
              <w:rPr>
                <w:rFonts w:ascii="Times New Roman" w:hAnsi="Times New Roman"/>
                <w:sz w:val="24"/>
              </w:rPr>
              <w:t>i</w:t>
            </w:r>
            <w:r>
              <w:rPr>
                <w:rFonts w:ascii="Times New Roman" w:hAnsi="Times New Roman"/>
                <w:sz w:val="24"/>
              </w:rPr>
              <w:t>jas, kurių rizikos koeficientas nustatomas pagal pagrindinį pozicijų portfelį (d</w:t>
            </w:r>
            <w:r>
              <w:rPr>
                <w:rFonts w:ascii="Times New Roman" w:hAnsi="Times New Roman"/>
                <w:sz w:val="24"/>
              </w:rPr>
              <w:t>i</w:t>
            </w:r>
            <w:r>
              <w:rPr>
                <w:rFonts w:ascii="Times New Roman" w:hAnsi="Times New Roman"/>
                <w:sz w:val="24"/>
              </w:rPr>
              <w:t>džiausias grupės rizikos koeficientas).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KRR 263 straipsnio 2 ir 3 dalyse numatomos išimtys, kada K</w:t>
            </w:r>
            <w:r>
              <w:rPr>
                <w:rFonts w:ascii="Times New Roman" w:hAnsi="Times New Roman"/>
                <w:sz w:val="24"/>
                <w:vertAlign w:val="subscript"/>
              </w:rPr>
              <w:t>irb</w:t>
            </w:r>
            <w:r>
              <w:rPr>
                <w:rFonts w:ascii="Times New Roman" w:hAnsi="Times New Roman"/>
                <w:sz w:val="24"/>
              </w:rPr>
              <w:t xml:space="preserve"> negalima a</w:t>
            </w:r>
            <w:r>
              <w:rPr>
                <w:rFonts w:ascii="Times New Roman" w:hAnsi="Times New Roman"/>
                <w:sz w:val="24"/>
              </w:rPr>
              <w:t>p</w:t>
            </w:r>
            <w:r>
              <w:rPr>
                <w:rFonts w:ascii="Times New Roman" w:hAnsi="Times New Roman"/>
                <w:sz w:val="24"/>
              </w:rPr>
              <w:lastRenderedPageBreak/>
              <w:t>skaičiuoti.</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Nepanaudota likvidumo priemonių suma nurodoma punkte „Nebalansiniai straipsniai ir išvestinės finansinės priemonės“.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Jeigu įstaigai iniciatorei taikoma išimtis, nes K</w:t>
            </w:r>
            <w:r>
              <w:rPr>
                <w:rFonts w:ascii="Times New Roman" w:hAnsi="Times New Roman"/>
                <w:sz w:val="24"/>
                <w:vertAlign w:val="subscript"/>
              </w:rPr>
              <w:t>irb</w:t>
            </w:r>
            <w:r>
              <w:rPr>
                <w:rFonts w:ascii="Times New Roman" w:hAnsi="Times New Roman"/>
                <w:sz w:val="24"/>
              </w:rPr>
              <w:t xml:space="preserve"> negalima apskaičiuoti, likv</w:t>
            </w:r>
            <w:r>
              <w:rPr>
                <w:rFonts w:ascii="Times New Roman" w:hAnsi="Times New Roman"/>
                <w:sz w:val="24"/>
              </w:rPr>
              <w:t>i</w:t>
            </w:r>
            <w:r>
              <w:rPr>
                <w:rFonts w:ascii="Times New Roman" w:hAnsi="Times New Roman"/>
                <w:sz w:val="24"/>
              </w:rPr>
              <w:t>dumo priemonės pozicijos vertei, kuriai taikoma KRR 263 straipsnyje nustatyta tvarka, priskirtą rizikos koeficientą geriausia nurodyti 350 skiltyje.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Dėl išankstinės amortizacijos žr. KRR 256 straipsnio 5 dalį ir 265 straipsnį.</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SKAIDRUMO METODAS. VIDUTINIS RIZIKOS KOEFICIENTAS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Nurodomas pagal pozicijos vertę įvertintas vidutinis svertinis rizikos koeficie</w:t>
            </w:r>
            <w:r>
              <w:rPr>
                <w:rFonts w:ascii="Times New Roman" w:hAnsi="Times New Roman"/>
                <w:sz w:val="24"/>
              </w:rPr>
              <w:t>n</w:t>
            </w:r>
            <w:r>
              <w:rPr>
                <w:rFonts w:ascii="Times New Roman" w:hAnsi="Times New Roman"/>
                <w:sz w:val="24"/>
              </w:rPr>
              <w:t>tas.</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VIDINIO VERTINIMO METODAS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KRR 259 straipsnio 3 ir 4 dalyse numatyta į ABCP programą įtrauktoms poz</w:t>
            </w:r>
            <w:r>
              <w:rPr>
                <w:rFonts w:ascii="Times New Roman" w:hAnsi="Times New Roman"/>
                <w:sz w:val="24"/>
              </w:rPr>
              <w:t>i</w:t>
            </w:r>
            <w:r>
              <w:rPr>
                <w:rFonts w:ascii="Times New Roman" w:hAnsi="Times New Roman"/>
                <w:sz w:val="24"/>
              </w:rPr>
              <w:t>cijoms taikyti vidinio vertinimo metodą (IAA).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VIDINIO VERTINIMO METODAS. VIDUTINIS RIZIKOS KOEFIC</w:t>
            </w:r>
            <w:r>
              <w:rPr>
                <w:rFonts w:ascii="Times New Roman" w:hAnsi="Times New Roman"/>
                <w:b/>
                <w:sz w:val="24"/>
                <w:u w:val="single"/>
              </w:rPr>
              <w:t>I</w:t>
            </w:r>
            <w:r>
              <w:rPr>
                <w:rFonts w:ascii="Times New Roman" w:hAnsi="Times New Roman"/>
                <w:b/>
                <w:sz w:val="24"/>
                <w:u w:val="single"/>
              </w:rPr>
              <w:t>ENTAS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Šioje skiltyje nurodomi vidutiniai svertiniai rizikos koeficientai.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PAGAL RIZIKĄ ĮVERTINTŲ POZICIJŲ SUMOS SUMAŽINIMAS DĖL VERTĖS KOREGAVIMŲ IR ATIDĖJINIŲ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IRB metodą taikančios įstaigos laikosi KRR 266 straipsnio 1 dalies (taikoma tik įstaigoms iniciatorėms, kai pozicija nebuvo atskaityta iš nuosavų lėšų) ir 2 d</w:t>
            </w:r>
            <w:r>
              <w:rPr>
                <w:rFonts w:ascii="Times New Roman" w:hAnsi="Times New Roman"/>
                <w:sz w:val="24"/>
              </w:rPr>
              <w:t>a</w:t>
            </w:r>
            <w:r>
              <w:rPr>
                <w:rFonts w:ascii="Times New Roman" w:hAnsi="Times New Roman"/>
                <w:sz w:val="24"/>
              </w:rPr>
              <w:t>lies nuostatų.</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Vertės koregavimai ir atidėjiniai (KRR 159 straipsnis) kredito nuostoliams p</w:t>
            </w:r>
            <w:r>
              <w:rPr>
                <w:rFonts w:ascii="Times New Roman" w:hAnsi="Times New Roman"/>
                <w:sz w:val="24"/>
              </w:rPr>
              <w:t>a</w:t>
            </w:r>
            <w:r>
              <w:rPr>
                <w:rFonts w:ascii="Times New Roman" w:hAnsi="Times New Roman"/>
                <w:sz w:val="24"/>
              </w:rPr>
              <w:t>dengti, atliekami pagal informaciją teikiančiam subjektui taikomą apskaitos si</w:t>
            </w:r>
            <w:r>
              <w:rPr>
                <w:rFonts w:ascii="Times New Roman" w:hAnsi="Times New Roman"/>
                <w:sz w:val="24"/>
              </w:rPr>
              <w:t>s</w:t>
            </w:r>
            <w:r>
              <w:rPr>
                <w:rFonts w:ascii="Times New Roman" w:hAnsi="Times New Roman"/>
                <w:sz w:val="24"/>
              </w:rPr>
              <w:t>temą. Į vertės koregavimus įtraukiamos visos sumos, pripažintos pelnu arba nuostoliais, susijusios su finansinio turto kredito nuostoliais, patirtais nuo jo pradinio pripažinimo balanse (įskaitant nuostolius dėl finansinio turto kredito rizikos, vertinamus tikrąja verte, kurių nereikia atskaityti iš pozicijos vertės), ir pozicijų, įsigytų esant įsipareigojimų neįvykdymui, diskontai pagal KRR 166 straipsnio 1 dalį. Atidėjiniai apima sukauptas kredito nuostolių sumas pagal n</w:t>
            </w:r>
            <w:r>
              <w:rPr>
                <w:rFonts w:ascii="Times New Roman" w:hAnsi="Times New Roman"/>
                <w:sz w:val="24"/>
              </w:rPr>
              <w:t>e</w:t>
            </w:r>
            <w:r>
              <w:rPr>
                <w:rFonts w:ascii="Times New Roman" w:hAnsi="Times New Roman"/>
                <w:sz w:val="24"/>
              </w:rPr>
              <w:t>balansinius straipsnius.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PAGAL RIZIKĄ ĮVERTINTŲ POZICIJŲ SUMA</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Bendra pagal riziką įvertintų pozicijų suma, apskaičiuota pagal KRR trečios d</w:t>
            </w:r>
            <w:r>
              <w:rPr>
                <w:rFonts w:ascii="Times New Roman" w:hAnsi="Times New Roman"/>
                <w:sz w:val="24"/>
              </w:rPr>
              <w:t>a</w:t>
            </w:r>
            <w:r>
              <w:rPr>
                <w:rFonts w:ascii="Times New Roman" w:hAnsi="Times New Roman"/>
                <w:sz w:val="24"/>
              </w:rPr>
              <w:t>lies II antraštinės dalies 5 skyriaus 3 skirsnį prieš koregavimą dėl terminų neat</w:t>
            </w:r>
            <w:r>
              <w:rPr>
                <w:rFonts w:ascii="Times New Roman" w:hAnsi="Times New Roman"/>
                <w:sz w:val="24"/>
              </w:rPr>
              <w:t>i</w:t>
            </w:r>
            <w:r>
              <w:rPr>
                <w:rFonts w:ascii="Times New Roman" w:hAnsi="Times New Roman"/>
                <w:sz w:val="24"/>
              </w:rPr>
              <w:t>tikimo arba dėl išsamaus patikrinimo nuostatų pažeidimo, neįskaitant jokios pagal riziką įvertintų pozicijų sumos, atitinkančios pozicijas, per netenkamų p</w:t>
            </w:r>
            <w:r>
              <w:rPr>
                <w:rFonts w:ascii="Times New Roman" w:hAnsi="Times New Roman"/>
                <w:sz w:val="24"/>
              </w:rPr>
              <w:t>i</w:t>
            </w:r>
            <w:r>
              <w:rPr>
                <w:rFonts w:ascii="Times New Roman" w:hAnsi="Times New Roman"/>
                <w:sz w:val="24"/>
              </w:rPr>
              <w:t xml:space="preserve">nigų srautą perskirstytas į kitą formą.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PAGAL RIZIKĄ ĮVERTINTA POZICIJOS SUMA. IŠ JOS: SINTETINIS PAKEITIMAS VERTYBINIAIS POPIERIAIS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Sintetinio pakeitimo vertybiniais popieriais atvejais, kuriais yra terminų nesut</w:t>
            </w:r>
            <w:r>
              <w:rPr>
                <w:rFonts w:ascii="Times New Roman" w:hAnsi="Times New Roman"/>
                <w:sz w:val="24"/>
              </w:rPr>
              <w:t>a</w:t>
            </w:r>
            <w:r>
              <w:rPr>
                <w:rFonts w:ascii="Times New Roman" w:hAnsi="Times New Roman"/>
                <w:sz w:val="24"/>
              </w:rPr>
              <w:t>pimų, šioje skiltyje nurodant sumą į jokius terminų nesutapimus neatsižvelgi</w:t>
            </w:r>
            <w:r>
              <w:rPr>
                <w:rFonts w:ascii="Times New Roman" w:hAnsi="Times New Roman"/>
                <w:sz w:val="24"/>
              </w:rPr>
              <w:t>a</w:t>
            </w:r>
            <w:r>
              <w:rPr>
                <w:rFonts w:ascii="Times New Roman" w:hAnsi="Times New Roman"/>
                <w:sz w:val="24"/>
              </w:rPr>
              <w:t>ma.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BENDRAS (KOREGAVIMO) POVEIKIS DĖL IŠSAMAUS PATIKR</w:t>
            </w:r>
            <w:r>
              <w:rPr>
                <w:rFonts w:ascii="Times New Roman" w:hAnsi="Times New Roman"/>
                <w:b/>
                <w:sz w:val="24"/>
                <w:u w:val="single"/>
              </w:rPr>
              <w:t>I</w:t>
            </w:r>
            <w:r>
              <w:rPr>
                <w:rFonts w:ascii="Times New Roman" w:hAnsi="Times New Roman"/>
                <w:b/>
                <w:sz w:val="24"/>
                <w:u w:val="single"/>
              </w:rPr>
              <w:t>NIMO NUOSTATŲ PAŽEIDIMO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KRR 14 straipsnio 2 dalyje, 406 straipsnio 2 dalyje ir 407 straipsnyje numatyta, jog kaskart, kai įstaiga nesilaiko tam tikrų reikalavimų, valstybė narė užtikrina, kad kompetentingos institucijos nustatytų proporcingą papildomos rizikos ko</w:t>
            </w:r>
            <w:r>
              <w:rPr>
                <w:rFonts w:ascii="Times New Roman" w:hAnsi="Times New Roman"/>
                <w:sz w:val="24"/>
              </w:rPr>
              <w:t>e</w:t>
            </w:r>
            <w:r>
              <w:rPr>
                <w:rFonts w:ascii="Times New Roman" w:hAnsi="Times New Roman"/>
                <w:sz w:val="24"/>
              </w:rPr>
              <w:t>ficientą, kurį sudarytų ne mažiau kaip 250 % rizikos koeficiento (aukščiausia riba 1250 %) ir kuris būtų taikomas atitinkamoms pakeitimo vertybiniais popi</w:t>
            </w:r>
            <w:r>
              <w:rPr>
                <w:rFonts w:ascii="Times New Roman" w:hAnsi="Times New Roman"/>
                <w:sz w:val="24"/>
              </w:rPr>
              <w:t>e</w:t>
            </w:r>
            <w:r>
              <w:rPr>
                <w:rFonts w:ascii="Times New Roman" w:hAnsi="Times New Roman"/>
                <w:sz w:val="24"/>
              </w:rPr>
              <w:t>riais pozicijoms pagal KRR trečios dalies II antraštinės dalies 5 skyriaus 3 skirsnį.</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PAGAL RIZIKĄ ĮVERTINTŲ POZICIJŲ SUMOS KOREGAVIMAS DĖL TERMINŲ NESUTAPIMO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Nurodoma vertė, kai sintetinio pakeitimo vertybiniais popieriais atvejais nes</w:t>
            </w:r>
            <w:r>
              <w:rPr>
                <w:rFonts w:ascii="Times New Roman" w:hAnsi="Times New Roman"/>
                <w:sz w:val="24"/>
              </w:rPr>
              <w:t>u</w:t>
            </w:r>
            <w:r>
              <w:rPr>
                <w:rFonts w:ascii="Times New Roman" w:hAnsi="Times New Roman"/>
                <w:sz w:val="24"/>
              </w:rPr>
              <w:t>tampa terminai RW*–RW(SP), kaip nustatyta KRR 250 straipsnyje, išskyrus tuos atvejus, kai tam tikriems segmentams taikomas 1250 % rizikos koeficie</w:t>
            </w:r>
            <w:r>
              <w:rPr>
                <w:rFonts w:ascii="Times New Roman" w:hAnsi="Times New Roman"/>
                <w:sz w:val="24"/>
              </w:rPr>
              <w:t>n</w:t>
            </w:r>
            <w:r>
              <w:rPr>
                <w:rFonts w:ascii="Times New Roman" w:hAnsi="Times New Roman"/>
                <w:sz w:val="24"/>
              </w:rPr>
              <w:t>tas, tada nurodoma suma yra lygi nuliui. Atkreipkite dėmesį, kad į RW(SP) įskaičiuojamos ne tik pagal riziką įvertintų pozicijų sumos, nurodomos 400 skiltyje, bet ir pagal riziką įvertintų pozicijų sumos, atitinkančios pozicijas, per netenkamų pinigų srautus perskirstytas į kitas formas.</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 PRIEŠ A</w:t>
            </w:r>
            <w:r>
              <w:rPr>
                <w:rFonts w:ascii="Times New Roman" w:hAnsi="Times New Roman"/>
                <w:b/>
                <w:sz w:val="24"/>
                <w:u w:val="single"/>
              </w:rPr>
              <w:t>P</w:t>
            </w:r>
            <w:r>
              <w:rPr>
                <w:rFonts w:ascii="Times New Roman" w:hAnsi="Times New Roman"/>
                <w:b/>
                <w:sz w:val="24"/>
                <w:u w:val="single"/>
              </w:rPr>
              <w:t>RIBOJIMĄ / PO APRIBOJIMO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Bendra pagal riziką įvertintų pozicijų suma, apskaičiuota pagal KRR trečios d</w:t>
            </w:r>
            <w:r>
              <w:rPr>
                <w:rFonts w:ascii="Times New Roman" w:hAnsi="Times New Roman"/>
                <w:sz w:val="24"/>
              </w:rPr>
              <w:t>a</w:t>
            </w:r>
            <w:r>
              <w:rPr>
                <w:rFonts w:ascii="Times New Roman" w:hAnsi="Times New Roman"/>
                <w:sz w:val="24"/>
              </w:rPr>
              <w:t>lies II antraštinės dalies 5 skyriaus 3 skirsnį iki (440 skiltis) ir po (450 skiltis) KRR 260 straipsnyje nurodyto apribojimo pritaikymo. Taip pat reikia atsižvel</w:t>
            </w:r>
            <w:r>
              <w:rPr>
                <w:rFonts w:ascii="Times New Roman" w:hAnsi="Times New Roman"/>
                <w:sz w:val="24"/>
              </w:rPr>
              <w:t>g</w:t>
            </w:r>
            <w:r>
              <w:rPr>
                <w:rFonts w:ascii="Times New Roman" w:hAnsi="Times New Roman"/>
                <w:sz w:val="24"/>
              </w:rPr>
              <w:t>ti į KRR 265 straipsnį (papildomi nuosavų lėšų reikalavimai atnaujinamųjų p</w:t>
            </w:r>
            <w:r>
              <w:rPr>
                <w:rFonts w:ascii="Times New Roman" w:hAnsi="Times New Roman"/>
                <w:sz w:val="24"/>
              </w:rPr>
              <w:t>o</w:t>
            </w:r>
            <w:r>
              <w:rPr>
                <w:rFonts w:ascii="Times New Roman" w:hAnsi="Times New Roman"/>
                <w:sz w:val="24"/>
              </w:rPr>
              <w:t>zicijų pakeitimui vertybiniais popieriais su išankstinės amortizacijos nuostat</w:t>
            </w:r>
            <w:r>
              <w:rPr>
                <w:rFonts w:ascii="Times New Roman" w:hAnsi="Times New Roman"/>
                <w:sz w:val="24"/>
              </w:rPr>
              <w:t>o</w:t>
            </w:r>
            <w:r>
              <w:rPr>
                <w:rFonts w:ascii="Times New Roman" w:hAnsi="Times New Roman"/>
                <w:sz w:val="24"/>
              </w:rPr>
              <w:t>mis).</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PAPILDOMAS STRAIPSNIS. PAGAL RIZIKĄ ĮVERTINTŲ POZICIJŲ SUMA, ATITINKANTI NETENKAMŲ PINIGŲ SRAUTĄ DĖL PAKE</w:t>
            </w:r>
            <w:r>
              <w:rPr>
                <w:rFonts w:ascii="Times New Roman" w:hAnsi="Times New Roman"/>
                <w:b/>
                <w:sz w:val="24"/>
                <w:u w:val="single"/>
              </w:rPr>
              <w:t>I</w:t>
            </w:r>
            <w:r>
              <w:rPr>
                <w:rFonts w:ascii="Times New Roman" w:hAnsi="Times New Roman"/>
                <w:b/>
                <w:sz w:val="24"/>
                <w:u w:val="single"/>
              </w:rPr>
              <w:t>TIMO VERTYBINIAIS POPIERIAIS PAGAL IRB METODĄ Į KITAS POZICIJŲ KLASES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Pagal riziką įvertintų pozicijų suma, susidaranti dėl pozicijų, perskirstytų riz</w:t>
            </w:r>
            <w:r>
              <w:rPr>
                <w:rFonts w:ascii="Times New Roman" w:hAnsi="Times New Roman"/>
                <w:sz w:val="24"/>
              </w:rPr>
              <w:t>i</w:t>
            </w:r>
            <w:r>
              <w:rPr>
                <w:rFonts w:ascii="Times New Roman" w:hAnsi="Times New Roman"/>
                <w:sz w:val="24"/>
              </w:rPr>
              <w:t>kos mažinimo priemonės teikėjui (todėl apskaičiuojama atitinkamoje formoje), į kurias atsižvelgiama apskaičiuojant pakeitimo vertybiniais popieriais pozic</w:t>
            </w:r>
            <w:r>
              <w:rPr>
                <w:rFonts w:ascii="Times New Roman" w:hAnsi="Times New Roman"/>
                <w:sz w:val="24"/>
              </w:rPr>
              <w:t>i</w:t>
            </w:r>
            <w:r>
              <w:rPr>
                <w:rFonts w:ascii="Times New Roman" w:hAnsi="Times New Roman"/>
                <w:sz w:val="24"/>
              </w:rPr>
              <w:t>joms taikomą apribojimą.</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CR SEC IRB forma suskirstyta į tris pagrindines eilučių grupes, kuriose pate</w:t>
      </w:r>
      <w:r>
        <w:t>i</w:t>
      </w:r>
      <w:r>
        <w:t>kiama informacija apie įstaigų – iniciatorių, investuotojų ir rėmėjų inicijuotas / p</w:t>
      </w:r>
      <w:r>
        <w:t>a</w:t>
      </w:r>
      <w:r>
        <w:t>remtas / išlaikytas arba nupirktas pozicijas. Kiekvienoje iš jų informacija suskir</w:t>
      </w:r>
      <w:r>
        <w:t>s</w:t>
      </w:r>
      <w:r>
        <w:t>toma pagal balansinius ir nebalansinius straipsnius bei išvestines finansines pri</w:t>
      </w:r>
      <w:r>
        <w:t>e</w:t>
      </w:r>
      <w:r>
        <w:t xml:space="preserve">mones, taip pat pagal pakeitimų vertybiniais popieriais ir pakartotinių pakeitimų vertybiniais popieriais rizikos koeficientų grupes. </w:t>
      </w:r>
    </w:p>
    <w:p w:rsidR="00612780" w:rsidRPr="00392FFD" w:rsidRDefault="00125707" w:rsidP="00C37B29">
      <w:pPr>
        <w:pStyle w:val="InstructionsText2"/>
        <w:numPr>
          <w:ilvl w:val="0"/>
          <w:numId w:val="0"/>
        </w:numPr>
        <w:ind w:left="993"/>
      </w:pPr>
      <w:r>
        <w:t>108.</w:t>
      </w:r>
      <w:r>
        <w:tab/>
        <w:t>Pagal reitingais pagrįstą metodą vertinamos pozicijos ir nereitinguotosios poz</w:t>
      </w:r>
      <w:r>
        <w:t>i</w:t>
      </w:r>
      <w:r>
        <w:t>cijos (pozicijos ataskaitinę dieną) taip pat suskirstomos pagal kredito kokybės žingsnius, taikytus pradžioje (paskutinė eilučių grupė). Šią informaciją turi pateikti įstaigos iniciatorės, rėmėjos ir investuotojos.</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Eilutės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BENDRA POZICIJŲ SUMA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Bendra pozicijų suma yra bendra neapmokėta pakeitimo vertybiniais popieriais suma. Šioje eilutėje apibendrinami visi įstaigų iniciatorių, rėmėjų ir investuot</w:t>
            </w:r>
            <w:r>
              <w:rPr>
                <w:rFonts w:ascii="Times New Roman" w:hAnsi="Times New Roman"/>
                <w:sz w:val="24"/>
              </w:rPr>
              <w:t>o</w:t>
            </w:r>
            <w:r>
              <w:rPr>
                <w:rFonts w:ascii="Times New Roman" w:hAnsi="Times New Roman"/>
                <w:sz w:val="24"/>
              </w:rPr>
              <w:t>jų paskesnėse eilutėse pateikiami duomenys.</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IŠ JOS: PAKARTOTINIS PAKEITIMAS VERTYBINIAIS POPIERIAIS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Bendra neapmokėta pakartotinio pakeitimo vertybiniais popieriais, remiantis KRR 4 straipsnio 1 dalies 63 ir 64 punktuose pateiktomis apibrėžtimis, suma.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INICIATORĖ. BENDRA POZICIJŲ SUMA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eilutėje apibendrinami pakeitimo vertybiniais popieriais pozicijų, kurių atžvilgiu įstaiga atlieka KRR 4 straipsnio 1 dalies 13 punkte apibrėžto iniciat</w:t>
            </w:r>
            <w:r>
              <w:rPr>
                <w:rFonts w:ascii="Times New Roman" w:hAnsi="Times New Roman"/>
                <w:sz w:val="24"/>
              </w:rPr>
              <w:t>o</w:t>
            </w:r>
            <w:r>
              <w:rPr>
                <w:rFonts w:ascii="Times New Roman" w:hAnsi="Times New Roman"/>
                <w:sz w:val="24"/>
              </w:rPr>
              <w:t>riaus vaidmenį, balansinių, nebalansinių straipsnių, išvestinių finansinių pri</w:t>
            </w:r>
            <w:r>
              <w:rPr>
                <w:rFonts w:ascii="Times New Roman" w:hAnsi="Times New Roman"/>
                <w:sz w:val="24"/>
              </w:rPr>
              <w:t>e</w:t>
            </w:r>
            <w:r>
              <w:rPr>
                <w:rFonts w:ascii="Times New Roman" w:hAnsi="Times New Roman"/>
                <w:sz w:val="24"/>
              </w:rPr>
              <w:t>monių ir išankstinės amortizacijos duomenys.</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BALANSINIAI STRAIPSNIAI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KRR 246 straipsnio 1 dalies b punkte nurodyta, kad jei įstaiga apskaičiuoja p</w:t>
            </w:r>
            <w:r>
              <w:rPr>
                <w:rFonts w:ascii="Times New Roman" w:hAnsi="Times New Roman"/>
                <w:sz w:val="24"/>
              </w:rPr>
              <w:t>a</w:t>
            </w:r>
            <w:r>
              <w:rPr>
                <w:rFonts w:ascii="Times New Roman" w:hAnsi="Times New Roman"/>
                <w:sz w:val="24"/>
              </w:rPr>
              <w:t>gal riziką įvertintų pozicijų sumas pagal IRB metodą, balansinių pakeitimo ve</w:t>
            </w:r>
            <w:r>
              <w:rPr>
                <w:rFonts w:ascii="Times New Roman" w:hAnsi="Times New Roman"/>
                <w:sz w:val="24"/>
              </w:rPr>
              <w:t>r</w:t>
            </w:r>
            <w:r>
              <w:rPr>
                <w:rFonts w:ascii="Times New Roman" w:hAnsi="Times New Roman"/>
                <w:sz w:val="24"/>
              </w:rPr>
              <w:t>tybiniais popieriais pozicijų atveju pozicijos vertė yra jos apskaitinė vertė, nea</w:t>
            </w:r>
            <w:r>
              <w:rPr>
                <w:rFonts w:ascii="Times New Roman" w:hAnsi="Times New Roman"/>
                <w:sz w:val="24"/>
              </w:rPr>
              <w:t>t</w:t>
            </w:r>
            <w:r>
              <w:rPr>
                <w:rFonts w:ascii="Times New Roman" w:hAnsi="Times New Roman"/>
                <w:sz w:val="24"/>
              </w:rPr>
              <w:t>sižvelgiant į jokius atliktus kredito rizikos koregavimus.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Balansiniai straipsniai 050–070 eilutėse suskirstomi pagal pakeitimų vertyb</w:t>
            </w:r>
            <w:r>
              <w:rPr>
                <w:rFonts w:ascii="Times New Roman" w:hAnsi="Times New Roman"/>
                <w:sz w:val="24"/>
              </w:rPr>
              <w:t>i</w:t>
            </w:r>
            <w:r>
              <w:rPr>
                <w:rFonts w:ascii="Times New Roman" w:hAnsi="Times New Roman"/>
                <w:sz w:val="24"/>
              </w:rPr>
              <w:t>niais popieriais rizikos koeficientų grupes (A−B−C), o 080–090 eilutėse – p</w:t>
            </w:r>
            <w:r>
              <w:rPr>
                <w:rFonts w:ascii="Times New Roman" w:hAnsi="Times New Roman"/>
                <w:sz w:val="24"/>
              </w:rPr>
              <w:t>a</w:t>
            </w:r>
            <w:r>
              <w:rPr>
                <w:rFonts w:ascii="Times New Roman" w:hAnsi="Times New Roman"/>
                <w:sz w:val="24"/>
              </w:rPr>
              <w:t xml:space="preserve">gal pakartotinio pakeitimo vertybiniais popieriais rizikos koeficientų grupes (D−E), kaip nurodyta KRR 261 straipsnio 1 dalies 4 lentelėje.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NEBALANSINIAI STRAIPSNIAI IR IŠVESTINĖS FINANSINĖS PRIEMONĖS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Šiose eilutėse pateikiama informacija apie nebalansinių straipsnių ir išvestinių finansinių priemonių pakeitimo vertybiniais popieriais pozicijas, kurioms ta</w:t>
            </w:r>
            <w:r>
              <w:rPr>
                <w:rFonts w:ascii="Times New Roman" w:hAnsi="Times New Roman"/>
                <w:sz w:val="24"/>
              </w:rPr>
              <w:t>i</w:t>
            </w:r>
            <w:r>
              <w:rPr>
                <w:rFonts w:ascii="Times New Roman" w:hAnsi="Times New Roman"/>
                <w:sz w:val="24"/>
              </w:rPr>
              <w:t>komas perskaičiavimo koeficientas pagal pakeitimo vertybiniais popieriais si</w:t>
            </w:r>
            <w:r>
              <w:rPr>
                <w:rFonts w:ascii="Times New Roman" w:hAnsi="Times New Roman"/>
                <w:sz w:val="24"/>
              </w:rPr>
              <w:t>s</w:t>
            </w:r>
            <w:r>
              <w:rPr>
                <w:rFonts w:ascii="Times New Roman" w:hAnsi="Times New Roman"/>
                <w:sz w:val="24"/>
              </w:rPr>
              <w:t>temą. Pozicijos vertė nebalansinės pakeitimo vertybiniais popieriais pozicijos atveju yra apskaičiuojama iš jos nominaliosios vertės atėmus tos pakeitimo ve</w:t>
            </w:r>
            <w:r>
              <w:rPr>
                <w:rFonts w:ascii="Times New Roman" w:hAnsi="Times New Roman"/>
                <w:sz w:val="24"/>
              </w:rPr>
              <w:t>r</w:t>
            </w:r>
            <w:r>
              <w:rPr>
                <w:rFonts w:ascii="Times New Roman" w:hAnsi="Times New Roman"/>
                <w:sz w:val="24"/>
              </w:rPr>
              <w:t>tybiniais popieriais pozicijos specifinės rizikos koregavimą ir gautą rezultatą padauginus iš 100 % perskaičiavimo koeficiento, nebent nurodoma kitaip.</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Nebalansinių pakeitimo vertybiniais popieriais pozicijų, susidarančių dėl KRR II priede nurodytų išvestinių finansinių priemonių, vertė nustatoma pagal KRR trečios dalies II antraštinės dalies 6 skyrių. KRR II priede nurodytos išvestinės finansinės priemonės sandorio šalies kredito rizikos pozicija nustatoma pagal KRR trečios dalies II antraštinės dalies 6 skyrių.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Likvidumo, kredito priemonių ir valdymo įmonės grynųjų pinigų išankstinių mokėjimų atvejais įstaigos nurodo nepanaudotą sumą.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Palūkanų normų ir valiutų apsikeitimo sandorių atvejais jos nurodo pozicijos vertę (pagal KRR 246 straipsnio 1 dalį), pažymėtą CR SA bendrų sumų form</w:t>
            </w:r>
            <w:r>
              <w:rPr>
                <w:rFonts w:ascii="Times New Roman" w:hAnsi="Times New Roman"/>
                <w:sz w:val="24"/>
              </w:rPr>
              <w:t>o</w:t>
            </w:r>
            <w:r>
              <w:rPr>
                <w:rFonts w:ascii="Times New Roman" w:hAnsi="Times New Roman"/>
                <w:sz w:val="24"/>
              </w:rPr>
              <w:t>je.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Nebalansiniai straipsniai 110–130 eilutėse suskirstomi pagal pakeitimų vertyb</w:t>
            </w:r>
            <w:r>
              <w:rPr>
                <w:rFonts w:ascii="Times New Roman" w:hAnsi="Times New Roman"/>
                <w:sz w:val="24"/>
              </w:rPr>
              <w:t>i</w:t>
            </w:r>
            <w:r>
              <w:rPr>
                <w:rFonts w:ascii="Times New Roman" w:hAnsi="Times New Roman"/>
                <w:sz w:val="24"/>
              </w:rPr>
              <w:t>niais popieriais rizikos koeficientų grupes (A−B−C), o 140–150 eilutėse – p</w:t>
            </w:r>
            <w:r>
              <w:rPr>
                <w:rFonts w:ascii="Times New Roman" w:hAnsi="Times New Roman"/>
                <w:sz w:val="24"/>
              </w:rPr>
              <w:t>a</w:t>
            </w:r>
            <w:r>
              <w:rPr>
                <w:rFonts w:ascii="Times New Roman" w:hAnsi="Times New Roman"/>
                <w:sz w:val="24"/>
              </w:rPr>
              <w:t>gal pakartotinio pakeitimo vertybiniais popieriais rizikos koeficientų grupes (D−E), kaip nurodyta KRR 261 straipsnio 1 dalies 4 lentelėje.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IŠANKSTINĖ AMORTIZACIJA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Šią eilutę pildo tik tos įstaigos iniciatorės, kurios turi atnaujinamųjų pakeitimo vertybiniais popieriais pozicijų su išankstinės amortizacijos nuostatomis, kaip nurodyta KRR 242 straipsnio 13 ir 14 dalyse.</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INVESTUOTOJA. BENDRA POZICIJŲ SUMA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Šioje eilutėje apibendrinami pakeitimo vertybiniais popieriais pozicijų, kurių atžvilgiu įstaiga atlieka investuotojo vaidmenį, balansinių ir nebalansinių straipsnių bei išvestinių finansinių priemonių duomenys.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KRR tiksli investuotojo apibrėžtis nėra pateikta. Atsižvelgiant į tai, juo laikoma įstaiga, turinti pakeitimo vertybiniais popieriais poziciją, kurią sudaro pakeit</w:t>
            </w:r>
            <w:r>
              <w:rPr>
                <w:rStyle w:val="FormatvorlageInstructionsTabelleText"/>
                <w:rFonts w:ascii="Times New Roman" w:hAnsi="Times New Roman"/>
                <w:sz w:val="24"/>
              </w:rPr>
              <w:t>i</w:t>
            </w:r>
            <w:r>
              <w:rPr>
                <w:rStyle w:val="FormatvorlageInstructionsTabelleText"/>
                <w:rFonts w:ascii="Times New Roman" w:hAnsi="Times New Roman"/>
                <w:sz w:val="24"/>
              </w:rPr>
              <w:t>mo vertybiniais popieriais sandoris, pagal kurį ji nėra nei iniciatorė, nei rėmėja.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BALANSINIAI STRAIPSNIAI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Čia taikomi tie patys pakeitimo vertybiniais popieriais (A–B–C) ir pakartotinio pakeitimo vertybiniais popieriais (D–E) klasifikavimo kriterijai, kurie taikomi balansiniams iniciatorių straipsniams.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 xml:space="preserve">NEBALANSINIAI STRAIPSNIAI IR IŠVESTINĖS FINANSINĖS </w:t>
            </w:r>
            <w:r>
              <w:rPr>
                <w:rFonts w:ascii="Times New Roman" w:hAnsi="Times New Roman"/>
                <w:b/>
                <w:sz w:val="24"/>
                <w:u w:val="single"/>
              </w:rPr>
              <w:lastRenderedPageBreak/>
              <w:t>PRIEMONĖS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Čia taikomi tie patys pakeitimo vertybiniais popieriais (A–B–C) ir pakartotinio pakeitimo vertybiniais popieriais (D–E) klasifikavimo kriterijai, kurie taikomi iniciatorių nebalansiniams straipsniams ir išvestinėms finansinėms priem</w:t>
            </w:r>
            <w:r>
              <w:rPr>
                <w:rFonts w:ascii="Times New Roman" w:hAnsi="Times New Roman"/>
                <w:sz w:val="24"/>
              </w:rPr>
              <w:t>o</w:t>
            </w:r>
            <w:r>
              <w:rPr>
                <w:rFonts w:ascii="Times New Roman" w:hAnsi="Times New Roman"/>
                <w:sz w:val="24"/>
              </w:rPr>
              <w:t>nėms.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RĖMĖJA. BENDRA POZICIJŲ SUMA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eilutėje apibendrinami pakeitimo vertybiniais popieriais pozicijų, kurių atžvilgiu įstaiga atlieka KRR 4 straipsnio 1 dalies 14 punkte apibrėžto rėmėjo vaidmenį, balansinių ir nebalansinių straipsnių ir išvestinių finansinių priem</w:t>
            </w:r>
            <w:r>
              <w:rPr>
                <w:rFonts w:ascii="Times New Roman" w:hAnsi="Times New Roman"/>
                <w:sz w:val="24"/>
              </w:rPr>
              <w:t>o</w:t>
            </w:r>
            <w:r>
              <w:rPr>
                <w:rFonts w:ascii="Times New Roman" w:hAnsi="Times New Roman"/>
                <w:sz w:val="24"/>
              </w:rPr>
              <w:t>nių duomenys. Jeigu įstaiga rėmėja vertybiniais popieriais keičia ir nuosavą tu</w:t>
            </w:r>
            <w:r>
              <w:rPr>
                <w:rFonts w:ascii="Times New Roman" w:hAnsi="Times New Roman"/>
                <w:sz w:val="24"/>
              </w:rPr>
              <w:t>r</w:t>
            </w:r>
            <w:r>
              <w:rPr>
                <w:rFonts w:ascii="Times New Roman" w:hAnsi="Times New Roman"/>
                <w:sz w:val="24"/>
              </w:rPr>
              <w:t>tą, ji užpildo įstaigai iniciatorei skirtas eilutes, pateikdama informaciją apie ve</w:t>
            </w:r>
            <w:r>
              <w:rPr>
                <w:rFonts w:ascii="Times New Roman" w:hAnsi="Times New Roman"/>
                <w:sz w:val="24"/>
              </w:rPr>
              <w:t>r</w:t>
            </w:r>
            <w:r>
              <w:rPr>
                <w:rFonts w:ascii="Times New Roman" w:hAnsi="Times New Roman"/>
                <w:sz w:val="24"/>
              </w:rPr>
              <w:t>tybiniais popieriais keičiamą nuosavą turtą.</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BALANSINIAI STRAIPSNIAI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Čia taikomi tie patys pakeitimo vertybiniais popieriais (A–B–C) ir pakartotinio pakeitimo vertybiniais popieriais (D–E) klasifikavimo kriterijai, kurie taikomi iniciatorių balansiniams straipsniams ir išvestinėms finansinėms priemonėms.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NEBALANSINIAI STRAIPSNIAI IR IŠVESTINĖS FINANSINĖS PRIEMONĖS</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Čia taikomi tie patys pakeitimo vertybiniais popieriais (A–B–C) ir pakartotinio pakeitimo vertybiniais popieriais (D–E) klasifikavimo kriterijai, kurie taikomi iniciatorių nebalansiniams straipsniams ir išvestinėms finansinėms priem</w:t>
            </w:r>
            <w:r>
              <w:rPr>
                <w:rFonts w:ascii="Times New Roman" w:hAnsi="Times New Roman"/>
                <w:sz w:val="24"/>
              </w:rPr>
              <w:t>o</w:t>
            </w:r>
            <w:r>
              <w:rPr>
                <w:rFonts w:ascii="Times New Roman" w:hAnsi="Times New Roman"/>
                <w:sz w:val="24"/>
              </w:rPr>
              <w:t>nėms.</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NEAPMOKĖTŲ POZICIJŲ SUSKIRSTYMAS PAGAL PRADINĮ KR</w:t>
            </w:r>
            <w:r>
              <w:rPr>
                <w:rFonts w:ascii="Times New Roman" w:hAnsi="Times New Roman"/>
                <w:b/>
                <w:sz w:val="24"/>
                <w:u w:val="single"/>
              </w:rPr>
              <w:t>E</w:t>
            </w:r>
            <w:r>
              <w:rPr>
                <w:rFonts w:ascii="Times New Roman" w:hAnsi="Times New Roman"/>
                <w:b/>
                <w:sz w:val="24"/>
                <w:u w:val="single"/>
              </w:rPr>
              <w:t>DITO KOKYBĖS ŽINGSNĮ (CQS)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Šiose eilutėse pateikiama informacija apie neapmokėtas pagal reitingais pagrį</w:t>
            </w:r>
            <w:r>
              <w:rPr>
                <w:rFonts w:ascii="Times New Roman" w:hAnsi="Times New Roman"/>
                <w:sz w:val="24"/>
              </w:rPr>
              <w:t>s</w:t>
            </w:r>
            <w:r>
              <w:rPr>
                <w:rFonts w:ascii="Times New Roman" w:hAnsi="Times New Roman"/>
                <w:sz w:val="24"/>
              </w:rPr>
              <w:t>tą metodą vertinamas pozicijas ir nereitinguotąsias pozicijas (ataskaitinę dieną) pagal kredito kokybės žingsnius (CQS) (numatytus pagal IRB metodą KRR 261 straipsnio 4 lentelėje), kurie taikyti inicijavimo dieną (pradžioje). Jeigu šios informacijos neturima, pateikiami anksčiausi turimi kredito kokybės žing</w:t>
            </w:r>
            <w:r>
              <w:rPr>
                <w:rFonts w:ascii="Times New Roman" w:hAnsi="Times New Roman"/>
                <w:sz w:val="24"/>
              </w:rPr>
              <w:t>s</w:t>
            </w:r>
            <w:r>
              <w:rPr>
                <w:rFonts w:ascii="Times New Roman" w:hAnsi="Times New Roman"/>
                <w:sz w:val="24"/>
              </w:rPr>
              <w:t>niams lygiaverčiai duomenys.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Šios eilutės pildomos tik 170, 190–320 ir 400–410 skiltyse.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4010075"/>
      <w:r>
        <w:rPr>
          <w:rFonts w:ascii="Times New Roman" w:hAnsi="Times New Roman"/>
          <w:sz w:val="24"/>
          <w:u w:val="none"/>
        </w:rPr>
        <w:t>3.9.</w:t>
      </w:r>
      <w:r>
        <w:tab/>
      </w:r>
      <w:r>
        <w:rPr>
          <w:rFonts w:ascii="Times New Roman" w:hAnsi="Times New Roman"/>
          <w:sz w:val="24"/>
        </w:rPr>
        <w:t xml:space="preserve">C 14.00. </w:t>
      </w:r>
      <w:bookmarkEnd w:id="477"/>
      <w:r>
        <w:rPr>
          <w:rFonts w:ascii="Times New Roman" w:hAnsi="Times New Roman"/>
          <w:sz w:val="24"/>
        </w:rPr>
        <w:t>Išsami informacija apie pakeitimą vertybiniais popieriais</w:t>
      </w:r>
      <w:bookmarkEnd w:id="478"/>
      <w:bookmarkEnd w:id="479"/>
      <w:r>
        <w:rPr>
          <w:rFonts w:ascii="Times New Roman" w:hAnsi="Times New Roman"/>
          <w:sz w:val="24"/>
        </w:rPr>
        <w:t xml:space="preserve"> (SEC DETAILS)</w:t>
      </w:r>
      <w:bookmarkEnd w:id="480"/>
      <w:bookmarkEnd w:id="481"/>
      <w:bookmarkEnd w:id="48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4010076"/>
      <w:r>
        <w:rPr>
          <w:rFonts w:ascii="Times New Roman" w:hAnsi="Times New Roman"/>
          <w:sz w:val="24"/>
          <w:u w:val="none"/>
        </w:rPr>
        <w:t>3.9.1.</w:t>
      </w:r>
      <w:r>
        <w:tab/>
      </w:r>
      <w:r>
        <w:rPr>
          <w:rFonts w:ascii="Times New Roman" w:hAnsi="Times New Roman"/>
          <w:sz w:val="24"/>
        </w:rPr>
        <w:t>Bendrosios pastabos</w:t>
      </w:r>
      <w:bookmarkEnd w:id="483"/>
      <w:bookmarkEnd w:id="484"/>
      <w:bookmarkEnd w:id="485"/>
      <w:bookmarkEnd w:id="486"/>
      <w:bookmarkEnd w:id="487"/>
    </w:p>
    <w:p w:rsidR="00612780" w:rsidRPr="00392FFD" w:rsidRDefault="00125707" w:rsidP="00C37B29">
      <w:pPr>
        <w:pStyle w:val="InstructionsText2"/>
        <w:numPr>
          <w:ilvl w:val="0"/>
          <w:numId w:val="0"/>
        </w:numPr>
        <w:ind w:left="993"/>
      </w:pPr>
      <w:r>
        <w:t>109.</w:t>
      </w:r>
      <w:r>
        <w:tab/>
        <w:t>Šioje formoje informacija renkama apie atskirus pakeitimo vertybiniais popi</w:t>
      </w:r>
      <w:r>
        <w:t>e</w:t>
      </w:r>
      <w:r>
        <w:t>riais, kurį vykdant dalyvauja informaciją teikianti įstaiga, sandorius (kitaip nei a</w:t>
      </w:r>
      <w:r>
        <w:t>g</w:t>
      </w:r>
      <w:r>
        <w:lastRenderedPageBreak/>
        <w:t>reguota informacija, nurodoma CR SEC SA, CR SEC IRB, MKR SA SEC, MKR SA CTP, CA1 ir CA2 formose). Nurodomi pagrindiniai kiekvieno pakeitimo vert</w:t>
      </w:r>
      <w:r>
        <w:t>y</w:t>
      </w:r>
      <w:r>
        <w:t xml:space="preserve">biniais popieriais ypatumai, pavyzdžiui, pagrindinės grupės pobūdis ir nuosavų lėšų reikalavimai. </w:t>
      </w:r>
    </w:p>
    <w:p w:rsidR="00612780" w:rsidRPr="00392FFD" w:rsidRDefault="00125707" w:rsidP="00C37B29">
      <w:pPr>
        <w:pStyle w:val="InstructionsText2"/>
        <w:numPr>
          <w:ilvl w:val="0"/>
          <w:numId w:val="0"/>
        </w:numPr>
        <w:ind w:left="993"/>
      </w:pPr>
      <w:r>
        <w:t>110.</w:t>
      </w:r>
      <w:r>
        <w:tab/>
        <w:t>Į šią formą įtraukiami:</w:t>
      </w:r>
    </w:p>
    <w:p w:rsidR="00612780" w:rsidRPr="00392FFD" w:rsidRDefault="00125707" w:rsidP="00C37B29">
      <w:pPr>
        <w:pStyle w:val="InstructionsText2"/>
        <w:numPr>
          <w:ilvl w:val="0"/>
          <w:numId w:val="0"/>
        </w:numPr>
        <w:ind w:left="993"/>
      </w:pPr>
      <w:r>
        <w:t>a.</w:t>
      </w:r>
      <w:r>
        <w:tab/>
        <w:t>Informaciją teikiančios įstaigos inicijuoti / paremti pakeitimai vertybiniais p</w:t>
      </w:r>
      <w:r>
        <w:t>o</w:t>
      </w:r>
      <w:r>
        <w:t>pieriais, kai ji turi bent vieną pakeitimo vertybiniais popieriais poziciją. Tai reiškia, kad, nepaisant to, ar įvyko reikšmingas rizikos perleidimas, ar ne, įstaigos pateikia informaciją apie visas turimas pozicijas (arba bankinėje, arba prekybos knygoje). Turimos pozicijos apima ir pagal KRR 405 straipsnį išlaikytas pozicijas.</w:t>
      </w:r>
    </w:p>
    <w:p w:rsidR="00612780" w:rsidRPr="00392FFD" w:rsidRDefault="00125707" w:rsidP="00C37B29">
      <w:pPr>
        <w:pStyle w:val="InstructionsText2"/>
        <w:numPr>
          <w:ilvl w:val="0"/>
          <w:numId w:val="0"/>
        </w:numPr>
        <w:ind w:left="993"/>
      </w:pPr>
      <w:r>
        <w:t>b.</w:t>
      </w:r>
      <w:r>
        <w:tab/>
        <w:t>Informaciją teikiančios įstaigos ataskaitiniais metais inicijuoti / paremti pake</w:t>
      </w:r>
      <w:r>
        <w:t>i</w:t>
      </w:r>
      <w:r>
        <w:t>timai vertybiniais popieriais</w:t>
      </w:r>
      <w:r>
        <w:rPr>
          <w:vertAlign w:val="superscript"/>
        </w:rPr>
        <w:footnoteReference w:id="2"/>
      </w:r>
      <w:r>
        <w:t>, kai ji neturi jokios pozicijos.</w:t>
      </w:r>
    </w:p>
    <w:p w:rsidR="00612780" w:rsidRPr="00125707" w:rsidRDefault="00125707" w:rsidP="00C37B29">
      <w:pPr>
        <w:pStyle w:val="InstructionsText2"/>
        <w:numPr>
          <w:ilvl w:val="0"/>
          <w:numId w:val="0"/>
        </w:numPr>
        <w:ind w:left="993"/>
      </w:pPr>
      <w:r>
        <w:t>c.</w:t>
      </w:r>
      <w:r>
        <w:tab/>
        <w:t>Pakeitimai vertybiniais popieriais, kurių galutinė pagrindinė priemonė yra f</w:t>
      </w:r>
      <w:r>
        <w:t>i</w:t>
      </w:r>
      <w:r>
        <w:t>nansiniai įsipareigojimai, kuriuos iš pradžių išleido informaciją teikianti įstaiga ir (iš dalies) įsigijo pakeitimo vertybiniais popieriais subjektas. Ši pagrindinė priem</w:t>
      </w:r>
      <w:r>
        <w:t>o</w:t>
      </w:r>
      <w:r>
        <w:t>nė galėtų apimti padengtąsias obligacijas arba kitus įsipareigojimus ir kaip tokia yra nurodoma 160 skiltyje.</w:t>
      </w:r>
    </w:p>
    <w:p w:rsidR="00E50E79" w:rsidRPr="00392FFD" w:rsidRDefault="00125707" w:rsidP="00C37B29">
      <w:pPr>
        <w:pStyle w:val="InstructionsText2"/>
        <w:numPr>
          <w:ilvl w:val="0"/>
          <w:numId w:val="0"/>
        </w:numPr>
        <w:ind w:left="993"/>
      </w:pPr>
      <w:r>
        <w:t>d.</w:t>
      </w:r>
      <w:r>
        <w:tab/>
        <w:t>Turimos pakeitimo vertybiniais popieriais pozicijos, kai įstaiga nėra nei inici</w:t>
      </w:r>
      <w:r>
        <w:t>a</w:t>
      </w:r>
      <w:r>
        <w:t>torė, nei rėmėja (t. y. ji yra investuotoja ir pirminė skolintoja).</w:t>
      </w:r>
    </w:p>
    <w:p w:rsidR="00612780" w:rsidRPr="00392FFD" w:rsidRDefault="00125707" w:rsidP="00C37B29">
      <w:pPr>
        <w:pStyle w:val="InstructionsText2"/>
        <w:numPr>
          <w:ilvl w:val="0"/>
          <w:numId w:val="0"/>
        </w:numPr>
        <w:ind w:left="993"/>
      </w:pPr>
      <w:r>
        <w:t>111.</w:t>
      </w:r>
      <w:r>
        <w:tab/>
        <w:t>Informaciją šioje formoje teikia konsoliduotos grupės ir savarankiškos įsta</w:t>
      </w:r>
      <w:r>
        <w:t>i</w:t>
      </w:r>
      <w:r>
        <w:t>gos</w:t>
      </w:r>
      <w:r>
        <w:rPr>
          <w:vertAlign w:val="superscript"/>
        </w:rPr>
        <w:footnoteReference w:id="3"/>
      </w:r>
      <w:r>
        <w:t xml:space="preserve">, esančios toje šalyje, kurioje joms taikomi nuosavų lėšų reikalavimai. Jeigu vykdant pakeitimą vertybiniais popieriais dalyvauja daugiau kaip vienas tos pačios konsoliduotos grupės subjektas, pateikiami išsamūs duomenys, suskirstyti pagal kiekvieną subjektą. </w:t>
      </w:r>
    </w:p>
    <w:p w:rsidR="00612780" w:rsidRPr="00392FFD" w:rsidRDefault="00125707" w:rsidP="00C37B29">
      <w:pPr>
        <w:pStyle w:val="InstructionsText2"/>
        <w:numPr>
          <w:ilvl w:val="0"/>
          <w:numId w:val="0"/>
        </w:numPr>
        <w:ind w:left="993"/>
      </w:pPr>
      <w:r>
        <w:t>112.</w:t>
      </w:r>
      <w:r>
        <w:tab/>
        <w:t>Atsižvelgiant į KRR 406 straipsnio 1 dalį, kurioje nurodoma, jog į pakeitimo vertybiniais popieriais pozicijas investuojančios įstaigos turi apie jas surinkti nem</w:t>
      </w:r>
      <w:r>
        <w:t>a</w:t>
      </w:r>
      <w:r>
        <w:t>žai informacijos, kad įvykdytų išsamaus patikrinimo reikalavimus, investuotojų prašoma pildyti tik tam tikras formos dalis. Visų pirma jie turi pildyti 010–040; 070–110; 160; 190; 290–400; 420–470.</w:t>
      </w:r>
    </w:p>
    <w:p w:rsidR="00612780" w:rsidRPr="00392FFD" w:rsidRDefault="00125707" w:rsidP="00C37B29">
      <w:pPr>
        <w:pStyle w:val="InstructionsText2"/>
        <w:numPr>
          <w:ilvl w:val="0"/>
          <w:numId w:val="0"/>
        </w:numPr>
        <w:ind w:left="993"/>
      </w:pPr>
      <w:r>
        <w:t>113.</w:t>
      </w:r>
      <w:r>
        <w:tab/>
        <w:t>Įstaigos, kurios atlieka pirminių skolintojų vaidmenį (kurios vykdant tą patį pakeitimą vertybiniais popieriais nėra iniciatorės arba rėmėjos), paprastai šioje fo</w:t>
      </w:r>
      <w:r>
        <w:t>r</w:t>
      </w:r>
      <w:r>
        <w:t>moje pateikia tokios pačios apimties duomenis kaip įstaigos investuotojos.</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4010077"/>
      <w:r>
        <w:rPr>
          <w:rFonts w:ascii="Times New Roman" w:hAnsi="Times New Roman"/>
          <w:sz w:val="24"/>
          <w:u w:val="none"/>
        </w:rPr>
        <w:t>3.9.2.</w:t>
      </w:r>
      <w:r>
        <w:tab/>
      </w:r>
      <w:r>
        <w:rPr>
          <w:rFonts w:ascii="Times New Roman" w:hAnsi="Times New Roman"/>
          <w:sz w:val="24"/>
        </w:rPr>
        <w:t>Nurodymai dėl konkrečių pozicijų</w:t>
      </w:r>
      <w:bookmarkEnd w:id="488"/>
      <w:bookmarkEnd w:id="489"/>
      <w:bookmarkEnd w:id="490"/>
      <w:bookmarkEnd w:id="491"/>
      <w:bookmarkEnd w:id="492"/>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Skiltys</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EILUTĖS NUMERIS</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Kiekvienai lentelės eilutei suteikiamas unikalus eilutės numeris. Jis nurodomas eilės tvarka (1, 2, 3 ir t. t.).</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VIDINIS KODAS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Vidinis kodas (susidedantis iš raidžių ir skaitmenų), kurį įstaiga naudoja pake</w:t>
            </w:r>
            <w:r>
              <w:rPr>
                <w:rFonts w:ascii="Times New Roman" w:hAnsi="Times New Roman"/>
                <w:sz w:val="24"/>
              </w:rPr>
              <w:t>i</w:t>
            </w:r>
            <w:r>
              <w:rPr>
                <w:rFonts w:ascii="Times New Roman" w:hAnsi="Times New Roman"/>
                <w:sz w:val="24"/>
              </w:rPr>
              <w:t>timui vertybiniais popieriais identifikuoti. Vidinis kodas susiejamas su pakeit</w:t>
            </w:r>
            <w:r>
              <w:rPr>
                <w:rFonts w:ascii="Times New Roman" w:hAnsi="Times New Roman"/>
                <w:sz w:val="24"/>
              </w:rPr>
              <w:t>i</w:t>
            </w:r>
            <w:r>
              <w:rPr>
                <w:rFonts w:ascii="Times New Roman" w:hAnsi="Times New Roman"/>
                <w:sz w:val="24"/>
              </w:rPr>
              <w:t>mo vertybiniais popieriais identifikatoriumi.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PAKEITIMO VERTYBINIAIS POPIERIAIS IDENTIFIKATORIUS</w:t>
            </w:r>
            <w:r>
              <w:t xml:space="preserve"> </w:t>
            </w:r>
            <w:r>
              <w:rPr>
                <w:rFonts w:ascii="Times New Roman" w:hAnsi="Times New Roman"/>
                <w:b/>
                <w:sz w:val="24"/>
              </w:rPr>
              <w:t>(k</w:t>
            </w:r>
            <w:r>
              <w:rPr>
                <w:rFonts w:ascii="Times New Roman" w:hAnsi="Times New Roman"/>
                <w:b/>
                <w:sz w:val="24"/>
              </w:rPr>
              <w:t>o</w:t>
            </w:r>
            <w:r>
              <w:rPr>
                <w:rFonts w:ascii="Times New Roman" w:hAnsi="Times New Roman"/>
                <w:b/>
                <w:sz w:val="24"/>
              </w:rPr>
              <w:t>das / pavadinimas)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teisinei registracijai naudojamas kodas arba, jei jo nėra, pavadinimas, kuriuo pakeitimas vertybiniais popieriais yra žinomas rinkoje. Jeigu turimas tarptautinis vertybinių popierių identifikacinis numeris ISIN (pvz., viešųjų sandorių atveju), šioje skiltyje nurodomi visiems pakeitimo vertybiniais popieriais segmentams bendri simboliai.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ĮSTAIGOS INICIATORĖS IDENTIFIKATORIUS</w:t>
            </w:r>
            <w:r>
              <w:t xml:space="preserve"> </w:t>
            </w:r>
            <w:r>
              <w:rPr>
                <w:rFonts w:ascii="Times New Roman" w:hAnsi="Times New Roman"/>
                <w:b/>
                <w:sz w:val="24"/>
              </w:rPr>
              <w:t>(kodas / pavadinimas)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skiltyje nurodomas priežiūros institucijos įstaigai iniciatorei suteiktas k</w:t>
            </w:r>
            <w:r>
              <w:rPr>
                <w:rFonts w:ascii="Times New Roman" w:hAnsi="Times New Roman"/>
                <w:sz w:val="24"/>
              </w:rPr>
              <w:t>o</w:t>
            </w:r>
            <w:r>
              <w:rPr>
                <w:rFonts w:ascii="Times New Roman" w:hAnsi="Times New Roman"/>
                <w:sz w:val="24"/>
              </w:rPr>
              <w:t>das arba, jei jo nėra, pačios įstaigos pavadinimas.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Jeigu vykdant pakeitimą vertybiniais popieriais dalyvauja daug pardavėjų, i</w:t>
            </w:r>
            <w:r>
              <w:rPr>
                <w:rFonts w:ascii="Times New Roman" w:hAnsi="Times New Roman"/>
                <w:sz w:val="24"/>
              </w:rPr>
              <w:t>n</w:t>
            </w:r>
            <w:r>
              <w:rPr>
                <w:rFonts w:ascii="Times New Roman" w:hAnsi="Times New Roman"/>
                <w:sz w:val="24"/>
              </w:rPr>
              <w:t>formaciją teikiantis subjektas nurodo visų sandoryje dalyvaujančių savo kons</w:t>
            </w:r>
            <w:r>
              <w:rPr>
                <w:rFonts w:ascii="Times New Roman" w:hAnsi="Times New Roman"/>
                <w:sz w:val="24"/>
              </w:rPr>
              <w:t>o</w:t>
            </w:r>
            <w:r>
              <w:rPr>
                <w:rFonts w:ascii="Times New Roman" w:hAnsi="Times New Roman"/>
                <w:sz w:val="24"/>
              </w:rPr>
              <w:t>liduotos grupės subjektų (iniciatoriaus, rėmėjo ar pirminio skolintojo) identif</w:t>
            </w:r>
            <w:r>
              <w:rPr>
                <w:rFonts w:ascii="Times New Roman" w:hAnsi="Times New Roman"/>
                <w:sz w:val="24"/>
              </w:rPr>
              <w:t>i</w:t>
            </w:r>
            <w:r>
              <w:rPr>
                <w:rFonts w:ascii="Times New Roman" w:hAnsi="Times New Roman"/>
                <w:sz w:val="24"/>
              </w:rPr>
              <w:t>katorius. Jeigu kodo nėra arba informaciją teikiantis subjektas jo nežino, nur</w:t>
            </w:r>
            <w:r>
              <w:rPr>
                <w:rFonts w:ascii="Times New Roman" w:hAnsi="Times New Roman"/>
                <w:sz w:val="24"/>
              </w:rPr>
              <w:t>o</w:t>
            </w:r>
            <w:r>
              <w:rPr>
                <w:rFonts w:ascii="Times New Roman" w:hAnsi="Times New Roman"/>
                <w:sz w:val="24"/>
              </w:rPr>
              <w:t>domas įstaigos pavadinimas.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PAKEITIMO VERTYBINIAIS POPIERIAIS RŪŠIS (TRADICINIS / SINTETINIS)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Reikia nurodyti šias santrumpas:</w:t>
            </w:r>
            <w:r>
              <w:rPr>
                <w:rFonts w:ascii="Times New Roman" w:hAnsi="Times New Roman"/>
                <w:sz w:val="24"/>
              </w:rPr>
              <w:br/>
              <w:t>— „T“ – tradicinis;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 sintetinis.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Tradicinio pakeitimo vertybiniais popieriais ir sintetinio pakeitimo vertybiniais popieriais apibrėžtys pateiktos KRR 242 straipsnio 10 ir 11 dalyse.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APSKAITA: AR VERTYBINIAIS POPIERIAIS PAKEISTOS POZIC</w:t>
            </w:r>
            <w:r>
              <w:rPr>
                <w:rFonts w:ascii="Times New Roman" w:hAnsi="Times New Roman"/>
                <w:b/>
                <w:sz w:val="24"/>
                <w:u w:val="single"/>
              </w:rPr>
              <w:t>I</w:t>
            </w:r>
            <w:r>
              <w:rPr>
                <w:rFonts w:ascii="Times New Roman" w:hAnsi="Times New Roman"/>
                <w:b/>
                <w:sz w:val="24"/>
                <w:u w:val="single"/>
              </w:rPr>
              <w:t>JOS PALIEKAMOS BALANSE, AR IŠ JO IŠBRAUKIAMOS?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Įstaigos iniciatorės, rėmėjos ir pirminės skolintojos nurodo vieną iš šių sa</w:t>
            </w:r>
            <w:r>
              <w:rPr>
                <w:rFonts w:ascii="Times New Roman" w:hAnsi="Times New Roman"/>
                <w:sz w:val="24"/>
              </w:rPr>
              <w:t>n</w:t>
            </w:r>
            <w:r>
              <w:rPr>
                <w:rFonts w:ascii="Times New Roman" w:hAnsi="Times New Roman"/>
                <w:sz w:val="24"/>
              </w:rPr>
              <w:t>trumpų:</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jei visiškai pripažįstamos;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 jei iš dalies nutrauktas pripažinimas;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 jei visiškai nutrauktas pripažinimas;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„N“ – jei netaikoma.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Šioje skiltyje apibendrinama sandorio apskaitos tvarka.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Sintetinio pakeitimo vertybiniais popieriais atveju įstaigos iniciatorės nurodo, kad vertybiniais popieriais pakeistos pozicijos iš balanso išbrauktos.</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Įsipareigojimų pakeitimo vertybiniais popieriais atveju įstaigos iniciatorės šios skilties nepildo.</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 (iš dalies pašalintos) pažymima tada, kai vertybiniais popieriais pakeistas turtas yra pripažįstamas balanse pagal informaciją teikiančio subjekto tolesnės kontrolės mastą, kaip nurodyta 9-ojo TFAS 3.2.16–3.2.21 straipsniuose.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MOKUMO DUOMENŲ TVARKYMAS: PAKEITIMO VERTYBINIAIS POPIERIAIS POZICIJOMS TAIKOMI NUOSAVŲ LĖŠŲ REIKAL</w:t>
            </w:r>
            <w:r>
              <w:rPr>
                <w:rFonts w:ascii="Times New Roman" w:hAnsi="Times New Roman"/>
                <w:b/>
                <w:sz w:val="24"/>
                <w:u w:val="single"/>
              </w:rPr>
              <w:t>A</w:t>
            </w:r>
            <w:r>
              <w:rPr>
                <w:rFonts w:ascii="Times New Roman" w:hAnsi="Times New Roman"/>
                <w:b/>
                <w:sz w:val="24"/>
                <w:u w:val="single"/>
              </w:rPr>
              <w:t>VIMAI?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Įstaigos iniciatorės nurodo šias santrumpas: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 nuosavų lėšų reikalavimai netaikomi;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 bankinė knyga;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 prekybos knyga;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 abiejose knygose iš dalies.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KRR 109, 243 ir 244 straipsniai.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skiltyje apibendrinama, kaip įstaigos iniciatorės tvarko mokumo duom</w:t>
            </w:r>
            <w:r>
              <w:rPr>
                <w:rFonts w:ascii="Times New Roman" w:hAnsi="Times New Roman"/>
                <w:sz w:val="24"/>
              </w:rPr>
              <w:t>e</w:t>
            </w:r>
            <w:r>
              <w:rPr>
                <w:rFonts w:ascii="Times New Roman" w:hAnsi="Times New Roman"/>
                <w:sz w:val="24"/>
              </w:rPr>
              <w:t>nis pakeitimo vertybiniais popieriais schemoje. Nurodoma, ar nuosavų lėšų re</w:t>
            </w:r>
            <w:r>
              <w:rPr>
                <w:rFonts w:ascii="Times New Roman" w:hAnsi="Times New Roman"/>
                <w:sz w:val="24"/>
              </w:rPr>
              <w:t>i</w:t>
            </w:r>
            <w:r>
              <w:rPr>
                <w:rFonts w:ascii="Times New Roman" w:hAnsi="Times New Roman"/>
                <w:sz w:val="24"/>
              </w:rPr>
              <w:t>kalavimai apskaičiuojami pagal užtikrintas pozicijas, ar pagal pakeitimo vert</w:t>
            </w:r>
            <w:r>
              <w:rPr>
                <w:rFonts w:ascii="Times New Roman" w:hAnsi="Times New Roman"/>
                <w:sz w:val="24"/>
              </w:rPr>
              <w:t>y</w:t>
            </w:r>
            <w:r>
              <w:rPr>
                <w:rFonts w:ascii="Times New Roman" w:hAnsi="Times New Roman"/>
                <w:sz w:val="24"/>
              </w:rPr>
              <w:t xml:space="preserve">biniais popieriais pozicijas (bankinėje / prekybos knygoje).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Jeigu nuosavų lėšų reikalavimai grindžiami </w:t>
            </w:r>
            <w:r>
              <w:rPr>
                <w:rFonts w:ascii="Times New Roman" w:hAnsi="Times New Roman"/>
                <w:i/>
                <w:sz w:val="24"/>
              </w:rPr>
              <w:t>vertybiniais popieriais pakeistomis pozicijomis</w:t>
            </w:r>
            <w:r>
              <w:rPr>
                <w:rFonts w:ascii="Times New Roman" w:hAnsi="Times New Roman"/>
                <w:sz w:val="24"/>
              </w:rPr>
              <w:t xml:space="preserve"> (nes nevyksta reikšmingas rizikos perleidimas), nuosavų lėšų reik</w:t>
            </w:r>
            <w:r>
              <w:rPr>
                <w:rFonts w:ascii="Times New Roman" w:hAnsi="Times New Roman"/>
                <w:sz w:val="24"/>
              </w:rPr>
              <w:t>a</w:t>
            </w:r>
            <w:r>
              <w:rPr>
                <w:rFonts w:ascii="Times New Roman" w:hAnsi="Times New Roman"/>
                <w:sz w:val="24"/>
              </w:rPr>
              <w:t>lavimų kredito rizikai padengti apskaičiavimas nurodomas CR SA formoje, je</w:t>
            </w:r>
            <w:r>
              <w:rPr>
                <w:rFonts w:ascii="Times New Roman" w:hAnsi="Times New Roman"/>
                <w:sz w:val="24"/>
              </w:rPr>
              <w:t>i</w:t>
            </w:r>
            <w:r>
              <w:rPr>
                <w:rFonts w:ascii="Times New Roman" w:hAnsi="Times New Roman"/>
                <w:sz w:val="24"/>
              </w:rPr>
              <w:t>gu įstaiga taiko standartizuotą metodą, arba CR IRB formoje, jei įstaiga taiko vidaus reitingais pagrįstą metodą.</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Priešingai, jei nuosavų lėšų reikalavimai grindžiami </w:t>
            </w:r>
            <w:r>
              <w:rPr>
                <w:rFonts w:ascii="Times New Roman" w:hAnsi="Times New Roman"/>
                <w:i/>
                <w:sz w:val="24"/>
              </w:rPr>
              <w:t>bankinėje knygoje turim</w:t>
            </w:r>
            <w:r>
              <w:rPr>
                <w:rFonts w:ascii="Times New Roman" w:hAnsi="Times New Roman"/>
                <w:i/>
                <w:sz w:val="24"/>
              </w:rPr>
              <w:t>o</w:t>
            </w:r>
            <w:r>
              <w:rPr>
                <w:rFonts w:ascii="Times New Roman" w:hAnsi="Times New Roman"/>
                <w:i/>
                <w:sz w:val="24"/>
              </w:rPr>
              <w:t>mis pakeitimo vertybiniais popieriais pozicijomis</w:t>
            </w:r>
            <w:r>
              <w:rPr>
                <w:rFonts w:ascii="Times New Roman" w:hAnsi="Times New Roman"/>
                <w:sz w:val="24"/>
              </w:rPr>
              <w:t xml:space="preserve"> (nes vyksta reikšmingas riz</w:t>
            </w:r>
            <w:r>
              <w:rPr>
                <w:rFonts w:ascii="Times New Roman" w:hAnsi="Times New Roman"/>
                <w:sz w:val="24"/>
              </w:rPr>
              <w:t>i</w:t>
            </w:r>
            <w:r>
              <w:rPr>
                <w:rFonts w:ascii="Times New Roman" w:hAnsi="Times New Roman"/>
                <w:sz w:val="24"/>
              </w:rPr>
              <w:t>kos perleidimas), nuosavų lėšų reikalavimų kredito rizikai padengti apskaiči</w:t>
            </w:r>
            <w:r>
              <w:rPr>
                <w:rFonts w:ascii="Times New Roman" w:hAnsi="Times New Roman"/>
                <w:sz w:val="24"/>
              </w:rPr>
              <w:t>a</w:t>
            </w:r>
            <w:r>
              <w:rPr>
                <w:rFonts w:ascii="Times New Roman" w:hAnsi="Times New Roman"/>
                <w:sz w:val="24"/>
              </w:rPr>
              <w:t xml:space="preserve">vimas nurodomas CR SEC SA arba CR SEC IRB formoje. </w:t>
            </w:r>
            <w:r>
              <w:rPr>
                <w:rFonts w:ascii="Times New Roman" w:hAnsi="Times New Roman"/>
                <w:i/>
                <w:sz w:val="24"/>
              </w:rPr>
              <w:t>Prekybos knygoje turimų pakeitimo vertybiniais popieriais pozicijų</w:t>
            </w:r>
            <w:r>
              <w:rPr>
                <w:rFonts w:ascii="Times New Roman" w:hAnsi="Times New Roman"/>
                <w:sz w:val="24"/>
              </w:rPr>
              <w:t xml:space="preserve"> atveju nuosavų lėšų reikal</w:t>
            </w:r>
            <w:r>
              <w:rPr>
                <w:rFonts w:ascii="Times New Roman" w:hAnsi="Times New Roman"/>
                <w:sz w:val="24"/>
              </w:rPr>
              <w:t>a</w:t>
            </w:r>
            <w:r>
              <w:rPr>
                <w:rFonts w:ascii="Times New Roman" w:hAnsi="Times New Roman"/>
                <w:sz w:val="24"/>
              </w:rPr>
              <w:t>vimų rinkos rizikai padengti apskaičiavimas nurodomas MKR SA TDI (sta</w:t>
            </w:r>
            <w:r>
              <w:rPr>
                <w:rFonts w:ascii="Times New Roman" w:hAnsi="Times New Roman"/>
                <w:sz w:val="24"/>
              </w:rPr>
              <w:t>n</w:t>
            </w:r>
            <w:r>
              <w:rPr>
                <w:rFonts w:ascii="Times New Roman" w:hAnsi="Times New Roman"/>
                <w:sz w:val="24"/>
              </w:rPr>
              <w:t>dartizuota bendroji pozicijos rizika) formoje ir MKR SA SEC ar MKR SA CTP (standartizuota specifinė pozicijos rizika) formoje arba MKR IM (vidaus mod</w:t>
            </w:r>
            <w:r>
              <w:rPr>
                <w:rFonts w:ascii="Times New Roman" w:hAnsi="Times New Roman"/>
                <w:sz w:val="24"/>
              </w:rPr>
              <w:t>e</w:t>
            </w:r>
            <w:r>
              <w:rPr>
                <w:rFonts w:ascii="Times New Roman" w:hAnsi="Times New Roman"/>
                <w:sz w:val="24"/>
              </w:rPr>
              <w:t>liai) formoje.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Įsipareigojimų pakeitimo vertybiniais popieriais atveju įstaigos iniciatorės šios skilties nepildo.</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PAKEITIMAS AR PAKARTOTINIS PAKEITIMAS VERTYBINIAIS POPIERIAIS?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Remiantis KRR 4 straipsnio 1 dalies 61 punkte ir 62–64 punktuose pateiktomis </w:t>
            </w:r>
            <w:r>
              <w:rPr>
                <w:rFonts w:ascii="Times New Roman" w:hAnsi="Times New Roman"/>
                <w:sz w:val="24"/>
              </w:rPr>
              <w:lastRenderedPageBreak/>
              <w:t>pakeitimo vertybiniais popieriais ir pakartotinio pakeitimo vertybiniais popi</w:t>
            </w:r>
            <w:r>
              <w:rPr>
                <w:rFonts w:ascii="Times New Roman" w:hAnsi="Times New Roman"/>
                <w:sz w:val="24"/>
              </w:rPr>
              <w:t>e</w:t>
            </w:r>
            <w:r>
              <w:rPr>
                <w:rFonts w:ascii="Times New Roman" w:hAnsi="Times New Roman"/>
                <w:sz w:val="24"/>
              </w:rPr>
              <w:t>riais apibrėžtimis, pagrindinės pozicijos rūšis nurodoma šiomis santrumpomis: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 pakeitimas vertybiniais popieriais.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 pakartotinis pakeitimas vertybiniais popieriais.</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PSS PAKEITIMAS VERTYBINIAIS POPIERIAIS</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Reglamento (ES) 2017/2402 18 straipsnis.</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Nurodyti vienu iš šių sutrumpinimų:</w:t>
            </w:r>
          </w:p>
          <w:p w:rsidR="006B4AC8" w:rsidRDefault="006B4AC8" w:rsidP="00CE4C49">
            <w:pPr>
              <w:spacing w:before="0" w:after="0"/>
              <w:jc w:val="left"/>
              <w:rPr>
                <w:rFonts w:ascii="Times New Roman" w:hAnsi="Times New Roman"/>
                <w:sz w:val="24"/>
              </w:rPr>
            </w:pPr>
            <w:r>
              <w:rPr>
                <w:rFonts w:ascii="Times New Roman" w:hAnsi="Times New Roman"/>
                <w:sz w:val="24"/>
              </w:rPr>
              <w:t>Y – taip</w:t>
            </w:r>
          </w:p>
          <w:p w:rsidR="006B4AC8" w:rsidRDefault="006B4AC8" w:rsidP="00CE4C49">
            <w:pPr>
              <w:spacing w:before="0" w:after="0"/>
              <w:jc w:val="left"/>
              <w:rPr>
                <w:rFonts w:ascii="Times New Roman" w:hAnsi="Times New Roman"/>
                <w:sz w:val="24"/>
              </w:rPr>
            </w:pPr>
            <w:r>
              <w:rPr>
                <w:rFonts w:ascii="Times New Roman" w:hAnsi="Times New Roman"/>
                <w:sz w:val="24"/>
              </w:rPr>
              <w:t>N – ne</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IŠLAIKYMAS</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KRR 404–410 straipsniai.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TAIKOMA IŠLAIKYMO RŪŠIS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Kiekvienoje inicijuotoje pakeitimo vertybiniais popieriais schemoje nurodoma atitinkama grynosios ekonominės dalies išlaikymo rūšis, kaip numatyta KRR 405 straipsnyje: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vertikalus pjūvis (pakeitimo vertybiniais popieriais pozicijos): </w:t>
            </w:r>
            <w:r>
              <w:rPr>
                <w:rFonts w:ascii="Times New Roman" w:hAnsi="Times New Roman"/>
                <w:i/>
                <w:sz w:val="24"/>
              </w:rPr>
              <w:t>„ne mažiau kaip 5 % nominaliosios kiekvieno iš parduotų ar investuotojams perleistų se</w:t>
            </w:r>
            <w:r>
              <w:rPr>
                <w:rFonts w:ascii="Times New Roman" w:hAnsi="Times New Roman"/>
                <w:i/>
                <w:sz w:val="24"/>
              </w:rPr>
              <w:t>g</w:t>
            </w:r>
            <w:r>
              <w:rPr>
                <w:rFonts w:ascii="Times New Roman" w:hAnsi="Times New Roman"/>
                <w:i/>
                <w:sz w:val="24"/>
              </w:rPr>
              <w:t xml:space="preserve">mentų vertės išlaikymas“.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vertikalus pjūvis (vertybiniais popieriais pakeistos pozicijos): ne mažiau kaip 5 % kiekvienos vertybiniais popieriais pakeistos pozicijos kredito rizikos išlaikymas, jeigu taip išlaikomos vertybiniais popieriais pakeistų pozicijų kred</w:t>
            </w:r>
            <w:r>
              <w:rPr>
                <w:rFonts w:ascii="Times New Roman" w:hAnsi="Times New Roman"/>
                <w:sz w:val="24"/>
              </w:rPr>
              <w:t>i</w:t>
            </w:r>
            <w:r>
              <w:rPr>
                <w:rFonts w:ascii="Times New Roman" w:hAnsi="Times New Roman"/>
                <w:sz w:val="24"/>
              </w:rPr>
              <w:t>to rizikos reitingas visada yra lygus kredito rizikos, kuri buvo pakeista vertyb</w:t>
            </w:r>
            <w:r>
              <w:rPr>
                <w:rFonts w:ascii="Times New Roman" w:hAnsi="Times New Roman"/>
                <w:sz w:val="24"/>
              </w:rPr>
              <w:t>i</w:t>
            </w:r>
            <w:r>
              <w:rPr>
                <w:rFonts w:ascii="Times New Roman" w:hAnsi="Times New Roman"/>
                <w:sz w:val="24"/>
              </w:rPr>
              <w:t>niais popieriais tų pačių pozicijų atžvilgiu, reitingui arba už jį mažesnis.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B – atnaujinamosios pozicijos: </w:t>
            </w:r>
            <w:r>
              <w:rPr>
                <w:rFonts w:ascii="Times New Roman" w:hAnsi="Times New Roman"/>
                <w:i/>
                <w:sz w:val="24"/>
              </w:rPr>
              <w:t>„vertybiniais popieriais atnaujinamųjų pozicijų atveju – ne mažiau kaip 5 % nominaliosios pakeistų vertybiniais popieriais p</w:t>
            </w:r>
            <w:r>
              <w:rPr>
                <w:rFonts w:ascii="Times New Roman" w:hAnsi="Times New Roman"/>
                <w:i/>
                <w:sz w:val="24"/>
              </w:rPr>
              <w:t>o</w:t>
            </w:r>
            <w:r>
              <w:rPr>
                <w:rFonts w:ascii="Times New Roman" w:hAnsi="Times New Roman"/>
                <w:i/>
                <w:sz w:val="24"/>
              </w:rPr>
              <w:t>zicijų vertės iniciatoriaus dalies išlaikymas“</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 – balansinis: „</w:t>
            </w:r>
            <w:r>
              <w:rPr>
                <w:rFonts w:ascii="Times New Roman" w:hAnsi="Times New Roman"/>
                <w:i/>
                <w:sz w:val="24"/>
              </w:rPr>
              <w:t>atsitiktinai atrinktų pozicijų, lygių ne mažiau kaip 5 % nomin</w:t>
            </w:r>
            <w:r>
              <w:rPr>
                <w:rFonts w:ascii="Times New Roman" w:hAnsi="Times New Roman"/>
                <w:i/>
                <w:sz w:val="24"/>
              </w:rPr>
              <w:t>a</w:t>
            </w:r>
            <w:r>
              <w:rPr>
                <w:rFonts w:ascii="Times New Roman" w:hAnsi="Times New Roman"/>
                <w:i/>
                <w:sz w:val="24"/>
              </w:rPr>
              <w:t>liosios vertybiniais popieriais pakeistų pozicijų vertės, išlaikymas, kai tos poz</w:t>
            </w:r>
            <w:r>
              <w:rPr>
                <w:rFonts w:ascii="Times New Roman" w:hAnsi="Times New Roman"/>
                <w:i/>
                <w:sz w:val="24"/>
              </w:rPr>
              <w:t>i</w:t>
            </w:r>
            <w:r>
              <w:rPr>
                <w:rFonts w:ascii="Times New Roman" w:hAnsi="Times New Roman"/>
                <w:i/>
                <w:sz w:val="24"/>
              </w:rPr>
              <w:t>cijos priešingu atveju būtų buvusios pakeistos vertybiniais popieriais pakeitimo vertybiniais popieriais procese, jeigu pozicijų, kurios gali būti pakeistos vert</w:t>
            </w:r>
            <w:r>
              <w:rPr>
                <w:rFonts w:ascii="Times New Roman" w:hAnsi="Times New Roman"/>
                <w:i/>
                <w:sz w:val="24"/>
              </w:rPr>
              <w:t>y</w:t>
            </w:r>
            <w:r>
              <w:rPr>
                <w:rFonts w:ascii="Times New Roman" w:hAnsi="Times New Roman"/>
                <w:i/>
                <w:sz w:val="24"/>
              </w:rPr>
              <w:t>biniais popieriais, skaičius yra ne mažesnis kaip 100 sandorio sudarymo metu</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 – pirmojo nuostolio: „</w:t>
            </w:r>
            <w:r>
              <w:rPr>
                <w:rFonts w:ascii="Times New Roman" w:hAnsi="Times New Roman"/>
                <w:i/>
                <w:sz w:val="24"/>
              </w:rPr>
              <w:t>pirmojo nuostolio segmento ir prireikus kitų segmentų, kurių rizikos pobūdis yra toks pat ar didesnis nei investuotojams perleistų ar parduotų segmentų rizikos pobūdis ir kurių terminas baigiasi ne anksčiau nei investuotojams perleistų ar parduotų segmentų terminas, išlaikymas, kad toks išlaikymas būtų lygus iš viso ne mažiau kaip 5 % nominaliosios vertybiniais popieriais pakeistų pozicijų vertės</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E – išimtis. Šis kodas nurodomas tiems pakeitimams vertybiniais popieriais, </w:t>
            </w:r>
            <w:r>
              <w:rPr>
                <w:rFonts w:ascii="Times New Roman" w:hAnsi="Times New Roman"/>
                <w:sz w:val="24"/>
              </w:rPr>
              <w:lastRenderedPageBreak/>
              <w:t>kuriems taikomos KRR 405 straipsnio 3 dalies nuostatos.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 netaikoma. Šis kodas nurodomas tiems pakeitimams vertybiniais popi</w:t>
            </w:r>
            <w:r>
              <w:rPr>
                <w:rFonts w:ascii="Times New Roman" w:hAnsi="Times New Roman"/>
                <w:sz w:val="24"/>
              </w:rPr>
              <w:t>e</w:t>
            </w:r>
            <w:r>
              <w:rPr>
                <w:rFonts w:ascii="Times New Roman" w:hAnsi="Times New Roman"/>
                <w:sz w:val="24"/>
              </w:rPr>
              <w:t>riais, kuriems taikomos KRR 404 straipsnio nuostatos.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pažeidimas arba nežinoma. Šis kodas nurodomas, kai informaciją teikianti įstaiga nežino, kokia konkreti išlaikymo rūšis taikoma, arba kai reikalavimų n</w:t>
            </w:r>
            <w:r>
              <w:rPr>
                <w:rFonts w:ascii="Times New Roman" w:hAnsi="Times New Roman"/>
                <w:sz w:val="24"/>
              </w:rPr>
              <w:t>e</w:t>
            </w:r>
            <w:r>
              <w:rPr>
                <w:rFonts w:ascii="Times New Roman" w:hAnsi="Times New Roman"/>
                <w:sz w:val="24"/>
              </w:rPr>
              <w:t>silaikoma.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IŠLAIKYMO PROCENTINĖ DALIS ATASKAITINĘ DIENĄ</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Iniciatoriaus, rėmėjo arba pirminio skolintojo per pakeitimą vertybiniais p</w:t>
            </w:r>
            <w:r>
              <w:rPr>
                <w:rFonts w:ascii="Times New Roman" w:hAnsi="Times New Roman"/>
                <w:i/>
                <w:sz w:val="24"/>
              </w:rPr>
              <w:t>o</w:t>
            </w:r>
            <w:r>
              <w:rPr>
                <w:rFonts w:ascii="Times New Roman" w:hAnsi="Times New Roman"/>
                <w:i/>
                <w:sz w:val="24"/>
              </w:rPr>
              <w:t>pieriais išlaikyta reikšminga grynoji ekonominė dalis</w:t>
            </w:r>
            <w:r>
              <w:rPr>
                <w:rFonts w:ascii="Times New Roman" w:hAnsi="Times New Roman"/>
                <w:sz w:val="24"/>
              </w:rPr>
              <w:t xml:space="preserve"> turi sudaryti ne mažiau kaip 5 % (inicijavimo dieną).</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Nepaisant KRR 405 straipsnio 1 dalies, išlaikymo inicijavimo dieną matas p</w:t>
            </w:r>
            <w:r>
              <w:rPr>
                <w:rFonts w:ascii="Times New Roman" w:hAnsi="Times New Roman"/>
                <w:sz w:val="24"/>
              </w:rPr>
              <w:t>a</w:t>
            </w:r>
            <w:r>
              <w:rPr>
                <w:rFonts w:ascii="Times New Roman" w:hAnsi="Times New Roman"/>
                <w:sz w:val="24"/>
              </w:rPr>
              <w:t>prastai gali būti aiškinamas kaip momentas, kai pozicijos pirmą kartą pakeistos vertybiniais popieriais, o ne momentas, kai pozicijos pirmą kartą sukurtos (p</w:t>
            </w:r>
            <w:r>
              <w:rPr>
                <w:rFonts w:ascii="Times New Roman" w:hAnsi="Times New Roman"/>
                <w:sz w:val="24"/>
              </w:rPr>
              <w:t>a</w:t>
            </w:r>
            <w:r>
              <w:rPr>
                <w:rFonts w:ascii="Times New Roman" w:hAnsi="Times New Roman"/>
                <w:sz w:val="24"/>
              </w:rPr>
              <w:t>vyzdžiui, ne momentas, kai pagrindinės paskolos buvo suteiktos pirmą kartą). Išlaikymo inicijavimo dieną matas reiškia, kad 5 % yra išlaikymo procentinė dalis, kurios buvo reikalaujama tuo momentu, kai buvo vertinamas toks išla</w:t>
            </w:r>
            <w:r>
              <w:rPr>
                <w:rFonts w:ascii="Times New Roman" w:hAnsi="Times New Roman"/>
                <w:sz w:val="24"/>
              </w:rPr>
              <w:t>i</w:t>
            </w:r>
            <w:r>
              <w:rPr>
                <w:rFonts w:ascii="Times New Roman" w:hAnsi="Times New Roman"/>
                <w:sz w:val="24"/>
              </w:rPr>
              <w:t>kymo lygis ir kai tas reikalavimas buvo įvykdytas (pavyzdžiui, kai pozicijos pirmą kartą pakeistos vertybiniais popieriais); dinaminio išlaikytos procentinės dalies pakartotinio įvertinimo ir koregavimo sandorio laikotarpiu nereikalauj</w:t>
            </w:r>
            <w:r>
              <w:rPr>
                <w:rFonts w:ascii="Times New Roman" w:hAnsi="Times New Roman"/>
                <w:sz w:val="24"/>
              </w:rPr>
              <w:t>a</w:t>
            </w:r>
            <w:r>
              <w:rPr>
                <w:rFonts w:ascii="Times New Roman" w:hAnsi="Times New Roman"/>
                <w:sz w:val="24"/>
              </w:rPr>
              <w:t>ma.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Ši skiltis nepildoma, jeigu 080 (Taikoma išlaikymo rūšis) skiltyje pažymėtas kodas „E“ (išimtis) arba „N“ (netaikoma).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AR LAIKOMASI IŠLAIKYMO REIKALAVIMO?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KRR 405 straipsnio 1 dalis.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Reikia nurodyti šias santrumpas:</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taip;</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Ši skiltis nepildoma, jeigu 080 (Taikoma išlaikymo rūšis) skiltyje pažymėtas kodas „E“ (išimtis) arba „N“ (netaikoma).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ĮSTAIGOS VAIDMUO (INICIATORĖ / RĖMĖJA / PIRMINĖ SKOLI</w:t>
            </w:r>
            <w:r>
              <w:rPr>
                <w:rFonts w:ascii="Times New Roman" w:hAnsi="Times New Roman"/>
                <w:b/>
                <w:sz w:val="24"/>
                <w:u w:val="single"/>
              </w:rPr>
              <w:t>N</w:t>
            </w:r>
            <w:r>
              <w:rPr>
                <w:rFonts w:ascii="Times New Roman" w:hAnsi="Times New Roman"/>
                <w:b/>
                <w:sz w:val="24"/>
                <w:u w:val="single"/>
              </w:rPr>
              <w:t>TOJA / INVESTUOTOJA)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Reikia nurodyti šias santrumpas: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 iniciatorė;</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 rėmėja;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 pirminė skolintoja;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 investuotoja.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Žr. apibrėžtis KRR 4 straipsnio 1 dalies 13 punkte (iniciatorius) ir 4 straipsnio 1 </w:t>
            </w:r>
            <w:r>
              <w:rPr>
                <w:rFonts w:ascii="Times New Roman" w:hAnsi="Times New Roman"/>
                <w:sz w:val="24"/>
              </w:rPr>
              <w:lastRenderedPageBreak/>
              <w:t>dalies 14 punkte (rėmėjas). Investuotojomis laikomos tos įstaigos, kurioms ta</w:t>
            </w:r>
            <w:r>
              <w:rPr>
                <w:rFonts w:ascii="Times New Roman" w:hAnsi="Times New Roman"/>
                <w:sz w:val="24"/>
              </w:rPr>
              <w:t>i</w:t>
            </w:r>
            <w:r>
              <w:rPr>
                <w:rFonts w:ascii="Times New Roman" w:hAnsi="Times New Roman"/>
                <w:sz w:val="24"/>
              </w:rPr>
              <w:t>komos KRR 406 ir 407 straipsnių nuostatos.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NE ABCP PROGRAMOS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ABCP programų (apibrėžtų KRR 242 straipsnio 9 dalyje) dėl jų ypatingo pob</w:t>
            </w:r>
            <w:r>
              <w:rPr>
                <w:rFonts w:ascii="Times New Roman" w:hAnsi="Times New Roman"/>
                <w:sz w:val="24"/>
              </w:rPr>
              <w:t>ū</w:t>
            </w:r>
            <w:r>
              <w:rPr>
                <w:rFonts w:ascii="Times New Roman" w:hAnsi="Times New Roman"/>
                <w:sz w:val="24"/>
              </w:rPr>
              <w:t>džio (nes jas sudaro keletas savarankiškų pakeitimo vertybiniais popieriais p</w:t>
            </w:r>
            <w:r>
              <w:rPr>
                <w:rFonts w:ascii="Times New Roman" w:hAnsi="Times New Roman"/>
                <w:sz w:val="24"/>
              </w:rPr>
              <w:t>o</w:t>
            </w:r>
            <w:r>
              <w:rPr>
                <w:rFonts w:ascii="Times New Roman" w:hAnsi="Times New Roman"/>
                <w:sz w:val="24"/>
              </w:rPr>
              <w:t>zicijų) 120 ir 130 skiltyse nurodyti nereikalaujama.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INICIJAVIMO DATA (mm / mmmm)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inicijavimo data (t. y. galutinė data arba gr</w:t>
            </w:r>
            <w:r>
              <w:rPr>
                <w:rFonts w:ascii="Times New Roman" w:hAnsi="Times New Roman"/>
                <w:sz w:val="24"/>
              </w:rPr>
              <w:t>u</w:t>
            </w:r>
            <w:r>
              <w:rPr>
                <w:rFonts w:ascii="Times New Roman" w:hAnsi="Times New Roman"/>
                <w:sz w:val="24"/>
              </w:rPr>
              <w:t>pės uždarymo data (mėnuo ir metai)) nurodoma šia tvarka: „mm / mmmm“.</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schemos inicijavimo data skirtingais ataska</w:t>
            </w:r>
            <w:r>
              <w:rPr>
                <w:rFonts w:ascii="Times New Roman" w:hAnsi="Times New Roman"/>
                <w:sz w:val="24"/>
              </w:rPr>
              <w:t>i</w:t>
            </w:r>
            <w:r>
              <w:rPr>
                <w:rFonts w:ascii="Times New Roman" w:hAnsi="Times New Roman"/>
                <w:sz w:val="24"/>
              </w:rPr>
              <w:t>tiniais laikotarpiais turi išlikti nepakitusi. Ypatingu atveju, kai pakeitimo vert</w:t>
            </w:r>
            <w:r>
              <w:rPr>
                <w:rFonts w:ascii="Times New Roman" w:hAnsi="Times New Roman"/>
                <w:sz w:val="24"/>
              </w:rPr>
              <w:t>y</w:t>
            </w:r>
            <w:r>
              <w:rPr>
                <w:rFonts w:ascii="Times New Roman" w:hAnsi="Times New Roman"/>
                <w:sz w:val="24"/>
              </w:rPr>
              <w:t xml:space="preserve">biniais popieriais schemos grindžiamos atviromis grupėmis, inicijavimo data turi būti pirmos vertybinių popierių emisijos data.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informacija turi būti pateikta net ir tada, kai informaciją teikiantis subjektas neturi jokių pakeitimo vertybiniais popieriais pozicijų.</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BENDRA VERTYBINIAIS POPIERIAIS PAKEISTŲ POZICIJŲ SUMA INICIJAVIMO DIENĄ</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skiltyje nurodoma vertybiniais popieriais pakeisto portfelio suma inicij</w:t>
            </w:r>
            <w:r>
              <w:rPr>
                <w:rFonts w:ascii="Times New Roman" w:hAnsi="Times New Roman"/>
                <w:sz w:val="24"/>
              </w:rPr>
              <w:t>a</w:t>
            </w:r>
            <w:r>
              <w:rPr>
                <w:rFonts w:ascii="Times New Roman" w:hAnsi="Times New Roman"/>
                <w:sz w:val="24"/>
              </w:rPr>
              <w:t xml:space="preserve">vimo dieną (remiantis pradinėmis pozicijomis iki perskaičiavimo koeficientų taikymo).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Kai pakeitimo vertybiniais popieriais schemos yra grindžiamos atviromis gr</w:t>
            </w:r>
            <w:r>
              <w:rPr>
                <w:rFonts w:ascii="Times New Roman" w:hAnsi="Times New Roman"/>
                <w:sz w:val="24"/>
              </w:rPr>
              <w:t>u</w:t>
            </w:r>
            <w:r>
              <w:rPr>
                <w:rFonts w:ascii="Times New Roman" w:hAnsi="Times New Roman"/>
                <w:sz w:val="24"/>
              </w:rPr>
              <w:t>pėmis, nurodoma pirmos vertybinių popierių emisijos inicijavimo datos suma. Tradicinių pakeitimų vertybiniais popieriais atveju neįtraukiamas joks kitas p</w:t>
            </w:r>
            <w:r>
              <w:rPr>
                <w:rFonts w:ascii="Times New Roman" w:hAnsi="Times New Roman"/>
                <w:sz w:val="24"/>
              </w:rPr>
              <w:t>a</w:t>
            </w:r>
            <w:r>
              <w:rPr>
                <w:rFonts w:ascii="Times New Roman" w:hAnsi="Times New Roman"/>
                <w:sz w:val="24"/>
              </w:rPr>
              <w:t>keitimo vertybiniais popieriais grupės turtas. Jeigu pakeitimo vertybiniais p</w:t>
            </w:r>
            <w:r>
              <w:rPr>
                <w:rFonts w:ascii="Times New Roman" w:hAnsi="Times New Roman"/>
                <w:sz w:val="24"/>
              </w:rPr>
              <w:t>o</w:t>
            </w:r>
            <w:r>
              <w:rPr>
                <w:rFonts w:ascii="Times New Roman" w:hAnsi="Times New Roman"/>
                <w:sz w:val="24"/>
              </w:rPr>
              <w:t>pieriais schemose dalyvauja daug pardavėjų (t. y. kai yra daugiau negu vienas iniciatorius), nurodoma tik suma, atitinkanti informaciją teikiančio subjekto i</w:t>
            </w:r>
            <w:r>
              <w:rPr>
                <w:rFonts w:ascii="Times New Roman" w:hAnsi="Times New Roman"/>
                <w:sz w:val="24"/>
              </w:rPr>
              <w:t>n</w:t>
            </w:r>
            <w:r>
              <w:rPr>
                <w:rFonts w:ascii="Times New Roman" w:hAnsi="Times New Roman"/>
                <w:sz w:val="24"/>
              </w:rPr>
              <w:t>dėlį į vertybiniais popieriais pakeistą portfelį. Įsipareigojimų pakeitimo vert</w:t>
            </w:r>
            <w:r>
              <w:rPr>
                <w:rFonts w:ascii="Times New Roman" w:hAnsi="Times New Roman"/>
                <w:sz w:val="24"/>
              </w:rPr>
              <w:t>y</w:t>
            </w:r>
            <w:r>
              <w:rPr>
                <w:rFonts w:ascii="Times New Roman" w:hAnsi="Times New Roman"/>
                <w:sz w:val="24"/>
              </w:rPr>
              <w:t>biniais popieriais atveju nurodomos tik sumos, kurias yra išleidęs informaciją teikiantis subjektas.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informacija turi būti pateikta net ir tada, kai informaciją teikiantis subjektas neturi jokių pakeitimo vertybiniais popieriais pozicijų.</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VERTYBINIAIS POPIERIAIS PAKEISTOS POZICIJOS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140–220 skiltyse prašoma pateikti informaciją apie keletą informaciją teikia</w:t>
            </w:r>
            <w:r>
              <w:rPr>
                <w:rFonts w:ascii="Times New Roman" w:hAnsi="Times New Roman"/>
                <w:sz w:val="24"/>
              </w:rPr>
              <w:t>n</w:t>
            </w:r>
            <w:r>
              <w:rPr>
                <w:rFonts w:ascii="Times New Roman" w:hAnsi="Times New Roman"/>
                <w:sz w:val="24"/>
              </w:rPr>
              <w:t>čio subjekto vertybiniais popieriais pakeisto portfelio ypatumų.</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BENDRA SUMA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Įstaigos nurodo vertybiniais popieriais pakeisto portfelio vertę ataskaitinę di</w:t>
            </w:r>
            <w:r>
              <w:rPr>
                <w:rFonts w:ascii="Times New Roman" w:hAnsi="Times New Roman"/>
                <w:sz w:val="24"/>
              </w:rPr>
              <w:t>e</w:t>
            </w:r>
            <w:r>
              <w:rPr>
                <w:rFonts w:ascii="Times New Roman" w:hAnsi="Times New Roman"/>
                <w:sz w:val="24"/>
              </w:rPr>
              <w:lastRenderedPageBreak/>
              <w:t>ną, t. y. neapmokėtų vertybiniais popieriais pakeistų pozicijų vertę. Tradicinių pakeitimų vertybiniais popieriais atveju neįtraukiamas joks kitas pakeitimo ve</w:t>
            </w:r>
            <w:r>
              <w:rPr>
                <w:rFonts w:ascii="Times New Roman" w:hAnsi="Times New Roman"/>
                <w:sz w:val="24"/>
              </w:rPr>
              <w:t>r</w:t>
            </w:r>
            <w:r>
              <w:rPr>
                <w:rFonts w:ascii="Times New Roman" w:hAnsi="Times New Roman"/>
                <w:sz w:val="24"/>
              </w:rPr>
              <w:t>tybiniais popieriais grupės turtas. Jeigu pakeitimo vertybiniais popieriais sch</w:t>
            </w:r>
            <w:r>
              <w:rPr>
                <w:rFonts w:ascii="Times New Roman" w:hAnsi="Times New Roman"/>
                <w:sz w:val="24"/>
              </w:rPr>
              <w:t>e</w:t>
            </w:r>
            <w:r>
              <w:rPr>
                <w:rFonts w:ascii="Times New Roman" w:hAnsi="Times New Roman"/>
                <w:sz w:val="24"/>
              </w:rPr>
              <w:t>mose dalyvauja daug pardavėjų (t. y. kai yra daugiau negu vienas iniciatorius), nurodoma tik suma, atitinkanti informaciją teikiančio subjekto indėlį į vertyb</w:t>
            </w:r>
            <w:r>
              <w:rPr>
                <w:rFonts w:ascii="Times New Roman" w:hAnsi="Times New Roman"/>
                <w:sz w:val="24"/>
              </w:rPr>
              <w:t>i</w:t>
            </w:r>
            <w:r>
              <w:rPr>
                <w:rFonts w:ascii="Times New Roman" w:hAnsi="Times New Roman"/>
                <w:sz w:val="24"/>
              </w:rPr>
              <w:t>niais popieriais pakeistą portfelį. Pakeitimo vertybiniais popieriais schemų, grindžiamų uždaromis grupėmis, atveju (t. y. kai vertybiniais popieriais pakei</w:t>
            </w:r>
            <w:r>
              <w:rPr>
                <w:rFonts w:ascii="Times New Roman" w:hAnsi="Times New Roman"/>
                <w:sz w:val="24"/>
              </w:rPr>
              <w:t>s</w:t>
            </w:r>
            <w:r>
              <w:rPr>
                <w:rFonts w:ascii="Times New Roman" w:hAnsi="Times New Roman"/>
                <w:sz w:val="24"/>
              </w:rPr>
              <w:t>to turto portfelio po inicijavimo datos nebegalima didinti) suma bus laipsniškai mažinama.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informacija turi būti pateikta net ir tada, kai informaciją teikiantis subjektas neturi jokių pakeitimo vertybiniais popieriais pozicijų.</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ĮSTAIGOS DALIS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Nurodoma ataskaitinę dieną įstaigos turima vertybiniais popieriais pakeisto portfelio dalis (procentinė dalis šimtųjų dalių tikslumu). Šioje skiltyje standa</w:t>
            </w:r>
            <w:r>
              <w:rPr>
                <w:rFonts w:ascii="Times New Roman" w:hAnsi="Times New Roman"/>
                <w:sz w:val="24"/>
              </w:rPr>
              <w:t>r</w:t>
            </w:r>
            <w:r>
              <w:rPr>
                <w:rFonts w:ascii="Times New Roman" w:hAnsi="Times New Roman"/>
                <w:sz w:val="24"/>
              </w:rPr>
              <w:t>tiškai nurodoma 100 % reikšmė, išskyrus pakeitimo vertybiniais popieriais sc</w:t>
            </w:r>
            <w:r>
              <w:rPr>
                <w:rFonts w:ascii="Times New Roman" w:hAnsi="Times New Roman"/>
                <w:sz w:val="24"/>
              </w:rPr>
              <w:t>h</w:t>
            </w:r>
            <w:r>
              <w:rPr>
                <w:rFonts w:ascii="Times New Roman" w:hAnsi="Times New Roman"/>
                <w:sz w:val="24"/>
              </w:rPr>
              <w:t>emas, kuriose dalyvauja daug pardavėjų. Tuo atveju informaciją teikiantis su</w:t>
            </w:r>
            <w:r>
              <w:rPr>
                <w:rFonts w:ascii="Times New Roman" w:hAnsi="Times New Roman"/>
                <w:sz w:val="24"/>
              </w:rPr>
              <w:t>b</w:t>
            </w:r>
            <w:r>
              <w:rPr>
                <w:rFonts w:ascii="Times New Roman" w:hAnsi="Times New Roman"/>
                <w:sz w:val="24"/>
              </w:rPr>
              <w:t>jektas nurodo savo esamą indėlį į vertybiniais popieriais pakeistą portfelį (sa</w:t>
            </w:r>
            <w:r>
              <w:rPr>
                <w:rFonts w:ascii="Times New Roman" w:hAnsi="Times New Roman"/>
                <w:sz w:val="24"/>
              </w:rPr>
              <w:t>n</w:t>
            </w:r>
            <w:r>
              <w:rPr>
                <w:rFonts w:ascii="Times New Roman" w:hAnsi="Times New Roman"/>
                <w:sz w:val="24"/>
              </w:rPr>
              <w:t>tykinė dalis, nurodyta 140 skiltyje).</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informacija turi būti pateikta net ir tada, kai informaciją teikiantis subjektas neturi jokių pakeitimo vertybiniais popieriais pozicijų.</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RŪŠIS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skiltyje pateikiama informacija apie vertybiniais popieriais pakeistą por</w:t>
            </w:r>
            <w:r>
              <w:rPr>
                <w:rFonts w:ascii="Times New Roman" w:hAnsi="Times New Roman"/>
                <w:sz w:val="24"/>
              </w:rPr>
              <w:t>t</w:t>
            </w:r>
            <w:r>
              <w:rPr>
                <w:rFonts w:ascii="Times New Roman" w:hAnsi="Times New Roman"/>
                <w:sz w:val="24"/>
              </w:rPr>
              <w:t>felį sudarančio turto (1–8) arba įsipareigojimų (9 ir 10) rūšis. Įstaiga nurodo vieną iš šių skaitinių kodų:</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gyvenamosios paskirties nekilnojamojo turto hipoteka;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komercinės paskirties nekilnojamojo turto hipoteka;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iš kredito kortelių gautinos sumos;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išperkamoji nuoma;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paskolos įmonėms arba MVĮ (laikomoms įmonėmis);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vartojimo paskolos;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iš prekybos gautinos sumos;</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kitas turtas;</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padengtosios obligacijos;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kiti įsipareigojimai.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Jeigu vertybiniais popieriais pakeistų pozicijų grupę sudaro įvairios pirmiau n</w:t>
            </w:r>
            <w:r>
              <w:rPr>
                <w:rFonts w:ascii="Times New Roman" w:hAnsi="Times New Roman"/>
                <w:sz w:val="24"/>
              </w:rPr>
              <w:t>u</w:t>
            </w:r>
            <w:r>
              <w:rPr>
                <w:rFonts w:ascii="Times New Roman" w:hAnsi="Times New Roman"/>
                <w:sz w:val="24"/>
              </w:rPr>
              <w:t>rodytos rūšys, įstaiga nurodo svarbiausią rūšį. Pakartotinio pakeitimo vertyb</w:t>
            </w:r>
            <w:r>
              <w:rPr>
                <w:rFonts w:ascii="Times New Roman" w:hAnsi="Times New Roman"/>
                <w:sz w:val="24"/>
              </w:rPr>
              <w:t>i</w:t>
            </w:r>
            <w:r>
              <w:rPr>
                <w:rFonts w:ascii="Times New Roman" w:hAnsi="Times New Roman"/>
                <w:sz w:val="24"/>
              </w:rPr>
              <w:t>niais popieriais atveju įstaigos remiasi galutine pagrindinio turto grupe. 10 rūšis (kiti įsipareigojimai) apima iždo obligacijas ir su kreditu susijusius vekselius.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schemose, grindžiamose uždaromis grupėmis, rūšis turi išlikti nepakitusi laikotarpiu tarp skirtingų ataskaitinių datų.</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TAIKOMAS METODAS (SA / IRB / MIŠRUS)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skiltyje pateikiama informacija apie metodą, kurį ataskaitinę dieną įstaiga taikytų vertybiniais popieriais pakeistoms pozicijoms.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Reikia nurodyti šias santrumpas: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 standartizuotas metodas;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 vidaus reitingais pagrįstas metodas;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 derinami abu metodai (SA / 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Jeigu taikant SA metodą 050 skiltyje pažymima „P“, nuosavų lėšų reikalavimų apskaičiavimas nurodomas CR SEC SA formoje.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Jeigu taikant IRB metodą 050 skiltyje pažymima „P“, nuosavų lėšų reikalavimų apskaičiavimas nurodomas CR SEC IRB formoje.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Jeigu derinant SA ir IRB metodus 050 skiltyje pažymima „P“, nuosavų lėšų reikalavimų apskaičiavimas nurodomas ir CR SEC SA, ir CR SEC IRB form</w:t>
            </w:r>
            <w:r>
              <w:rPr>
                <w:rFonts w:ascii="Times New Roman" w:hAnsi="Times New Roman"/>
                <w:sz w:val="24"/>
              </w:rPr>
              <w:t>o</w:t>
            </w:r>
            <w:r>
              <w:rPr>
                <w:rFonts w:ascii="Times New Roman" w:hAnsi="Times New Roman"/>
                <w:sz w:val="24"/>
              </w:rPr>
              <w:t>je.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informacija turi būti pateikta net ir tada, kai informaciją teikiantis subjektas neturi jokių pakeitimo vertybiniais popieriais pozicijų. Tačiau ši skiltis neta</w:t>
            </w:r>
            <w:r>
              <w:rPr>
                <w:rFonts w:ascii="Times New Roman" w:hAnsi="Times New Roman"/>
                <w:sz w:val="24"/>
              </w:rPr>
              <w:t>i</w:t>
            </w:r>
            <w:r>
              <w:rPr>
                <w:rFonts w:ascii="Times New Roman" w:hAnsi="Times New Roman"/>
                <w:sz w:val="24"/>
              </w:rPr>
              <w:t>koma įsipareigojimų pakeitimui vertybiniais popieriais. Įstaigos rėmėjos šios skilties nepildo.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POZICIJŲ SKAIČIUS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KRR 261 straipsnio 1 dalis.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Šią skiltį privalo pildyti tik tos įstaigos, kurios pakeitimo vertybiniais popieriais pozicijoms taiko IRB metodą (todėl 170 skiltyje pažymi „I“). Įstaiga nurodo faktinį pozicijų skaičių.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skiltis nepildoma įsipareigojimų pakeitimo vertybiniais popieriais atveju a</w:t>
            </w:r>
            <w:r>
              <w:rPr>
                <w:rFonts w:ascii="Times New Roman" w:hAnsi="Times New Roman"/>
                <w:sz w:val="24"/>
              </w:rPr>
              <w:t>r</w:t>
            </w:r>
            <w:r>
              <w:rPr>
                <w:rFonts w:ascii="Times New Roman" w:hAnsi="Times New Roman"/>
                <w:sz w:val="24"/>
              </w:rPr>
              <w:t>ba tada, kai nuosavų lėšų reikalavimai yra grindžiami vertybiniais popieriais pakeistomis pozicijomis (turto pakeitimo vertybiniais popieriais atveju). Ši ski</w:t>
            </w:r>
            <w:r>
              <w:rPr>
                <w:rFonts w:ascii="Times New Roman" w:hAnsi="Times New Roman"/>
                <w:sz w:val="24"/>
              </w:rPr>
              <w:t>l</w:t>
            </w:r>
            <w:r>
              <w:rPr>
                <w:rFonts w:ascii="Times New Roman" w:hAnsi="Times New Roman"/>
                <w:sz w:val="24"/>
              </w:rPr>
              <w:t>tis nepildoma, kai informaciją teikiantis subjektas neturi jokių pakeitimo vert</w:t>
            </w:r>
            <w:r>
              <w:rPr>
                <w:rFonts w:ascii="Times New Roman" w:hAnsi="Times New Roman"/>
                <w:sz w:val="24"/>
              </w:rPr>
              <w:t>y</w:t>
            </w:r>
            <w:r>
              <w:rPr>
                <w:rFonts w:ascii="Times New Roman" w:hAnsi="Times New Roman"/>
                <w:sz w:val="24"/>
              </w:rPr>
              <w:t>biniais popieriais pozicijų. Įstaigos investuotojos šios skilties nepildo.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ŠALIS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Reikia nurodyti sandorio galutinės pagrindinės priemonės kilmės šalies, t. y. pradinių vertybiniais popieriais pakeistų pozicijų tiesioginio įsipareigojančiojo asmens šalies (skaidrumo metodas), kodą (dviraidį ISO 3166-1 kodą). Jeigu pakeitimo vertybiniais popieriais pozicijų grupę sudaro įvairios šalys, įstaiga nurodo svarbiausią šalį. Jeigu nė viena šalis neviršija 20 % turto / įsipareigoj</w:t>
            </w:r>
            <w:r>
              <w:rPr>
                <w:rFonts w:ascii="Times New Roman" w:hAnsi="Times New Roman"/>
                <w:sz w:val="24"/>
              </w:rPr>
              <w:t>i</w:t>
            </w:r>
            <w:r>
              <w:rPr>
                <w:rFonts w:ascii="Times New Roman" w:hAnsi="Times New Roman"/>
                <w:sz w:val="24"/>
              </w:rPr>
              <w:t>mų sumos ribos, pažymima „Kitos šalys“.</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Pozicijos svertinį nuostolio dėl įsipareigojimo neįvykdymo vidurkį (ELGD) n</w:t>
            </w:r>
            <w:r>
              <w:rPr>
                <w:rFonts w:ascii="Times New Roman" w:hAnsi="Times New Roman"/>
                <w:sz w:val="24"/>
              </w:rPr>
              <w:t>u</w:t>
            </w:r>
            <w:r>
              <w:rPr>
                <w:rFonts w:ascii="Times New Roman" w:hAnsi="Times New Roman"/>
                <w:sz w:val="24"/>
              </w:rPr>
              <w:t xml:space="preserve">rodo tik priežiūrinės formulės metodą taikančios įstaigos (kurios dėl to 170 skiltyje pažymėjo „I“). ELGD turi būti apskaičiuojamas KRR 262 straipsnio 1 </w:t>
            </w:r>
            <w:r>
              <w:rPr>
                <w:rFonts w:ascii="Times New Roman" w:hAnsi="Times New Roman"/>
                <w:sz w:val="24"/>
              </w:rPr>
              <w:lastRenderedPageBreak/>
              <w:t xml:space="preserve">dalyje nurodyta tvarka.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skiltis nepildoma įsipareigojimų pakeitimo vertybiniais popieriais atveju a</w:t>
            </w:r>
            <w:r>
              <w:rPr>
                <w:rFonts w:ascii="Times New Roman" w:hAnsi="Times New Roman"/>
                <w:sz w:val="24"/>
              </w:rPr>
              <w:t>r</w:t>
            </w:r>
            <w:r>
              <w:rPr>
                <w:rFonts w:ascii="Times New Roman" w:hAnsi="Times New Roman"/>
                <w:sz w:val="24"/>
              </w:rPr>
              <w:t>ba tada, kai nuosavų lėšų reikalavimai yra grindžiami vertybiniais popieriais pakeistomis pozicijomis (turto pakeitimo vertybiniais popieriais atveju). Ši ski</w:t>
            </w:r>
            <w:r>
              <w:rPr>
                <w:rFonts w:ascii="Times New Roman" w:hAnsi="Times New Roman"/>
                <w:sz w:val="24"/>
              </w:rPr>
              <w:t>l</w:t>
            </w:r>
            <w:r>
              <w:rPr>
                <w:rFonts w:ascii="Times New Roman" w:hAnsi="Times New Roman"/>
                <w:sz w:val="24"/>
              </w:rPr>
              <w:t>tis taip pat nepildoma, kai informaciją teikiantis subjektas neturi jokių pakeit</w:t>
            </w:r>
            <w:r>
              <w:rPr>
                <w:rFonts w:ascii="Times New Roman" w:hAnsi="Times New Roman"/>
                <w:sz w:val="24"/>
              </w:rPr>
              <w:t>i</w:t>
            </w:r>
            <w:r>
              <w:rPr>
                <w:rFonts w:ascii="Times New Roman" w:hAnsi="Times New Roman"/>
                <w:sz w:val="24"/>
              </w:rPr>
              <w:t>mo vertybiniais popieriais pozicijų. Įstaigos rėmėjos šios skilties nepildo.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VERTĖS KOREGAVIMAI IR ATIDĖJINIAI</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Vertės koregavimai ir atidėjiniai (KRR 159 straipsnis) kredito nuostoliams p</w:t>
            </w:r>
            <w:r>
              <w:rPr>
                <w:rFonts w:ascii="Times New Roman" w:hAnsi="Times New Roman"/>
                <w:sz w:val="24"/>
              </w:rPr>
              <w:t>a</w:t>
            </w:r>
            <w:r>
              <w:rPr>
                <w:rFonts w:ascii="Times New Roman" w:hAnsi="Times New Roman"/>
                <w:sz w:val="24"/>
              </w:rPr>
              <w:t>dengti, atliekami pagal informaciją teikiančiam subjektui taikomą apskaitos si</w:t>
            </w:r>
            <w:r>
              <w:rPr>
                <w:rFonts w:ascii="Times New Roman" w:hAnsi="Times New Roman"/>
                <w:sz w:val="24"/>
              </w:rPr>
              <w:t>s</w:t>
            </w:r>
            <w:r>
              <w:rPr>
                <w:rFonts w:ascii="Times New Roman" w:hAnsi="Times New Roman"/>
                <w:sz w:val="24"/>
              </w:rPr>
              <w:t>temą. Į vertės koregavimus įtraukiamos visos sumos, pripažintos pelnu arba nuostoliais, susijusios su finansinio turto kredito nuostoliais, patirtais nuo jo pradinio pripažinimo balanse (įskaitant nuostolius dėl finansinio turto kredito rizikos, vertinamus tikrąja verte, kurių nereikia atskaityti iš pozicijos vertės), ir pozicijų, įsigytų esant įsipareigojimų neįvykdymui, diskontai pagal KRR 166 straipsnio 1 dalį. Atidėjiniai apima sukauptas kredito nuostolių sumas pagal n</w:t>
            </w:r>
            <w:r>
              <w:rPr>
                <w:rFonts w:ascii="Times New Roman" w:hAnsi="Times New Roman"/>
                <w:sz w:val="24"/>
              </w:rPr>
              <w:t>e</w:t>
            </w:r>
            <w:r>
              <w:rPr>
                <w:rFonts w:ascii="Times New Roman" w:hAnsi="Times New Roman"/>
                <w:sz w:val="24"/>
              </w:rPr>
              <w:t>balansinius straipsnius.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skiltyje pateikiama informacija apie vertybiniais popieriais pakeistoms pozicijoms taikomus vertės koregavimus ir atidėjinius. Ši skiltis įsipareigojimų pakeitimo vertybiniais popieriais atveju nepildoma.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Ši informacija turi būti pateikta net ir tada, kai informaciją teikiantis subjektas neturi jokių pakeitimo vertybiniais popieriais pozicijų.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Įstaigos rėmėjos šios skilties nepildo.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NUOSAVŲ LĖŠŲ REIKALAVIMAI PRIEŠ PAKEITIMĄ VERTYBIN</w:t>
            </w:r>
            <w:r>
              <w:rPr>
                <w:rFonts w:ascii="Times New Roman" w:hAnsi="Times New Roman"/>
                <w:b/>
                <w:sz w:val="24"/>
                <w:u w:val="single"/>
              </w:rPr>
              <w:t>I</w:t>
            </w:r>
            <w:r>
              <w:rPr>
                <w:rFonts w:ascii="Times New Roman" w:hAnsi="Times New Roman"/>
                <w:b/>
                <w:sz w:val="24"/>
                <w:u w:val="single"/>
              </w:rPr>
              <w:t>AIS POPIERIAIS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skiltyje pateikiama informacija apie vertybiniais popieriais pakeisto por</w:t>
            </w:r>
            <w:r>
              <w:rPr>
                <w:rFonts w:ascii="Times New Roman" w:hAnsi="Times New Roman"/>
                <w:sz w:val="24"/>
              </w:rPr>
              <w:t>t</w:t>
            </w:r>
            <w:r>
              <w:rPr>
                <w:rFonts w:ascii="Times New Roman" w:hAnsi="Times New Roman"/>
                <w:sz w:val="24"/>
              </w:rPr>
              <w:t>felio nuosavų lėšų reikalavimus, jei pakeitimas vertybiniais popieriais neįvyktų, pridedant su tokia rizika susijusius tikėtinus nuostolius (K</w:t>
            </w:r>
            <w:r>
              <w:rPr>
                <w:rFonts w:ascii="Times New Roman" w:hAnsi="Times New Roman"/>
                <w:sz w:val="24"/>
                <w:vertAlign w:val="subscript"/>
              </w:rPr>
              <w:t>irb</w:t>
            </w:r>
            <w:r>
              <w:rPr>
                <w:rFonts w:ascii="Times New Roman" w:hAnsi="Times New Roman"/>
                <w:sz w:val="24"/>
              </w:rPr>
              <w:t>), išreikštus visų vertybiniais popieriais pakeistų pozicijų procentine dalimi (šimtųjų dalių tik</w:t>
            </w:r>
            <w:r>
              <w:rPr>
                <w:rFonts w:ascii="Times New Roman" w:hAnsi="Times New Roman"/>
                <w:sz w:val="24"/>
              </w:rPr>
              <w:t>s</w:t>
            </w:r>
            <w:r>
              <w:rPr>
                <w:rFonts w:ascii="Times New Roman" w:hAnsi="Times New Roman"/>
                <w:sz w:val="24"/>
              </w:rPr>
              <w:t>lumu) inicijavimo dieną. K</w:t>
            </w:r>
            <w:r>
              <w:rPr>
                <w:rFonts w:ascii="Times New Roman" w:hAnsi="Times New Roman"/>
                <w:sz w:val="24"/>
                <w:vertAlign w:val="subscript"/>
              </w:rPr>
              <w:t>irb</w:t>
            </w:r>
            <w:r>
              <w:rPr>
                <w:rFonts w:ascii="Times New Roman" w:hAnsi="Times New Roman"/>
                <w:sz w:val="24"/>
              </w:rPr>
              <w:t xml:space="preserve"> apibrėžtas KRR 242 straipsnio 4 dalyje.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 skiltis įsipareigojimų pakeitimo vertybiniais popieriais atveju nepildoma. Turto pakeitimo vertybiniais popieriais atveju ši informacija turi būti pateikta net ir tada, kai informaciją teikiantis subjektas neturi jokių pakeitimo vertyb</w:t>
            </w:r>
            <w:r>
              <w:rPr>
                <w:rFonts w:ascii="Times New Roman" w:hAnsi="Times New Roman"/>
                <w:sz w:val="24"/>
              </w:rPr>
              <w:t>i</w:t>
            </w:r>
            <w:r>
              <w:rPr>
                <w:rFonts w:ascii="Times New Roman" w:hAnsi="Times New Roman"/>
                <w:sz w:val="24"/>
              </w:rPr>
              <w:t xml:space="preserve">niais popieriais pozicijų.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Įstaigos rėmėjos šios skilties nepildo.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PAKEITIMO VERTYBINIAIS POPIERIAIS STRUKTŪRA</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šešių skilčių grupėje pateikiama informacija apie pakeitimo vertybiniais popieriais struktūrą pagal balansines / nebalansines pozicijas, segmentus (d</w:t>
            </w:r>
            <w:r>
              <w:rPr>
                <w:rFonts w:ascii="Times New Roman" w:hAnsi="Times New Roman"/>
                <w:sz w:val="24"/>
              </w:rPr>
              <w:t>i</w:t>
            </w:r>
            <w:r>
              <w:rPr>
                <w:rFonts w:ascii="Times New Roman" w:hAnsi="Times New Roman"/>
                <w:sz w:val="24"/>
              </w:rPr>
              <w:t xml:space="preserve">desnio prioriteto / tarpinio pobūdžio / pirmojo nuostolio) ir terminą.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Kai vykdant pakeitimą vertybiniais popieriais dalyvauja daug pardavėjų, nur</w:t>
            </w:r>
            <w:r>
              <w:rPr>
                <w:rFonts w:ascii="Times New Roman" w:hAnsi="Times New Roman"/>
                <w:sz w:val="24"/>
              </w:rPr>
              <w:t>o</w:t>
            </w:r>
            <w:r>
              <w:rPr>
                <w:rFonts w:ascii="Times New Roman" w:hAnsi="Times New Roman"/>
                <w:sz w:val="24"/>
              </w:rPr>
              <w:t>doma tik informaciją teikiančiai įstaigai tenkanti arba priskirta pirmojo nuost</w:t>
            </w:r>
            <w:r>
              <w:rPr>
                <w:rFonts w:ascii="Times New Roman" w:hAnsi="Times New Roman"/>
                <w:sz w:val="24"/>
              </w:rPr>
              <w:t>o</w:t>
            </w:r>
            <w:r>
              <w:rPr>
                <w:rFonts w:ascii="Times New Roman" w:hAnsi="Times New Roman"/>
                <w:sz w:val="24"/>
              </w:rPr>
              <w:t>lio segmento suma.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lastRenderedPageBreak/>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BALANSINIAI STRAIPSNIAI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Šioje skilčių grupėje pateikiama informacija apie balansinius straipsnius, su</w:t>
            </w:r>
            <w:r>
              <w:rPr>
                <w:rFonts w:ascii="Times New Roman" w:hAnsi="Times New Roman"/>
                <w:sz w:val="24"/>
              </w:rPr>
              <w:t>s</w:t>
            </w:r>
            <w:r>
              <w:rPr>
                <w:rFonts w:ascii="Times New Roman" w:hAnsi="Times New Roman"/>
                <w:sz w:val="24"/>
              </w:rPr>
              <w:t>kirstyta pagal segmentus (didesnio prioriteto / tarpinio pobūdžio / pirmojo nu</w:t>
            </w:r>
            <w:r>
              <w:rPr>
                <w:rFonts w:ascii="Times New Roman" w:hAnsi="Times New Roman"/>
                <w:sz w:val="24"/>
              </w:rPr>
              <w:t>o</w:t>
            </w:r>
            <w:r>
              <w:rPr>
                <w:rFonts w:ascii="Times New Roman" w:hAnsi="Times New Roman"/>
                <w:sz w:val="24"/>
              </w:rPr>
              <w:t>stolio).</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DIDESNIO PRIORITETO</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Ataskaitinių datų po 2019 m. sausio 1 d. pakeitimo vertybiniais popieriais poz</w:t>
            </w:r>
            <w:r>
              <w:rPr>
                <w:rFonts w:ascii="Times New Roman" w:hAnsi="Times New Roman"/>
                <w:sz w:val="24"/>
              </w:rPr>
              <w:t>i</w:t>
            </w:r>
            <w:r>
              <w:rPr>
                <w:rFonts w:ascii="Times New Roman" w:hAnsi="Times New Roman"/>
                <w:sz w:val="24"/>
              </w:rPr>
              <w:t>cijos, kurių pozicijos vertė apskaičiuojama pagal KRR: pakeitimo vertybiniais popieriais pozicija, apibrėžta KRR 242 straipsnio 6 dalyje.</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Visos kitos pakeitimo vertybiniais popieriais pozicijos: Visi segmentai, kurių pagal 2018 m. gruodžio 31 d. galiojančią KRR redakciją negalima priskirti prie tarpinio pobūdžio arba pirmojo nuostolio, priskiriami prie šios kategorijos.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TARPINIO POBŪDŽIO</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Ataskaitinių datų po 2019 m. sausio 1 d. pakeitimo vertybiniais popieriais poz</w:t>
            </w:r>
            <w:r>
              <w:rPr>
                <w:rFonts w:ascii="Times New Roman" w:hAnsi="Times New Roman"/>
                <w:sz w:val="24"/>
              </w:rPr>
              <w:t>i</w:t>
            </w:r>
            <w:r>
              <w:rPr>
                <w:rFonts w:ascii="Times New Roman" w:hAnsi="Times New Roman"/>
                <w:sz w:val="24"/>
              </w:rPr>
              <w:t>cijos, kurių pozicijos vertė apskaičiuojama pagal KRR:</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visos pozicijos, kaip apibrėžta KRR 242 straipsnio 18 dalyje;</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visos pozicijos, kurioms netaikoma KRR 242 straipsnio 6 arba 17 dalis.</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Visos kitos pakeitimo vertybiniais popieriais pozicijos: Žr. 2018 m. gruodžio 31 d. galiojančios KRR redakcijos 243 straipsnio 3 dalį (tradicinis pakeitimas vertybiniais popieriais) ir 244 straipsnio 3 dalį (sintetinis pakeitimas vertyb</w:t>
            </w:r>
            <w:r>
              <w:rPr>
                <w:rFonts w:ascii="Times New Roman" w:hAnsi="Times New Roman"/>
                <w:sz w:val="24"/>
              </w:rPr>
              <w:t>i</w:t>
            </w:r>
            <w:r>
              <w:rPr>
                <w:rFonts w:ascii="Times New Roman" w:hAnsi="Times New Roman"/>
                <w:sz w:val="24"/>
              </w:rPr>
              <w:t>niais popieriais).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PIRMOJO NUOSTOLIO</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Ataskaitinių datų po 2019 m. sausio 1 d. pakeitimo vertybiniais popieriais poz</w:t>
            </w:r>
            <w:r>
              <w:rPr>
                <w:rFonts w:ascii="Times New Roman" w:hAnsi="Times New Roman"/>
                <w:sz w:val="24"/>
              </w:rPr>
              <w:t>i</w:t>
            </w:r>
            <w:r>
              <w:rPr>
                <w:rFonts w:ascii="Times New Roman" w:hAnsi="Times New Roman"/>
                <w:sz w:val="24"/>
              </w:rPr>
              <w:t>cijos, kurių pozicijos vertė apskaičiuojama pagal KRR: pakeitimo vertybiniais popieriais pozicija, apibrėžta KRR 242 straipsnio 17 dalyje.</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Visos kitos pakeitimo vertybiniais popieriais pozicijos: pirmojo nuostolio se</w:t>
            </w:r>
            <w:r>
              <w:rPr>
                <w:rFonts w:ascii="Times New Roman" w:hAnsi="Times New Roman"/>
                <w:sz w:val="24"/>
              </w:rPr>
              <w:t>g</w:t>
            </w:r>
            <w:r>
              <w:rPr>
                <w:rFonts w:ascii="Times New Roman" w:hAnsi="Times New Roman"/>
                <w:sz w:val="24"/>
              </w:rPr>
              <w:t>mentas apibrėžtas 2018 m. gruodžio 31 d. galiojančios KRR redakcijos 242 straipsnio 15 dalyje.</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NEBALANSINIAI STRAIPSNIAI IR IŠVESTINĖS FINANSINĖS PRIEMONĖS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Šioje skilčių grupėje pateikiama informacija apie nebalansinius straipsnius ir išvestines finansines priemones, suskirstyta pagal segmentus (didesnio priorit</w:t>
            </w:r>
            <w:r>
              <w:rPr>
                <w:rFonts w:ascii="Times New Roman" w:hAnsi="Times New Roman"/>
                <w:sz w:val="24"/>
              </w:rPr>
              <w:t>e</w:t>
            </w:r>
            <w:r>
              <w:rPr>
                <w:rFonts w:ascii="Times New Roman" w:hAnsi="Times New Roman"/>
                <w:sz w:val="24"/>
              </w:rPr>
              <w:t>to / tarpinio pobūdžio / pirmojo nuostolio).</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Šiuo atveju taikomi tie patys segmentų klasifikavimo kriterijai, kaip balans</w:t>
            </w:r>
            <w:r>
              <w:rPr>
                <w:rFonts w:ascii="Times New Roman" w:hAnsi="Times New Roman"/>
                <w:sz w:val="24"/>
              </w:rPr>
              <w:t>i</w:t>
            </w:r>
            <w:r>
              <w:rPr>
                <w:rFonts w:ascii="Times New Roman" w:hAnsi="Times New Roman"/>
                <w:sz w:val="24"/>
              </w:rPr>
              <w:t>niams straipsniams.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PIRMA NUMATOMA TERMINO PABAIGOS DATA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Tikėtina viso pakeitimo vertybiniais popieriais termino pabaigos data pagal s</w:t>
            </w:r>
            <w:r>
              <w:rPr>
                <w:rFonts w:ascii="Times New Roman" w:hAnsi="Times New Roman"/>
                <w:sz w:val="24"/>
              </w:rPr>
              <w:t>u</w:t>
            </w:r>
            <w:r>
              <w:rPr>
                <w:rFonts w:ascii="Times New Roman" w:hAnsi="Times New Roman"/>
                <w:sz w:val="24"/>
              </w:rPr>
              <w:t xml:space="preserve">tarties nuostatas ir esamas tikėtinas finansines sąlygas. Dažniausiai tai būtų anksčiausia iš šių datų: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data, kada pirmą kartą gali būti panaudotas pasirinkimo panaikinti sa</w:t>
            </w:r>
            <w:r>
              <w:rPr>
                <w:rFonts w:ascii="Times New Roman" w:hAnsi="Times New Roman"/>
                <w:sz w:val="24"/>
              </w:rPr>
              <w:t>n</w:t>
            </w:r>
            <w:r>
              <w:rPr>
                <w:rFonts w:ascii="Times New Roman" w:hAnsi="Times New Roman"/>
                <w:sz w:val="24"/>
              </w:rPr>
              <w:t>doris (apibrėžtas KRR 242 straipsnio 2 dalyje), atsižvelgiant į pagrindinės (-ių) pozicijos (-ų) terminą ir tikėtiną jos (jų) išankstinio apmokėjimo dalį arba p</w:t>
            </w:r>
            <w:r>
              <w:rPr>
                <w:rFonts w:ascii="Times New Roman" w:hAnsi="Times New Roman"/>
                <w:sz w:val="24"/>
              </w:rPr>
              <w:t>a</w:t>
            </w:r>
            <w:r>
              <w:rPr>
                <w:rFonts w:ascii="Times New Roman" w:hAnsi="Times New Roman"/>
                <w:sz w:val="24"/>
              </w:rPr>
              <w:t xml:space="preserve">kartotinių derybų tikimybę;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data, kurią įstaiga iniciatorė gali pirmą kartą panaudoti bet kokį kitą p</w:t>
            </w:r>
            <w:r>
              <w:rPr>
                <w:rFonts w:ascii="Times New Roman" w:hAnsi="Times New Roman"/>
                <w:sz w:val="24"/>
              </w:rPr>
              <w:t>a</w:t>
            </w:r>
            <w:r>
              <w:rPr>
                <w:rFonts w:ascii="Times New Roman" w:hAnsi="Times New Roman"/>
                <w:sz w:val="24"/>
              </w:rPr>
              <w:t>sirinkimo pirkti sandorį, numatytą pakeitimo vertybiniais popieriais sutarties nuostatose, dėl kurio visas pakeitimas vertybiniais popieriais būtų išpirktas.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Nurodoma pirmos numatomos termino pabaigos diena, mėnuo ir metai.</w:t>
            </w:r>
            <w:r>
              <w:rPr>
                <w:rFonts w:ascii="Times New Roman" w:hAnsi="Times New Roman"/>
              </w:rPr>
              <w:t xml:space="preserve"> </w:t>
            </w:r>
            <w:r>
              <w:rPr>
                <w:rFonts w:ascii="Times New Roman" w:hAnsi="Times New Roman"/>
                <w:sz w:val="24"/>
              </w:rPr>
              <w:t>Jeigu žinoma, nurodoma tiksli diena, kitu atveju nurodoma pirma mėnesio diena.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GALUTINIS TERMINAS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Data, iki kurios teisiškai privalo būti grąžinta visa pakeitimo vertybiniais popi</w:t>
            </w:r>
            <w:r>
              <w:rPr>
                <w:rFonts w:ascii="Times New Roman" w:hAnsi="Times New Roman"/>
                <w:sz w:val="24"/>
              </w:rPr>
              <w:t>e</w:t>
            </w:r>
            <w:r>
              <w:rPr>
                <w:rFonts w:ascii="Times New Roman" w:hAnsi="Times New Roman"/>
                <w:sz w:val="24"/>
              </w:rPr>
              <w:t>riais pagrindinė suma ir palūkanos (pagal sandorio dokumentus).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Nurodoma galutinio termino pabaigos diena, mėnuo ir metai.</w:t>
            </w:r>
            <w:r>
              <w:rPr>
                <w:rFonts w:ascii="Times New Roman" w:hAnsi="Times New Roman"/>
              </w:rPr>
              <w:t xml:space="preserve"> </w:t>
            </w:r>
            <w:r>
              <w:rPr>
                <w:rFonts w:ascii="Times New Roman" w:hAnsi="Times New Roman"/>
                <w:sz w:val="24"/>
              </w:rPr>
              <w:t>Jeigu žinoma, n</w:t>
            </w:r>
            <w:r>
              <w:rPr>
                <w:rFonts w:ascii="Times New Roman" w:hAnsi="Times New Roman"/>
                <w:sz w:val="24"/>
              </w:rPr>
              <w:t>u</w:t>
            </w:r>
            <w:r>
              <w:rPr>
                <w:rFonts w:ascii="Times New Roman" w:hAnsi="Times New Roman"/>
                <w:sz w:val="24"/>
              </w:rPr>
              <w:t>rodoma tiksli diena, kitu atveju nurodoma pirma mėnesio diena.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PAKEITIMO VERTYBINIAIS POPIERIAIS POZICIJOS. PRADINĖ POZICIJA IKI PERSKAIČIAVIMO KOEFICIENTŲ TAIKYMO</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Šioje skilčių grupėje pateikiama informacija apie pakeitimo vertybiniais popi</w:t>
            </w:r>
            <w:r>
              <w:rPr>
                <w:rFonts w:ascii="Times New Roman" w:hAnsi="Times New Roman"/>
                <w:sz w:val="24"/>
              </w:rPr>
              <w:t>e</w:t>
            </w:r>
            <w:r>
              <w:rPr>
                <w:rFonts w:ascii="Times New Roman" w:hAnsi="Times New Roman"/>
                <w:sz w:val="24"/>
              </w:rPr>
              <w:t xml:space="preserve">riais pozicijas pagal balansines / nebalansines pozicijas ir segmentus (didesnio prioriteto / tarpinio pobūdžio / pirmojo nuostolio) ataskaitinę dieną.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BALANSINIAI STRAIPSNIAI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Šiuo atveju taikomi tie patys segmentų klasifikavimo kriterijai kaip 230–250 skiltyse.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NEBALANSINIAI STRAIPSNIAI IR IŠVESTINĖS FINANSINĖS PRIEMONĖS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Šiuo atveju taikomi tie patys segmentų klasifikavimo kriterijai kaip 260–280 skiltyse.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PAPILDOMI STRAIPSNIAI. NEBALANSINIAI STRAIPSNIAI IR I</w:t>
            </w:r>
            <w:r>
              <w:rPr>
                <w:rFonts w:ascii="Times New Roman" w:hAnsi="Times New Roman"/>
                <w:b/>
                <w:sz w:val="24"/>
                <w:u w:val="single"/>
              </w:rPr>
              <w:t>Š</w:t>
            </w:r>
            <w:r>
              <w:rPr>
                <w:rFonts w:ascii="Times New Roman" w:hAnsi="Times New Roman"/>
                <w:b/>
                <w:sz w:val="24"/>
                <w:u w:val="single"/>
              </w:rPr>
              <w:t>VESTINĖS FINANSINĖS PRIEMONĖS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Šioje skilčių grupėje pateikiama papildoma informacija apie bendrą nebalans</w:t>
            </w:r>
            <w:r>
              <w:rPr>
                <w:rFonts w:ascii="Times New Roman" w:hAnsi="Times New Roman"/>
                <w:sz w:val="24"/>
              </w:rPr>
              <w:t>i</w:t>
            </w:r>
            <w:r>
              <w:rPr>
                <w:rFonts w:ascii="Times New Roman" w:hAnsi="Times New Roman"/>
                <w:sz w:val="24"/>
              </w:rPr>
              <w:t xml:space="preserve">nių straipsnių ir išvestinių priemonių sumą (kuri pagal kitokį suskirstymą jau </w:t>
            </w:r>
            <w:r>
              <w:rPr>
                <w:rFonts w:ascii="Times New Roman" w:hAnsi="Times New Roman"/>
                <w:sz w:val="24"/>
              </w:rPr>
              <w:lastRenderedPageBreak/>
              <w:t>buvo nurodyta 340–360 skiltyse).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TIESIOGINIAI KREDITO PAKAITALAI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Ši skiltis pildoma toms pakeitimo vertybiniais popieriais pozicijoms, kurias turi įstaiga iniciatorė ir kurios yra garantuotos tiesioginiais kredito pakaitalais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Pagal KRR I priedą tiesioginiais kredito pakaitalais laikomi šie visiškos rizikos nebalansiniai straipsniai: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garantijos, turinčios kredito pakaitalų savybių;</w:t>
            </w:r>
          </w:p>
          <w:p w:rsidR="00612780" w:rsidRPr="00392FFD" w:rsidRDefault="00612780" w:rsidP="00612780">
            <w:pPr>
              <w:spacing w:before="0" w:after="0"/>
              <w:rPr>
                <w:rFonts w:ascii="Times New Roman" w:hAnsi="Times New Roman"/>
                <w:i/>
                <w:sz w:val="24"/>
              </w:rPr>
            </w:pPr>
            <w:r>
              <w:rPr>
                <w:rFonts w:ascii="Times New Roman" w:hAnsi="Times New Roman"/>
                <w:i/>
                <w:sz w:val="24"/>
              </w:rPr>
              <w:t>— neatšaukiamieji rezerviniai akredityvai, turintys kredito pakaitalų savybių.</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 / 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IRS – tai palūkanų normų apsikeitimo sandoriai, CRS – valiutos kurso apsike</w:t>
            </w:r>
            <w:r>
              <w:rPr>
                <w:rFonts w:ascii="Times New Roman" w:hAnsi="Times New Roman"/>
                <w:sz w:val="24"/>
              </w:rPr>
              <w:t>i</w:t>
            </w:r>
            <w:r>
              <w:rPr>
                <w:rFonts w:ascii="Times New Roman" w:hAnsi="Times New Roman"/>
                <w:sz w:val="24"/>
              </w:rPr>
              <w:t>timo sandoriai. Šios išvestinės finansinės priemonės išvardytos KRR II priede.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REIKALAVIMUS ATITINKANČIOS LIKVIDUMO PRIEMONĖS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KRR 242 straipsnio 3 dalyje apibrėžtos likvidumo priemonės turi atitikti šešias KRR 255 straipsnio 1 dalyje nustatytas sąlygas, kad būtų laikomos atitinka</w:t>
            </w:r>
            <w:r>
              <w:rPr>
                <w:rFonts w:ascii="Times New Roman" w:hAnsi="Times New Roman"/>
                <w:sz w:val="24"/>
              </w:rPr>
              <w:t>n</w:t>
            </w:r>
            <w:r>
              <w:rPr>
                <w:rFonts w:ascii="Times New Roman" w:hAnsi="Times New Roman"/>
                <w:sz w:val="24"/>
              </w:rPr>
              <w:t>čiomis reikalavimus (nepaisant įstaigos taikomo metodo – SA ar IRB).</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KITA (ĮSKAITANT REIKALAVIMŲ NEATITINKANČIAS LIKVID</w:t>
            </w:r>
            <w:r>
              <w:rPr>
                <w:rFonts w:ascii="Times New Roman" w:hAnsi="Times New Roman"/>
                <w:b/>
                <w:sz w:val="24"/>
                <w:u w:val="single"/>
              </w:rPr>
              <w:t>U</w:t>
            </w:r>
            <w:r>
              <w:rPr>
                <w:rFonts w:ascii="Times New Roman" w:hAnsi="Times New Roman"/>
                <w:b/>
                <w:sz w:val="24"/>
                <w:u w:val="single"/>
              </w:rPr>
              <w:t>MO PRIEMONES)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Ši skiltis skirta likusiems nebalansiniams straipsniams, pavyzdžiui, reikalavimų neatitinkančioms likvidumo priemonėms (t. y. toms, kurios neatitinka KRR 255 straipsnio 1 dalyje išvardytų sąlygų).</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IŠANKSTINĖ AMORTIZACIJA. TAIKOMAS PERSKAIČIAVIMO KOEFICIENTAS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KRR 242 straipsnio 12 dalyje, 256 straipsnio 5 dalyje (SA metodas) ir 265 straipsnio 1 dalyje (IRB metodas) numatyti perskaičiavimo koeficientai, taik</w:t>
            </w:r>
            <w:r>
              <w:rPr>
                <w:rFonts w:ascii="Times New Roman" w:hAnsi="Times New Roman"/>
                <w:sz w:val="24"/>
              </w:rPr>
              <w:t>o</w:t>
            </w:r>
            <w:r>
              <w:rPr>
                <w:rFonts w:ascii="Times New Roman" w:hAnsi="Times New Roman"/>
                <w:sz w:val="24"/>
              </w:rPr>
              <w:t>mi investuotojo dalies sumai (pagal riziką įvertintų pozicijų sumoms apska</w:t>
            </w:r>
            <w:r>
              <w:rPr>
                <w:rFonts w:ascii="Times New Roman" w:hAnsi="Times New Roman"/>
                <w:sz w:val="24"/>
              </w:rPr>
              <w:t>i</w:t>
            </w:r>
            <w:r>
              <w:rPr>
                <w:rFonts w:ascii="Times New Roman" w:hAnsi="Times New Roman"/>
                <w:sz w:val="24"/>
              </w:rPr>
              <w:t>čiuoti).</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Ši skiltis skirta pakeitimo vertybiniais popieriais schemoms su išankstinės amortizacijos nuostatomis (t. y. atnaujinamiesiems pakeitimams vertybiniais popieriais).</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Pagal KRR 256 straipsnio 6 dalį taikomas perskaičiavimo koeficientas nust</w:t>
            </w:r>
            <w:r>
              <w:rPr>
                <w:rFonts w:ascii="Times New Roman" w:hAnsi="Times New Roman"/>
                <w:sz w:val="24"/>
              </w:rPr>
              <w:t>a</w:t>
            </w:r>
            <w:r>
              <w:rPr>
                <w:rFonts w:ascii="Times New Roman" w:hAnsi="Times New Roman"/>
                <w:sz w:val="24"/>
              </w:rPr>
              <w:t>tomas pagal faktinį vidutinį trijų mėnesių kainų skirtumo perviršį.</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Įsipareigojimų pakeitimo vertybiniais popieriais atveju ši skiltis nepildoma. Ši informacija yra susijusi su CR SEC SA formos 100 eilute ir CR SEC IRB fo</w:t>
            </w:r>
            <w:r>
              <w:rPr>
                <w:rFonts w:ascii="Times New Roman" w:hAnsi="Times New Roman"/>
                <w:sz w:val="24"/>
              </w:rPr>
              <w:t>r</w:t>
            </w:r>
            <w:r>
              <w:rPr>
                <w:rFonts w:ascii="Times New Roman" w:hAnsi="Times New Roman"/>
                <w:sz w:val="24"/>
              </w:rPr>
              <w:t>mos 160 eilute.</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IŠ NUOSAVŲ LĖŠŲ ATSKAITOMA POZICIJOS VERTĖ</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Ši informacija yra glaudžiai susijusi su CR SEC SA formos 200 skiltimi ir CR SEC IRB 180 skiltimi. Šioje skiltyje nurodoma neigiama reikšmė.</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Šioje skiltyje nurodoma neigiama reikšmė.</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 PRIEŠ A</w:t>
            </w:r>
            <w:r>
              <w:rPr>
                <w:rFonts w:ascii="Times New Roman" w:hAnsi="Times New Roman"/>
                <w:b/>
                <w:sz w:val="24"/>
                <w:u w:val="single"/>
              </w:rPr>
              <w:t>P</w:t>
            </w:r>
            <w:r>
              <w:rPr>
                <w:rFonts w:ascii="Times New Roman" w:hAnsi="Times New Roman"/>
                <w:b/>
                <w:sz w:val="24"/>
                <w:u w:val="single"/>
              </w:rPr>
              <w:t>RIBOJIMĄ</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Šioje skiltyje pateikiama informacija apie pagal riziką įvertintų pozicijų sumą prieš pritaikant apribojimą, taikomą pakeitimo vertybiniais popieriais pozic</w:t>
            </w:r>
            <w:r>
              <w:rPr>
                <w:rFonts w:ascii="Times New Roman" w:hAnsi="Times New Roman"/>
                <w:sz w:val="24"/>
              </w:rPr>
              <w:t>i</w:t>
            </w:r>
            <w:r>
              <w:rPr>
                <w:rFonts w:ascii="Times New Roman" w:hAnsi="Times New Roman"/>
                <w:sz w:val="24"/>
              </w:rPr>
              <w:t>joms (t. y. pakeitimo vertybiniais popieriais schemų su reikšmingu rizikos pe</w:t>
            </w:r>
            <w:r>
              <w:rPr>
                <w:rFonts w:ascii="Times New Roman" w:hAnsi="Times New Roman"/>
                <w:sz w:val="24"/>
              </w:rPr>
              <w:t>r</w:t>
            </w:r>
            <w:r>
              <w:rPr>
                <w:rFonts w:ascii="Times New Roman" w:hAnsi="Times New Roman"/>
                <w:sz w:val="24"/>
              </w:rPr>
              <w:t>leidimu atveju). Kai pakeitimas vertybiniais popieriais vyksta be reikšmingo r</w:t>
            </w:r>
            <w:r>
              <w:rPr>
                <w:rFonts w:ascii="Times New Roman" w:hAnsi="Times New Roman"/>
                <w:sz w:val="24"/>
              </w:rPr>
              <w:t>i</w:t>
            </w:r>
            <w:r>
              <w:rPr>
                <w:rFonts w:ascii="Times New Roman" w:hAnsi="Times New Roman"/>
                <w:sz w:val="24"/>
              </w:rPr>
              <w:t>zikos perleidimo (t. y. pagal riziką įvertintų pozicijų suma yra apskaičiuojama pagal vertybiniais popieriais pakeistas pozicijas), šioje skiltyje jokie duomenys neteikiami.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Įsipareigojimų pakeitimo vertybiniais popieriais atveju ši skiltis nepildoma.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 PO APR</w:t>
            </w:r>
            <w:r>
              <w:rPr>
                <w:rFonts w:ascii="Times New Roman" w:hAnsi="Times New Roman"/>
                <w:b/>
                <w:sz w:val="24"/>
                <w:u w:val="single"/>
              </w:rPr>
              <w:t>I</w:t>
            </w:r>
            <w:r>
              <w:rPr>
                <w:rFonts w:ascii="Times New Roman" w:hAnsi="Times New Roman"/>
                <w:b/>
                <w:sz w:val="24"/>
                <w:u w:val="single"/>
              </w:rPr>
              <w:t>BOJIMO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Šioje skiltyje pateikiama informacija apie pagal riziką įvertintų pozicijų sumą pritaikius apribojimą, taikomą pakeitimo vertybiniais popieriais pozicijoms (t. y. pakeitimo vertybiniais popieriais schemų su reikšmingu rizikos perleidimu atveju). Kai pakeitimas vertybiniais popieriais vyksta be reikšmingo rizikos perleidimo (t. y. nuosavų lėšų reikalavimai apskaičiuojami pagal vertybiniais popieriais pakeistą poziciją), ši skiltis nepildoma.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Įsipareigojimų pakeitimo vertybiniais popieriais atveju ši skiltis nepildoma.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METODAS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Šioje skiltyje nurodomas bendros rizikos pozicijos sumos, nurodytos 440 ski</w:t>
            </w:r>
            <w:r>
              <w:rPr>
                <w:rFonts w:ascii="Times New Roman" w:hAnsi="Times New Roman"/>
                <w:sz w:val="24"/>
              </w:rPr>
              <w:t>l</w:t>
            </w:r>
            <w:r>
              <w:rPr>
                <w:rFonts w:ascii="Times New Roman" w:hAnsi="Times New Roman"/>
                <w:sz w:val="24"/>
              </w:rPr>
              <w:t>tyje, apskaičiavimo metodas.</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Nurodomas vienas iš šių metodų:</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Pakeitimo vertybiniais popieriais pozicijos, kurių pagal riziką įvertintų pozicijų sumos apskaičiuojamos pagal 2018 m. gruodžio 31 d. galiojančią KRR reda</w:t>
            </w:r>
            <w:r>
              <w:rPr>
                <w:rFonts w:ascii="Times New Roman" w:hAnsi="Times New Roman"/>
                <w:i/>
                <w:sz w:val="24"/>
              </w:rPr>
              <w:t>k</w:t>
            </w:r>
            <w:r>
              <w:rPr>
                <w:rFonts w:ascii="Times New Roman" w:hAnsi="Times New Roman"/>
                <w:i/>
                <w:sz w:val="24"/>
              </w:rPr>
              <w:t>ciją:</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Kitas (pirminė pakeitimo vertybiniais popieriais sistema)</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Ataskaitinių datų po 2019 m. sausio 1 d. pakeitimo vertybiniais popieriais poz</w:t>
            </w:r>
            <w:r>
              <w:rPr>
                <w:rFonts w:ascii="Times New Roman" w:hAnsi="Times New Roman"/>
                <w:i/>
                <w:sz w:val="24"/>
              </w:rPr>
              <w:t>i</w:t>
            </w:r>
            <w:r>
              <w:rPr>
                <w:rFonts w:ascii="Times New Roman" w:hAnsi="Times New Roman"/>
                <w:i/>
                <w:sz w:val="24"/>
              </w:rPr>
              <w:t>cijos, kurių pagal riziką įvertintų pozicijų sumos apskaičiuojamos pagal KRR:</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1250 % pozicijoms, kurioms netaikomas joks metodas (KRR 254 straipsnio 7 dalis)</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keli metodai</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Atsižvelgiant į rizikos koeficientų nustatymą pagal KRR 337 straipsnį, prek</w:t>
            </w:r>
            <w:r>
              <w:rPr>
                <w:rFonts w:ascii="Times New Roman" w:hAnsi="Times New Roman"/>
                <w:sz w:val="24"/>
              </w:rPr>
              <w:t>y</w:t>
            </w:r>
            <w:r>
              <w:rPr>
                <w:rFonts w:ascii="Times New Roman" w:hAnsi="Times New Roman"/>
                <w:sz w:val="24"/>
              </w:rPr>
              <w:t>bos knygoje įrašytoms priemonėms, kurios yra pakeitimo vertybiniais popi</w:t>
            </w:r>
            <w:r>
              <w:rPr>
                <w:rFonts w:ascii="Times New Roman" w:hAnsi="Times New Roman"/>
                <w:sz w:val="24"/>
              </w:rPr>
              <w:t>e</w:t>
            </w:r>
            <w:r>
              <w:rPr>
                <w:rFonts w:ascii="Times New Roman" w:hAnsi="Times New Roman"/>
                <w:sz w:val="24"/>
              </w:rPr>
              <w:t>riais pozicijos, apskaičiavimui taikomas metodas yra tas metodas, kurį įstaiga taikytų pozicijai ne prekybos knygoje.</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Atsakymas „keli metodai“ pasirenkamas tuo atveju, jei įstaiga dalyvauja vy</w:t>
            </w:r>
            <w:r>
              <w:rPr>
                <w:rFonts w:ascii="Times New Roman" w:hAnsi="Times New Roman"/>
                <w:sz w:val="24"/>
              </w:rPr>
              <w:t>k</w:t>
            </w:r>
            <w:r>
              <w:rPr>
                <w:rFonts w:ascii="Times New Roman" w:hAnsi="Times New Roman"/>
                <w:sz w:val="24"/>
              </w:rPr>
              <w:t>dant pakeitimo vertybiniais popieriais sandorį arba prisiima su juo susijusią p</w:t>
            </w:r>
            <w:r>
              <w:rPr>
                <w:rFonts w:ascii="Times New Roman" w:hAnsi="Times New Roman"/>
                <w:sz w:val="24"/>
              </w:rPr>
              <w:t>o</w:t>
            </w:r>
            <w:r>
              <w:rPr>
                <w:rFonts w:ascii="Times New Roman" w:hAnsi="Times New Roman"/>
                <w:sz w:val="24"/>
              </w:rPr>
              <w:t>ziciją keliais būdais ir, apskaičiuodama nuosavų lėšų reikalavimus, taiko ski</w:t>
            </w:r>
            <w:r>
              <w:rPr>
                <w:rFonts w:ascii="Times New Roman" w:hAnsi="Times New Roman"/>
                <w:sz w:val="24"/>
              </w:rPr>
              <w:t>r</w:t>
            </w:r>
            <w:r>
              <w:rPr>
                <w:rFonts w:ascii="Times New Roman" w:hAnsi="Times New Roman"/>
                <w:sz w:val="24"/>
              </w:rPr>
              <w:t>tingus metodus pagal skirtingus savo vaidmenis arba pozicijas.</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PAKEITIMO VERTYBINIAIS POPIERIAIS POZICIJOS, ATITI</w:t>
            </w:r>
            <w:r>
              <w:rPr>
                <w:rFonts w:ascii="Times New Roman" w:hAnsi="Times New Roman"/>
                <w:b/>
                <w:sz w:val="24"/>
                <w:u w:val="single"/>
              </w:rPr>
              <w:t>N</w:t>
            </w:r>
            <w:r>
              <w:rPr>
                <w:rFonts w:ascii="Times New Roman" w:hAnsi="Times New Roman"/>
                <w:b/>
                <w:sz w:val="24"/>
                <w:u w:val="single"/>
              </w:rPr>
              <w:t>KANČIOS DIFERENCIJUOTOS KAPITALO TVARKOS REIKAL</w:t>
            </w:r>
            <w:r>
              <w:rPr>
                <w:rFonts w:ascii="Times New Roman" w:hAnsi="Times New Roman"/>
                <w:b/>
                <w:sz w:val="24"/>
                <w:u w:val="single"/>
              </w:rPr>
              <w:t>A</w:t>
            </w:r>
            <w:r>
              <w:rPr>
                <w:rFonts w:ascii="Times New Roman" w:hAnsi="Times New Roman"/>
                <w:b/>
                <w:sz w:val="24"/>
                <w:u w:val="single"/>
              </w:rPr>
              <w:t>VIMUS</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Kai ataskaitinės datos yra po 2019 m. sausio 1 d., taikomi KRR 243 ir 270 straipsniai.</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Nurodyti vienu iš šių sutrumpinimų:</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taip</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Atsakymas „taip“ pateikiamas tiek PSS pakeitimo vertybiniais popieriais poz</w:t>
            </w:r>
            <w:r>
              <w:rPr>
                <w:rFonts w:ascii="Times New Roman" w:hAnsi="Times New Roman"/>
                <w:sz w:val="24"/>
              </w:rPr>
              <w:t>i</w:t>
            </w:r>
            <w:r>
              <w:rPr>
                <w:rFonts w:ascii="Times New Roman" w:hAnsi="Times New Roman"/>
                <w:sz w:val="24"/>
              </w:rPr>
              <w:t>cijų, atitinkančių diferencijuotos kapitalo tvarkos reikalavimus pagal KRR 243 straipsnį, tiek didesnio prioriteto (ne PSS) MVĮ pakeitimo vertybiniais popi</w:t>
            </w:r>
            <w:r>
              <w:rPr>
                <w:rFonts w:ascii="Times New Roman" w:hAnsi="Times New Roman"/>
                <w:sz w:val="24"/>
              </w:rPr>
              <w:t>e</w:t>
            </w:r>
            <w:r>
              <w:rPr>
                <w:rFonts w:ascii="Times New Roman" w:hAnsi="Times New Roman"/>
                <w:sz w:val="24"/>
              </w:rPr>
              <w:t>riais pozicijų, atitinkančių šios tvarkos reikalavimus pagal KRR 270 straipsnį, atvejais.</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PAKEITIMO VERTYBINIAIS POPIERIAIS POZICIJOS. PREKYBOS KNYGA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CTP ARBA NE CTP?</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Reikia nurodyti šias santrumpas:</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koreliacinės prekybos portfelis (CTP);</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ne CTP.</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GRYNOSIOS POZICIJOS. ILGOSIOS / TRUMPOSIOS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Žr. atitinkamai MKR SA SEC arba MKR SA CTP formos 050 / 060 skiltis.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BENDRA NUOSAVŲ LĖŠŲ REIKALAVIMŲ SUMA (SA). SPECIFINĖ RIZIKA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Žr. atitinkamai MKR SA SEC 610 skiltį arba MKR SA CTP 450 skiltį.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260157223"/>
      <w:bookmarkStart w:id="501" w:name="_Toc262566417"/>
      <w:bookmarkStart w:id="502" w:name="_Toc264038462"/>
      <w:bookmarkStart w:id="503" w:name="_Toc295829988"/>
      <w:bookmarkStart w:id="504" w:name="_Toc310415050"/>
      <w:bookmarkStart w:id="505" w:name="_Toc524010078"/>
      <w:r>
        <w:rPr>
          <w:rFonts w:ascii="Times New Roman" w:hAnsi="Times New Roman"/>
          <w:sz w:val="24"/>
        </w:rPr>
        <w:lastRenderedPageBreak/>
        <w:t>4.</w:t>
      </w:r>
      <w:r>
        <w:tab/>
      </w:r>
      <w:r>
        <w:rPr>
          <w:rFonts w:ascii="Times New Roman" w:hAnsi="Times New Roman"/>
          <w:sz w:val="24"/>
        </w:rPr>
        <w:t>Operacinės rizikos formos</w:t>
      </w:r>
      <w:bookmarkEnd w:id="493"/>
      <w:bookmarkEnd w:id="494"/>
      <w:bookmarkEnd w:id="495"/>
      <w:bookmarkEnd w:id="496"/>
      <w:bookmarkEnd w:id="497"/>
      <w:bookmarkEnd w:id="498"/>
      <w:bookmarkEnd w:id="499"/>
      <w:bookmarkEnd w:id="505"/>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4010079"/>
      <w:r>
        <w:rPr>
          <w:rFonts w:ascii="Times New Roman" w:hAnsi="Times New Roman"/>
          <w:sz w:val="24"/>
        </w:rPr>
        <w:t>4.1</w:t>
      </w:r>
      <w:r>
        <w:tab/>
      </w:r>
      <w:r>
        <w:tab/>
      </w:r>
      <w:r>
        <w:rPr>
          <w:rFonts w:ascii="Times New Roman" w:hAnsi="Times New Roman"/>
          <w:sz w:val="24"/>
        </w:rPr>
        <w:t>C 16.00. Operacinė rizika</w:t>
      </w:r>
      <w:bookmarkEnd w:id="500"/>
      <w:bookmarkEnd w:id="501"/>
      <w:bookmarkEnd w:id="502"/>
      <w:bookmarkEnd w:id="503"/>
      <w:bookmarkEnd w:id="504"/>
      <w:bookmarkEnd w:id="506"/>
      <w:r>
        <w:rPr>
          <w:rFonts w:ascii="Times New Roman" w:hAnsi="Times New Roman"/>
          <w:sz w:val="24"/>
        </w:rPr>
        <w:t xml:space="preserve"> (OPR)</w:t>
      </w:r>
      <w:bookmarkEnd w:id="507"/>
      <w:bookmarkEnd w:id="508"/>
      <w:bookmarkEnd w:id="509"/>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4010080"/>
      <w:r>
        <w:rPr>
          <w:rFonts w:ascii="Times New Roman" w:hAnsi="Times New Roman"/>
          <w:sz w:val="24"/>
          <w:u w:val="none"/>
        </w:rPr>
        <w:t>4.1.1</w:t>
      </w:r>
      <w:r>
        <w:tab/>
      </w:r>
      <w:r>
        <w:rPr>
          <w:rFonts w:ascii="Times New Roman" w:hAnsi="Times New Roman"/>
          <w:sz w:val="24"/>
          <w:u w:val="none"/>
        </w:rPr>
        <w:t>Bendrosios</w:t>
      </w:r>
      <w:bookmarkEnd w:id="510"/>
      <w:r>
        <w:rPr>
          <w:rFonts w:ascii="Times New Roman" w:hAnsi="Times New Roman"/>
          <w:sz w:val="24"/>
          <w:u w:val="none"/>
        </w:rPr>
        <w:t xml:space="preserve"> pastabos</w:t>
      </w:r>
      <w:bookmarkEnd w:id="511"/>
      <w:bookmarkEnd w:id="512"/>
      <w:bookmarkEnd w:id="513"/>
      <w:bookmarkEnd w:id="514"/>
      <w:bookmarkEnd w:id="515"/>
      <w:bookmarkEnd w:id="516"/>
      <w:bookmarkEnd w:id="517"/>
      <w:bookmarkEnd w:id="518"/>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t>114.</w:t>
      </w:r>
      <w:r>
        <w:tab/>
        <w:t>Šioje formoje pateikiama informacija apie nuosavų lėšų reikalavimų operacinei rizikai padengti skaičiavimą pagal KRR 312–324 straipsnius, kai taikomi bazinio indikatoriaus metodas (BIA), standartizuotas metodas (TSA), alternatyvus standa</w:t>
      </w:r>
      <w:r>
        <w:t>r</w:t>
      </w:r>
      <w:r>
        <w:t>tizuotas metodas (ASA) ir pažangusis vertinimo metodas (AMA). Įstaiga negali tuo pačiu metu taikyti TSA ir ASA metodų verslo linijoms, kurias sudaro mažmeninė ir komercinė bankininkystė, individualiu lygmeniu.</w:t>
      </w:r>
    </w:p>
    <w:p w:rsidR="00AC6255" w:rsidRPr="00392FFD" w:rsidRDefault="00125707" w:rsidP="00C37B29">
      <w:pPr>
        <w:pStyle w:val="InstructionsText2"/>
        <w:numPr>
          <w:ilvl w:val="0"/>
          <w:numId w:val="0"/>
        </w:numPr>
        <w:ind w:left="993"/>
      </w:pPr>
      <w:r>
        <w:t>115.</w:t>
      </w:r>
      <w:r>
        <w:tab/>
        <w:t>BIA, TSA ir (arba) ASA metodus taikančios įstaigos skaičiuoja savo nuosavų lėšų reikalavimą pagal finansinių metų pabaigos duomenis. Jeigu nėra audituotų duomenų, įstaigos gali naudoti prognozuojamus verslo duomenis. Jeigu naudojami audituoti duomenys, įstaigos nurodo audituotus duomenis, kurie, tikėtina, nesikeis. Nuo šio nekeitimo principo galima nukrypti, jeigu tuo laikotarpiu susiklosto yp</w:t>
      </w:r>
      <w:r>
        <w:t>a</w:t>
      </w:r>
      <w:r>
        <w:t xml:space="preserve">tingos aplinkybės, pavyzdžiui, jeigu neseniai buvo įsigyti ar perleisti subjektai ar veikla. </w:t>
      </w:r>
    </w:p>
    <w:p w:rsidR="00AC6255" w:rsidRPr="00392FFD" w:rsidRDefault="00125707" w:rsidP="00C37B29">
      <w:pPr>
        <w:pStyle w:val="InstructionsText2"/>
        <w:numPr>
          <w:ilvl w:val="0"/>
          <w:numId w:val="0"/>
        </w:numPr>
        <w:ind w:left="993"/>
      </w:pPr>
      <w:r>
        <w:t>116.</w:t>
      </w:r>
      <w:r>
        <w:tab/>
        <w:t>Jeigu įstaiga savo kompetentingai institucijai gali įrodyti, kad dėl ypatingų a</w:t>
      </w:r>
      <w:r>
        <w:t>p</w:t>
      </w:r>
      <w:r>
        <w:t>linkybių, pavyzdžiui, susijungimo arba dėl subjektų ar veiklos perleidimo, nuosavų lėšų reikalavimas operacinei rizikai padengti būtų neobjektyviai įvertintas, jeigu at</w:t>
      </w:r>
      <w:r>
        <w:t>i</w:t>
      </w:r>
      <w:r>
        <w:t>tinkamam rodikliui apskaičiuoti būtų naudojamas trejų metų vidurkis, kompete</w:t>
      </w:r>
      <w:r>
        <w:t>n</w:t>
      </w:r>
      <w:r>
        <w:t>tinga institucija gali leisti įstaigai pakeisti skaičiavimą taip, kad būtų atsižvelgta į tokius įvykius. Kompetentinga institucija taip pat gali savo iniciatyva pareikalauti, kad įstaiga pakeistų skaičiavimą. Jeigu įstaiga veikia trumpiau nei trejus metus, a</w:t>
      </w:r>
      <w:r>
        <w:t>p</w:t>
      </w:r>
      <w:r>
        <w:t>skaičiuodama atitinkamą rodiklį ji gali naudoti prognozuojamus verslo duomenis, su sąlyga, kad pradės naudoti faktinius ankstesnių laikotarpių duomenis, kai tik juos turės.</w:t>
      </w:r>
    </w:p>
    <w:p w:rsidR="00AC6255" w:rsidRPr="00392FFD" w:rsidRDefault="00125707" w:rsidP="00C37B29">
      <w:pPr>
        <w:pStyle w:val="InstructionsText2"/>
        <w:numPr>
          <w:ilvl w:val="0"/>
          <w:numId w:val="0"/>
        </w:numPr>
        <w:ind w:left="993"/>
      </w:pPr>
      <w:r>
        <w:t>117.</w:t>
      </w:r>
      <w:r>
        <w:tab/>
        <w:t>Šios formos skiltyse įstaigos pateikia informaciją apie trejų paskutinių metų bankinės veiklos, susijusios su operacine rizika, atitinkamą rodiklį ir apie paskolas bei gautinas sumas (pastarieji duomenys pateikiami tik kai taikomas ASA met</w:t>
      </w:r>
      <w:r>
        <w:t>o</w:t>
      </w:r>
      <w:r>
        <w:t>das). Taip pat pateikiama informacija apie nuosavų lėšų reikalavimo operacinei r</w:t>
      </w:r>
      <w:r>
        <w:t>i</w:t>
      </w:r>
      <w:r>
        <w:t>zikai padengti sumą. Atitinkamais atvejais turi būti nurodyta, kokia šios sumos d</w:t>
      </w:r>
      <w:r>
        <w:t>a</w:t>
      </w:r>
      <w:r>
        <w:t>lis susidaro dėl lėšų paskirstymo tarp grupės subjektų. Dėl AMA metodo užpildomi papildomos informacijos straipsniai, kuriuose pateikiama išsami informacija apie tikėtino nuostolio, rizikos diversifikavimo ir mažinimo priemonių poveikį nuosavų lėšų reikalavimui operacinei rizikai padengti.</w:t>
      </w:r>
    </w:p>
    <w:p w:rsidR="00AC6255" w:rsidRPr="00392FFD" w:rsidRDefault="00125707" w:rsidP="00C37B29">
      <w:pPr>
        <w:pStyle w:val="InstructionsText2"/>
        <w:numPr>
          <w:ilvl w:val="0"/>
          <w:numId w:val="0"/>
        </w:numPr>
        <w:ind w:left="993"/>
      </w:pPr>
      <w:r>
        <w:t>118.</w:t>
      </w:r>
      <w:r>
        <w:tab/>
        <w:t>Eilutėse informacija pateikiama pagal nuosavų lėšų reikalavimo operacinei r</w:t>
      </w:r>
      <w:r>
        <w:t>i</w:t>
      </w:r>
      <w:r>
        <w:t>zikai padengti apskaičiavimo metodą, nurodant verslo linijas pagal TSA ir ASA metodus.</w:t>
      </w:r>
    </w:p>
    <w:p w:rsidR="00AC6255" w:rsidRPr="00392FFD" w:rsidRDefault="00125707" w:rsidP="00C37B29">
      <w:pPr>
        <w:pStyle w:val="InstructionsText2"/>
        <w:numPr>
          <w:ilvl w:val="0"/>
          <w:numId w:val="0"/>
        </w:numPr>
        <w:ind w:left="993"/>
      </w:pPr>
      <w:r>
        <w:t>119.</w:t>
      </w:r>
      <w:r>
        <w:tab/>
        <w:t>Šią formą pateikia visos įstaigos, kurioms taikomas nuosavų lėšų reikalavimas operacinei rizikai padengti.</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4010081"/>
      <w:r>
        <w:rPr>
          <w:rFonts w:ascii="Times New Roman" w:hAnsi="Times New Roman"/>
          <w:sz w:val="24"/>
          <w:u w:val="none"/>
        </w:rPr>
        <w:lastRenderedPageBreak/>
        <w:t>4.1.2.</w:t>
      </w:r>
      <w:r>
        <w:tab/>
      </w:r>
      <w:r>
        <w:rPr>
          <w:rFonts w:ascii="Times New Roman" w:hAnsi="Times New Roman"/>
          <w:sz w:val="24"/>
        </w:rPr>
        <w:t>Nurodymai dėl konkrečių pozicijų</w:t>
      </w:r>
      <w:bookmarkEnd w:id="519"/>
      <w:bookmarkEnd w:id="520"/>
      <w:bookmarkEnd w:id="521"/>
      <w:bookmarkEnd w:id="522"/>
      <w:bookmarkEnd w:id="523"/>
      <w:bookmarkEnd w:id="524"/>
      <w:bookmarkEnd w:id="525"/>
      <w:bookmarkEnd w:id="526"/>
      <w:bookmarkEnd w:id="527"/>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Skiltys</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ATITINKAMAS RODIKLIS</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Įstaigos, kurios apskaičiuodamos nuosavų lėšų reikalavimą operacinei rizikai padengti (pagal BIA, TSA ir ASA metodus) naudoja atitinkamą rodiklį, atiti</w:t>
            </w:r>
            <w:r>
              <w:rPr>
                <w:rFonts w:ascii="Times New Roman" w:hAnsi="Times New Roman"/>
                <w:sz w:val="24"/>
              </w:rPr>
              <w:t>n</w:t>
            </w:r>
            <w:r>
              <w:rPr>
                <w:rFonts w:ascii="Times New Roman" w:hAnsi="Times New Roman"/>
                <w:sz w:val="24"/>
              </w:rPr>
              <w:t>kamų metų atitinkamą rodiklį nurodo 010–030 skiltyse. Be to, jeigu įstaigos derina įvairius metodus, kaip paaiškinta KRR 314 straipsnyje, jos informacijos tikslais nurodo ir atitinkamą veiklos, kuriai taikomas AMA metodas, rodiklį. Toks reikalavimas taikomas ir visiems AMA metodą taikantiems bankams.</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Toliau sąvoka „atitinkamas rodiklis“ reiškia finansinių metų pabaigos „eleme</w:t>
            </w:r>
            <w:r>
              <w:rPr>
                <w:rFonts w:ascii="Times New Roman" w:hAnsi="Times New Roman"/>
                <w:sz w:val="24"/>
              </w:rPr>
              <w:t>n</w:t>
            </w:r>
            <w:r>
              <w:rPr>
                <w:rFonts w:ascii="Times New Roman" w:hAnsi="Times New Roman"/>
                <w:sz w:val="24"/>
              </w:rPr>
              <w:t xml:space="preserve">tų sumą“, kaip nurodyta KRR 316 straipsnio 1 dalies 1 lentelėje.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Jeigu įstaiga turi trumpesnio nei trejų metų laikotarpio atitinkamo rodiklio duomenis, turimi ankstesnių laikotarpių duomenys (audituoti duomenys) su</w:t>
            </w:r>
            <w:r>
              <w:rPr>
                <w:rFonts w:ascii="Times New Roman" w:hAnsi="Times New Roman"/>
                <w:sz w:val="24"/>
              </w:rPr>
              <w:t>s</w:t>
            </w:r>
            <w:r>
              <w:rPr>
                <w:rFonts w:ascii="Times New Roman" w:hAnsi="Times New Roman"/>
                <w:sz w:val="24"/>
              </w:rPr>
              <w:t>kirstomi pagal prioritetus ir nurodomi atitinkamose lentelės skiltyse. Jeigu, p</w:t>
            </w:r>
            <w:r>
              <w:rPr>
                <w:rFonts w:ascii="Times New Roman" w:hAnsi="Times New Roman"/>
                <w:sz w:val="24"/>
              </w:rPr>
              <w:t>a</w:t>
            </w:r>
            <w:r>
              <w:rPr>
                <w:rFonts w:ascii="Times New Roman" w:hAnsi="Times New Roman"/>
                <w:sz w:val="24"/>
              </w:rPr>
              <w:t>vyzdžiui, turimi tik vienų metų laikotarpio duomenys, jie nurodomi 030 skilt</w:t>
            </w:r>
            <w:r>
              <w:rPr>
                <w:rFonts w:ascii="Times New Roman" w:hAnsi="Times New Roman"/>
                <w:sz w:val="24"/>
              </w:rPr>
              <w:t>y</w:t>
            </w:r>
            <w:r>
              <w:rPr>
                <w:rFonts w:ascii="Times New Roman" w:hAnsi="Times New Roman"/>
                <w:sz w:val="24"/>
              </w:rPr>
              <w:t>je. Jeigu manoma, kad to reikia, prognozuojami duomenys nurodomi 020 ski</w:t>
            </w:r>
            <w:r>
              <w:rPr>
                <w:rFonts w:ascii="Times New Roman" w:hAnsi="Times New Roman"/>
                <w:sz w:val="24"/>
              </w:rPr>
              <w:t>l</w:t>
            </w:r>
            <w:r>
              <w:rPr>
                <w:rFonts w:ascii="Times New Roman" w:hAnsi="Times New Roman"/>
                <w:sz w:val="24"/>
              </w:rPr>
              <w:t>tyje (kitų metų prognozė) ir 010 skiltyje (+ 2 metų prognozė).</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Be to jei įstaiga neturi „atitinkamo rodiklio“ ankstesnių laikotarpių duomenų, ji gali naudoti prognozuojamus verslo duomenis.</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PASKOLOS IR GAUTINOS SUMOS (KAI TAIKOMAS ASA MET</w:t>
            </w:r>
            <w:r>
              <w:rPr>
                <w:rStyle w:val="InstructionsTabelleberschrift"/>
                <w:rFonts w:ascii="Times New Roman" w:hAnsi="Times New Roman"/>
                <w:sz w:val="24"/>
              </w:rPr>
              <w:t>O</w:t>
            </w:r>
            <w:r>
              <w:rPr>
                <w:rStyle w:val="InstructionsTabelleberschrift"/>
                <w:rFonts w:ascii="Times New Roman" w:hAnsi="Times New Roman"/>
                <w:sz w:val="24"/>
              </w:rPr>
              <w:t>DAS)</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Šiose skiltyje nurodomos paskolų ir gautinų sumų verslo linijoms „komercinė bankininkystė“ ir „mažmeninė bankininkystė“, nurodytų KRR 319 straipsnio 1 dalies b punkte, sumos. Šios sumos naudojamos alternatyviam atitinkamam r</w:t>
            </w:r>
            <w:r>
              <w:rPr>
                <w:rFonts w:ascii="Times New Roman" w:hAnsi="Times New Roman"/>
                <w:sz w:val="24"/>
              </w:rPr>
              <w:t>o</w:t>
            </w:r>
            <w:r>
              <w:rPr>
                <w:rFonts w:ascii="Times New Roman" w:hAnsi="Times New Roman"/>
                <w:sz w:val="24"/>
              </w:rPr>
              <w:t>dikliui apskaičiuoti, pagal kurį nustatomi nuosavų lėšų reikalavimai veiklai, k</w:t>
            </w:r>
            <w:r>
              <w:rPr>
                <w:rFonts w:ascii="Times New Roman" w:hAnsi="Times New Roman"/>
                <w:sz w:val="24"/>
              </w:rPr>
              <w:t>u</w:t>
            </w:r>
            <w:r>
              <w:rPr>
                <w:rFonts w:ascii="Times New Roman" w:hAnsi="Times New Roman"/>
                <w:sz w:val="24"/>
              </w:rPr>
              <w:t xml:space="preserve">riai taikomas ASA metodas (KRR 319 straipsnio 1 dalies a punktas).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Į komercinės bankininkystės verslo liniją įskaitomi ir vertybiniai popieriai, la</w:t>
            </w:r>
            <w:r>
              <w:rPr>
                <w:rFonts w:ascii="Times New Roman" w:hAnsi="Times New Roman"/>
                <w:sz w:val="24"/>
              </w:rPr>
              <w:t>i</w:t>
            </w:r>
            <w:r>
              <w:rPr>
                <w:rFonts w:ascii="Times New Roman" w:hAnsi="Times New Roman"/>
                <w:sz w:val="24"/>
              </w:rPr>
              <w:t>komi ne prekybos knygoje.</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NUOSAVŲ LĖŠŲ REIKALAVIMAS</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Nuosavų lėšų reikalavimas apskaičiuojamas pagal taikomą metodą, remiantis KRR 312–324 straipsniais. Gauta suma nurodoma 070 skiltyje.</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BENDRA OPERACINĖS RIZIKOS POZICIJOS SUMA</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KRR 92 straipsnio 4 dalis. 070 skiltyje nurodyta nuosavų lėšų reikalavimų reikšmė padauginama iš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IŠ JOS: DĖL NUOSAVŲ LĖŠŲ PASKIRSTYMO TARP GRUPĖS SU</w:t>
            </w:r>
            <w:r>
              <w:rPr>
                <w:rStyle w:val="InstructionsTabelleberschrift"/>
                <w:rFonts w:ascii="Times New Roman" w:hAnsi="Times New Roman"/>
                <w:sz w:val="24"/>
              </w:rPr>
              <w:t>B</w:t>
            </w:r>
            <w:r>
              <w:rPr>
                <w:rStyle w:val="InstructionsTabelleberschrift"/>
                <w:rFonts w:ascii="Times New Roman" w:hAnsi="Times New Roman"/>
                <w:sz w:val="24"/>
              </w:rPr>
              <w:t>JEKTŲ</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 xml:space="preserve">KRR 18 straipsnio 1 dalis (dėl operacinės rizikos kapitalo paskirstymui tarp įvairių grupės subjektų metodikos aprašymo ir informacijos, ar ketinama bei </w:t>
            </w:r>
            <w:r>
              <w:rPr>
                <w:rFonts w:ascii="Times New Roman" w:hAnsi="Times New Roman"/>
                <w:sz w:val="24"/>
              </w:rPr>
              <w:lastRenderedPageBreak/>
              <w:t>kaip ketinama įvertinti diversifikacijos poveikį rizikos vertinimo sistemai, kurią naudoja ES patronuojančioji kredito įstaiga ir jos patronuojamosios įmonės a</w:t>
            </w:r>
            <w:r>
              <w:rPr>
                <w:rFonts w:ascii="Times New Roman" w:hAnsi="Times New Roman"/>
                <w:sz w:val="24"/>
              </w:rPr>
              <w:t>r</w:t>
            </w:r>
            <w:r>
              <w:rPr>
                <w:rFonts w:ascii="Times New Roman" w:hAnsi="Times New Roman"/>
                <w:sz w:val="24"/>
              </w:rPr>
              <w:t>ba kartu naudoja ES patronuojančiosios finansų kontroliuojančiosios bendrovės patronuojamosios įmonės, arba ES patronuojančioji mišri finansų kontroliu</w:t>
            </w:r>
            <w:r>
              <w:rPr>
                <w:rFonts w:ascii="Times New Roman" w:hAnsi="Times New Roman"/>
                <w:sz w:val="24"/>
              </w:rPr>
              <w:t>o</w:t>
            </w:r>
            <w:r>
              <w:rPr>
                <w:rFonts w:ascii="Times New Roman" w:hAnsi="Times New Roman"/>
                <w:sz w:val="24"/>
              </w:rPr>
              <w:t>jančioji bendrovė, įtraukimo į KRR 312 straipsnio 2 dalyje nurodytą prašymą).</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AMA METODUI SKIRTI PAPILDOMI STRAIPSNIAI (PILDOMI PR</w:t>
            </w:r>
            <w:r>
              <w:rPr>
                <w:rStyle w:val="InstructionsTabelleberschrift"/>
                <w:rFonts w:ascii="Times New Roman" w:hAnsi="Times New Roman"/>
                <w:sz w:val="24"/>
              </w:rPr>
              <w:t>I</w:t>
            </w:r>
            <w:r>
              <w:rPr>
                <w:rStyle w:val="InstructionsTabelleberschrift"/>
                <w:rFonts w:ascii="Times New Roman" w:hAnsi="Times New Roman"/>
                <w:sz w:val="24"/>
              </w:rPr>
              <w:t>REIKUS)</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NUOSAVŲ LĖŠŲ REIKALAVIMAS PRIEŠ KAPITALO SUMAŽINIMĄ DĖL TIKĖTINŲ NUOSTOLIŲ, DIVERSIFIKAVIMO IR RIZIKOS MAŽINIMO PRIEMONIŲ</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090 skiltyje nurodomas nuosavų lėšų reikalavimas yra lygus 070 skiltyje nur</w:t>
            </w:r>
            <w:r>
              <w:rPr>
                <w:rFonts w:ascii="Times New Roman" w:hAnsi="Times New Roman"/>
                <w:sz w:val="24"/>
              </w:rPr>
              <w:t>o</w:t>
            </w:r>
            <w:r>
              <w:rPr>
                <w:rFonts w:ascii="Times New Roman" w:hAnsi="Times New Roman"/>
                <w:sz w:val="24"/>
              </w:rPr>
              <w:t>dytai reikšmei, bet apskaičiuojamas prieš atsižvelgiant į sumažinimo poveikį dėl tikėtino nuostolio, diversifikavimo ir rizikos mažinimo priemonių (žr. t</w:t>
            </w:r>
            <w:r>
              <w:rPr>
                <w:rFonts w:ascii="Times New Roman" w:hAnsi="Times New Roman"/>
                <w:sz w:val="24"/>
              </w:rPr>
              <w:t>o</w:t>
            </w:r>
            <w:r>
              <w:rPr>
                <w:rFonts w:ascii="Times New Roman" w:hAnsi="Times New Roman"/>
                <w:sz w:val="24"/>
              </w:rPr>
              <w:t>liau).</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NUOSAVŲ LĖŠŲ REIKALAVIMO MAŽINIMAS DĖL VIDAUS VERSLO PRAKTIKOJE FIKSUOJAMO TIKĖTINO NUOSTOLIO</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100 skiltyje nurodomas nuosavų lėšų reikalavimų mažinimas dėl vidaus verslo praktikoje fiksuojamo tikėtino nuostolio (kaip nurodyta KRR 322 straipsnio 2 dalies a punkte).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NUOSAVŲ LĖŠŲ REIKALAVIMO MAŽINIMAS DĖL DIVERSIF</w:t>
            </w:r>
            <w:r>
              <w:rPr>
                <w:rStyle w:val="InstructionsTabelleberschrift"/>
                <w:rFonts w:ascii="Times New Roman" w:hAnsi="Times New Roman"/>
                <w:sz w:val="24"/>
              </w:rPr>
              <w:t>I</w:t>
            </w:r>
            <w:r>
              <w:rPr>
                <w:rStyle w:val="InstructionsTabelleberschrift"/>
                <w:rFonts w:ascii="Times New Roman" w:hAnsi="Times New Roman"/>
                <w:sz w:val="24"/>
              </w:rPr>
              <w:t>KAVIMO</w:t>
            </w:r>
          </w:p>
          <w:p w:rsidR="00AC6255" w:rsidRPr="00392FFD" w:rsidRDefault="00AC6255" w:rsidP="000B0B09">
            <w:pPr>
              <w:rPr>
                <w:rFonts w:ascii="Times New Roman" w:hAnsi="Times New Roman"/>
                <w:sz w:val="24"/>
              </w:rPr>
            </w:pPr>
            <w:r>
              <w:rPr>
                <w:rFonts w:ascii="Times New Roman" w:hAnsi="Times New Roman"/>
                <w:sz w:val="24"/>
              </w:rPr>
              <w:t>110 skiltyje nurodoma diversifikavimo poveikio reikšmė – tai skirtumas tarp nuosavų lėšų reikalavimų, apskaičiuotų atskirai kiekvienai operacinės rizikos klasei (t. y. esant „visiškai priklausomybei“), reikšmių sumos ir diversifikuoto nuosavų lėšų reikalavimo, apskaičiuoto atsižvelgiant į koreliacijas ir prikla</w:t>
            </w:r>
            <w:r>
              <w:rPr>
                <w:rFonts w:ascii="Times New Roman" w:hAnsi="Times New Roman"/>
                <w:sz w:val="24"/>
              </w:rPr>
              <w:t>u</w:t>
            </w:r>
            <w:r>
              <w:rPr>
                <w:rFonts w:ascii="Times New Roman" w:hAnsi="Times New Roman"/>
                <w:sz w:val="24"/>
              </w:rPr>
              <w:t>somybę (t. y. darant prielaidą, kad tarp rizikos klasių esama „visiškos prikla</w:t>
            </w:r>
            <w:r>
              <w:rPr>
                <w:rFonts w:ascii="Times New Roman" w:hAnsi="Times New Roman"/>
                <w:sz w:val="24"/>
              </w:rPr>
              <w:t>u</w:t>
            </w:r>
            <w:r>
              <w:rPr>
                <w:rFonts w:ascii="Times New Roman" w:hAnsi="Times New Roman"/>
                <w:sz w:val="24"/>
              </w:rPr>
              <w:t>somybės“). „Visiškos priklausomybės“ sąlygos susiklosto „standartiniu“ atv</w:t>
            </w:r>
            <w:r>
              <w:rPr>
                <w:rFonts w:ascii="Times New Roman" w:hAnsi="Times New Roman"/>
                <w:sz w:val="24"/>
              </w:rPr>
              <w:t>e</w:t>
            </w:r>
            <w:r>
              <w:rPr>
                <w:rFonts w:ascii="Times New Roman" w:hAnsi="Times New Roman"/>
                <w:sz w:val="24"/>
              </w:rPr>
              <w:t>ju, tai yra kai įstaiga nenaudoja atskiros rizikos klasių koreliacijų struktūros, todėl kapitalas pagal AMA metodą apskaičiuojamas sudedant atskirus pasirin</w:t>
            </w:r>
            <w:r>
              <w:rPr>
                <w:rFonts w:ascii="Times New Roman" w:hAnsi="Times New Roman"/>
                <w:sz w:val="24"/>
              </w:rPr>
              <w:t>k</w:t>
            </w:r>
            <w:r>
              <w:rPr>
                <w:rFonts w:ascii="Times New Roman" w:hAnsi="Times New Roman"/>
                <w:sz w:val="24"/>
              </w:rPr>
              <w:t>tų rizikos klasių operacinės rizikos matus. Šiuo atveju daroma prielaida, kad koreliacija tarp rizikos klasių yra 100 %, o šioje skiltyje nurodoma reikšmė yra nulis. Priešingai, kai įstaiga skaičiuoja atskirą rizikos klasių koreliacijos stru</w:t>
            </w:r>
            <w:r>
              <w:rPr>
                <w:rFonts w:ascii="Times New Roman" w:hAnsi="Times New Roman"/>
                <w:sz w:val="24"/>
              </w:rPr>
              <w:t>k</w:t>
            </w:r>
            <w:r>
              <w:rPr>
                <w:rFonts w:ascii="Times New Roman" w:hAnsi="Times New Roman"/>
                <w:sz w:val="24"/>
              </w:rPr>
              <w:t>tūrą, ji į šią skiltį turi įtraukti skirtumą tarp AMA kapitalo, apskaičiuoto pagal „standartinį“ atvejį ir kapitalo, apskaičiuoto pritaikius rizikos klasių koreliac</w:t>
            </w:r>
            <w:r>
              <w:rPr>
                <w:rFonts w:ascii="Times New Roman" w:hAnsi="Times New Roman"/>
                <w:sz w:val="24"/>
              </w:rPr>
              <w:t>i</w:t>
            </w:r>
            <w:r>
              <w:rPr>
                <w:rFonts w:ascii="Times New Roman" w:hAnsi="Times New Roman"/>
                <w:sz w:val="24"/>
              </w:rPr>
              <w:t>jos struktūrą. Vertė atspindi „diversifikavimo galimybes“ pagal AMA modelį, tai yra modelio galimybes atspindėti ne vienu metu patiriamus didelius nuost</w:t>
            </w:r>
            <w:r>
              <w:rPr>
                <w:rFonts w:ascii="Times New Roman" w:hAnsi="Times New Roman"/>
                <w:sz w:val="24"/>
              </w:rPr>
              <w:t>o</w:t>
            </w:r>
            <w:r>
              <w:rPr>
                <w:rFonts w:ascii="Times New Roman" w:hAnsi="Times New Roman"/>
                <w:sz w:val="24"/>
              </w:rPr>
              <w:t>lius dėl operacinės rizikos. 110 skiltyje nurodoma suma, kuria, taikant apska</w:t>
            </w:r>
            <w:r>
              <w:rPr>
                <w:rFonts w:ascii="Times New Roman" w:hAnsi="Times New Roman"/>
                <w:sz w:val="24"/>
              </w:rPr>
              <w:t>i</w:t>
            </w:r>
            <w:r>
              <w:rPr>
                <w:rFonts w:ascii="Times New Roman" w:hAnsi="Times New Roman"/>
                <w:sz w:val="24"/>
              </w:rPr>
              <w:t>čiuotą koreliacijos struktūrą, AMA kapitalas būtų sumažinamas, palyginti su 100 % koreliacijos prielaida.</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NUOSAVŲ LĖŠŲ REIKALAVIMO MAŽINIMAS DĖL RIZIKOS MAŽINIMO PRIEMONIŲ (DRAUDIMO IR KITŲ RIZIKOS PERLE</w:t>
            </w:r>
            <w:r>
              <w:rPr>
                <w:rStyle w:val="InstructionsTabelleberschrift"/>
                <w:rFonts w:ascii="Times New Roman" w:hAnsi="Times New Roman"/>
                <w:sz w:val="24"/>
              </w:rPr>
              <w:t>I</w:t>
            </w:r>
            <w:r>
              <w:rPr>
                <w:rStyle w:val="InstructionsTabelleberschrift"/>
                <w:rFonts w:ascii="Times New Roman" w:hAnsi="Times New Roman"/>
                <w:sz w:val="24"/>
              </w:rPr>
              <w:t>DIMO MECHANIZMŲ)</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120 skiltyje nurodomas draudimo ir kitų rizikos perleidimo mechanizmų p</w:t>
            </w:r>
            <w:r>
              <w:rPr>
                <w:rFonts w:ascii="Times New Roman" w:hAnsi="Times New Roman"/>
                <w:sz w:val="24"/>
              </w:rPr>
              <w:t>o</w:t>
            </w:r>
            <w:r>
              <w:rPr>
                <w:rFonts w:ascii="Times New Roman" w:hAnsi="Times New Roman"/>
                <w:sz w:val="24"/>
              </w:rPr>
              <w:t>veikis, kaip nurodyta KRR 323 straipsnio 1–5 dalyse.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Eilutės</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BANKINĖ VEIKLA PAGAL BAZINIO INDIKATORIAUS METODĄ (BIA)</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Šioje eilutėje nurodomos sumos, atitinkančios veiklą pagal BIA metodą, pagal kurį skaičiuojamas nuosavų lėšų reikalavimas operacinei rizikai padengti (KRR 315 ir 316 straipsniai).</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BANKINĖ VEIKLA PAGAL STANDARTIZUOTĄ (TSA) / ALTERN</w:t>
            </w:r>
            <w:r>
              <w:rPr>
                <w:rStyle w:val="InstructionsTabelleberschrift"/>
                <w:rFonts w:ascii="Times New Roman" w:hAnsi="Times New Roman"/>
                <w:sz w:val="24"/>
              </w:rPr>
              <w:t>A</w:t>
            </w:r>
            <w:r>
              <w:rPr>
                <w:rStyle w:val="InstructionsTabelleberschrift"/>
                <w:rFonts w:ascii="Times New Roman" w:hAnsi="Times New Roman"/>
                <w:sz w:val="24"/>
              </w:rPr>
              <w:t>TYVŲ STANDARTIZUOTĄ (ASA) METODUS</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Nurodomas nuosavų lėšų reikalavimas, apskaičiuotas pagal TSA ir ASA met</w:t>
            </w:r>
            <w:r>
              <w:rPr>
                <w:rFonts w:ascii="Times New Roman" w:hAnsi="Times New Roman"/>
                <w:sz w:val="24"/>
              </w:rPr>
              <w:t>o</w:t>
            </w:r>
            <w:r>
              <w:rPr>
                <w:rFonts w:ascii="Times New Roman" w:hAnsi="Times New Roman"/>
                <w:sz w:val="24"/>
              </w:rPr>
              <w:t>dus (KRR 317–319 straipsniai).</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PAGAL TSA</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Jeigu taikomas TSA metodas, atitinkamas kiekvienų atitinkamų metų rodiklis paskirstomas 030–100 eilutėse pagal verslo linijas, nurodytas KRR 317 straipsnio 2 lentelėje. Veikla į verslo linijas skirstoma vadovaujantis KRR 318 straipsnyje nustatytais principais.</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PAGAL ASA</w:t>
            </w:r>
          </w:p>
          <w:p w:rsidR="00AC6255" w:rsidRPr="00392FFD" w:rsidRDefault="00AC6255" w:rsidP="000B0B09">
            <w:pPr>
              <w:rPr>
                <w:rFonts w:ascii="Times New Roman" w:hAnsi="Times New Roman"/>
                <w:sz w:val="24"/>
              </w:rPr>
            </w:pPr>
            <w:r>
              <w:rPr>
                <w:rFonts w:ascii="Times New Roman" w:hAnsi="Times New Roman"/>
                <w:sz w:val="24"/>
              </w:rPr>
              <w:t>ASA metodą taikančios įstaigos (KRR 319 straipsnis) atitinkamų metų atiti</w:t>
            </w:r>
            <w:r>
              <w:rPr>
                <w:rFonts w:ascii="Times New Roman" w:hAnsi="Times New Roman"/>
                <w:sz w:val="24"/>
              </w:rPr>
              <w:t>n</w:t>
            </w:r>
            <w:r>
              <w:rPr>
                <w:rFonts w:ascii="Times New Roman" w:hAnsi="Times New Roman"/>
                <w:sz w:val="24"/>
              </w:rPr>
              <w:t>kamą rodiklį atskirai nurodo kiekvienai verslo linijai 030–050 ir 080–100 eil</w:t>
            </w:r>
            <w:r>
              <w:rPr>
                <w:rFonts w:ascii="Times New Roman" w:hAnsi="Times New Roman"/>
                <w:sz w:val="24"/>
              </w:rPr>
              <w:t>u</w:t>
            </w:r>
            <w:r>
              <w:rPr>
                <w:rFonts w:ascii="Times New Roman" w:hAnsi="Times New Roman"/>
                <w:sz w:val="24"/>
              </w:rPr>
              <w:t>tėse, o verslo linijoms „Komercinė bankininkystė“ ir „Mažmeninė bankini</w:t>
            </w:r>
            <w:r>
              <w:rPr>
                <w:rFonts w:ascii="Times New Roman" w:hAnsi="Times New Roman"/>
                <w:sz w:val="24"/>
              </w:rPr>
              <w:t>n</w:t>
            </w:r>
            <w:r>
              <w:rPr>
                <w:rFonts w:ascii="Times New Roman" w:hAnsi="Times New Roman"/>
                <w:sz w:val="24"/>
              </w:rPr>
              <w:t xml:space="preserve">kystė“ – 110 ir 120 eilutėse.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110 ir 120 eilutėse nurodoma</w:t>
            </w:r>
            <w:r>
              <w:t xml:space="preserve"> </w:t>
            </w:r>
            <w:r>
              <w:rPr>
                <w:rStyle w:val="InstructionsTabelleText"/>
                <w:rFonts w:ascii="Times New Roman" w:hAnsi="Times New Roman"/>
                <w:sz w:val="24"/>
              </w:rPr>
              <w:t>veiklos, kuriai taikomas ASA metodas, atitink</w:t>
            </w:r>
            <w:r>
              <w:rPr>
                <w:rStyle w:val="InstructionsTabelleText"/>
                <w:rFonts w:ascii="Times New Roman" w:hAnsi="Times New Roman"/>
                <w:sz w:val="24"/>
              </w:rPr>
              <w:t>a</w:t>
            </w:r>
            <w:r>
              <w:rPr>
                <w:rStyle w:val="InstructionsTabelleText"/>
                <w:rFonts w:ascii="Times New Roman" w:hAnsi="Times New Roman"/>
                <w:sz w:val="24"/>
              </w:rPr>
              <w:t>mo rodiklio suma, suskirstyta pagal veiklą, atitinkančią verslo liniją „Komerc</w:t>
            </w:r>
            <w:r>
              <w:rPr>
                <w:rStyle w:val="InstructionsTabelleText"/>
                <w:rFonts w:ascii="Times New Roman" w:hAnsi="Times New Roman"/>
                <w:sz w:val="24"/>
              </w:rPr>
              <w:t>i</w:t>
            </w:r>
            <w:r>
              <w:rPr>
                <w:rStyle w:val="InstructionsTabelleText"/>
                <w:rFonts w:ascii="Times New Roman" w:hAnsi="Times New Roman"/>
                <w:sz w:val="24"/>
              </w:rPr>
              <w:t>nė bankininkystė“ ir veiklą, atitinkančią verslo liniją „Mažmeninė bankininky</w:t>
            </w:r>
            <w:r>
              <w:rPr>
                <w:rStyle w:val="InstructionsTabelleText"/>
                <w:rFonts w:ascii="Times New Roman" w:hAnsi="Times New Roman"/>
                <w:sz w:val="24"/>
              </w:rPr>
              <w:t>s</w:t>
            </w:r>
            <w:r>
              <w:rPr>
                <w:rStyle w:val="InstructionsTabelleText"/>
                <w:rFonts w:ascii="Times New Roman" w:hAnsi="Times New Roman"/>
                <w:sz w:val="24"/>
              </w:rPr>
              <w:t xml:space="preserve">tė“ </w:t>
            </w:r>
            <w:r>
              <w:rPr>
                <w:rFonts w:ascii="Times New Roman" w:hAnsi="Times New Roman"/>
                <w:sz w:val="24"/>
              </w:rPr>
              <w:t>(KRR 319 straipsnis).</w:t>
            </w:r>
            <w:r>
              <w:rPr>
                <w:rStyle w:val="InstructionsTabelleText"/>
                <w:rFonts w:ascii="Times New Roman" w:hAnsi="Times New Roman"/>
                <w:sz w:val="24"/>
              </w:rPr>
              <w:t xml:space="preserve"> Tam tikros sumos gali būti nurodomos eilutėse, ski</w:t>
            </w:r>
            <w:r>
              <w:rPr>
                <w:rStyle w:val="InstructionsTabelleText"/>
                <w:rFonts w:ascii="Times New Roman" w:hAnsi="Times New Roman"/>
                <w:sz w:val="24"/>
              </w:rPr>
              <w:t>r</w:t>
            </w:r>
            <w:r>
              <w:rPr>
                <w:rStyle w:val="InstructionsTabelleText"/>
                <w:rFonts w:ascii="Times New Roman" w:hAnsi="Times New Roman"/>
                <w:sz w:val="24"/>
              </w:rPr>
              <w:t>tose „Komercinei bankininkystei“ ir „Mažmeninei bankininkystei“ pagal TSA metodą (060 ir 070 eilutės) ir pagal ASA metodą (110 ir 120 eilutės) (pvz., je</w:t>
            </w:r>
            <w:r>
              <w:rPr>
                <w:rStyle w:val="InstructionsTabelleText"/>
                <w:rFonts w:ascii="Times New Roman" w:hAnsi="Times New Roman"/>
                <w:sz w:val="24"/>
              </w:rPr>
              <w:t>i</w:t>
            </w:r>
            <w:r>
              <w:rPr>
                <w:rStyle w:val="InstructionsTabelleText"/>
                <w:rFonts w:ascii="Times New Roman" w:hAnsi="Times New Roman"/>
                <w:sz w:val="24"/>
              </w:rPr>
              <w:t>gu patronuojamoji įmonė taiko TSA, o patronuojantysis subjektas taiko ASA metodą).</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BANKINĖ VEIKLA PAGAL PAŽANGŲJĮ VERTINIMO METODĄ (AMA)</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Nurodomi atitinkami AMA metodą taikančių įstaigų duomenys (KRR 312 straipsnio 2 dalis ir 321–323 straipsniai).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Jeigu įvairūs metodai yra derinami, kaip nurodyta KRR 314 straipsnyje, pate</w:t>
            </w:r>
            <w:r>
              <w:rPr>
                <w:rFonts w:ascii="Times New Roman" w:hAnsi="Times New Roman"/>
                <w:sz w:val="24"/>
              </w:rPr>
              <w:t>i</w:t>
            </w:r>
            <w:r>
              <w:rPr>
                <w:rFonts w:ascii="Times New Roman" w:hAnsi="Times New Roman"/>
                <w:sz w:val="24"/>
              </w:rPr>
              <w:t>kiama informacija apie veiklos, kuriai taikomas AMA, atitinkamą rodiklį. Toks reikalavimas taikomas ir visiems AMA metodą taikantiems bankams.</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4010082"/>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Pr>
          <w:rFonts w:ascii="Times New Roman" w:hAnsi="Times New Roman"/>
          <w:sz w:val="24"/>
          <w:u w:val="none"/>
        </w:rPr>
        <w:t>4.2.</w:t>
      </w:r>
      <w:r>
        <w:tab/>
      </w:r>
      <w:r>
        <w:rPr>
          <w:rFonts w:ascii="Times New Roman" w:hAnsi="Times New Roman"/>
          <w:sz w:val="24"/>
        </w:rPr>
        <w:t>Operacinė rizika. Išsami informacija apie praėjusių metų nuostolius (OPR DETAILS)</w:t>
      </w:r>
      <w:bookmarkEnd w:id="563"/>
      <w:bookmarkEnd w:id="564"/>
      <w:bookmarkEnd w:id="565"/>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4010083"/>
      <w:r>
        <w:rPr>
          <w:rFonts w:ascii="Times New Roman" w:hAnsi="Times New Roman"/>
          <w:sz w:val="24"/>
          <w:u w:val="none"/>
        </w:rPr>
        <w:t>4.2.1.</w:t>
      </w:r>
      <w:r>
        <w:tab/>
      </w:r>
      <w:r>
        <w:rPr>
          <w:rFonts w:ascii="Times New Roman" w:hAnsi="Times New Roman"/>
          <w:sz w:val="24"/>
        </w:rPr>
        <w:t>Bendrosios pastabos</w:t>
      </w:r>
      <w:bookmarkEnd w:id="566"/>
      <w:bookmarkEnd w:id="567"/>
      <w:bookmarkEnd w:id="568"/>
    </w:p>
    <w:p w:rsidR="00FD54FC" w:rsidRPr="00392FFD" w:rsidRDefault="00125707" w:rsidP="00C37B29">
      <w:pPr>
        <w:pStyle w:val="InstructionsText2"/>
        <w:numPr>
          <w:ilvl w:val="0"/>
          <w:numId w:val="0"/>
        </w:numPr>
        <w:ind w:left="993"/>
      </w:pPr>
      <w:r>
        <w:t>120.</w:t>
      </w:r>
      <w:r>
        <w:tab/>
        <w:t>C 17.01 formoje (OPR DETAILS 1) apibendrinama informacija apie įstaigos per praėjusius metus fiksuotus bendruosius nuostolius ir susigrąžintas nuostolių sumas pagal įvykio rūšis ir verslo linijas. C 17.02 formoje (OPR DETAILS 2) p</w:t>
      </w:r>
      <w:r>
        <w:t>a</w:t>
      </w:r>
      <w:r>
        <w:t xml:space="preserve">teikiama išsami informacija apie didžiausius nuostolio įvykius per praėjusius metus. </w:t>
      </w:r>
    </w:p>
    <w:p w:rsidR="00FD54FC" w:rsidRPr="00392FFD" w:rsidRDefault="00125707" w:rsidP="00C37B29">
      <w:pPr>
        <w:pStyle w:val="InstructionsText2"/>
        <w:numPr>
          <w:ilvl w:val="0"/>
          <w:numId w:val="0"/>
        </w:numPr>
        <w:ind w:left="993"/>
      </w:pPr>
      <w:r>
        <w:t>121.</w:t>
      </w:r>
      <w:r>
        <w:tab/>
        <w:t>Operacinės rizikos nuostoliai, susiję su kredito rizika, kuriems taikomi nuosavų lėšų reikalavimai kredito rizikai padengti (ribiniai su kreditu susiję operacinės riz</w:t>
      </w:r>
      <w:r>
        <w:t>i</w:t>
      </w:r>
      <w:r>
        <w:t>kos įvykiai), neįtraukiami nei į C 17.01, nei į C 17.02 formą.</w:t>
      </w:r>
    </w:p>
    <w:p w:rsidR="00FD54FC" w:rsidRPr="00392FFD" w:rsidRDefault="00125707" w:rsidP="00C37B29">
      <w:pPr>
        <w:pStyle w:val="InstructionsText2"/>
        <w:numPr>
          <w:ilvl w:val="0"/>
          <w:numId w:val="0"/>
        </w:numPr>
        <w:ind w:left="993"/>
      </w:pPr>
      <w:r>
        <w:t>122.</w:t>
      </w:r>
      <w:r>
        <w:tab/>
        <w:t>Jeigu pagal KRR 314 straipsnį apskaičiuojant nuosavų lėšų reikalavimus op</w:t>
      </w:r>
      <w:r>
        <w:t>e</w:t>
      </w:r>
      <w:r>
        <w:t>racinei rizikai padengti naudojamas įvairių metodų derinys, įstaigos užfiksuoti nu</w:t>
      </w:r>
      <w:r>
        <w:t>o</w:t>
      </w:r>
      <w:r>
        <w:t>stoliai ir susigrąžintos nuostolių sumos yra nurodomi C 17.01 ir C 17.02 formose nepriklausomai nuo nuosavų lėšų reikalavimams apskaičiuoti taikyto metodo.</w:t>
      </w:r>
    </w:p>
    <w:p w:rsidR="00FD54FC" w:rsidRPr="00392FFD" w:rsidRDefault="00125707" w:rsidP="00C37B29">
      <w:pPr>
        <w:pStyle w:val="InstructionsText2"/>
        <w:numPr>
          <w:ilvl w:val="0"/>
          <w:numId w:val="0"/>
        </w:numPr>
        <w:ind w:left="993"/>
      </w:pPr>
      <w:r>
        <w:t>123.</w:t>
      </w:r>
      <w:r>
        <w:tab/>
        <w:t xml:space="preserve">Bendrasis nuostolis – nuostolis, atsirandantis dėl operacinės rizikos įvykio arba įvykio rūšies, kaip nurodyta KRR 322 straipsnio 3 dalies b punkte, prieš bet kokios rūšies susigrąžinimą, nedarant poveikio toliau apibrėžtoms greitai susigrąžinamoms nuostolio įvykių sumoms. </w:t>
      </w:r>
    </w:p>
    <w:p w:rsidR="00FD54FC" w:rsidRPr="00392FFD" w:rsidRDefault="00125707" w:rsidP="00C37B29">
      <w:pPr>
        <w:pStyle w:val="InstructionsText2"/>
        <w:numPr>
          <w:ilvl w:val="0"/>
          <w:numId w:val="0"/>
        </w:numPr>
        <w:ind w:left="993"/>
      </w:pPr>
      <w:r>
        <w:t>124.</w:t>
      </w:r>
      <w:r>
        <w:tab/>
        <w:t>Susigrąžinimas – nepriklausomas įvykis, susijęs su atskiru laike pirminiu nu</w:t>
      </w:r>
      <w:r>
        <w:t>o</w:t>
      </w:r>
      <w:r>
        <w:t>stoliu dėl operacinės rizikos, kai lėšos ar ekonominės naudos įplaukos gaunamos iš pirmųjų ar trečiųjų šalių, pavyzdžiui, iš draudikų arba iš kitų šalių. Susigrąžintos sumos yra suskirstomos į susigrąžintas draudimo ir kitų rizikos perleidimo mech</w:t>
      </w:r>
      <w:r>
        <w:t>a</w:t>
      </w:r>
      <w:r>
        <w:t>nizmų sumas ir tiesiogiai susigrąžintas sumas.</w:t>
      </w:r>
    </w:p>
    <w:p w:rsidR="00FD54FC" w:rsidRPr="00392FFD" w:rsidRDefault="00125707" w:rsidP="00C37B29">
      <w:pPr>
        <w:pStyle w:val="InstructionsText2"/>
        <w:numPr>
          <w:ilvl w:val="0"/>
          <w:numId w:val="0"/>
        </w:numPr>
        <w:ind w:left="993"/>
      </w:pPr>
      <w:r>
        <w:t>125.</w:t>
      </w:r>
      <w:r>
        <w:tab/>
        <w:t>Greitai susigrąžinamos nuostolio įvykių sumos – operacinės rizikos įvykiai, lemiantys nuostolius, kurių sumos iš dalies arba visiškai susigrąžinamos per pe</w:t>
      </w:r>
      <w:r>
        <w:t>n</w:t>
      </w:r>
      <w:r>
        <w:t>kias darbo dienas. Greitai susigrąžinamos nuostolio įvykio sumos atveju į bendrojo nuostolio apibrėžtį įtraukiama tik nesusigrąžinta nuostolio sumos dalis (t. y. nuost</w:t>
      </w:r>
      <w:r>
        <w:t>o</w:t>
      </w:r>
      <w:r>
        <w:t>lis atėmus greitai iš dalies susigrąžintą sumą). Todėl nuostolio įvykiai, dėl kurių a</w:t>
      </w:r>
      <w:r>
        <w:t>t</w:t>
      </w:r>
      <w:r>
        <w:t>siranda nuostoliai, kurių visos sumos susigrąžinamos per penkias darbo dienas, v</w:t>
      </w:r>
      <w:r>
        <w:t>i</w:t>
      </w:r>
      <w:r>
        <w:t>siškai neįtraukiami į bendrojo nuostolio apibrėžtį, taigi ir nenurodomi OPR D</w:t>
      </w:r>
      <w:r>
        <w:t>E</w:t>
      </w:r>
      <w:r>
        <w:t>TAILS formoje.</w:t>
      </w:r>
    </w:p>
    <w:p w:rsidR="00FD54FC" w:rsidRPr="00392FFD" w:rsidRDefault="00125707" w:rsidP="00C37B29">
      <w:pPr>
        <w:pStyle w:val="InstructionsText2"/>
        <w:numPr>
          <w:ilvl w:val="0"/>
          <w:numId w:val="0"/>
        </w:numPr>
        <w:ind w:left="993"/>
      </w:pPr>
      <w:r>
        <w:t>126.</w:t>
      </w:r>
      <w:r>
        <w:tab/>
        <w:t>Apskaitos data – data, kai, atsižvelgiant į nuostolį dėl operacinės rizikos, nu</w:t>
      </w:r>
      <w:r>
        <w:t>o</w:t>
      </w:r>
      <w:r>
        <w:t>stolis arba rezervas / atidėjinys pirmą kartą pripažintas pelno (nuostolių) ataskait</w:t>
      </w:r>
      <w:r>
        <w:t>o</w:t>
      </w:r>
      <w:r>
        <w:t xml:space="preserve">je. Ši data logiškai eina po „įvykio datos“ (t. y. datos, kai operacinės rizikos įvykis įvyko ar pirmą kartą prasidėjo) ir „nustatymo datos“ (t. y. datos, kai įstaiga sužinojo apie operacinės rizikos įvykį). </w:t>
      </w:r>
    </w:p>
    <w:p w:rsidR="00FD54FC" w:rsidRPr="00392FFD" w:rsidRDefault="00125707" w:rsidP="00C37B29">
      <w:pPr>
        <w:pStyle w:val="InstructionsText2"/>
        <w:numPr>
          <w:ilvl w:val="0"/>
          <w:numId w:val="0"/>
        </w:numPr>
        <w:ind w:left="993"/>
      </w:pPr>
      <w:r>
        <w:t>127.</w:t>
      </w:r>
      <w:r>
        <w:tab/>
        <w:t>Dėl bendro operacinės rizikos įvykio arba kelių su pradine operacine rizika s</w:t>
      </w:r>
      <w:r>
        <w:t>u</w:t>
      </w:r>
      <w:r>
        <w:t xml:space="preserve">sijusių įvykių, sukėlusių įvykius ar nuostolius (pagrindinis įvykis), patirti nuostoliai yra grupuojami. Sugrupuoti įvykiai laikomi vienu įvykiu ir nurodomi kaip vienas </w:t>
      </w:r>
      <w:r>
        <w:lastRenderedPageBreak/>
        <w:t>įvykis, taigi susijusios bendrųjų nuostolių sumos arba nuostolių koregavimo sumos turi būti sumuojamos.</w:t>
      </w:r>
    </w:p>
    <w:p w:rsidR="00FD54FC" w:rsidRPr="00392FFD" w:rsidRDefault="00125707" w:rsidP="00C37B29">
      <w:pPr>
        <w:pStyle w:val="InstructionsText2"/>
        <w:numPr>
          <w:ilvl w:val="0"/>
          <w:numId w:val="0"/>
        </w:numPr>
        <w:ind w:left="993"/>
      </w:pPr>
      <w:r>
        <w:t>128.</w:t>
      </w:r>
      <w:r>
        <w:tab/>
        <w:t>Atitinkamų metų birželio mėn. pateikti duomenys yra tarpiniai duomenys, o gruodžio mėn. pateikiami galutiniai duomenys. Todėl birželio mėn. duomenys yra šešių mėn. (t. y. kalendorinių metų sausio 1 d.–birželio 30 d.) ataskaitinio laikota</w:t>
      </w:r>
      <w:r>
        <w:t>r</w:t>
      </w:r>
      <w:r>
        <w:t>pio, o gruodžio mėn. – dvylikos mėn. (t. y. kalendorinių metų sausio 1 d.–gruodžio 31 d.) ataskaitinio laikotarpio duomenys. Tiek birželio mėn., tiek gruodžio mėn. duomenų atveju „ankstesni ataskaitiniai laikotarpiai“ yra visi ataskaitiniai laikota</w:t>
      </w:r>
      <w:r>
        <w:t>r</w:t>
      </w:r>
      <w:r>
        <w:t>piai iki laikotarpio, kuris baigėsi prieš tai ėjusių kalendorinių metų pabaigoje, ir jį įskaitant.</w:t>
      </w:r>
    </w:p>
    <w:p w:rsidR="00FD54FC" w:rsidRPr="00392FFD" w:rsidRDefault="00125707" w:rsidP="00C37B29">
      <w:pPr>
        <w:pStyle w:val="InstructionsText2"/>
        <w:numPr>
          <w:ilvl w:val="0"/>
          <w:numId w:val="0"/>
        </w:numPr>
        <w:ind w:left="993"/>
      </w:pPr>
      <w:r>
        <w:t>129.</w:t>
      </w:r>
      <w:r>
        <w:tab/>
        <w:t>Siekdamos patikrinti sąlygas, numatytas šio reglamento 5 straipsnio b punkto 2 dalies b punkto i papunktyje, įstaigos naudoja naujausius statistinius duomenis, p</w:t>
      </w:r>
      <w:r>
        <w:t>a</w:t>
      </w:r>
      <w:r>
        <w:t>teikiamus EBI priežiūros informacijos atskleidimo (</w:t>
      </w:r>
      <w:r>
        <w:rPr>
          <w:i/>
        </w:rPr>
        <w:t>Supervisory Disclosure</w:t>
      </w:r>
      <w:r>
        <w:t>) pusl</w:t>
      </w:r>
      <w:r>
        <w:t>a</w:t>
      </w:r>
      <w:r>
        <w:t>pyje, kad gautų „visų tos pačios valstybės narės įstaigų atskirų balansų sumų bendrą dydį“. Siekiant patikrinti sąlygas, numatytas šio reglamento 5 straipsnio b punkto 2 dalies b punkto iii papunktyje, naudojamas bendrasis vidaus produktas rinkos ka</w:t>
      </w:r>
      <w:r>
        <w:t>i</w:t>
      </w:r>
      <w:r>
        <w:t>nomis, apibrėžtas Europos Parlamento ir Tarybos reglamento (ES) Nr. 549/2013 (2010 m. Europos sąskaitų sistema) A priedo 8.89 punkte, kurio praėjusių kalend</w:t>
      </w:r>
      <w:r>
        <w:t>o</w:t>
      </w:r>
      <w:r>
        <w:t>rinių metų įvertį paskelbė Eurostatas.</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4010084"/>
      <w:r>
        <w:rPr>
          <w:rFonts w:ascii="Times New Roman" w:hAnsi="Times New Roman"/>
          <w:sz w:val="24"/>
          <w:u w:val="none"/>
        </w:rPr>
        <w:t>4.2.2.</w:t>
      </w:r>
      <w:r>
        <w:tab/>
      </w:r>
      <w:r>
        <w:rPr>
          <w:rFonts w:ascii="Times New Roman" w:hAnsi="Times New Roman"/>
          <w:sz w:val="24"/>
        </w:rPr>
        <w:t>C 17.01. Operacinės rizikos nuostoliai ir susigrąžintos sumos pagal verslo liniją ir įv</w:t>
      </w:r>
      <w:r>
        <w:rPr>
          <w:rFonts w:ascii="Times New Roman" w:hAnsi="Times New Roman"/>
          <w:sz w:val="24"/>
        </w:rPr>
        <w:t>y</w:t>
      </w:r>
      <w:r>
        <w:rPr>
          <w:rFonts w:ascii="Times New Roman" w:hAnsi="Times New Roman"/>
          <w:sz w:val="24"/>
        </w:rPr>
        <w:t>kių rūšį per praėjusius metus (OPR DETAILS 1)</w:t>
      </w:r>
      <w:bookmarkEnd w:id="569"/>
      <w:bookmarkEnd w:id="570"/>
      <w:bookmarkEnd w:id="571"/>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4010085"/>
      <w:r>
        <w:rPr>
          <w:rFonts w:ascii="Times New Roman" w:hAnsi="Times New Roman"/>
          <w:sz w:val="24"/>
          <w:u w:val="none"/>
        </w:rPr>
        <w:t>4.2.2.1.</w:t>
      </w:r>
      <w:r>
        <w:tab/>
      </w:r>
      <w:r>
        <w:rPr>
          <w:rFonts w:ascii="Times New Roman" w:hAnsi="Times New Roman"/>
          <w:sz w:val="24"/>
        </w:rPr>
        <w:t>Bendrosios pastabos</w:t>
      </w:r>
      <w:bookmarkEnd w:id="572"/>
      <w:bookmarkEnd w:id="573"/>
      <w:bookmarkEnd w:id="574"/>
    </w:p>
    <w:p w:rsidR="00FD54FC" w:rsidRPr="00392FFD" w:rsidRDefault="00125707" w:rsidP="00C37B29">
      <w:pPr>
        <w:pStyle w:val="InstructionsText2"/>
        <w:numPr>
          <w:ilvl w:val="0"/>
          <w:numId w:val="0"/>
        </w:numPr>
        <w:ind w:left="993"/>
      </w:pPr>
      <w:r>
        <w:t>130.</w:t>
      </w:r>
      <w:r>
        <w:tab/>
        <w:t>C 17.01 formoje informacija pateikiama nuostolius ir susigrąžintas sumas, k</w:t>
      </w:r>
      <w:r>
        <w:t>u</w:t>
      </w:r>
      <w:r>
        <w:t>rie viršija įstaigos viduje taikomas ribas, priskiriant verslo linijoms (kaip nurodyta KRR 317 straipsnio 2 lentelėje, įskaitant papildomas verslo linijas „Įmonių straip</w:t>
      </w:r>
      <w:r>
        <w:t>s</w:t>
      </w:r>
      <w:r>
        <w:t>niai“, kaip nurodyta KRR 322 straipsnio 3 dalies b punkte) ir įvykių rūšims (kaip apibrėžta KRR 324 straipsnyje); gali būti, kad vieno įvykio nuostolius reikės pr</w:t>
      </w:r>
      <w:r>
        <w:t>i</w:t>
      </w:r>
      <w:r>
        <w:t>skirti kelioms verslo linijoms.</w:t>
      </w:r>
    </w:p>
    <w:p w:rsidR="00FD54FC" w:rsidRPr="00392FFD" w:rsidRDefault="00125707" w:rsidP="00C37B29">
      <w:pPr>
        <w:pStyle w:val="InstructionsText2"/>
        <w:numPr>
          <w:ilvl w:val="0"/>
          <w:numId w:val="0"/>
        </w:numPr>
        <w:ind w:left="993"/>
      </w:pPr>
      <w:r>
        <w:t>131.</w:t>
      </w:r>
      <w:r>
        <w:tab/>
        <w:t>Skiltyse pateiktos įvairios įvykių rūšys ir nurodoma bendra suma pagal kie</w:t>
      </w:r>
      <w:r>
        <w:t>k</w:t>
      </w:r>
      <w:r>
        <w:t>vieną verslo liniją; kartu pateikiamas papildomos informacijos straipsnis, kuriame parodoma viduje taikoma žemiausia riba, taikoma renkant nuostolių duomenis, taip pagal kiekvieną verslo liniją parodoma žemiausia ir aukščiausia riba, jei ribų yra daugiau negu viena.</w:t>
      </w:r>
    </w:p>
    <w:p w:rsidR="00FD54FC" w:rsidRPr="00392FFD" w:rsidRDefault="00125707" w:rsidP="00C37B29">
      <w:pPr>
        <w:pStyle w:val="InstructionsText2"/>
        <w:numPr>
          <w:ilvl w:val="0"/>
          <w:numId w:val="0"/>
        </w:numPr>
        <w:ind w:left="993"/>
      </w:pPr>
      <w:r>
        <w:t>132.</w:t>
      </w:r>
      <w:r>
        <w:tab/>
        <w:t>Eilutėse pateiktos verslo linijos ir informacija apie kiekvieną iš jų – įvykių (naujų įvykių) skaičius, bendrųjų nuostolių suma (nauji įvykiai), įvykių, dėl kurių atliktas nuostolių koregavimas, skaičius, su ankstesniais ataskaitiniais laikotarpiais susijęs nuostolių koregavimas, didžiausias vieno įvykio nuostolis, penkių didžia</w:t>
      </w:r>
      <w:r>
        <w:t>u</w:t>
      </w:r>
      <w:r>
        <w:t>sių nuostolių suma ir bendra susigrąžinta nuostolių suma (tiesiogiai susigrąžintų nuostolių suma ir susigrąžintos draudimo ir kitų rizikos perleidimo mechanizmų sumos).</w:t>
      </w:r>
    </w:p>
    <w:p w:rsidR="00FD54FC" w:rsidRPr="00392FFD" w:rsidRDefault="00125707" w:rsidP="00C37B29">
      <w:pPr>
        <w:pStyle w:val="InstructionsText2"/>
        <w:numPr>
          <w:ilvl w:val="0"/>
          <w:numId w:val="0"/>
        </w:numPr>
        <w:ind w:left="993"/>
      </w:pPr>
      <w:r>
        <w:t>133.</w:t>
      </w:r>
      <w:r>
        <w:tab/>
        <w:t xml:space="preserve">Siekiant gauti reikšmę „iš viso pagal verslo liniją“ taip pat privaloma nurodyti duomenis apie įvykių skaičių ir bendrųjų nuostolių sumą tam tikriems intervalams pagal nustatytas ribas: 10 000, 20 000, 100 000 ir 1 000 000. Ribos nustatytos euro </w:t>
      </w:r>
      <w:r>
        <w:lastRenderedPageBreak/>
        <w:t>sumomis ir įtrauktos, kad būtų galima palyginti įstaigų praneštus nuostolius; todėl jos nebūtinai yra susijusios su mažiausio nuostolio ribomis, naudojamomis renkant vidaus duomenis apie nuostolius, kurios turi būti pateikiamos kitoje formos dalyje.</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4010086"/>
      <w:r>
        <w:rPr>
          <w:rFonts w:ascii="Times New Roman" w:hAnsi="Times New Roman"/>
          <w:sz w:val="24"/>
          <w:u w:val="none"/>
        </w:rPr>
        <w:t>4.2.2.2.</w:t>
      </w:r>
      <w:r>
        <w:tab/>
      </w:r>
      <w:r>
        <w:rPr>
          <w:rFonts w:ascii="Times New Roman" w:hAnsi="Times New Roman"/>
          <w:sz w:val="24"/>
        </w:rPr>
        <w:t>Nurodymai dėl konkrečių pozicijų</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Skiltys</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ĮVYKIŲ RŪŠYS</w:t>
            </w:r>
          </w:p>
          <w:p w:rsidR="00FD54FC" w:rsidRPr="00392FFD" w:rsidRDefault="00FD54FC" w:rsidP="00FD54FC">
            <w:pPr>
              <w:rPr>
                <w:rFonts w:ascii="Times New Roman" w:hAnsi="Times New Roman"/>
                <w:sz w:val="24"/>
              </w:rPr>
            </w:pPr>
            <w:r>
              <w:rPr>
                <w:rFonts w:ascii="Times New Roman" w:hAnsi="Times New Roman"/>
                <w:sz w:val="24"/>
              </w:rPr>
              <w:t>Įstaigos nuostolius atitinkamose skiltyse (010–070) nurodo pagal KRR 324 ap</w:t>
            </w:r>
            <w:r>
              <w:rPr>
                <w:rFonts w:ascii="Times New Roman" w:hAnsi="Times New Roman"/>
                <w:sz w:val="24"/>
              </w:rPr>
              <w:t>i</w:t>
            </w:r>
            <w:r>
              <w:rPr>
                <w:rFonts w:ascii="Times New Roman" w:hAnsi="Times New Roman"/>
                <w:sz w:val="24"/>
              </w:rPr>
              <w:t xml:space="preserve">brėžtas įvykių rūšis. </w:t>
            </w:r>
          </w:p>
          <w:p w:rsidR="00FD54FC" w:rsidRPr="00392FFD" w:rsidRDefault="00FD54FC" w:rsidP="00871877">
            <w:pPr>
              <w:rPr>
                <w:rFonts w:ascii="Times New Roman" w:hAnsi="Times New Roman"/>
                <w:bCs/>
                <w:sz w:val="24"/>
              </w:rPr>
            </w:pPr>
            <w:r>
              <w:rPr>
                <w:rFonts w:ascii="Times New Roman" w:hAnsi="Times New Roman"/>
                <w:sz w:val="24"/>
              </w:rPr>
              <w:t>Įstaigos, kurios savo nuosavų lėšų reikalavimą apskaičiuoja pagal BIA metodą, nuostolius, kurių įvykių rūšis nėra nurodyta, gali nurodyti tik 080 skiltyje.</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IŠ VISO PAGAL ĮVYKIŲ RŪŠĮ</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080 skiltyje įstaigos pateikia šią kiekvienos verslo linijos informaciją: „įvykių (naujų įvykių) skaičius“ iš viso, „bendrųjų nuostolių suma (nauji įvykiai)“ iš viso, „įvykių, dėl kurių atliktas nuostolių koregavimas, skaičius“ iš viso, „su ankste</w:t>
            </w:r>
            <w:r>
              <w:rPr>
                <w:rStyle w:val="InstructionsTabelleText"/>
                <w:rFonts w:ascii="Times New Roman" w:hAnsi="Times New Roman"/>
                <w:sz w:val="24"/>
              </w:rPr>
              <w:t>s</w:t>
            </w:r>
            <w:r>
              <w:rPr>
                <w:rStyle w:val="InstructionsTabelleText"/>
                <w:rFonts w:ascii="Times New Roman" w:hAnsi="Times New Roman"/>
                <w:sz w:val="24"/>
              </w:rPr>
              <w:t>niais ataskaitiniais laikotarpiais susijęs nuostolių koregavimas“ iš viso, „didžia</w:t>
            </w:r>
            <w:r>
              <w:rPr>
                <w:rStyle w:val="InstructionsTabelleText"/>
                <w:rFonts w:ascii="Times New Roman" w:hAnsi="Times New Roman"/>
                <w:sz w:val="24"/>
              </w:rPr>
              <w:t>u</w:t>
            </w:r>
            <w:r>
              <w:rPr>
                <w:rStyle w:val="InstructionsTabelleText"/>
                <w:rFonts w:ascii="Times New Roman" w:hAnsi="Times New Roman"/>
                <w:sz w:val="24"/>
              </w:rPr>
              <w:t>sias vieno įvykio nuostolis“, „penkių didžiausių nuostolių suma“, „bendra tiesi</w:t>
            </w:r>
            <w:r>
              <w:rPr>
                <w:rStyle w:val="InstructionsTabelleText"/>
                <w:rFonts w:ascii="Times New Roman" w:hAnsi="Times New Roman"/>
                <w:sz w:val="24"/>
              </w:rPr>
              <w:t>o</w:t>
            </w:r>
            <w:r>
              <w:rPr>
                <w:rStyle w:val="InstructionsTabelleText"/>
                <w:rFonts w:ascii="Times New Roman" w:hAnsi="Times New Roman"/>
                <w:sz w:val="24"/>
              </w:rPr>
              <w:t>giai susigrąžinta nuostolių suma“ iš viso ir „bendra suma, susigrąžinta pagal dra</w:t>
            </w:r>
            <w:r>
              <w:rPr>
                <w:rStyle w:val="InstructionsTabelleText"/>
                <w:rFonts w:ascii="Times New Roman" w:hAnsi="Times New Roman"/>
                <w:sz w:val="24"/>
              </w:rPr>
              <w:t>u</w:t>
            </w:r>
            <w:r>
              <w:rPr>
                <w:rStyle w:val="InstructionsTabelleText"/>
                <w:rFonts w:ascii="Times New Roman" w:hAnsi="Times New Roman"/>
                <w:sz w:val="24"/>
              </w:rPr>
              <w:t>dimo ir kitus rizikos perleidimo mechanizmus“ iš viso.</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Jeigu įstaiga yra nurodžiusi visų nuostolių įvykių rūšis, 080 skiltyje pateikiama įvykių (naujų įvykių) skaičiaus, bendrųjų nuostolių sumos iš viso, susigrąžintos nuostolių sumos iš viso ir su ankstesniais ataskaitiniais laikotarpiais susijusių nu</w:t>
            </w:r>
            <w:r>
              <w:rPr>
                <w:rStyle w:val="InstructionsTabelleText"/>
                <w:rFonts w:ascii="Times New Roman" w:hAnsi="Times New Roman"/>
                <w:sz w:val="24"/>
              </w:rPr>
              <w:t>o</w:t>
            </w:r>
            <w:r>
              <w:rPr>
                <w:rStyle w:val="InstructionsTabelleText"/>
                <w:rFonts w:ascii="Times New Roman" w:hAnsi="Times New Roman"/>
                <w:sz w:val="24"/>
              </w:rPr>
              <w:t xml:space="preserve">stolių koregavimo sumų, nurodytų 010–070 skiltyse, paprasta suma.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080 skiltyje nurodomas „didžiausias vieno įvykio nuostolis“ – didžiausias vieno įvykio nuostolis pagal vieną verslo liniją, sutampantis su didžiausių vieno įvykio nuostolių didžiausia suma, nurodyta 010–070 skiltyse, jeigu įstaiga yra nurodžiusi visų nuostolių įvykių rūšis.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080 skiltyje nurodant penkių didžiausių nuostolių sumą nurodoma penkių didžia</w:t>
            </w:r>
            <w:r>
              <w:rPr>
                <w:rStyle w:val="InstructionsTabelleText"/>
                <w:rFonts w:ascii="Times New Roman" w:hAnsi="Times New Roman"/>
                <w:sz w:val="24"/>
              </w:rPr>
              <w:t>u</w:t>
            </w:r>
            <w:r>
              <w:rPr>
                <w:rStyle w:val="InstructionsTabelleText"/>
                <w:rFonts w:ascii="Times New Roman" w:hAnsi="Times New Roman"/>
                <w:sz w:val="24"/>
              </w:rPr>
              <w:t>sių nuostolių pagal vieną verslo liniją suma.</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PAPILDOMAS STRAIPSNIS. RIBOS, TAIKOMOS DUOMENŲ RINK</w:t>
            </w:r>
            <w:r>
              <w:rPr>
                <w:rStyle w:val="InstructionsTabelleberschrift"/>
                <w:rFonts w:ascii="Times New Roman" w:hAnsi="Times New Roman"/>
                <w:sz w:val="24"/>
              </w:rPr>
              <w:t>I</w:t>
            </w:r>
            <w:r>
              <w:rPr>
                <w:rStyle w:val="InstructionsTabelleberschrift"/>
                <w:rFonts w:ascii="Times New Roman" w:hAnsi="Times New Roman"/>
                <w:sz w:val="24"/>
              </w:rPr>
              <w:t>MUI</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090 ir 100 skiltyse įstaigos nurodo mažiausio nuostolio ribas, kurias jos taiko rinkdamos vidaus duomenis apie nuostolius pagal KRR 322 straipsnio 3 dalies c punkto paskutinį sakinį.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Jeigu kiekvienai verslo linijai įstaiga taiko tik vieną ribą, pildoma tik 090 skiltis.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Jeigu tai pačiai reguliuojamai verslo linijai įstaiga taiko kelias skirtingas ribas, t</w:t>
            </w:r>
            <w:r>
              <w:rPr>
                <w:rStyle w:val="InstructionsTabelleText"/>
                <w:rFonts w:ascii="Times New Roman" w:hAnsi="Times New Roman"/>
                <w:sz w:val="24"/>
              </w:rPr>
              <w:t>a</w:t>
            </w:r>
            <w:r>
              <w:rPr>
                <w:rStyle w:val="InstructionsTabelleText"/>
                <w:rFonts w:ascii="Times New Roman" w:hAnsi="Times New Roman"/>
                <w:sz w:val="24"/>
              </w:rPr>
              <w:t>da taip pat nurodoma (100 skiltyje) ir aukščiausia taikytina riba.</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Eilutės</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VERSLO LINIJOS: ĮMONIŲ FINANSAI, PREKYBA IR PARDAVIMAI, MAŽMENINĖS MAKLERIŲ PASLAUGOS, KOMERCINĖ BANKINI</w:t>
            </w:r>
            <w:r>
              <w:rPr>
                <w:rStyle w:val="InstructionsTabelleberschrift"/>
                <w:rFonts w:ascii="Times New Roman" w:hAnsi="Times New Roman"/>
                <w:sz w:val="24"/>
              </w:rPr>
              <w:t>N</w:t>
            </w:r>
            <w:r>
              <w:rPr>
                <w:rStyle w:val="InstructionsTabelleberschrift"/>
                <w:rFonts w:ascii="Times New Roman" w:hAnsi="Times New Roman"/>
                <w:sz w:val="24"/>
              </w:rPr>
              <w:t>KYSTĖ, MAŽMENINĖ BANKININKYSTĖ, MOKĖJIMAI IR ATSISKA</w:t>
            </w:r>
            <w:r>
              <w:rPr>
                <w:rStyle w:val="InstructionsTabelleberschrift"/>
                <w:rFonts w:ascii="Times New Roman" w:hAnsi="Times New Roman"/>
                <w:sz w:val="24"/>
              </w:rPr>
              <w:t>I</w:t>
            </w:r>
            <w:r>
              <w:rPr>
                <w:rStyle w:val="InstructionsTabelleberschrift"/>
                <w:rFonts w:ascii="Times New Roman" w:hAnsi="Times New Roman"/>
                <w:sz w:val="24"/>
              </w:rPr>
              <w:t xml:space="preserve">TYMAI, TARPININKAVIMO PASLAUGOS, TURTO VALDYMAS, </w:t>
            </w:r>
            <w:r>
              <w:rPr>
                <w:rStyle w:val="InstructionsTabelleberschrift"/>
                <w:rFonts w:ascii="Times New Roman" w:hAnsi="Times New Roman"/>
                <w:sz w:val="24"/>
              </w:rPr>
              <w:lastRenderedPageBreak/>
              <w:t>ĮMONIŲ STRAIPSNIAI</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Pagal kiekvieną verslo liniją, kaip nurodyta KRR 317 straipsnio 4 dalies 2 lent</w:t>
            </w:r>
            <w:r>
              <w:rPr>
                <w:rFonts w:ascii="Times New Roman" w:hAnsi="Times New Roman"/>
                <w:sz w:val="24"/>
              </w:rPr>
              <w:t>e</w:t>
            </w:r>
            <w:r>
              <w:rPr>
                <w:rFonts w:ascii="Times New Roman" w:hAnsi="Times New Roman"/>
                <w:sz w:val="24"/>
              </w:rPr>
              <w:t>lėje, įskaitant papildomą verslo liniją „Įmonių straipsniai“, nurodytą KRR 322 straipsnio 3 dalies b punkte, ir pagal kiekvieną įvykio rūšį įstaiga, atsižvelgdama į vidaus ribas, pateikia šią informaciją: įvykių (naujų įvykių) skaičių, bendrųjų nuostolių sumą (nauji įvykiai), įvykių, dėl kurių atliktas nuostolių koregavimas, skaičių, su ankstesniais ataskaitiniais laikotarpiais susijusį nuostolių koregavimą, didžiausią vieno įvykio nuostolį, penkių didžiausių nuostolių sumą, bendrą ti</w:t>
            </w:r>
            <w:r>
              <w:rPr>
                <w:rFonts w:ascii="Times New Roman" w:hAnsi="Times New Roman"/>
                <w:sz w:val="24"/>
              </w:rPr>
              <w:t>e</w:t>
            </w:r>
            <w:r>
              <w:rPr>
                <w:rFonts w:ascii="Times New Roman" w:hAnsi="Times New Roman"/>
                <w:sz w:val="24"/>
              </w:rPr>
              <w:t xml:space="preserve">siogiai susigrąžintą nuostolių sumą ir bendrą sumą, susigrąžintą pagal draudimo ir kitus rizikos perleidimo mechanizmus. </w:t>
            </w:r>
          </w:p>
          <w:p w:rsidR="00FD54FC" w:rsidRPr="00392FFD" w:rsidRDefault="00FD54FC" w:rsidP="00FD54FC">
            <w:pPr>
              <w:rPr>
                <w:rFonts w:ascii="Times New Roman" w:hAnsi="Times New Roman"/>
                <w:sz w:val="24"/>
              </w:rPr>
            </w:pPr>
            <w:r>
              <w:rPr>
                <w:rFonts w:ascii="Times New Roman" w:hAnsi="Times New Roman"/>
                <w:sz w:val="24"/>
              </w:rPr>
              <w:t>Jeigu nuostolio įvykis paveikia daugiau negu vieną verslo liniją, „bendroji nu</w:t>
            </w:r>
            <w:r>
              <w:rPr>
                <w:rFonts w:ascii="Times New Roman" w:hAnsi="Times New Roman"/>
                <w:sz w:val="24"/>
              </w:rPr>
              <w:t>o</w:t>
            </w:r>
            <w:r>
              <w:rPr>
                <w:rFonts w:ascii="Times New Roman" w:hAnsi="Times New Roman"/>
                <w:sz w:val="24"/>
              </w:rPr>
              <w:t>stolių suma“ paskirstoma tarp visų paveiktų verslo linijų.</w:t>
            </w:r>
          </w:p>
          <w:p w:rsidR="00FD54FC" w:rsidRPr="00392FFD" w:rsidRDefault="00FD54FC" w:rsidP="00FD54FC">
            <w:pPr>
              <w:rPr>
                <w:rFonts w:ascii="Times New Roman" w:hAnsi="Times New Roman"/>
                <w:bCs/>
                <w:sz w:val="24"/>
              </w:rPr>
            </w:pPr>
            <w:r>
              <w:rPr>
                <w:rFonts w:ascii="Times New Roman" w:hAnsi="Times New Roman"/>
                <w:sz w:val="24"/>
              </w:rPr>
              <w:t>Įstaigos, kurios savo nuosavų lėšų reikalavimą apskaičiuoja pagal BIA metodą, nuostolius, kurių verslo linija nėra nurodyta, gali nurodyti tik 910–980 eilutėse.</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Įvykių (naujų įvykių) skaičius</w:t>
            </w:r>
          </w:p>
          <w:p w:rsidR="00FD54FC" w:rsidRPr="00392FFD" w:rsidRDefault="00FD54FC" w:rsidP="00FD54FC">
            <w:pPr>
              <w:rPr>
                <w:rFonts w:ascii="Times New Roman" w:hAnsi="Times New Roman"/>
                <w:sz w:val="24"/>
              </w:rPr>
            </w:pPr>
            <w:r>
              <w:rPr>
                <w:rFonts w:ascii="Times New Roman" w:hAnsi="Times New Roman"/>
                <w:sz w:val="24"/>
              </w:rPr>
              <w:t>Įvykių skaičius yra operacinės rizikos įvykių, kurių bendrasis nuostolis įtrauktas į apskaitą per ataskaitinį laikotarpį, skaičius.</w:t>
            </w:r>
          </w:p>
          <w:p w:rsidR="00FD54FC" w:rsidRPr="00392FFD" w:rsidRDefault="00FD54FC" w:rsidP="00FD54FC">
            <w:pPr>
              <w:rPr>
                <w:rFonts w:ascii="Times New Roman" w:hAnsi="Times New Roman"/>
                <w:sz w:val="24"/>
              </w:rPr>
            </w:pPr>
            <w:r>
              <w:rPr>
                <w:rFonts w:ascii="Times New Roman" w:hAnsi="Times New Roman"/>
                <w:sz w:val="24"/>
              </w:rPr>
              <w:t>Įvykių skaičius yra susijęs su naujais įvykiais, t. y. operacinės rizikos įvykiais, kurie yra: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pirmą kartą įtraukti į apskaitą per ataskaitinį laikotarpį arba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pirmą kartą įtraukti į apskaitą per ankstesnį ataskaitinį laikotarpį, jeigu įv</w:t>
            </w:r>
            <w:r>
              <w:rPr>
                <w:rFonts w:ascii="Times New Roman" w:hAnsi="Times New Roman"/>
                <w:sz w:val="24"/>
              </w:rPr>
              <w:t>y</w:t>
            </w:r>
            <w:r>
              <w:rPr>
                <w:rFonts w:ascii="Times New Roman" w:hAnsi="Times New Roman"/>
                <w:sz w:val="24"/>
              </w:rPr>
              <w:t>kis nebuvo įtrauktas į jokią ankstesnę priežiūros ataskaitą, pvz., dėl to, kad buvo įvertintas kaip operacinės rizikos įvykis tik einamuoju ataskaitiniu la</w:t>
            </w:r>
            <w:r>
              <w:rPr>
                <w:rFonts w:ascii="Times New Roman" w:hAnsi="Times New Roman"/>
                <w:sz w:val="24"/>
              </w:rPr>
              <w:t>i</w:t>
            </w:r>
            <w:r>
              <w:rPr>
                <w:rFonts w:ascii="Times New Roman" w:hAnsi="Times New Roman"/>
                <w:sz w:val="24"/>
              </w:rPr>
              <w:t>kotarpiu arba tam įvykiui priskirtas sukauptas nuostolis (t. y. pirminis nu</w:t>
            </w:r>
            <w:r>
              <w:rPr>
                <w:rFonts w:ascii="Times New Roman" w:hAnsi="Times New Roman"/>
                <w:sz w:val="24"/>
              </w:rPr>
              <w:t>o</w:t>
            </w:r>
            <w:r>
              <w:rPr>
                <w:rFonts w:ascii="Times New Roman" w:hAnsi="Times New Roman"/>
                <w:sz w:val="24"/>
              </w:rPr>
              <w:t>stolis pridėjus ar atėmus visus nuostolių koregavimus ankstesniais ataskait</w:t>
            </w:r>
            <w:r>
              <w:rPr>
                <w:rFonts w:ascii="Times New Roman" w:hAnsi="Times New Roman"/>
                <w:sz w:val="24"/>
              </w:rPr>
              <w:t>i</w:t>
            </w:r>
            <w:r>
              <w:rPr>
                <w:rFonts w:ascii="Times New Roman" w:hAnsi="Times New Roman"/>
                <w:sz w:val="24"/>
              </w:rPr>
              <w:t>niais laikotarpiais) tik einamuoju ataskaitiniu laikotarpiu viršijo vidaus du</w:t>
            </w:r>
            <w:r>
              <w:rPr>
                <w:rFonts w:ascii="Times New Roman" w:hAnsi="Times New Roman"/>
                <w:sz w:val="24"/>
              </w:rPr>
              <w:t>o</w:t>
            </w:r>
            <w:r>
              <w:rPr>
                <w:rFonts w:ascii="Times New Roman" w:hAnsi="Times New Roman"/>
                <w:sz w:val="24"/>
              </w:rPr>
              <w:t>menų rinkimo ribą.</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Nauji įvykiai neapima operacinės rizikos įvykių, pirmą kartą įtrauktų į apskaitą per ankstesnį ataskaitinį laikotarpį, jeigu įvykis jau buvo įtrauktas į ankstesnes priežiūros ataskaitas.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Bendrųjų nuostolių suma (nauji įvykiai)</w:t>
            </w:r>
          </w:p>
          <w:p w:rsidR="00FD54FC" w:rsidRPr="00392FFD" w:rsidRDefault="00FD54FC" w:rsidP="00FD54FC">
            <w:pPr>
              <w:rPr>
                <w:rFonts w:ascii="Times New Roman" w:hAnsi="Times New Roman"/>
                <w:sz w:val="24"/>
              </w:rPr>
            </w:pPr>
            <w:r>
              <w:rPr>
                <w:rFonts w:ascii="Times New Roman" w:hAnsi="Times New Roman"/>
                <w:sz w:val="24"/>
              </w:rPr>
              <w:t>Bendrųjų nuostolių suma apima bendrųjų nuostolių sumas, susijusias su operac</w:t>
            </w:r>
            <w:r>
              <w:rPr>
                <w:rFonts w:ascii="Times New Roman" w:hAnsi="Times New Roman"/>
                <w:sz w:val="24"/>
              </w:rPr>
              <w:t>i</w:t>
            </w:r>
            <w:r>
              <w:rPr>
                <w:rFonts w:ascii="Times New Roman" w:hAnsi="Times New Roman"/>
                <w:sz w:val="24"/>
              </w:rPr>
              <w:t>nės rizikos įvykiais (pvz., tiesioginiais mokesčiais, atidėjiniais, atsiskaitymais). Visi su vienu įvykiu susiję nuostoliai, įtraukiami į apskaitą per ataskaitinį laik</w:t>
            </w:r>
            <w:r>
              <w:rPr>
                <w:rFonts w:ascii="Times New Roman" w:hAnsi="Times New Roman"/>
                <w:sz w:val="24"/>
              </w:rPr>
              <w:t>o</w:t>
            </w:r>
            <w:r>
              <w:rPr>
                <w:rFonts w:ascii="Times New Roman" w:hAnsi="Times New Roman"/>
                <w:sz w:val="24"/>
              </w:rPr>
              <w:t>tarpį, yra susumuojami ir laikomi bendruoju to įvykio nuostoliu tuo ataskaitiniu laikotarpiu.</w:t>
            </w:r>
          </w:p>
          <w:p w:rsidR="00FD54FC" w:rsidRPr="00392FFD" w:rsidRDefault="00FD54FC" w:rsidP="00FD54FC">
            <w:pPr>
              <w:rPr>
                <w:rFonts w:ascii="Times New Roman" w:hAnsi="Times New Roman"/>
                <w:sz w:val="24"/>
              </w:rPr>
            </w:pPr>
            <w:r>
              <w:rPr>
                <w:rFonts w:ascii="Times New Roman" w:hAnsi="Times New Roman"/>
                <w:sz w:val="24"/>
              </w:rPr>
              <w:t>Nurodoma bendrųjų nuostolių suma yra susijusi su naujais įvykiais, kaip apibrė</w:t>
            </w:r>
            <w:r>
              <w:rPr>
                <w:rFonts w:ascii="Times New Roman" w:hAnsi="Times New Roman"/>
                <w:sz w:val="24"/>
              </w:rPr>
              <w:t>ž</w:t>
            </w:r>
            <w:r>
              <w:rPr>
                <w:rFonts w:ascii="Times New Roman" w:hAnsi="Times New Roman"/>
                <w:sz w:val="24"/>
              </w:rPr>
              <w:t>ta ankstesnėje eilutėje. Įvykių, kurie pirmą kartą įtraukti į apskaitą per ankstesnį ataskaitinį laikotarpį ir nebuvo įtraukti į jokią ankstesnę priežiūros ataskaitą, iki ataskaitinės datos sukaupta bendra nuostolių suma (t. y. pirminis nuostolis prid</w:t>
            </w:r>
            <w:r>
              <w:rPr>
                <w:rFonts w:ascii="Times New Roman" w:hAnsi="Times New Roman"/>
                <w:sz w:val="24"/>
              </w:rPr>
              <w:t>ė</w:t>
            </w:r>
            <w:r>
              <w:rPr>
                <w:rFonts w:ascii="Times New Roman" w:hAnsi="Times New Roman"/>
                <w:sz w:val="24"/>
              </w:rPr>
              <w:t>jus ar atėmus visus nuostolių koregavimus ankstesniais ataskaitiniais laikota</w:t>
            </w:r>
            <w:r>
              <w:rPr>
                <w:rFonts w:ascii="Times New Roman" w:hAnsi="Times New Roman"/>
                <w:sz w:val="24"/>
              </w:rPr>
              <w:t>r</w:t>
            </w:r>
            <w:r>
              <w:rPr>
                <w:rFonts w:ascii="Times New Roman" w:hAnsi="Times New Roman"/>
                <w:sz w:val="24"/>
              </w:rPr>
              <w:t>piais) nurodoma kaip bendrasis nuostolis ataskaitinę dieną.</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Apskaičiuojant nurodytinas sumas neatsižvelgiama į susigrąžintas sumas.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Nuostolio įvykių, dėl kurių buvo atliekamas nuostolių koregavimas, skaičius</w:t>
            </w:r>
          </w:p>
          <w:p w:rsidR="00FD54FC" w:rsidRPr="00392FFD" w:rsidRDefault="00FD54FC" w:rsidP="00FD54FC">
            <w:pPr>
              <w:rPr>
                <w:rFonts w:ascii="Times New Roman" w:hAnsi="Times New Roman"/>
                <w:sz w:val="24"/>
              </w:rPr>
            </w:pPr>
            <w:r>
              <w:rPr>
                <w:rFonts w:ascii="Times New Roman" w:hAnsi="Times New Roman"/>
                <w:sz w:val="24"/>
              </w:rPr>
              <w:t>Nuostolio įvykių, dėl kurių buvo atliekamas nuostolių koregavimas, skaičius – operacinės rizikos įvykių, pirmą kartą įtrauktų į apskaitą per ankstesnius ataska</w:t>
            </w:r>
            <w:r>
              <w:rPr>
                <w:rFonts w:ascii="Times New Roman" w:hAnsi="Times New Roman"/>
                <w:sz w:val="24"/>
              </w:rPr>
              <w:t>i</w:t>
            </w:r>
            <w:r>
              <w:rPr>
                <w:rFonts w:ascii="Times New Roman" w:hAnsi="Times New Roman"/>
                <w:sz w:val="24"/>
              </w:rPr>
              <w:t>tinius laikotarpius ir jau įtrauktų į ankstesnes ataskaitas, kurių nuostolių koreg</w:t>
            </w:r>
            <w:r>
              <w:rPr>
                <w:rFonts w:ascii="Times New Roman" w:hAnsi="Times New Roman"/>
                <w:sz w:val="24"/>
              </w:rPr>
              <w:t>a</w:t>
            </w:r>
            <w:r>
              <w:rPr>
                <w:rFonts w:ascii="Times New Roman" w:hAnsi="Times New Roman"/>
                <w:sz w:val="24"/>
              </w:rPr>
              <w:t xml:space="preserve">vimas atliktas einamuoju ataskaitiniu laikotarpiu, skaičius. </w:t>
            </w:r>
          </w:p>
          <w:p w:rsidR="00FD54FC" w:rsidRPr="00392FFD" w:rsidRDefault="00FD54FC" w:rsidP="00FD54FC">
            <w:pPr>
              <w:rPr>
                <w:b/>
                <w:sz w:val="24"/>
              </w:rPr>
            </w:pPr>
            <w:r>
              <w:rPr>
                <w:rFonts w:ascii="Times New Roman" w:hAnsi="Times New Roman"/>
                <w:sz w:val="24"/>
              </w:rPr>
              <w:t>Jeigu per ataskaitinį laikotarpį dėl įvykio atliktas daugiau nei vienas nuostolių k</w:t>
            </w:r>
            <w:r>
              <w:rPr>
                <w:rFonts w:ascii="Times New Roman" w:hAnsi="Times New Roman"/>
                <w:sz w:val="24"/>
              </w:rPr>
              <w:t>o</w:t>
            </w:r>
            <w:r>
              <w:rPr>
                <w:rFonts w:ascii="Times New Roman" w:hAnsi="Times New Roman"/>
                <w:sz w:val="24"/>
              </w:rPr>
              <w:t>regavimas, šių nuostolių koregavimo sumų suma laikoma vienu koregavimu per laikotarpį.</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 ankstesniais ataskaitiniais laikotarpiais susijęs nuostolių koregavimas</w:t>
            </w:r>
          </w:p>
          <w:p w:rsidR="00FD54FC" w:rsidRPr="00392FFD" w:rsidRDefault="00FD54FC" w:rsidP="00FD54FC">
            <w:pPr>
              <w:rPr>
                <w:rFonts w:ascii="Times New Roman" w:hAnsi="Times New Roman"/>
                <w:sz w:val="24"/>
              </w:rPr>
            </w:pPr>
            <w:r>
              <w:rPr>
                <w:rFonts w:ascii="Times New Roman" w:hAnsi="Times New Roman"/>
                <w:sz w:val="24"/>
              </w:rPr>
              <w:t>Su ankstesniais ataskaitiniais laikotarpiais susijęs nuostolių koregavimas – suma visų šių elementų (teigiamų ar neigiamų):</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bendrųjų nuostolių sumų, susijusių su operacinės rizikos įvykių, pirmą kartą įtrauktų į apskaitą ir praneštų ankstesniais ataskaitiniais laikotarpiais, te</w:t>
            </w:r>
            <w:r>
              <w:rPr>
                <w:rFonts w:ascii="Times New Roman" w:hAnsi="Times New Roman"/>
                <w:sz w:val="24"/>
              </w:rPr>
              <w:t>i</w:t>
            </w:r>
            <w:r>
              <w:rPr>
                <w:rFonts w:ascii="Times New Roman" w:hAnsi="Times New Roman"/>
                <w:sz w:val="24"/>
              </w:rPr>
              <w:t>giamu nuostolių koregavimu (pvz., atidėjinių padidinimu, susijusiais nuost</w:t>
            </w:r>
            <w:r>
              <w:rPr>
                <w:rFonts w:ascii="Times New Roman" w:hAnsi="Times New Roman"/>
                <w:sz w:val="24"/>
              </w:rPr>
              <w:t>o</w:t>
            </w:r>
            <w:r>
              <w:rPr>
                <w:rFonts w:ascii="Times New Roman" w:hAnsi="Times New Roman"/>
                <w:sz w:val="24"/>
              </w:rPr>
              <w:t>lio įvykiais, papildomais atsiskaitymais) per ataskaitinį laikotarpį;</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bendrųjų nuostolių sumų, susijusių su operacinės rizikos įvykių, pirmą kartą įtrauktų į apskaitą ir praneštų ankstesniais ataskaitiniais laikotarpiais, ne</w:t>
            </w:r>
            <w:r>
              <w:rPr>
                <w:rFonts w:ascii="Times New Roman" w:hAnsi="Times New Roman"/>
                <w:sz w:val="24"/>
              </w:rPr>
              <w:t>i</w:t>
            </w:r>
            <w:r>
              <w:rPr>
                <w:rFonts w:ascii="Times New Roman" w:hAnsi="Times New Roman"/>
                <w:sz w:val="24"/>
              </w:rPr>
              <w:t xml:space="preserve">giamu nuostolių koregavimu (pvz., dėl atidėjinių sumažėjimo) per ataskaitinį laikotarpį. </w:t>
            </w:r>
          </w:p>
          <w:p w:rsidR="00FD54FC" w:rsidRPr="00392FFD" w:rsidRDefault="00FD54FC" w:rsidP="00FD54FC">
            <w:pPr>
              <w:rPr>
                <w:rFonts w:ascii="Times New Roman" w:hAnsi="Times New Roman"/>
                <w:sz w:val="24"/>
              </w:rPr>
            </w:pPr>
            <w:r>
              <w:rPr>
                <w:rFonts w:ascii="Times New Roman" w:hAnsi="Times New Roman"/>
                <w:sz w:val="24"/>
              </w:rPr>
              <w:t>Jeigu per ataskaitinį laikotarpį dėl įvykio atliktas daugiau nei vienas nuostolių k</w:t>
            </w:r>
            <w:r>
              <w:rPr>
                <w:rFonts w:ascii="Times New Roman" w:hAnsi="Times New Roman"/>
                <w:sz w:val="24"/>
              </w:rPr>
              <w:t>o</w:t>
            </w:r>
            <w:r>
              <w:rPr>
                <w:rFonts w:ascii="Times New Roman" w:hAnsi="Times New Roman"/>
                <w:sz w:val="24"/>
              </w:rPr>
              <w:t>regavimas, visos šios nuostolių koregavimo sumos sudedamos, atsižvelgiant į k</w:t>
            </w:r>
            <w:r>
              <w:rPr>
                <w:rFonts w:ascii="Times New Roman" w:hAnsi="Times New Roman"/>
                <w:sz w:val="24"/>
              </w:rPr>
              <w:t>o</w:t>
            </w:r>
            <w:r>
              <w:rPr>
                <w:rFonts w:ascii="Times New Roman" w:hAnsi="Times New Roman"/>
                <w:sz w:val="24"/>
              </w:rPr>
              <w:t>regavimo ženklą (teigiamas, neigiamas). Ši suma laikoma to įvykio nuostolių k</w:t>
            </w:r>
            <w:r>
              <w:rPr>
                <w:rFonts w:ascii="Times New Roman" w:hAnsi="Times New Roman"/>
                <w:sz w:val="24"/>
              </w:rPr>
              <w:t>o</w:t>
            </w:r>
            <w:r>
              <w:rPr>
                <w:rFonts w:ascii="Times New Roman" w:hAnsi="Times New Roman"/>
                <w:sz w:val="24"/>
              </w:rPr>
              <w:t>regavimu tuo ataskaitiniu laikotarpiu.</w:t>
            </w:r>
          </w:p>
          <w:p w:rsidR="00FD54FC" w:rsidRPr="00392FFD" w:rsidRDefault="00FD54FC" w:rsidP="00FD54FC">
            <w:pPr>
              <w:rPr>
                <w:rFonts w:ascii="Times New Roman" w:hAnsi="Times New Roman"/>
                <w:sz w:val="24"/>
              </w:rPr>
            </w:pPr>
            <w:r>
              <w:rPr>
                <w:rFonts w:ascii="Times New Roman" w:hAnsi="Times New Roman"/>
                <w:sz w:val="24"/>
              </w:rPr>
              <w:t>Jeigu dėl neigiamo nuostolių koregavimo įvykiui priskirtina pakoreguota nuost</w:t>
            </w:r>
            <w:r>
              <w:rPr>
                <w:rFonts w:ascii="Times New Roman" w:hAnsi="Times New Roman"/>
                <w:sz w:val="24"/>
              </w:rPr>
              <w:t>o</w:t>
            </w:r>
            <w:r>
              <w:rPr>
                <w:rFonts w:ascii="Times New Roman" w:hAnsi="Times New Roman"/>
                <w:sz w:val="24"/>
              </w:rPr>
              <w:t>lio suma nesiekia įstaigos vidaus duomenų rinkimo ribos, įstaiga nurodo bendrą to įvykio nuostolio sumą, susikaupusią iki paskutinio karto, kai įvykis praneštas gruodžio mėn. ataskaitinę dieną (t. y. pirminis nuostolis pridėjus ar atėmus visus nuostolių koregavimus ankstesniais ataskaitiniais laikotarpiais), su minuso žen</w:t>
            </w:r>
            <w:r>
              <w:rPr>
                <w:rFonts w:ascii="Times New Roman" w:hAnsi="Times New Roman"/>
                <w:sz w:val="24"/>
              </w:rPr>
              <w:t>k</w:t>
            </w:r>
            <w:r>
              <w:rPr>
                <w:rFonts w:ascii="Times New Roman" w:hAnsi="Times New Roman"/>
                <w:sz w:val="24"/>
              </w:rPr>
              <w:t>lu, o ne paties neigiamo nuostolių koregavimo sumą.</w:t>
            </w:r>
          </w:p>
          <w:p w:rsidR="00FD54FC" w:rsidRPr="00392FFD" w:rsidRDefault="00FD54FC" w:rsidP="00EB62C2">
            <w:pPr>
              <w:rPr>
                <w:b/>
                <w:sz w:val="24"/>
              </w:rPr>
            </w:pPr>
            <w:r>
              <w:rPr>
                <w:rFonts w:ascii="Times New Roman" w:hAnsi="Times New Roman"/>
                <w:sz w:val="24"/>
              </w:rPr>
              <w:t>Apskaičiuojant nurodytinas sumas neatsižvelgiama į susigrąžintas sumas.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Didžiausias vieno įvykio nuostolis</w:t>
            </w:r>
          </w:p>
          <w:p w:rsidR="00FD54FC" w:rsidRPr="00392FFD" w:rsidRDefault="00FD54FC" w:rsidP="00FD54FC">
            <w:pPr>
              <w:rPr>
                <w:rFonts w:ascii="Times New Roman" w:hAnsi="Times New Roman"/>
                <w:sz w:val="24"/>
              </w:rPr>
            </w:pPr>
            <w:r>
              <w:rPr>
                <w:rFonts w:ascii="Times New Roman" w:hAnsi="Times New Roman"/>
                <w:sz w:val="24"/>
              </w:rPr>
              <w:t>Didžiausias vieno įvykio nuostolis – didesnė iš šių sumų:</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didžiausia bendrųjų nuostolių suma, susijusi su įvykiu, apie kurį pirmą kartą pranešta per ataskaitinį laikotarpį, ir</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didžiausia teigiama nuostolių koregavimo suma (kaip apibrėžta pirmiau), s</w:t>
            </w:r>
            <w:r>
              <w:rPr>
                <w:rFonts w:ascii="Times New Roman" w:hAnsi="Times New Roman"/>
                <w:sz w:val="24"/>
              </w:rPr>
              <w:t>u</w:t>
            </w:r>
            <w:r>
              <w:rPr>
                <w:rFonts w:ascii="Times New Roman" w:hAnsi="Times New Roman"/>
                <w:sz w:val="24"/>
              </w:rPr>
              <w:t>sijusi su įvykiu, apie kurį pirmą kartą pranešta per ankstesnį ataskaitinį la</w:t>
            </w:r>
            <w:r>
              <w:rPr>
                <w:rFonts w:ascii="Times New Roman" w:hAnsi="Times New Roman"/>
                <w:sz w:val="24"/>
              </w:rPr>
              <w:t>i</w:t>
            </w:r>
            <w:r>
              <w:rPr>
                <w:rFonts w:ascii="Times New Roman" w:hAnsi="Times New Roman"/>
                <w:sz w:val="24"/>
              </w:rPr>
              <w:t>kotarpį.</w:t>
            </w:r>
          </w:p>
          <w:p w:rsidR="00FD54FC" w:rsidRPr="00392FFD" w:rsidRDefault="00FD54FC" w:rsidP="00F52FC6">
            <w:pPr>
              <w:rPr>
                <w:sz w:val="24"/>
              </w:rPr>
            </w:pPr>
            <w:r>
              <w:rPr>
                <w:rFonts w:ascii="Times New Roman" w:hAnsi="Times New Roman"/>
                <w:sz w:val="24"/>
              </w:rPr>
              <w:t>Apskaičiuojant nurodytinas sumas neatsižvelgiama į susigrąžintas sumas.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0060, 0160, 0260, 0360, </w:t>
            </w:r>
            <w:r>
              <w:rPr>
                <w:rFonts w:ascii="Times New Roman" w:hAnsi="Times New Roman"/>
                <w:sz w:val="24"/>
              </w:rPr>
              <w:lastRenderedPageBreak/>
              <w:t>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Penkių didžiausių nuostolių suma</w:t>
            </w:r>
          </w:p>
          <w:p w:rsidR="00FD54FC" w:rsidRPr="00392FFD" w:rsidRDefault="00FD54FC" w:rsidP="00FD54FC">
            <w:pPr>
              <w:rPr>
                <w:rFonts w:ascii="Times New Roman" w:hAnsi="Times New Roman"/>
                <w:sz w:val="24"/>
              </w:rPr>
            </w:pPr>
            <w:r>
              <w:rPr>
                <w:rFonts w:ascii="Times New Roman" w:hAnsi="Times New Roman"/>
                <w:sz w:val="24"/>
              </w:rPr>
              <w:t>Penkių didžiausių nuostolių suma – penkių didžiausių toliau nurodytų sumų s</w:t>
            </w:r>
            <w:r>
              <w:rPr>
                <w:rFonts w:ascii="Times New Roman" w:hAnsi="Times New Roman"/>
                <w:sz w:val="24"/>
              </w:rPr>
              <w:t>u</w:t>
            </w:r>
            <w:r>
              <w:rPr>
                <w:rFonts w:ascii="Times New Roman" w:hAnsi="Times New Roman"/>
                <w:sz w:val="24"/>
              </w:rPr>
              <w:t>ma: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w:t>
            </w:r>
            <w:r>
              <w:tab/>
            </w:r>
            <w:r>
              <w:rPr>
                <w:rFonts w:ascii="Times New Roman" w:hAnsi="Times New Roman"/>
                <w:sz w:val="24"/>
              </w:rPr>
              <w:t>įvykių, apie kuriuos pirmą kartą pranešta per ataskaitinį laikotarpį, bendrųjų nuostolių sumų ir</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teigiamo nuostolių koregavimo sumų (kaip apibrėžta pirmiau 040, 140, …, 840 eilutėse), susijusių su įvykiais, apie kuriuos pirmą kartą pranešta per ankstesnį ataskaitinį laikotarpį. Suma, kurią galima laikyti viena iš penkių didžiausių, yra paties nuostolių koregavimo suma, o ne bendras nuostolis, siejamas su atitinkamu įvykiu prieš nuostolių koregavimą ar po jo.</w:t>
            </w:r>
          </w:p>
          <w:p w:rsidR="00FD54FC" w:rsidRPr="00392FFD" w:rsidRDefault="00FD54FC" w:rsidP="00F52FC6">
            <w:pPr>
              <w:rPr>
                <w:sz w:val="24"/>
              </w:rPr>
            </w:pPr>
            <w:r>
              <w:rPr>
                <w:rFonts w:ascii="Times New Roman" w:hAnsi="Times New Roman"/>
                <w:sz w:val="24"/>
              </w:rPr>
              <w:t>Apskaičiuojant nurodytinas sumas neatsižvelgiama į susigrąžintas sumas.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Bendra tiesiogiai susigrąžinta nuostolių suma</w:t>
            </w:r>
          </w:p>
          <w:p w:rsidR="00FD54FC" w:rsidRPr="00392FFD" w:rsidRDefault="00FD54FC" w:rsidP="00FD54FC">
            <w:pPr>
              <w:rPr>
                <w:rFonts w:ascii="Times New Roman" w:hAnsi="Times New Roman"/>
                <w:sz w:val="24"/>
              </w:rPr>
            </w:pPr>
            <w:r>
              <w:rPr>
                <w:rFonts w:ascii="Times New Roman" w:hAnsi="Times New Roman"/>
                <w:sz w:val="24"/>
              </w:rPr>
              <w:t xml:space="preserve">Tiesiogiai susigrąžintos nuostolių sumos – visos susigrąžintos sumos, išskyrus tas, kurioms taikomas KRR 323 straipsnis, kaip nurodoma tolesnėje eilutėje. </w:t>
            </w:r>
          </w:p>
          <w:p w:rsidR="00FD54FC" w:rsidRPr="00392FFD" w:rsidRDefault="00FD54FC" w:rsidP="00FD54FC">
            <w:pPr>
              <w:rPr>
                <w:b/>
                <w:sz w:val="24"/>
              </w:rPr>
            </w:pPr>
            <w:r>
              <w:rPr>
                <w:rFonts w:ascii="Times New Roman" w:hAnsi="Times New Roman"/>
                <w:sz w:val="24"/>
              </w:rPr>
              <w:t>Bendra tiesiogiai susigrąžinta nuostolių suma yra visų per ataskaitinį laikotarpį į apskaitą įtrauktų tiesiogiai susigrąžintų sumų ir jų koregavimų, susijusių su op</w:t>
            </w:r>
            <w:r>
              <w:rPr>
                <w:rFonts w:ascii="Times New Roman" w:hAnsi="Times New Roman"/>
                <w:sz w:val="24"/>
              </w:rPr>
              <w:t>e</w:t>
            </w:r>
            <w:r>
              <w:rPr>
                <w:rFonts w:ascii="Times New Roman" w:hAnsi="Times New Roman"/>
                <w:sz w:val="24"/>
              </w:rPr>
              <w:t>racinės rizikos įvykiais, pirmą kartą įtrauktais į apskaitą per ataskaitinį laikotarpį arba ankstesniais ataskaitiniais laikotarpiais, suma.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 suma, susigrąžinta pagal draudimo ir kitus rizikos perleidimo m</w:t>
            </w:r>
            <w:r>
              <w:rPr>
                <w:rStyle w:val="InstructionsTabelleberschrift"/>
                <w:rFonts w:ascii="Times New Roman" w:hAnsi="Times New Roman"/>
                <w:sz w:val="24"/>
              </w:rPr>
              <w:t>e</w:t>
            </w:r>
            <w:r>
              <w:rPr>
                <w:rStyle w:val="InstructionsTabelleberschrift"/>
                <w:rFonts w:ascii="Times New Roman" w:hAnsi="Times New Roman"/>
                <w:sz w:val="24"/>
              </w:rPr>
              <w:t>chanizmus</w:t>
            </w:r>
          </w:p>
          <w:p w:rsidR="00FD54FC" w:rsidRPr="00392FFD" w:rsidRDefault="00FD54FC" w:rsidP="00FD54FC">
            <w:pPr>
              <w:rPr>
                <w:rFonts w:ascii="Times New Roman" w:hAnsi="Times New Roman"/>
                <w:sz w:val="24"/>
              </w:rPr>
            </w:pPr>
            <w:r>
              <w:rPr>
                <w:rFonts w:ascii="Times New Roman" w:hAnsi="Times New Roman"/>
                <w:sz w:val="24"/>
              </w:rPr>
              <w:t xml:space="preserve">Sumos, susigrąžintos pagal draudimo ir kitus rizikos perleidimo mechanizmus, yra susigrąžintos sumos, kurioms taikomas KRR 323 straipsnis. </w:t>
            </w:r>
          </w:p>
          <w:p w:rsidR="00FD54FC" w:rsidRPr="00392FFD" w:rsidRDefault="00FD54FC" w:rsidP="00070AF9">
            <w:pPr>
              <w:rPr>
                <w:sz w:val="24"/>
              </w:rPr>
            </w:pPr>
            <w:r>
              <w:rPr>
                <w:rFonts w:ascii="Times New Roman" w:hAnsi="Times New Roman"/>
                <w:sz w:val="24"/>
              </w:rPr>
              <w:t>Bendra suma, susigrąžinta pagal draudimo ir kitus rizikos perleidimo mechani</w:t>
            </w:r>
            <w:r>
              <w:rPr>
                <w:rFonts w:ascii="Times New Roman" w:hAnsi="Times New Roman"/>
                <w:sz w:val="24"/>
              </w:rPr>
              <w:t>z</w:t>
            </w:r>
            <w:r>
              <w:rPr>
                <w:rFonts w:ascii="Times New Roman" w:hAnsi="Times New Roman"/>
                <w:sz w:val="24"/>
              </w:rPr>
              <w:t>mus, yra visų per ataskaitinį laikotarpį į apskaitą įtrauktų sumų, susigrąžintų p</w:t>
            </w:r>
            <w:r>
              <w:rPr>
                <w:rFonts w:ascii="Times New Roman" w:hAnsi="Times New Roman"/>
                <w:sz w:val="24"/>
              </w:rPr>
              <w:t>a</w:t>
            </w:r>
            <w:r>
              <w:rPr>
                <w:rFonts w:ascii="Times New Roman" w:hAnsi="Times New Roman"/>
                <w:sz w:val="24"/>
              </w:rPr>
              <w:t>gal draudimo ir kitus rizikos perleidimo mechanizmus, ir jų koregavimų, susij</w:t>
            </w:r>
            <w:r>
              <w:rPr>
                <w:rFonts w:ascii="Times New Roman" w:hAnsi="Times New Roman"/>
                <w:sz w:val="24"/>
              </w:rPr>
              <w:t>u</w:t>
            </w:r>
            <w:r>
              <w:rPr>
                <w:rFonts w:ascii="Times New Roman" w:hAnsi="Times New Roman"/>
                <w:sz w:val="24"/>
              </w:rPr>
              <w:t>sių su operacinės rizikos įvykiais, pirmą kartą įtrauktais į apskaitą per ataskaitinį laikotarpį arba ankstesniais ataskaitiniais laikotarpiais, suma.</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IŠ VISO PAGAL VERSLO LINIJĄ</w:t>
            </w:r>
          </w:p>
          <w:p w:rsidR="00FD54FC" w:rsidRPr="00392FFD" w:rsidRDefault="00FD54FC" w:rsidP="00FD54FC">
            <w:pPr>
              <w:rPr>
                <w:rFonts w:ascii="Times New Roman" w:hAnsi="Times New Roman"/>
                <w:sz w:val="24"/>
              </w:rPr>
            </w:pPr>
            <w:r>
              <w:rPr>
                <w:rFonts w:ascii="Times New Roman" w:hAnsi="Times New Roman"/>
                <w:sz w:val="24"/>
              </w:rPr>
              <w:t>Pagal kiekvieną įvykio rūšį (010–080 skiltys) nurodomi bendri verslo linijų du</w:t>
            </w:r>
            <w:r>
              <w:rPr>
                <w:rFonts w:ascii="Times New Roman" w:hAnsi="Times New Roman"/>
                <w:sz w:val="24"/>
              </w:rPr>
              <w:t>o</w:t>
            </w:r>
            <w:r>
              <w:rPr>
                <w:rFonts w:ascii="Times New Roman" w:hAnsi="Times New Roman"/>
                <w:sz w:val="24"/>
              </w:rPr>
              <w:t>menys (KRR 322 straipsnio 3 dalies b, c ir e punktai).</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Įvykių skaičius</w:t>
            </w:r>
          </w:p>
          <w:p w:rsidR="00FD54FC" w:rsidRPr="00392FFD" w:rsidRDefault="00FD54FC" w:rsidP="00FD54FC">
            <w:pPr>
              <w:rPr>
                <w:rFonts w:ascii="Times New Roman" w:hAnsi="Times New Roman"/>
                <w:sz w:val="24"/>
              </w:rPr>
            </w:pPr>
            <w:r>
              <w:rPr>
                <w:rFonts w:ascii="Times New Roman" w:hAnsi="Times New Roman"/>
                <w:sz w:val="24"/>
              </w:rPr>
              <w:t>910 eilutėje nurodomas įvykių, viršijančių vidaus ribą, skaičius pagal įvykių rūšis teikiant bendrus verslo linijų duomenis. Ši reikšmė gali būti mažesnė už įvykių skaičiaus pagal verslo liniją sumą, nes įvykiai, turintys daugialypį poveikį (p</w:t>
            </w:r>
            <w:r>
              <w:rPr>
                <w:rFonts w:ascii="Times New Roman" w:hAnsi="Times New Roman"/>
                <w:sz w:val="24"/>
              </w:rPr>
              <w:t>o</w:t>
            </w:r>
            <w:r>
              <w:rPr>
                <w:rFonts w:ascii="Times New Roman" w:hAnsi="Times New Roman"/>
                <w:sz w:val="24"/>
              </w:rPr>
              <w:t>veikį skirtingoms verslo linijoms), laikomi vienu įvykiu. Ji gali būti didesnė, je</w:t>
            </w:r>
            <w:r>
              <w:rPr>
                <w:rFonts w:ascii="Times New Roman" w:hAnsi="Times New Roman"/>
                <w:sz w:val="24"/>
              </w:rPr>
              <w:t>i</w:t>
            </w:r>
            <w:r>
              <w:rPr>
                <w:rFonts w:ascii="Times New Roman" w:hAnsi="Times New Roman"/>
                <w:sz w:val="24"/>
              </w:rPr>
              <w:t>gu įstaiga, apskaičiuojanti savo nuosavų lėšų reikalavimą pagal BIA metodą, n</w:t>
            </w:r>
            <w:r>
              <w:rPr>
                <w:rFonts w:ascii="Times New Roman" w:hAnsi="Times New Roman"/>
                <w:sz w:val="24"/>
              </w:rPr>
              <w:t>e</w:t>
            </w:r>
            <w:r>
              <w:rPr>
                <w:rFonts w:ascii="Times New Roman" w:hAnsi="Times New Roman"/>
                <w:sz w:val="24"/>
              </w:rPr>
              <w:t>gali kiekvienu atveju nurodyti verslo linijos (-ų), kuriai (-ioms) nuostolis daro poveikį.</w:t>
            </w:r>
          </w:p>
          <w:p w:rsidR="00FD54FC" w:rsidRPr="00392FFD" w:rsidRDefault="00FD54FC" w:rsidP="00FD54FC">
            <w:pPr>
              <w:rPr>
                <w:rFonts w:ascii="Times New Roman" w:hAnsi="Times New Roman"/>
                <w:sz w:val="24"/>
              </w:rPr>
            </w:pPr>
            <w:r>
              <w:rPr>
                <w:rFonts w:ascii="Times New Roman" w:hAnsi="Times New Roman"/>
                <w:sz w:val="24"/>
              </w:rPr>
              <w:t>911–914 eilutėse nurodomas įvykių, kurių bendrųjų nuostolių suma įtraukta į s</w:t>
            </w:r>
            <w:r>
              <w:rPr>
                <w:rFonts w:ascii="Times New Roman" w:hAnsi="Times New Roman"/>
                <w:sz w:val="24"/>
              </w:rPr>
              <w:t>u</w:t>
            </w:r>
            <w:r>
              <w:rPr>
                <w:rFonts w:ascii="Times New Roman" w:hAnsi="Times New Roman"/>
                <w:sz w:val="24"/>
              </w:rPr>
              <w:t>sijusiose eilutėse apibrėžtus intervalus, skaičius.</w:t>
            </w:r>
          </w:p>
          <w:p w:rsidR="00FD54FC" w:rsidRPr="00392FFD" w:rsidRDefault="00FD54FC" w:rsidP="00FD54FC">
            <w:pPr>
              <w:rPr>
                <w:rFonts w:ascii="Times New Roman" w:hAnsi="Times New Roman"/>
                <w:sz w:val="24"/>
              </w:rPr>
            </w:pPr>
            <w:r>
              <w:rPr>
                <w:rFonts w:ascii="Times New Roman" w:hAnsi="Times New Roman"/>
                <w:sz w:val="24"/>
              </w:rPr>
              <w:t>Jeigu įstaiga yra priskyrusi visus savo nuostolius atitinkamai verslo linijai, nur</w:t>
            </w:r>
            <w:r>
              <w:rPr>
                <w:rFonts w:ascii="Times New Roman" w:hAnsi="Times New Roman"/>
                <w:sz w:val="24"/>
              </w:rPr>
              <w:t>o</w:t>
            </w:r>
            <w:r>
              <w:rPr>
                <w:rFonts w:ascii="Times New Roman" w:hAnsi="Times New Roman"/>
                <w:sz w:val="24"/>
              </w:rPr>
              <w:t>dytai KRR 317 straipsnio 4 dalies 2 lentelėje, arba verslo linijai „Įmonių straip</w:t>
            </w:r>
            <w:r>
              <w:rPr>
                <w:rFonts w:ascii="Times New Roman" w:hAnsi="Times New Roman"/>
                <w:sz w:val="24"/>
              </w:rPr>
              <w:t>s</w:t>
            </w:r>
            <w:r>
              <w:rPr>
                <w:rFonts w:ascii="Times New Roman" w:hAnsi="Times New Roman"/>
                <w:sz w:val="24"/>
              </w:rPr>
              <w:t>niai“, nurodytai KRR 322 straipsnio 3 dalies b punkte, ir (arba) yra nurodžiusi v</w:t>
            </w:r>
            <w:r>
              <w:rPr>
                <w:rFonts w:ascii="Times New Roman" w:hAnsi="Times New Roman"/>
                <w:sz w:val="24"/>
              </w:rPr>
              <w:t>i</w:t>
            </w:r>
            <w:r>
              <w:rPr>
                <w:rFonts w:ascii="Times New Roman" w:hAnsi="Times New Roman"/>
                <w:sz w:val="24"/>
              </w:rPr>
              <w:lastRenderedPageBreak/>
              <w:t>sų nuostolių įvykių rūšis, 080 skilčiai taikomi šie nurodymai:</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910–914 eilutėse nurodytas bendras įvykių skaičius yra lygus horizontaliai įvykių skaičiaus atitinkamoje eilutėje sumai, jeigu į tą skaičių įtraukti įvykiai, turintys poveikį skirtingoms verslo linijoms, buvo laikomi vienu įvykiu.</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080 skiltyje, 910 eilutėje pateiktas skaičius nebūtinai yra lygus įvykių ska</w:t>
            </w:r>
            <w:r>
              <w:rPr>
                <w:rFonts w:ascii="Times New Roman" w:hAnsi="Times New Roman"/>
                <w:sz w:val="24"/>
              </w:rPr>
              <w:t>i</w:t>
            </w:r>
            <w:r>
              <w:rPr>
                <w:rFonts w:ascii="Times New Roman" w:hAnsi="Times New Roman"/>
                <w:sz w:val="24"/>
              </w:rPr>
              <w:t>čiaus, įtraukto į 080 skiltį, vertikaliai sumai, nes vienas įvykis vienu metu gali turėti poveikio skirtingoms verslo linijoms.</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Bendrųjų nuostolių suma (nauji įvykiai)</w:t>
            </w:r>
          </w:p>
          <w:p w:rsidR="00FD54FC" w:rsidRPr="00392FFD" w:rsidRDefault="00FD54FC" w:rsidP="00FD54FC">
            <w:pPr>
              <w:rPr>
                <w:rFonts w:ascii="Times New Roman" w:hAnsi="Times New Roman"/>
                <w:sz w:val="24"/>
              </w:rPr>
            </w:pPr>
            <w:r>
              <w:rPr>
                <w:rFonts w:ascii="Times New Roman" w:hAnsi="Times New Roman"/>
                <w:sz w:val="24"/>
              </w:rPr>
              <w:t>Jeigu įstaiga yra priskyrusi visus savo nuostolius atitinkamai verslo linijai, nur</w:t>
            </w:r>
            <w:r>
              <w:rPr>
                <w:rFonts w:ascii="Times New Roman" w:hAnsi="Times New Roman"/>
                <w:sz w:val="24"/>
              </w:rPr>
              <w:t>o</w:t>
            </w:r>
            <w:r>
              <w:rPr>
                <w:rFonts w:ascii="Times New Roman" w:hAnsi="Times New Roman"/>
                <w:sz w:val="24"/>
              </w:rPr>
              <w:t>dytai KRR 317 straipsnio 4 dalies 2 lentelėje, arba verslo linijai „Įmonių straip</w:t>
            </w:r>
            <w:r>
              <w:rPr>
                <w:rFonts w:ascii="Times New Roman" w:hAnsi="Times New Roman"/>
                <w:sz w:val="24"/>
              </w:rPr>
              <w:t>s</w:t>
            </w:r>
            <w:r>
              <w:rPr>
                <w:rFonts w:ascii="Times New Roman" w:hAnsi="Times New Roman"/>
                <w:sz w:val="24"/>
              </w:rPr>
              <w:t xml:space="preserve">niai“, nurodytai KRR 322 straipsnio 3 dalies b punkte, 920 eilutėje nurodoma bendrųjų nuostolio suma (nauji įvykiai) yra kiekvienos verslo linijos naujų įvykių bendrųjų nuostolių sumų paprasta suma.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921–924 eilutėse nurodoma įvykių, kurių bendrųjų nuostolių suma įtraukta į sus</w:t>
            </w:r>
            <w:r>
              <w:rPr>
                <w:rFonts w:ascii="Times New Roman" w:hAnsi="Times New Roman"/>
                <w:sz w:val="24"/>
              </w:rPr>
              <w:t>i</w:t>
            </w:r>
            <w:r>
              <w:rPr>
                <w:rFonts w:ascii="Times New Roman" w:hAnsi="Times New Roman"/>
                <w:sz w:val="24"/>
              </w:rPr>
              <w:t>jusiose eilutėse apibrėžtus intervalus, bendrųjų nuostolių suma.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Nuostolio įvykių, dėl kurių buvo atliekamas nuostolių koregavimas, skaičius</w:t>
            </w:r>
          </w:p>
          <w:p w:rsidR="00FD54FC" w:rsidRPr="00392FFD" w:rsidRDefault="00FD54FC" w:rsidP="00FD54FC">
            <w:pPr>
              <w:rPr>
                <w:rFonts w:ascii="Times New Roman" w:hAnsi="Times New Roman"/>
                <w:sz w:val="24"/>
              </w:rPr>
            </w:pPr>
            <w:r>
              <w:rPr>
                <w:rFonts w:ascii="Times New Roman" w:hAnsi="Times New Roman"/>
                <w:sz w:val="24"/>
              </w:rPr>
              <w:t>930 eilutėje nurodomas bendras skaičius įvykių, dėl kurių buvo atliekamas nu</w:t>
            </w:r>
            <w:r>
              <w:rPr>
                <w:rFonts w:ascii="Times New Roman" w:hAnsi="Times New Roman"/>
                <w:sz w:val="24"/>
              </w:rPr>
              <w:t>o</w:t>
            </w:r>
            <w:r>
              <w:rPr>
                <w:rFonts w:ascii="Times New Roman" w:hAnsi="Times New Roman"/>
                <w:sz w:val="24"/>
              </w:rPr>
              <w:t>stolių koregavimas, kaip apibrėžta 030, 130, …, 830 eilutėms. Ši reikšmė gali b</w:t>
            </w:r>
            <w:r>
              <w:rPr>
                <w:rFonts w:ascii="Times New Roman" w:hAnsi="Times New Roman"/>
                <w:sz w:val="24"/>
              </w:rPr>
              <w:t>ū</w:t>
            </w:r>
            <w:r>
              <w:rPr>
                <w:rFonts w:ascii="Times New Roman" w:hAnsi="Times New Roman"/>
                <w:sz w:val="24"/>
              </w:rPr>
              <w:t>ti mažesnė už įvykių, dėl kurių buvo atliekamas nuostolių koregavimas, skaičiaus pagal verslo liniją sumą, nes įvykiai, turintys daugialypį poveikį (poveikį skirti</w:t>
            </w:r>
            <w:r>
              <w:rPr>
                <w:rFonts w:ascii="Times New Roman" w:hAnsi="Times New Roman"/>
                <w:sz w:val="24"/>
              </w:rPr>
              <w:t>n</w:t>
            </w:r>
            <w:r>
              <w:rPr>
                <w:rFonts w:ascii="Times New Roman" w:hAnsi="Times New Roman"/>
                <w:sz w:val="24"/>
              </w:rPr>
              <w:t>goms verslo linijoms), laikomi vienu įvykiu. Ji gali būti didesnė, jeigu įstaiga, apskaičiuojanti savo nuosavų lėšų reikalavimą pagal BIA metodą, negali kie</w:t>
            </w:r>
            <w:r>
              <w:rPr>
                <w:rFonts w:ascii="Times New Roman" w:hAnsi="Times New Roman"/>
                <w:sz w:val="24"/>
              </w:rPr>
              <w:t>k</w:t>
            </w:r>
            <w:r>
              <w:rPr>
                <w:rFonts w:ascii="Times New Roman" w:hAnsi="Times New Roman"/>
                <w:sz w:val="24"/>
              </w:rPr>
              <w:t>vienu atveju nurodyti verslo linijos (-ų), kuriai (-ioms) nuostolis daro poveikį.</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Nuostolio įvykių, dėl kurių buvo atliekamas nuostolių koregavimas, skaičius su</w:t>
            </w:r>
            <w:r>
              <w:rPr>
                <w:rFonts w:ascii="Times New Roman" w:hAnsi="Times New Roman"/>
                <w:sz w:val="24"/>
              </w:rPr>
              <w:t>s</w:t>
            </w:r>
            <w:r>
              <w:rPr>
                <w:rFonts w:ascii="Times New Roman" w:hAnsi="Times New Roman"/>
                <w:sz w:val="24"/>
              </w:rPr>
              <w:t>kirstomas į įvykių, dėl kurių per ataskaitinį laikotarpį buvo atliekamas teigiamas nuostolių koregavimas, skaičių ir įvykių, dėl kurių per ataskaitinį laikotarpį buvo atliekamas neigiamas nuostolių koregavimas, skaičių (visi nurodomi su teigiamu ženklu).</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Su ankstesniais ataskaitiniais laikotarpiais susijęs nuostolių koregavimas</w:t>
            </w:r>
          </w:p>
          <w:p w:rsidR="00FD54FC" w:rsidRPr="00392FFD" w:rsidRDefault="00FD54FC" w:rsidP="00FD54FC">
            <w:pPr>
              <w:rPr>
                <w:rFonts w:ascii="Times New Roman" w:hAnsi="Times New Roman"/>
                <w:sz w:val="24"/>
              </w:rPr>
            </w:pPr>
            <w:r>
              <w:rPr>
                <w:rFonts w:ascii="Times New Roman" w:hAnsi="Times New Roman"/>
                <w:sz w:val="24"/>
              </w:rPr>
              <w:t>940 eilutėje nurodoma bendra nuostolių koregavimo suma, susijusi su ankste</w:t>
            </w:r>
            <w:r>
              <w:rPr>
                <w:rFonts w:ascii="Times New Roman" w:hAnsi="Times New Roman"/>
                <w:sz w:val="24"/>
              </w:rPr>
              <w:t>s</w:t>
            </w:r>
            <w:r>
              <w:rPr>
                <w:rFonts w:ascii="Times New Roman" w:hAnsi="Times New Roman"/>
                <w:sz w:val="24"/>
              </w:rPr>
              <w:t>niais ataskaitiniais laikotarpiais, pagal verslo linijas (kaip apibrėžta 040, 140, …, 840 eilutėms). Jeigu įstaiga yra priskyrusi visus savo nuostolius atitinkamai ver</w:t>
            </w:r>
            <w:r>
              <w:rPr>
                <w:rFonts w:ascii="Times New Roman" w:hAnsi="Times New Roman"/>
                <w:sz w:val="24"/>
              </w:rPr>
              <w:t>s</w:t>
            </w:r>
            <w:r>
              <w:rPr>
                <w:rFonts w:ascii="Times New Roman" w:hAnsi="Times New Roman"/>
                <w:sz w:val="24"/>
              </w:rPr>
              <w:t>lo linijai, nurodytai KRR 317 straipsnio 4 dalies 2 lentelėje, arba verslo linijai „Įmonių straipsniai“, nurodytai KRR 322 straipsnio 3 dalies b punkte, 940 eilut</w:t>
            </w:r>
            <w:r>
              <w:rPr>
                <w:rFonts w:ascii="Times New Roman" w:hAnsi="Times New Roman"/>
                <w:sz w:val="24"/>
              </w:rPr>
              <w:t>ė</w:t>
            </w:r>
            <w:r>
              <w:rPr>
                <w:rFonts w:ascii="Times New Roman" w:hAnsi="Times New Roman"/>
                <w:sz w:val="24"/>
              </w:rPr>
              <w:t>je nurodoma suma yra pagal įvairias verslo linijas praneštų nuostolių koregavimo sumų, susijusių su ankstesniais ataskaitiniais laikotarpiais, paprasta suma.</w:t>
            </w:r>
          </w:p>
          <w:p w:rsidR="00FD54FC" w:rsidRPr="00392FFD" w:rsidRDefault="00FD54FC" w:rsidP="00070AF9">
            <w:pPr>
              <w:rPr>
                <w:sz w:val="24"/>
              </w:rPr>
            </w:pPr>
            <w:r>
              <w:rPr>
                <w:rFonts w:ascii="Times New Roman" w:hAnsi="Times New Roman"/>
                <w:sz w:val="24"/>
              </w:rPr>
              <w:t>Nuostolių koregavimo suma suskirstoma į sumą, susijusią su įvykiais, dėl kurių per ataskaitinį laikotarpį buvo atliekamas teigiamas nuostolių koregavimas (945 eilutė, nurodyta teigiamu skaičiumi), ir sumą, susijusią su įvykiais, dėl kurių per ataskaitinį laikotarpį buvo atliekamas neigiamas nuostolių koregavimas (946 e</w:t>
            </w:r>
            <w:r>
              <w:rPr>
                <w:rFonts w:ascii="Times New Roman" w:hAnsi="Times New Roman"/>
                <w:sz w:val="24"/>
              </w:rPr>
              <w:t>i</w:t>
            </w:r>
            <w:r>
              <w:rPr>
                <w:rFonts w:ascii="Times New Roman" w:hAnsi="Times New Roman"/>
                <w:sz w:val="24"/>
              </w:rPr>
              <w:t>lutė, nurodyta neigiamu skaičiumi). Jeigu dėl neigiamo nuostolių koregavimo p</w:t>
            </w:r>
            <w:r>
              <w:rPr>
                <w:rFonts w:ascii="Times New Roman" w:hAnsi="Times New Roman"/>
                <w:sz w:val="24"/>
              </w:rPr>
              <w:t>a</w:t>
            </w:r>
            <w:r>
              <w:rPr>
                <w:rFonts w:ascii="Times New Roman" w:hAnsi="Times New Roman"/>
                <w:sz w:val="24"/>
              </w:rPr>
              <w:t>koreguota įvykio nuostolio suma nesiekia įstaigos vidaus duomenų rinkimo ribos, įstaiga 946 eilutėje nurodo bendrą to įvykio nuostolio sumą, susikaupusią iki paskutinio karto, kai įvykis praneštas gruodžio mėn. ataskaitinę dieną (t. y. pi</w:t>
            </w:r>
            <w:r>
              <w:rPr>
                <w:rFonts w:ascii="Times New Roman" w:hAnsi="Times New Roman"/>
                <w:sz w:val="24"/>
              </w:rPr>
              <w:t>r</w:t>
            </w:r>
            <w:r>
              <w:rPr>
                <w:rFonts w:ascii="Times New Roman" w:hAnsi="Times New Roman"/>
                <w:sz w:val="24"/>
              </w:rPr>
              <w:lastRenderedPageBreak/>
              <w:t>minis nuostolis pridėjus ar atėmus visus nuostolių koregavimus ankstesniais at</w:t>
            </w:r>
            <w:r>
              <w:rPr>
                <w:rFonts w:ascii="Times New Roman" w:hAnsi="Times New Roman"/>
                <w:sz w:val="24"/>
              </w:rPr>
              <w:t>a</w:t>
            </w:r>
            <w:r>
              <w:rPr>
                <w:rFonts w:ascii="Times New Roman" w:hAnsi="Times New Roman"/>
                <w:sz w:val="24"/>
              </w:rPr>
              <w:t>skaitiniais laikotarpiais), su minuso ženklu, o ne paties neigiamo nuostolių kor</w:t>
            </w:r>
            <w:r>
              <w:rPr>
                <w:rFonts w:ascii="Times New Roman" w:hAnsi="Times New Roman"/>
                <w:sz w:val="24"/>
              </w:rPr>
              <w:t>e</w:t>
            </w:r>
            <w:r>
              <w:rPr>
                <w:rFonts w:ascii="Times New Roman" w:hAnsi="Times New Roman"/>
                <w:sz w:val="24"/>
              </w:rPr>
              <w:t>gavimo sumą.</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Didžiausias vieno įvykio nuostolis</w:t>
            </w:r>
          </w:p>
          <w:p w:rsidR="00FD54FC" w:rsidRPr="00392FFD" w:rsidRDefault="00FD54FC" w:rsidP="00FD54FC">
            <w:pPr>
              <w:rPr>
                <w:rFonts w:ascii="Times New Roman" w:hAnsi="Times New Roman"/>
                <w:sz w:val="24"/>
              </w:rPr>
            </w:pPr>
            <w:r>
              <w:rPr>
                <w:rFonts w:ascii="Times New Roman" w:hAnsi="Times New Roman"/>
                <w:sz w:val="24"/>
              </w:rPr>
              <w:t>Jeigu įstaiga yra priskyrusi visus savo nuostolius atitinkamai verslo linijai, nur</w:t>
            </w:r>
            <w:r>
              <w:rPr>
                <w:rFonts w:ascii="Times New Roman" w:hAnsi="Times New Roman"/>
                <w:sz w:val="24"/>
              </w:rPr>
              <w:t>o</w:t>
            </w:r>
            <w:r>
              <w:rPr>
                <w:rFonts w:ascii="Times New Roman" w:hAnsi="Times New Roman"/>
                <w:sz w:val="24"/>
              </w:rPr>
              <w:t>dytai KRR 317 straipsnio 4 dalies 2 lentelėje, arba verslo linijai „Įmonių straip</w:t>
            </w:r>
            <w:r>
              <w:rPr>
                <w:rFonts w:ascii="Times New Roman" w:hAnsi="Times New Roman"/>
                <w:sz w:val="24"/>
              </w:rPr>
              <w:t>s</w:t>
            </w:r>
            <w:r>
              <w:rPr>
                <w:rFonts w:ascii="Times New Roman" w:hAnsi="Times New Roman"/>
                <w:sz w:val="24"/>
              </w:rPr>
              <w:t>niai“, nurodytai KRR 322 straipsnio 3 dalies b punkte, didžiausias vieno įvykio nuostolis yra didžiausias vidaus ribą viršijantis nuostolis pagal kiekvieną įvykio rūšį ir palyginus visas verslo linijas. Jo reikšmės gali būti didesnės, palyginti su didžiausiu vieno įvykio nuostoliu, nurodytu pagal kiekvieną verslo liniją, jeigu vienas įvykis paveikia skirtingas verslo linijas.</w:t>
            </w:r>
          </w:p>
          <w:p w:rsidR="00FD54FC" w:rsidRPr="00392FFD" w:rsidRDefault="00FD54FC" w:rsidP="00FD54FC">
            <w:pPr>
              <w:rPr>
                <w:rFonts w:ascii="Times New Roman" w:hAnsi="Times New Roman"/>
                <w:sz w:val="24"/>
              </w:rPr>
            </w:pPr>
            <w:r>
              <w:rPr>
                <w:rFonts w:ascii="Times New Roman" w:hAnsi="Times New Roman"/>
                <w:sz w:val="24"/>
              </w:rPr>
              <w:t>Jeigu įstaiga yra priskyrusi visus savo nuostolius atitinkamai verslo linijai, nur</w:t>
            </w:r>
            <w:r>
              <w:rPr>
                <w:rFonts w:ascii="Times New Roman" w:hAnsi="Times New Roman"/>
                <w:sz w:val="24"/>
              </w:rPr>
              <w:t>o</w:t>
            </w:r>
            <w:r>
              <w:rPr>
                <w:rFonts w:ascii="Times New Roman" w:hAnsi="Times New Roman"/>
                <w:sz w:val="24"/>
              </w:rPr>
              <w:t>dytai KRR 317 straipsnio 4 dalies 2 lentelėje, arba verslo linijai „Įmonių straip</w:t>
            </w:r>
            <w:r>
              <w:rPr>
                <w:rFonts w:ascii="Times New Roman" w:hAnsi="Times New Roman"/>
                <w:sz w:val="24"/>
              </w:rPr>
              <w:t>s</w:t>
            </w:r>
            <w:r>
              <w:rPr>
                <w:rFonts w:ascii="Times New Roman" w:hAnsi="Times New Roman"/>
                <w:sz w:val="24"/>
              </w:rPr>
              <w:t>niai“, nurodytai KRR 322 straipsnio 3 dalies b punkte, ir (arba) yra nurodžiusi v</w:t>
            </w:r>
            <w:r>
              <w:rPr>
                <w:rFonts w:ascii="Times New Roman" w:hAnsi="Times New Roman"/>
                <w:sz w:val="24"/>
              </w:rPr>
              <w:t>i</w:t>
            </w:r>
            <w:r>
              <w:rPr>
                <w:rFonts w:ascii="Times New Roman" w:hAnsi="Times New Roman"/>
                <w:sz w:val="24"/>
              </w:rPr>
              <w:t>sų nuostolių įvykių rūšis, 080 skilčiai taikomi šie nurodymai:</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Nurodomas didžiausias vieno įvykio nuostolis yra lygus didžiausiai iš visų verčių, nurodytų šioje eilutėje 010–070 skiltyse.</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Jeigu įvykiai daro poveikį skirtingoms verslo linijoms, {r950, c080} nurod</w:t>
            </w:r>
            <w:r>
              <w:rPr>
                <w:rFonts w:ascii="Times New Roman" w:hAnsi="Times New Roman"/>
                <w:sz w:val="24"/>
              </w:rPr>
              <w:t>o</w:t>
            </w:r>
            <w:r>
              <w:rPr>
                <w:rFonts w:ascii="Times New Roman" w:hAnsi="Times New Roman"/>
                <w:sz w:val="24"/>
              </w:rPr>
              <w:t xml:space="preserve">ma suma gali viršyti atskirų verslo linijų didžiausio vieno įvykio nuostolio sumas, nurodytas kitose 080 skilties eilutėse.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Penkių didžiausių nuostolių suma</w:t>
            </w:r>
          </w:p>
          <w:p w:rsidR="00FD54FC" w:rsidRPr="00392FFD" w:rsidRDefault="00FD54FC" w:rsidP="00FD54FC">
            <w:pPr>
              <w:rPr>
                <w:rFonts w:ascii="Times New Roman" w:hAnsi="Times New Roman"/>
                <w:sz w:val="24"/>
              </w:rPr>
            </w:pPr>
            <w:r>
              <w:rPr>
                <w:rFonts w:ascii="Times New Roman" w:hAnsi="Times New Roman"/>
                <w:sz w:val="24"/>
              </w:rPr>
              <w:t>Suma, gauta sudėjus penkių didžiausių bendrųjų nuostolių sumas pagal kiekvieną įvykio rūšį ir palyginus visas verslo linijas. Ši suma gali būti didesnė už didžia</w:t>
            </w:r>
            <w:r>
              <w:rPr>
                <w:rFonts w:ascii="Times New Roman" w:hAnsi="Times New Roman"/>
                <w:sz w:val="24"/>
              </w:rPr>
              <w:t>u</w:t>
            </w:r>
            <w:r>
              <w:rPr>
                <w:rFonts w:ascii="Times New Roman" w:hAnsi="Times New Roman"/>
                <w:sz w:val="24"/>
              </w:rPr>
              <w:t xml:space="preserve">sią penkių didžiausių nuostolių sumą, užfiksuotą pagal kiekvieną verslo liniją. Ši suma nurodoma nepaisant nuostolių skaičiaus.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Jeigu įstaiga yra priskyrusi visus savo nuostolius atitinkamai verslo linijai, nur</w:t>
            </w:r>
            <w:r>
              <w:rPr>
                <w:rFonts w:ascii="Times New Roman" w:hAnsi="Times New Roman"/>
                <w:sz w:val="24"/>
              </w:rPr>
              <w:t>o</w:t>
            </w:r>
            <w:r>
              <w:rPr>
                <w:rFonts w:ascii="Times New Roman" w:hAnsi="Times New Roman"/>
                <w:sz w:val="24"/>
              </w:rPr>
              <w:t>dytai KRR 317 straipsnio 4 dalies 2 lentelėje, arba verslo linijai „Įmonių straip</w:t>
            </w:r>
            <w:r>
              <w:rPr>
                <w:rFonts w:ascii="Times New Roman" w:hAnsi="Times New Roman"/>
                <w:sz w:val="24"/>
              </w:rPr>
              <w:t>s</w:t>
            </w:r>
            <w:r>
              <w:rPr>
                <w:rFonts w:ascii="Times New Roman" w:hAnsi="Times New Roman"/>
                <w:sz w:val="24"/>
              </w:rPr>
              <w:t>niai“, nurodytai KRR 322 straipsnio 3 dalies b punkte, ir (arba) yra nurodžiusi v</w:t>
            </w:r>
            <w:r>
              <w:rPr>
                <w:rFonts w:ascii="Times New Roman" w:hAnsi="Times New Roman"/>
                <w:sz w:val="24"/>
              </w:rPr>
              <w:t>i</w:t>
            </w:r>
            <w:r>
              <w:rPr>
                <w:rFonts w:ascii="Times New Roman" w:hAnsi="Times New Roman"/>
                <w:sz w:val="24"/>
              </w:rPr>
              <w:t>sų nuostolių įvykių rūšis, 080 skiltyje penkių didžiausių nuostolių suma yra pe</w:t>
            </w:r>
            <w:r>
              <w:rPr>
                <w:rFonts w:ascii="Times New Roman" w:hAnsi="Times New Roman"/>
                <w:sz w:val="24"/>
              </w:rPr>
              <w:t>n</w:t>
            </w:r>
            <w:r>
              <w:rPr>
                <w:rFonts w:ascii="Times New Roman" w:hAnsi="Times New Roman"/>
                <w:sz w:val="24"/>
              </w:rPr>
              <w:t>kių didžiausių nuostolių visoje matricoje suma, o tai reiškia, kad ji nebūtinai bus lygi didžiausiai penkių didžiausių nuostolių sumos vertei, nurodytai 960 eilutėje, ar didžiausiai penkių didžiausių nuostolių sumos vertei, nurodytai 080 skiltyje.</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 tiesiogiai susigrąžinta nuostolių suma</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Jeigu įstaiga yra priskyrusi visus savo nuostolius atitinkamai verslo linijai, nur</w:t>
            </w:r>
            <w:r>
              <w:rPr>
                <w:rFonts w:ascii="Times New Roman" w:hAnsi="Times New Roman"/>
                <w:sz w:val="24"/>
              </w:rPr>
              <w:t>o</w:t>
            </w:r>
            <w:r>
              <w:rPr>
                <w:rFonts w:ascii="Times New Roman" w:hAnsi="Times New Roman"/>
                <w:sz w:val="24"/>
              </w:rPr>
              <w:t>dytai KRR 317 straipsnio 4 dalies 2 lentelėje, arba verslo linijai „Įmonių straip</w:t>
            </w:r>
            <w:r>
              <w:rPr>
                <w:rFonts w:ascii="Times New Roman" w:hAnsi="Times New Roman"/>
                <w:sz w:val="24"/>
              </w:rPr>
              <w:t>s</w:t>
            </w:r>
            <w:r>
              <w:rPr>
                <w:rFonts w:ascii="Times New Roman" w:hAnsi="Times New Roman"/>
                <w:sz w:val="24"/>
              </w:rPr>
              <w:t>niai“, nurodytai KRR 322 straipsnio 3 dalies b punkte, bendra tiesiogiai susigr</w:t>
            </w:r>
            <w:r>
              <w:rPr>
                <w:rFonts w:ascii="Times New Roman" w:hAnsi="Times New Roman"/>
                <w:sz w:val="24"/>
              </w:rPr>
              <w:t>ą</w:t>
            </w:r>
            <w:r>
              <w:rPr>
                <w:rFonts w:ascii="Times New Roman" w:hAnsi="Times New Roman"/>
                <w:sz w:val="24"/>
              </w:rPr>
              <w:t>žinta nuostolių suma yra kiekvienos verslo linijos bendrų tiesiogiai susigrąžintų nuostolių sumų paprasta suma.</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 suma, susigrąžinta pagal draudimo ir kitus rizikos perleidimo m</w:t>
            </w:r>
            <w:r>
              <w:rPr>
                <w:rStyle w:val="InstructionsTabelleberschrift"/>
                <w:rFonts w:ascii="Times New Roman" w:hAnsi="Times New Roman"/>
                <w:sz w:val="24"/>
              </w:rPr>
              <w:t>e</w:t>
            </w:r>
            <w:r>
              <w:rPr>
                <w:rStyle w:val="InstructionsTabelleberschrift"/>
                <w:rFonts w:ascii="Times New Roman" w:hAnsi="Times New Roman"/>
                <w:sz w:val="24"/>
              </w:rPr>
              <w:t>chanizmus</w:t>
            </w:r>
          </w:p>
          <w:p w:rsidR="00FD54FC" w:rsidRPr="00392FFD" w:rsidRDefault="00FD54FC" w:rsidP="00FD54FC">
            <w:pPr>
              <w:rPr>
                <w:rFonts w:ascii="Times New Roman" w:hAnsi="Times New Roman"/>
                <w:b/>
                <w:bCs/>
                <w:sz w:val="24"/>
                <w:u w:val="single"/>
              </w:rPr>
            </w:pPr>
            <w:r>
              <w:rPr>
                <w:rFonts w:ascii="Times New Roman" w:hAnsi="Times New Roman"/>
                <w:sz w:val="24"/>
              </w:rPr>
              <w:t>Jeigu įstaiga yra priskyrusi visus savo nuostolius atitinkamai verslo linijai, nur</w:t>
            </w:r>
            <w:r>
              <w:rPr>
                <w:rFonts w:ascii="Times New Roman" w:hAnsi="Times New Roman"/>
                <w:sz w:val="24"/>
              </w:rPr>
              <w:t>o</w:t>
            </w:r>
            <w:r>
              <w:rPr>
                <w:rFonts w:ascii="Times New Roman" w:hAnsi="Times New Roman"/>
                <w:sz w:val="24"/>
              </w:rPr>
              <w:t>dytai KRR 317 straipsnio 4 dalies 2 lentelėje, arba verslo linijai „Įmonių straip</w:t>
            </w:r>
            <w:r>
              <w:rPr>
                <w:rFonts w:ascii="Times New Roman" w:hAnsi="Times New Roman"/>
                <w:sz w:val="24"/>
              </w:rPr>
              <w:t>s</w:t>
            </w:r>
            <w:r>
              <w:rPr>
                <w:rFonts w:ascii="Times New Roman" w:hAnsi="Times New Roman"/>
                <w:sz w:val="24"/>
              </w:rPr>
              <w:t xml:space="preserve">niai“, nurodytai KRR 322 straipsnio 3 dalies b punkte, bendra suma, susigrąžinta </w:t>
            </w:r>
            <w:r>
              <w:rPr>
                <w:rFonts w:ascii="Times New Roman" w:hAnsi="Times New Roman"/>
                <w:sz w:val="24"/>
              </w:rPr>
              <w:lastRenderedPageBreak/>
              <w:t>pagal draudimo ir kitus rizikos perleidimo mechanizmus, yra kiekvienos verslo linijos bendrų sumų, susigrąžintų pagal draudimo ir kitus rizikos perleidimo m</w:t>
            </w:r>
            <w:r>
              <w:rPr>
                <w:rFonts w:ascii="Times New Roman" w:hAnsi="Times New Roman"/>
                <w:sz w:val="24"/>
              </w:rPr>
              <w:t>e</w:t>
            </w:r>
            <w:r>
              <w:rPr>
                <w:rFonts w:ascii="Times New Roman" w:hAnsi="Times New Roman"/>
                <w:sz w:val="24"/>
              </w:rPr>
              <w:t>chanizmus, paprasta suma.</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4010087"/>
      <w:r>
        <w:rPr>
          <w:rFonts w:ascii="Times New Roman" w:hAnsi="Times New Roman"/>
          <w:sz w:val="24"/>
          <w:u w:val="none"/>
        </w:rPr>
        <w:t>4.2.3.</w:t>
      </w:r>
      <w:r>
        <w:tab/>
      </w:r>
      <w:r>
        <w:rPr>
          <w:rFonts w:ascii="Times New Roman" w:hAnsi="Times New Roman"/>
          <w:sz w:val="24"/>
        </w:rPr>
        <w:t>C 17.02. Operacinė rizika. Išsami informacija apie praėjusių metų didžiausius nuost</w:t>
      </w:r>
      <w:r>
        <w:rPr>
          <w:rFonts w:ascii="Times New Roman" w:hAnsi="Times New Roman"/>
          <w:sz w:val="24"/>
        </w:rPr>
        <w:t>o</w:t>
      </w:r>
      <w:r>
        <w:rPr>
          <w:rFonts w:ascii="Times New Roman" w:hAnsi="Times New Roman"/>
          <w:sz w:val="24"/>
        </w:rPr>
        <w:t>lio įvykius (OPR DETAILS 2)</w:t>
      </w:r>
      <w:bookmarkEnd w:id="578"/>
      <w:bookmarkEnd w:id="579"/>
      <w:bookmarkEnd w:id="580"/>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4010088"/>
      <w:r>
        <w:rPr>
          <w:rFonts w:ascii="Times New Roman" w:hAnsi="Times New Roman"/>
          <w:sz w:val="24"/>
          <w:u w:val="none"/>
        </w:rPr>
        <w:t>4.2.3.1.</w:t>
      </w:r>
      <w:r>
        <w:tab/>
      </w:r>
      <w:r>
        <w:rPr>
          <w:rFonts w:ascii="Times New Roman" w:hAnsi="Times New Roman"/>
          <w:sz w:val="24"/>
        </w:rPr>
        <w:t>Bendrosios pastabos</w:t>
      </w:r>
      <w:bookmarkEnd w:id="581"/>
      <w:bookmarkEnd w:id="582"/>
      <w:bookmarkEnd w:id="583"/>
    </w:p>
    <w:p w:rsidR="00FD54FC" w:rsidRPr="00392FFD" w:rsidRDefault="00125707" w:rsidP="00C37B29">
      <w:pPr>
        <w:pStyle w:val="InstructionsText2"/>
        <w:numPr>
          <w:ilvl w:val="0"/>
          <w:numId w:val="0"/>
        </w:numPr>
        <w:ind w:left="993"/>
      </w:pPr>
      <w:r>
        <w:t>134.</w:t>
      </w:r>
      <w:r>
        <w:tab/>
        <w:t>C 17.02 formoje pateikiama informacija apie atskirus nuostolio įvykius (vi</w:t>
      </w:r>
      <w:r>
        <w:t>e</w:t>
      </w:r>
      <w:r>
        <w:t>nam įvykiui viena eilutė).</w:t>
      </w:r>
    </w:p>
    <w:p w:rsidR="00FD54FC" w:rsidRPr="00392FFD" w:rsidRDefault="00125707" w:rsidP="00C37B29">
      <w:pPr>
        <w:pStyle w:val="InstructionsText2"/>
        <w:numPr>
          <w:ilvl w:val="0"/>
          <w:numId w:val="0"/>
        </w:numPr>
        <w:ind w:left="993"/>
      </w:pPr>
      <w:r>
        <w:t>135.</w:t>
      </w:r>
      <w:r>
        <w:tab/>
        <w:t>Šioje formoje pateikiama informacija yra susijusi su naujais įvykiais, t. y. op</w:t>
      </w:r>
      <w:r>
        <w:t>e</w:t>
      </w:r>
      <w:r>
        <w:t>racinės rizikos įvykiais, kurie yra:</w:t>
      </w:r>
      <w:r>
        <w:tab/>
      </w:r>
    </w:p>
    <w:p w:rsidR="00FD54FC" w:rsidRPr="00392FFD" w:rsidRDefault="00125707" w:rsidP="00C37B29">
      <w:pPr>
        <w:pStyle w:val="InstructionsText2"/>
        <w:numPr>
          <w:ilvl w:val="0"/>
          <w:numId w:val="0"/>
        </w:numPr>
        <w:ind w:left="993"/>
      </w:pPr>
      <w:r>
        <w:t>a)</w:t>
      </w:r>
      <w:r>
        <w:tab/>
        <w:t>pirmą kartą įtraukti į apskaitą per ataskaitinį laikotarpį arba</w:t>
      </w:r>
    </w:p>
    <w:p w:rsidR="00FD54FC" w:rsidRPr="00392FFD" w:rsidRDefault="00125707" w:rsidP="00C37B29">
      <w:pPr>
        <w:pStyle w:val="InstructionsText2"/>
        <w:numPr>
          <w:ilvl w:val="0"/>
          <w:numId w:val="0"/>
        </w:numPr>
        <w:ind w:left="993"/>
      </w:pPr>
      <w:r>
        <w:t>b)</w:t>
      </w:r>
      <w:r>
        <w:tab/>
        <w:t>pirmą kartą įtraukti į apskaitą per ankstesnį ataskaitinį laikotarpį, jeigu įvykis nebuvo įtrauktas į jokią ankstesnę priežiūros ataskaitą, pvz., dėl to, kad buvo įve</w:t>
      </w:r>
      <w:r>
        <w:t>r</w:t>
      </w:r>
      <w:r>
        <w:t>tintas kaip operacinės rizikos įvykis tik einamuoju ataskaitiniu laikotarpiu arba tam įvykiui priskirtas sukauptas nuostolis (t. y. pirminis nuostolis pridėjus ar atėmus v</w:t>
      </w:r>
      <w:r>
        <w:t>i</w:t>
      </w:r>
      <w:r>
        <w:t>sus nuostolių koregavimus ankstesniais ataskaitiniais laikotarpiais) tik einamuoju ataskaitiniu laikotarpiu viršijo vidaus duomenų rinkimo ribą.</w:t>
      </w:r>
    </w:p>
    <w:p w:rsidR="00FD54FC" w:rsidRPr="00392FFD" w:rsidRDefault="00125707" w:rsidP="00C37B29">
      <w:pPr>
        <w:pStyle w:val="InstructionsText2"/>
        <w:numPr>
          <w:ilvl w:val="0"/>
          <w:numId w:val="0"/>
        </w:numPr>
        <w:ind w:left="993"/>
      </w:pPr>
      <w:r>
        <w:t>136.</w:t>
      </w:r>
      <w:r>
        <w:tab/>
        <w:t>Nurodomi tik tie įvykiai, kurių bendrųjų nuostolių suma yra lygi ar viršija 100 000 EUR.</w:t>
      </w:r>
      <w:r>
        <w:br/>
      </w:r>
      <w:r>
        <w:tab/>
        <w:t>Laikantis šios ribos:</w:t>
      </w:r>
    </w:p>
    <w:p w:rsidR="00FD54FC" w:rsidRPr="00392FFD" w:rsidRDefault="00125707" w:rsidP="00C37B29">
      <w:pPr>
        <w:pStyle w:val="InstructionsText2"/>
        <w:numPr>
          <w:ilvl w:val="0"/>
          <w:numId w:val="0"/>
        </w:numPr>
        <w:ind w:left="993"/>
      </w:pPr>
      <w:r>
        <w:t>a)</w:t>
      </w:r>
      <w:r>
        <w:tab/>
        <w:t>didžiausias kiekvienos rūšies įvykis, jeigu įstaiga yra nurodžiusi su nuostoliais susietas įvykių rūšis, ir</w:t>
      </w:r>
    </w:p>
    <w:p w:rsidR="00FD54FC" w:rsidRPr="00392FFD" w:rsidRDefault="00125707" w:rsidP="00C37B29">
      <w:pPr>
        <w:pStyle w:val="InstructionsText2"/>
        <w:numPr>
          <w:ilvl w:val="0"/>
          <w:numId w:val="0"/>
        </w:numPr>
        <w:ind w:left="993"/>
      </w:pPr>
      <w:r>
        <w:t>b)</w:t>
      </w:r>
      <w:r>
        <w:tab/>
        <w:t>bent dešimt didžiausių įvykių iš likusiųjų, nepriklausomai nuo to, ar įvykio r</w:t>
      </w:r>
      <w:r>
        <w:t>ū</w:t>
      </w:r>
      <w:r>
        <w:t xml:space="preserve">šis nurodyta, pagal bendrųjų nuostolių sumą įtraukiami į formą; </w:t>
      </w:r>
    </w:p>
    <w:p w:rsidR="00FD54FC" w:rsidRPr="00392FFD" w:rsidRDefault="00125707" w:rsidP="00C37B29">
      <w:pPr>
        <w:pStyle w:val="InstructionsText2"/>
        <w:numPr>
          <w:ilvl w:val="0"/>
          <w:numId w:val="0"/>
        </w:numPr>
        <w:ind w:left="993"/>
      </w:pPr>
      <w:r>
        <w:t>c)</w:t>
      </w:r>
      <w:r>
        <w:tab/>
        <w:t xml:space="preserve">įvykių eiliškumas priklauso nuo jiems priskirto bendrojo nuostolio; </w:t>
      </w:r>
    </w:p>
    <w:p w:rsidR="00FD54FC" w:rsidRPr="00392FFD" w:rsidRDefault="00125707" w:rsidP="00C37B29">
      <w:pPr>
        <w:pStyle w:val="InstructionsText2"/>
        <w:numPr>
          <w:ilvl w:val="0"/>
          <w:numId w:val="0"/>
        </w:numPr>
        <w:ind w:left="993"/>
      </w:pPr>
      <w:r>
        <w:t>d)</w:t>
      </w:r>
      <w:r>
        <w:tab/>
        <w:t>įvykis į formą įtraukiamas tik vieną kartą.</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4010089"/>
      <w:r>
        <w:rPr>
          <w:rFonts w:ascii="Times New Roman" w:hAnsi="Times New Roman"/>
          <w:sz w:val="24"/>
          <w:u w:val="none"/>
        </w:rPr>
        <w:t>4.2.3.2.</w:t>
      </w:r>
      <w:r>
        <w:tab/>
      </w:r>
      <w:r>
        <w:rPr>
          <w:rFonts w:ascii="Times New Roman" w:hAnsi="Times New Roman"/>
          <w:sz w:val="24"/>
        </w:rPr>
        <w:t>Nurodymai dėl konkrečių pozicijų</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Skiltys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Įvykio Nr.</w:t>
            </w:r>
          </w:p>
          <w:p w:rsidR="00FD54FC" w:rsidRPr="00392FFD" w:rsidRDefault="00FD54FC" w:rsidP="00FD54FC">
            <w:pPr>
              <w:rPr>
                <w:rFonts w:ascii="Times New Roman" w:hAnsi="Times New Roman"/>
                <w:sz w:val="24"/>
              </w:rPr>
            </w:pPr>
            <w:r>
              <w:rPr>
                <w:rFonts w:ascii="Times New Roman" w:hAnsi="Times New Roman"/>
                <w:sz w:val="24"/>
              </w:rPr>
              <w:t xml:space="preserve">Kiekvienai lentelės eilutei suteikiamas unikalus įvykio numeris. </w:t>
            </w:r>
          </w:p>
          <w:p w:rsidR="00FD54FC" w:rsidRPr="00392FFD" w:rsidRDefault="00FD54FC" w:rsidP="00FD54FC">
            <w:pPr>
              <w:rPr>
                <w:rFonts w:ascii="Times New Roman" w:hAnsi="Times New Roman"/>
                <w:sz w:val="24"/>
              </w:rPr>
            </w:pPr>
            <w:r>
              <w:rPr>
                <w:rFonts w:ascii="Times New Roman" w:hAnsi="Times New Roman"/>
                <w:sz w:val="24"/>
              </w:rPr>
              <w:t>Kai egzistuoja vidinis numeris, įstaigos jį ir nurodo. Kitu atveju nurodomas numeris atitinka skaičių eiliškumą – 1, 2, 3 ir t. t.</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Apskaitos data</w:t>
            </w:r>
          </w:p>
          <w:p w:rsidR="00FD54FC" w:rsidRPr="00392FFD" w:rsidRDefault="00FD54FC" w:rsidP="00FD54FC">
            <w:pPr>
              <w:rPr>
                <w:rFonts w:ascii="Times New Roman" w:hAnsi="Times New Roman"/>
                <w:sz w:val="24"/>
              </w:rPr>
            </w:pPr>
            <w:r>
              <w:rPr>
                <w:rFonts w:ascii="Times New Roman" w:hAnsi="Times New Roman"/>
                <w:sz w:val="24"/>
              </w:rPr>
              <w:t>Apskaitos data – diena, kurią nuostolis arba rezervas / atidėjinys nuostoliui dėl op</w:t>
            </w:r>
            <w:r>
              <w:rPr>
                <w:rFonts w:ascii="Times New Roman" w:hAnsi="Times New Roman"/>
                <w:sz w:val="24"/>
              </w:rPr>
              <w:t>e</w:t>
            </w:r>
            <w:r>
              <w:rPr>
                <w:rFonts w:ascii="Times New Roman" w:hAnsi="Times New Roman"/>
                <w:sz w:val="24"/>
              </w:rPr>
              <w:lastRenderedPageBreak/>
              <w:t xml:space="preserve">racinės rizikos pirmą kartą pripažintas pelno (nuostolių) ataskaitoje.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Įvykio data</w:t>
            </w:r>
          </w:p>
          <w:p w:rsidR="00FD54FC" w:rsidRPr="00392FFD" w:rsidRDefault="00FD54FC" w:rsidP="00871877">
            <w:pPr>
              <w:rPr>
                <w:rFonts w:ascii="Times New Roman" w:hAnsi="Times New Roman"/>
                <w:sz w:val="24"/>
              </w:rPr>
            </w:pPr>
            <w:r>
              <w:rPr>
                <w:rFonts w:ascii="Times New Roman" w:hAnsi="Times New Roman"/>
                <w:sz w:val="24"/>
              </w:rPr>
              <w:t>Įvykio data – diena, kurią operacinės rizikos įvykis įvyko ar pirmą kartą prasidėjo.</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Nustatymo data</w:t>
            </w:r>
          </w:p>
          <w:p w:rsidR="00FD54FC" w:rsidRPr="00392FFD" w:rsidRDefault="00FD54FC" w:rsidP="00FD54FC">
            <w:pPr>
              <w:rPr>
                <w:rFonts w:ascii="Times New Roman" w:hAnsi="Times New Roman"/>
                <w:sz w:val="24"/>
              </w:rPr>
            </w:pPr>
            <w:r>
              <w:rPr>
                <w:rFonts w:ascii="Times New Roman" w:hAnsi="Times New Roman"/>
                <w:sz w:val="24"/>
              </w:rPr>
              <w:t>Nustatymo data – diena, kurią įstaiga sužinojo apie operacinės rizikos įvykį.</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Įvykio rūšis</w:t>
            </w:r>
          </w:p>
          <w:p w:rsidR="00FD54FC" w:rsidRPr="00392FFD" w:rsidRDefault="00FD54FC" w:rsidP="00FD54FC">
            <w:pPr>
              <w:rPr>
                <w:rFonts w:ascii="Times New Roman" w:hAnsi="Times New Roman"/>
                <w:sz w:val="24"/>
              </w:rPr>
            </w:pPr>
            <w:r>
              <w:rPr>
                <w:rFonts w:ascii="Times New Roman" w:hAnsi="Times New Roman"/>
                <w:sz w:val="24"/>
              </w:rPr>
              <w:t>KRR 324 straipsnyje apibrėžtos įvykio rūšys.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Bendrasis nuostolis</w:t>
            </w:r>
          </w:p>
          <w:p w:rsidR="00FD54FC" w:rsidRPr="00392FFD" w:rsidRDefault="00FD54FC" w:rsidP="00FD54FC">
            <w:pPr>
              <w:rPr>
                <w:rFonts w:ascii="Times New Roman" w:hAnsi="Times New Roman"/>
                <w:sz w:val="24"/>
              </w:rPr>
            </w:pPr>
            <w:r>
              <w:rPr>
                <w:rFonts w:ascii="Times New Roman" w:hAnsi="Times New Roman"/>
                <w:sz w:val="24"/>
              </w:rPr>
              <w:t>Su įvykiu susijęs bendrasis nuostolis, kaip apibrėžta C 17.01 formos 020, 120 ir t. t. eilutėse.</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Bendrasis nuostolis atėmus tiesiogiai susigrąžintas sumas</w:t>
            </w:r>
          </w:p>
          <w:p w:rsidR="00FD54FC" w:rsidRPr="00392FFD" w:rsidRDefault="00FD54FC" w:rsidP="00FD54FC">
            <w:pPr>
              <w:rPr>
                <w:rFonts w:ascii="Times New Roman" w:hAnsi="Times New Roman"/>
                <w:sz w:val="24"/>
              </w:rPr>
            </w:pPr>
            <w:r>
              <w:rPr>
                <w:rFonts w:ascii="Times New Roman" w:hAnsi="Times New Roman"/>
                <w:sz w:val="24"/>
              </w:rPr>
              <w:t>Su įvykiu susijęs bendrasis nuostolis, kaip apibrėžta C 17.01 formos 020, 120 ir t. t. eilutėse, atėmus su tuo nuostolio įvykiu susijusias tiesiogiai susigrąžintas sumas.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Bendrasis nuostolis pagal verslo liniją</w:t>
            </w:r>
          </w:p>
          <w:p w:rsidR="00FD54FC" w:rsidRPr="00392FFD" w:rsidRDefault="00FD54FC" w:rsidP="00FD54FC">
            <w:pPr>
              <w:rPr>
                <w:rFonts w:ascii="Times New Roman" w:hAnsi="Times New Roman"/>
                <w:sz w:val="24"/>
              </w:rPr>
            </w:pPr>
            <w:r>
              <w:rPr>
                <w:rFonts w:ascii="Times New Roman" w:hAnsi="Times New Roman"/>
                <w:sz w:val="24"/>
              </w:rPr>
              <w:t>060 skiltyje nurodytas bendrasis nuostolis priskiriamas atitinkamoms verslo lin</w:t>
            </w:r>
            <w:r>
              <w:rPr>
                <w:rFonts w:ascii="Times New Roman" w:hAnsi="Times New Roman"/>
                <w:sz w:val="24"/>
              </w:rPr>
              <w:t>i</w:t>
            </w:r>
            <w:r>
              <w:rPr>
                <w:rFonts w:ascii="Times New Roman" w:hAnsi="Times New Roman"/>
                <w:sz w:val="24"/>
              </w:rPr>
              <w:t>joms, kaip apibrėžta KRR 317 straipsnyje ir 322 straipsnio 3 dalies b punkte.</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Juridinio asmens pavadinimas</w:t>
            </w:r>
          </w:p>
          <w:p w:rsidR="00FD54FC" w:rsidRPr="00392FFD" w:rsidRDefault="00FD54FC" w:rsidP="00FD54FC">
            <w:pPr>
              <w:rPr>
                <w:rFonts w:ascii="Times New Roman" w:hAnsi="Times New Roman"/>
                <w:sz w:val="24"/>
              </w:rPr>
            </w:pPr>
            <w:r>
              <w:rPr>
                <w:rFonts w:ascii="Times New Roman" w:hAnsi="Times New Roman"/>
                <w:sz w:val="24"/>
              </w:rPr>
              <w:t>C 06.02 formos 010 skiltyje nurodytas juridinio asmens, kuriame patirti nuostoliai arba didžioji dalis nuostolių, kai poveikis padarytas keliems subjektams, pavadin</w:t>
            </w:r>
            <w:r>
              <w:rPr>
                <w:rFonts w:ascii="Times New Roman" w:hAnsi="Times New Roman"/>
                <w:sz w:val="24"/>
              </w:rPr>
              <w:t>i</w:t>
            </w:r>
            <w:r>
              <w:rPr>
                <w:rFonts w:ascii="Times New Roman" w:hAnsi="Times New Roman"/>
                <w:sz w:val="24"/>
              </w:rPr>
              <w:t>mas.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Juridinio asmens kodas</w:t>
            </w:r>
          </w:p>
          <w:p w:rsidR="00FD54FC" w:rsidRPr="00392FFD" w:rsidRDefault="00FD54FC" w:rsidP="00FD54FC">
            <w:pPr>
              <w:rPr>
                <w:rFonts w:ascii="Times New Roman" w:hAnsi="Times New Roman"/>
                <w:sz w:val="24"/>
              </w:rPr>
            </w:pPr>
            <w:r>
              <w:rPr>
                <w:rFonts w:ascii="Times New Roman" w:hAnsi="Times New Roman"/>
                <w:sz w:val="24"/>
              </w:rPr>
              <w:t>C 06.02 formos 025 skiltyje nurodytas juridinio asmens, kuriame patirti nuostoliai arba didžioji dalis nuostolių, kai poveikis padarytas keliems subjektams, LEI kodas.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Padalinys</w:t>
            </w:r>
          </w:p>
          <w:p w:rsidR="00FD54FC" w:rsidRPr="00392FFD" w:rsidRDefault="00FD54FC" w:rsidP="00FD54FC">
            <w:pPr>
              <w:rPr>
                <w:rFonts w:ascii="Times New Roman" w:hAnsi="Times New Roman"/>
                <w:sz w:val="24"/>
              </w:rPr>
            </w:pPr>
            <w:r>
              <w:rPr>
                <w:rFonts w:ascii="Times New Roman" w:hAnsi="Times New Roman"/>
                <w:sz w:val="24"/>
              </w:rPr>
              <w:t>Įstaigos, kurioje patirti nuostoliai arba didžioji dalis nuostolių, kai poveikis padar</w:t>
            </w:r>
            <w:r>
              <w:rPr>
                <w:rFonts w:ascii="Times New Roman" w:hAnsi="Times New Roman"/>
                <w:sz w:val="24"/>
              </w:rPr>
              <w:t>y</w:t>
            </w:r>
            <w:r>
              <w:rPr>
                <w:rFonts w:ascii="Times New Roman" w:hAnsi="Times New Roman"/>
                <w:sz w:val="24"/>
              </w:rPr>
              <w:t>tas keliems padaliniams ar filialams, padalinys arba filialas.</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Aprašymas</w:t>
            </w:r>
          </w:p>
          <w:p w:rsidR="00FD54FC" w:rsidRPr="00392FFD" w:rsidRDefault="00FD54FC" w:rsidP="00FD239F">
            <w:pPr>
              <w:rPr>
                <w:rFonts w:ascii="Times New Roman" w:hAnsi="Times New Roman"/>
                <w:sz w:val="24"/>
              </w:rPr>
            </w:pPr>
            <w:r>
              <w:rPr>
                <w:rFonts w:ascii="Times New Roman" w:hAnsi="Times New Roman"/>
                <w:sz w:val="24"/>
              </w:rPr>
              <w:t>Įvykio aprašymas, prireikus apibendrinant ar nurodant anoniminius duomenis, kuris apima bent informaciją apie patį įvykį ir to įvykio priežastis ar jį lėmusius veik</w:t>
            </w:r>
            <w:r>
              <w:rPr>
                <w:rFonts w:ascii="Times New Roman" w:hAnsi="Times New Roman"/>
                <w:sz w:val="24"/>
              </w:rPr>
              <w:t>s</w:t>
            </w:r>
            <w:r>
              <w:rPr>
                <w:rFonts w:ascii="Times New Roman" w:hAnsi="Times New Roman"/>
                <w:sz w:val="24"/>
              </w:rPr>
              <w:t>nius, kai šie žinomi.</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4010090"/>
      <w:r>
        <w:rPr>
          <w:rFonts w:ascii="Times New Roman" w:hAnsi="Times New Roman"/>
          <w:sz w:val="24"/>
          <w:u w:val="none"/>
        </w:rPr>
        <w:lastRenderedPageBreak/>
        <w:t>5.</w:t>
      </w:r>
      <w:r>
        <w:tab/>
      </w:r>
      <w:r>
        <w:rPr>
          <w:rFonts w:ascii="Times New Roman" w:hAnsi="Times New Roman"/>
          <w:sz w:val="24"/>
        </w:rPr>
        <w:t>Rinkos rizikos formos</w:t>
      </w:r>
      <w:bookmarkEnd w:id="587"/>
      <w:bookmarkEnd w:id="588"/>
      <w:bookmarkEnd w:id="589"/>
      <w:bookmarkEnd w:id="590"/>
      <w:bookmarkEnd w:id="591"/>
      <w:bookmarkEnd w:id="592"/>
      <w:bookmarkEnd w:id="593"/>
      <w:bookmarkEnd w:id="594"/>
    </w:p>
    <w:p w:rsidR="000B0B09" w:rsidRPr="00392FFD" w:rsidRDefault="00125707" w:rsidP="00C37B29">
      <w:pPr>
        <w:pStyle w:val="InstructionsText2"/>
        <w:numPr>
          <w:ilvl w:val="0"/>
          <w:numId w:val="0"/>
        </w:numPr>
        <w:ind w:left="993"/>
      </w:pPr>
      <w:bookmarkStart w:id="595" w:name="_Toc308426672"/>
      <w:r>
        <w:t>137.</w:t>
      </w:r>
      <w:r>
        <w:tab/>
        <w:t>Šie nurodymai skirti formoms, kuriose nurodomas nuosavų lėšų reikalavimų skaičiavimas pagal standartizuotą metodą užsienio valiutos kurso rizikai (MKR SA FX), biržos prekių kainos rizikai (MKR SA COM), palūkanų normų rizikai (MKR SA TDI, MKR SA SEC, MKR SA CTP) ir nuosavybės vertybinių popierių rizikai (MKR SA EQU) padengti. Taip pat šioje dalyje pateikiami nurodymai, kaip form</w:t>
      </w:r>
      <w:r>
        <w:t>o</w:t>
      </w:r>
      <w:r>
        <w:t xml:space="preserve">je nurodyti nuosavų lėšų reikalavimų skaičiavimą pagal vidinių modelių metodą (MKR IM). </w:t>
      </w:r>
    </w:p>
    <w:p w:rsidR="000B0B09" w:rsidRPr="00392FFD" w:rsidRDefault="00125707" w:rsidP="00C37B29">
      <w:pPr>
        <w:pStyle w:val="InstructionsText2"/>
        <w:numPr>
          <w:ilvl w:val="0"/>
          <w:numId w:val="0"/>
        </w:numPr>
        <w:ind w:left="993"/>
      </w:pPr>
      <w:r>
        <w:t>138.</w:t>
      </w:r>
      <w:r>
        <w:tab/>
        <w:t>Skolos priemonių, kuriomis prekiaujama, arba nuosavybės vertybinių popierių (arba skolos ar nuosavybės vertybinių popierių išvestinių finansinių priemonių) p</w:t>
      </w:r>
      <w:r>
        <w:t>o</w:t>
      </w:r>
      <w:r>
        <w:t>zicijų rizika, siekiant apskaičiuoti, kiek kapitalo reikia jai padengti, yra suskirstoma į du komponentus. Pirmasis komponentas – specifinė rizika, t. y. atitinkamos pri</w:t>
      </w:r>
      <w:r>
        <w:t>e</w:t>
      </w:r>
      <w:r>
        <w:t>monės kainos pasikeitimo rizika dėl veiksnių, susijusių su jos emitentu, arba (išve</w:t>
      </w:r>
      <w:r>
        <w:t>s</w:t>
      </w:r>
      <w:r>
        <w:t>tinės finansinės priemonės atveju) rizika, susijusi su pagrindinės priemonės emite</w:t>
      </w:r>
      <w:r>
        <w:t>n</w:t>
      </w:r>
      <w:r>
        <w:t>tu. Antrasis komponentas – bendroji rizika, t. y. tokia priemonės kainos pasikeitimo rizika dėl palūkanų normos pasikeitimo (skolos priemonės, kuria prekiaujama, arba skolos išvestinės finansinės priemonės atveju) arba dėl bendrų visos nuosavybės vertybinių popierių rinkos svyravimų, nesusijusių su jokiais specifiniais atskirų ve</w:t>
      </w:r>
      <w:r>
        <w:t>r</w:t>
      </w:r>
      <w:r>
        <w:t>tybinių popierių ypatumais (nuosavybės vertybinių popierių ar nuosavybės vertyb</w:t>
      </w:r>
      <w:r>
        <w:t>i</w:t>
      </w:r>
      <w:r>
        <w:t xml:space="preserve">nių popierių išvestinių finansinių priemonių atveju). </w:t>
      </w:r>
      <w:bookmarkEnd w:id="595"/>
      <w:r>
        <w:t>Bendra tvarka, taikytina spec</w:t>
      </w:r>
      <w:r>
        <w:t>i</w:t>
      </w:r>
      <w:r>
        <w:t>finėms priemonėms ir užskaitos procedūroms, pateikiama KRR 326–333 straip</w:t>
      </w:r>
      <w:r>
        <w:t>s</w:t>
      </w:r>
      <w:r>
        <w:t xml:space="preserve">niuose.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4010091"/>
      <w:r>
        <w:rPr>
          <w:rFonts w:ascii="Times New Roman" w:hAnsi="Times New Roman"/>
          <w:sz w:val="24"/>
          <w:u w:val="none"/>
        </w:rPr>
        <w:t>5.1.</w:t>
      </w:r>
      <w:r>
        <w:tab/>
      </w:r>
      <w:r>
        <w:rPr>
          <w:rFonts w:ascii="Times New Roman" w:hAnsi="Times New Roman"/>
          <w:sz w:val="24"/>
        </w:rPr>
        <w:t>C 18.00. Rinkos rizika. Standartizuotas metodas, taikomas skolos priemonių, kuriomis prekiaujama, pozicijų rizikai</w:t>
      </w:r>
      <w:bookmarkEnd w:id="596"/>
      <w:bookmarkEnd w:id="597"/>
      <w:bookmarkEnd w:id="598"/>
      <w:bookmarkEnd w:id="599"/>
      <w:bookmarkEnd w:id="600"/>
      <w:bookmarkEnd w:id="601"/>
      <w:r>
        <w:rPr>
          <w:rFonts w:ascii="Times New Roman" w:hAnsi="Times New Roman"/>
          <w:sz w:val="24"/>
        </w:rPr>
        <w:t xml:space="preserve"> (MKR SA TDI)</w:t>
      </w:r>
      <w:bookmarkEnd w:id="602"/>
      <w:bookmarkEnd w:id="603"/>
      <w:bookmarkEnd w:id="60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4010092"/>
      <w:r>
        <w:rPr>
          <w:rFonts w:ascii="Times New Roman" w:hAnsi="Times New Roman"/>
          <w:sz w:val="24"/>
          <w:u w:val="none"/>
        </w:rPr>
        <w:t>5.1.1.</w:t>
      </w:r>
      <w:r>
        <w:tab/>
      </w:r>
      <w:r>
        <w:rPr>
          <w:rFonts w:ascii="Times New Roman" w:hAnsi="Times New Roman"/>
          <w:sz w:val="24"/>
        </w:rPr>
        <w:t>Bendrosios pastabos</w:t>
      </w:r>
      <w:bookmarkEnd w:id="605"/>
      <w:bookmarkEnd w:id="606"/>
      <w:bookmarkEnd w:id="607"/>
      <w:bookmarkEnd w:id="608"/>
      <w:bookmarkEnd w:id="609"/>
      <w:bookmarkEnd w:id="610"/>
      <w:bookmarkEnd w:id="611"/>
      <w:bookmarkEnd w:id="612"/>
    </w:p>
    <w:p w:rsidR="000B0B09" w:rsidRPr="00392FFD" w:rsidRDefault="00125707" w:rsidP="00C37B29">
      <w:pPr>
        <w:pStyle w:val="InstructionsText2"/>
        <w:numPr>
          <w:ilvl w:val="0"/>
          <w:numId w:val="0"/>
        </w:numPr>
        <w:ind w:left="993"/>
      </w:pPr>
      <w:r>
        <w:t>139.</w:t>
      </w:r>
      <w:r>
        <w:tab/>
        <w:t>Šioje formoje pateikiami duomenys apie pozicijas ir su jomis susijusius nuos</w:t>
      </w:r>
      <w:r>
        <w:t>a</w:t>
      </w:r>
      <w:r>
        <w:t>vų lėšų reikalavimus skolos priemonių, kuriomis prekiaujama, rizikos pozicijoms padengti, taikant standartizuotą metodą (KRR 102 straipsnis ir 105 straipsnio 1 d</w:t>
      </w:r>
      <w:r>
        <w:t>a</w:t>
      </w:r>
      <w:r>
        <w:t>lis). Skirtinga KRR numatyta rizika ir metodai išdėstomi eilutėmis. Specifinė rizika, susijusi su pozicijomis, įtrauktomis į MKR SA SEC ir MKR SA CTP formas, turi būti nurodyta tik MKR SA TDI bendrų sumų formoje. Šiose formose nurodomi nuosavų lėšų reikalavimai atitinkamai perkeliami į laukelį {325;060}(pakeitimai vertybiniais popieriais) ir {330;060}(CTP) .</w:t>
      </w:r>
    </w:p>
    <w:p w:rsidR="000B0B09" w:rsidRPr="00392FFD" w:rsidRDefault="00125707" w:rsidP="00C37B29">
      <w:pPr>
        <w:pStyle w:val="InstructionsText2"/>
        <w:numPr>
          <w:ilvl w:val="0"/>
          <w:numId w:val="0"/>
        </w:numPr>
        <w:ind w:left="993"/>
      </w:pPr>
      <w:r>
        <w:t>140.</w:t>
      </w:r>
      <w:r>
        <w:tab/>
        <w:t xml:space="preserve">Forma užpildoma atskirai nurodant bendrą sumą ir duomenis pagal iš anksto nustatytą šių valiutų sąrašą: </w:t>
      </w:r>
      <w:bookmarkStart w:id="613" w:name="OLE_LINK1"/>
      <w:r>
        <w:t>EUR, ALL, BGN, CZK, DKK, EGP, GBP, HRK, HUF, ISK, JPY, MKD, NOK, PLN, RON, RUB, RSD, SEK, CHF, TRY, UAH, USD</w:t>
      </w:r>
      <w:bookmarkEnd w:id="613"/>
      <w:r>
        <w:t xml:space="preserve"> ir dar viena forma – visoms kitoms valiutoms.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4010093"/>
      <w:r>
        <w:rPr>
          <w:rFonts w:ascii="Times New Roman" w:hAnsi="Times New Roman"/>
          <w:sz w:val="24"/>
          <w:u w:val="none"/>
        </w:rPr>
        <w:t>5.1.2.</w:t>
      </w:r>
      <w:r>
        <w:tab/>
      </w:r>
      <w:r>
        <w:rPr>
          <w:rFonts w:ascii="Times New Roman" w:hAnsi="Times New Roman"/>
          <w:sz w:val="24"/>
        </w:rPr>
        <w:t>Nurodymai dėl konkrečių pozicijų</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KRR 102 straipsnis ir 105 straipsnio 1 dalis. Tai bendrosios pozicijos, neat</w:t>
            </w:r>
            <w:r>
              <w:rPr>
                <w:rFonts w:ascii="Times New Roman" w:hAnsi="Times New Roman"/>
                <w:sz w:val="24"/>
              </w:rPr>
              <w:t>ė</w:t>
            </w:r>
            <w:r>
              <w:rPr>
                <w:rFonts w:ascii="Times New Roman" w:hAnsi="Times New Roman"/>
                <w:sz w:val="24"/>
              </w:rPr>
              <w:lastRenderedPageBreak/>
              <w:t>mus priemonių, bet atskaičius platinamas pozicijas, kurias yra pasirašiusios a</w:t>
            </w:r>
            <w:r>
              <w:rPr>
                <w:rFonts w:ascii="Times New Roman" w:hAnsi="Times New Roman"/>
                <w:sz w:val="24"/>
              </w:rPr>
              <w:t>r</w:t>
            </w:r>
            <w:r>
              <w:rPr>
                <w:rFonts w:ascii="Times New Roman" w:hAnsi="Times New Roman"/>
                <w:sz w:val="24"/>
              </w:rPr>
              <w:t>ba kurių nupirkimą patvirtino trečiosios šalys (KRR 345 straipsnio antras sak</w:t>
            </w:r>
            <w:r>
              <w:rPr>
                <w:rFonts w:ascii="Times New Roman" w:hAnsi="Times New Roman"/>
                <w:sz w:val="24"/>
              </w:rPr>
              <w:t>i</w:t>
            </w:r>
            <w:r>
              <w:rPr>
                <w:rFonts w:ascii="Times New Roman" w:hAnsi="Times New Roman"/>
                <w:sz w:val="24"/>
              </w:rPr>
              <w:t>nys). Dėl pozicijų skirstymo į ilgąsias ir trumpąsias, kuris taikomas ir bendr</w:t>
            </w:r>
            <w:r>
              <w:rPr>
                <w:rFonts w:ascii="Times New Roman" w:hAnsi="Times New Roman"/>
                <w:sz w:val="24"/>
              </w:rPr>
              <w:t>o</w:t>
            </w:r>
            <w:r>
              <w:rPr>
                <w:rFonts w:ascii="Times New Roman" w:hAnsi="Times New Roman"/>
                <w:sz w:val="24"/>
              </w:rPr>
              <w:t>sioms šių pozicijų sumoms, žr. KRR 328 straipsnio 2 dalį.</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KRR 327–329 straipsniai ir 334 straipsnis. Dėl pozicijų skirstymo į ilgąsias ir trumpąsias žr. KRR 328 straipsnio 2 dalį.</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w:t>
            </w:r>
            <w:r>
              <w:rPr>
                <w:rFonts w:ascii="Times New Roman" w:hAnsi="Times New Roman"/>
                <w:b/>
                <w:sz w:val="24"/>
                <w:u w:val="single"/>
              </w:rPr>
              <w:t>I</w:t>
            </w:r>
            <w:r>
              <w:rPr>
                <w:rFonts w:ascii="Times New Roman" w:hAnsi="Times New Roman"/>
                <w:b/>
                <w:sz w:val="24"/>
                <w:u w:val="single"/>
              </w:rPr>
              <w:t>CIENTAS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Tos grynosios pozicijos, kurioms pagal įvairius KRR trečios dalies IV antrašt</w:t>
            </w:r>
            <w:r>
              <w:rPr>
                <w:rFonts w:ascii="Times New Roman" w:hAnsi="Times New Roman"/>
                <w:sz w:val="24"/>
              </w:rPr>
              <w:t>i</w:t>
            </w:r>
            <w:r>
              <w:rPr>
                <w:rFonts w:ascii="Times New Roman" w:hAnsi="Times New Roman"/>
                <w:sz w:val="24"/>
              </w:rPr>
              <w:t>nės dalies 2 skyriuje aptartus metodus yra taikomas kapitalo poreikio koef</w:t>
            </w:r>
            <w:r>
              <w:rPr>
                <w:rFonts w:ascii="Times New Roman" w:hAnsi="Times New Roman"/>
                <w:sz w:val="24"/>
              </w:rPr>
              <w:t>i</w:t>
            </w:r>
            <w:r>
              <w:rPr>
                <w:rFonts w:ascii="Times New Roman" w:hAnsi="Times New Roman"/>
                <w:sz w:val="24"/>
              </w:rPr>
              <w:t>cientas.</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Atitinkamos pozicijos kapitalo poreikio koeficientas pagal KRR trečios dalies IV antraštinės dalies 2 skyrių.</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KRR 92 straipsnio 4 dalies b punktas. Rezultatas, gautas nuosavų lėšų reikal</w:t>
            </w:r>
            <w:r>
              <w:rPr>
                <w:rFonts w:ascii="Times New Roman" w:hAnsi="Times New Roman"/>
                <w:sz w:val="24"/>
              </w:rPr>
              <w:t>a</w:t>
            </w:r>
            <w:r>
              <w:rPr>
                <w:rFonts w:ascii="Times New Roman" w:hAnsi="Times New Roman"/>
                <w:sz w:val="24"/>
              </w:rPr>
              <w:t xml:space="preserve">vimus padauginus iš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 ĮTRAUKTOS Į PREKYBOS KNYGĄ</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Skolos priemonių, kuriomis prekiaujama, pozicijos prekybos knygoje ir jas at</w:t>
            </w:r>
            <w:r>
              <w:rPr>
                <w:rFonts w:ascii="Times New Roman" w:hAnsi="Times New Roman"/>
                <w:sz w:val="24"/>
              </w:rPr>
              <w:t>i</w:t>
            </w:r>
            <w:r>
              <w:rPr>
                <w:rFonts w:ascii="Times New Roman" w:hAnsi="Times New Roman"/>
                <w:sz w:val="24"/>
              </w:rPr>
              <w:t>tinkantys nuosavų lėšų reikalavimai pozicijos rizikai padengti pagal KRR 92 straipsnio 3 dalies b punkto i papunktį ir trečios dalies IV antraštinės dalies 2 skyrių nurodomi pagal rizikos kategoriją, terminą ir taikomą metodą.</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BENDROJI RIZIKA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Išvestinės finansinės priemonės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Išvestinės finansinės priemonės, įtraukiamos apskaičiuojant prekybos knygos pozicijų palūkanų normos riziką, jei taikoma, atsižvelgiant į 328–331 straip</w:t>
            </w:r>
            <w:r>
              <w:rPr>
                <w:rFonts w:ascii="Times New Roman" w:hAnsi="Times New Roman"/>
                <w:sz w:val="24"/>
              </w:rPr>
              <w:t>s</w:t>
            </w:r>
            <w:r>
              <w:rPr>
                <w:rFonts w:ascii="Times New Roman" w:hAnsi="Times New Roman"/>
                <w:sz w:val="24"/>
              </w:rPr>
              <w:t>nius.</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Kitas turtas ir įsipareigojimai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Kitos priemonės, ne išvestinės finansinės priemonės, įtraukiamos apskaičiu</w:t>
            </w:r>
            <w:r>
              <w:rPr>
                <w:rFonts w:ascii="Times New Roman" w:hAnsi="Times New Roman"/>
                <w:sz w:val="24"/>
              </w:rPr>
              <w:t>o</w:t>
            </w:r>
            <w:r>
              <w:rPr>
                <w:rFonts w:ascii="Times New Roman" w:hAnsi="Times New Roman"/>
                <w:sz w:val="24"/>
              </w:rPr>
              <w:t xml:space="preserve">jant prekybos knygos pozicijų palūkanų normos riziką.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TERMINU PAGRĮSTAS METODAS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Skolos priemonių, kuriomis prekiaujama, pozicijos, kurioms taikomas terminu pagrįstas metodas pagal KRR 339 straipsnio 1–8 dalis, ir atitinkami nuosavų lėšų reikalavimai, nustatyti KRR 339 straipsnio 9 dalyje. Pozicija suskirstoma į </w:t>
            </w:r>
            <w:r>
              <w:rPr>
                <w:rFonts w:ascii="Times New Roman" w:hAnsi="Times New Roman"/>
                <w:sz w:val="24"/>
              </w:rPr>
              <w:lastRenderedPageBreak/>
              <w:t>1, 2 ir 3 zonas, o šios – pagal priemonių terminą.</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BENDROJI RIZIKA. TRUKME PAGRĮSTAS METODAS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Skolos priemonių, kuriomis prekiaujama, pozicijos, kurioms taikomas trukme pagrįstas metodas pagal KRR 340 straipsnio 1–6 dalis, ir atitinkami nuosavų lėšų reikalavimai, nustatyti KRR 340 straipsnio 7 dalyje. Pozicija suskirstoma į 1, 2 ir 3 zonas.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SPECIFINĖ RIZIKA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251, 325 ir 330 eilutėse nurodytų reikšmių suma.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Skolos priemonių, kuriomis prekiaujama, pozicijos, kurioms taikomas specif</w:t>
            </w:r>
            <w:r>
              <w:rPr>
                <w:rFonts w:ascii="Times New Roman" w:hAnsi="Times New Roman"/>
                <w:sz w:val="24"/>
              </w:rPr>
              <w:t>i</w:t>
            </w:r>
            <w:r>
              <w:rPr>
                <w:rFonts w:ascii="Times New Roman" w:hAnsi="Times New Roman"/>
                <w:sz w:val="24"/>
              </w:rPr>
              <w:t>nės rizikos kapitalo poreikio koeficientas, ir atitinkamas kapitalo poreikio ko</w:t>
            </w:r>
            <w:r>
              <w:rPr>
                <w:rFonts w:ascii="Times New Roman" w:hAnsi="Times New Roman"/>
                <w:sz w:val="24"/>
              </w:rPr>
              <w:t>e</w:t>
            </w:r>
            <w:r>
              <w:rPr>
                <w:rFonts w:ascii="Times New Roman" w:hAnsi="Times New Roman"/>
                <w:sz w:val="24"/>
              </w:rPr>
              <w:t>ficientas pagal KRR 92 straipsnio 3 dalies b punktą, 335 straipsnį, 336 straip</w:t>
            </w:r>
            <w:r>
              <w:rPr>
                <w:rFonts w:ascii="Times New Roman" w:hAnsi="Times New Roman"/>
                <w:sz w:val="24"/>
              </w:rPr>
              <w:t>s</w:t>
            </w:r>
            <w:r>
              <w:rPr>
                <w:rFonts w:ascii="Times New Roman" w:hAnsi="Times New Roman"/>
                <w:sz w:val="24"/>
              </w:rPr>
              <w:t>nio 1–3 dalis, 337 ir 338 straipsnius. Atkreipkite dėmesį į KRR 327 straipsnio 1 dalies paskutinį sakinį.</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skolos priemonėms, kurios nėra pakeitimo ve</w:t>
            </w:r>
            <w:r>
              <w:rPr>
                <w:rFonts w:ascii="Times New Roman" w:hAnsi="Times New Roman"/>
                <w:b/>
                <w:sz w:val="24"/>
                <w:u w:val="single"/>
              </w:rPr>
              <w:t>r</w:t>
            </w:r>
            <w:r>
              <w:rPr>
                <w:rFonts w:ascii="Times New Roman" w:hAnsi="Times New Roman"/>
                <w:b/>
                <w:sz w:val="24"/>
                <w:u w:val="single"/>
              </w:rPr>
              <w:t>tybiniais popieriais priemonės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260–321 eilutėse nurodytų reikšmių suma.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N-tojo įsipareigojimų neįvykdymo kredito išvestinių finansinių priemonių, k</w:t>
            </w:r>
            <w:r>
              <w:rPr>
                <w:rFonts w:ascii="Times New Roman" w:hAnsi="Times New Roman"/>
                <w:sz w:val="24"/>
              </w:rPr>
              <w:t>u</w:t>
            </w:r>
            <w:r>
              <w:rPr>
                <w:rFonts w:ascii="Times New Roman" w:hAnsi="Times New Roman"/>
                <w:sz w:val="24"/>
              </w:rPr>
              <w:t>rios neturi išorinio reitingo, nuosavų lėšų reikalavimas apskaičiuojamas sus</w:t>
            </w:r>
            <w:r>
              <w:rPr>
                <w:rFonts w:ascii="Times New Roman" w:hAnsi="Times New Roman"/>
                <w:sz w:val="24"/>
              </w:rPr>
              <w:t>u</w:t>
            </w:r>
            <w:r>
              <w:rPr>
                <w:rFonts w:ascii="Times New Roman" w:hAnsi="Times New Roman"/>
                <w:sz w:val="24"/>
              </w:rPr>
              <w:t>mavus referencinių subjektų rizikos koeficientus (KRR 332 straipsnio 1 dalies e punkto pirma ir antra pastraipos, „skaidrumo metodas“). N-tojo įsipareigoj</w:t>
            </w:r>
            <w:r>
              <w:rPr>
                <w:rFonts w:ascii="Times New Roman" w:hAnsi="Times New Roman"/>
                <w:sz w:val="24"/>
              </w:rPr>
              <w:t>i</w:t>
            </w:r>
            <w:r>
              <w:rPr>
                <w:rFonts w:ascii="Times New Roman" w:hAnsi="Times New Roman"/>
                <w:sz w:val="24"/>
              </w:rPr>
              <w:t>mų neįvykdymo kredito išvestinių finansinių priemonių, kurios turi išorinį re</w:t>
            </w:r>
            <w:r>
              <w:rPr>
                <w:rFonts w:ascii="Times New Roman" w:hAnsi="Times New Roman"/>
                <w:sz w:val="24"/>
              </w:rPr>
              <w:t>i</w:t>
            </w:r>
            <w:r>
              <w:rPr>
                <w:rFonts w:ascii="Times New Roman" w:hAnsi="Times New Roman"/>
                <w:sz w:val="24"/>
              </w:rPr>
              <w:t>tingą (KRR 332 straipsnio 1 dalies e punkto trečia pastraipa), atveju jis nur</w:t>
            </w:r>
            <w:r>
              <w:rPr>
                <w:rFonts w:ascii="Times New Roman" w:hAnsi="Times New Roman"/>
                <w:sz w:val="24"/>
              </w:rPr>
              <w:t>o</w:t>
            </w:r>
            <w:r>
              <w:rPr>
                <w:rFonts w:ascii="Times New Roman" w:hAnsi="Times New Roman"/>
                <w:sz w:val="24"/>
              </w:rPr>
              <w:t xml:space="preserve">domas atskirai 321 eilutėje.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Informacijos apie pozicijas, kurioms taikoma KRR 336 straipsnio 3 dalis, te</w:t>
            </w:r>
            <w:r>
              <w:rPr>
                <w:rFonts w:ascii="Times New Roman" w:hAnsi="Times New Roman"/>
                <w:sz w:val="24"/>
                <w:u w:val="single"/>
              </w:rPr>
              <w:t>i</w:t>
            </w:r>
            <w:r>
              <w:rPr>
                <w:rFonts w:ascii="Times New Roman" w:hAnsi="Times New Roman"/>
                <w:sz w:val="24"/>
                <w:u w:val="single"/>
              </w:rPr>
              <w:t>kimas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Speciali tvarka taikoma obligacijoms, kurioms remiantis KRR 129 straipsnio 3 dalimi (padengtosios obligacijos) bankinėje knygoje galima taikyti 10 % riz</w:t>
            </w:r>
            <w:r>
              <w:rPr>
                <w:rFonts w:ascii="Times New Roman" w:hAnsi="Times New Roman"/>
                <w:sz w:val="24"/>
              </w:rPr>
              <w:t>i</w:t>
            </w:r>
            <w:r>
              <w:rPr>
                <w:rFonts w:ascii="Times New Roman" w:hAnsi="Times New Roman"/>
                <w:sz w:val="24"/>
              </w:rPr>
              <w:t>kos koeficientą. Specifinius nuosavų lėšų reikalavimus sudaro pusė KRR 336 straipsnio 1 lentelėje nurodytos antros kategorijos procentinės dalies. Šios p</w:t>
            </w:r>
            <w:r>
              <w:rPr>
                <w:rFonts w:ascii="Times New Roman" w:hAnsi="Times New Roman"/>
                <w:sz w:val="24"/>
              </w:rPr>
              <w:t>o</w:t>
            </w:r>
            <w:r>
              <w:rPr>
                <w:rFonts w:ascii="Times New Roman" w:hAnsi="Times New Roman"/>
                <w:sz w:val="24"/>
              </w:rPr>
              <w:t>zicijos turi būti priskirtos 280–300 eilutėms pagal likusį laiką iki galutinio te</w:t>
            </w:r>
            <w:r>
              <w:rPr>
                <w:rFonts w:ascii="Times New Roman" w:hAnsi="Times New Roman"/>
                <w:sz w:val="24"/>
              </w:rPr>
              <w:t>r</w:t>
            </w:r>
            <w:r>
              <w:rPr>
                <w:rFonts w:ascii="Times New Roman" w:hAnsi="Times New Roman"/>
                <w:sz w:val="24"/>
              </w:rPr>
              <w:t>mino.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Jeigu bendroji palūkanų normos pozicijų rizika yra apdraudžiama kredito išve</w:t>
            </w:r>
            <w:r>
              <w:rPr>
                <w:rFonts w:ascii="Times New Roman" w:hAnsi="Times New Roman"/>
                <w:sz w:val="24"/>
              </w:rPr>
              <w:t>s</w:t>
            </w:r>
            <w:r>
              <w:rPr>
                <w:rFonts w:ascii="Times New Roman" w:hAnsi="Times New Roman"/>
                <w:sz w:val="24"/>
              </w:rPr>
              <w:t xml:space="preserve">tine finansine priemone, taikomi 346 ir 347 straipsniai.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pakeitimo vertybiniais popieriais priemonėms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Bendra nuosavų lėšų reikalavimų suma, nurodyta MKR SA SEC formos 610 skiltyje. Ji nurodoma tik prie MKR SA TDI bendrų sumų.</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koreliacinės prekybos portfeliui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Bendra nuosavų lėšų reikalavimų suma, nurodyta MKR SA CTP formos 450 </w:t>
            </w:r>
            <w:r>
              <w:rPr>
                <w:rFonts w:ascii="Times New Roman" w:hAnsi="Times New Roman"/>
                <w:sz w:val="24"/>
              </w:rPr>
              <w:lastRenderedPageBreak/>
              <w:t>skiltyje. Ji nurodoma tik prie MKR SA TDI bendrų sumų.</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PAPILDOMI REIKALAVIMAI PASIRINKIMO SANDORIAMS (NE DELTA RIZIKA)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KRR 329 straipsnio 3 dalis.</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Papildomi reikalavimai pasirinkimo sandoriams, susijusiems su ne delta rizika, nurodomi pagal skaičiavimui taikytą metodą.</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4010094"/>
      <w:r>
        <w:rPr>
          <w:rFonts w:ascii="Times New Roman" w:hAnsi="Times New Roman"/>
          <w:sz w:val="24"/>
          <w:u w:val="none"/>
        </w:rPr>
        <w:t>5.2.</w:t>
      </w:r>
      <w:r>
        <w:tab/>
      </w:r>
      <w:r>
        <w:rPr>
          <w:rFonts w:ascii="Times New Roman" w:hAnsi="Times New Roman"/>
          <w:sz w:val="24"/>
        </w:rPr>
        <w:t>C 19.00. RINKOS RIZIKA. STANDARTIZUOTAS METODAS, TAIKOMAS SP</w:t>
      </w:r>
      <w:r>
        <w:rPr>
          <w:rFonts w:ascii="Times New Roman" w:hAnsi="Times New Roman"/>
          <w:sz w:val="24"/>
        </w:rPr>
        <w:t>E</w:t>
      </w:r>
      <w:r>
        <w:rPr>
          <w:rFonts w:ascii="Times New Roman" w:hAnsi="Times New Roman"/>
          <w:sz w:val="24"/>
        </w:rPr>
        <w:t>CIFINEI PAKEITIMO VERTYBINIAIS POPIERIAIS RIZIKAI (MKR SA SEC)</w:t>
      </w:r>
      <w:bookmarkEnd w:id="622"/>
      <w:bookmarkEnd w:id="623"/>
      <w:bookmarkEnd w:id="624"/>
      <w:bookmarkEnd w:id="625"/>
      <w:bookmarkEnd w:id="626"/>
      <w:bookmarkEnd w:id="627"/>
      <w:bookmarkEnd w:id="628"/>
      <w:bookmarkEnd w:id="62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4010095"/>
      <w:r>
        <w:rPr>
          <w:rFonts w:ascii="Times New Roman" w:hAnsi="Times New Roman"/>
          <w:sz w:val="24"/>
          <w:u w:val="none"/>
        </w:rPr>
        <w:t>5.2.1.</w:t>
      </w:r>
      <w:r>
        <w:tab/>
      </w:r>
      <w:r>
        <w:rPr>
          <w:rFonts w:ascii="Times New Roman" w:hAnsi="Times New Roman"/>
          <w:sz w:val="24"/>
        </w:rPr>
        <w:t>Bendrosios pastabos</w:t>
      </w:r>
      <w:bookmarkEnd w:id="630"/>
      <w:bookmarkEnd w:id="631"/>
      <w:bookmarkEnd w:id="632"/>
      <w:bookmarkEnd w:id="633"/>
      <w:bookmarkEnd w:id="634"/>
      <w:bookmarkEnd w:id="635"/>
      <w:bookmarkEnd w:id="636"/>
      <w:bookmarkEnd w:id="637"/>
    </w:p>
    <w:p w:rsidR="000B0B09" w:rsidRDefault="00125707" w:rsidP="00C37B29">
      <w:pPr>
        <w:pStyle w:val="InstructionsText2"/>
        <w:numPr>
          <w:ilvl w:val="0"/>
          <w:numId w:val="0"/>
        </w:numPr>
        <w:ind w:left="993"/>
      </w:pPr>
      <w:r>
        <w:t>141.</w:t>
      </w:r>
      <w:r>
        <w:tab/>
        <w:t>Šioje formoje prašoma pateikti informaciją apie pozicijas (visas / grynąsias ir ilgąsias / trumpąsias) ir susijusius nuosavų lėšų reikalavimus pakeitimo vertybiniais popieriais ir (arba) pakartotinio pakeitimo vertybiniais popieriais pozicijų, įtrauktų į prekybos knygą, rizikos specifinės rizikos komponentams (netaikoma koreliacinės prekybos portfeliui) pagal standartizuotą metodą. Ataskaitinių datų po 2019 m. sa</w:t>
      </w:r>
      <w:r>
        <w:t>u</w:t>
      </w:r>
      <w:r>
        <w:t>sio 1 d. pakeitimo vertybiniais popieriais pozicijos, įrašytos į prekybos knygą, kurių specifinės rizikos nuosavų lėšų reikalavimas nustatomas remiantis KRR, t. y. kai nuosavų lėšų reikalavimas apskaičiuojamas pagal peržiūrėtą pakeitimo vertybiniais popieriais sistemą, nurodomos ne šioje formoje, o tik C 02.00 formoje. Lygiai taip pat ataskaitinių datų po 2019 m. sausio 1 d. pakeitimo vertybiniais popieriais poz</w:t>
      </w:r>
      <w:r>
        <w:t>i</w:t>
      </w:r>
      <w:r>
        <w:t>cijos, kurioms pagal KRR taikomas 1250 % rizikos koeficientas ir kurios pagal KRR 36 straipsnio 1 dalies k punkto ii papunktį yra atskaitomos iš CET1, nurod</w:t>
      </w:r>
      <w:r>
        <w:t>o</w:t>
      </w:r>
      <w:r>
        <w:t>mos ne šioje formoje, o tik C 01.00 formoje.</w:t>
      </w:r>
    </w:p>
    <w:p w:rsidR="00E50E79" w:rsidRPr="00392FFD" w:rsidRDefault="00FF1422" w:rsidP="00C37B29">
      <w:pPr>
        <w:pStyle w:val="InstructionsText2"/>
        <w:numPr>
          <w:ilvl w:val="0"/>
          <w:numId w:val="0"/>
        </w:numPr>
        <w:ind w:left="993"/>
      </w:pPr>
      <w:r>
        <w:t>141 a. Šioje formoje visos nuorodos į KRR trečios dalies II antraštinės dalies 5 sk</w:t>
      </w:r>
      <w:r>
        <w:t>y</w:t>
      </w:r>
      <w:r>
        <w:t>riaus straipsnius ir KRR 337 straipsnį laikomos nuorodomis į 2018 m. gruodžio 31 d. galiojančią KRR redakciją.</w:t>
      </w:r>
    </w:p>
    <w:p w:rsidR="000B0B09" w:rsidRPr="00392FFD" w:rsidRDefault="00125707" w:rsidP="00C37B29">
      <w:pPr>
        <w:pStyle w:val="InstructionsText2"/>
        <w:numPr>
          <w:ilvl w:val="0"/>
          <w:numId w:val="0"/>
        </w:numPr>
        <w:ind w:left="993"/>
      </w:pPr>
      <w:r>
        <w:t>142.</w:t>
      </w:r>
      <w:r>
        <w:tab/>
        <w:t>MKR SA SEC formoje nustatomas nuosavų lėšų reikalavimas tik pakeitimo vertybiniais popieriais pozicijų specifinei rizikai padengti, kaip nurodyta KRR 335 straipsnyje kartu su 337 straipsniu. Jeigu pakeitimo vertybiniais popieriais prekybos knygos pozicijos yra apdraustos kredito išvestinėmis finansinėmis priemonėmis, taikomi KRR 346 ir 347 straipsniai. Visoms prekybos knygos pozicijoms nurodyti yra skirta tik viena forma, nepaisant to, ar įstaiga kiekvienos pozicijos rizikos ko</w:t>
      </w:r>
      <w:r>
        <w:t>e</w:t>
      </w:r>
      <w:r>
        <w:t>ficientui nustatyti pagal KRR trečios dalies II antraštinės dalies 5 skyrių taiko sta</w:t>
      </w:r>
      <w:r>
        <w:t>n</w:t>
      </w:r>
      <w:r>
        <w:t>dartizuotą, ar vidaus reitingais pagrįstą metodą. Nuosavų lėšų reikalavimai bendrai šių pozicijų rizikai padengti nurodomi MKR SA TDI arba MKR IM formoje.</w:t>
      </w:r>
    </w:p>
    <w:p w:rsidR="00606885" w:rsidRPr="00392FFD" w:rsidRDefault="00125707" w:rsidP="00C37B29">
      <w:pPr>
        <w:pStyle w:val="InstructionsText2"/>
        <w:numPr>
          <w:ilvl w:val="0"/>
          <w:numId w:val="0"/>
        </w:numPr>
        <w:ind w:left="993"/>
      </w:pPr>
      <w:r>
        <w:t>143.</w:t>
      </w:r>
      <w:r>
        <w:tab/>
        <w:t>Pozicijos, kurioms taikomas 1250 % rizikos koeficientas, taip pat gali būti a</w:t>
      </w:r>
      <w:r>
        <w:t>t</w:t>
      </w:r>
      <w:r>
        <w:t>skaitytos iš bendro 1 lygio nuosavo kapitalo (žr. KRR 243 straipsnio 1 dalies b punktą, 244 straipsnio 1 dalies b punktą ir 258 straipsnį). Tokiu atveju šias pozicijas reikia nurodyti CA1 formos 460 eilutėje.</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4010096"/>
      <w:r>
        <w:rPr>
          <w:rFonts w:ascii="Times New Roman" w:hAnsi="Times New Roman"/>
          <w:sz w:val="24"/>
          <w:u w:val="none"/>
        </w:rPr>
        <w:lastRenderedPageBreak/>
        <w:t>5.2.2.</w:t>
      </w:r>
      <w:r>
        <w:tab/>
      </w:r>
      <w:r>
        <w:rPr>
          <w:rFonts w:ascii="Times New Roman" w:hAnsi="Times New Roman"/>
          <w:sz w:val="24"/>
        </w:rPr>
        <w:t>Nurodymai dėl konkrečių pozicijų</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KRR 102 straipsnis ir 105 straipsnio 1 dalis kartu su KRR 337 straipsniu (p</w:t>
            </w:r>
            <w:r>
              <w:rPr>
                <w:rStyle w:val="InstructionsTabelleText"/>
                <w:rFonts w:ascii="Times New Roman" w:hAnsi="Times New Roman"/>
                <w:sz w:val="24"/>
              </w:rPr>
              <w:t>a</w:t>
            </w:r>
            <w:r>
              <w:rPr>
                <w:rStyle w:val="InstructionsTabelleText"/>
                <w:rFonts w:ascii="Times New Roman" w:hAnsi="Times New Roman"/>
                <w:sz w:val="24"/>
              </w:rPr>
              <w:t xml:space="preserve">keitimo vertybiniais popieriais pozicijos). Dėl pozicijų skirstymo į ilgąsias ir trumpąsias, kuris taikomas ir bendrosioms šių pozicijų sumoms, žr. KRR 328 straipsnio 2 dalį.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POZICIJOS, ATSKAITOMOS IŠ NUOSAVŲ LĖŠŲ</w:t>
            </w:r>
            <w:r>
              <w:t xml:space="preserve"> </w:t>
            </w:r>
            <w:r>
              <w:rPr>
                <w:rFonts w:ascii="Times New Roman" w:hAnsi="Times New Roman"/>
                <w:b/>
                <w:sz w:val="24"/>
                <w:u w:val="single"/>
              </w:rPr>
              <w:t>(ILGOSIOS IR TRUMPOSIOS)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KRR 258 straipsnis.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GRYNOSIOS POZICIJOS</w:t>
            </w:r>
            <w:r>
              <w:t xml:space="preserve"> </w:t>
            </w:r>
            <w:r>
              <w:rPr>
                <w:rFonts w:ascii="Times New Roman" w:hAnsi="Times New Roman"/>
                <w:b/>
                <w:sz w:val="24"/>
                <w:u w:val="single"/>
              </w:rPr>
              <w:t>(ILGOSIOS IR TRUMPOSIOS)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KRR 327–329 straipsniai ir 334 straipsnis. Dėl pozicijų skirstymo į ilgąsias ir trumpąsias žr. KRR 328 straipsnio 2 dalį.</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GRYNŲJŲ POZICIJŲ SKIRSTYMAS PAGAL RIZIKOS KOEFICIE</w:t>
            </w:r>
            <w:r>
              <w:rPr>
                <w:rFonts w:ascii="Times New Roman" w:hAnsi="Times New Roman"/>
                <w:b/>
                <w:sz w:val="24"/>
                <w:u w:val="single"/>
              </w:rPr>
              <w:t>N</w:t>
            </w:r>
            <w:r>
              <w:rPr>
                <w:rFonts w:ascii="Times New Roman" w:hAnsi="Times New Roman"/>
                <w:b/>
                <w:sz w:val="24"/>
                <w:u w:val="single"/>
              </w:rPr>
              <w:t>TĄ</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KRR 251 straipsnis (1 lentelė) ir 261 straipsnio 1 dalis (4 lentelė). Ilgosios ir trumposios pozicijos suskirstomos atskirai.</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ir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KRR 251 straipsnis (1 lentelė) ir 261 straipsnio 1 dalis (4 lentelė).</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 ir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PRIEŽIŪRINĖS FORMULĖS METODAS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KRR 337 straipsnio 2 dalis kartu su 262 straipsniu.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Šios skiltys pildomos, kai įstaiga naudoja alternatyvų priežiūrinės formulės m</w:t>
            </w:r>
            <w:r>
              <w:rPr>
                <w:rStyle w:val="InstructionsTabelleText"/>
                <w:rFonts w:ascii="Times New Roman" w:hAnsi="Times New Roman"/>
                <w:sz w:val="24"/>
              </w:rPr>
              <w:t>e</w:t>
            </w:r>
            <w:r>
              <w:rPr>
                <w:rStyle w:val="InstructionsTabelleText"/>
                <w:rFonts w:ascii="Times New Roman" w:hAnsi="Times New Roman"/>
                <w:sz w:val="24"/>
              </w:rPr>
              <w:t>todą (SFA), pagal kurį nuosavų lėšų reikalavimai apskaičiuojami pagal se</w:t>
            </w:r>
            <w:r>
              <w:rPr>
                <w:rStyle w:val="InstructionsTabelleText"/>
                <w:rFonts w:ascii="Times New Roman" w:hAnsi="Times New Roman"/>
                <w:sz w:val="24"/>
              </w:rPr>
              <w:t>g</w:t>
            </w:r>
            <w:r>
              <w:rPr>
                <w:rStyle w:val="InstructionsTabelleText"/>
                <w:rFonts w:ascii="Times New Roman" w:hAnsi="Times New Roman"/>
                <w:sz w:val="24"/>
              </w:rPr>
              <w:t xml:space="preserve">mento užtikrinimo priemonių grupės ypatumus ir segmentui taikomas sutarties nuostatas.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ir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SKAIDRUMO METODAS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SA metodas: KRR 253, 254 straipsniai ir 256 straipsnio 5 dalis. Pagal skaidr</w:t>
            </w:r>
            <w:r>
              <w:rPr>
                <w:rStyle w:val="InstructionsTabelleText"/>
                <w:rFonts w:ascii="Times New Roman" w:hAnsi="Times New Roman"/>
                <w:sz w:val="24"/>
              </w:rPr>
              <w:t>u</w:t>
            </w:r>
            <w:r>
              <w:rPr>
                <w:rStyle w:val="InstructionsTabelleText"/>
                <w:rFonts w:ascii="Times New Roman" w:hAnsi="Times New Roman"/>
                <w:sz w:val="24"/>
              </w:rPr>
              <w:t>mo metodą pildomose skiltyse nurodomi visi nereitinguotųjų pozicijų atvejai, kai rizikos koeficientas apskaičiuojamas pagal pagrindinį pozicijų portfelį (v</w:t>
            </w:r>
            <w:r>
              <w:rPr>
                <w:rStyle w:val="InstructionsTabelleText"/>
                <w:rFonts w:ascii="Times New Roman" w:hAnsi="Times New Roman"/>
                <w:sz w:val="24"/>
              </w:rPr>
              <w:t>i</w:t>
            </w:r>
            <w:r>
              <w:rPr>
                <w:rStyle w:val="InstructionsTabelleText"/>
                <w:rFonts w:ascii="Times New Roman" w:hAnsi="Times New Roman"/>
                <w:sz w:val="24"/>
              </w:rPr>
              <w:t>dutinis grupės rizikos koeficientas, didžiausias grupės rizikos koeficientas arba naudojamas koncentracijos koeficientas).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IRB metodas: KRR 263 straipsnio 2 ir 3 dalys. Dėl išankstinės amortizacijos žr. KRR 265 straipsnio 1 dalį ir 256 straipsnio 5 dalį.</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 /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VIDINIO VERTINIMO METODAS</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KRR 109 straipsnio 1 dalies antras sakinys ir 259 straipsnio 3 ir 4 dalys.</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 xml:space="preserve">Šios skiltys pildomos, kai įstaiga, nustatydama kapitalo poreikį likvidumo priemonėms ir kredito vertės padidinimui, taiko vidinio vertinimo metodą, kurį </w:t>
            </w:r>
            <w:r>
              <w:rPr>
                <w:rStyle w:val="InstructionsTabelleText"/>
                <w:rFonts w:ascii="Times New Roman" w:hAnsi="Times New Roman"/>
                <w:sz w:val="24"/>
              </w:rPr>
              <w:lastRenderedPageBreak/>
              <w:t>bankai (įskaitant trečiųjų šalių bankus) taiko ir ABCP priemonėms. IAA, p</w:t>
            </w:r>
            <w:r>
              <w:rPr>
                <w:rStyle w:val="InstructionsTabelleText"/>
                <w:rFonts w:ascii="Times New Roman" w:hAnsi="Times New Roman"/>
                <w:sz w:val="24"/>
              </w:rPr>
              <w:t>a</w:t>
            </w:r>
            <w:r>
              <w:rPr>
                <w:rStyle w:val="InstructionsTabelleText"/>
                <w:rFonts w:ascii="Times New Roman" w:hAnsi="Times New Roman"/>
                <w:sz w:val="24"/>
              </w:rPr>
              <w:t>grįstas ECAI metodika, taikomas tik ABCP priemonių pozicijoms, kurios nuo pradžių turi vidaus reitingą, prilygstantį investicinio lygio (angl. „investment grade“) reitingui.</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BENDRAS (KOREGAVIMO) POVEIKIS DĖL IŠSAMAUS PATIKR</w:t>
            </w:r>
            <w:r>
              <w:rPr>
                <w:rFonts w:ascii="Times New Roman" w:hAnsi="Times New Roman"/>
                <w:b/>
                <w:sz w:val="24"/>
                <w:u w:val="single"/>
              </w:rPr>
              <w:t>I</w:t>
            </w:r>
            <w:r>
              <w:rPr>
                <w:rFonts w:ascii="Times New Roman" w:hAnsi="Times New Roman"/>
                <w:b/>
                <w:sz w:val="24"/>
                <w:u w:val="single"/>
              </w:rPr>
              <w:t>NIMO NUOSTATŲ PAŽEIDIMO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KRR 337 straipsnio 3 dalis kartu su 407 straipsniu. KRR 14 straipsnio 2 dalis.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PRIEŠ APRIBOJIMĄ: ĮVERTINTOS GRYNOSIOS ILGOSIOS / TRUMPOSIOS POZICIJOS IR ĮVERTINTŲ GRYNŲJŲ ILGŲJŲ IR TRUMPŲJŲ POZICIJŲ SUMA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KRR 337 straipsnis, neatsižvelgiant į KRR 335 straipsnyje numatytą pasiri</w:t>
            </w:r>
            <w:r>
              <w:rPr>
                <w:rFonts w:ascii="Times New Roman" w:hAnsi="Times New Roman"/>
                <w:sz w:val="24"/>
              </w:rPr>
              <w:t>n</w:t>
            </w:r>
            <w:r>
              <w:rPr>
                <w:rFonts w:ascii="Times New Roman" w:hAnsi="Times New Roman"/>
                <w:sz w:val="24"/>
              </w:rPr>
              <w:t>kimo galimybę, o tai įstaigai leidžia įvertinimo rezultatą ir grynąją poziciją a</w:t>
            </w:r>
            <w:r>
              <w:rPr>
                <w:rFonts w:ascii="Times New Roman" w:hAnsi="Times New Roman"/>
                <w:sz w:val="24"/>
              </w:rPr>
              <w:t>p</w:t>
            </w:r>
            <w:r>
              <w:rPr>
                <w:rFonts w:ascii="Times New Roman" w:hAnsi="Times New Roman"/>
                <w:sz w:val="24"/>
              </w:rPr>
              <w:t>riboti didžiausio galimo nuostolio, susijusio su įsipareigojimų neįvykdymu, suma.</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 APRIBOJIMO: ĮVERTINTOS GRYNOSIOS ILGOSIOS / TRU</w:t>
            </w:r>
            <w:r>
              <w:rPr>
                <w:rFonts w:ascii="Times New Roman" w:hAnsi="Times New Roman"/>
                <w:b/>
                <w:sz w:val="24"/>
                <w:u w:val="single"/>
              </w:rPr>
              <w:t>M</w:t>
            </w:r>
            <w:r>
              <w:rPr>
                <w:rFonts w:ascii="Times New Roman" w:hAnsi="Times New Roman"/>
                <w:b/>
                <w:sz w:val="24"/>
                <w:u w:val="single"/>
              </w:rPr>
              <w:t>POSIOS POZICIJOS IR ĮVERTINTŲ GRYNŲJŲ ILGŲJŲ IR TRU</w:t>
            </w:r>
            <w:r>
              <w:rPr>
                <w:rFonts w:ascii="Times New Roman" w:hAnsi="Times New Roman"/>
                <w:b/>
                <w:sz w:val="24"/>
                <w:u w:val="single"/>
              </w:rPr>
              <w:t>M</w:t>
            </w:r>
            <w:r>
              <w:rPr>
                <w:rFonts w:ascii="Times New Roman" w:hAnsi="Times New Roman"/>
                <w:b/>
                <w:sz w:val="24"/>
                <w:u w:val="single"/>
              </w:rPr>
              <w:t>PŲJŲ POZICIJŲ SUMA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KRR 337 straipsnis, atsižvelgiant į KRR 335 straipsnyje numatytą pasirinkimo galimybę.</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NUOSAVŲ LĖŠŲ REIKALAVIMO SUMA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Pagal KRR 337 straipsnio 4 dalį pereinamuoju laikotarpiu, kuris baigsis 2014 m. gruodžio 31 d., įstaiga atskirai susumuoja savo įvertintas ilgąsias grynąsias pozicijas (580 skiltis) ir savo įvertintas trumpąsias grynąsias pozicijas (590 skiltis). Didesnioji iš šių sumų (pritaikius apribojimą) sudaro nuosavų lėšų re</w:t>
            </w:r>
            <w:r>
              <w:rPr>
                <w:rFonts w:ascii="Times New Roman" w:hAnsi="Times New Roman"/>
                <w:sz w:val="24"/>
              </w:rPr>
              <w:t>i</w:t>
            </w:r>
            <w:r>
              <w:rPr>
                <w:rFonts w:ascii="Times New Roman" w:hAnsi="Times New Roman"/>
                <w:sz w:val="24"/>
              </w:rPr>
              <w:t>kalavimą. Pagal KRR 337 straipsnio 4 dalį nuo 2015 m. įstaiga, norėdama a</w:t>
            </w:r>
            <w:r>
              <w:rPr>
                <w:rFonts w:ascii="Times New Roman" w:hAnsi="Times New Roman"/>
                <w:sz w:val="24"/>
              </w:rPr>
              <w:t>p</w:t>
            </w:r>
            <w:r>
              <w:rPr>
                <w:rFonts w:ascii="Times New Roman" w:hAnsi="Times New Roman"/>
                <w:sz w:val="24"/>
              </w:rPr>
              <w:t>skaičiuoti savo nuosavų lėšų reikalavimą, turės sumuoti savo įvertintas gryn</w:t>
            </w:r>
            <w:r>
              <w:rPr>
                <w:rFonts w:ascii="Times New Roman" w:hAnsi="Times New Roman"/>
                <w:sz w:val="24"/>
              </w:rPr>
              <w:t>ą</w:t>
            </w:r>
            <w:r>
              <w:rPr>
                <w:rFonts w:ascii="Times New Roman" w:hAnsi="Times New Roman"/>
                <w:sz w:val="24"/>
              </w:rPr>
              <w:t>sias pozicijas, nepaisant to, ar jos yra ilgosios, ar trumposios (600 skiltis).</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BENDRA POZICIJŲ SUMA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Bendra neapmokėta pakeitimo vertybiniais popieriais pozicijų (turimų prek</w:t>
            </w:r>
            <w:r>
              <w:rPr>
                <w:rFonts w:ascii="Times New Roman" w:hAnsi="Times New Roman"/>
                <w:sz w:val="24"/>
              </w:rPr>
              <w:t>y</w:t>
            </w:r>
            <w:r>
              <w:rPr>
                <w:rFonts w:ascii="Times New Roman" w:hAnsi="Times New Roman"/>
                <w:sz w:val="24"/>
              </w:rPr>
              <w:t>bos knygoje) suma, kurią nurodo įstaiga, atliekanti iniciatoriaus ir (arba) inve</w:t>
            </w:r>
            <w:r>
              <w:rPr>
                <w:rFonts w:ascii="Times New Roman" w:hAnsi="Times New Roman"/>
                <w:sz w:val="24"/>
              </w:rPr>
              <w:t>s</w:t>
            </w:r>
            <w:r>
              <w:rPr>
                <w:rFonts w:ascii="Times New Roman" w:hAnsi="Times New Roman"/>
                <w:sz w:val="24"/>
              </w:rPr>
              <w:t>tuotojo, ir (arba) rėmėjo vaidmenį (-is).</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 070 ir</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PAKEITIMAS VERTYBINIAIS POPIERIAIS</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KRR 4 straipsnio 1 dalies 61 ir 62 punktai.</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ir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PAKARTOTINIS PAKEITIMAS VERTYBINIAIS POPIERIAIS</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KRR 4 straipsnio 1 dalies 63 punktas.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ĮSTAIGA INICIATORĖ</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KRR 4 straipsnio 1 dalies 13 punktas.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ĮSTAIGA INVESTUOTOJA</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Kredito įstaiga, pakeitimo vertybiniais popieriais sandoryje, kurio atžvilgiu ji nėra nei iniciatorė, nei rėmėja, turinti pakeitimo vertybiniais popieriais pozicijų.</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ĮSTAIGA RĖMĖJA</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KRR 4 straipsnio 1 dalies 14 punktas. Jeigu įstaiga rėmėja vertybiniais popi</w:t>
            </w:r>
            <w:r>
              <w:rPr>
                <w:rStyle w:val="InstructionsTabelleText"/>
                <w:rFonts w:ascii="Times New Roman" w:hAnsi="Times New Roman"/>
                <w:sz w:val="24"/>
              </w:rPr>
              <w:t>e</w:t>
            </w:r>
            <w:r>
              <w:rPr>
                <w:rStyle w:val="InstructionsTabelleText"/>
                <w:rFonts w:ascii="Times New Roman" w:hAnsi="Times New Roman"/>
                <w:sz w:val="24"/>
              </w:rPr>
              <w:t>riais keičia ir nuosavą turtą, ji užpildo įstaigai iniciatorei skirtas eilutes, patei</w:t>
            </w:r>
            <w:r>
              <w:rPr>
                <w:rStyle w:val="InstructionsTabelleText"/>
                <w:rFonts w:ascii="Times New Roman" w:hAnsi="Times New Roman"/>
                <w:sz w:val="24"/>
              </w:rPr>
              <w:t>k</w:t>
            </w:r>
            <w:r>
              <w:rPr>
                <w:rStyle w:val="InstructionsTabelleText"/>
                <w:rFonts w:ascii="Times New Roman" w:hAnsi="Times New Roman"/>
                <w:sz w:val="24"/>
              </w:rPr>
              <w:t>dama informaciją apie vertybiniais popieriais keičiamą nuosavą turtą.</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BENDROS ĮVERTINTŲ GRYNŲJŲ ILGŲJŲ IR TRUMPŲJŲ POZIC</w:t>
            </w:r>
            <w:r>
              <w:rPr>
                <w:rStyle w:val="InstructionsTabelleberschrift"/>
                <w:rFonts w:ascii="Times New Roman" w:hAnsi="Times New Roman"/>
                <w:sz w:val="24"/>
              </w:rPr>
              <w:t>I</w:t>
            </w:r>
            <w:r>
              <w:rPr>
                <w:rStyle w:val="InstructionsTabelleberschrift"/>
                <w:rFonts w:ascii="Times New Roman" w:hAnsi="Times New Roman"/>
                <w:sz w:val="24"/>
              </w:rPr>
              <w:t>JŲ SUMOS SUSKIRSTYMAS PAGAL PAGRINDINĘ POZICIJOS RŪŠĮ</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KRR 337 straipsnio 4 dalies paskutinis sakinys.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Suskirstymas pagal pagrindinio turto rūšis atliekamas pagal SEC detaliąją fo</w:t>
            </w:r>
            <w:r>
              <w:rPr>
                <w:rStyle w:val="InstructionsTabelleText"/>
                <w:rFonts w:ascii="Times New Roman" w:hAnsi="Times New Roman"/>
                <w:sz w:val="24"/>
              </w:rPr>
              <w:t>r</w:t>
            </w:r>
            <w:r>
              <w:rPr>
                <w:rStyle w:val="InstructionsTabelleText"/>
                <w:rFonts w:ascii="Times New Roman" w:hAnsi="Times New Roman"/>
                <w:sz w:val="24"/>
              </w:rPr>
              <w:t>mą (skiltis „Rūšis“):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 – gyvenamosios paskirties nekilnojamojo turto hipoteka;</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2 – komercinės paskirties nekilnojamojo turto hipoteka;</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3 – iš kredito kortelių gautinos sumos;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4 – išperkamoji nuoma;</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5 – paskolos įmonėms arba MVĮ (laikomoms įmonėmis);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6 – vartojimo paskolos;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7 – iš prekybos gautinos sumos;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8 – kitas turtas;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9 – padengtosios obligacijos;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10 – kiti įsipareigojimai.</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Kiekvieno pakeitimo vertybiniais popieriais atveju, kai turto paketą sudaro ski</w:t>
            </w:r>
            <w:r>
              <w:rPr>
                <w:rStyle w:val="InstructionsTabelleText"/>
                <w:rFonts w:ascii="Times New Roman" w:hAnsi="Times New Roman"/>
                <w:sz w:val="24"/>
              </w:rPr>
              <w:t>r</w:t>
            </w:r>
            <w:r>
              <w:rPr>
                <w:rStyle w:val="InstructionsTabelleText"/>
                <w:rFonts w:ascii="Times New Roman" w:hAnsi="Times New Roman"/>
                <w:sz w:val="24"/>
              </w:rPr>
              <w:t>tingų rūšių turtas, įstaiga remiasi svarbiausios rūšies turtu.</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4010097"/>
      <w:r>
        <w:rPr>
          <w:rFonts w:ascii="Times New Roman" w:hAnsi="Times New Roman"/>
          <w:sz w:val="24"/>
          <w:u w:val="none"/>
        </w:rPr>
        <w:t>5.3.</w:t>
      </w:r>
      <w:r>
        <w:tab/>
      </w:r>
      <w:r>
        <w:rPr>
          <w:rFonts w:ascii="Times New Roman" w:hAnsi="Times New Roman"/>
          <w:sz w:val="24"/>
        </w:rPr>
        <w:t>C 20.00. RINKOS RIZIKA. STANDARTIZUOTAS METODAS, TAIKOMAS SP</w:t>
      </w:r>
      <w:r>
        <w:rPr>
          <w:rFonts w:ascii="Times New Roman" w:hAnsi="Times New Roman"/>
          <w:sz w:val="24"/>
        </w:rPr>
        <w:t>E</w:t>
      </w:r>
      <w:r>
        <w:rPr>
          <w:rFonts w:ascii="Times New Roman" w:hAnsi="Times New Roman"/>
          <w:sz w:val="24"/>
        </w:rPr>
        <w:t>CIFINEI RIZIKAI, SUSIJUSIAI SU KORELIACINĖS PREKYBOS PORTFELIUI PR</w:t>
      </w:r>
      <w:r>
        <w:rPr>
          <w:rFonts w:ascii="Times New Roman" w:hAnsi="Times New Roman"/>
          <w:sz w:val="24"/>
        </w:rPr>
        <w:t>I</w:t>
      </w:r>
      <w:r>
        <w:rPr>
          <w:rFonts w:ascii="Times New Roman" w:hAnsi="Times New Roman"/>
          <w:sz w:val="24"/>
        </w:rPr>
        <w:t>SKIRTOMIS POZICIJOMIS (MKR SA CTP</w:t>
      </w:r>
      <w:bookmarkEnd w:id="646"/>
      <w:bookmarkEnd w:id="647"/>
      <w:bookmarkEnd w:id="648"/>
      <w:bookmarkEnd w:id="649"/>
      <w:r>
        <w:rPr>
          <w:rFonts w:ascii="Times New Roman" w:hAnsi="Times New Roman"/>
          <w:sz w:val="24"/>
        </w:rPr>
        <w:t>)</w:t>
      </w:r>
      <w:bookmarkEnd w:id="650"/>
      <w:bookmarkEnd w:id="651"/>
      <w:bookmarkEnd w:id="652"/>
      <w:bookmarkEnd w:id="65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4010098"/>
      <w:r>
        <w:rPr>
          <w:rFonts w:ascii="Times New Roman" w:hAnsi="Times New Roman"/>
          <w:sz w:val="24"/>
          <w:u w:val="none"/>
        </w:rPr>
        <w:t>5.3.1.</w:t>
      </w:r>
      <w:r>
        <w:tab/>
      </w:r>
      <w:r>
        <w:rPr>
          <w:rFonts w:ascii="Times New Roman" w:hAnsi="Times New Roman"/>
          <w:sz w:val="24"/>
        </w:rPr>
        <w:t>Bendrosios pastabos</w:t>
      </w:r>
      <w:bookmarkEnd w:id="654"/>
      <w:bookmarkEnd w:id="655"/>
      <w:bookmarkEnd w:id="656"/>
      <w:bookmarkEnd w:id="657"/>
      <w:bookmarkEnd w:id="658"/>
      <w:bookmarkEnd w:id="659"/>
      <w:bookmarkEnd w:id="660"/>
      <w:bookmarkEnd w:id="661"/>
    </w:p>
    <w:p w:rsidR="000B0B09" w:rsidRPr="00321A3B" w:rsidRDefault="00125707" w:rsidP="001A3980">
      <w:pPr>
        <w:pStyle w:val="InstructionsText2"/>
        <w:numPr>
          <w:ilvl w:val="0"/>
          <w:numId w:val="0"/>
        </w:numPr>
        <w:ind w:left="993"/>
      </w:pPr>
      <w:r>
        <w:t>144.</w:t>
      </w:r>
      <w:r>
        <w:tab/>
        <w:t>Šioje formoje prašoma pateikti informaciją apie koreliacinės prekybos portfelio pozicijas (CTP, kurias sudaro pakeitimo vertybiniais popieriais, n-tojo įsipareigoj</w:t>
      </w:r>
      <w:r>
        <w:t>i</w:t>
      </w:r>
      <w:r>
        <w:t>mų neįvykdymo kredito išvestinių finansinių priemonių ir kitos CTP pozicijos, įtrauktos pagal 338 straipsnio 3 dalį) ir atitinkamus nuosavų lėšų reikalavimus p</w:t>
      </w:r>
      <w:r>
        <w:t>a</w:t>
      </w:r>
      <w:r>
        <w:t>gal standartizuotą metodą.</w:t>
      </w:r>
    </w:p>
    <w:p w:rsidR="000B0B09" w:rsidRPr="00321A3B" w:rsidRDefault="00125707" w:rsidP="001A3980">
      <w:pPr>
        <w:pStyle w:val="InstructionsText2"/>
        <w:numPr>
          <w:ilvl w:val="0"/>
          <w:numId w:val="0"/>
        </w:numPr>
        <w:ind w:left="993"/>
      </w:pPr>
      <w:r>
        <w:t>145.</w:t>
      </w:r>
      <w:r>
        <w:tab/>
        <w:t>MKR SA CTP formoje nustatomas nuosavų lėšų reikalavimas tik specifinei k</w:t>
      </w:r>
      <w:r>
        <w:t>o</w:t>
      </w:r>
      <w:r>
        <w:t>reliacinės prekybos portfeliui priskirtų pozicijų rizikai padengti pagal KRR 335 straipsnį kartu su KRR 338 straipsnio 2 ir 3 dalimis. Jeigu CTP prekybos knygos pozicijos yra apdraustos kredito išvestinėmis finansinėmis priemonėmis, taikomi KRR 346 ir 347 straipsniai. Visoms CTP prekybos knygos pozicijoms nurodyti yra skirta tik viena forma, nepaisant to, ar įstaiga kiekvienos pozicijos rizikos koef</w:t>
      </w:r>
      <w:r>
        <w:t>i</w:t>
      </w:r>
      <w:r>
        <w:t>cientui nustatyti pagal KRR trečios dalies II antraštinės dalies 5 skyrių taiko sta</w:t>
      </w:r>
      <w:r>
        <w:t>n</w:t>
      </w:r>
      <w:r>
        <w:t xml:space="preserve">dartizuotą metodą, ar vidaus reitingais pagrįstą metodą. Nuosavų lėšų reikalavimai </w:t>
      </w:r>
      <w:r>
        <w:lastRenderedPageBreak/>
        <w:t>bendrai šių pozicijų rizikai padengti nurodomi MKR SA TDI arba MKR IM form</w:t>
      </w:r>
      <w:r>
        <w:t>o</w:t>
      </w:r>
      <w:r>
        <w:t>je.</w:t>
      </w:r>
    </w:p>
    <w:p w:rsidR="000B0B09" w:rsidRPr="00321A3B" w:rsidRDefault="00125707" w:rsidP="001A3980">
      <w:pPr>
        <w:pStyle w:val="InstructionsText2"/>
        <w:numPr>
          <w:ilvl w:val="0"/>
          <w:numId w:val="0"/>
        </w:numPr>
        <w:ind w:left="993"/>
      </w:pPr>
      <w:r>
        <w:t>146.</w:t>
      </w:r>
      <w:r>
        <w:tab/>
        <w:t>Pagal šios formos struktūrą pakeitimo vertybiniais popieriais, n-tojo įsipareig</w:t>
      </w:r>
      <w:r>
        <w:t>o</w:t>
      </w:r>
      <w:r>
        <w:t>jimų neįvykdymo kredito išvestinių finansinių priemonių ir kitos CTP pozicijos yra atskiriamos. Todėl pakeitimo vertybiniais popieriais pozicijos visada nurodomos 030, 060 arba 090 eilutėje (pagal tai, koks vaidmuo pakeitimo vertybiniais popi</w:t>
      </w:r>
      <w:r>
        <w:t>e</w:t>
      </w:r>
      <w:r>
        <w:t>riais sandoryje tenka įstaigai). N-tojo įsipareigojimų neįvykdymo kredito išvestinės finansinės priemonės visada nurodomos 110 eilutėje. „Kitos CTP pozicijos“ nėra nei pakeitimo vertybiniais popieriais pozicijos, nei n-tojo įsipareigojimų neįvykd</w:t>
      </w:r>
      <w:r>
        <w:t>y</w:t>
      </w:r>
      <w:r>
        <w:t>mo kredito išvestinės finansinės priemonės (apibrėžtis pateikta KRR 338 straipsnio 3 dalyje), bet yra akivaizdžiai susijusios (dėl ketinimo taikyti apsidraudimo pri</w:t>
      </w:r>
      <w:r>
        <w:t>e</w:t>
      </w:r>
      <w:r>
        <w:t>monę) su viena iš tų pozicijų. Todėl jos nurodomos arba prie dalies „Pakeitimas vertybiniais popieriais“, arba prie dalies „N-tojo įsipareigojimų neįvykdymo kredito išvestinės finansinės priemonės“.</w:t>
      </w:r>
    </w:p>
    <w:p w:rsidR="00606885" w:rsidRPr="00321A3B" w:rsidRDefault="00125707" w:rsidP="001A3980">
      <w:pPr>
        <w:pStyle w:val="InstructionsText2"/>
        <w:numPr>
          <w:ilvl w:val="0"/>
          <w:numId w:val="0"/>
        </w:numPr>
        <w:ind w:left="993"/>
      </w:pPr>
      <w:r>
        <w:t>147.</w:t>
      </w:r>
      <w:r>
        <w:tab/>
        <w:t>Pozicijos, kurioms taikomas 1250 % rizikos koeficientas, taip pat gali būti a</w:t>
      </w:r>
      <w:r>
        <w:t>t</w:t>
      </w:r>
      <w:r>
        <w:t>skaitytos iš bendro 1 lygio nuosavo kapitalo (žr. KRR 243 straipsnio 1 dalies b punktą, 244 straipsnio 1 dalies b punktą ir 258 straipsnį). Tokiu atveju šias pozicijas reikia nurodyti CA1 formos 460 eilutėje.</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4010099"/>
      <w:r>
        <w:rPr>
          <w:rFonts w:ascii="Times New Roman" w:hAnsi="Times New Roman"/>
          <w:sz w:val="24"/>
          <w:u w:val="none"/>
        </w:rPr>
        <w:t>5.3.2.</w:t>
      </w:r>
      <w:r>
        <w:tab/>
      </w:r>
      <w:r>
        <w:rPr>
          <w:rFonts w:ascii="Times New Roman" w:hAnsi="Times New Roman"/>
          <w:sz w:val="24"/>
        </w:rPr>
        <w:t>Nurodymai dėl konkrečių pozicijų</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VISOS POZICIJOS (ILGOSIOS IR TRUMPOSIOS)</w:t>
            </w:r>
          </w:p>
          <w:p w:rsidR="000B0B09" w:rsidRPr="00392FFD" w:rsidRDefault="000B0B09" w:rsidP="000B0B09">
            <w:pPr>
              <w:rPr>
                <w:rFonts w:ascii="Times New Roman" w:hAnsi="Times New Roman"/>
                <w:sz w:val="24"/>
              </w:rPr>
            </w:pPr>
            <w:r>
              <w:rPr>
                <w:rFonts w:ascii="Times New Roman" w:hAnsi="Times New Roman"/>
                <w:sz w:val="24"/>
              </w:rPr>
              <w:t>KRR 102 straipsnis ir 105 straipsnio 1 dalis dėl koreliacinės prekybos portf</w:t>
            </w:r>
            <w:r>
              <w:rPr>
                <w:rFonts w:ascii="Times New Roman" w:hAnsi="Times New Roman"/>
                <w:sz w:val="24"/>
              </w:rPr>
              <w:t>e</w:t>
            </w:r>
            <w:r>
              <w:rPr>
                <w:rFonts w:ascii="Times New Roman" w:hAnsi="Times New Roman"/>
                <w:sz w:val="24"/>
              </w:rPr>
              <w:t>liui priskirtų pozicijų pagal KRR 338 straipsnio 2 ir 3 dalis. Dėl pozicijų skir</w:t>
            </w:r>
            <w:r>
              <w:rPr>
                <w:rFonts w:ascii="Times New Roman" w:hAnsi="Times New Roman"/>
                <w:sz w:val="24"/>
              </w:rPr>
              <w:t>s</w:t>
            </w:r>
            <w:r>
              <w:rPr>
                <w:rFonts w:ascii="Times New Roman" w:hAnsi="Times New Roman"/>
                <w:sz w:val="24"/>
              </w:rPr>
              <w:t>tymo į ilgąsias ir trumpąsias, kuris taikomas ir bendrosioms šių pozicijų s</w:t>
            </w:r>
            <w:r>
              <w:rPr>
                <w:rFonts w:ascii="Times New Roman" w:hAnsi="Times New Roman"/>
                <w:sz w:val="24"/>
              </w:rPr>
              <w:t>u</w:t>
            </w:r>
            <w:r>
              <w:rPr>
                <w:rFonts w:ascii="Times New Roman" w:hAnsi="Times New Roman"/>
                <w:sz w:val="24"/>
              </w:rPr>
              <w:t>moms, žr. KRR 328 straipsnio 2 dalį.</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POZICIJOS, ATSKAITOMOS IŠ NUOSAVŲ LĖŠŲ (ILGOSIOS IR TRUMPOSIOS)</w:t>
            </w:r>
          </w:p>
          <w:p w:rsidR="000B0B09" w:rsidRPr="00392FFD" w:rsidRDefault="000B0B09" w:rsidP="000B0B09">
            <w:pPr>
              <w:rPr>
                <w:rFonts w:ascii="Times New Roman" w:hAnsi="Times New Roman"/>
                <w:sz w:val="24"/>
              </w:rPr>
            </w:pPr>
            <w:r>
              <w:rPr>
                <w:rFonts w:ascii="Times New Roman" w:hAnsi="Times New Roman"/>
                <w:sz w:val="24"/>
              </w:rPr>
              <w:t xml:space="preserve">KRR 258 straipsnis.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GRYNOSIOS POZICIJOS (ILGOSIOS IR TRUMPOSIOS)</w:t>
            </w:r>
          </w:p>
          <w:p w:rsidR="000B0B09" w:rsidRPr="00392FFD" w:rsidRDefault="000B0B09" w:rsidP="000B0B09">
            <w:pPr>
              <w:rPr>
                <w:rFonts w:ascii="Times New Roman" w:hAnsi="Times New Roman"/>
                <w:sz w:val="24"/>
              </w:rPr>
            </w:pPr>
            <w:r>
              <w:rPr>
                <w:rFonts w:ascii="Times New Roman" w:hAnsi="Times New Roman"/>
                <w:sz w:val="24"/>
              </w:rPr>
              <w:t>KRR 327–329 straipsniai ir 334 straipsnis. Dėl pozicijų skirstymo į ilgąsias ir trumpąsias žr. KRR 328 straipsnio 2 dalį.</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GRYNŲJŲ POZICIJŲ SUSKIRSTYMAS PAGAL RIZIKOS KOEFIC</w:t>
            </w:r>
            <w:r>
              <w:rPr>
                <w:rStyle w:val="InstructionsTabelleberschrift"/>
                <w:rFonts w:ascii="Times New Roman" w:hAnsi="Times New Roman"/>
                <w:sz w:val="24"/>
              </w:rPr>
              <w:t>I</w:t>
            </w:r>
            <w:r>
              <w:rPr>
                <w:rStyle w:val="InstructionsTabelleberschrift"/>
                <w:rFonts w:ascii="Times New Roman" w:hAnsi="Times New Roman"/>
                <w:sz w:val="24"/>
              </w:rPr>
              <w:t>ENTĄ (SA IR IRB)</w:t>
            </w:r>
          </w:p>
          <w:p w:rsidR="000B0B09" w:rsidRPr="00392FFD" w:rsidRDefault="000B0B09" w:rsidP="000B0B09">
            <w:pPr>
              <w:rPr>
                <w:rFonts w:ascii="Times New Roman" w:hAnsi="Times New Roman"/>
                <w:sz w:val="24"/>
              </w:rPr>
            </w:pPr>
            <w:r>
              <w:rPr>
                <w:rFonts w:ascii="Times New Roman" w:hAnsi="Times New Roman"/>
                <w:sz w:val="24"/>
              </w:rPr>
              <w:t xml:space="preserve">KRR 251 straipsnis (1 lentelė) ir 261 straipsnio 1 dalis (4 lentelė).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ir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KITOS</w:t>
            </w:r>
          </w:p>
          <w:p w:rsidR="000B0B09" w:rsidRPr="00392FFD" w:rsidRDefault="000B0B09" w:rsidP="000B0B09">
            <w:pPr>
              <w:rPr>
                <w:rFonts w:ascii="Times New Roman" w:hAnsi="Times New Roman"/>
                <w:sz w:val="24"/>
              </w:rPr>
            </w:pPr>
            <w:r>
              <w:rPr>
                <w:rFonts w:ascii="Times New Roman" w:hAnsi="Times New Roman"/>
                <w:sz w:val="24"/>
              </w:rPr>
              <w:t>Kiti, ankstesnėse skiltyse atskirai nenurodyti, rizikos koeficientai.</w:t>
            </w:r>
          </w:p>
          <w:p w:rsidR="000B0B09" w:rsidRPr="00392FFD" w:rsidRDefault="000B0B09" w:rsidP="000B0B09">
            <w:pPr>
              <w:rPr>
                <w:rFonts w:ascii="Times New Roman" w:hAnsi="Times New Roman"/>
                <w:sz w:val="24"/>
              </w:rPr>
            </w:pPr>
            <w:r>
              <w:rPr>
                <w:rFonts w:ascii="Times New Roman" w:hAnsi="Times New Roman"/>
                <w:sz w:val="24"/>
              </w:rPr>
              <w:lastRenderedPageBreak/>
              <w:t>N-tojo įsipareigojimų neįvykdymo kredito išvestinių finansinių priemonių a</w:t>
            </w:r>
            <w:r>
              <w:rPr>
                <w:rFonts w:ascii="Times New Roman" w:hAnsi="Times New Roman"/>
                <w:sz w:val="24"/>
              </w:rPr>
              <w:t>t</w:t>
            </w:r>
            <w:r>
              <w:rPr>
                <w:rFonts w:ascii="Times New Roman" w:hAnsi="Times New Roman"/>
                <w:sz w:val="24"/>
              </w:rPr>
              <w:t>veju nurodomos tik tos priemonės, kurios nėra vertinamos išorės reitingais. Iš</w:t>
            </w:r>
            <w:r>
              <w:rPr>
                <w:rFonts w:ascii="Times New Roman" w:hAnsi="Times New Roman"/>
                <w:sz w:val="24"/>
              </w:rPr>
              <w:t>o</w:t>
            </w:r>
            <w:r>
              <w:rPr>
                <w:rFonts w:ascii="Times New Roman" w:hAnsi="Times New Roman"/>
                <w:sz w:val="24"/>
              </w:rPr>
              <w:t>rės reitingais vertinamos n-tojo įsipareigojimų neįvykdymo išvestinės finans</w:t>
            </w:r>
            <w:r>
              <w:rPr>
                <w:rFonts w:ascii="Times New Roman" w:hAnsi="Times New Roman"/>
                <w:sz w:val="24"/>
              </w:rPr>
              <w:t>i</w:t>
            </w:r>
            <w:r>
              <w:rPr>
                <w:rFonts w:ascii="Times New Roman" w:hAnsi="Times New Roman"/>
                <w:sz w:val="24"/>
              </w:rPr>
              <w:t xml:space="preserve">nės priemonės yra arba nurodomos MKR SA TDI formoje (321 eilutėje) arba, jei yra įtrauktos į CTP, priskiriamos prie atitinkamo rizikos koeficiento skilties.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170–180 ir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1250 %</w:t>
            </w:r>
          </w:p>
          <w:p w:rsidR="000B0B09" w:rsidRPr="00392FFD" w:rsidRDefault="000B0B09" w:rsidP="000B0B09">
            <w:pPr>
              <w:rPr>
                <w:rFonts w:ascii="Times New Roman" w:hAnsi="Times New Roman"/>
                <w:sz w:val="24"/>
              </w:rPr>
            </w:pPr>
            <w:r>
              <w:rPr>
                <w:rFonts w:ascii="Times New Roman" w:hAnsi="Times New Roman"/>
                <w:sz w:val="24"/>
              </w:rPr>
              <w:t xml:space="preserve">KRR 251 straipsnis (1 lentelė) ir 261 straipsnio 1 dalis (4 lentelė).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ir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PRIEŽIŪRINĖS FORMULĖS METODAS</w:t>
            </w:r>
          </w:p>
          <w:p w:rsidR="000B0B09" w:rsidRPr="00392FFD" w:rsidRDefault="000B0B09" w:rsidP="000B0B09">
            <w:pPr>
              <w:rPr>
                <w:rFonts w:ascii="Times New Roman" w:hAnsi="Times New Roman"/>
                <w:sz w:val="24"/>
              </w:rPr>
            </w:pPr>
            <w:r>
              <w:rPr>
                <w:rFonts w:ascii="Times New Roman" w:hAnsi="Times New Roman"/>
                <w:sz w:val="24"/>
              </w:rPr>
              <w:t xml:space="preserve">KRR 337 straipsnio 2 dalis kartu su 262 straipsniu.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SKAIDRUMO METODAS</w:t>
            </w:r>
          </w:p>
          <w:p w:rsidR="000B0B09" w:rsidRPr="00392FFD" w:rsidRDefault="000B0B09" w:rsidP="000B0B09">
            <w:pPr>
              <w:rPr>
                <w:rFonts w:ascii="Times New Roman" w:hAnsi="Times New Roman"/>
                <w:sz w:val="24"/>
              </w:rPr>
            </w:pPr>
            <w:r>
              <w:rPr>
                <w:rFonts w:ascii="Times New Roman" w:hAnsi="Times New Roman"/>
                <w:sz w:val="24"/>
              </w:rPr>
              <w:t>SA metodas: KRR 253, 254 straipsniai ir 256 straipsnio 5 dalis. Pagal skaidr</w:t>
            </w:r>
            <w:r>
              <w:rPr>
                <w:rFonts w:ascii="Times New Roman" w:hAnsi="Times New Roman"/>
                <w:sz w:val="24"/>
              </w:rPr>
              <w:t>u</w:t>
            </w:r>
            <w:r>
              <w:rPr>
                <w:rFonts w:ascii="Times New Roman" w:hAnsi="Times New Roman"/>
                <w:sz w:val="24"/>
              </w:rPr>
              <w:t>mo metodą pildomose skiltyse nurodomi visi nereitinguotųjų pozicijų atvejai, kai rizikos koeficientas apskaičiuojamas pagal pagrindinį pozicijų portfelį (v</w:t>
            </w:r>
            <w:r>
              <w:rPr>
                <w:rFonts w:ascii="Times New Roman" w:hAnsi="Times New Roman"/>
                <w:sz w:val="24"/>
              </w:rPr>
              <w:t>i</w:t>
            </w:r>
            <w:r>
              <w:rPr>
                <w:rFonts w:ascii="Times New Roman" w:hAnsi="Times New Roman"/>
                <w:sz w:val="24"/>
              </w:rPr>
              <w:t>dutinis grupės rizikos koeficientas, didžiausias grupės rizikos koeficientas arba naudojamas koncentracijos koeficientas).</w:t>
            </w:r>
          </w:p>
          <w:p w:rsidR="000B0B09" w:rsidRPr="00392FFD" w:rsidRDefault="000B0B09" w:rsidP="000B0B09">
            <w:pPr>
              <w:rPr>
                <w:rFonts w:ascii="Times New Roman" w:hAnsi="Times New Roman"/>
                <w:sz w:val="24"/>
              </w:rPr>
            </w:pPr>
            <w:r>
              <w:rPr>
                <w:rFonts w:ascii="Times New Roman" w:hAnsi="Times New Roman"/>
                <w:sz w:val="24"/>
              </w:rPr>
              <w:t>IRB metodas: KRR 263 straipsnio 2 ir 3 dalys. Dėl išankstinės amortizacijos žr. KRR 265 straipsnio 1 dalį ir 256 straipsnio 5 dalį.</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220-230 ir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VIDINIO VERTINIMO METODAS</w:t>
            </w:r>
          </w:p>
          <w:p w:rsidR="000B0B09" w:rsidRPr="00392FFD" w:rsidRDefault="000B0B09" w:rsidP="000B0B09">
            <w:pPr>
              <w:rPr>
                <w:rFonts w:ascii="Times New Roman" w:hAnsi="Times New Roman"/>
                <w:sz w:val="24"/>
              </w:rPr>
            </w:pPr>
            <w:r>
              <w:rPr>
                <w:rFonts w:ascii="Times New Roman" w:hAnsi="Times New Roman"/>
                <w:sz w:val="24"/>
              </w:rPr>
              <w:t xml:space="preserve">KRR 259 straipsnio 3 ir 4 dalys.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PRIEŠ APRIBOJIMĄ: ĮVERTINTOS GRYNOSIOS ILGOSIOS / TRUMPOSIOS POZICIJOS</w:t>
            </w:r>
          </w:p>
          <w:p w:rsidR="000B0B09" w:rsidRPr="00392FFD" w:rsidRDefault="000B0B09" w:rsidP="000B0B09">
            <w:pPr>
              <w:rPr>
                <w:rFonts w:ascii="Times New Roman" w:hAnsi="Times New Roman"/>
                <w:sz w:val="24"/>
              </w:rPr>
            </w:pPr>
            <w:r>
              <w:rPr>
                <w:rFonts w:ascii="Times New Roman" w:hAnsi="Times New Roman"/>
                <w:sz w:val="24"/>
              </w:rPr>
              <w:t>338 straipsnis, neatsižvelgiant į KRR 335 straipsnyje numatytą pasirinkimo g</w:t>
            </w:r>
            <w:r>
              <w:rPr>
                <w:rFonts w:ascii="Times New Roman" w:hAnsi="Times New Roman"/>
                <w:sz w:val="24"/>
              </w:rPr>
              <w:t>a</w:t>
            </w:r>
            <w:r>
              <w:rPr>
                <w:rFonts w:ascii="Times New Roman" w:hAnsi="Times New Roman"/>
                <w:sz w:val="24"/>
              </w:rPr>
              <w:t>limybę.</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 APRIBOJIMO: ĮVERTINTOS GRYNOSIOS ILGOSIOS / TRU</w:t>
            </w:r>
            <w:r>
              <w:rPr>
                <w:rStyle w:val="InstructionsTabelleberschrift"/>
                <w:rFonts w:ascii="Times New Roman" w:hAnsi="Times New Roman"/>
                <w:sz w:val="24"/>
              </w:rPr>
              <w:t>M</w:t>
            </w:r>
            <w:r>
              <w:rPr>
                <w:rStyle w:val="InstructionsTabelleberschrift"/>
                <w:rFonts w:ascii="Times New Roman" w:hAnsi="Times New Roman"/>
                <w:sz w:val="24"/>
              </w:rPr>
              <w:t>POSIOS POZICIJOS</w:t>
            </w:r>
          </w:p>
          <w:p w:rsidR="000B0B09" w:rsidRPr="00392FFD" w:rsidRDefault="000B0B09" w:rsidP="000B0B09">
            <w:pPr>
              <w:rPr>
                <w:rFonts w:ascii="Times New Roman" w:hAnsi="Times New Roman"/>
                <w:sz w:val="24"/>
              </w:rPr>
            </w:pPr>
            <w:r>
              <w:rPr>
                <w:rFonts w:ascii="Times New Roman" w:hAnsi="Times New Roman"/>
                <w:sz w:val="24"/>
              </w:rPr>
              <w:t>338 straipsnis, atsižvelgiant į KRR 335 straipsnyje numatytą pasirinkimo gal</w:t>
            </w:r>
            <w:r>
              <w:rPr>
                <w:rFonts w:ascii="Times New Roman" w:hAnsi="Times New Roman"/>
                <w:sz w:val="24"/>
              </w:rPr>
              <w:t>i</w:t>
            </w:r>
            <w:r>
              <w:rPr>
                <w:rFonts w:ascii="Times New Roman" w:hAnsi="Times New Roman"/>
                <w:sz w:val="24"/>
              </w:rPr>
              <w:t xml:space="preserve">mybę.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BENDRA NUOSAVŲ LĖŠŲ REIKALAVIMO SUMA</w:t>
            </w:r>
          </w:p>
          <w:p w:rsidR="000B0B09" w:rsidRPr="00392FFD" w:rsidRDefault="000B0B09" w:rsidP="00E871FE">
            <w:pPr>
              <w:rPr>
                <w:rFonts w:ascii="Times New Roman" w:hAnsi="Times New Roman"/>
                <w:sz w:val="24"/>
              </w:rPr>
            </w:pPr>
            <w:r>
              <w:rPr>
                <w:rFonts w:ascii="Times New Roman" w:hAnsi="Times New Roman"/>
                <w:sz w:val="24"/>
              </w:rPr>
              <w:t>Nuosavų lėšų reikalavimas nustatomas kaip didesnioji iš šių sumų: i) kapitalo poreikio specifinei rizikai padengti koeficientas, kuris būtų taikomas tik gryn</w:t>
            </w:r>
            <w:r>
              <w:rPr>
                <w:rFonts w:ascii="Times New Roman" w:hAnsi="Times New Roman"/>
                <w:sz w:val="24"/>
              </w:rPr>
              <w:t>o</w:t>
            </w:r>
            <w:r>
              <w:rPr>
                <w:rFonts w:ascii="Times New Roman" w:hAnsi="Times New Roman"/>
                <w:sz w:val="24"/>
              </w:rPr>
              <w:t xml:space="preserve">sioms ilgosioms pozicijoms (430 skiltis), arba ii) kapitalo poreikio specifinei </w:t>
            </w:r>
            <w:r>
              <w:rPr>
                <w:rFonts w:ascii="Times New Roman" w:hAnsi="Times New Roman"/>
                <w:sz w:val="24"/>
              </w:rPr>
              <w:lastRenderedPageBreak/>
              <w:t>rizikai padengti koeficientas, kuris būtų taikomas tik grynosioms trumposioms pozicijoms (440 skiltis).</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BENDRA POZICIJŲ SUMA</w:t>
            </w:r>
          </w:p>
          <w:p w:rsidR="000B0B09" w:rsidRPr="00392FFD" w:rsidRDefault="000B0B09" w:rsidP="000B0B09">
            <w:pPr>
              <w:rPr>
                <w:rFonts w:ascii="Times New Roman" w:hAnsi="Times New Roman"/>
                <w:sz w:val="24"/>
              </w:rPr>
            </w:pPr>
            <w:r>
              <w:rPr>
                <w:rFonts w:ascii="Times New Roman" w:hAnsi="Times New Roman"/>
                <w:sz w:val="24"/>
              </w:rPr>
              <w:t>Bendra neapmokėta pozicijų (turimų koreliacinės prekybos portfelyje) suma, kurią nurodo įstaiga, atliekanti iniciatoriaus, investuotojo arba rėmėjo vaidmenį (-is).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ĮSTAIGA INICIATORĖ</w:t>
            </w:r>
          </w:p>
          <w:p w:rsidR="000B0B09" w:rsidRPr="00392FFD" w:rsidRDefault="000B0B09" w:rsidP="00104A65">
            <w:pPr>
              <w:rPr>
                <w:rFonts w:ascii="Times New Roman" w:hAnsi="Times New Roman"/>
                <w:sz w:val="24"/>
              </w:rPr>
            </w:pPr>
            <w:r>
              <w:rPr>
                <w:rFonts w:ascii="Times New Roman" w:hAnsi="Times New Roman"/>
                <w:sz w:val="24"/>
              </w:rPr>
              <w:t xml:space="preserve">KRR 4 straipsnio 1 dalies 13 punktas.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ĮSTAIGA INVESTUOTOJA</w:t>
            </w:r>
          </w:p>
          <w:p w:rsidR="000B0B09" w:rsidRPr="00392FFD" w:rsidRDefault="000B0B09" w:rsidP="00DE48EF">
            <w:pPr>
              <w:rPr>
                <w:rFonts w:ascii="Times New Roman" w:hAnsi="Times New Roman"/>
                <w:sz w:val="24"/>
              </w:rPr>
            </w:pPr>
            <w:r>
              <w:rPr>
                <w:rFonts w:ascii="Times New Roman" w:hAnsi="Times New Roman"/>
                <w:sz w:val="24"/>
              </w:rPr>
              <w:t>Kredito įstaiga, pakeitimo vertybiniais popieriais sandoryje, kurio atžvilgiu ji nėra nei iniciatorė, nei rėmėja, turinti pakeitimo vertybiniais popieriais pozicijų.</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ĮSTAIGA RĖMĖJA</w:t>
            </w:r>
          </w:p>
          <w:p w:rsidR="000B0B09" w:rsidRPr="00392FFD" w:rsidRDefault="000B0B09" w:rsidP="00DA040A">
            <w:pPr>
              <w:rPr>
                <w:rFonts w:ascii="Times New Roman" w:hAnsi="Times New Roman"/>
                <w:sz w:val="24"/>
              </w:rPr>
            </w:pPr>
            <w:r>
              <w:rPr>
                <w:rFonts w:ascii="Times New Roman" w:hAnsi="Times New Roman"/>
                <w:sz w:val="24"/>
              </w:rPr>
              <w:t>KRR 4 straipsnio 1 dalies 14 punktas. Jeigu įstaiga rėmėja vertybiniais popieriais keičia ir nuosavą turtą, ji užpildo įstaigai iniciatorei skirtas eilutes, pateikdama i</w:t>
            </w:r>
            <w:r>
              <w:rPr>
                <w:rFonts w:ascii="Times New Roman" w:hAnsi="Times New Roman"/>
                <w:sz w:val="24"/>
              </w:rPr>
              <w:t>n</w:t>
            </w:r>
            <w:r>
              <w:rPr>
                <w:rFonts w:ascii="Times New Roman" w:hAnsi="Times New Roman"/>
                <w:sz w:val="24"/>
              </w:rPr>
              <w:t xml:space="preserve">formaciją apie vertybiniais popieriais keičiamą nuosavą turtą.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ir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PAKEITIMAS VERTYBINIAIS POPIERIAIS</w:t>
            </w:r>
          </w:p>
          <w:p w:rsidR="000B0B09" w:rsidRPr="00392FFD" w:rsidRDefault="000B0B09" w:rsidP="000B0B09">
            <w:pPr>
              <w:rPr>
                <w:rFonts w:ascii="Times New Roman" w:hAnsi="Times New Roman"/>
                <w:sz w:val="24"/>
              </w:rPr>
            </w:pPr>
            <w:r>
              <w:rPr>
                <w:rFonts w:ascii="Times New Roman" w:hAnsi="Times New Roman"/>
                <w:sz w:val="24"/>
              </w:rPr>
              <w:t>Koreliacinės prekybos portfelis apima pakeitimo vertybiniais popieriais pozicijas, n-tojo įsipareigojimų neįvykdymo kredito išvestines finansines priemones ir gali apimti kitas apsidraudimo pozicijas, kurios atitinka KRR 338 straipsnio 2 ir 3 d</w:t>
            </w:r>
            <w:r>
              <w:rPr>
                <w:rFonts w:ascii="Times New Roman" w:hAnsi="Times New Roman"/>
                <w:sz w:val="24"/>
              </w:rPr>
              <w:t>a</w:t>
            </w:r>
            <w:r>
              <w:rPr>
                <w:rFonts w:ascii="Times New Roman" w:hAnsi="Times New Roman"/>
                <w:sz w:val="24"/>
              </w:rPr>
              <w:t>lyse nustatytus kriterijus.</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Pakeitimo vertybiniais popieriais išvestinių finansinių priemonių pozicijos, kurios sudaro proporcingą dalį, taip pat pozicijos, kuriomis apdraudžiamos CTP pozic</w:t>
            </w:r>
            <w:r>
              <w:rPr>
                <w:rFonts w:ascii="Times New Roman" w:hAnsi="Times New Roman"/>
                <w:sz w:val="24"/>
              </w:rPr>
              <w:t>i</w:t>
            </w:r>
            <w:r>
              <w:rPr>
                <w:rFonts w:ascii="Times New Roman" w:hAnsi="Times New Roman"/>
                <w:sz w:val="24"/>
              </w:rPr>
              <w:t>jos, yra įtraukiamos į eilutę „Kitos CTP pozicijos“.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N-TOJO ĮSIPAREIGOJIMŲ NEĮVYKDYMO KREDITO IŠVESTINĖS F</w:t>
            </w:r>
            <w:r>
              <w:rPr>
                <w:rStyle w:val="InstructionsTabelleberschrift"/>
                <w:rFonts w:ascii="Times New Roman" w:hAnsi="Times New Roman"/>
                <w:sz w:val="24"/>
              </w:rPr>
              <w:t>I</w:t>
            </w:r>
            <w:r>
              <w:rPr>
                <w:rStyle w:val="InstructionsTabelleberschrift"/>
                <w:rFonts w:ascii="Times New Roman" w:hAnsi="Times New Roman"/>
                <w:sz w:val="24"/>
              </w:rPr>
              <w:t>NANSINĖS PRIEMONĖS</w:t>
            </w:r>
          </w:p>
          <w:p w:rsidR="000B0B09" w:rsidRPr="00392FFD" w:rsidRDefault="000B0B09" w:rsidP="000B0B09">
            <w:pPr>
              <w:rPr>
                <w:rFonts w:ascii="Times New Roman" w:hAnsi="Times New Roman"/>
                <w:sz w:val="24"/>
              </w:rPr>
            </w:pPr>
            <w:r>
              <w:rPr>
                <w:rFonts w:ascii="Times New Roman" w:hAnsi="Times New Roman"/>
                <w:sz w:val="24"/>
              </w:rPr>
              <w:t>Čia nurodomos n-tojo įsipareigojimų neįvykdymo kredito išvestinės finansinės priemonės, apdraustos n-tojo įsipareigojimų neįvykdymo kredito išvestinėmis f</w:t>
            </w:r>
            <w:r>
              <w:rPr>
                <w:rFonts w:ascii="Times New Roman" w:hAnsi="Times New Roman"/>
                <w:sz w:val="24"/>
              </w:rPr>
              <w:t>i</w:t>
            </w:r>
            <w:r>
              <w:rPr>
                <w:rFonts w:ascii="Times New Roman" w:hAnsi="Times New Roman"/>
                <w:sz w:val="24"/>
              </w:rPr>
              <w:t>nansinėmis priemonėmis pagal KRR 347 straipsnį.</w:t>
            </w:r>
          </w:p>
          <w:p w:rsidR="000B0B09" w:rsidRPr="00392FFD" w:rsidRDefault="000B0B09" w:rsidP="00DE48EF">
            <w:pPr>
              <w:rPr>
                <w:rFonts w:ascii="Times New Roman" w:hAnsi="Times New Roman"/>
                <w:sz w:val="24"/>
              </w:rPr>
            </w:pPr>
            <w:r>
              <w:rPr>
                <w:rFonts w:ascii="Times New Roman" w:hAnsi="Times New Roman"/>
                <w:sz w:val="24"/>
              </w:rPr>
              <w:t>Įstaigos iniciatorės, investuotojos ir rėmėjos pozicijos netinka, kad būtų įtrauktos į n-tojo įsipareigojimų neįvykdymo kredito išvestines finansines priemones. Todėl n-tojo įsipareigojimų neįvykdymo išvestinių finansinių priemonių negalima su</w:t>
            </w:r>
            <w:r>
              <w:rPr>
                <w:rFonts w:ascii="Times New Roman" w:hAnsi="Times New Roman"/>
                <w:sz w:val="24"/>
              </w:rPr>
              <w:t>s</w:t>
            </w:r>
            <w:r>
              <w:rPr>
                <w:rFonts w:ascii="Times New Roman" w:hAnsi="Times New Roman"/>
                <w:sz w:val="24"/>
              </w:rPr>
              <w:t>kirstyti taip kaip pakeitimo vertybiniais popieriais pozicijų.</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 070, 100 ir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KITOS CTP POZICIJOS</w:t>
            </w:r>
          </w:p>
          <w:p w:rsidR="000B0B09" w:rsidRPr="00392FFD" w:rsidRDefault="000B0B09" w:rsidP="000B0B09">
            <w:pPr>
              <w:rPr>
                <w:rFonts w:ascii="Times New Roman" w:hAnsi="Times New Roman"/>
                <w:sz w:val="24"/>
              </w:rPr>
            </w:pPr>
            <w:r>
              <w:rPr>
                <w:rFonts w:ascii="Times New Roman" w:hAnsi="Times New Roman"/>
                <w:sz w:val="24"/>
              </w:rPr>
              <w:t xml:space="preserve">Įtraukiamos šios pozicijos: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lastRenderedPageBreak/>
              <w:t></w:t>
            </w:r>
            <w:r>
              <w:tab/>
            </w:r>
            <w:r>
              <w:rPr>
                <w:rFonts w:ascii="Times New Roman" w:hAnsi="Times New Roman"/>
                <w:sz w:val="24"/>
              </w:rPr>
              <w:t>pakeitimo vertybiniais popieriais išvestinių finansinių priemonių pozicijos, kurios sudaro proporcingą dalį, taip pat pozicijos, kuriomis apdraudžiamos CTP pozicijos;</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 pozicijos, apdraustos kredito išvestinėmis finansinėmis priemonėmis pagal KRR 346 straipsnį;</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kitos pozicijos, kurios atitinka KRR 338 straipsnio 3 dalį.</w:t>
            </w:r>
          </w:p>
          <w:p w:rsidR="000B0B09" w:rsidRPr="00392FFD" w:rsidRDefault="000B0B09" w:rsidP="000B0B09">
            <w:pPr>
              <w:rPr>
                <w:rFonts w:ascii="Times New Roman" w:hAnsi="Times New Roman"/>
                <w:sz w:val="24"/>
              </w:rPr>
            </w:pPr>
            <w:r>
              <w:rPr>
                <w:rFonts w:ascii="Times New Roman" w:hAnsi="Times New Roman"/>
                <w:sz w:val="24"/>
              </w:rPr>
              <w:t>.</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4010100"/>
      <w:r>
        <w:rPr>
          <w:rFonts w:ascii="Times New Roman" w:hAnsi="Times New Roman"/>
          <w:sz w:val="24"/>
          <w:u w:val="none"/>
        </w:rPr>
        <w:t>5.4.</w:t>
      </w:r>
      <w:r>
        <w:tab/>
      </w:r>
      <w:r>
        <w:rPr>
          <w:rFonts w:ascii="Times New Roman" w:hAnsi="Times New Roman"/>
          <w:sz w:val="24"/>
        </w:rPr>
        <w:t>C 21.00. Rinkos rizika. Standartizuotas metodas, taikomas nuosavybės vertybinių p</w:t>
      </w:r>
      <w:r>
        <w:rPr>
          <w:rFonts w:ascii="Times New Roman" w:hAnsi="Times New Roman"/>
          <w:sz w:val="24"/>
        </w:rPr>
        <w:t>o</w:t>
      </w:r>
      <w:r>
        <w:rPr>
          <w:rFonts w:ascii="Times New Roman" w:hAnsi="Times New Roman"/>
          <w:sz w:val="24"/>
        </w:rPr>
        <w:t>pierių pozicijos rizikai</w:t>
      </w:r>
      <w:bookmarkEnd w:id="670"/>
      <w:bookmarkEnd w:id="671"/>
      <w:bookmarkEnd w:id="672"/>
      <w:bookmarkEnd w:id="673"/>
      <w:bookmarkEnd w:id="674"/>
      <w:r>
        <w:rPr>
          <w:rFonts w:ascii="Times New Roman" w:hAnsi="Times New Roman"/>
          <w:sz w:val="24"/>
        </w:rPr>
        <w:t xml:space="preserve"> (MKR SA EQU)</w:t>
      </w:r>
      <w:bookmarkEnd w:id="675"/>
      <w:bookmarkEnd w:id="676"/>
      <w:bookmarkEnd w:id="677"/>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4010101"/>
      <w:r>
        <w:rPr>
          <w:rFonts w:ascii="Times New Roman" w:hAnsi="Times New Roman"/>
          <w:sz w:val="24"/>
          <w:u w:val="none"/>
        </w:rPr>
        <w:t>5.4.1.</w:t>
      </w:r>
      <w:r>
        <w:tab/>
      </w:r>
      <w:r>
        <w:rPr>
          <w:rFonts w:ascii="Times New Roman" w:hAnsi="Times New Roman"/>
          <w:sz w:val="24"/>
        </w:rPr>
        <w:t>Bendrosios pastabos</w:t>
      </w:r>
      <w:bookmarkEnd w:id="678"/>
      <w:bookmarkEnd w:id="679"/>
      <w:bookmarkEnd w:id="680"/>
      <w:bookmarkEnd w:id="681"/>
      <w:bookmarkEnd w:id="682"/>
      <w:bookmarkEnd w:id="683"/>
      <w:bookmarkEnd w:id="684"/>
      <w:bookmarkEnd w:id="685"/>
    </w:p>
    <w:p w:rsidR="000B0B09" w:rsidRPr="00392FFD" w:rsidRDefault="00125707" w:rsidP="001A3980">
      <w:pPr>
        <w:pStyle w:val="InstructionsText2"/>
        <w:numPr>
          <w:ilvl w:val="0"/>
          <w:numId w:val="0"/>
        </w:numPr>
        <w:ind w:left="993"/>
      </w:pPr>
      <w:r>
        <w:t>148.</w:t>
      </w:r>
      <w:r>
        <w:tab/>
        <w:t>Šioje formoje prašoma pateikti informaciją apie pozicijas ir jas atitinkančius nuosavų lėšų reikalavimus nuosavybės vertybinių popierių pozicijos, kuri yra pr</w:t>
      </w:r>
      <w:r>
        <w:t>e</w:t>
      </w:r>
      <w:r>
        <w:t>kybos knygoje ir kuriai taikomas standartizuotas metodas, rizikai padengti.</w:t>
      </w:r>
    </w:p>
    <w:p w:rsidR="000B0B09" w:rsidRPr="00392FFD" w:rsidRDefault="00125707" w:rsidP="001A3980">
      <w:pPr>
        <w:pStyle w:val="InstructionsText2"/>
        <w:numPr>
          <w:ilvl w:val="0"/>
          <w:numId w:val="0"/>
        </w:numPr>
        <w:ind w:left="993"/>
      </w:pPr>
      <w:r>
        <w:t>149.</w:t>
      </w:r>
      <w:r>
        <w:tab/>
        <w:t>Forma užpildoma atskirai nurodant bendrą sumą ir duomenis pagal nekintamą, iš anksto nustatytą rinkų sąrašą, kurį sudaro: Bulgarija, Kroatija, Čekija, Danija, Egiptas, Vengrija, Islandija, Lichtenšteinas, Norvegija, Lenkija, Rumunija, Švedija, Jungtinė Karalystė, Albanija, Japonija, buvusioji Jugoslavijos Respublika Maked</w:t>
      </w:r>
      <w:r>
        <w:t>o</w:t>
      </w:r>
      <w:r>
        <w:t>nija, Rusijos Federacija, Serbija, Šveicarija, Turkija, Ukraina, JAV, euro zona ir dar viena forma visoms kitoms rinkoms. Pagal šį informacijos pateikimo reikalavimą sąvoka „rinka“ suprantama kaip „šalis“ (išskyrus euro zonai priklausančias šalis, žr. Komisijos deleguotąjį reglamentą (ES) Nr. 525/2014).</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4010102"/>
      <w:r>
        <w:rPr>
          <w:rFonts w:ascii="Times New Roman" w:hAnsi="Times New Roman"/>
          <w:sz w:val="24"/>
          <w:u w:val="none"/>
        </w:rPr>
        <w:t>5.4.2.</w:t>
      </w:r>
      <w:r>
        <w:tab/>
      </w:r>
      <w:r>
        <w:rPr>
          <w:rFonts w:ascii="Times New Roman" w:hAnsi="Times New Roman"/>
          <w:sz w:val="24"/>
        </w:rPr>
        <w:t>Nurodymai dėl konkrečių pozicijų</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KRR 102 straipsnis ir 105 straipsnio 1 dalis. Tai bendrosios pozicijos, neat</w:t>
            </w:r>
            <w:r>
              <w:rPr>
                <w:rFonts w:ascii="Times New Roman" w:hAnsi="Times New Roman"/>
                <w:sz w:val="24"/>
              </w:rPr>
              <w:t>ė</w:t>
            </w:r>
            <w:r>
              <w:rPr>
                <w:rFonts w:ascii="Times New Roman" w:hAnsi="Times New Roman"/>
                <w:sz w:val="24"/>
              </w:rPr>
              <w:t>mus priemonių, bet atskaičius platinamas pozicijas, kurias yra pasirašiusios a</w:t>
            </w:r>
            <w:r>
              <w:rPr>
                <w:rFonts w:ascii="Times New Roman" w:hAnsi="Times New Roman"/>
                <w:sz w:val="24"/>
              </w:rPr>
              <w:t>r</w:t>
            </w:r>
            <w:r>
              <w:rPr>
                <w:rFonts w:ascii="Times New Roman" w:hAnsi="Times New Roman"/>
                <w:sz w:val="24"/>
              </w:rPr>
              <w:t>ba kurių nupirkimą patvirtino trečiosios šalys (KRR 345 straipsnio antras sak</w:t>
            </w:r>
            <w:r>
              <w:rPr>
                <w:rFonts w:ascii="Times New Roman" w:hAnsi="Times New Roman"/>
                <w:sz w:val="24"/>
              </w:rPr>
              <w:t>i</w:t>
            </w:r>
            <w:r>
              <w:rPr>
                <w:rFonts w:ascii="Times New Roman" w:hAnsi="Times New Roman"/>
                <w:sz w:val="24"/>
              </w:rPr>
              <w:t xml:space="preserve">nys).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KRR 327, 329, 332, 341 ir 345 straipsniai.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w:t>
            </w:r>
            <w:r>
              <w:rPr>
                <w:rFonts w:ascii="Times New Roman" w:hAnsi="Times New Roman"/>
                <w:b/>
                <w:sz w:val="24"/>
                <w:u w:val="single"/>
              </w:rPr>
              <w:t>I</w:t>
            </w:r>
            <w:r>
              <w:rPr>
                <w:rFonts w:ascii="Times New Roman" w:hAnsi="Times New Roman"/>
                <w:b/>
                <w:sz w:val="24"/>
                <w:u w:val="single"/>
              </w:rPr>
              <w:t>CIENTAS</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Tos grynosios pozicijos, kurioms pagal įvairius KRR trečios dalies IV antrašt</w:t>
            </w:r>
            <w:r>
              <w:rPr>
                <w:rFonts w:ascii="Times New Roman" w:hAnsi="Times New Roman"/>
                <w:sz w:val="24"/>
              </w:rPr>
              <w:t>i</w:t>
            </w:r>
            <w:r>
              <w:rPr>
                <w:rFonts w:ascii="Times New Roman" w:hAnsi="Times New Roman"/>
                <w:sz w:val="24"/>
              </w:rPr>
              <w:t>nės dalies 2 skyriuje aptartus metodus yra taikomas kapitalo poreikio koef</w:t>
            </w:r>
            <w:r>
              <w:rPr>
                <w:rFonts w:ascii="Times New Roman" w:hAnsi="Times New Roman"/>
                <w:sz w:val="24"/>
              </w:rPr>
              <w:t>i</w:t>
            </w:r>
            <w:r>
              <w:rPr>
                <w:rFonts w:ascii="Times New Roman" w:hAnsi="Times New Roman"/>
                <w:sz w:val="24"/>
              </w:rPr>
              <w:t>cientas. Kapitalo poreikio koeficientas turi būti apskaičiuojamas kiekvienai n</w:t>
            </w:r>
            <w:r>
              <w:rPr>
                <w:rFonts w:ascii="Times New Roman" w:hAnsi="Times New Roman"/>
                <w:sz w:val="24"/>
              </w:rPr>
              <w:t>a</w:t>
            </w:r>
            <w:r>
              <w:rPr>
                <w:rFonts w:ascii="Times New Roman" w:hAnsi="Times New Roman"/>
                <w:sz w:val="24"/>
              </w:rPr>
              <w:t>cionalinei rinkai atskirai. Akcijų indeksų ateities sandorių pozicijos pagal KRR 344 straipsnio 4 dalies antrą sakinį į šią skiltį neįtraukiamos.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Atitinkamos pozicijos kapitalo poreikio koeficientas pagal KRR trečios dalies IV antraštinės dalies 2 skyrių.</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KRR 92 straipsnio 4 dalies b punktas. Rezultatas, gautas nuosavų lėšų reikal</w:t>
            </w:r>
            <w:r>
              <w:rPr>
                <w:rFonts w:ascii="Times New Roman" w:hAnsi="Times New Roman"/>
                <w:sz w:val="24"/>
              </w:rPr>
              <w:t>a</w:t>
            </w:r>
            <w:r>
              <w:rPr>
                <w:rFonts w:ascii="Times New Roman" w:hAnsi="Times New Roman"/>
                <w:sz w:val="24"/>
              </w:rPr>
              <w:t xml:space="preserve">vimus padauginus iš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PREKYBOS KNYGOJE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Nuosavų lėšų reikalavimai pozicijos rizikai padengti pagal KRR 92 straipsnio 3 dalies b punkto i papunktį ir trečios dalies IV antraštinės dalies 2 skyriaus 3 skir</w:t>
            </w:r>
            <w:r>
              <w:rPr>
                <w:rFonts w:ascii="Times New Roman" w:hAnsi="Times New Roman"/>
                <w:sz w:val="24"/>
              </w:rPr>
              <w:t>s</w:t>
            </w:r>
            <w:r>
              <w:rPr>
                <w:rFonts w:ascii="Times New Roman" w:hAnsi="Times New Roman"/>
                <w:sz w:val="24"/>
              </w:rPr>
              <w:t>nį.</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BENDROJI RIZIKA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Nuosavybės vertybinių popierių pozicijos, susijusios su bendrąja rizika (KRR 343 straipsnis), ir jas atitinkantis nuosavų lėšų reikalavimas pagal KRR trečios dalies IV antraštinės dalies 2 skyriaus 3 skirsnį.</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Abu skirstymai (021 / 022 ir 030 / 040) yra susiję su visomis pozicijomis, kurios susijusios su bendrąja rizika.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 ir 022 eilutėse informaciją prašoma suskirstyti pagal priemonę. Tik 030 ir 040 eilutėse pateikiamas skirstymas yra naudojamas nuosavų lėšų reikalavimams a</w:t>
            </w:r>
            <w:r>
              <w:rPr>
                <w:rFonts w:ascii="Times New Roman" w:hAnsi="Times New Roman"/>
                <w:sz w:val="24"/>
              </w:rPr>
              <w:t>p</w:t>
            </w:r>
            <w:r>
              <w:rPr>
                <w:rFonts w:ascii="Times New Roman" w:hAnsi="Times New Roman"/>
                <w:sz w:val="24"/>
              </w:rPr>
              <w:t xml:space="preserve">skaičiuoti.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Išvestinės finansinės priemonės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Išvestinės finansinės priemonės, įtraukiamos apskaičiuojant prekybos knygos p</w:t>
            </w:r>
            <w:r>
              <w:rPr>
                <w:rFonts w:ascii="Times New Roman" w:hAnsi="Times New Roman"/>
                <w:sz w:val="24"/>
              </w:rPr>
              <w:t>o</w:t>
            </w:r>
            <w:r>
              <w:rPr>
                <w:rFonts w:ascii="Times New Roman" w:hAnsi="Times New Roman"/>
                <w:sz w:val="24"/>
              </w:rPr>
              <w:t>zicijų nuosavybės vertybinių popierių riziką, jei taikoma, atsižvelgiant į 329 ir 332 straipsnius.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Kitas turtas ir įsipareigojimai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Kitos priemonės, ne išvestinės finansinės priemonės, įtraukiamos apskaičiuojant prekybos knygos pozicijų nuosavybės vertybinių popierių riziką.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Biržiniai akcijų indeksų ateities sandoriai, kurie yra plačiai diversifikuoti ir kuriems yra taikomas specialus metodas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Biržiniai akcijų indeksų ateities sandoriai, kurie yra plačiai diversifikuoti ir k</w:t>
            </w:r>
            <w:r>
              <w:rPr>
                <w:rFonts w:ascii="Times New Roman" w:hAnsi="Times New Roman"/>
                <w:sz w:val="24"/>
              </w:rPr>
              <w:t>u</w:t>
            </w:r>
            <w:r>
              <w:rPr>
                <w:rFonts w:ascii="Times New Roman" w:hAnsi="Times New Roman"/>
                <w:sz w:val="24"/>
              </w:rPr>
              <w:t>riems yra taikomas specialus metodas pagal KRR 344 straipsnio 1 ir 4 dalis. Šios pozicijos yra susijusios tik su bendrąja rizika ir atitinkamai negali būti nurodomos 050 eilutėje.</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Kiti nuosavybės vertybiniai popieriai, išskyrus biržinius akcijų indeksų ate</w:t>
            </w:r>
            <w:r>
              <w:rPr>
                <w:rFonts w:ascii="Times New Roman" w:hAnsi="Times New Roman"/>
                <w:b/>
                <w:sz w:val="24"/>
                <w:u w:val="single"/>
              </w:rPr>
              <w:t>i</w:t>
            </w:r>
            <w:r>
              <w:rPr>
                <w:rFonts w:ascii="Times New Roman" w:hAnsi="Times New Roman"/>
                <w:b/>
                <w:sz w:val="24"/>
                <w:u w:val="single"/>
              </w:rPr>
              <w:t>ties sandorius, kurie yra plačiai diversifikuoti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Kitos nuosavybės vertybinių popierių pozicijos, kurios yra susijusios su specifine rizika, ir jas atitinkantys nuosavų lėšų reikalavimai pagal KRR 343 straipsnį ir 344 straipsnio 3 dalį.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SPECIFINĖ RIZIKA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Nuosavybės vertybinių popierių pozicijos, kurios yra susijusios su specifine rizika, ir ją atitinkantys nuosavų lėšų reikalavimai pagal KRR 342 straipsnį ir 344 straip</w:t>
            </w:r>
            <w:r>
              <w:rPr>
                <w:rFonts w:ascii="Times New Roman" w:hAnsi="Times New Roman"/>
                <w:sz w:val="24"/>
              </w:rPr>
              <w:t>s</w:t>
            </w:r>
            <w:r>
              <w:rPr>
                <w:rFonts w:ascii="Times New Roman" w:hAnsi="Times New Roman"/>
                <w:sz w:val="24"/>
              </w:rPr>
              <w:t xml:space="preserve">nio 4 dalį.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w:t>
            </w:r>
            <w:r>
              <w:rPr>
                <w:rStyle w:val="InstructionsTabelleberschrift"/>
                <w:rFonts w:ascii="Times New Roman" w:hAnsi="Times New Roman"/>
                <w:sz w:val="24"/>
              </w:rPr>
              <w:t>L</w:t>
            </w:r>
            <w:r>
              <w:rPr>
                <w:rStyle w:val="InstructionsTabelleberschrift"/>
                <w:rFonts w:ascii="Times New Roman" w:hAnsi="Times New Roman"/>
                <w:sz w:val="24"/>
              </w:rPr>
              <w:t>TA RIZIKA)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KRR 329 straipsnio 2 ir 3 dalys.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Papildomi reikalavimai pasirinkimo sandoriams, susijusiems su ne delta rizika, n</w:t>
            </w:r>
            <w:r>
              <w:rPr>
                <w:rFonts w:ascii="Times New Roman" w:hAnsi="Times New Roman"/>
                <w:sz w:val="24"/>
              </w:rPr>
              <w:t>u</w:t>
            </w:r>
            <w:r>
              <w:rPr>
                <w:rFonts w:ascii="Times New Roman" w:hAnsi="Times New Roman"/>
                <w:sz w:val="24"/>
              </w:rPr>
              <w:t>rodomi pagal skaičiavimui taikytą metodą.</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4010103"/>
      <w:r>
        <w:rPr>
          <w:rFonts w:ascii="Times New Roman" w:hAnsi="Times New Roman"/>
          <w:sz w:val="24"/>
          <w:u w:val="none"/>
        </w:rPr>
        <w:t>5.5.</w:t>
      </w:r>
      <w:r>
        <w:tab/>
      </w:r>
      <w:r>
        <w:rPr>
          <w:rFonts w:ascii="Times New Roman" w:hAnsi="Times New Roman"/>
          <w:sz w:val="24"/>
        </w:rPr>
        <w:t>C 22.00. Rinkos rizika. Standartizuoti metodai, taikomi užsienio valiutos kurso rizikai</w:t>
      </w:r>
      <w:bookmarkEnd w:id="694"/>
      <w:bookmarkEnd w:id="695"/>
      <w:bookmarkEnd w:id="696"/>
      <w:bookmarkEnd w:id="697"/>
      <w:bookmarkEnd w:id="698"/>
      <w:r>
        <w:rPr>
          <w:rFonts w:ascii="Times New Roman" w:hAnsi="Times New Roman"/>
          <w:sz w:val="24"/>
        </w:rPr>
        <w:t xml:space="preserve"> (MKR SA FX)</w:t>
      </w:r>
      <w:bookmarkEnd w:id="699"/>
      <w:bookmarkEnd w:id="700"/>
      <w:bookmarkEnd w:id="70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4010104"/>
      <w:r>
        <w:rPr>
          <w:rFonts w:ascii="Times New Roman" w:hAnsi="Times New Roman"/>
          <w:sz w:val="24"/>
          <w:u w:val="none"/>
        </w:rPr>
        <w:t>5.5.1.</w:t>
      </w:r>
      <w:r>
        <w:tab/>
      </w:r>
      <w:r>
        <w:rPr>
          <w:rFonts w:ascii="Times New Roman" w:hAnsi="Times New Roman"/>
          <w:sz w:val="24"/>
        </w:rPr>
        <w:t>Bendrosios pastabos</w:t>
      </w:r>
      <w:bookmarkEnd w:id="702"/>
      <w:bookmarkEnd w:id="703"/>
      <w:bookmarkEnd w:id="704"/>
      <w:bookmarkEnd w:id="705"/>
      <w:bookmarkEnd w:id="706"/>
      <w:bookmarkEnd w:id="707"/>
      <w:bookmarkEnd w:id="708"/>
      <w:bookmarkEnd w:id="709"/>
    </w:p>
    <w:p w:rsidR="00F71DF2" w:rsidRPr="00392FFD" w:rsidRDefault="00125707" w:rsidP="001A3980">
      <w:pPr>
        <w:pStyle w:val="InstructionsText2"/>
        <w:numPr>
          <w:ilvl w:val="0"/>
          <w:numId w:val="0"/>
        </w:numPr>
        <w:ind w:left="993"/>
      </w:pPr>
      <w:r>
        <w:t>150.</w:t>
      </w:r>
      <w:r>
        <w:tab/>
        <w:t>Šioje formoje įstaigos pateikia informaciją apie kiekvienos valiutos pozicijas (įskaitant ataskaitose nurodomą valiutą) ir atitinkamus nuosavų lėšų reikalavimus užsienio valiutos kurso rizikai padengti pagal standartizuotą metodą. Pozicija a</w:t>
      </w:r>
      <w:r>
        <w:t>p</w:t>
      </w:r>
      <w:r>
        <w:t xml:space="preserve">skaičiuojama kiekvienai valiutai (įskaitant euro), auksui ir KIS pozicijoms. </w:t>
      </w:r>
    </w:p>
    <w:p w:rsidR="000B0B09" w:rsidRPr="00392FFD" w:rsidRDefault="00125707" w:rsidP="001A3980">
      <w:pPr>
        <w:pStyle w:val="InstructionsText2"/>
        <w:numPr>
          <w:ilvl w:val="0"/>
          <w:numId w:val="0"/>
        </w:numPr>
        <w:ind w:left="993"/>
      </w:pPr>
      <w:r>
        <w:t>151.</w:t>
      </w:r>
      <w:r>
        <w:tab/>
        <w:t>Šios formos 100–480 eilutės pildomos net jeigu įstaigoms nereikia apskaičiuoti nuosavų lėšų reikalavimų užsienio valiutos kurso rizikai padengti pagal KRR 351 straipsnį. Šiuose papildomuose straipsniuose nurodomos visos pozicijos ataskaitose nurodoma valiuta, nepaisant to, kokiu mastu į jas atsižvelgiama taikant KRR 354 straipsnį. Papildomų formos straipsnių 130–480 eilutės užpildomos atskirai visoms Sąjungos valstybių narių valiutoms ir šioms valiutoms: USD, CHF, JPY, RUB, TRY, AUD, CAD, RSD, ALL, UAH, MKD, EGP, ARS, BRL, MXN, HKD, ICK, TWD, NZD, NOK, SGD, KRW, CNY, taip pat visoms kitoms valiutoms.</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4010105"/>
      <w:r>
        <w:rPr>
          <w:rFonts w:ascii="Times New Roman" w:hAnsi="Times New Roman"/>
          <w:sz w:val="24"/>
          <w:u w:val="none"/>
        </w:rPr>
        <w:t>5.5.2.</w:t>
      </w:r>
      <w:r>
        <w:tab/>
      </w:r>
      <w:r>
        <w:rPr>
          <w:rFonts w:ascii="Times New Roman" w:hAnsi="Times New Roman"/>
          <w:sz w:val="24"/>
        </w:rPr>
        <w:t>Nurodymai dėl konkrečių pozicijų</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Bendrosios pozicijos, kurias sudaro turtas, gautinos sumos ir panašūs straip</w:t>
            </w:r>
            <w:r>
              <w:rPr>
                <w:rFonts w:ascii="Times New Roman" w:hAnsi="Times New Roman"/>
                <w:sz w:val="24"/>
              </w:rPr>
              <w:t>s</w:t>
            </w:r>
            <w:r>
              <w:rPr>
                <w:rFonts w:ascii="Times New Roman" w:hAnsi="Times New Roman"/>
                <w:sz w:val="24"/>
              </w:rPr>
              <w:t>niai, nurodyti KRR 352 straipsnio 1 dalyje. Pagal 352 straipsnio 2 dalį, gavus kompetentingų institucijų leidimą, nenurodomos pozicijos, kurias įstaiga pris</w:t>
            </w:r>
            <w:r>
              <w:rPr>
                <w:rFonts w:ascii="Times New Roman" w:hAnsi="Times New Roman"/>
                <w:sz w:val="24"/>
              </w:rPr>
              <w:t>i</w:t>
            </w:r>
            <w:r>
              <w:rPr>
                <w:rFonts w:ascii="Times New Roman" w:hAnsi="Times New Roman"/>
                <w:sz w:val="24"/>
              </w:rPr>
              <w:lastRenderedPageBreak/>
              <w:t>ėmė, kad apsidraustų nuo neigiamo valiutos kurso poveikio jos koeficientams pagal 92 straipsnio 1 dalį, taip pat pozicijos, kurios yra susijusios su straip</w:t>
            </w:r>
            <w:r>
              <w:rPr>
                <w:rFonts w:ascii="Times New Roman" w:hAnsi="Times New Roman"/>
                <w:sz w:val="24"/>
              </w:rPr>
              <w:t>s</w:t>
            </w:r>
            <w:r>
              <w:rPr>
                <w:rFonts w:ascii="Times New Roman" w:hAnsi="Times New Roman"/>
                <w:sz w:val="24"/>
              </w:rPr>
              <w:t>niais, jau atskaitytais skaičiuojant nuosavas lėšas.</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KRR 352 straipsnio 3 dalis ir 4 dalies pirmas ir antras sakiniai bei 353 straip</w:t>
            </w:r>
            <w:r>
              <w:rPr>
                <w:rFonts w:ascii="Times New Roman" w:hAnsi="Times New Roman"/>
                <w:sz w:val="24"/>
              </w:rPr>
              <w:t>s</w:t>
            </w:r>
            <w:r>
              <w:rPr>
                <w:rFonts w:ascii="Times New Roman" w:hAnsi="Times New Roman"/>
                <w:sz w:val="24"/>
              </w:rPr>
              <w:t>nis.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Grynosios pozicijos yra apskaičiuojamos kiekviena valiuta, todėl vienu metu gali susidaryti ir ilgosios, ir trumposios pozicijos.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w:t>
            </w:r>
            <w:r>
              <w:rPr>
                <w:rFonts w:ascii="Times New Roman" w:hAnsi="Times New Roman"/>
                <w:b/>
                <w:sz w:val="24"/>
                <w:u w:val="single"/>
              </w:rPr>
              <w:t>I</w:t>
            </w:r>
            <w:r>
              <w:rPr>
                <w:rFonts w:ascii="Times New Roman" w:hAnsi="Times New Roman"/>
                <w:b/>
                <w:sz w:val="24"/>
                <w:u w:val="single"/>
              </w:rPr>
              <w:t>CIENTAS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KRR 352 straipsnio 4 dalis, 353 ir 354 straipsniai.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POZICIJOS, KURIOMS TAIKOMAS KAPITALO POREIKIO KOEF</w:t>
            </w:r>
            <w:r>
              <w:rPr>
                <w:rFonts w:ascii="Times New Roman" w:hAnsi="Times New Roman"/>
                <w:b/>
                <w:sz w:val="24"/>
                <w:u w:val="single"/>
              </w:rPr>
              <w:t>I</w:t>
            </w:r>
            <w:r>
              <w:rPr>
                <w:rFonts w:ascii="Times New Roman" w:hAnsi="Times New Roman"/>
                <w:b/>
                <w:sz w:val="24"/>
                <w:u w:val="single"/>
              </w:rPr>
              <w:t>CIENTAS (ILGOSIOS IR TRUMPOSIOS)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Ilgosios ir trumposios grynosios pozicijos kiekviena valiuta yra apskaičiuoj</w:t>
            </w:r>
            <w:r>
              <w:rPr>
                <w:rFonts w:ascii="Times New Roman" w:hAnsi="Times New Roman"/>
                <w:sz w:val="24"/>
              </w:rPr>
              <w:t>a</w:t>
            </w:r>
            <w:r>
              <w:rPr>
                <w:rFonts w:ascii="Times New Roman" w:hAnsi="Times New Roman"/>
                <w:sz w:val="24"/>
              </w:rPr>
              <w:t>mos iš bendros ilgųjų pozicijų sumos atimant bendrą trumpųjų pozicijų sumą.</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Ilgosios grynosios pozicijos kiekvienos operacijos valiuta yra sudedamos, taip apskaičiuojant ilgąją grynąją poziciją ta valiuta.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Trumposios grynosios pozicijos kiekvienos operacijos valiuta yra sudedamos, taip apskaičiuojant trumpąją grynąją poziciją ta valiuta.</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Nesuderintos pozicijos kitomis valiutomis nei ataskaitose nurodoma valiuta yra pridedamos prie pozicijų, kurioms taikomas kapitalo poreikio kitomis valiut</w:t>
            </w:r>
            <w:r>
              <w:rPr>
                <w:rFonts w:ascii="Times New Roman" w:hAnsi="Times New Roman"/>
                <w:sz w:val="24"/>
              </w:rPr>
              <w:t>o</w:t>
            </w:r>
            <w:r>
              <w:rPr>
                <w:rFonts w:ascii="Times New Roman" w:hAnsi="Times New Roman"/>
                <w:sz w:val="24"/>
              </w:rPr>
              <w:t>mis koeficientas (030 eilutė, 060 arba 070 skiltis) pagal tai, ar jos yra trump</w:t>
            </w:r>
            <w:r>
              <w:rPr>
                <w:rFonts w:ascii="Times New Roman" w:hAnsi="Times New Roman"/>
                <w:sz w:val="24"/>
              </w:rPr>
              <w:t>o</w:t>
            </w:r>
            <w:r>
              <w:rPr>
                <w:rFonts w:ascii="Times New Roman" w:hAnsi="Times New Roman"/>
                <w:sz w:val="24"/>
              </w:rPr>
              <w:t>sios, ar ilgosios.</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w:t>
            </w:r>
            <w:r>
              <w:rPr>
                <w:rFonts w:ascii="Times New Roman" w:hAnsi="Times New Roman"/>
                <w:b/>
                <w:sz w:val="24"/>
                <w:u w:val="single"/>
              </w:rPr>
              <w:t>I</w:t>
            </w:r>
            <w:r>
              <w:rPr>
                <w:rFonts w:ascii="Times New Roman" w:hAnsi="Times New Roman"/>
                <w:b/>
                <w:sz w:val="24"/>
                <w:u w:val="single"/>
              </w:rPr>
              <w:t>CIENTAS (SUDERINTOS)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Artimai susijusių valiutų suderintos pozicijos.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Atitinkamos pozicijos kapitalo poreikio koeficientas pagal KRR trečios dalies IV antraštinės dalies 3 skyrių.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KRR 92 straipsnio 4 dalies b punktas. Rezultatas, gautas nuosavų lėšų reikal</w:t>
            </w:r>
            <w:r>
              <w:rPr>
                <w:rFonts w:ascii="Times New Roman" w:hAnsi="Times New Roman"/>
                <w:sz w:val="24"/>
              </w:rPr>
              <w:t>a</w:t>
            </w:r>
            <w:r>
              <w:rPr>
                <w:rFonts w:ascii="Times New Roman" w:hAnsi="Times New Roman"/>
                <w:sz w:val="24"/>
              </w:rPr>
              <w:t xml:space="preserve">vimus padauginus iš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POZICIJŲ SUMA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Visos pozicijos kitomis valiutomis nei ataskaitose nurodoma valiuta ir tos p</w:t>
            </w:r>
            <w:r>
              <w:rPr>
                <w:rFonts w:ascii="Times New Roman" w:hAnsi="Times New Roman"/>
                <w:sz w:val="24"/>
              </w:rPr>
              <w:t>o</w:t>
            </w:r>
            <w:r>
              <w:rPr>
                <w:rFonts w:ascii="Times New Roman" w:hAnsi="Times New Roman"/>
                <w:sz w:val="24"/>
              </w:rPr>
              <w:t>zicijos ataskaitose nurodoma valiuta, į kurias atsižvelgiama taikant KRR 354 straipsnį, taip pat atitinkami nuosavų lėšų reikalavimai pagal KRR 92 straip</w:t>
            </w:r>
            <w:r>
              <w:rPr>
                <w:rFonts w:ascii="Times New Roman" w:hAnsi="Times New Roman"/>
                <w:sz w:val="24"/>
              </w:rPr>
              <w:t>s</w:t>
            </w:r>
            <w:r>
              <w:rPr>
                <w:rFonts w:ascii="Times New Roman" w:hAnsi="Times New Roman"/>
                <w:sz w:val="24"/>
              </w:rPr>
              <w:t>nio 3 dalies c punkto i papunktį ir 352 straipsnio 2 ir 4 dalis (dėl keitimo į at</w:t>
            </w:r>
            <w:r>
              <w:rPr>
                <w:rFonts w:ascii="Times New Roman" w:hAnsi="Times New Roman"/>
                <w:sz w:val="24"/>
              </w:rPr>
              <w:t>a</w:t>
            </w:r>
            <w:r>
              <w:rPr>
                <w:rFonts w:ascii="Times New Roman" w:hAnsi="Times New Roman"/>
                <w:sz w:val="24"/>
              </w:rPr>
              <w:t>skaitose nurodomą valiutą).</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ARTIMAI TARPUSAVYJE SUSIJUSIOS VALIUTOS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Pozicijos ir jas atitinkantys nuosavų lėšų reikalavimai KRR 354 straipsnyje n</w:t>
            </w:r>
            <w:r>
              <w:rPr>
                <w:rFonts w:ascii="Times New Roman" w:hAnsi="Times New Roman"/>
                <w:sz w:val="24"/>
              </w:rPr>
              <w:t>u</w:t>
            </w:r>
            <w:r>
              <w:rPr>
                <w:rFonts w:ascii="Times New Roman" w:hAnsi="Times New Roman"/>
                <w:sz w:val="24"/>
              </w:rPr>
              <w:t>rodytoms valiutoms.</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Artimai tarpusavyje susijusios valiutos, </w:t>
            </w:r>
            <w:r>
              <w:rPr>
                <w:rFonts w:ascii="Times New Roman" w:hAnsi="Times New Roman"/>
                <w:b/>
                <w:i/>
                <w:sz w:val="24"/>
                <w:u w:val="single"/>
              </w:rPr>
              <w:t>iš jų</w:t>
            </w:r>
            <w:r>
              <w:rPr>
                <w:rFonts w:ascii="Times New Roman" w:hAnsi="Times New Roman"/>
                <w:b/>
                <w:sz w:val="24"/>
                <w:u w:val="single"/>
              </w:rPr>
              <w:t>: ataskaitose nurodoma vali</w:t>
            </w:r>
            <w:r>
              <w:rPr>
                <w:rFonts w:ascii="Times New Roman" w:hAnsi="Times New Roman"/>
                <w:b/>
                <w:sz w:val="24"/>
                <w:u w:val="single"/>
              </w:rPr>
              <w:t>u</w:t>
            </w:r>
            <w:r>
              <w:rPr>
                <w:rFonts w:ascii="Times New Roman" w:hAnsi="Times New Roman"/>
                <w:b/>
                <w:sz w:val="24"/>
                <w:u w:val="single"/>
              </w:rPr>
              <w:t>ta</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Pozicijos ataskaitose nurodoma valiuta, į kurias atsižvelgiama apskaičiuojant kapitalo reikalavimus pagal KRR 354 straipsnį.</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KITOS VALIUTOS (įskaitant KIS, vertinamus kitomis valiut</w:t>
            </w:r>
            <w:r>
              <w:rPr>
                <w:rFonts w:ascii="Times New Roman" w:hAnsi="Times New Roman"/>
                <w:b/>
                <w:sz w:val="24"/>
                <w:u w:val="single"/>
              </w:rPr>
              <w:t>o</w:t>
            </w:r>
            <w:r>
              <w:rPr>
                <w:rFonts w:ascii="Times New Roman" w:hAnsi="Times New Roman"/>
                <w:b/>
                <w:sz w:val="24"/>
                <w:u w:val="single"/>
              </w:rPr>
              <w:t>mis)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Pozicijos ir jas atitinkantys nuosavų lėšų reikalavimai valiutoms, kurioms ta</w:t>
            </w:r>
            <w:r>
              <w:rPr>
                <w:rFonts w:ascii="Times New Roman" w:hAnsi="Times New Roman"/>
                <w:sz w:val="24"/>
              </w:rPr>
              <w:t>i</w:t>
            </w:r>
            <w:r>
              <w:rPr>
                <w:rFonts w:ascii="Times New Roman" w:hAnsi="Times New Roman"/>
                <w:sz w:val="24"/>
              </w:rPr>
              <w:t>koma bendra KRR 351 straipsnyje ir 352 straipsnio 2 ir 4 dalyse nurodyta tva</w:t>
            </w:r>
            <w:r>
              <w:rPr>
                <w:rFonts w:ascii="Times New Roman" w:hAnsi="Times New Roman"/>
                <w:sz w:val="24"/>
              </w:rPr>
              <w:t>r</w:t>
            </w:r>
            <w:r>
              <w:rPr>
                <w:rFonts w:ascii="Times New Roman" w:hAnsi="Times New Roman"/>
                <w:sz w:val="24"/>
              </w:rPr>
              <w:t xml:space="preserve">ka.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Informacijos teikimas apie KIS, vertinamus kitomis valiutomis pagal KRR 353 straipsnį.</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KIS, kurie apskaičiuojant kapitalo reikalavimus vertinami kita valiuta, taikoma dvejopa tvarka:</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Modifikuotas aukso metodas, jeigu KIS investicijų kryptis nėra žinoma (taikoma tiems KIS, kurie turi būti pridėti prie įstaigos bendros atvir</w:t>
            </w:r>
            <w:r>
              <w:rPr>
                <w:rFonts w:ascii="Times New Roman" w:hAnsi="Times New Roman"/>
                <w:sz w:val="24"/>
              </w:rPr>
              <w:t>o</w:t>
            </w:r>
            <w:r>
              <w:rPr>
                <w:rFonts w:ascii="Times New Roman" w:hAnsi="Times New Roman"/>
                <w:sz w:val="24"/>
              </w:rPr>
              <w:t>sios užsienio valiutos kurso pozicijos sumos).</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Jeigu KIS investicijų kryptis yra žinoma, KIS pridedami prie bendros atvirosios užsienio valiutos kurso pozicijos (ilgosios arba trumposios, tai priklauso nuo KIS veiklos krypties).</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Teikiant informaciją apie KIS atitinkamai atsižvelgiama į kapitalo reikalavimų apskaičiavimą.</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AUKSAS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Pozicijos ir jas atitinkantys nuosavų lėšų reikalavimai valiutoms, kurioms ta</w:t>
            </w:r>
            <w:r>
              <w:rPr>
                <w:rFonts w:ascii="Times New Roman" w:hAnsi="Times New Roman"/>
                <w:sz w:val="24"/>
              </w:rPr>
              <w:t>i</w:t>
            </w:r>
            <w:r>
              <w:rPr>
                <w:rFonts w:ascii="Times New Roman" w:hAnsi="Times New Roman"/>
                <w:sz w:val="24"/>
              </w:rPr>
              <w:t>koma bendra KRR 351 straipsnyje ir 352 straipsnio 2 ir 4 dalyse nurodyta tva</w:t>
            </w:r>
            <w:r>
              <w:rPr>
                <w:rFonts w:ascii="Times New Roman" w:hAnsi="Times New Roman"/>
                <w:sz w:val="24"/>
              </w:rPr>
              <w:t>r</w:t>
            </w:r>
            <w:r>
              <w:rPr>
                <w:rFonts w:ascii="Times New Roman" w:hAnsi="Times New Roman"/>
                <w:sz w:val="24"/>
              </w:rPr>
              <w:t xml:space="preserve">ka.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 – 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KRR 352 straipsnio 5 ir 6 dalys.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Papildomi reikalavimai pasirinkimo sandoriams, susijusiems su ne delta rizika, nurodomi pagal skaičiavimui taikytą metodą.</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Bendros pozicijų sumos suskirstymas (įskaitant ataskaitose nurodomą v</w:t>
            </w:r>
            <w:r>
              <w:rPr>
                <w:rFonts w:ascii="Times New Roman" w:hAnsi="Times New Roman"/>
                <w:b/>
                <w:sz w:val="24"/>
                <w:u w:val="single"/>
              </w:rPr>
              <w:t>a</w:t>
            </w:r>
            <w:r>
              <w:rPr>
                <w:rFonts w:ascii="Times New Roman" w:hAnsi="Times New Roman"/>
                <w:b/>
                <w:sz w:val="24"/>
                <w:u w:val="single"/>
              </w:rPr>
              <w:t>liutą) pagal pozicijų rūšį</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Bendra pozicijų suma suskirstoma į išvestinių finansinių priemonių, kito turto ir įsipareigojimų ir nebalansinius straipsnius.</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Kitas turtas ir įsipareigojimai, išskyrus nebalansinius straipsnius ir išve</w:t>
            </w:r>
            <w:r>
              <w:rPr>
                <w:rFonts w:ascii="Times New Roman" w:hAnsi="Times New Roman"/>
                <w:b/>
                <w:sz w:val="24"/>
                <w:u w:val="single"/>
              </w:rPr>
              <w:t>s</w:t>
            </w:r>
            <w:r>
              <w:rPr>
                <w:rFonts w:ascii="Times New Roman" w:hAnsi="Times New Roman"/>
                <w:b/>
                <w:sz w:val="24"/>
                <w:u w:val="single"/>
              </w:rPr>
              <w:t>tines finansines priemones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Čia nurodomos į 110 arba 120 eilutę neįtrauktos pozicijos.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Nebalansiniai straipsniai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Į KRR 352 taikymo sritį įtraukti straipsniai, nepriklausomai nuo tų straipsnių valiutos, kurie yra įtraukti į KRR I priedą, išskyrus įtrauktuosius kaip vertyb</w:t>
            </w:r>
            <w:r>
              <w:rPr>
                <w:rFonts w:ascii="Times New Roman" w:hAnsi="Times New Roman"/>
                <w:sz w:val="24"/>
              </w:rPr>
              <w:t>i</w:t>
            </w:r>
            <w:r>
              <w:rPr>
                <w:rFonts w:ascii="Times New Roman" w:hAnsi="Times New Roman"/>
                <w:sz w:val="24"/>
              </w:rPr>
              <w:t>nių popierių finansavimo sandoriai ir ilgalaikiai atsiskaitymo sandoriai arba straipsniai pagal įpareigojančius kryžminės produktų užskaitos susitarimus.</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Išvestinės finansinės priemonės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Pozicijos, kurių vertė apskaičiuojama pagal KRR 352 straipsnį.</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PAPILDOMI STRAIPSNIAI: VALIUTOS POZICIJOS</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Papildomi formos straipsniai užpildomi atskirai visoms Sąjungos valstybių n</w:t>
            </w:r>
            <w:r>
              <w:rPr>
                <w:rFonts w:ascii="Times New Roman" w:hAnsi="Times New Roman"/>
                <w:sz w:val="24"/>
              </w:rPr>
              <w:t>a</w:t>
            </w:r>
            <w:r>
              <w:rPr>
                <w:rFonts w:ascii="Times New Roman" w:hAnsi="Times New Roman"/>
                <w:sz w:val="24"/>
              </w:rPr>
              <w:t xml:space="preserve">rių valiutoms ir šioms valiutoms: USD, CHF, JPY, RUB, TRY, AUD, CAD, RSD, ALL, UAH, MKD, EGP, ARS, BRL, MXN, HKD, ICK, TWD, NZD, NOK, SGD, KRW, CNY, taip pat visoms kitoms valiutoms.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4010106"/>
      <w:r>
        <w:rPr>
          <w:rFonts w:ascii="Times New Roman" w:hAnsi="Times New Roman"/>
          <w:sz w:val="24"/>
          <w:u w:val="none"/>
        </w:rPr>
        <w:t>5.6.</w:t>
      </w:r>
      <w:r>
        <w:tab/>
      </w:r>
      <w:r>
        <w:rPr>
          <w:rFonts w:ascii="Times New Roman" w:hAnsi="Times New Roman"/>
          <w:sz w:val="24"/>
        </w:rPr>
        <w:t>C 23.00. Rinkos rizika. Standartizuoti metodai, taikomi biržos prekėms</w:t>
      </w:r>
      <w:bookmarkEnd w:id="718"/>
      <w:bookmarkEnd w:id="719"/>
      <w:bookmarkEnd w:id="720"/>
      <w:bookmarkEnd w:id="721"/>
      <w:bookmarkEnd w:id="722"/>
      <w:r>
        <w:rPr>
          <w:rFonts w:ascii="Times New Roman" w:hAnsi="Times New Roman"/>
          <w:sz w:val="24"/>
        </w:rPr>
        <w:t xml:space="preserve"> (MKR SA COM)</w:t>
      </w:r>
      <w:bookmarkEnd w:id="723"/>
      <w:bookmarkEnd w:id="724"/>
      <w:bookmarkEnd w:id="7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4010107"/>
      <w:r>
        <w:rPr>
          <w:rFonts w:ascii="Times New Roman" w:hAnsi="Times New Roman"/>
          <w:sz w:val="24"/>
          <w:u w:val="none"/>
        </w:rPr>
        <w:t>5.6.1.</w:t>
      </w:r>
      <w:r>
        <w:tab/>
      </w:r>
      <w:r>
        <w:rPr>
          <w:rFonts w:ascii="Times New Roman" w:hAnsi="Times New Roman"/>
          <w:sz w:val="24"/>
        </w:rPr>
        <w:t>Bendrosios pastabos</w:t>
      </w:r>
      <w:bookmarkEnd w:id="726"/>
      <w:bookmarkEnd w:id="727"/>
      <w:bookmarkEnd w:id="728"/>
      <w:bookmarkEnd w:id="729"/>
      <w:bookmarkEnd w:id="730"/>
      <w:bookmarkEnd w:id="731"/>
      <w:bookmarkEnd w:id="732"/>
      <w:bookmarkEnd w:id="733"/>
    </w:p>
    <w:p w:rsidR="000B0B09" w:rsidRPr="00392FFD" w:rsidRDefault="00125707" w:rsidP="001A3980">
      <w:pPr>
        <w:pStyle w:val="InstructionsText2"/>
        <w:numPr>
          <w:ilvl w:val="0"/>
          <w:numId w:val="0"/>
        </w:numPr>
        <w:ind w:left="993"/>
      </w:pPr>
      <w:r>
        <w:t>152.</w:t>
      </w:r>
      <w:r>
        <w:tab/>
        <w:t>Šioje formoje prašoma pateikti informaciją apie biržos prekių pozicijas ir at</w:t>
      </w:r>
      <w:r>
        <w:t>i</w:t>
      </w:r>
      <w:r>
        <w:t>tinkamus nuosavų lėšų reikalavimus pagal standartizuotą metodą.</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4010108"/>
      <w:r>
        <w:rPr>
          <w:rFonts w:ascii="Times New Roman" w:hAnsi="Times New Roman"/>
          <w:sz w:val="24"/>
          <w:u w:val="none"/>
        </w:rPr>
        <w:t>5.6.2.</w:t>
      </w:r>
      <w:r>
        <w:tab/>
      </w:r>
      <w:r>
        <w:rPr>
          <w:rFonts w:ascii="Times New Roman" w:hAnsi="Times New Roman"/>
          <w:sz w:val="24"/>
        </w:rPr>
        <w:t>Nurodymai dėl konkrečių pozicijų</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Bendrosios ilgosios / trumposios pozicijos, laikomos tos pačios biržos prekės pozicijomis pagal KRR 357 straipsnio 1 ir 4 dalis (taip pat žr. KRR 359 straipsnio 1 dalį).</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Kaip apibrėžta KRR 357 straipsnio 3 dalyje.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w:t>
            </w:r>
            <w:r>
              <w:rPr>
                <w:rFonts w:ascii="Times New Roman" w:hAnsi="Times New Roman"/>
                <w:b/>
                <w:sz w:val="24"/>
                <w:u w:val="single"/>
              </w:rPr>
              <w:t>I</w:t>
            </w:r>
            <w:r>
              <w:rPr>
                <w:rFonts w:ascii="Times New Roman" w:hAnsi="Times New Roman"/>
                <w:b/>
                <w:sz w:val="24"/>
                <w:u w:val="single"/>
              </w:rPr>
              <w:t>CIENTAS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Tos grynosios pozicijos, kurioms pagal įvairius KRR trečios dalies IV antrašt</w:t>
            </w:r>
            <w:r>
              <w:rPr>
                <w:rFonts w:ascii="Times New Roman" w:hAnsi="Times New Roman"/>
                <w:sz w:val="24"/>
              </w:rPr>
              <w:t>i</w:t>
            </w:r>
            <w:r>
              <w:rPr>
                <w:rFonts w:ascii="Times New Roman" w:hAnsi="Times New Roman"/>
                <w:sz w:val="24"/>
              </w:rPr>
              <w:t>nės dalies 4 skyriuje aptartus metodus yra taikomas kapitalo poreikio koef</w:t>
            </w:r>
            <w:r>
              <w:rPr>
                <w:rFonts w:ascii="Times New Roman" w:hAnsi="Times New Roman"/>
                <w:sz w:val="24"/>
              </w:rPr>
              <w:t>i</w:t>
            </w:r>
            <w:r>
              <w:rPr>
                <w:rFonts w:ascii="Times New Roman" w:hAnsi="Times New Roman"/>
                <w:sz w:val="24"/>
              </w:rPr>
              <w:t>cientas.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Atitinkamos pozicijos kapitalo poreikio koeficientas pagal KRR trečios dalies IV antraštinės dalies 4 skyrių.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KRR 92 straipsnio 4 dalies b punktas. Rezultatas, gautas nuosavų lėšų reikal</w:t>
            </w:r>
            <w:r>
              <w:rPr>
                <w:rFonts w:ascii="Times New Roman" w:hAnsi="Times New Roman"/>
                <w:sz w:val="24"/>
              </w:rPr>
              <w:t>a</w:t>
            </w:r>
            <w:r>
              <w:rPr>
                <w:rFonts w:ascii="Times New Roman" w:hAnsi="Times New Roman"/>
                <w:sz w:val="24"/>
              </w:rPr>
              <w:t xml:space="preserve">vimus padauginus iš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BIRŽOS PREKIŲ POZICIJŲ SUMA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Biržos prekių pozicijos ir jas atitinkantys nuosavų lėšų reikalavimai rinkos r</w:t>
            </w:r>
            <w:r>
              <w:rPr>
                <w:rFonts w:ascii="Times New Roman" w:hAnsi="Times New Roman"/>
                <w:sz w:val="24"/>
              </w:rPr>
              <w:t>i</w:t>
            </w:r>
            <w:r>
              <w:rPr>
                <w:rFonts w:ascii="Times New Roman" w:hAnsi="Times New Roman"/>
                <w:sz w:val="24"/>
              </w:rPr>
              <w:t xml:space="preserve">zikai padengti pagal KRR 92 straipsnio 3 dalies c punkto iii papunktį ir trečios dalies IV antraštinės dalies 4 skyrių.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PAGAL BIRŽOS PREKIŲ KATEGORIJĄ</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Teikiant informaciją biržos prekės suskirstomos į keturias pagrindines biržos prekių grupes, nurodytas KRR 361 straipsnio 2 lentelėje.</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TERMINŲ ATITIKIMO METODAS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Biržos prekių pozicijos, kurioms taikomas KRR 359 straipsnyje nurodytas te</w:t>
            </w:r>
            <w:r>
              <w:rPr>
                <w:rFonts w:ascii="Times New Roman" w:hAnsi="Times New Roman"/>
                <w:sz w:val="24"/>
              </w:rPr>
              <w:t>r</w:t>
            </w:r>
            <w:r>
              <w:rPr>
                <w:rFonts w:ascii="Times New Roman" w:hAnsi="Times New Roman"/>
                <w:sz w:val="24"/>
              </w:rPr>
              <w:t>minų atitikimo metodas.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IŠPLĖSTASIS TERMINŲ ATITIKIMO METODAS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Biržos prekių pozicijos, kurioms taikomas KRR 361 straipsnyje nurodytas i</w:t>
            </w:r>
            <w:r>
              <w:rPr>
                <w:rFonts w:ascii="Times New Roman" w:hAnsi="Times New Roman"/>
                <w:sz w:val="24"/>
              </w:rPr>
              <w:t>š</w:t>
            </w:r>
            <w:r>
              <w:rPr>
                <w:rFonts w:ascii="Times New Roman" w:hAnsi="Times New Roman"/>
                <w:sz w:val="24"/>
              </w:rPr>
              <w:t>plėstasis terminų atitikimo metodas.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SUPAPRASTINTAS METODAS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Biržos prekių pozicijos, kurioms taikomas KRR 360 straipsnyje nurodytas s</w:t>
            </w:r>
            <w:r>
              <w:rPr>
                <w:rFonts w:ascii="Times New Roman" w:hAnsi="Times New Roman"/>
                <w:sz w:val="24"/>
              </w:rPr>
              <w:t>u</w:t>
            </w:r>
            <w:r>
              <w:rPr>
                <w:rFonts w:ascii="Times New Roman" w:hAnsi="Times New Roman"/>
                <w:sz w:val="24"/>
              </w:rPr>
              <w:t xml:space="preserve">paprastintas metodas.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KRR 358 straipsnio 4 dalis.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Papildomi reikalavimai pasirinkimo sandoriams, susijusiems su ne delta rizika, nurodomi pagal skaičiavimui taikytą metodą.</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4010109"/>
      <w:r>
        <w:rPr>
          <w:rFonts w:ascii="Times New Roman" w:hAnsi="Times New Roman"/>
          <w:sz w:val="24"/>
          <w:u w:val="none"/>
        </w:rPr>
        <w:t>5.7.</w:t>
      </w:r>
      <w:r>
        <w:tab/>
      </w:r>
      <w:r>
        <w:rPr>
          <w:rFonts w:ascii="Times New Roman" w:hAnsi="Times New Roman"/>
          <w:sz w:val="24"/>
        </w:rPr>
        <w:t>C 24.00. Rinkos rizikos vidaus modelis</w:t>
      </w:r>
      <w:bookmarkEnd w:id="742"/>
      <w:bookmarkEnd w:id="743"/>
      <w:bookmarkEnd w:id="744"/>
      <w:bookmarkEnd w:id="745"/>
      <w:bookmarkEnd w:id="746"/>
      <w:r>
        <w:rPr>
          <w:rFonts w:ascii="Times New Roman" w:hAnsi="Times New Roman"/>
          <w:sz w:val="24"/>
        </w:rPr>
        <w:t xml:space="preserve"> (MKR IM)</w:t>
      </w:r>
      <w:bookmarkEnd w:id="747"/>
      <w:bookmarkEnd w:id="748"/>
      <w:bookmarkEnd w:id="74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4010110"/>
      <w:r>
        <w:rPr>
          <w:rFonts w:ascii="Times New Roman" w:hAnsi="Times New Roman"/>
          <w:sz w:val="24"/>
          <w:u w:val="none"/>
        </w:rPr>
        <w:t>5.7.1.</w:t>
      </w:r>
      <w:r>
        <w:tab/>
      </w:r>
      <w:r>
        <w:rPr>
          <w:rFonts w:ascii="Times New Roman" w:hAnsi="Times New Roman"/>
          <w:sz w:val="24"/>
        </w:rPr>
        <w:t>Bendrosios pastabos</w:t>
      </w:r>
      <w:bookmarkEnd w:id="750"/>
      <w:bookmarkEnd w:id="751"/>
      <w:bookmarkEnd w:id="752"/>
      <w:bookmarkEnd w:id="753"/>
      <w:bookmarkEnd w:id="754"/>
      <w:bookmarkEnd w:id="755"/>
      <w:bookmarkEnd w:id="756"/>
      <w:bookmarkEnd w:id="757"/>
    </w:p>
    <w:p w:rsidR="000B0B09" w:rsidRPr="00392FFD" w:rsidRDefault="00125707" w:rsidP="001A3980">
      <w:pPr>
        <w:pStyle w:val="InstructionsText2"/>
        <w:numPr>
          <w:ilvl w:val="0"/>
          <w:numId w:val="0"/>
        </w:numPr>
        <w:ind w:left="993"/>
      </w:pPr>
      <w:r>
        <w:t>153.</w:t>
      </w:r>
      <w:r>
        <w:tab/>
        <w:t>Šioje formoje VaR ir VaR nepalankiausiomis sąlygomis (sVaR) reikšmės su</w:t>
      </w:r>
      <w:r>
        <w:t>s</w:t>
      </w:r>
      <w:r>
        <w:t>kirstomos pagal įvairią rinkos riziką (skolos, nuosavybės vertybinių popierių, u</w:t>
      </w:r>
      <w:r>
        <w:t>ž</w:t>
      </w:r>
      <w:r>
        <w:t>sienio valiutos kurso, biržos prekių kainų) ir pateikiami kiti, apskaičiuojant nuosavų lėšų reikalavimus svarbūs, duomenys.</w:t>
      </w:r>
    </w:p>
    <w:p w:rsidR="000B0B09" w:rsidRPr="00321A3B" w:rsidRDefault="00125707" w:rsidP="001A3980">
      <w:pPr>
        <w:pStyle w:val="InstructionsText2"/>
        <w:numPr>
          <w:ilvl w:val="0"/>
          <w:numId w:val="0"/>
        </w:numPr>
        <w:ind w:left="993"/>
      </w:pPr>
      <w:r>
        <w:t>154.</w:t>
      </w:r>
      <w:r>
        <w:tab/>
        <w:t>Paprastai tai, kaip informacija pateikiama, priklauso nuo įstaigos modelio struktūros, ar jos nurodo bendrosios ir specifinės rizikos duomenis atskirai, ar kartu. Tą patį galima pasakyti apie VAR / VaR nepalankiausiomis sąlygomis (Stress–Var) išskaidymą pagal rizikos kategoriją (palūkanų normos riziką, nuosavybės vertyb</w:t>
      </w:r>
      <w:r>
        <w:t>i</w:t>
      </w:r>
      <w:r>
        <w:t>nių popierių riziką, biržos prekių kainos riziką ir užsienio valiutos kurso riziką). Įstaiga gali atsisakyti teikti išskaidytus duomenis, kaip nurodyta pirmiau, jeigu įr</w:t>
      </w:r>
      <w:r>
        <w:t>o</w:t>
      </w:r>
      <w:r>
        <w:t xml:space="preserve">do, kad šiuos duomenis teikti būtų pernelyg sudėtinga.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4010111"/>
      <w:r>
        <w:rPr>
          <w:rFonts w:ascii="Times New Roman" w:hAnsi="Times New Roman"/>
          <w:sz w:val="24"/>
          <w:u w:val="none"/>
        </w:rPr>
        <w:t>5.7.2.</w:t>
      </w:r>
      <w:r>
        <w:tab/>
      </w:r>
      <w:r>
        <w:rPr>
          <w:rFonts w:ascii="Times New Roman" w:hAnsi="Times New Roman"/>
          <w:sz w:val="24"/>
        </w:rPr>
        <w:t>Nurodymai dėl konkrečių pozicijų</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Skiltys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VaR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Tai maksimalus galimas nuostolis, kuris susidarytų dėl kainų pokyčio su nust</w:t>
            </w:r>
            <w:r>
              <w:rPr>
                <w:rFonts w:ascii="Times New Roman" w:hAnsi="Times New Roman"/>
                <w:sz w:val="24"/>
              </w:rPr>
              <w:t>a</w:t>
            </w:r>
            <w:r>
              <w:rPr>
                <w:rFonts w:ascii="Times New Roman" w:hAnsi="Times New Roman"/>
                <w:sz w:val="24"/>
              </w:rPr>
              <w:t>tyta tikimybe per tam tikrą laikotarpį.</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Multiplikatoriaus koeficientas (mc) x praėjusių 60 darbo dienų VaR v</w:t>
            </w:r>
            <w:r>
              <w:rPr>
                <w:rFonts w:ascii="Times New Roman" w:hAnsi="Times New Roman"/>
                <w:b/>
                <w:sz w:val="24"/>
                <w:u w:val="single"/>
              </w:rPr>
              <w:t>i</w:t>
            </w:r>
            <w:r>
              <w:rPr>
                <w:rFonts w:ascii="Times New Roman" w:hAnsi="Times New Roman"/>
                <w:b/>
                <w:sz w:val="24"/>
                <w:u w:val="single"/>
              </w:rPr>
              <w:t>durkis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KRR 364 straipsnio 1 dalies a punkto ii papunktis ir 365 straipsnio 1 dalis.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Praėjusios dienos VaR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KRR 364 straipsnio 1 dalies a punkto i papunktis ir 365 straipsnio 1 dalis.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nepalankiausiomis sąlygomis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Tai didžiausias galimas nuostolis dėl kainų pokyčio su nustatyta tikimybe per tam tikrą laikotarpį, naudojant įvestis, suderintas su nepertraukiamo labai nep</w:t>
            </w:r>
            <w:r>
              <w:rPr>
                <w:rFonts w:ascii="Times New Roman" w:hAnsi="Times New Roman"/>
                <w:sz w:val="24"/>
              </w:rPr>
              <w:t>a</w:t>
            </w:r>
            <w:r>
              <w:rPr>
                <w:rFonts w:ascii="Times New Roman" w:hAnsi="Times New Roman"/>
                <w:sz w:val="24"/>
              </w:rPr>
              <w:t>lankių finansinių sąlygų 12 mėnesių laikotarpio duomenimis, susijusiais su įstaigos portfeliu.</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Multiplikatoriaus koeficientas (mc) x praėjusių 60 darbo dienų vidurkis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KRR 364 straipsnio 1 dalies b punkto ii papunktis ir 365 straipsnio 1 dalis.</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Paskutinis turimas matas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KRR 364 straipsnio 1 dalies b punkto i papunktis ir 365 straipsnio 1 dalis.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PAPILDOMOS ĮSIPAREIGOJIMŲ NEĮVYKDYMO RIZIKOS IR P</w:t>
            </w:r>
            <w:r>
              <w:rPr>
                <w:rFonts w:ascii="Times New Roman" w:hAnsi="Times New Roman"/>
                <w:b/>
                <w:sz w:val="24"/>
                <w:u w:val="single"/>
              </w:rPr>
              <w:t>O</w:t>
            </w:r>
            <w:r>
              <w:rPr>
                <w:rFonts w:ascii="Times New Roman" w:hAnsi="Times New Roman"/>
                <w:b/>
                <w:sz w:val="24"/>
                <w:u w:val="single"/>
              </w:rPr>
              <w:t>KYČIŲ RIZIKOS KAPITALO POREIKIO KOEFICIENTAS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Tai maksimalus galimas nuostolis dėl kainų pokyčio, susijusio su įsipareigoj</w:t>
            </w:r>
            <w:r>
              <w:rPr>
                <w:rFonts w:ascii="Times New Roman" w:hAnsi="Times New Roman"/>
                <w:sz w:val="24"/>
              </w:rPr>
              <w:t>i</w:t>
            </w:r>
            <w:r>
              <w:rPr>
                <w:rFonts w:ascii="Times New Roman" w:hAnsi="Times New Roman"/>
                <w:sz w:val="24"/>
              </w:rPr>
              <w:t>mų neįvykdymu ir pokyčių rizika, apskaičiuotas pagal KRR 364 straipsnio 2 dalies b punktą kartu su trečios dalies IV antraštinės dalies 5 skyriaus 4 skir</w:t>
            </w:r>
            <w:r>
              <w:rPr>
                <w:rFonts w:ascii="Times New Roman" w:hAnsi="Times New Roman"/>
                <w:sz w:val="24"/>
              </w:rPr>
              <w:t>s</w:t>
            </w:r>
            <w:r>
              <w:rPr>
                <w:rFonts w:ascii="Times New Roman" w:hAnsi="Times New Roman"/>
                <w:sz w:val="24"/>
              </w:rPr>
              <w:t xml:space="preserve">niu.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savaičių mato vidurkis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KRR 364 straipsnio 2 dalies b punkto ii papunktis kartu su trečios dalies IV antraštinės dalies 5 skyriaus 4 skirsniu.</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Paskutinis matas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KRR 364 straipsnio 2 dalies b punkto i papunktis kartu su trečios dalies IV an</w:t>
            </w:r>
            <w:r>
              <w:rPr>
                <w:rFonts w:ascii="Times New Roman" w:hAnsi="Times New Roman"/>
                <w:sz w:val="24"/>
              </w:rPr>
              <w:t>t</w:t>
            </w:r>
            <w:r>
              <w:rPr>
                <w:rFonts w:ascii="Times New Roman" w:hAnsi="Times New Roman"/>
                <w:sz w:val="24"/>
              </w:rPr>
              <w:t>raštinės dalies 5 skyriaus 4 skirsniu.</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VISŲ KAINŲ RIZIKOS KAPITALO POREIKIO KOEFICIENTAS CTP</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APATINĖ RIBA</w:t>
            </w:r>
          </w:p>
          <w:p w:rsidR="000B0B09" w:rsidRPr="00392FFD" w:rsidRDefault="000B0B09" w:rsidP="000B0B09">
            <w:pPr>
              <w:rPr>
                <w:rFonts w:ascii="Times New Roman" w:hAnsi="Times New Roman"/>
                <w:sz w:val="24"/>
              </w:rPr>
            </w:pPr>
            <w:r>
              <w:rPr>
                <w:rFonts w:ascii="Times New Roman" w:hAnsi="Times New Roman"/>
                <w:sz w:val="24"/>
              </w:rPr>
              <w:t>KRR 364 straipsnio 3 dalies c punktas.</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kapitalo poreikio koeficiento, kuris būtų apskaičiuojamas pagal KRR 338 straipsnio 1 dalį visoms pozicijoms, kurioms taikomas kapitalo poreikio „visiems kainų rizikos veiksniams“ koeficientas.</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SAVAIČIŲ MATO VIDURKIS IR PASKUTINIS MATAS</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364 straipsnio 3 dalies b punktas.</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PASKUTINIS MATAS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364 straipsnio 3 dalies a punktas.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Kaip nurodyta KRR 364 straipsnyje, atsižvelgiama į visus rizikos veiksnius ir koreliacijos poveikį, jei taikoma, taip pat į papildomą įsipareigojimų neįvy</w:t>
            </w:r>
            <w:r>
              <w:rPr>
                <w:rFonts w:ascii="Times New Roman" w:hAnsi="Times New Roman"/>
                <w:sz w:val="24"/>
              </w:rPr>
              <w:t>k</w:t>
            </w:r>
            <w:r>
              <w:rPr>
                <w:rFonts w:ascii="Times New Roman" w:hAnsi="Times New Roman"/>
                <w:sz w:val="24"/>
              </w:rPr>
              <w:t>dymo ir pokyčių riziką, visus kainų rizikos veiksnius pagal CTP, bet neįska</w:t>
            </w:r>
            <w:r>
              <w:rPr>
                <w:rFonts w:ascii="Times New Roman" w:hAnsi="Times New Roman"/>
                <w:sz w:val="24"/>
              </w:rPr>
              <w:t>i</w:t>
            </w:r>
            <w:r>
              <w:rPr>
                <w:rFonts w:ascii="Times New Roman" w:hAnsi="Times New Roman"/>
                <w:sz w:val="24"/>
              </w:rPr>
              <w:t xml:space="preserve">tomi pakeitimo vertybiniais popieriais kapitalo poreikio koeficientai, taikomi pakeitimui vertybiniais popieriais ir n-tojo įsipareigojimų neįvykdymo kredito išvestinei finansinei priemonei pagal KRR 364 straipsnio 2 dalį.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KRR 92 straipsnio 4 dalies b punktas. Rezultatas, gautas nuosavų lėšų reikal</w:t>
            </w:r>
            <w:r>
              <w:rPr>
                <w:rFonts w:ascii="Times New Roman" w:hAnsi="Times New Roman"/>
                <w:sz w:val="24"/>
              </w:rPr>
              <w:t>a</w:t>
            </w:r>
            <w:r>
              <w:rPr>
                <w:rFonts w:ascii="Times New Roman" w:hAnsi="Times New Roman"/>
                <w:sz w:val="24"/>
              </w:rPr>
              <w:lastRenderedPageBreak/>
              <w:t>vimus padauginus iš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Nukrypimų skaičius (per 250 praėjusių darbo dienų)</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Kaip nurodyta KRR 366 straipsnyje.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Nurodomas nukrypimų, kuriais remiantis nustatomas padidėjimo koeficientas, skaičius.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multiplikatoriaus koeficientas (mc) ir SVaR multiplikatoriaus koef</w:t>
            </w:r>
            <w:r>
              <w:rPr>
                <w:rFonts w:ascii="Times New Roman" w:hAnsi="Times New Roman"/>
                <w:b/>
                <w:sz w:val="24"/>
                <w:u w:val="single"/>
              </w:rPr>
              <w:t>i</w:t>
            </w:r>
            <w:r>
              <w:rPr>
                <w:rFonts w:ascii="Times New Roman" w:hAnsi="Times New Roman"/>
                <w:b/>
                <w:sz w:val="24"/>
                <w:u w:val="single"/>
              </w:rPr>
              <w:t>cientas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Kaip nurodyta KRR 366 straipsnyje.</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NUMANOMAS KAPITALO POREIKIS APATINEI CTP RIBAI: ĮVE</w:t>
            </w:r>
            <w:r>
              <w:rPr>
                <w:rFonts w:ascii="Times New Roman" w:hAnsi="Times New Roman"/>
                <w:b/>
                <w:sz w:val="24"/>
                <w:u w:val="single"/>
              </w:rPr>
              <w:t>R</w:t>
            </w:r>
            <w:r>
              <w:rPr>
                <w:rFonts w:ascii="Times New Roman" w:hAnsi="Times New Roman"/>
                <w:b/>
                <w:sz w:val="24"/>
                <w:u w:val="single"/>
              </w:rPr>
              <w:t>TINTOS GRYNOSIOS ILGOSIOS / TRUMPOSIOS POZICIJOS PR</w:t>
            </w:r>
            <w:r>
              <w:rPr>
                <w:rFonts w:ascii="Times New Roman" w:hAnsi="Times New Roman"/>
                <w:b/>
                <w:sz w:val="24"/>
                <w:u w:val="single"/>
              </w:rPr>
              <w:t>I</w:t>
            </w:r>
            <w:r>
              <w:rPr>
                <w:rFonts w:ascii="Times New Roman" w:hAnsi="Times New Roman"/>
                <w:b/>
                <w:sz w:val="24"/>
                <w:u w:val="single"/>
              </w:rPr>
              <w:t>TAIKIUS APRIBOJIMĄ</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Nurodant sumas, naudojamas apatinei kapitalo poreikio koeficiento ribai nust</w:t>
            </w:r>
            <w:r>
              <w:rPr>
                <w:rFonts w:ascii="Times New Roman" w:hAnsi="Times New Roman"/>
                <w:sz w:val="24"/>
              </w:rPr>
              <w:t>a</w:t>
            </w:r>
            <w:r>
              <w:rPr>
                <w:rFonts w:ascii="Times New Roman" w:hAnsi="Times New Roman"/>
                <w:sz w:val="24"/>
              </w:rPr>
              <w:t>tyti visiems kainų rizikos veiksniams pagal KRR 364 straipsnio 3 dalies c punktą, atsižvelgiama į pasirinkimo galimybę, numatytą KRR 335 straipsnyje, kuriame nurodoma, kad įstaiga gali apriboti vertinimo rezultatą ir grynąją poz</w:t>
            </w:r>
            <w:r>
              <w:rPr>
                <w:rFonts w:ascii="Times New Roman" w:hAnsi="Times New Roman"/>
                <w:sz w:val="24"/>
              </w:rPr>
              <w:t>i</w:t>
            </w:r>
            <w:r>
              <w:rPr>
                <w:rFonts w:ascii="Times New Roman" w:hAnsi="Times New Roman"/>
                <w:sz w:val="24"/>
              </w:rPr>
              <w:t>ciją didžiausio galimo nuostolio, susijusio su įsipareigojimų neįvykdymu, s</w:t>
            </w:r>
            <w:r>
              <w:rPr>
                <w:rFonts w:ascii="Times New Roman" w:hAnsi="Times New Roman"/>
                <w:sz w:val="24"/>
              </w:rPr>
              <w:t>u</w:t>
            </w:r>
            <w:r>
              <w:rPr>
                <w:rFonts w:ascii="Times New Roman" w:hAnsi="Times New Roman"/>
                <w:sz w:val="24"/>
              </w:rPr>
              <w:t xml:space="preserve">ma.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POZICIJŲ SUMA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Atitinka pozicijos, užsienio valiutos kurso ir biržos prekių kainos rizikos, nur</w:t>
            </w:r>
            <w:r>
              <w:rPr>
                <w:rFonts w:ascii="Times New Roman" w:hAnsi="Times New Roman"/>
                <w:sz w:val="24"/>
              </w:rPr>
              <w:t>o</w:t>
            </w:r>
            <w:r>
              <w:rPr>
                <w:rFonts w:ascii="Times New Roman" w:hAnsi="Times New Roman"/>
                <w:sz w:val="24"/>
              </w:rPr>
              <w:t>dytų KRR 363 straipsnio 1 dalyje, dalį, susijusią su rizikos veiksniais, nurod</w:t>
            </w:r>
            <w:r>
              <w:rPr>
                <w:rFonts w:ascii="Times New Roman" w:hAnsi="Times New Roman"/>
                <w:sz w:val="24"/>
              </w:rPr>
              <w:t>y</w:t>
            </w:r>
            <w:r>
              <w:rPr>
                <w:rFonts w:ascii="Times New Roman" w:hAnsi="Times New Roman"/>
                <w:sz w:val="24"/>
              </w:rPr>
              <w:t xml:space="preserve">tais KRR 367 straipsnio 2 dalyje.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030–060 (VAR ir VAR nepalankiausiomis sąlygomis) skiltyse bendrų sumų e</w:t>
            </w:r>
            <w:r>
              <w:rPr>
                <w:rFonts w:ascii="Times New Roman" w:hAnsi="Times New Roman"/>
                <w:sz w:val="24"/>
              </w:rPr>
              <w:t>i</w:t>
            </w:r>
            <w:r>
              <w:rPr>
                <w:rFonts w:ascii="Times New Roman" w:hAnsi="Times New Roman"/>
                <w:sz w:val="24"/>
              </w:rPr>
              <w:t>lutėje nurodytos reikšmės nėra lygios išskaidytoms atitinkamų rizikos komp</w:t>
            </w:r>
            <w:r>
              <w:rPr>
                <w:rFonts w:ascii="Times New Roman" w:hAnsi="Times New Roman"/>
                <w:sz w:val="24"/>
              </w:rPr>
              <w:t>o</w:t>
            </w:r>
            <w:r>
              <w:rPr>
                <w:rFonts w:ascii="Times New Roman" w:hAnsi="Times New Roman"/>
                <w:sz w:val="24"/>
              </w:rPr>
              <w:t xml:space="preserve">nentų VAR / VAR nepalankiausiomis sąlygomis reikšmėms. Taigi išskaidymas nurodomas papildomuose straipsniuose.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KRR 363 straipsnio 1 dalyje nurodytos pozicijos rizikos dalis, susijusi su pal</w:t>
            </w:r>
            <w:r>
              <w:rPr>
                <w:rFonts w:ascii="Times New Roman" w:hAnsi="Times New Roman"/>
                <w:sz w:val="24"/>
              </w:rPr>
              <w:t>ū</w:t>
            </w:r>
            <w:r>
              <w:rPr>
                <w:rFonts w:ascii="Times New Roman" w:hAnsi="Times New Roman"/>
                <w:sz w:val="24"/>
              </w:rPr>
              <w:t xml:space="preserve">kanų normos rizikos veiksniais, kaip nurodyta KRR 367 straipsnio 2 dalyje.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 BENDROJI R</w:t>
            </w:r>
            <w:r>
              <w:rPr>
                <w:rFonts w:ascii="Times New Roman" w:hAnsi="Times New Roman"/>
                <w:b/>
                <w:sz w:val="24"/>
                <w:u w:val="single"/>
              </w:rPr>
              <w:t>I</w:t>
            </w:r>
            <w:r>
              <w:rPr>
                <w:rFonts w:ascii="Times New Roman" w:hAnsi="Times New Roman"/>
                <w:b/>
                <w:sz w:val="24"/>
                <w:u w:val="single"/>
              </w:rPr>
              <w:t>ZIKA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Bendroji rizika, apibrėžta KRR 362 straipsnyje.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 SPECIFINĖ R</w:t>
            </w:r>
            <w:r>
              <w:rPr>
                <w:rFonts w:ascii="Times New Roman" w:hAnsi="Times New Roman"/>
                <w:b/>
                <w:sz w:val="24"/>
                <w:u w:val="single"/>
              </w:rPr>
              <w:t>I</w:t>
            </w:r>
            <w:r>
              <w:rPr>
                <w:rFonts w:ascii="Times New Roman" w:hAnsi="Times New Roman"/>
                <w:b/>
                <w:sz w:val="24"/>
                <w:u w:val="single"/>
              </w:rPr>
              <w:t>ZIKA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 xml:space="preserve">Specifinė rizika, apibrėžta KRR 362 straipsnyje.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KRR 363 straipsnio 1 dalyje nurodytos pozicijos rizikos dalis, susijusi su nu</w:t>
            </w:r>
            <w:r>
              <w:rPr>
                <w:rFonts w:ascii="Times New Roman" w:hAnsi="Times New Roman"/>
                <w:sz w:val="24"/>
              </w:rPr>
              <w:t>o</w:t>
            </w:r>
            <w:r>
              <w:rPr>
                <w:rFonts w:ascii="Times New Roman" w:hAnsi="Times New Roman"/>
                <w:sz w:val="24"/>
              </w:rPr>
              <w:t>savybės vertybinių popierių rizikos veiksniais, kaip nurodyta KRR 367 straip</w:t>
            </w:r>
            <w:r>
              <w:rPr>
                <w:rFonts w:ascii="Times New Roman" w:hAnsi="Times New Roman"/>
                <w:sz w:val="24"/>
              </w:rPr>
              <w:t>s</w:t>
            </w:r>
            <w:r>
              <w:rPr>
                <w:rFonts w:ascii="Times New Roman" w:hAnsi="Times New Roman"/>
                <w:sz w:val="24"/>
              </w:rPr>
              <w:t xml:space="preserve">nio 2 dalyje.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BENDROJI RIZIKA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Bendroji rizika, apibrėžta KRR 362 straipsnyje.</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SPECIFINĖ RIZIKA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Specifinė rizika, apibrėžta KRR 362 straipsnyje.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UŽSIENIO VALIUTOS KURSO RIZIKA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KRR 363 straipsnio 1 dalis ir 367 straipsnio 2 dalis.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BIRŽOS PREKIŲ KAINOS RIZIKA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KRR 363 straipsnio 1 dalis ir 367 straipsnio 2 dalis.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BENDROSIOS RIZIKOS SUMA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Rinkos rizika, kurią sukelia skolos priemonių, kuriomis prekiaujama, nuosav</w:t>
            </w:r>
            <w:r>
              <w:rPr>
                <w:rStyle w:val="InstructionsTabelleText"/>
                <w:rFonts w:ascii="Times New Roman" w:hAnsi="Times New Roman"/>
                <w:sz w:val="24"/>
              </w:rPr>
              <w:t>y</w:t>
            </w:r>
            <w:r>
              <w:rPr>
                <w:rStyle w:val="InstructionsTabelleText"/>
                <w:rFonts w:ascii="Times New Roman" w:hAnsi="Times New Roman"/>
                <w:sz w:val="24"/>
              </w:rPr>
              <w:t xml:space="preserve">bės vertybinių popierių, užsienio valiutos kurso ir biržos prekių kainų bendra dinamika rinkoje. Bendrosios rizikos VAR, susijusi su visais rizikos veiksniais (jei taikoma, atsižvelgiant į koreliacijos poveikį).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SPECIFINĖS RIZIKOS SUMA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Skolos priemonių, kuriomis prekiaujama, ir nuosavybės vertybinių popierių specifinės rizikos sudedamoji dalis. Prekybos knygos nuosavybės vertybinių popierių ir skolos priemonių, kuriomis prekiaujama, specifinės rizikos VAR (jei taikoma, atsižvelgiant į koreliacijos poveikį).</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4010112"/>
      <w:r>
        <w:rPr>
          <w:rFonts w:ascii="Times New Roman" w:hAnsi="Times New Roman"/>
          <w:sz w:val="24"/>
          <w:u w:val="none"/>
        </w:rPr>
        <w:t>5.8.</w:t>
      </w:r>
      <w:r>
        <w:tab/>
      </w:r>
      <w:r>
        <w:rPr>
          <w:rFonts w:ascii="Times New Roman" w:hAnsi="Times New Roman"/>
          <w:sz w:val="24"/>
        </w:rPr>
        <w:t>C 25.00. KREDITO VERTINIMO KOREGAVIMO RIZIKA</w:t>
      </w:r>
      <w:bookmarkEnd w:id="766"/>
      <w:r>
        <w:rPr>
          <w:rFonts w:ascii="Times New Roman" w:hAnsi="Times New Roman"/>
          <w:sz w:val="24"/>
        </w:rPr>
        <w:t xml:space="preserve"> (CVA)</w:t>
      </w:r>
      <w:bookmarkEnd w:id="767"/>
      <w:bookmarkEnd w:id="768"/>
      <w:bookmarkEnd w:id="76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310008820"/>
      <w:bookmarkStart w:id="774" w:name="_Toc524010113"/>
      <w:r>
        <w:rPr>
          <w:rFonts w:ascii="Times New Roman" w:hAnsi="Times New Roman"/>
          <w:sz w:val="24"/>
          <w:u w:val="none"/>
        </w:rPr>
        <w:t>5.8.1.</w:t>
      </w:r>
      <w:r>
        <w:tab/>
      </w:r>
      <w:r>
        <w:rPr>
          <w:rFonts w:ascii="Times New Roman" w:hAnsi="Times New Roman"/>
          <w:sz w:val="24"/>
        </w:rPr>
        <w:t>Nurodymai dėl konkrečių pozicijų</w:t>
      </w:r>
      <w:bookmarkEnd w:id="770"/>
      <w:bookmarkEnd w:id="771"/>
      <w:bookmarkEnd w:id="772"/>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Skiltys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Pozicijos vertė </w:t>
            </w:r>
          </w:p>
          <w:p w:rsidR="000B0B09" w:rsidRPr="00392FFD" w:rsidRDefault="000B0B09" w:rsidP="000B0B09">
            <w:pPr>
              <w:rPr>
                <w:rFonts w:ascii="Times New Roman" w:hAnsi="Times New Roman"/>
                <w:sz w:val="24"/>
              </w:rPr>
            </w:pPr>
            <w:r>
              <w:rPr>
                <w:rFonts w:ascii="Times New Roman" w:hAnsi="Times New Roman"/>
                <w:sz w:val="24"/>
              </w:rPr>
              <w:t>KRR 271 straipsnis pagal KRR 382 straipsnį.</w:t>
            </w:r>
          </w:p>
          <w:p w:rsidR="000B0B09" w:rsidRPr="00392FFD" w:rsidRDefault="000B0B09" w:rsidP="000B0B09">
            <w:pPr>
              <w:rPr>
                <w:rFonts w:ascii="Times New Roman" w:hAnsi="Times New Roman"/>
                <w:sz w:val="24"/>
              </w:rPr>
            </w:pPr>
            <w:r>
              <w:rPr>
                <w:rFonts w:ascii="Times New Roman" w:hAnsi="Times New Roman"/>
                <w:sz w:val="24"/>
              </w:rPr>
              <w:t xml:space="preserve">Bendra pozicijos esant įsipareigojimų neįvykdymui suma pagal visus sandorius, kuriems taikomas kapitalo poreikio CVA rizikai koeficientas.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Iš jos: ne biržos išvestinės finansinės priemonės </w:t>
            </w:r>
          </w:p>
          <w:p w:rsidR="000B0B09" w:rsidRPr="00392FFD" w:rsidRDefault="000B0B09" w:rsidP="000B0B09">
            <w:pPr>
              <w:rPr>
                <w:rFonts w:ascii="Times New Roman" w:hAnsi="Times New Roman"/>
                <w:sz w:val="24"/>
              </w:rPr>
            </w:pPr>
            <w:r>
              <w:rPr>
                <w:rFonts w:ascii="Times New Roman" w:hAnsi="Times New Roman"/>
                <w:sz w:val="24"/>
              </w:rPr>
              <w:t>KRR 271 straipsnis pagal KRR 382 straipsnio 1 dalį.</w:t>
            </w:r>
          </w:p>
          <w:p w:rsidR="000B0B09" w:rsidRPr="00392FFD" w:rsidRDefault="000B0B09" w:rsidP="000B0B09">
            <w:pPr>
              <w:rPr>
                <w:rFonts w:ascii="Times New Roman" w:hAnsi="Times New Roman"/>
                <w:sz w:val="24"/>
              </w:rPr>
            </w:pPr>
            <w:r>
              <w:rPr>
                <w:rFonts w:ascii="Times New Roman" w:hAnsi="Times New Roman"/>
                <w:sz w:val="24"/>
              </w:rPr>
              <w:t xml:space="preserve">Bendros sandorio šalies kredito rizikos pozicijos dalis, susijusi tik su ne biržos </w:t>
            </w:r>
            <w:r>
              <w:rPr>
                <w:rFonts w:ascii="Times New Roman" w:hAnsi="Times New Roman"/>
                <w:sz w:val="24"/>
              </w:rPr>
              <w:lastRenderedPageBreak/>
              <w:t>išvestinėmis finansinėmis priemonėmis. IMM taikančios įstaigos, turinčios ne biržos išvestinių finansinių priemonių ir vertybinių popierių įsigijimo finansav</w:t>
            </w:r>
            <w:r>
              <w:rPr>
                <w:rFonts w:ascii="Times New Roman" w:hAnsi="Times New Roman"/>
                <w:sz w:val="24"/>
              </w:rPr>
              <w:t>i</w:t>
            </w:r>
            <w:r>
              <w:rPr>
                <w:rFonts w:ascii="Times New Roman" w:hAnsi="Times New Roman"/>
                <w:sz w:val="24"/>
              </w:rPr>
              <w:t>mo sandorių, priklausančių tai pačiai užskaitos grupei, šios informacijos nepr</w:t>
            </w:r>
            <w:r>
              <w:rPr>
                <w:rFonts w:ascii="Times New Roman" w:hAnsi="Times New Roman"/>
                <w:sz w:val="24"/>
              </w:rPr>
              <w:t>i</w:t>
            </w:r>
            <w:r>
              <w:rPr>
                <w:rFonts w:ascii="Times New Roman" w:hAnsi="Times New Roman"/>
                <w:sz w:val="24"/>
              </w:rPr>
              <w:t>valo teikti.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Iš jos: vertybinių popierių įsigijimo finansavimo sandoriai </w:t>
            </w:r>
          </w:p>
          <w:p w:rsidR="000B0B09" w:rsidRPr="00392FFD" w:rsidRDefault="000B0B09" w:rsidP="000B0B09">
            <w:pPr>
              <w:rPr>
                <w:rFonts w:ascii="Times New Roman" w:hAnsi="Times New Roman"/>
                <w:sz w:val="24"/>
              </w:rPr>
            </w:pPr>
            <w:r>
              <w:rPr>
                <w:rFonts w:ascii="Times New Roman" w:hAnsi="Times New Roman"/>
                <w:sz w:val="24"/>
              </w:rPr>
              <w:t>KRR 271 straipsnis pagal KRR 382 straipsnio 2 dalį.</w:t>
            </w:r>
          </w:p>
          <w:p w:rsidR="000B0B09" w:rsidRPr="00392FFD" w:rsidRDefault="000B0B09" w:rsidP="000B0B09">
            <w:pPr>
              <w:rPr>
                <w:rFonts w:ascii="Times New Roman" w:hAnsi="Times New Roman"/>
                <w:sz w:val="24"/>
              </w:rPr>
            </w:pPr>
            <w:r>
              <w:rPr>
                <w:rFonts w:ascii="Times New Roman" w:hAnsi="Times New Roman"/>
                <w:sz w:val="24"/>
              </w:rPr>
              <w:t>Bendros sandorio šalies kredito rizikos pozicijos dalis, susijusi tik su VPĮFS i</w:t>
            </w:r>
            <w:r>
              <w:rPr>
                <w:rFonts w:ascii="Times New Roman" w:hAnsi="Times New Roman"/>
                <w:sz w:val="24"/>
              </w:rPr>
              <w:t>š</w:t>
            </w:r>
            <w:r>
              <w:rPr>
                <w:rFonts w:ascii="Times New Roman" w:hAnsi="Times New Roman"/>
                <w:sz w:val="24"/>
              </w:rPr>
              <w:t>vestinėmis finansinėmis priemonėmis. IMM taikančios įstaigos, turinčios ne bi</w:t>
            </w:r>
            <w:r>
              <w:rPr>
                <w:rFonts w:ascii="Times New Roman" w:hAnsi="Times New Roman"/>
                <w:sz w:val="24"/>
              </w:rPr>
              <w:t>r</w:t>
            </w:r>
            <w:r>
              <w:rPr>
                <w:rFonts w:ascii="Times New Roman" w:hAnsi="Times New Roman"/>
                <w:sz w:val="24"/>
              </w:rPr>
              <w:t>žos išvestinių finansinių priemonių ir vertybinių popierių įsigijimo finansavimo sandorių, priklausančių tai pačiai užskaitos grupei, šios informacijos neprivalo teikti.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MULTIPLIKATORIAUS KOEFICIENTAS (mc) x PRAĖJUSIŲ 60 DA</w:t>
            </w:r>
            <w:r>
              <w:rPr>
                <w:rFonts w:ascii="Times New Roman" w:hAnsi="Times New Roman"/>
                <w:b/>
                <w:sz w:val="24"/>
                <w:u w:val="single"/>
              </w:rPr>
              <w:t>R</w:t>
            </w:r>
            <w:r>
              <w:rPr>
                <w:rFonts w:ascii="Times New Roman" w:hAnsi="Times New Roman"/>
                <w:b/>
                <w:sz w:val="24"/>
                <w:u w:val="single"/>
              </w:rPr>
              <w:t>BO DIENŲ VIDURKIS (VaRavg)</w:t>
            </w:r>
          </w:p>
          <w:p w:rsidR="000B0B09" w:rsidRPr="00392FFD" w:rsidRDefault="000B0B09" w:rsidP="000B0B09">
            <w:pPr>
              <w:rPr>
                <w:rFonts w:ascii="Times New Roman" w:hAnsi="Times New Roman"/>
                <w:sz w:val="24"/>
              </w:rPr>
            </w:pPr>
            <w:r>
              <w:rPr>
                <w:rFonts w:ascii="Times New Roman" w:hAnsi="Times New Roman"/>
                <w:sz w:val="24"/>
              </w:rPr>
              <w:t>KRR 383 straipsnis pagal KRR 363 straipsnio 1 dalies d punktą.</w:t>
            </w:r>
          </w:p>
          <w:p w:rsidR="000B0B09" w:rsidRPr="00392FFD" w:rsidRDefault="000B0B09" w:rsidP="000B0B09">
            <w:pPr>
              <w:rPr>
                <w:rFonts w:ascii="Times New Roman" w:hAnsi="Times New Roman"/>
                <w:sz w:val="24"/>
              </w:rPr>
            </w:pPr>
            <w:r>
              <w:rPr>
                <w:rFonts w:ascii="Times New Roman" w:hAnsi="Times New Roman"/>
                <w:sz w:val="24"/>
              </w:rPr>
              <w:t xml:space="preserve">VaR skaičiavimas remiantis rinkos rizikos vidaus modeliais.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PRAĖJUSIOS DIENOS (VaRt−1)</w:t>
            </w:r>
          </w:p>
          <w:p w:rsidR="000B0B09" w:rsidRPr="00392FFD" w:rsidRDefault="000B0B09" w:rsidP="000B0B09">
            <w:pPr>
              <w:rPr>
                <w:rFonts w:ascii="Times New Roman" w:hAnsi="Times New Roman"/>
                <w:sz w:val="24"/>
              </w:rPr>
            </w:pPr>
            <w:r>
              <w:rPr>
                <w:rFonts w:ascii="Times New Roman" w:hAnsi="Times New Roman"/>
                <w:sz w:val="24"/>
              </w:rPr>
              <w:t>Žr. nurodymus dėl 040 skilties.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MULTIPLIKATORIAUS KOEFICIENTAS (mc) x PRAĖJUSIŲ 60 DA</w:t>
            </w:r>
            <w:r>
              <w:rPr>
                <w:rFonts w:ascii="Times New Roman" w:hAnsi="Times New Roman"/>
                <w:b/>
                <w:sz w:val="24"/>
                <w:u w:val="single"/>
              </w:rPr>
              <w:t>R</w:t>
            </w:r>
            <w:r>
              <w:rPr>
                <w:rFonts w:ascii="Times New Roman" w:hAnsi="Times New Roman"/>
                <w:b/>
                <w:sz w:val="24"/>
                <w:u w:val="single"/>
              </w:rPr>
              <w:t>BO DIENŲ VIDURKIS (SVaRavg)</w:t>
            </w:r>
          </w:p>
          <w:p w:rsidR="000B0B09" w:rsidRPr="00392FFD" w:rsidRDefault="000B0B09" w:rsidP="000B0B09">
            <w:pPr>
              <w:rPr>
                <w:rFonts w:ascii="Times New Roman" w:hAnsi="Times New Roman"/>
                <w:sz w:val="24"/>
              </w:rPr>
            </w:pPr>
            <w:r>
              <w:rPr>
                <w:rFonts w:ascii="Times New Roman" w:hAnsi="Times New Roman"/>
                <w:sz w:val="24"/>
              </w:rPr>
              <w:t>Žr. nurodymus dėl 040 skilties.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PASKUTINIS TURIMAS MATAS (SVaRt−1)</w:t>
            </w:r>
          </w:p>
          <w:p w:rsidR="000B0B09" w:rsidRPr="00392FFD" w:rsidRDefault="000B0B09" w:rsidP="000B0B09">
            <w:pPr>
              <w:rPr>
                <w:rFonts w:ascii="Times New Roman" w:hAnsi="Times New Roman"/>
                <w:b/>
                <w:sz w:val="24"/>
                <w:u w:val="single"/>
              </w:rPr>
            </w:pPr>
            <w:r>
              <w:rPr>
                <w:rFonts w:ascii="Times New Roman" w:hAnsi="Times New Roman"/>
                <w:sz w:val="24"/>
              </w:rPr>
              <w:t>Žr. nurodymus dėl 040 skilties.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NUOSAVŲ LĖŠŲ REIKALAVIMAI</w:t>
            </w:r>
          </w:p>
          <w:p w:rsidR="000B0B09" w:rsidRPr="00392FFD" w:rsidRDefault="000B0B09" w:rsidP="000B0B09">
            <w:pPr>
              <w:rPr>
                <w:rFonts w:ascii="Times New Roman" w:hAnsi="Times New Roman"/>
                <w:sz w:val="24"/>
              </w:rPr>
            </w:pPr>
            <w:r>
              <w:rPr>
                <w:rFonts w:ascii="Times New Roman" w:hAnsi="Times New Roman"/>
                <w:sz w:val="24"/>
              </w:rPr>
              <w:t>KRR 92 straipsnio 3 dalies d punktas.</w:t>
            </w:r>
          </w:p>
          <w:p w:rsidR="000B0B09" w:rsidRPr="00392FFD" w:rsidRDefault="000B0B09" w:rsidP="000B0B09">
            <w:pPr>
              <w:rPr>
                <w:rFonts w:ascii="Times New Roman" w:hAnsi="Times New Roman"/>
                <w:sz w:val="24"/>
              </w:rPr>
            </w:pPr>
            <w:r>
              <w:rPr>
                <w:rFonts w:ascii="Times New Roman" w:hAnsi="Times New Roman"/>
                <w:sz w:val="24"/>
              </w:rPr>
              <w:t>Pagal pasirinktą metodą apskaičiuoti nuosavų lėšų reikalavimai CVA rizikai p</w:t>
            </w:r>
            <w:r>
              <w:rPr>
                <w:rFonts w:ascii="Times New Roman" w:hAnsi="Times New Roman"/>
                <w:sz w:val="24"/>
              </w:rPr>
              <w:t>a</w:t>
            </w:r>
            <w:r>
              <w:rPr>
                <w:rFonts w:ascii="Times New Roman" w:hAnsi="Times New Roman"/>
                <w:sz w:val="24"/>
              </w:rPr>
              <w:t xml:space="preserve">dengti.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BENDRA RIZIKOS POZICIJOS SUMA</w:t>
            </w:r>
          </w:p>
          <w:p w:rsidR="000B0B09" w:rsidRPr="00392FFD" w:rsidRDefault="000B0B09" w:rsidP="000B0B09">
            <w:pPr>
              <w:rPr>
                <w:rFonts w:ascii="Times New Roman" w:hAnsi="Times New Roman"/>
                <w:sz w:val="24"/>
              </w:rPr>
            </w:pPr>
            <w:r>
              <w:rPr>
                <w:rFonts w:ascii="Times New Roman" w:hAnsi="Times New Roman"/>
                <w:sz w:val="24"/>
              </w:rPr>
              <w:t>KRR 92 straipsnio 4 dalies b punktas.</w:t>
            </w:r>
          </w:p>
          <w:p w:rsidR="000B0B09" w:rsidRPr="00392FFD" w:rsidRDefault="000B0B09" w:rsidP="000B0B09">
            <w:pPr>
              <w:rPr>
                <w:rFonts w:ascii="Times New Roman" w:hAnsi="Times New Roman"/>
                <w:sz w:val="24"/>
              </w:rPr>
            </w:pPr>
            <w:r>
              <w:rPr>
                <w:rFonts w:ascii="Times New Roman" w:hAnsi="Times New Roman"/>
                <w:sz w:val="24"/>
              </w:rPr>
              <w:t>Reikšmė, gauta nuosavų lėšų reikalavimus padauginus iš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Papildomi straipsniai</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Sandorio šalių skaičius</w:t>
            </w:r>
          </w:p>
          <w:p w:rsidR="000B0B09" w:rsidRPr="00392FFD" w:rsidRDefault="000B0B09" w:rsidP="000B0B09">
            <w:pPr>
              <w:rPr>
                <w:rFonts w:ascii="Times New Roman" w:hAnsi="Times New Roman"/>
                <w:sz w:val="24"/>
              </w:rPr>
            </w:pPr>
            <w:r>
              <w:rPr>
                <w:rFonts w:ascii="Times New Roman" w:hAnsi="Times New Roman"/>
                <w:sz w:val="24"/>
              </w:rPr>
              <w:t>KRR 382 straipsnis.</w:t>
            </w:r>
          </w:p>
          <w:p w:rsidR="000B0B09" w:rsidRPr="00392FFD" w:rsidRDefault="000B0B09" w:rsidP="000B0B09">
            <w:pPr>
              <w:rPr>
                <w:rFonts w:ascii="Times New Roman" w:hAnsi="Times New Roman"/>
                <w:sz w:val="24"/>
              </w:rPr>
            </w:pPr>
            <w:r>
              <w:rPr>
                <w:rFonts w:ascii="Times New Roman" w:hAnsi="Times New Roman"/>
                <w:sz w:val="24"/>
              </w:rPr>
              <w:t>Sandorių šalių, įtrauktų apskaičiuojant nuosavas lėšas CVA rizikai padengti, skaičius.</w:t>
            </w:r>
          </w:p>
          <w:p w:rsidR="000B0B09" w:rsidRPr="00392FFD" w:rsidRDefault="000B0B09" w:rsidP="000B0B09">
            <w:pPr>
              <w:rPr>
                <w:rFonts w:ascii="Times New Roman" w:hAnsi="Times New Roman"/>
                <w:sz w:val="24"/>
              </w:rPr>
            </w:pPr>
            <w:r>
              <w:rPr>
                <w:rFonts w:ascii="Times New Roman" w:hAnsi="Times New Roman"/>
                <w:sz w:val="24"/>
              </w:rPr>
              <w:t>Sandorio šalys yra viena iš įsipareigojančiųjų asmenų grupių. Jų būna tik išve</w:t>
            </w:r>
            <w:r>
              <w:rPr>
                <w:rFonts w:ascii="Times New Roman" w:hAnsi="Times New Roman"/>
                <w:sz w:val="24"/>
              </w:rPr>
              <w:t>s</w:t>
            </w:r>
            <w:r>
              <w:rPr>
                <w:rFonts w:ascii="Times New Roman" w:hAnsi="Times New Roman"/>
                <w:sz w:val="24"/>
              </w:rPr>
              <w:t>tinių finansinių priemonių sandorių arba vertybinių popierių įsigijimo finans</w:t>
            </w:r>
            <w:r>
              <w:rPr>
                <w:rFonts w:ascii="Times New Roman" w:hAnsi="Times New Roman"/>
                <w:sz w:val="24"/>
              </w:rPr>
              <w:t>a</w:t>
            </w:r>
            <w:r>
              <w:rPr>
                <w:rFonts w:ascii="Times New Roman" w:hAnsi="Times New Roman"/>
                <w:sz w:val="24"/>
              </w:rPr>
              <w:lastRenderedPageBreak/>
              <w:t xml:space="preserve">vimo sandorių atvejais – tais atvejais paprastai tai yra kita sutarties šalis.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Iš jo: kai kredito kainų skirtumui nustatyti buvo naudojama pakaitinė reikšmė</w:t>
            </w:r>
          </w:p>
          <w:p w:rsidR="000B0B09" w:rsidRPr="00321A3B" w:rsidRDefault="000B0B09" w:rsidP="000B0B09">
            <w:pPr>
              <w:rPr>
                <w:rFonts w:ascii="Times New Roman" w:hAnsi="Times New Roman"/>
                <w:sz w:val="24"/>
              </w:rPr>
            </w:pPr>
            <w:r>
              <w:rPr>
                <w:rFonts w:ascii="Times New Roman" w:hAnsi="Times New Roman"/>
                <w:sz w:val="24"/>
              </w:rPr>
              <w:t>Sandorio šalių skaičius, kai kredito kainų skirtumui nustatyti vietoj tiesiogiai stebimų rinkos duomenų buvo naudojama pakaitinė reikšmė.</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PATIRIAMAS CVA</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Pagal apskaitos nuostatas dėl sumažėjusio išvestinių finansinių priemonių šalių kreditingumo.</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VIENO PAVADINIMO CDS</w:t>
            </w:r>
          </w:p>
          <w:p w:rsidR="000B0B09" w:rsidRPr="00392FFD" w:rsidRDefault="000B0B09" w:rsidP="000B0B09">
            <w:pPr>
              <w:rPr>
                <w:rFonts w:ascii="Times New Roman" w:hAnsi="Times New Roman"/>
                <w:sz w:val="24"/>
              </w:rPr>
            </w:pPr>
            <w:r>
              <w:rPr>
                <w:rFonts w:ascii="Times New Roman" w:hAnsi="Times New Roman"/>
                <w:sz w:val="24"/>
              </w:rPr>
              <w:t xml:space="preserve">KRR 386 straipsnio 1 dalies a punktas. </w:t>
            </w:r>
          </w:p>
          <w:p w:rsidR="000B0B09" w:rsidRPr="00392FFD" w:rsidRDefault="000B0B09" w:rsidP="000B0B09">
            <w:pPr>
              <w:rPr>
                <w:rFonts w:ascii="Times New Roman" w:hAnsi="Times New Roman"/>
                <w:sz w:val="24"/>
              </w:rPr>
            </w:pPr>
            <w:r>
              <w:rPr>
                <w:rFonts w:ascii="Times New Roman" w:hAnsi="Times New Roman"/>
                <w:sz w:val="24"/>
              </w:rPr>
              <w:t>Bendra tariamoji vieno pavadinimo CDS, naudojamų kaip CVA rizikos aps</w:t>
            </w:r>
            <w:r>
              <w:rPr>
                <w:rFonts w:ascii="Times New Roman" w:hAnsi="Times New Roman"/>
                <w:sz w:val="24"/>
              </w:rPr>
              <w:t>i</w:t>
            </w:r>
            <w:r>
              <w:rPr>
                <w:rFonts w:ascii="Times New Roman" w:hAnsi="Times New Roman"/>
                <w:sz w:val="24"/>
              </w:rPr>
              <w:t xml:space="preserve">draudimo priemonė, suma.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INDEKSŲ CDS</w:t>
            </w:r>
          </w:p>
          <w:p w:rsidR="000B0B09" w:rsidRPr="00321A3B" w:rsidRDefault="000B0B09" w:rsidP="000B0B09">
            <w:pPr>
              <w:rPr>
                <w:rFonts w:ascii="Times New Roman" w:hAnsi="Times New Roman"/>
                <w:sz w:val="24"/>
              </w:rPr>
            </w:pPr>
            <w:r>
              <w:rPr>
                <w:rFonts w:ascii="Times New Roman" w:hAnsi="Times New Roman"/>
                <w:sz w:val="24"/>
              </w:rPr>
              <w:t>KRR 386 straipsnio 1 dalies b punktas.</w:t>
            </w:r>
          </w:p>
          <w:p w:rsidR="000B0B09" w:rsidRPr="00392FFD" w:rsidRDefault="000B0B09" w:rsidP="000B0B09">
            <w:pPr>
              <w:rPr>
                <w:rFonts w:ascii="Times New Roman" w:hAnsi="Times New Roman"/>
                <w:b/>
                <w:sz w:val="24"/>
                <w:u w:val="single"/>
              </w:rPr>
            </w:pPr>
            <w:r>
              <w:rPr>
                <w:rFonts w:ascii="Times New Roman" w:hAnsi="Times New Roman"/>
                <w:sz w:val="24"/>
              </w:rPr>
              <w:t xml:space="preserve">Bendra tariamoji indeksų CDS, naudojamų kaip CVA rizikos apsidraudimo priemonė, suma.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Eilutės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Bendra CVA rizikos suma</w:t>
            </w:r>
          </w:p>
          <w:p w:rsidR="000B0B09" w:rsidRPr="00392FFD" w:rsidRDefault="000B0B09" w:rsidP="000B0B09">
            <w:pPr>
              <w:rPr>
                <w:rFonts w:ascii="Times New Roman" w:hAnsi="Times New Roman"/>
                <w:bCs/>
                <w:sz w:val="24"/>
              </w:rPr>
            </w:pPr>
            <w:r>
              <w:rPr>
                <w:rFonts w:ascii="Times New Roman" w:hAnsi="Times New Roman"/>
                <w:sz w:val="24"/>
              </w:rPr>
              <w:t>Atitinkama 020–040 eilučių reikšmių suma.</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Pagal pažangųjį metodą</w:t>
            </w:r>
          </w:p>
          <w:p w:rsidR="000B0B09" w:rsidRPr="00392FFD" w:rsidRDefault="000B0B09" w:rsidP="000B0B09">
            <w:pPr>
              <w:rPr>
                <w:rFonts w:ascii="Times New Roman" w:hAnsi="Times New Roman"/>
                <w:bCs/>
                <w:sz w:val="24"/>
              </w:rPr>
            </w:pPr>
            <w:r>
              <w:rPr>
                <w:rFonts w:ascii="Times New Roman" w:hAnsi="Times New Roman"/>
                <w:sz w:val="24"/>
              </w:rPr>
              <w:t xml:space="preserve">Pažangusis CVA rizikos metodas, kaip nurodyta KRR 383 straipsnyje.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Pagal standartizuotą metodą</w:t>
            </w:r>
          </w:p>
          <w:p w:rsidR="000B0B09" w:rsidRPr="00392FFD" w:rsidRDefault="000B0B09" w:rsidP="000B0B09">
            <w:pPr>
              <w:rPr>
                <w:rFonts w:ascii="Times New Roman" w:hAnsi="Times New Roman"/>
                <w:bCs/>
                <w:sz w:val="24"/>
              </w:rPr>
            </w:pPr>
            <w:r>
              <w:rPr>
                <w:rFonts w:ascii="Times New Roman" w:hAnsi="Times New Roman"/>
                <w:sz w:val="24"/>
              </w:rPr>
              <w:t xml:space="preserve">Standartizuotas CVA rizikos metodas, kaip nurodyta KRR 384 straipsnyje.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Grindžiama OEM</w:t>
            </w:r>
          </w:p>
          <w:p w:rsidR="000B0B09" w:rsidRPr="00392FFD" w:rsidRDefault="000B0B09" w:rsidP="00E871FE">
            <w:pPr>
              <w:rPr>
                <w:rFonts w:ascii="Times New Roman" w:hAnsi="Times New Roman"/>
                <w:bCs/>
                <w:sz w:val="24"/>
              </w:rPr>
            </w:pPr>
            <w:r>
              <w:rPr>
                <w:rFonts w:ascii="Times New Roman" w:hAnsi="Times New Roman"/>
                <w:sz w:val="24"/>
              </w:rPr>
              <w:t>Sumos, kurioms taikomas KRR 385 straipsnis.</w:t>
            </w:r>
          </w:p>
        </w:tc>
      </w:tr>
      <w:bookmarkEnd w:id="773"/>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4010114"/>
      <w:r>
        <w:rPr>
          <w:rFonts w:ascii="Times New Roman" w:hAnsi="Times New Roman"/>
          <w:sz w:val="24"/>
          <w:u w:val="none"/>
        </w:rPr>
        <w:lastRenderedPageBreak/>
        <w:t>6.</w:t>
      </w:r>
      <w:r>
        <w:tab/>
      </w:r>
      <w:r>
        <w:rPr>
          <w:rFonts w:ascii="Times New Roman" w:hAnsi="Times New Roman"/>
          <w:sz w:val="24"/>
        </w:rPr>
        <w:t>Rizikos ribojimo principais pagrįstas vertinimas (PruVal)</w:t>
      </w:r>
      <w:bookmarkEnd w:id="775"/>
      <w:bookmarkEnd w:id="776"/>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4010115"/>
      <w:r>
        <w:rPr>
          <w:rFonts w:ascii="Times New Roman" w:hAnsi="Times New Roman"/>
          <w:sz w:val="24"/>
          <w:u w:val="none"/>
        </w:rPr>
        <w:t>6.1.</w:t>
      </w:r>
      <w:r>
        <w:tab/>
      </w:r>
      <w:r>
        <w:rPr>
          <w:rFonts w:ascii="Times New Roman" w:hAnsi="Times New Roman"/>
          <w:sz w:val="24"/>
        </w:rPr>
        <w:t>C 32.01. Rizikos ribojimo principais pagrįstas vertinimas. Tikrąja verte įvertintas tu</w:t>
      </w:r>
      <w:r>
        <w:rPr>
          <w:rFonts w:ascii="Times New Roman" w:hAnsi="Times New Roman"/>
          <w:sz w:val="24"/>
        </w:rPr>
        <w:t>r</w:t>
      </w:r>
      <w:r>
        <w:rPr>
          <w:rFonts w:ascii="Times New Roman" w:hAnsi="Times New Roman"/>
          <w:sz w:val="24"/>
        </w:rPr>
        <w:t>tas ir įsipareigojimai (PruVal 1)</w:t>
      </w:r>
      <w:bookmarkEnd w:id="777"/>
      <w:bookmarkEnd w:id="77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4010116"/>
      <w:r>
        <w:rPr>
          <w:rFonts w:ascii="Times New Roman" w:hAnsi="Times New Roman"/>
          <w:sz w:val="24"/>
          <w:u w:val="none"/>
        </w:rPr>
        <w:t>6.1.1.</w:t>
      </w:r>
      <w:r>
        <w:tab/>
      </w:r>
      <w:r>
        <w:rPr>
          <w:rFonts w:ascii="Times New Roman" w:hAnsi="Times New Roman"/>
          <w:sz w:val="24"/>
        </w:rPr>
        <w:t>Bendrosios pastabos</w:t>
      </w:r>
      <w:bookmarkEnd w:id="779"/>
      <w:bookmarkEnd w:id="780"/>
      <w:r>
        <w:rPr>
          <w:rFonts w:ascii="Times New Roman" w:hAnsi="Times New Roman"/>
          <w:sz w:val="24"/>
          <w:u w:val="none"/>
        </w:rPr>
        <w:t xml:space="preserve"> </w:t>
      </w:r>
    </w:p>
    <w:p w:rsidR="00B93FA1" w:rsidRDefault="00995A7F" w:rsidP="001A3980">
      <w:pPr>
        <w:pStyle w:val="InstructionsText2"/>
        <w:numPr>
          <w:ilvl w:val="0"/>
          <w:numId w:val="0"/>
        </w:numPr>
        <w:ind w:left="993"/>
      </w:pPr>
      <w:r>
        <w:t>154a. Šią formą pildo visos įstaigos, nepriklausomai nuo to, ar yra patvirtinusios supaprastintą metodą papildomo vertinimo rezultatų koregavimo (AVA) įverčiams apskaičiuoti. Ši forma skirta tikrąja verte įvertinto turto ir įsipareigojimų absoliuči</w:t>
      </w:r>
      <w:r>
        <w:t>a</w:t>
      </w:r>
      <w:r>
        <w:t>jai vertei, naudojamai nustatant, ar įvykdytos Deleguotojo reglamento (ES) 2016/101 dėl rizikos ribojimo principais pagrįsto vertinimo 4 straipsnyje nustatytos sąlygos dėl supaprastinto metodo taikymo apskaičiuojant AVA įverčius.</w:t>
      </w:r>
    </w:p>
    <w:p w:rsidR="00995A7F" w:rsidRDefault="00B93FA1" w:rsidP="001A3980">
      <w:pPr>
        <w:pStyle w:val="InstructionsText2"/>
        <w:numPr>
          <w:ilvl w:val="0"/>
          <w:numId w:val="0"/>
        </w:numPr>
        <w:ind w:left="993"/>
      </w:pPr>
      <w:r>
        <w:t>154b. Supaprastintą metodą taikančių įstaigų atveju šioje formoje pateikiama be</w:t>
      </w:r>
      <w:r>
        <w:t>n</w:t>
      </w:r>
      <w:r>
        <w:t>dra AVA suma, atskaitytina iš nuosavų lėšų pagal KRR 34 ir 105 straipsnius, kaip nurodyta Deleguotojo reglamento (ES) 2016/101 dėl rizikos ribojimo principais p</w:t>
      </w:r>
      <w:r>
        <w:t>a</w:t>
      </w:r>
      <w:r>
        <w:t>grįsto vertinimo 5 straipsnyje, ir atitinkamai nurodoma C 01.00 formos 290 eilutėje.</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4010117"/>
      <w:r>
        <w:rPr>
          <w:rFonts w:ascii="Times New Roman" w:hAnsi="Times New Roman"/>
          <w:sz w:val="24"/>
          <w:u w:val="none"/>
        </w:rPr>
        <w:t>6.1.2.</w:t>
      </w:r>
      <w:r>
        <w:tab/>
      </w:r>
      <w:r>
        <w:rPr>
          <w:rFonts w:ascii="Times New Roman" w:hAnsi="Times New Roman"/>
          <w:sz w:val="24"/>
        </w:rPr>
        <w:t>Nurodymai dėl konkrečių pozicijų</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Skiltys</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TIKRĄJA VERTE ĮVERTINTAS TURTAS IR ĮSIPAREIGOJIMAI</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Tikrąja verte įvertinto turto ir įsipareigojimų, nurodytų finansinėse ataskaitose p</w:t>
            </w:r>
            <w:r>
              <w:rPr>
                <w:rFonts w:ascii="Times New Roman" w:hAnsi="Times New Roman"/>
                <w:sz w:val="24"/>
              </w:rPr>
              <w:t>a</w:t>
            </w:r>
            <w:r>
              <w:rPr>
                <w:rFonts w:ascii="Times New Roman" w:hAnsi="Times New Roman"/>
                <w:sz w:val="24"/>
              </w:rPr>
              <w:t>gal taikomą apskaitos sistemą, kaip nurodyta Deleguotojo reglamento (ES) 2016/101 dėl rizikos ribojimo principais pagrįsto vertinimo 4 straipsnio 1 dalyje, absoliučioji vertė iki bet kokio atskaitymo pagal 4 straipsnio 2 dalį.</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IŠ JŲ: prekybos knygoje</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Prekybos knygoje įrašytas pozicijas atitinkančio tikrąja verte įvertinto turto ir įs</w:t>
            </w:r>
            <w:r>
              <w:rPr>
                <w:rFonts w:ascii="Times New Roman" w:hAnsi="Times New Roman"/>
                <w:sz w:val="24"/>
              </w:rPr>
              <w:t>i</w:t>
            </w:r>
            <w:r>
              <w:rPr>
                <w:rFonts w:ascii="Times New Roman" w:hAnsi="Times New Roman"/>
                <w:sz w:val="24"/>
              </w:rPr>
              <w:t xml:space="preserve">pareigojimų absoliučioji vertė, nurodyta 010 laukelyje.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DĖL DALINIO POVEIKIO CET1 NEĮSKAIČIUOTAS TIKRĄJA VERTE ĮVERTINTAS TURTAS IR ĮSIPAREIGOJIMAI</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Tikrąja verte įvertinto turto ir įsipareigojimų, neįskaičiuotų pagal Deleguotojo re</w:t>
            </w:r>
            <w:r>
              <w:rPr>
                <w:rFonts w:ascii="Times New Roman" w:hAnsi="Times New Roman"/>
                <w:sz w:val="24"/>
              </w:rPr>
              <w:t>g</w:t>
            </w:r>
            <w:r>
              <w:rPr>
                <w:rFonts w:ascii="Times New Roman" w:hAnsi="Times New Roman"/>
                <w:sz w:val="24"/>
              </w:rPr>
              <w:t>lamento (ES) 2016/101 dėl rizikos ribojimo principais pagrįsto vertinimo 4 straipsnio 2 dalį, absoliučioji vertė.</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Tiksliai atitinkantis</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Tiksliai atitinkantis ir užskaitomas tikrąja verte įvertintas turtas ir įsipareigojimai, neįskaičiuoti pagal Deleguotojo reglamento (ES) 2016/101 dėl rizikos ribojimo principais pagrįsto vertinimo 4 straipsnio 2 dalį.</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Apsidraudimo apskaita</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 xml:space="preserve">Pozicijų, kurioms pagal taikomą apskaitos sistemą taikoma apsidraudimo apskaita, atveju – tikrąja verte įvertinto turto ir įsipareigojimų, neįskaičiuotų proporcingai </w:t>
            </w:r>
            <w:r>
              <w:rPr>
                <w:rFonts w:ascii="Times New Roman" w:hAnsi="Times New Roman"/>
                <w:sz w:val="24"/>
              </w:rPr>
              <w:lastRenderedPageBreak/>
              <w:t>pagal atitinkamo vertinimo pokyčio poveikį CET1 kapitalui pagal Deleguotojo reglamento (ES) 2016/101 dėl rizikos ribojimo principais pagrįsto vertinimo 4 straipsnio 2 dalį, absoliučioji vertė.</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RIZIKOS RIBOJIMO FILTRAI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Tikrąja verte įvertinto turto ir įsipareigojimų, neįskaičiuotų pagal Deleguotojo re</w:t>
            </w:r>
            <w:r>
              <w:rPr>
                <w:rFonts w:ascii="Times New Roman" w:hAnsi="Times New Roman"/>
                <w:sz w:val="24"/>
              </w:rPr>
              <w:t>g</w:t>
            </w:r>
            <w:r>
              <w:rPr>
                <w:rFonts w:ascii="Times New Roman" w:hAnsi="Times New Roman"/>
                <w:sz w:val="24"/>
              </w:rPr>
              <w:t>lamento (ES) 2016/101 dėl rizikos ribojimo principais pagrįsto vertinimo 4 straipsnio 2 dalį dėl pereinamojo laikotarpio filtrų, nurodytų KRR 467 ir 468 straipsniuose, absoliučioji vertė.</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Kita</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Visos kitos pozicijos, neįskaičiuotos pagal Deleguotojo reglamento (ES) 2016/101 dėl rizikos ribojimo principais pagrįsto vertinimo 4 straipsnio 2 dalį dėl to, kad jų balansinės vertės koregavimai turėjo tik proporcinį poveikį CET1 kapitalui.</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Ši eilutė pildoma tik retais atvejais, kai pagal Deleguotojo reglamento (ES) 2016/101 dėl rizikos ribojimo principais pagrįsto vertinimo 4 straipsnio 2 dalį ne</w:t>
            </w:r>
            <w:r>
              <w:rPr>
                <w:rFonts w:ascii="Times New Roman" w:hAnsi="Times New Roman"/>
                <w:sz w:val="24"/>
              </w:rPr>
              <w:t>į</w:t>
            </w:r>
            <w:r>
              <w:rPr>
                <w:rFonts w:ascii="Times New Roman" w:hAnsi="Times New Roman"/>
                <w:sz w:val="24"/>
              </w:rPr>
              <w:t>skaičiuotų elementų neįmanoma priskirti prie šios formos 0030, 0040 ar 0050 ski</w:t>
            </w:r>
            <w:r>
              <w:rPr>
                <w:rFonts w:ascii="Times New Roman" w:hAnsi="Times New Roman"/>
                <w:sz w:val="24"/>
              </w:rPr>
              <w:t>l</w:t>
            </w:r>
            <w:r>
              <w:rPr>
                <w:rFonts w:ascii="Times New Roman" w:hAnsi="Times New Roman"/>
                <w:sz w:val="24"/>
              </w:rPr>
              <w:t>ties.</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„Kita“ pastabos</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Nurodomos pagrindinės priežastys, dėl kurių neįskaičiuotos 0060 skiltyje nurod</w:t>
            </w:r>
            <w:r>
              <w:rPr>
                <w:rFonts w:ascii="Times New Roman" w:hAnsi="Times New Roman"/>
                <w:sz w:val="24"/>
              </w:rPr>
              <w:t>y</w:t>
            </w:r>
            <w:r>
              <w:rPr>
                <w:rFonts w:ascii="Times New Roman" w:hAnsi="Times New Roman"/>
                <w:sz w:val="24"/>
              </w:rPr>
              <w:t>tos pozicijos.</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Apskaičiuojant 4 straipsnio 1 dalies ribą įskaičiuotas TIKRĄJA VERTE ĮVERTINTAS turtas ir įsipareigojimai</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Tikrąja verte įvertinto turto ir įsipareigojimų, faktiškai įtrauktų apskaičiuojant D</w:t>
            </w:r>
            <w:r>
              <w:rPr>
                <w:rFonts w:ascii="Times New Roman" w:hAnsi="Times New Roman"/>
                <w:sz w:val="24"/>
              </w:rPr>
              <w:t>e</w:t>
            </w:r>
            <w:r>
              <w:rPr>
                <w:rFonts w:ascii="Times New Roman" w:hAnsi="Times New Roman"/>
                <w:sz w:val="24"/>
              </w:rPr>
              <w:t>leguotojo reglamento (ES) 2016/101 dėl rizikos ribojimo principais pagrįsto vert</w:t>
            </w:r>
            <w:r>
              <w:rPr>
                <w:rFonts w:ascii="Times New Roman" w:hAnsi="Times New Roman"/>
                <w:sz w:val="24"/>
              </w:rPr>
              <w:t>i</w:t>
            </w:r>
            <w:r>
              <w:rPr>
                <w:rFonts w:ascii="Times New Roman" w:hAnsi="Times New Roman"/>
                <w:sz w:val="24"/>
              </w:rPr>
              <w:t>nimo 4 straipsnio 1 dalyje nurodytą ribą, absoliučioji vertė.</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IŠ JŲ: prekybos knygoje</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Prekybos knygoje įrašytas pozicijas atitinkančio tikrąja verte įvertinto turto ir įs</w:t>
            </w:r>
            <w:r>
              <w:rPr>
                <w:rFonts w:ascii="Times New Roman" w:hAnsi="Times New Roman"/>
                <w:sz w:val="24"/>
              </w:rPr>
              <w:t>i</w:t>
            </w:r>
            <w:r>
              <w:rPr>
                <w:rFonts w:ascii="Times New Roman" w:hAnsi="Times New Roman"/>
                <w:sz w:val="24"/>
              </w:rPr>
              <w:t>pareigojimų absoliučioji vertė, nurodyta 0080 skiltyje.</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Eilutės</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Šių kategorijų apibrėžtys atitinka atitinkamų FINREP 1.1 ir 1.2 formų eilučių ap</w:t>
            </w:r>
            <w:r>
              <w:rPr>
                <w:rFonts w:ascii="Times New Roman" w:hAnsi="Times New Roman"/>
                <w:sz w:val="24"/>
              </w:rPr>
              <w:t>i</w:t>
            </w:r>
            <w:r>
              <w:rPr>
                <w:rFonts w:ascii="Times New Roman" w:hAnsi="Times New Roman"/>
                <w:sz w:val="24"/>
              </w:rPr>
              <w:t xml:space="preserve">brėžtis.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TIKRĄJA VERTE ĮVERTINTO TURTO IR ĮSIPAREIGOJIMŲ BE</w:t>
            </w:r>
            <w:r>
              <w:rPr>
                <w:rFonts w:ascii="Times New Roman" w:hAnsi="Times New Roman"/>
                <w:b/>
                <w:sz w:val="24"/>
                <w:u w:val="single"/>
              </w:rPr>
              <w:t>N</w:t>
            </w:r>
            <w:r>
              <w:rPr>
                <w:rFonts w:ascii="Times New Roman" w:hAnsi="Times New Roman"/>
                <w:b/>
                <w:sz w:val="24"/>
                <w:u w:val="single"/>
              </w:rPr>
              <w:t>DRA SUMA</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Tikrąja verte įvertinto turto ir įsipareigojimų, nurodytų 20–210 eilutėse, bendra suma.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TIKRĄJA VERTE ĮVERTINTO TURTO BENDRA SUMA</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Tikrąja verte įvertinto turto, nurodyto 0030–0140 eilutėse, bendra suma.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Atitinkami 0030–0130 eilučių laukeliai nurodomi pagal šio reglamento III ir IV priedų FINREP F 01.01 formą priklausomai nuo to, kuriuos standartus įstaiga ta</w:t>
            </w:r>
            <w:r>
              <w:rPr>
                <w:rFonts w:ascii="Times New Roman" w:hAnsi="Times New Roman"/>
                <w:sz w:val="24"/>
              </w:rPr>
              <w:t>i</w:t>
            </w:r>
            <w:r>
              <w:rPr>
                <w:rFonts w:ascii="Times New Roman" w:hAnsi="Times New Roman"/>
                <w:sz w:val="24"/>
              </w:rPr>
              <w:t xml:space="preserve">ko: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TFAS, kuriuos Sąjunga patvirtino taikydama Reglamentą (ES) 1606/2002 (t</w:t>
            </w:r>
            <w:r>
              <w:rPr>
                <w:rFonts w:ascii="Times New Roman" w:hAnsi="Times New Roman"/>
                <w:sz w:val="24"/>
              </w:rPr>
              <w:t>o</w:t>
            </w:r>
            <w:r>
              <w:rPr>
                <w:rFonts w:ascii="Times New Roman" w:hAnsi="Times New Roman"/>
                <w:sz w:val="24"/>
              </w:rPr>
              <w:t>liau – ES TFAS);</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nacionalinius apskaitos standartus, atitinkančius ES TFAS (toliau – TFAS at</w:t>
            </w:r>
            <w:r>
              <w:rPr>
                <w:rFonts w:ascii="Times New Roman" w:hAnsi="Times New Roman"/>
                <w:sz w:val="24"/>
              </w:rPr>
              <w:t>i</w:t>
            </w:r>
            <w:r>
              <w:rPr>
                <w:rFonts w:ascii="Times New Roman" w:hAnsi="Times New Roman"/>
                <w:sz w:val="24"/>
              </w:rPr>
              <w:t>tinkantys nacionaliniai BAP), arba</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nacionalinius BAP, grindžiamus Direktyva 86/635/EB, t. y. Bankų apskaitos direktyva (BAD) (toliau FINREP – BAD pagrįsti nacionaliniai BAP).</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PREKYBAI LAIKOMAS FINANSINIS TURTAS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9-ojo TFAS A priedas.</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Šioje eilutėje nurodoma informacija atitinka šio reglamento III ir IV priedų F 01.01 formos 050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PREKYBINIS FINANSINIS TURTAS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 32–33 straipsniai; V priedo 1.17 dalis.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01.01 formos 091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1.1.3. NEPREKYBINIS FINANSINIS TURTAS, PRIVALOMAI VERT</w:t>
            </w:r>
            <w:r>
              <w:rPr>
                <w:rFonts w:ascii="Times New Roman" w:hAnsi="Times New Roman"/>
                <w:b/>
                <w:sz w:val="24"/>
                <w:u w:val="single"/>
              </w:rPr>
              <w:t>I</w:t>
            </w:r>
            <w:r>
              <w:rPr>
                <w:rFonts w:ascii="Times New Roman" w:hAnsi="Times New Roman"/>
                <w:b/>
                <w:sz w:val="24"/>
                <w:u w:val="single"/>
              </w:rPr>
              <w:t>NAMAS TIKRĄJA VERTE, KURIOS POKYČIAI PRIPAŽĮSTAMI PE</w:t>
            </w:r>
            <w:r>
              <w:rPr>
                <w:rFonts w:ascii="Times New Roman" w:hAnsi="Times New Roman"/>
                <w:b/>
                <w:sz w:val="24"/>
                <w:u w:val="single"/>
              </w:rPr>
              <w:t>L</w:t>
            </w:r>
            <w:r>
              <w:rPr>
                <w:rFonts w:ascii="Times New Roman" w:hAnsi="Times New Roman"/>
                <w:b/>
                <w:sz w:val="24"/>
                <w:u w:val="single"/>
              </w:rPr>
              <w:t xml:space="preserve">NO (NUOSTOLIŲ) ATASKAITOJE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7-ojo TFAS 8 straipsnio a punkto ii papunktis; 9-ojo TFAS 4.1.4 straipsnis.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01.01 formos 096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FINANSINIS TURTAS, PRISKIRIAMAS PRIE VERTINAMO TI</w:t>
            </w:r>
            <w:r>
              <w:rPr>
                <w:rFonts w:ascii="Times New Roman" w:hAnsi="Times New Roman"/>
                <w:b/>
                <w:sz w:val="24"/>
                <w:u w:val="single"/>
              </w:rPr>
              <w:t>K</w:t>
            </w:r>
            <w:r>
              <w:rPr>
                <w:rFonts w:ascii="Times New Roman" w:hAnsi="Times New Roman"/>
                <w:b/>
                <w:sz w:val="24"/>
                <w:u w:val="single"/>
              </w:rPr>
              <w:t>RĄJA VERTE, KURIOS POKYČIAI PRIPAŽĮSTAMI PELNO (NUOST</w:t>
            </w:r>
            <w:r>
              <w:rPr>
                <w:rFonts w:ascii="Times New Roman" w:hAnsi="Times New Roman"/>
                <w:b/>
                <w:sz w:val="24"/>
                <w:u w:val="single"/>
              </w:rPr>
              <w:t>O</w:t>
            </w:r>
            <w:r>
              <w:rPr>
                <w:rFonts w:ascii="Times New Roman" w:hAnsi="Times New Roman"/>
                <w:b/>
                <w:sz w:val="24"/>
                <w:u w:val="single"/>
              </w:rPr>
              <w:t>LIŲ) ATASKAITOJE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7-ojo TFAS 8 straipsnio a punkto i papunktis; 9-ojo TFAS 4.1.5 straipsnis; A</w:t>
            </w:r>
            <w:r>
              <w:rPr>
                <w:rFonts w:ascii="Times New Roman" w:hAnsi="Times New Roman"/>
                <w:sz w:val="24"/>
              </w:rPr>
              <w:t>p</w:t>
            </w:r>
            <w:r>
              <w:rPr>
                <w:rFonts w:ascii="Times New Roman" w:hAnsi="Times New Roman"/>
                <w:sz w:val="24"/>
              </w:rPr>
              <w:t>skaitos direktyvos 8 straipsnio 1 dalies a punktas, 6 dalis.</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Šioje eilutėje nurodoma informacija atitinka šio reglamento III ir IV priedų F 01.01 formos 100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FINANSINIS TURTAS,VERTINAMAS TIKRĄJA VERTE, KURIOS POKYČIAI PRIPAŽĮSTAMI KITOMIS BENDROSIOMIS PAJAMOMIS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7-ojo TFAS 8 straipsnio h punktas; 9-ojo TFAS 4.1.2A straipsnis.</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 xml:space="preserve">Šioje eilutėje nurodoma informacija atitinka šio reglamento III ir IV priedų F </w:t>
            </w:r>
            <w:r>
              <w:rPr>
                <w:rFonts w:ascii="Times New Roman" w:hAnsi="Times New Roman"/>
                <w:sz w:val="24"/>
              </w:rPr>
              <w:lastRenderedPageBreak/>
              <w:t>01.01 formos 141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NEPREKYBINIS NEIŠVESTINIS FINANSINIS TURTAS, VERT</w:t>
            </w:r>
            <w:r>
              <w:rPr>
                <w:rFonts w:ascii="Times New Roman" w:hAnsi="Times New Roman"/>
                <w:b/>
                <w:sz w:val="24"/>
                <w:u w:val="single"/>
              </w:rPr>
              <w:t>I</w:t>
            </w:r>
            <w:r>
              <w:rPr>
                <w:rFonts w:ascii="Times New Roman" w:hAnsi="Times New Roman"/>
                <w:b/>
                <w:sz w:val="24"/>
                <w:u w:val="single"/>
              </w:rPr>
              <w:t>NAMAS TIKRĄJA VERTE, KURIOS POKYČIAI PRIPAŽĮSTAMI PE</w:t>
            </w:r>
            <w:r>
              <w:rPr>
                <w:rFonts w:ascii="Times New Roman" w:hAnsi="Times New Roman"/>
                <w:b/>
                <w:sz w:val="24"/>
                <w:u w:val="single"/>
              </w:rPr>
              <w:t>L</w:t>
            </w:r>
            <w:r>
              <w:rPr>
                <w:rFonts w:ascii="Times New Roman" w:hAnsi="Times New Roman"/>
                <w:b/>
                <w:sz w:val="24"/>
                <w:u w:val="single"/>
              </w:rPr>
              <w:t>NO (NUOSTOLIŲ) ATASKAITOJE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 36 straipsnio 2 dalis.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01.01 formos 171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NEPREKYBINIS NEIŠVESTINIS FINANSINIS TURTAS, VERT</w:t>
            </w:r>
            <w:r>
              <w:rPr>
                <w:rFonts w:ascii="Times New Roman" w:hAnsi="Times New Roman"/>
                <w:b/>
                <w:sz w:val="24"/>
                <w:u w:val="single"/>
              </w:rPr>
              <w:t>I</w:t>
            </w:r>
            <w:r>
              <w:rPr>
                <w:rFonts w:ascii="Times New Roman" w:hAnsi="Times New Roman"/>
                <w:b/>
                <w:sz w:val="24"/>
                <w:u w:val="single"/>
              </w:rPr>
              <w:t>NAMAS TIKRĄJA VERTE, KURIOS POKYČIAI PRIPAŽĮSTAMI NU</w:t>
            </w:r>
            <w:r>
              <w:rPr>
                <w:rFonts w:ascii="Times New Roman" w:hAnsi="Times New Roman"/>
                <w:b/>
                <w:sz w:val="24"/>
                <w:u w:val="single"/>
              </w:rPr>
              <w:t>O</w:t>
            </w:r>
            <w:r>
              <w:rPr>
                <w:rFonts w:ascii="Times New Roman" w:hAnsi="Times New Roman"/>
                <w:b/>
                <w:sz w:val="24"/>
                <w:u w:val="single"/>
              </w:rPr>
              <w:t>SAVYBĖJE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Apskaitos direktyvos 8 straipsnio 1 dalies a punktas, 8 dalis.</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01.01 formos 175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KITAS NEPREKYBINIS NEIŠVESTINIS FINANSINIS TURTAS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BAD 37 straipsnis; Apskaitos direktyvos 12 straipsnio 7 dalis; V priedo 1.20 dalis.</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01.01 formos 234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IŠVESTINĖS FINANSINĖS PRIEMONĖS. APSIDRAUDIMO A</w:t>
            </w:r>
            <w:r>
              <w:rPr>
                <w:rFonts w:ascii="Times New Roman" w:hAnsi="Times New Roman"/>
                <w:b/>
                <w:sz w:val="24"/>
                <w:u w:val="single"/>
              </w:rPr>
              <w:t>P</w:t>
            </w:r>
            <w:r>
              <w:rPr>
                <w:rFonts w:ascii="Times New Roman" w:hAnsi="Times New Roman"/>
                <w:b/>
                <w:sz w:val="24"/>
                <w:u w:val="single"/>
              </w:rPr>
              <w:t>SKAITA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9-ojo TFAS 6.2.1 straipsnis; V priedo 1.22 dalis; Apskaitos direktyvos 8 straipsnio 1 dalies a punktas, 6, 8 dalys; 39-ojo TAS 9 straipsnis; V priedo 1.22 dalis.</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Šioje eilutėje nurodoma informacija atitinka šio reglamento III ir IV priedų F 01.01 formos 240 eilutę.</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DRAUDŽIAMŲJŲ OBJEKTŲ TIKROSIOS VERTĖS POKYČIAI PORTFELIO PALŪKANŲ NORMŲ APSIDRAUDIMO SANDORIUOSE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39-ojo TAS 89A straipsnio a punktas; 9-ojo TFAS 6.5.8 straipsnis; Apskaitos d</w:t>
            </w:r>
            <w:r>
              <w:rPr>
                <w:rFonts w:ascii="Times New Roman" w:hAnsi="Times New Roman"/>
                <w:sz w:val="24"/>
              </w:rPr>
              <w:t>i</w:t>
            </w:r>
            <w:r>
              <w:rPr>
                <w:rFonts w:ascii="Times New Roman" w:hAnsi="Times New Roman"/>
                <w:sz w:val="24"/>
              </w:rPr>
              <w:t>rektyvos 8 straipsnio 5, 6 dalys.</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01.01 formos 250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INVESTICIJOS Į PATRONUOJAMĄSIAS ĮMONES, BENDRĄSIAS ĮMONES IR ASOCIJUOTĄSIAS ĮMONES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1-ojo TAS 54 straipsnio e punktas; V priedo 1.21, 2.4 dalys; BAD 4 straipsnio d</w:t>
            </w:r>
            <w:r>
              <w:rPr>
                <w:rFonts w:ascii="Times New Roman" w:hAnsi="Times New Roman"/>
                <w:sz w:val="24"/>
              </w:rPr>
              <w:t>a</w:t>
            </w:r>
            <w:r>
              <w:rPr>
                <w:rFonts w:ascii="Times New Roman" w:hAnsi="Times New Roman"/>
                <w:sz w:val="24"/>
              </w:rPr>
              <w:t xml:space="preserve">lies „Turtas“ 7–8 punktai; Apskaitos direktyvos 2 straipsnio 2 dalis.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01.01 formos 260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1.1.12. (–) PREKYBINIO TURTO, VERTINAMO TIKRĄJA VERTE, </w:t>
            </w:r>
            <w:r>
              <w:rPr>
                <w:rFonts w:ascii="Times New Roman" w:hAnsi="Times New Roman"/>
                <w:b/>
                <w:sz w:val="24"/>
                <w:u w:val="single"/>
              </w:rPr>
              <w:lastRenderedPageBreak/>
              <w:t>VERTĖS SUMAŽINIMAS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V priedo 1 dalies 29 punktas.</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01.01 formos 375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TIKRĄJA VERTE ĮVERTINTŲ ĮSIPAREIGOJIMŲ BENDRA SUMA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Tikrąja verte įvertintų įsipareigojimų, nurodytų 0160–0210 eilutėse, bendra suma.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Atitinkami 0150–0190 eilučių laukeliai nurodomi pagal šio reglamento III ir IV priedų FINREP F 01.02 formą priklausomai nuo to, kuriuos standartus įstaiga ta</w:t>
            </w:r>
            <w:r>
              <w:rPr>
                <w:rFonts w:ascii="Times New Roman" w:hAnsi="Times New Roman"/>
                <w:sz w:val="24"/>
              </w:rPr>
              <w:t>i</w:t>
            </w:r>
            <w:r>
              <w:rPr>
                <w:rFonts w:ascii="Times New Roman" w:hAnsi="Times New Roman"/>
                <w:sz w:val="24"/>
              </w:rPr>
              <w:t xml:space="preserve">ko: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TFAS, kuriuos Sąjunga patvirtino taikydama Reglamentą (ES) 1606/2002 (t</w:t>
            </w:r>
            <w:r>
              <w:rPr>
                <w:rFonts w:ascii="Times New Roman" w:hAnsi="Times New Roman"/>
                <w:sz w:val="24"/>
              </w:rPr>
              <w:t>o</w:t>
            </w:r>
            <w:r>
              <w:rPr>
                <w:rFonts w:ascii="Times New Roman" w:hAnsi="Times New Roman"/>
                <w:sz w:val="24"/>
              </w:rPr>
              <w:t>liau – ES TFAS);</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nacionalinius apskaitos standartus, atitinkančius ES TFAS (toliau – TFAS at</w:t>
            </w:r>
            <w:r>
              <w:rPr>
                <w:rFonts w:ascii="Times New Roman" w:hAnsi="Times New Roman"/>
                <w:sz w:val="24"/>
              </w:rPr>
              <w:t>i</w:t>
            </w:r>
            <w:r>
              <w:rPr>
                <w:rFonts w:ascii="Times New Roman" w:hAnsi="Times New Roman"/>
                <w:sz w:val="24"/>
              </w:rPr>
              <w:t xml:space="preserve">tinkantys nacionaliniai BAP),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ar nacionalinius BAP, grindžiamus Direktyva 86/635/EB, t. y. Bankų apskaitos direktyva (BAD), (toliau FINREP – BAD pagrįsti nacionaliniai BAP).</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PREKYBAI LAIKOMI FINANSINIAI ĮSIPAREIGOJIMAI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7-ojo TFAS 8 straipsnio e punkto ii papunktis; 9-ojo TFAS BA.6 straipsnis.</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Šioje eilutėje nurodoma informacija atitinka šio reglamento III ir IV priedų F 01.02 formos 010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PREKYBINIAI FINANSINIAI ĮSIPAREIGOJIMAI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Apskaitos direktyvos 8 straipsnio 1 dalies a punktas, 3, 6 dalys.</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01.02 formos 061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FINANSINIAI ĮSIPAREIGOJIMAI, PRISKIRIAMI PRIE VERT</w:t>
            </w:r>
            <w:r>
              <w:rPr>
                <w:rFonts w:ascii="Times New Roman" w:hAnsi="Times New Roman"/>
                <w:b/>
                <w:sz w:val="24"/>
                <w:u w:val="single"/>
              </w:rPr>
              <w:t>I</w:t>
            </w:r>
            <w:r>
              <w:rPr>
                <w:rFonts w:ascii="Times New Roman" w:hAnsi="Times New Roman"/>
                <w:b/>
                <w:sz w:val="24"/>
                <w:u w:val="single"/>
              </w:rPr>
              <w:t>NAMŲ TIKRĄJA VERTE, KURIOS POKYČIAI PRIPAŽĮSTAMI PELNO (NUOSTOLIŲ) ATASKAITOJE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7-ojo TFAS 8 straipsnio e punkto i papunktis; 9-ojo TFAS 4.2.2 straipsnis;</w:t>
            </w:r>
            <w:r>
              <w:rPr>
                <w:sz w:val="24"/>
              </w:rPr>
              <w:t xml:space="preserve"> </w:t>
            </w:r>
            <w:r>
              <w:rPr>
                <w:rFonts w:ascii="Times New Roman" w:hAnsi="Times New Roman"/>
                <w:sz w:val="24"/>
              </w:rPr>
              <w:t>A</w:t>
            </w:r>
            <w:r>
              <w:rPr>
                <w:rFonts w:ascii="Times New Roman" w:hAnsi="Times New Roman"/>
                <w:sz w:val="24"/>
              </w:rPr>
              <w:t>p</w:t>
            </w:r>
            <w:r>
              <w:rPr>
                <w:rFonts w:ascii="Times New Roman" w:hAnsi="Times New Roman"/>
                <w:sz w:val="24"/>
              </w:rPr>
              <w:t xml:space="preserve">skaitos direktyvos 8 straipsnio 1 dalies a punktas, 6 dalis; 39-ojo TAS 9 straipsnis.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Šioje eilutėje nurodoma informacija atitinka šio reglamento III ir IV priedų F 01.02 formos 070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IŠVESTINĖS FINANSINĖS PRIEMONĖS. APSIDRAUDIMO A</w:t>
            </w:r>
            <w:r>
              <w:rPr>
                <w:rFonts w:ascii="Times New Roman" w:hAnsi="Times New Roman"/>
                <w:b/>
                <w:sz w:val="24"/>
                <w:u w:val="single"/>
              </w:rPr>
              <w:t>P</w:t>
            </w:r>
            <w:r>
              <w:rPr>
                <w:rFonts w:ascii="Times New Roman" w:hAnsi="Times New Roman"/>
                <w:b/>
                <w:sz w:val="24"/>
                <w:u w:val="single"/>
              </w:rPr>
              <w:t>SKAITA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9-ojo TFAS 6.2.1 straipsnis; V priedo 1.26 dalis; Apskaitos direktyvos 8 straipsnio 1 dalies a punktas, 6 dalis, 8 dalies a punktas.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Šioje eilutėje nurodoma informacija atitinka šio reglamento III ir IV priedų F 01.02 formos 150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DRAUDŽIAMŲJŲ OBJEKTŲ TIKROSIOS VERTĖS POKYČIAI PORTFELIO PALŪKANŲ NORMŲ APSIDRAUDIMO SANDORIUOSE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39-ojo TAS 89A straipsnio b punktas, 9-ojo TFAS 6.5.8 straipsnis; Apskaitos d</w:t>
            </w:r>
            <w:r>
              <w:rPr>
                <w:rFonts w:ascii="Times New Roman" w:hAnsi="Times New Roman"/>
                <w:sz w:val="24"/>
              </w:rPr>
              <w:t>i</w:t>
            </w:r>
            <w:r>
              <w:rPr>
                <w:rFonts w:ascii="Times New Roman" w:hAnsi="Times New Roman"/>
                <w:sz w:val="24"/>
              </w:rPr>
              <w:t>rektyvos 8 straipsnio 5, 6 dalys; V priedo 2.8 dalis.</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01.02 formos 160 eilutę.</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PREKYBINIŲ ĮSIPAREIGOJIMŲ, VERTINAMŲ TIKRĄJA VERTE, VERTĖS SUMAŽINIMAS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V priedo 1 dalies 29 punktas.</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reglamento III ir IV priedų F 01.02 formos 295 eilutę.</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4010118"/>
      <w:r>
        <w:rPr>
          <w:rFonts w:ascii="Times New Roman" w:hAnsi="Times New Roman"/>
          <w:sz w:val="24"/>
          <w:u w:val="none"/>
        </w:rPr>
        <w:t>6.2.</w:t>
      </w:r>
      <w:r>
        <w:tab/>
      </w:r>
      <w:r>
        <w:rPr>
          <w:rFonts w:ascii="Times New Roman" w:hAnsi="Times New Roman"/>
          <w:sz w:val="24"/>
        </w:rPr>
        <w:t>C 32.02. Rizikos ribojimo principais pagrįstas vertinimas. Pagrindinis metodas (Pr</w:t>
      </w:r>
      <w:r>
        <w:rPr>
          <w:rFonts w:ascii="Times New Roman" w:hAnsi="Times New Roman"/>
          <w:sz w:val="24"/>
        </w:rPr>
        <w:t>u</w:t>
      </w:r>
      <w:r>
        <w:rPr>
          <w:rFonts w:ascii="Times New Roman" w:hAnsi="Times New Roman"/>
          <w:sz w:val="24"/>
        </w:rPr>
        <w:t>Val 2)</w:t>
      </w:r>
      <w:bookmarkEnd w:id="783"/>
      <w:bookmarkEnd w:id="784"/>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4010119"/>
      <w:r>
        <w:rPr>
          <w:rFonts w:ascii="Times New Roman" w:hAnsi="Times New Roman"/>
          <w:sz w:val="24"/>
          <w:u w:val="none"/>
        </w:rPr>
        <w:t>6.2.1.</w:t>
      </w:r>
      <w:r>
        <w:tab/>
      </w:r>
      <w:r>
        <w:rPr>
          <w:rFonts w:ascii="Times New Roman" w:hAnsi="Times New Roman"/>
          <w:sz w:val="24"/>
        </w:rPr>
        <w:t>Bendrosios pastabos</w:t>
      </w:r>
      <w:bookmarkEnd w:id="785"/>
      <w:bookmarkEnd w:id="786"/>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t>154c. Šia forma siekiama pateikti informacijos apie bendros AVA sumos, atskait</w:t>
      </w:r>
      <w:r>
        <w:t>y</w:t>
      </w:r>
      <w:r>
        <w:t>tinos iš nuosavų lėšų pagal KRR 34 ir 105 straipsnius, sudėtį, taip pat aktualios i</w:t>
      </w:r>
      <w:r>
        <w:t>n</w:t>
      </w:r>
      <w:r>
        <w:t>formacijos apie pozicijų, dėl kurių reikia nustatyti AVA įverčius, apskaitinį vert</w:t>
      </w:r>
      <w:r>
        <w:t>i</w:t>
      </w:r>
      <w:r>
        <w:t>nimą.</w:t>
      </w:r>
    </w:p>
    <w:p w:rsidR="00B93FA1" w:rsidRPr="00B93FA1" w:rsidRDefault="00B93FA1" w:rsidP="001A3980">
      <w:pPr>
        <w:pStyle w:val="InstructionsText2"/>
        <w:numPr>
          <w:ilvl w:val="0"/>
          <w:numId w:val="0"/>
        </w:numPr>
        <w:ind w:left="993"/>
      </w:pPr>
      <w:r>
        <w:t xml:space="preserve">154d. Šią formą pildo visos įstaigos, kurios: </w:t>
      </w:r>
    </w:p>
    <w:p w:rsidR="00B93FA1" w:rsidRPr="00B93FA1" w:rsidRDefault="00B93FA1" w:rsidP="001A3980">
      <w:pPr>
        <w:pStyle w:val="InstructionsText2"/>
        <w:numPr>
          <w:ilvl w:val="0"/>
          <w:numId w:val="0"/>
        </w:numPr>
        <w:ind w:left="993"/>
      </w:pPr>
      <w:r>
        <w:t>a) privalo taikyti pagrindinį metodą, nes viršija Deleguotojo reglamento (ES) 2016/101 dėl rizikos ribojimo principais pagrįsto vertinimo 4 straipsnio 1 dalyje nustatytą ribą individualiai arba konsoliduotai, kaip nurodyta Deleguotojo regl</w:t>
      </w:r>
      <w:r>
        <w:t>a</w:t>
      </w:r>
      <w:r>
        <w:t>mento (ES) 2016/101 dėl rizikos ribojimo principais pagrįsto vertinimo 4 straipsnio 3 dalyje, arba</w:t>
      </w:r>
    </w:p>
    <w:p w:rsidR="00B93FA1" w:rsidRPr="00B93FA1" w:rsidRDefault="00973707" w:rsidP="001A3980">
      <w:pPr>
        <w:pStyle w:val="InstructionsText2"/>
        <w:numPr>
          <w:ilvl w:val="0"/>
          <w:numId w:val="0"/>
        </w:numPr>
        <w:ind w:left="993"/>
      </w:pPr>
      <w:r>
        <w:t xml:space="preserve">b) yra nusprendusios taikyti pagrindinį metodą, nors ribos neviršija. </w:t>
      </w:r>
    </w:p>
    <w:p w:rsidR="00973707" w:rsidRDefault="00973707" w:rsidP="001A3980">
      <w:pPr>
        <w:pStyle w:val="InstructionsText2"/>
        <w:numPr>
          <w:ilvl w:val="0"/>
          <w:numId w:val="0"/>
        </w:numPr>
        <w:ind w:left="993"/>
      </w:pPr>
      <w:r>
        <w:t>154e. Šioje formoje terminas „vertės padidėjimo neapibrėžtumas“ apibrėžiamas taip: kaip nustatyta Deleguotojo reglamento (ES) 2016/101 dėl rizikos ribojimo principais pagrįsto vertinimo 8 straipsnio 2 dalyje, AVA įverčiai yra apskaičiuojami kaip skirtumas tarp tikrosios vertės ir rizikos ribojimo principais pagrįsto vertinimo, kuris nustatomas remiantis įstaigų įsitikinimu (90 %), kad jos galėtų pozicijos sumą perleisti ta arba didesne kaina, priklausančia tariamajai patikimų dydžių kitimo sr</w:t>
      </w:r>
      <w:r>
        <w:t>i</w:t>
      </w:r>
      <w:r>
        <w:t>čiai. Atvirkščia vertė, arba vertės padidėjimo neapibrėžtumas, yra priešingas pat</w:t>
      </w:r>
      <w:r>
        <w:t>i</w:t>
      </w:r>
      <w:r>
        <w:t>kimų dydžių pasiskirstymo taškas, kuriam esant įstaigos yra tik 10 % įsitikinusios, kad pozicijos sumą galėtų perleisti ta arba didesne kaina. Vertės padidėjimo neap</w:t>
      </w:r>
      <w:r>
        <w:t>i</w:t>
      </w:r>
      <w:r>
        <w:t>brėžtumas apskaičiuojamas ir agreguojamas tuo pačiu pagrindu kaip bendra AVA suma, tačiau vietoj apskaičiuojant bendrą AVA sumą naudoto 90 % apibrėžtumo lygio nurodomas 10 % apibrėžtumo lygis.</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4010120"/>
      <w:r>
        <w:rPr>
          <w:rFonts w:ascii="Times New Roman" w:hAnsi="Times New Roman"/>
          <w:sz w:val="24"/>
          <w:u w:val="none"/>
        </w:rPr>
        <w:lastRenderedPageBreak/>
        <w:t>6.2.2.</w:t>
      </w:r>
      <w:r>
        <w:tab/>
      </w:r>
      <w:r>
        <w:rPr>
          <w:rFonts w:ascii="Times New Roman" w:hAnsi="Times New Roman"/>
          <w:sz w:val="24"/>
          <w:u w:val="none"/>
        </w:rPr>
        <w:t>Nurodymai dėl konkrečių pozicijų</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Skiltys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KATEGORIJOS LYGMENS AVA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Kategorijos lygmens rinkos kainų neapibrėžtumo, pozicijos uždarymo išlaidų, modelio rizikos, koncentruotų pozicijų, būsimų administracinių išlaidų, pirmala</w:t>
            </w:r>
            <w:r>
              <w:rPr>
                <w:rFonts w:ascii="Times New Roman" w:hAnsi="Times New Roman"/>
                <w:sz w:val="24"/>
              </w:rPr>
              <w:t>i</w:t>
            </w:r>
            <w:r>
              <w:rPr>
                <w:rFonts w:ascii="Times New Roman" w:hAnsi="Times New Roman"/>
                <w:sz w:val="24"/>
              </w:rPr>
              <w:t>kio sutarties nutraukimo ir operacinės rizikos AVA įverčiai apskaičiuojami, kaip atitinkamai nustatyta Deleguotojo reglamento (ES) 2016/101 dėl rizikos ribojimo principais pagrįsto vertinimo 9–11 ir 14–17 straipsniuose.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Rinkos kainų neapibrėžtumo, pozicijos uždarymo išlaidų ir modelio rizikos kat</w:t>
            </w:r>
            <w:r>
              <w:rPr>
                <w:rFonts w:ascii="Times New Roman" w:hAnsi="Times New Roman"/>
                <w:sz w:val="24"/>
              </w:rPr>
              <w:t>e</w:t>
            </w:r>
            <w:r>
              <w:rPr>
                <w:rFonts w:ascii="Times New Roman" w:hAnsi="Times New Roman"/>
                <w:sz w:val="24"/>
              </w:rPr>
              <w:t>gorijų, kurioms taikoma diversifikavimo nauda, kaip nustatyta atitinkamai pagal Deleguotojo reglamento (ES) 2016/101 dėl rizikos ribojimo principais pagrįsto vertinimo 9 straipsnio 6 dalį, 10 straipsnio 7 dalį ir 11 straipsnio 7 dalį, atveju k</w:t>
            </w:r>
            <w:r>
              <w:rPr>
                <w:rFonts w:ascii="Times New Roman" w:hAnsi="Times New Roman"/>
                <w:sz w:val="24"/>
              </w:rPr>
              <w:t>a</w:t>
            </w:r>
            <w:r>
              <w:rPr>
                <w:rFonts w:ascii="Times New Roman" w:hAnsi="Times New Roman"/>
                <w:sz w:val="24"/>
              </w:rPr>
              <w:t>tegorijos lygmens AVA įverčiai (jei nenurodyta kitaip) pateikiami individualių AVA įverčių iki diversifikavimo naudos [nes diversifikavimo nauda, apskaičiuota pagal Deleguotojo reglamento (ES) 2016/101 dėl rizikos ribojimo principais p</w:t>
            </w:r>
            <w:r>
              <w:rPr>
                <w:rFonts w:ascii="Times New Roman" w:hAnsi="Times New Roman"/>
                <w:sz w:val="24"/>
              </w:rPr>
              <w:t>a</w:t>
            </w:r>
            <w:r>
              <w:rPr>
                <w:rFonts w:ascii="Times New Roman" w:hAnsi="Times New Roman"/>
                <w:sz w:val="24"/>
              </w:rPr>
              <w:t xml:space="preserve">grįsto vertinimo priede nurodytą 1 arba 2 metodą, pateikiama formos 1.1.2, 1.1.2.1 ir 1.1.2.2 straipsniuose] tikslia suma.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Rinkos neapibrėžtumo, pozicijos uždarymo išlaidų ir modelio rizikos kategorijų sumos, apskaičiuotos taikant ekspertų žiniomis grindžiamą metodą, kaip nurodyta Deleguotojo reglamento (ES) 2016/101 dėl rizikos ribojimo principais pagrįsto vertinimo 9 straipsnio 5 dalies b punkte, 10 straipsnio 6 dalies b punkte ir 11 straipsnio 4 dalyje, yra atskirai nurodomos 0020, 0040 ir 0060 skiltyse.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RINKOS KAINŲ NEAPIBRĖŽTUMAS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KRR 105 straipsnio 10 dalis.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Rinkos kainų neapibrėžtumo AVA įverčiai, apskaičiuoti pagal Deleguotojo regl</w:t>
            </w:r>
            <w:r>
              <w:rPr>
                <w:rFonts w:ascii="Times New Roman" w:hAnsi="Times New Roman"/>
                <w:sz w:val="24"/>
              </w:rPr>
              <w:t>a</w:t>
            </w:r>
            <w:r>
              <w:rPr>
                <w:rFonts w:ascii="Times New Roman" w:hAnsi="Times New Roman"/>
                <w:sz w:val="24"/>
              </w:rPr>
              <w:t>mento (ES) 2016/101 dėl rizikos ribojimo principais pagrįsto vertinimo 9 straipsnį.</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JO: APSKAIČIUOTA PAGAL EKSPERTŲ ŽINIOMIS GRINDŽIAMĄ METODĄ</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Rinkos kainų neapibrėžtumo AVA įverčiai, apskaičiuoti pagal Deleguotojo regl</w:t>
            </w:r>
            <w:r>
              <w:rPr>
                <w:rFonts w:ascii="Times New Roman" w:hAnsi="Times New Roman"/>
                <w:sz w:val="24"/>
              </w:rPr>
              <w:t>a</w:t>
            </w:r>
            <w:r>
              <w:rPr>
                <w:rFonts w:ascii="Times New Roman" w:hAnsi="Times New Roman"/>
                <w:sz w:val="24"/>
              </w:rPr>
              <w:t>mento (ES) 2016/101 dėl rizikos ribojimo principais pagrįsto vertinimo 9 straip</w:t>
            </w:r>
            <w:r>
              <w:rPr>
                <w:rFonts w:ascii="Times New Roman" w:hAnsi="Times New Roman"/>
                <w:sz w:val="24"/>
              </w:rPr>
              <w:t>s</w:t>
            </w:r>
            <w:r>
              <w:rPr>
                <w:rFonts w:ascii="Times New Roman" w:hAnsi="Times New Roman"/>
                <w:sz w:val="24"/>
              </w:rPr>
              <w:t>nio 5 dalies b punktą.</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UŽDARYMO IŠLAIDOS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KRR 105 straipsnio 10 dalis.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Pozicijos uždarymo išlaidų AVA įverčiai, apskaičiuoti pagal Deleguotojo regl</w:t>
            </w:r>
            <w:r>
              <w:rPr>
                <w:rFonts w:ascii="Times New Roman" w:hAnsi="Times New Roman"/>
                <w:sz w:val="24"/>
              </w:rPr>
              <w:t>a</w:t>
            </w:r>
            <w:r>
              <w:rPr>
                <w:rFonts w:ascii="Times New Roman" w:hAnsi="Times New Roman"/>
                <w:sz w:val="24"/>
              </w:rPr>
              <w:t>mento (ES) 2016/101 dėl rizikos ribojimo principais pagrįsto vertinimo 10 straip</w:t>
            </w:r>
            <w:r>
              <w:rPr>
                <w:rFonts w:ascii="Times New Roman" w:hAnsi="Times New Roman"/>
                <w:sz w:val="24"/>
              </w:rPr>
              <w:t>s</w:t>
            </w:r>
            <w:r>
              <w:rPr>
                <w:rFonts w:ascii="Times New Roman" w:hAnsi="Times New Roman"/>
                <w:sz w:val="24"/>
              </w:rPr>
              <w:t xml:space="preserve">nį.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JŲ: APSKAIČIUOTA PAGAL EKSPERTŲ ŽINIOMIS GRINDŽIAMĄ METODĄ</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Pozicijos uždarymo išlaidų AVA įverčiai, apskaičiuoti pagal Deleguotojo regl</w:t>
            </w:r>
            <w:r>
              <w:rPr>
                <w:rFonts w:ascii="Times New Roman" w:hAnsi="Times New Roman"/>
                <w:sz w:val="24"/>
              </w:rPr>
              <w:t>a</w:t>
            </w:r>
            <w:r>
              <w:rPr>
                <w:rFonts w:ascii="Times New Roman" w:hAnsi="Times New Roman"/>
                <w:sz w:val="24"/>
              </w:rPr>
              <w:lastRenderedPageBreak/>
              <w:t>mento (ES) 2016/101 dėl rizikos ribojimo principais pagrįsto vertinimo 10 straip</w:t>
            </w:r>
            <w:r>
              <w:rPr>
                <w:rFonts w:ascii="Times New Roman" w:hAnsi="Times New Roman"/>
                <w:sz w:val="24"/>
              </w:rPr>
              <w:t>s</w:t>
            </w:r>
            <w:r>
              <w:rPr>
                <w:rFonts w:ascii="Times New Roman" w:hAnsi="Times New Roman"/>
                <w:sz w:val="24"/>
              </w:rPr>
              <w:t>nio 6 dalies b punktą.</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RIZIKA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KRR 105 straipsnio 10 dalis.</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Modelio rizikos AVA įverčiai, apskaičiuoti pagal Deleguotojo reglamento (ES) 2016/101 dėl rizikos ribojimo principais pagrįsto vertinimo 11 straipsnį.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JOS: APSKAIČIUOTA PAGAL EKSPERTŲ ŽINIOMIS GRINDŽIAMĄ METODĄ</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Modelio rizikos AVA įverčiai, apskaičiuoti pagal Deleguotojo reglamento (ES) 2016/101 dėl rizikos ribojimo principais pagrįsto vertinimo 11 straipsnio 4 dalį.</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KONCENTRUOTOS POZICIJOS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KRR 105 straipsnio 11 dalis.</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Koncentruotų pozicijų AVA įverčiai, apskaičiuoti pagal Deleguotojo reglamento (ES) 2016/101 dėl rizikos ribojimo principais pagrįsto vertinimo 14 straipsnį.</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BŪSIMOS ADMINISTRACINĖS IŠLAIDOS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KRR 105 straipsnio 10 dalis.</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Būsimų administracinių išlaidų AVA įverčiai, apskaičiuoti pagal Deleguotojo re</w:t>
            </w:r>
            <w:r>
              <w:rPr>
                <w:rFonts w:ascii="Times New Roman" w:hAnsi="Times New Roman"/>
                <w:sz w:val="24"/>
              </w:rPr>
              <w:t>g</w:t>
            </w:r>
            <w:r>
              <w:rPr>
                <w:rFonts w:ascii="Times New Roman" w:hAnsi="Times New Roman"/>
                <w:sz w:val="24"/>
              </w:rPr>
              <w:t>lamento (ES) 2016/101 dėl rizikos ribojimo principais pagrįsto vertinimo 15 straipsnį.</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PIRMALAIKIS SUTARTIES NUTRAUKIMAS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KRR 105 straipsnio 10 dalis.</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Pirmalaikio sutarties nutraukimo AVA įverčiai, apskaičiuoti pagal Deleguotojo reglamento (ES) 2016/101 dėl rizikos ribojimo principais pagrįsto vertinimo 16 straipsnį.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OPERACINĖ RIZIKA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KRR 105 straipsnio 10 dalis.</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Operacinės rizikos AVA įverčiai, apskaičiuoti pagal Deleguotojo reglamento (ES) 2016/101 dėl rizikos ribojimo principais pagrįsto vertinimo 17 straipsnį.</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BENDRA AVA SUMA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 eilutė: bendra AVA suma, atskaitytina iš nuosavų lėšų pagal KRR 34 ir 105 straipsnius ir atitinkamai nurodyta C 01.00 formos 290 eilutėje. Bendra AVA s</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 xml:space="preserve">ma yra 0030 ir 0180 eilučių verčių suma.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0020 eilutė: 0010 eilutėje nurodytos bendros AVA sumos dalis, atsirandanti dėl prekybos knygos pozicijų (absoliučioji vertė).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0030–0160 eilutės: 0010, 0030, 0050 ir 0070–0100 skilčių verčių suma.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0180–0210 eilutės: bendra AVA suma, susidaranti dėl portfelių pagal atsarginį metodą.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VERTĖS PADIDĖJIMO NEAPIBRĖŽTUMAS (angl. UPSIDE UNCE</w:t>
            </w:r>
            <w:r>
              <w:rPr>
                <w:rStyle w:val="InstructionsTabelleberschrift"/>
                <w:rFonts w:ascii="Times New Roman" w:hAnsi="Times New Roman"/>
                <w:sz w:val="24"/>
              </w:rPr>
              <w:t>R</w:t>
            </w:r>
            <w:r>
              <w:rPr>
                <w:rStyle w:val="InstructionsTabelleberschrift"/>
                <w:rFonts w:ascii="Times New Roman" w:hAnsi="Times New Roman"/>
                <w:sz w:val="24"/>
              </w:rPr>
              <w:t>TAINTY)</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Deleguotojo reglamento (ES) 2016/101 dėl rizikos ribojimo principais pagrįsto vertinimo 8 straipsnio 2 dalis</w:t>
            </w:r>
            <w:r>
              <w: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Vertės padidėjimo neapibrėžtumas apskaičiuojamas ir agreguojamas tuo pačiu p</w:t>
            </w:r>
            <w:r>
              <w:rPr>
                <w:rFonts w:ascii="Times New Roman" w:hAnsi="Times New Roman"/>
                <w:sz w:val="24"/>
              </w:rPr>
              <w:t>a</w:t>
            </w:r>
            <w:r>
              <w:rPr>
                <w:rFonts w:ascii="Times New Roman" w:hAnsi="Times New Roman"/>
                <w:sz w:val="24"/>
              </w:rPr>
              <w:t>grindu kaip bendra AVA suma, apskaičiuota 0110 skiltyje, tačiau vietoj apska</w:t>
            </w:r>
            <w:r>
              <w:rPr>
                <w:rFonts w:ascii="Times New Roman" w:hAnsi="Times New Roman"/>
                <w:sz w:val="24"/>
              </w:rPr>
              <w:t>i</w:t>
            </w:r>
            <w:r>
              <w:rPr>
                <w:rFonts w:ascii="Times New Roman" w:hAnsi="Times New Roman"/>
                <w:sz w:val="24"/>
              </w:rPr>
              <w:t>čiuojant bendrą AVA sumą naudoto 90 % apibrėžtumo lygio nurodomas 10 % apibrėžtumo lygis.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 IR ĮSIPAREIGOJIMAI</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Tikrąja verte įvertinto turto ir įsipareigojimų absoliučioji vertė, atitinkanti AVA įverčių sumas, nurodytas 0010–0130 ir 0180 eilutėse. Kai kuriose eilutėse, ypač 0090–0130, šias sumas gali tekti aproksimuoti arba priskirti remiantis ekspertine išvada.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0010 eilutė: tikrąja verte įvertinto turto ir įsipareigojimų, įtrauktų apskaičiuojant Deleguotojo reglamento (ES) 2016/101 dėl rizikos ribojimo principais pagrįsto vertinimo 4 straipsnio 1 dalyje nurodytą ribą, bendra absoliučioji vertė. Ji apima tikrąja verte įvertinto turto ir įsipareigojimų, kurių AVA įverčiai prilyginti nuliui pagal Deleguotojo reglamento (ES) 2016/101 dėl rizikos ribojimo principais p</w:t>
            </w:r>
            <w:r>
              <w:rPr>
                <w:rFonts w:ascii="Times New Roman" w:hAnsi="Times New Roman"/>
                <w:sz w:val="24"/>
              </w:rPr>
              <w:t>a</w:t>
            </w:r>
            <w:r>
              <w:rPr>
                <w:rFonts w:ascii="Times New Roman" w:hAnsi="Times New Roman"/>
                <w:sz w:val="24"/>
              </w:rPr>
              <w:t xml:space="preserve">grįsto vertinimo 9 straipsnio 2 dalį, 10 straipsnio 2 dalį ar 10 straipsnio 3 dalį ir taip pat atskirai nurodyti 0070 ir 0080 eilutėse, absoliučiąją vertę. </w:t>
            </w:r>
            <w:r>
              <w:rPr>
                <w:rFonts w:ascii="Times New Roman" w:hAnsi="Times New Roman"/>
                <w:sz w:val="24"/>
              </w:rPr>
              <w:br/>
              <w:t xml:space="preserve">0010 eilutėje nurodoma 0030 ir 0180 eilučių verčių suma.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0020 eilutė: 0010 eilutėje nurodytos tikrąja verte įvertinto turto ir įsipareigojimų bendros absoliučiosios vertės dalis, atsirandanti dėl prekybos knygos pozicijų (a</w:t>
            </w:r>
            <w:r>
              <w:rPr>
                <w:rFonts w:ascii="Times New Roman" w:hAnsi="Times New Roman"/>
                <w:sz w:val="24"/>
              </w:rPr>
              <w:t>b</w:t>
            </w:r>
            <w:r>
              <w:rPr>
                <w:rFonts w:ascii="Times New Roman" w:hAnsi="Times New Roman"/>
                <w:sz w:val="24"/>
              </w:rPr>
              <w:t xml:space="preserve">soliučioji vertė).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0030 eilutė: tikrąja verte įvertinto turto ir įsipareigojimų, atitinkančių portfelius pagal Deleguotojo reglamento (ES) 2016/101 dėl rizikos ribojimo principais p</w:t>
            </w:r>
            <w:r>
              <w:rPr>
                <w:rFonts w:ascii="Times New Roman" w:hAnsi="Times New Roman"/>
                <w:sz w:val="24"/>
              </w:rPr>
              <w:t>a</w:t>
            </w:r>
            <w:r>
              <w:rPr>
                <w:rFonts w:ascii="Times New Roman" w:hAnsi="Times New Roman"/>
                <w:sz w:val="24"/>
              </w:rPr>
              <w:t>grįsto vertinimo 9–17 straipsnius, absoliučioji vertė. Ji apima tikrąja verte įvertinto turto ir įsipareigojimų, kurių AVA įverčiai prilyginti nuliui pagal Deleguotojo re</w:t>
            </w:r>
            <w:r>
              <w:rPr>
                <w:rFonts w:ascii="Times New Roman" w:hAnsi="Times New Roman"/>
                <w:sz w:val="24"/>
              </w:rPr>
              <w:t>g</w:t>
            </w:r>
            <w:r>
              <w:rPr>
                <w:rFonts w:ascii="Times New Roman" w:hAnsi="Times New Roman"/>
                <w:sz w:val="24"/>
              </w:rPr>
              <w:t>lamento (ES) 2016/101 dėl rizikos ribojimo principais pagrįsto vertinimo 9 straipsnio 2 dalį, 10 straipsnio 2 dalį ar 10 straipsnio 3 dalį ir taip pat atskirai n</w:t>
            </w:r>
            <w:r>
              <w:rPr>
                <w:rFonts w:ascii="Times New Roman" w:hAnsi="Times New Roman"/>
                <w:sz w:val="24"/>
              </w:rPr>
              <w:t>u</w:t>
            </w:r>
            <w:r>
              <w:rPr>
                <w:rFonts w:ascii="Times New Roman" w:hAnsi="Times New Roman"/>
                <w:sz w:val="24"/>
              </w:rPr>
              <w:t>rodyti 0070 ir 0080 eilutėse, absoliučiąją vertę. 0030 eilutėje nurodoma 0090–0130 eilučių verčių suma.</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0050 eilutė: tikrąja verte įvertinto turto ir įsipareigojimų, įtrauktų apskaičiuojant neuždirbtos kredito maržos AVA įvertį, absoliučioji vertė. Apskaičiuojant šį AVA įvertį, tiksliai atitinkantis ir užskaitomas tikrąja verte įvertintas turtas ir įsipareig</w:t>
            </w:r>
            <w:r>
              <w:rPr>
                <w:rFonts w:ascii="Times New Roman" w:hAnsi="Times New Roman"/>
                <w:sz w:val="24"/>
              </w:rPr>
              <w:t>o</w:t>
            </w:r>
            <w:r>
              <w:rPr>
                <w:rFonts w:ascii="Times New Roman" w:hAnsi="Times New Roman"/>
                <w:sz w:val="24"/>
              </w:rPr>
              <w:t xml:space="preserve">jimai, neįtraukti apskaičiuojant ribą pagal Deleguotojo reglamento (ES) 2016/101 dėl rizikos ribojimo principais pagrįsto vertinimo 4 straipsnio 2 dalį, nebegali būti laikomi tiksliai atitinkančiais ir užskaitomais.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0060 eilutė: tikrąja verte įvertinto turto ir įsipareigojimų, įtrauktų apskaičiuojant investavimo ir finansavimo išlaidų AVA įvertį, absoliučioji vertė. Apskaičiuojant šį AVA įvertį, tiksliai atitinkantis ir užskaitomas tikrąja verte įvertintas turtas ir įsipareigojimai, neįtraukti apskaičiuojant ribą pagal Deleguotojo reglamento (ES) </w:t>
            </w:r>
            <w:r>
              <w:rPr>
                <w:rFonts w:ascii="Times New Roman" w:hAnsi="Times New Roman"/>
                <w:sz w:val="24"/>
              </w:rPr>
              <w:lastRenderedPageBreak/>
              <w:t>2016/101 dėl rizikos ribojimo principais pagrįsto vertinimo 4 straipsnio 2 dalį, n</w:t>
            </w:r>
            <w:r>
              <w:rPr>
                <w:rFonts w:ascii="Times New Roman" w:hAnsi="Times New Roman"/>
                <w:sz w:val="24"/>
              </w:rPr>
              <w:t>e</w:t>
            </w:r>
            <w:r>
              <w:rPr>
                <w:rFonts w:ascii="Times New Roman" w:hAnsi="Times New Roman"/>
                <w:sz w:val="24"/>
              </w:rPr>
              <w:t xml:space="preserve">begali būti laikomi tiksliai atitinkančiais ir užskaitomais.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0070 eilutė: tikrąja verte įvertinto turto ir įsipareigojimų, atitinkančių vertinimo pozicijas, kurių AVA įverčiai pagal Deleguotojo reglamento (ES) 2016/101 dėl r</w:t>
            </w:r>
            <w:r>
              <w:rPr>
                <w:rFonts w:ascii="Times New Roman" w:hAnsi="Times New Roman"/>
                <w:sz w:val="24"/>
              </w:rPr>
              <w:t>i</w:t>
            </w:r>
            <w:r>
              <w:rPr>
                <w:rFonts w:ascii="Times New Roman" w:hAnsi="Times New Roman"/>
                <w:sz w:val="24"/>
              </w:rPr>
              <w:t xml:space="preserve">zikos ribojimo principais pagrįsto vertinimo 9 straipsnio 2 dalį prilyginami nuliui, absoliučioji vertė.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0080 eilutė: tikrąja verte įvertinto turto ir įsipareigojimų, atitinkančių vertinimo pozicijas, kurių AVA įverčiai pagal Deleguotojo reglamento (ES) 2016/101 dėl r</w:t>
            </w:r>
            <w:r>
              <w:rPr>
                <w:rFonts w:ascii="Times New Roman" w:hAnsi="Times New Roman"/>
                <w:sz w:val="24"/>
              </w:rPr>
              <w:t>i</w:t>
            </w:r>
            <w:r>
              <w:rPr>
                <w:rFonts w:ascii="Times New Roman" w:hAnsi="Times New Roman"/>
                <w:sz w:val="24"/>
              </w:rPr>
              <w:t xml:space="preserve">zikos ribojimo principais pagrįsto vertinimo 10 straipsnio 2 arba 3 dalį prilyginami nuliui, absoliučioji vertė.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0090–0130 eilutės: tikrąja verte įvertinto turto ir įsipareigojimų, priskirtų, kaip p</w:t>
            </w:r>
            <w:r>
              <w:rPr>
                <w:rFonts w:ascii="Times New Roman" w:hAnsi="Times New Roman"/>
                <w:sz w:val="24"/>
              </w:rPr>
              <w:t>a</w:t>
            </w:r>
            <w:r>
              <w:rPr>
                <w:rFonts w:ascii="Times New Roman" w:hAnsi="Times New Roman"/>
                <w:sz w:val="24"/>
              </w:rPr>
              <w:t>rodyta toliau (žr. atitinkamus eilučių nurodymus), prie palūkanų normų, užsienio valiutos kurso, kredito, nuosavybės, biržos prekių rizikos kategorijų, absoliučioji vertė. Ji apima tikrąja verte įvertinto turto ir įsipareigojimų, kurių AVA įverčiai prilyginti nuliui pagal Deleguotojo reglamento (ES) 2016/101 dėl rizikos ribojimo principais pagrįsto vertinimo 9 straipsnio 2 dalį, 10 straipsnio 2 dalį ar 10 straip</w:t>
            </w:r>
            <w:r>
              <w:rPr>
                <w:rFonts w:ascii="Times New Roman" w:hAnsi="Times New Roman"/>
                <w:sz w:val="24"/>
              </w:rPr>
              <w:t>s</w:t>
            </w:r>
            <w:r>
              <w:rPr>
                <w:rFonts w:ascii="Times New Roman" w:hAnsi="Times New Roman"/>
                <w:sz w:val="24"/>
              </w:rPr>
              <w:t>nio 3 dalį ir taip pat atskirai nurodyti 0070 ir 0080 eilutėse, absoliučiąją vertę.</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0180 eilutė: tikrąja verte įvertinto turto ir įsipareigojimų, atitinkančių portfelius pagal atsarginį metodą, absoliučioji vertė.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Tikrąja verte įvertinto turto, atitinkančio skirtingas eilutes, kaip paaiškinta pirmiau 0130–0140 skilčių nurodymuose, absoliučioji vertė.</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ĮVERTINTI ĮSIPAREIGOJIMAI</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Tikrąja verte įvertintų įsipareigojimų, atitinkančių skirtingas eilutes, kaip paaiški</w:t>
            </w:r>
            <w:r>
              <w:rPr>
                <w:rFonts w:ascii="Times New Roman" w:hAnsi="Times New Roman"/>
                <w:sz w:val="24"/>
              </w:rPr>
              <w:t>n</w:t>
            </w:r>
            <w:r>
              <w:rPr>
                <w:rFonts w:ascii="Times New Roman" w:hAnsi="Times New Roman"/>
                <w:sz w:val="24"/>
              </w:rPr>
              <w:t>ta pirmiau 0130–0140 skilčių nurodymuose, absoliučioji vertė.</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 PAJAMOS</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Einamojo ketvirčio pajamos (QTD pajamos) nuo paskutinės ataskaitinės datos, s</w:t>
            </w:r>
            <w:r>
              <w:rPr>
                <w:rFonts w:ascii="Times New Roman" w:hAnsi="Times New Roman"/>
                <w:sz w:val="24"/>
              </w:rPr>
              <w:t>u</w:t>
            </w:r>
            <w:r>
              <w:rPr>
                <w:rFonts w:ascii="Times New Roman" w:hAnsi="Times New Roman"/>
                <w:sz w:val="24"/>
              </w:rPr>
              <w:t>sijusios su tikrąja verte įvertintu turtu ir įsipareigojimais, atitinkančiais skirtingas eilutes, kaip paaiškinta pirmiau 0130–0140 skilčių nurodymuose, prireikus priski</w:t>
            </w:r>
            <w:r>
              <w:rPr>
                <w:rFonts w:ascii="Times New Roman" w:hAnsi="Times New Roman"/>
                <w:sz w:val="24"/>
              </w:rPr>
              <w:t>r</w:t>
            </w:r>
            <w:r>
              <w:rPr>
                <w:rFonts w:ascii="Times New Roman" w:hAnsi="Times New Roman"/>
                <w:sz w:val="24"/>
              </w:rPr>
              <w:t>tos arba aproksimuotos remiantis ekspertine išvada.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SKIRTUMAS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Visų pozicijų ir rizikos veiksnių nekoreguotų skirtumo sumų suma (IPV skirt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mas), apskaičiuota prieš pat ataskaitinę datą ėjusio mėnesio pabaigoje atliekant nepriklausomą kainų patikrą pagal KRR 105 straipsnio 8 dalį ir naudojant geria</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 xml:space="preserve">sius turimus nepriklausomus duomenis, susijusius su atitinkama pozicija ar rizikos veiksniu.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Nekoreguotos skirtumo sumos – nekoreguoti skirtumai tarp prekybos sistemos p</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teiktų vertinimų ir vykdant mėnesio IPV procesą įvertintų vertinimų.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TIKROSIOS VERTĖS KOREGAVIMAI</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Koregavimai (kartais vadinami ir rezervais), potencialiai taikomi įstaigos apskait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nei tikrajai vertei ir atliekami ne pagal vertinimo modelį, naudojamą balansinėms vertėms nustatyti (išskyrus pirmos dienos pelno ir nuostolių atidėjimą), kai tie k</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regavimai gali būti siejami su tuo pačiu vertinimo neapibrėžtumo šaltiniu kaip ir atitinkamas AVA. Jie galėtų rodyti rizikos veiksnius, kurių neparodo vertinimo metodika, kurie yra rizikos priedo arba pasitraukimo išlaidų forma ir atitinka tikr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sios vertės apibrėžtį. Tačiau nustatydami kainą rinkos dalyviai vis tiek turėtų į juos atsižvelgti. (13-ojo TFAS 9 ir 88 straipsniai)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RINKOS KAINŲ NEAPIBRĖŽTUMAS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Koregavimas, taikytas įstaigos tikrajai vertei siekiant parodyti rizikos priedą, ats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randantį dėl lygiaverčių priemonių arba – rinkos parametro įvesties į vertinimo modelį atveju – priemonių, iš kurių kalibruojami įvesties duomenys, stebimų kainų įvairovės, kai tas koregavimas gali būti siejamas su tuo pačiu vertinimo neapibrė</w:t>
            </w:r>
            <w:r>
              <w:rPr>
                <w:rStyle w:val="InstructionsTabelleberschrift"/>
                <w:rFonts w:ascii="Times New Roman" w:hAnsi="Times New Roman"/>
                <w:b w:val="0"/>
                <w:sz w:val="24"/>
                <w:u w:val="none"/>
              </w:rPr>
              <w:t>ž</w:t>
            </w:r>
            <w:r>
              <w:rPr>
                <w:rStyle w:val="InstructionsTabelleberschrift"/>
                <w:rFonts w:ascii="Times New Roman" w:hAnsi="Times New Roman"/>
                <w:b w:val="0"/>
                <w:sz w:val="24"/>
                <w:u w:val="none"/>
              </w:rPr>
              <w:t xml:space="preserve">tumo šaltiniu kaip ir rinkos kainų neapibrėžtumo AVA įvertis.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UŽDARYMO IŠLAIDOS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Koregavimas, taikytas įstaigos tikrajai vertei siekiant atsižvelgti į faktą, kad poz</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cijos lygmens vertinimai neapima pozicijos ar portfelio galutinės kainos, ypač kai tokie vertinimai yra kalibruojami pagal vidutinę rinkos kainą, kai tas koregavimas gali būti siejamas su tuo pačiu vertinimo neapibrėžtumo šaltiniu kaip ir pozicijos uždarymo išlaidų AVA įvertis.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RIZIKA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Koregavimas, taikytas įstaigos tikrajai vertei siekiant parodyti rinkos arba produ</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to veiksnius, kurių neparodo modelis, naudojamas pozicijos dienos vertėms ir riz</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kai apskaičiuoti (vertinimo modelis), arba deramą atsargumo lygį atsižvelgiant į neapibrėžtumą dėl egzistuojančių įvairių alternatyvių galiojančių modelių ir mod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lių kalibravimo būdų, kai tas koregavimas gali būti siejamas su tuo pačiu vertin</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mo neapibrėžtumo šaltiniu kaip ir modelio rizikos AVA įvertis.</w:t>
            </w:r>
            <w: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KONCENTRUOTOS POZICIJOS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Koregavimas, taikytas įstaigos tikrajai vertei siekiant parodyti faktą, kad įstaigos turima agreguota pozicija viršija įprastą prekybos apimtį arba pozicijų dydžius, kuriais grindžiamos stebimos kotiruotės arba sandoriai, naudojami kalibruojant vertinimo modeliui naudotą kainą ar įvesties duomenis, kai tas koregavimas gali būti siejamas su tuo pačiu vertinimo neapibrėžtumo šaltiniu kaip ir koncentruotų pozicijų AVA įvertis.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NEUŽDIRBTA KREDITO MARŽA</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Koregavimas, taikytas įstaigos tikrajai vertei siekiant padengti tikėtinus nuostolius dėl sandorio šalies įsipareigojimų nevykdymo, susijusio su išvestinių finansinių priemonių pozicijomis (t. y. įstaigos lygmens kredito vertinimo koregavimas (CVA)).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INVESTAVIMO IR FINANSAVIMO IŠLAIDOS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Koregavimas, taikytas įstaigos tikrajai vertei siekiant kompensuoti trūkumą, ats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randantį, kai vertinimo modeliai ne visiškai atspindi finansavimo išlaidas, kurias rinkos dalyviai įskaičiuotų į pozicijos ar portfelio galutinę kainą (t. y. įstaigos lygmens bendras finansavimo vertinimo koregavimas, kai įstaiga tokį arba kitą l</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giavertį koregavimą apskaičiuoja).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BŪSIMOS ADMINISTRACINĖS IŠLAIDOS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Koregavimas, taikytas įstaigos tikrajai vertei siekiant parodyti portfelio arba poz</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cijos administracines išlaidas, į kurias neatsižvelgta vertinimo modeliu arba ka</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nomis, kurios naudojamos kalibruojant to modelio įvesties duomenis, kai tas kor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gavimas gali būti siejamas su tuo pačiu vertinimo neapibrėžtumo šaltiniu kaip ir būsimų administracinių išlaidų AVA įvertis.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PIRMALAIKIS SUTARTIES NUTRAUKIMAS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Koregavimai, taikyti įstaigos tikrajai vertei siekiant parodyti sutartinę arba nes</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tartinę pirmalaikio nutraukimo tikimybę, į kurią neatsižvelgta vertinimo modeliu, kai tie koregavimai gali būti siejami su tuo pačiu vertinimo neapibrėžtumo šaltiniu kaip ir pirmalaikio sutarties nutraukimo AVA įvertis.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OPERACINĖ RIZIKA</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Koregavimai, taikyti įstaigos tikrajai vertei siekiant parodyti rizikos priedą, kurį rinkos dalyviai taikytų siekdami kompensuoti operacinę riziką, atsirandančią dėl portfelio sutarčių apsidraudimo, administravimo ir atsiskaitymų, kai tie koregav</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mai gali būti siejami su tuo pačiu vertinimo neapibrėžtumo šaltiniu kaip ir oper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cinės rizikos AVA įvertis.</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 DIENOS PELNAS (NUOSTOLIAI)</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Koregavimai, kuriais parodomi atvejai, kai pozicijai ar portfeliui taikomas vert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nimo modelis kartu su visais kitais atitinkamais tikrosios vertės koregavimais 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atspindėjo sumokėtos ar gautos kainos pirminio pripažinimo metu, t. y. pirmos dienos pelno ir nuostolių atidėjimas (9-ojo TFAS B5.1.2.A straipsnis).</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PAAIŠKINIMAS</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Pagal Deleguotojo reglamento (ES) 2016/101 dėl rizikos ribojimo principais p</w:t>
            </w:r>
            <w:r>
              <w:rPr>
                <w:rFonts w:ascii="Times New Roman" w:hAnsi="Times New Roman"/>
                <w:sz w:val="24"/>
              </w:rPr>
              <w:t>a</w:t>
            </w:r>
            <w:r>
              <w:rPr>
                <w:rFonts w:ascii="Times New Roman" w:hAnsi="Times New Roman"/>
                <w:sz w:val="24"/>
              </w:rPr>
              <w:t>grįsto vertinimo 7 straipsnio 2 dalies b punktą vertinamų pozicijų aprašymas, p</w:t>
            </w:r>
            <w:r>
              <w:rPr>
                <w:rFonts w:ascii="Times New Roman" w:hAnsi="Times New Roman"/>
                <w:sz w:val="24"/>
              </w:rPr>
              <w:t>a</w:t>
            </w:r>
            <w:r>
              <w:rPr>
                <w:rFonts w:ascii="Times New Roman" w:hAnsi="Times New Roman"/>
                <w:sz w:val="24"/>
              </w:rPr>
              <w:t>teikiant priežastis, kodėl nebuvo įmanoma taikyti to reglamento 9–17 straipsnių.</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Eilutės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BENDRA SUMA PAGAL PAGRINDINĮ METODĄ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Deleguotojo reglamento (ES) 2016/101 dėl rizikos ribojimo principais pagrįsto vertinimo 7 straipsnio 2 dalis.</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Tikrąja verte įvertinto turto ir įsipareigojimų, įtrauktų apskaičiuojant ribą pagal Deleguotojo reglamento (ES) 2016/101 dėl rizikos ribojimo principais pagrįsto vertinimo 4 straipsnio 1 dalį, visų atitinkamų 0010–0110 skiltyse nurodytų kateg</w:t>
            </w:r>
            <w:r>
              <w:rPr>
                <w:rFonts w:ascii="Times New Roman" w:hAnsi="Times New Roman"/>
                <w:sz w:val="24"/>
              </w:rPr>
              <w:t>o</w:t>
            </w:r>
            <w:r>
              <w:rPr>
                <w:rFonts w:ascii="Times New Roman" w:hAnsi="Times New Roman"/>
                <w:sz w:val="24"/>
              </w:rPr>
              <w:t>rijų AVA įverčių bendra AVA įverčių suma, apskaičiuota pagal pagrindinį met</w:t>
            </w:r>
            <w:r>
              <w:rPr>
                <w:rFonts w:ascii="Times New Roman" w:hAnsi="Times New Roman"/>
                <w:sz w:val="24"/>
              </w:rPr>
              <w:t>o</w:t>
            </w:r>
            <w:r>
              <w:rPr>
                <w:rFonts w:ascii="Times New Roman" w:hAnsi="Times New Roman"/>
                <w:sz w:val="24"/>
              </w:rPr>
              <w:t>dą, kaip nurodyta Deleguotojo reglamento (ES) 2016/101 dėl rizikos ribojimo principais pagrįsto vertinimo 3 skyriuje. Ji apima diversifikavimo naudą, nurodytą 0140 eilutėje pagal Deleguotojo reglamento (ES) 2016/101 dėl rizikos ribojimo principais pagrįsto vertinimo 9 straipsnio 6 dalį, 10 straipsnio 7 dalį ir 11 straip</w:t>
            </w:r>
            <w:r>
              <w:rPr>
                <w:rFonts w:ascii="Times New Roman" w:hAnsi="Times New Roman"/>
                <w:sz w:val="24"/>
              </w:rPr>
              <w:t>s</w:t>
            </w:r>
            <w:r>
              <w:rPr>
                <w:rFonts w:ascii="Times New Roman" w:hAnsi="Times New Roman"/>
                <w:sz w:val="24"/>
              </w:rPr>
              <w:t xml:space="preserve">nio 7 dalį.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IŠ JŲ: PREKYBOS KNYGOJE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Deleguotojo reglamento (ES) 2016/101 dėl rizikos ribojimo principais pagrįsto vertinimo 7 straipsnio 2 dalis.</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Visų atitinkamų 0010–0110 skiltyse nurodytų kategorijų AVA įverčių bendros AVA įverčių sumos, nurodytos 0010 eilutėje, dalis, atsirandanti dėl prekybos kn</w:t>
            </w:r>
            <w:r>
              <w:rPr>
                <w:rFonts w:ascii="Times New Roman" w:hAnsi="Times New Roman"/>
                <w:sz w:val="24"/>
              </w:rPr>
              <w:t>y</w:t>
            </w:r>
            <w:r>
              <w:rPr>
                <w:rFonts w:ascii="Times New Roman" w:hAnsi="Times New Roman"/>
                <w:sz w:val="24"/>
              </w:rPr>
              <w:t>gos pozicijų (absoliučioji vertė).</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PORTFELIAI PAGAL 9–17 STRAIPSNIUS. BENDRA KATEGORIJOS LYGMENS SUMA PO DIVERSIFIKAVIMO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Deleguotojo reglamento (ES) 2016/101 dėl rizikos ribojimo principais pagrįsto vertinimo 7 straipsnio 2 dalies a punktas.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Tikrąja verte įvertinto turto ir įsipareigojimų, įtrauktų apskaičiuojant ribą pagal Deleguotojo reglamento (ES) 2016/101 dėl rizikos ribojimo principais pagrįsto vertinimo 4 straipsnio 1 dalį, išskyrus tikrąja verte įvertintą turtą ir įsipareigoj</w:t>
            </w:r>
            <w:r>
              <w:rPr>
                <w:rFonts w:ascii="Times New Roman" w:hAnsi="Times New Roman"/>
                <w:sz w:val="24"/>
              </w:rPr>
              <w:t>i</w:t>
            </w:r>
            <w:r>
              <w:rPr>
                <w:rFonts w:ascii="Times New Roman" w:hAnsi="Times New Roman"/>
                <w:sz w:val="24"/>
              </w:rPr>
              <w:t>mus, kuriems taikoma tvarka, aprašyta Deleguotojo reglamento (ES) 2016/101 dėl rizikos ribojimo principais pagrįsto vertinimo 7 straipsnio 2 dalies b punkte, visų atitinkamų 0010–0110 skiltyse nurodytų kategorijų AVA įverčių bendra AVA įverčių suma, apskaičiuota pagal Deleguotojo reglamento (ES) 2016/101 dėl riz</w:t>
            </w:r>
            <w:r>
              <w:rPr>
                <w:rFonts w:ascii="Times New Roman" w:hAnsi="Times New Roman"/>
                <w:sz w:val="24"/>
              </w:rPr>
              <w:t>i</w:t>
            </w:r>
            <w:r>
              <w:rPr>
                <w:rFonts w:ascii="Times New Roman" w:hAnsi="Times New Roman"/>
                <w:sz w:val="24"/>
              </w:rPr>
              <w:t xml:space="preserve">kos ribojimo principais pagrįsto vertinimo 9–17 straipsnius.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Ji apima AVA įverčius, apskaičiuotus pagal Deleguotojo reglamento (ES) 2016/101 dėl rizikos ribojimo principais pagrįsto vertinimo 12 ir 13 straipsnius, nurodytus 0050 ir 0060 eilutėse ir įtrauktus į rinkos kainų neapibrėžtumo, pozic</w:t>
            </w:r>
            <w:r>
              <w:rPr>
                <w:rFonts w:ascii="Times New Roman" w:hAnsi="Times New Roman"/>
                <w:sz w:val="24"/>
              </w:rPr>
              <w:t>i</w:t>
            </w:r>
            <w:r>
              <w:rPr>
                <w:rFonts w:ascii="Times New Roman" w:hAnsi="Times New Roman"/>
                <w:sz w:val="24"/>
              </w:rPr>
              <w:t xml:space="preserve">jos uždarymo išlaidų ir modelio rizikos AVA įverčius, kaip nurodyta Deleguotojo reglamento (ES) 2016/101 dėl rizikos ribojimo principais pagrįsto vertinimo 12 straipsnio 2 dalyje ir 13 straipsnio 2 dalyje.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Ji apima diversifikavimo naudą, nurodytą 0140 eilutėje pagal Deleguotojo regl</w:t>
            </w:r>
            <w:r>
              <w:rPr>
                <w:rFonts w:ascii="Times New Roman" w:hAnsi="Times New Roman"/>
                <w:sz w:val="24"/>
              </w:rPr>
              <w:t>a</w:t>
            </w:r>
            <w:r>
              <w:rPr>
                <w:rFonts w:ascii="Times New Roman" w:hAnsi="Times New Roman"/>
                <w:sz w:val="24"/>
              </w:rPr>
              <w:t>mento (ES) 2016/101 dėl rizikos ribojimo principais pagrįsto vertinimo 9 straip</w:t>
            </w:r>
            <w:r>
              <w:rPr>
                <w:rFonts w:ascii="Times New Roman" w:hAnsi="Times New Roman"/>
                <w:sz w:val="24"/>
              </w:rPr>
              <w:t>s</w:t>
            </w:r>
            <w:r>
              <w:rPr>
                <w:rFonts w:ascii="Times New Roman" w:hAnsi="Times New Roman"/>
                <w:sz w:val="24"/>
              </w:rPr>
              <w:t xml:space="preserve">nio 6 dalį, 10 straipsnio 7 dalį ir 11 straipsnio 7 dalį.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Todėl 0030 eilutėje turėtų būti 0040 ir 0140 eilučių verčių skirtumas.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BENDRA KATEGORIJOS LYGMENS SUMA PRIEŠ DIVERSIF</w:t>
            </w:r>
            <w:r>
              <w:rPr>
                <w:rFonts w:ascii="Times New Roman" w:hAnsi="Times New Roman"/>
                <w:b/>
                <w:sz w:val="24"/>
                <w:u w:val="single"/>
              </w:rPr>
              <w:t>I</w:t>
            </w:r>
            <w:r>
              <w:rPr>
                <w:rFonts w:ascii="Times New Roman" w:hAnsi="Times New Roman"/>
                <w:b/>
                <w:sz w:val="24"/>
                <w:u w:val="single"/>
              </w:rPr>
              <w:t>KAVIMĄ</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Pildydamos 0090–0130 eilutes, įstaigos savo tikrąja verte įvertintą turtą ir įsip</w:t>
            </w:r>
            <w:r>
              <w:rPr>
                <w:rFonts w:ascii="Times New Roman" w:hAnsi="Times New Roman"/>
                <w:sz w:val="24"/>
              </w:rPr>
              <w:t>a</w:t>
            </w:r>
            <w:r>
              <w:rPr>
                <w:rFonts w:ascii="Times New Roman" w:hAnsi="Times New Roman"/>
                <w:sz w:val="24"/>
              </w:rPr>
              <w:t>reigojimus, įtrauktus apskaičiuojant ribą pagal Deleguotojo reglamento (ES) 2016/101 dėl rizikos ribojimo principais pagrįsto vertinimo 4 straipsnio 1 dalį, pr</w:t>
            </w:r>
            <w:r>
              <w:rPr>
                <w:rFonts w:ascii="Times New Roman" w:hAnsi="Times New Roman"/>
                <w:sz w:val="24"/>
              </w:rPr>
              <w:t>i</w:t>
            </w:r>
            <w:r>
              <w:rPr>
                <w:rFonts w:ascii="Times New Roman" w:hAnsi="Times New Roman"/>
                <w:sz w:val="24"/>
              </w:rPr>
              <w:t xml:space="preserve">skiria prie palūkanų normų, užsienio valiutos kurso, kredito, nuosavybės ir biržos </w:t>
            </w:r>
            <w:r>
              <w:rPr>
                <w:rFonts w:ascii="Times New Roman" w:hAnsi="Times New Roman"/>
                <w:sz w:val="24"/>
              </w:rPr>
              <w:lastRenderedPageBreak/>
              <w:t xml:space="preserve">prekių rizikos kategorijų.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Tuo tikslu įstaigos remiasi savo vidaus rizikos valdymo struktūra ir, atsižvelgd</w:t>
            </w:r>
            <w:r>
              <w:rPr>
                <w:rFonts w:ascii="Times New Roman" w:hAnsi="Times New Roman"/>
                <w:sz w:val="24"/>
              </w:rPr>
              <w:t>a</w:t>
            </w:r>
            <w:r>
              <w:rPr>
                <w:rFonts w:ascii="Times New Roman" w:hAnsi="Times New Roman"/>
                <w:sz w:val="24"/>
              </w:rPr>
              <w:t>mos į pagal ekspertinę išvadą nustatytą susiejimą, priskiria savo verslo linijas arba prekybos operacijų sąrašus prie tinkamiausios rizikos kategorijos. Tada AVA įverčiai, tikrosios vertės koregavimai ir kita privaloma informacija, atitinkantys priskirtas verslo linijas arba prekybos operacijų sąrašus, priskiriami prie tos pačios atitinkamos rizikos kategorijos siekiant eilutės lygmeniu kiekvienai rizikos kat</w:t>
            </w:r>
            <w:r>
              <w:rPr>
                <w:rFonts w:ascii="Times New Roman" w:hAnsi="Times New Roman"/>
                <w:sz w:val="24"/>
              </w:rPr>
              <w:t>e</w:t>
            </w:r>
            <w:r>
              <w:rPr>
                <w:rFonts w:ascii="Times New Roman" w:hAnsi="Times New Roman"/>
                <w:sz w:val="24"/>
              </w:rPr>
              <w:t>gorijai pateikti nuoseklią koregavimų, atliktų tiek rizikos ribojimo tikslais, tiek a</w:t>
            </w:r>
            <w:r>
              <w:rPr>
                <w:rFonts w:ascii="Times New Roman" w:hAnsi="Times New Roman"/>
                <w:sz w:val="24"/>
              </w:rPr>
              <w:t>p</w:t>
            </w:r>
            <w:r>
              <w:rPr>
                <w:rFonts w:ascii="Times New Roman" w:hAnsi="Times New Roman"/>
                <w:sz w:val="24"/>
              </w:rPr>
              <w:t>skaitos tikslais, apžvalgą ir nurodyti susijusių pozicijų dydį (tikrąja verte įvertinto turto ir įsipareigojimų atžvilgiu). Kai AVA ar kiti koregavimai apskaičiuojami n</w:t>
            </w:r>
            <w:r>
              <w:rPr>
                <w:rFonts w:ascii="Times New Roman" w:hAnsi="Times New Roman"/>
                <w:sz w:val="24"/>
              </w:rPr>
              <w:t>e</w:t>
            </w:r>
            <w:r>
              <w:rPr>
                <w:rFonts w:ascii="Times New Roman" w:hAnsi="Times New Roman"/>
                <w:sz w:val="24"/>
              </w:rPr>
              <w:t>vienodu agregavimo lygmeniu, visų pirma įmonės lygmeniu, įstaigos parengia AVA įverčių priskyrimo prie atitinkamų pozicijų grupių metodiką. Pagal prisk</w:t>
            </w:r>
            <w:r>
              <w:rPr>
                <w:rFonts w:ascii="Times New Roman" w:hAnsi="Times New Roman"/>
                <w:sz w:val="24"/>
              </w:rPr>
              <w:t>y</w:t>
            </w:r>
            <w:r>
              <w:rPr>
                <w:rFonts w:ascii="Times New Roman" w:hAnsi="Times New Roman"/>
                <w:sz w:val="24"/>
              </w:rPr>
              <w:t xml:space="preserve">rimo metodiką 0040 eilutėje turi būti 0010–0100 skilčių 0050–0130 eilučių suma.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Nepriklausomai nuo taikyto metodo, nurodoma informacija, kiek įmanoma, eilutės lygmeniu turi būti nuosekli, nes pateikta informacija bus lyginama šiuo lygmeniu (AVA sumos, vertės padidėjimo neapibrėžtumas, tikrosios vertės sumos ir pote</w:t>
            </w:r>
            <w:r>
              <w:rPr>
                <w:rFonts w:ascii="Times New Roman" w:hAnsi="Times New Roman"/>
                <w:sz w:val="24"/>
              </w:rPr>
              <w:t>n</w:t>
            </w:r>
            <w:r>
              <w:rPr>
                <w:rFonts w:ascii="Times New Roman" w:hAnsi="Times New Roman"/>
                <w:sz w:val="24"/>
              </w:rPr>
              <w:t xml:space="preserve">cialūs tikrosios vertės koregavimai).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Suskirstymas 0090–0130 eilutėse neapima AVA įverčių, apskaičiuotų pagal Del</w:t>
            </w:r>
            <w:r>
              <w:rPr>
                <w:rFonts w:ascii="Times New Roman" w:hAnsi="Times New Roman"/>
                <w:sz w:val="24"/>
              </w:rPr>
              <w:t>e</w:t>
            </w:r>
            <w:r>
              <w:rPr>
                <w:rFonts w:ascii="Times New Roman" w:hAnsi="Times New Roman"/>
                <w:sz w:val="24"/>
              </w:rPr>
              <w:t>guotojo reglamento (ES) 2016/101 dėl rizikos ribojimo principais pagrįsto vert</w:t>
            </w:r>
            <w:r>
              <w:rPr>
                <w:rFonts w:ascii="Times New Roman" w:hAnsi="Times New Roman"/>
                <w:sz w:val="24"/>
              </w:rPr>
              <w:t>i</w:t>
            </w:r>
            <w:r>
              <w:rPr>
                <w:rFonts w:ascii="Times New Roman" w:hAnsi="Times New Roman"/>
                <w:sz w:val="24"/>
              </w:rPr>
              <w:t xml:space="preserve">nimo 12 ir 13 straipsnius, nurodytų 0050 ir 0060 eilutėse ir įtrauktų į rinkos kainų neapibrėžtumo, pozicijos uždarymo išlaidų ir modelio rizikos AVA įverčius, kaip nurodyta Deleguotojo reglamento (ES) 2016/101 dėl rizikos ribojimo principais pagrįsto vertinimo 12 straipsnio 2 dalyje ir 13 straipsnio 2 dalyje.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Diversifikavimo nauda pagal Deleguotojo reglamento (ES) 2016/101 dėl rizikos ribojimo principais pagrįsto vertinimo 9 straipsnio 6 dalį, 10 straipsnio 7 dalį ir 11 straipsnio 7 dalį nurodoma 0140 eilutėje, todėl į 0040–0130 eilutes neįtraukiama.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IŠ JOS: NEUŽDIRBTOS KREDITO MARŽOS AVA</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KRR 105 straipsnio 10 dalis, Deleguotojo reglamento (ES) 2016/101 dėl rizikos ribojimo principais pagrįsto vertinimo 12 straipsnis.</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Bendra neuždirbtos kredito maržos AVA suma ir jos priskyrimas prie rinkos kainų neapibrėžtumo, pozicijos uždarymo išlaidų ar modelio rizikos AVA įverčių kat</w:t>
            </w:r>
            <w:r>
              <w:rPr>
                <w:rFonts w:ascii="Times New Roman" w:hAnsi="Times New Roman"/>
                <w:sz w:val="24"/>
              </w:rPr>
              <w:t>e</w:t>
            </w:r>
            <w:r>
              <w:rPr>
                <w:rFonts w:ascii="Times New Roman" w:hAnsi="Times New Roman"/>
                <w:sz w:val="24"/>
              </w:rPr>
              <w:t xml:space="preserve">gorijų pagal Deleguotojo reglamento (ES) 2016/101 dėl rizikos ribojimo principais pagrįsto vertinimo 12 straipsnį.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0110 skiltis: bendra AVA suma pateikiama tik informacijos tikslu, nes pagal pr</w:t>
            </w:r>
            <w:r>
              <w:rPr>
                <w:rFonts w:ascii="Times New Roman" w:hAnsi="Times New Roman"/>
                <w:sz w:val="24"/>
              </w:rPr>
              <w:t>i</w:t>
            </w:r>
            <w:r>
              <w:rPr>
                <w:rFonts w:ascii="Times New Roman" w:hAnsi="Times New Roman"/>
                <w:sz w:val="24"/>
              </w:rPr>
              <w:t>skyrimą prie rinkos kainų neapibrėžtumo, pozicijos uždarymo išlaidų ar modelio rizikos AVA įverčių kategorijų (ir atsižvelgus į diversifikavimo naudą) ji įtra</w:t>
            </w:r>
            <w:r>
              <w:rPr>
                <w:rFonts w:ascii="Times New Roman" w:hAnsi="Times New Roman"/>
                <w:sz w:val="24"/>
              </w:rPr>
              <w:t>u</w:t>
            </w:r>
            <w:r>
              <w:rPr>
                <w:rFonts w:ascii="Times New Roman" w:hAnsi="Times New Roman"/>
                <w:sz w:val="24"/>
              </w:rPr>
              <w:t xml:space="preserve">kiama į atitinkamos kategorijos lygmens AVA įverčius.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0130 ir 0140 skiltys: tikrąja verte įvertinto turto ir įsipareigojimų, įtrauktų apska</w:t>
            </w:r>
            <w:r>
              <w:rPr>
                <w:rFonts w:ascii="Times New Roman" w:hAnsi="Times New Roman"/>
                <w:sz w:val="24"/>
              </w:rPr>
              <w:t>i</w:t>
            </w:r>
            <w:r>
              <w:rPr>
                <w:rFonts w:ascii="Times New Roman" w:hAnsi="Times New Roman"/>
                <w:sz w:val="24"/>
              </w:rPr>
              <w:t>čiuojant neuždirbtos kredito maržos AVA įverčius, absoliučioji vertė. Apskaičiu</w:t>
            </w:r>
            <w:r>
              <w:rPr>
                <w:rFonts w:ascii="Times New Roman" w:hAnsi="Times New Roman"/>
                <w:sz w:val="24"/>
              </w:rPr>
              <w:t>o</w:t>
            </w:r>
            <w:r>
              <w:rPr>
                <w:rFonts w:ascii="Times New Roman" w:hAnsi="Times New Roman"/>
                <w:sz w:val="24"/>
              </w:rPr>
              <w:t>jant šį AVA įvertį, tiksliai atitinkantis ir užskaitomas tikrąja verte įvertintas turtas ir įsipareigojimai, neįtraukti apskaičiuojant ribą pagal Deleguotojo reglamento (ES) 2016/101 dėl rizikos ribojimo principais pagrįsto vertinimo 4 straipsnio 2 d</w:t>
            </w:r>
            <w:r>
              <w:rPr>
                <w:rFonts w:ascii="Times New Roman" w:hAnsi="Times New Roman"/>
                <w:sz w:val="24"/>
              </w:rPr>
              <w:t>a</w:t>
            </w:r>
            <w:r>
              <w:rPr>
                <w:rFonts w:ascii="Times New Roman" w:hAnsi="Times New Roman"/>
                <w:sz w:val="24"/>
              </w:rPr>
              <w:t>lį, nebegali būti laikomi tiksliai atitinkančiais ir užskaitomais.</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IŠ JOS: INVESTAVIMO IR FINANSAVIMO IŠLAIDŲ AVA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KRR 105 straipsnio 10 dalis, Deleguotojo reglamento (ES) 2016/101 dėl rizikos ribojimo principais pagrįsto vertinimo 17 straipsnis.</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Bendra investavimo ir finansavimo išlaidų AVA suma ir jos priskyrimas prie ri</w:t>
            </w:r>
            <w:r>
              <w:rPr>
                <w:rFonts w:ascii="Times New Roman" w:hAnsi="Times New Roman"/>
                <w:sz w:val="24"/>
              </w:rPr>
              <w:t>n</w:t>
            </w:r>
            <w:r>
              <w:rPr>
                <w:rFonts w:ascii="Times New Roman" w:hAnsi="Times New Roman"/>
                <w:sz w:val="24"/>
              </w:rPr>
              <w:t>kos kainų neapibrėžtumo, pozicijos uždarymo išlaidų ar modelio rizikos AVA įverčių kategorijų pagal Deleguotojo reglamento (ES) 2016/101 dėl rizikos riboj</w:t>
            </w:r>
            <w:r>
              <w:rPr>
                <w:rFonts w:ascii="Times New Roman" w:hAnsi="Times New Roman"/>
                <w:sz w:val="24"/>
              </w:rPr>
              <w:t>i</w:t>
            </w:r>
            <w:r>
              <w:rPr>
                <w:rFonts w:ascii="Times New Roman" w:hAnsi="Times New Roman"/>
                <w:sz w:val="24"/>
              </w:rPr>
              <w:t xml:space="preserve">mo principais pagrįsto vertinimo 13 straipsnį.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0110 skiltis: bendra AVA suma pateikiama tik informacijos tikslu, nes pagal pr</w:t>
            </w:r>
            <w:r>
              <w:rPr>
                <w:rFonts w:ascii="Times New Roman" w:hAnsi="Times New Roman"/>
                <w:sz w:val="24"/>
              </w:rPr>
              <w:t>i</w:t>
            </w:r>
            <w:r>
              <w:rPr>
                <w:rFonts w:ascii="Times New Roman" w:hAnsi="Times New Roman"/>
                <w:sz w:val="24"/>
              </w:rPr>
              <w:t>skyrimą prie rinkos kainų neapibrėžtumo, pozicijos uždarymo išlaidų ar modelio rizikos AVA įverčių kategorijų (ir atsižvelgus į diversifikavimo naudą) ji įtra</w:t>
            </w:r>
            <w:r>
              <w:rPr>
                <w:rFonts w:ascii="Times New Roman" w:hAnsi="Times New Roman"/>
                <w:sz w:val="24"/>
              </w:rPr>
              <w:t>u</w:t>
            </w:r>
            <w:r>
              <w:rPr>
                <w:rFonts w:ascii="Times New Roman" w:hAnsi="Times New Roman"/>
                <w:sz w:val="24"/>
              </w:rPr>
              <w:t xml:space="preserve">kiama į atitinkamos kategorijos lygmens AVA įverčius.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0130 ir 0140 skiltys: tikrąja verte įvertinto turto ir įsipareigojimų, įtrauktų apska</w:t>
            </w:r>
            <w:r>
              <w:rPr>
                <w:rFonts w:ascii="Times New Roman" w:hAnsi="Times New Roman"/>
                <w:sz w:val="24"/>
              </w:rPr>
              <w:t>i</w:t>
            </w:r>
            <w:r>
              <w:rPr>
                <w:rFonts w:ascii="Times New Roman" w:hAnsi="Times New Roman"/>
                <w:sz w:val="24"/>
              </w:rPr>
              <w:t>čiuojant investavimo ir finansavimo išlaidų AVA įvertį, absoliučioji vertė. A</w:t>
            </w:r>
            <w:r>
              <w:rPr>
                <w:rFonts w:ascii="Times New Roman" w:hAnsi="Times New Roman"/>
                <w:sz w:val="24"/>
              </w:rPr>
              <w:t>p</w:t>
            </w:r>
            <w:r>
              <w:rPr>
                <w:rFonts w:ascii="Times New Roman" w:hAnsi="Times New Roman"/>
                <w:sz w:val="24"/>
              </w:rPr>
              <w:t>skaičiuojant šį AVA įvertį, tiksliai atitinkantis ir užskaitomas tikrąja verte įverti</w:t>
            </w:r>
            <w:r>
              <w:rPr>
                <w:rFonts w:ascii="Times New Roman" w:hAnsi="Times New Roman"/>
                <w:sz w:val="24"/>
              </w:rPr>
              <w:t>n</w:t>
            </w:r>
            <w:r>
              <w:rPr>
                <w:rFonts w:ascii="Times New Roman" w:hAnsi="Times New Roman"/>
                <w:sz w:val="24"/>
              </w:rPr>
              <w:t>tas turtas ir įsipareigojimai, neįtraukti apskaičiuojant ribą pagal Deleguotojo re</w:t>
            </w:r>
            <w:r>
              <w:rPr>
                <w:rFonts w:ascii="Times New Roman" w:hAnsi="Times New Roman"/>
                <w:sz w:val="24"/>
              </w:rPr>
              <w:t>g</w:t>
            </w:r>
            <w:r>
              <w:rPr>
                <w:rFonts w:ascii="Times New Roman" w:hAnsi="Times New Roman"/>
                <w:sz w:val="24"/>
              </w:rPr>
              <w:t>lamento (ES) 2016/101 dėl rizikos ribojimo principais pagrįsto vertinimo 4 straipsnio 2 dalį, nebegali būti laikomi tiksliai atitinkančiais ir užskaitomais.</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IŠ JOS: AVA ĮVERTIS, KURIS PAGAL 9 STRAIPSNIO 2 DALĮ YRA N</w:t>
            </w:r>
            <w:r>
              <w:rPr>
                <w:rFonts w:ascii="Times New Roman" w:hAnsi="Times New Roman"/>
                <w:b/>
                <w:sz w:val="24"/>
                <w:u w:val="single"/>
              </w:rPr>
              <w:t>U</w:t>
            </w:r>
            <w:r>
              <w:rPr>
                <w:rFonts w:ascii="Times New Roman" w:hAnsi="Times New Roman"/>
                <w:b/>
                <w:sz w:val="24"/>
                <w:u w:val="single"/>
              </w:rPr>
              <w:t xml:space="preserve">LIS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tikrąja verte įvertinto turto ir įsipareigojimų, atitinkančių vertinimo pozicijas, k</w:t>
            </w:r>
            <w:r>
              <w:rPr>
                <w:rFonts w:ascii="Times New Roman" w:hAnsi="Times New Roman"/>
                <w:sz w:val="24"/>
              </w:rPr>
              <w:t>u</w:t>
            </w:r>
            <w:r>
              <w:rPr>
                <w:rFonts w:ascii="Times New Roman" w:hAnsi="Times New Roman"/>
                <w:sz w:val="24"/>
              </w:rPr>
              <w:t>rių AVA įverčiai pagal Deleguotojo reglamento (ES) 2016/101 dėl rizikos riboj</w:t>
            </w:r>
            <w:r>
              <w:rPr>
                <w:rFonts w:ascii="Times New Roman" w:hAnsi="Times New Roman"/>
                <w:sz w:val="24"/>
              </w:rPr>
              <w:t>i</w:t>
            </w:r>
            <w:r>
              <w:rPr>
                <w:rFonts w:ascii="Times New Roman" w:hAnsi="Times New Roman"/>
                <w:sz w:val="24"/>
              </w:rPr>
              <w:t xml:space="preserve">mo principais pagrįsto vertinimo 9 straipsnio 2 dalį prilyginami nuliui, absoliučioji vertė.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IŠ JOS: AVA ĮVERTIS, KURIS PAGAL 10 STRAIPSNIO 2 IR 3 DALIS YRA NULIS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Tikrąja verte įvertinto turto ir įsipareigojimų, atitinkančių vertinimo pozicijas, k</w:t>
            </w:r>
            <w:r>
              <w:rPr>
                <w:rFonts w:ascii="Times New Roman" w:hAnsi="Times New Roman"/>
                <w:sz w:val="24"/>
              </w:rPr>
              <w:t>u</w:t>
            </w:r>
            <w:r>
              <w:rPr>
                <w:rFonts w:ascii="Times New Roman" w:hAnsi="Times New Roman"/>
                <w:sz w:val="24"/>
              </w:rPr>
              <w:t>rių AVA įverčiai pagal Deleguotojo reglamento (ES) 2016/101 dėl rizikos riboj</w:t>
            </w:r>
            <w:r>
              <w:rPr>
                <w:rFonts w:ascii="Times New Roman" w:hAnsi="Times New Roman"/>
                <w:sz w:val="24"/>
              </w:rPr>
              <w:t>i</w:t>
            </w:r>
            <w:r>
              <w:rPr>
                <w:rFonts w:ascii="Times New Roman" w:hAnsi="Times New Roman"/>
                <w:sz w:val="24"/>
              </w:rPr>
              <w:t>mo principais pagrįsto vertinimo 10 straipsnio 2 arba 3 dalį prilyginami nuliui, a</w:t>
            </w:r>
            <w:r>
              <w:rPr>
                <w:rFonts w:ascii="Times New Roman" w:hAnsi="Times New Roman"/>
                <w:sz w:val="24"/>
              </w:rPr>
              <w:t>b</w:t>
            </w:r>
            <w:r>
              <w:rPr>
                <w:rFonts w:ascii="Times New Roman" w:hAnsi="Times New Roman"/>
                <w:sz w:val="24"/>
              </w:rPr>
              <w:t>soliučioji vertė.</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PALŪKANŲ NORMOS</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UŽSIENIO VALIUTOS KURSAS</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KREDITAS</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NUOSAVYBĖ</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BIRŽOS PREKĖS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Diversifikavimo nauda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Bendra diversifikavimo naudos suma. 0150 ir 0160 eilučių verčių suma.</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Diversifikavimo nauda, apskaičiuota pagal 1 metodą</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Tų kategorijų AVA įverčių, kurie sumuojami pagal 1 metodą pagal Deleguotojo reglamento (ES) 2016/101 dėl rizikos ribojimo principais pagrįsto vertinimo 9 straipsnio 6 dalį, 10 straipsnio 7 dalį ir 11 straipsnio 6 dalį, skirtumas tarp indiv</w:t>
            </w:r>
            <w:r>
              <w:rPr>
                <w:rFonts w:ascii="Times New Roman" w:hAnsi="Times New Roman"/>
                <w:sz w:val="24"/>
              </w:rPr>
              <w:t>i</w:t>
            </w:r>
            <w:r>
              <w:rPr>
                <w:rFonts w:ascii="Times New Roman" w:hAnsi="Times New Roman"/>
                <w:sz w:val="24"/>
              </w:rPr>
              <w:t>dualių AVA įverčių sumos ir bendros kategorijos lygmens AVA įverčių vertės, pakoreguotos sumuojant.</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Diversifikavimo nauda, apskaičiuota pagal 2 metodą</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Tų kategorijų AVA įverčių, kurie sumuojami pagal 2 metodą pagal Deleguotojo reglamento (ES) 2016/101 dėl rizikos ribojimo principais pagrįsto vertinimo 9 straipsnio 6 dalį, 10 straipsnio 7 dalį ir 11 straipsnio 6 dalį, skirtumas tarp indiv</w:t>
            </w:r>
            <w:r>
              <w:rPr>
                <w:rFonts w:ascii="Times New Roman" w:hAnsi="Times New Roman"/>
                <w:sz w:val="24"/>
              </w:rPr>
              <w:t>i</w:t>
            </w:r>
            <w:r>
              <w:rPr>
                <w:rFonts w:ascii="Times New Roman" w:hAnsi="Times New Roman"/>
                <w:sz w:val="24"/>
              </w:rPr>
              <w:t>dualių AVA įverčių sumos ir bendros kategorijos lygmens AVA įverčių vertės, pakoreguotos sumuojant.</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Papildomas straipsnis. AVA įverčiai prieš divers</w:t>
            </w:r>
            <w:r>
              <w:rPr>
                <w:rFonts w:ascii="Times New Roman" w:hAnsi="Times New Roman"/>
                <w:b/>
                <w:caps/>
                <w:sz w:val="24"/>
                <w:u w:val="single"/>
              </w:rPr>
              <w:t>i</w:t>
            </w:r>
            <w:r>
              <w:rPr>
                <w:rFonts w:ascii="Times New Roman" w:hAnsi="Times New Roman"/>
                <w:b/>
                <w:caps/>
                <w:sz w:val="24"/>
                <w:u w:val="single"/>
              </w:rPr>
              <w:t>fikavimą, diversifikuojant pagal 2 metodą sumažinti daugiau kaip 90 %</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Pagal 2 metodo terminiją: FV suma – visų vertinimo pozicijų, kurių APVA &lt; 10 %, PV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 Portfeliai, apskaičiuoti pagal atsarginį metodą (angl. </w:t>
            </w:r>
            <w:r>
              <w:rPr>
                <w:rFonts w:ascii="Times New Roman" w:hAnsi="Times New Roman"/>
                <w:b/>
                <w:i/>
                <w:caps/>
                <w:sz w:val="24"/>
                <w:u w:val="single"/>
              </w:rPr>
              <w:t>fall-back approach</w:t>
            </w:r>
            <w:r>
              <w:rPr>
                <w:rFonts w:ascii="Times New Roman" w:hAnsi="Times New Roman"/>
                <w:b/>
                <w:caps/>
                <w:sz w:val="24"/>
                <w:u w:val="single"/>
              </w:rPr>
              <w: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Deleguotojo reglamento (ES) 2016/101 dėl rizikos ribojimo principais pagrįsto vertinimo 7 straipsnio 2 dalies b punktas.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Portfelių, kuriems pagal Deleguotojo reglamento (ES) 2016/101 dėl rizikos rib</w:t>
            </w:r>
            <w:r>
              <w:rPr>
                <w:rFonts w:ascii="Times New Roman" w:hAnsi="Times New Roman"/>
                <w:sz w:val="24"/>
              </w:rPr>
              <w:t>o</w:t>
            </w:r>
            <w:r>
              <w:rPr>
                <w:rFonts w:ascii="Times New Roman" w:hAnsi="Times New Roman"/>
                <w:sz w:val="24"/>
              </w:rPr>
              <w:t>jimo principais pagrįsto vertinimo 7 straipsnio 2 dalies b punktą taikomas atsarg</w:t>
            </w:r>
            <w:r>
              <w:rPr>
                <w:rFonts w:ascii="Times New Roman" w:hAnsi="Times New Roman"/>
                <w:sz w:val="24"/>
              </w:rPr>
              <w:t>i</w:t>
            </w:r>
            <w:r>
              <w:rPr>
                <w:rFonts w:ascii="Times New Roman" w:hAnsi="Times New Roman"/>
                <w:sz w:val="24"/>
              </w:rPr>
              <w:t xml:space="preserve">nis metodas, bendra AVA suma apskaičiuojama susumuojant 0190, 0200 ir 0210 eilučių vertes.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Atitinkamas balansas ir kita kontekstinė informacija pateikiami 0130–0260 skilt</w:t>
            </w:r>
            <w:r>
              <w:rPr>
                <w:rFonts w:ascii="Times New Roman" w:hAnsi="Times New Roman"/>
                <w:sz w:val="24"/>
              </w:rPr>
              <w:t>y</w:t>
            </w:r>
            <w:r>
              <w:rPr>
                <w:rFonts w:ascii="Times New Roman" w:hAnsi="Times New Roman"/>
                <w:sz w:val="24"/>
              </w:rPr>
              <w:t xml:space="preserve">se. Pozicijų aprašymas ir priežastys, kodėl nebuvo įmanoma taikyti Deleguotojo reglamento (ES) 2016/101 dėl rizikos ribojimo principais pagrįsto vertinimo 9–17 straipsnių, pateikiami 0270 skiltyje.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Atsarginis metodas. 100 % nerealizuoto pelno</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Deleguotojo reglamento (ES) 2016/101 dėl rizikos ribojimo principais pagrįsto vertinimo 7 straipsnio 2 dalies b punkto i papunktis.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Atsarginis metodas. 10 % tariamosios vertės</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Deleguotojo reglamento (ES) 2016/101 dėl rizikos ribojimo principais pagrįsto vertinimo 7 straipsnio 2 dalies b punkto ii papunktis.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Atsarginis metodas. 25 % pradinės vertės</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Deleguotojo reglamento (ES) 2016/101 dėl rizikos ribojimo principais pagrįsto vertinimo 7 straipsnio 2 dalies b punkto iii papunktis.</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4010121"/>
      <w:r>
        <w:rPr>
          <w:rFonts w:ascii="Times New Roman" w:hAnsi="Times New Roman"/>
          <w:sz w:val="24"/>
          <w:u w:val="none"/>
        </w:rPr>
        <w:t xml:space="preserve">6.3. </w:t>
      </w:r>
      <w:r>
        <w:rPr>
          <w:rFonts w:ascii="Times New Roman" w:hAnsi="Times New Roman"/>
          <w:sz w:val="24"/>
        </w:rPr>
        <w:t>C 32.03. Rizikos ribojimo principais pagrįstas vertinimas. Modelio rizikos AVA (PruVal 3)</w:t>
      </w:r>
      <w:bookmarkEnd w:id="789"/>
      <w:bookmarkEnd w:id="790"/>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4010122"/>
      <w:r>
        <w:rPr>
          <w:rFonts w:ascii="Times New Roman" w:hAnsi="Times New Roman"/>
          <w:sz w:val="24"/>
          <w:u w:val="none"/>
        </w:rPr>
        <w:t>6.3.1.</w:t>
      </w:r>
      <w:r>
        <w:tab/>
      </w:r>
      <w:r>
        <w:rPr>
          <w:rFonts w:ascii="Times New Roman" w:hAnsi="Times New Roman"/>
          <w:sz w:val="24"/>
        </w:rPr>
        <w:t>Bendrosios pastabos</w:t>
      </w:r>
      <w:bookmarkEnd w:id="791"/>
      <w:bookmarkEnd w:id="792"/>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t>154f. Šią formą pildo tik įstaigos, kurios savo lygmeniu viršija Deleguotojo regl</w:t>
      </w:r>
      <w:r>
        <w:t>a</w:t>
      </w:r>
      <w:r>
        <w:t>mento (ES) 2016/101 dėl rizikos ribojimo principais pagrįsto vertinimo 4 straipsnio 1 dalyje nustatytą ribą. Įstaigos, kurios priklauso grupei, šią ribą viršijančiai kons</w:t>
      </w:r>
      <w:r>
        <w:t>o</w:t>
      </w:r>
      <w:r>
        <w:t>liduotu lygmeniu, privalo šią formą pildyti tik tuo atveju, jei tą ribą viršija ir savo lygmeniu.</w:t>
      </w:r>
    </w:p>
    <w:p w:rsidR="00AF3D7A" w:rsidRPr="00DD41BE" w:rsidRDefault="00AF3D7A" w:rsidP="001A3980">
      <w:pPr>
        <w:pStyle w:val="InstructionsText2"/>
        <w:numPr>
          <w:ilvl w:val="0"/>
          <w:numId w:val="0"/>
        </w:numPr>
        <w:ind w:left="993"/>
      </w:pPr>
      <w:r>
        <w:t>154g. Ši forma naudojama siekiant pranešti informaciją apie 20 didžiausių indiv</w:t>
      </w:r>
      <w:r>
        <w:t>i</w:t>
      </w:r>
      <w:r>
        <w:t>dualių modelio rizikos AVA įverčių pagal AVA įverčio sumą, kuri padeda apska</w:t>
      </w:r>
      <w:r>
        <w:t>i</w:t>
      </w:r>
      <w:r>
        <w:t>čiuoti bendrą kategorijos lygmens modelio rizikos AVA sumą pagal Deleguotojo reglamento (ES) 2016/101 dėl rizikos ribojimo principais pagrįsto vertinimo 11 straipsnį. Ši informacija atitinka C 32.02 formos 0050 skiltyje nurodytą informac</w:t>
      </w:r>
      <w:r>
        <w:t>i</w:t>
      </w:r>
      <w:r>
        <w:t>ją.</w:t>
      </w:r>
    </w:p>
    <w:p w:rsidR="00AF3D7A" w:rsidRPr="00DD41BE" w:rsidRDefault="00AF3D7A" w:rsidP="001A3980">
      <w:pPr>
        <w:pStyle w:val="InstructionsText2"/>
        <w:numPr>
          <w:ilvl w:val="0"/>
          <w:numId w:val="0"/>
        </w:numPr>
        <w:ind w:left="993"/>
      </w:pPr>
      <w:r>
        <w:t>154h. 20 didžiausių individualių modelio rizikos AVA įverčių kartu su atitinkama produkto informacija nurodomi mažėjančia tvarka, pradedant nuo didžiausio ind</w:t>
      </w:r>
      <w:r>
        <w:t>i</w:t>
      </w:r>
      <w:r>
        <w:t xml:space="preserve">vidualaus modelio rizikos AVA įverčio. </w:t>
      </w:r>
    </w:p>
    <w:p w:rsidR="00AF3D7A" w:rsidRDefault="00AF3D7A" w:rsidP="001A3980">
      <w:pPr>
        <w:pStyle w:val="InstructionsText2"/>
        <w:numPr>
          <w:ilvl w:val="0"/>
          <w:numId w:val="0"/>
        </w:numPr>
        <w:ind w:left="993"/>
      </w:pPr>
      <w:r>
        <w:t>154i. Šiuos didžiausius individualius modelio rizikos AVA įverčius atitinkantys produktai nurodomi naudojant produktų sąrašą, privalomą pagal Deleguotojo re</w:t>
      </w:r>
      <w:r>
        <w:t>g</w:t>
      </w:r>
      <w:r>
        <w:t xml:space="preserve">lamento (ES) 2016/101 dėl rizikos ribojimo principais pagrįsto vertinimo 19 straipsnio 3 dalies a punktą. </w:t>
      </w:r>
    </w:p>
    <w:p w:rsidR="00AF3D7A" w:rsidRPr="004502C8" w:rsidRDefault="00113E45" w:rsidP="001A3980">
      <w:pPr>
        <w:pStyle w:val="InstructionsText2"/>
        <w:numPr>
          <w:ilvl w:val="0"/>
          <w:numId w:val="0"/>
        </w:numPr>
        <w:ind w:left="993"/>
      </w:pPr>
      <w:r>
        <w:t>154j. Kai produktai vertinimo modelio ir modelio rizikos AVA įverčio atžvilgiais yra pakankamai homogeniški, jie sujungiami ir nurodomi vienoje eilutėje siekiant kuo labiau padidinti šios formos informatyvumą, susijusį su įstaigos bendra kateg</w:t>
      </w:r>
      <w:r>
        <w:t>o</w:t>
      </w:r>
      <w:r>
        <w:t>rijos lygmens modelio rizikos AVA įverčio suma.</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4010123"/>
      <w:r>
        <w:rPr>
          <w:rFonts w:ascii="Times New Roman" w:hAnsi="Times New Roman"/>
          <w:sz w:val="24"/>
          <w:u w:val="none"/>
        </w:rPr>
        <w:t>6.3.2.</w:t>
      </w:r>
      <w:r>
        <w:tab/>
      </w:r>
      <w:r>
        <w:rPr>
          <w:rFonts w:ascii="Times New Roman" w:hAnsi="Times New Roman"/>
          <w:sz w:val="24"/>
        </w:rPr>
        <w:t>Nurodymai dėl konkrečių pozicijų</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Skiltys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VIETA</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Unikaliu vietos numeriu identifikuojama kiekviena lentelės eilutė. Vieta nurodoma pagal skaičių eiliškumą (1, 2, 3 ir t. t.), 1 priskiriant didžiausiam individualiam modelio rizikos AVA įverčiui, 2 – antram didžiausiam ir t. 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MODELIS</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Vidinis modelio pavadinimas (sudarytas iš raidžių ir skaitmenų), kurį įstaiga na</w:t>
            </w:r>
            <w:r>
              <w:rPr>
                <w:rFonts w:ascii="Times New Roman" w:hAnsi="Times New Roman"/>
                <w:sz w:val="24"/>
              </w:rPr>
              <w:t>u</w:t>
            </w:r>
            <w:r>
              <w:rPr>
                <w:rFonts w:ascii="Times New Roman" w:hAnsi="Times New Roman"/>
                <w:sz w:val="24"/>
              </w:rPr>
              <w:t>doja modeliui identifikuoti.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RIZIKOS KATEGORIJA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Rizikos kategorija (palūkanų normų, užsienio valiutos kurso, kredito, nuosavybės, biržos prekių), būdingiausia produktui arba jų grupei, dėl kurios atliekamas mod</w:t>
            </w:r>
            <w:r>
              <w:rPr>
                <w:rFonts w:ascii="Times New Roman" w:hAnsi="Times New Roman"/>
                <w:sz w:val="24"/>
              </w:rPr>
              <w:t>e</w:t>
            </w:r>
            <w:r>
              <w:rPr>
                <w:rFonts w:ascii="Times New Roman" w:hAnsi="Times New Roman"/>
                <w:sz w:val="24"/>
              </w:rPr>
              <w:t>lio rizikos vertinimo koregavimas.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Įstaigos nurodo šiuos kodus: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palūkanų normos</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užsienio valiutos kursas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kreditas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nuosavybė</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biržos prekės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Naudojant modelį vertinamo produkto ar jų grupės, atitinkančių produktų sąrašą, privalomą pagal Deleguotojo reglamento (ES) 2016/101 dėl rizikos ribojimo pri</w:t>
            </w:r>
            <w:r>
              <w:rPr>
                <w:rFonts w:ascii="Times New Roman" w:hAnsi="Times New Roman"/>
                <w:sz w:val="24"/>
              </w:rPr>
              <w:t>n</w:t>
            </w:r>
            <w:r>
              <w:rPr>
                <w:rFonts w:ascii="Times New Roman" w:hAnsi="Times New Roman"/>
                <w:sz w:val="24"/>
              </w:rPr>
              <w:t>cipais pagrįsto vertinimo 19 straipsnio 3 dalies a punktą, vidinis pavadinimas (s</w:t>
            </w:r>
            <w:r>
              <w:rPr>
                <w:rFonts w:ascii="Times New Roman" w:hAnsi="Times New Roman"/>
                <w:sz w:val="24"/>
              </w:rPr>
              <w:t>u</w:t>
            </w:r>
            <w:r>
              <w:rPr>
                <w:rFonts w:ascii="Times New Roman" w:hAnsi="Times New Roman"/>
                <w:sz w:val="24"/>
              </w:rPr>
              <w:t>darytas iš raidžių ir skaitmenų).</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STEBĖJIMO APIMTIS</w:t>
            </w:r>
          </w:p>
          <w:p w:rsidR="00113E45" w:rsidRPr="00DD41BE" w:rsidRDefault="00113E45" w:rsidP="00E60B53">
            <w:pPr>
              <w:pStyle w:val="CommentText"/>
              <w:rPr>
                <w:rFonts w:ascii="Times New Roman" w:hAnsi="Times New Roman"/>
                <w:sz w:val="24"/>
                <w:szCs w:val="24"/>
              </w:rPr>
            </w:pPr>
            <w:r>
              <w:rPr>
                <w:rFonts w:ascii="Times New Roman" w:hAnsi="Times New Roman"/>
                <w:sz w:val="24"/>
              </w:rPr>
              <w:t>Stebėtų produkto ar jų grupės kainų skaičius per paskutinius dvylika mėnesių, kai stebėtos kainos atitinka kurį nors iš šių kriterijų:</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stebėta kaina – įstaigos įvykdyto sandorio kaina;</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tai patikrinama faktinio trečiųjų šalių sandorio kaina;</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kaina gauta iš tvirtosios kotiruotės.</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Įstaigos nurodo vieną iš šių verčių: „nebuvo“,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RIZIKOS AVA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Deleguotojo reglamento (ES) 2016/101 dėl rizikos ribojimo principais pagrįsto vertinimo 11 straipsnio 1 dalis.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Individualus modelio rizikos AVA įvertis prieš diversifikavimo naudą, bet po por</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felio užskaitos, kai aktualu.</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JŲ: PAGAL EKSPERTŲ ŽINIOMIS GRINDŽIAMĄ METODĄ</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Sumos 0050 skiltyje, apskaičiuotos taikant ekspertų žiniomis grindžiamą metodą, kaip nurodyta Deleguotojo reglamento (ES) 2016/101 dėl rizikos ribojimo princ</w:t>
            </w:r>
            <w:r>
              <w:rPr>
                <w:rFonts w:ascii="Times New Roman" w:hAnsi="Times New Roman"/>
                <w:sz w:val="24"/>
              </w:rPr>
              <w:t>i</w:t>
            </w:r>
            <w:r>
              <w:rPr>
                <w:rFonts w:ascii="Times New Roman" w:hAnsi="Times New Roman"/>
                <w:sz w:val="24"/>
              </w:rPr>
              <w:t>pais pagrįsto vertinimo 11 straipsnio 4 dalyje.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JŲ: AGREGUOTA PAGAL 2 METODĄ</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Sumos 0050 skiltyje, agreguotos pagal Deleguotojo reglamento (ES) 2016/101 dėl rizikos ribojimo principais pagrįsto vertinimo priedo 2 metodą. Pagal priedo term</w:t>
            </w:r>
            <w:r>
              <w:rPr>
                <w:rFonts w:ascii="Times New Roman" w:hAnsi="Times New Roman"/>
                <w:sz w:val="24"/>
              </w:rPr>
              <w:t>i</w:t>
            </w:r>
            <w:r>
              <w:rPr>
                <w:rFonts w:ascii="Times New Roman" w:hAnsi="Times New Roman"/>
                <w:sz w:val="24"/>
              </w:rPr>
              <w:t xml:space="preserve">niją tai atitinka FV – PV.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AGREGUOTAS AVA, APSKAIČIUOTAS PAGAL 2 METODĄ</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Dalis bendros kategorijos lygmens modelio rizikos AVA įverčių sumos, apska</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čiuojamos pagal Deleguotojo reglamento (ES) 2016/101 dėl rizikos ribojimo pri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cipais pagrįsto vertinimo 11 straipsnio 7 dalį individualius modelio rizikos AVA įverčius agreguojant pagal to deleguotojo reglamento priede nustatytą 2 metodą. </w:t>
            </w:r>
            <w:r>
              <w:rPr>
                <w:rFonts w:ascii="Times New Roman" w:hAnsi="Times New Roman"/>
                <w:sz w:val="24"/>
              </w:rPr>
              <w:t>Pagal priedo terminiją tai atitinka APVA.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 IR ĮSIPAREIGOJIMAI</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Taikant 0010 skiltyje nurodytą modelį tikrąja verte įvertinto turto ir įsipareigojimų, nurodytų finansinėse ataskaitose pagal taikomą apskaitos sistemą, absoliučioji ve</w:t>
            </w:r>
            <w:r>
              <w:rPr>
                <w:rFonts w:ascii="Times New Roman" w:hAnsi="Times New Roman"/>
                <w:sz w:val="24"/>
              </w:rPr>
              <w:t>r</w:t>
            </w:r>
            <w:r>
              <w:rPr>
                <w:rFonts w:ascii="Times New Roman" w:hAnsi="Times New Roman"/>
                <w:sz w:val="24"/>
              </w:rPr>
              <w:t xml:space="preserve">tė.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Taikant 0010 skiltyje nurodytą modelį tikrąja verte įvertinto turto, nurodyto fina</w:t>
            </w:r>
            <w:r>
              <w:rPr>
                <w:rFonts w:ascii="Times New Roman" w:hAnsi="Times New Roman"/>
                <w:sz w:val="24"/>
              </w:rPr>
              <w:t>n</w:t>
            </w:r>
            <w:r>
              <w:rPr>
                <w:rFonts w:ascii="Times New Roman" w:hAnsi="Times New Roman"/>
                <w:sz w:val="24"/>
              </w:rPr>
              <w:t>sinėse ataskaitose pagal taikomą apskaitos sistemą, absoliučioji vertė.</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ĮVERTINTI ĮSIPAREIGOJIMAI</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Taikant 0010 skiltyje nurodytą modelį tikrąja verte įvertintų įsipareigojimų, nur</w:t>
            </w:r>
            <w:r>
              <w:rPr>
                <w:rFonts w:ascii="Times New Roman" w:hAnsi="Times New Roman"/>
                <w:sz w:val="24"/>
              </w:rPr>
              <w:t>o</w:t>
            </w:r>
            <w:r>
              <w:rPr>
                <w:rFonts w:ascii="Times New Roman" w:hAnsi="Times New Roman"/>
                <w:sz w:val="24"/>
              </w:rPr>
              <w:t xml:space="preserve">dytų finansinėse ataskaitose pagal taikomą apskaitos sistemą, absoliučioji vertė.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SKIRTUMAS (REZULTATŲ TESTAVIMAS)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Nekoreguotų skirtumo sumų suma (IPV skirtumas), apskaičiuota prieš pat ataska</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tinę datą ėjusio mėnesio pabaigoje atliekant nepriklausomą kainų patikrą pagal KRR 105 straipsnio 8 dalį ir naudojant geriausius turimus nepriklausomus duom</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nis, susijusius su atitinkamu produktu ar jų grupe.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Nekoreguotos skirtumo sumos – nekoreguoti skirtumai tarp prekybos sistemos p</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teiktų vertinimų ir vykdant mėnesio IPV procesą įvertintų vertinimų.</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Apskaičiuojant atsižvelgiama tik į rezultatus, kalibruotus pagal priemonių, kurios būtų susietos su tuo pačiu produktu (rezultatų testavimas), kainas. Į įvesties du</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menų testavimo rezultatus, gautus testuojant rinkos įvesties duomenis pagal ly</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menis, kalibruotus pagal skirtingus produktus, neatsižvelgiama.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 APRĖPTIS (REZULTATŲ TESTAVIMAS)</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Tų pozicijų, kurios susietos su modeliu, įvertintu taikant modelio rizikos AVA įvertį, procentinė dalis, kurios rezultatų IPV testavimo rezultatai nurodyti 0110 skiltyje.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TIKROSIOS VERTĖS KOREGAVIMAI</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Tikrosios vertės koregavimai, kaip apibrėžta C 32.02 formos 0190 ir 0240 skiltyse, taikyti pozicijoms, susietoms su 0010 skiltyje nurodytu modeliu.</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 DIENOS PELNAS (NUOSTOLIAI)</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Koregavimai, kaip nurodyta C 32.02 formos 0260 skiltyje, taikyti pozicijoms, s</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sietoms su 0010 skiltyje nurodytu modeliu.</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4010124"/>
      <w:r>
        <w:rPr>
          <w:rFonts w:ascii="Times New Roman" w:hAnsi="Times New Roman"/>
          <w:sz w:val="24"/>
        </w:rPr>
        <w:t>6.4. C 32.04. Rizikos ribojimo principais pagrįstas vertinimas. Koncentruotų pozicijų AVA (PruVal 4)</w:t>
      </w:r>
      <w:bookmarkEnd w:id="795"/>
      <w:bookmarkEnd w:id="796"/>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4010125"/>
      <w:r>
        <w:rPr>
          <w:rFonts w:ascii="Times New Roman" w:hAnsi="Times New Roman"/>
          <w:sz w:val="24"/>
          <w:u w:val="none"/>
        </w:rPr>
        <w:t>6.4.1.</w:t>
      </w:r>
      <w:r>
        <w:tab/>
      </w:r>
      <w:r>
        <w:rPr>
          <w:rFonts w:ascii="Times New Roman" w:hAnsi="Times New Roman"/>
          <w:sz w:val="24"/>
        </w:rPr>
        <w:t>Bendrosios pastabos</w:t>
      </w:r>
      <w:bookmarkEnd w:id="797"/>
      <w:bookmarkEnd w:id="798"/>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t>154k. Šią formą pildo tik įstaigos, kurios savo lygmeniu viršija Deleguotojo regl</w:t>
      </w:r>
      <w:r>
        <w:t>a</w:t>
      </w:r>
      <w:r>
        <w:t>mento (ES) 2016/101 dėl rizikos ribojimo principais pagrįsto vertinimo 4 straipsnio 1 dalyje nustatytą ribą. Įstaigos, kurios priklauso grupei, šią ribą viršijančiai kons</w:t>
      </w:r>
      <w:r>
        <w:t>o</w:t>
      </w:r>
      <w:r>
        <w:t>liduotu lygmeniu, šią formą pildo tik tuo atveju, jei tą ribą viršija ir savo lygmeniu.</w:t>
      </w:r>
    </w:p>
    <w:p w:rsidR="00113E45" w:rsidRPr="00DD41BE" w:rsidRDefault="00113E45" w:rsidP="009068C9">
      <w:pPr>
        <w:pStyle w:val="InstructionsText2"/>
        <w:numPr>
          <w:ilvl w:val="0"/>
          <w:numId w:val="0"/>
        </w:numPr>
        <w:ind w:left="993"/>
      </w:pPr>
      <w:r>
        <w:t>154l. Ši forma naudojama siekiant pranešti informaciją apie 20 didžiausių individ</w:t>
      </w:r>
      <w:r>
        <w:t>u</w:t>
      </w:r>
      <w:r>
        <w:t>alių koncentruotų pozicijų AVA įverčių pagal AVA įverčio sumą, kuri padeda a</w:t>
      </w:r>
      <w:r>
        <w:t>p</w:t>
      </w:r>
      <w:r>
        <w:t>skaičiuoti bendrą kategorijos lygmens koncentruotų pozicijų AVA sumą pagal D</w:t>
      </w:r>
      <w:r>
        <w:t>e</w:t>
      </w:r>
      <w:r>
        <w:t>leguotojo reglamento (ES) 2016/101 dėl rizikos ribojimo principais pagrįsto vert</w:t>
      </w:r>
      <w:r>
        <w:t>i</w:t>
      </w:r>
      <w:r>
        <w:t>nimo 14 straipsnį. Ši informacija atitinka C 32.02 formos 0070 skiltyje nurodytą i</w:t>
      </w:r>
      <w:r>
        <w:t>n</w:t>
      </w:r>
      <w:r>
        <w:t xml:space="preserve">formaciją. </w:t>
      </w:r>
    </w:p>
    <w:p w:rsidR="00113E45" w:rsidRPr="00DD41BE" w:rsidRDefault="00113E45" w:rsidP="009068C9">
      <w:pPr>
        <w:pStyle w:val="InstructionsText2"/>
        <w:numPr>
          <w:ilvl w:val="0"/>
          <w:numId w:val="0"/>
        </w:numPr>
        <w:ind w:left="993"/>
      </w:pPr>
      <w:r>
        <w:t>154m. 20 didžiausių koncentruotų pozicijų AVA įverčių kartu su atitinkama pr</w:t>
      </w:r>
      <w:r>
        <w:t>o</w:t>
      </w:r>
      <w:r>
        <w:t>dukto informacija nurodomi mažėjančia tvarka, pradedant nuo didžiausio indiv</w:t>
      </w:r>
      <w:r>
        <w:t>i</w:t>
      </w:r>
      <w:r>
        <w:t>dualaus koncentruotų pozicijų AVA įverčio.</w:t>
      </w:r>
    </w:p>
    <w:p w:rsidR="00113E45" w:rsidRPr="00DD41BE" w:rsidRDefault="00113E45" w:rsidP="009068C9">
      <w:pPr>
        <w:pStyle w:val="InstructionsText2"/>
        <w:numPr>
          <w:ilvl w:val="0"/>
          <w:numId w:val="0"/>
        </w:numPr>
        <w:ind w:left="993"/>
      </w:pPr>
      <w:r>
        <w:t>154n. Šiuos didžiausius individualius koncentruotų pozicijų AVA įverčius atiti</w:t>
      </w:r>
      <w:r>
        <w:t>n</w:t>
      </w:r>
      <w:r>
        <w:t>kantys produktai nurodomi naudojant produktų sąrašą, privalomą pagal Deleguot</w:t>
      </w:r>
      <w:r>
        <w:t>o</w:t>
      </w:r>
      <w:r>
        <w:t>jo reglamento (ES) 2016/101 dėl rizikos ribojimo principais pagrįsto vertinimo 19 straipsnio 3 dalies a punktą.</w:t>
      </w:r>
    </w:p>
    <w:p w:rsidR="00113E45" w:rsidRPr="004502C8" w:rsidRDefault="00113E45" w:rsidP="009068C9">
      <w:pPr>
        <w:pStyle w:val="InstructionsText2"/>
        <w:numPr>
          <w:ilvl w:val="0"/>
          <w:numId w:val="0"/>
        </w:numPr>
        <w:ind w:left="993"/>
      </w:pPr>
      <w:r>
        <w:t>154o. Kai pozicijos AVA apskaičiavimo metodikos atžvilgiu yra homogeniškos, jos agreguojamos, kai tai įmanoma, siekiant kuo labiau padidinti šios formos inform</w:t>
      </w:r>
      <w:r>
        <w:t>a</w:t>
      </w:r>
      <w:r>
        <w:t>tyvumą.</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4010126"/>
      <w:r>
        <w:rPr>
          <w:rFonts w:ascii="Times New Roman" w:hAnsi="Times New Roman"/>
          <w:sz w:val="24"/>
          <w:u w:val="none"/>
        </w:rPr>
        <w:t>6.4.2.</w:t>
      </w:r>
      <w:r>
        <w:tab/>
      </w:r>
      <w:r>
        <w:rPr>
          <w:rFonts w:ascii="Times New Roman" w:hAnsi="Times New Roman"/>
          <w:sz w:val="24"/>
        </w:rPr>
        <w:t>Nurodymai dėl konkrečių pozicijų</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Skiltys</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VIETA</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Unikaliu vietos numeriu identifikuojama kiekviena lentelės eilutė. Vieta nur</w:t>
            </w:r>
            <w:r>
              <w:rPr>
                <w:rFonts w:ascii="Times New Roman" w:hAnsi="Times New Roman"/>
                <w:sz w:val="24"/>
              </w:rPr>
              <w:t>o</w:t>
            </w:r>
            <w:r>
              <w:rPr>
                <w:rFonts w:ascii="Times New Roman" w:hAnsi="Times New Roman"/>
                <w:sz w:val="24"/>
              </w:rPr>
              <w:t>doma pagal skaičių eiliškumą (1, 2, 3 ir t. t.), 1 priskiriant didžiausiam koncen</w:t>
            </w:r>
            <w:r>
              <w:rPr>
                <w:rFonts w:ascii="Times New Roman" w:hAnsi="Times New Roman"/>
                <w:sz w:val="24"/>
              </w:rPr>
              <w:t>t</w:t>
            </w:r>
            <w:r>
              <w:rPr>
                <w:rFonts w:ascii="Times New Roman" w:hAnsi="Times New Roman"/>
                <w:sz w:val="24"/>
              </w:rPr>
              <w:t>ruotų pozicijų AVA įverčiui, 2 – antram didžiausiam ir t. 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RIZIKOS KATEGORIJA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Rizikos kategorija (palūkanų normų, užsienio valiutos kurso, kredito, nuosav</w:t>
            </w:r>
            <w:r>
              <w:rPr>
                <w:rFonts w:ascii="Times New Roman" w:hAnsi="Times New Roman"/>
                <w:sz w:val="24"/>
              </w:rPr>
              <w:t>y</w:t>
            </w:r>
            <w:r>
              <w:rPr>
                <w:rFonts w:ascii="Times New Roman" w:hAnsi="Times New Roman"/>
                <w:sz w:val="24"/>
              </w:rPr>
              <w:t>bės, biržos prekių), būdingiausia pozicijai.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Įstaigos nurodo šiuos kodus: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palūkanų normos</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užsienio valiutos kursas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kreditas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nuosavybė</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biržos prekės</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PRODUKTAS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Produkto ar jų grupės, atitinkančių produktų sąrašą, privalomą pagal Deleguot</w:t>
            </w:r>
            <w:r>
              <w:rPr>
                <w:rFonts w:ascii="Times New Roman" w:hAnsi="Times New Roman"/>
                <w:sz w:val="24"/>
              </w:rPr>
              <w:t>o</w:t>
            </w:r>
            <w:r>
              <w:rPr>
                <w:rFonts w:ascii="Times New Roman" w:hAnsi="Times New Roman"/>
                <w:sz w:val="24"/>
              </w:rPr>
              <w:t>jo reglamento (ES) 2016/101 dėl rizikos ribojimo principais pagrįsto vertinimo 19 straipsnio 3 dalies a punktą, vidinis pavadinimas.</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PAGRINDINĖ PRIEMONĖ</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Išvestinių finansinių priemonių atveju – pagrindinės (-ių) priemonės (-ių), o ne išvestinių finansinių priemonių atveju – finansinių priemonių vidinis pavadin</w:t>
            </w:r>
            <w:r>
              <w:rPr>
                <w:rFonts w:ascii="Times New Roman" w:hAnsi="Times New Roman"/>
                <w:sz w:val="24"/>
              </w:rPr>
              <w:t>i</w:t>
            </w:r>
            <w:r>
              <w:rPr>
                <w:rFonts w:ascii="Times New Roman" w:hAnsi="Times New Roman"/>
                <w:sz w:val="24"/>
              </w:rPr>
              <w:t>mas.</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KONCENTRUOTOS POZICIJOS DYDIS</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Individualios koncentruotos vertinimo pozicijos, nustatytos pagal Deleguotojo reglamento (ES) 2016/101 dėl rizikos ribojimo principais pagrįsto vertinimo 14 straipsnio 1 dalies a punktą, dydis, išreikštas vienetais, aprašytais 0050 skiltyje.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DYDŽIO MATAS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Dydžio mato vienetas, naudojamas viduje nustatant koncentruotą vertinimo p</w:t>
            </w:r>
            <w:r>
              <w:rPr>
                <w:rFonts w:ascii="Times New Roman" w:hAnsi="Times New Roman"/>
                <w:sz w:val="24"/>
              </w:rPr>
              <w:t>o</w:t>
            </w:r>
            <w:r>
              <w:rPr>
                <w:rFonts w:ascii="Times New Roman" w:hAnsi="Times New Roman"/>
                <w:sz w:val="24"/>
              </w:rPr>
              <w:t xml:space="preserve">ziciją, kad būtų apskaičiuotas koncentruotos pozicijos dydis, nurodytas 0040 skiltyje.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Obligacijų arba nuosavybės vertybinių popierių pozicijų atveju nurodyti vienetą, naudojamą vidaus rizikos valdymo tikslais, pavyzdžiui, obligacijų skaičių, akc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jų skaičių ar rinkos vertę.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Išvestinių finansinių priemonių atveju nurodyti vienetą, naudojamą vidaus riz</w:t>
            </w:r>
            <w:r>
              <w:rPr>
                <w:rFonts w:ascii="Times New Roman" w:hAnsi="Times New Roman"/>
                <w:sz w:val="24"/>
              </w:rPr>
              <w:t>i</w:t>
            </w:r>
            <w:r>
              <w:rPr>
                <w:rFonts w:ascii="Times New Roman" w:hAnsi="Times New Roman"/>
                <w:sz w:val="24"/>
              </w:rPr>
              <w:t xml:space="preserve">kos valdymo tikslais, pavyzdžiui, „PV01; EUR, vieno bazinio punkto paralelinis pokytis pelningumo kreivėje“.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RINKOS VERTĖ</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Pozicijos rinkos vertė.</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ATSARGUS PASITRAUKIMO LAIKOTARPIS</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Atsargus pasitraukimo laikotarpis, išreikštas dienų skaičiumi, apskaičiuotu pagal Deleguotojo reglamento (ES) 2016/101 dėl rizikos ribojimo principais pagrįsto vertinimo 14 straipsnio 1 dalies b punktą.</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KONCENTRUOTŲ POZICIJŲ AVA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Koncentruotų pozicijų AVA suma, apskaičiuota pagal Deleguotojo reglamento (ES) 2016/101 dėl rizikos ribojimo principais pagrįsto vertinimo 14 straipsnio 1 dalį konkrečiai individualiai koncentruotai vertinimo pozicijai.</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KONCENTRUOTŲ POZICIJŲ TIKROSIOS VERTĖS KOREGAVIMAS</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Bet kokių tikrosios vertės koregavimų, taikytų siekiant parodyti faktą, kad įsta</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gos turima agreguota pozicija viršija įprastą prekybos apimtį arba pozicijų d</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džius, suma, kuria grindžiamos kotiruotės arba sandoriai, naudojami kalibruojant vertinimo modeliui naudojamą kainą ar įvesties duomenis.</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Nurodyta suma atitinka sumą, taikytą konkrečiai individualiai koncentruotai ve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tinimo pozicijai.</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SKIRTUMAS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Nekoreguotų skirtumo sumų suma (IPV skirtumas), apskaičiuota prieš pat at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skaitinę datą ėjusio mėnesio pabaigoje atliekant nepriklausomą kainų patikrą p</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gal KRR 105 straipsnio 8 dalį ir naudojant geriausius turimus nepriklausomus duomenis, susijusius su konkrečia individualia koncentruota vertinimo pozicija.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Nekoreguotos skirtumo sumos – nekoreguoti skirtumai tarp prekybos sistemos pateiktų vertinimų ir vykdant mėnesio IPV procesą įvertintų vertinimų.</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Apskaičiuojant IPV skirtumą nėra įtraukiamos jokios atitinkamo mėnesio paba</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gos datos pakoreguotos skirtumo sumos įstaigos apskaitos knygose ir įrašuose.</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4010127"/>
      <w:r>
        <w:rPr>
          <w:rFonts w:ascii="Times New Roman" w:hAnsi="Times New Roman"/>
          <w:sz w:val="24"/>
          <w:u w:val="none"/>
        </w:rPr>
        <w:t>7.</w:t>
      </w:r>
      <w:r>
        <w:tab/>
      </w:r>
      <w:r>
        <w:rPr>
          <w:rFonts w:ascii="Times New Roman" w:hAnsi="Times New Roman"/>
          <w:sz w:val="24"/>
        </w:rPr>
        <w:t>C 33.00. Valdžios sektoriaus pozicijos (GOV)</w:t>
      </w:r>
      <w:bookmarkEnd w:id="801"/>
      <w:bookmarkEnd w:id="802"/>
      <w:bookmarkEnd w:id="803"/>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4010128"/>
      <w:r>
        <w:rPr>
          <w:rFonts w:ascii="Times New Roman" w:hAnsi="Times New Roman"/>
          <w:sz w:val="24"/>
          <w:u w:val="none"/>
        </w:rPr>
        <w:t>7.1.</w:t>
      </w:r>
      <w:r>
        <w:tab/>
      </w:r>
      <w:r>
        <w:rPr>
          <w:rFonts w:ascii="Times New Roman" w:hAnsi="Times New Roman"/>
          <w:sz w:val="24"/>
        </w:rPr>
        <w:t>Bendrosios pastabos</w:t>
      </w:r>
      <w:bookmarkEnd w:id="804"/>
      <w:bookmarkEnd w:id="805"/>
      <w:bookmarkEnd w:id="806"/>
      <w:bookmarkEnd w:id="807"/>
      <w:r>
        <w:rPr>
          <w:rFonts w:ascii="Times New Roman" w:hAnsi="Times New Roman"/>
          <w:sz w:val="24"/>
        </w:rPr>
        <w:t xml:space="preserve"> </w:t>
      </w:r>
    </w:p>
    <w:p w:rsidR="00FD54FC" w:rsidRPr="00392FFD" w:rsidRDefault="00125707" w:rsidP="009068C9">
      <w:pPr>
        <w:pStyle w:val="InstructionsText2"/>
        <w:numPr>
          <w:ilvl w:val="0"/>
          <w:numId w:val="0"/>
        </w:numPr>
        <w:ind w:left="993"/>
      </w:pPr>
      <w:r>
        <w:t>155.</w:t>
      </w:r>
      <w:r>
        <w:tab/>
        <w:t>C 33.00 formoje teikiama informacija turi apimti visas valdžios sektoriaus p</w:t>
      </w:r>
      <w:r>
        <w:t>o</w:t>
      </w:r>
      <w:r>
        <w:t>zicijas, kaip apibrėžta V priedo 42 dalies b punkte.</w:t>
      </w:r>
    </w:p>
    <w:p w:rsidR="00FD54FC" w:rsidRPr="00392FFD" w:rsidRDefault="00125707" w:rsidP="009068C9">
      <w:pPr>
        <w:pStyle w:val="InstructionsText2"/>
        <w:numPr>
          <w:ilvl w:val="0"/>
          <w:numId w:val="0"/>
        </w:numPr>
        <w:ind w:left="993"/>
      </w:pPr>
      <w:r>
        <w:t>156.</w:t>
      </w:r>
      <w:r>
        <w:tab/>
        <w:t xml:space="preserve">Valdžios sektoriaus pozicijos pagal KRR 112 ir 147 straipsnius yra įtrauktos į įvairias pozicijų klases, kaip nurodyta C 07.00, C 08.01 ir C 08.02 formų pildymo nurodymuose. </w:t>
      </w:r>
    </w:p>
    <w:p w:rsidR="00FD54FC" w:rsidRPr="00392FFD" w:rsidRDefault="00125707" w:rsidP="009068C9">
      <w:pPr>
        <w:pStyle w:val="InstructionsText2"/>
        <w:numPr>
          <w:ilvl w:val="0"/>
          <w:numId w:val="0"/>
        </w:numPr>
        <w:ind w:left="993"/>
      </w:pPr>
      <w:r>
        <w:t>157.</w:t>
      </w:r>
      <w:r>
        <w:tab/>
        <w:t>Į 2 lentelę („Standartizuotas metodas“) ir 3 lentelę („IRB metodas“), įtrauktas į 5 priedo 3 dalį, atsižvelgiama susiejant pozicijų klases, naudojamas pagal KRR a</w:t>
      </w:r>
      <w:r>
        <w:t>p</w:t>
      </w:r>
      <w:r>
        <w:t>skaičiuojant kapitalo reikalavimus, su sandorio šalies sektoriumi „Valdžios sekt</w:t>
      </w:r>
      <w:r>
        <w:t>o</w:t>
      </w:r>
      <w:r>
        <w:t xml:space="preserve">rius“. </w:t>
      </w:r>
    </w:p>
    <w:p w:rsidR="00FD54FC" w:rsidRPr="00392FFD" w:rsidRDefault="00125707" w:rsidP="009068C9">
      <w:pPr>
        <w:pStyle w:val="InstructionsText2"/>
        <w:numPr>
          <w:ilvl w:val="0"/>
          <w:numId w:val="0"/>
        </w:numPr>
        <w:ind w:left="993"/>
      </w:pPr>
      <w:r>
        <w:t>158.</w:t>
      </w:r>
      <w:r>
        <w:tab/>
        <w:t>Pateikiamos bendros agreguotos pozicijos (t. y. visų šalių, kuriose bankas turi valstybės skolos vertybinių popierių pozicijų, suma) ir tiesioginio skolininko p</w:t>
      </w:r>
      <w:r>
        <w:t>a</w:t>
      </w:r>
      <w:r>
        <w:t>grindu atsirandančios pozicijos pagal kiekvieną šalį priklausomai nuo sandorio š</w:t>
      </w:r>
      <w:r>
        <w:t>a</w:t>
      </w:r>
      <w:r>
        <w:t xml:space="preserve">lies įsisteigimo vietos. </w:t>
      </w:r>
    </w:p>
    <w:p w:rsidR="00FD54FC" w:rsidRPr="00392FFD" w:rsidRDefault="00125707" w:rsidP="009068C9">
      <w:pPr>
        <w:pStyle w:val="InstructionsText2"/>
        <w:numPr>
          <w:ilvl w:val="0"/>
          <w:numId w:val="0"/>
        </w:numPr>
        <w:ind w:left="993"/>
      </w:pPr>
      <w:r>
        <w:t>159.</w:t>
      </w:r>
      <w:r>
        <w:tab/>
        <w:t>Pozicijų priskyrimas prie pozicijų klasių arba jurisdikcijų atliekamas neats</w:t>
      </w:r>
      <w:r>
        <w:t>i</w:t>
      </w:r>
      <w:r>
        <w:t>žvelgiant į kredito rizikos mažinimo metodus ir, visų pirma, neatsižvelgiant į poz</w:t>
      </w:r>
      <w:r>
        <w:t>i</w:t>
      </w:r>
      <w:r>
        <w:t>cijos pakeitimo poveikį. Tačiau apskaičiuojant kiekvienos pozicijų klasės ir kie</w:t>
      </w:r>
      <w:r>
        <w:t>k</w:t>
      </w:r>
      <w:r>
        <w:lastRenderedPageBreak/>
        <w:t xml:space="preserve">vienos jurisdikcijos pozicijų vertes ir pagal riziką įvertintų pozicijų sumas, į kredito rizikos mažinimo metodus, įskaitant pozicijos pakeitimo poveikį, atsižvelgiama. </w:t>
      </w:r>
    </w:p>
    <w:p w:rsidR="00FD54FC" w:rsidRPr="00392FFD" w:rsidRDefault="00125707" w:rsidP="009068C9">
      <w:pPr>
        <w:pStyle w:val="InstructionsText2"/>
        <w:numPr>
          <w:ilvl w:val="0"/>
          <w:numId w:val="0"/>
        </w:numPr>
        <w:ind w:left="993"/>
      </w:pPr>
      <w:r>
        <w:t>160.</w:t>
      </w:r>
      <w:r>
        <w:tab/>
        <w:t>Pateikiant informaciją apie valdžios sektoriaus pozicijas pagal tiesioginės sa</w:t>
      </w:r>
      <w:r>
        <w:t>n</w:t>
      </w:r>
      <w:r>
        <w:t>dorio šalies įsisteigimo jurisdikciją, išskyrus duomenis teikiančios įstaigos buveinės jurisdikciją, laikomasi šio reglamento 5 straipsnio b punkto 3 papunkčio ribų.</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4010129"/>
      <w:r>
        <w:rPr>
          <w:rFonts w:ascii="Times New Roman" w:hAnsi="Times New Roman"/>
          <w:sz w:val="24"/>
          <w:u w:val="none"/>
        </w:rPr>
        <w:t>7.2.</w:t>
      </w:r>
      <w:r>
        <w:tab/>
      </w:r>
      <w:r>
        <w:rPr>
          <w:rFonts w:ascii="Times New Roman" w:hAnsi="Times New Roman"/>
          <w:sz w:val="24"/>
        </w:rPr>
        <w:t>Valdžios sektoriaus pozicijų formos</w:t>
      </w:r>
      <w:bookmarkEnd w:id="808"/>
      <w:r>
        <w:rPr>
          <w:rFonts w:ascii="Times New Roman" w:hAnsi="Times New Roman"/>
          <w:sz w:val="24"/>
        </w:rPr>
        <w:t xml:space="preserve"> apimtis</w:t>
      </w:r>
      <w:bookmarkEnd w:id="809"/>
      <w:bookmarkEnd w:id="810"/>
      <w:bookmarkEnd w:id="811"/>
    </w:p>
    <w:p w:rsidR="00FD54FC" w:rsidRPr="00392FFD" w:rsidRDefault="00125707" w:rsidP="009068C9">
      <w:pPr>
        <w:pStyle w:val="InstructionsText2"/>
        <w:numPr>
          <w:ilvl w:val="0"/>
          <w:numId w:val="0"/>
        </w:numPr>
        <w:ind w:left="993"/>
      </w:pPr>
      <w:r>
        <w:t>161.</w:t>
      </w:r>
      <w:r>
        <w:tab/>
        <w:t>GOV forma apima balansines, nebalansines ir išvestines tiesiogines valdžios sektoriaus pozicijas prekybos ir bankinėje knygoje. Taip pat prašoma pateikti p</w:t>
      </w:r>
      <w:r>
        <w:t>a</w:t>
      </w:r>
      <w:r>
        <w:t>pildomą straipsnį dėl netiesioginių pozicijų, turimų kredito išvestinių priemonių, susijusių su valdžios sektoriaus pozicijomis, forma.</w:t>
      </w:r>
    </w:p>
    <w:p w:rsidR="00FD54FC" w:rsidRPr="00392FFD" w:rsidRDefault="00125707" w:rsidP="009068C9">
      <w:pPr>
        <w:pStyle w:val="InstructionsText2"/>
        <w:numPr>
          <w:ilvl w:val="0"/>
          <w:numId w:val="0"/>
        </w:numPr>
        <w:ind w:left="993"/>
      </w:pPr>
      <w:r>
        <w:t>162.</w:t>
      </w:r>
      <w:r>
        <w:tab/>
        <w:t>Pozicija yra tiesioginė pozicija, kai tiesioginė sandorio šalis yra subjektas, k</w:t>
      </w:r>
      <w:r>
        <w:t>u</w:t>
      </w:r>
      <w:r>
        <w:t xml:space="preserve">riam taikoma valdžios sektoriaus apibrėžtis. </w:t>
      </w:r>
    </w:p>
    <w:p w:rsidR="00FD54FC" w:rsidRPr="00392FFD" w:rsidRDefault="00125707" w:rsidP="009068C9">
      <w:pPr>
        <w:pStyle w:val="InstructionsText2"/>
        <w:numPr>
          <w:ilvl w:val="0"/>
          <w:numId w:val="0"/>
        </w:numPr>
        <w:ind w:left="993"/>
      </w:pPr>
      <w:r>
        <w:t>163.</w:t>
      </w:r>
      <w:r>
        <w:tab/>
        <w:t>Forma yra padalyta į dvi dalis. Pirmojoje pozicijos suskirstomos pagal riziką, priežiūros metodą ir pozicijų klases, o antrojoje pozicijos suskirstomos pagal likut</w:t>
      </w:r>
      <w:r>
        <w:t>i</w:t>
      </w:r>
      <w:r>
        <w:t>nį terminą.</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4010130"/>
      <w:r>
        <w:rPr>
          <w:rFonts w:ascii="Times New Roman" w:hAnsi="Times New Roman"/>
          <w:sz w:val="24"/>
          <w:u w:val="none"/>
        </w:rPr>
        <w:t>7.3.</w:t>
      </w:r>
      <w:r>
        <w:tab/>
      </w:r>
      <w:r>
        <w:rPr>
          <w:rFonts w:ascii="Times New Roman" w:hAnsi="Times New Roman"/>
          <w:sz w:val="24"/>
        </w:rPr>
        <w:t>Nurodymai dėl konkrečių pozicijų</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Skiltys</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Nurodymai</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TIESIOGINĖS POZICIJOS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BALANSINĖS POZICIJOS</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Bendra neišvestinio finansinio turto bendroji balansinė vertė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Agreguota neišvestinio finansinio turto, susijusio su valdžios sektoriumi, bendroji b</w:t>
            </w:r>
            <w:r>
              <w:rPr>
                <w:rFonts w:ascii="Times New Roman" w:hAnsi="Times New Roman"/>
                <w:sz w:val="24"/>
              </w:rPr>
              <w:t>a</w:t>
            </w:r>
            <w:r>
              <w:rPr>
                <w:rFonts w:ascii="Times New Roman" w:hAnsi="Times New Roman"/>
                <w:sz w:val="24"/>
              </w:rPr>
              <w:t>lansinė vertė, nustatyta pagal V priedo 1 dalies 34 punktą, apimanti visus apskaitos portfelius pagal TFAS arba Direktyva 86/635/EEB (Bankų apskaitos direktyva, BAD) pagrįstus nacionalinius BAP, apibrėžtus V priedo 1 dalies 15–22 punktuose ir išvard</w:t>
            </w:r>
            <w:r>
              <w:rPr>
                <w:rFonts w:ascii="Times New Roman" w:hAnsi="Times New Roman"/>
                <w:sz w:val="24"/>
              </w:rPr>
              <w:t>y</w:t>
            </w:r>
            <w:r>
              <w:rPr>
                <w:rFonts w:ascii="Times New Roman" w:hAnsi="Times New Roman"/>
                <w:sz w:val="24"/>
              </w:rPr>
              <w:t xml:space="preserve">tus 030–120 skiltyse.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Atliekant rizikos ribojimo principais pagrįsto vertinimo koregavimus, prekybos ir ne prekybos pozicijų, įvertintų tikrąja verte, bendroji balansinė vertė nesumažinama.</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Bendra neišvestinio finansinio turto balansinė vertė (atėmus trumpąsias pozicijas)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Agreguota neišvestinio finansinio turto, susijusio su valdžios sektoriumi, balansinė vertė, nustatyta pagal V priedo 1 dalies 27 punktą, apimanti visus apskaitos portfelius pagal TFAS arba BAD pagrįstus nacionalinius BAP, apibrėžtus V priedo 1 dalies 15–22 punktuose ir išvardytus 030–120 skiltyse, atėmus trumpąsias pozicijas.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Kai įstaiga turi to paties likutinio termino trumpąją poziciją tos pačios tiesioginės sa</w:t>
            </w:r>
            <w:r>
              <w:rPr>
                <w:rFonts w:ascii="Times New Roman" w:hAnsi="Times New Roman"/>
                <w:sz w:val="24"/>
              </w:rPr>
              <w:t>n</w:t>
            </w:r>
            <w:r>
              <w:rPr>
                <w:rFonts w:ascii="Times New Roman" w:hAnsi="Times New Roman"/>
                <w:sz w:val="24"/>
              </w:rPr>
              <w:t>dorio šalies atžvilgiu, denominuotą ta pačia valiuta, tos trumposios pozicijos balansinė vertė atimama iš tiesioginės pozicijos balansinės vertės. Kai ši grynoji suma yra ne</w:t>
            </w:r>
            <w:r>
              <w:rPr>
                <w:rFonts w:ascii="Times New Roman" w:hAnsi="Times New Roman"/>
                <w:sz w:val="24"/>
              </w:rPr>
              <w:t>i</w:t>
            </w:r>
            <w:r>
              <w:rPr>
                <w:rFonts w:ascii="Times New Roman" w:hAnsi="Times New Roman"/>
                <w:sz w:val="24"/>
              </w:rPr>
              <w:t>giama, laikoma, kad ji lygi nuliui.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Turi būti nurodyta 030 ir 120 skilčių reikšmių suma atėmus 130 skilties reikšmę.</w:t>
            </w:r>
            <w:r>
              <w:rPr>
                <w:sz w:val="24"/>
              </w:rPr>
              <w:t xml:space="preserve"> </w:t>
            </w:r>
            <w:r>
              <w:rPr>
                <w:rFonts w:ascii="Times New Roman" w:hAnsi="Times New Roman"/>
                <w:sz w:val="24"/>
              </w:rPr>
              <w:t xml:space="preserve">Jei ši </w:t>
            </w:r>
            <w:r>
              <w:rPr>
                <w:rFonts w:ascii="Times New Roman" w:hAnsi="Times New Roman"/>
                <w:sz w:val="24"/>
              </w:rPr>
              <w:lastRenderedPageBreak/>
              <w:t>suma mažesnė už nulį, nurodomas nulis.</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NEIŠVESTINIS FINANSINIS TURTAS PAGAL APSKAITOS PORTFELIUS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Neišvestinio finansinio turto valdžios sektoriaus atžvilgiu agreguota balansinė vertė (kaip apibrėžta pirmiau) pagal apskaitos portfelius, laikantis galiojančios apskaitos si</w:t>
            </w:r>
            <w:r>
              <w:rPr>
                <w:rFonts w:ascii="Times New Roman" w:hAnsi="Times New Roman"/>
                <w:sz w:val="24"/>
              </w:rPr>
              <w:t>s</w:t>
            </w:r>
            <w:r>
              <w:rPr>
                <w:rFonts w:ascii="Times New Roman" w:hAnsi="Times New Roman"/>
                <w:sz w:val="24"/>
              </w:rPr>
              <w:t>temos.</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Prekybai laikomas finansinis turtas</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7-ojo TFAS 8 straipsnio a punkto ii papunktis; 9-ojo TFAS A priedas</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Prekybinis finansinis turtas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32–33 straipsniai; V priedo 1.16 dalis; Apskaitos direktyvos 8 straipsnio 1 dalies a punktas.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Įstaigos vertes nurodo tik pagal nacionalinius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bendruosius apskaitos principus (BAP).</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Neprekybinis finansinis turtas, privalomai vertinamas tikrąja verte, kurios pok</w:t>
            </w:r>
            <w:r>
              <w:rPr>
                <w:rFonts w:ascii="Times New Roman" w:hAnsi="Times New Roman"/>
                <w:b/>
                <w:sz w:val="24"/>
                <w:u w:val="single"/>
              </w:rPr>
              <w:t>y</w:t>
            </w:r>
            <w:r>
              <w:rPr>
                <w:rFonts w:ascii="Times New Roman" w:hAnsi="Times New Roman"/>
                <w:b/>
                <w:sz w:val="24"/>
                <w:u w:val="single"/>
              </w:rPr>
              <w:t>čiai pripažįstami pelno (nuostolių) ataskaitoje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7-ojo TFAS 8 straipsnio a punkto ii papunktis; 9-ojo TFAS 4.1.4 straipsnis.</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Finansinis turtas, priskiriamas prie vertinamo tikrąja verte, kurios pokyčiai pr</w:t>
            </w:r>
            <w:r>
              <w:rPr>
                <w:rFonts w:ascii="Times New Roman" w:hAnsi="Times New Roman"/>
                <w:b/>
                <w:sz w:val="24"/>
                <w:u w:val="single"/>
              </w:rPr>
              <w:t>i</w:t>
            </w:r>
            <w:r>
              <w:rPr>
                <w:rFonts w:ascii="Times New Roman" w:hAnsi="Times New Roman"/>
                <w:b/>
                <w:sz w:val="24"/>
                <w:u w:val="single"/>
              </w:rPr>
              <w:t>pažįstami pelno (nuostolių) ataskaitoje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7-ojo TFAS 8 straipsnio a punkto i papunktis; 9-ojo TFAS 4.1.5 straipsnis ir Apskaitos direktyvos 8 straipsnio 1 dalies a punktas ir 6 dalis.</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Neprekybinis neišvestinis finansinis turtas, vertinamas tikrąja verte, kurios pok</w:t>
            </w:r>
            <w:r>
              <w:rPr>
                <w:rFonts w:ascii="Times New Roman" w:hAnsi="Times New Roman"/>
                <w:b/>
                <w:sz w:val="24"/>
                <w:u w:val="single"/>
              </w:rPr>
              <w:t>y</w:t>
            </w:r>
            <w:r>
              <w:rPr>
                <w:rFonts w:ascii="Times New Roman" w:hAnsi="Times New Roman"/>
                <w:b/>
                <w:sz w:val="24"/>
                <w:u w:val="single"/>
              </w:rPr>
              <w:t>čiai pripažįstami pelno (nuostolių) ataskaitoje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36 straipsnio 2 dalis; Apskaitos direktyvos 8 straipsnio 1 dalies a punktas.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Įstaigos vertes nurodo tik pagal nacionalinius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bendruosius apskaitos principus (BAP).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Finansinis turtas, vertinamas tikrąja verte, kurios pokyčiai pripažįstami kitomis bendrosiomis pajamomis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7-ojo TFAS 8 straipsnio d punktas; 9-ojo TFAS 4.1.2A straipsnis.</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Neprekybinis neišvestinis finansinis turtas, vertinamas tikrąja verte, kurios pok</w:t>
            </w:r>
            <w:r>
              <w:rPr>
                <w:rFonts w:ascii="Times New Roman" w:hAnsi="Times New Roman"/>
                <w:b/>
                <w:sz w:val="24"/>
                <w:u w:val="single"/>
              </w:rPr>
              <w:t>y</w:t>
            </w:r>
            <w:r>
              <w:rPr>
                <w:rFonts w:ascii="Times New Roman" w:hAnsi="Times New Roman"/>
                <w:b/>
                <w:sz w:val="24"/>
                <w:u w:val="single"/>
              </w:rPr>
              <w:t>čiai pripažįstami nuosavybėje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Apskaitos direktyvos 8 straipsnio 1 dalies a punktas ir 8 dalis.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Įstaigos vertes nurodo tik pagal nacionalinius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bendruosius apskaitos principus (BAP).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Amortizuota savikaina vertinamas finansinis turtas</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7-ojo TFAS 8 straipsnio f punktas; 9-ojo TFAS 4.1.2 straipsnis; V priedo 1.15 dalis.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Neprekybinis neišvestinis finansinis turtas, vertinamas taikant savikainos metodą</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35 straipsnis; Apskaitos direktyvos 6 straipsnio 1 dalies i punktas ir 8 straipsnio 2 dalis; V priedo 1.16 dalis.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Įstaigos vertes nurodo tik pagal nacionalinius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bendruosius apskaitos principus (BAP).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Kitas neprekybinis neišvestinis finansinis turtas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37 straipsnis; Apskaitos direktyvos 12 straipsnio 7 dalis; V priedo 1.16 dalis.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Įstaigos vertes nurodo tik pagal nacionalinius</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bendruosius apskaitos principus (BAP).</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Trumposios pozicijos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Trumpųjų pozicijų balansinė vertė, kaip apibrėžta 9-ojo TFAS BA.7 straipsnio b pun</w:t>
            </w:r>
            <w:r>
              <w:rPr>
                <w:rFonts w:ascii="Times New Roman" w:hAnsi="Times New Roman"/>
                <w:sz w:val="24"/>
              </w:rPr>
              <w:t>k</w:t>
            </w:r>
            <w:r>
              <w:rPr>
                <w:rFonts w:ascii="Times New Roman" w:hAnsi="Times New Roman"/>
                <w:sz w:val="24"/>
              </w:rPr>
              <w:t>te, kai tiesioginė sandorio šalis yra valdžios sektorius, kaip apibrėžta 1 dalyje.</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Trumposios pozicijos atsiranda, kai įstaiga parduoda vertybinius popierius, įsigytus a</w:t>
            </w:r>
            <w:r>
              <w:rPr>
                <w:rFonts w:ascii="Times New Roman" w:hAnsi="Times New Roman"/>
                <w:sz w:val="24"/>
              </w:rPr>
              <w:t>t</w:t>
            </w:r>
            <w:r>
              <w:rPr>
                <w:rFonts w:ascii="Times New Roman" w:hAnsi="Times New Roman"/>
                <w:sz w:val="24"/>
              </w:rPr>
              <w:t>virkštinio atpirkimo paskolos būdu arba pasiskolintus vertybinių popierių skolinimo sandorio būdu, ir kai tiesioginė sandorio šalis yra valdžios sektorius.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Balansinė vertė yra trumpųjų pozicijų tikroji vertė.</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Trumposios pozicijos turi būti nurodomos pagal likutinio termino intervalą, kaip ap</w:t>
            </w:r>
            <w:r>
              <w:rPr>
                <w:rFonts w:ascii="Times New Roman" w:hAnsi="Times New Roman"/>
                <w:sz w:val="24"/>
              </w:rPr>
              <w:t>i</w:t>
            </w:r>
            <w:r>
              <w:rPr>
                <w:rFonts w:ascii="Times New Roman" w:hAnsi="Times New Roman"/>
                <w:sz w:val="24"/>
              </w:rPr>
              <w:t>brėžta 170–230 eilutėse, ir pagal tiesioginę sandorio šalį. Tada, apskaičiuojant 030–120 skilčių reikšmes, atliekama trumpųjų pozicijų ir to paties likutinio termino ir tos pačios tiesioginės sandorio šalies pozicijų užskaita.</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 jų: trumposios atvirkštinio atpirkimo paskolų pozicijos, priskiriamos laik</w:t>
            </w:r>
            <w:r>
              <w:rPr>
                <w:rFonts w:ascii="Times New Roman" w:hAnsi="Times New Roman"/>
                <w:b/>
                <w:sz w:val="24"/>
                <w:u w:val="single"/>
              </w:rPr>
              <w:t>o</w:t>
            </w:r>
            <w:r>
              <w:rPr>
                <w:rFonts w:ascii="Times New Roman" w:hAnsi="Times New Roman"/>
                <w:b/>
                <w:sz w:val="24"/>
                <w:u w:val="single"/>
              </w:rPr>
              <w:t>mam prekybai arba prekybiniam finansiniam turtui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Trumpųjų pozicijų balansinė vertė, kaip apibrėžta 9-ojo TFAS BA.7 straipsnio b pun</w:t>
            </w:r>
            <w:r>
              <w:rPr>
                <w:rFonts w:ascii="Times New Roman" w:hAnsi="Times New Roman"/>
                <w:sz w:val="24"/>
              </w:rPr>
              <w:t>k</w:t>
            </w:r>
            <w:r>
              <w:rPr>
                <w:rFonts w:ascii="Times New Roman" w:hAnsi="Times New Roman"/>
                <w:sz w:val="24"/>
              </w:rPr>
              <w:t>te, kai trumposios pozicijos atsiranda įstaigai pardavus vertybinius popierius, įsigytus atvirkštinio atpirkimo paskolos būdu, kai tiesioginė sandorio šalis yra valdžios sekt</w:t>
            </w:r>
            <w:r>
              <w:rPr>
                <w:rFonts w:ascii="Times New Roman" w:hAnsi="Times New Roman"/>
                <w:sz w:val="24"/>
              </w:rPr>
              <w:t>o</w:t>
            </w:r>
            <w:r>
              <w:rPr>
                <w:rFonts w:ascii="Times New Roman" w:hAnsi="Times New Roman"/>
                <w:sz w:val="24"/>
              </w:rPr>
              <w:t>rius ir kai trumposios pozicijos priskiriamos laikomo prekybai arba prekybinio finans</w:t>
            </w:r>
            <w:r>
              <w:rPr>
                <w:rFonts w:ascii="Times New Roman" w:hAnsi="Times New Roman"/>
                <w:sz w:val="24"/>
              </w:rPr>
              <w:t>i</w:t>
            </w:r>
            <w:r>
              <w:rPr>
                <w:rFonts w:ascii="Times New Roman" w:hAnsi="Times New Roman"/>
                <w:sz w:val="24"/>
              </w:rPr>
              <w:t>nio turto apskaitos portfeliams (030 ar 040 skiltys).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Į šią skiltį neįtraukiamos trumposios pozicijos, atsirandančios, kai parduoti vertybiniai popieriai buvo pasiskolinti vertybinių popierių skolinimo sandorio būdu.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Sukauptas vertės sumažėjimas</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Agreguotas sukauptas vertės sumažėjimas, susijęs su neišvestiniu finansiniu turtu, n</w:t>
            </w:r>
            <w:r>
              <w:rPr>
                <w:rFonts w:ascii="Times New Roman" w:hAnsi="Times New Roman"/>
                <w:sz w:val="24"/>
              </w:rPr>
              <w:t>u</w:t>
            </w:r>
            <w:r>
              <w:rPr>
                <w:rFonts w:ascii="Times New Roman" w:hAnsi="Times New Roman"/>
                <w:sz w:val="24"/>
              </w:rPr>
              <w:lastRenderedPageBreak/>
              <w:t>rodytu 080–120 skiltyse. [V priedo 2 dalies 70 ir 71 punktai]</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Sukauptas vertės sumažėjimas. Iš jo: iš finansinio turto, vertinamo tikrąja verte, kurios pokyčiai pripažįstami kitomis bendrosiomis pajamomis, arba neprekyb</w:t>
            </w:r>
            <w:r>
              <w:rPr>
                <w:rFonts w:ascii="Times New Roman" w:hAnsi="Times New Roman"/>
                <w:b/>
                <w:sz w:val="24"/>
                <w:u w:val="single"/>
              </w:rPr>
              <w:t>i</w:t>
            </w:r>
            <w:r>
              <w:rPr>
                <w:rFonts w:ascii="Times New Roman" w:hAnsi="Times New Roman"/>
                <w:b/>
                <w:sz w:val="24"/>
                <w:u w:val="single"/>
              </w:rPr>
              <w:t>nio neišvestinio finansinio turto, vertinamo tikrąja verte, kurios pokyčiai prip</w:t>
            </w:r>
            <w:r>
              <w:rPr>
                <w:rFonts w:ascii="Times New Roman" w:hAnsi="Times New Roman"/>
                <w:b/>
                <w:sz w:val="24"/>
                <w:u w:val="single"/>
              </w:rPr>
              <w:t>a</w:t>
            </w:r>
            <w:r>
              <w:rPr>
                <w:rFonts w:ascii="Times New Roman" w:hAnsi="Times New Roman"/>
                <w:b/>
                <w:sz w:val="24"/>
                <w:u w:val="single"/>
              </w:rPr>
              <w:t>žįstami nuosavybėje</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Agreguotas sukauptas vertės sumažėjimas, susijęs su neišvestiniu finansiniu turtu, n</w:t>
            </w:r>
            <w:r>
              <w:rPr>
                <w:rFonts w:ascii="Times New Roman" w:hAnsi="Times New Roman"/>
                <w:sz w:val="24"/>
              </w:rPr>
              <w:t>u</w:t>
            </w:r>
            <w:r>
              <w:rPr>
                <w:rFonts w:ascii="Times New Roman" w:hAnsi="Times New Roman"/>
                <w:sz w:val="24"/>
              </w:rPr>
              <w:t xml:space="preserve">rodytu 080 ir 090 skiltyse.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Sukaupti tikrosios vertės neigiami pokyčiai dėl kredito rizikos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050, 060, 070, 080 ir 090 skiltyse nurodytų pozicijų agreguoti sukaupti tikrosios vertės neigiami pokyčiai dėl kredito rizikos. [V priedo 2 dalies 69 punktas]</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Sukaupti tikrosios vertės neigiami pokyčiai dėl kredito rizikos. Iš jų: iš neprek</w:t>
            </w:r>
            <w:r>
              <w:rPr>
                <w:rFonts w:ascii="Times New Roman" w:hAnsi="Times New Roman"/>
                <w:b/>
                <w:sz w:val="24"/>
                <w:u w:val="single"/>
              </w:rPr>
              <w:t>y</w:t>
            </w:r>
            <w:r>
              <w:rPr>
                <w:rFonts w:ascii="Times New Roman" w:hAnsi="Times New Roman"/>
                <w:b/>
                <w:sz w:val="24"/>
                <w:u w:val="single"/>
              </w:rPr>
              <w:t>binio finansinio turto, privalomai vertinamo tikrąja verte, kurios pokyčiai prip</w:t>
            </w:r>
            <w:r>
              <w:rPr>
                <w:rFonts w:ascii="Times New Roman" w:hAnsi="Times New Roman"/>
                <w:b/>
                <w:sz w:val="24"/>
                <w:u w:val="single"/>
              </w:rPr>
              <w:t>a</w:t>
            </w:r>
            <w:r>
              <w:rPr>
                <w:rFonts w:ascii="Times New Roman" w:hAnsi="Times New Roman"/>
                <w:b/>
                <w:sz w:val="24"/>
                <w:u w:val="single"/>
              </w:rPr>
              <w:t>žįstami pelno (nuostolių) ataskaitoje, finansinio turto, priskiriamo prie vertinamo tikrąja verte, kurios pokyčiai pripažįstami pelno (nuostolių) ataskaitoje arba n</w:t>
            </w:r>
            <w:r>
              <w:rPr>
                <w:rFonts w:ascii="Times New Roman" w:hAnsi="Times New Roman"/>
                <w:b/>
                <w:sz w:val="24"/>
                <w:u w:val="single"/>
              </w:rPr>
              <w:t>e</w:t>
            </w:r>
            <w:r>
              <w:rPr>
                <w:rFonts w:ascii="Times New Roman" w:hAnsi="Times New Roman"/>
                <w:b/>
                <w:sz w:val="24"/>
                <w:u w:val="single"/>
              </w:rPr>
              <w:t>prekybinio finansinio turto, vertinamo tikrąja verte, kurios pokyčiai pripažįstami pelno (nuostolių) ataskaitoje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 060 ir 070 skiltyse nurodytų pozicijų agreguoti sukaupti tikrosios vertės neigiami pokyčiai dėl kredito rizikos.</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Sukaupti tikrosios vertės neigiami pokyčiai dėl kredito rizikos. Iš jų: iš finansinio turto, vertinamo tikrąja verte, kurios pokyčiai pripažįstami kitomis bendrosiomis pajamomis, arba neprekybinio neišvestinio finansinio turto, vertinamo tikrąja verte, kurios pokyčiai pripažįstami nuosavybėje</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080 ir 090 skiltyse nurodytų pozicijų agreguoti sukaupti tikrosios vertės neigiami p</w:t>
            </w:r>
            <w:r>
              <w:rPr>
                <w:rFonts w:ascii="Times New Roman" w:hAnsi="Times New Roman"/>
                <w:sz w:val="24"/>
              </w:rPr>
              <w:t>o</w:t>
            </w:r>
            <w:r>
              <w:rPr>
                <w:rFonts w:ascii="Times New Roman" w:hAnsi="Times New Roman"/>
                <w:sz w:val="24"/>
              </w:rPr>
              <w:t>kyčiai dėl kredito rizikos.</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Tiesioginės išvestinių finansinių priemonių pozicijos nurodomos 200–230 skiltyse.</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Dėl teiktinos informacijos apie išvestines finansines priemones, kurioms taikomi kap</w:t>
            </w:r>
            <w:r>
              <w:rPr>
                <w:rFonts w:ascii="Times New Roman" w:hAnsi="Times New Roman"/>
                <w:sz w:val="24"/>
              </w:rPr>
              <w:t>i</w:t>
            </w:r>
            <w:r>
              <w:rPr>
                <w:rFonts w:ascii="Times New Roman" w:hAnsi="Times New Roman"/>
                <w:sz w:val="24"/>
              </w:rPr>
              <w:t>talo poreikio koeficientai tiek sandorio šalies kredito rizikai, tiek rinkos rizikai paden</w:t>
            </w:r>
            <w:r>
              <w:rPr>
                <w:rFonts w:ascii="Times New Roman" w:hAnsi="Times New Roman"/>
                <w:sz w:val="24"/>
              </w:rPr>
              <w:t>g</w:t>
            </w:r>
            <w:r>
              <w:rPr>
                <w:rFonts w:ascii="Times New Roman" w:hAnsi="Times New Roman"/>
                <w:sz w:val="24"/>
              </w:rPr>
              <w:t>ti, žr. nurodymus dėl suskirstymo pagal eilutes.</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 su teigiama tikrąja verte</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Visos išvestinės finansinės priemonės, kurių sandorio šalis yra valdžios sektorius ir k</w:t>
            </w:r>
            <w:r>
              <w:rPr>
                <w:rFonts w:ascii="Times New Roman" w:hAnsi="Times New Roman"/>
                <w:sz w:val="24"/>
              </w:rPr>
              <w:t>u</w:t>
            </w:r>
            <w:r>
              <w:rPr>
                <w:rFonts w:ascii="Times New Roman" w:hAnsi="Times New Roman"/>
                <w:sz w:val="24"/>
              </w:rPr>
              <w:t>rių vertė ataskaitinę dieną įstaigai yra teigiama, nepaisant to, ar jos naudojamos tink</w:t>
            </w:r>
            <w:r>
              <w:rPr>
                <w:rFonts w:ascii="Times New Roman" w:hAnsi="Times New Roman"/>
                <w:sz w:val="24"/>
              </w:rPr>
              <w:t>a</w:t>
            </w:r>
            <w:r>
              <w:rPr>
                <w:rFonts w:ascii="Times New Roman" w:hAnsi="Times New Roman"/>
                <w:sz w:val="24"/>
              </w:rPr>
              <w:t xml:space="preserve">mumo kriterijus atitinkančiuose apsidraudimo sandoriuose, yra laikomos prekybai arba įtraukiamos į prekybos portfelį pagal TFAS ir BAD pagrįstus nacionalinius BAP.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Ekonominiuose apsidraudimo sandoriuose naudojamos išvestinės finansinės priemonės čia nurodomos tada, kai yra laikomos prekybai arba įtraukiamos į prekybos apskaitos </w:t>
            </w:r>
            <w:r>
              <w:rPr>
                <w:rFonts w:ascii="Times New Roman" w:hAnsi="Times New Roman"/>
                <w:sz w:val="24"/>
              </w:rPr>
              <w:lastRenderedPageBreak/>
              <w:t>portfelius (V priedo 2 dalies 120, 124, 125 ir 137–140 punktai).</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Išvestinės finansinės priemonės su teigiama tikrąja verte. Balansinė vertė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Išvestinių finansinių priemonių, kurios ataskaitinę dieną įtraukiamos į apskaitą kaip f</w:t>
            </w:r>
            <w:r>
              <w:rPr>
                <w:rFonts w:ascii="Times New Roman" w:hAnsi="Times New Roman"/>
                <w:sz w:val="24"/>
              </w:rPr>
              <w:t>i</w:t>
            </w:r>
            <w:r>
              <w:rPr>
                <w:rFonts w:ascii="Times New Roman" w:hAnsi="Times New Roman"/>
                <w:sz w:val="24"/>
              </w:rPr>
              <w:t xml:space="preserve">nansinis turtas, balansinė vertė.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Pagal BAD pagrįstus nacionalinius BAP šiose skiltyse nurodytinos išvestinės finans</w:t>
            </w:r>
            <w:r>
              <w:rPr>
                <w:rFonts w:ascii="Times New Roman" w:hAnsi="Times New Roman"/>
                <w:sz w:val="24"/>
              </w:rPr>
              <w:t>i</w:t>
            </w:r>
            <w:r>
              <w:rPr>
                <w:rFonts w:ascii="Times New Roman" w:hAnsi="Times New Roman"/>
                <w:sz w:val="24"/>
              </w:rPr>
              <w:t>nės priemonės apima išvestines finansines priemones, vertinamas savikaina arba m</w:t>
            </w:r>
            <w:r>
              <w:rPr>
                <w:rFonts w:ascii="Times New Roman" w:hAnsi="Times New Roman"/>
                <w:sz w:val="24"/>
              </w:rPr>
              <w:t>a</w:t>
            </w:r>
            <w:r>
              <w:rPr>
                <w:rFonts w:ascii="Times New Roman" w:hAnsi="Times New Roman"/>
                <w:sz w:val="24"/>
              </w:rPr>
              <w:t>žesniąja iš savikainos arba rinkos verčių ir įtrauktas į prekybos portfelį arba priskiri</w:t>
            </w:r>
            <w:r>
              <w:rPr>
                <w:rFonts w:ascii="Times New Roman" w:hAnsi="Times New Roman"/>
                <w:sz w:val="24"/>
              </w:rPr>
              <w:t>a</w:t>
            </w:r>
            <w:r>
              <w:rPr>
                <w:rFonts w:ascii="Times New Roman" w:hAnsi="Times New Roman"/>
                <w:sz w:val="24"/>
              </w:rPr>
              <w:t xml:space="preserve">mas prie apsidraudimo priemonių.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 su teigiama tikrąja verte. Tariamoji suma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Pagal TFAS ir BAD pagrįstus nacionalinius BAP visų išvestinių finansinių priemonių sandorių, sudarytų ir dar neapmokėtų ataskaitinę dieną, kurių sandorio šalis yra va</w:t>
            </w:r>
            <w:r>
              <w:rPr>
                <w:rFonts w:ascii="Times New Roman" w:hAnsi="Times New Roman"/>
                <w:sz w:val="24"/>
              </w:rPr>
              <w:t>l</w:t>
            </w:r>
            <w:r>
              <w:rPr>
                <w:rFonts w:ascii="Times New Roman" w:hAnsi="Times New Roman"/>
                <w:sz w:val="24"/>
              </w:rPr>
              <w:t>džios sektorius, kaip apibrėžta pirmiau 1 dalyje, kai jų tikroji vertė įstaigai ataskaitinę dieną yra teigiama, tariamoji suma, kaip apibrėžta V priedo 2 dalies 133–135 punktu</w:t>
            </w:r>
            <w:r>
              <w:rPr>
                <w:rFonts w:ascii="Times New Roman" w:hAnsi="Times New Roman"/>
                <w:sz w:val="24"/>
              </w:rPr>
              <w:t>o</w:t>
            </w:r>
            <w:r>
              <w:rPr>
                <w:rFonts w:ascii="Times New Roman" w:hAnsi="Times New Roman"/>
                <w:sz w:val="24"/>
              </w:rPr>
              <w:t>se.</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 su neigiama tikrąja verte</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Visos išvestinės finansinės priemonės, kurių sandorio šalis yra valdžios sektorius ir k</w:t>
            </w:r>
            <w:r>
              <w:rPr>
                <w:rFonts w:ascii="Times New Roman" w:hAnsi="Times New Roman"/>
                <w:sz w:val="24"/>
              </w:rPr>
              <w:t>u</w:t>
            </w:r>
            <w:r>
              <w:rPr>
                <w:rFonts w:ascii="Times New Roman" w:hAnsi="Times New Roman"/>
                <w:sz w:val="24"/>
              </w:rPr>
              <w:t>rių vertė ataskaitinę dieną įstaigai yra neigiama, nepaisant to, ar jos naudojamos ti</w:t>
            </w:r>
            <w:r>
              <w:rPr>
                <w:rFonts w:ascii="Times New Roman" w:hAnsi="Times New Roman"/>
                <w:sz w:val="24"/>
              </w:rPr>
              <w:t>n</w:t>
            </w:r>
            <w:r>
              <w:rPr>
                <w:rFonts w:ascii="Times New Roman" w:hAnsi="Times New Roman"/>
                <w:sz w:val="24"/>
              </w:rPr>
              <w:t xml:space="preserve">kamumo kriterijus atitinkančiuose apsidraudimo sandoriuose, ar yra laikomos prekybai arba įtraukiamos į prekybos portfelį pagal TFAS ir BAD pagrįstus nacionalinius BAP.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Ekonominiuose apsidraudimo sandoriuose naudojamos išvestinės finansinės priemonės čia nurodomos tada, kai yra laikomos prekybai arba įtraukiamos į prekybos apskaitos portfelius (V priedo 2 dalies 120, 124, 125 ir 137–140 punktai).</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Išvestinės finansinės priemonės su neigiama tikrąja verte. Balansinė vertė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Išvestinių finansinių priemonių, kurios ataskaitinę dieną įtraukiamos į apskaitą kaip f</w:t>
            </w:r>
            <w:r>
              <w:rPr>
                <w:rFonts w:ascii="Times New Roman" w:hAnsi="Times New Roman"/>
                <w:sz w:val="24"/>
              </w:rPr>
              <w:t>i</w:t>
            </w:r>
            <w:r>
              <w:rPr>
                <w:rFonts w:ascii="Times New Roman" w:hAnsi="Times New Roman"/>
                <w:sz w:val="24"/>
              </w:rPr>
              <w:t xml:space="preserve">nansiniai įsipareigojimai, balansinė vertė.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Pagal BAD pagrįstus nacionalinius BAP šiose skiltyse nurodytinos išvestinės finans</w:t>
            </w:r>
            <w:r>
              <w:rPr>
                <w:rFonts w:ascii="Times New Roman" w:hAnsi="Times New Roman"/>
                <w:sz w:val="24"/>
              </w:rPr>
              <w:t>i</w:t>
            </w:r>
            <w:r>
              <w:rPr>
                <w:rFonts w:ascii="Times New Roman" w:hAnsi="Times New Roman"/>
                <w:sz w:val="24"/>
              </w:rPr>
              <w:t>nės priemonės apima išvestines finansines priemones, vertinamas savikaina arba m</w:t>
            </w:r>
            <w:r>
              <w:rPr>
                <w:rFonts w:ascii="Times New Roman" w:hAnsi="Times New Roman"/>
                <w:sz w:val="24"/>
              </w:rPr>
              <w:t>a</w:t>
            </w:r>
            <w:r>
              <w:rPr>
                <w:rFonts w:ascii="Times New Roman" w:hAnsi="Times New Roman"/>
                <w:sz w:val="24"/>
              </w:rPr>
              <w:t>žesniąja iš savikainos arba rinkos verčių ir įtrauktas į prekybos portfelį arba priskiri</w:t>
            </w:r>
            <w:r>
              <w:rPr>
                <w:rFonts w:ascii="Times New Roman" w:hAnsi="Times New Roman"/>
                <w:sz w:val="24"/>
              </w:rPr>
              <w:t>a</w:t>
            </w:r>
            <w:r>
              <w:rPr>
                <w:rFonts w:ascii="Times New Roman" w:hAnsi="Times New Roman"/>
                <w:sz w:val="24"/>
              </w:rPr>
              <w:t xml:space="preserve">mas prie apsidraudimo priemonių.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Išvestinės finansinės priemonės su neigiama tikrąja verte. Tariamoji suma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Pagal TFAS ir BAD pagrįstus nacionalinius BAP visų išvestinių finansinių priemonių sandorių, sudarytų ir dar neapmokėtų ataskaitinę dieną, kurių sandorio šalis yra va</w:t>
            </w:r>
            <w:r>
              <w:rPr>
                <w:rFonts w:ascii="Times New Roman" w:hAnsi="Times New Roman"/>
                <w:sz w:val="24"/>
              </w:rPr>
              <w:t>l</w:t>
            </w:r>
            <w:r>
              <w:rPr>
                <w:rFonts w:ascii="Times New Roman" w:hAnsi="Times New Roman"/>
                <w:sz w:val="24"/>
              </w:rPr>
              <w:t>džios sektorius, kaip apibrėžta pirmiau 1 dalyje, kai jų tikroji vertė įstaigai yra neigi</w:t>
            </w:r>
            <w:r>
              <w:rPr>
                <w:rFonts w:ascii="Times New Roman" w:hAnsi="Times New Roman"/>
                <w:sz w:val="24"/>
              </w:rPr>
              <w:t>a</w:t>
            </w:r>
            <w:r>
              <w:rPr>
                <w:rFonts w:ascii="Times New Roman" w:hAnsi="Times New Roman"/>
                <w:sz w:val="24"/>
              </w:rPr>
              <w:t>ma, tariamoji suma, kaip apibrėžta V priedo 2 dalies 133–135 punktuose.</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NEBALANSINĖS POZICIJOS</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Nominalioji suma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Kai nebalansinio straipsnio tiesioginė sandorio šalis yra valdžios sektorius, kaip ap</w:t>
            </w:r>
            <w:r>
              <w:rPr>
                <w:rFonts w:ascii="Times New Roman" w:hAnsi="Times New Roman"/>
                <w:sz w:val="24"/>
              </w:rPr>
              <w:t>i</w:t>
            </w:r>
            <w:r>
              <w:rPr>
                <w:rFonts w:ascii="Times New Roman" w:hAnsi="Times New Roman"/>
                <w:sz w:val="24"/>
              </w:rPr>
              <w:t>brėžta pirmiau 1 dalyje, įsipareigojimų ir finansinių garantijų, kurios pagal TFAS ir BAD pagrįstus nacionalinius BAP nelaikomos išvestine finansine priemone (V priedo 2 dalies 102–119 punktai), nominalioji suma.</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Pagal V priedo 1 dalies 43 ir 44 punktus valdžios sektorius yra tiesioginė sandorio š</w:t>
            </w:r>
            <w:r>
              <w:rPr>
                <w:rFonts w:ascii="Times New Roman" w:hAnsi="Times New Roman"/>
                <w:sz w:val="24"/>
              </w:rPr>
              <w:t>a</w:t>
            </w:r>
            <w:r>
              <w:rPr>
                <w:rFonts w:ascii="Times New Roman" w:hAnsi="Times New Roman"/>
                <w:sz w:val="24"/>
              </w:rPr>
              <w:t xml:space="preserve">lis: a) suteiktos finansinės garantijos atveju, kai ji yra tiesioginė garantuojamos skolos priemonės sandorio šalis, ir b) suteiktų kreditavimo ir kitų įsipareigojimų atveju, kai ji yra sandorio šalis, kurios kredito riziką prisiima informaciją teikianti įstaiga.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Atidėjiniai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4 straipsnio dalies „Įsipareigojimai“ 6 punkto c papunktis, dalis „Nebalansinės ataskaitos“, 27 straipsnio 11 punktas, 28 straipsnio 8 punktas, 33 straipsnis; 9-ojo TFAS 4.2.1 straipsnio c punkto ii papunktis ir d punkto ii papunktis, 5.5.20 straipsnis, 37-asis TAS, 4-asis TFAS, V priedo 2 dalies 11 punktas.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Visų nebalansinių pozicijų atidėjiniai, nepriklausomai nuo jų vertinimo metodo, išsk</w:t>
            </w:r>
            <w:r>
              <w:rPr>
                <w:rFonts w:ascii="Times New Roman" w:hAnsi="Times New Roman"/>
                <w:sz w:val="24"/>
              </w:rPr>
              <w:t>y</w:t>
            </w:r>
            <w:r>
              <w:rPr>
                <w:rFonts w:ascii="Times New Roman" w:hAnsi="Times New Roman"/>
                <w:sz w:val="24"/>
              </w:rPr>
              <w:t>rus atidėjinius, pagal 9-ąjį TFAS vertinamus tikrąja verte, kurios pokyčiai pripažįstami pelno (nuostolių) ataskaitoje.</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Pagal TFAS suteikto kreditavimo įsipareigojimo vertės sumažėjimas nurodomas 150 skiltyje, kai įstaiga negali atskirai nurodyti tikėtinų kredito nuostolių, susijusių su p</w:t>
            </w:r>
            <w:r>
              <w:rPr>
                <w:rFonts w:ascii="Times New Roman" w:hAnsi="Times New Roman"/>
                <w:sz w:val="24"/>
              </w:rPr>
              <w:t>a</w:t>
            </w:r>
            <w:r>
              <w:rPr>
                <w:rFonts w:ascii="Times New Roman" w:hAnsi="Times New Roman"/>
                <w:sz w:val="24"/>
              </w:rPr>
              <w:t>naudota ir nepanaudota skolos priemonės suma. Jeigu bendri tikėtini tos finansinės priemonės kredito nuostoliai viršija priemonės kreditavimo komponento bendrąją b</w:t>
            </w:r>
            <w:r>
              <w:rPr>
                <w:rFonts w:ascii="Times New Roman" w:hAnsi="Times New Roman"/>
                <w:sz w:val="24"/>
              </w:rPr>
              <w:t>a</w:t>
            </w:r>
            <w:r>
              <w:rPr>
                <w:rFonts w:ascii="Times New Roman" w:hAnsi="Times New Roman"/>
                <w:sz w:val="24"/>
              </w:rPr>
              <w:t>lansinę vertę, likusi tikėtinų kredito nuostolių suma nurodoma 250 skiltyje kaip atid</w:t>
            </w:r>
            <w:r>
              <w:rPr>
                <w:rFonts w:ascii="Times New Roman" w:hAnsi="Times New Roman"/>
                <w:sz w:val="24"/>
              </w:rPr>
              <w:t>ė</w:t>
            </w:r>
            <w:r>
              <w:rPr>
                <w:rFonts w:ascii="Times New Roman" w:hAnsi="Times New Roman"/>
                <w:sz w:val="24"/>
              </w:rPr>
              <w:t>jinys.</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Sukaupti tikrosios vertės neigiami pokyčiai dėl kredito rizikos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Nebalansinių straipsnių, pagal 9-ąjį TFAS vertinamų tikrąja verte, kurios pokyčiai pr</w:t>
            </w:r>
            <w:r>
              <w:rPr>
                <w:rFonts w:ascii="Times New Roman" w:hAnsi="Times New Roman"/>
                <w:sz w:val="24"/>
              </w:rPr>
              <w:t>i</w:t>
            </w:r>
            <w:r>
              <w:rPr>
                <w:rFonts w:ascii="Times New Roman" w:hAnsi="Times New Roman"/>
                <w:sz w:val="24"/>
              </w:rPr>
              <w:t>pažįstami pelno (nuostolių) ataskaitoje, sukaupti tikrosios vertės neigiami pokyčiai dėl kredito rizikos (V priedo 2 dalies 110 punktas).</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Papildomas straipsnis: kredito išvestinės finansinės priemonės, susijusios su va</w:t>
            </w:r>
            <w:r>
              <w:rPr>
                <w:rFonts w:ascii="Times New Roman" w:hAnsi="Times New Roman"/>
                <w:b/>
                <w:sz w:val="24"/>
                <w:u w:val="single"/>
              </w:rPr>
              <w:t>l</w:t>
            </w:r>
            <w:r>
              <w:rPr>
                <w:rFonts w:ascii="Times New Roman" w:hAnsi="Times New Roman"/>
                <w:b/>
                <w:sz w:val="24"/>
                <w:u w:val="single"/>
              </w:rPr>
              <w:t>džios sektoriaus pozicijomis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Nurodomos kredito išvestinės finansinės priemonės, neatitinkančios finansinių garant</w:t>
            </w:r>
            <w:r>
              <w:rPr>
                <w:rFonts w:ascii="Times New Roman" w:hAnsi="Times New Roman"/>
                <w:sz w:val="24"/>
              </w:rPr>
              <w:t>i</w:t>
            </w:r>
            <w:r>
              <w:rPr>
                <w:rFonts w:ascii="Times New Roman" w:hAnsi="Times New Roman"/>
                <w:sz w:val="24"/>
              </w:rPr>
              <w:t>jų apibrėžties, kurias informaciją teikianti įstaiga pasirašė su kitomis nei valdžios se</w:t>
            </w:r>
            <w:r>
              <w:rPr>
                <w:rFonts w:ascii="Times New Roman" w:hAnsi="Times New Roman"/>
                <w:sz w:val="24"/>
              </w:rPr>
              <w:t>k</w:t>
            </w:r>
            <w:r>
              <w:rPr>
                <w:rFonts w:ascii="Times New Roman" w:hAnsi="Times New Roman"/>
                <w:sz w:val="24"/>
              </w:rPr>
              <w:t>torius sandorio šalimis ir kurių pagrindinė pozicija yra valdžios sektoriaus atžvilgiu.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Šiose skiltyse nenurodomos pozicijos, suskirstytos pagal riziką, priežiūros metodą ir pozicijų klasę (020–160 eilutės).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Į šiame skirsnyje nurodomas pozicijas nereikėtų atsižvelgti apskaičiuojant pozicijų ve</w:t>
            </w:r>
            <w:r>
              <w:rPr>
                <w:rFonts w:ascii="Times New Roman" w:hAnsi="Times New Roman"/>
                <w:sz w:val="24"/>
              </w:rPr>
              <w:t>r</w:t>
            </w:r>
            <w:r>
              <w:rPr>
                <w:rFonts w:ascii="Times New Roman" w:hAnsi="Times New Roman"/>
                <w:sz w:val="24"/>
              </w:rPr>
              <w:t xml:space="preserve">tę ir pagal riziką įvertintą pozicijos sumą (290 ir 300 skiltys), nes jos grindžiamos tik tiesioginėmis pozicijomis.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 su teigiama tikrąja verte. Balansinė vertė</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Nurodytų parduotų kredito išvestinių priemonių, susijusių su valdžios sektoriaus poz</w:t>
            </w:r>
            <w:r>
              <w:rPr>
                <w:rFonts w:ascii="Times New Roman" w:hAnsi="Times New Roman"/>
                <w:sz w:val="24"/>
              </w:rPr>
              <w:t>i</w:t>
            </w:r>
            <w:r>
              <w:rPr>
                <w:rFonts w:ascii="Times New Roman" w:hAnsi="Times New Roman"/>
                <w:sz w:val="24"/>
              </w:rPr>
              <w:t>cijomis, kurių tikroji vertė įstaigai ataskaitinę datą yra teigiama, agreguota balansinė vertė, neatsižvelgiant į rizikos ribojimo principais pagrįsto vertinimo koregavimus.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Šioje skiltyje nurodytina išvestinių finansinių priemonių, kurioms taikomas TFAS, suma yra išvestinių finansinių priemonių, kurios ataskaitinę dieną yra finansinis turtas, balansinė vertė.</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Šioje skiltyje nurodytina išvestinių finansinių priemonių, kurioms taikomi BAD p</w:t>
            </w:r>
            <w:r>
              <w:rPr>
                <w:rFonts w:ascii="Times New Roman" w:hAnsi="Times New Roman"/>
                <w:sz w:val="24"/>
              </w:rPr>
              <w:t>a</w:t>
            </w:r>
            <w:r>
              <w:rPr>
                <w:rFonts w:ascii="Times New Roman" w:hAnsi="Times New Roman"/>
                <w:sz w:val="24"/>
              </w:rPr>
              <w:t>grįsti nacionaliniai BAP, suma yra išvestinių finansinių priemonių, kurių tikroji vertė ataskaitinę dieną yra teigiama, tikroji vertė, nepriklausomai nuo jų įtraukimo į apskaitą metodo.</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 su neigiama tikrąja verte. Balansinė vertė</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Nurodytų parduotų kredito išvestinių priemonių, susijusių su valdžios sektoriaus poz</w:t>
            </w:r>
            <w:r>
              <w:rPr>
                <w:rFonts w:ascii="Times New Roman" w:hAnsi="Times New Roman"/>
                <w:sz w:val="24"/>
              </w:rPr>
              <w:t>i</w:t>
            </w:r>
            <w:r>
              <w:rPr>
                <w:rFonts w:ascii="Times New Roman" w:hAnsi="Times New Roman"/>
                <w:sz w:val="24"/>
              </w:rPr>
              <w:t>cijomis, kurių tikroji vertė įstaigai ataskaitinę datą yra neigiama, agreguota balansinė vertė, neatsižvelgiant į rizikos ribojimo principais pagrįsto vertinimo koregavimus.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Šioje skiltyje nurodytina išvestinių finansinių priemonių, kurioms taikomas TFAS, suma yra išvestinių finansinių priemonių, kurios ataskaitinę dieną yra finansiniai įsip</w:t>
            </w:r>
            <w:r>
              <w:rPr>
                <w:rFonts w:ascii="Times New Roman" w:hAnsi="Times New Roman"/>
                <w:sz w:val="24"/>
              </w:rPr>
              <w:t>a</w:t>
            </w:r>
            <w:r>
              <w:rPr>
                <w:rFonts w:ascii="Times New Roman" w:hAnsi="Times New Roman"/>
                <w:sz w:val="24"/>
              </w:rPr>
              <w:t xml:space="preserve">reigojimai, balansinė vertė.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Šioje skiltyje nurodytina išvestinių finansinių priemonių, kurioms taikomi BAD p</w:t>
            </w:r>
            <w:r>
              <w:rPr>
                <w:rFonts w:ascii="Times New Roman" w:hAnsi="Times New Roman"/>
                <w:sz w:val="24"/>
              </w:rPr>
              <w:t>a</w:t>
            </w:r>
            <w:r>
              <w:rPr>
                <w:rFonts w:ascii="Times New Roman" w:hAnsi="Times New Roman"/>
                <w:sz w:val="24"/>
              </w:rPr>
              <w:t>grįsti nacionaliniai BAP, suma yra išvestinių finansinių priemonių, kurių tikroji vertė ataskaitinę dieną yra neigiama, tikroji vertė, nepriklausomai nuo jų įtraukimo į apskaitą metodo.</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Pozicijos vertė</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Pozicijų, kurioms taikoma kredito rizikos sistema, vertė.</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Dėl pozicijų, kurioms taikomas standartizuotas metodas, žr. KRR 111 straipsnį. Dėl pozicijų, kurioms taikomas IRB metodas, žr. KRR 166 straipsnį ir 230 straipsnio 1 d</w:t>
            </w:r>
            <w:r>
              <w:rPr>
                <w:rFonts w:ascii="Times New Roman" w:hAnsi="Times New Roman"/>
                <w:sz w:val="24"/>
              </w:rPr>
              <w:t>a</w:t>
            </w:r>
            <w:r>
              <w:rPr>
                <w:rFonts w:ascii="Times New Roman" w:hAnsi="Times New Roman"/>
                <w:sz w:val="24"/>
              </w:rPr>
              <w:t>lies antrą sakinį.</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Nurodymai dėl išvestinių finansinių priemonių, kurioms taikomi tiek sandorio šalies kredito rizikos, tiek rinkos rizikos kapitalo poreikio koeficientai, pranešimo pateikiami prie atskirų eilučių.</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Pagal riziką įvertintų pozicijų suma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Pozicijų, kurioms taikoma kredito rizikos sistema, pagal riziką įvertintų pozicijų suma.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Dėl pozicijų, kurioms taikomas standartizuotas metodas, žr. KRR 113 straipsnio 1–5 dalis. Dėl pozicijų, kurioms taikomas IRB metodas, žr. KRR 153 straipsnio 1 ir 3 dalis.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Dėl teiktinos informacijos apie tiesiogines pozicijas, patenkančias į KRR 271 straip</w:t>
            </w:r>
            <w:r>
              <w:rPr>
                <w:rFonts w:ascii="Times New Roman" w:hAnsi="Times New Roman"/>
                <w:sz w:val="24"/>
              </w:rPr>
              <w:t>s</w:t>
            </w:r>
            <w:r>
              <w:rPr>
                <w:rFonts w:ascii="Times New Roman" w:hAnsi="Times New Roman"/>
                <w:sz w:val="24"/>
              </w:rPr>
              <w:t>nio taikymo sritį, kurioms taikomi nuosavų lėšų reikalavimai tiek sandorio šalies kred</w:t>
            </w:r>
            <w:r>
              <w:rPr>
                <w:rFonts w:ascii="Times New Roman" w:hAnsi="Times New Roman"/>
                <w:sz w:val="24"/>
              </w:rPr>
              <w:t>i</w:t>
            </w:r>
            <w:r>
              <w:rPr>
                <w:rFonts w:ascii="Times New Roman" w:hAnsi="Times New Roman"/>
                <w:sz w:val="24"/>
              </w:rPr>
              <w:lastRenderedPageBreak/>
              <w:t>to rizikai, tiek rinkos rizikai padengti, žr. nurodymus dėl suskirstymo pagal eilutes.</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Eilutės</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Nurodymai</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POZICIJŲ SUSKIRSTYMAS PAGAL PRIEŽIŪROS METODĄ</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Bendra pozicijų suma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Valdžios sektoriaus pozicijų, kaip apibrėžta 1 dalyje, suma.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Pozicijos pagal kredito rizikos sistemą</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Valdžios sektoriaus pozicijų, kurios pagal KRR trečios dalies II antraštinę dalį turi būti apskaičiuotos įvertinant pagal riziką, suma. Pozicijos, kurioms taikoma kredito rizikos sistema, apima tiek ne prekybos knygos, tiek prekybos knygos pozicijas, kurioms ta</w:t>
            </w:r>
            <w:r>
              <w:rPr>
                <w:rFonts w:ascii="Times New Roman" w:hAnsi="Times New Roman"/>
                <w:sz w:val="24"/>
              </w:rPr>
              <w:t>i</w:t>
            </w:r>
            <w:r>
              <w:rPr>
                <w:rFonts w:ascii="Times New Roman" w:hAnsi="Times New Roman"/>
                <w:sz w:val="24"/>
              </w:rPr>
              <w:t xml:space="preserve">komas kapitalo poreikio koeficientas sandorio šalies kredito rizikai padengti.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Tiesioginės pozicijos, patenkančios į KRR 271 straipsnio taikymo sritį, kurioms taik</w:t>
            </w:r>
            <w:r>
              <w:rPr>
                <w:rFonts w:ascii="Times New Roman" w:hAnsi="Times New Roman"/>
                <w:sz w:val="24"/>
              </w:rPr>
              <w:t>o</w:t>
            </w:r>
            <w:r>
              <w:rPr>
                <w:rFonts w:ascii="Times New Roman" w:hAnsi="Times New Roman"/>
                <w:sz w:val="24"/>
              </w:rPr>
              <w:t>mi nuosavų lėšų reikalavimai tiek sandorio šalies kredito rizikai, tiek rinkos rizikai p</w:t>
            </w:r>
            <w:r>
              <w:rPr>
                <w:rFonts w:ascii="Times New Roman" w:hAnsi="Times New Roman"/>
                <w:sz w:val="24"/>
              </w:rPr>
              <w:t>a</w:t>
            </w:r>
            <w:r>
              <w:rPr>
                <w:rFonts w:ascii="Times New Roman" w:hAnsi="Times New Roman"/>
                <w:sz w:val="24"/>
              </w:rPr>
              <w:t>dengti, nurodomos tiek kredito rizikos eilutėse (020–155), tiek rinkos rizikos eilutėje (160): sandorio šalies kredito rizikos pozicijos pateikiamos kredito rizikos eilutėse, o rinkos rizikos pozicijos pateikiamos rinkos rizikos eilutėje.</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Standartizuotas metodas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Pagal KRR trečios dalies II antraštinės dalies 2 skyrių pagal riziką įvertintos valdžios sektoriaus pozicijos, įskaitant pozicijas iš ne prekybos knygos, kurias vertinant pagal riziką remiantis tuo skyriumi vertinama pagal sandorio šalies kredito riziką.</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Centrinės valdžios pozicijos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Valdžios sektoriaus, konkrečiai centrinės valdžios, pozicijos. Šios pozicijos pagal KRR 112 ir 114 straipsnius priskiriamos prie pozicijų klasės „centrinės valdžios arba centr</w:t>
            </w:r>
            <w:r>
              <w:rPr>
                <w:rFonts w:ascii="Times New Roman" w:hAnsi="Times New Roman"/>
                <w:sz w:val="24"/>
              </w:rPr>
              <w:t>i</w:t>
            </w:r>
            <w:r>
              <w:rPr>
                <w:rFonts w:ascii="Times New Roman" w:hAnsi="Times New Roman"/>
                <w:sz w:val="24"/>
              </w:rPr>
              <w:t>nių bankų pozicijos“, kaip nurodoma C 07.00 formos nurodymuose, išskyrus patiksli</w:t>
            </w:r>
            <w:r>
              <w:rPr>
                <w:rFonts w:ascii="Times New Roman" w:hAnsi="Times New Roman"/>
                <w:sz w:val="24"/>
              </w:rPr>
              <w:t>n</w:t>
            </w:r>
            <w:r>
              <w:rPr>
                <w:rFonts w:ascii="Times New Roman" w:hAnsi="Times New Roman"/>
                <w:sz w:val="24"/>
              </w:rPr>
              <w:t>tus reikalavimus, pagal kuriuos reikia perskirti valdžios sektoriaus pozicijas kitoms p</w:t>
            </w:r>
            <w:r>
              <w:rPr>
                <w:rFonts w:ascii="Times New Roman" w:hAnsi="Times New Roman"/>
                <w:sz w:val="24"/>
              </w:rPr>
              <w:t>o</w:t>
            </w:r>
            <w:r>
              <w:rPr>
                <w:rFonts w:ascii="Times New Roman" w:hAnsi="Times New Roman"/>
                <w:sz w:val="24"/>
              </w:rPr>
              <w:t>zicijų klasėms dėl kredito rizikos mažinimo priemonių, turinčių pozicijos pakeitimo poveikį, taikymo tai pozicijai, kurie netaikomi.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Regioninės arba vietos valdžios institucijų pozicijos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Valdžios sektoriaus, konkrečiai regioninės arba vietos valdžios institucijų, pozicijos. Šios pozicijos pagal KRR 112 ir 115 straipsnius priskiriamos prie pozicijų klasės „r</w:t>
            </w:r>
            <w:r>
              <w:rPr>
                <w:rFonts w:ascii="Times New Roman" w:hAnsi="Times New Roman"/>
                <w:sz w:val="24"/>
              </w:rPr>
              <w:t>e</w:t>
            </w:r>
            <w:r>
              <w:rPr>
                <w:rFonts w:ascii="Times New Roman" w:hAnsi="Times New Roman"/>
                <w:sz w:val="24"/>
              </w:rPr>
              <w:t>gioninės arba vietos valdžios institucijų pozicijos“, kaip nurodoma C 07.00 formos n</w:t>
            </w:r>
            <w:r>
              <w:rPr>
                <w:rFonts w:ascii="Times New Roman" w:hAnsi="Times New Roman"/>
                <w:sz w:val="24"/>
              </w:rPr>
              <w:t>u</w:t>
            </w:r>
            <w:r>
              <w:rPr>
                <w:rFonts w:ascii="Times New Roman" w:hAnsi="Times New Roman"/>
                <w:sz w:val="24"/>
              </w:rPr>
              <w:t>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Viešojo sektoriaus subjektų pozicijos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Valdžios sektoriaus, konkrečiai viešojo sektoriaus subjektų, pozicijos. Šios pozicijos </w:t>
            </w:r>
            <w:r>
              <w:rPr>
                <w:rFonts w:ascii="Times New Roman" w:hAnsi="Times New Roman"/>
                <w:sz w:val="24"/>
              </w:rPr>
              <w:lastRenderedPageBreak/>
              <w:t>pagal KRR 112 ir 116 straipsnius priskiriamos prie pozicijų klasės „viešojo sektoriaus subjektų pozicijos“, kaip nurodoma C 07.00 formos nurodymuose, išskyrus patikslintus reikalavimus, pagal kuriuos reikia perskirti valdžios sektoriaus pozicijas kitoms pozic</w:t>
            </w:r>
            <w:r>
              <w:rPr>
                <w:rFonts w:ascii="Times New Roman" w:hAnsi="Times New Roman"/>
                <w:sz w:val="24"/>
              </w:rPr>
              <w:t>i</w:t>
            </w:r>
            <w:r>
              <w:rPr>
                <w:rFonts w:ascii="Times New Roman" w:hAnsi="Times New Roman"/>
                <w:sz w:val="24"/>
              </w:rPr>
              <w:t>jų klasėms dėl kredito rizikos mažinimo priemonių, turinčių pozicijos pakeitimo pove</w:t>
            </w:r>
            <w:r>
              <w:rPr>
                <w:rFonts w:ascii="Times New Roman" w:hAnsi="Times New Roman"/>
                <w:sz w:val="24"/>
              </w:rPr>
              <w:t>i</w:t>
            </w:r>
            <w:r>
              <w:rPr>
                <w:rFonts w:ascii="Times New Roman" w:hAnsi="Times New Roman"/>
                <w:sz w:val="24"/>
              </w:rPr>
              <w:t>kį, taikymo tai pozicijai, kurie netaikomi.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Tarptautinių organizacijų pozicijos</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Valdžios sektoriaus, konkrečiai tarptautinių organizacijų, pozicijos. Šios pozicijos p</w:t>
            </w:r>
            <w:r>
              <w:rPr>
                <w:rFonts w:ascii="Times New Roman" w:hAnsi="Times New Roman"/>
                <w:sz w:val="24"/>
              </w:rPr>
              <w:t>a</w:t>
            </w:r>
            <w:r>
              <w:rPr>
                <w:rFonts w:ascii="Times New Roman" w:hAnsi="Times New Roman"/>
                <w:sz w:val="24"/>
              </w:rPr>
              <w:t>gal KRR 112 ir 118 straipsnius priskiriamos prie pozicijų klasės „tarptautinių organiz</w:t>
            </w:r>
            <w:r>
              <w:rPr>
                <w:rFonts w:ascii="Times New Roman" w:hAnsi="Times New Roman"/>
                <w:sz w:val="24"/>
              </w:rPr>
              <w:t>a</w:t>
            </w:r>
            <w:r>
              <w:rPr>
                <w:rFonts w:ascii="Times New Roman" w:hAnsi="Times New Roman"/>
                <w:sz w:val="24"/>
              </w:rPr>
              <w:t>cijų pozicijos“, kaip nurodoma C 07.00 formos nurodymuose, išskyrus patikslintus re</w:t>
            </w:r>
            <w:r>
              <w:rPr>
                <w:rFonts w:ascii="Times New Roman" w:hAnsi="Times New Roman"/>
                <w:sz w:val="24"/>
              </w:rPr>
              <w:t>i</w:t>
            </w:r>
            <w:r>
              <w:rPr>
                <w:rFonts w:ascii="Times New Roman" w:hAnsi="Times New Roman"/>
                <w:sz w:val="24"/>
              </w:rPr>
              <w:t>kalavimus, pagal kuriuos reikia perskirti valdžios sektoriaus pozicijas kitoms pozicijų klasėms dėl kredito rizikos mažinimo priemonių, turinčių pozicijos pakeitimo poveikį, taikymo tai pozicijai, kurie netaikomi.</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Kitos valdžios sektoriaus pozicijos, kurioms taikomas standartizuotas metodas</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Valdžios sektoriaus pozicijos, išskyrus nurodytąsias 040–070 eilutėse pirmiau, priski</w:t>
            </w:r>
            <w:r>
              <w:rPr>
                <w:rFonts w:ascii="Times New Roman" w:hAnsi="Times New Roman"/>
                <w:sz w:val="24"/>
              </w:rPr>
              <w:t>r</w:t>
            </w:r>
            <w:r>
              <w:rPr>
                <w:rFonts w:ascii="Times New Roman" w:hAnsi="Times New Roman"/>
                <w:sz w:val="24"/>
              </w:rPr>
              <w:t>tos prie SA pozicijų klasių pagal KRR 112 straipsnį nuosavų lėšų reikalavimų apska</w:t>
            </w:r>
            <w:r>
              <w:rPr>
                <w:rFonts w:ascii="Times New Roman" w:hAnsi="Times New Roman"/>
                <w:sz w:val="24"/>
              </w:rPr>
              <w:t>i</w:t>
            </w:r>
            <w:r>
              <w:rPr>
                <w:rFonts w:ascii="Times New Roman" w:hAnsi="Times New Roman"/>
                <w:sz w:val="24"/>
              </w:rPr>
              <w:t>čiavimo tikslais.</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IRB metodas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Pagal KRR trečios dalies II antraštinės dalies 3 skyrių pagal riziką įvertintos valdžios sektoriaus pozicijos, įskaitant pozicijas iš ne prekybos knygos, kurias vertinant pagal riziką remiantis tuo skyriumi vertinama pagal sandorio šalies kredito riziką.</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Centrinės valdžios pozicijos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Valdžios sektoriaus, konkrečiai centrinės valdžios, pozicijos, kurios pagal KRR 147 straipsnio 3 dalies a punktą priskiriamos prie pozicijų klasės „centrinės valdžios ir cen</w:t>
            </w:r>
            <w:r>
              <w:rPr>
                <w:rFonts w:ascii="Times New Roman" w:hAnsi="Times New Roman"/>
                <w:sz w:val="24"/>
              </w:rPr>
              <w:t>t</w:t>
            </w:r>
            <w:r>
              <w:rPr>
                <w:rFonts w:ascii="Times New Roman" w:hAnsi="Times New Roman"/>
                <w:sz w:val="24"/>
              </w:rPr>
              <w:t>rinių bankų pozicijos“, kaip nurodoma C 08.01 ir C 08.02 formų nurodymuose, išsk</w:t>
            </w:r>
            <w:r>
              <w:rPr>
                <w:rFonts w:ascii="Times New Roman" w:hAnsi="Times New Roman"/>
                <w:sz w:val="24"/>
              </w:rPr>
              <w:t>y</w:t>
            </w:r>
            <w:r>
              <w:rPr>
                <w:rFonts w:ascii="Times New Roman" w:hAnsi="Times New Roman"/>
                <w:sz w:val="24"/>
              </w:rPr>
              <w:t>rus patikslintus reikalavimus, pagal kuriuos reikia perskirti valdžios sektoriaus pozicijas kitoms pozicijų klasėms dėl kredito rizikos mažinimo priemonių, turinčių pozicijos p</w:t>
            </w:r>
            <w:r>
              <w:rPr>
                <w:rFonts w:ascii="Times New Roman" w:hAnsi="Times New Roman"/>
                <w:sz w:val="24"/>
              </w:rPr>
              <w:t>a</w:t>
            </w:r>
            <w:r>
              <w:rPr>
                <w:rFonts w:ascii="Times New Roman" w:hAnsi="Times New Roman"/>
                <w:sz w:val="24"/>
              </w:rPr>
              <w:t>keitimo poveikį, taikymo tai pozicijai, kurie netaikomi.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Regioninės arba vietos valdžios institucijų pozicijos [Centrinės valdžios ir centr</w:t>
            </w:r>
            <w:r>
              <w:rPr>
                <w:rFonts w:ascii="Times New Roman" w:hAnsi="Times New Roman"/>
                <w:b/>
                <w:sz w:val="24"/>
                <w:u w:val="single"/>
              </w:rPr>
              <w:t>i</w:t>
            </w:r>
            <w:r>
              <w:rPr>
                <w:rFonts w:ascii="Times New Roman" w:hAnsi="Times New Roman"/>
                <w:b/>
                <w:sz w:val="24"/>
                <w:u w:val="single"/>
              </w:rPr>
              <w:t>nių bankų pozicijos]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Valdžios sektoriaus, konkrečiai regioninės arba vietos valdžios institucijų, pozicijos, kurios pagal KRR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Regioninės arba vietos valdžios institucijų pozicijos [Institucijų pozicijos]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Valdžios sektoriaus, konkrečiai regioninės arba vietos valdžios institucijų, pozicijos, kurios pagal KRR 147 straipsnio 4 dalies a punktą priskiriamos prie pozicijų klasės </w:t>
            </w:r>
            <w:r>
              <w:rPr>
                <w:rFonts w:ascii="Times New Roman" w:hAnsi="Times New Roman"/>
                <w:sz w:val="24"/>
              </w:rPr>
              <w:lastRenderedPageBreak/>
              <w:t>„institucijų pozicijos“, kaip nurodoma C 08.01 ir C 08.02 formų nurodymuose, išskyrus patikslintus reikalavimus, pagal kuriuos reikia perskirti valdžios sektoriaus pozicijas k</w:t>
            </w:r>
            <w:r>
              <w:rPr>
                <w:rFonts w:ascii="Times New Roman" w:hAnsi="Times New Roman"/>
                <w:sz w:val="24"/>
              </w:rPr>
              <w:t>i</w:t>
            </w:r>
            <w:r>
              <w:rPr>
                <w:rFonts w:ascii="Times New Roman" w:hAnsi="Times New Roman"/>
                <w:sz w:val="24"/>
              </w:rPr>
              <w:t>toms pozicijų klasėms dėl kredito rizikos mažinimo priemonių, turinčių pozicijos p</w:t>
            </w:r>
            <w:r>
              <w:rPr>
                <w:rFonts w:ascii="Times New Roman" w:hAnsi="Times New Roman"/>
                <w:sz w:val="24"/>
              </w:rPr>
              <w:t>a</w:t>
            </w:r>
            <w:r>
              <w:rPr>
                <w:rFonts w:ascii="Times New Roman" w:hAnsi="Times New Roman"/>
                <w:sz w:val="24"/>
              </w:rPr>
              <w:t>keitimo poveikį, taikymo tai pozicijai, kurie netaikomi.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Viešojo sektoriaus subjektų pozicijos [Centrinės valdžios ir centrinių bankų poz</w:t>
            </w:r>
            <w:r>
              <w:rPr>
                <w:rFonts w:ascii="Times New Roman" w:hAnsi="Times New Roman"/>
                <w:b/>
                <w:sz w:val="24"/>
                <w:u w:val="single"/>
              </w:rPr>
              <w:t>i</w:t>
            </w:r>
            <w:r>
              <w:rPr>
                <w:rFonts w:ascii="Times New Roman" w:hAnsi="Times New Roman"/>
                <w:b/>
                <w:sz w:val="24"/>
                <w:u w:val="single"/>
              </w:rPr>
              <w:t>cijos]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Valdžios sektoriaus, konkrečiai viešojo sektoriaus subjektų, pozicijos pagal KRR 4 straipsnio 1 dalies 8 punktą, kurios pagal KRR 147 straipsnio 3 dalies a punktą prisk</w:t>
            </w:r>
            <w:r>
              <w:rPr>
                <w:rFonts w:ascii="Times New Roman" w:hAnsi="Times New Roman"/>
                <w:sz w:val="24"/>
              </w:rPr>
              <w:t>i</w:t>
            </w:r>
            <w:r>
              <w:rPr>
                <w:rFonts w:ascii="Times New Roman" w:hAnsi="Times New Roman"/>
                <w:sz w:val="24"/>
              </w:rPr>
              <w:t>riamos prie pozicijų klasės „centrinės valdžios ir centrinių bankų pozicijos“, kaip nur</w:t>
            </w:r>
            <w:r>
              <w:rPr>
                <w:rFonts w:ascii="Times New Roman" w:hAnsi="Times New Roman"/>
                <w:sz w:val="24"/>
              </w:rPr>
              <w:t>o</w:t>
            </w:r>
            <w:r>
              <w:rPr>
                <w:rFonts w:ascii="Times New Roman" w:hAnsi="Times New Roman"/>
                <w:sz w:val="24"/>
              </w:rPr>
              <w:t>doma C 08.01 ir C 08.02 formų nurodymuose, išskyrus patikslintus reikalavimus, pagal kuriuos reikia perskirti valdžios sektoriaus pozicijas kitoms pozicijų klasėms dėl kred</w:t>
            </w:r>
            <w:r>
              <w:rPr>
                <w:rFonts w:ascii="Times New Roman" w:hAnsi="Times New Roman"/>
                <w:sz w:val="24"/>
              </w:rPr>
              <w:t>i</w:t>
            </w:r>
            <w:r>
              <w:rPr>
                <w:rFonts w:ascii="Times New Roman" w:hAnsi="Times New Roman"/>
                <w:sz w:val="24"/>
              </w:rPr>
              <w:t>to rizikos mažinimo priemonių, turinčių pozicijos pakeitimo poveikį, taikymo tai poz</w:t>
            </w:r>
            <w:r>
              <w:rPr>
                <w:rFonts w:ascii="Times New Roman" w:hAnsi="Times New Roman"/>
                <w:sz w:val="24"/>
              </w:rPr>
              <w:t>i</w:t>
            </w:r>
            <w:r>
              <w:rPr>
                <w:rFonts w:ascii="Times New Roman" w:hAnsi="Times New Roman"/>
                <w:sz w:val="24"/>
              </w:rPr>
              <w:t>cijai, kurie netaikomi.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Viešojo sektoriaus subjektų pozicijos [Institucijų pozicijos]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Valdžios sektoriaus, konkrečiai viešojo sektoriaus subjektų, pozicijos pagal KRR 4 straipsnio 1 dalies 8 punktą, kurios pagal KRR 147 straipsnio 4 dalies b punktą prisk</w:t>
            </w:r>
            <w:r>
              <w:rPr>
                <w:rFonts w:ascii="Times New Roman" w:hAnsi="Times New Roman"/>
                <w:sz w:val="24"/>
              </w:rPr>
              <w:t>i</w:t>
            </w:r>
            <w:r>
              <w:rPr>
                <w:rFonts w:ascii="Times New Roman" w:hAnsi="Times New Roman"/>
                <w:sz w:val="24"/>
              </w:rPr>
              <w:t>riamos prie pozicijų klasės „institucijų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Tarptautinių organizacijų pozicijos [Centrinės valdžios ir centrinių bankų pozic</w:t>
            </w:r>
            <w:r>
              <w:rPr>
                <w:rFonts w:ascii="Times New Roman" w:hAnsi="Times New Roman"/>
                <w:b/>
                <w:sz w:val="24"/>
                <w:u w:val="single"/>
              </w:rPr>
              <w:t>i</w:t>
            </w:r>
            <w:r>
              <w:rPr>
                <w:rFonts w:ascii="Times New Roman" w:hAnsi="Times New Roman"/>
                <w:b/>
                <w:sz w:val="24"/>
                <w:u w:val="single"/>
              </w:rPr>
              <w:t>jos]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Valdžios sektoriaus, konkrečiai tarptautinių organizacijų, pozicijos, kurios pagal KRR 147 straipsnio 3 dalies c punktą priskiriamos prie pozicijų klasės „Centrinės valdžios ir centrinių bankų pozicijos“, kaip nurodoma C 08.01 ir C 08.02 formų nurodymuose, i</w:t>
            </w:r>
            <w:r>
              <w:rPr>
                <w:rFonts w:ascii="Times New Roman" w:hAnsi="Times New Roman"/>
                <w:sz w:val="24"/>
              </w:rPr>
              <w:t>š</w:t>
            </w:r>
            <w:r>
              <w:rPr>
                <w:rFonts w:ascii="Times New Roman" w:hAnsi="Times New Roman"/>
                <w:sz w:val="24"/>
              </w:rPr>
              <w:t>skyrus patikslintus reikalavimus, pagal kuriuos reikia perskirti valdžios sektoriaus poz</w:t>
            </w:r>
            <w:r>
              <w:rPr>
                <w:rFonts w:ascii="Times New Roman" w:hAnsi="Times New Roman"/>
                <w:sz w:val="24"/>
              </w:rPr>
              <w:t>i</w:t>
            </w:r>
            <w:r>
              <w:rPr>
                <w:rFonts w:ascii="Times New Roman" w:hAnsi="Times New Roman"/>
                <w:sz w:val="24"/>
              </w:rPr>
              <w:t>cijas kitoms pozicijų klasėms dėl kredito rizikos mažinimo priemonių, turinčių tos p</w:t>
            </w:r>
            <w:r>
              <w:rPr>
                <w:rFonts w:ascii="Times New Roman" w:hAnsi="Times New Roman"/>
                <w:sz w:val="24"/>
              </w:rPr>
              <w:t>o</w:t>
            </w:r>
            <w:r>
              <w:rPr>
                <w:rFonts w:ascii="Times New Roman" w:hAnsi="Times New Roman"/>
                <w:sz w:val="24"/>
              </w:rPr>
              <w:t>zicijos pakeitimo poveikį, taikymo, kurie netaikomi.</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Kitos valdžios sektoriaus pozicijos, kurioms taikomas IRB metodas</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Valdžios sektoriaus pozicijos, išskyrus nurodytąsias 090–140 eilutėse pirmiau, priski</w:t>
            </w:r>
            <w:r>
              <w:rPr>
                <w:rFonts w:ascii="Times New Roman" w:hAnsi="Times New Roman"/>
                <w:sz w:val="24"/>
              </w:rPr>
              <w:t>r</w:t>
            </w:r>
            <w:r>
              <w:rPr>
                <w:rFonts w:ascii="Times New Roman" w:hAnsi="Times New Roman"/>
                <w:sz w:val="24"/>
              </w:rPr>
              <w:t>tos prie IRB pozicijų klasių pagal KRR 147 straipsnį nuosavų lėšų reikalavimų apska</w:t>
            </w:r>
            <w:r>
              <w:rPr>
                <w:rFonts w:ascii="Times New Roman" w:hAnsi="Times New Roman"/>
                <w:sz w:val="24"/>
              </w:rPr>
              <w:t>i</w:t>
            </w:r>
            <w:r>
              <w:rPr>
                <w:rFonts w:ascii="Times New Roman" w:hAnsi="Times New Roman"/>
                <w:sz w:val="24"/>
              </w:rPr>
              <w:t>čiavimo tikslais.</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Pozicijos, kurioms kyla rinkos rizika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Rinkos rizikos pozicijos apima pozicijas, kurioms nuosavų lėšų reikalavimai apska</w:t>
            </w:r>
            <w:r>
              <w:rPr>
                <w:rFonts w:ascii="Times New Roman" w:hAnsi="Times New Roman"/>
                <w:sz w:val="24"/>
              </w:rPr>
              <w:t>i</w:t>
            </w:r>
            <w:r>
              <w:rPr>
                <w:rFonts w:ascii="Times New Roman" w:hAnsi="Times New Roman"/>
                <w:sz w:val="24"/>
              </w:rPr>
              <w:t>čiuojami pagal KRR trečios dalies IV antraštinę dalį.</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Tiesioginės pozicijos, patenkančios į KRR 271 straipsnio taikymo sritį, kurioms taik</w:t>
            </w:r>
            <w:r>
              <w:rPr>
                <w:rFonts w:ascii="Times New Roman" w:hAnsi="Times New Roman"/>
                <w:sz w:val="24"/>
              </w:rPr>
              <w:t>o</w:t>
            </w:r>
            <w:r>
              <w:rPr>
                <w:rFonts w:ascii="Times New Roman" w:hAnsi="Times New Roman"/>
                <w:sz w:val="24"/>
              </w:rPr>
              <w:t>mi nuosavų lėšų reikalavimai tiek sandorio šalies kredito rizikai, tiek rinkos rizikai p</w:t>
            </w:r>
            <w:r>
              <w:rPr>
                <w:rFonts w:ascii="Times New Roman" w:hAnsi="Times New Roman"/>
                <w:sz w:val="24"/>
              </w:rPr>
              <w:t>a</w:t>
            </w:r>
            <w:r>
              <w:rPr>
                <w:rFonts w:ascii="Times New Roman" w:hAnsi="Times New Roman"/>
                <w:sz w:val="24"/>
              </w:rPr>
              <w:t>dengti, nurodomos tiek kredito rizikos eilutėse (020–155), tiek rinkos rizikos eilutėje (160):</w:t>
            </w:r>
            <w:r>
              <w:t xml:space="preserve"> sandorio šalies kredito rizikos pozicija pateikiama kredito rizikos eilutėse, o </w:t>
            </w:r>
            <w:r>
              <w:lastRenderedPageBreak/>
              <w:t>rinkos rizikos pozicija pateikiama rinkos rizikos eilutėje.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lastRenderedPageBreak/>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POZICIJŲ SUSKIRSTYMAS PAGAL LIKUTINĮ TERMINĄ</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Likutinis terminas apskaičiuojamas dienomis nuo visų pozicijų sutartinės termino datos iki ataskaitinės datos.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Valdžios sektoriaus pozicijos suskirstomos pagal likutinį terminą ir priskiriamos t</w:t>
            </w:r>
            <w:r>
              <w:rPr>
                <w:rFonts w:ascii="Times New Roman" w:hAnsi="Times New Roman"/>
                <w:sz w:val="24"/>
              </w:rPr>
              <w:t>o</w:t>
            </w:r>
            <w:r>
              <w:rPr>
                <w:rFonts w:ascii="Times New Roman" w:hAnsi="Times New Roman"/>
                <w:sz w:val="24"/>
              </w:rPr>
              <w:t>kiems intervalams:</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[0–3 mėn.]</w:t>
            </w:r>
            <w:r>
              <w:rPr>
                <w:rFonts w:ascii="Times New Roman" w:hAnsi="Times New Roman"/>
                <w:sz w:val="24"/>
              </w:rPr>
              <w:t>: mažiau nei 90 dienų</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[3 mėn.–1 m.]</w:t>
            </w:r>
            <w:r>
              <w:rPr>
                <w:rFonts w:ascii="Times New Roman" w:hAnsi="Times New Roman"/>
                <w:sz w:val="24"/>
              </w:rPr>
              <w:t>: 90 dienų arba daugiau, bet mažiau nei 365 dienos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[1 m.–2 m.]</w:t>
            </w:r>
            <w:r>
              <w:rPr>
                <w:rFonts w:ascii="Times New Roman" w:hAnsi="Times New Roman"/>
                <w:sz w:val="24"/>
              </w:rPr>
              <w:t>: 365 dienos arba daugiau, bet mažiau nei 730 dienų</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[2 m.–3 m.]</w:t>
            </w:r>
            <w:r>
              <w:rPr>
                <w:rFonts w:ascii="Times New Roman" w:hAnsi="Times New Roman"/>
                <w:sz w:val="24"/>
              </w:rPr>
              <w:t>: 730 dienų arba daugiau, bet mažiau nei 1 095 dienos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[3 m.–5 m.]</w:t>
            </w:r>
            <w:r>
              <w:rPr>
                <w:rFonts w:ascii="Times New Roman" w:hAnsi="Times New Roman"/>
                <w:sz w:val="24"/>
              </w:rPr>
              <w:t>: 1 095 dienos arba daugiau, bet mažiau nei 1 825 dienos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[5 m.–10 m.]</w:t>
            </w:r>
            <w:r>
              <w:rPr>
                <w:rFonts w:ascii="Times New Roman" w:hAnsi="Times New Roman"/>
                <w:sz w:val="24"/>
              </w:rPr>
              <w:t>: 1 825 dienos arba daugiau, bet mažiau nei 3 650 dienų</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[10 m. ir daugiau]</w:t>
            </w:r>
            <w:r>
              <w:rPr>
                <w:rFonts w:ascii="Times New Roman" w:hAnsi="Times New Roman"/>
                <w:sz w:val="24"/>
              </w:rPr>
              <w:t xml:space="preserve">: 3 650 dienų arba daugiau </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51F" w:rsidRDefault="0000351F" w:rsidP="00D946DB">
      <w:pPr>
        <w:spacing w:before="0" w:after="0"/>
      </w:pPr>
      <w:r>
        <w:separator/>
      </w:r>
    </w:p>
  </w:endnote>
  <w:endnote w:type="continuationSeparator" w:id="0">
    <w:p w:rsidR="0000351F" w:rsidRDefault="0000351F" w:rsidP="00D946DB">
      <w:pPr>
        <w:spacing w:before="0" w:after="0"/>
      </w:pPr>
      <w:r>
        <w:continuationSeparator/>
      </w:r>
    </w:p>
  </w:endnote>
  <w:endnote w:type="continuationNotice" w:id="1">
    <w:p w:rsidR="0000351F" w:rsidRDefault="0000351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1F" w:rsidRPr="00ED1956" w:rsidRDefault="0000351F">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751A63">
      <w:rPr>
        <w:rFonts w:ascii="Times New Roman" w:hAnsi="Times New Roman"/>
        <w:noProof/>
        <w:sz w:val="22"/>
        <w:szCs w:val="22"/>
      </w:rPr>
      <w:t>7</w:t>
    </w:r>
    <w:r w:rsidRPr="00ED1956">
      <w:rPr>
        <w:rFonts w:ascii="Times New Roman" w:hAnsi="Times New Roman"/>
        <w:sz w:val="22"/>
        <w:szCs w:val="22"/>
      </w:rPr>
      <w:fldChar w:fldCharType="end"/>
    </w:r>
  </w:p>
  <w:p w:rsidR="0000351F" w:rsidRDefault="000035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1F" w:rsidRPr="00E85358" w:rsidRDefault="0000351F">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751A63">
      <w:rPr>
        <w:noProof/>
        <w:sz w:val="22"/>
        <w:szCs w:val="22"/>
      </w:rPr>
      <w:t>1</w:t>
    </w:r>
    <w:r w:rsidRPr="00E85358">
      <w:rPr>
        <w:noProof/>
        <w:sz w:val="22"/>
        <w:szCs w:val="22"/>
      </w:rPr>
      <w:fldChar w:fldCharType="end"/>
    </w:r>
  </w:p>
  <w:p w:rsidR="0000351F" w:rsidRDefault="000035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1F" w:rsidRDefault="0000351F">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00351F" w:rsidRDefault="0000351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1F" w:rsidRPr="00ED1956" w:rsidRDefault="0000351F">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751A63">
      <w:rPr>
        <w:rFonts w:ascii="Times New Roman" w:hAnsi="Times New Roman"/>
        <w:noProof/>
        <w:sz w:val="20"/>
        <w:szCs w:val="20"/>
      </w:rPr>
      <w:t>210</w:t>
    </w:r>
    <w:r w:rsidRPr="00ED1956">
      <w:rPr>
        <w:rFonts w:ascii="Times New Roman" w:hAnsi="Times New Roman"/>
        <w:sz w:val="20"/>
        <w:szCs w:val="20"/>
      </w:rPr>
      <w:fldChar w:fldCharType="end"/>
    </w:r>
  </w:p>
  <w:p w:rsidR="0000351F" w:rsidRPr="00A772B4" w:rsidRDefault="0000351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51F" w:rsidRDefault="0000351F" w:rsidP="00D946DB">
      <w:pPr>
        <w:spacing w:before="0" w:after="0"/>
      </w:pPr>
      <w:r>
        <w:separator/>
      </w:r>
    </w:p>
  </w:footnote>
  <w:footnote w:type="continuationSeparator" w:id="0">
    <w:p w:rsidR="0000351F" w:rsidRDefault="0000351F" w:rsidP="00D946DB">
      <w:pPr>
        <w:spacing w:before="0" w:after="0"/>
      </w:pPr>
      <w:r>
        <w:continuationSeparator/>
      </w:r>
    </w:p>
  </w:footnote>
  <w:footnote w:type="continuationNotice" w:id="1">
    <w:p w:rsidR="0000351F" w:rsidRDefault="0000351F">
      <w:pPr>
        <w:spacing w:before="0" w:after="0"/>
      </w:pPr>
    </w:p>
  </w:footnote>
  <w:footnote w:id="2">
    <w:p w:rsidR="0000351F" w:rsidRPr="0017440D" w:rsidRDefault="0000351F"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Šioje formoje įstaigų prašoma pateikti apibendrintus vienų kalendorinių metų arba ataskaitinius metus sudarančio laikotarpio (t. y. nuo e</w:t>
      </w:r>
      <w:r>
        <w:rPr>
          <w:rFonts w:ascii="Times New Roman" w:hAnsi="Times New Roman"/>
        </w:rPr>
        <w:t>i</w:t>
      </w:r>
      <w:r>
        <w:rPr>
          <w:rFonts w:ascii="Times New Roman" w:hAnsi="Times New Roman"/>
        </w:rPr>
        <w:t>namųjų metų sausio 1 d.) duomenis.</w:t>
      </w:r>
    </w:p>
  </w:footnote>
  <w:footnote w:id="3">
    <w:p w:rsidR="0000351F" w:rsidRPr="0017440D" w:rsidRDefault="0000351F"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„Savarankiškos įstaigos“ nėra grupės dalis ir toje šalyje, kurioje joms taikomi nuosavų lėšų reikalavimai, nekonsoliduoja savo duomenų.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1F" w:rsidRDefault="0000351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351F"/>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1A63"/>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07F"/>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lt-LT" w:eastAsia="lt-LT" w:bidi="lt-LT"/>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uiPriority w:val="99"/>
    <w:locked/>
    <w:rsid w:val="00884FEB"/>
    <w:rPr>
      <w:rFonts w:cs="Times New Roman"/>
      <w:sz w:val="24"/>
      <w:szCs w:val="24"/>
      <w:lang w:val="lt-LT" w:eastAsia="lt-LT"/>
    </w:rPr>
  </w:style>
  <w:style w:type="character" w:customStyle="1" w:styleId="Heading4Char">
    <w:name w:val="Heading 4 Char"/>
    <w:link w:val="Heading4"/>
    <w:uiPriority w:val="99"/>
    <w:locked/>
    <w:rsid w:val="00DE0962"/>
    <w:rPr>
      <w:rFonts w:ascii="Verdana" w:eastAsia="Times New Roman" w:hAnsi="Verdana"/>
      <w:b/>
      <w:szCs w:val="24"/>
      <w:u w:val="single"/>
      <w:lang w:eastAsia="lt-LT" w:bidi="lt-LT"/>
    </w:rPr>
  </w:style>
  <w:style w:type="character" w:customStyle="1" w:styleId="Heading5Char">
    <w:name w:val="Heading 5 Char"/>
    <w:link w:val="Heading5"/>
    <w:uiPriority w:val="1"/>
    <w:locked/>
    <w:rsid w:val="001E5A75"/>
    <w:rPr>
      <w:rFonts w:ascii="Arial" w:hAnsi="Arial" w:cs="Times New Roman"/>
      <w:b/>
      <w:i/>
      <w:sz w:val="20"/>
      <w:szCs w:val="20"/>
      <w:lang w:eastAsia="lt-LT"/>
    </w:rPr>
  </w:style>
  <w:style w:type="character" w:customStyle="1" w:styleId="Heading6Char">
    <w:name w:val="Heading 6 Char"/>
    <w:link w:val="Heading6"/>
    <w:semiHidden/>
    <w:locked/>
    <w:rsid w:val="001E5A75"/>
    <w:rPr>
      <w:rFonts w:ascii="Times New Roman" w:hAnsi="Times New Roman" w:cs="Times New Roman"/>
      <w:b/>
      <w:bCs/>
      <w:lang w:eastAsia="lt-LT"/>
    </w:rPr>
  </w:style>
  <w:style w:type="character" w:customStyle="1" w:styleId="Heading7Char">
    <w:name w:val="Heading 7 Char"/>
    <w:link w:val="Heading7"/>
    <w:semiHidden/>
    <w:locked/>
    <w:rsid w:val="001E5A75"/>
    <w:rPr>
      <w:rFonts w:ascii="Times New Roman" w:hAnsi="Times New Roman" w:cs="Times New Roman"/>
      <w:sz w:val="20"/>
      <w:szCs w:val="20"/>
      <w:lang w:eastAsia="lt-LT"/>
    </w:rPr>
  </w:style>
  <w:style w:type="character" w:customStyle="1" w:styleId="Heading8Char">
    <w:name w:val="Heading 8 Char"/>
    <w:link w:val="Heading8"/>
    <w:semiHidden/>
    <w:locked/>
    <w:rsid w:val="001E5A75"/>
    <w:rPr>
      <w:rFonts w:ascii="Times New Roman" w:hAnsi="Times New Roman" w:cs="Times New Roman"/>
      <w:i/>
      <w:iCs/>
      <w:sz w:val="20"/>
      <w:szCs w:val="20"/>
      <w:lang w:eastAsia="lt-LT"/>
    </w:rPr>
  </w:style>
  <w:style w:type="character" w:customStyle="1" w:styleId="Heading9Char">
    <w:name w:val="Heading 9 Char"/>
    <w:link w:val="Heading9"/>
    <w:semiHidden/>
    <w:locked/>
    <w:rsid w:val="001E5A75"/>
    <w:rPr>
      <w:rFonts w:ascii="Arial" w:hAnsi="Arial" w:cs="Arial"/>
      <w:lang w:eastAsia="lt-L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lt-LT"/>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lt-L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lt-L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lt-L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lt-L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lt-LT"/>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lt-LT" w:bidi="lt-L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lt-LT" w:bidi="lt-L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lt-LT" w:bidi="lt-L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lt-LT" w:eastAsia="lt-L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lt-LT" w:bidi="lt-LT"/>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lt-LT" w:bidi="lt-L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lt-LT"/>
    </w:rPr>
  </w:style>
  <w:style w:type="character" w:customStyle="1" w:styleId="NumPar1Char">
    <w:name w:val="NumPar 1 Char"/>
    <w:link w:val="NumPar1"/>
    <w:uiPriority w:val="99"/>
    <w:locked/>
    <w:rsid w:val="00D34F75"/>
    <w:rPr>
      <w:rFonts w:cs="Times New Roman"/>
      <w:sz w:val="24"/>
      <w:szCs w:val="24"/>
      <w:lang w:val="lt-LT" w:eastAsia="lt-LT"/>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lt-LT" w:eastAsia="lt-LT"/>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lt-LT"/>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lt-LT" w:eastAsia="lt-LT" w:bidi="lt-LT"/>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uiPriority w:val="99"/>
    <w:locked/>
    <w:rsid w:val="00884FEB"/>
    <w:rPr>
      <w:rFonts w:cs="Times New Roman"/>
      <w:sz w:val="24"/>
      <w:szCs w:val="24"/>
      <w:lang w:val="lt-LT" w:eastAsia="lt-LT"/>
    </w:rPr>
  </w:style>
  <w:style w:type="character" w:customStyle="1" w:styleId="Heading4Char">
    <w:name w:val="Heading 4 Char"/>
    <w:link w:val="Heading4"/>
    <w:uiPriority w:val="99"/>
    <w:locked/>
    <w:rsid w:val="00DE0962"/>
    <w:rPr>
      <w:rFonts w:ascii="Verdana" w:eastAsia="Times New Roman" w:hAnsi="Verdana"/>
      <w:b/>
      <w:szCs w:val="24"/>
      <w:u w:val="single"/>
      <w:lang w:eastAsia="lt-LT" w:bidi="lt-LT"/>
    </w:rPr>
  </w:style>
  <w:style w:type="character" w:customStyle="1" w:styleId="Heading5Char">
    <w:name w:val="Heading 5 Char"/>
    <w:link w:val="Heading5"/>
    <w:uiPriority w:val="1"/>
    <w:locked/>
    <w:rsid w:val="001E5A75"/>
    <w:rPr>
      <w:rFonts w:ascii="Arial" w:hAnsi="Arial" w:cs="Times New Roman"/>
      <w:b/>
      <w:i/>
      <w:sz w:val="20"/>
      <w:szCs w:val="20"/>
      <w:lang w:eastAsia="lt-LT"/>
    </w:rPr>
  </w:style>
  <w:style w:type="character" w:customStyle="1" w:styleId="Heading6Char">
    <w:name w:val="Heading 6 Char"/>
    <w:link w:val="Heading6"/>
    <w:semiHidden/>
    <w:locked/>
    <w:rsid w:val="001E5A75"/>
    <w:rPr>
      <w:rFonts w:ascii="Times New Roman" w:hAnsi="Times New Roman" w:cs="Times New Roman"/>
      <w:b/>
      <w:bCs/>
      <w:lang w:eastAsia="lt-LT"/>
    </w:rPr>
  </w:style>
  <w:style w:type="character" w:customStyle="1" w:styleId="Heading7Char">
    <w:name w:val="Heading 7 Char"/>
    <w:link w:val="Heading7"/>
    <w:semiHidden/>
    <w:locked/>
    <w:rsid w:val="001E5A75"/>
    <w:rPr>
      <w:rFonts w:ascii="Times New Roman" w:hAnsi="Times New Roman" w:cs="Times New Roman"/>
      <w:sz w:val="20"/>
      <w:szCs w:val="20"/>
      <w:lang w:eastAsia="lt-LT"/>
    </w:rPr>
  </w:style>
  <w:style w:type="character" w:customStyle="1" w:styleId="Heading8Char">
    <w:name w:val="Heading 8 Char"/>
    <w:link w:val="Heading8"/>
    <w:semiHidden/>
    <w:locked/>
    <w:rsid w:val="001E5A75"/>
    <w:rPr>
      <w:rFonts w:ascii="Times New Roman" w:hAnsi="Times New Roman" w:cs="Times New Roman"/>
      <w:i/>
      <w:iCs/>
      <w:sz w:val="20"/>
      <w:szCs w:val="20"/>
      <w:lang w:eastAsia="lt-LT"/>
    </w:rPr>
  </w:style>
  <w:style w:type="character" w:customStyle="1" w:styleId="Heading9Char">
    <w:name w:val="Heading 9 Char"/>
    <w:link w:val="Heading9"/>
    <w:semiHidden/>
    <w:locked/>
    <w:rsid w:val="001E5A75"/>
    <w:rPr>
      <w:rFonts w:ascii="Arial" w:hAnsi="Arial" w:cs="Arial"/>
      <w:lang w:eastAsia="lt-L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lt-LT"/>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lt-L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lt-L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lt-L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lt-L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lt-LT"/>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lt-LT" w:bidi="lt-L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lt-LT" w:bidi="lt-L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lt-LT" w:bidi="lt-L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lt-LT" w:eastAsia="lt-L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lt-LT" w:bidi="lt-LT"/>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lt-LT" w:bidi="lt-L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lt-LT"/>
    </w:rPr>
  </w:style>
  <w:style w:type="character" w:customStyle="1" w:styleId="NumPar1Char">
    <w:name w:val="NumPar 1 Char"/>
    <w:link w:val="NumPar1"/>
    <w:uiPriority w:val="99"/>
    <w:locked/>
    <w:rsid w:val="00D34F75"/>
    <w:rPr>
      <w:rFonts w:cs="Times New Roman"/>
      <w:sz w:val="24"/>
      <w:szCs w:val="24"/>
      <w:lang w:val="lt-LT" w:eastAsia="lt-LT"/>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lt-LT" w:eastAsia="lt-LT"/>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lt-LT"/>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92EF9E-3337-4E08-9990-B342613CA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226</Pages>
  <Words>65363</Words>
  <Characters>443307</Characters>
  <Application>Microsoft Office Word</Application>
  <DocSecurity>0</DocSecurity>
  <Lines>3694</Lines>
  <Paragraphs>1015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507655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TERLECKYTE Vanda (DGT)</cp:lastModifiedBy>
  <cp:revision>6</cp:revision>
  <cp:lastPrinted>2018-06-07T11:13:00Z</cp:lastPrinted>
  <dcterms:created xsi:type="dcterms:W3CDTF">2018-06-28T09:52:00Z</dcterms:created>
  <dcterms:modified xsi:type="dcterms:W3CDTF">2018-09-06T13:24:00Z</dcterms:modified>
</cp:coreProperties>
</file>