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0D" w:rsidRPr="00264561" w:rsidRDefault="005D7539" w:rsidP="000B2E18">
      <w:pPr>
        <w:pStyle w:val="Pagedecouverture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B17DEAAD-1A18-4F73-A0B4-E7C6ADF969E3" style="width:450.75pt;height:381pt">
            <v:imagedata r:id="rId8" o:title=""/>
          </v:shape>
        </w:pict>
      </w:r>
    </w:p>
    <w:p w:rsidR="00075C77" w:rsidRPr="00264561" w:rsidRDefault="00075C77">
      <w:pPr>
        <w:sectPr w:rsidR="00075C77" w:rsidRPr="00264561" w:rsidSect="008B7EC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075C77" w:rsidRPr="00B6655F" w:rsidRDefault="000B2E18" w:rsidP="000B2E18">
      <w:pPr>
        <w:pStyle w:val="Typedudocument"/>
      </w:pPr>
      <w:r w:rsidRPr="000B2E18">
        <w:t>VYKONÁVACIE NARIADENIE KOMISIE (EÚ) …/...</w:t>
      </w:r>
    </w:p>
    <w:p w:rsidR="00075C77" w:rsidRPr="00B6655F" w:rsidRDefault="000B2E18" w:rsidP="000B2E18">
      <w:pPr>
        <w:pStyle w:val="Datedadoption"/>
      </w:pPr>
      <w:r w:rsidRPr="000B2E18">
        <w:t xml:space="preserve">z </w:t>
      </w:r>
      <w:r w:rsidRPr="000B2E18">
        <w:rPr>
          <w:rStyle w:val="Marker2"/>
        </w:rPr>
        <w:t>XXX</w:t>
      </w:r>
      <w:r w:rsidRPr="000B2E18">
        <w:t>,</w:t>
      </w:r>
    </w:p>
    <w:p w:rsidR="00075C77" w:rsidRDefault="000B2E18" w:rsidP="000B2E18">
      <w:pPr>
        <w:pStyle w:val="Titreobjet"/>
      </w:pPr>
      <w:r w:rsidRPr="000B2E18">
        <w:t>ktorým sa mení vykonávacie nariadenie (EÚ) č. 680/2014, pokiaľ ide o obozretné oceňovanie na vykazovanie na účely dohľadu</w:t>
      </w:r>
    </w:p>
    <w:p w:rsidR="000B2E18" w:rsidRPr="000B2E18" w:rsidRDefault="000B2E18" w:rsidP="000B2E18">
      <w:pPr>
        <w:pStyle w:val="IntrtEEE"/>
      </w:pPr>
      <w:r w:rsidRPr="000B2E18">
        <w:t>(Text s významom pre EHP)</w:t>
      </w:r>
    </w:p>
    <w:p w:rsidR="00075C77" w:rsidRPr="00264561" w:rsidRDefault="00075C77" w:rsidP="004E1EF9">
      <w:pPr>
        <w:pStyle w:val="Institutionquiagit"/>
      </w:pPr>
      <w:r w:rsidRPr="00264561">
        <w:t>EURÓPSKA KOMISIA,</w:t>
      </w:r>
    </w:p>
    <w:p w:rsidR="00075C77" w:rsidRPr="00264561" w:rsidRDefault="00075C77" w:rsidP="004E1EF9">
      <w:r w:rsidRPr="00264561">
        <w:rPr>
          <w:color w:val="000000"/>
        </w:rPr>
        <w:t>so zreteľom na Zmluvu</w:t>
      </w:r>
      <w:r w:rsidR="00264561">
        <w:rPr>
          <w:color w:val="000000"/>
        </w:rPr>
        <w:t xml:space="preserve"> o </w:t>
      </w:r>
      <w:r w:rsidRPr="00264561">
        <w:rPr>
          <w:color w:val="000000"/>
        </w:rPr>
        <w:t>fungovaní Európskej únie</w:t>
      </w:r>
      <w:r w:rsidRPr="00264561">
        <w:t>,</w:t>
      </w:r>
    </w:p>
    <w:p w:rsidR="00075C77" w:rsidRPr="00264561" w:rsidRDefault="00075C77" w:rsidP="004E1EF9">
      <w:r w:rsidRPr="00264561">
        <w:t>so zreteľom na nariadenie Európskeho parlamentu</w:t>
      </w:r>
      <w:r w:rsidR="00264561">
        <w:t xml:space="preserve"> a </w:t>
      </w:r>
      <w:r w:rsidRPr="00264561">
        <w:t>Rady (EÚ) č. 575/2013</w:t>
      </w:r>
      <w:r w:rsidR="00264561">
        <w:t xml:space="preserve"> z </w:t>
      </w:r>
      <w:r w:rsidRPr="00264561">
        <w:t>26</w:t>
      </w:r>
      <w:r w:rsidR="00264561">
        <w:t>. júna</w:t>
      </w:r>
      <w:r w:rsidRPr="00264561">
        <w:t xml:space="preserve"> 2013</w:t>
      </w:r>
      <w:r w:rsidR="00264561">
        <w:t xml:space="preserve"> o </w:t>
      </w:r>
      <w:r w:rsidRPr="00264561">
        <w:t>prudenciálnych požiadavkách na úverové inštitúcie</w:t>
      </w:r>
      <w:r w:rsidR="00264561">
        <w:t xml:space="preserve"> a </w:t>
      </w:r>
      <w:r w:rsidRPr="00264561">
        <w:t>investičné spoločnosti</w:t>
      </w:r>
      <w:r w:rsidR="00264561">
        <w:t xml:space="preserve"> a o </w:t>
      </w:r>
      <w:r w:rsidRPr="00264561">
        <w:t>zmene nariadenia (EÚ) č. 648/2012</w:t>
      </w:r>
      <w:r w:rsidRPr="00264561">
        <w:rPr>
          <w:rStyle w:val="FootnoteReference"/>
        </w:rPr>
        <w:footnoteReference w:id="2"/>
      </w:r>
      <w:r w:rsidRPr="00264561">
        <w:t>, najmä na jeho článok 99 ods. 5 štvrtý pododsek, článok 99 ods. 6 štvrtý pododsek, článok 394 ods. 4 tretí pododsek, článok 415 ods. 3 štvrtý pododsek</w:t>
      </w:r>
      <w:r w:rsidR="00264561">
        <w:t xml:space="preserve"> a </w:t>
      </w:r>
      <w:r w:rsidRPr="00264561">
        <w:t>článok 430 ods. 2 tretí pododsek,</w:t>
      </w:r>
    </w:p>
    <w:p w:rsidR="00075C77" w:rsidRPr="00264561" w:rsidRDefault="00075C77" w:rsidP="004E1EF9">
      <w:r w:rsidRPr="00264561">
        <w:t>keďže:</w:t>
      </w:r>
    </w:p>
    <w:p w:rsidR="00075C77" w:rsidRPr="00264561" w:rsidRDefault="00075C77" w:rsidP="003C1FB8">
      <w:pPr>
        <w:pStyle w:val="Considrant"/>
        <w:numPr>
          <w:ilvl w:val="0"/>
          <w:numId w:val="1"/>
        </w:numPr>
        <w:rPr>
          <w:color w:val="000000"/>
        </w:rPr>
      </w:pPr>
      <w:r w:rsidRPr="00264561">
        <w:rPr>
          <w:color w:val="000000"/>
        </w:rPr>
        <w:t>Vo vykonávacom nariadení Komisie (EÚ) č. 680/2014</w:t>
      </w:r>
      <w:r w:rsidRPr="00264561">
        <w:rPr>
          <w:rStyle w:val="FootnoteReference"/>
          <w:color w:val="000000"/>
        </w:rPr>
        <w:footnoteReference w:id="3"/>
      </w:r>
      <w:r w:rsidRPr="00264561">
        <w:rPr>
          <w:color w:val="000000"/>
        </w:rPr>
        <w:t xml:space="preserve"> sa stanovujú postupy, podľa ktorých sú inštitúcie povinné vykazovať informácie relevantné pre ich súlad</w:t>
      </w:r>
      <w:r w:rsidR="00264561">
        <w:rPr>
          <w:color w:val="000000"/>
        </w:rPr>
        <w:t xml:space="preserve"> s </w:t>
      </w:r>
      <w:r w:rsidRPr="00264561">
        <w:rPr>
          <w:color w:val="000000"/>
        </w:rPr>
        <w:t>nariadením (EÚ) č. 575/2013.</w:t>
      </w:r>
      <w:r w:rsidR="00264561">
        <w:rPr>
          <w:color w:val="000000"/>
        </w:rPr>
        <w:t xml:space="preserve"> V </w:t>
      </w:r>
      <w:r w:rsidRPr="00264561">
        <w:rPr>
          <w:color w:val="000000"/>
        </w:rPr>
        <w:t>regulačnom rámci stanovenom nariadením (EÚ) č.</w:t>
      </w:r>
      <w:r w:rsidR="00606A63">
        <w:rPr>
          <w:color w:val="000000"/>
        </w:rPr>
        <w:t> </w:t>
      </w:r>
      <w:r w:rsidRPr="00264561">
        <w:rPr>
          <w:color w:val="000000"/>
        </w:rPr>
        <w:t>575/2013 sa postupne dopĺňajú</w:t>
      </w:r>
      <w:r w:rsidR="00264561">
        <w:rPr>
          <w:color w:val="000000"/>
        </w:rPr>
        <w:t xml:space="preserve"> a </w:t>
      </w:r>
      <w:r w:rsidRPr="00264561">
        <w:rPr>
          <w:color w:val="000000"/>
        </w:rPr>
        <w:t>menia jeho nepodstatné prvky prijímaním ďalších regulačných technických predpisov. Na zohľadnenie uvedených zmien je potrebné aktualizovať vykonávacie nariadenie (EÚ) č. 680/2014.</w:t>
      </w:r>
    </w:p>
    <w:p w:rsidR="00075C77" w:rsidRPr="00264561" w:rsidRDefault="00075C77" w:rsidP="00075C77">
      <w:pPr>
        <w:pStyle w:val="Considrant"/>
        <w:rPr>
          <w:color w:val="000000"/>
        </w:rPr>
      </w:pPr>
      <w:r w:rsidRPr="00264561">
        <w:rPr>
          <w:color w:val="000000"/>
        </w:rPr>
        <w:t>Nariadenie (EÚ) č. 575/2013 sa dopĺňa prijatím delegovaného nariadenia Komisie (EÚ) 2016/101</w:t>
      </w:r>
      <w:r w:rsidRPr="00264561">
        <w:rPr>
          <w:rStyle w:val="FootnoteReference"/>
          <w:color w:val="000000"/>
        </w:rPr>
        <w:footnoteReference w:id="4"/>
      </w:r>
      <w:r w:rsidRPr="00264561">
        <w:rPr>
          <w:color w:val="000000"/>
        </w:rPr>
        <w:t>, pokiaľ ide</w:t>
      </w:r>
      <w:r w:rsidR="00264561">
        <w:rPr>
          <w:color w:val="000000"/>
        </w:rPr>
        <w:t xml:space="preserve"> o </w:t>
      </w:r>
      <w:r w:rsidRPr="00264561">
        <w:rPr>
          <w:color w:val="000000"/>
        </w:rPr>
        <w:t>obozretné oceňovanie,</w:t>
      </w:r>
      <w:r w:rsidR="00264561">
        <w:rPr>
          <w:color w:val="000000"/>
        </w:rPr>
        <w:t xml:space="preserve"> a </w:t>
      </w:r>
      <w:r w:rsidRPr="00264561">
        <w:rPr>
          <w:color w:val="000000"/>
        </w:rPr>
        <w:t>nariadením Európskeho parlamentu</w:t>
      </w:r>
      <w:r w:rsidR="00264561">
        <w:rPr>
          <w:color w:val="000000"/>
        </w:rPr>
        <w:t xml:space="preserve"> a </w:t>
      </w:r>
      <w:r w:rsidRPr="00264561">
        <w:rPr>
          <w:color w:val="000000"/>
        </w:rPr>
        <w:t>Rady (EÚ) 2017/2401</w:t>
      </w:r>
      <w:r w:rsidRPr="00264561">
        <w:rPr>
          <w:rStyle w:val="FootnoteReference"/>
          <w:color w:val="000000"/>
        </w:rPr>
        <w:footnoteReference w:id="5"/>
      </w:r>
      <w:r w:rsidRPr="00264561">
        <w:rPr>
          <w:color w:val="000000"/>
        </w:rPr>
        <w:t>, pokiaľ ide</w:t>
      </w:r>
      <w:r w:rsidR="00264561">
        <w:rPr>
          <w:color w:val="000000"/>
        </w:rPr>
        <w:t xml:space="preserve"> o </w:t>
      </w:r>
      <w:r w:rsidRPr="00264561">
        <w:rPr>
          <w:color w:val="000000"/>
        </w:rPr>
        <w:t>sekuritizáciu. Vykonávacie nariadenie (EÚ) č. 680/2014 by sa malo aktualizovať</w:t>
      </w:r>
      <w:r w:rsidR="00264561">
        <w:rPr>
          <w:color w:val="000000"/>
        </w:rPr>
        <w:t xml:space="preserve"> s </w:t>
      </w:r>
      <w:r w:rsidRPr="00264561">
        <w:rPr>
          <w:color w:val="000000"/>
        </w:rPr>
        <w:t>cieľom zohľadniť uvedené zmeny</w:t>
      </w:r>
      <w:r w:rsidR="00264561">
        <w:rPr>
          <w:color w:val="000000"/>
        </w:rPr>
        <w:t xml:space="preserve"> a </w:t>
      </w:r>
      <w:r w:rsidRPr="00264561">
        <w:rPr>
          <w:color w:val="000000"/>
        </w:rPr>
        <w:t>poskytnúť ďalšie spresnenie pokynov</w:t>
      </w:r>
      <w:r w:rsidR="00264561">
        <w:rPr>
          <w:color w:val="000000"/>
        </w:rPr>
        <w:t xml:space="preserve"> a </w:t>
      </w:r>
      <w:r w:rsidRPr="00264561">
        <w:rPr>
          <w:color w:val="000000"/>
        </w:rPr>
        <w:t>vymedzenia pojmov používaných na vykazovanie na účely dohľadu zo strany inštitúcií. Mali by sa objasniť aj určité odkazy</w:t>
      </w:r>
      <w:r w:rsidR="00264561">
        <w:rPr>
          <w:color w:val="000000"/>
        </w:rPr>
        <w:t xml:space="preserve"> a </w:t>
      </w:r>
      <w:r w:rsidRPr="00264561">
        <w:rPr>
          <w:color w:val="000000"/>
        </w:rPr>
        <w:t>nezrovnalosti vo formátovaní, ktoré sa</w:t>
      </w:r>
      <w:r w:rsidR="00264561">
        <w:rPr>
          <w:color w:val="000000"/>
        </w:rPr>
        <w:t xml:space="preserve"> v </w:t>
      </w:r>
      <w:r w:rsidRPr="00264561">
        <w:rPr>
          <w:color w:val="000000"/>
        </w:rPr>
        <w:t>priebehu uplatňovania vykonávacieho nariadenia (EÚ) č. 680/2014 ukázali byť zavádzajúce.</w:t>
      </w:r>
    </w:p>
    <w:p w:rsidR="00075C77" w:rsidRPr="00264561" w:rsidRDefault="00195568" w:rsidP="00075C77">
      <w:pPr>
        <w:pStyle w:val="Considrant"/>
        <w:rPr>
          <w:color w:val="000000"/>
        </w:rPr>
      </w:pPr>
      <w:r w:rsidRPr="00264561">
        <w:rPr>
          <w:color w:val="000000"/>
        </w:rPr>
        <w:t>V delegovanom nariadení Komisie (EÚ) 2016/101 sa stanovujú požiadavky týkajúce sa obozretných úprav ocenenia reálne ocenených pozícií. Sú</w:t>
      </w:r>
      <w:r w:rsidR="00264561">
        <w:rPr>
          <w:color w:val="000000"/>
        </w:rPr>
        <w:t xml:space="preserve"> v </w:t>
      </w:r>
      <w:r w:rsidRPr="00264561">
        <w:rPr>
          <w:color w:val="000000"/>
        </w:rPr>
        <w:t>ňom stanovené dva postupy uplatnenia požiadaviek na obozretné oceňovanie: základný postup</w:t>
      </w:r>
      <w:r w:rsidR="00264561">
        <w:rPr>
          <w:color w:val="000000"/>
        </w:rPr>
        <w:t xml:space="preserve"> a </w:t>
      </w:r>
      <w:r w:rsidRPr="00264561">
        <w:rPr>
          <w:color w:val="000000"/>
        </w:rPr>
        <w:t>zjednodušený postup. Na monitorovanie dodržiavania súladu</w:t>
      </w:r>
      <w:r w:rsidR="00264561">
        <w:rPr>
          <w:color w:val="000000"/>
        </w:rPr>
        <w:t xml:space="preserve"> s </w:t>
      </w:r>
      <w:r w:rsidRPr="00264561">
        <w:rPr>
          <w:color w:val="000000"/>
        </w:rPr>
        <w:t>danými požiadavkami zo strany inštitúcií</w:t>
      </w:r>
      <w:r w:rsidR="00264561">
        <w:rPr>
          <w:color w:val="000000"/>
        </w:rPr>
        <w:t xml:space="preserve"> a </w:t>
      </w:r>
      <w:r w:rsidRPr="00264561">
        <w:rPr>
          <w:color w:val="000000"/>
        </w:rPr>
        <w:t>na posúdenie vplyvu uvedeného nariadenia na úpravy ocenenia je potrebné ďalšie vykazovanie súvisiace</w:t>
      </w:r>
      <w:r w:rsidR="00264561">
        <w:rPr>
          <w:color w:val="000000"/>
        </w:rPr>
        <w:t xml:space="preserve"> s </w:t>
      </w:r>
      <w:r w:rsidRPr="00264561">
        <w:rPr>
          <w:color w:val="000000"/>
        </w:rPr>
        <w:t>požiadavkami na obozretné oceňovanie.</w:t>
      </w:r>
    </w:p>
    <w:p w:rsidR="00075C77" w:rsidRPr="00264561" w:rsidRDefault="00075C77" w:rsidP="00075C77">
      <w:pPr>
        <w:pStyle w:val="Considrant"/>
        <w:rPr>
          <w:color w:val="000000"/>
        </w:rPr>
      </w:pPr>
      <w:r w:rsidRPr="00264561">
        <w:rPr>
          <w:color w:val="000000"/>
        </w:rPr>
        <w:t>Nariadením (EÚ) 2017/2401 sa mení nariadenie (EÚ) č. 575/2013</w:t>
      </w:r>
      <w:r w:rsidR="00264561">
        <w:rPr>
          <w:color w:val="000000"/>
        </w:rPr>
        <w:t xml:space="preserve"> s </w:t>
      </w:r>
      <w:r w:rsidRPr="00264561">
        <w:rPr>
          <w:color w:val="000000"/>
        </w:rPr>
        <w:t>cieľom zvýšiť citlivosť zaobchádzania</w:t>
      </w:r>
      <w:r w:rsidR="00264561">
        <w:rPr>
          <w:color w:val="000000"/>
        </w:rPr>
        <w:t xml:space="preserve"> s </w:t>
      </w:r>
      <w:r w:rsidRPr="00264561">
        <w:rPr>
          <w:color w:val="000000"/>
        </w:rPr>
        <w:t>kapitálom pri sekuritizáciách na riziká</w:t>
      </w:r>
      <w:r w:rsidR="00264561">
        <w:rPr>
          <w:color w:val="000000"/>
        </w:rPr>
        <w:t xml:space="preserve"> a </w:t>
      </w:r>
      <w:r w:rsidRPr="00264561">
        <w:rPr>
          <w:color w:val="000000"/>
        </w:rPr>
        <w:t>umožniť, aby správne zohľadňovalo osobitné prvky jednoduchých, transparentných</w:t>
      </w:r>
      <w:r w:rsidR="00264561">
        <w:rPr>
          <w:color w:val="000000"/>
        </w:rPr>
        <w:t xml:space="preserve"> a </w:t>
      </w:r>
      <w:r w:rsidRPr="00264561">
        <w:rPr>
          <w:color w:val="000000"/>
        </w:rPr>
        <w:t>štandardizovaných sekuritizácií. Vykonávacie nariadenie (EÚ) č. 680/2014 je potrebné zmeniť, aby zodpovedalo vykazovaniu sekuritizačných pozícií, na ktoré sa vzťahuje tento revidovaný rámec pre sekuritizáciu.</w:t>
      </w:r>
    </w:p>
    <w:p w:rsidR="00075C77" w:rsidRPr="00264561" w:rsidRDefault="00075C77" w:rsidP="00075C77">
      <w:pPr>
        <w:pStyle w:val="Considrant"/>
        <w:rPr>
          <w:color w:val="000000"/>
        </w:rPr>
      </w:pPr>
      <w:r w:rsidRPr="00264561">
        <w:rPr>
          <w:color w:val="000000"/>
        </w:rPr>
        <w:t>Zmeny vykonávacieho nariadenia (EÚ) č. 680/2014 sú potrebné aj na to, aby zlepšili schopnosť príslušných orgánov účinne monitorovať</w:t>
      </w:r>
      <w:r w:rsidR="00264561">
        <w:rPr>
          <w:color w:val="000000"/>
        </w:rPr>
        <w:t xml:space="preserve"> a </w:t>
      </w:r>
      <w:r w:rsidRPr="00264561">
        <w:rPr>
          <w:color w:val="000000"/>
        </w:rPr>
        <w:t>posudzovať rizikový profil inštitúcií,</w:t>
      </w:r>
      <w:r w:rsidR="00264561">
        <w:rPr>
          <w:color w:val="000000"/>
        </w:rPr>
        <w:t xml:space="preserve"> a </w:t>
      </w:r>
      <w:r w:rsidRPr="00264561">
        <w:rPr>
          <w:color w:val="000000"/>
        </w:rPr>
        <w:t>na to, aby sa získal obraz</w:t>
      </w:r>
      <w:r w:rsidR="00264561">
        <w:rPr>
          <w:color w:val="000000"/>
        </w:rPr>
        <w:t xml:space="preserve"> o </w:t>
      </w:r>
      <w:r w:rsidRPr="00264561">
        <w:rPr>
          <w:color w:val="000000"/>
        </w:rPr>
        <w:t>rizikách, ktorým čelí finančný sektor, čo si vyžaduje menšie zmeny požiadaviek na vykazovanie</w:t>
      </w:r>
      <w:r w:rsidR="00264561">
        <w:rPr>
          <w:color w:val="000000"/>
        </w:rPr>
        <w:t xml:space="preserve"> v </w:t>
      </w:r>
      <w:r w:rsidRPr="00264561">
        <w:rPr>
          <w:color w:val="000000"/>
        </w:rPr>
        <w:t>oblasti geografického rozdelenia expozícií.</w:t>
      </w:r>
    </w:p>
    <w:p w:rsidR="00264561" w:rsidRPr="00264561" w:rsidRDefault="00075C77" w:rsidP="00075C77">
      <w:pPr>
        <w:pStyle w:val="Considrant"/>
      </w:pPr>
      <w:r w:rsidRPr="00264561">
        <w:t>Toto nariadenie vychádza</w:t>
      </w:r>
      <w:r w:rsidR="00264561">
        <w:t xml:space="preserve"> z </w:t>
      </w:r>
      <w:r w:rsidRPr="00264561">
        <w:t>návrhu vykonávacích technických predpisov, ktoré Komisii predložil Európsky orgán pre bankovníctvo (EBA)</w:t>
      </w:r>
      <w:r w:rsidR="00264561" w:rsidRPr="00264561">
        <w:t>.</w:t>
      </w:r>
    </w:p>
    <w:p w:rsidR="00075C77" w:rsidRPr="00264561" w:rsidRDefault="00075C77" w:rsidP="00075C77">
      <w:pPr>
        <w:pStyle w:val="Considrant"/>
      </w:pPr>
      <w:r w:rsidRPr="00264561">
        <w:t>Európsky orgán pre bankovníctvo (EBA) vykonal otvorené verejné konzultácie</w:t>
      </w:r>
      <w:r w:rsidR="00264561">
        <w:t xml:space="preserve"> k </w:t>
      </w:r>
      <w:r w:rsidRPr="00264561">
        <w:t>návrhu vykonávacích technických predpisov,</w:t>
      </w:r>
      <w:r w:rsidR="00264561">
        <w:t xml:space="preserve"> z </w:t>
      </w:r>
      <w:r w:rsidRPr="00264561">
        <w:t>ktorých toto nariadenie vychádza</w:t>
      </w:r>
      <w:r w:rsidR="00264561">
        <w:t xml:space="preserve"> a </w:t>
      </w:r>
      <w:r w:rsidRPr="00264561">
        <w:t>ktoré sa týkajú obozretného oceňovania</w:t>
      </w:r>
      <w:r w:rsidR="00264561">
        <w:t xml:space="preserve"> a </w:t>
      </w:r>
      <w:r w:rsidRPr="00264561">
        <w:t>celkového geografického rozčlenenia, analyzoval možné súvisiace náklady</w:t>
      </w:r>
      <w:r w:rsidR="00264561">
        <w:t xml:space="preserve"> a </w:t>
      </w:r>
      <w:r w:rsidRPr="00264561">
        <w:t>prínosy</w:t>
      </w:r>
      <w:r w:rsidR="00264561">
        <w:t xml:space="preserve"> a </w:t>
      </w:r>
      <w:r w:rsidRPr="00264561">
        <w:t>požiadal</w:t>
      </w:r>
      <w:r w:rsidR="00264561">
        <w:t xml:space="preserve"> v </w:t>
      </w:r>
      <w:r w:rsidRPr="00264561">
        <w:t>súvislosti</w:t>
      </w:r>
      <w:r w:rsidR="00264561">
        <w:t xml:space="preserve"> s </w:t>
      </w:r>
      <w:r w:rsidRPr="00264561">
        <w:t>nimi</w:t>
      </w:r>
      <w:r w:rsidR="00264561">
        <w:t xml:space="preserve"> o </w:t>
      </w:r>
      <w:r w:rsidRPr="00264561">
        <w:t>stanovisko Skupinu zainteresovaných strán</w:t>
      </w:r>
      <w:r w:rsidR="00264561">
        <w:t xml:space="preserve"> v </w:t>
      </w:r>
      <w:r w:rsidRPr="00264561">
        <w:t>bankovníctve zriadenú</w:t>
      </w:r>
      <w:r w:rsidR="00264561">
        <w:t xml:space="preserve"> v </w:t>
      </w:r>
      <w:r w:rsidRPr="00264561">
        <w:t>súlade</w:t>
      </w:r>
      <w:r w:rsidR="00264561">
        <w:t xml:space="preserve"> s </w:t>
      </w:r>
      <w:r w:rsidRPr="00264561">
        <w:t>článkom 37 nariadenia Európskeho parlamentu</w:t>
      </w:r>
      <w:r w:rsidR="00264561">
        <w:t xml:space="preserve"> a </w:t>
      </w:r>
      <w:r w:rsidRPr="00264561">
        <w:t>Rady (EÚ) č. 1093/2010</w:t>
      </w:r>
      <w:r w:rsidRPr="00264561">
        <w:rPr>
          <w:rStyle w:val="FootnoteReference"/>
        </w:rPr>
        <w:footnoteReference w:id="6"/>
      </w:r>
      <w:r w:rsidRPr="00264561">
        <w:t>.</w:t>
      </w:r>
      <w:r w:rsidR="00264561">
        <w:t xml:space="preserve"> V </w:t>
      </w:r>
      <w:r w:rsidRPr="00264561">
        <w:t>súlade</w:t>
      </w:r>
      <w:r w:rsidR="00264561">
        <w:t xml:space="preserve"> s </w:t>
      </w:r>
      <w:r w:rsidRPr="00264561">
        <w:t>článkom 15 ods. 1 druhým pododsekom uvedeného nariadenia EBA nevykonal žiadnu otvorenú verejnú konzultáciu</w:t>
      </w:r>
      <w:r w:rsidR="00264561">
        <w:t xml:space="preserve"> v </w:t>
      </w:r>
      <w:r w:rsidRPr="00264561">
        <w:t>súvislosti</w:t>
      </w:r>
      <w:r w:rsidR="00264561">
        <w:t xml:space="preserve"> s </w:t>
      </w:r>
      <w:r w:rsidRPr="00264561">
        <w:t>tými časťami návrhu vykonávacích technických predpisov,</w:t>
      </w:r>
      <w:r w:rsidR="00264561">
        <w:t xml:space="preserve"> z </w:t>
      </w:r>
      <w:r w:rsidRPr="00264561">
        <w:t>ktorých vychádza toto nariadenie</w:t>
      </w:r>
      <w:r w:rsidR="00264561">
        <w:t xml:space="preserve"> a </w:t>
      </w:r>
      <w:r w:rsidRPr="00264561">
        <w:t>ktoré majú buď redakčnú povahu, alebo zavádzajú len obmedzený počet položiek rámca na vykazovanie na účely dohľadu, keďže takáto konzultácia by bola neprimeraná vzhľadom na rozsah</w:t>
      </w:r>
      <w:r w:rsidR="00264561">
        <w:t xml:space="preserve"> a </w:t>
      </w:r>
      <w:r w:rsidRPr="00264561">
        <w:t>dosah príslušného návrhu vykonávacích technických predpisov.</w:t>
      </w:r>
    </w:p>
    <w:p w:rsidR="00075C77" w:rsidRPr="00264561" w:rsidRDefault="00075C77" w:rsidP="00075C77">
      <w:pPr>
        <w:pStyle w:val="Considrant"/>
      </w:pPr>
      <w:r w:rsidRPr="00264561">
        <w:t>Vykonávacie nariadenie (EÚ) č. 680/2014 by sa preto malo zodpovedajúcim spôsobom zmeniť,</w:t>
      </w:r>
    </w:p>
    <w:p w:rsidR="00075C77" w:rsidRPr="00264561" w:rsidRDefault="00075C77" w:rsidP="004E1EF9">
      <w:pPr>
        <w:pStyle w:val="Formuledadoption"/>
      </w:pPr>
      <w:r w:rsidRPr="00264561">
        <w:t>PRIJALA TOTO NARIADENIE:</w:t>
      </w:r>
    </w:p>
    <w:p w:rsidR="00075C77" w:rsidRPr="00B6655F" w:rsidRDefault="00075C77" w:rsidP="004E1EF9">
      <w:pPr>
        <w:pStyle w:val="Titrearticle"/>
      </w:pPr>
      <w:r w:rsidRPr="00B6655F">
        <w:t>Článok 1</w:t>
      </w:r>
    </w:p>
    <w:p w:rsidR="00075C77" w:rsidRPr="00264561" w:rsidRDefault="00075C77" w:rsidP="00075C77">
      <w:r w:rsidRPr="00264561">
        <w:t>Vykonávacie nariadenie (EÚ) č. 680/2014 sa mení takto:</w:t>
      </w:r>
    </w:p>
    <w:p w:rsidR="00591517" w:rsidRPr="00264561" w:rsidRDefault="00606A63" w:rsidP="00606A63">
      <w:pPr>
        <w:pStyle w:val="Point0"/>
      </w:pPr>
      <w:r>
        <w:t>1.</w:t>
      </w:r>
      <w:r>
        <w:tab/>
      </w:r>
      <w:r w:rsidR="00591517" w:rsidRPr="00264561">
        <w:t>Článok 5 sa mení takto:</w:t>
      </w:r>
    </w:p>
    <w:p w:rsidR="00591517" w:rsidRPr="00264561" w:rsidRDefault="00606A63" w:rsidP="00606A63">
      <w:pPr>
        <w:pStyle w:val="Point1"/>
      </w:pPr>
      <w:r>
        <w:t>a)</w:t>
      </w:r>
      <w:r>
        <w:tab/>
      </w:r>
      <w:r w:rsidR="00591517" w:rsidRPr="00264561">
        <w:t>Písmeno a) sa mení takto:</w:t>
      </w:r>
    </w:p>
    <w:p w:rsidR="00075C77" w:rsidRPr="00264561" w:rsidRDefault="008F3946" w:rsidP="00BC47EF">
      <w:pPr>
        <w:pStyle w:val="Point1"/>
      </w:pPr>
      <w:r w:rsidRPr="00264561">
        <w:t xml:space="preserve">i) </w:t>
      </w:r>
      <w:r w:rsidRPr="00264561">
        <w:tab/>
        <w:t>Odsek 4 sa nahrádza takto:</w:t>
      </w:r>
    </w:p>
    <w:p w:rsidR="00075C77" w:rsidRPr="00264561" w:rsidRDefault="00EA38CD" w:rsidP="00C34F30">
      <w:pPr>
        <w:pStyle w:val="Text2"/>
      </w:pPr>
      <w:r w:rsidRPr="00264561">
        <w:t>„4.</w:t>
      </w:r>
      <w:r w:rsidRPr="00264561">
        <w:tab/>
        <w:t>informácie</w:t>
      </w:r>
      <w:r w:rsidR="00264561">
        <w:t xml:space="preserve"> o </w:t>
      </w:r>
      <w:r w:rsidRPr="00264561">
        <w:t>geografickom rozdelení expozícií podľa krajiny, ako aj agregované na celkovej úrovni, uvedené vo vzore 9 prílohy I podľa pokynov</w:t>
      </w:r>
      <w:r w:rsidR="00264561">
        <w:t xml:space="preserve"> v </w:t>
      </w:r>
      <w:r w:rsidRPr="00264561">
        <w:t>časti II bode 3.4 prílohy II.</w:t>
      </w:r>
      <w:r w:rsidR="00264561">
        <w:t xml:space="preserve"> S </w:t>
      </w:r>
      <w:r w:rsidRPr="00264561">
        <w:t>ohľadom na informácie uvedené predovšetkým vo vzoroch 9.1</w:t>
      </w:r>
      <w:r w:rsidR="00264561">
        <w:t xml:space="preserve"> a </w:t>
      </w:r>
      <w:r w:rsidRPr="00264561">
        <w:t>9.2 sa informácie</w:t>
      </w:r>
      <w:r w:rsidR="00264561">
        <w:t xml:space="preserve"> o </w:t>
      </w:r>
      <w:r w:rsidRPr="00264561">
        <w:t>geografickom rozdelení expozícií podľa krajiny vykazujú, ak sa pôvodné vonkajšie expozície vo všetkých „vonkajších“ krajinách vo všetkých triedach expozícií vykázané</w:t>
      </w:r>
      <w:r w:rsidR="00264561">
        <w:t xml:space="preserve"> v </w:t>
      </w:r>
      <w:r w:rsidRPr="00264561">
        <w:t>riadku 850 vzoru 4 prílohy I rovnajú alebo sú vyššie ako 10</w:t>
      </w:r>
      <w:r w:rsidR="00264561">
        <w:t> %</w:t>
      </w:r>
      <w:r w:rsidRPr="00264561">
        <w:t xml:space="preserve"> celkových pôvodných vnútorných</w:t>
      </w:r>
      <w:r w:rsidR="00264561">
        <w:t xml:space="preserve"> a </w:t>
      </w:r>
      <w:r w:rsidRPr="00264561">
        <w:t>vonkajších expozícií vykázaných</w:t>
      </w:r>
      <w:r w:rsidR="00264561">
        <w:t xml:space="preserve"> v </w:t>
      </w:r>
      <w:r w:rsidRPr="00264561">
        <w:t>riadku 860 vzoru 4 prílohy I. Na tieto účely sa expozície považujú za vnútorné, ak ide</w:t>
      </w:r>
      <w:r w:rsidR="00264561">
        <w:t xml:space="preserve"> o </w:t>
      </w:r>
      <w:r w:rsidRPr="00264561">
        <w:t>expozície voči protistranám nachádzajúcim sa</w:t>
      </w:r>
      <w:r w:rsidR="00264561">
        <w:t xml:space="preserve"> v </w:t>
      </w:r>
      <w:r w:rsidRPr="00264561">
        <w:t>členskom štáte,</w:t>
      </w:r>
      <w:r w:rsidR="00264561">
        <w:t xml:space="preserve"> v </w:t>
      </w:r>
      <w:r w:rsidRPr="00264561">
        <w:t>ktorom sa nachádza inštitúcia. Uplatňujú sa kritériá vstupu</w:t>
      </w:r>
      <w:r w:rsidR="00264561">
        <w:t xml:space="preserve"> a </w:t>
      </w:r>
      <w:r w:rsidRPr="00264561">
        <w:t>výstupu stanovené</w:t>
      </w:r>
      <w:r w:rsidR="00264561">
        <w:t xml:space="preserve"> v </w:t>
      </w:r>
      <w:r w:rsidRPr="00264561">
        <w:t>článku 4;“;</w:t>
      </w:r>
    </w:p>
    <w:p w:rsidR="00075C77" w:rsidRPr="00264561" w:rsidRDefault="008F3946" w:rsidP="00BC47EF">
      <w:pPr>
        <w:pStyle w:val="Point1"/>
      </w:pPr>
      <w:r w:rsidRPr="00264561">
        <w:t xml:space="preserve">ii) </w:t>
      </w:r>
      <w:r w:rsidRPr="00264561">
        <w:tab/>
        <w:t>Dopĺňa sa tento odsek 12:</w:t>
      </w:r>
    </w:p>
    <w:p w:rsidR="00075C77" w:rsidRPr="00264561" w:rsidRDefault="00EA38CD" w:rsidP="00C34F30">
      <w:pPr>
        <w:pStyle w:val="Text2"/>
      </w:pPr>
      <w:r w:rsidRPr="00264561">
        <w:t>„12.</w:t>
      </w:r>
      <w:r w:rsidRPr="00264561">
        <w:tab/>
        <w:t>informácie</w:t>
      </w:r>
      <w:r w:rsidR="00264561">
        <w:t xml:space="preserve"> o </w:t>
      </w:r>
      <w:r w:rsidRPr="00264561">
        <w:t>obozretnom oceňovaní uvedené vo vzore 32 prílohy I</w:t>
      </w:r>
      <w:r w:rsidR="00264561">
        <w:t xml:space="preserve"> v </w:t>
      </w:r>
      <w:r w:rsidRPr="00264561">
        <w:t>súlade</w:t>
      </w:r>
      <w:r w:rsidR="00264561">
        <w:t xml:space="preserve"> s </w:t>
      </w:r>
      <w:r w:rsidRPr="00264561">
        <w:t>pokynmi</w:t>
      </w:r>
      <w:r w:rsidR="00264561">
        <w:t xml:space="preserve"> v </w:t>
      </w:r>
      <w:r w:rsidRPr="00264561">
        <w:t>časti II bode 6 prílohy II takto:</w:t>
      </w:r>
    </w:p>
    <w:p w:rsidR="00075C77" w:rsidRPr="00264561" w:rsidRDefault="008D3748" w:rsidP="00BC47EF">
      <w:pPr>
        <w:pStyle w:val="Text4"/>
      </w:pPr>
      <w:r w:rsidRPr="00264561">
        <w:t>i) všetky inštitúcie vykazujú informácie uvedené vo vzore 32.1 prílohy I</w:t>
      </w:r>
      <w:r w:rsidR="00264561">
        <w:t xml:space="preserve"> v </w:t>
      </w:r>
      <w:r w:rsidRPr="00264561">
        <w:t>súlade</w:t>
      </w:r>
      <w:r w:rsidR="00264561">
        <w:t xml:space="preserve"> s </w:t>
      </w:r>
      <w:r w:rsidRPr="00264561">
        <w:t>pokynmi</w:t>
      </w:r>
      <w:r w:rsidR="00264561">
        <w:t xml:space="preserve"> v </w:t>
      </w:r>
      <w:r w:rsidRPr="00264561">
        <w:t>časti II bode 6 prílohy II;</w:t>
      </w:r>
    </w:p>
    <w:p w:rsidR="00075C77" w:rsidRPr="00264561" w:rsidRDefault="008D3748" w:rsidP="00BC47EF">
      <w:pPr>
        <w:pStyle w:val="Text4"/>
      </w:pPr>
      <w:r w:rsidRPr="00264561">
        <w:t>ii) okrem vykazovania uvedeného</w:t>
      </w:r>
      <w:r w:rsidR="00264561">
        <w:t xml:space="preserve"> v </w:t>
      </w:r>
      <w:r w:rsidRPr="00264561">
        <w:t>bode i) inštitúcie, ktoré uplatňujú základný postup podľa nariadenia (EÚ) 2016/101, vykazujú aj informácie uvedené vo vzore 32.2 prílohy I</w:t>
      </w:r>
      <w:r w:rsidR="00264561">
        <w:t xml:space="preserve"> v </w:t>
      </w:r>
      <w:r w:rsidRPr="00264561">
        <w:t>súlade</w:t>
      </w:r>
      <w:r w:rsidR="00264561">
        <w:t xml:space="preserve"> s </w:t>
      </w:r>
      <w:r w:rsidRPr="00264561">
        <w:t>pokynmi</w:t>
      </w:r>
      <w:r w:rsidR="00264561">
        <w:t xml:space="preserve"> v </w:t>
      </w:r>
      <w:r w:rsidRPr="00264561">
        <w:t>časti II bode 6 prílohy II;</w:t>
      </w:r>
    </w:p>
    <w:p w:rsidR="00075C77" w:rsidRPr="00264561" w:rsidRDefault="008D3748" w:rsidP="00BC47EF">
      <w:pPr>
        <w:pStyle w:val="Text4"/>
      </w:pPr>
      <w:r w:rsidRPr="00264561">
        <w:t>iii) okrem požiadaviek uvedených</w:t>
      </w:r>
      <w:r w:rsidR="00264561">
        <w:t xml:space="preserve"> v </w:t>
      </w:r>
      <w:r w:rsidRPr="00264561">
        <w:t>bode i)</w:t>
      </w:r>
      <w:r w:rsidR="00264561">
        <w:t xml:space="preserve"> a </w:t>
      </w:r>
      <w:r w:rsidRPr="00264561">
        <w:t>bode ii) inštitúcie, ktoré uplatňujú základný postup podľa nariadenia (EÚ) 2016/101</w:t>
      </w:r>
      <w:r w:rsidR="00264561">
        <w:t xml:space="preserve"> a </w:t>
      </w:r>
      <w:r w:rsidRPr="00264561">
        <w:t>ktoré prekročia prahovú hodnotu</w:t>
      </w:r>
      <w:r w:rsidR="00264561">
        <w:t xml:space="preserve"> v </w:t>
      </w:r>
      <w:r w:rsidRPr="00264561">
        <w:t>zmysle článku 4 ods. 1 uvedeného nariadenia na ich príslušnej úrovni vykazovania, vykazujú aj informácie uvedené vo vzoroch 32.3</w:t>
      </w:r>
      <w:r w:rsidR="00264561">
        <w:t xml:space="preserve"> a </w:t>
      </w:r>
      <w:r w:rsidRPr="00264561">
        <w:t>32.4 prílohy I</w:t>
      </w:r>
      <w:r w:rsidR="00264561">
        <w:t xml:space="preserve"> v </w:t>
      </w:r>
      <w:r w:rsidRPr="00264561">
        <w:t>súlade</w:t>
      </w:r>
      <w:r w:rsidR="00264561">
        <w:t xml:space="preserve"> s </w:t>
      </w:r>
      <w:r w:rsidRPr="00264561">
        <w:t>pokynmi</w:t>
      </w:r>
      <w:r w:rsidR="00264561">
        <w:t xml:space="preserve"> v </w:t>
      </w:r>
      <w:r w:rsidRPr="00264561">
        <w:t>časti II bode 6 prílohy II;</w:t>
      </w:r>
    </w:p>
    <w:p w:rsidR="00075C77" w:rsidRPr="00264561" w:rsidRDefault="00591517" w:rsidP="00703993">
      <w:pPr>
        <w:pStyle w:val="Text2"/>
      </w:pPr>
      <w:r w:rsidRPr="00264561">
        <w:t>Na účely odseku 12 písm. a) sa neuplatňujú kritériá vstupu</w:t>
      </w:r>
      <w:r w:rsidR="00264561">
        <w:t xml:space="preserve"> a </w:t>
      </w:r>
      <w:r w:rsidRPr="00264561">
        <w:t>výstupu stanovené</w:t>
      </w:r>
      <w:r w:rsidR="00264561">
        <w:t xml:space="preserve"> v </w:t>
      </w:r>
      <w:r w:rsidRPr="00264561">
        <w:t>článku 4.“;</w:t>
      </w:r>
    </w:p>
    <w:p w:rsidR="00591517" w:rsidRPr="00264561" w:rsidRDefault="00606A63" w:rsidP="00606A63">
      <w:pPr>
        <w:pStyle w:val="Point1"/>
      </w:pPr>
      <w:r>
        <w:t>b)</w:t>
      </w:r>
      <w:r>
        <w:tab/>
      </w:r>
      <w:r w:rsidR="00591517" w:rsidRPr="00264561">
        <w:t>Písmeno b) sa mení takto:</w:t>
      </w:r>
    </w:p>
    <w:p w:rsidR="00075C77" w:rsidRPr="00264561" w:rsidRDefault="00075C77" w:rsidP="00BC47EF">
      <w:pPr>
        <w:pStyle w:val="Text1"/>
      </w:pPr>
      <w:r w:rsidRPr="00264561">
        <w:t>V odseku 3 písm. a), b)</w:t>
      </w:r>
      <w:r w:rsidR="00264561">
        <w:t xml:space="preserve"> a </w:t>
      </w:r>
      <w:r w:rsidRPr="00264561">
        <w:t>c) sa slová „časti II bode 6 prílohy II“ nahrádzajú slovami „časti II bode 7 prílohy II“;</w:t>
      </w:r>
    </w:p>
    <w:p w:rsidR="00075C77" w:rsidRPr="00264561" w:rsidRDefault="00606A63" w:rsidP="00606A63">
      <w:pPr>
        <w:pStyle w:val="Point0"/>
      </w:pPr>
      <w:r>
        <w:t>2.</w:t>
      </w:r>
      <w:r>
        <w:tab/>
      </w:r>
      <w:r w:rsidR="00FA5963" w:rsidRPr="00264561">
        <w:t>V článku 9 ods. 2 sa písmeno d) nahrádza takto:</w:t>
      </w:r>
    </w:p>
    <w:p w:rsidR="00075C77" w:rsidRPr="00264561" w:rsidRDefault="00EA38CD" w:rsidP="00C34F30">
      <w:pPr>
        <w:pStyle w:val="Text1"/>
      </w:pPr>
      <w:r w:rsidRPr="00264561">
        <w:t>„d)</w:t>
      </w:r>
      <w:r w:rsidRPr="00264561">
        <w:tab/>
        <w:t>informácie uvedené vo vzore 20</w:t>
      </w:r>
      <w:r w:rsidR="00264561">
        <w:t xml:space="preserve"> v </w:t>
      </w:r>
      <w:r w:rsidRPr="00264561">
        <w:t>časti 2 prílohy III štvrťročne, ak inštitúcia presiahne prahovú hodnotu vymedzenú</w:t>
      </w:r>
      <w:r w:rsidR="00264561">
        <w:t xml:space="preserve"> v </w:t>
      </w:r>
      <w:r w:rsidRPr="00264561">
        <w:t>článku 5 písm. a) odseku 4 druhej vete. Uplatňujú sa kritériá vstupu</w:t>
      </w:r>
      <w:r w:rsidR="00264561">
        <w:t xml:space="preserve"> a </w:t>
      </w:r>
      <w:r w:rsidRPr="00264561">
        <w:t>výstupu uvedené</w:t>
      </w:r>
      <w:r w:rsidR="00264561">
        <w:t xml:space="preserve"> v </w:t>
      </w:r>
      <w:r w:rsidRPr="00264561">
        <w:t>článku 4;“;</w:t>
      </w:r>
    </w:p>
    <w:p w:rsidR="00264561" w:rsidRPr="00264561" w:rsidRDefault="00606A63" w:rsidP="00606A63">
      <w:pPr>
        <w:pStyle w:val="Point0"/>
      </w:pPr>
      <w:r>
        <w:t>3.</w:t>
      </w:r>
      <w:r>
        <w:tab/>
      </w:r>
      <w:r w:rsidR="00075C77" w:rsidRPr="00264561">
        <w:t>Príloha I</w:t>
      </w:r>
      <w:r w:rsidR="00264561">
        <w:t xml:space="preserve"> k </w:t>
      </w:r>
      <w:r w:rsidR="00075C77" w:rsidRPr="00264561">
        <w:t>vykonávaciemu nariadeniu (EÚ) č. 680/2014 sa nahrádza textom uvedeným</w:t>
      </w:r>
      <w:r w:rsidR="00264561">
        <w:t xml:space="preserve"> v </w:t>
      </w:r>
      <w:r w:rsidR="00075C77" w:rsidRPr="00264561">
        <w:t>prílohe I</w:t>
      </w:r>
      <w:r w:rsidR="00264561">
        <w:t xml:space="preserve"> k </w:t>
      </w:r>
      <w:r w:rsidR="00075C77" w:rsidRPr="00264561">
        <w:t>tomuto nariadeniu</w:t>
      </w:r>
      <w:r w:rsidR="00264561" w:rsidRPr="00264561">
        <w:t>;</w:t>
      </w:r>
    </w:p>
    <w:p w:rsidR="00264561" w:rsidRPr="00264561" w:rsidRDefault="00606A63" w:rsidP="00606A63">
      <w:pPr>
        <w:pStyle w:val="Point0"/>
      </w:pPr>
      <w:r>
        <w:t>4.</w:t>
      </w:r>
      <w:r>
        <w:tab/>
      </w:r>
      <w:r w:rsidR="00075C77" w:rsidRPr="00264561">
        <w:t>Príloha II</w:t>
      </w:r>
      <w:r w:rsidR="00264561">
        <w:t xml:space="preserve"> k </w:t>
      </w:r>
      <w:r w:rsidR="00075C77" w:rsidRPr="00264561">
        <w:t>vykonávaciemu nariadeniu (EÚ) č. 680/2014 sa nahrádza textom uvedeným</w:t>
      </w:r>
      <w:r w:rsidR="00264561">
        <w:t xml:space="preserve"> v </w:t>
      </w:r>
      <w:r w:rsidR="00075C77" w:rsidRPr="00264561">
        <w:t>prílohe II</w:t>
      </w:r>
      <w:r w:rsidR="00264561">
        <w:t xml:space="preserve"> k </w:t>
      </w:r>
      <w:r w:rsidR="00075C77" w:rsidRPr="00264561">
        <w:t>tomuto nariadeniu</w:t>
      </w:r>
      <w:r w:rsidR="00264561" w:rsidRPr="00264561">
        <w:t>;</w:t>
      </w:r>
    </w:p>
    <w:p w:rsidR="00075C77" w:rsidRPr="00264561" w:rsidRDefault="00606A63" w:rsidP="00606A63">
      <w:pPr>
        <w:pStyle w:val="Point0"/>
      </w:pPr>
      <w:r>
        <w:t>5.</w:t>
      </w:r>
      <w:r>
        <w:tab/>
      </w:r>
      <w:r w:rsidR="00075C77" w:rsidRPr="00264561">
        <w:t>Príloha</w:t>
      </w:r>
      <w:r w:rsidR="00264561">
        <w:t xml:space="preserve"> V k </w:t>
      </w:r>
      <w:r w:rsidR="00075C77" w:rsidRPr="00264561">
        <w:t>vykonávaciemu nariadeniu (EÚ) č. 680/2014 sa nahrádza textom uvedeným</w:t>
      </w:r>
      <w:r w:rsidR="00264561">
        <w:t xml:space="preserve"> v </w:t>
      </w:r>
      <w:r w:rsidR="00075C77" w:rsidRPr="00264561">
        <w:t>prílohe III</w:t>
      </w:r>
      <w:r w:rsidR="00264561">
        <w:t xml:space="preserve"> k </w:t>
      </w:r>
      <w:r w:rsidR="00075C77" w:rsidRPr="00264561">
        <w:t>tomuto nariadeniu;</w:t>
      </w:r>
    </w:p>
    <w:p w:rsidR="00075C77" w:rsidRPr="00264561" w:rsidRDefault="00606A63" w:rsidP="00606A63">
      <w:pPr>
        <w:pStyle w:val="Point0"/>
      </w:pPr>
      <w:r>
        <w:t>6.</w:t>
      </w:r>
      <w:r>
        <w:tab/>
      </w:r>
      <w:r w:rsidR="00075C77" w:rsidRPr="00264561">
        <w:t>Príloha IX</w:t>
      </w:r>
      <w:r w:rsidR="00264561">
        <w:t xml:space="preserve"> k </w:t>
      </w:r>
      <w:r w:rsidR="00075C77" w:rsidRPr="00264561">
        <w:t>vykonávaciemu nariadeniu (EÚ) č. 680/2014 sa nahrádza textom uvedeným</w:t>
      </w:r>
      <w:r w:rsidR="00264561">
        <w:t xml:space="preserve"> v </w:t>
      </w:r>
      <w:r w:rsidR="00075C77" w:rsidRPr="00264561">
        <w:t>prílohe IV</w:t>
      </w:r>
      <w:r w:rsidR="00264561">
        <w:t xml:space="preserve"> k </w:t>
      </w:r>
      <w:r w:rsidR="00075C77" w:rsidRPr="00264561">
        <w:t>tomuto nariadeniu;</w:t>
      </w:r>
    </w:p>
    <w:p w:rsidR="00075C77" w:rsidRPr="00264561" w:rsidRDefault="00606A63" w:rsidP="00606A63">
      <w:pPr>
        <w:pStyle w:val="Point0"/>
      </w:pPr>
      <w:r>
        <w:t>7.</w:t>
      </w:r>
      <w:r>
        <w:tab/>
      </w:r>
      <w:r w:rsidR="00075C77" w:rsidRPr="00264561">
        <w:t>Príloha XI</w:t>
      </w:r>
      <w:r w:rsidR="00264561">
        <w:t xml:space="preserve"> k </w:t>
      </w:r>
      <w:r w:rsidR="00075C77" w:rsidRPr="00264561">
        <w:t>vykonávaciemu nariadeniu (EÚ) č. 680/2014 sa nahrádza textom uvedeným</w:t>
      </w:r>
      <w:r w:rsidR="00264561">
        <w:t xml:space="preserve"> v </w:t>
      </w:r>
      <w:r w:rsidR="00075C77" w:rsidRPr="00264561">
        <w:t>prílohe</w:t>
      </w:r>
      <w:r w:rsidR="00264561">
        <w:t xml:space="preserve"> V k </w:t>
      </w:r>
      <w:r w:rsidR="00075C77" w:rsidRPr="00264561">
        <w:t>tomuto nariadeniu;</w:t>
      </w:r>
    </w:p>
    <w:p w:rsidR="00075C77" w:rsidRPr="00264561" w:rsidRDefault="00606A63" w:rsidP="00606A63">
      <w:pPr>
        <w:pStyle w:val="Point0"/>
      </w:pPr>
      <w:r>
        <w:t>8.</w:t>
      </w:r>
      <w:r>
        <w:tab/>
      </w:r>
      <w:r w:rsidR="00075C77" w:rsidRPr="00264561">
        <w:t>Príloha XVI</w:t>
      </w:r>
      <w:r w:rsidR="00264561">
        <w:t xml:space="preserve"> k </w:t>
      </w:r>
      <w:r w:rsidR="00075C77" w:rsidRPr="00264561">
        <w:t>vykonávaciemu nariadeniu (EÚ) č. 680/2014 sa nahrádza prílohou VI</w:t>
      </w:r>
      <w:r w:rsidR="00264561">
        <w:t xml:space="preserve"> k </w:t>
      </w:r>
      <w:r w:rsidR="00075C77" w:rsidRPr="00264561">
        <w:t>tomuto nariadeniu;</w:t>
      </w:r>
    </w:p>
    <w:p w:rsidR="00075C77" w:rsidRPr="00264561" w:rsidRDefault="00606A63" w:rsidP="00606A63">
      <w:pPr>
        <w:pStyle w:val="Point0"/>
      </w:pPr>
      <w:r>
        <w:t>9.</w:t>
      </w:r>
      <w:r>
        <w:tab/>
      </w:r>
      <w:r w:rsidR="00075C77" w:rsidRPr="00264561">
        <w:t>Príloha XIX</w:t>
      </w:r>
      <w:r w:rsidR="00264561">
        <w:t xml:space="preserve"> k </w:t>
      </w:r>
      <w:r w:rsidR="00075C77" w:rsidRPr="00264561">
        <w:t>vykonávaciemu nariadeniu (EÚ) č. 680/2014 sa nahrádza textom uvedeným</w:t>
      </w:r>
      <w:r w:rsidR="00264561">
        <w:t xml:space="preserve"> v </w:t>
      </w:r>
      <w:r w:rsidR="00075C77" w:rsidRPr="00264561">
        <w:t>prílohe VII</w:t>
      </w:r>
      <w:r w:rsidR="00264561">
        <w:t xml:space="preserve"> k </w:t>
      </w:r>
      <w:r w:rsidR="00075C77" w:rsidRPr="00264561">
        <w:t>tomuto nariadeniu;</w:t>
      </w:r>
    </w:p>
    <w:p w:rsidR="00075C77" w:rsidRPr="00264561" w:rsidRDefault="00606A63" w:rsidP="00606A63">
      <w:pPr>
        <w:pStyle w:val="Point0"/>
      </w:pPr>
      <w:r>
        <w:t>10.</w:t>
      </w:r>
      <w:r>
        <w:tab/>
      </w:r>
      <w:r w:rsidR="00075C77" w:rsidRPr="00264561">
        <w:t>Príloha XXI</w:t>
      </w:r>
      <w:r w:rsidR="00264561">
        <w:t xml:space="preserve"> k </w:t>
      </w:r>
      <w:r w:rsidR="00075C77" w:rsidRPr="00264561">
        <w:t>vykonávaciemu nariadeniu (EÚ) č. 680/2014 sa nahrádza textom uvedeným</w:t>
      </w:r>
      <w:r w:rsidR="00264561">
        <w:t xml:space="preserve"> v </w:t>
      </w:r>
      <w:r w:rsidR="00075C77" w:rsidRPr="00264561">
        <w:t>prílohe VIII</w:t>
      </w:r>
      <w:r w:rsidR="00264561">
        <w:t xml:space="preserve"> k </w:t>
      </w:r>
      <w:r w:rsidR="00075C77" w:rsidRPr="00264561">
        <w:t>tomuto nariadeniu;</w:t>
      </w:r>
    </w:p>
    <w:p w:rsidR="00075C77" w:rsidRPr="00264561" w:rsidRDefault="00606A63" w:rsidP="00606A63">
      <w:pPr>
        <w:pStyle w:val="Point0"/>
      </w:pPr>
      <w:r>
        <w:t>11.</w:t>
      </w:r>
      <w:r>
        <w:tab/>
      </w:r>
      <w:r w:rsidR="00075C77" w:rsidRPr="00264561">
        <w:t>Príloha XXII</w:t>
      </w:r>
      <w:r w:rsidR="00264561">
        <w:t xml:space="preserve"> k </w:t>
      </w:r>
      <w:r w:rsidR="00075C77" w:rsidRPr="00264561">
        <w:t>vykonávaciemu nariadeniu (EÚ) č. 680/2014 sa nahrádza textom uvedeným</w:t>
      </w:r>
      <w:r w:rsidR="00264561">
        <w:t xml:space="preserve"> v </w:t>
      </w:r>
      <w:r w:rsidR="00075C77" w:rsidRPr="00264561">
        <w:t>prílohe IX</w:t>
      </w:r>
      <w:r w:rsidR="00264561">
        <w:t xml:space="preserve"> k </w:t>
      </w:r>
      <w:r w:rsidR="00075C77" w:rsidRPr="00264561">
        <w:t>tomuto nariadeniu;</w:t>
      </w:r>
    </w:p>
    <w:p w:rsidR="00075C77" w:rsidRPr="00264561" w:rsidRDefault="00606A63" w:rsidP="00606A63">
      <w:pPr>
        <w:pStyle w:val="Point0"/>
      </w:pPr>
      <w:r>
        <w:t>12.</w:t>
      </w:r>
      <w:r>
        <w:tab/>
      </w:r>
      <w:r w:rsidR="00075C77" w:rsidRPr="00264561">
        <w:t>Príloha XXIII</w:t>
      </w:r>
      <w:r w:rsidR="00264561">
        <w:t xml:space="preserve"> k </w:t>
      </w:r>
      <w:r w:rsidR="00075C77" w:rsidRPr="00264561">
        <w:t>vykonávaciemu nariadeniu (EÚ) č. 680/2014 sa nahrádza textom uvedeným</w:t>
      </w:r>
      <w:r w:rsidR="00264561">
        <w:t xml:space="preserve"> v </w:t>
      </w:r>
      <w:r w:rsidR="00075C77" w:rsidRPr="00264561">
        <w:t>prílohe X</w:t>
      </w:r>
      <w:r w:rsidR="00264561">
        <w:t xml:space="preserve"> k </w:t>
      </w:r>
      <w:r w:rsidR="00075C77" w:rsidRPr="00264561">
        <w:t>tomuto nariadeniu;</w:t>
      </w:r>
    </w:p>
    <w:p w:rsidR="00075C77" w:rsidRPr="00B6655F" w:rsidRDefault="00075C77" w:rsidP="004E1EF9">
      <w:pPr>
        <w:pStyle w:val="Titrearticle"/>
      </w:pPr>
      <w:r w:rsidRPr="00B6655F">
        <w:t>Článok 2</w:t>
      </w:r>
    </w:p>
    <w:p w:rsidR="00075C77" w:rsidRPr="00264561" w:rsidRDefault="00075C77" w:rsidP="004E1EF9">
      <w:r w:rsidRPr="00264561">
        <w:t xml:space="preserve">Toto nariadenie nadobúda účinnosť dvadsiatym </w:t>
      </w:r>
      <w:r w:rsidRPr="00264561">
        <w:rPr>
          <w:color w:val="000000"/>
        </w:rPr>
        <w:t>dňom</w:t>
      </w:r>
      <w:r w:rsidRPr="00264561">
        <w:t xml:space="preserve"> po jeho uverejnení</w:t>
      </w:r>
      <w:r w:rsidR="00264561">
        <w:t xml:space="preserve"> v </w:t>
      </w:r>
      <w:r w:rsidRPr="00B6655F">
        <w:rPr>
          <w:i/>
        </w:rPr>
        <w:t>Úradnom vestníku Európskej únie</w:t>
      </w:r>
      <w:r w:rsidRPr="00264561">
        <w:t>.</w:t>
      </w:r>
    </w:p>
    <w:p w:rsidR="00075C77" w:rsidRPr="00264561" w:rsidRDefault="00075C77" w:rsidP="004E1EF9">
      <w:r w:rsidRPr="00264561">
        <w:t>Uplatňuje sa od 1</w:t>
      </w:r>
      <w:r w:rsidR="00264561">
        <w:t>. decembra</w:t>
      </w:r>
      <w:r w:rsidRPr="00264561">
        <w:t xml:space="preserve"> 2018.</w:t>
      </w:r>
    </w:p>
    <w:p w:rsidR="00075C77" w:rsidRPr="00264561" w:rsidRDefault="00075C77" w:rsidP="004E1EF9">
      <w:pPr>
        <w:pStyle w:val="Applicationdirecte"/>
      </w:pPr>
      <w:r w:rsidRPr="00264561">
        <w:t>Toto nariadenie je záväzné</w:t>
      </w:r>
      <w:r w:rsidR="00264561">
        <w:t xml:space="preserve"> v </w:t>
      </w:r>
      <w:r w:rsidRPr="00264561">
        <w:t>celom rozsahu</w:t>
      </w:r>
      <w:r w:rsidR="00264561">
        <w:t xml:space="preserve"> a </w:t>
      </w:r>
      <w:r w:rsidRPr="00264561">
        <w:t>priamo uplatniteľné vo všetkých členských štátoch.</w:t>
      </w:r>
    </w:p>
    <w:p w:rsidR="00075C77" w:rsidRPr="00264561" w:rsidRDefault="000B2E18" w:rsidP="000B2E18">
      <w:pPr>
        <w:pStyle w:val="Fait"/>
      </w:pPr>
      <w:r w:rsidRPr="000B2E18">
        <w:t>V Bruseli</w:t>
      </w:r>
    </w:p>
    <w:p w:rsidR="00C52F7E" w:rsidRPr="00B6655F" w:rsidRDefault="00075C77" w:rsidP="00C52F7E">
      <w:pPr>
        <w:pStyle w:val="Institutionquisigne"/>
      </w:pPr>
      <w:r w:rsidRPr="00B6655F">
        <w:tab/>
        <w:t>Za Komisiu</w:t>
      </w:r>
    </w:p>
    <w:p w:rsidR="00C52F7E" w:rsidRPr="00B6655F" w:rsidRDefault="00C52F7E" w:rsidP="00B44BBC">
      <w:pPr>
        <w:pStyle w:val="Personnequisigne"/>
      </w:pPr>
      <w:r w:rsidRPr="00B6655F">
        <w:tab/>
        <w:t>predseda</w:t>
      </w:r>
    </w:p>
    <w:p w:rsidR="00075C77" w:rsidRPr="00B6655F" w:rsidRDefault="00C52F7E" w:rsidP="00B44BBC">
      <w:pPr>
        <w:pStyle w:val="Personnequisigne"/>
      </w:pPr>
      <w:r w:rsidRPr="00B6655F">
        <w:tab/>
        <w:t>Jean-Claude JUNCKER</w:t>
      </w:r>
      <w:r w:rsidRPr="00B6655F">
        <w:tab/>
      </w:r>
      <w:r w:rsidRPr="00B6655F">
        <w:br/>
      </w:r>
      <w:r w:rsidRPr="00B6655F">
        <w:tab/>
      </w:r>
      <w:r w:rsidRPr="00B6655F">
        <w:br/>
      </w:r>
    </w:p>
    <w:sectPr w:rsidR="00075C77" w:rsidRPr="00B6655F" w:rsidSect="008B7EC7">
      <w:footerReference w:type="default" r:id="rId15"/>
      <w:footerReference w:type="first" r:id="rId16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546" w:rsidRDefault="00C72546" w:rsidP="00075C77">
      <w:pPr>
        <w:spacing w:before="0" w:after="0"/>
      </w:pPr>
      <w:r>
        <w:separator/>
      </w:r>
    </w:p>
  </w:endnote>
  <w:endnote w:type="continuationSeparator" w:id="0">
    <w:p w:rsidR="00C72546" w:rsidRDefault="00C72546" w:rsidP="00075C77">
      <w:pPr>
        <w:spacing w:before="0" w:after="0"/>
      </w:pPr>
      <w:r>
        <w:continuationSeparator/>
      </w:r>
    </w:p>
  </w:endnote>
  <w:endnote w:type="continuationNotice" w:id="1">
    <w:p w:rsidR="00C72546" w:rsidRDefault="00C7254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E18" w:rsidRPr="008B7EC7" w:rsidRDefault="000B2E18" w:rsidP="008B7E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E18" w:rsidRPr="008B7EC7" w:rsidRDefault="008B7EC7" w:rsidP="008B7EC7">
    <w:pPr>
      <w:pStyle w:val="Footer"/>
      <w:rPr>
        <w:rFonts w:ascii="Arial" w:hAnsi="Arial" w:cs="Arial"/>
        <w:b/>
        <w:sz w:val="48"/>
      </w:rPr>
    </w:pPr>
    <w:r w:rsidRPr="008B7EC7">
      <w:rPr>
        <w:rFonts w:ascii="Arial" w:hAnsi="Arial" w:cs="Arial"/>
        <w:b/>
        <w:sz w:val="48"/>
      </w:rPr>
      <w:t>SK</w:t>
    </w:r>
    <w:r w:rsidRPr="008B7EC7">
      <w:rPr>
        <w:rFonts w:ascii="Arial" w:hAnsi="Arial" w:cs="Arial"/>
        <w:b/>
        <w:sz w:val="48"/>
      </w:rPr>
      <w:tab/>
    </w:r>
    <w:r w:rsidRPr="008B7EC7">
      <w:rPr>
        <w:rFonts w:ascii="Arial" w:hAnsi="Arial" w:cs="Arial"/>
        <w:b/>
        <w:sz w:val="48"/>
      </w:rPr>
      <w:tab/>
    </w:r>
    <w:r w:rsidRPr="008B7EC7">
      <w:tab/>
    </w:r>
    <w:r w:rsidRPr="008B7EC7">
      <w:rPr>
        <w:rFonts w:ascii="Arial" w:hAnsi="Arial" w:cs="Arial"/>
        <w:b/>
        <w:sz w:val="48"/>
      </w:rPr>
      <w:t>SK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E18" w:rsidRPr="008B7EC7" w:rsidRDefault="000B2E18" w:rsidP="008B7EC7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C7" w:rsidRPr="008B7EC7" w:rsidRDefault="008B7EC7" w:rsidP="008B7EC7">
    <w:pPr>
      <w:pStyle w:val="Footer"/>
      <w:rPr>
        <w:rFonts w:ascii="Arial" w:hAnsi="Arial" w:cs="Arial"/>
        <w:b/>
        <w:sz w:val="48"/>
      </w:rPr>
    </w:pPr>
    <w:r w:rsidRPr="008B7EC7">
      <w:rPr>
        <w:rFonts w:ascii="Arial" w:hAnsi="Arial" w:cs="Arial"/>
        <w:b/>
        <w:sz w:val="48"/>
      </w:rPr>
      <w:t>SK</w:t>
    </w:r>
    <w:r w:rsidRPr="008B7EC7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 w:rsidRPr="008B7EC7">
      <w:tab/>
    </w:r>
    <w:r w:rsidRPr="008B7EC7">
      <w:rPr>
        <w:rFonts w:ascii="Arial" w:hAnsi="Arial" w:cs="Arial"/>
        <w:b/>
        <w:sz w:val="48"/>
      </w:rPr>
      <w:t>SK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C7" w:rsidRPr="008B7EC7" w:rsidRDefault="008B7EC7" w:rsidP="008B7E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546" w:rsidRDefault="00C72546" w:rsidP="00075C77">
      <w:pPr>
        <w:spacing w:before="0" w:after="0"/>
      </w:pPr>
      <w:r>
        <w:separator/>
      </w:r>
    </w:p>
  </w:footnote>
  <w:footnote w:type="continuationSeparator" w:id="0">
    <w:p w:rsidR="00C72546" w:rsidRDefault="00C72546" w:rsidP="00075C77">
      <w:pPr>
        <w:spacing w:before="0" w:after="0"/>
      </w:pPr>
      <w:r>
        <w:continuationSeparator/>
      </w:r>
    </w:p>
  </w:footnote>
  <w:footnote w:type="continuationNotice" w:id="1">
    <w:p w:rsidR="00C72546" w:rsidRDefault="00C72546">
      <w:pPr>
        <w:spacing w:before="0" w:after="0"/>
      </w:pPr>
    </w:p>
  </w:footnote>
  <w:footnote w:id="2">
    <w:p w:rsidR="00075C77" w:rsidRPr="00264561" w:rsidRDefault="00075C77" w:rsidP="00075C77">
      <w:pPr>
        <w:pStyle w:val="FootnoteText"/>
      </w:pPr>
      <w:r w:rsidRPr="00264561">
        <w:rPr>
          <w:rStyle w:val="FootnoteReference"/>
        </w:rPr>
        <w:footnoteRef/>
      </w:r>
      <w:r w:rsidRPr="00264561">
        <w:tab/>
        <w:t>Ú. v. EÚ L 176, 27.6.2013, s. 1.</w:t>
      </w:r>
    </w:p>
  </w:footnote>
  <w:footnote w:id="3">
    <w:p w:rsidR="00075C77" w:rsidRPr="00264561" w:rsidRDefault="00075C77" w:rsidP="00075C77">
      <w:pPr>
        <w:pStyle w:val="FootnoteText"/>
      </w:pPr>
      <w:r w:rsidRPr="00264561">
        <w:rPr>
          <w:rStyle w:val="FootnoteReference"/>
        </w:rPr>
        <w:footnoteRef/>
      </w:r>
      <w:r w:rsidRPr="00264561">
        <w:tab/>
        <w:t>Vykonávacie nariadenie Komisie (EÚ) č. 680/2014, ktorým sa stanovujú vykonávacie technické predpisy, pokiaľ ide</w:t>
      </w:r>
      <w:r w:rsidR="00264561">
        <w:t xml:space="preserve"> o </w:t>
      </w:r>
      <w:r w:rsidRPr="00264561">
        <w:t>vykazovanie inštitúciami na účely dohľadu podľa nariadenia (EÚ) č. 575/2013 (Ú. v. EÚ L 191, 28.6.2014, s. 1).</w:t>
      </w:r>
    </w:p>
  </w:footnote>
  <w:footnote w:id="4">
    <w:p w:rsidR="00075C77" w:rsidRPr="00264561" w:rsidRDefault="00075C77" w:rsidP="00075C77">
      <w:pPr>
        <w:pStyle w:val="FootnoteText"/>
      </w:pPr>
      <w:r w:rsidRPr="00264561">
        <w:rPr>
          <w:rStyle w:val="FootnoteReference"/>
        </w:rPr>
        <w:footnoteRef/>
      </w:r>
      <w:r w:rsidRPr="00264561">
        <w:tab/>
        <w:t>Delegované nariadenie Komisie (EÚ) 2016/101</w:t>
      </w:r>
      <w:r w:rsidR="00264561">
        <w:t xml:space="preserve"> z </w:t>
      </w:r>
      <w:r w:rsidRPr="00264561">
        <w:t>26</w:t>
      </w:r>
      <w:r w:rsidR="00264561">
        <w:t>. októbra</w:t>
      </w:r>
      <w:r w:rsidRPr="00264561">
        <w:t xml:space="preserve"> 2015, ktorým sa dopĺňa nariadenie Európskeho parlamentu</w:t>
      </w:r>
      <w:r w:rsidR="00264561">
        <w:t xml:space="preserve"> a </w:t>
      </w:r>
      <w:r w:rsidRPr="00264561">
        <w:t>Rady (EÚ) č. 575/2013, pokiaľ ide</w:t>
      </w:r>
      <w:r w:rsidR="00264561">
        <w:t xml:space="preserve"> o </w:t>
      </w:r>
      <w:r w:rsidRPr="00264561">
        <w:t>regulačné technické predpisy týkajúce sa obozretného oceňovania podľa článku 105 ods. 14 (Ú. v. EÚ L 21, 28.1.2016, s. 54).</w:t>
      </w:r>
    </w:p>
  </w:footnote>
  <w:footnote w:id="5">
    <w:p w:rsidR="00075C77" w:rsidRPr="00264561" w:rsidRDefault="00075C77" w:rsidP="00075C77">
      <w:pPr>
        <w:pStyle w:val="FootnoteText"/>
      </w:pPr>
      <w:r w:rsidRPr="00264561">
        <w:rPr>
          <w:rStyle w:val="FootnoteReference"/>
        </w:rPr>
        <w:footnoteRef/>
      </w:r>
      <w:r w:rsidRPr="00264561">
        <w:tab/>
        <w:t>Nariadenie Európskeho parlamentu</w:t>
      </w:r>
      <w:r w:rsidR="00264561">
        <w:t xml:space="preserve"> a </w:t>
      </w:r>
      <w:r w:rsidRPr="00264561">
        <w:t>Rady (EÚ) 2017/2401</w:t>
      </w:r>
      <w:r w:rsidR="00264561">
        <w:t xml:space="preserve"> z </w:t>
      </w:r>
      <w:r w:rsidRPr="00264561">
        <w:t>12</w:t>
      </w:r>
      <w:r w:rsidR="00264561">
        <w:t>. decembra</w:t>
      </w:r>
      <w:r w:rsidRPr="00264561">
        <w:t xml:space="preserve"> 2017, ktorým sa mení nariadenie (EÚ) č. 575/2013</w:t>
      </w:r>
      <w:r w:rsidR="00264561">
        <w:t xml:space="preserve"> o </w:t>
      </w:r>
      <w:r w:rsidRPr="00264561">
        <w:t>prudenciálnych požiadavkách na úverové inštitúcie</w:t>
      </w:r>
      <w:r w:rsidR="00264561">
        <w:t xml:space="preserve"> a </w:t>
      </w:r>
      <w:r w:rsidRPr="00264561">
        <w:t>investičné spoločnosti (Ú. v. EÚ L 347, 28.12.2017, s. 1).</w:t>
      </w:r>
    </w:p>
  </w:footnote>
  <w:footnote w:id="6">
    <w:p w:rsidR="00075C77" w:rsidRPr="00264561" w:rsidRDefault="00075C77" w:rsidP="00075C77">
      <w:pPr>
        <w:pStyle w:val="FootnoteText"/>
      </w:pPr>
      <w:r w:rsidRPr="00264561">
        <w:rPr>
          <w:rStyle w:val="FootnoteReference"/>
        </w:rPr>
        <w:footnoteRef/>
      </w:r>
      <w:r w:rsidRPr="00264561">
        <w:tab/>
        <w:t>Nariadenie Európskeho parlamentu</w:t>
      </w:r>
      <w:r w:rsidR="00264561">
        <w:t xml:space="preserve"> a </w:t>
      </w:r>
      <w:r w:rsidRPr="00264561">
        <w:t>Rady (EÚ) č. 1093/2010</w:t>
      </w:r>
      <w:r w:rsidR="00264561">
        <w:t xml:space="preserve"> z </w:t>
      </w:r>
      <w:r w:rsidRPr="00264561">
        <w:t>24</w:t>
      </w:r>
      <w:r w:rsidR="00264561">
        <w:t>. novembra</w:t>
      </w:r>
      <w:r w:rsidRPr="00264561">
        <w:t xml:space="preserve"> 2010, ktorým sa zriaďuje Európsky orgán dohľadu (Európsky orgán pre bankovníctvo)</w:t>
      </w:r>
      <w:r w:rsidR="00264561">
        <w:t xml:space="preserve"> a </w:t>
      </w:r>
      <w:r w:rsidRPr="00264561">
        <w:t>ktorým sa mení</w:t>
      </w:r>
      <w:r w:rsidR="00264561">
        <w:t xml:space="preserve"> a </w:t>
      </w:r>
      <w:r w:rsidR="000B2E18">
        <w:t>dopĺňa rozhodnutie č. </w:t>
      </w:r>
      <w:r w:rsidRPr="00264561">
        <w:t>716/2009/ES</w:t>
      </w:r>
      <w:r w:rsidR="00264561">
        <w:t xml:space="preserve"> a </w:t>
      </w:r>
      <w:r w:rsidRPr="00264561">
        <w:t>zrušuje rozhodnutie Komisie 2009/78/ES (Ú. v. EÚ L 331, 15.12.2010, s. 12).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E18" w:rsidRPr="008B7EC7" w:rsidRDefault="000B2E18" w:rsidP="008B7E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E18" w:rsidRPr="008B7EC7" w:rsidRDefault="000B2E18" w:rsidP="008B7EC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E18" w:rsidRPr="008B7EC7" w:rsidRDefault="000B2E18" w:rsidP="008B7E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4CB058C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E3F2410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02C6A41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723AA59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3356B93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0D445FA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E186842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2C1EE9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1"/>
    <w:lvlOverride w:ilvl="0">
      <w:startOverride w:val="1"/>
    </w:lvlOverride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18"/>
  </w:num>
  <w:num w:numId="11">
    <w:abstractNumId w:val="12"/>
  </w:num>
  <w:num w:numId="12">
    <w:abstractNumId w:val="20"/>
  </w:num>
  <w:num w:numId="13">
    <w:abstractNumId w:val="11"/>
  </w:num>
  <w:num w:numId="14">
    <w:abstractNumId w:val="13"/>
  </w:num>
  <w:num w:numId="15">
    <w:abstractNumId w:val="9"/>
  </w:num>
  <w:num w:numId="16">
    <w:abstractNumId w:val="19"/>
  </w:num>
  <w:num w:numId="17">
    <w:abstractNumId w:val="8"/>
  </w:num>
  <w:num w:numId="18">
    <w:abstractNumId w:val="14"/>
  </w:num>
  <w:num w:numId="19">
    <w:abstractNumId w:val="16"/>
  </w:num>
  <w:num w:numId="20">
    <w:abstractNumId w:val="17"/>
  </w:num>
  <w:num w:numId="21">
    <w:abstractNumId w:val="10"/>
  </w:num>
  <w:num w:numId="22">
    <w:abstractNumId w:val="15"/>
  </w:num>
  <w:num w:numId="23">
    <w:abstractNumId w:val="21"/>
  </w:num>
  <w:num w:numId="24">
    <w:abstractNumId w:val="18"/>
  </w:num>
  <w:num w:numId="25">
    <w:abstractNumId w:val="12"/>
  </w:num>
  <w:num w:numId="26">
    <w:abstractNumId w:val="20"/>
  </w:num>
  <w:num w:numId="27">
    <w:abstractNumId w:val="11"/>
  </w:num>
  <w:num w:numId="28">
    <w:abstractNumId w:val="13"/>
  </w:num>
  <w:num w:numId="29">
    <w:abstractNumId w:val="9"/>
  </w:num>
  <w:num w:numId="30">
    <w:abstractNumId w:val="19"/>
  </w:num>
  <w:num w:numId="31">
    <w:abstractNumId w:val="8"/>
  </w:num>
  <w:num w:numId="32">
    <w:abstractNumId w:val="14"/>
  </w:num>
  <w:num w:numId="33">
    <w:abstractNumId w:val="16"/>
  </w:num>
  <w:num w:numId="34">
    <w:abstractNumId w:val="17"/>
  </w:num>
  <w:num w:numId="35">
    <w:abstractNumId w:val="10"/>
  </w:num>
  <w:num w:numId="36">
    <w:abstractNumId w:val="15"/>
  </w:num>
  <w:num w:numId="37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attachedTemplate r:id="rId1"/>
  <w:defaultTabStop w:val="720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QCDateTime" w:val="2018-09-20 09:59:31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2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B17DEAAD-1A18-4F73-A0B4-E7C6ADF969E3"/>
    <w:docVar w:name="LW_COVERPAGE_TYPE" w:val="1"/>
    <w:docVar w:name="LW_CROSSREFERENCE" w:val="&lt;UNUSED&gt;"/>
    <w:docVar w:name="LW_DATE.ADOPT.CP" w:val="z XXX,"/>
    <w:docVar w:name="LW_DATE.ADOPT.CP_DATEFORMAT" w:val="z %DATE%,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V Bruseli"/>
    <w:docVar w:name="LW_EMISSION_SUFFIX" w:val="&lt;EMPTY&gt;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xt s významom pre EHP)"/>
    <w:docVar w:name="LW_LANGUE" w:val="SK"/>
    <w:docVar w:name="LW_LANGUESFAISANTFOI.CP" w:val="&lt;UNUSED&gt;"/>
    <w:docVar w:name="LW_LEVEL_OF_SENSITIVITY" w:val="Standard treatment"/>
    <w:docVar w:name="LW_NOM.INST" w:val="EURÓPSKA KOMISI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8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 xsi:nil=&quot;true&quot; /&gt;_x000d__x000a_  &lt;limited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footnote xsi:nil=&quot;true&quot; /&gt;_x000d__x000a_  &lt;isRestricted&gt;false&lt;/isRestricted&gt;_x000d__x000a_&lt;/SensitivityLevel&gt;"/>
    <w:docVar w:name="LW_SUPERTITRE" w:val="&lt;UNUSED&gt;"/>
    <w:docVar w:name="LW_TITRE.OBJ.CP" w:val="ktorým sa mení vykonávacie nariadenie (EÚ) \u269?. 680/2014, pokia\u318? ide o obozretné oce\u328?ovanie na vykazovanie na ú\u269?ely doh\u318?adu"/>
    <w:docVar w:name="LW_TYPE.DOC.CP" w:val="VYKONÁVACIE NARIADENIE KOMISIE (EÚ) \u8230?/..."/>
  </w:docVars>
  <w:rsids>
    <w:rsidRoot w:val="00075C77"/>
    <w:rsid w:val="000057D4"/>
    <w:rsid w:val="000059F6"/>
    <w:rsid w:val="00045213"/>
    <w:rsid w:val="00050818"/>
    <w:rsid w:val="00054D77"/>
    <w:rsid w:val="00075C77"/>
    <w:rsid w:val="000B1896"/>
    <w:rsid w:val="000B2E18"/>
    <w:rsid w:val="000B6375"/>
    <w:rsid w:val="000D4A87"/>
    <w:rsid w:val="000E01B6"/>
    <w:rsid w:val="00114009"/>
    <w:rsid w:val="0011702C"/>
    <w:rsid w:val="00153178"/>
    <w:rsid w:val="00161D7B"/>
    <w:rsid w:val="00183733"/>
    <w:rsid w:val="00187556"/>
    <w:rsid w:val="00195568"/>
    <w:rsid w:val="001B4957"/>
    <w:rsid w:val="001B7B9B"/>
    <w:rsid w:val="001D5ED6"/>
    <w:rsid w:val="002368E9"/>
    <w:rsid w:val="00245E42"/>
    <w:rsid w:val="00254390"/>
    <w:rsid w:val="00264561"/>
    <w:rsid w:val="00270069"/>
    <w:rsid w:val="002B2B93"/>
    <w:rsid w:val="002B7A5C"/>
    <w:rsid w:val="002C0C3E"/>
    <w:rsid w:val="002E30FD"/>
    <w:rsid w:val="002E476B"/>
    <w:rsid w:val="002F2F88"/>
    <w:rsid w:val="00316051"/>
    <w:rsid w:val="00322268"/>
    <w:rsid w:val="00337032"/>
    <w:rsid w:val="00345BFD"/>
    <w:rsid w:val="00352527"/>
    <w:rsid w:val="003805E1"/>
    <w:rsid w:val="003C1FB8"/>
    <w:rsid w:val="003C4B9E"/>
    <w:rsid w:val="003D0541"/>
    <w:rsid w:val="003D2AE0"/>
    <w:rsid w:val="003E1023"/>
    <w:rsid w:val="004739C1"/>
    <w:rsid w:val="004A2CE3"/>
    <w:rsid w:val="004B24D6"/>
    <w:rsid w:val="004D6264"/>
    <w:rsid w:val="004D64A2"/>
    <w:rsid w:val="004D69DD"/>
    <w:rsid w:val="004F48E0"/>
    <w:rsid w:val="004F6673"/>
    <w:rsid w:val="00550B8C"/>
    <w:rsid w:val="00556044"/>
    <w:rsid w:val="00591517"/>
    <w:rsid w:val="005D7539"/>
    <w:rsid w:val="006063E0"/>
    <w:rsid w:val="00606A63"/>
    <w:rsid w:val="00611636"/>
    <w:rsid w:val="00635D8A"/>
    <w:rsid w:val="00644EC4"/>
    <w:rsid w:val="006572EF"/>
    <w:rsid w:val="00683624"/>
    <w:rsid w:val="00686C9B"/>
    <w:rsid w:val="00693969"/>
    <w:rsid w:val="006B0779"/>
    <w:rsid w:val="006C1BB8"/>
    <w:rsid w:val="006C3766"/>
    <w:rsid w:val="006D1109"/>
    <w:rsid w:val="006D4BD3"/>
    <w:rsid w:val="006E6DF9"/>
    <w:rsid w:val="00703993"/>
    <w:rsid w:val="007137E5"/>
    <w:rsid w:val="0079753D"/>
    <w:rsid w:val="007A11B0"/>
    <w:rsid w:val="007A5482"/>
    <w:rsid w:val="007A7250"/>
    <w:rsid w:val="007D178B"/>
    <w:rsid w:val="007E3D3C"/>
    <w:rsid w:val="007F22F0"/>
    <w:rsid w:val="007F7024"/>
    <w:rsid w:val="00832BE2"/>
    <w:rsid w:val="008548F9"/>
    <w:rsid w:val="00856A5A"/>
    <w:rsid w:val="00861E33"/>
    <w:rsid w:val="00876EF2"/>
    <w:rsid w:val="00877878"/>
    <w:rsid w:val="008831F5"/>
    <w:rsid w:val="00886F23"/>
    <w:rsid w:val="00894D1D"/>
    <w:rsid w:val="00896C0C"/>
    <w:rsid w:val="008A4D11"/>
    <w:rsid w:val="008B38C4"/>
    <w:rsid w:val="008B7EC7"/>
    <w:rsid w:val="008D3748"/>
    <w:rsid w:val="008D77DF"/>
    <w:rsid w:val="008F190E"/>
    <w:rsid w:val="008F3946"/>
    <w:rsid w:val="00907ADD"/>
    <w:rsid w:val="00917415"/>
    <w:rsid w:val="009206F0"/>
    <w:rsid w:val="00926443"/>
    <w:rsid w:val="00930743"/>
    <w:rsid w:val="009743F5"/>
    <w:rsid w:val="009848BD"/>
    <w:rsid w:val="009856E0"/>
    <w:rsid w:val="009A0F50"/>
    <w:rsid w:val="009A41B1"/>
    <w:rsid w:val="009A5117"/>
    <w:rsid w:val="009D1315"/>
    <w:rsid w:val="009D2666"/>
    <w:rsid w:val="00A011C2"/>
    <w:rsid w:val="00A44BB4"/>
    <w:rsid w:val="00A729A6"/>
    <w:rsid w:val="00A9549D"/>
    <w:rsid w:val="00AB57B6"/>
    <w:rsid w:val="00AB7C3D"/>
    <w:rsid w:val="00AE410E"/>
    <w:rsid w:val="00AF5D3B"/>
    <w:rsid w:val="00B356A6"/>
    <w:rsid w:val="00B37490"/>
    <w:rsid w:val="00B4358B"/>
    <w:rsid w:val="00B44BBC"/>
    <w:rsid w:val="00B6250D"/>
    <w:rsid w:val="00B6655F"/>
    <w:rsid w:val="00B8279F"/>
    <w:rsid w:val="00BB074E"/>
    <w:rsid w:val="00BC47EF"/>
    <w:rsid w:val="00BC5893"/>
    <w:rsid w:val="00BD6B06"/>
    <w:rsid w:val="00BD7EE1"/>
    <w:rsid w:val="00C1057D"/>
    <w:rsid w:val="00C34F30"/>
    <w:rsid w:val="00C3699D"/>
    <w:rsid w:val="00C36E0D"/>
    <w:rsid w:val="00C52F7E"/>
    <w:rsid w:val="00C72546"/>
    <w:rsid w:val="00C96B0B"/>
    <w:rsid w:val="00CC5469"/>
    <w:rsid w:val="00CC5EB8"/>
    <w:rsid w:val="00CE0EEF"/>
    <w:rsid w:val="00CE607F"/>
    <w:rsid w:val="00D0288C"/>
    <w:rsid w:val="00D07548"/>
    <w:rsid w:val="00D262BE"/>
    <w:rsid w:val="00D34F59"/>
    <w:rsid w:val="00D4733C"/>
    <w:rsid w:val="00D73215"/>
    <w:rsid w:val="00D826FC"/>
    <w:rsid w:val="00D87087"/>
    <w:rsid w:val="00DA1A91"/>
    <w:rsid w:val="00DA432F"/>
    <w:rsid w:val="00DB10A0"/>
    <w:rsid w:val="00DB10E3"/>
    <w:rsid w:val="00DD2DC1"/>
    <w:rsid w:val="00DE2170"/>
    <w:rsid w:val="00DF3CD5"/>
    <w:rsid w:val="00DF7E7B"/>
    <w:rsid w:val="00E16CC1"/>
    <w:rsid w:val="00E33FC2"/>
    <w:rsid w:val="00E47203"/>
    <w:rsid w:val="00E85657"/>
    <w:rsid w:val="00EA38CD"/>
    <w:rsid w:val="00EA666D"/>
    <w:rsid w:val="00EC3C0C"/>
    <w:rsid w:val="00F1082F"/>
    <w:rsid w:val="00F17515"/>
    <w:rsid w:val="00F2304B"/>
    <w:rsid w:val="00F351E1"/>
    <w:rsid w:val="00F4523F"/>
    <w:rsid w:val="00F673EC"/>
    <w:rsid w:val="00F76AFA"/>
    <w:rsid w:val="00F847AC"/>
    <w:rsid w:val="00FA4EBB"/>
    <w:rsid w:val="00FA5963"/>
    <w:rsid w:val="00FB319D"/>
    <w:rsid w:val="00FC4E75"/>
    <w:rsid w:val="00FE3E26"/>
    <w:rsid w:val="00FE50BF"/>
    <w:rsid w:val="00FE5C4A"/>
    <w:rsid w:val="00FE5CC0"/>
    <w:rsid w:val="00FF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sk-SK"/>
    </w:rPr>
  </w:style>
  <w:style w:type="paragraph" w:styleId="Heading1">
    <w:name w:val="heading 1"/>
    <w:basedOn w:val="Normal"/>
    <w:next w:val="Text1"/>
    <w:link w:val="Heading1Char"/>
    <w:uiPriority w:val="9"/>
    <w:qFormat/>
    <w:rsid w:val="00877878"/>
    <w:pPr>
      <w:keepNext/>
      <w:numPr>
        <w:numId w:val="30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877878"/>
    <w:pPr>
      <w:keepNext/>
      <w:numPr>
        <w:ilvl w:val="1"/>
        <w:numId w:val="30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877878"/>
    <w:pPr>
      <w:keepNext/>
      <w:numPr>
        <w:ilvl w:val="2"/>
        <w:numId w:val="30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877878"/>
    <w:pPr>
      <w:keepNext/>
      <w:numPr>
        <w:ilvl w:val="3"/>
        <w:numId w:val="30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4">
    <w:name w:val="List Number 4"/>
    <w:basedOn w:val="Normal"/>
    <w:rsid w:val="00075C77"/>
    <w:pPr>
      <w:numPr>
        <w:numId w:val="2"/>
      </w:numPr>
    </w:pPr>
    <w:rPr>
      <w:rFonts w:eastAsia="Times New Roman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607F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E607F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CE607F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E607F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E607F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E607F"/>
    <w:pPr>
      <w:numPr>
        <w:numId w:val="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CE607F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E607F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E607F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2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2C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2CE3"/>
    <w:rPr>
      <w:rFonts w:ascii="Times New Roman" w:hAnsi="Times New Roman" w:cs="Times New Roman"/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2C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2CE3"/>
    <w:rPr>
      <w:rFonts w:ascii="Times New Roman" w:hAnsi="Times New Roman" w:cs="Times New Roman"/>
      <w:b/>
      <w:bCs/>
      <w:sz w:val="20"/>
      <w:szCs w:val="20"/>
      <w:lang w:val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CE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CE3"/>
    <w:rPr>
      <w:rFonts w:ascii="Segoe UI" w:hAnsi="Segoe UI" w:cs="Segoe UI"/>
      <w:sz w:val="18"/>
      <w:szCs w:val="18"/>
      <w:lang w:val="sk-SK"/>
    </w:rPr>
  </w:style>
  <w:style w:type="character" w:styleId="Hyperlink">
    <w:name w:val="Hyperlink"/>
    <w:basedOn w:val="DefaultParagraphFont"/>
    <w:uiPriority w:val="99"/>
    <w:unhideWhenUsed/>
    <w:rsid w:val="004A2CE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86C9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7787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87787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787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787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877878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878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878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7878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87787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87787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87787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87787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87787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FooterSensitivity">
    <w:name w:val="Foot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877878"/>
    <w:pPr>
      <w:ind w:left="850"/>
    </w:pPr>
  </w:style>
  <w:style w:type="paragraph" w:customStyle="1" w:styleId="Text2">
    <w:name w:val="Text 2"/>
    <w:basedOn w:val="Normal"/>
    <w:rsid w:val="00877878"/>
    <w:pPr>
      <w:ind w:left="1417"/>
    </w:pPr>
  </w:style>
  <w:style w:type="paragraph" w:customStyle="1" w:styleId="Text3">
    <w:name w:val="Text 3"/>
    <w:basedOn w:val="Normal"/>
    <w:rsid w:val="00877878"/>
    <w:pPr>
      <w:ind w:left="1984"/>
    </w:pPr>
  </w:style>
  <w:style w:type="paragraph" w:customStyle="1" w:styleId="Text4">
    <w:name w:val="Text 4"/>
    <w:basedOn w:val="Normal"/>
    <w:rsid w:val="00877878"/>
    <w:pPr>
      <w:ind w:left="2551"/>
    </w:pPr>
  </w:style>
  <w:style w:type="paragraph" w:customStyle="1" w:styleId="NormalCentered">
    <w:name w:val="Normal Centered"/>
    <w:basedOn w:val="Normal"/>
    <w:rsid w:val="00877878"/>
    <w:pPr>
      <w:jc w:val="center"/>
    </w:pPr>
  </w:style>
  <w:style w:type="paragraph" w:customStyle="1" w:styleId="NormalLeft">
    <w:name w:val="Normal Left"/>
    <w:basedOn w:val="Normal"/>
    <w:rsid w:val="00877878"/>
    <w:pPr>
      <w:jc w:val="left"/>
    </w:pPr>
  </w:style>
  <w:style w:type="paragraph" w:customStyle="1" w:styleId="NormalRight">
    <w:name w:val="Normal Right"/>
    <w:basedOn w:val="Normal"/>
    <w:rsid w:val="00877878"/>
    <w:pPr>
      <w:jc w:val="right"/>
    </w:pPr>
  </w:style>
  <w:style w:type="paragraph" w:customStyle="1" w:styleId="QuotedText">
    <w:name w:val="Quoted Text"/>
    <w:basedOn w:val="Normal"/>
    <w:rsid w:val="00877878"/>
    <w:pPr>
      <w:ind w:left="1417"/>
    </w:pPr>
  </w:style>
  <w:style w:type="paragraph" w:customStyle="1" w:styleId="Point0">
    <w:name w:val="Point 0"/>
    <w:basedOn w:val="Normal"/>
    <w:rsid w:val="00877878"/>
    <w:pPr>
      <w:ind w:left="850" w:hanging="850"/>
    </w:pPr>
  </w:style>
  <w:style w:type="paragraph" w:customStyle="1" w:styleId="Point1">
    <w:name w:val="Point 1"/>
    <w:basedOn w:val="Normal"/>
    <w:rsid w:val="00877878"/>
    <w:pPr>
      <w:ind w:left="1417" w:hanging="567"/>
    </w:pPr>
  </w:style>
  <w:style w:type="paragraph" w:customStyle="1" w:styleId="Point2">
    <w:name w:val="Point 2"/>
    <w:basedOn w:val="Normal"/>
    <w:rsid w:val="00877878"/>
    <w:pPr>
      <w:ind w:left="1984" w:hanging="567"/>
    </w:pPr>
  </w:style>
  <w:style w:type="paragraph" w:customStyle="1" w:styleId="Point3">
    <w:name w:val="Point 3"/>
    <w:basedOn w:val="Normal"/>
    <w:rsid w:val="00877878"/>
    <w:pPr>
      <w:ind w:left="2551" w:hanging="567"/>
    </w:pPr>
  </w:style>
  <w:style w:type="paragraph" w:customStyle="1" w:styleId="Point4">
    <w:name w:val="Point 4"/>
    <w:basedOn w:val="Normal"/>
    <w:rsid w:val="00877878"/>
    <w:pPr>
      <w:ind w:left="3118" w:hanging="567"/>
    </w:pPr>
  </w:style>
  <w:style w:type="paragraph" w:customStyle="1" w:styleId="Tiret0">
    <w:name w:val="Tiret 0"/>
    <w:basedOn w:val="Point0"/>
    <w:rsid w:val="00877878"/>
    <w:pPr>
      <w:numPr>
        <w:numId w:val="24"/>
      </w:numPr>
    </w:pPr>
  </w:style>
  <w:style w:type="paragraph" w:customStyle="1" w:styleId="Tiret1">
    <w:name w:val="Tiret 1"/>
    <w:basedOn w:val="Point1"/>
    <w:rsid w:val="00877878"/>
    <w:pPr>
      <w:numPr>
        <w:numId w:val="25"/>
      </w:numPr>
    </w:pPr>
  </w:style>
  <w:style w:type="paragraph" w:customStyle="1" w:styleId="Tiret2">
    <w:name w:val="Tiret 2"/>
    <w:basedOn w:val="Point2"/>
    <w:rsid w:val="00877878"/>
    <w:pPr>
      <w:numPr>
        <w:numId w:val="26"/>
      </w:numPr>
    </w:pPr>
  </w:style>
  <w:style w:type="paragraph" w:customStyle="1" w:styleId="Tiret3">
    <w:name w:val="Tiret 3"/>
    <w:basedOn w:val="Point3"/>
    <w:rsid w:val="00877878"/>
    <w:pPr>
      <w:numPr>
        <w:numId w:val="27"/>
      </w:numPr>
    </w:pPr>
  </w:style>
  <w:style w:type="paragraph" w:customStyle="1" w:styleId="Tiret4">
    <w:name w:val="Tiret 4"/>
    <w:basedOn w:val="Point4"/>
    <w:rsid w:val="00877878"/>
    <w:pPr>
      <w:numPr>
        <w:numId w:val="28"/>
      </w:numPr>
    </w:pPr>
  </w:style>
  <w:style w:type="paragraph" w:customStyle="1" w:styleId="PointDouble0">
    <w:name w:val="PointDouble 0"/>
    <w:basedOn w:val="Normal"/>
    <w:rsid w:val="0087787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87787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87787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87787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87787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87787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87787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87787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87787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87787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877878"/>
    <w:pPr>
      <w:numPr>
        <w:numId w:val="29"/>
      </w:numPr>
    </w:pPr>
  </w:style>
  <w:style w:type="paragraph" w:customStyle="1" w:styleId="NumPar2">
    <w:name w:val="NumPar 2"/>
    <w:basedOn w:val="Normal"/>
    <w:next w:val="Text1"/>
    <w:rsid w:val="00877878"/>
    <w:pPr>
      <w:numPr>
        <w:ilvl w:val="1"/>
        <w:numId w:val="29"/>
      </w:numPr>
    </w:pPr>
  </w:style>
  <w:style w:type="paragraph" w:customStyle="1" w:styleId="NumPar3">
    <w:name w:val="NumPar 3"/>
    <w:basedOn w:val="Normal"/>
    <w:next w:val="Text1"/>
    <w:rsid w:val="00877878"/>
    <w:pPr>
      <w:numPr>
        <w:ilvl w:val="2"/>
        <w:numId w:val="29"/>
      </w:numPr>
    </w:pPr>
  </w:style>
  <w:style w:type="paragraph" w:customStyle="1" w:styleId="NumPar4">
    <w:name w:val="NumPar 4"/>
    <w:basedOn w:val="Normal"/>
    <w:next w:val="Text1"/>
    <w:rsid w:val="00877878"/>
    <w:pPr>
      <w:numPr>
        <w:ilvl w:val="3"/>
        <w:numId w:val="29"/>
      </w:numPr>
    </w:pPr>
  </w:style>
  <w:style w:type="paragraph" w:customStyle="1" w:styleId="ManualNumPar1">
    <w:name w:val="Manual NumPar 1"/>
    <w:basedOn w:val="Normal"/>
    <w:next w:val="Text1"/>
    <w:rsid w:val="0087787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87787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87787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877878"/>
    <w:pPr>
      <w:ind w:left="850" w:hanging="850"/>
    </w:pPr>
  </w:style>
  <w:style w:type="paragraph" w:customStyle="1" w:styleId="QuotedNumPar">
    <w:name w:val="Quoted NumPar"/>
    <w:basedOn w:val="Normal"/>
    <w:rsid w:val="0087787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87787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87787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87787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87787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87787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87787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87787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877878"/>
    <w:pPr>
      <w:jc w:val="center"/>
    </w:pPr>
    <w:rPr>
      <w:b/>
    </w:rPr>
  </w:style>
  <w:style w:type="character" w:customStyle="1" w:styleId="Marker">
    <w:name w:val="Marker"/>
    <w:basedOn w:val="DefaultParagraphFont"/>
    <w:rsid w:val="0087787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87787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87787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877878"/>
    <w:pPr>
      <w:numPr>
        <w:numId w:val="31"/>
      </w:numPr>
    </w:pPr>
  </w:style>
  <w:style w:type="paragraph" w:customStyle="1" w:styleId="Point1number">
    <w:name w:val="Point 1 (number)"/>
    <w:basedOn w:val="Normal"/>
    <w:rsid w:val="00877878"/>
    <w:pPr>
      <w:numPr>
        <w:ilvl w:val="2"/>
        <w:numId w:val="31"/>
      </w:numPr>
    </w:pPr>
  </w:style>
  <w:style w:type="paragraph" w:customStyle="1" w:styleId="Point2number">
    <w:name w:val="Point 2 (number)"/>
    <w:basedOn w:val="Normal"/>
    <w:rsid w:val="00877878"/>
    <w:pPr>
      <w:numPr>
        <w:ilvl w:val="4"/>
        <w:numId w:val="31"/>
      </w:numPr>
    </w:pPr>
  </w:style>
  <w:style w:type="paragraph" w:customStyle="1" w:styleId="Point3number">
    <w:name w:val="Point 3 (number)"/>
    <w:basedOn w:val="Normal"/>
    <w:rsid w:val="00877878"/>
    <w:pPr>
      <w:numPr>
        <w:ilvl w:val="6"/>
        <w:numId w:val="31"/>
      </w:numPr>
    </w:pPr>
  </w:style>
  <w:style w:type="paragraph" w:customStyle="1" w:styleId="Point0letter">
    <w:name w:val="Point 0 (letter)"/>
    <w:basedOn w:val="Normal"/>
    <w:rsid w:val="00877878"/>
    <w:pPr>
      <w:numPr>
        <w:ilvl w:val="1"/>
        <w:numId w:val="31"/>
      </w:numPr>
    </w:pPr>
  </w:style>
  <w:style w:type="paragraph" w:customStyle="1" w:styleId="Point1letter">
    <w:name w:val="Point 1 (letter)"/>
    <w:basedOn w:val="Normal"/>
    <w:rsid w:val="00877878"/>
    <w:pPr>
      <w:numPr>
        <w:ilvl w:val="3"/>
        <w:numId w:val="31"/>
      </w:numPr>
    </w:pPr>
  </w:style>
  <w:style w:type="paragraph" w:customStyle="1" w:styleId="Point2letter">
    <w:name w:val="Point 2 (letter)"/>
    <w:basedOn w:val="Normal"/>
    <w:rsid w:val="00877878"/>
    <w:pPr>
      <w:numPr>
        <w:ilvl w:val="5"/>
        <w:numId w:val="31"/>
      </w:numPr>
    </w:pPr>
  </w:style>
  <w:style w:type="paragraph" w:customStyle="1" w:styleId="Point3letter">
    <w:name w:val="Point 3 (letter)"/>
    <w:basedOn w:val="Normal"/>
    <w:rsid w:val="00877878"/>
    <w:pPr>
      <w:numPr>
        <w:ilvl w:val="7"/>
        <w:numId w:val="31"/>
      </w:numPr>
    </w:pPr>
  </w:style>
  <w:style w:type="paragraph" w:customStyle="1" w:styleId="Point4letter">
    <w:name w:val="Point 4 (letter)"/>
    <w:basedOn w:val="Normal"/>
    <w:rsid w:val="00877878"/>
    <w:pPr>
      <w:numPr>
        <w:ilvl w:val="8"/>
        <w:numId w:val="31"/>
      </w:numPr>
    </w:pPr>
  </w:style>
  <w:style w:type="paragraph" w:customStyle="1" w:styleId="Bullet0">
    <w:name w:val="Bullet 0"/>
    <w:basedOn w:val="Normal"/>
    <w:rsid w:val="00877878"/>
    <w:pPr>
      <w:numPr>
        <w:numId w:val="32"/>
      </w:numPr>
    </w:pPr>
  </w:style>
  <w:style w:type="paragraph" w:customStyle="1" w:styleId="Bullet1">
    <w:name w:val="Bullet 1"/>
    <w:basedOn w:val="Normal"/>
    <w:rsid w:val="00877878"/>
    <w:pPr>
      <w:numPr>
        <w:numId w:val="33"/>
      </w:numPr>
    </w:pPr>
  </w:style>
  <w:style w:type="paragraph" w:customStyle="1" w:styleId="Bullet2">
    <w:name w:val="Bullet 2"/>
    <w:basedOn w:val="Normal"/>
    <w:rsid w:val="00877878"/>
    <w:pPr>
      <w:numPr>
        <w:numId w:val="34"/>
      </w:numPr>
    </w:pPr>
  </w:style>
  <w:style w:type="paragraph" w:customStyle="1" w:styleId="Bullet3">
    <w:name w:val="Bullet 3"/>
    <w:basedOn w:val="Normal"/>
    <w:rsid w:val="00877878"/>
    <w:pPr>
      <w:numPr>
        <w:numId w:val="35"/>
      </w:numPr>
    </w:pPr>
  </w:style>
  <w:style w:type="paragraph" w:customStyle="1" w:styleId="Bullet4">
    <w:name w:val="Bullet 4"/>
    <w:basedOn w:val="Normal"/>
    <w:rsid w:val="00877878"/>
    <w:pPr>
      <w:numPr>
        <w:numId w:val="36"/>
      </w:numPr>
    </w:pPr>
  </w:style>
  <w:style w:type="paragraph" w:customStyle="1" w:styleId="Langue">
    <w:name w:val="Langue"/>
    <w:basedOn w:val="Normal"/>
    <w:next w:val="Rfrenceinterne"/>
    <w:rsid w:val="0087787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87787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87787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87787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877878"/>
    <w:pPr>
      <w:spacing w:before="0" w:after="0"/>
    </w:pPr>
  </w:style>
  <w:style w:type="paragraph" w:customStyle="1" w:styleId="Disclaimer">
    <w:name w:val="Disclaimer"/>
    <w:basedOn w:val="Normal"/>
    <w:rsid w:val="0087787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87787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87787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87787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87787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877878"/>
    <w:pPr>
      <w:numPr>
        <w:numId w:val="37"/>
      </w:numPr>
    </w:pPr>
  </w:style>
  <w:style w:type="paragraph" w:customStyle="1" w:styleId="Corrigendum">
    <w:name w:val="Corrigendum"/>
    <w:basedOn w:val="Normal"/>
    <w:next w:val="Normal"/>
    <w:rsid w:val="0087787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87787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87787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877878"/>
    <w:pPr>
      <w:keepNext/>
    </w:pPr>
  </w:style>
  <w:style w:type="paragraph" w:customStyle="1" w:styleId="Institutionquiagit">
    <w:name w:val="Institution qui agit"/>
    <w:basedOn w:val="Normal"/>
    <w:next w:val="Normal"/>
    <w:rsid w:val="0087787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87787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87787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87787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87787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87787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87787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87787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87787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87787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87787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87787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87787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877878"/>
    <w:rPr>
      <w:i/>
      <w:caps/>
    </w:rPr>
  </w:style>
  <w:style w:type="paragraph" w:customStyle="1" w:styleId="Supertitre">
    <w:name w:val="Supertitre"/>
    <w:basedOn w:val="Normal"/>
    <w:next w:val="Normal"/>
    <w:rsid w:val="0087787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87787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87787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87787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877878"/>
  </w:style>
  <w:style w:type="paragraph" w:customStyle="1" w:styleId="StatutPagedecouverture">
    <w:name w:val="Statut (Page de couverture)"/>
    <w:basedOn w:val="Statut"/>
    <w:next w:val="TypedudocumentPagedecouverture"/>
    <w:rsid w:val="00877878"/>
  </w:style>
  <w:style w:type="paragraph" w:customStyle="1" w:styleId="TitreobjetPagedecouverture">
    <w:name w:val="Titre objet (Page de couverture)"/>
    <w:basedOn w:val="Titreobjet"/>
    <w:next w:val="IntrtEEEPagedecouverture"/>
    <w:rsid w:val="0087787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877878"/>
  </w:style>
  <w:style w:type="paragraph" w:customStyle="1" w:styleId="Volume">
    <w:name w:val="Volum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877878"/>
    <w:pPr>
      <w:spacing w:after="240"/>
    </w:pPr>
  </w:style>
  <w:style w:type="paragraph" w:customStyle="1" w:styleId="Accompagnant">
    <w:name w:val="Accompagnant"/>
    <w:basedOn w:val="Normal"/>
    <w:next w:val="Typeacteprincipal"/>
    <w:rsid w:val="0087787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87787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87787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877878"/>
  </w:style>
  <w:style w:type="paragraph" w:customStyle="1" w:styleId="AccompagnantPagedecouverture">
    <w:name w:val="Accompagnant (Page de couverture)"/>
    <w:basedOn w:val="Accompagnant"/>
    <w:next w:val="TypeacteprincipalPagedecouverture"/>
    <w:rsid w:val="0087787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877878"/>
  </w:style>
  <w:style w:type="paragraph" w:customStyle="1" w:styleId="ObjetacteprincipalPagedecouverture">
    <w:name w:val="Objet acte principal (Page de couverture)"/>
    <w:basedOn w:val="Objetacteprincipal"/>
    <w:next w:val="Rfrencecroise"/>
    <w:rsid w:val="00877878"/>
  </w:style>
  <w:style w:type="paragraph" w:customStyle="1" w:styleId="LanguesfaisantfoiPagedecouverture">
    <w:name w:val="Langues faisant foi (Page de couverture)"/>
    <w:basedOn w:val="Normal"/>
    <w:next w:val="Normal"/>
    <w:rsid w:val="00877878"/>
    <w:pPr>
      <w:spacing w:before="360" w:after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sk-SK"/>
    </w:rPr>
  </w:style>
  <w:style w:type="paragraph" w:styleId="Heading1">
    <w:name w:val="heading 1"/>
    <w:basedOn w:val="Normal"/>
    <w:next w:val="Text1"/>
    <w:link w:val="Heading1Char"/>
    <w:uiPriority w:val="9"/>
    <w:qFormat/>
    <w:rsid w:val="00877878"/>
    <w:pPr>
      <w:keepNext/>
      <w:numPr>
        <w:numId w:val="30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877878"/>
    <w:pPr>
      <w:keepNext/>
      <w:numPr>
        <w:ilvl w:val="1"/>
        <w:numId w:val="30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877878"/>
    <w:pPr>
      <w:keepNext/>
      <w:numPr>
        <w:ilvl w:val="2"/>
        <w:numId w:val="30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877878"/>
    <w:pPr>
      <w:keepNext/>
      <w:numPr>
        <w:ilvl w:val="3"/>
        <w:numId w:val="30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4">
    <w:name w:val="List Number 4"/>
    <w:basedOn w:val="Normal"/>
    <w:rsid w:val="00075C77"/>
    <w:pPr>
      <w:numPr>
        <w:numId w:val="2"/>
      </w:numPr>
    </w:pPr>
    <w:rPr>
      <w:rFonts w:eastAsia="Times New Roman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607F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E607F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CE607F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E607F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E607F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E607F"/>
    <w:pPr>
      <w:numPr>
        <w:numId w:val="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CE607F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E607F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E607F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2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2C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2CE3"/>
    <w:rPr>
      <w:rFonts w:ascii="Times New Roman" w:hAnsi="Times New Roman" w:cs="Times New Roman"/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2C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2CE3"/>
    <w:rPr>
      <w:rFonts w:ascii="Times New Roman" w:hAnsi="Times New Roman" w:cs="Times New Roman"/>
      <w:b/>
      <w:bCs/>
      <w:sz w:val="20"/>
      <w:szCs w:val="20"/>
      <w:lang w:val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CE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CE3"/>
    <w:rPr>
      <w:rFonts w:ascii="Segoe UI" w:hAnsi="Segoe UI" w:cs="Segoe UI"/>
      <w:sz w:val="18"/>
      <w:szCs w:val="18"/>
      <w:lang w:val="sk-SK"/>
    </w:rPr>
  </w:style>
  <w:style w:type="character" w:styleId="Hyperlink">
    <w:name w:val="Hyperlink"/>
    <w:basedOn w:val="DefaultParagraphFont"/>
    <w:uiPriority w:val="99"/>
    <w:unhideWhenUsed/>
    <w:rsid w:val="004A2CE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86C9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7787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87787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787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787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877878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878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878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7878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87787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87787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87787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87787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87787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FooterSensitivity">
    <w:name w:val="Foot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877878"/>
    <w:pPr>
      <w:ind w:left="850"/>
    </w:pPr>
  </w:style>
  <w:style w:type="paragraph" w:customStyle="1" w:styleId="Text2">
    <w:name w:val="Text 2"/>
    <w:basedOn w:val="Normal"/>
    <w:rsid w:val="00877878"/>
    <w:pPr>
      <w:ind w:left="1417"/>
    </w:pPr>
  </w:style>
  <w:style w:type="paragraph" w:customStyle="1" w:styleId="Text3">
    <w:name w:val="Text 3"/>
    <w:basedOn w:val="Normal"/>
    <w:rsid w:val="00877878"/>
    <w:pPr>
      <w:ind w:left="1984"/>
    </w:pPr>
  </w:style>
  <w:style w:type="paragraph" w:customStyle="1" w:styleId="Text4">
    <w:name w:val="Text 4"/>
    <w:basedOn w:val="Normal"/>
    <w:rsid w:val="00877878"/>
    <w:pPr>
      <w:ind w:left="2551"/>
    </w:pPr>
  </w:style>
  <w:style w:type="paragraph" w:customStyle="1" w:styleId="NormalCentered">
    <w:name w:val="Normal Centered"/>
    <w:basedOn w:val="Normal"/>
    <w:rsid w:val="00877878"/>
    <w:pPr>
      <w:jc w:val="center"/>
    </w:pPr>
  </w:style>
  <w:style w:type="paragraph" w:customStyle="1" w:styleId="NormalLeft">
    <w:name w:val="Normal Left"/>
    <w:basedOn w:val="Normal"/>
    <w:rsid w:val="00877878"/>
    <w:pPr>
      <w:jc w:val="left"/>
    </w:pPr>
  </w:style>
  <w:style w:type="paragraph" w:customStyle="1" w:styleId="NormalRight">
    <w:name w:val="Normal Right"/>
    <w:basedOn w:val="Normal"/>
    <w:rsid w:val="00877878"/>
    <w:pPr>
      <w:jc w:val="right"/>
    </w:pPr>
  </w:style>
  <w:style w:type="paragraph" w:customStyle="1" w:styleId="QuotedText">
    <w:name w:val="Quoted Text"/>
    <w:basedOn w:val="Normal"/>
    <w:rsid w:val="00877878"/>
    <w:pPr>
      <w:ind w:left="1417"/>
    </w:pPr>
  </w:style>
  <w:style w:type="paragraph" w:customStyle="1" w:styleId="Point0">
    <w:name w:val="Point 0"/>
    <w:basedOn w:val="Normal"/>
    <w:rsid w:val="00877878"/>
    <w:pPr>
      <w:ind w:left="850" w:hanging="850"/>
    </w:pPr>
  </w:style>
  <w:style w:type="paragraph" w:customStyle="1" w:styleId="Point1">
    <w:name w:val="Point 1"/>
    <w:basedOn w:val="Normal"/>
    <w:rsid w:val="00877878"/>
    <w:pPr>
      <w:ind w:left="1417" w:hanging="567"/>
    </w:pPr>
  </w:style>
  <w:style w:type="paragraph" w:customStyle="1" w:styleId="Point2">
    <w:name w:val="Point 2"/>
    <w:basedOn w:val="Normal"/>
    <w:rsid w:val="00877878"/>
    <w:pPr>
      <w:ind w:left="1984" w:hanging="567"/>
    </w:pPr>
  </w:style>
  <w:style w:type="paragraph" w:customStyle="1" w:styleId="Point3">
    <w:name w:val="Point 3"/>
    <w:basedOn w:val="Normal"/>
    <w:rsid w:val="00877878"/>
    <w:pPr>
      <w:ind w:left="2551" w:hanging="567"/>
    </w:pPr>
  </w:style>
  <w:style w:type="paragraph" w:customStyle="1" w:styleId="Point4">
    <w:name w:val="Point 4"/>
    <w:basedOn w:val="Normal"/>
    <w:rsid w:val="00877878"/>
    <w:pPr>
      <w:ind w:left="3118" w:hanging="567"/>
    </w:pPr>
  </w:style>
  <w:style w:type="paragraph" w:customStyle="1" w:styleId="Tiret0">
    <w:name w:val="Tiret 0"/>
    <w:basedOn w:val="Point0"/>
    <w:rsid w:val="00877878"/>
    <w:pPr>
      <w:numPr>
        <w:numId w:val="24"/>
      </w:numPr>
    </w:pPr>
  </w:style>
  <w:style w:type="paragraph" w:customStyle="1" w:styleId="Tiret1">
    <w:name w:val="Tiret 1"/>
    <w:basedOn w:val="Point1"/>
    <w:rsid w:val="00877878"/>
    <w:pPr>
      <w:numPr>
        <w:numId w:val="25"/>
      </w:numPr>
    </w:pPr>
  </w:style>
  <w:style w:type="paragraph" w:customStyle="1" w:styleId="Tiret2">
    <w:name w:val="Tiret 2"/>
    <w:basedOn w:val="Point2"/>
    <w:rsid w:val="00877878"/>
    <w:pPr>
      <w:numPr>
        <w:numId w:val="26"/>
      </w:numPr>
    </w:pPr>
  </w:style>
  <w:style w:type="paragraph" w:customStyle="1" w:styleId="Tiret3">
    <w:name w:val="Tiret 3"/>
    <w:basedOn w:val="Point3"/>
    <w:rsid w:val="00877878"/>
    <w:pPr>
      <w:numPr>
        <w:numId w:val="27"/>
      </w:numPr>
    </w:pPr>
  </w:style>
  <w:style w:type="paragraph" w:customStyle="1" w:styleId="Tiret4">
    <w:name w:val="Tiret 4"/>
    <w:basedOn w:val="Point4"/>
    <w:rsid w:val="00877878"/>
    <w:pPr>
      <w:numPr>
        <w:numId w:val="28"/>
      </w:numPr>
    </w:pPr>
  </w:style>
  <w:style w:type="paragraph" w:customStyle="1" w:styleId="PointDouble0">
    <w:name w:val="PointDouble 0"/>
    <w:basedOn w:val="Normal"/>
    <w:rsid w:val="0087787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87787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87787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87787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87787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87787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87787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87787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87787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87787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877878"/>
    <w:pPr>
      <w:numPr>
        <w:numId w:val="29"/>
      </w:numPr>
    </w:pPr>
  </w:style>
  <w:style w:type="paragraph" w:customStyle="1" w:styleId="NumPar2">
    <w:name w:val="NumPar 2"/>
    <w:basedOn w:val="Normal"/>
    <w:next w:val="Text1"/>
    <w:rsid w:val="00877878"/>
    <w:pPr>
      <w:numPr>
        <w:ilvl w:val="1"/>
        <w:numId w:val="29"/>
      </w:numPr>
    </w:pPr>
  </w:style>
  <w:style w:type="paragraph" w:customStyle="1" w:styleId="NumPar3">
    <w:name w:val="NumPar 3"/>
    <w:basedOn w:val="Normal"/>
    <w:next w:val="Text1"/>
    <w:rsid w:val="00877878"/>
    <w:pPr>
      <w:numPr>
        <w:ilvl w:val="2"/>
        <w:numId w:val="29"/>
      </w:numPr>
    </w:pPr>
  </w:style>
  <w:style w:type="paragraph" w:customStyle="1" w:styleId="NumPar4">
    <w:name w:val="NumPar 4"/>
    <w:basedOn w:val="Normal"/>
    <w:next w:val="Text1"/>
    <w:rsid w:val="00877878"/>
    <w:pPr>
      <w:numPr>
        <w:ilvl w:val="3"/>
        <w:numId w:val="29"/>
      </w:numPr>
    </w:pPr>
  </w:style>
  <w:style w:type="paragraph" w:customStyle="1" w:styleId="ManualNumPar1">
    <w:name w:val="Manual NumPar 1"/>
    <w:basedOn w:val="Normal"/>
    <w:next w:val="Text1"/>
    <w:rsid w:val="0087787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87787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87787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877878"/>
    <w:pPr>
      <w:ind w:left="850" w:hanging="850"/>
    </w:pPr>
  </w:style>
  <w:style w:type="paragraph" w:customStyle="1" w:styleId="QuotedNumPar">
    <w:name w:val="Quoted NumPar"/>
    <w:basedOn w:val="Normal"/>
    <w:rsid w:val="0087787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87787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87787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87787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87787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87787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87787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87787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877878"/>
    <w:pPr>
      <w:jc w:val="center"/>
    </w:pPr>
    <w:rPr>
      <w:b/>
    </w:rPr>
  </w:style>
  <w:style w:type="character" w:customStyle="1" w:styleId="Marker">
    <w:name w:val="Marker"/>
    <w:basedOn w:val="DefaultParagraphFont"/>
    <w:rsid w:val="0087787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87787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87787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877878"/>
    <w:pPr>
      <w:numPr>
        <w:numId w:val="31"/>
      </w:numPr>
    </w:pPr>
  </w:style>
  <w:style w:type="paragraph" w:customStyle="1" w:styleId="Point1number">
    <w:name w:val="Point 1 (number)"/>
    <w:basedOn w:val="Normal"/>
    <w:rsid w:val="00877878"/>
    <w:pPr>
      <w:numPr>
        <w:ilvl w:val="2"/>
        <w:numId w:val="31"/>
      </w:numPr>
    </w:pPr>
  </w:style>
  <w:style w:type="paragraph" w:customStyle="1" w:styleId="Point2number">
    <w:name w:val="Point 2 (number)"/>
    <w:basedOn w:val="Normal"/>
    <w:rsid w:val="00877878"/>
    <w:pPr>
      <w:numPr>
        <w:ilvl w:val="4"/>
        <w:numId w:val="31"/>
      </w:numPr>
    </w:pPr>
  </w:style>
  <w:style w:type="paragraph" w:customStyle="1" w:styleId="Point3number">
    <w:name w:val="Point 3 (number)"/>
    <w:basedOn w:val="Normal"/>
    <w:rsid w:val="00877878"/>
    <w:pPr>
      <w:numPr>
        <w:ilvl w:val="6"/>
        <w:numId w:val="31"/>
      </w:numPr>
    </w:pPr>
  </w:style>
  <w:style w:type="paragraph" w:customStyle="1" w:styleId="Point0letter">
    <w:name w:val="Point 0 (letter)"/>
    <w:basedOn w:val="Normal"/>
    <w:rsid w:val="00877878"/>
    <w:pPr>
      <w:numPr>
        <w:ilvl w:val="1"/>
        <w:numId w:val="31"/>
      </w:numPr>
    </w:pPr>
  </w:style>
  <w:style w:type="paragraph" w:customStyle="1" w:styleId="Point1letter">
    <w:name w:val="Point 1 (letter)"/>
    <w:basedOn w:val="Normal"/>
    <w:rsid w:val="00877878"/>
    <w:pPr>
      <w:numPr>
        <w:ilvl w:val="3"/>
        <w:numId w:val="31"/>
      </w:numPr>
    </w:pPr>
  </w:style>
  <w:style w:type="paragraph" w:customStyle="1" w:styleId="Point2letter">
    <w:name w:val="Point 2 (letter)"/>
    <w:basedOn w:val="Normal"/>
    <w:rsid w:val="00877878"/>
    <w:pPr>
      <w:numPr>
        <w:ilvl w:val="5"/>
        <w:numId w:val="31"/>
      </w:numPr>
    </w:pPr>
  </w:style>
  <w:style w:type="paragraph" w:customStyle="1" w:styleId="Point3letter">
    <w:name w:val="Point 3 (letter)"/>
    <w:basedOn w:val="Normal"/>
    <w:rsid w:val="00877878"/>
    <w:pPr>
      <w:numPr>
        <w:ilvl w:val="7"/>
        <w:numId w:val="31"/>
      </w:numPr>
    </w:pPr>
  </w:style>
  <w:style w:type="paragraph" w:customStyle="1" w:styleId="Point4letter">
    <w:name w:val="Point 4 (letter)"/>
    <w:basedOn w:val="Normal"/>
    <w:rsid w:val="00877878"/>
    <w:pPr>
      <w:numPr>
        <w:ilvl w:val="8"/>
        <w:numId w:val="31"/>
      </w:numPr>
    </w:pPr>
  </w:style>
  <w:style w:type="paragraph" w:customStyle="1" w:styleId="Bullet0">
    <w:name w:val="Bullet 0"/>
    <w:basedOn w:val="Normal"/>
    <w:rsid w:val="00877878"/>
    <w:pPr>
      <w:numPr>
        <w:numId w:val="32"/>
      </w:numPr>
    </w:pPr>
  </w:style>
  <w:style w:type="paragraph" w:customStyle="1" w:styleId="Bullet1">
    <w:name w:val="Bullet 1"/>
    <w:basedOn w:val="Normal"/>
    <w:rsid w:val="00877878"/>
    <w:pPr>
      <w:numPr>
        <w:numId w:val="33"/>
      </w:numPr>
    </w:pPr>
  </w:style>
  <w:style w:type="paragraph" w:customStyle="1" w:styleId="Bullet2">
    <w:name w:val="Bullet 2"/>
    <w:basedOn w:val="Normal"/>
    <w:rsid w:val="00877878"/>
    <w:pPr>
      <w:numPr>
        <w:numId w:val="34"/>
      </w:numPr>
    </w:pPr>
  </w:style>
  <w:style w:type="paragraph" w:customStyle="1" w:styleId="Bullet3">
    <w:name w:val="Bullet 3"/>
    <w:basedOn w:val="Normal"/>
    <w:rsid w:val="00877878"/>
    <w:pPr>
      <w:numPr>
        <w:numId w:val="35"/>
      </w:numPr>
    </w:pPr>
  </w:style>
  <w:style w:type="paragraph" w:customStyle="1" w:styleId="Bullet4">
    <w:name w:val="Bullet 4"/>
    <w:basedOn w:val="Normal"/>
    <w:rsid w:val="00877878"/>
    <w:pPr>
      <w:numPr>
        <w:numId w:val="36"/>
      </w:numPr>
    </w:pPr>
  </w:style>
  <w:style w:type="paragraph" w:customStyle="1" w:styleId="Langue">
    <w:name w:val="Langue"/>
    <w:basedOn w:val="Normal"/>
    <w:next w:val="Rfrenceinterne"/>
    <w:rsid w:val="0087787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87787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87787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87787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877878"/>
    <w:pPr>
      <w:spacing w:before="0" w:after="0"/>
    </w:pPr>
  </w:style>
  <w:style w:type="paragraph" w:customStyle="1" w:styleId="Disclaimer">
    <w:name w:val="Disclaimer"/>
    <w:basedOn w:val="Normal"/>
    <w:rsid w:val="0087787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87787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87787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87787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87787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877878"/>
    <w:pPr>
      <w:numPr>
        <w:numId w:val="37"/>
      </w:numPr>
    </w:pPr>
  </w:style>
  <w:style w:type="paragraph" w:customStyle="1" w:styleId="Corrigendum">
    <w:name w:val="Corrigendum"/>
    <w:basedOn w:val="Normal"/>
    <w:next w:val="Normal"/>
    <w:rsid w:val="0087787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87787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87787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877878"/>
    <w:pPr>
      <w:keepNext/>
    </w:pPr>
  </w:style>
  <w:style w:type="paragraph" w:customStyle="1" w:styleId="Institutionquiagit">
    <w:name w:val="Institution qui agit"/>
    <w:basedOn w:val="Normal"/>
    <w:next w:val="Normal"/>
    <w:rsid w:val="0087787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87787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87787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87787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87787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87787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87787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87787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87787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87787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87787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87787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87787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877878"/>
    <w:rPr>
      <w:i/>
      <w:caps/>
    </w:rPr>
  </w:style>
  <w:style w:type="paragraph" w:customStyle="1" w:styleId="Supertitre">
    <w:name w:val="Supertitre"/>
    <w:basedOn w:val="Normal"/>
    <w:next w:val="Normal"/>
    <w:rsid w:val="0087787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87787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87787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87787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877878"/>
  </w:style>
  <w:style w:type="paragraph" w:customStyle="1" w:styleId="StatutPagedecouverture">
    <w:name w:val="Statut (Page de couverture)"/>
    <w:basedOn w:val="Statut"/>
    <w:next w:val="TypedudocumentPagedecouverture"/>
    <w:rsid w:val="00877878"/>
  </w:style>
  <w:style w:type="paragraph" w:customStyle="1" w:styleId="TitreobjetPagedecouverture">
    <w:name w:val="Titre objet (Page de couverture)"/>
    <w:basedOn w:val="Titreobjet"/>
    <w:next w:val="IntrtEEEPagedecouverture"/>
    <w:rsid w:val="0087787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877878"/>
  </w:style>
  <w:style w:type="paragraph" w:customStyle="1" w:styleId="Volume">
    <w:name w:val="Volum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877878"/>
    <w:pPr>
      <w:spacing w:after="240"/>
    </w:pPr>
  </w:style>
  <w:style w:type="paragraph" w:customStyle="1" w:styleId="Accompagnant">
    <w:name w:val="Accompagnant"/>
    <w:basedOn w:val="Normal"/>
    <w:next w:val="Typeacteprincipal"/>
    <w:rsid w:val="0087787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87787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87787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877878"/>
  </w:style>
  <w:style w:type="paragraph" w:customStyle="1" w:styleId="AccompagnantPagedecouverture">
    <w:name w:val="Accompagnant (Page de couverture)"/>
    <w:basedOn w:val="Accompagnant"/>
    <w:next w:val="TypeacteprincipalPagedecouverture"/>
    <w:rsid w:val="0087787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877878"/>
  </w:style>
  <w:style w:type="paragraph" w:customStyle="1" w:styleId="ObjetacteprincipalPagedecouverture">
    <w:name w:val="Objet acte principal (Page de couverture)"/>
    <w:basedOn w:val="Objetacteprincipal"/>
    <w:next w:val="Rfrencecroise"/>
    <w:rsid w:val="00877878"/>
  </w:style>
  <w:style w:type="paragraph" w:customStyle="1" w:styleId="LanguesfaisantfoiPagedecouverture">
    <w:name w:val="Langues faisant foi (Page de couverture)"/>
    <w:basedOn w:val="Normal"/>
    <w:next w:val="Normal"/>
    <w:rsid w:val="0087787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1</Pages>
  <Words>1207</Words>
  <Characters>6789</Characters>
  <Application>Microsoft Office Word</Application>
  <DocSecurity>0</DocSecurity>
  <Lines>135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GRIKSAS Gintaras (FISMA)</dc:creator>
  <cp:keywords/>
  <dc:description/>
  <cp:lastModifiedBy>SLEZAKOVA Maria (DGT)</cp:lastModifiedBy>
  <cp:revision>3</cp:revision>
  <cp:lastPrinted>2018-06-12T12:37:00Z</cp:lastPrinted>
  <dcterms:created xsi:type="dcterms:W3CDTF">2018-09-20T07:59:00Z</dcterms:created>
  <dcterms:modified xsi:type="dcterms:W3CDTF">2018-09-20T07:59:00Z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 edited using">
    <vt:lpwstr>LW 6.0.1, Build 20180503</vt:lpwstr>
  </property>
  <property fmtid="{D5CDD505-2E9C-101B-9397-08002B2CF9AE}" pid="3" name="Category">
    <vt:lpwstr>COM/AA</vt:lpwstr>
  </property>
  <property fmtid="{D5CDD505-2E9C-101B-9397-08002B2CF9AE}" pid="4" name="Level of sensitivity">
    <vt:lpwstr>Standard treatment</vt:lpwstr>
  </property>
  <property fmtid="{D5CDD505-2E9C-101B-9397-08002B2CF9AE}" pid="5" name="Part">
    <vt:lpwstr>1</vt:lpwstr>
  </property>
  <property fmtid="{D5CDD505-2E9C-101B-9397-08002B2CF9AE}" pid="6" name="Total parts">
    <vt:lpwstr>1</vt:lpwstr>
  </property>
  <property fmtid="{D5CDD505-2E9C-101B-9397-08002B2CF9AE}" pid="7" name="LWTemplateID">
    <vt:lpwstr>SJ-004</vt:lpwstr>
  </property>
  <property fmtid="{D5CDD505-2E9C-101B-9397-08002B2CF9AE}" pid="8" name="Version">
    <vt:lpwstr>6.0.1.0</vt:lpwstr>
  </property>
  <property fmtid="{D5CDD505-2E9C-101B-9397-08002B2CF9AE}" pid="9" name="Created using">
    <vt:lpwstr>LW 6.0, Build 20171009</vt:lpwstr>
  </property>
  <property fmtid="{D5CDD505-2E9C-101B-9397-08002B2CF9AE}" pid="10" name="DQCStatus">
    <vt:lpwstr>Green (DQC version 03)</vt:lpwstr>
  </property>
</Properties>
</file>