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r>
        <w:rPr>
          <w:rFonts w:ascii="Times New Roman" w:hAnsi="Times New Roman"/>
          <w:b/>
          <w:sz w:val="24"/>
        </w:rPr>
        <w:t>CS</w:t>
      </w:r>
    </w:p>
    <w:p w:rsidR="008934A4" w:rsidRDefault="008934A4" w:rsidP="00A15D28">
      <w:pPr>
        <w:jc w:val="center"/>
        <w:rPr>
          <w:rFonts w:ascii="Times New Roman" w:hAnsi="Times New Roman"/>
          <w:b/>
          <w:sz w:val="24"/>
          <w:szCs w:val="24"/>
        </w:rPr>
      </w:pPr>
      <w:r>
        <w:rPr>
          <w:rFonts w:ascii="Times New Roman" w:hAnsi="Times New Roman"/>
          <w:b/>
          <w:sz w:val="24"/>
        </w:rPr>
        <w:t>PŘÍLOHA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A15D28" w:rsidP="00A15D28">
      <w:pPr>
        <w:jc w:val="center"/>
        <w:rPr>
          <w:rFonts w:ascii="Times New Roman" w:hAnsi="Times New Roman"/>
          <w:sz w:val="28"/>
          <w:szCs w:val="28"/>
          <w:u w:val="single"/>
        </w:rPr>
      </w:pPr>
      <w:r>
        <w:rPr>
          <w:rFonts w:ascii="Times New Roman" w:hAnsi="Times New Roman"/>
          <w:b/>
          <w:sz w:val="24"/>
          <w:u w:val="single"/>
        </w:rPr>
        <w:t>PŘÍLOHA XI</w:t>
      </w:r>
    </w:p>
    <w:p w:rsidR="00A15D28" w:rsidRPr="00E94154" w:rsidRDefault="00A15D28" w:rsidP="00A15D28">
      <w:pPr>
        <w:jc w:val="center"/>
        <w:rPr>
          <w:rFonts w:ascii="Times New Roman" w:hAnsi="Times New Roman"/>
        </w:rPr>
      </w:pPr>
      <w:r>
        <w:rPr>
          <w:rFonts w:ascii="Times New Roman" w:hAnsi="Times New Roman"/>
          <w:b/>
          <w:sz w:val="24"/>
        </w:rPr>
        <w:t>VYKAZOVÁNÍ INFORMACÍ O PÁCE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F4BDD" w:rsidRDefault="00DF4BDD">
      <w:pPr>
        <w:pStyle w:val="TOC1"/>
        <w:rPr>
          <w:rFonts w:asciiTheme="minorHAnsi" w:eastAsiaTheme="minorEastAsia" w:hAnsiTheme="minorHAnsi" w:cstheme="minorBidi"/>
          <w:color w:val="auto"/>
          <w:sz w:val="22"/>
          <w:szCs w:val="22"/>
          <w:lang w:val="en-GB" w:eastAsia="en-GB" w:bidi="ar-SA"/>
        </w:rPr>
      </w:pPr>
      <w:r>
        <w:rPr>
          <w:rFonts w:ascii="Times New Roman" w:hAnsi="Times New Roman"/>
          <w:b/>
        </w:rPr>
        <w:fldChar w:fldCharType="begin"/>
      </w:r>
      <w:r w:rsidR="00391EF9">
        <w:rPr>
          <w:rFonts w:ascii="Times New Roman" w:hAnsi="Times New Roman"/>
          <w:b/>
        </w:rPr>
        <w:instrText xml:space="preserve"> TOC \o "1-3" \h \z \u </w:instrText>
      </w:r>
      <w:r>
        <w:rPr>
          <w:rFonts w:ascii="Times New Roman" w:hAnsi="Times New Roman"/>
          <w:b/>
        </w:rPr>
        <w:fldChar w:fldCharType="separate"/>
      </w:r>
      <w:hyperlink w:anchor="_Toc524076952" w:history="1">
        <w:r w:rsidRPr="002C7DE7">
          <w:rPr>
            <w:rStyle w:val="Hyperlink"/>
            <w:rFonts w:ascii="Times New Roman" w:hAnsi="Times New Roman"/>
            <w:b/>
          </w:rPr>
          <w:t>ČÁST I: OBECNÉ POKYNY</w:t>
        </w:r>
        <w:r>
          <w:rPr>
            <w:webHidden/>
          </w:rPr>
          <w:tab/>
        </w:r>
        <w:r>
          <w:rPr>
            <w:webHidden/>
          </w:rPr>
          <w:fldChar w:fldCharType="begin"/>
        </w:r>
        <w:r>
          <w:rPr>
            <w:webHidden/>
          </w:rPr>
          <w:instrText xml:space="preserve"> PAGEREF _Toc524076952 \h </w:instrText>
        </w:r>
        <w:r>
          <w:rPr>
            <w:webHidden/>
          </w:rPr>
        </w:r>
        <w:r>
          <w:rPr>
            <w:webHidden/>
          </w:rPr>
          <w:fldChar w:fldCharType="separate"/>
        </w:r>
        <w:r>
          <w:rPr>
            <w:webHidden/>
          </w:rPr>
          <w:t>2</w:t>
        </w:r>
        <w:r>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53" w:history="1">
        <w:r w:rsidR="00DF4BDD" w:rsidRPr="002C7DE7">
          <w:rPr>
            <w:rStyle w:val="Hyperlink"/>
            <w:rFonts w:ascii="Times New Roman" w:hAnsi="Times New Roman"/>
          </w:rPr>
          <w:t>1.</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Označování šablon a jiné konvence</w:t>
        </w:r>
        <w:r w:rsidR="00DF4BDD">
          <w:rPr>
            <w:webHidden/>
          </w:rPr>
          <w:tab/>
        </w:r>
        <w:r w:rsidR="00DF4BDD">
          <w:rPr>
            <w:webHidden/>
          </w:rPr>
          <w:fldChar w:fldCharType="begin"/>
        </w:r>
        <w:r w:rsidR="00DF4BDD">
          <w:rPr>
            <w:webHidden/>
          </w:rPr>
          <w:instrText xml:space="preserve"> PAGEREF _Toc524076953 \h </w:instrText>
        </w:r>
        <w:r w:rsidR="00DF4BDD">
          <w:rPr>
            <w:webHidden/>
          </w:rPr>
        </w:r>
        <w:r w:rsidR="00DF4BDD">
          <w:rPr>
            <w:webHidden/>
          </w:rPr>
          <w:fldChar w:fldCharType="separate"/>
        </w:r>
        <w:r w:rsidR="00DF4BDD">
          <w:rPr>
            <w:webHidden/>
          </w:rPr>
          <w:t>2</w:t>
        </w:r>
        <w:r w:rsidR="00DF4BDD">
          <w:rPr>
            <w:webHidden/>
          </w:rPr>
          <w:fldChar w:fldCharType="end"/>
        </w:r>
      </w:hyperlink>
    </w:p>
    <w:p w:rsidR="00DF4BDD" w:rsidRDefault="00850778">
      <w:pPr>
        <w:pStyle w:val="TOC3"/>
        <w:rPr>
          <w:rFonts w:asciiTheme="minorHAnsi" w:eastAsiaTheme="minorEastAsia" w:hAnsiTheme="minorHAnsi" w:cstheme="minorBidi"/>
          <w:smallCaps w:val="0"/>
          <w:sz w:val="22"/>
          <w:szCs w:val="22"/>
          <w:lang w:val="en-GB" w:eastAsia="en-GB" w:bidi="ar-SA"/>
        </w:rPr>
      </w:pPr>
      <w:hyperlink w:anchor="_Toc524076954" w:history="1">
        <w:r w:rsidR="00DF4BDD" w:rsidRPr="002C7DE7">
          <w:rPr>
            <w:rStyle w:val="Hyperlink"/>
            <w:rFonts w:ascii="Times New Roman" w:hAnsi="Times New Roman"/>
            <w:b/>
          </w:rPr>
          <w:t>1.1.</w:t>
        </w:r>
        <w:r w:rsidR="00DF4BDD">
          <w:rPr>
            <w:rFonts w:asciiTheme="minorHAnsi" w:eastAsiaTheme="minorEastAsia" w:hAnsiTheme="minorHAnsi" w:cstheme="minorBidi"/>
            <w:smallCaps w:val="0"/>
            <w:sz w:val="22"/>
            <w:szCs w:val="22"/>
            <w:lang w:val="en-GB" w:eastAsia="en-GB" w:bidi="ar-SA"/>
          </w:rPr>
          <w:tab/>
        </w:r>
        <w:r w:rsidR="00DF4BDD" w:rsidRPr="002C7DE7">
          <w:rPr>
            <w:rStyle w:val="Hyperlink"/>
            <w:rFonts w:ascii="Times New Roman" w:hAnsi="Times New Roman"/>
            <w:b/>
          </w:rPr>
          <w:t>Označování šablon</w:t>
        </w:r>
        <w:r w:rsidR="00DF4BDD">
          <w:rPr>
            <w:webHidden/>
          </w:rPr>
          <w:tab/>
        </w:r>
        <w:r w:rsidR="00DF4BDD">
          <w:rPr>
            <w:webHidden/>
          </w:rPr>
          <w:fldChar w:fldCharType="begin"/>
        </w:r>
        <w:r w:rsidR="00DF4BDD">
          <w:rPr>
            <w:webHidden/>
          </w:rPr>
          <w:instrText xml:space="preserve"> PAGEREF _Toc524076954 \h </w:instrText>
        </w:r>
        <w:r w:rsidR="00DF4BDD">
          <w:rPr>
            <w:webHidden/>
          </w:rPr>
        </w:r>
        <w:r w:rsidR="00DF4BDD">
          <w:rPr>
            <w:webHidden/>
          </w:rPr>
          <w:fldChar w:fldCharType="separate"/>
        </w:r>
        <w:r w:rsidR="00DF4BDD">
          <w:rPr>
            <w:webHidden/>
          </w:rPr>
          <w:t>2</w:t>
        </w:r>
        <w:r w:rsidR="00DF4BDD">
          <w:rPr>
            <w:webHidden/>
          </w:rPr>
          <w:fldChar w:fldCharType="end"/>
        </w:r>
      </w:hyperlink>
    </w:p>
    <w:p w:rsidR="00DF4BDD" w:rsidRDefault="00850778">
      <w:pPr>
        <w:pStyle w:val="TOC3"/>
        <w:rPr>
          <w:rFonts w:asciiTheme="minorHAnsi" w:eastAsiaTheme="minorEastAsia" w:hAnsiTheme="minorHAnsi" w:cstheme="minorBidi"/>
          <w:smallCaps w:val="0"/>
          <w:sz w:val="22"/>
          <w:szCs w:val="22"/>
          <w:lang w:val="en-GB" w:eastAsia="en-GB" w:bidi="ar-SA"/>
        </w:rPr>
      </w:pPr>
      <w:hyperlink w:anchor="_Toc524076955" w:history="1">
        <w:r w:rsidR="00DF4BDD" w:rsidRPr="002C7DE7">
          <w:rPr>
            <w:rStyle w:val="Hyperlink"/>
            <w:rFonts w:ascii="Times New Roman" w:hAnsi="Times New Roman"/>
            <w:b/>
          </w:rPr>
          <w:t>1.2.</w:t>
        </w:r>
        <w:r w:rsidR="00DF4BDD">
          <w:rPr>
            <w:rFonts w:asciiTheme="minorHAnsi" w:eastAsiaTheme="minorEastAsia" w:hAnsiTheme="minorHAnsi" w:cstheme="minorBidi"/>
            <w:smallCaps w:val="0"/>
            <w:sz w:val="22"/>
            <w:szCs w:val="22"/>
            <w:lang w:val="en-GB" w:eastAsia="en-GB" w:bidi="ar-SA"/>
          </w:rPr>
          <w:tab/>
        </w:r>
        <w:r w:rsidR="00DF4BDD" w:rsidRPr="002C7DE7">
          <w:rPr>
            <w:rStyle w:val="Hyperlink"/>
            <w:rFonts w:ascii="Times New Roman" w:hAnsi="Times New Roman"/>
            <w:b/>
          </w:rPr>
          <w:t>Konvence v oblasti číslování</w:t>
        </w:r>
        <w:r w:rsidR="00DF4BDD">
          <w:rPr>
            <w:webHidden/>
          </w:rPr>
          <w:tab/>
        </w:r>
        <w:r w:rsidR="00DF4BDD">
          <w:rPr>
            <w:webHidden/>
          </w:rPr>
          <w:fldChar w:fldCharType="begin"/>
        </w:r>
        <w:r w:rsidR="00DF4BDD">
          <w:rPr>
            <w:webHidden/>
          </w:rPr>
          <w:instrText xml:space="preserve"> PAGEREF _Toc524076955 \h </w:instrText>
        </w:r>
        <w:r w:rsidR="00DF4BDD">
          <w:rPr>
            <w:webHidden/>
          </w:rPr>
        </w:r>
        <w:r w:rsidR="00DF4BDD">
          <w:rPr>
            <w:webHidden/>
          </w:rPr>
          <w:fldChar w:fldCharType="separate"/>
        </w:r>
        <w:r w:rsidR="00DF4BDD">
          <w:rPr>
            <w:webHidden/>
          </w:rPr>
          <w:t>2</w:t>
        </w:r>
        <w:r w:rsidR="00DF4BDD">
          <w:rPr>
            <w:webHidden/>
          </w:rPr>
          <w:fldChar w:fldCharType="end"/>
        </w:r>
      </w:hyperlink>
    </w:p>
    <w:p w:rsidR="00DF4BDD" w:rsidRDefault="00850778">
      <w:pPr>
        <w:pStyle w:val="TOC3"/>
        <w:rPr>
          <w:rFonts w:asciiTheme="minorHAnsi" w:eastAsiaTheme="minorEastAsia" w:hAnsiTheme="minorHAnsi" w:cstheme="minorBidi"/>
          <w:smallCaps w:val="0"/>
          <w:sz w:val="22"/>
          <w:szCs w:val="22"/>
          <w:lang w:val="en-GB" w:eastAsia="en-GB" w:bidi="ar-SA"/>
        </w:rPr>
      </w:pPr>
      <w:hyperlink w:anchor="_Toc524076956" w:history="1">
        <w:r w:rsidR="00DF4BDD" w:rsidRPr="002C7DE7">
          <w:rPr>
            <w:rStyle w:val="Hyperlink"/>
            <w:rFonts w:ascii="Times New Roman" w:hAnsi="Times New Roman"/>
            <w:b/>
          </w:rPr>
          <w:t>1.3.</w:t>
        </w:r>
        <w:r w:rsidR="00DF4BDD">
          <w:rPr>
            <w:rFonts w:asciiTheme="minorHAnsi" w:eastAsiaTheme="minorEastAsia" w:hAnsiTheme="minorHAnsi" w:cstheme="minorBidi"/>
            <w:smallCaps w:val="0"/>
            <w:sz w:val="22"/>
            <w:szCs w:val="22"/>
            <w:lang w:val="en-GB" w:eastAsia="en-GB" w:bidi="ar-SA"/>
          </w:rPr>
          <w:tab/>
        </w:r>
        <w:r w:rsidR="00DF4BDD" w:rsidRPr="002C7DE7">
          <w:rPr>
            <w:rStyle w:val="Hyperlink"/>
            <w:rFonts w:ascii="Times New Roman" w:hAnsi="Times New Roman"/>
            <w:b/>
          </w:rPr>
          <w:t>Zkratky</w:t>
        </w:r>
        <w:r w:rsidR="00DF4BDD">
          <w:rPr>
            <w:webHidden/>
          </w:rPr>
          <w:tab/>
        </w:r>
        <w:r w:rsidR="00DF4BDD">
          <w:rPr>
            <w:webHidden/>
          </w:rPr>
          <w:fldChar w:fldCharType="begin"/>
        </w:r>
        <w:r w:rsidR="00DF4BDD">
          <w:rPr>
            <w:webHidden/>
          </w:rPr>
          <w:instrText xml:space="preserve"> PAGEREF _Toc524076956 \h </w:instrText>
        </w:r>
        <w:r w:rsidR="00DF4BDD">
          <w:rPr>
            <w:webHidden/>
          </w:rPr>
        </w:r>
        <w:r w:rsidR="00DF4BDD">
          <w:rPr>
            <w:webHidden/>
          </w:rPr>
          <w:fldChar w:fldCharType="separate"/>
        </w:r>
        <w:r w:rsidR="00DF4BDD">
          <w:rPr>
            <w:webHidden/>
          </w:rPr>
          <w:t>2</w:t>
        </w:r>
        <w:r w:rsidR="00DF4BDD">
          <w:rPr>
            <w:webHidden/>
          </w:rPr>
          <w:fldChar w:fldCharType="end"/>
        </w:r>
      </w:hyperlink>
    </w:p>
    <w:p w:rsidR="00DF4BDD" w:rsidRDefault="00850778">
      <w:pPr>
        <w:pStyle w:val="TOC3"/>
        <w:rPr>
          <w:rFonts w:asciiTheme="minorHAnsi" w:eastAsiaTheme="minorEastAsia" w:hAnsiTheme="minorHAnsi" w:cstheme="minorBidi"/>
          <w:smallCaps w:val="0"/>
          <w:sz w:val="22"/>
          <w:szCs w:val="22"/>
          <w:lang w:val="en-GB" w:eastAsia="en-GB" w:bidi="ar-SA"/>
        </w:rPr>
      </w:pPr>
      <w:hyperlink w:anchor="_Toc524076957" w:history="1">
        <w:r w:rsidR="00DF4BDD" w:rsidRPr="002C7DE7">
          <w:rPr>
            <w:rStyle w:val="Hyperlink"/>
            <w:rFonts w:ascii="Times New Roman" w:hAnsi="Times New Roman"/>
            <w:b/>
          </w:rPr>
          <w:t>1.4.</w:t>
        </w:r>
        <w:r w:rsidR="00DF4BDD">
          <w:rPr>
            <w:rFonts w:asciiTheme="minorHAnsi" w:eastAsiaTheme="minorEastAsia" w:hAnsiTheme="minorHAnsi" w:cstheme="minorBidi"/>
            <w:smallCaps w:val="0"/>
            <w:sz w:val="22"/>
            <w:szCs w:val="22"/>
            <w:lang w:val="en-GB" w:eastAsia="en-GB" w:bidi="ar-SA"/>
          </w:rPr>
          <w:tab/>
        </w:r>
        <w:r w:rsidR="00DF4BDD" w:rsidRPr="002C7DE7">
          <w:rPr>
            <w:rStyle w:val="Hyperlink"/>
            <w:rFonts w:ascii="Times New Roman" w:hAnsi="Times New Roman"/>
            <w:b/>
          </w:rPr>
          <w:t>Konvence v oblasti znamének</w:t>
        </w:r>
        <w:r w:rsidR="00DF4BDD">
          <w:rPr>
            <w:webHidden/>
          </w:rPr>
          <w:tab/>
        </w:r>
        <w:r w:rsidR="00DF4BDD">
          <w:rPr>
            <w:webHidden/>
          </w:rPr>
          <w:fldChar w:fldCharType="begin"/>
        </w:r>
        <w:r w:rsidR="00DF4BDD">
          <w:rPr>
            <w:webHidden/>
          </w:rPr>
          <w:instrText xml:space="preserve"> PAGEREF _Toc524076957 \h </w:instrText>
        </w:r>
        <w:r w:rsidR="00DF4BDD">
          <w:rPr>
            <w:webHidden/>
          </w:rPr>
        </w:r>
        <w:r w:rsidR="00DF4BDD">
          <w:rPr>
            <w:webHidden/>
          </w:rPr>
          <w:fldChar w:fldCharType="separate"/>
        </w:r>
        <w:r w:rsidR="00DF4BDD">
          <w:rPr>
            <w:webHidden/>
          </w:rPr>
          <w:t>3</w:t>
        </w:r>
        <w:r w:rsidR="00DF4BDD">
          <w:rPr>
            <w:webHidden/>
          </w:rPr>
          <w:fldChar w:fldCharType="end"/>
        </w:r>
      </w:hyperlink>
    </w:p>
    <w:p w:rsidR="00DF4BDD" w:rsidRDefault="00850778">
      <w:pPr>
        <w:pStyle w:val="TOC1"/>
        <w:rPr>
          <w:rFonts w:asciiTheme="minorHAnsi" w:eastAsiaTheme="minorEastAsia" w:hAnsiTheme="minorHAnsi" w:cstheme="minorBidi"/>
          <w:color w:val="auto"/>
          <w:sz w:val="22"/>
          <w:szCs w:val="22"/>
          <w:lang w:val="en-GB" w:eastAsia="en-GB" w:bidi="ar-SA"/>
        </w:rPr>
      </w:pPr>
      <w:hyperlink w:anchor="_Toc524076958" w:history="1">
        <w:r w:rsidR="00DF4BDD" w:rsidRPr="002C7DE7">
          <w:rPr>
            <w:rStyle w:val="Hyperlink"/>
            <w:rFonts w:ascii="Times New Roman" w:hAnsi="Times New Roman"/>
            <w:b/>
          </w:rPr>
          <w:t>ČÁST II: POKYNY K ŠABLONÁM</w:t>
        </w:r>
        <w:r w:rsidR="00DF4BDD">
          <w:rPr>
            <w:webHidden/>
          </w:rPr>
          <w:tab/>
        </w:r>
        <w:r w:rsidR="00DF4BDD">
          <w:rPr>
            <w:webHidden/>
          </w:rPr>
          <w:fldChar w:fldCharType="begin"/>
        </w:r>
        <w:r w:rsidR="00DF4BDD">
          <w:rPr>
            <w:webHidden/>
          </w:rPr>
          <w:instrText xml:space="preserve"> PAGEREF _Toc524076958 \h </w:instrText>
        </w:r>
        <w:r w:rsidR="00DF4BDD">
          <w:rPr>
            <w:webHidden/>
          </w:rPr>
        </w:r>
        <w:r w:rsidR="00DF4BDD">
          <w:rPr>
            <w:webHidden/>
          </w:rPr>
          <w:fldChar w:fldCharType="separate"/>
        </w:r>
        <w:r w:rsidR="00DF4BDD">
          <w:rPr>
            <w:webHidden/>
          </w:rPr>
          <w:t>4</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59" w:history="1">
        <w:r w:rsidR="00DF4BDD" w:rsidRPr="002C7DE7">
          <w:rPr>
            <w:rStyle w:val="Hyperlink"/>
            <w:rFonts w:ascii="Times New Roman" w:hAnsi="Times New Roman"/>
          </w:rPr>
          <w:t>1.</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Struktura a četnost</w:t>
        </w:r>
        <w:r w:rsidR="00DF4BDD">
          <w:rPr>
            <w:webHidden/>
          </w:rPr>
          <w:tab/>
        </w:r>
        <w:r w:rsidR="00DF4BDD">
          <w:rPr>
            <w:webHidden/>
          </w:rPr>
          <w:fldChar w:fldCharType="begin"/>
        </w:r>
        <w:r w:rsidR="00DF4BDD">
          <w:rPr>
            <w:webHidden/>
          </w:rPr>
          <w:instrText xml:space="preserve"> PAGEREF _Toc524076959 \h </w:instrText>
        </w:r>
        <w:r w:rsidR="00DF4BDD">
          <w:rPr>
            <w:webHidden/>
          </w:rPr>
        </w:r>
        <w:r w:rsidR="00DF4BDD">
          <w:rPr>
            <w:webHidden/>
          </w:rPr>
          <w:fldChar w:fldCharType="separate"/>
        </w:r>
        <w:r w:rsidR="00DF4BDD">
          <w:rPr>
            <w:webHidden/>
          </w:rPr>
          <w:t>4</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0" w:history="1">
        <w:r w:rsidR="00DF4BDD" w:rsidRPr="002C7DE7">
          <w:rPr>
            <w:rStyle w:val="Hyperlink"/>
            <w:rFonts w:ascii="Times New Roman" w:hAnsi="Times New Roman"/>
          </w:rPr>
          <w:t>2.</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Vzorce pro výpočet pákového poměru</w:t>
        </w:r>
        <w:r w:rsidR="00DF4BDD">
          <w:rPr>
            <w:webHidden/>
          </w:rPr>
          <w:tab/>
        </w:r>
        <w:r w:rsidR="00DF4BDD">
          <w:rPr>
            <w:webHidden/>
          </w:rPr>
          <w:fldChar w:fldCharType="begin"/>
        </w:r>
        <w:r w:rsidR="00DF4BDD">
          <w:rPr>
            <w:webHidden/>
          </w:rPr>
          <w:instrText xml:space="preserve"> PAGEREF _Toc524076960 \h </w:instrText>
        </w:r>
        <w:r w:rsidR="00DF4BDD">
          <w:rPr>
            <w:webHidden/>
          </w:rPr>
        </w:r>
        <w:r w:rsidR="00DF4BDD">
          <w:rPr>
            <w:webHidden/>
          </w:rPr>
          <w:fldChar w:fldCharType="separate"/>
        </w:r>
        <w:r w:rsidR="00DF4BDD">
          <w:rPr>
            <w:webHidden/>
          </w:rPr>
          <w:t>4</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1" w:history="1">
        <w:r w:rsidR="00DF4BDD" w:rsidRPr="002C7DE7">
          <w:rPr>
            <w:rStyle w:val="Hyperlink"/>
            <w:rFonts w:ascii="Times New Roman" w:hAnsi="Times New Roman"/>
          </w:rPr>
          <w:t>3.</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Hranice významnosti pro deriváty</w:t>
        </w:r>
        <w:r w:rsidR="00DF4BDD">
          <w:rPr>
            <w:webHidden/>
          </w:rPr>
          <w:tab/>
        </w:r>
        <w:r w:rsidR="00DF4BDD">
          <w:rPr>
            <w:webHidden/>
          </w:rPr>
          <w:fldChar w:fldCharType="begin"/>
        </w:r>
        <w:r w:rsidR="00DF4BDD">
          <w:rPr>
            <w:webHidden/>
          </w:rPr>
          <w:instrText xml:space="preserve"> PAGEREF _Toc524076961 \h </w:instrText>
        </w:r>
        <w:r w:rsidR="00DF4BDD">
          <w:rPr>
            <w:webHidden/>
          </w:rPr>
        </w:r>
        <w:r w:rsidR="00DF4BDD">
          <w:rPr>
            <w:webHidden/>
          </w:rPr>
          <w:fldChar w:fldCharType="separate"/>
        </w:r>
        <w:r w:rsidR="00DF4BDD">
          <w:rPr>
            <w:webHidden/>
          </w:rPr>
          <w:t>4</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2" w:history="1">
        <w:r w:rsidR="00DF4BDD" w:rsidRPr="002C7DE7">
          <w:rPr>
            <w:rStyle w:val="Hyperlink"/>
            <w:rFonts w:ascii="Times New Roman" w:hAnsi="Times New Roman"/>
          </w:rPr>
          <w:t>4.</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47.00 – Výpočet pákového poměru (LRCalc)</w:t>
        </w:r>
        <w:r w:rsidR="00DF4BDD">
          <w:rPr>
            <w:webHidden/>
          </w:rPr>
          <w:tab/>
        </w:r>
        <w:r w:rsidR="00DF4BDD">
          <w:rPr>
            <w:webHidden/>
          </w:rPr>
          <w:fldChar w:fldCharType="begin"/>
        </w:r>
        <w:r w:rsidR="00DF4BDD">
          <w:rPr>
            <w:webHidden/>
          </w:rPr>
          <w:instrText xml:space="preserve"> PAGEREF _Toc524076962 \h </w:instrText>
        </w:r>
        <w:r w:rsidR="00DF4BDD">
          <w:rPr>
            <w:webHidden/>
          </w:rPr>
        </w:r>
        <w:r w:rsidR="00DF4BDD">
          <w:rPr>
            <w:webHidden/>
          </w:rPr>
          <w:fldChar w:fldCharType="separate"/>
        </w:r>
        <w:r w:rsidR="00DF4BDD">
          <w:rPr>
            <w:webHidden/>
          </w:rPr>
          <w:t>5</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3" w:history="1">
        <w:r w:rsidR="00DF4BDD" w:rsidRPr="002C7DE7">
          <w:rPr>
            <w:rStyle w:val="Hyperlink"/>
            <w:rFonts w:ascii="Times New Roman" w:hAnsi="Times New Roman"/>
          </w:rPr>
          <w:t>5.</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40.00 – Alternativní postup určení míry expozice (LR1)</w:t>
        </w:r>
        <w:r w:rsidR="00DF4BDD">
          <w:rPr>
            <w:webHidden/>
          </w:rPr>
          <w:tab/>
        </w:r>
        <w:r w:rsidR="00DF4BDD">
          <w:rPr>
            <w:webHidden/>
          </w:rPr>
          <w:fldChar w:fldCharType="begin"/>
        </w:r>
        <w:r w:rsidR="00DF4BDD">
          <w:rPr>
            <w:webHidden/>
          </w:rPr>
          <w:instrText xml:space="preserve"> PAGEREF _Toc524076963 \h </w:instrText>
        </w:r>
        <w:r w:rsidR="00DF4BDD">
          <w:rPr>
            <w:webHidden/>
          </w:rPr>
        </w:r>
        <w:r w:rsidR="00DF4BDD">
          <w:rPr>
            <w:webHidden/>
          </w:rPr>
          <w:fldChar w:fldCharType="separate"/>
        </w:r>
        <w:r w:rsidR="00DF4BDD">
          <w:rPr>
            <w:webHidden/>
          </w:rPr>
          <w:t>13</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4" w:history="1">
        <w:r w:rsidR="00DF4BDD" w:rsidRPr="002C7DE7">
          <w:rPr>
            <w:rStyle w:val="Hyperlink"/>
            <w:rFonts w:ascii="Times New Roman" w:hAnsi="Times New Roman"/>
          </w:rPr>
          <w:t>6.</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41.00 – Rozvahové a podrozvahové položky – doplňující členění expozic (LR2)</w:t>
        </w:r>
        <w:r w:rsidR="00DF4BDD">
          <w:rPr>
            <w:webHidden/>
          </w:rPr>
          <w:tab/>
        </w:r>
        <w:r w:rsidR="00DF4BDD">
          <w:rPr>
            <w:webHidden/>
          </w:rPr>
          <w:fldChar w:fldCharType="begin"/>
        </w:r>
        <w:r w:rsidR="00DF4BDD">
          <w:rPr>
            <w:webHidden/>
          </w:rPr>
          <w:instrText xml:space="preserve"> PAGEREF _Toc524076964 \h </w:instrText>
        </w:r>
        <w:r w:rsidR="00DF4BDD">
          <w:rPr>
            <w:webHidden/>
          </w:rPr>
        </w:r>
        <w:r w:rsidR="00DF4BDD">
          <w:rPr>
            <w:webHidden/>
          </w:rPr>
          <w:fldChar w:fldCharType="separate"/>
        </w:r>
        <w:r w:rsidR="00DF4BDD">
          <w:rPr>
            <w:webHidden/>
          </w:rPr>
          <w:t>22</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5" w:history="1">
        <w:r w:rsidR="00DF4BDD" w:rsidRPr="002C7DE7">
          <w:rPr>
            <w:rStyle w:val="Hyperlink"/>
            <w:rFonts w:ascii="Times New Roman" w:hAnsi="Times New Roman"/>
          </w:rPr>
          <w:t>7.</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42.00 – Alternativní definice kapitálu (LR3)</w:t>
        </w:r>
        <w:r w:rsidR="00DF4BDD">
          <w:rPr>
            <w:webHidden/>
          </w:rPr>
          <w:tab/>
        </w:r>
        <w:r w:rsidR="00DF4BDD">
          <w:rPr>
            <w:webHidden/>
          </w:rPr>
          <w:fldChar w:fldCharType="begin"/>
        </w:r>
        <w:r w:rsidR="00DF4BDD">
          <w:rPr>
            <w:webHidden/>
          </w:rPr>
          <w:instrText xml:space="preserve"> PAGEREF _Toc524076965 \h </w:instrText>
        </w:r>
        <w:r w:rsidR="00DF4BDD">
          <w:rPr>
            <w:webHidden/>
          </w:rPr>
        </w:r>
        <w:r w:rsidR="00DF4BDD">
          <w:rPr>
            <w:webHidden/>
          </w:rPr>
          <w:fldChar w:fldCharType="separate"/>
        </w:r>
        <w:r w:rsidR="00DF4BDD">
          <w:rPr>
            <w:webHidden/>
          </w:rPr>
          <w:t>24</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6" w:history="1">
        <w:r w:rsidR="00DF4BDD" w:rsidRPr="002C7DE7">
          <w:rPr>
            <w:rStyle w:val="Hyperlink"/>
            <w:rFonts w:ascii="Times New Roman" w:hAnsi="Times New Roman"/>
          </w:rPr>
          <w:t>8.</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43.00 – Alternativní členění složek míry expozice pákového poměru (LR4)</w:t>
        </w:r>
        <w:r w:rsidR="00DF4BDD">
          <w:rPr>
            <w:webHidden/>
          </w:rPr>
          <w:tab/>
        </w:r>
        <w:r w:rsidR="00DF4BDD">
          <w:rPr>
            <w:webHidden/>
          </w:rPr>
          <w:fldChar w:fldCharType="begin"/>
        </w:r>
        <w:r w:rsidR="00DF4BDD">
          <w:rPr>
            <w:webHidden/>
          </w:rPr>
          <w:instrText xml:space="preserve"> PAGEREF _Toc524076966 \h </w:instrText>
        </w:r>
        <w:r w:rsidR="00DF4BDD">
          <w:rPr>
            <w:webHidden/>
          </w:rPr>
        </w:r>
        <w:r w:rsidR="00DF4BDD">
          <w:rPr>
            <w:webHidden/>
          </w:rPr>
          <w:fldChar w:fldCharType="separate"/>
        </w:r>
        <w:r w:rsidR="00DF4BDD">
          <w:rPr>
            <w:webHidden/>
          </w:rPr>
          <w:t>26</w:t>
        </w:r>
        <w:r w:rsidR="00DF4BDD">
          <w:rPr>
            <w:webHidden/>
          </w:rPr>
          <w:fldChar w:fldCharType="end"/>
        </w:r>
      </w:hyperlink>
    </w:p>
    <w:p w:rsidR="00DF4BDD" w:rsidRDefault="00850778">
      <w:pPr>
        <w:pStyle w:val="TOC2"/>
        <w:rPr>
          <w:rFonts w:asciiTheme="minorHAnsi" w:eastAsiaTheme="minorEastAsia" w:hAnsiTheme="minorHAnsi" w:cstheme="minorBidi"/>
          <w:b w:val="0"/>
          <w:smallCaps w:val="0"/>
          <w:sz w:val="22"/>
          <w:lang w:val="en-GB" w:eastAsia="en-GB" w:bidi="ar-SA"/>
        </w:rPr>
      </w:pPr>
      <w:hyperlink w:anchor="_Toc524076967" w:history="1">
        <w:r w:rsidR="00DF4BDD" w:rsidRPr="002C7DE7">
          <w:rPr>
            <w:rStyle w:val="Hyperlink"/>
            <w:rFonts w:ascii="Times New Roman" w:hAnsi="Times New Roman"/>
          </w:rPr>
          <w:t>9.</w:t>
        </w:r>
        <w:r w:rsidR="00DF4BDD">
          <w:rPr>
            <w:rFonts w:asciiTheme="minorHAnsi" w:eastAsiaTheme="minorEastAsia" w:hAnsiTheme="minorHAnsi" w:cstheme="minorBidi"/>
            <w:b w:val="0"/>
            <w:smallCaps w:val="0"/>
            <w:sz w:val="22"/>
            <w:lang w:val="en-GB" w:eastAsia="en-GB" w:bidi="ar-SA"/>
          </w:rPr>
          <w:tab/>
        </w:r>
        <w:r w:rsidR="00DF4BDD" w:rsidRPr="002C7DE7">
          <w:rPr>
            <w:rStyle w:val="Hyperlink"/>
            <w:rFonts w:ascii="Times New Roman" w:hAnsi="Times New Roman"/>
          </w:rPr>
          <w:t>C 44.00 – Obecné informace (LR5)</w:t>
        </w:r>
        <w:r w:rsidR="00DF4BDD">
          <w:rPr>
            <w:webHidden/>
          </w:rPr>
          <w:tab/>
        </w:r>
        <w:r w:rsidR="00DF4BDD">
          <w:rPr>
            <w:webHidden/>
          </w:rPr>
          <w:fldChar w:fldCharType="begin"/>
        </w:r>
        <w:r w:rsidR="00DF4BDD">
          <w:rPr>
            <w:webHidden/>
          </w:rPr>
          <w:instrText xml:space="preserve"> PAGEREF _Toc524076967 \h </w:instrText>
        </w:r>
        <w:r w:rsidR="00DF4BDD">
          <w:rPr>
            <w:webHidden/>
          </w:rPr>
        </w:r>
        <w:r w:rsidR="00DF4BDD">
          <w:rPr>
            <w:webHidden/>
          </w:rPr>
          <w:fldChar w:fldCharType="separate"/>
        </w:r>
        <w:r w:rsidR="00DF4BDD">
          <w:rPr>
            <w:webHidden/>
          </w:rPr>
          <w:t>44</w:t>
        </w:r>
        <w:r w:rsidR="00DF4BDD">
          <w:rPr>
            <w:webHidden/>
          </w:rPr>
          <w:fldChar w:fldCharType="end"/>
        </w:r>
      </w:hyperlink>
    </w:p>
    <w:p w:rsidR="00F06987" w:rsidRDefault="00DF4BDD">
      <w:pPr>
        <w:pStyle w:val="BodyText1"/>
        <w:rPr>
          <w:rFonts w:ascii="Times New Roman" w:eastAsiaTheme="minorEastAsia" w:hAnsi="Times New Roman"/>
          <w:color w:val="auto"/>
          <w:sz w:val="22"/>
          <w:szCs w:val="22"/>
        </w:rPr>
        <w:sectPr w:rsidR="00F06987"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076952"/>
      <w:r>
        <w:rPr>
          <w:rFonts w:ascii="Times New Roman" w:hAnsi="Times New Roman"/>
          <w:b/>
          <w:sz w:val="24"/>
        </w:rPr>
        <w:t>ČÁST I:</w:t>
      </w:r>
      <w:bookmarkEnd w:id="0"/>
      <w:r>
        <w:rPr>
          <w:rFonts w:ascii="Times New Roman" w:hAnsi="Times New Roman"/>
          <w:b/>
          <w:sz w:val="24"/>
        </w:rPr>
        <w:t xml:space="preserve"> OBECNÉ POKYNY</w:t>
      </w:r>
      <w:bookmarkEnd w:id="1"/>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524076953"/>
      <w:r>
        <w:rPr>
          <w:rFonts w:ascii="Times New Roman" w:hAnsi="Times New Roman"/>
          <w:b/>
        </w:rPr>
        <w:t>1.</w:t>
      </w:r>
      <w:r>
        <w:tab/>
      </w:r>
      <w:r>
        <w:rPr>
          <w:rFonts w:ascii="Times New Roman" w:hAnsi="Times New Roman"/>
          <w:b/>
        </w:rPr>
        <w:t>Označování šablon a jiné konvence</w:t>
      </w:r>
      <w:bookmarkEnd w:id="6"/>
      <w:bookmarkEnd w:id="7"/>
      <w:bookmarkEnd w:id="8"/>
      <w:bookmarkEnd w:id="9"/>
      <w:bookmarkEnd w:id="10"/>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524076954"/>
      <w:bookmarkStart w:id="15" w:name="_Toc264038399"/>
      <w:bookmarkStart w:id="16" w:name="_Toc294018834"/>
      <w:proofErr w:type="gramStart"/>
      <w:r>
        <w:rPr>
          <w:rFonts w:ascii="Times New Roman" w:hAnsi="Times New Roman"/>
          <w:b/>
        </w:rPr>
        <w:t>1.1</w:t>
      </w:r>
      <w:proofErr w:type="gramEnd"/>
      <w:r>
        <w:rPr>
          <w:rFonts w:ascii="Times New Roman" w:hAnsi="Times New Roman"/>
          <w:b/>
        </w:rPr>
        <w:t>.</w:t>
      </w:r>
      <w:r>
        <w:tab/>
      </w:r>
      <w:r>
        <w:rPr>
          <w:rFonts w:ascii="Times New Roman" w:hAnsi="Times New Roman"/>
          <w:b/>
        </w:rPr>
        <w:t xml:space="preserve">Označování </w:t>
      </w:r>
      <w:bookmarkEnd w:id="11"/>
      <w:r>
        <w:rPr>
          <w:rFonts w:ascii="Times New Roman" w:hAnsi="Times New Roman"/>
          <w:b/>
        </w:rPr>
        <w:t>šablon</w:t>
      </w:r>
      <w:bookmarkEnd w:id="12"/>
      <w:bookmarkEnd w:id="13"/>
      <w:bookmarkEnd w:id="14"/>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Tato příloha obsahuje doplňující pokyny k šablonám (dále jen „LR“) uvedeným v příloze X tohoto nařízení.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Rámec se skládá z celkem šesti šablon:</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C47.00: Výpočet pákového poměru (</w:t>
      </w:r>
      <w:proofErr w:type="spellStart"/>
      <w:r>
        <w:t>LRCalc</w:t>
      </w:r>
      <w:proofErr w:type="spellEnd"/>
      <w:r>
        <w:t>): Výpočet pákového poměru,</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C40.00: Šablona pákového poměru 1 (LR1): Alternativní postup určení míry expozice,</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C41.00: Šablona pákového poměru 2 (LR2): Rozvahové a podrozvahové položky – doplňující členění expozic,</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C42.00: Šablona pákového poměru 3 (LR3): Alternativní definice kapitálu,</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C43.00: Šablona pákového poměru 4 (LR4): Členění složek míry expozice pákového poměru a</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C44.00: Šablona pákového poměru 5 (LR5): Obecné informace.</w:t>
      </w:r>
    </w:p>
    <w:p w:rsidR="00F4754B" w:rsidRPr="00FE002E" w:rsidRDefault="00500508" w:rsidP="00500508">
      <w:pPr>
        <w:pStyle w:val="InstructionsText2"/>
        <w:numPr>
          <w:ilvl w:val="0"/>
          <w:numId w:val="0"/>
        </w:numPr>
        <w:ind w:left="720" w:hanging="360"/>
        <w:rPr>
          <w:rFonts w:eastAsia="Times New Roman"/>
          <w:bCs/>
          <w:szCs w:val="17"/>
        </w:rPr>
      </w:pPr>
      <w:r>
        <w:t>3.</w:t>
      </w:r>
      <w:r>
        <w:tab/>
        <w:t>U každé šablony jsou uvedeny odkazy na právní předpisy a další podrobné informace o obecnějších aspektech vykazování.</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524076955"/>
      <w:bookmarkEnd w:id="17"/>
      <w:proofErr w:type="gramStart"/>
      <w:r>
        <w:rPr>
          <w:rFonts w:ascii="Times New Roman" w:hAnsi="Times New Roman"/>
          <w:b/>
        </w:rPr>
        <w:t>1.2</w:t>
      </w:r>
      <w:proofErr w:type="gramEnd"/>
      <w:r>
        <w:rPr>
          <w:rFonts w:ascii="Times New Roman" w:hAnsi="Times New Roman"/>
          <w:b/>
        </w:rPr>
        <w:t>.</w:t>
      </w:r>
      <w:r>
        <w:tab/>
      </w:r>
      <w:r>
        <w:rPr>
          <w:rFonts w:ascii="Times New Roman" w:hAnsi="Times New Roman"/>
          <w:b/>
        </w:rPr>
        <w:t>Konvence v oblasti číslování</w:t>
      </w:r>
      <w:bookmarkEnd w:id="18"/>
      <w:bookmarkEnd w:id="19"/>
      <w:bookmarkEnd w:id="20"/>
      <w:bookmarkEnd w:id="21"/>
      <w:bookmarkEnd w:id="22"/>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Při odkazování na sloupce, řádky a buňky šablon se dokument řídí konvencemi v označování, které jsou stanoveny v následujících odstavcích. Tyto číselné kódy jsou ve velké míře používány v pravidlech pro ověřování.</w:t>
      </w:r>
    </w:p>
    <w:p w:rsidR="00F4754B" w:rsidRPr="00FE002E" w:rsidRDefault="00500508" w:rsidP="00500508">
      <w:pPr>
        <w:pStyle w:val="InstructionsText2"/>
        <w:numPr>
          <w:ilvl w:val="0"/>
          <w:numId w:val="0"/>
        </w:numPr>
        <w:ind w:left="720" w:hanging="360"/>
        <w:rPr>
          <w:rFonts w:eastAsia="Times New Roman"/>
          <w:bCs/>
          <w:szCs w:val="17"/>
        </w:rPr>
      </w:pPr>
      <w:r>
        <w:t>5.</w:t>
      </w:r>
      <w:r>
        <w:tab/>
        <w:t>V pokynech se používá tento obecný zápis: {</w:t>
      </w:r>
      <w:proofErr w:type="spellStart"/>
      <w:proofErr w:type="gramStart"/>
      <w:r>
        <w:t>šablona;řádek</w:t>
      </w:r>
      <w:proofErr w:type="gramEnd"/>
      <w:r>
        <w:t>;sloupec</w:t>
      </w:r>
      <w:proofErr w:type="spellEnd"/>
      <w:r>
        <w:t>}. K odkazu na celý řádek nebo sloupec se použije hvězdička.</w:t>
      </w:r>
    </w:p>
    <w:p w:rsidR="00F4754B" w:rsidRPr="00FE002E" w:rsidRDefault="00500508" w:rsidP="00500508">
      <w:pPr>
        <w:pStyle w:val="InstructionsText2"/>
        <w:numPr>
          <w:ilvl w:val="0"/>
          <w:numId w:val="0"/>
        </w:numPr>
        <w:ind w:left="720" w:hanging="360"/>
        <w:rPr>
          <w:rFonts w:eastAsia="Times New Roman"/>
          <w:bCs/>
          <w:szCs w:val="17"/>
        </w:rPr>
      </w:pPr>
      <w:r>
        <w:t>6.</w:t>
      </w:r>
      <w:r>
        <w:tab/>
        <w:t>V případě validací v rámci šablony, kdy jsou použity pouze údaje z této šablony, se šablona v zápisu neuvádí: {</w:t>
      </w:r>
      <w:proofErr w:type="spellStart"/>
      <w:proofErr w:type="gramStart"/>
      <w:r>
        <w:t>řádek;sloupec</w:t>
      </w:r>
      <w:proofErr w:type="spellEnd"/>
      <w:proofErr w:type="gramEnd"/>
      <w:r>
        <w:t>}.</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Pro účely vykazování informací o páce výraz „z toho“ odkazuje na položku, která je podmnožinou kategorie expozic vyšší úrovně, zatímco výraz „doplňková položka“ odkazuje na samostatnou položku, která není podmnožinou žádné kategorie expozic. Vykazování údajů v obou typech buněk je povinné, pokud není uvedeno jinak. </w:t>
      </w:r>
    </w:p>
    <w:p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524076956"/>
      <w:proofErr w:type="gramStart"/>
      <w:r>
        <w:rPr>
          <w:rFonts w:ascii="Times New Roman" w:hAnsi="Times New Roman"/>
          <w:b/>
        </w:rPr>
        <w:t>1.3</w:t>
      </w:r>
      <w:proofErr w:type="gramEnd"/>
      <w:r>
        <w:rPr>
          <w:rFonts w:ascii="Times New Roman" w:hAnsi="Times New Roman"/>
          <w:b/>
        </w:rPr>
        <w:t>.</w:t>
      </w:r>
      <w:r>
        <w:tab/>
      </w:r>
      <w:r>
        <w:rPr>
          <w:rFonts w:ascii="Times New Roman" w:hAnsi="Times New Roman"/>
          <w:b/>
        </w:rPr>
        <w:t>Zkratky</w:t>
      </w:r>
      <w:bookmarkEnd w:id="23"/>
      <w:bookmarkEnd w:id="24"/>
    </w:p>
    <w:p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rsidR="00627E07" w:rsidRDefault="00500508" w:rsidP="00500508">
      <w:pPr>
        <w:pStyle w:val="InstructionsText2"/>
        <w:numPr>
          <w:ilvl w:val="0"/>
          <w:numId w:val="0"/>
        </w:numPr>
        <w:ind w:left="720" w:hanging="360"/>
        <w:rPr>
          <w:rFonts w:eastAsia="Times New Roman"/>
          <w:bCs/>
          <w:szCs w:val="17"/>
        </w:rPr>
      </w:pPr>
      <w:r>
        <w:t>8.</w:t>
      </w:r>
      <w:r>
        <w:tab/>
        <w:t>Pro účely této přílohy a souvisejících šablon jsou použity tyto zkratky:</w:t>
      </w:r>
    </w:p>
    <w:p w:rsidR="00627E07" w:rsidRDefault="00500508" w:rsidP="00500508">
      <w:pPr>
        <w:pStyle w:val="InstructionsText2"/>
        <w:numPr>
          <w:ilvl w:val="0"/>
          <w:numId w:val="0"/>
        </w:numPr>
        <w:ind w:left="1440" w:hanging="360"/>
        <w:rPr>
          <w:rFonts w:eastAsia="Times New Roman"/>
          <w:bCs/>
          <w:szCs w:val="17"/>
        </w:rPr>
      </w:pPr>
      <w:r>
        <w:t>a.</w:t>
      </w:r>
      <w:r>
        <w:tab/>
        <w:t>CRR je zkratkou pro nařízení o kapitálových požadavcích („</w:t>
      </w:r>
      <w:proofErr w:type="spellStart"/>
      <w:r>
        <w:t>Capital</w:t>
      </w:r>
      <w:proofErr w:type="spellEnd"/>
      <w:r>
        <w:t xml:space="preserve"> </w:t>
      </w:r>
      <w:proofErr w:type="spellStart"/>
      <w:r>
        <w:t>Requirements</w:t>
      </w:r>
      <w:proofErr w:type="spellEnd"/>
      <w:r>
        <w:t xml:space="preserve"> </w:t>
      </w:r>
      <w:proofErr w:type="spellStart"/>
      <w:r>
        <w:t>Regulation</w:t>
      </w:r>
      <w:proofErr w:type="spellEnd"/>
      <w:r>
        <w:t>“), kterým se rozumí nařízení (EU) č. 575/2013;</w:t>
      </w:r>
    </w:p>
    <w:p w:rsidR="00627E07" w:rsidRDefault="00500508" w:rsidP="00500508">
      <w:pPr>
        <w:pStyle w:val="InstructionsText2"/>
        <w:numPr>
          <w:ilvl w:val="0"/>
          <w:numId w:val="0"/>
        </w:numPr>
        <w:ind w:left="1440" w:hanging="360"/>
        <w:rPr>
          <w:rFonts w:eastAsia="Times New Roman"/>
          <w:bCs/>
          <w:szCs w:val="17"/>
        </w:rPr>
      </w:pPr>
      <w:r>
        <w:lastRenderedPageBreak/>
        <w:t>b.</w:t>
      </w:r>
      <w:r>
        <w:tab/>
        <w:t>SFT je zkratkou pro transakci s financováním cenných papírů („</w:t>
      </w:r>
      <w:proofErr w:type="spellStart"/>
      <w:r>
        <w:t>Securities</w:t>
      </w:r>
      <w:proofErr w:type="spellEnd"/>
      <w:r>
        <w:t xml:space="preserve"> </w:t>
      </w:r>
      <w:proofErr w:type="spellStart"/>
      <w:r>
        <w:t>Financing</w:t>
      </w:r>
      <w:proofErr w:type="spellEnd"/>
      <w:r>
        <w:t xml:space="preserve"> </w:t>
      </w:r>
      <w:proofErr w:type="spellStart"/>
      <w:r>
        <w:t>Transaction</w:t>
      </w:r>
      <w:proofErr w:type="spellEnd"/>
      <w:r>
        <w:t>“), kterou se rozumí „</w:t>
      </w:r>
      <w:proofErr w:type="spellStart"/>
      <w:r>
        <w:t>repo</w:t>
      </w:r>
      <w:proofErr w:type="spellEnd"/>
      <w:r>
        <w:t xml:space="preserve"> obchod, půjčka či výpůjčka cenných papírů nebo komodit, transakce s delší dobou vypořádání a maržový obchod“ v souladu s nařízením (EU) č. 575/2013;</w:t>
      </w:r>
    </w:p>
    <w:p w:rsidR="008E7068" w:rsidRPr="00627E07" w:rsidRDefault="00500508" w:rsidP="00500508">
      <w:pPr>
        <w:pStyle w:val="InstructionsText2"/>
        <w:numPr>
          <w:ilvl w:val="0"/>
          <w:numId w:val="0"/>
        </w:numPr>
        <w:ind w:left="1440" w:hanging="360"/>
        <w:rPr>
          <w:rFonts w:eastAsia="Times New Roman"/>
          <w:bCs/>
          <w:szCs w:val="17"/>
        </w:rPr>
      </w:pPr>
      <w:r>
        <w:t>c.</w:t>
      </w:r>
      <w:r>
        <w:tab/>
        <w:t>CRM je zkratkou pro snižování úvěrového rizika („</w:t>
      </w:r>
      <w:proofErr w:type="spellStart"/>
      <w:r>
        <w:t>Credit</w:t>
      </w:r>
      <w:proofErr w:type="spellEnd"/>
      <w:r>
        <w:t xml:space="preserve"> Risk </w:t>
      </w:r>
      <w:proofErr w:type="spellStart"/>
      <w:r>
        <w:t>Mitigation</w:t>
      </w:r>
      <w:proofErr w:type="spellEnd"/>
      <w:r>
        <w:t>“).</w:t>
      </w:r>
    </w:p>
    <w:p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524076957"/>
      <w:proofErr w:type="gramStart"/>
      <w:r>
        <w:rPr>
          <w:rFonts w:ascii="Times New Roman" w:hAnsi="Times New Roman"/>
          <w:b/>
        </w:rPr>
        <w:t>1.4</w:t>
      </w:r>
      <w:proofErr w:type="gramEnd"/>
      <w:r>
        <w:rPr>
          <w:rFonts w:ascii="Times New Roman" w:hAnsi="Times New Roman"/>
          <w:b/>
        </w:rPr>
        <w:t>.</w:t>
      </w:r>
      <w:r>
        <w:tab/>
      </w:r>
      <w:r>
        <w:rPr>
          <w:rFonts w:ascii="Times New Roman" w:hAnsi="Times New Roman"/>
          <w:b/>
        </w:rPr>
        <w:t>Konvence v oblasti znamének</w:t>
      </w:r>
      <w:bookmarkEnd w:id="15"/>
      <w:bookmarkEnd w:id="16"/>
      <w:bookmarkEnd w:id="26"/>
      <w:bookmarkEnd w:id="27"/>
      <w:bookmarkEnd w:id="28"/>
      <w:bookmarkEnd w:id="29"/>
      <w:bookmarkEnd w:id="30"/>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1" w:name="_Toc322687869"/>
      <w:r>
        <w:t>9.</w:t>
      </w:r>
      <w:r>
        <w:tab/>
        <w:t>Všechny částky se vykazují jako kladná čísla.</w:t>
      </w:r>
      <w:bookmarkStart w:id="32" w:name="_Toc264033192"/>
      <w:bookmarkEnd w:id="32"/>
      <w:r>
        <w:t xml:space="preserve"> Výjimkou jsou částky vykazované v buňkách {LRCalc;050;010}, {LRCalc;070;010}, {LRCalc;080;010}, {LRCalc;100;010}, {LRCalc;120;010}, {LRCalc;140;010}, {LRCalc;210;010}, {LRCalc;220;010}, {LRCalc;240;010}, {LRCalc;250;010}, {LRCalc;260;010}, {LRCalc;310;010}, {LRCalc;320;010}, {LRCalc;270;010}, {LRCalc;280;010}, {LRCalc;330;010}, {LRCalc;340;010}, {LR3;010;010}, {LR3;020;010}, {LR3;030;010}, {LR3;040;010}, {LR3;055;010}, {LR3;065;010}, {LR3;075;010} a {LR3;085;010}. Přitom buňky {LRCalc;050;010}, {LRCalc;070;010}, {LRCalc;080;010}, {LRCalc;100;010}, {LRCalc;120;010}, {LRCalc;140;010}, {LRCalc;210;010}, {LRCalc;220;010}, {LRCalc;240;010}, {LRCalc;250;010}, {LRCalc;260;010}, {LRCalc;270;010}, {LRCalc;280;010}, {LR3;055;010}, {LR3;065;010}, {LR3;075;010} a {LR3;085;010} mají pouze zápornou hodnotu. Naopak buňky {LRCalc;310;010}, {LRCalc;320;010}, {LRCalc;330;010}, {LRCalc;340;010}, {LR3;010;010}, {LR3;020;010}, {LR3;030;010} a {LR3;040;010} mají s výjimkou extrémních případů pouze kladnou hodnotu.</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4076958"/>
      <w:r>
        <w:rPr>
          <w:rFonts w:ascii="Times New Roman" w:hAnsi="Times New Roman"/>
          <w:b/>
          <w:sz w:val="24"/>
        </w:rPr>
        <w:lastRenderedPageBreak/>
        <w:t>ČÁST II: POKYNY K ŠABLONÁM</w:t>
      </w:r>
      <w:bookmarkEnd w:id="31"/>
      <w:bookmarkEnd w:id="33"/>
      <w:bookmarkEnd w:id="34"/>
      <w:bookmarkEnd w:id="35"/>
      <w:bookmarkEnd w:id="36"/>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7" w:name="_Toc359414282"/>
      <w:bookmarkStart w:id="38" w:name="_Toc423089067"/>
      <w:bookmarkStart w:id="39" w:name="_Toc524076959"/>
      <w:bookmarkStart w:id="40" w:name="_Toc322631544"/>
      <w:bookmarkStart w:id="41" w:name="_Toc322687870"/>
      <w:r>
        <w:rPr>
          <w:rFonts w:ascii="Times New Roman" w:hAnsi="Times New Roman"/>
          <w:b/>
        </w:rPr>
        <w:t>1.</w:t>
      </w:r>
      <w:r>
        <w:tab/>
      </w:r>
      <w:r>
        <w:rPr>
          <w:rFonts w:ascii="Times New Roman" w:hAnsi="Times New Roman"/>
          <w:b/>
        </w:rPr>
        <w:t>Struktura a četnost</w:t>
      </w:r>
      <w:bookmarkEnd w:id="37"/>
      <w:bookmarkEnd w:id="38"/>
      <w:bookmarkEnd w:id="39"/>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2" w:name="_Toc322533849"/>
      <w:r>
        <w:rPr>
          <w:rFonts w:ascii="Times New Roman" w:hAnsi="Times New Roman"/>
        </w:rPr>
        <w:t>1.</w:t>
      </w:r>
      <w:r>
        <w:tab/>
      </w:r>
      <w:r>
        <w:rPr>
          <w:rFonts w:ascii="Times New Roman" w:hAnsi="Times New Roman"/>
        </w:rPr>
        <w:t>Šablona pákového poměru se dělí na dvě části. Část A obsahuje všechny datové položky používané při výpočtu pákového poměru, které instituce předkládají příslušným orgánům podle čl. 430 odst. 1 prvního pododstavce CRR, zatímco část B obsahuje všechny datové položky, které instituce předkládají podle čl. 430 odst. 1 druhého pododstavce CRR (tj. pro účely zprávy podle článku 511 CRR).</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Při sestavování údajů pro účely této prováděcí technické normy zohlední instituce zacházení s aktivy ve svěřenecké správě v souladu s čl. 429 odst. 13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3" w:name="_Toc359414283"/>
      <w:bookmarkStart w:id="44" w:name="_Toc423089068"/>
      <w:bookmarkStart w:id="45" w:name="_Toc524076960"/>
      <w:r>
        <w:rPr>
          <w:rFonts w:ascii="Times New Roman" w:hAnsi="Times New Roman"/>
          <w:b/>
        </w:rPr>
        <w:t>2.</w:t>
      </w:r>
      <w:r>
        <w:tab/>
      </w:r>
      <w:r>
        <w:rPr>
          <w:rFonts w:ascii="Times New Roman" w:hAnsi="Times New Roman"/>
          <w:b/>
        </w:rPr>
        <w:t>Vzorce pro výpočet pákového poměru</w:t>
      </w:r>
      <w:bookmarkEnd w:id="43"/>
      <w:bookmarkEnd w:id="44"/>
      <w:bookmarkEnd w:id="45"/>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Pákový poměr vychází z hodnoty kapitálu a z celkové míry expozice, které lze vypočítat pomocí buněk z části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Pákový poměr – plně zavedená definice = {LRCalc;310;010} / {LRCalc;290;010}.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Pákový poměr – přechodná definice = {LRCalc;320;010} / {LRCalc;300;010}.</w:t>
      </w:r>
    </w:p>
    <w:p w:rsidR="00FC2664" w:rsidRPr="00FE002E" w:rsidRDefault="00FC2664" w:rsidP="007E2A41">
      <w:pPr>
        <w:pStyle w:val="BodyText1"/>
        <w:spacing w:line="240" w:lineRule="auto"/>
        <w:rPr>
          <w:rFonts w:ascii="Times New Roman" w:hAnsi="Times New Roman"/>
        </w:rPr>
      </w:pPr>
      <w:bookmarkStart w:id="46" w:name="_Toc322533852"/>
      <w:bookmarkEnd w:id="42"/>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7" w:name="_Toc359414284"/>
      <w:bookmarkStart w:id="48" w:name="_Toc423089069"/>
      <w:bookmarkStart w:id="49" w:name="_Toc524076961"/>
      <w:r>
        <w:rPr>
          <w:rFonts w:ascii="Times New Roman" w:hAnsi="Times New Roman"/>
          <w:b/>
        </w:rPr>
        <w:t>3.</w:t>
      </w:r>
      <w:r>
        <w:tab/>
      </w:r>
      <w:r>
        <w:rPr>
          <w:rFonts w:ascii="Times New Roman" w:hAnsi="Times New Roman"/>
          <w:b/>
        </w:rPr>
        <w:t>Hranice významnosti pro deriváty</w:t>
      </w:r>
      <w:bookmarkEnd w:id="47"/>
      <w:bookmarkEnd w:id="48"/>
      <w:bookmarkEnd w:id="4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S cílem snížit zátěž související s vykazováním pro instituce s omezenými expozicemi v derivátech se při posuzování významnosti derivátových expozic ve vztahu k celkové expozici pákového poměru užívají následující míry. Instituce tyto míry vypočítají takto</w:t>
      </w:r>
      <w:bookmarkStart w:id="50" w:name="_Toc322533853"/>
      <w:bookmarkEnd w:id="46"/>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1" w:name="_Toc322533854"/>
      <w:bookmarkEnd w:id="50"/>
      <w:r>
        <w:rPr>
          <w:rFonts w:ascii="Times New Roman" w:hAnsi="Times New Roman"/>
        </w:rPr>
        <w:t>7.</w:t>
      </w:r>
      <w:r>
        <w:tab/>
      </w:r>
      <w:r>
        <w:rPr>
          <w:rFonts w:ascii="Times New Roman" w:hAnsi="Times New Roman"/>
        </w:rPr>
        <w:t xml:space="preserve">Podíl derivátů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kde celková míra expozice je rovna: {LRCalc;290;010}.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Celková pomyslná hodnota, k níž deriváty odkazují = {LR1; 010;070}. Tuto buňku instituce vyplňují vždy.</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Objem úvěrových derivátů = {LR1;020;070} + {LR1;050;070}. Tyto buňky instituce vyplňují vždy.</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Instituce mají povinnost vyplnit v následujícím vykazovaném období buňky uvedené v odstavci 14, je-li splněna jedna z následujících podmínek:</w:t>
      </w:r>
    </w:p>
    <w:p w:rsidR="00607A1B" w:rsidRPr="00FE002E" w:rsidRDefault="00607A1B" w:rsidP="00607A1B">
      <w:pPr>
        <w:pStyle w:val="BodyText1"/>
        <w:spacing w:line="240" w:lineRule="auto"/>
        <w:ind w:left="720"/>
        <w:rPr>
          <w:rFonts w:ascii="Times New Roman" w:hAnsi="Times New Roman"/>
        </w:rPr>
      </w:pPr>
    </w:p>
    <w:p w:rsidR="00850778" w:rsidRPr="00FE002E" w:rsidRDefault="00500508" w:rsidP="00850778">
      <w:pPr>
        <w:pStyle w:val="InstructionsText2"/>
        <w:numPr>
          <w:ilvl w:val="0"/>
          <w:numId w:val="47"/>
        </w:numPr>
        <w:ind w:left="1134" w:hanging="425"/>
        <w:rPr>
          <w:rFonts w:eastAsia="Times New Roman"/>
          <w:bCs/>
          <w:szCs w:val="17"/>
          <w:lang w:eastAsia="de-DE"/>
        </w:rPr>
      </w:pPr>
      <w:r>
        <w:t>podíl derivátů uvedený v odstavci 7 přesahuje ke dvěma po sobě jdoucím rozhodným dnům 1,5 %;</w:t>
      </w:r>
    </w:p>
    <w:p w:rsidR="00675587" w:rsidRPr="00FE002E" w:rsidRDefault="00500508" w:rsidP="00850778">
      <w:pPr>
        <w:pStyle w:val="InstructionsText2"/>
        <w:numPr>
          <w:ilvl w:val="0"/>
          <w:numId w:val="47"/>
        </w:numPr>
        <w:ind w:left="1134" w:hanging="425"/>
        <w:rPr>
          <w:rFonts w:ascii="Symbol" w:eastAsia="Times New Roman" w:hAnsi="Symbol"/>
          <w:bCs/>
          <w:szCs w:val="17"/>
        </w:rPr>
      </w:pPr>
      <w:r>
        <w:t>podíl derivátů uvedený v odstavci 7 přesahuje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12.</w:t>
      </w:r>
      <w:r>
        <w:tab/>
      </w:r>
      <w:r>
        <w:rPr>
          <w:rFonts w:ascii="Times New Roman" w:hAnsi="Times New Roman"/>
        </w:rPr>
        <w:t>Instituce, u nichž celková pomyslná hodnota, k níž deriváty odkazují, dle definice v odstavci 9 přesahuje 10 miliard EUR, musí vyplnit buňky uvedené v odstavci 14 i v případě, že podíl derivátů nesplňuje podmínky uvedené v odstavci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Instituce musí vyplnit buňky uvedené v odstavci 15, je-li splněna jedna z následujících podmínek:</w:t>
      </w:r>
    </w:p>
    <w:p w:rsidR="00607A1B" w:rsidRPr="00FE002E" w:rsidRDefault="00607A1B" w:rsidP="00607A1B">
      <w:pPr>
        <w:pStyle w:val="BodyText1"/>
        <w:spacing w:line="240" w:lineRule="auto"/>
        <w:rPr>
          <w:rFonts w:ascii="Times New Roman" w:hAnsi="Times New Roman"/>
        </w:rPr>
      </w:pPr>
    </w:p>
    <w:p w:rsidR="00F4754B" w:rsidRPr="00FE002E" w:rsidRDefault="00500508" w:rsidP="00850778">
      <w:pPr>
        <w:pStyle w:val="InstructionsText2"/>
        <w:numPr>
          <w:ilvl w:val="0"/>
          <w:numId w:val="48"/>
        </w:numPr>
        <w:ind w:left="1134" w:hanging="425"/>
        <w:rPr>
          <w:rFonts w:ascii="Symbol" w:eastAsia="Times New Roman" w:hAnsi="Symbol"/>
          <w:bCs/>
          <w:szCs w:val="17"/>
        </w:rPr>
      </w:pPr>
      <w:r>
        <w:lastRenderedPageBreak/>
        <w:t>objem úvěrových derivátů uvedený v odstavci 10 přesahuje ke dvěma po sobě jdoucím rozhodným dnům 300 milionů EUR;</w:t>
      </w:r>
    </w:p>
    <w:p w:rsidR="00675587" w:rsidRPr="00FE002E" w:rsidRDefault="00500508" w:rsidP="00850778">
      <w:pPr>
        <w:pStyle w:val="InstructionsText2"/>
        <w:numPr>
          <w:ilvl w:val="0"/>
          <w:numId w:val="48"/>
        </w:numPr>
        <w:ind w:left="1134" w:hanging="425"/>
        <w:rPr>
          <w:rFonts w:ascii="Symbol" w:eastAsia="Times New Roman" w:hAnsi="Symbol"/>
          <w:bCs/>
          <w:szCs w:val="17"/>
        </w:rPr>
      </w:pPr>
      <w:r>
        <w:t xml:space="preserve">objem </w:t>
      </w:r>
      <w:bookmarkStart w:id="52" w:name="_GoBack"/>
      <w:bookmarkEnd w:id="52"/>
      <w:r>
        <w:t>úvěrových derivátů uvedený v odstavci 10 přesahuje 500 milionů EUR.</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V souladu s odstavcem 11 vyplňují instituce tyto buňky: {LR1;010;010}, {LR1;010;020}, {LR1;010;050}, {LR1;020;010}, {LR1;020;020}, {LR1;020;050}, {LR1;030;050}, {LR1;030;070}, {LR1;040;050}, {LR1;040;070}, {LR1;050;010}, {LR1;050;020}, {LR1;050;050}, {LR1;060;010}, {LR1;060;020}, {LR1;060;050} a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V souladu s odstavcem 13 vyplňují instituce tyto buňky: {LR1;020;075}, {LR1;050;075} a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1"/>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4076962"/>
      <w:r>
        <w:rPr>
          <w:rFonts w:ascii="Times New Roman" w:hAnsi="Times New Roman"/>
          <w:b/>
        </w:rPr>
        <w:t>4.</w:t>
      </w:r>
      <w:r>
        <w:tab/>
      </w:r>
      <w:r>
        <w:rPr>
          <w:rFonts w:ascii="Times New Roman" w:hAnsi="Times New Roman"/>
          <w:b/>
        </w:rPr>
        <w:t>C 47.00 – Výpočet pákového poměru</w:t>
      </w:r>
      <w:bookmarkEnd w:id="53"/>
      <w:bookmarkEnd w:id="56"/>
      <w:r>
        <w:rPr>
          <w:rFonts w:ascii="Times New Roman" w:hAnsi="Times New Roman"/>
          <w:b/>
        </w:rPr>
        <w:t xml:space="preserve"> (</w:t>
      </w:r>
      <w:proofErr w:type="spellStart"/>
      <w:r>
        <w:rPr>
          <w:rFonts w:ascii="Times New Roman" w:hAnsi="Times New Roman"/>
          <w:b/>
        </w:rPr>
        <w:t>LRCalc</w:t>
      </w:r>
      <w:proofErr w:type="spellEnd"/>
      <w:r>
        <w:rPr>
          <w:rFonts w:ascii="Times New Roman" w:hAnsi="Times New Roman"/>
          <w:b/>
        </w:rPr>
        <w:t>)</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V této části šablony pro vykazování jsou sdruženy údaje potřebné pro výpočet pákového poměru, jak je definován v článcích 429, 429a a 429b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Instituce vykazují pákový poměr čtvrtletně. V každém čtvrtletí se hodnotou „k rozhodnému dni“ rozumí hodnota k poslednímu kalendářnímu dni třetího měsíce příslušného čtvrtletí.</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Instituce vyplňují buňky {010;010} až {030;010}, {060;010}, {090;010}, {110;010}, a {150;010} až {190;010}, jako kdyby vynětí dle buněk {050;010}, {080;010}, {100;010}, {120;010} a {220;010} neplatilo.</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Instituce vyplňují buňky {010;010} až {240;010}, jako kdyby vynětí dle buněk {250;010} a {260;010} neplatilo.</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Jakákoli částka, která zvyšuje kapitál nebo expozici pákového poměru, se vykazuje jako kladné číslo. Naopak jakákoli částka, která celkový kapitál nebo expozici pákového poměru snižuje, se vykazuje jako číslo záporné. Je-li před označením položky uvedeno záporné znaménko (–), předpokládá se, že u této položky nebude uvedeno žádné kladné číslo.</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Odkazy na právní předpisy a pokyny</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Řádek a sloupec</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Hodnoty expozice</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Transakce SFT: expozice podle čl. 429 odst. 5 a 8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5 písm. d) a odst. 8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Expozice transakcí SFT vypočtená podle čl. 429 odst. 5 písm. d) a odst. 8 CRR.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Při vyplňování této buňky instituce zohlední transakce podle čl. 429b odst. 6 písm. 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Instituce do této buňky nezahrnou obdržené peněžní prostředky nebo jakékoli zajištění poskytnuté protistraně prostřednictvím výše uvedených transakcí, které je ponecháno v rozvaze (tj. nejsou splněna účetní kritéria pro odúčtování). Takové položky instituce uvedou v buňce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Instituce do této buňky nezahrnou transakce SFT, v nichž vystupují jako zmocněnec a poskytují zákazníkovi nebo protistraně zabezpečení či záruku, které jsou omezeny na rozdíl </w:t>
            </w:r>
            <w:r>
              <w:rPr>
                <w:rFonts w:ascii="Times New Roman" w:hAnsi="Times New Roman"/>
              </w:rPr>
              <w:lastRenderedPageBreak/>
              <w:t>mezi hodnotou cenných papírů nebo hotovosti, jež zapůjčil zákazník, a hodnotou kolaterálu, který poskytl dlužník, v souladu s čl. 429b odst. 6 písm. a)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Transakce SFT: navýšení pro úvěrové riziko protistrany</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429b odst. 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Navýšení pro úvěrové riziko protistrany u transakcí SFT včetně podrozvahových, stanovené v souladu s čl. 429b odst. 2 nebo 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Při vyplňování této buňky instituce zohlední transakce podle čl. 429b odst. 6 písm. 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429b odst. 6 písm. a) CRR. Takové položky instituce uvedou v buňce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Odchylka pro transakce SFT: navýšení podle čl. 429b odst. 4 a článku 222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429b odst. 4 a článek 222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Hodnota expozice transakcí SFT včetně podrozvahových, vypočítaná v souladu s článkem 222 CRR za podmínky uplatnění příslušné rizikové váhy se spodní hranicí 20 %.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Při vyplňování této buňky instituce zohlední transakce podle čl. 429b odst. 6 písm. c)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Instituce v této buňce nezohlední transakce, u kterých je část hodnoty expozice pákového poměru připadající na navýšení stanovena metodou podle čl. 429b odst. 1 CRR.</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Úvěrové riziko protistrany u transakcí SFT, v nichž instituce vystupuje jako zmocněnec, podle čl. 429b odst. 6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429b odst. 2 a 3 a odst. 6 písm. a)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Hodnota expozice transakcí SFT, v nichž instituce vystupuje jako zmocněnec a poskytuje zákazníkovi nebo protistraně zabezpečení či záruku, které jsou omezeny na rozdíl mezi hodnotou cenných papírů nebo hotovosti, jež zapůjčil zákazník, a hodnotou kolaterálu, který poskytl dlužník, v souladu s čl. 429b odst. 6 písm. a) CRR, sestává pouze z navýšení určeného v souladu s čl. 429b odst. 2, příp. 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Při vyplňování této buňky instituce nezohlední transakce podle čl. 429b odst. 6 písm. c). Takové položky instituce uvedou v buňkách 010;010} a {020;010}, příp. {010;010} a {030;010}.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Vyňaté expozice vůči ústřední protistraně u transakcí SFT na účet klienta</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11 a čl. 306 odst. 1 písm. 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Vyňaté obchodní expozice vůči ústřední protistraně u transakcí SFT na účet klienta za předpokladu, že tyto položky splňují podmínky stanovené v čl. 306 odst. 1 písm. c)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Je-li vyňatou expozicí vůči ústřední protistraně cenný papír, v této buňce se nezohlední, ledaže se jedná o opětovně zastavený cenný papír, který je podle použitelného účetního rámce (tj. v souladu s čl. 111 odst. 1 první větou CRR) zohledňován v plné výši.</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Instituce zahrnou částku uvedenou v této buňce také do buněk {010;010}, {020;010} a {030;010}, jako kdyby vynětí neplatilo, a je-li splněna podmínka v druhé polovině předchozí věty, do buňky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Složila-li instituce pro vyňatou část transakce SFT, která se vykazuje v buňce {190;010}, a nikoli v buňce {020;010}ani v buňce {030;010}, počáteční marži, může ji instituce vykázat v této buňce.</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Deriváty: současné reprodukční náklady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Články 429a, 274, 295, 296, 297 a 298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Současné reprodukční náklady podle čl. 274 odst. 1 CRR u smluv uvedených v příloze II CRR a úvěrových derivátů, včetně podrozvahových, vykázané včetně obdržené variační marže.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Jak stanoví čl. 429a odst. 1 CRR, instituce mohou zohlednit dopady smluv o novaci a jiných dohod o započtení v souladu s článkem 295 CRR. Křížové započtení se neuplatňuje. Instituce však mohou započítávat v rámci kategorie produktů uvedené v čl. 272 bodě 25 písm. c) CRR a úvěrových derivátů, pokud se na ně vztahují dohody o smluvním křížovém započtení uvedené v čl. 295 písm. c)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Instituce do této buňky nezahrnou smlouvy oceňované pomocí metody původní expozice v souladu s čl. 429a odst. 8 a článkem 275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Způsobilá obdržená hotovostní variační marže započtená proti tržní hodnotě derivátů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429a odst. 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Variační marže obdržená v hotovosti od protistrany, kterou je možné započíst proti části derivátové expozice, jež se týká reprodukčních nákladů, v souladu s čl. 429a odst. 3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t>Hotovostní variační marže obdržená na vyňaté expozice vůči ústřední protistraně podle čl. 429 odst. 11 CRR se nevykazuje.</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Vyňaté obchodní expozice vůči ústřední protistraně u transakcí na účet klienta (reprodukční náklady)</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Podíl reprodukčních nákladů u vyňatých obchodních expozic vůči způsobilé ústřední protistraně, jež plynou z derivátových transakcí na účet klienta, za předpokladu, že tyto položky splňují podmínky čl. 306 odst. 1 písm. c) CRR. Tato částka se vykazuje včetně hotovostní variační marže obdržené na tuto složku transakce.</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Instituce zahrnou částku uvedenou v této buňce rovněž do buňky {060;010}, jako kdyby vynětí neplatilo.</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Deriváty: navýšení podle metody oceňování podle tržní hodnoty</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Články 429a, 274, 295, 296, 297, 298 a čl. 299 odst. 2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 této buňce se uvádí navýšení pro potenciální budoucí expozici smluv uvedených v příloze II CRR a úvěrových derivátů, včetně podrozvahových, vypočtenou v souladu s metodou oceňování podle tržní hodnoty (článek 274 CRR pro smlouvy uvedené v příloze II CRR a čl. 299 odst. 2 CRR pro úvěrové deriváty) s uplatněním pravidel pro započtení podle čl. 429a odst. 1 CRR. Při určování hodnoty expozice těchto smluv mohou instituce zohlednit dopady smluv o novaci a jiných dohod o započtení v souladu s článkem 295 CRR. Křížové započtení se neuplatňuje. Instituce však mohou započítávat v rámci kategorie produktů uvedené v čl. 272 bodě 25 písm. c) CRR a úvěrových derivátů, pokud se na ně vztahují dohody o smluvním křížovém započtení uvedené v čl. 295 písm. c) CRR.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V souladu s čl. 429a odst. 1 druhým pododstavcem CRR instituce při určování potenciální budoucí úvěrové expozice úvěrových derivátů uplatní zásady stanovené v čl. 299 odst. 2 písm. a) CRR na všechny své úvěrové deriváty, a nikoliv pouze na deriváty, které jsou zařazeny do obchodního portfolia.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Instituce do této buňky nezahrnou smlouvy oceňované pomocí metody původní expozice v souladu s čl. 429a odst. 8 a článkem 275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Vyňaté obchodní expozice vůči ústřední protistraně u transakcí na účet klienta (potenciální budoucí expozice)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Potenciální budoucí expozice vyňatých obchodních expozic vůči způsobilé ústřední protistraně, jež plynou z derivátových transakcí na účet klienta, za předpokladu, že tyto položky splňují podmínky čl. 306 odst. 1 písm. c)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Instituce zahrnou částku uvedenou v této buňce rovněž do buňky {090;010}, jako kdyby vynětí neplatilo.</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Odchylka pro deriváty: metoda původní expozice</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429a odst. 8 a článek 275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V této buňce se uvádí míra expozice smluv uvedených v příloze II </w:t>
            </w:r>
            <w:proofErr w:type="gramStart"/>
            <w:r>
              <w:rPr>
                <w:rFonts w:ascii="Times New Roman" w:hAnsi="Times New Roman"/>
              </w:rPr>
              <w:t>bodech</w:t>
            </w:r>
            <w:proofErr w:type="gramEnd"/>
            <w:r>
              <w:rPr>
                <w:rFonts w:ascii="Times New Roman" w:hAnsi="Times New Roman"/>
              </w:rPr>
              <w:t xml:space="preserve"> 1 a 2 CRR vypočtená podle metody původní expozice uvedené v článku 275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Instituce, které metodu původní expozice používají, nesnižují v souladu s čl. 429a odst. 8 CRR míru expozice o variační marži obdrženou v hotovosti.</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Instituce, které metodu původní expozice nepoužívají, tuto buňku nevyplňují.</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Instituce v této buňce nezohlední smlouvy oceňované metodou oceňování podle tržní hodnoty v souladu s čl. 429a odst. 1 a článkem 274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Vyňaté obchodní expozice vůči ústřední protistraně u transakcí na účet klienta (metoda původní expozice)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Vyňaté obchodní expozice vůči ústřední protistraně u transakcí na účet klienta při použití metody původní expozice uvedené v článku 275 CRR, za předpokladu, že tyto položky splňují podmínky stanovené v čl. 306 odst. 1 písm. c)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Instituce zahrnou částku uvedenou v této buňce rovněž do buňky {110;010}, jako kdyby vynětí neplatilo.</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Limitovaná pomyslná hodnota prodaných úvěrových derivátů</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429a odst. 5 až 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Limitovaná pomyslná hodnota prodaných úvěrových derivátů (tj. poskytuje-li instituce protistraně zajištění úvěrového rizika), kterou upravuje čl. 429a odst. 5 až 7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Způsobilé zakoupené úvěrové deriváty započtené proti prodaným úvěrovým derivátům</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429a odst. 5 až 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Limitovaná pomyslná hodnota zakoupených úvěrových derivátů (tj. kupuje-li instituce od protistrany zajištění úvěrového rizika) se stejným referenčním jménem jako prodané úvěrové deriváty dané instituce, jestliže zbývající doba splatnosti zakoupeného zajištění je nejméně rovna zbývající době splatnosti prodaného zajištění. Tato hodnota tedy nemůže být vyšší než hodnota uvedená za jednotlivá referenční jména v buňce {130;010}.</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Podrozvahové položky s úvěrovým konverzním faktorem 10 % v souladu s čl. 429 odst. 10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10, čl. 111 odst. 1 písm. d) a čl. 166 odst. 9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Hodnota expozice podle čl. 429 odst. 10 a čl. 111 odst. 1 písm. d) CRR u podrozvahových položek s nízkým rizikem uvedených v příloze I bodě 4 písm. a) až c) CRR, kterým by byl přiřazen úvěrový konverzní faktor 0 % (pozn.: hodnota expozice v tomto případě činí 10 % nominální hodnoty). Jedná se o přísliby, které instituce může kdykoli bezpodmínečně a bez výpovědi zrušit („bezpodmínečně zrušitelné“), nebo které umožňují automatické zrušení z důvodu zhoršení úvěruschopnosti dlužníka.</w:t>
            </w:r>
            <w:r>
              <w:t xml:space="preserve"> </w:t>
            </w:r>
            <w:r>
              <w:rPr>
                <w:rFonts w:ascii="Times New Roman" w:hAnsi="Times New Roman"/>
              </w:rPr>
              <w:t>Pozn.: nominální hodnota se nesnižuje o specifické úpravy o úvěrové riziko.</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Pokud se některý příslib vztahuje k prodloužení jiného příslibu, použije se v souladu s čl. 166 odst. 9 CRR nižší z obou konverzních faktorů spojených s jednotlivými přísliby.</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{160;010}</w:t>
            </w: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Podrozvahové položky s úvěrovým konverzním faktorem 20 % v souladu s čl. 429 odst. 10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10, čl. 111 odst. 1 písm. c) a čl. 166 odst. 9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Hodnota expozice podle čl. 429 odst. 10 a čl. 111 odst. 1 písm. c) CRR u podrozvahových položek se středně nízkým rizikem uvedených v příloze I bodě 3 písm. a) a b) CRR, kterým by byl přiřazen úvěrový konverzní faktor 20 % (pozn.: hodnota expozice v tomto případě činí 20 % nominální hodnoty).</w:t>
            </w:r>
            <w:r>
              <w:t xml:space="preserve"> </w:t>
            </w:r>
            <w:r>
              <w:rPr>
                <w:rFonts w:ascii="Times New Roman" w:hAnsi="Times New Roman"/>
              </w:rPr>
              <w:t>Pozn.: nominální hodnota se nesnižuje o specifické úpravy o úvěrové riziko.</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Pokud se některý příslib vztahuje k prodloužení jiného příslibu, použije se v souladu s čl. 166 odst. 9 CRR nižší z obou konverzních faktorů spojených s jednotlivými přísliby.</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V souladu s čl. 429 odst. 10 CRR instituce v této buňce nezohlední smlouvy uvedené v příloze II CRR, úvěrové deriváty a transakce SFT.</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rPr>
              <w:t>Podrozvahové položky s úvěrovým konverzním faktorem 50 % v souladu s čl. 429 odst. 10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10, čl. 111 odst. 1 písm. b) a čl. 166 odst. 9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Hodnota expozice podle čl. 429 odst. 10 a čl. 111 odst. 1 písm. b) CRR u podrozvahových položek se středním rizikem uvedených v příloze I bodě 2 písm. a) a b) CRR, kterým by byl podle definice standardizovaného přístupu k úvěrovému riziku přiřazen úvěrový konverzní faktor 50 % (pozn.: hodnota expozice v tomto případě činí 50 % nominální hodnoty). Pozn.: nominální hodnota se nesnižuje o specifické úpravy o úvěrové riziko.</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Tato buňka zahrnuje likviditní přísliby a jiné přísliby související se </w:t>
            </w:r>
            <w:proofErr w:type="spellStart"/>
            <w:r>
              <w:rPr>
                <w:rFonts w:ascii="Times New Roman" w:hAnsi="Times New Roman"/>
              </w:rPr>
              <w:t>sekuritizací</w:t>
            </w:r>
            <w:proofErr w:type="spellEnd"/>
            <w:r>
              <w:rPr>
                <w:rFonts w:ascii="Times New Roman" w:hAnsi="Times New Roman"/>
              </w:rPr>
              <w:t xml:space="preserve">. Úvěrový konverzní faktor pro všechny likviditní přísliby činí v souladu s článkem 255 CRR 50 % bez ohledu na jejich splatnost.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Pokud se některý příslib vztahuje k prodloužení jiného příslibu, použije se v souladu s čl. 166 odst. 9 CRR nižší z obou konverzních faktorů spojených s jednotlivými přísliby.</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Podrozvahové položky s úvěrovým konverzním faktorem 100 % v souladu s čl. 429 odst. 10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10, čl. 111 odst. 1 písm. a) a čl. 166 odst. 9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Hodnota expozice podle čl. 429 odst. 10 a čl. 111 odst. 1 písm. a) CRR u podrozvahových položek s vysokým rizikem uvedených v příloze I bodě 1 písm. a) až k) CRR, kterým by byl přiřazen úvěrový konverzní faktor 100 % (pozn.: hodnota expozice v tomto případě činí 100 % nominální hodnoty). Pozn.: nominální hodnota se nesnižuje o specifické úpravy o úvěrové riziko.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Tato buňka zahrnuje likviditní přísliby a jiné přísliby související se </w:t>
            </w:r>
            <w:proofErr w:type="spellStart"/>
            <w:r>
              <w:rPr>
                <w:rFonts w:ascii="Times New Roman" w:hAnsi="Times New Roman"/>
              </w:rPr>
              <w:t>sekuritizací</w:t>
            </w:r>
            <w:proofErr w:type="spellEnd"/>
            <w:r>
              <w:rPr>
                <w:rFonts w:ascii="Times New Roman" w:hAnsi="Times New Roman"/>
              </w:rPr>
              <w:t xml:space="preserve">.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Pokud se některý příslib vztahuje k prodloužení jiného příslibu, použije se v souladu s čl. 166 odst. 9 CRR nižší z obou konverzních faktorů spojených s jednotlivými přísliby.</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Ostatní aktiva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Čl. 429 odst. 5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Všechna ostatní aktiva kromě smluv uvedených v příloze II CRR, úvěrových derivátů a transakcí SFT (mezi ostatní aktiva vykazovaná v této buňce patří např. pohledávky z poskytnuté hotovostní variační marže, jestliže jsou dle platného účetního rámce vykázány, likvidní aktiva podle definice pro účely ukazatele krytí likvidity, neúspěšné a nevypořádané transakce). Instituce provádí oceňování podle zásad uvedených v čl. 429 odst. 5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Instituce do této buňky zahrnou obdržené peněžní prostředky nebo jakékoli zajištění poskytnuté protistraně prostřednictvím transakcí SFT, které je ponecháno v rozvaze (tj. nejsou splněna účetní kritéria pro odúčtování). Kromě toho zde instituce vykážou položky, které se odečítají od kmenového kapitálu </w:t>
            </w:r>
            <w:proofErr w:type="spellStart"/>
            <w:r>
              <w:rPr>
                <w:rFonts w:ascii="Times New Roman" w:hAnsi="Times New Roman"/>
              </w:rPr>
              <w:t>tier</w:t>
            </w:r>
            <w:proofErr w:type="spellEnd"/>
            <w:r>
              <w:rPr>
                <w:rFonts w:ascii="Times New Roman" w:hAnsi="Times New Roman"/>
              </w:rPr>
              <w:t xml:space="preserve"> 1 a vedlejšího kapitálu </w:t>
            </w:r>
            <w:proofErr w:type="spellStart"/>
            <w:r>
              <w:rPr>
                <w:rFonts w:ascii="Times New Roman" w:hAnsi="Times New Roman"/>
              </w:rPr>
              <w:t>tier</w:t>
            </w:r>
            <w:proofErr w:type="spellEnd"/>
            <w:r>
              <w:rPr>
                <w:rFonts w:ascii="Times New Roman" w:hAnsi="Times New Roman"/>
              </w:rPr>
              <w:t xml:space="preserve"> 1 (např. nehmotná aktiva, odložené daňové pohledávky atd.).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Navýšení o poskytnutý kolaterál k derivátům</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429a odst. 2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Objem poskytnutého kolaterálu k derivátům, pokud se podle použitelného účetního rámce jeho poskytnutím snižuje objem aktiv, jak stanoví čl. 429a odst. 2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Instituce v této buňce nezohlední počáteční marži u derivátových transakcí se způsobilou ústřední protistranou na účet klienta, ani způsobilou hotovostní variační marži podle vymezení v čl. 429a odst. 3 CRR.</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Pohledávky z hotovostní variační marže poskytnuté v derivátových transakcích</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Čl. 429a odst. 3 třetí pododstavec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Pohledávky, jež plynou z variační marže uhrazené v hotovosti protistraně v derivátových transakcích, je-li instituce podle použitelného účetního rámce povinna vykázat tyto pohledávky jako aktivum, za předpokladu splnění podmínek v čl. 429a odst. 3 písm. a) až 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lastRenderedPageBreak/>
              <w:t>Zde uvedená částka se rovněž zahrne do ostatních aktiv vykázaných v buňce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Vyňaté obchodní expozice vůči ústřední protistraně u transakcí na účet klienta (počáteční marže)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11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Podíl (poskytnuté) počáteční marže na vyňatých obchodních expozicích vůči způsobilé ústřední protistraně, jež plynou z derivátových transakcí na účet klienta, za předpokladu, že tyto položky splňují podmínky čl. 306 odst. 1 písm. c)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Zde uvedená částka se rovněž zahrne do ostatních aktiv vykázaných v buňce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Úpravy o účetní operace související s prodejem v případě transakcí SFT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429b odst. 5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Hodnota cenných papírů zapůjčených v rámci </w:t>
            </w:r>
            <w:proofErr w:type="spellStart"/>
            <w:r>
              <w:rPr>
                <w:rFonts w:ascii="Times New Roman" w:hAnsi="Times New Roman"/>
              </w:rPr>
              <w:t>repo</w:t>
            </w:r>
            <w:proofErr w:type="spellEnd"/>
            <w:r>
              <w:rPr>
                <w:rFonts w:ascii="Times New Roman" w:hAnsi="Times New Roman"/>
              </w:rPr>
              <w:t xml:space="preserve"> obchodu, které jsou podle použitelného účetního rámce odúčtovány vzhledem k účetní operaci související s prodejem.</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Aktiva ve svěřenecké správě</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13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Hodnota aktiv ve svěřenecké správě, která splňují kritéria pro odúčtování podle IAS 39, a případně kritéria pro </w:t>
            </w:r>
            <w:proofErr w:type="spellStart"/>
            <w:r>
              <w:rPr>
                <w:rFonts w:ascii="Times New Roman" w:hAnsi="Times New Roman"/>
              </w:rPr>
              <w:t>dekonsolidaci</w:t>
            </w:r>
            <w:proofErr w:type="spellEnd"/>
            <w:r>
              <w:rPr>
                <w:rFonts w:ascii="Times New Roman" w:hAnsi="Times New Roman"/>
              </w:rPr>
              <w:t xml:space="preserve"> podle IFRS 10, v souladu s čl. 429 odst. 13 CRR bez zohlednění účinků účetního započtení nebo jiného CRM (tj. provede se reverze účinků účetního započtení nebo CRM, které se projevily v účetní hodnotě).</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Zde uvedená částka se rovněž zahrne do ostatních aktiv vykázaných v buňce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Expozice uvnitř skupiny (na individuálním základě) vyňaté v souladu s čl. 429 odst. 7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Čl. 429 odst. 7 a čl. 113 odst. 6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Expozice, které nejsou konsolidovány na použitelné úrovni konsolidace a mohou využít zacházení podle čl. 113 odst. 6 CRR, jestliže jsou splněny všechny podmínky čl. 113 odst. 6 písm. a) až e) CRR a příslušné orgány udělily souhlas.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Zde uvedená částka se rovněž zahrne do příslušných buněk výše, jako kdyby vynětí neplatilo.</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Expozice vyňaté v souladu s čl. 429 odst. 14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Čl. 429 odst. 14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Expozice vyňaté podle čl. 429 odst. 14 CRR, jestliže jsou splněny podmínky uvedeného ustanovení a příslušné orgány udělily souhlas.</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Zde uvedená částka se rovněž zahrne do příslušných buněk výše, jako kdyby vynětí neplatilo.</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xml:space="preserve">(−) Odečtená hodnota aktiv – kapitál </w:t>
            </w:r>
            <w:proofErr w:type="spellStart"/>
            <w:r>
              <w:rPr>
                <w:rFonts w:ascii="Times New Roman" w:hAnsi="Times New Roman"/>
                <w:b/>
              </w:rPr>
              <w:t>tier</w:t>
            </w:r>
            <w:proofErr w:type="spellEnd"/>
            <w:r>
              <w:rPr>
                <w:rFonts w:ascii="Times New Roman" w:hAnsi="Times New Roman"/>
                <w:b/>
              </w:rPr>
              <w:t xml:space="preserve"> 1 – plně zavedená definice</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Čl. 429 odst. 4 písm. a) a čl. 499 odst. 1 písm. a)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Zahrnuje veškeré úpravy, které se týkají hodnoty aktiva a jsou vyžadovány těmito ustanoveními: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lastRenderedPageBreak/>
              <w:t>–</w:t>
            </w:r>
            <w:r>
              <w:tab/>
            </w:r>
            <w:r>
              <w:rPr>
                <w:rFonts w:ascii="Times New Roman" w:hAnsi="Times New Roman"/>
              </w:rPr>
              <w:t xml:space="preserve">články 32 až 35 CRR, nebo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články 36 až 47 CRR, nebo</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články 56 až 60 CRR,</w:t>
            </w:r>
          </w:p>
          <w:p w:rsidR="006D3F98" w:rsidRDefault="006D3F98" w:rsidP="002573FC">
            <w:pPr>
              <w:pStyle w:val="BodyText1"/>
              <w:spacing w:line="240" w:lineRule="auto"/>
              <w:rPr>
                <w:rFonts w:ascii="Times New Roman" w:hAnsi="Times New Roman"/>
                <w:bCs/>
              </w:rPr>
            </w:pPr>
            <w:r>
              <w:rPr>
                <w:rFonts w:ascii="Times New Roman" w:hAnsi="Times New Roman"/>
              </w:rPr>
              <w:t>podle příslušných případů.</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Instituce zohlední vynětí, alternativní postupy a výjimky z těchto odpočtů stanovené v článcích 48, 49 a 79 CRR, aniž by zohlednily odchylky uvedené v části desáté hlavě I kapitolách 1 a 2 CRR. Aby nedocházelo k dvojímu vykázání, neuvádějí instituce úpravy, které již uplatnily podle článku 111 CRR při výpočtu hodnot expozic v buňkách {010;010} až {260;010}, a neuvádějí ani úpravy, které nespočívají v odpočtu hodnoty určitého aktiva.</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Jelikož tyto částky jsou již odečteny od míry kapitálu, snižují expozici pákového poměru a vykazují se jako záporné číslo.</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xml:space="preserve">(−) Odečtená hodnota aktiv – kapitál </w:t>
            </w:r>
            <w:proofErr w:type="spellStart"/>
            <w:r>
              <w:rPr>
                <w:rFonts w:ascii="Times New Roman" w:hAnsi="Times New Roman"/>
                <w:b/>
              </w:rPr>
              <w:t>tier</w:t>
            </w:r>
            <w:proofErr w:type="spellEnd"/>
            <w:r>
              <w:rPr>
                <w:rFonts w:ascii="Times New Roman" w:hAnsi="Times New Roman"/>
                <w:b/>
              </w:rPr>
              <w:t xml:space="preserve"> 1 – přechodná definice</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Čl. 429 odst. 4 písm. a) a čl. 499 odst. 1 písm. b)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Zahrnuje veškeré úpravy hodnoty aktiva, které jsou vyžadovány těmito ustanoveními:</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články 32 až 35 CRR, nebo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články 36 až 47 CRR, nebo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články 56 až 60 CRR,</w:t>
            </w:r>
          </w:p>
          <w:p w:rsidR="009264ED" w:rsidRDefault="00316050" w:rsidP="002573FC">
            <w:pPr>
              <w:pStyle w:val="BodyText1"/>
              <w:spacing w:line="240" w:lineRule="auto"/>
              <w:rPr>
                <w:rFonts w:ascii="Times New Roman" w:hAnsi="Times New Roman"/>
                <w:bCs/>
              </w:rPr>
            </w:pPr>
            <w:r>
              <w:rPr>
                <w:rFonts w:ascii="Times New Roman" w:hAnsi="Times New Roman"/>
              </w:rPr>
              <w:t>podle příslušných případů.</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Instituce zohlední vynětí, alternativní postupy a výjimky z těchto odpočtů stanovené v článcích 48, 49 a 79 CRR, jakož i odchylky uvedené v části desáté hlavě I kapitolách 1 a 2 CRR. Aby nedocházelo k dvojímu vykázání, neuvádějí instituce úpravy, které již uplatnily podle článku 111 CRR při výpočtu hodnot expozic v buňkách {010;010} až {260;010}, a neuvádějí ani úpravy, které nespočívají v odpočtu hodnoty určitého aktiva.</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Jelikož tyto částky jsou již odečteny od míry kapitálu, snižují expozici pákového poměru a vykazují se jako záporné číslo.</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Celková expozice pákového poměru – použití plně zavedené definice kapitálu </w:t>
            </w:r>
            <w:proofErr w:type="spellStart"/>
            <w:r>
              <w:rPr>
                <w:rFonts w:ascii="Times New Roman" w:hAnsi="Times New Roman"/>
                <w:b/>
              </w:rPr>
              <w:t>tier</w:t>
            </w:r>
            <w:proofErr w:type="spellEnd"/>
            <w:r>
              <w:rPr>
                <w:rFonts w:ascii="Times New Roman" w:hAnsi="Times New Roman"/>
                <w:b/>
              </w:rPr>
              <w:t xml:space="preserve">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Instituce vykazují následující částku:</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Celková expozice pákového poměru – použití přechodné definice kapitálu </w:t>
            </w:r>
            <w:proofErr w:type="spellStart"/>
            <w:r>
              <w:rPr>
                <w:rFonts w:ascii="Times New Roman" w:hAnsi="Times New Roman"/>
                <w:b/>
              </w:rPr>
              <w:t>tier</w:t>
            </w:r>
            <w:proofErr w:type="spellEnd"/>
            <w:r>
              <w:rPr>
                <w:rFonts w:ascii="Times New Roman" w:hAnsi="Times New Roman"/>
                <w:b/>
              </w:rPr>
              <w:t xml:space="preserve"> 1</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Instituce vykazují následující částku:</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{LRCalc;280;010}.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Řádek </w:t>
            </w:r>
          </w:p>
          <w:p w:rsidR="009264ED" w:rsidRPr="00FE002E" w:rsidRDefault="009264ED" w:rsidP="00FE0FF1">
            <w:pPr>
              <w:pStyle w:val="BodyText1"/>
              <w:rPr>
                <w:rFonts w:ascii="Times New Roman" w:hAnsi="Times New Roman"/>
                <w:b/>
                <w:bCs/>
              </w:rPr>
            </w:pPr>
            <w:r>
              <w:rPr>
                <w:rFonts w:ascii="Times New Roman" w:hAnsi="Times New Roman"/>
                <w:b/>
              </w:rPr>
              <w:lastRenderedPageBreak/>
              <w:t>a sloupec</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lastRenderedPageBreak/>
              <w:t xml:space="preserve">Kapitál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lastRenderedPageBreak/>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 xml:space="preserve">Kapitál </w:t>
            </w:r>
            <w:proofErr w:type="spellStart"/>
            <w:r>
              <w:rPr>
                <w:rFonts w:ascii="Times New Roman" w:hAnsi="Times New Roman"/>
                <w:b/>
              </w:rPr>
              <w:t>tier</w:t>
            </w:r>
            <w:proofErr w:type="spellEnd"/>
            <w:r>
              <w:rPr>
                <w:rFonts w:ascii="Times New Roman" w:hAnsi="Times New Roman"/>
                <w:b/>
              </w:rPr>
              <w:t xml:space="preserve"> 1 – plně zavedená definice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 429 odst. 3 a čl. 499 odst. 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Jedná se o výši kapitálu </w:t>
            </w:r>
            <w:proofErr w:type="spellStart"/>
            <w:r>
              <w:rPr>
                <w:rFonts w:ascii="Times New Roman" w:hAnsi="Times New Roman"/>
              </w:rPr>
              <w:t>tier</w:t>
            </w:r>
            <w:proofErr w:type="spellEnd"/>
            <w:r>
              <w:rPr>
                <w:rFonts w:ascii="Times New Roman" w:hAnsi="Times New Roman"/>
              </w:rPr>
              <w:t xml:space="preserve"> 1 vypočtenou v souladu s článkem 25 CRR bez zohlednění odchylek uvedených v části desáté hlavě I kapitolách 1 a 2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Kapitál </w:t>
            </w:r>
            <w:proofErr w:type="spellStart"/>
            <w:r>
              <w:rPr>
                <w:rFonts w:ascii="Times New Roman" w:hAnsi="Times New Roman"/>
                <w:b/>
              </w:rPr>
              <w:t>tier</w:t>
            </w:r>
            <w:proofErr w:type="spellEnd"/>
            <w:r>
              <w:rPr>
                <w:rFonts w:ascii="Times New Roman" w:hAnsi="Times New Roman"/>
                <w:b/>
              </w:rPr>
              <w:t xml:space="preserve"> 1 – přechodná definice</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 429 odst. 3 a čl. 499 odst. 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Jedná se o výši kapitálu </w:t>
            </w:r>
            <w:proofErr w:type="spellStart"/>
            <w:r>
              <w:rPr>
                <w:rFonts w:ascii="Times New Roman" w:hAnsi="Times New Roman"/>
              </w:rPr>
              <w:t>tier</w:t>
            </w:r>
            <w:proofErr w:type="spellEnd"/>
            <w:r>
              <w:rPr>
                <w:rFonts w:ascii="Times New Roman" w:hAnsi="Times New Roman"/>
              </w:rPr>
              <w:t xml:space="preserve"> 1 vypočtenou v souladu s článkem 25 CRR po zohlednění odchylek uvedených v části desáté hlavě I kapitolách 1 a 2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Řádek </w:t>
            </w:r>
          </w:p>
          <w:p w:rsidR="009264ED" w:rsidRPr="00FE002E" w:rsidRDefault="009264ED" w:rsidP="00FE0FF1">
            <w:pPr>
              <w:pStyle w:val="BodyText1"/>
              <w:rPr>
                <w:rFonts w:ascii="Times New Roman" w:hAnsi="Times New Roman"/>
                <w:b/>
                <w:bCs/>
              </w:rPr>
            </w:pPr>
            <w:r>
              <w:rPr>
                <w:rFonts w:ascii="Times New Roman" w:hAnsi="Times New Roman"/>
                <w:b/>
              </w:rPr>
              <w:t>a sloupec</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Pákový poměr</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Pákový poměr – použití plně zavedené definice kapitálu </w:t>
            </w:r>
            <w:proofErr w:type="spellStart"/>
            <w:r>
              <w:rPr>
                <w:rFonts w:ascii="Times New Roman" w:hAnsi="Times New Roman"/>
                <w:b/>
              </w:rPr>
              <w:t>tier</w:t>
            </w:r>
            <w:proofErr w:type="spellEnd"/>
            <w:r>
              <w:rPr>
                <w:rFonts w:ascii="Times New Roman" w:hAnsi="Times New Roman"/>
                <w:b/>
              </w:rPr>
              <w:t xml:space="preserv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 429 odst. 2 a čl. 499 odst. 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Jedná se o pákový poměr vypočtený v souladu s částí II odstavcem 4 </w:t>
            </w:r>
            <w:proofErr w:type="gramStart"/>
            <w:r>
              <w:rPr>
                <w:rFonts w:ascii="Times New Roman" w:hAnsi="Times New Roman"/>
              </w:rPr>
              <w:t>této</w:t>
            </w:r>
            <w:proofErr w:type="gramEnd"/>
            <w:r>
              <w:rPr>
                <w:rFonts w:ascii="Times New Roman" w:hAnsi="Times New Roman"/>
              </w:rPr>
              <w:t xml:space="preserve"> přílohy.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Pákový poměr – použití přechodné definice kapitálu </w:t>
            </w:r>
            <w:proofErr w:type="spellStart"/>
            <w:r>
              <w:rPr>
                <w:rFonts w:ascii="Times New Roman" w:hAnsi="Times New Roman"/>
                <w:b/>
              </w:rPr>
              <w:t>tier</w:t>
            </w:r>
            <w:proofErr w:type="spellEnd"/>
            <w:r>
              <w:rPr>
                <w:rFonts w:ascii="Times New Roman" w:hAnsi="Times New Roman"/>
                <w:b/>
              </w:rPr>
              <w:t xml:space="preserve"> 1</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Čl. 429 odst. 2 a čl. 499 odst. 1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Jedná se o pákový poměr vypočtený v souladu s částí II odstavcem 5 této přílohy.</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4076963"/>
      <w:r>
        <w:rPr>
          <w:rFonts w:ascii="Times New Roman" w:hAnsi="Times New Roman"/>
          <w:b/>
        </w:rPr>
        <w:t>5.</w:t>
      </w:r>
      <w:r>
        <w:tab/>
      </w:r>
      <w:r>
        <w:rPr>
          <w:rFonts w:ascii="Times New Roman" w:hAnsi="Times New Roman"/>
          <w:b/>
        </w:rPr>
        <w:t>C 40.00 – Alternativní postup určení míry expozice</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V této části výkazů jsou sdruženy údaje týkající se alternativního zacházení s deriváty, transakcemi SFT a podrozvahovými položkami.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Instituce stanoví v LR1 „rozvahové hodnoty“ na základě použitelného účetního rámce podle čl. 4 odst. 1 bodu 77 CRR. Pojem „účetní hodnota za předpokladu, že není provedeno započtení ani jiné CRM“ označuje rozvahovou hodnotu, v níž nejsou zohledněny účinky započtení nebo jiného snižování úvěrového rizika.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 xml:space="preserve">S výjimkou buněk {250;120} a {260;120} uvádějí instituce v LR1 údaje, jako kdyby vynětí dle buněk v </w:t>
      </w:r>
      <w:proofErr w:type="spellStart"/>
      <w:r>
        <w:rPr>
          <w:rFonts w:ascii="Times New Roman" w:hAnsi="Times New Roman"/>
        </w:rPr>
        <w:t>LRCalc</w:t>
      </w:r>
      <w:proofErr w:type="spellEnd"/>
      <w:r>
        <w:rPr>
          <w:rFonts w:ascii="Times New Roman" w:hAnsi="Times New Roman"/>
        </w:rPr>
        <w:t xml:space="preserve"> {050;010}, {080;010}, {100;010}, {120;010}, {220;010}, {250;010} a {260;010}neplatilo.</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Řádek </w:t>
            </w:r>
          </w:p>
          <w:p w:rsidR="00F4754B" w:rsidRPr="00FE002E" w:rsidRDefault="00F4754B" w:rsidP="00F4754B">
            <w:pPr>
              <w:pStyle w:val="BodyText1"/>
              <w:rPr>
                <w:rFonts w:ascii="Times New Roman" w:hAnsi="Times New Roman"/>
                <w:b/>
              </w:rPr>
            </w:pPr>
            <w:r>
              <w:rPr>
                <w:rFonts w:ascii="Times New Roman" w:hAnsi="Times New Roman"/>
                <w:b/>
              </w:rPr>
              <w:t>a sloupec</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Odkazy na právní předpisy a pokyny</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Deriváty – rozvahová hodnota</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{020;010}, {050;010} a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 účetní hodnota za předpokladu, že není provedeno započtení ani jiné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{020;020}, {050;020} a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 navýšení podle metody oceňování podle tržní hodnoty (za předpokladu, že není provedeno započtení ani jiné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{020;050}, {050;050} a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 pomyslná hodnota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{020;070}, {050;070} a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Úvěrové deriváty (prodané zajištění) – rozvahová hodnota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 4 odst. 1 bod 77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Rozvahová hodnota úvěrových derivátů podle použitelného účetního rámce, kde instituce prodává zajištění úvěrového rizika protistraně a smlouva je v rozvaze vykázána jako aktivum.</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Úvěrové deriváty (prodané zajištění) – účetní hodnota za předpokladu, že není provedeno započtení ani jiné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 4 odst. 1 bod 77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Rozvahová hodnota podle použitelného účetního rámce u úvěrových derivátů, kde instituce prodává zajištění úvěrového rizika protistraně a smlouva je v rozvaze vykázána jako aktivum, přičemž nejsou zohledněny účinky obezřetnostního či účetního započtení ani CRM (tj. provede se reverze účinků účetního započtení nebo CRM, které se projevily v účetní hodnotě).</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Úvěrové deriváty (prodané zajištění) – navýšení podle metody oceňování podle tržní hodnoty (za předpokladu, že není provedeno započtení ani jiné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{030;050} a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Úvěrové deriváty (prodané zajištění) – pomyslná hodnota</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{030;070} a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Úvěrové deriváty (prodané zajištění) – limitovaná pomyslná hodnota</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 xml:space="preserve">V této buňce se uvádí pomyslná hodnota, k níž odkazují úvěrové deriváty (prodané zajištění), jako v buňce {020; 070} po odečtení záporných změn reálné hodnoty, které byly ve vztahu k prodanému úvěrovému derivátu zohledněny v kapitálu </w:t>
            </w:r>
            <w:proofErr w:type="spellStart"/>
            <w:r>
              <w:rPr>
                <w:rFonts w:ascii="Times New Roman" w:hAnsi="Times New Roman"/>
              </w:rPr>
              <w:t>tier</w:t>
            </w:r>
            <w:proofErr w:type="spellEnd"/>
            <w:r>
              <w:rPr>
                <w:rFonts w:ascii="Times New Roman" w:hAnsi="Times New Roman"/>
              </w:rPr>
              <w:t xml:space="preserve"> 1.</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(prodané zajištění) podléhající uzavírací doložce – navýšení podle metody oceňování podle tržní hodnoty (za předpokladu, že není provedeno započtení ani jiné CRM)</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299 odst. 2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V této buňce se uvádí potenciální budoucí expozice úvěrových derivátů, kde instituce prodává zajištění úvěrového rizika protistraně, transakce podléhá uzavírací doložce a platí předpoklad, že není provedeno započtení ani jiné CRM. Instituce do buňky nezahrnou navýšení pro úvěrové deriváty, kde instituce prodává zajištění úvěrového rizika protistraně, avšak transakce nepodléhá uzavírací doložce. Tyto údaje instituce uvedou v buňce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Uzavírací doložkou se rozumí ustanovení, které dává protistraně, která není v selhání, právo </w:t>
            </w:r>
            <w:r>
              <w:rPr>
                <w:rFonts w:ascii="Times New Roman" w:hAnsi="Times New Roman"/>
              </w:rPr>
              <w:lastRenderedPageBreak/>
              <w:t>ukončit a uzavřít včas všechny transakce, na které se vztahuje příslušná dohoda, v případě selhání druhé protistrany, včetně její insolvence nebo úpadku.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Instituce zohlední všechny úvěrové deriváty, nejen deriváty zařazené do obchodního portfolia.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(prodané zajištění) podléhající uzavírací doložce – pomyslná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 této buňce se uvádí pomyslná hodnota, k níž odkazují úvěrové deriváty, kde instituce prodává zajištění úvěrového rizika protistraně, přičemž transakce podléhá uzavírací doložce.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Instituce zohlední všechny úvěrové deriváty, nejen deriváty zařazené do obchodního portfolia.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(prodané zajištění) nepodléhající uzavírací doložce – navýšení podle metody oceňování podle tržní hodnoty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299 odst. 2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V této buňce se uvádí potenciální budoucí expozice úvěrových derivátů, kde instituce prodává zajištění úvěrového rizika protistraně, transakce </w:t>
            </w:r>
            <w:r>
              <w:rPr>
                <w:rFonts w:ascii="Times New Roman" w:hAnsi="Times New Roman"/>
                <w:b/>
                <w:u w:val="single"/>
              </w:rPr>
              <w:t>nepodléhá</w:t>
            </w:r>
            <w:r>
              <w:rPr>
                <w:rFonts w:ascii="Times New Roman" w:hAnsi="Times New Roman"/>
              </w:rPr>
              <w:t xml:space="preserve"> uzavírací doložce a platí předpoklad,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Instituce zohlední všechny úvěrové deriváty, nejen deriváty zařazené do obchodního portfolia.</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(prodané zajištění) nepodléhající uzavírací doložce – pomyslná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V této buňce se uvádí pomyslná hodnota, k níž odkazují úvěrové deriváty, kde instituce prodává zajištění úvěrového rizika protistraně, přičemž transakce </w:t>
            </w:r>
            <w:r>
              <w:rPr>
                <w:rFonts w:ascii="Times New Roman" w:hAnsi="Times New Roman"/>
                <w:b/>
                <w:u w:val="single"/>
              </w:rPr>
              <w:t>nepodléhá</w:t>
            </w:r>
            <w:r>
              <w:rPr>
                <w:rFonts w:ascii="Times New Roman" w:hAnsi="Times New Roman"/>
              </w:rPr>
              <w:t xml:space="preserve"> uzavírací doložce.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zohlední všechny úvěrové deriváty, nejen deriváty zařazené do obchodního portfolia.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(koupené zajištění) – rozvahová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úvěrových derivátů, kde instituce kupuje zajištění úvěrového rizika od protistrany a smlouva je v rozvaze vykázána jako aktivum.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Instituce zohlední všechny úvěrové deriváty, nejen deriváty zařazené do obchodního </w:t>
            </w:r>
            <w:r>
              <w:rPr>
                <w:rFonts w:ascii="Times New Roman" w:hAnsi="Times New Roman"/>
              </w:rPr>
              <w:lastRenderedPageBreak/>
              <w:t>portfolia.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(koupené zajištění)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úvěrových derivátů, kde instituce kupuje zajištění úvěrového rizika od protistrany a smlouva je v rozvaze vykázána jako aktivum, přičemž nejsou zohledněny účinky obezřetnostního či účetního započtení ani CRM (tj. provede se reverze účinků účetního započtení nebo CRM, které se projevily v účetní hodnotě).</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zohlední všechny úvěrové deriváty, nejen deriváty zařazené do obchodního portfolia.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(koupené zajištění) – navýšení podle metody oceňování podle tržní hodnoty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299 odst. 2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potenciální budoucí expozice úvěrových derivátů, kde instituce kupuje zajištění úvěrového rizika od protistrany a platí předpoklad,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zohlední všechny úvěrové deriváty, nejen deriváty zařazené do obchodního portfolia.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Úvěrové deriváty (koupené zajištění) – pomyslná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V této buňce se uvádí pomyslná hodnota, k níž odkazují úvěrové deriváty, kde instituce kupuje zajištění úvěrového rizika od protistrany.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zohlední všechny úvěrové deriváty, nejen deriváty zařazené do obchodního portfolia.</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Úvěrové deriváty (koupené zajištění) – limitovaná pomyslná hodnota</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 xml:space="preserve">V této buňce se uvádí pomyslná hodnota, k níž odkazují úvěrové deriváty (koupené zajištění), jako v buňce {050;050} po odečtení kladných změn reálné hodnoty, které byly ve vztahu ke koupenému úvěrovému derivátu zohledněny v kapitálu </w:t>
            </w:r>
            <w:proofErr w:type="spellStart"/>
            <w:r>
              <w:rPr>
                <w:rFonts w:ascii="Times New Roman" w:hAnsi="Times New Roman"/>
              </w:rPr>
              <w:t>tier</w:t>
            </w:r>
            <w:proofErr w:type="spellEnd"/>
            <w:r>
              <w:rPr>
                <w:rFonts w:ascii="Times New Roman" w:hAnsi="Times New Roman"/>
              </w:rPr>
              <w:t xml:space="preserve"> 1.</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Úvěrové deriváty (koupené zajištění) – limitovaná pomyslná hodnota (stejné referenční jméno)</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Pomyslná hodnota, k níž odkazují úvěrové deriváty, kde instituce kupuje zajištění úvěrového rizika na stejné podkladové referenční jméno jako v případě prodaných úvěrových derivátů vykazující instituce.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Pro účely vykázání hodnoty v této buňce se podkladová referenční jména považují za stejná tehdy, pokud se týkají stejné právnické osoby a mají stejné pořadí pro uspokojení pohledávek.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Zajištění úvěrového rizika koupené pro seskupení referenčních subjektů se považuje za stejné tehdy, pokud je ekonomicky rovnocenné nákupu zajištění samostatně pro každé jednotlivé jméno v daném seskupení.</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Pokud instituce kupuje zajištění úvěrového rizika pro seskupení referenčních jmen, považuje se toto zajištění úvěrového rizika za stejné pouze tehdy, pokud kryje všechny </w:t>
            </w:r>
            <w:r>
              <w:rPr>
                <w:rFonts w:ascii="Times New Roman" w:hAnsi="Times New Roman"/>
              </w:rPr>
              <w:lastRenderedPageBreak/>
              <w:t xml:space="preserve">podskupiny seskupení, na něž bylo zajištění úvěrového rizika prodáno. Jinými slovy, započtení lze vykázat pouze v případě, že jsou seskupení referenčních subjektů a úroveň podřízenosti u obou transakcí totožné.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U žádného referenčního jména nesmí pomyslné hodnoty koupeného zajištění úvěrového rizika, které jsou zohledněny v této buňce, překročit částky uvedené v buňkách {020;075} a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Finanční deriváty – rozvahová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smluv uvedených v příloze II CRR, jsou-li v rozvaze vykázány jako aktiva.</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Finanční deriváty – účetní hodnota za předpokladu, že není provedeno započtení ani jiné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smluv uvedených v příloze II CRR, jsou-li v rozvaze vykázány jako aktiva, přičemž nejsou zohledněny účinky obezřetnostního či účetního započtení ani jiného CRM (tj. provede se reverze účinků účetního započtení nebo CRM, které se projevily v účetní hodnotě).</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Finanční deriváty – navýšení podle metody oceňování podle tržní hodnoty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274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regulatorní potenciální budoucí expozice smluv uvedených v příloze II CRR za předpokladu, že není provedeno započtení ani jiné CRM.</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Finanční deriváty – pomyslná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pomyslná hodnota, k níž odkazují smlouvy uvedené v příloze II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Transakce SFT zahrnuté do rámcové dohody o započtení – rozvahová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w:t>
            </w:r>
            <w:r>
              <w:rPr>
                <w:rFonts w:ascii="Times New Roman" w:hAnsi="Times New Roman"/>
                <w:b/>
              </w:rPr>
              <w:t xml:space="preserve"> </w:t>
            </w:r>
            <w:r>
              <w:rPr>
                <w:rFonts w:ascii="Times New Roman" w:hAnsi="Times New Roman"/>
              </w:rPr>
              <w:t>a článek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Účetní hodnota podle použitelného účetního rámce u transakcí SFT zahrnutých do rámcové dohody o započtení způsobilé podle článku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Transakce SFT zahrnuté do rámcové dohody o započtení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bod 77 a článek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Rozvahová hodnota podle použitelného účetního rámce u transakcí SFT zahrnutých do rámcové dohody o započtení způsobilé podle článku 206 CRR, jsou-li v rozvaze vykázány jako aktiva, přičemž nejsou zohledněny účinky obezřetnostního či účetního započtení ani jiného CRM (tj. provede se reverze účinků účetního započtení nebo CRM, které se projevily v účetní hodnotě). Pokud navíc použitelný účetní rámec umožňuje účtovat o transakci SFT </w:t>
            </w:r>
            <w:r>
              <w:rPr>
                <w:rFonts w:ascii="Times New Roman" w:hAnsi="Times New Roman"/>
              </w:rPr>
              <w:lastRenderedPageBreak/>
              <w:t>jako o prodeji, provedou instituce reverzi všech účetních zápisů souvisejících s prodejem.</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lastRenderedPageBreak/>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Transakce s financováním cenných papírů zahrnuté do rámcové dohody o započtení – navýšení pro SFT</w:t>
            </w: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U transakcí SFT včetně podrozvahových, které jsou zahrnuty do dohody o započtení splňující požadavky článku 206 CRR, vytvoří instituce skupiny transakcí se započtením. Pro každou skupinu transakcí se započtením vypočítají instituce navýšení pro stávající expozici vůči protistraně (CCE) podle vzorce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kde:</w:t>
            </w:r>
          </w:p>
          <w:p w:rsidR="00410E47" w:rsidRPr="00FE002E" w:rsidRDefault="00410E47" w:rsidP="007E2A41">
            <w:pPr>
              <w:pStyle w:val="BodyText1"/>
              <w:spacing w:line="240" w:lineRule="auto"/>
              <w:rPr>
                <w:rFonts w:ascii="Times New Roman" w:hAnsi="Times New Roman"/>
                <w:bCs/>
              </w:rPr>
            </w:pPr>
            <w:r>
              <w:rPr>
                <w:rFonts w:ascii="Times New Roman" w:hAnsi="Times New Roman"/>
              </w:rPr>
              <w:t>i = každá transakce zahrnutá do skupiny transakcí se započtením,</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xml:space="preserve"> = pro transakci i hodnota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jak je definována v čl. 220 odst. 3 CRR,</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xml:space="preserve"> = pro transakci i hodnota </w:t>
            </w: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jak je definována v čl. 220 odst. 3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Instituce agregují výsledek tohoto vzorce pro všechny skupiny transakcí se započtením a daný souhrn uvedou v této buňce.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Transakce SFT nezahrnuté do rámcové dohody o započtení – rozvahová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Rozvahová hodnota podle použitelného účetního rámce u transakcí SFT, které </w:t>
            </w:r>
            <w:r>
              <w:rPr>
                <w:rFonts w:ascii="Times New Roman" w:hAnsi="Times New Roman"/>
                <w:b/>
                <w:u w:val="single"/>
              </w:rPr>
              <w:t>nejsou</w:t>
            </w:r>
            <w:r>
              <w:rPr>
                <w:rFonts w:ascii="Times New Roman" w:hAnsi="Times New Roman"/>
              </w:rPr>
              <w:t xml:space="preserve"> zahrnuty do rámcové dohody o započtení způsobilé podle článku 206 CRR, jsou-li vykázány v rozvaze jako aktiva.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Transakce SFT nezahrnuté do rámcové dohody o započtení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Rozvahová hodnota podle použitelného účetního rámce u transakcí SFT, které </w:t>
            </w:r>
            <w:r>
              <w:rPr>
                <w:rFonts w:ascii="Times New Roman" w:hAnsi="Times New Roman"/>
                <w:b/>
                <w:u w:val="single"/>
              </w:rPr>
              <w:t>nejsou</w:t>
            </w:r>
            <w:r>
              <w:rPr>
                <w:rFonts w:ascii="Times New Roman" w:hAnsi="Times New Roman"/>
              </w:rPr>
              <w:t xml:space="preserve"> zahrnuty do rámcové dohody o započtení způsobilé podle článku 206 CRR, jsou-li v rozvaze vykázány jako aktiva, přičemž nejsou zohledněny účinky účetního započtení ani jiného CRM (tj. provede se reverze účinků účetního započtení nebo CRM, které se projevily v účetní hodnotě). Pokud navíc použitelný účetní rámec umožňuje účtovat o transakci SFT jako o prodeji, provedou instituce reverzi všech účetních zápisů souvisejících s prodejem.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{090,020}.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Transakce SFT nezahrnuté do rámcové dohody o započtení – navýšení pro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206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U transakcí SFT včetně podrozvahových, které </w:t>
            </w:r>
            <w:r>
              <w:rPr>
                <w:rFonts w:ascii="Times New Roman" w:hAnsi="Times New Roman"/>
                <w:b/>
                <w:u w:val="single"/>
              </w:rPr>
              <w:t>nejsou</w:t>
            </w:r>
            <w:r>
              <w:rPr>
                <w:rFonts w:ascii="Times New Roman" w:hAnsi="Times New Roman"/>
              </w:rPr>
              <w:t xml:space="preserve"> zahrnuty do rámcové dohody o započtení způsobilé podle článku 206 CRR, vytvoří instituce skupiny skládající se ze všech aktiv zahrnutých do určité transakce (tj. každá SFT je považována za samostatnou skupinu) a pro každou skupinu určí navýšení pro stávající expozici vůči protistraně (CCE) podle vzorce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w:t>
            </w:r>
            <w:proofErr w:type="spellStart"/>
            <w:r>
              <w:rPr>
                <w:rFonts w:ascii="Times New Roman" w:hAnsi="Times New Roman"/>
              </w:rPr>
              <w:t>max</w:t>
            </w:r>
            <w:proofErr w:type="spellEnd"/>
            <w:r>
              <w:rPr>
                <w:rFonts w:ascii="Times New Roman" w:hAnsi="Times New Roman"/>
              </w:rPr>
              <w:t xml:space="preserve">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kde:</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 = hodnota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jak je definována v čl. 220 odst. 3 CRR,</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 = hodnota </w:t>
            </w:r>
            <w:proofErr w:type="spellStart"/>
            <w:r>
              <w:rPr>
                <w:rFonts w:ascii="Times New Roman" w:hAnsi="Times New Roman"/>
              </w:rPr>
              <w:t>C</w:t>
            </w:r>
            <w:r>
              <w:rPr>
                <w:rFonts w:ascii="Times New Roman" w:hAnsi="Times New Roman"/>
                <w:vertAlign w:val="subscript"/>
              </w:rPr>
              <w:t>i</w:t>
            </w:r>
            <w:proofErr w:type="spellEnd"/>
            <w:r>
              <w:rPr>
                <w:rFonts w:ascii="Times New Roman" w:hAnsi="Times New Roman"/>
              </w:rPr>
              <w:t>, jak je definována v čl. 220 odst. 3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Instituce agregují výsledek tohoto vzorce pro všechny výše uvedené skupiny a daný souhrn uvedou v této buňce.</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Ostatní aktiva – rozvahová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všech aktiv s výjimkou smluv uvedených v příloze II CRR, úvěrových derivátů a transakcí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Ostatní aktiva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4 odst. 1 bod 77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všech aktiv s výjimkou smluv uvedených v příloze II CRR, úvěrových derivátů a transakcí SFT, přičemž nejsou zohledněny účinky účetního započtení ani jiného CRM (tj. provede se reverze účinků účetního započtení nebo CRM, které se projevily v účetní hodnotě).</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Podrozvahové položky s nízkým rizikem podle RSA; z toho – nominální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podrozvahových položek, kterým by byl podle standardizovaného přístupu k úvěrovému riziku přidělen úvěrový konverzní faktor 0 %.</w:t>
            </w:r>
            <w:r>
              <w:t xml:space="preserve"> </w:t>
            </w:r>
            <w:r>
              <w:rPr>
                <w:rFonts w:ascii="Times New Roman" w:hAnsi="Times New Roman"/>
              </w:rPr>
              <w:t>Tato hodnota se nesnižuje o specifické úpravy o úvěrové riziko.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Revolvingové retailové expozice; z toho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a čl. 154 odst. 4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kvalifikovaných podrozvahových revolvingových retailových expozic, které splňují podmínky uvedené v čl. 154 odst. 4 písm. a) až c) CRR. Tato hodnota se nesnižuje o specifické úpravy o úvěrové riziko.</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Zahrnuje všechny expozice vůči fyzickým osobám, které jsou revolvingové a bezpodmínečně zrušitelné v souladu s čl. 149 písm. b) CRR a jejich celková výše nepřevyšuje 100 000 EUR na jednotlivého dlužníka.</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Bezpodmínečně zrušitelné závazky z kreditních karet – nominální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a čl. 154 odst. 4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V této buňce se uvádí nominální hodnota závazků z kreditních karet, které může instituce kdykoli a bez předchozího oznámení bezpodmínečně zrušit („bezpodmínečně zrušitelné“) a kterým by byl podle standardizovaného přístupu k úvěrovému riziku přidělen úvěrový konverzní faktor 0 %.</w:t>
            </w:r>
            <w:r>
              <w:t xml:space="preserve"> </w:t>
            </w:r>
            <w:r>
              <w:rPr>
                <w:rFonts w:ascii="Times New Roman" w:hAnsi="Times New Roman"/>
              </w:rPr>
              <w:t>Tato hodnota se nesnižuje o specifické úpravy o úvěrové riziko.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Instituce do této buňky nezahrnou úvěrové přísliby, které umožňují automatické zrušení v důsledku zhoršení úvěruschopnosti dlužníka, ale nejsou bezpodmínečně zrušitelné.</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Nerevolvingové bezpodmínečně zrušitelné přísliby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a čl. 154 odst. 4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jiných příslibů, které může instituce kdykoli a bez předchozího oznámení bezpodmínečně zrušit („bezpodmínečně zrušitelné“) a kterým by byl podle standardizovaného přístupu k úvěrovému riziku přidělen úvěrový konverzní faktor 0 %. Tato hodnota se nesnižuje o specifické úpravy o úvěrové riziko.</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Instituce do této buňky nezahrnou úvěrové přísliby, které umožňují automatické zrušení v důsledku zhoršení úvěruschopnosti dlužníka, ale nejsou bezpodmínečně zrušitelné.</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Podrozvahové položky se středně nízkým rizikem podle RSA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podrozvahových položek, kterým by byl podle standardizovaného přístupu k úvěrovému riziku přidělen úvěrový konverzní faktor 20 %.</w:t>
            </w:r>
            <w:r>
              <w:t xml:space="preserve"> </w:t>
            </w:r>
            <w:r>
              <w:rPr>
                <w:rFonts w:ascii="Times New Roman" w:hAnsi="Times New Roman"/>
              </w:rPr>
              <w:t>Tato hodnota se nesnižuje o specifické úpravy o úvěrové riziko.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Podrozvahové položky se středním rizikem podle RSA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podrozvahových položek, kterým by byl podle standardizovaného přístupu k úvěrovému riziku přidělen úvěrový konverzní faktor 50 %.</w:t>
            </w:r>
            <w:r>
              <w:t xml:space="preserve"> </w:t>
            </w:r>
            <w:r>
              <w:rPr>
                <w:rFonts w:ascii="Times New Roman" w:hAnsi="Times New Roman"/>
              </w:rPr>
              <w:t>Tato hodnota se nesnižuje o specifické úpravy o úvěrové riziko.</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Podrozvahové položky s vysokým rizikem podle RSA – nominální hodnota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V této buňce se uvádí nominální hodnota podrozvahových položek, kterým by byl podle standardizovaného přístupu k úvěrovému riziku přidělen úvěrový konverzní faktor 100 %. Tato hodnota se nesnižuje o specifické úpravy o úvěrové riziko.</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t>V souladu s čl. 429 odst. 10 CRR instituce v této buňce nezohlední smlouvy uvedené v příloze II CRR, úvěrové deriváty a transakce SFT.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(Doplňková položka) Čerpané částky revolvingových retailových expozic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 154 odst. 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částek čerpaných v rámci podrozvahových revolvingových retailových expozic.</w:t>
            </w:r>
            <w:r>
              <w:t xml:space="preserve"> </w:t>
            </w:r>
            <w:r>
              <w:rPr>
                <w:rFonts w:ascii="Times New Roman" w:hAnsi="Times New Roman"/>
              </w:rPr>
              <w:t>Tato hodnota se nesnižuje o specifické úpravy o úvěrové riziko.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(Doplňková položka) Čerpané částky bezpodmínečně zrušitelných závazků z kreditních karet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a čl. 154 odst. 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částek čerpaných v rámci bezpodmínečně zrušitelných závazků z kreditních karet. Tato hodnota se nesnižuje o specifické úpravy o úvěrové riziko.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(Doplňková položka) Čerpané částky nerevolvingových bezpodmínečně zrušitelných příslibů – nominální hodnota</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Článek 111 a čl. 154 odst. 4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V této buňce se uvádí nominální hodnota částek čerpaných v rámci nerevolvingových bezpodmínečně zrušitelných příslibů.</w:t>
            </w:r>
            <w:r>
              <w:t xml:space="preserve"> </w:t>
            </w:r>
            <w:r>
              <w:rPr>
                <w:rFonts w:ascii="Times New Roman" w:hAnsi="Times New Roman"/>
              </w:rPr>
              <w:t>Tato hodnota se nesnižuje o specifické úpravy o úvěrové riziko.</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Hotovostní kolaterál přijatý v derivátových transakcích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Rozvahová hodnota podle použitelného účetního rámce u hotovostního kolaterálu přijatého v rámci derivátových transakcí bez zohlednění účinků účetního započtení nebo jiného CRM (tj. provede se reverze účinků účetního započtení nebo CRM, které se projevily v účetní hodnotě).</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Pohledávky z hotovostního kolaterálu složeného v derivátových transakcích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Rozvahová hodnota podle použitelného účetního rámce u pohledávek z hotovostního kolaterálu složeného v derivátových transakcích bez zohlednění účinků účetního započtení nebo CRM (tj. provede se reverze účinků účetního započtení nebo CRM, které se projevily v účetní hodnotě). Instituce, jimž je podle použitelného účetního rámce povoleno započítat pohledávku ze složeného hotovostního kolaterálu proti souvisejícím derivátovým závazkům (záporná reálná hodnota) a které se rozhodnou tak učinit, provedou reverzi započtení a vykážou čistou hotovostní pohledávku.</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Cenné papíry přijaté v rámci SFT, které jsou vykázány jako aktivum – účetní hodnota za předpokladu, že není provedeno započtení ani jiné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Rozvahová hodnota podle použitelného účetního rámce u cenných papírů přijatých v rámci </w:t>
            </w:r>
            <w:r>
              <w:rPr>
                <w:rFonts w:ascii="Times New Roman" w:hAnsi="Times New Roman"/>
              </w:rPr>
              <w:lastRenderedPageBreak/>
              <w:t>SFT, které jsou podle použitelného účetního rámce v rozvaze vykázány jako aktivum, přičemž nejsou zohledněny účinky účetního započtení ani jiného CRM (tj. provede se reverze účinků účetního započtení nebo CRM, které se projevily v účetní hodnotě).</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Transakce SFT s hotovostním prostředníkem (hotovostní pohledávky) – účetní hodnota za předpokladu, že není provedeno započtení ani jiné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Rozvahová hodnota podle použitelného účetního rámce u pohledávek plynoucích z hotovosti </w:t>
            </w:r>
            <w:proofErr w:type="spellStart"/>
            <w:r>
              <w:rPr>
                <w:rFonts w:ascii="Times New Roman" w:hAnsi="Times New Roman"/>
              </w:rPr>
              <w:t>přepůjčené</w:t>
            </w:r>
            <w:proofErr w:type="spellEnd"/>
            <w:r>
              <w:rPr>
                <w:rFonts w:ascii="Times New Roman" w:hAnsi="Times New Roman"/>
              </w:rPr>
              <w:t xml:space="preserve"> majiteli cenných papírů v rámci kvalifikované úvěrové transakce s hotovostním prostředníkem („cash </w:t>
            </w:r>
            <w:proofErr w:type="spellStart"/>
            <w:r>
              <w:rPr>
                <w:rFonts w:ascii="Times New Roman" w:hAnsi="Times New Roman"/>
              </w:rPr>
              <w:t>conduit</w:t>
            </w:r>
            <w:proofErr w:type="spellEnd"/>
            <w:r>
              <w:rPr>
                <w:rFonts w:ascii="Times New Roman" w:hAnsi="Times New Roman"/>
              </w:rPr>
              <w:t xml:space="preserve"> </w:t>
            </w:r>
            <w:proofErr w:type="spellStart"/>
            <w:r>
              <w:rPr>
                <w:rFonts w:ascii="Times New Roman" w:hAnsi="Times New Roman"/>
              </w:rPr>
              <w:t>lending</w:t>
            </w:r>
            <w:proofErr w:type="spellEnd"/>
            <w:r>
              <w:rPr>
                <w:rFonts w:ascii="Times New Roman" w:hAnsi="Times New Roman"/>
              </w:rPr>
              <w:t xml:space="preserve"> </w:t>
            </w:r>
            <w:proofErr w:type="spellStart"/>
            <w:r>
              <w:rPr>
                <w:rFonts w:ascii="Times New Roman" w:hAnsi="Times New Roman"/>
              </w:rPr>
              <w:t>transaction</w:t>
            </w:r>
            <w:proofErr w:type="spellEnd"/>
            <w:r>
              <w:rPr>
                <w:rFonts w:ascii="Times New Roman" w:hAnsi="Times New Roman"/>
              </w:rPr>
              <w:t>“) bez zohlednění účinků účetního započtení nebo jiného CRM (tj. provede se reverze účinků účetního započtení nebo CRM, které se projevily v účetní hodnotě).</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 xml:space="preserve">Úvěrovou transakcí s hotovostním prostředníkem se rozumí kombinace dvou transakcí, kdy si instituce vypůjčí cenné papíry od vlastníka cenných papírů a </w:t>
            </w:r>
            <w:proofErr w:type="spellStart"/>
            <w:r>
              <w:rPr>
                <w:rFonts w:ascii="Times New Roman" w:hAnsi="Times New Roman"/>
              </w:rPr>
              <w:t>přepůjčí</w:t>
            </w:r>
            <w:proofErr w:type="spellEnd"/>
            <w:r>
              <w:rPr>
                <w:rFonts w:ascii="Times New Roman" w:hAnsi="Times New Roman"/>
              </w:rPr>
              <w:t xml:space="preserve"> je vypůjčiteli cenných papírů. Současně instituce obdrží od vypůjčitele cenných papírů hotovostní kolaterál a přijatou hotovost </w:t>
            </w:r>
            <w:proofErr w:type="spellStart"/>
            <w:r>
              <w:rPr>
                <w:rFonts w:ascii="Times New Roman" w:hAnsi="Times New Roman"/>
              </w:rPr>
              <w:t>přepůjčuje</w:t>
            </w:r>
            <w:proofErr w:type="spellEnd"/>
            <w:r>
              <w:rPr>
                <w:rFonts w:ascii="Times New Roman" w:hAnsi="Times New Roman"/>
              </w:rPr>
              <w:t xml:space="preserve"> vlastníkovi cenných papírů. Kvalifikovaná úvěrová transakce s hotovostním prostředníkem splňuje všechny tyto podmínky:</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obě jednotlivé transakce, ze kterých se kvalifikovaná úvěrová transakce s hotovostním prostředníkem skládá, jsou provedeny ve stejný den realizace obchodu, případně ve dvou po sobě následujících pracovních dnech, jedná-li se o mezinárodní transakci;</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b)</w:t>
            </w:r>
            <w:r>
              <w:tab/>
            </w:r>
            <w:r>
              <w:rPr>
                <w:rFonts w:ascii="Times New Roman" w:hAnsi="Times New Roman"/>
                <w:color w:val="000000"/>
              </w:rPr>
              <w:t>pokud transakce, ze kterých se úvěrová transakce s hotovostním prostředníkem skládá, neuvádějí splatnost, má instituce zákonné právo kdykoli a bez předchozího upozornění kteroukoli z těchto transakcí uzavřít (tzn. obě transakce);</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c)</w:t>
            </w:r>
            <w:r>
              <w:tab/>
            </w:r>
            <w:r>
              <w:rPr>
                <w:rFonts w:ascii="Times New Roman" w:hAnsi="Times New Roman"/>
                <w:color w:val="000000"/>
              </w:rPr>
              <w:t>pokud transakce, ze kterých se úvěrová transakce s hotovostním prostředníkem skládá, uvádějí splatnost, nesmí tato úvěrová transakce s hotovostním prostředníkem pro danou instituci vyvolat nesoulad splatností; instituce má zákonné právo kdykoli a bez předchozího upozornění kteroukoli z transakcí, z nichž se úvěrová transakce s hotovostním prostředníkem skládá (tzn. obě transakce), uzavřít;</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d)</w:t>
            </w:r>
            <w:r>
              <w:tab/>
            </w:r>
            <w:r>
              <w:rPr>
                <w:rFonts w:ascii="Times New Roman" w:hAnsi="Times New Roman"/>
                <w:color w:val="000000"/>
              </w:rPr>
              <w:t>nevyplývají z ní žádné další dodatečné expozice.</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Expozice, u nichž je možné využít zacházení podle čl. 113 odst. 6 CRR – hypoteticky vyňatý objem expozice pákového poměru</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Objem celkové expozice pákového poměru, který by byl vyňat, pokud by příslušné orgány udělily v maximálním možném rozsahu souhlas s vynětím expozic, u nichž jsou splněny všechny podmínky čl. 113 odst. 6 písm. a) až e) CRR a u nichž příslušné orgány udělily souhlas podle čl. 113 odst. 6 CRR. Pokud příslušný orgán již udělil souhlas v maximálním možném rozsahu, je hodnota v této buňce totožná s hodnotou v buňce {LRCalc;250;010}.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Expozice, které splňují podmínky čl. 429 odst. 14 písm. a) až c) CRR – hypoteticky vyňatý objem expozice pákového poměru</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Objem celkové expozice pákového poměru, který by byl vyňat, pokud by příslušné orgány udělily v maximálním možném rozsahu souhlas s vynětím expozic, které splňují podmínky čl. 429 odst. 14 písm. a) až c) CRR. Pokud příslušný orgán již udělil souhlas v maximálním možném rozsahu, je hodnota v této buňce totožná s hodnotou v buňce {LRCalc;260;010}.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4076964"/>
      <w:bookmarkEnd w:id="64"/>
      <w:bookmarkEnd w:id="65"/>
      <w:bookmarkEnd w:id="66"/>
      <w:r>
        <w:rPr>
          <w:rFonts w:ascii="Times New Roman" w:hAnsi="Times New Roman"/>
          <w:b/>
        </w:rPr>
        <w:t>6.</w:t>
      </w:r>
      <w:r>
        <w:tab/>
      </w:r>
      <w:r>
        <w:rPr>
          <w:rFonts w:ascii="Times New Roman" w:hAnsi="Times New Roman"/>
          <w:b/>
        </w:rPr>
        <w:t>C 41.00 – Rozvahové a podrozvahové položky – doplňující členění expozic</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Šablona LR2 poskytuje informace o položkách doplňujícího členění všech rozvahových a podrozvahových expozic</w:t>
      </w:r>
      <w:r>
        <w:rPr>
          <w:rFonts w:ascii="Times New Roman" w:hAnsi="Times New Roman"/>
          <w:vertAlign w:val="superscript"/>
        </w:rPr>
        <w:footnoteReference w:id="2"/>
      </w:r>
      <w:r>
        <w:rPr>
          <w:rFonts w:ascii="Times New Roman" w:hAnsi="Times New Roman"/>
        </w:rPr>
        <w:t xml:space="preserve"> náležejících do investičního portfolia a všech expozic obchodního portfolia, které jsou vystaveny úvěrovému riziku protistrany. Členění se provádí podle rizikových vah uplatněných v souladu s oddílem CRR, který se věnuje úvěrovému riziku. Informace se odvozují odlišně podle toho, zda se na expozice uplatňuje standardizovaný přístup, nebo přístup IRB.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U expozic, na něž jsou uplatňovány techniky CRM, ze kterých vyplývá nahrazení rizikového vážení protistrany rizikovým vážením záruky, uvádějí instituce rizikové váhy po zohlednění substitučního účinku. Podle přístupu IRB provedou instituce následující výpočet: pro expozice (s výjimkou expozic, pro které jsou stanoveny konkrétní regulatorní rizikové váhy) zařazené do jednotlivých stupňů dlužníka se riziková váha odvodí vydělením rizikově vážené expozice získané ze vzorce rizikové váhy (pro expozice úvěrového rizika) nebo regulatorního vzorce (pro </w:t>
      </w:r>
      <w:proofErr w:type="spellStart"/>
      <w:r>
        <w:rPr>
          <w:rFonts w:ascii="Times New Roman" w:hAnsi="Times New Roman"/>
        </w:rPr>
        <w:t>sekuritizační</w:t>
      </w:r>
      <w:proofErr w:type="spellEnd"/>
      <w:r>
        <w:rPr>
          <w:rFonts w:ascii="Times New Roman" w:hAnsi="Times New Roman"/>
        </w:rPr>
        <w:t xml:space="preserve"> expozice) hodnotou expozice po zohlednění přítoků a odtoků v důsledku technik CRM se substitučním účinkem na danou expozici. Podle přístupu IRB jsou expozice klasifikované jako expozice v selhání vyloučeny z buněk {020;010} až {090;010} a zahrnuty do buňky {100;010}. Podle standardizovaného přístupu jsou expozice podle čl. 112 písm. j) CRR vyloučeny z buněk {020;020} až {090;020} a zahrnuty do buňky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Podle obou přístupů považují instituce expozice odečtené z regulatorního kapitálu za expozice, na něž je uplatněna riziková váha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Řádek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Odkazy na právní předpisy a pokyny</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Celkové rozvahové a podrozvahové expozice investičního portfolia a expozice obchodního portfolia, které jsou vystaveny úvěrovému riziku protistrany (členění podle rizikové váhy):</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{020:*} až {</w:t>
            </w:r>
            <w:proofErr w:type="gramStart"/>
            <w:r>
              <w:rPr>
                <w:rFonts w:ascii="Times New Roman" w:hAnsi="Times New Roman"/>
              </w:rPr>
              <w:t>100;*}.</w:t>
            </w:r>
            <w:proofErr w:type="gramEnd"/>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s 0% rizikovou váhou.</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a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0 % a nižších nebo rovných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a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Expozice, jejichž riziková váha se pohybuje v rozmezí rizikových vah vyšších než 12 % a nižších nebo rovných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a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20 % a nižších nebo rovných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a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50 % a nižších nebo rovných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a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75 % a nižších nebo rovných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a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100 % a nižších nebo rovných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a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Expozice, jejichž riziková váha se pohybuje v rozmezí rizikových vah vyšších než 425 % a nižších nebo rovných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 selhání</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Podle standardizovaného přístupu expozice podle čl. 112 písm. j)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Podle přístupu IRB jsou všechny expozice, jejichž PD (pravděpodobnost selhání) je 100 %, expozicemi v selhání.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(Doplňková položka) Podrozvahové položky s nízkým rizikem nebo podrozvahové položky, kterým se podle kapitálové přiměřenosti přiřazuje konverzní faktor 0 %</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Podrozvahové položky s nízkým rizikem podle článku 111 CRR a podrozvahové položky, kterým se podle článku 166 CRR přiřazuje konverzní faktor 0 %.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Sloupec</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Odkazy na právní předpisy a pokyny</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Rozvahové a podrozvahové expozice (expozice podle standardizovaného přístupu)</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Hodnoty rozvahových a podrozvahových expozic po zohlednění úprav ocenění, všech účinků CRM a úvěrových konverzních faktorů, vypočtené podle části třetí hlavy II kapitoly 2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Rozvahové a podrozvahové expozice (expozice podle přístupu IRB)</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Hodnoty rozvahových a podrozvahových expozic v souladu s článkem 166 CRR a čl. 230 odst. 1 druhým pododstavcem první větou CRR po zohlednění odtoků a přítoků v důsledku technik CRM se substitučními účinky na danou expozici.</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Pro podrozvahové položky použijí instituce konverzní faktory dle vymezení v čl. 166 odst. 8 až 10 CRR.</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Nominální hodnota</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Hodnoty expozice podrozvahových položek dle vymezení v článcích 111 a 166 CRR bez použití konverzních faktorů.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524076965"/>
      <w:bookmarkStart w:id="82" w:name="_Toc322687894"/>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Alternativní definice kapitálu</w:t>
      </w:r>
      <w:bookmarkEnd w:id="78"/>
      <w:bookmarkEnd w:id="79"/>
      <w:r>
        <w:rPr>
          <w:rFonts w:ascii="Times New Roman" w:hAnsi="Times New Roman"/>
          <w:b/>
        </w:rPr>
        <w:t xml:space="preserve"> (LR3)</w:t>
      </w:r>
      <w:bookmarkEnd w:id="80"/>
      <w:bookmarkEnd w:id="81"/>
      <w:r>
        <w:rPr>
          <w:rFonts w:ascii="Times New Roman" w:hAnsi="Times New Roman"/>
          <w:b/>
        </w:rPr>
        <w:t xml:space="preserve"> </w:t>
      </w:r>
      <w:bookmarkEnd w:id="82"/>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Šablona LR3 poskytuje informace o mírách kapitálu potřebných pro přezkum podle článku 511 CRR.</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Řádek </w:t>
            </w:r>
          </w:p>
          <w:p w:rsidR="00F4754B" w:rsidRPr="00FE002E" w:rsidRDefault="00F4754B" w:rsidP="00F4754B">
            <w:pPr>
              <w:pStyle w:val="BodyText1"/>
              <w:rPr>
                <w:rFonts w:ascii="Times New Roman" w:hAnsi="Times New Roman"/>
                <w:b/>
                <w:bCs/>
                <w:u w:val="single"/>
              </w:rPr>
            </w:pPr>
            <w:r>
              <w:rPr>
                <w:rFonts w:ascii="Times New Roman" w:hAnsi="Times New Roman"/>
                <w:b/>
              </w:rPr>
              <w:t>a sloupec</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Odkazy na právní předpisy a pokyny</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{010;010}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Kmenový kapitál </w:t>
            </w:r>
            <w:proofErr w:type="spellStart"/>
            <w:r>
              <w:rPr>
                <w:rFonts w:ascii="Times New Roman" w:hAnsi="Times New Roman"/>
                <w:b/>
              </w:rPr>
              <w:t>tier</w:t>
            </w:r>
            <w:proofErr w:type="spellEnd"/>
            <w:r>
              <w:rPr>
                <w:rFonts w:ascii="Times New Roman" w:hAnsi="Times New Roman"/>
                <w:b/>
              </w:rPr>
              <w:t xml:space="preserve"> 1 – plně zavedená definice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Článek 50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 xml:space="preserve">Jedná se o výši kmenového kapitálu </w:t>
            </w:r>
            <w:proofErr w:type="spellStart"/>
            <w:r>
              <w:rPr>
                <w:rFonts w:ascii="Times New Roman" w:hAnsi="Times New Roman"/>
              </w:rPr>
              <w:t>tier</w:t>
            </w:r>
            <w:proofErr w:type="spellEnd"/>
            <w:r>
              <w:rPr>
                <w:rFonts w:ascii="Times New Roman" w:hAnsi="Times New Roman"/>
              </w:rPr>
              <w:t xml:space="preserve"> 1 definovaného v článku 50 CRR bez zohlednění odchylek uvedených v části </w:t>
            </w:r>
            <w:proofErr w:type="gramStart"/>
            <w:r>
              <w:rPr>
                <w:rFonts w:ascii="Times New Roman" w:hAnsi="Times New Roman"/>
              </w:rPr>
              <w:t>desáté</w:t>
            </w:r>
            <w:proofErr w:type="gramEnd"/>
            <w:r>
              <w:rPr>
                <w:rFonts w:ascii="Times New Roman" w:hAnsi="Times New Roman"/>
              </w:rPr>
              <w:t xml:space="preserve"> kapitolách 1 a 2 CRR.</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 xml:space="preserve">Kmenový kapitál </w:t>
            </w:r>
            <w:proofErr w:type="spellStart"/>
            <w:r>
              <w:rPr>
                <w:rFonts w:ascii="Times New Roman" w:hAnsi="Times New Roman"/>
                <w:b/>
              </w:rPr>
              <w:t>tier</w:t>
            </w:r>
            <w:proofErr w:type="spellEnd"/>
            <w:r>
              <w:rPr>
                <w:rFonts w:ascii="Times New Roman" w:hAnsi="Times New Roman"/>
                <w:b/>
              </w:rPr>
              <w:t xml:space="preserve"> 1 – přechodná definice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Článek 50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 xml:space="preserve">Jedná se o výši kmenového kapitálu </w:t>
            </w:r>
            <w:proofErr w:type="spellStart"/>
            <w:r>
              <w:rPr>
                <w:rFonts w:ascii="Times New Roman" w:hAnsi="Times New Roman"/>
              </w:rPr>
              <w:t>tier</w:t>
            </w:r>
            <w:proofErr w:type="spellEnd"/>
            <w:r>
              <w:rPr>
                <w:rFonts w:ascii="Times New Roman" w:hAnsi="Times New Roman"/>
              </w:rPr>
              <w:t xml:space="preserve"> 1 definovaného v článku 50 CRR po zohlednění odchylek uvedených v části </w:t>
            </w:r>
            <w:proofErr w:type="gramStart"/>
            <w:r>
              <w:rPr>
                <w:rFonts w:ascii="Times New Roman" w:hAnsi="Times New Roman"/>
              </w:rPr>
              <w:t>desáté</w:t>
            </w:r>
            <w:proofErr w:type="gramEnd"/>
            <w:r>
              <w:rPr>
                <w:rFonts w:ascii="Times New Roman" w:hAnsi="Times New Roman"/>
              </w:rPr>
              <w:t xml:space="preserve"> kapitolách 1 a 2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Celkový kapitál – plně zavedená definice</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Článek 72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Jedná se o výši kapitálu definovaného v článku 72 CRR bez zohlednění odchylek uvedených v části </w:t>
            </w:r>
            <w:proofErr w:type="gramStart"/>
            <w:r>
              <w:rPr>
                <w:rFonts w:ascii="Times New Roman" w:hAnsi="Times New Roman"/>
              </w:rPr>
              <w:t>desáté</w:t>
            </w:r>
            <w:proofErr w:type="gramEnd"/>
            <w:r>
              <w:rPr>
                <w:rFonts w:ascii="Times New Roman" w:hAnsi="Times New Roman"/>
              </w:rPr>
              <w:t xml:space="preserve"> kapitolách 1 a 2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Celkový kapitál – přechodná definice</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Článek 72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Jedná se o výši kapitálu definovaného v článku 72 CRR po zohlednění odchylek uvedených v části </w:t>
            </w:r>
            <w:proofErr w:type="gramStart"/>
            <w:r>
              <w:rPr>
                <w:rFonts w:ascii="Times New Roman" w:hAnsi="Times New Roman"/>
              </w:rPr>
              <w:t>desáté</w:t>
            </w:r>
            <w:proofErr w:type="gramEnd"/>
            <w:r>
              <w:rPr>
                <w:rFonts w:ascii="Times New Roman" w:hAnsi="Times New Roman"/>
              </w:rPr>
              <w:t xml:space="preserve"> kapitolách 1 a 2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 xml:space="preserve">Hodnota aktiva odečtená od položek kmenového kapitálu </w:t>
            </w:r>
            <w:proofErr w:type="spellStart"/>
            <w:r>
              <w:rPr>
                <w:rFonts w:ascii="Times New Roman" w:hAnsi="Times New Roman"/>
                <w:b/>
              </w:rPr>
              <w:t>tier</w:t>
            </w:r>
            <w:proofErr w:type="spellEnd"/>
            <w:r>
              <w:rPr>
                <w:rFonts w:ascii="Times New Roman" w:hAnsi="Times New Roman"/>
                <w:b/>
              </w:rPr>
              <w:t xml:space="preserve"> 1 – plně zavedená definice</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 xml:space="preserve">Představuje výši regulatorních úprav položek kmenového kapitálu </w:t>
            </w:r>
            <w:proofErr w:type="spellStart"/>
            <w:r>
              <w:rPr>
                <w:rFonts w:ascii="Times New Roman" w:hAnsi="Times New Roman"/>
              </w:rPr>
              <w:t>tier</w:t>
            </w:r>
            <w:proofErr w:type="spellEnd"/>
            <w:r>
              <w:rPr>
                <w:rFonts w:ascii="Times New Roman" w:hAnsi="Times New Roman"/>
              </w:rPr>
              <w:t xml:space="preserve"> 1, kterými se upravuje hodnota aktiva a které jsou vyžadovány těmito ustanoveními:</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32 až 35 CRR, nebo</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36 až 47 CRR,</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podle příslušných případů.</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Instituce zohlední vynětí, alternativní postupy a výjimky z těchto odpočtů stanovené v článcích 48, 49 a 79 CRR, aniž by zohlednily odchylky uvedené v části </w:t>
            </w:r>
            <w:proofErr w:type="gramStart"/>
            <w:r>
              <w:rPr>
                <w:rFonts w:ascii="Times New Roman" w:hAnsi="Times New Roman"/>
              </w:rPr>
              <w:t>desáté</w:t>
            </w:r>
            <w:proofErr w:type="gramEnd"/>
            <w:r>
              <w:rPr>
                <w:rFonts w:ascii="Times New Roman" w:hAnsi="Times New Roman"/>
              </w:rPr>
              <w:t xml:space="preserve"> kapitolách 1 a 2 CRR. Aby nedocházelo k dvojímu vykázání, neuvádějí instituce úpravy, které již uplatnily podle článku 111 CRR při výpočtu hodnot expozic v buňkách {LRCalc;10;10} až {LRCalc;260;10}, a neuvádějí ani úpravy, které nespočívají v odpočtu hodnoty určitého aktiva.</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Vzhledem k tomu, že tyto úpravy snižují celkový kapitál, vykazují se jako záporné číslo.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 xml:space="preserve">Hodnota aktiva odečtená od položek kmenového kapitálu </w:t>
            </w:r>
            <w:proofErr w:type="spellStart"/>
            <w:r>
              <w:rPr>
                <w:rFonts w:ascii="Times New Roman" w:hAnsi="Times New Roman"/>
                <w:b/>
              </w:rPr>
              <w:t>tier</w:t>
            </w:r>
            <w:proofErr w:type="spellEnd"/>
            <w:r>
              <w:rPr>
                <w:rFonts w:ascii="Times New Roman" w:hAnsi="Times New Roman"/>
                <w:b/>
              </w:rPr>
              <w:t xml:space="preserve"> 1 – přechodná definice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 xml:space="preserve">Představuje výši regulatorních úprav kmenového kapitálu </w:t>
            </w:r>
            <w:proofErr w:type="spellStart"/>
            <w:r>
              <w:rPr>
                <w:rFonts w:ascii="Times New Roman" w:hAnsi="Times New Roman"/>
              </w:rPr>
              <w:t>tier</w:t>
            </w:r>
            <w:proofErr w:type="spellEnd"/>
            <w:r>
              <w:rPr>
                <w:rFonts w:ascii="Times New Roman" w:hAnsi="Times New Roman"/>
              </w:rPr>
              <w:t xml:space="preserve"> 1, kterými se upravuje hodnota aktiva a které jsou vyžadovány těmito ustanoveními: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32 až 35 CRR, nebo</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36 až 47 CRR,</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podle příslušných případů.</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Instituce zohlední vynětí, alternativní postupy a výjimky z těchto odpočtů stanovené v článcích 48, 49 a 79 CRR, jakož i odchylky uvedené v části </w:t>
            </w:r>
            <w:proofErr w:type="gramStart"/>
            <w:r>
              <w:rPr>
                <w:rFonts w:ascii="Times New Roman" w:hAnsi="Times New Roman"/>
              </w:rPr>
              <w:t>desáté</w:t>
            </w:r>
            <w:proofErr w:type="gramEnd"/>
            <w:r>
              <w:rPr>
                <w:rFonts w:ascii="Times New Roman" w:hAnsi="Times New Roman"/>
              </w:rPr>
              <w:t xml:space="preserve"> kapitolách 1 a 2 CRR. Aby nedocházelo k dvojímu vykázání, neuvádějí instituce úpravy, které již uplatnily podle článku 111 CRR při výpočtu hodnot expozic v buňkách {LRCalc;10;10} až {LRCalc;260;10}, a neuvádějí ani úpravy, které nespočívají v odpočtu hodnoty určitého </w:t>
            </w:r>
            <w:r>
              <w:rPr>
                <w:rFonts w:ascii="Times New Roman" w:hAnsi="Times New Roman"/>
              </w:rPr>
              <w:lastRenderedPageBreak/>
              <w:t>aktiva.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Vzhledem k tomu, že tyto úpravy snižují celkový kapitál, vykazují se jako záporné číslo.</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Hodnota aktiva odečtená od položek kapitálu – plně zavedená definice</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Představuje výši regulatorních úprav položek kapitálu, kterými se upravuje hodnota aktiva a které jsou vyžadovány těmito ustanoveními: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32 až 35 CRR, nebo</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36 až 47 CRR, nebo</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56 až 60 CRR, nebo</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66 až 70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podle příslušných případů.</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Instituce zohlední vynětí, alternativní postupy a výjimky z těchto odpočtů stanovené v článcích 48, 49 a 79 CRR, aniž by zohlednily odchylky uvedené v části </w:t>
            </w:r>
            <w:proofErr w:type="gramStart"/>
            <w:r>
              <w:rPr>
                <w:rFonts w:ascii="Times New Roman" w:hAnsi="Times New Roman"/>
              </w:rPr>
              <w:t>desáté</w:t>
            </w:r>
            <w:proofErr w:type="gramEnd"/>
            <w:r>
              <w:rPr>
                <w:rFonts w:ascii="Times New Roman" w:hAnsi="Times New Roman"/>
              </w:rPr>
              <w:t xml:space="preserve"> kapitolách 1 a 2 CRR. Aby nedocházelo k dvojímu vykázání, neuvádějí instituce úpravy, které již uplatnily podle článku 111 CRR při výpočtu hodnot expozic v řádcích {LRCalc;10;10} až {LRCalc;260;10}, a neuvádějí ani úpravy, které nespočívají v odpočtu hodnoty určitého aktiva.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Vzhledem k tomu, že tyto úpravy snižují celkový kapitál, vykazují se jako záporné číslo.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Hodnota aktiva odečtená od položek kapitálu – přechodná definice</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Představuje výši regulatorních úprav položek kapitálu, kterými se upravuje hodnota aktiva a které jsou vyžadovány těmito ustanoveními:</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32 až 35 CRR, nebo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36 až 47 CRR, nebo</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56 až 60 CRR, nebo</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články 66 až 70 CRR,</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podle příslušných případů.</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Instituce zohlední vynětí, alternativní postupy a výjimky z těchto odpočtů stanovené v článcích 48, 49 a 79 CRR, jakož i odchylky uvedené v části </w:t>
            </w:r>
            <w:proofErr w:type="gramStart"/>
            <w:r>
              <w:rPr>
                <w:rFonts w:ascii="Times New Roman" w:hAnsi="Times New Roman"/>
              </w:rPr>
              <w:t>desáté</w:t>
            </w:r>
            <w:proofErr w:type="gramEnd"/>
            <w:r>
              <w:rPr>
                <w:rFonts w:ascii="Times New Roman" w:hAnsi="Times New Roman"/>
              </w:rPr>
              <w:t xml:space="preserve"> kapitolách 1 a 2 CRR. Aby nedocházelo k dvojímu vykázání, neuvádějí instituce úpravy, které již uplatnily podle článku 111 CRR při výpočtu hodnot expozic v buňkách {LRCalc;10;10} až {LRCalc;260;10}, a neuvádějí ani úpravy, které nespočívají v odpočtu hodnoty určitého aktiva.</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Vzhledem k tomu, že tyto úpravy snižují celkový kapitál, vykazují se jako záporné číslo.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4076966"/>
      <w:r>
        <w:rPr>
          <w:rFonts w:ascii="Times New Roman" w:hAnsi="Times New Roman"/>
          <w:b/>
        </w:rPr>
        <w:t>8.</w:t>
      </w:r>
      <w:r>
        <w:tab/>
      </w:r>
      <w:r>
        <w:rPr>
          <w:rFonts w:ascii="Times New Roman" w:hAnsi="Times New Roman"/>
          <w:b/>
        </w:rPr>
        <w:t>C 43.00 – Alternativní členění složek míry expozice pákového poměru</w:t>
      </w:r>
      <w:bookmarkEnd w:id="83"/>
      <w:bookmarkEnd w:id="85"/>
      <w:bookmarkEnd w:id="86"/>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 xml:space="preserve">V šabloně LR4 instituce vykazují hodnoty expozice pákového poměru po uplatnění případných vynětí uvedených v těchto buňkách šablony </w:t>
      </w:r>
      <w:proofErr w:type="spellStart"/>
      <w:r>
        <w:rPr>
          <w:rFonts w:ascii="Times New Roman" w:hAnsi="Times New Roman"/>
        </w:rPr>
        <w:t>LRCalc</w:t>
      </w:r>
      <w:proofErr w:type="spellEnd"/>
      <w:r>
        <w:rPr>
          <w:rFonts w:ascii="Times New Roman" w:hAnsi="Times New Roman"/>
        </w:rPr>
        <w:t>: {050;010}, {080;010}, {100;010}, {120;010}, {220; 010}, {250;010} a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Aby zamezily dvojímu vykázání, řídí se instituce rovnicí uvedenou v následujícím odstavci: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 xml:space="preserve">Podle odstavce 29 se instituce řídí touto rovnicí: [{LRCalc;010;010} + {LRCalc;020;010} + {LRCalc;030;010} + {LRCalc;040;010} + {LRCalc;050;010} + {LRCalc;060;010} + {LRCalc;070;010} + {LRCalc;080;010} + {LRCalc;090;010} + {LRCalc;100;010} + {LRCalc;110;010} + {LRCalc;120;010} + {LRCalc;130;010} + {LRCalc;140;010} + {LRCalc;150;010} + {LRCalc;160;010} + {LRCalc;170;010} + {LRCalc;180;010} + {LRCalc;190;010} + {LRCalc;200;010} + {LRCalc;210;010} + {LRCalc;220;010} + {LRCalc;230;010} + {LRCalc;240;010} + {LRCalc;250;010} + {LRCalc;260;010}] = [{LR4;010;010} </w:t>
      </w:r>
      <w:r>
        <w:rPr>
          <w:rFonts w:ascii="Times New Roman" w:hAnsi="Times New Roman"/>
        </w:rPr>
        <w:lastRenderedPageBreak/>
        <w:t>+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Řádek a sloupec</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Odkazy na právní předpisy a pokyny</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Podrozvahové položky; z toho – hodnota expozice pákového poměru</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Hodnota expozice pákového poměru vypočtená jako součet {LRCalc;150;010}, {LRCalc;160;010}, {LRCalc;170;010} a {LRCalc;180;010} s vyloučením příslušných expozic uvnitř skupiny (na individuálním základě) vyňatých v souladu s čl. 429 odst. 7 CRR.</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Podrozvahové položky; z toho – rizikově vážená aktiva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Objem rizikově vážené expozice podrozvahových položek – s výjimkou transakcí SFT a derivátů – vypočtený podle standardizovaného přístupu a přístupu IRB. Pro expozice podle standardizovaného přístupu určí instituce objem rizikově vážené expozice v souladu s částí třetí hlavou II kapitolou 2 CRR. Pro expozice podle přístupu IRB určí instituce objem rizikově vážené expozice v souladu s částí třetí hlavou II kapitolou 3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Financování obchodu; z toho – hodnota expozice pákového poměru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podrozvahových položek týkajících se financování obchodu. Pro účely vykazování údajů v LR4 se podrozvahové položky týkající se financování obchodu musí vztahovat k poskytnutým a potvrzeným vývozním a dovozním akreditivům, které jsou krátkodobé a </w:t>
            </w:r>
            <w:proofErr w:type="spellStart"/>
            <w:r>
              <w:rPr>
                <w:rFonts w:ascii="Times New Roman" w:hAnsi="Times New Roman"/>
              </w:rPr>
              <w:t>samolikvidující</w:t>
            </w:r>
            <w:proofErr w:type="spellEnd"/>
            <w:r>
              <w:rPr>
                <w:rFonts w:ascii="Times New Roman" w:hAnsi="Times New Roman"/>
              </w:rPr>
              <w:t>, a obdobným transakcím.</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Financování obchodu; z toho – rizikově vážená aktiva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rizikově vážené expozice podrozvahových položek – s výjimkou transakcí SFT a derivátů – týkajících se financování obchodu. Pro účely vykazování údajů v LR4 se podrozvahové položky týkající se financování obchodu musí vztahovat k poskytnutým a potvrzeným vývozním a dovozním akreditivům, které jsou krátkodobé a </w:t>
            </w:r>
            <w:proofErr w:type="spellStart"/>
            <w:r>
              <w:rPr>
                <w:rFonts w:ascii="Times New Roman" w:hAnsi="Times New Roman"/>
              </w:rPr>
              <w:t>samolikvidující</w:t>
            </w:r>
            <w:proofErr w:type="spellEnd"/>
            <w:r>
              <w:rPr>
                <w:rFonts w:ascii="Times New Roman" w:hAnsi="Times New Roman"/>
              </w:rPr>
              <w:t>, a obdobným transakcím.</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hodnota expozice pákového poměru</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Hodnota expozice pákového poměru u podrozvahových položek týkajících se financování obchodu v rámci oficiálního režimu pojištění vývozních úvěrů.</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rizikově vážená aktiva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Hodnota rizikově vážené expozice podrozvahových položek – s výjimkou transakcí SFT a derivátů – týkajících se financování obchodu v rámci oficiálního režimu pojištění vývozních úvěrů.</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a transakce SFT, na něž se vztahují dohody o křížovém započtení – hodnota expozice pákového poměru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derivátů a transakcí SFT, pokud podléhají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a transakce SFT, na něž se vztahují dohody o křížovém započtení – rizikově vážená aktiva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vůči úvěrovému riziku a úvěrovému riziku protistrany vypočtený podle části třetí hlavy II CRR u derivátů a transakcí SFT včetně podrozvahových, pokud podléhají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na něž se nevztahuje dohoda o křížovém započtení – hodnota expozice pákového poměru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derivátů, pokud </w:t>
            </w:r>
            <w:r>
              <w:rPr>
                <w:rFonts w:ascii="Times New Roman" w:hAnsi="Times New Roman"/>
                <w:b/>
                <w:u w:val="single"/>
              </w:rPr>
              <w:t>nepodléhají</w:t>
            </w:r>
            <w:r>
              <w:rPr>
                <w:rFonts w:ascii="Times New Roman" w:hAnsi="Times New Roman"/>
              </w:rPr>
              <w:t xml:space="preserve">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Deriváty, na něž se nevztahuje dohoda o křížovém započtení – rizikově vážená aktiva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vůči úvěrovému riziku a úvěrovému riziku protistrany vypočtený podle části třetí hlavy II CRR u derivátů včetně podrozvahových, pokud nepodléhají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Transakce SFT, na něž se nevztahuje dohoda o křížovém započtení – hodnota expozice pákového poměru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transakcí SFT, pokud </w:t>
            </w:r>
            <w:r>
              <w:rPr>
                <w:rFonts w:ascii="Times New Roman" w:hAnsi="Times New Roman"/>
                <w:b/>
                <w:u w:val="single"/>
              </w:rPr>
              <w:t>nepodléhají</w:t>
            </w:r>
            <w:r>
              <w:rPr>
                <w:rFonts w:ascii="Times New Roman" w:hAnsi="Times New Roman"/>
              </w:rPr>
              <w:t xml:space="preserve">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Transakce SFT, na něž se nevztahuje dohoda o křížovém započtení – rizikově vážená aktiva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vůči úvěrovému riziku a úvěrovému riziku protistrany vypočtený podle části třetí hlavy II CRR u transakcí SFT včetně podrozvahových, pokud </w:t>
            </w:r>
            <w:r>
              <w:rPr>
                <w:rFonts w:ascii="Times New Roman" w:hAnsi="Times New Roman"/>
                <w:b/>
                <w:u w:val="single"/>
              </w:rPr>
              <w:t>nepodléhají</w:t>
            </w:r>
            <w:r>
              <w:rPr>
                <w:rFonts w:ascii="Times New Roman" w:hAnsi="Times New Roman"/>
              </w:rPr>
              <w:t xml:space="preserve"> dohodě o křížovém započtení dle definice v čl. 272 </w:t>
            </w:r>
            <w:proofErr w:type="gramStart"/>
            <w:r>
              <w:rPr>
                <w:rFonts w:ascii="Times New Roman" w:hAnsi="Times New Roman"/>
              </w:rPr>
              <w:t>bodě</w:t>
            </w:r>
            <w:proofErr w:type="gramEnd"/>
            <w:r>
              <w:rPr>
                <w:rFonts w:ascii="Times New Roman" w:hAnsi="Times New Roman"/>
              </w:rPr>
              <w:t xml:space="preserve"> 25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Objem expozice vyplývající z doplňujících úprav u úvěrových derivátů – hodnota expozice pákového poměru</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Tato buňka se rovná rozdílu mezi {LRCalc;130;010} a {LRCalc;140;010} s vyloučením příslušných expozic uvnitř skupiny (na individuálním základě) vyňatých v souladu s čl. 429 odst. 7 CRR.</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Ostatní aktiva obchodního portfolia – hodnota expozice pákového poměru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Hodnota expozice pákového poměru u položek vykázaných v buňce {LRCalc;190;010} s vyloučením položek investičního portfolia.</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Ostatní aktiva obchodního portfolia – rizikově vážená aktiva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Kapitálové požadavky k položkám podle části třetí hlavy IV CRR násobené 12,5.</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Kryté dluhopisy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Hodnota expozice pákového poměru u aktiv, která jsou expozicemi v krytých dluhopisech dle vymezení v článku 129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Kryté dluhopisy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 krytých dluhopisech dle vymezení v čl. 161 odst. 1 písm. d)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Kryté dluhopisy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 krytých dluhopisech podle článku 129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Instituce vykazují čistou výši po odečtení expozic v selhání.</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Kryté dluhopisy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 krytých dluhopisech podle čl. 161 odst. 1 písm. d) CRR.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považované za expozice vůči suverénním subjektům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{100,010} až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považované za expozice vůči suverénním subjektům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{100 020} až {130 020}.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považované za expozice vůči suverénním subjektům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{100,030} až {130,030}.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považované za expozice vůči suverénním subjektům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{100,040} až {130,040}.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Ústřední vlády a centrální </w:t>
            </w:r>
            <w:proofErr w:type="gramStart"/>
            <w:r>
              <w:rPr>
                <w:rFonts w:ascii="Times New Roman" w:hAnsi="Times New Roman"/>
                <w:b/>
              </w:rPr>
              <w:t>banky</w:t>
            </w:r>
            <w:proofErr w:type="gramEnd"/>
            <w:r>
              <w:rPr>
                <w:rFonts w:ascii="Times New Roman" w:hAnsi="Times New Roman"/>
                <w:b/>
              </w:rPr>
              <w:t xml:space="preserve">– </w:t>
            </w:r>
            <w:proofErr w:type="gramStart"/>
            <w:r>
              <w:rPr>
                <w:rFonts w:ascii="Times New Roman" w:hAnsi="Times New Roman"/>
                <w:b/>
              </w:rPr>
              <w:t>hodnota</w:t>
            </w:r>
            <w:proofErr w:type="gramEnd"/>
            <w:r>
              <w:rPr>
                <w:rFonts w:ascii="Times New Roman" w:hAnsi="Times New Roman"/>
                <w:b/>
              </w:rPr>
              <w:t xml:space="preserve"> expozice pákového poměru – expozice podle standardizovaného přístupu</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ústředním vládám nebo </w:t>
            </w:r>
            <w:r>
              <w:rPr>
                <w:rFonts w:ascii="Times New Roman" w:hAnsi="Times New Roman"/>
              </w:rPr>
              <w:lastRenderedPageBreak/>
              <w:t xml:space="preserve">centrálním bankám dle vymezení v článku 114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Ústřední vlády a centrální </w:t>
            </w:r>
            <w:proofErr w:type="gramStart"/>
            <w:r>
              <w:rPr>
                <w:rFonts w:ascii="Times New Roman" w:hAnsi="Times New Roman"/>
                <w:b/>
              </w:rPr>
              <w:t>banky</w:t>
            </w:r>
            <w:proofErr w:type="gramEnd"/>
            <w:r>
              <w:rPr>
                <w:rFonts w:ascii="Times New Roman" w:hAnsi="Times New Roman"/>
                <w:b/>
              </w:rPr>
              <w:t xml:space="preserve">– </w:t>
            </w:r>
            <w:proofErr w:type="gramStart"/>
            <w:r>
              <w:rPr>
                <w:rFonts w:ascii="Times New Roman" w:hAnsi="Times New Roman"/>
                <w:b/>
              </w:rPr>
              <w:t>hodnota</w:t>
            </w:r>
            <w:proofErr w:type="gramEnd"/>
            <w:r>
              <w:rPr>
                <w:rFonts w:ascii="Times New Roman" w:hAnsi="Times New Roman"/>
                <w:b/>
              </w:rPr>
              <w:t xml:space="preserve"> expozice pákového poměru – expozice podle přístupu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ústředním vládám nebo centrálním bankám dle vymezení v čl. 147 odst. 2 písm. 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Ústřední vlády a centrální </w:t>
            </w:r>
            <w:proofErr w:type="gramStart"/>
            <w:r>
              <w:rPr>
                <w:rFonts w:ascii="Times New Roman" w:hAnsi="Times New Roman"/>
                <w:b/>
              </w:rPr>
              <w:t>banky</w:t>
            </w:r>
            <w:proofErr w:type="gramEnd"/>
            <w:r>
              <w:rPr>
                <w:rFonts w:ascii="Times New Roman" w:hAnsi="Times New Roman"/>
                <w:b/>
              </w:rPr>
              <w:t xml:space="preserve">– </w:t>
            </w:r>
            <w:proofErr w:type="gramStart"/>
            <w:r>
              <w:rPr>
                <w:rFonts w:ascii="Times New Roman" w:hAnsi="Times New Roman"/>
                <w:b/>
              </w:rPr>
              <w:t>rizikově</w:t>
            </w:r>
            <w:proofErr w:type="gramEnd"/>
            <w:r>
              <w:rPr>
                <w:rFonts w:ascii="Times New Roman" w:hAnsi="Times New Roman"/>
                <w:b/>
              </w:rPr>
              <w:t xml:space="preserve"> vážená aktiva – expozice podle standardizovaného přístupu</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ústředním vládám nebo centrálním bankám dle vymezení v článku 114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Ústřední vlády a centrální </w:t>
            </w:r>
            <w:proofErr w:type="gramStart"/>
            <w:r>
              <w:rPr>
                <w:rFonts w:ascii="Times New Roman" w:hAnsi="Times New Roman"/>
                <w:b/>
              </w:rPr>
              <w:t>banky</w:t>
            </w:r>
            <w:proofErr w:type="gramEnd"/>
            <w:r>
              <w:rPr>
                <w:rFonts w:ascii="Times New Roman" w:hAnsi="Times New Roman"/>
                <w:b/>
              </w:rPr>
              <w:t xml:space="preserve">– </w:t>
            </w:r>
            <w:proofErr w:type="gramStart"/>
            <w:r>
              <w:rPr>
                <w:rFonts w:ascii="Times New Roman" w:hAnsi="Times New Roman"/>
                <w:b/>
              </w:rPr>
              <w:t>rizikově</w:t>
            </w:r>
            <w:proofErr w:type="gramEnd"/>
            <w:r>
              <w:rPr>
                <w:rFonts w:ascii="Times New Roman" w:hAnsi="Times New Roman"/>
                <w:b/>
              </w:rPr>
              <w:t xml:space="preserve"> vážená aktiva – expozice podle přístupu IRB</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ústředním vládám nebo centrálním bankám dle vymezení v čl. 147 odst. 2 písm. 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Regionální vlády a místní orgány považované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regionálním vládám a místním orgánům považovaným za suverénní subjekty, pro něž platí čl. 115 odst. 2 a 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Regionální vlády a místní orgány považované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regionálním vládám a místním orgánům podle čl. 147 odst. 3 písm. a)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Regionální vlády a místní orgány považované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vůči regionálním vládám a místním orgánům považovaným za suverénní subjekty, pro něž platí čl. 115 odst. 2 a 4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Regionální vlády a místní orgány považované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regionálním vládám a místním orgánům podle čl. 147 odst. 3 písm. a)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Mezinárodní rozvojové banky a mezinárodní organizace považované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mezinárodním rozvojovým bankám a mezinárodním organizacím, pro něž platí čl. 117 odst. 2 a článek 118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Mezinárodní rozvojové banky a mezinárodní organizace považované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mezinárodním rozvojovým bankám a mezinárodním organizacím podle čl. 147 odst. 3) písm. b) a c)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Mezinárodní rozvojové banky a mezinárodní organizace považované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mezinárodním rozvojovým bankám a mezinárodním organizacím, pro něž platí čl. 117 odst. 2 a článek 118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Mezinárodní rozvojové banky a mezinárodní organizace považované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mezinárodním rozvojovým bankám a mezinárodním organizacím podle čl. 147 odst. 3) písm. b) a c)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Subjekty veřejného sektoru považované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subjektům veřejného sektoru, pro něž platí čl. 116 odst. 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Subjekty veřejného sektoru považované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Objem expozice pákového poměru u aktiv, která jsou expozicemi vůči subjektům veřejného sektoru podle čl. 147 odst. 3 písm. a)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Subjekty veřejného sektoru považované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subjektům veřejného sektoru, pro něž platí čl. 116 odst. 4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Subjekty veřejného sektoru považované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Objem rizikově vážené expozice aktiv, která jsou expozicemi vůči subjektům veřejného sektoru podle čl. 147 odst. 3 písm. 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Expozice vůči regionálním vládám, mezinárodním rozvojovým bankám, mezinárodním organizacím a subjektům veřejného sektoru </w:t>
            </w:r>
            <w:r>
              <w:rPr>
                <w:rFonts w:ascii="Times New Roman" w:hAnsi="Times New Roman"/>
                <w:b/>
                <w:u w:val="single"/>
              </w:rPr>
              <w:t>nepovažovaným</w:t>
            </w:r>
            <w:r>
              <w:rPr>
                <w:rFonts w:ascii="Times New Roman" w:hAnsi="Times New Roman"/>
                <w:b/>
              </w:rPr>
              <w:t xml:space="preserve">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{150,010} až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Expozice vůči regionálním vládám, mezinárodním rozvojovým bankám, mezinárodním organizacím a subjektům veřejného sektoru </w:t>
            </w:r>
            <w:r>
              <w:rPr>
                <w:rFonts w:ascii="Times New Roman" w:hAnsi="Times New Roman"/>
                <w:b/>
                <w:u w:val="single"/>
              </w:rPr>
              <w:t>nepovažovaným</w:t>
            </w:r>
            <w:r>
              <w:rPr>
                <w:rFonts w:ascii="Times New Roman" w:hAnsi="Times New Roman"/>
                <w:b/>
              </w:rPr>
              <w:t xml:space="preserve">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{150,020} až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Expozice vůči regionálním vládám, mezinárodním rozvojovým bankám, mezinárodním organizacím a subjektům veřejného sektoru </w:t>
            </w:r>
            <w:r>
              <w:rPr>
                <w:rFonts w:ascii="Times New Roman" w:hAnsi="Times New Roman"/>
                <w:b/>
                <w:u w:val="single"/>
              </w:rPr>
              <w:t>nepovažovaným</w:t>
            </w:r>
            <w:r>
              <w:rPr>
                <w:rFonts w:ascii="Times New Roman" w:hAnsi="Times New Roman"/>
                <w:b/>
              </w:rPr>
              <w:t xml:space="preserve">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{150,030} až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Expozice vůči regionálním vládám, mezinárodním rozvojovým bankám, mezinárodním organizacím a subjektům veřejného sektoru </w:t>
            </w:r>
            <w:r>
              <w:rPr>
                <w:rFonts w:ascii="Times New Roman" w:hAnsi="Times New Roman"/>
                <w:b/>
                <w:u w:val="single"/>
              </w:rPr>
              <w:t>nepovažovaným</w:t>
            </w:r>
            <w:r>
              <w:rPr>
                <w:rFonts w:ascii="Times New Roman" w:hAnsi="Times New Roman"/>
                <w:b/>
              </w:rPr>
              <w:t xml:space="preserve">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{150,040} až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Regionální vlády a místní orgány </w:t>
            </w:r>
            <w:r>
              <w:rPr>
                <w:rFonts w:ascii="Times New Roman" w:hAnsi="Times New Roman"/>
                <w:b/>
                <w:u w:val="single"/>
              </w:rPr>
              <w:t>nepovažované</w:t>
            </w:r>
            <w:r>
              <w:rPr>
                <w:rFonts w:ascii="Times New Roman" w:hAnsi="Times New Roman"/>
                <w:b/>
              </w:rPr>
              <w:t xml:space="preserve">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regionálním vládám a místním orgánům nepovažovaným za suverénní subjekty, pro něž platí čl. 115 odst. 1, 3 a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Regionální vlády a místní orgány </w:t>
            </w:r>
            <w:r>
              <w:rPr>
                <w:rFonts w:ascii="Times New Roman" w:hAnsi="Times New Roman"/>
                <w:b/>
                <w:u w:val="single"/>
              </w:rPr>
              <w:t>nepovažované</w:t>
            </w:r>
            <w:r>
              <w:rPr>
                <w:rFonts w:ascii="Times New Roman" w:hAnsi="Times New Roman"/>
                <w:b/>
              </w:rPr>
              <w:t xml:space="preserve"> za suverénní subjekty – hodnota expozice pákového poměru – expozice podle přístupu IRB</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regionálním vládám a místním orgánům nepovažovaným za suverénní subjekty podle čl. 147 odst. 4 písm. a)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Regionální vlády a místní orgány </w:t>
            </w:r>
            <w:r>
              <w:rPr>
                <w:rFonts w:ascii="Times New Roman" w:hAnsi="Times New Roman"/>
                <w:b/>
                <w:u w:val="single"/>
              </w:rPr>
              <w:t>nepovažované</w:t>
            </w:r>
            <w:r>
              <w:rPr>
                <w:rFonts w:ascii="Times New Roman" w:hAnsi="Times New Roman"/>
                <w:b/>
              </w:rPr>
              <w:t xml:space="preserve"> za suverénní subjekty – rizikově vážená aktiva – expozice podle standardizovaného přístupu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regionálním vládám a místním orgánům nepovažovaným za suverénní subjekty, pro něž platí čl. 115 odst. 1, 3 a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Regionální vlády a místní orgány </w:t>
            </w:r>
            <w:r>
              <w:rPr>
                <w:rFonts w:ascii="Times New Roman" w:hAnsi="Times New Roman"/>
                <w:b/>
                <w:u w:val="single"/>
              </w:rPr>
              <w:t>nepovažované</w:t>
            </w:r>
            <w:r>
              <w:rPr>
                <w:rFonts w:ascii="Times New Roman" w:hAnsi="Times New Roman"/>
                <w:b/>
              </w:rPr>
              <w:t xml:space="preserve">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vůči regionálním vládám a místním orgánům nepovažovaným za suverénní subjekty podle čl. 147 odst. 4 písm. a)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Mezinárodní rozvojové banky </w:t>
            </w:r>
            <w:r>
              <w:rPr>
                <w:rFonts w:ascii="Times New Roman" w:hAnsi="Times New Roman"/>
                <w:b/>
                <w:u w:val="single"/>
              </w:rPr>
              <w:t>nepovažované</w:t>
            </w:r>
            <w:r>
              <w:rPr>
                <w:rFonts w:ascii="Times New Roman" w:hAnsi="Times New Roman"/>
                <w:b/>
              </w:rPr>
              <w:t xml:space="preserve">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mezinárodním rozvojovým bankám, pro něž platí čl. 117 odst. 1 a 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Mezinárodní rozvojové banky </w:t>
            </w:r>
            <w:r>
              <w:rPr>
                <w:rFonts w:ascii="Times New Roman" w:hAnsi="Times New Roman"/>
                <w:b/>
                <w:u w:val="single"/>
              </w:rPr>
              <w:t>nepovažované</w:t>
            </w:r>
            <w:r>
              <w:rPr>
                <w:rFonts w:ascii="Times New Roman" w:hAnsi="Times New Roman"/>
                <w:b/>
              </w:rPr>
              <w:t xml:space="preserve">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mezinárodním rozvojovým bankám nepovažovaným za suverénní subjekty podle čl. 147 odst. 4 písm. c)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Mezinárodní rozvojové banky </w:t>
            </w:r>
            <w:r>
              <w:rPr>
                <w:rFonts w:ascii="Times New Roman" w:hAnsi="Times New Roman"/>
                <w:b/>
                <w:u w:val="single"/>
              </w:rPr>
              <w:t>nepovažované</w:t>
            </w:r>
            <w:r>
              <w:rPr>
                <w:rFonts w:ascii="Times New Roman" w:hAnsi="Times New Roman"/>
                <w:b/>
              </w:rPr>
              <w:t xml:space="preserve">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vůči mezinárodním rozvojovým bankám, pro něž platí čl. 117 odst. 1 a 3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Mezinárodní rozvojové banky </w:t>
            </w:r>
            <w:r>
              <w:rPr>
                <w:rFonts w:ascii="Times New Roman" w:hAnsi="Times New Roman"/>
                <w:b/>
                <w:u w:val="single"/>
              </w:rPr>
              <w:t>nepovažované</w:t>
            </w:r>
            <w:r>
              <w:rPr>
                <w:rFonts w:ascii="Times New Roman" w:hAnsi="Times New Roman"/>
                <w:b/>
              </w:rPr>
              <w:t xml:space="preserve">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mezinárodním rozvojovým bankám nepovažovaným za suverénní subjekty podle čl. 147 odst. 4 písm. c)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Subjekty veřejného sektoru </w:t>
            </w:r>
            <w:r>
              <w:rPr>
                <w:rFonts w:ascii="Times New Roman" w:hAnsi="Times New Roman"/>
                <w:b/>
                <w:u w:val="single"/>
              </w:rPr>
              <w:t>nepovažované</w:t>
            </w:r>
            <w:r>
              <w:rPr>
                <w:rFonts w:ascii="Times New Roman" w:hAnsi="Times New Roman"/>
                <w:b/>
              </w:rPr>
              <w:t xml:space="preserve"> za suverénní subjekty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subjektům veřejného sektoru, pro něž platí čl. 116 odst. 1, 2, 3 a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Subjekty veřejného sektoru </w:t>
            </w:r>
            <w:r>
              <w:rPr>
                <w:rFonts w:ascii="Times New Roman" w:hAnsi="Times New Roman"/>
                <w:b/>
                <w:u w:val="single"/>
              </w:rPr>
              <w:t>nepovažované</w:t>
            </w:r>
            <w:r>
              <w:rPr>
                <w:rFonts w:ascii="Times New Roman" w:hAnsi="Times New Roman"/>
                <w:b/>
              </w:rPr>
              <w:t xml:space="preserve"> za suverénní subjekty – hodnota expozice pákového poměru – expozice podle přístupu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subjektům veřejného sektoru nepovažovaným za suverénní subjekty podle čl. 147 odst. 4 písm. b)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Subjekty veřejného sektoru </w:t>
            </w:r>
            <w:r>
              <w:rPr>
                <w:rFonts w:ascii="Times New Roman" w:hAnsi="Times New Roman"/>
                <w:b/>
                <w:u w:val="single"/>
              </w:rPr>
              <w:t>nepovažované</w:t>
            </w:r>
            <w:r>
              <w:rPr>
                <w:rFonts w:ascii="Times New Roman" w:hAnsi="Times New Roman"/>
                <w:b/>
              </w:rPr>
              <w:t xml:space="preserve"> za suverénní subjekty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subjektům veřejného sektoru, pro něž platí čl. 116 odst. 1, 2, 3 a 5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Subjekty veřejného sektoru </w:t>
            </w:r>
            <w:r>
              <w:rPr>
                <w:rFonts w:ascii="Times New Roman" w:hAnsi="Times New Roman"/>
                <w:b/>
                <w:u w:val="single"/>
              </w:rPr>
              <w:t>nepovažované</w:t>
            </w:r>
            <w:r>
              <w:rPr>
                <w:rFonts w:ascii="Times New Roman" w:hAnsi="Times New Roman"/>
                <w:b/>
              </w:rPr>
              <w:t xml:space="preserve"> za suverénní subjekty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subjektům veřejného sektoru nepovažovaným za suverénní subjekty podle čl. 147 odst. 4 písm. b)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Instituce – hodnota expozice pákového poměru – expozice podle standardizovaného přístupu</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institucím, pro něž platí články 119 až 121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Instituce</w:t>
            </w:r>
            <w:r>
              <w:rPr>
                <w:rFonts w:ascii="Times New Roman" w:hAnsi="Times New Roman"/>
              </w:rPr>
              <w:t xml:space="preserve"> </w:t>
            </w:r>
            <w:r>
              <w:rPr>
                <w:rFonts w:ascii="Times New Roman" w:hAnsi="Times New Roman"/>
                <w:b/>
              </w:rPr>
              <w:t>– hodnota expozice pákového poměru – expozice podle přístupu IRB</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institucím podle čl. 147 odst. 2 písm. b) CRR, </w:t>
            </w:r>
            <w:r>
              <w:rPr>
                <w:rFonts w:ascii="Times New Roman" w:hAnsi="Times New Roman"/>
                <w:b/>
                <w:u w:val="single"/>
              </w:rPr>
              <w:t>nejsou</w:t>
            </w:r>
            <w:r>
              <w:rPr>
                <w:rFonts w:ascii="Times New Roman" w:hAnsi="Times New Roman"/>
              </w:rPr>
              <w:t xml:space="preserve"> expozicemi v krytých dluhopisech podle čl. 161 odst. 1 písm. d) CRR a </w:t>
            </w:r>
            <w:r>
              <w:rPr>
                <w:rFonts w:ascii="Times New Roman" w:hAnsi="Times New Roman"/>
                <w:b/>
                <w:u w:val="single"/>
              </w:rPr>
              <w:t>nejsou</w:t>
            </w:r>
            <w:r>
              <w:rPr>
                <w:rFonts w:ascii="Times New Roman" w:hAnsi="Times New Roman"/>
              </w:rPr>
              <w:t xml:space="preserve"> expozicemi podle čl. 147 odst. 4 písm. a) až c)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Instituce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institucím, pro něž platí články 119 až 121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Instituce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institucím podle čl. 147 odst. 2 písm. b) CRR, </w:t>
            </w:r>
            <w:r>
              <w:rPr>
                <w:rFonts w:ascii="Times New Roman" w:hAnsi="Times New Roman"/>
                <w:b/>
                <w:u w:val="single"/>
              </w:rPr>
              <w:t>nejsou</w:t>
            </w:r>
            <w:r>
              <w:rPr>
                <w:rFonts w:ascii="Times New Roman" w:hAnsi="Times New Roman"/>
              </w:rPr>
              <w:t xml:space="preserve"> expozicemi v krytých dluhopisech podle čl. 161 odst. 1 písm. d) CRR a </w:t>
            </w:r>
            <w:r>
              <w:rPr>
                <w:rFonts w:ascii="Times New Roman" w:hAnsi="Times New Roman"/>
                <w:b/>
                <w:u w:val="single"/>
              </w:rPr>
              <w:t>nejsou</w:t>
            </w:r>
            <w:r>
              <w:rPr>
                <w:rFonts w:ascii="Times New Roman" w:hAnsi="Times New Roman"/>
              </w:rPr>
              <w:t xml:space="preserve"> expozicemi podle čl. 147 odst. 4 písm. a) až c)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nemovitosti; z toho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Hodnota expozice pákového poměru u aktiv, která jsou expozicemi zajištěnými hypotékami na nemovitosti, pro něž platí článek 124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nemovitosti; z toho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podnikům podle čl. 147 odst. 2 písm. c) nebo retailovými expozicemi podle čl. 147 odst. 2 písm. d) CRR, pokud jsou tyto </w:t>
            </w:r>
            <w:r>
              <w:rPr>
                <w:rFonts w:ascii="Times New Roman" w:hAnsi="Times New Roman"/>
              </w:rPr>
              <w:lastRenderedPageBreak/>
              <w:t>expozice zajištěny hypotékami na nemovitosti v souladu s čl. 199 odst. 1 písm. a)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nemovitosti; z toho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zajištěnými hypotékami na nemovitosti, pro něž platí článek 124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Zajištěné hypotékami na nemovitosti; z toho – rizikově vážená aktiva – expozice podle přístupu IRB</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vůči podnikům podle čl. 147 odst. 2 písm. c) nebo retailovými expozicemi podle čl. 147 odst. 2 písm. d) CRR, pokud jsou tyto expozice zajištěny hypotékami na nemovitosti v souladu s čl. 199 odst. 1 písm. a)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obytné nemovitosti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Hodnota expozice pákového poměru u aktiv, která jsou expozicemi plně a zcela zajištěnými hypotékami na obytné nemovitosti, pro něž platí článek 125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Zajištěné hypotékami na obytné nemovitosti – hodnota expozice pákového poměru – expozice podle přístupu IRB</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Hodnota expozice pákového poměru u aktiv, která jsou expozicemi vůči podnikům podle čl. 147 odst. 2 písm. c) nebo retailovými expozicemi podle čl. 147 odst. 2 písm. d) CRR, pokud jsou tyto expozice zajištěny hypotékami na obytné nemovitosti v souladu s čl. 199 odst. 1 písm. a)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Instituce vykazují čistou výši po odečtení expozic v selhání.</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obytné nemovitosti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Objem rizikově vážené expozice aktiv, která jsou expozicemi plně a zcela zajištěnými hypotékami na obytné nemovitosti, pro něž platí článek 125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Zajištěné hypotékami na obytné nemovitosti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podnikům podle čl. 147 odst. 2 písm. c) nebo retailovými expozicemi podle čl. 147 odst. 2 písm. d) CRR, pokud jsou tyto expozice zajištěny hypotékami na obytné nemovitosti v souladu s čl. 199 odst. 1 písm. a)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Instituce vykazují čistou výši po odečtení expozic v selhání.</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Retailové expozice; z toho – hodnota expozice pákového poměru – expozice podle standardizovaného přístupu</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retailovými expozicemi, pro něž platí článek 123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lastRenderedPageBreak/>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Retailové expozice; z toho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retailovými expozicemi podle čl. 147 odst. 2 písm. d)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Retailové expozice; z toho – rizikově vážená aktiva – expozice podle standardizovaného přístupu</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retailovými expozicemi, pro něž platí článek 123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Retailové expozice; z toho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retailovými expozicemi podle čl. 147 odst. 2 písm. d)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Retailové expozice vůči malým a středním podnikům – hodnota expozice pákového poměru – expozice podle standardizovaného přístupu</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retailovými expozicemi vůči malým a středním podnikům, pro něž platí článek 123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Retailové expozice vůči malým a středním podnikům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retailovými expozicemi podle čl. 147 odst. 2 písm. d) CRR, pokud jsou tyto expozice expozicemi vůči malým a středním podnikům a </w:t>
            </w:r>
            <w:r>
              <w:rPr>
                <w:rFonts w:ascii="Times New Roman" w:hAnsi="Times New Roman"/>
                <w:b/>
                <w:u w:val="single"/>
              </w:rPr>
              <w:t>nejsou</w:t>
            </w:r>
            <w:r>
              <w:rPr>
                <w:rFonts w:ascii="Times New Roman" w:hAnsi="Times New Roman"/>
              </w:rPr>
              <w:t xml:space="preserve"> zajištěny hypotékami na nemovitosti v souladu s čl. 199 odst. 1 písm. a) CRR.</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Retailové expozice vůči malým a středním podnikům – rizikově vážená aktiva – expozice podle standardizovaného přístupu</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retailovými expozicemi vůči malým a středním podnikům, pro něž platí článek 123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Retailové expozice vůči malým a středním podnikům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retailovými expozicemi podle čl. 147 odst. 2 písm. d) CRR, pokud jsou tyto expozice expozicemi vůči malým a středním podnikům a </w:t>
            </w:r>
            <w:r>
              <w:rPr>
                <w:rFonts w:ascii="Times New Roman" w:hAnsi="Times New Roman"/>
                <w:b/>
                <w:u w:val="single"/>
              </w:rPr>
              <w:t>nejsou</w:t>
            </w:r>
            <w:r>
              <w:rPr>
                <w:rFonts w:ascii="Times New Roman" w:hAnsi="Times New Roman"/>
              </w:rPr>
              <w:t xml:space="preserve"> zajištěny hypotékami na nemovitosti v souladu s čl. 199 odst. 1 písm. a)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Podniky; z toho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Jedná se o součet buněk {240,010} a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Podniky; z toho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{240,020} a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Podniky; z toho – rizikově vážená aktiva – expozice podle standardizovaného přístupu</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{240,030} a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Podniky; z toho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{240,040} a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Finanční podniky – hodnota expozice pákového poměru – expozice podle standardizovaného přístupu</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finančním podnikům, pro něž platí článek 122 CRR. Pro účely vykazování údajů v LR4 se finančními podniky rozumí regulované i neregulované podniky, které nejsou institucemi uvedenými v buňce {180;10} a jejichž hlavní činností je nabývání účastí nebo výkon jedné nebo více činností uvedených v příloze I směrnice 2013/36/EU, a rovněž podniky ve smyslu čl. 4 odst. 1 bodu 27 CRR, které nejsou institucemi uvedenými v buňce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Finanční podniky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finančním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Pro účely vykazování údajů v LR4 se finančními podniky rozumí regulované i neregulované podniky, které nejsou institucemi uvedenými v buňce {180;10} a jejichž hlavní činností je nabývání účastí nebo výkon jedné nebo více činností uvedených v příloze I směrnice 2013/36/EU, a rovněž podniky ve smyslu čl. 4 odst. 1 bodu 27 CRR, které nejsou institucemi uvedenými v buňce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Finanční podniky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finančním podnikům, pro něž platí článek 122 CRR. Pro účely vykazování údajů v LR4 se finančními podniky rozumí regulované i neregulované podniky, které nejsou institucemi uvedenými v buňce {180;10} a jejichž hlavní činností je nabývání účastí nebo výkon jedné nebo více činností uvedených v příloze I směrnice 2013/36/EU, a rovněž podniky ve smyslu čl. 4 odst. 1 bodu 27 CRR, které nejsou institucemi uvedenými v buňce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Finanční podniky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finančním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Pro účely vykazování údajů v LR4 se finančními podniky rozumí regulované i neregulované podniky, které nejsou institucemi uvedenými v buňce {180;10} a jejichž hlavní činností je nabývání účastí nebo výkon jedné nebo více činností uvedených v příloze I směrnice 2013/36/EU, a rovněž podniky ve smyslu čl. 4 odst. 1 bodu 27 CRR, které nejsou institucemi uvedenými v buňce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Nefinanční podniky; z toho – hodnota expozice pákového poměru – expozice podle standardizovaného přístupu</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w:t>
            </w:r>
            <w:r>
              <w:rPr>
                <w:rFonts w:ascii="Times New Roman" w:hAnsi="Times New Roman"/>
                <w:b/>
              </w:rPr>
              <w:t>nefinančním</w:t>
            </w:r>
            <w:r>
              <w:rPr>
                <w:rFonts w:ascii="Times New Roman" w:hAnsi="Times New Roman"/>
              </w:rPr>
              <w:t xml:space="preserve"> podnikům, pro něž platí článek 122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{260,010} a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Nefinanční podniky; z toho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w:t>
            </w:r>
            <w:r>
              <w:rPr>
                <w:rFonts w:ascii="Times New Roman" w:hAnsi="Times New Roman"/>
                <w:b/>
              </w:rPr>
              <w:t>nefinančním</w:t>
            </w:r>
            <w:r>
              <w:rPr>
                <w:rFonts w:ascii="Times New Roman" w:hAnsi="Times New Roman"/>
              </w:rPr>
              <w:t xml:space="preserve">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Jedná se o součet buněk {260,020} a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Nefinanční podniky; z toho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w:t>
            </w:r>
            <w:r>
              <w:rPr>
                <w:rFonts w:ascii="Times New Roman" w:hAnsi="Times New Roman"/>
                <w:b/>
              </w:rPr>
              <w:t>nefinančním</w:t>
            </w:r>
            <w:r>
              <w:rPr>
                <w:rFonts w:ascii="Times New Roman" w:hAnsi="Times New Roman"/>
              </w:rPr>
              <w:t xml:space="preserve"> podnikům, pro něž platí článek 122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{260,030} a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Nefinanční podniky; z toho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w:t>
            </w:r>
            <w:r>
              <w:rPr>
                <w:rFonts w:ascii="Times New Roman" w:hAnsi="Times New Roman"/>
                <w:b/>
              </w:rPr>
              <w:t>nefinančním</w:t>
            </w:r>
            <w:r>
              <w:rPr>
                <w:rFonts w:ascii="Times New Roman" w:hAnsi="Times New Roman"/>
              </w:rPr>
              <w:t xml:space="preserve">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w:t>
            </w:r>
            <w:r>
              <w:rPr>
                <w:rFonts w:ascii="Times New Roman" w:hAnsi="Times New Roman"/>
              </w:rPr>
              <w:lastRenderedPageBreak/>
              <w:t xml:space="preserve">souladu s čl. 199 odst. 1 písm. a)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Jedná se o součet buněk {260,040} a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Expozice vůči malým a středním podnikům – hodnota expozice pákového poměru – expozice podle standardizovaného přístupu</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malým a středním podnikům, pro něž platí článek 122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Malý a střední podnik pro účely této buňky odpovídá vymezení v čl. 501 odst. 2 písm.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vůči malým a středním podnikům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podnikům podle čl. 147 odst. 2 písm. c) CRR, pokud jsou tyto expozice expozicemi vůči malým a středním podnikům a </w:t>
            </w:r>
            <w:r>
              <w:rPr>
                <w:rFonts w:ascii="Times New Roman" w:hAnsi="Times New Roman"/>
                <w:b/>
                <w:u w:val="single"/>
              </w:rPr>
              <w:t>nejsou</w:t>
            </w:r>
            <w:r>
              <w:rPr>
                <w:rFonts w:ascii="Times New Roman" w:hAnsi="Times New Roman"/>
              </w:rPr>
              <w:t xml:space="preserve"> zajištěny hypotékami na nemovitosti v souladu s čl. 199 odst. 1 písm. a)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Malý a střední podnik je pro účely této buňky definován v souladu s čl. 501 odst. 2 písm. b) CRR.</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vůči malým a středním podnikům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malým a středním podnikům, pro něž platí článek 122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vůči malým a středním podnikům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podnikům podle čl. 147 odst. 2 písm. c) CRR, pokud jsou tyto expozice expozicemi vůči malým a středním podnikům a </w:t>
            </w:r>
            <w:r>
              <w:rPr>
                <w:rFonts w:ascii="Times New Roman" w:hAnsi="Times New Roman"/>
                <w:b/>
                <w:u w:val="single"/>
              </w:rPr>
              <w:t>nejsou</w:t>
            </w:r>
            <w:r>
              <w:rPr>
                <w:rFonts w:ascii="Times New Roman" w:hAnsi="Times New Roman"/>
              </w:rPr>
              <w:t xml:space="preserve"> zajištěny hypotékami na nemovitosti v souladu s čl. 199 odst. 1 písm. a)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Malý a střední podnik je pro účely této buňky definován v souladu s čl. 501 odst. 2 písm. b)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Expozice vůči jiným než malým a středním podnikům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podnikům, pro něž platí článek 122 CRR a jež se nevykazují v buňkách {230;040} a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Expozice vůči jiným než malým a středním podnikům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lastRenderedPageBreak/>
              <w:t xml:space="preserve">Hodnota expozice pákového poměru u aktiv, která jsou expozicemi vůči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a nevykazují se v buňkách {230;040} a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Expozice vůči jiným než malým a středním podnikům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podnikům, pro něž platí článek 122 CRR a jež se nevykazují v buňkách {230;040} a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Expozice vůči jiným než malým a středním podnikům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podnikům podle čl. 147 odst. 2 písm. c) CRR, pokud tyto expozice </w:t>
            </w:r>
            <w:r>
              <w:rPr>
                <w:rFonts w:ascii="Times New Roman" w:hAnsi="Times New Roman"/>
                <w:b/>
                <w:u w:val="single"/>
              </w:rPr>
              <w:t>nejsou</w:t>
            </w:r>
            <w:r>
              <w:rPr>
                <w:rFonts w:ascii="Times New Roman" w:hAnsi="Times New Roman"/>
              </w:rPr>
              <w:t xml:space="preserve"> zajištěny hypotékami na nemovitosti v souladu s čl. 199 odst. 1 písm. a) CRR a nevykazují se v buňkách {230;040} a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 selhání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 selhání, a proto se řídí článkem 127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 selhání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zařazených do kategorií expozic uvedených v čl. 147 odst. 2 CRR, pokud došlo k selhání podle článku 178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Expozice v selhání – rizikově vážená aktiva – expozice podle standardizovaného přístupu</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 selhání, a proto se řídí článkem 127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Expozice v selhání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zařazených do kategorií expozic uvedených v čl. 147 odst. 2 CRR, pokud došlo k selhání podle článku 178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Jiné expozice; z toho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zařazených do kategorií expozic uvedených v čl. 112 písm. k), m), n), o), p) a q)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 xml:space="preserve">Instituce zde vykazují aktiva, která se odečítají z kapitálu (např. nehmotná aktiva), avšak nemohou být zařazena jinam, i když </w:t>
            </w:r>
            <w:proofErr w:type="gramStart"/>
            <w:r>
              <w:rPr>
                <w:rFonts w:ascii="Times New Roman" w:hAnsi="Times New Roman"/>
              </w:rPr>
              <w:t>se</w:t>
            </w:r>
            <w:proofErr w:type="gramEnd"/>
            <w:r>
              <w:rPr>
                <w:rFonts w:ascii="Times New Roman" w:hAnsi="Times New Roman"/>
              </w:rPr>
              <w:t xml:space="preserve"> toto </w:t>
            </w:r>
            <w:proofErr w:type="gramStart"/>
            <w:r>
              <w:rPr>
                <w:rFonts w:ascii="Times New Roman" w:hAnsi="Times New Roman"/>
              </w:rPr>
              <w:t>zařazení</w:t>
            </w:r>
            <w:proofErr w:type="gramEnd"/>
            <w:r>
              <w:rPr>
                <w:rFonts w:ascii="Times New Roman" w:hAnsi="Times New Roman"/>
              </w:rPr>
              <w:t xml:space="preserve"> pro určení kapitálových požadavků založených na riziku ve sloupcích {*; 030} a {*; 040} nevyžaduje.</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Jiné expozice; z toho – hodnota expozice pákového poměru – expozice podle přístupu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Objem expozice pákového poměru u aktiv zařazených do kategorií expozic uvedených v čl. 147 odst. 2 písm. e), f) a g)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 xml:space="preserve">Instituce zde vykazují aktiva, která se odečítají z kapitálu (např. nehmotná aktiva), avšak nemohou být zařazena jinam, i když </w:t>
            </w:r>
            <w:proofErr w:type="gramStart"/>
            <w:r>
              <w:rPr>
                <w:rFonts w:ascii="Times New Roman" w:hAnsi="Times New Roman"/>
              </w:rPr>
              <w:t>se</w:t>
            </w:r>
            <w:proofErr w:type="gramEnd"/>
            <w:r>
              <w:rPr>
                <w:rFonts w:ascii="Times New Roman" w:hAnsi="Times New Roman"/>
              </w:rPr>
              <w:t xml:space="preserve"> toto </w:t>
            </w:r>
            <w:proofErr w:type="gramStart"/>
            <w:r>
              <w:rPr>
                <w:rFonts w:ascii="Times New Roman" w:hAnsi="Times New Roman"/>
              </w:rPr>
              <w:t>zařazení</w:t>
            </w:r>
            <w:proofErr w:type="gramEnd"/>
            <w:r>
              <w:rPr>
                <w:rFonts w:ascii="Times New Roman" w:hAnsi="Times New Roman"/>
              </w:rPr>
              <w:t xml:space="preserve"> pro určení kapitálových požadavků založených na riziku ve sloupcích {*; 030} a {*; 040} nevyžaduje.</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Jiné expozice; z toho</w:t>
            </w:r>
            <w:r>
              <w:rPr>
                <w:rFonts w:ascii="Times New Roman" w:hAnsi="Times New Roman"/>
              </w:rPr>
              <w:t xml:space="preserve"> </w:t>
            </w:r>
            <w:r>
              <w:rPr>
                <w:rFonts w:ascii="Times New Roman" w:hAnsi="Times New Roman"/>
                <w:b/>
              </w:rPr>
              <w:t>– rizikově vážená aktiva – expozice podle standardizovaného přístupu</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Hodnota rizikově vážené expozice aktiv zařazených do kategorií expozic uvedených v čl. 112 písm. k), m), n), o), p) a q)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Jiné expozice; z toho</w:t>
            </w:r>
            <w:r>
              <w:rPr>
                <w:rFonts w:ascii="Times New Roman" w:hAnsi="Times New Roman"/>
              </w:rPr>
              <w:t xml:space="preserve"> </w:t>
            </w:r>
            <w:r>
              <w:rPr>
                <w:rFonts w:ascii="Times New Roman" w:hAnsi="Times New Roman"/>
                <w:b/>
              </w:rPr>
              <w:t>– rizikově vážená aktiva – expozice podle přístupu IRB</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rizikově vážené expozice aktiv zařazených do kategorií expozic uvedených v čl. 147 odst. 2 písm. e), f) a g)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proofErr w:type="spellStart"/>
            <w:r>
              <w:rPr>
                <w:rFonts w:ascii="Times New Roman" w:hAnsi="Times New Roman"/>
                <w:b/>
              </w:rPr>
              <w:t>Sekuritizační</w:t>
            </w:r>
            <w:proofErr w:type="spellEnd"/>
            <w:r>
              <w:rPr>
                <w:rFonts w:ascii="Times New Roman" w:hAnsi="Times New Roman"/>
                <w:b/>
              </w:rPr>
              <w:t xml:space="preserve"> expozice – hodnota expozice pákového poměru – expozice podle standardizovaného přístupu</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w:t>
            </w:r>
            <w:proofErr w:type="spellStart"/>
            <w:r>
              <w:rPr>
                <w:rFonts w:ascii="Times New Roman" w:hAnsi="Times New Roman"/>
              </w:rPr>
              <w:t>sekuritizacím</w:t>
            </w:r>
            <w:proofErr w:type="spellEnd"/>
            <w:r>
              <w:rPr>
                <w:rFonts w:ascii="Times New Roman" w:hAnsi="Times New Roman"/>
              </w:rPr>
              <w:t xml:space="preserve"> podle čl. 112 písm. m) CRR.</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spellStart"/>
            <w:r>
              <w:rPr>
                <w:rFonts w:ascii="Times New Roman" w:hAnsi="Times New Roman"/>
                <w:b/>
              </w:rPr>
              <w:t>Sekuritizační</w:t>
            </w:r>
            <w:proofErr w:type="spellEnd"/>
            <w:r>
              <w:rPr>
                <w:rFonts w:ascii="Times New Roman" w:hAnsi="Times New Roman"/>
                <w:b/>
              </w:rPr>
              <w:t xml:space="preserve"> expozice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aktiv, která jsou expozicemi vůči </w:t>
            </w:r>
            <w:proofErr w:type="spellStart"/>
            <w:r>
              <w:rPr>
                <w:rFonts w:ascii="Times New Roman" w:hAnsi="Times New Roman"/>
              </w:rPr>
              <w:t>sekuritizacím</w:t>
            </w:r>
            <w:proofErr w:type="spellEnd"/>
            <w:r>
              <w:rPr>
                <w:rFonts w:ascii="Times New Roman" w:hAnsi="Times New Roman"/>
              </w:rPr>
              <w:t xml:space="preserve"> podle čl. 147 odst. 2 písm. f)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spellStart"/>
            <w:r>
              <w:rPr>
                <w:rFonts w:ascii="Times New Roman" w:hAnsi="Times New Roman"/>
                <w:b/>
              </w:rPr>
              <w:t>Sekuritizační</w:t>
            </w:r>
            <w:proofErr w:type="spellEnd"/>
            <w:r>
              <w:rPr>
                <w:rFonts w:ascii="Times New Roman" w:hAnsi="Times New Roman"/>
                <w:b/>
              </w:rPr>
              <w:t xml:space="preserve"> expozice – rizikově vážená aktiva – expozice podle standardizovaného přístupu</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w:t>
            </w:r>
            <w:proofErr w:type="spellStart"/>
            <w:r>
              <w:rPr>
                <w:rFonts w:ascii="Times New Roman" w:hAnsi="Times New Roman"/>
              </w:rPr>
              <w:t>sekuritizacím</w:t>
            </w:r>
            <w:proofErr w:type="spellEnd"/>
            <w:r>
              <w:rPr>
                <w:rFonts w:ascii="Times New Roman" w:hAnsi="Times New Roman"/>
              </w:rPr>
              <w:t xml:space="preserve"> podle čl. 112 písm. m)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spellStart"/>
            <w:r>
              <w:rPr>
                <w:rFonts w:ascii="Times New Roman" w:hAnsi="Times New Roman"/>
                <w:b/>
              </w:rPr>
              <w:t>Sekuritizační</w:t>
            </w:r>
            <w:proofErr w:type="spellEnd"/>
            <w:r>
              <w:rPr>
                <w:rFonts w:ascii="Times New Roman" w:hAnsi="Times New Roman"/>
                <w:b/>
              </w:rPr>
              <w:t xml:space="preserve"> expozice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aktiv, která jsou expozicemi vůči </w:t>
            </w:r>
            <w:proofErr w:type="spellStart"/>
            <w:r>
              <w:rPr>
                <w:rFonts w:ascii="Times New Roman" w:hAnsi="Times New Roman"/>
              </w:rPr>
              <w:t>sekuritizacím</w:t>
            </w:r>
            <w:proofErr w:type="spellEnd"/>
            <w:r>
              <w:rPr>
                <w:rFonts w:ascii="Times New Roman" w:hAnsi="Times New Roman"/>
              </w:rPr>
              <w:t xml:space="preserve"> podle čl. 147 odst. 2 písm. f)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Financování obchodu (doplňková položka); z toho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Hodnota expozice pákového poměru u rozvahových položek týkajících se poskytování úvěrů vývozcům nebo dovozcům zboží nebo služeb prostřednictvím dovozních a vývozních úvěrů a obdobných transakcí.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lastRenderedPageBreak/>
              <w:t>Instituce vykazují čistou výši po odečtení expozic v selhání.</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Financování obchodu (doplňková položka); z toho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Objem expozice pákového poměru u rozvahových položek týkajících se poskytování úvěrů vývozcům nebo dovozcům zboží nebo služeb prostřednictvím dovozních a vývozních úvěrů a obdobných transakcí.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Financování obchodu (doplňková položka); z toho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Hodnota rizikově vážené expozice rozvahových položek týkajících se poskytování úvěrů vývozcům nebo dovozcům zboží nebo služeb prostřednictvím dovozních a vývozních úvěrů a obdobných transakcí.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Financování obchodu (doplňková položka); z toho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Objem rizikově vážené expozice rozvahových položek týkajících se poskytování úvěrů vývozcům nebo dovozcům zboží nebo služeb prostřednictvím dovozních a vývozních úvěrů a obdobných transakcí.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Instituce vykazují čistou výši po odečtení expozic v selhání.</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hodnota expozice pákového poměru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Hodnota expozice pákového poměru u rozvahových položek týkajících se financování obchodu v rámci oficiálního režimu pojištění vývozních úvěrů. 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hodnota expozice pákového poměru – expozice podle přístupu IRB</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Hodnota expozice pákového poměru u rozvahových položek týkajících se financování obchodu v rámci oficiálního režimu pojištění vývozních úvěrů. 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Instituce vykazují čistou výši po odečtení expozic v selhání.</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rizikově vážená aktiva – expozice podle standardizovaného přístupu</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Objem rizikově vážené expozice rozvahových položek týkajících se financování obchodu v rámci </w:t>
            </w:r>
            <w:r>
              <w:rPr>
                <w:rFonts w:ascii="Times New Roman" w:hAnsi="Times New Roman"/>
              </w:rPr>
              <w:lastRenderedPageBreak/>
              <w:t xml:space="preserve">oficiálního režimu pojištění vývozních úvěrů. 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V rámci oficiálního režimu pojištění vývozních úvěrů – rizikově vážená aktiva – expozice podle přístupu IRB</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Objem rizikově vážené expozice rozvahových položek týkajících se financování obchodu v rámci oficiálního režimu pojištění vývozních úvěrů. Pro účely vykazování údajů v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Instituce vykazují čistou výši po odečtení expozic v selhání.</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4076967"/>
      <w:r>
        <w:rPr>
          <w:rFonts w:ascii="Times New Roman" w:hAnsi="Times New Roman"/>
          <w:b/>
        </w:rPr>
        <w:lastRenderedPageBreak/>
        <w:t>9.</w:t>
      </w:r>
      <w:r>
        <w:tab/>
      </w:r>
      <w:r>
        <w:rPr>
          <w:rFonts w:ascii="Times New Roman" w:hAnsi="Times New Roman"/>
          <w:b/>
        </w:rPr>
        <w:t>C 44.00 – Obecné informace</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Zde jsou sdruženy dodatečné informace týkající se kategorizace činností instituce a regulatorních možností, pro něž se instituce rozhodla.</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Řádek </w:t>
            </w:r>
          </w:p>
          <w:p w:rsidR="00F4754B" w:rsidRPr="00FE002E" w:rsidRDefault="00F4754B" w:rsidP="00F4754B">
            <w:pPr>
              <w:pStyle w:val="BodyText1"/>
              <w:rPr>
                <w:rFonts w:ascii="Times New Roman" w:hAnsi="Times New Roman"/>
                <w:b/>
                <w:bCs/>
              </w:rPr>
            </w:pPr>
            <w:r>
              <w:rPr>
                <w:rFonts w:ascii="Times New Roman" w:hAnsi="Times New Roman"/>
                <w:b/>
              </w:rPr>
              <w:t>a sloupec</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Pokyny</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Podniková struktura instituce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Instituce určí svou podnikovou strukturu podle jedné z následujících kategorií:</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akciová společnost;</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vzájemná společnost/družstvo;</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ostatní společnosti jiné než akciové.</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Zacházení s deriváty</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Instituce specifikuje regulatorní zacházení s deriváty podle jedné z následujících kategorií:</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metoda původní expozice;</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metoda oceňování podle tržní hodnoty.</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Typ instituce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Instituce určí svůj typ instituce podle jedné z následujících kategorií:</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univerzální bankovnictví (retailové/komerční a investiční bankovnictví);</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retailové/komerční bankovnictví;</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investiční bankovnictví;</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specializovaný poskytovatel úvěrů;</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jiný obchodní model.</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850778">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850778">
          <w:rPr>
            <w:rFonts w:ascii="Times New Roman" w:hAnsi="Times New Roman"/>
            <w:noProof/>
            <w:sz w:val="20"/>
          </w:rPr>
          <w:t>5</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 xml:space="preserve">Patří sem </w:t>
      </w:r>
      <w:proofErr w:type="spellStart"/>
      <w:r>
        <w:rPr>
          <w:sz w:val="12"/>
        </w:rPr>
        <w:t>sekuritizační</w:t>
      </w:r>
      <w:proofErr w:type="spellEnd"/>
      <w:r>
        <w:rPr>
          <w:sz w:val="12"/>
        </w:rPr>
        <w:t xml:space="preserve"> a kapitálové expozice vystavené úvěrovému riziku.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05B7DB7"/>
    <w:multiLevelType w:val="hybridMultilevel"/>
    <w:tmpl w:val="310872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4">
    <w:nsid w:val="35ED08FB"/>
    <w:multiLevelType w:val="hybridMultilevel"/>
    <w:tmpl w:val="4790E2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4">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9"/>
  </w:num>
  <w:num w:numId="3">
    <w:abstractNumId w:val="17"/>
  </w:num>
  <w:num w:numId="4">
    <w:abstractNumId w:val="7"/>
  </w:num>
  <w:num w:numId="5">
    <w:abstractNumId w:val="2"/>
  </w:num>
  <w:num w:numId="6">
    <w:abstractNumId w:val="38"/>
  </w:num>
  <w:num w:numId="7">
    <w:abstractNumId w:val="1"/>
  </w:num>
  <w:num w:numId="8">
    <w:abstractNumId w:val="26"/>
  </w:num>
  <w:num w:numId="9">
    <w:abstractNumId w:val="37"/>
  </w:num>
  <w:num w:numId="10">
    <w:abstractNumId w:val="18"/>
  </w:num>
  <w:num w:numId="11">
    <w:abstractNumId w:val="32"/>
  </w:num>
  <w:num w:numId="12">
    <w:abstractNumId w:val="16"/>
  </w:num>
  <w:num w:numId="13">
    <w:abstractNumId w:val="36"/>
  </w:num>
  <w:num w:numId="14">
    <w:abstractNumId w:val="6"/>
  </w:num>
  <w:num w:numId="15">
    <w:abstractNumId w:val="27"/>
  </w:num>
  <w:num w:numId="16">
    <w:abstractNumId w:val="15"/>
  </w:num>
  <w:num w:numId="17">
    <w:abstractNumId w:val="23"/>
  </w:num>
  <w:num w:numId="18">
    <w:abstractNumId w:val="12"/>
  </w:num>
  <w:num w:numId="19">
    <w:abstractNumId w:val="30"/>
  </w:num>
  <w:num w:numId="20">
    <w:abstractNumId w:val="25"/>
  </w:num>
  <w:num w:numId="21">
    <w:abstractNumId w:val="13"/>
  </w:num>
  <w:num w:numId="22">
    <w:abstractNumId w:val="22"/>
  </w:num>
  <w:num w:numId="23">
    <w:abstractNumId w:val="33"/>
  </w:num>
  <w:num w:numId="24">
    <w:abstractNumId w:val="4"/>
  </w:num>
  <w:num w:numId="25">
    <w:abstractNumId w:val="28"/>
  </w:num>
  <w:num w:numId="26">
    <w:abstractNumId w:val="39"/>
  </w:num>
  <w:num w:numId="27">
    <w:abstractNumId w:val="31"/>
  </w:num>
  <w:num w:numId="28">
    <w:abstractNumId w:val="20"/>
  </w:num>
  <w:num w:numId="29">
    <w:abstractNumId w:val="29"/>
  </w:num>
  <w:num w:numId="30">
    <w:abstractNumId w:val="40"/>
  </w:num>
  <w:num w:numId="31">
    <w:abstractNumId w:val="11"/>
  </w:num>
  <w:num w:numId="32">
    <w:abstractNumId w:val="21"/>
  </w:num>
  <w:num w:numId="33">
    <w:abstractNumId w:val="13"/>
  </w:num>
  <w:num w:numId="34">
    <w:abstractNumId w:val="13"/>
  </w:num>
  <w:num w:numId="35">
    <w:abstractNumId w:val="13"/>
  </w:num>
  <w:num w:numId="36">
    <w:abstractNumId w:val="35"/>
  </w:num>
  <w:num w:numId="37">
    <w:abstractNumId w:val="13"/>
  </w:num>
  <w:num w:numId="38">
    <w:abstractNumId w:val="34"/>
  </w:num>
  <w:num w:numId="39">
    <w:abstractNumId w:val="19"/>
  </w:num>
  <w:num w:numId="40">
    <w:abstractNumId w:val="10"/>
  </w:num>
  <w:num w:numId="41">
    <w:abstractNumId w:val="13"/>
  </w:num>
  <w:num w:numId="42">
    <w:abstractNumId w:val="13"/>
  </w:num>
  <w:num w:numId="43">
    <w:abstractNumId w:val="3"/>
  </w:num>
  <w:num w:numId="44">
    <w:abstractNumId w:val="24"/>
  </w:num>
  <w:num w:numId="45">
    <w:abstractNumId w:val="5"/>
  </w:num>
  <w:num w:numId="46">
    <w:abstractNumId w:val="13"/>
  </w:num>
  <w:num w:numId="47">
    <w:abstractNumId w:val="8"/>
  </w:num>
  <w:num w:numId="48">
    <w:abstractNumId w:val="14"/>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0778"/>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4BD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6987"/>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cs-CZ"/>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cs-CZ"/>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cs-CZ"/>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cs-CZ"/>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cs-CZ"/>
    </w:rPr>
  </w:style>
  <w:style w:type="character" w:customStyle="1" w:styleId="Heading6Char">
    <w:name w:val="Heading 6 Char"/>
    <w:basedOn w:val="DefaultParagraphFont"/>
    <w:link w:val="Heading6"/>
    <w:rsid w:val="00F4754B"/>
    <w:rPr>
      <w:b/>
      <w:bCs/>
      <w:szCs w:val="22"/>
      <w:lang w:eastAsia="cs-CZ"/>
    </w:rPr>
  </w:style>
  <w:style w:type="character" w:customStyle="1" w:styleId="Heading7Char">
    <w:name w:val="Heading 7 Char"/>
    <w:basedOn w:val="DefaultParagraphFont"/>
    <w:link w:val="Heading7"/>
    <w:rsid w:val="00F4754B"/>
    <w:rPr>
      <w:sz w:val="24"/>
      <w:szCs w:val="24"/>
      <w:lang w:eastAsia="cs-CZ"/>
    </w:rPr>
  </w:style>
  <w:style w:type="character" w:customStyle="1" w:styleId="Heading8Char">
    <w:name w:val="Heading 8 Char"/>
    <w:basedOn w:val="DefaultParagraphFont"/>
    <w:link w:val="Heading8"/>
    <w:rsid w:val="00F4754B"/>
    <w:rPr>
      <w:i/>
      <w:iCs/>
      <w:sz w:val="24"/>
      <w:szCs w:val="24"/>
      <w:lang w:eastAsia="cs-CZ"/>
    </w:rPr>
  </w:style>
  <w:style w:type="character" w:customStyle="1" w:styleId="Heading9Char">
    <w:name w:val="Heading 9 Char"/>
    <w:basedOn w:val="DefaultParagraphFont"/>
    <w:link w:val="Heading9"/>
    <w:rsid w:val="00F4754B"/>
    <w:rPr>
      <w:rFonts w:ascii="Verdana" w:hAnsi="Verdana" w:cs="Arial"/>
      <w:szCs w:val="22"/>
      <w:lang w:eastAsia="cs-CZ"/>
    </w:rPr>
  </w:style>
  <w:style w:type="character" w:customStyle="1" w:styleId="Heading1Char">
    <w:name w:val="Heading 1 Char"/>
    <w:basedOn w:val="DefaultParagraphFont"/>
    <w:link w:val="Heading1"/>
    <w:rsid w:val="00F4754B"/>
    <w:rPr>
      <w:rFonts w:ascii="Arial" w:hAnsi="Arial"/>
      <w:color w:val="48748F" w:themeColor="accent1"/>
      <w:sz w:val="36"/>
      <w:lang w:eastAsia="cs-CZ"/>
    </w:rPr>
  </w:style>
  <w:style w:type="character" w:customStyle="1" w:styleId="Heading2Char">
    <w:name w:val="Heading 2 Char"/>
    <w:basedOn w:val="DefaultParagraphFont"/>
    <w:link w:val="Heading2"/>
    <w:rsid w:val="00F4754B"/>
    <w:rPr>
      <w:rFonts w:ascii="Arial" w:hAnsi="Arial"/>
      <w:color w:val="48748F" w:themeColor="accent1"/>
      <w:sz w:val="24"/>
      <w:lang w:eastAsia="cs-CZ"/>
    </w:rPr>
  </w:style>
  <w:style w:type="character" w:customStyle="1" w:styleId="Heading3Char">
    <w:name w:val="Heading 3 Char"/>
    <w:basedOn w:val="DefaultParagraphFont"/>
    <w:link w:val="Heading3"/>
    <w:rsid w:val="00F4754B"/>
    <w:rPr>
      <w:rFonts w:ascii="Arial" w:hAnsi="Arial"/>
      <w:b/>
      <w:color w:val="48748F" w:themeColor="accent1"/>
      <w:szCs w:val="22"/>
      <w:lang w:eastAsia="cs-CZ"/>
    </w:rPr>
  </w:style>
  <w:style w:type="character" w:customStyle="1" w:styleId="Heading4Char">
    <w:name w:val="Heading 4 Char"/>
    <w:basedOn w:val="DefaultParagraphFont"/>
    <w:link w:val="Heading4"/>
    <w:rsid w:val="00F4754B"/>
    <w:rPr>
      <w:rFonts w:ascii="Arial" w:hAnsi="Arial"/>
      <w:color w:val="48748F" w:themeColor="accent1"/>
      <w:lang w:eastAsia="cs-CZ"/>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cs-CZ"/>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cs-CZ"/>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cs-CZ"/>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cs-CZ"/>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cs-CZ"/>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cs-CZ"/>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cs-CZ"/>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cs-CZ"/>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cs-CZ"/>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cs-CZ" w:eastAsia="cs-CZ"/>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cs-CZ"/>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cs-CZ" w:bidi="cs-CZ"/>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cs-CZ"/>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cs-CZ"/>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cs-CZ"/>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cs-CZ"/>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cs-CZ"/>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cs-CZ"/>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cs-CZ"/>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cs-CZ"/>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cs-CZ"/>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cs-CZ"/>
    </w:rPr>
  </w:style>
  <w:style w:type="character" w:customStyle="1" w:styleId="Heading6Char">
    <w:name w:val="Heading 6 Char"/>
    <w:basedOn w:val="DefaultParagraphFont"/>
    <w:link w:val="Heading6"/>
    <w:rsid w:val="00F4754B"/>
    <w:rPr>
      <w:b/>
      <w:bCs/>
      <w:szCs w:val="22"/>
      <w:lang w:eastAsia="cs-CZ"/>
    </w:rPr>
  </w:style>
  <w:style w:type="character" w:customStyle="1" w:styleId="Heading7Char">
    <w:name w:val="Heading 7 Char"/>
    <w:basedOn w:val="DefaultParagraphFont"/>
    <w:link w:val="Heading7"/>
    <w:rsid w:val="00F4754B"/>
    <w:rPr>
      <w:sz w:val="24"/>
      <w:szCs w:val="24"/>
      <w:lang w:eastAsia="cs-CZ"/>
    </w:rPr>
  </w:style>
  <w:style w:type="character" w:customStyle="1" w:styleId="Heading8Char">
    <w:name w:val="Heading 8 Char"/>
    <w:basedOn w:val="DefaultParagraphFont"/>
    <w:link w:val="Heading8"/>
    <w:rsid w:val="00F4754B"/>
    <w:rPr>
      <w:i/>
      <w:iCs/>
      <w:sz w:val="24"/>
      <w:szCs w:val="24"/>
      <w:lang w:eastAsia="cs-CZ"/>
    </w:rPr>
  </w:style>
  <w:style w:type="character" w:customStyle="1" w:styleId="Heading9Char">
    <w:name w:val="Heading 9 Char"/>
    <w:basedOn w:val="DefaultParagraphFont"/>
    <w:link w:val="Heading9"/>
    <w:rsid w:val="00F4754B"/>
    <w:rPr>
      <w:rFonts w:ascii="Verdana" w:hAnsi="Verdana" w:cs="Arial"/>
      <w:szCs w:val="22"/>
      <w:lang w:eastAsia="cs-CZ"/>
    </w:rPr>
  </w:style>
  <w:style w:type="character" w:customStyle="1" w:styleId="Heading1Char">
    <w:name w:val="Heading 1 Char"/>
    <w:basedOn w:val="DefaultParagraphFont"/>
    <w:link w:val="Heading1"/>
    <w:rsid w:val="00F4754B"/>
    <w:rPr>
      <w:rFonts w:ascii="Arial" w:hAnsi="Arial"/>
      <w:color w:val="48748F" w:themeColor="accent1"/>
      <w:sz w:val="36"/>
      <w:lang w:eastAsia="cs-CZ"/>
    </w:rPr>
  </w:style>
  <w:style w:type="character" w:customStyle="1" w:styleId="Heading2Char">
    <w:name w:val="Heading 2 Char"/>
    <w:basedOn w:val="DefaultParagraphFont"/>
    <w:link w:val="Heading2"/>
    <w:rsid w:val="00F4754B"/>
    <w:rPr>
      <w:rFonts w:ascii="Arial" w:hAnsi="Arial"/>
      <w:color w:val="48748F" w:themeColor="accent1"/>
      <w:sz w:val="24"/>
      <w:lang w:eastAsia="cs-CZ"/>
    </w:rPr>
  </w:style>
  <w:style w:type="character" w:customStyle="1" w:styleId="Heading3Char">
    <w:name w:val="Heading 3 Char"/>
    <w:basedOn w:val="DefaultParagraphFont"/>
    <w:link w:val="Heading3"/>
    <w:rsid w:val="00F4754B"/>
    <w:rPr>
      <w:rFonts w:ascii="Arial" w:hAnsi="Arial"/>
      <w:b/>
      <w:color w:val="48748F" w:themeColor="accent1"/>
      <w:szCs w:val="22"/>
      <w:lang w:eastAsia="cs-CZ"/>
    </w:rPr>
  </w:style>
  <w:style w:type="character" w:customStyle="1" w:styleId="Heading4Char">
    <w:name w:val="Heading 4 Char"/>
    <w:basedOn w:val="DefaultParagraphFont"/>
    <w:link w:val="Heading4"/>
    <w:rsid w:val="00F4754B"/>
    <w:rPr>
      <w:rFonts w:ascii="Arial" w:hAnsi="Arial"/>
      <w:color w:val="48748F" w:themeColor="accent1"/>
      <w:lang w:eastAsia="cs-CZ"/>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cs-CZ"/>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cs-CZ"/>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cs-CZ"/>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cs-CZ"/>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cs-CZ"/>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cs-CZ"/>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cs-CZ"/>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cs-CZ"/>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cs-CZ"/>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cs-CZ" w:eastAsia="cs-CZ"/>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cs-CZ"/>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cs-CZ" w:bidi="cs-CZ"/>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cs-CZ"/>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cs-CZ"/>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cs-CZ"/>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cs-CZ"/>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cs-CZ"/>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6BCDAD82-B493-4876-B674-0D658EAFA900}">
  <ds:schemaRefs>
    <ds:schemaRef ds:uri="http://schemas.openxmlformats.org/officeDocument/2006/bibliography"/>
  </ds:schemaRefs>
</ds:datastoreItem>
</file>

<file path=customXml/itemProps3.xml><?xml version="1.0" encoding="utf-8"?>
<ds:datastoreItem xmlns:ds="http://schemas.openxmlformats.org/officeDocument/2006/customXml" ds:itemID="{E309A93A-E2B8-4C7A-A617-0A4D1CE1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44</Pages>
  <Words>16151</Words>
  <Characters>94968</Characters>
  <Application>Microsoft Office Word</Application>
  <DocSecurity>0</DocSecurity>
  <Lines>2793</Lines>
  <Paragraphs>1292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109827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BROZ Jindrich (DGT-EXT)</cp:lastModifiedBy>
  <cp:revision>14</cp:revision>
  <cp:lastPrinted>2015-04-10T08:05:00Z</cp:lastPrinted>
  <dcterms:created xsi:type="dcterms:W3CDTF">2018-02-06T16:20:00Z</dcterms:created>
  <dcterms:modified xsi:type="dcterms:W3CDTF">2018-09-07T08:08:00Z</dcterms:modified>
</cp:coreProperties>
</file>