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0D" w:rsidRPr="00822978" w:rsidRDefault="001E4A07" w:rsidP="00F63EDF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0E68C905-9636-4615-BB85-E2D12EE56017" style="width:450.15pt;height:381.3pt">
            <v:imagedata r:id="rId8" o:title=""/>
          </v:shape>
        </w:pict>
      </w:r>
    </w:p>
    <w:p w:rsidR="00075C77" w:rsidRPr="00822978" w:rsidRDefault="00075C77">
      <w:pPr>
        <w:sectPr w:rsidR="00075C77" w:rsidRPr="00822978" w:rsidSect="00EA6AF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075C77" w:rsidRPr="00822978" w:rsidRDefault="00F63EDF" w:rsidP="00F63EDF">
      <w:pPr>
        <w:pStyle w:val="Typedudocument"/>
      </w:pPr>
      <w:r w:rsidRPr="00F63EDF">
        <w:t>РЕГЛАМЕНТ ЗА ИЗПЪЛНЕНИЕ (ЕС) .../… НА КОМИСИЯТА</w:t>
      </w:r>
    </w:p>
    <w:p w:rsidR="00075C77" w:rsidRPr="00822978" w:rsidRDefault="00F63EDF" w:rsidP="00F63EDF">
      <w:pPr>
        <w:pStyle w:val="Datedadoption"/>
      </w:pPr>
      <w:r w:rsidRPr="00F63EDF">
        <w:t xml:space="preserve">от </w:t>
      </w:r>
      <w:r w:rsidRPr="00F63EDF">
        <w:rPr>
          <w:rStyle w:val="Marker2"/>
        </w:rPr>
        <w:t>XXX</w:t>
      </w:r>
      <w:r w:rsidRPr="00F63EDF">
        <w:t xml:space="preserve"> година</w:t>
      </w:r>
    </w:p>
    <w:p w:rsidR="00075C77" w:rsidRPr="001F76A8" w:rsidRDefault="00F63EDF" w:rsidP="00F63EDF">
      <w:pPr>
        <w:pStyle w:val="Titreobjet"/>
      </w:pPr>
      <w:r w:rsidRPr="00F63EDF">
        <w:t>за изменение на Регламент за изпълнение (ЕС) № 680/2014 по отношение на пруденциалната оценка при предоставянето на информация на надзорните органи</w:t>
      </w:r>
    </w:p>
    <w:p w:rsidR="001F76A8" w:rsidRPr="001F76A8" w:rsidRDefault="00F63EDF" w:rsidP="00F63EDF">
      <w:pPr>
        <w:pStyle w:val="IntrtEEE"/>
      </w:pPr>
      <w:r w:rsidRPr="00F63EDF">
        <w:t>(текст от значение за ЕИП)</w:t>
      </w:r>
    </w:p>
    <w:p w:rsidR="00075C77" w:rsidRPr="00822978" w:rsidRDefault="00075C77" w:rsidP="004E1EF9">
      <w:pPr>
        <w:pStyle w:val="Institutionquiagit"/>
      </w:pPr>
      <w:r w:rsidRPr="00822978">
        <w:t>ЕВРОПЕЙСКАТА КОМИСИЯ,</w:t>
      </w:r>
    </w:p>
    <w:p w:rsidR="00075C77" w:rsidRPr="00822978" w:rsidRDefault="00075C77" w:rsidP="004E1EF9">
      <w:r w:rsidRPr="00822978">
        <w:rPr>
          <w:color w:val="000000"/>
        </w:rPr>
        <w:t>като взе предвид Договора за функционирането на Европейския съюз,</w:t>
      </w:r>
    </w:p>
    <w:p w:rsidR="00075C77" w:rsidRPr="00822978" w:rsidRDefault="00075C77" w:rsidP="004E1EF9">
      <w:r w:rsidRPr="00822978">
        <w:t>като взе предвид Регламент (ЕС) № 575/2013 на Европейския парламент и на Съвета от 26 юни 2013 г. относно пруденциалните изисквания за кредитните институции и инвестиционните посредници и за изменение на Регламент (ЕС) № 648/2012</w:t>
      </w:r>
      <w:r w:rsidRPr="00822978">
        <w:rPr>
          <w:rStyle w:val="FootnoteReference"/>
        </w:rPr>
        <w:footnoteReference w:id="2"/>
      </w:r>
      <w:r w:rsidRPr="00822978">
        <w:t>, и по-специално член 99, параграф 5, четвърта алинея, член 99, параграф 6, четвърта алинея, член 394, параграф 4, трета алинея, член 415, параграф 3, четвърта алинея и член 430, параграф 2, трета алинея от него,</w:t>
      </w:r>
    </w:p>
    <w:p w:rsidR="00075C77" w:rsidRPr="00822978" w:rsidRDefault="00075C77" w:rsidP="004E1EF9">
      <w:r w:rsidRPr="00822978">
        <w:t>като има предвид, че:</w:t>
      </w:r>
    </w:p>
    <w:p w:rsidR="00075C77" w:rsidRPr="00822978" w:rsidRDefault="00075C77" w:rsidP="003C1FB8">
      <w:pPr>
        <w:pStyle w:val="Considrant"/>
        <w:numPr>
          <w:ilvl w:val="0"/>
          <w:numId w:val="1"/>
        </w:numPr>
        <w:rPr>
          <w:noProof/>
          <w:color w:val="000000"/>
        </w:rPr>
      </w:pPr>
      <w:r w:rsidRPr="00822978">
        <w:rPr>
          <w:noProof/>
          <w:color w:val="000000"/>
        </w:rPr>
        <w:t>С Регламент за изпълнение (ЕС) № 680/2014 на Комисията</w:t>
      </w:r>
      <w:r w:rsidRPr="00822978">
        <w:rPr>
          <w:rStyle w:val="FootnoteReference"/>
          <w:noProof/>
          <w:color w:val="000000"/>
        </w:rPr>
        <w:footnoteReference w:id="3"/>
      </w:r>
      <w:r w:rsidRPr="00822978">
        <w:rPr>
          <w:noProof/>
          <w:color w:val="000000"/>
        </w:rPr>
        <w:t xml:space="preserve"> се определят условията, съгласно които от институциите се изисква да предоставят информация за съблюдаването от тяхна страна на Регламент (ЕС) № 575/2013. Чрез приемането на допълнителни регулаторни технически стандарти постепенно биват допълвани и изменяни някои несъществени елементи на нормативната уредба, установена с Регламент (ЕС) № 575/2013. С оглед отразяване на тези промени е необходимо Регламент за изпълнение (ЕС) № 680/2014 да бъде актуализиран.</w:t>
      </w:r>
    </w:p>
    <w:p w:rsidR="00075C77" w:rsidRPr="00822978" w:rsidRDefault="00075C77" w:rsidP="00075C77">
      <w:pPr>
        <w:pStyle w:val="Considrant"/>
        <w:rPr>
          <w:color w:val="000000"/>
        </w:rPr>
      </w:pPr>
      <w:r w:rsidRPr="00822978">
        <w:rPr>
          <w:color w:val="000000"/>
        </w:rPr>
        <w:t>Регламент (ЕС) № 575/2013 се допълва с приемането на Делегиран регламент (ЕС) 2016/101 на Комисията</w:t>
      </w:r>
      <w:r w:rsidRPr="00822978">
        <w:rPr>
          <w:rStyle w:val="FootnoteReference"/>
          <w:color w:val="000000"/>
        </w:rPr>
        <w:footnoteReference w:id="4"/>
      </w:r>
      <w:r w:rsidRPr="00822978">
        <w:rPr>
          <w:color w:val="000000"/>
        </w:rPr>
        <w:t xml:space="preserve"> по отношение на пруденциалната оценка и с Регламент (ЕС) 2017/2401 на Съвета и на Европейския парламент</w:t>
      </w:r>
      <w:r w:rsidRPr="00822978">
        <w:rPr>
          <w:rStyle w:val="FootnoteReference"/>
          <w:color w:val="000000"/>
        </w:rPr>
        <w:footnoteReference w:id="5"/>
      </w:r>
      <w:r w:rsidRPr="00822978">
        <w:rPr>
          <w:color w:val="000000"/>
        </w:rPr>
        <w:t xml:space="preserve"> по отношение на секюритизацията. Регламент за изпълнение (ЕС) № 680/2014 следва да бъде актуализиран с оглед отразяване на тези промени и внасяне на допълнителна яснота във връзка с инструкциите и определенията, използвани при предоставянето на информация от институциите на надзорните органи. Също така следва да бъдат уточнени някои заблуждаващи позовавания и несъгласувани формати, които бяха открити в хода на прилагане на Регламент (ЕС) № 680/2014.</w:t>
      </w:r>
    </w:p>
    <w:p w:rsidR="00075C77" w:rsidRPr="00822978" w:rsidRDefault="00195568" w:rsidP="00075C77">
      <w:pPr>
        <w:pStyle w:val="Considrant"/>
        <w:rPr>
          <w:noProof/>
          <w:color w:val="000000"/>
        </w:rPr>
      </w:pPr>
      <w:r w:rsidRPr="00822978">
        <w:rPr>
          <w:noProof/>
          <w:color w:val="000000"/>
        </w:rPr>
        <w:t>В Делегиран регламент (ЕС) 2016/101 на Комисията се определят изискванията, свързани с корекциите на пруденциалната оценка на оценяваните по справедлива стойност позиции. В него са предвидени два подхода за изпълнение на изискванията за пруденциална оценка: основен подход и опростен подход. За да се следи дали институциите спазват тези изисквания и да се оцени въздействието на този регламент върху корекциите на оценката, е необходимо предоставянето на допълнителна информация, отнасяща се до изискванията за пруденциална оценка.</w:t>
      </w:r>
    </w:p>
    <w:p w:rsidR="00075C77" w:rsidRPr="00822978" w:rsidRDefault="00075C77" w:rsidP="00075C77">
      <w:pPr>
        <w:pStyle w:val="Considrant"/>
        <w:rPr>
          <w:noProof/>
          <w:color w:val="000000"/>
        </w:rPr>
      </w:pPr>
      <w:r w:rsidRPr="00822978">
        <w:rPr>
          <w:color w:val="000000"/>
        </w:rPr>
        <w:t>Регламент (ЕС) 2017/2401 изменя Регламент (ЕС) № 575/2013, за да направи капиталовото третиране на секюритизациите по-чувствително към риска, като същевременно биват отчитани по подходящ начин конкретните характеристики за опростени, прозрачни и стандартизирани секюритизации. Регламент за изпълнение (ЕС) № 680/2014 трябва да бъде изменен, за да може предоставянето на информация за секюритизиращите позиции да стане част от преразгледаната нормативна уредба на секюритизациите.</w:t>
      </w:r>
    </w:p>
    <w:p w:rsidR="00075C77" w:rsidRPr="00822978" w:rsidRDefault="00075C77" w:rsidP="00075C77">
      <w:pPr>
        <w:pStyle w:val="Considrant"/>
        <w:rPr>
          <w:noProof/>
          <w:color w:val="000000"/>
        </w:rPr>
      </w:pPr>
      <w:r w:rsidRPr="00822978">
        <w:rPr>
          <w:noProof/>
          <w:color w:val="000000"/>
        </w:rPr>
        <w:t>Изменения на Регламент за изпълнение (ЕС) № 680/2014 се налагат също така във връзка с подобряването на способността на компетентните органи да осъществяват ефективно наблюдение и оценка на рисковия профил на институциите и да добиват представа за рисковете, на които е изложен финансовият сектор, което изисква малки промени на изискванията за предоставяне на информация относно географското разпределение на експозициите.</w:t>
      </w:r>
    </w:p>
    <w:p w:rsidR="00075C77" w:rsidRPr="00822978" w:rsidRDefault="00075C77" w:rsidP="00075C77">
      <w:pPr>
        <w:pStyle w:val="Considrant"/>
        <w:rPr>
          <w:noProof/>
        </w:rPr>
      </w:pPr>
      <w:r w:rsidRPr="00822978">
        <w:t xml:space="preserve">Настоящият регламент се основава на проектите на технически стандарти за изпълнение, представени на Комисията от Европейския банков орган (ЕБО). </w:t>
      </w:r>
    </w:p>
    <w:p w:rsidR="00075C77" w:rsidRPr="00822978" w:rsidRDefault="00075C77" w:rsidP="00075C77">
      <w:pPr>
        <w:pStyle w:val="Considrant"/>
        <w:rPr>
          <w:noProof/>
        </w:rPr>
      </w:pPr>
      <w:r w:rsidRPr="00822978">
        <w:t>ЕБО проведе открити обществени консултации по проектите на технически стандарти за изпълнение, въз основа на които е изготвен настоящият регламент, във връзка с пруденциалното оценяване и общата географска разбивка, анализира съответните потенциални разходи и ползи и поиска съответното становище от Групата на участниците в банковия сектор, създадена съгласно член 37 от Регламент (ЕС) № 1093/2010 на Европейския парламент и на Съвета</w:t>
      </w:r>
      <w:r w:rsidRPr="00822978">
        <w:rPr>
          <w:rStyle w:val="FootnoteReference"/>
          <w:noProof/>
        </w:rPr>
        <w:footnoteReference w:id="6"/>
      </w:r>
      <w:r w:rsidRPr="00822978">
        <w:t>. В съответствие с член 15, параграф 1, втора алинея от посочения регламент ЕБО не проведе открита обществена консултация по отношение на тези, стоящи в основата на настоящия регламент части от проекта на технически стандарти за изпълнение, които са от редакционно естество или въвеждат само ограничен брой елементи в нормативната уредба на предоставяне на информация на надзорните органи, тъй като провеждането на такава консултация би било непропорционално спрямо обхвата и въздействието на съответните проекти на технически стандарти за изпълнение.</w:t>
      </w:r>
    </w:p>
    <w:p w:rsidR="00075C77" w:rsidRPr="00822978" w:rsidRDefault="00075C77" w:rsidP="00075C77">
      <w:pPr>
        <w:pStyle w:val="Considrant"/>
      </w:pPr>
      <w:r w:rsidRPr="00822978">
        <w:t>Поради това Регламент за изпълнение (ЕС) № 680/2014 следва да бъде съответно изменен,</w:t>
      </w:r>
    </w:p>
    <w:p w:rsidR="00075C77" w:rsidRPr="00822978" w:rsidRDefault="00075C77" w:rsidP="004E1EF9">
      <w:pPr>
        <w:pStyle w:val="Formuledadoption"/>
      </w:pPr>
      <w:r w:rsidRPr="00822978">
        <w:t>ПРИЕ НАСТОЯЩИЯ РЕГЛАМЕНТ:</w:t>
      </w:r>
    </w:p>
    <w:p w:rsidR="00075C77" w:rsidRPr="00822978" w:rsidRDefault="00075C77" w:rsidP="004E1EF9">
      <w:pPr>
        <w:pStyle w:val="Titrearticle"/>
      </w:pPr>
      <w:r w:rsidRPr="00822978">
        <w:t>Член 1</w:t>
      </w:r>
    </w:p>
    <w:p w:rsidR="00075C77" w:rsidRPr="00822978" w:rsidRDefault="00075C77" w:rsidP="00075C77">
      <w:pPr>
        <w:rPr>
          <w:noProof/>
        </w:rPr>
      </w:pPr>
      <w:r w:rsidRPr="00822978">
        <w:t>Регламент за изпълнение (ЕС) № 680/2014 се изменя, както следва:</w:t>
      </w:r>
    </w:p>
    <w:p w:rsidR="00591517" w:rsidRPr="00822978" w:rsidRDefault="00591517" w:rsidP="00591517">
      <w:pPr>
        <w:pStyle w:val="Point0number"/>
        <w:numPr>
          <w:ilvl w:val="0"/>
          <w:numId w:val="3"/>
        </w:numPr>
        <w:rPr>
          <w:noProof/>
        </w:rPr>
      </w:pPr>
      <w:r w:rsidRPr="00822978">
        <w:t>Член 5 се изменя, както следва:</w:t>
      </w:r>
    </w:p>
    <w:p w:rsidR="00591517" w:rsidRPr="00822978" w:rsidRDefault="00D97DEC" w:rsidP="00D97DEC">
      <w:pPr>
        <w:pStyle w:val="Point1"/>
      </w:pPr>
      <w:r w:rsidRPr="00EA6AFD">
        <w:t>а)</w:t>
      </w:r>
      <w:r w:rsidRPr="00EA6AFD">
        <w:tab/>
      </w:r>
      <w:r w:rsidR="00591517" w:rsidRPr="00822978">
        <w:t>буква а) се изменя, както следва:</w:t>
      </w:r>
    </w:p>
    <w:p w:rsidR="00075C77" w:rsidRPr="00822978" w:rsidRDefault="008F3946" w:rsidP="00BC47EF">
      <w:pPr>
        <w:pStyle w:val="Point1"/>
      </w:pPr>
      <w:r w:rsidRPr="00822978">
        <w:t xml:space="preserve">i) </w:t>
      </w:r>
      <w:r w:rsidRPr="00822978">
        <w:tab/>
        <w:t>параграф 4 се заменя със следното:</w:t>
      </w:r>
    </w:p>
    <w:p w:rsidR="00075C77" w:rsidRPr="00822978" w:rsidRDefault="00EA38CD" w:rsidP="00C34F30">
      <w:pPr>
        <w:pStyle w:val="Text2"/>
        <w:rPr>
          <w:noProof/>
        </w:rPr>
      </w:pPr>
      <w:r w:rsidRPr="00822978">
        <w:t>„4)</w:t>
      </w:r>
      <w:r w:rsidRPr="00822978">
        <w:tab/>
        <w:t>информация за географското разпределение на експозициите по държави, както и обобщена на общо равнище, съобразно образец 9 от приложение I, съгласно указанията в приложение II, част II точка 3.4. Информацията съобразно образци 9.1 и 9.2, по-специално информацията за географското разпределение на експозициите по държави, се предоставя, когато външните първоначални експозиции във всички „външни“ държави във всички класове експозиции, както са докладвани в ред 850 на образец 4 от приложение I, са равни или по-високи от 10 % от общите вътрешни и външни първоначални експозиции, както са докладвани в ред 860 на образец 4 от приложение I. За целта експозициите се смятат за вътрешни, когато са към контрагент, намиращ се в държавата членка, в която се намира институцията. Прилагат се входните и изходните критерии по член 4.“;</w:t>
      </w:r>
    </w:p>
    <w:p w:rsidR="00075C77" w:rsidRPr="00822978" w:rsidRDefault="008F3946" w:rsidP="00BC47EF">
      <w:pPr>
        <w:pStyle w:val="Point1"/>
        <w:rPr>
          <w:noProof/>
        </w:rPr>
      </w:pPr>
      <w:r w:rsidRPr="00822978">
        <w:t xml:space="preserve">ii) </w:t>
      </w:r>
      <w:r w:rsidRPr="00822978">
        <w:tab/>
        <w:t>добавя се следният параграф 12:</w:t>
      </w:r>
    </w:p>
    <w:p w:rsidR="00075C77" w:rsidRPr="00822978" w:rsidRDefault="00EA38CD" w:rsidP="00C34F30">
      <w:pPr>
        <w:pStyle w:val="Text2"/>
        <w:rPr>
          <w:noProof/>
        </w:rPr>
      </w:pPr>
      <w:r w:rsidRPr="00822978">
        <w:t>„12)</w:t>
      </w:r>
      <w:r w:rsidRPr="00822978">
        <w:tab/>
        <w:t>информацията за пруденциалната оценка съобразно образец 32 от приложение I, съгласно указанията в част II, точка 6 от приложение II, както следва:</w:t>
      </w:r>
    </w:p>
    <w:p w:rsidR="00075C77" w:rsidRPr="00822978" w:rsidRDefault="008D3748" w:rsidP="00BC47EF">
      <w:pPr>
        <w:pStyle w:val="Text4"/>
        <w:rPr>
          <w:noProof/>
        </w:rPr>
      </w:pPr>
      <w:r w:rsidRPr="00822978">
        <w:t>i) институциите предоставят информацията съобразно образец 32.1 от приложение I, съгласно указанията в част II, точка 6 от приложение II;</w:t>
      </w:r>
    </w:p>
    <w:p w:rsidR="00075C77" w:rsidRPr="00822978" w:rsidRDefault="008D3748" w:rsidP="00BC47EF">
      <w:pPr>
        <w:pStyle w:val="Text4"/>
        <w:rPr>
          <w:noProof/>
        </w:rPr>
      </w:pPr>
      <w:r w:rsidRPr="00822978">
        <w:t>ii) в допълнение към информацията по подточка i) институциите, които прилагат основния подход съгласно Регламент (ЕС) 2016/101, предоставят също така информацията съобразно образец 32.2 от приложение I, съгласно указанията в част II, точка 6 от приложение II;</w:t>
      </w:r>
    </w:p>
    <w:p w:rsidR="00075C77" w:rsidRPr="00822978" w:rsidRDefault="008D3748" w:rsidP="00BC47EF">
      <w:pPr>
        <w:pStyle w:val="Text4"/>
        <w:rPr>
          <w:noProof/>
        </w:rPr>
      </w:pPr>
      <w:r w:rsidRPr="00822978">
        <w:t>iii) в допълнение към изискванията по подточки i) и ii) институциите, които прилагат основния подход съгласно Регламент (ЕС) 2016/101 и които на своето равнище на предоставяне на информация надхвърлят прага, посочен в член 4, параграф 1 от посочения регламент, предоставят също така информацията съобразно образци 32.3 и 32.4 от приложение I, съгласно указанията в част II, точка 6 от приложение II;</w:t>
      </w:r>
    </w:p>
    <w:p w:rsidR="00075C77" w:rsidRPr="00822978" w:rsidRDefault="00591517" w:rsidP="00703993">
      <w:pPr>
        <w:pStyle w:val="Text2"/>
        <w:rPr>
          <w:noProof/>
        </w:rPr>
      </w:pPr>
      <w:r w:rsidRPr="00822978">
        <w:t>За целите на параграф 12, буква а) входните и изходните критерии по член 4 не се прилагат.“;</w:t>
      </w:r>
    </w:p>
    <w:p w:rsidR="00591517" w:rsidRPr="00822978" w:rsidRDefault="00D97DEC" w:rsidP="00D97DEC">
      <w:pPr>
        <w:pStyle w:val="Point1"/>
        <w:rPr>
          <w:noProof/>
        </w:rPr>
      </w:pPr>
      <w:r w:rsidRPr="00EA6AFD">
        <w:t>б)</w:t>
      </w:r>
      <w:r w:rsidRPr="00EA6AFD">
        <w:tab/>
      </w:r>
      <w:r w:rsidR="00591517" w:rsidRPr="00822978">
        <w:t>буква б) се изменя, както следва:</w:t>
      </w:r>
    </w:p>
    <w:p w:rsidR="00075C77" w:rsidRPr="00822978" w:rsidRDefault="007021FA" w:rsidP="00BC47EF">
      <w:pPr>
        <w:pStyle w:val="Text1"/>
        <w:rPr>
          <w:noProof/>
        </w:rPr>
      </w:pPr>
      <w:r>
        <w:t>в</w:t>
      </w:r>
      <w:r w:rsidR="00075C77" w:rsidRPr="00822978">
        <w:t xml:space="preserve"> параграф 3, букви а), б) и в) текстът „приложение II, част II, точка 6“ се заменят с думите „приложение II, част II, точка 7“;</w:t>
      </w:r>
    </w:p>
    <w:p w:rsidR="00075C77" w:rsidRPr="00822978" w:rsidRDefault="00FA5963" w:rsidP="00075C77">
      <w:pPr>
        <w:pStyle w:val="Point0number"/>
        <w:rPr>
          <w:noProof/>
        </w:rPr>
      </w:pPr>
      <w:r w:rsidRPr="00822978">
        <w:t>В член 9, параграф 2 буква г) се заменя със следното:</w:t>
      </w:r>
    </w:p>
    <w:p w:rsidR="00075C77" w:rsidRPr="00822978" w:rsidRDefault="00EA38CD" w:rsidP="00C34F30">
      <w:pPr>
        <w:pStyle w:val="Text1"/>
        <w:rPr>
          <w:noProof/>
        </w:rPr>
      </w:pPr>
      <w:r w:rsidRPr="00822978">
        <w:t>„г)</w:t>
      </w:r>
      <w:r w:rsidRPr="00822978">
        <w:tab/>
        <w:t>информацията по образец 20 от приложение III, част 2 — на тримесечие, когато институцията превиши прага, определен във второто изречение на член 5, буква а), параграф 4. Прилагат се входните и изходните критерии по член 4;“;</w:t>
      </w:r>
    </w:p>
    <w:p w:rsidR="00075C77" w:rsidRPr="00822978" w:rsidRDefault="00075C77" w:rsidP="00075C77">
      <w:pPr>
        <w:pStyle w:val="Point0number"/>
        <w:rPr>
          <w:noProof/>
        </w:rPr>
      </w:pPr>
      <w:r w:rsidRPr="00822978">
        <w:t xml:space="preserve">Приложение I към Регламент за изпълнение (ЕС) № 680/2014 се заменя с текста на приложение I към настоящия регламент; </w:t>
      </w:r>
    </w:p>
    <w:p w:rsidR="00075C77" w:rsidRPr="00822978" w:rsidRDefault="00075C77" w:rsidP="00075C77">
      <w:pPr>
        <w:pStyle w:val="Point0number"/>
        <w:rPr>
          <w:noProof/>
        </w:rPr>
      </w:pPr>
      <w:r w:rsidRPr="00822978">
        <w:t xml:space="preserve">Приложение II към Регламент за изпълнение (ЕС) № 680/2014 се заменя с текста на приложение II към настоящия регламент; </w:t>
      </w:r>
    </w:p>
    <w:p w:rsidR="00075C77" w:rsidRPr="00822978" w:rsidRDefault="00075C77" w:rsidP="00075C77">
      <w:pPr>
        <w:pStyle w:val="Point0number"/>
        <w:rPr>
          <w:noProof/>
        </w:rPr>
      </w:pPr>
      <w:r w:rsidRPr="00822978">
        <w:t>Приложение V към Регламент за изпълнение (ЕС) № 680/2014 се заменя с текста на приложение III към настоящия регламент;</w:t>
      </w:r>
    </w:p>
    <w:p w:rsidR="00075C77" w:rsidRPr="00822978" w:rsidRDefault="00075C77" w:rsidP="00075C77">
      <w:pPr>
        <w:pStyle w:val="Point0number"/>
        <w:rPr>
          <w:noProof/>
        </w:rPr>
      </w:pPr>
      <w:r w:rsidRPr="00822978">
        <w:t>Приложение IX към Регламент за изпълнение (ЕС) № 680/2014 се заменя с текста на приложение IV към настоящия регламент;</w:t>
      </w:r>
    </w:p>
    <w:p w:rsidR="00075C77" w:rsidRPr="00822978" w:rsidRDefault="00075C77" w:rsidP="00075C77">
      <w:pPr>
        <w:pStyle w:val="Point0number"/>
        <w:rPr>
          <w:noProof/>
        </w:rPr>
      </w:pPr>
      <w:r w:rsidRPr="00822978">
        <w:t>Приложение XI към Регламент за изпълнение (ЕС) № 680/2014 се заменя с текста на приложение V към настоящия регламент;</w:t>
      </w:r>
    </w:p>
    <w:p w:rsidR="00075C77" w:rsidRPr="00822978" w:rsidRDefault="00075C77" w:rsidP="00075C77">
      <w:pPr>
        <w:pStyle w:val="Point0number"/>
        <w:rPr>
          <w:noProof/>
        </w:rPr>
      </w:pPr>
      <w:r w:rsidRPr="00822978">
        <w:t>Приложение XVI към Регламент за изпълнение (ЕС) № 680/2014 се заменя с приложение VI към настоящия регламент;</w:t>
      </w:r>
    </w:p>
    <w:p w:rsidR="00075C77" w:rsidRPr="00822978" w:rsidRDefault="00075C77" w:rsidP="00075C77">
      <w:pPr>
        <w:pStyle w:val="Point0number"/>
        <w:rPr>
          <w:noProof/>
        </w:rPr>
      </w:pPr>
      <w:r w:rsidRPr="00822978">
        <w:t>Приложение XIX към Регламент за изпълнение (ЕС) № 680/2014 се заменя с текста на приложение VII към настоящия регламент;</w:t>
      </w:r>
    </w:p>
    <w:p w:rsidR="00075C77" w:rsidRPr="00822978" w:rsidRDefault="00075C77" w:rsidP="00075C77">
      <w:pPr>
        <w:pStyle w:val="Point0number"/>
        <w:rPr>
          <w:noProof/>
        </w:rPr>
      </w:pPr>
      <w:r w:rsidRPr="00822978">
        <w:t>Приложение XXI към Регламент за изпълнение (ЕС) № 680/2014 се заменя с текста на приложение VIII към настоящия регламент;</w:t>
      </w:r>
    </w:p>
    <w:p w:rsidR="00075C77" w:rsidRPr="00822978" w:rsidRDefault="00075C77" w:rsidP="00075C77">
      <w:pPr>
        <w:pStyle w:val="Point0number"/>
        <w:rPr>
          <w:noProof/>
        </w:rPr>
      </w:pPr>
      <w:r w:rsidRPr="00822978">
        <w:t>Приложение XXII към Регламент за изпълнение (ЕС) № 680/2014 се заменя с текста на приложение IX към настоящия регламент;</w:t>
      </w:r>
    </w:p>
    <w:p w:rsidR="00075C77" w:rsidRPr="00822978" w:rsidRDefault="00075C77" w:rsidP="00075C77">
      <w:pPr>
        <w:pStyle w:val="Point0number"/>
      </w:pPr>
      <w:r w:rsidRPr="00822978">
        <w:t>Приложение XXIII към Регламент за изпълнение (ЕС) № 680/2014 се заменя с текста на приложение X към настоящия регламент.</w:t>
      </w:r>
    </w:p>
    <w:p w:rsidR="00075C77" w:rsidRPr="00822978" w:rsidRDefault="00075C77" w:rsidP="004E1EF9">
      <w:pPr>
        <w:pStyle w:val="Titrearticle"/>
      </w:pPr>
      <w:r w:rsidRPr="00822978">
        <w:t>Член 2</w:t>
      </w:r>
    </w:p>
    <w:p w:rsidR="00075C77" w:rsidRPr="00822978" w:rsidRDefault="00075C77" w:rsidP="004E1EF9">
      <w:r w:rsidRPr="00822978">
        <w:t xml:space="preserve">Настоящият регламент влиза в сила на двадесетия ден след деня на публикуването му в </w:t>
      </w:r>
      <w:r w:rsidRPr="00822978">
        <w:rPr>
          <w:i/>
        </w:rPr>
        <w:t>Официален вестник на Европейския съюз</w:t>
      </w:r>
      <w:r w:rsidRPr="00822978">
        <w:t>.</w:t>
      </w:r>
    </w:p>
    <w:p w:rsidR="00075C77" w:rsidRPr="00822978" w:rsidRDefault="00075C77" w:rsidP="004E1EF9">
      <w:r w:rsidRPr="00822978">
        <w:t>Той се прилага от 1 декември 2018 г.</w:t>
      </w:r>
    </w:p>
    <w:p w:rsidR="00075C77" w:rsidRPr="00822978" w:rsidRDefault="00075C77" w:rsidP="004E1EF9">
      <w:pPr>
        <w:pStyle w:val="Applicationdirecte"/>
      </w:pPr>
      <w:r w:rsidRPr="00822978">
        <w:t>Настоящият регламент е задължителен в своята цялост и се прилага пряко във всички държави членки.</w:t>
      </w:r>
    </w:p>
    <w:p w:rsidR="00075C77" w:rsidRPr="00D97DEC" w:rsidRDefault="00F63EDF" w:rsidP="00F63EDF">
      <w:pPr>
        <w:pStyle w:val="Fait"/>
      </w:pPr>
      <w:r w:rsidRPr="00F63EDF">
        <w:t xml:space="preserve">Съставено в Брюксел на </w:t>
      </w:r>
      <w:r w:rsidRPr="00F63EDF">
        <w:rPr>
          <w:rStyle w:val="Marker"/>
        </w:rPr>
        <w:t>[…]</w:t>
      </w:r>
      <w:r w:rsidRPr="00F63EDF">
        <w:t xml:space="preserve"> година.</w:t>
      </w:r>
    </w:p>
    <w:p w:rsidR="00C52F7E" w:rsidRPr="00822978" w:rsidRDefault="00075C77" w:rsidP="00C52F7E">
      <w:pPr>
        <w:pStyle w:val="Institutionquisigne"/>
      </w:pPr>
      <w:r w:rsidRPr="00822978">
        <w:tab/>
        <w:t>За Комисията</w:t>
      </w:r>
    </w:p>
    <w:p w:rsidR="00C52F7E" w:rsidRPr="00822978" w:rsidRDefault="00C52F7E" w:rsidP="00B44BBC">
      <w:pPr>
        <w:pStyle w:val="Personnequisigne"/>
      </w:pPr>
      <w:r w:rsidRPr="00822978">
        <w:tab/>
        <w:t>Председател</w:t>
      </w:r>
    </w:p>
    <w:p w:rsidR="00075C77" w:rsidRPr="00822978" w:rsidRDefault="00C52F7E" w:rsidP="00B44BBC">
      <w:pPr>
        <w:pStyle w:val="Personnequisigne"/>
      </w:pPr>
      <w:r w:rsidRPr="00822978">
        <w:tab/>
        <w:t>Jean-Claude JUNCKER</w:t>
      </w:r>
      <w:r w:rsidRPr="00822978">
        <w:tab/>
      </w:r>
      <w:r w:rsidRPr="00822978">
        <w:br/>
      </w:r>
      <w:r w:rsidRPr="00822978">
        <w:tab/>
      </w:r>
      <w:r w:rsidRPr="00822978">
        <w:br/>
      </w:r>
    </w:p>
    <w:sectPr w:rsidR="00075C77" w:rsidRPr="00822978" w:rsidSect="00EA6AFD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546" w:rsidRDefault="00C72546" w:rsidP="00075C77">
      <w:pPr>
        <w:spacing w:before="0" w:after="0"/>
      </w:pPr>
      <w:r>
        <w:separator/>
      </w:r>
    </w:p>
  </w:endnote>
  <w:endnote w:type="continuationSeparator" w:id="0">
    <w:p w:rsidR="00C72546" w:rsidRDefault="00C72546" w:rsidP="00075C77">
      <w:pPr>
        <w:spacing w:before="0" w:after="0"/>
      </w:pPr>
      <w:r>
        <w:continuationSeparator/>
      </w:r>
    </w:p>
  </w:endnote>
  <w:endnote w:type="continuationNotice" w:id="1">
    <w:p w:rsidR="00C72546" w:rsidRDefault="00C7254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FD" w:rsidRPr="00EA6AFD" w:rsidRDefault="00EA6AFD" w:rsidP="00EA6A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978" w:rsidRPr="00EA6AFD" w:rsidRDefault="00EA6AFD" w:rsidP="00EA6AFD">
    <w:pPr>
      <w:pStyle w:val="Footer"/>
      <w:rPr>
        <w:rFonts w:ascii="Arial" w:hAnsi="Arial" w:cs="Arial"/>
        <w:b/>
        <w:sz w:val="48"/>
      </w:rPr>
    </w:pPr>
    <w:r w:rsidRPr="00EA6AFD">
      <w:rPr>
        <w:rFonts w:ascii="Arial" w:hAnsi="Arial" w:cs="Arial"/>
        <w:b/>
        <w:sz w:val="48"/>
      </w:rPr>
      <w:t>BG</w:t>
    </w:r>
    <w:r w:rsidRPr="00EA6AFD">
      <w:rPr>
        <w:rFonts w:ascii="Arial" w:hAnsi="Arial" w:cs="Arial"/>
        <w:b/>
        <w:sz w:val="48"/>
      </w:rPr>
      <w:tab/>
    </w:r>
    <w:r w:rsidRPr="00EA6AFD">
      <w:rPr>
        <w:rFonts w:ascii="Arial" w:hAnsi="Arial" w:cs="Arial"/>
        <w:b/>
        <w:sz w:val="48"/>
      </w:rPr>
      <w:tab/>
    </w:r>
    <w:r w:rsidRPr="00EA6AFD">
      <w:tab/>
    </w:r>
    <w:r w:rsidRPr="00EA6AFD">
      <w:rPr>
        <w:rFonts w:ascii="Arial" w:hAnsi="Arial" w:cs="Arial"/>
        <w:b/>
        <w:sz w:val="48"/>
      </w:rPr>
      <w:t>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FD" w:rsidRPr="00EA6AFD" w:rsidRDefault="00EA6AFD" w:rsidP="00EA6AF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FD" w:rsidRPr="00EA6AFD" w:rsidRDefault="00EA6AFD" w:rsidP="00EA6AFD">
    <w:pPr>
      <w:pStyle w:val="Footer"/>
      <w:rPr>
        <w:rFonts w:ascii="Arial" w:hAnsi="Arial" w:cs="Arial"/>
        <w:b/>
        <w:sz w:val="48"/>
      </w:rPr>
    </w:pPr>
    <w:r w:rsidRPr="00EA6AFD">
      <w:rPr>
        <w:rFonts w:ascii="Arial" w:hAnsi="Arial" w:cs="Arial"/>
        <w:b/>
        <w:sz w:val="48"/>
      </w:rPr>
      <w:t>BG</w:t>
    </w:r>
    <w:r w:rsidRPr="00EA6AFD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EA6AFD">
      <w:tab/>
    </w:r>
    <w:r w:rsidRPr="00EA6AFD">
      <w:rPr>
        <w:rFonts w:ascii="Arial" w:hAnsi="Arial" w:cs="Arial"/>
        <w:b/>
        <w:sz w:val="48"/>
      </w:rPr>
      <w:t>BG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FD" w:rsidRPr="00EA6AFD" w:rsidRDefault="00EA6AFD" w:rsidP="00EA6A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546" w:rsidRDefault="00C72546" w:rsidP="00075C77">
      <w:pPr>
        <w:spacing w:before="0" w:after="0"/>
      </w:pPr>
      <w:r>
        <w:separator/>
      </w:r>
    </w:p>
  </w:footnote>
  <w:footnote w:type="continuationSeparator" w:id="0">
    <w:p w:rsidR="00C72546" w:rsidRDefault="00C72546" w:rsidP="00075C77">
      <w:pPr>
        <w:spacing w:before="0" w:after="0"/>
      </w:pPr>
      <w:r>
        <w:continuationSeparator/>
      </w:r>
    </w:p>
  </w:footnote>
  <w:footnote w:type="continuationNotice" w:id="1">
    <w:p w:rsidR="00C72546" w:rsidRDefault="00C72546">
      <w:pPr>
        <w:spacing w:before="0" w:after="0"/>
      </w:pPr>
    </w:p>
  </w:footnote>
  <w:footnote w:id="2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ОВ L 176, 27.6.2013 г., стр. 1.</w:t>
      </w:r>
    </w:p>
  </w:footnote>
  <w:footnote w:id="3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Регламент за изпълнение (ЕС) № 680/2014 на Комисията за определяне, в съответствие с Регламент (ЕС) № 575/2013, на техническите стандарти за изпълнение по отношение на предоставянето на информация от институциите на надзорните органи (ОВ L 191, 28.6.2014 г., стр. 1).</w:t>
      </w:r>
    </w:p>
  </w:footnote>
  <w:footnote w:id="4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Делегиран регламент (ЕС) 2016/101 на Комисията от 26 октомври 2015 г. за допълване на Регламент (ЕС) № 575/2013 на Европейския парламент и на Съвета по отношение на регулаторните технически стандарти за пруденциална оценка съгласно член 105, параграф 14 (ОВ L 21, 28.1.2016 г., стр. 54).</w:t>
      </w:r>
    </w:p>
  </w:footnote>
  <w:footnote w:id="5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Регламент (ЕС) 2017/2401 на Европейския парламент и на Съвета от 12 декември 2017 г. за изменение на Регламент (ЕС) № 575/2013 относно пруденциалните изисквания за кредитните институции и инвестиционните посредници (ОВ L347, 28.12.2017 г., стр. 1).</w:t>
      </w:r>
    </w:p>
  </w:footnote>
  <w:footnote w:id="6">
    <w:p w:rsidR="00075C77" w:rsidRDefault="00075C77" w:rsidP="00075C77">
      <w:pPr>
        <w:pStyle w:val="FootnoteText"/>
      </w:pPr>
      <w:r>
        <w:rPr>
          <w:rStyle w:val="FootnoteReference"/>
        </w:rPr>
        <w:footnoteRef/>
      </w:r>
      <w:r>
        <w:tab/>
        <w:t>Регламент (ЕС) № 1093/2010 на Европейския парламент и на Съвета от 24 ноември 2010 г. за създаване на Европейски надзорен орган (Европейски банков орган), за изменение на Решение № 716/2009/ЕО и за отмяна на Решение 2009/78/ЕО на Комисията (ОВ L 331, 15.12.2010 г., стр. 12).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FD" w:rsidRPr="00EA6AFD" w:rsidRDefault="00EA6AFD" w:rsidP="00EA6A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FD" w:rsidRPr="00EA6AFD" w:rsidRDefault="00EA6AFD" w:rsidP="00EA6A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FD" w:rsidRPr="00EA6AFD" w:rsidRDefault="00EA6AFD" w:rsidP="00EA6A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E3F2410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2C6A41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723AA5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3356B93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D445FA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E18684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2C1EE9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18"/>
  </w:num>
  <w:num w:numId="12">
    <w:abstractNumId w:val="12"/>
  </w:num>
  <w:num w:numId="13">
    <w:abstractNumId w:val="20"/>
  </w:num>
  <w:num w:numId="14">
    <w:abstractNumId w:val="11"/>
  </w:num>
  <w:num w:numId="15">
    <w:abstractNumId w:val="13"/>
  </w:num>
  <w:num w:numId="16">
    <w:abstractNumId w:val="9"/>
  </w:num>
  <w:num w:numId="17">
    <w:abstractNumId w:val="19"/>
  </w:num>
  <w:num w:numId="18">
    <w:abstractNumId w:val="8"/>
  </w:num>
  <w:num w:numId="19">
    <w:abstractNumId w:val="14"/>
  </w:num>
  <w:num w:numId="20">
    <w:abstractNumId w:val="16"/>
  </w:num>
  <w:num w:numId="21">
    <w:abstractNumId w:val="17"/>
  </w:num>
  <w:num w:numId="22">
    <w:abstractNumId w:val="10"/>
  </w:num>
  <w:num w:numId="23">
    <w:abstractNumId w:val="15"/>
  </w:num>
  <w:num w:numId="24">
    <w:abstractNumId w:val="21"/>
  </w:num>
  <w:num w:numId="25">
    <w:abstractNumId w:val="18"/>
  </w:num>
  <w:num w:numId="26">
    <w:abstractNumId w:val="12"/>
  </w:num>
  <w:num w:numId="27">
    <w:abstractNumId w:val="20"/>
  </w:num>
  <w:num w:numId="28">
    <w:abstractNumId w:val="11"/>
  </w:num>
  <w:num w:numId="29">
    <w:abstractNumId w:val="13"/>
  </w:num>
  <w:num w:numId="30">
    <w:abstractNumId w:val="9"/>
  </w:num>
  <w:num w:numId="31">
    <w:abstractNumId w:val="19"/>
  </w:num>
  <w:num w:numId="32">
    <w:abstractNumId w:val="8"/>
  </w:num>
  <w:num w:numId="33">
    <w:abstractNumId w:val="14"/>
  </w:num>
  <w:num w:numId="34">
    <w:abstractNumId w:val="16"/>
  </w:num>
  <w:num w:numId="35">
    <w:abstractNumId w:val="17"/>
  </w:num>
  <w:num w:numId="36">
    <w:abstractNumId w:val="10"/>
  </w:num>
  <w:num w:numId="37">
    <w:abstractNumId w:val="15"/>
  </w:num>
  <w:num w:numId="38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attachedTemplate r:id="rId1"/>
  <w:defaultTabStop w:val="720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9-21 11:28:40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0E68C905-9636-4615-BB85-E2D12EE56017"/>
    <w:docVar w:name="LW_COVERPAGE_TYPE" w:val="1"/>
    <w:docVar w:name="LW_CROSSREFERENCE" w:val="&lt;UNUSED&gt;"/>
    <w:docVar w:name="LW_DATE.ADOPT.CP" w:val="\u1086?\u1090? XXX \u1075?\u1086?\u1076?\u1080?\u1085?\u1072?"/>
    <w:docVar w:name="LW_DATE.ADOPT.CP_DATEFORMAT" w:val="\u1086?\u1090? %DATE% \u1075?\u1086?\u1076?\u1080?\u1085?\u1072?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\u1041?\u1088?\u1102?\u1082?\u1089?\u1077?\u1083?,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\u1090?\u1077?\u1082?\u1089?\u1090? \u1086?\u1090? \u1079?\u1085?\u1072?\u1095?\u1077?\u1085?\u1080?\u1077? \u1079?\u1072? \u1045?\u1048?\u1055?)"/>
    <w:docVar w:name="LW_LANGUE" w:val="BG"/>
    <w:docVar w:name="LW_LANGUESFAISANTFOI.CP" w:val="&lt;UNUSED&gt;"/>
    <w:docVar w:name="LW_LEVEL_OF_SENSITIVITY" w:val="Standard treatment"/>
    <w:docVar w:name="LW_NOM.INST" w:val="\u1045?\u1042?\u1056?\u1054?\u1055?\u1045?\u1049?\u1057?\u1050?\u1040? \u1050?\u1054?\u1052?\u1048?\u1057?\u1048?\u1071?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8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\u1079?\u1072? \u1080?\u1079?\u1084?\u1077?\u1085?\u1077?\u1085?\u1080?\u1077? \u1085?\u1072? \u1056?\u1077?\u1075?\u1083?\u1072?\u1084?\u1077?\u1085?\u1090? \u1079?\u1072? \u1080?\u1079?\u1087?\u1098?\u1083?\u1085?\u1077?\u1085?\u1080?\u1077? (\u1045?\u1057?) \u8470? 680/2014 \u1087?\u1086? \u1086?\u1090?\u1085?\u1086?\u1096?\u1077?\u1085?\u1080?\u1077? \u1085?\u1072? \u1087?\u1088?\u1091?\u1076?\u1077?\u1085?\u1094?\u1080?\u1072?\u1083?\u1085?\u1072?\u1090?\u1072? \u1086?\u1094?\u1077?\u1085?\u1082?\u1072? \u1087?\u1088?\u1080? \u1087?\u1088?\u1077?\u1076?\u1086?\u1089?\u1090?\u1072?\u1074?\u1103?\u1085?\u1077?\u1090?\u1086? \u1085?\u1072? \u1080?\u1085?\u1092?\u1086?\u1088?\u1084?\u1072?\u1094?\u1080?\u1103? \u1085?\u1072? \u1085?\u1072?\u1076?\u1079?\u1086?\u1088?\u1085?\u1080?\u1090?\u1077? \u1086?\u1088?\u1075?\u1072?\u1085?\u1080?"/>
    <w:docVar w:name="LW_TYPE.DOC.CP" w:val="\u1056?\u1045?\u1043?\u1051?\u1040?\u1052?\u1045?\u1053?\u1058? \u1047?\u1040? \u1048?\u1047?\u1055?\u1066?\u1051?\u1053?\u1045?\u1053?\u1048?\u1045? (\u1045?\u1057?) .../\u8230? \u1053?\u1040? \u1050?\u1054?\u1052?\u1048?\u1057?\u1048?\u1071?\u1058?\u1040?"/>
  </w:docVars>
  <w:rsids>
    <w:rsidRoot w:val="00075C77"/>
    <w:rsid w:val="000057D4"/>
    <w:rsid w:val="000059F6"/>
    <w:rsid w:val="00031431"/>
    <w:rsid w:val="00045213"/>
    <w:rsid w:val="00050818"/>
    <w:rsid w:val="00054D77"/>
    <w:rsid w:val="00075C77"/>
    <w:rsid w:val="000B1896"/>
    <w:rsid w:val="000B6375"/>
    <w:rsid w:val="000D4A87"/>
    <w:rsid w:val="000E01B6"/>
    <w:rsid w:val="00114009"/>
    <w:rsid w:val="0011702C"/>
    <w:rsid w:val="00153178"/>
    <w:rsid w:val="00183733"/>
    <w:rsid w:val="00187556"/>
    <w:rsid w:val="00195568"/>
    <w:rsid w:val="001B4957"/>
    <w:rsid w:val="001B7B9B"/>
    <w:rsid w:val="001D5ED6"/>
    <w:rsid w:val="001E4A07"/>
    <w:rsid w:val="001F76A8"/>
    <w:rsid w:val="002368E9"/>
    <w:rsid w:val="00245E42"/>
    <w:rsid w:val="00254390"/>
    <w:rsid w:val="00270069"/>
    <w:rsid w:val="002B2B93"/>
    <w:rsid w:val="002B7A5C"/>
    <w:rsid w:val="002C0C3E"/>
    <w:rsid w:val="002E30FD"/>
    <w:rsid w:val="002E476B"/>
    <w:rsid w:val="002F2F88"/>
    <w:rsid w:val="00316051"/>
    <w:rsid w:val="00322268"/>
    <w:rsid w:val="00337032"/>
    <w:rsid w:val="00345BFD"/>
    <w:rsid w:val="00352527"/>
    <w:rsid w:val="003805E1"/>
    <w:rsid w:val="003C1FB8"/>
    <w:rsid w:val="003C4B9E"/>
    <w:rsid w:val="003D0541"/>
    <w:rsid w:val="003D2AE0"/>
    <w:rsid w:val="003E1023"/>
    <w:rsid w:val="004739C1"/>
    <w:rsid w:val="004A2CE3"/>
    <w:rsid w:val="004A682E"/>
    <w:rsid w:val="004B24D6"/>
    <w:rsid w:val="004D6264"/>
    <w:rsid w:val="004D64A2"/>
    <w:rsid w:val="004D69DD"/>
    <w:rsid w:val="004F6673"/>
    <w:rsid w:val="00550B8C"/>
    <w:rsid w:val="00556044"/>
    <w:rsid w:val="00591517"/>
    <w:rsid w:val="006063E0"/>
    <w:rsid w:val="00611636"/>
    <w:rsid w:val="00635D8A"/>
    <w:rsid w:val="00644EC4"/>
    <w:rsid w:val="00650D46"/>
    <w:rsid w:val="006572EF"/>
    <w:rsid w:val="00683624"/>
    <w:rsid w:val="00686C9B"/>
    <w:rsid w:val="00693969"/>
    <w:rsid w:val="006B0779"/>
    <w:rsid w:val="006C1BB8"/>
    <w:rsid w:val="006C3766"/>
    <w:rsid w:val="006D4BD3"/>
    <w:rsid w:val="006E6DF9"/>
    <w:rsid w:val="007021FA"/>
    <w:rsid w:val="00703993"/>
    <w:rsid w:val="007137E5"/>
    <w:rsid w:val="00771DD9"/>
    <w:rsid w:val="0079753D"/>
    <w:rsid w:val="007A5482"/>
    <w:rsid w:val="007D178B"/>
    <w:rsid w:val="007E3D3C"/>
    <w:rsid w:val="007F22F0"/>
    <w:rsid w:val="007F7024"/>
    <w:rsid w:val="00822978"/>
    <w:rsid w:val="00832BE2"/>
    <w:rsid w:val="008548F9"/>
    <w:rsid w:val="00856A5A"/>
    <w:rsid w:val="00861E33"/>
    <w:rsid w:val="00876EF2"/>
    <w:rsid w:val="00877878"/>
    <w:rsid w:val="008831F5"/>
    <w:rsid w:val="00886F23"/>
    <w:rsid w:val="00894D1D"/>
    <w:rsid w:val="00896C0C"/>
    <w:rsid w:val="008A4D11"/>
    <w:rsid w:val="008B38C4"/>
    <w:rsid w:val="008D3748"/>
    <w:rsid w:val="008F190E"/>
    <w:rsid w:val="008F3946"/>
    <w:rsid w:val="00907ADD"/>
    <w:rsid w:val="00926443"/>
    <w:rsid w:val="00930743"/>
    <w:rsid w:val="00967C45"/>
    <w:rsid w:val="009743F5"/>
    <w:rsid w:val="00976DE1"/>
    <w:rsid w:val="009848BD"/>
    <w:rsid w:val="009856E0"/>
    <w:rsid w:val="009A0F50"/>
    <w:rsid w:val="009A41B1"/>
    <w:rsid w:val="009A5117"/>
    <w:rsid w:val="009B1E20"/>
    <w:rsid w:val="009D1315"/>
    <w:rsid w:val="009D2666"/>
    <w:rsid w:val="00A011C2"/>
    <w:rsid w:val="00A04607"/>
    <w:rsid w:val="00A44BB4"/>
    <w:rsid w:val="00A729A6"/>
    <w:rsid w:val="00A9549D"/>
    <w:rsid w:val="00AB57B6"/>
    <w:rsid w:val="00AB7C3D"/>
    <w:rsid w:val="00AE410E"/>
    <w:rsid w:val="00AF5D3B"/>
    <w:rsid w:val="00B305AB"/>
    <w:rsid w:val="00B356A6"/>
    <w:rsid w:val="00B37490"/>
    <w:rsid w:val="00B4358B"/>
    <w:rsid w:val="00B44BBC"/>
    <w:rsid w:val="00B6250D"/>
    <w:rsid w:val="00B8279F"/>
    <w:rsid w:val="00BA3426"/>
    <w:rsid w:val="00BB074E"/>
    <w:rsid w:val="00BC47EF"/>
    <w:rsid w:val="00BC5893"/>
    <w:rsid w:val="00BD6B06"/>
    <w:rsid w:val="00BD7EE1"/>
    <w:rsid w:val="00C34F30"/>
    <w:rsid w:val="00C3699D"/>
    <w:rsid w:val="00C36E0D"/>
    <w:rsid w:val="00C52F7E"/>
    <w:rsid w:val="00C72546"/>
    <w:rsid w:val="00C96B0B"/>
    <w:rsid w:val="00CC5469"/>
    <w:rsid w:val="00CE0EEF"/>
    <w:rsid w:val="00CE607F"/>
    <w:rsid w:val="00D0288C"/>
    <w:rsid w:val="00D07548"/>
    <w:rsid w:val="00D262BE"/>
    <w:rsid w:val="00D34F59"/>
    <w:rsid w:val="00D4733C"/>
    <w:rsid w:val="00D73215"/>
    <w:rsid w:val="00D826FC"/>
    <w:rsid w:val="00D87087"/>
    <w:rsid w:val="00D97DEC"/>
    <w:rsid w:val="00DA1A91"/>
    <w:rsid w:val="00DA432F"/>
    <w:rsid w:val="00DB10A0"/>
    <w:rsid w:val="00DB10E3"/>
    <w:rsid w:val="00DD2DC1"/>
    <w:rsid w:val="00DE2170"/>
    <w:rsid w:val="00DF3CD5"/>
    <w:rsid w:val="00DF7E7B"/>
    <w:rsid w:val="00E16CC1"/>
    <w:rsid w:val="00E47203"/>
    <w:rsid w:val="00E85657"/>
    <w:rsid w:val="00E9629F"/>
    <w:rsid w:val="00EA38CD"/>
    <w:rsid w:val="00EA666D"/>
    <w:rsid w:val="00EA6AFD"/>
    <w:rsid w:val="00EC3C0C"/>
    <w:rsid w:val="00F1082F"/>
    <w:rsid w:val="00F17515"/>
    <w:rsid w:val="00F2304B"/>
    <w:rsid w:val="00F351E1"/>
    <w:rsid w:val="00F4523F"/>
    <w:rsid w:val="00F63EDF"/>
    <w:rsid w:val="00F673EC"/>
    <w:rsid w:val="00F76AFA"/>
    <w:rsid w:val="00F847AC"/>
    <w:rsid w:val="00FA4EBB"/>
    <w:rsid w:val="00FA5963"/>
    <w:rsid w:val="00FB319D"/>
    <w:rsid w:val="00FC4E75"/>
    <w:rsid w:val="00FE50BF"/>
    <w:rsid w:val="00FE5C4A"/>
    <w:rsid w:val="00FE5CC0"/>
    <w:rsid w:val="00FF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bg-BG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bg-BG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25"/>
      </w:numPr>
    </w:pPr>
  </w:style>
  <w:style w:type="paragraph" w:customStyle="1" w:styleId="Tiret1">
    <w:name w:val="Tiret 1"/>
    <w:basedOn w:val="Point1"/>
    <w:rsid w:val="00877878"/>
    <w:pPr>
      <w:numPr>
        <w:numId w:val="26"/>
      </w:numPr>
    </w:pPr>
  </w:style>
  <w:style w:type="paragraph" w:customStyle="1" w:styleId="Tiret2">
    <w:name w:val="Tiret 2"/>
    <w:basedOn w:val="Point2"/>
    <w:rsid w:val="00877878"/>
    <w:pPr>
      <w:numPr>
        <w:numId w:val="27"/>
      </w:numPr>
    </w:pPr>
  </w:style>
  <w:style w:type="paragraph" w:customStyle="1" w:styleId="Tiret3">
    <w:name w:val="Tiret 3"/>
    <w:basedOn w:val="Point3"/>
    <w:rsid w:val="00877878"/>
    <w:pPr>
      <w:numPr>
        <w:numId w:val="28"/>
      </w:numPr>
    </w:pPr>
  </w:style>
  <w:style w:type="paragraph" w:customStyle="1" w:styleId="Tiret4">
    <w:name w:val="Tiret 4"/>
    <w:basedOn w:val="Point4"/>
    <w:rsid w:val="00877878"/>
    <w:pPr>
      <w:numPr>
        <w:numId w:val="29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32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877878"/>
    <w:pPr>
      <w:numPr>
        <w:numId w:val="33"/>
      </w:numPr>
    </w:pPr>
  </w:style>
  <w:style w:type="paragraph" w:customStyle="1" w:styleId="Bullet1">
    <w:name w:val="Bullet 1"/>
    <w:basedOn w:val="Normal"/>
    <w:rsid w:val="00877878"/>
    <w:pPr>
      <w:numPr>
        <w:numId w:val="34"/>
      </w:numPr>
    </w:pPr>
  </w:style>
  <w:style w:type="paragraph" w:customStyle="1" w:styleId="Bullet2">
    <w:name w:val="Bullet 2"/>
    <w:basedOn w:val="Normal"/>
    <w:rsid w:val="00877878"/>
    <w:pPr>
      <w:numPr>
        <w:numId w:val="35"/>
      </w:numPr>
    </w:pPr>
  </w:style>
  <w:style w:type="paragraph" w:customStyle="1" w:styleId="Bullet3">
    <w:name w:val="Bullet 3"/>
    <w:basedOn w:val="Normal"/>
    <w:rsid w:val="00877878"/>
    <w:pPr>
      <w:numPr>
        <w:numId w:val="36"/>
      </w:numPr>
    </w:pPr>
  </w:style>
  <w:style w:type="paragraph" w:customStyle="1" w:styleId="Bullet4">
    <w:name w:val="Bullet 4"/>
    <w:basedOn w:val="Normal"/>
    <w:rsid w:val="00877878"/>
    <w:pPr>
      <w:numPr>
        <w:numId w:val="37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bg-BG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4">
    <w:name w:val="List Number 4"/>
    <w:basedOn w:val="Normal"/>
    <w:rsid w:val="00075C77"/>
    <w:pPr>
      <w:numPr>
        <w:numId w:val="2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607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607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E607F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607F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607F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607F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E607F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607F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607F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E3"/>
    <w:rPr>
      <w:rFonts w:ascii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E3"/>
    <w:rPr>
      <w:rFonts w:ascii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CE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E3"/>
    <w:rPr>
      <w:rFonts w:ascii="Segoe UI" w:hAnsi="Segoe UI" w:cs="Segoe UI"/>
      <w:sz w:val="18"/>
      <w:szCs w:val="18"/>
      <w:lang w:val="bg-BG"/>
    </w:rPr>
  </w:style>
  <w:style w:type="character" w:styleId="Hyperlink">
    <w:name w:val="Hyperlink"/>
    <w:basedOn w:val="DefaultParagraphFont"/>
    <w:uiPriority w:val="99"/>
    <w:unhideWhenUsed/>
    <w:rsid w:val="004A2CE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6C9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25"/>
      </w:numPr>
    </w:pPr>
  </w:style>
  <w:style w:type="paragraph" w:customStyle="1" w:styleId="Tiret1">
    <w:name w:val="Tiret 1"/>
    <w:basedOn w:val="Point1"/>
    <w:rsid w:val="00877878"/>
    <w:pPr>
      <w:numPr>
        <w:numId w:val="26"/>
      </w:numPr>
    </w:pPr>
  </w:style>
  <w:style w:type="paragraph" w:customStyle="1" w:styleId="Tiret2">
    <w:name w:val="Tiret 2"/>
    <w:basedOn w:val="Point2"/>
    <w:rsid w:val="00877878"/>
    <w:pPr>
      <w:numPr>
        <w:numId w:val="27"/>
      </w:numPr>
    </w:pPr>
  </w:style>
  <w:style w:type="paragraph" w:customStyle="1" w:styleId="Tiret3">
    <w:name w:val="Tiret 3"/>
    <w:basedOn w:val="Point3"/>
    <w:rsid w:val="00877878"/>
    <w:pPr>
      <w:numPr>
        <w:numId w:val="28"/>
      </w:numPr>
    </w:pPr>
  </w:style>
  <w:style w:type="paragraph" w:customStyle="1" w:styleId="Tiret4">
    <w:name w:val="Tiret 4"/>
    <w:basedOn w:val="Point4"/>
    <w:rsid w:val="00877878"/>
    <w:pPr>
      <w:numPr>
        <w:numId w:val="29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32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877878"/>
    <w:pPr>
      <w:numPr>
        <w:numId w:val="33"/>
      </w:numPr>
    </w:pPr>
  </w:style>
  <w:style w:type="paragraph" w:customStyle="1" w:styleId="Bullet1">
    <w:name w:val="Bullet 1"/>
    <w:basedOn w:val="Normal"/>
    <w:rsid w:val="00877878"/>
    <w:pPr>
      <w:numPr>
        <w:numId w:val="34"/>
      </w:numPr>
    </w:pPr>
  </w:style>
  <w:style w:type="paragraph" w:customStyle="1" w:styleId="Bullet2">
    <w:name w:val="Bullet 2"/>
    <w:basedOn w:val="Normal"/>
    <w:rsid w:val="00877878"/>
    <w:pPr>
      <w:numPr>
        <w:numId w:val="35"/>
      </w:numPr>
    </w:pPr>
  </w:style>
  <w:style w:type="paragraph" w:customStyle="1" w:styleId="Bullet3">
    <w:name w:val="Bullet 3"/>
    <w:basedOn w:val="Normal"/>
    <w:rsid w:val="00877878"/>
    <w:pPr>
      <w:numPr>
        <w:numId w:val="36"/>
      </w:numPr>
    </w:pPr>
  </w:style>
  <w:style w:type="paragraph" w:customStyle="1" w:styleId="Bullet4">
    <w:name w:val="Bullet 4"/>
    <w:basedOn w:val="Normal"/>
    <w:rsid w:val="00877878"/>
    <w:pPr>
      <w:numPr>
        <w:numId w:val="37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1</Pages>
  <Words>1324</Words>
  <Characters>7480</Characters>
  <Application>Microsoft Office Word</Application>
  <DocSecurity>0</DocSecurity>
  <Lines>154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GRIKSAS Gintaras (FISMA)</dc:creator>
  <cp:lastModifiedBy>LWCR</cp:lastModifiedBy>
  <cp:revision>3</cp:revision>
  <cp:lastPrinted>2018-06-12T12:37:00Z</cp:lastPrinted>
  <dcterms:created xsi:type="dcterms:W3CDTF">2018-09-21T09:28:00Z</dcterms:created>
  <dcterms:modified xsi:type="dcterms:W3CDTF">2018-09-21T09:28:00Z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6.0.1, Build 20180503</vt:lpwstr>
  </property>
  <property fmtid="{D5CDD505-2E9C-101B-9397-08002B2CF9AE}" pid="3" name="Category">
    <vt:lpwstr>COM/AA</vt:lpwstr>
  </property>
  <property fmtid="{D5CDD505-2E9C-101B-9397-08002B2CF9AE}" pid="4" name="Level of sensitivity">
    <vt:lpwstr>Standard treatment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Version">
    <vt:lpwstr>6.0.1.0</vt:lpwstr>
  </property>
  <property fmtid="{D5CDD505-2E9C-101B-9397-08002B2CF9AE}" pid="9" name="Created using">
    <vt:lpwstr>LW 6.0, Build 20171009</vt:lpwstr>
  </property>
  <property fmtid="{D5CDD505-2E9C-101B-9397-08002B2CF9AE}" pid="10" name="DQCStatus">
    <vt:lpwstr>Green (DQC version 03)</vt:lpwstr>
  </property>
</Properties>
</file>