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r>
        <w:rPr>
          <w:rFonts w:ascii="Times New Roman" w:hAnsi="Times New Roman"/>
          <w:b/>
          <w:sz w:val="24"/>
        </w:rPr>
        <w:t>DA</w:t>
      </w:r>
    </w:p>
    <w:p w:rsidR="00FF3ED5" w:rsidRDefault="00FF3ED5" w:rsidP="00A33695">
      <w:pPr>
        <w:jc w:val="center"/>
        <w:rPr>
          <w:rFonts w:ascii="Times New Roman" w:hAnsi="Times New Roman"/>
          <w:b/>
          <w:sz w:val="24"/>
        </w:rPr>
      </w:pPr>
      <w:r>
        <w:rPr>
          <w:rFonts w:ascii="Times New Roman" w:hAnsi="Times New Roman"/>
          <w:b/>
          <w:sz w:val="24"/>
        </w:rPr>
        <w:t>BILAG IV</w:t>
      </w:r>
    </w:p>
    <w:p w:rsidR="008F53AF" w:rsidRPr="00E83F90" w:rsidRDefault="008F53AF" w:rsidP="00A33695">
      <w:pPr>
        <w:jc w:val="center"/>
        <w:rPr>
          <w:rFonts w:ascii="Times New Roman" w:hAnsi="Times New Roman"/>
          <w:b/>
          <w:sz w:val="24"/>
        </w:rPr>
      </w:pPr>
    </w:p>
    <w:p w:rsidR="00C87CEE" w:rsidRPr="00C81874" w:rsidRDefault="00530C90" w:rsidP="00A33695">
      <w:pPr>
        <w:jc w:val="center"/>
        <w:rPr>
          <w:rFonts w:ascii="Times New Roman" w:hAnsi="Times New Roman"/>
          <w:b/>
          <w:sz w:val="24"/>
          <w:u w:val="single"/>
        </w:rPr>
      </w:pPr>
      <w:r>
        <w:rPr>
          <w:rFonts w:ascii="Times New Roman" w:hAnsi="Times New Roman"/>
          <w:b/>
          <w:sz w:val="24"/>
          <w:u w:val="single"/>
        </w:rPr>
        <w:t>BILAG IX</w:t>
      </w:r>
    </w:p>
    <w:p w:rsidR="00DD58A5" w:rsidRDefault="00F41B3A" w:rsidP="00C87CEE">
      <w:pPr>
        <w:jc w:val="center"/>
        <w:rPr>
          <w:rFonts w:ascii="Times New Roman" w:hAnsi="Times New Roman"/>
          <w:b/>
          <w:sz w:val="24"/>
        </w:rPr>
      </w:pPr>
      <w:r>
        <w:rPr>
          <w:rFonts w:ascii="Times New Roman" w:hAnsi="Times New Roman"/>
          <w:b/>
          <w:sz w:val="24"/>
        </w:rPr>
        <w:t xml:space="preserve">INSTRUKSER VEDRØRENDE INDBERETNING AF STORE EKSPONERINGER OG </w:t>
      </w:r>
    </w:p>
    <w:p w:rsidR="00C87CEE" w:rsidRPr="00EF13C2" w:rsidRDefault="00F41B3A" w:rsidP="00C87CEE">
      <w:pPr>
        <w:jc w:val="center"/>
        <w:rPr>
          <w:rFonts w:ascii="Times New Roman" w:hAnsi="Times New Roman"/>
          <w:b/>
          <w:sz w:val="24"/>
        </w:rPr>
      </w:pPr>
      <w:r>
        <w:rPr>
          <w:rFonts w:ascii="Times New Roman" w:hAnsi="Times New Roman"/>
          <w:b/>
          <w:sz w:val="24"/>
        </w:rPr>
        <w:t>KONCENTRATIONSRISIKO</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Indholdsfortegnelse</w:t>
      </w:r>
    </w:p>
    <w:p w:rsidR="00A177A3" w:rsidRDefault="00A177A3">
      <w:pPr>
        <w:pStyle w:val="TOC2"/>
        <w:rPr>
          <w:rFonts w:asciiTheme="minorHAnsi" w:eastAsiaTheme="minorEastAsia" w:hAnsiTheme="minorHAnsi" w:cstheme="minorBidi"/>
          <w:b w:val="0"/>
          <w:smallCaps w:val="0"/>
          <w:sz w:val="22"/>
          <w:lang w:val="en-GB" w:eastAsia="en-GB"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23998668" w:history="1">
        <w:r w:rsidRPr="00F4020D">
          <w:rPr>
            <w:rStyle w:val="Hyperlink"/>
            <w:rFonts w:ascii="Times New Roman" w:hAnsi="Times New Roman"/>
          </w:rPr>
          <w:t>DEL I: GENERELLE INSTRUKSER</w:t>
        </w:r>
        <w:r>
          <w:rPr>
            <w:webHidden/>
          </w:rPr>
          <w:tab/>
        </w:r>
        <w:r>
          <w:rPr>
            <w:webHidden/>
          </w:rPr>
          <w:fldChar w:fldCharType="begin"/>
        </w:r>
        <w:r>
          <w:rPr>
            <w:webHidden/>
          </w:rPr>
          <w:instrText xml:space="preserve"> PAGEREF _Toc523998668 \h </w:instrText>
        </w:r>
        <w:r>
          <w:rPr>
            <w:webHidden/>
          </w:rPr>
        </w:r>
        <w:r>
          <w:rPr>
            <w:webHidden/>
          </w:rPr>
          <w:fldChar w:fldCharType="separate"/>
        </w:r>
        <w:r w:rsidR="00EF2897">
          <w:rPr>
            <w:webHidden/>
          </w:rPr>
          <w:t>2</w:t>
        </w:r>
        <w:r>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69" w:history="1">
        <w:r w:rsidR="00A177A3" w:rsidRPr="00F4020D">
          <w:rPr>
            <w:rStyle w:val="Hyperlink"/>
            <w:rFonts w:ascii="Times New Roman" w:hAnsi="Times New Roman"/>
          </w:rPr>
          <w:t>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Opbygning og konventioner</w:t>
        </w:r>
        <w:r w:rsidR="00A177A3">
          <w:rPr>
            <w:webHidden/>
          </w:rPr>
          <w:tab/>
        </w:r>
        <w:r w:rsidR="00A177A3">
          <w:rPr>
            <w:webHidden/>
          </w:rPr>
          <w:fldChar w:fldCharType="begin"/>
        </w:r>
        <w:r w:rsidR="00A177A3">
          <w:rPr>
            <w:webHidden/>
          </w:rPr>
          <w:instrText xml:space="preserve"> PAGEREF _Toc523998669 \h </w:instrText>
        </w:r>
        <w:r w:rsidR="00A177A3">
          <w:rPr>
            <w:webHidden/>
          </w:rPr>
        </w:r>
        <w:r w:rsidR="00A177A3">
          <w:rPr>
            <w:webHidden/>
          </w:rPr>
          <w:fldChar w:fldCharType="separate"/>
        </w:r>
        <w:r>
          <w:rPr>
            <w:webHidden/>
          </w:rPr>
          <w:t>2</w:t>
        </w:r>
        <w:r w:rsidR="00A177A3">
          <w:rPr>
            <w:webHidden/>
          </w:rPr>
          <w:fldChar w:fldCharType="end"/>
        </w:r>
      </w:hyperlink>
    </w:p>
    <w:p w:rsidR="00A177A3" w:rsidRDefault="00A177A3">
      <w:pPr>
        <w:pStyle w:val="TOC2"/>
        <w:rPr>
          <w:rFonts w:asciiTheme="minorHAnsi" w:eastAsiaTheme="minorEastAsia" w:hAnsiTheme="minorHAnsi" w:cstheme="minorBidi"/>
          <w:b w:val="0"/>
          <w:smallCaps w:val="0"/>
          <w:sz w:val="22"/>
          <w:lang w:val="en-GB" w:eastAsia="en-GB" w:bidi="ar-SA"/>
        </w:rPr>
      </w:pPr>
      <w:hyperlink w:anchor="_Toc523998671" w:history="1">
        <w:r w:rsidRPr="00F4020D">
          <w:rPr>
            <w:rStyle w:val="Hyperlink"/>
            <w:rFonts w:ascii="Times New Roman" w:hAnsi="Times New Roman"/>
          </w:rPr>
          <w:t>DEL II: INSTRUKSER VEDRØRENDE SKEMAER</w:t>
        </w:r>
        <w:r>
          <w:rPr>
            <w:webHidden/>
          </w:rPr>
          <w:tab/>
        </w:r>
        <w:r>
          <w:rPr>
            <w:webHidden/>
          </w:rPr>
          <w:fldChar w:fldCharType="begin"/>
        </w:r>
        <w:r>
          <w:rPr>
            <w:webHidden/>
          </w:rPr>
          <w:instrText xml:space="preserve"> PAGEREF _Toc523998671 \h </w:instrText>
        </w:r>
        <w:r>
          <w:rPr>
            <w:webHidden/>
          </w:rPr>
        </w:r>
        <w:r>
          <w:rPr>
            <w:webHidden/>
          </w:rPr>
          <w:fldChar w:fldCharType="separate"/>
        </w:r>
        <w:r w:rsidR="00EF2897">
          <w:rPr>
            <w:webHidden/>
          </w:rPr>
          <w:t>3</w:t>
        </w:r>
        <w:r>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2" w:history="1">
        <w:r w:rsidR="00A177A3" w:rsidRPr="00F4020D">
          <w:rPr>
            <w:rStyle w:val="Hyperlink"/>
            <w:rFonts w:ascii="Times New Roman" w:hAnsi="Times New Roman"/>
          </w:rPr>
          <w:t>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Omfang og niveau af indberetning af store eksponeringer (LE)</w:t>
        </w:r>
        <w:r w:rsidR="00A177A3">
          <w:rPr>
            <w:webHidden/>
          </w:rPr>
          <w:tab/>
        </w:r>
        <w:r w:rsidR="00A177A3">
          <w:rPr>
            <w:webHidden/>
          </w:rPr>
          <w:fldChar w:fldCharType="begin"/>
        </w:r>
        <w:r w:rsidR="00A177A3">
          <w:rPr>
            <w:webHidden/>
          </w:rPr>
          <w:instrText xml:space="preserve"> PAGEREF _Toc523998672 \h </w:instrText>
        </w:r>
        <w:r w:rsidR="00A177A3">
          <w:rPr>
            <w:webHidden/>
          </w:rPr>
        </w:r>
        <w:r w:rsidR="00A177A3">
          <w:rPr>
            <w:webHidden/>
          </w:rPr>
          <w:fldChar w:fldCharType="separate"/>
        </w:r>
        <w:r>
          <w:rPr>
            <w:webHidden/>
          </w:rPr>
          <w:t>3</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3" w:history="1">
        <w:r w:rsidR="00A177A3" w:rsidRPr="00F4020D">
          <w:rPr>
            <w:rStyle w:val="Hyperlink"/>
            <w:rFonts w:ascii="Times New Roman" w:hAnsi="Times New Roman"/>
          </w:rPr>
          <w:t>2.</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LE-skemaets opbygning</w:t>
        </w:r>
        <w:r w:rsidR="00A177A3">
          <w:rPr>
            <w:webHidden/>
          </w:rPr>
          <w:tab/>
        </w:r>
        <w:r w:rsidR="00A177A3">
          <w:rPr>
            <w:webHidden/>
          </w:rPr>
          <w:fldChar w:fldCharType="begin"/>
        </w:r>
        <w:r w:rsidR="00A177A3">
          <w:rPr>
            <w:webHidden/>
          </w:rPr>
          <w:instrText xml:space="preserve"> PAGEREF _Toc523998673 \h </w:instrText>
        </w:r>
        <w:r w:rsidR="00A177A3">
          <w:rPr>
            <w:webHidden/>
          </w:rPr>
        </w:r>
        <w:r w:rsidR="00A177A3">
          <w:rPr>
            <w:webHidden/>
          </w:rPr>
          <w:fldChar w:fldCharType="separate"/>
        </w:r>
        <w:r>
          <w:rPr>
            <w:webHidden/>
          </w:rPr>
          <w:t>4</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4" w:history="1">
        <w:r w:rsidR="00A177A3" w:rsidRPr="00F4020D">
          <w:rPr>
            <w:rStyle w:val="Hyperlink"/>
            <w:rFonts w:ascii="Times New Roman" w:eastAsia="Arial" w:hAnsi="Times New Roman"/>
          </w:rPr>
          <w:t>3.</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Definitioner og generelle instrukser til brug i forbindelse med LE-indberetning</w:t>
        </w:r>
        <w:r w:rsidR="00A177A3">
          <w:rPr>
            <w:webHidden/>
          </w:rPr>
          <w:tab/>
        </w:r>
        <w:r w:rsidR="00A177A3">
          <w:rPr>
            <w:webHidden/>
          </w:rPr>
          <w:fldChar w:fldCharType="begin"/>
        </w:r>
        <w:r w:rsidR="00A177A3">
          <w:rPr>
            <w:webHidden/>
          </w:rPr>
          <w:instrText xml:space="preserve"> PAGEREF _Toc523998674 \h </w:instrText>
        </w:r>
        <w:r w:rsidR="00A177A3">
          <w:rPr>
            <w:webHidden/>
          </w:rPr>
        </w:r>
        <w:r w:rsidR="00A177A3">
          <w:rPr>
            <w:webHidden/>
          </w:rPr>
          <w:fldChar w:fldCharType="separate"/>
        </w:r>
        <w:r>
          <w:rPr>
            <w:webHidden/>
          </w:rPr>
          <w:t>4</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5" w:history="1">
        <w:r w:rsidR="00A177A3" w:rsidRPr="00F4020D">
          <w:rPr>
            <w:rStyle w:val="Hyperlink"/>
            <w:rFonts w:ascii="Times New Roman" w:hAnsi="Times New Roman"/>
          </w:rPr>
          <w:t>4.</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C 26.00 — Skema vedrørende begrænsninger for store eksponeringer (LE limits)</w:t>
        </w:r>
        <w:r w:rsidR="00A177A3">
          <w:rPr>
            <w:webHidden/>
          </w:rPr>
          <w:tab/>
        </w:r>
        <w:r w:rsidR="00A177A3">
          <w:rPr>
            <w:webHidden/>
          </w:rPr>
          <w:fldChar w:fldCharType="begin"/>
        </w:r>
        <w:r w:rsidR="00A177A3">
          <w:rPr>
            <w:webHidden/>
          </w:rPr>
          <w:instrText xml:space="preserve"> PAGEREF _Toc523998675 \h </w:instrText>
        </w:r>
        <w:r w:rsidR="00A177A3">
          <w:rPr>
            <w:webHidden/>
          </w:rPr>
        </w:r>
        <w:r w:rsidR="00A177A3">
          <w:rPr>
            <w:webHidden/>
          </w:rPr>
          <w:fldChar w:fldCharType="separate"/>
        </w:r>
        <w:r>
          <w:rPr>
            <w:webHidden/>
          </w:rPr>
          <w:t>5</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6" w:history="1">
        <w:r w:rsidR="00A177A3" w:rsidRPr="00F4020D">
          <w:rPr>
            <w:rStyle w:val="Hyperlink"/>
            <w:rFonts w:ascii="Times New Roman" w:hAnsi="Times New Roman"/>
          </w:rPr>
          <w:t>4.1.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 xml:space="preserve">Instrukser vedrørende specifikke </w:t>
        </w:r>
        <w:bookmarkStart w:id="2" w:name="_GoBack"/>
        <w:bookmarkEnd w:id="2"/>
        <w:r w:rsidR="00A177A3" w:rsidRPr="00F4020D">
          <w:rPr>
            <w:rStyle w:val="Hyperlink"/>
            <w:rFonts w:ascii="Times New Roman" w:hAnsi="Times New Roman"/>
          </w:rPr>
          <w:t>rækker</w:t>
        </w:r>
        <w:r w:rsidR="00A177A3">
          <w:rPr>
            <w:webHidden/>
          </w:rPr>
          <w:tab/>
        </w:r>
        <w:r w:rsidR="00A177A3">
          <w:rPr>
            <w:webHidden/>
          </w:rPr>
          <w:fldChar w:fldCharType="begin"/>
        </w:r>
        <w:r w:rsidR="00A177A3">
          <w:rPr>
            <w:webHidden/>
          </w:rPr>
          <w:instrText xml:space="preserve"> PAGEREF _Toc523998676 \h </w:instrText>
        </w:r>
        <w:r w:rsidR="00A177A3">
          <w:rPr>
            <w:webHidden/>
          </w:rPr>
        </w:r>
        <w:r w:rsidR="00A177A3">
          <w:rPr>
            <w:webHidden/>
          </w:rPr>
          <w:fldChar w:fldCharType="separate"/>
        </w:r>
        <w:r>
          <w:rPr>
            <w:webHidden/>
          </w:rPr>
          <w:t>5</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7" w:history="1">
        <w:r w:rsidR="00A177A3" w:rsidRPr="00F4020D">
          <w:rPr>
            <w:rStyle w:val="Hyperlink"/>
            <w:rFonts w:ascii="Times New Roman" w:hAnsi="Times New Roman"/>
          </w:rPr>
          <w:t>5.</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C 27.00 — Identifikation af modparten (LE1)</w:t>
        </w:r>
        <w:r w:rsidR="00A177A3">
          <w:rPr>
            <w:webHidden/>
          </w:rPr>
          <w:tab/>
        </w:r>
        <w:r w:rsidR="00A177A3">
          <w:rPr>
            <w:webHidden/>
          </w:rPr>
          <w:fldChar w:fldCharType="begin"/>
        </w:r>
        <w:r w:rsidR="00A177A3">
          <w:rPr>
            <w:webHidden/>
          </w:rPr>
          <w:instrText xml:space="preserve"> PAGEREF _Toc523998677 \h </w:instrText>
        </w:r>
        <w:r w:rsidR="00A177A3">
          <w:rPr>
            <w:webHidden/>
          </w:rPr>
        </w:r>
        <w:r w:rsidR="00A177A3">
          <w:rPr>
            <w:webHidden/>
          </w:rPr>
          <w:fldChar w:fldCharType="separate"/>
        </w:r>
        <w:r>
          <w:rPr>
            <w:webHidden/>
          </w:rPr>
          <w:t>6</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8" w:history="1">
        <w:r w:rsidR="00A177A3" w:rsidRPr="00F4020D">
          <w:rPr>
            <w:rStyle w:val="Hyperlink"/>
            <w:rFonts w:ascii="Times New Roman" w:hAnsi="Times New Roman"/>
          </w:rPr>
          <w:t>5.1.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Instrukser vedrørende specifikke kolonner</w:t>
        </w:r>
        <w:r w:rsidR="00A177A3">
          <w:rPr>
            <w:webHidden/>
          </w:rPr>
          <w:tab/>
        </w:r>
        <w:r w:rsidR="00A177A3">
          <w:rPr>
            <w:webHidden/>
          </w:rPr>
          <w:fldChar w:fldCharType="begin"/>
        </w:r>
        <w:r w:rsidR="00A177A3">
          <w:rPr>
            <w:webHidden/>
          </w:rPr>
          <w:instrText xml:space="preserve"> PAGEREF _Toc523998678 \h </w:instrText>
        </w:r>
        <w:r w:rsidR="00A177A3">
          <w:rPr>
            <w:webHidden/>
          </w:rPr>
        </w:r>
        <w:r w:rsidR="00A177A3">
          <w:rPr>
            <w:webHidden/>
          </w:rPr>
          <w:fldChar w:fldCharType="separate"/>
        </w:r>
        <w:r>
          <w:rPr>
            <w:webHidden/>
          </w:rPr>
          <w:t>6</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79" w:history="1">
        <w:r w:rsidR="00A177A3" w:rsidRPr="00F4020D">
          <w:rPr>
            <w:rStyle w:val="Hyperlink"/>
            <w:rFonts w:ascii="Times New Roman" w:hAnsi="Times New Roman"/>
          </w:rPr>
          <w:t>6.</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C 28.00 — Eksponeringer uden for handelsbeholdningen og i handelsbeholdningen (LE2)</w:t>
        </w:r>
        <w:r w:rsidR="00A177A3">
          <w:rPr>
            <w:webHidden/>
          </w:rPr>
          <w:tab/>
        </w:r>
        <w:r w:rsidR="00A177A3">
          <w:rPr>
            <w:webHidden/>
          </w:rPr>
          <w:fldChar w:fldCharType="begin"/>
        </w:r>
        <w:r w:rsidR="00A177A3">
          <w:rPr>
            <w:webHidden/>
          </w:rPr>
          <w:instrText xml:space="preserve"> PAGEREF _Toc523998679 \h </w:instrText>
        </w:r>
        <w:r w:rsidR="00A177A3">
          <w:rPr>
            <w:webHidden/>
          </w:rPr>
        </w:r>
        <w:r w:rsidR="00A177A3">
          <w:rPr>
            <w:webHidden/>
          </w:rPr>
          <w:fldChar w:fldCharType="separate"/>
        </w:r>
        <w:r>
          <w:rPr>
            <w:webHidden/>
          </w:rPr>
          <w:t>8</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0" w:history="1">
        <w:r w:rsidR="00A177A3" w:rsidRPr="00F4020D">
          <w:rPr>
            <w:rStyle w:val="Hyperlink"/>
            <w:rFonts w:ascii="Times New Roman" w:hAnsi="Times New Roman"/>
          </w:rPr>
          <w:t>6.1.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Instrukser vedrørende specifikke kolonner</w:t>
        </w:r>
        <w:r w:rsidR="00A177A3">
          <w:rPr>
            <w:webHidden/>
          </w:rPr>
          <w:tab/>
        </w:r>
        <w:r w:rsidR="00A177A3">
          <w:rPr>
            <w:webHidden/>
          </w:rPr>
          <w:fldChar w:fldCharType="begin"/>
        </w:r>
        <w:r w:rsidR="00A177A3">
          <w:rPr>
            <w:webHidden/>
          </w:rPr>
          <w:instrText xml:space="preserve"> PAGEREF _Toc523998680 \h </w:instrText>
        </w:r>
        <w:r w:rsidR="00A177A3">
          <w:rPr>
            <w:webHidden/>
          </w:rPr>
        </w:r>
        <w:r w:rsidR="00A177A3">
          <w:rPr>
            <w:webHidden/>
          </w:rPr>
          <w:fldChar w:fldCharType="separate"/>
        </w:r>
        <w:r>
          <w:rPr>
            <w:webHidden/>
          </w:rPr>
          <w:t>8</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1" w:history="1">
        <w:r w:rsidR="00A177A3" w:rsidRPr="00F4020D">
          <w:rPr>
            <w:rStyle w:val="Hyperlink"/>
            <w:rFonts w:ascii="Times New Roman" w:hAnsi="Times New Roman"/>
          </w:rPr>
          <w:t>7.</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C 29.00 — Detaljer om eksponeringer mod enkelte kunder inden for grupper af indbyrdes forbundne kunder (LE3)</w:t>
        </w:r>
        <w:r w:rsidR="00A177A3">
          <w:rPr>
            <w:webHidden/>
          </w:rPr>
          <w:tab/>
        </w:r>
        <w:r w:rsidR="00A177A3">
          <w:rPr>
            <w:webHidden/>
          </w:rPr>
          <w:fldChar w:fldCharType="begin"/>
        </w:r>
        <w:r w:rsidR="00A177A3">
          <w:rPr>
            <w:webHidden/>
          </w:rPr>
          <w:instrText xml:space="preserve"> PAGEREF _Toc523998681 \h </w:instrText>
        </w:r>
        <w:r w:rsidR="00A177A3">
          <w:rPr>
            <w:webHidden/>
          </w:rPr>
        </w:r>
        <w:r w:rsidR="00A177A3">
          <w:rPr>
            <w:webHidden/>
          </w:rPr>
          <w:fldChar w:fldCharType="separate"/>
        </w:r>
        <w:r>
          <w:rPr>
            <w:webHidden/>
          </w:rPr>
          <w:t>16</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2" w:history="1">
        <w:r w:rsidR="00A177A3" w:rsidRPr="00F4020D">
          <w:rPr>
            <w:rStyle w:val="Hyperlink"/>
            <w:rFonts w:ascii="Times New Roman" w:hAnsi="Times New Roman"/>
          </w:rPr>
          <w:t>7.1.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Instrukser vedrørende specifikke kolonner</w:t>
        </w:r>
        <w:r w:rsidR="00A177A3">
          <w:rPr>
            <w:webHidden/>
          </w:rPr>
          <w:tab/>
        </w:r>
        <w:r w:rsidR="00A177A3">
          <w:rPr>
            <w:webHidden/>
          </w:rPr>
          <w:fldChar w:fldCharType="begin"/>
        </w:r>
        <w:r w:rsidR="00A177A3">
          <w:rPr>
            <w:webHidden/>
          </w:rPr>
          <w:instrText xml:space="preserve"> PAGEREF _Toc523998682 \h </w:instrText>
        </w:r>
        <w:r w:rsidR="00A177A3">
          <w:rPr>
            <w:webHidden/>
          </w:rPr>
        </w:r>
        <w:r w:rsidR="00A177A3">
          <w:rPr>
            <w:webHidden/>
          </w:rPr>
          <w:fldChar w:fldCharType="separate"/>
        </w:r>
        <w:r>
          <w:rPr>
            <w:webHidden/>
          </w:rPr>
          <w:t>16</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3" w:history="1">
        <w:r w:rsidR="00A177A3" w:rsidRPr="00F4020D">
          <w:rPr>
            <w:rStyle w:val="Hyperlink"/>
            <w:rFonts w:ascii="Times New Roman" w:hAnsi="Times New Roman"/>
          </w:rPr>
          <w:t>8.</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C 30.00 — Løbetidskurve for de 10 største eksponeringer mod institutter og de 10 største eksponeringer mod uregulerede enheder i den finansielle sektor (LE4)</w:t>
        </w:r>
        <w:r w:rsidR="00A177A3">
          <w:rPr>
            <w:webHidden/>
          </w:rPr>
          <w:tab/>
        </w:r>
        <w:r w:rsidR="00A177A3">
          <w:rPr>
            <w:webHidden/>
          </w:rPr>
          <w:fldChar w:fldCharType="begin"/>
        </w:r>
        <w:r w:rsidR="00A177A3">
          <w:rPr>
            <w:webHidden/>
          </w:rPr>
          <w:instrText xml:space="preserve"> PAGEREF _Toc523998683 \h </w:instrText>
        </w:r>
        <w:r w:rsidR="00A177A3">
          <w:rPr>
            <w:webHidden/>
          </w:rPr>
        </w:r>
        <w:r w:rsidR="00A177A3">
          <w:rPr>
            <w:webHidden/>
          </w:rPr>
          <w:fldChar w:fldCharType="separate"/>
        </w:r>
        <w:r>
          <w:rPr>
            <w:webHidden/>
          </w:rPr>
          <w:t>17</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4" w:history="1">
        <w:r w:rsidR="00A177A3" w:rsidRPr="00F4020D">
          <w:rPr>
            <w:rStyle w:val="Hyperlink"/>
            <w:rFonts w:ascii="Times New Roman" w:hAnsi="Times New Roman"/>
          </w:rPr>
          <w:t>8.1.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Instrukser vedrørende specifikke kolonner</w:t>
        </w:r>
        <w:r w:rsidR="00A177A3">
          <w:rPr>
            <w:webHidden/>
          </w:rPr>
          <w:tab/>
        </w:r>
        <w:r w:rsidR="00A177A3">
          <w:rPr>
            <w:webHidden/>
          </w:rPr>
          <w:fldChar w:fldCharType="begin"/>
        </w:r>
        <w:r w:rsidR="00A177A3">
          <w:rPr>
            <w:webHidden/>
          </w:rPr>
          <w:instrText xml:space="preserve"> PAGEREF _Toc523998684 \h </w:instrText>
        </w:r>
        <w:r w:rsidR="00A177A3">
          <w:rPr>
            <w:webHidden/>
          </w:rPr>
        </w:r>
        <w:r w:rsidR="00A177A3">
          <w:rPr>
            <w:webHidden/>
          </w:rPr>
          <w:fldChar w:fldCharType="separate"/>
        </w:r>
        <w:r>
          <w:rPr>
            <w:webHidden/>
          </w:rPr>
          <w:t>17</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5" w:history="1">
        <w:r w:rsidR="00A177A3" w:rsidRPr="00F4020D">
          <w:rPr>
            <w:rStyle w:val="Hyperlink"/>
            <w:rFonts w:ascii="Times New Roman" w:hAnsi="Times New Roman"/>
          </w:rPr>
          <w:t>9.</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C 31.00 — Løbetidskurve for de 10 største eksponeringer mod institutter og de 10 største eksponeringer mod uregulerede enheder i den finansielle sektor: detaljer om eksponeringer mod enkelte kunder inden for grupper af indbyrdes forbundne kunder (LE5)</w:t>
        </w:r>
        <w:r w:rsidR="00A177A3">
          <w:rPr>
            <w:webHidden/>
          </w:rPr>
          <w:tab/>
        </w:r>
        <w:r w:rsidR="00A177A3">
          <w:rPr>
            <w:webHidden/>
          </w:rPr>
          <w:fldChar w:fldCharType="begin"/>
        </w:r>
        <w:r w:rsidR="00A177A3">
          <w:rPr>
            <w:webHidden/>
          </w:rPr>
          <w:instrText xml:space="preserve"> PAGEREF _Toc523998685 \h </w:instrText>
        </w:r>
        <w:r w:rsidR="00A177A3">
          <w:rPr>
            <w:webHidden/>
          </w:rPr>
        </w:r>
        <w:r w:rsidR="00A177A3">
          <w:rPr>
            <w:webHidden/>
          </w:rPr>
          <w:fldChar w:fldCharType="separate"/>
        </w:r>
        <w:r>
          <w:rPr>
            <w:webHidden/>
          </w:rPr>
          <w:t>18</w:t>
        </w:r>
        <w:r w:rsidR="00A177A3">
          <w:rPr>
            <w:webHidden/>
          </w:rPr>
          <w:fldChar w:fldCharType="end"/>
        </w:r>
      </w:hyperlink>
    </w:p>
    <w:p w:rsidR="00A177A3" w:rsidRDefault="00EF2897">
      <w:pPr>
        <w:pStyle w:val="TOC2"/>
        <w:rPr>
          <w:rFonts w:asciiTheme="minorHAnsi" w:eastAsiaTheme="minorEastAsia" w:hAnsiTheme="minorHAnsi" w:cstheme="minorBidi"/>
          <w:b w:val="0"/>
          <w:smallCaps w:val="0"/>
          <w:sz w:val="22"/>
          <w:lang w:val="en-GB" w:eastAsia="en-GB" w:bidi="ar-SA"/>
        </w:rPr>
      </w:pPr>
      <w:hyperlink w:anchor="_Toc523998686" w:history="1">
        <w:r w:rsidR="00A177A3" w:rsidRPr="00F4020D">
          <w:rPr>
            <w:rStyle w:val="Hyperlink"/>
            <w:rFonts w:ascii="Times New Roman" w:hAnsi="Times New Roman"/>
          </w:rPr>
          <w:t>9.1.</w:t>
        </w:r>
        <w:r w:rsidR="00A177A3">
          <w:rPr>
            <w:rFonts w:asciiTheme="minorHAnsi" w:eastAsiaTheme="minorEastAsia" w:hAnsiTheme="minorHAnsi" w:cstheme="minorBidi"/>
            <w:b w:val="0"/>
            <w:smallCaps w:val="0"/>
            <w:sz w:val="22"/>
            <w:lang w:val="en-GB" w:eastAsia="en-GB" w:bidi="ar-SA"/>
          </w:rPr>
          <w:tab/>
        </w:r>
        <w:r w:rsidR="00A177A3" w:rsidRPr="00F4020D">
          <w:rPr>
            <w:rStyle w:val="Hyperlink"/>
            <w:rFonts w:ascii="Times New Roman" w:hAnsi="Times New Roman"/>
          </w:rPr>
          <w:t>Instrukser vedrørende specifikke kolonner</w:t>
        </w:r>
        <w:r w:rsidR="00A177A3">
          <w:rPr>
            <w:webHidden/>
          </w:rPr>
          <w:tab/>
        </w:r>
        <w:r w:rsidR="00A177A3">
          <w:rPr>
            <w:webHidden/>
          </w:rPr>
          <w:fldChar w:fldCharType="begin"/>
        </w:r>
        <w:r w:rsidR="00A177A3">
          <w:rPr>
            <w:webHidden/>
          </w:rPr>
          <w:instrText xml:space="preserve"> PAGEREF _Toc523998686 \h </w:instrText>
        </w:r>
        <w:r w:rsidR="00A177A3">
          <w:rPr>
            <w:webHidden/>
          </w:rPr>
        </w:r>
        <w:r w:rsidR="00A177A3">
          <w:rPr>
            <w:webHidden/>
          </w:rPr>
          <w:fldChar w:fldCharType="separate"/>
        </w:r>
        <w:r>
          <w:rPr>
            <w:webHidden/>
          </w:rPr>
          <w:t>19</w:t>
        </w:r>
        <w:r w:rsidR="00A177A3">
          <w:rPr>
            <w:webHidden/>
          </w:rPr>
          <w:fldChar w:fldCharType="end"/>
        </w:r>
      </w:hyperlink>
    </w:p>
    <w:p w:rsidR="008446EA" w:rsidRDefault="00A177A3">
      <w:pPr>
        <w:rPr>
          <w:rFonts w:ascii="Times New Roman" w:eastAsia="SimSun" w:hAnsi="Times New Roman"/>
          <w:sz w:val="24"/>
        </w:rPr>
        <w:sectPr w:rsidR="008446EA"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3998668"/>
      <w:r>
        <w:rPr>
          <w:rFonts w:ascii="Times New Roman" w:hAnsi="Times New Roman"/>
        </w:rPr>
        <w:lastRenderedPageBreak/>
        <w:t>DEL I:</w:t>
      </w:r>
      <w:bookmarkEnd w:id="3"/>
      <w:r>
        <w:rPr>
          <w:rFonts w:ascii="Times New Roman" w:hAnsi="Times New Roman"/>
        </w:rPr>
        <w:t xml:space="preserve"> GENERELLE INSTRUKSER</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3998669"/>
      <w:r>
        <w:rPr>
          <w:rFonts w:ascii="Times New Roman" w:hAnsi="Times New Roman"/>
          <w:b/>
          <w:sz w:val="24"/>
          <w:u w:val="none"/>
        </w:rPr>
        <w:t>Opbygning og konventioner</w:t>
      </w:r>
      <w:bookmarkEnd w:id="6"/>
      <w:bookmarkEnd w:id="7"/>
    </w:p>
    <w:p w:rsidR="00393539" w:rsidRPr="0039317F" w:rsidRDefault="00D40975" w:rsidP="0039317F">
      <w:pPr>
        <w:pStyle w:val="InstructionsText2"/>
      </w:pPr>
      <w:bookmarkStart w:id="8" w:name="_Toc264038399"/>
      <w:bookmarkStart w:id="9" w:name="_Toc294018834"/>
      <w:r>
        <w:t xml:space="preserve">Systemet til indberetning af store eksponeringer (large </w:t>
      </w:r>
      <w:proofErr w:type="spellStart"/>
      <w:r>
        <w:t>exposures</w:t>
      </w:r>
      <w:proofErr w:type="spellEnd"/>
      <w:r>
        <w:t xml:space="preserve"> — "LE") består af seks skemaer, der indeholder følgende oplysninger:</w:t>
      </w:r>
    </w:p>
    <w:p w:rsidR="00DA54E3" w:rsidRPr="0039317F" w:rsidRDefault="00CC2429" w:rsidP="0039317F">
      <w:pPr>
        <w:pStyle w:val="InstructionsText2"/>
        <w:numPr>
          <w:ilvl w:val="1"/>
          <w:numId w:val="15"/>
        </w:numPr>
        <w:rPr>
          <w:rFonts w:eastAsia="Arial"/>
        </w:rPr>
      </w:pPr>
      <w:r>
        <w:t>begrænsninger for store eksponeringer</w:t>
      </w:r>
    </w:p>
    <w:p w:rsidR="00DA54E3" w:rsidRPr="0039317F" w:rsidRDefault="00CC2429" w:rsidP="0039317F">
      <w:pPr>
        <w:pStyle w:val="InstructionsText2"/>
        <w:numPr>
          <w:ilvl w:val="1"/>
          <w:numId w:val="15"/>
        </w:numPr>
        <w:rPr>
          <w:rFonts w:eastAsia="Arial"/>
        </w:rPr>
      </w:pPr>
      <w:r>
        <w:t>identifikation af modparten (LE1-skemaet)</w:t>
      </w:r>
    </w:p>
    <w:p w:rsidR="00393539" w:rsidRPr="0039317F" w:rsidRDefault="00CC2429" w:rsidP="0039317F">
      <w:pPr>
        <w:pStyle w:val="InstructionsText2"/>
        <w:numPr>
          <w:ilvl w:val="1"/>
          <w:numId w:val="15"/>
        </w:numPr>
        <w:rPr>
          <w:rFonts w:eastAsia="Arial"/>
        </w:rPr>
      </w:pPr>
      <w:r>
        <w:t xml:space="preserve">eksponeringer uden for handelsbeholdningen og i handelsbeholdningen (LE2-skemaet) </w:t>
      </w:r>
    </w:p>
    <w:p w:rsidR="00393539" w:rsidRPr="0039317F" w:rsidRDefault="00CC2429" w:rsidP="0039317F">
      <w:pPr>
        <w:pStyle w:val="InstructionsText2"/>
        <w:numPr>
          <w:ilvl w:val="1"/>
          <w:numId w:val="15"/>
        </w:numPr>
        <w:rPr>
          <w:rFonts w:eastAsia="Arial"/>
        </w:rPr>
      </w:pPr>
      <w:r>
        <w:t>detaljer om eksponeringer mod enkelte kunder inden for grupper af indbyrdes forbundne kunder (LE3-skemaet)</w:t>
      </w:r>
    </w:p>
    <w:p w:rsidR="00627430" w:rsidRPr="0039317F" w:rsidRDefault="00CC2429" w:rsidP="0039317F">
      <w:pPr>
        <w:pStyle w:val="InstructionsText2"/>
        <w:numPr>
          <w:ilvl w:val="1"/>
          <w:numId w:val="15"/>
        </w:numPr>
        <w:rPr>
          <w:rFonts w:eastAsia="Arial"/>
        </w:rPr>
      </w:pPr>
      <w:r>
        <w:t xml:space="preserve">løbetidskurve for de 10 største eksponeringer mod institutter og de 10 største eksponeringer mod uregulerede enheder i den finansielle sektor (LE4-skemaet) </w:t>
      </w:r>
    </w:p>
    <w:p w:rsidR="00DA54E3" w:rsidRPr="0039317F" w:rsidRDefault="00CC2429" w:rsidP="0039317F">
      <w:pPr>
        <w:pStyle w:val="InstructionsText2"/>
        <w:numPr>
          <w:ilvl w:val="1"/>
          <w:numId w:val="15"/>
        </w:numPr>
        <w:rPr>
          <w:rFonts w:eastAsia="Arial"/>
        </w:rPr>
      </w:pPr>
      <w:r>
        <w:t>løbetidskurve for de 10 største eksponeringer mod institutter og de 10 største eksponeringer mod uregulerede enheder i den finansielle sektor: detaljer om eksponeringer mod enkelte kunder inden for grupper af indbyrdes forbundne kunder (LE5-skemaet).</w:t>
      </w:r>
    </w:p>
    <w:p w:rsidR="003D56DE" w:rsidRPr="0039317F" w:rsidRDefault="00756759" w:rsidP="0039317F">
      <w:pPr>
        <w:pStyle w:val="InstructionsText2"/>
      </w:pPr>
      <w:r>
        <w:t xml:space="preserve">Instrukserne omfatter </w:t>
      </w:r>
      <w:proofErr w:type="spellStart"/>
      <w:r>
        <w:t>retshenvisninger</w:t>
      </w:r>
      <w:proofErr w:type="spellEnd"/>
      <w:r>
        <w:t xml:space="preserve"> og detaljerede oplysninger om de data, der skal indberettes i hvert skema.</w:t>
      </w:r>
    </w:p>
    <w:p w:rsidR="00B0191A" w:rsidRPr="0039317F" w:rsidRDefault="003105C6" w:rsidP="0039317F">
      <w:pPr>
        <w:pStyle w:val="InstructionsText2"/>
      </w:pPr>
      <w:r>
        <w:t xml:space="preserve">Instrukserne og valideringsreglerne følger de konventioner for tekst, der er beskrevet i de følgende afsnit, når der henvises til kolonner, rækker og celler i skemaerne. </w:t>
      </w:r>
    </w:p>
    <w:p w:rsidR="00B0191A" w:rsidRPr="0039317F" w:rsidRDefault="00F36707" w:rsidP="0039317F">
      <w:pPr>
        <w:pStyle w:val="InstructionsText2"/>
      </w:pPr>
      <w:r>
        <w:t>Følgende konvention bruges generelt i instrukserne og valideringsreglerne: {</w:t>
      </w:r>
      <w:proofErr w:type="spellStart"/>
      <w:r>
        <w:t>Sk</w:t>
      </w:r>
      <w:r>
        <w:t>e</w:t>
      </w:r>
      <w:r>
        <w:t>ma;Række;Kolonne</w:t>
      </w:r>
      <w:proofErr w:type="spellEnd"/>
      <w:r>
        <w:t>}. En asterisk viser, at validering udføres for alle de indberettede rækker.</w:t>
      </w:r>
    </w:p>
    <w:p w:rsidR="00B0191A" w:rsidRPr="0039317F" w:rsidRDefault="003105C6" w:rsidP="0039317F">
      <w:pPr>
        <w:pStyle w:val="InstructionsText2"/>
        <w:rPr>
          <w:rFonts w:eastAsia="Arial"/>
        </w:rPr>
      </w:pPr>
      <w:r>
        <w:t>Ved valideringer i et skema, hvor kun datapunkter fra skemaet anvendes, henviser n</w:t>
      </w:r>
      <w:r>
        <w:t>o</w:t>
      </w:r>
      <w:r>
        <w:t>tationer ikke til et skema: {</w:t>
      </w:r>
      <w:proofErr w:type="spellStart"/>
      <w:r>
        <w:t>Række;Kolonne</w:t>
      </w:r>
      <w:proofErr w:type="spellEnd"/>
      <w:r>
        <w:t>}.</w:t>
      </w:r>
    </w:p>
    <w:p w:rsidR="00B0191A" w:rsidRDefault="006217F1" w:rsidP="0039317F">
      <w:pPr>
        <w:pStyle w:val="InstructionsText2"/>
      </w:pPr>
      <w:r>
        <w:t>ABS (Værdi): den absolutte værdi uden fortegn. Beløb, der forøger eksponeringerne, indberettes som et positivt tal.</w:t>
      </w:r>
      <w:bookmarkEnd w:id="8"/>
      <w:bookmarkEnd w:id="9"/>
      <w:r>
        <w:t xml:space="preserve"> Modsat indberettes beløb, der reducerer eksponeringe</w:t>
      </w:r>
      <w:r>
        <w:t>r</w:t>
      </w:r>
      <w:r>
        <w:t>ne, som et negativt tal. Hvis der er indsat et negativt fortegn (-) ved teksten ud for en post, indberettes et positivt tal ikke for den pågældende post.</w:t>
      </w:r>
    </w:p>
    <w:p w:rsidR="0093135A" w:rsidRPr="0078562D" w:rsidRDefault="0078562D" w:rsidP="0078562D">
      <w:pPr>
        <w:pStyle w:val="Instructionsberschrift2"/>
        <w:numPr>
          <w:ilvl w:val="0"/>
          <w:numId w:val="20"/>
        </w:numPr>
        <w:rPr>
          <w:b/>
        </w:rPr>
      </w:pPr>
      <w:bookmarkStart w:id="10" w:name="_Toc523998670"/>
      <w:r>
        <w:rPr>
          <w:rFonts w:ascii="Times New Roman" w:hAnsi="Times New Roman"/>
          <w:b/>
          <w:sz w:val="24"/>
          <w:u w:val="none"/>
        </w:rPr>
        <w:t>Forkortelser</w:t>
      </w:r>
      <w:bookmarkEnd w:id="10"/>
    </w:p>
    <w:p w:rsidR="0093135A" w:rsidRDefault="0093135A" w:rsidP="0093135A">
      <w:pPr>
        <w:pStyle w:val="InstructionsText2"/>
      </w:pPr>
      <w:r>
        <w:t>I dette bilag henvises der til forordning (EU) nr. 575/2013 ved hjælp af forkortelsen "CRR".</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3998671"/>
      <w:r>
        <w:rPr>
          <w:rFonts w:ascii="Times New Roman" w:hAnsi="Times New Roman"/>
        </w:rPr>
        <w:lastRenderedPageBreak/>
        <w:t>DEL II: INSTRUKSER VEDRØRENDE SKEMAER</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I forbindelse med dette bilag finder instrukserne vedrørende indberetning af store eksponeri</w:t>
      </w:r>
      <w:r>
        <w:rPr>
          <w:rFonts w:ascii="Times New Roman" w:hAnsi="Times New Roman"/>
          <w:sz w:val="24"/>
        </w:rPr>
        <w:t>n</w:t>
      </w:r>
      <w:r>
        <w:rPr>
          <w:rFonts w:ascii="Times New Roman" w:hAnsi="Times New Roman"/>
          <w:sz w:val="24"/>
        </w:rPr>
        <w:t>ger også anvendelse på den indberetning af væsentlige eksponeringer, der kræves i artikel 9 og 11, i overensstemmelse med det i nævnte artikler fastsatte anvendelsesområde.</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3998672"/>
      <w:r>
        <w:rPr>
          <w:rFonts w:ascii="Times New Roman" w:hAnsi="Times New Roman"/>
          <w:b/>
          <w:sz w:val="24"/>
          <w:u w:val="none"/>
        </w:rPr>
        <w:t>Omfang og niveau af indberetning af store eksponeringer (LE)</w:t>
      </w:r>
      <w:bookmarkEnd w:id="14"/>
      <w:bookmarkEnd w:id="15"/>
    </w:p>
    <w:p w:rsidR="000F13EA" w:rsidRPr="0039317F" w:rsidRDefault="000F13EA" w:rsidP="0039317F">
      <w:pPr>
        <w:pStyle w:val="InstructionsText2"/>
        <w:numPr>
          <w:ilvl w:val="0"/>
          <w:numId w:val="27"/>
        </w:numPr>
        <w:rPr>
          <w:rFonts w:eastAsia="Arial"/>
        </w:rPr>
      </w:pPr>
      <w:r>
        <w:t>For at indberette oplysninger om store eksponeringer mod kunder eller grupper af in</w:t>
      </w:r>
      <w:r>
        <w:t>d</w:t>
      </w:r>
      <w:r>
        <w:t xml:space="preserve">byrdes forbundne kunder i overensstemmelse med artikel 394, stk. 1, i forordning (EU) nr. 575/2013 (CRR) på individuelt grundlag skal institutter anvende skemaerne LE1, LE2 og LE3. </w:t>
      </w:r>
    </w:p>
    <w:p w:rsidR="00B0191A" w:rsidRPr="0039317F" w:rsidRDefault="000F13EA" w:rsidP="0039317F">
      <w:pPr>
        <w:pStyle w:val="InstructionsText2"/>
        <w:rPr>
          <w:rFonts w:eastAsia="Arial"/>
        </w:rPr>
      </w:pPr>
      <w:r>
        <w:t>For at indberette oplysninger om store eksponeringer mod kunder eller grupper af in</w:t>
      </w:r>
      <w:r>
        <w:t>d</w:t>
      </w:r>
      <w:r>
        <w:t>byrdes forbundne kunder i overensstemmelse med artikel 394, stk. 1, i CRR på kons</w:t>
      </w:r>
      <w:r>
        <w:t>o</w:t>
      </w:r>
      <w:r>
        <w:t xml:space="preserve">lideret grundlag skal moderinstitutterne i en medlemsstat anvende skemaerne LE1, LE2 og LE3. </w:t>
      </w:r>
    </w:p>
    <w:p w:rsidR="00B0191A" w:rsidRPr="0039317F" w:rsidRDefault="00A11FB0" w:rsidP="000F0ADE">
      <w:pPr>
        <w:pStyle w:val="InstructionsText2"/>
        <w:rPr>
          <w:rFonts w:eastAsia="Arial"/>
        </w:rPr>
      </w:pPr>
      <w:r>
        <w:t>Alle store eksponeringer, der er defineret i overensstemmelse med artikel 392 i CRR, skal indberettes, herunder store eksponeringer, der ikke er underlagt krav om overho</w:t>
      </w:r>
      <w:r>
        <w:t>l</w:t>
      </w:r>
      <w:r>
        <w:t xml:space="preserve">delse af den grænse for stor eksponering, der er fastsat i artikel 395 i CRR. </w:t>
      </w:r>
    </w:p>
    <w:p w:rsidR="00B0191A" w:rsidRPr="0039317F" w:rsidRDefault="001C7BF0" w:rsidP="000F0ADE">
      <w:pPr>
        <w:pStyle w:val="InstructionsText2"/>
        <w:rPr>
          <w:rFonts w:eastAsia="Arial"/>
        </w:rPr>
      </w:pPr>
      <w:r>
        <w:t>For at indberette oplysninger om de 20 største eksponeringer mod kunder eller grupper af indbyrdes forbundne kunder i overensstemmelse med artikel 394, stk. 1, sidste punktum, i CRR på konsolideret grundlag skal moderinstitutterne i en medlemsstat, som er underlagt tredje del, afsnit II, kapitel 3, i CRR, anvende skemaerne LE1, LE2 og LE3. Den eksponeringsværdi, der fås ved at trække beløbet i kolonne 320 ("Un</w:t>
      </w:r>
      <w:r>
        <w:t>d</w:t>
      </w:r>
      <w:r>
        <w:t xml:space="preserve">tagne beløb") i LE2-skemaet fra beløbet i kolonne 210 ("I alt") i det samme skema, er det beløb, der bruges til at fastlægge disse 20 største eksponeringer. </w:t>
      </w:r>
    </w:p>
    <w:p w:rsidR="00B0191A" w:rsidRPr="0039317F" w:rsidRDefault="00C1644D">
      <w:pPr>
        <w:pStyle w:val="InstructionsText2"/>
        <w:rPr>
          <w:rFonts w:eastAsia="Arial"/>
        </w:rPr>
      </w:pPr>
      <w:r>
        <w:t>For at indberette oplysninger om de 10 største eksponeringer mod institutter og de 10 største eksponeringer mod uregulerede enheder i den finansielle sektor i henhold til a</w:t>
      </w:r>
      <w:r>
        <w:t>r</w:t>
      </w:r>
      <w:r>
        <w:t>tikel 394, stk. 2, litra a)-d), i CRR på et konsolideret grundlag skal moderinstitutterne i en medlemsstat anvende skema LE1, LE2 og LE3. For at indberette løbetidsstrukturen for disse eksponeringer i henhold til artikel 394, stk. 2, litra e), i CRR skal moderinst</w:t>
      </w:r>
      <w:r>
        <w:t>i</w:t>
      </w:r>
      <w:r>
        <w:t>tutterne i en medlemsstat anvende skema LE4 og LE5. Den eksponeringsværdi, der beregnes i kolonne 210 ("I alt") i LE2-skemaet, er det beløb, der bruges til at fastlægge disse 20 største eksponeringer.</w:t>
      </w:r>
    </w:p>
    <w:p w:rsidR="00B0191A" w:rsidRPr="0039317F" w:rsidRDefault="001E0F83">
      <w:pPr>
        <w:pStyle w:val="InstructionsText2"/>
        <w:rPr>
          <w:rFonts w:eastAsia="Arial"/>
        </w:rPr>
      </w:pPr>
      <w:r>
        <w:t>Data om de store eksponeringer og de relevante største eksponeringer mod grupper af indbyrdes forbundne kunder og enkelte kunder, der ikke tilhører en gruppe af indby</w:t>
      </w:r>
      <w:r>
        <w:t>r</w:t>
      </w:r>
      <w:r>
        <w:t>des forbundne kunder, indberettes i LE2-skemaet, hvor en gruppe af indbyrdes fo</w:t>
      </w:r>
      <w:r>
        <w:t>r</w:t>
      </w:r>
      <w:r>
        <w:t xml:space="preserve">bundne kunder indberettes som en enkelt eksponering. </w:t>
      </w:r>
    </w:p>
    <w:p w:rsidR="00B0191A" w:rsidRPr="0039317F" w:rsidRDefault="008A4511">
      <w:pPr>
        <w:pStyle w:val="InstructionsText2"/>
        <w:rPr>
          <w:rFonts w:eastAsia="Arial"/>
        </w:rPr>
      </w:pPr>
      <w:r>
        <w:t xml:space="preserve">Institutter skal bruge LE3-skemaet til at indberette data vedrørende eksponeringer mod enkelte kunder, der tilhører grupper af indbyrdes forbundne kunder, som indberettes i LE2-skemaet. Indberetningen af eksponeringen mod en enkelt kunde i LE2-skemaet må ikke kopieres i LE3-skemaet.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3998673"/>
      <w:r>
        <w:rPr>
          <w:rFonts w:ascii="Times New Roman" w:hAnsi="Times New Roman"/>
          <w:b/>
          <w:sz w:val="24"/>
          <w:u w:val="none"/>
        </w:rPr>
        <w:lastRenderedPageBreak/>
        <w:t>LE-skemaets opbygning</w:t>
      </w:r>
      <w:bookmarkEnd w:id="16"/>
      <w:bookmarkEnd w:id="17"/>
    </w:p>
    <w:p w:rsidR="00A11EC0" w:rsidRPr="0039317F" w:rsidRDefault="00B945FE" w:rsidP="0039317F">
      <w:pPr>
        <w:pStyle w:val="InstructionsText2"/>
        <w:rPr>
          <w:rFonts w:eastAsia="Arial"/>
        </w:rPr>
      </w:pPr>
      <w:r>
        <w:t>Kolonnerne i LE1-skemaet præsenterer oplysninger vedrørende identifikationen af e</w:t>
      </w:r>
      <w:r>
        <w:t>n</w:t>
      </w:r>
      <w:r>
        <w:t>kelte kunder eller grupper af indbyrdes forbundne kunder, som et institut har en e</w:t>
      </w:r>
      <w:r>
        <w:t>k</w:t>
      </w:r>
      <w:r>
        <w:t>sponering mod.</w:t>
      </w:r>
    </w:p>
    <w:p w:rsidR="00B0191A" w:rsidRPr="0039317F" w:rsidRDefault="009362E7" w:rsidP="0039317F">
      <w:pPr>
        <w:pStyle w:val="InstructionsText2"/>
        <w:rPr>
          <w:rFonts w:eastAsia="Arial"/>
        </w:rPr>
      </w:pPr>
      <w:r>
        <w:t xml:space="preserve">Kolonnerne i skema LE2 og LE3 præsenterer følgende informationsblokke:   </w:t>
      </w:r>
    </w:p>
    <w:p w:rsidR="00B0191A" w:rsidRPr="0039317F" w:rsidRDefault="001E0F83" w:rsidP="000F0ADE">
      <w:pPr>
        <w:pStyle w:val="InstructionsText2"/>
        <w:numPr>
          <w:ilvl w:val="1"/>
          <w:numId w:val="15"/>
        </w:numPr>
        <w:rPr>
          <w:rFonts w:eastAsia="Arial"/>
        </w:rPr>
      </w:pPr>
      <w:r>
        <w:t>eksponeringsværdien før anvendelse af undtagelser og før hensyntagen til virkningen af kreditrisikoreduktion, herunder direkte og indirekte eksponering samt yderligere eksponeringer, der opstår som følge af transaktioner med e</w:t>
      </w:r>
      <w:r>
        <w:t>k</w:t>
      </w:r>
      <w:r>
        <w:t>sponering mod underliggende aktiver</w:t>
      </w:r>
    </w:p>
    <w:p w:rsidR="00B0191A" w:rsidRPr="0039317F" w:rsidRDefault="001E0F83" w:rsidP="000F0ADE">
      <w:pPr>
        <w:pStyle w:val="InstructionsText2"/>
        <w:numPr>
          <w:ilvl w:val="1"/>
          <w:numId w:val="15"/>
        </w:numPr>
        <w:rPr>
          <w:rFonts w:eastAsia="Arial"/>
        </w:rPr>
      </w:pPr>
      <w:r>
        <w:t>virkningen af undtagelserne og kreditrisikoreduktionsteknikkerne</w:t>
      </w:r>
    </w:p>
    <w:p w:rsidR="00B0191A" w:rsidRPr="0039317F" w:rsidRDefault="001E0F83">
      <w:pPr>
        <w:pStyle w:val="InstructionsText2"/>
        <w:numPr>
          <w:ilvl w:val="1"/>
          <w:numId w:val="15"/>
        </w:numPr>
        <w:rPr>
          <w:rFonts w:eastAsia="Arial"/>
        </w:rPr>
      </w:pPr>
      <w:r>
        <w:t xml:space="preserve">eksponeringsværdien efter anvendelse af undtagelser og efter hensyntagen til virkningen af kreditrisikoreduktion beregnet med henblik på artikel 395, stk. 1, i CRR. </w:t>
      </w:r>
    </w:p>
    <w:p w:rsidR="00B0191A" w:rsidRPr="0039317F" w:rsidRDefault="00B4530A" w:rsidP="0039317F">
      <w:pPr>
        <w:pStyle w:val="InstructionsText2"/>
        <w:rPr>
          <w:rFonts w:eastAsia="Arial"/>
        </w:rPr>
      </w:pPr>
      <w:r>
        <w:t>Kolonnerne i skema LE4 og LE5 præsenterer oplysninger vedrørende de løbetidsku</w:t>
      </w:r>
      <w:r>
        <w:t>r</w:t>
      </w:r>
      <w:r>
        <w:t>ve, som de forventede forfaldende beløb for de 10 største eksponeringer mod institu</w:t>
      </w:r>
      <w:r>
        <w:t>t</w:t>
      </w:r>
      <w:r>
        <w:t xml:space="preserve">ter og de 10 største eksponeringer mod uregulerede enheder i den finansielle sektor skal henføres til.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3998674"/>
      <w:r>
        <w:rPr>
          <w:rFonts w:ascii="Times New Roman" w:hAnsi="Times New Roman"/>
          <w:b/>
          <w:sz w:val="24"/>
          <w:u w:val="none"/>
        </w:rPr>
        <w:t>Definitioner og generelle instrukser til brug i forbindelse med LE-indberetning</w:t>
      </w:r>
      <w:bookmarkEnd w:id="18"/>
      <w:bookmarkEnd w:id="19"/>
    </w:p>
    <w:p w:rsidR="001E0F83" w:rsidRPr="0039317F" w:rsidRDefault="00B945FE" w:rsidP="0039317F">
      <w:pPr>
        <w:pStyle w:val="InstructionsText2"/>
        <w:rPr>
          <w:rFonts w:eastAsia="Arial"/>
        </w:rPr>
      </w:pPr>
      <w:r>
        <w:t>"Gruppe af indbyrdes forbundne kunder" er defineret i artikel 4, stk. 1, nr. 39), i CRR.</w:t>
      </w:r>
    </w:p>
    <w:p w:rsidR="00B0191A" w:rsidRPr="0039317F" w:rsidRDefault="00915A9C" w:rsidP="0039317F">
      <w:pPr>
        <w:pStyle w:val="InstructionsText2"/>
        <w:rPr>
          <w:rFonts w:eastAsia="Arial"/>
        </w:rPr>
      </w:pPr>
      <w:r>
        <w:t xml:space="preserve">"Uregulerede enheder i den finansielle sektor" er defineret i artikel 142, stk. 1, nr. 5), i CRR.  </w:t>
      </w:r>
    </w:p>
    <w:p w:rsidR="00B0191A" w:rsidRPr="00976263" w:rsidRDefault="00D441A7" w:rsidP="0039317F">
      <w:pPr>
        <w:pStyle w:val="InstructionsText2"/>
        <w:rPr>
          <w:rFonts w:eastAsia="Arial"/>
          <w:lang w:val="nn-NO"/>
        </w:rPr>
      </w:pPr>
      <w:r w:rsidRPr="00976263">
        <w:rPr>
          <w:lang w:val="nn-NO"/>
        </w:rPr>
        <w:t>"</w:t>
      </w:r>
      <w:proofErr w:type="spellStart"/>
      <w:r w:rsidRPr="00976263">
        <w:rPr>
          <w:lang w:val="nn-NO"/>
        </w:rPr>
        <w:t>Institut</w:t>
      </w:r>
      <w:proofErr w:type="spellEnd"/>
      <w:r w:rsidRPr="00976263">
        <w:rPr>
          <w:lang w:val="nn-NO"/>
        </w:rPr>
        <w:t xml:space="preserve">" er </w:t>
      </w:r>
      <w:proofErr w:type="spellStart"/>
      <w:r w:rsidRPr="00976263">
        <w:rPr>
          <w:lang w:val="nn-NO"/>
        </w:rPr>
        <w:t>defineret</w:t>
      </w:r>
      <w:proofErr w:type="spellEnd"/>
      <w:r w:rsidRPr="00976263">
        <w:rPr>
          <w:lang w:val="nn-NO"/>
        </w:rPr>
        <w:t xml:space="preserve"> i </w:t>
      </w:r>
      <w:proofErr w:type="spellStart"/>
      <w:r w:rsidRPr="00976263">
        <w:rPr>
          <w:lang w:val="nn-NO"/>
        </w:rPr>
        <w:t>artikel</w:t>
      </w:r>
      <w:proofErr w:type="spellEnd"/>
      <w:r w:rsidRPr="00976263">
        <w:rPr>
          <w:lang w:val="nn-NO"/>
        </w:rPr>
        <w:t xml:space="preserve"> 4, stk. 1, nr. 3), i CRR.  </w:t>
      </w:r>
    </w:p>
    <w:p w:rsidR="00B0191A" w:rsidRPr="0039317F" w:rsidRDefault="009B34D1" w:rsidP="0039317F">
      <w:pPr>
        <w:pStyle w:val="InstructionsText2"/>
        <w:rPr>
          <w:rFonts w:eastAsia="Arial"/>
        </w:rPr>
      </w:pPr>
      <w:r>
        <w:t>Eksponeringer mod "privatretlige sammenslutninger" indberettes. Institutter skal de</w:t>
      </w:r>
      <w:r>
        <w:t>s</w:t>
      </w:r>
      <w:r>
        <w:t>uden lægge kreditbeløbene for privatretlige sammenslutninger til hver partners gæld. Eksponeringer mod privatretlige sammenslutninger med kvoter opdeles eller henføres til partnerne i henhold til deres respektive kvoter. Visse konstruktioner (f.eks. fælles konti, grupper af arvinger og lån optaget ved hjælp af stråmænd), der i realiteten fu</w:t>
      </w:r>
      <w:r>
        <w:t>n</w:t>
      </w:r>
      <w:r>
        <w:t xml:space="preserve">gerer som privatretlige sammenslutninger, skal indberettes på samme måde. </w:t>
      </w:r>
    </w:p>
    <w:p w:rsidR="00910E26" w:rsidRPr="0039317F" w:rsidRDefault="00D441A7" w:rsidP="0039317F">
      <w:pPr>
        <w:pStyle w:val="InstructionsText2"/>
        <w:rPr>
          <w:rFonts w:eastAsia="Arial"/>
        </w:rPr>
      </w:pPr>
      <w:r>
        <w:t>Aktiver og ikkebalanceførte poster anvendes uden risikovægte eller risikograder, jf. artikel 389 i CRR. Kreditkonverteringsfaktorer anvendes ikke på ikkebalanceførte p</w:t>
      </w:r>
      <w:r>
        <w:t>o</w:t>
      </w:r>
      <w:r>
        <w:t>ster.</w:t>
      </w:r>
    </w:p>
    <w:p w:rsidR="00B0191A" w:rsidRPr="0039317F" w:rsidRDefault="0039317F" w:rsidP="0039317F">
      <w:pPr>
        <w:pStyle w:val="InstructionsText2"/>
        <w:rPr>
          <w:rFonts w:eastAsia="Arial"/>
        </w:rPr>
      </w:pPr>
      <w:r>
        <w:t xml:space="preserve"> "Eksponeringer" er defineret i artikel 389 i CRR. </w:t>
      </w:r>
    </w:p>
    <w:p w:rsidR="00B0191A" w:rsidRPr="0039317F" w:rsidRDefault="001243C8" w:rsidP="0039317F">
      <w:pPr>
        <w:pStyle w:val="InstructionsText2"/>
        <w:numPr>
          <w:ilvl w:val="1"/>
          <w:numId w:val="15"/>
        </w:numPr>
        <w:rPr>
          <w:rFonts w:eastAsia="Arial"/>
        </w:rPr>
      </w:pPr>
      <w:r>
        <w:t xml:space="preserve">enhver aktivpost eller ikkebalanceført post uden for handelsbeholdningen og i handelsbeholdningen, inklusive poster omhandlet i artikel 400 i CRR, men eksklusive poster omhandlet i artikel 390, stk. 6, litra a)-d), i CRR. </w:t>
      </w:r>
    </w:p>
    <w:p w:rsidR="00B0191A" w:rsidRPr="0039317F" w:rsidRDefault="00AB5AE4" w:rsidP="000F0ADE">
      <w:pPr>
        <w:pStyle w:val="InstructionsText2"/>
        <w:numPr>
          <w:ilvl w:val="1"/>
          <w:numId w:val="15"/>
        </w:numPr>
        <w:rPr>
          <w:rFonts w:eastAsia="Arial"/>
        </w:rPr>
      </w:pPr>
      <w:r>
        <w:t>"indirekte eksponeringer" er de eksponeringer, der er henført til garantistilleren for eller udstederen af sikkerheden i stedet for den umiddelbare låntager, jf. a</w:t>
      </w:r>
      <w:r>
        <w:t>r</w:t>
      </w:r>
      <w:r>
        <w:lastRenderedPageBreak/>
        <w:t xml:space="preserve">tikel 403 i CRR. </w:t>
      </w:r>
      <w:r>
        <w:rPr>
          <w:i/>
        </w:rPr>
        <w:t>[Disse definitioner må på ingen måde afvige fra definitione</w:t>
      </w:r>
      <w:r>
        <w:rPr>
          <w:i/>
        </w:rPr>
        <w:t>r</w:t>
      </w:r>
      <w:r>
        <w:rPr>
          <w:i/>
        </w:rPr>
        <w:t>ne i basisretsakten.]</w:t>
      </w:r>
    </w:p>
    <w:p w:rsidR="00B0191A" w:rsidRPr="0039317F" w:rsidRDefault="00F40CD9" w:rsidP="0039317F">
      <w:pPr>
        <w:pStyle w:val="InstructionsText2"/>
        <w:rPr>
          <w:rFonts w:eastAsia="Arial"/>
        </w:rPr>
      </w:pPr>
      <w:r>
        <w:t>Eksponeringerne mod grupper af indbyrdes forbundne kunder beregnes i overen</w:t>
      </w:r>
      <w:r>
        <w:t>s</w:t>
      </w:r>
      <w:r>
        <w:t>stemmelse med artikel 390, stk. 5.</w:t>
      </w:r>
    </w:p>
    <w:p w:rsidR="0008722B" w:rsidRPr="0039317F" w:rsidRDefault="008645CF" w:rsidP="0039317F">
      <w:pPr>
        <w:pStyle w:val="InstructionsText2"/>
        <w:rPr>
          <w:rFonts w:eastAsia="Arial"/>
        </w:rPr>
      </w:pPr>
      <w:r>
        <w:t>Det tillades, at "</w:t>
      </w:r>
      <w:proofErr w:type="spellStart"/>
      <w:r>
        <w:t>nettingaftaler</w:t>
      </w:r>
      <w:proofErr w:type="spellEnd"/>
      <w:r>
        <w:t>" tager hensyn til virkningerne af store eksponeringsvæ</w:t>
      </w:r>
      <w:r>
        <w:t>r</w:t>
      </w:r>
      <w:r>
        <w:t>dier som fastsat i artikel 390, stk. 1-3, i CRR. Eksponeringsværdien af et derivati</w:t>
      </w:r>
      <w:r>
        <w:t>n</w:t>
      </w:r>
      <w:r>
        <w:t xml:space="preserve">strument opført i bilag II til CRR fastsættes i overensstemmelse med tredje del, afsnit II, kapitel 6, i CRR, idet der tages højde for virkningen af kontrakter om nyordning og andre </w:t>
      </w:r>
      <w:proofErr w:type="spellStart"/>
      <w:r>
        <w:t>nettingaftaler</w:t>
      </w:r>
      <w:proofErr w:type="spellEnd"/>
      <w:r>
        <w:t xml:space="preserve"> med henblik på anvendelsen af disse metoder i overensstemmelse med tredje del, afsnit II, kapitel 6 i CRR. Eksponeringsværdien af genkøbstransakti</w:t>
      </w:r>
      <w:r>
        <w:t>o</w:t>
      </w:r>
      <w:r>
        <w:t>ner, transaktioner vedrørende udlån eller indskud i værdipapirer eller råvarer, transa</w:t>
      </w:r>
      <w:r>
        <w:t>k</w:t>
      </w:r>
      <w:r>
        <w:t>tioner med lang afviklingstid og margenlånetransaktioner kan fastsættes enten i ove</w:t>
      </w:r>
      <w:r>
        <w:t>r</w:t>
      </w:r>
      <w:r>
        <w:t xml:space="preserve">ensstemmelse med tredje del, afsnit II, kapitel 4 eller 6 i CRR. Ifølge artikel 296 i CRR indberettes eksponeringsværdien af en enkelt retlig forpligtelse, der følger af en aftale om </w:t>
      </w:r>
      <w:proofErr w:type="spellStart"/>
      <w:r>
        <w:t>netting</w:t>
      </w:r>
      <w:proofErr w:type="spellEnd"/>
      <w:r>
        <w:t xml:space="preserve"> på tværs af produkter med det indberettende instituts modpart, som "andre forpligtelser" i LE-skemaerne.</w:t>
      </w:r>
    </w:p>
    <w:p w:rsidR="00AB28E2" w:rsidRPr="0039317F" w:rsidRDefault="001E0F83" w:rsidP="0039317F">
      <w:pPr>
        <w:pStyle w:val="InstructionsText2"/>
        <w:rPr>
          <w:rFonts w:eastAsia="Arial"/>
        </w:rPr>
      </w:pPr>
      <w:r>
        <w:t>"Størrelsen af en eksponering" beregnes efter artikel 390 i CRR.</w:t>
      </w:r>
    </w:p>
    <w:p w:rsidR="00B0191A" w:rsidRPr="0039317F" w:rsidRDefault="001E0F83" w:rsidP="0039317F">
      <w:pPr>
        <w:pStyle w:val="InstructionsText2"/>
        <w:rPr>
          <w:rFonts w:eastAsia="Arial"/>
        </w:rPr>
      </w:pPr>
      <w:r>
        <w:t>Virkningen af fuld eller delvis anvendelse af undtagelser og anerkendte kreditrisikor</w:t>
      </w:r>
      <w:r>
        <w:t>e</w:t>
      </w:r>
      <w:r>
        <w:t>duktionsteknikker i forbindelse med beregning af eksponeringer med henblik på art</w:t>
      </w:r>
      <w:r>
        <w:t>i</w:t>
      </w:r>
      <w:r>
        <w:t xml:space="preserve">kel 395, stk. 1, i CRR er beskrevet i artikel 399-403 i CRR. </w:t>
      </w:r>
    </w:p>
    <w:p w:rsidR="00AB28E2" w:rsidRPr="0039317F" w:rsidRDefault="0017740A" w:rsidP="0039317F">
      <w:pPr>
        <w:pStyle w:val="InstructionsText2"/>
        <w:rPr>
          <w:rFonts w:eastAsia="Arial"/>
        </w:rPr>
      </w:pPr>
      <w:r>
        <w:t>Omvendte genkøbsaftaler, der er omfattet af indberetning vedrørende store ekspon</w:t>
      </w:r>
      <w:r>
        <w:t>e</w:t>
      </w:r>
      <w:r>
        <w:t>ringer, indberettes i overensstemmelse med artikel 402, stk. 3, i CRR. Hvis kriterierne i artikel 402, stk. 3, i CRR er opfyldt, skal instituttet indberette store eksponeringer mod tredjeparter, der svarer til størrelsen af den fordring, som modparten har på tre</w:t>
      </w:r>
      <w:r>
        <w:t>d</w:t>
      </w:r>
      <w:r>
        <w:t>jeparten, i stedet for eksponeringens tilsvarende størrelse mod modparten.</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3998675"/>
      <w:r>
        <w:rPr>
          <w:rFonts w:ascii="Times New Roman" w:hAnsi="Times New Roman"/>
          <w:b/>
          <w:sz w:val="24"/>
          <w:u w:val="none"/>
        </w:rPr>
        <w:t>C 26.00 — Skema vedrørende begrænsninger for store eksponeringer (LE limits)</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3998676"/>
      <w:r>
        <w:rPr>
          <w:rFonts w:ascii="Times New Roman" w:hAnsi="Times New Roman"/>
          <w:sz w:val="24"/>
        </w:rPr>
        <w:t>Instrukser vedrørende specifikke rækker</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Rækker</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Ikkeinstitutter</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artikel 458, stk. 2, litra d), nr. ii), artikel 458, stk. 10, og artikel 459, litra b), i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Størrelsen af den gældende grænse for andre modparter end institutter skal indberettes. Dette beløb er lig med 25 % af det justerede kapitalgrundlag, som indberettes i række 226 i skema 4 i bilag I, medmindre en mere restri</w:t>
            </w:r>
            <w:r>
              <w:rPr>
                <w:rStyle w:val="FormatvorlageInstructionsTabelleText"/>
                <w:rFonts w:ascii="Times New Roman" w:hAnsi="Times New Roman"/>
                <w:sz w:val="24"/>
              </w:rPr>
              <w:t>k</w:t>
            </w:r>
            <w:r>
              <w:rPr>
                <w:rStyle w:val="FormatvorlageInstructionsTabelleText"/>
                <w:rFonts w:ascii="Times New Roman" w:hAnsi="Times New Roman"/>
                <w:sz w:val="24"/>
              </w:rPr>
              <w:t>tiv procentdel finder anvendelse som følge af anvendelsen af nationale fo</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anstaltninger i overensstemmelse med artikel 458 i CRR eller delegerede retsakter vedtaget i overensstemmelse med artikel 459, litra b), i CRR.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Institutter</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artikel 458, stk. 2, litra d), nr. ii), artikel 458, stk. 10, og artikel 459, litra b), i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Størrelsen af den gældende grænse for modparter, der er institutter, skal in</w:t>
            </w:r>
            <w:r>
              <w:rPr>
                <w:rStyle w:val="FormatvorlageInstructionsTabelleText"/>
                <w:rFonts w:ascii="Times New Roman" w:hAnsi="Times New Roman"/>
                <w:sz w:val="24"/>
              </w:rPr>
              <w:t>d</w:t>
            </w:r>
            <w:r>
              <w:rPr>
                <w:rStyle w:val="FormatvorlageInstructionsTabelleText"/>
                <w:rFonts w:ascii="Times New Roman" w:hAnsi="Times New Roman"/>
                <w:sz w:val="24"/>
              </w:rPr>
              <w:t>berettes. I henhold til artikel 395, stk. 1, i CRR skal dette beløb være følge</w:t>
            </w:r>
            <w:r>
              <w:rPr>
                <w:rStyle w:val="FormatvorlageInstructionsTabelleText"/>
                <w:rFonts w:ascii="Times New Roman" w:hAnsi="Times New Roman"/>
                <w:sz w:val="24"/>
              </w:rPr>
              <w:t>n</w:t>
            </w:r>
            <w:r>
              <w:rPr>
                <w:rStyle w:val="FormatvorlageInstructionsTabelleText"/>
                <w:rFonts w:ascii="Times New Roman" w:hAnsi="Times New Roman"/>
                <w:sz w:val="24"/>
              </w:rPr>
              <w:t>de:</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Hvis de 25 % af det justerede kapitalgrundlag overstiger 150 mio. EUR (eller en lavere grænse end 150 mio. EUR fastsat af den ko</w:t>
            </w:r>
            <w:r>
              <w:rPr>
                <w:rStyle w:val="FormatvorlageInstructionsTabelleText"/>
                <w:rFonts w:ascii="Times New Roman" w:hAnsi="Times New Roman"/>
                <w:sz w:val="24"/>
              </w:rPr>
              <w:t>m</w:t>
            </w:r>
            <w:r>
              <w:rPr>
                <w:rStyle w:val="FormatvorlageInstructionsTabelleText"/>
                <w:rFonts w:ascii="Times New Roman" w:hAnsi="Times New Roman"/>
                <w:sz w:val="24"/>
              </w:rPr>
              <w:t>petente myndighed i overensstemmelse med artikel 395, stk. 1, tredje afsnit, i CRR), indberettes 25 % af det justerede kapitalgrundlag.</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Hvis 150 mio. EUR (eller en lavere grænse fastsat af den kompetente myndighed i overensstemmelse med artikel 395, stk. 1, tredje afsnit, i CRR) overstiger 25 % af instituttets justerede kapitalgrundlag, indb</w:t>
            </w:r>
            <w:r>
              <w:rPr>
                <w:rStyle w:val="FormatvorlageInstructionsTabelleText"/>
                <w:rFonts w:ascii="Times New Roman" w:hAnsi="Times New Roman"/>
                <w:sz w:val="24"/>
              </w:rPr>
              <w:t>e</w:t>
            </w:r>
            <w:r>
              <w:rPr>
                <w:rStyle w:val="FormatvorlageInstructionsTabelleText"/>
                <w:rFonts w:ascii="Times New Roman" w:hAnsi="Times New Roman"/>
                <w:sz w:val="24"/>
              </w:rPr>
              <w:t>rettes 150 mio. EUR (eller den lavere grænse fastsat af den komp</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tente myndighed). Hvis instituttet har fastsat en lavere grænse for det justerede kapitalgrundlag, jf. artikel 395, stk. 1, andet afsnit, i CRR, indberettes denne grænse.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grænser kan være strengere, hvis der anvendes nationale foranstaltni</w:t>
            </w:r>
            <w:r>
              <w:rPr>
                <w:rStyle w:val="FormatvorlageInstructionsTabelleText"/>
                <w:rFonts w:ascii="Times New Roman" w:hAnsi="Times New Roman"/>
                <w:sz w:val="24"/>
              </w:rPr>
              <w:t>n</w:t>
            </w:r>
            <w:r>
              <w:rPr>
                <w:rStyle w:val="FormatvorlageInstructionsTabelleText"/>
                <w:rFonts w:ascii="Times New Roman" w:hAnsi="Times New Roman"/>
                <w:sz w:val="24"/>
              </w:rPr>
              <w:t>ger i overensstemmelse med artikel 395, stk. 6, eller artikel 458 i CRR eller delegerede retsakter vedtaget i overensstemmelse med artikel 459, litra b), i CRR.</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Institutter i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og artikel 459, litra a), i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den absolutte grænse (indberettet i række 020) udtrykt som en procentdel af det justerede kapitalgrundlag.</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3998677"/>
      <w:r>
        <w:rPr>
          <w:rFonts w:ascii="Times New Roman" w:hAnsi="Times New Roman"/>
          <w:b/>
          <w:sz w:val="24"/>
          <w:u w:val="none"/>
        </w:rPr>
        <w:t>C 27.00 — Identifikation af modparten (LE1)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3998678"/>
      <w:r>
        <w:rPr>
          <w:rFonts w:ascii="Times New Roman" w:hAnsi="Times New Roman"/>
          <w:sz w:val="24"/>
        </w:rPr>
        <w:t>Instrukser vedrørende specifikke kolonner</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Identifikation af modpart:</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 skal indberette identifikationen af alle modparter, der indsendes oplysninger om i skema C 28.00 til C 31.00. Identifikationen af gruppen af indbyrdes forbundne kunder skal ikke indberettes, medmindre der i det nat</w:t>
            </w:r>
            <w:r>
              <w:rPr>
                <w:rStyle w:val="FormatvorlageInstructionsTabelleText"/>
                <w:rFonts w:ascii="Times New Roman" w:hAnsi="Times New Roman"/>
                <w:sz w:val="24"/>
              </w:rPr>
              <w:t>i</w:t>
            </w:r>
            <w:r>
              <w:rPr>
                <w:rStyle w:val="FormatvorlageInstructionsTabelleText"/>
                <w:rFonts w:ascii="Times New Roman" w:hAnsi="Times New Roman"/>
                <w:sz w:val="24"/>
              </w:rPr>
              <w:t>onale indberetningssystem findes en unik kode for gruppen af indbyrdes fo</w:t>
            </w:r>
            <w:r>
              <w:rPr>
                <w:rStyle w:val="FormatvorlageInstructionsTabelleText"/>
                <w:rFonts w:ascii="Times New Roman" w:hAnsi="Times New Roman"/>
                <w:sz w:val="24"/>
              </w:rPr>
              <w:t>r</w:t>
            </w:r>
            <w:r>
              <w:rPr>
                <w:rStyle w:val="FormatvorlageInstructionsTabelleText"/>
                <w:rFonts w:ascii="Times New Roman" w:hAnsi="Times New Roman"/>
                <w:sz w:val="24"/>
              </w:rPr>
              <w:t>bundne kunder.</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Ifølge artikel 394, stk. 1, litra a), i CRR skal institutter indberette identifik</w:t>
            </w:r>
            <w:r>
              <w:rPr>
                <w:rStyle w:val="FormatvorlageInstructionsTabelleText"/>
                <w:rFonts w:ascii="Times New Roman" w:hAnsi="Times New Roman"/>
                <w:sz w:val="24"/>
              </w:rPr>
              <w:t>a</w:t>
            </w:r>
            <w:r>
              <w:rPr>
                <w:rStyle w:val="FormatvorlageInstructionsTabelleText"/>
                <w:rFonts w:ascii="Times New Roman" w:hAnsi="Times New Roman"/>
                <w:sz w:val="24"/>
              </w:rPr>
              <w:lastRenderedPageBreak/>
              <w:t>tionen af den modpart, de har en stor eksponering mod, jf. definitionen i a</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tikel 392 i CRR.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Ifølge artikel 394, stk. 2, litra a), i CRR skal institutter indberette identifik</w:t>
            </w:r>
            <w:r>
              <w:rPr>
                <w:rStyle w:val="FormatvorlageInstructionsTabelleText"/>
                <w:rFonts w:ascii="Times New Roman" w:hAnsi="Times New Roman"/>
                <w:sz w:val="24"/>
              </w:rPr>
              <w:t>a</w:t>
            </w:r>
            <w:r>
              <w:rPr>
                <w:rStyle w:val="FormatvorlageInstructionsTabelleText"/>
                <w:rFonts w:ascii="Times New Roman" w:hAnsi="Times New Roman"/>
                <w:sz w:val="24"/>
              </w:rPr>
              <w:t>tionen af den modpart, de har de største eksponeringer mod (hvis modparten er et institut eller en ureguleret enhed i den finansielle sektor).</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er en id-kode for rækken og skal være unik for hver enkelt række i tabellen.</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anvendes til at identificere den enkelte modpart. Formålet med denne kolonne er imidlertid at sammenkæde modpartsoplysninger i C 27.00 med eksponeringer, der indberettes i C 28.00 til C 31.00. Koden for gruppen af indbyrdes forbundne kunder skal ikke indberettes, medmindre der i det nat</w:t>
            </w:r>
            <w:r>
              <w:rPr>
                <w:rStyle w:val="FormatvorlageInstructionsTabelleText"/>
                <w:rFonts w:ascii="Times New Roman" w:hAnsi="Times New Roman"/>
                <w:sz w:val="24"/>
              </w:rPr>
              <w:t>i</w:t>
            </w:r>
            <w:r>
              <w:rPr>
                <w:rStyle w:val="FormatvorlageInstructionsTabelleText"/>
                <w:rFonts w:ascii="Times New Roman" w:hAnsi="Times New Roman"/>
                <w:sz w:val="24"/>
              </w:rPr>
              <w:t>onale indberetningssystem findes en unik kode for gruppen af indbyrdes fo</w:t>
            </w:r>
            <w:r>
              <w:rPr>
                <w:rStyle w:val="FormatvorlageInstructionsTabelleText"/>
                <w:rFonts w:ascii="Times New Roman" w:hAnsi="Times New Roman"/>
                <w:sz w:val="24"/>
              </w:rPr>
              <w:t>r</w:t>
            </w:r>
            <w:r>
              <w:rPr>
                <w:rStyle w:val="FormatvorlageInstructionsTabelleText"/>
                <w:rFonts w:ascii="Times New Roman" w:hAnsi="Times New Roman"/>
                <w:sz w:val="24"/>
              </w:rPr>
              <w:t>bundne kunder. Koderne skal anvendes konsistent over tid.</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Sammensætningen af koden afhænger af det nationale indberetningssystem, medmindre der er fastsat ensartede koder på EU-plan.</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Navn</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Navnet skal svare til navnet på gruppen, når der indberettes en gruppe af indbyrdes forbundne kunder. I andre tilfælde skal navnet svare til den enke</w:t>
            </w:r>
            <w:r>
              <w:rPr>
                <w:rStyle w:val="FormatvorlageInstructionsTabelleText"/>
                <w:rFonts w:ascii="Times New Roman" w:hAnsi="Times New Roman"/>
                <w:sz w:val="24"/>
              </w:rPr>
              <w:t>l</w:t>
            </w:r>
            <w:r>
              <w:rPr>
                <w:rStyle w:val="FormatvorlageInstructionsTabelleText"/>
                <w:rFonts w:ascii="Times New Roman" w:hAnsi="Times New Roman"/>
                <w:sz w:val="24"/>
              </w:rPr>
              <w:t>te modpart.</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en gruppe af indbyrdes forbundne kunder skal det indberettede navn v</w:t>
            </w:r>
            <w:r>
              <w:rPr>
                <w:rStyle w:val="FormatvorlageInstructionsTabelleText"/>
                <w:rFonts w:ascii="Times New Roman" w:hAnsi="Times New Roman"/>
                <w:sz w:val="24"/>
              </w:rPr>
              <w:t>æ</w:t>
            </w:r>
            <w:r>
              <w:rPr>
                <w:rStyle w:val="FormatvorlageInstructionsTabelleText"/>
                <w:rFonts w:ascii="Times New Roman" w:hAnsi="Times New Roman"/>
                <w:sz w:val="24"/>
              </w:rPr>
              <w:t>re navnet på moderselskabet eller gruppens forretningsmæssige navn.</w:t>
            </w:r>
          </w:p>
          <w:p w:rsidR="00B0191A" w:rsidRPr="00384ADB" w:rsidRDefault="00B0191A">
            <w:pPr>
              <w:pStyle w:val="InstructionsText"/>
              <w:rPr>
                <w:rStyle w:val="FormatvorlageInstructionsTabelleText"/>
                <w:rFonts w:ascii="Times New Roman" w:hAnsi="Times New Roman"/>
                <w:b/>
                <w:sz w:val="24"/>
              </w:rPr>
            </w:pPr>
          </w:p>
        </w:tc>
      </w:tr>
      <w:tr w:rsidR="00965DED" w:rsidRPr="00976263"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976263" w:rsidRDefault="00965DED" w:rsidP="0039317F">
            <w:pPr>
              <w:pStyle w:val="InstructionsText"/>
              <w:rPr>
                <w:rStyle w:val="InstructionsTabelleberschrift"/>
                <w:rFonts w:ascii="Times New Roman" w:hAnsi="Times New Roman"/>
                <w:sz w:val="24"/>
                <w:lang w:val="pt-PT"/>
              </w:rPr>
            </w:pPr>
            <w:r w:rsidRPr="00976263">
              <w:rPr>
                <w:rStyle w:val="InstructionsTabelleberschrift"/>
                <w:rFonts w:ascii="Times New Roman" w:hAnsi="Times New Roman"/>
                <w:sz w:val="24"/>
                <w:lang w:val="pt-PT"/>
              </w:rPr>
              <w:t>LEI-</w:t>
            </w:r>
            <w:proofErr w:type="spellStart"/>
            <w:r w:rsidRPr="00976263">
              <w:rPr>
                <w:rStyle w:val="InstructionsTabelleberschrift"/>
                <w:rFonts w:ascii="Times New Roman" w:hAnsi="Times New Roman"/>
                <w:sz w:val="24"/>
                <w:lang w:val="pt-PT"/>
              </w:rPr>
              <w:t>kode</w:t>
            </w:r>
            <w:proofErr w:type="spellEnd"/>
          </w:p>
          <w:p w:rsidR="00B0191A" w:rsidRPr="00976263" w:rsidRDefault="00B0191A" w:rsidP="0039317F">
            <w:pPr>
              <w:pStyle w:val="InstructionsText"/>
              <w:rPr>
                <w:rStyle w:val="InstructionsTabelleberschrift"/>
                <w:rFonts w:ascii="Times New Roman" w:hAnsi="Times New Roman"/>
                <w:sz w:val="24"/>
                <w:lang w:val="pt-PT"/>
              </w:rPr>
            </w:pPr>
          </w:p>
          <w:p w:rsidR="00B0191A" w:rsidRPr="00976263" w:rsidRDefault="00965DED" w:rsidP="000F0ADE">
            <w:pPr>
              <w:pStyle w:val="InstructionsText"/>
              <w:rPr>
                <w:rStyle w:val="FormatvorlageInstructionsTabelleText"/>
                <w:rFonts w:ascii="Times New Roman" w:hAnsi="Times New Roman"/>
                <w:sz w:val="24"/>
                <w:lang w:val="pt-PT"/>
              </w:rPr>
            </w:pPr>
            <w:proofErr w:type="spellStart"/>
            <w:r w:rsidRPr="00976263">
              <w:rPr>
                <w:rStyle w:val="FormatvorlageInstructionsTabelleText"/>
                <w:rFonts w:ascii="Times New Roman" w:hAnsi="Times New Roman"/>
                <w:sz w:val="24"/>
                <w:lang w:val="pt-PT"/>
              </w:rPr>
              <w:t>Modpartens</w:t>
            </w:r>
            <w:proofErr w:type="spellEnd"/>
            <w:r w:rsidRPr="00976263">
              <w:rPr>
                <w:rStyle w:val="FormatvorlageInstructionsTabelleText"/>
                <w:rFonts w:ascii="Times New Roman" w:hAnsi="Times New Roman"/>
                <w:sz w:val="24"/>
                <w:lang w:val="pt-PT"/>
              </w:rPr>
              <w:t xml:space="preserve"> LEI-</w:t>
            </w:r>
            <w:proofErr w:type="spellStart"/>
            <w:r w:rsidRPr="00976263">
              <w:rPr>
                <w:rStyle w:val="FormatvorlageInstructionsTabelleText"/>
                <w:rFonts w:ascii="Times New Roman" w:hAnsi="Times New Roman"/>
                <w:sz w:val="24"/>
                <w:lang w:val="pt-PT"/>
              </w:rPr>
              <w:t>kode</w:t>
            </w:r>
            <w:proofErr w:type="spellEnd"/>
            <w:r w:rsidRPr="00976263">
              <w:rPr>
                <w:rStyle w:val="FormatvorlageInstructionsTabelleText"/>
                <w:rFonts w:ascii="Times New Roman" w:hAnsi="Times New Roman"/>
                <w:sz w:val="24"/>
                <w:lang w:val="pt-PT"/>
              </w:rPr>
              <w:t xml:space="preserve"> (Legal </w:t>
            </w:r>
            <w:proofErr w:type="spellStart"/>
            <w:r w:rsidRPr="00976263">
              <w:rPr>
                <w:rStyle w:val="FormatvorlageInstructionsTabelleText"/>
                <w:rFonts w:ascii="Times New Roman" w:hAnsi="Times New Roman"/>
                <w:sz w:val="24"/>
                <w:lang w:val="pt-PT"/>
              </w:rPr>
              <w:t>Entity</w:t>
            </w:r>
            <w:proofErr w:type="spellEnd"/>
            <w:r w:rsidRPr="00976263">
              <w:rPr>
                <w:rStyle w:val="FormatvorlageInstructionsTabelleText"/>
                <w:rFonts w:ascii="Times New Roman" w:hAnsi="Times New Roman"/>
                <w:sz w:val="24"/>
                <w:lang w:val="pt-PT"/>
              </w:rPr>
              <w:t xml:space="preserve"> </w:t>
            </w:r>
            <w:proofErr w:type="spellStart"/>
            <w:r w:rsidRPr="00976263">
              <w:rPr>
                <w:rStyle w:val="FormatvorlageInstructionsTabelleText"/>
                <w:rFonts w:ascii="Times New Roman" w:hAnsi="Times New Roman"/>
                <w:sz w:val="24"/>
                <w:lang w:val="pt-PT"/>
              </w:rPr>
              <w:t>Identifier</w:t>
            </w:r>
            <w:proofErr w:type="spellEnd"/>
            <w:r w:rsidRPr="00976263">
              <w:rPr>
                <w:rStyle w:val="FormatvorlageInstructionsTabelleText"/>
                <w:rFonts w:ascii="Times New Roman" w:hAnsi="Times New Roman"/>
                <w:sz w:val="24"/>
                <w:lang w:val="pt-PT"/>
              </w:rPr>
              <w:t xml:space="preserve">). </w:t>
            </w:r>
          </w:p>
          <w:p w:rsidR="00B0191A" w:rsidRPr="00976263" w:rsidRDefault="00B0191A">
            <w:pPr>
              <w:pStyle w:val="InstructionsText"/>
              <w:rPr>
                <w:rStyle w:val="InstructionsTabelleberschrift"/>
                <w:rFonts w:ascii="Times New Roman" w:hAnsi="Times New Roman"/>
                <w:sz w:val="24"/>
                <w:lang w:val="pt-PT"/>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Modpartens hjemsted</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ISO-koden 3166-1-alpha-2 for det land, hvor modparten har sit hovedsæde, anvendes (herunder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-ISO-koder for internationale organisationer, som er anført i den seneste udgave af Eurostats "Balance of Payments Vadem</w:t>
            </w:r>
            <w:r>
              <w:rPr>
                <w:rStyle w:val="FormatvorlageInstructionsTabelleText"/>
                <w:rFonts w:ascii="Times New Roman" w:hAnsi="Times New Roman"/>
                <w:sz w:val="24"/>
              </w:rPr>
              <w:t>e</w:t>
            </w:r>
            <w:r>
              <w:rPr>
                <w:rStyle w:val="FormatvorlageInstructionsTabelleText"/>
                <w:rFonts w:ascii="Times New Roman" w:hAnsi="Times New Roman"/>
                <w:sz w:val="24"/>
              </w:rPr>
              <w:t xml:space="preserve">cum").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For grupper af indbyrdes forbundne kunder indberettes intet hovedsæde.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Modpartens sektor</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skal tildeles én sektor til hver modpart på grundlag af </w:t>
            </w:r>
            <w:proofErr w:type="spellStart"/>
            <w:r>
              <w:rPr>
                <w:rStyle w:val="FormatvorlageInstructionsTabelleText"/>
                <w:rFonts w:ascii="Times New Roman" w:hAnsi="Times New Roman"/>
                <w:sz w:val="24"/>
              </w:rPr>
              <w:t>FINREP's</w:t>
            </w:r>
            <w:proofErr w:type="spellEnd"/>
            <w:r>
              <w:rPr>
                <w:rStyle w:val="FormatvorlageInstructionsTabelleText"/>
                <w:rFonts w:ascii="Times New Roman" w:hAnsi="Times New Roman"/>
                <w:sz w:val="24"/>
              </w:rPr>
              <w:t xml:space="preserve"> øk</w:t>
            </w:r>
            <w:r>
              <w:rPr>
                <w:rStyle w:val="FormatvorlageInstructionsTabelleText"/>
                <w:rFonts w:ascii="Times New Roman" w:hAnsi="Times New Roman"/>
                <w:sz w:val="24"/>
              </w:rPr>
              <w:t>o</w:t>
            </w:r>
            <w:r>
              <w:rPr>
                <w:rStyle w:val="FormatvorlageInstructionsTabelleText"/>
                <w:rFonts w:ascii="Times New Roman" w:hAnsi="Times New Roman"/>
                <w:sz w:val="24"/>
              </w:rPr>
              <w:t>nomiske sektorklasser:</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centralbanker,</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ii)</w:t>
            </w:r>
            <w:r>
              <w:tab/>
            </w:r>
            <w:r>
              <w:rPr>
                <w:rStyle w:val="FormatvorlageInstructionsTabelleText"/>
                <w:rFonts w:ascii="Times New Roman" w:hAnsi="Times New Roman"/>
                <w:sz w:val="24"/>
              </w:rPr>
              <w:t>offentlig forvaltning og service</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kreditinstitutter</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investeringsselskaber som defineret i artikel 4, stk. 1, nr. 2), i CRR</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andre finansielle selskaber (undtagen investeringsselskaber)</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ikkefinansielle selskaber</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husholdninger.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For grupper af indbyrdes forbundne kunder indberettes ingen sektor.</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NACE-kode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den økonomiske sektor anvendes NACE-koderne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w:t>
            </w:r>
            <w:r>
              <w:rPr>
                <w:rStyle w:val="FormatvorlageInstructionsTabelleText"/>
                <w:rFonts w:ascii="Times New Roman" w:hAnsi="Times New Roman"/>
                <w:sz w:val="24"/>
              </w:rPr>
              <w:t>i</w:t>
            </w:r>
            <w:r>
              <w:rPr>
                <w:rStyle w:val="FormatvorlageInstructionsTabelleText"/>
                <w:rFonts w:ascii="Times New Roman" w:hAnsi="Times New Roman"/>
                <w:sz w:val="24"/>
              </w:rPr>
              <w:t>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dans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statistisk n</w:t>
            </w:r>
            <w:r>
              <w:rPr>
                <w:rStyle w:val="FormatvorlageInstructionsTabelleText"/>
                <w:rFonts w:ascii="Times New Roman" w:hAnsi="Times New Roman"/>
                <w:sz w:val="24"/>
              </w:rPr>
              <w:t>o</w:t>
            </w:r>
            <w:r>
              <w:rPr>
                <w:rStyle w:val="FormatvorlageInstructionsTabelleText"/>
                <w:rFonts w:ascii="Times New Roman" w:hAnsi="Times New Roman"/>
                <w:sz w:val="24"/>
              </w:rPr>
              <w:t xml:space="preserve">menklatur for økonomiske aktiviteter i Den Europæiske Union).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kolonne anvendes kun i forbindelse med modparterne "Andre fina</w:t>
            </w:r>
            <w:r>
              <w:rPr>
                <w:rStyle w:val="FormatvorlageInstructionsTabelleText"/>
                <w:rFonts w:ascii="Times New Roman" w:hAnsi="Times New Roman"/>
                <w:sz w:val="24"/>
              </w:rPr>
              <w:t>n</w:t>
            </w:r>
            <w:r>
              <w:rPr>
                <w:rStyle w:val="FormatvorlageInstructionsTabelleText"/>
                <w:rFonts w:ascii="Times New Roman" w:hAnsi="Times New Roman"/>
                <w:sz w:val="24"/>
              </w:rPr>
              <w:t>sielle selskaber" og "Ikkefinansielle selskaber".  NACE-koder anvendes for "Ikkefinansielle selskaber" med et opdelingsniveau (f.eks. "F — Bygge- og anlægsvirksomhed") og for "Andre finansielle selskaber" med to opdeling</w:t>
            </w:r>
            <w:r>
              <w:rPr>
                <w:rStyle w:val="FormatvorlageInstructionsTabelleText"/>
                <w:rFonts w:ascii="Times New Roman" w:hAnsi="Times New Roman"/>
                <w:sz w:val="24"/>
              </w:rPr>
              <w:t>s</w:t>
            </w:r>
            <w:r>
              <w:rPr>
                <w:rStyle w:val="FormatvorlageInstructionsTabelleText"/>
                <w:rFonts w:ascii="Times New Roman" w:hAnsi="Times New Roman"/>
                <w:sz w:val="24"/>
              </w:rPr>
              <w:t xml:space="preserve">niveauer, der giver separate oplysninger om forsikringsaktiviteter (f.eks. "K65 — Forsikring, genforsikring og pensionsforsikring undtagen lovpligtig socialforsikring)".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økonomiske sektorer "Andre finansielle selskaber" og "Ikkefinansielle selskaber" klassificeres på grundlag af </w:t>
            </w:r>
            <w:proofErr w:type="spellStart"/>
            <w:r>
              <w:rPr>
                <w:rStyle w:val="FormatvorlageInstructionsTabelleText"/>
                <w:rFonts w:ascii="Times New Roman" w:hAnsi="Times New Roman"/>
                <w:sz w:val="24"/>
              </w:rPr>
              <w:t>FINREP's</w:t>
            </w:r>
            <w:proofErr w:type="spellEnd"/>
            <w:r>
              <w:rPr>
                <w:rStyle w:val="FormatvorlageInstructionsTabelleText"/>
                <w:rFonts w:ascii="Times New Roman" w:hAnsi="Times New Roman"/>
                <w:sz w:val="24"/>
              </w:rPr>
              <w:t xml:space="preserve"> opdeling af modparter.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grupper af indbyrdes forbundne kunder indberettes ingen NACE-kode.</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Modpartens type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Artikel 394, stk. 2, i CRR.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Modpartens type for de 10 største eksponeringer mod institutter og de 10 største eksponeringer mod uregulerede enheder i den finansielle sektor skal angives med "I" for institutter og "U" for uregulerede enheder i den fina</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sielle sektor.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3998679"/>
      <w:r>
        <w:rPr>
          <w:rFonts w:ascii="Times New Roman" w:hAnsi="Times New Roman"/>
          <w:b/>
          <w:sz w:val="24"/>
          <w:u w:val="none"/>
        </w:rPr>
        <w:t>C 28.00 — Eksponeringer uden for handelsbeholdningen og i handelsbeholdningen (LE2)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3998680"/>
      <w:r>
        <w:rPr>
          <w:rFonts w:ascii="Times New Roman" w:hAnsi="Times New Roman"/>
          <w:sz w:val="24"/>
        </w:rPr>
        <w:t>Instrukser vedrørende specifikke kolonner</w:t>
      </w:r>
      <w:bookmarkEnd w:id="30"/>
      <w:bookmarkEnd w:id="31"/>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der findes en unik kode på nationalt plan for en gruppe af indbyrdes forbundne kunder, skal denne kode indberettes som koden for gruppen af indbyrdes forbundne kunder. Hvis der ikke findes en unik kode på nationalt plan, indberettes koden i C 27.00 for moderselskabet.</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gruppen af indbyrdes forbundne kunder ikke har et moderselskab, skal den indberettede kode være koden for den enhed, der efter instituttets vurd</w:t>
            </w:r>
            <w:r>
              <w:rPr>
                <w:rStyle w:val="FormatvorlageInstructionsTabelleText"/>
                <w:rFonts w:ascii="Times New Roman" w:hAnsi="Times New Roman"/>
                <w:sz w:val="24"/>
              </w:rPr>
              <w:t>e</w:t>
            </w:r>
            <w:r>
              <w:rPr>
                <w:rStyle w:val="FormatvorlageInstructionsTabelleText"/>
                <w:rFonts w:ascii="Times New Roman" w:hAnsi="Times New Roman"/>
                <w:sz w:val="24"/>
              </w:rPr>
              <w:t>ring er den mest betydningsfulde i gruppen af indbyrdes forbundne kunder. I andre tilfælde skal koden svare til den enkelte modpart.</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Koderne skal anvendes konsistent over tid.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Sammensætningen af koden afhænger af det nationale indberetningssystem, medmindre der er fastsat ensartede koder på EU-plan.</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 eller enkelt kunde</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 skal angive "1", hvis indberetningen vedrører eksponeringer mod enkelte kunder, eller "2", hvis indberetningen vedrører eksponeringer mod grupper af indbyrdes forbundne kunder.</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med eksponering mod underliggende aktiver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stk. 7, i CRR.</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overensstemmelse med yderligere tekniske specifikationer udstedt af nat</w:t>
            </w:r>
            <w:r>
              <w:rPr>
                <w:rStyle w:val="FormatvorlageInstructionsTabelleText"/>
                <w:rFonts w:ascii="Times New Roman" w:hAnsi="Times New Roman"/>
                <w:sz w:val="24"/>
              </w:rPr>
              <w:t>i</w:t>
            </w:r>
            <w:r>
              <w:rPr>
                <w:rStyle w:val="FormatvorlageInstructionsTabelleText"/>
                <w:rFonts w:ascii="Times New Roman" w:hAnsi="Times New Roman"/>
                <w:sz w:val="24"/>
              </w:rPr>
              <w:t>onale kompetente myndigheder angives "Ja", hvis instituttet har eksponeri</w:t>
            </w:r>
            <w:r>
              <w:rPr>
                <w:rStyle w:val="FormatvorlageInstructionsTabelleText"/>
                <w:rFonts w:ascii="Times New Roman" w:hAnsi="Times New Roman"/>
                <w:sz w:val="24"/>
              </w:rPr>
              <w:t>n</w:t>
            </w:r>
            <w:r>
              <w:rPr>
                <w:rStyle w:val="FormatvorlageInstructionsTabelleText"/>
                <w:rFonts w:ascii="Times New Roman" w:hAnsi="Times New Roman"/>
                <w:sz w:val="24"/>
              </w:rPr>
              <w:t xml:space="preserve">ger mod den indberettede modpart via en transaktion med eksponering mod underliggende aktiver. Ellers indberettes "Nej".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Oprindelige eksponeringer</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24, 389, 390 og 392 i CRR.</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denne serie af kolonner skal instituttet indberette de oprindelige ekspon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ringer, for så vidt angår direkte og indirekte eksponeringer, samt yderligere eksponeringer, der opstår som følge af transaktioner med eksponering mod underliggende aktiver.</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rPr>
                <w:rStyle w:val="FormatvorlageInstructionsTabelleText"/>
                <w:rFonts w:ascii="Times New Roman" w:hAnsi="Times New Roman"/>
                <w:sz w:val="24"/>
              </w:rPr>
              <w:t>I henhold til artikel 389 i CRR anvendes aktiver og ikkebalanceførte poster uden risikovægte eller risikograder.</w:t>
            </w:r>
            <w:r>
              <w:t xml:space="preserve"> Kreditkonverteringsfaktorer anvendes ikke på ikkebalanceførte poster.  </w:t>
            </w:r>
          </w:p>
          <w:p w:rsidR="00B0191A" w:rsidRPr="0039317F" w:rsidRDefault="00B0191A" w:rsidP="0039317F">
            <w:pPr>
              <w:pStyle w:val="InstructionsText"/>
            </w:pPr>
          </w:p>
          <w:p w:rsidR="00B0191A" w:rsidRPr="0039317F" w:rsidRDefault="00BB3751" w:rsidP="0039317F">
            <w:pPr>
              <w:pStyle w:val="InstructionsText"/>
            </w:pPr>
            <w:r>
              <w:t>Disse kolonner skal indeholde den oprindelige eksponering, dvs. ekspon</w:t>
            </w:r>
            <w:r>
              <w:t>e</w:t>
            </w:r>
            <w:r>
              <w:t>ringsværdien uden hensyntagen til værdijusteringer og hensættelser, som fratrækkes i kolonne 210.</w:t>
            </w:r>
          </w:p>
          <w:p w:rsidR="00B0191A" w:rsidRPr="0039317F" w:rsidRDefault="00B0191A" w:rsidP="0039317F">
            <w:pPr>
              <w:pStyle w:val="InstructionsText"/>
            </w:pPr>
          </w:p>
          <w:p w:rsidR="00B0191A" w:rsidRPr="0039317F" w:rsidRDefault="00C92E09" w:rsidP="0039317F">
            <w:pPr>
              <w:pStyle w:val="InstructionsText"/>
            </w:pPr>
            <w:r>
              <w:rPr>
                <w:rStyle w:val="FormatvorlageInstructionsTabelleText"/>
                <w:rFonts w:ascii="Times New Roman" w:hAnsi="Times New Roman"/>
                <w:sz w:val="24"/>
              </w:rPr>
              <w:t>Definitionen og beregningen af eksponeringsværdien er fastsat i artikel 389 og 390 i CRR.</w:t>
            </w:r>
            <w:r>
              <w:t xml:space="preserve"> </w:t>
            </w:r>
            <w:r>
              <w:rPr>
                <w:rStyle w:val="FormatvorlageInstructionsTabelleText"/>
                <w:rFonts w:ascii="Times New Roman" w:hAnsi="Times New Roman"/>
                <w:sz w:val="24"/>
              </w:rPr>
              <w:t>Værdiansættelsen af aktiver og ikkebalanceførte poster for</w:t>
            </w:r>
            <w:r>
              <w:rPr>
                <w:rStyle w:val="FormatvorlageInstructionsTabelleText"/>
                <w:rFonts w:ascii="Times New Roman" w:hAnsi="Times New Roman"/>
                <w:sz w:val="24"/>
              </w:rPr>
              <w:t>e</w:t>
            </w:r>
            <w:r>
              <w:rPr>
                <w:rStyle w:val="FormatvorlageInstructionsTabelleText"/>
                <w:rFonts w:ascii="Times New Roman" w:hAnsi="Times New Roman"/>
                <w:sz w:val="24"/>
              </w:rPr>
              <w:t>tages i overensstemmelse med de regnskabsregler, som instituttet er omfattet af, jf. artikel 24 i CRR.</w:t>
            </w:r>
          </w:p>
          <w:p w:rsidR="00B0191A" w:rsidRPr="0039317F" w:rsidRDefault="00B0191A" w:rsidP="0039317F">
            <w:pPr>
              <w:pStyle w:val="InstructionsText"/>
            </w:pPr>
          </w:p>
          <w:p w:rsidR="00B0191A" w:rsidRPr="0039317F" w:rsidRDefault="00BB3751" w:rsidP="0039317F">
            <w:pPr>
              <w:pStyle w:val="InstructionsText"/>
            </w:pPr>
            <w:r>
              <w:t>Eksponeringer, der fratrækkes kapitalgrundlaget, som ikke er eksponeringer ifølge artikel 390, stk. 6, litra e), angives i disse kolonner. Disse eksponeri</w:t>
            </w:r>
            <w:r>
              <w:t>n</w:t>
            </w:r>
            <w:r>
              <w:t>ger fratrækkes i kolonne 200.</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De i artikel 390, stk. 6, litra a)-d), i CRR omhandlede eksponeringer angives ikke i disse kolonner.</w:t>
            </w:r>
            <w:r>
              <w:t xml:space="preserve"> </w:t>
            </w:r>
          </w:p>
          <w:p w:rsidR="00B0191A" w:rsidRPr="0039317F" w:rsidRDefault="00B0191A" w:rsidP="0039317F">
            <w:pPr>
              <w:pStyle w:val="InstructionsText"/>
            </w:pPr>
          </w:p>
          <w:p w:rsidR="00B0191A" w:rsidRPr="0039317F" w:rsidRDefault="00BB3751" w:rsidP="0039317F">
            <w:pPr>
              <w:pStyle w:val="InstructionsText"/>
              <w:rPr>
                <w:rFonts w:eastAsia="Arial"/>
              </w:rPr>
            </w:pPr>
            <w:r>
              <w:rPr>
                <w:rStyle w:val="FormatvorlageInstructionsTabelleText"/>
                <w:rFonts w:ascii="Times New Roman" w:hAnsi="Times New Roman"/>
                <w:sz w:val="24"/>
              </w:rPr>
              <w:t>Oprindelige eksponeringer skal omfatte alle aktiver og ikkebalanceførte p</w:t>
            </w:r>
            <w:r>
              <w:rPr>
                <w:rStyle w:val="FormatvorlageInstructionsTabelleText"/>
                <w:rFonts w:ascii="Times New Roman" w:hAnsi="Times New Roman"/>
                <w:sz w:val="24"/>
              </w:rPr>
              <w:t>o</w:t>
            </w:r>
            <w:r>
              <w:rPr>
                <w:rStyle w:val="FormatvorlageInstructionsTabelleText"/>
                <w:rFonts w:ascii="Times New Roman" w:hAnsi="Times New Roman"/>
                <w:sz w:val="24"/>
              </w:rPr>
              <w:t>ster ifølge artikel 400 i CRR.</w:t>
            </w:r>
            <w:r>
              <w:t xml:space="preserve"> </w:t>
            </w:r>
            <w:r>
              <w:rPr>
                <w:rStyle w:val="FormatvorlageInstructionsTabelleText"/>
                <w:rFonts w:ascii="Times New Roman" w:hAnsi="Times New Roman"/>
                <w:sz w:val="24"/>
              </w:rPr>
              <w:t>Undtagelserne fratrækkes med henblik på art</w:t>
            </w:r>
            <w:r>
              <w:rPr>
                <w:rStyle w:val="FormatvorlageInstructionsTabelleText"/>
                <w:rFonts w:ascii="Times New Roman" w:hAnsi="Times New Roman"/>
                <w:sz w:val="24"/>
              </w:rPr>
              <w:t>i</w:t>
            </w:r>
            <w:r>
              <w:rPr>
                <w:rStyle w:val="FormatvorlageInstructionsTabelleText"/>
                <w:rFonts w:ascii="Times New Roman" w:hAnsi="Times New Roman"/>
                <w:sz w:val="24"/>
              </w:rPr>
              <w:t>kel 395, stk. 1, i CRR i kolonne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Eksponeringer uden for handelsbeholdningen og i handelsbeholdningen medtages.</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 xml:space="preserve">Med henblik på opdelingen af eksponeringerne i finansielle instrumenter, hvor forskellige eksponeringer, der følger af </w:t>
            </w:r>
            <w:proofErr w:type="spellStart"/>
            <w:r>
              <w:rPr>
                <w:rStyle w:val="InstructionsTabelleberschrift"/>
                <w:rFonts w:ascii="Times New Roman" w:hAnsi="Times New Roman"/>
                <w:b w:val="0"/>
                <w:sz w:val="24"/>
                <w:u w:val="none"/>
              </w:rPr>
              <w:t>nettingaftaler</w:t>
            </w:r>
            <w:proofErr w:type="spellEnd"/>
            <w:r>
              <w:rPr>
                <w:rStyle w:val="InstructionsTabelleberschrift"/>
                <w:rFonts w:ascii="Times New Roman" w:hAnsi="Times New Roman"/>
                <w:b w:val="0"/>
                <w:sz w:val="24"/>
                <w:u w:val="none"/>
              </w:rPr>
              <w:t xml:space="preserve">, udgør en enkelt eksponering, henføres sidstnævnte til det finansielle instrument, der svarer til hovedaktivet i </w:t>
            </w:r>
            <w:proofErr w:type="spellStart"/>
            <w:r>
              <w:rPr>
                <w:rStyle w:val="InstructionsTabelleberschrift"/>
                <w:rFonts w:ascii="Times New Roman" w:hAnsi="Times New Roman"/>
                <w:b w:val="0"/>
                <w:sz w:val="24"/>
                <w:u w:val="none"/>
              </w:rPr>
              <w:t>nettingaftalen</w:t>
            </w:r>
            <w:proofErr w:type="spellEnd"/>
            <w:r>
              <w:rPr>
                <w:rStyle w:val="InstructionsTabelleberschrift"/>
                <w:rFonts w:ascii="Times New Roman" w:hAnsi="Times New Roman"/>
                <w:b w:val="0"/>
                <w:sz w:val="24"/>
                <w:u w:val="none"/>
              </w:rPr>
              <w:t xml:space="preserve"> (jf. desuden indledningen).</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 eksponering i alt</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t>Instituttet skal indberette summen af direkte eksponeringer og indirekte e</w:t>
            </w:r>
            <w:r>
              <w:t>k</w:t>
            </w:r>
            <w:r>
              <w:t>sponeringer samt yderligere eksponeringer, der opstår som følge af transa</w:t>
            </w:r>
            <w:r>
              <w:t>k</w:t>
            </w:r>
            <w:r>
              <w:t>tioner med eksponering mod underliggende aktiver.</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i CRR.</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t>Instituttet skal indberette den del af den samlede oprindelige eksponering, der svarer til de misligholdte eksponeringer.</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Direkte eksponeringer</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Direkte eksponeringer er eksponeringer med udgangspunkt i den "umidde</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bare låntager".</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BF1C47" w:rsidRDefault="00BB3751" w:rsidP="0039317F">
            <w:pPr>
              <w:pStyle w:val="InstructionsText"/>
              <w:rPr>
                <w:rStyle w:val="InstructionsTabelleberschrift"/>
                <w:rFonts w:ascii="Times New Roman" w:hAnsi="Times New Roman"/>
                <w:sz w:val="24"/>
                <w:lang w:val="nn-NO"/>
              </w:rPr>
            </w:pPr>
            <w:proofErr w:type="spellStart"/>
            <w:r w:rsidRPr="00BF1C47">
              <w:rPr>
                <w:rStyle w:val="InstructionsTabelleberschrift"/>
                <w:rFonts w:ascii="Times New Roman" w:hAnsi="Times New Roman"/>
                <w:sz w:val="24"/>
                <w:lang w:val="nn-NO"/>
              </w:rPr>
              <w:t>Gældsinstrumenter</w:t>
            </w:r>
            <w:proofErr w:type="spellEnd"/>
          </w:p>
          <w:p w:rsidR="00B0191A" w:rsidRPr="00BF1C47" w:rsidRDefault="00B0191A" w:rsidP="0039317F">
            <w:pPr>
              <w:pStyle w:val="InstructionsText"/>
              <w:rPr>
                <w:lang w:val="nn-NO"/>
              </w:rPr>
            </w:pPr>
          </w:p>
          <w:p w:rsidR="00B0191A" w:rsidRPr="00BF1C47" w:rsidRDefault="00193DDC" w:rsidP="0039317F">
            <w:pPr>
              <w:pStyle w:val="InstructionsText"/>
              <w:rPr>
                <w:lang w:val="nn-NO"/>
              </w:rPr>
            </w:pPr>
            <w:r w:rsidRPr="00BF1C47">
              <w:rPr>
                <w:lang w:val="nn-NO"/>
              </w:rPr>
              <w:t xml:space="preserve">Forordning (EU) nr. 1071/2013 ("ECB/2013/33"), </w:t>
            </w:r>
            <w:proofErr w:type="spellStart"/>
            <w:r w:rsidRPr="00BF1C47">
              <w:rPr>
                <w:lang w:val="nn-NO"/>
              </w:rPr>
              <w:t>bilag</w:t>
            </w:r>
            <w:proofErr w:type="spellEnd"/>
            <w:r w:rsidRPr="00BF1C47">
              <w:rPr>
                <w:lang w:val="nn-NO"/>
              </w:rPr>
              <w:t xml:space="preserve"> II, del 2, </w:t>
            </w:r>
            <w:proofErr w:type="spellStart"/>
            <w:r w:rsidRPr="00BF1C47">
              <w:rPr>
                <w:lang w:val="nn-NO"/>
              </w:rPr>
              <w:t>tabel</w:t>
            </w:r>
            <w:proofErr w:type="spellEnd"/>
            <w:r w:rsidRPr="00BF1C47">
              <w:rPr>
                <w:lang w:val="nn-NO"/>
              </w:rPr>
              <w:t>, kat</w:t>
            </w:r>
            <w:r w:rsidRPr="00BF1C47">
              <w:rPr>
                <w:lang w:val="nn-NO"/>
              </w:rPr>
              <w:t>e</w:t>
            </w:r>
            <w:r w:rsidRPr="00BF1C47">
              <w:rPr>
                <w:lang w:val="nn-NO"/>
              </w:rPr>
              <w:t>gori 2 og 3.</w:t>
            </w:r>
          </w:p>
          <w:p w:rsidR="00B0191A" w:rsidRPr="00BF1C47" w:rsidRDefault="00B0191A" w:rsidP="0039317F">
            <w:pPr>
              <w:pStyle w:val="InstructionsText"/>
              <w:rPr>
                <w:lang w:val="nn-NO"/>
              </w:rPr>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Gældsinstrumenter skal omfatte gældsbeviser samt lån og forskud.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Instrumenterne i denne kolonne skal være instrumenter i kategorien "udlån med en oprindelig løbetid på til og med 1 år/over 1 år og til og med 5 år/over 5 år" eller "gældsværdipapirer" i henhold til ECB/2013/33.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t>Genkøbstransaktioner, transaktioner vedrørende ud- eller indlån af værdip</w:t>
            </w:r>
            <w:r>
              <w:t>a</w:t>
            </w:r>
            <w:r>
              <w:t>pirer eller råvarer (værdipapirfinansieringstransaktioner) og margenlån</w:t>
            </w:r>
            <w:r>
              <w:t>e</w:t>
            </w:r>
            <w:r>
              <w:t>transaktioner indberettes i denne kolonne.</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Aktieinstrumenter</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ECB/2013/33, bilag II, del 2, tabel, kategori 4 og 5.</w:t>
            </w:r>
          </w:p>
          <w:p w:rsidR="00B0191A" w:rsidRPr="0039317F" w:rsidRDefault="00B0191A" w:rsidP="0039317F">
            <w:pPr>
              <w:pStyle w:val="InstructionsText"/>
            </w:pPr>
          </w:p>
          <w:p w:rsidR="00B0191A" w:rsidRPr="0039317F" w:rsidRDefault="00BB3751" w:rsidP="0039317F">
            <w:pPr>
              <w:pStyle w:val="InstructionsText"/>
            </w:pPr>
            <w:r>
              <w:t>Instrumenterne i denne kolonne skal være i kategorien "ejerandele" eller "aktier/andele i pengemarkedsforeninger" i henhold til ECB/2013/33.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Derivater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272, stk. 2, i og bilag II til CRR.</w:t>
            </w:r>
          </w:p>
          <w:p w:rsidR="00B0191A" w:rsidRPr="0039317F" w:rsidRDefault="00B0191A" w:rsidP="000F0ADE">
            <w:pPr>
              <w:pStyle w:val="InstructionsText"/>
            </w:pPr>
          </w:p>
          <w:p w:rsidR="00B0191A" w:rsidRPr="0039317F" w:rsidRDefault="009E58B0">
            <w:pPr>
              <w:pStyle w:val="InstructionsText"/>
            </w:pPr>
            <w:r>
              <w:rPr>
                <w:rStyle w:val="FormatvorlageInstructionsTabelleText"/>
                <w:rFonts w:ascii="Times New Roman" w:hAnsi="Times New Roman"/>
                <w:sz w:val="24"/>
              </w:rPr>
              <w:t>De instrumenter, der skal indberettes i denne kolonne, omfatter de derivater, der er anført i bilag II til CRR, og terminsforretninger som defineret i artikel 272, stk. 2, i CRR.</w:t>
            </w:r>
            <w:r>
              <w:t xml:space="preserve"> </w:t>
            </w:r>
          </w:p>
          <w:p w:rsidR="00B0191A" w:rsidRPr="0039317F" w:rsidRDefault="00B0191A">
            <w:pPr>
              <w:pStyle w:val="InstructionsText"/>
            </w:pPr>
          </w:p>
          <w:p w:rsidR="00B0191A" w:rsidRPr="0039317F" w:rsidRDefault="00BB3751">
            <w:pPr>
              <w:pStyle w:val="InstructionsText"/>
            </w:pPr>
            <w:r>
              <w:t>Kreditderivater, der er udsat for modpartsrisiko, indberettes i denne kolonne.</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poster</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Bilag I til CRR.</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Den indberettede værdi skal være den nominelle værdi inden specifikke kr</w:t>
            </w:r>
            <w:r>
              <w:rPr>
                <w:rFonts w:ascii="Times New Roman" w:hAnsi="Times New Roman"/>
                <w:sz w:val="24"/>
              </w:rPr>
              <w:t>e</w:t>
            </w:r>
            <w:r>
              <w:rPr>
                <w:rFonts w:ascii="Times New Roman" w:hAnsi="Times New Roman"/>
                <w:sz w:val="24"/>
              </w:rPr>
              <w:t>ditrisikojusteringer og uden anvendelse af konverteringsfaktorer.</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BF1C47" w:rsidRDefault="00BB3751" w:rsidP="0039317F">
            <w:pPr>
              <w:pStyle w:val="InstructionsText"/>
              <w:rPr>
                <w:rStyle w:val="InstructionsTabelleberschrift"/>
                <w:rFonts w:ascii="Times New Roman" w:hAnsi="Times New Roman"/>
                <w:sz w:val="24"/>
                <w:lang w:val="nn-NO"/>
              </w:rPr>
            </w:pPr>
            <w:proofErr w:type="spellStart"/>
            <w:r w:rsidRPr="00BF1C47">
              <w:rPr>
                <w:rStyle w:val="InstructionsTabelleberschrift"/>
                <w:rFonts w:ascii="Times New Roman" w:hAnsi="Times New Roman"/>
                <w:sz w:val="24"/>
                <w:lang w:val="nn-NO"/>
              </w:rPr>
              <w:t>Lånetilsagn</w:t>
            </w:r>
            <w:proofErr w:type="spellEnd"/>
          </w:p>
          <w:p w:rsidR="00BB3751" w:rsidRPr="00BF1C47" w:rsidRDefault="00BB3751" w:rsidP="0039317F">
            <w:pPr>
              <w:pStyle w:val="InstructionsText"/>
              <w:rPr>
                <w:rStyle w:val="FormatvorlageInstructionsTabelleText"/>
                <w:rFonts w:ascii="Times New Roman" w:hAnsi="Times New Roman"/>
                <w:b/>
                <w:sz w:val="24"/>
                <w:lang w:val="nn-NO"/>
              </w:rPr>
            </w:pPr>
          </w:p>
          <w:p w:rsidR="009A7666" w:rsidRPr="00BF1C47" w:rsidRDefault="00457521" w:rsidP="000F0ADE">
            <w:pPr>
              <w:pStyle w:val="InstructionsText"/>
              <w:rPr>
                <w:rStyle w:val="FormatvorlageInstructionsTabelleText"/>
                <w:rFonts w:ascii="Times New Roman" w:hAnsi="Times New Roman"/>
                <w:sz w:val="24"/>
                <w:lang w:val="nn-NO"/>
              </w:rPr>
            </w:pPr>
            <w:proofErr w:type="spellStart"/>
            <w:r w:rsidRPr="00BF1C47">
              <w:rPr>
                <w:rStyle w:val="FormatvorlageInstructionsTabelleText"/>
                <w:rFonts w:ascii="Times New Roman" w:hAnsi="Times New Roman"/>
                <w:sz w:val="24"/>
                <w:lang w:val="nn-NO"/>
              </w:rPr>
              <w:t>Bilag</w:t>
            </w:r>
            <w:proofErr w:type="spellEnd"/>
            <w:r w:rsidRPr="00BF1C47">
              <w:rPr>
                <w:rStyle w:val="FormatvorlageInstructionsTabelleText"/>
                <w:rFonts w:ascii="Times New Roman" w:hAnsi="Times New Roman"/>
                <w:sz w:val="24"/>
                <w:lang w:val="nn-NO"/>
              </w:rPr>
              <w:t xml:space="preserve"> I, punkt 1, </w:t>
            </w:r>
            <w:proofErr w:type="spellStart"/>
            <w:r w:rsidRPr="00BF1C47">
              <w:rPr>
                <w:rStyle w:val="FormatvorlageInstructionsTabelleText"/>
                <w:rFonts w:ascii="Times New Roman" w:hAnsi="Times New Roman"/>
                <w:sz w:val="24"/>
                <w:lang w:val="nn-NO"/>
              </w:rPr>
              <w:t>litra</w:t>
            </w:r>
            <w:proofErr w:type="spellEnd"/>
            <w:r w:rsidRPr="00BF1C47">
              <w:rPr>
                <w:rStyle w:val="FormatvorlageInstructionsTabelleText"/>
                <w:rFonts w:ascii="Times New Roman" w:hAnsi="Times New Roman"/>
                <w:sz w:val="24"/>
                <w:lang w:val="nn-NO"/>
              </w:rPr>
              <w:t xml:space="preserve"> c) og h), punkt 2, </w:t>
            </w:r>
            <w:proofErr w:type="spellStart"/>
            <w:r w:rsidRPr="00BF1C47">
              <w:rPr>
                <w:rStyle w:val="FormatvorlageInstructionsTabelleText"/>
                <w:rFonts w:ascii="Times New Roman" w:hAnsi="Times New Roman"/>
                <w:sz w:val="24"/>
                <w:lang w:val="nn-NO"/>
              </w:rPr>
              <w:t>litra</w:t>
            </w:r>
            <w:proofErr w:type="spellEnd"/>
            <w:r w:rsidRPr="00BF1C47">
              <w:rPr>
                <w:rStyle w:val="FormatvorlageInstructionsTabelleText"/>
                <w:rFonts w:ascii="Times New Roman" w:hAnsi="Times New Roman"/>
                <w:sz w:val="24"/>
                <w:lang w:val="nn-NO"/>
              </w:rPr>
              <w:t xml:space="preserve"> b), nr. ii), punkt 3, </w:t>
            </w:r>
            <w:proofErr w:type="spellStart"/>
            <w:r w:rsidRPr="00BF1C47">
              <w:rPr>
                <w:rStyle w:val="FormatvorlageInstructionsTabelleText"/>
                <w:rFonts w:ascii="Times New Roman" w:hAnsi="Times New Roman"/>
                <w:sz w:val="24"/>
                <w:lang w:val="nn-NO"/>
              </w:rPr>
              <w:t>litra</w:t>
            </w:r>
            <w:proofErr w:type="spellEnd"/>
            <w:r w:rsidRPr="00BF1C47">
              <w:rPr>
                <w:rStyle w:val="FormatvorlageInstructionsTabelleText"/>
                <w:rFonts w:ascii="Times New Roman" w:hAnsi="Times New Roman"/>
                <w:sz w:val="24"/>
                <w:lang w:val="nn-NO"/>
              </w:rPr>
              <w:t xml:space="preserve"> b), nr. i), og punkt 4, </w:t>
            </w:r>
            <w:proofErr w:type="spellStart"/>
            <w:r w:rsidRPr="00BF1C47">
              <w:rPr>
                <w:rStyle w:val="FormatvorlageInstructionsTabelleText"/>
                <w:rFonts w:ascii="Times New Roman" w:hAnsi="Times New Roman"/>
                <w:sz w:val="24"/>
                <w:lang w:val="nn-NO"/>
              </w:rPr>
              <w:t>litra</w:t>
            </w:r>
            <w:proofErr w:type="spellEnd"/>
            <w:r w:rsidRPr="00BF1C47">
              <w:rPr>
                <w:rStyle w:val="FormatvorlageInstructionsTabelleText"/>
                <w:rFonts w:ascii="Times New Roman" w:hAnsi="Times New Roman"/>
                <w:sz w:val="24"/>
                <w:lang w:val="nn-NO"/>
              </w:rPr>
              <w:t xml:space="preserve"> a), i CRR. </w:t>
            </w:r>
          </w:p>
          <w:p w:rsidR="00B0191A" w:rsidRPr="00BF1C47" w:rsidRDefault="00B0191A">
            <w:pPr>
              <w:pStyle w:val="InstructionsText"/>
              <w:rPr>
                <w:lang w:val="nn-NO"/>
              </w:rPr>
            </w:pPr>
          </w:p>
          <w:p w:rsidR="00B0191A" w:rsidRPr="0039317F" w:rsidRDefault="00BB3751">
            <w:pPr>
              <w:pStyle w:val="InstructionsText"/>
            </w:pPr>
            <w:r>
              <w:t>Lånetilsagn er faste forpligtelser til at yde kredit på forhåndsfastlagte vilkår og betingelser, med undtagelse af derivater, fordi de kan afregnes netto ko</w:t>
            </w:r>
            <w:r>
              <w:t>n</w:t>
            </w:r>
            <w:r>
              <w:t xml:space="preserve">tant ved at levere eller udstede et andet finansielt instrument.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Finansielle garantier</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 I, punkt 1, litra a), b) og f), i CRR.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Finansielle garantier er kontrakter, som kræver, at udsteder betaler bestemte beløb som godtgørelse til indehaveren for et tab, som denne pådrager sig, fordi en bestemt debitor ikke foretager rettidig betaling i henhold til de o</w:t>
            </w:r>
            <w:r>
              <w:rPr>
                <w:rStyle w:val="FormatvorlageInstructionsTabelleText"/>
                <w:rFonts w:ascii="Times New Roman" w:hAnsi="Times New Roman"/>
                <w:sz w:val="24"/>
              </w:rPr>
              <w:t>p</w:t>
            </w:r>
            <w:r>
              <w:rPr>
                <w:rStyle w:val="FormatvorlageInstructionsTabelleText"/>
                <w:rFonts w:ascii="Times New Roman" w:hAnsi="Times New Roman"/>
                <w:sz w:val="24"/>
              </w:rPr>
              <w:t>rindelige eller ændrede vilkår for et gældsinstrument. Kreditderivater, der ikke er anført i kolonnen "derivater", indberettes i denne kolonne.</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forpligtelser</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Andre forpligtelser er punkterne i bilag I til CRR, som ikke er anført i de ti</w:t>
            </w:r>
            <w:r>
              <w:rPr>
                <w:rStyle w:val="FormatvorlageInstructionsTabelleText"/>
                <w:rFonts w:ascii="Times New Roman" w:hAnsi="Times New Roman"/>
                <w:sz w:val="24"/>
              </w:rPr>
              <w:t>d</w:t>
            </w:r>
            <w:r>
              <w:rPr>
                <w:rStyle w:val="FormatvorlageInstructionsTabelleText"/>
                <w:rFonts w:ascii="Times New Roman" w:hAnsi="Times New Roman"/>
                <w:sz w:val="24"/>
              </w:rPr>
              <w:t xml:space="preserve">ligere kategorier. </w:t>
            </w:r>
            <w:r>
              <w:rPr>
                <w:rFonts w:ascii="Times New Roman" w:hAnsi="Times New Roman"/>
                <w:sz w:val="24"/>
              </w:rPr>
              <w:t xml:space="preserve">Eksponeringsværdien af en enkelt retlig forpligtelse, der følger af en aftale om </w:t>
            </w:r>
            <w:proofErr w:type="spellStart"/>
            <w:r>
              <w:rPr>
                <w:rFonts w:ascii="Times New Roman" w:hAnsi="Times New Roman"/>
                <w:sz w:val="24"/>
              </w:rPr>
              <w:t>netting</w:t>
            </w:r>
            <w:proofErr w:type="spellEnd"/>
            <w:r>
              <w:rPr>
                <w:rFonts w:ascii="Times New Roman" w:hAnsi="Times New Roman"/>
                <w:sz w:val="24"/>
              </w:rPr>
              <w:t xml:space="preserve"> på tværs af produkter med det indberettende instituts modpart, indberettes i denne kolonne.</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Indirekte eksponeringer</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rPr>
                <w:rStyle w:val="FormatvorlageInstructionsTabelleText"/>
                <w:rFonts w:ascii="Times New Roman" w:hAnsi="Times New Roman"/>
                <w:sz w:val="24"/>
              </w:rPr>
              <w:t>Artikel 403 i CRR.</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t>I henhold til artikel 403 i CRR kan et kreditinstitut benytte substitutionsm</w:t>
            </w:r>
            <w:r>
              <w:t>e</w:t>
            </w:r>
            <w:r>
              <w:t>toden, hvis tredjemand har stillet sikkerhed for en eksponering mod en ku</w:t>
            </w:r>
            <w:r>
              <w:t>n</w:t>
            </w:r>
            <w:r>
              <w:t>de, eller hvis en sådan eksponering er sikret ved sikkerhedsstillelse udstedt af tredjemand.</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Instituttet skal i denne blok af kolonner indberette størrelsen af de direkte eksponeringer, der tildeles garantistilleren eller udstederen af sikkerhedssti</w:t>
            </w:r>
            <w:r>
              <w:rPr>
                <w:rStyle w:val="InstructionsTabelleberschrift"/>
                <w:rFonts w:ascii="Times New Roman" w:hAnsi="Times New Roman"/>
                <w:b w:val="0"/>
                <w:sz w:val="24"/>
                <w:u w:val="none"/>
              </w:rPr>
              <w:t>l</w:t>
            </w:r>
            <w:r>
              <w:rPr>
                <w:rStyle w:val="InstructionsTabelleberschrift"/>
                <w:rFonts w:ascii="Times New Roman" w:hAnsi="Times New Roman"/>
                <w:b w:val="0"/>
                <w:sz w:val="24"/>
                <w:u w:val="none"/>
              </w:rPr>
              <w:t>lelsen, såfremt sidstnævnte tildeles en tilsvarende eller lavere risikovægt end den risikovægt, der skulle anvendes på tredjemanden i henhold til tredje del, afsnit II, kapitel 2, i CRR. Den beskyttede oprindelige referenceeksponering (direkte eksponering) skal trækkes fra eksponeringen mod den oprindelige låntager i kolonnerne for "Anerkendte kreditrisikoreduktionsteknikker". Den indirekte eksponering skal øge eksponeringen mod garantistilleren eller u</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stederen af sikkerhedsstillelsen via substitutionsvirkningen. Dette gælder o</w:t>
            </w:r>
            <w:r>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så for garantier, der gives inden for en gruppe af indbyrdes forbundne ku</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Instituttet skal indberette den oprindelige størrelse af de indirekte ekspon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ringer i den kolonne, der svarer til den type direkte eksponering, der er g</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ranteret eller sikret ved sikkerhedsstillelse. Når den garanterede direkte 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sponering er et gældsinstrument, skal størrelsen af den "Indirekte ekspon</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ring", der tildeles garantistilleren, f.eks. indberettes i kolonnen "Gældsi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strumenter".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t xml:space="preserve">Eksponeringer, der opstår som følge af </w:t>
            </w:r>
            <w:proofErr w:type="spellStart"/>
            <w:r>
              <w:t>credit</w:t>
            </w:r>
            <w:proofErr w:type="spellEnd"/>
            <w:r>
              <w:t xml:space="preserve"> </w:t>
            </w:r>
            <w:proofErr w:type="spellStart"/>
            <w:r>
              <w:t>linked</w:t>
            </w:r>
            <w:proofErr w:type="spellEnd"/>
            <w:r>
              <w:t xml:space="preserve"> notes, indberettes i de</w:t>
            </w:r>
            <w:r>
              <w:t>n</w:t>
            </w:r>
            <w:r>
              <w:t>ne blok af kolonner i henhold til artikel 399 i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Gældsinstrumenter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Aktieinstrumenter</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kolonne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poster</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Værdien af disse kolonner skal være den nominelle værdi inden specifikke kreditrisikojusteringer og uden anvendelse af konverteringsfaktorer.</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Lånetilsagn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Finansielle garantier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forpligtelser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Yderligere eksponeringer, der opstår som følge af transaktioner med eksponering mod underliggende aktiver</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stk. 7, i CRR.</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Yderligere eksponeringer, der opstår som følge af transaktioner med eksp</w:t>
            </w:r>
            <w:r>
              <w:rPr>
                <w:rStyle w:val="FormatvorlageInstructionsTabelleText"/>
                <w:rFonts w:ascii="Times New Roman" w:hAnsi="Times New Roman"/>
                <w:sz w:val="24"/>
              </w:rPr>
              <w:t>o</w:t>
            </w:r>
            <w:r>
              <w:rPr>
                <w:rStyle w:val="FormatvorlageInstructionsTabelleText"/>
                <w:rFonts w:ascii="Times New Roman" w:hAnsi="Times New Roman"/>
                <w:sz w:val="24"/>
              </w:rPr>
              <w:t>nering mod underliggende aktiver.</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Værdijusteringer og hensættelser</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Artikel 34, 24, 110 og 111 i CRR.</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sz w:val="24"/>
              </w:rPr>
              <w:t>Værdijusteringer og hensættelser anført i de tilsvarende regnskabsregler (d</w:t>
            </w:r>
            <w:r>
              <w:rPr>
                <w:rStyle w:val="FormatvorlageInstructionsTabelleText"/>
                <w:rFonts w:ascii="Times New Roman" w:hAnsi="Times New Roman"/>
                <w:sz w:val="24"/>
              </w:rPr>
              <w:t>i</w:t>
            </w:r>
            <w:r>
              <w:rPr>
                <w:rStyle w:val="FormatvorlageInstructionsTabelleText"/>
                <w:rFonts w:ascii="Times New Roman" w:hAnsi="Times New Roman"/>
                <w:sz w:val="24"/>
              </w:rPr>
              <w:t>rektiv 86/635/EØF eller forordning (EF) nr. 1606/2002), som påvirker væ</w:t>
            </w:r>
            <w:r>
              <w:rPr>
                <w:rStyle w:val="FormatvorlageInstructionsTabelleText"/>
                <w:rFonts w:ascii="Times New Roman" w:hAnsi="Times New Roman"/>
                <w:sz w:val="24"/>
              </w:rPr>
              <w:t>r</w:t>
            </w:r>
            <w:r>
              <w:rPr>
                <w:rStyle w:val="FormatvorlageInstructionsTabelleText"/>
                <w:rFonts w:ascii="Times New Roman" w:hAnsi="Times New Roman"/>
                <w:sz w:val="24"/>
              </w:rPr>
              <w:t>diansættelsen af eksponeringer i henhold til artikel 24 og 110 i CRR.</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Værdijusteringer og hensættelser mod bruttoeksponeringen i kolonne 040 indberettes i denne kolonne.</w:t>
            </w:r>
            <w:r>
              <w:rPr>
                <w:rStyle w:val="FormatvorlageInstructionsTabelleText"/>
                <w:rFonts w:ascii="Times New Roman" w:hAnsi="Times New Roman"/>
                <w:sz w:val="24"/>
              </w:rPr>
              <w:t xml:space="preserve">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Eksponeringer, der fratrækkes kapitalgrundlaget</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t>Artikel 390, stk. 6, litra e), i CRR.</w:t>
            </w:r>
            <w:r>
              <w:rPr>
                <w:rStyle w:val="FormatvorlageInstructionsTabelleText"/>
                <w:rFonts w:ascii="Times New Roman" w:hAnsi="Times New Roman"/>
                <w:sz w:val="24"/>
              </w:rPr>
              <w:t xml:space="preserve">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Eksponeringer, der fratrækkes kapitalgrundlaget, som skal angives i de fo</w:t>
            </w:r>
            <w:r>
              <w:rPr>
                <w:rStyle w:val="FormatvorlageInstructionsTabelleText"/>
                <w:rFonts w:ascii="Times New Roman" w:hAnsi="Times New Roman"/>
                <w:sz w:val="24"/>
              </w:rPr>
              <w:t>r</w:t>
            </w:r>
            <w:r>
              <w:rPr>
                <w:rStyle w:val="FormatvorlageInstructionsTabelleText"/>
                <w:rFonts w:ascii="Times New Roman" w:hAnsi="Times New Roman"/>
                <w:sz w:val="24"/>
              </w:rPr>
              <w:t xml:space="preserve">skellige kolonner for Oprindelig eksponering i alt, indberettes.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Eksponeringsværdi før anvendelse af undtagelser og kreditrisikoredu</w:t>
            </w:r>
            <w:r>
              <w:rPr>
                <w:rStyle w:val="InstructionsTabelleberschrift"/>
                <w:rFonts w:ascii="Times New Roman" w:hAnsi="Times New Roman"/>
                <w:sz w:val="24"/>
              </w:rPr>
              <w:t>k</w:t>
            </w:r>
            <w:r>
              <w:rPr>
                <w:rStyle w:val="InstructionsTabelleberschrift"/>
                <w:rFonts w:ascii="Times New Roman" w:hAnsi="Times New Roman"/>
                <w:sz w:val="24"/>
              </w:rPr>
              <w:t>tion</w:t>
            </w:r>
          </w:p>
          <w:p w:rsidR="00BB3751" w:rsidRPr="00384ADB" w:rsidRDefault="00BB3751" w:rsidP="005149C1">
            <w:pPr>
              <w:pStyle w:val="Default"/>
              <w:rPr>
                <w:rFonts w:ascii="Times New Roman" w:hAnsi="Times New Roman" w:cs="Times New Roman"/>
                <w:b/>
              </w:rPr>
            </w:pPr>
          </w:p>
          <w:p w:rsidR="00BB3751" w:rsidRPr="00BF1C47" w:rsidRDefault="00BB3751" w:rsidP="0039317F">
            <w:pPr>
              <w:pStyle w:val="InstructionsText"/>
              <w:rPr>
                <w:lang w:val="sv-SE"/>
              </w:rPr>
            </w:pPr>
            <w:r w:rsidRPr="00BF1C47">
              <w:rPr>
                <w:rStyle w:val="FormatvorlageInstructionsTabelleText"/>
                <w:rFonts w:ascii="Times New Roman" w:hAnsi="Times New Roman"/>
                <w:sz w:val="24"/>
                <w:lang w:val="sv-SE"/>
              </w:rPr>
              <w:t xml:space="preserve">Artikel 394, </w:t>
            </w:r>
            <w:proofErr w:type="spellStart"/>
            <w:r w:rsidRPr="00BF1C47">
              <w:rPr>
                <w:rStyle w:val="FormatvorlageInstructionsTabelleText"/>
                <w:rFonts w:ascii="Times New Roman" w:hAnsi="Times New Roman"/>
                <w:sz w:val="24"/>
                <w:lang w:val="sv-SE"/>
              </w:rPr>
              <w:t>stk</w:t>
            </w:r>
            <w:proofErr w:type="spellEnd"/>
            <w:r w:rsidRPr="00BF1C47">
              <w:rPr>
                <w:rStyle w:val="FormatvorlageInstructionsTabelleText"/>
                <w:rFonts w:ascii="Times New Roman" w:hAnsi="Times New Roman"/>
                <w:sz w:val="24"/>
                <w:lang w:val="sv-SE"/>
              </w:rPr>
              <w:t xml:space="preserve">. 1, </w:t>
            </w:r>
            <w:proofErr w:type="spellStart"/>
            <w:r w:rsidRPr="00BF1C47">
              <w:rPr>
                <w:rStyle w:val="FormatvorlageInstructionsTabelleText"/>
                <w:rFonts w:ascii="Times New Roman" w:hAnsi="Times New Roman"/>
                <w:sz w:val="24"/>
                <w:lang w:val="sv-SE"/>
              </w:rPr>
              <w:t>litra</w:t>
            </w:r>
            <w:proofErr w:type="spellEnd"/>
            <w:r w:rsidRPr="00BF1C47">
              <w:rPr>
                <w:rStyle w:val="FormatvorlageInstructionsTabelleText"/>
                <w:rFonts w:ascii="Times New Roman" w:hAnsi="Times New Roman"/>
                <w:sz w:val="24"/>
                <w:lang w:val="sv-SE"/>
              </w:rPr>
              <w:t xml:space="preserve"> b), i CRR</w:t>
            </w:r>
            <w:r w:rsidRPr="00BF1C47">
              <w:rPr>
                <w:lang w:val="sv-SE"/>
              </w:rPr>
              <w:t>.</w:t>
            </w:r>
          </w:p>
          <w:p w:rsidR="00BB3751" w:rsidRPr="00BF1C47" w:rsidRDefault="00BB3751" w:rsidP="0039317F">
            <w:pPr>
              <w:pStyle w:val="InstructionsText"/>
              <w:rPr>
                <w:lang w:val="sv-SE"/>
              </w:rPr>
            </w:pPr>
          </w:p>
          <w:p w:rsidR="00BB3751" w:rsidRPr="00384ADB" w:rsidRDefault="008A4511" w:rsidP="0039317F">
            <w:pPr>
              <w:pStyle w:val="InstructionsText"/>
            </w:pPr>
            <w:r>
              <w:t>Institutter skal indberette eksponeringsværdien inden hensyntagen til vir</w:t>
            </w:r>
            <w:r>
              <w:t>k</w:t>
            </w:r>
            <w:r>
              <w:t>ningen af evt. kreditrisikoreduktion.</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 alt</w:t>
            </w:r>
          </w:p>
          <w:p w:rsidR="00BB3751" w:rsidRPr="0039317F" w:rsidRDefault="00BB3751" w:rsidP="0039317F">
            <w:pPr>
              <w:pStyle w:val="InstructionsText"/>
            </w:pPr>
          </w:p>
          <w:p w:rsidR="00BB3751" w:rsidRPr="0039317F" w:rsidRDefault="00BB3751" w:rsidP="0039317F">
            <w:pPr>
              <w:pStyle w:val="InstructionsText"/>
            </w:pPr>
            <w:r>
              <w:t>Den eksponeringsværdi, der indberettes i denne kolonne, skal være det b</w:t>
            </w:r>
            <w:r>
              <w:t>e</w:t>
            </w:r>
            <w:r>
              <w:t>løb, der bruges til at bestemme, om en eksponering er en stor eksponering i henhold til definitionen i artikel 392 i CRR.</w:t>
            </w:r>
          </w:p>
          <w:p w:rsidR="00B0191A" w:rsidRPr="0039317F" w:rsidRDefault="00B0191A" w:rsidP="000F0ADE">
            <w:pPr>
              <w:pStyle w:val="InstructionsText"/>
            </w:pPr>
          </w:p>
          <w:p w:rsidR="00B0191A" w:rsidRPr="0039317F" w:rsidRDefault="00BB3751">
            <w:pPr>
              <w:pStyle w:val="InstructionsText"/>
            </w:pPr>
            <w:r>
              <w:t>Dette omfatter den oprindelige eksponering efter fratrækning af værdijust</w:t>
            </w:r>
            <w:r>
              <w:t>e</w:t>
            </w:r>
            <w:r>
              <w:t>ringer og hensættelser og størrelsen af eksponeringer fratrukket kapita</w:t>
            </w:r>
            <w:r>
              <w:t>l</w:t>
            </w:r>
            <w:r>
              <w:t>grundlaget.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Uden for handelsbeholdningen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Beløbet uden for handelsbehandlingen af den samlede eksponering inden undtagelser og kreditrisikoreduktion.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af det justerede kapitalgrundlag</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71), litra b), og artikel 395 i CRR.</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 indberettede beløb skal være andelen af eksponeringsværdien før a</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vendelse af undtagelser og kreditrisikoreduktion i forhold til instituttets j</w:t>
            </w:r>
            <w:r>
              <w:rPr>
                <w:rStyle w:val="InstructionsTabelleberschrift"/>
                <w:rFonts w:ascii="Times New Roman" w:hAnsi="Times New Roman"/>
                <w:b w:val="0"/>
                <w:sz w:val="24"/>
                <w:u w:val="none"/>
              </w:rPr>
              <w:t>u</w:t>
            </w:r>
            <w:r>
              <w:rPr>
                <w:rStyle w:val="InstructionsTabelleberschrift"/>
                <w:rFonts w:ascii="Times New Roman" w:hAnsi="Times New Roman"/>
                <w:b w:val="0"/>
                <w:sz w:val="24"/>
                <w:u w:val="none"/>
              </w:rPr>
              <w:t>sterede kapitalgrundlag som defineret i artikel 4, stk. 1, nr. 71), litra b), i CRR.</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Anerkendte kreditrisikoreduktionsteknikker</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399 og artikel 401-403 i CRR.</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Kreditrisikoreduktionsteknikker som defineret i artikel 4, stk. 1, nr. 57), i CRR.</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Med henblik på denne indberetning anvendes de kreditrisikoreduktionste</w:t>
            </w:r>
            <w:r>
              <w:rPr>
                <w:rStyle w:val="FormatvorlageInstructionsTabelleText"/>
                <w:rFonts w:ascii="Times New Roman" w:hAnsi="Times New Roman"/>
                <w:sz w:val="24"/>
              </w:rPr>
              <w:t>k</w:t>
            </w:r>
            <w:r>
              <w:rPr>
                <w:rStyle w:val="FormatvorlageInstructionsTabelleText"/>
                <w:rFonts w:ascii="Times New Roman" w:hAnsi="Times New Roman"/>
                <w:sz w:val="24"/>
              </w:rPr>
              <w:t>nikker, der er anerkendt i tredje del, afsnit II, kapitel 3 og 4, i CRR i ove</w:t>
            </w:r>
            <w:r>
              <w:rPr>
                <w:rStyle w:val="FormatvorlageInstructionsTabelleText"/>
                <w:rFonts w:ascii="Times New Roman" w:hAnsi="Times New Roman"/>
                <w:sz w:val="24"/>
              </w:rPr>
              <w:t>r</w:t>
            </w:r>
            <w:r>
              <w:rPr>
                <w:rStyle w:val="FormatvorlageInstructionsTabelleText"/>
                <w:rFonts w:ascii="Times New Roman" w:hAnsi="Times New Roman"/>
                <w:sz w:val="24"/>
              </w:rPr>
              <w:t>ensstemmelse med artikel 401-403 i CRR.</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Kreditrisikoreduktionsteknikker kan have tre forskellige virkninger i LE-systemet: substitutionsvirkning; finansieret kreditrisikoafdækning med fr</w:t>
            </w: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drag af substitutionsvirkningen og beregninger i forbindelse med fast eje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dom.</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Substitutionsvirkning af anerkendte kreditrisikoreduktionsteknikker</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t>Artikel 403 i CRR.</w:t>
            </w:r>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t>Størrelsen af finansieret og ikkefinansieret kreditafdækning, som skal indb</w:t>
            </w:r>
            <w:r>
              <w:t>e</w:t>
            </w:r>
            <w:r>
              <w:t>rettes i disse kolonner, skal svare til de eksponeringer, der er garanteret af tredjemand eller sikret ved sikkerhedsstillelse udstedt af tredjemand, hvis i</w:t>
            </w:r>
            <w:r>
              <w:t>n</w:t>
            </w:r>
            <w:r>
              <w:t>stituttet beslutter at betragte eksponeringen som opstået hos garantistilleren eller udstederen af sikkerhedsstillelse.</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Gældsinstrumenter</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Aktieinstrumenter</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kolonne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Derivater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Ikkebalanceførte poster</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Værdien af disse kolonner angives uden anvendelse af konverteringsfakt</w:t>
            </w:r>
            <w:r>
              <w:rPr>
                <w:rFonts w:ascii="Times New Roman" w:hAnsi="Times New Roman"/>
                <w:sz w:val="24"/>
              </w:rPr>
              <w:t>o</w:t>
            </w:r>
            <w:r>
              <w:rPr>
                <w:rFonts w:ascii="Times New Roman" w:hAnsi="Times New Roman"/>
                <w:sz w:val="24"/>
              </w:rPr>
              <w:t>rer.</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Lånetilsagn</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Finansielle garantier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Andre forpligtelser</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Finansieret kreditrisikoafdækning med fradrag af substitutionsvir</w:t>
            </w:r>
            <w:r>
              <w:rPr>
                <w:rStyle w:val="InstructionsTabelleberschrift"/>
                <w:rFonts w:ascii="Times New Roman" w:hAnsi="Times New Roman"/>
                <w:sz w:val="24"/>
              </w:rPr>
              <w:t>k</w:t>
            </w:r>
            <w:r>
              <w:rPr>
                <w:rStyle w:val="InstructionsTabelleberschrift"/>
                <w:rFonts w:ascii="Times New Roman" w:hAnsi="Times New Roman"/>
                <w:sz w:val="24"/>
              </w:rPr>
              <w:t>ningen</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t>Artikel 401 i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t>Instituttet skal indberette størrelsen af finansieret kreditrisikoafdækning som defineret i artikel 4, stk. 1, nr. 58), i CRR, som fratrækkes eksponeringsvæ</w:t>
            </w:r>
            <w:r>
              <w:t>r</w:t>
            </w:r>
            <w:r>
              <w:t>dien som følge af anvendelsen af artikel 401 i CRR.</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Fast ejendom</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t>Artikel 402 i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t>Instituttet skal indberette de beløb, der er fratrukket eksponeringsværdien som følge af anvendelsen af artikel 402 i CRR.</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Undtagne beløb</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400 i CRR.</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Instituttet skal indberette de beløb, der er undtaget fra LE-ordningen.</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Eksponeringsværdi efter anvendelse af undtagelser og kreditrisikor</w:t>
            </w:r>
            <w:r>
              <w:rPr>
                <w:rStyle w:val="InstructionsTabelleberschrift"/>
                <w:rFonts w:ascii="Times New Roman" w:hAnsi="Times New Roman"/>
                <w:sz w:val="24"/>
              </w:rPr>
              <w:t>e</w:t>
            </w:r>
            <w:r>
              <w:rPr>
                <w:rStyle w:val="InstructionsTabelleberschrift"/>
                <w:rFonts w:ascii="Times New Roman" w:hAnsi="Times New Roman"/>
                <w:sz w:val="24"/>
              </w:rPr>
              <w:t>duktion</w:t>
            </w:r>
          </w:p>
          <w:p w:rsidR="00BB3751" w:rsidRPr="0039317F" w:rsidRDefault="00BB3751" w:rsidP="0039317F">
            <w:pPr>
              <w:pStyle w:val="InstructionsText"/>
            </w:pPr>
          </w:p>
          <w:p w:rsidR="00BB3751" w:rsidRPr="00BF1C47" w:rsidRDefault="00BB3751" w:rsidP="0039317F">
            <w:pPr>
              <w:pStyle w:val="InstructionsText"/>
              <w:rPr>
                <w:lang w:val="sv-SE"/>
              </w:rPr>
            </w:pPr>
            <w:r w:rsidRPr="00BF1C47">
              <w:rPr>
                <w:lang w:val="sv-SE"/>
              </w:rPr>
              <w:t xml:space="preserve">Artikel 394, </w:t>
            </w:r>
            <w:proofErr w:type="spellStart"/>
            <w:r w:rsidRPr="00BF1C47">
              <w:rPr>
                <w:lang w:val="sv-SE"/>
              </w:rPr>
              <w:t>stk</w:t>
            </w:r>
            <w:proofErr w:type="spellEnd"/>
            <w:r w:rsidRPr="00BF1C47">
              <w:rPr>
                <w:lang w:val="sv-SE"/>
              </w:rPr>
              <w:t xml:space="preserve">. 1, </w:t>
            </w:r>
            <w:proofErr w:type="spellStart"/>
            <w:r w:rsidRPr="00BF1C47">
              <w:rPr>
                <w:lang w:val="sv-SE"/>
              </w:rPr>
              <w:t>litra</w:t>
            </w:r>
            <w:proofErr w:type="spellEnd"/>
            <w:r w:rsidRPr="00BF1C47">
              <w:rPr>
                <w:lang w:val="sv-SE"/>
              </w:rPr>
              <w:t xml:space="preserve"> d), i CRR.</w:t>
            </w:r>
          </w:p>
          <w:p w:rsidR="00B0191A" w:rsidRPr="00BF1C47" w:rsidRDefault="00B0191A" w:rsidP="000F0ADE">
            <w:pPr>
              <w:pStyle w:val="InstructionsText"/>
              <w:rPr>
                <w:lang w:val="sv-SE"/>
              </w:rPr>
            </w:pPr>
          </w:p>
          <w:p w:rsidR="00B0191A" w:rsidRPr="0039317F" w:rsidRDefault="0054768B">
            <w:pPr>
              <w:pStyle w:val="InstructionsText"/>
            </w:pPr>
            <w:r>
              <w:t>Instituttet skal indberette eksponeringsværdien efter anvendelse af undtage</w:t>
            </w:r>
            <w:r>
              <w:t>l</w:t>
            </w:r>
            <w:r>
              <w:t>ser og efter hensyntagen til virkningen af kreditrisikoreduktion beregnet med henblik på artikel 395, stk. 1, i CRR.</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I alt</w:t>
            </w:r>
          </w:p>
          <w:p w:rsidR="00BB3751" w:rsidRPr="00384ADB" w:rsidRDefault="00BB3751" w:rsidP="0039317F">
            <w:pPr>
              <w:pStyle w:val="InstructionsText"/>
            </w:pPr>
          </w:p>
          <w:p w:rsidR="00BB3751" w:rsidRPr="0039317F" w:rsidRDefault="00BB3751" w:rsidP="000F0ADE">
            <w:pPr>
              <w:pStyle w:val="InstructionsText"/>
            </w:pPr>
            <w:r>
              <w:t>I denne kolonne angives det beløb, der skal tages hensyn til, for at overholde grænsen for store eksponeringer i artikel 395 i CRR.</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Uden for handelsbeholdningen</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 skal indberette den samlede eksponeringsværdi efter anvendelse af undtagelser og efter hensyntagen til virkningen af kreditrisikoreduktion, som er uden for handelsbeholdningen.</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af det justerede kapitalgrundlag</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Instituttet skal indberette andelen af eksponeringsværdien efter anvendelse af undtagelser og kreditrisikoreduktion i forhold til instituttets justerede k</w:t>
            </w:r>
            <w:r>
              <w:rPr>
                <w:rStyle w:val="FormatvorlageInstructionsTabelleText"/>
                <w:rFonts w:ascii="Times New Roman" w:hAnsi="Times New Roman"/>
                <w:sz w:val="24"/>
              </w:rPr>
              <w:t>a</w:t>
            </w:r>
            <w:r>
              <w:rPr>
                <w:rStyle w:val="FormatvorlageInstructionsTabelleText"/>
                <w:rFonts w:ascii="Times New Roman" w:hAnsi="Times New Roman"/>
                <w:sz w:val="24"/>
              </w:rPr>
              <w:t>pitalgrundlag som defineret i artikel 4, stk. 1, nr. 71), litra b), i CRR.</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3998681"/>
      <w:r>
        <w:rPr>
          <w:rFonts w:ascii="Times New Roman" w:hAnsi="Times New Roman"/>
          <w:b/>
          <w:sz w:val="24"/>
          <w:u w:val="none"/>
        </w:rPr>
        <w:t>C 29.00 — Detaljer om eksponeringer mod enkelte kunder inden for grupper af in</w:t>
      </w:r>
      <w:r>
        <w:rPr>
          <w:rFonts w:ascii="Times New Roman" w:hAnsi="Times New Roman"/>
          <w:b/>
          <w:sz w:val="24"/>
          <w:u w:val="none"/>
        </w:rPr>
        <w:t>d</w:t>
      </w:r>
      <w:r>
        <w:rPr>
          <w:rFonts w:ascii="Times New Roman" w:hAnsi="Times New Roman"/>
          <w:b/>
          <w:sz w:val="24"/>
          <w:u w:val="none"/>
        </w:rPr>
        <w:t>byrdes forbundne kunder (LE3)</w:t>
      </w:r>
      <w:bookmarkEnd w:id="34"/>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3998682"/>
      <w:r>
        <w:rPr>
          <w:rFonts w:ascii="Times New Roman" w:hAnsi="Times New Roman"/>
          <w:sz w:val="24"/>
        </w:rPr>
        <w:t>Instrukser vedrørende specifikke kolonner</w:t>
      </w:r>
      <w:bookmarkEnd w:id="37"/>
      <w:bookmarkEnd w:id="38"/>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Instituttet skal bruge LE3-skemaet til at indberette data vedrørende ekspon</w:t>
            </w:r>
            <w:r>
              <w:t>e</w:t>
            </w:r>
            <w:r>
              <w:t>ringer mod enkelte kunder, der tilhører grupper af indbyrdes forbundne ku</w:t>
            </w:r>
            <w:r>
              <w:t>n</w:t>
            </w:r>
            <w:r>
              <w:t xml:space="preserve">der, som indberettes i LE2-skemaet.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Kolonne 010 og 020 er en sammensat id-kode for rækken og skal være unik for hver enkelt række i skemaet.</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Koden for den enkelte modpart, der tilhører grupper af indbyrdes forbundne kunder, indberettes.</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Gruppekode</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Kolonne 010 og 020 er en sammensat id-kode for rækken og skal være unik for hver enkelt række i skemaet.</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der findes en unik kode på nationalt plan for en gruppe af indbyrdes forbundne kunder, skal denne kode indberettes. Hvis der ikke findes en unik kode på nationalt plan, indberettes den kode i C 28.00 (LE2), der anvendes ved indberetning af eksponeringer for gruppen af indbyrdes forbundne ku</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der.</w:t>
            </w:r>
          </w:p>
          <w:p w:rsidR="00B0191A" w:rsidRPr="00384ADB" w:rsidRDefault="00D46F08">
            <w:pPr>
              <w:pStyle w:val="InstructionsText"/>
              <w:rPr>
                <w:rStyle w:val="InstructionsTabelleberschrift"/>
                <w:rFonts w:ascii="Times New Roman" w:hAnsi="Times New Roman"/>
                <w:b w:val="0"/>
                <w:sz w:val="24"/>
                <w:u w:val="none"/>
              </w:rPr>
            </w:pPr>
            <w:r>
              <w:t>Hvis en kunde tilhører flere grupper af indbyrdes forbundne kunder, indb</w:t>
            </w:r>
            <w:r>
              <w:t>e</w:t>
            </w:r>
            <w:r>
              <w:t>rettes denne som medlem af alle grupperne af indbyrdes forbundne kunder.</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med eksponering mod underliggende aktiver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030 i LE2-skemaet.</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af forbindelse</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Typen af forbindelse mellem den enkelte enhed og gruppen af indbyrdes forbundne kunder angives ved hjælp af enten:</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som omhandlet i artikel 4, stk. 1, nr. 39), litra a), i CRR (kontrol), eller </w:t>
            </w:r>
            <w:proofErr w:type="spellStart"/>
            <w:r>
              <w:rPr>
                <w:rStyle w:val="FormatvorlageInstructionsTabelleText"/>
                <w:rFonts w:ascii="Times New Roman" w:hAnsi="Times New Roman"/>
                <w:sz w:val="24"/>
              </w:rPr>
              <w:t>eller</w:t>
            </w:r>
            <w:proofErr w:type="spellEnd"/>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som omhandlet i artikel 4, stk. 1, nr. 39), litra b), i CRR (indbyrdes fo</w:t>
            </w:r>
            <w:r>
              <w:rPr>
                <w:rStyle w:val="FormatvorlageInstructionsTabelleText"/>
                <w:rFonts w:ascii="Times New Roman" w:hAnsi="Times New Roman"/>
                <w:sz w:val="24"/>
              </w:rPr>
              <w:t>r</w:t>
            </w:r>
            <w:r>
              <w:rPr>
                <w:rStyle w:val="FormatvorlageInstructionsTabelleText"/>
                <w:rFonts w:ascii="Times New Roman" w:hAnsi="Times New Roman"/>
                <w:sz w:val="24"/>
              </w:rPr>
              <w:t>bindelse).</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Når finansielle instrumenter i LE2-skemaet leveres til hele gruppen af in</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byrdes forbundne kunder, henføres de til de enkelte modparter i LE3-skemaet i overensstemmelse med instituttets forretningskriterier.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øvrige instrukser er de samme som for LE2-skemaet.</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3998683"/>
      <w:bookmarkEnd w:id="0"/>
      <w:bookmarkEnd w:id="1"/>
      <w:r>
        <w:rPr>
          <w:rFonts w:ascii="Times New Roman" w:hAnsi="Times New Roman"/>
          <w:b/>
          <w:sz w:val="24"/>
          <w:u w:val="none"/>
        </w:rPr>
        <w:t>C 30.00 — Løbetidskurve for de 10 største eksponeringer mod institutter og de 10 største eksponeringer mod uregulerede enheder i den finansielle sektor (LE4)</w:t>
      </w:r>
      <w:bookmarkEnd w:id="42"/>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3998684"/>
      <w:r>
        <w:rPr>
          <w:rFonts w:ascii="Times New Roman" w:hAnsi="Times New Roman"/>
          <w:sz w:val="24"/>
        </w:rPr>
        <w:t>Instrukser vedrørende specifikke kolonner</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er en id-kode for rækken og skal være unik for hver enkelt række i tabellen.</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010 i LE1-skemaet.</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Løbetidskurve for eksponeringen</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t>Artikel 394, stk. 2, litra e), i CRR.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Instituttet skal indberette disse oplysninger for de 10 største eksponeringer mod institutter og de 10 største eksponeringer mod uregulerede enheder i den finansielle sektor.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Løbetidskurvene defineres med et månedligt interval op til et år, med et kvartalsvist interval fra et år op til tre år og med større intervaller fra og med tre år.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Hver eksponeringsværdi før anvendelse af undtagelser og kreditrisikoredu</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tion (kolonne 210 i LE2-skemaet) indberettes med hele det udestående beløb i den respektive løbetidskurv for dens forventede restløbetid. Hvis der er tale om flere særskilte forhold, der udgør en eksponering over for en kunde, in</w:t>
            </w:r>
            <w:r>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berettes hver af disse dele af eksponeringen med hele det udestående beløb i den respektive løbetidskurv for deres forventede restløbetid.  Instrumenter, der ikke har en fast løbetid, f.eks. aktier, angives i kolonnen "udefineret l</w:t>
            </w:r>
            <w:r>
              <w:rPr>
                <w:rStyle w:val="InstructionsTabelleberschrift"/>
                <w:rFonts w:ascii="Times New Roman" w:hAnsi="Times New Roman"/>
                <w:b w:val="0"/>
                <w:sz w:val="24"/>
                <w:u w:val="none"/>
              </w:rPr>
              <w:t>ø</w:t>
            </w:r>
            <w:r>
              <w:rPr>
                <w:rStyle w:val="InstructionsTabelleberschrift"/>
                <w:rFonts w:ascii="Times New Roman" w:hAnsi="Times New Roman"/>
                <w:b w:val="0"/>
                <w:sz w:val="24"/>
                <w:u w:val="none"/>
              </w:rPr>
              <w:t>betid".</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forventede løbetid for eksponeringen indberettes for både direkte og i</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direkte eksponeringer.</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Når de forventede beløb for gældsinstrumenter og derivater henføres til dette skemas forskellige løbetidskurve, anvendes instrukserne vedrørende løb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tidsskemaet til yderligere måling af likviditet i forbindelse med direkte e</w:t>
            </w:r>
            <w:r>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sponeringer (se bilag XXIII til nærværende forordning).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tilfælde af ikkebalanceførte poster anvendes løbetiden for den underligge</w:t>
            </w:r>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de risiko ved fordelingen af de forventede beløb mellem løbetidskurve. For "forward </w:t>
            </w:r>
            <w:proofErr w:type="spellStart"/>
            <w:r>
              <w:rPr>
                <w:rStyle w:val="InstructionsTabelleberschrift"/>
                <w:rFonts w:ascii="Times New Roman" w:hAnsi="Times New Roman"/>
                <w:b w:val="0"/>
                <w:sz w:val="24"/>
                <w:u w:val="none"/>
              </w:rPr>
              <w:t>deposits</w:t>
            </w:r>
            <w:proofErr w:type="spellEnd"/>
            <w:r>
              <w:rPr>
                <w:rStyle w:val="InstructionsTabelleberschrift"/>
                <w:rFonts w:ascii="Times New Roman" w:hAnsi="Times New Roman"/>
                <w:b w:val="0"/>
                <w:sz w:val="24"/>
                <w:u w:val="none"/>
              </w:rPr>
              <w:t>" betyder det specifikt løbetidsstrukturen for indskuddet, for finansielle garantier betyder det løbetidsstrukturen for det underliggende finansielle aktiv, for ikkeudnyttede lånefaciliteter betyder det lånets løb</w:t>
            </w:r>
            <w:r>
              <w:rPr>
                <w:rStyle w:val="InstructionsTabelleberschrift"/>
                <w:rFonts w:ascii="Times New Roman" w:hAnsi="Times New Roman"/>
                <w:b w:val="0"/>
                <w:sz w:val="24"/>
                <w:u w:val="none"/>
              </w:rPr>
              <w:t>e</w:t>
            </w:r>
            <w:r>
              <w:rPr>
                <w:rStyle w:val="InstructionsTabelleberschrift"/>
                <w:rFonts w:ascii="Times New Roman" w:hAnsi="Times New Roman"/>
                <w:b w:val="0"/>
                <w:sz w:val="24"/>
                <w:u w:val="none"/>
              </w:rPr>
              <w:t>tidsstruktur, og for andre forpligtelser betyder det løbetidsstrukturen for fo</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pligtelsen.</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tilfælde af indirekte eksponeringer baseres fordelingen mellem løbetid</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kurve på løbetiden for de garanterede operationer, der genererer den direkte eksponering.</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eksponering eller en del af en eksponering skal anses for at være misligholdt, og indberettes som sådan i skema C 28.00 (LE 2, kolonne 050) og C 29.00 (LE 3, kolonne 060), skal den forventede afvikling af den mi</w:t>
            </w:r>
            <w:r>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ligholdte eksponering henføres til de respektive løbetidskurve på følgende måde:</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Når den indberettende enhed, på trods af misligholdelsen, har et klart overblik over forventede tilbagebetalinger af eksponeringen, skal den henføre dem til de respektive løbetidskurve i overensstemmelse he</w:t>
            </w:r>
            <w:r>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med.</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Når den indberettende enhed ikke har en klar tidsplan over, hvornår misligholdte beløb betales tilbage (hvis nogensinde), skal den angive dem i kategorien "udefineret løbetid".</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3998685"/>
      <w:r>
        <w:rPr>
          <w:rFonts w:ascii="Times New Roman" w:hAnsi="Times New Roman"/>
          <w:b/>
          <w:sz w:val="24"/>
          <w:u w:val="none"/>
        </w:rPr>
        <w:t>C 31.00 — Løbetidskurve for de 10 største eksponeringer mod institutter og de 10 største eksponeringer mod uregulerede enheder i den finansielle sektor: detaljer om eksponeringer mod enkelte kunder inden for grupper af indbyrdes forbundne ku</w:t>
      </w:r>
      <w:r>
        <w:rPr>
          <w:rFonts w:ascii="Times New Roman" w:hAnsi="Times New Roman"/>
          <w:b/>
          <w:sz w:val="24"/>
          <w:u w:val="none"/>
        </w:rPr>
        <w:t>n</w:t>
      </w:r>
      <w:r>
        <w:rPr>
          <w:rFonts w:ascii="Times New Roman" w:hAnsi="Times New Roman"/>
          <w:b/>
          <w:sz w:val="24"/>
          <w:u w:val="none"/>
        </w:rPr>
        <w:t>der (LE5)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3998686"/>
      <w:r>
        <w:rPr>
          <w:rFonts w:ascii="Times New Roman" w:hAnsi="Times New Roman"/>
          <w:sz w:val="24"/>
        </w:rPr>
        <w:t>Instrukser vedrørende specifikke kolonner</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Instituttet skal bruge LE5-skemaet til at indberette data vedrørende ekspon</w:t>
            </w:r>
            <w:r>
              <w:t>e</w:t>
            </w:r>
            <w:r>
              <w:t>ringer mod enkelte modparter, der tilhører grupper af indbyrdes forbundne kunder, som indberettes i LE4-skemaet.</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Kolonne 010 og 020 er en sammensat id-kode for rækken og skal være unik for hver enkelt række i skemaet.</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kolonne 010 i LE3-skemaet.</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Gruppekode</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Kolonne 010 og 020 er en sammensat id-kode for rækken og skal være unik for hver enkelt række i skemaet.</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kolonne 020 i LE3-skemaet.</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Løbetidskurve for eksponeringerne</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kolonne 020-250 i LE4-skemaet.</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3D3140" w:rsidP="0078562D">
      <w:pPr>
        <w:spacing w:after="0"/>
        <w:rPr>
          <w:rFonts w:ascii="Times New Roman" w:hAnsi="Times New Roman"/>
          <w:sz w:val="24"/>
        </w:rPr>
      </w:pP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40" w:rsidRDefault="005A2E40" w:rsidP="00D946DB">
      <w:pPr>
        <w:spacing w:before="0" w:after="0"/>
      </w:pPr>
      <w:r>
        <w:separator/>
      </w:r>
    </w:p>
  </w:endnote>
  <w:endnote w:type="continuationSeparator" w:id="0">
    <w:p w:rsidR="005A2E40" w:rsidRDefault="005A2E4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976263">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EF2897">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381DCB">
      <w:rPr>
        <w:rFonts w:ascii="Times New Roman" w:hAnsi="Times New Roman"/>
        <w:noProof/>
      </w:rPr>
      <w:t>19</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40" w:rsidRDefault="005A2E40" w:rsidP="00D946DB">
      <w:pPr>
        <w:spacing w:before="0" w:after="0"/>
      </w:pPr>
      <w:r>
        <w:separator/>
      </w:r>
    </w:p>
  </w:footnote>
  <w:footnote w:type="continuationSeparator" w:id="0">
    <w:p w:rsidR="005A2E40" w:rsidRDefault="005A2E4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B43E4786"/>
    <w:lvl w:ilvl="0" w:tplc="236EA62C">
      <w:start w:val="1"/>
      <w:numFmt w:val="decimal"/>
      <w:pStyle w:val="InstructionsText2"/>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1DCB"/>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46EA"/>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6263"/>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177A3"/>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1C47"/>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651E"/>
    <w:rsid w:val="00EE6B9E"/>
    <w:rsid w:val="00EF0BD5"/>
    <w:rsid w:val="00EF0DA4"/>
    <w:rsid w:val="00EF13C2"/>
    <w:rsid w:val="00EF253C"/>
    <w:rsid w:val="00EF2897"/>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a-DK" w:eastAsia="da-DK" w:bidi="da-D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a-DK"/>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a-D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a-D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a-DK"/>
    </w:rPr>
  </w:style>
  <w:style w:type="character" w:customStyle="1" w:styleId="Heading3Char1">
    <w:name w:val="Heading 3 Char1"/>
    <w:link w:val="Heading3"/>
    <w:uiPriority w:val="99"/>
    <w:rsid w:val="001E5A75"/>
    <w:rPr>
      <w:rFonts w:ascii="Arial" w:hAnsi="Arial"/>
      <w:b/>
      <w:szCs w:val="20"/>
      <w:lang w:eastAsia="da-DK"/>
    </w:rPr>
  </w:style>
  <w:style w:type="character" w:customStyle="1" w:styleId="Heading4Char">
    <w:name w:val="Heading 4 Char"/>
    <w:link w:val="Heading4"/>
    <w:uiPriority w:val="99"/>
    <w:rsid w:val="00DE0962"/>
    <w:rPr>
      <w:rFonts w:ascii="Verdana" w:eastAsia="Times New Roman" w:hAnsi="Verdana"/>
      <w:b/>
      <w:szCs w:val="24"/>
      <w:u w:val="single"/>
      <w:lang w:eastAsia="da-DK"/>
    </w:rPr>
  </w:style>
  <w:style w:type="character" w:customStyle="1" w:styleId="Heading5Char">
    <w:name w:val="Heading 5 Char"/>
    <w:link w:val="Heading5"/>
    <w:uiPriority w:val="1"/>
    <w:rsid w:val="001E5A75"/>
    <w:rPr>
      <w:rFonts w:ascii="Arial" w:hAnsi="Arial"/>
      <w:b/>
      <w:i/>
      <w:szCs w:val="20"/>
      <w:lang w:eastAsia="da-DK"/>
    </w:rPr>
  </w:style>
  <w:style w:type="character" w:customStyle="1" w:styleId="Heading6Char">
    <w:name w:val="Heading 6 Char"/>
    <w:link w:val="Heading6"/>
    <w:semiHidden/>
    <w:rsid w:val="001E5A75"/>
    <w:rPr>
      <w:rFonts w:ascii="Times New Roman" w:hAnsi="Times New Roman"/>
      <w:b/>
      <w:bCs/>
      <w:lang w:eastAsia="da-DK"/>
    </w:rPr>
  </w:style>
  <w:style w:type="character" w:customStyle="1" w:styleId="Heading7Char">
    <w:name w:val="Heading 7 Char"/>
    <w:link w:val="Heading7"/>
    <w:semiHidden/>
    <w:rsid w:val="001E5A75"/>
    <w:rPr>
      <w:rFonts w:ascii="Times New Roman" w:hAnsi="Times New Roman"/>
      <w:sz w:val="24"/>
      <w:szCs w:val="20"/>
      <w:lang w:eastAsia="da-DK"/>
    </w:rPr>
  </w:style>
  <w:style w:type="character" w:customStyle="1" w:styleId="Heading8Char">
    <w:name w:val="Heading 8 Char"/>
    <w:link w:val="Heading8"/>
    <w:semiHidden/>
    <w:rsid w:val="001E5A75"/>
    <w:rPr>
      <w:rFonts w:ascii="Times New Roman" w:hAnsi="Times New Roman"/>
      <w:i/>
      <w:iCs/>
      <w:sz w:val="24"/>
      <w:szCs w:val="20"/>
      <w:lang w:eastAsia="da-DK"/>
    </w:rPr>
  </w:style>
  <w:style w:type="character" w:customStyle="1" w:styleId="Heading9Char">
    <w:name w:val="Heading 9 Char"/>
    <w:link w:val="Heading9"/>
    <w:semiHidden/>
    <w:rsid w:val="001E5A75"/>
    <w:rPr>
      <w:rFonts w:ascii="Arial" w:hAnsi="Arial" w:cs="Arial"/>
      <w:lang w:eastAsia="da-D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a-D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a-DK"/>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a-DK" w:eastAsia="da-DK"/>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a-D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da-D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a-D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da-DK" w:eastAsia="da-D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da-DK"/>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da-DK" w:eastAsia="da-DK" w:bidi="da-D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a-D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a-DK" w:eastAsia="da-DK" w:bidi="da-D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a-DK"/>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a-DK"/>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a-DK"/>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a-DK"/>
    </w:rPr>
  </w:style>
  <w:style w:type="character" w:customStyle="1" w:styleId="Heading3Char1">
    <w:name w:val="Heading 3 Char1"/>
    <w:link w:val="Heading3"/>
    <w:uiPriority w:val="99"/>
    <w:rsid w:val="001E5A75"/>
    <w:rPr>
      <w:rFonts w:ascii="Arial" w:hAnsi="Arial"/>
      <w:b/>
      <w:szCs w:val="20"/>
      <w:lang w:eastAsia="da-DK"/>
    </w:rPr>
  </w:style>
  <w:style w:type="character" w:customStyle="1" w:styleId="Heading4Char">
    <w:name w:val="Heading 4 Char"/>
    <w:link w:val="Heading4"/>
    <w:uiPriority w:val="99"/>
    <w:rsid w:val="00DE0962"/>
    <w:rPr>
      <w:rFonts w:ascii="Verdana" w:eastAsia="Times New Roman" w:hAnsi="Verdana"/>
      <w:b/>
      <w:szCs w:val="24"/>
      <w:u w:val="single"/>
      <w:lang w:eastAsia="da-DK"/>
    </w:rPr>
  </w:style>
  <w:style w:type="character" w:customStyle="1" w:styleId="Heading5Char">
    <w:name w:val="Heading 5 Char"/>
    <w:link w:val="Heading5"/>
    <w:uiPriority w:val="1"/>
    <w:rsid w:val="001E5A75"/>
    <w:rPr>
      <w:rFonts w:ascii="Arial" w:hAnsi="Arial"/>
      <w:b/>
      <w:i/>
      <w:szCs w:val="20"/>
      <w:lang w:eastAsia="da-DK"/>
    </w:rPr>
  </w:style>
  <w:style w:type="character" w:customStyle="1" w:styleId="Heading6Char">
    <w:name w:val="Heading 6 Char"/>
    <w:link w:val="Heading6"/>
    <w:semiHidden/>
    <w:rsid w:val="001E5A75"/>
    <w:rPr>
      <w:rFonts w:ascii="Times New Roman" w:hAnsi="Times New Roman"/>
      <w:b/>
      <w:bCs/>
      <w:lang w:eastAsia="da-DK"/>
    </w:rPr>
  </w:style>
  <w:style w:type="character" w:customStyle="1" w:styleId="Heading7Char">
    <w:name w:val="Heading 7 Char"/>
    <w:link w:val="Heading7"/>
    <w:semiHidden/>
    <w:rsid w:val="001E5A75"/>
    <w:rPr>
      <w:rFonts w:ascii="Times New Roman" w:hAnsi="Times New Roman"/>
      <w:sz w:val="24"/>
      <w:szCs w:val="20"/>
      <w:lang w:eastAsia="da-DK"/>
    </w:rPr>
  </w:style>
  <w:style w:type="character" w:customStyle="1" w:styleId="Heading8Char">
    <w:name w:val="Heading 8 Char"/>
    <w:link w:val="Heading8"/>
    <w:semiHidden/>
    <w:rsid w:val="001E5A75"/>
    <w:rPr>
      <w:rFonts w:ascii="Times New Roman" w:hAnsi="Times New Roman"/>
      <w:i/>
      <w:iCs/>
      <w:sz w:val="24"/>
      <w:szCs w:val="20"/>
      <w:lang w:eastAsia="da-DK"/>
    </w:rPr>
  </w:style>
  <w:style w:type="character" w:customStyle="1" w:styleId="Heading9Char">
    <w:name w:val="Heading 9 Char"/>
    <w:link w:val="Heading9"/>
    <w:semiHidden/>
    <w:rsid w:val="001E5A75"/>
    <w:rPr>
      <w:rFonts w:ascii="Arial" w:hAnsi="Arial" w:cs="Arial"/>
      <w:lang w:eastAsia="da-DK"/>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a-DK"/>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a-DK"/>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a-DK" w:eastAsia="da-DK"/>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a-DK"/>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da-DK"/>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a-DK"/>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da-DK" w:eastAsia="da-DK"/>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da-DK"/>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da-DK" w:eastAsia="da-DK" w:bidi="da-DK"/>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a-D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097E7-1818-42D7-AAD9-AE5F9E0524B7}">
  <ds:schemaRefs>
    <ds:schemaRef ds:uri="http://schemas.openxmlformats.org/officeDocument/2006/bibliography"/>
  </ds:schemaRefs>
</ds:datastoreItem>
</file>

<file path=customXml/itemProps2.xml><?xml version="1.0" encoding="utf-8"?>
<ds:datastoreItem xmlns:ds="http://schemas.openxmlformats.org/officeDocument/2006/customXml" ds:itemID="{0D8BEE99-E6B4-4995-87F3-8B89BD55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5529</Words>
  <Characters>31518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36974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BUNDGAARD KOCK Benthe Vase (DGT)</cp:lastModifiedBy>
  <cp:revision>8</cp:revision>
  <dcterms:created xsi:type="dcterms:W3CDTF">2018-06-13T13:34:00Z</dcterms:created>
  <dcterms:modified xsi:type="dcterms:W3CDTF">2018-09-06T10:12:00Z</dcterms:modified>
</cp:coreProperties>
</file>