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Default="006B08A5" w:rsidP="00A33695">
      <w:pPr>
        <w:jc w:val="center"/>
        <w:rPr>
          <w:rFonts w:ascii="Times New Roman" w:hAnsi="Times New Roman"/>
          <w:b/>
          <w:sz w:val="24"/>
        </w:rPr>
      </w:pPr>
      <w:bookmarkStart w:id="0" w:name="_Toc262568021"/>
      <w:bookmarkStart w:id="1" w:name="_Toc295829847"/>
      <w:r>
        <w:rPr>
          <w:rFonts w:ascii="Times New Roman" w:hAnsi="Times New Roman"/>
          <w:b/>
          <w:sz w:val="24"/>
        </w:rPr>
        <w:t>FR</w:t>
      </w:r>
    </w:p>
    <w:p w:rsidR="00453999" w:rsidRDefault="00453999" w:rsidP="00A33695">
      <w:pPr>
        <w:jc w:val="center"/>
        <w:rPr>
          <w:rFonts w:ascii="Times New Roman" w:hAnsi="Times New Roman"/>
          <w:b/>
          <w:sz w:val="24"/>
        </w:rPr>
      </w:pPr>
      <w:r>
        <w:rPr>
          <w:rFonts w:ascii="Times New Roman" w:hAnsi="Times New Roman"/>
          <w:b/>
          <w:sz w:val="24"/>
        </w:rPr>
        <w:t>ANNEXE II</w:t>
      </w:r>
    </w:p>
    <w:p w:rsidR="007676ED" w:rsidRDefault="007676ED" w:rsidP="00A33695">
      <w:pPr>
        <w:jc w:val="center"/>
        <w:rPr>
          <w:rFonts w:ascii="Times New Roman" w:hAnsi="Times New Roman"/>
          <w:b/>
          <w:sz w:val="24"/>
        </w:rPr>
      </w:pPr>
    </w:p>
    <w:p w:rsidR="007676ED" w:rsidRPr="00392FFD" w:rsidRDefault="007676ED" w:rsidP="00A33695">
      <w:pPr>
        <w:jc w:val="center"/>
        <w:rPr>
          <w:rFonts w:ascii="Times New Roman" w:hAnsi="Times New Roman"/>
          <w:b/>
          <w:sz w:val="24"/>
        </w:rPr>
      </w:pPr>
    </w:p>
    <w:p w:rsidR="002648B0" w:rsidRPr="00732D6D" w:rsidRDefault="002648B0" w:rsidP="00A33695">
      <w:pPr>
        <w:jc w:val="center"/>
        <w:rPr>
          <w:rFonts w:ascii="Times New Roman" w:hAnsi="Times New Roman"/>
          <w:b/>
          <w:sz w:val="24"/>
          <w:u w:val="single"/>
        </w:rPr>
      </w:pPr>
      <w:r>
        <w:rPr>
          <w:rFonts w:ascii="Times New Roman" w:hAnsi="Times New Roman"/>
          <w:b/>
          <w:sz w:val="24"/>
          <w:u w:val="single"/>
        </w:rPr>
        <w:t>«ANNEXE II</w:t>
      </w:r>
    </w:p>
    <w:p w:rsidR="002648B0" w:rsidRPr="00392FFD" w:rsidRDefault="002648B0" w:rsidP="00C87CEE">
      <w:pPr>
        <w:jc w:val="center"/>
        <w:rPr>
          <w:rFonts w:ascii="Times New Roman" w:hAnsi="Times New Roman"/>
          <w:b/>
          <w:sz w:val="24"/>
        </w:rPr>
      </w:pPr>
      <w:r>
        <w:rPr>
          <w:rFonts w:ascii="Times New Roman" w:hAnsi="Times New Roman"/>
          <w:b/>
          <w:sz w:val="24"/>
        </w:rPr>
        <w:t>DÉCLARATION RELATIVE AUX FONDS PROPRES ET EXIGENCES DE FONDS PROPRES</w:t>
      </w:r>
    </w:p>
    <w:p w:rsidR="00436204" w:rsidRPr="00392FFD" w:rsidRDefault="00436204" w:rsidP="00C87CEE">
      <w:pPr>
        <w:jc w:val="center"/>
        <w:rPr>
          <w:rFonts w:ascii="Times New Roman" w:hAnsi="Times New Roman"/>
          <w:b/>
          <w:sz w:val="24"/>
        </w:rPr>
      </w:pPr>
    </w:p>
    <w:p w:rsidR="00783881" w:rsidRPr="00392FFD" w:rsidRDefault="002648B0" w:rsidP="00FD239F">
      <w:pPr>
        <w:pStyle w:val="InstructionsText"/>
      </w:pPr>
      <w:r>
        <w:t>Table des matières</w:t>
      </w:r>
    </w:p>
    <w:p w:rsidR="008F1830" w:rsidRDefault="00D72DF8">
      <w:pPr>
        <w:pStyle w:val="TOC2"/>
        <w:rPr>
          <w:rFonts w:asciiTheme="minorHAnsi" w:eastAsiaTheme="minorEastAsia" w:hAnsiTheme="minorHAnsi" w:cstheme="minorBidi"/>
          <w:b w:val="0"/>
          <w:smallCaps w:val="0"/>
          <w:sz w:val="22"/>
          <w:lang w:val="fr-BE" w:eastAsia="fr-BE" w:bidi="ar-SA"/>
        </w:rPr>
      </w:pPr>
      <w:r>
        <w:rPr>
          <w:rFonts w:ascii="Times New Roman" w:hAnsi="Times New Roman"/>
          <w:sz w:val="24"/>
          <w:szCs w:val="24"/>
        </w:rPr>
        <w:fldChar w:fldCharType="begin"/>
      </w:r>
      <w:r w:rsidR="00745369">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24104138" w:history="1">
        <w:r w:rsidR="008F1830" w:rsidRPr="00C05558">
          <w:rPr>
            <w:rStyle w:val="Hyperlink"/>
            <w:rFonts w:ascii="Times New Roman" w:hAnsi="Times New Roman"/>
          </w:rPr>
          <w:t>PARTIE I: INSTRUCTIONS GÉNÉRALES</w:t>
        </w:r>
        <w:r w:rsidR="008F1830">
          <w:rPr>
            <w:webHidden/>
          </w:rPr>
          <w:tab/>
        </w:r>
        <w:r w:rsidR="008F1830">
          <w:rPr>
            <w:webHidden/>
          </w:rPr>
          <w:fldChar w:fldCharType="begin"/>
        </w:r>
        <w:r w:rsidR="008F1830">
          <w:rPr>
            <w:webHidden/>
          </w:rPr>
          <w:instrText xml:space="preserve"> PAGEREF _Toc524104138 \h </w:instrText>
        </w:r>
        <w:r w:rsidR="008F1830">
          <w:rPr>
            <w:webHidden/>
          </w:rPr>
        </w:r>
        <w:r w:rsidR="008F1830">
          <w:rPr>
            <w:webHidden/>
          </w:rPr>
          <w:fldChar w:fldCharType="separate"/>
        </w:r>
        <w:r w:rsidR="008F1830">
          <w:rPr>
            <w:webHidden/>
          </w:rPr>
          <w:t>6</w:t>
        </w:r>
        <w:r w:rsidR="008F1830">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39" w:history="1">
        <w:r w:rsidRPr="00C05558">
          <w:rPr>
            <w:rStyle w:val="Hyperlink"/>
            <w:rFonts w:ascii="Times New Roman" w:hAnsi="Times New Roman"/>
          </w:rPr>
          <w:t>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Structure et conventions</w:t>
        </w:r>
        <w:r>
          <w:rPr>
            <w:webHidden/>
          </w:rPr>
          <w:tab/>
        </w:r>
        <w:r>
          <w:rPr>
            <w:webHidden/>
          </w:rPr>
          <w:fldChar w:fldCharType="begin"/>
        </w:r>
        <w:r>
          <w:rPr>
            <w:webHidden/>
          </w:rPr>
          <w:instrText xml:space="preserve"> PAGEREF _Toc524104139 \h </w:instrText>
        </w:r>
        <w:r>
          <w:rPr>
            <w:webHidden/>
          </w:rPr>
        </w:r>
        <w:r>
          <w:rPr>
            <w:webHidden/>
          </w:rPr>
          <w:fldChar w:fldCharType="separate"/>
        </w:r>
        <w:r>
          <w:rPr>
            <w:webHidden/>
          </w:rPr>
          <w:t>6</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40" w:history="1">
        <w:r w:rsidRPr="00C05558">
          <w:rPr>
            <w:rStyle w:val="Hyperlink"/>
            <w:rFonts w:ascii="Times New Roman" w:hAnsi="Times New Roman"/>
          </w:rPr>
          <w:t>1.1.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Structure</w:t>
        </w:r>
        <w:r>
          <w:rPr>
            <w:webHidden/>
          </w:rPr>
          <w:tab/>
        </w:r>
        <w:r>
          <w:rPr>
            <w:webHidden/>
          </w:rPr>
          <w:fldChar w:fldCharType="begin"/>
        </w:r>
        <w:r>
          <w:rPr>
            <w:webHidden/>
          </w:rPr>
          <w:instrText xml:space="preserve"> PAGEREF _Toc524104140 \h </w:instrText>
        </w:r>
        <w:r>
          <w:rPr>
            <w:webHidden/>
          </w:rPr>
        </w:r>
        <w:r>
          <w:rPr>
            <w:webHidden/>
          </w:rPr>
          <w:fldChar w:fldCharType="separate"/>
        </w:r>
        <w:r>
          <w:rPr>
            <w:webHidden/>
          </w:rPr>
          <w:t>6</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41" w:history="1">
        <w:r w:rsidRPr="00C05558">
          <w:rPr>
            <w:rStyle w:val="Hyperlink"/>
            <w:rFonts w:ascii="Times New Roman" w:hAnsi="Times New Roman"/>
          </w:rPr>
          <w:t>1.2.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Convention de numérotation</w:t>
        </w:r>
        <w:r>
          <w:rPr>
            <w:webHidden/>
          </w:rPr>
          <w:tab/>
        </w:r>
        <w:r>
          <w:rPr>
            <w:webHidden/>
          </w:rPr>
          <w:fldChar w:fldCharType="begin"/>
        </w:r>
        <w:r>
          <w:rPr>
            <w:webHidden/>
          </w:rPr>
          <w:instrText xml:space="preserve"> PAGEREF _Toc524104141 \h </w:instrText>
        </w:r>
        <w:r>
          <w:rPr>
            <w:webHidden/>
          </w:rPr>
        </w:r>
        <w:r>
          <w:rPr>
            <w:webHidden/>
          </w:rPr>
          <w:fldChar w:fldCharType="separate"/>
        </w:r>
        <w:r>
          <w:rPr>
            <w:webHidden/>
          </w:rPr>
          <w:t>6</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42" w:history="1">
        <w:r w:rsidRPr="00C05558">
          <w:rPr>
            <w:rStyle w:val="Hyperlink"/>
            <w:rFonts w:ascii="Times New Roman" w:hAnsi="Times New Roman"/>
          </w:rPr>
          <w:t>1.3.</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Convention de signe</w:t>
        </w:r>
        <w:r>
          <w:rPr>
            <w:webHidden/>
          </w:rPr>
          <w:tab/>
        </w:r>
        <w:r>
          <w:rPr>
            <w:webHidden/>
          </w:rPr>
          <w:fldChar w:fldCharType="begin"/>
        </w:r>
        <w:r>
          <w:rPr>
            <w:webHidden/>
          </w:rPr>
          <w:instrText xml:space="preserve"> PAGEREF _Toc524104142 \h </w:instrText>
        </w:r>
        <w:r>
          <w:rPr>
            <w:webHidden/>
          </w:rPr>
        </w:r>
        <w:r>
          <w:rPr>
            <w:webHidden/>
          </w:rPr>
          <w:fldChar w:fldCharType="separate"/>
        </w:r>
        <w:r>
          <w:rPr>
            <w:webHidden/>
          </w:rPr>
          <w:t>7</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43" w:history="1">
        <w:r w:rsidRPr="00C05558">
          <w:rPr>
            <w:rStyle w:val="Hyperlink"/>
            <w:rFonts w:ascii="Times New Roman" w:hAnsi="Times New Roman"/>
          </w:rPr>
          <w:t>1.4.</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Abréviations</w:t>
        </w:r>
        <w:r>
          <w:rPr>
            <w:webHidden/>
          </w:rPr>
          <w:tab/>
        </w:r>
        <w:r>
          <w:rPr>
            <w:webHidden/>
          </w:rPr>
          <w:fldChar w:fldCharType="begin"/>
        </w:r>
        <w:r>
          <w:rPr>
            <w:webHidden/>
          </w:rPr>
          <w:instrText xml:space="preserve"> PAGEREF _Toc524104143 \h </w:instrText>
        </w:r>
        <w:r>
          <w:rPr>
            <w:webHidden/>
          </w:rPr>
        </w:r>
        <w:r>
          <w:rPr>
            <w:webHidden/>
          </w:rPr>
          <w:fldChar w:fldCharType="separate"/>
        </w:r>
        <w:r>
          <w:rPr>
            <w:webHidden/>
          </w:rPr>
          <w:t>7</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44" w:history="1">
        <w:r w:rsidRPr="00C05558">
          <w:rPr>
            <w:rStyle w:val="Hyperlink"/>
            <w:rFonts w:ascii="Times New Roman" w:hAnsi="Times New Roman"/>
          </w:rPr>
          <w:t>PARTIE II: INSTRUCTIONS CONCERNANT LES MODÈLES</w:t>
        </w:r>
        <w:r>
          <w:rPr>
            <w:webHidden/>
          </w:rPr>
          <w:tab/>
        </w:r>
        <w:r>
          <w:rPr>
            <w:webHidden/>
          </w:rPr>
          <w:fldChar w:fldCharType="begin"/>
        </w:r>
        <w:r>
          <w:rPr>
            <w:webHidden/>
          </w:rPr>
          <w:instrText xml:space="preserve"> PAGEREF _Toc524104144 \h </w:instrText>
        </w:r>
        <w:r>
          <w:rPr>
            <w:webHidden/>
          </w:rPr>
        </w:r>
        <w:r>
          <w:rPr>
            <w:webHidden/>
          </w:rPr>
          <w:fldChar w:fldCharType="separate"/>
        </w:r>
        <w:r>
          <w:rPr>
            <w:webHidden/>
          </w:rPr>
          <w:t>8</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45" w:history="1">
        <w:r w:rsidRPr="00C05558">
          <w:rPr>
            <w:rStyle w:val="Hyperlink"/>
            <w:rFonts w:ascii="Times New Roman" w:hAnsi="Times New Roman"/>
          </w:rPr>
          <w:t>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Synthèse concernant les modèles CA (adéquation des fonds propres)</w:t>
        </w:r>
        <w:r>
          <w:rPr>
            <w:webHidden/>
          </w:rPr>
          <w:tab/>
        </w:r>
        <w:r>
          <w:rPr>
            <w:webHidden/>
          </w:rPr>
          <w:fldChar w:fldCharType="begin"/>
        </w:r>
        <w:r>
          <w:rPr>
            <w:webHidden/>
          </w:rPr>
          <w:instrText xml:space="preserve"> PAGEREF _Toc524104145 \h </w:instrText>
        </w:r>
        <w:r>
          <w:rPr>
            <w:webHidden/>
          </w:rPr>
        </w:r>
        <w:r>
          <w:rPr>
            <w:webHidden/>
          </w:rPr>
          <w:fldChar w:fldCharType="separate"/>
        </w:r>
        <w:r>
          <w:rPr>
            <w:webHidden/>
          </w:rPr>
          <w:t>8</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46" w:history="1">
        <w:r w:rsidRPr="00C05558">
          <w:rPr>
            <w:rStyle w:val="Hyperlink"/>
            <w:rFonts w:ascii="Times New Roman" w:hAnsi="Times New Roman"/>
          </w:rPr>
          <w:t>1.1.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_Toc524104146 \h </w:instrText>
        </w:r>
        <w:r>
          <w:rPr>
            <w:webHidden/>
          </w:rPr>
        </w:r>
        <w:r>
          <w:rPr>
            <w:webHidden/>
          </w:rPr>
          <w:fldChar w:fldCharType="separate"/>
        </w:r>
        <w:r>
          <w:rPr>
            <w:webHidden/>
          </w:rPr>
          <w:t>8</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47" w:history="1">
        <w:r w:rsidRPr="00C05558">
          <w:rPr>
            <w:rStyle w:val="Hyperlink"/>
            <w:rFonts w:ascii="Times New Roman" w:hAnsi="Times New Roman"/>
          </w:rPr>
          <w:t>1.2.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01.00 - FONDS PROPRES (CA1)</w:t>
        </w:r>
        <w:r>
          <w:rPr>
            <w:webHidden/>
          </w:rPr>
          <w:tab/>
        </w:r>
        <w:r>
          <w:rPr>
            <w:webHidden/>
          </w:rPr>
          <w:fldChar w:fldCharType="begin"/>
        </w:r>
        <w:r>
          <w:rPr>
            <w:webHidden/>
          </w:rPr>
          <w:instrText xml:space="preserve"> PAGEREF _Toc524104147 \h </w:instrText>
        </w:r>
        <w:r>
          <w:rPr>
            <w:webHidden/>
          </w:rPr>
        </w:r>
        <w:r>
          <w:rPr>
            <w:webHidden/>
          </w:rPr>
          <w:fldChar w:fldCharType="separate"/>
        </w:r>
        <w:r>
          <w:rPr>
            <w:webHidden/>
          </w:rPr>
          <w:t>9</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48" w:history="1">
        <w:r w:rsidRPr="00C05558">
          <w:rPr>
            <w:rStyle w:val="Hyperlink"/>
            <w:rFonts w:ascii="Times New Roman" w:hAnsi="Times New Roman"/>
          </w:rPr>
          <w:t>1.2.1.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_Toc524104148 \h </w:instrText>
        </w:r>
        <w:r>
          <w:rPr>
            <w:webHidden/>
          </w:rPr>
        </w:r>
        <w:r>
          <w:rPr>
            <w:webHidden/>
          </w:rPr>
          <w:fldChar w:fldCharType="separate"/>
        </w:r>
        <w:r>
          <w:rPr>
            <w:webHidden/>
          </w:rPr>
          <w:t>9</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49" w:history="1">
        <w:r w:rsidRPr="00C05558">
          <w:rPr>
            <w:rStyle w:val="Hyperlink"/>
            <w:rFonts w:ascii="Times New Roman" w:hAnsi="Times New Roman"/>
          </w:rPr>
          <w:t>1.3.</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02.00 - EXIGENCES DE FONDS PROPRES (CA2)</w:t>
        </w:r>
        <w:r>
          <w:rPr>
            <w:webHidden/>
          </w:rPr>
          <w:tab/>
        </w:r>
        <w:r>
          <w:rPr>
            <w:webHidden/>
          </w:rPr>
          <w:fldChar w:fldCharType="begin"/>
        </w:r>
        <w:r>
          <w:rPr>
            <w:webHidden/>
          </w:rPr>
          <w:instrText xml:space="preserve"> PAGEREF _Toc524104149 \h </w:instrText>
        </w:r>
        <w:r>
          <w:rPr>
            <w:webHidden/>
          </w:rPr>
        </w:r>
        <w:r>
          <w:rPr>
            <w:webHidden/>
          </w:rPr>
          <w:fldChar w:fldCharType="separate"/>
        </w:r>
        <w:r>
          <w:rPr>
            <w:webHidden/>
          </w:rPr>
          <w:t>26</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50" w:history="1">
        <w:r w:rsidRPr="00C05558">
          <w:rPr>
            <w:rStyle w:val="Hyperlink"/>
            <w:rFonts w:ascii="Times New Roman" w:hAnsi="Times New Roman"/>
          </w:rPr>
          <w:t>1.3.1.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_Toc524104150 \h </w:instrText>
        </w:r>
        <w:r>
          <w:rPr>
            <w:webHidden/>
          </w:rPr>
        </w:r>
        <w:r>
          <w:rPr>
            <w:webHidden/>
          </w:rPr>
          <w:fldChar w:fldCharType="separate"/>
        </w:r>
        <w:r>
          <w:rPr>
            <w:webHidden/>
          </w:rPr>
          <w:t>26</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51" w:history="1">
        <w:r w:rsidRPr="00C05558">
          <w:rPr>
            <w:rStyle w:val="Hyperlink"/>
            <w:rFonts w:ascii="Times New Roman" w:hAnsi="Times New Roman"/>
          </w:rPr>
          <w:t>1.4</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03.00 - RATIOS DE FONDS PROPRES ET NIVEAUX DE FONDS PROPRES (CA3)</w:t>
        </w:r>
        <w:r>
          <w:rPr>
            <w:webHidden/>
          </w:rPr>
          <w:tab/>
        </w:r>
        <w:r>
          <w:rPr>
            <w:webHidden/>
          </w:rPr>
          <w:fldChar w:fldCharType="begin"/>
        </w:r>
        <w:r>
          <w:rPr>
            <w:webHidden/>
          </w:rPr>
          <w:instrText xml:space="preserve"> PAGEREF _Toc524104151 \h </w:instrText>
        </w:r>
        <w:r>
          <w:rPr>
            <w:webHidden/>
          </w:rPr>
        </w:r>
        <w:r>
          <w:rPr>
            <w:webHidden/>
          </w:rPr>
          <w:fldChar w:fldCharType="separate"/>
        </w:r>
        <w:r>
          <w:rPr>
            <w:webHidden/>
          </w:rPr>
          <w:t>37</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52" w:history="1">
        <w:r w:rsidRPr="00C05558">
          <w:rPr>
            <w:rStyle w:val="Hyperlink"/>
            <w:rFonts w:ascii="Times New Roman" w:hAnsi="Times New Roman"/>
          </w:rPr>
          <w:t>1.4.1.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_Toc524104152 \h </w:instrText>
        </w:r>
        <w:r>
          <w:rPr>
            <w:webHidden/>
          </w:rPr>
        </w:r>
        <w:r>
          <w:rPr>
            <w:webHidden/>
          </w:rPr>
          <w:fldChar w:fldCharType="separate"/>
        </w:r>
        <w:r>
          <w:rPr>
            <w:webHidden/>
          </w:rPr>
          <w:t>37</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53" w:history="1">
        <w:r w:rsidRPr="00C05558">
          <w:rPr>
            <w:rStyle w:val="Hyperlink"/>
            <w:rFonts w:ascii="Times New Roman" w:hAnsi="Times New Roman"/>
          </w:rPr>
          <w:t>1.5.</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04.00 - ÉLÉMENTS POUR MÉMOIRE (CA4)</w:t>
        </w:r>
        <w:r>
          <w:rPr>
            <w:webHidden/>
          </w:rPr>
          <w:tab/>
        </w:r>
        <w:r>
          <w:rPr>
            <w:webHidden/>
          </w:rPr>
          <w:fldChar w:fldCharType="begin"/>
        </w:r>
        <w:r>
          <w:rPr>
            <w:webHidden/>
          </w:rPr>
          <w:instrText xml:space="preserve"> PAGEREF _Toc524104153 \h </w:instrText>
        </w:r>
        <w:r>
          <w:rPr>
            <w:webHidden/>
          </w:rPr>
        </w:r>
        <w:r>
          <w:rPr>
            <w:webHidden/>
          </w:rPr>
          <w:fldChar w:fldCharType="separate"/>
        </w:r>
        <w:r>
          <w:rPr>
            <w:webHidden/>
          </w:rPr>
          <w:t>40</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54" w:history="1">
        <w:r w:rsidRPr="00C05558">
          <w:rPr>
            <w:rStyle w:val="Hyperlink"/>
            <w:rFonts w:ascii="Times New Roman" w:hAnsi="Times New Roman"/>
          </w:rPr>
          <w:t>1.5.1.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_Toc524104154 \h </w:instrText>
        </w:r>
        <w:r>
          <w:rPr>
            <w:webHidden/>
          </w:rPr>
        </w:r>
        <w:r>
          <w:rPr>
            <w:webHidden/>
          </w:rPr>
          <w:fldChar w:fldCharType="separate"/>
        </w:r>
        <w:r>
          <w:rPr>
            <w:webHidden/>
          </w:rPr>
          <w:t>40</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55" w:history="1">
        <w:r w:rsidRPr="00C05558">
          <w:rPr>
            <w:rStyle w:val="Hyperlink"/>
            <w:rFonts w:ascii="Times New Roman" w:hAnsi="Times New Roman"/>
          </w:rPr>
          <w:t>1.6</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DISPOSITIONS TRANSITOIRES et INSTRUMENTS BÉNÉFICIANT D'UNE CLAUSE D'ANTÉRIORITÉ: INSTRUMENTS NE CONSTITUANT PAS UNE AIDE D’ÉTAT (CA 5)</w:t>
        </w:r>
        <w:r>
          <w:rPr>
            <w:webHidden/>
          </w:rPr>
          <w:tab/>
        </w:r>
        <w:r>
          <w:rPr>
            <w:webHidden/>
          </w:rPr>
          <w:fldChar w:fldCharType="begin"/>
        </w:r>
        <w:r>
          <w:rPr>
            <w:webHidden/>
          </w:rPr>
          <w:instrText xml:space="preserve"> PAGEREF _Toc524104155 \h </w:instrText>
        </w:r>
        <w:r>
          <w:rPr>
            <w:webHidden/>
          </w:rPr>
        </w:r>
        <w:r>
          <w:rPr>
            <w:webHidden/>
          </w:rPr>
          <w:fldChar w:fldCharType="separate"/>
        </w:r>
        <w:r>
          <w:rPr>
            <w:webHidden/>
          </w:rPr>
          <w:t>58</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56" w:history="1">
        <w:r w:rsidRPr="00C05558">
          <w:rPr>
            <w:rStyle w:val="Hyperlink"/>
            <w:rFonts w:ascii="Times New Roman" w:hAnsi="Times New Roman"/>
          </w:rPr>
          <w:t>1.6.1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_Toc524104156 \h </w:instrText>
        </w:r>
        <w:r>
          <w:rPr>
            <w:webHidden/>
          </w:rPr>
        </w:r>
        <w:r>
          <w:rPr>
            <w:webHidden/>
          </w:rPr>
          <w:fldChar w:fldCharType="separate"/>
        </w:r>
        <w:r>
          <w:rPr>
            <w:webHidden/>
          </w:rPr>
          <w:t>58</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57" w:history="1">
        <w:r w:rsidRPr="00C05558">
          <w:rPr>
            <w:rStyle w:val="Hyperlink"/>
            <w:rFonts w:ascii="Times New Roman" w:hAnsi="Times New Roman"/>
          </w:rPr>
          <w:t>1.6.2.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05.01 - DISPOSITIONS TRANSITOIRES (CA5.1)</w:t>
        </w:r>
        <w:r>
          <w:rPr>
            <w:webHidden/>
          </w:rPr>
          <w:tab/>
        </w:r>
        <w:r>
          <w:rPr>
            <w:webHidden/>
          </w:rPr>
          <w:fldChar w:fldCharType="begin"/>
        </w:r>
        <w:r>
          <w:rPr>
            <w:webHidden/>
          </w:rPr>
          <w:instrText xml:space="preserve"> PAGEREF _Toc524104157 \h </w:instrText>
        </w:r>
        <w:r>
          <w:rPr>
            <w:webHidden/>
          </w:rPr>
        </w:r>
        <w:r>
          <w:rPr>
            <w:webHidden/>
          </w:rPr>
          <w:fldChar w:fldCharType="separate"/>
        </w:r>
        <w:r>
          <w:rPr>
            <w:webHidden/>
          </w:rPr>
          <w:t>58</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58" w:history="1">
        <w:r w:rsidRPr="00C05558">
          <w:rPr>
            <w:rStyle w:val="Hyperlink"/>
            <w:rFonts w:ascii="Times New Roman" w:hAnsi="Times New Roman"/>
          </w:rPr>
          <w:t>1.6.2.1.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_Toc524104158 \h </w:instrText>
        </w:r>
        <w:r>
          <w:rPr>
            <w:webHidden/>
          </w:rPr>
        </w:r>
        <w:r>
          <w:rPr>
            <w:webHidden/>
          </w:rPr>
          <w:fldChar w:fldCharType="separate"/>
        </w:r>
        <w:r>
          <w:rPr>
            <w:webHidden/>
          </w:rPr>
          <w:t>59</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59" w:history="1">
        <w:r w:rsidRPr="00C05558">
          <w:rPr>
            <w:rStyle w:val="Hyperlink"/>
            <w:rFonts w:ascii="Times New Roman" w:hAnsi="Times New Roman"/>
          </w:rPr>
          <w:t>1.6.3.</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05.02 - INSTRUMENTS BÉNÉFICIANT D'UNE CLAUSE D'ANTÉRIORITÉ:  INSTRUMENTS NE CONSTITUANT PAS UNE AIDE D'ÉTAT (CA5.2)</w:t>
        </w:r>
        <w:r>
          <w:rPr>
            <w:webHidden/>
          </w:rPr>
          <w:tab/>
        </w:r>
        <w:r>
          <w:rPr>
            <w:webHidden/>
          </w:rPr>
          <w:fldChar w:fldCharType="begin"/>
        </w:r>
        <w:r>
          <w:rPr>
            <w:webHidden/>
          </w:rPr>
          <w:instrText xml:space="preserve"> PAGEREF _Toc524104159 \h </w:instrText>
        </w:r>
        <w:r>
          <w:rPr>
            <w:webHidden/>
          </w:rPr>
        </w:r>
        <w:r>
          <w:rPr>
            <w:webHidden/>
          </w:rPr>
          <w:fldChar w:fldCharType="separate"/>
        </w:r>
        <w:r>
          <w:rPr>
            <w:webHidden/>
          </w:rPr>
          <w:t>68</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60" w:history="1">
        <w:r w:rsidRPr="00C05558">
          <w:rPr>
            <w:rStyle w:val="Hyperlink"/>
            <w:rFonts w:ascii="Times New Roman" w:hAnsi="Times New Roman"/>
          </w:rPr>
          <w:t>1.6.3.1.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_Toc524104160 \h </w:instrText>
        </w:r>
        <w:r>
          <w:rPr>
            <w:webHidden/>
          </w:rPr>
        </w:r>
        <w:r>
          <w:rPr>
            <w:webHidden/>
          </w:rPr>
          <w:fldChar w:fldCharType="separate"/>
        </w:r>
        <w:r>
          <w:rPr>
            <w:webHidden/>
          </w:rPr>
          <w:t>68</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61" w:history="1">
        <w:r w:rsidRPr="00C05558">
          <w:rPr>
            <w:rStyle w:val="Hyperlink"/>
            <w:rFonts w:ascii="Times New Roman" w:hAnsi="Times New Roman"/>
          </w:rPr>
          <w:t>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SOLVABILITÉ DU GROUPE: INFORMATIONS SUR LES FILIALES (GS)</w:t>
        </w:r>
        <w:r>
          <w:rPr>
            <w:webHidden/>
          </w:rPr>
          <w:tab/>
        </w:r>
        <w:r>
          <w:rPr>
            <w:webHidden/>
          </w:rPr>
          <w:fldChar w:fldCharType="begin"/>
        </w:r>
        <w:r>
          <w:rPr>
            <w:webHidden/>
          </w:rPr>
          <w:instrText xml:space="preserve"> PAGEREF _Toc524104161 \h </w:instrText>
        </w:r>
        <w:r>
          <w:rPr>
            <w:webHidden/>
          </w:rPr>
        </w:r>
        <w:r>
          <w:rPr>
            <w:webHidden/>
          </w:rPr>
          <w:fldChar w:fldCharType="separate"/>
        </w:r>
        <w:r>
          <w:rPr>
            <w:webHidden/>
          </w:rPr>
          <w:t>71</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62" w:history="1">
        <w:r w:rsidRPr="00C05558">
          <w:rPr>
            <w:rStyle w:val="Hyperlink"/>
            <w:rFonts w:ascii="Times New Roman" w:hAnsi="Times New Roman"/>
          </w:rPr>
          <w:t>2.1.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_Toc524104162 \h </w:instrText>
        </w:r>
        <w:r>
          <w:rPr>
            <w:webHidden/>
          </w:rPr>
        </w:r>
        <w:r>
          <w:rPr>
            <w:webHidden/>
          </w:rPr>
          <w:fldChar w:fldCharType="separate"/>
        </w:r>
        <w:r>
          <w:rPr>
            <w:webHidden/>
          </w:rPr>
          <w:t>71</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63" w:history="1">
        <w:r w:rsidRPr="00C05558">
          <w:rPr>
            <w:rStyle w:val="Hyperlink"/>
            <w:rFonts w:ascii="Times New Roman" w:hAnsi="Times New Roman"/>
          </w:rPr>
          <w:t>2.2.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Informations détaillées sur la solvabilité du groupe</w:t>
        </w:r>
        <w:r>
          <w:rPr>
            <w:webHidden/>
          </w:rPr>
          <w:tab/>
        </w:r>
        <w:r>
          <w:rPr>
            <w:webHidden/>
          </w:rPr>
          <w:fldChar w:fldCharType="begin"/>
        </w:r>
        <w:r>
          <w:rPr>
            <w:webHidden/>
          </w:rPr>
          <w:instrText xml:space="preserve"> PAGEREF _Toc524104163 \h </w:instrText>
        </w:r>
        <w:r>
          <w:rPr>
            <w:webHidden/>
          </w:rPr>
        </w:r>
        <w:r>
          <w:rPr>
            <w:webHidden/>
          </w:rPr>
          <w:fldChar w:fldCharType="separate"/>
        </w:r>
        <w:r>
          <w:rPr>
            <w:webHidden/>
          </w:rPr>
          <w:t>71</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64" w:history="1">
        <w:r w:rsidRPr="00C05558">
          <w:rPr>
            <w:rStyle w:val="Hyperlink"/>
            <w:rFonts w:ascii="Times New Roman" w:hAnsi="Times New Roman"/>
          </w:rPr>
          <w:t>2.3.</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Informations sur la contribution des différentes entités à la solvabilité du groupe</w:t>
        </w:r>
        <w:r>
          <w:rPr>
            <w:webHidden/>
          </w:rPr>
          <w:tab/>
        </w:r>
        <w:r>
          <w:rPr>
            <w:webHidden/>
          </w:rPr>
          <w:fldChar w:fldCharType="begin"/>
        </w:r>
        <w:r>
          <w:rPr>
            <w:webHidden/>
          </w:rPr>
          <w:instrText xml:space="preserve"> PAGEREF _Toc524104164 \h </w:instrText>
        </w:r>
        <w:r>
          <w:rPr>
            <w:webHidden/>
          </w:rPr>
        </w:r>
        <w:r>
          <w:rPr>
            <w:webHidden/>
          </w:rPr>
          <w:fldChar w:fldCharType="separate"/>
        </w:r>
        <w:r>
          <w:rPr>
            <w:webHidden/>
          </w:rPr>
          <w:t>72</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65" w:history="1">
        <w:r w:rsidRPr="00C05558">
          <w:rPr>
            <w:rStyle w:val="Hyperlink"/>
            <w:rFonts w:ascii="Times New Roman" w:hAnsi="Times New Roman"/>
          </w:rPr>
          <w:t>2.4.</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06.01 – SOLVABILITÉ DU GROUPE: INFORMATIONS SUR LES FILIALES -  Total (GS Total)</w:t>
        </w:r>
        <w:r>
          <w:rPr>
            <w:webHidden/>
          </w:rPr>
          <w:tab/>
        </w:r>
        <w:r>
          <w:rPr>
            <w:webHidden/>
          </w:rPr>
          <w:fldChar w:fldCharType="begin"/>
        </w:r>
        <w:r>
          <w:rPr>
            <w:webHidden/>
          </w:rPr>
          <w:instrText xml:space="preserve"> PAGEREF _Toc524104165 \h </w:instrText>
        </w:r>
        <w:r>
          <w:rPr>
            <w:webHidden/>
          </w:rPr>
        </w:r>
        <w:r>
          <w:rPr>
            <w:webHidden/>
          </w:rPr>
          <w:fldChar w:fldCharType="separate"/>
        </w:r>
        <w:r>
          <w:rPr>
            <w:webHidden/>
          </w:rPr>
          <w:t>73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66" w:history="1">
        <w:r w:rsidRPr="00C05558">
          <w:rPr>
            <w:rStyle w:val="Hyperlink"/>
            <w:rFonts w:ascii="Times New Roman" w:hAnsi="Times New Roman"/>
          </w:rPr>
          <w:t>2.5.</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06.02 - SOLVABILITÉ DU GROUPE: INFORMATIONS SUR LES FILIALES  (GS)</w:t>
        </w:r>
        <w:r>
          <w:rPr>
            <w:webHidden/>
          </w:rPr>
          <w:tab/>
        </w:r>
        <w:r>
          <w:rPr>
            <w:webHidden/>
          </w:rPr>
          <w:fldChar w:fldCharType="begin"/>
        </w:r>
        <w:r>
          <w:rPr>
            <w:webHidden/>
          </w:rPr>
          <w:instrText xml:space="preserve"> PAGEREF _Toc524104166 \h </w:instrText>
        </w:r>
        <w:r>
          <w:rPr>
            <w:webHidden/>
          </w:rPr>
        </w:r>
        <w:r>
          <w:rPr>
            <w:webHidden/>
          </w:rPr>
          <w:fldChar w:fldCharType="separate"/>
        </w:r>
        <w:r>
          <w:rPr>
            <w:webHidden/>
          </w:rPr>
          <w:t>73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67" w:history="1">
        <w:r w:rsidRPr="00C05558">
          <w:rPr>
            <w:rStyle w:val="Hyperlink"/>
            <w:rFonts w:ascii="Times New Roman" w:hAnsi="Times New Roman"/>
          </w:rPr>
          <w:t>3.</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Modèles consacrés au risque de crédit</w:t>
        </w:r>
        <w:r>
          <w:rPr>
            <w:webHidden/>
          </w:rPr>
          <w:tab/>
        </w:r>
        <w:r>
          <w:rPr>
            <w:webHidden/>
          </w:rPr>
          <w:fldChar w:fldCharType="begin"/>
        </w:r>
        <w:r>
          <w:rPr>
            <w:webHidden/>
          </w:rPr>
          <w:instrText xml:space="preserve"> PAGEREF _Toc524104167 \h </w:instrText>
        </w:r>
        <w:r>
          <w:rPr>
            <w:webHidden/>
          </w:rPr>
        </w:r>
        <w:r>
          <w:rPr>
            <w:webHidden/>
          </w:rPr>
          <w:fldChar w:fldCharType="separate"/>
        </w:r>
        <w:r>
          <w:rPr>
            <w:webHidden/>
          </w:rPr>
          <w:t>82</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68" w:history="1">
        <w:r w:rsidRPr="00C05558">
          <w:rPr>
            <w:rStyle w:val="Hyperlink"/>
            <w:rFonts w:ascii="Times New Roman" w:hAnsi="Times New Roman"/>
          </w:rPr>
          <w:t>3.1.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_Toc524104168 \h </w:instrText>
        </w:r>
        <w:r>
          <w:rPr>
            <w:webHidden/>
          </w:rPr>
        </w:r>
        <w:r>
          <w:rPr>
            <w:webHidden/>
          </w:rPr>
          <w:fldChar w:fldCharType="separate"/>
        </w:r>
        <w:r>
          <w:rPr>
            <w:webHidden/>
          </w:rPr>
          <w:t>82</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69" w:history="1">
        <w:r w:rsidRPr="00C05558">
          <w:rPr>
            <w:rStyle w:val="Hyperlink"/>
            <w:rFonts w:ascii="Times New Roman" w:hAnsi="Times New Roman"/>
          </w:rPr>
          <w:t>3.1.1.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Déclaration des techniques d'atténuation du risque de crédit avec effet de substitution</w:t>
        </w:r>
        <w:r>
          <w:rPr>
            <w:webHidden/>
          </w:rPr>
          <w:tab/>
        </w:r>
        <w:r>
          <w:rPr>
            <w:webHidden/>
          </w:rPr>
          <w:fldChar w:fldCharType="begin"/>
        </w:r>
        <w:r>
          <w:rPr>
            <w:webHidden/>
          </w:rPr>
          <w:instrText xml:space="preserve"> PAGEREF _Toc524104169 \h </w:instrText>
        </w:r>
        <w:r>
          <w:rPr>
            <w:webHidden/>
          </w:rPr>
        </w:r>
        <w:r>
          <w:rPr>
            <w:webHidden/>
          </w:rPr>
          <w:fldChar w:fldCharType="separate"/>
        </w:r>
        <w:r>
          <w:rPr>
            <w:webHidden/>
          </w:rPr>
          <w:t>82</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70" w:history="1">
        <w:r w:rsidRPr="00C05558">
          <w:rPr>
            <w:rStyle w:val="Hyperlink"/>
            <w:rFonts w:ascii="Times New Roman" w:hAnsi="Times New Roman"/>
          </w:rPr>
          <w:t>3.1.2.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Déclaration du risque de crédit de contrepartie</w:t>
        </w:r>
        <w:r>
          <w:rPr>
            <w:webHidden/>
          </w:rPr>
          <w:tab/>
        </w:r>
        <w:r>
          <w:rPr>
            <w:webHidden/>
          </w:rPr>
          <w:fldChar w:fldCharType="begin"/>
        </w:r>
        <w:r>
          <w:rPr>
            <w:webHidden/>
          </w:rPr>
          <w:instrText xml:space="preserve"> PAGEREF _Toc524104170 \h </w:instrText>
        </w:r>
        <w:r>
          <w:rPr>
            <w:webHidden/>
          </w:rPr>
        </w:r>
        <w:r>
          <w:rPr>
            <w:webHidden/>
          </w:rPr>
          <w:fldChar w:fldCharType="separate"/>
        </w:r>
        <w:r>
          <w:rPr>
            <w:webHidden/>
          </w:rPr>
          <w:t>83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71" w:history="1">
        <w:r w:rsidRPr="00C05558">
          <w:rPr>
            <w:rStyle w:val="Hyperlink"/>
            <w:rFonts w:ascii="Times New Roman" w:hAnsi="Times New Roman"/>
          </w:rPr>
          <w:t>3.2.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07.00 – Risques de crédit et de crédit de contrepartie et positions de négociation non dénouées: Approche standard des exigences de fonds propres (CR SA)</w:t>
        </w:r>
        <w:r>
          <w:rPr>
            <w:webHidden/>
          </w:rPr>
          <w:tab/>
        </w:r>
        <w:r>
          <w:rPr>
            <w:webHidden/>
          </w:rPr>
          <w:fldChar w:fldCharType="begin"/>
        </w:r>
        <w:r>
          <w:rPr>
            <w:webHidden/>
          </w:rPr>
          <w:instrText xml:space="preserve"> PAGEREF _Toc524104171 \h </w:instrText>
        </w:r>
        <w:r>
          <w:rPr>
            <w:webHidden/>
          </w:rPr>
        </w:r>
        <w:r>
          <w:rPr>
            <w:webHidden/>
          </w:rPr>
          <w:fldChar w:fldCharType="separate"/>
        </w:r>
        <w:r>
          <w:rPr>
            <w:webHidden/>
          </w:rPr>
          <w:t>83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72" w:history="1">
        <w:r w:rsidRPr="00C05558">
          <w:rPr>
            <w:rStyle w:val="Hyperlink"/>
            <w:rFonts w:ascii="Times New Roman" w:hAnsi="Times New Roman"/>
          </w:rPr>
          <w:t>3.2.1.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_Toc524104172 \h </w:instrText>
        </w:r>
        <w:r>
          <w:rPr>
            <w:webHidden/>
          </w:rPr>
        </w:r>
        <w:r>
          <w:rPr>
            <w:webHidden/>
          </w:rPr>
          <w:fldChar w:fldCharType="separate"/>
        </w:r>
        <w:r>
          <w:rPr>
            <w:webHidden/>
          </w:rPr>
          <w:t>83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73" w:history="1">
        <w:r w:rsidRPr="00C05558">
          <w:rPr>
            <w:rStyle w:val="Hyperlink"/>
            <w:rFonts w:ascii="Times New Roman" w:hAnsi="Times New Roman"/>
          </w:rPr>
          <w:t>3.2.2.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Champ d'application du modèle CR SA</w:t>
        </w:r>
        <w:r>
          <w:rPr>
            <w:webHidden/>
          </w:rPr>
          <w:tab/>
        </w:r>
        <w:r>
          <w:rPr>
            <w:webHidden/>
          </w:rPr>
          <w:fldChar w:fldCharType="begin"/>
        </w:r>
        <w:r>
          <w:rPr>
            <w:webHidden/>
          </w:rPr>
          <w:instrText xml:space="preserve"> PAGEREF _Toc524104173 \h </w:instrText>
        </w:r>
        <w:r>
          <w:rPr>
            <w:webHidden/>
          </w:rPr>
        </w:r>
        <w:r>
          <w:rPr>
            <w:webHidden/>
          </w:rPr>
          <w:fldChar w:fldCharType="separate"/>
        </w:r>
        <w:r>
          <w:rPr>
            <w:webHidden/>
          </w:rPr>
          <w:t>83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74" w:history="1">
        <w:r w:rsidRPr="00C05558">
          <w:rPr>
            <w:rStyle w:val="Hyperlink"/>
            <w:rFonts w:ascii="Times New Roman" w:hAnsi="Times New Roman"/>
          </w:rPr>
          <w:t>3.2.3.</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 xml:space="preserve"> Affectation des expositions aux catégories d'expositions, selon l'approche standard</w:t>
        </w:r>
        <w:r>
          <w:rPr>
            <w:webHidden/>
          </w:rPr>
          <w:tab/>
        </w:r>
        <w:r>
          <w:rPr>
            <w:webHidden/>
          </w:rPr>
          <w:fldChar w:fldCharType="begin"/>
        </w:r>
        <w:r>
          <w:rPr>
            <w:webHidden/>
          </w:rPr>
          <w:instrText xml:space="preserve"> PAGEREF _Toc524104174 \h </w:instrText>
        </w:r>
        <w:r>
          <w:rPr>
            <w:webHidden/>
          </w:rPr>
        </w:r>
        <w:r>
          <w:rPr>
            <w:webHidden/>
          </w:rPr>
          <w:fldChar w:fldCharType="separate"/>
        </w:r>
        <w:r>
          <w:rPr>
            <w:webHidden/>
          </w:rPr>
          <w:t>85</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75" w:history="1">
        <w:r w:rsidRPr="00C05558">
          <w:rPr>
            <w:rStyle w:val="Hyperlink"/>
            <w:rFonts w:ascii="Times New Roman" w:hAnsi="Times New Roman"/>
          </w:rPr>
          <w:t>3.2.4.</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Éclaircissements sur l'étendue de certaines catégories d'expositions visées à l'article 112 du CRR</w:t>
        </w:r>
        <w:r>
          <w:rPr>
            <w:webHidden/>
          </w:rPr>
          <w:tab/>
        </w:r>
        <w:r>
          <w:rPr>
            <w:webHidden/>
          </w:rPr>
          <w:fldChar w:fldCharType="begin"/>
        </w:r>
        <w:r>
          <w:rPr>
            <w:webHidden/>
          </w:rPr>
          <w:instrText xml:space="preserve"> PAGEREF _Toc524104175 \h </w:instrText>
        </w:r>
        <w:r>
          <w:rPr>
            <w:webHidden/>
          </w:rPr>
        </w:r>
        <w:r>
          <w:rPr>
            <w:webHidden/>
          </w:rPr>
          <w:fldChar w:fldCharType="separate"/>
        </w:r>
        <w:r>
          <w:rPr>
            <w:webHidden/>
          </w:rPr>
          <w:t>91</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76" w:history="1">
        <w:r w:rsidRPr="00C05558">
          <w:rPr>
            <w:rStyle w:val="Hyperlink"/>
            <w:rFonts w:ascii="Times New Roman" w:hAnsi="Times New Roman"/>
          </w:rPr>
          <w:t>3.2.4.1.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Catégorie d'expositions «Établissements»</w:t>
        </w:r>
        <w:r>
          <w:rPr>
            <w:webHidden/>
          </w:rPr>
          <w:tab/>
        </w:r>
        <w:r>
          <w:rPr>
            <w:webHidden/>
          </w:rPr>
          <w:fldChar w:fldCharType="begin"/>
        </w:r>
        <w:r>
          <w:rPr>
            <w:webHidden/>
          </w:rPr>
          <w:instrText xml:space="preserve"> PAGEREF _Toc524104176 \h </w:instrText>
        </w:r>
        <w:r>
          <w:rPr>
            <w:webHidden/>
          </w:rPr>
        </w:r>
        <w:r>
          <w:rPr>
            <w:webHidden/>
          </w:rPr>
          <w:fldChar w:fldCharType="separate"/>
        </w:r>
        <w:r>
          <w:rPr>
            <w:webHidden/>
          </w:rPr>
          <w:t>91</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77" w:history="1">
        <w:r w:rsidRPr="00C05558">
          <w:rPr>
            <w:rStyle w:val="Hyperlink"/>
            <w:rFonts w:ascii="Times New Roman" w:hAnsi="Times New Roman"/>
          </w:rPr>
          <w:t>3.2.4.2.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Catégorie d'expositions «Obligations garanties»</w:t>
        </w:r>
        <w:r>
          <w:rPr>
            <w:webHidden/>
          </w:rPr>
          <w:tab/>
        </w:r>
        <w:r>
          <w:rPr>
            <w:webHidden/>
          </w:rPr>
          <w:fldChar w:fldCharType="begin"/>
        </w:r>
        <w:r>
          <w:rPr>
            <w:webHidden/>
          </w:rPr>
          <w:instrText xml:space="preserve"> PAGEREF _Toc524104177 \h </w:instrText>
        </w:r>
        <w:r>
          <w:rPr>
            <w:webHidden/>
          </w:rPr>
        </w:r>
        <w:r>
          <w:rPr>
            <w:webHidden/>
          </w:rPr>
          <w:fldChar w:fldCharType="separate"/>
        </w:r>
        <w:r>
          <w:rPr>
            <w:webHidden/>
          </w:rPr>
          <w:t>91</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78" w:history="1">
        <w:r w:rsidRPr="00C05558">
          <w:rPr>
            <w:rStyle w:val="Hyperlink"/>
            <w:rFonts w:ascii="Times New Roman" w:hAnsi="Times New Roman"/>
          </w:rPr>
          <w:t>3.2.4.3.</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Catégorie d'exposition «OPC»</w:t>
        </w:r>
        <w:r>
          <w:rPr>
            <w:webHidden/>
          </w:rPr>
          <w:tab/>
        </w:r>
        <w:r>
          <w:rPr>
            <w:webHidden/>
          </w:rPr>
          <w:fldChar w:fldCharType="begin"/>
        </w:r>
        <w:r>
          <w:rPr>
            <w:webHidden/>
          </w:rPr>
          <w:instrText xml:space="preserve"> PAGEREF _Toc524104178 \h </w:instrText>
        </w:r>
        <w:r>
          <w:rPr>
            <w:webHidden/>
          </w:rPr>
        </w:r>
        <w:r>
          <w:rPr>
            <w:webHidden/>
          </w:rPr>
          <w:fldChar w:fldCharType="separate"/>
        </w:r>
        <w:r>
          <w:rPr>
            <w:webHidden/>
          </w:rPr>
          <w:t>91</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79" w:history="1">
        <w:r w:rsidRPr="00C05558">
          <w:rPr>
            <w:rStyle w:val="Hyperlink"/>
            <w:rFonts w:ascii="Times New Roman" w:hAnsi="Times New Roman"/>
          </w:rPr>
          <w:t>3.2.5.</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_Toc524104179 \h </w:instrText>
        </w:r>
        <w:r>
          <w:rPr>
            <w:webHidden/>
          </w:rPr>
        </w:r>
        <w:r>
          <w:rPr>
            <w:webHidden/>
          </w:rPr>
          <w:fldChar w:fldCharType="separate"/>
        </w:r>
        <w:r>
          <w:rPr>
            <w:webHidden/>
          </w:rPr>
          <w:t>91</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80" w:history="1">
        <w:r w:rsidRPr="00C05558">
          <w:rPr>
            <w:rStyle w:val="Hyperlink"/>
            <w:rFonts w:ascii="Times New Roman" w:hAnsi="Times New Roman"/>
          </w:rPr>
          <w:t>3.3.</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Risque de crédit et de crédit de contrepartie et positions de négociation non dénouées: Approche NI des exigences de fonds propres (CR IRB)</w:t>
        </w:r>
        <w:r>
          <w:rPr>
            <w:webHidden/>
          </w:rPr>
          <w:tab/>
        </w:r>
        <w:r>
          <w:rPr>
            <w:webHidden/>
          </w:rPr>
          <w:fldChar w:fldCharType="begin"/>
        </w:r>
        <w:r>
          <w:rPr>
            <w:webHidden/>
          </w:rPr>
          <w:instrText xml:space="preserve"> PAGEREF _Toc524104180 \h </w:instrText>
        </w:r>
        <w:r>
          <w:rPr>
            <w:webHidden/>
          </w:rPr>
        </w:r>
        <w:r>
          <w:rPr>
            <w:webHidden/>
          </w:rPr>
          <w:fldChar w:fldCharType="separate"/>
        </w:r>
        <w:r>
          <w:rPr>
            <w:webHidden/>
          </w:rPr>
          <w:t>99</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81" w:history="1">
        <w:r w:rsidRPr="00C05558">
          <w:rPr>
            <w:rStyle w:val="Hyperlink"/>
            <w:rFonts w:ascii="Times New Roman" w:hAnsi="Times New Roman"/>
          </w:rPr>
          <w:t>3.3.1.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Champ d'application du modèle CR IRB</w:t>
        </w:r>
        <w:r>
          <w:rPr>
            <w:webHidden/>
          </w:rPr>
          <w:tab/>
        </w:r>
        <w:r>
          <w:rPr>
            <w:webHidden/>
          </w:rPr>
          <w:fldChar w:fldCharType="begin"/>
        </w:r>
        <w:r>
          <w:rPr>
            <w:webHidden/>
          </w:rPr>
          <w:instrText xml:space="preserve"> PAGEREF _Toc524104181 \h </w:instrText>
        </w:r>
        <w:r>
          <w:rPr>
            <w:webHidden/>
          </w:rPr>
        </w:r>
        <w:r>
          <w:rPr>
            <w:webHidden/>
          </w:rPr>
          <w:fldChar w:fldCharType="separate"/>
        </w:r>
        <w:r>
          <w:rPr>
            <w:webHidden/>
          </w:rPr>
          <w:t>99</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82" w:history="1">
        <w:r w:rsidRPr="00C05558">
          <w:rPr>
            <w:rStyle w:val="Hyperlink"/>
            <w:rFonts w:ascii="Times New Roman" w:hAnsi="Times New Roman"/>
          </w:rPr>
          <w:t>3.3.2.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Décomposition du modèle CR IRB</w:t>
        </w:r>
        <w:r>
          <w:rPr>
            <w:webHidden/>
          </w:rPr>
          <w:tab/>
        </w:r>
        <w:r>
          <w:rPr>
            <w:webHidden/>
          </w:rPr>
          <w:fldChar w:fldCharType="begin"/>
        </w:r>
        <w:r>
          <w:rPr>
            <w:webHidden/>
          </w:rPr>
          <w:instrText xml:space="preserve"> PAGEREF _Toc524104182 \h </w:instrText>
        </w:r>
        <w:r>
          <w:rPr>
            <w:webHidden/>
          </w:rPr>
        </w:r>
        <w:r>
          <w:rPr>
            <w:webHidden/>
          </w:rPr>
          <w:fldChar w:fldCharType="separate"/>
        </w:r>
        <w:r>
          <w:rPr>
            <w:webHidden/>
          </w:rPr>
          <w:t>101</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83" w:history="1">
        <w:r w:rsidRPr="00C05558">
          <w:rPr>
            <w:rStyle w:val="Hyperlink"/>
            <w:rFonts w:ascii="Times New Roman" w:hAnsi="Times New Roman"/>
          </w:rPr>
          <w:t>3.3.3.</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08.01 – Risque de crédit et de crédit de contrepartie et positions de négociation non dénouées: Approche NI des exigences de fonds propres (CR IRB 1)</w:t>
        </w:r>
        <w:r>
          <w:rPr>
            <w:webHidden/>
          </w:rPr>
          <w:tab/>
        </w:r>
        <w:r>
          <w:rPr>
            <w:webHidden/>
          </w:rPr>
          <w:fldChar w:fldCharType="begin"/>
        </w:r>
        <w:r>
          <w:rPr>
            <w:webHidden/>
          </w:rPr>
          <w:instrText xml:space="preserve"> PAGEREF _Toc524104183 \h </w:instrText>
        </w:r>
        <w:r>
          <w:rPr>
            <w:webHidden/>
          </w:rPr>
        </w:r>
        <w:r>
          <w:rPr>
            <w:webHidden/>
          </w:rPr>
          <w:fldChar w:fldCharType="separate"/>
        </w:r>
        <w:r>
          <w:rPr>
            <w:webHidden/>
          </w:rPr>
          <w:t>101</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84" w:history="1">
        <w:r w:rsidRPr="00C05558">
          <w:rPr>
            <w:rStyle w:val="Hyperlink"/>
            <w:rFonts w:ascii="Times New Roman" w:hAnsi="Times New Roman"/>
          </w:rPr>
          <w:t>3.3.3.1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_Toc524104184 \h </w:instrText>
        </w:r>
        <w:r>
          <w:rPr>
            <w:webHidden/>
          </w:rPr>
        </w:r>
        <w:r>
          <w:rPr>
            <w:webHidden/>
          </w:rPr>
          <w:fldChar w:fldCharType="separate"/>
        </w:r>
        <w:r>
          <w:rPr>
            <w:webHidden/>
          </w:rPr>
          <w:t>101</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85" w:history="1">
        <w:r w:rsidRPr="00C05558">
          <w:rPr>
            <w:rStyle w:val="Hyperlink"/>
            <w:rFonts w:ascii="Times New Roman" w:hAnsi="Times New Roman"/>
          </w:rPr>
          <w:t>3.3.4.</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08.02 - Risques de crédit et de crédit de contrepartie et positions de négociation non dénouées: Approche NI des exigences de fonds propres (répartition par échelon ou catégorie de débiteurs (modèle CR IRB 2)</w:t>
        </w:r>
        <w:r>
          <w:rPr>
            <w:webHidden/>
          </w:rPr>
          <w:tab/>
        </w:r>
        <w:r>
          <w:rPr>
            <w:webHidden/>
          </w:rPr>
          <w:fldChar w:fldCharType="begin"/>
        </w:r>
        <w:r>
          <w:rPr>
            <w:webHidden/>
          </w:rPr>
          <w:instrText xml:space="preserve"> PAGEREF _Toc524104185 \h </w:instrText>
        </w:r>
        <w:r>
          <w:rPr>
            <w:webHidden/>
          </w:rPr>
        </w:r>
        <w:r>
          <w:rPr>
            <w:webHidden/>
          </w:rPr>
          <w:fldChar w:fldCharType="separate"/>
        </w:r>
        <w:r>
          <w:rPr>
            <w:webHidden/>
          </w:rPr>
          <w:t>111</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86" w:history="1">
        <w:r w:rsidRPr="00C05558">
          <w:rPr>
            <w:rStyle w:val="Hyperlink"/>
            <w:rFonts w:ascii="Times New Roman" w:hAnsi="Times New Roman"/>
          </w:rPr>
          <w:t>3.4.</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Risque de crédit et de crédit de contrepartie et positions de négociation non dénouées: Informations concernant la répartition géographique</w:t>
        </w:r>
        <w:r>
          <w:rPr>
            <w:webHidden/>
          </w:rPr>
          <w:tab/>
        </w:r>
        <w:r>
          <w:rPr>
            <w:webHidden/>
          </w:rPr>
          <w:fldChar w:fldCharType="begin"/>
        </w:r>
        <w:r>
          <w:rPr>
            <w:webHidden/>
          </w:rPr>
          <w:instrText xml:space="preserve"> PAGEREF _Toc524104186 \h </w:instrText>
        </w:r>
        <w:r>
          <w:rPr>
            <w:webHidden/>
          </w:rPr>
        </w:r>
        <w:r>
          <w:rPr>
            <w:webHidden/>
          </w:rPr>
          <w:fldChar w:fldCharType="separate"/>
        </w:r>
        <w:r>
          <w:rPr>
            <w:webHidden/>
          </w:rPr>
          <w:t>112</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87" w:history="1">
        <w:r w:rsidRPr="00C05558">
          <w:rPr>
            <w:rStyle w:val="Hyperlink"/>
            <w:rFonts w:ascii="Times New Roman" w:hAnsi="Times New Roman"/>
          </w:rPr>
          <w:t>3.4.1.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09.01 – Répartition géographique des expositions par pays de résidence du débiteur: expositions en approche standard (CR GB 1)</w:t>
        </w:r>
        <w:r>
          <w:rPr>
            <w:webHidden/>
          </w:rPr>
          <w:tab/>
        </w:r>
        <w:r>
          <w:rPr>
            <w:webHidden/>
          </w:rPr>
          <w:fldChar w:fldCharType="begin"/>
        </w:r>
        <w:r>
          <w:rPr>
            <w:webHidden/>
          </w:rPr>
          <w:instrText xml:space="preserve"> PAGEREF _Toc524104187 \h </w:instrText>
        </w:r>
        <w:r>
          <w:rPr>
            <w:webHidden/>
          </w:rPr>
        </w:r>
        <w:r>
          <w:rPr>
            <w:webHidden/>
          </w:rPr>
          <w:fldChar w:fldCharType="separate"/>
        </w:r>
        <w:r>
          <w:rPr>
            <w:webHidden/>
          </w:rPr>
          <w:t>112</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88" w:history="1">
        <w:r w:rsidRPr="00C05558">
          <w:rPr>
            <w:rStyle w:val="Hyperlink"/>
            <w:rFonts w:ascii="Times New Roman" w:hAnsi="Times New Roman"/>
          </w:rPr>
          <w:t>3.4.1.1.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_Toc524104188 \h </w:instrText>
        </w:r>
        <w:r>
          <w:rPr>
            <w:webHidden/>
          </w:rPr>
        </w:r>
        <w:r>
          <w:rPr>
            <w:webHidden/>
          </w:rPr>
          <w:fldChar w:fldCharType="separate"/>
        </w:r>
        <w:r>
          <w:rPr>
            <w:webHidden/>
          </w:rPr>
          <w:t>112</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89" w:history="1">
        <w:r w:rsidRPr="00C05558">
          <w:rPr>
            <w:rStyle w:val="Hyperlink"/>
            <w:rFonts w:ascii="Times New Roman" w:hAnsi="Times New Roman"/>
          </w:rPr>
          <w:t>3.4.2.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09.02 – Répartition géographique des expositions par pays de résidence du débiteur: expositions en approche NI (CR GB 2)</w:t>
        </w:r>
        <w:r>
          <w:rPr>
            <w:webHidden/>
          </w:rPr>
          <w:tab/>
        </w:r>
        <w:r>
          <w:rPr>
            <w:webHidden/>
          </w:rPr>
          <w:fldChar w:fldCharType="begin"/>
        </w:r>
        <w:r>
          <w:rPr>
            <w:webHidden/>
          </w:rPr>
          <w:instrText xml:space="preserve"> PAGEREF _Toc524104189 \h </w:instrText>
        </w:r>
        <w:r>
          <w:rPr>
            <w:webHidden/>
          </w:rPr>
        </w:r>
        <w:r>
          <w:rPr>
            <w:webHidden/>
          </w:rPr>
          <w:fldChar w:fldCharType="separate"/>
        </w:r>
        <w:r>
          <w:rPr>
            <w:webHidden/>
          </w:rPr>
          <w:t>115</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90" w:history="1">
        <w:r w:rsidRPr="00C05558">
          <w:rPr>
            <w:rStyle w:val="Hyperlink"/>
            <w:rFonts w:ascii="Times New Roman" w:hAnsi="Times New Roman"/>
          </w:rPr>
          <w:t>3.4.2.1.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_Toc524104190 \h </w:instrText>
        </w:r>
        <w:r>
          <w:rPr>
            <w:webHidden/>
          </w:rPr>
        </w:r>
        <w:r>
          <w:rPr>
            <w:webHidden/>
          </w:rPr>
          <w:fldChar w:fldCharType="separate"/>
        </w:r>
        <w:r>
          <w:rPr>
            <w:webHidden/>
          </w:rPr>
          <w:t>115</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91" w:history="1">
        <w:r w:rsidRPr="00C05558">
          <w:rPr>
            <w:rStyle w:val="Hyperlink"/>
            <w:rFonts w:ascii="Times New Roman" w:hAnsi="Times New Roman"/>
          </w:rPr>
          <w:t>3.4.3.</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09.04 – Répartition des expositions de crédit pertinentes pour le calcul du coussin contracyclique par pays et du taux de coussin contracyclique spécifique à l'établissement (CCB)</w:t>
        </w:r>
        <w:r>
          <w:rPr>
            <w:webHidden/>
          </w:rPr>
          <w:tab/>
        </w:r>
        <w:r>
          <w:rPr>
            <w:webHidden/>
          </w:rPr>
          <w:fldChar w:fldCharType="begin"/>
        </w:r>
        <w:r>
          <w:rPr>
            <w:webHidden/>
          </w:rPr>
          <w:instrText xml:space="preserve"> PAGEREF _Toc524104191 \h </w:instrText>
        </w:r>
        <w:r>
          <w:rPr>
            <w:webHidden/>
          </w:rPr>
        </w:r>
        <w:r>
          <w:rPr>
            <w:webHidden/>
          </w:rPr>
          <w:fldChar w:fldCharType="separate"/>
        </w:r>
        <w:r>
          <w:rPr>
            <w:webHidden/>
          </w:rPr>
          <w:t>118</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92" w:history="1">
        <w:r w:rsidRPr="00C05558">
          <w:rPr>
            <w:rStyle w:val="Hyperlink"/>
            <w:rFonts w:ascii="Times New Roman" w:hAnsi="Times New Roman"/>
          </w:rPr>
          <w:t>3.4.3.1.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_Toc524104192 \h </w:instrText>
        </w:r>
        <w:r>
          <w:rPr>
            <w:webHidden/>
          </w:rPr>
        </w:r>
        <w:r>
          <w:rPr>
            <w:webHidden/>
          </w:rPr>
          <w:fldChar w:fldCharType="separate"/>
        </w:r>
        <w:r>
          <w:rPr>
            <w:webHidden/>
          </w:rPr>
          <w:t>118</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93" w:history="1">
        <w:r w:rsidRPr="00C05558">
          <w:rPr>
            <w:rStyle w:val="Hyperlink"/>
            <w:rFonts w:ascii="Times New Roman" w:hAnsi="Times New Roman"/>
          </w:rPr>
          <w:t>3.4.3.2.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_Toc524104193 \h </w:instrText>
        </w:r>
        <w:r>
          <w:rPr>
            <w:webHidden/>
          </w:rPr>
        </w:r>
        <w:r>
          <w:rPr>
            <w:webHidden/>
          </w:rPr>
          <w:fldChar w:fldCharType="separate"/>
        </w:r>
        <w:r>
          <w:rPr>
            <w:webHidden/>
          </w:rPr>
          <w:t>119</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94" w:history="1">
        <w:r w:rsidRPr="00C05558">
          <w:rPr>
            <w:rStyle w:val="Hyperlink"/>
            <w:rFonts w:ascii="Times New Roman" w:hAnsi="Times New Roman"/>
          </w:rPr>
          <w:t>3.5.</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10.01 et C 10.02 – Expositions sous forme d'actions selon l’approche NI (CR EQU IRB 1 ET CR EQU IRB 2)</w:t>
        </w:r>
        <w:r>
          <w:rPr>
            <w:webHidden/>
          </w:rPr>
          <w:tab/>
        </w:r>
        <w:r>
          <w:rPr>
            <w:webHidden/>
          </w:rPr>
          <w:fldChar w:fldCharType="begin"/>
        </w:r>
        <w:r>
          <w:rPr>
            <w:webHidden/>
          </w:rPr>
          <w:instrText xml:space="preserve"> PAGEREF _Toc524104194 \h </w:instrText>
        </w:r>
        <w:r>
          <w:rPr>
            <w:webHidden/>
          </w:rPr>
        </w:r>
        <w:r>
          <w:rPr>
            <w:webHidden/>
          </w:rPr>
          <w:fldChar w:fldCharType="separate"/>
        </w:r>
        <w:r>
          <w:rPr>
            <w:webHidden/>
          </w:rPr>
          <w:t>124</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95" w:history="1">
        <w:r w:rsidRPr="00C05558">
          <w:rPr>
            <w:rStyle w:val="Hyperlink"/>
            <w:rFonts w:ascii="Times New Roman" w:hAnsi="Times New Roman"/>
          </w:rPr>
          <w:t>3.5.1.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_Toc524104195 \h </w:instrText>
        </w:r>
        <w:r>
          <w:rPr>
            <w:webHidden/>
          </w:rPr>
        </w:r>
        <w:r>
          <w:rPr>
            <w:webHidden/>
          </w:rPr>
          <w:fldChar w:fldCharType="separate"/>
        </w:r>
        <w:r>
          <w:rPr>
            <w:webHidden/>
          </w:rPr>
          <w:t>124</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96" w:history="1">
        <w:r w:rsidRPr="00C05558">
          <w:rPr>
            <w:rStyle w:val="Hyperlink"/>
            <w:rFonts w:ascii="Times New Roman" w:hAnsi="Times New Roman"/>
          </w:rPr>
          <w:t>3.5.2.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 (applicables aux sous-modèles CR EQU IRB 1 et CR EQU IRB 2)</w:t>
        </w:r>
        <w:r>
          <w:rPr>
            <w:webHidden/>
          </w:rPr>
          <w:tab/>
        </w:r>
        <w:r>
          <w:rPr>
            <w:webHidden/>
          </w:rPr>
          <w:fldChar w:fldCharType="begin"/>
        </w:r>
        <w:r>
          <w:rPr>
            <w:webHidden/>
          </w:rPr>
          <w:instrText xml:space="preserve"> PAGEREF _Toc524104196 \h </w:instrText>
        </w:r>
        <w:r>
          <w:rPr>
            <w:webHidden/>
          </w:rPr>
        </w:r>
        <w:r>
          <w:rPr>
            <w:webHidden/>
          </w:rPr>
          <w:fldChar w:fldCharType="separate"/>
        </w:r>
        <w:r>
          <w:rPr>
            <w:webHidden/>
          </w:rPr>
          <w:t>125</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97" w:history="1">
        <w:r w:rsidRPr="00C05558">
          <w:rPr>
            <w:rStyle w:val="Hyperlink"/>
            <w:rFonts w:ascii="Times New Roman" w:hAnsi="Times New Roman"/>
          </w:rPr>
          <w:t>3.6.</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11.00 – Risque de règlement/livraison (CR SETT)</w:t>
        </w:r>
        <w:r>
          <w:rPr>
            <w:webHidden/>
          </w:rPr>
          <w:tab/>
        </w:r>
        <w:r>
          <w:rPr>
            <w:webHidden/>
          </w:rPr>
          <w:fldChar w:fldCharType="begin"/>
        </w:r>
        <w:r>
          <w:rPr>
            <w:webHidden/>
          </w:rPr>
          <w:instrText xml:space="preserve"> PAGEREF _Toc524104197 \h </w:instrText>
        </w:r>
        <w:r>
          <w:rPr>
            <w:webHidden/>
          </w:rPr>
        </w:r>
        <w:r>
          <w:rPr>
            <w:webHidden/>
          </w:rPr>
          <w:fldChar w:fldCharType="separate"/>
        </w:r>
        <w:r>
          <w:rPr>
            <w:webHidden/>
          </w:rPr>
          <w:t>129</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98" w:history="1">
        <w:r w:rsidRPr="00C05558">
          <w:rPr>
            <w:rStyle w:val="Hyperlink"/>
            <w:rFonts w:ascii="Times New Roman" w:hAnsi="Times New Roman"/>
          </w:rPr>
          <w:t>3.6.1.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_Toc524104198 \h </w:instrText>
        </w:r>
        <w:r>
          <w:rPr>
            <w:webHidden/>
          </w:rPr>
        </w:r>
        <w:r>
          <w:rPr>
            <w:webHidden/>
          </w:rPr>
          <w:fldChar w:fldCharType="separate"/>
        </w:r>
        <w:r>
          <w:rPr>
            <w:webHidden/>
          </w:rPr>
          <w:t>129</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199" w:history="1">
        <w:r w:rsidRPr="00C05558">
          <w:rPr>
            <w:rStyle w:val="Hyperlink"/>
            <w:rFonts w:ascii="Times New Roman" w:hAnsi="Times New Roman"/>
          </w:rPr>
          <w:t>3.6.2.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_Toc524104199 \h </w:instrText>
        </w:r>
        <w:r>
          <w:rPr>
            <w:webHidden/>
          </w:rPr>
        </w:r>
        <w:r>
          <w:rPr>
            <w:webHidden/>
          </w:rPr>
          <w:fldChar w:fldCharType="separate"/>
        </w:r>
        <w:r>
          <w:rPr>
            <w:webHidden/>
          </w:rPr>
          <w:t>130</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00" w:history="1">
        <w:r w:rsidRPr="00C05558">
          <w:rPr>
            <w:rStyle w:val="Hyperlink"/>
            <w:rFonts w:ascii="Times New Roman" w:hAnsi="Times New Roman"/>
          </w:rPr>
          <w:t>3.7.</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12.00 – Risque de crédit: Titrisations - approche standard des exigences de fonds propres (CR SEC SA)</w:t>
        </w:r>
        <w:r>
          <w:rPr>
            <w:webHidden/>
          </w:rPr>
          <w:tab/>
        </w:r>
        <w:r>
          <w:rPr>
            <w:webHidden/>
          </w:rPr>
          <w:fldChar w:fldCharType="begin"/>
        </w:r>
        <w:r>
          <w:rPr>
            <w:webHidden/>
          </w:rPr>
          <w:instrText xml:space="preserve"> PAGEREF _Toc524104200 \h </w:instrText>
        </w:r>
        <w:r>
          <w:rPr>
            <w:webHidden/>
          </w:rPr>
        </w:r>
        <w:r>
          <w:rPr>
            <w:webHidden/>
          </w:rPr>
          <w:fldChar w:fldCharType="separate"/>
        </w:r>
        <w:r>
          <w:rPr>
            <w:webHidden/>
          </w:rPr>
          <w:t>133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01" w:history="1">
        <w:r w:rsidRPr="00C05558">
          <w:rPr>
            <w:rStyle w:val="Hyperlink"/>
            <w:rFonts w:ascii="Times New Roman" w:hAnsi="Times New Roman"/>
          </w:rPr>
          <w:t>3.7.1.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_Toc524104201 \h </w:instrText>
        </w:r>
        <w:r>
          <w:rPr>
            <w:webHidden/>
          </w:rPr>
        </w:r>
        <w:r>
          <w:rPr>
            <w:webHidden/>
          </w:rPr>
          <w:fldChar w:fldCharType="separate"/>
        </w:r>
        <w:r>
          <w:rPr>
            <w:webHidden/>
          </w:rPr>
          <w:t>133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02" w:history="1">
        <w:r w:rsidRPr="00C05558">
          <w:rPr>
            <w:rStyle w:val="Hyperlink"/>
            <w:rFonts w:ascii="Times New Roman" w:hAnsi="Times New Roman"/>
          </w:rPr>
          <w:t>3.7.2.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_Toc524104202 \h </w:instrText>
        </w:r>
        <w:r>
          <w:rPr>
            <w:webHidden/>
          </w:rPr>
        </w:r>
        <w:r>
          <w:rPr>
            <w:webHidden/>
          </w:rPr>
          <w:fldChar w:fldCharType="separate"/>
        </w:r>
        <w:r>
          <w:rPr>
            <w:webHidden/>
          </w:rPr>
          <w:t>133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03" w:history="1">
        <w:r w:rsidRPr="00C05558">
          <w:rPr>
            <w:rStyle w:val="Hyperlink"/>
            <w:rFonts w:ascii="Times New Roman" w:hAnsi="Times New Roman"/>
          </w:rPr>
          <w:t>3.8.</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13.00 - Risque de crédit – Titrisations: approche NI des exigences de fonds propres (CR SEC IRB)</w:t>
        </w:r>
        <w:r>
          <w:rPr>
            <w:webHidden/>
          </w:rPr>
          <w:tab/>
        </w:r>
        <w:r>
          <w:rPr>
            <w:webHidden/>
          </w:rPr>
          <w:fldChar w:fldCharType="begin"/>
        </w:r>
        <w:r>
          <w:rPr>
            <w:webHidden/>
          </w:rPr>
          <w:instrText xml:space="preserve"> PAGEREF _Toc524104203 \h </w:instrText>
        </w:r>
        <w:r>
          <w:rPr>
            <w:webHidden/>
          </w:rPr>
        </w:r>
        <w:r>
          <w:rPr>
            <w:webHidden/>
          </w:rPr>
          <w:fldChar w:fldCharType="separate"/>
        </w:r>
        <w:r>
          <w:rPr>
            <w:webHidden/>
          </w:rPr>
          <w:t>143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04" w:history="1">
        <w:r w:rsidRPr="00C05558">
          <w:rPr>
            <w:rStyle w:val="Hyperlink"/>
            <w:rFonts w:ascii="Times New Roman" w:hAnsi="Times New Roman"/>
          </w:rPr>
          <w:t>3.8.1.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_Toc524104204 \h </w:instrText>
        </w:r>
        <w:r>
          <w:rPr>
            <w:webHidden/>
          </w:rPr>
        </w:r>
        <w:r>
          <w:rPr>
            <w:webHidden/>
          </w:rPr>
          <w:fldChar w:fldCharType="separate"/>
        </w:r>
        <w:r>
          <w:rPr>
            <w:webHidden/>
          </w:rPr>
          <w:t>143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05" w:history="1">
        <w:r w:rsidRPr="00C05558">
          <w:rPr>
            <w:rStyle w:val="Hyperlink"/>
            <w:rFonts w:ascii="Times New Roman" w:hAnsi="Times New Roman"/>
          </w:rPr>
          <w:t>3.8.2.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_Toc524104205 \h </w:instrText>
        </w:r>
        <w:r>
          <w:rPr>
            <w:webHidden/>
          </w:rPr>
        </w:r>
        <w:r>
          <w:rPr>
            <w:webHidden/>
          </w:rPr>
          <w:fldChar w:fldCharType="separate"/>
        </w:r>
        <w:r>
          <w:rPr>
            <w:webHidden/>
          </w:rPr>
          <w:t>143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06" w:history="1">
        <w:r w:rsidRPr="00C05558">
          <w:rPr>
            <w:rStyle w:val="Hyperlink"/>
            <w:rFonts w:ascii="Times New Roman" w:hAnsi="Times New Roman"/>
          </w:rPr>
          <w:t>3.9.</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14.00 – Informations détaillées sur les titrisations (SEC DETAILS)</w:t>
        </w:r>
        <w:r>
          <w:rPr>
            <w:webHidden/>
          </w:rPr>
          <w:tab/>
        </w:r>
        <w:r>
          <w:rPr>
            <w:webHidden/>
          </w:rPr>
          <w:fldChar w:fldCharType="begin"/>
        </w:r>
        <w:r>
          <w:rPr>
            <w:webHidden/>
          </w:rPr>
          <w:instrText xml:space="preserve"> PAGEREF _Toc524104206 \h </w:instrText>
        </w:r>
        <w:r>
          <w:rPr>
            <w:webHidden/>
          </w:rPr>
        </w:r>
        <w:r>
          <w:rPr>
            <w:webHidden/>
          </w:rPr>
          <w:fldChar w:fldCharType="separate"/>
        </w:r>
        <w:r>
          <w:rPr>
            <w:webHidden/>
          </w:rPr>
          <w:t>153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07" w:history="1">
        <w:r w:rsidRPr="00C05558">
          <w:rPr>
            <w:rStyle w:val="Hyperlink"/>
            <w:rFonts w:ascii="Times New Roman" w:hAnsi="Times New Roman"/>
          </w:rPr>
          <w:t>3.9.1.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_Toc524104207 \h </w:instrText>
        </w:r>
        <w:r>
          <w:rPr>
            <w:webHidden/>
          </w:rPr>
        </w:r>
        <w:r>
          <w:rPr>
            <w:webHidden/>
          </w:rPr>
          <w:fldChar w:fldCharType="separate"/>
        </w:r>
        <w:r>
          <w:rPr>
            <w:webHidden/>
          </w:rPr>
          <w:t>153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08" w:history="1">
        <w:r w:rsidRPr="00C05558">
          <w:rPr>
            <w:rStyle w:val="Hyperlink"/>
            <w:rFonts w:ascii="Times New Roman" w:hAnsi="Times New Roman"/>
          </w:rPr>
          <w:t>3.9.2.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_Toc524104208 \h </w:instrText>
        </w:r>
        <w:r>
          <w:rPr>
            <w:webHidden/>
          </w:rPr>
        </w:r>
        <w:r>
          <w:rPr>
            <w:webHidden/>
          </w:rPr>
          <w:fldChar w:fldCharType="separate"/>
        </w:r>
        <w:r>
          <w:rPr>
            <w:webHidden/>
          </w:rPr>
          <w:t>154</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09" w:history="1">
        <w:r w:rsidRPr="00C05558">
          <w:rPr>
            <w:rStyle w:val="Hyperlink"/>
            <w:rFonts w:ascii="Times New Roman" w:hAnsi="Times New Roman"/>
          </w:rPr>
          <w:t>4.</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Modèles consacrés au risque opérationnel</w:t>
        </w:r>
        <w:r>
          <w:rPr>
            <w:webHidden/>
          </w:rPr>
          <w:tab/>
        </w:r>
        <w:r>
          <w:rPr>
            <w:webHidden/>
          </w:rPr>
          <w:fldChar w:fldCharType="begin"/>
        </w:r>
        <w:r>
          <w:rPr>
            <w:webHidden/>
          </w:rPr>
          <w:instrText xml:space="preserve"> PAGEREF _Toc524104209 \h </w:instrText>
        </w:r>
        <w:r>
          <w:rPr>
            <w:webHidden/>
          </w:rPr>
        </w:r>
        <w:r>
          <w:rPr>
            <w:webHidden/>
          </w:rPr>
          <w:fldChar w:fldCharType="separate"/>
        </w:r>
        <w:r>
          <w:rPr>
            <w:webHidden/>
          </w:rPr>
          <w:t>167</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10" w:history="1">
        <w:r w:rsidRPr="00C05558">
          <w:rPr>
            <w:rStyle w:val="Hyperlink"/>
            <w:rFonts w:ascii="Times New Roman" w:hAnsi="Times New Roman"/>
          </w:rPr>
          <w:t>4.1</w:t>
        </w:r>
        <w:r>
          <w:rPr>
            <w:rFonts w:asciiTheme="minorHAnsi" w:eastAsiaTheme="minorEastAsia" w:hAnsiTheme="minorHAnsi" w:cstheme="minorBidi"/>
            <w:b w:val="0"/>
            <w:smallCaps w:val="0"/>
            <w:sz w:val="22"/>
            <w:lang w:val="fr-BE" w:eastAsia="fr-BE" w:bidi="ar-SA"/>
          </w:rPr>
          <w:tab/>
        </w:r>
        <w:r w:rsidRPr="00C05558">
          <w:rPr>
            <w:rStyle w:val="Hyperlink"/>
          </w:rPr>
          <w:t xml:space="preserve"> </w:t>
        </w:r>
        <w:r w:rsidRPr="00C05558">
          <w:rPr>
            <w:rStyle w:val="Hyperlink"/>
            <w:rFonts w:ascii="Times New Roman" w:hAnsi="Times New Roman"/>
          </w:rPr>
          <w:t>C 16.00 – Risque opérationnel (OPR)</w:t>
        </w:r>
        <w:r>
          <w:rPr>
            <w:webHidden/>
          </w:rPr>
          <w:tab/>
        </w:r>
        <w:r>
          <w:rPr>
            <w:webHidden/>
          </w:rPr>
          <w:fldChar w:fldCharType="begin"/>
        </w:r>
        <w:r>
          <w:rPr>
            <w:webHidden/>
          </w:rPr>
          <w:instrText xml:space="preserve"> PAGEREF _Toc524104210 \h </w:instrText>
        </w:r>
        <w:r>
          <w:rPr>
            <w:webHidden/>
          </w:rPr>
        </w:r>
        <w:r>
          <w:rPr>
            <w:webHidden/>
          </w:rPr>
          <w:fldChar w:fldCharType="separate"/>
        </w:r>
        <w:r>
          <w:rPr>
            <w:webHidden/>
          </w:rPr>
          <w:t>167</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11" w:history="1">
        <w:r w:rsidRPr="00C05558">
          <w:rPr>
            <w:rStyle w:val="Hyperlink"/>
            <w:rFonts w:ascii="Times New Roman" w:hAnsi="Times New Roman"/>
          </w:rPr>
          <w:t>4.1.1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_Toc524104211 \h </w:instrText>
        </w:r>
        <w:r>
          <w:rPr>
            <w:webHidden/>
          </w:rPr>
        </w:r>
        <w:r>
          <w:rPr>
            <w:webHidden/>
          </w:rPr>
          <w:fldChar w:fldCharType="separate"/>
        </w:r>
        <w:r>
          <w:rPr>
            <w:webHidden/>
          </w:rPr>
          <w:t>167</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12" w:history="1">
        <w:r w:rsidRPr="00C05558">
          <w:rPr>
            <w:rStyle w:val="Hyperlink"/>
            <w:rFonts w:ascii="Times New Roman" w:hAnsi="Times New Roman"/>
          </w:rPr>
          <w:t>4.1.2.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_Toc524104212 \h </w:instrText>
        </w:r>
        <w:r>
          <w:rPr>
            <w:webHidden/>
          </w:rPr>
        </w:r>
        <w:r>
          <w:rPr>
            <w:webHidden/>
          </w:rPr>
          <w:fldChar w:fldCharType="separate"/>
        </w:r>
        <w:r>
          <w:rPr>
            <w:webHidden/>
          </w:rPr>
          <w:t>168</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13" w:history="1">
        <w:r w:rsidRPr="00C05558">
          <w:rPr>
            <w:rStyle w:val="Hyperlink"/>
            <w:rFonts w:ascii="Times New Roman" w:hAnsi="Times New Roman"/>
          </w:rPr>
          <w:t>4.2.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Risque opérationnel: Informations détaillées sur les pertes au cours de l’exercice passé (OPR DETAILS)</w:t>
        </w:r>
        <w:r>
          <w:rPr>
            <w:webHidden/>
          </w:rPr>
          <w:tab/>
        </w:r>
        <w:r>
          <w:rPr>
            <w:webHidden/>
          </w:rPr>
          <w:fldChar w:fldCharType="begin"/>
        </w:r>
        <w:r>
          <w:rPr>
            <w:webHidden/>
          </w:rPr>
          <w:instrText xml:space="preserve"> PAGEREF _Toc524104213 \h </w:instrText>
        </w:r>
        <w:r>
          <w:rPr>
            <w:webHidden/>
          </w:rPr>
        </w:r>
        <w:r>
          <w:rPr>
            <w:webHidden/>
          </w:rPr>
          <w:fldChar w:fldCharType="separate"/>
        </w:r>
        <w:r>
          <w:rPr>
            <w:webHidden/>
          </w:rPr>
          <w:t>171</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14" w:history="1">
        <w:r w:rsidRPr="00C05558">
          <w:rPr>
            <w:rStyle w:val="Hyperlink"/>
            <w:rFonts w:ascii="Times New Roman" w:hAnsi="Times New Roman"/>
          </w:rPr>
          <w:t>4.2.1.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_Toc524104214 \h </w:instrText>
        </w:r>
        <w:r>
          <w:rPr>
            <w:webHidden/>
          </w:rPr>
        </w:r>
        <w:r>
          <w:rPr>
            <w:webHidden/>
          </w:rPr>
          <w:fldChar w:fldCharType="separate"/>
        </w:r>
        <w:r>
          <w:rPr>
            <w:webHidden/>
          </w:rPr>
          <w:t>171</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15" w:history="1">
        <w:r w:rsidRPr="00C05558">
          <w:rPr>
            <w:rStyle w:val="Hyperlink"/>
            <w:rFonts w:ascii="Times New Roman" w:hAnsi="Times New Roman"/>
          </w:rPr>
          <w:t>4.2.2.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17.01: Risque opérationnel: pertes et recouvrements par ligne d'activité et type d'événement sur l'exercice passé (OPR DETAILS 1)</w:t>
        </w:r>
        <w:r>
          <w:rPr>
            <w:webHidden/>
          </w:rPr>
          <w:tab/>
        </w:r>
        <w:r>
          <w:rPr>
            <w:webHidden/>
          </w:rPr>
          <w:fldChar w:fldCharType="begin"/>
        </w:r>
        <w:r>
          <w:rPr>
            <w:webHidden/>
          </w:rPr>
          <w:instrText xml:space="preserve"> PAGEREF _Toc524104215 \h </w:instrText>
        </w:r>
        <w:r>
          <w:rPr>
            <w:webHidden/>
          </w:rPr>
        </w:r>
        <w:r>
          <w:rPr>
            <w:webHidden/>
          </w:rPr>
          <w:fldChar w:fldCharType="separate"/>
        </w:r>
        <w:r>
          <w:rPr>
            <w:webHidden/>
          </w:rPr>
          <w:t>173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16" w:history="1">
        <w:r w:rsidRPr="00C05558">
          <w:rPr>
            <w:rStyle w:val="Hyperlink"/>
            <w:rFonts w:ascii="Times New Roman" w:hAnsi="Times New Roman"/>
          </w:rPr>
          <w:t>4.2.2.1.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_Toc524104216 \h </w:instrText>
        </w:r>
        <w:r>
          <w:rPr>
            <w:webHidden/>
          </w:rPr>
        </w:r>
        <w:r>
          <w:rPr>
            <w:webHidden/>
          </w:rPr>
          <w:fldChar w:fldCharType="separate"/>
        </w:r>
        <w:r>
          <w:rPr>
            <w:webHidden/>
          </w:rPr>
          <w:t>173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17" w:history="1">
        <w:r w:rsidRPr="00C05558">
          <w:rPr>
            <w:rStyle w:val="Hyperlink"/>
            <w:rFonts w:ascii="Times New Roman" w:hAnsi="Times New Roman"/>
          </w:rPr>
          <w:t>4.2.2.2.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_Toc524104217 \h </w:instrText>
        </w:r>
        <w:r>
          <w:rPr>
            <w:webHidden/>
          </w:rPr>
        </w:r>
        <w:r>
          <w:rPr>
            <w:webHidden/>
          </w:rPr>
          <w:fldChar w:fldCharType="separate"/>
        </w:r>
        <w:r>
          <w:rPr>
            <w:webHidden/>
          </w:rPr>
          <w:t>173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18" w:history="1">
        <w:r w:rsidRPr="00C05558">
          <w:rPr>
            <w:rStyle w:val="Hyperlink"/>
            <w:rFonts w:ascii="Times New Roman" w:hAnsi="Times New Roman"/>
          </w:rPr>
          <w:t>4.2.3.</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17.02: Risque opérationnel: Informations détaillées sur les évènements de perte les plus importants du dernier exercice (OPR DETAILS 2)</w:t>
        </w:r>
        <w:r>
          <w:rPr>
            <w:webHidden/>
          </w:rPr>
          <w:tab/>
        </w:r>
        <w:r>
          <w:rPr>
            <w:webHidden/>
          </w:rPr>
          <w:fldChar w:fldCharType="begin"/>
        </w:r>
        <w:r>
          <w:rPr>
            <w:webHidden/>
          </w:rPr>
          <w:instrText xml:space="preserve"> PAGEREF _Toc524104218 \h </w:instrText>
        </w:r>
        <w:r>
          <w:rPr>
            <w:webHidden/>
          </w:rPr>
        </w:r>
        <w:r>
          <w:rPr>
            <w:webHidden/>
          </w:rPr>
          <w:fldChar w:fldCharType="separate"/>
        </w:r>
        <w:r>
          <w:rPr>
            <w:webHidden/>
          </w:rPr>
          <w:t>180</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19" w:history="1">
        <w:r w:rsidRPr="00C05558">
          <w:rPr>
            <w:rStyle w:val="Hyperlink"/>
            <w:rFonts w:ascii="Times New Roman" w:hAnsi="Times New Roman"/>
          </w:rPr>
          <w:t>4.2.3.1.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_Toc524104219 \h </w:instrText>
        </w:r>
        <w:r>
          <w:rPr>
            <w:webHidden/>
          </w:rPr>
        </w:r>
        <w:r>
          <w:rPr>
            <w:webHidden/>
          </w:rPr>
          <w:fldChar w:fldCharType="separate"/>
        </w:r>
        <w:r>
          <w:rPr>
            <w:webHidden/>
          </w:rPr>
          <w:t>180</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20" w:history="1">
        <w:r w:rsidRPr="00C05558">
          <w:rPr>
            <w:rStyle w:val="Hyperlink"/>
            <w:rFonts w:ascii="Times New Roman" w:hAnsi="Times New Roman"/>
          </w:rPr>
          <w:t>4.2.3.2.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_Toc524104220 \h </w:instrText>
        </w:r>
        <w:r>
          <w:rPr>
            <w:webHidden/>
          </w:rPr>
        </w:r>
        <w:r>
          <w:rPr>
            <w:webHidden/>
          </w:rPr>
          <w:fldChar w:fldCharType="separate"/>
        </w:r>
        <w:r>
          <w:rPr>
            <w:webHidden/>
          </w:rPr>
          <w:t>181</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21" w:history="1">
        <w:r w:rsidRPr="00C05558">
          <w:rPr>
            <w:rStyle w:val="Hyperlink"/>
            <w:rFonts w:ascii="Times New Roman" w:hAnsi="Times New Roman"/>
          </w:rPr>
          <w:t>5.</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Modèles consacrés au risque de marché</w:t>
        </w:r>
        <w:r>
          <w:rPr>
            <w:webHidden/>
          </w:rPr>
          <w:tab/>
        </w:r>
        <w:r>
          <w:rPr>
            <w:webHidden/>
          </w:rPr>
          <w:fldChar w:fldCharType="begin"/>
        </w:r>
        <w:r>
          <w:rPr>
            <w:webHidden/>
          </w:rPr>
          <w:instrText xml:space="preserve"> PAGEREF _Toc524104221 \h </w:instrText>
        </w:r>
        <w:r>
          <w:rPr>
            <w:webHidden/>
          </w:rPr>
        </w:r>
        <w:r>
          <w:rPr>
            <w:webHidden/>
          </w:rPr>
          <w:fldChar w:fldCharType="separate"/>
        </w:r>
        <w:r>
          <w:rPr>
            <w:webHidden/>
          </w:rPr>
          <w:t>183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22" w:history="1">
        <w:r w:rsidRPr="00C05558">
          <w:rPr>
            <w:rStyle w:val="Hyperlink"/>
            <w:rFonts w:ascii="Times New Roman" w:hAnsi="Times New Roman"/>
          </w:rPr>
          <w:t>5.1.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18.00 – Risque de marché: approche standard des risques de position relatifs aux titres de créance négociés (MKR SA TDI)</w:t>
        </w:r>
        <w:r>
          <w:rPr>
            <w:webHidden/>
          </w:rPr>
          <w:tab/>
        </w:r>
        <w:r>
          <w:rPr>
            <w:webHidden/>
          </w:rPr>
          <w:fldChar w:fldCharType="begin"/>
        </w:r>
        <w:r>
          <w:rPr>
            <w:webHidden/>
          </w:rPr>
          <w:instrText xml:space="preserve"> PAGEREF _Toc524104222 \h </w:instrText>
        </w:r>
        <w:r>
          <w:rPr>
            <w:webHidden/>
          </w:rPr>
        </w:r>
        <w:r>
          <w:rPr>
            <w:webHidden/>
          </w:rPr>
          <w:fldChar w:fldCharType="separate"/>
        </w:r>
        <w:r>
          <w:rPr>
            <w:webHidden/>
          </w:rPr>
          <w:t>183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23" w:history="1">
        <w:r w:rsidRPr="00C05558">
          <w:rPr>
            <w:rStyle w:val="Hyperlink"/>
            <w:rFonts w:ascii="Times New Roman" w:hAnsi="Times New Roman"/>
          </w:rPr>
          <w:t>5.1.1.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_Toc524104223 \h </w:instrText>
        </w:r>
        <w:r>
          <w:rPr>
            <w:webHidden/>
          </w:rPr>
        </w:r>
        <w:r>
          <w:rPr>
            <w:webHidden/>
          </w:rPr>
          <w:fldChar w:fldCharType="separate"/>
        </w:r>
        <w:r>
          <w:rPr>
            <w:webHidden/>
          </w:rPr>
          <w:t>183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24" w:history="1">
        <w:r w:rsidRPr="00C05558">
          <w:rPr>
            <w:rStyle w:val="Hyperlink"/>
            <w:rFonts w:ascii="Times New Roman" w:hAnsi="Times New Roman"/>
          </w:rPr>
          <w:t>5.1.2.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_Toc524104224 \h </w:instrText>
        </w:r>
        <w:r>
          <w:rPr>
            <w:webHidden/>
          </w:rPr>
        </w:r>
        <w:r>
          <w:rPr>
            <w:webHidden/>
          </w:rPr>
          <w:fldChar w:fldCharType="separate"/>
        </w:r>
        <w:r>
          <w:rPr>
            <w:webHidden/>
          </w:rPr>
          <w:t>183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25" w:history="1">
        <w:r w:rsidRPr="00C05558">
          <w:rPr>
            <w:rStyle w:val="Hyperlink"/>
            <w:rFonts w:ascii="Times New Roman" w:hAnsi="Times New Roman"/>
          </w:rPr>
          <w:t>5.2.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19.00 - RISQUE DE MARCHÉ: APPROCHE STANDARD DU RISQUE SPÉCIFIQUE EN TITRISATION (MKR SA SEC)</w:t>
        </w:r>
        <w:r>
          <w:rPr>
            <w:webHidden/>
          </w:rPr>
          <w:tab/>
        </w:r>
        <w:r>
          <w:rPr>
            <w:webHidden/>
          </w:rPr>
          <w:fldChar w:fldCharType="begin"/>
        </w:r>
        <w:r>
          <w:rPr>
            <w:webHidden/>
          </w:rPr>
          <w:instrText xml:space="preserve"> PAGEREF _Toc524104225 \h </w:instrText>
        </w:r>
        <w:r>
          <w:rPr>
            <w:webHidden/>
          </w:rPr>
        </w:r>
        <w:r>
          <w:rPr>
            <w:webHidden/>
          </w:rPr>
          <w:fldChar w:fldCharType="separate"/>
        </w:r>
        <w:r>
          <w:rPr>
            <w:webHidden/>
          </w:rPr>
          <w:t>186</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26" w:history="1">
        <w:r w:rsidRPr="00C05558">
          <w:rPr>
            <w:rStyle w:val="Hyperlink"/>
            <w:rFonts w:ascii="Times New Roman" w:hAnsi="Times New Roman"/>
          </w:rPr>
          <w:t>5.2.1.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_Toc524104226 \h </w:instrText>
        </w:r>
        <w:r>
          <w:rPr>
            <w:webHidden/>
          </w:rPr>
        </w:r>
        <w:r>
          <w:rPr>
            <w:webHidden/>
          </w:rPr>
          <w:fldChar w:fldCharType="separate"/>
        </w:r>
        <w:r>
          <w:rPr>
            <w:webHidden/>
          </w:rPr>
          <w:t>186</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27" w:history="1">
        <w:r w:rsidRPr="00C05558">
          <w:rPr>
            <w:rStyle w:val="Hyperlink"/>
            <w:rFonts w:ascii="Times New Roman" w:hAnsi="Times New Roman"/>
          </w:rPr>
          <w:t>5.2.2.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_Toc524104227 \h </w:instrText>
        </w:r>
        <w:r>
          <w:rPr>
            <w:webHidden/>
          </w:rPr>
        </w:r>
        <w:r>
          <w:rPr>
            <w:webHidden/>
          </w:rPr>
          <w:fldChar w:fldCharType="separate"/>
        </w:r>
        <w:r>
          <w:rPr>
            <w:webHidden/>
          </w:rPr>
          <w:t>187</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28" w:history="1">
        <w:r w:rsidRPr="00C05558">
          <w:rPr>
            <w:rStyle w:val="Hyperlink"/>
            <w:rFonts w:ascii="Times New Roman" w:hAnsi="Times New Roman"/>
          </w:rPr>
          <w:t>5.3.</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20.00 - RISQUE DE MARCHÉ: APPROCHE STANDARD DU RISQUE SPÉCIFIQUE POUR LES POSITIONS DU PORTEFEUILLE DE NÉGOCIATION EN CORRÉLATION (MKR SA CTP)</w:t>
        </w:r>
        <w:r>
          <w:rPr>
            <w:webHidden/>
          </w:rPr>
          <w:tab/>
        </w:r>
        <w:r>
          <w:rPr>
            <w:webHidden/>
          </w:rPr>
          <w:fldChar w:fldCharType="begin"/>
        </w:r>
        <w:r>
          <w:rPr>
            <w:webHidden/>
          </w:rPr>
          <w:instrText xml:space="preserve"> PAGEREF _Toc524104228 \h </w:instrText>
        </w:r>
        <w:r>
          <w:rPr>
            <w:webHidden/>
          </w:rPr>
        </w:r>
        <w:r>
          <w:rPr>
            <w:webHidden/>
          </w:rPr>
          <w:fldChar w:fldCharType="separate"/>
        </w:r>
        <w:r>
          <w:rPr>
            <w:webHidden/>
          </w:rPr>
          <w:t>190</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29" w:history="1">
        <w:r w:rsidRPr="00C05558">
          <w:rPr>
            <w:rStyle w:val="Hyperlink"/>
            <w:rFonts w:ascii="Times New Roman" w:hAnsi="Times New Roman"/>
          </w:rPr>
          <w:t>5.3.1.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_Toc524104229 \h </w:instrText>
        </w:r>
        <w:r>
          <w:rPr>
            <w:webHidden/>
          </w:rPr>
        </w:r>
        <w:r>
          <w:rPr>
            <w:webHidden/>
          </w:rPr>
          <w:fldChar w:fldCharType="separate"/>
        </w:r>
        <w:r>
          <w:rPr>
            <w:webHidden/>
          </w:rPr>
          <w:t>190</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30" w:history="1">
        <w:r w:rsidRPr="00C05558">
          <w:rPr>
            <w:rStyle w:val="Hyperlink"/>
            <w:rFonts w:ascii="Times New Roman" w:hAnsi="Times New Roman"/>
          </w:rPr>
          <w:t>5.3.2.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_Toc524104230 \h </w:instrText>
        </w:r>
        <w:r>
          <w:rPr>
            <w:webHidden/>
          </w:rPr>
        </w:r>
        <w:r>
          <w:rPr>
            <w:webHidden/>
          </w:rPr>
          <w:fldChar w:fldCharType="separate"/>
        </w:r>
        <w:r>
          <w:rPr>
            <w:webHidden/>
          </w:rPr>
          <w:t>190</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31" w:history="1">
        <w:r w:rsidRPr="00C05558">
          <w:rPr>
            <w:rStyle w:val="Hyperlink"/>
            <w:rFonts w:ascii="Times New Roman" w:hAnsi="Times New Roman"/>
          </w:rPr>
          <w:t>5.4.</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21.00 - Risque de marché: approche standard du risque relatif aux positions sous forme d'actions (MKR SA EQU)</w:t>
        </w:r>
        <w:r>
          <w:rPr>
            <w:webHidden/>
          </w:rPr>
          <w:tab/>
        </w:r>
        <w:r>
          <w:rPr>
            <w:webHidden/>
          </w:rPr>
          <w:fldChar w:fldCharType="begin"/>
        </w:r>
        <w:r>
          <w:rPr>
            <w:webHidden/>
          </w:rPr>
          <w:instrText xml:space="preserve"> PAGEREF _Toc524104231 \h </w:instrText>
        </w:r>
        <w:r>
          <w:rPr>
            <w:webHidden/>
          </w:rPr>
        </w:r>
        <w:r>
          <w:rPr>
            <w:webHidden/>
          </w:rPr>
          <w:fldChar w:fldCharType="separate"/>
        </w:r>
        <w:r>
          <w:rPr>
            <w:webHidden/>
          </w:rPr>
          <w:t>193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32" w:history="1">
        <w:r w:rsidRPr="00C05558">
          <w:rPr>
            <w:rStyle w:val="Hyperlink"/>
            <w:rFonts w:ascii="Times New Roman" w:hAnsi="Times New Roman"/>
          </w:rPr>
          <w:t>5.4.1.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_Toc524104232 \h </w:instrText>
        </w:r>
        <w:r>
          <w:rPr>
            <w:webHidden/>
          </w:rPr>
        </w:r>
        <w:r>
          <w:rPr>
            <w:webHidden/>
          </w:rPr>
          <w:fldChar w:fldCharType="separate"/>
        </w:r>
        <w:r>
          <w:rPr>
            <w:webHidden/>
          </w:rPr>
          <w:t>193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33" w:history="1">
        <w:r w:rsidRPr="00C05558">
          <w:rPr>
            <w:rStyle w:val="Hyperlink"/>
            <w:rFonts w:ascii="Times New Roman" w:hAnsi="Times New Roman"/>
          </w:rPr>
          <w:t>5.4.2.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_Toc524104233 \h </w:instrText>
        </w:r>
        <w:r>
          <w:rPr>
            <w:webHidden/>
          </w:rPr>
        </w:r>
        <w:r>
          <w:rPr>
            <w:webHidden/>
          </w:rPr>
          <w:fldChar w:fldCharType="separate"/>
        </w:r>
        <w:r>
          <w:rPr>
            <w:webHidden/>
          </w:rPr>
          <w:t>194</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34" w:history="1">
        <w:r w:rsidRPr="00C05558">
          <w:rPr>
            <w:rStyle w:val="Hyperlink"/>
            <w:rFonts w:ascii="Times New Roman" w:hAnsi="Times New Roman"/>
          </w:rPr>
          <w:t>5.5.</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22.00 - Risque de marché: approches standard du risque de change (MKR SA FX)</w:t>
        </w:r>
        <w:r>
          <w:rPr>
            <w:webHidden/>
          </w:rPr>
          <w:tab/>
        </w:r>
        <w:r>
          <w:rPr>
            <w:webHidden/>
          </w:rPr>
          <w:fldChar w:fldCharType="begin"/>
        </w:r>
        <w:r>
          <w:rPr>
            <w:webHidden/>
          </w:rPr>
          <w:instrText xml:space="preserve"> PAGEREF _Toc524104234 \h </w:instrText>
        </w:r>
        <w:r>
          <w:rPr>
            <w:webHidden/>
          </w:rPr>
        </w:r>
        <w:r>
          <w:rPr>
            <w:webHidden/>
          </w:rPr>
          <w:fldChar w:fldCharType="separate"/>
        </w:r>
        <w:r>
          <w:rPr>
            <w:webHidden/>
          </w:rPr>
          <w:t>195</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35" w:history="1">
        <w:r w:rsidRPr="00C05558">
          <w:rPr>
            <w:rStyle w:val="Hyperlink"/>
            <w:rFonts w:ascii="Times New Roman" w:hAnsi="Times New Roman"/>
          </w:rPr>
          <w:t>5.5.1.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_Toc524104235 \h </w:instrText>
        </w:r>
        <w:r>
          <w:rPr>
            <w:webHidden/>
          </w:rPr>
        </w:r>
        <w:r>
          <w:rPr>
            <w:webHidden/>
          </w:rPr>
          <w:fldChar w:fldCharType="separate"/>
        </w:r>
        <w:r>
          <w:rPr>
            <w:webHidden/>
          </w:rPr>
          <w:t>195</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36" w:history="1">
        <w:r w:rsidRPr="00C05558">
          <w:rPr>
            <w:rStyle w:val="Hyperlink"/>
            <w:rFonts w:ascii="Times New Roman" w:hAnsi="Times New Roman"/>
          </w:rPr>
          <w:t>5.5.2.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_Toc524104236 \h </w:instrText>
        </w:r>
        <w:r>
          <w:rPr>
            <w:webHidden/>
          </w:rPr>
        </w:r>
        <w:r>
          <w:rPr>
            <w:webHidden/>
          </w:rPr>
          <w:fldChar w:fldCharType="separate"/>
        </w:r>
        <w:r>
          <w:rPr>
            <w:webHidden/>
          </w:rPr>
          <w:t>196</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37" w:history="1">
        <w:r w:rsidRPr="00C05558">
          <w:rPr>
            <w:rStyle w:val="Hyperlink"/>
            <w:rFonts w:ascii="Times New Roman" w:hAnsi="Times New Roman"/>
          </w:rPr>
          <w:t>5.6.</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23.00 - Risque de marché: approches standard pour les matières premières (MKR SA COM)</w:t>
        </w:r>
        <w:r>
          <w:rPr>
            <w:webHidden/>
          </w:rPr>
          <w:tab/>
        </w:r>
        <w:r>
          <w:rPr>
            <w:webHidden/>
          </w:rPr>
          <w:fldChar w:fldCharType="begin"/>
        </w:r>
        <w:r>
          <w:rPr>
            <w:webHidden/>
          </w:rPr>
          <w:instrText xml:space="preserve"> PAGEREF _Toc524104237 \h </w:instrText>
        </w:r>
        <w:r>
          <w:rPr>
            <w:webHidden/>
          </w:rPr>
        </w:r>
        <w:r>
          <w:rPr>
            <w:webHidden/>
          </w:rPr>
          <w:fldChar w:fldCharType="separate"/>
        </w:r>
        <w:r>
          <w:rPr>
            <w:webHidden/>
          </w:rPr>
          <w:t>199</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38" w:history="1">
        <w:r w:rsidRPr="00C05558">
          <w:rPr>
            <w:rStyle w:val="Hyperlink"/>
            <w:rFonts w:ascii="Times New Roman" w:hAnsi="Times New Roman"/>
          </w:rPr>
          <w:t>5.6.1.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_Toc524104238 \h </w:instrText>
        </w:r>
        <w:r>
          <w:rPr>
            <w:webHidden/>
          </w:rPr>
        </w:r>
        <w:r>
          <w:rPr>
            <w:webHidden/>
          </w:rPr>
          <w:fldChar w:fldCharType="separate"/>
        </w:r>
        <w:r>
          <w:rPr>
            <w:webHidden/>
          </w:rPr>
          <w:t>199</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39" w:history="1">
        <w:r w:rsidRPr="00C05558">
          <w:rPr>
            <w:rStyle w:val="Hyperlink"/>
            <w:rFonts w:ascii="Times New Roman" w:hAnsi="Times New Roman"/>
          </w:rPr>
          <w:t>5.6.2.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_Toc524104239 \h </w:instrText>
        </w:r>
        <w:r>
          <w:rPr>
            <w:webHidden/>
          </w:rPr>
        </w:r>
        <w:r>
          <w:rPr>
            <w:webHidden/>
          </w:rPr>
          <w:fldChar w:fldCharType="separate"/>
        </w:r>
        <w:r>
          <w:rPr>
            <w:webHidden/>
          </w:rPr>
          <w:t>199</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40" w:history="1">
        <w:r w:rsidRPr="00C05558">
          <w:rPr>
            <w:rStyle w:val="Hyperlink"/>
            <w:rFonts w:ascii="Times New Roman" w:hAnsi="Times New Roman"/>
          </w:rPr>
          <w:t>5.7.</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24.00 - Risque de marché selon l’approche fondée sur les modèles internes (MKR IM)</w:t>
        </w:r>
        <w:r>
          <w:rPr>
            <w:webHidden/>
          </w:rPr>
          <w:tab/>
        </w:r>
        <w:r>
          <w:rPr>
            <w:webHidden/>
          </w:rPr>
          <w:fldChar w:fldCharType="begin"/>
        </w:r>
        <w:r>
          <w:rPr>
            <w:webHidden/>
          </w:rPr>
          <w:instrText xml:space="preserve"> PAGEREF _Toc524104240 \h </w:instrText>
        </w:r>
        <w:r>
          <w:rPr>
            <w:webHidden/>
          </w:rPr>
        </w:r>
        <w:r>
          <w:rPr>
            <w:webHidden/>
          </w:rPr>
          <w:fldChar w:fldCharType="separate"/>
        </w:r>
        <w:r>
          <w:rPr>
            <w:webHidden/>
          </w:rPr>
          <w:t>200</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41" w:history="1">
        <w:r w:rsidRPr="00C05558">
          <w:rPr>
            <w:rStyle w:val="Hyperlink"/>
            <w:rFonts w:ascii="Times New Roman" w:hAnsi="Times New Roman"/>
          </w:rPr>
          <w:t>5.7.1.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_Toc524104241 \h </w:instrText>
        </w:r>
        <w:r>
          <w:rPr>
            <w:webHidden/>
          </w:rPr>
        </w:r>
        <w:r>
          <w:rPr>
            <w:webHidden/>
          </w:rPr>
          <w:fldChar w:fldCharType="separate"/>
        </w:r>
        <w:r>
          <w:rPr>
            <w:webHidden/>
          </w:rPr>
          <w:t>200</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42" w:history="1">
        <w:r w:rsidRPr="00C05558">
          <w:rPr>
            <w:rStyle w:val="Hyperlink"/>
            <w:rFonts w:ascii="Times New Roman" w:hAnsi="Times New Roman"/>
          </w:rPr>
          <w:t>5.7.2.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_Toc524104242 \h </w:instrText>
        </w:r>
        <w:r>
          <w:rPr>
            <w:webHidden/>
          </w:rPr>
        </w:r>
        <w:r>
          <w:rPr>
            <w:webHidden/>
          </w:rPr>
          <w:fldChar w:fldCharType="separate"/>
        </w:r>
        <w:r>
          <w:rPr>
            <w:webHidden/>
          </w:rPr>
          <w:t>200</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43" w:history="1">
        <w:r w:rsidRPr="00C05558">
          <w:rPr>
            <w:rStyle w:val="Hyperlink"/>
            <w:rFonts w:ascii="Times New Roman" w:hAnsi="Times New Roman"/>
          </w:rPr>
          <w:t>5.8.</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25.00 - RISQUE D'AJUSTEMENT DE L'ÉVALUATION DE CRÉDIT (CVA)</w:t>
        </w:r>
        <w:r>
          <w:rPr>
            <w:webHidden/>
          </w:rPr>
          <w:tab/>
        </w:r>
        <w:r>
          <w:rPr>
            <w:webHidden/>
          </w:rPr>
          <w:fldChar w:fldCharType="begin"/>
        </w:r>
        <w:r>
          <w:rPr>
            <w:webHidden/>
          </w:rPr>
          <w:instrText xml:space="preserve"> PAGEREF _Toc524104243 \h </w:instrText>
        </w:r>
        <w:r>
          <w:rPr>
            <w:webHidden/>
          </w:rPr>
        </w:r>
        <w:r>
          <w:rPr>
            <w:webHidden/>
          </w:rPr>
          <w:fldChar w:fldCharType="separate"/>
        </w:r>
        <w:r>
          <w:rPr>
            <w:webHidden/>
          </w:rPr>
          <w:t>204</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44" w:history="1">
        <w:r w:rsidRPr="00C05558">
          <w:rPr>
            <w:rStyle w:val="Hyperlink"/>
            <w:rFonts w:ascii="Times New Roman" w:hAnsi="Times New Roman"/>
          </w:rPr>
          <w:t>5.8.1.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_Toc524104244 \h </w:instrText>
        </w:r>
        <w:r>
          <w:rPr>
            <w:webHidden/>
          </w:rPr>
        </w:r>
        <w:r>
          <w:rPr>
            <w:webHidden/>
          </w:rPr>
          <w:fldChar w:fldCharType="separate"/>
        </w:r>
        <w:r>
          <w:rPr>
            <w:webHidden/>
          </w:rPr>
          <w:t>204</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45" w:history="1">
        <w:r w:rsidRPr="00C05558">
          <w:rPr>
            <w:rStyle w:val="Hyperlink"/>
            <w:rFonts w:ascii="Times New Roman" w:hAnsi="Times New Roman"/>
          </w:rPr>
          <w:t>6.</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Évaluation prudente (PruVal)</w:t>
        </w:r>
        <w:r>
          <w:rPr>
            <w:webHidden/>
          </w:rPr>
          <w:tab/>
        </w:r>
        <w:r>
          <w:rPr>
            <w:webHidden/>
          </w:rPr>
          <w:fldChar w:fldCharType="begin"/>
        </w:r>
        <w:r>
          <w:rPr>
            <w:webHidden/>
          </w:rPr>
          <w:instrText xml:space="preserve"> PAGEREF _Toc524104245 \h </w:instrText>
        </w:r>
        <w:r>
          <w:rPr>
            <w:webHidden/>
          </w:rPr>
        </w:r>
        <w:r>
          <w:rPr>
            <w:webHidden/>
          </w:rPr>
          <w:fldChar w:fldCharType="separate"/>
        </w:r>
        <w:r>
          <w:rPr>
            <w:webHidden/>
          </w:rPr>
          <w:t>206</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46" w:history="1">
        <w:r w:rsidRPr="00C05558">
          <w:rPr>
            <w:rStyle w:val="Hyperlink"/>
            <w:rFonts w:ascii="Times New Roman" w:hAnsi="Times New Roman"/>
          </w:rPr>
          <w:t>6.1.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32.01 - Évaluation prudente: Actifs et passifs évalués à la juste valeur (PruVal 1)</w:t>
        </w:r>
        <w:r>
          <w:rPr>
            <w:webHidden/>
          </w:rPr>
          <w:tab/>
        </w:r>
        <w:r>
          <w:rPr>
            <w:webHidden/>
          </w:rPr>
          <w:fldChar w:fldCharType="begin"/>
        </w:r>
        <w:r>
          <w:rPr>
            <w:webHidden/>
          </w:rPr>
          <w:instrText xml:space="preserve"> PAGEREF _Toc524104246 \h </w:instrText>
        </w:r>
        <w:r>
          <w:rPr>
            <w:webHidden/>
          </w:rPr>
        </w:r>
        <w:r>
          <w:rPr>
            <w:webHidden/>
          </w:rPr>
          <w:fldChar w:fldCharType="separate"/>
        </w:r>
        <w:r>
          <w:rPr>
            <w:webHidden/>
          </w:rPr>
          <w:t>206</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47" w:history="1">
        <w:r w:rsidRPr="00C05558">
          <w:rPr>
            <w:rStyle w:val="Hyperlink"/>
            <w:rFonts w:ascii="Times New Roman" w:hAnsi="Times New Roman"/>
          </w:rPr>
          <w:t>6.1.1.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_Toc524104247 \h </w:instrText>
        </w:r>
        <w:r>
          <w:rPr>
            <w:webHidden/>
          </w:rPr>
        </w:r>
        <w:r>
          <w:rPr>
            <w:webHidden/>
          </w:rPr>
          <w:fldChar w:fldCharType="separate"/>
        </w:r>
        <w:r>
          <w:rPr>
            <w:webHidden/>
          </w:rPr>
          <w:t>206</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48" w:history="1">
        <w:r w:rsidRPr="00C05558">
          <w:rPr>
            <w:rStyle w:val="Hyperlink"/>
            <w:rFonts w:ascii="Times New Roman" w:hAnsi="Times New Roman"/>
          </w:rPr>
          <w:t>6.1.2.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_Toc524104248 \h </w:instrText>
        </w:r>
        <w:r>
          <w:rPr>
            <w:webHidden/>
          </w:rPr>
        </w:r>
        <w:r>
          <w:rPr>
            <w:webHidden/>
          </w:rPr>
          <w:fldChar w:fldCharType="separate"/>
        </w:r>
        <w:r>
          <w:rPr>
            <w:webHidden/>
          </w:rPr>
          <w:t>206</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49" w:history="1">
        <w:r w:rsidRPr="00C05558">
          <w:rPr>
            <w:rStyle w:val="Hyperlink"/>
            <w:rFonts w:ascii="Times New Roman" w:hAnsi="Times New Roman"/>
          </w:rPr>
          <w:t>6.2.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32.02 - Évaluation prudente: Approche principale (PruVal 2)</w:t>
        </w:r>
        <w:r>
          <w:rPr>
            <w:webHidden/>
          </w:rPr>
          <w:tab/>
        </w:r>
        <w:r>
          <w:rPr>
            <w:webHidden/>
          </w:rPr>
          <w:fldChar w:fldCharType="begin"/>
        </w:r>
        <w:r>
          <w:rPr>
            <w:webHidden/>
          </w:rPr>
          <w:instrText xml:space="preserve"> PAGEREF _Toc524104249 \h </w:instrText>
        </w:r>
        <w:r>
          <w:rPr>
            <w:webHidden/>
          </w:rPr>
        </w:r>
        <w:r>
          <w:rPr>
            <w:webHidden/>
          </w:rPr>
          <w:fldChar w:fldCharType="separate"/>
        </w:r>
        <w:r>
          <w:rPr>
            <w:webHidden/>
          </w:rPr>
          <w:t>211</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50" w:history="1">
        <w:r w:rsidRPr="00C05558">
          <w:rPr>
            <w:rStyle w:val="Hyperlink"/>
            <w:rFonts w:ascii="Times New Roman" w:hAnsi="Times New Roman"/>
          </w:rPr>
          <w:t>6.2.1.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_Toc524104250 \h </w:instrText>
        </w:r>
        <w:r>
          <w:rPr>
            <w:webHidden/>
          </w:rPr>
        </w:r>
        <w:r>
          <w:rPr>
            <w:webHidden/>
          </w:rPr>
          <w:fldChar w:fldCharType="separate"/>
        </w:r>
        <w:r>
          <w:rPr>
            <w:webHidden/>
          </w:rPr>
          <w:t>211</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51" w:history="1">
        <w:r w:rsidRPr="00C05558">
          <w:rPr>
            <w:rStyle w:val="Hyperlink"/>
            <w:rFonts w:ascii="Times New Roman" w:hAnsi="Times New Roman"/>
          </w:rPr>
          <w:t>6.2.2.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_Toc524104251 \h </w:instrText>
        </w:r>
        <w:r>
          <w:rPr>
            <w:webHidden/>
          </w:rPr>
        </w:r>
        <w:r>
          <w:rPr>
            <w:webHidden/>
          </w:rPr>
          <w:fldChar w:fldCharType="separate"/>
        </w:r>
        <w:r>
          <w:rPr>
            <w:webHidden/>
          </w:rPr>
          <w:t>212</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52" w:history="1">
        <w:r w:rsidRPr="00C05558">
          <w:rPr>
            <w:rStyle w:val="Hyperlink"/>
            <w:rFonts w:ascii="Times New Roman" w:hAnsi="Times New Roman"/>
          </w:rPr>
          <w:t>6.3. C 32.03 - Évaluation prudente: AVA relative au risque lié au modèle (PruVal 3)</w:t>
        </w:r>
        <w:r>
          <w:rPr>
            <w:webHidden/>
          </w:rPr>
          <w:tab/>
        </w:r>
        <w:r>
          <w:rPr>
            <w:webHidden/>
          </w:rPr>
          <w:fldChar w:fldCharType="begin"/>
        </w:r>
        <w:r>
          <w:rPr>
            <w:webHidden/>
          </w:rPr>
          <w:instrText xml:space="preserve"> PAGEREF _Toc524104252 \h </w:instrText>
        </w:r>
        <w:r>
          <w:rPr>
            <w:webHidden/>
          </w:rPr>
        </w:r>
        <w:r>
          <w:rPr>
            <w:webHidden/>
          </w:rPr>
          <w:fldChar w:fldCharType="separate"/>
        </w:r>
        <w:r>
          <w:rPr>
            <w:webHidden/>
          </w:rPr>
          <w:t>223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53" w:history="1">
        <w:r w:rsidRPr="00C05558">
          <w:rPr>
            <w:rStyle w:val="Hyperlink"/>
            <w:rFonts w:ascii="Times New Roman" w:hAnsi="Times New Roman"/>
          </w:rPr>
          <w:t>6.3.1.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_Toc524104253 \h </w:instrText>
        </w:r>
        <w:r>
          <w:rPr>
            <w:webHidden/>
          </w:rPr>
        </w:r>
        <w:r>
          <w:rPr>
            <w:webHidden/>
          </w:rPr>
          <w:fldChar w:fldCharType="separate"/>
        </w:r>
        <w:r>
          <w:rPr>
            <w:webHidden/>
          </w:rPr>
          <w:t>223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54" w:history="1">
        <w:r w:rsidRPr="00C05558">
          <w:rPr>
            <w:rStyle w:val="Hyperlink"/>
            <w:rFonts w:ascii="Times New Roman" w:hAnsi="Times New Roman"/>
          </w:rPr>
          <w:t>6.3.2.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_Toc524104254 \h </w:instrText>
        </w:r>
        <w:r>
          <w:rPr>
            <w:webHidden/>
          </w:rPr>
        </w:r>
        <w:r>
          <w:rPr>
            <w:webHidden/>
          </w:rPr>
          <w:fldChar w:fldCharType="separate"/>
        </w:r>
        <w:r>
          <w:rPr>
            <w:webHidden/>
          </w:rPr>
          <w:t>223</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55" w:history="1">
        <w:r w:rsidRPr="00C05558">
          <w:rPr>
            <w:rStyle w:val="Hyperlink"/>
            <w:rFonts w:ascii="Times New Roman" w:hAnsi="Times New Roman"/>
          </w:rPr>
          <w:t>6.4 C 32.04 - Évaluation prudente: AVA relative aux positions concentrées (PruVal 4)</w:t>
        </w:r>
        <w:r>
          <w:rPr>
            <w:webHidden/>
          </w:rPr>
          <w:tab/>
        </w:r>
        <w:r>
          <w:rPr>
            <w:webHidden/>
          </w:rPr>
          <w:fldChar w:fldCharType="begin"/>
        </w:r>
        <w:r>
          <w:rPr>
            <w:webHidden/>
          </w:rPr>
          <w:instrText xml:space="preserve"> PAGEREF _Toc524104255 \h </w:instrText>
        </w:r>
        <w:r>
          <w:rPr>
            <w:webHidden/>
          </w:rPr>
        </w:r>
        <w:r>
          <w:rPr>
            <w:webHidden/>
          </w:rPr>
          <w:fldChar w:fldCharType="separate"/>
        </w:r>
        <w:r>
          <w:rPr>
            <w:webHidden/>
          </w:rPr>
          <w:t>226</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56" w:history="1">
        <w:r w:rsidRPr="00C05558">
          <w:rPr>
            <w:rStyle w:val="Hyperlink"/>
            <w:rFonts w:ascii="Times New Roman" w:hAnsi="Times New Roman"/>
          </w:rPr>
          <w:t>6.4.1.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_Toc524104256 \h </w:instrText>
        </w:r>
        <w:r>
          <w:rPr>
            <w:webHidden/>
          </w:rPr>
        </w:r>
        <w:r>
          <w:rPr>
            <w:webHidden/>
          </w:rPr>
          <w:fldChar w:fldCharType="separate"/>
        </w:r>
        <w:r>
          <w:rPr>
            <w:webHidden/>
          </w:rPr>
          <w:t>226</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57" w:history="1">
        <w:r w:rsidRPr="00C05558">
          <w:rPr>
            <w:rStyle w:val="Hyperlink"/>
            <w:rFonts w:ascii="Times New Roman" w:hAnsi="Times New Roman"/>
          </w:rPr>
          <w:t>6.4.2.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_Toc524104257 \h </w:instrText>
        </w:r>
        <w:r>
          <w:rPr>
            <w:webHidden/>
          </w:rPr>
        </w:r>
        <w:r>
          <w:rPr>
            <w:webHidden/>
          </w:rPr>
          <w:fldChar w:fldCharType="separate"/>
        </w:r>
        <w:r>
          <w:rPr>
            <w:webHidden/>
          </w:rPr>
          <w:t>227</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58" w:history="1">
        <w:r w:rsidRPr="00C05558">
          <w:rPr>
            <w:rStyle w:val="Hyperlink"/>
            <w:rFonts w:ascii="Times New Roman" w:hAnsi="Times New Roman"/>
          </w:rPr>
          <w:t>7.</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 33.00 - Expositions sur les administrations publiques (GOV)</w:t>
        </w:r>
        <w:r>
          <w:rPr>
            <w:webHidden/>
          </w:rPr>
          <w:tab/>
        </w:r>
        <w:r>
          <w:rPr>
            <w:webHidden/>
          </w:rPr>
          <w:fldChar w:fldCharType="begin"/>
        </w:r>
        <w:r>
          <w:rPr>
            <w:webHidden/>
          </w:rPr>
          <w:instrText xml:space="preserve"> PAGEREF _Toc524104258 \h </w:instrText>
        </w:r>
        <w:r>
          <w:rPr>
            <w:webHidden/>
          </w:rPr>
        </w:r>
        <w:r>
          <w:rPr>
            <w:webHidden/>
          </w:rPr>
          <w:fldChar w:fldCharType="separate"/>
        </w:r>
        <w:r>
          <w:rPr>
            <w:webHidden/>
          </w:rPr>
          <w:t>229</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59" w:history="1">
        <w:r w:rsidRPr="00C05558">
          <w:rPr>
            <w:rStyle w:val="Hyperlink"/>
            <w:rFonts w:ascii="Times New Roman" w:hAnsi="Times New Roman"/>
          </w:rPr>
          <w:t>7.1.</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Remarques générales</w:t>
        </w:r>
        <w:r>
          <w:rPr>
            <w:webHidden/>
          </w:rPr>
          <w:tab/>
        </w:r>
        <w:r>
          <w:rPr>
            <w:webHidden/>
          </w:rPr>
          <w:fldChar w:fldCharType="begin"/>
        </w:r>
        <w:r>
          <w:rPr>
            <w:webHidden/>
          </w:rPr>
          <w:instrText xml:space="preserve"> PAGEREF _Toc524104259 \h </w:instrText>
        </w:r>
        <w:r>
          <w:rPr>
            <w:webHidden/>
          </w:rPr>
        </w:r>
        <w:r>
          <w:rPr>
            <w:webHidden/>
          </w:rPr>
          <w:fldChar w:fldCharType="separate"/>
        </w:r>
        <w:r>
          <w:rPr>
            <w:webHidden/>
          </w:rPr>
          <w:t>229</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60" w:history="1">
        <w:r w:rsidRPr="00C05558">
          <w:rPr>
            <w:rStyle w:val="Hyperlink"/>
            <w:rFonts w:ascii="Times New Roman" w:hAnsi="Times New Roman"/>
          </w:rPr>
          <w:t>7.2.</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Champ d'application du modèle consacré aux expositions sur les «Administrations publiques»</w:t>
        </w:r>
        <w:r>
          <w:rPr>
            <w:webHidden/>
          </w:rPr>
          <w:tab/>
        </w:r>
        <w:r>
          <w:rPr>
            <w:webHidden/>
          </w:rPr>
          <w:fldChar w:fldCharType="begin"/>
        </w:r>
        <w:r>
          <w:rPr>
            <w:webHidden/>
          </w:rPr>
          <w:instrText xml:space="preserve"> PAGEREF _Toc524104260 \h </w:instrText>
        </w:r>
        <w:r>
          <w:rPr>
            <w:webHidden/>
          </w:rPr>
        </w:r>
        <w:r>
          <w:rPr>
            <w:webHidden/>
          </w:rPr>
          <w:fldChar w:fldCharType="separate"/>
        </w:r>
        <w:r>
          <w:rPr>
            <w:webHidden/>
          </w:rPr>
          <w:t>229</w:t>
        </w:r>
        <w:r>
          <w:rPr>
            <w:webHidden/>
          </w:rPr>
          <w:fldChar w:fldCharType="end"/>
        </w:r>
      </w:hyperlink>
    </w:p>
    <w:p w:rsidR="008F1830" w:rsidRDefault="008F1830">
      <w:pPr>
        <w:pStyle w:val="TOC2"/>
        <w:rPr>
          <w:rFonts w:asciiTheme="minorHAnsi" w:eastAsiaTheme="minorEastAsia" w:hAnsiTheme="minorHAnsi" w:cstheme="minorBidi"/>
          <w:b w:val="0"/>
          <w:smallCaps w:val="0"/>
          <w:sz w:val="22"/>
          <w:lang w:val="fr-BE" w:eastAsia="fr-BE" w:bidi="ar-SA"/>
        </w:rPr>
      </w:pPr>
      <w:hyperlink w:anchor="_Toc524104261" w:history="1">
        <w:r w:rsidRPr="00C05558">
          <w:rPr>
            <w:rStyle w:val="Hyperlink"/>
            <w:rFonts w:ascii="Times New Roman" w:hAnsi="Times New Roman"/>
          </w:rPr>
          <w:t>7.3.</w:t>
        </w:r>
        <w:r>
          <w:rPr>
            <w:rFonts w:asciiTheme="minorHAnsi" w:eastAsiaTheme="minorEastAsia" w:hAnsiTheme="minorHAnsi" w:cstheme="minorBidi"/>
            <w:b w:val="0"/>
            <w:smallCaps w:val="0"/>
            <w:sz w:val="22"/>
            <w:lang w:val="fr-BE" w:eastAsia="fr-BE" w:bidi="ar-SA"/>
          </w:rPr>
          <w:tab/>
        </w:r>
        <w:r w:rsidRPr="00C05558">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_Toc524104261 \h </w:instrText>
        </w:r>
        <w:r>
          <w:rPr>
            <w:webHidden/>
          </w:rPr>
        </w:r>
        <w:r>
          <w:rPr>
            <w:webHidden/>
          </w:rPr>
          <w:fldChar w:fldCharType="separate"/>
        </w:r>
        <w:r>
          <w:rPr>
            <w:webHidden/>
          </w:rPr>
          <w:t>230</w:t>
        </w:r>
        <w:r>
          <w:rPr>
            <w:webHidden/>
          </w:rPr>
          <w:fldChar w:fldCharType="end"/>
        </w:r>
      </w:hyperlink>
    </w:p>
    <w:p w:rsidR="006221C9" w:rsidRDefault="00D72DF8">
      <w:pPr>
        <w:rPr>
          <w:rFonts w:asciiTheme="minorHAnsi" w:eastAsiaTheme="minorEastAsia" w:hAnsiTheme="minorHAnsi" w:cstheme="minorBidi"/>
          <w:sz w:val="22"/>
        </w:rPr>
        <w:sectPr w:rsidR="006221C9" w:rsidSect="004D4419">
          <w:headerReference w:type="default" r:id="rId9"/>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392FFD" w:rsidRDefault="007B4FD3" w:rsidP="00EC5046">
      <w:pPr>
        <w:rPr>
          <w:rFonts w:ascii="Times New Roman" w:hAnsi="Times New Roman"/>
          <w:sz w:val="24"/>
        </w:rPr>
      </w:pPr>
    </w:p>
    <w:p w:rsidR="002648B0" w:rsidRPr="00392FFD" w:rsidRDefault="002648B0" w:rsidP="00D64B66">
      <w:pPr>
        <w:pStyle w:val="Heading2"/>
        <w:rPr>
          <w:rFonts w:ascii="Times New Roman" w:hAnsi="Times New Roman"/>
        </w:rPr>
      </w:pPr>
      <w:bookmarkStart w:id="2" w:name="_Toc264038394"/>
      <w:bookmarkStart w:id="3" w:name="_Toc360188317"/>
      <w:bookmarkStart w:id="4" w:name="_Toc516210599"/>
      <w:bookmarkStart w:id="5" w:name="_Toc473560865"/>
      <w:bookmarkStart w:id="6" w:name="_Toc524104138"/>
      <w:r>
        <w:rPr>
          <w:rFonts w:ascii="Times New Roman" w:hAnsi="Times New Roman"/>
        </w:rPr>
        <w:t>PARTIE I:</w:t>
      </w:r>
      <w:bookmarkEnd w:id="2"/>
      <w:r>
        <w:rPr>
          <w:rFonts w:ascii="Times New Roman" w:hAnsi="Times New Roman"/>
        </w:rPr>
        <w:t xml:space="preserve"> INSTRUCTIONS GÉNÉRALES</w:t>
      </w:r>
      <w:bookmarkEnd w:id="3"/>
      <w:bookmarkEnd w:id="4"/>
      <w:bookmarkEnd w:id="5"/>
      <w:bookmarkEnd w:id="6"/>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516210600"/>
      <w:bookmarkStart w:id="9" w:name="_Toc473560866"/>
      <w:bookmarkStart w:id="10" w:name="_Toc524104139"/>
      <w:r>
        <w:rPr>
          <w:rFonts w:ascii="Times New Roman" w:hAnsi="Times New Roman"/>
          <w:sz w:val="24"/>
          <w:u w:val="none"/>
        </w:rPr>
        <w:t>1.</w:t>
      </w:r>
      <w:r w:rsidRPr="00C638B3">
        <w:rPr>
          <w:u w:val="none"/>
        </w:rPr>
        <w:tab/>
      </w:r>
      <w:r w:rsidRPr="00C638B3">
        <w:rPr>
          <w:rFonts w:ascii="Times New Roman" w:hAnsi="Times New Roman"/>
          <w:sz w:val="24"/>
          <w:u w:val="none"/>
        </w:rPr>
        <w:t>S</w:t>
      </w:r>
      <w:r>
        <w:rPr>
          <w:rFonts w:ascii="Times New Roman" w:hAnsi="Times New Roman"/>
          <w:sz w:val="24"/>
          <w:u w:val="none"/>
        </w:rPr>
        <w:t>tructure et conventions</w:t>
      </w:r>
      <w:bookmarkEnd w:id="7"/>
      <w:bookmarkEnd w:id="8"/>
      <w:bookmarkEnd w:id="9"/>
      <w:bookmarkEnd w:id="10"/>
    </w:p>
    <w:p w:rsidR="002648B0" w:rsidRPr="00392FFD" w:rsidRDefault="00125707" w:rsidP="00304CA5">
      <w:pPr>
        <w:pStyle w:val="Instructionsberschrift2"/>
        <w:numPr>
          <w:ilvl w:val="0"/>
          <w:numId w:val="0"/>
        </w:numPr>
        <w:ind w:left="357" w:hanging="357"/>
        <w:rPr>
          <w:rFonts w:ascii="Times New Roman" w:hAnsi="Times New Roman" w:cs="Times New Roman"/>
          <w:sz w:val="24"/>
          <w:u w:val="none"/>
        </w:rPr>
      </w:pPr>
      <w:bookmarkStart w:id="11" w:name="_Toc360188319"/>
      <w:bookmarkStart w:id="12" w:name="_Toc516210601"/>
      <w:bookmarkStart w:id="13" w:name="_Toc473560867"/>
      <w:bookmarkStart w:id="14" w:name="_Toc264038399"/>
      <w:bookmarkStart w:id="15" w:name="_Toc294018834"/>
      <w:bookmarkStart w:id="16" w:name="_Toc524104140"/>
      <w:r>
        <w:rPr>
          <w:rFonts w:ascii="Times New Roman" w:hAnsi="Times New Roman"/>
          <w:sz w:val="24"/>
          <w:u w:val="none"/>
        </w:rPr>
        <w:t>1.1.</w:t>
      </w:r>
      <w:r w:rsidRPr="00C638B3">
        <w:rPr>
          <w:u w:val="none"/>
        </w:rPr>
        <w:tab/>
      </w:r>
      <w:r>
        <w:rPr>
          <w:rFonts w:ascii="Times New Roman" w:hAnsi="Times New Roman"/>
          <w:sz w:val="24"/>
          <w:u w:val="none"/>
        </w:rPr>
        <w:t>Structure</w:t>
      </w:r>
      <w:bookmarkEnd w:id="11"/>
      <w:bookmarkEnd w:id="12"/>
      <w:bookmarkEnd w:id="13"/>
      <w:bookmarkEnd w:id="16"/>
    </w:p>
    <w:p w:rsidR="002648B0" w:rsidRPr="00392FFD" w:rsidRDefault="00125707" w:rsidP="00C37B29">
      <w:pPr>
        <w:pStyle w:val="InstructionsText2"/>
        <w:numPr>
          <w:ilvl w:val="0"/>
          <w:numId w:val="0"/>
        </w:numPr>
        <w:ind w:left="993"/>
      </w:pPr>
      <w:r>
        <w:t>1.</w:t>
      </w:r>
      <w:r>
        <w:tab/>
        <w:t>Globalement, le cadre s'articule autour de cinq blocs de modèles:</w:t>
      </w:r>
    </w:p>
    <w:p w:rsidR="002648B0" w:rsidRPr="00392FFD" w:rsidRDefault="00125707" w:rsidP="00C37B29">
      <w:pPr>
        <w:pStyle w:val="InstructionsText2"/>
        <w:numPr>
          <w:ilvl w:val="0"/>
          <w:numId w:val="0"/>
        </w:numPr>
        <w:ind w:left="993"/>
      </w:pPr>
      <w:r>
        <w:t>(a)</w:t>
      </w:r>
      <w:r>
        <w:tab/>
        <w:t>adéquation des fonds propres, synthèse des fonds propres réglementaires; mo</w:t>
      </w:r>
      <w:r>
        <w:t>n</w:t>
      </w:r>
      <w:r>
        <w:t>tant total d'exposition au risque;</w:t>
      </w:r>
    </w:p>
    <w:p w:rsidR="00436204" w:rsidRPr="00392FFD" w:rsidRDefault="00125707" w:rsidP="00C37B29">
      <w:pPr>
        <w:pStyle w:val="InstructionsText2"/>
        <w:numPr>
          <w:ilvl w:val="0"/>
          <w:numId w:val="0"/>
        </w:numPr>
        <w:ind w:left="993"/>
      </w:pPr>
      <w:r>
        <w:t>(b)</w:t>
      </w:r>
      <w:r>
        <w:tab/>
        <w:t>solvabilité du groupe, synthèse du respect des exigences en matière de solvab</w:t>
      </w:r>
      <w:r>
        <w:t>i</w:t>
      </w:r>
      <w:r>
        <w:t>lité par les différentes entités incluses dans le périmètre de consolidation de l'entité déclarante;</w:t>
      </w:r>
    </w:p>
    <w:p w:rsidR="002648B0" w:rsidRPr="00392FFD" w:rsidRDefault="00125707" w:rsidP="00C37B29">
      <w:pPr>
        <w:pStyle w:val="InstructionsText2"/>
        <w:numPr>
          <w:ilvl w:val="0"/>
          <w:numId w:val="0"/>
        </w:numPr>
        <w:ind w:left="993"/>
      </w:pPr>
      <w:r>
        <w:t>(c)</w:t>
      </w:r>
      <w:r>
        <w:tab/>
        <w:t>risque de crédit (y compris de la contrepartie, risques de dilution et de règl</w:t>
      </w:r>
      <w:r>
        <w:t>e</w:t>
      </w:r>
      <w:r>
        <w:t>ment);</w:t>
      </w:r>
    </w:p>
    <w:p w:rsidR="002648B0" w:rsidRPr="00392FFD" w:rsidRDefault="00125707" w:rsidP="00C37B29">
      <w:pPr>
        <w:pStyle w:val="InstructionsText2"/>
        <w:numPr>
          <w:ilvl w:val="0"/>
          <w:numId w:val="0"/>
        </w:numPr>
        <w:ind w:left="993"/>
      </w:pPr>
      <w:r>
        <w:t>(d)</w:t>
      </w:r>
      <w:r>
        <w:tab/>
        <w:t>risque de marché (y compris le risque de position dans le portefeuille de nég</w:t>
      </w:r>
      <w:r>
        <w:t>o</w:t>
      </w:r>
      <w:r>
        <w:t>ciation, risque de change, risque sur matières premières et risque d'ajustement de l'évaluation de crédit);</w:t>
      </w:r>
    </w:p>
    <w:p w:rsidR="002648B0" w:rsidRPr="00392FFD" w:rsidRDefault="00125707" w:rsidP="00C37B29">
      <w:pPr>
        <w:pStyle w:val="InstructionsText2"/>
        <w:numPr>
          <w:ilvl w:val="0"/>
          <w:numId w:val="0"/>
        </w:numPr>
        <w:ind w:left="993"/>
      </w:pPr>
      <w:r>
        <w:t>(e)</w:t>
      </w:r>
      <w:r>
        <w:tab/>
        <w:t>risque opérationnel.</w:t>
      </w:r>
    </w:p>
    <w:p w:rsidR="002648B0" w:rsidRPr="00392FFD" w:rsidRDefault="00125707" w:rsidP="00C37B29">
      <w:pPr>
        <w:pStyle w:val="InstructionsText2"/>
        <w:numPr>
          <w:ilvl w:val="0"/>
          <w:numId w:val="0"/>
        </w:numPr>
        <w:ind w:left="993"/>
      </w:pPr>
      <w:r>
        <w:t>2.</w:t>
      </w:r>
      <w:r>
        <w:tab/>
        <w:t>Des références légales sont fournies pour chaque modèle. Cette partie de la norme technique d'exécution contient des informations détaillées sur quelques a</w:t>
      </w:r>
      <w:r>
        <w:t>s</w:t>
      </w:r>
      <w:r>
        <w:t>pects plus généraux de la déclaration de chaque bloc de modèles, des instructions concernant certaines positions, ainsi que des règles de validation.</w:t>
      </w:r>
    </w:p>
    <w:p w:rsidR="005643EA" w:rsidRPr="00392FFD" w:rsidRDefault="00125707" w:rsidP="00C37B29">
      <w:pPr>
        <w:pStyle w:val="InstructionsText2"/>
        <w:numPr>
          <w:ilvl w:val="0"/>
          <w:numId w:val="0"/>
        </w:numPr>
        <w:ind w:left="993"/>
      </w:pPr>
      <w:r>
        <w:t>3.</w:t>
      </w:r>
      <w:r>
        <w:tab/>
        <w:t>Les établissements ne remplissent que les modèles pertinents, en fonction de l'approche adoptée pour le calcul des exigences de fonds propres.</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0"/>
      <w:bookmarkStart w:id="18" w:name="_Toc516210602"/>
      <w:bookmarkStart w:id="19" w:name="_Toc473560868"/>
      <w:bookmarkStart w:id="20" w:name="_Toc524104141"/>
      <w:r>
        <w:rPr>
          <w:rFonts w:ascii="Times New Roman" w:hAnsi="Times New Roman"/>
          <w:sz w:val="24"/>
          <w:u w:val="none"/>
        </w:rPr>
        <w:t>1.2.</w:t>
      </w:r>
      <w:r w:rsidRPr="00C638B3">
        <w:rPr>
          <w:u w:val="none"/>
        </w:rPr>
        <w:tab/>
      </w:r>
      <w:r w:rsidRPr="00C638B3">
        <w:rPr>
          <w:rFonts w:ascii="Times New Roman" w:hAnsi="Times New Roman"/>
          <w:sz w:val="24"/>
          <w:u w:val="none"/>
        </w:rPr>
        <w:t>C</w:t>
      </w:r>
      <w:r>
        <w:rPr>
          <w:rFonts w:ascii="Times New Roman" w:hAnsi="Times New Roman"/>
          <w:sz w:val="24"/>
          <w:u w:val="none"/>
        </w:rPr>
        <w:t>onvention de numérotation</w:t>
      </w:r>
      <w:bookmarkEnd w:id="17"/>
      <w:bookmarkEnd w:id="18"/>
      <w:bookmarkEnd w:id="19"/>
      <w:bookmarkEnd w:id="20"/>
    </w:p>
    <w:p w:rsidR="002648B0" w:rsidRPr="00392FFD" w:rsidRDefault="00125707" w:rsidP="00C37B29">
      <w:pPr>
        <w:pStyle w:val="InstructionsText2"/>
        <w:numPr>
          <w:ilvl w:val="0"/>
          <w:numId w:val="0"/>
        </w:numPr>
        <w:ind w:left="993"/>
      </w:pPr>
      <w:r>
        <w:t>4.</w:t>
      </w:r>
      <w:r>
        <w:tab/>
        <w:t>Dans le cas de références à des colonnes, des lignes et des cellules dans les modèles, ce document respecte la convention définie dans le tableau ci-dessous. Ces codes numériques sont utilisés très fréquemment dans les règles de validation.</w:t>
      </w:r>
    </w:p>
    <w:p w:rsidR="005643EA" w:rsidRPr="00392FFD" w:rsidRDefault="00125707" w:rsidP="00C37B29">
      <w:pPr>
        <w:pStyle w:val="InstructionsText2"/>
        <w:numPr>
          <w:ilvl w:val="0"/>
          <w:numId w:val="0"/>
        </w:numPr>
        <w:ind w:left="993"/>
      </w:pPr>
      <w:r>
        <w:t>5.</w:t>
      </w:r>
      <w:r>
        <w:tab/>
        <w:t>Les instructions suivent le système général de notation suivant: {</w:t>
      </w:r>
      <w:proofErr w:type="spellStart"/>
      <w:r>
        <w:t>M</w:t>
      </w:r>
      <w:r>
        <w:t>o</w:t>
      </w:r>
      <w:r>
        <w:t>dèle;Ligne;Colonne</w:t>
      </w:r>
      <w:proofErr w:type="spellEnd"/>
      <w:r>
        <w:t xml:space="preserve">}. </w:t>
      </w:r>
    </w:p>
    <w:p w:rsidR="002648B0" w:rsidRPr="00392FFD" w:rsidRDefault="00125707" w:rsidP="00C37B29">
      <w:pPr>
        <w:pStyle w:val="InstructionsText2"/>
        <w:numPr>
          <w:ilvl w:val="0"/>
          <w:numId w:val="0"/>
        </w:numPr>
        <w:ind w:left="993"/>
      </w:pPr>
      <w:r>
        <w:t>6.</w:t>
      </w:r>
      <w:r>
        <w:tab/>
        <w:t>En cas de validations à l'intérieur d'un modèle, pour lesquelles seuls les points de données de ce modèle sont utilisés, les notations ne mentionnent pas le modèle: {</w:t>
      </w:r>
      <w:proofErr w:type="spellStart"/>
      <w:r>
        <w:t>Ligne;Colonne</w:t>
      </w:r>
      <w:proofErr w:type="spellEnd"/>
      <w:r>
        <w:t xml:space="preserve">}. </w:t>
      </w:r>
    </w:p>
    <w:p w:rsidR="005643EA" w:rsidRPr="00392FFD" w:rsidRDefault="00125707" w:rsidP="00C37B29">
      <w:pPr>
        <w:pStyle w:val="InstructionsText2"/>
        <w:numPr>
          <w:ilvl w:val="0"/>
          <w:numId w:val="0"/>
        </w:numPr>
        <w:ind w:left="993"/>
      </w:pPr>
      <w:r>
        <w:t>7.</w:t>
      </w:r>
      <w:r>
        <w:tab/>
        <w:t>Dans le cas des modèles constitués d'une colonne unique, il est fait référence aux seules lignes: {</w:t>
      </w:r>
      <w:proofErr w:type="spellStart"/>
      <w:r>
        <w:t>Modèle;Ligne</w:t>
      </w:r>
      <w:proofErr w:type="spellEnd"/>
      <w:r>
        <w:t>}</w:t>
      </w:r>
    </w:p>
    <w:p w:rsidR="002648B0" w:rsidRPr="00392FFD" w:rsidRDefault="00125707" w:rsidP="00C37B29">
      <w:pPr>
        <w:pStyle w:val="InstructionsText2"/>
        <w:numPr>
          <w:ilvl w:val="0"/>
          <w:numId w:val="0"/>
        </w:numPr>
        <w:ind w:left="993"/>
      </w:pPr>
      <w:r>
        <w:t>8.</w:t>
      </w:r>
      <w:r>
        <w:tab/>
        <w:t>Un astérisque indique que la validation porte sur les lignes ou les colonnes mentionnées auparavant.</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1" w:name="_Toc360188321"/>
      <w:bookmarkStart w:id="22" w:name="_Toc516210603"/>
      <w:bookmarkStart w:id="23" w:name="_Toc473560869"/>
      <w:bookmarkStart w:id="24" w:name="_Toc524104142"/>
      <w:r>
        <w:rPr>
          <w:rFonts w:ascii="Times New Roman" w:hAnsi="Times New Roman"/>
          <w:sz w:val="24"/>
          <w:u w:val="none"/>
        </w:rPr>
        <w:lastRenderedPageBreak/>
        <w:t>1.3.</w:t>
      </w:r>
      <w:r w:rsidRPr="00C638B3">
        <w:rPr>
          <w:u w:val="none"/>
        </w:rPr>
        <w:tab/>
      </w:r>
      <w:r>
        <w:rPr>
          <w:rFonts w:ascii="Times New Roman" w:hAnsi="Times New Roman"/>
          <w:sz w:val="24"/>
          <w:u w:val="none"/>
        </w:rPr>
        <w:t>Convention de signe</w:t>
      </w:r>
      <w:bookmarkEnd w:id="14"/>
      <w:bookmarkEnd w:id="15"/>
      <w:bookmarkEnd w:id="21"/>
      <w:bookmarkEnd w:id="22"/>
      <w:bookmarkEnd w:id="23"/>
      <w:bookmarkEnd w:id="24"/>
    </w:p>
    <w:p w:rsidR="002648B0" w:rsidRDefault="00125707" w:rsidP="00C37B29">
      <w:pPr>
        <w:pStyle w:val="InstructionsText2"/>
        <w:numPr>
          <w:ilvl w:val="0"/>
          <w:numId w:val="0"/>
        </w:numPr>
        <w:ind w:left="993"/>
      </w:pPr>
      <w:r>
        <w:t>9.</w:t>
      </w:r>
      <w:r>
        <w:tab/>
        <w:t>Tout montant augmentant les fonds propres ou les exigences de fonds propres sera déclaré en tant que valeur positive. En revanche, tout montant réduisant le total des fonds propres ou des exigences de fonds propres sera déclaré en tant que valeur négative. Lorsqu'un signe négatif (-) précède l'intitulé d'un élément, aucune valeur positive n'est attendue pour cet élément.</w:t>
      </w:r>
    </w:p>
    <w:p w:rsidR="00304CA5" w:rsidRPr="00392FFD" w:rsidRDefault="00304CA5" w:rsidP="00304CA5">
      <w:pPr>
        <w:pStyle w:val="Instructionsberschrift2"/>
        <w:numPr>
          <w:ilvl w:val="0"/>
          <w:numId w:val="0"/>
        </w:numPr>
        <w:ind w:left="357" w:hanging="357"/>
        <w:rPr>
          <w:rFonts w:ascii="Times New Roman" w:hAnsi="Times New Roman" w:cs="Times New Roman"/>
          <w:sz w:val="24"/>
          <w:u w:val="none"/>
        </w:rPr>
      </w:pPr>
      <w:bookmarkStart w:id="25" w:name="_Toc516210604"/>
      <w:bookmarkStart w:id="26" w:name="_Toc524104143"/>
      <w:r>
        <w:rPr>
          <w:rFonts w:ascii="Times New Roman" w:hAnsi="Times New Roman"/>
          <w:sz w:val="24"/>
          <w:u w:val="none"/>
        </w:rPr>
        <w:t>1.4.</w:t>
      </w:r>
      <w:r w:rsidRPr="00C638B3">
        <w:rPr>
          <w:u w:val="none"/>
        </w:rPr>
        <w:tab/>
      </w:r>
      <w:r>
        <w:rPr>
          <w:rFonts w:ascii="Times New Roman" w:hAnsi="Times New Roman"/>
          <w:sz w:val="24"/>
          <w:u w:val="none"/>
        </w:rPr>
        <w:t>Abréviations</w:t>
      </w:r>
      <w:bookmarkEnd w:id="25"/>
      <w:bookmarkEnd w:id="26"/>
    </w:p>
    <w:p w:rsidR="00304CA5" w:rsidRPr="001F2830" w:rsidRDefault="00304CA5" w:rsidP="00C37B29">
      <w:pPr>
        <w:pStyle w:val="InstructionsText2"/>
        <w:numPr>
          <w:ilvl w:val="0"/>
          <w:numId w:val="0"/>
        </w:numPr>
        <w:ind w:left="993"/>
      </w:pPr>
      <w:r>
        <w:t>9 </w:t>
      </w:r>
      <w:r>
        <w:rPr>
          <w:i/>
        </w:rPr>
        <w:t>bis</w:t>
      </w:r>
      <w:r>
        <w:t xml:space="preserve">. Aux fins de la présente annexe, on entend par «CRR» le règlement (UE) nº 575/2013 </w:t>
      </w:r>
      <w:r>
        <w:rPr>
          <w:rStyle w:val="FormatvorlageInstructionsTabelleText"/>
          <w:rFonts w:ascii="Times New Roman" w:hAnsi="Times New Roman"/>
          <w:sz w:val="24"/>
        </w:rPr>
        <w:t>et</w:t>
      </w:r>
      <w:r>
        <w:t xml:space="preserve"> par «CRD», la directive 2013/36/UE du Parlement européen et du Conseil.</w:t>
      </w:r>
    </w:p>
    <w:p w:rsidR="00304CA5" w:rsidRPr="00392FFD" w:rsidRDefault="00304CA5" w:rsidP="00C37B29">
      <w:pPr>
        <w:pStyle w:val="InstructionsText2"/>
        <w:numPr>
          <w:ilvl w:val="0"/>
          <w:numId w:val="0"/>
        </w:numPr>
        <w:ind w:left="993"/>
      </w:pPr>
    </w:p>
    <w:p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7" w:name="_Toc264033192"/>
      <w:bookmarkEnd w:id="27"/>
    </w:p>
    <w:p w:rsidR="002648B0" w:rsidRPr="00392FFD" w:rsidRDefault="002648B0" w:rsidP="00005FFC">
      <w:pPr>
        <w:rPr>
          <w:rFonts w:ascii="Times New Roman" w:hAnsi="Times New Roman"/>
          <w:sz w:val="24"/>
        </w:rPr>
      </w:pPr>
    </w:p>
    <w:p w:rsidR="002648B0" w:rsidRPr="00392FFD" w:rsidRDefault="002648B0" w:rsidP="00D64B66">
      <w:pPr>
        <w:pStyle w:val="Heading2"/>
        <w:rPr>
          <w:rFonts w:ascii="Times New Roman" w:hAnsi="Times New Roman"/>
        </w:rPr>
      </w:pPr>
      <w:bookmarkStart w:id="28" w:name="_Toc360188322"/>
      <w:bookmarkStart w:id="29" w:name="_Toc516210605"/>
      <w:bookmarkStart w:id="30" w:name="_Toc473560870"/>
      <w:bookmarkStart w:id="31" w:name="_Toc524104144"/>
      <w:r>
        <w:rPr>
          <w:rFonts w:ascii="Times New Roman" w:hAnsi="Times New Roman"/>
        </w:rPr>
        <w:t>PARTIE II: INSTRUCTIONS CONCERNANT LES MODÈLES</w:t>
      </w:r>
      <w:bookmarkEnd w:id="28"/>
      <w:bookmarkEnd w:id="29"/>
      <w:bookmarkEnd w:id="30"/>
      <w:bookmarkEnd w:id="31"/>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2" w:name="_Toc360188323"/>
      <w:bookmarkStart w:id="33" w:name="_Toc516210606"/>
      <w:bookmarkStart w:id="34" w:name="_Toc473560871"/>
      <w:bookmarkStart w:id="35" w:name="_Toc524104145"/>
      <w:r>
        <w:rPr>
          <w:rFonts w:ascii="Times New Roman" w:hAnsi="Times New Roman"/>
          <w:sz w:val="24"/>
          <w:u w:val="none"/>
        </w:rPr>
        <w:t>1.</w:t>
      </w:r>
      <w:r w:rsidRPr="00357626">
        <w:rPr>
          <w:u w:val="none"/>
        </w:rPr>
        <w:tab/>
      </w:r>
      <w:r w:rsidRPr="00357626">
        <w:rPr>
          <w:rFonts w:ascii="Times New Roman" w:hAnsi="Times New Roman"/>
          <w:sz w:val="24"/>
          <w:u w:val="none"/>
        </w:rPr>
        <w:t>S</w:t>
      </w:r>
      <w:r>
        <w:rPr>
          <w:rFonts w:ascii="Times New Roman" w:hAnsi="Times New Roman"/>
          <w:sz w:val="24"/>
          <w:u w:val="none"/>
        </w:rPr>
        <w:t>ynthèse concernant les modèles CA</w:t>
      </w:r>
      <w:bookmarkEnd w:id="32"/>
      <w:r>
        <w:rPr>
          <w:rFonts w:ascii="Times New Roman" w:hAnsi="Times New Roman"/>
          <w:sz w:val="24"/>
          <w:u w:val="none"/>
        </w:rPr>
        <w:t xml:space="preserve"> (adéquation des fonds propres)</w:t>
      </w:r>
      <w:bookmarkEnd w:id="33"/>
      <w:bookmarkEnd w:id="34"/>
      <w:bookmarkEnd w:id="35"/>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6" w:name="_Toc308175819"/>
      <w:bookmarkStart w:id="37" w:name="_Toc360188324"/>
      <w:bookmarkStart w:id="38" w:name="_Toc516210607"/>
      <w:bookmarkStart w:id="39" w:name="_Toc473560872"/>
      <w:bookmarkStart w:id="40" w:name="_Toc524104146"/>
      <w:r>
        <w:rPr>
          <w:rFonts w:ascii="Times New Roman" w:hAnsi="Times New Roman"/>
          <w:sz w:val="24"/>
          <w:u w:val="none"/>
        </w:rPr>
        <w:t>1.1</w:t>
      </w:r>
      <w:r w:rsidRPr="00357626">
        <w:rPr>
          <w:rFonts w:ascii="Times New Roman" w:hAnsi="Times New Roman"/>
          <w:sz w:val="24"/>
          <w:u w:val="none"/>
        </w:rPr>
        <w:t>.</w:t>
      </w:r>
      <w:r w:rsidRPr="00357626">
        <w:rPr>
          <w:u w:val="none"/>
        </w:rPr>
        <w:tab/>
      </w:r>
      <w:r>
        <w:rPr>
          <w:rFonts w:ascii="Times New Roman" w:hAnsi="Times New Roman"/>
          <w:sz w:val="24"/>
          <w:u w:val="none"/>
        </w:rPr>
        <w:t>Remarques générales</w:t>
      </w:r>
      <w:bookmarkEnd w:id="36"/>
      <w:bookmarkEnd w:id="37"/>
      <w:bookmarkEnd w:id="38"/>
      <w:bookmarkEnd w:id="39"/>
      <w:bookmarkEnd w:id="40"/>
    </w:p>
    <w:p w:rsidR="002648B0" w:rsidRPr="00392FFD" w:rsidRDefault="00125707" w:rsidP="00C37B29">
      <w:pPr>
        <w:pStyle w:val="InstructionsText2"/>
        <w:numPr>
          <w:ilvl w:val="0"/>
          <w:numId w:val="0"/>
        </w:numPr>
        <w:ind w:left="993"/>
      </w:pPr>
      <w:r>
        <w:t>10.</w:t>
      </w:r>
      <w:r>
        <w:tab/>
        <w:t>Les cinq modèles CA regroupent des informations sur les numérateurs du pr</w:t>
      </w:r>
      <w:r>
        <w:t>e</w:t>
      </w:r>
      <w:r>
        <w:t>mier pilier (fonds propres, fonds propres de catégorie 1, fonds propres de base de catégorie 1), le dénominateur (exigences de fonds propres) et les dispositions trans</w:t>
      </w:r>
      <w:r>
        <w:t>i</w:t>
      </w:r>
      <w:r>
        <w:t xml:space="preserve">toires: </w:t>
      </w:r>
    </w:p>
    <w:p w:rsidR="005643EA" w:rsidRPr="00392FFD" w:rsidRDefault="00125707" w:rsidP="00C37B29">
      <w:pPr>
        <w:pStyle w:val="InstructionsText2"/>
        <w:numPr>
          <w:ilvl w:val="0"/>
          <w:numId w:val="0"/>
        </w:numPr>
        <w:ind w:left="993"/>
      </w:pPr>
      <w:r>
        <w:t>(a)</w:t>
      </w:r>
      <w:r>
        <w:tab/>
        <w:t>Le modèle CA1 concerne le montant des fonds propres des établissements, avec une ventilation des éléments nécessaires pour obtenir ce montant. Le montant des fonds propres obtenu intègre l'effet cumulé des dispositions transitoires par type de capitaux.</w:t>
      </w:r>
    </w:p>
    <w:p w:rsidR="005643EA" w:rsidRPr="00392FFD" w:rsidRDefault="00125707" w:rsidP="00C37B29">
      <w:pPr>
        <w:pStyle w:val="InstructionsText2"/>
        <w:numPr>
          <w:ilvl w:val="0"/>
          <w:numId w:val="0"/>
        </w:numPr>
        <w:ind w:left="993"/>
      </w:pPr>
      <w:r>
        <w:t>(b)</w:t>
      </w:r>
      <w:r>
        <w:tab/>
        <w:t>Le modèle CA2 synthétise les montants totaux d'exposition au risque tels que définis à l'article 92, paragraphe 3, du CRR.</w:t>
      </w:r>
    </w:p>
    <w:p w:rsidR="005643EA" w:rsidRPr="00392FFD" w:rsidRDefault="00125707" w:rsidP="00C37B29">
      <w:pPr>
        <w:pStyle w:val="InstructionsText2"/>
        <w:numPr>
          <w:ilvl w:val="0"/>
          <w:numId w:val="0"/>
        </w:numPr>
        <w:ind w:left="993"/>
      </w:pPr>
      <w:r>
        <w:t>(c)</w:t>
      </w:r>
      <w:r>
        <w:tab/>
        <w:t>Le modèle CA3 contient les ratios pour lesquels le CRR a fixé une limite m</w:t>
      </w:r>
      <w:r>
        <w:t>i</w:t>
      </w:r>
      <w:r>
        <w:t>nimale, ainsi que d'autres données liées.</w:t>
      </w:r>
    </w:p>
    <w:p w:rsidR="005643EA" w:rsidRPr="00392FFD" w:rsidRDefault="00125707" w:rsidP="00C37B29">
      <w:pPr>
        <w:pStyle w:val="InstructionsText2"/>
        <w:numPr>
          <w:ilvl w:val="0"/>
          <w:numId w:val="0"/>
        </w:numPr>
        <w:ind w:left="993"/>
      </w:pPr>
      <w:r>
        <w:t>(d)</w:t>
      </w:r>
      <w:r>
        <w:tab/>
        <w:t xml:space="preserve">Le modèle CA4 contient les éléments pour mémoire nécessaires au calcul des éléments de CA1, ainsi que des informations au sujet des coussins de fonds propres de la CRD. </w:t>
      </w:r>
    </w:p>
    <w:p w:rsidR="005643EA" w:rsidRPr="00392FFD" w:rsidRDefault="00125707" w:rsidP="00C37B29">
      <w:pPr>
        <w:pStyle w:val="InstructionsText2"/>
        <w:numPr>
          <w:ilvl w:val="0"/>
          <w:numId w:val="0"/>
        </w:numPr>
        <w:ind w:left="993"/>
      </w:pPr>
      <w:r>
        <w:t>(e)</w:t>
      </w:r>
      <w:r>
        <w:tab/>
        <w:t>Le modèle CA5 contient les données nécessaires au calcul de l'effet des disp</w:t>
      </w:r>
      <w:r>
        <w:t>o</w:t>
      </w:r>
      <w:r>
        <w:t>sitions transitoires sur les fonds propres. Ce modèle deviendra caduc à l'expiration des dispositions transitoires.</w:t>
      </w:r>
    </w:p>
    <w:p w:rsidR="00783881" w:rsidRPr="00392FFD" w:rsidRDefault="00125707" w:rsidP="00C37B29">
      <w:pPr>
        <w:pStyle w:val="InstructionsText2"/>
        <w:numPr>
          <w:ilvl w:val="0"/>
          <w:numId w:val="0"/>
        </w:numPr>
        <w:ind w:left="993"/>
      </w:pPr>
      <w:r>
        <w:t>11.</w:t>
      </w:r>
      <w:r>
        <w:tab/>
        <w:t>Les modèles s'appliquent à toutes les entités déclarantes, quelles que soient les normes comptables appliquées, bien que certains éléments du numérateur soient spécifiques aux entités ayant opté pour les règles d'évaluation de type IAS/IFRS. Généralement, les données du dénominateur sont liées au résultat final déclaré dans le modèle correspondant, dans le cadre du calcul du montant total d'exposition au risque.</w:t>
      </w:r>
    </w:p>
    <w:p w:rsidR="005643EA" w:rsidRPr="00392FFD" w:rsidRDefault="00125707" w:rsidP="00C37B29">
      <w:pPr>
        <w:pStyle w:val="InstructionsText2"/>
        <w:numPr>
          <w:ilvl w:val="0"/>
          <w:numId w:val="0"/>
        </w:numPr>
        <w:ind w:left="993"/>
      </w:pPr>
      <w:r>
        <w:t>12.</w:t>
      </w:r>
      <w:r>
        <w:tab/>
        <w:t xml:space="preserve">Le total des fonds propres se compose de plusieurs types de fonds propres: les fonds propres de catégorie 1 (T1), constitués de la somme des fonds propres de base de catégorie 1 (CET1) et des fonds propres additionnels de catégorie 1 (AT1), ainsi que les fonds propres de catégorie 2 (T2). </w:t>
      </w:r>
    </w:p>
    <w:p w:rsidR="00783881" w:rsidRPr="00392FFD" w:rsidRDefault="00125707" w:rsidP="00C37B29">
      <w:pPr>
        <w:pStyle w:val="InstructionsText2"/>
        <w:numPr>
          <w:ilvl w:val="0"/>
          <w:numId w:val="0"/>
        </w:numPr>
        <w:ind w:left="993"/>
      </w:pPr>
      <w:r>
        <w:t>13.</w:t>
      </w:r>
      <w:r>
        <w:tab/>
        <w:t>Dans les modèles CA, les dispositions transitoires seront traitées comme suit:</w:t>
      </w:r>
    </w:p>
    <w:p w:rsidR="00783881" w:rsidRPr="00392FFD" w:rsidRDefault="00125707" w:rsidP="00C37B29">
      <w:pPr>
        <w:pStyle w:val="InstructionsText2"/>
        <w:numPr>
          <w:ilvl w:val="0"/>
          <w:numId w:val="0"/>
        </w:numPr>
        <w:ind w:left="993"/>
      </w:pPr>
      <w:r>
        <w:t>(a)</w:t>
      </w:r>
      <w:r>
        <w:tab/>
        <w:t>Les éléments de CA1 sont généralement déclarés sans ajustements transitoires. Cela signifie que les chiffres des postes CA1 sont calculés en vertu des dispositions finales (comme s'il n'existait pas de dispositions transitoires), à l'exception des él</w:t>
      </w:r>
      <w:r>
        <w:t>é</w:t>
      </w:r>
      <w:r>
        <w:t>ments synthétisant l'effet des dispositions transitoires. Pour chaque type de fonds propres (CET1, AT1 et T2), trois éléments doivent intégrer tous les ajustements opérés en raison des dispositions transitoires.</w:t>
      </w:r>
    </w:p>
    <w:p w:rsidR="00113EA5" w:rsidRPr="00392FFD" w:rsidRDefault="00125707" w:rsidP="00C37B29">
      <w:pPr>
        <w:pStyle w:val="InstructionsText2"/>
        <w:numPr>
          <w:ilvl w:val="0"/>
          <w:numId w:val="0"/>
        </w:numPr>
        <w:ind w:left="993"/>
      </w:pPr>
      <w:r>
        <w:lastRenderedPageBreak/>
        <w:t>(b)</w:t>
      </w:r>
      <w:r>
        <w:tab/>
        <w:t>Les dispositions transitoires peuvent en outre avoir un impact sur l'insuffisance des AT1 et des T2 (c'est-à-dire la déduction excédentaire des AT1 ou des T2, régie respectivement par les articles 36, paragraphe 1, point j), et 56, point e), du CRR). En conséquence, les éléments contenant ces insuffisances peuvent indirectement r</w:t>
      </w:r>
      <w:r>
        <w:t>e</w:t>
      </w:r>
      <w:r>
        <w:t>fléter l'effet des dispositions transitoires.</w:t>
      </w:r>
    </w:p>
    <w:p w:rsidR="005643EA" w:rsidRPr="00392FFD" w:rsidRDefault="00125707" w:rsidP="00C37B29">
      <w:pPr>
        <w:pStyle w:val="InstructionsText2"/>
        <w:numPr>
          <w:ilvl w:val="0"/>
          <w:numId w:val="0"/>
        </w:numPr>
        <w:ind w:left="993"/>
      </w:pPr>
      <w:r>
        <w:t>(c)</w:t>
      </w:r>
      <w:r>
        <w:tab/>
        <w:t xml:space="preserve">Le modèle CA5 est exclusivement réservé à la déclaration des dispositions transitoires. </w:t>
      </w:r>
    </w:p>
    <w:p w:rsidR="00783881" w:rsidRPr="00392FFD" w:rsidRDefault="00125707" w:rsidP="00C37B29">
      <w:pPr>
        <w:pStyle w:val="InstructionsText2"/>
        <w:numPr>
          <w:ilvl w:val="0"/>
          <w:numId w:val="0"/>
        </w:numPr>
        <w:ind w:left="993"/>
      </w:pPr>
      <w:r>
        <w:t>14.</w:t>
      </w:r>
      <w:r>
        <w:tab/>
        <w:t>Le traitement des exigences du deuxième pilier peut varier selon les États membres (l'article 104, paragraphe 2, de la CRD doit être transposé en droit nati</w:t>
      </w:r>
      <w:r>
        <w:t>o</w:t>
      </w:r>
      <w:r>
        <w:t xml:space="preserve">nal). Seul l'impact des exigences du deuxième pilier sur le ratio de solvabilité ou le ratio cible sera mentionné dans le cadre de la déclaration de solvabilité en vertu du CRR. Une déclaration détaillée des exigences du deuxième pilier n'est pas prévue par l'article 99 du CRR. </w:t>
      </w:r>
    </w:p>
    <w:p w:rsidR="005643EA" w:rsidRPr="00392FFD" w:rsidRDefault="00125707" w:rsidP="00C37B29">
      <w:pPr>
        <w:pStyle w:val="InstructionsText2"/>
        <w:numPr>
          <w:ilvl w:val="0"/>
          <w:numId w:val="0"/>
        </w:numPr>
        <w:ind w:left="993"/>
      </w:pPr>
      <w:r>
        <w:t>a)</w:t>
      </w:r>
      <w:r>
        <w:tab/>
        <w:t>Les modèles CA1, CA2 ou CA5 ne traitent que du premier pilier.</w:t>
      </w:r>
    </w:p>
    <w:p w:rsidR="005643EA" w:rsidRPr="00392FFD" w:rsidRDefault="00125707" w:rsidP="00C37B29">
      <w:pPr>
        <w:pStyle w:val="InstructionsText2"/>
        <w:numPr>
          <w:ilvl w:val="0"/>
          <w:numId w:val="0"/>
        </w:numPr>
        <w:ind w:left="993"/>
      </w:pPr>
      <w:r>
        <w:t>b)</w:t>
      </w:r>
      <w:r>
        <w:tab/>
        <w:t>Le modèle CA3 aborde l'impact global des exigences supplémentaires du de</w:t>
      </w:r>
      <w:r>
        <w:t>u</w:t>
      </w:r>
      <w:r>
        <w:t xml:space="preserve">xième pilier sur le ratio de solvabilité. Le premier bloc se concentre sur l'impact des montants sur les ratios, tandis que l'autre bloc se concentre sur le ratio lui-même. Les deux blocs n'ont aucun autre lien avec les modèles CA1, CA2 ou CA5. </w:t>
      </w:r>
    </w:p>
    <w:p w:rsidR="005643EA" w:rsidRPr="00392FFD" w:rsidRDefault="00125707" w:rsidP="00C37B29">
      <w:pPr>
        <w:pStyle w:val="InstructionsText2"/>
        <w:numPr>
          <w:ilvl w:val="0"/>
          <w:numId w:val="0"/>
        </w:numPr>
        <w:ind w:left="993"/>
      </w:pPr>
      <w:r>
        <w:t>c)</w:t>
      </w:r>
      <w:r>
        <w:tab/>
        <w:t>Le modèle CA4 contient une cellule concernant les exigences supplémentaires de fonds propres relatives au deuxième pilier. Cette cellule n'est pas liée, par le biais des règles de validation, aux ratios de fonds propres du modèle CA3, et traduit les dispositions de l'article 104, paragraphe 2, de la CRD, qui mentionne explicit</w:t>
      </w:r>
      <w:r>
        <w:t>e</w:t>
      </w:r>
      <w:r>
        <w:t>ment les exigences supplémentaires de fonds propres comme étant une piste dans le cadre des décisions concernant le deuxième pilier.</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1" w:name="_Toc516210608"/>
      <w:bookmarkStart w:id="42" w:name="_Toc473560873"/>
      <w:bookmarkStart w:id="43" w:name="_Toc308175820"/>
      <w:bookmarkStart w:id="44" w:name="_Toc360188325"/>
      <w:bookmarkStart w:id="45" w:name="_Toc524104147"/>
      <w:r>
        <w:rPr>
          <w:rFonts w:ascii="Times New Roman" w:hAnsi="Times New Roman"/>
          <w:sz w:val="24"/>
          <w:u w:val="none"/>
        </w:rPr>
        <w:t>1.2.</w:t>
      </w:r>
      <w:r w:rsidRPr="00357626">
        <w:rPr>
          <w:u w:val="none"/>
        </w:rPr>
        <w:tab/>
      </w:r>
      <w:r>
        <w:rPr>
          <w:rFonts w:ascii="Times New Roman" w:hAnsi="Times New Roman"/>
          <w:sz w:val="24"/>
        </w:rPr>
        <w:t>C 01.00 - FONDS PROPRES (CA1)</w:t>
      </w:r>
      <w:bookmarkEnd w:id="41"/>
      <w:bookmarkEnd w:id="42"/>
      <w:bookmarkEnd w:id="45"/>
      <w:r>
        <w:rPr>
          <w:rFonts w:ascii="Times New Roman" w:hAnsi="Times New Roman"/>
          <w:sz w:val="24"/>
        </w:rPr>
        <w:t xml:space="preserve"> </w:t>
      </w:r>
      <w:bookmarkEnd w:id="43"/>
      <w:bookmarkEnd w:id="44"/>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6" w:name="_Toc308175821"/>
      <w:bookmarkStart w:id="47" w:name="_Toc310414968"/>
      <w:bookmarkStart w:id="48" w:name="_Toc360188326"/>
      <w:bookmarkStart w:id="49" w:name="_Toc516210609"/>
      <w:bookmarkStart w:id="50" w:name="_Toc473560874"/>
      <w:bookmarkStart w:id="51" w:name="_Toc524104148"/>
      <w:r>
        <w:rPr>
          <w:rFonts w:ascii="Times New Roman" w:hAnsi="Times New Roman"/>
          <w:sz w:val="24"/>
          <w:u w:val="none"/>
        </w:rPr>
        <w:t>1.2.1.</w:t>
      </w:r>
      <w:r w:rsidRPr="00357626">
        <w:rPr>
          <w:u w:val="none"/>
        </w:rPr>
        <w:tab/>
      </w:r>
      <w:r>
        <w:rPr>
          <w:rFonts w:ascii="Times New Roman" w:hAnsi="Times New Roman"/>
          <w:sz w:val="24"/>
        </w:rPr>
        <w:t xml:space="preserve">Instructions concernant certaines </w:t>
      </w:r>
      <w:bookmarkEnd w:id="46"/>
      <w:bookmarkEnd w:id="47"/>
      <w:r>
        <w:rPr>
          <w:rFonts w:ascii="Times New Roman" w:hAnsi="Times New Roman"/>
          <w:sz w:val="24"/>
        </w:rPr>
        <w:t>positions</w:t>
      </w:r>
      <w:bookmarkEnd w:id="48"/>
      <w:bookmarkEnd w:id="49"/>
      <w:bookmarkEnd w:id="50"/>
      <w:bookmarkEnd w:id="51"/>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rsidTr="00672D2A">
        <w:tc>
          <w:tcPr>
            <w:tcW w:w="1129"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Ligne</w:t>
            </w:r>
          </w:p>
        </w:tc>
        <w:tc>
          <w:tcPr>
            <w:tcW w:w="7620"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légales et instructions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w:t>
            </w:r>
          </w:p>
        </w:tc>
        <w:tc>
          <w:tcPr>
            <w:tcW w:w="7620" w:type="dxa"/>
          </w:tcPr>
          <w:p w:rsidR="00D7242F"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357626">
              <w:rPr>
                <w:rStyle w:val="InstructionsTabelleberschrift"/>
                <w:rFonts w:ascii="Times New Roman" w:hAnsi="Times New Roman"/>
                <w:sz w:val="24"/>
              </w:rPr>
              <w:tab/>
            </w:r>
            <w:r>
              <w:rPr>
                <w:rStyle w:val="InstructionsTabelleberschrift"/>
                <w:rFonts w:ascii="Times New Roman" w:hAnsi="Times New Roman"/>
                <w:sz w:val="24"/>
              </w:rPr>
              <w:t>Fonds propres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118, et article 72 du CRR</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Les fonds propres d'un établissement correspondent à la somme de ses fonds propres de catégorie 1 et de ses fonds propres de catégorie 2.</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00357626">
              <w:rPr>
                <w:rStyle w:val="InstructionsTabelleberschrift"/>
                <w:rFonts w:ascii="Times New Roman" w:hAnsi="Times New Roman"/>
                <w:sz w:val="24"/>
              </w:rPr>
              <w:tab/>
            </w:r>
            <w:r>
              <w:rPr>
                <w:rStyle w:val="InstructionsTabelleberschrift"/>
                <w:rFonts w:ascii="Times New Roman" w:hAnsi="Times New Roman"/>
                <w:sz w:val="24"/>
              </w:rPr>
              <w:t>Fonds propres de catégorie 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25 du CRR</w:t>
            </w:r>
          </w:p>
          <w:p w:rsidR="005643EA" w:rsidRPr="00392FFD" w:rsidRDefault="00666996"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Les fonds propres de catégorie 1 d'un établissement correspondent à la somme de ses fonds propres de base de catégorie 1 et de ses fonds propres additionnels de catégorie 1.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00357626">
              <w:rPr>
                <w:rStyle w:val="InstructionsTabelleberschrift"/>
                <w:rFonts w:ascii="Times New Roman" w:hAnsi="Times New Roman"/>
                <w:sz w:val="24"/>
              </w:rPr>
              <w:tab/>
            </w:r>
            <w:r>
              <w:rPr>
                <w:rStyle w:val="InstructionsTabelleberschrift"/>
                <w:rFonts w:ascii="Times New Roman" w:hAnsi="Times New Roman"/>
                <w:sz w:val="24"/>
              </w:rPr>
              <w:t>Fonds propres de base de catégorie 1 (CET1)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50 du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w:t>
            </w:r>
          </w:p>
        </w:tc>
        <w:tc>
          <w:tcPr>
            <w:tcW w:w="7620" w:type="dxa"/>
          </w:tcPr>
          <w:p w:rsidR="005643EA" w:rsidRPr="0023700C" w:rsidRDefault="000120E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sidR="00357626">
              <w:rPr>
                <w:rStyle w:val="InstructionsTabelleberschrift"/>
                <w:rFonts w:ascii="Times New Roman" w:hAnsi="Times New Roman"/>
                <w:sz w:val="24"/>
              </w:rPr>
              <w:tab/>
            </w:r>
            <w:r>
              <w:rPr>
                <w:rStyle w:val="InstructionsTabelleberschrift"/>
                <w:rFonts w:ascii="Times New Roman" w:hAnsi="Times New Roman"/>
                <w:sz w:val="24"/>
              </w:rPr>
              <w:t>Instruments de capital éligibles en tant que fonds propres 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26, paragraphe 1, points a) et b), articles 27 à 30, article 36, par</w:t>
            </w:r>
            <w:r>
              <w:rPr>
                <w:rStyle w:val="FormatvorlageInstructionsTabelleText"/>
                <w:rFonts w:ascii="Times New Roman" w:hAnsi="Times New Roman"/>
                <w:sz w:val="24"/>
              </w:rPr>
              <w:t>a</w:t>
            </w:r>
            <w:r>
              <w:rPr>
                <w:rStyle w:val="FormatvorlageInstructionsTabelleText"/>
                <w:rFonts w:ascii="Times New Roman" w:hAnsi="Times New Roman"/>
                <w:sz w:val="24"/>
              </w:rPr>
              <w:t>graphe 1, point f), et article 42 du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00357626">
              <w:rPr>
                <w:rStyle w:val="InstructionsTabelleberschrift"/>
                <w:rFonts w:ascii="Times New Roman" w:hAnsi="Times New Roman"/>
                <w:sz w:val="24"/>
              </w:rPr>
              <w:tab/>
            </w:r>
            <w:r>
              <w:rPr>
                <w:rStyle w:val="InstructionsTabelleberschrift"/>
                <w:rFonts w:ascii="Times New Roman" w:hAnsi="Times New Roman"/>
                <w:sz w:val="24"/>
              </w:rPr>
              <w:t>Instruments de capital versés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26, paragraphe 1, point a), et articles 27 à 31 du CRR</w:t>
            </w:r>
          </w:p>
          <w:p w:rsidR="00FE3BD8"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de capital de sociétés mutuelles ou coopératives ou d'ét</w:t>
            </w:r>
            <w:r>
              <w:rPr>
                <w:rStyle w:val="FormatvorlageInstructionsTabelleText"/>
                <w:rFonts w:ascii="Times New Roman" w:hAnsi="Times New Roman"/>
                <w:sz w:val="24"/>
              </w:rPr>
              <w:t>a</w:t>
            </w:r>
            <w:r>
              <w:rPr>
                <w:rStyle w:val="FormatvorlageInstructionsTabelleText"/>
                <w:rFonts w:ascii="Times New Roman" w:hAnsi="Times New Roman"/>
                <w:sz w:val="24"/>
              </w:rPr>
              <w:t>blissements analogues (articles 27 et 29 du CRR) sont inclus.</w:t>
            </w:r>
          </w:p>
          <w:p w:rsidR="00FE3BD8"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prime d'émission liée à ces instruments n'est pas incluse.</w:t>
            </w:r>
          </w:p>
          <w:p w:rsidR="005643EA"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de capital souscrits par les autorités publiques dans des s</w:t>
            </w:r>
            <w:r>
              <w:rPr>
                <w:rStyle w:val="FormatvorlageInstructionsTabelleText"/>
                <w:rFonts w:ascii="Times New Roman" w:hAnsi="Times New Roman"/>
                <w:sz w:val="24"/>
              </w:rPr>
              <w:t>i</w:t>
            </w:r>
            <w:r>
              <w:rPr>
                <w:rStyle w:val="FormatvorlageInstructionsTabelleText"/>
                <w:rFonts w:ascii="Times New Roman" w:hAnsi="Times New Roman"/>
                <w:sz w:val="24"/>
              </w:rPr>
              <w:t>tuations d'urgence sont inclus si toutes les conditions de l'article 31 du CRR sont remplies.</w:t>
            </w:r>
          </w:p>
        </w:tc>
      </w:tr>
      <w:tr w:rsidR="00216D67" w:rsidRPr="00392FFD" w:rsidTr="00672D2A">
        <w:tc>
          <w:tcPr>
            <w:tcW w:w="1129" w:type="dxa"/>
          </w:tcPr>
          <w:p w:rsidR="00216D67" w:rsidRPr="00392FFD" w:rsidRDefault="00216D67"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w:t>
            </w:r>
          </w:p>
        </w:tc>
        <w:tc>
          <w:tcPr>
            <w:tcW w:w="7620" w:type="dxa"/>
          </w:tcPr>
          <w:p w:rsidR="00216D67" w:rsidRPr="00295225" w:rsidRDefault="00DD2C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00357626">
              <w:rPr>
                <w:rStyle w:val="InstructionsTabelleberschrift"/>
                <w:rFonts w:ascii="Times New Roman" w:hAnsi="Times New Roman"/>
                <w:sz w:val="24"/>
              </w:rPr>
              <w:tab/>
            </w:r>
            <w:r>
              <w:rPr>
                <w:rStyle w:val="InstructionsTabelleberschrift"/>
                <w:rFonts w:ascii="Times New Roman" w:hAnsi="Times New Roman"/>
                <w:sz w:val="24"/>
              </w:rPr>
              <w:t>Dont: Instruments de capital souscrits par les autorités publiques dans des situations d'urgence</w:t>
            </w:r>
          </w:p>
          <w:p w:rsidR="00216D67" w:rsidRPr="00392FFD" w:rsidRDefault="00216D67"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31 du CRR</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instruments de capital souscrits par les autorités publiques dans des 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tuations d'urgence sont inclus dans les fonds propres CET1 si toutes les co</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ditions de l'article 31 du CRR sont remplies.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00357626">
              <w:rPr>
                <w:rStyle w:val="InstructionsTabelleberschrift"/>
                <w:rFonts w:ascii="Times New Roman" w:hAnsi="Times New Roman"/>
                <w:sz w:val="24"/>
              </w:rPr>
              <w:tab/>
            </w:r>
            <w:r>
              <w:rPr>
                <w:rStyle w:val="InstructionsTabelleberschrift"/>
                <w:rFonts w:ascii="Times New Roman" w:hAnsi="Times New Roman"/>
                <w:sz w:val="24"/>
              </w:rPr>
              <w:t>Pour mémoire: Instruments de capital non éligibles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28, paragraphe 1, points b), l) et m),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Dans ces points, les conditions traduisent diverses situations réversibles pour le capital. Dès lors, le montant déclaré ici peut être éligible au cours des p</w:t>
            </w:r>
            <w:r>
              <w:rPr>
                <w:rStyle w:val="FormatvorlageInstructionsTabelleText"/>
                <w:rFonts w:ascii="Times New Roman" w:hAnsi="Times New Roman"/>
                <w:sz w:val="24"/>
              </w:rPr>
              <w:t>é</w:t>
            </w:r>
            <w:r>
              <w:rPr>
                <w:rStyle w:val="FormatvorlageInstructionsTabelleText"/>
                <w:rFonts w:ascii="Times New Roman" w:hAnsi="Times New Roman"/>
                <w:sz w:val="24"/>
              </w:rPr>
              <w:t>riodes suivantes.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w:t>
            </w:r>
            <w:r>
              <w:rPr>
                <w:rStyle w:val="FormatvorlageInstructionsTabelleText"/>
                <w:rFonts w:ascii="Times New Roman" w:hAnsi="Times New Roman"/>
                <w:sz w:val="24"/>
              </w:rPr>
              <w:t>u</w:t>
            </w:r>
            <w:r>
              <w:rPr>
                <w:rStyle w:val="FormatvorlageInstructionsTabelleText"/>
                <w:rFonts w:ascii="Times New Roman" w:hAnsi="Times New Roman"/>
                <w:sz w:val="24"/>
              </w:rPr>
              <w:t>ments.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00357626">
              <w:rPr>
                <w:rStyle w:val="InstructionsTabelleberschrift"/>
                <w:rFonts w:ascii="Times New Roman" w:hAnsi="Times New Roman"/>
                <w:sz w:val="24"/>
              </w:rPr>
              <w:tab/>
            </w:r>
            <w:r>
              <w:rPr>
                <w:rStyle w:val="InstructionsTabelleberschrift"/>
                <w:rFonts w:ascii="Times New Roman" w:hAnsi="Times New Roman"/>
                <w:sz w:val="24"/>
              </w:rPr>
              <w:t>Prime d'émission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124, et article 26, paragraphe 1, point b),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terme «prime d'émission» a la même signification que celle utilisée par la norme comptable applicable.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à déclarer à ce poste est la part liée aux «Instruments de capital versés».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00357626">
              <w:rPr>
                <w:rStyle w:val="InstructionsTabelleberschrift"/>
                <w:rFonts w:ascii="Times New Roman" w:hAnsi="Times New Roman"/>
                <w:sz w:val="24"/>
              </w:rPr>
              <w:tab/>
            </w:r>
            <w:r>
              <w:rPr>
                <w:rStyle w:val="InstructionsTabelleberschrift"/>
                <w:rFonts w:ascii="Times New Roman" w:hAnsi="Times New Roman"/>
                <w:sz w:val="24"/>
              </w:rPr>
              <w:t>(-) Propres instruments 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f), et article 42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Propres instruments de fonds propres de base de catégorie 1 détenus par l'établissement ou le groupe à la date de déclaration. Poste soumis aux e</w:t>
            </w:r>
            <w:r>
              <w:rPr>
                <w:rStyle w:val="FormatvorlageInstructionsTabelleText"/>
                <w:rFonts w:ascii="Times New Roman" w:hAnsi="Times New Roman"/>
                <w:sz w:val="24"/>
              </w:rPr>
              <w:t>x</w:t>
            </w:r>
            <w:r>
              <w:rPr>
                <w:rStyle w:val="FormatvorlageInstructionsTabelleText"/>
                <w:rFonts w:ascii="Times New Roman" w:hAnsi="Times New Roman"/>
                <w:sz w:val="24"/>
              </w:rPr>
              <w:t>ceptions de l'article 42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détention d'actions intégrées aux «Instruments de capital non éligibles» ne figurera pas dans cette ligne.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intègre la prime d'émission liée aux actions propres.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Les points 1.1.1.1.4 à 1.1.1.1.4.3 ne comprennent pas les instruments de </w:t>
            </w:r>
            <w:r>
              <w:rPr>
                <w:rStyle w:val="FormatvorlageInstructionsTabelleText"/>
                <w:rFonts w:ascii="Times New Roman" w:hAnsi="Times New Roman"/>
                <w:sz w:val="24"/>
              </w:rPr>
              <w:lastRenderedPageBreak/>
              <w:t>fonds propres de base de catégorie 1 que l'établissement a l'obligation réelle ou éventuelle d'acquérir. Ces instruments de fonds propres de base de cat</w:t>
            </w:r>
            <w:r>
              <w:rPr>
                <w:rStyle w:val="FormatvorlageInstructionsTabelleText"/>
                <w:rFonts w:ascii="Times New Roman" w:hAnsi="Times New Roman"/>
                <w:sz w:val="24"/>
              </w:rPr>
              <w:t>é</w:t>
            </w:r>
            <w:r>
              <w:rPr>
                <w:rStyle w:val="FormatvorlageInstructionsTabelleText"/>
                <w:rFonts w:ascii="Times New Roman" w:hAnsi="Times New Roman"/>
                <w:sz w:val="24"/>
              </w:rPr>
              <w:t>gorie 1 que l'établissement a l'obligation réelle ou éventuelle d'acquérir s</w:t>
            </w:r>
            <w:r>
              <w:rPr>
                <w:rStyle w:val="FormatvorlageInstructionsTabelleText"/>
                <w:rFonts w:ascii="Times New Roman" w:hAnsi="Times New Roman"/>
                <w:sz w:val="24"/>
              </w:rPr>
              <w:t>e</w:t>
            </w:r>
            <w:r>
              <w:rPr>
                <w:rStyle w:val="FormatvorlageInstructionsTabelleText"/>
                <w:rFonts w:ascii="Times New Roman" w:hAnsi="Times New Roman"/>
                <w:sz w:val="24"/>
              </w:rPr>
              <w:t>ront déclarés séparément au point 1.1.1.1.5.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00357626">
              <w:rPr>
                <w:rStyle w:val="InstructionsTabelleberschrift"/>
                <w:rFonts w:ascii="Times New Roman" w:hAnsi="Times New Roman"/>
                <w:sz w:val="24"/>
              </w:rPr>
              <w:tab/>
            </w:r>
            <w:r>
              <w:rPr>
                <w:rStyle w:val="InstructionsTabelleberschrift"/>
                <w:rFonts w:ascii="Times New Roman" w:hAnsi="Times New Roman"/>
                <w:sz w:val="24"/>
              </w:rPr>
              <w:t>(-) Détentions directes d'instruments 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f), et article 42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Instruments de fonds propres de base de catégorie 1 inclus au point 1.1.1.1, détenus par les établissements du groupe consolidé.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intègre les détentions dans le portefeuille de négoci</w:t>
            </w:r>
            <w:r>
              <w:rPr>
                <w:rStyle w:val="FormatvorlageInstructionsTabelleText"/>
                <w:rFonts w:ascii="Times New Roman" w:hAnsi="Times New Roman"/>
                <w:sz w:val="24"/>
              </w:rPr>
              <w:t>a</w:t>
            </w:r>
            <w:r>
              <w:rPr>
                <w:rStyle w:val="FormatvorlageInstructionsTabelleText"/>
                <w:rFonts w:ascii="Times New Roman" w:hAnsi="Times New Roman"/>
                <w:sz w:val="24"/>
              </w:rPr>
              <w:t>tion, calculées sur la base de la position longue nette, conformément à l'a</w:t>
            </w:r>
            <w:r>
              <w:rPr>
                <w:rStyle w:val="FormatvorlageInstructionsTabelleText"/>
                <w:rFonts w:ascii="Times New Roman" w:hAnsi="Times New Roman"/>
                <w:sz w:val="24"/>
              </w:rPr>
              <w:t>r</w:t>
            </w:r>
            <w:r>
              <w:rPr>
                <w:rStyle w:val="FormatvorlageInstructionsTabelleText"/>
                <w:rFonts w:ascii="Times New Roman" w:hAnsi="Times New Roman"/>
                <w:sz w:val="24"/>
              </w:rPr>
              <w:t>ticle 42, point a), du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00357626">
              <w:rPr>
                <w:rStyle w:val="InstructionsTabelleberschrift"/>
                <w:rFonts w:ascii="Times New Roman" w:hAnsi="Times New Roman"/>
                <w:sz w:val="24"/>
              </w:rPr>
              <w:tab/>
            </w:r>
            <w:r>
              <w:rPr>
                <w:rStyle w:val="InstructionsTabelleberschrift"/>
                <w:rFonts w:ascii="Times New Roman" w:hAnsi="Times New Roman"/>
                <w:sz w:val="24"/>
              </w:rPr>
              <w:t>(-) Détentions indirectes d'instruments CET1</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114, article 36, paragraphe 1, point f), et a</w:t>
            </w:r>
            <w:r>
              <w:rPr>
                <w:rStyle w:val="FormatvorlageInstructionsTabelleText"/>
                <w:rFonts w:ascii="Times New Roman" w:hAnsi="Times New Roman"/>
                <w:sz w:val="24"/>
              </w:rPr>
              <w:t>r</w:t>
            </w:r>
            <w:r>
              <w:rPr>
                <w:rStyle w:val="FormatvorlageInstructionsTabelleText"/>
                <w:rFonts w:ascii="Times New Roman" w:hAnsi="Times New Roman"/>
                <w:sz w:val="24"/>
              </w:rPr>
              <w:t>ticle 42 du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00357626">
              <w:rPr>
                <w:rStyle w:val="InstructionsTabelleberschrift"/>
                <w:rFonts w:ascii="Times New Roman" w:hAnsi="Times New Roman"/>
                <w:sz w:val="24"/>
              </w:rPr>
              <w:tab/>
            </w:r>
            <w:r>
              <w:rPr>
                <w:rStyle w:val="InstructionsTabelleberschrift"/>
                <w:rFonts w:ascii="Times New Roman" w:hAnsi="Times New Roman"/>
                <w:sz w:val="24"/>
              </w:rPr>
              <w:t>(-) Détentions synthétiques d'instruments CET1</w:t>
            </w:r>
          </w:p>
          <w:p w:rsidR="005643EA" w:rsidRPr="00295225"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Article 4, paragraphe 1, point 126, article 36, paragraphe 1, point f), et a</w:t>
            </w:r>
            <w:r>
              <w:rPr>
                <w:rStyle w:val="FormatvorlageInstructionsTabelleText"/>
                <w:rFonts w:ascii="Times New Roman" w:hAnsi="Times New Roman"/>
                <w:sz w:val="24"/>
              </w:rPr>
              <w:t>r</w:t>
            </w:r>
            <w:r>
              <w:rPr>
                <w:rStyle w:val="FormatvorlageInstructionsTabelleText"/>
                <w:rFonts w:ascii="Times New Roman" w:hAnsi="Times New Roman"/>
                <w:sz w:val="24"/>
              </w:rPr>
              <w:t>ticle 42 du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sidR="00357626">
              <w:rPr>
                <w:rStyle w:val="InstructionsTabelleberschrift"/>
                <w:rFonts w:ascii="Times New Roman" w:hAnsi="Times New Roman"/>
                <w:sz w:val="24"/>
              </w:rPr>
              <w:tab/>
            </w:r>
            <w:r>
              <w:rPr>
                <w:rStyle w:val="InstructionsTabelleberschrift"/>
                <w:rFonts w:ascii="Times New Roman" w:hAnsi="Times New Roman"/>
                <w:sz w:val="24"/>
              </w:rPr>
              <w:t>(–) Obligations réelles ou éventuelles d'acquérir ses propres instruments 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f), et article 42 du CRR</w:t>
            </w:r>
          </w:p>
          <w:p w:rsidR="005643EA" w:rsidRPr="00295225"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Conformément à l'article 36, paragraphe 1, point f), du CRR, «</w:t>
            </w:r>
            <w:r>
              <w:t>les propres instruments de fonds propres de base de catégorie 1 que l'établissement a l'obligation réelle ou éventuelle d'acquérir en vertu d'une obligation contra</w:t>
            </w:r>
            <w:r>
              <w:t>c</w:t>
            </w:r>
            <w:r>
              <w:t>tuelle existante» seront déduits.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008D2F6E">
              <w:rPr>
                <w:rStyle w:val="InstructionsTabelleberschrift"/>
                <w:rFonts w:ascii="Times New Roman" w:hAnsi="Times New Roman"/>
                <w:sz w:val="24"/>
              </w:rPr>
              <w:tab/>
            </w:r>
            <w:r>
              <w:rPr>
                <w:rStyle w:val="InstructionsTabelleberschrift"/>
                <w:rFonts w:ascii="Times New Roman" w:hAnsi="Times New Roman"/>
                <w:sz w:val="24"/>
              </w:rPr>
              <w:t>Résultats non distribués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26, paragraphe 1, point c), et article 26, paragraphe 2,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résultats non distribués incluent les bénéfices non distribués de l'exe</w:t>
            </w:r>
            <w:r>
              <w:rPr>
                <w:rStyle w:val="FormatvorlageInstructionsTabelleText"/>
                <w:rFonts w:ascii="Times New Roman" w:hAnsi="Times New Roman"/>
                <w:sz w:val="24"/>
              </w:rPr>
              <w:t>r</w:t>
            </w:r>
            <w:r>
              <w:rPr>
                <w:rStyle w:val="FormatvorlageInstructionsTabelleText"/>
                <w:rFonts w:ascii="Times New Roman" w:hAnsi="Times New Roman"/>
                <w:sz w:val="24"/>
              </w:rPr>
              <w:t>cice précédent ainsi que les bénéfices intermédiaires ou de fin d'exercice él</w:t>
            </w:r>
            <w:r>
              <w:rPr>
                <w:rStyle w:val="FormatvorlageInstructionsTabelleText"/>
                <w:rFonts w:ascii="Times New Roman" w:hAnsi="Times New Roman"/>
                <w:sz w:val="24"/>
              </w:rPr>
              <w:t>i</w:t>
            </w:r>
            <w:r>
              <w:rPr>
                <w:rStyle w:val="FormatvorlageInstructionsTabelleText"/>
                <w:rFonts w:ascii="Times New Roman" w:hAnsi="Times New Roman"/>
                <w:sz w:val="24"/>
              </w:rPr>
              <w:t>gibles.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sidR="008D2F6E">
              <w:rPr>
                <w:rStyle w:val="InstructionsTabelleberschrift"/>
                <w:rFonts w:ascii="Times New Roman" w:hAnsi="Times New Roman"/>
                <w:sz w:val="24"/>
              </w:rPr>
              <w:tab/>
            </w:r>
            <w:r>
              <w:rPr>
                <w:rStyle w:val="InstructionsTabelleberschrift"/>
                <w:rFonts w:ascii="Times New Roman" w:hAnsi="Times New Roman"/>
                <w:sz w:val="24"/>
              </w:rPr>
              <w:t>Résultats non distribués des exercices précédents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123, et article 26, paragraphe 1, point c),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L'article 4, paragraphe 1, point 123), du CRR définit les résultats non distr</w:t>
            </w:r>
            <w:r>
              <w:rPr>
                <w:rStyle w:val="FormatvorlageInstructionsTabelleText"/>
                <w:rFonts w:ascii="Times New Roman" w:hAnsi="Times New Roman"/>
                <w:sz w:val="24"/>
              </w:rPr>
              <w:t>i</w:t>
            </w:r>
            <w:r>
              <w:rPr>
                <w:rStyle w:val="FormatvorlageInstructionsTabelleText"/>
                <w:rFonts w:ascii="Times New Roman" w:hAnsi="Times New Roman"/>
                <w:sz w:val="24"/>
              </w:rPr>
              <w:t>bués comme «les profits et les pertes reportés par affectation du résultat final au sens du référentiel comptable applicable».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008D2F6E">
              <w:rPr>
                <w:rStyle w:val="InstructionsTabelleberschrift"/>
                <w:rFonts w:ascii="Times New Roman" w:hAnsi="Times New Roman"/>
                <w:sz w:val="24"/>
              </w:rPr>
              <w:tab/>
            </w:r>
            <w:r>
              <w:rPr>
                <w:rStyle w:val="InstructionsTabelleberschrift"/>
                <w:rFonts w:ascii="Times New Roman" w:hAnsi="Times New Roman"/>
                <w:sz w:val="24"/>
              </w:rPr>
              <w:t>Profits ou pertes éligibles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121, article 26, paragraphe 2, et article 36, p</w:t>
            </w:r>
            <w:r>
              <w:rPr>
                <w:rStyle w:val="FormatvorlageInstructionsTabelleText"/>
                <w:rFonts w:ascii="Times New Roman" w:hAnsi="Times New Roman"/>
                <w:sz w:val="24"/>
              </w:rPr>
              <w:t>a</w:t>
            </w:r>
            <w:r>
              <w:rPr>
                <w:rStyle w:val="FormatvorlageInstructionsTabelleText"/>
                <w:rFonts w:ascii="Times New Roman" w:hAnsi="Times New Roman"/>
                <w:sz w:val="24"/>
              </w:rPr>
              <w:t>ragraphe 1, point a),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L'article 26, paragraphe 2 du CRR permet d'inclure dans les résultats non distribués les bénéfices intermédiaires ou de fin d'exercice, sous réserve de l'autorisation préalable de l'autorité compétente et pour autant que certaines </w:t>
            </w:r>
            <w:r>
              <w:rPr>
                <w:rStyle w:val="FormatvorlageInstructionsTabelleText"/>
                <w:rFonts w:ascii="Times New Roman" w:hAnsi="Times New Roman"/>
                <w:sz w:val="24"/>
              </w:rPr>
              <w:lastRenderedPageBreak/>
              <w:t xml:space="preserve">conditions soient remplies.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 ailleurs, les pertes seront déduites des fonds propres de base de catégorie 1, comme indiqué à l'article 36, paragraphe 1, point a), du CRR.</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sidR="008D2F6E">
              <w:rPr>
                <w:rStyle w:val="InstructionsTabelleberschrift"/>
                <w:rFonts w:ascii="Times New Roman" w:hAnsi="Times New Roman"/>
                <w:sz w:val="24"/>
              </w:rPr>
              <w:tab/>
            </w:r>
            <w:r>
              <w:rPr>
                <w:rStyle w:val="InstructionsTabelleberschrift"/>
                <w:rFonts w:ascii="Times New Roman" w:hAnsi="Times New Roman"/>
                <w:sz w:val="24"/>
              </w:rPr>
              <w:t>Profits ou pertes attribuables aux propriétaires de la s</w:t>
            </w:r>
            <w:r>
              <w:rPr>
                <w:rStyle w:val="InstructionsTabelleberschrift"/>
                <w:rFonts w:ascii="Times New Roman" w:hAnsi="Times New Roman"/>
                <w:sz w:val="24"/>
              </w:rPr>
              <w:t>o</w:t>
            </w:r>
            <w:r>
              <w:rPr>
                <w:rStyle w:val="InstructionsTabelleberschrift"/>
                <w:rFonts w:ascii="Times New Roman" w:hAnsi="Times New Roman"/>
                <w:sz w:val="24"/>
              </w:rPr>
              <w:t>ciété mère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26, paragraphe 2, et article 36, paragraphe 1, point a),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est le profit ou la perte déclaré dans le compte de r</w:t>
            </w:r>
            <w:r>
              <w:rPr>
                <w:rStyle w:val="FormatvorlageInstructionsTabelleText"/>
                <w:rFonts w:ascii="Times New Roman" w:hAnsi="Times New Roman"/>
                <w:sz w:val="24"/>
              </w:rPr>
              <w:t>é</w:t>
            </w:r>
            <w:r>
              <w:rPr>
                <w:rStyle w:val="FormatvorlageInstructionsTabelleText"/>
                <w:rFonts w:ascii="Times New Roman" w:hAnsi="Times New Roman"/>
                <w:sz w:val="24"/>
              </w:rPr>
              <w:t>sultat comptable.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sidR="008D2F6E">
              <w:rPr>
                <w:rStyle w:val="InstructionsTabelleberschrift"/>
                <w:rFonts w:ascii="Times New Roman" w:hAnsi="Times New Roman"/>
                <w:sz w:val="24"/>
              </w:rPr>
              <w:tab/>
            </w:r>
            <w:r>
              <w:rPr>
                <w:rStyle w:val="InstructionsTabelleberschrift"/>
                <w:rFonts w:ascii="Times New Roman" w:hAnsi="Times New Roman"/>
                <w:sz w:val="24"/>
              </w:rPr>
              <w:t>(-) Part du bénéfice intermédiaire ou de fin d'exercice non éligible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26, paragraphe 2,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Cette ligne demeure vide lorsque l'établissement a déclaré une perte pour la période de référence. En effet, les pertes sont intégralement déduites des fonds propres de base de catégorie 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l'établissement affiche un bénéfice, la part non éligible de ce bénéfice, en vertu de l'article 26, paragraphe 2, du CRR (à savoir les bénéfices non aud</w:t>
            </w:r>
            <w:r>
              <w:rPr>
                <w:rStyle w:val="FormatvorlageInstructionsTabelleText"/>
                <w:rFonts w:ascii="Times New Roman" w:hAnsi="Times New Roman"/>
                <w:sz w:val="24"/>
              </w:rPr>
              <w:t>i</w:t>
            </w:r>
            <w:r>
              <w:rPr>
                <w:rStyle w:val="FormatvorlageInstructionsTabelleText"/>
                <w:rFonts w:ascii="Times New Roman" w:hAnsi="Times New Roman"/>
                <w:sz w:val="24"/>
              </w:rPr>
              <w:t>tés et les charges ou dividendes prévisibles), sera déclarée.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Remarque: en cas de bénéfices, le montant à déduire correspondra au moins aux dividendes intermédiaires.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sidR="008D2F6E">
              <w:rPr>
                <w:rStyle w:val="InstructionsTabelleberschrift"/>
                <w:rFonts w:ascii="Times New Roman" w:hAnsi="Times New Roman"/>
                <w:sz w:val="24"/>
              </w:rPr>
              <w:tab/>
            </w:r>
            <w:r>
              <w:rPr>
                <w:rStyle w:val="InstructionsTabelleberschrift"/>
                <w:rFonts w:ascii="Times New Roman" w:hAnsi="Times New Roman"/>
                <w:sz w:val="24"/>
              </w:rPr>
              <w:t>Autres éléments du résultat global cumulés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100, et article 26, paragraphe 1, point d),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sera net de toute charge d'impôt prévisible au moment du calcul, avant l'application des filtres prudentiels. Le montant à déclarer sera déterminé conformément à l'article 13, paragraphe 4, du règlement d</w:t>
            </w:r>
            <w:r>
              <w:rPr>
                <w:rStyle w:val="FormatvorlageInstructionsTabelleText"/>
                <w:rFonts w:ascii="Times New Roman" w:hAnsi="Times New Roman"/>
                <w:sz w:val="24"/>
              </w:rPr>
              <w:t>é</w:t>
            </w:r>
            <w:r>
              <w:rPr>
                <w:rStyle w:val="FormatvorlageInstructionsTabelleText"/>
                <w:rFonts w:ascii="Times New Roman" w:hAnsi="Times New Roman"/>
                <w:sz w:val="24"/>
              </w:rPr>
              <w:t>légué (UE) n</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241/2014 de la Commission.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sidR="008D2F6E">
              <w:rPr>
                <w:rStyle w:val="InstructionsTabelleberschrift"/>
                <w:rFonts w:ascii="Times New Roman" w:hAnsi="Times New Roman"/>
                <w:sz w:val="24"/>
              </w:rPr>
              <w:tab/>
            </w:r>
            <w:r>
              <w:rPr>
                <w:rStyle w:val="InstructionsTabelleberschrift"/>
                <w:rFonts w:ascii="Times New Roman" w:hAnsi="Times New Roman"/>
                <w:sz w:val="24"/>
              </w:rPr>
              <w:t>Autres réserves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117, et article 26, paragraphe 1, point e),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Dans le CRR, les autres réserves sont définies comme étant des «réserves au sens du référentiel comptable applicable soumises à des obligations d'info</w:t>
            </w:r>
            <w:r>
              <w:rPr>
                <w:rStyle w:val="FormatvorlageInstructionsTabelleText"/>
                <w:rFonts w:ascii="Times New Roman" w:hAnsi="Times New Roman"/>
                <w:sz w:val="24"/>
              </w:rPr>
              <w:t>r</w:t>
            </w:r>
            <w:r>
              <w:rPr>
                <w:rStyle w:val="FormatvorlageInstructionsTabelleText"/>
                <w:rFonts w:ascii="Times New Roman" w:hAnsi="Times New Roman"/>
                <w:sz w:val="24"/>
              </w:rPr>
              <w:t>mation en vertu de ce référentiel, à l'exclusion des montants déjà inclus dans les autres éléments du résultat global cumulés ou dans les résultats non di</w:t>
            </w:r>
            <w:r>
              <w:rPr>
                <w:rStyle w:val="FormatvorlageInstructionsTabelleText"/>
                <w:rFonts w:ascii="Times New Roman" w:hAnsi="Times New Roman"/>
                <w:sz w:val="24"/>
              </w:rPr>
              <w:t>s</w:t>
            </w:r>
            <w:r>
              <w:rPr>
                <w:rStyle w:val="FormatvorlageInstructionsTabelleText"/>
                <w:rFonts w:ascii="Times New Roman" w:hAnsi="Times New Roman"/>
                <w:sz w:val="24"/>
              </w:rPr>
              <w:t>tribués».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sera net de toute charge d'impôt prévisible au moment du calcul.</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sidR="008D2F6E">
              <w:rPr>
                <w:rStyle w:val="InstructionsTabelleberschrift"/>
                <w:rFonts w:ascii="Times New Roman" w:hAnsi="Times New Roman"/>
                <w:sz w:val="24"/>
              </w:rPr>
              <w:tab/>
            </w:r>
            <w:r>
              <w:rPr>
                <w:rStyle w:val="InstructionsTabelleberschrift"/>
                <w:rFonts w:ascii="Times New Roman" w:hAnsi="Times New Roman"/>
                <w:sz w:val="24"/>
              </w:rPr>
              <w:t>Fonds pour risques bancaires généraux</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112, et article 26, paragraphe 1, point f),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L'article 38 de la directive 86/635/CEE définit les fonds pour risques ba</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caires généraux comme «les montants que l'établissement de crédit décide d'affecter à la couverture de tels risques, lorsque des raisons de prudence </w:t>
            </w:r>
            <w:r>
              <w:rPr>
                <w:rStyle w:val="FormatvorlageInstructionsTabelleText"/>
                <w:rFonts w:ascii="Times New Roman" w:hAnsi="Times New Roman"/>
                <w:sz w:val="24"/>
              </w:rPr>
              <w:lastRenderedPageBreak/>
              <w:t>l'imposent eu égard aux risques particuliers inhérents aux opérations ba</w:t>
            </w:r>
            <w:r>
              <w:rPr>
                <w:rStyle w:val="FormatvorlageInstructionsTabelleText"/>
                <w:rFonts w:ascii="Times New Roman" w:hAnsi="Times New Roman"/>
                <w:sz w:val="24"/>
              </w:rPr>
              <w:t>n</w:t>
            </w:r>
            <w:r>
              <w:rPr>
                <w:rStyle w:val="FormatvorlageInstructionsTabelleText"/>
                <w:rFonts w:ascii="Times New Roman" w:hAnsi="Times New Roman"/>
                <w:sz w:val="24"/>
              </w:rPr>
              <w:t>caires.»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sera net de toute charge d'impôt prévisible au moment du calcul.</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220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sidR="008D2F6E">
              <w:rPr>
                <w:rStyle w:val="InstructionsTabelleberschrift"/>
                <w:rFonts w:ascii="Times New Roman" w:hAnsi="Times New Roman"/>
                <w:sz w:val="24"/>
              </w:rPr>
              <w:tab/>
            </w:r>
            <w:r>
              <w:rPr>
                <w:rStyle w:val="InstructionsTabelleberschrift"/>
                <w:rFonts w:ascii="Times New Roman" w:hAnsi="Times New Roman"/>
                <w:sz w:val="24"/>
              </w:rPr>
              <w:t>Ajustements transitoires relatifs aux instruments de capital CET1 bénéficiant d'une clause d'antériorité</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483, paragraphes 1 à 3, et articles 484 à 487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instruments de capital restant à titre transitoire éligibles en tant que fonds propres de base de catégorie 1 en vertu d'une clause d'antériorité. Le montant à déclarer provient directement du modèle 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sidR="008D2F6E">
              <w:rPr>
                <w:rStyle w:val="InstructionsTabelleberschrift"/>
                <w:rFonts w:ascii="Times New Roman" w:hAnsi="Times New Roman"/>
                <w:sz w:val="24"/>
              </w:rPr>
              <w:tab/>
            </w:r>
            <w:r>
              <w:rPr>
                <w:rStyle w:val="InstructionsTabelleberschrift"/>
                <w:rFonts w:ascii="Times New Roman" w:hAnsi="Times New Roman"/>
                <w:sz w:val="24"/>
              </w:rPr>
              <w:t>Intérêts minoritaires pris en compte dans les fonds propres 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point 120), et article 84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Somme de tous les montants d'intérêts minoritaires de filiales inclus dans les fonds propres de base de catégorie 1 consolidés.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sidR="008D2F6E">
              <w:rPr>
                <w:rStyle w:val="InstructionsTabelleberschrift"/>
                <w:rFonts w:ascii="Times New Roman" w:hAnsi="Times New Roman"/>
                <w:sz w:val="24"/>
              </w:rPr>
              <w:tab/>
            </w:r>
            <w:r>
              <w:rPr>
                <w:rStyle w:val="InstructionsTabelleberschrift"/>
                <w:rFonts w:ascii="Times New Roman" w:hAnsi="Times New Roman"/>
                <w:sz w:val="24"/>
              </w:rPr>
              <w:t>Ajustements transitoires découlant d'intérêts minoritaires su</w:t>
            </w:r>
            <w:r>
              <w:rPr>
                <w:rStyle w:val="InstructionsTabelleberschrift"/>
                <w:rFonts w:ascii="Times New Roman" w:hAnsi="Times New Roman"/>
                <w:sz w:val="24"/>
              </w:rPr>
              <w:t>p</w:t>
            </w:r>
            <w:r>
              <w:rPr>
                <w:rStyle w:val="InstructionsTabelleberschrift"/>
                <w:rFonts w:ascii="Times New Roman" w:hAnsi="Times New Roman"/>
                <w:sz w:val="24"/>
              </w:rPr>
              <w:t>plémentaires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479 et 480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apportés aux intérêts minoritaires en raison de dispositions transitoires. Cet élément est directement issu du modèle 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sidR="00F21BC3">
              <w:rPr>
                <w:rStyle w:val="InstructionsTabelleberschrift"/>
                <w:rFonts w:ascii="Times New Roman" w:hAnsi="Times New Roman"/>
                <w:sz w:val="24"/>
              </w:rPr>
              <w:tab/>
            </w:r>
            <w:r>
              <w:rPr>
                <w:rStyle w:val="InstructionsTabelleberschrift"/>
                <w:rFonts w:ascii="Times New Roman" w:hAnsi="Times New Roman"/>
                <w:sz w:val="24"/>
              </w:rPr>
              <w:t>Ajustements des CET1 découlant de filtres prudentiels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Articles 32 à 35 du CRR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sidR="00F21BC3">
              <w:rPr>
                <w:rStyle w:val="InstructionsTabelleberschrift"/>
                <w:rFonts w:ascii="Times New Roman" w:hAnsi="Times New Roman"/>
                <w:sz w:val="24"/>
              </w:rPr>
              <w:tab/>
            </w:r>
            <w:r>
              <w:rPr>
                <w:rStyle w:val="InstructionsTabelleberschrift"/>
                <w:rFonts w:ascii="Times New Roman" w:hAnsi="Times New Roman"/>
                <w:sz w:val="24"/>
              </w:rPr>
              <w:t>(-) Augmentations de la valeur des capitaux propres résu</w:t>
            </w:r>
            <w:r>
              <w:rPr>
                <w:rStyle w:val="InstructionsTabelleberschrift"/>
                <w:rFonts w:ascii="Times New Roman" w:hAnsi="Times New Roman"/>
                <w:sz w:val="24"/>
              </w:rPr>
              <w:t>l</w:t>
            </w:r>
            <w:r>
              <w:rPr>
                <w:rStyle w:val="InstructionsTabelleberschrift"/>
                <w:rFonts w:ascii="Times New Roman" w:hAnsi="Times New Roman"/>
                <w:sz w:val="24"/>
              </w:rPr>
              <w:t xml:space="preserve">tant d'actifs </w:t>
            </w:r>
            <w:proofErr w:type="spellStart"/>
            <w:r>
              <w:rPr>
                <w:rStyle w:val="InstructionsTabelleberschrift"/>
                <w:rFonts w:ascii="Times New Roman" w:hAnsi="Times New Roman"/>
                <w:sz w:val="24"/>
              </w:rPr>
              <w:t>titrisés</w:t>
            </w:r>
            <w:proofErr w:type="spellEnd"/>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32, paragraphe 1,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à déclarer correspond à l'augmentation de la valeur des capitaux propres d'un établissement résultant d'actifs </w:t>
            </w:r>
            <w:proofErr w:type="spellStart"/>
            <w:r>
              <w:rPr>
                <w:rStyle w:val="FormatvorlageInstructionsTabelleText"/>
                <w:rFonts w:ascii="Times New Roman" w:hAnsi="Times New Roman"/>
                <w:sz w:val="24"/>
              </w:rPr>
              <w:t>titrisés</w:t>
            </w:r>
            <w:proofErr w:type="spellEnd"/>
            <w:r>
              <w:rPr>
                <w:rStyle w:val="FormatvorlageInstructionsTabelleText"/>
                <w:rFonts w:ascii="Times New Roman" w:hAnsi="Times New Roman"/>
                <w:sz w:val="24"/>
              </w:rPr>
              <w:t>, selon le référentiel comptable applicable.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Ce poste peut par exemple inclure les produits futurs sur marge d'intérêt qui résultent en une plus-value pour l'établissement, ou, lorsque l'établissement est l'initiateur de la titrisation, les gains nets résultant de la capitalisation de produits futurs des actifs </w:t>
            </w:r>
            <w:proofErr w:type="spellStart"/>
            <w:r>
              <w:rPr>
                <w:rStyle w:val="FormatvorlageInstructionsTabelleText"/>
                <w:rFonts w:ascii="Times New Roman" w:hAnsi="Times New Roman"/>
                <w:sz w:val="24"/>
              </w:rPr>
              <w:t>titrisés</w:t>
            </w:r>
            <w:proofErr w:type="spellEnd"/>
            <w:r>
              <w:rPr>
                <w:rStyle w:val="FormatvorlageInstructionsTabelleText"/>
                <w:rFonts w:ascii="Times New Roman" w:hAnsi="Times New Roman"/>
                <w:sz w:val="24"/>
              </w:rPr>
              <w:t xml:space="preserve"> qui fournissent du rehaussement de crédit à certaines positions de la titrisation.</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62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sidR="00F21BC3">
              <w:rPr>
                <w:rStyle w:val="InstructionsTabelleberschrift"/>
                <w:rFonts w:ascii="Times New Roman" w:hAnsi="Times New Roman"/>
                <w:sz w:val="24"/>
              </w:rPr>
              <w:tab/>
            </w:r>
            <w:r>
              <w:rPr>
                <w:rStyle w:val="InstructionsTabelleberschrift"/>
                <w:rFonts w:ascii="Times New Roman" w:hAnsi="Times New Roman"/>
                <w:sz w:val="24"/>
              </w:rPr>
              <w:t>Réserves de couverture de flux de trésorerie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33, paragraphe 1, point a),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déclaré peut être aussi bien positif que négatif. Il sera positif lorsque les couvertures de flux de trésorerie résultent en une perte (c'est-à-dire lorsqu'elles réduisent les capitaux propres comptables), et vice versa. Par conséquent, le signe sera l'inverse de celui utilisé dans les états fina</w:t>
            </w:r>
            <w:r>
              <w:rPr>
                <w:rStyle w:val="FormatvorlageInstructionsTabelleText"/>
                <w:rFonts w:ascii="Times New Roman" w:hAnsi="Times New Roman"/>
                <w:sz w:val="24"/>
              </w:rPr>
              <w:t>n</w:t>
            </w:r>
            <w:r>
              <w:rPr>
                <w:rStyle w:val="FormatvorlageInstructionsTabelleText"/>
                <w:rFonts w:ascii="Times New Roman" w:hAnsi="Times New Roman"/>
                <w:sz w:val="24"/>
              </w:rPr>
              <w:t>ciers.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à déclarer sera net de toute charge d'impôt prévisible au moment </w:t>
            </w:r>
            <w:r>
              <w:rPr>
                <w:rStyle w:val="FormatvorlageInstructionsTabelleText"/>
                <w:rFonts w:ascii="Times New Roman" w:hAnsi="Times New Roman"/>
                <w:sz w:val="24"/>
              </w:rPr>
              <w:lastRenderedPageBreak/>
              <w:t>du calcul.</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280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sidR="00F21BC3">
              <w:rPr>
                <w:rStyle w:val="InstructionsTabelleberschrift"/>
                <w:rFonts w:ascii="Times New Roman" w:hAnsi="Times New Roman"/>
                <w:sz w:val="24"/>
              </w:rPr>
              <w:tab/>
            </w:r>
            <w:r>
              <w:rPr>
                <w:rStyle w:val="InstructionsTabelleberschrift"/>
                <w:rFonts w:ascii="Times New Roman" w:hAnsi="Times New Roman"/>
                <w:sz w:val="24"/>
              </w:rPr>
              <w:t>Pertes et gains cumulatifs attribuables aux variations du risque de crédit propre pour les passifs évalués à la juste valeur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33, paragraphe 1, point b), du CRR</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déclaré peut être aussi bien positif que négatif. Il sera positif en cas de perte liée à l'évolution du propre risque de crédit de l'établissement (soit lorsqu'il y a réduction des capitaux propres comptables), et vice versa. Par conséquent, le signe sera l'inverse de celui utilisé dans les états fina</w:t>
            </w:r>
            <w:r>
              <w:rPr>
                <w:rStyle w:val="FormatvorlageInstructionsTabelleText"/>
                <w:rFonts w:ascii="Times New Roman" w:hAnsi="Times New Roman"/>
                <w:sz w:val="24"/>
              </w:rPr>
              <w:t>n</w:t>
            </w:r>
            <w:r>
              <w:rPr>
                <w:rStyle w:val="FormatvorlageInstructionsTabelleText"/>
                <w:rFonts w:ascii="Times New Roman" w:hAnsi="Times New Roman"/>
                <w:sz w:val="24"/>
              </w:rPr>
              <w:t>ciers.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bénéfice non audité n'est pas intégré dans ce poste.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285</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sidR="00F21BC3">
              <w:rPr>
                <w:rStyle w:val="InstructionsTabelleberschrift"/>
                <w:rFonts w:ascii="Times New Roman" w:hAnsi="Times New Roman"/>
                <w:sz w:val="24"/>
              </w:rPr>
              <w:tab/>
            </w:r>
            <w:r>
              <w:rPr>
                <w:rStyle w:val="InstructionsTabelleberschrift"/>
                <w:rFonts w:ascii="Times New Roman" w:hAnsi="Times New Roman"/>
                <w:sz w:val="24"/>
              </w:rPr>
              <w:t>Pertes et gains en juste valeur résultant du propre risque de crédit de l'établissement lié aux instruments dérivés au passif du b</w:t>
            </w:r>
            <w:r>
              <w:rPr>
                <w:rStyle w:val="InstructionsTabelleberschrift"/>
                <w:rFonts w:ascii="Times New Roman" w:hAnsi="Times New Roman"/>
                <w:sz w:val="24"/>
              </w:rPr>
              <w:t>i</w:t>
            </w:r>
            <w:r>
              <w:rPr>
                <w:rStyle w:val="InstructionsTabelleberschrift"/>
                <w:rFonts w:ascii="Times New Roman" w:hAnsi="Times New Roman"/>
                <w:sz w:val="24"/>
              </w:rPr>
              <w:t>lan</w:t>
            </w:r>
          </w:p>
          <w:p w:rsidR="005643EA" w:rsidRPr="00392FFD" w:rsidRDefault="00855D5F"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33, paragraphe 1, point c), et article 33, paragraphe 2,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déclaré peut être aussi bien positif que négatif. Il sera positif en cas de perte liée à l'évolution du propre risque de crédit de l'établissement, et vice versa. Par conséquent, le signe sera l'inverse de celui utilisé dans les états financiers.</w:t>
            </w:r>
          </w:p>
          <w:p w:rsidR="005643EA" w:rsidRPr="00295225"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Le bénéfice non audité n'est pas intégré dans ce poste.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sidR="00F21BC3">
              <w:rPr>
                <w:rStyle w:val="InstructionsTabelleberschrift"/>
                <w:rFonts w:ascii="Times New Roman" w:hAnsi="Times New Roman"/>
                <w:sz w:val="24"/>
              </w:rPr>
              <w:tab/>
            </w:r>
            <w:r>
              <w:rPr>
                <w:rStyle w:val="InstructionsTabelleberschrift"/>
                <w:rFonts w:ascii="Times New Roman" w:hAnsi="Times New Roman"/>
                <w:sz w:val="24"/>
              </w:rPr>
              <w:t>(-) Corrections de valeur découlant des exigences d'év</w:t>
            </w:r>
            <w:r>
              <w:rPr>
                <w:rStyle w:val="InstructionsTabelleberschrift"/>
                <w:rFonts w:ascii="Times New Roman" w:hAnsi="Times New Roman"/>
                <w:sz w:val="24"/>
              </w:rPr>
              <w:t>a</w:t>
            </w:r>
            <w:r>
              <w:rPr>
                <w:rStyle w:val="InstructionsTabelleberschrift"/>
                <w:rFonts w:ascii="Times New Roman" w:hAnsi="Times New Roman"/>
                <w:sz w:val="24"/>
              </w:rPr>
              <w:t>luation prudente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34 et 105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de la juste valeur des expositions incluses dans le portefeuille de négociation ou dans le portefeuille hors négociation en raison des normes plus strictes d'évaluation prudente prévues à l'article 105 du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00F21BC3">
              <w:rPr>
                <w:rStyle w:val="InstructionsTabelleberschrift"/>
                <w:rFonts w:ascii="Times New Roman" w:hAnsi="Times New Roman"/>
                <w:sz w:val="24"/>
              </w:rPr>
              <w:tab/>
            </w:r>
            <w:r>
              <w:rPr>
                <w:rStyle w:val="InstructionsTabelleberschrift"/>
                <w:rFonts w:ascii="Times New Roman" w:hAnsi="Times New Roman"/>
                <w:sz w:val="24"/>
              </w:rPr>
              <w:t>(-) Goodwill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113, article 36, paragraphe 1, point b), et a</w:t>
            </w:r>
            <w:r>
              <w:rPr>
                <w:rStyle w:val="FormatvorlageInstructionsTabelleText"/>
                <w:rFonts w:ascii="Times New Roman" w:hAnsi="Times New Roman"/>
                <w:sz w:val="24"/>
              </w:rPr>
              <w:t>r</w:t>
            </w:r>
            <w:r>
              <w:rPr>
                <w:rStyle w:val="FormatvorlageInstructionsTabelleText"/>
                <w:rFonts w:ascii="Times New Roman" w:hAnsi="Times New Roman"/>
                <w:sz w:val="24"/>
              </w:rPr>
              <w:t>ticle 37 du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00F21BC3">
              <w:rPr>
                <w:rStyle w:val="InstructionsTabelleberschrift"/>
                <w:rFonts w:ascii="Times New Roman" w:hAnsi="Times New Roman"/>
                <w:sz w:val="24"/>
              </w:rPr>
              <w:tab/>
            </w:r>
            <w:r>
              <w:rPr>
                <w:rStyle w:val="InstructionsTabelleberschrift"/>
                <w:rFonts w:ascii="Times New Roman" w:hAnsi="Times New Roman"/>
                <w:sz w:val="24"/>
              </w:rPr>
              <w:t>(-) Goodwill pris en compte en tant qu'immobilisation i</w:t>
            </w:r>
            <w:r>
              <w:rPr>
                <w:rStyle w:val="InstructionsTabelleberschrift"/>
                <w:rFonts w:ascii="Times New Roman" w:hAnsi="Times New Roman"/>
                <w:sz w:val="24"/>
              </w:rPr>
              <w:t>n</w:t>
            </w:r>
            <w:r>
              <w:rPr>
                <w:rStyle w:val="InstructionsTabelleberschrift"/>
                <w:rFonts w:ascii="Times New Roman" w:hAnsi="Times New Roman"/>
                <w:sz w:val="24"/>
              </w:rPr>
              <w:t>corporelle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113, et article 36, paragraphe 1, point b),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terme «goodwill» a la même signification que celle utilisée par la norme comptable applicable.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sera identique à celui figurant au bilan.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620" w:type="dxa"/>
          </w:tcPr>
          <w:p w:rsidR="005643EA" w:rsidRPr="00392FFD" w:rsidRDefault="00855D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sidR="00F21BC3">
              <w:rPr>
                <w:rStyle w:val="InstructionsTabelleberschrift"/>
                <w:rFonts w:ascii="Times New Roman" w:hAnsi="Times New Roman"/>
                <w:sz w:val="24"/>
              </w:rPr>
              <w:tab/>
            </w:r>
            <w:r>
              <w:rPr>
                <w:rStyle w:val="InstructionsTabelleberschrift"/>
                <w:rFonts w:ascii="Times New Roman" w:hAnsi="Times New Roman"/>
                <w:sz w:val="24"/>
              </w:rPr>
              <w:t>(-) Goodwill inclus dans l'évaluation des investissements importants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37, point b), et article 43 du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620" w:type="dxa"/>
          </w:tcPr>
          <w:p w:rsidR="005643EA" w:rsidRPr="00295225"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sidR="00F21BC3">
              <w:rPr>
                <w:rStyle w:val="InstructionsTabelleberschrift"/>
                <w:rFonts w:ascii="Times New Roman" w:hAnsi="Times New Roman"/>
                <w:sz w:val="24"/>
              </w:rPr>
              <w:tab/>
            </w:r>
            <w:r>
              <w:rPr>
                <w:rStyle w:val="InstructionsTabelleberschrift"/>
                <w:rFonts w:ascii="Times New Roman" w:hAnsi="Times New Roman"/>
                <w:sz w:val="24"/>
              </w:rPr>
              <w:t>Passifs d'impôt différé associés au goodwill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37, point a),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Montant des passifs d'impôt différé qui seraient annulés si le goodwill faisait l'objet d'une réduction de valeur ou était </w:t>
            </w:r>
            <w:proofErr w:type="spellStart"/>
            <w:r>
              <w:rPr>
                <w:rStyle w:val="FormatvorlageInstructionsTabelleText"/>
                <w:rFonts w:ascii="Times New Roman" w:hAnsi="Times New Roman"/>
                <w:sz w:val="24"/>
              </w:rPr>
              <w:t>décomptabilisé</w:t>
            </w:r>
            <w:proofErr w:type="spellEnd"/>
            <w:r>
              <w:rPr>
                <w:rStyle w:val="FormatvorlageInstructionsTabelleText"/>
                <w:rFonts w:ascii="Times New Roman" w:hAnsi="Times New Roman"/>
                <w:sz w:val="24"/>
              </w:rPr>
              <w:t xml:space="preserve"> conformément au référentiel comptable applicable.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340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sidR="00F21BC3">
              <w:rPr>
                <w:rStyle w:val="InstructionsTabelleberschrift"/>
                <w:rFonts w:ascii="Times New Roman" w:hAnsi="Times New Roman"/>
                <w:sz w:val="24"/>
              </w:rPr>
              <w:tab/>
            </w:r>
            <w:r>
              <w:rPr>
                <w:rStyle w:val="InstructionsTabelleberschrift"/>
                <w:rFonts w:ascii="Times New Roman" w:hAnsi="Times New Roman"/>
                <w:sz w:val="24"/>
              </w:rPr>
              <w:t>(-) Autres immobilisations incorporelles</w:t>
            </w:r>
          </w:p>
          <w:p w:rsidR="009339C1"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115, article 36, paragraphe 1, point b), et a</w:t>
            </w:r>
            <w:r>
              <w:rPr>
                <w:rStyle w:val="FormatvorlageInstructionsTabelleText"/>
                <w:rFonts w:ascii="Times New Roman" w:hAnsi="Times New Roman"/>
                <w:sz w:val="24"/>
              </w:rPr>
              <w:t>r</w:t>
            </w:r>
            <w:r>
              <w:rPr>
                <w:rStyle w:val="FormatvorlageInstructionsTabelleText"/>
                <w:rFonts w:ascii="Times New Roman" w:hAnsi="Times New Roman"/>
                <w:sz w:val="24"/>
              </w:rPr>
              <w:t>ticle 37, point a), du CRR</w:t>
            </w:r>
          </w:p>
          <w:p w:rsidR="005643EA" w:rsidRPr="00392FFD" w:rsidRDefault="009339C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autres immobilisations incorporelles représentent les immobilisations incorporelles au sens du référentiel comptable applicable, moins le goodwill, au sens lui aussi du référentiel comptable applicable.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sidR="00F21BC3">
              <w:rPr>
                <w:rStyle w:val="InstructionsTabelleberschrift"/>
                <w:rFonts w:ascii="Times New Roman" w:hAnsi="Times New Roman"/>
                <w:sz w:val="24"/>
              </w:rPr>
              <w:tab/>
            </w:r>
            <w:r>
              <w:rPr>
                <w:rStyle w:val="InstructionsTabelleberschrift"/>
                <w:rFonts w:ascii="Times New Roman" w:hAnsi="Times New Roman"/>
                <w:sz w:val="24"/>
              </w:rPr>
              <w:t>(-) Autres immobilisations incorporelles avant déduction des passifs d'impôt différé</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115, et article 36, paragraphe 1, point b),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autres immobilisations incorporelles représentent les immobilisations incorporelles au sens du référentiel comptable applicable, moins le goodwill, au sens lui aussi du référentiel comptable applicable.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pour ce poste correspond au montant figurant au bilan au titre d'immobilisations incorporelles autres que le goodwill.</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620" w:type="dxa"/>
          </w:tcPr>
          <w:p w:rsidR="005643EA" w:rsidRPr="00392FFD" w:rsidRDefault="00AD70F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sidR="00F21BC3">
              <w:rPr>
                <w:rStyle w:val="InstructionsTabelleberschrift"/>
                <w:rFonts w:ascii="Times New Roman" w:hAnsi="Times New Roman"/>
                <w:sz w:val="24"/>
              </w:rPr>
              <w:tab/>
            </w:r>
            <w:r>
              <w:rPr>
                <w:rStyle w:val="InstructionsTabelleberschrift"/>
                <w:rFonts w:ascii="Times New Roman" w:hAnsi="Times New Roman"/>
                <w:sz w:val="24"/>
              </w:rPr>
              <w:t>Passifs d'impôt différé associés aux autres immobilisations incorporelles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37, point a),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passifs d'impôt différé qui seraient annulés si les immobilis</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tions incorporelles autres que le goodwill faisaient l'objet d'une réduction de valeur ou étaient </w:t>
            </w:r>
            <w:proofErr w:type="spellStart"/>
            <w:r>
              <w:rPr>
                <w:rStyle w:val="FormatvorlageInstructionsTabelleText"/>
                <w:rFonts w:ascii="Times New Roman" w:hAnsi="Times New Roman"/>
                <w:sz w:val="24"/>
              </w:rPr>
              <w:t>décomptabilisées</w:t>
            </w:r>
            <w:proofErr w:type="spellEnd"/>
            <w:r>
              <w:rPr>
                <w:rStyle w:val="FormatvorlageInstructionsTabelleText"/>
                <w:rFonts w:ascii="Times New Roman" w:hAnsi="Times New Roman"/>
                <w:sz w:val="24"/>
              </w:rPr>
              <w:t xml:space="preserve"> conformément au référentiel comptable applicable.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00F21BC3">
              <w:rPr>
                <w:rStyle w:val="InstructionsTabelleberschrift"/>
                <w:rFonts w:ascii="Times New Roman" w:hAnsi="Times New Roman"/>
                <w:sz w:val="24"/>
              </w:rPr>
              <w:tab/>
            </w:r>
            <w:r>
              <w:rPr>
                <w:rStyle w:val="InstructionsTabelleberschrift"/>
                <w:rFonts w:ascii="Times New Roman" w:hAnsi="Times New Roman"/>
                <w:sz w:val="24"/>
              </w:rPr>
              <w:t>(-) Actifs d'impôt différé dépendant de bénéfices futurs et ne résultant pas de différences temporelles après déduction des passifs d'impôt associés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c), et article 38 du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00F21BC3">
              <w:rPr>
                <w:rStyle w:val="InstructionsTabelleberschrift"/>
                <w:rFonts w:ascii="Times New Roman" w:hAnsi="Times New Roman"/>
                <w:sz w:val="24"/>
              </w:rPr>
              <w:tab/>
            </w:r>
            <w:r>
              <w:rPr>
                <w:rStyle w:val="InstructionsTabelleberschrift"/>
                <w:rFonts w:ascii="Times New Roman" w:hAnsi="Times New Roman"/>
                <w:sz w:val="24"/>
              </w:rPr>
              <w:t>(-) Insuffisance des ajustements pour risque de crédit par rapport aux pertes anticipées selon l'approche NI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d), et articles 40, 158 et 159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n'est pas réduit par une augmentation du montant des actifs d'impôt différé dépendant de bénéfices futurs, ou par d'autres effets fiscaux supplémentaires, qui auraient lieu si les provisions atteignaient le n</w:t>
            </w:r>
            <w:r>
              <w:rPr>
                <w:rStyle w:val="FormatvorlageInstructionsTabelleText"/>
                <w:rFonts w:ascii="Times New Roman" w:hAnsi="Times New Roman"/>
                <w:sz w:val="24"/>
              </w:rPr>
              <w:t>i</w:t>
            </w:r>
            <w:r>
              <w:rPr>
                <w:rStyle w:val="FormatvorlageInstructionsTabelleText"/>
                <w:rFonts w:ascii="Times New Roman" w:hAnsi="Times New Roman"/>
                <w:sz w:val="24"/>
              </w:rPr>
              <w:t>veau des pertes attendues (article 40 du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00F21BC3">
              <w:rPr>
                <w:rStyle w:val="InstructionsTabelleberschrift"/>
                <w:rFonts w:ascii="Times New Roman" w:hAnsi="Times New Roman"/>
                <w:sz w:val="24"/>
              </w:rPr>
              <w:tab/>
            </w:r>
            <w:r>
              <w:rPr>
                <w:rStyle w:val="InstructionsTabelleberschrift"/>
                <w:rFonts w:ascii="Times New Roman" w:hAnsi="Times New Roman"/>
                <w:sz w:val="24"/>
              </w:rPr>
              <w:t>(-) Actifs de fonds de pension à prestations définies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109, article 36, paragraphe 1, point e), et a</w:t>
            </w:r>
            <w:r>
              <w:rPr>
                <w:rStyle w:val="FormatvorlageInstructionsTabelleText"/>
                <w:rFonts w:ascii="Times New Roman" w:hAnsi="Times New Roman"/>
                <w:sz w:val="24"/>
              </w:rPr>
              <w:t>r</w:t>
            </w:r>
            <w:r>
              <w:rPr>
                <w:rStyle w:val="FormatvorlageInstructionsTabelleText"/>
                <w:rFonts w:ascii="Times New Roman" w:hAnsi="Times New Roman"/>
                <w:sz w:val="24"/>
              </w:rPr>
              <w:t>ticle 41 du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00F21BC3">
              <w:rPr>
                <w:rStyle w:val="InstructionsTabelleberschrift"/>
                <w:rFonts w:ascii="Times New Roman" w:hAnsi="Times New Roman"/>
                <w:sz w:val="24"/>
              </w:rPr>
              <w:tab/>
            </w:r>
            <w:r>
              <w:rPr>
                <w:rStyle w:val="InstructionsTabelleberschrift"/>
                <w:rFonts w:ascii="Times New Roman" w:hAnsi="Times New Roman"/>
                <w:sz w:val="24"/>
              </w:rPr>
              <w:t xml:space="preserve">(-) Actifs de fonds de pension à prestations définies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4, paragraphe 1, point 109 et article 36, paragraphe 1, point e) du </w:t>
            </w:r>
            <w:r>
              <w:rPr>
                <w:rStyle w:val="FormatvorlageInstructionsTabelleText"/>
                <w:rFonts w:ascii="Times New Roman" w:hAnsi="Times New Roman"/>
                <w:sz w:val="24"/>
              </w:rPr>
              <w:lastRenderedPageBreak/>
              <w:t>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actifs de fonds de pension à prestations définies sont définis comme les «actifs d'un fonds ou d'un plan de pension à prestations définies, selon le cas, nets du montant des obligations au titre du même fonds ou plan».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pour ce poste correspond au montant figurant au bilan (en cas de déclaration distincte).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410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00F21BC3">
              <w:rPr>
                <w:rStyle w:val="InstructionsTabelleberschrift"/>
                <w:rFonts w:ascii="Times New Roman" w:hAnsi="Times New Roman"/>
                <w:sz w:val="24"/>
              </w:rPr>
              <w:tab/>
            </w:r>
            <w:r>
              <w:rPr>
                <w:rStyle w:val="InstructionsTabelleberschrift"/>
                <w:rFonts w:ascii="Times New Roman" w:hAnsi="Times New Roman"/>
                <w:sz w:val="24"/>
              </w:rPr>
              <w:t>Passifs d'impôt différé associés aux actifs de fonds de pe</w:t>
            </w:r>
            <w:r>
              <w:rPr>
                <w:rStyle w:val="InstructionsTabelleberschrift"/>
                <w:rFonts w:ascii="Times New Roman" w:hAnsi="Times New Roman"/>
                <w:sz w:val="24"/>
              </w:rPr>
              <w:t>n</w:t>
            </w:r>
            <w:r>
              <w:rPr>
                <w:rStyle w:val="InstructionsTabelleberschrift"/>
                <w:rFonts w:ascii="Times New Roman" w:hAnsi="Times New Roman"/>
                <w:sz w:val="24"/>
              </w:rPr>
              <w:t>sion à prestations définies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points 108 et 109, et article 41, paragraphe 1, point a),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Montant des passifs d'impôt différé associés qui seraient annulés si les actifs de fonds de pension à prestations définies faisaient l'objet d'une réduction de valeur ou étaient </w:t>
            </w:r>
            <w:proofErr w:type="spellStart"/>
            <w:r>
              <w:rPr>
                <w:rStyle w:val="FormatvorlageInstructionsTabelleText"/>
                <w:rFonts w:ascii="Times New Roman" w:hAnsi="Times New Roman"/>
                <w:sz w:val="24"/>
              </w:rPr>
              <w:t>décomptabilisés</w:t>
            </w:r>
            <w:proofErr w:type="spellEnd"/>
            <w:r>
              <w:rPr>
                <w:rStyle w:val="FormatvorlageInstructionsTabelleText"/>
                <w:rFonts w:ascii="Times New Roman" w:hAnsi="Times New Roman"/>
                <w:sz w:val="24"/>
              </w:rPr>
              <w:t xml:space="preserve"> conformément au référentiel comptable applicable.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00F21BC3">
              <w:rPr>
                <w:rStyle w:val="InstructionsTabelleberschrift"/>
                <w:rFonts w:ascii="Times New Roman" w:hAnsi="Times New Roman"/>
                <w:sz w:val="24"/>
              </w:rPr>
              <w:tab/>
            </w:r>
            <w:r>
              <w:rPr>
                <w:rStyle w:val="InstructionsTabelleberschrift"/>
                <w:rFonts w:ascii="Times New Roman" w:hAnsi="Times New Roman"/>
                <w:sz w:val="24"/>
              </w:rPr>
              <w:t>Actifs de fonds de pension à prestations définies dont l'établissement peut disposer sans contrainte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109, et article 41, paragraphe 1, point b),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 poste ne présente un montant que si l'autorité compétente a préalabl</w:t>
            </w:r>
            <w:r>
              <w:rPr>
                <w:rStyle w:val="FormatvorlageInstructionsTabelleText"/>
                <w:rFonts w:ascii="Times New Roman" w:hAnsi="Times New Roman"/>
                <w:sz w:val="24"/>
              </w:rPr>
              <w:t>e</w:t>
            </w:r>
            <w:r>
              <w:rPr>
                <w:rStyle w:val="FormatvorlageInstructionsTabelleText"/>
                <w:rFonts w:ascii="Times New Roman" w:hAnsi="Times New Roman"/>
                <w:sz w:val="24"/>
              </w:rPr>
              <w:t>ment donné son consentement à ce que le montant des actifs de fonds de pension à prestations définies à déduire soit réduit.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actifs de cette ligne sont soumis à une pondération de risque selon les exigences de risque de crédit.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sidR="00F21BC3">
              <w:rPr>
                <w:rStyle w:val="InstructionsTabelleberschrift"/>
                <w:rFonts w:ascii="Times New Roman" w:hAnsi="Times New Roman"/>
                <w:sz w:val="24"/>
              </w:rPr>
              <w:tab/>
            </w:r>
            <w:r>
              <w:rPr>
                <w:rStyle w:val="InstructionsTabelleberschrift"/>
                <w:rFonts w:ascii="Times New Roman" w:hAnsi="Times New Roman"/>
                <w:sz w:val="24"/>
              </w:rPr>
              <w:t>(-) Détentions croisées de fonds propres CET1</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122, article 36, paragraphe 1, point g), et a</w:t>
            </w:r>
            <w:r>
              <w:rPr>
                <w:rStyle w:val="FormatvorlageInstructionsTabelleText"/>
                <w:rFonts w:ascii="Times New Roman" w:hAnsi="Times New Roman"/>
                <w:sz w:val="24"/>
              </w:rPr>
              <w:t>r</w:t>
            </w:r>
            <w:r>
              <w:rPr>
                <w:rStyle w:val="FormatvorlageInstructionsTabelleText"/>
                <w:rFonts w:ascii="Times New Roman" w:hAnsi="Times New Roman"/>
                <w:sz w:val="24"/>
              </w:rPr>
              <w:t>ticle 44 du CRR</w:t>
            </w:r>
          </w:p>
          <w:p w:rsid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Détention d'instruments de fonds propres de base de catégorie 1 d'entités du secteur financier (telles que définies à l'article 4, point 27), du CRR) lorsqu'il existe une détention croisée que l'autorité compétente juge destinée à a</w:t>
            </w:r>
            <w:r>
              <w:rPr>
                <w:rStyle w:val="FormatvorlageInstructionsTabelleText"/>
                <w:rFonts w:ascii="Times New Roman" w:hAnsi="Times New Roman"/>
                <w:sz w:val="24"/>
              </w:rPr>
              <w:t>c</w:t>
            </w:r>
            <w:r>
              <w:rPr>
                <w:rStyle w:val="FormatvorlageInstructionsTabelleText"/>
                <w:rFonts w:ascii="Times New Roman" w:hAnsi="Times New Roman"/>
                <w:sz w:val="24"/>
              </w:rPr>
              <w:t>croître artificiellement les fonds propres de l'établissement.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sera calculé sur la base des positions longues brutes et intègrera les éléments de fonds propres de catégorie 1 d'entités relevant du secteur de l'assurance.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sidR="00F21BC3">
              <w:rPr>
                <w:rStyle w:val="InstructionsTabelleberschrift"/>
                <w:rFonts w:ascii="Times New Roman" w:hAnsi="Times New Roman"/>
                <w:sz w:val="24"/>
              </w:rPr>
              <w:tab/>
            </w:r>
            <w:r>
              <w:rPr>
                <w:rStyle w:val="InstructionsTabelleberschrift"/>
                <w:rFonts w:ascii="Times New Roman" w:hAnsi="Times New Roman"/>
                <w:sz w:val="24"/>
              </w:rPr>
              <w:t xml:space="preserve">(-) Excédent de déduction d'éléments AT1 sur les fonds propres AT1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j),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provient directement du poste CA1 «Excédent de d</w:t>
            </w:r>
            <w:r>
              <w:rPr>
                <w:rStyle w:val="FormatvorlageInstructionsTabelleText"/>
                <w:rFonts w:ascii="Times New Roman" w:hAnsi="Times New Roman"/>
                <w:sz w:val="24"/>
              </w:rPr>
              <w:t>é</w:t>
            </w:r>
            <w:r>
              <w:rPr>
                <w:rStyle w:val="FormatvorlageInstructionsTabelleText"/>
                <w:rFonts w:ascii="Times New Roman" w:hAnsi="Times New Roman"/>
                <w:sz w:val="24"/>
              </w:rPr>
              <w:t>duction d'éléments AT1 sur les fonds propres AT1». Ce montant sera déduit des fonds propres de base de catégorie 1.</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sidR="00F21BC3">
              <w:rPr>
                <w:rStyle w:val="InstructionsTabelleberschrift"/>
                <w:rFonts w:ascii="Times New Roman" w:hAnsi="Times New Roman"/>
                <w:sz w:val="24"/>
              </w:rPr>
              <w:tab/>
            </w:r>
            <w:r>
              <w:rPr>
                <w:rStyle w:val="InstructionsTabelleberschrift"/>
                <w:rFonts w:ascii="Times New Roman" w:hAnsi="Times New Roman"/>
                <w:sz w:val="24"/>
              </w:rPr>
              <w:t>(-) Participations qualifiées hors du secteur financier qui peuvent subsidiairement être soumises à une pondération de risque de 1 250 %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Article 4, paragraphe 1, point 36, article 36, paragraphe 1, point k) i), et a</w:t>
            </w:r>
            <w:r>
              <w:rPr>
                <w:rStyle w:val="FormatvorlageInstructionsTabelleText"/>
                <w:rFonts w:ascii="Times New Roman" w:hAnsi="Times New Roman"/>
                <w:sz w:val="24"/>
              </w:rPr>
              <w:t>r</w:t>
            </w:r>
            <w:r>
              <w:rPr>
                <w:rStyle w:val="FormatvorlageInstructionsTabelleText"/>
                <w:rFonts w:ascii="Times New Roman" w:hAnsi="Times New Roman"/>
                <w:sz w:val="24"/>
              </w:rPr>
              <w:t>ticles 89 à 91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Une participation qualifiée est définie comme «le fait de détenir dans une entreprise, directement ou indirectement, au moins 10 % du capital ou des droits de vote, ou toute autre possibilité d'exercer une influence notable sur la gestion de cette entreprise».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Conformément à l'article 36, paragraphe 1, point k) i), du CRR, ces partic</w:t>
            </w:r>
            <w:r>
              <w:rPr>
                <w:rStyle w:val="FormatvorlageInstructionsTabelleText"/>
                <w:rFonts w:ascii="Times New Roman" w:hAnsi="Times New Roman"/>
                <w:sz w:val="24"/>
              </w:rPr>
              <w:t>i</w:t>
            </w:r>
            <w:r>
              <w:rPr>
                <w:rStyle w:val="FormatvorlageInstructionsTabelleText"/>
                <w:rFonts w:ascii="Times New Roman" w:hAnsi="Times New Roman"/>
                <w:sz w:val="24"/>
              </w:rPr>
              <w:t>pations peuvent soit être déduites des fonds propres de base de catégorie 1 (en utilisant ce poste), soit recevoir une pondération de 1 250 %.</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sidR="00F21BC3">
              <w:rPr>
                <w:rStyle w:val="InstructionsTabelleberschrift"/>
                <w:rFonts w:ascii="Times New Roman" w:hAnsi="Times New Roman"/>
                <w:sz w:val="24"/>
              </w:rPr>
              <w:tab/>
            </w:r>
            <w:r>
              <w:rPr>
                <w:rStyle w:val="InstructionsTabelleberschrift"/>
                <w:rFonts w:ascii="Times New Roman" w:hAnsi="Times New Roman"/>
                <w:sz w:val="24"/>
              </w:rPr>
              <w:t>(-) Positions de titrisation qui peuvent subsidiairement être soumises à une pondération de risque de 1 250 %</w:t>
            </w:r>
          </w:p>
          <w:p w:rsidR="005643EA" w:rsidRPr="008343B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k) ii), article 243, paragraphe 1, point b), a</w:t>
            </w:r>
            <w:r>
              <w:rPr>
                <w:rStyle w:val="FormatvorlageInstructionsTabelleText"/>
                <w:rFonts w:ascii="Times New Roman" w:hAnsi="Times New Roman"/>
                <w:sz w:val="24"/>
              </w:rPr>
              <w:t>r</w:t>
            </w:r>
            <w:r>
              <w:rPr>
                <w:rStyle w:val="FormatvorlageInstructionsTabelleText"/>
                <w:rFonts w:ascii="Times New Roman" w:hAnsi="Times New Roman"/>
                <w:sz w:val="24"/>
              </w:rPr>
              <w:t>ticle 244, paragraphe 1, point b), article 258 et article 266, paragraphe 3, du CRR dans sa version applicable au 31 décembre 2018 ou article 244, par</w:t>
            </w:r>
            <w:r>
              <w:rPr>
                <w:rStyle w:val="FormatvorlageInstructionsTabelleText"/>
                <w:rFonts w:ascii="Times New Roman" w:hAnsi="Times New Roman"/>
                <w:sz w:val="24"/>
              </w:rPr>
              <w:t>a</w:t>
            </w:r>
            <w:r>
              <w:rPr>
                <w:rStyle w:val="FormatvorlageInstructionsTabelleText"/>
                <w:rFonts w:ascii="Times New Roman" w:hAnsi="Times New Roman"/>
                <w:sz w:val="24"/>
              </w:rPr>
              <w:t>graphe 1, point b), article 245, paragraphe 1, point b), article 253, par</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graphe 1, et article 268, paragraphe 4, du CRR, selon le cas. </w:t>
            </w:r>
          </w:p>
          <w:p w:rsidR="005643EA" w:rsidRPr="00392FFD" w:rsidRDefault="00666996" w:rsidP="00B04D2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positions de titrisation qui peuvent soit recevoir une pondération de risque de 1 250 % soit être déduites des fonds propres de base de catégorie 1 (article 36, paragraphe 1, point k) ii), du CRR) sont déclarées dans ce poste.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sidR="00F21BC3">
              <w:rPr>
                <w:rStyle w:val="InstructionsTabelleberschrift"/>
                <w:rFonts w:ascii="Times New Roman" w:hAnsi="Times New Roman"/>
                <w:sz w:val="24"/>
              </w:rPr>
              <w:tab/>
            </w:r>
            <w:r>
              <w:rPr>
                <w:rStyle w:val="InstructionsTabelleberschrift"/>
                <w:rFonts w:ascii="Times New Roman" w:hAnsi="Times New Roman"/>
                <w:sz w:val="24"/>
              </w:rPr>
              <w:t>(-) Positions de négociation non dénouées qui peuvent su</w:t>
            </w:r>
            <w:r>
              <w:rPr>
                <w:rStyle w:val="InstructionsTabelleberschrift"/>
                <w:rFonts w:ascii="Times New Roman" w:hAnsi="Times New Roman"/>
                <w:sz w:val="24"/>
              </w:rPr>
              <w:t>b</w:t>
            </w:r>
            <w:r>
              <w:rPr>
                <w:rStyle w:val="InstructionsTabelleberschrift"/>
                <w:rFonts w:ascii="Times New Roman" w:hAnsi="Times New Roman"/>
                <w:sz w:val="24"/>
              </w:rPr>
              <w:t>sidiairement être soumises à une pondération de risque de 1 250 %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k) iii), et article 379, paragraphe 3,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positions de négociation non dénouées reçoivent une pondération de risque de 1 250 % après 5 jours suivant le second volet contractuel de pai</w:t>
            </w:r>
            <w:r>
              <w:rPr>
                <w:rStyle w:val="FormatvorlageInstructionsTabelleText"/>
                <w:rFonts w:ascii="Times New Roman" w:hAnsi="Times New Roman"/>
                <w:sz w:val="24"/>
              </w:rPr>
              <w:t>e</w:t>
            </w:r>
            <w:r>
              <w:rPr>
                <w:rStyle w:val="FormatvorlageInstructionsTabelleText"/>
                <w:rFonts w:ascii="Times New Roman" w:hAnsi="Times New Roman"/>
                <w:sz w:val="24"/>
              </w:rPr>
              <w:t>ment ou de livraison jusqu'à l'extinction de la transaction, conformément aux exigences de fonds propres pour le risque de règlement. À défaut, les ét</w:t>
            </w:r>
            <w:r>
              <w:rPr>
                <w:rStyle w:val="FormatvorlageInstructionsTabelleText"/>
                <w:rFonts w:ascii="Times New Roman" w:hAnsi="Times New Roman"/>
                <w:sz w:val="24"/>
              </w:rPr>
              <w:t>a</w:t>
            </w:r>
            <w:r>
              <w:rPr>
                <w:rStyle w:val="FormatvorlageInstructionsTabelleText"/>
                <w:rFonts w:ascii="Times New Roman" w:hAnsi="Times New Roman"/>
                <w:sz w:val="24"/>
              </w:rPr>
              <w:t>blissements peuvent déduire ces positions de leurs éléments de fonds propres de base de catégorie 1 conformément à l'article 36, paragraphe 1, point k) iii), du CRR. Dans le dernier cas, ces positions seront déclarées dans ce poste.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471</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sidR="00F21BC3">
              <w:rPr>
                <w:rStyle w:val="InstructionsTabelleberschrift"/>
                <w:rFonts w:ascii="Times New Roman" w:hAnsi="Times New Roman"/>
                <w:sz w:val="24"/>
              </w:rPr>
              <w:tab/>
            </w:r>
            <w:r>
              <w:rPr>
                <w:rStyle w:val="InstructionsTabelleberschrift"/>
                <w:rFonts w:ascii="Times New Roman" w:hAnsi="Times New Roman"/>
                <w:sz w:val="24"/>
              </w:rPr>
              <w:t>(-) Positions d'un panier pour lesquelles un établissement n'est pas en mesure de déterminer la pondération de risque selon l'a</w:t>
            </w:r>
            <w:r>
              <w:rPr>
                <w:rStyle w:val="InstructionsTabelleberschrift"/>
                <w:rFonts w:ascii="Times New Roman" w:hAnsi="Times New Roman"/>
                <w:sz w:val="24"/>
              </w:rPr>
              <w:t>p</w:t>
            </w:r>
            <w:r>
              <w:rPr>
                <w:rStyle w:val="InstructionsTabelleberschrift"/>
                <w:rFonts w:ascii="Times New Roman" w:hAnsi="Times New Roman"/>
                <w:sz w:val="24"/>
              </w:rPr>
              <w:t>proche NI, et qui peuvent subsidiairement être soumises à une pondér</w:t>
            </w:r>
            <w:r>
              <w:rPr>
                <w:rStyle w:val="InstructionsTabelleberschrift"/>
                <w:rFonts w:ascii="Times New Roman" w:hAnsi="Times New Roman"/>
                <w:sz w:val="24"/>
              </w:rPr>
              <w:t>a</w:t>
            </w:r>
            <w:r>
              <w:rPr>
                <w:rStyle w:val="InstructionsTabelleberschrift"/>
                <w:rFonts w:ascii="Times New Roman" w:hAnsi="Times New Roman"/>
                <w:sz w:val="24"/>
              </w:rPr>
              <w:t>tion de risque de 1 250 %</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36, paragraphe 1, point k) iv), et article 153, paragraphe 8, du CRR</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Conformément à l'article 36, paragraphe 1, point k) iv), du CRR, elles pe</w:t>
            </w:r>
            <w:r>
              <w:rPr>
                <w:rStyle w:val="FormatvorlageInstructionsTabelleText"/>
                <w:rFonts w:ascii="Times New Roman" w:hAnsi="Times New Roman"/>
                <w:sz w:val="24"/>
              </w:rPr>
              <w:t>u</w:t>
            </w:r>
            <w:r>
              <w:rPr>
                <w:rStyle w:val="FormatvorlageInstructionsTabelleText"/>
                <w:rFonts w:ascii="Times New Roman" w:hAnsi="Times New Roman"/>
                <w:sz w:val="24"/>
              </w:rPr>
              <w:t>vent soit être déduites des fonds propres de base de catégorie 1 (en utilisant ce poste), soit recevoir une pondération de 1 250 %.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472</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sidR="00F21BC3">
              <w:rPr>
                <w:rStyle w:val="InstructionsTabelleberschrift"/>
                <w:rFonts w:ascii="Times New Roman" w:hAnsi="Times New Roman"/>
                <w:sz w:val="24"/>
              </w:rPr>
              <w:tab/>
            </w:r>
            <w:r>
              <w:rPr>
                <w:rStyle w:val="InstructionsTabelleberschrift"/>
                <w:rFonts w:ascii="Times New Roman" w:hAnsi="Times New Roman"/>
                <w:sz w:val="24"/>
              </w:rPr>
              <w:t>(-) Expositions sous forme d'actions selon une approche fondée sur les modèles internes qui peuvent subsidiairement être so</w:t>
            </w:r>
            <w:r>
              <w:rPr>
                <w:rStyle w:val="InstructionsTabelleberschrift"/>
                <w:rFonts w:ascii="Times New Roman" w:hAnsi="Times New Roman"/>
                <w:sz w:val="24"/>
              </w:rPr>
              <w:t>u</w:t>
            </w:r>
            <w:r>
              <w:rPr>
                <w:rStyle w:val="InstructionsTabelleberschrift"/>
                <w:rFonts w:ascii="Times New Roman" w:hAnsi="Times New Roman"/>
                <w:sz w:val="24"/>
              </w:rPr>
              <w:t>mises à une pondération de risque de 1 250 %</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36, paragraphe 1, point k) v), et article 155, paragraphe 4, du CRR</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Conformément à l'article 36, paragraphe 1, point k) v), du CRR, elles pe</w:t>
            </w:r>
            <w:r>
              <w:rPr>
                <w:rStyle w:val="FormatvorlageInstructionsTabelleText"/>
                <w:rFonts w:ascii="Times New Roman" w:hAnsi="Times New Roman"/>
                <w:sz w:val="24"/>
              </w:rPr>
              <w:t>u</w:t>
            </w:r>
            <w:r>
              <w:rPr>
                <w:rStyle w:val="FormatvorlageInstructionsTabelleText"/>
                <w:rFonts w:ascii="Times New Roman" w:hAnsi="Times New Roman"/>
                <w:sz w:val="24"/>
              </w:rPr>
              <w:t xml:space="preserve">vent soit être déduites des fonds propres de base de catégorie 1 (en utilisant </w:t>
            </w:r>
            <w:r>
              <w:rPr>
                <w:rStyle w:val="FormatvorlageInstructionsTabelleText"/>
                <w:rFonts w:ascii="Times New Roman" w:hAnsi="Times New Roman"/>
                <w:sz w:val="24"/>
              </w:rPr>
              <w:lastRenderedPageBreak/>
              <w:t>ce poste), soit recevoir une pondération de 1 250 %.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00F21BC3">
              <w:rPr>
                <w:rStyle w:val="InstructionsTabelleberschrift"/>
                <w:rFonts w:ascii="Times New Roman" w:hAnsi="Times New Roman"/>
                <w:sz w:val="24"/>
              </w:rPr>
              <w:tab/>
            </w:r>
            <w:r>
              <w:rPr>
                <w:rStyle w:val="InstructionsTabelleberschrift"/>
                <w:rFonts w:ascii="Times New Roman" w:hAnsi="Times New Roman"/>
                <w:sz w:val="24"/>
              </w:rPr>
              <w:t>(-) Instruments CET1 d'entités du secteur financier dans lesquelles l'établissement ne détient pas d'investissement important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27), article 36, paragraphe 1, point h), a</w:t>
            </w:r>
            <w:r>
              <w:rPr>
                <w:rStyle w:val="FormatvorlageInstructionsTabelleText"/>
                <w:rFonts w:ascii="Times New Roman" w:hAnsi="Times New Roman"/>
                <w:sz w:val="24"/>
              </w:rPr>
              <w:t>r</w:t>
            </w:r>
            <w:r>
              <w:rPr>
                <w:rStyle w:val="FormatvorlageInstructionsTabelleText"/>
                <w:rFonts w:ascii="Times New Roman" w:hAnsi="Times New Roman"/>
                <w:sz w:val="24"/>
              </w:rPr>
              <w:t>ticles 43 à 46, article 49, paragraphes 2 et 3, et article 79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 des détentions détenues par l'établissement dans des instruments d'ent</w:t>
            </w:r>
            <w:r>
              <w:rPr>
                <w:rStyle w:val="FormatvorlageInstructionsTabelleText"/>
                <w:rFonts w:ascii="Times New Roman" w:hAnsi="Times New Roman"/>
                <w:sz w:val="24"/>
              </w:rPr>
              <w:t>i</w:t>
            </w:r>
            <w:r>
              <w:rPr>
                <w:rStyle w:val="FormatvorlageInstructionsTabelleText"/>
                <w:rFonts w:ascii="Times New Roman" w:hAnsi="Times New Roman"/>
                <w:sz w:val="24"/>
              </w:rPr>
              <w:t>tés du secteur financier (telles que définies à l'article 4, paragraphe 1, point 27), du CRR) dans lesquelles il ne détient pas d'investissement impo</w:t>
            </w:r>
            <w:r>
              <w:rPr>
                <w:rStyle w:val="FormatvorlageInstructionsTabelleText"/>
                <w:rFonts w:ascii="Times New Roman" w:hAnsi="Times New Roman"/>
                <w:sz w:val="24"/>
              </w:rPr>
              <w:t>r</w:t>
            </w:r>
            <w:r>
              <w:rPr>
                <w:rStyle w:val="FormatvorlageInstructionsTabelleText"/>
                <w:rFonts w:ascii="Times New Roman" w:hAnsi="Times New Roman"/>
                <w:sz w:val="24"/>
              </w:rPr>
              <w:t>tant qui doit être déduite des fonds propres de catégorie 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cas de consolidation, il existe des alternatives à cette déduction (a</w:t>
            </w:r>
            <w:r>
              <w:rPr>
                <w:rStyle w:val="FormatvorlageInstructionsTabelleText"/>
                <w:rFonts w:ascii="Times New Roman" w:hAnsi="Times New Roman"/>
                <w:sz w:val="24"/>
              </w:rPr>
              <w:t>r</w:t>
            </w:r>
            <w:r>
              <w:rPr>
                <w:rStyle w:val="FormatvorlageInstructionsTabelleText"/>
                <w:rFonts w:ascii="Times New Roman" w:hAnsi="Times New Roman"/>
                <w:sz w:val="24"/>
              </w:rPr>
              <w:t>ticle 49, paragraphes 2 et 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sidR="00F21BC3">
              <w:rPr>
                <w:rStyle w:val="InstructionsTabelleberschrift"/>
                <w:rFonts w:ascii="Times New Roman" w:hAnsi="Times New Roman"/>
                <w:sz w:val="24"/>
              </w:rPr>
              <w:tab/>
            </w:r>
            <w:r>
              <w:rPr>
                <w:rStyle w:val="InstructionsTabelleberschrift"/>
                <w:rFonts w:ascii="Times New Roman" w:hAnsi="Times New Roman"/>
                <w:sz w:val="24"/>
              </w:rPr>
              <w:t>(-) Actifs d'impôt différé déductibles dépendant de bén</w:t>
            </w:r>
            <w:r>
              <w:rPr>
                <w:rStyle w:val="InstructionsTabelleberschrift"/>
                <w:rFonts w:ascii="Times New Roman" w:hAnsi="Times New Roman"/>
                <w:sz w:val="24"/>
              </w:rPr>
              <w:t>é</w:t>
            </w:r>
            <w:r>
              <w:rPr>
                <w:rStyle w:val="InstructionsTabelleberschrift"/>
                <w:rFonts w:ascii="Times New Roman" w:hAnsi="Times New Roman"/>
                <w:sz w:val="24"/>
              </w:rPr>
              <w:t>fices futurs et résultant de différences temporelles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c), article 38 et article 48, paragraphe 1, point a),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 des actifs d'impôt différé dépendant de bénéfices futurs et résultant de différences temporelles (sans la part des passifs d'impôt différé associés i</w:t>
            </w:r>
            <w:r>
              <w:rPr>
                <w:rStyle w:val="FormatvorlageInstructionsTabelleText"/>
                <w:rFonts w:ascii="Times New Roman" w:hAnsi="Times New Roman"/>
                <w:sz w:val="24"/>
              </w:rPr>
              <w:t>m</w:t>
            </w:r>
            <w:r>
              <w:rPr>
                <w:rStyle w:val="FormatvorlageInstructionsTabelleText"/>
                <w:rFonts w:ascii="Times New Roman" w:hAnsi="Times New Roman"/>
                <w:sz w:val="24"/>
              </w:rPr>
              <w:t>putés aux actifs d'impôt différé résultant de différences temporelles, confo</w:t>
            </w:r>
            <w:r>
              <w:rPr>
                <w:rStyle w:val="FormatvorlageInstructionsTabelleText"/>
                <w:rFonts w:ascii="Times New Roman" w:hAnsi="Times New Roman"/>
                <w:sz w:val="24"/>
              </w:rPr>
              <w:t>r</w:t>
            </w:r>
            <w:r>
              <w:rPr>
                <w:rStyle w:val="FormatvorlageInstructionsTabelleText"/>
                <w:rFonts w:ascii="Times New Roman" w:hAnsi="Times New Roman"/>
                <w:sz w:val="24"/>
              </w:rPr>
              <w:t>mément à l'article 38, paragraphe 5, point b), du CRR) qui doit être déduite, en appliquant le seuil de 10 % visé à l'article 48, paragraphe 1, point a), du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sidR="00F21BC3">
              <w:rPr>
                <w:rStyle w:val="InstructionsTabelleberschrift"/>
                <w:rFonts w:ascii="Times New Roman" w:hAnsi="Times New Roman"/>
                <w:sz w:val="24"/>
              </w:rPr>
              <w:tab/>
            </w:r>
            <w:r>
              <w:rPr>
                <w:rStyle w:val="InstructionsTabelleberschrift"/>
                <w:rFonts w:ascii="Times New Roman" w:hAnsi="Times New Roman"/>
                <w:sz w:val="24"/>
              </w:rPr>
              <w:t>(-) Instruments CET1 d'entités du secteur financier dans lesquelles l'établissement détient un investissement important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27), article 36, paragraphe 1, point i), articles 43, 45; 47; article 48, paragraphe 1, point b), article 49, paragraphes 1 à 3, et article 79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 des détentions détenues par l'établissement dans des instruments de fonds propres de base de catégorie 1 d'entités du secteur financier (telles que définies à l'article 4, paragraphe 1, point 27), du CRR) dans lesquelles il d</w:t>
            </w:r>
            <w:r>
              <w:rPr>
                <w:rStyle w:val="FormatvorlageInstructionsTabelleText"/>
                <w:rFonts w:ascii="Times New Roman" w:hAnsi="Times New Roman"/>
                <w:sz w:val="24"/>
              </w:rPr>
              <w:t>é</w:t>
            </w:r>
            <w:r>
              <w:rPr>
                <w:rStyle w:val="FormatvorlageInstructionsTabelleText"/>
                <w:rFonts w:ascii="Times New Roman" w:hAnsi="Times New Roman"/>
                <w:sz w:val="24"/>
              </w:rPr>
              <w:t>tient un investissement important qui doit être déduite, en appliquant le seuil de 10 % visé à l'article 48, paragraphe 1, point b),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cas de consolidation, il existe des alternatives à cette déduction (a</w:t>
            </w:r>
            <w:r>
              <w:rPr>
                <w:rStyle w:val="FormatvorlageInstructionsTabelleText"/>
                <w:rFonts w:ascii="Times New Roman" w:hAnsi="Times New Roman"/>
                <w:sz w:val="24"/>
              </w:rPr>
              <w:t>r</w:t>
            </w:r>
            <w:r>
              <w:rPr>
                <w:rStyle w:val="FormatvorlageInstructionsTabelleText"/>
                <w:rFonts w:ascii="Times New Roman" w:hAnsi="Times New Roman"/>
                <w:sz w:val="24"/>
              </w:rPr>
              <w:t>ticle 49, paragraphes 1, 2 et 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sidR="00F21BC3">
              <w:rPr>
                <w:rStyle w:val="InstructionsTabelleberschrift"/>
                <w:rFonts w:ascii="Times New Roman" w:hAnsi="Times New Roman"/>
                <w:sz w:val="24"/>
              </w:rPr>
              <w:tab/>
            </w:r>
            <w:r>
              <w:rPr>
                <w:rStyle w:val="InstructionsTabelleberschrift"/>
                <w:rFonts w:ascii="Times New Roman" w:hAnsi="Times New Roman"/>
                <w:sz w:val="24"/>
              </w:rPr>
              <w:t>(-) Montant dépassant le seuil de 17,65 %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48, paragraphe 1,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 des actifs d'impôt différé dépendant de bénéfices futurs et résultant de différences temporelles, ainsi que les détentions directes et indirectes dét</w:t>
            </w:r>
            <w:r>
              <w:rPr>
                <w:rStyle w:val="FormatvorlageInstructionsTabelleText"/>
                <w:rFonts w:ascii="Times New Roman" w:hAnsi="Times New Roman"/>
                <w:sz w:val="24"/>
              </w:rPr>
              <w:t>e</w:t>
            </w:r>
            <w:r>
              <w:rPr>
                <w:rStyle w:val="FormatvorlageInstructionsTabelleText"/>
                <w:rFonts w:ascii="Times New Roman" w:hAnsi="Times New Roman"/>
                <w:sz w:val="24"/>
              </w:rPr>
              <w:t>nues par l'établissement dans des instruments de fonds propres de base de catégorie 1 d'entités du secteur financier (telles que définies à l'article 4, p</w:t>
            </w:r>
            <w:r>
              <w:rPr>
                <w:rStyle w:val="FormatvorlageInstructionsTabelleText"/>
                <w:rFonts w:ascii="Times New Roman" w:hAnsi="Times New Roman"/>
                <w:sz w:val="24"/>
              </w:rPr>
              <w:t>a</w:t>
            </w:r>
            <w:r>
              <w:rPr>
                <w:rStyle w:val="FormatvorlageInstructionsTabelleText"/>
                <w:rFonts w:ascii="Times New Roman" w:hAnsi="Times New Roman"/>
                <w:sz w:val="24"/>
              </w:rPr>
              <w:t>ragraphe 1, point 27), du CRR) dans lesquelles il détient un investissement important qui doit être déduite, en appliquant le seuil de 17,65 % visé à l'a</w:t>
            </w:r>
            <w:r>
              <w:rPr>
                <w:rStyle w:val="FormatvorlageInstructionsTabelleText"/>
                <w:rFonts w:ascii="Times New Roman" w:hAnsi="Times New Roman"/>
                <w:sz w:val="24"/>
              </w:rPr>
              <w:t>r</w:t>
            </w:r>
            <w:r>
              <w:rPr>
                <w:rStyle w:val="FormatvorlageInstructionsTabelleText"/>
                <w:rFonts w:ascii="Times New Roman" w:hAnsi="Times New Roman"/>
                <w:sz w:val="24"/>
              </w:rPr>
              <w:t>ticle 48, paragraphe 1, du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sidR="00F21BC3">
              <w:rPr>
                <w:rStyle w:val="InstructionsTabelleberschrift"/>
                <w:rFonts w:ascii="Times New Roman" w:hAnsi="Times New Roman"/>
                <w:sz w:val="24"/>
              </w:rPr>
              <w:tab/>
            </w:r>
            <w:r>
              <w:rPr>
                <w:rStyle w:val="InstructionsTabelleberschrift"/>
                <w:rFonts w:ascii="Times New Roman" w:hAnsi="Times New Roman"/>
                <w:sz w:val="24"/>
              </w:rPr>
              <w:t xml:space="preserve">Autres ajustements transitoires applicables aux fonds </w:t>
            </w:r>
            <w:r>
              <w:rPr>
                <w:rStyle w:val="InstructionsTabelleberschrift"/>
                <w:rFonts w:ascii="Times New Roman" w:hAnsi="Times New Roman"/>
                <w:sz w:val="24"/>
              </w:rPr>
              <w:lastRenderedPageBreak/>
              <w:t>propres CET1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469 à 472, article 478 et article 481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aux déductions dues aux dispositions transitoires. Le montant à déclarer provient directement du modèle CA5.</w:t>
            </w:r>
          </w:p>
        </w:tc>
      </w:tr>
      <w:tr w:rsidR="00A232F8"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524</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sidR="00F21BC3">
              <w:rPr>
                <w:rStyle w:val="InstructionsTabelleberschrift"/>
                <w:rFonts w:ascii="Times New Roman" w:hAnsi="Times New Roman"/>
                <w:sz w:val="24"/>
              </w:rPr>
              <w:tab/>
            </w:r>
            <w:r>
              <w:rPr>
                <w:rStyle w:val="InstructionsTabelleberschrift"/>
                <w:rFonts w:ascii="Times New Roman" w:hAnsi="Times New Roman"/>
                <w:sz w:val="24"/>
              </w:rPr>
              <w:t>(-) Déductions supplémentaires de fonds propres CET1 en vertu de l'article 3 du CRR</w:t>
            </w:r>
          </w:p>
          <w:p w:rsidR="005643EA" w:rsidRPr="00392FFD" w:rsidRDefault="00A232F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3 du CRR</w:t>
            </w:r>
          </w:p>
        </w:tc>
      </w:tr>
      <w:tr w:rsidR="00666996" w:rsidRPr="00392FFD" w:rsidTr="00672D2A">
        <w:tc>
          <w:tcPr>
            <w:tcW w:w="1129" w:type="dxa"/>
          </w:tcPr>
          <w:p w:rsidR="005643EA" w:rsidRPr="00392FFD" w:rsidRDefault="00A232F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529</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sidR="00F21BC3">
              <w:rPr>
                <w:rStyle w:val="InstructionsTabelleberschrift"/>
                <w:rFonts w:ascii="Times New Roman" w:hAnsi="Times New Roman"/>
                <w:sz w:val="24"/>
              </w:rPr>
              <w:tab/>
            </w:r>
            <w:r>
              <w:rPr>
                <w:rStyle w:val="InstructionsTabelleberschrift"/>
                <w:rFonts w:ascii="Times New Roman" w:hAnsi="Times New Roman"/>
                <w:sz w:val="24"/>
              </w:rPr>
              <w:t>Éléments de fonds propres CET1 ou déductions - autres</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Cette ligne est destinée à permettre une certaine flexibilité uniquement à des fins de déclaration. Elle ne sera remplie que dans les rares cas où aucune d</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cision finale n'a été prise pour la déclaration d'éléments/de déductions spéc</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fiques de fonds propres dans le modèle CA1 actuel. En conséquence, cette ligne ne sera remplie que lorsqu'un élément ou une déduction de fonds propres de base de catégorie 1 ne peut être imputé dans une des lignes 020 à 524. </w:t>
            </w:r>
          </w:p>
          <w:p w:rsidR="005643EA" w:rsidRPr="007E39E6" w:rsidRDefault="00666996"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Cette cellule n'est pas utilisée pour le calcul des ratios de solvabilité des éléments/des déductions de fonds propres qui ne sont pas couverts par le CRR (par ex. attribution d'éléments/déductions de fonds propres nationaux hors du périmètre du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F21BC3">
              <w:rPr>
                <w:rStyle w:val="InstructionsTabelleberschrift"/>
                <w:rFonts w:ascii="Times New Roman" w:hAnsi="Times New Roman"/>
                <w:sz w:val="24"/>
              </w:rPr>
              <w:tab/>
            </w:r>
            <w:r>
              <w:rPr>
                <w:rStyle w:val="InstructionsTabelleberschrift"/>
                <w:rFonts w:ascii="Times New Roman" w:hAnsi="Times New Roman"/>
                <w:sz w:val="24"/>
              </w:rPr>
              <w:t>FONDS PROPRES ADDITIONNELS DE CATÉGORIE 1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61 du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sidR="00F21BC3">
              <w:rPr>
                <w:rStyle w:val="InstructionsTabelleberschrift"/>
                <w:rFonts w:ascii="Times New Roman" w:hAnsi="Times New Roman"/>
                <w:sz w:val="24"/>
              </w:rPr>
              <w:tab/>
            </w:r>
            <w:r>
              <w:rPr>
                <w:rStyle w:val="InstructionsTabelleberschrift"/>
                <w:rFonts w:ascii="Times New Roman" w:hAnsi="Times New Roman"/>
                <w:sz w:val="24"/>
              </w:rPr>
              <w:t>Instruments de capital éligibles en tant que fonds propres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51, point a), articles 52 à 54, article 56, point a), et article 57 du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sidR="00F21BC3">
              <w:rPr>
                <w:rStyle w:val="InstructionsTabelleberschrift"/>
                <w:rFonts w:ascii="Times New Roman" w:hAnsi="Times New Roman"/>
                <w:sz w:val="24"/>
              </w:rPr>
              <w:tab/>
            </w:r>
            <w:r>
              <w:rPr>
                <w:rStyle w:val="InstructionsTabelleberschrift"/>
                <w:rFonts w:ascii="Times New Roman" w:hAnsi="Times New Roman"/>
                <w:sz w:val="24"/>
              </w:rPr>
              <w:t>Instruments de capital versés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51, point a), et articles 52 à 54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w:t>
            </w:r>
            <w:r>
              <w:rPr>
                <w:rStyle w:val="FormatvorlageInstructionsTabelleText"/>
                <w:rFonts w:ascii="Times New Roman" w:hAnsi="Times New Roman"/>
                <w:sz w:val="24"/>
              </w:rPr>
              <w:t>u</w:t>
            </w:r>
            <w:r>
              <w:rPr>
                <w:rStyle w:val="FormatvorlageInstructionsTabelleText"/>
                <w:rFonts w:ascii="Times New Roman" w:hAnsi="Times New Roman"/>
                <w:sz w:val="24"/>
              </w:rPr>
              <w:t>ments.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sidR="00F21BC3">
              <w:rPr>
                <w:rStyle w:val="InstructionsTabelleberschrift"/>
                <w:rFonts w:ascii="Times New Roman" w:hAnsi="Times New Roman"/>
                <w:sz w:val="24"/>
              </w:rPr>
              <w:tab/>
            </w:r>
            <w:r>
              <w:rPr>
                <w:rStyle w:val="InstructionsTabelleberschrift"/>
                <w:rFonts w:ascii="Times New Roman" w:hAnsi="Times New Roman"/>
                <w:sz w:val="24"/>
              </w:rPr>
              <w:t>Pour mémoire: Instruments de capital non éligibles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52, paragraphe 1, points c), e) et f),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Dans ces points, les conditions traduisent diverses situations réversibles pour le capital. Dès lors, le montant déclaré ici peut être éligible au cours des p</w:t>
            </w:r>
            <w:r>
              <w:rPr>
                <w:rStyle w:val="FormatvorlageInstructionsTabelleText"/>
                <w:rFonts w:ascii="Times New Roman" w:hAnsi="Times New Roman"/>
                <w:sz w:val="24"/>
              </w:rPr>
              <w:t>é</w:t>
            </w:r>
            <w:r>
              <w:rPr>
                <w:rStyle w:val="FormatvorlageInstructionsTabelleText"/>
                <w:rFonts w:ascii="Times New Roman" w:hAnsi="Times New Roman"/>
                <w:sz w:val="24"/>
              </w:rPr>
              <w:t>riodes suivantes.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w:t>
            </w:r>
            <w:r>
              <w:rPr>
                <w:rStyle w:val="FormatvorlageInstructionsTabelleText"/>
                <w:rFonts w:ascii="Times New Roman" w:hAnsi="Times New Roman"/>
                <w:sz w:val="24"/>
              </w:rPr>
              <w:t>u</w:t>
            </w:r>
            <w:r>
              <w:rPr>
                <w:rStyle w:val="FormatvorlageInstructionsTabelleText"/>
                <w:rFonts w:ascii="Times New Roman" w:hAnsi="Times New Roman"/>
                <w:sz w:val="24"/>
              </w:rPr>
              <w:t>ments.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sidR="00F21BC3">
              <w:rPr>
                <w:rStyle w:val="InstructionsTabelleberschrift"/>
                <w:rFonts w:ascii="Times New Roman" w:hAnsi="Times New Roman"/>
                <w:sz w:val="24"/>
              </w:rPr>
              <w:tab/>
            </w:r>
            <w:r>
              <w:rPr>
                <w:rStyle w:val="InstructionsTabelleberschrift"/>
                <w:rFonts w:ascii="Times New Roman" w:hAnsi="Times New Roman"/>
                <w:sz w:val="24"/>
              </w:rPr>
              <w:t>Prime d'émission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51, point b),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terme «prime d'émission» a la même signification que celle utilisée par la norme comptable applicable.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à ce poste est la part liée aux «Instruments de capital versés».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sidR="00F21BC3">
              <w:rPr>
                <w:rStyle w:val="InstructionsTabelleberschrift"/>
                <w:rFonts w:ascii="Times New Roman" w:hAnsi="Times New Roman"/>
                <w:sz w:val="24"/>
              </w:rPr>
              <w:tab/>
            </w:r>
            <w:r>
              <w:rPr>
                <w:rStyle w:val="InstructionsTabelleberschrift"/>
                <w:rFonts w:ascii="Times New Roman" w:hAnsi="Times New Roman"/>
                <w:sz w:val="24"/>
              </w:rPr>
              <w:t>(-) Propres instruments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52, paragraphe 1, point b), article 56, point a), et article 57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Propres instruments de fonds propres additionnels de catégorie 1 détenus par l'établissement ou le groupe déclarant à la date de déclaration. Poste soumis aux exceptions de l'article 57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détention d'actions intégrées aux «Instruments de capital non éligibles» ne figurera pas dans cette ligne.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intègre la prime d'émission liée aux actions propres.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points 1.1.2.1.4 à 1.1.2.1.4.3 ne comprennent pas les instruments de fonds propres de base de catégorie 1 que l'établissement a l'obligation réelle ou éventuelle d'acquérir. Ces instruments de fonds propres additionnels de catégorie 1 que l'établissement a l'obligation réelle ou éventuelle d'acquérir seront déclarés séparément au point 1.1.2.1.5.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sidR="00F21BC3">
              <w:rPr>
                <w:rStyle w:val="InstructionsTabelleberschrift"/>
                <w:rFonts w:ascii="Times New Roman" w:hAnsi="Times New Roman"/>
                <w:sz w:val="24"/>
              </w:rPr>
              <w:tab/>
            </w:r>
            <w:r>
              <w:rPr>
                <w:rStyle w:val="InstructionsTabelleberschrift"/>
                <w:rFonts w:ascii="Times New Roman" w:hAnsi="Times New Roman"/>
                <w:sz w:val="24"/>
              </w:rPr>
              <w:t>(-) Détentions directes d'instruments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114, article 52, paragraphe 1, point b), a</w:t>
            </w:r>
            <w:r>
              <w:rPr>
                <w:rStyle w:val="FormatvorlageInstructionsTabelleText"/>
                <w:rFonts w:ascii="Times New Roman" w:hAnsi="Times New Roman"/>
                <w:sz w:val="24"/>
              </w:rPr>
              <w:t>r</w:t>
            </w:r>
            <w:r>
              <w:rPr>
                <w:rStyle w:val="FormatvorlageInstructionsTabelleText"/>
                <w:rFonts w:ascii="Times New Roman" w:hAnsi="Times New Roman"/>
                <w:sz w:val="24"/>
              </w:rPr>
              <w:t>ticle 56, point a), et article 57 du CRR</w:t>
            </w:r>
          </w:p>
          <w:p w:rsidR="005643EA" w:rsidRP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Instruments de fonds propres additionnels de catégorie 1 inclus au point 1.1.2.1.1, détenus par les établissements du groupe consolidé.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sidR="00F21BC3">
              <w:rPr>
                <w:rStyle w:val="InstructionsTabelleberschrift"/>
                <w:rFonts w:ascii="Times New Roman" w:hAnsi="Times New Roman"/>
                <w:sz w:val="24"/>
              </w:rPr>
              <w:tab/>
            </w:r>
            <w:r>
              <w:rPr>
                <w:rStyle w:val="InstructionsTabelleberschrift"/>
                <w:rFonts w:ascii="Times New Roman" w:hAnsi="Times New Roman"/>
                <w:sz w:val="24"/>
              </w:rPr>
              <w:t>(-) Détentions indirectes d'instruments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52, paragraphe 1, point b) ii), article 56, point a), et article 57 du CRR</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621</w:t>
            </w:r>
          </w:p>
        </w:tc>
        <w:tc>
          <w:tcPr>
            <w:tcW w:w="7620" w:type="dxa"/>
          </w:tcPr>
          <w:p w:rsidR="005643EA" w:rsidRPr="007E39E6" w:rsidRDefault="006455B0" w:rsidP="00FD239F">
            <w:pPr>
              <w:pStyle w:val="InstructionsText"/>
            </w:pPr>
            <w:r>
              <w:rPr>
                <w:rStyle w:val="InstructionsTabelleberschrift"/>
                <w:rFonts w:ascii="Times New Roman" w:hAnsi="Times New Roman"/>
                <w:sz w:val="24"/>
              </w:rPr>
              <w:t>1.1.2.1.4.3</w:t>
            </w:r>
            <w:r w:rsidR="00D3593C">
              <w:rPr>
                <w:rStyle w:val="InstructionsTabelleberschrift"/>
                <w:rFonts w:ascii="Times New Roman" w:hAnsi="Times New Roman"/>
                <w:sz w:val="24"/>
              </w:rPr>
              <w:tab/>
            </w:r>
            <w:r>
              <w:rPr>
                <w:rStyle w:val="InstructionsTabelleberschrift"/>
                <w:rFonts w:ascii="Times New Roman" w:hAnsi="Times New Roman"/>
                <w:sz w:val="24"/>
              </w:rPr>
              <w:t>(-) Détentions synthétiques d'instruments AT1</w:t>
            </w:r>
          </w:p>
          <w:p w:rsidR="005643EA" w:rsidRPr="007E39E6" w:rsidRDefault="00805255" w:rsidP="00FD239F">
            <w:pPr>
              <w:pStyle w:val="InstructionsText"/>
              <w:rPr>
                <w:rStyle w:val="InstructionsTabelleberschrift"/>
                <w:rFonts w:ascii="Times New Roman" w:hAnsi="Times New Roman"/>
                <w:b w:val="0"/>
                <w:bCs w:val="0"/>
                <w:sz w:val="24"/>
                <w:u w:val="none"/>
              </w:rPr>
            </w:pPr>
            <w:r>
              <w:t>Article 4, paragraphe 1, point 126, article 52, paragraphe 1, point b), a</w:t>
            </w:r>
            <w:r>
              <w:t>r</w:t>
            </w:r>
            <w:r>
              <w:t>ticle 56, point a), et article 57 du CRR</w:t>
            </w:r>
          </w:p>
        </w:tc>
      </w:tr>
      <w:tr w:rsidR="00666996"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sidR="00D3593C">
              <w:rPr>
                <w:rStyle w:val="InstructionsTabelleberschrift"/>
                <w:rFonts w:ascii="Times New Roman" w:hAnsi="Times New Roman"/>
                <w:sz w:val="24"/>
              </w:rPr>
              <w:tab/>
            </w:r>
            <w:r>
              <w:rPr>
                <w:rStyle w:val="InstructionsTabelleberschrift"/>
                <w:rFonts w:ascii="Times New Roman" w:hAnsi="Times New Roman"/>
                <w:sz w:val="24"/>
              </w:rPr>
              <w:t>(–) Obligations réelles ou éventuelles d'acquérir ses propres instruments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56, point a), et article 57 du CRR</w:t>
            </w:r>
          </w:p>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Conformément à l'article 56, point a), du CRR, «</w:t>
            </w:r>
            <w:r>
              <w:t>les instruments de fonds propres additionnels de catégorie 1 qu'un établissement est susceptible de devoir acheter en vertu d'une obligation contractuelle existante» seront d</w:t>
            </w:r>
            <w:r>
              <w:t>é</w:t>
            </w:r>
            <w:r>
              <w:t>duits.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sidR="00D3593C">
              <w:rPr>
                <w:rStyle w:val="InstructionsTabelleberschrift"/>
                <w:rFonts w:ascii="Times New Roman" w:hAnsi="Times New Roman"/>
                <w:sz w:val="24"/>
              </w:rPr>
              <w:tab/>
            </w:r>
            <w:r>
              <w:rPr>
                <w:rStyle w:val="InstructionsTabelleberschrift"/>
                <w:rFonts w:ascii="Times New Roman" w:hAnsi="Times New Roman"/>
                <w:sz w:val="24"/>
              </w:rPr>
              <w:t>Ajustements transitoires relatifs aux instruments de capital AT1 bénéficiant d'une clause d'antériorité</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483, paragraphes 4 et 5, articles 484 à 487, articles 489 et 491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instruments de capital restant à titre transitoire éligibles en tant que fonds propres additionnels de catégorie 1 en vertu d'une clause d'antéri</w:t>
            </w:r>
            <w:r>
              <w:rPr>
                <w:rStyle w:val="FormatvorlageInstructionsTabelleText"/>
                <w:rFonts w:ascii="Times New Roman" w:hAnsi="Times New Roman"/>
                <w:sz w:val="24"/>
              </w:rPr>
              <w:t>o</w:t>
            </w:r>
            <w:r>
              <w:rPr>
                <w:rStyle w:val="FormatvorlageInstructionsTabelleText"/>
                <w:rFonts w:ascii="Times New Roman" w:hAnsi="Times New Roman"/>
                <w:sz w:val="24"/>
              </w:rPr>
              <w:t>rité. Le montant à déclarer provient directement du modèle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sidR="00E279A8">
              <w:rPr>
                <w:rStyle w:val="InstructionsTabelleberschrift"/>
                <w:rFonts w:ascii="Times New Roman" w:hAnsi="Times New Roman"/>
                <w:sz w:val="24"/>
              </w:rPr>
              <w:tab/>
            </w:r>
            <w:r>
              <w:rPr>
                <w:rStyle w:val="InstructionsTabelleberschrift"/>
                <w:rFonts w:ascii="Times New Roman" w:hAnsi="Times New Roman"/>
                <w:sz w:val="24"/>
              </w:rPr>
              <w:t>Instruments émis par des filiales pris en compte dans les fonds propres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83, 85 et 86 du CRR</w:t>
            </w:r>
          </w:p>
          <w:p w:rsidR="00477CB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Somme de tous les fonds propres de catégorie 1 reconnaissables de filiales qui sont inclus dans les fonds propres additionnels de catégorie 1 consolidés.</w:t>
            </w:r>
          </w:p>
          <w:p w:rsidR="00106FC5" w:rsidRPr="00392FFD" w:rsidRDefault="00106FC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fonds propres additionnels de catégorie 1 reconnaissables émis par une entité ad hoc (article 83 du CRR) sont inclus.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680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sidR="00E279A8">
              <w:rPr>
                <w:rStyle w:val="InstructionsTabelleberschrift"/>
                <w:rFonts w:ascii="Times New Roman" w:hAnsi="Times New Roman"/>
                <w:sz w:val="24"/>
              </w:rPr>
              <w:tab/>
            </w:r>
            <w:r>
              <w:rPr>
                <w:rStyle w:val="InstructionsTabelleberschrift"/>
                <w:rFonts w:ascii="Times New Roman" w:hAnsi="Times New Roman"/>
                <w:sz w:val="24"/>
              </w:rPr>
              <w:t>Ajustements transitoires découlant de la prise en compte d'in</w:t>
            </w:r>
            <w:r>
              <w:rPr>
                <w:rStyle w:val="InstructionsTabelleberschrift"/>
                <w:rFonts w:ascii="Times New Roman" w:hAnsi="Times New Roman"/>
                <w:sz w:val="24"/>
              </w:rPr>
              <w:t>s</w:t>
            </w:r>
            <w:r>
              <w:rPr>
                <w:rStyle w:val="InstructionsTabelleberschrift"/>
                <w:rFonts w:ascii="Times New Roman" w:hAnsi="Times New Roman"/>
                <w:sz w:val="24"/>
              </w:rPr>
              <w:t>truments émis par des filiales dans les fonds propres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480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des fonds propres de catégorie 1 reconnaissables inclus dans les fonds propres additionnels de catégorie 1 en raison de dispositions trans</w:t>
            </w:r>
            <w:r>
              <w:rPr>
                <w:rStyle w:val="FormatvorlageInstructionsTabelleText"/>
                <w:rFonts w:ascii="Times New Roman" w:hAnsi="Times New Roman"/>
                <w:sz w:val="24"/>
              </w:rPr>
              <w:t>i</w:t>
            </w:r>
            <w:r>
              <w:rPr>
                <w:rStyle w:val="FormatvorlageInstructionsTabelleText"/>
                <w:rFonts w:ascii="Times New Roman" w:hAnsi="Times New Roman"/>
                <w:sz w:val="24"/>
              </w:rPr>
              <w:t>toires. Cet élément est directement issu du modèle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sidR="00E279A8">
              <w:rPr>
                <w:rStyle w:val="InstructionsTabelleberschrift"/>
                <w:rFonts w:ascii="Times New Roman" w:hAnsi="Times New Roman"/>
                <w:sz w:val="24"/>
              </w:rPr>
              <w:tab/>
            </w:r>
            <w:r>
              <w:rPr>
                <w:rStyle w:val="InstructionsTabelleberschrift"/>
                <w:rFonts w:ascii="Times New Roman" w:hAnsi="Times New Roman"/>
                <w:sz w:val="24"/>
              </w:rPr>
              <w:t>(-) Détentions croisées de fonds propres AT1</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122, article 56, point b), et article 58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Détentions d'instruments de fonds propres additionnels de catégorie 1 d'ent</w:t>
            </w:r>
            <w:r>
              <w:rPr>
                <w:rStyle w:val="FormatvorlageInstructionsTabelleText"/>
                <w:rFonts w:ascii="Times New Roman" w:hAnsi="Times New Roman"/>
                <w:sz w:val="24"/>
              </w:rPr>
              <w:t>i</w:t>
            </w:r>
            <w:r>
              <w:rPr>
                <w:rStyle w:val="FormatvorlageInstructionsTabelleText"/>
                <w:rFonts w:ascii="Times New Roman" w:hAnsi="Times New Roman"/>
                <w:sz w:val="24"/>
              </w:rPr>
              <w:t>tés du secteur financier (telles que définies à l'article 4, paragraphe 1, point 27), du CRR) lorsqu'il existe une détention croisée que l'autorité co</w:t>
            </w:r>
            <w:r>
              <w:rPr>
                <w:rStyle w:val="FormatvorlageInstructionsTabelleText"/>
                <w:rFonts w:ascii="Times New Roman" w:hAnsi="Times New Roman"/>
                <w:sz w:val="24"/>
              </w:rPr>
              <w:t>m</w:t>
            </w:r>
            <w:r>
              <w:rPr>
                <w:rStyle w:val="FormatvorlageInstructionsTabelleText"/>
                <w:rFonts w:ascii="Times New Roman" w:hAnsi="Times New Roman"/>
                <w:sz w:val="24"/>
              </w:rPr>
              <w:t>pétente juge destinée à accroître artificiellement les fonds propres de l'ét</w:t>
            </w:r>
            <w:r>
              <w:rPr>
                <w:rStyle w:val="FormatvorlageInstructionsTabelleText"/>
                <w:rFonts w:ascii="Times New Roman" w:hAnsi="Times New Roman"/>
                <w:sz w:val="24"/>
              </w:rPr>
              <w:t>a</w:t>
            </w:r>
            <w:r>
              <w:rPr>
                <w:rStyle w:val="FormatvorlageInstructionsTabelleText"/>
                <w:rFonts w:ascii="Times New Roman" w:hAnsi="Times New Roman"/>
                <w:sz w:val="24"/>
              </w:rPr>
              <w:t>blissement.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sera calculé sur la base des positions longues brutes et intègrera les éléments de fonds propres additionnels de catégorie 1 d'entités relevant du secteur de l'assurance.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sidR="00E279A8">
              <w:rPr>
                <w:rStyle w:val="InstructionsTabelleberschrift"/>
                <w:rFonts w:ascii="Times New Roman" w:hAnsi="Times New Roman"/>
                <w:sz w:val="24"/>
              </w:rPr>
              <w:tab/>
            </w:r>
            <w:r>
              <w:rPr>
                <w:rStyle w:val="InstructionsTabelleberschrift"/>
                <w:rFonts w:ascii="Times New Roman" w:hAnsi="Times New Roman"/>
                <w:sz w:val="24"/>
              </w:rPr>
              <w:t>(-) Instruments AT1 d'entités du secteur financier dans lesquelles l'établissement ne détient pas d'investissement important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27), article 56, point c), et articles 59, 60 et 79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 des détentions détenues par l'établissement dans des instruments d'ent</w:t>
            </w:r>
            <w:r>
              <w:rPr>
                <w:rStyle w:val="FormatvorlageInstructionsTabelleText"/>
                <w:rFonts w:ascii="Times New Roman" w:hAnsi="Times New Roman"/>
                <w:sz w:val="24"/>
              </w:rPr>
              <w:t>i</w:t>
            </w:r>
            <w:r>
              <w:rPr>
                <w:rStyle w:val="FormatvorlageInstructionsTabelleText"/>
                <w:rFonts w:ascii="Times New Roman" w:hAnsi="Times New Roman"/>
                <w:sz w:val="24"/>
              </w:rPr>
              <w:t>tés du secteur financier (telles que définies à l'article 4, paragraphe 1, point 27), du CRR) dans lesquelles il ne détient pas d'investissement impo</w:t>
            </w:r>
            <w:r>
              <w:rPr>
                <w:rStyle w:val="FormatvorlageInstructionsTabelleText"/>
                <w:rFonts w:ascii="Times New Roman" w:hAnsi="Times New Roman"/>
                <w:sz w:val="24"/>
              </w:rPr>
              <w:t>r</w:t>
            </w:r>
            <w:r>
              <w:rPr>
                <w:rStyle w:val="FormatvorlageInstructionsTabelleText"/>
                <w:rFonts w:ascii="Times New Roman" w:hAnsi="Times New Roman"/>
                <w:sz w:val="24"/>
              </w:rPr>
              <w:t>tant qui doit être déduite des fonds propres additionnels de catégorie 1.</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sidR="00E279A8">
              <w:rPr>
                <w:rStyle w:val="InstructionsTabelleberschrift"/>
                <w:rFonts w:ascii="Times New Roman" w:hAnsi="Times New Roman"/>
                <w:sz w:val="24"/>
              </w:rPr>
              <w:tab/>
            </w:r>
            <w:r>
              <w:rPr>
                <w:rStyle w:val="InstructionsTabelleberschrift"/>
                <w:rFonts w:ascii="Times New Roman" w:hAnsi="Times New Roman"/>
                <w:sz w:val="24"/>
              </w:rPr>
              <w:t>(-) Instruments AT1 d'entités du secteur financier dans lesquelles l'établissement détient un investissement important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27, article 56, point d), et articles 59 et 79 du CRR</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détentions de l'établissement dans des instruments de fonds propres a</w:t>
            </w:r>
            <w:r>
              <w:rPr>
                <w:rStyle w:val="FormatvorlageInstructionsTabelleText"/>
                <w:rFonts w:ascii="Times New Roman" w:hAnsi="Times New Roman"/>
                <w:sz w:val="24"/>
              </w:rPr>
              <w:t>d</w:t>
            </w:r>
            <w:r>
              <w:rPr>
                <w:rStyle w:val="FormatvorlageInstructionsTabelleText"/>
                <w:rFonts w:ascii="Times New Roman" w:hAnsi="Times New Roman"/>
                <w:sz w:val="24"/>
              </w:rPr>
              <w:t>ditionnels de catégorie 1 d'entités du secteur financier (telles que définies à l'article 4, paragraphe 1, point 27), du CRR) dans lesquelles il détient un i</w:t>
            </w:r>
            <w:r>
              <w:rPr>
                <w:rStyle w:val="FormatvorlageInstructionsTabelleText"/>
                <w:rFonts w:ascii="Times New Roman" w:hAnsi="Times New Roman"/>
                <w:sz w:val="24"/>
              </w:rPr>
              <w:t>n</w:t>
            </w:r>
            <w:r>
              <w:rPr>
                <w:rStyle w:val="FormatvorlageInstructionsTabelleText"/>
                <w:rFonts w:ascii="Times New Roman" w:hAnsi="Times New Roman"/>
                <w:sz w:val="24"/>
              </w:rPr>
              <w:t>vestissement important seront intégralement déduites.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sidR="00E279A8">
              <w:rPr>
                <w:rStyle w:val="InstructionsTabelleberschrift"/>
                <w:rFonts w:ascii="Times New Roman" w:hAnsi="Times New Roman"/>
                <w:sz w:val="24"/>
              </w:rPr>
              <w:tab/>
            </w:r>
            <w:r>
              <w:rPr>
                <w:rStyle w:val="InstructionsTabelleberschrift"/>
                <w:rFonts w:ascii="Times New Roman" w:hAnsi="Times New Roman"/>
                <w:sz w:val="24"/>
              </w:rPr>
              <w:t xml:space="preserve">(-) Excédent de déduction d'éléments T2 sur les fonds propres T2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56, point e), du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provient directement du poste CA1 «Éléments devant être déduits des éléments de fonds propres de catégorie 2 qui excèdent les fonds propres de catégorie 2 de l'établissement» (déduit des AT1).</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sidR="00E279A8">
              <w:rPr>
                <w:rStyle w:val="InstructionsTabelleberschrift"/>
                <w:rFonts w:ascii="Times New Roman" w:hAnsi="Times New Roman"/>
                <w:sz w:val="24"/>
              </w:rPr>
              <w:tab/>
            </w:r>
            <w:r>
              <w:rPr>
                <w:rStyle w:val="InstructionsTabelleberschrift"/>
                <w:rFonts w:ascii="Times New Roman" w:hAnsi="Times New Roman"/>
                <w:sz w:val="24"/>
              </w:rPr>
              <w:t xml:space="preserve">Autres ajustements transitoires applicables aux fonds propres </w:t>
            </w:r>
            <w:r>
              <w:rPr>
                <w:rStyle w:val="InstructionsTabelleberschrift"/>
                <w:rFonts w:ascii="Times New Roman" w:hAnsi="Times New Roman"/>
                <w:sz w:val="24"/>
              </w:rPr>
              <w:lastRenderedPageBreak/>
              <w:t>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474, 475, 478 et 481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dus aux dispositions transitoires. Le montant à déclarer pr</w:t>
            </w:r>
            <w:r>
              <w:rPr>
                <w:rStyle w:val="FormatvorlageInstructionsTabelleText"/>
                <w:rFonts w:ascii="Times New Roman" w:hAnsi="Times New Roman"/>
                <w:sz w:val="24"/>
              </w:rPr>
              <w:t>o</w:t>
            </w:r>
            <w:r>
              <w:rPr>
                <w:rStyle w:val="FormatvorlageInstructionsTabelleText"/>
                <w:rFonts w:ascii="Times New Roman" w:hAnsi="Times New Roman"/>
                <w:sz w:val="24"/>
              </w:rPr>
              <w:t>vient directement du modèle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sidR="00E279A8">
              <w:rPr>
                <w:rStyle w:val="InstructionsTabelleberschrift"/>
                <w:rFonts w:ascii="Times New Roman" w:hAnsi="Times New Roman"/>
                <w:sz w:val="24"/>
              </w:rPr>
              <w:tab/>
            </w:r>
            <w:r>
              <w:rPr>
                <w:rStyle w:val="InstructionsTabelleberschrift"/>
                <w:rFonts w:ascii="Times New Roman" w:hAnsi="Times New Roman"/>
                <w:sz w:val="24"/>
              </w:rPr>
              <w:t>Excédent de déduction d'éléments AT1 sur les fonds propres AT1 (déduit des CET1)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j), du CRR</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les fonds propres additionnels de catégorie 1 ne peuvent être négatifs, il se peut toutefois que les déductions de fonds propres additionnels de catégorie 1 soient plus conséquentes que les fonds propres additionnels de catégorie 1 augmentés de la prime d'émission. Si tel est le cas, les fonds propres add</w:t>
            </w:r>
            <w:r>
              <w:rPr>
                <w:rStyle w:val="FormatvorlageInstructionsTabelleText"/>
                <w:rFonts w:ascii="Times New Roman" w:hAnsi="Times New Roman"/>
                <w:sz w:val="24"/>
              </w:rPr>
              <w:t>i</w:t>
            </w:r>
            <w:r>
              <w:rPr>
                <w:rStyle w:val="FormatvorlageInstructionsTabelleText"/>
                <w:rFonts w:ascii="Times New Roman" w:hAnsi="Times New Roman"/>
                <w:sz w:val="24"/>
              </w:rPr>
              <w:t>tionnels de catégorie 1 seront égaux à 0, tandis que le montant excédentaire des déductions de fonds propres additionnels de catégorie 1 sera déduit des fonds propres de base de catégorie 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ce poste, la somme des éléments 1.1.2.1 à 1.1.2.12 ne peut jamais être inférieure à 0. Dès lors, si ce poste affiche une valeur positive, la valeur i</w:t>
            </w:r>
            <w:r>
              <w:rPr>
                <w:rStyle w:val="FormatvorlageInstructionsTabelleText"/>
                <w:rFonts w:ascii="Times New Roman" w:hAnsi="Times New Roman"/>
                <w:sz w:val="24"/>
              </w:rPr>
              <w:t>n</w:t>
            </w:r>
            <w:r>
              <w:rPr>
                <w:rStyle w:val="FormatvorlageInstructionsTabelleText"/>
                <w:rFonts w:ascii="Times New Roman" w:hAnsi="Times New Roman"/>
                <w:sz w:val="24"/>
              </w:rPr>
              <w:t>diquée au point 1.1.1.16 sera l'inverse de ce chiffre.</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744</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sidR="00E279A8">
              <w:rPr>
                <w:rStyle w:val="InstructionsTabelleberschrift"/>
                <w:rFonts w:ascii="Times New Roman" w:hAnsi="Times New Roman"/>
                <w:sz w:val="24"/>
              </w:rPr>
              <w:tab/>
            </w:r>
            <w:r>
              <w:rPr>
                <w:rStyle w:val="InstructionsTabelleberschrift"/>
                <w:rFonts w:ascii="Times New Roman" w:hAnsi="Times New Roman"/>
                <w:sz w:val="24"/>
              </w:rPr>
              <w:t>(-) Déductions supplémentaires de fonds propres AT1 en vertu de l'article 3 du CRR</w:t>
            </w:r>
          </w:p>
          <w:p w:rsidR="005643EA" w:rsidRPr="007E39E6"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3 du CRR</w:t>
            </w:r>
          </w:p>
        </w:tc>
      </w:tr>
      <w:tr w:rsidR="00A86EB4" w:rsidRPr="00392FFD" w:rsidTr="00672D2A">
        <w:tc>
          <w:tcPr>
            <w:tcW w:w="1129" w:type="dxa"/>
          </w:tcPr>
          <w:p w:rsidR="00A86EB4" w:rsidRPr="00392FFD" w:rsidRDefault="008F5B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748</w:t>
            </w:r>
          </w:p>
        </w:tc>
        <w:tc>
          <w:tcPr>
            <w:tcW w:w="7620" w:type="dxa"/>
          </w:tcPr>
          <w:p w:rsidR="005643EA" w:rsidRPr="007E39E6" w:rsidRDefault="008F5BFE"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sidR="00E279A8">
              <w:rPr>
                <w:rStyle w:val="InstructionsTabelleberschrift"/>
                <w:rFonts w:ascii="Times New Roman" w:hAnsi="Times New Roman"/>
                <w:sz w:val="24"/>
              </w:rPr>
              <w:tab/>
            </w:r>
            <w:r>
              <w:rPr>
                <w:rStyle w:val="InstructionsTabelleberschrift"/>
                <w:rFonts w:ascii="Times New Roman" w:hAnsi="Times New Roman"/>
                <w:sz w:val="24"/>
              </w:rPr>
              <w:t>Éléments de fonds propres AT1 ou déductions - autres</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Cette ligne est destinée à permettre une certaine flexibilité uniquement à des fins de déclaration. Elle ne sera remplie que dans les rares cas où aucune d</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cision finale n'a été prise pour la déclaration d'éléments/de déductions spéc</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fiques de fonds propres dans le modèle CA1 actuel. En conséquence, cette ligne ne sera remplie que lorsqu'un élément ou une déduction de fonds propres additionnels de catégorie 1 ne peut être imputé dans une des lignes 530 à 744.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Cette cellule n'est pas utilisée pour le calcul des ratios de solvabilité des éléments/des déductions de fonds propres qui ne sont pas couverts par le CRR (par ex. attribution d'éléments/déductions de fonds propres nationaux hors du périmètre du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00E279A8">
              <w:rPr>
                <w:rStyle w:val="InstructionsTabelleberschrift"/>
                <w:rFonts w:ascii="Times New Roman" w:hAnsi="Times New Roman"/>
                <w:sz w:val="24"/>
              </w:rPr>
              <w:tab/>
            </w:r>
            <w:r>
              <w:rPr>
                <w:rStyle w:val="InstructionsTabelleberschrift"/>
                <w:rFonts w:ascii="Times New Roman" w:hAnsi="Times New Roman"/>
                <w:sz w:val="24"/>
              </w:rPr>
              <w:t>FONDS PROPRES DE CATÉGORIE 2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71 du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004F1B8B">
              <w:rPr>
                <w:rStyle w:val="InstructionsTabelleberschrift"/>
                <w:rFonts w:ascii="Times New Roman" w:hAnsi="Times New Roman"/>
                <w:sz w:val="24"/>
              </w:rPr>
              <w:tab/>
            </w:r>
            <w:r>
              <w:rPr>
                <w:rStyle w:val="InstructionsTabelleberschrift"/>
                <w:rFonts w:ascii="Times New Roman" w:hAnsi="Times New Roman"/>
                <w:sz w:val="24"/>
              </w:rPr>
              <w:t>Instruments de capital et emprunts subordonnés éligibles en tant que fonds propres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62, point a), articles 63 à 65, article 66, point a), et article 67 du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004F1B8B">
              <w:rPr>
                <w:rStyle w:val="InstructionsTabelleberschrift"/>
                <w:rFonts w:ascii="Times New Roman" w:hAnsi="Times New Roman"/>
                <w:sz w:val="24"/>
              </w:rPr>
              <w:tab/>
            </w:r>
            <w:r>
              <w:rPr>
                <w:rStyle w:val="InstructionsTabelleberschrift"/>
                <w:rFonts w:ascii="Times New Roman" w:hAnsi="Times New Roman"/>
                <w:sz w:val="24"/>
              </w:rPr>
              <w:t>Instruments de capital versés</w:t>
            </w:r>
            <w:r>
              <w:t xml:space="preserve"> </w:t>
            </w:r>
            <w:r>
              <w:rPr>
                <w:rStyle w:val="InstructionsTabelleberschrift"/>
                <w:rFonts w:ascii="Times New Roman" w:hAnsi="Times New Roman"/>
                <w:sz w:val="24"/>
              </w:rPr>
              <w:t>et emprunts subordonnés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62, point a), et articles 63 et 65 du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w:t>
            </w:r>
            <w:r>
              <w:rPr>
                <w:rStyle w:val="FormatvorlageInstructionsTabelleText"/>
                <w:rFonts w:ascii="Times New Roman" w:hAnsi="Times New Roman"/>
                <w:sz w:val="24"/>
              </w:rPr>
              <w:t>u</w:t>
            </w:r>
            <w:r>
              <w:rPr>
                <w:rStyle w:val="FormatvorlageInstructionsTabelleText"/>
                <w:rFonts w:ascii="Times New Roman" w:hAnsi="Times New Roman"/>
                <w:sz w:val="24"/>
              </w:rPr>
              <w:t>ments.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sidR="004F1B8B">
              <w:rPr>
                <w:rStyle w:val="InstructionsTabelleberschrift"/>
                <w:rFonts w:ascii="Times New Roman" w:hAnsi="Times New Roman"/>
                <w:sz w:val="24"/>
              </w:rPr>
              <w:tab/>
            </w:r>
            <w:r>
              <w:rPr>
                <w:rStyle w:val="InstructionsTabelleberschrift"/>
                <w:rFonts w:ascii="Times New Roman" w:hAnsi="Times New Roman"/>
                <w:sz w:val="24"/>
              </w:rPr>
              <w:t>Pour mémoire: Instruments de capital</w:t>
            </w:r>
            <w:r>
              <w:t xml:space="preserve"> </w:t>
            </w:r>
            <w:r>
              <w:rPr>
                <w:rStyle w:val="InstructionsTabelleberschrift"/>
                <w:rFonts w:ascii="Times New Roman" w:hAnsi="Times New Roman"/>
                <w:sz w:val="24"/>
              </w:rPr>
              <w:t>et emprunts s</w:t>
            </w:r>
            <w:r>
              <w:rPr>
                <w:rStyle w:val="InstructionsTabelleberschrift"/>
                <w:rFonts w:ascii="Times New Roman" w:hAnsi="Times New Roman"/>
                <w:sz w:val="24"/>
              </w:rPr>
              <w:t>u</w:t>
            </w:r>
            <w:r>
              <w:rPr>
                <w:rStyle w:val="InstructionsTabelleberschrift"/>
                <w:rFonts w:ascii="Times New Roman" w:hAnsi="Times New Roman"/>
                <w:sz w:val="24"/>
              </w:rPr>
              <w:t>bordonnés non éligibles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63, points c), e) et f), et article 64 du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Dans ces points, les conditions traduisent diverses situations réversibles pour le capital. Dès lors, le montant déclaré ici peut être éligible au cours des p</w:t>
            </w:r>
            <w:r>
              <w:rPr>
                <w:rStyle w:val="FormatvorlageInstructionsTabelleText"/>
                <w:rFonts w:ascii="Times New Roman" w:hAnsi="Times New Roman"/>
                <w:sz w:val="24"/>
              </w:rPr>
              <w:t>é</w:t>
            </w:r>
            <w:r>
              <w:rPr>
                <w:rStyle w:val="FormatvorlageInstructionsTabelleText"/>
                <w:rFonts w:ascii="Times New Roman" w:hAnsi="Times New Roman"/>
                <w:sz w:val="24"/>
              </w:rPr>
              <w:t>riodes suivantes.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w:t>
            </w:r>
            <w:r>
              <w:rPr>
                <w:rStyle w:val="FormatvorlageInstructionsTabelleText"/>
                <w:rFonts w:ascii="Times New Roman" w:hAnsi="Times New Roman"/>
                <w:sz w:val="24"/>
              </w:rPr>
              <w:t>u</w:t>
            </w:r>
            <w:r>
              <w:rPr>
                <w:rStyle w:val="FormatvorlageInstructionsTabelleText"/>
                <w:rFonts w:ascii="Times New Roman" w:hAnsi="Times New Roman"/>
                <w:sz w:val="24"/>
              </w:rPr>
              <w:t>ments.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sidR="004F1B8B">
              <w:rPr>
                <w:rStyle w:val="InstructionsTabelleberschrift"/>
                <w:rFonts w:ascii="Times New Roman" w:hAnsi="Times New Roman"/>
                <w:sz w:val="24"/>
              </w:rPr>
              <w:tab/>
            </w:r>
            <w:r>
              <w:rPr>
                <w:rStyle w:val="InstructionsTabelleberschrift"/>
                <w:rFonts w:ascii="Times New Roman" w:hAnsi="Times New Roman"/>
                <w:sz w:val="24"/>
              </w:rPr>
              <w:t>Prime d'émission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62, point b), et article 65 du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terme «prime d'émission» a la même signification que celle utilisée par la norme comptable applicable. </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à ce poste est la part liée aux «Instruments de capital versés».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sidR="004F1B8B">
              <w:rPr>
                <w:rStyle w:val="InstructionsTabelleberschrift"/>
                <w:rFonts w:ascii="Times New Roman" w:hAnsi="Times New Roman"/>
                <w:sz w:val="24"/>
              </w:rPr>
              <w:tab/>
            </w:r>
            <w:r>
              <w:rPr>
                <w:rStyle w:val="InstructionsTabelleberschrift"/>
                <w:rFonts w:ascii="Times New Roman" w:hAnsi="Times New Roman"/>
                <w:sz w:val="24"/>
              </w:rPr>
              <w:t>(-) Propres instruments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63, point b) i), article 66, point a), et article 67 du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Propres instruments de fonds propres de catégorie 2 détenus par l'établiss</w:t>
            </w:r>
            <w:r>
              <w:rPr>
                <w:rStyle w:val="FormatvorlageInstructionsTabelleText"/>
                <w:rFonts w:ascii="Times New Roman" w:hAnsi="Times New Roman"/>
                <w:sz w:val="24"/>
              </w:rPr>
              <w:t>e</w:t>
            </w:r>
            <w:r>
              <w:rPr>
                <w:rStyle w:val="FormatvorlageInstructionsTabelleText"/>
                <w:rFonts w:ascii="Times New Roman" w:hAnsi="Times New Roman"/>
                <w:sz w:val="24"/>
              </w:rPr>
              <w:t>ment ou le groupe déclarant à la date de déclaration. Poste soumis aux e</w:t>
            </w:r>
            <w:r>
              <w:rPr>
                <w:rStyle w:val="FormatvorlageInstructionsTabelleText"/>
                <w:rFonts w:ascii="Times New Roman" w:hAnsi="Times New Roman"/>
                <w:sz w:val="24"/>
              </w:rPr>
              <w:t>x</w:t>
            </w:r>
            <w:r>
              <w:rPr>
                <w:rStyle w:val="FormatvorlageInstructionsTabelleText"/>
                <w:rFonts w:ascii="Times New Roman" w:hAnsi="Times New Roman"/>
                <w:sz w:val="24"/>
              </w:rPr>
              <w:t>ceptions de l'article 67 du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détention d'actions intégrées aux «Instruments de capital non éligibles» ne figurera pas dans cette ligne.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intègre la prime d'émission liée aux actions propres.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points 1.2.1.4 à 1.2.1.4.3 ne comprennent pas les propres instruments de fonds propres de catégorie 2 que l'établissement a l'obligation réelle ou éve</w:t>
            </w:r>
            <w:r>
              <w:rPr>
                <w:rStyle w:val="FormatvorlageInstructionsTabelleText"/>
                <w:rFonts w:ascii="Times New Roman" w:hAnsi="Times New Roman"/>
                <w:sz w:val="24"/>
              </w:rPr>
              <w:t>n</w:t>
            </w:r>
            <w:r>
              <w:rPr>
                <w:rStyle w:val="FormatvorlageInstructionsTabelleText"/>
                <w:rFonts w:ascii="Times New Roman" w:hAnsi="Times New Roman"/>
                <w:sz w:val="24"/>
              </w:rPr>
              <w:t>tuelle d'acquérir. Ces instruments de fonds propres de base de catégorie 2 que l'établissement a</w:t>
            </w:r>
            <w:r>
              <w:rPr>
                <w:rStyle w:val="FormatvorlageInstructionsTabelleText"/>
                <w:rFonts w:ascii="Times New Roman" w:hAnsi="Times New Roman"/>
                <w:sz w:val="24"/>
              </w:rPr>
              <w:br/>
              <w:t xml:space="preserve"> l'obligation réelle ou éventuelle d'acquérir seront déclarés séparément au point 1.2.1.5.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sidR="0025029E">
              <w:rPr>
                <w:rStyle w:val="InstructionsTabelleberschrift"/>
                <w:rFonts w:ascii="Times New Roman" w:hAnsi="Times New Roman"/>
                <w:sz w:val="24"/>
              </w:rPr>
              <w:tab/>
            </w:r>
            <w:r>
              <w:rPr>
                <w:rStyle w:val="InstructionsTabelleberschrift"/>
                <w:rFonts w:ascii="Times New Roman" w:hAnsi="Times New Roman"/>
                <w:sz w:val="24"/>
              </w:rPr>
              <w:t>(-) Détentions directes d'instruments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63, point b), article 66, point a), et article 67 du CRR</w:t>
            </w:r>
          </w:p>
          <w:p w:rsidR="005643EA" w:rsidRPr="007E39E6"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Instruments de fonds propres de catégorie 2 inclus au point 1.2.1.1, détenus par les établissements du groupe consolidé. </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sidR="0025029E">
              <w:rPr>
                <w:rStyle w:val="InstructionsTabelleberschrift"/>
                <w:rFonts w:ascii="Times New Roman" w:hAnsi="Times New Roman"/>
                <w:sz w:val="24"/>
              </w:rPr>
              <w:tab/>
            </w:r>
            <w:r>
              <w:rPr>
                <w:rStyle w:val="InstructionsTabelleberschrift"/>
                <w:rFonts w:ascii="Times New Roman" w:hAnsi="Times New Roman"/>
                <w:sz w:val="24"/>
              </w:rPr>
              <w:t>(-) Détentions indirectes d'instruments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114, article 63, point b), article 66, point a), et article 67 du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841</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sidR="0025029E">
              <w:rPr>
                <w:rStyle w:val="InstructionsTabelleberschrift"/>
                <w:rFonts w:ascii="Times New Roman" w:hAnsi="Times New Roman"/>
                <w:sz w:val="24"/>
              </w:rPr>
              <w:tab/>
            </w:r>
            <w:r>
              <w:rPr>
                <w:rStyle w:val="InstructionsTabelleberschrift"/>
                <w:rFonts w:ascii="Times New Roman" w:hAnsi="Times New Roman"/>
                <w:sz w:val="24"/>
              </w:rPr>
              <w:t>(-) Détentions synthétiques d'instruments T2</w:t>
            </w:r>
          </w:p>
          <w:p w:rsidR="005643EA" w:rsidRPr="007E39E6"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Article 4, paragraphe 1, point 126, article 63, point b), article 66, point a), et article 67 du CRR</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842</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sidR="0025029E">
              <w:rPr>
                <w:rStyle w:val="InstructionsTabelleberschrift"/>
                <w:rFonts w:ascii="Times New Roman" w:hAnsi="Times New Roman"/>
                <w:sz w:val="24"/>
              </w:rPr>
              <w:tab/>
            </w:r>
            <w:r>
              <w:rPr>
                <w:rStyle w:val="InstructionsTabelleberschrift"/>
                <w:rFonts w:ascii="Times New Roman" w:hAnsi="Times New Roman"/>
                <w:sz w:val="24"/>
              </w:rPr>
              <w:t>(–) Obligations réelles ou éventuelles d'acquérir ses propres in</w:t>
            </w:r>
            <w:r>
              <w:rPr>
                <w:rStyle w:val="InstructionsTabelleberschrift"/>
                <w:rFonts w:ascii="Times New Roman" w:hAnsi="Times New Roman"/>
                <w:sz w:val="24"/>
              </w:rPr>
              <w:t>s</w:t>
            </w:r>
            <w:r>
              <w:rPr>
                <w:rStyle w:val="InstructionsTabelleberschrift"/>
                <w:rFonts w:ascii="Times New Roman" w:hAnsi="Times New Roman"/>
                <w:sz w:val="24"/>
              </w:rPr>
              <w:t>truments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Article 66, point a), et article 67 du CRR</w:t>
            </w:r>
          </w:p>
          <w:p w:rsidR="005643EA" w:rsidRPr="007E39E6" w:rsidRDefault="00A86EB4"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Conformément à l'article 66, point a), du CRR, «</w:t>
            </w:r>
            <w:r>
              <w:t>les propres instruments de fonds propres de catégorie 2 que l'établissement est susceptible de devoir acheter en vertu d'une obligation contractuelle existante» seront déduits.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sidR="0025029E">
              <w:rPr>
                <w:rStyle w:val="InstructionsTabelleberschrift"/>
                <w:rFonts w:ascii="Times New Roman" w:hAnsi="Times New Roman"/>
                <w:sz w:val="24"/>
              </w:rPr>
              <w:tab/>
            </w:r>
            <w:r>
              <w:rPr>
                <w:rStyle w:val="InstructionsTabelleberschrift"/>
                <w:rFonts w:ascii="Times New Roman" w:hAnsi="Times New Roman"/>
                <w:sz w:val="24"/>
              </w:rPr>
              <w:t>Ajustements transitoires relatifs aux instruments de capital T2 et emprunts subordonnés bénéficiant d'une clause d'antériorité</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483, paragraphes 6 et 7, et articles 484, 486, 488, 490 et 491 du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instruments de capital restant à titre transitoire éligibles en tant que fonds propres de catégorie 2 en vertu d'une clause d'antériorité. Le mo</w:t>
            </w:r>
            <w:r>
              <w:rPr>
                <w:rStyle w:val="FormatvorlageInstructionsTabelleText"/>
                <w:rFonts w:ascii="Times New Roman" w:hAnsi="Times New Roman"/>
                <w:sz w:val="24"/>
              </w:rPr>
              <w:t>n</w:t>
            </w:r>
            <w:r>
              <w:rPr>
                <w:rStyle w:val="FormatvorlageInstructionsTabelleText"/>
                <w:rFonts w:ascii="Times New Roman" w:hAnsi="Times New Roman"/>
                <w:sz w:val="24"/>
              </w:rPr>
              <w:t>tant à déclarer provient directement du modèle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sidR="0025029E">
              <w:rPr>
                <w:rStyle w:val="InstructionsTabelleberschrift"/>
                <w:rFonts w:ascii="Times New Roman" w:hAnsi="Times New Roman"/>
                <w:sz w:val="24"/>
              </w:rPr>
              <w:tab/>
            </w:r>
            <w:r>
              <w:rPr>
                <w:rStyle w:val="InstructionsTabelleberschrift"/>
                <w:rFonts w:ascii="Times New Roman" w:hAnsi="Times New Roman"/>
                <w:sz w:val="24"/>
              </w:rPr>
              <w:t>Instruments émis par des filiales pris en compte dans les fonds propres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83, 87 et 88 du CRR</w:t>
            </w:r>
          </w:p>
          <w:p w:rsidR="00477CB6"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Somme de tous les fonds propres reconnaissables de filiales qui sont inclus dans les fonds propres de catégorie 2 consolidés.</w:t>
            </w:r>
          </w:p>
          <w:p w:rsidR="00543DBD"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fonds propres de catégorie 2 reconnaissables émis par une entité ad hoc (article 83 du CRR) sont inclus.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sidR="0025029E">
              <w:rPr>
                <w:rStyle w:val="InstructionsTabelleberschrift"/>
                <w:rFonts w:ascii="Times New Roman" w:hAnsi="Times New Roman"/>
                <w:sz w:val="24"/>
              </w:rPr>
              <w:tab/>
            </w:r>
            <w:r>
              <w:rPr>
                <w:rStyle w:val="InstructionsTabelleberschrift"/>
                <w:rFonts w:ascii="Times New Roman" w:hAnsi="Times New Roman"/>
                <w:sz w:val="24"/>
              </w:rPr>
              <w:t>Ajustements transitoires découlant de la prise en compte d'in</w:t>
            </w:r>
            <w:r>
              <w:rPr>
                <w:rStyle w:val="InstructionsTabelleberschrift"/>
                <w:rFonts w:ascii="Times New Roman" w:hAnsi="Times New Roman"/>
                <w:sz w:val="24"/>
              </w:rPr>
              <w:t>s</w:t>
            </w:r>
            <w:r>
              <w:rPr>
                <w:rStyle w:val="InstructionsTabelleberschrift"/>
                <w:rFonts w:ascii="Times New Roman" w:hAnsi="Times New Roman"/>
                <w:sz w:val="24"/>
              </w:rPr>
              <w:t>truments émis par des filiales dans les fonds propres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480 du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 des fonds propres reconnaissables inclus dans les fonds propres de catégorie 2 consolidés en raison de dispositions transitoires. Cet élément est directement issu du modèle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sidR="0025029E">
              <w:rPr>
                <w:rStyle w:val="InstructionsTabelleberschrift"/>
                <w:rFonts w:ascii="Times New Roman" w:hAnsi="Times New Roman"/>
                <w:sz w:val="24"/>
              </w:rPr>
              <w:tab/>
            </w:r>
            <w:r>
              <w:rPr>
                <w:rStyle w:val="InstructionsTabelleberschrift"/>
                <w:rFonts w:ascii="Times New Roman" w:hAnsi="Times New Roman"/>
                <w:sz w:val="24"/>
              </w:rPr>
              <w:t>Excès de provisions par rapport aux pertes anticipées éligible s</w:t>
            </w:r>
            <w:r>
              <w:rPr>
                <w:rStyle w:val="InstructionsTabelleberschrift"/>
                <w:rFonts w:ascii="Times New Roman" w:hAnsi="Times New Roman"/>
                <w:sz w:val="24"/>
              </w:rPr>
              <w:t>e</w:t>
            </w:r>
            <w:r>
              <w:rPr>
                <w:rStyle w:val="InstructionsTabelleberschrift"/>
                <w:rFonts w:ascii="Times New Roman" w:hAnsi="Times New Roman"/>
                <w:sz w:val="24"/>
              </w:rPr>
              <w:t>lon l'approche NI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62, point d), du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les établissements qui calculent les montants d'exposition pondérés conformément à l'approche NI, ce poste contient les montants positifs résu</w:t>
            </w:r>
            <w:r>
              <w:rPr>
                <w:rStyle w:val="FormatvorlageInstructionsTabelleText"/>
                <w:rFonts w:ascii="Times New Roman" w:hAnsi="Times New Roman"/>
                <w:sz w:val="24"/>
              </w:rPr>
              <w:t>l</w:t>
            </w:r>
            <w:r>
              <w:rPr>
                <w:rStyle w:val="FormatvorlageInstructionsTabelleText"/>
                <w:rFonts w:ascii="Times New Roman" w:hAnsi="Times New Roman"/>
                <w:sz w:val="24"/>
              </w:rPr>
              <w:t>tant de la comparaison entre les provisions et les pertes anticipées éligibles en tant que fonds propres de catégorie 2.</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sidR="0025029E">
              <w:rPr>
                <w:rStyle w:val="InstructionsTabelleberschrift"/>
                <w:rFonts w:ascii="Times New Roman" w:hAnsi="Times New Roman"/>
                <w:sz w:val="24"/>
              </w:rPr>
              <w:tab/>
            </w:r>
            <w:r>
              <w:rPr>
                <w:rStyle w:val="InstructionsTabelleberschrift"/>
                <w:rFonts w:ascii="Times New Roman" w:hAnsi="Times New Roman"/>
                <w:sz w:val="24"/>
              </w:rPr>
              <w:t>Ajustements pour risque de crédit général selon l'approche sta</w:t>
            </w:r>
            <w:r>
              <w:rPr>
                <w:rStyle w:val="InstructionsTabelleberschrift"/>
                <w:rFonts w:ascii="Times New Roman" w:hAnsi="Times New Roman"/>
                <w:sz w:val="24"/>
              </w:rPr>
              <w:t>n</w:t>
            </w:r>
            <w:r>
              <w:rPr>
                <w:rStyle w:val="InstructionsTabelleberschrift"/>
                <w:rFonts w:ascii="Times New Roman" w:hAnsi="Times New Roman"/>
                <w:sz w:val="24"/>
              </w:rPr>
              <w:t>dard (SA)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62, point c), du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les établissements qui calculent les montants d'exposition pondérés conformément à l'approche standard, ce poste contient les ajustements pour risque de crédit général éligibles en tant que fonds propres de catégorie 2.</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sidR="0025029E">
              <w:rPr>
                <w:rStyle w:val="InstructionsTabelleberschrift"/>
                <w:rFonts w:ascii="Times New Roman" w:hAnsi="Times New Roman"/>
                <w:sz w:val="24"/>
              </w:rPr>
              <w:tab/>
            </w:r>
            <w:r>
              <w:rPr>
                <w:rStyle w:val="InstructionsTabelleberschrift"/>
                <w:rFonts w:ascii="Times New Roman" w:hAnsi="Times New Roman"/>
                <w:sz w:val="24"/>
              </w:rPr>
              <w:t>(-) Détentions croisées de fonds propres T2</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122, article 66, point b), et article 68 du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Détentions d'instruments de fonds propres de catégorie 2 d'entités du secteur financier (telles que définies à l'article 4, paragraphe 1, point 27), du CRR) lorsqu'il existe une détention croisée que l'autorité compétente juge destinée </w:t>
            </w:r>
            <w:r>
              <w:rPr>
                <w:rStyle w:val="FormatvorlageInstructionsTabelleText"/>
                <w:rFonts w:ascii="Times New Roman" w:hAnsi="Times New Roman"/>
                <w:sz w:val="24"/>
              </w:rPr>
              <w:lastRenderedPageBreak/>
              <w:t>à accroître artificiellement les fonds propres de l'établissement.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sera calculé sur la base des positions longues brutes et intègrera les éléments de fonds propres de catégories 2 et 3 d'entités relevant du secteur de l'assurance.</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sidR="0025029E">
              <w:rPr>
                <w:rStyle w:val="InstructionsTabelleberschrift"/>
                <w:rFonts w:ascii="Times New Roman" w:hAnsi="Times New Roman"/>
                <w:sz w:val="24"/>
              </w:rPr>
              <w:tab/>
            </w:r>
            <w:r>
              <w:rPr>
                <w:rStyle w:val="InstructionsTabelleberschrift"/>
                <w:rFonts w:ascii="Times New Roman" w:hAnsi="Times New Roman"/>
                <w:sz w:val="24"/>
              </w:rPr>
              <w:t>(-) Instruments T2 d'entités du secteur financier dans lesquelles l'établissement ne détient pas d'investissement important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27, article 66, point c), articles 68 à 70 et a</w:t>
            </w:r>
            <w:r>
              <w:rPr>
                <w:rStyle w:val="FormatvorlageInstructionsTabelleText"/>
                <w:rFonts w:ascii="Times New Roman" w:hAnsi="Times New Roman"/>
                <w:sz w:val="24"/>
              </w:rPr>
              <w:t>r</w:t>
            </w:r>
            <w:r>
              <w:rPr>
                <w:rStyle w:val="FormatvorlageInstructionsTabelleText"/>
                <w:rFonts w:ascii="Times New Roman" w:hAnsi="Times New Roman"/>
                <w:sz w:val="24"/>
              </w:rPr>
              <w:t>ticle 79 du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 des détentions de l'établissement dans des instruments d'entités du se</w:t>
            </w:r>
            <w:r>
              <w:rPr>
                <w:rStyle w:val="FormatvorlageInstructionsTabelleText"/>
                <w:rFonts w:ascii="Times New Roman" w:hAnsi="Times New Roman"/>
                <w:sz w:val="24"/>
              </w:rPr>
              <w:t>c</w:t>
            </w:r>
            <w:r>
              <w:rPr>
                <w:rStyle w:val="FormatvorlageInstructionsTabelleText"/>
                <w:rFonts w:ascii="Times New Roman" w:hAnsi="Times New Roman"/>
                <w:sz w:val="24"/>
              </w:rPr>
              <w:t>teur financier (telles que définies à l'article 4, paragraphe 1, point 27), du CRR) dans lesquelles il ne détient pas d'investissement important qui doit être déduite des fonds propres de catégorie 2.</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sidR="0025029E">
              <w:rPr>
                <w:rStyle w:val="InstructionsTabelleberschrift"/>
                <w:rFonts w:ascii="Times New Roman" w:hAnsi="Times New Roman"/>
                <w:sz w:val="24"/>
              </w:rPr>
              <w:tab/>
            </w:r>
            <w:r>
              <w:rPr>
                <w:rStyle w:val="InstructionsTabelleberschrift"/>
                <w:rFonts w:ascii="Times New Roman" w:hAnsi="Times New Roman"/>
                <w:sz w:val="24"/>
              </w:rPr>
              <w:t>(-) Instruments T2 d'entités du secteur financier dans lesquelles l'établissement détient un investissement important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27, article 66, point d), et articles 68, 69 et 79 du CRR</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détentions de l'établissement dans des instruments de fonds propres de catégorie 2 d'entités du secteur financier (telles que définies à l'article 4, p</w:t>
            </w:r>
            <w:r>
              <w:rPr>
                <w:rStyle w:val="FormatvorlageInstructionsTabelleText"/>
                <w:rFonts w:ascii="Times New Roman" w:hAnsi="Times New Roman"/>
                <w:sz w:val="24"/>
              </w:rPr>
              <w:t>a</w:t>
            </w:r>
            <w:r>
              <w:rPr>
                <w:rStyle w:val="FormatvorlageInstructionsTabelleText"/>
                <w:rFonts w:ascii="Times New Roman" w:hAnsi="Times New Roman"/>
                <w:sz w:val="24"/>
              </w:rPr>
              <w:t>ragraphe 1, point 27), du CRR) dans lesquelles il détient un investissement important seront intégralement déduites.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sidR="0025029E">
              <w:rPr>
                <w:rStyle w:val="InstructionsTabelleberschrift"/>
                <w:rFonts w:ascii="Times New Roman" w:hAnsi="Times New Roman"/>
                <w:sz w:val="24"/>
              </w:rPr>
              <w:tab/>
            </w:r>
            <w:r>
              <w:rPr>
                <w:rStyle w:val="InstructionsTabelleberschrift"/>
                <w:rFonts w:ascii="Times New Roman" w:hAnsi="Times New Roman"/>
                <w:sz w:val="24"/>
              </w:rPr>
              <w:t>Autres ajustements transitoires applicables aux fonds propres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476 à 478 et article 481 du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dus aux dispositions transitoires. Le montant à déclarer pr</w:t>
            </w:r>
            <w:r>
              <w:rPr>
                <w:rStyle w:val="FormatvorlageInstructionsTabelleText"/>
                <w:rFonts w:ascii="Times New Roman" w:hAnsi="Times New Roman"/>
                <w:sz w:val="24"/>
              </w:rPr>
              <w:t>o</w:t>
            </w:r>
            <w:r>
              <w:rPr>
                <w:rStyle w:val="FormatvorlageInstructionsTabelleText"/>
                <w:rFonts w:ascii="Times New Roman" w:hAnsi="Times New Roman"/>
                <w:sz w:val="24"/>
              </w:rPr>
              <w:t>vient directement du modèle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0025029E">
              <w:rPr>
                <w:rStyle w:val="InstructionsTabelleberschrift"/>
                <w:rFonts w:ascii="Times New Roman" w:hAnsi="Times New Roman"/>
                <w:sz w:val="24"/>
              </w:rPr>
              <w:tab/>
            </w:r>
            <w:r>
              <w:rPr>
                <w:rStyle w:val="InstructionsTabelleberschrift"/>
                <w:rFonts w:ascii="Times New Roman" w:hAnsi="Times New Roman"/>
                <w:sz w:val="24"/>
              </w:rPr>
              <w:t>Excédent de déduction d'éléments T2 sur les fonds propres T2 (déduit des AT1)</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56, point e), du CRR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les fonds propres de catégorie 2 ne peuvent être négatifs, il se peut tout</w:t>
            </w:r>
            <w:r>
              <w:rPr>
                <w:rStyle w:val="FormatvorlageInstructionsTabelleText"/>
                <w:rFonts w:ascii="Times New Roman" w:hAnsi="Times New Roman"/>
                <w:sz w:val="24"/>
              </w:rPr>
              <w:t>e</w:t>
            </w:r>
            <w:r>
              <w:rPr>
                <w:rStyle w:val="FormatvorlageInstructionsTabelleText"/>
                <w:rFonts w:ascii="Times New Roman" w:hAnsi="Times New Roman"/>
                <w:sz w:val="24"/>
              </w:rPr>
              <w:t>fois que les déductions de fonds propres de catégorie 2 soient plus cons</w:t>
            </w:r>
            <w:r>
              <w:rPr>
                <w:rStyle w:val="FormatvorlageInstructionsTabelleText"/>
                <w:rFonts w:ascii="Times New Roman" w:hAnsi="Times New Roman"/>
                <w:sz w:val="24"/>
              </w:rPr>
              <w:t>é</w:t>
            </w:r>
            <w:r>
              <w:rPr>
                <w:rStyle w:val="FormatvorlageInstructionsTabelleText"/>
                <w:rFonts w:ascii="Times New Roman" w:hAnsi="Times New Roman"/>
                <w:sz w:val="24"/>
              </w:rPr>
              <w:t>quentes que les fonds propres de catégorie 2 augmentés de la prime d'émi</w:t>
            </w:r>
            <w:r>
              <w:rPr>
                <w:rStyle w:val="FormatvorlageInstructionsTabelleText"/>
                <w:rFonts w:ascii="Times New Roman" w:hAnsi="Times New Roman"/>
                <w:sz w:val="24"/>
              </w:rPr>
              <w:t>s</w:t>
            </w:r>
            <w:r>
              <w:rPr>
                <w:rStyle w:val="FormatvorlageInstructionsTabelleText"/>
                <w:rFonts w:ascii="Times New Roman" w:hAnsi="Times New Roman"/>
                <w:sz w:val="24"/>
              </w:rPr>
              <w:t>sion. Si tel est le cas, les fonds propres de catégorie 2 seront égaux à 0, ta</w:t>
            </w:r>
            <w:r>
              <w:rPr>
                <w:rStyle w:val="FormatvorlageInstructionsTabelleText"/>
                <w:rFonts w:ascii="Times New Roman" w:hAnsi="Times New Roman"/>
                <w:sz w:val="24"/>
              </w:rPr>
              <w:t>n</w:t>
            </w:r>
            <w:r>
              <w:rPr>
                <w:rStyle w:val="FormatvorlageInstructionsTabelleText"/>
                <w:rFonts w:ascii="Times New Roman" w:hAnsi="Times New Roman"/>
                <w:sz w:val="24"/>
              </w:rPr>
              <w:t>dis que le montant excédentaire des déductions de fonds propres de catég</w:t>
            </w:r>
            <w:r>
              <w:rPr>
                <w:rStyle w:val="FormatvorlageInstructionsTabelleText"/>
                <w:rFonts w:ascii="Times New Roman" w:hAnsi="Times New Roman"/>
                <w:sz w:val="24"/>
              </w:rPr>
              <w:t>o</w:t>
            </w:r>
            <w:r>
              <w:rPr>
                <w:rStyle w:val="FormatvorlageInstructionsTabelleText"/>
                <w:rFonts w:ascii="Times New Roman" w:hAnsi="Times New Roman"/>
                <w:sz w:val="24"/>
              </w:rPr>
              <w:t>rie 2 sera déduit des fonds propres additionnels de catégorie 1.</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ce poste, la somme des éléments 1.2.1 à 1.2.13 ne peut jamais être inf</w:t>
            </w:r>
            <w:r>
              <w:rPr>
                <w:rStyle w:val="FormatvorlageInstructionsTabelleText"/>
                <w:rFonts w:ascii="Times New Roman" w:hAnsi="Times New Roman"/>
                <w:sz w:val="24"/>
              </w:rPr>
              <w:t>é</w:t>
            </w:r>
            <w:r>
              <w:rPr>
                <w:rStyle w:val="FormatvorlageInstructionsTabelleText"/>
                <w:rFonts w:ascii="Times New Roman" w:hAnsi="Times New Roman"/>
                <w:sz w:val="24"/>
              </w:rPr>
              <w:t>rieure à 0. Dès lors, si ce poste affiche une valeur positive, la valeur indiquée au poste 1.1.2.8 sera l'inverse de ce chiffre.</w:t>
            </w:r>
          </w:p>
        </w:tc>
      </w:tr>
      <w:tr w:rsidR="00BD687C" w:rsidRPr="00392FFD" w:rsidTr="00672D2A">
        <w:tc>
          <w:tcPr>
            <w:tcW w:w="1129" w:type="dxa"/>
          </w:tcPr>
          <w:p w:rsidR="00BD687C" w:rsidRPr="00392FFD" w:rsidDel="00BD687C"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974</w:t>
            </w:r>
          </w:p>
        </w:tc>
        <w:tc>
          <w:tcPr>
            <w:tcW w:w="7620" w:type="dxa"/>
          </w:tcPr>
          <w:p w:rsidR="005643EA" w:rsidRPr="00392FFD" w:rsidRDefault="00BD68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sidR="0025029E">
              <w:rPr>
                <w:rStyle w:val="InstructionsTabelleberschrift"/>
                <w:rFonts w:ascii="Times New Roman" w:hAnsi="Times New Roman"/>
                <w:sz w:val="24"/>
              </w:rPr>
              <w:tab/>
            </w:r>
            <w:r>
              <w:rPr>
                <w:rStyle w:val="InstructionsTabelleberschrift"/>
                <w:rFonts w:ascii="Times New Roman" w:hAnsi="Times New Roman"/>
                <w:sz w:val="24"/>
              </w:rPr>
              <w:t>(-) Déductions supplémentaires de fonds propres T2 en vertu de l'article 3 du CRR</w:t>
            </w:r>
          </w:p>
          <w:p w:rsidR="005643EA" w:rsidRPr="007E39E6" w:rsidRDefault="00BD68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3 du CRR</w:t>
            </w:r>
          </w:p>
        </w:tc>
      </w:tr>
      <w:tr w:rsidR="00A86EB4" w:rsidRPr="00392FFD" w:rsidTr="00672D2A">
        <w:tc>
          <w:tcPr>
            <w:tcW w:w="1129" w:type="dxa"/>
          </w:tcPr>
          <w:p w:rsidR="00A86EB4" w:rsidRPr="00392FFD"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978</w:t>
            </w:r>
          </w:p>
        </w:tc>
        <w:tc>
          <w:tcPr>
            <w:tcW w:w="7620" w:type="dxa"/>
          </w:tcPr>
          <w:p w:rsidR="005643EA" w:rsidRPr="007E39E6"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sidR="0025029E">
              <w:rPr>
                <w:rStyle w:val="InstructionsTabelleberschrift"/>
                <w:rFonts w:ascii="Times New Roman" w:hAnsi="Times New Roman"/>
                <w:sz w:val="24"/>
              </w:rPr>
              <w:tab/>
            </w:r>
            <w:r>
              <w:rPr>
                <w:rStyle w:val="InstructionsTabelleberschrift"/>
                <w:rFonts w:ascii="Times New Roman" w:hAnsi="Times New Roman"/>
                <w:sz w:val="24"/>
              </w:rPr>
              <w:t xml:space="preserve">Éléments de fonds propres T2 ou déductions - autres </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Cette ligne est destinée à permettre une certaine flexibilité uniquement à des fins de déclaration. Elle ne sera remplie que dans les rares cas où aucune d</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lastRenderedPageBreak/>
              <w:t>cision finale n'a été prise pour la déclaration d'éléments/de déductions spéc</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fiques de fonds propres dans le modèle CA1 actuel. En conséquence, cette ligne ne sera remplie que lorsqu'un élément ou une déduction de fonds propres de catégorie 2 ne peut être imputé dans une des lignes 750 à 974.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Cette cellule n'est pas utilisée pour le calcul des ratios de solvabilité des éléments/des déductions de fonds propres qui ne sont pas couverts par le CRR (par ex. attribution d'éléments/déductions de fonds propres nationaux hors du périmètre du CRR).</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2" w:name="_Toc516210610"/>
      <w:bookmarkStart w:id="53" w:name="_Toc473560875"/>
      <w:bookmarkStart w:id="54" w:name="_Toc308175823"/>
      <w:bookmarkStart w:id="55" w:name="_Toc360188327"/>
      <w:bookmarkStart w:id="56" w:name="_Toc524104149"/>
      <w:r>
        <w:rPr>
          <w:rFonts w:ascii="Times New Roman" w:hAnsi="Times New Roman"/>
          <w:sz w:val="24"/>
          <w:u w:val="none"/>
        </w:rPr>
        <w:t>1.3.</w:t>
      </w:r>
      <w:r w:rsidRPr="0025029E">
        <w:rPr>
          <w:u w:val="none"/>
        </w:rPr>
        <w:tab/>
      </w:r>
      <w:r>
        <w:rPr>
          <w:rFonts w:ascii="Times New Roman" w:hAnsi="Times New Roman"/>
          <w:sz w:val="24"/>
        </w:rPr>
        <w:t>C 02.00 - EXIGENCES DE FONDS PROPRES (CA2)</w:t>
      </w:r>
      <w:bookmarkEnd w:id="52"/>
      <w:bookmarkEnd w:id="53"/>
      <w:bookmarkEnd w:id="56"/>
      <w:r>
        <w:rPr>
          <w:rFonts w:ascii="Times New Roman" w:hAnsi="Times New Roman"/>
          <w:sz w:val="24"/>
        </w:rPr>
        <w:t xml:space="preserve"> </w:t>
      </w:r>
      <w:bookmarkEnd w:id="54"/>
      <w:bookmarkEnd w:id="5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7" w:name="_Toc308175824"/>
      <w:bookmarkStart w:id="58" w:name="_Toc310414970"/>
      <w:bookmarkStart w:id="59" w:name="_Toc360188328"/>
      <w:bookmarkStart w:id="60" w:name="_Toc516210611"/>
      <w:bookmarkStart w:id="61" w:name="_Toc473560876"/>
      <w:bookmarkStart w:id="62" w:name="_Toc524104150"/>
      <w:r>
        <w:rPr>
          <w:rFonts w:ascii="Times New Roman" w:hAnsi="Times New Roman"/>
          <w:sz w:val="24"/>
          <w:u w:val="none"/>
        </w:rPr>
        <w:t>1.3.1.</w:t>
      </w:r>
      <w:r w:rsidRPr="0025029E">
        <w:rPr>
          <w:u w:val="none"/>
        </w:rPr>
        <w:tab/>
      </w:r>
      <w:r>
        <w:rPr>
          <w:rFonts w:ascii="Times New Roman" w:hAnsi="Times New Roman"/>
          <w:sz w:val="24"/>
        </w:rPr>
        <w:t xml:space="preserve">Instructions concernant certaines </w:t>
      </w:r>
      <w:bookmarkEnd w:id="57"/>
      <w:bookmarkEnd w:id="58"/>
      <w:r>
        <w:rPr>
          <w:rFonts w:ascii="Times New Roman" w:hAnsi="Times New Roman"/>
          <w:sz w:val="24"/>
        </w:rPr>
        <w:t>positions</w:t>
      </w:r>
      <w:bookmarkEnd w:id="59"/>
      <w:bookmarkEnd w:id="60"/>
      <w:bookmarkEnd w:id="61"/>
      <w:bookmarkEnd w:id="62"/>
    </w:p>
    <w:p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rsidTr="00672D2A">
        <w:tc>
          <w:tcPr>
            <w:tcW w:w="1591" w:type="dxa"/>
            <w:shd w:val="clear" w:color="auto" w:fill="D9D9D9"/>
          </w:tcPr>
          <w:p w:rsidR="002648B0" w:rsidRPr="00392FFD" w:rsidRDefault="002648B0" w:rsidP="00FD239F">
            <w:pPr>
              <w:pStyle w:val="InstructionsText"/>
            </w:pPr>
            <w:r>
              <w:t>Ligne</w:t>
            </w:r>
          </w:p>
        </w:tc>
        <w:tc>
          <w:tcPr>
            <w:tcW w:w="7274" w:type="dxa"/>
            <w:shd w:val="clear" w:color="auto" w:fill="D9D9D9"/>
          </w:tcPr>
          <w:p w:rsidR="005643EA" w:rsidRPr="00392FFD" w:rsidRDefault="002648B0" w:rsidP="00FD239F">
            <w:pPr>
              <w:pStyle w:val="InstructionsText"/>
            </w:pPr>
            <w:r>
              <w:t>Références légales et instructions</w:t>
            </w:r>
          </w:p>
        </w:tc>
      </w:tr>
      <w:tr w:rsidR="002648B0" w:rsidRPr="00392FFD" w:rsidTr="00672D2A">
        <w:tc>
          <w:tcPr>
            <w:tcW w:w="1591" w:type="dxa"/>
          </w:tcPr>
          <w:p w:rsidR="002648B0" w:rsidRPr="00392FFD" w:rsidRDefault="002648B0" w:rsidP="00FD239F">
            <w:pPr>
              <w:pStyle w:val="InstructionsText"/>
            </w:pPr>
            <w:r>
              <w:t>010</w:t>
            </w:r>
          </w:p>
        </w:tc>
        <w:tc>
          <w:tcPr>
            <w:tcW w:w="7274" w:type="dxa"/>
          </w:tcPr>
          <w:p w:rsidR="005643EA" w:rsidRPr="007E39E6" w:rsidRDefault="00C66473" w:rsidP="00FD239F">
            <w:pPr>
              <w:pStyle w:val="InstructionsText"/>
            </w:pPr>
            <w:r>
              <w:rPr>
                <w:rStyle w:val="InstructionsTabelleberschrift"/>
                <w:rFonts w:ascii="Times New Roman" w:hAnsi="Times New Roman"/>
                <w:sz w:val="24"/>
              </w:rPr>
              <w:t>1</w:t>
            </w:r>
            <w:r w:rsidR="0025029E">
              <w:rPr>
                <w:rStyle w:val="InstructionsTabelleberschrift"/>
                <w:rFonts w:ascii="Times New Roman" w:hAnsi="Times New Roman"/>
                <w:sz w:val="24"/>
              </w:rPr>
              <w:tab/>
            </w:r>
            <w:r>
              <w:rPr>
                <w:rStyle w:val="InstructionsTabelleberschrift"/>
                <w:rFonts w:ascii="Times New Roman" w:hAnsi="Times New Roman"/>
                <w:sz w:val="24"/>
              </w:rPr>
              <w:t>MONTANT TOTAL D'EXPOSITION AU RISQUE</w:t>
            </w:r>
          </w:p>
          <w:p w:rsidR="002648B0" w:rsidRPr="00392FFD" w:rsidRDefault="002648B0" w:rsidP="00FD239F">
            <w:pPr>
              <w:pStyle w:val="InstructionsText"/>
            </w:pPr>
            <w:r>
              <w:t>Article 92, paragraphe 3, et articles 95, 96 et 98 du CRR</w:t>
            </w:r>
          </w:p>
        </w:tc>
      </w:tr>
      <w:tr w:rsidR="002648B0" w:rsidRPr="00392FFD" w:rsidTr="00672D2A">
        <w:tc>
          <w:tcPr>
            <w:tcW w:w="1591" w:type="dxa"/>
          </w:tcPr>
          <w:p w:rsidR="002648B0" w:rsidRPr="00392FFD" w:rsidRDefault="002648B0" w:rsidP="00FD239F">
            <w:pPr>
              <w:pStyle w:val="InstructionsText"/>
            </w:pPr>
            <w:r>
              <w:t>020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rsidR="0032024C">
              <w:rPr>
                <w:rStyle w:val="InstructionsTabelleberschrift"/>
                <w:rFonts w:ascii="Times New Roman" w:hAnsi="Times New Roman"/>
                <w:sz w:val="24"/>
              </w:rPr>
              <w:tab/>
            </w:r>
            <w:r>
              <w:rPr>
                <w:rStyle w:val="InstructionsTabelleberschrift"/>
                <w:rFonts w:ascii="Times New Roman" w:hAnsi="Times New Roman"/>
                <w:sz w:val="24"/>
              </w:rPr>
              <w:t>Dont: Entreprises d'investissements visées à l'article 95, p</w:t>
            </w:r>
            <w:r>
              <w:rPr>
                <w:rStyle w:val="InstructionsTabelleberschrift"/>
                <w:rFonts w:ascii="Times New Roman" w:hAnsi="Times New Roman"/>
                <w:sz w:val="24"/>
              </w:rPr>
              <w:t>a</w:t>
            </w:r>
            <w:r>
              <w:rPr>
                <w:rStyle w:val="InstructionsTabelleberschrift"/>
                <w:rFonts w:ascii="Times New Roman" w:hAnsi="Times New Roman"/>
                <w:sz w:val="24"/>
              </w:rPr>
              <w:t>ragraphe 2, et à l'article 98 du CRR</w:t>
            </w:r>
          </w:p>
          <w:p w:rsidR="005643EA" w:rsidRPr="00392FFD" w:rsidRDefault="002648B0" w:rsidP="00FD239F">
            <w:pPr>
              <w:pStyle w:val="InstructionsText"/>
            </w:pPr>
            <w:r>
              <w:t xml:space="preserve">Entreprises d'investissements visées à l'article 95, </w:t>
            </w:r>
            <w:r>
              <w:rPr>
                <w:rStyle w:val="FormatvorlageInstructionsTabelleText"/>
                <w:rFonts w:ascii="Times New Roman" w:hAnsi="Times New Roman"/>
                <w:sz w:val="24"/>
              </w:rPr>
              <w:t>paragraphe 2</w:t>
            </w:r>
            <w:r>
              <w:t>, et à l'a</w:t>
            </w:r>
            <w:r>
              <w:t>r</w:t>
            </w:r>
            <w:r>
              <w:t>ticle 98 du CRR</w:t>
            </w:r>
          </w:p>
        </w:tc>
      </w:tr>
      <w:tr w:rsidR="002648B0" w:rsidRPr="00392FFD" w:rsidTr="00672D2A">
        <w:tc>
          <w:tcPr>
            <w:tcW w:w="1591" w:type="dxa"/>
          </w:tcPr>
          <w:p w:rsidR="002648B0" w:rsidRPr="00392FFD" w:rsidRDefault="002648B0" w:rsidP="00FD239F">
            <w:pPr>
              <w:pStyle w:val="InstructionsText"/>
            </w:pPr>
            <w:r>
              <w:t>030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rsidR="00040998">
              <w:rPr>
                <w:rStyle w:val="InstructionsTabelleberschrift"/>
                <w:rFonts w:ascii="Times New Roman" w:hAnsi="Times New Roman"/>
                <w:sz w:val="24"/>
              </w:rPr>
              <w:tab/>
            </w:r>
            <w:r>
              <w:rPr>
                <w:rStyle w:val="InstructionsTabelleberschrift"/>
                <w:rFonts w:ascii="Times New Roman" w:hAnsi="Times New Roman"/>
                <w:sz w:val="24"/>
              </w:rPr>
              <w:t>Dont: Entreprises d'investissements visées à l'article 96, p</w:t>
            </w:r>
            <w:r>
              <w:rPr>
                <w:rStyle w:val="InstructionsTabelleberschrift"/>
                <w:rFonts w:ascii="Times New Roman" w:hAnsi="Times New Roman"/>
                <w:sz w:val="24"/>
              </w:rPr>
              <w:t>a</w:t>
            </w:r>
            <w:r>
              <w:rPr>
                <w:rStyle w:val="InstructionsTabelleberschrift"/>
                <w:rFonts w:ascii="Times New Roman" w:hAnsi="Times New Roman"/>
                <w:sz w:val="24"/>
              </w:rPr>
              <w:t>ragraphe 2, et à l'article 97 du CRR</w:t>
            </w:r>
          </w:p>
          <w:p w:rsidR="005643EA" w:rsidRPr="00392FFD" w:rsidRDefault="002648B0" w:rsidP="00FD239F">
            <w:pPr>
              <w:pStyle w:val="InstructionsText"/>
            </w:pPr>
            <w:r>
              <w:t xml:space="preserve">Entreprises d'investissements visées à l'article 96, </w:t>
            </w:r>
            <w:r>
              <w:rPr>
                <w:rStyle w:val="FormatvorlageInstructionsTabelleText"/>
                <w:rFonts w:ascii="Times New Roman" w:hAnsi="Times New Roman"/>
                <w:sz w:val="24"/>
              </w:rPr>
              <w:t>paragraphe 2</w:t>
            </w:r>
            <w:r>
              <w:t>, et à l'a</w:t>
            </w:r>
            <w:r>
              <w:t>r</w:t>
            </w:r>
            <w:r>
              <w:t>ticle 97 du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00040998">
              <w:rPr>
                <w:rStyle w:val="InstructionsTabelleberschrift"/>
                <w:rFonts w:ascii="Times New Roman" w:hAnsi="Times New Roman"/>
                <w:sz w:val="24"/>
              </w:rPr>
              <w:tab/>
            </w:r>
            <w:r>
              <w:rPr>
                <w:rStyle w:val="InstructionsTabelleberschrift"/>
                <w:rFonts w:ascii="Times New Roman" w:hAnsi="Times New Roman"/>
                <w:sz w:val="24"/>
              </w:rPr>
              <w:t>MONTANTS D'EXPOSITION PONDÉRÉS POUR LES RISQUES DE CRÉDIT, DE CRÉDIT DE CONTREPARTIE ET DE DILUTION ET LES POSITIONS DE NÉGOCIATION NON D</w:t>
            </w:r>
            <w:r>
              <w:rPr>
                <w:rStyle w:val="InstructionsTabelleberschrift"/>
                <w:rFonts w:ascii="Times New Roman" w:hAnsi="Times New Roman"/>
                <w:sz w:val="24"/>
              </w:rPr>
              <w:t>É</w:t>
            </w:r>
            <w:r>
              <w:rPr>
                <w:rStyle w:val="InstructionsTabelleberschrift"/>
                <w:rFonts w:ascii="Times New Roman" w:hAnsi="Times New Roman"/>
                <w:sz w:val="24"/>
              </w:rPr>
              <w:t>NOUÉES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92, paragraphe 3, points a) et f), du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00040998">
              <w:rPr>
                <w:rStyle w:val="InstructionsTabelleberschrift"/>
                <w:rFonts w:ascii="Times New Roman" w:hAnsi="Times New Roman"/>
                <w:sz w:val="24"/>
              </w:rPr>
              <w:tab/>
            </w:r>
            <w:r>
              <w:rPr>
                <w:rStyle w:val="InstructionsTabelleberschrift"/>
                <w:rFonts w:ascii="Times New Roman" w:hAnsi="Times New Roman"/>
                <w:sz w:val="24"/>
              </w:rPr>
              <w:t>Approche standard (SA)</w:t>
            </w:r>
          </w:p>
          <w:p w:rsidR="002648B0"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Modèles CR SA et SEC SA, sur le plan de l'exposition totale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274" w:type="dxa"/>
          </w:tcPr>
          <w:p w:rsidR="005643EA" w:rsidRPr="001C5CA8"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040998">
              <w:rPr>
                <w:rStyle w:val="InstructionsTabelleberschrift"/>
                <w:rFonts w:ascii="Times New Roman" w:hAnsi="Times New Roman"/>
                <w:sz w:val="24"/>
              </w:rPr>
              <w:tab/>
            </w:r>
            <w:r>
              <w:rPr>
                <w:rStyle w:val="InstructionsTabelleberschrift"/>
                <w:rFonts w:ascii="Times New Roman" w:hAnsi="Times New Roman"/>
                <w:sz w:val="24"/>
              </w:rPr>
              <w:t>Catégories d'exposition au risque en approche SA, à l'excl</w:t>
            </w:r>
            <w:r>
              <w:rPr>
                <w:rStyle w:val="InstructionsTabelleberschrift"/>
                <w:rFonts w:ascii="Times New Roman" w:hAnsi="Times New Roman"/>
                <w:sz w:val="24"/>
              </w:rPr>
              <w:t>u</w:t>
            </w:r>
            <w:r>
              <w:rPr>
                <w:rStyle w:val="InstructionsTabelleberschrift"/>
                <w:rFonts w:ascii="Times New Roman" w:hAnsi="Times New Roman"/>
                <w:sz w:val="24"/>
              </w:rPr>
              <w:t>sion des positions de titrisation</w:t>
            </w:r>
          </w:p>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Modèle CR SA, sur le plan de l'exposition totale. Les catégories d'exp</w:t>
            </w:r>
            <w:r>
              <w:rPr>
                <w:rStyle w:val="FormatvorlageInstructionsTabelleText"/>
                <w:rFonts w:ascii="Times New Roman" w:hAnsi="Times New Roman"/>
                <w:sz w:val="24"/>
              </w:rPr>
              <w:t>o</w:t>
            </w:r>
            <w:r>
              <w:rPr>
                <w:rStyle w:val="FormatvorlageInstructionsTabelleText"/>
                <w:rFonts w:ascii="Times New Roman" w:hAnsi="Times New Roman"/>
                <w:sz w:val="24"/>
              </w:rPr>
              <w:t>sitions selon</w:t>
            </w:r>
            <w:r>
              <w:rPr>
                <w:rStyle w:val="InstructionsTabelleberschrift"/>
                <w:rFonts w:ascii="Times New Roman" w:hAnsi="Times New Roman"/>
                <w:b w:val="0"/>
                <w:sz w:val="24"/>
                <w:u w:val="none"/>
              </w:rPr>
              <w:t xml:space="preserve"> l'approche standard</w:t>
            </w:r>
            <w:r>
              <w:t xml:space="preserve"> </w:t>
            </w:r>
            <w:r>
              <w:rPr>
                <w:rStyle w:val="FormatvorlageInstructionsTabelleText"/>
                <w:rFonts w:ascii="Times New Roman" w:hAnsi="Times New Roman"/>
                <w:sz w:val="24"/>
              </w:rPr>
              <w:t>sont celles reprises à l'article 112 du CRR, hormis les positions de titrisation.</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00040998">
              <w:rPr>
                <w:rStyle w:val="InstructionsTabelleberschrift"/>
                <w:rFonts w:ascii="Times New Roman" w:hAnsi="Times New Roman"/>
                <w:sz w:val="24"/>
              </w:rPr>
              <w:tab/>
            </w:r>
            <w:r>
              <w:rPr>
                <w:rStyle w:val="InstructionsTabelleberschrift"/>
                <w:rFonts w:ascii="Times New Roman" w:hAnsi="Times New Roman"/>
                <w:sz w:val="24"/>
              </w:rPr>
              <w:t>Administrations centrales ou banques centrales</w:t>
            </w:r>
          </w:p>
          <w:p w:rsidR="00496C53" w:rsidRPr="00392FFD" w:rsidRDefault="00D212F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Voir modèle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sidR="00040998">
              <w:rPr>
                <w:rStyle w:val="InstructionsTabelleberschrift"/>
                <w:rFonts w:ascii="Times New Roman" w:hAnsi="Times New Roman"/>
                <w:sz w:val="24"/>
              </w:rPr>
              <w:tab/>
            </w:r>
            <w:r>
              <w:rPr>
                <w:rStyle w:val="InstructionsTabelleberschrift"/>
                <w:rFonts w:ascii="Times New Roman" w:hAnsi="Times New Roman"/>
                <w:sz w:val="24"/>
              </w:rPr>
              <w:t>Administrations régionales ou locales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sidR="00040998">
              <w:rPr>
                <w:rStyle w:val="InstructionsTabelleberschrift"/>
                <w:rFonts w:ascii="Times New Roman" w:hAnsi="Times New Roman"/>
                <w:sz w:val="24"/>
              </w:rPr>
              <w:tab/>
            </w:r>
            <w:r>
              <w:rPr>
                <w:rStyle w:val="InstructionsTabelleberschrift"/>
                <w:rFonts w:ascii="Times New Roman" w:hAnsi="Times New Roman"/>
                <w:sz w:val="24"/>
              </w:rPr>
              <w:t>Entités du secteur public</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sidR="00040998">
              <w:rPr>
                <w:rStyle w:val="InstructionsTabelleberschrift"/>
                <w:rFonts w:ascii="Times New Roman" w:hAnsi="Times New Roman"/>
                <w:sz w:val="24"/>
              </w:rPr>
              <w:tab/>
            </w:r>
            <w:r>
              <w:rPr>
                <w:rStyle w:val="InstructionsTabelleberschrift"/>
                <w:rFonts w:ascii="Times New Roman" w:hAnsi="Times New Roman"/>
                <w:sz w:val="24"/>
              </w:rPr>
              <w:t>Banques multilatérales de développement</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Voir modèle CR SA. </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110</w:t>
            </w:r>
          </w:p>
        </w:tc>
        <w:tc>
          <w:tcPr>
            <w:tcW w:w="7274" w:type="dxa"/>
          </w:tcPr>
          <w:p w:rsidR="005643EA" w:rsidRPr="0023700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sidR="00040998">
              <w:rPr>
                <w:rStyle w:val="InstructionsTabelleberschrift"/>
                <w:rFonts w:ascii="Times New Roman" w:hAnsi="Times New Roman"/>
                <w:sz w:val="24"/>
              </w:rPr>
              <w:tab/>
            </w:r>
            <w:r>
              <w:rPr>
                <w:rStyle w:val="InstructionsTabelleberschrift"/>
                <w:rFonts w:ascii="Times New Roman" w:hAnsi="Times New Roman"/>
                <w:sz w:val="24"/>
              </w:rPr>
              <w:t>Organisations internationales</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120</w:t>
            </w:r>
          </w:p>
        </w:tc>
        <w:tc>
          <w:tcPr>
            <w:tcW w:w="7274" w:type="dxa"/>
          </w:tcPr>
          <w:p w:rsidR="005643EA" w:rsidRPr="0023700C" w:rsidRDefault="0078388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sidR="00040998">
              <w:rPr>
                <w:rStyle w:val="InstructionsTabelleberschrift"/>
                <w:rFonts w:ascii="Times New Roman" w:hAnsi="Times New Roman"/>
                <w:sz w:val="24"/>
              </w:rPr>
              <w:tab/>
            </w:r>
            <w:r>
              <w:rPr>
                <w:rStyle w:val="InstructionsTabelleberschrift"/>
                <w:rFonts w:ascii="Times New Roman" w:hAnsi="Times New Roman"/>
                <w:sz w:val="24"/>
              </w:rPr>
              <w:t>Établissements</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rsidR="00040998">
              <w:rPr>
                <w:rStyle w:val="InstructionsTabelleberschrift"/>
                <w:rFonts w:ascii="Times New Roman" w:hAnsi="Times New Roman"/>
                <w:sz w:val="24"/>
              </w:rPr>
              <w:tab/>
            </w:r>
            <w:r>
              <w:rPr>
                <w:rStyle w:val="InstructionsTabelleberschrift"/>
                <w:rFonts w:ascii="Times New Roman" w:hAnsi="Times New Roman"/>
                <w:sz w:val="24"/>
              </w:rPr>
              <w:t>Entreprises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sidR="00040998">
              <w:rPr>
                <w:rStyle w:val="InstructionsTabelleberschrift"/>
                <w:rFonts w:ascii="Times New Roman" w:hAnsi="Times New Roman"/>
                <w:sz w:val="24"/>
              </w:rPr>
              <w:tab/>
            </w:r>
            <w:r>
              <w:rPr>
                <w:rStyle w:val="InstructionsTabelleberschrift"/>
                <w:rFonts w:ascii="Times New Roman" w:hAnsi="Times New Roman"/>
                <w:sz w:val="24"/>
              </w:rPr>
              <w:t>Clientèle de détail</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sidR="00040998">
              <w:rPr>
                <w:rStyle w:val="InstructionsTabelleberschrift"/>
                <w:rFonts w:ascii="Times New Roman" w:hAnsi="Times New Roman"/>
                <w:sz w:val="24"/>
              </w:rPr>
              <w:tab/>
            </w:r>
            <w:r>
              <w:rPr>
                <w:rStyle w:val="InstructionsTabelleberschrift"/>
                <w:rFonts w:ascii="Times New Roman" w:hAnsi="Times New Roman"/>
                <w:sz w:val="24"/>
              </w:rPr>
              <w:t>Expositions garanties par une hypothèque sur un bien immobilier</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sidR="00040998">
              <w:rPr>
                <w:rStyle w:val="InstructionsTabelleberschrift"/>
                <w:rFonts w:ascii="Times New Roman" w:hAnsi="Times New Roman"/>
                <w:sz w:val="24"/>
              </w:rPr>
              <w:tab/>
            </w:r>
            <w:r>
              <w:rPr>
                <w:rStyle w:val="InstructionsTabelleberschrift"/>
                <w:rFonts w:ascii="Times New Roman" w:hAnsi="Times New Roman"/>
                <w:sz w:val="24"/>
              </w:rPr>
              <w:t>Expositions en défaut</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274" w:type="dxa"/>
          </w:tcPr>
          <w:p w:rsidR="00783881"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rsidR="004F3D87">
              <w:rPr>
                <w:rStyle w:val="InstructionsTabelleberschrift"/>
                <w:rFonts w:ascii="Times New Roman" w:hAnsi="Times New Roman"/>
                <w:sz w:val="24"/>
              </w:rPr>
              <w:tab/>
            </w:r>
            <w:r>
              <w:rPr>
                <w:rStyle w:val="InstructionsTabelleberschrift"/>
                <w:rFonts w:ascii="Times New Roman" w:hAnsi="Times New Roman"/>
                <w:sz w:val="24"/>
              </w:rPr>
              <w:t>Éléments présentant un risque particulièrement élevé</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sidR="004F3D87">
              <w:rPr>
                <w:rStyle w:val="InstructionsTabelleberschrift"/>
                <w:rFonts w:ascii="Times New Roman" w:hAnsi="Times New Roman"/>
                <w:sz w:val="24"/>
              </w:rPr>
              <w:tab/>
            </w:r>
            <w:r>
              <w:rPr>
                <w:rStyle w:val="InstructionsTabelleberschrift"/>
                <w:rFonts w:ascii="Times New Roman" w:hAnsi="Times New Roman"/>
                <w:sz w:val="24"/>
              </w:rPr>
              <w:t>Obligations garanties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sidR="004F3D87">
              <w:rPr>
                <w:rStyle w:val="InstructionsTabelleberschrift"/>
                <w:rFonts w:ascii="Times New Roman" w:hAnsi="Times New Roman"/>
                <w:sz w:val="24"/>
              </w:rPr>
              <w:tab/>
            </w:r>
            <w:r>
              <w:rPr>
                <w:rStyle w:val="InstructionsTabelleberschrift"/>
                <w:rFonts w:ascii="Times New Roman" w:hAnsi="Times New Roman"/>
                <w:sz w:val="24"/>
              </w:rPr>
              <w:t>Créances sur des établissements et des entreprises fa</w:t>
            </w:r>
            <w:r>
              <w:rPr>
                <w:rStyle w:val="InstructionsTabelleberschrift"/>
                <w:rFonts w:ascii="Times New Roman" w:hAnsi="Times New Roman"/>
                <w:sz w:val="24"/>
              </w:rPr>
              <w:t>i</w:t>
            </w:r>
            <w:r>
              <w:rPr>
                <w:rStyle w:val="InstructionsTabelleberschrift"/>
                <w:rFonts w:ascii="Times New Roman" w:hAnsi="Times New Roman"/>
                <w:sz w:val="24"/>
              </w:rPr>
              <w:t>sant l'objet d'une évaluation du crédit à court terme</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p w:rsidR="005643EA" w:rsidRPr="00392FFD" w:rsidRDefault="005643EA" w:rsidP="00FD239F">
            <w:pPr>
              <w:pStyle w:val="InstructionsText"/>
              <w:rPr>
                <w:rStyle w:val="FormatvorlageInstructionsTabelleText"/>
                <w:rFonts w:ascii="Times New Roman" w:hAnsi="Times New Roman"/>
                <w:bCs w:val="0"/>
                <w:sz w:val="24"/>
              </w:rPr>
            </w:pP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sidR="004F3D87">
              <w:rPr>
                <w:rStyle w:val="InstructionsTabelleberschrift"/>
                <w:rFonts w:ascii="Times New Roman" w:hAnsi="Times New Roman"/>
                <w:sz w:val="24"/>
              </w:rPr>
              <w:tab/>
            </w:r>
            <w:r>
              <w:rPr>
                <w:rStyle w:val="InstructionsTabelleberschrift"/>
                <w:rFonts w:ascii="Times New Roman" w:hAnsi="Times New Roman"/>
                <w:sz w:val="24"/>
              </w:rPr>
              <w:t>Organismes de placement collectif (OPC)</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sidR="004F3D87">
              <w:rPr>
                <w:rStyle w:val="InstructionsTabelleberschrift"/>
                <w:rFonts w:ascii="Times New Roman" w:hAnsi="Times New Roman"/>
                <w:sz w:val="24"/>
              </w:rPr>
              <w:tab/>
            </w:r>
            <w:r>
              <w:rPr>
                <w:rStyle w:val="InstructionsTabelleberschrift"/>
                <w:rFonts w:ascii="Times New Roman" w:hAnsi="Times New Roman"/>
                <w:sz w:val="24"/>
              </w:rPr>
              <w:t>Actions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211</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sidR="004F3D87">
              <w:rPr>
                <w:rStyle w:val="InstructionsTabelleberschrift"/>
                <w:rFonts w:ascii="Times New Roman" w:hAnsi="Times New Roman"/>
                <w:sz w:val="24"/>
              </w:rPr>
              <w:tab/>
            </w:r>
            <w:r>
              <w:rPr>
                <w:rStyle w:val="InstructionsTabelleberschrift"/>
                <w:rFonts w:ascii="Times New Roman" w:hAnsi="Times New Roman"/>
                <w:sz w:val="24"/>
              </w:rPr>
              <w:t>Autres éléments</w:t>
            </w:r>
          </w:p>
          <w:p w:rsidR="005643EA" w:rsidRPr="00392FFD" w:rsidRDefault="00D212FE" w:rsidP="00FD239F">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Voir modèle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004F3D87">
              <w:rPr>
                <w:rStyle w:val="InstructionsTabelleberschrift"/>
                <w:rFonts w:ascii="Times New Roman" w:hAnsi="Times New Roman"/>
                <w:sz w:val="24"/>
              </w:rPr>
              <w:tab/>
            </w:r>
            <w:r>
              <w:rPr>
                <w:rStyle w:val="InstructionsTabelleberschrift"/>
                <w:rFonts w:ascii="Times New Roman" w:hAnsi="Times New Roman"/>
                <w:sz w:val="24"/>
              </w:rPr>
              <w:t xml:space="preserve">Positions de titrisation SA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Modèle CR SEC SA, sur le plan du total des types de titrisations.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004F3D87">
              <w:rPr>
                <w:rStyle w:val="InstructionsTabelleberschrift"/>
                <w:rFonts w:ascii="Times New Roman" w:hAnsi="Times New Roman"/>
                <w:sz w:val="24"/>
              </w:rPr>
              <w:tab/>
            </w:r>
            <w:r>
              <w:rPr>
                <w:rStyle w:val="InstructionsTabelleberschrift"/>
                <w:rFonts w:ascii="Times New Roman" w:hAnsi="Times New Roman"/>
                <w:sz w:val="24"/>
              </w:rPr>
              <w:t xml:space="preserve">Dont: </w:t>
            </w:r>
            <w:proofErr w:type="spellStart"/>
            <w:r>
              <w:rPr>
                <w:rStyle w:val="InstructionsTabelleberschrift"/>
                <w:rFonts w:ascii="Times New Roman" w:hAnsi="Times New Roman"/>
                <w:sz w:val="24"/>
              </w:rPr>
              <w:t>retitrisation</w:t>
            </w:r>
            <w:proofErr w:type="spellEnd"/>
            <w:r>
              <w:rPr>
                <w:rStyle w:val="InstructionsTabelleberschrift"/>
                <w:rFonts w:ascii="Times New Roman" w:hAnsi="Times New Roman"/>
                <w:sz w:val="24"/>
              </w:rPr>
              <w:t xml:space="preserve">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Modèle CR SEC SA, sur le plan du total des types de titrisations.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274" w:type="dxa"/>
          </w:tcPr>
          <w:p w:rsidR="005643EA"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sidR="004F3D87">
              <w:rPr>
                <w:rStyle w:val="InstructionsTabelleberschrift"/>
                <w:rFonts w:ascii="Times New Roman" w:hAnsi="Times New Roman"/>
                <w:sz w:val="24"/>
              </w:rPr>
              <w:tab/>
            </w:r>
            <w:r>
              <w:rPr>
                <w:rStyle w:val="InstructionsTabelleberschrift"/>
                <w:rFonts w:ascii="Times New Roman" w:hAnsi="Times New Roman"/>
                <w:sz w:val="24"/>
              </w:rPr>
              <w:t xml:space="preserve">Approche fondée sur les notations internes (NI)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sidR="004F3D87">
              <w:rPr>
                <w:rStyle w:val="InstructionsTabelleberschrift"/>
                <w:rFonts w:ascii="Times New Roman" w:hAnsi="Times New Roman"/>
                <w:sz w:val="24"/>
              </w:rPr>
              <w:tab/>
            </w:r>
            <w:r>
              <w:rPr>
                <w:rStyle w:val="InstructionsTabelleberschrift"/>
                <w:rFonts w:ascii="Times New Roman" w:hAnsi="Times New Roman"/>
                <w:sz w:val="24"/>
              </w:rPr>
              <w:t>Approches NI en l'absence de recours à ses propres estim</w:t>
            </w:r>
            <w:r>
              <w:rPr>
                <w:rStyle w:val="InstructionsTabelleberschrift"/>
                <w:rFonts w:ascii="Times New Roman" w:hAnsi="Times New Roman"/>
                <w:sz w:val="24"/>
              </w:rPr>
              <w:t>a</w:t>
            </w:r>
            <w:r>
              <w:rPr>
                <w:rStyle w:val="InstructionsTabelleberschrift"/>
                <w:rFonts w:ascii="Times New Roman" w:hAnsi="Times New Roman"/>
                <w:sz w:val="24"/>
              </w:rPr>
              <w:t>tions des pertes en cas de défaut (LGD) ou à des facteurs de conve</w:t>
            </w:r>
            <w:r>
              <w:rPr>
                <w:rStyle w:val="InstructionsTabelleberschrift"/>
                <w:rFonts w:ascii="Times New Roman" w:hAnsi="Times New Roman"/>
                <w:sz w:val="24"/>
              </w:rPr>
              <w:t>r</w:t>
            </w:r>
            <w:r>
              <w:rPr>
                <w:rStyle w:val="InstructionsTabelleberschrift"/>
                <w:rFonts w:ascii="Times New Roman" w:hAnsi="Times New Roman"/>
                <w:sz w:val="24"/>
              </w:rPr>
              <w:t>sion</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Modèle CR IRB, sur le plan de l'exposition totale (lorsque ni les propres estimations des pertes en cas de défaut (LGD) ni les facteurs de conve</w:t>
            </w:r>
            <w:r>
              <w:rPr>
                <w:rStyle w:val="FormatvorlageInstructionsTabelleText"/>
                <w:rFonts w:ascii="Times New Roman" w:hAnsi="Times New Roman"/>
                <w:sz w:val="24"/>
              </w:rPr>
              <w:t>r</w:t>
            </w:r>
            <w:r>
              <w:rPr>
                <w:rStyle w:val="FormatvorlageInstructionsTabelleText"/>
                <w:rFonts w:ascii="Times New Roman" w:hAnsi="Times New Roman"/>
                <w:sz w:val="24"/>
              </w:rPr>
              <w:t>sion ne sont utilisés).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sidR="004F3D87">
              <w:rPr>
                <w:rStyle w:val="InstructionsTabelleberschrift"/>
                <w:rFonts w:ascii="Times New Roman" w:hAnsi="Times New Roman"/>
                <w:sz w:val="24"/>
              </w:rPr>
              <w:tab/>
            </w:r>
            <w:r>
              <w:rPr>
                <w:rStyle w:val="InstructionsTabelleberschrift"/>
                <w:rFonts w:ascii="Times New Roman" w:hAnsi="Times New Roman"/>
                <w:sz w:val="24"/>
              </w:rPr>
              <w:t>Administrations centrales et banques centrales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sidR="004F3D87">
              <w:rPr>
                <w:rStyle w:val="InstructionsTabelleberschrift"/>
                <w:rFonts w:ascii="Times New Roman" w:hAnsi="Times New Roman"/>
                <w:sz w:val="24"/>
              </w:rPr>
              <w:tab/>
            </w:r>
            <w:r>
              <w:rPr>
                <w:rStyle w:val="InstructionsTabelleberschrift"/>
                <w:rFonts w:ascii="Times New Roman" w:hAnsi="Times New Roman"/>
                <w:sz w:val="24"/>
              </w:rPr>
              <w:t>Établissements</w:t>
            </w:r>
          </w:p>
          <w:p w:rsidR="002648B0" w:rsidRPr="00392FFD" w:rsidRDefault="00D212FE" w:rsidP="002F19BB">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rsidR="004F3D87">
              <w:rPr>
                <w:rStyle w:val="InstructionsTabelleberschrift"/>
                <w:rFonts w:ascii="Times New Roman" w:hAnsi="Times New Roman"/>
                <w:sz w:val="24"/>
              </w:rPr>
              <w:tab/>
            </w:r>
            <w:r>
              <w:rPr>
                <w:rStyle w:val="InstructionsTabelleberschrift"/>
                <w:rFonts w:ascii="Times New Roman" w:hAnsi="Times New Roman"/>
                <w:sz w:val="24"/>
              </w:rPr>
              <w:t>Entreprises- PME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sidR="004F3D87">
              <w:rPr>
                <w:rStyle w:val="InstructionsTabelleberschrift"/>
                <w:rFonts w:ascii="Times New Roman" w:hAnsi="Times New Roman"/>
                <w:sz w:val="24"/>
              </w:rPr>
              <w:tab/>
            </w:r>
            <w:r>
              <w:rPr>
                <w:rStyle w:val="InstructionsTabelleberschrift"/>
                <w:rFonts w:ascii="Times New Roman" w:hAnsi="Times New Roman"/>
                <w:sz w:val="24"/>
              </w:rPr>
              <w:t>Entreprises – Financements spécialisés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Voir modèle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sidR="004F3D87">
              <w:rPr>
                <w:rStyle w:val="InstructionsTabelleberschrift"/>
                <w:rFonts w:ascii="Times New Roman" w:hAnsi="Times New Roman"/>
                <w:sz w:val="24"/>
              </w:rPr>
              <w:tab/>
            </w:r>
            <w:r>
              <w:rPr>
                <w:rStyle w:val="InstructionsTabelleberschrift"/>
                <w:rFonts w:ascii="Times New Roman" w:hAnsi="Times New Roman"/>
                <w:sz w:val="24"/>
              </w:rPr>
              <w:t>Entreprises – Autres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Approches NI en cas de recours à ses propres estimations des pertes en cas de défaut (LGD) et/ou à des facteurs de conversion</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Modèle CR IRB, sur le plan de l'exposition totale (lorsque les propres e</w:t>
            </w:r>
            <w:r>
              <w:rPr>
                <w:rStyle w:val="FormatvorlageInstructionsTabelleText"/>
                <w:rFonts w:ascii="Times New Roman" w:hAnsi="Times New Roman"/>
                <w:sz w:val="24"/>
              </w:rPr>
              <w:t>s</w:t>
            </w:r>
            <w:r>
              <w:rPr>
                <w:rStyle w:val="FormatvorlageInstructionsTabelleText"/>
                <w:rFonts w:ascii="Times New Roman" w:hAnsi="Times New Roman"/>
                <w:sz w:val="24"/>
              </w:rPr>
              <w:t>timations des pertes en cas de défaut (LGD) et/ou les facteurs de conve</w:t>
            </w:r>
            <w:r>
              <w:rPr>
                <w:rStyle w:val="FormatvorlageInstructionsTabelleText"/>
                <w:rFonts w:ascii="Times New Roman" w:hAnsi="Times New Roman"/>
                <w:sz w:val="24"/>
              </w:rPr>
              <w:t>r</w:t>
            </w:r>
            <w:r>
              <w:rPr>
                <w:rStyle w:val="FormatvorlageInstructionsTabelleText"/>
                <w:rFonts w:ascii="Times New Roman" w:hAnsi="Times New Roman"/>
                <w:sz w:val="24"/>
              </w:rPr>
              <w:t>sion sont utilisés).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sidR="004F3D87">
              <w:rPr>
                <w:rStyle w:val="InstructionsTabelleberschrift"/>
                <w:rFonts w:ascii="Times New Roman" w:hAnsi="Times New Roman"/>
                <w:sz w:val="24"/>
              </w:rPr>
              <w:tab/>
            </w:r>
            <w:r>
              <w:rPr>
                <w:rStyle w:val="InstructionsTabelleberschrift"/>
                <w:rFonts w:ascii="Times New Roman" w:hAnsi="Times New Roman"/>
                <w:sz w:val="24"/>
              </w:rPr>
              <w:t>Administrations centrales et banques centrales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rsidR="004F3D87">
              <w:rPr>
                <w:rStyle w:val="InstructionsTabelleberschrift"/>
                <w:rFonts w:ascii="Times New Roman" w:hAnsi="Times New Roman"/>
                <w:sz w:val="24"/>
              </w:rPr>
              <w:tab/>
            </w:r>
            <w:r>
              <w:rPr>
                <w:rStyle w:val="InstructionsTabelleberschrift"/>
                <w:rFonts w:ascii="Times New Roman" w:hAnsi="Times New Roman"/>
                <w:sz w:val="24"/>
              </w:rPr>
              <w:t>Établissements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Voir modèle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rsidR="004F3D87">
              <w:rPr>
                <w:rStyle w:val="InstructionsTabelleberschrift"/>
                <w:rFonts w:ascii="Times New Roman" w:hAnsi="Times New Roman"/>
                <w:sz w:val="24"/>
              </w:rPr>
              <w:tab/>
            </w:r>
            <w:r>
              <w:rPr>
                <w:rStyle w:val="InstructionsTabelleberschrift"/>
                <w:rFonts w:ascii="Times New Roman" w:hAnsi="Times New Roman"/>
                <w:sz w:val="24"/>
              </w:rPr>
              <w:t>Entreprises- PME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sidR="004F3D87">
              <w:rPr>
                <w:rStyle w:val="InstructionsTabelleberschrift"/>
                <w:rFonts w:ascii="Times New Roman" w:hAnsi="Times New Roman"/>
                <w:sz w:val="24"/>
              </w:rPr>
              <w:tab/>
            </w:r>
            <w:r>
              <w:rPr>
                <w:rStyle w:val="InstructionsTabelleberschrift"/>
                <w:rFonts w:ascii="Times New Roman" w:hAnsi="Times New Roman"/>
                <w:sz w:val="24"/>
              </w:rPr>
              <w:t>Entreprises – Financements spécialisés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sidR="004F3D87">
              <w:rPr>
                <w:rStyle w:val="InstructionsTabelleberschrift"/>
                <w:rFonts w:ascii="Times New Roman" w:hAnsi="Times New Roman"/>
                <w:sz w:val="24"/>
              </w:rPr>
              <w:tab/>
            </w:r>
            <w:r>
              <w:rPr>
                <w:rStyle w:val="InstructionsTabelleberschrift"/>
                <w:rFonts w:ascii="Times New Roman" w:hAnsi="Times New Roman"/>
                <w:sz w:val="24"/>
              </w:rPr>
              <w:t>Entreprises – Autres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rsidR="004F3D87">
              <w:rPr>
                <w:rStyle w:val="InstructionsTabelleberschrift"/>
                <w:rFonts w:ascii="Times New Roman" w:hAnsi="Times New Roman"/>
                <w:sz w:val="24"/>
              </w:rPr>
              <w:tab/>
            </w:r>
            <w:r>
              <w:rPr>
                <w:rStyle w:val="InstructionsTabelleberschrift"/>
                <w:rFonts w:ascii="Times New Roman" w:hAnsi="Times New Roman"/>
                <w:sz w:val="24"/>
              </w:rPr>
              <w:t>Clientèle de détail - Expositions garanties par des biens immobiliers PME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rsidR="004F3D87">
              <w:rPr>
                <w:rStyle w:val="InstructionsTabelleberschrift"/>
                <w:rFonts w:ascii="Times New Roman" w:hAnsi="Times New Roman"/>
                <w:sz w:val="24"/>
              </w:rPr>
              <w:tab/>
            </w:r>
            <w:r>
              <w:rPr>
                <w:rStyle w:val="InstructionsTabelleberschrift"/>
                <w:rFonts w:ascii="Times New Roman" w:hAnsi="Times New Roman"/>
                <w:sz w:val="24"/>
              </w:rPr>
              <w:t>Clientèle de détail - Expositions garanties par des biens immobiliers non-PME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sidR="004F3D87">
              <w:rPr>
                <w:rStyle w:val="InstructionsTabelleberschrift"/>
                <w:rFonts w:ascii="Times New Roman" w:hAnsi="Times New Roman"/>
                <w:sz w:val="24"/>
              </w:rPr>
              <w:tab/>
            </w:r>
            <w:r>
              <w:rPr>
                <w:rStyle w:val="InstructionsTabelleberschrift"/>
                <w:rFonts w:ascii="Times New Roman" w:hAnsi="Times New Roman"/>
                <w:sz w:val="24"/>
              </w:rPr>
              <w:t>Clientèle de détail – Expositions renouvelables éligibles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sidR="004F3D87">
              <w:rPr>
                <w:rStyle w:val="InstructionsTabelleberschrift"/>
                <w:rFonts w:ascii="Times New Roman" w:hAnsi="Times New Roman"/>
                <w:sz w:val="24"/>
              </w:rPr>
              <w:tab/>
            </w:r>
            <w:r>
              <w:rPr>
                <w:rStyle w:val="InstructionsTabelleberschrift"/>
                <w:rFonts w:ascii="Times New Roman" w:hAnsi="Times New Roman"/>
                <w:sz w:val="24"/>
              </w:rPr>
              <w:t>Clientèle de détail – Autres PME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rsidR="004F3D87">
              <w:rPr>
                <w:rStyle w:val="InstructionsTabelleberschrift"/>
                <w:rFonts w:ascii="Times New Roman" w:hAnsi="Times New Roman"/>
                <w:sz w:val="24"/>
              </w:rPr>
              <w:tab/>
            </w:r>
            <w:r>
              <w:rPr>
                <w:rStyle w:val="InstructionsTabelleberschrift"/>
                <w:rFonts w:ascii="Times New Roman" w:hAnsi="Times New Roman"/>
                <w:sz w:val="24"/>
              </w:rPr>
              <w:t>Clientèle de détail – Autres non-PME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sidR="004F3D87">
              <w:rPr>
                <w:rStyle w:val="InstructionsTabelleberschrift"/>
                <w:rFonts w:ascii="Times New Roman" w:hAnsi="Times New Roman"/>
                <w:sz w:val="24"/>
              </w:rPr>
              <w:tab/>
            </w:r>
            <w:r>
              <w:rPr>
                <w:rStyle w:val="InstructionsTabelleberschrift"/>
                <w:rFonts w:ascii="Times New Roman" w:hAnsi="Times New Roman"/>
                <w:sz w:val="24"/>
              </w:rPr>
              <w:t>Actions en approche NI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modèle CR EQU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rsidR="004F3D87">
              <w:rPr>
                <w:rStyle w:val="InstructionsTabelleberschrift"/>
                <w:rFonts w:ascii="Times New Roman" w:hAnsi="Times New Roman"/>
                <w:sz w:val="24"/>
              </w:rPr>
              <w:tab/>
            </w:r>
            <w:r>
              <w:rPr>
                <w:rStyle w:val="InstructionsTabelleberschrift"/>
                <w:rFonts w:ascii="Times New Roman" w:hAnsi="Times New Roman"/>
                <w:sz w:val="24"/>
              </w:rPr>
              <w:t>Positions de titrisation en approche NI</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Modèle CR SEC IRB, sur le plan du total des types de titrisations.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tab/>
            </w:r>
            <w:r>
              <w:rPr>
                <w:rStyle w:val="InstructionsTabelleberschrift"/>
                <w:rFonts w:ascii="Times New Roman" w:hAnsi="Times New Roman"/>
                <w:sz w:val="24"/>
              </w:rPr>
              <w:t xml:space="preserve">Dont: </w:t>
            </w:r>
            <w:proofErr w:type="spellStart"/>
            <w:r>
              <w:rPr>
                <w:rStyle w:val="InstructionsTabelleberschrift"/>
                <w:rFonts w:ascii="Times New Roman" w:hAnsi="Times New Roman"/>
                <w:sz w:val="24"/>
              </w:rPr>
              <w:t>retitrisation</w:t>
            </w:r>
            <w:proofErr w:type="spellEnd"/>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Modèle CR SEC IRB, sur le plan du total des types de titrisations.</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sidR="00812B04">
              <w:rPr>
                <w:rStyle w:val="InstructionsTabelleberschrift"/>
                <w:rFonts w:ascii="Times New Roman" w:hAnsi="Times New Roman"/>
                <w:sz w:val="24"/>
              </w:rPr>
              <w:tab/>
            </w:r>
            <w:r>
              <w:rPr>
                <w:rStyle w:val="InstructionsTabelleberschrift"/>
                <w:rFonts w:ascii="Times New Roman" w:hAnsi="Times New Roman"/>
                <w:sz w:val="24"/>
              </w:rPr>
              <w:t>Actifs autres que des obligations de crédit</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à déclarer est le montant d'exposition pondéré calculé selon l'article 156 du CRR. </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274" w:type="dxa"/>
          </w:tcPr>
          <w:p w:rsidR="005643EA" w:rsidRPr="00392FFD" w:rsidRDefault="0078388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sidR="00812B04">
              <w:rPr>
                <w:rStyle w:val="InstructionsTabelleberschrift"/>
                <w:rFonts w:ascii="Times New Roman" w:hAnsi="Times New Roman"/>
                <w:sz w:val="24"/>
              </w:rPr>
              <w:tab/>
            </w:r>
            <w:r>
              <w:rPr>
                <w:rStyle w:val="InstructionsTabelleberschrift"/>
                <w:rFonts w:ascii="Times New Roman" w:hAnsi="Times New Roman"/>
                <w:sz w:val="24"/>
              </w:rPr>
              <w:t>Montant de l'exposition au risque pour les contributions au fonds de défaillance d'une CCP</w:t>
            </w:r>
          </w:p>
          <w:p w:rsidR="002648B0" w:rsidRPr="00392FFD" w:rsidRDefault="00CD7D5B" w:rsidP="007106FB">
            <w:pPr>
              <w:rPr>
                <w:rStyle w:val="FormatvorlageInstructionsTabelleText"/>
                <w:rFonts w:ascii="Times New Roman" w:hAnsi="Times New Roman"/>
                <w:sz w:val="24"/>
              </w:rPr>
            </w:pPr>
            <w:r>
              <w:rPr>
                <w:rStyle w:val="FormatvorlageInstructionsTabelleText"/>
                <w:rFonts w:ascii="Times New Roman" w:hAnsi="Times New Roman"/>
                <w:sz w:val="24"/>
              </w:rPr>
              <w:t>Articles 307 à 309 du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274" w:type="dxa"/>
          </w:tcPr>
          <w:p w:rsidR="005643EA" w:rsidRPr="00392FFD" w:rsidRDefault="002648B0" w:rsidP="00FD239F">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sidR="00812B04">
              <w:rPr>
                <w:rStyle w:val="InstructionsTabelleberschrift"/>
                <w:rFonts w:ascii="Times New Roman" w:hAnsi="Times New Roman"/>
                <w:sz w:val="24"/>
              </w:rPr>
              <w:tab/>
            </w:r>
            <w:r>
              <w:rPr>
                <w:rStyle w:val="InstructionsTabelleberschrift"/>
                <w:rFonts w:ascii="Times New Roman" w:hAnsi="Times New Roman"/>
                <w:sz w:val="24"/>
              </w:rPr>
              <w:t>MONTANT TOTAL DE L'EXPOSITION AU RISQUE DE RÈGLEMENT/LIVRAISON</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Article 92, paragraphe 3, point c) ii), et article 92, paragraphe 4, point b), du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00812B04">
              <w:rPr>
                <w:rStyle w:val="InstructionsTabelleberschrift"/>
                <w:rFonts w:ascii="Times New Roman" w:hAnsi="Times New Roman"/>
                <w:sz w:val="24"/>
              </w:rPr>
              <w:tab/>
            </w:r>
            <w:r>
              <w:rPr>
                <w:rStyle w:val="InstructionsTabelleberschrift"/>
                <w:rFonts w:ascii="Times New Roman" w:hAnsi="Times New Roman"/>
                <w:sz w:val="24"/>
              </w:rPr>
              <w:t>Risque de règlement/livraison dans le portefeuille hors nég</w:t>
            </w:r>
            <w:r>
              <w:rPr>
                <w:rStyle w:val="InstructionsTabelleberschrift"/>
                <w:rFonts w:ascii="Times New Roman" w:hAnsi="Times New Roman"/>
                <w:sz w:val="24"/>
              </w:rPr>
              <w:t>o</w:t>
            </w:r>
            <w:r>
              <w:rPr>
                <w:rStyle w:val="InstructionsTabelleberschrift"/>
                <w:rFonts w:ascii="Times New Roman" w:hAnsi="Times New Roman"/>
                <w:sz w:val="24"/>
              </w:rPr>
              <w:t>ciation</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modèle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sidR="00812B04">
              <w:rPr>
                <w:rStyle w:val="InstructionsTabelleberschrift"/>
                <w:rFonts w:ascii="Times New Roman" w:hAnsi="Times New Roman"/>
                <w:sz w:val="24"/>
              </w:rPr>
              <w:tab/>
            </w:r>
            <w:r>
              <w:rPr>
                <w:rStyle w:val="InstructionsTabelleberschrift"/>
                <w:rFonts w:ascii="Times New Roman" w:hAnsi="Times New Roman"/>
                <w:sz w:val="24"/>
              </w:rPr>
              <w:t>Risque de règlement/livraison dans le portefeuille de négoci</w:t>
            </w:r>
            <w:r>
              <w:rPr>
                <w:rStyle w:val="InstructionsTabelleberschrift"/>
                <w:rFonts w:ascii="Times New Roman" w:hAnsi="Times New Roman"/>
                <w:sz w:val="24"/>
              </w:rPr>
              <w:t>a</w:t>
            </w:r>
            <w:r>
              <w:rPr>
                <w:rStyle w:val="InstructionsTabelleberschrift"/>
                <w:rFonts w:ascii="Times New Roman" w:hAnsi="Times New Roman"/>
                <w:sz w:val="24"/>
              </w:rPr>
              <w:t>tion</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modèle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00812B04">
              <w:rPr>
                <w:rStyle w:val="InstructionsTabelleberschrift"/>
                <w:rFonts w:ascii="Times New Roman" w:hAnsi="Times New Roman"/>
                <w:sz w:val="24"/>
              </w:rPr>
              <w:tab/>
            </w:r>
            <w:r>
              <w:rPr>
                <w:rStyle w:val="InstructionsTabelleberschrift"/>
                <w:rFonts w:ascii="Times New Roman" w:hAnsi="Times New Roman"/>
                <w:sz w:val="24"/>
              </w:rPr>
              <w:t>MONTANT TOTAL D'EXPOSITION AU RISQUE DE P</w:t>
            </w:r>
            <w:r>
              <w:rPr>
                <w:rStyle w:val="InstructionsTabelleberschrift"/>
                <w:rFonts w:ascii="Times New Roman" w:hAnsi="Times New Roman"/>
                <w:sz w:val="24"/>
              </w:rPr>
              <w:t>O</w:t>
            </w:r>
            <w:r>
              <w:rPr>
                <w:rStyle w:val="InstructionsTabelleberschrift"/>
                <w:rFonts w:ascii="Times New Roman" w:hAnsi="Times New Roman"/>
                <w:sz w:val="24"/>
              </w:rPr>
              <w:t>SITION, AU RISQUE DE CHANGE ET AU RISQUE SUR M</w:t>
            </w:r>
            <w:r>
              <w:rPr>
                <w:rStyle w:val="InstructionsTabelleberschrift"/>
                <w:rFonts w:ascii="Times New Roman" w:hAnsi="Times New Roman"/>
                <w:sz w:val="24"/>
              </w:rPr>
              <w:t>A</w:t>
            </w:r>
            <w:r>
              <w:rPr>
                <w:rStyle w:val="InstructionsTabelleberschrift"/>
                <w:rFonts w:ascii="Times New Roman" w:hAnsi="Times New Roman"/>
                <w:sz w:val="24"/>
              </w:rPr>
              <w:t xml:space="preserve">TIÈRES PREMIÈRES </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Article 92, paragraphe 3, point b) i) et points c) i) et iii), et article 92, p</w:t>
            </w:r>
            <w:r>
              <w:rPr>
                <w:rStyle w:val="FormatvorlageInstructionsTabelleText"/>
                <w:rFonts w:ascii="Times New Roman" w:hAnsi="Times New Roman"/>
                <w:sz w:val="24"/>
              </w:rPr>
              <w:t>a</w:t>
            </w:r>
            <w:r>
              <w:rPr>
                <w:rStyle w:val="FormatvorlageInstructionsTabelleText"/>
                <w:rFonts w:ascii="Times New Roman" w:hAnsi="Times New Roman"/>
                <w:sz w:val="24"/>
              </w:rPr>
              <w:t>ragraphe 4, point b), du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sidR="00812B04">
              <w:rPr>
                <w:rStyle w:val="InstructionsTabelleberschrift"/>
                <w:rFonts w:ascii="Times New Roman" w:hAnsi="Times New Roman"/>
                <w:sz w:val="24"/>
              </w:rPr>
              <w:tab/>
            </w:r>
            <w:r>
              <w:rPr>
                <w:rStyle w:val="InstructionsTabelleberschrift"/>
                <w:rFonts w:ascii="Times New Roman" w:hAnsi="Times New Roman"/>
                <w:sz w:val="24"/>
              </w:rPr>
              <w:t>Montant de l'exposition au risque de position, au risque de change et au risque sur matières premières en approches standard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rsidR="00812B04">
              <w:rPr>
                <w:rStyle w:val="InstructionsTabelleberschrift"/>
                <w:rFonts w:ascii="Times New Roman" w:hAnsi="Times New Roman"/>
                <w:sz w:val="24"/>
              </w:rPr>
              <w:tab/>
            </w:r>
            <w:r>
              <w:rPr>
                <w:rStyle w:val="InstructionsTabelleberschrift"/>
                <w:rFonts w:ascii="Times New Roman" w:hAnsi="Times New Roman"/>
                <w:sz w:val="24"/>
              </w:rPr>
              <w:t>Titres de créance négociés</w:t>
            </w:r>
          </w:p>
          <w:p w:rsidR="002648B0" w:rsidRPr="007E39E6"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Modèle MKR SA TDI, sur le plan du total des devises.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sidR="00812B04">
              <w:rPr>
                <w:rStyle w:val="InstructionsTabelleberschrift"/>
                <w:rFonts w:ascii="Times New Roman" w:hAnsi="Times New Roman"/>
                <w:sz w:val="24"/>
              </w:rPr>
              <w:tab/>
            </w:r>
            <w:r>
              <w:rPr>
                <w:rStyle w:val="InstructionsTabelleberschrift"/>
                <w:rFonts w:ascii="Times New Roman" w:hAnsi="Times New Roman"/>
                <w:sz w:val="24"/>
              </w:rPr>
              <w:t>Actions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Modèle MKR SA EQU, sur le plan du total des marchés nationaux. </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555</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812B04">
              <w:rPr>
                <w:rStyle w:val="InstructionsTabelleberschrift"/>
                <w:rFonts w:ascii="Times New Roman" w:hAnsi="Times New Roman"/>
                <w:sz w:val="24"/>
              </w:rPr>
              <w:tab/>
            </w:r>
            <w:r>
              <w:rPr>
                <w:rStyle w:val="InstructionsTabelleberschrift"/>
                <w:rFonts w:ascii="Times New Roman" w:hAnsi="Times New Roman"/>
                <w:sz w:val="24"/>
              </w:rPr>
              <w:t>Approche spécifique du risque de position sur OPC</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Article 348, paragraphe 1, article 350, paragraphe 3, point c), et a</w:t>
            </w:r>
            <w:r>
              <w:rPr>
                <w:rStyle w:val="FormatvorlageInstructionsTabelleText"/>
                <w:rFonts w:ascii="Times New Roman" w:hAnsi="Times New Roman"/>
                <w:sz w:val="24"/>
              </w:rPr>
              <w:t>r</w:t>
            </w:r>
            <w:r>
              <w:rPr>
                <w:rStyle w:val="FormatvorlageInstructionsTabelleText"/>
                <w:rFonts w:ascii="Times New Roman" w:hAnsi="Times New Roman"/>
                <w:sz w:val="24"/>
              </w:rPr>
              <w:t>ticle 364, paragraphe 2, point a), du CRR</w:t>
            </w:r>
          </w:p>
          <w:p w:rsidR="00A76381"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Le montant total d'exposition au risque pour les positions sur OPC lor</w:t>
            </w:r>
            <w:r>
              <w:rPr>
                <w:rStyle w:val="FormatvorlageInstructionsTabelleText"/>
                <w:rFonts w:ascii="Times New Roman" w:hAnsi="Times New Roman"/>
                <w:sz w:val="24"/>
              </w:rPr>
              <w:t>s</w:t>
            </w:r>
            <w:r>
              <w:rPr>
                <w:rStyle w:val="FormatvorlageInstructionsTabelleText"/>
                <w:rFonts w:ascii="Times New Roman" w:hAnsi="Times New Roman"/>
                <w:sz w:val="24"/>
              </w:rPr>
              <w:t>que les exigences de fonds propres sont calculées conformément à l'a</w:t>
            </w:r>
            <w:r>
              <w:rPr>
                <w:rStyle w:val="FormatvorlageInstructionsTabelleText"/>
                <w:rFonts w:ascii="Times New Roman" w:hAnsi="Times New Roman"/>
                <w:sz w:val="24"/>
              </w:rPr>
              <w:t>r</w:t>
            </w:r>
            <w:r>
              <w:rPr>
                <w:rStyle w:val="FormatvorlageInstructionsTabelleText"/>
                <w:rFonts w:ascii="Times New Roman" w:hAnsi="Times New Roman"/>
                <w:sz w:val="24"/>
              </w:rPr>
              <w:t>ticle 348, paragraphe 1, du CRR soit immédiatement, soit en cons</w:t>
            </w:r>
            <w:r>
              <w:rPr>
                <w:rStyle w:val="FormatvorlageInstructionsTabelleText"/>
                <w:rFonts w:ascii="Times New Roman" w:hAnsi="Times New Roman"/>
                <w:sz w:val="24"/>
              </w:rPr>
              <w:t>é</w:t>
            </w:r>
            <w:r>
              <w:rPr>
                <w:rStyle w:val="FormatvorlageInstructionsTabelleText"/>
                <w:rFonts w:ascii="Times New Roman" w:hAnsi="Times New Roman"/>
                <w:sz w:val="24"/>
              </w:rPr>
              <w:t>quence du plafond visé à l'article 350, paragraphe 3, point c), du CRR. Le CRR n'affecte pas explicitement ces positions au risque de taux d'intérêt ou au risque lié aux actions.</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Lorsque l'on utilise l'approche particulière visée à la première phrase de l'article 348, paragraphe 1, du CRR, le montant à déclarer sera égal à 32 % de la position nette de l'exposition sur OPC en question multipliée par 12,5. </w:t>
            </w:r>
          </w:p>
          <w:p w:rsidR="00B97F1B"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Lorsque l'on utilise l'approche particulière visée à la deuxième phrase de l'article 348, paragraphe 1, du CRR, le montant à déclarer sera la plus p</w:t>
            </w:r>
            <w:r>
              <w:rPr>
                <w:rStyle w:val="FormatvorlageInstructionsTabelleText"/>
                <w:rFonts w:ascii="Times New Roman" w:hAnsi="Times New Roman"/>
                <w:sz w:val="24"/>
              </w:rPr>
              <w:t>e</w:t>
            </w:r>
            <w:r>
              <w:rPr>
                <w:rStyle w:val="FormatvorlageInstructionsTabelleText"/>
                <w:rFonts w:ascii="Times New Roman" w:hAnsi="Times New Roman"/>
                <w:sz w:val="24"/>
              </w:rPr>
              <w:t>tite des deux valeurs suivantes: 32 % de la position nette de l'exposition sur OPC concernée et la différence entre 40 % de cette position nette et les exigences de fonds propres découlant du risque de change associé à cette exposition sur OPC, multipliées par 12,5 dans les deux cas.</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556</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812B04">
              <w:rPr>
                <w:rStyle w:val="InstructionsTabelleberschrift"/>
                <w:rFonts w:ascii="Times New Roman" w:hAnsi="Times New Roman"/>
                <w:sz w:val="24"/>
              </w:rPr>
              <w:tab/>
            </w:r>
            <w:r>
              <w:rPr>
                <w:rStyle w:val="InstructionsTabelleberschrift"/>
                <w:rFonts w:ascii="Times New Roman" w:hAnsi="Times New Roman"/>
                <w:sz w:val="24"/>
              </w:rPr>
              <w:t>Pour mémoire: OPC exclusivement investis dans des titres de créance négociés</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Montant total d'exposition au risque pour les positions sur OPC, lorsque ceux-ci sont exclusivement investis dans des instruments soumis à un risque de taux d'intérêt.</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557</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812B04">
              <w:rPr>
                <w:rStyle w:val="InstructionsTabelleberschrift"/>
                <w:rFonts w:ascii="Times New Roman" w:hAnsi="Times New Roman"/>
                <w:sz w:val="24"/>
              </w:rPr>
              <w:tab/>
            </w:r>
            <w:r>
              <w:rPr>
                <w:rStyle w:val="InstructionsTabelleberschrift"/>
                <w:rFonts w:ascii="Times New Roman" w:hAnsi="Times New Roman"/>
                <w:sz w:val="24"/>
              </w:rPr>
              <w:t>OPC exclusivement investis dans des instruments de fonds propres ou mixtes</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Montant total d'exposition au risque pour les positions sur OPC, lorsque ceux-ci sont exclusivement investis dans des instruments soumis à un risque sur actions ou dans des instruments mixtes ou si les composantes de l'OPC sont inconnues.</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sidR="00812B04">
              <w:rPr>
                <w:rStyle w:val="InstructionsTabelleberschrift"/>
                <w:rFonts w:ascii="Times New Roman" w:hAnsi="Times New Roman"/>
                <w:sz w:val="24"/>
              </w:rPr>
              <w:tab/>
            </w:r>
            <w:r>
              <w:rPr>
                <w:rStyle w:val="InstructionsTabelleberschrift"/>
                <w:rFonts w:ascii="Times New Roman" w:hAnsi="Times New Roman"/>
                <w:sz w:val="24"/>
              </w:rPr>
              <w:t>Change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le modèle MKR SA FX.</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sidR="00812B04">
              <w:rPr>
                <w:rStyle w:val="InstructionsTabelleberschrift"/>
                <w:rFonts w:ascii="Times New Roman" w:hAnsi="Times New Roman"/>
                <w:sz w:val="24"/>
              </w:rPr>
              <w:tab/>
            </w:r>
            <w:r>
              <w:rPr>
                <w:rStyle w:val="InstructionsTabelleberschrift"/>
                <w:rFonts w:ascii="Times New Roman" w:hAnsi="Times New Roman"/>
                <w:sz w:val="24"/>
              </w:rPr>
              <w:t>Matières premières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le modèle MKR SA COM.</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580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sidR="00812B04">
              <w:rPr>
                <w:rStyle w:val="InstructionsTabelleberschrift"/>
                <w:rFonts w:ascii="Times New Roman" w:hAnsi="Times New Roman"/>
                <w:sz w:val="24"/>
              </w:rPr>
              <w:tab/>
            </w:r>
            <w:r>
              <w:rPr>
                <w:rStyle w:val="InstructionsTabelleberschrift"/>
                <w:rFonts w:ascii="Times New Roman" w:hAnsi="Times New Roman"/>
                <w:sz w:val="24"/>
              </w:rPr>
              <w:t>Montant de l'exposition au risque de position, au risque de change et au risque sur matières premières selon l'approche fondée sur les modèles internes (IM)</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le modèle MKR IM.</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sidR="00812B04">
              <w:rPr>
                <w:rStyle w:val="InstructionsTabelleberschrift"/>
                <w:rFonts w:ascii="Times New Roman" w:hAnsi="Times New Roman"/>
                <w:sz w:val="24"/>
              </w:rPr>
              <w:tab/>
            </w:r>
            <w:r>
              <w:rPr>
                <w:rStyle w:val="InstructionsTabelleberschrift"/>
                <w:rFonts w:ascii="Times New Roman" w:hAnsi="Times New Roman"/>
                <w:sz w:val="24"/>
              </w:rPr>
              <w:t>MONTANT TOTAL D'EXPOSITION AU RISQUE OP</w:t>
            </w:r>
            <w:r>
              <w:rPr>
                <w:rStyle w:val="InstructionsTabelleberschrift"/>
                <w:rFonts w:ascii="Times New Roman" w:hAnsi="Times New Roman"/>
                <w:sz w:val="24"/>
              </w:rPr>
              <w:t>É</w:t>
            </w:r>
            <w:r>
              <w:rPr>
                <w:rStyle w:val="InstructionsTabelleberschrift"/>
                <w:rFonts w:ascii="Times New Roman" w:hAnsi="Times New Roman"/>
                <w:sz w:val="24"/>
              </w:rPr>
              <w:t>RATIONNEL (OPR)</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Article 92, paragraphe 3, point e), et article 92, paragraphe 4, point b), du CRR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Pour les entreprises d'investissement visées à l'article 95, paragraphe 2, à l'article 96, paragraphe 2, et à l'article 98 du CRR, cet élément sera égal à 0.</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600</w:t>
            </w: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rsidR="00812B04">
              <w:rPr>
                <w:rStyle w:val="InstructionsTabelleberschrift"/>
                <w:rFonts w:ascii="Times New Roman" w:hAnsi="Times New Roman"/>
                <w:sz w:val="24"/>
              </w:rPr>
              <w:tab/>
            </w:r>
            <w:r>
              <w:rPr>
                <w:rStyle w:val="InstructionsTabelleberschrift"/>
                <w:rFonts w:ascii="Times New Roman" w:hAnsi="Times New Roman"/>
                <w:sz w:val="24"/>
              </w:rPr>
              <w:t>Approche élémentaire (BIA) du risque opérationnel</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le modèle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rsidR="00812B04">
              <w:rPr>
                <w:rStyle w:val="InstructionsTabelleberschrift"/>
                <w:rFonts w:ascii="Times New Roman" w:hAnsi="Times New Roman"/>
                <w:sz w:val="24"/>
              </w:rPr>
              <w:tab/>
            </w:r>
            <w:r>
              <w:rPr>
                <w:rStyle w:val="InstructionsTabelleberschrift"/>
                <w:rFonts w:ascii="Times New Roman" w:hAnsi="Times New Roman"/>
                <w:sz w:val="24"/>
              </w:rPr>
              <w:t>Approche standard (TSA)/Approche standard de remplac</w:t>
            </w:r>
            <w:r>
              <w:rPr>
                <w:rStyle w:val="InstructionsTabelleberschrift"/>
                <w:rFonts w:ascii="Times New Roman" w:hAnsi="Times New Roman"/>
                <w:sz w:val="24"/>
              </w:rPr>
              <w:t>e</w:t>
            </w:r>
            <w:r>
              <w:rPr>
                <w:rStyle w:val="InstructionsTabelleberschrift"/>
                <w:rFonts w:ascii="Times New Roman" w:hAnsi="Times New Roman"/>
                <w:sz w:val="24"/>
              </w:rPr>
              <w:t>ment (ASA) du risque opérationnel</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le modèle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rsidR="00812B04">
              <w:rPr>
                <w:rStyle w:val="InstructionsTabelleberschrift"/>
                <w:rFonts w:ascii="Times New Roman" w:hAnsi="Times New Roman"/>
                <w:sz w:val="24"/>
              </w:rPr>
              <w:tab/>
            </w:r>
            <w:r>
              <w:rPr>
                <w:rStyle w:val="InstructionsTabelleberschrift"/>
                <w:rFonts w:ascii="Times New Roman" w:hAnsi="Times New Roman"/>
                <w:sz w:val="24"/>
              </w:rPr>
              <w:t>Approches par mesure avancée (AMA) du risque opératio</w:t>
            </w:r>
            <w:r>
              <w:rPr>
                <w:rStyle w:val="InstructionsTabelleberschrift"/>
                <w:rFonts w:ascii="Times New Roman" w:hAnsi="Times New Roman"/>
                <w:sz w:val="24"/>
              </w:rPr>
              <w:t>n</w:t>
            </w:r>
            <w:r>
              <w:rPr>
                <w:rStyle w:val="InstructionsTabelleberschrift"/>
                <w:rFonts w:ascii="Times New Roman" w:hAnsi="Times New Roman"/>
                <w:sz w:val="24"/>
              </w:rPr>
              <w:t>nel</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le modèle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sidR="00812B04">
              <w:rPr>
                <w:rStyle w:val="InstructionsTabelleberschrift"/>
                <w:rFonts w:ascii="Times New Roman" w:hAnsi="Times New Roman"/>
                <w:sz w:val="24"/>
              </w:rPr>
              <w:tab/>
            </w:r>
            <w:r>
              <w:rPr>
                <w:rStyle w:val="InstructionsTabelleberschrift"/>
                <w:rFonts w:ascii="Times New Roman" w:hAnsi="Times New Roman"/>
                <w:sz w:val="24"/>
              </w:rPr>
              <w:t>MONTANT D'EXPOSITION AU RISQUE SUPPLÉME</w:t>
            </w:r>
            <w:r>
              <w:rPr>
                <w:rStyle w:val="InstructionsTabelleberschrift"/>
                <w:rFonts w:ascii="Times New Roman" w:hAnsi="Times New Roman"/>
                <w:sz w:val="24"/>
              </w:rPr>
              <w:t>N</w:t>
            </w:r>
            <w:r>
              <w:rPr>
                <w:rStyle w:val="InstructionsTabelleberschrift"/>
                <w:rFonts w:ascii="Times New Roman" w:hAnsi="Times New Roman"/>
                <w:sz w:val="24"/>
              </w:rPr>
              <w:t>TAIRE LIÉ AUX FRAIS FIXES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Article 95, paragraphe 2, article 96, paragraphe 2, article 97 et article 98, paragraphe 1, point a), du CRR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Ne concerne que les entreprises d'investissement visées à l'article 95, p</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ragraphe 2, à l'article 96, paragraphe 2, et à l'article 98 du CRR. Voir également l'article 97 du CRR.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Les entreprises d'investissement visées à l'article 96 du CRR déclarent le montant visé à l'article 97, multiplié par 12,5.</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Pour les entreprises d'investissement visées à l'article 95 du CRR:</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Si le</w:t>
            </w:r>
            <w:r>
              <w:t xml:space="preserve"> montant </w:t>
            </w:r>
            <w:r>
              <w:rPr>
                <w:rStyle w:val="FormatvorlageInstructionsTabelleText"/>
                <w:rFonts w:ascii="Times New Roman" w:hAnsi="Times New Roman"/>
                <w:sz w:val="24"/>
              </w:rPr>
              <w:t>visé à l'article 95, paragraphe 2, point a), du CRR est supérieur au montant visé à l'article 95, paragraphe 2, point b), du CRR, le montant à déclarer sera 0.</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Si le</w:t>
            </w:r>
            <w:r>
              <w:t xml:space="preserve"> montant </w:t>
            </w:r>
            <w:r>
              <w:rPr>
                <w:rStyle w:val="FormatvorlageInstructionsTabelleText"/>
                <w:rFonts w:ascii="Times New Roman" w:hAnsi="Times New Roman"/>
                <w:sz w:val="24"/>
              </w:rPr>
              <w:t xml:space="preserve">visé à l'article 95, paragraphe 2, point b), du CRR est supérieur au montant visé à l'article 95, paragraphe 2, point a), du CRR, le montant à déclarer sera obtenu en soustrayant ce dernier du premier.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sidR="00812B04">
              <w:rPr>
                <w:rStyle w:val="InstructionsTabelleberschrift"/>
                <w:rFonts w:ascii="Times New Roman" w:hAnsi="Times New Roman"/>
                <w:sz w:val="24"/>
              </w:rPr>
              <w:tab/>
            </w:r>
            <w:r>
              <w:rPr>
                <w:rStyle w:val="InstructionsTabelleberschrift"/>
                <w:rFonts w:ascii="Times New Roman" w:hAnsi="Times New Roman"/>
                <w:sz w:val="24"/>
              </w:rPr>
              <w:t>MONTANT TOTAL D'EXPOSITION AU RISQUE D'AJUSTEMENT DE L'ÉVALUATION DE CRÉDIT</w:t>
            </w:r>
          </w:p>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Article 92, paragraphe 3, point d), du CRR. Voir le modèle CVA.</w:t>
            </w:r>
            <w:r>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650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rsidR="00812B04">
              <w:rPr>
                <w:rStyle w:val="InstructionsTabelleberschrift"/>
                <w:rFonts w:ascii="Times New Roman" w:hAnsi="Times New Roman"/>
                <w:sz w:val="24"/>
              </w:rPr>
              <w:tab/>
            </w:r>
            <w:r>
              <w:rPr>
                <w:rStyle w:val="InstructionsTabelleberschrift"/>
                <w:rFonts w:ascii="Times New Roman" w:hAnsi="Times New Roman"/>
                <w:sz w:val="24"/>
              </w:rPr>
              <w:t>Méthode avancée</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Exigences de fonds propres pour le risque d'ajustement de l'évaluation de crédit, conformément à l'article 383 du CRR. Voir le modèle CVA.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rsidR="00812B04">
              <w:rPr>
                <w:rStyle w:val="InstructionsTabelleberschrift"/>
                <w:rFonts w:ascii="Times New Roman" w:hAnsi="Times New Roman"/>
                <w:sz w:val="24"/>
              </w:rPr>
              <w:tab/>
            </w:r>
            <w:r>
              <w:rPr>
                <w:rStyle w:val="InstructionsTabelleberschrift"/>
                <w:rFonts w:ascii="Times New Roman" w:hAnsi="Times New Roman"/>
                <w:sz w:val="24"/>
              </w:rPr>
              <w:t>Méthode standard</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Exigences de fonds propres pour le risque d'ajustement de l'évaluation de crédit, conformément à l'article 384 du CRR. Voir le modèle CVA.</w:t>
            </w:r>
          </w:p>
        </w:tc>
      </w:tr>
      <w:tr w:rsidR="00836845" w:rsidRPr="00392FFD" w:rsidTr="00672D2A">
        <w:tc>
          <w:tcPr>
            <w:tcW w:w="1591" w:type="dxa"/>
          </w:tcPr>
          <w:p w:rsidR="00836845"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274" w:type="dxa"/>
          </w:tcPr>
          <w:p w:rsidR="005643EA" w:rsidRPr="00392FFD" w:rsidRDefault="00D33AA1"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rsidR="00812B04">
              <w:rPr>
                <w:rStyle w:val="InstructionsTabelleberschrift"/>
                <w:rFonts w:ascii="Times New Roman" w:hAnsi="Times New Roman"/>
                <w:sz w:val="24"/>
              </w:rPr>
              <w:tab/>
            </w:r>
            <w:r>
              <w:rPr>
                <w:rStyle w:val="InstructionsTabelleberschrift"/>
                <w:rFonts w:ascii="Times New Roman" w:hAnsi="Times New Roman"/>
                <w:sz w:val="24"/>
              </w:rPr>
              <w:t>Méthode de l'exposition initiale</w:t>
            </w:r>
          </w:p>
          <w:p w:rsidR="00783881" w:rsidRPr="007E39E6" w:rsidRDefault="00D33AA1" w:rsidP="00FD239F">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lastRenderedPageBreak/>
              <w:t>Exigences de fonds propres pour le risque d'ajustement de l'évaluation de crédit, conformément à l'article 385 du CRR. Voir le modèle CVA.</w:t>
            </w:r>
          </w:p>
        </w:tc>
      </w:tr>
      <w:tr w:rsidR="002648B0" w:rsidRPr="00392FFD" w:rsidTr="00672D2A">
        <w:tc>
          <w:tcPr>
            <w:tcW w:w="1591" w:type="dxa"/>
          </w:tcPr>
          <w:p w:rsidR="00783881" w:rsidRPr="00392FFD" w:rsidRDefault="00D33AA1"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680</w:t>
            </w:r>
          </w:p>
        </w:tc>
        <w:tc>
          <w:tcPr>
            <w:tcW w:w="7274" w:type="dxa"/>
          </w:tcPr>
          <w:p w:rsidR="00783881"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sidR="00812B04">
              <w:rPr>
                <w:rStyle w:val="InstructionsTabelleberschrift"/>
                <w:rFonts w:ascii="Times New Roman" w:hAnsi="Times New Roman"/>
                <w:sz w:val="24"/>
              </w:rPr>
              <w:tab/>
            </w:r>
            <w:r>
              <w:rPr>
                <w:rStyle w:val="InstructionsTabelleberschrift"/>
                <w:rFonts w:ascii="Times New Roman" w:hAnsi="Times New Roman"/>
                <w:sz w:val="24"/>
              </w:rPr>
              <w:t>MONTANT TOTAL D'EXPOSITION LIÉ AUX GRANDS RISQUES DU PORTEFEUILLE DE NÉGOCIATION</w:t>
            </w:r>
          </w:p>
          <w:p w:rsidR="00783881"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Article 92, paragraphe 3, point b) ii), et articles 395 à 401 du CRR</w:t>
            </w:r>
          </w:p>
        </w:tc>
      </w:tr>
      <w:tr w:rsidR="002648B0" w:rsidRPr="00392FFD" w:rsidTr="00672D2A">
        <w:tc>
          <w:tcPr>
            <w:tcW w:w="1591" w:type="dxa"/>
          </w:tcPr>
          <w:p w:rsidR="002648B0"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sidR="00812B04">
              <w:rPr>
                <w:rStyle w:val="InstructionsTabelleberschrift"/>
                <w:rFonts w:ascii="Times New Roman" w:hAnsi="Times New Roman"/>
                <w:sz w:val="24"/>
              </w:rPr>
              <w:tab/>
            </w:r>
            <w:r>
              <w:rPr>
                <w:rStyle w:val="InstructionsTabelleberschrift"/>
                <w:rFonts w:ascii="Times New Roman" w:hAnsi="Times New Roman"/>
                <w:sz w:val="24"/>
              </w:rPr>
              <w:t>MONTANTS D'EXPOSITION AUX AUTRES RISQUES</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Articles 3, 458 et 459 du CRR, ainsi que les montants d'exposition au risque ne pouvant pas être déclarés dans un des postes 1.1 à 1.7. </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établissements déclarent les montants nécessaires pour se conformer aux dispositions suivantes:</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Les exigences prudentielles plus strictes imposées par la Commission, conformément aux articles 458 et 459 du CRR. </w:t>
            </w:r>
          </w:p>
          <w:p w:rsidR="00783881" w:rsidRPr="00392FFD" w:rsidRDefault="00DA4727"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Montants d'exposition au risque supplémentaires liés à l'article 3 du CRR</w:t>
            </w:r>
          </w:p>
          <w:p w:rsidR="005643EA" w:rsidRPr="007E39E6" w:rsidRDefault="00DA4727" w:rsidP="00FD239F">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Ce poste n'a aucun lien avec un modèle détaillé.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sidR="00812B04">
              <w:rPr>
                <w:rStyle w:val="InstructionsTabelleberschrift"/>
                <w:rFonts w:ascii="Times New Roman" w:hAnsi="Times New Roman"/>
                <w:sz w:val="24"/>
              </w:rPr>
              <w:tab/>
            </w:r>
            <w:r>
              <w:rPr>
                <w:rStyle w:val="InstructionsTabelleberschrift"/>
                <w:rFonts w:ascii="Times New Roman" w:hAnsi="Times New Roman"/>
                <w:sz w:val="24"/>
              </w:rPr>
              <w:t>Dont: Exigences prudentielles plus strictes supplémentaires en vertu de l'art. 458</w:t>
            </w:r>
          </w:p>
          <w:p w:rsidR="005643EA" w:rsidRPr="007E39E6" w:rsidRDefault="002648B0"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Article 458 du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rsidR="00812B04">
              <w:rPr>
                <w:rStyle w:val="InstructionsTabelleberschrift"/>
                <w:rFonts w:ascii="Times New Roman" w:hAnsi="Times New Roman"/>
                <w:sz w:val="24"/>
              </w:rPr>
              <w:tab/>
            </w:r>
            <w:r>
              <w:rPr>
                <w:rStyle w:val="InstructionsTabelleberschrift"/>
                <w:rFonts w:ascii="Times New Roman" w:hAnsi="Times New Roman"/>
                <w:sz w:val="24"/>
              </w:rPr>
              <w:t>Dont: exigences pour grands risques</w:t>
            </w:r>
          </w:p>
          <w:p w:rsidR="005643EA" w:rsidRPr="00392FFD" w:rsidRDefault="002648B0" w:rsidP="00FD239F">
            <w:pPr>
              <w:pStyle w:val="InstructionsText"/>
              <w:rPr>
                <w:rStyle w:val="InstructionsTabelleberschrift"/>
                <w:rFonts w:ascii="Times New Roman" w:hAnsi="Times New Roman"/>
                <w:sz w:val="24"/>
              </w:rPr>
            </w:pPr>
            <w:r>
              <w:t>Article 458 du CRR</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rsidR="00812B04">
              <w:rPr>
                <w:rStyle w:val="InstructionsTabelleberschrift"/>
                <w:rFonts w:ascii="Times New Roman" w:hAnsi="Times New Roman"/>
                <w:sz w:val="24"/>
              </w:rPr>
              <w:tab/>
            </w:r>
            <w:r>
              <w:rPr>
                <w:rStyle w:val="InstructionsTabelleberschrift"/>
                <w:rFonts w:ascii="Times New Roman" w:hAnsi="Times New Roman"/>
                <w:sz w:val="24"/>
              </w:rPr>
              <w:t>Dont: lié aux pondérations de risque modifiées pour faire face aux bulles d'actifs dans l'immobilier à usage résidentiel et commercial</w:t>
            </w:r>
          </w:p>
          <w:p w:rsidR="005643EA" w:rsidRPr="00392FFD" w:rsidRDefault="002648B0" w:rsidP="00FD239F">
            <w:pPr>
              <w:pStyle w:val="InstructionsText"/>
              <w:rPr>
                <w:rStyle w:val="InstructionsTabelleberschrift"/>
                <w:rFonts w:ascii="Times New Roman" w:hAnsi="Times New Roman"/>
                <w:sz w:val="24"/>
              </w:rPr>
            </w:pPr>
            <w:r>
              <w:t>Article 458 du CRR</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rsidR="005C5D3F">
              <w:rPr>
                <w:rStyle w:val="InstructionsTabelleberschrift"/>
                <w:rFonts w:ascii="Times New Roman" w:hAnsi="Times New Roman"/>
                <w:sz w:val="24"/>
              </w:rPr>
              <w:tab/>
            </w:r>
            <w:r>
              <w:rPr>
                <w:rStyle w:val="InstructionsTabelleberschrift"/>
                <w:rFonts w:ascii="Times New Roman" w:hAnsi="Times New Roman"/>
                <w:sz w:val="24"/>
              </w:rPr>
              <w:t>Dont: lié aux expositions au sein du secteur financier</w:t>
            </w:r>
          </w:p>
          <w:p w:rsidR="005643EA" w:rsidRPr="00392FFD" w:rsidRDefault="002648B0" w:rsidP="00FD239F">
            <w:pPr>
              <w:pStyle w:val="InstructionsText"/>
              <w:rPr>
                <w:rStyle w:val="InstructionsTabelleberschrift"/>
                <w:rFonts w:ascii="Times New Roman" w:hAnsi="Times New Roman"/>
                <w:sz w:val="24"/>
              </w:rPr>
            </w:pPr>
            <w:r>
              <w:t>Article 458 du CRR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sidR="005C5D3F">
              <w:rPr>
                <w:rStyle w:val="InstructionsTabelleberschrift"/>
                <w:rFonts w:ascii="Times New Roman" w:hAnsi="Times New Roman"/>
                <w:sz w:val="24"/>
              </w:rPr>
              <w:tab/>
            </w:r>
            <w:r>
              <w:rPr>
                <w:rStyle w:val="InstructionsTabelleberschrift"/>
                <w:rFonts w:ascii="Times New Roman" w:hAnsi="Times New Roman"/>
                <w:sz w:val="24"/>
              </w:rPr>
              <w:t>Dont: Exigences prudentielles plus strictes supplémentaires en vertu de l'art. 459</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459 du CRR</w:t>
            </w:r>
          </w:p>
        </w:tc>
      </w:tr>
      <w:tr w:rsidR="00523DD6" w:rsidRPr="00392FFD" w:rsidTr="00672D2A">
        <w:tc>
          <w:tcPr>
            <w:tcW w:w="1591" w:type="dxa"/>
            <w:shd w:val="clear" w:color="auto" w:fill="auto"/>
          </w:tcPr>
          <w:p w:rsidR="00523DD6"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274" w:type="dxa"/>
          </w:tcPr>
          <w:p w:rsidR="005643EA" w:rsidRPr="00392FFD" w:rsidRDefault="00523DD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sidR="005C5D3F">
              <w:rPr>
                <w:rStyle w:val="InstructionsTabelleberschrift"/>
                <w:rFonts w:ascii="Times New Roman" w:hAnsi="Times New Roman"/>
                <w:sz w:val="24"/>
              </w:rPr>
              <w:tab/>
            </w:r>
            <w:r>
              <w:rPr>
                <w:rStyle w:val="InstructionsTabelleberschrift"/>
                <w:rFonts w:ascii="Times New Roman" w:hAnsi="Times New Roman"/>
                <w:sz w:val="24"/>
              </w:rPr>
              <w:t>Dont: Montant d'exposition au risque supplémentaire lié à l'article 3 du CRR</w:t>
            </w:r>
          </w:p>
          <w:p w:rsidR="005643EA"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 du CRR</w:t>
            </w:r>
          </w:p>
          <w:p w:rsidR="005643EA" w:rsidRPr="00392FFD" w:rsidRDefault="00523DD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montant supplémentaire d'exposition au risque doit être déclaré. C</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lui-ci ne comprendra que les montants supplémentaires (par ex. lor</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 xml:space="preserve">qu'une exposition de 100 a une pondération de risque de 20 % et que l'établissement applique une pondération de risque de 50 % en vertu de l'article 3 du CRR, le montant à déclarer sera de 30). </w:t>
            </w:r>
          </w:p>
        </w:tc>
      </w:tr>
      <w:tr w:rsidR="00FE6995"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241190" w:rsidRDefault="00FE6995" w:rsidP="00FD239F">
            <w:pPr>
              <w:pStyle w:val="InstructionsText"/>
              <w:rPr>
                <w:rStyle w:val="FormatvorlageInstructionsTabelleText"/>
                <w:rFonts w:ascii="Times New Roman" w:hAnsi="Times New Roman"/>
                <w:bCs w:val="0"/>
                <w:sz w:val="24"/>
              </w:rPr>
            </w:pPr>
            <w:bookmarkStart w:id="63" w:name="_Toc473560877"/>
            <w:bookmarkStart w:id="64" w:name="_Toc308175826"/>
            <w:bookmarkStart w:id="65" w:name="_Toc360188329"/>
            <w:r>
              <w:rPr>
                <w:rStyle w:val="FormatvorlageInstructionsTabelleText"/>
                <w:rFonts w:ascii="Times New Roman" w:hAnsi="Times New Roman"/>
                <w:sz w:val="24"/>
              </w:rPr>
              <w:t>770 – 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Default="00394410" w:rsidP="00FE699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 Dont: Montants d'exposition pondérés pour risque de crédit: positions de titrisation (cadre relatif à la titrisation tel que révisé)</w:t>
            </w:r>
          </w:p>
          <w:p w:rsidR="00FE6995" w:rsidRDefault="00FE6995" w:rsidP="00FE699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fournissent les informations des</w:t>
            </w:r>
            <w:r>
              <w:t xml:space="preserve"> lignes 770 à 900 pour les dates de déclaration de référence postérieures au 1</w:t>
            </w:r>
            <w:r>
              <w:rPr>
                <w:vertAlign w:val="superscript"/>
              </w:rPr>
              <w:t>er</w:t>
            </w:r>
            <w:r>
              <w:t xml:space="preserve"> janvier </w:t>
            </w:r>
            <w:r>
              <w:lastRenderedPageBreak/>
              <w:t>2019.</w:t>
            </w:r>
          </w:p>
          <w:p w:rsidR="00FE6995" w:rsidRPr="0085692D" w:rsidRDefault="00FE6995" w:rsidP="00FE6995">
            <w:pPr>
              <w:pStyle w:val="InstructionsText"/>
            </w:pPr>
            <w:r>
              <w:rPr>
                <w:rStyle w:val="InstructionsTabelleberschrift"/>
                <w:rFonts w:ascii="Times New Roman" w:hAnsi="Times New Roman"/>
                <w:b w:val="0"/>
                <w:sz w:val="24"/>
                <w:u w:val="none"/>
              </w:rPr>
              <w:t>L</w:t>
            </w:r>
            <w:r>
              <w:t>es lignes 770 à 900 présentent les montants d’exposition pondérés pour risque de crédit de ces positions de titrisation,  calculés conformément aux dispositions du CRR.</w:t>
            </w:r>
          </w:p>
          <w:p w:rsidR="00FE6995" w:rsidRPr="00672D2A" w:rsidRDefault="00FE6995" w:rsidP="00FE6995">
            <w:pPr>
              <w:pStyle w:val="InstructionsText"/>
              <w:rPr>
                <w:rStyle w:val="InstructionsTabelleberschrift"/>
                <w:rFonts w:ascii="Times New Roman" w:hAnsi="Times New Roman"/>
                <w:sz w:val="24"/>
              </w:rPr>
            </w:pPr>
            <w:r>
              <w:t>Les montants déclarés correspondent au montant total d’exposition po</w:t>
            </w:r>
            <w:r>
              <w:t>n</w:t>
            </w:r>
            <w:r>
              <w:t>déré calculé conformément à la troisième partie, titre II, chapitre 5, du CRR, en tenant compte de la pondération de risque totale imposée co</w:t>
            </w:r>
            <w:r>
              <w:t>n</w:t>
            </w:r>
            <w:r>
              <w:t xml:space="preserve">formément à l’article 247, paragraphe 6, du CRR et des plafonds prévus à la troisième partie, </w:t>
            </w:r>
            <w:r w:rsidR="00C638B3">
              <w:t>titre</w:t>
            </w:r>
            <w:r>
              <w:t xml:space="preserve"> II, chapitre 5, section 3, sous-section 4, du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241190" w:rsidRDefault="009B591B"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rsidR="005C5D3F">
              <w:rPr>
                <w:rStyle w:val="InstructionsTabelleberschrift"/>
                <w:rFonts w:ascii="Times New Roman" w:hAnsi="Times New Roman"/>
                <w:sz w:val="24"/>
              </w:rPr>
              <w:tab/>
            </w:r>
            <w:r>
              <w:rPr>
                <w:rStyle w:val="InstructionsTabelleberschrift"/>
                <w:rFonts w:ascii="Times New Roman" w:hAnsi="Times New Roman"/>
                <w:sz w:val="24"/>
              </w:rPr>
              <w:t>Dont: Montants d'exposition pondérés pour risque de crédit: positions de titrisation (cadre relatif à la titrisation tel que révisé)</w:t>
            </w:r>
          </w:p>
          <w:p w:rsidR="009B591B" w:rsidRPr="00241190" w:rsidRDefault="009B591B" w:rsidP="003B20D7">
            <w:pPr>
              <w:pStyle w:val="InstructionsText"/>
              <w:rPr>
                <w:rStyle w:val="InstructionsTabelleberschrift"/>
                <w:rFonts w:ascii="Times New Roman" w:hAnsi="Times New Roman"/>
                <w:bCs w:val="0"/>
                <w:sz w:val="24"/>
              </w:rPr>
            </w:pPr>
            <w:r>
              <w:t xml:space="preserve">Article 92, paragraphe 3, point a), et troisième partie, titre II, chapitre 5, du CRR. </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w:t>
            </w:r>
            <w:r w:rsidR="005C5D3F">
              <w:rPr>
                <w:rStyle w:val="InstructionsTabelleberschrift"/>
                <w:rFonts w:ascii="Times New Roman" w:hAnsi="Times New Roman"/>
                <w:sz w:val="24"/>
              </w:rPr>
              <w:tab/>
            </w:r>
            <w:r>
              <w:rPr>
                <w:rStyle w:val="InstructionsTabelleberschrift"/>
                <w:rFonts w:ascii="Times New Roman" w:hAnsi="Times New Roman"/>
                <w:sz w:val="24"/>
              </w:rPr>
              <w:t xml:space="preserve"> Approche fondée sur les notations internes (SEC-IRBA)</w:t>
            </w:r>
          </w:p>
          <w:p w:rsidR="00BD661B" w:rsidRPr="0085692D" w:rsidRDefault="00BD661B" w:rsidP="00FD239F">
            <w:pPr>
              <w:pStyle w:val="InstructionsText"/>
              <w:rPr>
                <w:rStyle w:val="InstructionsTabelleberschrift"/>
                <w:rFonts w:ascii="Times New Roman" w:hAnsi="Times New Roman"/>
                <w:b w:val="0"/>
                <w:bCs w:val="0"/>
                <w:sz w:val="24"/>
                <w:u w:val="none"/>
              </w:rPr>
            </w:pPr>
            <w:r>
              <w:t>Article 254, paragraphe 1, point a), et articles 259 et 260 du CRR</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1.8.5.1.1</w:t>
            </w:r>
            <w:r w:rsidR="005C5D3F">
              <w:rPr>
                <w:rStyle w:val="InstructionsTabelleberschrift"/>
                <w:rFonts w:ascii="Times New Roman" w:hAnsi="Times New Roman"/>
                <w:sz w:val="24"/>
              </w:rPr>
              <w:tab/>
            </w:r>
            <w:r>
              <w:rPr>
                <w:rStyle w:val="InstructionsTabelleberschrift"/>
                <w:rFonts w:ascii="Times New Roman" w:hAnsi="Times New Roman"/>
                <w:sz w:val="24"/>
              </w:rPr>
              <w:t>Titrisations non éligibles au traitement différencié en termes d’exigences de fonds propres</w:t>
            </w:r>
          </w:p>
          <w:p w:rsidR="003D7822" w:rsidRPr="0085692D" w:rsidRDefault="00924FE7" w:rsidP="003B20D7">
            <w:pPr>
              <w:pStyle w:val="InstructionsText"/>
              <w:rPr>
                <w:rStyle w:val="InstructionsTabelleberschrift"/>
                <w:rFonts w:ascii="Times New Roman" w:hAnsi="Times New Roman"/>
                <w:b w:val="0"/>
                <w:sz w:val="24"/>
              </w:rPr>
            </w:pPr>
            <w:r>
              <w:t>Article 254, paragraphe 1, point a), et article 259 du CRR</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1.8.5.1.2</w:t>
            </w:r>
            <w:r w:rsidR="005C5D3F">
              <w:rPr>
                <w:rStyle w:val="InstructionsTabelleberschrift"/>
                <w:rFonts w:ascii="Times New Roman" w:hAnsi="Times New Roman"/>
                <w:sz w:val="24"/>
              </w:rPr>
              <w:tab/>
            </w:r>
            <w:r>
              <w:rPr>
                <w:rStyle w:val="InstructionsTabelleberschrift"/>
                <w:rFonts w:ascii="Times New Roman" w:hAnsi="Times New Roman"/>
                <w:sz w:val="24"/>
              </w:rPr>
              <w:t>Titrisations STS éligibles au traitement différencié en termes d’exigences de fonds propres</w:t>
            </w:r>
          </w:p>
          <w:p w:rsidR="00924FE7" w:rsidRPr="0085692D" w:rsidRDefault="00602FA5" w:rsidP="00FD239F">
            <w:pPr>
              <w:pStyle w:val="InstructionsText"/>
            </w:pPr>
            <w:r>
              <w:t>Article 254, paragraphe 1, point a), et articles 259 et 260 du CRR</w:t>
            </w:r>
          </w:p>
          <w:p w:rsidR="008B1A0F" w:rsidRPr="00241190" w:rsidRDefault="00366794" w:rsidP="003B20D7">
            <w:pPr>
              <w:pStyle w:val="InstructionsText"/>
              <w:rPr>
                <w:rStyle w:val="InstructionsTabelleberschrift"/>
                <w:rFonts w:ascii="Times New Roman" w:hAnsi="Times New Roman"/>
                <w:sz w:val="24"/>
              </w:rPr>
            </w:pPr>
            <w:r>
              <w:t>Les titrisations STS éligibles au traitement différencié en termes d’exigences de fonds propres en vertu de l’article 243 du CRR de même que les positions de rang supérieur dans les titrisations de prêts aux PME éligibles au traitement différencié en termes d’exigences de fonds propres en vertu de l’article 270 du CRR sont déclarées dans cette ligne.</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 Approche standard (SEC-SA)</w:t>
            </w:r>
          </w:p>
          <w:p w:rsidR="002625C0" w:rsidRPr="00241190" w:rsidRDefault="002625C0"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254, paragraphe 1, point b), paragraphe 6, et articles 261, 262 et 269</w:t>
            </w:r>
            <w:r>
              <w:t xml:space="preserve"> du </w:t>
            </w:r>
            <w:r>
              <w:rPr>
                <w:rStyle w:val="FormatvorlageInstructionsTabelleText"/>
                <w:rFonts w:ascii="Times New Roman" w:hAnsi="Times New Roman"/>
                <w:sz w:val="24"/>
              </w:rPr>
              <w:t>CRR</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1.8.5.2.1</w:t>
            </w:r>
            <w:r w:rsidR="005C5D3F">
              <w:rPr>
                <w:rStyle w:val="InstructionsTabelleberschrift"/>
                <w:rFonts w:ascii="Times New Roman" w:hAnsi="Times New Roman"/>
                <w:sz w:val="24"/>
              </w:rPr>
              <w:tab/>
            </w:r>
            <w:r>
              <w:rPr>
                <w:rStyle w:val="InstructionsTabelleberschrift"/>
                <w:rFonts w:ascii="Times New Roman" w:hAnsi="Times New Roman"/>
                <w:sz w:val="24"/>
              </w:rPr>
              <w:t>Titrisations non éligibles au traitement différencié en termes d’exigences de fonds propres</w:t>
            </w:r>
          </w:p>
          <w:p w:rsidR="004E6D5F" w:rsidRPr="00241190" w:rsidRDefault="004E6D5F"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254, paragraphe 1, point b), paragraphe 6, et articles 261 et 269</w:t>
            </w:r>
            <w:r>
              <w:t xml:space="preserve"> du </w:t>
            </w:r>
            <w:r>
              <w:rPr>
                <w:rStyle w:val="FormatvorlageInstructionsTabelleText"/>
                <w:rFonts w:ascii="Times New Roman" w:hAnsi="Times New Roman"/>
                <w:sz w:val="24"/>
              </w:rPr>
              <w:t>CRR</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1.8.5.2.2</w:t>
            </w:r>
            <w:r w:rsidR="005C5D3F">
              <w:rPr>
                <w:rStyle w:val="InstructionsTabelleberschrift"/>
                <w:rFonts w:ascii="Times New Roman" w:hAnsi="Times New Roman"/>
                <w:sz w:val="24"/>
              </w:rPr>
              <w:tab/>
            </w:r>
            <w:r>
              <w:rPr>
                <w:rStyle w:val="InstructionsTabelleberschrift"/>
                <w:rFonts w:ascii="Times New Roman" w:hAnsi="Times New Roman"/>
                <w:sz w:val="24"/>
              </w:rPr>
              <w:t>Titrisations STS éligibles au traitement différencié en termes d’exigences de fonds propres</w:t>
            </w:r>
          </w:p>
          <w:p w:rsidR="004E6D5F" w:rsidRPr="00220265" w:rsidRDefault="004E6D5F" w:rsidP="00FD239F">
            <w:pPr>
              <w:pStyle w:val="InstructionsText"/>
            </w:pPr>
            <w:r>
              <w:t>Article 254, paragraphe 1, point b), et articles 261 et 262 du CRR</w:t>
            </w:r>
          </w:p>
          <w:p w:rsidR="005C5D3F" w:rsidRPr="00241190" w:rsidRDefault="00366794" w:rsidP="005C5D3F">
            <w:pPr>
              <w:pStyle w:val="InstructionsText"/>
              <w:rPr>
                <w:rStyle w:val="InstructionsTabelleberschrift"/>
                <w:rFonts w:ascii="Times New Roman" w:hAnsi="Times New Roman"/>
                <w:sz w:val="24"/>
              </w:rPr>
            </w:pPr>
            <w:r>
              <w:t>Les titrisations STS éligibles au traitement différencié en termes d’exigences de fonds propres en vertu de l’article 243 de même que les positions de rang supérieur dans les titrisations de prêts aux PME él</w:t>
            </w:r>
            <w:r>
              <w:t>i</w:t>
            </w:r>
            <w:r>
              <w:t>gibles au traitement différencié en termes d’exigences de fonds propres en vertu de l’article 270 du CRR sont déclarées dans cette ligne.</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840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w:t>
            </w:r>
            <w:r w:rsidR="005C5D3F">
              <w:rPr>
                <w:rStyle w:val="InstructionsTabelleberschrift"/>
                <w:rFonts w:ascii="Times New Roman" w:hAnsi="Times New Roman"/>
                <w:sz w:val="24"/>
              </w:rPr>
              <w:tab/>
            </w:r>
            <w:r>
              <w:rPr>
                <w:rStyle w:val="InstructionsTabelleberschrift"/>
                <w:rFonts w:ascii="Times New Roman" w:hAnsi="Times New Roman"/>
                <w:sz w:val="24"/>
              </w:rPr>
              <w:t xml:space="preserve"> Approche fondée sur les notations externes (SEC-ERBA)</w:t>
            </w:r>
          </w:p>
          <w:p w:rsidR="009B591B" w:rsidRPr="00241190" w:rsidRDefault="009B591B" w:rsidP="003B20D7">
            <w:pPr>
              <w:pStyle w:val="InstructionsText"/>
              <w:rPr>
                <w:rStyle w:val="InstructionsTabelleberschrift"/>
                <w:rFonts w:ascii="Times New Roman" w:hAnsi="Times New Roman"/>
                <w:sz w:val="24"/>
              </w:rPr>
            </w:pPr>
            <w:r>
              <w:t>Article 254, paragraphe 1, point c), paragraphes 2, 3 et 4, et articles 263 et 264 du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1.8.5.3.1</w:t>
            </w:r>
            <w:r w:rsidR="005C5D3F">
              <w:rPr>
                <w:rStyle w:val="InstructionsTabelleberschrift"/>
                <w:rFonts w:ascii="Times New Roman" w:hAnsi="Times New Roman"/>
                <w:sz w:val="24"/>
              </w:rPr>
              <w:tab/>
            </w:r>
            <w:r>
              <w:rPr>
                <w:rStyle w:val="InstructionsTabelleberschrift"/>
                <w:rFonts w:ascii="Times New Roman" w:hAnsi="Times New Roman"/>
                <w:sz w:val="24"/>
              </w:rPr>
              <w:t>Titrisations non éligibles au traitement différencié en termes d’exigences de fonds propres</w:t>
            </w:r>
          </w:p>
          <w:p w:rsidR="009B591B" w:rsidRPr="00241190" w:rsidRDefault="009B591B" w:rsidP="003B20D7">
            <w:pPr>
              <w:pStyle w:val="InstructionsText"/>
              <w:rPr>
                <w:rStyle w:val="InstructionsTabelleberschrift"/>
                <w:rFonts w:ascii="Times New Roman" w:hAnsi="Times New Roman"/>
                <w:sz w:val="24"/>
              </w:rPr>
            </w:pPr>
            <w:r>
              <w:t>Article 254, paragraphe 1, point c), paragraphes 2, 3 et 4, et article 263 du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1.8.5.3.2</w:t>
            </w:r>
            <w:r w:rsidR="005C5D3F">
              <w:rPr>
                <w:rStyle w:val="InstructionsTabelleberschrift"/>
                <w:rFonts w:ascii="Times New Roman" w:hAnsi="Times New Roman"/>
                <w:sz w:val="24"/>
              </w:rPr>
              <w:tab/>
            </w:r>
            <w:r>
              <w:rPr>
                <w:rStyle w:val="InstructionsTabelleberschrift"/>
                <w:rFonts w:ascii="Times New Roman" w:hAnsi="Times New Roman"/>
                <w:sz w:val="24"/>
              </w:rPr>
              <w:t>Titrisations STS éligibles au traitement différencié en termes d’exigences de fonds propres</w:t>
            </w:r>
          </w:p>
          <w:p w:rsidR="009B591B" w:rsidRPr="00220265" w:rsidRDefault="009B591B" w:rsidP="00FD239F">
            <w:pPr>
              <w:pStyle w:val="InstructionsText"/>
            </w:pPr>
            <w:r>
              <w:t>Article 254, paragraphe 1, point c), paragraphes 2, 3 et 4, et articles 263 et 264 du CRR</w:t>
            </w:r>
          </w:p>
          <w:p w:rsidR="009B591B" w:rsidRPr="00241190" w:rsidRDefault="009B591B" w:rsidP="003B20D7">
            <w:pPr>
              <w:pStyle w:val="InstructionsText"/>
              <w:rPr>
                <w:rStyle w:val="InstructionsTabelleberschrift"/>
                <w:rFonts w:ascii="Times New Roman" w:hAnsi="Times New Roman"/>
                <w:sz w:val="24"/>
              </w:rPr>
            </w:pPr>
            <w:r>
              <w:t>Les titrisations STS éligibles au traitement différencié en termes d’exigences de fonds propres en vertu de l’article 243 de même que les positions de rang supérieur dans les titrisations de prêts aux PME él</w:t>
            </w:r>
            <w:r>
              <w:t>i</w:t>
            </w:r>
            <w:r>
              <w:t>gibles au traitement différencié en termes d’exigences de fonds propres en vertu de l’article 270 du CRR sont déclarées dans cette ligne.</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w:t>
            </w:r>
            <w:r w:rsidR="000D6DD9">
              <w:rPr>
                <w:rStyle w:val="InstructionsTabelleberschrift"/>
                <w:rFonts w:ascii="Times New Roman" w:hAnsi="Times New Roman"/>
                <w:sz w:val="24"/>
              </w:rPr>
              <w:tab/>
            </w:r>
            <w:r>
              <w:rPr>
                <w:rStyle w:val="InstructionsTabelleberschrift"/>
                <w:rFonts w:ascii="Times New Roman" w:hAnsi="Times New Roman"/>
                <w:sz w:val="24"/>
              </w:rPr>
              <w:t xml:space="preserve"> Approche par évaluation interne (IAA)</w:t>
            </w:r>
          </w:p>
          <w:p w:rsidR="009B591B" w:rsidRPr="00241190" w:rsidRDefault="009B591B" w:rsidP="003B20D7">
            <w:pPr>
              <w:pStyle w:val="InstructionsText"/>
              <w:rPr>
                <w:rStyle w:val="InstructionsTabelleberschrift"/>
                <w:rFonts w:ascii="Times New Roman" w:hAnsi="Times New Roman"/>
                <w:sz w:val="24"/>
              </w:rPr>
            </w:pPr>
            <w:r>
              <w:t>Article 254, paragraphe 5,et articles 265 et 266 du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1.8.5.4.1</w:t>
            </w:r>
            <w:r w:rsidR="000D6DD9">
              <w:rPr>
                <w:rStyle w:val="InstructionsTabelleberschrift"/>
                <w:rFonts w:ascii="Times New Roman" w:hAnsi="Times New Roman"/>
                <w:sz w:val="24"/>
              </w:rPr>
              <w:tab/>
            </w:r>
            <w:r>
              <w:rPr>
                <w:rStyle w:val="InstructionsTabelleberschrift"/>
                <w:rFonts w:ascii="Times New Roman" w:hAnsi="Times New Roman"/>
                <w:sz w:val="24"/>
              </w:rPr>
              <w:t>Titrisations non éligibles au traitement différencié en termes d’exigences de fonds propres</w:t>
            </w:r>
          </w:p>
          <w:p w:rsidR="009B591B" w:rsidRPr="00220265" w:rsidRDefault="009B591B" w:rsidP="003B20D7">
            <w:pPr>
              <w:pStyle w:val="InstructionsText"/>
              <w:rPr>
                <w:rStyle w:val="InstructionsTabelleberschrift"/>
                <w:rFonts w:ascii="Times New Roman" w:hAnsi="Times New Roman"/>
                <w:b w:val="0"/>
                <w:sz w:val="24"/>
                <w:u w:val="none"/>
              </w:rPr>
            </w:pPr>
            <w:r>
              <w:t>Article 254, paragraphe 5, et articles 265 et 266 du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1.8.5.4.2</w:t>
            </w:r>
            <w:r w:rsidR="000D6DD9">
              <w:rPr>
                <w:rStyle w:val="InstructionsTabelleberschrift"/>
                <w:rFonts w:ascii="Times New Roman" w:hAnsi="Times New Roman"/>
                <w:sz w:val="24"/>
              </w:rPr>
              <w:tab/>
            </w:r>
            <w:r>
              <w:rPr>
                <w:rStyle w:val="InstructionsTabelleberschrift"/>
                <w:rFonts w:ascii="Times New Roman" w:hAnsi="Times New Roman"/>
                <w:sz w:val="24"/>
              </w:rPr>
              <w:t>Titrisations STS éligibles au traitement différencié en termes d’exigences de fonds propres</w:t>
            </w:r>
          </w:p>
          <w:p w:rsidR="009B591B" w:rsidRPr="00220265" w:rsidRDefault="009B591B" w:rsidP="00FD239F">
            <w:pPr>
              <w:pStyle w:val="InstructionsText"/>
            </w:pPr>
            <w:r>
              <w:t>Article 254, paragraphe 5, et articles 265 et 266 du CRR</w:t>
            </w:r>
          </w:p>
          <w:p w:rsidR="009B591B" w:rsidRPr="00241190" w:rsidRDefault="009B591B" w:rsidP="003B20D7">
            <w:pPr>
              <w:pStyle w:val="InstructionsText"/>
              <w:rPr>
                <w:rStyle w:val="InstructionsTabelleberschrift"/>
                <w:rFonts w:ascii="Times New Roman" w:hAnsi="Times New Roman"/>
                <w:sz w:val="24"/>
              </w:rPr>
            </w:pPr>
            <w:r>
              <w:t>Les titrisations STS éligibles au traitement différencié en termes d’exigences de fonds propres en vertu de l’article 243 de même que les positions de rang supérieur dans les titrisations de prêts aux PME él</w:t>
            </w:r>
            <w:r>
              <w:t>i</w:t>
            </w:r>
            <w:r>
              <w:t>gibles au traitement différencié en termes d’exigences de fonds propres en vertu de l’article 270 du CRR sont déclarées dans cette ligne.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1.8.5.5</w:t>
            </w:r>
            <w:r w:rsidR="000D6DD9">
              <w:rPr>
                <w:rStyle w:val="InstructionsTabelleberschrift"/>
                <w:rFonts w:ascii="Times New Roman" w:hAnsi="Times New Roman"/>
                <w:sz w:val="24"/>
              </w:rPr>
              <w:tab/>
            </w:r>
            <w:r>
              <w:rPr>
                <w:rStyle w:val="InstructionsTabelleberschrift"/>
                <w:rFonts w:ascii="Times New Roman" w:hAnsi="Times New Roman"/>
                <w:sz w:val="24"/>
              </w:rPr>
              <w:t xml:space="preserve"> Autre (RW = 1 250 %)</w:t>
            </w:r>
          </w:p>
          <w:p w:rsidR="009B591B" w:rsidRPr="00241190" w:rsidRDefault="009B591B" w:rsidP="003B20D7">
            <w:pPr>
              <w:pStyle w:val="InstructionsText"/>
              <w:rPr>
                <w:rStyle w:val="InstructionsTabelleberschrift"/>
                <w:rFonts w:ascii="Times New Roman" w:hAnsi="Times New Roman"/>
                <w:sz w:val="24"/>
              </w:rPr>
            </w:pPr>
            <w:r>
              <w:t>Article 254, paragraphe 7, du CRR</w:t>
            </w:r>
          </w:p>
        </w:tc>
      </w:tr>
      <w:tr w:rsidR="00BB3CBE"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241190" w:rsidRDefault="00BB3CB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910 – 1040</w:t>
            </w:r>
          </w:p>
        </w:tc>
        <w:tc>
          <w:tcPr>
            <w:tcW w:w="7274" w:type="dxa"/>
            <w:tcBorders>
              <w:top w:val="nil"/>
              <w:left w:val="nil"/>
              <w:bottom w:val="single" w:sz="4" w:space="0" w:color="auto"/>
              <w:right w:val="single" w:sz="4" w:space="0" w:color="auto"/>
            </w:tcBorders>
            <w:shd w:val="clear" w:color="auto" w:fill="auto"/>
            <w:vAlign w:val="center"/>
          </w:tcPr>
          <w:p w:rsidR="00153BEC" w:rsidRDefault="0039441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 Dont: Montant total d’exposition au risque de position: Titres de créance négociés - risque spécifique lié aux instruments de titris</w:t>
            </w:r>
            <w:r>
              <w:rPr>
                <w:rStyle w:val="InstructionsTabelleberschrift"/>
                <w:rFonts w:ascii="Times New Roman" w:hAnsi="Times New Roman"/>
                <w:sz w:val="24"/>
              </w:rPr>
              <w:t>a</w:t>
            </w:r>
            <w:r>
              <w:rPr>
                <w:rStyle w:val="InstructionsTabelleberschrift"/>
                <w:rFonts w:ascii="Times New Roman" w:hAnsi="Times New Roman"/>
                <w:sz w:val="24"/>
              </w:rPr>
              <w:t>tion (cadre relatif à la titrisation tel que révisé)</w:t>
            </w:r>
          </w:p>
          <w:p w:rsidR="002A6913" w:rsidRPr="002A6913" w:rsidRDefault="002A6913" w:rsidP="00FD239F">
            <w:pPr>
              <w:pStyle w:val="InstructionsText"/>
              <w:rPr>
                <w:bCs/>
              </w:rPr>
            </w:pPr>
            <w:r>
              <w:rPr>
                <w:rStyle w:val="InstructionsTabelleberschrift"/>
                <w:rFonts w:ascii="Times New Roman" w:hAnsi="Times New Roman"/>
                <w:b w:val="0"/>
                <w:sz w:val="24"/>
                <w:u w:val="none"/>
              </w:rPr>
              <w:t>Les établissements fournissent les informations des</w:t>
            </w:r>
            <w:r>
              <w:t xml:space="preserve"> lignes 910 à 1040 pour les dates de déclaration de référence postérieures au 1</w:t>
            </w:r>
            <w:r>
              <w:rPr>
                <w:vertAlign w:val="superscript"/>
              </w:rPr>
              <w:t>er</w:t>
            </w:r>
            <w:r>
              <w:t xml:space="preserve"> janvier 2019.</w:t>
            </w:r>
          </w:p>
          <w:p w:rsidR="004E2BE7" w:rsidRPr="00220265" w:rsidRDefault="004E2BE7" w:rsidP="00FD239F">
            <w:pPr>
              <w:pStyle w:val="InstructionsText"/>
            </w:pPr>
            <w:r>
              <w:t xml:space="preserve">Les lignes 910 à 1040 comprennent les montants d’exposition pondérés pour les positions de titrisation du portefeuille de négociation, le montant total d’exposition au risque étant calculé conformément aux dispositions du CRR.  Cependant, les positions de titrisation soumises à l’exigence de fonds propres applicable au portefeuille de négociation en corrélation en </w:t>
            </w:r>
            <w:r>
              <w:lastRenderedPageBreak/>
              <w:t>vertu de l'article 338 du CRR modifié ne sont pas déclarées dans ces lignes, mais dans le modèle MKR SA CTP.</w:t>
            </w:r>
          </w:p>
          <w:p w:rsidR="004E2BE7" w:rsidRPr="00220265" w:rsidRDefault="004E2BE7" w:rsidP="00FD239F">
            <w:pPr>
              <w:pStyle w:val="InstructionsText"/>
            </w:pPr>
            <w:r>
              <w:t>Les montants déclarés correspondent au montant total d’exposition au risque, obtenu en multipliant par 12,5 l’exigence de fonds propres calc</w:t>
            </w:r>
            <w:r>
              <w:t>u</w:t>
            </w:r>
            <w:r>
              <w:t>lée conformément à l’article 337 du CRR. Le montant déclaré tient compte de la pondération de risque totale applicable conformément à l’article 337, paragraphe 3, du CRR, ainsi que du plafond de l'exigence de fonds propres applicable à une position nette en vertu de l'article 335 du CRR.</w:t>
            </w:r>
          </w:p>
          <w:p w:rsidR="007A1E2E" w:rsidRPr="00241190" w:rsidRDefault="007A1E2E" w:rsidP="002A6913">
            <w:pPr>
              <w:pStyle w:val="InstructionsText"/>
              <w:rPr>
                <w:rStyle w:val="InstructionsTabelleberschrift"/>
                <w:rFonts w:ascii="Times New Roman" w:hAnsi="Times New Roman"/>
                <w:bCs w:val="0"/>
                <w:sz w:val="24"/>
              </w:rPr>
            </w:pPr>
            <w:r>
              <w:t>Conformément à la détermination des pondérations de risque en vertu de l'article 337 du CRR, l’approche appliquée au calcul des exigences de fonds propres pour les instruments du portefeuille de négociation qui sont des positions de titrisation est déterminée comme étant l’approche que l’établissement appliquerait à la position si elle se trouvait dans son portefeuille hors négociation.</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910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rsidR="000D6DD9">
              <w:rPr>
                <w:rStyle w:val="InstructionsTabelleberschrift"/>
                <w:rFonts w:ascii="Times New Roman" w:hAnsi="Times New Roman"/>
                <w:sz w:val="24"/>
              </w:rPr>
              <w:tab/>
            </w:r>
            <w:r>
              <w:rPr>
                <w:rStyle w:val="InstructionsTabelleberschrift"/>
                <w:rFonts w:ascii="Times New Roman" w:hAnsi="Times New Roman"/>
                <w:sz w:val="24"/>
              </w:rPr>
              <w:t>Dont: Montant total d’exposition au risque de position: Titres de créance négociés - risque spécifique lié aux instruments de titris</w:t>
            </w:r>
            <w:r>
              <w:rPr>
                <w:rStyle w:val="InstructionsTabelleberschrift"/>
                <w:rFonts w:ascii="Times New Roman" w:hAnsi="Times New Roman"/>
                <w:sz w:val="24"/>
              </w:rPr>
              <w:t>a</w:t>
            </w:r>
            <w:r>
              <w:rPr>
                <w:rStyle w:val="InstructionsTabelleberschrift"/>
                <w:rFonts w:ascii="Times New Roman" w:hAnsi="Times New Roman"/>
                <w:sz w:val="24"/>
              </w:rPr>
              <w:t>tion (cadre relatif à la titrisation tel que révisé)</w:t>
            </w:r>
          </w:p>
          <w:p w:rsidR="00BB3CBE" w:rsidRPr="00241190" w:rsidRDefault="00BB3CBE" w:rsidP="002A6913">
            <w:pPr>
              <w:pStyle w:val="InstructionsText"/>
              <w:rPr>
                <w:rStyle w:val="InstructionsTabelleberschrift"/>
                <w:rFonts w:ascii="Times New Roman" w:hAnsi="Times New Roman"/>
                <w:sz w:val="24"/>
              </w:rPr>
            </w:pPr>
            <w:r>
              <w:t>Article 92, paragraphe 3, point b) i), et paragraphe 4, et articles 335 et 337 du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w:t>
            </w:r>
            <w:r w:rsidR="000D6DD9">
              <w:rPr>
                <w:rStyle w:val="InstructionsTabelleberschrift"/>
                <w:rFonts w:ascii="Times New Roman" w:hAnsi="Times New Roman"/>
                <w:sz w:val="24"/>
              </w:rPr>
              <w:tab/>
            </w:r>
            <w:r>
              <w:rPr>
                <w:rStyle w:val="InstructionsTabelleberschrift"/>
                <w:rFonts w:ascii="Times New Roman" w:hAnsi="Times New Roman"/>
                <w:sz w:val="24"/>
              </w:rPr>
              <w:t xml:space="preserve"> Approche fondée sur les notations internes (SEC-IRBA)</w:t>
            </w:r>
          </w:p>
          <w:p w:rsidR="007A1E2E" w:rsidRPr="00241190" w:rsidRDefault="007A1E2E" w:rsidP="002A6913">
            <w:pPr>
              <w:pStyle w:val="InstructionsText"/>
              <w:rPr>
                <w:rStyle w:val="InstructionsTabelleberschrift"/>
                <w:rFonts w:ascii="Times New Roman" w:hAnsi="Times New Roman"/>
                <w:sz w:val="24"/>
              </w:rPr>
            </w:pPr>
            <w:r>
              <w:t>Article 254, paragraphe 1, point a), et articles 259, 260 et 337 du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1.8.6.1.1</w:t>
            </w:r>
            <w:r w:rsidR="000D6DD9">
              <w:rPr>
                <w:rStyle w:val="InstructionsTabelleberschrift"/>
                <w:rFonts w:ascii="Times New Roman" w:hAnsi="Times New Roman"/>
                <w:sz w:val="24"/>
              </w:rPr>
              <w:tab/>
            </w:r>
            <w:r>
              <w:rPr>
                <w:rStyle w:val="InstructionsTabelleberschrift"/>
                <w:rFonts w:ascii="Times New Roman" w:hAnsi="Times New Roman"/>
                <w:sz w:val="24"/>
              </w:rPr>
              <w:t>Titrisations non éligibles au traitement différencié en termes d’exigences de fonds propres</w:t>
            </w:r>
          </w:p>
          <w:p w:rsidR="007A1E2E" w:rsidRPr="00241190" w:rsidRDefault="007A1E2E" w:rsidP="002A6913">
            <w:pPr>
              <w:pStyle w:val="InstructionsText"/>
              <w:rPr>
                <w:rStyle w:val="InstructionsTabelleberschrift"/>
                <w:rFonts w:ascii="Times New Roman" w:hAnsi="Times New Roman"/>
                <w:sz w:val="24"/>
              </w:rPr>
            </w:pPr>
            <w:r>
              <w:t>Article 254, paragraphe 1, point a), et articles 259 et 337 du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1.8.6.1.2</w:t>
            </w:r>
            <w:r w:rsidR="000D6DD9">
              <w:rPr>
                <w:rStyle w:val="InstructionsTabelleberschrift"/>
                <w:rFonts w:ascii="Times New Roman" w:hAnsi="Times New Roman"/>
                <w:sz w:val="24"/>
              </w:rPr>
              <w:tab/>
            </w:r>
            <w:r>
              <w:rPr>
                <w:rStyle w:val="InstructionsTabelleberschrift"/>
                <w:rFonts w:ascii="Times New Roman" w:hAnsi="Times New Roman"/>
                <w:sz w:val="24"/>
              </w:rPr>
              <w:t>Titrisations STS éligibles au traitement différencié en termes d’exigences de fonds propres</w:t>
            </w:r>
          </w:p>
          <w:p w:rsidR="007A1E2E" w:rsidRPr="00220265" w:rsidRDefault="007A1E2E" w:rsidP="00FD239F">
            <w:pPr>
              <w:pStyle w:val="InstructionsText"/>
            </w:pPr>
            <w:r>
              <w:t>Article 254, paragraphe 1, point a), et articles 259, 260 et 337 du CRR</w:t>
            </w:r>
          </w:p>
          <w:p w:rsidR="007A1E2E" w:rsidRPr="00241190" w:rsidRDefault="007A1E2E" w:rsidP="00FD239F">
            <w:pPr>
              <w:pStyle w:val="InstructionsText"/>
              <w:rPr>
                <w:rStyle w:val="InstructionsTabelleberschrift"/>
                <w:rFonts w:ascii="Times New Roman" w:hAnsi="Times New Roman"/>
                <w:sz w:val="24"/>
              </w:rPr>
            </w:pPr>
            <w:r>
              <w:t>Les titrisations STS éligibles au traitement différencié en termes d’exigences de fonds propres en vertu de l’article 243 du CRR de même que les positions de rang supérieur dans les titrisations de prêts aux PME éligibles au traitement différencié en termes d’exigences de fonds propres en vertu de l’article 270 du CRR sont déclarées dans cette ligne.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w:t>
            </w:r>
            <w:r w:rsidR="000D6DD9">
              <w:rPr>
                <w:rStyle w:val="InstructionsTabelleberschrift"/>
                <w:rFonts w:ascii="Times New Roman" w:hAnsi="Times New Roman"/>
                <w:sz w:val="24"/>
              </w:rPr>
              <w:tab/>
            </w:r>
            <w:r>
              <w:rPr>
                <w:rStyle w:val="InstructionsTabelleberschrift"/>
                <w:rFonts w:ascii="Times New Roman" w:hAnsi="Times New Roman"/>
                <w:sz w:val="24"/>
              </w:rPr>
              <w:t>Approche standard (SEC-SA)</w:t>
            </w:r>
          </w:p>
          <w:p w:rsidR="007A1E2E" w:rsidRPr="00241190" w:rsidRDefault="007A1E2E" w:rsidP="002A6913">
            <w:pPr>
              <w:pStyle w:val="InstructionsText"/>
              <w:rPr>
                <w:rStyle w:val="InstructionsTabelleberschrift"/>
                <w:rFonts w:ascii="Times New Roman" w:hAnsi="Times New Roman"/>
                <w:sz w:val="24"/>
              </w:rPr>
            </w:pPr>
            <w:r>
              <w:t>Article 254, paragraphe 1, point b), et paragraphe 6, et articles 261, 262, 269 et 337 du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1.8.6.2.1</w:t>
            </w:r>
            <w:r w:rsidR="000D6DD9">
              <w:rPr>
                <w:rStyle w:val="InstructionsTabelleberschrift"/>
                <w:rFonts w:ascii="Times New Roman" w:hAnsi="Times New Roman"/>
                <w:sz w:val="24"/>
              </w:rPr>
              <w:tab/>
            </w:r>
            <w:r>
              <w:rPr>
                <w:rStyle w:val="InstructionsTabelleberschrift"/>
                <w:rFonts w:ascii="Times New Roman" w:hAnsi="Times New Roman"/>
                <w:sz w:val="24"/>
              </w:rPr>
              <w:t>Titrisations non éligibles au traitement différencié en termes d’exigences de fonds propres</w:t>
            </w:r>
          </w:p>
          <w:p w:rsidR="007A1E2E" w:rsidRPr="00241190" w:rsidRDefault="007A1E2E" w:rsidP="002A6913">
            <w:pPr>
              <w:pStyle w:val="InstructionsText"/>
              <w:rPr>
                <w:rStyle w:val="InstructionsTabelleberschrift"/>
                <w:rFonts w:ascii="Times New Roman" w:hAnsi="Times New Roman"/>
                <w:sz w:val="24"/>
              </w:rPr>
            </w:pPr>
            <w:r>
              <w:t>Article 254, paragraphe 1, point b), et paragraphe 6, et articles 261, 269 et 337 du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1.8.6.2.2</w:t>
            </w:r>
            <w:r w:rsidR="000D6DD9">
              <w:rPr>
                <w:rStyle w:val="InstructionsTabelleberschrift"/>
                <w:rFonts w:ascii="Times New Roman" w:hAnsi="Times New Roman"/>
                <w:sz w:val="24"/>
              </w:rPr>
              <w:tab/>
            </w:r>
            <w:r>
              <w:rPr>
                <w:rStyle w:val="InstructionsTabelleberschrift"/>
                <w:rFonts w:ascii="Times New Roman" w:hAnsi="Times New Roman"/>
                <w:sz w:val="24"/>
              </w:rPr>
              <w:t>Titrisations STS éligibles au traitement différencié en termes d’exigences de fonds propres</w:t>
            </w:r>
          </w:p>
          <w:p w:rsidR="007A1E2E" w:rsidRPr="00220265" w:rsidRDefault="007A1E2E" w:rsidP="00FD239F">
            <w:pPr>
              <w:pStyle w:val="InstructionsText"/>
            </w:pPr>
            <w:r>
              <w:lastRenderedPageBreak/>
              <w:t>Article 254, paragraphe 1, point b), et articles 261, 262 et 337 du CRR</w:t>
            </w:r>
          </w:p>
          <w:p w:rsidR="007A1E2E" w:rsidRPr="00241190" w:rsidRDefault="007A1E2E" w:rsidP="00FD239F">
            <w:pPr>
              <w:pStyle w:val="InstructionsText"/>
              <w:rPr>
                <w:rStyle w:val="InstructionsTabelleberschrift"/>
                <w:rFonts w:ascii="Times New Roman" w:hAnsi="Times New Roman"/>
                <w:sz w:val="24"/>
              </w:rPr>
            </w:pPr>
            <w:r>
              <w:t>Les titrisations STS éligibles au traitement différencié en termes d’exigences de fonds propres en vertu de l’article 243 du CRR de même que les positions de rang supérieur dans les titrisations de prêts aux PME éligibles au traitement différencié en termes d’exigences de fonds propres en vertu de l’article 270 du CRR sont déclarées dans cette ligne.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w:t>
            </w:r>
            <w:r w:rsidR="001D743D">
              <w:rPr>
                <w:rStyle w:val="InstructionsTabelleberschrift"/>
                <w:rFonts w:ascii="Times New Roman" w:hAnsi="Times New Roman"/>
                <w:sz w:val="24"/>
              </w:rPr>
              <w:tab/>
            </w:r>
            <w:r>
              <w:rPr>
                <w:rStyle w:val="InstructionsTabelleberschrift"/>
                <w:rFonts w:ascii="Times New Roman" w:hAnsi="Times New Roman"/>
                <w:sz w:val="24"/>
              </w:rPr>
              <w:t xml:space="preserve"> Approche fondée sur les notations externes (SEC-ERBA)</w:t>
            </w:r>
          </w:p>
          <w:p w:rsidR="007A1E2E" w:rsidRPr="00241190" w:rsidRDefault="007A1E2E" w:rsidP="002A6913">
            <w:pPr>
              <w:pStyle w:val="InstructionsText"/>
              <w:rPr>
                <w:rStyle w:val="InstructionsTabelleberschrift"/>
                <w:rFonts w:ascii="Times New Roman" w:hAnsi="Times New Roman"/>
                <w:sz w:val="24"/>
              </w:rPr>
            </w:pPr>
            <w:r>
              <w:t>Article 254, paragraphe 1, point c), et paragraphes 2, 3 et 4, et articles 263, 264 et 337 du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1.8.6.3.1</w:t>
            </w:r>
            <w:r w:rsidR="001D743D">
              <w:rPr>
                <w:rStyle w:val="InstructionsTabelleberschrift"/>
                <w:rFonts w:ascii="Times New Roman" w:hAnsi="Times New Roman"/>
                <w:sz w:val="24"/>
              </w:rPr>
              <w:tab/>
            </w:r>
            <w:r>
              <w:rPr>
                <w:rStyle w:val="InstructionsTabelleberschrift"/>
                <w:rFonts w:ascii="Times New Roman" w:hAnsi="Times New Roman"/>
                <w:sz w:val="24"/>
              </w:rPr>
              <w:t>Titrisations non éligibles au traitement différencié en termes d’exigences de fonds propres</w:t>
            </w:r>
          </w:p>
          <w:p w:rsidR="007A1E2E" w:rsidRPr="00241190" w:rsidRDefault="007A1E2E" w:rsidP="002A6913">
            <w:pPr>
              <w:pStyle w:val="InstructionsText"/>
              <w:rPr>
                <w:rStyle w:val="InstructionsTabelleberschrift"/>
                <w:rFonts w:ascii="Times New Roman" w:hAnsi="Times New Roman"/>
                <w:sz w:val="24"/>
              </w:rPr>
            </w:pPr>
            <w:r>
              <w:t>Article 254, paragraphe 1, point c), paragraphes 2, 3 et 4, et articles 263 et 337 du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1.8.6.3.2</w:t>
            </w:r>
            <w:r w:rsidR="001D743D">
              <w:rPr>
                <w:rStyle w:val="InstructionsTabelleberschrift"/>
                <w:rFonts w:ascii="Times New Roman" w:hAnsi="Times New Roman"/>
                <w:sz w:val="24"/>
              </w:rPr>
              <w:tab/>
            </w:r>
            <w:r>
              <w:rPr>
                <w:rStyle w:val="InstructionsTabelleberschrift"/>
                <w:rFonts w:ascii="Times New Roman" w:hAnsi="Times New Roman"/>
                <w:sz w:val="24"/>
              </w:rPr>
              <w:t>Titrisations STS éligibles au traitement différencié en termes d’exigences de fonds propres</w:t>
            </w:r>
          </w:p>
          <w:p w:rsidR="007A1E2E" w:rsidRPr="00220265" w:rsidRDefault="007A1E2E" w:rsidP="00FD239F">
            <w:pPr>
              <w:pStyle w:val="InstructionsText"/>
            </w:pPr>
            <w:r>
              <w:t>Article 254, paragraphe 1, point c), paragraphes 2, 3 et 4, et articles 263, 264 et 337 du CRR</w:t>
            </w:r>
          </w:p>
          <w:p w:rsidR="007A1E2E" w:rsidRPr="00241190" w:rsidRDefault="007A1E2E" w:rsidP="002A6913">
            <w:pPr>
              <w:pStyle w:val="InstructionsText"/>
              <w:rPr>
                <w:rStyle w:val="InstructionsTabelleberschrift"/>
                <w:rFonts w:ascii="Times New Roman" w:hAnsi="Times New Roman"/>
                <w:sz w:val="24"/>
              </w:rPr>
            </w:pPr>
            <w:r>
              <w:t>Les titrisations STS éligibles au traitement différencié en termes d’exigences de fonds propres en vertu de l’article 243 de même que les positions de rang supérieur dans les titrisations de prêts aux PME él</w:t>
            </w:r>
            <w:r>
              <w:t>i</w:t>
            </w:r>
            <w:r>
              <w:t>gibles au traitement différencié en termes d’exigences de fonds propres en vertu de l’article 270 du CRR sont déclarées dans cette ligne.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1010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w:t>
            </w:r>
            <w:r w:rsidR="00C81BA1">
              <w:rPr>
                <w:rStyle w:val="InstructionsTabelleberschrift"/>
                <w:rFonts w:ascii="Times New Roman" w:hAnsi="Times New Roman"/>
                <w:sz w:val="24"/>
              </w:rPr>
              <w:tab/>
            </w:r>
            <w:r>
              <w:rPr>
                <w:rStyle w:val="InstructionsTabelleberschrift"/>
                <w:rFonts w:ascii="Times New Roman" w:hAnsi="Times New Roman"/>
                <w:sz w:val="24"/>
              </w:rPr>
              <w:t>Approche par évaluation interne (IAA)</w:t>
            </w:r>
          </w:p>
          <w:p w:rsidR="007A1E2E" w:rsidRPr="00241190" w:rsidRDefault="007A1E2E" w:rsidP="002A6913">
            <w:pPr>
              <w:pStyle w:val="InstructionsText"/>
              <w:rPr>
                <w:rStyle w:val="InstructionsTabelleberschrift"/>
                <w:rFonts w:ascii="Times New Roman" w:hAnsi="Times New Roman"/>
                <w:sz w:val="24"/>
              </w:rPr>
            </w:pPr>
            <w:r>
              <w:t>Article 254, paragraphe 5, et articles 265, 266 et 337 du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1.8.6.4.1</w:t>
            </w:r>
            <w:r w:rsidR="00C81BA1">
              <w:rPr>
                <w:rStyle w:val="InstructionsTabelleberschrift"/>
                <w:rFonts w:ascii="Times New Roman" w:hAnsi="Times New Roman"/>
                <w:sz w:val="24"/>
              </w:rPr>
              <w:tab/>
            </w:r>
            <w:r>
              <w:rPr>
                <w:rStyle w:val="InstructionsTabelleberschrift"/>
                <w:rFonts w:ascii="Times New Roman" w:hAnsi="Times New Roman"/>
                <w:sz w:val="24"/>
              </w:rPr>
              <w:t>Titrisations non éligibles au traitement différencié en termes d’exigences de fonds propres</w:t>
            </w:r>
          </w:p>
          <w:p w:rsidR="007A1E2E" w:rsidRPr="00241190" w:rsidRDefault="007A1E2E" w:rsidP="002A6913">
            <w:pPr>
              <w:pStyle w:val="InstructionsText"/>
              <w:rPr>
                <w:rStyle w:val="InstructionsTabelleberschrift"/>
                <w:rFonts w:ascii="Times New Roman" w:hAnsi="Times New Roman"/>
                <w:sz w:val="24"/>
              </w:rPr>
            </w:pPr>
            <w:r>
              <w:t>Article 254, paragraphe 5, et articles 265, 266 et 337 du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1.8.6.4.2</w:t>
            </w:r>
            <w:r w:rsidR="00C81BA1">
              <w:rPr>
                <w:rStyle w:val="InstructionsTabelleberschrift"/>
                <w:rFonts w:ascii="Times New Roman" w:hAnsi="Times New Roman"/>
                <w:sz w:val="24"/>
              </w:rPr>
              <w:tab/>
            </w:r>
            <w:r>
              <w:rPr>
                <w:rStyle w:val="InstructionsTabelleberschrift"/>
                <w:rFonts w:ascii="Times New Roman" w:hAnsi="Times New Roman"/>
                <w:sz w:val="24"/>
              </w:rPr>
              <w:t>Titrisations STS éligibles au traitement différencié en termes d’exigences de fonds propres</w:t>
            </w:r>
          </w:p>
          <w:p w:rsidR="007A1E2E" w:rsidRPr="00220265" w:rsidRDefault="007A1E2E" w:rsidP="00FD239F">
            <w:pPr>
              <w:pStyle w:val="InstructionsText"/>
            </w:pPr>
            <w:r>
              <w:t>Article 254, paragraphe 5, et articles 265, 266 et 337 du CRR</w:t>
            </w:r>
          </w:p>
          <w:p w:rsidR="007A1E2E" w:rsidRPr="00241190" w:rsidRDefault="007A1E2E" w:rsidP="002A6913">
            <w:pPr>
              <w:pStyle w:val="InstructionsText"/>
              <w:rPr>
                <w:rStyle w:val="InstructionsTabelleberschrift"/>
                <w:rFonts w:ascii="Times New Roman" w:hAnsi="Times New Roman"/>
                <w:sz w:val="24"/>
              </w:rPr>
            </w:pPr>
            <w:r>
              <w:t>Les titrisations STS éligibles au traitement différencié en termes d’exigences de fonds propres en vertu de l’article 243 de même que les positions de rang supérieur dans les titrisations de prêts aux PME él</w:t>
            </w:r>
            <w:r>
              <w:t>i</w:t>
            </w:r>
            <w:r>
              <w:t>gibles au traitement différencié en termes d’exigences de fonds propres en vertu de l’article 270 du CRR sont déclarées dans cette ligne.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1.8.6.5</w:t>
            </w:r>
            <w:r w:rsidR="00C81BA1">
              <w:rPr>
                <w:rStyle w:val="InstructionsTabelleberschrift"/>
                <w:rFonts w:ascii="Times New Roman" w:hAnsi="Times New Roman"/>
                <w:sz w:val="24"/>
              </w:rPr>
              <w:tab/>
            </w:r>
            <w:r>
              <w:rPr>
                <w:rStyle w:val="InstructionsTabelleberschrift"/>
                <w:rFonts w:ascii="Times New Roman" w:hAnsi="Times New Roman"/>
                <w:sz w:val="24"/>
              </w:rPr>
              <w:t xml:space="preserve"> Autre (RW = 1 250 %)</w:t>
            </w:r>
          </w:p>
          <w:p w:rsidR="007A1E2E" w:rsidRPr="00241190" w:rsidRDefault="007A1E2E" w:rsidP="002A6913">
            <w:pPr>
              <w:pStyle w:val="InstructionsText"/>
              <w:rPr>
                <w:rStyle w:val="InstructionsTabelleberschrift"/>
                <w:rFonts w:ascii="Times New Roman" w:hAnsi="Times New Roman"/>
                <w:sz w:val="24"/>
              </w:rPr>
            </w:pPr>
            <w:r>
              <w:t>Article 254, paragraphe 7, et article 337 du CRR</w:t>
            </w:r>
          </w:p>
        </w:tc>
      </w:tr>
    </w:tbl>
    <w:p w:rsidR="002648B0" w:rsidRPr="0023700C" w:rsidRDefault="00936DD1" w:rsidP="0023700C">
      <w:pPr>
        <w:pStyle w:val="Instructionsberschrift2"/>
        <w:numPr>
          <w:ilvl w:val="0"/>
          <w:numId w:val="0"/>
        </w:numPr>
        <w:ind w:left="357" w:hanging="357"/>
        <w:rPr>
          <w:rFonts w:ascii="Times New Roman" w:hAnsi="Times New Roman" w:cs="Times New Roman"/>
          <w:sz w:val="24"/>
          <w:u w:val="none"/>
        </w:rPr>
      </w:pPr>
      <w:bookmarkStart w:id="66" w:name="_Toc516210612"/>
      <w:bookmarkStart w:id="67" w:name="_Toc524104151"/>
      <w:r>
        <w:rPr>
          <w:rFonts w:ascii="Times New Roman" w:hAnsi="Times New Roman"/>
          <w:sz w:val="24"/>
          <w:u w:val="none"/>
        </w:rPr>
        <w:lastRenderedPageBreak/>
        <w:t>1.4</w:t>
      </w:r>
      <w:r>
        <w:tab/>
      </w:r>
      <w:r>
        <w:rPr>
          <w:rFonts w:ascii="Times New Roman" w:hAnsi="Times New Roman"/>
          <w:sz w:val="24"/>
          <w:u w:val="none"/>
        </w:rPr>
        <w:t>C 03.00 - RATIOS DE FONDS PROPRES ET NIVEAUX DE FONDS PROPRES (CA3)</w:t>
      </w:r>
      <w:bookmarkEnd w:id="63"/>
      <w:bookmarkEnd w:id="66"/>
      <w:bookmarkEnd w:id="67"/>
      <w:r>
        <w:rPr>
          <w:rFonts w:ascii="Times New Roman" w:hAnsi="Times New Roman"/>
          <w:sz w:val="24"/>
          <w:u w:val="none"/>
        </w:rPr>
        <w:t xml:space="preserve"> </w:t>
      </w:r>
      <w:bookmarkEnd w:id="64"/>
      <w:bookmarkEnd w:id="6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68" w:name="_Toc308175827"/>
      <w:bookmarkStart w:id="69" w:name="_Toc310414972"/>
      <w:bookmarkStart w:id="70" w:name="_Toc360188330"/>
      <w:bookmarkStart w:id="71" w:name="_Toc516210613"/>
      <w:bookmarkStart w:id="72" w:name="_Toc473560878"/>
      <w:bookmarkStart w:id="73" w:name="_Toc524104152"/>
      <w:r>
        <w:rPr>
          <w:rFonts w:ascii="Times New Roman" w:hAnsi="Times New Roman"/>
          <w:sz w:val="24"/>
          <w:u w:val="none"/>
        </w:rPr>
        <w:t>1.4.1.</w:t>
      </w:r>
      <w:r w:rsidRPr="00C81BA1">
        <w:rPr>
          <w:u w:val="none"/>
        </w:rPr>
        <w:tab/>
      </w:r>
      <w:r>
        <w:rPr>
          <w:rFonts w:ascii="Times New Roman" w:hAnsi="Times New Roman"/>
          <w:sz w:val="24"/>
        </w:rPr>
        <w:t xml:space="preserve">Instructions concernant certaines </w:t>
      </w:r>
      <w:bookmarkEnd w:id="68"/>
      <w:bookmarkEnd w:id="69"/>
      <w:r>
        <w:rPr>
          <w:rFonts w:ascii="Times New Roman" w:hAnsi="Times New Roman"/>
          <w:sz w:val="24"/>
        </w:rPr>
        <w:t>positions</w:t>
      </w:r>
      <w:bookmarkEnd w:id="70"/>
      <w:bookmarkEnd w:id="71"/>
      <w:bookmarkEnd w:id="72"/>
      <w:bookmarkEnd w:id="73"/>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rsidTr="00672D2A">
        <w:tc>
          <w:tcPr>
            <w:tcW w:w="8783" w:type="dxa"/>
            <w:gridSpan w:val="2"/>
            <w:shd w:val="clear" w:color="auto" w:fill="D9D9D9"/>
          </w:tcPr>
          <w:p w:rsidR="005643EA" w:rsidRPr="00392FFD" w:rsidRDefault="002648B0" w:rsidP="00FD239F">
            <w:pPr>
              <w:pStyle w:val="InstructionsText"/>
            </w:pPr>
            <w:r>
              <w:t>Ligne</w:t>
            </w:r>
          </w:p>
        </w:tc>
      </w:tr>
      <w:tr w:rsidR="002648B0" w:rsidRPr="00392FFD" w:rsidTr="00672D2A">
        <w:tc>
          <w:tcPr>
            <w:tcW w:w="703" w:type="dxa"/>
          </w:tcPr>
          <w:p w:rsidR="002648B0" w:rsidRPr="00392FFD" w:rsidRDefault="002648B0" w:rsidP="00FD239F">
            <w:pPr>
              <w:pStyle w:val="InstructionsText"/>
            </w:pPr>
            <w:r>
              <w:t>010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1</w:t>
            </w:r>
            <w:r w:rsidR="00C81BA1">
              <w:rPr>
                <w:rStyle w:val="InstructionsTabelleberschrift"/>
                <w:rFonts w:ascii="Times New Roman" w:hAnsi="Times New Roman"/>
                <w:sz w:val="24"/>
              </w:rPr>
              <w:tab/>
            </w:r>
            <w:r>
              <w:rPr>
                <w:rStyle w:val="InstructionsTabelleberschrift"/>
                <w:rFonts w:ascii="Times New Roman" w:hAnsi="Times New Roman"/>
                <w:sz w:val="24"/>
              </w:rPr>
              <w:t>Ratio de fonds propres CET1</w:t>
            </w:r>
          </w:p>
          <w:p w:rsidR="005643EA" w:rsidRPr="00392FFD" w:rsidRDefault="002648B0" w:rsidP="00FD239F">
            <w:pPr>
              <w:pStyle w:val="InstructionsText"/>
            </w:pPr>
            <w:r>
              <w:t>Article 92, paragraphe 2, point a), du CRR</w:t>
            </w:r>
          </w:p>
          <w:p w:rsidR="005643EA" w:rsidRPr="00392FFD" w:rsidRDefault="002648B0" w:rsidP="00FD239F">
            <w:pPr>
              <w:pStyle w:val="InstructionsText"/>
            </w:pPr>
            <w:r>
              <w:t>Le ratio de fonds propres de base de catégorie 1 correspond aux fonds propres de base de catégorie 1 de l'établissement, exprimés en pourcentage du montant total d'exposition au risque.</w:t>
            </w:r>
          </w:p>
        </w:tc>
      </w:tr>
      <w:tr w:rsidR="002648B0" w:rsidRPr="00392FFD" w:rsidTr="00672D2A">
        <w:tc>
          <w:tcPr>
            <w:tcW w:w="703" w:type="dxa"/>
          </w:tcPr>
          <w:p w:rsidR="002648B0" w:rsidRPr="00392FFD" w:rsidRDefault="002648B0" w:rsidP="00FD239F">
            <w:pPr>
              <w:pStyle w:val="InstructionsText"/>
            </w:pPr>
            <w:r>
              <w:t>020</w:t>
            </w:r>
          </w:p>
        </w:tc>
        <w:tc>
          <w:tcPr>
            <w:tcW w:w="808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sidR="00C81BA1">
              <w:rPr>
                <w:rStyle w:val="InstructionsTabelleberschrift"/>
                <w:rFonts w:ascii="Times New Roman" w:hAnsi="Times New Roman"/>
                <w:sz w:val="24"/>
              </w:rPr>
              <w:tab/>
            </w:r>
            <w:r>
              <w:rPr>
                <w:rStyle w:val="InstructionsTabelleberschrift"/>
                <w:rFonts w:ascii="Times New Roman" w:hAnsi="Times New Roman"/>
                <w:sz w:val="24"/>
              </w:rPr>
              <w:t>Surplus (+)/Déficit (–) de fonds propres CET1</w:t>
            </w:r>
          </w:p>
          <w:p w:rsidR="005643EA" w:rsidRPr="00392FFD" w:rsidRDefault="002648B0" w:rsidP="00FD239F">
            <w:pPr>
              <w:pStyle w:val="InstructionsText"/>
            </w:pPr>
            <w:r>
              <w:t>Ce poste indique, en chiffres absolus, le surplus ou le déficit de fonds propres de base de catégorie 1 lié aux exigences de l'article 92, paragraphe 1, point a), du CRR (4,5 %), c'est-à-dire compte non tenu des coussins de fonds propres et des dispositions transitoires sur le ratio.</w:t>
            </w:r>
          </w:p>
        </w:tc>
      </w:tr>
      <w:tr w:rsidR="002648B0" w:rsidRPr="00392FFD" w:rsidTr="00672D2A">
        <w:tc>
          <w:tcPr>
            <w:tcW w:w="703" w:type="dxa"/>
          </w:tcPr>
          <w:p w:rsidR="002648B0" w:rsidRPr="00392FFD" w:rsidRDefault="002648B0" w:rsidP="00FD239F">
            <w:pPr>
              <w:pStyle w:val="InstructionsText"/>
            </w:pPr>
            <w:r>
              <w:t>030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3</w:t>
            </w:r>
            <w:r w:rsidR="00495E8F">
              <w:rPr>
                <w:rStyle w:val="InstructionsTabelleberschrift"/>
                <w:rFonts w:ascii="Times New Roman" w:hAnsi="Times New Roman"/>
                <w:sz w:val="24"/>
              </w:rPr>
              <w:tab/>
            </w:r>
            <w:r>
              <w:rPr>
                <w:rStyle w:val="InstructionsTabelleberschrift"/>
                <w:rFonts w:ascii="Times New Roman" w:hAnsi="Times New Roman"/>
                <w:sz w:val="24"/>
              </w:rPr>
              <w:t>Ratio de fonds propres T1</w:t>
            </w:r>
          </w:p>
          <w:p w:rsidR="005643EA" w:rsidRPr="00392FFD" w:rsidRDefault="002648B0" w:rsidP="00FD239F">
            <w:pPr>
              <w:pStyle w:val="InstructionsText"/>
            </w:pPr>
            <w:r>
              <w:t>Article 92, paragraphe 2, point b), du CRR</w:t>
            </w:r>
          </w:p>
          <w:p w:rsidR="005643EA" w:rsidRPr="00392FFD" w:rsidRDefault="002648B0" w:rsidP="00FD239F">
            <w:pPr>
              <w:pStyle w:val="InstructionsText"/>
            </w:pPr>
            <w:r>
              <w:t>Le ratio de fonds propres de catégorie 1 correspond aux fonds propres de catég</w:t>
            </w:r>
            <w:r>
              <w:t>o</w:t>
            </w:r>
            <w:r>
              <w:t>rie 1 de l'établissement, exprimés en pourcentage du montant total d'exposition au risque.</w:t>
            </w:r>
          </w:p>
        </w:tc>
      </w:tr>
      <w:tr w:rsidR="002648B0" w:rsidRPr="00392FFD" w:rsidTr="00672D2A">
        <w:tc>
          <w:tcPr>
            <w:tcW w:w="703" w:type="dxa"/>
          </w:tcPr>
          <w:p w:rsidR="002648B0" w:rsidRPr="00392FFD" w:rsidRDefault="002648B0" w:rsidP="00FD239F">
            <w:pPr>
              <w:pStyle w:val="InstructionsText"/>
            </w:pPr>
            <w:r>
              <w:t>040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4</w:t>
            </w:r>
            <w:r w:rsidR="00495E8F">
              <w:rPr>
                <w:rStyle w:val="InstructionsTabelleberschrift"/>
                <w:rFonts w:ascii="Times New Roman" w:hAnsi="Times New Roman"/>
                <w:sz w:val="24"/>
              </w:rPr>
              <w:tab/>
            </w:r>
            <w:r>
              <w:rPr>
                <w:rStyle w:val="InstructionsTabelleberschrift"/>
                <w:rFonts w:ascii="Times New Roman" w:hAnsi="Times New Roman"/>
                <w:sz w:val="24"/>
              </w:rPr>
              <w:t>Surplus (+)/Déficit (–) de fonds propres T1</w:t>
            </w:r>
          </w:p>
          <w:p w:rsidR="005643EA" w:rsidRPr="00392FFD" w:rsidRDefault="002648B0" w:rsidP="00FD239F">
            <w:pPr>
              <w:pStyle w:val="InstructionsText"/>
            </w:pPr>
            <w:r>
              <w:t>Ce poste indique, en chiffres absolus, le surplus ou le déficit de fonds propres de catégorie 1 lié aux exigences de l'article 92, paragraphe 1, point b), du CRR (6 %), c'est-à-dire compte non tenu des coussins de fonds propres et des dispos</w:t>
            </w:r>
            <w:r>
              <w:t>i</w:t>
            </w:r>
            <w:r>
              <w:t>tions transitoires sur le ratio.</w:t>
            </w:r>
          </w:p>
        </w:tc>
      </w:tr>
      <w:tr w:rsidR="002648B0" w:rsidRPr="00392FFD" w:rsidTr="00672D2A">
        <w:tc>
          <w:tcPr>
            <w:tcW w:w="703" w:type="dxa"/>
          </w:tcPr>
          <w:p w:rsidR="002648B0" w:rsidRPr="00392FFD" w:rsidRDefault="002648B0" w:rsidP="00FD239F">
            <w:pPr>
              <w:pStyle w:val="InstructionsText"/>
            </w:pPr>
            <w:r>
              <w:t>050</w:t>
            </w:r>
          </w:p>
        </w:tc>
        <w:tc>
          <w:tcPr>
            <w:tcW w:w="8080" w:type="dxa"/>
          </w:tcPr>
          <w:p w:rsidR="005643EA" w:rsidRPr="00392FFD" w:rsidRDefault="002648B0" w:rsidP="00FD239F">
            <w:pPr>
              <w:pStyle w:val="InstructionsText"/>
            </w:pPr>
            <w:r>
              <w:rPr>
                <w:rStyle w:val="InstructionsTabelleberschrift"/>
                <w:rFonts w:ascii="Times New Roman" w:hAnsi="Times New Roman"/>
                <w:sz w:val="24"/>
              </w:rPr>
              <w:t>5</w:t>
            </w:r>
            <w:r w:rsidR="00495E8F">
              <w:rPr>
                <w:rStyle w:val="InstructionsTabelleberschrift"/>
                <w:rFonts w:ascii="Times New Roman" w:hAnsi="Times New Roman"/>
                <w:sz w:val="24"/>
              </w:rPr>
              <w:tab/>
            </w:r>
            <w:r>
              <w:rPr>
                <w:rStyle w:val="InstructionsTabelleberschrift"/>
                <w:rFonts w:ascii="Times New Roman" w:hAnsi="Times New Roman"/>
                <w:sz w:val="24"/>
              </w:rPr>
              <w:t>Ratio de fonds propres total</w:t>
            </w:r>
          </w:p>
          <w:p w:rsidR="005643EA" w:rsidRPr="00392FFD" w:rsidRDefault="002648B0" w:rsidP="00FD239F">
            <w:pPr>
              <w:pStyle w:val="InstructionsText"/>
            </w:pPr>
            <w:r>
              <w:t>Article 92, paragraphe 2, point c), du CRR</w:t>
            </w:r>
          </w:p>
          <w:p w:rsidR="005643EA" w:rsidRPr="00392FFD" w:rsidRDefault="002648B0" w:rsidP="00FD239F">
            <w:pPr>
              <w:pStyle w:val="InstructionsText"/>
            </w:pPr>
            <w:r>
              <w:t>Le ratio de fonds propres total correspond aux fonds propres de l'établissement, exprimés en pourcentage du montant total d'exposition au risque.</w:t>
            </w:r>
          </w:p>
        </w:tc>
      </w:tr>
      <w:tr w:rsidR="002648B0" w:rsidRPr="00392FFD" w:rsidTr="00672D2A">
        <w:tc>
          <w:tcPr>
            <w:tcW w:w="703" w:type="dxa"/>
          </w:tcPr>
          <w:p w:rsidR="002648B0" w:rsidRPr="00392FFD" w:rsidRDefault="002648B0" w:rsidP="00FD239F">
            <w:pPr>
              <w:pStyle w:val="InstructionsText"/>
            </w:pPr>
            <w:r>
              <w:t>060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6</w:t>
            </w:r>
            <w:r w:rsidR="00495E8F">
              <w:rPr>
                <w:rStyle w:val="InstructionsTabelleberschrift"/>
                <w:rFonts w:ascii="Times New Roman" w:hAnsi="Times New Roman"/>
                <w:sz w:val="24"/>
              </w:rPr>
              <w:tab/>
            </w:r>
            <w:r>
              <w:rPr>
                <w:rStyle w:val="InstructionsTabelleberschrift"/>
                <w:rFonts w:ascii="Times New Roman" w:hAnsi="Times New Roman"/>
                <w:sz w:val="24"/>
              </w:rPr>
              <w:t>Surplus (+)/Déficit (–) de fonds propres total</w:t>
            </w:r>
          </w:p>
          <w:p w:rsidR="005643EA" w:rsidRPr="00392FFD" w:rsidRDefault="002648B0" w:rsidP="00FD239F">
            <w:pPr>
              <w:pStyle w:val="InstructionsText"/>
            </w:pPr>
            <w:r>
              <w:t>Ce poste indique, en chiffres absolus, le surplus ou le déficit de fonds propres lié aux exigences de l'article 92, paragraphe 1, point c), du CRR (8 %), c'est-à-dire compte non tenu des coussins de fonds propres et des dispositions transitoires sur le ratio.</w:t>
            </w:r>
          </w:p>
        </w:tc>
      </w:tr>
      <w:tr w:rsidR="009C083D" w:rsidRPr="00392FFD" w:rsidTr="00672D2A">
        <w:tc>
          <w:tcPr>
            <w:tcW w:w="703" w:type="dxa"/>
          </w:tcPr>
          <w:p w:rsidR="009C083D" w:rsidRDefault="009C083D" w:rsidP="00FD239F">
            <w:pPr>
              <w:pStyle w:val="InstructionsText"/>
            </w:pPr>
            <w:r>
              <w:t>130</w:t>
            </w:r>
          </w:p>
          <w:p w:rsidR="009C083D" w:rsidRPr="00392FFD" w:rsidRDefault="009C083D" w:rsidP="00FD239F">
            <w:pPr>
              <w:pStyle w:val="InstructionsText"/>
            </w:pPr>
          </w:p>
        </w:tc>
        <w:tc>
          <w:tcPr>
            <w:tcW w:w="8080" w:type="dxa"/>
          </w:tcPr>
          <w:p w:rsidR="009C083D" w:rsidRPr="009E5DCC" w:rsidRDefault="009C083D"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00495E8F">
              <w:rPr>
                <w:rStyle w:val="InstructionsTabelleberschrift"/>
                <w:rFonts w:ascii="Times New Roman" w:hAnsi="Times New Roman"/>
                <w:sz w:val="24"/>
              </w:rPr>
              <w:tab/>
            </w:r>
            <w:r>
              <w:rPr>
                <w:rStyle w:val="InstructionsTabelleberschrift"/>
                <w:rFonts w:ascii="Times New Roman" w:hAnsi="Times New Roman"/>
                <w:sz w:val="24"/>
              </w:rPr>
              <w:t>Ratio TSCR (exigence de fonds propres SREP totale)</w:t>
            </w:r>
          </w:p>
          <w:p w:rsidR="009C083D" w:rsidRDefault="009C083D" w:rsidP="00FD239F">
            <w:pPr>
              <w:pStyle w:val="InstructionsText"/>
            </w:pPr>
            <w:r>
              <w:t>La somme des points i) et ii) suivants:</w:t>
            </w:r>
          </w:p>
          <w:p w:rsidR="009C083D" w:rsidRDefault="009C083D" w:rsidP="00FD239F">
            <w:pPr>
              <w:pStyle w:val="InstructionsText"/>
              <w:numPr>
                <w:ilvl w:val="0"/>
                <w:numId w:val="20"/>
              </w:numPr>
            </w:pPr>
            <w:r>
              <w:t xml:space="preserve">le ratio de fonds propres total (8 %) visé à l'article 92, paragraphe 1, point c), du CRR; </w:t>
            </w:r>
          </w:p>
          <w:p w:rsidR="009C083D" w:rsidRDefault="009C083D" w:rsidP="00FD239F">
            <w:pPr>
              <w:pStyle w:val="InstructionsText"/>
              <w:numPr>
                <w:ilvl w:val="0"/>
                <w:numId w:val="20"/>
              </w:numPr>
            </w:pPr>
            <w:r>
              <w:t>le ratio d’exigence de fonds propres supplémentaire (exigence du de</w:t>
            </w:r>
            <w:r>
              <w:t>u</w:t>
            </w:r>
            <w:r>
              <w:t>xième pilier – P2R) déterminé conformément aux critères précisés dans les orientations de l’ABE sur les procédures et méthodes communes pour le processus de contrôle et d’évaluation prudentiels et les tests de rési</w:t>
            </w:r>
            <w:r>
              <w:t>s</w:t>
            </w:r>
            <w:r>
              <w:lastRenderedPageBreak/>
              <w:t xml:space="preserve">tance prudentiels (orientations SREP, pour </w:t>
            </w:r>
            <w:proofErr w:type="spellStart"/>
            <w:r>
              <w:rPr>
                <w:i/>
              </w:rPr>
              <w:t>supervisory</w:t>
            </w:r>
            <w:proofErr w:type="spellEnd"/>
            <w:r>
              <w:rPr>
                <w:i/>
              </w:rPr>
              <w:t xml:space="preserve"> and </w:t>
            </w:r>
            <w:proofErr w:type="spellStart"/>
            <w:r>
              <w:rPr>
                <w:i/>
              </w:rPr>
              <w:t>review</w:t>
            </w:r>
            <w:proofErr w:type="spellEnd"/>
            <w:r>
              <w:rPr>
                <w:i/>
              </w:rPr>
              <w:t xml:space="preserve"> </w:t>
            </w:r>
            <w:proofErr w:type="spellStart"/>
            <w:r>
              <w:rPr>
                <w:i/>
              </w:rPr>
              <w:t>pr</w:t>
            </w:r>
            <w:r>
              <w:rPr>
                <w:i/>
              </w:rPr>
              <w:t>o</w:t>
            </w:r>
            <w:r>
              <w:rPr>
                <w:i/>
              </w:rPr>
              <w:t>cess</w:t>
            </w:r>
            <w:proofErr w:type="spellEnd"/>
            <w:r>
              <w:t xml:space="preserve">). </w:t>
            </w:r>
          </w:p>
          <w:p w:rsidR="009C083D" w:rsidRDefault="009C083D" w:rsidP="00FD239F">
            <w:pPr>
              <w:pStyle w:val="InstructionsText"/>
            </w:pPr>
            <w:r>
              <w:t>Cette rubrique rend compte de l’exigence de fonds propres SREP totale (ratio TSCR) telle que communiquée à l’établissement par l’autorité compétente. Le TSCR est défini à la section 1.2 des orientations SREP de l’ABE.</w:t>
            </w:r>
          </w:p>
          <w:p w:rsidR="00C9673B" w:rsidRPr="00201704" w:rsidRDefault="00236E33" w:rsidP="00FD239F">
            <w:pPr>
              <w:pStyle w:val="InstructionsText"/>
              <w:rPr>
                <w:rStyle w:val="InstructionsTabelleberschrift"/>
                <w:rFonts w:ascii="Times New Roman" w:hAnsi="Times New Roman"/>
                <w:b w:val="0"/>
                <w:bCs w:val="0"/>
                <w:sz w:val="24"/>
                <w:u w:val="none"/>
              </w:rPr>
            </w:pPr>
            <w:r>
              <w:t xml:space="preserve">Si aucune exigence de fonds propres supplémentaire n’a été communiquée par l’autorité compétente, seul le point i) doit être déclaré. </w:t>
            </w:r>
          </w:p>
        </w:tc>
      </w:tr>
      <w:tr w:rsidR="009C083D" w:rsidRPr="00392FFD" w:rsidTr="00672D2A">
        <w:tc>
          <w:tcPr>
            <w:tcW w:w="703" w:type="dxa"/>
          </w:tcPr>
          <w:p w:rsidR="009C083D" w:rsidRDefault="009C083D" w:rsidP="00FD239F">
            <w:pPr>
              <w:pStyle w:val="InstructionsText"/>
            </w:pPr>
            <w:r>
              <w:lastRenderedPageBreak/>
              <w:t>140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495E8F">
              <w:rPr>
                <w:rStyle w:val="InstructionsTabelleberschrift"/>
                <w:rFonts w:ascii="Times New Roman" w:hAnsi="Times New Roman"/>
                <w:sz w:val="24"/>
              </w:rPr>
              <w:tab/>
            </w:r>
            <w:r>
              <w:rPr>
                <w:rStyle w:val="InstructionsTabelleberschrift"/>
                <w:rFonts w:ascii="Times New Roman" w:hAnsi="Times New Roman"/>
                <w:sz w:val="24"/>
              </w:rPr>
              <w:t xml:space="preserve">TSCR: à constituer avec des fonds propres CET1 </w:t>
            </w:r>
          </w:p>
          <w:p w:rsidR="009C083D" w:rsidRDefault="009C083D" w:rsidP="00FD239F">
            <w:pPr>
              <w:pStyle w:val="InstructionsText"/>
            </w:pPr>
            <w:r>
              <w:t>La somme des points i) et ii) suivants:</w:t>
            </w:r>
          </w:p>
          <w:p w:rsidR="009C083D" w:rsidRDefault="009C083D" w:rsidP="00FD239F">
            <w:pPr>
              <w:pStyle w:val="InstructionsText"/>
              <w:numPr>
                <w:ilvl w:val="0"/>
                <w:numId w:val="21"/>
              </w:numPr>
            </w:pPr>
            <w:r>
              <w:t>le ratio de fonds propres CET1 (4,5 %) visé à l'article 92, paragraphe 1, point a), du CRR;</w:t>
            </w:r>
          </w:p>
          <w:p w:rsidR="0002157C" w:rsidRPr="009068C9" w:rsidRDefault="009C083D" w:rsidP="00FD239F">
            <w:pPr>
              <w:pStyle w:val="InstructionsText"/>
              <w:numPr>
                <w:ilvl w:val="0"/>
                <w:numId w:val="21"/>
              </w:numPr>
              <w:rPr>
                <w:b/>
                <w:bCs/>
                <w:u w:val="single"/>
              </w:rPr>
            </w:pPr>
            <w:r>
              <w:t>la partie du ratio d’exigence du deuxième pilier (P2R), visée au point ii) de la ligne 130, dont l'autorité compétente impose la détention sous la forme de fonds propres CET1.</w:t>
            </w:r>
          </w:p>
          <w:p w:rsidR="009C083D" w:rsidRPr="00392FFD" w:rsidRDefault="005B54BB" w:rsidP="009068C9">
            <w:pPr>
              <w:pStyle w:val="InstructionsText"/>
              <w:rPr>
                <w:rStyle w:val="InstructionsTabelleberschrift"/>
                <w:rFonts w:ascii="Times New Roman" w:hAnsi="Times New Roman"/>
                <w:sz w:val="24"/>
              </w:rPr>
            </w:pPr>
            <w:r>
              <w:t>Si aucune exigence de fonds propres supplémentaire à détenir sous la forme de fonds propres CET1 n’a été communiquée par l’autorité compétente, seul le point i) doit être déclaré.</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Default="009C083D" w:rsidP="00FD239F">
            <w:pPr>
              <w:pStyle w:val="InstructionsText"/>
            </w:pPr>
            <w:r>
              <w:t>150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495E8F">
              <w:rPr>
                <w:rStyle w:val="InstructionsTabelleberschrift"/>
                <w:rFonts w:ascii="Times New Roman" w:hAnsi="Times New Roman"/>
                <w:sz w:val="24"/>
              </w:rPr>
              <w:tab/>
            </w:r>
            <w:r>
              <w:rPr>
                <w:rStyle w:val="InstructionsTabelleberschrift"/>
                <w:rFonts w:ascii="Times New Roman" w:hAnsi="Times New Roman"/>
                <w:sz w:val="24"/>
              </w:rPr>
              <w:t>TSCR: à constituer avec des fonds propres de catégorie 1</w:t>
            </w:r>
          </w:p>
          <w:p w:rsidR="009C083D" w:rsidRDefault="009C083D" w:rsidP="00FD239F">
            <w:pPr>
              <w:pStyle w:val="InstructionsText"/>
            </w:pPr>
            <w:r>
              <w:t>La somme des points i) et ii) suivants:</w:t>
            </w:r>
          </w:p>
          <w:p w:rsidR="009C083D" w:rsidRDefault="009C083D" w:rsidP="00FD239F">
            <w:pPr>
              <w:pStyle w:val="InstructionsText"/>
              <w:numPr>
                <w:ilvl w:val="0"/>
                <w:numId w:val="22"/>
              </w:numPr>
            </w:pPr>
            <w:r>
              <w:t>le ratio de fonds propres de catégorie 1 (6 %) visé à l'article 92, par</w:t>
            </w:r>
            <w:r>
              <w:t>a</w:t>
            </w:r>
            <w:r>
              <w:t>graphe 1, point b), du CRR;</w:t>
            </w:r>
          </w:p>
          <w:p w:rsidR="009C083D" w:rsidRPr="009068C9" w:rsidRDefault="009C083D" w:rsidP="00FD239F">
            <w:pPr>
              <w:pStyle w:val="InstructionsText"/>
              <w:numPr>
                <w:ilvl w:val="0"/>
                <w:numId w:val="22"/>
              </w:numPr>
              <w:rPr>
                <w:bCs/>
                <w:u w:val="single"/>
              </w:rPr>
            </w:pPr>
            <w:r>
              <w:t>la partie du ratio d’exigence du deuxième pilier (P2R), visée au point ii) de la ligne 130, dont l'autorité compétente impose la détention sous la forme de fonds propres de catégorie 1.</w:t>
            </w:r>
          </w:p>
          <w:p w:rsidR="00DA6CB8" w:rsidRPr="007615A8" w:rsidRDefault="005B54BB" w:rsidP="009068C9">
            <w:pPr>
              <w:pStyle w:val="InstructionsText"/>
              <w:rPr>
                <w:rStyle w:val="InstructionsTabelleberschrift"/>
                <w:rFonts w:ascii="Times New Roman" w:hAnsi="Times New Roman"/>
                <w:b w:val="0"/>
                <w:sz w:val="24"/>
              </w:rPr>
            </w:pPr>
            <w:r>
              <w:t>Si aucune exigence de fonds propres supplémentaire à détenir sous la forme de fonds propres de catégorie 1 n’a été communiquée par l’autorité compétente, seul le point i) doit être déclaré.</w:t>
            </w:r>
          </w:p>
        </w:tc>
      </w:tr>
      <w:tr w:rsidR="009C083D" w:rsidRPr="00392FFD" w:rsidTr="00672D2A">
        <w:tc>
          <w:tcPr>
            <w:tcW w:w="703" w:type="dxa"/>
          </w:tcPr>
          <w:p w:rsidR="009C083D" w:rsidRPr="00392FFD" w:rsidRDefault="009C083D" w:rsidP="00FD239F">
            <w:pPr>
              <w:pStyle w:val="InstructionsText"/>
            </w:pPr>
            <w:r>
              <w:t>160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495E8F">
              <w:rPr>
                <w:rStyle w:val="InstructionsTabelleberschrift"/>
                <w:rFonts w:ascii="Times New Roman" w:hAnsi="Times New Roman"/>
                <w:sz w:val="24"/>
              </w:rPr>
              <w:tab/>
            </w:r>
            <w:r>
              <w:rPr>
                <w:rStyle w:val="InstructionsTabelleberschrift"/>
                <w:rFonts w:ascii="Times New Roman" w:hAnsi="Times New Roman"/>
                <w:sz w:val="24"/>
              </w:rPr>
              <w:t>Ratio OCR (exigence de fonds propres globale)</w:t>
            </w:r>
          </w:p>
          <w:p w:rsidR="009C083D" w:rsidRDefault="009C083D" w:rsidP="00FD239F">
            <w:pPr>
              <w:pStyle w:val="InstructionsText"/>
            </w:pPr>
            <w:r>
              <w:t>La somme des points i) et ii) suivants:</w:t>
            </w:r>
          </w:p>
          <w:p w:rsidR="009C083D" w:rsidRDefault="009C083D" w:rsidP="00FD239F">
            <w:pPr>
              <w:pStyle w:val="InstructionsText"/>
              <w:numPr>
                <w:ilvl w:val="0"/>
                <w:numId w:val="23"/>
              </w:numPr>
            </w:pPr>
            <w:r>
              <w:t>le ratio TSCR visé à la ligne 130;</w:t>
            </w:r>
          </w:p>
          <w:p w:rsidR="009C083D" w:rsidRDefault="009C083D" w:rsidP="00FD239F">
            <w:pPr>
              <w:pStyle w:val="InstructionsText"/>
              <w:numPr>
                <w:ilvl w:val="0"/>
                <w:numId w:val="23"/>
              </w:numPr>
            </w:pPr>
            <w:r>
              <w:t>dans la mesure où elle est légalement applicable, l’exigence globale de coussin de fonds propres visée à l'article 128, point 6), de la CRD.</w:t>
            </w:r>
          </w:p>
          <w:p w:rsidR="005B54BB" w:rsidRDefault="009C083D" w:rsidP="00FD239F">
            <w:pPr>
              <w:pStyle w:val="InstructionsText"/>
            </w:pPr>
            <w:r>
              <w:t>Cette rubrique rend compte de l’exigence de fonds propres globale (ratio OCR) définie à la section 1.2 des orientations SREP de l’ABE.</w:t>
            </w:r>
          </w:p>
          <w:p w:rsidR="00645573" w:rsidRPr="00392FFD" w:rsidRDefault="007260DA" w:rsidP="00FD239F">
            <w:pPr>
              <w:pStyle w:val="InstructionsText"/>
              <w:rPr>
                <w:rStyle w:val="InstructionsTabelleberschrift"/>
                <w:rFonts w:ascii="Times New Roman" w:hAnsi="Times New Roman"/>
                <w:sz w:val="24"/>
              </w:rPr>
            </w:pPr>
            <w:r>
              <w:t>S’il n’y a pas d’exigence de coussin applicable, seul le point i) est déclaré.</w:t>
            </w:r>
          </w:p>
        </w:tc>
      </w:tr>
      <w:tr w:rsidR="009C083D" w:rsidRPr="00392FFD" w:rsidTr="00672D2A">
        <w:tc>
          <w:tcPr>
            <w:tcW w:w="703" w:type="dxa"/>
          </w:tcPr>
          <w:p w:rsidR="009C083D" w:rsidRPr="00392FFD" w:rsidRDefault="009C083D" w:rsidP="00FD239F">
            <w:pPr>
              <w:pStyle w:val="InstructionsText"/>
            </w:pPr>
            <w:r>
              <w:t>170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495E8F">
              <w:rPr>
                <w:rStyle w:val="InstructionsTabelleberschrift"/>
                <w:rFonts w:ascii="Times New Roman" w:hAnsi="Times New Roman"/>
                <w:sz w:val="24"/>
              </w:rPr>
              <w:tab/>
            </w:r>
            <w:r>
              <w:rPr>
                <w:rStyle w:val="InstructionsTabelleberschrift"/>
                <w:rFonts w:ascii="Times New Roman" w:hAnsi="Times New Roman"/>
                <w:sz w:val="24"/>
              </w:rPr>
              <w:t xml:space="preserve">OCR: à constituer avec des fonds propres CET1 </w:t>
            </w:r>
          </w:p>
          <w:p w:rsidR="009C083D" w:rsidRDefault="009C083D" w:rsidP="00FD239F">
            <w:pPr>
              <w:pStyle w:val="InstructionsText"/>
            </w:pPr>
            <w:r>
              <w:t>La somme des points i) et ii) suivants:</w:t>
            </w:r>
          </w:p>
          <w:p w:rsidR="009C083D" w:rsidRDefault="009C083D" w:rsidP="00FD239F">
            <w:pPr>
              <w:pStyle w:val="InstructionsText"/>
              <w:numPr>
                <w:ilvl w:val="0"/>
                <w:numId w:val="24"/>
              </w:numPr>
            </w:pPr>
            <w:r>
              <w:t>le ratio TSCR à constituer avec des fonds propres CET1 visé à la ligne 140;</w:t>
            </w:r>
          </w:p>
          <w:p w:rsidR="009C083D" w:rsidRPr="009068C9" w:rsidRDefault="009C083D" w:rsidP="00FD239F">
            <w:pPr>
              <w:pStyle w:val="InstructionsText"/>
              <w:numPr>
                <w:ilvl w:val="0"/>
                <w:numId w:val="24"/>
              </w:numPr>
              <w:rPr>
                <w:bCs/>
                <w:u w:val="single"/>
              </w:rPr>
            </w:pPr>
            <w:r>
              <w:t xml:space="preserve">dans la mesure où elle est légalement applicable, l’exigence globale de </w:t>
            </w:r>
            <w:r>
              <w:lastRenderedPageBreak/>
              <w:t>coussin de fonds propres visée à l'article 128, point 6), de la CRD.</w:t>
            </w:r>
          </w:p>
          <w:p w:rsidR="00BA325A" w:rsidRPr="007615A8" w:rsidRDefault="00087E1A" w:rsidP="009068C9">
            <w:pPr>
              <w:pStyle w:val="InstructionsText"/>
              <w:rPr>
                <w:rStyle w:val="InstructionsTabelleberschrift"/>
                <w:rFonts w:ascii="Times New Roman" w:hAnsi="Times New Roman"/>
                <w:b w:val="0"/>
                <w:sz w:val="24"/>
              </w:rPr>
            </w:pPr>
            <w:r>
              <w:t>S’il n’y a pas d’exigence de coussin applicable, seul le point i) est déclaré.</w:t>
            </w:r>
          </w:p>
        </w:tc>
      </w:tr>
      <w:tr w:rsidR="009C083D" w:rsidRPr="00392FFD" w:rsidTr="00672D2A">
        <w:tc>
          <w:tcPr>
            <w:tcW w:w="703" w:type="dxa"/>
          </w:tcPr>
          <w:p w:rsidR="009C083D" w:rsidRPr="00392FFD" w:rsidRDefault="009C083D" w:rsidP="00FD239F">
            <w:pPr>
              <w:pStyle w:val="InstructionsText"/>
            </w:pPr>
            <w:r>
              <w:lastRenderedPageBreak/>
              <w:t>180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495E8F">
              <w:rPr>
                <w:rStyle w:val="InstructionsTabelleberschrift"/>
                <w:rFonts w:ascii="Times New Roman" w:hAnsi="Times New Roman"/>
                <w:sz w:val="24"/>
              </w:rPr>
              <w:tab/>
            </w:r>
            <w:r>
              <w:rPr>
                <w:rStyle w:val="InstructionsTabelleberschrift"/>
                <w:rFonts w:ascii="Times New Roman" w:hAnsi="Times New Roman"/>
                <w:sz w:val="24"/>
              </w:rPr>
              <w:t>OCR: à constituer avec des fonds propres de catégorie 1</w:t>
            </w:r>
          </w:p>
          <w:p w:rsidR="009C083D" w:rsidRDefault="009C083D" w:rsidP="00FD239F">
            <w:pPr>
              <w:pStyle w:val="InstructionsText"/>
            </w:pPr>
            <w:r>
              <w:t>La somme des points i) et ii) suivants:</w:t>
            </w:r>
          </w:p>
          <w:p w:rsidR="009C083D" w:rsidRDefault="009C083D" w:rsidP="00FD239F">
            <w:pPr>
              <w:pStyle w:val="InstructionsText"/>
              <w:numPr>
                <w:ilvl w:val="0"/>
                <w:numId w:val="25"/>
              </w:numPr>
            </w:pPr>
            <w:r>
              <w:t>le ratio TSCR à constituer avec des fonds propres de catégorie 1 visé à la ligne 150;</w:t>
            </w:r>
          </w:p>
          <w:p w:rsidR="009C083D" w:rsidRPr="009068C9" w:rsidRDefault="009C083D" w:rsidP="00FD239F">
            <w:pPr>
              <w:pStyle w:val="InstructionsText"/>
              <w:numPr>
                <w:ilvl w:val="0"/>
                <w:numId w:val="25"/>
              </w:numPr>
              <w:rPr>
                <w:bCs/>
                <w:u w:val="single"/>
              </w:rPr>
            </w:pPr>
            <w:r>
              <w:t>dans la mesure où elle est légalement applicable, l’exigence globale de coussin de fonds propres visée à l'article 128, point 6), de la CRD.</w:t>
            </w:r>
          </w:p>
          <w:p w:rsidR="00BA325A" w:rsidRPr="007615A8" w:rsidRDefault="00087E1A" w:rsidP="009068C9">
            <w:pPr>
              <w:pStyle w:val="InstructionsText"/>
              <w:rPr>
                <w:rStyle w:val="InstructionsTabelleberschrift"/>
                <w:rFonts w:ascii="Times New Roman" w:hAnsi="Times New Roman"/>
                <w:b w:val="0"/>
                <w:sz w:val="24"/>
              </w:rPr>
            </w:pPr>
            <w:r>
              <w:t>S’il n’y a pas d’exigence de coussin applicable, seul le point i) est déclaré.</w:t>
            </w:r>
          </w:p>
        </w:tc>
      </w:tr>
      <w:tr w:rsidR="009C083D" w:rsidRPr="00392FFD" w:rsidTr="00672D2A">
        <w:tc>
          <w:tcPr>
            <w:tcW w:w="703" w:type="dxa"/>
          </w:tcPr>
          <w:p w:rsidR="009C083D" w:rsidRPr="00392FFD" w:rsidRDefault="009C083D" w:rsidP="00FD239F">
            <w:pPr>
              <w:pStyle w:val="InstructionsText"/>
            </w:pPr>
            <w:r>
              <w:t>190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495E8F">
              <w:rPr>
                <w:rStyle w:val="InstructionsTabelleberschrift"/>
                <w:rFonts w:ascii="Times New Roman" w:hAnsi="Times New Roman"/>
                <w:sz w:val="24"/>
              </w:rPr>
              <w:tab/>
            </w:r>
            <w:r>
              <w:rPr>
                <w:rStyle w:val="InstructionsTabelleberschrift"/>
                <w:rFonts w:ascii="Times New Roman" w:hAnsi="Times New Roman"/>
                <w:sz w:val="24"/>
              </w:rPr>
              <w:t>Ratio de l’exigence de fonds propres globale OCR et de l’orientation pilier 2 (P2G)</w:t>
            </w:r>
          </w:p>
          <w:p w:rsidR="009C083D" w:rsidRDefault="009C083D" w:rsidP="00FD239F">
            <w:pPr>
              <w:pStyle w:val="InstructionsText"/>
            </w:pPr>
            <w:r>
              <w:t>La somme des points i) et ii) suivants:</w:t>
            </w:r>
          </w:p>
          <w:p w:rsidR="009C083D" w:rsidRDefault="009C083D" w:rsidP="00FD239F">
            <w:pPr>
              <w:pStyle w:val="InstructionsText"/>
              <w:numPr>
                <w:ilvl w:val="0"/>
                <w:numId w:val="26"/>
              </w:numPr>
            </w:pPr>
            <w:r>
              <w:t>le ratio OCR visé à la ligne 160;</w:t>
            </w:r>
          </w:p>
          <w:p w:rsidR="009C083D" w:rsidRPr="009068C9" w:rsidRDefault="009C083D" w:rsidP="00FD239F">
            <w:pPr>
              <w:pStyle w:val="InstructionsText"/>
              <w:numPr>
                <w:ilvl w:val="0"/>
                <w:numId w:val="26"/>
              </w:numPr>
              <w:rPr>
                <w:bCs/>
                <w:u w:val="single"/>
              </w:rPr>
            </w:pPr>
            <w:r>
              <w:t>si elle est applicable, l’orientation pilier 2 (P2G) telle que définie dans les orientations SREP de l’ABE. Cette valeur n’est inscrite que si elle a été communiquée à l'établissement par l'autorité compétente.</w:t>
            </w:r>
          </w:p>
          <w:p w:rsidR="0047693D" w:rsidRPr="007615A8" w:rsidRDefault="005B54BB" w:rsidP="009068C9">
            <w:pPr>
              <w:pStyle w:val="InstructionsText"/>
              <w:rPr>
                <w:rStyle w:val="InstructionsTabelleberschrift"/>
                <w:rFonts w:ascii="Times New Roman" w:hAnsi="Times New Roman"/>
                <w:b w:val="0"/>
                <w:sz w:val="24"/>
              </w:rPr>
            </w:pPr>
            <w:r>
              <w:t xml:space="preserve">Si aucune orientation pilier 2 n’a été communiquée par l’autorité compétente, seul le point i) doit être déclaré. </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Pr="00392FFD" w:rsidRDefault="009C083D" w:rsidP="00FD239F">
            <w:pPr>
              <w:pStyle w:val="InstructionsText"/>
            </w:pPr>
            <w:r>
              <w:t>200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495E8F">
              <w:rPr>
                <w:rStyle w:val="InstructionsTabelleberschrift"/>
                <w:rFonts w:ascii="Times New Roman" w:hAnsi="Times New Roman"/>
                <w:sz w:val="24"/>
              </w:rPr>
              <w:tab/>
            </w:r>
            <w:r>
              <w:rPr>
                <w:rStyle w:val="InstructionsTabelleberschrift"/>
                <w:rFonts w:ascii="Times New Roman" w:hAnsi="Times New Roman"/>
                <w:sz w:val="24"/>
              </w:rPr>
              <w:t xml:space="preserve">OCR et P2G: à constituer avec des fonds propres CET1 </w:t>
            </w:r>
          </w:p>
          <w:p w:rsidR="009C083D" w:rsidRDefault="009C083D" w:rsidP="00FD239F">
            <w:pPr>
              <w:pStyle w:val="InstructionsText"/>
            </w:pPr>
            <w:r>
              <w:t>La somme des points i) et ii) suivants:</w:t>
            </w:r>
          </w:p>
          <w:p w:rsidR="009C083D" w:rsidRDefault="009C083D" w:rsidP="00FD239F">
            <w:pPr>
              <w:pStyle w:val="InstructionsText"/>
              <w:numPr>
                <w:ilvl w:val="0"/>
                <w:numId w:val="27"/>
              </w:numPr>
            </w:pPr>
            <w:r>
              <w:t>le ratio TSCR à constituer avec des fonds propres CET1 visé à la ligne 170;</w:t>
            </w:r>
          </w:p>
          <w:p w:rsidR="009C083D" w:rsidRPr="009068C9" w:rsidRDefault="009C083D" w:rsidP="00FD239F">
            <w:pPr>
              <w:pStyle w:val="InstructionsText"/>
              <w:numPr>
                <w:ilvl w:val="0"/>
                <w:numId w:val="27"/>
              </w:numPr>
              <w:rPr>
                <w:bCs/>
                <w:u w:val="single"/>
              </w:rPr>
            </w:pPr>
            <w:r>
              <w:t>lorsqu’elle est applicable, la partie de l’orientation pilier 2 (P2G), visée au point ii) de la ligne 190, dont l'autorité compétente impose la détention sous la forme de fonds propres CET1. L’orientation pilier 2 n’est incluse dans le calcul que si elle a été communiquée à l’établissement par l’autorité compétente.</w:t>
            </w:r>
          </w:p>
          <w:p w:rsidR="0047693D" w:rsidRPr="007615A8" w:rsidRDefault="005B54BB" w:rsidP="009068C9">
            <w:pPr>
              <w:pStyle w:val="InstructionsText"/>
              <w:rPr>
                <w:rStyle w:val="InstructionsTabelleberschrift"/>
                <w:rFonts w:ascii="Times New Roman" w:hAnsi="Times New Roman"/>
                <w:b w:val="0"/>
                <w:sz w:val="24"/>
              </w:rPr>
            </w:pPr>
            <w:r>
              <w:t>Si aucune orientation pilier 2 n’a été communiquée par l’autorité compétente, seul le point i) doit être déclaré.</w:t>
            </w:r>
          </w:p>
        </w:tc>
      </w:tr>
      <w:tr w:rsidR="009C083D" w:rsidRPr="00392FFD" w:rsidTr="00672D2A">
        <w:tc>
          <w:tcPr>
            <w:tcW w:w="703" w:type="dxa"/>
          </w:tcPr>
          <w:p w:rsidR="009C083D" w:rsidRPr="00392FFD" w:rsidRDefault="009C083D" w:rsidP="00FD239F">
            <w:pPr>
              <w:pStyle w:val="InstructionsText"/>
            </w:pPr>
            <w:r>
              <w:t>210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495E8F">
              <w:rPr>
                <w:rStyle w:val="InstructionsTabelleberschrift"/>
                <w:rFonts w:ascii="Times New Roman" w:hAnsi="Times New Roman"/>
                <w:sz w:val="24"/>
              </w:rPr>
              <w:tab/>
            </w:r>
            <w:r>
              <w:rPr>
                <w:rStyle w:val="InstructionsTabelleberschrift"/>
                <w:rFonts w:ascii="Times New Roman" w:hAnsi="Times New Roman"/>
                <w:sz w:val="24"/>
              </w:rPr>
              <w:t xml:space="preserve">OCR et P2G: à constituer avec des fonds propres de catégorie 1 </w:t>
            </w:r>
          </w:p>
          <w:p w:rsidR="009C083D" w:rsidRDefault="009C083D" w:rsidP="00FD239F">
            <w:pPr>
              <w:pStyle w:val="InstructionsText"/>
            </w:pPr>
            <w:r>
              <w:t>La somme des points i) et ii) suivants:</w:t>
            </w:r>
          </w:p>
          <w:p w:rsidR="009C083D" w:rsidRDefault="009C083D" w:rsidP="00FD239F">
            <w:pPr>
              <w:pStyle w:val="InstructionsText"/>
              <w:numPr>
                <w:ilvl w:val="0"/>
                <w:numId w:val="28"/>
              </w:numPr>
            </w:pPr>
            <w:r>
              <w:t>le ratio OCR à constituer avec des fonds propres de catégorie 1 visé à la ligne 180;</w:t>
            </w:r>
          </w:p>
          <w:p w:rsidR="009C083D" w:rsidRDefault="009C083D" w:rsidP="00FD239F">
            <w:pPr>
              <w:pStyle w:val="InstructionsText"/>
              <w:numPr>
                <w:ilvl w:val="0"/>
                <w:numId w:val="28"/>
              </w:numPr>
            </w:pPr>
            <w:r>
              <w:t>lorsqu’elle est applicable, la partie de l’orientation pilier 2 (P2G), visée au point ii) de la ligne 190, dont l'autorité compétente impose la détention sous la forme de fonds propres de catégorie 1. L’orientation pilier 2 n’est incluse dans le calcul que si elle a été communiquée à l’établissement par l’autorité compétente.</w:t>
            </w:r>
          </w:p>
          <w:p w:rsidR="0047693D" w:rsidRPr="007615A8" w:rsidRDefault="005B54BB" w:rsidP="009068C9">
            <w:pPr>
              <w:pStyle w:val="InstructionsText"/>
              <w:rPr>
                <w:rStyle w:val="InstructionsTabelleberschrift"/>
                <w:rFonts w:ascii="Times New Roman" w:hAnsi="Times New Roman"/>
                <w:b w:val="0"/>
                <w:bCs w:val="0"/>
                <w:sz w:val="24"/>
                <w:u w:val="none"/>
              </w:rPr>
            </w:pPr>
            <w:r>
              <w:t>Si aucune orientation pilier 2 n’a été communiquée par l’autorité compétente, seul le point i) doit être déclaré.</w:t>
            </w:r>
            <w:r>
              <w:rPr>
                <w:rStyle w:val="InstructionsTabelleberschrift"/>
                <w:rFonts w:ascii="Times New Roman" w:hAnsi="Times New Roman"/>
                <w:b w:val="0"/>
                <w:sz w:val="24"/>
              </w:rPr>
              <w:t xml:space="preserve"> </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4" w:name="_Toc516210614"/>
      <w:bookmarkStart w:id="75" w:name="_Toc473560879"/>
      <w:bookmarkStart w:id="76" w:name="_Toc308175830"/>
      <w:bookmarkStart w:id="77" w:name="_Toc360188331"/>
      <w:bookmarkStart w:id="78" w:name="_Toc524104153"/>
      <w:r>
        <w:rPr>
          <w:rFonts w:ascii="Times New Roman" w:hAnsi="Times New Roman"/>
          <w:sz w:val="24"/>
          <w:u w:val="none"/>
        </w:rPr>
        <w:t>1.5.</w:t>
      </w:r>
      <w:r w:rsidRPr="00495E8F">
        <w:rPr>
          <w:u w:val="none"/>
        </w:rPr>
        <w:tab/>
      </w:r>
      <w:r>
        <w:rPr>
          <w:rFonts w:ascii="Times New Roman" w:hAnsi="Times New Roman"/>
          <w:sz w:val="24"/>
        </w:rPr>
        <w:t>C 04.00 - ÉLÉMENTS POUR MÉMOIRE (CA4)</w:t>
      </w:r>
      <w:bookmarkEnd w:id="74"/>
      <w:bookmarkEnd w:id="75"/>
      <w:bookmarkEnd w:id="78"/>
      <w:r>
        <w:rPr>
          <w:rFonts w:ascii="Times New Roman" w:hAnsi="Times New Roman"/>
          <w:sz w:val="24"/>
        </w:rPr>
        <w:t xml:space="preserve"> </w:t>
      </w:r>
      <w:bookmarkEnd w:id="76"/>
      <w:bookmarkEnd w:id="77"/>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9" w:name="_Toc308175831"/>
      <w:bookmarkStart w:id="80" w:name="_Toc310414974"/>
      <w:bookmarkStart w:id="81" w:name="_Toc360188332"/>
      <w:bookmarkStart w:id="82" w:name="_Toc516210615"/>
      <w:bookmarkStart w:id="83" w:name="_Toc473560880"/>
      <w:bookmarkStart w:id="84" w:name="_Toc524104154"/>
      <w:r>
        <w:rPr>
          <w:rFonts w:ascii="Times New Roman" w:hAnsi="Times New Roman"/>
          <w:sz w:val="24"/>
          <w:u w:val="none"/>
        </w:rPr>
        <w:t>1.5.1.</w:t>
      </w:r>
      <w:r>
        <w:tab/>
      </w:r>
      <w:r>
        <w:rPr>
          <w:rFonts w:ascii="Times New Roman" w:hAnsi="Times New Roman"/>
          <w:sz w:val="24"/>
        </w:rPr>
        <w:t xml:space="preserve">Instructions concernant certaines </w:t>
      </w:r>
      <w:bookmarkEnd w:id="79"/>
      <w:bookmarkEnd w:id="80"/>
      <w:r>
        <w:rPr>
          <w:rFonts w:ascii="Times New Roman" w:hAnsi="Times New Roman"/>
          <w:sz w:val="24"/>
        </w:rPr>
        <w:t>positions</w:t>
      </w:r>
      <w:bookmarkEnd w:id="81"/>
      <w:bookmarkEnd w:id="82"/>
      <w:bookmarkEnd w:id="83"/>
      <w:bookmarkEnd w:id="84"/>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rsidTr="00672D2A">
        <w:tc>
          <w:tcPr>
            <w:tcW w:w="8749" w:type="dxa"/>
            <w:gridSpan w:val="2"/>
            <w:shd w:val="clear" w:color="auto" w:fill="D9D9D9"/>
          </w:tcPr>
          <w:p w:rsidR="005643EA" w:rsidRPr="00392FFD" w:rsidRDefault="002648B0" w:rsidP="00FD239F">
            <w:pPr>
              <w:pStyle w:val="InstructionsText"/>
            </w:pPr>
            <w:r>
              <w:t>Ligne</w:t>
            </w:r>
          </w:p>
        </w:tc>
      </w:tr>
      <w:tr w:rsidR="002648B0" w:rsidRPr="00392FFD" w:rsidTr="00672D2A">
        <w:tc>
          <w:tcPr>
            <w:tcW w:w="1506" w:type="dxa"/>
          </w:tcPr>
          <w:p w:rsidR="002648B0" w:rsidRPr="00392FFD" w:rsidRDefault="002648B0" w:rsidP="00FD239F">
            <w:pPr>
              <w:pStyle w:val="InstructionsText"/>
            </w:pPr>
            <w:r>
              <w:t>010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w:t>
            </w:r>
            <w:r w:rsidR="00495E8F">
              <w:rPr>
                <w:rStyle w:val="InstructionsTabelleberschrift"/>
                <w:rFonts w:ascii="Times New Roman" w:hAnsi="Times New Roman"/>
                <w:sz w:val="24"/>
              </w:rPr>
              <w:tab/>
            </w:r>
            <w:r>
              <w:rPr>
                <w:rStyle w:val="InstructionsTabelleberschrift"/>
                <w:rFonts w:ascii="Times New Roman" w:hAnsi="Times New Roman"/>
                <w:sz w:val="24"/>
              </w:rPr>
              <w:t>Actifs d'impôt différé totaux</w:t>
            </w:r>
          </w:p>
          <w:p w:rsidR="005643EA" w:rsidRPr="00392FFD" w:rsidRDefault="002648B0" w:rsidP="00FD239F">
            <w:pPr>
              <w:pStyle w:val="InstructionsText"/>
            </w:pPr>
            <w:r>
              <w:t>Le montant déclaré à ce poste correspondra au montant déclaré au de</w:t>
            </w:r>
            <w:r>
              <w:t>r</w:t>
            </w:r>
            <w:r>
              <w:t>nier bilan vérifié/audité.</w:t>
            </w:r>
          </w:p>
        </w:tc>
      </w:tr>
      <w:tr w:rsidR="002648B0" w:rsidRPr="00392FFD" w:rsidTr="00672D2A">
        <w:tc>
          <w:tcPr>
            <w:tcW w:w="1506" w:type="dxa"/>
          </w:tcPr>
          <w:p w:rsidR="002648B0" w:rsidRPr="00392FFD" w:rsidRDefault="002648B0" w:rsidP="00FD239F">
            <w:pPr>
              <w:pStyle w:val="InstructionsText"/>
            </w:pPr>
            <w:r>
              <w:t>020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1.1</w:t>
            </w:r>
            <w:r w:rsidR="00495E8F">
              <w:rPr>
                <w:rStyle w:val="InstructionsTabelleberschrift"/>
                <w:rFonts w:ascii="Times New Roman" w:hAnsi="Times New Roman"/>
                <w:sz w:val="24"/>
              </w:rPr>
              <w:tab/>
            </w:r>
            <w:r>
              <w:rPr>
                <w:rStyle w:val="InstructionsTabelleberschrift"/>
                <w:rFonts w:ascii="Times New Roman" w:hAnsi="Times New Roman"/>
                <w:sz w:val="24"/>
              </w:rPr>
              <w:t>Actifs d'impôt différé ne dépendant pas de bénéfices futurs</w:t>
            </w:r>
          </w:p>
          <w:p w:rsidR="005643EA" w:rsidRPr="00392FFD" w:rsidRDefault="002648B0" w:rsidP="00FD239F">
            <w:pPr>
              <w:pStyle w:val="InstructionsText"/>
            </w:pPr>
            <w:r>
              <w:t>Article 39, paragraphe 2, du CRR</w:t>
            </w:r>
          </w:p>
          <w:p w:rsidR="005643EA" w:rsidRPr="00392FFD" w:rsidRDefault="002648B0" w:rsidP="00FD239F">
            <w:pPr>
              <w:pStyle w:val="InstructionsText"/>
            </w:pPr>
            <w:r>
              <w:t>Actifs d'impôt différé qui ne dépendent pas de bénéfices futurs et sont donc soumis à une pondération de risque.</w:t>
            </w:r>
          </w:p>
        </w:tc>
      </w:tr>
      <w:tr w:rsidR="002648B0" w:rsidRPr="00392FFD" w:rsidTr="00672D2A">
        <w:tc>
          <w:tcPr>
            <w:tcW w:w="1506" w:type="dxa"/>
          </w:tcPr>
          <w:p w:rsidR="002648B0" w:rsidRPr="00392FFD" w:rsidRDefault="002648B0" w:rsidP="00FD239F">
            <w:pPr>
              <w:pStyle w:val="InstructionsText"/>
            </w:pPr>
            <w:r>
              <w:t>030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rsidR="00495E8F">
              <w:rPr>
                <w:rStyle w:val="InstructionsTabelleberschrift"/>
                <w:rFonts w:ascii="Times New Roman" w:hAnsi="Times New Roman"/>
                <w:sz w:val="24"/>
              </w:rPr>
              <w:tab/>
            </w:r>
            <w:r>
              <w:rPr>
                <w:rStyle w:val="InstructionsTabelleberschrift"/>
                <w:rFonts w:ascii="Times New Roman" w:hAnsi="Times New Roman"/>
                <w:sz w:val="24"/>
              </w:rPr>
              <w:t>Actifs d'impôt différé dépendant de bénéfices futurs et ne r</w:t>
            </w:r>
            <w:r>
              <w:rPr>
                <w:rStyle w:val="InstructionsTabelleberschrift"/>
                <w:rFonts w:ascii="Times New Roman" w:hAnsi="Times New Roman"/>
                <w:sz w:val="24"/>
              </w:rPr>
              <w:t>é</w:t>
            </w:r>
            <w:r>
              <w:rPr>
                <w:rStyle w:val="InstructionsTabelleberschrift"/>
                <w:rFonts w:ascii="Times New Roman" w:hAnsi="Times New Roman"/>
                <w:sz w:val="24"/>
              </w:rPr>
              <w:t>sultant pas de différences temporelles</w:t>
            </w:r>
          </w:p>
          <w:p w:rsidR="005643EA" w:rsidRPr="00392FFD" w:rsidRDefault="002648B0" w:rsidP="00FD239F">
            <w:pPr>
              <w:pStyle w:val="InstructionsText"/>
            </w:pPr>
            <w:r>
              <w:t>Article 36, paragraphe 1, point c), et article 38 du CRR</w:t>
            </w:r>
          </w:p>
          <w:p w:rsidR="005643EA" w:rsidRPr="00392FFD" w:rsidRDefault="002648B0" w:rsidP="00FD239F">
            <w:pPr>
              <w:pStyle w:val="InstructionsText"/>
            </w:pPr>
            <w:r>
              <w:t>Actifs d'impôt différé qui dépendent de bénéfices futurs, mais ne résu</w:t>
            </w:r>
            <w:r>
              <w:t>l</w:t>
            </w:r>
            <w:r>
              <w:t>tent pas de différences temporelles, et ne sont donc pas soumis à un quelconque seuil (c'est-à-dire intégralement déduits des fonds propres de base de catégorie 1).</w:t>
            </w:r>
          </w:p>
        </w:tc>
      </w:tr>
      <w:tr w:rsidR="002648B0" w:rsidRPr="00392FFD" w:rsidTr="00672D2A">
        <w:tc>
          <w:tcPr>
            <w:tcW w:w="1506" w:type="dxa"/>
          </w:tcPr>
          <w:p w:rsidR="002648B0" w:rsidRPr="00392FFD" w:rsidRDefault="002648B0" w:rsidP="00FD239F">
            <w:pPr>
              <w:pStyle w:val="InstructionsText"/>
            </w:pPr>
            <w:r>
              <w:t>040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w:t>
            </w:r>
            <w:r w:rsidR="00495E8F">
              <w:rPr>
                <w:rStyle w:val="InstructionsTabelleberschrift"/>
                <w:rFonts w:ascii="Times New Roman" w:hAnsi="Times New Roman"/>
                <w:sz w:val="24"/>
              </w:rPr>
              <w:tab/>
            </w:r>
            <w:r>
              <w:rPr>
                <w:rStyle w:val="InstructionsTabelleberschrift"/>
                <w:rFonts w:ascii="Times New Roman" w:hAnsi="Times New Roman"/>
                <w:sz w:val="24"/>
              </w:rPr>
              <w:t>Actifs d'impôt différé dépendant de bénéfices futurs et résu</w:t>
            </w:r>
            <w:r>
              <w:rPr>
                <w:rStyle w:val="InstructionsTabelleberschrift"/>
                <w:rFonts w:ascii="Times New Roman" w:hAnsi="Times New Roman"/>
                <w:sz w:val="24"/>
              </w:rPr>
              <w:t>l</w:t>
            </w:r>
            <w:r>
              <w:rPr>
                <w:rStyle w:val="InstructionsTabelleberschrift"/>
                <w:rFonts w:ascii="Times New Roman" w:hAnsi="Times New Roman"/>
                <w:sz w:val="24"/>
              </w:rPr>
              <w:t>tant de différences temporelles</w:t>
            </w:r>
          </w:p>
          <w:p w:rsidR="005643EA" w:rsidRPr="00392FFD" w:rsidRDefault="002648B0" w:rsidP="00FD239F">
            <w:pPr>
              <w:pStyle w:val="InstructionsText"/>
            </w:pPr>
            <w:r>
              <w:t>Article 36, paragraphe 1, point c), article 38 et article 48, paragraphe 1, point a), du CRR</w:t>
            </w:r>
          </w:p>
          <w:p w:rsidR="005643EA" w:rsidRPr="00392FFD" w:rsidRDefault="002648B0" w:rsidP="00FD239F">
            <w:pPr>
              <w:pStyle w:val="InstructionsText"/>
            </w:pPr>
            <w:r>
              <w:t>Actifs d'impôt différé qui dépendent de bénéfices futurs et résultent de différences temporelles, et dont la déduction des fonds propres de base de catégorie 1 est par conséquent soumise aux seuils de 10 % et de 17,65 % visés à l'article 48 du CRR.</w:t>
            </w:r>
          </w:p>
        </w:tc>
      </w:tr>
      <w:tr w:rsidR="002648B0" w:rsidRPr="00392FFD" w:rsidTr="00672D2A">
        <w:tc>
          <w:tcPr>
            <w:tcW w:w="1506" w:type="dxa"/>
          </w:tcPr>
          <w:p w:rsidR="002648B0" w:rsidRPr="00392FFD" w:rsidRDefault="002648B0" w:rsidP="00FD239F">
            <w:pPr>
              <w:pStyle w:val="InstructionsText"/>
            </w:pPr>
            <w:r>
              <w:t>050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 Passifs d'impôt différé totaux</w:t>
            </w:r>
          </w:p>
          <w:p w:rsidR="005643EA" w:rsidRPr="00392FFD" w:rsidRDefault="002648B0" w:rsidP="00FD239F">
            <w:pPr>
              <w:pStyle w:val="InstructionsText"/>
            </w:pPr>
            <w:r>
              <w:t>Le montant déclaré à ce poste correspondra au montant déclaré au de</w:t>
            </w:r>
            <w:r>
              <w:t>r</w:t>
            </w:r>
            <w:r>
              <w:t>nier bilan vérifié/audité.</w:t>
            </w:r>
          </w:p>
        </w:tc>
      </w:tr>
      <w:tr w:rsidR="002648B0" w:rsidRPr="00392FFD" w:rsidTr="00672D2A">
        <w:tc>
          <w:tcPr>
            <w:tcW w:w="1506" w:type="dxa"/>
          </w:tcPr>
          <w:p w:rsidR="002648B0" w:rsidRPr="00392FFD" w:rsidRDefault="002648B0" w:rsidP="00FD239F">
            <w:pPr>
              <w:pStyle w:val="InstructionsText"/>
            </w:pPr>
            <w:r>
              <w:t>060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rsidR="00495E8F">
              <w:rPr>
                <w:rStyle w:val="InstructionsTabelleberschrift"/>
                <w:rFonts w:ascii="Times New Roman" w:hAnsi="Times New Roman"/>
                <w:sz w:val="24"/>
              </w:rPr>
              <w:tab/>
            </w:r>
            <w:r>
              <w:rPr>
                <w:rStyle w:val="InstructionsTabelleberschrift"/>
                <w:rFonts w:ascii="Times New Roman" w:hAnsi="Times New Roman"/>
                <w:sz w:val="24"/>
              </w:rPr>
              <w:t>Passifs d'impôt différé non déductibles des actifs d'impôt di</w:t>
            </w:r>
            <w:r>
              <w:rPr>
                <w:rStyle w:val="InstructionsTabelleberschrift"/>
                <w:rFonts w:ascii="Times New Roman" w:hAnsi="Times New Roman"/>
                <w:sz w:val="24"/>
              </w:rPr>
              <w:t>f</w:t>
            </w:r>
            <w:r>
              <w:rPr>
                <w:rStyle w:val="InstructionsTabelleberschrift"/>
                <w:rFonts w:ascii="Times New Roman" w:hAnsi="Times New Roman"/>
                <w:sz w:val="24"/>
              </w:rPr>
              <w:t>féré dépendant de bénéfices futurs</w:t>
            </w:r>
          </w:p>
          <w:p w:rsidR="005643EA" w:rsidRPr="00392FFD" w:rsidRDefault="002648B0" w:rsidP="00FD239F">
            <w:pPr>
              <w:pStyle w:val="InstructionsText"/>
            </w:pPr>
            <w:r>
              <w:t>Article 38, paragraphes 3 et 4, du CRR</w:t>
            </w:r>
          </w:p>
          <w:p w:rsidR="005643EA" w:rsidRPr="00392FFD" w:rsidRDefault="002648B0" w:rsidP="00FD239F">
            <w:pPr>
              <w:pStyle w:val="InstructionsText"/>
            </w:pPr>
            <w:r>
              <w:t>Passifs d'impôt différé pour lesquels les conditions de l'article 38, par</w:t>
            </w:r>
            <w:r>
              <w:t>a</w:t>
            </w:r>
            <w:r>
              <w:t>graphes 3 et 4, du CRR ne sont pas remplies. Par conséquent, ce poste comprendra les passifs d'impôt différé qui réduisent le montant du goodwill, des autres immobilisations incorporelles ou des actifs de fonds de pension à prestations définies devant être déduits, qui sont déclarés respectivement aux points 1.1.1.10.3, 1.1.1.11.2 et 1.1.1.14.2 du CA1.</w:t>
            </w:r>
          </w:p>
        </w:tc>
      </w:tr>
      <w:tr w:rsidR="002648B0" w:rsidRPr="00392FFD" w:rsidTr="00672D2A">
        <w:tc>
          <w:tcPr>
            <w:tcW w:w="1506" w:type="dxa"/>
          </w:tcPr>
          <w:p w:rsidR="002648B0" w:rsidRPr="00392FFD" w:rsidRDefault="002648B0" w:rsidP="00FD239F">
            <w:pPr>
              <w:pStyle w:val="InstructionsText"/>
            </w:pPr>
            <w:r>
              <w:lastRenderedPageBreak/>
              <w:t>070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rsidR="00495E8F">
              <w:rPr>
                <w:rStyle w:val="InstructionsTabelleberschrift"/>
                <w:rFonts w:ascii="Times New Roman" w:hAnsi="Times New Roman"/>
                <w:sz w:val="24"/>
              </w:rPr>
              <w:tab/>
            </w:r>
            <w:r>
              <w:rPr>
                <w:rStyle w:val="InstructionsTabelleberschrift"/>
                <w:rFonts w:ascii="Times New Roman" w:hAnsi="Times New Roman"/>
                <w:sz w:val="24"/>
              </w:rPr>
              <w:t>Passifs d'impôt différé déductibles des actifs d'impôt différé dépendant de bénéfices futurs</w:t>
            </w:r>
          </w:p>
          <w:p w:rsidR="005643EA" w:rsidRPr="00392FFD" w:rsidRDefault="002648B0" w:rsidP="00FD239F">
            <w:pPr>
              <w:pStyle w:val="InstructionsText"/>
            </w:pPr>
            <w:r>
              <w:t>Article 38 du CRR</w:t>
            </w:r>
          </w:p>
        </w:tc>
      </w:tr>
      <w:tr w:rsidR="002648B0" w:rsidRPr="00392FFD" w:rsidTr="00672D2A">
        <w:tc>
          <w:tcPr>
            <w:tcW w:w="1506" w:type="dxa"/>
          </w:tcPr>
          <w:p w:rsidR="002648B0" w:rsidRPr="00392FFD" w:rsidRDefault="002648B0" w:rsidP="00FD239F">
            <w:pPr>
              <w:pStyle w:val="InstructionsText"/>
            </w:pPr>
            <w:r>
              <w:t>080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2.2.1</w:t>
            </w:r>
            <w:r w:rsidR="00495E8F">
              <w:rPr>
                <w:rStyle w:val="InstructionsTabelleberschrift"/>
                <w:rFonts w:ascii="Times New Roman" w:hAnsi="Times New Roman"/>
                <w:sz w:val="24"/>
              </w:rPr>
              <w:tab/>
            </w:r>
            <w:r>
              <w:rPr>
                <w:rStyle w:val="InstructionsTabelleberschrift"/>
                <w:rFonts w:ascii="Times New Roman" w:hAnsi="Times New Roman"/>
                <w:sz w:val="24"/>
              </w:rPr>
              <w:t>Passifs d'impôt différé associés aux actifs d'impôt différé d</w:t>
            </w:r>
            <w:r>
              <w:rPr>
                <w:rStyle w:val="InstructionsTabelleberschrift"/>
                <w:rFonts w:ascii="Times New Roman" w:hAnsi="Times New Roman"/>
                <w:sz w:val="24"/>
              </w:rPr>
              <w:t>é</w:t>
            </w:r>
            <w:r>
              <w:rPr>
                <w:rStyle w:val="InstructionsTabelleberschrift"/>
                <w:rFonts w:ascii="Times New Roman" w:hAnsi="Times New Roman"/>
                <w:sz w:val="24"/>
              </w:rPr>
              <w:t>pendant de bénéfices futurs et ne résultant pas de différences te</w:t>
            </w:r>
            <w:r>
              <w:rPr>
                <w:rStyle w:val="InstructionsTabelleberschrift"/>
                <w:rFonts w:ascii="Times New Roman" w:hAnsi="Times New Roman"/>
                <w:sz w:val="24"/>
              </w:rPr>
              <w:t>m</w:t>
            </w:r>
            <w:r>
              <w:rPr>
                <w:rStyle w:val="InstructionsTabelleberschrift"/>
                <w:rFonts w:ascii="Times New Roman" w:hAnsi="Times New Roman"/>
                <w:sz w:val="24"/>
              </w:rPr>
              <w:t>porelles</w:t>
            </w:r>
          </w:p>
          <w:p w:rsidR="005643EA" w:rsidRPr="00392FFD" w:rsidRDefault="002648B0" w:rsidP="00FD239F">
            <w:pPr>
              <w:pStyle w:val="InstructionsText"/>
            </w:pPr>
            <w:r>
              <w:t>Article 38, paragraphes 3, 4 et 5, du CRR</w:t>
            </w:r>
          </w:p>
          <w:p w:rsidR="005643EA" w:rsidRPr="00392FFD" w:rsidRDefault="002648B0" w:rsidP="00FD239F">
            <w:pPr>
              <w:pStyle w:val="InstructionsText"/>
            </w:pPr>
            <w:r>
              <w:t>Passifs d'impôt différé qui peuvent diminuer le montant des actifs d'i</w:t>
            </w:r>
            <w:r>
              <w:t>m</w:t>
            </w:r>
            <w:r>
              <w:t>pôt différé qui dépendent de bénéfices futurs, conformément à l'a</w:t>
            </w:r>
            <w:r>
              <w:t>r</w:t>
            </w:r>
            <w:r>
              <w:t>ticle 38, paragraphes 3 et 4, du CRR, et ne sont pas affectés aux actifs d'impôt différé qui dépendent de bénéfices futurs et résultent de diff</w:t>
            </w:r>
            <w:r>
              <w:t>é</w:t>
            </w:r>
            <w:r>
              <w:t>rences temporelles, conformément à l'article 38, paragraphe 5, du CRR.</w:t>
            </w:r>
          </w:p>
        </w:tc>
      </w:tr>
      <w:tr w:rsidR="002648B0" w:rsidRPr="00392FFD" w:rsidTr="00672D2A">
        <w:tc>
          <w:tcPr>
            <w:tcW w:w="1506" w:type="dxa"/>
          </w:tcPr>
          <w:p w:rsidR="002648B0" w:rsidRPr="00392FFD" w:rsidRDefault="002648B0" w:rsidP="00FD239F">
            <w:pPr>
              <w:pStyle w:val="InstructionsText"/>
            </w:pPr>
            <w:r>
              <w:t>090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2.2.2</w:t>
            </w:r>
            <w:r w:rsidR="008D707C">
              <w:rPr>
                <w:rStyle w:val="InstructionsTabelleberschrift"/>
                <w:rFonts w:ascii="Times New Roman" w:hAnsi="Times New Roman"/>
                <w:sz w:val="24"/>
              </w:rPr>
              <w:tab/>
            </w:r>
            <w:r>
              <w:rPr>
                <w:rStyle w:val="InstructionsTabelleberschrift"/>
                <w:rFonts w:ascii="Times New Roman" w:hAnsi="Times New Roman"/>
                <w:sz w:val="24"/>
              </w:rPr>
              <w:t>Passifs d'impôt différé associés aux actifs d'impôt différé d</w:t>
            </w:r>
            <w:r>
              <w:rPr>
                <w:rStyle w:val="InstructionsTabelleberschrift"/>
                <w:rFonts w:ascii="Times New Roman" w:hAnsi="Times New Roman"/>
                <w:sz w:val="24"/>
              </w:rPr>
              <w:t>é</w:t>
            </w:r>
            <w:r>
              <w:rPr>
                <w:rStyle w:val="InstructionsTabelleberschrift"/>
                <w:rFonts w:ascii="Times New Roman" w:hAnsi="Times New Roman"/>
                <w:sz w:val="24"/>
              </w:rPr>
              <w:t>pendant de bénéfices futurs et résultant de différences temporelles</w:t>
            </w:r>
          </w:p>
          <w:p w:rsidR="005643EA" w:rsidRPr="00392FFD" w:rsidRDefault="002648B0" w:rsidP="00FD239F">
            <w:pPr>
              <w:pStyle w:val="InstructionsText"/>
            </w:pPr>
            <w:r>
              <w:t>Article 38, paragraphes 3, 4 et 5, du CRR</w:t>
            </w:r>
          </w:p>
          <w:p w:rsidR="005643EA" w:rsidRPr="00392FFD" w:rsidRDefault="002648B0" w:rsidP="00FD239F">
            <w:pPr>
              <w:pStyle w:val="InstructionsText"/>
            </w:pPr>
            <w:r>
              <w:t>Passifs d'impôt différé qui peuvent diminuer le montant des actifs d'i</w:t>
            </w:r>
            <w:r>
              <w:t>m</w:t>
            </w:r>
            <w:r>
              <w:t>pôt différé qui dépendent de bénéfices futurs, conformément à l'a</w:t>
            </w:r>
            <w:r>
              <w:t>r</w:t>
            </w:r>
            <w:r>
              <w:t>ticle 38, paragraphes 3 et 4, du CRR, et sont affectés aux actifs d'impôt différé qui dépendent de bénéfices futurs et résultent de différences te</w:t>
            </w:r>
            <w:r>
              <w:t>m</w:t>
            </w:r>
            <w:r>
              <w:t>porelles, conformément à l'article 38, paragraphe 5, du CRR.</w:t>
            </w:r>
          </w:p>
        </w:tc>
      </w:tr>
      <w:tr w:rsidR="00550113" w:rsidRPr="00392FFD" w:rsidTr="00672D2A">
        <w:tc>
          <w:tcPr>
            <w:tcW w:w="1506" w:type="dxa"/>
          </w:tcPr>
          <w:p w:rsidR="00550113" w:rsidRPr="00392FFD" w:rsidRDefault="00550113" w:rsidP="00FD239F">
            <w:pPr>
              <w:pStyle w:val="InstructionsText"/>
            </w:pPr>
            <w:r>
              <w:t>093</w:t>
            </w:r>
          </w:p>
        </w:tc>
        <w:tc>
          <w:tcPr>
            <w:tcW w:w="7243" w:type="dxa"/>
          </w:tcPr>
          <w:p w:rsidR="00550113" w:rsidRPr="00201704" w:rsidRDefault="00550113" w:rsidP="00FD239F">
            <w:pPr>
              <w:pStyle w:val="InstructionsText"/>
            </w:pPr>
            <w:r>
              <w:rPr>
                <w:rStyle w:val="InstructionsTabelleberschrift"/>
                <w:rFonts w:ascii="Times New Roman" w:hAnsi="Times New Roman"/>
                <w:sz w:val="24"/>
              </w:rPr>
              <w:t>2A</w:t>
            </w:r>
            <w:r w:rsidR="008D707C">
              <w:rPr>
                <w:rStyle w:val="InstructionsTabelleberschrift"/>
                <w:rFonts w:ascii="Times New Roman" w:hAnsi="Times New Roman"/>
                <w:sz w:val="24"/>
              </w:rPr>
              <w:tab/>
            </w:r>
            <w:r>
              <w:rPr>
                <w:rStyle w:val="InstructionsTabelleberschrift"/>
                <w:rFonts w:ascii="Times New Roman" w:hAnsi="Times New Roman"/>
                <w:sz w:val="24"/>
              </w:rPr>
              <w:t>Excédents d'impôts et reports de déficits fiscaux</w:t>
            </w:r>
          </w:p>
          <w:p w:rsidR="00550113" w:rsidRPr="00392FFD" w:rsidRDefault="00201704" w:rsidP="00FD239F">
            <w:pPr>
              <w:pStyle w:val="InstructionsText"/>
            </w:pPr>
            <w:r>
              <w:t>Article 39, paragraphe 1, du CRR</w:t>
            </w:r>
          </w:p>
          <w:p w:rsidR="00550113" w:rsidRPr="00392FFD" w:rsidRDefault="00550113" w:rsidP="00FD239F">
            <w:pPr>
              <w:pStyle w:val="InstructionsText"/>
              <w:rPr>
                <w:rStyle w:val="InstructionsTabelleberschrift"/>
                <w:rFonts w:ascii="Times New Roman" w:hAnsi="Times New Roman"/>
                <w:b w:val="0"/>
                <w:bCs w:val="0"/>
                <w:sz w:val="24"/>
                <w:u w:val="none"/>
              </w:rPr>
            </w:pPr>
            <w:r>
              <w:t>Le montant des excédents d'impôts et des reports de déficits fiscaux qui ne sont pas déduits des fonds propres conformément à l'article 39, par</w:t>
            </w:r>
            <w:r>
              <w:t>a</w:t>
            </w:r>
            <w:r>
              <w:t>graphe 1, du CRR; le montant déclaré est le montant avant application de pondérations de risque.</w:t>
            </w:r>
          </w:p>
        </w:tc>
      </w:tr>
      <w:tr w:rsidR="00DF65DF" w:rsidRPr="00392FFD" w:rsidTr="00672D2A">
        <w:tc>
          <w:tcPr>
            <w:tcW w:w="1506" w:type="dxa"/>
          </w:tcPr>
          <w:p w:rsidR="00DF65DF" w:rsidRPr="00392FFD" w:rsidRDefault="00DF65DF" w:rsidP="00FD239F">
            <w:pPr>
              <w:pStyle w:val="InstructionsText"/>
            </w:pPr>
            <w:r>
              <w:t>096</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2B</w:t>
            </w:r>
            <w:r w:rsidR="008D707C">
              <w:rPr>
                <w:rStyle w:val="InstructionsTabelleberschrift"/>
                <w:rFonts w:ascii="Times New Roman" w:hAnsi="Times New Roman"/>
                <w:sz w:val="24"/>
              </w:rPr>
              <w:tab/>
            </w:r>
            <w:r>
              <w:rPr>
                <w:rStyle w:val="InstructionsTabelleberschrift"/>
                <w:rFonts w:ascii="Times New Roman" w:hAnsi="Times New Roman"/>
                <w:sz w:val="24"/>
              </w:rPr>
              <w:t>Actifs d'impôt différé soumis à une pondération de risque de 250 %</w:t>
            </w:r>
          </w:p>
          <w:p w:rsidR="00DF65DF" w:rsidRPr="00392FFD" w:rsidRDefault="00201704" w:rsidP="00FD239F">
            <w:pPr>
              <w:pStyle w:val="InstructionsText"/>
            </w:pPr>
            <w:r>
              <w:t>Article 48, paragraphe 4, du CRR</w:t>
            </w:r>
          </w:p>
          <w:p w:rsidR="00DF65DF" w:rsidRPr="00201704" w:rsidRDefault="00DF65DF" w:rsidP="00FD239F">
            <w:pPr>
              <w:pStyle w:val="InstructionsText"/>
              <w:rPr>
                <w:rStyle w:val="InstructionsTabelleberschrift"/>
                <w:rFonts w:ascii="Times New Roman" w:hAnsi="Times New Roman"/>
                <w:b w:val="0"/>
                <w:bCs w:val="0"/>
                <w:sz w:val="24"/>
                <w:u w:val="none"/>
              </w:rPr>
            </w:pPr>
            <w:r>
              <w:t>Le montant des actifs d'impôt différé dépendant de bénéfices futurs et résultant de différences temporelles qui ne sont pas déduits en vertu de l'article 48, paragraphe 1, du CRR, mais sont soumis à une pondération de risque de 250 % conformément à l'article 48, paragraphe 4, du CRR, en tenant compte de l'effet de l'article 470 du CRR. Le montant déclaré est le montant des actifs d'impôt différé avant l'application de la pond</w:t>
            </w:r>
            <w:r>
              <w:t>é</w:t>
            </w:r>
            <w:r>
              <w:t>ration de risque.</w:t>
            </w:r>
          </w:p>
        </w:tc>
      </w:tr>
      <w:tr w:rsidR="00DF65DF" w:rsidRPr="00392FFD" w:rsidTr="00672D2A">
        <w:tc>
          <w:tcPr>
            <w:tcW w:w="1506" w:type="dxa"/>
          </w:tcPr>
          <w:p w:rsidR="00DF65DF" w:rsidRPr="00392FFD" w:rsidRDefault="00DF65DF" w:rsidP="00FD239F">
            <w:pPr>
              <w:pStyle w:val="InstructionsText"/>
            </w:pPr>
            <w:r>
              <w:t>097</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2C</w:t>
            </w:r>
            <w:r w:rsidR="008D707C">
              <w:rPr>
                <w:rStyle w:val="InstructionsTabelleberschrift"/>
                <w:rFonts w:ascii="Times New Roman" w:hAnsi="Times New Roman"/>
                <w:sz w:val="24"/>
              </w:rPr>
              <w:tab/>
            </w:r>
            <w:r>
              <w:rPr>
                <w:rStyle w:val="InstructionsTabelleberschrift"/>
                <w:rFonts w:ascii="Times New Roman" w:hAnsi="Times New Roman"/>
                <w:sz w:val="24"/>
              </w:rPr>
              <w:t>Actifs d'impôt différé soumis à une pondération de risque de 0 %</w:t>
            </w:r>
          </w:p>
          <w:p w:rsidR="00DF65DF" w:rsidRPr="00392FFD" w:rsidRDefault="00DF65DF" w:rsidP="00FD239F">
            <w:pPr>
              <w:pStyle w:val="InstructionsText"/>
            </w:pPr>
            <w:r>
              <w:t>Article 469, paragraphe 1, point d), article 470, article 472, par</w:t>
            </w:r>
            <w:r>
              <w:t>a</w:t>
            </w:r>
            <w:r>
              <w:t>graphe 5, et article 478 du CRR</w:t>
            </w:r>
          </w:p>
          <w:p w:rsidR="00DF65DF" w:rsidRPr="00201704" w:rsidRDefault="00DF65DF" w:rsidP="00FD239F">
            <w:pPr>
              <w:pStyle w:val="InstructionsText"/>
              <w:rPr>
                <w:rStyle w:val="InstructionsTabelleberschrift"/>
                <w:rFonts w:ascii="Times New Roman" w:hAnsi="Times New Roman"/>
                <w:b w:val="0"/>
                <w:bCs w:val="0"/>
                <w:sz w:val="24"/>
                <w:u w:val="none"/>
              </w:rPr>
            </w:pPr>
            <w:r>
              <w:t>Le montant des actifs d'impôt différé dépendant de bénéfices futurs et résultant de différences temporelles qui ne sont pas déduits conform</w:t>
            </w:r>
            <w:r>
              <w:t>é</w:t>
            </w:r>
            <w:r>
              <w:t xml:space="preserve">ment à l'article 469, paragraphe 1, point d), et de l'article 470 du CRR, </w:t>
            </w:r>
            <w:r>
              <w:lastRenderedPageBreak/>
              <w:t>mais sont soumis à une pondération de risque de 0 % conformément à l'article 472, paragraphe 5, du CRR. Le montant déclaré est le montant des actifs d'impôt différé avant l'application de la pondération de risque.</w:t>
            </w:r>
          </w:p>
        </w:tc>
      </w:tr>
      <w:tr w:rsidR="002648B0" w:rsidRPr="00392FFD" w:rsidTr="00672D2A">
        <w:tc>
          <w:tcPr>
            <w:tcW w:w="1506" w:type="dxa"/>
          </w:tcPr>
          <w:p w:rsidR="002648B0" w:rsidRPr="00392FFD" w:rsidRDefault="002648B0" w:rsidP="00FD239F">
            <w:pPr>
              <w:pStyle w:val="InstructionsText"/>
            </w:pPr>
            <w:r>
              <w:lastRenderedPageBreak/>
              <w:t>100</w:t>
            </w:r>
          </w:p>
        </w:tc>
        <w:tc>
          <w:tcPr>
            <w:tcW w:w="7243" w:type="dxa"/>
          </w:tcPr>
          <w:p w:rsidR="005643EA" w:rsidRPr="00201704"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sidR="008D707C">
              <w:rPr>
                <w:rStyle w:val="InstructionsTabelleberschrift"/>
                <w:rFonts w:ascii="Times New Roman" w:hAnsi="Times New Roman"/>
                <w:sz w:val="24"/>
              </w:rPr>
              <w:tab/>
            </w:r>
            <w:r>
              <w:rPr>
                <w:rStyle w:val="InstructionsTabelleberschrift"/>
                <w:rFonts w:ascii="Times New Roman" w:hAnsi="Times New Roman"/>
                <w:sz w:val="24"/>
              </w:rPr>
              <w:t>Excès (+) ou insuffisance (–) NI des ajustements pour risque de crédit, des corrections de valeur supplémentaires, et des autres réductions de fonds propres par rapport aux pertes anticipées sur les expositions non en défaut</w:t>
            </w:r>
          </w:p>
          <w:p w:rsidR="005643EA" w:rsidRPr="00392FFD" w:rsidRDefault="002648B0" w:rsidP="00FD239F">
            <w:pPr>
              <w:pStyle w:val="InstructionsText"/>
            </w:pPr>
            <w:r>
              <w:t>Article 36, paragraphe 1, point d), article 62, point d), et articles 158 et 159 du CRR</w:t>
            </w:r>
          </w:p>
          <w:p w:rsidR="005643EA" w:rsidRPr="00392FFD" w:rsidRDefault="002648B0" w:rsidP="00FD239F">
            <w:pPr>
              <w:pStyle w:val="InstructionsText"/>
            </w:pPr>
            <w:r>
              <w:t>Ce poste ne sera déclaré que par les établissements qui appliquent l'a</w:t>
            </w:r>
            <w:r>
              <w:t>p</w:t>
            </w:r>
            <w:r>
              <w:t>proche NI.</w:t>
            </w:r>
          </w:p>
        </w:tc>
      </w:tr>
      <w:tr w:rsidR="002648B0" w:rsidRPr="00392FFD" w:rsidTr="00672D2A">
        <w:tc>
          <w:tcPr>
            <w:tcW w:w="1506" w:type="dxa"/>
          </w:tcPr>
          <w:p w:rsidR="002648B0" w:rsidRPr="00392FFD" w:rsidRDefault="002648B0" w:rsidP="00FD239F">
            <w:pPr>
              <w:pStyle w:val="InstructionsText"/>
            </w:pPr>
            <w:r>
              <w:t>110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w:t>
            </w:r>
            <w:r w:rsidR="008D707C">
              <w:rPr>
                <w:rStyle w:val="InstructionsTabelleberschrift"/>
                <w:rFonts w:ascii="Times New Roman" w:hAnsi="Times New Roman"/>
                <w:sz w:val="24"/>
              </w:rPr>
              <w:tab/>
            </w:r>
            <w:r>
              <w:rPr>
                <w:rStyle w:val="InstructionsTabelleberschrift"/>
                <w:rFonts w:ascii="Times New Roman" w:hAnsi="Times New Roman"/>
                <w:sz w:val="24"/>
              </w:rPr>
              <w:t>Total des ajustements pour risque de crédit, des corrections de valeur supplémentaires, et des autres réductions des fonds propres pouvant être pris en compte dans le calcul du montant des pertes anticipées</w:t>
            </w:r>
          </w:p>
          <w:p w:rsidR="005643EA" w:rsidRPr="00392FFD" w:rsidRDefault="002648B0" w:rsidP="00FD239F">
            <w:pPr>
              <w:pStyle w:val="InstructionsText"/>
            </w:pPr>
            <w:r>
              <w:t>Article 159 du CRR</w:t>
            </w:r>
          </w:p>
          <w:p w:rsidR="005643EA" w:rsidRPr="00392FFD" w:rsidRDefault="002648B0" w:rsidP="00FD239F">
            <w:pPr>
              <w:pStyle w:val="InstructionsText"/>
            </w:pPr>
            <w:r>
              <w:t>Ce poste ne sera déclaré que par les établissements qui appliquent l'a</w:t>
            </w:r>
            <w:r>
              <w:t>p</w:t>
            </w:r>
            <w:r>
              <w:t>proche NI.</w:t>
            </w:r>
          </w:p>
        </w:tc>
      </w:tr>
      <w:tr w:rsidR="002648B0" w:rsidRPr="00392FFD" w:rsidTr="00672D2A">
        <w:tc>
          <w:tcPr>
            <w:tcW w:w="1506" w:type="dxa"/>
          </w:tcPr>
          <w:p w:rsidR="002648B0" w:rsidRPr="00392FFD" w:rsidRDefault="002648B0" w:rsidP="00FD239F">
            <w:pPr>
              <w:pStyle w:val="InstructionsText"/>
            </w:pPr>
            <w:r>
              <w:t>120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3.1.1</w:t>
            </w:r>
            <w:r w:rsidR="008D707C">
              <w:rPr>
                <w:rStyle w:val="InstructionsTabelleberschrift"/>
                <w:rFonts w:ascii="Times New Roman" w:hAnsi="Times New Roman"/>
                <w:sz w:val="24"/>
              </w:rPr>
              <w:tab/>
            </w:r>
            <w:r>
              <w:rPr>
                <w:rStyle w:val="InstructionsTabelleberschrift"/>
                <w:rFonts w:ascii="Times New Roman" w:hAnsi="Times New Roman"/>
                <w:sz w:val="24"/>
              </w:rPr>
              <w:t>Ajustements pour risque de crédit général</w:t>
            </w:r>
          </w:p>
          <w:p w:rsidR="005643EA" w:rsidRPr="00392FFD" w:rsidRDefault="002648B0" w:rsidP="00FD239F">
            <w:pPr>
              <w:pStyle w:val="InstructionsText"/>
            </w:pPr>
            <w:r>
              <w:t>Article 159 du CRR</w:t>
            </w:r>
          </w:p>
          <w:p w:rsidR="005643EA" w:rsidRPr="00392FFD" w:rsidRDefault="002648B0" w:rsidP="00FD239F">
            <w:pPr>
              <w:pStyle w:val="InstructionsText"/>
            </w:pPr>
            <w:r>
              <w:t>Ce poste ne sera déclaré que par les établissements qui appliquent l'a</w:t>
            </w:r>
            <w:r>
              <w:t>p</w:t>
            </w:r>
            <w:r>
              <w:t>proche NI.</w:t>
            </w:r>
          </w:p>
        </w:tc>
      </w:tr>
      <w:tr w:rsidR="002648B0" w:rsidRPr="00392FFD" w:rsidTr="00672D2A">
        <w:tc>
          <w:tcPr>
            <w:tcW w:w="1506" w:type="dxa"/>
          </w:tcPr>
          <w:p w:rsidR="002648B0" w:rsidRPr="00392FFD" w:rsidRDefault="002648B0" w:rsidP="00FD239F">
            <w:pPr>
              <w:pStyle w:val="InstructionsText"/>
            </w:pPr>
            <w:r>
              <w:t>130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3.1.2</w:t>
            </w:r>
            <w:r w:rsidR="008D707C">
              <w:rPr>
                <w:rStyle w:val="InstructionsTabelleberschrift"/>
                <w:rFonts w:ascii="Times New Roman" w:hAnsi="Times New Roman"/>
                <w:sz w:val="24"/>
              </w:rPr>
              <w:tab/>
            </w:r>
            <w:r>
              <w:rPr>
                <w:rStyle w:val="InstructionsTabelleberschrift"/>
                <w:rFonts w:ascii="Times New Roman" w:hAnsi="Times New Roman"/>
                <w:sz w:val="24"/>
              </w:rPr>
              <w:t>Ajustements pour risque de crédit spécifique</w:t>
            </w:r>
          </w:p>
          <w:p w:rsidR="005643EA" w:rsidRPr="00392FFD" w:rsidRDefault="002648B0" w:rsidP="00FD239F">
            <w:pPr>
              <w:pStyle w:val="InstructionsText"/>
            </w:pPr>
            <w:r>
              <w:t>Article 159 du CRR</w:t>
            </w:r>
          </w:p>
          <w:p w:rsidR="005643EA" w:rsidRPr="00392FFD" w:rsidRDefault="002648B0" w:rsidP="00FD239F">
            <w:pPr>
              <w:pStyle w:val="InstructionsText"/>
            </w:pPr>
            <w:r>
              <w:t>Ce poste ne sera déclaré que par les établissements qui appliquent l'a</w:t>
            </w:r>
            <w:r>
              <w:t>p</w:t>
            </w:r>
            <w:r>
              <w:t>proche NI.</w:t>
            </w:r>
          </w:p>
        </w:tc>
      </w:tr>
      <w:tr w:rsidR="002648B0" w:rsidRPr="00392FFD" w:rsidTr="00672D2A">
        <w:tc>
          <w:tcPr>
            <w:tcW w:w="1506" w:type="dxa"/>
          </w:tcPr>
          <w:p w:rsidR="002648B0" w:rsidRPr="00392FFD" w:rsidRDefault="002648B0" w:rsidP="00FD239F">
            <w:pPr>
              <w:pStyle w:val="InstructionsText"/>
            </w:pPr>
            <w:r>
              <w:t>131</w:t>
            </w:r>
          </w:p>
          <w:p w:rsidR="005643EA" w:rsidRPr="00392FFD" w:rsidRDefault="005643EA" w:rsidP="00FD239F">
            <w:pPr>
              <w:pStyle w:val="InstructionsText"/>
            </w:pP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sidR="008D707C">
              <w:rPr>
                <w:rStyle w:val="InstructionsTabelleberschrift"/>
                <w:rFonts w:ascii="Times New Roman" w:hAnsi="Times New Roman"/>
                <w:sz w:val="24"/>
              </w:rPr>
              <w:tab/>
            </w:r>
            <w:r>
              <w:rPr>
                <w:rStyle w:val="InstructionsTabelleberschrift"/>
                <w:rFonts w:ascii="Times New Roman" w:hAnsi="Times New Roman"/>
                <w:sz w:val="24"/>
              </w:rPr>
              <w:t>Corrections de valeur supplémentaires et autres réductions de fonds propres</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Articles 34, 110 et 159 du CRR</w:t>
            </w:r>
          </w:p>
          <w:p w:rsidR="005643EA" w:rsidRPr="00201704" w:rsidRDefault="002648B0" w:rsidP="00FD239F">
            <w:pPr>
              <w:pStyle w:val="InstructionsText"/>
              <w:rPr>
                <w:rStyle w:val="InstructionsTabelleberschrift"/>
                <w:rFonts w:ascii="Times New Roman" w:hAnsi="Times New Roman"/>
                <w:b w:val="0"/>
                <w:bCs w:val="0"/>
                <w:sz w:val="24"/>
                <w:u w:val="none"/>
              </w:rPr>
            </w:pPr>
            <w:r>
              <w:t>Ce poste ne sera déclaré que par les établissements qui appliquent l'a</w:t>
            </w:r>
            <w:r>
              <w:t>p</w:t>
            </w:r>
            <w:r>
              <w:t>proche NI.</w:t>
            </w:r>
          </w:p>
        </w:tc>
      </w:tr>
      <w:tr w:rsidR="002648B0" w:rsidRPr="00392FFD" w:rsidTr="00672D2A">
        <w:tc>
          <w:tcPr>
            <w:tcW w:w="1506" w:type="dxa"/>
          </w:tcPr>
          <w:p w:rsidR="002648B0" w:rsidRPr="00392FFD" w:rsidRDefault="002648B0" w:rsidP="00FD239F">
            <w:pPr>
              <w:pStyle w:val="InstructionsText"/>
            </w:pPr>
            <w:r>
              <w:t>140</w:t>
            </w:r>
          </w:p>
        </w:tc>
        <w:tc>
          <w:tcPr>
            <w:tcW w:w="7243" w:type="dxa"/>
          </w:tcPr>
          <w:p w:rsidR="005643EA" w:rsidRPr="00392FFD" w:rsidRDefault="002648B0" w:rsidP="00FD239F">
            <w:pPr>
              <w:pStyle w:val="InstructionsText"/>
            </w:pPr>
            <w:r>
              <w:rPr>
                <w:rStyle w:val="InstructionsTabelleberschrift"/>
                <w:rFonts w:ascii="Times New Roman" w:hAnsi="Times New Roman"/>
                <w:sz w:val="24"/>
              </w:rPr>
              <w:t>3.2</w:t>
            </w:r>
            <w:r w:rsidR="008D707C">
              <w:rPr>
                <w:rStyle w:val="InstructionsTabelleberschrift"/>
                <w:rFonts w:ascii="Times New Roman" w:hAnsi="Times New Roman"/>
                <w:sz w:val="24"/>
              </w:rPr>
              <w:tab/>
            </w:r>
            <w:r>
              <w:rPr>
                <w:rStyle w:val="InstructionsTabelleberschrift"/>
                <w:rFonts w:ascii="Times New Roman" w:hAnsi="Times New Roman"/>
                <w:sz w:val="24"/>
              </w:rPr>
              <w:t xml:space="preserve">Total des pertes anticipées éligibles </w:t>
            </w:r>
          </w:p>
          <w:p w:rsidR="005643EA" w:rsidRPr="00392FFD" w:rsidRDefault="002648B0" w:rsidP="00FD239F">
            <w:pPr>
              <w:pStyle w:val="InstructionsText"/>
            </w:pPr>
            <w:r>
              <w:t>Article 158, paragraphes 5, 6 et 10, et article 159 du CRR</w:t>
            </w:r>
          </w:p>
          <w:p w:rsidR="005643EA" w:rsidRPr="00392FFD" w:rsidRDefault="00F11185" w:rsidP="00FD239F">
            <w:pPr>
              <w:pStyle w:val="InstructionsText"/>
            </w:pPr>
            <w:r>
              <w:t>Ce poste ne sera déclaré que par les établissements qui appliquent l'a</w:t>
            </w:r>
            <w:r>
              <w:t>p</w:t>
            </w:r>
            <w:r>
              <w:t>proche NI. Seules les pertes anticipées liées aux expositions qui ne sont pas en défaut seront déclarées.</w:t>
            </w:r>
          </w:p>
        </w:tc>
      </w:tr>
      <w:tr w:rsidR="00F11185" w:rsidRPr="00392FFD" w:rsidTr="00672D2A">
        <w:tc>
          <w:tcPr>
            <w:tcW w:w="1506" w:type="dxa"/>
          </w:tcPr>
          <w:p w:rsidR="00F11185" w:rsidRPr="00392FFD" w:rsidRDefault="00F11185" w:rsidP="00FD239F">
            <w:pPr>
              <w:pStyle w:val="InstructionsText"/>
            </w:pPr>
            <w:r>
              <w:t>145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Excès (+) ou insuffisance (-) NI des ajustements pour risque de crédit par rapport aux pertes anticipées sur les expositions en défaut</w:t>
            </w:r>
          </w:p>
          <w:p w:rsidR="005643EA" w:rsidRPr="00392FFD" w:rsidRDefault="00630711" w:rsidP="00FD239F">
            <w:pPr>
              <w:pStyle w:val="InstructionsText"/>
            </w:pPr>
            <w:r>
              <w:t>Article 36, paragraphe 1, point d), article 62, point d), et articles 158 et 159 du CRR</w:t>
            </w:r>
          </w:p>
          <w:p w:rsidR="005643EA" w:rsidRPr="00201704" w:rsidRDefault="00630711" w:rsidP="00FD239F">
            <w:pPr>
              <w:pStyle w:val="InstructionsText"/>
              <w:rPr>
                <w:rStyle w:val="InstructionsTabelleberschrift"/>
                <w:rFonts w:ascii="Times New Roman" w:hAnsi="Times New Roman"/>
                <w:b w:val="0"/>
                <w:bCs w:val="0"/>
                <w:sz w:val="24"/>
                <w:u w:val="none"/>
              </w:rPr>
            </w:pPr>
            <w:r>
              <w:t>Ce poste ne sera déclaré que par les établissements qui appliquent l'a</w:t>
            </w:r>
            <w:r>
              <w:t>p</w:t>
            </w:r>
            <w:r>
              <w:lastRenderedPageBreak/>
              <w:t>proche NI.</w:t>
            </w:r>
          </w:p>
        </w:tc>
      </w:tr>
      <w:tr w:rsidR="00F11185" w:rsidRPr="00392FFD" w:rsidTr="00672D2A">
        <w:tc>
          <w:tcPr>
            <w:tcW w:w="1506" w:type="dxa"/>
          </w:tcPr>
          <w:p w:rsidR="00F11185" w:rsidRPr="00392FFD" w:rsidRDefault="00F11185" w:rsidP="00FD239F">
            <w:pPr>
              <w:pStyle w:val="InstructionsText"/>
            </w:pPr>
            <w:r>
              <w:lastRenderedPageBreak/>
              <w:t>150</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sidR="00714EDC">
              <w:rPr>
                <w:rStyle w:val="InstructionsTabelleberschrift"/>
                <w:rFonts w:ascii="Times New Roman" w:hAnsi="Times New Roman"/>
                <w:sz w:val="24"/>
              </w:rPr>
              <w:tab/>
            </w:r>
            <w:r>
              <w:rPr>
                <w:rStyle w:val="InstructionsTabelleberschrift"/>
                <w:rFonts w:ascii="Times New Roman" w:hAnsi="Times New Roman"/>
                <w:sz w:val="24"/>
              </w:rPr>
              <w:t>Ajustements pour risque de crédit spécifique et positions tra</w:t>
            </w:r>
            <w:r>
              <w:rPr>
                <w:rStyle w:val="InstructionsTabelleberschrift"/>
                <w:rFonts w:ascii="Times New Roman" w:hAnsi="Times New Roman"/>
                <w:sz w:val="24"/>
              </w:rPr>
              <w:t>i</w:t>
            </w:r>
            <w:r>
              <w:rPr>
                <w:rStyle w:val="InstructionsTabelleberschrift"/>
                <w:rFonts w:ascii="Times New Roman" w:hAnsi="Times New Roman"/>
                <w:sz w:val="24"/>
              </w:rPr>
              <w:t>tées de la même façon</w:t>
            </w:r>
          </w:p>
          <w:p w:rsidR="005643EA" w:rsidRPr="00392FFD" w:rsidRDefault="00630711" w:rsidP="00FD239F">
            <w:pPr>
              <w:pStyle w:val="InstructionsText"/>
            </w:pPr>
            <w:r>
              <w:t>Article 159 du CRR</w:t>
            </w:r>
          </w:p>
          <w:p w:rsidR="005643EA" w:rsidRPr="00201704" w:rsidRDefault="00630711" w:rsidP="00FD239F">
            <w:pPr>
              <w:pStyle w:val="InstructionsText"/>
              <w:rPr>
                <w:rStyle w:val="InstructionsTabelleberschrift"/>
                <w:rFonts w:ascii="Times New Roman" w:hAnsi="Times New Roman"/>
                <w:b w:val="0"/>
                <w:bCs w:val="0"/>
                <w:sz w:val="24"/>
                <w:u w:val="none"/>
              </w:rPr>
            </w:pPr>
            <w:r>
              <w:t>Ce poste ne sera déclaré que par les établissements qui appliquent l'a</w:t>
            </w:r>
            <w:r>
              <w:t>p</w:t>
            </w:r>
            <w:r>
              <w:t>proche NI.</w:t>
            </w:r>
          </w:p>
        </w:tc>
      </w:tr>
      <w:tr w:rsidR="00F11185" w:rsidRPr="00392FFD" w:rsidTr="00672D2A">
        <w:tc>
          <w:tcPr>
            <w:tcW w:w="1506" w:type="dxa"/>
          </w:tcPr>
          <w:p w:rsidR="00F11185" w:rsidRPr="00392FFD" w:rsidRDefault="00F11185" w:rsidP="00FD239F">
            <w:pPr>
              <w:pStyle w:val="InstructionsText"/>
            </w:pPr>
            <w:r>
              <w:t>155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sidR="00714EDC">
              <w:rPr>
                <w:rStyle w:val="InstructionsTabelleberschrift"/>
                <w:rFonts w:ascii="Times New Roman" w:hAnsi="Times New Roman"/>
                <w:sz w:val="24"/>
              </w:rPr>
              <w:tab/>
            </w:r>
            <w:r>
              <w:rPr>
                <w:rStyle w:val="InstructionsTabelleberschrift"/>
                <w:rFonts w:ascii="Times New Roman" w:hAnsi="Times New Roman"/>
                <w:sz w:val="24"/>
              </w:rPr>
              <w:t>Total des pertes anticipées éligibles</w:t>
            </w:r>
          </w:p>
          <w:p w:rsidR="005643EA" w:rsidRPr="00392FFD" w:rsidRDefault="00630711" w:rsidP="00FD239F">
            <w:pPr>
              <w:pStyle w:val="InstructionsText"/>
              <w:rPr>
                <w:rStyle w:val="InstructionsTabelleberschrift"/>
                <w:rFonts w:ascii="Times New Roman" w:hAnsi="Times New Roman"/>
                <w:sz w:val="24"/>
              </w:rPr>
            </w:pPr>
            <w:r>
              <w:t>Article 158, paragraphes 5, 6 et 10, et article 159 du CRR</w:t>
            </w:r>
          </w:p>
          <w:p w:rsidR="005643EA" w:rsidRPr="00201704" w:rsidRDefault="00F11185" w:rsidP="00FD239F">
            <w:pPr>
              <w:pStyle w:val="InstructionsText"/>
              <w:rPr>
                <w:rStyle w:val="InstructionsTabelleberschrift"/>
                <w:rFonts w:ascii="Times New Roman" w:hAnsi="Times New Roman"/>
                <w:b w:val="0"/>
                <w:bCs w:val="0"/>
                <w:sz w:val="24"/>
                <w:u w:val="none"/>
              </w:rPr>
            </w:pPr>
            <w:r>
              <w:t>Ce poste ne sera déclaré que par les établissements qui appliquent l'a</w:t>
            </w:r>
            <w:r>
              <w:t>p</w:t>
            </w:r>
            <w:r>
              <w:t>proche NI. Seules les pertes anticipées liées aux expositions en défaut seront déclarées.</w:t>
            </w:r>
          </w:p>
        </w:tc>
      </w:tr>
      <w:tr w:rsidR="002648B0" w:rsidRPr="00392FFD" w:rsidTr="00672D2A">
        <w:tc>
          <w:tcPr>
            <w:tcW w:w="1506" w:type="dxa"/>
          </w:tcPr>
          <w:p w:rsidR="002648B0" w:rsidRPr="00392FFD" w:rsidRDefault="002648B0" w:rsidP="00FD239F">
            <w:pPr>
              <w:pStyle w:val="InstructionsText"/>
            </w:pPr>
            <w:r>
              <w:t>160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5</w:t>
            </w:r>
            <w:r w:rsidR="00714EDC">
              <w:rPr>
                <w:rStyle w:val="InstructionsTabelleberschrift"/>
                <w:rFonts w:ascii="Times New Roman" w:hAnsi="Times New Roman"/>
                <w:sz w:val="24"/>
              </w:rPr>
              <w:tab/>
            </w:r>
            <w:r>
              <w:rPr>
                <w:rStyle w:val="InstructionsTabelleberschrift"/>
                <w:rFonts w:ascii="Times New Roman" w:hAnsi="Times New Roman"/>
                <w:sz w:val="24"/>
              </w:rPr>
              <w:t>Montants d'exposition pondérés pour le calcul du plafond de l'excès de provision pouvant être considéré comme T2</w:t>
            </w:r>
          </w:p>
          <w:p w:rsidR="005643EA" w:rsidRPr="00392FFD" w:rsidRDefault="002648B0" w:rsidP="00FD239F">
            <w:pPr>
              <w:pStyle w:val="InstructionsText"/>
            </w:pPr>
            <w:r>
              <w:t>Article 62, point d), du CRR</w:t>
            </w:r>
          </w:p>
          <w:p w:rsidR="005643EA" w:rsidRPr="00392FFD" w:rsidRDefault="002648B0" w:rsidP="00FD239F">
            <w:pPr>
              <w:pStyle w:val="InstructionsText"/>
            </w:pPr>
            <w:r>
              <w:t>Pour les établissements qui appliquent la méthode NI, conformément à l'article 62, point d) du CRR, l'excédent de provisions (par rapport aux pertes anticipées) pouvant être intégré dans les fonds propres de catég</w:t>
            </w:r>
            <w:r>
              <w:t>o</w:t>
            </w:r>
            <w:r>
              <w:t>rie 2 est plafonné à 0,6 % des montants d'exposition pondérés calculés selon l'approche NI.</w:t>
            </w:r>
          </w:p>
          <w:p w:rsidR="005643EA" w:rsidRPr="00392FFD" w:rsidRDefault="002648B0" w:rsidP="00FD239F">
            <w:pPr>
              <w:pStyle w:val="InstructionsText"/>
            </w:pPr>
            <w:r>
              <w:t>Le montant à déclarer dans ce poste correspond aux montants d'expos</w:t>
            </w:r>
            <w:r>
              <w:t>i</w:t>
            </w:r>
            <w:r>
              <w:t>tion pondérés (c'est-à-dire non multipliés par 0,6 %), ce qui constitue la base de calcul du plafond.</w:t>
            </w:r>
          </w:p>
        </w:tc>
      </w:tr>
      <w:tr w:rsidR="002648B0" w:rsidRPr="00392FFD" w:rsidTr="00672D2A">
        <w:tc>
          <w:tcPr>
            <w:tcW w:w="1506" w:type="dxa"/>
          </w:tcPr>
          <w:p w:rsidR="002648B0" w:rsidRPr="00392FFD" w:rsidRDefault="002648B0" w:rsidP="00FD239F">
            <w:pPr>
              <w:pStyle w:val="InstructionsText"/>
            </w:pPr>
            <w:r>
              <w:t>170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6</w:t>
            </w:r>
            <w:r w:rsidR="00714EDC">
              <w:rPr>
                <w:rStyle w:val="InstructionsTabelleberschrift"/>
                <w:rFonts w:ascii="Times New Roman" w:hAnsi="Times New Roman"/>
                <w:sz w:val="24"/>
              </w:rPr>
              <w:tab/>
            </w:r>
            <w:r>
              <w:rPr>
                <w:rStyle w:val="InstructionsTabelleberschrift"/>
                <w:rFonts w:ascii="Times New Roman" w:hAnsi="Times New Roman"/>
                <w:sz w:val="24"/>
              </w:rPr>
              <w:t>Total des provisions brutes pouvant être incluses dans les fonds propres T2</w:t>
            </w:r>
          </w:p>
          <w:p w:rsidR="005643EA" w:rsidRPr="00392FFD" w:rsidRDefault="002648B0" w:rsidP="00FD239F">
            <w:pPr>
              <w:pStyle w:val="InstructionsText"/>
            </w:pPr>
            <w:r>
              <w:t>Article 62, point c), du CRR</w:t>
            </w:r>
          </w:p>
          <w:p w:rsidR="005643EA" w:rsidRPr="00392FFD" w:rsidRDefault="002648B0" w:rsidP="00FD239F">
            <w:pPr>
              <w:pStyle w:val="InstructionsText"/>
            </w:pPr>
            <w:r>
              <w:t>Ce poste comprend les ajustements pour risque de crédit général pouvant être inclus dans les fonds propres de catégorie 2, avant plafonnement.</w:t>
            </w:r>
          </w:p>
          <w:p w:rsidR="005643EA" w:rsidRPr="00392FFD" w:rsidRDefault="002648B0" w:rsidP="00FD239F">
            <w:pPr>
              <w:pStyle w:val="InstructionsText"/>
            </w:pPr>
            <w:r>
              <w:t>Les montants à déclarer sont les montants bruts d'effets fiscaux.</w:t>
            </w:r>
          </w:p>
        </w:tc>
      </w:tr>
      <w:tr w:rsidR="002648B0" w:rsidRPr="00392FFD" w:rsidTr="00672D2A">
        <w:tc>
          <w:tcPr>
            <w:tcW w:w="1506" w:type="dxa"/>
          </w:tcPr>
          <w:p w:rsidR="002648B0" w:rsidRPr="00392FFD" w:rsidRDefault="002648B0" w:rsidP="00FD239F">
            <w:pPr>
              <w:pStyle w:val="InstructionsText"/>
            </w:pPr>
            <w:r>
              <w:t>180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7</w:t>
            </w:r>
            <w:r w:rsidR="00714EDC">
              <w:rPr>
                <w:rStyle w:val="InstructionsTabelleberschrift"/>
                <w:rFonts w:ascii="Times New Roman" w:hAnsi="Times New Roman"/>
                <w:sz w:val="24"/>
              </w:rPr>
              <w:tab/>
            </w:r>
            <w:r>
              <w:rPr>
                <w:rStyle w:val="InstructionsTabelleberschrift"/>
                <w:rFonts w:ascii="Times New Roman" w:hAnsi="Times New Roman"/>
                <w:sz w:val="24"/>
              </w:rPr>
              <w:t>Montants d'exposition pondérés pour le calcul du plafond de la provision pouvant être considérée comme T2</w:t>
            </w:r>
          </w:p>
          <w:p w:rsidR="005643EA" w:rsidRPr="00392FFD" w:rsidRDefault="002648B0" w:rsidP="00FD239F">
            <w:pPr>
              <w:pStyle w:val="InstructionsText"/>
            </w:pPr>
            <w:r>
              <w:t>Article 62, point c), du CRR</w:t>
            </w:r>
          </w:p>
          <w:p w:rsidR="005643EA" w:rsidRPr="00392FFD" w:rsidRDefault="002648B0" w:rsidP="00FD239F">
            <w:pPr>
              <w:pStyle w:val="InstructionsText"/>
            </w:pPr>
            <w:r>
              <w:t>Selon l'article 62, point c), du CRR, les ajustements pour risque de crédit pouvant être intégrés dans les fonds propres de catégorie 2 sont plafo</w:t>
            </w:r>
            <w:r>
              <w:t>n</w:t>
            </w:r>
            <w:r>
              <w:t>nés à 1,25 % des montants d'exposition pondérés.</w:t>
            </w:r>
          </w:p>
          <w:p w:rsidR="005643EA" w:rsidRPr="00392FFD" w:rsidRDefault="002648B0" w:rsidP="00FD239F">
            <w:pPr>
              <w:pStyle w:val="InstructionsText"/>
            </w:pPr>
            <w:r>
              <w:t>Le montant à déclarer dans ce poste correspond aux montants d'expos</w:t>
            </w:r>
            <w:r>
              <w:t>i</w:t>
            </w:r>
            <w:r>
              <w:t>tion pondérés (c'est-à-dire non multipliés par 1,25 %), ce qui constitue la base de calcul du plafond.</w:t>
            </w:r>
          </w:p>
        </w:tc>
      </w:tr>
      <w:tr w:rsidR="002648B0" w:rsidRPr="00392FFD" w:rsidTr="00672D2A">
        <w:tc>
          <w:tcPr>
            <w:tcW w:w="1506" w:type="dxa"/>
          </w:tcPr>
          <w:p w:rsidR="002648B0" w:rsidRPr="00392FFD" w:rsidRDefault="002648B0" w:rsidP="00FD239F">
            <w:pPr>
              <w:pStyle w:val="InstructionsText"/>
            </w:pPr>
            <w:r>
              <w:t>190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8</w:t>
            </w:r>
            <w:r w:rsidR="00714EDC">
              <w:rPr>
                <w:rStyle w:val="InstructionsTabelleberschrift"/>
                <w:rFonts w:ascii="Times New Roman" w:hAnsi="Times New Roman"/>
                <w:sz w:val="24"/>
              </w:rPr>
              <w:tab/>
            </w:r>
            <w:r>
              <w:rPr>
                <w:rStyle w:val="InstructionsTabelleberschrift"/>
                <w:rFonts w:ascii="Times New Roman" w:hAnsi="Times New Roman"/>
                <w:sz w:val="24"/>
              </w:rPr>
              <w:t>Seuil non déductible des participations dans des entités du secteur financier dans lesquelles un établissement ne détient pas d'investissement important</w:t>
            </w:r>
          </w:p>
          <w:p w:rsidR="005643EA" w:rsidRPr="00392FFD" w:rsidRDefault="002648B0" w:rsidP="00FD239F">
            <w:pPr>
              <w:pStyle w:val="InstructionsText"/>
            </w:pPr>
            <w:r>
              <w:t>Article 46, paragraphe 1, point a), du CRR</w:t>
            </w:r>
          </w:p>
          <w:p w:rsidR="005643EA" w:rsidRPr="00392FFD" w:rsidRDefault="002648B0" w:rsidP="00FD239F">
            <w:pPr>
              <w:pStyle w:val="InstructionsText"/>
            </w:pPr>
            <w:r>
              <w:lastRenderedPageBreak/>
              <w:t>Ce poste traite du seuil en deçà duquel les participations dans des entités du secteur financier dans lesquelles l'établissement ne détient pas d'investissement important ne sont pas déduites. Le montant résulte de l'addition de tous les éléments formant la base de ce seuil puis de la mu</w:t>
            </w:r>
            <w:r>
              <w:t>l</w:t>
            </w:r>
            <w:r>
              <w:t>tiplication de la somme obtenue par 10 %.</w:t>
            </w:r>
          </w:p>
        </w:tc>
      </w:tr>
      <w:tr w:rsidR="002648B0" w:rsidRPr="00392FFD" w:rsidTr="00672D2A">
        <w:tc>
          <w:tcPr>
            <w:tcW w:w="1506" w:type="dxa"/>
          </w:tcPr>
          <w:p w:rsidR="002648B0" w:rsidRPr="00392FFD" w:rsidRDefault="002648B0" w:rsidP="00FD239F">
            <w:pPr>
              <w:pStyle w:val="InstructionsText"/>
            </w:pPr>
            <w:r>
              <w:lastRenderedPageBreak/>
              <w:t>200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9</w:t>
            </w:r>
            <w:r w:rsidR="00714EDC">
              <w:rPr>
                <w:rStyle w:val="InstructionsTabelleberschrift"/>
                <w:rFonts w:ascii="Times New Roman" w:hAnsi="Times New Roman"/>
                <w:sz w:val="24"/>
              </w:rPr>
              <w:tab/>
            </w:r>
            <w:r>
              <w:rPr>
                <w:rStyle w:val="InstructionsTabelleberschrift"/>
                <w:rFonts w:ascii="Times New Roman" w:hAnsi="Times New Roman"/>
                <w:sz w:val="24"/>
              </w:rPr>
              <w:t xml:space="preserve">Seuil CET1 de 10 % </w:t>
            </w:r>
          </w:p>
          <w:p w:rsidR="005643EA" w:rsidRPr="00392FFD" w:rsidRDefault="002648B0" w:rsidP="00FD239F">
            <w:pPr>
              <w:pStyle w:val="InstructionsText"/>
            </w:pPr>
            <w:r>
              <w:t>Article 48, paragraphe 1, points a) et b), du CRR</w:t>
            </w:r>
          </w:p>
          <w:p w:rsidR="005643EA" w:rsidRPr="00392FFD" w:rsidRDefault="002648B0" w:rsidP="00FD239F">
            <w:pPr>
              <w:pStyle w:val="InstructionsText"/>
            </w:pPr>
            <w:r>
              <w:t>Ce poste contient le seuil de 10 % pour les participations dans des entités du secteur financier dans lesquelles l'établissement détient un investi</w:t>
            </w:r>
            <w:r>
              <w:t>s</w:t>
            </w:r>
            <w:r>
              <w:t>sement important, et pour les actifs d'impôt différé dépendant de bén</w:t>
            </w:r>
            <w:r>
              <w:t>é</w:t>
            </w:r>
            <w:r>
              <w:t>fices futurs et résultant de différences temporelles.</w:t>
            </w:r>
          </w:p>
          <w:p w:rsidR="005643EA" w:rsidRPr="00392FFD" w:rsidRDefault="003C7853" w:rsidP="00FD239F">
            <w:pPr>
              <w:pStyle w:val="InstructionsText"/>
            </w:pPr>
            <w:r>
              <w:t>Le montant résulte de l'addition de tous les éléments formant la base de ce seuil puis de la multiplication de la somme obtenue par 10 %.</w:t>
            </w:r>
          </w:p>
        </w:tc>
      </w:tr>
      <w:tr w:rsidR="002648B0" w:rsidRPr="00392FFD" w:rsidTr="00672D2A">
        <w:tc>
          <w:tcPr>
            <w:tcW w:w="1506" w:type="dxa"/>
          </w:tcPr>
          <w:p w:rsidR="002648B0" w:rsidRPr="00392FFD" w:rsidRDefault="002648B0" w:rsidP="00FD239F">
            <w:pPr>
              <w:pStyle w:val="InstructionsText"/>
            </w:pPr>
            <w:r>
              <w:t>210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10</w:t>
            </w:r>
            <w:r w:rsidR="00714EDC">
              <w:rPr>
                <w:rStyle w:val="InstructionsTabelleberschrift"/>
                <w:rFonts w:ascii="Times New Roman" w:hAnsi="Times New Roman"/>
                <w:sz w:val="24"/>
              </w:rPr>
              <w:tab/>
            </w:r>
            <w:r>
              <w:rPr>
                <w:rStyle w:val="InstructionsTabelleberschrift"/>
                <w:rFonts w:ascii="Times New Roman" w:hAnsi="Times New Roman"/>
                <w:sz w:val="24"/>
              </w:rPr>
              <w:t xml:space="preserve">Seuil CET1 de 17,65 % </w:t>
            </w:r>
          </w:p>
          <w:p w:rsidR="005643EA" w:rsidRPr="00392FFD" w:rsidRDefault="002648B0" w:rsidP="00FD239F">
            <w:pPr>
              <w:pStyle w:val="InstructionsText"/>
            </w:pPr>
            <w:r>
              <w:t>Article 48, paragraphe 1, du CRR.</w:t>
            </w:r>
          </w:p>
          <w:p w:rsidR="005643EA" w:rsidRPr="00392FFD" w:rsidRDefault="002648B0" w:rsidP="00FD239F">
            <w:pPr>
              <w:pStyle w:val="InstructionsText"/>
            </w:pPr>
            <w:r>
              <w:t>Ce poste contient le seuil de 17,65 % pour les participations dans des e</w:t>
            </w:r>
            <w:r>
              <w:t>n</w:t>
            </w:r>
            <w:r>
              <w:t>tités du secteur financier dans lesquelles l'établissement détient un inve</w:t>
            </w:r>
            <w:r>
              <w:t>s</w:t>
            </w:r>
            <w:r>
              <w:t>tissement important, et pour les actifs d'impôt différé dépendant de bén</w:t>
            </w:r>
            <w:r>
              <w:t>é</w:t>
            </w:r>
            <w:r>
              <w:t>fices futurs et résultant de différences temporelles, qui sera appliqué au-delà du seuil de 10 %.</w:t>
            </w:r>
          </w:p>
          <w:p w:rsidR="005643EA" w:rsidRPr="00392FFD" w:rsidRDefault="002648B0" w:rsidP="00FD239F">
            <w:pPr>
              <w:pStyle w:val="InstructionsText"/>
            </w:pPr>
            <w:r>
              <w:t>Le seuil est calculé de sorte que le montant des deux éléments qui est comptabilisé ne peut excéder 15 % des fonds propres de base de catég</w:t>
            </w:r>
            <w:r>
              <w:t>o</w:t>
            </w:r>
            <w:r>
              <w:t>rie 1 finals, c'est-à-dire les fonds propres de base de catégorie 1 calculés après toutes les déductions et sans inclure aucun ajustement dû aux di</w:t>
            </w:r>
            <w:r>
              <w:t>s</w:t>
            </w:r>
            <w:r>
              <w:t>positions transitoires.</w:t>
            </w:r>
          </w:p>
        </w:tc>
      </w:tr>
      <w:tr w:rsidR="00216D67" w:rsidRPr="00392FFD" w:rsidTr="00672D2A">
        <w:tc>
          <w:tcPr>
            <w:tcW w:w="1506" w:type="dxa"/>
          </w:tcPr>
          <w:p w:rsidR="00216D67" w:rsidRPr="00392FFD" w:rsidRDefault="00216D67" w:rsidP="00FD239F">
            <w:pPr>
              <w:pStyle w:val="InstructionsText"/>
            </w:pPr>
            <w:r>
              <w:t>225</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00714EDC">
              <w:rPr>
                <w:rStyle w:val="InstructionsTabelleberschrift"/>
                <w:rFonts w:ascii="Times New Roman" w:hAnsi="Times New Roman"/>
                <w:sz w:val="24"/>
              </w:rPr>
              <w:tab/>
            </w:r>
            <w:r>
              <w:rPr>
                <w:rStyle w:val="InstructionsTabelleberschrift"/>
                <w:rFonts w:ascii="Times New Roman" w:hAnsi="Times New Roman"/>
                <w:sz w:val="24"/>
              </w:rPr>
              <w:t>Fonds propres éligibles dans le cadre de participations qual</w:t>
            </w:r>
            <w:r>
              <w:rPr>
                <w:rStyle w:val="InstructionsTabelleberschrift"/>
                <w:rFonts w:ascii="Times New Roman" w:hAnsi="Times New Roman"/>
                <w:sz w:val="24"/>
              </w:rPr>
              <w:t>i</w:t>
            </w:r>
            <w:r>
              <w:rPr>
                <w:rStyle w:val="InstructionsTabelleberschrift"/>
                <w:rFonts w:ascii="Times New Roman" w:hAnsi="Times New Roman"/>
                <w:sz w:val="24"/>
              </w:rPr>
              <w:t>fiées hors du secteur financier</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Article 4, paragraphe 1, point 71 a)</w:t>
            </w:r>
          </w:p>
        </w:tc>
      </w:tr>
      <w:tr w:rsidR="00216D67" w:rsidRPr="00392FFD" w:rsidTr="00672D2A">
        <w:tc>
          <w:tcPr>
            <w:tcW w:w="1506" w:type="dxa"/>
          </w:tcPr>
          <w:p w:rsidR="00216D67" w:rsidRPr="00392FFD" w:rsidRDefault="00216D67" w:rsidP="00FD239F">
            <w:pPr>
              <w:pStyle w:val="InstructionsText"/>
            </w:pPr>
            <w:r>
              <w:t>226</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00714EDC">
              <w:rPr>
                <w:rStyle w:val="InstructionsTabelleberschrift"/>
                <w:rFonts w:ascii="Times New Roman" w:hAnsi="Times New Roman"/>
                <w:sz w:val="24"/>
              </w:rPr>
              <w:tab/>
            </w:r>
            <w:r>
              <w:rPr>
                <w:rStyle w:val="InstructionsTabelleberschrift"/>
                <w:rFonts w:ascii="Times New Roman" w:hAnsi="Times New Roman"/>
                <w:sz w:val="24"/>
              </w:rPr>
              <w:t>Fonds propres éligibles dans le cadre de grands risques</w:t>
            </w:r>
          </w:p>
          <w:p w:rsidR="00216D67" w:rsidRPr="00201704" w:rsidRDefault="00216D67" w:rsidP="00FD239F">
            <w:pPr>
              <w:pStyle w:val="InstructionsText"/>
              <w:rPr>
                <w:rStyle w:val="InstructionsTabelleberschrift"/>
                <w:rFonts w:ascii="Times New Roman" w:hAnsi="Times New Roman"/>
                <w:b w:val="0"/>
                <w:bCs w:val="0"/>
                <w:sz w:val="24"/>
                <w:u w:val="none"/>
              </w:rPr>
            </w:pPr>
            <w:r>
              <w:t>Article 4, paragraphe 1, point 71 b)</w:t>
            </w:r>
          </w:p>
        </w:tc>
      </w:tr>
      <w:tr w:rsidR="002648B0" w:rsidRPr="00392FFD" w:rsidTr="00672D2A">
        <w:tc>
          <w:tcPr>
            <w:tcW w:w="1506" w:type="dxa"/>
          </w:tcPr>
          <w:p w:rsidR="002648B0" w:rsidRPr="00392FFD" w:rsidRDefault="002648B0" w:rsidP="00FD239F">
            <w:pPr>
              <w:pStyle w:val="InstructionsText"/>
            </w:pPr>
            <w:r>
              <w:t>230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rsidR="00714EDC">
              <w:rPr>
                <w:rStyle w:val="InstructionsTabelleberschrift"/>
                <w:rFonts w:ascii="Times New Roman" w:hAnsi="Times New Roman"/>
                <w:sz w:val="24"/>
              </w:rPr>
              <w:tab/>
            </w:r>
            <w:r>
              <w:rPr>
                <w:rStyle w:val="InstructionsTabelleberschrift"/>
                <w:rFonts w:ascii="Times New Roman" w:hAnsi="Times New Roman"/>
                <w:sz w:val="24"/>
              </w:rPr>
              <w:t>Détentions de fonds propres CET1 d'entités du secteur fina</w:t>
            </w:r>
            <w:r>
              <w:rPr>
                <w:rStyle w:val="InstructionsTabelleberschrift"/>
                <w:rFonts w:ascii="Times New Roman" w:hAnsi="Times New Roman"/>
                <w:sz w:val="24"/>
              </w:rPr>
              <w:t>n</w:t>
            </w:r>
            <w:r>
              <w:rPr>
                <w:rStyle w:val="InstructionsTabelleberschrift"/>
                <w:rFonts w:ascii="Times New Roman" w:hAnsi="Times New Roman"/>
                <w:sz w:val="24"/>
              </w:rPr>
              <w:t>cier dans lesquelles l'établissement ne détient pas d'investissement important, nettes des positions courtes</w:t>
            </w:r>
          </w:p>
          <w:p w:rsidR="005643EA" w:rsidRPr="00392FFD" w:rsidRDefault="002648B0" w:rsidP="00FD239F">
            <w:pPr>
              <w:pStyle w:val="InstructionsText"/>
            </w:pPr>
            <w:r>
              <w:t>Articles 44 à 46 et article 49 du CRR</w:t>
            </w:r>
          </w:p>
        </w:tc>
      </w:tr>
      <w:tr w:rsidR="002648B0" w:rsidRPr="00392FFD" w:rsidTr="00672D2A">
        <w:tc>
          <w:tcPr>
            <w:tcW w:w="1506" w:type="dxa"/>
          </w:tcPr>
          <w:p w:rsidR="002648B0" w:rsidRPr="00392FFD" w:rsidRDefault="002648B0" w:rsidP="00FD239F">
            <w:pPr>
              <w:pStyle w:val="InstructionsText"/>
            </w:pPr>
            <w:r>
              <w:t>240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w:t>
            </w:r>
            <w:r w:rsidR="00714EDC">
              <w:rPr>
                <w:rStyle w:val="InstructionsTabelleberschrift"/>
                <w:rFonts w:ascii="Times New Roman" w:hAnsi="Times New Roman"/>
                <w:sz w:val="24"/>
              </w:rPr>
              <w:tab/>
            </w:r>
            <w:r>
              <w:rPr>
                <w:rStyle w:val="InstructionsTabelleberschrift"/>
                <w:rFonts w:ascii="Times New Roman" w:hAnsi="Times New Roman"/>
                <w:sz w:val="24"/>
              </w:rPr>
              <w:t>Détentions directes de fonds propres CET1 d'entités du se</w:t>
            </w:r>
            <w:r>
              <w:rPr>
                <w:rStyle w:val="InstructionsTabelleberschrift"/>
                <w:rFonts w:ascii="Times New Roman" w:hAnsi="Times New Roman"/>
                <w:sz w:val="24"/>
              </w:rPr>
              <w:t>c</w:t>
            </w:r>
            <w:r>
              <w:rPr>
                <w:rStyle w:val="InstructionsTabelleberschrift"/>
                <w:rFonts w:ascii="Times New Roman" w:hAnsi="Times New Roman"/>
                <w:sz w:val="24"/>
              </w:rPr>
              <w:t>teur financier dans lesquelles l'établissement ne détient pas d'inve</w:t>
            </w:r>
            <w:r>
              <w:rPr>
                <w:rStyle w:val="InstructionsTabelleberschrift"/>
                <w:rFonts w:ascii="Times New Roman" w:hAnsi="Times New Roman"/>
                <w:sz w:val="24"/>
              </w:rPr>
              <w:t>s</w:t>
            </w:r>
            <w:r>
              <w:rPr>
                <w:rStyle w:val="InstructionsTabelleberschrift"/>
                <w:rFonts w:ascii="Times New Roman" w:hAnsi="Times New Roman"/>
                <w:sz w:val="24"/>
              </w:rPr>
              <w:t>tissement important</w:t>
            </w:r>
          </w:p>
          <w:p w:rsidR="005643EA" w:rsidRPr="00392FFD" w:rsidRDefault="002648B0" w:rsidP="00FD239F">
            <w:pPr>
              <w:pStyle w:val="InstructionsText"/>
            </w:pPr>
            <w:r>
              <w:t>Articles 44, 45, 46 et 49 du CRR</w:t>
            </w:r>
          </w:p>
        </w:tc>
      </w:tr>
      <w:tr w:rsidR="002648B0" w:rsidRPr="00392FFD" w:rsidTr="00672D2A">
        <w:tc>
          <w:tcPr>
            <w:tcW w:w="1506" w:type="dxa"/>
          </w:tcPr>
          <w:p w:rsidR="002648B0" w:rsidRPr="00392FFD" w:rsidRDefault="002648B0" w:rsidP="00FD239F">
            <w:pPr>
              <w:pStyle w:val="InstructionsText"/>
            </w:pPr>
            <w:r>
              <w:t>250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12.1.1</w:t>
            </w:r>
            <w:r w:rsidR="00714EDC">
              <w:rPr>
                <w:rStyle w:val="InstructionsTabelleberschrift"/>
                <w:rFonts w:ascii="Times New Roman" w:hAnsi="Times New Roman"/>
                <w:sz w:val="24"/>
              </w:rPr>
              <w:tab/>
            </w:r>
            <w:r>
              <w:rPr>
                <w:rStyle w:val="InstructionsTabelleberschrift"/>
                <w:rFonts w:ascii="Times New Roman" w:hAnsi="Times New Roman"/>
                <w:sz w:val="24"/>
              </w:rPr>
              <w:t>Détentions directes brutes de fonds propres CET1 d'entités du secteur financier dans lesquelles l'établissement ne détient pas d'investissement important</w:t>
            </w:r>
          </w:p>
          <w:p w:rsidR="005643EA" w:rsidRPr="00392FFD" w:rsidRDefault="002648B0" w:rsidP="00FD239F">
            <w:pPr>
              <w:pStyle w:val="InstructionsText"/>
            </w:pPr>
            <w:r>
              <w:t>Articles 44, 46 et 49 du CRR</w:t>
            </w:r>
          </w:p>
          <w:p w:rsidR="005643EA" w:rsidRPr="00392FFD" w:rsidRDefault="002648B0" w:rsidP="00FD239F">
            <w:pPr>
              <w:pStyle w:val="InstructionsText"/>
            </w:pPr>
            <w:r>
              <w:lastRenderedPageBreak/>
              <w:t>Détentions directes d'instruments de fonds propres de base de catégorie 1 d'entités du secteur financier dans lesquelles l'établissement ne détient pas d'investissement important, à l'exclusion:</w:t>
            </w:r>
          </w:p>
          <w:p w:rsidR="005643EA" w:rsidRPr="00392FFD" w:rsidRDefault="002648B0" w:rsidP="00FD239F">
            <w:pPr>
              <w:pStyle w:val="InstructionsText"/>
            </w:pPr>
            <w:r>
              <w:t>a)</w:t>
            </w:r>
            <w:r>
              <w:tab/>
              <w:t>des positions de prise ferme détenues pendant cinq jours o</w:t>
            </w:r>
            <w:r>
              <w:t>u</w:t>
            </w:r>
            <w:r>
              <w:t xml:space="preserve">vrables ou moins; </w:t>
            </w:r>
          </w:p>
          <w:p w:rsidR="005643EA" w:rsidRPr="00392FFD" w:rsidRDefault="002648B0" w:rsidP="00FD239F">
            <w:pPr>
              <w:pStyle w:val="InstructionsText"/>
            </w:pPr>
            <w:r>
              <w:t>b)</w:t>
            </w:r>
            <w:r>
              <w:tab/>
              <w:t>des montants relatifs aux investissements pour lesquels on a</w:t>
            </w:r>
            <w:r>
              <w:t>p</w:t>
            </w:r>
            <w:r>
              <w:t xml:space="preserve">plique une alternative à la déduction visée à l'article 49;  et </w:t>
            </w:r>
          </w:p>
          <w:p w:rsidR="005643EA" w:rsidRPr="00392FFD" w:rsidRDefault="002648B0" w:rsidP="00FD239F">
            <w:pPr>
              <w:pStyle w:val="InstructionsText"/>
            </w:pPr>
            <w:r>
              <w:t>c)</w:t>
            </w:r>
            <w:r>
              <w:tab/>
              <w:t>des détentions traitées comme des détentions croisées conform</w:t>
            </w:r>
            <w:r>
              <w:t>é</w:t>
            </w:r>
            <w:r>
              <w:t>ment à l'article 36, paragraphe 1, point g), du CRR.</w:t>
            </w:r>
          </w:p>
        </w:tc>
      </w:tr>
      <w:tr w:rsidR="002648B0" w:rsidRPr="00392FFD" w:rsidTr="00672D2A">
        <w:tc>
          <w:tcPr>
            <w:tcW w:w="1506" w:type="dxa"/>
          </w:tcPr>
          <w:p w:rsidR="002648B0" w:rsidRPr="00392FFD" w:rsidRDefault="002648B0" w:rsidP="00FD239F">
            <w:pPr>
              <w:pStyle w:val="InstructionsText"/>
            </w:pPr>
            <w:r>
              <w:lastRenderedPageBreak/>
              <w:t>260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12.1.2</w:t>
            </w:r>
            <w:r w:rsidR="00A704A9">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directes figurant ci-dessus</w:t>
            </w:r>
          </w:p>
          <w:p w:rsidR="005643EA" w:rsidRPr="00392FFD" w:rsidRDefault="002648B0" w:rsidP="00FD239F">
            <w:pPr>
              <w:pStyle w:val="InstructionsText"/>
            </w:pPr>
            <w:r>
              <w:t>Article 45 du CRR</w:t>
            </w:r>
          </w:p>
          <w:p w:rsidR="005643EA" w:rsidRPr="00392FFD" w:rsidRDefault="002648B0" w:rsidP="00FD239F">
            <w:pPr>
              <w:pStyle w:val="InstructionsText"/>
            </w:pPr>
            <w:r>
              <w:t>L'article 45 du CRR autorise la compensation de positions courtes sur la même exposition sous-jacente, pour autant que l'échéance de la position courte soit identique à celle de la position longue ou que l'échéance rés</w:t>
            </w:r>
            <w:r>
              <w:t>i</w:t>
            </w:r>
            <w:r>
              <w:t>duelle soit d'au moins un an.</w:t>
            </w:r>
          </w:p>
        </w:tc>
      </w:tr>
      <w:tr w:rsidR="002648B0" w:rsidRPr="00392FFD" w:rsidTr="00672D2A">
        <w:tc>
          <w:tcPr>
            <w:tcW w:w="1506" w:type="dxa"/>
          </w:tcPr>
          <w:p w:rsidR="002648B0" w:rsidRPr="00392FFD" w:rsidRDefault="002648B0" w:rsidP="00FD239F">
            <w:pPr>
              <w:pStyle w:val="InstructionsText"/>
            </w:pPr>
            <w:r>
              <w:t>270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w:t>
            </w:r>
            <w:r w:rsidR="00A704A9">
              <w:rPr>
                <w:rStyle w:val="InstructionsTabelleberschrift"/>
                <w:rFonts w:ascii="Times New Roman" w:hAnsi="Times New Roman"/>
                <w:sz w:val="24"/>
              </w:rPr>
              <w:tab/>
            </w:r>
            <w:r>
              <w:rPr>
                <w:rStyle w:val="InstructionsTabelleberschrift"/>
                <w:rFonts w:ascii="Times New Roman" w:hAnsi="Times New Roman"/>
                <w:sz w:val="24"/>
              </w:rPr>
              <w:t>Détentions indirectes de fonds propres CET1 d'entités du se</w:t>
            </w:r>
            <w:r>
              <w:rPr>
                <w:rStyle w:val="InstructionsTabelleberschrift"/>
                <w:rFonts w:ascii="Times New Roman" w:hAnsi="Times New Roman"/>
                <w:sz w:val="24"/>
              </w:rPr>
              <w:t>c</w:t>
            </w:r>
            <w:r>
              <w:rPr>
                <w:rStyle w:val="InstructionsTabelleberschrift"/>
                <w:rFonts w:ascii="Times New Roman" w:hAnsi="Times New Roman"/>
                <w:sz w:val="24"/>
              </w:rPr>
              <w:t>teur financier dans lesquelles l'établissement ne détient pas d'inve</w:t>
            </w:r>
            <w:r>
              <w:rPr>
                <w:rStyle w:val="InstructionsTabelleberschrift"/>
                <w:rFonts w:ascii="Times New Roman" w:hAnsi="Times New Roman"/>
                <w:sz w:val="24"/>
              </w:rPr>
              <w:t>s</w:t>
            </w:r>
            <w:r>
              <w:rPr>
                <w:rStyle w:val="InstructionsTabelleberschrift"/>
                <w:rFonts w:ascii="Times New Roman" w:hAnsi="Times New Roman"/>
                <w:sz w:val="24"/>
              </w:rPr>
              <w:t>tissement important</w:t>
            </w:r>
          </w:p>
          <w:p w:rsidR="005643EA" w:rsidRPr="00392FFD" w:rsidRDefault="002648B0" w:rsidP="00FD239F">
            <w:pPr>
              <w:pStyle w:val="InstructionsText"/>
            </w:pPr>
            <w:r>
              <w:t>Article 4, paragraphe 1, point 114, et articles 44 et 45 du CRR.</w:t>
            </w:r>
          </w:p>
        </w:tc>
      </w:tr>
      <w:tr w:rsidR="002648B0" w:rsidRPr="00392FFD" w:rsidTr="00672D2A">
        <w:tc>
          <w:tcPr>
            <w:tcW w:w="1506" w:type="dxa"/>
          </w:tcPr>
          <w:p w:rsidR="002648B0" w:rsidRPr="00392FFD" w:rsidRDefault="002648B0" w:rsidP="00FD239F">
            <w:pPr>
              <w:pStyle w:val="InstructionsText"/>
            </w:pPr>
            <w:r>
              <w:t>280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12.2.1</w:t>
            </w:r>
            <w:r w:rsidR="00A704A9">
              <w:rPr>
                <w:rStyle w:val="InstructionsTabelleberschrift"/>
                <w:rFonts w:ascii="Times New Roman" w:hAnsi="Times New Roman"/>
                <w:sz w:val="24"/>
              </w:rPr>
              <w:tab/>
            </w:r>
            <w:r>
              <w:rPr>
                <w:rStyle w:val="InstructionsTabelleberschrift"/>
                <w:rFonts w:ascii="Times New Roman" w:hAnsi="Times New Roman"/>
                <w:sz w:val="24"/>
              </w:rPr>
              <w:t>Détentions indirectes brutes de fonds propres CET1 d'entités du secteur financier dans lesquelles l'établissement ne détient pas d'investissement important</w:t>
            </w:r>
          </w:p>
          <w:p w:rsidR="005643EA" w:rsidRPr="00392FFD" w:rsidRDefault="002648B0" w:rsidP="00FD239F">
            <w:pPr>
              <w:pStyle w:val="InstructionsText"/>
            </w:pPr>
            <w:r>
              <w:t>Article 4, paragraphe 1, point 114, et articles 44 et 45 du CRR.</w:t>
            </w:r>
          </w:p>
          <w:p w:rsidR="005643EA" w:rsidRPr="00392FFD" w:rsidRDefault="002648B0" w:rsidP="00FD239F">
            <w:pPr>
              <w:pStyle w:val="InstructionsText"/>
            </w:pPr>
            <w:r>
              <w:t>Le montant à déclarer correspond aux détentions indirectes dans le po</w:t>
            </w:r>
            <w:r>
              <w:t>r</w:t>
            </w:r>
            <w:r>
              <w:t>tefeuille de négociation d'instruments de capital d'entités du secteur f</w:t>
            </w:r>
            <w:r>
              <w:t>i</w:t>
            </w:r>
            <w:r>
              <w:t>nancier qui prennent la forme de détentions dans des titres indiciels. On obtient ce montant en calculant l'exposition sous-jacente sur les instr</w:t>
            </w:r>
            <w:r>
              <w:t>u</w:t>
            </w:r>
            <w:r>
              <w:t>ments de capital des entités du secteur financier faisant partie de ces i</w:t>
            </w:r>
            <w:r>
              <w:t>n</w:t>
            </w:r>
            <w:r>
              <w:t>dices.</w:t>
            </w:r>
          </w:p>
          <w:p w:rsidR="005643EA" w:rsidRPr="00392FFD" w:rsidRDefault="002648B0" w:rsidP="00FD239F">
            <w:pPr>
              <w:pStyle w:val="InstructionsText"/>
            </w:pPr>
            <w:r>
              <w:t>Les détentions traitées comme des détentions croisées conformément à l'article 36, paragraphe 1, point g), du CRR ne seront pas incluses.</w:t>
            </w:r>
          </w:p>
        </w:tc>
      </w:tr>
      <w:tr w:rsidR="002648B0" w:rsidRPr="00392FFD" w:rsidTr="00672D2A">
        <w:trPr>
          <w:trHeight w:val="850"/>
        </w:trPr>
        <w:tc>
          <w:tcPr>
            <w:tcW w:w="1506" w:type="dxa"/>
          </w:tcPr>
          <w:p w:rsidR="002648B0" w:rsidRPr="00392FFD" w:rsidRDefault="002648B0" w:rsidP="00FD239F">
            <w:pPr>
              <w:pStyle w:val="InstructionsText"/>
            </w:pPr>
            <w:r>
              <w:t>290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12.2.2</w:t>
            </w:r>
            <w:r w:rsidR="00A704A9">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indirectes figurant ci-dessus</w:t>
            </w:r>
          </w:p>
          <w:p w:rsidR="005643EA" w:rsidRPr="00392FFD" w:rsidRDefault="002648B0" w:rsidP="00FD239F">
            <w:pPr>
              <w:pStyle w:val="InstructionsText"/>
            </w:pPr>
            <w:r>
              <w:t>Article 4, paragraphe 1, point 114, et article 45 du CRR</w:t>
            </w:r>
          </w:p>
          <w:p w:rsidR="005643EA" w:rsidRPr="00392FFD" w:rsidRDefault="002648B0" w:rsidP="00FD239F">
            <w:pPr>
              <w:pStyle w:val="InstructionsText"/>
            </w:pPr>
            <w:r>
              <w:t>L'article 45, point a), du CRR autorise la compensation de positions courtes sur la même exposition sous-jacente, pour autant que l'échéance de la position courte soit identique à celle de la position longue ou que l'échéance résiduelle soit d'au moins un an.</w:t>
            </w:r>
          </w:p>
        </w:tc>
      </w:tr>
      <w:tr w:rsidR="002648B0" w:rsidRPr="00392FFD" w:rsidTr="00672D2A">
        <w:tc>
          <w:tcPr>
            <w:tcW w:w="1506" w:type="dxa"/>
          </w:tcPr>
          <w:p w:rsidR="002648B0" w:rsidRPr="00392FFD" w:rsidRDefault="002648B0" w:rsidP="00FD239F">
            <w:pPr>
              <w:pStyle w:val="InstructionsText"/>
            </w:pPr>
            <w:r>
              <w:t>291</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sidR="00A704A9">
              <w:rPr>
                <w:rStyle w:val="InstructionsTabelleberschrift"/>
                <w:rFonts w:ascii="Times New Roman" w:hAnsi="Times New Roman"/>
                <w:sz w:val="24"/>
              </w:rPr>
              <w:tab/>
            </w:r>
            <w:r>
              <w:rPr>
                <w:rStyle w:val="InstructionsTabelleberschrift"/>
                <w:rFonts w:ascii="Times New Roman" w:hAnsi="Times New Roman"/>
                <w:sz w:val="24"/>
              </w:rPr>
              <w:t>Détentions synthétiques de fonds propres CET1 d'entités du secteur financier dans lesquelles l'établissement ne détient pas d'investissement important</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Article 4, paragraphe 1, point 126, et articles 44 et 45 du CRR.</w:t>
            </w:r>
          </w:p>
        </w:tc>
      </w:tr>
      <w:tr w:rsidR="002648B0" w:rsidRPr="00392FFD" w:rsidTr="00672D2A">
        <w:tc>
          <w:tcPr>
            <w:tcW w:w="1506" w:type="dxa"/>
          </w:tcPr>
          <w:p w:rsidR="005643EA" w:rsidRPr="00392FFD" w:rsidRDefault="002648B0" w:rsidP="00FD239F">
            <w:pPr>
              <w:pStyle w:val="InstructionsText"/>
            </w:pPr>
            <w:r>
              <w:lastRenderedPageBreak/>
              <w:t>292</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sidR="00A704A9">
              <w:rPr>
                <w:rStyle w:val="InstructionsTabelleberschrift"/>
                <w:rFonts w:ascii="Times New Roman" w:hAnsi="Times New Roman"/>
                <w:sz w:val="24"/>
              </w:rPr>
              <w:tab/>
            </w:r>
            <w:r>
              <w:rPr>
                <w:rStyle w:val="InstructionsTabelleberschrift"/>
                <w:rFonts w:ascii="Times New Roman" w:hAnsi="Times New Roman"/>
                <w:sz w:val="24"/>
              </w:rPr>
              <w:t>Détentions synthétiques brutes de fonds propres CET1 d'e</w:t>
            </w:r>
            <w:r>
              <w:rPr>
                <w:rStyle w:val="InstructionsTabelleberschrift"/>
                <w:rFonts w:ascii="Times New Roman" w:hAnsi="Times New Roman"/>
                <w:sz w:val="24"/>
              </w:rPr>
              <w:t>n</w:t>
            </w:r>
            <w:r>
              <w:rPr>
                <w:rStyle w:val="InstructionsTabelleberschrift"/>
                <w:rFonts w:ascii="Times New Roman" w:hAnsi="Times New Roman"/>
                <w:sz w:val="24"/>
              </w:rPr>
              <w:t>tités du secteur financier dans lesquelles l'établissement ne détient pas d'investissement important</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 paragraphe 1, point 126, et articles 44 et 45 du CRR.</w:t>
            </w:r>
          </w:p>
        </w:tc>
      </w:tr>
      <w:tr w:rsidR="002648B0" w:rsidRPr="00392FFD" w:rsidTr="00672D2A">
        <w:tc>
          <w:tcPr>
            <w:tcW w:w="1506" w:type="dxa"/>
          </w:tcPr>
          <w:p w:rsidR="005643EA" w:rsidRPr="00392FFD" w:rsidRDefault="002648B0" w:rsidP="00FD239F">
            <w:pPr>
              <w:pStyle w:val="InstructionsText"/>
            </w:pPr>
            <w:r>
              <w:t>293</w:t>
            </w:r>
          </w:p>
        </w:tc>
        <w:tc>
          <w:tcPr>
            <w:tcW w:w="7243" w:type="dxa"/>
            <w:vAlign w:val="center"/>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sidR="00A704A9">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synthétiques figurant ci-dessus</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 paragraphe 1, point 126, et article 45 du CRR</w:t>
            </w:r>
          </w:p>
        </w:tc>
      </w:tr>
      <w:tr w:rsidR="002648B0" w:rsidRPr="00392FFD" w:rsidTr="00672D2A">
        <w:tc>
          <w:tcPr>
            <w:tcW w:w="1506" w:type="dxa"/>
          </w:tcPr>
          <w:p w:rsidR="002648B0" w:rsidRPr="00392FFD" w:rsidRDefault="002648B0" w:rsidP="00FD239F">
            <w:pPr>
              <w:pStyle w:val="InstructionsText"/>
            </w:pPr>
            <w:r>
              <w:t>300</w:t>
            </w: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F457AB">
              <w:rPr>
                <w:rStyle w:val="InstructionsTabelleberschrift"/>
                <w:rFonts w:ascii="Times New Roman" w:hAnsi="Times New Roman"/>
                <w:sz w:val="24"/>
              </w:rPr>
              <w:tab/>
            </w:r>
            <w:r>
              <w:rPr>
                <w:rStyle w:val="InstructionsTabelleberschrift"/>
                <w:rFonts w:ascii="Times New Roman" w:hAnsi="Times New Roman"/>
                <w:sz w:val="24"/>
              </w:rPr>
              <w:t>Détentions de fonds propres AT1 d'entités du secteur fina</w:t>
            </w:r>
            <w:r>
              <w:rPr>
                <w:rStyle w:val="InstructionsTabelleberschrift"/>
                <w:rFonts w:ascii="Times New Roman" w:hAnsi="Times New Roman"/>
                <w:sz w:val="24"/>
              </w:rPr>
              <w:t>n</w:t>
            </w:r>
            <w:r>
              <w:rPr>
                <w:rStyle w:val="InstructionsTabelleberschrift"/>
                <w:rFonts w:ascii="Times New Roman" w:hAnsi="Times New Roman"/>
                <w:sz w:val="24"/>
              </w:rPr>
              <w:t>cier dans lesquelles l'établissement ne détient pas d'investissement important, nettes des positions courtes</w:t>
            </w:r>
          </w:p>
          <w:p w:rsidR="005643EA" w:rsidRPr="00392FFD" w:rsidRDefault="002648B0" w:rsidP="00FD239F">
            <w:pPr>
              <w:pStyle w:val="InstructionsText"/>
            </w:pPr>
            <w:r>
              <w:t>Articles 58 à 60 du CRR</w:t>
            </w:r>
          </w:p>
        </w:tc>
      </w:tr>
      <w:tr w:rsidR="002648B0" w:rsidRPr="00392FFD" w:rsidTr="00672D2A">
        <w:tc>
          <w:tcPr>
            <w:tcW w:w="1506" w:type="dxa"/>
          </w:tcPr>
          <w:p w:rsidR="002648B0" w:rsidRPr="00392FFD" w:rsidRDefault="002648B0" w:rsidP="00FD239F">
            <w:pPr>
              <w:pStyle w:val="InstructionsText"/>
            </w:pPr>
            <w:r>
              <w:t>310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w:t>
            </w:r>
            <w:r w:rsidR="00F457AB">
              <w:rPr>
                <w:rStyle w:val="InstructionsTabelleberschrift"/>
                <w:rFonts w:ascii="Times New Roman" w:hAnsi="Times New Roman"/>
                <w:sz w:val="24"/>
              </w:rPr>
              <w:tab/>
            </w:r>
            <w:r>
              <w:rPr>
                <w:rStyle w:val="InstructionsTabelleberschrift"/>
                <w:rFonts w:ascii="Times New Roman" w:hAnsi="Times New Roman"/>
                <w:sz w:val="24"/>
              </w:rPr>
              <w:t>Détentions directes de fonds propres AT1 d'entités du secteur financier dans lesquelles l'établissement ne détient pas d'investiss</w:t>
            </w:r>
            <w:r>
              <w:rPr>
                <w:rStyle w:val="InstructionsTabelleberschrift"/>
                <w:rFonts w:ascii="Times New Roman" w:hAnsi="Times New Roman"/>
                <w:sz w:val="24"/>
              </w:rPr>
              <w:t>e</w:t>
            </w:r>
            <w:r>
              <w:rPr>
                <w:rStyle w:val="InstructionsTabelleberschrift"/>
                <w:rFonts w:ascii="Times New Roman" w:hAnsi="Times New Roman"/>
                <w:sz w:val="24"/>
              </w:rPr>
              <w:t>ment important</w:t>
            </w:r>
          </w:p>
          <w:p w:rsidR="005643EA" w:rsidRPr="00392FFD" w:rsidRDefault="002648B0" w:rsidP="00FD239F">
            <w:pPr>
              <w:pStyle w:val="InstructionsText"/>
            </w:pPr>
            <w:r>
              <w:t>Articles 58 et 59 et article 60, paragraphe 2, du CRR</w:t>
            </w:r>
          </w:p>
        </w:tc>
      </w:tr>
      <w:tr w:rsidR="002648B0" w:rsidRPr="00392FFD" w:rsidTr="00672D2A">
        <w:tc>
          <w:tcPr>
            <w:tcW w:w="1506" w:type="dxa"/>
          </w:tcPr>
          <w:p w:rsidR="002648B0" w:rsidRPr="00392FFD" w:rsidRDefault="002648B0" w:rsidP="00FD239F">
            <w:pPr>
              <w:pStyle w:val="InstructionsText"/>
            </w:pPr>
            <w:r>
              <w:t>320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13.1.1</w:t>
            </w:r>
            <w:r w:rsidR="00F457AB">
              <w:rPr>
                <w:rStyle w:val="InstructionsTabelleberschrift"/>
                <w:rFonts w:ascii="Times New Roman" w:hAnsi="Times New Roman"/>
                <w:sz w:val="24"/>
              </w:rPr>
              <w:tab/>
            </w:r>
            <w:r>
              <w:rPr>
                <w:rStyle w:val="InstructionsTabelleberschrift"/>
                <w:rFonts w:ascii="Times New Roman" w:hAnsi="Times New Roman"/>
                <w:sz w:val="24"/>
              </w:rPr>
              <w:t>Détentions directes brutes de fonds propres AT1 d'entités du secteur financier dans lesquelles l'établissement ne détient pas d'investissement important</w:t>
            </w:r>
          </w:p>
          <w:p w:rsidR="005643EA" w:rsidRPr="00392FFD" w:rsidRDefault="002648B0" w:rsidP="00FD239F">
            <w:pPr>
              <w:pStyle w:val="InstructionsText"/>
            </w:pPr>
            <w:r>
              <w:t>Article 58 et article 60, paragraphe 2, du CRR</w:t>
            </w:r>
          </w:p>
          <w:p w:rsidR="005643EA" w:rsidRPr="00392FFD" w:rsidRDefault="002648B0" w:rsidP="00FD239F">
            <w:pPr>
              <w:pStyle w:val="InstructionsText"/>
            </w:pPr>
            <w:r>
              <w:t>Détentions directes d'instruments de fonds propres additionnels de cat</w:t>
            </w:r>
            <w:r>
              <w:t>é</w:t>
            </w:r>
            <w:r>
              <w:t>gorie 1 d'entités du secteur financier dans lesquelles l'établissement ne détient pas d'investissement important, à l'exclusion:</w:t>
            </w:r>
          </w:p>
          <w:p w:rsidR="005643EA" w:rsidRPr="00392FFD" w:rsidRDefault="002648B0" w:rsidP="00FD239F">
            <w:pPr>
              <w:pStyle w:val="InstructionsText"/>
            </w:pPr>
            <w:r>
              <w:t>a)</w:t>
            </w:r>
            <w:r>
              <w:tab/>
              <w:t>des positions de prise ferme détenues pendant cinq jours o</w:t>
            </w:r>
            <w:r>
              <w:t>u</w:t>
            </w:r>
            <w:r>
              <w:t xml:space="preserve">vrables ou moins; et </w:t>
            </w:r>
          </w:p>
          <w:p w:rsidR="005643EA" w:rsidRPr="00392FFD" w:rsidRDefault="002648B0" w:rsidP="00FD239F">
            <w:pPr>
              <w:pStyle w:val="InstructionsText"/>
            </w:pPr>
            <w:r>
              <w:t>b)</w:t>
            </w:r>
            <w:r>
              <w:tab/>
              <w:t>des détentions traitées comme des détentions croisées conform</w:t>
            </w:r>
            <w:r>
              <w:t>é</w:t>
            </w:r>
            <w:r>
              <w:t>ment à l'article 56, point b), du CRR.</w:t>
            </w:r>
          </w:p>
        </w:tc>
      </w:tr>
      <w:tr w:rsidR="002648B0" w:rsidRPr="00392FFD" w:rsidTr="00672D2A">
        <w:tc>
          <w:tcPr>
            <w:tcW w:w="1506" w:type="dxa"/>
          </w:tcPr>
          <w:p w:rsidR="002648B0" w:rsidRPr="00392FFD" w:rsidRDefault="002648B0" w:rsidP="00FD239F">
            <w:pPr>
              <w:pStyle w:val="InstructionsText"/>
            </w:pPr>
            <w:r>
              <w:t>330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13.1.2</w:t>
            </w:r>
            <w:r w:rsidR="00F457AB">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directes figurant ci-dessus</w:t>
            </w:r>
          </w:p>
          <w:p w:rsidR="005643EA" w:rsidRPr="00392FFD" w:rsidRDefault="002648B0" w:rsidP="00FD239F">
            <w:pPr>
              <w:pStyle w:val="InstructionsText"/>
            </w:pPr>
            <w:r>
              <w:t>Article 59 du CRR</w:t>
            </w:r>
          </w:p>
          <w:p w:rsidR="005643EA" w:rsidRPr="00392FFD" w:rsidRDefault="002648B0" w:rsidP="00FD239F">
            <w:pPr>
              <w:pStyle w:val="InstructionsText"/>
            </w:pPr>
            <w:r>
              <w:t>L'article 59, point a), du CRR autorise la compensation de positions courtes sur la même exposition sous-jacente, pour autant que l'échéance de la position courte soit identique à celle de la position longue ou que l'échéance résiduelle soit d'au moins un an.</w:t>
            </w:r>
          </w:p>
        </w:tc>
      </w:tr>
      <w:tr w:rsidR="002648B0" w:rsidRPr="00392FFD" w:rsidTr="00672D2A">
        <w:tc>
          <w:tcPr>
            <w:tcW w:w="1506" w:type="dxa"/>
          </w:tcPr>
          <w:p w:rsidR="002648B0" w:rsidRPr="00392FFD" w:rsidRDefault="002648B0" w:rsidP="00FD239F">
            <w:pPr>
              <w:pStyle w:val="InstructionsText"/>
            </w:pPr>
            <w:r>
              <w:t>340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w:t>
            </w:r>
            <w:r w:rsidR="00F457AB">
              <w:rPr>
                <w:rStyle w:val="InstructionsTabelleberschrift"/>
                <w:rFonts w:ascii="Times New Roman" w:hAnsi="Times New Roman"/>
                <w:sz w:val="24"/>
              </w:rPr>
              <w:tab/>
            </w:r>
            <w:r>
              <w:rPr>
                <w:rStyle w:val="InstructionsTabelleberschrift"/>
                <w:rFonts w:ascii="Times New Roman" w:hAnsi="Times New Roman"/>
                <w:sz w:val="24"/>
              </w:rPr>
              <w:t>Détentions indirectes de fonds propres AT1 d'entités du se</w:t>
            </w:r>
            <w:r>
              <w:rPr>
                <w:rStyle w:val="InstructionsTabelleberschrift"/>
                <w:rFonts w:ascii="Times New Roman" w:hAnsi="Times New Roman"/>
                <w:sz w:val="24"/>
              </w:rPr>
              <w:t>c</w:t>
            </w:r>
            <w:r>
              <w:rPr>
                <w:rStyle w:val="InstructionsTabelleberschrift"/>
                <w:rFonts w:ascii="Times New Roman" w:hAnsi="Times New Roman"/>
                <w:sz w:val="24"/>
              </w:rPr>
              <w:t>teur financier dans lesquelles l'établissement ne détient pas d'inve</w:t>
            </w:r>
            <w:r>
              <w:rPr>
                <w:rStyle w:val="InstructionsTabelleberschrift"/>
                <w:rFonts w:ascii="Times New Roman" w:hAnsi="Times New Roman"/>
                <w:sz w:val="24"/>
              </w:rPr>
              <w:t>s</w:t>
            </w:r>
            <w:r>
              <w:rPr>
                <w:rStyle w:val="InstructionsTabelleberschrift"/>
                <w:rFonts w:ascii="Times New Roman" w:hAnsi="Times New Roman"/>
                <w:sz w:val="24"/>
              </w:rPr>
              <w:t>tissement important</w:t>
            </w:r>
          </w:p>
          <w:p w:rsidR="005643EA" w:rsidRPr="00392FFD" w:rsidRDefault="002648B0" w:rsidP="00FD239F">
            <w:pPr>
              <w:pStyle w:val="InstructionsText"/>
            </w:pPr>
            <w:r>
              <w:t>Article 4, paragraphe 1, point 114, et articles 58 et 59 du CRR.</w:t>
            </w:r>
          </w:p>
        </w:tc>
      </w:tr>
      <w:tr w:rsidR="002648B0" w:rsidRPr="00392FFD" w:rsidTr="00672D2A">
        <w:tc>
          <w:tcPr>
            <w:tcW w:w="1506" w:type="dxa"/>
          </w:tcPr>
          <w:p w:rsidR="002648B0" w:rsidRPr="00392FFD" w:rsidRDefault="002648B0" w:rsidP="00FD239F">
            <w:pPr>
              <w:pStyle w:val="InstructionsText"/>
            </w:pPr>
            <w:r>
              <w:t>350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13.2.1</w:t>
            </w:r>
            <w:r w:rsidR="00F457AB">
              <w:rPr>
                <w:rStyle w:val="InstructionsTabelleberschrift"/>
                <w:rFonts w:ascii="Times New Roman" w:hAnsi="Times New Roman"/>
                <w:sz w:val="24"/>
              </w:rPr>
              <w:tab/>
            </w:r>
            <w:r>
              <w:rPr>
                <w:rStyle w:val="InstructionsTabelleberschrift"/>
                <w:rFonts w:ascii="Times New Roman" w:hAnsi="Times New Roman"/>
                <w:sz w:val="24"/>
              </w:rPr>
              <w:t>Détentions indirectes brutes de fonds propres AT1 d'entités du secteur financier dans lesquelles l'établissement ne détient pas d'investissement important</w:t>
            </w:r>
          </w:p>
          <w:p w:rsidR="005643EA" w:rsidRPr="00392FFD" w:rsidRDefault="002648B0" w:rsidP="00FD239F">
            <w:pPr>
              <w:pStyle w:val="InstructionsText"/>
            </w:pPr>
            <w:r>
              <w:lastRenderedPageBreak/>
              <w:t>Article 4, paragraphe 1, point 114, et articles 58 et 59 du CRR.</w:t>
            </w:r>
          </w:p>
          <w:p w:rsidR="005643EA" w:rsidRPr="00392FFD" w:rsidRDefault="002648B0" w:rsidP="00FD239F">
            <w:pPr>
              <w:pStyle w:val="InstructionsText"/>
            </w:pPr>
            <w:r>
              <w:t>Le montant à déclarer correspond aux détentions indirectes dans le po</w:t>
            </w:r>
            <w:r>
              <w:t>r</w:t>
            </w:r>
            <w:r>
              <w:t>tefeuille de négociation d'instruments de capital d'entités du secteur f</w:t>
            </w:r>
            <w:r>
              <w:t>i</w:t>
            </w:r>
            <w:r>
              <w:t>nancier qui prennent la forme de détentions dans des titres indiciels. On obtient ce montant en calculant l'exposition sous-jacente sur les instr</w:t>
            </w:r>
            <w:r>
              <w:t>u</w:t>
            </w:r>
            <w:r>
              <w:t>ments de capital des entités du secteur financier faisant partie de ces i</w:t>
            </w:r>
            <w:r>
              <w:t>n</w:t>
            </w:r>
            <w:r>
              <w:t>dices.</w:t>
            </w:r>
          </w:p>
          <w:p w:rsidR="005643EA" w:rsidRPr="00392FFD" w:rsidRDefault="002648B0" w:rsidP="00FD239F">
            <w:pPr>
              <w:pStyle w:val="InstructionsText"/>
            </w:pPr>
            <w:r>
              <w:t>Les détentions traitées comme des détentions croisées conformément à l'article 56, point b), du CRR ne seront pas incluses.</w:t>
            </w:r>
          </w:p>
        </w:tc>
      </w:tr>
      <w:tr w:rsidR="002648B0" w:rsidRPr="00392FFD" w:rsidTr="00672D2A">
        <w:tc>
          <w:tcPr>
            <w:tcW w:w="1506" w:type="dxa"/>
          </w:tcPr>
          <w:p w:rsidR="002648B0" w:rsidRPr="00392FFD" w:rsidRDefault="002648B0" w:rsidP="00FD239F">
            <w:pPr>
              <w:pStyle w:val="InstructionsText"/>
            </w:pPr>
            <w:r>
              <w:lastRenderedPageBreak/>
              <w:t>360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13.2.2</w:t>
            </w:r>
            <w:r w:rsidR="00C71B7F">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indirectes figurant ci-dessus</w:t>
            </w:r>
          </w:p>
          <w:p w:rsidR="005643EA" w:rsidRPr="00392FFD" w:rsidRDefault="002648B0" w:rsidP="00FD239F">
            <w:pPr>
              <w:pStyle w:val="InstructionsText"/>
            </w:pPr>
            <w:r>
              <w:t>Article 4, paragraphe 1, point 114, et article 59 du CRR</w:t>
            </w:r>
          </w:p>
          <w:p w:rsidR="005643EA" w:rsidRPr="00392FFD" w:rsidRDefault="002648B0" w:rsidP="00FD239F">
            <w:pPr>
              <w:pStyle w:val="InstructionsText"/>
            </w:pPr>
            <w:r>
              <w:t>L'article 59, point a), du CRR autorise la compensation de positions courtes sur la même exposition sous-jacente, pour autant que l'échéance de la position courte soit identique à celle de la position longue ou que l'échéance résiduelle soit d'au moins un an.</w:t>
            </w:r>
          </w:p>
        </w:tc>
      </w:tr>
      <w:tr w:rsidR="002648B0" w:rsidRPr="00392FFD" w:rsidTr="00672D2A">
        <w:tc>
          <w:tcPr>
            <w:tcW w:w="1506" w:type="dxa"/>
          </w:tcPr>
          <w:p w:rsidR="002648B0" w:rsidRPr="00392FFD" w:rsidRDefault="002648B0" w:rsidP="00FD239F">
            <w:pPr>
              <w:pStyle w:val="InstructionsText"/>
            </w:pPr>
            <w:r>
              <w:t>361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w:t>
            </w:r>
            <w:r w:rsidR="00C71B7F">
              <w:rPr>
                <w:rStyle w:val="InstructionsTabelleberschrift"/>
                <w:rFonts w:ascii="Times New Roman" w:hAnsi="Times New Roman"/>
                <w:sz w:val="24"/>
              </w:rPr>
              <w:tab/>
            </w:r>
            <w:r>
              <w:rPr>
                <w:rStyle w:val="InstructionsTabelleberschrift"/>
                <w:rFonts w:ascii="Times New Roman" w:hAnsi="Times New Roman"/>
                <w:sz w:val="24"/>
              </w:rPr>
              <w:t>Détentions synthétiques de fonds propres AT1 d'entités du secteur financier dans lesquelles l'établissement ne détient pas d'investissement important</w:t>
            </w:r>
          </w:p>
          <w:p w:rsidR="005643EA" w:rsidRPr="00201704" w:rsidRDefault="002648B0" w:rsidP="00FD239F">
            <w:pPr>
              <w:pStyle w:val="InstructionsText"/>
              <w:rPr>
                <w:rStyle w:val="InstructionsTabelleberschrift"/>
                <w:rFonts w:ascii="Times New Roman" w:hAnsi="Times New Roman"/>
                <w:b w:val="0"/>
                <w:bCs w:val="0"/>
                <w:sz w:val="24"/>
                <w:u w:val="none"/>
              </w:rPr>
            </w:pPr>
            <w:r>
              <w:t>Article 4, paragraphe 1, point 126, et articles 58 et 59 du CRR.</w:t>
            </w:r>
          </w:p>
        </w:tc>
      </w:tr>
      <w:tr w:rsidR="002648B0" w:rsidRPr="00392FFD" w:rsidTr="00672D2A">
        <w:tc>
          <w:tcPr>
            <w:tcW w:w="1506" w:type="dxa"/>
          </w:tcPr>
          <w:p w:rsidR="002648B0" w:rsidRPr="00392FFD" w:rsidRDefault="002648B0" w:rsidP="00FD239F">
            <w:pPr>
              <w:pStyle w:val="InstructionsText"/>
            </w:pPr>
            <w:r>
              <w:t>362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13.3.1</w:t>
            </w:r>
            <w:r w:rsidR="00C71B7F">
              <w:rPr>
                <w:rStyle w:val="InstructionsTabelleberschrift"/>
                <w:rFonts w:ascii="Times New Roman" w:hAnsi="Times New Roman"/>
                <w:sz w:val="24"/>
              </w:rPr>
              <w:tab/>
            </w:r>
            <w:r>
              <w:rPr>
                <w:rStyle w:val="InstructionsTabelleberschrift"/>
                <w:rFonts w:ascii="Times New Roman" w:hAnsi="Times New Roman"/>
                <w:sz w:val="24"/>
              </w:rPr>
              <w:t>Détentions synthétiques brutes de fonds propres AT1 d'ent</w:t>
            </w:r>
            <w:r>
              <w:rPr>
                <w:rStyle w:val="InstructionsTabelleberschrift"/>
                <w:rFonts w:ascii="Times New Roman" w:hAnsi="Times New Roman"/>
                <w:sz w:val="24"/>
              </w:rPr>
              <w:t>i</w:t>
            </w:r>
            <w:r>
              <w:rPr>
                <w:rStyle w:val="InstructionsTabelleberschrift"/>
                <w:rFonts w:ascii="Times New Roman" w:hAnsi="Times New Roman"/>
                <w:sz w:val="24"/>
              </w:rPr>
              <w:t>tés du secteur financier dans lesquelles l'établissement ne détient pas d'investissement important</w:t>
            </w:r>
          </w:p>
          <w:p w:rsidR="005643EA" w:rsidRPr="00201704" w:rsidRDefault="002648B0" w:rsidP="00FD239F">
            <w:pPr>
              <w:pStyle w:val="InstructionsText"/>
              <w:rPr>
                <w:rStyle w:val="InstructionsTabelleberschrift"/>
                <w:rFonts w:ascii="Times New Roman" w:hAnsi="Times New Roman"/>
                <w:b w:val="0"/>
                <w:bCs w:val="0"/>
                <w:sz w:val="24"/>
                <w:u w:val="none"/>
              </w:rPr>
            </w:pPr>
            <w:r>
              <w:t>Article 4, paragraphe 1, point 126, et articles 58 et 59 du CRR.</w:t>
            </w:r>
          </w:p>
        </w:tc>
      </w:tr>
      <w:tr w:rsidR="002648B0" w:rsidRPr="00392FFD" w:rsidTr="00672D2A">
        <w:tc>
          <w:tcPr>
            <w:tcW w:w="1506" w:type="dxa"/>
          </w:tcPr>
          <w:p w:rsidR="002648B0" w:rsidRPr="00392FFD" w:rsidRDefault="002648B0" w:rsidP="00FD239F">
            <w:pPr>
              <w:pStyle w:val="InstructionsText"/>
            </w:pPr>
            <w:r>
              <w:t>363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13.3.2</w:t>
            </w:r>
            <w:r w:rsidR="00C71B7F">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synthétiques figurant ci-dessus</w:t>
            </w:r>
          </w:p>
          <w:p w:rsidR="005643EA" w:rsidRPr="00201704" w:rsidRDefault="002648B0" w:rsidP="00FD239F">
            <w:pPr>
              <w:pStyle w:val="InstructionsText"/>
              <w:rPr>
                <w:rStyle w:val="InstructionsTabelleberschrift"/>
                <w:rFonts w:ascii="Times New Roman" w:hAnsi="Times New Roman"/>
                <w:b w:val="0"/>
                <w:bCs w:val="0"/>
                <w:sz w:val="24"/>
                <w:u w:val="none"/>
              </w:rPr>
            </w:pPr>
            <w:r>
              <w:t>Article 4, paragraphe 1, point 126, et article 59 du CRR</w:t>
            </w:r>
          </w:p>
        </w:tc>
      </w:tr>
      <w:tr w:rsidR="002648B0" w:rsidRPr="00392FFD" w:rsidTr="00672D2A">
        <w:tc>
          <w:tcPr>
            <w:tcW w:w="1506" w:type="dxa"/>
          </w:tcPr>
          <w:p w:rsidR="002648B0" w:rsidRPr="00392FFD" w:rsidRDefault="002648B0" w:rsidP="00FD239F">
            <w:pPr>
              <w:pStyle w:val="InstructionsText"/>
            </w:pPr>
            <w:r>
              <w:t>370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14.</w:t>
            </w:r>
            <w:r w:rsidR="00C71B7F">
              <w:rPr>
                <w:rStyle w:val="InstructionsTabelleberschrift"/>
                <w:rFonts w:ascii="Times New Roman" w:hAnsi="Times New Roman"/>
                <w:sz w:val="24"/>
              </w:rPr>
              <w:tab/>
            </w:r>
            <w:r>
              <w:rPr>
                <w:rStyle w:val="InstructionsTabelleberschrift"/>
                <w:rFonts w:ascii="Times New Roman" w:hAnsi="Times New Roman"/>
                <w:sz w:val="24"/>
              </w:rPr>
              <w:t>Détentions de fonds propres T2 d'entités du secteur financier dans lesquelles l'établissement ne détient pas d'investissement i</w:t>
            </w:r>
            <w:r>
              <w:rPr>
                <w:rStyle w:val="InstructionsTabelleberschrift"/>
                <w:rFonts w:ascii="Times New Roman" w:hAnsi="Times New Roman"/>
                <w:sz w:val="24"/>
              </w:rPr>
              <w:t>m</w:t>
            </w:r>
            <w:r>
              <w:rPr>
                <w:rStyle w:val="InstructionsTabelleberschrift"/>
                <w:rFonts w:ascii="Times New Roman" w:hAnsi="Times New Roman"/>
                <w:sz w:val="24"/>
              </w:rPr>
              <w:t>portant, nettes des positions courtes</w:t>
            </w:r>
          </w:p>
          <w:p w:rsidR="005643EA" w:rsidRPr="00392FFD" w:rsidRDefault="002648B0" w:rsidP="00FD239F">
            <w:pPr>
              <w:pStyle w:val="InstructionsText"/>
            </w:pPr>
            <w:r>
              <w:t>Articles 68 à 70 du CRR</w:t>
            </w:r>
          </w:p>
        </w:tc>
      </w:tr>
      <w:tr w:rsidR="002648B0" w:rsidRPr="00392FFD" w:rsidTr="00672D2A">
        <w:tc>
          <w:tcPr>
            <w:tcW w:w="1506" w:type="dxa"/>
          </w:tcPr>
          <w:p w:rsidR="002648B0" w:rsidRPr="00392FFD" w:rsidRDefault="002648B0" w:rsidP="00FD239F">
            <w:pPr>
              <w:pStyle w:val="InstructionsText"/>
            </w:pPr>
            <w:r>
              <w:t>380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w:t>
            </w:r>
            <w:r w:rsidR="00C71B7F">
              <w:rPr>
                <w:rStyle w:val="InstructionsTabelleberschrift"/>
                <w:rFonts w:ascii="Times New Roman" w:hAnsi="Times New Roman"/>
                <w:sz w:val="24"/>
              </w:rPr>
              <w:tab/>
            </w:r>
            <w:r>
              <w:rPr>
                <w:rStyle w:val="InstructionsTabelleberschrift"/>
                <w:rFonts w:ascii="Times New Roman" w:hAnsi="Times New Roman"/>
                <w:sz w:val="24"/>
              </w:rPr>
              <w:t>Détentions directes de fonds propres T2 d'entités du secteur financier dans lesquelles l'établissement ne détient pas d'investiss</w:t>
            </w:r>
            <w:r>
              <w:rPr>
                <w:rStyle w:val="InstructionsTabelleberschrift"/>
                <w:rFonts w:ascii="Times New Roman" w:hAnsi="Times New Roman"/>
                <w:sz w:val="24"/>
              </w:rPr>
              <w:t>e</w:t>
            </w:r>
            <w:r>
              <w:rPr>
                <w:rStyle w:val="InstructionsTabelleberschrift"/>
                <w:rFonts w:ascii="Times New Roman" w:hAnsi="Times New Roman"/>
                <w:sz w:val="24"/>
              </w:rPr>
              <w:t>ment important</w:t>
            </w:r>
          </w:p>
          <w:p w:rsidR="005643EA" w:rsidRPr="00392FFD" w:rsidRDefault="002648B0" w:rsidP="00FD239F">
            <w:pPr>
              <w:pStyle w:val="InstructionsText"/>
            </w:pPr>
            <w:r>
              <w:t>Articles 68 et 69 et article 70, paragraphe 2, du CRR</w:t>
            </w:r>
          </w:p>
        </w:tc>
      </w:tr>
      <w:tr w:rsidR="002648B0" w:rsidRPr="00392FFD" w:rsidTr="00672D2A">
        <w:tc>
          <w:tcPr>
            <w:tcW w:w="1506" w:type="dxa"/>
          </w:tcPr>
          <w:p w:rsidR="002648B0" w:rsidRPr="00392FFD" w:rsidRDefault="002648B0" w:rsidP="00FD239F">
            <w:pPr>
              <w:pStyle w:val="InstructionsText"/>
            </w:pPr>
            <w:r>
              <w:t>390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14.1.1</w:t>
            </w:r>
            <w:r w:rsidR="00C71B7F">
              <w:rPr>
                <w:rStyle w:val="InstructionsTabelleberschrift"/>
                <w:rFonts w:ascii="Times New Roman" w:hAnsi="Times New Roman"/>
                <w:sz w:val="24"/>
              </w:rPr>
              <w:tab/>
            </w:r>
            <w:r>
              <w:rPr>
                <w:rStyle w:val="InstructionsTabelleberschrift"/>
                <w:rFonts w:ascii="Times New Roman" w:hAnsi="Times New Roman"/>
                <w:sz w:val="24"/>
              </w:rPr>
              <w:t>Détentions directes brutes de fonds propres T2 d'entités du secteur financier dans lesquelles l'établissement ne détient pas d'investissement important</w:t>
            </w:r>
          </w:p>
          <w:p w:rsidR="005643EA" w:rsidRPr="00392FFD" w:rsidRDefault="002648B0" w:rsidP="00FD239F">
            <w:pPr>
              <w:pStyle w:val="InstructionsText"/>
            </w:pPr>
            <w:r>
              <w:t>Article 68 et article 70, paragraphe 2, du CRR</w:t>
            </w:r>
          </w:p>
          <w:p w:rsidR="005643EA" w:rsidRPr="00392FFD" w:rsidRDefault="002648B0" w:rsidP="00FD239F">
            <w:pPr>
              <w:pStyle w:val="InstructionsText"/>
            </w:pPr>
            <w:r>
              <w:t>Détentions directes d'instruments de fonds propres de catégorie 2 d'ent</w:t>
            </w:r>
            <w:r>
              <w:t>i</w:t>
            </w:r>
            <w:r>
              <w:t>tés du secteur financier dans lesquelles l'établissement ne détient pas d'investissement important, à l'exclusion:</w:t>
            </w:r>
          </w:p>
          <w:p w:rsidR="005643EA" w:rsidRPr="00392FFD" w:rsidRDefault="002648B0" w:rsidP="00FD239F">
            <w:pPr>
              <w:pStyle w:val="InstructionsText"/>
            </w:pPr>
            <w:r>
              <w:lastRenderedPageBreak/>
              <w:t>a)</w:t>
            </w:r>
            <w:r>
              <w:tab/>
              <w:t>des positions de prise ferme détenues pendant cinq jours o</w:t>
            </w:r>
            <w:r>
              <w:t>u</w:t>
            </w:r>
            <w:r>
              <w:t xml:space="preserve">vrables ou moins; et </w:t>
            </w:r>
          </w:p>
          <w:p w:rsidR="005643EA" w:rsidRPr="00392FFD" w:rsidRDefault="002648B0" w:rsidP="00FD239F">
            <w:pPr>
              <w:pStyle w:val="InstructionsText"/>
            </w:pPr>
            <w:r>
              <w:t>b)</w:t>
            </w:r>
            <w:r>
              <w:tab/>
              <w:t>des détentions traitées comme des détentions croisées conform</w:t>
            </w:r>
            <w:r>
              <w:t>é</w:t>
            </w:r>
            <w:r>
              <w:t>ment à l'article 66, point b), du CRR.</w:t>
            </w:r>
          </w:p>
        </w:tc>
      </w:tr>
      <w:tr w:rsidR="002648B0" w:rsidRPr="00392FFD" w:rsidTr="00672D2A">
        <w:tc>
          <w:tcPr>
            <w:tcW w:w="1506" w:type="dxa"/>
          </w:tcPr>
          <w:p w:rsidR="002648B0" w:rsidRPr="00392FFD" w:rsidRDefault="002648B0" w:rsidP="00FD239F">
            <w:pPr>
              <w:pStyle w:val="InstructionsText"/>
            </w:pPr>
            <w:r>
              <w:lastRenderedPageBreak/>
              <w:t>400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14.1.2</w:t>
            </w:r>
            <w:r w:rsidR="00C71B7F">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directes figurant ci-dessus</w:t>
            </w:r>
          </w:p>
          <w:p w:rsidR="005643EA" w:rsidRPr="00392FFD" w:rsidRDefault="002648B0" w:rsidP="00FD239F">
            <w:pPr>
              <w:pStyle w:val="InstructionsText"/>
            </w:pPr>
            <w:r>
              <w:t>Article 69 du CRR</w:t>
            </w:r>
          </w:p>
          <w:p w:rsidR="005643EA" w:rsidRPr="00392FFD" w:rsidRDefault="002648B0" w:rsidP="00FD239F">
            <w:pPr>
              <w:pStyle w:val="InstructionsText"/>
            </w:pPr>
            <w:r>
              <w:t>L'article 69, point a), du CRR autorise la compensation de positions courtes sur la même exposition sous-jacente, pour autant que l'échéance de la position courte soit identique à celle de la position longue ou que l'échéance résiduelle soit d'au moins un an.</w:t>
            </w:r>
          </w:p>
        </w:tc>
      </w:tr>
      <w:tr w:rsidR="002648B0" w:rsidRPr="00392FFD" w:rsidTr="00672D2A">
        <w:tc>
          <w:tcPr>
            <w:tcW w:w="1506" w:type="dxa"/>
          </w:tcPr>
          <w:p w:rsidR="002648B0" w:rsidRPr="00392FFD" w:rsidRDefault="002648B0" w:rsidP="00FD239F">
            <w:pPr>
              <w:pStyle w:val="InstructionsText"/>
            </w:pPr>
            <w:r>
              <w:t>410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w:t>
            </w:r>
            <w:r w:rsidR="00C71B7F">
              <w:rPr>
                <w:rStyle w:val="InstructionsTabelleberschrift"/>
                <w:rFonts w:ascii="Times New Roman" w:hAnsi="Times New Roman"/>
                <w:sz w:val="24"/>
              </w:rPr>
              <w:tab/>
            </w:r>
            <w:r>
              <w:rPr>
                <w:rStyle w:val="InstructionsTabelleberschrift"/>
                <w:rFonts w:ascii="Times New Roman" w:hAnsi="Times New Roman"/>
                <w:sz w:val="24"/>
              </w:rPr>
              <w:t>Détentions indirectes de fonds propres T2 d'entités du se</w:t>
            </w:r>
            <w:r>
              <w:rPr>
                <w:rStyle w:val="InstructionsTabelleberschrift"/>
                <w:rFonts w:ascii="Times New Roman" w:hAnsi="Times New Roman"/>
                <w:sz w:val="24"/>
              </w:rPr>
              <w:t>c</w:t>
            </w:r>
            <w:r>
              <w:rPr>
                <w:rStyle w:val="InstructionsTabelleberschrift"/>
                <w:rFonts w:ascii="Times New Roman" w:hAnsi="Times New Roman"/>
                <w:sz w:val="24"/>
              </w:rPr>
              <w:t>teur financier dans lesquelles l'établissement ne détient pas d'inve</w:t>
            </w:r>
            <w:r>
              <w:rPr>
                <w:rStyle w:val="InstructionsTabelleberschrift"/>
                <w:rFonts w:ascii="Times New Roman" w:hAnsi="Times New Roman"/>
                <w:sz w:val="24"/>
              </w:rPr>
              <w:t>s</w:t>
            </w:r>
            <w:r>
              <w:rPr>
                <w:rStyle w:val="InstructionsTabelleberschrift"/>
                <w:rFonts w:ascii="Times New Roman" w:hAnsi="Times New Roman"/>
                <w:sz w:val="24"/>
              </w:rPr>
              <w:t>tissement important</w:t>
            </w:r>
          </w:p>
          <w:p w:rsidR="005643EA" w:rsidRPr="00392FFD" w:rsidRDefault="002648B0" w:rsidP="00FD239F">
            <w:pPr>
              <w:pStyle w:val="InstructionsText"/>
            </w:pPr>
            <w:r>
              <w:t>Article 4, paragraphe 1, point 114), et articles 68 et 69 du CRR</w:t>
            </w:r>
          </w:p>
        </w:tc>
      </w:tr>
      <w:tr w:rsidR="002648B0" w:rsidRPr="00392FFD" w:rsidTr="00672D2A">
        <w:tc>
          <w:tcPr>
            <w:tcW w:w="1506" w:type="dxa"/>
          </w:tcPr>
          <w:p w:rsidR="002648B0" w:rsidRPr="00392FFD" w:rsidRDefault="002648B0" w:rsidP="00FD239F">
            <w:pPr>
              <w:pStyle w:val="InstructionsText"/>
            </w:pPr>
            <w:r>
              <w:t>420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14.2.1</w:t>
            </w:r>
            <w:r w:rsidR="00C71B7F">
              <w:rPr>
                <w:rStyle w:val="InstructionsTabelleberschrift"/>
                <w:rFonts w:ascii="Times New Roman" w:hAnsi="Times New Roman"/>
                <w:sz w:val="24"/>
              </w:rPr>
              <w:tab/>
            </w:r>
            <w:r>
              <w:rPr>
                <w:rStyle w:val="InstructionsTabelleberschrift"/>
                <w:rFonts w:ascii="Times New Roman" w:hAnsi="Times New Roman"/>
                <w:sz w:val="24"/>
              </w:rPr>
              <w:t>Détentions indirectes brutes de fonds propres T2 d'entités du secteur financier dans lesquelles l'établissement ne détient pas d'investissement important</w:t>
            </w:r>
          </w:p>
          <w:p w:rsidR="005643EA" w:rsidRPr="00392FFD" w:rsidRDefault="002648B0" w:rsidP="00FD239F">
            <w:pPr>
              <w:pStyle w:val="InstructionsText"/>
            </w:pPr>
            <w:r>
              <w:t>Article 4, paragraphe 1, point 114, et articles 68 et 69 du CRR.</w:t>
            </w:r>
          </w:p>
          <w:p w:rsidR="005643EA" w:rsidRPr="00392FFD" w:rsidRDefault="002648B0" w:rsidP="00FD239F">
            <w:pPr>
              <w:pStyle w:val="InstructionsText"/>
            </w:pPr>
            <w:r>
              <w:t>Le montant à déclarer correspond aux détentions indirectes dans le po</w:t>
            </w:r>
            <w:r>
              <w:t>r</w:t>
            </w:r>
            <w:r>
              <w:t>tefeuille de négociation d'instruments de capital d'entités du secteur f</w:t>
            </w:r>
            <w:r>
              <w:t>i</w:t>
            </w:r>
            <w:r>
              <w:t>nancier qui prennent la forme de détentions dans des titres indiciels. On obtient ce montant en calculant l'exposition sous-jacente sur les instr</w:t>
            </w:r>
            <w:r>
              <w:t>u</w:t>
            </w:r>
            <w:r>
              <w:t>ments de capital des entités du secteur financier faisant partie de ces i</w:t>
            </w:r>
            <w:r>
              <w:t>n</w:t>
            </w:r>
            <w:r>
              <w:t>dices.</w:t>
            </w:r>
          </w:p>
          <w:p w:rsidR="005643EA" w:rsidRPr="00392FFD" w:rsidRDefault="002648B0" w:rsidP="00FD239F">
            <w:pPr>
              <w:pStyle w:val="InstructionsText"/>
            </w:pPr>
            <w:r>
              <w:t>Les détentions traitées comme des détentions croisées conformément à l'article 66, point b), du CRR ne seront pas incluses.</w:t>
            </w:r>
          </w:p>
        </w:tc>
      </w:tr>
      <w:tr w:rsidR="002648B0" w:rsidRPr="00392FFD" w:rsidTr="00672D2A">
        <w:tc>
          <w:tcPr>
            <w:tcW w:w="1506" w:type="dxa"/>
          </w:tcPr>
          <w:p w:rsidR="002648B0" w:rsidRPr="00392FFD" w:rsidRDefault="002648B0" w:rsidP="00FD239F">
            <w:pPr>
              <w:pStyle w:val="InstructionsText"/>
            </w:pPr>
            <w:r>
              <w:t>430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14.2.2</w:t>
            </w:r>
            <w:r w:rsidR="00C71B7F">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indirectes figurant ci-dessus</w:t>
            </w:r>
          </w:p>
          <w:p w:rsidR="005643EA" w:rsidRPr="00392FFD" w:rsidRDefault="002648B0" w:rsidP="00FD239F">
            <w:pPr>
              <w:pStyle w:val="InstructionsText"/>
            </w:pPr>
            <w:r>
              <w:t>Article 4, paragraphe 1, point 114, et article 69 du CRR</w:t>
            </w:r>
          </w:p>
          <w:p w:rsidR="005643EA" w:rsidRPr="00392FFD" w:rsidRDefault="002648B0" w:rsidP="00FD239F">
            <w:pPr>
              <w:pStyle w:val="InstructionsText"/>
            </w:pPr>
            <w:r>
              <w:t>L'article 69, point a), du CRR autorise la compensation de positions courtes sur la même exposition sous-jacente, pour autant que l'échéance de la position courte soit identique à celle de la position longue ou que l'échéance résiduelle soit d'au moins un an.</w:t>
            </w:r>
          </w:p>
        </w:tc>
      </w:tr>
      <w:tr w:rsidR="00DE5A31" w:rsidRPr="00392FFD" w:rsidTr="00672D2A">
        <w:tc>
          <w:tcPr>
            <w:tcW w:w="1506" w:type="dxa"/>
          </w:tcPr>
          <w:p w:rsidR="00DE5A31" w:rsidRPr="00392FFD" w:rsidRDefault="00DE5A31" w:rsidP="00FD239F">
            <w:pPr>
              <w:pStyle w:val="InstructionsText"/>
            </w:pPr>
            <w:r>
              <w:t>431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w:t>
            </w:r>
            <w:r w:rsidR="004172A8">
              <w:rPr>
                <w:rStyle w:val="InstructionsTabelleberschrift"/>
                <w:rFonts w:ascii="Times New Roman" w:hAnsi="Times New Roman"/>
                <w:sz w:val="24"/>
              </w:rPr>
              <w:tab/>
            </w:r>
            <w:r>
              <w:rPr>
                <w:rStyle w:val="InstructionsTabelleberschrift"/>
                <w:rFonts w:ascii="Times New Roman" w:hAnsi="Times New Roman"/>
                <w:sz w:val="24"/>
              </w:rPr>
              <w:t>Détentions synthétiques de fonds propres T2 d'entités du se</w:t>
            </w:r>
            <w:r>
              <w:rPr>
                <w:rStyle w:val="InstructionsTabelleberschrift"/>
                <w:rFonts w:ascii="Times New Roman" w:hAnsi="Times New Roman"/>
                <w:sz w:val="24"/>
              </w:rPr>
              <w:t>c</w:t>
            </w:r>
            <w:r>
              <w:rPr>
                <w:rStyle w:val="InstructionsTabelleberschrift"/>
                <w:rFonts w:ascii="Times New Roman" w:hAnsi="Times New Roman"/>
                <w:sz w:val="24"/>
              </w:rPr>
              <w:t>teur financier dans lesquelles l'établissement ne détient pas d'inve</w:t>
            </w:r>
            <w:r>
              <w:rPr>
                <w:rStyle w:val="InstructionsTabelleberschrift"/>
                <w:rFonts w:ascii="Times New Roman" w:hAnsi="Times New Roman"/>
                <w:sz w:val="24"/>
              </w:rPr>
              <w:t>s</w:t>
            </w:r>
            <w:r>
              <w:rPr>
                <w:rStyle w:val="InstructionsTabelleberschrift"/>
                <w:rFonts w:ascii="Times New Roman" w:hAnsi="Times New Roman"/>
                <w:sz w:val="24"/>
              </w:rPr>
              <w:t>tissement important</w:t>
            </w:r>
          </w:p>
          <w:p w:rsidR="005643EA" w:rsidRPr="00392FFD" w:rsidRDefault="00805255" w:rsidP="00FD239F">
            <w:pPr>
              <w:pStyle w:val="InstructionsText"/>
              <w:rPr>
                <w:rStyle w:val="InstructionsTabelleberschrift"/>
                <w:rFonts w:ascii="Times New Roman" w:hAnsi="Times New Roman"/>
                <w:sz w:val="24"/>
              </w:rPr>
            </w:pPr>
            <w:r>
              <w:t>Article 4, paragraphe 1, point 126, et articles 68 et 69 du CRR.</w:t>
            </w:r>
          </w:p>
        </w:tc>
      </w:tr>
      <w:tr w:rsidR="00DE5A31" w:rsidRPr="00392FFD" w:rsidTr="00672D2A">
        <w:tc>
          <w:tcPr>
            <w:tcW w:w="1506" w:type="dxa"/>
          </w:tcPr>
          <w:p w:rsidR="00DE5A31" w:rsidRPr="00392FFD" w:rsidRDefault="00DE5A31" w:rsidP="00FD239F">
            <w:pPr>
              <w:pStyle w:val="InstructionsText"/>
            </w:pPr>
            <w:r>
              <w:t>432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14.3.1</w:t>
            </w:r>
            <w:r w:rsidR="004172A8">
              <w:rPr>
                <w:rStyle w:val="InstructionsTabelleberschrift"/>
                <w:rFonts w:ascii="Times New Roman" w:hAnsi="Times New Roman"/>
                <w:sz w:val="24"/>
              </w:rPr>
              <w:tab/>
            </w:r>
            <w:r>
              <w:rPr>
                <w:rStyle w:val="InstructionsTabelleberschrift"/>
                <w:rFonts w:ascii="Times New Roman" w:hAnsi="Times New Roman"/>
                <w:sz w:val="24"/>
              </w:rPr>
              <w:t>Détentions synthétiques brutes de fonds propres T2 d'entités du secteur financier dans lesquelles l'établissement ne détient pas d'investissement important</w:t>
            </w:r>
          </w:p>
          <w:p w:rsidR="005643EA" w:rsidRPr="00201704" w:rsidRDefault="00805255" w:rsidP="00FD239F">
            <w:pPr>
              <w:pStyle w:val="InstructionsText"/>
              <w:rPr>
                <w:rStyle w:val="InstructionsTabelleberschrift"/>
                <w:rFonts w:ascii="Times New Roman" w:hAnsi="Times New Roman"/>
                <w:b w:val="0"/>
                <w:bCs w:val="0"/>
                <w:sz w:val="24"/>
                <w:u w:val="none"/>
              </w:rPr>
            </w:pPr>
            <w:r>
              <w:t>Article 4, paragraphe 1, point 126, et articles 68 et 69 du CRR.</w:t>
            </w:r>
          </w:p>
        </w:tc>
      </w:tr>
      <w:tr w:rsidR="00DE5A31" w:rsidRPr="00392FFD" w:rsidTr="00672D2A">
        <w:tc>
          <w:tcPr>
            <w:tcW w:w="1506" w:type="dxa"/>
          </w:tcPr>
          <w:p w:rsidR="00DE5A31" w:rsidRPr="00392FFD" w:rsidRDefault="00DE5A31" w:rsidP="00FD239F">
            <w:pPr>
              <w:pStyle w:val="InstructionsText"/>
            </w:pPr>
            <w:r>
              <w:lastRenderedPageBreak/>
              <w:t>433</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14.3.2</w:t>
            </w:r>
            <w:r w:rsidR="004172A8">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synthétiques figurant ci-dessus</w:t>
            </w:r>
          </w:p>
          <w:p w:rsidR="005643EA" w:rsidRPr="00201704" w:rsidRDefault="00805255" w:rsidP="00FD239F">
            <w:pPr>
              <w:pStyle w:val="InstructionsText"/>
              <w:rPr>
                <w:rStyle w:val="InstructionsTabelleberschrift"/>
                <w:rFonts w:ascii="Times New Roman" w:hAnsi="Times New Roman"/>
                <w:b w:val="0"/>
                <w:bCs w:val="0"/>
                <w:sz w:val="24"/>
                <w:u w:val="none"/>
              </w:rPr>
            </w:pPr>
            <w:r>
              <w:t>Article 4, paragraphe 1, point 126, et article 69 du CRR</w:t>
            </w:r>
          </w:p>
        </w:tc>
      </w:tr>
      <w:tr w:rsidR="002648B0" w:rsidRPr="00392FFD" w:rsidTr="00672D2A">
        <w:tc>
          <w:tcPr>
            <w:tcW w:w="1506" w:type="dxa"/>
          </w:tcPr>
          <w:p w:rsidR="002648B0" w:rsidRPr="00392FFD" w:rsidRDefault="002648B0" w:rsidP="00FD239F">
            <w:pPr>
              <w:pStyle w:val="InstructionsText"/>
            </w:pPr>
            <w:r>
              <w:t>440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w:t>
            </w:r>
            <w:r w:rsidR="004172A8">
              <w:rPr>
                <w:rStyle w:val="InstructionsTabelleberschrift"/>
                <w:rFonts w:ascii="Times New Roman" w:hAnsi="Times New Roman"/>
                <w:sz w:val="24"/>
              </w:rPr>
              <w:tab/>
            </w:r>
            <w:r>
              <w:rPr>
                <w:rStyle w:val="InstructionsTabelleberschrift"/>
                <w:rFonts w:ascii="Times New Roman" w:hAnsi="Times New Roman"/>
                <w:sz w:val="24"/>
              </w:rPr>
              <w:t>Détentions de fonds propres CET1 d'entités du secteur fina</w:t>
            </w:r>
            <w:r>
              <w:rPr>
                <w:rStyle w:val="InstructionsTabelleberschrift"/>
                <w:rFonts w:ascii="Times New Roman" w:hAnsi="Times New Roman"/>
                <w:sz w:val="24"/>
              </w:rPr>
              <w:t>n</w:t>
            </w:r>
            <w:r>
              <w:rPr>
                <w:rStyle w:val="InstructionsTabelleberschrift"/>
                <w:rFonts w:ascii="Times New Roman" w:hAnsi="Times New Roman"/>
                <w:sz w:val="24"/>
              </w:rPr>
              <w:t>cier dans lesquelles l'établissement détient un investissement impo</w:t>
            </w:r>
            <w:r>
              <w:rPr>
                <w:rStyle w:val="InstructionsTabelleberschrift"/>
                <w:rFonts w:ascii="Times New Roman" w:hAnsi="Times New Roman"/>
                <w:sz w:val="24"/>
              </w:rPr>
              <w:t>r</w:t>
            </w:r>
            <w:r>
              <w:rPr>
                <w:rStyle w:val="InstructionsTabelleberschrift"/>
                <w:rFonts w:ascii="Times New Roman" w:hAnsi="Times New Roman"/>
                <w:sz w:val="24"/>
              </w:rPr>
              <w:t>tant, nettes des positions courtes</w:t>
            </w:r>
          </w:p>
          <w:p w:rsidR="005643EA" w:rsidRPr="00392FFD" w:rsidRDefault="002648B0" w:rsidP="00FD239F">
            <w:pPr>
              <w:pStyle w:val="InstructionsText"/>
            </w:pPr>
            <w:r>
              <w:t>Articles 44, 45, 47 et 49 du CRR</w:t>
            </w:r>
          </w:p>
        </w:tc>
      </w:tr>
      <w:tr w:rsidR="002648B0" w:rsidRPr="00392FFD" w:rsidTr="00672D2A">
        <w:tc>
          <w:tcPr>
            <w:tcW w:w="1506" w:type="dxa"/>
          </w:tcPr>
          <w:p w:rsidR="002648B0" w:rsidRPr="00392FFD" w:rsidRDefault="008F54B0" w:rsidP="00FD239F">
            <w:pPr>
              <w:pStyle w:val="InstructionsText"/>
            </w:pPr>
            <w:r>
              <w:t>450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w:t>
            </w:r>
            <w:r w:rsidR="004172A8">
              <w:rPr>
                <w:rStyle w:val="InstructionsTabelleberschrift"/>
                <w:rFonts w:ascii="Times New Roman" w:hAnsi="Times New Roman"/>
                <w:sz w:val="24"/>
              </w:rPr>
              <w:tab/>
            </w:r>
            <w:r>
              <w:rPr>
                <w:rStyle w:val="InstructionsTabelleberschrift"/>
                <w:rFonts w:ascii="Times New Roman" w:hAnsi="Times New Roman"/>
                <w:sz w:val="24"/>
              </w:rPr>
              <w:t>Détentions directes de fonds propres CET1 d'entités du se</w:t>
            </w:r>
            <w:r>
              <w:rPr>
                <w:rStyle w:val="InstructionsTabelleberschrift"/>
                <w:rFonts w:ascii="Times New Roman" w:hAnsi="Times New Roman"/>
                <w:sz w:val="24"/>
              </w:rPr>
              <w:t>c</w:t>
            </w:r>
            <w:r>
              <w:rPr>
                <w:rStyle w:val="InstructionsTabelleberschrift"/>
                <w:rFonts w:ascii="Times New Roman" w:hAnsi="Times New Roman"/>
                <w:sz w:val="24"/>
              </w:rPr>
              <w:t>teur financier dans lesquelles l'établissement détient un investiss</w:t>
            </w:r>
            <w:r>
              <w:rPr>
                <w:rStyle w:val="InstructionsTabelleberschrift"/>
                <w:rFonts w:ascii="Times New Roman" w:hAnsi="Times New Roman"/>
                <w:sz w:val="24"/>
              </w:rPr>
              <w:t>e</w:t>
            </w:r>
            <w:r>
              <w:rPr>
                <w:rStyle w:val="InstructionsTabelleberschrift"/>
                <w:rFonts w:ascii="Times New Roman" w:hAnsi="Times New Roman"/>
                <w:sz w:val="24"/>
              </w:rPr>
              <w:t>ment important</w:t>
            </w:r>
          </w:p>
          <w:p w:rsidR="005643EA" w:rsidRPr="00392FFD" w:rsidRDefault="002648B0" w:rsidP="00FD239F">
            <w:pPr>
              <w:pStyle w:val="InstructionsText"/>
            </w:pPr>
            <w:r>
              <w:t>Articles 44, 45, 47 et 49 du CRR</w:t>
            </w:r>
          </w:p>
        </w:tc>
      </w:tr>
      <w:tr w:rsidR="002648B0" w:rsidRPr="00392FFD" w:rsidTr="00672D2A">
        <w:tc>
          <w:tcPr>
            <w:tcW w:w="1506" w:type="dxa"/>
          </w:tcPr>
          <w:p w:rsidR="002648B0" w:rsidRPr="00392FFD" w:rsidRDefault="008F54B0" w:rsidP="00FD239F">
            <w:pPr>
              <w:pStyle w:val="InstructionsText"/>
            </w:pPr>
            <w:r>
              <w:t>460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15.1.1</w:t>
            </w:r>
            <w:r w:rsidR="004172A8">
              <w:rPr>
                <w:rStyle w:val="InstructionsTabelleberschrift"/>
                <w:rFonts w:ascii="Times New Roman" w:hAnsi="Times New Roman"/>
                <w:sz w:val="24"/>
              </w:rPr>
              <w:tab/>
            </w:r>
            <w:r>
              <w:rPr>
                <w:rStyle w:val="InstructionsTabelleberschrift"/>
                <w:rFonts w:ascii="Times New Roman" w:hAnsi="Times New Roman"/>
                <w:sz w:val="24"/>
              </w:rPr>
              <w:t>Détentions directes brutes de fonds propres CET1 d'entités du secteur financier dans lesquelles l'établissement détient un inve</w:t>
            </w:r>
            <w:r>
              <w:rPr>
                <w:rStyle w:val="InstructionsTabelleberschrift"/>
                <w:rFonts w:ascii="Times New Roman" w:hAnsi="Times New Roman"/>
                <w:sz w:val="24"/>
              </w:rPr>
              <w:t>s</w:t>
            </w:r>
            <w:r>
              <w:rPr>
                <w:rStyle w:val="InstructionsTabelleberschrift"/>
                <w:rFonts w:ascii="Times New Roman" w:hAnsi="Times New Roman"/>
                <w:sz w:val="24"/>
              </w:rPr>
              <w:t>tissement important</w:t>
            </w:r>
          </w:p>
          <w:p w:rsidR="005643EA" w:rsidRPr="00392FFD" w:rsidRDefault="002648B0" w:rsidP="00FD239F">
            <w:pPr>
              <w:pStyle w:val="InstructionsText"/>
            </w:pPr>
            <w:r>
              <w:t>Articles 44, 45, 47 et 49 du CRR</w:t>
            </w:r>
          </w:p>
          <w:p w:rsidR="005643EA" w:rsidRPr="00392FFD" w:rsidRDefault="002648B0" w:rsidP="00FD239F">
            <w:pPr>
              <w:pStyle w:val="InstructionsText"/>
            </w:pPr>
            <w:r>
              <w:t>Détentions directes d'instruments de fonds propres de base de catégorie 1 d'entités du secteur financier dans lesquelles l'établissement possède un investissement important, à l'exclusion:</w:t>
            </w:r>
          </w:p>
          <w:p w:rsidR="005643EA" w:rsidRPr="00392FFD" w:rsidRDefault="002648B0" w:rsidP="00FD239F">
            <w:pPr>
              <w:pStyle w:val="InstructionsText"/>
            </w:pPr>
            <w:r>
              <w:t>a)</w:t>
            </w:r>
            <w:r>
              <w:tab/>
              <w:t>des positions de prise ferme détenues pendant cinq jours o</w:t>
            </w:r>
            <w:r>
              <w:t>u</w:t>
            </w:r>
            <w:r>
              <w:t xml:space="preserve">vrables ou moins; </w:t>
            </w:r>
          </w:p>
          <w:p w:rsidR="005643EA" w:rsidRPr="00392FFD" w:rsidRDefault="002648B0" w:rsidP="00FD239F">
            <w:pPr>
              <w:pStyle w:val="InstructionsText"/>
            </w:pPr>
            <w:r>
              <w:t>b)</w:t>
            </w:r>
            <w:r>
              <w:tab/>
              <w:t>des montants relatifs aux investissements pour lesquels on a</w:t>
            </w:r>
            <w:r>
              <w:t>p</w:t>
            </w:r>
            <w:r>
              <w:t xml:space="preserve">plique une alternative à la déduction visée à l'article 49; et </w:t>
            </w:r>
          </w:p>
          <w:p w:rsidR="005643EA" w:rsidRPr="00392FFD" w:rsidRDefault="002648B0" w:rsidP="00FD239F">
            <w:pPr>
              <w:pStyle w:val="InstructionsText"/>
            </w:pPr>
            <w:r>
              <w:t>c)</w:t>
            </w:r>
            <w:r>
              <w:tab/>
              <w:t>des détentions traitées comme des détentions croisées conform</w:t>
            </w:r>
            <w:r>
              <w:t>é</w:t>
            </w:r>
            <w:r>
              <w:t>ment à l'article 36, paragraphe 1, point g), du CRR.</w:t>
            </w:r>
          </w:p>
        </w:tc>
      </w:tr>
      <w:tr w:rsidR="002648B0" w:rsidRPr="00392FFD" w:rsidTr="00672D2A">
        <w:tc>
          <w:tcPr>
            <w:tcW w:w="1506" w:type="dxa"/>
          </w:tcPr>
          <w:p w:rsidR="002648B0" w:rsidRPr="00392FFD" w:rsidRDefault="002648B0" w:rsidP="00FD239F">
            <w:pPr>
              <w:pStyle w:val="InstructionsText"/>
            </w:pPr>
            <w:r>
              <w:t>470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15.1.2</w:t>
            </w:r>
            <w:r w:rsidR="004172A8">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directes figurant ci-dessus</w:t>
            </w:r>
          </w:p>
          <w:p w:rsidR="005643EA" w:rsidRPr="00392FFD" w:rsidRDefault="002648B0" w:rsidP="00FD239F">
            <w:pPr>
              <w:pStyle w:val="InstructionsText"/>
            </w:pPr>
            <w:r>
              <w:t>Article 45 du CRR</w:t>
            </w:r>
          </w:p>
          <w:p w:rsidR="005643EA" w:rsidRPr="00392FFD" w:rsidRDefault="002648B0" w:rsidP="00FD239F">
            <w:pPr>
              <w:pStyle w:val="InstructionsText"/>
            </w:pPr>
            <w:r>
              <w:t>L'article 45, point a), du CRR autorise la compensation de positions courtes sur la même exposition sous-jacente, pour autant que l'échéance de la position courte soit identique à celle de la position longue ou que l'échéance résiduelle soit d'au moins un an.</w:t>
            </w:r>
          </w:p>
        </w:tc>
      </w:tr>
      <w:tr w:rsidR="002648B0" w:rsidRPr="00392FFD" w:rsidTr="00672D2A">
        <w:tc>
          <w:tcPr>
            <w:tcW w:w="1506" w:type="dxa"/>
          </w:tcPr>
          <w:p w:rsidR="002648B0" w:rsidRPr="00392FFD" w:rsidRDefault="002648B0" w:rsidP="00FD239F">
            <w:pPr>
              <w:pStyle w:val="InstructionsText"/>
            </w:pPr>
            <w:r>
              <w:t>480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w:t>
            </w:r>
            <w:r w:rsidR="004172A8">
              <w:rPr>
                <w:rStyle w:val="InstructionsTabelleberschrift"/>
                <w:rFonts w:ascii="Times New Roman" w:hAnsi="Times New Roman"/>
                <w:sz w:val="24"/>
              </w:rPr>
              <w:tab/>
            </w:r>
            <w:r>
              <w:rPr>
                <w:rStyle w:val="InstructionsTabelleberschrift"/>
                <w:rFonts w:ascii="Times New Roman" w:hAnsi="Times New Roman"/>
                <w:sz w:val="24"/>
              </w:rPr>
              <w:t>Détentions indirectes de fonds propres CET1 d'entités du se</w:t>
            </w:r>
            <w:r>
              <w:rPr>
                <w:rStyle w:val="InstructionsTabelleberschrift"/>
                <w:rFonts w:ascii="Times New Roman" w:hAnsi="Times New Roman"/>
                <w:sz w:val="24"/>
              </w:rPr>
              <w:t>c</w:t>
            </w:r>
            <w:r>
              <w:rPr>
                <w:rStyle w:val="InstructionsTabelleberschrift"/>
                <w:rFonts w:ascii="Times New Roman" w:hAnsi="Times New Roman"/>
                <w:sz w:val="24"/>
              </w:rPr>
              <w:t>teur financier dans lesquelles l'établissement détient un investiss</w:t>
            </w:r>
            <w:r>
              <w:rPr>
                <w:rStyle w:val="InstructionsTabelleberschrift"/>
                <w:rFonts w:ascii="Times New Roman" w:hAnsi="Times New Roman"/>
                <w:sz w:val="24"/>
              </w:rPr>
              <w:t>e</w:t>
            </w:r>
            <w:r>
              <w:rPr>
                <w:rStyle w:val="InstructionsTabelleberschrift"/>
                <w:rFonts w:ascii="Times New Roman" w:hAnsi="Times New Roman"/>
                <w:sz w:val="24"/>
              </w:rPr>
              <w:t>ment important</w:t>
            </w:r>
          </w:p>
          <w:p w:rsidR="005643EA" w:rsidRPr="00392FFD" w:rsidRDefault="002648B0" w:rsidP="00FD239F">
            <w:pPr>
              <w:pStyle w:val="InstructionsText"/>
            </w:pPr>
            <w:r>
              <w:t>Article 4, paragraphe 1, point 114, et articles 44 et 45 du CRR.</w:t>
            </w:r>
          </w:p>
        </w:tc>
      </w:tr>
      <w:tr w:rsidR="002648B0" w:rsidRPr="00392FFD" w:rsidTr="00672D2A">
        <w:tc>
          <w:tcPr>
            <w:tcW w:w="1506" w:type="dxa"/>
          </w:tcPr>
          <w:p w:rsidR="002648B0" w:rsidRPr="00392FFD" w:rsidRDefault="002648B0" w:rsidP="00FD239F">
            <w:pPr>
              <w:pStyle w:val="InstructionsText"/>
            </w:pPr>
            <w:r>
              <w:t>490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15.2.1</w:t>
            </w:r>
            <w:r w:rsidR="004172A8">
              <w:rPr>
                <w:rStyle w:val="InstructionsTabelleberschrift"/>
                <w:rFonts w:ascii="Times New Roman" w:hAnsi="Times New Roman"/>
                <w:sz w:val="24"/>
              </w:rPr>
              <w:tab/>
            </w:r>
            <w:r>
              <w:rPr>
                <w:rStyle w:val="InstructionsTabelleberschrift"/>
                <w:rFonts w:ascii="Times New Roman" w:hAnsi="Times New Roman"/>
                <w:sz w:val="24"/>
              </w:rPr>
              <w:t>Détentions indirectes brutes de fonds propres CET1 d'entités du secteur financier dans lesquelles l'établissement détient un inve</w:t>
            </w:r>
            <w:r>
              <w:rPr>
                <w:rStyle w:val="InstructionsTabelleberschrift"/>
                <w:rFonts w:ascii="Times New Roman" w:hAnsi="Times New Roman"/>
                <w:sz w:val="24"/>
              </w:rPr>
              <w:t>s</w:t>
            </w:r>
            <w:r>
              <w:rPr>
                <w:rStyle w:val="InstructionsTabelleberschrift"/>
                <w:rFonts w:ascii="Times New Roman" w:hAnsi="Times New Roman"/>
                <w:sz w:val="24"/>
              </w:rPr>
              <w:t>tissement important</w:t>
            </w:r>
          </w:p>
          <w:p w:rsidR="005643EA" w:rsidRPr="00392FFD" w:rsidRDefault="002648B0" w:rsidP="00FD239F">
            <w:pPr>
              <w:pStyle w:val="InstructionsText"/>
            </w:pPr>
            <w:r>
              <w:t>Article 4, paragraphe 1, point 114, et articles 44 et 45 du CRR.</w:t>
            </w:r>
          </w:p>
          <w:p w:rsidR="005643EA" w:rsidRPr="00392FFD" w:rsidRDefault="002648B0" w:rsidP="00FD239F">
            <w:pPr>
              <w:pStyle w:val="InstructionsText"/>
            </w:pPr>
            <w:r>
              <w:t>Le montant à déclarer correspond aux détentions indirectes dans le po</w:t>
            </w:r>
            <w:r>
              <w:t>r</w:t>
            </w:r>
            <w:r>
              <w:t>tefeuille de négociation d'instruments de capital d'entités du secteur f</w:t>
            </w:r>
            <w:r>
              <w:t>i</w:t>
            </w:r>
            <w:r>
              <w:t xml:space="preserve">nancier qui prennent la forme de détentions dans des titres indiciels. On </w:t>
            </w:r>
            <w:r>
              <w:lastRenderedPageBreak/>
              <w:t>obtient ce montant en calculant l'exposition sous-jacente sur les instr</w:t>
            </w:r>
            <w:r>
              <w:t>u</w:t>
            </w:r>
            <w:r>
              <w:t>ments de capital des entités du secteur financier faisant partie de ces i</w:t>
            </w:r>
            <w:r>
              <w:t>n</w:t>
            </w:r>
            <w:r>
              <w:t>dices.</w:t>
            </w:r>
          </w:p>
          <w:p w:rsidR="005643EA" w:rsidRPr="00392FFD" w:rsidRDefault="002648B0" w:rsidP="00FD239F">
            <w:pPr>
              <w:pStyle w:val="InstructionsText"/>
            </w:pPr>
            <w:r>
              <w:t>Les détentions traitées comme des détentions croisées conformément à l'article 36, paragraphe 1, point g), du CRR ne seront pas incluses.</w:t>
            </w:r>
          </w:p>
        </w:tc>
      </w:tr>
      <w:tr w:rsidR="002648B0" w:rsidRPr="00392FFD" w:rsidTr="00672D2A">
        <w:tc>
          <w:tcPr>
            <w:tcW w:w="1506" w:type="dxa"/>
          </w:tcPr>
          <w:p w:rsidR="002648B0" w:rsidRPr="00392FFD" w:rsidRDefault="002648B0" w:rsidP="00FD239F">
            <w:pPr>
              <w:pStyle w:val="InstructionsText"/>
            </w:pPr>
            <w:r>
              <w:lastRenderedPageBreak/>
              <w:t>500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15.2.2</w:t>
            </w:r>
            <w:r w:rsidR="002963A4">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indirectes figurant ci-dessus</w:t>
            </w:r>
          </w:p>
          <w:p w:rsidR="005643EA" w:rsidRPr="00392FFD" w:rsidRDefault="002648B0" w:rsidP="00FD239F">
            <w:pPr>
              <w:pStyle w:val="InstructionsText"/>
            </w:pPr>
            <w:r>
              <w:t>Article 4, paragraphe 1, point 114, et article 45 du CRR</w:t>
            </w:r>
          </w:p>
          <w:p w:rsidR="005643EA" w:rsidRPr="00392FFD" w:rsidRDefault="002648B0" w:rsidP="00FD239F">
            <w:pPr>
              <w:pStyle w:val="InstructionsText"/>
            </w:pPr>
            <w:r>
              <w:t>L'article 45, point a), du CRR autorise la compensation de positions courtes sur la même exposition sous-jacente, pour autant que l'échéance de la position courte soit identique à celle de la position longue ou que l'échéance résiduelle soit d'au moins un an.</w:t>
            </w:r>
          </w:p>
        </w:tc>
      </w:tr>
      <w:tr w:rsidR="00DE5A31" w:rsidRPr="00392FFD" w:rsidTr="00672D2A">
        <w:tc>
          <w:tcPr>
            <w:tcW w:w="1506" w:type="dxa"/>
          </w:tcPr>
          <w:p w:rsidR="00DE5A31" w:rsidRPr="00392FFD" w:rsidRDefault="00DE5A31" w:rsidP="00FD239F">
            <w:pPr>
              <w:pStyle w:val="InstructionsText"/>
            </w:pPr>
            <w:r>
              <w:t>501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w:t>
            </w:r>
            <w:r w:rsidR="002963A4">
              <w:rPr>
                <w:rStyle w:val="InstructionsTabelleberschrift"/>
                <w:rFonts w:ascii="Times New Roman" w:hAnsi="Times New Roman"/>
                <w:sz w:val="24"/>
              </w:rPr>
              <w:tab/>
            </w:r>
            <w:r>
              <w:rPr>
                <w:rStyle w:val="InstructionsTabelleberschrift"/>
                <w:rFonts w:ascii="Times New Roman" w:hAnsi="Times New Roman"/>
                <w:sz w:val="24"/>
              </w:rPr>
              <w:t>Détentions synthétiques de fonds propres CET1 d'entités du secteur financier dans lesquelles l'établissement détient un investi</w:t>
            </w:r>
            <w:r>
              <w:rPr>
                <w:rStyle w:val="InstructionsTabelleberschrift"/>
                <w:rFonts w:ascii="Times New Roman" w:hAnsi="Times New Roman"/>
                <w:sz w:val="24"/>
              </w:rPr>
              <w:t>s</w:t>
            </w:r>
            <w:r>
              <w:rPr>
                <w:rStyle w:val="InstructionsTabelleberschrift"/>
                <w:rFonts w:ascii="Times New Roman" w:hAnsi="Times New Roman"/>
                <w:sz w:val="24"/>
              </w:rPr>
              <w:t>sement important</w:t>
            </w:r>
          </w:p>
          <w:p w:rsidR="005643EA" w:rsidRPr="00392FFD" w:rsidRDefault="00805255" w:rsidP="00FD239F">
            <w:pPr>
              <w:pStyle w:val="InstructionsText"/>
            </w:pPr>
            <w:r>
              <w:t>Article 4, paragraphe 1, point 126, et articles 44 et 45 du CRR.</w:t>
            </w:r>
          </w:p>
        </w:tc>
      </w:tr>
      <w:tr w:rsidR="00DE5A31" w:rsidRPr="00392FFD" w:rsidTr="00672D2A">
        <w:tc>
          <w:tcPr>
            <w:tcW w:w="1506" w:type="dxa"/>
          </w:tcPr>
          <w:p w:rsidR="00DE5A31" w:rsidRPr="00392FFD" w:rsidRDefault="00DE5A31" w:rsidP="00FD239F">
            <w:pPr>
              <w:pStyle w:val="InstructionsText"/>
            </w:pPr>
            <w:r>
              <w:t>502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15.3.1</w:t>
            </w:r>
            <w:r w:rsidR="002963A4">
              <w:rPr>
                <w:rStyle w:val="InstructionsTabelleberschrift"/>
                <w:rFonts w:ascii="Times New Roman" w:hAnsi="Times New Roman"/>
                <w:sz w:val="24"/>
              </w:rPr>
              <w:tab/>
            </w:r>
            <w:r>
              <w:rPr>
                <w:rStyle w:val="InstructionsTabelleberschrift"/>
                <w:rFonts w:ascii="Times New Roman" w:hAnsi="Times New Roman"/>
                <w:sz w:val="24"/>
              </w:rPr>
              <w:t>Détentions synthétiques brutes de fonds propres CET1 d'e</w:t>
            </w:r>
            <w:r>
              <w:rPr>
                <w:rStyle w:val="InstructionsTabelleberschrift"/>
                <w:rFonts w:ascii="Times New Roman" w:hAnsi="Times New Roman"/>
                <w:sz w:val="24"/>
              </w:rPr>
              <w:t>n</w:t>
            </w:r>
            <w:r>
              <w:rPr>
                <w:rStyle w:val="InstructionsTabelleberschrift"/>
                <w:rFonts w:ascii="Times New Roman" w:hAnsi="Times New Roman"/>
                <w:sz w:val="24"/>
              </w:rPr>
              <w:t>tités du secteur financier dans lesquelles l'établissement détient un investissement important</w:t>
            </w:r>
          </w:p>
          <w:p w:rsidR="005643EA" w:rsidRPr="00392FFD" w:rsidRDefault="00805255" w:rsidP="00FD239F">
            <w:pPr>
              <w:pStyle w:val="InstructionsText"/>
            </w:pPr>
            <w:r>
              <w:t>Article 4, paragraphe 1, point 126, et articles 44 et 45 du CRR.</w:t>
            </w:r>
          </w:p>
        </w:tc>
      </w:tr>
      <w:tr w:rsidR="00DE5A31" w:rsidRPr="00392FFD" w:rsidTr="00672D2A">
        <w:tc>
          <w:tcPr>
            <w:tcW w:w="1506" w:type="dxa"/>
          </w:tcPr>
          <w:p w:rsidR="00DE5A31" w:rsidRPr="00392FFD" w:rsidRDefault="00E81DB9" w:rsidP="00FD239F">
            <w:pPr>
              <w:pStyle w:val="InstructionsText"/>
            </w:pPr>
            <w:r>
              <w:t>503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15.3.2</w:t>
            </w:r>
            <w:r w:rsidR="002963A4">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synthétiques figurant ci-dessus</w:t>
            </w:r>
          </w:p>
          <w:p w:rsidR="005643EA" w:rsidRPr="00392FFD" w:rsidRDefault="00805255" w:rsidP="00FD239F">
            <w:pPr>
              <w:pStyle w:val="InstructionsText"/>
            </w:pPr>
            <w:r>
              <w:t>Article 4, paragraphe 1, point 126, et article 45 du CRR</w:t>
            </w:r>
          </w:p>
        </w:tc>
      </w:tr>
      <w:tr w:rsidR="002648B0" w:rsidRPr="00392FFD" w:rsidTr="00672D2A">
        <w:tc>
          <w:tcPr>
            <w:tcW w:w="1506" w:type="dxa"/>
          </w:tcPr>
          <w:p w:rsidR="002648B0" w:rsidRPr="00392FFD" w:rsidRDefault="002648B0" w:rsidP="00FD239F">
            <w:pPr>
              <w:pStyle w:val="InstructionsText"/>
            </w:pPr>
            <w:r>
              <w:t>510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 Détentions de fonds propres AT1 d'entités du secteur financier dans lesquelles l'établissement détient un investissement important, nettes des positions courtes</w:t>
            </w:r>
          </w:p>
          <w:p w:rsidR="005643EA" w:rsidRPr="00392FFD" w:rsidRDefault="002648B0" w:rsidP="00FD239F">
            <w:pPr>
              <w:pStyle w:val="InstructionsText"/>
            </w:pPr>
            <w:r>
              <w:t>Articles 58 et 59 du CRR</w:t>
            </w:r>
          </w:p>
        </w:tc>
      </w:tr>
      <w:tr w:rsidR="002648B0" w:rsidRPr="00392FFD" w:rsidTr="00672D2A">
        <w:tc>
          <w:tcPr>
            <w:tcW w:w="1506" w:type="dxa"/>
          </w:tcPr>
          <w:p w:rsidR="002648B0" w:rsidRPr="00392FFD" w:rsidRDefault="002648B0" w:rsidP="00FD239F">
            <w:pPr>
              <w:pStyle w:val="InstructionsText"/>
            </w:pPr>
            <w:r>
              <w:t>520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w:t>
            </w:r>
            <w:r w:rsidR="002963A4">
              <w:rPr>
                <w:rStyle w:val="InstructionsTabelleberschrift"/>
                <w:rFonts w:ascii="Times New Roman" w:hAnsi="Times New Roman"/>
                <w:sz w:val="24"/>
              </w:rPr>
              <w:tab/>
            </w:r>
            <w:r>
              <w:rPr>
                <w:rStyle w:val="InstructionsTabelleberschrift"/>
                <w:rFonts w:ascii="Times New Roman" w:hAnsi="Times New Roman"/>
                <w:sz w:val="24"/>
              </w:rPr>
              <w:t>Détentions directes de fonds propres AT1 d'entités du secteur financier dans lesquelles l'établissement détient un investissement important</w:t>
            </w:r>
          </w:p>
          <w:p w:rsidR="005643EA" w:rsidRPr="00392FFD" w:rsidRDefault="002648B0" w:rsidP="00FD239F">
            <w:pPr>
              <w:pStyle w:val="InstructionsText"/>
            </w:pPr>
            <w:r>
              <w:t>Articles 58 et 59 du CRR</w:t>
            </w:r>
          </w:p>
        </w:tc>
      </w:tr>
      <w:tr w:rsidR="002648B0" w:rsidRPr="00392FFD" w:rsidTr="00672D2A">
        <w:tc>
          <w:tcPr>
            <w:tcW w:w="1506" w:type="dxa"/>
          </w:tcPr>
          <w:p w:rsidR="002648B0" w:rsidRPr="00392FFD" w:rsidRDefault="002648B0" w:rsidP="00FD239F">
            <w:pPr>
              <w:pStyle w:val="InstructionsText"/>
            </w:pPr>
            <w:r>
              <w:t>530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16.1.1</w:t>
            </w:r>
            <w:r w:rsidR="002963A4">
              <w:rPr>
                <w:rStyle w:val="InstructionsTabelleberschrift"/>
                <w:rFonts w:ascii="Times New Roman" w:hAnsi="Times New Roman"/>
                <w:sz w:val="24"/>
              </w:rPr>
              <w:tab/>
            </w:r>
            <w:r>
              <w:rPr>
                <w:rStyle w:val="InstructionsTabelleberschrift"/>
                <w:rFonts w:ascii="Times New Roman" w:hAnsi="Times New Roman"/>
                <w:sz w:val="24"/>
              </w:rPr>
              <w:t>Détentions directes brutes de fonds propres AT1 d'entités du secteur financier dans lesquelles l'établissement détient un investi</w:t>
            </w:r>
            <w:r>
              <w:rPr>
                <w:rStyle w:val="InstructionsTabelleberschrift"/>
                <w:rFonts w:ascii="Times New Roman" w:hAnsi="Times New Roman"/>
                <w:sz w:val="24"/>
              </w:rPr>
              <w:t>s</w:t>
            </w:r>
            <w:r>
              <w:rPr>
                <w:rStyle w:val="InstructionsTabelleberschrift"/>
                <w:rFonts w:ascii="Times New Roman" w:hAnsi="Times New Roman"/>
                <w:sz w:val="24"/>
              </w:rPr>
              <w:t>sement important</w:t>
            </w:r>
          </w:p>
          <w:p w:rsidR="005643EA" w:rsidRPr="00392FFD" w:rsidRDefault="002648B0" w:rsidP="00FD239F">
            <w:pPr>
              <w:pStyle w:val="InstructionsText"/>
            </w:pPr>
            <w:r>
              <w:t>Article 58 du CRR</w:t>
            </w:r>
          </w:p>
          <w:p w:rsidR="005643EA" w:rsidRPr="00392FFD" w:rsidRDefault="002648B0" w:rsidP="00FD239F">
            <w:pPr>
              <w:pStyle w:val="InstructionsText"/>
            </w:pPr>
            <w:r>
              <w:t>Détentions directes d'instruments de fonds propres additionnels de cat</w:t>
            </w:r>
            <w:r>
              <w:t>é</w:t>
            </w:r>
            <w:r>
              <w:t>gorie 1 d'entités du secteur financier dans lesquelles l'établissement po</w:t>
            </w:r>
            <w:r>
              <w:t>s</w:t>
            </w:r>
            <w:r>
              <w:t>sède un investissement important, à l'exclusion:</w:t>
            </w:r>
          </w:p>
          <w:p w:rsidR="005643EA" w:rsidRPr="00392FFD" w:rsidRDefault="002648B0" w:rsidP="00FD239F">
            <w:pPr>
              <w:pStyle w:val="InstructionsText"/>
            </w:pPr>
            <w:r>
              <w:t>a)</w:t>
            </w:r>
            <w:r>
              <w:tab/>
              <w:t>des positions de prise ferme détenues pendant cinq jours o</w:t>
            </w:r>
            <w:r>
              <w:t>u</w:t>
            </w:r>
            <w:r>
              <w:t xml:space="preserve">vrables ou moins [article 56, point d)];  et </w:t>
            </w:r>
          </w:p>
          <w:p w:rsidR="005643EA" w:rsidRPr="00392FFD" w:rsidRDefault="002648B0" w:rsidP="00FD239F">
            <w:pPr>
              <w:pStyle w:val="InstructionsText"/>
            </w:pPr>
            <w:r>
              <w:t>b)</w:t>
            </w:r>
            <w:r>
              <w:tab/>
              <w:t>des détentions traitées comme des détentions croisées conform</w:t>
            </w:r>
            <w:r>
              <w:t>é</w:t>
            </w:r>
            <w:r>
              <w:lastRenderedPageBreak/>
              <w:t>ment à l'article 56, point b), du CRR.</w:t>
            </w:r>
          </w:p>
        </w:tc>
      </w:tr>
      <w:tr w:rsidR="002648B0" w:rsidRPr="00392FFD" w:rsidTr="00672D2A">
        <w:tc>
          <w:tcPr>
            <w:tcW w:w="1506" w:type="dxa"/>
          </w:tcPr>
          <w:p w:rsidR="002648B0" w:rsidRPr="00392FFD" w:rsidRDefault="002648B0" w:rsidP="00FD239F">
            <w:pPr>
              <w:pStyle w:val="InstructionsText"/>
            </w:pPr>
            <w:r>
              <w:lastRenderedPageBreak/>
              <w:t>540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16.1.2</w:t>
            </w:r>
            <w:r w:rsidR="002963A4">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directes figurant ci-dessus</w:t>
            </w:r>
          </w:p>
          <w:p w:rsidR="005643EA" w:rsidRPr="00392FFD" w:rsidRDefault="002648B0" w:rsidP="00FD239F">
            <w:pPr>
              <w:pStyle w:val="InstructionsText"/>
            </w:pPr>
            <w:r>
              <w:t>Article 59 du CRR</w:t>
            </w:r>
          </w:p>
          <w:p w:rsidR="005643EA" w:rsidRPr="00392FFD" w:rsidRDefault="002648B0" w:rsidP="00FD239F">
            <w:pPr>
              <w:pStyle w:val="InstructionsText"/>
            </w:pPr>
            <w:r>
              <w:t>L'article 59, point a), du CRR autorise la compensation de positions courtes sur la même exposition sous-jacente, pour autant que l'échéance de la position courte soit identique à celle de la position longue ou que l'échéance résiduelle soit d'au moins un an.</w:t>
            </w:r>
          </w:p>
        </w:tc>
      </w:tr>
      <w:tr w:rsidR="002648B0" w:rsidRPr="00392FFD" w:rsidTr="00672D2A">
        <w:tc>
          <w:tcPr>
            <w:tcW w:w="1506" w:type="dxa"/>
          </w:tcPr>
          <w:p w:rsidR="002648B0" w:rsidRPr="00392FFD" w:rsidRDefault="002648B0" w:rsidP="00FD239F">
            <w:pPr>
              <w:pStyle w:val="InstructionsText"/>
            </w:pPr>
            <w:r>
              <w:t>550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w:t>
            </w:r>
            <w:r w:rsidR="005B64CF">
              <w:rPr>
                <w:rStyle w:val="InstructionsTabelleberschrift"/>
                <w:rFonts w:ascii="Times New Roman" w:hAnsi="Times New Roman"/>
                <w:sz w:val="24"/>
              </w:rPr>
              <w:tab/>
            </w:r>
            <w:r>
              <w:rPr>
                <w:rStyle w:val="InstructionsTabelleberschrift"/>
                <w:rFonts w:ascii="Times New Roman" w:hAnsi="Times New Roman"/>
                <w:sz w:val="24"/>
              </w:rPr>
              <w:t>Détentions indirectes de fonds propres AT1 d'entités du se</w:t>
            </w:r>
            <w:r>
              <w:rPr>
                <w:rStyle w:val="InstructionsTabelleberschrift"/>
                <w:rFonts w:ascii="Times New Roman" w:hAnsi="Times New Roman"/>
                <w:sz w:val="24"/>
              </w:rPr>
              <w:t>c</w:t>
            </w:r>
            <w:r>
              <w:rPr>
                <w:rStyle w:val="InstructionsTabelleberschrift"/>
                <w:rFonts w:ascii="Times New Roman" w:hAnsi="Times New Roman"/>
                <w:sz w:val="24"/>
              </w:rPr>
              <w:t>teur financier dans lesquelles l'établissement détient un investiss</w:t>
            </w:r>
            <w:r>
              <w:rPr>
                <w:rStyle w:val="InstructionsTabelleberschrift"/>
                <w:rFonts w:ascii="Times New Roman" w:hAnsi="Times New Roman"/>
                <w:sz w:val="24"/>
              </w:rPr>
              <w:t>e</w:t>
            </w:r>
            <w:r>
              <w:rPr>
                <w:rStyle w:val="InstructionsTabelleberschrift"/>
                <w:rFonts w:ascii="Times New Roman" w:hAnsi="Times New Roman"/>
                <w:sz w:val="24"/>
              </w:rPr>
              <w:t>ment important</w:t>
            </w:r>
          </w:p>
          <w:p w:rsidR="005643EA" w:rsidRPr="00392FFD" w:rsidRDefault="002648B0" w:rsidP="00FD239F">
            <w:pPr>
              <w:pStyle w:val="InstructionsText"/>
            </w:pPr>
            <w:r>
              <w:t>Article 4, paragraphe 1, point 114, et articles 58 et 59 du CRR.</w:t>
            </w:r>
          </w:p>
        </w:tc>
      </w:tr>
      <w:tr w:rsidR="002648B0" w:rsidRPr="00392FFD" w:rsidTr="00672D2A">
        <w:tc>
          <w:tcPr>
            <w:tcW w:w="1506" w:type="dxa"/>
          </w:tcPr>
          <w:p w:rsidR="002648B0" w:rsidRPr="00392FFD" w:rsidRDefault="002648B0" w:rsidP="00FD239F">
            <w:pPr>
              <w:pStyle w:val="InstructionsText"/>
            </w:pPr>
            <w:r>
              <w:t>560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16.2.1</w:t>
            </w:r>
            <w:r w:rsidR="005B64CF">
              <w:rPr>
                <w:rStyle w:val="InstructionsTabelleberschrift"/>
                <w:rFonts w:ascii="Times New Roman" w:hAnsi="Times New Roman"/>
                <w:sz w:val="24"/>
              </w:rPr>
              <w:tab/>
            </w:r>
            <w:r>
              <w:rPr>
                <w:rStyle w:val="InstructionsTabelleberschrift"/>
                <w:rFonts w:ascii="Times New Roman" w:hAnsi="Times New Roman"/>
                <w:sz w:val="24"/>
              </w:rPr>
              <w:t>Détentions indirectes brutes de fonds propres AT1 d'entités du secteur financier dans lesquelles l'établissement détient un inve</w:t>
            </w:r>
            <w:r>
              <w:rPr>
                <w:rStyle w:val="InstructionsTabelleberschrift"/>
                <w:rFonts w:ascii="Times New Roman" w:hAnsi="Times New Roman"/>
                <w:sz w:val="24"/>
              </w:rPr>
              <w:t>s</w:t>
            </w:r>
            <w:r>
              <w:rPr>
                <w:rStyle w:val="InstructionsTabelleberschrift"/>
                <w:rFonts w:ascii="Times New Roman" w:hAnsi="Times New Roman"/>
                <w:sz w:val="24"/>
              </w:rPr>
              <w:t>tissement important</w:t>
            </w:r>
          </w:p>
          <w:p w:rsidR="005643EA" w:rsidRPr="00392FFD" w:rsidRDefault="002648B0" w:rsidP="00FD239F">
            <w:pPr>
              <w:pStyle w:val="InstructionsText"/>
            </w:pPr>
            <w:r>
              <w:t>Article 4, paragraphe 1, point 114, et articles 58 et 59 du CRR.</w:t>
            </w:r>
          </w:p>
          <w:p w:rsidR="005643EA" w:rsidRPr="00392FFD" w:rsidRDefault="002648B0" w:rsidP="00FD239F">
            <w:pPr>
              <w:pStyle w:val="InstructionsText"/>
            </w:pPr>
            <w:r>
              <w:t>Le montant à déclarer correspond aux détentions indirectes dans le po</w:t>
            </w:r>
            <w:r>
              <w:t>r</w:t>
            </w:r>
            <w:r>
              <w:t>tefeuille de négociation d'instruments de capital d'entités du secteur f</w:t>
            </w:r>
            <w:r>
              <w:t>i</w:t>
            </w:r>
            <w:r>
              <w:t>nancier qui prennent la forme de détentions dans des titres indiciels. On obtient ce montant en calculant l'exposition sous-jacente sur les instr</w:t>
            </w:r>
            <w:r>
              <w:t>u</w:t>
            </w:r>
            <w:r>
              <w:t>ments de capital des entités du secteur financier faisant partie de ces i</w:t>
            </w:r>
            <w:r>
              <w:t>n</w:t>
            </w:r>
            <w:r>
              <w:t>dices.</w:t>
            </w:r>
          </w:p>
          <w:p w:rsidR="005643EA" w:rsidRPr="00392FFD" w:rsidRDefault="002648B0" w:rsidP="00FD239F">
            <w:pPr>
              <w:pStyle w:val="InstructionsText"/>
            </w:pPr>
            <w:r>
              <w:t>Les détentions traitées comme des détentions croisées conformément à l'article 56, point b), du CRR ne seront pas incluses.</w:t>
            </w:r>
          </w:p>
        </w:tc>
      </w:tr>
      <w:tr w:rsidR="002648B0" w:rsidRPr="00392FFD" w:rsidTr="00672D2A">
        <w:tc>
          <w:tcPr>
            <w:tcW w:w="1506" w:type="dxa"/>
          </w:tcPr>
          <w:p w:rsidR="002648B0" w:rsidRPr="00392FFD" w:rsidRDefault="002648B0" w:rsidP="00FD239F">
            <w:pPr>
              <w:pStyle w:val="InstructionsText"/>
            </w:pPr>
            <w:r>
              <w:t>570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16.2.2</w:t>
            </w:r>
            <w:r w:rsidR="005B64CF">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indirectes figurant ci-dessus</w:t>
            </w:r>
          </w:p>
          <w:p w:rsidR="005643EA" w:rsidRPr="00392FFD" w:rsidRDefault="002648B0" w:rsidP="00FD239F">
            <w:pPr>
              <w:pStyle w:val="InstructionsText"/>
            </w:pPr>
            <w:r>
              <w:t>Article 4, paragraphe 1, point 114), et article 59 du CRR</w:t>
            </w:r>
          </w:p>
          <w:p w:rsidR="005643EA" w:rsidRPr="00392FFD" w:rsidRDefault="002648B0" w:rsidP="00FD239F">
            <w:pPr>
              <w:pStyle w:val="InstructionsText"/>
            </w:pPr>
            <w:r>
              <w:t>L'article 59, point a), du CRR autorise la compensation de positions courtes sur la même exposition sous-jacente, pour autant que l'échéance de la position courte soit identique à celle de la position longue ou que l'échéance résiduelle soit d'au moins un an.</w:t>
            </w:r>
          </w:p>
        </w:tc>
      </w:tr>
      <w:tr w:rsidR="00E81DB9" w:rsidRPr="00392FFD" w:rsidTr="00672D2A">
        <w:tc>
          <w:tcPr>
            <w:tcW w:w="1506" w:type="dxa"/>
          </w:tcPr>
          <w:p w:rsidR="00E81DB9" w:rsidRPr="00392FFD" w:rsidRDefault="00E81DB9" w:rsidP="00FD239F">
            <w:pPr>
              <w:pStyle w:val="InstructionsText"/>
            </w:pPr>
            <w:r>
              <w:t>571</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w:t>
            </w:r>
            <w:r w:rsidR="005B64CF">
              <w:rPr>
                <w:rStyle w:val="InstructionsTabelleberschrift"/>
                <w:rFonts w:ascii="Times New Roman" w:hAnsi="Times New Roman"/>
                <w:sz w:val="24"/>
              </w:rPr>
              <w:tab/>
            </w:r>
            <w:r>
              <w:rPr>
                <w:rStyle w:val="InstructionsTabelleberschrift"/>
                <w:rFonts w:ascii="Times New Roman" w:hAnsi="Times New Roman"/>
                <w:sz w:val="24"/>
              </w:rPr>
              <w:t>Détentions synthétiques de fonds propres AT1 d'entités du secteur financier dans lesquelles l'établissement détient un investi</w:t>
            </w:r>
            <w:r>
              <w:rPr>
                <w:rStyle w:val="InstructionsTabelleberschrift"/>
                <w:rFonts w:ascii="Times New Roman" w:hAnsi="Times New Roman"/>
                <w:sz w:val="24"/>
              </w:rPr>
              <w:t>s</w:t>
            </w:r>
            <w:r>
              <w:rPr>
                <w:rStyle w:val="InstructionsTabelleberschrift"/>
                <w:rFonts w:ascii="Times New Roman" w:hAnsi="Times New Roman"/>
                <w:sz w:val="24"/>
              </w:rPr>
              <w:t>sement important</w:t>
            </w:r>
          </w:p>
          <w:p w:rsidR="005643EA" w:rsidRPr="00201704" w:rsidRDefault="00E81DB9" w:rsidP="00FD239F">
            <w:pPr>
              <w:pStyle w:val="InstructionsText"/>
              <w:rPr>
                <w:rStyle w:val="InstructionsTabelleberschrift"/>
                <w:rFonts w:ascii="Times New Roman" w:hAnsi="Times New Roman"/>
                <w:b w:val="0"/>
                <w:bCs w:val="0"/>
                <w:sz w:val="24"/>
                <w:u w:val="none"/>
              </w:rPr>
            </w:pPr>
            <w:r>
              <w:t>Article 4, paragraphe 1, point 126, et articles 58 et 59 du CRR.</w:t>
            </w:r>
          </w:p>
        </w:tc>
      </w:tr>
      <w:tr w:rsidR="00E81DB9" w:rsidRPr="00392FFD" w:rsidTr="00672D2A">
        <w:tc>
          <w:tcPr>
            <w:tcW w:w="1506" w:type="dxa"/>
          </w:tcPr>
          <w:p w:rsidR="00E81DB9" w:rsidRPr="00392FFD" w:rsidRDefault="00E81DB9" w:rsidP="00FD239F">
            <w:pPr>
              <w:pStyle w:val="InstructionsText"/>
            </w:pPr>
            <w:r>
              <w:t>572</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16.3.1</w:t>
            </w:r>
            <w:r w:rsidR="005B64CF">
              <w:rPr>
                <w:rStyle w:val="InstructionsTabelleberschrift"/>
                <w:rFonts w:ascii="Times New Roman" w:hAnsi="Times New Roman"/>
                <w:sz w:val="24"/>
              </w:rPr>
              <w:tab/>
            </w:r>
            <w:r>
              <w:rPr>
                <w:rStyle w:val="InstructionsTabelleberschrift"/>
                <w:rFonts w:ascii="Times New Roman" w:hAnsi="Times New Roman"/>
                <w:sz w:val="24"/>
              </w:rPr>
              <w:t>Détentions synthétiques brutes de fonds propres AT1 d'ent</w:t>
            </w:r>
            <w:r>
              <w:rPr>
                <w:rStyle w:val="InstructionsTabelleberschrift"/>
                <w:rFonts w:ascii="Times New Roman" w:hAnsi="Times New Roman"/>
                <w:sz w:val="24"/>
              </w:rPr>
              <w:t>i</w:t>
            </w:r>
            <w:r>
              <w:rPr>
                <w:rStyle w:val="InstructionsTabelleberschrift"/>
                <w:rFonts w:ascii="Times New Roman" w:hAnsi="Times New Roman"/>
                <w:sz w:val="24"/>
              </w:rPr>
              <w:t>tés du secteur financier dans lesquelles l'établissement détient un i</w:t>
            </w:r>
            <w:r>
              <w:rPr>
                <w:rStyle w:val="InstructionsTabelleberschrift"/>
                <w:rFonts w:ascii="Times New Roman" w:hAnsi="Times New Roman"/>
                <w:sz w:val="24"/>
              </w:rPr>
              <w:t>n</w:t>
            </w:r>
            <w:r>
              <w:rPr>
                <w:rStyle w:val="InstructionsTabelleberschrift"/>
                <w:rFonts w:ascii="Times New Roman" w:hAnsi="Times New Roman"/>
                <w:sz w:val="24"/>
              </w:rPr>
              <w:t>vestissement important</w:t>
            </w:r>
          </w:p>
          <w:p w:rsidR="005643EA" w:rsidRPr="00201704" w:rsidRDefault="00E81DB9" w:rsidP="00FD239F">
            <w:pPr>
              <w:pStyle w:val="InstructionsText"/>
              <w:rPr>
                <w:rStyle w:val="InstructionsTabelleberschrift"/>
                <w:rFonts w:ascii="Times New Roman" w:hAnsi="Times New Roman"/>
                <w:b w:val="0"/>
                <w:bCs w:val="0"/>
                <w:sz w:val="24"/>
                <w:u w:val="none"/>
              </w:rPr>
            </w:pPr>
            <w:r>
              <w:t>Article 4, paragraphe 1, point 126, et articles 58 et 59 du CRR.</w:t>
            </w:r>
          </w:p>
        </w:tc>
      </w:tr>
      <w:tr w:rsidR="00E81DB9" w:rsidRPr="00392FFD" w:rsidTr="00672D2A">
        <w:tc>
          <w:tcPr>
            <w:tcW w:w="1506" w:type="dxa"/>
          </w:tcPr>
          <w:p w:rsidR="00E81DB9" w:rsidRPr="00392FFD" w:rsidRDefault="00E81DB9" w:rsidP="00FD239F">
            <w:pPr>
              <w:pStyle w:val="InstructionsText"/>
            </w:pPr>
            <w:r>
              <w:t>573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16.3.2</w:t>
            </w:r>
            <w:r w:rsidR="005B64CF">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synthétiques figurant ci-dessus</w:t>
            </w:r>
          </w:p>
          <w:p w:rsidR="005643EA" w:rsidRPr="00201704" w:rsidRDefault="00E81DB9" w:rsidP="00FD239F">
            <w:pPr>
              <w:pStyle w:val="InstructionsText"/>
              <w:rPr>
                <w:rStyle w:val="InstructionsTabelleberschrift"/>
                <w:rFonts w:ascii="Times New Roman" w:hAnsi="Times New Roman"/>
                <w:b w:val="0"/>
                <w:bCs w:val="0"/>
                <w:sz w:val="24"/>
                <w:u w:val="none"/>
              </w:rPr>
            </w:pPr>
            <w:r>
              <w:t>Article 4, paragraphe 1, point 126, et article 59 du CRR</w:t>
            </w:r>
          </w:p>
        </w:tc>
      </w:tr>
      <w:tr w:rsidR="002648B0" w:rsidRPr="00392FFD" w:rsidTr="00672D2A">
        <w:tc>
          <w:tcPr>
            <w:tcW w:w="1506" w:type="dxa"/>
          </w:tcPr>
          <w:p w:rsidR="002648B0" w:rsidRPr="00392FFD" w:rsidRDefault="002648B0" w:rsidP="00FD239F">
            <w:pPr>
              <w:pStyle w:val="InstructionsText"/>
            </w:pPr>
            <w:r>
              <w:lastRenderedPageBreak/>
              <w:t>580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 Détentions de fonds propres T2 d'entités du secteur financier dans lesquelles l'établissement détient un investissement important, nettes des positions courtes</w:t>
            </w:r>
          </w:p>
          <w:p w:rsidR="005643EA" w:rsidRPr="00392FFD" w:rsidRDefault="002648B0" w:rsidP="00FD239F">
            <w:pPr>
              <w:pStyle w:val="InstructionsText"/>
            </w:pPr>
            <w:r>
              <w:t>Articles 68 et 69 du CRR</w:t>
            </w:r>
          </w:p>
        </w:tc>
      </w:tr>
      <w:tr w:rsidR="002648B0" w:rsidRPr="00392FFD" w:rsidTr="00672D2A">
        <w:tc>
          <w:tcPr>
            <w:tcW w:w="1506" w:type="dxa"/>
          </w:tcPr>
          <w:p w:rsidR="002648B0" w:rsidRPr="00392FFD" w:rsidRDefault="002648B0" w:rsidP="00FD239F">
            <w:pPr>
              <w:pStyle w:val="InstructionsText"/>
            </w:pPr>
            <w:r>
              <w:t>590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w:t>
            </w:r>
            <w:r w:rsidR="005B64CF">
              <w:rPr>
                <w:rStyle w:val="InstructionsTabelleberschrift"/>
                <w:rFonts w:ascii="Times New Roman" w:hAnsi="Times New Roman"/>
                <w:sz w:val="24"/>
              </w:rPr>
              <w:tab/>
            </w:r>
            <w:r>
              <w:rPr>
                <w:rStyle w:val="InstructionsTabelleberschrift"/>
                <w:rFonts w:ascii="Times New Roman" w:hAnsi="Times New Roman"/>
                <w:sz w:val="24"/>
              </w:rPr>
              <w:t>Détentions directes de fonds propres T2 d'entités du secteur financier dans lesquelles l'établissement détient un investissement important</w:t>
            </w:r>
          </w:p>
          <w:p w:rsidR="005643EA" w:rsidRPr="00392FFD" w:rsidRDefault="002648B0" w:rsidP="00FD239F">
            <w:pPr>
              <w:pStyle w:val="InstructionsText"/>
            </w:pPr>
            <w:r>
              <w:t>Articles 68 et 69 du CRR</w:t>
            </w:r>
          </w:p>
        </w:tc>
      </w:tr>
      <w:tr w:rsidR="002648B0" w:rsidRPr="00392FFD" w:rsidTr="00672D2A">
        <w:tc>
          <w:tcPr>
            <w:tcW w:w="1506" w:type="dxa"/>
          </w:tcPr>
          <w:p w:rsidR="002648B0" w:rsidRPr="00392FFD" w:rsidRDefault="002648B0" w:rsidP="00FD239F">
            <w:pPr>
              <w:pStyle w:val="InstructionsText"/>
            </w:pPr>
            <w:r>
              <w:t>600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17.1.1</w:t>
            </w:r>
            <w:r w:rsidR="005B64CF">
              <w:rPr>
                <w:rStyle w:val="InstructionsTabelleberschrift"/>
                <w:rFonts w:ascii="Times New Roman" w:hAnsi="Times New Roman"/>
                <w:sz w:val="24"/>
              </w:rPr>
              <w:tab/>
            </w:r>
            <w:r>
              <w:rPr>
                <w:rStyle w:val="InstructionsTabelleberschrift"/>
                <w:rFonts w:ascii="Times New Roman" w:hAnsi="Times New Roman"/>
                <w:sz w:val="24"/>
              </w:rPr>
              <w:t>Détentions directes brutes de fonds propres T2 d'entités du secteur financier dans lesquelles l'établissement détient un investi</w:t>
            </w:r>
            <w:r>
              <w:rPr>
                <w:rStyle w:val="InstructionsTabelleberschrift"/>
                <w:rFonts w:ascii="Times New Roman" w:hAnsi="Times New Roman"/>
                <w:sz w:val="24"/>
              </w:rPr>
              <w:t>s</w:t>
            </w:r>
            <w:r>
              <w:rPr>
                <w:rStyle w:val="InstructionsTabelleberschrift"/>
                <w:rFonts w:ascii="Times New Roman" w:hAnsi="Times New Roman"/>
                <w:sz w:val="24"/>
              </w:rPr>
              <w:t>sement important</w:t>
            </w:r>
          </w:p>
          <w:p w:rsidR="005643EA" w:rsidRPr="00392FFD" w:rsidRDefault="002648B0" w:rsidP="00FD239F">
            <w:pPr>
              <w:pStyle w:val="InstructionsText"/>
            </w:pPr>
            <w:r>
              <w:t>Article 68 du CRR</w:t>
            </w:r>
          </w:p>
          <w:p w:rsidR="005643EA" w:rsidRPr="00392FFD" w:rsidRDefault="002648B0" w:rsidP="00FD239F">
            <w:pPr>
              <w:pStyle w:val="InstructionsText"/>
            </w:pPr>
            <w:r>
              <w:t>Détentions directes d'instruments de fonds propres de catégorie 2 d'ent</w:t>
            </w:r>
            <w:r>
              <w:t>i</w:t>
            </w:r>
            <w:r>
              <w:t>tés du secteur financier dans lesquelles l'établissement possède un inve</w:t>
            </w:r>
            <w:r>
              <w:t>s</w:t>
            </w:r>
            <w:r>
              <w:t>tissement important, à l'exclusion:</w:t>
            </w:r>
          </w:p>
          <w:p w:rsidR="005643EA" w:rsidRPr="00392FFD" w:rsidRDefault="002648B0" w:rsidP="00FD239F">
            <w:pPr>
              <w:pStyle w:val="InstructionsText"/>
            </w:pPr>
            <w:r>
              <w:t>a)</w:t>
            </w:r>
            <w:r>
              <w:tab/>
              <w:t>des positions de prise ferme détenues pendant cinq jours o</w:t>
            </w:r>
            <w:r>
              <w:t>u</w:t>
            </w:r>
            <w:r>
              <w:t xml:space="preserve">vrables ou moins [article 66, point d)]; et </w:t>
            </w:r>
          </w:p>
          <w:p w:rsidR="005643EA" w:rsidRPr="00392FFD" w:rsidRDefault="002648B0" w:rsidP="00FD239F">
            <w:pPr>
              <w:pStyle w:val="InstructionsText"/>
            </w:pPr>
            <w:r>
              <w:t>b)</w:t>
            </w:r>
            <w:r>
              <w:tab/>
              <w:t>des détentions traitées comme des détentions croisées conform</w:t>
            </w:r>
            <w:r>
              <w:t>é</w:t>
            </w:r>
            <w:r>
              <w:t>ment à l'article 66, point b), du CRR.</w:t>
            </w:r>
          </w:p>
        </w:tc>
      </w:tr>
      <w:tr w:rsidR="002648B0" w:rsidRPr="00392FFD" w:rsidTr="00672D2A">
        <w:tc>
          <w:tcPr>
            <w:tcW w:w="1506" w:type="dxa"/>
          </w:tcPr>
          <w:p w:rsidR="002648B0" w:rsidRPr="00392FFD" w:rsidRDefault="002648B0" w:rsidP="00FD239F">
            <w:pPr>
              <w:pStyle w:val="InstructionsText"/>
            </w:pPr>
            <w:r>
              <w:t>610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17.1.2</w:t>
            </w:r>
            <w:r w:rsidR="005B64CF">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directes figurant ci-dessus</w:t>
            </w:r>
          </w:p>
          <w:p w:rsidR="005643EA" w:rsidRPr="00392FFD" w:rsidRDefault="002648B0" w:rsidP="00FD239F">
            <w:pPr>
              <w:pStyle w:val="InstructionsText"/>
            </w:pPr>
            <w:r>
              <w:t>Article 69 du CRR</w:t>
            </w:r>
          </w:p>
          <w:p w:rsidR="005643EA" w:rsidRPr="00392FFD" w:rsidRDefault="002648B0" w:rsidP="00FD239F">
            <w:pPr>
              <w:pStyle w:val="InstructionsText"/>
            </w:pPr>
            <w:r>
              <w:t>L'article 69, point a), du CRR autorise la compensation de positions courtes sur la même exposition sous-jacente, pour autant que l'échéance de la position courte soit identique à celle de la position longue ou que l'échéance résiduelle soit d'au moins un an.</w:t>
            </w:r>
          </w:p>
        </w:tc>
      </w:tr>
      <w:tr w:rsidR="002648B0" w:rsidRPr="00392FFD" w:rsidTr="00672D2A">
        <w:tc>
          <w:tcPr>
            <w:tcW w:w="1506" w:type="dxa"/>
          </w:tcPr>
          <w:p w:rsidR="002648B0" w:rsidRPr="00392FFD" w:rsidRDefault="002648B0" w:rsidP="00FD239F">
            <w:pPr>
              <w:pStyle w:val="InstructionsText"/>
            </w:pPr>
            <w:r>
              <w:t>620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w:t>
            </w:r>
            <w:r w:rsidR="00606250">
              <w:rPr>
                <w:rStyle w:val="InstructionsTabelleberschrift"/>
                <w:rFonts w:ascii="Times New Roman" w:hAnsi="Times New Roman"/>
                <w:sz w:val="24"/>
              </w:rPr>
              <w:tab/>
            </w:r>
            <w:r>
              <w:rPr>
                <w:rStyle w:val="InstructionsTabelleberschrift"/>
                <w:rFonts w:ascii="Times New Roman" w:hAnsi="Times New Roman"/>
                <w:sz w:val="24"/>
              </w:rPr>
              <w:t>Détentions indirectes de fonds propres T2 d'entités du se</w:t>
            </w:r>
            <w:r>
              <w:rPr>
                <w:rStyle w:val="InstructionsTabelleberschrift"/>
                <w:rFonts w:ascii="Times New Roman" w:hAnsi="Times New Roman"/>
                <w:sz w:val="24"/>
              </w:rPr>
              <w:t>c</w:t>
            </w:r>
            <w:r>
              <w:rPr>
                <w:rStyle w:val="InstructionsTabelleberschrift"/>
                <w:rFonts w:ascii="Times New Roman" w:hAnsi="Times New Roman"/>
                <w:sz w:val="24"/>
              </w:rPr>
              <w:t>teur financier dans lesquelles l'établissement détient un investiss</w:t>
            </w:r>
            <w:r>
              <w:rPr>
                <w:rStyle w:val="InstructionsTabelleberschrift"/>
                <w:rFonts w:ascii="Times New Roman" w:hAnsi="Times New Roman"/>
                <w:sz w:val="24"/>
              </w:rPr>
              <w:t>e</w:t>
            </w:r>
            <w:r>
              <w:rPr>
                <w:rStyle w:val="InstructionsTabelleberschrift"/>
                <w:rFonts w:ascii="Times New Roman" w:hAnsi="Times New Roman"/>
                <w:sz w:val="24"/>
              </w:rPr>
              <w:t>ment important</w:t>
            </w:r>
          </w:p>
          <w:p w:rsidR="005643EA" w:rsidRPr="00392FFD" w:rsidRDefault="002648B0" w:rsidP="00FD239F">
            <w:pPr>
              <w:pStyle w:val="InstructionsText"/>
            </w:pPr>
            <w:r>
              <w:t>Article 4, paragraphe 1, point 114, et articles 68 et 69 du CRR.</w:t>
            </w:r>
          </w:p>
        </w:tc>
      </w:tr>
      <w:tr w:rsidR="002648B0" w:rsidRPr="00392FFD" w:rsidTr="00672D2A">
        <w:tc>
          <w:tcPr>
            <w:tcW w:w="1506" w:type="dxa"/>
          </w:tcPr>
          <w:p w:rsidR="002648B0" w:rsidRPr="00392FFD" w:rsidRDefault="002648B0" w:rsidP="00FD239F">
            <w:pPr>
              <w:pStyle w:val="InstructionsText"/>
            </w:pPr>
            <w:r>
              <w:t>630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17.2.1</w:t>
            </w:r>
            <w:r w:rsidR="00606250">
              <w:rPr>
                <w:rStyle w:val="InstructionsTabelleberschrift"/>
                <w:rFonts w:ascii="Times New Roman" w:hAnsi="Times New Roman"/>
                <w:sz w:val="24"/>
              </w:rPr>
              <w:tab/>
            </w:r>
            <w:r>
              <w:rPr>
                <w:rStyle w:val="InstructionsTabelleberschrift"/>
                <w:rFonts w:ascii="Times New Roman" w:hAnsi="Times New Roman"/>
                <w:sz w:val="24"/>
              </w:rPr>
              <w:t>Détentions indirectes brutes de fonds propres T2 d'entités du secteur financier dans lesquelles l'établissement détient un investi</w:t>
            </w:r>
            <w:r>
              <w:rPr>
                <w:rStyle w:val="InstructionsTabelleberschrift"/>
                <w:rFonts w:ascii="Times New Roman" w:hAnsi="Times New Roman"/>
                <w:sz w:val="24"/>
              </w:rPr>
              <w:t>s</w:t>
            </w:r>
            <w:r>
              <w:rPr>
                <w:rStyle w:val="InstructionsTabelleberschrift"/>
                <w:rFonts w:ascii="Times New Roman" w:hAnsi="Times New Roman"/>
                <w:sz w:val="24"/>
              </w:rPr>
              <w:t>sement important</w:t>
            </w:r>
          </w:p>
          <w:p w:rsidR="005643EA" w:rsidRPr="00392FFD" w:rsidRDefault="002648B0" w:rsidP="00FD239F">
            <w:pPr>
              <w:pStyle w:val="InstructionsText"/>
            </w:pPr>
            <w:r>
              <w:t>Article 4, paragraphe 1, point 114, et articles 68 et 69 du CRR.</w:t>
            </w:r>
          </w:p>
          <w:p w:rsidR="005643EA" w:rsidRPr="00392FFD" w:rsidRDefault="002648B0" w:rsidP="00FD239F">
            <w:pPr>
              <w:pStyle w:val="InstructionsText"/>
            </w:pPr>
            <w:r>
              <w:t>Le montant à déclarer correspond aux détentions indirectes dans le po</w:t>
            </w:r>
            <w:r>
              <w:t>r</w:t>
            </w:r>
            <w:r>
              <w:t>tefeuille de négociation d'instruments de capital d'entités du secteur f</w:t>
            </w:r>
            <w:r>
              <w:t>i</w:t>
            </w:r>
            <w:r>
              <w:t>nancier qui prennent la forme de détentions dans des titres indiciels. On obtient ce montant en calculant l'exposition sous-jacente sur les instr</w:t>
            </w:r>
            <w:r>
              <w:t>u</w:t>
            </w:r>
            <w:r>
              <w:t>ments de capital des entités du secteur financier faisant partie de ces i</w:t>
            </w:r>
            <w:r>
              <w:t>n</w:t>
            </w:r>
            <w:r>
              <w:t>dices.</w:t>
            </w:r>
          </w:p>
          <w:p w:rsidR="005643EA" w:rsidRPr="00392FFD" w:rsidRDefault="002648B0" w:rsidP="00FD239F">
            <w:pPr>
              <w:pStyle w:val="InstructionsText"/>
            </w:pPr>
            <w:r>
              <w:t>Les détentions traitées comme des détentions croisées conformément à l'article 66, point b), du CRR ne seront pas incluses.</w:t>
            </w:r>
          </w:p>
        </w:tc>
      </w:tr>
      <w:tr w:rsidR="002648B0" w:rsidRPr="00392FFD" w:rsidTr="00672D2A">
        <w:tc>
          <w:tcPr>
            <w:tcW w:w="1506" w:type="dxa"/>
          </w:tcPr>
          <w:p w:rsidR="002648B0" w:rsidRPr="00392FFD" w:rsidRDefault="002648B0" w:rsidP="00FD239F">
            <w:pPr>
              <w:pStyle w:val="InstructionsText"/>
            </w:pPr>
            <w:r>
              <w:lastRenderedPageBreak/>
              <w:t>640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17.2.2</w:t>
            </w:r>
            <w:r w:rsidR="00606250">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indirectes figurant ci-dessus</w:t>
            </w:r>
          </w:p>
          <w:p w:rsidR="005643EA" w:rsidRPr="00392FFD" w:rsidRDefault="002648B0" w:rsidP="00FD239F">
            <w:pPr>
              <w:pStyle w:val="InstructionsText"/>
            </w:pPr>
            <w:r>
              <w:t>Article 4, paragraphe 1, point 114, et article 69 du CRR</w:t>
            </w:r>
          </w:p>
          <w:p w:rsidR="005643EA" w:rsidRPr="00392FFD" w:rsidRDefault="002648B0" w:rsidP="00FD239F">
            <w:pPr>
              <w:pStyle w:val="InstructionsText"/>
            </w:pPr>
            <w:r>
              <w:t>L'article 69, point a), du CRR autorise la compensation de positions courtes sur la même exposition sous-jacente, pour autant que l'échéance de la position courte soit identique à celle de la position longue ou que l'échéance résiduelle soit d'au moins un an.</w:t>
            </w:r>
          </w:p>
        </w:tc>
      </w:tr>
      <w:tr w:rsidR="002648B0" w:rsidRPr="00392FFD" w:rsidTr="00672D2A">
        <w:tc>
          <w:tcPr>
            <w:tcW w:w="1506" w:type="dxa"/>
          </w:tcPr>
          <w:p w:rsidR="002648B0" w:rsidRPr="00392FFD" w:rsidRDefault="002648B0" w:rsidP="00FD239F">
            <w:pPr>
              <w:pStyle w:val="InstructionsText"/>
            </w:pPr>
            <w:r>
              <w:t>641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w:t>
            </w:r>
            <w:r w:rsidR="00FB2F0C">
              <w:rPr>
                <w:rStyle w:val="InstructionsTabelleberschrift"/>
                <w:rFonts w:ascii="Times New Roman" w:hAnsi="Times New Roman"/>
                <w:sz w:val="24"/>
              </w:rPr>
              <w:tab/>
            </w:r>
            <w:r>
              <w:rPr>
                <w:rStyle w:val="InstructionsTabelleberschrift"/>
                <w:rFonts w:ascii="Times New Roman" w:hAnsi="Times New Roman"/>
                <w:sz w:val="24"/>
              </w:rPr>
              <w:t>Détentions synthétiques de fonds propres T2 d'entités du se</w:t>
            </w:r>
            <w:r>
              <w:rPr>
                <w:rStyle w:val="InstructionsTabelleberschrift"/>
                <w:rFonts w:ascii="Times New Roman" w:hAnsi="Times New Roman"/>
                <w:sz w:val="24"/>
              </w:rPr>
              <w:t>c</w:t>
            </w:r>
            <w:r>
              <w:rPr>
                <w:rStyle w:val="InstructionsTabelleberschrift"/>
                <w:rFonts w:ascii="Times New Roman" w:hAnsi="Times New Roman"/>
                <w:sz w:val="24"/>
              </w:rPr>
              <w:t>teur financier dans lesquelles l'établissement détient un investiss</w:t>
            </w:r>
            <w:r>
              <w:rPr>
                <w:rStyle w:val="InstructionsTabelleberschrift"/>
                <w:rFonts w:ascii="Times New Roman" w:hAnsi="Times New Roman"/>
                <w:sz w:val="24"/>
              </w:rPr>
              <w:t>e</w:t>
            </w:r>
            <w:r>
              <w:rPr>
                <w:rStyle w:val="InstructionsTabelleberschrift"/>
                <w:rFonts w:ascii="Times New Roman" w:hAnsi="Times New Roman"/>
                <w:sz w:val="24"/>
              </w:rPr>
              <w:t>ment important</w:t>
            </w:r>
          </w:p>
          <w:p w:rsidR="005643EA" w:rsidRPr="00201704" w:rsidRDefault="00805255" w:rsidP="00FD239F">
            <w:pPr>
              <w:pStyle w:val="InstructionsText"/>
              <w:rPr>
                <w:rStyle w:val="InstructionsTabelleberschrift"/>
                <w:rFonts w:ascii="Times New Roman" w:hAnsi="Times New Roman"/>
                <w:b w:val="0"/>
                <w:bCs w:val="0"/>
                <w:sz w:val="24"/>
                <w:u w:val="none"/>
              </w:rPr>
            </w:pPr>
            <w:r>
              <w:t>Article 4, paragraphe 1, point 126, et articles 68 et 69 du CRR.</w:t>
            </w:r>
          </w:p>
        </w:tc>
      </w:tr>
      <w:tr w:rsidR="002648B0" w:rsidRPr="00392FFD" w:rsidTr="00672D2A">
        <w:tc>
          <w:tcPr>
            <w:tcW w:w="1506" w:type="dxa"/>
          </w:tcPr>
          <w:p w:rsidR="002648B0" w:rsidRPr="00392FFD" w:rsidRDefault="002648B0" w:rsidP="00FD239F">
            <w:pPr>
              <w:pStyle w:val="InstructionsText"/>
            </w:pPr>
            <w:r>
              <w:t>642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17.3.1</w:t>
            </w:r>
            <w:r w:rsidR="00FB2F0C">
              <w:rPr>
                <w:rStyle w:val="InstructionsTabelleberschrift"/>
                <w:rFonts w:ascii="Times New Roman" w:hAnsi="Times New Roman"/>
                <w:sz w:val="24"/>
              </w:rPr>
              <w:tab/>
            </w:r>
            <w:r>
              <w:rPr>
                <w:rStyle w:val="InstructionsTabelleberschrift"/>
                <w:rFonts w:ascii="Times New Roman" w:hAnsi="Times New Roman"/>
                <w:sz w:val="24"/>
              </w:rPr>
              <w:t>Détentions synthétiques brutes de fonds propres T2 d'entités du secteur financier dans lesquelles l'établissement détient un inve</w:t>
            </w:r>
            <w:r>
              <w:rPr>
                <w:rStyle w:val="InstructionsTabelleberschrift"/>
                <w:rFonts w:ascii="Times New Roman" w:hAnsi="Times New Roman"/>
                <w:sz w:val="24"/>
              </w:rPr>
              <w:t>s</w:t>
            </w:r>
            <w:r>
              <w:rPr>
                <w:rStyle w:val="InstructionsTabelleberschrift"/>
                <w:rFonts w:ascii="Times New Roman" w:hAnsi="Times New Roman"/>
                <w:sz w:val="24"/>
              </w:rPr>
              <w:t>tissement important</w:t>
            </w:r>
          </w:p>
          <w:p w:rsidR="005643EA" w:rsidRPr="00201704" w:rsidRDefault="00805255" w:rsidP="00FD239F">
            <w:pPr>
              <w:pStyle w:val="InstructionsText"/>
              <w:rPr>
                <w:rStyle w:val="InstructionsTabelleberschrift"/>
                <w:rFonts w:ascii="Times New Roman" w:hAnsi="Times New Roman"/>
                <w:b w:val="0"/>
                <w:bCs w:val="0"/>
                <w:sz w:val="24"/>
                <w:u w:val="none"/>
              </w:rPr>
            </w:pPr>
            <w:r>
              <w:t>Article 4, paragraphe 1, point 126, et articles 68 et 69 du CRR.</w:t>
            </w:r>
          </w:p>
        </w:tc>
      </w:tr>
      <w:tr w:rsidR="002648B0" w:rsidRPr="00392FFD" w:rsidTr="00672D2A">
        <w:tc>
          <w:tcPr>
            <w:tcW w:w="1506" w:type="dxa"/>
          </w:tcPr>
          <w:p w:rsidR="002648B0" w:rsidRPr="00392FFD" w:rsidRDefault="002648B0" w:rsidP="00FD239F">
            <w:pPr>
              <w:pStyle w:val="InstructionsText"/>
            </w:pPr>
            <w:r>
              <w:t>643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17.3.2</w:t>
            </w:r>
            <w:r w:rsidR="00FB2F0C">
              <w:rPr>
                <w:rStyle w:val="InstructionsTabelleberschrift"/>
                <w:rFonts w:ascii="Times New Roman" w:hAnsi="Times New Roman"/>
                <w:sz w:val="24"/>
              </w:rPr>
              <w:tab/>
            </w:r>
            <w:r>
              <w:rPr>
                <w:rStyle w:val="InstructionsTabelleberschrift"/>
                <w:rFonts w:ascii="Times New Roman" w:hAnsi="Times New Roman"/>
                <w:sz w:val="24"/>
              </w:rPr>
              <w:t>(–) Positions courtes compensatoires autorisées par rapport aux détentions brutes synthétiques figurant ci-dessus</w:t>
            </w:r>
          </w:p>
          <w:p w:rsidR="005643EA" w:rsidRPr="00201704" w:rsidRDefault="00805255" w:rsidP="00FD239F">
            <w:pPr>
              <w:pStyle w:val="InstructionsText"/>
              <w:rPr>
                <w:rStyle w:val="InstructionsTabelleberschrift"/>
                <w:rFonts w:ascii="Times New Roman" w:hAnsi="Times New Roman"/>
                <w:b w:val="0"/>
                <w:bCs w:val="0"/>
                <w:sz w:val="24"/>
                <w:u w:val="none"/>
              </w:rPr>
            </w:pPr>
            <w:r>
              <w:t>Article 4, paragraphe 1, point 126, et article 69 du CRR</w:t>
            </w:r>
          </w:p>
        </w:tc>
      </w:tr>
      <w:tr w:rsidR="002648B0" w:rsidRPr="00392FFD" w:rsidTr="00672D2A">
        <w:tc>
          <w:tcPr>
            <w:tcW w:w="1506" w:type="dxa"/>
          </w:tcPr>
          <w:p w:rsidR="002648B0" w:rsidRPr="00392FFD" w:rsidRDefault="002648B0" w:rsidP="00FD239F">
            <w:pPr>
              <w:pStyle w:val="InstructionsText"/>
            </w:pPr>
            <w:r>
              <w:t>650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18 Expositions pondérées des détentions de fonds propres CET1 dans des entités du secteur financier qui ne sont pas déduites des fonds propres CET1 de l'établissement</w:t>
            </w:r>
          </w:p>
          <w:p w:rsidR="005643EA" w:rsidRPr="00392FFD" w:rsidRDefault="002648B0" w:rsidP="00FD239F">
            <w:pPr>
              <w:pStyle w:val="InstructionsText"/>
            </w:pPr>
            <w:r>
              <w:t>Article 46, paragraphe 4, article 48, paragraphe 4, et article 49, par</w:t>
            </w:r>
            <w:r>
              <w:t>a</w:t>
            </w:r>
            <w:r>
              <w:t>graphe 4, du CRR</w:t>
            </w:r>
          </w:p>
        </w:tc>
      </w:tr>
      <w:tr w:rsidR="002648B0" w:rsidRPr="00392FFD" w:rsidTr="00672D2A">
        <w:tc>
          <w:tcPr>
            <w:tcW w:w="1506" w:type="dxa"/>
          </w:tcPr>
          <w:p w:rsidR="002648B0" w:rsidRPr="00392FFD" w:rsidRDefault="002648B0" w:rsidP="00FD239F">
            <w:pPr>
              <w:pStyle w:val="InstructionsText"/>
            </w:pPr>
            <w:r>
              <w:t>660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19 Expositions pondérées des détentions de fonds propres AT1 dans des entités du secteur financier qui ne sont pas déduites des fonds propres AT1 de l'établissement</w:t>
            </w:r>
          </w:p>
          <w:p w:rsidR="005643EA" w:rsidRPr="00392FFD" w:rsidRDefault="002648B0" w:rsidP="00FD239F">
            <w:pPr>
              <w:pStyle w:val="InstructionsText"/>
            </w:pPr>
            <w:r>
              <w:t>Article 60, paragraphe 4, du CRR.</w:t>
            </w:r>
          </w:p>
        </w:tc>
      </w:tr>
      <w:tr w:rsidR="002648B0" w:rsidRPr="00392FFD" w:rsidTr="00672D2A">
        <w:tc>
          <w:tcPr>
            <w:tcW w:w="1506" w:type="dxa"/>
          </w:tcPr>
          <w:p w:rsidR="002648B0" w:rsidRPr="00392FFD" w:rsidRDefault="002648B0" w:rsidP="00FD239F">
            <w:pPr>
              <w:pStyle w:val="InstructionsText"/>
            </w:pPr>
            <w:r>
              <w:t>670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20 Expositions pondérées des détentions de fonds propres T2 dans des entités du secteur financier qui ne sont pas déduites des fonds propres T2 de l'établissement</w:t>
            </w:r>
          </w:p>
          <w:p w:rsidR="005643EA" w:rsidRPr="00392FFD" w:rsidRDefault="002648B0" w:rsidP="00FD239F">
            <w:pPr>
              <w:pStyle w:val="InstructionsText"/>
            </w:pPr>
            <w:r>
              <w:t>Article 70, paragraphe 4, du CRR.</w:t>
            </w:r>
          </w:p>
        </w:tc>
      </w:tr>
      <w:tr w:rsidR="002648B0" w:rsidRPr="00392FFD" w:rsidTr="00672D2A">
        <w:tc>
          <w:tcPr>
            <w:tcW w:w="1506" w:type="dxa"/>
          </w:tcPr>
          <w:p w:rsidR="002648B0" w:rsidRPr="00392FFD" w:rsidRDefault="002648B0" w:rsidP="00FD239F">
            <w:pPr>
              <w:pStyle w:val="InstructionsText"/>
            </w:pPr>
            <w:r>
              <w:t>680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rsidR="00FB2F0C">
              <w:rPr>
                <w:rStyle w:val="InstructionsTabelleberschrift"/>
                <w:rFonts w:ascii="Times New Roman" w:hAnsi="Times New Roman"/>
                <w:sz w:val="24"/>
              </w:rPr>
              <w:tab/>
            </w:r>
            <w:r>
              <w:rPr>
                <w:rStyle w:val="InstructionsTabelleberschrift"/>
                <w:rFonts w:ascii="Times New Roman" w:hAnsi="Times New Roman"/>
                <w:sz w:val="24"/>
              </w:rPr>
              <w:t>Détentions d'instruments de capital CET1 d'entités du se</w:t>
            </w:r>
            <w:r>
              <w:rPr>
                <w:rStyle w:val="InstructionsTabelleberschrift"/>
                <w:rFonts w:ascii="Times New Roman" w:hAnsi="Times New Roman"/>
                <w:sz w:val="24"/>
              </w:rPr>
              <w:t>c</w:t>
            </w:r>
            <w:r>
              <w:rPr>
                <w:rStyle w:val="InstructionsTabelleberschrift"/>
                <w:rFonts w:ascii="Times New Roman" w:hAnsi="Times New Roman"/>
                <w:sz w:val="24"/>
              </w:rPr>
              <w:t>teur financier dans lesquelles l'établissement ne détient pas d'inve</w:t>
            </w:r>
            <w:r>
              <w:rPr>
                <w:rStyle w:val="InstructionsTabelleberschrift"/>
                <w:rFonts w:ascii="Times New Roman" w:hAnsi="Times New Roman"/>
                <w:sz w:val="24"/>
              </w:rPr>
              <w:t>s</w:t>
            </w:r>
            <w:r>
              <w:rPr>
                <w:rStyle w:val="InstructionsTabelleberschrift"/>
                <w:rFonts w:ascii="Times New Roman" w:hAnsi="Times New Roman"/>
                <w:sz w:val="24"/>
              </w:rPr>
              <w:t>tissement important faisant l'objet d'une non-application provisoire</w:t>
            </w:r>
          </w:p>
          <w:p w:rsidR="005643EA" w:rsidRPr="00392FFD" w:rsidRDefault="002648B0" w:rsidP="00FD239F">
            <w:pPr>
              <w:pStyle w:val="InstructionsText"/>
            </w:pPr>
            <w:r>
              <w:t>Article 79 du CRR</w:t>
            </w:r>
          </w:p>
          <w:p w:rsidR="005643EA" w:rsidRPr="00392FFD" w:rsidRDefault="002648B0" w:rsidP="00FD239F">
            <w:pPr>
              <w:pStyle w:val="InstructionsText"/>
            </w:pPr>
            <w:r>
              <w:t>Une autorité compétente peut renoncer provisoirement à appliquer les dispositions en matière de déduction des fonds propres de base de cat</w:t>
            </w:r>
            <w:r>
              <w:t>é</w:t>
            </w:r>
            <w:r>
              <w:t>gorie 1, pour cause de détention d'instruments d'une entité spécifique du secteur financier, lorsque cette autorité estime que ces instruments sont détenus dans le cadre d'une opération d'assistance financière destinée à réorganiser et à sauver cette entité.</w:t>
            </w:r>
          </w:p>
          <w:p w:rsidR="005643EA" w:rsidRPr="00392FFD" w:rsidRDefault="002648B0" w:rsidP="00FD239F">
            <w:pPr>
              <w:pStyle w:val="InstructionsText"/>
            </w:pPr>
            <w:r>
              <w:t>Remarque: ces instruments seront également déclarés au poste 12.1.</w:t>
            </w:r>
          </w:p>
        </w:tc>
      </w:tr>
      <w:tr w:rsidR="002648B0" w:rsidRPr="00392FFD" w:rsidTr="00672D2A">
        <w:tc>
          <w:tcPr>
            <w:tcW w:w="1506" w:type="dxa"/>
          </w:tcPr>
          <w:p w:rsidR="002648B0" w:rsidRPr="00392FFD" w:rsidRDefault="002648B0" w:rsidP="00FD239F">
            <w:pPr>
              <w:pStyle w:val="InstructionsText"/>
            </w:pPr>
            <w:r>
              <w:lastRenderedPageBreak/>
              <w:t>690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rsidR="00FB2F0C">
              <w:rPr>
                <w:rStyle w:val="InstructionsTabelleberschrift"/>
                <w:rFonts w:ascii="Times New Roman" w:hAnsi="Times New Roman"/>
                <w:sz w:val="24"/>
              </w:rPr>
              <w:tab/>
            </w:r>
            <w:r>
              <w:rPr>
                <w:rStyle w:val="InstructionsTabelleberschrift"/>
                <w:rFonts w:ascii="Times New Roman" w:hAnsi="Times New Roman"/>
                <w:sz w:val="24"/>
              </w:rPr>
              <w:t>Détentions d'instruments de capital CET1 d'entités du se</w:t>
            </w:r>
            <w:r>
              <w:rPr>
                <w:rStyle w:val="InstructionsTabelleberschrift"/>
                <w:rFonts w:ascii="Times New Roman" w:hAnsi="Times New Roman"/>
                <w:sz w:val="24"/>
              </w:rPr>
              <w:t>c</w:t>
            </w:r>
            <w:r>
              <w:rPr>
                <w:rStyle w:val="InstructionsTabelleberschrift"/>
                <w:rFonts w:ascii="Times New Roman" w:hAnsi="Times New Roman"/>
                <w:sz w:val="24"/>
              </w:rPr>
              <w:t>teur financier dans lesquelles l'établissement détient un investiss</w:t>
            </w:r>
            <w:r>
              <w:rPr>
                <w:rStyle w:val="InstructionsTabelleberschrift"/>
                <w:rFonts w:ascii="Times New Roman" w:hAnsi="Times New Roman"/>
                <w:sz w:val="24"/>
              </w:rPr>
              <w:t>e</w:t>
            </w:r>
            <w:r>
              <w:rPr>
                <w:rStyle w:val="InstructionsTabelleberschrift"/>
                <w:rFonts w:ascii="Times New Roman" w:hAnsi="Times New Roman"/>
                <w:sz w:val="24"/>
              </w:rPr>
              <w:t>ment important faisant l'objet d'une non-application provisoire</w:t>
            </w:r>
          </w:p>
          <w:p w:rsidR="005643EA" w:rsidRPr="00392FFD" w:rsidRDefault="002648B0" w:rsidP="00FD239F">
            <w:pPr>
              <w:pStyle w:val="InstructionsText"/>
            </w:pPr>
            <w:r>
              <w:t>Article 79 du CRR</w:t>
            </w:r>
          </w:p>
          <w:p w:rsidR="005643EA" w:rsidRPr="00392FFD" w:rsidRDefault="002648B0" w:rsidP="00FD239F">
            <w:pPr>
              <w:pStyle w:val="InstructionsText"/>
            </w:pPr>
            <w:r>
              <w:t>Une autorité compétente peut renoncer provisoirement à appliquer les dispositions en matière de déduction des fonds propres de base de cat</w:t>
            </w:r>
            <w:r>
              <w:t>é</w:t>
            </w:r>
            <w:r>
              <w:t>gorie 1, pour cause de détention d'instruments d'une entité spécifique du secteur financier, lorsque cette autorité estime que ces instruments sont détenus dans le cadre d'une opération d'assistance financière destinée à réorganiser et à sauver cette entité.</w:t>
            </w:r>
          </w:p>
          <w:p w:rsidR="005643EA" w:rsidRPr="00392FFD" w:rsidRDefault="002648B0" w:rsidP="00FD239F">
            <w:pPr>
              <w:pStyle w:val="InstructionsText"/>
            </w:pPr>
            <w:r>
              <w:t>Remarque: ces instruments seront également déclarés au poste 15.1.</w:t>
            </w:r>
          </w:p>
        </w:tc>
      </w:tr>
      <w:tr w:rsidR="002648B0" w:rsidRPr="00392FFD" w:rsidTr="00672D2A">
        <w:tc>
          <w:tcPr>
            <w:tcW w:w="1506" w:type="dxa"/>
          </w:tcPr>
          <w:p w:rsidR="002648B0" w:rsidRPr="00392FFD" w:rsidRDefault="002648B0" w:rsidP="00FD239F">
            <w:pPr>
              <w:pStyle w:val="InstructionsText"/>
            </w:pPr>
            <w:r>
              <w:t>700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23</w:t>
            </w:r>
            <w:r w:rsidR="00FB2F0C">
              <w:rPr>
                <w:rStyle w:val="InstructionsTabelleberschrift"/>
                <w:rFonts w:ascii="Times New Roman" w:hAnsi="Times New Roman"/>
                <w:sz w:val="24"/>
              </w:rPr>
              <w:tab/>
            </w:r>
            <w:r>
              <w:rPr>
                <w:rStyle w:val="InstructionsTabelleberschrift"/>
                <w:rFonts w:ascii="Times New Roman" w:hAnsi="Times New Roman"/>
                <w:sz w:val="24"/>
              </w:rPr>
              <w:t>Détentions d'instruments de capital AT1 d'entités du secteur financier dans lesquelles l'établissement ne détient pas d'investiss</w:t>
            </w:r>
            <w:r>
              <w:rPr>
                <w:rStyle w:val="InstructionsTabelleberschrift"/>
                <w:rFonts w:ascii="Times New Roman" w:hAnsi="Times New Roman"/>
                <w:sz w:val="24"/>
              </w:rPr>
              <w:t>e</w:t>
            </w:r>
            <w:r>
              <w:rPr>
                <w:rStyle w:val="InstructionsTabelleberschrift"/>
                <w:rFonts w:ascii="Times New Roman" w:hAnsi="Times New Roman"/>
                <w:sz w:val="24"/>
              </w:rPr>
              <w:t>ment important faisant l'objet d'une non-application provisoire</w:t>
            </w:r>
          </w:p>
          <w:p w:rsidR="005643EA" w:rsidRPr="00392FFD" w:rsidRDefault="002648B0" w:rsidP="00FD239F">
            <w:pPr>
              <w:pStyle w:val="InstructionsText"/>
            </w:pPr>
            <w:r>
              <w:t>Article 79 du CRR</w:t>
            </w:r>
          </w:p>
          <w:p w:rsidR="005643EA" w:rsidRPr="00392FFD" w:rsidRDefault="002648B0" w:rsidP="00FD239F">
            <w:pPr>
              <w:pStyle w:val="InstructionsText"/>
            </w:pPr>
            <w:r>
              <w:t>Une autorité compétente peut renoncer provisoirement à appliquer les dispositions en matière de déduction des fonds propres additionnels de catégorie 1, pour cause de détention d'instruments d'une entité spécifique du secteur financier, lorsque cette autorité estime que ces instruments sont détenus dans le cadre d'une opération d'assistance financière dest</w:t>
            </w:r>
            <w:r>
              <w:t>i</w:t>
            </w:r>
            <w:r>
              <w:t>née à réorganiser et à sauver cette entité.</w:t>
            </w:r>
          </w:p>
          <w:p w:rsidR="005643EA" w:rsidRPr="00392FFD" w:rsidRDefault="002648B0" w:rsidP="00FD239F">
            <w:pPr>
              <w:pStyle w:val="InstructionsText"/>
            </w:pPr>
            <w:r>
              <w:t>Remarque: ces instruments seront également déclarés au poste 13.1.</w:t>
            </w:r>
          </w:p>
        </w:tc>
      </w:tr>
      <w:tr w:rsidR="002648B0" w:rsidRPr="00392FFD" w:rsidTr="00672D2A">
        <w:tc>
          <w:tcPr>
            <w:tcW w:w="1506" w:type="dxa"/>
          </w:tcPr>
          <w:p w:rsidR="002648B0" w:rsidRPr="00392FFD" w:rsidRDefault="002648B0" w:rsidP="00FD239F">
            <w:pPr>
              <w:pStyle w:val="InstructionsText"/>
            </w:pPr>
            <w:r>
              <w:t>710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24</w:t>
            </w:r>
            <w:r w:rsidR="000F246D">
              <w:rPr>
                <w:rStyle w:val="InstructionsTabelleberschrift"/>
                <w:rFonts w:ascii="Times New Roman" w:hAnsi="Times New Roman"/>
                <w:sz w:val="24"/>
              </w:rPr>
              <w:tab/>
            </w:r>
            <w:r>
              <w:rPr>
                <w:rStyle w:val="InstructionsTabelleberschrift"/>
                <w:rFonts w:ascii="Times New Roman" w:hAnsi="Times New Roman"/>
                <w:sz w:val="24"/>
              </w:rPr>
              <w:t>Détentions d'instruments de capital AT1 d'entités du secteur financier dans lesquelles l'établissement détient un investissement important faisant l'objet d'une non-application provisoire</w:t>
            </w:r>
          </w:p>
          <w:p w:rsidR="005643EA" w:rsidRPr="00392FFD" w:rsidRDefault="002648B0" w:rsidP="00FD239F">
            <w:pPr>
              <w:pStyle w:val="InstructionsText"/>
            </w:pPr>
            <w:r>
              <w:t>Article 79 du CRR</w:t>
            </w:r>
          </w:p>
          <w:p w:rsidR="005643EA" w:rsidRPr="00392FFD" w:rsidRDefault="002648B0" w:rsidP="00FD239F">
            <w:pPr>
              <w:pStyle w:val="InstructionsText"/>
            </w:pPr>
            <w:r>
              <w:t>Une autorité compétente peut renoncer provisoirement à appliquer les dispositions en matière de déduction des fonds propres additionnels de catégorie 1, pour cause de détention d'instruments d'une entité spécifique du secteur financier, lorsque cette autorité estime que ces instruments sont détenus dans le cadre d'une opération d'assistance financière dest</w:t>
            </w:r>
            <w:r>
              <w:t>i</w:t>
            </w:r>
            <w:r>
              <w:t>née à réorganiser et à sauver cette entité.</w:t>
            </w:r>
          </w:p>
          <w:p w:rsidR="005643EA" w:rsidRPr="00392FFD" w:rsidRDefault="002648B0" w:rsidP="00FD239F">
            <w:pPr>
              <w:pStyle w:val="InstructionsText"/>
            </w:pPr>
            <w:r>
              <w:t>Remarque: ces instruments seront également déclarés au poste 16.1.</w:t>
            </w:r>
          </w:p>
        </w:tc>
      </w:tr>
      <w:tr w:rsidR="002648B0" w:rsidRPr="00392FFD" w:rsidTr="00672D2A">
        <w:tc>
          <w:tcPr>
            <w:tcW w:w="1506" w:type="dxa"/>
          </w:tcPr>
          <w:p w:rsidR="002648B0" w:rsidRPr="00392FFD" w:rsidRDefault="002648B0" w:rsidP="00FD239F">
            <w:pPr>
              <w:pStyle w:val="InstructionsText"/>
            </w:pPr>
            <w:r>
              <w:t>720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25</w:t>
            </w:r>
            <w:r w:rsidR="000F246D">
              <w:rPr>
                <w:rStyle w:val="InstructionsTabelleberschrift"/>
                <w:rFonts w:ascii="Times New Roman" w:hAnsi="Times New Roman"/>
                <w:sz w:val="24"/>
              </w:rPr>
              <w:tab/>
            </w:r>
            <w:r>
              <w:rPr>
                <w:rStyle w:val="InstructionsTabelleberschrift"/>
                <w:rFonts w:ascii="Times New Roman" w:hAnsi="Times New Roman"/>
                <w:sz w:val="24"/>
              </w:rPr>
              <w:t>Détentions d'instruments de capital T2 d'entités du secteur financier dans lesquelles l'établissement ne détient pas d'investiss</w:t>
            </w:r>
            <w:r>
              <w:rPr>
                <w:rStyle w:val="InstructionsTabelleberschrift"/>
                <w:rFonts w:ascii="Times New Roman" w:hAnsi="Times New Roman"/>
                <w:sz w:val="24"/>
              </w:rPr>
              <w:t>e</w:t>
            </w:r>
            <w:r>
              <w:rPr>
                <w:rStyle w:val="InstructionsTabelleberschrift"/>
                <w:rFonts w:ascii="Times New Roman" w:hAnsi="Times New Roman"/>
                <w:sz w:val="24"/>
              </w:rPr>
              <w:t>ment important faisant l'objet d'une non-application provisoire</w:t>
            </w:r>
          </w:p>
          <w:p w:rsidR="005643EA" w:rsidRPr="00392FFD" w:rsidRDefault="002648B0" w:rsidP="00FD239F">
            <w:pPr>
              <w:pStyle w:val="InstructionsText"/>
            </w:pPr>
            <w:r>
              <w:t>Article 79 du CRR</w:t>
            </w:r>
          </w:p>
          <w:p w:rsidR="005643EA" w:rsidRPr="00392FFD" w:rsidRDefault="002648B0" w:rsidP="00FD239F">
            <w:pPr>
              <w:pStyle w:val="InstructionsText"/>
            </w:pPr>
            <w:r>
              <w:t>Une autorité compétente peut renoncer provisoirement à appliquer les dispositions en matière de déduction des fonds propres de catégorie 2, pour cause de détention d'instruments d'une entité spécifique du secteur financier, lorsque cette autorité estime que ces instruments sont détenus dans le cadre d'une opération d'assistance financière destinée à réorgan</w:t>
            </w:r>
            <w:r>
              <w:t>i</w:t>
            </w:r>
            <w:r>
              <w:t>ser et à sauver cette entité.</w:t>
            </w:r>
          </w:p>
          <w:p w:rsidR="005643EA" w:rsidRPr="00392FFD" w:rsidRDefault="002648B0" w:rsidP="00FD239F">
            <w:pPr>
              <w:pStyle w:val="InstructionsText"/>
            </w:pPr>
            <w:r>
              <w:lastRenderedPageBreak/>
              <w:t>Remarque: ces instruments seront également déclarés au poste 14.1.</w:t>
            </w:r>
          </w:p>
        </w:tc>
      </w:tr>
      <w:tr w:rsidR="002648B0" w:rsidRPr="00392FFD" w:rsidTr="00672D2A">
        <w:tc>
          <w:tcPr>
            <w:tcW w:w="1506" w:type="dxa"/>
          </w:tcPr>
          <w:p w:rsidR="002648B0" w:rsidRPr="00392FFD" w:rsidRDefault="002648B0" w:rsidP="00FD239F">
            <w:pPr>
              <w:pStyle w:val="InstructionsText"/>
            </w:pPr>
            <w:r>
              <w:lastRenderedPageBreak/>
              <w:t>730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26</w:t>
            </w:r>
            <w:r w:rsidR="000F246D">
              <w:rPr>
                <w:rStyle w:val="InstructionsTabelleberschrift"/>
                <w:rFonts w:ascii="Times New Roman" w:hAnsi="Times New Roman"/>
                <w:sz w:val="24"/>
              </w:rPr>
              <w:tab/>
            </w:r>
            <w:r>
              <w:rPr>
                <w:rStyle w:val="InstructionsTabelleberschrift"/>
                <w:rFonts w:ascii="Times New Roman" w:hAnsi="Times New Roman"/>
                <w:sz w:val="24"/>
              </w:rPr>
              <w:t>Détentions d'instruments de capital T2 d'entités du secteur financier dans lesquelles l'établissement détient un investissement important faisant l'objet d'une non-application provisoire</w:t>
            </w:r>
          </w:p>
          <w:p w:rsidR="005643EA" w:rsidRPr="00392FFD" w:rsidRDefault="002648B0" w:rsidP="00FD239F">
            <w:pPr>
              <w:pStyle w:val="InstructionsText"/>
            </w:pPr>
            <w:r>
              <w:t>Article 79 du CRR</w:t>
            </w:r>
          </w:p>
          <w:p w:rsidR="005643EA" w:rsidRPr="00392FFD" w:rsidRDefault="002648B0" w:rsidP="00FD239F">
            <w:pPr>
              <w:pStyle w:val="InstructionsText"/>
            </w:pPr>
            <w:r>
              <w:t>Une autorité compétente peut renoncer provisoirement à appliquer les dispositions en matière de déduction des fonds propres de catégorie 2, pour cause de détention d'instruments d'une entité spécifique du secteur financier, lorsque cette autorité estime que ces instruments sont détenus dans le cadre d'une opération d'assistance financière destinée à réorgan</w:t>
            </w:r>
            <w:r>
              <w:t>i</w:t>
            </w:r>
            <w:r>
              <w:t>ser et à sauver cette entité.</w:t>
            </w:r>
          </w:p>
          <w:p w:rsidR="005643EA" w:rsidRPr="00392FFD" w:rsidRDefault="002648B0" w:rsidP="00FD239F">
            <w:pPr>
              <w:pStyle w:val="InstructionsText"/>
            </w:pPr>
            <w:r>
              <w:t>Remarque: ces instruments seront également déclarés au poste 17.1.</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740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27</w:t>
            </w:r>
            <w:r w:rsidR="000F246D">
              <w:rPr>
                <w:rStyle w:val="InstructionsTabelleberschrift"/>
                <w:rFonts w:ascii="Times New Roman" w:hAnsi="Times New Roman"/>
                <w:sz w:val="24"/>
              </w:rPr>
              <w:tab/>
            </w:r>
            <w:r>
              <w:rPr>
                <w:rStyle w:val="InstructionsTabelleberschrift"/>
                <w:rFonts w:ascii="Times New Roman" w:hAnsi="Times New Roman"/>
                <w:sz w:val="24"/>
              </w:rPr>
              <w:t>Exigence globale de coussin de fonds propres</w:t>
            </w:r>
          </w:p>
          <w:p w:rsidR="005643EA" w:rsidRPr="00392FFD" w:rsidRDefault="002648B0" w:rsidP="00FD239F">
            <w:pPr>
              <w:pStyle w:val="InstructionsText"/>
            </w:pPr>
            <w:r>
              <w:t>Article 128, point 6), de la CRD</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AC0F2C" w:rsidP="00FD239F">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454139" w:rsidP="00FD239F">
            <w:pPr>
              <w:pStyle w:val="InstructionsText"/>
            </w:pPr>
            <w:r>
              <w:rPr>
                <w:rStyle w:val="InstructionsTabelleberschrift"/>
                <w:rFonts w:ascii="Times New Roman" w:hAnsi="Times New Roman"/>
                <w:sz w:val="24"/>
              </w:rPr>
              <w:t>Coussin de conservation de fonds propres</w:t>
            </w:r>
          </w:p>
          <w:p w:rsidR="005643EA" w:rsidRPr="00392FFD" w:rsidRDefault="002648B0" w:rsidP="00FD239F">
            <w:pPr>
              <w:pStyle w:val="InstructionsText"/>
            </w:pPr>
            <w:r>
              <w:t xml:space="preserve">Article 128, point 1), et article 129 de la CRD </w:t>
            </w:r>
          </w:p>
          <w:p w:rsidR="005643EA" w:rsidRPr="00392FFD" w:rsidRDefault="002648B0" w:rsidP="00FD239F">
            <w:pPr>
              <w:pStyle w:val="InstructionsText"/>
            </w:pPr>
            <w:r>
              <w:t>Aux termes de l'article 129, paragraphe 1, le coussin de conservation des fonds propres est un montant additionnel de fonds propres de base de c</w:t>
            </w:r>
            <w:r>
              <w:t>a</w:t>
            </w:r>
            <w:r>
              <w:t>tégorie 1. Étant donné que le taux de 2,5 % de ce coussin de conserv</w:t>
            </w:r>
            <w:r>
              <w:t>a</w:t>
            </w:r>
            <w:r>
              <w:t>tion des fonds propres est stable, un montant figurera dans cette cellule.</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Coussin de conservation découlant du risque </w:t>
            </w:r>
            <w:proofErr w:type="spellStart"/>
            <w:r>
              <w:rPr>
                <w:rStyle w:val="InstructionsTabelleberschrift"/>
                <w:rFonts w:ascii="Times New Roman" w:hAnsi="Times New Roman"/>
                <w:sz w:val="24"/>
              </w:rPr>
              <w:t>macroprudentiel</w:t>
            </w:r>
            <w:proofErr w:type="spellEnd"/>
            <w:r>
              <w:rPr>
                <w:rStyle w:val="InstructionsTabelleberschrift"/>
                <w:rFonts w:ascii="Times New Roman" w:hAnsi="Times New Roman"/>
                <w:sz w:val="24"/>
              </w:rPr>
              <w:t xml:space="preserve"> ou systémique constaté au niveau d'un État membre </w:t>
            </w:r>
          </w:p>
          <w:p w:rsidR="005643EA" w:rsidRPr="00392FFD" w:rsidRDefault="002648B0" w:rsidP="00FD239F">
            <w:pPr>
              <w:pStyle w:val="InstructionsText"/>
            </w:pPr>
            <w:r>
              <w:t>Article 458, paragraphe 2, point d iv), du CRR</w:t>
            </w:r>
          </w:p>
          <w:p w:rsidR="00DF65DF" w:rsidRPr="00392FFD" w:rsidRDefault="002648B0" w:rsidP="00FD239F">
            <w:pPr>
              <w:pStyle w:val="InstructionsText"/>
            </w:pPr>
            <w:r>
              <w:t xml:space="preserve">Dans cette cellule figure le montant du coussin de conservation en raison du risque </w:t>
            </w:r>
            <w:proofErr w:type="spellStart"/>
            <w:r>
              <w:t>macroprudentiel</w:t>
            </w:r>
            <w:proofErr w:type="spellEnd"/>
            <w:r>
              <w:t xml:space="preserve"> ou systémique constaté au niveau d'un État membre, qui peut être exigé en vertu de l'article 458 du CRR, en sus du coussin de conservation de fonds propres.</w:t>
            </w:r>
          </w:p>
          <w:p w:rsidR="005643EA" w:rsidRPr="00392FFD" w:rsidRDefault="00DF65DF" w:rsidP="00FD239F">
            <w:pPr>
              <w:pStyle w:val="InstructionsText"/>
            </w:pPr>
            <w:r>
              <w:t>Le montant déclaré représente le montant de fonds propres nécessaire pour satisfaire aux exigences de coussin de fonds propres respectives à la date de déclaration.</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770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10177C" w:rsidP="00FD239F">
            <w:pPr>
              <w:pStyle w:val="InstructionsText"/>
            </w:pPr>
            <w:r>
              <w:rPr>
                <w:rStyle w:val="InstructionsTabelleberschrift"/>
                <w:rFonts w:ascii="Times New Roman" w:hAnsi="Times New Roman"/>
                <w:sz w:val="24"/>
              </w:rPr>
              <w:t xml:space="preserve">Coussin de fonds propres </w:t>
            </w:r>
            <w:proofErr w:type="spellStart"/>
            <w:r>
              <w:rPr>
                <w:rStyle w:val="InstructionsTabelleberschrift"/>
                <w:rFonts w:ascii="Times New Roman" w:hAnsi="Times New Roman"/>
                <w:sz w:val="24"/>
              </w:rPr>
              <w:t>contracyclique</w:t>
            </w:r>
            <w:proofErr w:type="spellEnd"/>
            <w:r>
              <w:rPr>
                <w:rStyle w:val="InstructionsTabelleberschrift"/>
                <w:rFonts w:ascii="Times New Roman" w:hAnsi="Times New Roman"/>
                <w:sz w:val="24"/>
              </w:rPr>
              <w:t xml:space="preserve"> spécifique à l'établissement </w:t>
            </w:r>
          </w:p>
          <w:p w:rsidR="00DF65DF" w:rsidRPr="00392FFD" w:rsidRDefault="002648B0" w:rsidP="00FD239F">
            <w:pPr>
              <w:pStyle w:val="InstructionsText"/>
            </w:pPr>
            <w:r>
              <w:t xml:space="preserve">Article 128, point 2), article 130 et articles 135 à 140 de la CRD </w:t>
            </w:r>
          </w:p>
          <w:p w:rsidR="005643EA" w:rsidRPr="00392FFD" w:rsidRDefault="00DF65DF" w:rsidP="00FD239F">
            <w:pPr>
              <w:pStyle w:val="InstructionsText"/>
            </w:pPr>
            <w:r>
              <w:t>Le montant déclaré représente le montant de fonds propres nécessaire pour satisfaire aux exigences de coussin de fonds propres respectives à la date de déclaration.</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780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Coussin pour le risque systémique </w:t>
            </w:r>
          </w:p>
          <w:p w:rsidR="00DF65DF" w:rsidRPr="00392FFD" w:rsidRDefault="002648B0" w:rsidP="00FD239F">
            <w:pPr>
              <w:pStyle w:val="InstructionsText"/>
            </w:pPr>
            <w:r>
              <w:t xml:space="preserve">Article 128, point 5), et articles 133 et 134 de la CRD </w:t>
            </w:r>
          </w:p>
          <w:p w:rsidR="005643EA" w:rsidRPr="00392FFD" w:rsidRDefault="00DF65DF" w:rsidP="00FD239F">
            <w:pPr>
              <w:pStyle w:val="InstructionsText"/>
            </w:pPr>
            <w:r>
              <w:t>Le montant déclaré représente le montant de fonds propres nécessaire pour satisfaire aux exigences de coussin de fonds propres respectives à la date de déclaration.</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Coussin pour les établissements d'importance systémique mondiale</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Article 128, point 3), et article 131 de la CRD</w:t>
            </w:r>
          </w:p>
          <w:p w:rsidR="005643EA" w:rsidRPr="00201704" w:rsidRDefault="00DF65DF" w:rsidP="00FD239F">
            <w:pPr>
              <w:pStyle w:val="InstructionsText"/>
              <w:rPr>
                <w:rStyle w:val="InstructionsTabelleberschrift"/>
                <w:rFonts w:ascii="Times New Roman" w:hAnsi="Times New Roman"/>
                <w:b w:val="0"/>
                <w:bCs w:val="0"/>
                <w:sz w:val="24"/>
                <w:u w:val="none"/>
              </w:rPr>
            </w:pPr>
            <w:r>
              <w:t>Le montant déclaré représente le montant de fonds propres nécessaire pour satisfaire aux exigences de coussin de fonds propres respectives à la date de déclaration.</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lastRenderedPageBreak/>
              <w:t>810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Coussin pour les autres établissements d'importance systémique </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128, point 4), et article 131 de la CRD</w:t>
            </w:r>
          </w:p>
          <w:p w:rsidR="005643EA" w:rsidRPr="00201704" w:rsidRDefault="00DF65DF" w:rsidP="00FD239F">
            <w:pPr>
              <w:pStyle w:val="InstructionsText"/>
              <w:rPr>
                <w:rStyle w:val="InstructionsTabelleberschrift"/>
                <w:rFonts w:ascii="Times New Roman" w:hAnsi="Times New Roman"/>
                <w:b w:val="0"/>
                <w:bCs w:val="0"/>
                <w:sz w:val="24"/>
                <w:u w:val="none"/>
              </w:rPr>
            </w:pPr>
            <w:r>
              <w:t>Le montant déclaré représente le montant de fonds propres nécessaire pour satisfaire aux exigences de coussin de fonds propres respectives à la date de déclaration.</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820</w:t>
            </w:r>
          </w:p>
          <w:p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E81DB9"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sidR="000F246D">
              <w:rPr>
                <w:rStyle w:val="InstructionsTabelleberschrift"/>
                <w:rFonts w:ascii="Times New Roman" w:hAnsi="Times New Roman"/>
                <w:sz w:val="24"/>
              </w:rPr>
              <w:tab/>
            </w:r>
            <w:r>
              <w:rPr>
                <w:rStyle w:val="InstructionsTabelleberschrift"/>
                <w:rFonts w:ascii="Times New Roman" w:hAnsi="Times New Roman"/>
                <w:sz w:val="24"/>
              </w:rPr>
              <w:t>Exigences de fonds propres liées aux ajustements du pilier II</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104, paragraphe 2, de la CRD </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Lorsqu'une autorité compétente décide qu'un établissement doit calculer des exigences de fonds propres supplémentaires pour des raisons tenant au deuxième pilier, ces exigences supplémentaires seront déclarées dans cette cellule. </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830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sidR="000F246D">
              <w:rPr>
                <w:rStyle w:val="InstructionsTabelleberschrift"/>
                <w:rFonts w:ascii="Times New Roman" w:hAnsi="Times New Roman"/>
                <w:sz w:val="24"/>
              </w:rPr>
              <w:tab/>
            </w:r>
            <w:r>
              <w:rPr>
                <w:rStyle w:val="InstructionsTabelleberschrift"/>
                <w:rFonts w:ascii="Times New Roman" w:hAnsi="Times New Roman"/>
                <w:sz w:val="24"/>
              </w:rPr>
              <w:t>Capital initial</w:t>
            </w:r>
          </w:p>
          <w:p w:rsidR="005643EA" w:rsidRPr="00392FFD"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12 et articles 28 à 31 de la CRD, et article 93 du CRR</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sidR="000F246D">
              <w:rPr>
                <w:rStyle w:val="InstructionsTabelleberschrift"/>
                <w:rFonts w:ascii="Times New Roman" w:hAnsi="Times New Roman"/>
                <w:sz w:val="24"/>
              </w:rPr>
              <w:tab/>
            </w:r>
            <w:r>
              <w:rPr>
                <w:rStyle w:val="InstructionsTabelleberschrift"/>
                <w:rFonts w:ascii="Times New Roman" w:hAnsi="Times New Roman"/>
                <w:sz w:val="24"/>
              </w:rPr>
              <w:t>Exigences de fonds propres basées sur les frais généraux</w:t>
            </w:r>
          </w:p>
          <w:p w:rsidR="005643EA" w:rsidRPr="00201704"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96, paragraphe 2, point b), article 97 et article 98, paragraphe 1, point a), du CRR</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497D60" w:rsidP="00FD239F">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sidR="000F246D">
              <w:rPr>
                <w:rStyle w:val="InstructionsTabelleberschrift"/>
                <w:rFonts w:ascii="Times New Roman" w:hAnsi="Times New Roman"/>
                <w:sz w:val="24"/>
              </w:rPr>
              <w:tab/>
            </w:r>
            <w:r>
              <w:rPr>
                <w:rStyle w:val="InstructionsTabelleberschrift"/>
                <w:rFonts w:ascii="Times New Roman" w:hAnsi="Times New Roman"/>
                <w:sz w:val="24"/>
              </w:rPr>
              <w:t>Expositions initiales non domestiques</w:t>
            </w:r>
          </w:p>
          <w:p w:rsidR="00DD5F87" w:rsidRPr="00392FFD" w:rsidRDefault="00A774C1"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Données nécessaires au calcul du seuil de déclaration du modèle CR GB, conformément à l'article 5, point a), point 4), du présent règlement. Le calcul du seuil s'effectue sur la base de l'exposition initiale, avant appl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cation des facteurs de conversion. </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expositions sont réputées domestiques lorsqu'il s'agit d'expositions sur des contreparties situées dans l'État membre où l'établissement est 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tué.</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A774C1" w:rsidP="00FD239F">
            <w:pPr>
              <w:pStyle w:val="InstructionsText"/>
            </w:pPr>
            <w:r>
              <w:t>860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sidR="000F246D">
              <w:rPr>
                <w:rStyle w:val="InstructionsTabelleberschrift"/>
                <w:rFonts w:ascii="Times New Roman" w:hAnsi="Times New Roman"/>
                <w:sz w:val="24"/>
              </w:rPr>
              <w:tab/>
            </w:r>
            <w:r>
              <w:rPr>
                <w:rStyle w:val="InstructionsTabelleberschrift"/>
                <w:rFonts w:ascii="Times New Roman" w:hAnsi="Times New Roman"/>
                <w:sz w:val="24"/>
              </w:rPr>
              <w:t>Expositions initiales totales</w:t>
            </w:r>
          </w:p>
          <w:p w:rsidR="00DD5F87" w:rsidRPr="00392FFD" w:rsidRDefault="00FA386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Données nécessaires au calcul du seuil de déclaration du modèle CR GB, conformément à l'article 5, point a), point 4), du présent règlement. Le calcul du seuil s'effectue sur la base de l'exposition initiale, avant appl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cation des facteurs de conversion.</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expositions sont réputées domestiques lorsqu'il s'agit d'expositions sur des contreparties situées dans l'État membre où l'établissement est 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tué.</w:t>
            </w:r>
          </w:p>
        </w:tc>
      </w:tr>
      <w:tr w:rsidR="00700DFD"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392FFD" w:rsidRDefault="007E16E5" w:rsidP="00FD239F">
            <w:pPr>
              <w:pStyle w:val="InstructionsText"/>
            </w:pPr>
            <w:r>
              <w:t>870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Ajustements des fonds propres totaux</w:t>
            </w:r>
          </w:p>
          <w:p w:rsidR="00700DFD" w:rsidRPr="00392FFD" w:rsidRDefault="00700DF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500, paragraphe 4, du CRR</w:t>
            </w:r>
          </w:p>
          <w:p w:rsidR="00643362"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Déclarer sous cette position la différence entre le montant déclaré sous la position 880 et le montant total de fonds propres conformément au CRR. </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Si l'approche standard de remplacement (article 500, paragraphe 2, du </w:t>
            </w:r>
            <w:r>
              <w:rPr>
                <w:rStyle w:val="InstructionsTabelleberschrift"/>
                <w:rFonts w:ascii="Times New Roman" w:hAnsi="Times New Roman"/>
                <w:b w:val="0"/>
                <w:sz w:val="24"/>
                <w:u w:val="none"/>
              </w:rPr>
              <w:lastRenderedPageBreak/>
              <w:t>CRR) est appliquée, cette ligne doit rester vide.</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lastRenderedPageBreak/>
              <w:t>880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intégralement ajustés pour plancher Bâle I</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500, paragraphe 4, du CRR</w:t>
            </w:r>
          </w:p>
          <w:p w:rsidR="002540B2" w:rsidRPr="00392FFD" w:rsidRDefault="002540B2"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Déclarer sous cette position le total des fonds propres en vertu du CRR ajusté comme requis par l'article 500, paragraphe 4, du CRR (c'est-à-dire pleinement ajusté de manière à tenir compte des différences qui existent entre le calcul des fonds propres effectué conformément aux directives 93/6/CEE et 2000/12/CE, telles qu'elles étaient applicables avant le 1</w:t>
            </w:r>
            <w:r>
              <w:rPr>
                <w:rStyle w:val="InstructionsTabelleberschrift"/>
                <w:rFonts w:ascii="Times New Roman" w:hAnsi="Times New Roman"/>
                <w:b w:val="0"/>
                <w:sz w:val="24"/>
                <w:u w:val="none"/>
                <w:vertAlign w:val="superscript"/>
              </w:rPr>
              <w:t>er</w:t>
            </w:r>
            <w:r>
              <w:rPr>
                <w:rStyle w:val="InstructionsTabelleberschrift"/>
                <w:rFonts w:ascii="Times New Roman" w:hAnsi="Times New Roman"/>
                <w:b w:val="0"/>
                <w:sz w:val="24"/>
                <w:u w:val="none"/>
              </w:rPr>
              <w:t xml:space="preserve"> janvier 2007, et le calcul des fonds propres effectué conformément au CRR, ces différences découlant du traitement distinct réservé, en vertu de la troisième partie, titre II, chapitre 3, du CRR, aux pertes anticipées et non anticipées). </w:t>
            </w:r>
          </w:p>
          <w:p w:rsidR="00DE48EF" w:rsidRPr="00201704"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l'approche standard de remplacement (article 500, paragraphe 2, du CRR) est appliquée, cette ligne doit rester vide.</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890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Exigences de fonds propres pour plancher Bâle I</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500, paragraphe 1, point b), du CRR </w:t>
            </w:r>
          </w:p>
          <w:p w:rsidR="00DE48EF" w:rsidRPr="00392FFD"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Déclarer sous cette position le montant des fonds propres à détenir en vertu de l'article 500, paragraphe 1, point b) du CRR (c'est-à-dire à 80 % du montant minimal total de fonds propres que l'établissement serait t</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nu de détenir en vertu de l'article 4 de la directive 93/6/CEE, telle que cette directive et la directive 2000/12/CE du Parlement européen et du Conseil du 20 mars 2000 concernant l'accès à l'activité des établiss</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ments de crédit étaient applicables avant janvier 2007).</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Exigences de fonds propres pour plancher Bâle I - approche sta</w:t>
            </w:r>
            <w:r>
              <w:rPr>
                <w:rStyle w:val="InstructionsTabelleberschrift"/>
                <w:rFonts w:ascii="Times New Roman" w:hAnsi="Times New Roman"/>
                <w:sz w:val="24"/>
              </w:rPr>
              <w:t>n</w:t>
            </w:r>
            <w:r>
              <w:rPr>
                <w:rStyle w:val="InstructionsTabelleberschrift"/>
                <w:rFonts w:ascii="Times New Roman" w:hAnsi="Times New Roman"/>
                <w:sz w:val="24"/>
              </w:rPr>
              <w:t>dard (SA) de remplacement</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500, paragraphes 2 et 3, du CRR </w:t>
            </w:r>
          </w:p>
          <w:p w:rsidR="00DE48EF" w:rsidRPr="00201704"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Déclarer sous cette position le montant des fonds propres à détenir en vertu de l'article 500, paragraphe 2, du CRR (c'est-à-dire à 80 % des fonds propres que l'établissement serait tenu de détenir en vertu de l'a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ticle 92 en calculant les montants d'exposition pondérés conformément à la troisième partie, titre II, chapitre 2, et à la troisième partie, titre III, chapitre 2 ou 3 du CRR, selon le cas, plutôt que conformément à la tro</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sième partie, titre II, chapitre 3, ou à la troisième partie, titre III, chapitre 4 du CRR, selon le cas).</w:t>
            </w:r>
          </w:p>
        </w:tc>
      </w:tr>
      <w:tr w:rsidR="00A840D5"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392FFD" w:rsidRDefault="00A840D5" w:rsidP="00FD239F">
            <w:pPr>
              <w:pStyle w:val="InstructionsText"/>
            </w:pPr>
            <w:r>
              <w:t>910</w:t>
            </w:r>
          </w:p>
        </w:tc>
        <w:tc>
          <w:tcPr>
            <w:tcW w:w="7243" w:type="dxa"/>
            <w:tcBorders>
              <w:top w:val="single" w:sz="4" w:space="0" w:color="auto"/>
              <w:left w:val="single" w:sz="4" w:space="0" w:color="auto"/>
              <w:bottom w:val="single" w:sz="4" w:space="0" w:color="auto"/>
              <w:right w:val="single" w:sz="4" w:space="0" w:color="auto"/>
            </w:tcBorders>
          </w:tcPr>
          <w:p w:rsidR="002540B2" w:rsidRPr="00201704"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Déficit de fonds propres totaux en ce qui concerne les exigences de fonds propres pour plancher Bâle I ou SA de remplacement</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500, paragraphe 1, point b), et article 500, paragraphe 2, du CRR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Indiquer sur cette ligne:</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si l'article 500, paragraphe 1, point b) du CRR est appliqué et que la ligne 880 &lt; la ligne 890: la différence entre la ligne 890 et la ligne 880;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si l'article 500, paragraphe 2, du CRR est appliqué et que la ligne 010 de C 01.00 &lt; la ligne 900 de C 04.00: la différence entre la ligne 900 </w:t>
            </w:r>
            <w:r>
              <w:rPr>
                <w:rStyle w:val="InstructionsTabelleberschrift"/>
                <w:rFonts w:ascii="Times New Roman" w:hAnsi="Times New Roman"/>
                <w:b w:val="0"/>
                <w:sz w:val="24"/>
                <w:u w:val="none"/>
              </w:rPr>
              <w:lastRenderedPageBreak/>
              <w:t>de C 04.00 et la ligne 010 de C 01.00.</w:t>
            </w:r>
          </w:p>
        </w:tc>
      </w:tr>
    </w:tbl>
    <w:p w:rsidR="002648B0" w:rsidRPr="00392FFD" w:rsidRDefault="002648B0" w:rsidP="00FD239F">
      <w:pPr>
        <w:pStyle w:val="InstructionsText"/>
      </w:pPr>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85" w:name="_Toc360188333"/>
      <w:bookmarkStart w:id="86" w:name="_Toc516210616"/>
      <w:bookmarkStart w:id="87" w:name="_Toc473560881"/>
      <w:bookmarkStart w:id="88" w:name="_Toc308175834"/>
      <w:bookmarkStart w:id="89" w:name="_Toc524104155"/>
      <w:r>
        <w:rPr>
          <w:rFonts w:ascii="Times New Roman" w:hAnsi="Times New Roman"/>
          <w:sz w:val="24"/>
          <w:u w:val="none"/>
        </w:rPr>
        <w:t>1.6</w:t>
      </w:r>
      <w:r>
        <w:tab/>
      </w:r>
      <w:r>
        <w:rPr>
          <w:rFonts w:ascii="Times New Roman" w:hAnsi="Times New Roman"/>
          <w:sz w:val="24"/>
        </w:rPr>
        <w:t>DISPOSITIONS TRANSITOIRES et INSTRUMENTS BÉNÉFICIANT D'UNE CLAUSE D'ANTÉRIORITÉ: INSTRUMENTS NE CONSTITUANT PAS UNE AIDE D’ÉTAT (CA 5</w:t>
      </w:r>
      <w:bookmarkEnd w:id="85"/>
      <w:r>
        <w:rPr>
          <w:rFonts w:ascii="Times New Roman" w:hAnsi="Times New Roman"/>
          <w:sz w:val="24"/>
        </w:rPr>
        <w:t>)</w:t>
      </w:r>
      <w:bookmarkEnd w:id="86"/>
      <w:bookmarkEnd w:id="87"/>
      <w:bookmarkEnd w:id="89"/>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90" w:name="_Toc308175835"/>
      <w:bookmarkStart w:id="91" w:name="_Toc360188334"/>
      <w:bookmarkStart w:id="92" w:name="_Toc516210617"/>
      <w:bookmarkStart w:id="93" w:name="_Toc473560882"/>
      <w:bookmarkStart w:id="94" w:name="_Toc524104156"/>
      <w:bookmarkEnd w:id="88"/>
      <w:r>
        <w:rPr>
          <w:rFonts w:ascii="Times New Roman" w:hAnsi="Times New Roman"/>
          <w:sz w:val="24"/>
          <w:u w:val="none"/>
        </w:rPr>
        <w:t>1.6.1</w:t>
      </w:r>
      <w:r w:rsidRPr="000F246D">
        <w:rPr>
          <w:u w:val="none"/>
        </w:rPr>
        <w:tab/>
      </w:r>
      <w:r>
        <w:rPr>
          <w:rFonts w:ascii="Times New Roman" w:hAnsi="Times New Roman"/>
          <w:sz w:val="24"/>
        </w:rPr>
        <w:t>Remarques générales</w:t>
      </w:r>
      <w:bookmarkEnd w:id="90"/>
      <w:bookmarkEnd w:id="91"/>
      <w:bookmarkEnd w:id="92"/>
      <w:bookmarkEnd w:id="93"/>
      <w:bookmarkEnd w:id="94"/>
    </w:p>
    <w:p w:rsidR="00783881" w:rsidRPr="00392FFD" w:rsidRDefault="00B43C2A" w:rsidP="00C37B29">
      <w:pPr>
        <w:pStyle w:val="InstructionsText2"/>
        <w:numPr>
          <w:ilvl w:val="0"/>
          <w:numId w:val="0"/>
        </w:numPr>
        <w:ind w:left="993"/>
      </w:pPr>
      <w:r>
        <w:t>15.</w:t>
      </w:r>
      <w:r>
        <w:tab/>
        <w:t>Le modèle CA5 synthétise le calcul des éléments de fonds propres et des d</w:t>
      </w:r>
      <w:r>
        <w:t>é</w:t>
      </w:r>
      <w:r>
        <w:t xml:space="preserve">ductions soumises aux dispositions transitoires énoncées dans les articles 465 à 491 du CRR. </w:t>
      </w:r>
    </w:p>
    <w:p w:rsidR="00496C53" w:rsidRPr="00392FFD" w:rsidRDefault="00125707" w:rsidP="00C37B29">
      <w:pPr>
        <w:pStyle w:val="InstructionsText2"/>
        <w:numPr>
          <w:ilvl w:val="0"/>
          <w:numId w:val="0"/>
        </w:numPr>
        <w:ind w:left="993"/>
      </w:pPr>
      <w:r>
        <w:t>16.</w:t>
      </w:r>
      <w:r>
        <w:tab/>
        <w:t>Le CA5 est structuré comme suit:</w:t>
      </w:r>
    </w:p>
    <w:p w:rsidR="002648B0" w:rsidRPr="00392FFD" w:rsidRDefault="00125707" w:rsidP="00C37B29">
      <w:pPr>
        <w:pStyle w:val="InstructionsText2"/>
        <w:numPr>
          <w:ilvl w:val="0"/>
          <w:numId w:val="0"/>
        </w:numPr>
        <w:ind w:left="993"/>
      </w:pPr>
      <w:r>
        <w:t>(a)</w:t>
      </w:r>
      <w:r>
        <w:tab/>
        <w:t xml:space="preserve">Le </w:t>
      </w:r>
      <w:r>
        <w:rPr>
          <w:u w:val="single"/>
        </w:rPr>
        <w:t>modèle 5.1</w:t>
      </w:r>
      <w:r>
        <w:t xml:space="preserve"> traite de tous les ajustements à appliquer aux différentes comp</w:t>
      </w:r>
      <w:r>
        <w:t>o</w:t>
      </w:r>
      <w:r>
        <w:t>santes des fonds propres (déclarées dans le CA1 conformément aux dispositions f</w:t>
      </w:r>
      <w:r>
        <w:t>i</w:t>
      </w:r>
      <w:r>
        <w:t>nales) en raison de l'application des dispositions transitoires. Les éléments de ce t</w:t>
      </w:r>
      <w:r>
        <w:t>a</w:t>
      </w:r>
      <w:r>
        <w:t>bleau sont présentés comme des «ajustements» apportés aux diverses composantes des fonds propres de CA1, afin de refléter les effets des dispositions transitoires dans les composantes des fonds propres.</w:t>
      </w:r>
    </w:p>
    <w:p w:rsidR="002648B0" w:rsidRPr="00392FFD" w:rsidRDefault="00125707" w:rsidP="00C37B29">
      <w:pPr>
        <w:pStyle w:val="InstructionsText2"/>
        <w:numPr>
          <w:ilvl w:val="0"/>
          <w:numId w:val="0"/>
        </w:numPr>
        <w:ind w:left="993"/>
      </w:pPr>
      <w:r>
        <w:t>(b)</w:t>
      </w:r>
      <w:r>
        <w:tab/>
        <w:t xml:space="preserve">Le </w:t>
      </w:r>
      <w:r>
        <w:rPr>
          <w:u w:val="single"/>
        </w:rPr>
        <w:t>modèle 5.2</w:t>
      </w:r>
      <w:r>
        <w:t xml:space="preserve"> détaille le calcul des instruments bénéficiant d'une clause d'ant</w:t>
      </w:r>
      <w:r>
        <w:t>é</w:t>
      </w:r>
      <w:r>
        <w:t xml:space="preserve">riorité et qui ne constituent pas une aide d'État. </w:t>
      </w:r>
    </w:p>
    <w:p w:rsidR="005643EA" w:rsidRPr="00392FFD" w:rsidRDefault="00125707" w:rsidP="00C37B29">
      <w:pPr>
        <w:pStyle w:val="InstructionsText2"/>
        <w:numPr>
          <w:ilvl w:val="0"/>
          <w:numId w:val="0"/>
        </w:numPr>
        <w:ind w:left="993"/>
      </w:pPr>
      <w:bookmarkStart w:id="95" w:name="_Toc307386943"/>
      <w:r>
        <w:t>17.</w:t>
      </w:r>
      <w:r>
        <w:tab/>
        <w:t>Dans les quatre premières colonnes, les établissements déclarent les ajust</w:t>
      </w:r>
      <w:r>
        <w:t>e</w:t>
      </w:r>
      <w:r>
        <w:t>ments apportés aux fonds propres de base de catégorie 1, aux fonds propres add</w:t>
      </w:r>
      <w:r>
        <w:t>i</w:t>
      </w:r>
      <w:r>
        <w:t>tionnels de catégorie 1, aux fonds propres de catégorie 2, ainsi qu'au montant à tra</w:t>
      </w:r>
      <w:r>
        <w:t>i</w:t>
      </w:r>
      <w:r>
        <w:t>ter comme des actifs pondérés par le risque. De même, les établissements sont tenus de déclarer le pourcentage applicable dans la colonne 050 et le montant éligible, sans application des dispositions transitoires, dans la colonne 060.</w:t>
      </w:r>
    </w:p>
    <w:p w:rsidR="005643EA" w:rsidRPr="00392FFD" w:rsidRDefault="00125707" w:rsidP="00C37B29">
      <w:pPr>
        <w:pStyle w:val="InstructionsText2"/>
        <w:numPr>
          <w:ilvl w:val="0"/>
          <w:numId w:val="0"/>
        </w:numPr>
        <w:ind w:left="993"/>
      </w:pPr>
      <w:r>
        <w:t>18.</w:t>
      </w:r>
      <w:r>
        <w:tab/>
        <w:t>Les établissements ne déclareront les éléments dans CA5 que durant la période d'application des dispositions transitoires, conformément à la dixième partie du CRR.</w:t>
      </w:r>
    </w:p>
    <w:p w:rsidR="005643EA" w:rsidRPr="00392FFD" w:rsidRDefault="00125707" w:rsidP="00C37B29">
      <w:pPr>
        <w:pStyle w:val="InstructionsText2"/>
        <w:numPr>
          <w:ilvl w:val="0"/>
          <w:numId w:val="0"/>
        </w:numPr>
        <w:ind w:left="993"/>
      </w:pPr>
      <w:r>
        <w:t>19.</w:t>
      </w:r>
      <w:r>
        <w:tab/>
        <w:t>Certaines dispositions transitoires exigent une déduction des fonds propres de catégorie 1. Dans ce cas, le montant résiduel d'une ou plusieurs déductions est a</w:t>
      </w:r>
      <w:r>
        <w:t>p</w:t>
      </w:r>
      <w:r>
        <w:t>pliqué aux fonds propres de catégorie 1; si les fonds propres additionnels de catég</w:t>
      </w:r>
      <w:r>
        <w:t>o</w:t>
      </w:r>
      <w:r>
        <w:t>rie 1 ne suffisent pas à absorber ce montant, l'excédent sera déduit des fonds propres de base de catégorie 1.</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96" w:name="_Toc516210618"/>
      <w:bookmarkStart w:id="97" w:name="_Toc473560883"/>
      <w:bookmarkStart w:id="98" w:name="_Toc360188335"/>
      <w:bookmarkStart w:id="99" w:name="_Toc308175836"/>
      <w:bookmarkStart w:id="100" w:name="_Toc524104157"/>
      <w:bookmarkEnd w:id="95"/>
      <w:r>
        <w:rPr>
          <w:rFonts w:ascii="Times New Roman" w:hAnsi="Times New Roman"/>
          <w:sz w:val="24"/>
          <w:u w:val="none"/>
        </w:rPr>
        <w:t>1.6.2.</w:t>
      </w:r>
      <w:r w:rsidRPr="000F246D">
        <w:rPr>
          <w:u w:val="none"/>
        </w:rPr>
        <w:tab/>
      </w:r>
      <w:r>
        <w:rPr>
          <w:rFonts w:ascii="Times New Roman" w:hAnsi="Times New Roman"/>
          <w:sz w:val="24"/>
        </w:rPr>
        <w:t>C 05.01 - DISPOSITIONS TRANSITOIRES (CA5.1)</w:t>
      </w:r>
      <w:bookmarkEnd w:id="96"/>
      <w:bookmarkEnd w:id="97"/>
      <w:bookmarkEnd w:id="100"/>
      <w:r>
        <w:rPr>
          <w:rFonts w:ascii="Times New Roman" w:hAnsi="Times New Roman"/>
          <w:sz w:val="24"/>
        </w:rPr>
        <w:t xml:space="preserve"> </w:t>
      </w:r>
      <w:bookmarkEnd w:id="98"/>
      <w:bookmarkEnd w:id="99"/>
    </w:p>
    <w:p w:rsidR="002648B0" w:rsidRPr="00392FFD" w:rsidRDefault="00125707" w:rsidP="00C37B29">
      <w:pPr>
        <w:pStyle w:val="InstructionsText2"/>
        <w:numPr>
          <w:ilvl w:val="0"/>
          <w:numId w:val="0"/>
        </w:numPr>
        <w:ind w:left="993"/>
      </w:pPr>
      <w:r>
        <w:t>20.</w:t>
      </w:r>
      <w:r>
        <w:tab/>
        <w:t xml:space="preserve">Dans le tableau 5.1, les établissements déclarent les dispositions transitoires pour les composantes des fonds propres, comme énoncé dans les articles 465 à 491 du CRR, par rapport à l'application des dispositions finales énoncées à la deuxième partie, titre II du CRR. </w:t>
      </w:r>
    </w:p>
    <w:p w:rsidR="00783881" w:rsidRPr="00392FFD" w:rsidRDefault="00125707" w:rsidP="00C37B29">
      <w:pPr>
        <w:pStyle w:val="InstructionsText2"/>
        <w:numPr>
          <w:ilvl w:val="0"/>
          <w:numId w:val="0"/>
        </w:numPr>
        <w:ind w:left="993"/>
      </w:pPr>
      <w:r>
        <w:t>21.</w:t>
      </w:r>
      <w:r>
        <w:tab/>
        <w:t>Dans les lignes 020 à 060, les établissements déclarent les informations rel</w:t>
      </w:r>
      <w:r>
        <w:t>a</w:t>
      </w:r>
      <w:r>
        <w:t xml:space="preserve">tives aux dispositions transitoires pour les instruments bénéficiant d'une clause </w:t>
      </w:r>
      <w:r>
        <w:lastRenderedPageBreak/>
        <w:t>d'antériorité. Les montants à déclarer dans les colonnes 010 à 030 de la ligne 060 du modèle CA 5.1 peuvent provenir des sections respectives du modèle CA 5.2.</w:t>
      </w:r>
    </w:p>
    <w:p w:rsidR="00496C53" w:rsidRPr="00392FFD" w:rsidRDefault="00125707" w:rsidP="00C37B29">
      <w:pPr>
        <w:pStyle w:val="InstructionsText2"/>
        <w:numPr>
          <w:ilvl w:val="0"/>
          <w:numId w:val="0"/>
        </w:numPr>
        <w:ind w:left="993"/>
      </w:pPr>
      <w:r>
        <w:t>22.</w:t>
      </w:r>
      <w:r>
        <w:tab/>
        <w:t>Dans les colonnes 070 à 092, les établissements déclarent les informations rel</w:t>
      </w:r>
      <w:r>
        <w:t>a</w:t>
      </w:r>
      <w:r>
        <w:t>tives aux dispositions transitoires pour les intérêts minoritaires, les instruments de fonds propres additionnels de catégorie 1 et les instruments de fonds propres de c</w:t>
      </w:r>
      <w:r>
        <w:t>a</w:t>
      </w:r>
      <w:r>
        <w:t>tégorie 2 émis par les filiales (conformément aux articles 479 et 480 du CRR).</w:t>
      </w:r>
    </w:p>
    <w:p w:rsidR="00783881" w:rsidRPr="00392FFD" w:rsidRDefault="00125707" w:rsidP="00C37B29">
      <w:pPr>
        <w:pStyle w:val="InstructionsText2"/>
        <w:numPr>
          <w:ilvl w:val="0"/>
          <w:numId w:val="0"/>
        </w:numPr>
        <w:ind w:left="993"/>
      </w:pPr>
      <w:r>
        <w:t>23.</w:t>
      </w:r>
      <w:r>
        <w:tab/>
        <w:t>À partir de la colonne 100, les établissements déclarent les informations liées aux dispositions transitoires pour les pertes et gains non réalisés, les déductions ai</w:t>
      </w:r>
      <w:r>
        <w:t>n</w:t>
      </w:r>
      <w:r>
        <w:t>si que les filtres et déductions supplémentaires.</w:t>
      </w:r>
    </w:p>
    <w:p w:rsidR="005643EA" w:rsidRPr="00392FFD" w:rsidRDefault="00125707" w:rsidP="00C37B29">
      <w:pPr>
        <w:pStyle w:val="InstructionsText2"/>
        <w:numPr>
          <w:ilvl w:val="0"/>
          <w:numId w:val="0"/>
        </w:numPr>
        <w:ind w:left="993"/>
      </w:pPr>
      <w:r>
        <w:t>24.</w:t>
      </w:r>
      <w:r>
        <w:tab/>
        <w:t>Dans certains cas, les déductions transitoires de fonds propres de base de cat</w:t>
      </w:r>
      <w:r>
        <w:t>é</w:t>
      </w:r>
      <w:r>
        <w:t>gorie 1, de fonds propres additionnels de catégorie 1 ou de fonds propres de catég</w:t>
      </w:r>
      <w:r>
        <w:t>o</w:t>
      </w:r>
      <w:r>
        <w:t>rie 2 pourraient être supérieures aux fonds propres de base de catégorie 1, aux fonds propres additionnels de catégorie 1 ou aux fonds propres de catégorie 2 d'un ét</w:t>
      </w:r>
      <w:r>
        <w:t>a</w:t>
      </w:r>
      <w:r>
        <w:t xml:space="preserve">blissement. Cet effet, lorsqu'il découle des dispositions transitoires, sera indiqué dans le modèle CA1, dans les cellules respectives. En conséquence, les ajustements figurant dans les colonnes du modèle CA5 ne comprennent aucune retombée due à un manque de fonds propres disponibles. </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1" w:name="_Toc360188336"/>
      <w:bookmarkStart w:id="102" w:name="_Toc516210619"/>
      <w:bookmarkStart w:id="103" w:name="_Toc473560884"/>
      <w:bookmarkStart w:id="104" w:name="_Toc524104158"/>
      <w:r>
        <w:rPr>
          <w:rFonts w:ascii="Times New Roman" w:hAnsi="Times New Roman"/>
          <w:sz w:val="24"/>
          <w:u w:val="none"/>
        </w:rPr>
        <w:t>1.6.2.1.</w:t>
      </w:r>
      <w:r w:rsidRPr="000F246D">
        <w:rPr>
          <w:u w:val="none"/>
        </w:rPr>
        <w:tab/>
      </w:r>
      <w:r>
        <w:rPr>
          <w:rFonts w:ascii="Times New Roman" w:hAnsi="Times New Roman"/>
          <w:sz w:val="24"/>
        </w:rPr>
        <w:t>Instructions concernant certaines positions</w:t>
      </w:r>
      <w:bookmarkEnd w:id="101"/>
      <w:bookmarkEnd w:id="102"/>
      <w:bookmarkEnd w:id="103"/>
      <w:bookmarkEnd w:id="104"/>
    </w:p>
    <w:p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rsidTr="00672D2A">
        <w:tc>
          <w:tcPr>
            <w:tcW w:w="8372" w:type="dxa"/>
            <w:gridSpan w:val="2"/>
            <w:shd w:val="clear" w:color="auto" w:fill="D9D9D9"/>
          </w:tcPr>
          <w:p w:rsidR="00783881" w:rsidRPr="00392FFD" w:rsidRDefault="002648B0" w:rsidP="00FD239F">
            <w:pPr>
              <w:pStyle w:val="InstructionsText"/>
            </w:pPr>
            <w:r>
              <w:t>Colonne</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Ajustements des fonds propres CET1</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Ajustements des fonds propres AT1</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Ajustements des fonds propres T2</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Ajustements inclus dans les actifs pondérés en fonction du risque</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Dans la colonne 040 figurent les montants pertinents ajustant le montant total d'exposition au risque visé à l'article 92, paragraphe 3, du CRR, en raison des dispositions transitoires. Les montants déclarés prennent en co</w:t>
            </w:r>
            <w:r>
              <w:rPr>
                <w:rStyle w:val="InstructionsTabelleText"/>
                <w:rFonts w:ascii="Times New Roman" w:hAnsi="Times New Roman"/>
                <w:sz w:val="24"/>
              </w:rPr>
              <w:t>n</w:t>
            </w:r>
            <w:r>
              <w:rPr>
                <w:rStyle w:val="InstructionsTabelleText"/>
                <w:rFonts w:ascii="Times New Roman" w:hAnsi="Times New Roman"/>
                <w:sz w:val="24"/>
              </w:rPr>
              <w:t>sidération l'application des dispositions du chapitre 2 ou du chapitre 3 du titre II de la troisième partie ou de celles du titre IV de la troisième partie, conformément à l'article 92, paragraphe 4, du CRR. Cela signifie que les montants transitoires soumis aux dispositions du chapitre 2 ou du chapitre 3 du titre II de la troisième partie doivent être déclarés comme des mo</w:t>
            </w:r>
            <w:r>
              <w:rPr>
                <w:rStyle w:val="InstructionsTabelleText"/>
                <w:rFonts w:ascii="Times New Roman" w:hAnsi="Times New Roman"/>
                <w:sz w:val="24"/>
              </w:rPr>
              <w:t>n</w:t>
            </w:r>
            <w:r>
              <w:rPr>
                <w:rStyle w:val="InstructionsTabelleText"/>
                <w:rFonts w:ascii="Times New Roman" w:hAnsi="Times New Roman"/>
                <w:sz w:val="24"/>
              </w:rPr>
              <w:t>tants d'exposition pondérés, alors que les montants transitoires soumis aux dispositions du titre IV de la troisième partie doivent correspondre aux ex</w:t>
            </w:r>
            <w:r>
              <w:rPr>
                <w:rStyle w:val="InstructionsTabelleText"/>
                <w:rFonts w:ascii="Times New Roman" w:hAnsi="Times New Roman"/>
                <w:sz w:val="24"/>
              </w:rPr>
              <w:t>i</w:t>
            </w:r>
            <w:r>
              <w:rPr>
                <w:rStyle w:val="InstructionsTabelleText"/>
                <w:rFonts w:ascii="Times New Roman" w:hAnsi="Times New Roman"/>
                <w:sz w:val="24"/>
              </w:rPr>
              <w:t>gences de fonds propres multipliées par 12,5.</w:t>
            </w:r>
          </w:p>
          <w:p w:rsidR="005643EA" w:rsidRPr="00201704" w:rsidRDefault="00B4177D"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Alors que les colonnes 010 à 030 ont un lien direct avec le modèle CA1, les ajustements du montant total d'exposition au risque n'ont aucun lien d</w:t>
            </w:r>
            <w:r>
              <w:rPr>
                <w:rStyle w:val="InstructionsTabelleText"/>
                <w:rFonts w:ascii="Times New Roman" w:hAnsi="Times New Roman"/>
                <w:sz w:val="24"/>
              </w:rPr>
              <w:t>i</w:t>
            </w:r>
            <w:r>
              <w:rPr>
                <w:rStyle w:val="InstructionsTabelleText"/>
                <w:rFonts w:ascii="Times New Roman" w:hAnsi="Times New Roman"/>
                <w:sz w:val="24"/>
              </w:rPr>
              <w:t xml:space="preserve">rect avec les modèles correspondant traitant du risque de crédit. S'il y a des ajustements du montant total d'exposition au risque dus aux dispositions transitoires, ces ajustements seront directement inclus dans le modèle CR SA, CR IRB, CR EQU IRB, MKR SA TDI, MKR SA EQU ou MKR IM. Ces effets seront par ailleurs déclarés dans la colonne 040 du CA5.1. Dès </w:t>
            </w:r>
            <w:r>
              <w:rPr>
                <w:rStyle w:val="InstructionsTabelleText"/>
                <w:rFonts w:ascii="Times New Roman" w:hAnsi="Times New Roman"/>
                <w:sz w:val="24"/>
              </w:rPr>
              <w:lastRenderedPageBreak/>
              <w:t xml:space="preserve">lors, ces montants ne représentent que des postes pour mémoire. </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Pourcentage applicable</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éligible sans dispositions transitoires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La colonne 060 inclut le montant de chaque instrument avant application des dispositions transitoires, soit le montant de base nécessaire pour calc</w:t>
            </w:r>
            <w:r>
              <w:rPr>
                <w:rStyle w:val="InstructionsTabelleText"/>
                <w:rFonts w:ascii="Times New Roman" w:hAnsi="Times New Roman"/>
                <w:sz w:val="24"/>
              </w:rPr>
              <w:t>u</w:t>
            </w:r>
            <w:r>
              <w:rPr>
                <w:rStyle w:val="InstructionsTabelleText"/>
                <w:rFonts w:ascii="Times New Roman" w:hAnsi="Times New Roman"/>
                <w:sz w:val="24"/>
              </w:rPr>
              <w:t>ler les ajustements.</w:t>
            </w:r>
          </w:p>
        </w:tc>
      </w:tr>
    </w:tbl>
    <w:p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rsidTr="00672D2A">
        <w:tc>
          <w:tcPr>
            <w:tcW w:w="8490" w:type="dxa"/>
            <w:gridSpan w:val="2"/>
            <w:shd w:val="clear" w:color="auto" w:fill="D9D9D9"/>
          </w:tcPr>
          <w:p w:rsidR="002648B0" w:rsidRPr="00392FFD" w:rsidRDefault="002648B0" w:rsidP="00FD239F">
            <w:pPr>
              <w:pStyle w:val="InstructionsText"/>
            </w:pPr>
            <w:r>
              <w:t>Ligne</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201704" w:rsidRDefault="00C66473"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sidR="000F246D">
              <w:rPr>
                <w:rStyle w:val="InstructionsTabelleberschrift"/>
                <w:rFonts w:ascii="Times New Roman" w:hAnsi="Times New Roman"/>
                <w:sz w:val="24"/>
              </w:rPr>
              <w:tab/>
            </w:r>
            <w:r>
              <w:rPr>
                <w:rStyle w:val="InstructionsTabelleberschrift"/>
                <w:rFonts w:ascii="Times New Roman" w:hAnsi="Times New Roman"/>
                <w:sz w:val="24"/>
              </w:rPr>
              <w:t>Total ajustements</w:t>
            </w:r>
          </w:p>
          <w:p w:rsidR="002648B0" w:rsidRPr="00201704" w:rsidRDefault="002648B0" w:rsidP="007106FB">
            <w:pPr>
              <w:spacing w:before="0"/>
              <w:rPr>
                <w:rStyle w:val="FormatvorlageInstructionsTabelleText"/>
                <w:rFonts w:ascii="Times New Roman" w:hAnsi="Times New Roman"/>
                <w:bCs w:val="0"/>
                <w:sz w:val="24"/>
              </w:rPr>
            </w:pPr>
            <w:r>
              <w:rPr>
                <w:rStyle w:val="InstructionsTabelleText"/>
                <w:rFonts w:ascii="Times New Roman" w:hAnsi="Times New Roman"/>
                <w:sz w:val="24"/>
              </w:rPr>
              <w:t>Cette ligne reflète l'effet global des ajustements transitoires apportés aux différents types de fonds propres, plus les montants pondérés par le risque issus de ces ajustements.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020 </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sidR="000F246D">
              <w:rPr>
                <w:rStyle w:val="InstructionsTabelleberschrift"/>
                <w:rFonts w:ascii="Times New Roman" w:hAnsi="Times New Roman"/>
                <w:sz w:val="24"/>
              </w:rPr>
              <w:tab/>
            </w:r>
            <w:r>
              <w:rPr>
                <w:rStyle w:val="InstructionsTabelleberschrift"/>
                <w:rFonts w:ascii="Times New Roman" w:hAnsi="Times New Roman"/>
                <w:sz w:val="24"/>
              </w:rPr>
              <w:t>Instruments bénéficiant d'une clause d'antériorité</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Articles 483 à 491 du CRR</w:t>
            </w:r>
          </w:p>
          <w:p w:rsidR="002648B0" w:rsidRPr="00392FFD"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Cette ligne reflète l'effet global des instruments bénéficiant de façon trans</w:t>
            </w:r>
            <w:r>
              <w:rPr>
                <w:rStyle w:val="InstructionsTabelleText"/>
                <w:rFonts w:ascii="Times New Roman" w:hAnsi="Times New Roman"/>
                <w:sz w:val="24"/>
              </w:rPr>
              <w:t>i</w:t>
            </w:r>
            <w:r>
              <w:rPr>
                <w:rStyle w:val="InstructionsTabelleText"/>
                <w:rFonts w:ascii="Times New Roman" w:hAnsi="Times New Roman"/>
                <w:sz w:val="24"/>
              </w:rPr>
              <w:t>toire d'une clause d'antériorité, parmi les différents types de fonds propres.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w:t>
            </w:r>
            <w:r w:rsidR="000F246D">
              <w:rPr>
                <w:rStyle w:val="InstructionsTabelleberschrift"/>
                <w:rFonts w:ascii="Times New Roman" w:hAnsi="Times New Roman"/>
                <w:sz w:val="24"/>
              </w:rPr>
              <w:tab/>
            </w:r>
            <w:r>
              <w:rPr>
                <w:rStyle w:val="InstructionsTabelleberschrift"/>
                <w:rFonts w:ascii="Times New Roman" w:hAnsi="Times New Roman"/>
                <w:sz w:val="24"/>
              </w:rPr>
              <w:t>Instruments bénéficiant d'une clause d'antériorité: Instruments constituant une aide d'État</w:t>
            </w:r>
          </w:p>
          <w:p w:rsidR="002648B0" w:rsidRPr="00392FFD" w:rsidRDefault="002648B0" w:rsidP="007106FB">
            <w:pPr>
              <w:spacing w:before="0"/>
              <w:rPr>
                <w:rStyle w:val="InstructionsTabelleberschrift"/>
                <w:rFonts w:ascii="Times New Roman" w:hAnsi="Times New Roman"/>
                <w:sz w:val="24"/>
              </w:rPr>
            </w:pPr>
            <w:r>
              <w:rPr>
                <w:rStyle w:val="InstructionsTabelleText"/>
                <w:rFonts w:ascii="Times New Roman" w:hAnsi="Times New Roman"/>
                <w:sz w:val="24"/>
              </w:rPr>
              <w:t>Article 483 du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1.1.1.1</w:t>
            </w:r>
            <w:r w:rsidR="000F246D">
              <w:rPr>
                <w:rStyle w:val="InstructionsTabelleberschrift"/>
                <w:rFonts w:ascii="Times New Roman" w:hAnsi="Times New Roman"/>
                <w:sz w:val="24"/>
              </w:rPr>
              <w:tab/>
            </w:r>
            <w:r>
              <w:rPr>
                <w:rStyle w:val="InstructionsTabelleberschrift"/>
                <w:rFonts w:ascii="Times New Roman" w:hAnsi="Times New Roman"/>
                <w:sz w:val="24"/>
              </w:rPr>
              <w:t>Instruments éligibles au titre de fonds propres conformément à la directive 2006/48/CE</w:t>
            </w:r>
          </w:p>
          <w:p w:rsidR="005643EA" w:rsidRPr="00201704" w:rsidRDefault="002648B0" w:rsidP="00FD239F">
            <w:pPr>
              <w:pStyle w:val="InstructionsText"/>
              <w:rPr>
                <w:bCs/>
              </w:rPr>
            </w:pPr>
            <w:r>
              <w:rPr>
                <w:rStyle w:val="InstructionsTabelleText"/>
                <w:rFonts w:ascii="Times New Roman" w:hAnsi="Times New Roman"/>
                <w:sz w:val="24"/>
              </w:rPr>
              <w:t>Article 483, paragraphes 1, 2, 4 et 6, du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Instruments émis par des établissements constitués dans un État membre qui fait l'objet d'un programme d'ajustement écon</w:t>
            </w:r>
            <w:r>
              <w:rPr>
                <w:rStyle w:val="InstructionsTabelleberschrift"/>
                <w:rFonts w:ascii="Times New Roman" w:hAnsi="Times New Roman"/>
                <w:sz w:val="24"/>
              </w:rPr>
              <w:t>o</w:t>
            </w:r>
            <w:r>
              <w:rPr>
                <w:rStyle w:val="InstructionsTabelleberschrift"/>
                <w:rFonts w:ascii="Times New Roman" w:hAnsi="Times New Roman"/>
                <w:sz w:val="24"/>
              </w:rPr>
              <w:t>mique</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Article 483, paragraphes 1, 3, 5, 7 et 8, du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201704"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sidR="00DB00F1">
              <w:rPr>
                <w:rStyle w:val="InstructionsTabelleberschrift"/>
                <w:rFonts w:ascii="Times New Roman" w:hAnsi="Times New Roman"/>
                <w:sz w:val="24"/>
              </w:rPr>
              <w:tab/>
            </w:r>
            <w:r>
              <w:rPr>
                <w:rStyle w:val="InstructionsTabelleberschrift"/>
                <w:rFonts w:ascii="Times New Roman" w:hAnsi="Times New Roman"/>
                <w:sz w:val="24"/>
              </w:rPr>
              <w:t>Instruments ne constituant pas une aide d'État</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Les montants à déclarer sont ceux qui figurent dans la colonne 060 du t</w:t>
            </w:r>
            <w:r>
              <w:rPr>
                <w:rStyle w:val="InstructionsTabelleText"/>
                <w:rFonts w:ascii="Times New Roman" w:hAnsi="Times New Roman"/>
                <w:sz w:val="24"/>
              </w:rPr>
              <w:t>a</w:t>
            </w:r>
            <w:r>
              <w:rPr>
                <w:rStyle w:val="InstructionsTabelleText"/>
                <w:rFonts w:ascii="Times New Roman" w:hAnsi="Times New Roman"/>
                <w:sz w:val="24"/>
              </w:rPr>
              <w:t>bleau CA 5.2.</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sidR="00DB00F1">
              <w:rPr>
                <w:rStyle w:val="InstructionsTabelleberschrift"/>
                <w:rFonts w:ascii="Times New Roman" w:hAnsi="Times New Roman"/>
                <w:sz w:val="24"/>
              </w:rPr>
              <w:tab/>
            </w:r>
            <w:r>
              <w:rPr>
                <w:rStyle w:val="InstructionsTabelleberschrift"/>
                <w:rFonts w:ascii="Times New Roman" w:hAnsi="Times New Roman"/>
                <w:sz w:val="24"/>
              </w:rPr>
              <w:t>Intérêts minoritaires et équivalents</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Articles 479 et 480 du CRR</w:t>
            </w:r>
          </w:p>
          <w:p w:rsidR="002648B0" w:rsidRPr="00392FFD"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t>Cette ligne reflète les effets des dispositions transitoires pour les intérêts minoritaires éligibles en tant que fonds propres de base de catégorie 1; pour les instruments de fonds propres de catégorie 1 éligibles en tant que fonds propres additionnels de catégorie 1; et pour les fonds propres él</w:t>
            </w:r>
            <w:r>
              <w:rPr>
                <w:rStyle w:val="InstructionsTabelleText"/>
                <w:rFonts w:ascii="Times New Roman" w:hAnsi="Times New Roman"/>
                <w:sz w:val="24"/>
              </w:rPr>
              <w:t>i</w:t>
            </w:r>
            <w:r>
              <w:rPr>
                <w:rStyle w:val="InstructionsTabelleText"/>
                <w:rFonts w:ascii="Times New Roman" w:hAnsi="Times New Roman"/>
                <w:sz w:val="24"/>
              </w:rPr>
              <w:t>gibles en tant que fonds propres consolidés de catégorie 2.</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002D1093">
              <w:rPr>
                <w:rStyle w:val="InstructionsTabelleberschrift"/>
                <w:rFonts w:ascii="Times New Roman" w:hAnsi="Times New Roman"/>
                <w:sz w:val="24"/>
              </w:rPr>
              <w:tab/>
            </w:r>
            <w:r>
              <w:rPr>
                <w:rStyle w:val="InstructionsTabelleberschrift"/>
                <w:rFonts w:ascii="Times New Roman" w:hAnsi="Times New Roman"/>
                <w:sz w:val="24"/>
              </w:rPr>
              <w:t>Instruments et éléments de fonds propres non reconnus en tant qu'intérêts minoritaires</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Article 479 du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Le montant à déclarer dans la colonne 060 de cette ligne est le montant r</w:t>
            </w:r>
            <w:r>
              <w:rPr>
                <w:rStyle w:val="InstructionsTabelleText"/>
                <w:rFonts w:ascii="Times New Roman" w:hAnsi="Times New Roman"/>
                <w:sz w:val="24"/>
              </w:rPr>
              <w:t>e</w:t>
            </w:r>
            <w:r>
              <w:rPr>
                <w:rStyle w:val="InstructionsTabelleText"/>
                <w:rFonts w:ascii="Times New Roman" w:hAnsi="Times New Roman"/>
                <w:sz w:val="24"/>
              </w:rPr>
              <w:t>connaissable en tant que réserves consolidées en vertu des dispositions a</w:t>
            </w:r>
            <w:r>
              <w:rPr>
                <w:rStyle w:val="InstructionsTabelleText"/>
                <w:rFonts w:ascii="Times New Roman" w:hAnsi="Times New Roman"/>
                <w:sz w:val="24"/>
              </w:rPr>
              <w:t>n</w:t>
            </w:r>
            <w:r>
              <w:rPr>
                <w:rStyle w:val="InstructionsTabelleText"/>
                <w:rFonts w:ascii="Times New Roman" w:hAnsi="Times New Roman"/>
                <w:sz w:val="24"/>
              </w:rPr>
              <w:t xml:space="preserve">térieures. </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090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sidR="002D1093">
              <w:rPr>
                <w:rStyle w:val="InstructionsTabelleberschrift"/>
                <w:rFonts w:ascii="Times New Roman" w:hAnsi="Times New Roman"/>
                <w:sz w:val="24"/>
              </w:rPr>
              <w:tab/>
            </w:r>
            <w:r>
              <w:rPr>
                <w:rStyle w:val="InstructionsTabelleberschrift"/>
                <w:rFonts w:ascii="Times New Roman" w:hAnsi="Times New Roman"/>
                <w:sz w:val="24"/>
              </w:rPr>
              <w:t>Comptabilisation transitoire en fonds propres consolidés des i</w:t>
            </w:r>
            <w:r>
              <w:rPr>
                <w:rStyle w:val="InstructionsTabelleberschrift"/>
                <w:rFonts w:ascii="Times New Roman" w:hAnsi="Times New Roman"/>
                <w:sz w:val="24"/>
              </w:rPr>
              <w:t>n</w:t>
            </w:r>
            <w:r>
              <w:rPr>
                <w:rStyle w:val="InstructionsTabelleberschrift"/>
                <w:rFonts w:ascii="Times New Roman" w:hAnsi="Times New Roman"/>
                <w:sz w:val="24"/>
              </w:rPr>
              <w:t>térêts minoritaires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Articles 84 et 480 du CRR</w:t>
            </w:r>
          </w:p>
          <w:p w:rsidR="005643EA" w:rsidRPr="00201704" w:rsidRDefault="002648B0"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Le montant à déclarer dans la colonne 060 de cette ligne est le montant él</w:t>
            </w:r>
            <w:r>
              <w:rPr>
                <w:rStyle w:val="InstructionsTabelleText"/>
                <w:rFonts w:ascii="Times New Roman" w:hAnsi="Times New Roman"/>
                <w:sz w:val="24"/>
              </w:rPr>
              <w:t>i</w:t>
            </w:r>
            <w:r>
              <w:rPr>
                <w:rStyle w:val="InstructionsTabelleText"/>
                <w:rFonts w:ascii="Times New Roman" w:hAnsi="Times New Roman"/>
                <w:sz w:val="24"/>
              </w:rPr>
              <w:t>gible, hors dispositions transitoires.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091</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sidR="002D1093">
              <w:rPr>
                <w:rStyle w:val="InstructionsTabelleberschrift"/>
                <w:rFonts w:ascii="Times New Roman" w:hAnsi="Times New Roman"/>
                <w:sz w:val="24"/>
              </w:rPr>
              <w:tab/>
            </w:r>
            <w:r>
              <w:rPr>
                <w:rStyle w:val="InstructionsTabelleberschrift"/>
                <w:rFonts w:ascii="Times New Roman" w:hAnsi="Times New Roman"/>
                <w:sz w:val="24"/>
              </w:rPr>
              <w:t>Comptabilisation transitoire en fonds propres consolidés des fonds propres additionnels de catégorie 1 éligibles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Articles 85 et 480 du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Le montant à déclarer dans la colonne 060 de cette ligne est le montant él</w:t>
            </w:r>
            <w:r>
              <w:rPr>
                <w:rStyle w:val="InstructionsTabelleText"/>
                <w:rFonts w:ascii="Times New Roman" w:hAnsi="Times New Roman"/>
                <w:sz w:val="24"/>
              </w:rPr>
              <w:t>i</w:t>
            </w:r>
            <w:r>
              <w:rPr>
                <w:rStyle w:val="InstructionsTabelleText"/>
                <w:rFonts w:ascii="Times New Roman" w:hAnsi="Times New Roman"/>
                <w:sz w:val="24"/>
              </w:rPr>
              <w:t>gible, hors dispositions transitoires.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092</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sidR="002D1093">
              <w:rPr>
                <w:rStyle w:val="InstructionsTabelleberschrift"/>
                <w:rFonts w:ascii="Times New Roman" w:hAnsi="Times New Roman"/>
                <w:sz w:val="24"/>
              </w:rPr>
              <w:tab/>
            </w:r>
            <w:r>
              <w:rPr>
                <w:rStyle w:val="InstructionsTabelleberschrift"/>
                <w:rFonts w:ascii="Times New Roman" w:hAnsi="Times New Roman"/>
                <w:sz w:val="24"/>
              </w:rPr>
              <w:t>Comptabilisation transitoire en fonds propres consolidés des fonds propres de catégorie 2 éligibles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Articles 87 et 480 du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Le montant à déclarer dans la colonne 060 de cette ligne est le montant él</w:t>
            </w:r>
            <w:r>
              <w:rPr>
                <w:rStyle w:val="InstructionsTabelleText"/>
                <w:rFonts w:ascii="Times New Roman" w:hAnsi="Times New Roman"/>
                <w:sz w:val="24"/>
              </w:rPr>
              <w:t>i</w:t>
            </w:r>
            <w:r>
              <w:rPr>
                <w:rStyle w:val="InstructionsTabelleText"/>
                <w:rFonts w:ascii="Times New Roman" w:hAnsi="Times New Roman"/>
                <w:sz w:val="24"/>
              </w:rPr>
              <w:t>gible, hors dispositions transitoires.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sidR="002D1093">
              <w:rPr>
                <w:rStyle w:val="InstructionsTabelleberschrift"/>
                <w:rFonts w:ascii="Times New Roman" w:hAnsi="Times New Roman"/>
                <w:sz w:val="24"/>
              </w:rPr>
              <w:tab/>
            </w:r>
            <w:r>
              <w:rPr>
                <w:rStyle w:val="InstructionsTabelleberschrift"/>
                <w:rFonts w:ascii="Times New Roman" w:hAnsi="Times New Roman"/>
                <w:sz w:val="24"/>
              </w:rPr>
              <w:t>Autres ajustements transitoires</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Articles 467 à 478 et article 481 du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Cette ligne reflète l'effet global des ajustements transitoires apportés aux déductions des différents types de fonds propres, des pertes et gains non réalisés, des filtres et déductions supplémentaires, plus les montants pond</w:t>
            </w:r>
            <w:r>
              <w:rPr>
                <w:rStyle w:val="InstructionsTabelleText"/>
                <w:rFonts w:ascii="Times New Roman" w:hAnsi="Times New Roman"/>
                <w:sz w:val="24"/>
              </w:rPr>
              <w:t>é</w:t>
            </w:r>
            <w:r>
              <w:rPr>
                <w:rStyle w:val="InstructionsTabelleText"/>
                <w:rFonts w:ascii="Times New Roman" w:hAnsi="Times New Roman"/>
                <w:sz w:val="24"/>
              </w:rPr>
              <w:t>rés par le risque issus de ces ajustements.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1.3.1</w:t>
            </w:r>
            <w:r w:rsidR="002D1093">
              <w:rPr>
                <w:rStyle w:val="InstructionsTabelleberschrift"/>
                <w:rFonts w:ascii="Times New Roman" w:hAnsi="Times New Roman"/>
                <w:sz w:val="24"/>
              </w:rPr>
              <w:tab/>
            </w:r>
            <w:r>
              <w:rPr>
                <w:rStyle w:val="InstructionsTabelleberschrift"/>
                <w:rFonts w:ascii="Times New Roman" w:hAnsi="Times New Roman"/>
                <w:sz w:val="24"/>
              </w:rPr>
              <w:t>Pertes et gains non réalisés</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Articles 467 et 468 du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Cette ligne reflète l'effet global des dispositions transitoires sur les pertes et gains non réalisés et mesurés à la juste valeur.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rsidR="002D1093">
              <w:rPr>
                <w:rStyle w:val="InstructionsTabelleberschrift"/>
                <w:rFonts w:ascii="Times New Roman" w:hAnsi="Times New Roman"/>
                <w:sz w:val="24"/>
              </w:rPr>
              <w:tab/>
            </w:r>
            <w:r>
              <w:rPr>
                <w:rStyle w:val="InstructionsTabelleberschrift"/>
                <w:rFonts w:ascii="Times New Roman" w:hAnsi="Times New Roman"/>
                <w:sz w:val="24"/>
              </w:rPr>
              <w:t>Gains non réalisés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468, paragraphe 1, du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1.3.1.2</w:t>
            </w:r>
            <w:r w:rsidR="002D1093">
              <w:rPr>
                <w:rStyle w:val="InstructionsTabelleberschrift"/>
                <w:rFonts w:ascii="Times New Roman" w:hAnsi="Times New Roman"/>
                <w:sz w:val="24"/>
              </w:rPr>
              <w:tab/>
            </w:r>
            <w:r>
              <w:rPr>
                <w:rStyle w:val="InstructionsTabelleberschrift"/>
                <w:rFonts w:ascii="Times New Roman" w:hAnsi="Times New Roman"/>
                <w:sz w:val="24"/>
              </w:rPr>
              <w:t>Pertes non réalisées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467, paragraphe 1, du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133</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2D1093">
              <w:rPr>
                <w:rStyle w:val="InstructionsTabelleberschrift"/>
                <w:rFonts w:ascii="Times New Roman" w:hAnsi="Times New Roman"/>
                <w:sz w:val="24"/>
              </w:rPr>
              <w:tab/>
            </w:r>
            <w:r>
              <w:rPr>
                <w:rStyle w:val="InstructionsTabelleberschrift"/>
                <w:rFonts w:ascii="Times New Roman" w:hAnsi="Times New Roman"/>
                <w:sz w:val="24"/>
              </w:rPr>
              <w:t>Gains non réalisés qui sont liés à des expositions sur les adm</w:t>
            </w:r>
            <w:r>
              <w:rPr>
                <w:rStyle w:val="InstructionsTabelleberschrift"/>
                <w:rFonts w:ascii="Times New Roman" w:hAnsi="Times New Roman"/>
                <w:sz w:val="24"/>
              </w:rPr>
              <w:t>i</w:t>
            </w:r>
            <w:r>
              <w:rPr>
                <w:rStyle w:val="InstructionsTabelleberschrift"/>
                <w:rFonts w:ascii="Times New Roman" w:hAnsi="Times New Roman"/>
                <w:sz w:val="24"/>
              </w:rPr>
              <w:t>nistrations centrales classées dans la catégorie «Disponibles à la vente» de la norme comptable internationale IAS 39 telle qu'adoptée par l'UE</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468 du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136</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1.3.1.4</w:t>
            </w:r>
            <w:r w:rsidR="002D1093">
              <w:rPr>
                <w:rStyle w:val="InstructionsTabelleberschrift"/>
                <w:rFonts w:ascii="Times New Roman" w:hAnsi="Times New Roman"/>
                <w:sz w:val="24"/>
              </w:rPr>
              <w:tab/>
            </w:r>
            <w:r>
              <w:rPr>
                <w:rStyle w:val="InstructionsTabelleberschrift"/>
                <w:rFonts w:ascii="Times New Roman" w:hAnsi="Times New Roman"/>
                <w:sz w:val="24"/>
              </w:rPr>
              <w:t>Pertes non réalisées qui sont liées à des expositions sur les a</w:t>
            </w:r>
            <w:r>
              <w:rPr>
                <w:rStyle w:val="InstructionsTabelleberschrift"/>
                <w:rFonts w:ascii="Times New Roman" w:hAnsi="Times New Roman"/>
                <w:sz w:val="24"/>
              </w:rPr>
              <w:t>d</w:t>
            </w:r>
            <w:r>
              <w:rPr>
                <w:rStyle w:val="InstructionsTabelleberschrift"/>
                <w:rFonts w:ascii="Times New Roman" w:hAnsi="Times New Roman"/>
                <w:sz w:val="24"/>
              </w:rPr>
              <w:t>ministrations centrales classées dans la catégorie «Disponibles à la vente» de la norme comptable internationale IAS 39 telle qu'adoptée par l'UE</w:t>
            </w:r>
          </w:p>
          <w:p w:rsidR="00E06628"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Article 467 du CRR</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138</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1.3.1.5</w:t>
            </w:r>
            <w:r w:rsidR="002D1093">
              <w:rPr>
                <w:rStyle w:val="InstructionsTabelleberschrift"/>
                <w:rFonts w:ascii="Times New Roman" w:hAnsi="Times New Roman"/>
                <w:sz w:val="24"/>
              </w:rPr>
              <w:tab/>
            </w:r>
            <w:r>
              <w:rPr>
                <w:rStyle w:val="InstructionsTabelleberschrift"/>
                <w:rFonts w:ascii="Times New Roman" w:hAnsi="Times New Roman"/>
                <w:sz w:val="24"/>
              </w:rPr>
              <w:t>Pertes et gains en juste valeur résultant du propre risque de crédit de l'établissement lié aux instruments dérivés au passif du bilan</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468 du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sidR="002D1093">
              <w:rPr>
                <w:rStyle w:val="InstructionsTabelleberschrift"/>
                <w:rFonts w:ascii="Times New Roman" w:hAnsi="Times New Roman"/>
                <w:sz w:val="24"/>
              </w:rPr>
              <w:tab/>
            </w:r>
            <w:r>
              <w:rPr>
                <w:rStyle w:val="InstructionsTabelleberschrift"/>
                <w:rFonts w:ascii="Times New Roman" w:hAnsi="Times New Roman"/>
                <w:sz w:val="24"/>
              </w:rPr>
              <w:t>Déductions</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Article 36, paragraphe 1, et articles 469 à 478 du CRR</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Cette ligne reflète l'effet global des dispositions transitoires sur les dédu</w:t>
            </w:r>
            <w:r>
              <w:rPr>
                <w:rStyle w:val="InstructionsTabelleText"/>
                <w:rFonts w:ascii="Times New Roman" w:hAnsi="Times New Roman"/>
                <w:sz w:val="24"/>
              </w:rPr>
              <w:t>c</w:t>
            </w:r>
            <w:r>
              <w:rPr>
                <w:rStyle w:val="InstructionsTabelleText"/>
                <w:rFonts w:ascii="Times New Roman" w:hAnsi="Times New Roman"/>
                <w:sz w:val="24"/>
              </w:rPr>
              <w:t>tions.</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1.3.2.1.</w:t>
            </w:r>
            <w:r w:rsidR="002D1093">
              <w:rPr>
                <w:rStyle w:val="InstructionsTabelleberschrift"/>
                <w:rFonts w:ascii="Times New Roman" w:hAnsi="Times New Roman"/>
                <w:sz w:val="24"/>
              </w:rPr>
              <w:tab/>
            </w:r>
            <w:r>
              <w:rPr>
                <w:rStyle w:val="InstructionsTabelleberschrift"/>
                <w:rFonts w:ascii="Times New Roman" w:hAnsi="Times New Roman"/>
                <w:sz w:val="24"/>
              </w:rPr>
              <w:t>Résultats négatifs de l'exercice en cours</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Article 36, paragraphe 1, point a), article 469, paragraphe 1, article 472, paragraphe 3, et article 478 du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Le montant à déclarer dans la colonne 060 de cette ligne sera la déduction initiale conformément à l'article 36, paragraphe 1, point a) du CRR.</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Lorsque les entreprises ont été uniquement tenues de déduire les pertes s</w:t>
            </w:r>
            <w:r>
              <w:rPr>
                <w:rStyle w:val="InstructionsTabelleText"/>
                <w:rFonts w:ascii="Times New Roman" w:hAnsi="Times New Roman"/>
                <w:sz w:val="24"/>
              </w:rPr>
              <w:t>i</w:t>
            </w:r>
            <w:r>
              <w:rPr>
                <w:rStyle w:val="InstructionsTabelleText"/>
                <w:rFonts w:ascii="Times New Roman" w:hAnsi="Times New Roman"/>
                <w:sz w:val="24"/>
              </w:rPr>
              <w:t>gnificatives:</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si la perte nette intermédiaire totale était «significative», la totalité du montant résiduel sera déduite des fonds propres de catégorie 1, ou</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si la perte nette intermédiaire totale n'était pas «significative», aucune d</w:t>
            </w:r>
            <w:r>
              <w:rPr>
                <w:rStyle w:val="InstructionsTabelleText"/>
                <w:rFonts w:ascii="Times New Roman" w:hAnsi="Times New Roman"/>
                <w:sz w:val="24"/>
              </w:rPr>
              <w:t>é</w:t>
            </w:r>
            <w:r>
              <w:rPr>
                <w:rStyle w:val="InstructionsTabelleText"/>
                <w:rFonts w:ascii="Times New Roman" w:hAnsi="Times New Roman"/>
                <w:sz w:val="24"/>
              </w:rPr>
              <w:t>duction du montant résiduel ne sera effectuée.</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1.3.2.2.</w:t>
            </w:r>
            <w:r w:rsidR="002D1093">
              <w:rPr>
                <w:rStyle w:val="InstructionsTabelleberschrift"/>
                <w:rFonts w:ascii="Times New Roman" w:hAnsi="Times New Roman"/>
                <w:sz w:val="24"/>
              </w:rPr>
              <w:tab/>
            </w:r>
            <w:r>
              <w:rPr>
                <w:rStyle w:val="InstructionsTabelleberschrift"/>
                <w:rFonts w:ascii="Times New Roman" w:hAnsi="Times New Roman"/>
                <w:sz w:val="24"/>
              </w:rPr>
              <w:t>Immobilisations incorporelles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36, paragraphe 1, point b), article 469, paragraphe 1, article 472, paragraphe 4, et article 478 du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Lors du calcul du montant des immobilisations incorporelles à déduire, les établissements tiendront compte des dispositions de l'article 37 du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Le montant à déclarer dans la colonne 060 de cette ligne sera la déduction initiale conformément à l'article 36, paragraphe 1, point b), du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170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sidR="002D1093">
              <w:rPr>
                <w:rStyle w:val="InstructionsTabelleberschrift"/>
                <w:rFonts w:ascii="Times New Roman" w:hAnsi="Times New Roman"/>
                <w:sz w:val="24"/>
              </w:rPr>
              <w:tab/>
            </w:r>
            <w:r>
              <w:rPr>
                <w:rStyle w:val="InstructionsTabelleberschrift"/>
                <w:rFonts w:ascii="Times New Roman" w:hAnsi="Times New Roman"/>
                <w:sz w:val="24"/>
              </w:rPr>
              <w:t>Actifs d'impôt différé dépendant de bénéfices futurs et ne résultant pas de différences temporelles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36, paragraphe 1, point c), article 469, paragraphe 1, article 472, paragraphe 5, et article 478 du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Lors du calcul du montant de ces actifs d'impôt différé à déduire mentio</w:t>
            </w:r>
            <w:r>
              <w:rPr>
                <w:rStyle w:val="InstructionsTabelleText"/>
                <w:rFonts w:ascii="Times New Roman" w:hAnsi="Times New Roman"/>
                <w:sz w:val="24"/>
              </w:rPr>
              <w:t>n</w:t>
            </w:r>
            <w:r>
              <w:rPr>
                <w:rStyle w:val="InstructionsTabelleText"/>
                <w:rFonts w:ascii="Times New Roman" w:hAnsi="Times New Roman"/>
                <w:sz w:val="24"/>
              </w:rPr>
              <w:t>nés ci-dessus, les établissements tiendront compte des dispositions de l'a</w:t>
            </w:r>
            <w:r>
              <w:rPr>
                <w:rStyle w:val="InstructionsTabelleText"/>
                <w:rFonts w:ascii="Times New Roman" w:hAnsi="Times New Roman"/>
                <w:sz w:val="24"/>
              </w:rPr>
              <w:t>r</w:t>
            </w:r>
            <w:r>
              <w:rPr>
                <w:rStyle w:val="InstructionsTabelleText"/>
                <w:rFonts w:ascii="Times New Roman" w:hAnsi="Times New Roman"/>
                <w:sz w:val="24"/>
              </w:rPr>
              <w:t>ticle 38 du CRR concernant la réduction des actifs d'impôt différé par les passifs d'impôt différé.</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le montant total o</w:t>
            </w:r>
            <w:r>
              <w:rPr>
                <w:rStyle w:val="InstructionsTabelleText"/>
                <w:rFonts w:ascii="Times New Roman" w:hAnsi="Times New Roman"/>
                <w:sz w:val="24"/>
              </w:rPr>
              <w:t>b</w:t>
            </w:r>
            <w:r>
              <w:rPr>
                <w:rStyle w:val="InstructionsTabelleText"/>
                <w:rFonts w:ascii="Times New Roman" w:hAnsi="Times New Roman"/>
                <w:sz w:val="24"/>
              </w:rPr>
              <w:t>tenu conformément à l'article 469, paragraphe 1, du CRR.</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180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1.3.2.4.</w:t>
            </w:r>
            <w:r w:rsidR="002D1093">
              <w:rPr>
                <w:rStyle w:val="InstructionsTabelleberschrift"/>
                <w:rFonts w:ascii="Times New Roman" w:hAnsi="Times New Roman"/>
                <w:sz w:val="24"/>
              </w:rPr>
              <w:tab/>
            </w:r>
            <w:r>
              <w:rPr>
                <w:rStyle w:val="InstructionsTabelleberschrift"/>
                <w:rFonts w:ascii="Times New Roman" w:hAnsi="Times New Roman"/>
                <w:sz w:val="24"/>
              </w:rPr>
              <w:t>Insuffisance NI de provisions par rapport aux pertes a</w:t>
            </w:r>
            <w:r>
              <w:rPr>
                <w:rStyle w:val="InstructionsTabelleberschrift"/>
                <w:rFonts w:ascii="Times New Roman" w:hAnsi="Times New Roman"/>
                <w:sz w:val="24"/>
              </w:rPr>
              <w:t>n</w:t>
            </w:r>
            <w:r>
              <w:rPr>
                <w:rStyle w:val="InstructionsTabelleberschrift"/>
                <w:rFonts w:ascii="Times New Roman" w:hAnsi="Times New Roman"/>
                <w:sz w:val="24"/>
              </w:rPr>
              <w:t>ticipées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36, paragraphe 1, point d), article 469, paragraphe 1, article 472, paragraphe 6, et article 478 du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Lors du calcul du montant des provisions insuffisantes mentionnées ci-dessus, selon l'approche NI, pour couvrir les pertes anticipées à déduire, les établissements tiendront compte des dispositions de l'article 40 du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la déduction initiale visée à l'article 36, paragraphe 1, point d), du CRR.</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190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002D1093">
              <w:rPr>
                <w:rStyle w:val="InstructionsTabelleberschrift"/>
                <w:rFonts w:ascii="Times New Roman" w:hAnsi="Times New Roman"/>
                <w:sz w:val="24"/>
              </w:rPr>
              <w:tab/>
            </w:r>
            <w:r>
              <w:rPr>
                <w:rStyle w:val="InstructionsTabelleberschrift"/>
                <w:rFonts w:ascii="Times New Roman" w:hAnsi="Times New Roman"/>
                <w:sz w:val="24"/>
              </w:rPr>
              <w:t>Actifs de fonds de pension à prestations définies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33, paragraphe 1, point e), article 469, paragraphe 1, article 472, paragraphe 7, articles 473 et 478 du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Lors du calcul du montant des actifs de fonds de pension à prestations d</w:t>
            </w:r>
            <w:r>
              <w:rPr>
                <w:rStyle w:val="InstructionsTabelleText"/>
                <w:rFonts w:ascii="Times New Roman" w:hAnsi="Times New Roman"/>
                <w:sz w:val="24"/>
              </w:rPr>
              <w:t>é</w:t>
            </w:r>
            <w:r>
              <w:rPr>
                <w:rStyle w:val="InstructionsTabelleText"/>
                <w:rFonts w:ascii="Times New Roman" w:hAnsi="Times New Roman"/>
                <w:sz w:val="24"/>
              </w:rPr>
              <w:t>finies à déduire mentionné ci-dessus, les établissements tiendront compte des dispositions de l'article 41 du CRR.</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la déduction initiale visée à l'article 36, paragraphe 1, point e), du CRR.</w:t>
            </w:r>
          </w:p>
        </w:tc>
      </w:tr>
      <w:tr w:rsidR="00B11D0D" w:rsidRPr="00392FFD" w:rsidTr="00672D2A">
        <w:tc>
          <w:tcPr>
            <w:tcW w:w="1012" w:type="dxa"/>
          </w:tcPr>
          <w:p w:rsidR="00B11D0D" w:rsidRPr="00392FFD" w:rsidRDefault="00B11D0D"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194</w:t>
            </w:r>
          </w:p>
        </w:tc>
        <w:tc>
          <w:tcPr>
            <w:tcW w:w="7478" w:type="dxa"/>
          </w:tcPr>
          <w:p w:rsidR="00B11D0D" w:rsidRPr="00392FFD" w:rsidRDefault="00B11D0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002D1093">
              <w:rPr>
                <w:rStyle w:val="InstructionsTabelleberschrift"/>
                <w:rFonts w:ascii="Times New Roman" w:hAnsi="Times New Roman"/>
                <w:sz w:val="24"/>
              </w:rPr>
              <w:tab/>
            </w:r>
            <w:r>
              <w:rPr>
                <w:rStyle w:val="InstructionsTabelleberschrift"/>
                <w:rFonts w:ascii="Times New Roman" w:hAnsi="Times New Roman"/>
                <w:sz w:val="24"/>
              </w:rPr>
              <w:t>dont: Introduction des modifications de l'IAS 19 – él</w:t>
            </w:r>
            <w:r>
              <w:rPr>
                <w:rStyle w:val="InstructionsTabelleberschrift"/>
                <w:rFonts w:ascii="Times New Roman" w:hAnsi="Times New Roman"/>
                <w:sz w:val="24"/>
              </w:rPr>
              <w:t>é</w:t>
            </w:r>
            <w:r>
              <w:rPr>
                <w:rStyle w:val="InstructionsTabelleberschrift"/>
                <w:rFonts w:ascii="Times New Roman" w:hAnsi="Times New Roman"/>
                <w:sz w:val="24"/>
              </w:rPr>
              <w:t>ment positif</w:t>
            </w:r>
          </w:p>
          <w:p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Article 473 du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198</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002D1093">
              <w:rPr>
                <w:rStyle w:val="InstructionsTabelleberschrift"/>
                <w:rFonts w:ascii="Times New Roman" w:hAnsi="Times New Roman"/>
                <w:sz w:val="24"/>
              </w:rPr>
              <w:tab/>
            </w:r>
            <w:r>
              <w:rPr>
                <w:rStyle w:val="InstructionsTabelleberschrift"/>
                <w:rFonts w:ascii="Times New Roman" w:hAnsi="Times New Roman"/>
                <w:sz w:val="24"/>
              </w:rPr>
              <w:t>dont: Introduction des modifications de l'IAS 19 – él</w:t>
            </w:r>
            <w:r>
              <w:rPr>
                <w:rStyle w:val="InstructionsTabelleberschrift"/>
                <w:rFonts w:ascii="Times New Roman" w:hAnsi="Times New Roman"/>
                <w:sz w:val="24"/>
              </w:rPr>
              <w:t>é</w:t>
            </w:r>
            <w:r>
              <w:rPr>
                <w:rStyle w:val="InstructionsTabelleberschrift"/>
                <w:rFonts w:ascii="Times New Roman" w:hAnsi="Times New Roman"/>
                <w:sz w:val="24"/>
              </w:rPr>
              <w:t>ment négatif</w:t>
            </w:r>
          </w:p>
          <w:p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Article 473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w:t>
            </w:r>
            <w:r w:rsidR="002D1093">
              <w:rPr>
                <w:rStyle w:val="InstructionsTabelleberschrift"/>
                <w:rFonts w:ascii="Times New Roman" w:hAnsi="Times New Roman"/>
                <w:sz w:val="24"/>
              </w:rPr>
              <w:tab/>
            </w:r>
            <w:r>
              <w:rPr>
                <w:rStyle w:val="InstructionsTabelleberschrift"/>
                <w:rFonts w:ascii="Times New Roman" w:hAnsi="Times New Roman"/>
                <w:sz w:val="24"/>
              </w:rPr>
              <w:t>Instruments de fonds propres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36, paragraphe 1, point f), article 469, paragraphe 1, article 472, p</w:t>
            </w:r>
            <w:r>
              <w:rPr>
                <w:rStyle w:val="InstructionsTabelleText"/>
                <w:rFonts w:ascii="Times New Roman" w:hAnsi="Times New Roman"/>
                <w:sz w:val="24"/>
              </w:rPr>
              <w:t>a</w:t>
            </w:r>
            <w:r>
              <w:rPr>
                <w:rStyle w:val="InstructionsTabelleText"/>
                <w:rFonts w:ascii="Times New Roman" w:hAnsi="Times New Roman"/>
                <w:sz w:val="24"/>
              </w:rPr>
              <w:t>ragraphe 8, et article 478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la déduction initiale visée à l'article 36, paragraphe 1, point f), du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rsidR="002D1093">
              <w:rPr>
                <w:rStyle w:val="InstructionsTabelleberschrift"/>
                <w:rFonts w:ascii="Times New Roman" w:hAnsi="Times New Roman"/>
                <w:sz w:val="24"/>
              </w:rPr>
              <w:tab/>
            </w:r>
            <w:r>
              <w:rPr>
                <w:rStyle w:val="InstructionsTabelleberschrift"/>
                <w:rFonts w:ascii="Times New Roman" w:hAnsi="Times New Roman"/>
                <w:sz w:val="24"/>
              </w:rPr>
              <w:t>Propres instruments CET1</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36, paragraphe 1, point f), article 469, paragraphe 1, article 472, p</w:t>
            </w:r>
            <w:r>
              <w:rPr>
                <w:rStyle w:val="InstructionsTabelleText"/>
                <w:rFonts w:ascii="Times New Roman" w:hAnsi="Times New Roman"/>
                <w:sz w:val="24"/>
              </w:rPr>
              <w:t>a</w:t>
            </w:r>
            <w:r>
              <w:rPr>
                <w:rStyle w:val="InstructionsTabelleText"/>
                <w:rFonts w:ascii="Times New Roman" w:hAnsi="Times New Roman"/>
                <w:sz w:val="24"/>
              </w:rPr>
              <w:t>ragraphe 8, et article 478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Lors du calcul du montant des propres instruments de fonds propres de base de catégorie 1 à déduire, les établissements tiendront compte des di</w:t>
            </w:r>
            <w:r>
              <w:rPr>
                <w:rStyle w:val="InstructionsTabelleText"/>
                <w:rFonts w:ascii="Times New Roman" w:hAnsi="Times New Roman"/>
                <w:sz w:val="24"/>
              </w:rPr>
              <w:t>s</w:t>
            </w:r>
            <w:r>
              <w:rPr>
                <w:rStyle w:val="InstructionsTabelleText"/>
                <w:rFonts w:ascii="Times New Roman" w:hAnsi="Times New Roman"/>
                <w:sz w:val="24"/>
              </w:rPr>
              <w:t>positions de l'article 42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Étant donné que le traitement du «montant résiduel» varie en fonction de la nature de l'instrument, les établissements répartiront les détentions de fonds propres de base entre détentions «directes» et «indirectes».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la déduction initiale visée à l'article 36, paragraphe 1, point f),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211</w:t>
            </w:r>
          </w:p>
        </w:tc>
        <w:tc>
          <w:tcPr>
            <w:tcW w:w="7478" w:type="dxa"/>
          </w:tcPr>
          <w:p w:rsidR="00213E0E" w:rsidRPr="00201704" w:rsidRDefault="008A1A1E"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1.3.2.6.1**</w:t>
            </w:r>
            <w:r w:rsidR="002D1093">
              <w:rPr>
                <w:rStyle w:val="InstructionsTabelleberschrift"/>
                <w:rFonts w:ascii="Times New Roman" w:hAnsi="Times New Roman"/>
                <w:sz w:val="24"/>
              </w:rPr>
              <w:tab/>
            </w:r>
            <w:r>
              <w:rPr>
                <w:rStyle w:val="InstructionsTabelleberschrift"/>
                <w:rFonts w:ascii="Times New Roman" w:hAnsi="Times New Roman"/>
                <w:sz w:val="24"/>
              </w:rPr>
              <w:t>Dont: Détentions directes</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469, paragraphe 1, point b), et article 472, paragraphe 8, point a),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le montant total des détentions directes, y compris les instruments qu'un établissement est su</w:t>
            </w:r>
            <w:r>
              <w:rPr>
                <w:rStyle w:val="InstructionsTabelleText"/>
                <w:rFonts w:ascii="Times New Roman" w:hAnsi="Times New Roman"/>
                <w:sz w:val="24"/>
              </w:rPr>
              <w:t>s</w:t>
            </w:r>
            <w:r>
              <w:rPr>
                <w:rStyle w:val="InstructionsTabelleText"/>
                <w:rFonts w:ascii="Times New Roman" w:hAnsi="Times New Roman"/>
                <w:sz w:val="24"/>
              </w:rPr>
              <w:t xml:space="preserve">ceptible de devoir acquérir en vertu d'une obligation contractuelle existante </w:t>
            </w:r>
            <w:r>
              <w:rPr>
                <w:rStyle w:val="InstructionsTabelleText"/>
                <w:rFonts w:ascii="Times New Roman" w:hAnsi="Times New Roman"/>
                <w:sz w:val="24"/>
              </w:rPr>
              <w:lastRenderedPageBreak/>
              <w:t xml:space="preserve">ou éventuelle.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212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rsidR="002D1093">
              <w:rPr>
                <w:rStyle w:val="InstructionsTabelleberschrift"/>
                <w:rFonts w:ascii="Times New Roman" w:hAnsi="Times New Roman"/>
                <w:sz w:val="24"/>
              </w:rPr>
              <w:tab/>
            </w:r>
            <w:r>
              <w:rPr>
                <w:rStyle w:val="InstructionsTabelleberschrift"/>
                <w:rFonts w:ascii="Times New Roman" w:hAnsi="Times New Roman"/>
                <w:sz w:val="24"/>
              </w:rPr>
              <w:t>Dont: Détentions indirectes</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469, paragraphe 1, point b), et article 472, paragraphe 8, point b), du CRR</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Montant à déclarer dans la colonne 060 de cette ligne: le montant total des détentions indirectes, y compris les instruments qu'un établissement est susceptible de devoir acquérir en vertu d'une obligation contractuelle exi</w:t>
            </w:r>
            <w:r>
              <w:rPr>
                <w:rStyle w:val="InstructionsTabelleText"/>
                <w:rFonts w:ascii="Times New Roman" w:hAnsi="Times New Roman"/>
                <w:sz w:val="24"/>
              </w:rPr>
              <w:t>s</w:t>
            </w:r>
            <w:r>
              <w:rPr>
                <w:rStyle w:val="InstructionsTabelleText"/>
                <w:rFonts w:ascii="Times New Roman" w:hAnsi="Times New Roman"/>
                <w:sz w:val="24"/>
              </w:rPr>
              <w:t>tante ou éventuelle.</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002D1093">
              <w:rPr>
                <w:rStyle w:val="InstructionsTabelleberschrift"/>
                <w:rFonts w:ascii="Times New Roman" w:hAnsi="Times New Roman"/>
                <w:sz w:val="24"/>
              </w:rPr>
              <w:tab/>
            </w:r>
            <w:r>
              <w:rPr>
                <w:rStyle w:val="InstructionsTabelleberschrift"/>
                <w:rFonts w:ascii="Times New Roman" w:hAnsi="Times New Roman"/>
                <w:sz w:val="24"/>
              </w:rPr>
              <w:t>Propres instruments AT1</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56, point a), article 474, article 475, paragraphe 2, et article 478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Lors du calcul du montant de ces détentions à déduire, les établissements tiendront compte des dispositions de l'article 57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Étant donné que le traitement du «montant résiduel» varie en fonction de la nature de l'instrument (article 475, paragraphe 2, du CRR), les établiss</w:t>
            </w:r>
            <w:r>
              <w:rPr>
                <w:rStyle w:val="InstructionsTabelleText"/>
                <w:rFonts w:ascii="Times New Roman" w:hAnsi="Times New Roman"/>
                <w:sz w:val="24"/>
              </w:rPr>
              <w:t>e</w:t>
            </w:r>
            <w:r>
              <w:rPr>
                <w:rStyle w:val="InstructionsTabelleText"/>
                <w:rFonts w:ascii="Times New Roman" w:hAnsi="Times New Roman"/>
                <w:sz w:val="24"/>
              </w:rPr>
              <w:t>ments répartiront les détentions précitées entre détentions «directes» et «indirectes» de propres instruments de fonds propres additionnels de cat</w:t>
            </w:r>
            <w:r>
              <w:rPr>
                <w:rStyle w:val="InstructionsTabelleText"/>
                <w:rFonts w:ascii="Times New Roman" w:hAnsi="Times New Roman"/>
                <w:sz w:val="24"/>
              </w:rPr>
              <w:t>é</w:t>
            </w:r>
            <w:r>
              <w:rPr>
                <w:rStyle w:val="InstructionsTabelleText"/>
                <w:rFonts w:ascii="Times New Roman" w:hAnsi="Times New Roman"/>
                <w:sz w:val="24"/>
              </w:rPr>
              <w:t>gorie 1.</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la déduction initiale visée à l'article 56, point a),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221</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002D1093">
              <w:rPr>
                <w:rStyle w:val="InstructionsTabelleberschrift"/>
                <w:rFonts w:ascii="Times New Roman" w:hAnsi="Times New Roman"/>
                <w:sz w:val="24"/>
              </w:rPr>
              <w:tab/>
            </w:r>
            <w:r>
              <w:rPr>
                <w:rStyle w:val="InstructionsTabelleberschrift"/>
                <w:rFonts w:ascii="Times New Roman" w:hAnsi="Times New Roman"/>
                <w:sz w:val="24"/>
              </w:rPr>
              <w:t>Dont: Détentions directes</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Montant à déclarer dans la colonne 060 de cette ligne: le montant total des détentions directes, y compris les instruments qu'un établissement est su</w:t>
            </w:r>
            <w:r>
              <w:rPr>
                <w:rStyle w:val="InstructionsTabelleText"/>
                <w:rFonts w:ascii="Times New Roman" w:hAnsi="Times New Roman"/>
                <w:sz w:val="24"/>
              </w:rPr>
              <w:t>s</w:t>
            </w:r>
            <w:r>
              <w:rPr>
                <w:rStyle w:val="InstructionsTabelleText"/>
                <w:rFonts w:ascii="Times New Roman" w:hAnsi="Times New Roman"/>
                <w:sz w:val="24"/>
              </w:rPr>
              <w:t>ceptible de devoir acquérir en vertu d'une obligation contractuelle existante ou éventuelle, article 474, point b), et article 475, paragraphe 2, point a),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002D1093">
              <w:rPr>
                <w:rStyle w:val="InstructionsTabelleberschrift"/>
                <w:rFonts w:ascii="Times New Roman" w:hAnsi="Times New Roman"/>
                <w:sz w:val="24"/>
              </w:rPr>
              <w:tab/>
            </w:r>
            <w:r>
              <w:rPr>
                <w:rStyle w:val="InstructionsTabelleberschrift"/>
                <w:rFonts w:ascii="Times New Roman" w:hAnsi="Times New Roman"/>
                <w:sz w:val="24"/>
              </w:rPr>
              <w:t>Dont: Détentions indirectes</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Montant à déclarer dans la colonne 060 de cette ligne: le montant total des détentions indirectes, y compris les instruments qu'un établissement est susceptible de devoir acquérir en vertu d'une obligation contractuelle exi</w:t>
            </w:r>
            <w:r>
              <w:rPr>
                <w:rStyle w:val="InstructionsTabelleText"/>
                <w:rFonts w:ascii="Times New Roman" w:hAnsi="Times New Roman"/>
                <w:sz w:val="24"/>
              </w:rPr>
              <w:t>s</w:t>
            </w:r>
            <w:r>
              <w:rPr>
                <w:rStyle w:val="InstructionsTabelleText"/>
                <w:rFonts w:ascii="Times New Roman" w:hAnsi="Times New Roman"/>
                <w:sz w:val="24"/>
              </w:rPr>
              <w:t>tante ou éventuelle, article 474, point b), et article 475, paragraphe 2, point b),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1.3.2.6.3</w:t>
            </w:r>
            <w:r w:rsidR="002D1093">
              <w:rPr>
                <w:rStyle w:val="InstructionsTabelleberschrift"/>
                <w:rFonts w:ascii="Times New Roman" w:hAnsi="Times New Roman"/>
                <w:sz w:val="24"/>
              </w:rPr>
              <w:tab/>
            </w:r>
            <w:r>
              <w:rPr>
                <w:rStyle w:val="InstructionsTabelleberschrift"/>
                <w:rFonts w:ascii="Times New Roman" w:hAnsi="Times New Roman"/>
                <w:sz w:val="24"/>
              </w:rPr>
              <w:t>Propres instruments T2</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66, point a), article 476, article 477, paragraphe 2, et article 478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Lors du calcul du montant de ces détentions à déduire, les établissements tiendront compte des dispositions de l'article 67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Étant donné que le traitement du «montant résiduel» varie en fonction de la nature de l'instrument (article 477, paragraphe 2, du CRR), les établiss</w:t>
            </w:r>
            <w:r>
              <w:rPr>
                <w:rStyle w:val="InstructionsTabelleText"/>
                <w:rFonts w:ascii="Times New Roman" w:hAnsi="Times New Roman"/>
                <w:sz w:val="24"/>
              </w:rPr>
              <w:t>e</w:t>
            </w:r>
            <w:r>
              <w:rPr>
                <w:rStyle w:val="InstructionsTabelleText"/>
                <w:rFonts w:ascii="Times New Roman" w:hAnsi="Times New Roman"/>
                <w:sz w:val="24"/>
              </w:rPr>
              <w:t>ments répartiront les détentions précitées entre détentions «directes» et «indirectes» de propres instruments de fonds propres de catégorie 2.</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Montant à déclarer dans la colonne 060 de cette ligne: la déduction initiale </w:t>
            </w:r>
            <w:r>
              <w:rPr>
                <w:rStyle w:val="InstructionsTabelleText"/>
                <w:rFonts w:ascii="Times New Roman" w:hAnsi="Times New Roman"/>
                <w:sz w:val="24"/>
              </w:rPr>
              <w:lastRenderedPageBreak/>
              <w:t>visée à l'article 66, point a),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231</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Détentions directes</w:t>
            </w:r>
          </w:p>
          <w:p w:rsidR="00A60195" w:rsidRPr="00392FFD" w:rsidRDefault="00A60195" w:rsidP="00FD239F">
            <w:pPr>
              <w:pStyle w:val="InstructionsText"/>
              <w:rPr>
                <w:rStyle w:val="InstructionsTabelleberschrift"/>
                <w:rFonts w:ascii="Times New Roman" w:hAnsi="Times New Roman"/>
                <w:sz w:val="24"/>
              </w:rPr>
            </w:pPr>
            <w:r>
              <w:rPr>
                <w:rStyle w:val="InstructionsTabelleText"/>
                <w:rFonts w:ascii="Times New Roman" w:hAnsi="Times New Roman"/>
                <w:sz w:val="24"/>
              </w:rPr>
              <w:t>Montant à déclarer dans la colonne 060 de cette ligne: le montant total des détentions directes, y compris les instruments qu'un établissement est su</w:t>
            </w:r>
            <w:r>
              <w:rPr>
                <w:rStyle w:val="InstructionsTabelleText"/>
                <w:rFonts w:ascii="Times New Roman" w:hAnsi="Times New Roman"/>
                <w:sz w:val="24"/>
              </w:rPr>
              <w:t>s</w:t>
            </w:r>
            <w:r>
              <w:rPr>
                <w:rStyle w:val="InstructionsTabelleText"/>
                <w:rFonts w:ascii="Times New Roman" w:hAnsi="Times New Roman"/>
                <w:sz w:val="24"/>
              </w:rPr>
              <w:t>ceptible de devoir acquérir en vertu d'une obligation contractuelle existante ou éventuelle, article 476, point b), et article 477, paragraphe 2, point a) du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232</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Détentions indirectes</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Montant à déclarer dans la colonne 060 de cette ligne: le montant total des détentions indirectes, y compris les instruments qu'un établissement est susceptible de devoir acquérir en vertu d'une obligation contractuelle exi</w:t>
            </w:r>
            <w:r>
              <w:rPr>
                <w:rStyle w:val="InstructionsTabelleText"/>
                <w:rFonts w:ascii="Times New Roman" w:hAnsi="Times New Roman"/>
                <w:sz w:val="24"/>
              </w:rPr>
              <w:t>s</w:t>
            </w:r>
            <w:r>
              <w:rPr>
                <w:rStyle w:val="InstructionsTabelleText"/>
                <w:rFonts w:ascii="Times New Roman" w:hAnsi="Times New Roman"/>
                <w:sz w:val="24"/>
              </w:rPr>
              <w:t>tante ou éventuelle, article 476, point b), et article 477, paragraphe 2, point b)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240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w:t>
            </w:r>
            <w:r w:rsidR="002D1093">
              <w:rPr>
                <w:rStyle w:val="InstructionsTabelleberschrift"/>
                <w:rFonts w:ascii="Times New Roman" w:hAnsi="Times New Roman"/>
                <w:sz w:val="24"/>
              </w:rPr>
              <w:tab/>
            </w:r>
            <w:r>
              <w:rPr>
                <w:rStyle w:val="InstructionsTabelleberschrift"/>
                <w:rFonts w:ascii="Times New Roman" w:hAnsi="Times New Roman"/>
                <w:sz w:val="24"/>
              </w:rPr>
              <w:t>Détentions croisées</w:t>
            </w:r>
          </w:p>
          <w:p w:rsidR="00A60195" w:rsidRPr="00201704" w:rsidRDefault="00A60195" w:rsidP="007106FB">
            <w:pPr>
              <w:spacing w:before="0"/>
              <w:rPr>
                <w:rStyle w:val="InstructionsTabelleberschrift"/>
                <w:rFonts w:ascii="Times New Roman" w:hAnsi="Times New Roman"/>
                <w:b w:val="0"/>
                <w:bCs w:val="0"/>
                <w:sz w:val="24"/>
                <w:u w:val="none"/>
              </w:rPr>
            </w:pPr>
            <w:r>
              <w:rPr>
                <w:rStyle w:val="InstructionsTabelleText"/>
                <w:rFonts w:ascii="Times New Roman" w:hAnsi="Times New Roman"/>
                <w:sz w:val="24"/>
              </w:rPr>
              <w:t>Étant donné que le traitement du «montant résiduel» varie selon que la d</w:t>
            </w:r>
            <w:r>
              <w:rPr>
                <w:rStyle w:val="InstructionsTabelleText"/>
                <w:rFonts w:ascii="Times New Roman" w:hAnsi="Times New Roman"/>
                <w:sz w:val="24"/>
              </w:rPr>
              <w:t>é</w:t>
            </w:r>
            <w:r>
              <w:rPr>
                <w:rStyle w:val="InstructionsTabelleText"/>
                <w:rFonts w:ascii="Times New Roman" w:hAnsi="Times New Roman"/>
                <w:sz w:val="24"/>
              </w:rPr>
              <w:t>tention de fonds propres de base de catégorie</w:t>
            </w:r>
            <w:r>
              <w:rPr>
                <w:rFonts w:ascii="Times New Roman" w:hAnsi="Times New Roman"/>
                <w:sz w:val="24"/>
              </w:rPr>
              <w:t xml:space="preserve"> </w:t>
            </w:r>
            <w:r>
              <w:rPr>
                <w:rStyle w:val="InstructionsTabelleText"/>
                <w:rFonts w:ascii="Times New Roman" w:hAnsi="Times New Roman"/>
                <w:sz w:val="24"/>
              </w:rPr>
              <w:t>1, de fonds propres additio</w:t>
            </w:r>
            <w:r>
              <w:rPr>
                <w:rStyle w:val="InstructionsTabelleText"/>
                <w:rFonts w:ascii="Times New Roman" w:hAnsi="Times New Roman"/>
                <w:sz w:val="24"/>
              </w:rPr>
              <w:t>n</w:t>
            </w:r>
            <w:r>
              <w:rPr>
                <w:rStyle w:val="InstructionsTabelleText"/>
                <w:rFonts w:ascii="Times New Roman" w:hAnsi="Times New Roman"/>
                <w:sz w:val="24"/>
              </w:rPr>
              <w:t>nels de catégorie 1 ou de fonds propres de catégorie 2 dans des entités du secteur financier doit être considérée comme importante ou non (a</w:t>
            </w:r>
            <w:r>
              <w:rPr>
                <w:rStyle w:val="InstructionsTabelleText"/>
                <w:rFonts w:ascii="Times New Roman" w:hAnsi="Times New Roman"/>
                <w:sz w:val="24"/>
              </w:rPr>
              <w:t>r</w:t>
            </w:r>
            <w:r>
              <w:rPr>
                <w:rStyle w:val="InstructionsTabelleText"/>
                <w:rFonts w:ascii="Times New Roman" w:hAnsi="Times New Roman"/>
                <w:sz w:val="24"/>
              </w:rPr>
              <w:t>ticle 472, paragraphe 9, article 475, paragraphe 3, et article 477, par</w:t>
            </w:r>
            <w:r>
              <w:rPr>
                <w:rStyle w:val="InstructionsTabelleText"/>
                <w:rFonts w:ascii="Times New Roman" w:hAnsi="Times New Roman"/>
                <w:sz w:val="24"/>
              </w:rPr>
              <w:t>a</w:t>
            </w:r>
            <w:r>
              <w:rPr>
                <w:rStyle w:val="InstructionsTabelleText"/>
                <w:rFonts w:ascii="Times New Roman" w:hAnsi="Times New Roman"/>
                <w:sz w:val="24"/>
              </w:rPr>
              <w:t>graphe 3, du CRR), les établissements répartissent les détentions croisées entre investissements importants et non importants.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250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1.3.2.7.1</w:t>
            </w:r>
            <w:r w:rsidR="002D1093">
              <w:rPr>
                <w:rStyle w:val="InstructionsTabelleberschrift"/>
                <w:rFonts w:ascii="Times New Roman" w:hAnsi="Times New Roman"/>
                <w:sz w:val="24"/>
              </w:rPr>
              <w:tab/>
            </w:r>
            <w:r>
              <w:rPr>
                <w:rStyle w:val="InstructionsTabelleberschrift"/>
                <w:rFonts w:ascii="Times New Roman" w:hAnsi="Times New Roman"/>
                <w:sz w:val="24"/>
              </w:rPr>
              <w:t>Détentions croisées de fonds propres CET1</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36, paragraphe 1, point g), article 469, paragraphe 1, article 472, paragraphe 9, et article 478 du CRR</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Montant à déclarer dans la colonne 060 de cette ligne: la déduction initiale visée à l'article 36, paragraphe 1, point g),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1.3.2.7.1.1</w:t>
            </w:r>
            <w:r w:rsidR="002D1093">
              <w:rPr>
                <w:rStyle w:val="InstructionsTabelleberschrift"/>
                <w:rFonts w:ascii="Times New Roman" w:hAnsi="Times New Roman"/>
                <w:sz w:val="24"/>
              </w:rPr>
              <w:tab/>
            </w:r>
            <w:r>
              <w:rPr>
                <w:rStyle w:val="InstructionsTabelleberschrift"/>
                <w:rFonts w:ascii="Times New Roman" w:hAnsi="Times New Roman"/>
                <w:sz w:val="24"/>
              </w:rPr>
              <w:t>Détentions croisées de fonds propres CET1 d'entités du secteur financier dans lesquelles l'établissement ne détient pas d'inve</w:t>
            </w:r>
            <w:r>
              <w:rPr>
                <w:rStyle w:val="InstructionsTabelleberschrift"/>
                <w:rFonts w:ascii="Times New Roman" w:hAnsi="Times New Roman"/>
                <w:sz w:val="24"/>
              </w:rPr>
              <w:t>s</w:t>
            </w:r>
            <w:r>
              <w:rPr>
                <w:rStyle w:val="InstructionsTabelleberschrift"/>
                <w:rFonts w:ascii="Times New Roman" w:hAnsi="Times New Roman"/>
                <w:sz w:val="24"/>
              </w:rPr>
              <w:t>tissement important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36, paragraphe 1, point g), article 469, paragraphe 1, article 472, paragraphe 9, point a), et article 478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le montant résiduel visé à l'article 469, paragraphe 1, point b),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1.3.2.7.1.2</w:t>
            </w:r>
            <w:r w:rsidR="002D1093">
              <w:rPr>
                <w:rStyle w:val="InstructionsTabelleberschrift"/>
                <w:rFonts w:ascii="Times New Roman" w:hAnsi="Times New Roman"/>
                <w:sz w:val="24"/>
              </w:rPr>
              <w:tab/>
            </w:r>
            <w:r>
              <w:rPr>
                <w:rStyle w:val="InstructionsTabelleberschrift"/>
                <w:rFonts w:ascii="Times New Roman" w:hAnsi="Times New Roman"/>
                <w:sz w:val="24"/>
              </w:rPr>
              <w:t>Détentions croisées de fonds propres CET1 d'entités du secteur financier dans lesquelles l'établissement détient un investiss</w:t>
            </w:r>
            <w:r>
              <w:rPr>
                <w:rStyle w:val="InstructionsTabelleberschrift"/>
                <w:rFonts w:ascii="Times New Roman" w:hAnsi="Times New Roman"/>
                <w:sz w:val="24"/>
              </w:rPr>
              <w:t>e</w:t>
            </w:r>
            <w:r>
              <w:rPr>
                <w:rStyle w:val="InstructionsTabelleberschrift"/>
                <w:rFonts w:ascii="Times New Roman" w:hAnsi="Times New Roman"/>
                <w:sz w:val="24"/>
              </w:rPr>
              <w:t>ment important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36, paragraphe 1, point g), article 469, paragraphe 1, article 472, paragraphe 9, point b), et article 478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le montant résiduel visé à l'article 469, paragraphe 1, point b),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280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1.3.2.7.2</w:t>
            </w:r>
            <w:r w:rsidR="002D1093">
              <w:rPr>
                <w:rStyle w:val="InstructionsTabelleberschrift"/>
                <w:rFonts w:ascii="Times New Roman" w:hAnsi="Times New Roman"/>
                <w:sz w:val="24"/>
              </w:rPr>
              <w:tab/>
            </w:r>
            <w:r>
              <w:rPr>
                <w:rStyle w:val="InstructionsTabelleberschrift"/>
                <w:rFonts w:ascii="Times New Roman" w:hAnsi="Times New Roman"/>
                <w:sz w:val="24"/>
              </w:rPr>
              <w:t>Détentions croisées de fonds propres AT1</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Article 56, point b), article 474, article 475, paragraphe 3, et article 478 du </w:t>
            </w:r>
            <w:r>
              <w:rPr>
                <w:rStyle w:val="InstructionsTabelleText"/>
                <w:rFonts w:ascii="Times New Roman" w:hAnsi="Times New Roman"/>
                <w:sz w:val="24"/>
              </w:rPr>
              <w:lastRenderedPageBreak/>
              <w:t>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la déduction initiale visée à l'article 56, point b),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1.3.2.7.2.1</w:t>
            </w:r>
            <w:r w:rsidR="002D1093">
              <w:rPr>
                <w:rStyle w:val="InstructionsTabelleberschrift"/>
                <w:rFonts w:ascii="Times New Roman" w:hAnsi="Times New Roman"/>
                <w:sz w:val="24"/>
              </w:rPr>
              <w:tab/>
            </w:r>
            <w:r>
              <w:rPr>
                <w:rStyle w:val="InstructionsTabelleberschrift"/>
                <w:rFonts w:ascii="Times New Roman" w:hAnsi="Times New Roman"/>
                <w:sz w:val="24"/>
              </w:rPr>
              <w:t>Détentions croisées de fonds propres AT1 d'entités du secteur financier dans lesquelles l'établissement ne détient pas d'inve</w:t>
            </w:r>
            <w:r>
              <w:rPr>
                <w:rStyle w:val="InstructionsTabelleberschrift"/>
                <w:rFonts w:ascii="Times New Roman" w:hAnsi="Times New Roman"/>
                <w:sz w:val="24"/>
              </w:rPr>
              <w:t>s</w:t>
            </w:r>
            <w:r>
              <w:rPr>
                <w:rStyle w:val="InstructionsTabelleberschrift"/>
                <w:rFonts w:ascii="Times New Roman" w:hAnsi="Times New Roman"/>
                <w:sz w:val="24"/>
              </w:rPr>
              <w:t>tissement important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56, point b), article 474, article 475, paragraphe 3, point a), et a</w:t>
            </w:r>
            <w:r>
              <w:rPr>
                <w:rStyle w:val="InstructionsTabelleText"/>
                <w:rFonts w:ascii="Times New Roman" w:hAnsi="Times New Roman"/>
                <w:sz w:val="24"/>
              </w:rPr>
              <w:t>r</w:t>
            </w:r>
            <w:r>
              <w:rPr>
                <w:rStyle w:val="InstructionsTabelleText"/>
                <w:rFonts w:ascii="Times New Roman" w:hAnsi="Times New Roman"/>
                <w:sz w:val="24"/>
              </w:rPr>
              <w:t>ticle 478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le montant résiduel visé à l'article 475, paragraphe 3,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1.3.2.7.2.2</w:t>
            </w:r>
            <w:r w:rsidR="002D1093">
              <w:rPr>
                <w:rStyle w:val="InstructionsTabelleberschrift"/>
                <w:rFonts w:ascii="Times New Roman" w:hAnsi="Times New Roman"/>
                <w:sz w:val="24"/>
              </w:rPr>
              <w:tab/>
            </w:r>
            <w:r>
              <w:rPr>
                <w:rStyle w:val="InstructionsTabelleberschrift"/>
                <w:rFonts w:ascii="Times New Roman" w:hAnsi="Times New Roman"/>
                <w:sz w:val="24"/>
              </w:rPr>
              <w:t>Détentions croisées de fonds propres AT1 d'entités du secteur financier dans lesquelles l'établissement détient un investiss</w:t>
            </w:r>
            <w:r>
              <w:rPr>
                <w:rStyle w:val="InstructionsTabelleberschrift"/>
                <w:rFonts w:ascii="Times New Roman" w:hAnsi="Times New Roman"/>
                <w:sz w:val="24"/>
              </w:rPr>
              <w:t>e</w:t>
            </w:r>
            <w:r>
              <w:rPr>
                <w:rStyle w:val="InstructionsTabelleberschrift"/>
                <w:rFonts w:ascii="Times New Roman" w:hAnsi="Times New Roman"/>
                <w:sz w:val="24"/>
              </w:rPr>
              <w:t>ment important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56, point b), article 474, article 475, paragraphe 3, point b), et a</w:t>
            </w:r>
            <w:r>
              <w:rPr>
                <w:rStyle w:val="InstructionsTabelleText"/>
                <w:rFonts w:ascii="Times New Roman" w:hAnsi="Times New Roman"/>
                <w:sz w:val="24"/>
              </w:rPr>
              <w:t>r</w:t>
            </w:r>
            <w:r>
              <w:rPr>
                <w:rStyle w:val="InstructionsTabelleText"/>
                <w:rFonts w:ascii="Times New Roman" w:hAnsi="Times New Roman"/>
                <w:sz w:val="24"/>
              </w:rPr>
              <w:t>ticle 478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le montant résiduel visé à l'article 475, paragraphe 3,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w:t>
            </w:r>
            <w:r w:rsidR="002D1093">
              <w:rPr>
                <w:rStyle w:val="InstructionsTabelleberschrift"/>
                <w:rFonts w:ascii="Times New Roman" w:hAnsi="Times New Roman"/>
                <w:sz w:val="24"/>
              </w:rPr>
              <w:tab/>
            </w:r>
            <w:r>
              <w:rPr>
                <w:rStyle w:val="InstructionsTabelleberschrift"/>
                <w:rFonts w:ascii="Times New Roman" w:hAnsi="Times New Roman"/>
                <w:sz w:val="24"/>
              </w:rPr>
              <w:t>Détentions croisées de fonds propres T2</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66, point b), article 476, article 477, paragraphe 3, et article 478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w:t>
            </w:r>
            <w:r>
              <w:t xml:space="preserve"> </w:t>
            </w:r>
            <w:r>
              <w:rPr>
                <w:rStyle w:val="InstructionsTabelleText"/>
                <w:rFonts w:ascii="Times New Roman" w:hAnsi="Times New Roman"/>
                <w:sz w:val="24"/>
              </w:rPr>
              <w:t>la déduction initiale visée à l'article 66, point b),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320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1.3.2.7.3.1</w:t>
            </w:r>
            <w:r w:rsidR="002D1093">
              <w:rPr>
                <w:rStyle w:val="InstructionsTabelleberschrift"/>
                <w:rFonts w:ascii="Times New Roman" w:hAnsi="Times New Roman"/>
                <w:sz w:val="24"/>
              </w:rPr>
              <w:tab/>
            </w:r>
            <w:r>
              <w:rPr>
                <w:rStyle w:val="InstructionsTabelleberschrift"/>
                <w:rFonts w:ascii="Times New Roman" w:hAnsi="Times New Roman"/>
                <w:sz w:val="24"/>
              </w:rPr>
              <w:t>Détentions croisées de fonds propres T2 d'entités du se</w:t>
            </w:r>
            <w:r>
              <w:rPr>
                <w:rStyle w:val="InstructionsTabelleberschrift"/>
                <w:rFonts w:ascii="Times New Roman" w:hAnsi="Times New Roman"/>
                <w:sz w:val="24"/>
              </w:rPr>
              <w:t>c</w:t>
            </w:r>
            <w:r>
              <w:rPr>
                <w:rStyle w:val="InstructionsTabelleberschrift"/>
                <w:rFonts w:ascii="Times New Roman" w:hAnsi="Times New Roman"/>
                <w:sz w:val="24"/>
              </w:rPr>
              <w:t>teur financier dans lesquelles l'établissement ne détient pas d'investi</w:t>
            </w:r>
            <w:r>
              <w:rPr>
                <w:rStyle w:val="InstructionsTabelleberschrift"/>
                <w:rFonts w:ascii="Times New Roman" w:hAnsi="Times New Roman"/>
                <w:sz w:val="24"/>
              </w:rPr>
              <w:t>s</w:t>
            </w:r>
            <w:r>
              <w:rPr>
                <w:rStyle w:val="InstructionsTabelleberschrift"/>
                <w:rFonts w:ascii="Times New Roman" w:hAnsi="Times New Roman"/>
                <w:sz w:val="24"/>
              </w:rPr>
              <w:t>sement important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66, point b), article 476, article 477, paragraphe 3, point a), et a</w:t>
            </w:r>
            <w:r>
              <w:rPr>
                <w:rStyle w:val="InstructionsTabelleText"/>
                <w:rFonts w:ascii="Times New Roman" w:hAnsi="Times New Roman"/>
                <w:sz w:val="24"/>
              </w:rPr>
              <w:t>r</w:t>
            </w:r>
            <w:r>
              <w:rPr>
                <w:rStyle w:val="InstructionsTabelleText"/>
                <w:rFonts w:ascii="Times New Roman" w:hAnsi="Times New Roman"/>
                <w:sz w:val="24"/>
              </w:rPr>
              <w:t>ticle 478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le montant résiduel visé à l'article 477, paragraphe 3,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330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1.3.2.7.3.2</w:t>
            </w:r>
            <w:r w:rsidR="002D1093">
              <w:rPr>
                <w:rStyle w:val="InstructionsTabelleberschrift"/>
                <w:rFonts w:ascii="Times New Roman" w:hAnsi="Times New Roman"/>
                <w:sz w:val="24"/>
              </w:rPr>
              <w:tab/>
            </w:r>
            <w:r>
              <w:rPr>
                <w:rStyle w:val="InstructionsTabelleberschrift"/>
                <w:rFonts w:ascii="Times New Roman" w:hAnsi="Times New Roman"/>
                <w:sz w:val="24"/>
              </w:rPr>
              <w:t>Détentions croisées de fonds propres T2 d'entités du se</w:t>
            </w:r>
            <w:r>
              <w:rPr>
                <w:rStyle w:val="InstructionsTabelleberschrift"/>
                <w:rFonts w:ascii="Times New Roman" w:hAnsi="Times New Roman"/>
                <w:sz w:val="24"/>
              </w:rPr>
              <w:t>c</w:t>
            </w:r>
            <w:r>
              <w:rPr>
                <w:rStyle w:val="InstructionsTabelleberschrift"/>
                <w:rFonts w:ascii="Times New Roman" w:hAnsi="Times New Roman"/>
                <w:sz w:val="24"/>
              </w:rPr>
              <w:t>teur financier dans lesquelles l'établissement détient un investissement important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66, point b), article 476, article 477, paragraphe 3, point b), et a</w:t>
            </w:r>
            <w:r>
              <w:rPr>
                <w:rStyle w:val="InstructionsTabelleText"/>
                <w:rFonts w:ascii="Times New Roman" w:hAnsi="Times New Roman"/>
                <w:sz w:val="24"/>
              </w:rPr>
              <w:t>r</w:t>
            </w:r>
            <w:r>
              <w:rPr>
                <w:rStyle w:val="InstructionsTabelleText"/>
                <w:rFonts w:ascii="Times New Roman" w:hAnsi="Times New Roman"/>
                <w:sz w:val="24"/>
              </w:rPr>
              <w:t>ticle 478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le montant résiduel visé à l'article 477, paragraphe 3,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340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1.3.2.8.</w:t>
            </w:r>
            <w:r w:rsidR="002D1093">
              <w:rPr>
                <w:rStyle w:val="InstructionsTabelleberschrift"/>
                <w:rFonts w:ascii="Times New Roman" w:hAnsi="Times New Roman"/>
                <w:sz w:val="24"/>
              </w:rPr>
              <w:tab/>
            </w:r>
            <w:r>
              <w:rPr>
                <w:rStyle w:val="InstructionsTabelleberschrift"/>
                <w:rFonts w:ascii="Times New Roman" w:hAnsi="Times New Roman"/>
                <w:sz w:val="24"/>
              </w:rPr>
              <w:t>Instruments de fonds propres d'entités du secteur fina</w:t>
            </w:r>
            <w:r>
              <w:rPr>
                <w:rStyle w:val="InstructionsTabelleberschrift"/>
                <w:rFonts w:ascii="Times New Roman" w:hAnsi="Times New Roman"/>
                <w:sz w:val="24"/>
              </w:rPr>
              <w:t>n</w:t>
            </w:r>
            <w:r>
              <w:rPr>
                <w:rStyle w:val="InstructionsTabelleberschrift"/>
                <w:rFonts w:ascii="Times New Roman" w:hAnsi="Times New Roman"/>
                <w:sz w:val="24"/>
              </w:rPr>
              <w:t>cier dans lesquelles l'établissement ne détient pas d'investissement i</w:t>
            </w:r>
            <w:r>
              <w:rPr>
                <w:rStyle w:val="InstructionsTabelleberschrift"/>
                <w:rFonts w:ascii="Times New Roman" w:hAnsi="Times New Roman"/>
                <w:sz w:val="24"/>
              </w:rPr>
              <w:t>m</w:t>
            </w:r>
            <w:r>
              <w:rPr>
                <w:rStyle w:val="InstructionsTabelleberschrift"/>
                <w:rFonts w:ascii="Times New Roman" w:hAnsi="Times New Roman"/>
                <w:sz w:val="24"/>
              </w:rPr>
              <w:t>portant</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350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1.3.2.8.1</w:t>
            </w:r>
            <w:r w:rsidR="002D1093">
              <w:rPr>
                <w:rStyle w:val="InstructionsTabelleberschrift"/>
                <w:rFonts w:ascii="Times New Roman" w:hAnsi="Times New Roman"/>
                <w:sz w:val="24"/>
              </w:rPr>
              <w:tab/>
            </w:r>
            <w:r>
              <w:rPr>
                <w:rStyle w:val="InstructionsTabelleberschrift"/>
                <w:rFonts w:ascii="Times New Roman" w:hAnsi="Times New Roman"/>
                <w:sz w:val="24"/>
              </w:rPr>
              <w:t>Instruments CET1 d'entités du secteur financier dans lesquelles l'établissement ne détient pas d'investissement important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Article 36, paragraphe 1, point h), article 469, paragraphe 1, article 472, </w:t>
            </w:r>
            <w:r>
              <w:rPr>
                <w:rStyle w:val="InstructionsTabelleText"/>
                <w:rFonts w:ascii="Times New Roman" w:hAnsi="Times New Roman"/>
                <w:sz w:val="24"/>
              </w:rPr>
              <w:lastRenderedPageBreak/>
              <w:t>paragraphe 10, et article 478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la déduction initiale visée à l'article 36, paragraphe 1, point h),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1.3.2.8.2</w:t>
            </w:r>
            <w:r w:rsidR="002D1093">
              <w:rPr>
                <w:rStyle w:val="InstructionsTabelleberschrift"/>
                <w:rFonts w:ascii="Times New Roman" w:hAnsi="Times New Roman"/>
                <w:sz w:val="24"/>
              </w:rPr>
              <w:tab/>
            </w:r>
            <w:r>
              <w:rPr>
                <w:rStyle w:val="InstructionsTabelleberschrift"/>
                <w:rFonts w:ascii="Times New Roman" w:hAnsi="Times New Roman"/>
                <w:sz w:val="24"/>
              </w:rPr>
              <w:t>Instruments AT1 d'entités du secteur financier dans le</w:t>
            </w:r>
            <w:r>
              <w:rPr>
                <w:rStyle w:val="InstructionsTabelleberschrift"/>
                <w:rFonts w:ascii="Times New Roman" w:hAnsi="Times New Roman"/>
                <w:sz w:val="24"/>
              </w:rPr>
              <w:t>s</w:t>
            </w:r>
            <w:r>
              <w:rPr>
                <w:rStyle w:val="InstructionsTabelleberschrift"/>
                <w:rFonts w:ascii="Times New Roman" w:hAnsi="Times New Roman"/>
                <w:sz w:val="24"/>
              </w:rPr>
              <w:t>quelles l'établissement ne détient pas d'investissement important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56, point c), article 474, article 475, paragraphe 4, et article 478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la déduction initiale visée à l'article 56, point c),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1.3.2.8.3</w:t>
            </w:r>
            <w:r w:rsidR="002D1093">
              <w:rPr>
                <w:rStyle w:val="InstructionsTabelleberschrift"/>
                <w:rFonts w:ascii="Times New Roman" w:hAnsi="Times New Roman"/>
                <w:sz w:val="24"/>
              </w:rPr>
              <w:tab/>
            </w:r>
            <w:r>
              <w:rPr>
                <w:rStyle w:val="InstructionsTabelleberschrift"/>
                <w:rFonts w:ascii="Times New Roman" w:hAnsi="Times New Roman"/>
                <w:sz w:val="24"/>
              </w:rPr>
              <w:t>Instruments T2 d'entités du secteur financier dans le</w:t>
            </w:r>
            <w:r>
              <w:rPr>
                <w:rStyle w:val="InstructionsTabelleberschrift"/>
                <w:rFonts w:ascii="Times New Roman" w:hAnsi="Times New Roman"/>
                <w:sz w:val="24"/>
              </w:rPr>
              <w:t>s</w:t>
            </w:r>
            <w:r>
              <w:rPr>
                <w:rStyle w:val="InstructionsTabelleberschrift"/>
                <w:rFonts w:ascii="Times New Roman" w:hAnsi="Times New Roman"/>
                <w:sz w:val="24"/>
              </w:rPr>
              <w:t>quelles l'établissement ne détient pas d'investissement important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66, point c), article 476, article 477, paragraphe 4, et article 478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la déduction initiale visée à l'article 66, point c),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380</w:t>
            </w: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sidR="002D1093">
              <w:rPr>
                <w:rStyle w:val="InstructionsTabelleberschrift"/>
                <w:rFonts w:ascii="Times New Roman" w:hAnsi="Times New Roman"/>
                <w:sz w:val="24"/>
              </w:rPr>
              <w:tab/>
            </w:r>
            <w:r>
              <w:rPr>
                <w:rStyle w:val="InstructionsTabelleberschrift"/>
                <w:rFonts w:ascii="Times New Roman" w:hAnsi="Times New Roman"/>
                <w:sz w:val="24"/>
              </w:rPr>
              <w:t>Actifs d'impôt différé dépendant de bénéfices futurs et résultant de différences temporelles et instruments CET1 d'entités du secteur f</w:t>
            </w:r>
            <w:r>
              <w:rPr>
                <w:rStyle w:val="InstructionsTabelleberschrift"/>
                <w:rFonts w:ascii="Times New Roman" w:hAnsi="Times New Roman"/>
                <w:sz w:val="24"/>
              </w:rPr>
              <w:t>i</w:t>
            </w:r>
            <w:r>
              <w:rPr>
                <w:rStyle w:val="InstructionsTabelleberschrift"/>
                <w:rFonts w:ascii="Times New Roman" w:hAnsi="Times New Roman"/>
                <w:sz w:val="24"/>
              </w:rPr>
              <w:t>nancier dans lesquelles l'établissement détient un investissement i</w:t>
            </w:r>
            <w:r>
              <w:rPr>
                <w:rStyle w:val="InstructionsTabelleberschrift"/>
                <w:rFonts w:ascii="Times New Roman" w:hAnsi="Times New Roman"/>
                <w:sz w:val="24"/>
              </w:rPr>
              <w:t>m</w:t>
            </w:r>
            <w:r>
              <w:rPr>
                <w:rStyle w:val="InstructionsTabelleberschrift"/>
                <w:rFonts w:ascii="Times New Roman" w:hAnsi="Times New Roman"/>
                <w:sz w:val="24"/>
              </w:rPr>
              <w:t>portant</w:t>
            </w:r>
          </w:p>
          <w:p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470, paragraphes 2 et 3,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Article 470, par</w:t>
            </w:r>
            <w:r>
              <w:rPr>
                <w:rStyle w:val="InstructionsTabelleText"/>
                <w:rFonts w:ascii="Times New Roman" w:hAnsi="Times New Roman"/>
                <w:sz w:val="24"/>
              </w:rPr>
              <w:t>a</w:t>
            </w:r>
            <w:r>
              <w:rPr>
                <w:rStyle w:val="InstructionsTabelleText"/>
                <w:rFonts w:ascii="Times New Roman" w:hAnsi="Times New Roman"/>
                <w:sz w:val="24"/>
              </w:rPr>
              <w:t xml:space="preserve">graphe 1, du CRR </w:t>
            </w:r>
          </w:p>
        </w:tc>
      </w:tr>
      <w:tr w:rsidR="004A705D" w:rsidRPr="00392FFD" w:rsidTr="00672D2A">
        <w:tc>
          <w:tcPr>
            <w:tcW w:w="1012" w:type="dxa"/>
          </w:tcPr>
          <w:p w:rsidR="004A705D" w:rsidRPr="00392FFD" w:rsidRDefault="004A705D"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385</w:t>
            </w:r>
          </w:p>
        </w:tc>
        <w:tc>
          <w:tcPr>
            <w:tcW w:w="7478" w:type="dxa"/>
          </w:tcPr>
          <w:p w:rsidR="004A705D" w:rsidRPr="000F1CEA" w:rsidRDefault="004A705D"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Actifs d'impôt différé dépendant de bénéfices futurs et résultant de différences temporelles</w:t>
            </w:r>
          </w:p>
          <w:p w:rsidR="004A705D" w:rsidRPr="00392FFD" w:rsidRDefault="004A705D"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Article 469, paragraphe 1, point c), article 478 et article 472, paragraphe 5, du CRR</w:t>
            </w:r>
          </w:p>
          <w:p w:rsidR="004A705D" w:rsidRPr="000F1CEA" w:rsidRDefault="004A705D" w:rsidP="00FD239F">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Partie des actifs d'impôt différé dépendant de bénéfices futurs et résultant de différences temporelles qui dépasse le seuil de 10 % visé à l'article 470, paragraphe 2, point a), du CRR.</w:t>
            </w:r>
          </w:p>
        </w:tc>
      </w:tr>
      <w:tr w:rsidR="00A60195" w:rsidRPr="00392FFD" w:rsidTr="00672D2A">
        <w:trPr>
          <w:trHeight w:val="60"/>
        </w:trPr>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w:t>
            </w:r>
            <w:r w:rsidR="002D1093">
              <w:rPr>
                <w:rStyle w:val="InstructionsTabelleberschrift"/>
                <w:rFonts w:ascii="Times New Roman" w:hAnsi="Times New Roman"/>
                <w:sz w:val="24"/>
              </w:rPr>
              <w:tab/>
            </w:r>
            <w:r>
              <w:rPr>
                <w:rStyle w:val="InstructionsTabelleberschrift"/>
                <w:rFonts w:ascii="Times New Roman" w:hAnsi="Times New Roman"/>
                <w:sz w:val="24"/>
              </w:rPr>
              <w:t>Instruments de fonds propres d'entités du secteur fina</w:t>
            </w:r>
            <w:r>
              <w:rPr>
                <w:rStyle w:val="InstructionsTabelleberschrift"/>
                <w:rFonts w:ascii="Times New Roman" w:hAnsi="Times New Roman"/>
                <w:sz w:val="24"/>
              </w:rPr>
              <w:t>n</w:t>
            </w:r>
            <w:r>
              <w:rPr>
                <w:rStyle w:val="InstructionsTabelleberschrift"/>
                <w:rFonts w:ascii="Times New Roman" w:hAnsi="Times New Roman"/>
                <w:sz w:val="24"/>
              </w:rPr>
              <w:t>cier dans lesquelles l'établissement détient un investissement impo</w:t>
            </w:r>
            <w:r>
              <w:rPr>
                <w:rStyle w:val="InstructionsTabelleberschrift"/>
                <w:rFonts w:ascii="Times New Roman" w:hAnsi="Times New Roman"/>
                <w:sz w:val="24"/>
              </w:rPr>
              <w:t>r</w:t>
            </w:r>
            <w:r>
              <w:rPr>
                <w:rStyle w:val="InstructionsTabelleberschrift"/>
                <w:rFonts w:ascii="Times New Roman" w:hAnsi="Times New Roman"/>
                <w:sz w:val="24"/>
              </w:rPr>
              <w:t>tant</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1.3.2.10.1</w:t>
            </w:r>
            <w:r w:rsidR="002D1093">
              <w:rPr>
                <w:rStyle w:val="InstructionsTabelleberschrift"/>
                <w:rFonts w:ascii="Times New Roman" w:hAnsi="Times New Roman"/>
                <w:sz w:val="24"/>
              </w:rPr>
              <w:tab/>
            </w:r>
            <w:r>
              <w:rPr>
                <w:rStyle w:val="InstructionsTabelleberschrift"/>
                <w:rFonts w:ascii="Times New Roman" w:hAnsi="Times New Roman"/>
                <w:sz w:val="24"/>
              </w:rPr>
              <w:t>Instruments CET1 d'entités du secteur financier dans lesquelles l'établissement détient un investissement important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36, paragraphe 1, point i), article 469, paragraphe 1, article 472, p</w:t>
            </w:r>
            <w:r>
              <w:rPr>
                <w:rStyle w:val="InstructionsTabelleText"/>
                <w:rFonts w:ascii="Times New Roman" w:hAnsi="Times New Roman"/>
                <w:sz w:val="24"/>
              </w:rPr>
              <w:t>a</w:t>
            </w:r>
            <w:r>
              <w:rPr>
                <w:rStyle w:val="InstructionsTabelleText"/>
                <w:rFonts w:ascii="Times New Roman" w:hAnsi="Times New Roman"/>
                <w:sz w:val="24"/>
              </w:rPr>
              <w:t>ragraphe 11, et article 478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la déduction initiale visée à l'article 36, paragraphe 1, point i),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rsidR="002D1093">
              <w:rPr>
                <w:rStyle w:val="InstructionsTabelleberschrift"/>
                <w:rFonts w:ascii="Times New Roman" w:hAnsi="Times New Roman"/>
                <w:sz w:val="24"/>
              </w:rPr>
              <w:tab/>
            </w:r>
            <w:r>
              <w:rPr>
                <w:rStyle w:val="InstructionsTabelleberschrift"/>
                <w:rFonts w:ascii="Times New Roman" w:hAnsi="Times New Roman"/>
                <w:sz w:val="24"/>
              </w:rPr>
              <w:t>Instruments AT1 d'entités du secteur financier dans le</w:t>
            </w:r>
            <w:r>
              <w:rPr>
                <w:rStyle w:val="InstructionsTabelleberschrift"/>
                <w:rFonts w:ascii="Times New Roman" w:hAnsi="Times New Roman"/>
                <w:sz w:val="24"/>
              </w:rPr>
              <w:t>s</w:t>
            </w:r>
            <w:r>
              <w:rPr>
                <w:rStyle w:val="InstructionsTabelleberschrift"/>
                <w:rFonts w:ascii="Times New Roman" w:hAnsi="Times New Roman"/>
                <w:sz w:val="24"/>
              </w:rPr>
              <w:t>quelles l'établissement détient un investissement important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Article 56, point d), article 474, article 475, paragraphe 4, et article 478 du </w:t>
            </w:r>
            <w:r>
              <w:rPr>
                <w:rStyle w:val="InstructionsTabelleText"/>
                <w:rFonts w:ascii="Times New Roman" w:hAnsi="Times New Roman"/>
                <w:sz w:val="24"/>
              </w:rPr>
              <w:lastRenderedPageBreak/>
              <w:t>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la déduction initiale visée à l'article 56, point d), du CRR.</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420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rsidR="002D1093">
              <w:rPr>
                <w:rStyle w:val="InstructionsTabelleberschrift"/>
                <w:rFonts w:ascii="Times New Roman" w:hAnsi="Times New Roman"/>
                <w:sz w:val="24"/>
              </w:rPr>
              <w:tab/>
            </w:r>
            <w:r>
              <w:rPr>
                <w:rStyle w:val="InstructionsTabelleberschrift"/>
                <w:rFonts w:ascii="Times New Roman" w:hAnsi="Times New Roman"/>
                <w:sz w:val="24"/>
              </w:rPr>
              <w:t>Instruments T2 d'entités du secteur financier dans le</w:t>
            </w:r>
            <w:r>
              <w:rPr>
                <w:rStyle w:val="InstructionsTabelleberschrift"/>
                <w:rFonts w:ascii="Times New Roman" w:hAnsi="Times New Roman"/>
                <w:sz w:val="24"/>
              </w:rPr>
              <w:t>s</w:t>
            </w:r>
            <w:r>
              <w:rPr>
                <w:rStyle w:val="InstructionsTabelleberschrift"/>
                <w:rFonts w:ascii="Times New Roman" w:hAnsi="Times New Roman"/>
                <w:sz w:val="24"/>
              </w:rPr>
              <w:t>quelles l'établissement détient un investissement important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66, point d), article 476, article 477, paragraphe 4, et article 478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060 de cette ligne: la déduction initiale visée à l'article 66, point d), du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425</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sidR="002D1093">
              <w:rPr>
                <w:rStyle w:val="InstructionsTabelleberschrift"/>
                <w:rFonts w:ascii="Times New Roman" w:hAnsi="Times New Roman"/>
                <w:sz w:val="24"/>
              </w:rPr>
              <w:tab/>
            </w:r>
            <w:r>
              <w:rPr>
                <w:rStyle w:val="InstructionsTabelleberschrift"/>
                <w:rFonts w:ascii="Times New Roman" w:hAnsi="Times New Roman"/>
                <w:sz w:val="24"/>
              </w:rPr>
              <w:t>Autorisation de ne pas déduire les participations dans des entreprises d'assurance des éléments CET 1</w:t>
            </w:r>
          </w:p>
          <w:p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471 du CRR</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430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sidR="002D1093">
              <w:rPr>
                <w:rStyle w:val="InstructionsTabelleberschrift"/>
                <w:rFonts w:ascii="Times New Roman" w:hAnsi="Times New Roman"/>
                <w:sz w:val="24"/>
              </w:rPr>
              <w:tab/>
            </w:r>
            <w:r>
              <w:rPr>
                <w:rStyle w:val="InstructionsTabelleberschrift"/>
                <w:rFonts w:ascii="Times New Roman" w:hAnsi="Times New Roman"/>
                <w:sz w:val="24"/>
              </w:rPr>
              <w:t>Filtres et déductions supplémentaires</w:t>
            </w:r>
          </w:p>
          <w:p w:rsidR="00A60195" w:rsidRPr="00392FFD" w:rsidRDefault="00A60195" w:rsidP="007106FB">
            <w:pPr>
              <w:spacing w:before="0"/>
              <w:rPr>
                <w:rStyle w:val="InstructionsTabelleText"/>
                <w:rFonts w:ascii="Times New Roman" w:hAnsi="Times New Roman"/>
                <w:sz w:val="24"/>
              </w:rPr>
            </w:pPr>
            <w:r>
              <w:rPr>
                <w:rStyle w:val="InstructionsTabelleText"/>
                <w:rFonts w:ascii="Times New Roman" w:hAnsi="Times New Roman"/>
                <w:sz w:val="24"/>
              </w:rPr>
              <w:t>Article 481 du CRR</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Cette ligne reflète l'effet global des dispositions transitoires sur les filtres et déductions supplémentaires.</w:t>
            </w:r>
          </w:p>
          <w:p w:rsidR="00783881"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Conformément à l'article 481 du CRR, les établissements déclarent au point 1.3.3 les informations concernant les filtres et les déductions visées par les mesures de transposition en droit national des articles 57 et 66 de la directive 2006/48/CE et des articles 13 et 16 de la directive 2006/49/CE, et qui ne sont pas exigés conformément à la deuxième partie du CRR. </w:t>
            </w:r>
          </w:p>
        </w:tc>
      </w:tr>
      <w:tr w:rsidR="008B695F" w:rsidRPr="00392FFD" w:rsidTr="00672D2A">
        <w:tc>
          <w:tcPr>
            <w:tcW w:w="1012" w:type="dxa"/>
          </w:tcPr>
          <w:p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rsidR="008B695F"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rsidR="002D1093">
              <w:rPr>
                <w:rStyle w:val="InstructionsTabelleberschrift"/>
                <w:rFonts w:ascii="Times New Roman" w:hAnsi="Times New Roman"/>
                <w:sz w:val="24"/>
              </w:rPr>
              <w:tab/>
            </w:r>
            <w:r>
              <w:rPr>
                <w:rStyle w:val="InstructionsTabelleberschrift"/>
                <w:rFonts w:ascii="Times New Roman" w:hAnsi="Times New Roman"/>
                <w:sz w:val="24"/>
              </w:rPr>
              <w:t>Ajustements dus aux dispositions transitoires liées à la norme IFRS 9</w:t>
            </w:r>
          </w:p>
          <w:p w:rsidR="008B695F" w:rsidRPr="008B695F" w:rsidRDefault="009247A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les informations relatives aux dispositions transitoires liées à la norme IFRS 9 conformément aux dispositions jur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diques applicables.</w:t>
            </w:r>
          </w:p>
        </w:tc>
      </w:tr>
    </w:tbl>
    <w:p w:rsidR="002648B0" w:rsidRPr="00392FFD" w:rsidRDefault="002648B0" w:rsidP="00D946DB">
      <w:pPr>
        <w:spacing w:after="0"/>
        <w:rPr>
          <w:rFonts w:ascii="Times New Roman" w:hAnsi="Times New Roman"/>
          <w:sz w:val="24"/>
        </w:rPr>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5" w:name="_Toc361666252"/>
      <w:bookmarkStart w:id="106" w:name="_Toc308175839"/>
      <w:bookmarkStart w:id="107" w:name="_Toc516210620"/>
      <w:bookmarkStart w:id="108" w:name="_Toc473560885"/>
      <w:bookmarkStart w:id="109" w:name="_Toc360188337"/>
      <w:bookmarkStart w:id="110" w:name="_Toc524104159"/>
      <w:bookmarkEnd w:id="105"/>
      <w:r>
        <w:rPr>
          <w:rFonts w:ascii="Times New Roman" w:hAnsi="Times New Roman"/>
          <w:sz w:val="24"/>
          <w:u w:val="none"/>
        </w:rPr>
        <w:t>1.6.3.</w:t>
      </w:r>
      <w:r>
        <w:tab/>
      </w:r>
      <w:r>
        <w:rPr>
          <w:rFonts w:ascii="Times New Roman" w:hAnsi="Times New Roman"/>
          <w:sz w:val="24"/>
        </w:rPr>
        <w:t>C 05.02 - INSTRUMENTS BÉNÉFICIANT D'UNE CLAUSE D'ANTÉRIORITÉ:  INSTRUMENTS NE CONSTITUANT PAS UNE AIDE D'ÉTAT (CA5.2)</w:t>
      </w:r>
      <w:bookmarkEnd w:id="106"/>
      <w:bookmarkEnd w:id="107"/>
      <w:bookmarkEnd w:id="108"/>
      <w:bookmarkEnd w:id="110"/>
      <w:r>
        <w:rPr>
          <w:rFonts w:ascii="Times New Roman" w:hAnsi="Times New Roman"/>
          <w:sz w:val="24"/>
        </w:rPr>
        <w:t xml:space="preserve"> </w:t>
      </w:r>
      <w:bookmarkEnd w:id="109"/>
    </w:p>
    <w:p w:rsidR="00783881" w:rsidRPr="00392FFD" w:rsidRDefault="00125707" w:rsidP="00C37B29">
      <w:pPr>
        <w:pStyle w:val="InstructionsText2"/>
        <w:numPr>
          <w:ilvl w:val="0"/>
          <w:numId w:val="0"/>
        </w:numPr>
        <w:ind w:left="993"/>
      </w:pPr>
      <w:r>
        <w:t>25.</w:t>
      </w:r>
      <w:r>
        <w:tab/>
        <w:t>Les établissements déclarent les informations relatives aux dispositions trans</w:t>
      </w:r>
      <w:r>
        <w:t>i</w:t>
      </w:r>
      <w:r>
        <w:t>toires pour les instruments bénéficiant d'une clause d'antériorité qui ne constituent pas une aide d'État (articles 484 à 491 du CRR).</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11" w:name="_Toc360188338"/>
      <w:bookmarkStart w:id="112" w:name="_Toc516210621"/>
      <w:bookmarkStart w:id="113" w:name="_Toc473560886"/>
      <w:bookmarkStart w:id="114" w:name="_Toc524104160"/>
      <w:r>
        <w:rPr>
          <w:rFonts w:ascii="Times New Roman" w:hAnsi="Times New Roman"/>
          <w:sz w:val="24"/>
          <w:u w:val="none"/>
        </w:rPr>
        <w:t>1.6.3.1.</w:t>
      </w:r>
      <w:r w:rsidRPr="002D1093">
        <w:rPr>
          <w:u w:val="none"/>
        </w:rPr>
        <w:tab/>
      </w:r>
      <w:r>
        <w:rPr>
          <w:rFonts w:ascii="Times New Roman" w:hAnsi="Times New Roman"/>
          <w:sz w:val="24"/>
        </w:rPr>
        <w:t>Instructions concernant certaines positions</w:t>
      </w:r>
      <w:bookmarkEnd w:id="111"/>
      <w:bookmarkEnd w:id="112"/>
      <w:bookmarkEnd w:id="113"/>
      <w:bookmarkEnd w:id="114"/>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Colonne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Montant des instruments plus les primes d'émission y afférentes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Article 484, paragraphes 3 à 5, du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Instruments éligibles dans chaque ligne respective, en ce compris les primes d'émission liées.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020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Base de calcul de la limite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Article 486, paragraphes 2 à 4, du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Pourcentage applicable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Article 486, paragraphe 5, du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Limite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Article 486, paragraphes 2 à 5, du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Montant dépassant les limites relatives au maintien des acquis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Article 486, paragraphes 2 à 5, du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Montant total bénéficiant d'une clause d'antériorité</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Le montant à déclarer sera égal aux montants déclarés dans les colonnes respectives de la ligne 060 du modèle CA 5.1.</w:t>
            </w:r>
          </w:p>
        </w:tc>
      </w:tr>
    </w:tbl>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pPr>
            <w:r>
              <w:t>Ligne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2D1093">
              <w:rPr>
                <w:rStyle w:val="InstructionsTabelleberschrift"/>
                <w:rFonts w:ascii="Times New Roman" w:hAnsi="Times New Roman"/>
                <w:sz w:val="24"/>
              </w:rPr>
              <w:tab/>
            </w:r>
            <w:r>
              <w:rPr>
                <w:rStyle w:val="InstructionsTabelleberschrift"/>
                <w:rFonts w:ascii="Times New Roman" w:hAnsi="Times New Roman"/>
                <w:sz w:val="24"/>
              </w:rPr>
              <w:t>Instruments éligibles en vertu du point a) de l'article 57 de la directive 2006/48/CE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Article 484, paragraphe 3, du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w:t>
            </w:r>
            <w:r>
              <w:rPr>
                <w:rStyle w:val="InstructionsTabelleText"/>
                <w:rFonts w:ascii="Times New Roman" w:hAnsi="Times New Roman"/>
                <w:sz w:val="24"/>
              </w:rPr>
              <w:t>f</w:t>
            </w:r>
            <w:r>
              <w:rPr>
                <w:rStyle w:val="InstructionsTabelleText"/>
                <w:rFonts w:ascii="Times New Roman" w:hAnsi="Times New Roman"/>
                <w:sz w:val="24"/>
              </w:rPr>
              <w:t>férents.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w:t>
            </w:r>
            <w:r w:rsidR="002D1093">
              <w:rPr>
                <w:rStyle w:val="InstructionsTabelleberschrift"/>
                <w:rFonts w:ascii="Times New Roman" w:hAnsi="Times New Roman"/>
                <w:sz w:val="24"/>
              </w:rPr>
              <w:tab/>
            </w:r>
            <w:r>
              <w:rPr>
                <w:rStyle w:val="InstructionsTabelleberschrift"/>
                <w:rFonts w:ascii="Times New Roman" w:hAnsi="Times New Roman"/>
                <w:sz w:val="24"/>
              </w:rPr>
              <w:t>Instruments éligibles en vertu du point ca) de l'article 57 et de l'article 154, paragraphes 8 et 9, de la directive 2006/48/CE, sous r</w:t>
            </w:r>
            <w:r>
              <w:rPr>
                <w:rStyle w:val="InstructionsTabelleberschrift"/>
                <w:rFonts w:ascii="Times New Roman" w:hAnsi="Times New Roman"/>
                <w:sz w:val="24"/>
              </w:rPr>
              <w:t>é</w:t>
            </w:r>
            <w:r>
              <w:rPr>
                <w:rStyle w:val="InstructionsTabelleberschrift"/>
                <w:rFonts w:ascii="Times New Roman" w:hAnsi="Times New Roman"/>
                <w:sz w:val="24"/>
              </w:rPr>
              <w:t>serve des limites de l'article 489</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Article 484, paragraphe 4, du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496C53"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2.1</w:t>
            </w:r>
            <w:r w:rsidR="002D1093">
              <w:rPr>
                <w:rStyle w:val="InstructionsTabelleberschrift"/>
                <w:rFonts w:ascii="Times New Roman" w:hAnsi="Times New Roman"/>
                <w:sz w:val="24"/>
              </w:rPr>
              <w:tab/>
            </w:r>
            <w:r>
              <w:rPr>
                <w:rStyle w:val="InstructionsTabelleberschrift"/>
                <w:rFonts w:ascii="Times New Roman" w:hAnsi="Times New Roman"/>
                <w:sz w:val="24"/>
              </w:rPr>
              <w:t>Total des instruments sans option ni incitation au rembours</w:t>
            </w:r>
            <w:r>
              <w:rPr>
                <w:rStyle w:val="InstructionsTabelleberschrift"/>
                <w:rFonts w:ascii="Times New Roman" w:hAnsi="Times New Roman"/>
                <w:sz w:val="24"/>
              </w:rPr>
              <w:t>e</w:t>
            </w:r>
            <w:r>
              <w:rPr>
                <w:rStyle w:val="InstructionsTabelleberschrift"/>
                <w:rFonts w:ascii="Times New Roman" w:hAnsi="Times New Roman"/>
                <w:sz w:val="24"/>
              </w:rPr>
              <w:t>ment</w:t>
            </w:r>
          </w:p>
          <w:p w:rsidR="002648B0" w:rsidRPr="000F1CEA"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Article 484, point 4), et article 489 du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w:t>
            </w:r>
            <w:r>
              <w:rPr>
                <w:rStyle w:val="InstructionsTabelleText"/>
                <w:rFonts w:ascii="Times New Roman" w:hAnsi="Times New Roman"/>
                <w:sz w:val="24"/>
              </w:rPr>
              <w:t>f</w:t>
            </w:r>
            <w:r>
              <w:rPr>
                <w:rStyle w:val="InstructionsTabelleText"/>
                <w:rFonts w:ascii="Times New Roman" w:hAnsi="Times New Roman"/>
                <w:sz w:val="24"/>
              </w:rPr>
              <w:t>férents.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w:t>
            </w:r>
            <w:r w:rsidR="00855B29">
              <w:rPr>
                <w:rStyle w:val="InstructionsTabelleberschrift"/>
                <w:rFonts w:ascii="Times New Roman" w:hAnsi="Times New Roman"/>
                <w:sz w:val="24"/>
              </w:rPr>
              <w:tab/>
            </w:r>
            <w:r>
              <w:rPr>
                <w:rStyle w:val="InstructionsTabelleberschrift"/>
                <w:rFonts w:ascii="Times New Roman" w:hAnsi="Times New Roman"/>
                <w:sz w:val="24"/>
              </w:rPr>
              <w:t>Instruments bénéficiant d'une clause d'antériorité avec option comportant une incitation au remboursement</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Article 489 du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2.2.1</w:t>
            </w:r>
            <w:r w:rsidR="00855B29">
              <w:rPr>
                <w:rStyle w:val="InstructionsTabelleberschrift"/>
                <w:rFonts w:ascii="Times New Roman" w:hAnsi="Times New Roman"/>
                <w:sz w:val="24"/>
              </w:rPr>
              <w:tab/>
            </w:r>
            <w:r>
              <w:rPr>
                <w:rStyle w:val="InstructionsTabelleberschrift"/>
                <w:rFonts w:ascii="Times New Roman" w:hAnsi="Times New Roman"/>
                <w:sz w:val="24"/>
              </w:rPr>
              <w:t>Instruments avec option pouvant être exercée après la date de déclaration, et remplissant les conditions de l'article 52 du CRR après la date d'échéance effective</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489, paragraphe 3, et article 491, point a), du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w:t>
            </w:r>
            <w:r>
              <w:rPr>
                <w:rStyle w:val="InstructionsTabelleText"/>
                <w:rFonts w:ascii="Times New Roman" w:hAnsi="Times New Roman"/>
                <w:sz w:val="24"/>
              </w:rPr>
              <w:t>f</w:t>
            </w:r>
            <w:r>
              <w:rPr>
                <w:rStyle w:val="InstructionsTabelleText"/>
                <w:rFonts w:ascii="Times New Roman" w:hAnsi="Times New Roman"/>
                <w:sz w:val="24"/>
              </w:rPr>
              <w:t>férents.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060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2.2.2</w:t>
            </w:r>
            <w:r w:rsidR="00855B29">
              <w:rPr>
                <w:rStyle w:val="InstructionsTabelleberschrift"/>
                <w:rFonts w:ascii="Times New Roman" w:hAnsi="Times New Roman"/>
                <w:sz w:val="24"/>
              </w:rPr>
              <w:tab/>
            </w:r>
            <w:r>
              <w:rPr>
                <w:rStyle w:val="InstructionsTabelleberschrift"/>
                <w:rFonts w:ascii="Times New Roman" w:hAnsi="Times New Roman"/>
                <w:sz w:val="24"/>
              </w:rPr>
              <w:t>Instruments avec option pouvant être exercée après la date de déclaration, et ne remplissant pas les conditions de l'article 52 du CRR après la date d'échéance effective</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Article 489, paragraphe 5, et article 491, point a), du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w:t>
            </w:r>
            <w:r>
              <w:rPr>
                <w:rStyle w:val="InstructionsTabelleText"/>
                <w:rFonts w:ascii="Times New Roman" w:hAnsi="Times New Roman"/>
                <w:sz w:val="24"/>
              </w:rPr>
              <w:t>f</w:t>
            </w:r>
            <w:r>
              <w:rPr>
                <w:rStyle w:val="InstructionsTabelleText"/>
                <w:rFonts w:ascii="Times New Roman" w:hAnsi="Times New Roman"/>
                <w:sz w:val="24"/>
              </w:rPr>
              <w:t>férents.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2.2.3</w:t>
            </w:r>
            <w:r w:rsidR="00855B29">
              <w:rPr>
                <w:rStyle w:val="InstructionsTabelleberschrift"/>
                <w:rFonts w:ascii="Times New Roman" w:hAnsi="Times New Roman"/>
                <w:sz w:val="24"/>
              </w:rPr>
              <w:tab/>
            </w:r>
            <w:r>
              <w:rPr>
                <w:rStyle w:val="InstructionsTabelleberschrift"/>
                <w:rFonts w:ascii="Times New Roman" w:hAnsi="Times New Roman"/>
                <w:sz w:val="24"/>
              </w:rPr>
              <w:t>Instruments avec option pouvant être exercée jusqu'au 20 juillet 2011 inclus, et ne remplissant pas les conditions de l'article 52 du CRR après la date d'échéance effective</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Article 489, paragraphe 6, et article 491, point c), du CRR</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w:t>
            </w:r>
            <w:r>
              <w:rPr>
                <w:rStyle w:val="InstructionsTabelleText"/>
                <w:rFonts w:ascii="Times New Roman" w:hAnsi="Times New Roman"/>
                <w:sz w:val="24"/>
              </w:rPr>
              <w:t>f</w:t>
            </w:r>
            <w:r>
              <w:rPr>
                <w:rStyle w:val="InstructionsTabelleText"/>
                <w:rFonts w:ascii="Times New Roman" w:hAnsi="Times New Roman"/>
                <w:sz w:val="24"/>
              </w:rPr>
              <w:t>férents.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2.3</w:t>
            </w:r>
            <w:r w:rsidR="00855B29">
              <w:rPr>
                <w:rStyle w:val="InstructionsTabelleberschrift"/>
                <w:rFonts w:ascii="Times New Roman" w:hAnsi="Times New Roman"/>
                <w:sz w:val="24"/>
              </w:rPr>
              <w:tab/>
            </w:r>
            <w:r>
              <w:rPr>
                <w:rStyle w:val="InstructionsTabelleberschrift"/>
                <w:rFonts w:ascii="Times New Roman" w:hAnsi="Times New Roman"/>
                <w:sz w:val="24"/>
              </w:rPr>
              <w:t>Dépassement de la limite des instruments de fonds propres CET1 bénéficiant d'une clause d'antériorité</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487, paragraphe 1, du CRR.</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L'excédent par rapport à la limite d'instruments de fonds propres de base de catégorie 1 bénéficiant d'une clause d'antériorité peut être traité comme des instruments pouvant être éligibles en tant qu'instruments de fonds propres additionnels de catégorie 1 en vertu d'une clause d'antériorité.</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w:t>
            </w:r>
            <w:r w:rsidR="00855B29">
              <w:rPr>
                <w:rStyle w:val="InstructionsTabelleberschrift"/>
                <w:rFonts w:ascii="Times New Roman" w:hAnsi="Times New Roman"/>
                <w:sz w:val="24"/>
              </w:rPr>
              <w:tab/>
            </w:r>
            <w:r>
              <w:rPr>
                <w:rStyle w:val="InstructionsTabelleberschrift"/>
                <w:rFonts w:ascii="Times New Roman" w:hAnsi="Times New Roman"/>
                <w:sz w:val="24"/>
              </w:rPr>
              <w:t>Éléments éligibles en vertu des points e), f), g) ou h) de l'a</w:t>
            </w:r>
            <w:r>
              <w:rPr>
                <w:rStyle w:val="InstructionsTabelleberschrift"/>
                <w:rFonts w:ascii="Times New Roman" w:hAnsi="Times New Roman"/>
                <w:sz w:val="24"/>
              </w:rPr>
              <w:t>r</w:t>
            </w:r>
            <w:r>
              <w:rPr>
                <w:rStyle w:val="InstructionsTabelleberschrift"/>
                <w:rFonts w:ascii="Times New Roman" w:hAnsi="Times New Roman"/>
                <w:sz w:val="24"/>
              </w:rPr>
              <w:t>ticle 57 de la directive 2006/48/CE, sous réserve de la limite de l'a</w:t>
            </w:r>
            <w:r>
              <w:rPr>
                <w:rStyle w:val="InstructionsTabelleberschrift"/>
                <w:rFonts w:ascii="Times New Roman" w:hAnsi="Times New Roman"/>
                <w:sz w:val="24"/>
              </w:rPr>
              <w:t>r</w:t>
            </w:r>
            <w:r>
              <w:rPr>
                <w:rStyle w:val="InstructionsTabelleberschrift"/>
                <w:rFonts w:ascii="Times New Roman" w:hAnsi="Times New Roman"/>
                <w:sz w:val="24"/>
              </w:rPr>
              <w:t>ticle 490</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Article 484, paragraphe 5, du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3.1</w:t>
            </w:r>
            <w:r w:rsidR="00855B29">
              <w:rPr>
                <w:rStyle w:val="InstructionsTabelleberschrift"/>
                <w:rFonts w:ascii="Times New Roman" w:hAnsi="Times New Roman"/>
                <w:sz w:val="24"/>
              </w:rPr>
              <w:tab/>
            </w:r>
            <w:r>
              <w:rPr>
                <w:rStyle w:val="InstructionsTabelleberschrift"/>
                <w:rFonts w:ascii="Times New Roman" w:hAnsi="Times New Roman"/>
                <w:sz w:val="24"/>
              </w:rPr>
              <w:t>Total des éléments sans incitation au remboursement</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490 du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w:t>
            </w:r>
            <w:r w:rsidR="00855B29">
              <w:rPr>
                <w:rStyle w:val="InstructionsTabelleberschrift"/>
                <w:rFonts w:ascii="Times New Roman" w:hAnsi="Times New Roman"/>
                <w:sz w:val="24"/>
              </w:rPr>
              <w:tab/>
            </w:r>
            <w:r>
              <w:rPr>
                <w:rStyle w:val="InstructionsTabelleberschrift"/>
                <w:rFonts w:ascii="Times New Roman" w:hAnsi="Times New Roman"/>
                <w:sz w:val="24"/>
              </w:rPr>
              <w:t>Éléments bénéficiant d'une clause d'antériorité et comportant une incitation au remboursement</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490 du CRR</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3.2.1</w:t>
            </w:r>
            <w:r w:rsidR="00855B29">
              <w:rPr>
                <w:rStyle w:val="InstructionsTabelleberschrift"/>
                <w:rFonts w:ascii="Times New Roman" w:hAnsi="Times New Roman"/>
                <w:sz w:val="24"/>
              </w:rPr>
              <w:tab/>
            </w:r>
            <w:r>
              <w:rPr>
                <w:rStyle w:val="InstructionsTabelleberschrift"/>
                <w:rFonts w:ascii="Times New Roman" w:hAnsi="Times New Roman"/>
                <w:sz w:val="24"/>
              </w:rPr>
              <w:t>Éléments avec option pouvant être exercée après la date de d</w:t>
            </w:r>
            <w:r>
              <w:rPr>
                <w:rStyle w:val="InstructionsTabelleberschrift"/>
                <w:rFonts w:ascii="Times New Roman" w:hAnsi="Times New Roman"/>
                <w:sz w:val="24"/>
              </w:rPr>
              <w:t>é</w:t>
            </w:r>
            <w:r>
              <w:rPr>
                <w:rStyle w:val="InstructionsTabelleberschrift"/>
                <w:rFonts w:ascii="Times New Roman" w:hAnsi="Times New Roman"/>
                <w:sz w:val="24"/>
              </w:rPr>
              <w:t>claration, et remplissant les conditions de l'article 63 du CRR après la date d'échéance effective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Article 490, paragraphe 3, et article 491, point a), du CRR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w:t>
            </w:r>
            <w:r>
              <w:rPr>
                <w:rStyle w:val="InstructionsTabelleText"/>
                <w:rFonts w:ascii="Times New Roman" w:hAnsi="Times New Roman"/>
                <w:sz w:val="24"/>
              </w:rPr>
              <w:t>f</w:t>
            </w:r>
            <w:r>
              <w:rPr>
                <w:rStyle w:val="InstructionsTabelleText"/>
                <w:rFonts w:ascii="Times New Roman" w:hAnsi="Times New Roman"/>
                <w:sz w:val="24"/>
              </w:rPr>
              <w:t>férents.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3.2.2</w:t>
            </w:r>
            <w:r w:rsidR="00855B29">
              <w:rPr>
                <w:rStyle w:val="InstructionsTabelleberschrift"/>
                <w:rFonts w:ascii="Times New Roman" w:hAnsi="Times New Roman"/>
                <w:sz w:val="24"/>
              </w:rPr>
              <w:tab/>
            </w:r>
            <w:r>
              <w:rPr>
                <w:rStyle w:val="InstructionsTabelleberschrift"/>
                <w:rFonts w:ascii="Times New Roman" w:hAnsi="Times New Roman"/>
                <w:sz w:val="24"/>
              </w:rPr>
              <w:t>Éléments avec option pouvant être exercée après la date de d</w:t>
            </w:r>
            <w:r>
              <w:rPr>
                <w:rStyle w:val="InstructionsTabelleberschrift"/>
                <w:rFonts w:ascii="Times New Roman" w:hAnsi="Times New Roman"/>
                <w:sz w:val="24"/>
              </w:rPr>
              <w:t>é</w:t>
            </w:r>
            <w:r>
              <w:rPr>
                <w:rStyle w:val="InstructionsTabelleberschrift"/>
                <w:rFonts w:ascii="Times New Roman" w:hAnsi="Times New Roman"/>
                <w:sz w:val="24"/>
              </w:rPr>
              <w:t>claration, et ne remplissant pas les conditions de l'article 63 du CRR après la date d'échéance effective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Article 490, paragraphe 5, et article 491, point a), du CRR</w:t>
            </w:r>
          </w:p>
          <w:p w:rsidR="002648B0" w:rsidRPr="00392FFD" w:rsidRDefault="007C3B71" w:rsidP="007106FB">
            <w:pPr>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w:t>
            </w:r>
            <w:r>
              <w:rPr>
                <w:rStyle w:val="InstructionsTabelleText"/>
                <w:rFonts w:ascii="Times New Roman" w:hAnsi="Times New Roman"/>
                <w:sz w:val="24"/>
              </w:rPr>
              <w:t>f</w:t>
            </w:r>
            <w:r>
              <w:rPr>
                <w:rStyle w:val="InstructionsTabelleText"/>
                <w:rFonts w:ascii="Times New Roman" w:hAnsi="Times New Roman"/>
                <w:sz w:val="24"/>
              </w:rPr>
              <w:t>férents.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140</w:t>
            </w:r>
          </w:p>
        </w:tc>
        <w:tc>
          <w:tcPr>
            <w:tcW w:w="7478" w:type="dxa"/>
          </w:tcPr>
          <w:p w:rsidR="00496C53"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3.2.3</w:t>
            </w:r>
            <w:r w:rsidR="00855B29">
              <w:rPr>
                <w:rStyle w:val="InstructionsTabelleberschrift"/>
                <w:rFonts w:ascii="Times New Roman" w:hAnsi="Times New Roman"/>
                <w:sz w:val="24"/>
              </w:rPr>
              <w:tab/>
            </w:r>
            <w:r>
              <w:rPr>
                <w:rStyle w:val="InstructionsTabelleberschrift"/>
                <w:rFonts w:ascii="Times New Roman" w:hAnsi="Times New Roman"/>
                <w:sz w:val="24"/>
              </w:rPr>
              <w:t>Éléments avec option pouvant être exercée jusqu'au 20 juillet 2011 inclus, et ne remplissant pas les conditions de l'article 63 du CRR après la date d'échéance effective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Article 490, paragraphe 6, et article 491, point c), du CRR </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w:t>
            </w:r>
            <w:r>
              <w:rPr>
                <w:rStyle w:val="InstructionsTabelleText"/>
                <w:rFonts w:ascii="Times New Roman" w:hAnsi="Times New Roman"/>
                <w:sz w:val="24"/>
              </w:rPr>
              <w:t>f</w:t>
            </w:r>
            <w:r>
              <w:rPr>
                <w:rStyle w:val="InstructionsTabelleText"/>
                <w:rFonts w:ascii="Times New Roman" w:hAnsi="Times New Roman"/>
                <w:sz w:val="24"/>
              </w:rPr>
              <w:t>férents.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rsidR="00855B29">
              <w:rPr>
                <w:rStyle w:val="InstructionsTabelleberschrift"/>
                <w:rFonts w:ascii="Times New Roman" w:hAnsi="Times New Roman"/>
                <w:sz w:val="24"/>
              </w:rPr>
              <w:tab/>
            </w:r>
            <w:r>
              <w:rPr>
                <w:rStyle w:val="InstructionsTabelleberschrift"/>
                <w:rFonts w:ascii="Times New Roman" w:hAnsi="Times New Roman"/>
                <w:sz w:val="24"/>
              </w:rPr>
              <w:t>Dépassement de la limite des instruments de fonds propres AT1 bénéficiant d'une clause d'antériorité</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Article 487, paragraphe 2, du CRR. </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L'excédent par rapport à la limite d'instruments de fonds propres additio</w:t>
            </w:r>
            <w:r>
              <w:rPr>
                <w:rStyle w:val="InstructionsTabelleText"/>
                <w:rFonts w:ascii="Times New Roman" w:hAnsi="Times New Roman"/>
                <w:sz w:val="24"/>
              </w:rPr>
              <w:t>n</w:t>
            </w:r>
            <w:r>
              <w:rPr>
                <w:rStyle w:val="InstructionsTabelleText"/>
                <w:rFonts w:ascii="Times New Roman" w:hAnsi="Times New Roman"/>
                <w:sz w:val="24"/>
              </w:rPr>
              <w:t>nels de catégorie 1 bénéficiant d'une clause d'antériorité peut être traité comme des instruments pouvant être éligibles en tant qu'instruments de fonds propres de catégorie 2 en vertu d'une clause d'antériorité.</w:t>
            </w:r>
          </w:p>
        </w:tc>
      </w:tr>
    </w:tbl>
    <w:p w:rsidR="00464F34" w:rsidRPr="00392FFD" w:rsidRDefault="00464F34">
      <w:pPr>
        <w:spacing w:before="0" w:after="0"/>
        <w:jc w:val="left"/>
        <w:rPr>
          <w:rFonts w:ascii="Times New Roman" w:hAnsi="Times New Roman"/>
          <w:sz w:val="24"/>
          <w:u w:val="single"/>
        </w:rPr>
      </w:pPr>
      <w:bookmarkStart w:id="115" w:name="_Toc239157372"/>
      <w:bookmarkStart w:id="116" w:name="_Toc295829844"/>
      <w:bookmarkStart w:id="117" w:name="_Toc330394185"/>
      <w:bookmarkEnd w:id="0"/>
      <w:bookmarkEnd w:id="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8" w:name="_Toc360188339"/>
      <w:bookmarkStart w:id="119" w:name="_Toc516210622"/>
      <w:bookmarkStart w:id="120" w:name="_Toc473560887"/>
      <w:bookmarkStart w:id="121" w:name="_Toc524104161"/>
      <w:bookmarkEnd w:id="115"/>
      <w:bookmarkEnd w:id="116"/>
      <w:bookmarkEnd w:id="117"/>
      <w:r>
        <w:rPr>
          <w:rFonts w:ascii="Times New Roman" w:hAnsi="Times New Roman"/>
          <w:sz w:val="24"/>
          <w:u w:val="none"/>
        </w:rPr>
        <w:t>2.</w:t>
      </w:r>
      <w:r w:rsidRPr="008368E7">
        <w:rPr>
          <w:u w:val="none"/>
        </w:rPr>
        <w:tab/>
      </w:r>
      <w:r>
        <w:rPr>
          <w:rFonts w:ascii="Times New Roman" w:hAnsi="Times New Roman"/>
          <w:sz w:val="24"/>
        </w:rPr>
        <w:t>SOLVABILITÉ DU GROUPE: INFORMATIONS SUR LES FILIALES (GS</w:t>
      </w:r>
      <w:bookmarkEnd w:id="118"/>
      <w:r>
        <w:rPr>
          <w:rFonts w:ascii="Times New Roman" w:hAnsi="Times New Roman"/>
          <w:sz w:val="24"/>
        </w:rPr>
        <w:t>)</w:t>
      </w:r>
      <w:bookmarkEnd w:id="119"/>
      <w:bookmarkEnd w:id="120"/>
      <w:bookmarkEnd w:id="12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22" w:name="_Toc264038416"/>
      <w:bookmarkStart w:id="123" w:name="_Toc295829845"/>
      <w:bookmarkStart w:id="124" w:name="_Toc310415011"/>
      <w:bookmarkStart w:id="125" w:name="_Toc330394186"/>
      <w:bookmarkStart w:id="126" w:name="_Toc360188340"/>
      <w:bookmarkStart w:id="127" w:name="_Toc516210623"/>
      <w:bookmarkStart w:id="128" w:name="_Toc473560888"/>
      <w:bookmarkStart w:id="129" w:name="_Toc524104162"/>
      <w:r>
        <w:rPr>
          <w:rFonts w:ascii="Times New Roman" w:hAnsi="Times New Roman"/>
          <w:sz w:val="24"/>
          <w:u w:val="none"/>
        </w:rPr>
        <w:t>2.1.</w:t>
      </w:r>
      <w:r w:rsidRPr="008368E7">
        <w:rPr>
          <w:u w:val="none"/>
        </w:rPr>
        <w:tab/>
      </w:r>
      <w:r>
        <w:rPr>
          <w:rFonts w:ascii="Times New Roman" w:hAnsi="Times New Roman"/>
          <w:sz w:val="24"/>
        </w:rPr>
        <w:t>Remarques générales</w:t>
      </w:r>
      <w:bookmarkEnd w:id="122"/>
      <w:bookmarkEnd w:id="123"/>
      <w:bookmarkEnd w:id="124"/>
      <w:bookmarkEnd w:id="125"/>
      <w:bookmarkEnd w:id="126"/>
      <w:bookmarkEnd w:id="127"/>
      <w:bookmarkEnd w:id="128"/>
      <w:bookmarkEnd w:id="129"/>
    </w:p>
    <w:p w:rsidR="00464F34" w:rsidRPr="00392FFD" w:rsidRDefault="00125707" w:rsidP="00C37B29">
      <w:pPr>
        <w:pStyle w:val="InstructionsText2"/>
        <w:numPr>
          <w:ilvl w:val="0"/>
          <w:numId w:val="0"/>
        </w:numPr>
        <w:ind w:left="993"/>
      </w:pPr>
      <w:r>
        <w:t>26.</w:t>
      </w:r>
      <w:r>
        <w:tab/>
        <w:t>Les modèles C 06.01 et C 06.02 seront utilisés si les exigences de fonds propres sont calculées sur une base consolidée. Ce modèle se compose de quatre parties, afin de collecter des informations sur chacune des différentes entités (y compris l'établissement déclarant) incluses dans le périmètre de consolidation.</w:t>
      </w:r>
    </w:p>
    <w:p w:rsidR="00C93697" w:rsidRPr="000F1CEA" w:rsidRDefault="00125707" w:rsidP="00C37B29">
      <w:pPr>
        <w:pStyle w:val="InstructionsText2"/>
        <w:numPr>
          <w:ilvl w:val="0"/>
          <w:numId w:val="0"/>
        </w:numPr>
        <w:ind w:left="993"/>
      </w:pPr>
      <w:r>
        <w:t>(a)</w:t>
      </w:r>
      <w:r>
        <w:tab/>
        <w:t>Entités comprises dans le périmètre de consolidation;</w:t>
      </w:r>
    </w:p>
    <w:p w:rsidR="00C93697" w:rsidRPr="000F1CEA" w:rsidRDefault="00125707" w:rsidP="00C37B29">
      <w:pPr>
        <w:pStyle w:val="InstructionsText2"/>
        <w:numPr>
          <w:ilvl w:val="0"/>
          <w:numId w:val="0"/>
        </w:numPr>
        <w:ind w:left="993"/>
      </w:pPr>
      <w:r>
        <w:t>(b)</w:t>
      </w:r>
      <w:r>
        <w:tab/>
        <w:t>Informations détaillées sur la solvabilité du groupe;</w:t>
      </w:r>
    </w:p>
    <w:p w:rsidR="00C93697" w:rsidRPr="000F1CEA" w:rsidRDefault="00125707" w:rsidP="00C37B29">
      <w:pPr>
        <w:pStyle w:val="InstructionsText2"/>
        <w:numPr>
          <w:ilvl w:val="0"/>
          <w:numId w:val="0"/>
        </w:numPr>
        <w:ind w:left="993"/>
      </w:pPr>
      <w:r>
        <w:t>(c)</w:t>
      </w:r>
      <w:r>
        <w:tab/>
        <w:t>Informations sur la contribution des différentes entités à la solvabilité du groupe;</w:t>
      </w:r>
    </w:p>
    <w:p w:rsidR="00C93697" w:rsidRPr="000F1CEA" w:rsidRDefault="00125707" w:rsidP="00C37B29">
      <w:pPr>
        <w:pStyle w:val="InstructionsText2"/>
        <w:numPr>
          <w:ilvl w:val="0"/>
          <w:numId w:val="0"/>
        </w:numPr>
        <w:ind w:left="993"/>
      </w:pPr>
      <w:r>
        <w:t>(d)</w:t>
      </w:r>
      <w:r>
        <w:tab/>
        <w:t>Informations sur les coussins de fonds propres.</w:t>
      </w:r>
    </w:p>
    <w:p w:rsidR="00464F34" w:rsidRPr="00392FFD" w:rsidRDefault="00125707" w:rsidP="00C37B29">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sz w:val="24"/>
        </w:rPr>
        <w:t>27.</w:t>
      </w:r>
      <w:r>
        <w:tab/>
        <w:t xml:space="preserve">Les établissements </w:t>
      </w:r>
      <w:r>
        <w:rPr>
          <w:rStyle w:val="InstructionsTabelleText"/>
          <w:rFonts w:ascii="Times New Roman" w:hAnsi="Times New Roman"/>
          <w:sz w:val="24"/>
        </w:rPr>
        <w:t>exemptés conformément à l'article 7 du CRR ne remplissent que les colonnes</w:t>
      </w:r>
      <w:r>
        <w:t xml:space="preserve"> 010 </w:t>
      </w:r>
      <w:r>
        <w:rPr>
          <w:rStyle w:val="InstructionsTabelleText"/>
          <w:rFonts w:ascii="Times New Roman" w:hAnsi="Times New Roman"/>
          <w:sz w:val="24"/>
        </w:rPr>
        <w:t>à 060 et 250 à 400.</w:t>
      </w:r>
    </w:p>
    <w:p w:rsidR="004C0508" w:rsidRPr="00392FFD" w:rsidRDefault="00125707" w:rsidP="00C37B29">
      <w:pPr>
        <w:pStyle w:val="InstructionsText2"/>
        <w:numPr>
          <w:ilvl w:val="0"/>
          <w:numId w:val="0"/>
        </w:numPr>
        <w:ind w:left="993"/>
      </w:pPr>
      <w:r>
        <w:t>28.</w:t>
      </w:r>
      <w:r>
        <w:tab/>
        <w:t>Les chiffres déclarés tiennent compte de toutes les dispositions transitoires a</w:t>
      </w:r>
      <w:r>
        <w:t>p</w:t>
      </w:r>
      <w:r>
        <w:t>plicables du CRR qui sont applicables à la date de déclaration concernée.</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0" w:name="_Toc360188341"/>
      <w:bookmarkStart w:id="131" w:name="_Toc516210624"/>
      <w:bookmarkStart w:id="132" w:name="_Toc473560889"/>
      <w:bookmarkStart w:id="133" w:name="_Toc524104163"/>
      <w:r>
        <w:rPr>
          <w:rFonts w:ascii="Times New Roman" w:hAnsi="Times New Roman"/>
          <w:sz w:val="24"/>
          <w:u w:val="none"/>
        </w:rPr>
        <w:t>2.2.</w:t>
      </w:r>
      <w:r w:rsidRPr="008368E7">
        <w:rPr>
          <w:u w:val="none"/>
        </w:rPr>
        <w:tab/>
      </w:r>
      <w:r>
        <w:rPr>
          <w:rFonts w:ascii="Times New Roman" w:hAnsi="Times New Roman"/>
          <w:sz w:val="24"/>
        </w:rPr>
        <w:t>Informations détaillées sur la solvabilité du groupe</w:t>
      </w:r>
      <w:bookmarkEnd w:id="130"/>
      <w:bookmarkEnd w:id="131"/>
      <w:bookmarkEnd w:id="132"/>
      <w:bookmarkEnd w:id="133"/>
    </w:p>
    <w:p w:rsidR="00464F34" w:rsidRPr="00392FFD" w:rsidRDefault="00125707" w:rsidP="00C37B29">
      <w:pPr>
        <w:pStyle w:val="InstructionsText2"/>
        <w:numPr>
          <w:ilvl w:val="0"/>
          <w:numId w:val="0"/>
        </w:numPr>
        <w:ind w:left="993"/>
      </w:pPr>
      <w:r>
        <w:t>29.</w:t>
      </w:r>
      <w:r>
        <w:tab/>
        <w:t>La deuxième partie de ce modèle (Informations détaillées sur la solvabilité du groupe), de la colonne 070 à 210, vise à rassembler des données sur les établiss</w:t>
      </w:r>
      <w:r>
        <w:t>e</w:t>
      </w:r>
      <w:r>
        <w:t>ments de crédit et les autres entreprises financières réglementées, qui sont effect</w:t>
      </w:r>
      <w:r>
        <w:t>i</w:t>
      </w:r>
      <w:r>
        <w:t xml:space="preserve">vement soumises, sur base individuelle, à des exigences de solvabilité particulières. Pour chacune de ces entités faisant partie du périmètre de consolidation, cette partie traite des exigences de fonds propres pour chaque catégorie de risque, ainsi que des fonds propres aux fins de solvabilité. </w:t>
      </w:r>
    </w:p>
    <w:p w:rsidR="00464F34" w:rsidRPr="00392FFD" w:rsidRDefault="00125707" w:rsidP="00C37B29">
      <w:pPr>
        <w:pStyle w:val="InstructionsText2"/>
        <w:numPr>
          <w:ilvl w:val="0"/>
          <w:numId w:val="0"/>
        </w:numPr>
        <w:ind w:left="993"/>
      </w:pPr>
      <w:r>
        <w:lastRenderedPageBreak/>
        <w:t>30.</w:t>
      </w:r>
      <w:r>
        <w:tab/>
        <w:t>En cas de consolidation proportionnelle des participations, les chiffres conce</w:t>
      </w:r>
      <w:r>
        <w:t>r</w:t>
      </w:r>
      <w:r>
        <w:t>nant les exigences de fonds propres et les fonds propres reflèteront les montants proportionnels respectifs.</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4" w:name="_Toc360188342"/>
      <w:bookmarkStart w:id="135" w:name="_Toc516210625"/>
      <w:bookmarkStart w:id="136" w:name="_Toc473560890"/>
      <w:bookmarkStart w:id="137" w:name="_Toc524104164"/>
      <w:r>
        <w:rPr>
          <w:rFonts w:ascii="Times New Roman" w:hAnsi="Times New Roman"/>
          <w:sz w:val="24"/>
          <w:u w:val="none"/>
        </w:rPr>
        <w:t>2.3.</w:t>
      </w:r>
      <w:r w:rsidRPr="008368E7">
        <w:rPr>
          <w:u w:val="none"/>
        </w:rPr>
        <w:tab/>
      </w:r>
      <w:r>
        <w:rPr>
          <w:rFonts w:ascii="Times New Roman" w:hAnsi="Times New Roman"/>
          <w:sz w:val="24"/>
        </w:rPr>
        <w:t>Informations sur la contribution des différentes entités à la solvabilité du groupe</w:t>
      </w:r>
      <w:bookmarkEnd w:id="134"/>
      <w:bookmarkEnd w:id="135"/>
      <w:bookmarkEnd w:id="136"/>
      <w:bookmarkEnd w:id="137"/>
    </w:p>
    <w:p w:rsidR="00464F34" w:rsidRPr="00392FFD" w:rsidRDefault="00125707" w:rsidP="00C37B29">
      <w:pPr>
        <w:pStyle w:val="InstructionsText2"/>
        <w:numPr>
          <w:ilvl w:val="0"/>
          <w:numId w:val="0"/>
        </w:numPr>
        <w:ind w:left="993"/>
      </w:pPr>
      <w:r>
        <w:t>31.</w:t>
      </w:r>
      <w:r>
        <w:tab/>
        <w:t>L'objectif de cette troisième partie (informations sur les contributions à la so</w:t>
      </w:r>
      <w:r>
        <w:t>l</w:t>
      </w:r>
      <w:r>
        <w:t>vabilité du groupe de toutes les entités faisant partie du périmètre de consolidation en vertu du CRR), y compris celles qui, sur base individuelle, ne sont pas soumises à des exigences de solvabilité particulières, de la colonne 250 à 400, est d'identifier les entités du groupe qui génèrent les risques et lèvent des fonds propres sur les marchés, sur la base des données disponibles ou pouvant être exploitées sans reca</w:t>
      </w:r>
      <w:r>
        <w:t>l</w:t>
      </w:r>
      <w:r>
        <w:t>culer le ratio de fonds propres sur une base individuelle ou sous-consolidée. Au n</w:t>
      </w:r>
      <w:r>
        <w:t>i</w:t>
      </w:r>
      <w:r>
        <w:t>veau de l'entité, les chiffres relatifs aux risques comme aux fonds propres const</w:t>
      </w:r>
      <w:r>
        <w:t>i</w:t>
      </w:r>
      <w:r>
        <w:t>tuent des contributions aux chiffres du groupe et non des éléments d'un ratio de so</w:t>
      </w:r>
      <w:r>
        <w:t>l</w:t>
      </w:r>
      <w:r>
        <w:t xml:space="preserve">vabilité individuelle. En conséquence, ils ne sont pas comparables entre eux. </w:t>
      </w:r>
    </w:p>
    <w:p w:rsidR="00464F34" w:rsidRPr="00392FFD" w:rsidRDefault="00125707" w:rsidP="00C37B29">
      <w:pPr>
        <w:pStyle w:val="InstructionsText2"/>
        <w:numPr>
          <w:ilvl w:val="0"/>
          <w:numId w:val="0"/>
        </w:numPr>
        <w:ind w:left="993"/>
      </w:pPr>
      <w:r>
        <w:t>32.</w:t>
      </w:r>
      <w:r>
        <w:tab/>
        <w:t>Dans la troisième partie du modèle figurent les montants des intérêts minor</w:t>
      </w:r>
      <w:r>
        <w:t>i</w:t>
      </w:r>
      <w:r>
        <w:t>taires, des fonds propres additionnels de catégorie 1 reconnaissables et des fonds propres de catégorie 2 reconnaissables dans les fonds propres consolidés.</w:t>
      </w:r>
    </w:p>
    <w:p w:rsidR="00464F34" w:rsidRPr="00392FFD" w:rsidRDefault="00125707" w:rsidP="00C37B29">
      <w:pPr>
        <w:pStyle w:val="InstructionsText2"/>
        <w:numPr>
          <w:ilvl w:val="0"/>
          <w:numId w:val="0"/>
        </w:numPr>
        <w:ind w:left="993"/>
      </w:pPr>
      <w:r>
        <w:t>33.</w:t>
      </w:r>
      <w:r>
        <w:tab/>
        <w:t>Étant donné que, dans cette troisième partie, il est fait référence aux «contrib</w:t>
      </w:r>
      <w:r>
        <w:t>u</w:t>
      </w:r>
      <w:r>
        <w:t>tions», les chiffres à déclarer diffèreront, le cas échéant, des chiffres déclarés dans les colonnes qui se rapportent aux données détaillées sur la solvabilité du groupe.</w:t>
      </w:r>
    </w:p>
    <w:p w:rsidR="00464F34" w:rsidRPr="00392FFD" w:rsidRDefault="00125707" w:rsidP="00C37B29">
      <w:pPr>
        <w:pStyle w:val="InstructionsText2"/>
        <w:numPr>
          <w:ilvl w:val="0"/>
          <w:numId w:val="0"/>
        </w:numPr>
        <w:ind w:left="993"/>
      </w:pPr>
      <w:r>
        <w:t>34.</w:t>
      </w:r>
      <w:r>
        <w:tab/>
        <w:t>Le principe est de supprimer de façon homogène les expositions croisées au sein d'un même groupe, tant sur le plan des risques que des fonds propres, afin de couvrir les montants déclarés dans le modèle CA consolidé du groupe en additio</w:t>
      </w:r>
      <w:r>
        <w:t>n</w:t>
      </w:r>
      <w:r>
        <w:t>nant les montants déclarés pour chaque entité dans le modèle «solvabilité du groupe». Pour les cas où le seuil de 1 % n'est pas dépassé, il ne sera pas possible d'établir un lien direct avec le modèle CA.</w:t>
      </w:r>
    </w:p>
    <w:p w:rsidR="00464F34" w:rsidRPr="00392FFD" w:rsidRDefault="00125707" w:rsidP="00C37B29">
      <w:pPr>
        <w:pStyle w:val="InstructionsText2"/>
        <w:numPr>
          <w:ilvl w:val="0"/>
          <w:numId w:val="0"/>
        </w:numPr>
        <w:ind w:left="993"/>
      </w:pPr>
      <w:r>
        <w:t>35.</w:t>
      </w:r>
      <w:r>
        <w:tab/>
        <w:t>Les établissements définissent la méthode la plus appropriée de ventilation entre les différentes entités en vue de tenir compte des éventuels effets de la divers</w:t>
      </w:r>
      <w:r>
        <w:t>i</w:t>
      </w:r>
      <w:r>
        <w:t>fication pour le risque de marché et le risque opérationnel.</w:t>
      </w:r>
    </w:p>
    <w:p w:rsidR="00464F34" w:rsidRPr="00392FFD" w:rsidRDefault="00125707" w:rsidP="00C37B29">
      <w:pPr>
        <w:pStyle w:val="InstructionsText2"/>
        <w:numPr>
          <w:ilvl w:val="0"/>
          <w:numId w:val="0"/>
        </w:numPr>
        <w:ind w:left="993"/>
      </w:pPr>
      <w:r>
        <w:t>36.</w:t>
      </w:r>
      <w:r>
        <w:tab/>
        <w:t>Il est possible qu'un groupe consolidé soit inclus dans un autre groupe consol</w:t>
      </w:r>
      <w:r>
        <w:t>i</w:t>
      </w:r>
      <w:r>
        <w:t>dé. Cela signifie que les entités appartenant à un sous-groupe font l'objet d'une d</w:t>
      </w:r>
      <w:r>
        <w:t>é</w:t>
      </w:r>
      <w:r>
        <w:t>claration individuelle (entité par entité) dans le modèle GS du groupe entier, même si ce sous-groupe est lui-même soumis à des obligations de déclaration. Si le sous-groupe est soumis à des obligations de déclaration, il remplit également le modèle GS sur une base individuelle (entité par entité), bien que ces données soient i</w:t>
      </w:r>
      <w:r>
        <w:t>n</w:t>
      </w:r>
      <w:r>
        <w:t xml:space="preserve">cluses dans le modèle GS d'un groupe consolidé de niveau supérieur. </w:t>
      </w:r>
    </w:p>
    <w:p w:rsidR="00464F34" w:rsidRPr="00392FFD" w:rsidRDefault="00125707" w:rsidP="00C37B29">
      <w:pPr>
        <w:pStyle w:val="InstructionsText2"/>
        <w:numPr>
          <w:ilvl w:val="0"/>
          <w:numId w:val="0"/>
        </w:numPr>
        <w:ind w:left="993"/>
      </w:pPr>
      <w:r>
        <w:t>37.</w:t>
      </w:r>
      <w:r>
        <w:tab/>
        <w:t>Un établissement déclare les données relatives à la contribution d'une entité lorsque sa contribution au montant total d'exposition au risque dépasse 1 % du montant total d'exposition au risque du groupe ou lorsque sa contribution au total des fonds propres dépasse 1 % du total des fonds propres du groupe. Ce seuil ne s'applique pas aux filiales ou sous-groupes qui fournissent des fonds propres au groupe (sous la forme d'intérêts minoritaires, d'instruments de fonds propres add</w:t>
      </w:r>
      <w:r>
        <w:t>i</w:t>
      </w:r>
      <w:r>
        <w:lastRenderedPageBreak/>
        <w:t>tionnels de catégorie 1 ou d'instruments de fonds propres de catégorie 2 reconnai</w:t>
      </w:r>
      <w:r>
        <w:t>s</w:t>
      </w:r>
      <w:r>
        <w:t>sables inclus dans les fonds propres).</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38" w:name="_Toc516210626"/>
      <w:bookmarkStart w:id="139" w:name="_Toc473560891"/>
      <w:bookmarkStart w:id="140" w:name="_Toc524104165"/>
      <w:r>
        <w:rPr>
          <w:rFonts w:ascii="Times New Roman" w:hAnsi="Times New Roman"/>
          <w:sz w:val="24"/>
          <w:u w:val="none"/>
        </w:rPr>
        <w:t>2.4.</w:t>
      </w:r>
      <w:r w:rsidRPr="008368E7">
        <w:rPr>
          <w:u w:val="none"/>
        </w:rPr>
        <w:tab/>
      </w:r>
      <w:r>
        <w:rPr>
          <w:rFonts w:ascii="Times New Roman" w:hAnsi="Times New Roman"/>
          <w:sz w:val="24"/>
        </w:rPr>
        <w:t xml:space="preserve">C 06.01 – SOLVABILITÉ DU GROUPE: INFORMATIONS SUR LES FILIALES - </w:t>
      </w:r>
      <w:r w:rsidR="00F27056" w:rsidRPr="00F27056">
        <w:rPr>
          <w:rFonts w:ascii="Times New Roman" w:hAnsi="Times New Roman"/>
          <w:sz w:val="24"/>
          <w:u w:val="none"/>
        </w:rPr>
        <w:tab/>
      </w:r>
      <w:r>
        <w:rPr>
          <w:rFonts w:ascii="Times New Roman" w:hAnsi="Times New Roman"/>
          <w:sz w:val="24"/>
        </w:rPr>
        <w:t>Total (GS Total)</w:t>
      </w:r>
      <w:bookmarkEnd w:id="138"/>
      <w:bookmarkEnd w:id="139"/>
      <w:bookmarkEnd w:id="14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Colonne</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Instructions</w:t>
            </w:r>
          </w:p>
        </w:tc>
      </w:tr>
      <w:tr w:rsidR="00D85AC7" w:rsidRPr="00392FFD" w:rsidTr="00672D2A">
        <w:tc>
          <w:tcPr>
            <w:tcW w:w="1188" w:type="dxa"/>
          </w:tcPr>
          <w:p w:rsidR="00D85AC7" w:rsidRPr="00392FFD" w:rsidRDefault="00D85AC7" w:rsidP="00F535E7">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ENTITÉS COMPRISES DANS LE PÉRIMÈTRE DE CONSOLIDATION</w:t>
            </w:r>
          </w:p>
          <w:p w:rsidR="00D85AC7" w:rsidRPr="00392FFD"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Voir instructions pour C 06.02</w:t>
            </w:r>
          </w:p>
        </w:tc>
      </w:tr>
      <w:tr w:rsidR="00D85AC7" w:rsidRPr="00392FFD" w:rsidTr="00672D2A">
        <w:tc>
          <w:tcPr>
            <w:tcW w:w="1188"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COUSSINS DE FONDS PROPRES</w:t>
            </w:r>
          </w:p>
          <w:p w:rsidR="00D85AC7" w:rsidRPr="00392FFD" w:rsidRDefault="00D85AC7" w:rsidP="00FF36A5">
            <w:pPr>
              <w:rPr>
                <w:rStyle w:val="InstructionsTabelleberschrift"/>
                <w:rFonts w:ascii="Times New Roman" w:hAnsi="Times New Roman"/>
                <w:sz w:val="24"/>
              </w:rPr>
            </w:pPr>
            <w:r>
              <w:rPr>
                <w:rStyle w:val="InstructionsTabelleText"/>
                <w:rFonts w:ascii="Times New Roman" w:hAnsi="Times New Roman"/>
                <w:sz w:val="24"/>
              </w:rPr>
              <w:t>Voir instructions pour C 06.02</w:t>
            </w:r>
          </w:p>
        </w:tc>
      </w:tr>
    </w:tbl>
    <w:p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Ligne</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Instructions</w:t>
            </w:r>
          </w:p>
        </w:tc>
      </w:tr>
      <w:tr w:rsidR="00D85AC7" w:rsidRPr="00392FFD" w:rsidTr="00672D2A">
        <w:tc>
          <w:tcPr>
            <w:tcW w:w="1188" w:type="dxa"/>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TOTAL</w:t>
            </w:r>
          </w:p>
          <w:p w:rsidR="00D85AC7" w:rsidRPr="00392FFD"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Le total représente la somme des valeurs déclarées dans toutes les lignes du modèle C 06.02.</w:t>
            </w:r>
          </w:p>
        </w:tc>
      </w:tr>
    </w:tbl>
    <w:p w:rsidR="00D85AC7" w:rsidRPr="00392FFD" w:rsidRDefault="00D85AC7" w:rsidP="00FD239F">
      <w:pPr>
        <w:pStyle w:val="InstructionsText"/>
      </w:pPr>
    </w:p>
    <w:p w:rsidR="00D85AC7" w:rsidRPr="00392FFD" w:rsidRDefault="00125707" w:rsidP="0023700C">
      <w:pPr>
        <w:pStyle w:val="Instructionsberschrift2"/>
        <w:numPr>
          <w:ilvl w:val="0"/>
          <w:numId w:val="0"/>
        </w:numPr>
        <w:ind w:left="357" w:hanging="357"/>
        <w:rPr>
          <w:rFonts w:ascii="Times New Roman" w:hAnsi="Times New Roman" w:cs="Times New Roman"/>
          <w:sz w:val="24"/>
        </w:rPr>
      </w:pPr>
      <w:bookmarkStart w:id="141" w:name="_Toc516210627"/>
      <w:bookmarkStart w:id="142" w:name="_Toc473560892"/>
      <w:bookmarkStart w:id="143" w:name="_Toc524104166"/>
      <w:r>
        <w:rPr>
          <w:rFonts w:ascii="Times New Roman" w:hAnsi="Times New Roman"/>
          <w:sz w:val="24"/>
          <w:u w:val="none"/>
        </w:rPr>
        <w:t>2.5.</w:t>
      </w:r>
      <w:r w:rsidRPr="00F27056">
        <w:rPr>
          <w:u w:val="none"/>
        </w:rPr>
        <w:tab/>
      </w:r>
      <w:r>
        <w:rPr>
          <w:rFonts w:ascii="Times New Roman" w:hAnsi="Times New Roman"/>
          <w:sz w:val="24"/>
        </w:rPr>
        <w:t xml:space="preserve">C 06.02 - SOLVABILITÉ DU GROUPE: INFORMATIONS SUR LES FILIALES </w:t>
      </w:r>
      <w:r w:rsidR="00F27056" w:rsidRPr="00F27056">
        <w:rPr>
          <w:rFonts w:ascii="Times New Roman" w:hAnsi="Times New Roman"/>
          <w:sz w:val="24"/>
          <w:u w:val="none"/>
        </w:rPr>
        <w:tab/>
      </w:r>
      <w:r>
        <w:rPr>
          <w:rFonts w:ascii="Times New Roman" w:hAnsi="Times New Roman"/>
          <w:sz w:val="24"/>
        </w:rPr>
        <w:t>(GS)</w:t>
      </w:r>
      <w:bookmarkEnd w:id="141"/>
      <w:bookmarkEnd w:id="142"/>
      <w:bookmarkEnd w:id="14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c>
          <w:tcPr>
            <w:tcW w:w="1188"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Colonne</w:t>
            </w:r>
          </w:p>
        </w:tc>
        <w:tc>
          <w:tcPr>
            <w:tcW w:w="8640"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Instructions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ENTITÉS COMPRISES DANS LE PÉRIMÈTRE DE CONSOLIDATION</w:t>
            </w:r>
          </w:p>
          <w:p w:rsidR="00464F34" w:rsidRPr="00392FFD"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Ce modèle vise à collecter des informations sur toutes les entités faisant partie du p</w:t>
            </w:r>
            <w:r>
              <w:rPr>
                <w:rStyle w:val="InstructionsTabelleText"/>
                <w:rFonts w:ascii="Times New Roman" w:hAnsi="Times New Roman"/>
                <w:sz w:val="24"/>
              </w:rPr>
              <w:t>é</w:t>
            </w:r>
            <w:r>
              <w:rPr>
                <w:rStyle w:val="InstructionsTabelleText"/>
                <w:rFonts w:ascii="Times New Roman" w:hAnsi="Times New Roman"/>
                <w:sz w:val="24"/>
              </w:rPr>
              <w:t>rimètre de consolidation, sur une base individuelle (entité par entité), conformément au</w:t>
            </w:r>
            <w:r>
              <w:rPr>
                <w:rFonts w:ascii="Times New Roman" w:hAnsi="Times New Roman"/>
                <w:sz w:val="24"/>
              </w:rPr>
              <w:t xml:space="preserve"> chapitre 2 du titre II de la première partie</w:t>
            </w:r>
            <w:r>
              <w:rPr>
                <w:rStyle w:val="InstructionsTabelleText"/>
                <w:rFonts w:ascii="Times New Roman" w:hAnsi="Times New Roman"/>
                <w:sz w:val="24"/>
              </w:rPr>
              <w:t xml:space="preserve"> du 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NOM</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Nom de l'entité faisant partie du périmètre de consolidation.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CODE</w:t>
            </w:r>
          </w:p>
          <w:p w:rsidR="009A47E2" w:rsidRPr="00392FFD" w:rsidRDefault="009A47E2" w:rsidP="00464F34">
            <w:pPr>
              <w:rPr>
                <w:rStyle w:val="InstructionsTabelleText"/>
                <w:rFonts w:ascii="Times New Roman" w:hAnsi="Times New Roman"/>
                <w:sz w:val="24"/>
              </w:rPr>
            </w:pPr>
            <w:r>
              <w:rPr>
                <w:rStyle w:val="InstructionsTabelleText"/>
                <w:rFonts w:ascii="Times New Roman" w:hAnsi="Times New Roman"/>
                <w:sz w:val="24"/>
              </w:rPr>
              <w:t>Ce code est un identifiant de la ligne et est propre à chaque ligne du tableau.</w:t>
            </w:r>
          </w:p>
          <w:p w:rsidR="002E136A"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Code attribué à l'entité faisant partie du périmètre de consolidation.</w:t>
            </w:r>
          </w:p>
          <w:p w:rsidR="00464F34" w:rsidRPr="00392FFD" w:rsidRDefault="00464F34" w:rsidP="00FD239F">
            <w:pPr>
              <w:pStyle w:val="InstructionsText"/>
              <w:rPr>
                <w:rStyle w:val="InstructionsTabelleText"/>
                <w:rFonts w:ascii="Times New Roman" w:hAnsi="Times New Roman"/>
                <w:sz w:val="24"/>
              </w:rPr>
            </w:pPr>
            <w:r>
              <w:rPr>
                <w:rStyle w:val="FormatvorlageInstructionsTabelleText"/>
                <w:rFonts w:ascii="Times New Roman" w:hAnsi="Times New Roman"/>
                <w:sz w:val="24"/>
              </w:rPr>
              <w:t xml:space="preserve">La composition réelle du code dépend du système national de reddition des comptes.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025</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CODE LEI</w:t>
            </w:r>
          </w:p>
          <w:p w:rsidR="00C504D3" w:rsidRPr="00392FFD" w:rsidRDefault="00C504D3" w:rsidP="00C504D3">
            <w:pPr>
              <w:rPr>
                <w:rStyle w:val="InstructionsTabelleText"/>
                <w:rFonts w:ascii="Times New Roman" w:hAnsi="Times New Roman"/>
                <w:sz w:val="24"/>
              </w:rPr>
            </w:pPr>
            <w:r>
              <w:rPr>
                <w:rStyle w:val="InstructionsTabelleText"/>
                <w:rFonts w:ascii="Times New Roman" w:hAnsi="Times New Roman"/>
                <w:sz w:val="24"/>
              </w:rPr>
              <w:t xml:space="preserve">Le code LEI (pour </w:t>
            </w:r>
            <w:proofErr w:type="spellStart"/>
            <w:r>
              <w:rPr>
                <w:rStyle w:val="InstructionsTabelleText"/>
                <w:rFonts w:ascii="Times New Roman" w:hAnsi="Times New Roman"/>
                <w:sz w:val="24"/>
              </w:rPr>
              <w:t>Legal</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Entity</w:t>
            </w:r>
            <w:proofErr w:type="spellEnd"/>
            <w:r>
              <w:rPr>
                <w:rStyle w:val="InstructionsTabelleText"/>
                <w:rFonts w:ascii="Times New Roman" w:hAnsi="Times New Roman"/>
                <w:sz w:val="24"/>
              </w:rPr>
              <w:t xml:space="preserve"> Identification) est un code de référence proposé par le Conseil de stabilité financière (CSF) et validé par le G20, qui vise à permettre d'ident</w:t>
            </w:r>
            <w:r>
              <w:rPr>
                <w:rStyle w:val="InstructionsTabelleText"/>
                <w:rFonts w:ascii="Times New Roman" w:hAnsi="Times New Roman"/>
                <w:sz w:val="24"/>
              </w:rPr>
              <w:t>i</w:t>
            </w:r>
            <w:r>
              <w:rPr>
                <w:rStyle w:val="InstructionsTabelleText"/>
                <w:rFonts w:ascii="Times New Roman" w:hAnsi="Times New Roman"/>
                <w:sz w:val="24"/>
              </w:rPr>
              <w:t>fier de manière univoque dans le monde entier toutes les parties d'une transaction f</w:t>
            </w:r>
            <w:r>
              <w:rPr>
                <w:rStyle w:val="InstructionsTabelleText"/>
                <w:rFonts w:ascii="Times New Roman" w:hAnsi="Times New Roman"/>
                <w:sz w:val="24"/>
              </w:rPr>
              <w:t>i</w:t>
            </w:r>
            <w:r>
              <w:rPr>
                <w:rStyle w:val="InstructionsTabelleText"/>
                <w:rFonts w:ascii="Times New Roman" w:hAnsi="Times New Roman"/>
                <w:sz w:val="24"/>
              </w:rPr>
              <w:t>nancière.</w:t>
            </w:r>
          </w:p>
          <w:p w:rsidR="00A10C90" w:rsidRPr="00392FFD" w:rsidRDefault="00C504D3" w:rsidP="009A47E2">
            <w:pPr>
              <w:rPr>
                <w:rStyle w:val="InstructionsTabelleText"/>
                <w:rFonts w:ascii="Times New Roman" w:hAnsi="Times New Roman"/>
                <w:sz w:val="24"/>
              </w:rPr>
            </w:pPr>
            <w:r>
              <w:rPr>
                <w:rStyle w:val="InstructionsTabelleText"/>
                <w:rFonts w:ascii="Times New Roman" w:hAnsi="Times New Roman"/>
                <w:sz w:val="24"/>
              </w:rPr>
              <w:lastRenderedPageBreak/>
              <w:t>En attendant que le système LEI international (Global LEI System) soit pleinement opérationnel, des codes pré-LEI sont attribués aux contreparties par une unité opér</w:t>
            </w:r>
            <w:r>
              <w:rPr>
                <w:rStyle w:val="InstructionsTabelleText"/>
                <w:rFonts w:ascii="Times New Roman" w:hAnsi="Times New Roman"/>
                <w:sz w:val="24"/>
              </w:rPr>
              <w:t>a</w:t>
            </w:r>
            <w:r>
              <w:rPr>
                <w:rStyle w:val="InstructionsTabelleText"/>
                <w:rFonts w:ascii="Times New Roman" w:hAnsi="Times New Roman"/>
                <w:sz w:val="24"/>
              </w:rPr>
              <w:t>tionnelle locale qui a été approuvée par le Comité de surveillance réglementaire (LEI ROC) (des informations détaillées peuvent être obtenues sur le site web www.leiroc.org)</w:t>
            </w:r>
            <w:r>
              <w:rPr>
                <w:rStyle w:val="InstructionsTabelleText"/>
                <w:rFonts w:ascii="Times New Roman" w:hAnsi="Times New Roman"/>
                <w:i/>
                <w:sz w:val="24"/>
              </w:rPr>
              <w:t>].</w:t>
            </w:r>
            <w:r>
              <w:rPr>
                <w:rStyle w:val="InstructionsTabelleText"/>
                <w:rFonts w:ascii="Times New Roman" w:hAnsi="Times New Roman"/>
                <w:sz w:val="24"/>
              </w:rPr>
              <w:t xml:space="preserve"> </w:t>
            </w:r>
          </w:p>
          <w:p w:rsidR="00464F34" w:rsidRPr="00392FFD" w:rsidRDefault="009A47E2" w:rsidP="00DD2C1E">
            <w:pPr>
              <w:rPr>
                <w:rStyle w:val="InstructionsTabelleberschrift"/>
                <w:rFonts w:ascii="Times New Roman" w:hAnsi="Times New Roman"/>
                <w:sz w:val="24"/>
              </w:rPr>
            </w:pPr>
            <w:r>
              <w:rPr>
                <w:rStyle w:val="InstructionsTabelleText"/>
                <w:rFonts w:ascii="Times New Roman" w:hAnsi="Times New Roman"/>
                <w:sz w:val="24"/>
              </w:rPr>
              <w:t xml:space="preserve">Lorsqu'il existe un code LEI pour une contrepartie donnée, il sera utilisé pour identifier cette dernière.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ÉTABLISSEMENT OU ÉQUIVALENT (OUI / NON)</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On indiquera «OUI» lorsque l'entité est soumise aux exigences de fonds propres en vertu du CRR et de la CRD ou de dispositions au moins équivalentes aux dispositions de Bâle.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Dans le cas contraire, on indiquera «NON».</w:t>
            </w:r>
          </w:p>
          <w:p w:rsidR="00464F34" w:rsidRPr="00392FFD" w:rsidRDefault="00464F34" w:rsidP="00464F34">
            <w:pPr>
              <w:rPr>
                <w:rStyle w:val="InstructionsTabelleText"/>
                <w:rFonts w:ascii="Times New Roman" w:hAnsi="Times New Roman"/>
                <w:sz w:val="24"/>
              </w:rPr>
            </w:pPr>
          </w:p>
          <w:p w:rsidR="00464F34" w:rsidRPr="00125707"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Intérêts minoritaires:</w:t>
            </w:r>
          </w:p>
          <w:p w:rsidR="00464F34" w:rsidRPr="00392FFD" w:rsidRDefault="00417984" w:rsidP="00464F34">
            <w:pPr>
              <w:rPr>
                <w:rStyle w:val="InstructionsTabelleText"/>
                <w:rFonts w:ascii="Times New Roman" w:hAnsi="Times New Roman"/>
                <w:sz w:val="24"/>
              </w:rPr>
            </w:pPr>
            <w:r>
              <w:rPr>
                <w:rFonts w:ascii="Times New Roman" w:hAnsi="Times New Roman"/>
                <w:sz w:val="24"/>
              </w:rPr>
              <w:t>Article 81, paragraphe 1, point a) ii), et article 82, paragraphe 1, point a) ii), du CRR</w:t>
            </w:r>
          </w:p>
          <w:p w:rsidR="00464F34" w:rsidRPr="00392FFD" w:rsidRDefault="00464F34" w:rsidP="00464F34">
            <w:pPr>
              <w:rPr>
                <w:rStyle w:val="InstructionsTabelleText"/>
                <w:rFonts w:ascii="Times New Roman" w:hAnsi="Times New Roman"/>
                <w:sz w:val="24"/>
              </w:rPr>
            </w:pPr>
            <w:r>
              <w:rPr>
                <w:rFonts w:ascii="Times New Roman" w:hAnsi="Times New Roman"/>
                <w:sz w:val="24"/>
              </w:rPr>
              <w:t>En ce qui concerne les intérêts minoritaires et les instruments de fonds propres add</w:t>
            </w:r>
            <w:r>
              <w:rPr>
                <w:rFonts w:ascii="Times New Roman" w:hAnsi="Times New Roman"/>
                <w:sz w:val="24"/>
              </w:rPr>
              <w:t>i</w:t>
            </w:r>
            <w:r>
              <w:rPr>
                <w:rFonts w:ascii="Times New Roman" w:hAnsi="Times New Roman"/>
                <w:sz w:val="24"/>
              </w:rPr>
              <w:t>tionnels de catégorie 1 et les instruments de fonds propres de catégorie 2 émis par les filiales, les filiales dont les instruments peuvent être éligibles seront des établissements ou des entreprises soumis aux exigences du CRR en vertu de la législation nationale en vigueur.</w:t>
            </w:r>
          </w:p>
        </w:tc>
      </w:tr>
      <w:tr w:rsidR="00B47F0C" w:rsidRPr="00392FFD" w:rsidTr="00672D2A">
        <w:tc>
          <w:tcPr>
            <w:tcW w:w="1188" w:type="dxa"/>
          </w:tcPr>
          <w:p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t>035</w:t>
            </w:r>
          </w:p>
        </w:tc>
        <w:tc>
          <w:tcPr>
            <w:tcW w:w="8640" w:type="dxa"/>
          </w:tcPr>
          <w:p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TYPE D’ENTITÉ</w:t>
            </w:r>
          </w:p>
          <w:p w:rsidR="0071377A" w:rsidRDefault="0071377A" w:rsidP="00B47F0C">
            <w:pPr>
              <w:rPr>
                <w:rStyle w:val="InstructionsTabelleText"/>
                <w:rFonts w:ascii="Times New Roman" w:hAnsi="Times New Roman"/>
                <w:bCs/>
                <w:sz w:val="24"/>
              </w:rPr>
            </w:pPr>
            <w:r>
              <w:rPr>
                <w:rStyle w:val="InstructionsTabelleText"/>
                <w:rFonts w:ascii="Times New Roman" w:hAnsi="Times New Roman"/>
                <w:sz w:val="24"/>
              </w:rPr>
              <w:t>Le type d’entité est déclaré selon les catégories suivantes:</w:t>
            </w:r>
          </w:p>
          <w:p w:rsidR="0071377A" w:rsidRPr="001C5CA8"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établissement de crédit</w:t>
            </w:r>
          </w:p>
          <w:p w:rsidR="0071377A" w:rsidRPr="001C5CA8" w:rsidRDefault="0071377A" w:rsidP="009B355E">
            <w:pPr>
              <w:tabs>
                <w:tab w:val="left" w:pos="372"/>
              </w:tabs>
              <w:rPr>
                <w:rStyle w:val="InstructionsTabelleText"/>
                <w:rFonts w:ascii="Times New Roman" w:hAnsi="Times New Roman"/>
                <w:sz w:val="24"/>
              </w:rPr>
            </w:pPr>
            <w:r>
              <w:tab/>
            </w:r>
            <w:r>
              <w:rPr>
                <w:rStyle w:val="InstructionsTabelleText"/>
                <w:rFonts w:ascii="Times New Roman" w:hAnsi="Times New Roman"/>
                <w:sz w:val="24"/>
              </w:rPr>
              <w:t>Article 4, paragraphe 1, point 1), du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entreprise d'investissement</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Article 4, paragraphe 1, point 2), du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établissement financier (autre)</w:t>
            </w:r>
          </w:p>
          <w:p w:rsidR="00965D27"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Article 4, paragraphe 1, points 20), 21) et 26), du CRR</w:t>
            </w:r>
          </w:p>
          <w:p w:rsidR="0071377A" w:rsidRDefault="00965D27" w:rsidP="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Les établissements financiers au sens de l'article 4, paragraphe 1, point 26), du CRR qui ne sont pas inclus dans les catégories d), f) ou g);</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compagnie financière holding (mixte)</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Article 4, paragraphe 1, points 20) et 21), du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entreprise de services auxiliaires</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Article 4, paragraphe 1, point 18), du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entité de titrisation (SSPE),</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Article 4, paragraphe 1, point 66), du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société d'obligations garanties</w:t>
            </w:r>
          </w:p>
          <w:p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 xml:space="preserve">Entité établie pour émettre des obligations garanties ou pour détenir des sûretés qui garantissent de telles obligations, si elle n’entre dans aucune des catégories a), b), </w:t>
            </w:r>
            <w:r>
              <w:rPr>
                <w:rStyle w:val="InstructionsTabelleText"/>
                <w:rFonts w:ascii="Times New Roman" w:hAnsi="Times New Roman"/>
                <w:sz w:val="24"/>
              </w:rPr>
              <w:lastRenderedPageBreak/>
              <w:t>ou d) à f) ci-dessus;</w:t>
            </w:r>
          </w:p>
          <w:p w:rsidR="0089010B"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autre type d’entité</w:t>
            </w:r>
          </w:p>
          <w:p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Entité autre que celles visées aux points a) à g)</w:t>
            </w:r>
          </w:p>
          <w:p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Lorsqu'une entité n’est pas soumise au CRR et à la CRD, mais est soumise à des disp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sitions au moins équivalentes aux dispositions Bâle, la catégorie applicable est déte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minée sur la base d'une obligation de moyens.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040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PÉRIMÈTRE DES DONNÉES: </w:t>
            </w:r>
            <w:r>
              <w:rPr>
                <w:rFonts w:ascii="Times New Roman" w:hAnsi="Times New Roman"/>
                <w:b/>
                <w:caps/>
                <w:sz w:val="24"/>
                <w:u w:val="single"/>
              </w:rPr>
              <w:t>sur base individuelle intégral</w:t>
            </w:r>
            <w:r>
              <w:rPr>
                <w:rFonts w:ascii="Times New Roman" w:hAnsi="Times New Roman"/>
                <w:b/>
                <w:caps/>
                <w:sz w:val="24"/>
                <w:u w:val="single"/>
              </w:rPr>
              <w:t>e</w:t>
            </w:r>
            <w:r>
              <w:rPr>
                <w:rFonts w:ascii="Times New Roman" w:hAnsi="Times New Roman"/>
                <w:b/>
                <w:caps/>
                <w:sz w:val="24"/>
                <w:u w:val="single"/>
              </w:rPr>
              <w:t>ment consolidée (SF) ou sur base individuelle partiell</w:t>
            </w:r>
            <w:r>
              <w:rPr>
                <w:rFonts w:ascii="Times New Roman" w:hAnsi="Times New Roman"/>
                <w:b/>
                <w:caps/>
                <w:sz w:val="24"/>
                <w:u w:val="single"/>
              </w:rPr>
              <w:t>e</w:t>
            </w:r>
            <w:r>
              <w:rPr>
                <w:rFonts w:ascii="Times New Roman" w:hAnsi="Times New Roman"/>
                <w:b/>
                <w:caps/>
                <w:sz w:val="24"/>
                <w:u w:val="single"/>
              </w:rPr>
              <w:t>ment consolidée (SP)</w:t>
            </w:r>
          </w:p>
          <w:p w:rsidR="00464F34" w:rsidRPr="00392FFD" w:rsidRDefault="00464F34" w:rsidP="009E5DCC">
            <w:pPr>
              <w:rPr>
                <w:rStyle w:val="Heading1Char"/>
                <w:rFonts w:ascii="Times New Roman" w:hAnsi="Times New Roman"/>
                <w:sz w:val="24"/>
                <w:szCs w:val="24"/>
              </w:rPr>
            </w:pPr>
            <w:r>
              <w:rPr>
                <w:rStyle w:val="InstructionsTabelleText"/>
                <w:rFonts w:ascii="Times New Roman" w:hAnsi="Times New Roman"/>
                <w:sz w:val="24"/>
              </w:rPr>
              <w:t>Indiquer «SF»</w:t>
            </w:r>
            <w:r>
              <w:t xml:space="preserve"> </w:t>
            </w:r>
            <w:r>
              <w:rPr>
                <w:rFonts w:ascii="Times New Roman" w:hAnsi="Times New Roman"/>
                <w:sz w:val="24"/>
              </w:rPr>
              <w:t>pour les filiales individuelles totalement consolidées.</w:t>
            </w:r>
            <w:r>
              <w:rPr>
                <w:rStyle w:val="Heading1Char"/>
                <w:rFonts w:ascii="Times New Roman" w:hAnsi="Times New Roman"/>
                <w:sz w:val="24"/>
              </w:rPr>
              <w:t xml:space="preserve"> </w:t>
            </w:r>
          </w:p>
          <w:p w:rsidR="00464F34" w:rsidRPr="00392FFD" w:rsidRDefault="009E5DCC" w:rsidP="00941843">
            <w:pPr>
              <w:rPr>
                <w:rStyle w:val="InstructionsTabelleText"/>
                <w:rFonts w:ascii="Times New Roman" w:hAnsi="Times New Roman"/>
                <w:smallCaps/>
                <w:sz w:val="24"/>
              </w:rPr>
            </w:pPr>
            <w:r>
              <w:rPr>
                <w:rStyle w:val="InstructionsTabelleText"/>
                <w:rFonts w:ascii="Times New Roman" w:hAnsi="Times New Roman"/>
                <w:sz w:val="24"/>
              </w:rPr>
              <w:t>Indiquer «SP»</w:t>
            </w:r>
            <w:r>
              <w:t xml:space="preserve"> </w:t>
            </w:r>
            <w:r>
              <w:rPr>
                <w:rFonts w:ascii="Times New Roman" w:hAnsi="Times New Roman"/>
                <w:sz w:val="24"/>
              </w:rPr>
              <w:t>pour les filiales individuelles partiellement consolidées.</w:t>
            </w:r>
            <w:r>
              <w:rPr>
                <w:rStyle w:val="InstructionsTabelleText"/>
                <w:rFonts w:ascii="Times New Roman" w:hAnsi="Times New Roman"/>
                <w:i/>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050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CODE PAYS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Les établissements mentionnent le code pays en deux lettres, selon la norme ISO 3166-2.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PARTICIPATION (%)</w:t>
            </w:r>
          </w:p>
          <w:p w:rsidR="00464F34" w:rsidRPr="00392FFD" w:rsidRDefault="00464F34" w:rsidP="00417984">
            <w:pPr>
              <w:rPr>
                <w:rStyle w:val="InstructionsTabelleText"/>
                <w:rFonts w:ascii="Times New Roman" w:hAnsi="Times New Roman"/>
                <w:sz w:val="24"/>
              </w:rPr>
            </w:pPr>
            <w:r>
              <w:rPr>
                <w:rStyle w:val="InstructionsTabelleText"/>
                <w:rFonts w:ascii="Times New Roman" w:hAnsi="Times New Roman"/>
                <w:sz w:val="24"/>
              </w:rPr>
              <w:t>Ce pourcentage correspond à la part de capital réelle que détient l'entreprise mère dans des filiales. En cas de consolidation intégrale d'une filiale directe, la part réelle est par exemple 70 %. Conformément à l'article 4, point 16, du CRR, la participation dans une filiale d'une filiale à déclarer résulte d'une multiplication des parts entre les filiales co</w:t>
            </w:r>
            <w:r>
              <w:rPr>
                <w:rStyle w:val="InstructionsTabelleText"/>
                <w:rFonts w:ascii="Times New Roman" w:hAnsi="Times New Roman"/>
                <w:sz w:val="24"/>
              </w:rPr>
              <w:t>n</w:t>
            </w:r>
            <w:r>
              <w:rPr>
                <w:rStyle w:val="InstructionsTabelleText"/>
                <w:rFonts w:ascii="Times New Roman" w:hAnsi="Times New Roman"/>
                <w:sz w:val="24"/>
              </w:rPr>
              <w:t>cernées.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INFORMATIONS SUR LES ENTITÉS SOUMISES À DES EXIGENCES DE FONDS PROPRES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 section consacrée aux informations détaillées (à savoir les colonnes 070 à 240) permet de collecter des données uniquement sur les entités et sous-groupes qui, pui</w:t>
            </w:r>
            <w:r>
              <w:rPr>
                <w:rStyle w:val="InstructionsTabelleText"/>
                <w:rFonts w:ascii="Times New Roman" w:hAnsi="Times New Roman"/>
                <w:sz w:val="24"/>
              </w:rPr>
              <w:t>s</w:t>
            </w:r>
            <w:r>
              <w:rPr>
                <w:rStyle w:val="InstructionsTabelleText"/>
                <w:rFonts w:ascii="Times New Roman" w:hAnsi="Times New Roman"/>
                <w:sz w:val="24"/>
              </w:rPr>
              <w:t>qu'ils font partie du périmètre de consolidation (</w:t>
            </w:r>
            <w:r>
              <w:rPr>
                <w:rFonts w:ascii="Times New Roman" w:hAnsi="Times New Roman"/>
                <w:sz w:val="24"/>
              </w:rPr>
              <w:t>Première partie, titre II, chapitre 2, du CRR</w:t>
            </w:r>
            <w:r>
              <w:rPr>
                <w:rStyle w:val="InstructionsTabelleText"/>
                <w:rFonts w:ascii="Times New Roman" w:hAnsi="Times New Roman"/>
                <w:sz w:val="24"/>
              </w:rPr>
              <w:t xml:space="preserve">), sont effectivement soumis à des exigences de solvabilité en vertu du CRR ou de dispositions au moins équivalentes aux dispositions Bâle (soit lorsque la réponse est «OUI» dans la colonne 030). </w:t>
            </w:r>
          </w:p>
          <w:p w:rsidR="00464F34" w:rsidRPr="00392FFD" w:rsidRDefault="00464F34" w:rsidP="00464F34">
            <w:pPr>
              <w:rPr>
                <w:rFonts w:ascii="Times New Roman" w:hAnsi="Times New Roman"/>
                <w:sz w:val="24"/>
              </w:rPr>
            </w:pPr>
            <w:r>
              <w:rPr>
                <w:rFonts w:ascii="Times New Roman" w:hAnsi="Times New Roman"/>
                <w:sz w:val="24"/>
              </w:rPr>
              <w:t xml:space="preserve">On inclura des informations au sujet de tous les établissements d'un groupe consolidé qui sont soumis à des exigences de fonds propres, où qu'ils soient situés. </w:t>
            </w:r>
          </w:p>
          <w:p w:rsidR="00464F34" w:rsidRPr="00392FFD" w:rsidRDefault="00464F34" w:rsidP="00464F34">
            <w:pPr>
              <w:rPr>
                <w:rFonts w:ascii="Times New Roman" w:hAnsi="Times New Roman"/>
                <w:sz w:val="24"/>
              </w:rPr>
            </w:pPr>
            <w:r>
              <w:rPr>
                <w:rFonts w:ascii="Times New Roman" w:hAnsi="Times New Roman"/>
                <w:sz w:val="24"/>
              </w:rPr>
              <w:t>Les informations déclarées dans cette partie le seront conformément aux règles de so</w:t>
            </w:r>
            <w:r>
              <w:rPr>
                <w:rFonts w:ascii="Times New Roman" w:hAnsi="Times New Roman"/>
                <w:sz w:val="24"/>
              </w:rPr>
              <w:t>l</w:t>
            </w:r>
            <w:r>
              <w:rPr>
                <w:rFonts w:ascii="Times New Roman" w:hAnsi="Times New Roman"/>
                <w:sz w:val="24"/>
              </w:rPr>
              <w:t>vabilité appliquées</w:t>
            </w:r>
            <w:r>
              <w:rPr>
                <w:rFonts w:ascii="Times New Roman" w:hAnsi="Times New Roman"/>
                <w:b/>
                <w:sz w:val="24"/>
              </w:rPr>
              <w:t xml:space="preserve"> </w:t>
            </w:r>
            <w:r>
              <w:rPr>
                <w:rFonts w:ascii="Times New Roman" w:hAnsi="Times New Roman"/>
                <w:sz w:val="24"/>
              </w:rPr>
              <w:t>sur le lieu d'activité de l'établissement (dès lors, pour ce modèle, il n'est pas nécessaire de procéder à un double calcul sur une base individuelle, selon les règles appliquées par l'établissement mère). Lorsque les réglementations locales en m</w:t>
            </w:r>
            <w:r>
              <w:rPr>
                <w:rFonts w:ascii="Times New Roman" w:hAnsi="Times New Roman"/>
                <w:sz w:val="24"/>
              </w:rPr>
              <w:t>a</w:t>
            </w:r>
            <w:r>
              <w:rPr>
                <w:rFonts w:ascii="Times New Roman" w:hAnsi="Times New Roman"/>
                <w:sz w:val="24"/>
              </w:rPr>
              <w:t>tière de solvabilité diffèrent du CRR et en l'absence d'une ventilation comparable, les informations seront complétées dès lors que des données affichant une granularité sim</w:t>
            </w:r>
            <w:r>
              <w:rPr>
                <w:rFonts w:ascii="Times New Roman" w:hAnsi="Times New Roman"/>
                <w:sz w:val="24"/>
              </w:rPr>
              <w:t>i</w:t>
            </w:r>
            <w:r>
              <w:rPr>
                <w:rFonts w:ascii="Times New Roman" w:hAnsi="Times New Roman"/>
                <w:sz w:val="24"/>
              </w:rPr>
              <w:t>laire sont disponibles. C'est la raison pour laquelle cette partie constitue un modèle fa</w:t>
            </w:r>
            <w:r>
              <w:rPr>
                <w:rFonts w:ascii="Times New Roman" w:hAnsi="Times New Roman"/>
                <w:sz w:val="24"/>
              </w:rPr>
              <w:t>c</w:t>
            </w:r>
            <w:r>
              <w:rPr>
                <w:rFonts w:ascii="Times New Roman" w:hAnsi="Times New Roman"/>
                <w:sz w:val="24"/>
              </w:rPr>
              <w:t>tuel synthétisant les calculs auxquels les différents établissements d'un groupe doivent procéder, sans perdre de vue que certains de ces établissements peuvent être soumis à des règles de solvabilité différentes.</w:t>
            </w:r>
          </w:p>
          <w:p w:rsidR="00464F34" w:rsidRPr="00392FFD"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Déclaration des frais généraux des entreprises d'investissement:</w:t>
            </w:r>
          </w:p>
          <w:p w:rsidR="00464F34" w:rsidRPr="00392FFD"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lastRenderedPageBreak/>
              <w:t>Dans leur calcul du ratio de fonds propres, les entreprises d'investissement incluront les exigences de fonds propres liées aux frais généraux, conformément aux articles 95, 96, 97 et 98 du CRR.</w:t>
            </w:r>
          </w:p>
          <w:p w:rsidR="00464F34" w:rsidRPr="00392FFD"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La part du montant total d'exposition au risque liée aux frais généraux fixes figurera à la colonne 100 de la deuxième partie de ce modèle.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MONTANT TOTAL D'EXPOSITION AU RISQUE </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Déclarer la somme des colonnes 080 à 110.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RISQUES DE CRÉDIT, DE CRÉDIT DE CONTREPARTIE ET DE DILUTION, POSITIONS DE NÉGOCIATION NON DÉNOUÉES ET RISQUE DE RÈGL</w:t>
            </w:r>
            <w:r>
              <w:rPr>
                <w:rStyle w:val="InstructionsTabelleberschrift"/>
                <w:rFonts w:ascii="Times New Roman" w:hAnsi="Times New Roman"/>
                <w:sz w:val="24"/>
              </w:rPr>
              <w:t>E</w:t>
            </w:r>
            <w:r>
              <w:rPr>
                <w:rStyle w:val="InstructionsTabelleberschrift"/>
                <w:rFonts w:ascii="Times New Roman" w:hAnsi="Times New Roman"/>
                <w:sz w:val="24"/>
              </w:rPr>
              <w:t>MENT/LIVRAISON</w:t>
            </w:r>
          </w:p>
          <w:p w:rsidR="00464F34" w:rsidRPr="00392FFD" w:rsidRDefault="00464F34" w:rsidP="00E871FE">
            <w:pPr>
              <w:rPr>
                <w:rStyle w:val="InstructionsTabelleText"/>
                <w:rFonts w:ascii="Times New Roman" w:hAnsi="Times New Roman"/>
                <w:sz w:val="24"/>
              </w:rPr>
            </w:pPr>
            <w:r>
              <w:rPr>
                <w:rStyle w:val="InstructionsTabelleText"/>
                <w:rFonts w:ascii="Times New Roman" w:hAnsi="Times New Roman"/>
                <w:sz w:val="24"/>
              </w:rPr>
              <w:t>Le montant à déclarer dans cette colonne correspond à la somme des montants d'exp</w:t>
            </w:r>
            <w:r>
              <w:rPr>
                <w:rStyle w:val="InstructionsTabelleText"/>
                <w:rFonts w:ascii="Times New Roman" w:hAnsi="Times New Roman"/>
                <w:sz w:val="24"/>
              </w:rPr>
              <w:t>o</w:t>
            </w:r>
            <w:r>
              <w:rPr>
                <w:rStyle w:val="InstructionsTabelleText"/>
                <w:rFonts w:ascii="Times New Roman" w:hAnsi="Times New Roman"/>
                <w:sz w:val="24"/>
              </w:rPr>
              <w:t>sition au risque égaux ou équivalents aux montants à déclarer à la ligne 040</w:t>
            </w:r>
            <w:r>
              <w:rPr>
                <w:rStyle w:val="InstructionsTabelleberschrift"/>
                <w:rFonts w:ascii="Times New Roman" w:hAnsi="Times New Roman"/>
                <w:b w:val="0"/>
                <w:sz w:val="24"/>
                <w:u w:val="none"/>
              </w:rPr>
              <w:t xml:space="preserve"> «MO</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TANTS D'EXPOSITION PONDÉRÉS</w:t>
            </w:r>
            <w:r>
              <w:t xml:space="preserve"> </w:t>
            </w:r>
            <w:r>
              <w:rPr>
                <w:rStyle w:val="InstructionsTabelleText"/>
                <w:rFonts w:ascii="Times New Roman" w:hAnsi="Times New Roman"/>
                <w:sz w:val="24"/>
              </w:rPr>
              <w:t>POUR LES RISQUES DE CRÉDIT, DE CRÉDIT DE CONTREPARTIE ET DE DILUTION ET LES POSITIONS DE N</w:t>
            </w:r>
            <w:r>
              <w:rPr>
                <w:rStyle w:val="InstructionsTabelleText"/>
                <w:rFonts w:ascii="Times New Roman" w:hAnsi="Times New Roman"/>
                <w:sz w:val="24"/>
              </w:rPr>
              <w:t>É</w:t>
            </w:r>
            <w:r>
              <w:rPr>
                <w:rStyle w:val="InstructionsTabelleText"/>
                <w:rFonts w:ascii="Times New Roman" w:hAnsi="Times New Roman"/>
                <w:sz w:val="24"/>
              </w:rPr>
              <w:t>GOCIATION NON DÉNOUÉES», et des montants des exigences de fonds propres égaux ou équivalents aux montants à déclarer à la ligne 490 «MONTANT D'EXPOS</w:t>
            </w:r>
            <w:r>
              <w:rPr>
                <w:rStyle w:val="InstructionsTabelleText"/>
                <w:rFonts w:ascii="Times New Roman" w:hAnsi="Times New Roman"/>
                <w:sz w:val="24"/>
              </w:rPr>
              <w:t>I</w:t>
            </w:r>
            <w:r>
              <w:rPr>
                <w:rStyle w:val="InstructionsTabelleText"/>
                <w:rFonts w:ascii="Times New Roman" w:hAnsi="Times New Roman"/>
                <w:sz w:val="24"/>
              </w:rPr>
              <w:t>TION AU RISQUE DE RÈGLEMENT/LIVRAISON» du modèle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RISQUE DE POSITION, RISQUE DE CHANGE ET RISQUE SUR MATIÈRES PREMIÈRES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Le montant à déclarer dans cette colonne correspond au montant des exigences de fonds propres égaux ou équivalents aux montants à déclarer à la ligne 520 «MO</w:t>
            </w:r>
            <w:r>
              <w:rPr>
                <w:rStyle w:val="InstructionsTabelleText"/>
                <w:rFonts w:ascii="Times New Roman" w:hAnsi="Times New Roman"/>
                <w:sz w:val="24"/>
              </w:rPr>
              <w:t>N</w:t>
            </w:r>
            <w:r>
              <w:rPr>
                <w:rStyle w:val="InstructionsTabelleText"/>
                <w:rFonts w:ascii="Times New Roman" w:hAnsi="Times New Roman"/>
                <w:sz w:val="24"/>
              </w:rPr>
              <w:t>TANT TOTAL D'EXPOSITION AU RISQUE DE POSITION, AU RISQUE DE CHANGE ET AU RISQUE SUR MATIÈRES PREMIÈRES» du modèle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RISQUE OPÉRATIONNEL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Le montant à déclarer dans cette colonne correspond au montant d'exposition au risque égal ou équivalant au montant déclaré à la ligne 590 «MONTANT TOTAL D'EXP</w:t>
            </w:r>
            <w:r>
              <w:rPr>
                <w:rStyle w:val="InstructionsTabelleText"/>
                <w:rFonts w:ascii="Times New Roman" w:hAnsi="Times New Roman"/>
                <w:sz w:val="24"/>
              </w:rPr>
              <w:t>O</w:t>
            </w:r>
            <w:r>
              <w:rPr>
                <w:rStyle w:val="InstructionsTabelleText"/>
                <w:rFonts w:ascii="Times New Roman" w:hAnsi="Times New Roman"/>
                <w:sz w:val="24"/>
              </w:rPr>
              <w:t>SITION AU RISQUE OPÉRATIONNEL (</w:t>
            </w:r>
            <w:proofErr w:type="spellStart"/>
            <w:r>
              <w:rPr>
                <w:rStyle w:val="InstructionsTabelleText"/>
                <w:rFonts w:ascii="Times New Roman" w:hAnsi="Times New Roman"/>
                <w:sz w:val="24"/>
              </w:rPr>
              <w:t>ROp</w:t>
            </w:r>
            <w:proofErr w:type="spellEnd"/>
            <w:r>
              <w:rPr>
                <w:rStyle w:val="InstructionsTabelleText"/>
                <w:rFonts w:ascii="Times New Roman" w:hAnsi="Times New Roman"/>
                <w:sz w:val="24"/>
              </w:rPr>
              <w:t>)» du modèle CA2.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Les frais généraux fixes sont inclus dans cette colonne, y compris la ligne 630 «MO</w:t>
            </w:r>
            <w:r>
              <w:rPr>
                <w:rStyle w:val="InstructionsTabelleText"/>
                <w:rFonts w:ascii="Times New Roman" w:hAnsi="Times New Roman"/>
                <w:sz w:val="24"/>
              </w:rPr>
              <w:t>N</w:t>
            </w:r>
            <w:r>
              <w:rPr>
                <w:rStyle w:val="InstructionsTabelleText"/>
                <w:rFonts w:ascii="Times New Roman" w:hAnsi="Times New Roman"/>
                <w:sz w:val="24"/>
              </w:rPr>
              <w:t>TANT D'EXPOSITION AU RISQUE SUPPLÉMENTAIRE LIÉ AUX FRAIS FIXES» du modèle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MONTANTS D'EXPOSITION AUX AUTRES RISQUES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Le montant à déclarer dans cette colonne correspond au montant d'exposition au risque non spécifiquement repris plus haut. Il s'agit de la somme des montants des lignes 640, 680 et 690 du modèle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INFORMATIONS DÉTAILLÉES SUR LA SOLVABILITÉ DU GROUPE FONDS PROPRES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Les données déclarées dans les colonnes suivantes le seront conformément aux règles de solvabilité appliquées sur le lieu d'activité de l'entité ou du sous-groupe.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FONDS PROPRES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 xml:space="preserve">Le montant à déclarer dans cette colonne correspond au montant des fonds propres </w:t>
            </w:r>
            <w:r>
              <w:rPr>
                <w:rStyle w:val="InstructionsTabelleText"/>
                <w:rFonts w:ascii="Times New Roman" w:hAnsi="Times New Roman"/>
                <w:sz w:val="24"/>
              </w:rPr>
              <w:lastRenderedPageBreak/>
              <w:t>égaux ou équivalant aux montants à déclarer à la ligne 010 «FONDS PROPRES» du modèle CA1.</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DONT: FONDS PROPRES RECONNAISSABLES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Article 82 du CRR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Cette colonne n'est utile que pour les filiales totalement consolidées déclarées sur une base individuelle qui sont des établissements.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En ce qui concerne les filiales susmentionnées, les participations qualifiées sont des instruments (plus les résultats non distribués, les comptes des primes d'émission et les autres réserves y afférents) détenus par des personnes autres que les entreprises faisant partie du périmètre de consolidation selon le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Le montant à déclarer intègrera les effets de toute disposition transitoire. Il s'agira du montant éligible à la date de déclaration.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140</w:t>
            </w:r>
          </w:p>
        </w:tc>
        <w:tc>
          <w:tcPr>
            <w:tcW w:w="8640" w:type="dxa"/>
          </w:tcPr>
          <w:p w:rsidR="00464F34" w:rsidRPr="00392FFD"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INSTRUMENTS DE FONDS PROPRES AFFÉRENTS, RÉSULTATS NON DISTRIBUÉS ET COMPTES DES PRIMES D'ÉMISSION ET AUTRES R</w:t>
            </w:r>
            <w:r>
              <w:rPr>
                <w:rStyle w:val="InstructionsTabelleberschrift"/>
                <w:rFonts w:ascii="Times New Roman" w:hAnsi="Times New Roman"/>
                <w:sz w:val="24"/>
              </w:rPr>
              <w:t>É</w:t>
            </w:r>
            <w:r>
              <w:rPr>
                <w:rStyle w:val="InstructionsTabelleberschrift"/>
                <w:rFonts w:ascii="Times New Roman" w:hAnsi="Times New Roman"/>
                <w:sz w:val="24"/>
              </w:rPr>
              <w:t>SERVES AFFÉRENTS</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87, paragraphe 1, point b), du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TOTAL FONDS PROPRES DE CATÉGORIE 1</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Article 25 du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DONT: FONDS PROPRES DE CATÉGORIE 1 RECONNAISSABLES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Article 82 du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Cette colonne n'est utile que pour les filiales totalement consolidées déclarées sur une base individuelle qui sont des établissements.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En ce qui concerne les filiales susmentionnées, les participations qualifiées sont des instruments (plus les résultats non distribués et les comptes des primes d'émission y a</w:t>
            </w:r>
            <w:r>
              <w:rPr>
                <w:rStyle w:val="InstructionsTabelleText"/>
                <w:rFonts w:ascii="Times New Roman" w:hAnsi="Times New Roman"/>
                <w:sz w:val="24"/>
              </w:rPr>
              <w:t>f</w:t>
            </w:r>
            <w:r>
              <w:rPr>
                <w:rStyle w:val="InstructionsTabelleText"/>
                <w:rFonts w:ascii="Times New Roman" w:hAnsi="Times New Roman"/>
                <w:sz w:val="24"/>
              </w:rPr>
              <w:t>férents) détenus par des personnes autres que les entreprises faisant partie du périmètre de consolidation selon le CRR.</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Le montant à déclarer intègrera les effets de toute disposition transitoire. Il s'agira du montant éligible à la date de déclaration.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170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INSTRUMENTS DE FONDS PROPRES T1 AFFÉRENTS, RÉSULTATS NON DISTRIBUÉS ET COMPTES DES PRIMES D'ÉMISSION AFFÉRENTS</w:t>
            </w:r>
          </w:p>
          <w:p w:rsidR="00464F34" w:rsidRPr="00392FFD" w:rsidRDefault="00144F03" w:rsidP="003C1BB1">
            <w:pPr>
              <w:rPr>
                <w:rStyle w:val="InstructionsTabelleberschrift"/>
                <w:rFonts w:ascii="Times New Roman" w:hAnsi="Times New Roman"/>
                <w:sz w:val="24"/>
              </w:rPr>
            </w:pPr>
            <w:r>
              <w:rPr>
                <w:rStyle w:val="InstructionsTabelleberschrift"/>
                <w:rFonts w:ascii="Times New Roman" w:hAnsi="Times New Roman"/>
                <w:b w:val="0"/>
                <w:sz w:val="24"/>
                <w:u w:val="none"/>
              </w:rPr>
              <w:t>Article 85, paragraphe 1, point b), du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FONDS PROPRES DE BASE DE CATÉGORIE 1 (CET1)</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Article 50 du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DONT: INTÉRÊTS MINORITAIRES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Article 81 du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Cette colonne ne sera utile que pour les filiales totalement consolidées qui sont des ét</w:t>
            </w:r>
            <w:r>
              <w:rPr>
                <w:rStyle w:val="InstructionsTabelleText"/>
                <w:rFonts w:ascii="Times New Roman" w:hAnsi="Times New Roman"/>
                <w:sz w:val="24"/>
              </w:rPr>
              <w:t>a</w:t>
            </w:r>
            <w:r>
              <w:rPr>
                <w:rStyle w:val="InstructionsTabelleText"/>
                <w:rFonts w:ascii="Times New Roman" w:hAnsi="Times New Roman"/>
                <w:sz w:val="24"/>
              </w:rPr>
              <w:t xml:space="preserve">blissements, à l'exception des filiales visées à l'article 84, paragraphe 3, du CRR. Chaque filiale sera prise en compte sur une base sous-consolidée aux fins de tous les </w:t>
            </w:r>
            <w:r>
              <w:rPr>
                <w:rStyle w:val="InstructionsTabelleText"/>
                <w:rFonts w:ascii="Times New Roman" w:hAnsi="Times New Roman"/>
                <w:sz w:val="24"/>
              </w:rPr>
              <w:lastRenderedPageBreak/>
              <w:t>calculs requis par l'article 84 du CRR, si nécessaire, conformément à l'article 84, par</w:t>
            </w:r>
            <w:r>
              <w:rPr>
                <w:rStyle w:val="InstructionsTabelleText"/>
                <w:rFonts w:ascii="Times New Roman" w:hAnsi="Times New Roman"/>
                <w:sz w:val="24"/>
              </w:rPr>
              <w:t>a</w:t>
            </w:r>
            <w:r>
              <w:rPr>
                <w:rStyle w:val="InstructionsTabelleText"/>
                <w:rFonts w:ascii="Times New Roman" w:hAnsi="Times New Roman"/>
                <w:sz w:val="24"/>
              </w:rPr>
              <w:t>graphe 2. Sinon, elles seront prises en considération sur une base individuelle.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En ce qui concerne le CRR et ce modèle, les intérêts minoritaires sont, pour les filiales susmentionnées, les instruments de fonds propres de base de catégorie 1 (plus les résu</w:t>
            </w:r>
            <w:r>
              <w:rPr>
                <w:rStyle w:val="InstructionsTabelleText"/>
                <w:rFonts w:ascii="Times New Roman" w:hAnsi="Times New Roman"/>
                <w:sz w:val="24"/>
              </w:rPr>
              <w:t>l</w:t>
            </w:r>
            <w:r>
              <w:rPr>
                <w:rStyle w:val="InstructionsTabelleText"/>
                <w:rFonts w:ascii="Times New Roman" w:hAnsi="Times New Roman"/>
                <w:sz w:val="24"/>
              </w:rPr>
              <w:t>tats non distribués et les comptes des primes d'émission y afférents) détenus par des personnes autres que les entreprises faisant partie du périmètre de consolidation selon le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Le montant à déclarer intègrera les effets de toute disposition transitoire. Il s'agira du montant éligible à la date de déclaration.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200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INSTRUMENTS DE FONDS PROPRES AFFÉRENTS, RÉSULTATS NON DISTRIBUÉS ET COMPTES DES PRIMES D'ÉMISSION ET AUTRES R</w:t>
            </w:r>
            <w:r>
              <w:rPr>
                <w:rStyle w:val="InstructionsTabelleberschrift"/>
                <w:rFonts w:ascii="Times New Roman" w:hAnsi="Times New Roman"/>
                <w:sz w:val="24"/>
              </w:rPr>
              <w:t>É</w:t>
            </w:r>
            <w:r>
              <w:rPr>
                <w:rStyle w:val="InstructionsTabelleberschrift"/>
                <w:rFonts w:ascii="Times New Roman" w:hAnsi="Times New Roman"/>
                <w:sz w:val="24"/>
              </w:rPr>
              <w:t>SERVES AFFÉRENTS</w:t>
            </w:r>
          </w:p>
          <w:p w:rsidR="00464F34" w:rsidRPr="00392FFD" w:rsidRDefault="00144F03" w:rsidP="000044B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84, paragraphe 1, point b), du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FONDS PROPRES ADDITIONNELS DE CATÉGORIE 1 (AT1)</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Article 61 du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DONT: FONDS PROPRES ADDITIONNELS DE CATÉGORIE 1 RECO</w:t>
            </w:r>
            <w:r>
              <w:rPr>
                <w:rStyle w:val="InstructionsTabelleberschrift"/>
                <w:rFonts w:ascii="Times New Roman" w:hAnsi="Times New Roman"/>
                <w:sz w:val="24"/>
              </w:rPr>
              <w:t>N</w:t>
            </w:r>
            <w:r>
              <w:rPr>
                <w:rStyle w:val="InstructionsTabelleberschrift"/>
                <w:rFonts w:ascii="Times New Roman" w:hAnsi="Times New Roman"/>
                <w:sz w:val="24"/>
              </w:rPr>
              <w:t>NAISSABLES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Articles 82 et 83 du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Cette colonne ne sera utile que pour les filiales totalement consolidées déclarées sur une base individuelle qui sont des établissements, à l'exception des filiales visées à l'a</w:t>
            </w:r>
            <w:r>
              <w:rPr>
                <w:rStyle w:val="InstructionsTabelleText"/>
                <w:rFonts w:ascii="Times New Roman" w:hAnsi="Times New Roman"/>
                <w:sz w:val="24"/>
              </w:rPr>
              <w:t>r</w:t>
            </w:r>
            <w:r>
              <w:rPr>
                <w:rStyle w:val="InstructionsTabelleText"/>
                <w:rFonts w:ascii="Times New Roman" w:hAnsi="Times New Roman"/>
                <w:sz w:val="24"/>
              </w:rPr>
              <w:t>ticle 85, paragraphe 2, du CRR. Chaque filiale sera prise en compte sur une base sous-consolidée aux fins de tous les calculs requis par l'article 85 du CRR, si nécessaire, conformément à l'article 85, paragraphe 2. Sinon, elles seront prises en considération sur une base individuelle.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En ce qui concerne le CRR et ce modèle, les intérêts minoritaires sont, pour les filiales susmentionnées, les instruments de fonds propres additionnels de catégorie 1 (plus les résultats non distribués et les comptes des primes d'émission y afférents) détenus par des personnes autres que les entreprises faisant partie du périmètre de consolidation s</w:t>
            </w:r>
            <w:r>
              <w:rPr>
                <w:rStyle w:val="InstructionsTabelleText"/>
                <w:rFonts w:ascii="Times New Roman" w:hAnsi="Times New Roman"/>
                <w:sz w:val="24"/>
              </w:rPr>
              <w:t>e</w:t>
            </w:r>
            <w:r>
              <w:rPr>
                <w:rStyle w:val="InstructionsTabelleText"/>
                <w:rFonts w:ascii="Times New Roman" w:hAnsi="Times New Roman"/>
                <w:sz w:val="24"/>
              </w:rPr>
              <w:t>lon le CRR.</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Le montant à déclarer intègrera les effets de toute disposition transitoire. Il s'agira du montant éligible à la date de déclaration.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FONDS PROPRES DE CATÉGORIE 2 (T2)</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Article 71 du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DONT: FONDS PROPRES DE CATÉGORIE 2 RECONNAISSABLES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Articles 82 et 83 du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Cette colonne ne sera utile que pour les filiales totalement consolidées déclarées sur une base individuelle qui sont des établissements, à l'exception des filiales visées à l'a</w:t>
            </w:r>
            <w:r>
              <w:rPr>
                <w:rStyle w:val="InstructionsTabelleText"/>
                <w:rFonts w:ascii="Times New Roman" w:hAnsi="Times New Roman"/>
                <w:sz w:val="24"/>
              </w:rPr>
              <w:t>r</w:t>
            </w:r>
            <w:r>
              <w:rPr>
                <w:rStyle w:val="InstructionsTabelleText"/>
                <w:rFonts w:ascii="Times New Roman" w:hAnsi="Times New Roman"/>
                <w:sz w:val="24"/>
              </w:rPr>
              <w:t>ticle 87, paragraphe 2, du CRR. Chaque filiale sera prise en compte sur une base sous-consolidée aux fins de tous les calculs requis par l'article 87 du CRR, si nécessaire, conformément à l'article 87, paragraphe 2, du CRR. Sinon, elles seront prises en cons</w:t>
            </w:r>
            <w:r>
              <w:rPr>
                <w:rStyle w:val="InstructionsTabelleText"/>
                <w:rFonts w:ascii="Times New Roman" w:hAnsi="Times New Roman"/>
                <w:sz w:val="24"/>
              </w:rPr>
              <w:t>i</w:t>
            </w:r>
            <w:r>
              <w:rPr>
                <w:rStyle w:val="InstructionsTabelleText"/>
                <w:rFonts w:ascii="Times New Roman" w:hAnsi="Times New Roman"/>
                <w:sz w:val="24"/>
              </w:rPr>
              <w:lastRenderedPageBreak/>
              <w:t xml:space="preserve">dération sur une base individuelle.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En ce qui concerne le CRR et ce modèle, les intérêts minoritaires sont, pour les filiales susmentionnées, les instruments de fonds propres de catégorie 2 (plus les résultats non distribués et les comptes des primes d'émission y afférents) détenus par des personnes autres que les entreprises faisant partie du périmètre de consolidation selon le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Le montant à déclarer intègrera les effets de toute disposition transitoire, c'est-à-dire qu'il doit s'agir du montant éligible à la date de la déclaration.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250-400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INFORMATIONS SUR LA CONTRIBUTION DES ENTITÉS À LA SOLVAB</w:t>
            </w:r>
            <w:r>
              <w:rPr>
                <w:rStyle w:val="InstructionsTabelleberschrift"/>
                <w:rFonts w:ascii="Times New Roman" w:hAnsi="Times New Roman"/>
                <w:sz w:val="24"/>
              </w:rPr>
              <w:t>I</w:t>
            </w:r>
            <w:r>
              <w:rPr>
                <w:rStyle w:val="InstructionsTabelleberschrift"/>
                <w:rFonts w:ascii="Times New Roman" w:hAnsi="Times New Roman"/>
                <w:sz w:val="24"/>
              </w:rPr>
              <w:t>LITÉ DU GROUPE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CONTRIBUTION AUX RISQUES</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Les données déclarées dans les colonnes suivantes le seront conformément aux règles de solvabilité applicables à l'établissement déclarant.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MONTANT TOTAL D'EXPOSITION AU RISQUE</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Déclarer la somme des colonnes 260 à 290.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RISQUES DE CRÉDIT, DE CRÉDIT DE CONTREPARTIE ET DE DILUTION, POSITIONS DE NÉGOCIATION NON DÉNOUÉES ET RISQUE DE RÈGL</w:t>
            </w:r>
            <w:r>
              <w:rPr>
                <w:rStyle w:val="InstructionsTabelleberschrift"/>
                <w:rFonts w:ascii="Times New Roman" w:hAnsi="Times New Roman"/>
                <w:sz w:val="24"/>
              </w:rPr>
              <w:t>E</w:t>
            </w:r>
            <w:r>
              <w:rPr>
                <w:rStyle w:val="InstructionsTabelleberschrift"/>
                <w:rFonts w:ascii="Times New Roman" w:hAnsi="Times New Roman"/>
                <w:sz w:val="24"/>
              </w:rPr>
              <w:t>MENT/LIVRAISON</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Le montant à déclarer sera le montant d'exposition pondéré pour risque de crédit et pour les exigences de fonds propres du risque de règlement/livraison, en vertu du CRR, à l'exception de tout montant lié aux transactions avec d'autres entités incluses dans le calcul du ratio de solvabilité consolidé.</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RISQUE DE POSITION, RISQUE DE CHANGE ET RISQUE SUR MATIÈRES PREMIÈRES</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Les montants d'exposition au risque pour risques de marché doivent être calculés au n</w:t>
            </w:r>
            <w:r>
              <w:rPr>
                <w:rStyle w:val="InstructionsTabelleText"/>
                <w:rFonts w:ascii="Times New Roman" w:hAnsi="Times New Roman"/>
                <w:sz w:val="24"/>
              </w:rPr>
              <w:t>i</w:t>
            </w:r>
            <w:r>
              <w:rPr>
                <w:rStyle w:val="InstructionsTabelleText"/>
                <w:rFonts w:ascii="Times New Roman" w:hAnsi="Times New Roman"/>
                <w:sz w:val="24"/>
              </w:rPr>
              <w:t>veau de chaque entité, selon le CRR. Les entités déclareront leur contribution aux mo</w:t>
            </w:r>
            <w:r>
              <w:rPr>
                <w:rStyle w:val="InstructionsTabelleText"/>
                <w:rFonts w:ascii="Times New Roman" w:hAnsi="Times New Roman"/>
                <w:sz w:val="24"/>
              </w:rPr>
              <w:t>n</w:t>
            </w:r>
            <w:r>
              <w:rPr>
                <w:rStyle w:val="InstructionsTabelleText"/>
                <w:rFonts w:ascii="Times New Roman" w:hAnsi="Times New Roman"/>
                <w:sz w:val="24"/>
              </w:rPr>
              <w:t>tants d'exposition pondérés pour risque de position, risque de change et risque sur m</w:t>
            </w:r>
            <w:r>
              <w:rPr>
                <w:rStyle w:val="InstructionsTabelleText"/>
                <w:rFonts w:ascii="Times New Roman" w:hAnsi="Times New Roman"/>
                <w:sz w:val="24"/>
              </w:rPr>
              <w:t>a</w:t>
            </w:r>
            <w:r>
              <w:rPr>
                <w:rStyle w:val="InstructionsTabelleText"/>
                <w:rFonts w:ascii="Times New Roman" w:hAnsi="Times New Roman"/>
                <w:sz w:val="24"/>
              </w:rPr>
              <w:t>tières premières du groupe. La somme des montants déclarés à ce poste correspond au montant figurant à la ligne 520 «MONTANT TOTAL D'EXPOSITION AU RISQUE DE POSITION, AU RISQUE DE CHANGE ET AU RISQUE SUR MATIÈRES PREMIÈRES» du rapport consolidé.</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RISQUE OPÉRATIONNEL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Dans le cas des approches par mesure avancée (AMA), les montants d'exposition au risque déclarés, pour risque opérationnel, intègreront les effets de la diversification.</w:t>
            </w:r>
          </w:p>
          <w:p w:rsidR="00464F34" w:rsidRPr="00392FFD" w:rsidRDefault="00464F34" w:rsidP="00464F34">
            <w:pPr>
              <w:rPr>
                <w:rStyle w:val="InstructionsTabelleText"/>
                <w:rFonts w:ascii="Times New Roman" w:hAnsi="Times New Roman"/>
                <w:sz w:val="24"/>
              </w:rPr>
            </w:pPr>
            <w:r>
              <w:rPr>
                <w:rFonts w:ascii="Times New Roman" w:hAnsi="Times New Roman"/>
                <w:caps/>
                <w:sz w:val="24"/>
              </w:rPr>
              <w:t>L</w:t>
            </w:r>
            <w:r>
              <w:rPr>
                <w:rFonts w:ascii="Times New Roman" w:hAnsi="Times New Roman"/>
                <w:sz w:val="24"/>
              </w:rPr>
              <w:t>es frais généraux fixes seront déclarés dans cette colonne.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MONTANTS D'EXPOSITION AUX AUTRES RISQUES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Le montant à déclarer dans cette colonne correspond au montant d'exposition au risque non spécifiquement repris plus haut.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CONTRIBUTION AUX FONDS PROPRES</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Cette partie du modèle n'a pas pour objectif d'imposer que les établissements procèdent </w:t>
            </w:r>
            <w:r>
              <w:rPr>
                <w:rStyle w:val="InstructionsTabelleText"/>
                <w:rFonts w:ascii="Times New Roman" w:hAnsi="Times New Roman"/>
                <w:sz w:val="24"/>
              </w:rPr>
              <w:lastRenderedPageBreak/>
              <w:t xml:space="preserve">à un calcul complet du ratio de fonds propres total au niveau de chaque entité. </w:t>
            </w:r>
          </w:p>
          <w:p w:rsidR="00144F03" w:rsidRPr="00392FFD" w:rsidRDefault="00144F03" w:rsidP="00144F03">
            <w:pPr>
              <w:pStyle w:val="Texte2"/>
              <w:ind w:left="0"/>
              <w:rPr>
                <w:rStyle w:val="InstructionsTabelleText"/>
                <w:rFonts w:ascii="Times New Roman" w:hAnsi="Times New Roman"/>
                <w:sz w:val="24"/>
                <w:szCs w:val="24"/>
              </w:rPr>
            </w:pPr>
            <w:r>
              <w:rPr>
                <w:rFonts w:ascii="Times New Roman" w:hAnsi="Times New Roman"/>
                <w:sz w:val="24"/>
              </w:rPr>
              <w:t>Les colonnes 300 à 350 seront remplies pour les entités consolidées qui contribuent aux fonds propres par le biais d'intérêts minoritaires, de fonds propres de catégorie 1</w:t>
            </w:r>
            <w:r>
              <w:t xml:space="preserve"> </w:t>
            </w:r>
            <w:r>
              <w:rPr>
                <w:rFonts w:ascii="Times New Roman" w:hAnsi="Times New Roman"/>
                <w:sz w:val="24"/>
              </w:rPr>
              <w:t>r</w:t>
            </w:r>
            <w:r>
              <w:rPr>
                <w:rFonts w:ascii="Times New Roman" w:hAnsi="Times New Roman"/>
                <w:sz w:val="24"/>
              </w:rPr>
              <w:t>e</w:t>
            </w:r>
            <w:r>
              <w:rPr>
                <w:rFonts w:ascii="Times New Roman" w:hAnsi="Times New Roman"/>
                <w:sz w:val="24"/>
              </w:rPr>
              <w:t>connaissables et/ou de fonds propres reconnaissables. Sous réserve du seuil défini dans le dernier paragraphe de la partie II, chapitre 2.3 ci-dessus, les colonnes 360 à 400 s</w:t>
            </w:r>
            <w:r>
              <w:rPr>
                <w:rFonts w:ascii="Times New Roman" w:hAnsi="Times New Roman"/>
                <w:sz w:val="24"/>
              </w:rPr>
              <w:t>e</w:t>
            </w:r>
            <w:r>
              <w:rPr>
                <w:rFonts w:ascii="Times New Roman" w:hAnsi="Times New Roman"/>
                <w:sz w:val="24"/>
              </w:rPr>
              <w:t>ront remplies pour toutes les entités consolidées qui contribuent aux fonds propres co</w:t>
            </w:r>
            <w:r>
              <w:rPr>
                <w:rFonts w:ascii="Times New Roman" w:hAnsi="Times New Roman"/>
                <w:sz w:val="24"/>
              </w:rPr>
              <w:t>n</w:t>
            </w:r>
            <w:r>
              <w:rPr>
                <w:rFonts w:ascii="Times New Roman" w:hAnsi="Times New Roman"/>
                <w:sz w:val="24"/>
              </w:rPr>
              <w:t>solidés.</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Les fonds propres apportés à une entité par le reste des entités faisant partie du pér</w:t>
            </w:r>
            <w:r>
              <w:rPr>
                <w:rStyle w:val="InstructionsTabelleText"/>
                <w:rFonts w:ascii="Times New Roman" w:hAnsi="Times New Roman"/>
                <w:sz w:val="24"/>
              </w:rPr>
              <w:t>i</w:t>
            </w:r>
            <w:r>
              <w:rPr>
                <w:rStyle w:val="InstructionsTabelleText"/>
                <w:rFonts w:ascii="Times New Roman" w:hAnsi="Times New Roman"/>
                <w:sz w:val="24"/>
              </w:rPr>
              <w:t>mètre de consolidation de l'entité déclarante ne seront pas pris en compte; seule la co</w:t>
            </w:r>
            <w:r>
              <w:rPr>
                <w:rStyle w:val="InstructionsTabelleText"/>
                <w:rFonts w:ascii="Times New Roman" w:hAnsi="Times New Roman"/>
                <w:sz w:val="24"/>
              </w:rPr>
              <w:t>n</w:t>
            </w:r>
            <w:r>
              <w:rPr>
                <w:rStyle w:val="InstructionsTabelleText"/>
                <w:rFonts w:ascii="Times New Roman" w:hAnsi="Times New Roman"/>
                <w:sz w:val="24"/>
              </w:rPr>
              <w:t xml:space="preserve">tribution nette aux fonds propres du groupe sera déclarée dans cette colonne, à savoir essentiellement les fonds propres levés auprès de tiers et les réserves accumulées. </w:t>
            </w:r>
          </w:p>
          <w:p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Les données déclarées dans les colonnes suivantes le seront conformément aux règles de solvabilité applicables à l'établissement déclarant.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300-350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FONDS PROPRES RECONNAISSABLES INCLUS DANS LES FONDS PROPRES CONSOLIDÉS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Le montant à déclarer en tant que «FONDS PROPRES RECONNAISSABLES I</w:t>
            </w:r>
            <w:r>
              <w:rPr>
                <w:rStyle w:val="InstructionsTabelleText"/>
                <w:rFonts w:ascii="Times New Roman" w:hAnsi="Times New Roman"/>
                <w:sz w:val="24"/>
              </w:rPr>
              <w:t>N</w:t>
            </w:r>
            <w:r>
              <w:rPr>
                <w:rStyle w:val="InstructionsTabelleText"/>
                <w:rFonts w:ascii="Times New Roman" w:hAnsi="Times New Roman"/>
                <w:sz w:val="24"/>
              </w:rPr>
              <w:t>CLUS DANS LES FONDS PROPRES CONSOLIDÉS» sera le montant dérivé du titre II de la deuxième partie du CRR, à l'exception des fonds propres apportés par les autres entités du groupe.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FONDS PROPRES RECONNAISSABLES INCLUS DANS LES FONDS PROPRES CONSOLIDÉS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Article 87 du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INSTRUMENTS DE FONDS PROPRES DE CATÉGORIE 1 RECONNAI</w:t>
            </w:r>
            <w:r>
              <w:rPr>
                <w:rStyle w:val="InstructionsTabelleberschrift"/>
                <w:rFonts w:ascii="Times New Roman" w:hAnsi="Times New Roman"/>
                <w:sz w:val="24"/>
              </w:rPr>
              <w:t>S</w:t>
            </w:r>
            <w:r>
              <w:rPr>
                <w:rStyle w:val="InstructionsTabelleberschrift"/>
                <w:rFonts w:ascii="Times New Roman" w:hAnsi="Times New Roman"/>
                <w:sz w:val="24"/>
              </w:rPr>
              <w:t>SABLES INCLUS DANS LES FONDS PROPRES DE CATÉGORIE 1 CONS</w:t>
            </w:r>
            <w:r>
              <w:rPr>
                <w:rStyle w:val="InstructionsTabelleberschrift"/>
                <w:rFonts w:ascii="Times New Roman" w:hAnsi="Times New Roman"/>
                <w:sz w:val="24"/>
              </w:rPr>
              <w:t>O</w:t>
            </w:r>
            <w:r>
              <w:rPr>
                <w:rStyle w:val="InstructionsTabelleberschrift"/>
                <w:rFonts w:ascii="Times New Roman" w:hAnsi="Times New Roman"/>
                <w:sz w:val="24"/>
              </w:rPr>
              <w:t>LIDÉS</w:t>
            </w:r>
          </w:p>
          <w:p w:rsidR="00464F34" w:rsidRPr="00392FFD" w:rsidRDefault="00464F34" w:rsidP="00871877">
            <w:pPr>
              <w:rPr>
                <w:rStyle w:val="InstructionsTabelleText"/>
                <w:rFonts w:ascii="Times New Roman" w:hAnsi="Times New Roman"/>
                <w:sz w:val="24"/>
              </w:rPr>
            </w:pPr>
            <w:r>
              <w:rPr>
                <w:rStyle w:val="InstructionsTabelleText"/>
                <w:rFonts w:ascii="Times New Roman" w:hAnsi="Times New Roman"/>
                <w:sz w:val="24"/>
              </w:rPr>
              <w:t>Article 85 du CRR</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320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INTÉRÊTS MINORITAIRES INCLUS DANS LES FONDS PROPRES DE BASE DE CATÉGORIE 1 CONSOLIDÉS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Article 84 du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Le montant à déclarer est le montant des intérêts minoritaires d'une filiale inclus dans les fonds propres de base de catégorie 1 consolidés, conformément au 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330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INSTRUMENTS DE FONDS PROPRES DE CATÉGORIE 1 RECONNAI</w:t>
            </w:r>
            <w:r>
              <w:rPr>
                <w:rStyle w:val="InstructionsTabelleberschrift"/>
                <w:rFonts w:ascii="Times New Roman" w:hAnsi="Times New Roman"/>
                <w:sz w:val="24"/>
              </w:rPr>
              <w:t>S</w:t>
            </w:r>
            <w:r>
              <w:rPr>
                <w:rStyle w:val="InstructionsTabelleberschrift"/>
                <w:rFonts w:ascii="Times New Roman" w:hAnsi="Times New Roman"/>
                <w:sz w:val="24"/>
              </w:rPr>
              <w:t>SABLES INCLUS DANS LES FONDS PROPRES ADDITIONNELS DE CAT</w:t>
            </w:r>
            <w:r>
              <w:rPr>
                <w:rStyle w:val="InstructionsTabelleberschrift"/>
                <w:rFonts w:ascii="Times New Roman" w:hAnsi="Times New Roman"/>
                <w:sz w:val="24"/>
              </w:rPr>
              <w:t>É</w:t>
            </w:r>
            <w:r>
              <w:rPr>
                <w:rStyle w:val="InstructionsTabelleberschrift"/>
                <w:rFonts w:ascii="Times New Roman" w:hAnsi="Times New Roman"/>
                <w:sz w:val="24"/>
              </w:rPr>
              <w:t>GORIE 1 CONSOLIDÉS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Article 86 du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Le montant à déclarer est le montant des fonds propres de catégorie 1 reconnaissables d'une filiale inclus dans les fonds propres additionnels de catégorie 1 consolidés, co</w:t>
            </w:r>
            <w:r>
              <w:rPr>
                <w:rStyle w:val="InstructionsTabelleText"/>
                <w:rFonts w:ascii="Times New Roman" w:hAnsi="Times New Roman"/>
                <w:sz w:val="24"/>
              </w:rPr>
              <w:t>n</w:t>
            </w:r>
            <w:r>
              <w:rPr>
                <w:rStyle w:val="InstructionsTabelleText"/>
                <w:rFonts w:ascii="Times New Roman" w:hAnsi="Times New Roman"/>
                <w:sz w:val="24"/>
              </w:rPr>
              <w:t xml:space="preserve">formément au CRR.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INSTRUMENTS DE FONDS PROPRES RECONNAISSABLES INCLUS</w:t>
            </w:r>
            <w:r>
              <w:rPr>
                <w:rStyle w:val="InstructionsTabelleberschrift"/>
                <w:rFonts w:ascii="Times New Roman" w:hAnsi="Times New Roman"/>
                <w:sz w:val="24"/>
              </w:rPr>
              <w:br/>
              <w:t>DANS LES FONDS PROPRES DE CATÉGORIE 2 CONSOLIDÉS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Article 88 du CRR</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Le montant à déclarer est le montant des fonds propres reconnaissables d'une filiale i</w:t>
            </w:r>
            <w:r>
              <w:rPr>
                <w:rStyle w:val="InstructionsTabelleText"/>
                <w:rFonts w:ascii="Times New Roman" w:hAnsi="Times New Roman"/>
                <w:sz w:val="24"/>
              </w:rPr>
              <w:t>n</w:t>
            </w:r>
            <w:r>
              <w:rPr>
                <w:rStyle w:val="InstructionsTabelleText"/>
                <w:rFonts w:ascii="Times New Roman" w:hAnsi="Times New Roman"/>
                <w:sz w:val="24"/>
              </w:rPr>
              <w:t xml:space="preserve">clus dans les fonds propres de catégorie 2 consolidés, conformément au CRR. </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lastRenderedPageBreak/>
              <w:t>350</w:t>
            </w:r>
          </w:p>
        </w:tc>
        <w:tc>
          <w:tcPr>
            <w:tcW w:w="8640" w:type="dxa"/>
          </w:tcPr>
          <w:p w:rsidR="00464F34" w:rsidRPr="00392FFD"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POUR MÉMOIRE: GOODWILL (–) / (+) GOODWILL NÉGATIF</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FONDS PROPRES CONSOLIDÉS</w:t>
            </w:r>
          </w:p>
          <w:p w:rsidR="00144F03" w:rsidRPr="00392FFD" w:rsidRDefault="00144F03" w:rsidP="00464F34">
            <w:pPr>
              <w:rPr>
                <w:rStyle w:val="InstructionsTabelleText"/>
                <w:rFonts w:ascii="Times New Roman" w:hAnsi="Times New Roman"/>
                <w:sz w:val="24"/>
              </w:rPr>
            </w:pPr>
            <w:r>
              <w:rPr>
                <w:rStyle w:val="InstructionsTabelleText"/>
                <w:rFonts w:ascii="Times New Roman" w:hAnsi="Times New Roman"/>
                <w:sz w:val="24"/>
              </w:rPr>
              <w:t>Article 18 du CRR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Le montant à déclarer en tant que «FONDS PROPRES CONSOLIDÉS» sera le mo</w:t>
            </w:r>
            <w:r>
              <w:rPr>
                <w:rStyle w:val="InstructionsTabelleText"/>
                <w:rFonts w:ascii="Times New Roman" w:hAnsi="Times New Roman"/>
                <w:sz w:val="24"/>
              </w:rPr>
              <w:t>n</w:t>
            </w:r>
            <w:r>
              <w:rPr>
                <w:rStyle w:val="InstructionsTabelleText"/>
                <w:rFonts w:ascii="Times New Roman" w:hAnsi="Times New Roman"/>
                <w:sz w:val="24"/>
              </w:rPr>
              <w:t>tant dérivé du bilan, à l'exception des fonds apportés par d'autres entités du groupe.</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FONDS PROPRES CONSOLIDÉS</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DONT: FONDS PROPRES DE BASE DE CATÉGORIE 1</w:t>
            </w:r>
          </w:p>
        </w:tc>
      </w:tr>
      <w:tr w:rsidR="00464F34" w:rsidRPr="00392FFD" w:rsidTr="00672D2A">
        <w:tc>
          <w:tcPr>
            <w:tcW w:w="1188" w:type="dxa"/>
          </w:tcPr>
          <w:p w:rsidR="00464F34" w:rsidRPr="00392FFD" w:rsidDel="0081176B" w:rsidRDefault="00464F34" w:rsidP="00464F34">
            <w:pPr>
              <w:rPr>
                <w:rFonts w:ascii="Times New Roman" w:hAnsi="Times New Roman"/>
                <w:sz w:val="24"/>
              </w:rPr>
            </w:pPr>
            <w:r>
              <w:rPr>
                <w:rFonts w:ascii="Times New Roman" w:hAnsi="Times New Roman"/>
                <w:sz w:val="24"/>
              </w:rPr>
              <w:t>380</w:t>
            </w:r>
          </w:p>
        </w:tc>
        <w:tc>
          <w:tcPr>
            <w:tcW w:w="8640" w:type="dxa"/>
          </w:tcPr>
          <w:p w:rsidR="00464F34" w:rsidRPr="00392FFD"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DONT: FONDS PROPRES ADDITIONNELS DE CATÉGORIE 1</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390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DONT: CONTRIBUTIONS AU RÉSULTAT CONSOLIDÉ</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La contribution de chaque entité au résultat consolidé [bénéfice ou perte (–)] est décl</w:t>
            </w:r>
            <w:r>
              <w:rPr>
                <w:rStyle w:val="InstructionsTabelleText"/>
                <w:rFonts w:ascii="Times New Roman" w:hAnsi="Times New Roman"/>
                <w:sz w:val="24"/>
              </w:rPr>
              <w:t>a</w:t>
            </w:r>
            <w:r>
              <w:rPr>
                <w:rStyle w:val="InstructionsTabelleText"/>
                <w:rFonts w:ascii="Times New Roman" w:hAnsi="Times New Roman"/>
                <w:sz w:val="24"/>
              </w:rPr>
              <w:t>rée. Elle comprend les résultats attribuables aux intérêts minoritaires.</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DONT: (–) GOODWILL / (+) GOODWILL NÉGATIF</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Le goodwill ou le goodwill négatif que l'entité déclarante possède sur la filiale est d</w:t>
            </w:r>
            <w:r>
              <w:rPr>
                <w:rStyle w:val="InstructionsTabelleText"/>
                <w:rFonts w:ascii="Times New Roman" w:hAnsi="Times New Roman"/>
                <w:sz w:val="24"/>
              </w:rPr>
              <w:t>é</w:t>
            </w:r>
            <w:r>
              <w:rPr>
                <w:rStyle w:val="InstructionsTabelleText"/>
                <w:rFonts w:ascii="Times New Roman" w:hAnsi="Times New Roman"/>
                <w:sz w:val="24"/>
              </w:rPr>
              <w:t>claré à ce poste.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COUSSINS DE FONDS PROPRES</w:t>
            </w:r>
          </w:p>
          <w:p w:rsidR="00464F34" w:rsidRPr="00392FFD" w:rsidRDefault="00464F34" w:rsidP="00096566">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déclaration des coussins de fonds propres dans le modèle GS s'effectue selon la même structure générale que celle du modèle CA4 et ce, au moyen des mêmes co</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cepts de reddition des comptes. Aux fins de la déclaration des coussins de fonds propres dans le modèle GS, les montants pertinents seront déclarés conformément aux dispositions applicables pour déterminer l'exigence de coussin pour la situation cons</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lidée d'un groupe. Par conséquent, les montants déclarés de coussins de fonds propres représentent les contributions de chaque entité aux coussins de fonds propres du groupe. Les montants déclarés seront basés sur les mesures de transposition en droit national de la CRD et sur le CRR, y compris les dispositions transitoires qui y sont prévues.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EXIGENCE GLOBALE DE COUSSIN DE FONDS PROPRES</w:t>
            </w:r>
          </w:p>
          <w:p w:rsidR="00464F34" w:rsidRPr="00392FFD" w:rsidRDefault="00464F34" w:rsidP="00941843">
            <w:pPr>
              <w:tabs>
                <w:tab w:val="left" w:pos="3510"/>
              </w:tabs>
              <w:rPr>
                <w:rStyle w:val="InstructionsTabelleberschrift"/>
                <w:rFonts w:ascii="Times New Roman" w:hAnsi="Times New Roman"/>
                <w:sz w:val="24"/>
              </w:rPr>
            </w:pPr>
            <w:r>
              <w:rPr>
                <w:rStyle w:val="InstructionsTabelleText"/>
                <w:rFonts w:ascii="Times New Roman" w:hAnsi="Times New Roman"/>
                <w:sz w:val="24"/>
              </w:rPr>
              <w:t>Article 128, point 6), de la CRD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COUSSIN DE CONSERVATION DES FONDS PROPRES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Article 128, point 1, et article 129 de la CRD</w:t>
            </w:r>
          </w:p>
          <w:p w:rsidR="00464F34" w:rsidRPr="00392FFD" w:rsidRDefault="00464F34" w:rsidP="00FD239F">
            <w:pPr>
              <w:pStyle w:val="InstructionsText"/>
              <w:rPr>
                <w:rStyle w:val="InstructionsTabelleText"/>
                <w:rFonts w:ascii="Times New Roman" w:hAnsi="Times New Roman"/>
                <w:sz w:val="24"/>
              </w:rPr>
            </w:pPr>
            <w:r>
              <w:t>Aux termes de l'article 129, paragraphe 1, le coussin de conservation des fonds propres est un montant additionnel de fonds propres de base de catégorie 1. Étant donné que le taux de 2,5 % de ce coussin de conservation des fonds propres est stable, un montant figurera dans cette cellule.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430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COUSSIN DE FONDS PROPRES CONTRACYCLIQUE SPÉCIFIQUEÀ L’ÉTABLISSEMENT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Article 128, point 2, article 130 et articles 135 à 140 de la CRD</w:t>
            </w:r>
          </w:p>
          <w:p w:rsidR="00464F34" w:rsidRPr="00392FFD" w:rsidRDefault="00464F34" w:rsidP="00FD239F">
            <w:pPr>
              <w:pStyle w:val="InstructionsText"/>
              <w:rPr>
                <w:rStyle w:val="InstructionsTabelleText"/>
                <w:rFonts w:ascii="Times New Roman" w:hAnsi="Times New Roman"/>
                <w:sz w:val="24"/>
              </w:rPr>
            </w:pPr>
            <w:r>
              <w:t xml:space="preserve">Dans cette cellule figure le montant concret du coussin de fonds propres </w:t>
            </w:r>
            <w:proofErr w:type="spellStart"/>
            <w:r>
              <w:t>contrac</w:t>
            </w:r>
            <w:r>
              <w:t>y</w:t>
            </w:r>
            <w:r>
              <w:t>clique</w:t>
            </w:r>
            <w:proofErr w:type="spellEnd"/>
            <w:r>
              <w:t>.</w:t>
            </w:r>
          </w:p>
        </w:tc>
      </w:tr>
      <w:tr w:rsidR="00464F34" w:rsidRPr="00392FFD" w:rsidTr="00672D2A">
        <w:tc>
          <w:tcPr>
            <w:tcW w:w="1188" w:type="dxa"/>
          </w:tcPr>
          <w:p w:rsidR="00464F34" w:rsidRPr="00392FFD" w:rsidDel="00D70027" w:rsidRDefault="00464F34" w:rsidP="00464F34">
            <w:pPr>
              <w:rPr>
                <w:rStyle w:val="InstructionsTabelleText"/>
                <w:rFonts w:ascii="Times New Roman" w:hAnsi="Times New Roman"/>
                <w:sz w:val="24"/>
              </w:rPr>
            </w:pPr>
            <w:r>
              <w:rPr>
                <w:rStyle w:val="InstructionsTabelleText"/>
                <w:rFonts w:ascii="Times New Roman" w:hAnsi="Times New Roman"/>
                <w:sz w:val="24"/>
              </w:rPr>
              <w:t>440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COUSSIN DE CONSERVATION DÉCOULANT DU RISQUE MACRO-PRUDENTIEL OU SYSTÉMIQUE CONSTATÉ AU NIVEAU D'UN ÉTAT MEMBRE</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458, paragraphe 2, point d iv), du CRR</w:t>
            </w:r>
          </w:p>
          <w:p w:rsidR="00464F34" w:rsidRPr="00392FFD" w:rsidRDefault="00464F34" w:rsidP="00FD239F">
            <w:pPr>
              <w:pStyle w:val="InstructionsText"/>
              <w:rPr>
                <w:rStyle w:val="InstructionsTabelleberschrift"/>
                <w:rFonts w:ascii="Times New Roman" w:hAnsi="Times New Roman"/>
                <w:sz w:val="24"/>
              </w:rPr>
            </w:pPr>
            <w:r>
              <w:t xml:space="preserve">Dans cette cellule figure le montant du coussin de conservation en raison du risque </w:t>
            </w:r>
            <w:proofErr w:type="spellStart"/>
            <w:r>
              <w:t>m</w:t>
            </w:r>
            <w:r>
              <w:t>a</w:t>
            </w:r>
            <w:r>
              <w:t>croprudentiel</w:t>
            </w:r>
            <w:proofErr w:type="spellEnd"/>
            <w:r>
              <w:t xml:space="preserve"> ou systémique constaté au niveau d'un État membre, qui peut être exigé en vertu de l'article 458 du CRR, en sus du coussin de conservation des fonds propres.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COUSSIN POUR LE RISQUE SYSTÉMIQUE</w:t>
            </w:r>
          </w:p>
          <w:p w:rsidR="00464F34" w:rsidRPr="00392FFD" w:rsidRDefault="00464F34" w:rsidP="00FD239F">
            <w:pPr>
              <w:pStyle w:val="InstructionsText"/>
            </w:pPr>
            <w:r>
              <w:t xml:space="preserve">Article 128, point 5), et articles 133 et 134 de la CRD </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Dans cette cellule figure le montant du coussin pour le risque systémique.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470</w:t>
            </w:r>
          </w:p>
        </w:tc>
        <w:tc>
          <w:tcPr>
            <w:tcW w:w="8640" w:type="dxa"/>
          </w:tcPr>
          <w:p w:rsidR="00464F34" w:rsidRPr="00392FFD"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COUSSIN POUR LES ÉTABLISSEMENTS D'IMPORTANCE SYSTÉMIQUE MONDIALE</w:t>
            </w:r>
            <w:r>
              <w:tab/>
            </w:r>
          </w:p>
          <w:p w:rsidR="00464F34" w:rsidRPr="00392FFD" w:rsidRDefault="00464F3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128, point 3), et article 131 de la CRD</w:t>
            </w:r>
          </w:p>
          <w:p w:rsidR="00483FC9" w:rsidRPr="00392FFD" w:rsidRDefault="00464F34" w:rsidP="00FD239F">
            <w:pPr>
              <w:pStyle w:val="InstructionsText"/>
              <w:rPr>
                <w:rStyle w:val="InstructionsTabelleberschrift"/>
                <w:rFonts w:ascii="Times New Roman" w:hAnsi="Times New Roman"/>
                <w:sz w:val="24"/>
              </w:rPr>
            </w:pPr>
            <w:r>
              <w:t>Dans cette cellule figure le montant du coussin pour les établissements d'importance systémique mondiale.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480</w:t>
            </w:r>
          </w:p>
        </w:tc>
        <w:tc>
          <w:tcPr>
            <w:tcW w:w="8640" w:type="dxa"/>
          </w:tcPr>
          <w:p w:rsidR="00464F34" w:rsidRPr="00392FFD"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COUSSIN POUR LES AUTRES ÉTABLISSEMENTS D'IMPORTANCE SY</w:t>
            </w:r>
            <w:r>
              <w:rPr>
                <w:rStyle w:val="InstructionsTabelleberschrift"/>
                <w:rFonts w:ascii="Times New Roman" w:hAnsi="Times New Roman"/>
                <w:sz w:val="24"/>
              </w:rPr>
              <w:t>S</w:t>
            </w:r>
            <w:r>
              <w:rPr>
                <w:rStyle w:val="InstructionsTabelleberschrift"/>
                <w:rFonts w:ascii="Times New Roman" w:hAnsi="Times New Roman"/>
                <w:sz w:val="24"/>
              </w:rPr>
              <w:t>TÉMIQUE</w:t>
            </w:r>
            <w:r>
              <w:tab/>
            </w:r>
          </w:p>
          <w:p w:rsidR="00464F34" w:rsidRPr="00392FFD" w:rsidRDefault="00464F34" w:rsidP="00FD239F">
            <w:pPr>
              <w:pStyle w:val="InstructionsText"/>
            </w:pPr>
            <w:r>
              <w:t>Article 128, point 4), et article 131 de la CRD</w:t>
            </w:r>
          </w:p>
          <w:p w:rsidR="00464F34" w:rsidRPr="00392FFD" w:rsidRDefault="00464F34" w:rsidP="00FD239F">
            <w:pPr>
              <w:pStyle w:val="InstructionsText"/>
              <w:rPr>
                <w:rStyle w:val="InstructionsTabelleberschrift"/>
                <w:rFonts w:ascii="Times New Roman" w:hAnsi="Times New Roman"/>
                <w:sz w:val="24"/>
              </w:rPr>
            </w:pPr>
            <w:r>
              <w:t>Dans cette cellule figure le montant du coussin pour les autres établissements d'impo</w:t>
            </w:r>
            <w:r>
              <w:t>r</w:t>
            </w:r>
            <w:r>
              <w:t>tance systémique.</w:t>
            </w:r>
          </w:p>
        </w:tc>
      </w:tr>
    </w:tbl>
    <w:p w:rsidR="00FC1030" w:rsidRPr="00392FFD" w:rsidRDefault="00FC1030" w:rsidP="00FD239F">
      <w:pPr>
        <w:pStyle w:val="InstructionsText"/>
      </w:pPr>
    </w:p>
    <w:p w:rsidR="00464F34" w:rsidRPr="00392FFD" w:rsidRDefault="00B43C2A" w:rsidP="0023700C">
      <w:pPr>
        <w:pStyle w:val="Instructionsberschrift2"/>
        <w:numPr>
          <w:ilvl w:val="0"/>
          <w:numId w:val="0"/>
        </w:numPr>
        <w:ind w:left="357" w:hanging="357"/>
        <w:rPr>
          <w:rFonts w:ascii="Times New Roman" w:hAnsi="Times New Roman" w:cs="Times New Roman"/>
          <w:sz w:val="24"/>
        </w:rPr>
      </w:pPr>
      <w:bookmarkStart w:id="144" w:name="_Toc310415013"/>
      <w:bookmarkStart w:id="145" w:name="_Toc360188344"/>
      <w:bookmarkStart w:id="146" w:name="_Toc516210628"/>
      <w:bookmarkStart w:id="147" w:name="_Toc473560893"/>
      <w:bookmarkStart w:id="148" w:name="_Toc524104167"/>
      <w:r>
        <w:rPr>
          <w:rFonts w:ascii="Times New Roman" w:hAnsi="Times New Roman"/>
          <w:sz w:val="24"/>
          <w:u w:val="none"/>
        </w:rPr>
        <w:t>3.</w:t>
      </w:r>
      <w:r w:rsidRPr="008F1830">
        <w:rPr>
          <w:u w:val="none"/>
        </w:rPr>
        <w:tab/>
      </w:r>
      <w:r>
        <w:rPr>
          <w:rFonts w:ascii="Times New Roman" w:hAnsi="Times New Roman"/>
          <w:sz w:val="24"/>
        </w:rPr>
        <w:t>Modèles consacrés au risque de crédit</w:t>
      </w:r>
      <w:bookmarkEnd w:id="144"/>
      <w:bookmarkEnd w:id="145"/>
      <w:bookmarkEnd w:id="146"/>
      <w:bookmarkEnd w:id="147"/>
      <w:bookmarkEnd w:id="148"/>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49" w:name="_Toc360188345"/>
      <w:bookmarkStart w:id="150" w:name="_Toc516210629"/>
      <w:bookmarkStart w:id="151" w:name="_Toc473560894"/>
      <w:bookmarkStart w:id="152" w:name="_Toc262568022"/>
      <w:bookmarkStart w:id="153" w:name="_Toc295829848"/>
      <w:bookmarkStart w:id="154" w:name="_Toc310415014"/>
      <w:bookmarkStart w:id="155" w:name="_Toc524104168"/>
      <w:r>
        <w:rPr>
          <w:rFonts w:ascii="Times New Roman" w:hAnsi="Times New Roman"/>
          <w:sz w:val="24"/>
          <w:u w:val="none"/>
        </w:rPr>
        <w:t>3.1.</w:t>
      </w:r>
      <w:r w:rsidRPr="008F1830">
        <w:rPr>
          <w:u w:val="none"/>
        </w:rPr>
        <w:tab/>
      </w:r>
      <w:r>
        <w:rPr>
          <w:rFonts w:ascii="Times New Roman" w:hAnsi="Times New Roman"/>
          <w:sz w:val="24"/>
        </w:rPr>
        <w:t>Remarques générales</w:t>
      </w:r>
      <w:bookmarkEnd w:id="149"/>
      <w:bookmarkEnd w:id="150"/>
      <w:bookmarkEnd w:id="151"/>
      <w:bookmarkEnd w:id="155"/>
      <w:r>
        <w:rPr>
          <w:rFonts w:ascii="Times New Roman" w:hAnsi="Times New Roman"/>
          <w:sz w:val="24"/>
        </w:rPr>
        <w:t xml:space="preserve"> </w:t>
      </w:r>
      <w:bookmarkEnd w:id="152"/>
      <w:bookmarkEnd w:id="153"/>
      <w:bookmarkEnd w:id="154"/>
    </w:p>
    <w:p w:rsidR="00464F34" w:rsidRPr="00392FFD" w:rsidRDefault="00125707" w:rsidP="00C37B29">
      <w:pPr>
        <w:pStyle w:val="InstructionsText2"/>
        <w:numPr>
          <w:ilvl w:val="0"/>
          <w:numId w:val="0"/>
        </w:numPr>
        <w:ind w:left="993"/>
      </w:pPr>
      <w:r>
        <w:t>38.</w:t>
      </w:r>
      <w:r>
        <w:tab/>
        <w:t>Il existe plusieurs groupes de modèles pour l'approche standard et l'approche NI du risque de crédit. De plus, d'autres modèles concernant la répartition géogr</w:t>
      </w:r>
      <w:r>
        <w:t>a</w:t>
      </w:r>
      <w:r>
        <w:t xml:space="preserve">phique des positions sujettes au risque de crédit sont utilisés en cas de dépassement du seuil pertinent visé à l'article 5, point a), paragraphe 4.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6" w:name="_Toc262568023"/>
      <w:bookmarkStart w:id="157" w:name="_Toc295829849"/>
      <w:bookmarkStart w:id="158" w:name="_Toc310415015"/>
      <w:bookmarkStart w:id="159" w:name="_Toc360188346"/>
      <w:bookmarkStart w:id="160" w:name="_Toc516210630"/>
      <w:bookmarkStart w:id="161" w:name="_Toc473560895"/>
      <w:bookmarkStart w:id="162" w:name="_Toc524104169"/>
      <w:r>
        <w:rPr>
          <w:rFonts w:ascii="Times New Roman" w:hAnsi="Times New Roman"/>
          <w:sz w:val="24"/>
          <w:u w:val="none"/>
        </w:rPr>
        <w:t>3.1.1.</w:t>
      </w:r>
      <w:r w:rsidRPr="00B90801">
        <w:rPr>
          <w:u w:val="none"/>
        </w:rPr>
        <w:tab/>
      </w:r>
      <w:r>
        <w:rPr>
          <w:rFonts w:ascii="Times New Roman" w:hAnsi="Times New Roman"/>
          <w:sz w:val="24"/>
        </w:rPr>
        <w:t>Déclaration des techniques d'atténuation du risque de crédit avec effet de substitution</w:t>
      </w:r>
      <w:bookmarkEnd w:id="156"/>
      <w:bookmarkEnd w:id="157"/>
      <w:bookmarkEnd w:id="158"/>
      <w:bookmarkEnd w:id="159"/>
      <w:bookmarkEnd w:id="160"/>
      <w:bookmarkEnd w:id="161"/>
      <w:bookmarkEnd w:id="162"/>
    </w:p>
    <w:p w:rsidR="00464F34" w:rsidRPr="00392FFD" w:rsidRDefault="00125707" w:rsidP="00C37B29">
      <w:pPr>
        <w:pStyle w:val="InstructionsText2"/>
        <w:numPr>
          <w:ilvl w:val="0"/>
          <w:numId w:val="0"/>
        </w:numPr>
        <w:ind w:left="993"/>
      </w:pPr>
      <w:r>
        <w:t>39.</w:t>
      </w:r>
      <w:r>
        <w:tab/>
        <w:t>L'article 235 du CRR décrit la procédure de calcul d'une exposition totalement couverte par une protection de crédit non financée.</w:t>
      </w:r>
    </w:p>
    <w:p w:rsidR="00464F34" w:rsidRPr="00392FFD" w:rsidRDefault="00125707" w:rsidP="00C37B29">
      <w:pPr>
        <w:pStyle w:val="InstructionsText2"/>
        <w:numPr>
          <w:ilvl w:val="0"/>
          <w:numId w:val="0"/>
        </w:numPr>
        <w:ind w:left="993"/>
      </w:pPr>
      <w:r>
        <w:lastRenderedPageBreak/>
        <w:t>40.</w:t>
      </w:r>
      <w:r>
        <w:tab/>
        <w:t>L'article 236 du CRR décrit la méthode de calcul d'une exposition totalement couverte par une protection de crédit non financée, en cas de protection totale / pr</w:t>
      </w:r>
      <w:r>
        <w:t>o</w:t>
      </w:r>
      <w:r>
        <w:t>tection partielle — même rang.</w:t>
      </w:r>
    </w:p>
    <w:p w:rsidR="00464F34" w:rsidRPr="00392FFD" w:rsidRDefault="00125707" w:rsidP="00C37B29">
      <w:pPr>
        <w:pStyle w:val="InstructionsText2"/>
        <w:numPr>
          <w:ilvl w:val="0"/>
          <w:numId w:val="0"/>
        </w:numPr>
        <w:ind w:left="993"/>
      </w:pPr>
      <w:r>
        <w:t>41.</w:t>
      </w:r>
      <w:r>
        <w:tab/>
        <w:t>Les articles 196, 197 et 200 du CRR régissent la protection de crédit financée.</w:t>
      </w:r>
    </w:p>
    <w:p w:rsidR="00464F34" w:rsidRPr="00392FFD" w:rsidRDefault="00125707" w:rsidP="00C37B29">
      <w:pPr>
        <w:pStyle w:val="InstructionsText2"/>
        <w:numPr>
          <w:ilvl w:val="0"/>
          <w:numId w:val="0"/>
        </w:numPr>
        <w:ind w:left="993"/>
      </w:pPr>
      <w:r>
        <w:t>42.</w:t>
      </w:r>
      <w:r>
        <w:tab/>
        <w:t>Les expositions vis-à-vis de débiteurs (contreparties immédiates) et de fourni</w:t>
      </w:r>
      <w:r>
        <w:t>s</w:t>
      </w:r>
      <w:r>
        <w:t>seurs de protection de même catégorie d'exposition seront déclarées comme une e</w:t>
      </w:r>
      <w:r>
        <w:t>n</w:t>
      </w:r>
      <w:r>
        <w:t>trée ainsi que comme une sortie dans la même catégorie d'exposition.</w:t>
      </w:r>
    </w:p>
    <w:p w:rsidR="00464F34" w:rsidRPr="00392FFD" w:rsidRDefault="00125707" w:rsidP="00C37B29">
      <w:pPr>
        <w:pStyle w:val="InstructionsText2"/>
        <w:numPr>
          <w:ilvl w:val="0"/>
          <w:numId w:val="0"/>
        </w:numPr>
        <w:ind w:left="993"/>
      </w:pPr>
      <w:r>
        <w:t>43.</w:t>
      </w:r>
      <w:r>
        <w:tab/>
        <w:t>Le type d'exposition ne change pas en raison de l'existence d'une protection de crédit non financée.</w:t>
      </w:r>
    </w:p>
    <w:p w:rsidR="00464F34" w:rsidRPr="00392FFD" w:rsidRDefault="00125707" w:rsidP="00C37B29">
      <w:pPr>
        <w:pStyle w:val="InstructionsText2"/>
        <w:numPr>
          <w:ilvl w:val="0"/>
          <w:numId w:val="0"/>
        </w:numPr>
        <w:ind w:left="993"/>
      </w:pPr>
      <w:r>
        <w:t>44.</w:t>
      </w:r>
      <w:r>
        <w:tab/>
        <w:t>Lorsqu'une exposition est couverte par une protection de crédit non financée, la partie couverte est considérée comme une sortie, par exemple dans la même catég</w:t>
      </w:r>
      <w:r>
        <w:t>o</w:t>
      </w:r>
      <w:r>
        <w:t>rie d'exposition que celle du débiteur, et comme une entrée dans la catégorie d'e</w:t>
      </w:r>
      <w:r>
        <w:t>x</w:t>
      </w:r>
      <w:r>
        <w:t>position du fournisseur de protection. Cependant, le type d'exposition ne change pas en raison de la modification de la catégorie d'exposition.</w:t>
      </w:r>
    </w:p>
    <w:p w:rsidR="00464F34" w:rsidRPr="00392FFD" w:rsidRDefault="00125707" w:rsidP="00C37B29">
      <w:pPr>
        <w:pStyle w:val="InstructionsText2"/>
        <w:numPr>
          <w:ilvl w:val="0"/>
          <w:numId w:val="0"/>
        </w:numPr>
        <w:ind w:left="993"/>
      </w:pPr>
      <w:r>
        <w:t>45.</w:t>
      </w:r>
      <w:r>
        <w:tab/>
        <w:t xml:space="preserve">L'effet de substitution dans le cadre de </w:t>
      </w:r>
      <w:proofErr w:type="spellStart"/>
      <w:r>
        <w:t>reporting</w:t>
      </w:r>
      <w:proofErr w:type="spellEnd"/>
      <w:r>
        <w:t xml:space="preserve"> COREP reflètera le traitement de la pondération de risque effectivement applicable à la partie couverte de l'exp</w:t>
      </w:r>
      <w:r>
        <w:t>o</w:t>
      </w:r>
      <w:r>
        <w:t xml:space="preserve">sition. À cet égard, la partie couverte de l'exposition est pondérée selon l'approche standard, et sera déclarée dans le modèle CR SA.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63" w:name="_Toc262568024"/>
      <w:bookmarkStart w:id="164" w:name="_Toc295829850"/>
      <w:bookmarkStart w:id="165" w:name="_Toc310415016"/>
      <w:bookmarkStart w:id="166" w:name="_Toc360188347"/>
      <w:bookmarkStart w:id="167" w:name="_Toc516210631"/>
      <w:bookmarkStart w:id="168" w:name="_Toc473560896"/>
      <w:bookmarkStart w:id="169" w:name="_Toc524104170"/>
      <w:r>
        <w:rPr>
          <w:rFonts w:ascii="Times New Roman" w:hAnsi="Times New Roman"/>
          <w:sz w:val="24"/>
          <w:u w:val="none"/>
        </w:rPr>
        <w:t>3.1.2</w:t>
      </w:r>
      <w:r w:rsidRPr="00B90801">
        <w:rPr>
          <w:rFonts w:ascii="Times New Roman" w:hAnsi="Times New Roman"/>
          <w:sz w:val="24"/>
          <w:u w:val="none"/>
        </w:rPr>
        <w:t>.</w:t>
      </w:r>
      <w:r w:rsidRPr="00B90801">
        <w:rPr>
          <w:u w:val="none"/>
        </w:rPr>
        <w:tab/>
      </w:r>
      <w:r>
        <w:rPr>
          <w:rFonts w:ascii="Times New Roman" w:hAnsi="Times New Roman"/>
          <w:sz w:val="24"/>
        </w:rPr>
        <w:t>Déclaration du risque de crédit de contrepartie</w:t>
      </w:r>
      <w:bookmarkEnd w:id="163"/>
      <w:bookmarkEnd w:id="164"/>
      <w:bookmarkEnd w:id="165"/>
      <w:bookmarkEnd w:id="166"/>
      <w:bookmarkEnd w:id="167"/>
      <w:bookmarkEnd w:id="168"/>
      <w:bookmarkEnd w:id="169"/>
    </w:p>
    <w:p w:rsidR="00464F34" w:rsidRPr="00392FFD" w:rsidRDefault="00125707" w:rsidP="00C37B29">
      <w:pPr>
        <w:pStyle w:val="InstructionsText2"/>
        <w:numPr>
          <w:ilvl w:val="0"/>
          <w:numId w:val="0"/>
        </w:numPr>
        <w:ind w:left="993"/>
      </w:pPr>
      <w:r>
        <w:t>46.</w:t>
      </w:r>
      <w:r>
        <w:tab/>
        <w:t>Les expositions provenant de positions soumises au risque de crédit de contr</w:t>
      </w:r>
      <w:r>
        <w:t>e</w:t>
      </w:r>
      <w:r>
        <w:t>partie seront déclarées dans les modèles CR SA ou CR IRB, qu'il s'agisse d'él</w:t>
      </w:r>
      <w:r>
        <w:t>é</w:t>
      </w:r>
      <w:r>
        <w:t xml:space="preserve">ments faisant partie du portefeuille d'intermédiation bancaire ou faisant partie du portefeuille de négociation.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0" w:name="_Toc292456202"/>
      <w:bookmarkStart w:id="171" w:name="_Toc295829851"/>
      <w:bookmarkStart w:id="172" w:name="_Toc310415017"/>
      <w:bookmarkStart w:id="173" w:name="_Toc360188348"/>
      <w:bookmarkStart w:id="174" w:name="_Toc516210632"/>
      <w:bookmarkStart w:id="175" w:name="_Toc473560897"/>
      <w:bookmarkStart w:id="176" w:name="_Toc524104171"/>
      <w:r>
        <w:rPr>
          <w:rFonts w:ascii="Times New Roman" w:hAnsi="Times New Roman"/>
          <w:sz w:val="24"/>
          <w:u w:val="none"/>
        </w:rPr>
        <w:t>3.2.</w:t>
      </w:r>
      <w:r w:rsidRPr="00B90801">
        <w:rPr>
          <w:u w:val="none"/>
        </w:rPr>
        <w:tab/>
      </w:r>
      <w:r>
        <w:rPr>
          <w:rFonts w:ascii="Times New Roman" w:hAnsi="Times New Roman"/>
          <w:sz w:val="24"/>
        </w:rPr>
        <w:t>C 07.00 – Risques de crédit et de crédit de contrepartie et positions de négociation non dénouées: Approche standard des exigences de fonds propres</w:t>
      </w:r>
      <w:bookmarkEnd w:id="170"/>
      <w:bookmarkEnd w:id="171"/>
      <w:bookmarkEnd w:id="172"/>
      <w:bookmarkEnd w:id="173"/>
      <w:r>
        <w:rPr>
          <w:rFonts w:ascii="Times New Roman" w:hAnsi="Times New Roman"/>
          <w:sz w:val="24"/>
        </w:rPr>
        <w:t xml:space="preserve"> (CR SA)</w:t>
      </w:r>
      <w:bookmarkEnd w:id="174"/>
      <w:bookmarkEnd w:id="175"/>
      <w:bookmarkEnd w:id="176"/>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7" w:name="_Toc262568026"/>
      <w:bookmarkStart w:id="178" w:name="_Toc264038424"/>
      <w:bookmarkStart w:id="179" w:name="_Toc292456203"/>
      <w:bookmarkStart w:id="180" w:name="_Toc295829852"/>
      <w:bookmarkStart w:id="181" w:name="_Toc310415018"/>
      <w:bookmarkStart w:id="182" w:name="_Toc360188349"/>
      <w:bookmarkStart w:id="183" w:name="_Toc516210633"/>
      <w:bookmarkStart w:id="184" w:name="_Toc473560898"/>
      <w:bookmarkStart w:id="185" w:name="_Toc524104172"/>
      <w:r>
        <w:rPr>
          <w:rFonts w:ascii="Times New Roman" w:hAnsi="Times New Roman"/>
          <w:sz w:val="24"/>
          <w:u w:val="none"/>
        </w:rPr>
        <w:t>3.2.1.</w:t>
      </w:r>
      <w:r w:rsidRPr="00B90801">
        <w:rPr>
          <w:u w:val="none"/>
        </w:rPr>
        <w:tab/>
      </w:r>
      <w:r>
        <w:rPr>
          <w:rFonts w:ascii="Times New Roman" w:hAnsi="Times New Roman"/>
          <w:sz w:val="24"/>
        </w:rPr>
        <w:t>Remarques générales</w:t>
      </w:r>
      <w:bookmarkEnd w:id="177"/>
      <w:bookmarkEnd w:id="178"/>
      <w:bookmarkEnd w:id="179"/>
      <w:bookmarkEnd w:id="180"/>
      <w:bookmarkEnd w:id="181"/>
      <w:bookmarkEnd w:id="182"/>
      <w:bookmarkEnd w:id="183"/>
      <w:bookmarkEnd w:id="184"/>
      <w:bookmarkEnd w:id="185"/>
    </w:p>
    <w:p w:rsidR="00464F34" w:rsidRPr="00392FFD" w:rsidRDefault="00125707" w:rsidP="00C37B29">
      <w:pPr>
        <w:pStyle w:val="InstructionsText2"/>
        <w:numPr>
          <w:ilvl w:val="0"/>
          <w:numId w:val="0"/>
        </w:numPr>
        <w:ind w:left="993"/>
      </w:pPr>
      <w:r>
        <w:t>47.</w:t>
      </w:r>
      <w:r>
        <w:tab/>
        <w:t>Les modèles CR SA fournissent les informations nécessaires sur le calcul des exigences de fonds propres pour risque de crédit selon l'approche standard. En pa</w:t>
      </w:r>
      <w:r>
        <w:t>r</w:t>
      </w:r>
      <w:r>
        <w:t>ticulier, ils fournissent des informations sur:</w:t>
      </w:r>
    </w:p>
    <w:p w:rsidR="00464F34" w:rsidRPr="00392FFD" w:rsidRDefault="00125707" w:rsidP="00C37B29">
      <w:pPr>
        <w:pStyle w:val="InstructionsText2"/>
        <w:numPr>
          <w:ilvl w:val="0"/>
          <w:numId w:val="0"/>
        </w:numPr>
        <w:ind w:left="993"/>
      </w:pPr>
      <w:r>
        <w:t>a)</w:t>
      </w:r>
      <w:r>
        <w:tab/>
        <w:t>la répartition des valeurs exposées au risque en fonction des différents types d'expositions, pondérations de risque et catégories d'expositions;</w:t>
      </w:r>
    </w:p>
    <w:p w:rsidR="00464F34" w:rsidRPr="00392FFD" w:rsidRDefault="00125707" w:rsidP="00C37B29">
      <w:pPr>
        <w:pStyle w:val="InstructionsText2"/>
        <w:numPr>
          <w:ilvl w:val="0"/>
          <w:numId w:val="0"/>
        </w:numPr>
        <w:ind w:left="993"/>
      </w:pPr>
      <w:r>
        <w:t>b)</w:t>
      </w:r>
      <w:r>
        <w:tab/>
        <w:t xml:space="preserve">le nombre et le type de techniques d'atténuation du risque de crédit utilisées pour atténuer les risques.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86" w:name="_Toc262568027"/>
      <w:bookmarkStart w:id="187" w:name="_Toc264038425"/>
      <w:bookmarkStart w:id="188" w:name="_Toc292456204"/>
      <w:bookmarkStart w:id="189" w:name="_Toc295829853"/>
      <w:bookmarkStart w:id="190" w:name="_Toc310415019"/>
      <w:bookmarkStart w:id="191" w:name="_Toc360188350"/>
      <w:bookmarkStart w:id="192" w:name="_Toc516210634"/>
      <w:bookmarkStart w:id="193" w:name="_Toc473560899"/>
      <w:bookmarkStart w:id="194" w:name="_Toc524104173"/>
      <w:r>
        <w:rPr>
          <w:rFonts w:ascii="Times New Roman" w:hAnsi="Times New Roman"/>
          <w:sz w:val="24"/>
          <w:u w:val="none"/>
        </w:rPr>
        <w:t>3.2.2.</w:t>
      </w:r>
      <w:r w:rsidRPr="00B90801">
        <w:rPr>
          <w:u w:val="none"/>
        </w:rPr>
        <w:tab/>
      </w:r>
      <w:r>
        <w:rPr>
          <w:rFonts w:ascii="Times New Roman" w:hAnsi="Times New Roman"/>
          <w:sz w:val="24"/>
        </w:rPr>
        <w:t>Champ d'application du modèle CR SA</w:t>
      </w:r>
      <w:bookmarkEnd w:id="186"/>
      <w:bookmarkEnd w:id="187"/>
      <w:bookmarkEnd w:id="188"/>
      <w:bookmarkEnd w:id="189"/>
      <w:bookmarkEnd w:id="190"/>
      <w:bookmarkEnd w:id="191"/>
      <w:bookmarkEnd w:id="192"/>
      <w:bookmarkEnd w:id="193"/>
      <w:bookmarkEnd w:id="194"/>
    </w:p>
    <w:p w:rsidR="00464F34" w:rsidRPr="00392FFD" w:rsidRDefault="00125707" w:rsidP="00C37B29">
      <w:pPr>
        <w:pStyle w:val="InstructionsText2"/>
        <w:numPr>
          <w:ilvl w:val="0"/>
          <w:numId w:val="0"/>
        </w:numPr>
        <w:ind w:left="993"/>
      </w:pPr>
      <w:r>
        <w:t>48.</w:t>
      </w:r>
      <w:r>
        <w:tab/>
        <w:t>Conformément à l'article 112 du CRR, chaque exposition selon l'approche standard sera affectée à l'une des 16 catégories d'expositions selon l'approche sta</w:t>
      </w:r>
      <w:r>
        <w:t>n</w:t>
      </w:r>
      <w:r>
        <w:t>dard, en vue de calculer les exigences de fonds propres.</w:t>
      </w:r>
    </w:p>
    <w:p w:rsidR="00464F34" w:rsidRPr="00392FFD" w:rsidRDefault="00125707" w:rsidP="00C37B29">
      <w:pPr>
        <w:pStyle w:val="InstructionsText2"/>
        <w:numPr>
          <w:ilvl w:val="0"/>
          <w:numId w:val="0"/>
        </w:numPr>
        <w:ind w:left="993"/>
      </w:pPr>
      <w:r>
        <w:lastRenderedPageBreak/>
        <w:t>49.</w:t>
      </w:r>
      <w:r>
        <w:tab/>
        <w:t>Dans le modèle CR SA, les informations sont requises pour l'ensemble des c</w:t>
      </w:r>
      <w:r>
        <w:t>a</w:t>
      </w:r>
      <w:r>
        <w:t>tégories d'expositions ainsi qu'individuellement pour chacune des catégories d'e</w:t>
      </w:r>
      <w:r>
        <w:t>x</w:t>
      </w:r>
      <w:r>
        <w:t>positions telles que définies pour l'approche standard. Les chiffres totaux ainsi que les informations sur chaque catégorie d'expositions sont déclarés dans une dime</w:t>
      </w:r>
      <w:r>
        <w:t>n</w:t>
      </w:r>
      <w:r>
        <w:t xml:space="preserve">sion distincte. </w:t>
      </w:r>
    </w:p>
    <w:p w:rsidR="00464F34" w:rsidRPr="00392FFD" w:rsidRDefault="00125707" w:rsidP="00C37B29">
      <w:pPr>
        <w:pStyle w:val="InstructionsText2"/>
        <w:numPr>
          <w:ilvl w:val="0"/>
          <w:numId w:val="0"/>
        </w:numPr>
        <w:ind w:left="993"/>
      </w:pPr>
      <w:r>
        <w:t>50.</w:t>
      </w:r>
      <w:r>
        <w:tab/>
        <w:t>Néanmoins, les positions suivantes n'entrent pas dans le champ d'application du modèle CR SA:</w:t>
      </w:r>
    </w:p>
    <w:p w:rsidR="00464F34" w:rsidRPr="00392FFD" w:rsidRDefault="00125707" w:rsidP="00C37B29">
      <w:pPr>
        <w:pStyle w:val="InstructionsText2"/>
        <w:numPr>
          <w:ilvl w:val="0"/>
          <w:numId w:val="0"/>
        </w:numPr>
        <w:ind w:left="993"/>
      </w:pPr>
      <w:r>
        <w:t>(a)</w:t>
      </w:r>
      <w:r>
        <w:tab/>
        <w:t>Expositions affectées à la catégorie d'exposition «éléments représentatifs de positions de titrisation» conformément à l'article 112, point m), du CRR, qui seront déclarées dans les modèles CR SEC.</w:t>
      </w:r>
    </w:p>
    <w:p w:rsidR="00464F34" w:rsidRPr="00392FFD" w:rsidRDefault="00125707" w:rsidP="00C37B29">
      <w:pPr>
        <w:pStyle w:val="InstructionsText2"/>
        <w:numPr>
          <w:ilvl w:val="0"/>
          <w:numId w:val="0"/>
        </w:numPr>
        <w:ind w:left="993"/>
      </w:pPr>
      <w:r>
        <w:t>(b)</w:t>
      </w:r>
      <w:r>
        <w:tab/>
        <w:t>Expositions déduites des fonds propres.</w:t>
      </w:r>
    </w:p>
    <w:p w:rsidR="00464F34" w:rsidRPr="00392FFD" w:rsidRDefault="00125707" w:rsidP="00C37B29">
      <w:pPr>
        <w:pStyle w:val="InstructionsText2"/>
        <w:numPr>
          <w:ilvl w:val="0"/>
          <w:numId w:val="0"/>
        </w:numPr>
        <w:ind w:left="993"/>
      </w:pPr>
      <w:r>
        <w:t>51.</w:t>
      </w:r>
      <w:r>
        <w:tab/>
        <w:t>Le champ d'application du modèle CR SA couvre les exigences de fonds propres suivantes:</w:t>
      </w:r>
    </w:p>
    <w:p w:rsidR="00464F34" w:rsidRPr="00392FFD" w:rsidRDefault="00125707" w:rsidP="00C37B29">
      <w:pPr>
        <w:pStyle w:val="InstructionsText2"/>
        <w:numPr>
          <w:ilvl w:val="0"/>
          <w:numId w:val="0"/>
        </w:numPr>
        <w:ind w:left="993"/>
      </w:pPr>
      <w:r>
        <w:t>(a)</w:t>
      </w:r>
      <w:r>
        <w:tab/>
        <w:t>Risque de crédit conformément au chapitre 2 (approche standard) du titre II de la troisième partie du CRR dans le portefeuille d'intermédiation bancaire, nota</w:t>
      </w:r>
      <w:r>
        <w:t>m</w:t>
      </w:r>
      <w:r>
        <w:t>ment le risque de crédit de contrepartie conformément au chapitre 6 (risque de cr</w:t>
      </w:r>
      <w:r>
        <w:t>é</w:t>
      </w:r>
      <w:r>
        <w:t>dit de contrepartie) du titre II de la troisième partie du CRR dans le portefeuille d'intermédiation bancaire;</w:t>
      </w:r>
    </w:p>
    <w:p w:rsidR="00464F34" w:rsidRPr="00392FFD" w:rsidRDefault="00125707" w:rsidP="00C37B29">
      <w:pPr>
        <w:pStyle w:val="InstructionsText2"/>
        <w:numPr>
          <w:ilvl w:val="0"/>
          <w:numId w:val="0"/>
        </w:numPr>
        <w:ind w:left="993"/>
      </w:pPr>
      <w:r>
        <w:t>(b)</w:t>
      </w:r>
      <w:r>
        <w:tab/>
        <w:t>Risque de crédit de contrepartie conformément au chapitre 6 (risque de crédit de contrepartie) du titre II de la troisième partie du CRR dans le portefeuille de n</w:t>
      </w:r>
      <w:r>
        <w:t>é</w:t>
      </w:r>
      <w:r>
        <w:t>gociation;</w:t>
      </w:r>
    </w:p>
    <w:p w:rsidR="00464F34" w:rsidRPr="00392FFD" w:rsidRDefault="00125707" w:rsidP="00C37B29">
      <w:pPr>
        <w:pStyle w:val="InstructionsText2"/>
        <w:numPr>
          <w:ilvl w:val="0"/>
          <w:numId w:val="0"/>
        </w:numPr>
        <w:ind w:left="993"/>
      </w:pPr>
      <w:r>
        <w:t>(c)</w:t>
      </w:r>
      <w:r>
        <w:tab/>
        <w:t>Risque de règlement provenant des positions de négociation non dénouées, conformément à l'article 379 du CRR, pour toutes les activités de l'établissement.</w:t>
      </w:r>
    </w:p>
    <w:p w:rsidR="00464F34" w:rsidRPr="00392FFD" w:rsidRDefault="00125707" w:rsidP="00C37B29">
      <w:pPr>
        <w:pStyle w:val="InstructionsText2"/>
        <w:numPr>
          <w:ilvl w:val="0"/>
          <w:numId w:val="0"/>
        </w:numPr>
        <w:ind w:left="993"/>
      </w:pPr>
      <w:r>
        <w:t>52.</w:t>
      </w:r>
      <w:r>
        <w:tab/>
        <w:t>Le champ d'application du modèle couvre l'ensemble des expositions pour le</w:t>
      </w:r>
      <w:r>
        <w:t>s</w:t>
      </w:r>
      <w:r>
        <w:t>quelles les exigences de fonds propres sont calculées conformément à la troisième partie, titre II, chapitre 2, du CRR, en combinaison avec la troisième partie, titre II, chapitres 4 et 6, du CRR. Les établissements qui appliquent les dispositions de l'a</w:t>
      </w:r>
      <w:r>
        <w:t>r</w:t>
      </w:r>
      <w:r>
        <w:t>ticle 94, paragraphe 1, du CRR doivent également déclarer leurs positions dans le portefeuille de négociation dans ce modèle, lorsqu'ils appliquent les dispositions de la troisième partie, titre II, chapitre 2, du CRR pour le calcul des exigences de fonds propres de celles-ci (troisième partie, titre II, chapitres 2 et 6, et titre V du CRR). Dès lors, le modèle ne fournit pas seulement des informations détaillées sur le type d'exposition (éléments au bilan/ hors bilan, par exemple), mais également des i</w:t>
      </w:r>
      <w:r>
        <w:t>n</w:t>
      </w:r>
      <w:r>
        <w:t>formations sur l'affectation des pondérations de risque au sein des catégories d'e</w:t>
      </w:r>
      <w:r>
        <w:t>x</w:t>
      </w:r>
      <w:r>
        <w:t>positions respectives.</w:t>
      </w:r>
    </w:p>
    <w:p w:rsidR="00464F34" w:rsidRPr="00392FFD" w:rsidRDefault="00125707" w:rsidP="00C37B29">
      <w:pPr>
        <w:pStyle w:val="InstructionsText2"/>
        <w:numPr>
          <w:ilvl w:val="0"/>
          <w:numId w:val="0"/>
        </w:numPr>
        <w:ind w:left="993"/>
      </w:pPr>
      <w:bookmarkStart w:id="195" w:name="_Toc264033212"/>
      <w:bookmarkStart w:id="196" w:name="_Toc294166813"/>
      <w:bookmarkStart w:id="197" w:name="_Toc294256386"/>
      <w:bookmarkStart w:id="198" w:name="_Toc294256487"/>
      <w:bookmarkStart w:id="199" w:name="_Toc294267371"/>
      <w:bookmarkStart w:id="200" w:name="_Toc294267476"/>
      <w:bookmarkStart w:id="201" w:name="_Toc294267607"/>
      <w:bookmarkStart w:id="202" w:name="_Toc294267709"/>
      <w:bookmarkStart w:id="203" w:name="_Toc294274817"/>
      <w:bookmarkStart w:id="204" w:name="_Toc294280261"/>
      <w:bookmarkStart w:id="205" w:name="_Toc294281586"/>
      <w:bookmarkStart w:id="206" w:name="_Toc294281806"/>
      <w:bookmarkStart w:id="207" w:name="_Toc294282020"/>
      <w:bookmarkStart w:id="208" w:name="_Toc294282223"/>
      <w:bookmarkStart w:id="209" w:name="_Toc294714158"/>
      <w:bookmarkStart w:id="210" w:name="_Toc295314184"/>
      <w:bookmarkStart w:id="211" w:name="_Toc295829573"/>
      <w:bookmarkStart w:id="212" w:name="_Toc295829856"/>
      <w:bookmarkStart w:id="213" w:name="_Toc301772744"/>
      <w:bookmarkStart w:id="214" w:name="_Toc301772822"/>
      <w:bookmarkStart w:id="215" w:name="_Toc302657761"/>
      <w:bookmarkStart w:id="216" w:name="_Toc302657880"/>
      <w:bookmarkStart w:id="217" w:name="_Toc307582992"/>
      <w:bookmarkStart w:id="218" w:name="_Toc30758301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t>53.</w:t>
      </w:r>
      <w:r>
        <w:tab/>
        <w:t xml:space="preserve">De plus, le modèle CR SA contient des postes pour mémoire aux lignes 290 à 320, afin de collecter des informations supplémentaires sur les expositions garanties par des hypothèques sur des biens immobiliers et sur les expositions en défaut. </w:t>
      </w:r>
    </w:p>
    <w:p w:rsidR="00464F34" w:rsidRPr="00392FFD" w:rsidRDefault="00125707" w:rsidP="00C37B29">
      <w:pPr>
        <w:pStyle w:val="InstructionsText2"/>
        <w:numPr>
          <w:ilvl w:val="0"/>
          <w:numId w:val="0"/>
        </w:numPr>
        <w:ind w:left="993"/>
      </w:pPr>
      <w:r>
        <w:t>54.</w:t>
      </w:r>
      <w:r>
        <w:tab/>
        <w:t>Ces postes pour mémoire ne seront utilisés que pour les catégories d'expos</w:t>
      </w:r>
      <w:r>
        <w:t>i</w:t>
      </w:r>
      <w:r>
        <w:t xml:space="preserve">tions suivantes: </w:t>
      </w:r>
    </w:p>
    <w:p w:rsidR="00464F34" w:rsidRPr="00392FFD" w:rsidRDefault="00125707" w:rsidP="00C37B29">
      <w:pPr>
        <w:pStyle w:val="InstructionsText2"/>
        <w:numPr>
          <w:ilvl w:val="0"/>
          <w:numId w:val="0"/>
        </w:numPr>
        <w:ind w:left="993"/>
      </w:pPr>
      <w:r>
        <w:t>(a)</w:t>
      </w:r>
      <w:r>
        <w:tab/>
        <w:t>Administrations centrales ou banques centrales (article 112, point a), du CRR)</w:t>
      </w:r>
    </w:p>
    <w:p w:rsidR="00464F34" w:rsidRPr="00392FFD" w:rsidRDefault="00125707" w:rsidP="00C37B29">
      <w:pPr>
        <w:pStyle w:val="InstructionsText2"/>
        <w:numPr>
          <w:ilvl w:val="0"/>
          <w:numId w:val="0"/>
        </w:numPr>
        <w:ind w:left="993"/>
      </w:pPr>
      <w:r>
        <w:lastRenderedPageBreak/>
        <w:t>(b)</w:t>
      </w:r>
      <w:r>
        <w:tab/>
        <w:t>Administrations régionales ou locales (article 112, point b), du CRR)</w:t>
      </w:r>
    </w:p>
    <w:p w:rsidR="00464F34" w:rsidRPr="00392FFD" w:rsidRDefault="00125707" w:rsidP="00C37B29">
      <w:pPr>
        <w:pStyle w:val="InstructionsText2"/>
        <w:numPr>
          <w:ilvl w:val="0"/>
          <w:numId w:val="0"/>
        </w:numPr>
        <w:ind w:left="993"/>
      </w:pPr>
      <w:r>
        <w:t>(c)</w:t>
      </w:r>
      <w:r>
        <w:tab/>
        <w:t>Entités du secteur public (article 112, point c), du CRR)</w:t>
      </w:r>
    </w:p>
    <w:p w:rsidR="00464F34" w:rsidRPr="00392FFD" w:rsidRDefault="00125707" w:rsidP="00C37B29">
      <w:pPr>
        <w:pStyle w:val="InstructionsText2"/>
        <w:numPr>
          <w:ilvl w:val="0"/>
          <w:numId w:val="0"/>
        </w:numPr>
        <w:ind w:left="993"/>
      </w:pPr>
      <w:r>
        <w:t>(d)</w:t>
      </w:r>
      <w:r>
        <w:tab/>
        <w:t>Établissements (article 112, point f), du CRR)</w:t>
      </w:r>
    </w:p>
    <w:p w:rsidR="00464F34" w:rsidRPr="00392FFD" w:rsidRDefault="00125707" w:rsidP="00C37B29">
      <w:pPr>
        <w:pStyle w:val="InstructionsText2"/>
        <w:numPr>
          <w:ilvl w:val="0"/>
          <w:numId w:val="0"/>
        </w:numPr>
        <w:ind w:left="993"/>
      </w:pPr>
      <w:r>
        <w:t>(e)</w:t>
      </w:r>
      <w:r>
        <w:tab/>
        <w:t>Entreprises (article 112, point g), du CRR)</w:t>
      </w:r>
    </w:p>
    <w:p w:rsidR="00464F34" w:rsidRPr="00392FFD" w:rsidRDefault="00125707" w:rsidP="00C37B29">
      <w:pPr>
        <w:pStyle w:val="InstructionsText2"/>
        <w:numPr>
          <w:ilvl w:val="0"/>
          <w:numId w:val="0"/>
        </w:numPr>
        <w:ind w:left="993"/>
      </w:pPr>
      <w:r>
        <w:t>(f)</w:t>
      </w:r>
      <w:r>
        <w:tab/>
        <w:t>Clientèle de détail (article 112, point h), du CRR)</w:t>
      </w:r>
    </w:p>
    <w:p w:rsidR="00464F34" w:rsidRPr="00392FFD" w:rsidRDefault="00125707" w:rsidP="00C37B29">
      <w:pPr>
        <w:pStyle w:val="InstructionsText2"/>
        <w:numPr>
          <w:ilvl w:val="0"/>
          <w:numId w:val="0"/>
        </w:numPr>
        <w:ind w:left="993"/>
      </w:pPr>
      <w:r>
        <w:t>55.</w:t>
      </w:r>
      <w:r>
        <w:tab/>
        <w:t xml:space="preserve">La déclaration des postes pour mémoire n'affecte ni le calcul des montants d'exposition pondérés des catégories d'expositions visées à l'article 112, points a) à c) et f) à h) du CRR, ni les catégories d'expositions visées à l'article 112, points i) et j) du CRR, déclarées dans le modèle CR SA. </w:t>
      </w:r>
    </w:p>
    <w:p w:rsidR="00464F34" w:rsidRPr="00392FFD" w:rsidRDefault="00125707" w:rsidP="00C37B29">
      <w:pPr>
        <w:pStyle w:val="InstructionsText2"/>
        <w:numPr>
          <w:ilvl w:val="0"/>
          <w:numId w:val="0"/>
        </w:numPr>
        <w:ind w:left="993"/>
      </w:pPr>
      <w:r>
        <w:t>56.</w:t>
      </w:r>
      <w:r>
        <w:tab/>
        <w:t>Les lignes pour mémoire fournissent des informations complémentaires sur la structure des débiteurs dans les catégories d'expositions «en défaut» ou «garanties par des hypothèques sur des biens immobiliers». Les expositions sont déclarées dans ces lignes lorsque les débiteurs auraient dû figurer dans les catégories d'exp</w:t>
      </w:r>
      <w:r>
        <w:t>o</w:t>
      </w:r>
      <w:r>
        <w:t>sitions «Administrations centrales ou banques centrales», «Administrations régi</w:t>
      </w:r>
      <w:r>
        <w:t>o</w:t>
      </w:r>
      <w:r>
        <w:t>nales ou locales», «Entités du secteur public», «Établissements», «Entreprises» et «Clientèle de détail» du modèle CR SA, si ces expositions n'avaient pas été affe</w:t>
      </w:r>
      <w:r>
        <w:t>c</w:t>
      </w:r>
      <w:r>
        <w:t>tées aux catégories d'expositions «en défaut» ou «garanties par des hypothèques sur des biens immobiliers». Cependant, les chiffres déclarés dans ces lignes sont les mêmes que ceux utilisés pour calculer les montants d'exposition pondérés dans les catégories d'expositions «en défaut» ou «garanties par des hypothèques sur des biens immobiliers».</w:t>
      </w:r>
    </w:p>
    <w:p w:rsidR="00464F34" w:rsidRPr="00392FFD" w:rsidRDefault="00125707" w:rsidP="00C37B29">
      <w:pPr>
        <w:pStyle w:val="InstructionsText2"/>
        <w:numPr>
          <w:ilvl w:val="0"/>
          <w:numId w:val="0"/>
        </w:numPr>
        <w:ind w:left="993"/>
      </w:pPr>
      <w:r>
        <w:t>57.</w:t>
      </w:r>
      <w:r>
        <w:tab/>
        <w:t>Par exemple, en cas d'exposition dont les montants d'exposition au risque sont calculés conformément à l'article 127 du CRR et dont les corrections de valeurs sont inférieures à 20 %, cette donnée doit être déclarée dans le modèle CR SA, à la ligne 320 au niveau du total et dans la catégorie d'exposition «en défaut». Si cette exposition, avant d'être en défaut, était une exposition sur un établissement, cette donnée doit également figurer à la ligne 320 de la catégorie d'exposition «établi</w:t>
      </w:r>
      <w:r>
        <w:t>s</w:t>
      </w:r>
      <w:r>
        <w:t>sements».</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19" w:name="_Toc262568030"/>
      <w:bookmarkStart w:id="220" w:name="_Toc264038428"/>
      <w:bookmarkStart w:id="221" w:name="_Toc292456207"/>
      <w:bookmarkStart w:id="222" w:name="_Toc295829858"/>
      <w:bookmarkStart w:id="223" w:name="_Toc516210635"/>
      <w:bookmarkStart w:id="224" w:name="_Toc524104174"/>
      <w:r>
        <w:rPr>
          <w:rFonts w:ascii="Times New Roman" w:hAnsi="Times New Roman"/>
          <w:sz w:val="24"/>
          <w:u w:val="none"/>
        </w:rPr>
        <w:t>3.2.3</w:t>
      </w:r>
      <w:r w:rsidRPr="00B90801">
        <w:rPr>
          <w:rFonts w:ascii="Times New Roman" w:hAnsi="Times New Roman"/>
          <w:sz w:val="24"/>
          <w:u w:val="none"/>
        </w:rPr>
        <w:t>.</w:t>
      </w:r>
      <w:r w:rsidRPr="00B90801">
        <w:rPr>
          <w:u w:val="none"/>
        </w:rPr>
        <w:tab/>
      </w:r>
      <w:r>
        <w:rPr>
          <w:rFonts w:ascii="Times New Roman" w:hAnsi="Times New Roman"/>
          <w:sz w:val="24"/>
        </w:rPr>
        <w:t xml:space="preserve"> </w:t>
      </w:r>
      <w:bookmarkStart w:id="225" w:name="_Toc310415022"/>
      <w:bookmarkStart w:id="226" w:name="_Toc360188351"/>
      <w:bookmarkStart w:id="227" w:name="_Toc473560900"/>
      <w:r>
        <w:rPr>
          <w:rFonts w:ascii="Times New Roman" w:hAnsi="Times New Roman"/>
          <w:sz w:val="24"/>
        </w:rPr>
        <w:t>Affectation des expositions aux catégories d'expositions, selon l'approche standard</w:t>
      </w:r>
      <w:bookmarkEnd w:id="219"/>
      <w:bookmarkEnd w:id="220"/>
      <w:bookmarkEnd w:id="221"/>
      <w:bookmarkEnd w:id="222"/>
      <w:bookmarkEnd w:id="223"/>
      <w:bookmarkEnd w:id="224"/>
      <w:bookmarkEnd w:id="225"/>
      <w:bookmarkEnd w:id="226"/>
      <w:bookmarkEnd w:id="227"/>
    </w:p>
    <w:p w:rsidR="00464F34" w:rsidRPr="00392FFD" w:rsidRDefault="00125707" w:rsidP="00C37B29">
      <w:pPr>
        <w:pStyle w:val="InstructionsText2"/>
        <w:numPr>
          <w:ilvl w:val="0"/>
          <w:numId w:val="0"/>
        </w:numPr>
        <w:ind w:left="993"/>
      </w:pPr>
      <w:r>
        <w:t>58.</w:t>
      </w:r>
      <w:r>
        <w:tab/>
        <w:t>Afin de garantir une répartition cohérente des expositions selon les différentes catégories d'expositions telles que définies à l'article 112 du CRR, on utilisera l'a</w:t>
      </w:r>
      <w:r>
        <w:t>p</w:t>
      </w:r>
      <w:r>
        <w:t xml:space="preserve">proche séquentielle suivante: </w:t>
      </w:r>
    </w:p>
    <w:p w:rsidR="00464F34" w:rsidRPr="00392FFD" w:rsidRDefault="00125707" w:rsidP="00C37B29">
      <w:pPr>
        <w:pStyle w:val="InstructionsText2"/>
        <w:numPr>
          <w:ilvl w:val="0"/>
          <w:numId w:val="0"/>
        </w:numPr>
        <w:ind w:left="993"/>
      </w:pPr>
      <w:r>
        <w:t>(a)</w:t>
      </w:r>
      <w:r>
        <w:tab/>
        <w:t>Dans un premier temps, l'exposition initiale avant application des facteurs de conversion est classée dans la catégorie d'exposition (initiale) correspondante, telle que visée à l'article 112 du CRR, sans préjudice du traitement spécifique (pondér</w:t>
      </w:r>
      <w:r>
        <w:t>a</w:t>
      </w:r>
      <w:r>
        <w:t>tion de risque) que chaque exposition spécifique reçoit au sein de sa catégorie d'e</w:t>
      </w:r>
      <w:r>
        <w:t>x</w:t>
      </w:r>
      <w:r>
        <w:t>position.</w:t>
      </w:r>
    </w:p>
    <w:p w:rsidR="00464F34" w:rsidRPr="00392FFD" w:rsidRDefault="00125707" w:rsidP="00C37B29">
      <w:pPr>
        <w:pStyle w:val="InstructionsText2"/>
        <w:numPr>
          <w:ilvl w:val="0"/>
          <w:numId w:val="0"/>
        </w:numPr>
        <w:ind w:left="993"/>
      </w:pPr>
      <w:r>
        <w:t>(b)</w:t>
      </w:r>
      <w:r>
        <w:tab/>
        <w:t xml:space="preserve">Ensuite, les expositions peuvent être redistribuées parmi d'autres catégories d'expositions en raison de l'application de techniques d'atténuation du risque de crédit (ARC) avec effets de substitution sur l'exposition (par ex. garanties, dérivés </w:t>
      </w:r>
      <w:r>
        <w:lastRenderedPageBreak/>
        <w:t>de crédit, méthode simple fondée sur les sûretés financières) par le biais d'entrées et de sorties.</w:t>
      </w:r>
    </w:p>
    <w:p w:rsidR="00464F34" w:rsidRPr="00392FFD" w:rsidRDefault="00125707" w:rsidP="00C37B29">
      <w:pPr>
        <w:pStyle w:val="InstructionsText2"/>
        <w:numPr>
          <w:ilvl w:val="0"/>
          <w:numId w:val="0"/>
        </w:numPr>
        <w:ind w:left="993"/>
      </w:pPr>
      <w:r>
        <w:t>59.</w:t>
      </w:r>
      <w:r>
        <w:tab/>
        <w:t>Les critères suivants s'appliquent dans le cadre de la classification de l'expos</w:t>
      </w:r>
      <w:r>
        <w:t>i</w:t>
      </w:r>
      <w:r>
        <w:t>tion initiale avant application des facteurs de conversion parmi les différentes cat</w:t>
      </w:r>
      <w:r>
        <w:t>é</w:t>
      </w:r>
      <w:r>
        <w:t>gories d'expositions (première étape), sans préjudice de la redistribution ultérieure découlant du recours à des techniques d'ARC avec effets de substitution sur l'exp</w:t>
      </w:r>
      <w:r>
        <w:t>o</w:t>
      </w:r>
      <w:r>
        <w:t>sition ou du traitement (pondération de risque) auquel sera soumise chaque expos</w:t>
      </w:r>
      <w:r>
        <w:t>i</w:t>
      </w:r>
      <w:r>
        <w:t>tion dans la catégorie d'expositions assignée.</w:t>
      </w:r>
    </w:p>
    <w:p w:rsidR="00464F34" w:rsidRPr="00392FFD" w:rsidRDefault="00125707" w:rsidP="00C37B29">
      <w:pPr>
        <w:pStyle w:val="InstructionsText2"/>
        <w:numPr>
          <w:ilvl w:val="0"/>
          <w:numId w:val="0"/>
        </w:numPr>
        <w:ind w:left="993"/>
      </w:pPr>
      <w:r>
        <w:t>60.</w:t>
      </w:r>
      <w:r>
        <w:tab/>
        <w:t>Aux fins de la classification de l'exposition initiale avant application des fa</w:t>
      </w:r>
      <w:r>
        <w:t>c</w:t>
      </w:r>
      <w:r>
        <w:t>teurs de conversion à la première étape, les techniques d'ARC associées à l'expos</w:t>
      </w:r>
      <w:r>
        <w:t>i</w:t>
      </w:r>
      <w:r>
        <w:t>tion ne seront pas prises en compte (mais elles le seront explicitement dans la de</w:t>
      </w:r>
      <w:r>
        <w:t>u</w:t>
      </w:r>
      <w:r>
        <w:t>xième phase), à moins qu'un effet de protection fasse intrinsèquement partie de la définition d'une catégorie d'exposition, comme cela est le cas dans la catégorie d'exposition visée à l'article 112, point i), du CRR (expositions garanties par des hypothèques sur des biens immobiliers).</w:t>
      </w:r>
    </w:p>
    <w:p w:rsidR="00464F34" w:rsidRPr="00392FFD" w:rsidRDefault="00125707" w:rsidP="00C37B29">
      <w:pPr>
        <w:pStyle w:val="InstructionsText2"/>
        <w:numPr>
          <w:ilvl w:val="0"/>
          <w:numId w:val="0"/>
        </w:numPr>
        <w:ind w:left="993"/>
      </w:pPr>
      <w:r>
        <w:t>61.</w:t>
      </w:r>
      <w:r>
        <w:tab/>
        <w:t>L'article 112 du CRR ne fournit pas de critères pour dissocier les catégories d'expositions. Il se pourrait donc qu'une exposition puisse être classée dans pl</w:t>
      </w:r>
      <w:r>
        <w:t>u</w:t>
      </w:r>
      <w:r>
        <w:t>sieurs catégories en l'absence de hiérarchisation des critères d'évaluation servant au classement. Le cas le plus flagrant est celui de la distinction entre les expositions sur des établissements et des entreprises faisant l'objet d'une évaluation du crédit à court terme (article 112, point n), du CRR) d'une part, et les expositions sur les ét</w:t>
      </w:r>
      <w:r>
        <w:t>a</w:t>
      </w:r>
      <w:r>
        <w:t>blissements (article 112, point f), du CRR)/ expositions sur les entreprises (a</w:t>
      </w:r>
      <w:r>
        <w:t>r</w:t>
      </w:r>
      <w:r>
        <w:t>ticle 112, point g), du CRR) d'autre part. Dans ce cas, il est clair que le CRR fixe implicitement un ordre de priorité, dans la mesure où il faudra d'abord évaluer si une exposition donnée peut être considérée comme une exposition à court terme sur des établissements et des entreprises, et seulement ensuite appliquer la même pr</w:t>
      </w:r>
      <w:r>
        <w:t>o</w:t>
      </w:r>
      <w:r>
        <w:t>cédure pour les expositions sur les établissements et les expositions sur les entr</w:t>
      </w:r>
      <w:r>
        <w:t>e</w:t>
      </w:r>
      <w:r>
        <w:t>prises. Sinon, il est évident qu'une exposition ne pourra jamais faire partie de la c</w:t>
      </w:r>
      <w:r>
        <w:t>a</w:t>
      </w:r>
      <w:r>
        <w:t>tégorie d'exposition visée à l'article 112, point n), du CRR. Cet exemple est l'un des plus flagrants, mais il y en a d'autres. Il faut remarquer que les critères utilisés pour déterminer la catégorie d'exposition selon l'approche standard sont différents (cat</w:t>
      </w:r>
      <w:r>
        <w:t>é</w:t>
      </w:r>
      <w:r>
        <w:t>gorisation institutionnelle, échéance de l'exposition, statut en souffrance, etc.). Il s'agit de la raison sous-jacente invoquée pour ne pas dissocier les catégories.</w:t>
      </w:r>
    </w:p>
    <w:p w:rsidR="00464F34" w:rsidRPr="00392FFD" w:rsidRDefault="00125707" w:rsidP="00C37B29">
      <w:pPr>
        <w:pStyle w:val="InstructionsText2"/>
        <w:numPr>
          <w:ilvl w:val="0"/>
          <w:numId w:val="0"/>
        </w:numPr>
        <w:ind w:left="993"/>
      </w:pPr>
      <w:r>
        <w:t>62.</w:t>
      </w:r>
      <w:r>
        <w:tab/>
        <w:t>En vue d'une déclaration homogène et comparable, il est nécessaire de préciser l'ordre de priorité des critères d'évaluation pour classer l'exposition initiale avant application des facteurs de conversion parmi les différentes catégories d'expos</w:t>
      </w:r>
      <w:r>
        <w:t>i</w:t>
      </w:r>
      <w:r>
        <w:t>tions, sans préjudice du traitement spécifique (pondération de risque) auquel sera soumise chaque exposition spécifique dans la catégorie d'exposition qui lui aura été assignée. Les critères de priorité présentés ci-dessous, sous la forme d'un schéma de décision, sont basés sur l'évaluation des conditions explicitement énoncées dans le CRR pour qu'une exposition soit affectée à une catégorie d'exposition donnée et, le cas échéant, sur toute décision de la part des établissements déclarants ou de l'aut</w:t>
      </w:r>
      <w:r>
        <w:t>o</w:t>
      </w:r>
      <w:r>
        <w:t xml:space="preserve">rité de surveillance sur l'applicabilité de certaines catégories d'expositions. Ainsi, l'issue de la procédure d'attribution de l'exposition aux fins de déclaration satisferait aux dispositions du CRR. Cela n'empêche pas les établissements de recourir à d'autres procédures d'attribution internes susceptibles d'être également conformes à </w:t>
      </w:r>
      <w:r>
        <w:lastRenderedPageBreak/>
        <w:t>toutes les dispositions pertinentes du CRR et à ses interprétations émises dans les enceintes appropriées.</w:t>
      </w:r>
    </w:p>
    <w:p w:rsidR="00464F34" w:rsidRPr="00392FFD" w:rsidRDefault="00125707" w:rsidP="00C37B29">
      <w:pPr>
        <w:pStyle w:val="InstructionsText2"/>
        <w:numPr>
          <w:ilvl w:val="0"/>
          <w:numId w:val="0"/>
        </w:numPr>
        <w:ind w:left="993"/>
      </w:pPr>
      <w:r>
        <w:t>63.</w:t>
      </w:r>
      <w:r>
        <w:tab/>
        <w:t>Une catégorie d'exposition devient prioritaire sur les autres dans la hiérarchie d'évaluation du schéma de décision (c'est-à-dire qu'il convient d'abord de déterm</w:t>
      </w:r>
      <w:r>
        <w:t>i</w:t>
      </w:r>
      <w:r>
        <w:t>ner si l'on peut affecter une exposition à cette catégorie, sans préjudice de l'issue de cette évaluation) lorsqu'autrement, aucune exposition ne lui serait potentiellement attribuée. Cela peut survenir lorsque, en l'absence de critères de priorité, une cat</w:t>
      </w:r>
      <w:r>
        <w:t>é</w:t>
      </w:r>
      <w:r>
        <w:t>gorie d'exposition serait un sous-ensemble d'autres catégories. Ainsi, les critères présentés graphiquement dans le schéma de décision ci-dessous suivraient un pr</w:t>
      </w:r>
      <w:r>
        <w:t>o</w:t>
      </w:r>
      <w:r>
        <w:t>cessus séquentiel.</w:t>
      </w:r>
    </w:p>
    <w:p w:rsidR="00464F34" w:rsidRPr="00392FFD" w:rsidRDefault="00125707" w:rsidP="00C37B29">
      <w:pPr>
        <w:pStyle w:val="InstructionsText2"/>
        <w:numPr>
          <w:ilvl w:val="0"/>
          <w:numId w:val="0"/>
        </w:numPr>
        <w:ind w:left="993"/>
      </w:pPr>
      <w:r>
        <w:t>64.</w:t>
      </w:r>
      <w:r>
        <w:tab/>
        <w:t>Dès lors, la hiérarchie d'évaluation dans le schéma de décision figurant ci-dessous suivrait l'ordre suivant:</w:t>
      </w:r>
    </w:p>
    <w:p w:rsidR="00464F34" w:rsidRPr="00392FFD" w:rsidRDefault="00464F34" w:rsidP="00FD239F">
      <w:pPr>
        <w:pStyle w:val="InstructionsText"/>
      </w:pPr>
      <w:r>
        <w:t>1. Positions de titrisation;</w:t>
      </w:r>
    </w:p>
    <w:p w:rsidR="00464F34" w:rsidRPr="00392FFD" w:rsidRDefault="00464F34" w:rsidP="00FD239F">
      <w:pPr>
        <w:pStyle w:val="InstructionsText"/>
      </w:pPr>
      <w:r>
        <w:t>2. Éléments présentant un risque particulièrement élevé;</w:t>
      </w:r>
    </w:p>
    <w:p w:rsidR="00464F34" w:rsidRPr="00392FFD" w:rsidRDefault="00464F34" w:rsidP="00FD239F">
      <w:pPr>
        <w:pStyle w:val="InstructionsText"/>
      </w:pPr>
      <w:r>
        <w:t>3. Expositions sous forme d'actions</w:t>
      </w:r>
    </w:p>
    <w:p w:rsidR="00464F34" w:rsidRPr="00392FFD" w:rsidRDefault="00464F34" w:rsidP="00FD239F">
      <w:pPr>
        <w:pStyle w:val="InstructionsText"/>
      </w:pPr>
      <w:r>
        <w:t>4. Expositions en défaut;</w:t>
      </w:r>
    </w:p>
    <w:p w:rsidR="00464F34" w:rsidRPr="00392FFD" w:rsidRDefault="00464F34" w:rsidP="00FD239F">
      <w:pPr>
        <w:pStyle w:val="InstructionsText"/>
      </w:pPr>
      <w:r>
        <w:t>5. Expositions sous la forme de parts ou d'actions d'OPC/ Expositions sous forme d'oblig</w:t>
      </w:r>
      <w:r>
        <w:t>a</w:t>
      </w:r>
      <w:r>
        <w:t>tions garanties (catégories d'expositions disjointes);</w:t>
      </w:r>
    </w:p>
    <w:p w:rsidR="00464F34" w:rsidRPr="00392FFD" w:rsidRDefault="00464F34" w:rsidP="00FD239F">
      <w:pPr>
        <w:pStyle w:val="InstructionsText"/>
      </w:pPr>
      <w:r>
        <w:t>6. Expositions garanties par une hypothèque sur un bien immobilier;</w:t>
      </w:r>
    </w:p>
    <w:p w:rsidR="00464F34" w:rsidRPr="00392FFD" w:rsidRDefault="00464F34" w:rsidP="00FD239F">
      <w:pPr>
        <w:pStyle w:val="InstructionsText"/>
      </w:pPr>
      <w:r>
        <w:t>7. Autres éléments;</w:t>
      </w:r>
    </w:p>
    <w:p w:rsidR="00464F34" w:rsidRPr="00392FFD" w:rsidRDefault="00464F34" w:rsidP="00FD239F">
      <w:pPr>
        <w:pStyle w:val="InstructionsText"/>
      </w:pPr>
      <w:r>
        <w:t>8. Expositions sur des établissements et des entreprises faisant l'objet d'une évaluation du cr</w:t>
      </w:r>
      <w:r>
        <w:t>é</w:t>
      </w:r>
      <w:r>
        <w:t>dit à court terme;</w:t>
      </w:r>
    </w:p>
    <w:p w:rsidR="00464F34" w:rsidRPr="00392FFD" w:rsidRDefault="00464F34" w:rsidP="00FD239F">
      <w:pPr>
        <w:pStyle w:val="InstructionsText"/>
      </w:pPr>
      <w:r>
        <w:t>9. Toutes les autres catégories d'expositions (disjointes), comprenant des expositions sur les administrations centrales ou les banques centrales; expositions sur les administrations régi</w:t>
      </w:r>
      <w:r>
        <w:t>o</w:t>
      </w:r>
      <w:r>
        <w:t>nales ou locales; expositions sur les entités du secteur public; expositions sur les banques mu</w:t>
      </w:r>
      <w:r>
        <w:t>l</w:t>
      </w:r>
      <w:r>
        <w:t>tilatérales de développement; expositions sur les organisations internationales; expositions sur les établissements; expositions sur les entreprises et expositions sur la clientèle de détail.</w:t>
      </w:r>
    </w:p>
    <w:p w:rsidR="00464F34" w:rsidRPr="00392FFD" w:rsidRDefault="00125707" w:rsidP="00C37B29">
      <w:pPr>
        <w:pStyle w:val="InstructionsText2"/>
        <w:numPr>
          <w:ilvl w:val="0"/>
          <w:numId w:val="0"/>
        </w:numPr>
        <w:ind w:left="993"/>
      </w:pPr>
      <w:r>
        <w:t>65.</w:t>
      </w:r>
      <w:r>
        <w:tab/>
        <w:t>Dans le cas d'expositions sous la forme de parts ou d'actions d'OPC pour le</w:t>
      </w:r>
      <w:r>
        <w:t>s</w:t>
      </w:r>
      <w:r>
        <w:t>quelles l'approche par transparence (article 132, paragraphes 3 à 5, du CRR) est ut</w:t>
      </w:r>
      <w:r>
        <w:t>i</w:t>
      </w:r>
      <w:r>
        <w:t>lisée, si les expositions individuelles sous-jacentes seront prises en compte et cla</w:t>
      </w:r>
      <w:r>
        <w:t>s</w:t>
      </w:r>
      <w:r>
        <w:t>sées dans la ligne de pondération au risque correspondante, en fonction de leur tra</w:t>
      </w:r>
      <w:r>
        <w:t>i</w:t>
      </w:r>
      <w:r>
        <w:t>tement, toutes les expositions individuelles seront quoi qu'il en soit classées dans la catégorie des expositions sous la forme de parts ou d'actions d'OPC.</w:t>
      </w:r>
    </w:p>
    <w:p w:rsidR="00464F34" w:rsidRPr="00392FFD" w:rsidRDefault="00125707" w:rsidP="00C37B29">
      <w:pPr>
        <w:pStyle w:val="InstructionsText2"/>
        <w:numPr>
          <w:ilvl w:val="0"/>
          <w:numId w:val="0"/>
        </w:numPr>
        <w:ind w:left="993"/>
      </w:pPr>
      <w:r>
        <w:t>66.</w:t>
      </w:r>
      <w:r>
        <w:tab/>
        <w:t>Dans le cas du nième défaut pour les dérivés de crédit visés à l'article 134, p</w:t>
      </w:r>
      <w:r>
        <w:t>a</w:t>
      </w:r>
      <w:r>
        <w:t>ragraphe 6, du CRR, lorsque ceux-ci font l'objet d'une évaluation externe de crédit, ils seront directement classés comme positions de titrisation. S'ils ne font pas l'objet d'une évaluation externe de crédit, ils seront classés dans la catégorie des «Autres éléments». Dans ce dernier cas, le montant nominal du contrat sera déclaré comme l'exposition initiale avant application des facteurs de conversion, dans la ligne «Autres pondérations de risque» (la pondération de risque retenue sera celle ind</w:t>
      </w:r>
      <w:r>
        <w:t>i</w:t>
      </w:r>
      <w:r>
        <w:t xml:space="preserve">quée par la somme visée à l'article 134, paragraphe 6, du CRR). </w:t>
      </w:r>
    </w:p>
    <w:p w:rsidR="00464F34" w:rsidRPr="00392FFD" w:rsidRDefault="00125707" w:rsidP="00C37B29">
      <w:pPr>
        <w:pStyle w:val="InstructionsText2"/>
        <w:numPr>
          <w:ilvl w:val="0"/>
          <w:numId w:val="0"/>
        </w:numPr>
        <w:ind w:left="993"/>
      </w:pPr>
      <w:r>
        <w:lastRenderedPageBreak/>
        <w:t>67.</w:t>
      </w:r>
      <w:r>
        <w:tab/>
        <w:t>Dans une seconde étape, du fait des techniques d'atténuation du risque de crédit avec effets de substitution, les expositions seront réaffectées à la catégorie d'expos</w:t>
      </w:r>
      <w:r>
        <w:t>i</w:t>
      </w:r>
      <w:r>
        <w:t>tion du fournisseur de protection.</w:t>
      </w:r>
    </w:p>
    <w:p w:rsidR="00464F34" w:rsidRPr="00392FFD" w:rsidRDefault="00464F34" w:rsidP="00FD239F">
      <w:pPr>
        <w:pStyle w:val="InstructionsText"/>
      </w:pPr>
      <w:r>
        <w:br w:type="page"/>
      </w:r>
      <w:r>
        <w:lastRenderedPageBreak/>
        <w:t>SCHÉMA DE DÉCISION SUR LA MANIÈRE DE DÉCLARER L'EXPOSITION IN</w:t>
      </w:r>
      <w:r>
        <w:t>I</w:t>
      </w:r>
      <w:r>
        <w:t>TIALE AVANT APPLICATION DES FACTEURS DE CONVERSION DANS LES C</w:t>
      </w:r>
      <w:r>
        <w:t>A</w:t>
      </w:r>
      <w:r>
        <w:t xml:space="preserve">TÉGORIES D'EXPOSITIONS DE L'APPROCHE STANDARD, SELON LE CRR </w:t>
      </w:r>
    </w:p>
    <w:p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10726" w:rsidTr="00672D2A">
        <w:tc>
          <w:tcPr>
            <w:tcW w:w="3761" w:type="dxa"/>
            <w:shd w:val="clear" w:color="auto" w:fill="auto"/>
          </w:tcPr>
          <w:p w:rsidR="003A1B96" w:rsidRPr="0023700C" w:rsidRDefault="003A1B96" w:rsidP="00334093">
            <w:pPr>
              <w:spacing w:before="0" w:after="0"/>
              <w:jc w:val="left"/>
              <w:rPr>
                <w:sz w:val="24"/>
              </w:rPr>
            </w:pPr>
            <w:r>
              <w:rPr>
                <w:rFonts w:ascii="Times New Roman" w:hAnsi="Times New Roman"/>
                <w:sz w:val="24"/>
              </w:rPr>
              <w:t>Exposition initiale avant application des facteurs de conversion</w:t>
            </w:r>
          </w:p>
        </w:tc>
        <w:tc>
          <w:tcPr>
            <w:tcW w:w="1417" w:type="dxa"/>
            <w:shd w:val="clear" w:color="auto" w:fill="auto"/>
          </w:tcPr>
          <w:p w:rsidR="003A1B96" w:rsidRPr="0023700C" w:rsidRDefault="003A1B96" w:rsidP="00FD239F">
            <w:pPr>
              <w:pStyle w:val="InstructionsText"/>
            </w:pPr>
          </w:p>
        </w:tc>
        <w:tc>
          <w:tcPr>
            <w:tcW w:w="4077" w:type="dxa"/>
            <w:shd w:val="clear" w:color="auto" w:fill="auto"/>
          </w:tcPr>
          <w:p w:rsidR="003A1B96" w:rsidRPr="0023700C"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Peut-il être affecté à la catégorie d'exposition visée à l'article 112, point m)?</w:t>
            </w:r>
          </w:p>
        </w:tc>
        <w:tc>
          <w:tcPr>
            <w:tcW w:w="1417" w:type="dxa"/>
            <w:shd w:val="clear" w:color="auto" w:fill="auto"/>
          </w:tcPr>
          <w:p w:rsidR="00BD52C3" w:rsidRPr="00392FFD" w:rsidRDefault="00BD52C3" w:rsidP="00FD239F">
            <w:pPr>
              <w:pStyle w:val="InstructionsText"/>
            </w:pPr>
            <w:r>
              <w:t xml:space="preserve">OUI </w:t>
            </w:r>
            <w:r>
              <w:rPr>
                <w:noProof/>
                <w:lang w:val="fr-BE" w:eastAsia="fr-BE" w:bidi="ar-SA"/>
              </w:rPr>
              <w:drawing>
                <wp:inline distT="0" distB="0" distL="0" distR="0" wp14:anchorId="375BAF11" wp14:editId="5357FE69">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Positions de titrisation</w:t>
            </w:r>
          </w:p>
        </w:tc>
      </w:tr>
      <w:tr w:rsidR="005B3B7C" w:rsidRPr="00392FFD" w:rsidTr="00672D2A">
        <w:tc>
          <w:tcPr>
            <w:tcW w:w="3761" w:type="dxa"/>
            <w:shd w:val="clear" w:color="auto" w:fill="auto"/>
          </w:tcPr>
          <w:p w:rsidR="00581FA5" w:rsidRPr="00392FFD" w:rsidRDefault="00581FA5" w:rsidP="00FD239F">
            <w:pPr>
              <w:pStyle w:val="InstructionsText"/>
            </w:pPr>
            <w:r>
              <w:t xml:space="preserve">NON </w:t>
            </w:r>
            <w:r>
              <w:rPr>
                <w:noProof/>
                <w:lang w:val="fr-BE" w:eastAsia="fr-BE" w:bidi="ar-SA"/>
              </w:rPr>
              <w:drawing>
                <wp:inline distT="0" distB="0" distL="0" distR="0" wp14:anchorId="71C7D6D0" wp14:editId="1A88CD25">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392FFD" w:rsidRDefault="005B3B7C" w:rsidP="00FD239F">
            <w:pPr>
              <w:pStyle w:val="InstructionsText"/>
            </w:pPr>
          </w:p>
        </w:tc>
        <w:tc>
          <w:tcPr>
            <w:tcW w:w="1417" w:type="dxa"/>
            <w:shd w:val="clear" w:color="auto" w:fill="auto"/>
          </w:tcPr>
          <w:p w:rsidR="005B3B7C" w:rsidRPr="00392FFD" w:rsidRDefault="005B3B7C" w:rsidP="00FD239F">
            <w:pPr>
              <w:pStyle w:val="InstructionsText"/>
            </w:pPr>
          </w:p>
        </w:tc>
        <w:tc>
          <w:tcPr>
            <w:tcW w:w="4077" w:type="dxa"/>
            <w:shd w:val="clear" w:color="auto" w:fill="auto"/>
          </w:tcPr>
          <w:p w:rsidR="005B3B7C" w:rsidRPr="00392FFD" w:rsidRDefault="005B3B7C"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Peut-il être affecté à la catégorie d'exposition visée à l'article 112, point k)?</w:t>
            </w:r>
          </w:p>
        </w:tc>
        <w:tc>
          <w:tcPr>
            <w:tcW w:w="1417" w:type="dxa"/>
            <w:shd w:val="clear" w:color="auto" w:fill="auto"/>
          </w:tcPr>
          <w:p w:rsidR="00AC3054" w:rsidRPr="00392FFD" w:rsidRDefault="00974E3F" w:rsidP="00FD239F">
            <w:pPr>
              <w:pStyle w:val="InstructionsText"/>
            </w:pPr>
            <w:r>
              <w:t xml:space="preserve">OUI </w:t>
            </w:r>
            <w:r>
              <w:rPr>
                <w:noProof/>
                <w:lang w:val="fr-BE" w:eastAsia="fr-BE" w:bidi="ar-SA"/>
              </w:rPr>
              <w:drawing>
                <wp:inline distT="0" distB="0" distL="0" distR="0" wp14:anchorId="0D32C75B" wp14:editId="7016A966">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392FFD" w:rsidRDefault="00BD52C3" w:rsidP="00FD239F">
            <w:pPr>
              <w:pStyle w:val="InstructionsText"/>
            </w:pP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Éléments présentant un risque partic</w:t>
            </w:r>
            <w:r>
              <w:t>u</w:t>
            </w:r>
            <w:r>
              <w:t>lièrement élevé (voir également l'art. 128)</w:t>
            </w:r>
          </w:p>
        </w:tc>
      </w:tr>
      <w:tr w:rsidR="003A1B96" w:rsidRPr="00392FFD" w:rsidTr="00672D2A">
        <w:tc>
          <w:tcPr>
            <w:tcW w:w="3761" w:type="dxa"/>
            <w:shd w:val="clear" w:color="auto" w:fill="auto"/>
          </w:tcPr>
          <w:p w:rsidR="007241D3" w:rsidRPr="00392FFD" w:rsidRDefault="007241D3" w:rsidP="00FD239F">
            <w:pPr>
              <w:pStyle w:val="InstructionsText"/>
            </w:pPr>
            <w:r>
              <w:t xml:space="preserve">NON </w:t>
            </w:r>
            <w:r>
              <w:rPr>
                <w:noProof/>
                <w:lang w:val="fr-BE" w:eastAsia="fr-BE" w:bidi="ar-SA"/>
              </w:rPr>
              <w:drawing>
                <wp:inline distT="0" distB="0" distL="0" distR="0" wp14:anchorId="306DA8DD" wp14:editId="79F3F508">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Peut-il être affecté à la catégorie d'exposition visée à l'article 112, point p)?</w:t>
            </w:r>
          </w:p>
        </w:tc>
        <w:tc>
          <w:tcPr>
            <w:tcW w:w="1417" w:type="dxa"/>
            <w:shd w:val="clear" w:color="auto" w:fill="auto"/>
          </w:tcPr>
          <w:p w:rsidR="00BD52C3" w:rsidRPr="00392FFD" w:rsidRDefault="00BD52C3" w:rsidP="00FD239F">
            <w:pPr>
              <w:pStyle w:val="InstructionsText"/>
            </w:pPr>
            <w:r>
              <w:t xml:space="preserve">OUI </w:t>
            </w:r>
            <w:r>
              <w:rPr>
                <w:noProof/>
                <w:lang w:val="fr-BE" w:eastAsia="fr-BE" w:bidi="ar-SA"/>
              </w:rPr>
              <w:drawing>
                <wp:inline distT="0" distB="0" distL="0" distR="0" wp14:anchorId="1F0C3070" wp14:editId="31AB0E55">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Expositions sous forme d'actions (voir également l'art. 133)</w:t>
            </w:r>
          </w:p>
        </w:tc>
      </w:tr>
      <w:tr w:rsidR="003A1B96" w:rsidRPr="00392FFD" w:rsidTr="00672D2A">
        <w:tc>
          <w:tcPr>
            <w:tcW w:w="3761" w:type="dxa"/>
            <w:shd w:val="clear" w:color="auto" w:fill="auto"/>
          </w:tcPr>
          <w:p w:rsidR="007241D3" w:rsidRPr="00392FFD" w:rsidRDefault="007241D3" w:rsidP="00FD239F">
            <w:pPr>
              <w:pStyle w:val="InstructionsText"/>
            </w:pPr>
            <w:r>
              <w:t xml:space="preserve">NON </w:t>
            </w:r>
            <w:r>
              <w:rPr>
                <w:noProof/>
                <w:lang w:val="fr-BE" w:eastAsia="fr-BE" w:bidi="ar-SA"/>
              </w:rPr>
              <w:drawing>
                <wp:inline distT="0" distB="0" distL="0" distR="0" wp14:anchorId="0A519DF6" wp14:editId="782599FD">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Peut-il être affecté à la catégorie d'exposition visée à l'article 112, point j)?</w:t>
            </w:r>
          </w:p>
        </w:tc>
        <w:tc>
          <w:tcPr>
            <w:tcW w:w="1417" w:type="dxa"/>
            <w:shd w:val="clear" w:color="auto" w:fill="auto"/>
          </w:tcPr>
          <w:p w:rsidR="00BD52C3" w:rsidRPr="00392FFD" w:rsidRDefault="00BD52C3" w:rsidP="00FD239F">
            <w:pPr>
              <w:pStyle w:val="InstructionsText"/>
            </w:pPr>
            <w:r>
              <w:t xml:space="preserve">OUI </w:t>
            </w:r>
            <w:r>
              <w:rPr>
                <w:noProof/>
                <w:lang w:val="fr-BE" w:eastAsia="fr-BE" w:bidi="ar-SA"/>
              </w:rPr>
              <w:drawing>
                <wp:inline distT="0" distB="0" distL="0" distR="0" wp14:anchorId="559184E2" wp14:editId="4AA3A34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Expositions en défaut</w:t>
            </w:r>
          </w:p>
        </w:tc>
      </w:tr>
      <w:tr w:rsidR="00581FA5" w:rsidRPr="00392FFD" w:rsidTr="00672D2A">
        <w:tc>
          <w:tcPr>
            <w:tcW w:w="3761" w:type="dxa"/>
            <w:shd w:val="clear" w:color="auto" w:fill="auto"/>
          </w:tcPr>
          <w:p w:rsidR="007241D3" w:rsidRPr="00392FFD" w:rsidRDefault="007241D3" w:rsidP="00FD239F">
            <w:pPr>
              <w:pStyle w:val="InstructionsText"/>
            </w:pPr>
            <w:r>
              <w:t xml:space="preserve">NON </w:t>
            </w:r>
            <w:r>
              <w:rPr>
                <w:noProof/>
                <w:lang w:val="fr-BE" w:eastAsia="fr-BE" w:bidi="ar-SA"/>
              </w:rPr>
              <w:drawing>
                <wp:inline distT="0" distB="0" distL="0" distR="0" wp14:anchorId="02BA9D3A" wp14:editId="4C2E7EC7">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Peut-il être affecté à la catégorie d'exposition visée à l'article 112, points l) et o)?</w:t>
            </w:r>
          </w:p>
        </w:tc>
        <w:tc>
          <w:tcPr>
            <w:tcW w:w="1417" w:type="dxa"/>
            <w:shd w:val="clear" w:color="auto" w:fill="auto"/>
          </w:tcPr>
          <w:p w:rsidR="00BD52C3" w:rsidRPr="00392FFD" w:rsidRDefault="00BD52C3" w:rsidP="00FD239F">
            <w:pPr>
              <w:pStyle w:val="InstructionsText"/>
            </w:pPr>
            <w:r>
              <w:t xml:space="preserve">OUI </w:t>
            </w:r>
            <w:r>
              <w:rPr>
                <w:noProof/>
                <w:lang w:val="fr-BE" w:eastAsia="fr-BE" w:bidi="ar-SA"/>
              </w:rPr>
              <w:drawing>
                <wp:inline distT="0" distB="0" distL="0" distR="0" wp14:anchorId="2EC287CA" wp14:editId="77E025A6">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Expositions sous la forme de parts ou d'actions d'OPC</w:t>
            </w:r>
          </w:p>
          <w:p w:rsidR="00581FA5" w:rsidRPr="00392FFD" w:rsidRDefault="00581FA5" w:rsidP="00FD239F">
            <w:pPr>
              <w:pStyle w:val="InstructionsText"/>
            </w:pPr>
            <w:r>
              <w:t>Expositions sous forme d'obligations garanties (voir également l'art. 129)</w:t>
            </w:r>
          </w:p>
          <w:p w:rsidR="00581FA5" w:rsidRPr="00392FFD" w:rsidRDefault="00581FA5" w:rsidP="00FD239F">
            <w:pPr>
              <w:pStyle w:val="InstructionsText"/>
            </w:pPr>
            <w:r>
              <w:t>Ces deux catégories d'expositions sont distinctes (voir les commentaires sur l'approche par transparence dans la r</w:t>
            </w:r>
            <w:r>
              <w:t>é</w:t>
            </w:r>
            <w:r>
              <w:t>ponse ci-dessus). Dès lors, l'attribution à l'une de ces catégories est immédiate.</w:t>
            </w:r>
          </w:p>
        </w:tc>
      </w:tr>
      <w:tr w:rsidR="00581FA5" w:rsidRPr="00392FFD" w:rsidTr="00672D2A">
        <w:tc>
          <w:tcPr>
            <w:tcW w:w="3761" w:type="dxa"/>
            <w:shd w:val="clear" w:color="auto" w:fill="auto"/>
          </w:tcPr>
          <w:p w:rsidR="007241D3" w:rsidRPr="00392FFD" w:rsidRDefault="007241D3" w:rsidP="00FD239F">
            <w:pPr>
              <w:pStyle w:val="InstructionsText"/>
            </w:pPr>
            <w:r>
              <w:lastRenderedPageBreak/>
              <w:t xml:space="preserve">NON </w:t>
            </w:r>
            <w:r>
              <w:rPr>
                <w:noProof/>
                <w:lang w:val="fr-BE" w:eastAsia="fr-BE" w:bidi="ar-SA"/>
              </w:rPr>
              <w:drawing>
                <wp:inline distT="0" distB="0" distL="0" distR="0" wp14:anchorId="6D114644" wp14:editId="4AC18D5F">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Peut-il être affecté à la catégorie d'exposition visée à l'article 112, point i)?</w:t>
            </w:r>
          </w:p>
        </w:tc>
        <w:tc>
          <w:tcPr>
            <w:tcW w:w="1417" w:type="dxa"/>
            <w:shd w:val="clear" w:color="auto" w:fill="auto"/>
          </w:tcPr>
          <w:p w:rsidR="00BD52C3" w:rsidRPr="00392FFD" w:rsidRDefault="00BD52C3" w:rsidP="00FD239F">
            <w:pPr>
              <w:pStyle w:val="InstructionsText"/>
            </w:pPr>
            <w:r>
              <w:t xml:space="preserve">OUI </w:t>
            </w:r>
            <w:r>
              <w:rPr>
                <w:noProof/>
                <w:lang w:val="fr-BE" w:eastAsia="fr-BE" w:bidi="ar-SA"/>
              </w:rPr>
              <w:drawing>
                <wp:inline distT="0" distB="0" distL="0" distR="0" wp14:anchorId="7E595A49" wp14:editId="44E9AE7C">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Expositions garanties par une hyp</w:t>
            </w:r>
            <w:r>
              <w:t>o</w:t>
            </w:r>
            <w:r>
              <w:t>thèque sur un bien immobilier (voir également l'art. 124)</w:t>
            </w:r>
          </w:p>
        </w:tc>
      </w:tr>
      <w:tr w:rsidR="00581FA5" w:rsidRPr="00392FFD" w:rsidTr="00672D2A">
        <w:tc>
          <w:tcPr>
            <w:tcW w:w="3761" w:type="dxa"/>
            <w:shd w:val="clear" w:color="auto" w:fill="auto"/>
          </w:tcPr>
          <w:p w:rsidR="007241D3" w:rsidRPr="00392FFD" w:rsidRDefault="007241D3" w:rsidP="00FD239F">
            <w:pPr>
              <w:pStyle w:val="InstructionsText"/>
            </w:pPr>
            <w:r>
              <w:t xml:space="preserve">NON </w:t>
            </w:r>
            <w:r>
              <w:rPr>
                <w:noProof/>
                <w:lang w:val="fr-BE" w:eastAsia="fr-BE" w:bidi="ar-SA"/>
              </w:rPr>
              <w:drawing>
                <wp:inline distT="0" distB="0" distL="0" distR="0" wp14:anchorId="53D7B093" wp14:editId="149DD5F7">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Peut-il être affecté à la catégorie d'exposition visée à l'article 112, point q)?</w:t>
            </w:r>
          </w:p>
        </w:tc>
        <w:tc>
          <w:tcPr>
            <w:tcW w:w="1417" w:type="dxa"/>
            <w:shd w:val="clear" w:color="auto" w:fill="auto"/>
          </w:tcPr>
          <w:p w:rsidR="00BD52C3" w:rsidRPr="00392FFD" w:rsidRDefault="00BD52C3" w:rsidP="00FD239F">
            <w:pPr>
              <w:pStyle w:val="InstructionsText"/>
            </w:pPr>
            <w:r>
              <w:t xml:space="preserve">OUI </w:t>
            </w:r>
            <w:r>
              <w:rPr>
                <w:noProof/>
                <w:lang w:val="fr-BE" w:eastAsia="fr-BE" w:bidi="ar-SA"/>
              </w:rPr>
              <w:drawing>
                <wp:inline distT="0" distB="0" distL="0" distR="0" wp14:anchorId="0626210D" wp14:editId="7FCEABA9">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Autres éléments</w:t>
            </w:r>
          </w:p>
        </w:tc>
      </w:tr>
      <w:tr w:rsidR="00581FA5" w:rsidRPr="00392FFD" w:rsidTr="00672D2A">
        <w:tc>
          <w:tcPr>
            <w:tcW w:w="3761" w:type="dxa"/>
            <w:shd w:val="clear" w:color="auto" w:fill="auto"/>
          </w:tcPr>
          <w:p w:rsidR="007241D3" w:rsidRPr="00392FFD" w:rsidRDefault="007241D3" w:rsidP="00FD239F">
            <w:pPr>
              <w:pStyle w:val="InstructionsText"/>
            </w:pPr>
            <w:r>
              <w:t xml:space="preserve">NON </w:t>
            </w:r>
            <w:r>
              <w:rPr>
                <w:noProof/>
                <w:lang w:val="fr-BE" w:eastAsia="fr-BE" w:bidi="ar-SA"/>
              </w:rPr>
              <w:drawing>
                <wp:inline distT="0" distB="0" distL="0" distR="0" wp14:anchorId="369C7E96" wp14:editId="2CB114A3">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Peut-il être affecté à la catégorie d'exposition visée à l'article 112, point n)?</w:t>
            </w:r>
          </w:p>
        </w:tc>
        <w:tc>
          <w:tcPr>
            <w:tcW w:w="1417" w:type="dxa"/>
            <w:shd w:val="clear" w:color="auto" w:fill="auto"/>
          </w:tcPr>
          <w:p w:rsidR="0063493E" w:rsidRPr="00392FFD" w:rsidRDefault="0063493E" w:rsidP="00FD239F">
            <w:pPr>
              <w:pStyle w:val="InstructionsText"/>
            </w:pPr>
            <w:r>
              <w:t xml:space="preserve">OUI </w:t>
            </w:r>
            <w:r>
              <w:rPr>
                <w:noProof/>
                <w:lang w:val="fr-BE" w:eastAsia="fr-BE" w:bidi="ar-SA"/>
              </w:rPr>
              <w:drawing>
                <wp:inline distT="0" distB="0" distL="0" distR="0" wp14:anchorId="20718A62" wp14:editId="3ED68AE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Expositions sur des établissements et des entreprises faisant l'objet d'une év</w:t>
            </w:r>
            <w:r>
              <w:t>a</w:t>
            </w:r>
            <w:r>
              <w:t>luation du crédit à court terme;</w:t>
            </w:r>
          </w:p>
        </w:tc>
      </w:tr>
      <w:tr w:rsidR="00581FA5" w:rsidRPr="00392FFD" w:rsidTr="00672D2A">
        <w:tc>
          <w:tcPr>
            <w:tcW w:w="3761" w:type="dxa"/>
            <w:shd w:val="clear" w:color="auto" w:fill="auto"/>
          </w:tcPr>
          <w:p w:rsidR="007241D3" w:rsidRPr="00392FFD" w:rsidRDefault="007241D3" w:rsidP="00FD239F">
            <w:pPr>
              <w:pStyle w:val="InstructionsText"/>
            </w:pPr>
            <w:r>
              <w:t xml:space="preserve">NON </w:t>
            </w:r>
            <w:r>
              <w:rPr>
                <w:noProof/>
                <w:lang w:val="fr-BE" w:eastAsia="fr-BE" w:bidi="ar-SA"/>
              </w:rPr>
              <w:drawing>
                <wp:inline distT="0" distB="0" distL="0" distR="0" wp14:anchorId="479C57DA" wp14:editId="53E3110C">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9255" w:type="dxa"/>
            <w:gridSpan w:val="3"/>
            <w:shd w:val="clear" w:color="auto" w:fill="auto"/>
          </w:tcPr>
          <w:p w:rsidR="00581FA5" w:rsidRPr="00392FFD" w:rsidRDefault="00581FA5" w:rsidP="00FD239F">
            <w:pPr>
              <w:pStyle w:val="InstructionsText"/>
            </w:pPr>
            <w:r>
              <w:t>Les catégories d'expositions ci-dessous sont distinctes. Dès lors, l'attribution à l'une de ces c</w:t>
            </w:r>
            <w:r>
              <w:t>a</w:t>
            </w:r>
            <w:r>
              <w:t>tégories est immédiate.</w:t>
            </w:r>
          </w:p>
          <w:p w:rsidR="00581FA5" w:rsidRPr="00392FFD" w:rsidRDefault="00581FA5" w:rsidP="00FD239F">
            <w:pPr>
              <w:pStyle w:val="InstructionsText"/>
            </w:pPr>
            <w:r>
              <w:t>Expositions sur les administrations centrales ou les banques centrales</w:t>
            </w:r>
          </w:p>
          <w:p w:rsidR="00581FA5" w:rsidRPr="00392FFD" w:rsidRDefault="00581FA5" w:rsidP="00FD239F">
            <w:pPr>
              <w:pStyle w:val="InstructionsText"/>
            </w:pPr>
            <w:r>
              <w:t>Expositions sur les administrations régionales ou locales;</w:t>
            </w:r>
          </w:p>
          <w:p w:rsidR="00581FA5" w:rsidRPr="00392FFD" w:rsidRDefault="00581FA5" w:rsidP="00FD239F">
            <w:pPr>
              <w:pStyle w:val="InstructionsText"/>
            </w:pPr>
            <w:r>
              <w:t>Expositions sur les entités du secteur public;</w:t>
            </w:r>
          </w:p>
          <w:p w:rsidR="00581FA5" w:rsidRPr="00392FFD" w:rsidRDefault="00581FA5" w:rsidP="00FD239F">
            <w:pPr>
              <w:pStyle w:val="InstructionsText"/>
            </w:pPr>
            <w:r>
              <w:t>Expositions sur les banques multilatérales de développement;</w:t>
            </w:r>
          </w:p>
          <w:p w:rsidR="00581FA5" w:rsidRPr="00392FFD" w:rsidRDefault="00581FA5" w:rsidP="00FD239F">
            <w:pPr>
              <w:pStyle w:val="InstructionsText"/>
            </w:pPr>
            <w:r>
              <w:t>Expositions sur les organisations internationales</w:t>
            </w:r>
          </w:p>
          <w:p w:rsidR="00581FA5" w:rsidRPr="00392FFD" w:rsidRDefault="00581FA5" w:rsidP="00FD239F">
            <w:pPr>
              <w:pStyle w:val="InstructionsText"/>
            </w:pPr>
            <w:r>
              <w:t>Expositions sur les établissements</w:t>
            </w:r>
          </w:p>
          <w:p w:rsidR="00581FA5" w:rsidRPr="00392FFD" w:rsidRDefault="00581FA5" w:rsidP="00FD239F">
            <w:pPr>
              <w:pStyle w:val="InstructionsText"/>
            </w:pPr>
            <w:r>
              <w:t>Expositions sur les entreprises</w:t>
            </w:r>
          </w:p>
          <w:p w:rsidR="00581FA5" w:rsidRPr="00392FFD" w:rsidRDefault="00581FA5" w:rsidP="00FD239F">
            <w:pPr>
              <w:pStyle w:val="InstructionsText"/>
            </w:pPr>
            <w:r>
              <w:t>Expositions sur la clientèle de détail</w:t>
            </w:r>
          </w:p>
        </w:tc>
      </w:tr>
    </w:tbl>
    <w:p w:rsidR="00464F34" w:rsidRPr="00392FFD" w:rsidRDefault="00464F34" w:rsidP="00FD239F">
      <w:pPr>
        <w:pStyle w:val="InstructionsText"/>
      </w:pPr>
    </w:p>
    <w:p w:rsidR="00464F34" w:rsidRPr="00392FFD" w:rsidRDefault="00464F34" w:rsidP="00FD239F">
      <w:pPr>
        <w:pStyle w:val="InstructionsText"/>
      </w:pPr>
    </w:p>
    <w:p w:rsidR="0073242B" w:rsidRPr="00392FFD" w:rsidRDefault="0073242B">
      <w:pPr>
        <w:spacing w:before="0" w:after="0"/>
        <w:jc w:val="left"/>
        <w:rPr>
          <w:rFonts w:ascii="Times New Roman" w:hAnsi="Times New Roman"/>
          <w:bCs/>
          <w:sz w:val="24"/>
        </w:rPr>
      </w:pPr>
      <w:r>
        <w:br w:type="page"/>
      </w:r>
    </w:p>
    <w:p w:rsidR="00464F34" w:rsidRPr="00392FFD" w:rsidRDefault="00464F34" w:rsidP="00FD239F">
      <w:pPr>
        <w:pStyle w:val="InstructionsText"/>
      </w:pP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8" w:name="_Toc262568031"/>
      <w:bookmarkStart w:id="229" w:name="_Toc264038429"/>
      <w:bookmarkStart w:id="230" w:name="_Toc292456208"/>
      <w:bookmarkStart w:id="231" w:name="_Toc295829859"/>
      <w:bookmarkStart w:id="232" w:name="_Toc310415023"/>
      <w:bookmarkStart w:id="233" w:name="_Toc360188352"/>
      <w:bookmarkStart w:id="234" w:name="_Toc516210636"/>
      <w:bookmarkStart w:id="235" w:name="_Toc473560901"/>
      <w:bookmarkStart w:id="236" w:name="_Toc524104175"/>
      <w:r>
        <w:rPr>
          <w:rFonts w:ascii="Times New Roman" w:hAnsi="Times New Roman"/>
          <w:sz w:val="24"/>
          <w:u w:val="none"/>
        </w:rPr>
        <w:t>3.2.4.</w:t>
      </w:r>
      <w:r w:rsidRPr="00B90801">
        <w:rPr>
          <w:u w:val="none"/>
        </w:rPr>
        <w:tab/>
      </w:r>
      <w:r>
        <w:rPr>
          <w:rFonts w:ascii="Times New Roman" w:hAnsi="Times New Roman"/>
          <w:sz w:val="24"/>
        </w:rPr>
        <w:t>Éclaircissements sur l'étendue de certaines catégories d'expositions visées à l'a</w:t>
      </w:r>
      <w:r>
        <w:rPr>
          <w:rFonts w:ascii="Times New Roman" w:hAnsi="Times New Roman"/>
          <w:sz w:val="24"/>
        </w:rPr>
        <w:t>r</w:t>
      </w:r>
      <w:r>
        <w:rPr>
          <w:rFonts w:ascii="Times New Roman" w:hAnsi="Times New Roman"/>
          <w:sz w:val="24"/>
        </w:rPr>
        <w:t>ticle 112 du CRR</w:t>
      </w:r>
      <w:bookmarkEnd w:id="228"/>
      <w:bookmarkEnd w:id="229"/>
      <w:bookmarkEnd w:id="230"/>
      <w:bookmarkEnd w:id="231"/>
      <w:bookmarkEnd w:id="232"/>
      <w:bookmarkEnd w:id="233"/>
      <w:bookmarkEnd w:id="234"/>
      <w:bookmarkEnd w:id="235"/>
      <w:bookmarkEnd w:id="236"/>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37" w:name="_Toc360188353"/>
      <w:bookmarkStart w:id="238" w:name="_Toc516210637"/>
      <w:bookmarkStart w:id="239" w:name="_Toc473560902"/>
      <w:bookmarkStart w:id="240" w:name="_Toc524104176"/>
      <w:r>
        <w:rPr>
          <w:rFonts w:ascii="Times New Roman" w:hAnsi="Times New Roman"/>
          <w:sz w:val="24"/>
          <w:u w:val="none"/>
        </w:rPr>
        <w:t>3.2.4.1.</w:t>
      </w:r>
      <w:r w:rsidRPr="00B90801">
        <w:rPr>
          <w:u w:val="none"/>
        </w:rPr>
        <w:tab/>
      </w:r>
      <w:r>
        <w:rPr>
          <w:rFonts w:ascii="Times New Roman" w:hAnsi="Times New Roman"/>
          <w:sz w:val="24"/>
        </w:rPr>
        <w:t>Catégorie d'expositions «Établissements»</w:t>
      </w:r>
      <w:bookmarkEnd w:id="237"/>
      <w:bookmarkEnd w:id="238"/>
      <w:bookmarkEnd w:id="239"/>
      <w:bookmarkEnd w:id="240"/>
    </w:p>
    <w:p w:rsidR="00464F34" w:rsidRPr="00392FFD" w:rsidRDefault="00125707" w:rsidP="00C37B29">
      <w:pPr>
        <w:pStyle w:val="InstructionsText2"/>
        <w:numPr>
          <w:ilvl w:val="0"/>
          <w:numId w:val="0"/>
        </w:numPr>
        <w:ind w:left="993"/>
      </w:pPr>
      <w:r>
        <w:t>68.</w:t>
      </w:r>
      <w:r>
        <w:tab/>
        <w:t>La déclaration d'expositions intragroupes conformément à l'article 113, par</w:t>
      </w:r>
      <w:r>
        <w:t>a</w:t>
      </w:r>
      <w:r>
        <w:t>graphes 6 et 7, du CRR s'effectuera comme suit:</w:t>
      </w:r>
    </w:p>
    <w:p w:rsidR="00464F34" w:rsidRPr="00392FFD" w:rsidRDefault="00125707" w:rsidP="00C37B29">
      <w:pPr>
        <w:pStyle w:val="InstructionsText2"/>
        <w:numPr>
          <w:ilvl w:val="0"/>
          <w:numId w:val="0"/>
        </w:numPr>
        <w:ind w:left="993"/>
      </w:pPr>
      <w:r>
        <w:t>69.</w:t>
      </w:r>
      <w:r>
        <w:tab/>
        <w:t>Les expositions qui satisfont aux exigences de l'article 113, paragraphe 7, du CRR seront déclarées dans les catégories d'expositions respectives qui leur auraient été attribuées s'il ne s'agissait pas d'expositions intragroupes.</w:t>
      </w:r>
    </w:p>
    <w:p w:rsidR="00464F34" w:rsidRPr="00392FFD" w:rsidRDefault="00125707" w:rsidP="00C37B29">
      <w:pPr>
        <w:pStyle w:val="InstructionsText2"/>
        <w:numPr>
          <w:ilvl w:val="0"/>
          <w:numId w:val="0"/>
        </w:numPr>
        <w:ind w:left="993"/>
      </w:pPr>
      <w:r>
        <w:t>70.</w:t>
      </w:r>
      <w:r>
        <w:tab/>
        <w:t>Aux termes de l'article 113, paragraphes 6 et 7, du CRR, «un établissement peut, sous réserve de l'autorisation préalable des autorités compétentes, décider de ne pas appliquer les obligations prévues au paragraphe 1 du présent article à ses e</w:t>
      </w:r>
      <w:r>
        <w:t>x</w:t>
      </w:r>
      <w:r>
        <w:t>positions envers une contrepartie qui est son entreprise mère, sa filiale, une filiale de son entreprise mère ou une entreprise liée par une relation au sens de l'article 12, paragraphe 1, de la directive 83/349/CEE.» Cela signifie que les contreparties i</w:t>
      </w:r>
      <w:r>
        <w:t>n</w:t>
      </w:r>
      <w:r>
        <w:t>tragroupes ne sont pas nécessairement des établissements mais également des e</w:t>
      </w:r>
      <w:r>
        <w:t>n</w:t>
      </w:r>
      <w:r>
        <w:t>treprises affectées à d'autres catégories d'expositions, par ex. des entreprises de se</w:t>
      </w:r>
      <w:r>
        <w:t>r</w:t>
      </w:r>
      <w:r>
        <w:t>vices auxiliaires ou des entreprises au sens de l'article 12, paragraphe 1, de la dire</w:t>
      </w:r>
      <w:r>
        <w:t>c</w:t>
      </w:r>
      <w:r>
        <w:t>tive 83/349/CEE. Dès lors, les expositions intragroupes seront déclarées dans la c</w:t>
      </w:r>
      <w:r>
        <w:t>a</w:t>
      </w:r>
      <w:r>
        <w:t>tégorie d'exposition correspondante.</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1" w:name="_Toc360188354"/>
      <w:bookmarkStart w:id="242" w:name="_Toc516210638"/>
      <w:bookmarkStart w:id="243" w:name="_Toc473560903"/>
      <w:bookmarkStart w:id="244" w:name="_Toc524104177"/>
      <w:r>
        <w:rPr>
          <w:rFonts w:ascii="Times New Roman" w:hAnsi="Times New Roman"/>
          <w:sz w:val="24"/>
          <w:u w:val="none"/>
        </w:rPr>
        <w:t>3.2.4.2.</w:t>
      </w:r>
      <w:r w:rsidRPr="00491A6F">
        <w:rPr>
          <w:u w:val="none"/>
        </w:rPr>
        <w:tab/>
      </w:r>
      <w:r>
        <w:rPr>
          <w:rFonts w:ascii="Times New Roman" w:hAnsi="Times New Roman"/>
          <w:sz w:val="24"/>
        </w:rPr>
        <w:t>Catégorie d'expositions «Obligations garanties»</w:t>
      </w:r>
      <w:bookmarkEnd w:id="241"/>
      <w:bookmarkEnd w:id="242"/>
      <w:bookmarkEnd w:id="243"/>
      <w:bookmarkEnd w:id="244"/>
    </w:p>
    <w:p w:rsidR="00464F34" w:rsidRPr="00392FFD" w:rsidRDefault="00125707" w:rsidP="00C37B29">
      <w:pPr>
        <w:pStyle w:val="InstructionsText2"/>
        <w:numPr>
          <w:ilvl w:val="0"/>
          <w:numId w:val="0"/>
        </w:numPr>
        <w:ind w:left="993"/>
      </w:pPr>
      <w:r>
        <w:t>71.</w:t>
      </w:r>
      <w:r>
        <w:tab/>
        <w:t>L'affectation d'expositions selon l'approche standard à la catégorie d'exposition «Obligations garanties» s'effectuera comme suit:</w:t>
      </w:r>
    </w:p>
    <w:p w:rsidR="00464F34" w:rsidRPr="00392FFD" w:rsidRDefault="00125707" w:rsidP="00C37B29">
      <w:pPr>
        <w:pStyle w:val="InstructionsText2"/>
        <w:numPr>
          <w:ilvl w:val="0"/>
          <w:numId w:val="0"/>
        </w:numPr>
        <w:ind w:left="993"/>
      </w:pPr>
      <w:r>
        <w:t>72.</w:t>
      </w:r>
      <w:r>
        <w:tab/>
        <w:t>Les obligations telles que définies à l'article 52, paragraphe 4, de la directive 2009/65/CE doivent satisfaire aux exigences de l'article 129, paragraphes 1 et 2, du CRR, pour être affectées à la catégorie d'expositions «Obligations garanties». Dans chaque cas, le respect de ces exigences doit faire l'objet d'une vérification. Tout</w:t>
      </w:r>
      <w:r>
        <w:t>e</w:t>
      </w:r>
      <w:r>
        <w:t>fois, les obligations visées à l'article 52, paragraphe 4, de la directive 2009/65/CE et émises avant le 31 décembre 2007 seront également affectées à la catégorie d'exp</w:t>
      </w:r>
      <w:r>
        <w:t>o</w:t>
      </w:r>
      <w:r>
        <w:t>sitions «Obligations garanties» en raison de l'article 129, paragraphe 6, du CRR.</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5" w:name="_Toc360188355"/>
      <w:bookmarkStart w:id="246" w:name="_Toc516210639"/>
      <w:bookmarkStart w:id="247" w:name="_Toc473560904"/>
      <w:bookmarkStart w:id="248" w:name="_Toc524104178"/>
      <w:r>
        <w:rPr>
          <w:rFonts w:ascii="Times New Roman" w:hAnsi="Times New Roman"/>
          <w:sz w:val="24"/>
          <w:u w:val="none"/>
        </w:rPr>
        <w:t>3.2.4.3.</w:t>
      </w:r>
      <w:r w:rsidRPr="00491A6F">
        <w:rPr>
          <w:u w:val="none"/>
        </w:rPr>
        <w:tab/>
      </w:r>
      <w:r>
        <w:rPr>
          <w:rFonts w:ascii="Times New Roman" w:hAnsi="Times New Roman"/>
          <w:sz w:val="24"/>
        </w:rPr>
        <w:t>Catégorie d'exposition «OPC»</w:t>
      </w:r>
      <w:bookmarkEnd w:id="245"/>
      <w:bookmarkEnd w:id="246"/>
      <w:bookmarkEnd w:id="247"/>
      <w:bookmarkEnd w:id="248"/>
    </w:p>
    <w:p w:rsidR="00464F34" w:rsidRPr="00392FFD" w:rsidRDefault="00125707" w:rsidP="00C37B29">
      <w:pPr>
        <w:pStyle w:val="InstructionsText2"/>
        <w:numPr>
          <w:ilvl w:val="0"/>
          <w:numId w:val="0"/>
        </w:numPr>
        <w:ind w:left="993"/>
      </w:pPr>
      <w:r>
        <w:t>73.</w:t>
      </w:r>
      <w:r>
        <w:tab/>
        <w:t xml:space="preserve">Lorsqu'il est fait usage de la possibilité offerte par l'article 132, paragraphe 5, du CRR, les expositions sous la forme de parts ou d'actions d'OPC seront déclarées comme des éléments au bilan conformément à l'article 111, paragraphe 1, première phrase du CRR.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9" w:name="_Toc262568032"/>
      <w:bookmarkStart w:id="250" w:name="_Toc264038430"/>
      <w:bookmarkStart w:id="251" w:name="_Toc292456209"/>
      <w:bookmarkStart w:id="252" w:name="_Toc295829860"/>
      <w:bookmarkStart w:id="253" w:name="_Toc310415024"/>
      <w:bookmarkStart w:id="254" w:name="_Toc360188356"/>
      <w:bookmarkStart w:id="255" w:name="_Toc516210640"/>
      <w:bookmarkStart w:id="256" w:name="_Toc473560905"/>
      <w:bookmarkStart w:id="257" w:name="_Toc524104179"/>
      <w:r>
        <w:rPr>
          <w:rFonts w:ascii="Times New Roman" w:hAnsi="Times New Roman"/>
          <w:sz w:val="24"/>
          <w:u w:val="none"/>
        </w:rPr>
        <w:t>3.2.5.</w:t>
      </w:r>
      <w:r w:rsidRPr="00491A6F">
        <w:rPr>
          <w:u w:val="none"/>
        </w:rPr>
        <w:tab/>
      </w:r>
      <w:r>
        <w:rPr>
          <w:rFonts w:ascii="Times New Roman" w:hAnsi="Times New Roman"/>
          <w:sz w:val="24"/>
        </w:rPr>
        <w:t>Instructions concernant certaines positions</w:t>
      </w:r>
      <w:bookmarkEnd w:id="249"/>
      <w:bookmarkEnd w:id="250"/>
      <w:bookmarkEnd w:id="251"/>
      <w:bookmarkEnd w:id="252"/>
      <w:bookmarkEnd w:id="253"/>
      <w:bookmarkEnd w:id="254"/>
      <w:bookmarkEnd w:id="255"/>
      <w:bookmarkEnd w:id="256"/>
      <w:bookmarkEnd w:id="25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rPr>
          <w:trHeight w:val="581"/>
        </w:trPr>
        <w:tc>
          <w:tcPr>
            <w:tcW w:w="9828" w:type="dxa"/>
            <w:gridSpan w:val="2"/>
            <w:shd w:val="clear" w:color="auto" w:fill="CCCCCC"/>
          </w:tcPr>
          <w:p w:rsidR="00464F34" w:rsidRPr="00392FFD" w:rsidRDefault="00464F34" w:rsidP="00FD239F">
            <w:pPr>
              <w:pStyle w:val="InstructionsText"/>
            </w:pPr>
            <w:r>
              <w:t>Colonne</w:t>
            </w:r>
          </w:p>
        </w:tc>
      </w:tr>
      <w:tr w:rsidR="00464F34" w:rsidRPr="00392FFD" w:rsidTr="00672D2A">
        <w:tc>
          <w:tcPr>
            <w:tcW w:w="1188" w:type="dxa"/>
          </w:tcPr>
          <w:p w:rsidR="00464F34" w:rsidRPr="00392FFD" w:rsidRDefault="00464F34" w:rsidP="00FD239F">
            <w:pPr>
              <w:pStyle w:val="InstructionsText"/>
            </w:pPr>
            <w:r>
              <w:t>010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 INITIALE AVANT APPLICATION DES FACTEURS DE CO</w:t>
            </w:r>
            <w:r>
              <w:rPr>
                <w:rStyle w:val="InstructionsTabelleberschrift"/>
                <w:rFonts w:ascii="Times New Roman" w:hAnsi="Times New Roman"/>
                <w:sz w:val="24"/>
              </w:rPr>
              <w:t>N</w:t>
            </w:r>
            <w:r>
              <w:rPr>
                <w:rStyle w:val="InstructionsTabelleberschrift"/>
                <w:rFonts w:ascii="Times New Roman" w:hAnsi="Times New Roman"/>
                <w:sz w:val="24"/>
              </w:rPr>
              <w:lastRenderedPageBreak/>
              <w:t>VERSION</w:t>
            </w:r>
          </w:p>
          <w:p w:rsidR="00464F34" w:rsidRPr="00392FFD" w:rsidRDefault="00464F34" w:rsidP="00FD239F">
            <w:pPr>
              <w:pStyle w:val="InstructionsText"/>
            </w:pPr>
            <w:r>
              <w:t>Valeur exposée au risque conformément à l'article 111 du CRR compte non tenu des corrections de valeur et des provisions, des facteurs de conversion et de l'effet des techniques d'atténuation du risque de crédit, avec les conditions suivantes découlant de l'article 111, paragraphe 2, du CRR:</w:t>
            </w:r>
          </w:p>
          <w:p w:rsidR="00464F34" w:rsidRPr="00392FFD" w:rsidRDefault="00464F34" w:rsidP="00FD239F">
            <w:pPr>
              <w:pStyle w:val="InstructionsText"/>
            </w:pPr>
            <w:r>
              <w:t>Pour les instruments dérivés, les opérations de pension, les opérations de prêt ou d'e</w:t>
            </w:r>
            <w:r>
              <w:t>m</w:t>
            </w:r>
            <w:r>
              <w:t>prunt de titres ou de matières premières, les opérations à règlement différé et les opér</w:t>
            </w:r>
            <w:r>
              <w:t>a</w:t>
            </w:r>
            <w:r>
              <w:t>tions de prêt avec appel de marge soumises aux dispositions de la troisième partie, titre II, chapitre 6, du CRR ou à l'article 92, paragraphe 3, point f), du CRR, l'expos</w:t>
            </w:r>
            <w:r>
              <w:t>i</w:t>
            </w:r>
            <w:r>
              <w:t>tion initiale correspondra à la valeur exposée au risque de crédit de contrepartie, calc</w:t>
            </w:r>
            <w:r>
              <w:t>u</w:t>
            </w:r>
            <w:r>
              <w:t>lée selon les méthodes énoncées dans la troisième partie, titre II, chapitre 6, sections 3, 4, 5, 6 et 7, du CRR.</w:t>
            </w:r>
          </w:p>
          <w:p w:rsidR="00464F34" w:rsidRPr="00392FFD" w:rsidRDefault="00464F34" w:rsidP="00FD239F">
            <w:pPr>
              <w:pStyle w:val="InstructionsText"/>
            </w:pPr>
            <w:r>
              <w:t>La valeur exposée au risque des contrats de location ou de crédit-bail est régie par l'a</w:t>
            </w:r>
            <w:r>
              <w:t>r</w:t>
            </w:r>
            <w:r>
              <w:t xml:space="preserve">ticle 134, paragraphe 7, du CRR. </w:t>
            </w:r>
          </w:p>
          <w:p w:rsidR="00464F34" w:rsidRPr="00392FFD" w:rsidRDefault="00464F34" w:rsidP="00FD239F">
            <w:pPr>
              <w:pStyle w:val="InstructionsText"/>
            </w:pPr>
          </w:p>
          <w:p w:rsidR="00464F34" w:rsidRPr="00392FFD" w:rsidRDefault="00464F34" w:rsidP="00FD239F">
            <w:pPr>
              <w:pStyle w:val="InstructionsText"/>
            </w:pPr>
            <w:r>
              <w:t>En cas de compensation au bilan, visée à l'article 219 du CRR, les valeurs exposées au risque seront déclarées en fonction des sûretés en espèces reçues.</w:t>
            </w:r>
          </w:p>
          <w:p w:rsidR="00464F34" w:rsidRPr="00392FFD" w:rsidRDefault="00464F34" w:rsidP="00FD239F">
            <w:pPr>
              <w:pStyle w:val="InstructionsText"/>
            </w:pPr>
          </w:p>
          <w:p w:rsidR="00464F34" w:rsidRPr="00392FFD" w:rsidRDefault="00464F34" w:rsidP="00FD239F">
            <w:pPr>
              <w:pStyle w:val="InstructionsText"/>
            </w:pPr>
            <w:r>
              <w:t>Dans le cas d'un accord-cadre de compensation couvrant les opérations de pension et/ou les opérations de prêt ou d'emprunt de titres ou de matières premières et/ou les autres opérations ajustées aux conditions du marché, soumises à la troisième partie, titre II, chapitre 6, du CRR, l'effet de la protection de crédit financée, sous la forme d'accord-cadre de compensation, tel que décrit à l'article 220, paragraphe 4, du CRR, sera inclus dans la colonne 010. Dès lors, en cas d'accord-cadre de compensation co</w:t>
            </w:r>
            <w:r>
              <w:t>u</w:t>
            </w:r>
            <w:r>
              <w:t>vrant les opérations de pension soumises aux dispositions de la troisième partie, titre II, chapitre 6, du CRR, la valeur E*, telle que calculée conformément aux articles 220 et 221 du CRR, sera déclarée dans la colonne 010 du modèle CR SA.</w:t>
            </w:r>
          </w:p>
        </w:tc>
      </w:tr>
      <w:tr w:rsidR="00464F34" w:rsidRPr="00392FFD" w:rsidTr="00672D2A">
        <w:tc>
          <w:tcPr>
            <w:tcW w:w="1188" w:type="dxa"/>
          </w:tcPr>
          <w:p w:rsidR="00464F34" w:rsidRPr="00392FFD" w:rsidRDefault="00464F34" w:rsidP="00FD239F">
            <w:pPr>
              <w:pStyle w:val="InstructionsText"/>
            </w:pPr>
            <w:r>
              <w:lastRenderedPageBreak/>
              <w:t>030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Corrections de valeur et provisions associées à l'exposition initiale</w:t>
            </w:r>
          </w:p>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Articles 24 et 111 du CRR</w:t>
            </w:r>
          </w:p>
          <w:p w:rsidR="00464F34" w:rsidRPr="00392FFD" w:rsidRDefault="00464F34" w:rsidP="00FD239F">
            <w:pPr>
              <w:pStyle w:val="InstructionsText"/>
            </w:pPr>
          </w:p>
          <w:p w:rsidR="00464F34" w:rsidRPr="00392FFD" w:rsidRDefault="00464F34" w:rsidP="00FD239F">
            <w:pPr>
              <w:pStyle w:val="InstructionsText"/>
            </w:pPr>
            <w:r>
              <w:t xml:space="preserve">Corrections de valeur et provisions pour pertes de crédit, conformément au référentiel comptable auquel l'entité déclarante est soumise. </w:t>
            </w:r>
          </w:p>
        </w:tc>
      </w:tr>
      <w:tr w:rsidR="00464F34" w:rsidRPr="00392FFD" w:rsidTr="00672D2A">
        <w:tc>
          <w:tcPr>
            <w:tcW w:w="1188" w:type="dxa"/>
          </w:tcPr>
          <w:p w:rsidR="00464F34" w:rsidRPr="00392FFD" w:rsidRDefault="00464F34" w:rsidP="00FD239F">
            <w:pPr>
              <w:pStyle w:val="InstructionsText"/>
            </w:pPr>
            <w:r>
              <w:t>040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Exposition nette des corrections de valeur et des provisions</w:t>
            </w:r>
          </w:p>
          <w:p w:rsidR="00464F34" w:rsidRPr="00392FFD" w:rsidRDefault="00464F34" w:rsidP="00FD239F">
            <w:pPr>
              <w:pStyle w:val="InstructionsText"/>
            </w:pPr>
            <w:r>
              <w:t>Somme des colonnes 010 et 030.</w:t>
            </w:r>
          </w:p>
        </w:tc>
      </w:tr>
      <w:tr w:rsidR="00464F34" w:rsidRPr="00392FFD" w:rsidTr="00672D2A">
        <w:tc>
          <w:tcPr>
            <w:tcW w:w="1188" w:type="dxa"/>
          </w:tcPr>
          <w:p w:rsidR="00464F34" w:rsidRPr="00392FFD" w:rsidRDefault="00464F34" w:rsidP="00FD239F">
            <w:pPr>
              <w:pStyle w:val="InstructionsText"/>
            </w:pPr>
            <w:r>
              <w:t>050 - 100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TECHNIQUES D'ATTÉNUATION DU RISQUE DE CRÉDIT (ARC) AVEC EFFETS DE SUBSTITUTION SUR L'EXPOSITION</w:t>
            </w:r>
          </w:p>
          <w:p w:rsidR="00464F34" w:rsidRPr="00392FFD" w:rsidRDefault="00464F34" w:rsidP="00FD239F">
            <w:pPr>
              <w:pStyle w:val="InstructionsText"/>
            </w:pPr>
            <w:r>
              <w:t>Techniques d'atténuation du risque de crédit, définies à l'article 4, point 57), du CRR, qui permettent de réduire le risque de crédit d'une ou plusieurs expositions par le biais d'une substitution d'expositions telle que définie ci-après au point intitulé «Substitution de l'exposition due à l'ARC».</w:t>
            </w:r>
          </w:p>
          <w:p w:rsidR="00464F34" w:rsidRPr="00392FFD" w:rsidRDefault="00464F34" w:rsidP="00FD239F">
            <w:pPr>
              <w:pStyle w:val="InstructionsText"/>
            </w:pPr>
            <w:r>
              <w:t>Lorsqu'une sûreté exerce une influence sur la valeur exposée au risque (par ex. lor</w:t>
            </w:r>
            <w:r>
              <w:t>s</w:t>
            </w:r>
            <w:r>
              <w:t>qu'elle est utilisée dans le cadre de techniques d'atténuation du risque de crédit avec e</w:t>
            </w:r>
            <w:r>
              <w:t>f</w:t>
            </w:r>
            <w:r>
              <w:t>fets de substitution sur l'exposition), elle sera plafonnée à la valeur exposée au risque.</w:t>
            </w:r>
          </w:p>
          <w:p w:rsidR="00464F34" w:rsidRPr="00392FFD" w:rsidRDefault="00464F34" w:rsidP="00FD239F">
            <w:pPr>
              <w:pStyle w:val="InstructionsText"/>
            </w:pPr>
            <w:r>
              <w:lastRenderedPageBreak/>
              <w:t>Éléments à déclarer:</w:t>
            </w:r>
          </w:p>
          <w:p w:rsidR="00464F34" w:rsidRPr="00392FFD" w:rsidRDefault="00125707" w:rsidP="00FD239F">
            <w:pPr>
              <w:pStyle w:val="InstructionsText"/>
            </w:pPr>
            <w:r>
              <w:rPr>
                <w:rFonts w:ascii="Arial" w:hAnsi="Arial"/>
              </w:rPr>
              <w:t>-</w:t>
            </w:r>
            <w:r>
              <w:tab/>
              <w:t>sûretés, soumises à la méthode simple fondée sur les sûretés financières;</w:t>
            </w:r>
          </w:p>
          <w:p w:rsidR="00464F34" w:rsidRPr="00392FFD" w:rsidRDefault="00125707" w:rsidP="00FD239F">
            <w:pPr>
              <w:pStyle w:val="InstructionsText"/>
            </w:pPr>
            <w:r>
              <w:rPr>
                <w:rFonts w:ascii="Arial" w:hAnsi="Arial"/>
              </w:rPr>
              <w:t>-</w:t>
            </w:r>
            <w:r>
              <w:tab/>
              <w:t>protection de crédit non financée éligible.</w:t>
            </w:r>
          </w:p>
          <w:p w:rsidR="00464F34" w:rsidRPr="00392FFD" w:rsidRDefault="00464F34" w:rsidP="00FD239F">
            <w:pPr>
              <w:pStyle w:val="InstructionsText"/>
            </w:pPr>
            <w:r>
              <w:t xml:space="preserve">Voir également les instructions du point 4.1.1. </w:t>
            </w:r>
          </w:p>
        </w:tc>
      </w:tr>
      <w:tr w:rsidR="00464F34" w:rsidRPr="00392FFD" w:rsidTr="00672D2A">
        <w:tc>
          <w:tcPr>
            <w:tcW w:w="1188" w:type="dxa"/>
          </w:tcPr>
          <w:p w:rsidR="00464F34" w:rsidRPr="00392FFD" w:rsidRDefault="00464F34" w:rsidP="00FD239F">
            <w:pPr>
              <w:pStyle w:val="InstructionsText"/>
            </w:pPr>
            <w:r>
              <w:lastRenderedPageBreak/>
              <w:t>050 - 060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Protection de crédit non financée: valeurs corrigées (Ga)</w:t>
            </w:r>
          </w:p>
          <w:p w:rsidR="00464F34" w:rsidRPr="00392FFD" w:rsidRDefault="00464F34" w:rsidP="00FD239F">
            <w:pPr>
              <w:pStyle w:val="InstructionsText"/>
            </w:pPr>
            <w:r>
              <w:t>Article 235 du CRR</w:t>
            </w:r>
          </w:p>
          <w:p w:rsidR="00464F34" w:rsidRPr="00392FFD" w:rsidRDefault="00464F34" w:rsidP="00FD239F">
            <w:pPr>
              <w:pStyle w:val="InstructionsText"/>
            </w:pPr>
            <w:r>
              <w:t>L'article 239, paragraphe 3, du CRR définit la valeur corrigée Ga d'une protection de crédit non financée.</w:t>
            </w:r>
          </w:p>
        </w:tc>
      </w:tr>
      <w:tr w:rsidR="00464F34" w:rsidRPr="00392FFD" w:rsidTr="00672D2A">
        <w:tc>
          <w:tcPr>
            <w:tcW w:w="1188" w:type="dxa"/>
          </w:tcPr>
          <w:p w:rsidR="00464F34" w:rsidRPr="00392FFD" w:rsidRDefault="00464F34" w:rsidP="00FD239F">
            <w:pPr>
              <w:pStyle w:val="InstructionsText"/>
            </w:pPr>
            <w:r>
              <w:t>050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Garanties</w:t>
            </w:r>
          </w:p>
          <w:p w:rsidR="00464F34" w:rsidRPr="00392FFD" w:rsidRDefault="00464F34" w:rsidP="00FD239F">
            <w:pPr>
              <w:pStyle w:val="InstructionsText"/>
            </w:pPr>
            <w:r>
              <w:t>Article 203 du CRR</w:t>
            </w:r>
          </w:p>
          <w:p w:rsidR="00464F34" w:rsidRPr="00392FFD" w:rsidRDefault="00464F34" w:rsidP="00FD239F">
            <w:pPr>
              <w:pStyle w:val="InstructionsText"/>
              <w:rPr>
                <w:b/>
                <w:u w:val="single"/>
              </w:rPr>
            </w:pPr>
            <w:r>
              <w:t>Protection de crédit non financée, telle que définie à l'article 4, point 59), du CRR, di</w:t>
            </w:r>
            <w:r>
              <w:t>f</w:t>
            </w:r>
            <w:r>
              <w:t>férente des dérivés de crédit.</w:t>
            </w:r>
          </w:p>
        </w:tc>
      </w:tr>
      <w:tr w:rsidR="00464F34" w:rsidRPr="00392FFD" w:rsidTr="00672D2A">
        <w:tc>
          <w:tcPr>
            <w:tcW w:w="1188" w:type="dxa"/>
          </w:tcPr>
          <w:p w:rsidR="00464F34" w:rsidRPr="00392FFD" w:rsidRDefault="00464F34" w:rsidP="00FD239F">
            <w:pPr>
              <w:pStyle w:val="InstructionsText"/>
            </w:pPr>
            <w:r>
              <w:t>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Dérivés de crédit</w:t>
            </w:r>
          </w:p>
          <w:p w:rsidR="00464F34" w:rsidRPr="00392FFD" w:rsidRDefault="00464F34" w:rsidP="00FD239F">
            <w:pPr>
              <w:pStyle w:val="InstructionsText"/>
              <w:rPr>
                <w:b/>
                <w:u w:val="single"/>
              </w:rPr>
            </w:pPr>
            <w:r>
              <w:t>Article 204 du CRR.</w:t>
            </w:r>
          </w:p>
        </w:tc>
      </w:tr>
      <w:tr w:rsidR="00464F34" w:rsidRPr="00392FFD" w:rsidTr="00672D2A">
        <w:tc>
          <w:tcPr>
            <w:tcW w:w="1188" w:type="dxa"/>
          </w:tcPr>
          <w:p w:rsidR="00464F34" w:rsidRPr="00392FFD" w:rsidRDefault="00464F34" w:rsidP="00FD239F">
            <w:pPr>
              <w:pStyle w:val="InstructionsText"/>
            </w:pPr>
            <w:r>
              <w:t>070 – 080</w:t>
            </w:r>
          </w:p>
          <w:p w:rsidR="00464F34" w:rsidRPr="00392FFD" w:rsidRDefault="00464F34" w:rsidP="00FD239F">
            <w:pPr>
              <w:pStyle w:val="InstructionsText"/>
            </w:pP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Protection de crédit financée</w:t>
            </w:r>
          </w:p>
          <w:p w:rsidR="00464F34" w:rsidRPr="00392FFD" w:rsidRDefault="009C44E7" w:rsidP="00FD239F">
            <w:pPr>
              <w:pStyle w:val="InstructionsText"/>
            </w:pPr>
            <w:r>
              <w:t>Ces colonnes traitent de la protection de crédit financée, conformément à l'article 4, point 58), du CRR et aux articles 196, 197 et 200 du CRR. Les montants n'incluent pas les accords-cadres de compensation (déjà intégrés à l'exposition initiale avant applic</w:t>
            </w:r>
            <w:r>
              <w:t>a</w:t>
            </w:r>
            <w:r>
              <w:t xml:space="preserve">tion des facteurs de conversion). </w:t>
            </w:r>
          </w:p>
          <w:p w:rsidR="00464F34" w:rsidRPr="00392FFD" w:rsidRDefault="00464F34" w:rsidP="00FD239F">
            <w:pPr>
              <w:pStyle w:val="InstructionsText"/>
            </w:pPr>
            <w:r>
              <w:t>Les titres liés à un crédit et les compensations au bilan issues d'accords-cadres de co</w:t>
            </w:r>
            <w:r>
              <w:t>m</w:t>
            </w:r>
            <w:r>
              <w:t>pensation au bilan éligibles conformément aux articles 218 et 219 du CRR sont traités comme des sûretés en espèces.</w:t>
            </w:r>
          </w:p>
        </w:tc>
      </w:tr>
      <w:tr w:rsidR="00464F34" w:rsidRPr="00392FFD" w:rsidTr="00672D2A">
        <w:tc>
          <w:tcPr>
            <w:tcW w:w="1188" w:type="dxa"/>
          </w:tcPr>
          <w:p w:rsidR="00464F34" w:rsidRPr="00392FFD" w:rsidRDefault="00464F34" w:rsidP="00FD239F">
            <w:pPr>
              <w:pStyle w:val="InstructionsText"/>
            </w:pPr>
            <w:r>
              <w:t>070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Sûretés financières: méthode simple</w:t>
            </w:r>
          </w:p>
          <w:p w:rsidR="00464F34" w:rsidRPr="00392FFD" w:rsidRDefault="00464F34" w:rsidP="00FD239F">
            <w:pPr>
              <w:pStyle w:val="InstructionsText"/>
            </w:pPr>
            <w:r>
              <w:t>Article 222, paragraphes 1 à 2, du CRR</w:t>
            </w:r>
          </w:p>
        </w:tc>
      </w:tr>
      <w:tr w:rsidR="00464F34" w:rsidRPr="00392FFD" w:rsidTr="00672D2A">
        <w:tc>
          <w:tcPr>
            <w:tcW w:w="1188" w:type="dxa"/>
          </w:tcPr>
          <w:p w:rsidR="00464F34" w:rsidRPr="00392FFD" w:rsidRDefault="00464F34" w:rsidP="00FD239F">
            <w:pPr>
              <w:pStyle w:val="InstructionsText"/>
            </w:pPr>
            <w:r>
              <w:t>080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formes de protection de crédit financée</w:t>
            </w:r>
          </w:p>
          <w:p w:rsidR="00464F34" w:rsidRPr="00392FFD" w:rsidRDefault="00464F34" w:rsidP="00FD239F">
            <w:pPr>
              <w:pStyle w:val="InstructionsText"/>
            </w:pPr>
            <w:r>
              <w:t>Article 232 du CRR.</w:t>
            </w:r>
          </w:p>
        </w:tc>
      </w:tr>
      <w:tr w:rsidR="00464F34" w:rsidRPr="00392FFD" w:rsidTr="00672D2A">
        <w:tc>
          <w:tcPr>
            <w:tcW w:w="1188" w:type="dxa"/>
          </w:tcPr>
          <w:p w:rsidR="00464F34" w:rsidRPr="00392FFD" w:rsidRDefault="00464F34" w:rsidP="00FD239F">
            <w:pPr>
              <w:pStyle w:val="InstructionsText"/>
            </w:pPr>
            <w:r>
              <w:t>090 - 100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SUBSTITUTION DE L'EXPOSITION DUE À L'ARC</w:t>
            </w:r>
          </w:p>
          <w:p w:rsidR="00464F34" w:rsidRPr="00392FFD" w:rsidRDefault="00464F34" w:rsidP="00FD239F">
            <w:pPr>
              <w:pStyle w:val="InstructionsText"/>
            </w:pPr>
            <w:r>
              <w:t>Article 222, paragraphe 3, article 235, paragraphes 1 à 2, et article 236 du CRR</w:t>
            </w:r>
          </w:p>
          <w:p w:rsidR="00464F34" w:rsidRPr="00392FFD" w:rsidRDefault="00464F34" w:rsidP="00FD239F">
            <w:pPr>
              <w:pStyle w:val="InstructionsText"/>
            </w:pPr>
            <w:r>
              <w:t>Les sorties correspondent à la partie couverte de l'exposition initiale avant application des facteurs de conversion, qui est déduite de la catégorie d'expositions du débiteur puis réaffectée à la catégorie d'expositions du fournisseur de protection. Ce montant s</w:t>
            </w:r>
            <w:r>
              <w:t>e</w:t>
            </w:r>
            <w:r>
              <w:t>ra considéré comme une entrée dans la catégorie d'expositions du fournisseur de pr</w:t>
            </w:r>
            <w:r>
              <w:t>o</w:t>
            </w:r>
            <w:r>
              <w:t>tection.</w:t>
            </w:r>
          </w:p>
          <w:p w:rsidR="00464F34" w:rsidRPr="00392FFD" w:rsidRDefault="00464F34" w:rsidP="00FD239F">
            <w:pPr>
              <w:pStyle w:val="InstructionsText"/>
              <w:rPr>
                <w:b/>
              </w:rPr>
            </w:pPr>
            <w:r>
              <w:t>Les entrées et les sorties au sein de la même catégorie d'exposition seront également déclarées.</w:t>
            </w:r>
          </w:p>
          <w:p w:rsidR="00464F34" w:rsidRPr="00392FFD" w:rsidRDefault="00464F34" w:rsidP="00FD239F">
            <w:pPr>
              <w:pStyle w:val="InstructionsText"/>
            </w:pPr>
            <w:r>
              <w:t>Les expositions découlant d'éventuelles entrées et sorties depuis et vers d'autres m</w:t>
            </w:r>
            <w:r>
              <w:t>o</w:t>
            </w:r>
            <w:r>
              <w:t>dèles seront prises en considération.</w:t>
            </w:r>
          </w:p>
        </w:tc>
      </w:tr>
      <w:tr w:rsidR="00464F34" w:rsidRPr="00392FFD" w:rsidTr="00672D2A">
        <w:tc>
          <w:tcPr>
            <w:tcW w:w="1188" w:type="dxa"/>
          </w:tcPr>
          <w:p w:rsidR="00464F34" w:rsidRPr="00392FFD" w:rsidRDefault="00464F34" w:rsidP="00FD239F">
            <w:pPr>
              <w:pStyle w:val="InstructionsText"/>
            </w:pPr>
            <w:r>
              <w:t>110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 NETTE COMPTE TENU DES EFFETS DE SUBSTITUTION ARC ET AVANT APPLICATION DES FACTEURS DE CONVERSION</w:t>
            </w:r>
          </w:p>
          <w:p w:rsidR="00464F34" w:rsidRPr="00392FFD" w:rsidRDefault="00464F34" w:rsidP="00FD239F">
            <w:pPr>
              <w:pStyle w:val="InstructionsText"/>
            </w:pPr>
            <w:r>
              <w:lastRenderedPageBreak/>
              <w:t>Montant de l'exposition au net des corrections de valeur, compte tenu des entrées et des sorties dues aux TECHNIQUES D'ATTÉNUATION DU RISQUE DE CRÉDIT (ARC) AVEC EFFETS DE SUBSTITUTION SUR L'EXPOSITION.</w:t>
            </w:r>
          </w:p>
        </w:tc>
      </w:tr>
      <w:tr w:rsidR="00464F34" w:rsidRPr="00392FFD" w:rsidTr="00672D2A">
        <w:tc>
          <w:tcPr>
            <w:tcW w:w="1188" w:type="dxa"/>
          </w:tcPr>
          <w:p w:rsidR="00464F34" w:rsidRPr="00392FFD" w:rsidRDefault="00464F34" w:rsidP="00FD239F">
            <w:pPr>
              <w:pStyle w:val="InstructionsText"/>
            </w:pPr>
            <w:r>
              <w:lastRenderedPageBreak/>
              <w:t>120-140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TECHNIQUES D'ATTÉNUATION DU RISQUE DE CRÉDIT MODIFIANT LE MONTANT DE L'EXPOSITION. PROTECTION DE CRÉDIT FINANCÉE. MÉTHODE GÉNÉRALE FONDÉE SUR LES SÛRETÉS FINANCIÈRES</w:t>
            </w:r>
          </w:p>
          <w:p w:rsidR="00464F34" w:rsidRPr="00392FFD" w:rsidRDefault="00464F34" w:rsidP="00FD239F">
            <w:pPr>
              <w:pStyle w:val="InstructionsText"/>
            </w:pPr>
            <w:r>
              <w:t>Articles 223, 224, 225, 226, 227 et 228 du CRR. Les titres liés à un crédit sont égal</w:t>
            </w:r>
            <w:r>
              <w:t>e</w:t>
            </w:r>
            <w:r>
              <w:t>ment inclus (article 218 du CRR).</w:t>
            </w:r>
          </w:p>
          <w:p w:rsidR="00464F34" w:rsidRPr="00392FFD" w:rsidRDefault="00464F34" w:rsidP="00FD239F">
            <w:pPr>
              <w:pStyle w:val="InstructionsText"/>
            </w:pPr>
            <w:r>
              <w:t>Les titres liés à un crédit et les compensations au bilan issues d'accords-cadres de co</w:t>
            </w:r>
            <w:r>
              <w:t>m</w:t>
            </w:r>
            <w:r>
              <w:t>pensation au bilan éligibles conformément aux articles 218 et 219 du CRR sont traités comme des sûretés en espèces.</w:t>
            </w:r>
          </w:p>
          <w:p w:rsidR="00464F34" w:rsidRPr="00392FFD" w:rsidRDefault="00464F34" w:rsidP="00FD239F">
            <w:pPr>
              <w:pStyle w:val="InstructionsText"/>
            </w:pPr>
            <w:r>
              <w:t>L'effet de la garantie de la méthode générale fondée sur les sûretés financières appl</w:t>
            </w:r>
            <w:r>
              <w:t>i</w:t>
            </w:r>
            <w:r>
              <w:t>quée à une exposition qui est garantie par une sûreté financière éligible est calculé co</w:t>
            </w:r>
            <w:r>
              <w:t>n</w:t>
            </w:r>
            <w:r>
              <w:t xml:space="preserve">formément aux articles 223, 224, 225, 226, 227 et 228 du CRR. </w:t>
            </w:r>
          </w:p>
        </w:tc>
      </w:tr>
      <w:tr w:rsidR="00464F34" w:rsidRPr="00392FFD" w:rsidTr="00672D2A">
        <w:tc>
          <w:tcPr>
            <w:tcW w:w="1188" w:type="dxa"/>
          </w:tcPr>
          <w:p w:rsidR="00464F34" w:rsidRPr="00392FFD" w:rsidRDefault="00464F34" w:rsidP="00FD239F">
            <w:pPr>
              <w:pStyle w:val="InstructionsText"/>
            </w:pPr>
            <w:r>
              <w:t>120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Correction de l’exposition pour volatilité</w:t>
            </w:r>
          </w:p>
          <w:p w:rsidR="00464F34" w:rsidRPr="00392FFD" w:rsidRDefault="00464F34" w:rsidP="00FD239F">
            <w:pPr>
              <w:pStyle w:val="InstructionsText"/>
            </w:pPr>
            <w:r>
              <w:t xml:space="preserve">Article 223, paragraphes 2 à 3, du CRR </w:t>
            </w:r>
          </w:p>
          <w:p w:rsidR="00464F34" w:rsidRPr="00392FFD" w:rsidRDefault="00464F34" w:rsidP="00FD239F">
            <w:pPr>
              <w:pStyle w:val="InstructionsText"/>
            </w:pPr>
            <w:r>
              <w:t>Le montant à déclarer est déterminé par l'impact de la correction pour volatilité appo</w:t>
            </w:r>
            <w:r>
              <w:t>r</w:t>
            </w:r>
            <w:r>
              <w:t>tée à l'exposition (Eva-E) = E*He</w:t>
            </w:r>
          </w:p>
        </w:tc>
      </w:tr>
      <w:tr w:rsidR="00464F34" w:rsidRPr="00392FFD" w:rsidTr="00672D2A">
        <w:tc>
          <w:tcPr>
            <w:tcW w:w="1188" w:type="dxa"/>
          </w:tcPr>
          <w:p w:rsidR="00464F34" w:rsidRPr="00392FFD" w:rsidRDefault="00464F34" w:rsidP="00FD239F">
            <w:pPr>
              <w:pStyle w:val="InstructionsText"/>
            </w:pPr>
            <w:r>
              <w:t>130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Sûretés financières: valeur corrigée (</w:t>
            </w:r>
            <w:proofErr w:type="spellStart"/>
            <w:r>
              <w:rPr>
                <w:rStyle w:val="InstructionsTabelleberschrift"/>
                <w:rFonts w:ascii="Times New Roman" w:hAnsi="Times New Roman"/>
                <w:sz w:val="24"/>
              </w:rPr>
              <w:t>Cvam</w:t>
            </w:r>
            <w:proofErr w:type="spellEnd"/>
            <w:r>
              <w:rPr>
                <w:rStyle w:val="InstructionsTabelleberschrift"/>
                <w:rFonts w:ascii="Times New Roman" w:hAnsi="Times New Roman"/>
                <w:sz w:val="24"/>
              </w:rPr>
              <w:t>)</w:t>
            </w:r>
          </w:p>
          <w:p w:rsidR="00464F34" w:rsidRPr="00392FFD" w:rsidRDefault="00464F34" w:rsidP="00FD239F">
            <w:pPr>
              <w:pStyle w:val="InstructionsText"/>
            </w:pPr>
            <w:r>
              <w:t>Article 239, paragraphe 2, du CRR.</w:t>
            </w:r>
          </w:p>
          <w:p w:rsidR="00464F34" w:rsidRPr="00392FFD" w:rsidRDefault="00464F34" w:rsidP="00FD239F">
            <w:pPr>
              <w:pStyle w:val="InstructionsText"/>
            </w:pPr>
            <w:r>
              <w:t>Pour les opérations du portefeuille de négociation, inclut les sûretés financières et les matières premières éligibles en tant qu'expositions du portefeuille de négociation, co</w:t>
            </w:r>
            <w:r>
              <w:t>n</w:t>
            </w:r>
            <w:r>
              <w:t xml:space="preserve">formément à l'article 299, paragraphe 2, points c) à f), du CRR. </w:t>
            </w:r>
          </w:p>
          <w:p w:rsidR="00464F34" w:rsidRPr="00392FFD" w:rsidRDefault="00464F34" w:rsidP="00FD239F">
            <w:pPr>
              <w:pStyle w:val="InstructionsText"/>
            </w:pPr>
            <w:r>
              <w:t xml:space="preserve">Le montant à déclarer correspond à </w:t>
            </w:r>
            <w:proofErr w:type="spellStart"/>
            <w:r>
              <w:t>Cvam</w:t>
            </w:r>
            <w:proofErr w:type="spellEnd"/>
            <w:r>
              <w:t>= C*(1-Hc-Hfx)*(t-t*)/(T-t*). Pour une déf</w:t>
            </w:r>
            <w:r>
              <w:t>i</w:t>
            </w:r>
            <w:r>
              <w:t xml:space="preserve">nition de C, </w:t>
            </w:r>
            <w:proofErr w:type="spellStart"/>
            <w:r>
              <w:t>Hc</w:t>
            </w:r>
            <w:proofErr w:type="spellEnd"/>
            <w:r>
              <w:t xml:space="preserve">, </w:t>
            </w:r>
            <w:proofErr w:type="spellStart"/>
            <w:r>
              <w:t>Hfx</w:t>
            </w:r>
            <w:proofErr w:type="spellEnd"/>
            <w:r>
              <w:t>, t, T et t*, consultez la troisième partie, titre II, chapitre 4, sections 4 et 5, du CRR.</w:t>
            </w:r>
          </w:p>
        </w:tc>
      </w:tr>
      <w:tr w:rsidR="00464F34" w:rsidRPr="00392FFD" w:rsidTr="00672D2A">
        <w:tc>
          <w:tcPr>
            <w:tcW w:w="1188" w:type="dxa"/>
          </w:tcPr>
          <w:p w:rsidR="00464F34" w:rsidRPr="00392FFD" w:rsidRDefault="00464F34" w:rsidP="00FD239F">
            <w:pPr>
              <w:pStyle w:val="InstructionsText"/>
            </w:pPr>
            <w:r>
              <w:t>140</w:t>
            </w:r>
          </w:p>
        </w:tc>
        <w:tc>
          <w:tcPr>
            <w:tcW w:w="8640" w:type="dxa"/>
          </w:tcPr>
          <w:p w:rsidR="00464F34" w:rsidRPr="00392FFD" w:rsidRDefault="008932B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Dont: Ajustements liés à la volatilité et à l'échéance</w:t>
            </w:r>
          </w:p>
          <w:p w:rsidR="00464F34" w:rsidRPr="00392FFD" w:rsidRDefault="00464F34" w:rsidP="00FD239F">
            <w:pPr>
              <w:pStyle w:val="InstructionsText"/>
            </w:pPr>
            <w:r>
              <w:t xml:space="preserve">Article 223, paragraphe 1, et article 239, paragraphe 2, du CRR </w:t>
            </w:r>
          </w:p>
          <w:p w:rsidR="00464F34" w:rsidRPr="00392FFD" w:rsidRDefault="00464F34" w:rsidP="00FD239F">
            <w:pPr>
              <w:pStyle w:val="InstructionsText"/>
            </w:pPr>
            <w:r>
              <w:t>Le montant à déclarer correspond à l'impact conjoint des ajustements liés à la volatilité et à l'échéance, (</w:t>
            </w:r>
            <w:proofErr w:type="spellStart"/>
            <w:r>
              <w:t>Cvam</w:t>
            </w:r>
            <w:proofErr w:type="spellEnd"/>
            <w:r>
              <w:t>-C) = C*[(1-Hc-Hfx)*(t-t*)/(T-t*)-1], où l'impact des ajust</w:t>
            </w:r>
            <w:r>
              <w:t>e</w:t>
            </w:r>
            <w:r>
              <w:t>ments liés à la volatilité est égal à (</w:t>
            </w:r>
            <w:proofErr w:type="spellStart"/>
            <w:r>
              <w:t>Cva</w:t>
            </w:r>
            <w:proofErr w:type="spellEnd"/>
            <w:r>
              <w:t>-C) = C*[(1-Hc-Hfx)-1] et l'impact des ajust</w:t>
            </w:r>
            <w:r>
              <w:t>e</w:t>
            </w:r>
            <w:r>
              <w:t>ments liés à l'échéance est égal à (</w:t>
            </w:r>
            <w:proofErr w:type="spellStart"/>
            <w:r>
              <w:t>Cvam-Cva</w:t>
            </w:r>
            <w:proofErr w:type="spellEnd"/>
            <w:r>
              <w:t>)= C*(1-Hc-Hfx)*[(t-t*)/(T-t*)-1]</w:t>
            </w:r>
          </w:p>
        </w:tc>
      </w:tr>
      <w:tr w:rsidR="00464F34" w:rsidRPr="00392FFD" w:rsidTr="00672D2A">
        <w:tc>
          <w:tcPr>
            <w:tcW w:w="1188" w:type="dxa"/>
          </w:tcPr>
          <w:p w:rsidR="00464F34" w:rsidRPr="00392FFD" w:rsidRDefault="00464F34" w:rsidP="00FD239F">
            <w:pPr>
              <w:pStyle w:val="InstructionsText"/>
            </w:pPr>
            <w:r>
              <w:t>150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Valeur exposée au risque pleinement ajustée (E*)</w:t>
            </w:r>
          </w:p>
          <w:p w:rsidR="00464F34" w:rsidRPr="00392FFD" w:rsidRDefault="00464F34" w:rsidP="00FD239F">
            <w:pPr>
              <w:pStyle w:val="InstructionsText"/>
              <w:rPr>
                <w:b/>
                <w:u w:val="single"/>
              </w:rPr>
            </w:pPr>
            <w:r>
              <w:t>Article 220, paragraphe 4, article 223, paragraphes 2 à 5, et article 228, paragraphe 1, du CRR</w:t>
            </w:r>
          </w:p>
        </w:tc>
      </w:tr>
      <w:tr w:rsidR="00464F34" w:rsidRPr="00392FFD" w:rsidTr="00672D2A">
        <w:tc>
          <w:tcPr>
            <w:tcW w:w="1188" w:type="dxa"/>
          </w:tcPr>
          <w:p w:rsidR="00464F34" w:rsidRPr="00392FFD" w:rsidRDefault="00464F34" w:rsidP="00FD239F">
            <w:pPr>
              <w:pStyle w:val="InstructionsText"/>
            </w:pPr>
            <w:r>
              <w:t>160 - 190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Répartition de la valeur exposée au risque pleinement ajustée des éléments de hors bilan par facteur de conversion</w:t>
            </w:r>
          </w:p>
          <w:p w:rsidR="00464F34" w:rsidRPr="00392FFD" w:rsidRDefault="00464F34" w:rsidP="00FD239F">
            <w:pPr>
              <w:pStyle w:val="InstructionsText"/>
            </w:pPr>
            <w:r>
              <w:t>Article 111, paragraphe 1, et article 4, point 56), du CRR. Voir également l'article 222, paragraphe 3, et l'article 228, paragraphe 1, du CRR.</w:t>
            </w:r>
          </w:p>
          <w:p w:rsidR="000A4C10" w:rsidRPr="00392FFD" w:rsidRDefault="000A4C10" w:rsidP="00FD239F">
            <w:pPr>
              <w:pStyle w:val="InstructionsText"/>
              <w:rPr>
                <w:b/>
                <w:u w:val="single"/>
              </w:rPr>
            </w:pPr>
            <w:r>
              <w:t>Les chiffres déclarés doivent être les valeurs exposées au risque pleinement ajustées avant application du facteur de conversion.</w:t>
            </w:r>
          </w:p>
        </w:tc>
      </w:tr>
      <w:tr w:rsidR="00464F34" w:rsidRPr="00392FFD" w:rsidTr="00672D2A">
        <w:tc>
          <w:tcPr>
            <w:tcW w:w="1188" w:type="dxa"/>
          </w:tcPr>
          <w:p w:rsidR="00464F34" w:rsidRPr="00392FFD" w:rsidRDefault="00464F34" w:rsidP="00FD239F">
            <w:pPr>
              <w:pStyle w:val="InstructionsText"/>
            </w:pPr>
            <w:r>
              <w:lastRenderedPageBreak/>
              <w:t>200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Valeur exposée au risque</w:t>
            </w:r>
          </w:p>
          <w:p w:rsidR="00464F34" w:rsidRPr="00392FFD" w:rsidRDefault="00531FC9" w:rsidP="00FD239F">
            <w:pPr>
              <w:pStyle w:val="InstructionsText"/>
            </w:pPr>
            <w:r>
              <w:t>Article 111 et troisième partie, titre II, chapitre 4, section 4 du CRR.</w:t>
            </w:r>
          </w:p>
          <w:p w:rsidR="00464F34" w:rsidRPr="00392FFD" w:rsidRDefault="00464F34" w:rsidP="00FD239F">
            <w:pPr>
              <w:pStyle w:val="InstructionsText"/>
            </w:pPr>
            <w:r>
              <w:t>Valeur exposée au risque compte tenu des corrections de valeur, de toutes les mesures d'atténuation du risque de crédit et des facteurs de conversion qui doit être affectée à des pondérations de risque, conformément à l'article 113 et à la troisième partie, titre II, chapitre 2, section 2, du CRR.</w:t>
            </w:r>
          </w:p>
        </w:tc>
      </w:tr>
      <w:tr w:rsidR="00464F34" w:rsidRPr="00392FFD" w:rsidTr="00672D2A">
        <w:tc>
          <w:tcPr>
            <w:tcW w:w="1188" w:type="dxa"/>
          </w:tcPr>
          <w:p w:rsidR="00464F34" w:rsidRPr="00392FFD" w:rsidRDefault="00464F34" w:rsidP="00FD239F">
            <w:pPr>
              <w:pStyle w:val="InstructionsText"/>
            </w:pPr>
            <w:r>
              <w:t>210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résultant du risque de crédit de contrepartie</w:t>
            </w:r>
          </w:p>
          <w:p w:rsidR="00464F34" w:rsidRPr="00392FFD" w:rsidRDefault="00464F34" w:rsidP="00FD239F">
            <w:pPr>
              <w:pStyle w:val="InstructionsText"/>
              <w:rPr>
                <w:b/>
                <w:u w:val="single"/>
              </w:rPr>
            </w:pPr>
            <w:r>
              <w:t>Pour les instruments dérivés, les opérations de pension, les opérations de prêt ou d'e</w:t>
            </w:r>
            <w:r>
              <w:t>m</w:t>
            </w:r>
            <w:r>
              <w:t>prunt de titres ou de matières premières, les opérations à règlement différé et les opér</w:t>
            </w:r>
            <w:r>
              <w:t>a</w:t>
            </w:r>
            <w:r>
              <w:t>tions de prêt avec appel de marge, soumises aux dispositions de la troisième partie, titre II, chapitre 6 du CRR, il s'agit de la valeur exposée au risque de crédit de contr</w:t>
            </w:r>
            <w:r>
              <w:t>e</w:t>
            </w:r>
            <w:r>
              <w:t>partie, calculée selon les méthodes énoncées dans la troisième partie, titre II, chapitre 6, sections 2, 3, 4 et 5 du CRR.</w:t>
            </w:r>
          </w:p>
        </w:tc>
      </w:tr>
      <w:tr w:rsidR="00464F34" w:rsidRPr="00392FFD" w:rsidTr="00672D2A">
        <w:tc>
          <w:tcPr>
            <w:tcW w:w="1188" w:type="dxa"/>
          </w:tcPr>
          <w:p w:rsidR="00464F34" w:rsidRPr="00392FFD" w:rsidRDefault="00464F34" w:rsidP="00FD239F">
            <w:pPr>
              <w:pStyle w:val="InstructionsText"/>
            </w:pPr>
            <w:r>
              <w:t>215</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d’exposition pondéré avant application du facteur supplétif en faveur des PME</w:t>
            </w:r>
          </w:p>
          <w:p w:rsidR="00464F34" w:rsidRPr="00392FFD" w:rsidRDefault="00464F34" w:rsidP="00FD239F">
            <w:pPr>
              <w:pStyle w:val="InstructionsText"/>
              <w:rPr>
                <w:b/>
                <w:u w:val="single"/>
              </w:rPr>
            </w:pPr>
            <w:r>
              <w:t>Article 113, paragraphes 1 à 5, du CRR, compte non tenu du facteur supplétif pour les PME, conformément à l'article 501 du CRR.</w:t>
            </w:r>
          </w:p>
        </w:tc>
      </w:tr>
      <w:tr w:rsidR="00464F34" w:rsidRPr="00392FFD" w:rsidTr="00672D2A">
        <w:tc>
          <w:tcPr>
            <w:tcW w:w="1188" w:type="dxa"/>
          </w:tcPr>
          <w:p w:rsidR="00464F34" w:rsidRPr="00392FFD" w:rsidRDefault="00464F34" w:rsidP="00FD239F">
            <w:pPr>
              <w:pStyle w:val="InstructionsText"/>
            </w:pPr>
            <w:r>
              <w:t>220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d’exposition pondéré après application du facteur supplétif en faveur des PME</w:t>
            </w:r>
          </w:p>
          <w:p w:rsidR="00464F34" w:rsidRPr="00392FFD" w:rsidRDefault="00464F34" w:rsidP="00FD239F">
            <w:pPr>
              <w:pStyle w:val="InstructionsText"/>
              <w:rPr>
                <w:b/>
                <w:u w:val="single"/>
              </w:rPr>
            </w:pPr>
            <w:r>
              <w:t>Article 113, paragraphes 1 à 5, du CRR, compte tenu du facteur supplétif pour les PME, conformément à l'article 500 du CRR.</w:t>
            </w:r>
          </w:p>
        </w:tc>
      </w:tr>
      <w:tr w:rsidR="00464F34" w:rsidRPr="00392FFD" w:rsidTr="00672D2A">
        <w:tc>
          <w:tcPr>
            <w:tcW w:w="1188" w:type="dxa"/>
            <w:shd w:val="clear" w:color="auto" w:fill="auto"/>
          </w:tcPr>
          <w:p w:rsidR="00464F34" w:rsidRPr="00392FFD" w:rsidRDefault="00464F34" w:rsidP="00FD239F">
            <w:pPr>
              <w:pStyle w:val="InstructionsText"/>
            </w:pPr>
            <w:r>
              <w:t>230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avec évaluation de crédit établie par un OEEC désigné</w:t>
            </w:r>
          </w:p>
          <w:p w:rsidR="003812AC" w:rsidRPr="00392FFD" w:rsidRDefault="003812AC" w:rsidP="00FD239F">
            <w:pPr>
              <w:pStyle w:val="InstructionsText"/>
            </w:pPr>
            <w:r>
              <w:t>Article 112; points a) à d), f), g), l), n), o) et q), du CRR</w:t>
            </w:r>
          </w:p>
        </w:tc>
      </w:tr>
      <w:tr w:rsidR="00464F34" w:rsidRPr="00392FFD" w:rsidTr="00672D2A">
        <w:tc>
          <w:tcPr>
            <w:tcW w:w="1188" w:type="dxa"/>
            <w:shd w:val="clear" w:color="auto" w:fill="auto"/>
          </w:tcPr>
          <w:p w:rsidR="00464F34" w:rsidRPr="00392FFD" w:rsidRDefault="00464F34" w:rsidP="00FD239F">
            <w:pPr>
              <w:pStyle w:val="InstructionsText"/>
            </w:pPr>
            <w:r>
              <w:t>240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avec évaluation de crédit découlant d'une administration centrale</w:t>
            </w:r>
          </w:p>
          <w:p w:rsidR="003812AC" w:rsidRPr="00392FFD" w:rsidRDefault="003812AC" w:rsidP="00FD239F">
            <w:pPr>
              <w:pStyle w:val="InstructionsText"/>
            </w:pPr>
            <w:r>
              <w:t>Article 112; points b) à d), f), g), l), et o), du CRR</w:t>
            </w:r>
          </w:p>
        </w:tc>
      </w:tr>
    </w:tbl>
    <w:p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rsidTr="00672D2A">
        <w:tc>
          <w:tcPr>
            <w:tcW w:w="1188" w:type="dxa"/>
            <w:shd w:val="clear" w:color="auto" w:fill="CCCCCC"/>
          </w:tcPr>
          <w:p w:rsidR="00464F34" w:rsidRPr="00392FFD" w:rsidRDefault="007106FB" w:rsidP="00FD239F">
            <w:pPr>
              <w:pStyle w:val="InstructionsText"/>
            </w:pPr>
            <w:r>
              <w:t>Ligne</w:t>
            </w:r>
          </w:p>
        </w:tc>
        <w:tc>
          <w:tcPr>
            <w:tcW w:w="8701" w:type="dxa"/>
            <w:shd w:val="clear" w:color="auto" w:fill="CCCCCC"/>
          </w:tcPr>
          <w:p w:rsidR="00464F34" w:rsidRPr="00392FFD" w:rsidRDefault="00464F34" w:rsidP="00FD239F">
            <w:pPr>
              <w:pStyle w:val="InstructionsText"/>
            </w:pPr>
            <w:r>
              <w:t>Instructions</w:t>
            </w:r>
          </w:p>
        </w:tc>
      </w:tr>
      <w:tr w:rsidR="00464F34" w:rsidRPr="00392FFD" w:rsidTr="00672D2A">
        <w:tc>
          <w:tcPr>
            <w:tcW w:w="1188" w:type="dxa"/>
          </w:tcPr>
          <w:p w:rsidR="00464F34" w:rsidRPr="00392FFD" w:rsidRDefault="00464F34" w:rsidP="00FD239F">
            <w:pPr>
              <w:pStyle w:val="InstructionsText"/>
            </w:pPr>
            <w:r>
              <w:t>010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Total des expositions</w:t>
            </w:r>
          </w:p>
        </w:tc>
      </w:tr>
      <w:tr w:rsidR="00610B56" w:rsidRPr="00392FFD" w:rsidTr="00672D2A">
        <w:tc>
          <w:tcPr>
            <w:tcW w:w="1188" w:type="dxa"/>
          </w:tcPr>
          <w:p w:rsidR="00610B56" w:rsidRPr="00392FFD" w:rsidRDefault="00610B56" w:rsidP="00FD239F">
            <w:pPr>
              <w:pStyle w:val="InstructionsText"/>
            </w:pPr>
            <w:r>
              <w:t>015</w:t>
            </w:r>
          </w:p>
        </w:tc>
        <w:tc>
          <w:tcPr>
            <w:tcW w:w="8701" w:type="dxa"/>
          </w:tcPr>
          <w:p w:rsidR="00610B56" w:rsidRPr="00392FFD" w:rsidRDefault="00610B5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Expositions en défaut</w:t>
            </w:r>
          </w:p>
          <w:p w:rsidR="00610B56" w:rsidRPr="00392FFD" w:rsidRDefault="00610B56" w:rsidP="00FD239F">
            <w:pPr>
              <w:pStyle w:val="InstructionsText"/>
            </w:pPr>
            <w:r>
              <w:t>Article 127 du CRR</w:t>
            </w:r>
          </w:p>
          <w:p w:rsidR="00610B56" w:rsidRPr="00392FFD" w:rsidRDefault="00610B56" w:rsidP="00FD239F">
            <w:pPr>
              <w:pStyle w:val="InstructionsText"/>
            </w:pPr>
            <w:r>
              <w:t>Cette ligne n'est à déclarer que pour les catégories d'expositions «éléments présentant un risque particulièrement élevé» et «expositions sous forme d'actions».</w:t>
            </w:r>
          </w:p>
          <w:p w:rsidR="00761891" w:rsidRPr="00392FFD" w:rsidRDefault="00761891" w:rsidP="00A04CFA">
            <w:pPr>
              <w:pStyle w:val="InstructionsText"/>
            </w:pPr>
            <w:r>
              <w:t>Lorsqu'une exposition est soit visée à l'article 128, paragraphe 2, du CRR, soit répond aux critères définis à l'article 128, paragraphe 3, ou à l'article 133 du CRR, elle est cla</w:t>
            </w:r>
            <w:r>
              <w:t>s</w:t>
            </w:r>
            <w:r>
              <w:t>sée dans la catégorie d'expositions «éléments présentant un risque particulièrement él</w:t>
            </w:r>
            <w:r>
              <w:t>e</w:t>
            </w:r>
            <w:r>
              <w:t>vé» ou «expositions sous forme d'actions». Par conséquent, il ne doit pas y avoir d'autre affectation, même s'il s'agit d'une exposition en défaut conformément à l'article 127 du CRR.</w:t>
            </w:r>
          </w:p>
        </w:tc>
      </w:tr>
      <w:tr w:rsidR="00464F34" w:rsidRPr="00392FFD" w:rsidTr="00672D2A">
        <w:tc>
          <w:tcPr>
            <w:tcW w:w="1188" w:type="dxa"/>
            <w:shd w:val="clear" w:color="auto" w:fill="auto"/>
          </w:tcPr>
          <w:p w:rsidR="00464F34" w:rsidRPr="00392FFD" w:rsidRDefault="00462BAB" w:rsidP="00FD239F">
            <w:pPr>
              <w:pStyle w:val="InstructionsText"/>
            </w:pPr>
            <w:r>
              <w:t>020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PME</w:t>
            </w:r>
          </w:p>
          <w:p w:rsidR="00464F34" w:rsidRPr="00392FFD" w:rsidRDefault="00464F34" w:rsidP="00FD239F">
            <w:pPr>
              <w:pStyle w:val="InstructionsText"/>
            </w:pPr>
            <w:r>
              <w:t xml:space="preserve">Toutes les expositions sur les PME seront déclarées ici. </w:t>
            </w:r>
          </w:p>
        </w:tc>
      </w:tr>
      <w:tr w:rsidR="00464F34" w:rsidRPr="00392FFD" w:rsidTr="00672D2A">
        <w:tc>
          <w:tcPr>
            <w:tcW w:w="1188" w:type="dxa"/>
            <w:shd w:val="clear" w:color="auto" w:fill="auto"/>
          </w:tcPr>
          <w:p w:rsidR="00464F34" w:rsidRPr="00392FFD" w:rsidRDefault="00462BAB" w:rsidP="00FD239F">
            <w:pPr>
              <w:pStyle w:val="InstructionsText"/>
            </w:pPr>
            <w:r>
              <w:lastRenderedPageBreak/>
              <w:t>030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Expositions soumises à l'application du facteur supplétif en faveur des PME</w:t>
            </w:r>
          </w:p>
          <w:p w:rsidR="00464F34" w:rsidRPr="00392FFD" w:rsidRDefault="00464F34" w:rsidP="00FD239F">
            <w:pPr>
              <w:pStyle w:val="InstructionsText"/>
            </w:pPr>
            <w:r>
              <w:t>Seules les expositions qui satisfont aux exigences de l'article 501 du CRR seront décl</w:t>
            </w:r>
            <w:r>
              <w:t>a</w:t>
            </w:r>
            <w:r>
              <w:t xml:space="preserve">rées ici. </w:t>
            </w:r>
          </w:p>
        </w:tc>
      </w:tr>
      <w:tr w:rsidR="00464F34" w:rsidRPr="00392FFD" w:rsidTr="00672D2A">
        <w:tc>
          <w:tcPr>
            <w:tcW w:w="1188" w:type="dxa"/>
            <w:shd w:val="clear" w:color="auto" w:fill="auto"/>
          </w:tcPr>
          <w:p w:rsidR="00464F34" w:rsidRPr="00392FFD" w:rsidRDefault="00462BAB" w:rsidP="00FD239F">
            <w:pPr>
              <w:pStyle w:val="InstructionsText"/>
            </w:pPr>
            <w:r>
              <w:t>040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Expositions garanties par une hypothèque sur un bien immobilier - Bien immobilier résidentiel</w:t>
            </w:r>
          </w:p>
          <w:p w:rsidR="00464F34" w:rsidRPr="00392FFD" w:rsidRDefault="00464F34" w:rsidP="00FD239F">
            <w:pPr>
              <w:pStyle w:val="InstructionsText"/>
            </w:pPr>
            <w:r>
              <w:t>Article 125 du CRR.</w:t>
            </w:r>
          </w:p>
          <w:p w:rsidR="00464F34" w:rsidRPr="00392FFD" w:rsidRDefault="00464F34" w:rsidP="00FD239F">
            <w:pPr>
              <w:pStyle w:val="InstructionsText"/>
              <w:rPr>
                <w:b/>
                <w:u w:val="single"/>
              </w:rPr>
            </w:pPr>
            <w:r>
              <w:t>Uniquement dans la catégorie d'exposition «garanties par des hypothèques sur des biens immobiliers».</w:t>
            </w:r>
          </w:p>
        </w:tc>
      </w:tr>
      <w:tr w:rsidR="00464F34" w:rsidRPr="00392FFD" w:rsidTr="00672D2A">
        <w:tc>
          <w:tcPr>
            <w:tcW w:w="1188" w:type="dxa"/>
            <w:shd w:val="clear" w:color="auto" w:fill="auto"/>
          </w:tcPr>
          <w:p w:rsidR="00464F34" w:rsidRPr="00392FFD" w:rsidRDefault="00462BAB" w:rsidP="00FD239F">
            <w:pPr>
              <w:pStyle w:val="InstructionsText"/>
            </w:pPr>
            <w:r>
              <w:t>050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Expositions dans le cadre de l'utilisation partielle permanente de l'approche standard</w:t>
            </w:r>
          </w:p>
          <w:p w:rsidR="00464F34" w:rsidRPr="00392FFD" w:rsidRDefault="00464F34" w:rsidP="00255BA9">
            <w:pPr>
              <w:pStyle w:val="InstructionsText"/>
            </w:pPr>
            <w:r>
              <w:t>Expositions traitées conformément à l'article 150, paragraphe 1, du CRR.</w:t>
            </w:r>
          </w:p>
        </w:tc>
      </w:tr>
      <w:tr w:rsidR="00464F34" w:rsidRPr="00392FFD" w:rsidTr="00672D2A">
        <w:tc>
          <w:tcPr>
            <w:tcW w:w="1188" w:type="dxa"/>
            <w:shd w:val="clear" w:color="auto" w:fill="auto"/>
          </w:tcPr>
          <w:p w:rsidR="00464F34" w:rsidRPr="00392FFD" w:rsidRDefault="00462BAB" w:rsidP="00FD239F">
            <w:pPr>
              <w:pStyle w:val="InstructionsText"/>
            </w:pPr>
            <w:r>
              <w:t>060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Expositions en approche standard avec autorisation prudentielle préalable de réaliser une mise en œuvre NI séquentielle</w:t>
            </w:r>
          </w:p>
          <w:p w:rsidR="00464F34" w:rsidRPr="00392FFD" w:rsidRDefault="00464F34" w:rsidP="00255BA9">
            <w:pPr>
              <w:pStyle w:val="InstructionsText"/>
            </w:pPr>
            <w:r>
              <w:t>Expositions traitées conformément à l'article 148, paragraphe 1, du CRR.</w:t>
            </w:r>
          </w:p>
        </w:tc>
      </w:tr>
      <w:tr w:rsidR="00464F34" w:rsidRPr="00392FFD" w:rsidTr="00672D2A">
        <w:tc>
          <w:tcPr>
            <w:tcW w:w="1188" w:type="dxa"/>
          </w:tcPr>
          <w:p w:rsidR="00464F34" w:rsidRPr="00392FFD" w:rsidRDefault="00462BAB" w:rsidP="00FD239F">
            <w:pPr>
              <w:pStyle w:val="InstructionsText"/>
            </w:pPr>
            <w:r>
              <w:t>070-130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RÉPARTITION DU TOTAL DES EXPOSITIONS PAR TYPE D'EXPOSITION</w:t>
            </w:r>
          </w:p>
          <w:p w:rsidR="00464F34" w:rsidRPr="00392FFD" w:rsidRDefault="00464F34" w:rsidP="00FD239F">
            <w:pPr>
              <w:pStyle w:val="InstructionsText"/>
            </w:pPr>
            <w:r>
              <w:t>Les positions du portefeuille d'intermédiation bancaire de l'établissement déclarant s</w:t>
            </w:r>
            <w:r>
              <w:t>e</w:t>
            </w:r>
            <w:r>
              <w:t>ront ventilées en fonction des critères ci-dessous, entre expositions au bilan soumises au risque de crédit, expositions hors bilan soumises au risque de crédit et expositions so</w:t>
            </w:r>
            <w:r>
              <w:t>u</w:t>
            </w:r>
            <w:r>
              <w:t xml:space="preserve">mises au risque de crédit de contrepartie. </w:t>
            </w:r>
          </w:p>
          <w:p w:rsidR="00464F34" w:rsidRPr="00392FFD" w:rsidRDefault="00464F34" w:rsidP="00FD239F">
            <w:pPr>
              <w:pStyle w:val="InstructionsText"/>
            </w:pPr>
            <w:r>
              <w:t>Les positions soumises au risque de crédit de contrepartie du portefeuille de négociation de l'établissement déclarant, conformément à l'article 92, paragraphe 3, point f), et à l'article 299, paragraphe 2, du CRR, sont affectées aux expositions soumises au risque de crédit de contrepartie. Les établissements qui appliquent l'article 94, paragraphe 1, du CRR ventilent également leurs positions du portefeuille de négociation en fonction des critères ci-dessous, entre expositions au bilan soumises au risque de crédit, expos</w:t>
            </w:r>
            <w:r>
              <w:t>i</w:t>
            </w:r>
            <w:r>
              <w:t>tions hors bilan soumises au risque de crédit et expositions soumises au risque de crédit de contrepartie.</w:t>
            </w:r>
          </w:p>
        </w:tc>
      </w:tr>
      <w:tr w:rsidR="00464F34" w:rsidRPr="00392FFD" w:rsidTr="00672D2A">
        <w:tc>
          <w:tcPr>
            <w:tcW w:w="1188" w:type="dxa"/>
          </w:tcPr>
          <w:p w:rsidR="00464F34" w:rsidRPr="00392FFD" w:rsidRDefault="00462BAB" w:rsidP="00FD239F">
            <w:pPr>
              <w:pStyle w:val="InstructionsText"/>
            </w:pPr>
            <w:r>
              <w:t>070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Expositions au bilan soumises au risque de crédit </w:t>
            </w:r>
          </w:p>
          <w:p w:rsidR="00464F34" w:rsidRPr="00392FFD" w:rsidRDefault="00464F34" w:rsidP="00FD239F">
            <w:pPr>
              <w:pStyle w:val="InstructionsText"/>
            </w:pPr>
            <w:r>
              <w:t>Les actifs visés à l'article 24 du CRR non inclus dans une autre catégorie.</w:t>
            </w:r>
          </w:p>
          <w:p w:rsidR="00464F34" w:rsidRPr="00392FFD" w:rsidRDefault="00464F34" w:rsidP="00FD239F">
            <w:pPr>
              <w:pStyle w:val="InstructionsText"/>
            </w:pPr>
            <w:r>
              <w:t>Les expositions qui sont des éléments au bilan et sont comptabilisées comme des opér</w:t>
            </w:r>
            <w:r>
              <w:t>a</w:t>
            </w:r>
            <w:r>
              <w:t xml:space="preserve">tions de financement sur titres, des dérivés et opérations à règlement différé, ou qui sont issues d'une convention de compensation </w:t>
            </w:r>
            <w:proofErr w:type="spellStart"/>
            <w:r>
              <w:t>multiproduits</w:t>
            </w:r>
            <w:proofErr w:type="spellEnd"/>
            <w:r>
              <w:t>, seront déclarées aux lignes 090, 110 et 130 et ne figureront par conséquent pas dans cette ligne.</w:t>
            </w:r>
          </w:p>
          <w:p w:rsidR="00464F34" w:rsidRPr="00392FFD" w:rsidRDefault="00464F34" w:rsidP="00FD239F">
            <w:pPr>
              <w:pStyle w:val="InstructionsText"/>
            </w:pPr>
            <w:r>
              <w:t>Les positions de négociation non dénouées, conformément à l'article 379, paragraphe 1, du CRR (lorsqu'elles ne sont pas déduites) ne constituent pas un élément au bilan, mais devront néanmoins être déclarées dans cette ligne.</w:t>
            </w:r>
          </w:p>
          <w:p w:rsidR="00464F34" w:rsidRPr="00392FFD" w:rsidRDefault="00464F34" w:rsidP="00FD239F">
            <w:pPr>
              <w:pStyle w:val="InstructionsText"/>
              <w:rPr>
                <w:b/>
                <w:u w:val="single"/>
              </w:rPr>
            </w:pPr>
            <w:r>
              <w:t xml:space="preserve">Les expositions issues d'actifs donnés à une CCP conformément à l'article 4, point 90), du CRR ainsi que les expositions aux fonds de défaillance au sens de l'article 4, point 89), du CRR seront incluses lorsqu'elles n'ont pas été déclarées à la ligne 030. </w:t>
            </w:r>
          </w:p>
        </w:tc>
      </w:tr>
      <w:tr w:rsidR="00464F34" w:rsidRPr="00392FFD" w:rsidTr="00672D2A">
        <w:tc>
          <w:tcPr>
            <w:tcW w:w="1188" w:type="dxa"/>
          </w:tcPr>
          <w:p w:rsidR="00464F34" w:rsidRPr="00392FFD" w:rsidRDefault="00462BAB" w:rsidP="00FD239F">
            <w:pPr>
              <w:pStyle w:val="InstructionsText"/>
            </w:pPr>
            <w:r>
              <w:t>080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hors bilan soumises au risque de crédit</w:t>
            </w:r>
          </w:p>
          <w:p w:rsidR="00464F34" w:rsidRPr="00392FFD" w:rsidRDefault="00464F34" w:rsidP="00FD239F">
            <w:pPr>
              <w:pStyle w:val="InstructionsText"/>
            </w:pPr>
            <w:r>
              <w:t>Les positions hors bilan comprennent les éléments figurant sur la liste de l'annexe I du CRR.</w:t>
            </w:r>
          </w:p>
          <w:p w:rsidR="00464F34" w:rsidRPr="00392FFD" w:rsidRDefault="00464F34" w:rsidP="00FD239F">
            <w:pPr>
              <w:pStyle w:val="InstructionsText"/>
            </w:pPr>
            <w:r>
              <w:lastRenderedPageBreak/>
              <w:t>Les expositions qui sont des éléments hors bilan et sont comptabilisées comme des op</w:t>
            </w:r>
            <w:r>
              <w:t>é</w:t>
            </w:r>
            <w:r>
              <w:t xml:space="preserve">rations de financement sur titres, des dérivés et opérations à règlement différé ou issues d'une convention de compensation </w:t>
            </w:r>
            <w:proofErr w:type="spellStart"/>
            <w:r>
              <w:t>multiproduits</w:t>
            </w:r>
            <w:proofErr w:type="spellEnd"/>
            <w:r>
              <w:t>, seront déclarées aux lignes 040, 060 et ne figureront par conséquent pas dans cette ligne.</w:t>
            </w:r>
          </w:p>
          <w:p w:rsidR="00464F34" w:rsidRPr="00392FFD" w:rsidRDefault="00464F34" w:rsidP="00FD239F">
            <w:pPr>
              <w:pStyle w:val="InstructionsText"/>
              <w:rPr>
                <w:b/>
                <w:u w:val="single"/>
              </w:rPr>
            </w:pPr>
            <w:r>
              <w:t>Les expositions issues d'actifs donnés à une CCP conformément à l'article 4, point 90), du CRR ainsi que les expositions aux fonds de défaillance au sens de l'article 4, point 89, du CRR seront incluses dès lors qu'elles sont considérées comme des éléments hors bilan.</w:t>
            </w:r>
          </w:p>
        </w:tc>
      </w:tr>
      <w:tr w:rsidR="003C3168" w:rsidRPr="00392FFD" w:rsidTr="00672D2A">
        <w:tc>
          <w:tcPr>
            <w:tcW w:w="1188"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lastRenderedPageBreak/>
              <w:t>090-130</w:t>
            </w:r>
          </w:p>
        </w:tc>
        <w:tc>
          <w:tcPr>
            <w:tcW w:w="8701"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rPr>
                <w:rStyle w:val="InstructionsTabelleberschrift"/>
                <w:rFonts w:ascii="Times New Roman" w:hAnsi="Times New Roman"/>
                <w:sz w:val="24"/>
              </w:rPr>
              <w:t>Expositions/Opérations soumises au risque de crédit de contrepartie</w:t>
            </w:r>
          </w:p>
        </w:tc>
      </w:tr>
      <w:tr w:rsidR="00464F34" w:rsidRPr="00392FFD" w:rsidTr="00672D2A">
        <w:tc>
          <w:tcPr>
            <w:tcW w:w="1188" w:type="dxa"/>
          </w:tcPr>
          <w:p w:rsidR="00464F34" w:rsidRPr="00392FFD" w:rsidRDefault="00462BAB" w:rsidP="00FD239F">
            <w:pPr>
              <w:pStyle w:val="InstructionsText"/>
            </w:pPr>
            <w:r>
              <w:t>090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 xml:space="preserve">Opérations de financement sur titres </w:t>
            </w:r>
          </w:p>
          <w:p w:rsidR="00464F34" w:rsidRPr="00392FFD" w:rsidRDefault="00464F34" w:rsidP="00FD239F">
            <w:pPr>
              <w:pStyle w:val="InstructionsText"/>
            </w:pPr>
            <w:r>
              <w:t>Les opérations de financement sur titres, telles que définies au paragraphe 17 du doc</w:t>
            </w:r>
            <w:r>
              <w:t>u</w:t>
            </w:r>
            <w:r>
              <w:t xml:space="preserve">ment du comité de Bâle intitulé «The Application of Basel II to Trading </w:t>
            </w:r>
            <w:proofErr w:type="spellStart"/>
            <w:r>
              <w:t>Activities</w:t>
            </w:r>
            <w:proofErr w:type="spellEnd"/>
            <w:r>
              <w:t xml:space="preserve"> and the </w:t>
            </w:r>
            <w:proofErr w:type="spellStart"/>
            <w:r>
              <w:t>Treatment</w:t>
            </w:r>
            <w:proofErr w:type="spellEnd"/>
            <w:r>
              <w:t xml:space="preserve"> of Double Default </w:t>
            </w:r>
            <w:proofErr w:type="spellStart"/>
            <w:r>
              <w:t>Effects</w:t>
            </w:r>
            <w:proofErr w:type="spellEnd"/>
            <w:r>
              <w:t>» (Application de Bâle II aux activités de nég</w:t>
            </w:r>
            <w:r>
              <w:t>o</w:t>
            </w:r>
            <w:r>
              <w:t>ciation et au traitement des effets de double défaut), se composent des transactions su</w:t>
            </w:r>
            <w:r>
              <w:t>i</w:t>
            </w:r>
            <w:r>
              <w:t>vantes: (i) les accords de mise en pension et de prise en pension définis à l'article 4, point 82), du CRR, ainsi que les opérations de prêt ou d'emprunt de titres ou de matières premières; (ii) les opérations de prêt avec appel de marge telles que définies à l'a</w:t>
            </w:r>
            <w:r>
              <w:t>r</w:t>
            </w:r>
            <w:r>
              <w:t>ticle 272, point 3), du CRR.</w:t>
            </w:r>
          </w:p>
        </w:tc>
      </w:tr>
      <w:tr w:rsidR="00464F34" w:rsidRPr="00392FFD" w:rsidTr="00672D2A">
        <w:tc>
          <w:tcPr>
            <w:tcW w:w="1188" w:type="dxa"/>
          </w:tcPr>
          <w:p w:rsidR="00464F34" w:rsidRPr="00392FFD" w:rsidRDefault="00462BAB" w:rsidP="00FD239F">
            <w:pPr>
              <w:pStyle w:val="InstructionsText"/>
            </w:pPr>
            <w:r>
              <w:t>100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faisant l'objet d'une compensation centrale par l'intermédiaire d'une QCCP</w:t>
            </w:r>
          </w:p>
          <w:p w:rsidR="00464F34" w:rsidRPr="00392FFD" w:rsidRDefault="00464F34" w:rsidP="00FD239F">
            <w:pPr>
              <w:pStyle w:val="InstructionsText"/>
            </w:pPr>
            <w:r>
              <w:t>Article 306 du CRR pour les contreparties centrales éligibles, conformément à l'a</w:t>
            </w:r>
            <w:r>
              <w:t>r</w:t>
            </w:r>
            <w:r>
              <w:t>ticle 4, point 88, en conjonction avec l'article 301, paragraphe 2, du CRR.</w:t>
            </w:r>
          </w:p>
          <w:p w:rsidR="00464F34" w:rsidRPr="00392FFD" w:rsidRDefault="00D02E89" w:rsidP="00FD239F">
            <w:pPr>
              <w:pStyle w:val="InstructionsText"/>
            </w:pPr>
            <w:r>
              <w:t>Les expositions de transaction à une contrepartie centrale au sens de l'article 4, point 91), du CRR.</w:t>
            </w:r>
          </w:p>
        </w:tc>
      </w:tr>
      <w:tr w:rsidR="00464F34" w:rsidRPr="00392FFD" w:rsidTr="00672D2A">
        <w:tc>
          <w:tcPr>
            <w:tcW w:w="1188" w:type="dxa"/>
          </w:tcPr>
          <w:p w:rsidR="00464F34" w:rsidRPr="00392FFD" w:rsidRDefault="00462BAB" w:rsidP="00FD239F">
            <w:pPr>
              <w:pStyle w:val="InstructionsText"/>
            </w:pPr>
            <w:r>
              <w:t>110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Dérivés et opérations à règlement différé </w:t>
            </w:r>
          </w:p>
          <w:p w:rsidR="00464F34" w:rsidRPr="00392FFD" w:rsidRDefault="00464F34" w:rsidP="00FD239F">
            <w:pPr>
              <w:pStyle w:val="InstructionsText"/>
            </w:pPr>
            <w:r>
              <w:t>Les dérivés comprennent les contrats figurant sur la liste de l'annexe II du CRR.</w:t>
            </w:r>
          </w:p>
          <w:p w:rsidR="00464F34" w:rsidRPr="00392FFD" w:rsidRDefault="00464F34" w:rsidP="00FD239F">
            <w:pPr>
              <w:pStyle w:val="InstructionsText"/>
            </w:pPr>
            <w:r>
              <w:t>Opérations à règlement différé telles que définies à l'article 272, point 2, du CRR.</w:t>
            </w:r>
          </w:p>
          <w:p w:rsidR="00464F34" w:rsidRPr="00392FFD" w:rsidRDefault="00464F34" w:rsidP="00FD239F">
            <w:pPr>
              <w:pStyle w:val="InstructionsText"/>
            </w:pPr>
            <w:r>
              <w:t>Les dérivés et opérations à règlement différé qui font partie d'une convention de co</w:t>
            </w:r>
            <w:r>
              <w:t>m</w:t>
            </w:r>
            <w:r>
              <w:t xml:space="preserve">pensation </w:t>
            </w:r>
            <w:proofErr w:type="spellStart"/>
            <w:r>
              <w:t>multiproduits</w:t>
            </w:r>
            <w:proofErr w:type="spellEnd"/>
            <w:r>
              <w:t>, et qui sont dès lors déclarés à la ligne 130, ne figureront pas dans cette ligne.</w:t>
            </w:r>
          </w:p>
        </w:tc>
      </w:tr>
      <w:tr w:rsidR="00464F34" w:rsidRPr="00392FFD" w:rsidTr="00672D2A">
        <w:tc>
          <w:tcPr>
            <w:tcW w:w="1188" w:type="dxa"/>
          </w:tcPr>
          <w:p w:rsidR="00464F34" w:rsidRPr="00392FFD" w:rsidRDefault="00462BAB" w:rsidP="00FD239F">
            <w:pPr>
              <w:pStyle w:val="InstructionsText"/>
            </w:pPr>
            <w:r>
              <w:t>120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Dont: faisant l'objet d'une compensation centrale par l'intermédiaire d'une QCCP</w:t>
            </w:r>
          </w:p>
          <w:p w:rsidR="00464F34" w:rsidRPr="00392FFD" w:rsidRDefault="00464F34" w:rsidP="00FD239F">
            <w:pPr>
              <w:pStyle w:val="InstructionsText"/>
            </w:pPr>
            <w:r>
              <w:t>Article 306 du CRR pour les contreparties centrales éligibles, conformément à l'a</w:t>
            </w:r>
            <w:r>
              <w:t>r</w:t>
            </w:r>
            <w:r>
              <w:t>ticle 4, point 88), en conjonction avec l'article 301, paragraphe 2, du CRR.</w:t>
            </w:r>
          </w:p>
          <w:p w:rsidR="00464F34" w:rsidRPr="00392FFD" w:rsidRDefault="00770830" w:rsidP="00FD239F">
            <w:pPr>
              <w:pStyle w:val="InstructionsText"/>
              <w:rPr>
                <w:b/>
                <w:u w:val="single"/>
              </w:rPr>
            </w:pPr>
            <w:r>
              <w:t>Les expositions de transaction à une contrepartie centrale au sens de l'article 4, point 91), du CRR.</w:t>
            </w:r>
          </w:p>
        </w:tc>
      </w:tr>
      <w:tr w:rsidR="00464F34" w:rsidRPr="00392FFD" w:rsidTr="00672D2A">
        <w:tc>
          <w:tcPr>
            <w:tcW w:w="1188" w:type="dxa"/>
          </w:tcPr>
          <w:p w:rsidR="00464F34" w:rsidRPr="00392FFD" w:rsidRDefault="00462BAB" w:rsidP="00FD239F">
            <w:pPr>
              <w:pStyle w:val="InstructionsText"/>
            </w:pPr>
            <w:r>
              <w:t>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Issues d'une convention de compensation </w:t>
            </w:r>
            <w:proofErr w:type="spellStart"/>
            <w:r>
              <w:rPr>
                <w:rStyle w:val="InstructionsTabelleberschrift"/>
                <w:rFonts w:ascii="Times New Roman" w:hAnsi="Times New Roman"/>
                <w:sz w:val="24"/>
              </w:rPr>
              <w:t>multiproduits</w:t>
            </w:r>
            <w:proofErr w:type="spellEnd"/>
          </w:p>
          <w:p w:rsidR="00464F34" w:rsidRPr="00392FFD" w:rsidRDefault="00464F34" w:rsidP="00FD239F">
            <w:pPr>
              <w:pStyle w:val="InstructionsText"/>
            </w:pPr>
            <w:r>
              <w:t xml:space="preserve">Les expositions qui, en raison de l'existence d'une convention de compensation </w:t>
            </w:r>
            <w:proofErr w:type="spellStart"/>
            <w:r>
              <w:t>mult</w:t>
            </w:r>
            <w:r>
              <w:t>i</w:t>
            </w:r>
            <w:r>
              <w:t>produits</w:t>
            </w:r>
            <w:proofErr w:type="spellEnd"/>
            <w:r>
              <w:t xml:space="preserve"> (telle que définie à l'article 272, point 11), du CRR), ne peuvent pas être affe</w:t>
            </w:r>
            <w:r>
              <w:t>c</w:t>
            </w:r>
            <w:r>
              <w:t>tées aux dérivés et opérations à règlement différé ou aux opérations de financement sur titres, seront déclarées dans cette ligne.</w:t>
            </w:r>
          </w:p>
        </w:tc>
      </w:tr>
      <w:tr w:rsidR="00464F34" w:rsidRPr="00392FFD" w:rsidTr="00672D2A">
        <w:tc>
          <w:tcPr>
            <w:tcW w:w="1188" w:type="dxa"/>
          </w:tcPr>
          <w:p w:rsidR="00464F34" w:rsidRPr="00392FFD" w:rsidRDefault="00462BAB" w:rsidP="00FD239F">
            <w:pPr>
              <w:pStyle w:val="InstructionsText"/>
            </w:pPr>
            <w:r>
              <w:t>140-280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RÉPARTITION DU TOTAL DES EXPOSITIONS PAR PONDÉRATION</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lastRenderedPageBreak/>
              <w:t>140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464F34" w:rsidRPr="00392FFD" w:rsidRDefault="00464F34" w:rsidP="00FD239F">
            <w:pPr>
              <w:pStyle w:val="InstructionsText"/>
              <w:rPr>
                <w:b/>
              </w:rPr>
            </w:pPr>
            <w:r>
              <w:t>Article 306, paragraphe 1, du CRR</w:t>
            </w:r>
          </w:p>
        </w:tc>
      </w:tr>
      <w:tr w:rsidR="00462BAB" w:rsidRPr="00392FFD" w:rsidTr="00672D2A">
        <w:tc>
          <w:tcPr>
            <w:tcW w:w="1188" w:type="dxa"/>
            <w:shd w:val="clear" w:color="auto" w:fill="auto"/>
          </w:tcPr>
          <w:p w:rsidR="00462BAB" w:rsidRPr="00392FFD" w:rsidRDefault="00462BAB" w:rsidP="00FD239F">
            <w:pPr>
              <w:pStyle w:val="InstructionsText"/>
            </w:pPr>
            <w:r>
              <w:t>160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462BAB" w:rsidRPr="00392FFD" w:rsidRDefault="00462BAB" w:rsidP="00FD239F">
            <w:pPr>
              <w:pStyle w:val="InstructionsText"/>
              <w:rPr>
                <w:b/>
                <w:u w:val="single"/>
              </w:rPr>
            </w:pPr>
            <w:r>
              <w:t>Article 305, paragraphe 3, du CRR</w:t>
            </w:r>
          </w:p>
        </w:tc>
      </w:tr>
      <w:tr w:rsidR="00462BAB" w:rsidRPr="00392FFD" w:rsidTr="00672D2A">
        <w:tc>
          <w:tcPr>
            <w:tcW w:w="1188" w:type="dxa"/>
            <w:shd w:val="clear" w:color="auto" w:fill="auto"/>
          </w:tcPr>
          <w:p w:rsidR="00462BAB" w:rsidRPr="00392FFD" w:rsidRDefault="00462BAB" w:rsidP="00FD239F">
            <w:pPr>
              <w:pStyle w:val="InstructionsText"/>
            </w:pPr>
            <w:r>
              <w:t>170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190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p>
          <w:p w:rsidR="00462BAB" w:rsidRPr="00392FFD" w:rsidRDefault="00462BAB" w:rsidP="00FD239F">
            <w:pPr>
              <w:pStyle w:val="InstructionsText"/>
            </w:pPr>
            <w:r>
              <w:t>Article 232, paragraphe 3, point c), du CRR</w:t>
            </w:r>
          </w:p>
        </w:tc>
      </w:tr>
      <w:tr w:rsidR="00462BAB" w:rsidRPr="00392FFD" w:rsidTr="00672D2A">
        <w:tc>
          <w:tcPr>
            <w:tcW w:w="1188" w:type="dxa"/>
            <w:shd w:val="clear" w:color="auto" w:fill="auto"/>
          </w:tcPr>
          <w:p w:rsidR="00462BAB" w:rsidRPr="00392FFD" w:rsidRDefault="00462BAB" w:rsidP="00FD239F">
            <w:pPr>
              <w:pStyle w:val="InstructionsText"/>
            </w:pPr>
            <w:r>
              <w:t>220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230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240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250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462BAB" w:rsidRPr="00392FFD" w:rsidRDefault="00462BAB" w:rsidP="00FD239F">
            <w:pPr>
              <w:pStyle w:val="InstructionsText"/>
            </w:pPr>
            <w:r>
              <w:t>Article 133, paragraphe 2, et article 48, paragraphe 4, du CRR</w:t>
            </w:r>
          </w:p>
        </w:tc>
      </w:tr>
      <w:tr w:rsidR="00462BAB" w:rsidRPr="00392FFD" w:rsidTr="00672D2A">
        <w:tc>
          <w:tcPr>
            <w:tcW w:w="1188" w:type="dxa"/>
            <w:shd w:val="clear" w:color="auto" w:fill="auto"/>
          </w:tcPr>
          <w:p w:rsidR="00462BAB" w:rsidRPr="00392FFD" w:rsidRDefault="00462BAB" w:rsidP="00FD239F">
            <w:pPr>
              <w:pStyle w:val="InstructionsText"/>
            </w:pPr>
            <w:r>
              <w:t>260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462BAB" w:rsidRPr="00392FFD" w:rsidRDefault="00462BAB" w:rsidP="00FD239F">
            <w:pPr>
              <w:pStyle w:val="InstructionsText"/>
              <w:rPr>
                <w:b/>
                <w:u w:val="single"/>
              </w:rPr>
            </w:pPr>
            <w:r>
              <w:t>Article 471 du CRR</w:t>
            </w:r>
          </w:p>
        </w:tc>
      </w:tr>
      <w:tr w:rsidR="00462BAB" w:rsidRPr="00392FFD" w:rsidTr="00672D2A">
        <w:tc>
          <w:tcPr>
            <w:tcW w:w="1188" w:type="dxa"/>
            <w:shd w:val="clear" w:color="auto" w:fill="auto"/>
          </w:tcPr>
          <w:p w:rsidR="00462BAB" w:rsidRPr="00392FFD" w:rsidRDefault="00462BAB" w:rsidP="00FD239F">
            <w:pPr>
              <w:pStyle w:val="InstructionsText"/>
            </w:pPr>
            <w:r>
              <w:t>270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1250 %</w:t>
            </w:r>
          </w:p>
          <w:p w:rsidR="00462BAB" w:rsidRPr="00392FFD" w:rsidRDefault="00462BAB" w:rsidP="00FD239F">
            <w:pPr>
              <w:pStyle w:val="InstructionsText"/>
              <w:rPr>
                <w:b/>
                <w:u w:val="single"/>
              </w:rPr>
            </w:pPr>
            <w:r>
              <w:t>Article 133, paragraphe 2, et article 379 du CRR</w:t>
            </w:r>
          </w:p>
        </w:tc>
      </w:tr>
      <w:tr w:rsidR="00462BAB" w:rsidRPr="00392FFD" w:rsidTr="00672D2A">
        <w:tc>
          <w:tcPr>
            <w:tcW w:w="1188" w:type="dxa"/>
            <w:shd w:val="clear" w:color="auto" w:fill="auto"/>
          </w:tcPr>
          <w:p w:rsidR="00462BAB" w:rsidRPr="00392FFD" w:rsidRDefault="00462BAB" w:rsidP="00FD239F">
            <w:pPr>
              <w:pStyle w:val="InstructionsText"/>
            </w:pPr>
            <w:r>
              <w:t>280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pondérations</w:t>
            </w:r>
          </w:p>
          <w:p w:rsidR="00462BAB" w:rsidRPr="00392FFD" w:rsidRDefault="00462BAB" w:rsidP="00FD239F">
            <w:pPr>
              <w:pStyle w:val="InstructionsText"/>
            </w:pPr>
            <w:r>
              <w:t>Cette ligne ne peut pas être utilisée pour les catégories d'expositions «administrations», «entreprises», «établissements» et «clientèle de détail».</w:t>
            </w:r>
          </w:p>
          <w:p w:rsidR="00462BAB" w:rsidRPr="00392FFD" w:rsidRDefault="00462BAB" w:rsidP="00FD239F">
            <w:pPr>
              <w:pStyle w:val="InstructionsText"/>
            </w:pPr>
          </w:p>
          <w:p w:rsidR="00462BAB" w:rsidRPr="00392FFD" w:rsidRDefault="00462BAB" w:rsidP="00FD239F">
            <w:pPr>
              <w:pStyle w:val="InstructionsText"/>
            </w:pPr>
            <w:r>
              <w:t>Cette ligne sert à déclarer les expositions non soumises aux pondérations de risque fig</w:t>
            </w:r>
            <w:r>
              <w:t>u</w:t>
            </w:r>
            <w:r>
              <w:t>rant dans ce modèle.</w:t>
            </w:r>
          </w:p>
          <w:p w:rsidR="00462BAB" w:rsidRPr="00392FFD" w:rsidRDefault="00462BAB" w:rsidP="00FD239F">
            <w:pPr>
              <w:pStyle w:val="InstructionsText"/>
            </w:pPr>
            <w:r>
              <w:t xml:space="preserve">Article 113, paragraphes 1 à 5, du CRR </w:t>
            </w:r>
          </w:p>
          <w:p w:rsidR="00462BAB" w:rsidRPr="00392FFD" w:rsidRDefault="00462BAB" w:rsidP="00FD239F">
            <w:pPr>
              <w:pStyle w:val="InstructionsText"/>
            </w:pPr>
          </w:p>
          <w:p w:rsidR="00462BAB" w:rsidRPr="00392FFD" w:rsidRDefault="00462BAB" w:rsidP="00FD239F">
            <w:pPr>
              <w:pStyle w:val="InstructionsText"/>
            </w:pPr>
            <w:r>
              <w:t>Les dérivés de crédit au nième défaut non notés soumis à l'approche standard (a</w:t>
            </w:r>
            <w:r>
              <w:t>r</w:t>
            </w:r>
            <w:r>
              <w:t>ticle 134, paragraphe 6, du CRR) seront déclarés dans cette ligne dans la catégorie d'e</w:t>
            </w:r>
            <w:r>
              <w:t>x</w:t>
            </w:r>
            <w:r>
              <w:t>positions «Autres éléments».</w:t>
            </w:r>
          </w:p>
          <w:p w:rsidR="00462BAB" w:rsidRPr="00392FFD" w:rsidRDefault="00462BAB" w:rsidP="00FD239F">
            <w:pPr>
              <w:pStyle w:val="InstructionsText"/>
            </w:pPr>
            <w:r>
              <w:t xml:space="preserve">Voir également l'article 124, paragraphe 2, et l'article 152, paragraphe 2, point b), du CRR. </w:t>
            </w:r>
          </w:p>
        </w:tc>
      </w:tr>
      <w:tr w:rsidR="00462BAB" w:rsidRPr="00392FFD" w:rsidTr="00672D2A">
        <w:tc>
          <w:tcPr>
            <w:tcW w:w="1188" w:type="dxa"/>
            <w:shd w:val="clear" w:color="auto" w:fill="auto"/>
          </w:tcPr>
          <w:p w:rsidR="00462BAB" w:rsidRPr="00392FFD" w:rsidRDefault="00462BAB" w:rsidP="00FD239F">
            <w:pPr>
              <w:pStyle w:val="InstructionsText"/>
            </w:pPr>
            <w:r>
              <w:lastRenderedPageBreak/>
              <w:t>290-320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Pour mémoire</w:t>
            </w:r>
          </w:p>
          <w:p w:rsidR="00462BAB" w:rsidRPr="00392FFD" w:rsidRDefault="00462BAB" w:rsidP="00FD239F">
            <w:pPr>
              <w:pStyle w:val="InstructionsText"/>
              <w:rPr>
                <w:b/>
                <w:u w:val="single"/>
              </w:rPr>
            </w:pPr>
            <w:r>
              <w:t>Voir également les explications de la finalité des postes pour mémoire dans la partie générale du modèle CR SA.</w:t>
            </w:r>
          </w:p>
        </w:tc>
      </w:tr>
      <w:tr w:rsidR="00462BAB" w:rsidRPr="00392FFD" w:rsidTr="00672D2A">
        <w:tc>
          <w:tcPr>
            <w:tcW w:w="1188" w:type="dxa"/>
            <w:shd w:val="clear" w:color="auto" w:fill="auto"/>
          </w:tcPr>
          <w:p w:rsidR="00462BAB" w:rsidRPr="00392FFD" w:rsidRDefault="00462BAB" w:rsidP="00FD239F">
            <w:pPr>
              <w:pStyle w:val="InstructionsText"/>
            </w:pPr>
            <w:r>
              <w:t>290</w:t>
            </w:r>
          </w:p>
          <w:p w:rsidR="00462BAB" w:rsidRPr="00392FFD" w:rsidRDefault="00462BAB" w:rsidP="00FD239F">
            <w:pPr>
              <w:pStyle w:val="InstructionsText"/>
            </w:pP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garanties par une hypothèque sur un bien immobilier commercial</w:t>
            </w:r>
          </w:p>
          <w:p w:rsidR="00462BAB" w:rsidRPr="00392FFD" w:rsidRDefault="00462BAB" w:rsidP="00FD239F">
            <w:pPr>
              <w:pStyle w:val="InstructionsText"/>
            </w:pPr>
            <w:r>
              <w:t>Article 112, point i), du CRR</w:t>
            </w:r>
          </w:p>
          <w:p w:rsidR="00462BAB" w:rsidRPr="00392FFD" w:rsidRDefault="00462BAB" w:rsidP="00FD239F">
            <w:pPr>
              <w:pStyle w:val="InstructionsText"/>
            </w:pPr>
            <w:r>
              <w:t>Il ne s'agit que d'un poste pour mémoire. Indépendamment du calcul des montants d'e</w:t>
            </w:r>
            <w:r>
              <w:t>x</w:t>
            </w:r>
            <w:r>
              <w:t>position au risque des expositions garanties par un bien immobilier commercial, co</w:t>
            </w:r>
            <w:r>
              <w:t>n</w:t>
            </w:r>
            <w:r>
              <w:t>formément aux articles 124 et 126 du CRR, les expositions seront ventilées et déclarées dans cette ligne, selon qu'elles sont garanties par des biens immobiliers commerciaux ou non.</w:t>
            </w:r>
          </w:p>
        </w:tc>
      </w:tr>
      <w:tr w:rsidR="00462BAB" w:rsidRPr="00392FFD" w:rsidTr="00672D2A">
        <w:tc>
          <w:tcPr>
            <w:tcW w:w="1188" w:type="dxa"/>
            <w:shd w:val="clear" w:color="auto" w:fill="auto"/>
          </w:tcPr>
          <w:p w:rsidR="00462BAB" w:rsidRPr="00392FFD" w:rsidRDefault="00462BAB" w:rsidP="00FD239F">
            <w:pPr>
              <w:pStyle w:val="InstructionsText"/>
            </w:pPr>
            <w:r>
              <w:t>300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en défaut soumises à une pondération de risque de 100 %</w:t>
            </w:r>
          </w:p>
          <w:p w:rsidR="00462BAB" w:rsidRPr="00392FFD" w:rsidRDefault="00462BAB" w:rsidP="00FD239F">
            <w:pPr>
              <w:pStyle w:val="InstructionsText"/>
            </w:pPr>
            <w:r>
              <w:t>Article 112, point j), du CRR</w:t>
            </w:r>
          </w:p>
          <w:p w:rsidR="00462BAB" w:rsidRPr="00392FFD" w:rsidRDefault="00462BAB" w:rsidP="00FD239F">
            <w:pPr>
              <w:pStyle w:val="InstructionsText"/>
            </w:pPr>
            <w:r>
              <w:t>Expositions de la catégorie d'expositions «expositions en défaut», qui seraient incluses dans cette catégorie d'expositions si elles n'étaient pas en défaut.</w:t>
            </w:r>
          </w:p>
        </w:tc>
      </w:tr>
      <w:tr w:rsidR="00462BAB" w:rsidRPr="00392FFD" w:rsidTr="00672D2A">
        <w:tc>
          <w:tcPr>
            <w:tcW w:w="1188" w:type="dxa"/>
            <w:shd w:val="clear" w:color="auto" w:fill="auto"/>
          </w:tcPr>
          <w:p w:rsidR="00462BAB" w:rsidRPr="00392FFD" w:rsidRDefault="00462BAB" w:rsidP="00FD239F">
            <w:pPr>
              <w:pStyle w:val="InstructionsText"/>
            </w:pPr>
            <w:r>
              <w:t>310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Expositions garanties par une hypothèque sur un bien immobilier résidentiel </w:t>
            </w:r>
          </w:p>
          <w:p w:rsidR="00462BAB" w:rsidRPr="00392FFD" w:rsidRDefault="00462BAB" w:rsidP="00FD239F">
            <w:pPr>
              <w:pStyle w:val="InstructionsText"/>
            </w:pPr>
            <w:r>
              <w:t>Article 112, point i), du CRR</w:t>
            </w:r>
          </w:p>
          <w:p w:rsidR="00462BAB" w:rsidRPr="00392FFD" w:rsidRDefault="00462BAB" w:rsidP="00FD239F">
            <w:pPr>
              <w:pStyle w:val="InstructionsText"/>
              <w:rPr>
                <w:b/>
                <w:u w:val="single"/>
              </w:rPr>
            </w:pPr>
            <w:r>
              <w:t>Il ne s'agit que d'un poste pour mémoire. Indépendamment du calcul des montants d'e</w:t>
            </w:r>
            <w:r>
              <w:t>x</w:t>
            </w:r>
            <w:r>
              <w:t>position au risque des expositions garanties par des hypothèques sur des biens immob</w:t>
            </w:r>
            <w:r>
              <w:t>i</w:t>
            </w:r>
            <w:r>
              <w:t>liers résidentiels, conformément aux articles 124 et 125 du CRR, les expositions seront ventilées et déclarées dans cette ligne, selon qu'elles sont garanties par des biens imm</w:t>
            </w:r>
            <w:r>
              <w:t>o</w:t>
            </w:r>
            <w:r>
              <w:t>biliers résidentiels ou non.</w:t>
            </w:r>
          </w:p>
        </w:tc>
      </w:tr>
      <w:tr w:rsidR="00462BAB" w:rsidRPr="00392FFD" w:rsidTr="00672D2A">
        <w:tc>
          <w:tcPr>
            <w:tcW w:w="1188" w:type="dxa"/>
            <w:shd w:val="clear" w:color="auto" w:fill="auto"/>
          </w:tcPr>
          <w:p w:rsidR="00462BAB" w:rsidRPr="00392FFD" w:rsidRDefault="00462BAB" w:rsidP="00FD239F">
            <w:pPr>
              <w:pStyle w:val="InstructionsText"/>
            </w:pPr>
            <w:r>
              <w:t>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Expositions en défaut soumises à une pondération de risque de 150 % </w:t>
            </w:r>
          </w:p>
          <w:p w:rsidR="00462BAB" w:rsidRPr="00392FFD" w:rsidRDefault="00462BAB" w:rsidP="00FD239F">
            <w:pPr>
              <w:pStyle w:val="InstructionsText"/>
            </w:pPr>
            <w:r>
              <w:t>Article 112, point j), du CRR</w:t>
            </w:r>
          </w:p>
          <w:p w:rsidR="00462BAB" w:rsidRPr="00392FFD" w:rsidRDefault="00462BAB" w:rsidP="00FD239F">
            <w:pPr>
              <w:pStyle w:val="InstructionsText"/>
            </w:pPr>
            <w:r>
              <w:t>Expositions de la catégorie d'expositions «expositions en défaut», qui seraient incluses dans cette catégorie d'expositions si elles n'étaient pas en défaut.</w:t>
            </w:r>
          </w:p>
        </w:tc>
      </w:tr>
    </w:tbl>
    <w:p w:rsidR="001C7AB7" w:rsidRPr="00392FFD" w:rsidRDefault="001C7AB7">
      <w:pPr>
        <w:spacing w:before="0" w:after="0"/>
        <w:jc w:val="left"/>
        <w:rPr>
          <w:rFonts w:ascii="Times New Roman" w:hAnsi="Times New Roman"/>
          <w:bCs/>
          <w:sz w:val="24"/>
        </w:rPr>
      </w:pP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58" w:name="_Toc360188357"/>
      <w:bookmarkStart w:id="259" w:name="_Toc516210641"/>
      <w:bookmarkStart w:id="260" w:name="_Toc473560906"/>
      <w:bookmarkStart w:id="261" w:name="_Toc524104180"/>
      <w:r>
        <w:rPr>
          <w:rFonts w:ascii="Times New Roman" w:hAnsi="Times New Roman"/>
          <w:sz w:val="24"/>
          <w:u w:val="none"/>
        </w:rPr>
        <w:t>3.3.</w:t>
      </w:r>
      <w:r w:rsidRPr="00491A6F">
        <w:rPr>
          <w:u w:val="none"/>
        </w:rPr>
        <w:tab/>
      </w:r>
      <w:r>
        <w:rPr>
          <w:rFonts w:ascii="Times New Roman" w:hAnsi="Times New Roman"/>
          <w:sz w:val="24"/>
        </w:rPr>
        <w:t>Risque de crédit et de crédit de contrepartie et positions de négociation non dénouées: Approche NI des exigences de fonds propres</w:t>
      </w:r>
      <w:bookmarkEnd w:id="258"/>
      <w:r>
        <w:rPr>
          <w:rFonts w:ascii="Times New Roman" w:hAnsi="Times New Roman"/>
          <w:sz w:val="24"/>
        </w:rPr>
        <w:t xml:space="preserve"> (CR IRB)</w:t>
      </w:r>
      <w:bookmarkEnd w:id="259"/>
      <w:bookmarkEnd w:id="260"/>
      <w:bookmarkEnd w:id="261"/>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2" w:name="_Toc360188358"/>
      <w:bookmarkStart w:id="263" w:name="_Toc516210642"/>
      <w:bookmarkStart w:id="264" w:name="_Toc473560907"/>
      <w:bookmarkStart w:id="265" w:name="_Toc524104181"/>
      <w:r>
        <w:rPr>
          <w:rFonts w:ascii="Times New Roman" w:hAnsi="Times New Roman"/>
          <w:sz w:val="24"/>
          <w:u w:val="none"/>
        </w:rPr>
        <w:t>3.3.1.</w:t>
      </w:r>
      <w:r w:rsidRPr="00491A6F">
        <w:rPr>
          <w:u w:val="none"/>
        </w:rPr>
        <w:tab/>
      </w:r>
      <w:r>
        <w:rPr>
          <w:rFonts w:ascii="Times New Roman" w:hAnsi="Times New Roman"/>
          <w:sz w:val="24"/>
        </w:rPr>
        <w:t>Champ d'application du modèle CR IRB</w:t>
      </w:r>
      <w:bookmarkEnd w:id="262"/>
      <w:bookmarkEnd w:id="263"/>
      <w:bookmarkEnd w:id="264"/>
      <w:bookmarkEnd w:id="265"/>
    </w:p>
    <w:p w:rsidR="001C7AB7" w:rsidRPr="00392FFD" w:rsidRDefault="00125707" w:rsidP="00C37B29">
      <w:pPr>
        <w:pStyle w:val="InstructionsText2"/>
        <w:numPr>
          <w:ilvl w:val="0"/>
          <w:numId w:val="0"/>
        </w:numPr>
        <w:ind w:left="993"/>
      </w:pPr>
      <w:r>
        <w:t>74.</w:t>
      </w:r>
      <w:r>
        <w:tab/>
        <w:t>Le champ d'application du modèle CR IRB couvre les exigences de fonds propres pour:</w:t>
      </w:r>
    </w:p>
    <w:p w:rsidR="001C7AB7" w:rsidRPr="00392FFD" w:rsidRDefault="00125707" w:rsidP="00C37B29">
      <w:pPr>
        <w:pStyle w:val="InstructionsText2"/>
        <w:numPr>
          <w:ilvl w:val="0"/>
          <w:numId w:val="0"/>
        </w:numPr>
        <w:ind w:left="993"/>
      </w:pPr>
      <w:r>
        <w:t>i.</w:t>
      </w:r>
      <w:r>
        <w:tab/>
        <w:t>Le risque de crédit dans le portefeuille d'intermédiation bancaire, dont:</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lastRenderedPageBreak/>
        <w:tab/>
      </w:r>
      <w:r>
        <w:rPr>
          <w:rFonts w:ascii="Times New Roman" w:hAnsi="Times New Roman"/>
          <w:sz w:val="24"/>
        </w:rPr>
        <w:t>Le risque de crédit de contrepartie dans le portefeuille d'intermédi</w:t>
      </w:r>
      <w:r>
        <w:rPr>
          <w:rFonts w:ascii="Times New Roman" w:hAnsi="Times New Roman"/>
          <w:sz w:val="24"/>
        </w:rPr>
        <w:t>a</w:t>
      </w:r>
      <w:r>
        <w:rPr>
          <w:rFonts w:ascii="Times New Roman" w:hAnsi="Times New Roman"/>
          <w:sz w:val="24"/>
        </w:rPr>
        <w:t>tion bancaire;</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Risque de dilution pour créances achetées;</w:t>
      </w:r>
    </w:p>
    <w:p w:rsidR="001C7AB7" w:rsidRPr="00392FFD" w:rsidRDefault="00125707" w:rsidP="00C37B29">
      <w:pPr>
        <w:pStyle w:val="InstructionsText2"/>
        <w:numPr>
          <w:ilvl w:val="0"/>
          <w:numId w:val="0"/>
        </w:numPr>
        <w:ind w:left="993"/>
      </w:pPr>
      <w:r>
        <w:t>ii.</w:t>
      </w:r>
      <w:r>
        <w:tab/>
        <w:t>Le risque de crédit de contrepartie dans le portefeuille de négociation;</w:t>
      </w:r>
    </w:p>
    <w:p w:rsidR="001C7AB7" w:rsidRPr="00392FFD" w:rsidRDefault="00125707" w:rsidP="00C37B29">
      <w:pPr>
        <w:pStyle w:val="InstructionsText2"/>
        <w:numPr>
          <w:ilvl w:val="0"/>
          <w:numId w:val="0"/>
        </w:numPr>
        <w:ind w:left="993"/>
      </w:pPr>
      <w:r>
        <w:t>iii.</w:t>
      </w:r>
      <w:r>
        <w:tab/>
        <w:t>Les positions de négociation non dénouées de l'ensemble des activités de l'e</w:t>
      </w:r>
      <w:r>
        <w:t>n</w:t>
      </w:r>
      <w:r>
        <w:t>treprise.</w:t>
      </w:r>
    </w:p>
    <w:p w:rsidR="001C7AB7" w:rsidRPr="00392FFD" w:rsidRDefault="00125707" w:rsidP="00C37B29">
      <w:pPr>
        <w:pStyle w:val="InstructionsText2"/>
        <w:numPr>
          <w:ilvl w:val="0"/>
          <w:numId w:val="0"/>
        </w:numPr>
        <w:ind w:left="993"/>
      </w:pPr>
      <w:r>
        <w:t>75.</w:t>
      </w:r>
      <w:r>
        <w:tab/>
        <w:t xml:space="preserve">Le champ d'application du modèle concerne les expositions pour lesquelles les montants d'exposition pondérés sont calculés conformément aux articles 151 à 157 de la troisième partie, titre II, chapitre 3 du CRR (approche NI). </w:t>
      </w:r>
    </w:p>
    <w:p w:rsidR="001C7AB7" w:rsidRPr="00392FFD" w:rsidRDefault="00125707" w:rsidP="00C37B29">
      <w:pPr>
        <w:pStyle w:val="InstructionsText2"/>
        <w:numPr>
          <w:ilvl w:val="0"/>
          <w:numId w:val="0"/>
        </w:numPr>
        <w:ind w:left="993"/>
      </w:pPr>
      <w:r>
        <w:t>76.</w:t>
      </w:r>
      <w:r>
        <w:tab/>
        <w:t xml:space="preserve">Le modèle CR IRB ne couvre pas les données suivantes: </w:t>
      </w:r>
    </w:p>
    <w:p w:rsidR="001C7AB7" w:rsidRPr="00392FFD" w:rsidRDefault="00125707" w:rsidP="00C37B29">
      <w:pPr>
        <w:pStyle w:val="InstructionsText2"/>
        <w:numPr>
          <w:ilvl w:val="0"/>
          <w:numId w:val="0"/>
        </w:numPr>
        <w:ind w:left="993"/>
      </w:pPr>
      <w:r>
        <w:t>i.</w:t>
      </w:r>
      <w:r>
        <w:tab/>
        <w:t xml:space="preserve">Expositions sous forme d'actions, qui sont déclarées dans le modèle CR EQU IRB; </w:t>
      </w:r>
    </w:p>
    <w:p w:rsidR="001C7AB7" w:rsidRPr="00392FFD" w:rsidRDefault="00125707" w:rsidP="00C37B29">
      <w:pPr>
        <w:pStyle w:val="InstructionsText2"/>
        <w:numPr>
          <w:ilvl w:val="0"/>
          <w:numId w:val="0"/>
        </w:numPr>
        <w:ind w:left="993"/>
      </w:pPr>
      <w:r>
        <w:t>ii.</w:t>
      </w:r>
      <w:r>
        <w:tab/>
        <w:t xml:space="preserve">Positions de titrisation, qui sont déclarées dans les modèles CR SEC SA, CR SEC IRB et/ou CR SEC </w:t>
      </w:r>
      <w:proofErr w:type="spellStart"/>
      <w:r>
        <w:t>Details</w:t>
      </w:r>
      <w:proofErr w:type="spellEnd"/>
      <w:r>
        <w:t>;</w:t>
      </w:r>
    </w:p>
    <w:p w:rsidR="001C7AB7" w:rsidRPr="00392FFD" w:rsidRDefault="00125707" w:rsidP="00C37B29">
      <w:pPr>
        <w:pStyle w:val="InstructionsText2"/>
        <w:numPr>
          <w:ilvl w:val="0"/>
          <w:numId w:val="0"/>
        </w:numPr>
        <w:ind w:left="993"/>
      </w:pPr>
      <w:r>
        <w:t>iii.</w:t>
      </w:r>
      <w:r>
        <w:tab/>
        <w:t xml:space="preserve"> «Actifs autres que des obligations de crédit», conformément à l'article 147, p</w:t>
      </w:r>
      <w:r>
        <w:t>a</w:t>
      </w:r>
      <w:r>
        <w:t>ragraphe 2, point g), du CRR. La pondération pour cette catégorie d'exposition doit être à tout moment fixée à 100 %, à l'exception de l'encaisse et des valeurs assim</w:t>
      </w:r>
      <w:r>
        <w:t>i</w:t>
      </w:r>
      <w:r>
        <w:t>lées, et des expositions consistant en la valeur résiduelle de biens loués, conform</w:t>
      </w:r>
      <w:r>
        <w:t>é</w:t>
      </w:r>
      <w:r>
        <w:t>ment à l'article 156 du CRR. Les montants d'exposition pondérés pour cette catég</w:t>
      </w:r>
      <w:r>
        <w:t>o</w:t>
      </w:r>
      <w:r>
        <w:t>rie d'expositions sont déclarés directement dans le modèle CA;</w:t>
      </w:r>
    </w:p>
    <w:p w:rsidR="001C7AB7" w:rsidRPr="00392FFD" w:rsidRDefault="00125707" w:rsidP="00C37B29">
      <w:pPr>
        <w:pStyle w:val="InstructionsText2"/>
        <w:numPr>
          <w:ilvl w:val="0"/>
          <w:numId w:val="0"/>
        </w:numPr>
        <w:ind w:left="993"/>
      </w:pPr>
      <w:r>
        <w:t>iv.</w:t>
      </w:r>
      <w:r>
        <w:tab/>
        <w:t xml:space="preserve">Le risque d'ajustement de l'évaluation de crédit, qui est déclaré dans le modèle CVA </w:t>
      </w:r>
      <w:proofErr w:type="spellStart"/>
      <w:r>
        <w:t>Risk</w:t>
      </w:r>
      <w:proofErr w:type="spellEnd"/>
      <w:r>
        <w:t>;</w:t>
      </w:r>
    </w:p>
    <w:p w:rsidR="001C7AB7" w:rsidRPr="00392FFD"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sz w:val="24"/>
        </w:rPr>
        <w:t>Le modèle CR IRB ne nécessite pas de ventilation géographique des expos</w:t>
      </w:r>
      <w:r>
        <w:rPr>
          <w:rFonts w:ascii="Times New Roman" w:hAnsi="Times New Roman"/>
          <w:sz w:val="24"/>
        </w:rPr>
        <w:t>i</w:t>
      </w:r>
      <w:r>
        <w:rPr>
          <w:rFonts w:ascii="Times New Roman" w:hAnsi="Times New Roman"/>
          <w:sz w:val="24"/>
        </w:rPr>
        <w:t xml:space="preserve">tions NI selon la résidence de la contrepartie. Cette ventilation est déclarée dans le modèle CR GB. </w:t>
      </w:r>
    </w:p>
    <w:p w:rsidR="001C7AB7" w:rsidRPr="00392FFD" w:rsidRDefault="00125707" w:rsidP="00C37B29">
      <w:pPr>
        <w:pStyle w:val="InstructionsText2"/>
        <w:numPr>
          <w:ilvl w:val="0"/>
          <w:numId w:val="0"/>
        </w:numPr>
        <w:ind w:left="993"/>
      </w:pPr>
      <w:r>
        <w:t>77.</w:t>
      </w:r>
      <w:r>
        <w:tab/>
        <w:t>Afin de préciser si un établissement utilise ses propres estimations des LGD et/ou des facteurs de conversion de crédit, les informations suivantes seront fou</w:t>
      </w:r>
      <w:r>
        <w:t>r</w:t>
      </w:r>
      <w:r>
        <w:t>nies pour chaque catégorie d'expositions déclarée:</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«NON» = lorsqu'il est fait usage des estimations réglementaires des LGD et/ou des facteurs de conversion de crédit (NI simple)</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«OUI» = lorsqu'il est fait usage des propres estimations des LGD et/ou des facteurs de conversion de crédit (NI avancée) </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En tout état de cause, il convient de mentionner «OUI» dans le cadre de la déclaration des portefeuilles sur la clientèle de détail.</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Lorsqu'un établissement utilise ses propres estimations LGD pour calculer les </w:t>
      </w:r>
      <w:r>
        <w:rPr>
          <w:rStyle w:val="InstructionsTabelleText"/>
          <w:rFonts w:ascii="Times New Roman" w:hAnsi="Times New Roman"/>
          <w:sz w:val="24"/>
        </w:rPr>
        <w:t>mo</w:t>
      </w:r>
      <w:r>
        <w:rPr>
          <w:rStyle w:val="InstructionsTabelleText"/>
          <w:rFonts w:ascii="Times New Roman" w:hAnsi="Times New Roman"/>
          <w:sz w:val="24"/>
        </w:rPr>
        <w:t>n</w:t>
      </w:r>
      <w:r>
        <w:rPr>
          <w:rStyle w:val="InstructionsTabelleText"/>
          <w:rFonts w:ascii="Times New Roman" w:hAnsi="Times New Roman"/>
          <w:sz w:val="24"/>
        </w:rPr>
        <w:t>tants d'exposition pondérés</w:t>
      </w:r>
      <w:r>
        <w:rPr>
          <w:rFonts w:ascii="Times New Roman" w:hAnsi="Times New Roman"/>
          <w:sz w:val="24"/>
        </w:rPr>
        <w:t xml:space="preserve"> pour une partie de ses expositions NI, et utilise les estim</w:t>
      </w:r>
      <w:r>
        <w:rPr>
          <w:rFonts w:ascii="Times New Roman" w:hAnsi="Times New Roman"/>
          <w:sz w:val="24"/>
        </w:rPr>
        <w:t>a</w:t>
      </w:r>
      <w:r>
        <w:rPr>
          <w:rFonts w:ascii="Times New Roman" w:hAnsi="Times New Roman"/>
          <w:sz w:val="24"/>
        </w:rPr>
        <w:t xml:space="preserve">tions réglementaires de LGD pour calculer les </w:t>
      </w:r>
      <w:r>
        <w:rPr>
          <w:rStyle w:val="InstructionsTabelleText"/>
          <w:rFonts w:ascii="Times New Roman" w:hAnsi="Times New Roman"/>
          <w:sz w:val="24"/>
        </w:rPr>
        <w:t>montants d'exposition pondérés</w:t>
      </w:r>
      <w:r>
        <w:rPr>
          <w:rFonts w:ascii="Times New Roman" w:hAnsi="Times New Roman"/>
          <w:sz w:val="24"/>
        </w:rPr>
        <w:t xml:space="preserve"> du reste </w:t>
      </w:r>
      <w:r>
        <w:rPr>
          <w:rFonts w:ascii="Times New Roman" w:hAnsi="Times New Roman"/>
          <w:sz w:val="24"/>
        </w:rPr>
        <w:lastRenderedPageBreak/>
        <w:t>de ses expositions NI, il faudra remplir un modèle CR IRB Total pour les positions NI-simple et un modèle CR IRB Total pour les positions NI-avancée.</w:t>
      </w: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6" w:name="_Toc262568037"/>
      <w:bookmarkStart w:id="267" w:name="_Toc264038435"/>
      <w:bookmarkStart w:id="268" w:name="_Toc295829865"/>
      <w:bookmarkStart w:id="269" w:name="_Toc308155142"/>
      <w:bookmarkStart w:id="270" w:name="_Toc310415028"/>
      <w:bookmarkStart w:id="271" w:name="_Toc360188359"/>
      <w:bookmarkStart w:id="272" w:name="_Toc516210643"/>
      <w:bookmarkStart w:id="273" w:name="_Toc473560908"/>
      <w:bookmarkStart w:id="274" w:name="_Toc524104182"/>
      <w:r>
        <w:rPr>
          <w:rFonts w:ascii="Times New Roman" w:hAnsi="Times New Roman"/>
          <w:sz w:val="24"/>
          <w:u w:val="none"/>
        </w:rPr>
        <w:t>3.3.2.</w:t>
      </w:r>
      <w:r w:rsidRPr="00FA61E3">
        <w:rPr>
          <w:u w:val="none"/>
        </w:rPr>
        <w:tab/>
      </w:r>
      <w:r>
        <w:rPr>
          <w:rFonts w:ascii="Times New Roman" w:hAnsi="Times New Roman"/>
          <w:sz w:val="24"/>
        </w:rPr>
        <w:t>Décomposition du modèle CR IRB</w:t>
      </w:r>
      <w:bookmarkEnd w:id="266"/>
      <w:bookmarkEnd w:id="267"/>
      <w:bookmarkEnd w:id="268"/>
      <w:bookmarkEnd w:id="269"/>
      <w:bookmarkEnd w:id="270"/>
      <w:bookmarkEnd w:id="271"/>
      <w:bookmarkEnd w:id="272"/>
      <w:bookmarkEnd w:id="273"/>
      <w:bookmarkEnd w:id="274"/>
    </w:p>
    <w:p w:rsidR="001C7AB7" w:rsidRPr="00392FFD" w:rsidRDefault="00125707" w:rsidP="00C37B29">
      <w:pPr>
        <w:pStyle w:val="InstructionsText2"/>
        <w:numPr>
          <w:ilvl w:val="0"/>
          <w:numId w:val="0"/>
        </w:numPr>
        <w:ind w:left="993"/>
      </w:pPr>
      <w:r>
        <w:t>78.</w:t>
      </w:r>
      <w:r>
        <w:tab/>
        <w:t>Le modèle CR IRB se compose de deux parties. La première partie (CR IRB 1) fournit un aperçu général des expositions selon l'approche NI et des différentes m</w:t>
      </w:r>
      <w:r>
        <w:t>é</w:t>
      </w:r>
      <w:r>
        <w:t>thodes de calcul des montants totaux d'exposition au risque, ainsi qu'une ventilation du montant total des expositions selon le type d'exposition. La deuxième partie (CR IRB 2) fournit une répartition du montant total des expositions selon les échelons ou les catégories de débiteurs. Ces deux sous-modèles feront l'objet d'une déclar</w:t>
      </w:r>
      <w:r>
        <w:t>a</w:t>
      </w:r>
      <w:r>
        <w:t>tion séparée pour les catégories et sous-catégories d'expositions suivantes:</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(Le modèle Total doit être rempli séparément pour la méthode NI-simple et pour la méthode NI-avancée)</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Banques centrales et administrations centrales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(Article 147, paragraphe 2, point a), du CRR)</w:t>
      </w:r>
    </w:p>
    <w:p w:rsidR="001C7AB7" w:rsidRPr="0023700C"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Établissements</w:t>
      </w:r>
    </w:p>
    <w:p w:rsidR="001C7AB7" w:rsidRPr="0023700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(Article 147, paragraphe 2, point b), du CRR)</w:t>
      </w:r>
    </w:p>
    <w:p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Entreprises- PME</w:t>
      </w:r>
    </w:p>
    <w:p w:rsidR="001C7AB7" w:rsidRPr="001C5CA8"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(Article 147, paragraphe 2, point c), du CRR)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Entreprises - Financements spécialisés</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(Article 147, paragraphe 8, du CRR)</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Entreprises — Autres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(Toutes les entreprises visées à l'article 147, paragraphe 2, point c), qui ne sont pas déclarées aux points 4.1 et 4.2)</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Clientèle de détail — Expositions garanties par des biens immobiliers PME</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(Expositions reflétant l'article 147, paragraphe 2, point d), en conjonction avec l'article 154, paragraphe 3, du CRR, et qui sont garanties par des biens immob</w:t>
      </w:r>
      <w:r>
        <w:rPr>
          <w:rFonts w:ascii="Times New Roman" w:hAnsi="Times New Roman"/>
          <w:sz w:val="24"/>
        </w:rPr>
        <w:t>i</w:t>
      </w:r>
      <w:r>
        <w:rPr>
          <w:rFonts w:ascii="Times New Roman" w:hAnsi="Times New Roman"/>
          <w:sz w:val="24"/>
        </w:rPr>
        <w:t>liers).</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Clientèle de détail – Expositions garanties par des biens immobiliers non-PME</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(Expositions reflétant l'article 147, paragraphe 2, point d), du CRR, qui sont garanties par des biens immobiliers et ne sont pas déclarées au point 5.1)</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Clientèle de détail – Expositions renouvelables éligibles</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(Article 147, paragraphe 2, point d), en conjonction avec l'article 154, par</w:t>
      </w:r>
      <w:r>
        <w:rPr>
          <w:rFonts w:ascii="Times New Roman" w:hAnsi="Times New Roman"/>
          <w:sz w:val="24"/>
        </w:rPr>
        <w:t>a</w:t>
      </w:r>
      <w:r>
        <w:rPr>
          <w:rFonts w:ascii="Times New Roman" w:hAnsi="Times New Roman"/>
          <w:sz w:val="24"/>
        </w:rPr>
        <w:t xml:space="preserve">graphe 4, du CRR)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Clientèle de détail – Autres PME</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(Article 147, paragraphe 2, point d), non déclarées aux points 5.1 et 5.3)</w:t>
      </w:r>
    </w:p>
    <w:p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Clientèle de détail – Autres non-PME</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(Article 147, paragraphe 2, point d), du CRR non déclarées aux points 5.2 et 5.3)</w:t>
      </w:r>
    </w:p>
    <w:p w:rsidR="001C7AB7" w:rsidRPr="00392FFD" w:rsidRDefault="001C7AB7" w:rsidP="001C7AB7">
      <w:pPr>
        <w:autoSpaceDE w:val="0"/>
        <w:autoSpaceDN w:val="0"/>
        <w:adjustRightInd w:val="0"/>
        <w:spacing w:before="0" w:after="240"/>
        <w:jc w:val="left"/>
        <w:rPr>
          <w:rFonts w:ascii="Times New Roman" w:hAnsi="Times New Roman"/>
          <w:sz w:val="24"/>
        </w:rPr>
      </w:pPr>
    </w:p>
    <w:p w:rsidR="00206687" w:rsidRPr="00392FFD" w:rsidRDefault="00125707" w:rsidP="0023700C">
      <w:pPr>
        <w:pStyle w:val="Instructionsberschrift2"/>
        <w:numPr>
          <w:ilvl w:val="0"/>
          <w:numId w:val="0"/>
        </w:numPr>
        <w:ind w:left="357" w:hanging="357"/>
        <w:rPr>
          <w:rFonts w:ascii="Times New Roman" w:hAnsi="Times New Roman" w:cs="Times New Roman"/>
          <w:sz w:val="24"/>
        </w:rPr>
      </w:pPr>
      <w:bookmarkStart w:id="275" w:name="_Toc516210644"/>
      <w:bookmarkStart w:id="276" w:name="_Toc473560909"/>
      <w:bookmarkStart w:id="277" w:name="_Toc239157380"/>
      <w:bookmarkStart w:id="278" w:name="_Toc262568038"/>
      <w:bookmarkStart w:id="279" w:name="_Toc264038436"/>
      <w:bookmarkStart w:id="280" w:name="_Toc295829866"/>
      <w:bookmarkStart w:id="281" w:name="_Toc308155143"/>
      <w:bookmarkStart w:id="282" w:name="_Toc310415030"/>
      <w:bookmarkStart w:id="283" w:name="_Toc360188360"/>
      <w:bookmarkStart w:id="284" w:name="_Toc524104183"/>
      <w:r>
        <w:rPr>
          <w:rFonts w:ascii="Times New Roman" w:hAnsi="Times New Roman"/>
          <w:sz w:val="24"/>
          <w:u w:val="none"/>
        </w:rPr>
        <w:t>3.3.3.</w:t>
      </w:r>
      <w:r w:rsidRPr="00FA61E3">
        <w:rPr>
          <w:u w:val="none"/>
        </w:rPr>
        <w:tab/>
      </w:r>
      <w:r>
        <w:rPr>
          <w:rFonts w:ascii="Times New Roman" w:hAnsi="Times New Roman"/>
          <w:sz w:val="24"/>
        </w:rPr>
        <w:t>C 08.01 – Risque de crédit et de crédit de contrepartie et positions de négociation non dénouées: Approche NI des exigences de fonds propres (CR IRB 1)</w:t>
      </w:r>
      <w:bookmarkEnd w:id="275"/>
      <w:bookmarkEnd w:id="276"/>
      <w:bookmarkEnd w:id="284"/>
    </w:p>
    <w:p w:rsidR="001C7AB7" w:rsidRPr="00392FFD" w:rsidRDefault="00125707" w:rsidP="0023700C">
      <w:pPr>
        <w:pStyle w:val="Instructionsberschrift2"/>
        <w:numPr>
          <w:ilvl w:val="0"/>
          <w:numId w:val="0"/>
        </w:numPr>
        <w:ind w:left="709" w:hanging="720"/>
        <w:rPr>
          <w:rFonts w:ascii="Times New Roman" w:hAnsi="Times New Roman" w:cs="Times New Roman"/>
          <w:sz w:val="24"/>
        </w:rPr>
      </w:pPr>
      <w:bookmarkStart w:id="285" w:name="_Toc516210645"/>
      <w:bookmarkStart w:id="286" w:name="_Toc473560910"/>
      <w:bookmarkStart w:id="287" w:name="_Toc524104184"/>
      <w:r>
        <w:rPr>
          <w:rFonts w:ascii="Times New Roman" w:hAnsi="Times New Roman"/>
          <w:sz w:val="24"/>
          <w:u w:val="none"/>
        </w:rPr>
        <w:t>3.3.3.1</w:t>
      </w:r>
      <w:r>
        <w:tab/>
      </w:r>
      <w:r>
        <w:rPr>
          <w:rFonts w:ascii="Times New Roman" w:hAnsi="Times New Roman"/>
          <w:sz w:val="24"/>
        </w:rPr>
        <w:t>Instructions concernant certaines positions</w:t>
      </w:r>
      <w:bookmarkEnd w:id="277"/>
      <w:bookmarkEnd w:id="278"/>
      <w:bookmarkEnd w:id="279"/>
      <w:bookmarkEnd w:id="280"/>
      <w:bookmarkEnd w:id="281"/>
      <w:bookmarkEnd w:id="282"/>
      <w:bookmarkEnd w:id="283"/>
      <w:bookmarkEnd w:id="285"/>
      <w:bookmarkEnd w:id="286"/>
      <w:bookmarkEnd w:id="28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rsidTr="00672D2A">
        <w:tc>
          <w:tcPr>
            <w:tcW w:w="1188"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Colonne</w:t>
            </w:r>
          </w:p>
        </w:tc>
        <w:tc>
          <w:tcPr>
            <w:tcW w:w="8843"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Instructions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010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SYSTÈME DE NOTATION INTERNE/PROBABILITÉ DE DÉFAUT (PD) A</w:t>
            </w:r>
            <w:r>
              <w:rPr>
                <w:rStyle w:val="InstructionsTabelleberschrift"/>
                <w:rFonts w:ascii="Times New Roman" w:hAnsi="Times New Roman"/>
                <w:sz w:val="24"/>
              </w:rPr>
              <w:t>F</w:t>
            </w:r>
            <w:r>
              <w:rPr>
                <w:rStyle w:val="InstructionsTabelleberschrift"/>
                <w:rFonts w:ascii="Times New Roman" w:hAnsi="Times New Roman"/>
                <w:sz w:val="24"/>
              </w:rPr>
              <w:t>FECTÉE PAR ÉCHELON OU CATÉGORIE DE DÉBITEURS (%)</w:t>
            </w:r>
          </w:p>
          <w:p w:rsidR="001C7AB7" w:rsidRPr="00392FFD" w:rsidRDefault="001C7AB7" w:rsidP="001C7AB7">
            <w:pPr>
              <w:rPr>
                <w:rFonts w:ascii="Times New Roman" w:hAnsi="Times New Roman"/>
                <w:sz w:val="24"/>
              </w:rPr>
            </w:pPr>
            <w:r>
              <w:rPr>
                <w:rStyle w:val="InstructionsTabelleText"/>
                <w:rFonts w:ascii="Times New Roman" w:hAnsi="Times New Roman"/>
                <w:sz w:val="24"/>
              </w:rPr>
              <w:t>Les probabilités de défaut (PD) attribuées aux échelons ou aux catégories de débiteurs à déclarer seront basées sur les dispositions énoncées à l'article 180 du CRR. Pour chaque échelon ou catégorie, les PD qui leur sont spécifiquement attribuées seront déclarées. En ce qui concerne les chiffres correspondant à un ensemble d'échelons ou de catégories de débiteurs (par ex. le montant total des expositions), le montant moyen, pondéré en fon</w:t>
            </w:r>
            <w:r>
              <w:rPr>
                <w:rStyle w:val="InstructionsTabelleText"/>
                <w:rFonts w:ascii="Times New Roman" w:hAnsi="Times New Roman"/>
                <w:sz w:val="24"/>
              </w:rPr>
              <w:t>c</w:t>
            </w:r>
            <w:r>
              <w:rPr>
                <w:rStyle w:val="InstructionsTabelleText"/>
                <w:rFonts w:ascii="Times New Roman" w:hAnsi="Times New Roman"/>
                <w:sz w:val="24"/>
              </w:rPr>
              <w:t>tion de l'exposition, des PD attribuées aux échelons ou aux catégories de débiteurs inclus dans cet ensemble sera fourni. La valeur exposée au risque (colonne 110) sera utilisée pour le calcul du montant pondéré moyen des PD</w:t>
            </w:r>
            <w:r>
              <w:rPr>
                <w:rFonts w:ascii="Times New Roman" w:hAnsi="Times New Roman"/>
                <w:sz w:val="24"/>
              </w:rPr>
              <w: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Pour chaque échelon ou catégorie, les PD qui leur sont spécifiquement attribuées seront déclarées. Tous les paramètres de risque déclarés seront tirés des paramètres de risque utilisés dans le système de notations internes approuvé par les autorités compétentes re</w:t>
            </w:r>
            <w:r>
              <w:rPr>
                <w:rStyle w:val="InstructionsTabelleText"/>
                <w:rFonts w:ascii="Times New Roman" w:hAnsi="Times New Roman"/>
                <w:sz w:val="24"/>
              </w:rPr>
              <w:t>s</w:t>
            </w:r>
            <w:r>
              <w:rPr>
                <w:rStyle w:val="InstructionsTabelleText"/>
                <w:rFonts w:ascii="Times New Roman" w:hAnsi="Times New Roman"/>
                <w:sz w:val="24"/>
              </w:rPr>
              <w:t>pectives.</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Il n'est ni envisagé ni souhaitable de disposer d'une échelle réglementaire. Lorsque l'ét</w:t>
            </w:r>
            <w:r>
              <w:rPr>
                <w:rStyle w:val="InstructionsTabelleText"/>
                <w:rFonts w:ascii="Times New Roman" w:hAnsi="Times New Roman"/>
                <w:sz w:val="24"/>
              </w:rPr>
              <w:t>a</w:t>
            </w:r>
            <w:r>
              <w:rPr>
                <w:rStyle w:val="InstructionsTabelleText"/>
                <w:rFonts w:ascii="Times New Roman" w:hAnsi="Times New Roman"/>
                <w:sz w:val="24"/>
              </w:rPr>
              <w:t>blissement déclarant applique un système de notation unique ou peut procéder à une d</w:t>
            </w:r>
            <w:r>
              <w:rPr>
                <w:rStyle w:val="InstructionsTabelleText"/>
                <w:rFonts w:ascii="Times New Roman" w:hAnsi="Times New Roman"/>
                <w:sz w:val="24"/>
              </w:rPr>
              <w:t>é</w:t>
            </w:r>
            <w:r>
              <w:rPr>
                <w:rStyle w:val="InstructionsTabelleText"/>
                <w:rFonts w:ascii="Times New Roman" w:hAnsi="Times New Roman"/>
                <w:sz w:val="24"/>
              </w:rPr>
              <w:t xml:space="preserve">claration selon une échelle interne, on optera pour cette échelle.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Sinon, on fusionnera les divers systèmes de notation, lesquels seront classés selon les cr</w:t>
            </w:r>
            <w:r>
              <w:rPr>
                <w:rStyle w:val="InstructionsTabelleText"/>
                <w:rFonts w:ascii="Times New Roman" w:hAnsi="Times New Roman"/>
                <w:sz w:val="24"/>
              </w:rPr>
              <w:t>i</w:t>
            </w:r>
            <w:r>
              <w:rPr>
                <w:rStyle w:val="InstructionsTabelleText"/>
                <w:rFonts w:ascii="Times New Roman" w:hAnsi="Times New Roman"/>
                <w:sz w:val="24"/>
              </w:rPr>
              <w:t>tères suivants: Les échelons de débiteurs de ces divers systèmes de notation seront gro</w:t>
            </w:r>
            <w:r>
              <w:rPr>
                <w:rStyle w:val="InstructionsTabelleText"/>
                <w:rFonts w:ascii="Times New Roman" w:hAnsi="Times New Roman"/>
                <w:sz w:val="24"/>
              </w:rPr>
              <w:t>u</w:t>
            </w:r>
            <w:r>
              <w:rPr>
                <w:rStyle w:val="InstructionsTabelleText"/>
                <w:rFonts w:ascii="Times New Roman" w:hAnsi="Times New Roman"/>
                <w:sz w:val="24"/>
              </w:rPr>
              <w:t>pés et classés de la plus petite PD attribuée à chaque débiteur à la plus grande. Lorsque l'établissement recourt à un grand nombre d'échelons ou de catégories, il sera possible de convenir avec les autorités compétentes d'un nombre réduit d'échelons ou de catégories à déclarer.</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Les établissements contacteront au préalable leurs autorités compétentes s'ils souhaitent déclarer un autre nombre d'échelons que celui utilisé en interne.</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Aux fins de la pondération de la PD moyenne, on utilisera la valeur exposée au risque f</w:t>
            </w:r>
            <w:r>
              <w:rPr>
                <w:rStyle w:val="InstructionsTabelleText"/>
                <w:rFonts w:ascii="Times New Roman" w:hAnsi="Times New Roman"/>
                <w:sz w:val="24"/>
              </w:rPr>
              <w:t>i</w:t>
            </w:r>
            <w:r>
              <w:rPr>
                <w:rStyle w:val="InstructionsTabelleText"/>
                <w:rFonts w:ascii="Times New Roman" w:hAnsi="Times New Roman"/>
                <w:sz w:val="24"/>
              </w:rPr>
              <w:t>gurant dans la colonne 110. Toutes les expositions, y compris celles en défaut, doivent être prises en compte pour le calcul du montant moyen, pondéré en fonction de l'expos</w:t>
            </w:r>
            <w:r>
              <w:rPr>
                <w:rStyle w:val="InstructionsTabelleText"/>
                <w:rFonts w:ascii="Times New Roman" w:hAnsi="Times New Roman"/>
                <w:sz w:val="24"/>
              </w:rPr>
              <w:t>i</w:t>
            </w:r>
            <w:r>
              <w:rPr>
                <w:rStyle w:val="InstructionsTabelleText"/>
                <w:rFonts w:ascii="Times New Roman" w:hAnsi="Times New Roman"/>
                <w:sz w:val="24"/>
              </w:rPr>
              <w:t>tion, des PD (par ex. pour le «montant total d'exposition»). Les expositions en défaut sont celles classées dans l'échelon le plus bas, avec une PD de 100 %.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EXPOSITION INITIALE AVANT APPLICATION DES FACTEURS DE CO</w:t>
            </w:r>
            <w:r>
              <w:rPr>
                <w:rFonts w:ascii="Times New Roman" w:hAnsi="Times New Roman"/>
                <w:b/>
                <w:sz w:val="24"/>
                <w:u w:val="single"/>
              </w:rPr>
              <w:t>N</w:t>
            </w:r>
            <w:r>
              <w:rPr>
                <w:rFonts w:ascii="Times New Roman" w:hAnsi="Times New Roman"/>
                <w:b/>
                <w:sz w:val="24"/>
                <w:u w:val="single"/>
              </w:rPr>
              <w:t>VERSION</w:t>
            </w:r>
          </w:p>
          <w:p w:rsidR="001C7AB7" w:rsidRPr="00392FFD" w:rsidRDefault="001C7AB7" w:rsidP="001C7AB7">
            <w:pPr>
              <w:rPr>
                <w:rFonts w:ascii="Times New Roman" w:hAnsi="Times New Roman"/>
                <w:sz w:val="24"/>
              </w:rPr>
            </w:pPr>
            <w:r>
              <w:rPr>
                <w:rFonts w:ascii="Times New Roman" w:hAnsi="Times New Roman"/>
                <w:sz w:val="24"/>
              </w:rPr>
              <w:t xml:space="preserve">Les établissements déclarent la valeur exposée au risque compte non tenu des corrections de valeur, des provisions, des effets dus aux techniques d'atténuation du risque de crédit ou des facteurs de conversion de crédit. </w:t>
            </w:r>
          </w:p>
          <w:p w:rsidR="001C7AB7" w:rsidRPr="00392FFD" w:rsidRDefault="001C7AB7" w:rsidP="001C7AB7">
            <w:pPr>
              <w:rPr>
                <w:rFonts w:ascii="Times New Roman" w:hAnsi="Times New Roman"/>
                <w:sz w:val="24"/>
              </w:rPr>
            </w:pPr>
            <w:r>
              <w:rPr>
                <w:rFonts w:ascii="Times New Roman" w:hAnsi="Times New Roman"/>
                <w:sz w:val="24"/>
              </w:rPr>
              <w:t>La valeur initiale exposée au risque sera déclarée conformément à l'article 24 du CRR et à l'article 166, paragraphes 1 et 2 et 4 à 7, du CRR.</w:t>
            </w:r>
          </w:p>
          <w:p w:rsidR="001C7AB7" w:rsidRPr="00392FFD" w:rsidRDefault="001C7AB7" w:rsidP="001C7AB7">
            <w:pPr>
              <w:rPr>
                <w:rFonts w:ascii="Times New Roman" w:hAnsi="Times New Roman"/>
                <w:sz w:val="24"/>
              </w:rPr>
            </w:pPr>
            <w:r>
              <w:rPr>
                <w:rFonts w:ascii="Times New Roman" w:hAnsi="Times New Roman"/>
                <w:sz w:val="24"/>
              </w:rPr>
              <w:t>L'effet résultant des dispositions de l'article 166, paragraphe 3, du CRR (effet de la co</w:t>
            </w:r>
            <w:r>
              <w:rPr>
                <w:rFonts w:ascii="Times New Roman" w:hAnsi="Times New Roman"/>
                <w:sz w:val="24"/>
              </w:rPr>
              <w:t>m</w:t>
            </w:r>
            <w:r>
              <w:rPr>
                <w:rFonts w:ascii="Times New Roman" w:hAnsi="Times New Roman"/>
                <w:sz w:val="24"/>
              </w:rPr>
              <w:t xml:space="preserve">pensation au bilan des prêts et des dépôts) est déclaré séparément, en tant que protection de crédit financée, et ne réduira donc pas l'exposition initiale.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DONT: ENTITÉS DU SECTEUR FINANCIER DE GRANDE TAILLE ET ENT</w:t>
            </w:r>
            <w:r>
              <w:rPr>
                <w:rFonts w:ascii="Times New Roman" w:hAnsi="Times New Roman"/>
                <w:b/>
                <w:sz w:val="24"/>
                <w:u w:val="single"/>
              </w:rPr>
              <w:t>I</w:t>
            </w:r>
            <w:r>
              <w:rPr>
                <w:rFonts w:ascii="Times New Roman" w:hAnsi="Times New Roman"/>
                <w:b/>
                <w:sz w:val="24"/>
                <w:u w:val="single"/>
              </w:rPr>
              <w:lastRenderedPageBreak/>
              <w:t>TÉS DU SECTEUR FINANCIER NON RÉGLEMENTÉES</w:t>
            </w:r>
          </w:p>
          <w:p w:rsidR="001C7AB7" w:rsidRPr="00392FFD" w:rsidRDefault="001C7AB7" w:rsidP="001C7AB7">
            <w:pPr>
              <w:rPr>
                <w:rFonts w:ascii="Times New Roman" w:hAnsi="Times New Roman"/>
                <w:b/>
                <w:sz w:val="24"/>
                <w:u w:val="single"/>
              </w:rPr>
            </w:pPr>
            <w:r>
              <w:rPr>
                <w:rFonts w:ascii="Times New Roman" w:hAnsi="Times New Roman"/>
                <w:sz w:val="24"/>
              </w:rPr>
              <w:t>Ventilation de l'exposition initiale avant application des facteurs de conversion pour toutes les expositions définies selon l'article 142, paragraphes 4 et 5, du CRR, soumises à une corrélation plus forte, conformément à l'article 153, paragraphe 2, du CRR.</w:t>
            </w: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lastRenderedPageBreak/>
              <w:t>040-080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TECHNIQUES D'ATTÉNUATION DU RISQUE DE CRÉDIT (ARC) AVEC E</w:t>
            </w:r>
            <w:r>
              <w:rPr>
                <w:rFonts w:ascii="Times New Roman" w:hAnsi="Times New Roman"/>
                <w:b/>
                <w:sz w:val="24"/>
                <w:u w:val="single"/>
              </w:rPr>
              <w:t>F</w:t>
            </w:r>
            <w:r>
              <w:rPr>
                <w:rFonts w:ascii="Times New Roman" w:hAnsi="Times New Roman"/>
                <w:b/>
                <w:sz w:val="24"/>
                <w:u w:val="single"/>
              </w:rPr>
              <w:t>FETS DE SUBSTITUTION SUR L'EXPOSITION</w:t>
            </w:r>
          </w:p>
          <w:p w:rsidR="001C7AB7" w:rsidRPr="00392FFD" w:rsidRDefault="001C7AB7" w:rsidP="001C7AB7">
            <w:pPr>
              <w:rPr>
                <w:rFonts w:ascii="Times New Roman" w:hAnsi="Times New Roman"/>
                <w:sz w:val="24"/>
              </w:rPr>
            </w:pPr>
            <w:r>
              <w:rPr>
                <w:rFonts w:ascii="Times New Roman" w:hAnsi="Times New Roman"/>
                <w:sz w:val="24"/>
              </w:rPr>
              <w:t>Techniques d'atténuation du risque de crédit, définies à l'article 4, point 57), du CRR, qui permettent de réduire le risque de crédit d'une ou plusieurs expositions par le biais de la substitution d'expositions telle que définie ci-après, au point intitulé «SUBSTITUTION DE L'EXPOSITION DUE À L'ARC».</w:t>
            </w:r>
          </w:p>
          <w:p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PROTECTION DE CRÉDIT NON FINANCÉE</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Protection de crédit non financée: Valeurs telles que définies à l'article 4, point 59), du CRR.</w:t>
            </w:r>
          </w:p>
          <w:p w:rsidR="001C7AB7" w:rsidRPr="00392FFD" w:rsidRDefault="001C7AB7" w:rsidP="001C7AB7">
            <w:pPr>
              <w:rPr>
                <w:rFonts w:ascii="Times New Roman" w:hAnsi="Times New Roman"/>
                <w:sz w:val="24"/>
              </w:rPr>
            </w:pPr>
            <w:r>
              <w:rPr>
                <w:rFonts w:ascii="Times New Roman" w:hAnsi="Times New Roman"/>
                <w:sz w:val="24"/>
              </w:rPr>
              <w:t>Lorsqu'une sûreté exerce une influence sur l'exposition (par ex. lorsqu'elle est utilisée dans le cadre de techniques d'atténuation du risque de crédit avec effets de substitution sur l'exposition), elle sera plafonnée à la valeur exposée au risque.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843" w:type="dxa"/>
          </w:tcPr>
          <w:p w:rsidR="001C7AB7" w:rsidRPr="00392FFD"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GARANTIES:</w:t>
            </w:r>
          </w:p>
          <w:p w:rsidR="001C7AB7" w:rsidRPr="00392FFD" w:rsidRDefault="001C7AB7" w:rsidP="001C7AB7">
            <w:pPr>
              <w:jc w:val="left"/>
              <w:rPr>
                <w:rFonts w:ascii="Times New Roman" w:hAnsi="Times New Roman"/>
                <w:sz w:val="24"/>
              </w:rPr>
            </w:pPr>
            <w:r>
              <w:rPr>
                <w:rFonts w:ascii="Times New Roman" w:hAnsi="Times New Roman"/>
                <w:sz w:val="24"/>
              </w:rPr>
              <w:t>Lorsqu'il n'est pas fait usage des propres estimations de LGD, la valeur corrigée (Ga) telle que définie à l'article 236 du CRR sera fournie.</w:t>
            </w:r>
          </w:p>
          <w:p w:rsidR="001C7AB7" w:rsidRPr="00392FFD" w:rsidRDefault="001C7AB7" w:rsidP="001C7AB7">
            <w:pPr>
              <w:jc w:val="left"/>
              <w:rPr>
                <w:rFonts w:ascii="Times New Roman" w:hAnsi="Times New Roman"/>
                <w:sz w:val="24"/>
              </w:rPr>
            </w:pPr>
            <w:r>
              <w:rPr>
                <w:rFonts w:ascii="Times New Roman" w:hAnsi="Times New Roman"/>
                <w:sz w:val="24"/>
              </w:rPr>
              <w:t>Lorsqu'il est fait usage des propres estimations de LGD (article 183 du CRR, à l'exce</w:t>
            </w:r>
            <w:r>
              <w:rPr>
                <w:rFonts w:ascii="Times New Roman" w:hAnsi="Times New Roman"/>
                <w:sz w:val="24"/>
              </w:rPr>
              <w:t>p</w:t>
            </w:r>
            <w:r>
              <w:rPr>
                <w:rFonts w:ascii="Times New Roman" w:hAnsi="Times New Roman"/>
                <w:sz w:val="24"/>
              </w:rPr>
              <w:t xml:space="preserve">tion du paragraphe 3), la valeur pertinente utilisée dans le modèle interne sera déclarée. </w:t>
            </w:r>
          </w:p>
          <w:p w:rsidR="001C7AB7" w:rsidRPr="00392FFD" w:rsidRDefault="001C7AB7" w:rsidP="001C7AB7">
            <w:pPr>
              <w:jc w:val="left"/>
              <w:rPr>
                <w:rFonts w:ascii="Times New Roman" w:hAnsi="Times New Roman"/>
                <w:sz w:val="24"/>
              </w:rPr>
            </w:pPr>
            <w:r>
              <w:rPr>
                <w:rFonts w:ascii="Times New Roman" w:hAnsi="Times New Roman"/>
                <w:sz w:val="24"/>
              </w:rPr>
              <w:t>Les garanties seront déclarées dans la colonne 040 lorsque aucune correction n'est appo</w:t>
            </w:r>
            <w:r>
              <w:rPr>
                <w:rFonts w:ascii="Times New Roman" w:hAnsi="Times New Roman"/>
                <w:sz w:val="24"/>
              </w:rPr>
              <w:t>r</w:t>
            </w:r>
            <w:r>
              <w:rPr>
                <w:rFonts w:ascii="Times New Roman" w:hAnsi="Times New Roman"/>
                <w:sz w:val="24"/>
              </w:rPr>
              <w:t>tée aux LGD. Si des corrections sont apportées aux LGD, le montant de la garantie sera déclaré dans la colonne 150.</w:t>
            </w:r>
          </w:p>
          <w:p w:rsidR="00785F3E" w:rsidRPr="00392FFD" w:rsidRDefault="00785F3E" w:rsidP="001C7AB7">
            <w:pPr>
              <w:jc w:val="left"/>
              <w:rPr>
                <w:rFonts w:ascii="Times New Roman" w:hAnsi="Times New Roman"/>
                <w:sz w:val="24"/>
              </w:rPr>
            </w:pPr>
            <w:r>
              <w:rPr>
                <w:rFonts w:ascii="Times New Roman" w:hAnsi="Times New Roman"/>
                <w:sz w:val="24"/>
              </w:rPr>
              <w:t>En ce qui concerne les expositions soumises à un traitement de double défaut, la valeur de la protection de crédit non financée est déclarée dans la colonne 220.</w:t>
            </w:r>
          </w:p>
          <w:p w:rsidR="001C7AB7" w:rsidRPr="00392FFD" w:rsidRDefault="001C7AB7" w:rsidP="001C7AB7">
            <w:pPr>
              <w:jc w:val="left"/>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DÉRIVÉS DE CRÉDIT:</w:t>
            </w:r>
          </w:p>
          <w:p w:rsidR="001C7AB7" w:rsidRPr="00392FFD" w:rsidRDefault="001C7AB7" w:rsidP="001C7AB7">
            <w:pPr>
              <w:rPr>
                <w:rFonts w:ascii="Times New Roman" w:hAnsi="Times New Roman"/>
                <w:sz w:val="24"/>
              </w:rPr>
            </w:pPr>
            <w:r>
              <w:rPr>
                <w:rFonts w:ascii="Times New Roman" w:hAnsi="Times New Roman"/>
                <w:sz w:val="24"/>
              </w:rPr>
              <w:t>Lorsqu'il n'est pas fait usage des propres estimations de LGD, la valeur corrigée (Ga) telle que définie à l'article 216 du CRR sera fournie.</w:t>
            </w:r>
          </w:p>
          <w:p w:rsidR="00785F3E" w:rsidRPr="00392FFD" w:rsidRDefault="00785F3E" w:rsidP="001C7AB7">
            <w:pPr>
              <w:rPr>
                <w:rFonts w:ascii="Times New Roman" w:hAnsi="Times New Roman"/>
                <w:sz w:val="24"/>
              </w:rPr>
            </w:pPr>
            <w:r>
              <w:rPr>
                <w:rFonts w:ascii="Times New Roman" w:hAnsi="Times New Roman"/>
                <w:sz w:val="24"/>
              </w:rPr>
              <w:t>Lorsqu'il est fait usage des propres estimations de LGD (article 183 du CRR), la valeur pertinente utilisée pour la modélisation interne sera déclarée.</w:t>
            </w:r>
          </w:p>
          <w:p w:rsidR="001C7AB7" w:rsidRPr="00392FFD" w:rsidRDefault="001C7AB7" w:rsidP="001C7AB7">
            <w:pPr>
              <w:rPr>
                <w:rFonts w:ascii="Times New Roman" w:hAnsi="Times New Roman"/>
                <w:sz w:val="24"/>
              </w:rPr>
            </w:pPr>
            <w:r>
              <w:rPr>
                <w:rFonts w:ascii="Times New Roman" w:hAnsi="Times New Roman"/>
                <w:sz w:val="24"/>
              </w:rPr>
              <w:t>Si des corrections sont apportées aux LGD, le montant des dérivés de crédit sera déclaré dans la colonne 160.</w:t>
            </w:r>
          </w:p>
          <w:p w:rsidR="001C7AB7" w:rsidRPr="00392FFD" w:rsidRDefault="001C7AB7" w:rsidP="00785F3E">
            <w:pPr>
              <w:jc w:val="left"/>
              <w:rPr>
                <w:rFonts w:ascii="Times New Roman" w:hAnsi="Times New Roman"/>
                <w:sz w:val="24"/>
              </w:rPr>
            </w:pPr>
            <w:r>
              <w:rPr>
                <w:rFonts w:ascii="Times New Roman" w:hAnsi="Times New Roman"/>
                <w:sz w:val="24"/>
              </w:rPr>
              <w:t>En ce qui concerne les expositions soumises à un traitement de double défaut, la valeur de la protection de crédit non financée doit être déclarée dans la colonne 220.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AUTRES FORMES DE PROTECTION DE CRÉDIT FINANCÉE</w:t>
            </w:r>
          </w:p>
          <w:p w:rsidR="00785F3E" w:rsidRPr="00392FFD" w:rsidRDefault="00785F3E" w:rsidP="001C7AB7">
            <w:pPr>
              <w:rPr>
                <w:rStyle w:val="InstructionsTabelleText"/>
                <w:rFonts w:ascii="Times New Roman" w:hAnsi="Times New Roman"/>
                <w:sz w:val="24"/>
              </w:rPr>
            </w:pPr>
            <w:r>
              <w:rPr>
                <w:rStyle w:val="InstructionsTabelleText"/>
                <w:rFonts w:ascii="Times New Roman" w:hAnsi="Times New Roman"/>
                <w:sz w:val="24"/>
              </w:rPr>
              <w:t xml:space="preserve">Lorsqu'une sûreté exerce une influence sur l'exposition (par ex. lorsqu'elle est utilisée </w:t>
            </w:r>
            <w:r>
              <w:rPr>
                <w:rStyle w:val="InstructionsTabelleText"/>
                <w:rFonts w:ascii="Times New Roman" w:hAnsi="Times New Roman"/>
                <w:sz w:val="24"/>
              </w:rPr>
              <w:lastRenderedPageBreak/>
              <w:t>dans le cadre de techniques d'atténuation du risque de crédit avec effets de substitution sur l'exposition), elle sera plafonnée à la valeur exposée au risque.</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Lorsqu'il n'est pas fait usage des propres estimations de LGD, l'article 232 du CRR s'a</w:t>
            </w:r>
            <w:r>
              <w:rPr>
                <w:rStyle w:val="InstructionsTabelleText"/>
                <w:rFonts w:ascii="Times New Roman" w:hAnsi="Times New Roman"/>
                <w:sz w:val="24"/>
              </w:rPr>
              <w:t>p</w:t>
            </w:r>
            <w:r>
              <w:rPr>
                <w:rStyle w:val="InstructionsTabelleText"/>
                <w:rFonts w:ascii="Times New Roman" w:hAnsi="Times New Roman"/>
                <w:sz w:val="24"/>
              </w:rPr>
              <w:t>plique.</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Lorsqu'il est fait usage des propres estimations de LGD, les mesures d'atténuation du risque de crédit qui satisfont aux critères de l'article 212 du CRR seront déclarées. La v</w:t>
            </w:r>
            <w:r>
              <w:rPr>
                <w:rStyle w:val="InstructionsTabelleText"/>
                <w:rFonts w:ascii="Times New Roman" w:hAnsi="Times New Roman"/>
                <w:sz w:val="24"/>
              </w:rPr>
              <w:t>a</w:t>
            </w:r>
            <w:r>
              <w:rPr>
                <w:rStyle w:val="InstructionsTabelleText"/>
                <w:rFonts w:ascii="Times New Roman" w:hAnsi="Times New Roman"/>
                <w:sz w:val="24"/>
              </w:rPr>
              <w:t>leur pertinente utilisée dans le modèle interne sera déclarée.</w:t>
            </w:r>
          </w:p>
          <w:p w:rsidR="001C7AB7" w:rsidRPr="00392FFD" w:rsidRDefault="001C7AB7" w:rsidP="001C7AB7">
            <w:pPr>
              <w:rPr>
                <w:rFonts w:ascii="Times New Roman" w:hAnsi="Times New Roman"/>
                <w:sz w:val="24"/>
              </w:rPr>
            </w:pPr>
            <w:r>
              <w:rPr>
                <w:rStyle w:val="InstructionsTabelleText"/>
                <w:rFonts w:ascii="Times New Roman" w:hAnsi="Times New Roman"/>
                <w:sz w:val="24"/>
              </w:rPr>
              <w:t>À déclarer dans la colonne 060 lorsque aucune correction n'est apportée aux LGD. Si une correction est apportée aux LGD, le montant sera déclaré dans la colonne 170.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070-080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SUBSTITUTION DE L'EXPOSITION DUE À L'ARC</w:t>
            </w:r>
          </w:p>
          <w:p w:rsidR="001C7AB7" w:rsidRPr="00392FFD" w:rsidRDefault="001C7AB7" w:rsidP="001C7AB7">
            <w:pPr>
              <w:rPr>
                <w:rFonts w:ascii="Times New Roman" w:hAnsi="Times New Roman"/>
                <w:sz w:val="24"/>
              </w:rPr>
            </w:pPr>
            <w:r>
              <w:rPr>
                <w:rFonts w:ascii="Times New Roman" w:hAnsi="Times New Roman"/>
                <w:sz w:val="24"/>
              </w:rPr>
              <w:t>Les sorties correspondent à la partie couverte de l'exposition initiale avant application des facteurs de conversion, qui est déduite de la catégorie d'expositions du débiteur et, le cas échéant, de l'échelon ou de la catégorie de débiteurs, puis réaffectée à la catégorie d'e</w:t>
            </w:r>
            <w:r>
              <w:rPr>
                <w:rFonts w:ascii="Times New Roman" w:hAnsi="Times New Roman"/>
                <w:sz w:val="24"/>
              </w:rPr>
              <w:t>x</w:t>
            </w:r>
            <w:r>
              <w:rPr>
                <w:rFonts w:ascii="Times New Roman" w:hAnsi="Times New Roman"/>
                <w:sz w:val="24"/>
              </w:rPr>
              <w:t>positions du fournisseur de protection et, le cas échéant, de l'échelon ou de la catégorie de débiteurs. Ce montant sera considéré comme une entrée dans la catégorie d'expositions du fournisseur de protection et, le cas échéant, de l'échelon ou de la catégorie de déb</w:t>
            </w:r>
            <w:r>
              <w:rPr>
                <w:rFonts w:ascii="Times New Roman" w:hAnsi="Times New Roman"/>
                <w:sz w:val="24"/>
              </w:rPr>
              <w:t>i</w:t>
            </w:r>
            <w:r>
              <w:rPr>
                <w:rFonts w:ascii="Times New Roman" w:hAnsi="Times New Roman"/>
                <w:sz w:val="24"/>
              </w:rPr>
              <w:t>teurs.</w:t>
            </w:r>
          </w:p>
          <w:p w:rsidR="001C7AB7" w:rsidRPr="00392FFD" w:rsidRDefault="001C7AB7" w:rsidP="001C7AB7">
            <w:pPr>
              <w:rPr>
                <w:rFonts w:ascii="Times New Roman" w:hAnsi="Times New Roman"/>
                <w:b/>
                <w:sz w:val="24"/>
              </w:rPr>
            </w:pPr>
            <w:r>
              <w:rPr>
                <w:rFonts w:ascii="Times New Roman" w:hAnsi="Times New Roman"/>
                <w:sz w:val="24"/>
              </w:rPr>
              <w:t>On tiendra également compte des entrées et des sorties au sein de la même catégorie d'exposition et, le cas échéant, du même échelon ou de la même catégorie de débiteurs.</w:t>
            </w:r>
          </w:p>
          <w:p w:rsidR="001C7AB7" w:rsidRPr="00392FFD" w:rsidRDefault="001C7AB7" w:rsidP="001C7AB7">
            <w:pPr>
              <w:rPr>
                <w:rFonts w:ascii="Times New Roman" w:hAnsi="Times New Roman"/>
                <w:sz w:val="24"/>
              </w:rPr>
            </w:pPr>
            <w:r>
              <w:rPr>
                <w:rFonts w:ascii="Times New Roman" w:hAnsi="Times New Roman"/>
                <w:sz w:val="24"/>
              </w:rPr>
              <w:t>Les expositions découlant d'éventuelles entrées et sorties depuis et vers d'autres modèles seront prises en considération.</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EXPOSITION APRÈS EFFETS DE SUBSTITUTION ARC ET AVANT APPL</w:t>
            </w:r>
            <w:r>
              <w:rPr>
                <w:rFonts w:ascii="Times New Roman" w:hAnsi="Times New Roman"/>
                <w:b/>
                <w:sz w:val="24"/>
                <w:u w:val="single"/>
              </w:rPr>
              <w:t>I</w:t>
            </w:r>
            <w:r>
              <w:rPr>
                <w:rFonts w:ascii="Times New Roman" w:hAnsi="Times New Roman"/>
                <w:b/>
                <w:sz w:val="24"/>
                <w:u w:val="single"/>
              </w:rPr>
              <w:t>CATION DES FACTEURS DE CONVERSION</w:t>
            </w:r>
          </w:p>
          <w:p w:rsidR="001C7AB7" w:rsidRPr="00392FFD" w:rsidRDefault="001C7AB7" w:rsidP="001C7AB7">
            <w:pPr>
              <w:rPr>
                <w:rFonts w:ascii="Times New Roman" w:hAnsi="Times New Roman"/>
                <w:sz w:val="24"/>
              </w:rPr>
            </w:pPr>
            <w:r>
              <w:rPr>
                <w:rFonts w:ascii="Times New Roman" w:hAnsi="Times New Roman"/>
                <w:sz w:val="24"/>
              </w:rPr>
              <w:t>Expositions affectées à l'échelon ou à la catégorie de débiteurs et à la catégorie d'expos</w:t>
            </w:r>
            <w:r>
              <w:rPr>
                <w:rFonts w:ascii="Times New Roman" w:hAnsi="Times New Roman"/>
                <w:sz w:val="24"/>
              </w:rPr>
              <w:t>i</w:t>
            </w:r>
            <w:r>
              <w:rPr>
                <w:rFonts w:ascii="Times New Roman" w:hAnsi="Times New Roman"/>
                <w:sz w:val="24"/>
              </w:rPr>
              <w:t>tions correspondants, après prise en compte des sorties et des entrées découlant de tec</w:t>
            </w:r>
            <w:r>
              <w:rPr>
                <w:rFonts w:ascii="Times New Roman" w:hAnsi="Times New Roman"/>
                <w:sz w:val="24"/>
              </w:rPr>
              <w:t>h</w:t>
            </w:r>
            <w:r>
              <w:rPr>
                <w:rFonts w:ascii="Times New Roman" w:hAnsi="Times New Roman"/>
                <w:sz w:val="24"/>
              </w:rPr>
              <w:t>niques d'ARC avec effets de substitution sur l'exposition.</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100, 120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Dont: Éléments de hors bilan </w:t>
            </w:r>
          </w:p>
          <w:p w:rsidR="001C7AB7" w:rsidRPr="00392FFD" w:rsidRDefault="001C7AB7" w:rsidP="001C7AB7">
            <w:pPr>
              <w:rPr>
                <w:rFonts w:ascii="Times New Roman" w:hAnsi="Times New Roman"/>
                <w:sz w:val="24"/>
              </w:rPr>
            </w:pPr>
            <w:r>
              <w:rPr>
                <w:rFonts w:ascii="Times New Roman" w:hAnsi="Times New Roman"/>
                <w:sz w:val="24"/>
              </w:rPr>
              <w:t>Voir les instructions concernant le modèle CR-SA.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VALEUR EXPOSÉE AU RISQUE</w:t>
            </w:r>
          </w:p>
          <w:p w:rsidR="001C7AB7" w:rsidRPr="00392FFD" w:rsidRDefault="001C7AB7" w:rsidP="001C7AB7">
            <w:pPr>
              <w:rPr>
                <w:rFonts w:ascii="Times New Roman" w:hAnsi="Times New Roman"/>
                <w:sz w:val="24"/>
              </w:rPr>
            </w:pPr>
            <w:r>
              <w:rPr>
                <w:rFonts w:ascii="Times New Roman" w:hAnsi="Times New Roman"/>
                <w:sz w:val="24"/>
              </w:rPr>
              <w:t>Les valeurs visées à l'article 166 du CRR et à l'article 230, paragraphe 1, deuxième phrase, du CRR seront déclarées.</w:t>
            </w:r>
          </w:p>
          <w:p w:rsidR="001C7AB7" w:rsidRPr="00392FFD" w:rsidRDefault="001C7AB7" w:rsidP="001C7AB7">
            <w:pPr>
              <w:rPr>
                <w:rFonts w:ascii="Times New Roman" w:hAnsi="Times New Roman"/>
                <w:sz w:val="24"/>
              </w:rPr>
            </w:pPr>
            <w:r>
              <w:rPr>
                <w:rFonts w:ascii="Times New Roman" w:hAnsi="Times New Roman"/>
                <w:sz w:val="24"/>
              </w:rPr>
              <w:t xml:space="preserve">Pour les instruments définis à l'annexe I, les facteurs de conversion de crédit (article 166, paragraphes 8 à 10, du CRR) seront appliqués, quelle que soit l'approche retenue par l'établissement. </w:t>
            </w:r>
          </w:p>
          <w:p w:rsidR="001C7AB7" w:rsidRPr="00392FFD" w:rsidRDefault="001C7AB7" w:rsidP="001C7AB7">
            <w:pPr>
              <w:rPr>
                <w:rFonts w:ascii="Times New Roman" w:hAnsi="Times New Roman"/>
                <w:sz w:val="24"/>
              </w:rPr>
            </w:pPr>
            <w:r>
              <w:rPr>
                <w:rStyle w:val="InstructionsTabelleText"/>
                <w:rFonts w:ascii="Times New Roman" w:hAnsi="Times New Roman"/>
                <w:sz w:val="24"/>
              </w:rPr>
              <w:t>Pour les lignes 040 à 060 (opérations de financement sur titres, dérivés et opérations à r</w:t>
            </w:r>
            <w:r>
              <w:rPr>
                <w:rStyle w:val="InstructionsTabelleText"/>
                <w:rFonts w:ascii="Times New Roman" w:hAnsi="Times New Roman"/>
                <w:sz w:val="24"/>
              </w:rPr>
              <w:t>è</w:t>
            </w:r>
            <w:r>
              <w:rPr>
                <w:rStyle w:val="InstructionsTabelleText"/>
                <w:rFonts w:ascii="Times New Roman" w:hAnsi="Times New Roman"/>
                <w:sz w:val="24"/>
              </w:rPr>
              <w:t xml:space="preserve">glement différé et expositions issues d'une convention de compensation </w:t>
            </w:r>
            <w:proofErr w:type="spellStart"/>
            <w:r>
              <w:rPr>
                <w:rStyle w:val="InstructionsTabelleText"/>
                <w:rFonts w:ascii="Times New Roman" w:hAnsi="Times New Roman"/>
                <w:sz w:val="24"/>
              </w:rPr>
              <w:t>multiproduits</w:t>
            </w:r>
            <w:proofErr w:type="spellEnd"/>
            <w:r>
              <w:rPr>
                <w:rStyle w:val="InstructionsTabelleText"/>
                <w:rFonts w:ascii="Times New Roman" w:hAnsi="Times New Roman"/>
                <w:sz w:val="24"/>
              </w:rPr>
              <w:t>), soumises à la troisième partie, titre II, chapitre 6, du CRR, la valeur exposée au risque s</w:t>
            </w:r>
            <w:r>
              <w:rPr>
                <w:rStyle w:val="InstructionsTabelleText"/>
                <w:rFonts w:ascii="Times New Roman" w:hAnsi="Times New Roman"/>
                <w:sz w:val="24"/>
              </w:rPr>
              <w:t>e</w:t>
            </w:r>
            <w:r>
              <w:rPr>
                <w:rStyle w:val="InstructionsTabelleText"/>
                <w:rFonts w:ascii="Times New Roman" w:hAnsi="Times New Roman"/>
                <w:sz w:val="24"/>
              </w:rPr>
              <w:t xml:space="preserve">ra identique à la valeur pour risque de crédit de contrepartie, calculée selon les méthodes énoncées dans la troisième partie, titre II, chapitre 6, sections 3, 4, 5, 6 et 7, du CRR. Ces valeurs sont déclarées dans cette colonne et non dans la colonne 130 «Dont: résultant du risque de crédit de contrepartie».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130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Dont: résultant du risque de crédit de contrepartie </w:t>
            </w:r>
          </w:p>
          <w:p w:rsidR="001C7AB7" w:rsidRPr="00392FFD" w:rsidRDefault="001C7AB7" w:rsidP="00FD6CCB">
            <w:pPr>
              <w:rPr>
                <w:rFonts w:ascii="Times New Roman" w:hAnsi="Times New Roman"/>
                <w:sz w:val="24"/>
              </w:rPr>
            </w:pPr>
            <w:r>
              <w:rPr>
                <w:rFonts w:ascii="Times New Roman" w:hAnsi="Times New Roman"/>
                <w:sz w:val="24"/>
              </w:rPr>
              <w:t>Voir les instructions concernant le modèle CR SA.</w:t>
            </w:r>
            <w:r>
              <w:rPr>
                <w:rStyle w:val="InstructionsTabelleText"/>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DONT: ENTITÉS DU SECTEUR FINANCIER DE GRANDE TAILLE ET ENT</w:t>
            </w:r>
            <w:r>
              <w:rPr>
                <w:rFonts w:ascii="Times New Roman" w:hAnsi="Times New Roman"/>
                <w:b/>
                <w:sz w:val="24"/>
                <w:u w:val="single"/>
              </w:rPr>
              <w:t>I</w:t>
            </w:r>
            <w:r>
              <w:rPr>
                <w:rFonts w:ascii="Times New Roman" w:hAnsi="Times New Roman"/>
                <w:b/>
                <w:sz w:val="24"/>
                <w:u w:val="single"/>
              </w:rPr>
              <w:t>TÉS DU SECTEUR FINANCIER NON RÉGLEMENTÉES</w:t>
            </w:r>
          </w:p>
          <w:p w:rsidR="001C7AB7" w:rsidRPr="00392FFD" w:rsidRDefault="001C7AB7" w:rsidP="001C7AB7">
            <w:pPr>
              <w:rPr>
                <w:rFonts w:ascii="Times New Roman" w:hAnsi="Times New Roman"/>
                <w:b/>
                <w:sz w:val="24"/>
                <w:u w:val="single"/>
              </w:rPr>
            </w:pPr>
            <w:r>
              <w:rPr>
                <w:rFonts w:ascii="Times New Roman" w:hAnsi="Times New Roman"/>
                <w:sz w:val="24"/>
              </w:rPr>
              <w:t>Ventilation de la valeur exposée au risque pour toutes les expositions définies conform</w:t>
            </w:r>
            <w:r>
              <w:rPr>
                <w:rFonts w:ascii="Times New Roman" w:hAnsi="Times New Roman"/>
                <w:sz w:val="24"/>
              </w:rPr>
              <w:t>é</w:t>
            </w:r>
            <w:r>
              <w:rPr>
                <w:rFonts w:ascii="Times New Roman" w:hAnsi="Times New Roman"/>
                <w:sz w:val="24"/>
              </w:rPr>
              <w:t>ment à l'article 142, paragraphes 4 et 5, du CRR soumises à une corrélation plus forte, conformément à l'article 153, paragraphe 2, du CRR.</w:t>
            </w:r>
          </w:p>
        </w:tc>
      </w:tr>
      <w:tr w:rsidR="001C7AB7" w:rsidRPr="00392FFD" w:rsidTr="00672D2A">
        <w:trPr>
          <w:trHeight w:val="2109"/>
        </w:trPr>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150-210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TECHNIQUES D'ATTÉNUATION DU RISQUE DE CRÉDIT PRISES EN COMPTE DANS LES ESTIMATIONS DE LGD HORS TRAITEMENT DES E</w:t>
            </w:r>
            <w:r>
              <w:rPr>
                <w:rFonts w:ascii="Times New Roman" w:hAnsi="Times New Roman"/>
                <w:b/>
                <w:sz w:val="24"/>
                <w:u w:val="single"/>
              </w:rPr>
              <w:t>F</w:t>
            </w:r>
            <w:r>
              <w:rPr>
                <w:rFonts w:ascii="Times New Roman" w:hAnsi="Times New Roman"/>
                <w:b/>
                <w:sz w:val="24"/>
                <w:u w:val="single"/>
              </w:rPr>
              <w:t>FETS DE DOUBLE DÉFAUT</w:t>
            </w:r>
          </w:p>
          <w:p w:rsidR="001C7AB7" w:rsidRPr="00392FFD" w:rsidRDefault="001C7AB7" w:rsidP="001C7AB7">
            <w:pPr>
              <w:rPr>
                <w:rFonts w:ascii="Times New Roman" w:hAnsi="Times New Roman"/>
                <w:sz w:val="24"/>
              </w:rPr>
            </w:pPr>
            <w:r>
              <w:rPr>
                <w:rFonts w:ascii="Times New Roman" w:hAnsi="Times New Roman"/>
                <w:sz w:val="24"/>
              </w:rPr>
              <w:t xml:space="preserve">Les techniques d'atténuation du risque de crédit qui ont un impact sur les LGD à la suite de l'application de l'effet de substitution des techniques d'ARC ne figureront pas dans ces colonnes. </w:t>
            </w:r>
          </w:p>
          <w:p w:rsidR="001C7AB7" w:rsidRPr="00392FFD" w:rsidRDefault="00C61FF5" w:rsidP="001C7AB7">
            <w:pPr>
              <w:rPr>
                <w:rFonts w:ascii="Times New Roman" w:hAnsi="Times New Roman"/>
                <w:sz w:val="24"/>
              </w:rPr>
            </w:pPr>
            <w:r>
              <w:rPr>
                <w:rFonts w:ascii="Times New Roman" w:hAnsi="Times New Roman"/>
                <w:sz w:val="24"/>
              </w:rPr>
              <w:t>Lorsqu'il n’est pas fait usage des propres estimations de LGD: Article 228, paragraphe 2, article 230, paragraphes 1 et 2, et article 231 du CRR</w:t>
            </w:r>
          </w:p>
          <w:p w:rsidR="001C7AB7" w:rsidRPr="00392FFD" w:rsidRDefault="00C61FF5" w:rsidP="001C7AB7">
            <w:pPr>
              <w:rPr>
                <w:rFonts w:ascii="Times New Roman" w:hAnsi="Times New Roman"/>
                <w:sz w:val="24"/>
              </w:rPr>
            </w:pPr>
            <w:r>
              <w:rPr>
                <w:rFonts w:ascii="Times New Roman" w:hAnsi="Times New Roman"/>
                <w:sz w:val="24"/>
              </w:rPr>
              <w:t xml:space="preserve">Lorsqu'il est fait usage des propres estimations de LGD: </w:t>
            </w:r>
          </w:p>
          <w:p w:rsidR="001C7AB7" w:rsidRPr="00392FFD" w:rsidRDefault="001C7AB7" w:rsidP="001C7AB7">
            <w:pPr>
              <w:rPr>
                <w:rFonts w:ascii="Times New Roman" w:hAnsi="Times New Roman"/>
                <w:sz w:val="24"/>
              </w:rPr>
            </w:pPr>
            <w:r>
              <w:rPr>
                <w:rFonts w:ascii="Times New Roman" w:hAnsi="Times New Roman"/>
                <w:sz w:val="24"/>
              </w:rPr>
              <w:t>– concernant la protection de crédit non financée, pour les expositions sur les administr</w:t>
            </w:r>
            <w:r>
              <w:rPr>
                <w:rFonts w:ascii="Times New Roman" w:hAnsi="Times New Roman"/>
                <w:sz w:val="24"/>
              </w:rPr>
              <w:t>a</w:t>
            </w:r>
            <w:r>
              <w:rPr>
                <w:rFonts w:ascii="Times New Roman" w:hAnsi="Times New Roman"/>
                <w:sz w:val="24"/>
              </w:rPr>
              <w:t xml:space="preserve">tions centrales et les banques centrales, les établissements et les entreprises: Article 161, paragraphe 3, du CRR. Pour la clientèle de détail, voir l'article 164, paragraphe 2, du CRR. </w:t>
            </w:r>
          </w:p>
          <w:p w:rsidR="001C7AB7" w:rsidRPr="00392FFD" w:rsidRDefault="001C7AB7" w:rsidP="00255BA9">
            <w:pPr>
              <w:rPr>
                <w:rFonts w:ascii="Times New Roman" w:hAnsi="Times New Roman"/>
                <w:b/>
                <w:sz w:val="24"/>
                <w:u w:val="single"/>
              </w:rPr>
            </w:pPr>
            <w:r>
              <w:rPr>
                <w:rFonts w:ascii="Times New Roman" w:hAnsi="Times New Roman"/>
                <w:sz w:val="24"/>
              </w:rPr>
              <w:t>– concernant la protection de crédit financée prise en considération pour les estimations des LGD conformément à l'article 181, paragraphe 1, points e) et f), du CRR.</w:t>
            </w:r>
          </w:p>
        </w:tc>
      </w:tr>
      <w:tr w:rsidR="001C7AB7" w:rsidRPr="00392FFD" w:rsidTr="00672D2A">
        <w:trPr>
          <w:trHeight w:val="957"/>
        </w:trPr>
        <w:tc>
          <w:tcPr>
            <w:tcW w:w="1188" w:type="dxa"/>
          </w:tcPr>
          <w:p w:rsidR="001C7AB7" w:rsidRPr="00392FFD" w:rsidRDefault="001C7AB7" w:rsidP="001C7AB7">
            <w:pPr>
              <w:rPr>
                <w:rFonts w:ascii="Times New Roman" w:hAnsi="Times New Roman"/>
                <w:sz w:val="24"/>
              </w:rPr>
            </w:pPr>
            <w:r>
              <w:rPr>
                <w:rFonts w:ascii="Times New Roman" w:hAnsi="Times New Roman"/>
                <w:sz w:val="24"/>
              </w:rPr>
              <w:t>150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GARANTIES </w:t>
            </w:r>
          </w:p>
          <w:p w:rsidR="001C7AB7" w:rsidRPr="00392FFD" w:rsidRDefault="001C7AB7" w:rsidP="001C7AB7">
            <w:pPr>
              <w:jc w:val="left"/>
              <w:rPr>
                <w:rFonts w:ascii="Times New Roman" w:hAnsi="Times New Roman"/>
                <w:b/>
                <w:sz w:val="24"/>
                <w:u w:val="single"/>
              </w:rPr>
            </w:pPr>
            <w:r>
              <w:rPr>
                <w:rFonts w:ascii="Times New Roman" w:hAnsi="Times New Roman"/>
                <w:sz w:val="24"/>
              </w:rPr>
              <w:t>Voir les instructions concernant la colonne 040.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DÉRIVÉS DE CRÉDIT </w:t>
            </w:r>
          </w:p>
          <w:p w:rsidR="001C7AB7" w:rsidRPr="00392FFD" w:rsidRDefault="001C7AB7" w:rsidP="001C7AB7">
            <w:pPr>
              <w:rPr>
                <w:rFonts w:ascii="Times New Roman" w:hAnsi="Times New Roman"/>
                <w:sz w:val="24"/>
              </w:rPr>
            </w:pPr>
            <w:r>
              <w:rPr>
                <w:rFonts w:ascii="Times New Roman" w:hAnsi="Times New Roman"/>
                <w:sz w:val="24"/>
              </w:rPr>
              <w:t>Voir les instructions concernant la colonne 050.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UTILISATION DES PROPRES ESTIMATIONS DES PERTES EN CAS DE D</w:t>
            </w:r>
            <w:r>
              <w:rPr>
                <w:rFonts w:ascii="Times New Roman" w:hAnsi="Times New Roman"/>
                <w:b/>
                <w:sz w:val="24"/>
                <w:u w:val="single"/>
              </w:rPr>
              <w:t>É</w:t>
            </w:r>
            <w:r>
              <w:rPr>
                <w:rFonts w:ascii="Times New Roman" w:hAnsi="Times New Roman"/>
                <w:b/>
                <w:sz w:val="24"/>
                <w:u w:val="single"/>
              </w:rPr>
              <w:t xml:space="preserve">FAUT (LGD): AUTRES FORMES DE PROTECTION DE CRÉDIT FINANCÉE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Valeur pertinente utilisée pour la modélisation interne de l'établissement.</w:t>
            </w:r>
          </w:p>
          <w:p w:rsidR="001C7AB7" w:rsidRPr="00392FFD" w:rsidRDefault="001C7AB7" w:rsidP="00255BA9">
            <w:pPr>
              <w:rPr>
                <w:rFonts w:ascii="Times New Roman" w:hAnsi="Times New Roman"/>
                <w:sz w:val="24"/>
              </w:rPr>
            </w:pPr>
            <w:r>
              <w:rPr>
                <w:rFonts w:ascii="Times New Roman" w:hAnsi="Times New Roman"/>
                <w:sz w:val="24"/>
              </w:rPr>
              <w:t xml:space="preserve">Mesures d'atténuation du risque de crédit qui satisfont aux critères de l'article 212 du CRR.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SÛRETÉS FINANCIÈRES ÉLIGIBLES</w:t>
            </w:r>
          </w:p>
          <w:p w:rsidR="001C7AB7" w:rsidRPr="00392FFD" w:rsidRDefault="001C7AB7" w:rsidP="001C7AB7">
            <w:pPr>
              <w:rPr>
                <w:rFonts w:ascii="Times New Roman" w:hAnsi="Times New Roman"/>
                <w:sz w:val="24"/>
              </w:rPr>
            </w:pPr>
            <w:r>
              <w:rPr>
                <w:rFonts w:ascii="Times New Roman" w:hAnsi="Times New Roman"/>
                <w:sz w:val="24"/>
              </w:rPr>
              <w:t>Pour les opérations du portefeuille de négociation, cela comprend les instruments fina</w:t>
            </w:r>
            <w:r>
              <w:rPr>
                <w:rFonts w:ascii="Times New Roman" w:hAnsi="Times New Roman"/>
                <w:sz w:val="24"/>
              </w:rPr>
              <w:t>n</w:t>
            </w:r>
            <w:r>
              <w:rPr>
                <w:rFonts w:ascii="Times New Roman" w:hAnsi="Times New Roman"/>
                <w:sz w:val="24"/>
              </w:rPr>
              <w:t>ciers et les matières premières éligibles en tant qu'expositions du portefeuille de négoci</w:t>
            </w:r>
            <w:r>
              <w:rPr>
                <w:rFonts w:ascii="Times New Roman" w:hAnsi="Times New Roman"/>
                <w:sz w:val="24"/>
              </w:rPr>
              <w:t>a</w:t>
            </w:r>
            <w:r>
              <w:rPr>
                <w:rFonts w:ascii="Times New Roman" w:hAnsi="Times New Roman"/>
                <w:sz w:val="24"/>
              </w:rPr>
              <w:t>tion, conformément à l'article 299, paragraphe 2, points c) à f), du CRR. Les titres liés à un crédit et les compensations au bilan, conformément à la troisième partie, titre II, ch</w:t>
            </w:r>
            <w:r>
              <w:rPr>
                <w:rFonts w:ascii="Times New Roman" w:hAnsi="Times New Roman"/>
                <w:sz w:val="24"/>
              </w:rPr>
              <w:t>a</w:t>
            </w:r>
            <w:r>
              <w:rPr>
                <w:rFonts w:ascii="Times New Roman" w:hAnsi="Times New Roman"/>
                <w:sz w:val="24"/>
              </w:rPr>
              <w:t>pitre 4, section 4, du CRR, seront traités comme des sûretés en espèces.</w:t>
            </w:r>
          </w:p>
          <w:p w:rsidR="001C7AB7" w:rsidRPr="00392FFD" w:rsidRDefault="001C7AB7" w:rsidP="001C7AB7">
            <w:pPr>
              <w:rPr>
                <w:rFonts w:ascii="Times New Roman" w:hAnsi="Times New Roman"/>
                <w:sz w:val="24"/>
              </w:rPr>
            </w:pPr>
            <w:r>
              <w:rPr>
                <w:rFonts w:ascii="Times New Roman" w:hAnsi="Times New Roman"/>
                <w:sz w:val="24"/>
              </w:rPr>
              <w:t xml:space="preserve">Lorsqu'il n'est pas fait usage des propres estimations de LGD: valeurs conformément à </w:t>
            </w:r>
            <w:r>
              <w:rPr>
                <w:rFonts w:ascii="Times New Roman" w:hAnsi="Times New Roman"/>
                <w:sz w:val="24"/>
              </w:rPr>
              <w:lastRenderedPageBreak/>
              <w:t>l'article 193, paragraphes 1 à 4, et à l'article 194, paragraphe 1, du CRR. La valeur corr</w:t>
            </w:r>
            <w:r>
              <w:rPr>
                <w:rFonts w:ascii="Times New Roman" w:hAnsi="Times New Roman"/>
                <w:sz w:val="24"/>
              </w:rPr>
              <w:t>i</w:t>
            </w:r>
            <w:r>
              <w:rPr>
                <w:rFonts w:ascii="Times New Roman" w:hAnsi="Times New Roman"/>
                <w:sz w:val="24"/>
              </w:rPr>
              <w:t>gée (</w:t>
            </w:r>
            <w:proofErr w:type="spellStart"/>
            <w:r>
              <w:rPr>
                <w:rFonts w:ascii="Times New Roman" w:hAnsi="Times New Roman"/>
                <w:sz w:val="24"/>
              </w:rPr>
              <w:t>Cvam</w:t>
            </w:r>
            <w:proofErr w:type="spellEnd"/>
            <w:r>
              <w:rPr>
                <w:rFonts w:ascii="Times New Roman" w:hAnsi="Times New Roman"/>
                <w:sz w:val="24"/>
              </w:rPr>
              <w:t>) définie à l'article 223, paragraphe 2, du CRR est déclarée.</w:t>
            </w:r>
          </w:p>
          <w:p w:rsidR="001C7AB7" w:rsidRPr="00392FFD" w:rsidRDefault="001C7AB7" w:rsidP="00902EFC">
            <w:pPr>
              <w:rPr>
                <w:rFonts w:ascii="Times New Roman" w:hAnsi="Times New Roman"/>
                <w:b/>
                <w:sz w:val="24"/>
                <w:u w:val="single"/>
              </w:rPr>
            </w:pPr>
            <w:r>
              <w:rPr>
                <w:rFonts w:ascii="Times New Roman" w:hAnsi="Times New Roman"/>
                <w:sz w:val="24"/>
              </w:rPr>
              <w:t>Lorsqu'il est fait usage des propres estimations de LGD: sûretés financières prises en considération pour les estimations des LGD conformément à l'article 181, paragraphe 1, points e) et f), du CRR. Le montant à déclarer sera la valeur de marché estimée des sûr</w:t>
            </w:r>
            <w:r>
              <w:rPr>
                <w:rFonts w:ascii="Times New Roman" w:hAnsi="Times New Roman"/>
                <w:sz w:val="24"/>
              </w:rPr>
              <w:t>e</w:t>
            </w:r>
            <w:r>
              <w:rPr>
                <w:rFonts w:ascii="Times New Roman" w:hAnsi="Times New Roman"/>
                <w:sz w:val="24"/>
              </w:rPr>
              <w:t>tés.</w:t>
            </w:r>
          </w:p>
        </w:tc>
      </w:tr>
      <w:tr w:rsidR="001C7AB7" w:rsidRPr="00392FFD" w:rsidTr="00672D2A">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lastRenderedPageBreak/>
              <w:t>190-210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AUTRES SÛRETÉS ÉLIGIBLES</w:t>
            </w:r>
          </w:p>
          <w:p w:rsidR="001C7AB7" w:rsidRPr="00392FFD" w:rsidRDefault="00C61FF5" w:rsidP="001C7AB7">
            <w:pPr>
              <w:rPr>
                <w:rFonts w:ascii="Times New Roman" w:hAnsi="Times New Roman"/>
                <w:sz w:val="24"/>
              </w:rPr>
            </w:pPr>
            <w:r>
              <w:rPr>
                <w:rFonts w:ascii="Times New Roman" w:hAnsi="Times New Roman"/>
                <w:sz w:val="24"/>
              </w:rPr>
              <w:t>Lorsqu'il n’est pas fait usage des propres estimations de LGD: Article 199, paragraphes 1 à 8, et article 229 du CRR</w:t>
            </w:r>
          </w:p>
          <w:p w:rsidR="001C7AB7" w:rsidRPr="00392FFD" w:rsidRDefault="00C61FF5" w:rsidP="00C61FF5">
            <w:pPr>
              <w:rPr>
                <w:rFonts w:ascii="Times New Roman" w:hAnsi="Times New Roman"/>
                <w:b/>
                <w:sz w:val="24"/>
                <w:u w:val="single"/>
              </w:rPr>
            </w:pPr>
            <w:r>
              <w:rPr>
                <w:rFonts w:ascii="Times New Roman" w:hAnsi="Times New Roman"/>
                <w:sz w:val="24"/>
              </w:rPr>
              <w:t>Lorsqu'il est fait usage des propres estimations de LGD: autres sûretés prises en consid</w:t>
            </w:r>
            <w:r>
              <w:rPr>
                <w:rFonts w:ascii="Times New Roman" w:hAnsi="Times New Roman"/>
                <w:sz w:val="24"/>
              </w:rPr>
              <w:t>é</w:t>
            </w:r>
            <w:r>
              <w:rPr>
                <w:rFonts w:ascii="Times New Roman" w:hAnsi="Times New Roman"/>
                <w:sz w:val="24"/>
              </w:rPr>
              <w:t>ration pour les estimations des LGD conformément à l'article 181, paragraphe 1, points e) et f), du CRR.</w:t>
            </w:r>
          </w:p>
        </w:tc>
      </w:tr>
      <w:tr w:rsidR="001C7AB7" w:rsidRPr="00392FFD" w:rsidTr="00672D2A">
        <w:tc>
          <w:tcPr>
            <w:tcW w:w="1188" w:type="dxa"/>
          </w:tcPr>
          <w:p w:rsidR="001C7AB7" w:rsidRPr="00392FFD" w:rsidRDefault="001C7AB7" w:rsidP="00C61FF5">
            <w:pPr>
              <w:spacing w:line="240" w:lineRule="exact"/>
              <w:rPr>
                <w:rFonts w:ascii="Times New Roman" w:hAnsi="Times New Roman"/>
                <w:sz w:val="24"/>
              </w:rPr>
            </w:pPr>
            <w:r>
              <w:rPr>
                <w:rFonts w:ascii="Times New Roman" w:hAnsi="Times New Roman"/>
                <w:sz w:val="24"/>
              </w:rPr>
              <w:t>190</w:t>
            </w:r>
          </w:p>
        </w:tc>
        <w:tc>
          <w:tcPr>
            <w:tcW w:w="8843" w:type="dxa"/>
          </w:tcPr>
          <w:p w:rsidR="001C7AB7" w:rsidRPr="00392FFD" w:rsidRDefault="001C7AB7" w:rsidP="00C61FF5">
            <w:pPr>
              <w:spacing w:line="240" w:lineRule="exact"/>
              <w:rPr>
                <w:rFonts w:ascii="Times New Roman" w:hAnsi="Times New Roman"/>
                <w:sz w:val="24"/>
              </w:rPr>
            </w:pPr>
            <w:r>
              <w:rPr>
                <w:rFonts w:ascii="Times New Roman" w:hAnsi="Times New Roman"/>
                <w:b/>
                <w:sz w:val="24"/>
                <w:u w:val="single"/>
              </w:rPr>
              <w:t>BIENS IMMOBILIERS</w:t>
            </w:r>
          </w:p>
          <w:p w:rsidR="001C7AB7" w:rsidRPr="00392FFD" w:rsidRDefault="00C61FF5" w:rsidP="00C61FF5">
            <w:pPr>
              <w:spacing w:line="240" w:lineRule="exact"/>
              <w:rPr>
                <w:rFonts w:ascii="Times New Roman" w:hAnsi="Times New Roman"/>
                <w:sz w:val="24"/>
              </w:rPr>
            </w:pPr>
            <w:r>
              <w:rPr>
                <w:rFonts w:ascii="Times New Roman" w:hAnsi="Times New Roman"/>
                <w:sz w:val="24"/>
              </w:rPr>
              <w:t>Lorsqu'il n'est pas fait usage des propres estimations de LGD, les valeurs obtenues co</w:t>
            </w:r>
            <w:r>
              <w:rPr>
                <w:rFonts w:ascii="Times New Roman" w:hAnsi="Times New Roman"/>
                <w:sz w:val="24"/>
              </w:rPr>
              <w:t>n</w:t>
            </w:r>
            <w:r>
              <w:rPr>
                <w:rFonts w:ascii="Times New Roman" w:hAnsi="Times New Roman"/>
                <w:sz w:val="24"/>
              </w:rPr>
              <w:t>formément à l'article 199, paragraphes 2 à 4, du CRR sont déclarées. En font partie la l</w:t>
            </w:r>
            <w:r>
              <w:rPr>
                <w:rFonts w:ascii="Times New Roman" w:hAnsi="Times New Roman"/>
                <w:sz w:val="24"/>
              </w:rPr>
              <w:t>o</w:t>
            </w:r>
            <w:r>
              <w:rPr>
                <w:rFonts w:ascii="Times New Roman" w:hAnsi="Times New Roman"/>
                <w:sz w:val="24"/>
              </w:rPr>
              <w:t>cation ou le crédit-bail de biens immobiliers  (voir l'article 199, paragraphe 7, du CRR). Voir également l'article 229 du CRR.</w:t>
            </w:r>
          </w:p>
          <w:p w:rsidR="001C7AB7" w:rsidRPr="00392FFD" w:rsidRDefault="001C7AB7" w:rsidP="00C61FF5">
            <w:pPr>
              <w:spacing w:line="240" w:lineRule="exact"/>
              <w:rPr>
                <w:rFonts w:ascii="Times New Roman" w:hAnsi="Times New Roman"/>
                <w:sz w:val="24"/>
              </w:rPr>
            </w:pPr>
            <w:r>
              <w:rPr>
                <w:rFonts w:ascii="Times New Roman" w:hAnsi="Times New Roman"/>
                <w:sz w:val="24"/>
              </w:rPr>
              <w:t>Lorsqu'il est fait usage des propres estimations de LGD, le montant à déclarer sera la v</w:t>
            </w:r>
            <w:r>
              <w:rPr>
                <w:rFonts w:ascii="Times New Roman" w:hAnsi="Times New Roman"/>
                <w:sz w:val="24"/>
              </w:rPr>
              <w:t>a</w:t>
            </w:r>
            <w:r>
              <w:rPr>
                <w:rFonts w:ascii="Times New Roman" w:hAnsi="Times New Roman"/>
                <w:sz w:val="24"/>
              </w:rPr>
              <w:t>leur de marché estimée.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200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AUTRES SÛRETÉS RÉELLES</w:t>
            </w:r>
          </w:p>
          <w:p w:rsidR="001C7AB7" w:rsidRPr="00392FFD" w:rsidRDefault="00C61FF5" w:rsidP="001C7AB7">
            <w:pPr>
              <w:rPr>
                <w:rFonts w:ascii="Times New Roman" w:hAnsi="Times New Roman"/>
                <w:sz w:val="24"/>
              </w:rPr>
            </w:pPr>
            <w:r>
              <w:rPr>
                <w:rFonts w:ascii="Times New Roman" w:hAnsi="Times New Roman"/>
                <w:sz w:val="24"/>
              </w:rPr>
              <w:t>Lorsqu'il n'est pas fait usage des propres estimations de LGD, les valeurs obtenues co</w:t>
            </w:r>
            <w:r>
              <w:rPr>
                <w:rFonts w:ascii="Times New Roman" w:hAnsi="Times New Roman"/>
                <w:sz w:val="24"/>
              </w:rPr>
              <w:t>n</w:t>
            </w:r>
            <w:r>
              <w:rPr>
                <w:rFonts w:ascii="Times New Roman" w:hAnsi="Times New Roman"/>
                <w:sz w:val="24"/>
              </w:rPr>
              <w:t xml:space="preserve">formément à l'article 199, paragraphes 6 et 8, du CRR seront déclarées. En font partie la location ou le crédit-bail de biens autres qu'immobiliers (voir l'article 199, paragraphe 7, du CRR). Voir également l'article 229, paragraphe 3, du CRR. </w:t>
            </w:r>
          </w:p>
          <w:p w:rsidR="001C7AB7" w:rsidRPr="00392FFD" w:rsidRDefault="00C61FF5" w:rsidP="00C61FF5">
            <w:pPr>
              <w:rPr>
                <w:rFonts w:ascii="Times New Roman" w:hAnsi="Times New Roman"/>
                <w:b/>
                <w:sz w:val="24"/>
                <w:u w:val="single"/>
              </w:rPr>
            </w:pPr>
            <w:r>
              <w:rPr>
                <w:rFonts w:ascii="Times New Roman" w:hAnsi="Times New Roman"/>
                <w:sz w:val="24"/>
              </w:rPr>
              <w:t>Lorsqu'il est fait usage des propres estimations de LGD, le montant à déclarer sera la v</w:t>
            </w:r>
            <w:r>
              <w:rPr>
                <w:rFonts w:ascii="Times New Roman" w:hAnsi="Times New Roman"/>
                <w:sz w:val="24"/>
              </w:rPr>
              <w:t>a</w:t>
            </w:r>
            <w:r>
              <w:rPr>
                <w:rFonts w:ascii="Times New Roman" w:hAnsi="Times New Roman"/>
                <w:sz w:val="24"/>
              </w:rPr>
              <w:t>leur de marché estimée des sûretés.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CRÉANCES</w:t>
            </w:r>
          </w:p>
          <w:p w:rsidR="001C7AB7" w:rsidRPr="00392FFD" w:rsidRDefault="001C7AB7" w:rsidP="001C7AB7">
            <w:pPr>
              <w:rPr>
                <w:rFonts w:ascii="Times New Roman" w:hAnsi="Times New Roman"/>
                <w:sz w:val="24"/>
              </w:rPr>
            </w:pPr>
            <w:r>
              <w:rPr>
                <w:rFonts w:ascii="Times New Roman" w:hAnsi="Times New Roman"/>
                <w:sz w:val="24"/>
              </w:rPr>
              <w:t>Lorsqu'il n'est pas fait usage des propres estimations de LGD, les valeurs obtenues co</w:t>
            </w:r>
            <w:r>
              <w:rPr>
                <w:rFonts w:ascii="Times New Roman" w:hAnsi="Times New Roman"/>
                <w:sz w:val="24"/>
              </w:rPr>
              <w:t>n</w:t>
            </w:r>
            <w:r>
              <w:rPr>
                <w:rFonts w:ascii="Times New Roman" w:hAnsi="Times New Roman"/>
                <w:sz w:val="24"/>
              </w:rPr>
              <w:t>formément à l'article 199, paragraphe 5, et à l'article 229, paragraphe 2, du CRR seront déclarées.</w:t>
            </w:r>
          </w:p>
          <w:p w:rsidR="001C7AB7" w:rsidRPr="00392FFD" w:rsidRDefault="001C7AB7" w:rsidP="001C7AB7">
            <w:pPr>
              <w:rPr>
                <w:rFonts w:ascii="Times New Roman" w:hAnsi="Times New Roman"/>
                <w:b/>
                <w:sz w:val="24"/>
                <w:u w:val="single"/>
              </w:rPr>
            </w:pPr>
            <w:r>
              <w:rPr>
                <w:rFonts w:ascii="Times New Roman" w:hAnsi="Times New Roman"/>
                <w:sz w:val="24"/>
              </w:rPr>
              <w:t>Lorsqu'il est fait usage des propres estimations de LGD, le montant à déclarer sera la v</w:t>
            </w:r>
            <w:r>
              <w:rPr>
                <w:rFonts w:ascii="Times New Roman" w:hAnsi="Times New Roman"/>
                <w:sz w:val="24"/>
              </w:rPr>
              <w:t>a</w:t>
            </w:r>
            <w:r>
              <w:rPr>
                <w:rFonts w:ascii="Times New Roman" w:hAnsi="Times New Roman"/>
                <w:sz w:val="24"/>
              </w:rPr>
              <w:t>leur de marché estimée des sûretés.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SOUMIS AU TRAITEMENT DES EFFETS DE DOUBLE DÉFAUT: PROTE</w:t>
            </w:r>
            <w:r>
              <w:rPr>
                <w:rFonts w:ascii="Times New Roman" w:hAnsi="Times New Roman"/>
                <w:b/>
                <w:sz w:val="24"/>
                <w:u w:val="single"/>
              </w:rPr>
              <w:t>C</w:t>
            </w:r>
            <w:r>
              <w:rPr>
                <w:rFonts w:ascii="Times New Roman" w:hAnsi="Times New Roman"/>
                <w:b/>
                <w:sz w:val="24"/>
                <w:u w:val="single"/>
              </w:rPr>
              <w:t>TION DE CRÉDIT NON FINANCÉE</w:t>
            </w:r>
          </w:p>
          <w:p w:rsidR="001C7AB7" w:rsidRPr="00392FFD" w:rsidRDefault="001C7AB7" w:rsidP="00902EFC">
            <w:pPr>
              <w:rPr>
                <w:rFonts w:ascii="Times New Roman" w:hAnsi="Times New Roman"/>
                <w:b/>
                <w:sz w:val="24"/>
                <w:u w:val="single"/>
              </w:rPr>
            </w:pPr>
            <w:r>
              <w:rPr>
                <w:rFonts w:ascii="Times New Roman" w:hAnsi="Times New Roman"/>
                <w:sz w:val="24"/>
              </w:rPr>
              <w:t>Garanties et dérivés de crédit couvrant des expositions soumises à un traitement de double défaut reflétant l'article 202 et l'article 217, paragraphe 1, du CRR. Voir égal</w:t>
            </w:r>
            <w:r>
              <w:rPr>
                <w:rFonts w:ascii="Times New Roman" w:hAnsi="Times New Roman"/>
                <w:sz w:val="24"/>
              </w:rPr>
              <w:t>e</w:t>
            </w:r>
            <w:r>
              <w:rPr>
                <w:rFonts w:ascii="Times New Roman" w:hAnsi="Times New Roman"/>
                <w:sz w:val="24"/>
              </w:rPr>
              <w:t xml:space="preserve">ment les colonnes 040 «Garanties» et 050 «Dérivés de crédit».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LGD MOYENNE, PONDÉRÉE (%)</w:t>
            </w:r>
          </w:p>
          <w:p w:rsidR="001C7AB7" w:rsidRPr="00392FFD" w:rsidRDefault="001C7AB7" w:rsidP="001C7AB7">
            <w:pPr>
              <w:rPr>
                <w:rFonts w:ascii="Times New Roman" w:hAnsi="Times New Roman"/>
                <w:sz w:val="24"/>
              </w:rPr>
            </w:pPr>
            <w:r>
              <w:rPr>
                <w:rFonts w:ascii="Times New Roman" w:hAnsi="Times New Roman"/>
                <w:sz w:val="24"/>
              </w:rPr>
              <w:t xml:space="preserve">L'intégralité de l'impact des techniques d'atténuation du risque de crédit sur les valeurs des LGD visées dans la troisième partie, titre II, chapitres 3 et 4 du CRR sera prise en considération. Dans le cas des expositions soumises au traitement de double défaut, les </w:t>
            </w:r>
            <w:r>
              <w:rPr>
                <w:rFonts w:ascii="Times New Roman" w:hAnsi="Times New Roman"/>
                <w:sz w:val="24"/>
              </w:rPr>
              <w:lastRenderedPageBreak/>
              <w:t>LGD à déclarer correspondront à celles qui ont été sélectionnées conformément à l'a</w:t>
            </w:r>
            <w:r>
              <w:rPr>
                <w:rFonts w:ascii="Times New Roman" w:hAnsi="Times New Roman"/>
                <w:sz w:val="24"/>
              </w:rPr>
              <w:t>r</w:t>
            </w:r>
            <w:r>
              <w:rPr>
                <w:rFonts w:ascii="Times New Roman" w:hAnsi="Times New Roman"/>
                <w:sz w:val="24"/>
              </w:rPr>
              <w:t>ticle 161, paragraphe 4, du CRR.</w:t>
            </w:r>
          </w:p>
          <w:p w:rsidR="001C7AB7" w:rsidRPr="00392FFD" w:rsidRDefault="001C7AB7" w:rsidP="001C7AB7">
            <w:pPr>
              <w:rPr>
                <w:rFonts w:ascii="Times New Roman" w:hAnsi="Times New Roman"/>
                <w:sz w:val="24"/>
              </w:rPr>
            </w:pPr>
            <w:r>
              <w:rPr>
                <w:rFonts w:ascii="Times New Roman" w:hAnsi="Times New Roman"/>
                <w:sz w:val="24"/>
              </w:rPr>
              <w:t>Pour les expositions en défaut, les dispositions de l'article 181, paragraphe 1, point h), du CRR seront prises en considération.</w:t>
            </w:r>
          </w:p>
          <w:p w:rsidR="001C7AB7" w:rsidRPr="00392FFD" w:rsidRDefault="001C7AB7" w:rsidP="001C7AB7">
            <w:pPr>
              <w:rPr>
                <w:rFonts w:ascii="Times New Roman" w:hAnsi="Times New Roman"/>
                <w:sz w:val="24"/>
              </w:rPr>
            </w:pPr>
            <w:r>
              <w:rPr>
                <w:rFonts w:ascii="Times New Roman" w:hAnsi="Times New Roman"/>
                <w:sz w:val="24"/>
              </w:rPr>
              <w:t>La définition de la valeur exposée au risque visée à la colonne 110 sera utilisée pour le calcul des moyennes pondérées.</w:t>
            </w:r>
          </w:p>
          <w:p w:rsidR="001C7AB7" w:rsidRPr="00392FFD" w:rsidRDefault="001C7AB7" w:rsidP="001C7AB7">
            <w:pPr>
              <w:rPr>
                <w:rFonts w:ascii="Times New Roman" w:hAnsi="Times New Roman"/>
                <w:sz w:val="24"/>
              </w:rPr>
            </w:pPr>
            <w:r>
              <w:rPr>
                <w:rFonts w:ascii="Times New Roman" w:hAnsi="Times New Roman"/>
                <w:sz w:val="24"/>
              </w:rPr>
              <w:t>Tous les effets seront pris en compte (de sorte que le plancher applicable aux hyp</w:t>
            </w:r>
            <w:r>
              <w:rPr>
                <w:rFonts w:ascii="Times New Roman" w:hAnsi="Times New Roman"/>
                <w:sz w:val="24"/>
              </w:rPr>
              <w:t>o</w:t>
            </w:r>
            <w:r>
              <w:rPr>
                <w:rFonts w:ascii="Times New Roman" w:hAnsi="Times New Roman"/>
                <w:sz w:val="24"/>
              </w:rPr>
              <w:t>thèques soit inclus dans la déclaration).</w:t>
            </w:r>
          </w:p>
          <w:p w:rsidR="001C7AB7" w:rsidRPr="00392FFD" w:rsidRDefault="001C7AB7" w:rsidP="001C7AB7">
            <w:pPr>
              <w:rPr>
                <w:rFonts w:ascii="Times New Roman" w:hAnsi="Times New Roman"/>
                <w:sz w:val="24"/>
              </w:rPr>
            </w:pPr>
            <w:r>
              <w:rPr>
                <w:rFonts w:ascii="Times New Roman" w:hAnsi="Times New Roman"/>
                <w:sz w:val="24"/>
              </w:rPr>
              <w:t>Pour les établissements qui appliquent l'approche NI mais qui n'utilisent pas leurs propres estimations de LGD, les effets d'atténuation du risque des sûretés financières se reflèt</w:t>
            </w:r>
            <w:r>
              <w:rPr>
                <w:rFonts w:ascii="Times New Roman" w:hAnsi="Times New Roman"/>
                <w:sz w:val="24"/>
              </w:rPr>
              <w:t>e</w:t>
            </w:r>
            <w:r>
              <w:rPr>
                <w:rFonts w:ascii="Times New Roman" w:hAnsi="Times New Roman"/>
                <w:sz w:val="24"/>
              </w:rPr>
              <w:t>ront dans la valeur exposée au risque pleinement ajustée E*, puis dans les LGD*, co</w:t>
            </w:r>
            <w:r>
              <w:rPr>
                <w:rFonts w:ascii="Times New Roman" w:hAnsi="Times New Roman"/>
                <w:sz w:val="24"/>
              </w:rPr>
              <w:t>n</w:t>
            </w:r>
            <w:r>
              <w:rPr>
                <w:rFonts w:ascii="Times New Roman" w:hAnsi="Times New Roman"/>
                <w:sz w:val="24"/>
              </w:rPr>
              <w:t>formément à l'article 228, paragraphe 2, du CRR.</w:t>
            </w:r>
          </w:p>
          <w:p w:rsidR="001C7AB7" w:rsidRPr="00392FFD" w:rsidRDefault="001C7AB7" w:rsidP="001C7AB7">
            <w:pPr>
              <w:rPr>
                <w:rFonts w:ascii="Times New Roman" w:hAnsi="Times New Roman"/>
                <w:sz w:val="24"/>
              </w:rPr>
            </w:pPr>
            <w:r>
              <w:rPr>
                <w:rFonts w:ascii="Times New Roman" w:hAnsi="Times New Roman"/>
                <w:sz w:val="24"/>
              </w:rPr>
              <w:t>La valeur moyenne, pondérée en fonction de l'exposition, des pertes en cas de défaut a</w:t>
            </w:r>
            <w:r>
              <w:rPr>
                <w:rFonts w:ascii="Times New Roman" w:hAnsi="Times New Roman"/>
                <w:sz w:val="24"/>
              </w:rPr>
              <w:t>s</w:t>
            </w:r>
            <w:r>
              <w:rPr>
                <w:rFonts w:ascii="Times New Roman" w:hAnsi="Times New Roman"/>
                <w:sz w:val="24"/>
              </w:rPr>
              <w:t>sociée à chaque échelon ou catégorie de débiteurs affichant une probabilité de défaut, s</w:t>
            </w:r>
            <w:r>
              <w:rPr>
                <w:rFonts w:ascii="Times New Roman" w:hAnsi="Times New Roman"/>
                <w:sz w:val="24"/>
              </w:rPr>
              <w:t>e</w:t>
            </w:r>
            <w:r>
              <w:rPr>
                <w:rFonts w:ascii="Times New Roman" w:hAnsi="Times New Roman"/>
                <w:sz w:val="24"/>
              </w:rPr>
              <w:t>ra obtenue à partir de la moyenne des LGD prudentielles attribuées aux expositions de cet échelon/catégorie de débiteurs affichant une probabilité de défaut, pondérée par la valeur exposée au risque respective de la colonne 110.</w:t>
            </w:r>
          </w:p>
          <w:p w:rsidR="001C7AB7" w:rsidRPr="00392FFD" w:rsidRDefault="001C7AB7" w:rsidP="001C7AB7">
            <w:pPr>
              <w:rPr>
                <w:rFonts w:ascii="Times New Roman" w:hAnsi="Times New Roman"/>
                <w:sz w:val="24"/>
              </w:rPr>
            </w:pPr>
            <w:r>
              <w:rPr>
                <w:rFonts w:ascii="Times New Roman" w:hAnsi="Times New Roman"/>
                <w:sz w:val="24"/>
              </w:rPr>
              <w:t>Lorsque les propres estimations de LGD sont appliquées, on tiendra compte de l'a</w:t>
            </w:r>
            <w:r>
              <w:rPr>
                <w:rFonts w:ascii="Times New Roman" w:hAnsi="Times New Roman"/>
                <w:sz w:val="24"/>
              </w:rPr>
              <w:t>r</w:t>
            </w:r>
            <w:r>
              <w:rPr>
                <w:rFonts w:ascii="Times New Roman" w:hAnsi="Times New Roman"/>
                <w:sz w:val="24"/>
              </w:rPr>
              <w:t>ticle 175 et de l'article 181, paragraphes 1 et 2, du CRR.</w:t>
            </w:r>
          </w:p>
          <w:p w:rsidR="001C7AB7" w:rsidRPr="00392FFD" w:rsidRDefault="001C7AB7" w:rsidP="001C7AB7">
            <w:pPr>
              <w:rPr>
                <w:rFonts w:ascii="Times New Roman" w:hAnsi="Times New Roman"/>
                <w:sz w:val="24"/>
              </w:rPr>
            </w:pPr>
            <w:r>
              <w:rPr>
                <w:rFonts w:ascii="Times New Roman" w:hAnsi="Times New Roman"/>
                <w:sz w:val="24"/>
              </w:rPr>
              <w:t>Dans le cas des expositions soumises au traitement de double défaut, les LGD à déclarer correspondront à celles qui ont été sélectionnées conformément à l'article 161, par</w:t>
            </w:r>
            <w:r>
              <w:rPr>
                <w:rFonts w:ascii="Times New Roman" w:hAnsi="Times New Roman"/>
                <w:sz w:val="24"/>
              </w:rPr>
              <w:t>a</w:t>
            </w:r>
            <w:r>
              <w:rPr>
                <w:rFonts w:ascii="Times New Roman" w:hAnsi="Times New Roman"/>
                <w:sz w:val="24"/>
              </w:rPr>
              <w:t>graphe 4, du CRR.</w:t>
            </w:r>
          </w:p>
          <w:p w:rsidR="001C7AB7" w:rsidRPr="00392FFD" w:rsidRDefault="001C7AB7" w:rsidP="001C7AB7">
            <w:pPr>
              <w:rPr>
                <w:rFonts w:ascii="Times New Roman" w:hAnsi="Times New Roman"/>
                <w:sz w:val="24"/>
              </w:rPr>
            </w:pPr>
            <w:r>
              <w:rPr>
                <w:rFonts w:ascii="Times New Roman" w:hAnsi="Times New Roman"/>
                <w:sz w:val="24"/>
              </w:rPr>
              <w:t>Le calcul de la valeur moyenne, pondérée en fonction de l'exposition, des pertes en cas de défaut sera basé sur les paramètres de risque réellement utilisés dans le système de not</w:t>
            </w:r>
            <w:r>
              <w:rPr>
                <w:rFonts w:ascii="Times New Roman" w:hAnsi="Times New Roman"/>
                <w:sz w:val="24"/>
              </w:rPr>
              <w:t>a</w:t>
            </w:r>
            <w:r>
              <w:rPr>
                <w:rFonts w:ascii="Times New Roman" w:hAnsi="Times New Roman"/>
                <w:sz w:val="24"/>
              </w:rPr>
              <w:t>tions internes approuvé par les autorités compétentes respectives.</w:t>
            </w:r>
          </w:p>
          <w:p w:rsidR="001C7AB7" w:rsidRPr="00392FFD" w:rsidRDefault="00224FE5" w:rsidP="001C7AB7">
            <w:pPr>
              <w:rPr>
                <w:rFonts w:ascii="Times New Roman" w:hAnsi="Times New Roman"/>
                <w:sz w:val="24"/>
              </w:rPr>
            </w:pPr>
            <w:r>
              <w:rPr>
                <w:rFonts w:ascii="Times New Roman" w:hAnsi="Times New Roman"/>
                <w:sz w:val="24"/>
              </w:rPr>
              <w:t>Les données ne seront pas déclarées pour les expositions de financement spécialisé visées à l'article 153, paragraphe 5.</w:t>
            </w:r>
          </w:p>
          <w:p w:rsidR="001C7AB7" w:rsidRPr="00392FFD" w:rsidRDefault="001C7AB7" w:rsidP="001C7AB7">
            <w:pPr>
              <w:rPr>
                <w:rFonts w:ascii="Times New Roman" w:hAnsi="Times New Roman"/>
                <w:sz w:val="24"/>
              </w:rPr>
            </w:pPr>
            <w:r>
              <w:rPr>
                <w:rFonts w:ascii="Times New Roman" w:hAnsi="Times New Roman"/>
                <w:sz w:val="24"/>
              </w:rPr>
              <w:t xml:space="preserve">Les expositions et les LGD respectives pour les entités du secteur financier de grande taille et les entités financières non règlementées ne seront pas intégrées au calcul de la colonne 230. Elles ne feront partie que du calcul de la colonne 240.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LGD MOYENNE, PONDÉRÉE (%) POUR ENTITÉS DU SECTEUR FINANCIER DE GRANDE TAILLE ET ENTITÉS DU SECTEUR FINANCIER NON RÉGL</w:t>
            </w:r>
            <w:r>
              <w:rPr>
                <w:rFonts w:ascii="Times New Roman" w:hAnsi="Times New Roman"/>
                <w:b/>
                <w:sz w:val="24"/>
                <w:u w:val="single"/>
              </w:rPr>
              <w:t>E</w:t>
            </w:r>
            <w:r>
              <w:rPr>
                <w:rFonts w:ascii="Times New Roman" w:hAnsi="Times New Roman"/>
                <w:b/>
                <w:sz w:val="24"/>
                <w:u w:val="single"/>
              </w:rPr>
              <w:t>MENTÉES</w:t>
            </w:r>
          </w:p>
          <w:p w:rsidR="001C7AB7" w:rsidRPr="00392FFD" w:rsidRDefault="001C7AB7" w:rsidP="001C7AB7">
            <w:pPr>
              <w:rPr>
                <w:rFonts w:ascii="Times New Roman" w:hAnsi="Times New Roman"/>
                <w:sz w:val="24"/>
              </w:rPr>
            </w:pPr>
            <w:r>
              <w:rPr>
                <w:rFonts w:ascii="Times New Roman" w:hAnsi="Times New Roman"/>
                <w:sz w:val="24"/>
              </w:rPr>
              <w:t>Valeur moyenne, pondérée en fonction de l'exposition, des pertes en cas de défaut (%) pour toutes les expositions définies conformément à l'article 142, paragraphes 4 et 5, du CRR soumises à une corrélation plus forte, conformément à l'article 153, paragraphe 2, du CRR.</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VALEUR D'ÉCHÉANCE MOYENNE PONDÉRÉE (JOURS)</w:t>
            </w:r>
          </w:p>
          <w:p w:rsidR="001C7AB7" w:rsidRPr="00392FFD" w:rsidRDefault="001C7AB7" w:rsidP="001C7AB7">
            <w:pPr>
              <w:rPr>
                <w:rFonts w:ascii="Times New Roman" w:hAnsi="Times New Roman"/>
                <w:sz w:val="24"/>
              </w:rPr>
            </w:pPr>
            <w:r>
              <w:rPr>
                <w:rFonts w:ascii="Times New Roman" w:hAnsi="Times New Roman"/>
                <w:sz w:val="24"/>
              </w:rPr>
              <w:t>La valeur déclarée reflète les dispositions de l'article 162 du CRR. La valeur exposée au risque (colonne 110) sera utilisée pour le calcul des moyennes pondérées. L'échéance moyenne est exprimée en jours.</w:t>
            </w:r>
          </w:p>
          <w:p w:rsidR="001C7AB7" w:rsidRPr="00392FFD" w:rsidRDefault="001C7AB7" w:rsidP="00FD6CCB">
            <w:pPr>
              <w:rPr>
                <w:rFonts w:ascii="Times New Roman" w:hAnsi="Times New Roman"/>
                <w:sz w:val="24"/>
              </w:rPr>
            </w:pPr>
            <w:r>
              <w:rPr>
                <w:rFonts w:ascii="Times New Roman" w:hAnsi="Times New Roman"/>
                <w:sz w:val="24"/>
              </w:rPr>
              <w:t xml:space="preserve">Ces données ne seront pas déclarées pour les valeurs exposées au risque pour lesquelles l'échéance ne constitue pas un élément du calcul des </w:t>
            </w:r>
            <w:r>
              <w:rPr>
                <w:rStyle w:val="InstructionsTabelleText"/>
                <w:rFonts w:ascii="Times New Roman" w:hAnsi="Times New Roman"/>
                <w:sz w:val="24"/>
              </w:rPr>
              <w:t>montants d'exposition pondérés</w:t>
            </w:r>
            <w:r>
              <w:rPr>
                <w:rFonts w:ascii="Times New Roman" w:hAnsi="Times New Roman"/>
                <w:sz w:val="24"/>
              </w:rPr>
              <w:t>. C</w:t>
            </w:r>
            <w:r>
              <w:rPr>
                <w:rFonts w:ascii="Times New Roman" w:hAnsi="Times New Roman"/>
                <w:sz w:val="24"/>
              </w:rPr>
              <w:t>e</w:t>
            </w:r>
            <w:r>
              <w:rPr>
                <w:rFonts w:ascii="Times New Roman" w:hAnsi="Times New Roman"/>
                <w:sz w:val="24"/>
              </w:rPr>
              <w:lastRenderedPageBreak/>
              <w:t>la signifie que cette colonne ne sera pas remplie pour la catégorie d'expositions «clientèle de détail».</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255</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MONTANT D'EXPOSITION PONDÉRÉ AVANT APPLICATION DU FACTEUR SUPPLÉTIF EN FAVEUR DES PME</w:t>
            </w:r>
          </w:p>
          <w:p w:rsidR="001C7AB7" w:rsidRPr="00392FFD" w:rsidRDefault="001C7AB7" w:rsidP="001C7AB7">
            <w:pPr>
              <w:rPr>
                <w:rFonts w:ascii="Times New Roman" w:hAnsi="Times New Roman"/>
                <w:sz w:val="24"/>
              </w:rPr>
            </w:pPr>
            <w:r>
              <w:rPr>
                <w:rFonts w:ascii="Times New Roman" w:hAnsi="Times New Roman"/>
                <w:sz w:val="24"/>
              </w:rPr>
              <w:t>Pour les administrations centrales et les banques centrales, les entreprises et les établi</w:t>
            </w:r>
            <w:r>
              <w:rPr>
                <w:rFonts w:ascii="Times New Roman" w:hAnsi="Times New Roman"/>
                <w:sz w:val="24"/>
              </w:rPr>
              <w:t>s</w:t>
            </w:r>
            <w:r>
              <w:rPr>
                <w:rFonts w:ascii="Times New Roman" w:hAnsi="Times New Roman"/>
                <w:sz w:val="24"/>
              </w:rPr>
              <w:t xml:space="preserve">sements, voir l'article 153, paragraphes 1 et 3, du CRR. Pour la clientèle de détail, voir l'article 154, paragraphe 1, du CRR. </w:t>
            </w:r>
          </w:p>
          <w:p w:rsidR="001C7AB7" w:rsidRPr="00392FFD" w:rsidRDefault="001C7AB7" w:rsidP="00FD6CCB">
            <w:pPr>
              <w:rPr>
                <w:rFonts w:ascii="Times New Roman" w:hAnsi="Times New Roman"/>
                <w:b/>
                <w:sz w:val="24"/>
                <w:u w:val="single"/>
              </w:rPr>
            </w:pPr>
            <w:r>
              <w:rPr>
                <w:rFonts w:ascii="Times New Roman" w:hAnsi="Times New Roman"/>
                <w:sz w:val="24"/>
              </w:rPr>
              <w:t>Le facteur supplétif pour les PME visé à l'article 501 du CRR ne sera pas pris en consid</w:t>
            </w:r>
            <w:r>
              <w:rPr>
                <w:rFonts w:ascii="Times New Roman" w:hAnsi="Times New Roman"/>
                <w:sz w:val="24"/>
              </w:rPr>
              <w:t>é</w:t>
            </w:r>
            <w:r>
              <w:rPr>
                <w:rFonts w:ascii="Times New Roman" w:hAnsi="Times New Roman"/>
                <w:sz w:val="24"/>
              </w:rPr>
              <w:t>ration.</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260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MONTANT D'EXPOSITION PONDÉRÉ APRÈS APPLICATION DU FACTEUR SUPPLÉTIF EN FAVEUR DES PME</w:t>
            </w:r>
          </w:p>
          <w:p w:rsidR="001C7AB7" w:rsidRPr="00392FFD" w:rsidRDefault="001C7AB7" w:rsidP="001C7AB7">
            <w:pPr>
              <w:rPr>
                <w:rFonts w:ascii="Times New Roman" w:hAnsi="Times New Roman"/>
                <w:sz w:val="24"/>
              </w:rPr>
            </w:pPr>
            <w:r>
              <w:rPr>
                <w:rFonts w:ascii="Times New Roman" w:hAnsi="Times New Roman"/>
                <w:sz w:val="24"/>
              </w:rPr>
              <w:t>Pour les administrations centrales et les banques centrales, les entreprises et les établi</w:t>
            </w:r>
            <w:r>
              <w:rPr>
                <w:rFonts w:ascii="Times New Roman" w:hAnsi="Times New Roman"/>
                <w:sz w:val="24"/>
              </w:rPr>
              <w:t>s</w:t>
            </w:r>
            <w:r>
              <w:rPr>
                <w:rFonts w:ascii="Times New Roman" w:hAnsi="Times New Roman"/>
                <w:sz w:val="24"/>
              </w:rPr>
              <w:t>sements, voir l'article 153, paragraphes 1 et 3, du CRR. Pour la clientèle de détail, voir l'article 154, paragraphe 1, du CRR.</w:t>
            </w:r>
          </w:p>
          <w:p w:rsidR="001C7AB7" w:rsidRPr="00392FFD" w:rsidRDefault="001C7AB7" w:rsidP="00FD6CCB">
            <w:pPr>
              <w:rPr>
                <w:rFonts w:ascii="Times New Roman" w:hAnsi="Times New Roman"/>
                <w:b/>
                <w:sz w:val="24"/>
                <w:u w:val="single"/>
              </w:rPr>
            </w:pPr>
            <w:r>
              <w:rPr>
                <w:rFonts w:ascii="Times New Roman" w:hAnsi="Times New Roman"/>
                <w:sz w:val="24"/>
              </w:rPr>
              <w:t>Le facteur supplétif pour les PME visé à l'article 501 du CRR sera pris en considération.</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270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DONT: ENTITÉS DU SECTEUR FINANCIER DE GRANDE TAILLE ET ENT</w:t>
            </w:r>
            <w:r>
              <w:rPr>
                <w:rFonts w:ascii="Times New Roman" w:hAnsi="Times New Roman"/>
                <w:b/>
                <w:sz w:val="24"/>
                <w:u w:val="single"/>
              </w:rPr>
              <w:t>I</w:t>
            </w:r>
            <w:r>
              <w:rPr>
                <w:rFonts w:ascii="Times New Roman" w:hAnsi="Times New Roman"/>
                <w:b/>
                <w:sz w:val="24"/>
                <w:u w:val="single"/>
              </w:rPr>
              <w:t>TÉS DU SECTEUR FINANCIER NON RÉGLEMENTÉES</w:t>
            </w:r>
          </w:p>
          <w:p w:rsidR="001C7AB7" w:rsidRPr="00392FFD" w:rsidDel="005A2363" w:rsidRDefault="001C7AB7" w:rsidP="00FD6CCB">
            <w:pPr>
              <w:rPr>
                <w:rFonts w:ascii="Times New Roman" w:hAnsi="Times New Roman"/>
                <w:sz w:val="24"/>
              </w:rPr>
            </w:pPr>
            <w:r>
              <w:rPr>
                <w:rFonts w:ascii="Times New Roman" w:hAnsi="Times New Roman"/>
                <w:sz w:val="24"/>
              </w:rPr>
              <w:t>Ventilation du montant d'exposition pondéré après application du facteur supplétif pour les PME, pour toutes les expositions définies conformément à l'article 142, paragraphes 4 et 5, du CRR, soumises à une corrélation plus forte, conformément à l'article 153, par</w:t>
            </w:r>
            <w:r>
              <w:rPr>
                <w:rFonts w:ascii="Times New Roman" w:hAnsi="Times New Roman"/>
                <w:sz w:val="24"/>
              </w:rPr>
              <w:t>a</w:t>
            </w:r>
            <w:r>
              <w:rPr>
                <w:rFonts w:ascii="Times New Roman" w:hAnsi="Times New Roman"/>
                <w:sz w:val="24"/>
              </w:rPr>
              <w:t>graphe 2, du CRR.</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MONTANT DES PERTES ANTICIPÉES</w:t>
            </w:r>
          </w:p>
          <w:p w:rsidR="001C7AB7" w:rsidRPr="00392FFD" w:rsidRDefault="001C7AB7" w:rsidP="00FD6CCB">
            <w:pPr>
              <w:jc w:val="left"/>
              <w:rPr>
                <w:rFonts w:ascii="Times New Roman" w:hAnsi="Times New Roman"/>
                <w:sz w:val="24"/>
              </w:rPr>
            </w:pPr>
            <w:r>
              <w:rPr>
                <w:rFonts w:ascii="Times New Roman" w:hAnsi="Times New Roman"/>
                <w:sz w:val="24"/>
              </w:rPr>
              <w:t>Pour la définition des pertes anticipées, consultez l'article 5, point 3, du CRR. Pour le calcul, reportez-vous à l'article 158 du CRR. Le montant des pertes anticipées à déclarer sera basé sur les paramètres de risque réellement utilisés dans le système de notation i</w:t>
            </w:r>
            <w:r>
              <w:rPr>
                <w:rFonts w:ascii="Times New Roman" w:hAnsi="Times New Roman"/>
                <w:sz w:val="24"/>
              </w:rPr>
              <w:t>n</w:t>
            </w:r>
            <w:r>
              <w:rPr>
                <w:rFonts w:ascii="Times New Roman" w:hAnsi="Times New Roman"/>
                <w:sz w:val="24"/>
              </w:rPr>
              <w:t>terne approuvé par les autorités compétentes respectives.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CORRECTIONS DE VALEUR ET PROVISIONS</w:t>
            </w:r>
          </w:p>
          <w:p w:rsidR="001C7AB7" w:rsidRPr="00392FFD" w:rsidRDefault="001C7AB7" w:rsidP="00FD6CCB">
            <w:pPr>
              <w:rPr>
                <w:rFonts w:ascii="Times New Roman" w:hAnsi="Times New Roman"/>
                <w:sz w:val="24"/>
              </w:rPr>
            </w:pPr>
            <w:r>
              <w:rPr>
                <w:rFonts w:ascii="Times New Roman" w:hAnsi="Times New Roman"/>
                <w:sz w:val="24"/>
              </w:rPr>
              <w:t>Les corrections de valeur ainsi que les provisions générales et spécifiques visées à l'a</w:t>
            </w:r>
            <w:r>
              <w:rPr>
                <w:rFonts w:ascii="Times New Roman" w:hAnsi="Times New Roman"/>
                <w:sz w:val="24"/>
              </w:rPr>
              <w:t>r</w:t>
            </w:r>
            <w:r>
              <w:rPr>
                <w:rFonts w:ascii="Times New Roman" w:hAnsi="Times New Roman"/>
                <w:sz w:val="24"/>
              </w:rPr>
              <w:t>ticle 159 du CRR seront déclarées. Les</w:t>
            </w:r>
            <w:r>
              <w:rPr>
                <w:rFonts w:ascii="Times New Roman" w:hAnsi="Times New Roman"/>
                <w:b/>
                <w:i/>
                <w:sz w:val="24"/>
              </w:rPr>
              <w:t xml:space="preserve"> </w:t>
            </w:r>
            <w:r>
              <w:rPr>
                <w:rFonts w:ascii="Times New Roman" w:hAnsi="Times New Roman"/>
                <w:sz w:val="24"/>
              </w:rPr>
              <w:t>provisions générales seront déclarées en indiquant le montant au prorata de la perte anticipée pour les différents échelons de débiteurs.</w:t>
            </w:r>
          </w:p>
        </w:tc>
      </w:tr>
      <w:tr w:rsidR="001C7AB7" w:rsidRPr="00392FFD" w:rsidTr="00672D2A">
        <w:tc>
          <w:tcPr>
            <w:tcW w:w="1188" w:type="dxa"/>
          </w:tcPr>
          <w:p w:rsidR="001C7AB7" w:rsidRPr="00392FFD" w:rsidRDefault="001C7AB7" w:rsidP="001C7AB7">
            <w:pPr>
              <w:ind w:right="-288"/>
              <w:rPr>
                <w:rFonts w:ascii="Times New Roman" w:hAnsi="Times New Roman"/>
                <w:sz w:val="24"/>
              </w:rPr>
            </w:pPr>
            <w:r>
              <w:rPr>
                <w:rFonts w:ascii="Times New Roman" w:hAnsi="Times New Roman"/>
                <w:sz w:val="24"/>
              </w:rPr>
              <w:t>300</w:t>
            </w:r>
          </w:p>
        </w:tc>
        <w:tc>
          <w:tcPr>
            <w:tcW w:w="8843" w:type="dxa"/>
          </w:tcPr>
          <w:p w:rsidR="001C7AB7" w:rsidRPr="00392FFD" w:rsidRDefault="001C7AB7" w:rsidP="001C7AB7">
            <w:pPr>
              <w:ind w:right="-288"/>
              <w:rPr>
                <w:rFonts w:ascii="Times New Roman" w:hAnsi="Times New Roman"/>
                <w:b/>
                <w:sz w:val="24"/>
                <w:u w:val="single"/>
              </w:rPr>
            </w:pPr>
            <w:r>
              <w:rPr>
                <w:rFonts w:ascii="Times New Roman" w:hAnsi="Times New Roman"/>
                <w:b/>
                <w:sz w:val="24"/>
                <w:u w:val="single"/>
              </w:rPr>
              <w:t>NOMBRE DE DÉBITEURS</w:t>
            </w:r>
          </w:p>
          <w:p w:rsidR="001C7AB7" w:rsidRPr="00392FFD" w:rsidRDefault="001C7AB7" w:rsidP="001C7AB7">
            <w:pPr>
              <w:rPr>
                <w:rFonts w:ascii="Times New Roman" w:hAnsi="Times New Roman"/>
                <w:sz w:val="24"/>
              </w:rPr>
            </w:pPr>
            <w:r>
              <w:rPr>
                <w:rFonts w:ascii="Times New Roman" w:hAnsi="Times New Roman"/>
                <w:sz w:val="24"/>
              </w:rPr>
              <w:t>Article 172, paragraphes 1 et 2, du CRR</w:t>
            </w:r>
          </w:p>
          <w:p w:rsidR="001C7AB7" w:rsidRPr="00392FFD" w:rsidRDefault="001C7AB7" w:rsidP="001C7AB7">
            <w:pPr>
              <w:rPr>
                <w:rFonts w:ascii="Times New Roman" w:hAnsi="Times New Roman"/>
                <w:sz w:val="24"/>
              </w:rPr>
            </w:pPr>
            <w:r>
              <w:rPr>
                <w:rFonts w:ascii="Times New Roman" w:hAnsi="Times New Roman"/>
                <w:sz w:val="24"/>
              </w:rPr>
              <w:t>Pour toutes les catégories d'expositions à l'exception de la catégorie «clientèle de détail» et des cas mentionnés à l'article 172, paragraphe 1, point e), deuxième phrase du CRR, l'établissement déclare le nombre d'entités légales/de débiteurs qui ont été notés sépar</w:t>
            </w:r>
            <w:r>
              <w:rPr>
                <w:rFonts w:ascii="Times New Roman" w:hAnsi="Times New Roman"/>
                <w:sz w:val="24"/>
              </w:rPr>
              <w:t>é</w:t>
            </w:r>
            <w:r>
              <w:rPr>
                <w:rFonts w:ascii="Times New Roman" w:hAnsi="Times New Roman"/>
                <w:sz w:val="24"/>
              </w:rPr>
              <w:t xml:space="preserve">ment, quel que soit le nombre des différents prêts ou expositions accordés. </w:t>
            </w:r>
          </w:p>
          <w:p w:rsidR="001C7AB7" w:rsidRPr="00392FFD" w:rsidRDefault="001C7AB7" w:rsidP="001C7AB7">
            <w:pPr>
              <w:rPr>
                <w:rFonts w:ascii="Times New Roman" w:hAnsi="Times New Roman"/>
                <w:sz w:val="24"/>
              </w:rPr>
            </w:pPr>
            <w:r>
              <w:rPr>
                <w:rFonts w:ascii="Times New Roman" w:hAnsi="Times New Roman"/>
                <w:sz w:val="24"/>
              </w:rPr>
              <w:t>Au sein de la catégorie d'exposition «clientèle de détail», ou si des expositions distinctes sur un même débiteur sont affectées à des échelons de débiteurs différents conformément à l'article 172, paragraphe 1, point e), deuxième phrase, du CRR dans d'autres catégories d'expositions, l'établissement déclare le nombre d'expositions qui ont été affectées sép</w:t>
            </w:r>
            <w:r>
              <w:rPr>
                <w:rFonts w:ascii="Times New Roman" w:hAnsi="Times New Roman"/>
                <w:sz w:val="24"/>
              </w:rPr>
              <w:t>a</w:t>
            </w:r>
            <w:r>
              <w:rPr>
                <w:rFonts w:ascii="Times New Roman" w:hAnsi="Times New Roman"/>
                <w:sz w:val="24"/>
              </w:rPr>
              <w:lastRenderedPageBreak/>
              <w:t xml:space="preserve">rément à un échelon ou catégorie de notation donné. Lorsque l'article 172, paragraphe 2, du CRR s'applique, il se peut qu'un débiteur fasse partie de plusieurs échelons. </w:t>
            </w:r>
          </w:p>
          <w:p w:rsidR="001C7AB7" w:rsidRPr="00392FFD" w:rsidRDefault="001C7AB7" w:rsidP="00241845">
            <w:pPr>
              <w:rPr>
                <w:rFonts w:ascii="Times New Roman" w:hAnsi="Times New Roman"/>
                <w:sz w:val="24"/>
              </w:rPr>
            </w:pPr>
            <w:r>
              <w:rPr>
                <w:rStyle w:val="InstructionsTabelleText"/>
                <w:rFonts w:ascii="Times New Roman" w:hAnsi="Times New Roman"/>
                <w:sz w:val="24"/>
              </w:rPr>
              <w:t>Étant donné que cette colonne concerne un élément de la structure des systèmes de not</w:t>
            </w:r>
            <w:r>
              <w:rPr>
                <w:rStyle w:val="InstructionsTabelleText"/>
                <w:rFonts w:ascii="Times New Roman" w:hAnsi="Times New Roman"/>
                <w:sz w:val="24"/>
              </w:rPr>
              <w:t>a</w:t>
            </w:r>
            <w:r>
              <w:rPr>
                <w:rStyle w:val="InstructionsTabelleText"/>
                <w:rFonts w:ascii="Times New Roman" w:hAnsi="Times New Roman"/>
                <w:sz w:val="24"/>
              </w:rPr>
              <w:t>tions, elle traite des expositions initiales avant application des facteurs de conversion a</w:t>
            </w:r>
            <w:r>
              <w:rPr>
                <w:rStyle w:val="InstructionsTabelleText"/>
                <w:rFonts w:ascii="Times New Roman" w:hAnsi="Times New Roman"/>
                <w:sz w:val="24"/>
              </w:rPr>
              <w:t>t</w:t>
            </w:r>
            <w:r>
              <w:rPr>
                <w:rStyle w:val="InstructionsTabelleText"/>
                <w:rFonts w:ascii="Times New Roman" w:hAnsi="Times New Roman"/>
                <w:sz w:val="24"/>
              </w:rPr>
              <w:t>tribuées à chaque échelon ou catégorie de débiteurs, compte non tenu de l'effet des tec</w:t>
            </w:r>
            <w:r>
              <w:rPr>
                <w:rStyle w:val="InstructionsTabelleText"/>
                <w:rFonts w:ascii="Times New Roman" w:hAnsi="Times New Roman"/>
                <w:sz w:val="24"/>
              </w:rPr>
              <w:t>h</w:t>
            </w:r>
            <w:r>
              <w:rPr>
                <w:rStyle w:val="InstructionsTabelleText"/>
                <w:rFonts w:ascii="Times New Roman" w:hAnsi="Times New Roman"/>
                <w:sz w:val="24"/>
              </w:rPr>
              <w:t>niques d'atténuation du risque de crédit (plus particulièrement les effets de la redistrib</w:t>
            </w:r>
            <w:r>
              <w:rPr>
                <w:rStyle w:val="InstructionsTabelleText"/>
                <w:rFonts w:ascii="Times New Roman" w:hAnsi="Times New Roman"/>
                <w:sz w:val="24"/>
              </w:rPr>
              <w:t>u</w:t>
            </w:r>
            <w:r>
              <w:rPr>
                <w:rStyle w:val="InstructionsTabelleText"/>
                <w:rFonts w:ascii="Times New Roman" w:hAnsi="Times New Roman"/>
                <w:sz w:val="24"/>
              </w:rPr>
              <w:t>tion).</w:t>
            </w:r>
          </w:p>
        </w:tc>
      </w:tr>
    </w:tbl>
    <w:p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rsidTr="00672D2A">
        <w:tc>
          <w:tcPr>
            <w:tcW w:w="1242"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Ligne</w:t>
            </w:r>
          </w:p>
        </w:tc>
        <w:tc>
          <w:tcPr>
            <w:tcW w:w="8789" w:type="dxa"/>
            <w:shd w:val="clear" w:color="auto" w:fill="CCCCCC"/>
          </w:tcPr>
          <w:p w:rsidR="001C7AB7" w:rsidRPr="00392FFD" w:rsidRDefault="001C7AB7" w:rsidP="001C7AB7">
            <w:pPr>
              <w:ind w:left="72"/>
              <w:rPr>
                <w:rFonts w:ascii="Times New Roman" w:hAnsi="Times New Roman"/>
                <w:sz w:val="24"/>
              </w:rPr>
            </w:pPr>
            <w:r>
              <w:rPr>
                <w:rFonts w:ascii="Times New Roman" w:hAnsi="Times New Roman"/>
                <w:sz w:val="24"/>
              </w:rPr>
              <w:t>Instructions</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789" w:type="dxa"/>
          </w:tcPr>
          <w:p w:rsidR="001C7AB7" w:rsidRPr="00392FFD" w:rsidRDefault="001C7AB7" w:rsidP="00FD6CCB">
            <w:pPr>
              <w:rPr>
                <w:rFonts w:ascii="Times New Roman" w:hAnsi="Times New Roman"/>
                <w:sz w:val="24"/>
              </w:rPr>
            </w:pPr>
            <w:r>
              <w:rPr>
                <w:rFonts w:ascii="Times New Roman" w:hAnsi="Times New Roman"/>
                <w:b/>
                <w:sz w:val="24"/>
                <w:u w:val="single"/>
              </w:rPr>
              <w:t>TOTAL DES EXPOSITIONS</w:t>
            </w:r>
          </w:p>
        </w:tc>
      </w:tr>
      <w:tr w:rsidR="00785F3E" w:rsidRPr="00392FFD" w:rsidTr="00672D2A">
        <w:tc>
          <w:tcPr>
            <w:tcW w:w="1242" w:type="dxa"/>
          </w:tcPr>
          <w:p w:rsidR="00785F3E" w:rsidRPr="00392FFD" w:rsidRDefault="003C3168" w:rsidP="001C7AB7">
            <w:pPr>
              <w:rPr>
                <w:rFonts w:ascii="Times New Roman" w:hAnsi="Times New Roman"/>
                <w:sz w:val="24"/>
              </w:rPr>
            </w:pPr>
            <w:r>
              <w:rPr>
                <w:rFonts w:ascii="Times New Roman" w:hAnsi="Times New Roman"/>
                <w:sz w:val="24"/>
              </w:rPr>
              <w:t>015</w:t>
            </w:r>
          </w:p>
        </w:tc>
        <w:tc>
          <w:tcPr>
            <w:tcW w:w="8789" w:type="dxa"/>
          </w:tcPr>
          <w:p w:rsidR="00785F3E" w:rsidRPr="00392FFD" w:rsidRDefault="00785F3E" w:rsidP="00785F3E">
            <w:pPr>
              <w:rPr>
                <w:rFonts w:ascii="Times New Roman" w:hAnsi="Times New Roman"/>
                <w:b/>
                <w:sz w:val="24"/>
                <w:u w:val="single"/>
              </w:rPr>
            </w:pPr>
            <w:r>
              <w:rPr>
                <w:rFonts w:ascii="Times New Roman" w:hAnsi="Times New Roman"/>
                <w:b/>
                <w:sz w:val="24"/>
                <w:u w:val="single"/>
              </w:rPr>
              <w:t>dont: Expositions soumises à l'application du facteur supplétif en faveur des PME</w:t>
            </w:r>
          </w:p>
          <w:p w:rsidR="00785F3E" w:rsidRPr="00392FFD" w:rsidRDefault="00785F3E" w:rsidP="00785F3E">
            <w:pPr>
              <w:rPr>
                <w:rFonts w:ascii="Times New Roman" w:hAnsi="Times New Roman"/>
                <w:sz w:val="24"/>
              </w:rPr>
            </w:pPr>
            <w:r>
              <w:rPr>
                <w:rFonts w:ascii="Times New Roman" w:hAnsi="Times New Roman"/>
                <w:sz w:val="24"/>
              </w:rPr>
              <w:t>Seules les expositions qui satisfont aux exigences de l'article 501 du CRR seront décl</w:t>
            </w:r>
            <w:r>
              <w:rPr>
                <w:rFonts w:ascii="Times New Roman" w:hAnsi="Times New Roman"/>
                <w:sz w:val="24"/>
              </w:rPr>
              <w:t>a</w:t>
            </w:r>
            <w:r>
              <w:rPr>
                <w:rFonts w:ascii="Times New Roman" w:hAnsi="Times New Roman"/>
                <w:sz w:val="24"/>
              </w:rPr>
              <w:t>rées ici.</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020-060</w:t>
            </w:r>
          </w:p>
        </w:tc>
        <w:tc>
          <w:tcPr>
            <w:tcW w:w="8789" w:type="dxa"/>
          </w:tcPr>
          <w:p w:rsidR="001C7AB7" w:rsidRPr="00392FFD" w:rsidRDefault="001C7AB7" w:rsidP="001C7AB7">
            <w:pPr>
              <w:rPr>
                <w:rFonts w:ascii="Times New Roman" w:hAnsi="Times New Roman"/>
                <w:sz w:val="24"/>
              </w:rPr>
            </w:pPr>
            <w:r>
              <w:rPr>
                <w:rFonts w:ascii="Times New Roman" w:hAnsi="Times New Roman"/>
                <w:sz w:val="24"/>
              </w:rPr>
              <w:t>RÉPARTITION DU TOTAL DES EXPOSITIONS PAR TYPE D'EXPOSITION</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Éléments de bilan soumis au risque de crédit </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Les actifs visés à l'article 24 du CRR non inclus dans une autre catégorie.</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Les expositions qui sont des éléments au bilan et sont comptabilisées comme des opér</w:t>
            </w:r>
            <w:r>
              <w:rPr>
                <w:rStyle w:val="InstructionsTabelleText"/>
                <w:rFonts w:ascii="Times New Roman" w:hAnsi="Times New Roman"/>
                <w:sz w:val="24"/>
              </w:rPr>
              <w:t>a</w:t>
            </w:r>
            <w:r>
              <w:rPr>
                <w:rStyle w:val="InstructionsTabelleText"/>
                <w:rFonts w:ascii="Times New Roman" w:hAnsi="Times New Roman"/>
                <w:sz w:val="24"/>
              </w:rPr>
              <w:t xml:space="preserve">tions de financement sur titres, des dérivés et opérations à règlement différé, ou qui sont issues d'une convention de compensation </w:t>
            </w:r>
            <w:proofErr w:type="spellStart"/>
            <w:r>
              <w:rPr>
                <w:rStyle w:val="InstructionsTabelleText"/>
                <w:rFonts w:ascii="Times New Roman" w:hAnsi="Times New Roman"/>
                <w:sz w:val="24"/>
              </w:rPr>
              <w:t>multiproduits</w:t>
            </w:r>
            <w:proofErr w:type="spellEnd"/>
            <w:r>
              <w:rPr>
                <w:rStyle w:val="InstructionsTabelleText"/>
                <w:rFonts w:ascii="Times New Roman" w:hAnsi="Times New Roman"/>
                <w:sz w:val="24"/>
              </w:rPr>
              <w:t>, seront déclarées aux lignes 040-060 et ne figureront par conséquent pas dans cette ligne.</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Les positions de négociation non dénouées, conformément à l'article 379, paragraphe 1, du CRR (lorsqu'elles ne sont pas déduites) ne constituent pas un élément au bilan, mais devront néanmoins être déclarées dans cette ligne.</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Les expositions issues d'actifs donnés à une CCP conformément à l'article 4, point 91), du CRR ainsi que les expositions aux fonds de défaillance au sens de l'article 4, point 89), du CRR seront incluses lorsqu'elles n'ont pas été déclarées à la ligne 030.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Éléments de hors bilan soumis au risque de crédit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Les positions hors bilan comprennent les éléments figurant sur la liste de l'annexe I du CRR.</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Les expositions qui sont des éléments hors bilan et sont comptabilisées comme des op</w:t>
            </w:r>
            <w:r>
              <w:rPr>
                <w:rStyle w:val="InstructionsTabelleText"/>
                <w:rFonts w:ascii="Times New Roman" w:hAnsi="Times New Roman"/>
                <w:sz w:val="24"/>
              </w:rPr>
              <w:t>é</w:t>
            </w:r>
            <w:r>
              <w:rPr>
                <w:rStyle w:val="InstructionsTabelleText"/>
                <w:rFonts w:ascii="Times New Roman" w:hAnsi="Times New Roman"/>
                <w:sz w:val="24"/>
              </w:rPr>
              <w:t xml:space="preserve">rations de financement sur titres, des dérivés et opérations à règlement différé ou issues d'une convention de compensation </w:t>
            </w:r>
            <w:proofErr w:type="spellStart"/>
            <w:r>
              <w:rPr>
                <w:rStyle w:val="InstructionsTabelleText"/>
                <w:rFonts w:ascii="Times New Roman" w:hAnsi="Times New Roman"/>
                <w:sz w:val="24"/>
              </w:rPr>
              <w:t>multiproduits</w:t>
            </w:r>
            <w:proofErr w:type="spellEnd"/>
            <w:r>
              <w:rPr>
                <w:rStyle w:val="InstructionsTabelleText"/>
                <w:rFonts w:ascii="Times New Roman" w:hAnsi="Times New Roman"/>
                <w:sz w:val="24"/>
              </w:rPr>
              <w:t>, seront déclarées aux lignes 040-060 et ne figureront par conséquent pas dans cette ligne.</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Les expositions issues d'actifs donnés à une CCP conformément à l'article 4, point 91), du CRR ainsi que les expositions aux fonds de défaillance au sens de l'article 4, point 89), du CRR seront incluses dès lors qu'elles sont considérées comme des éléments hors bilan. </w:t>
            </w:r>
          </w:p>
        </w:tc>
      </w:tr>
      <w:tr w:rsidR="001C7AB7" w:rsidRPr="00392FFD" w:rsidTr="00672D2A">
        <w:tc>
          <w:tcPr>
            <w:tcW w:w="1242" w:type="dxa"/>
          </w:tcPr>
          <w:p w:rsidR="001C7AB7" w:rsidRPr="00392FFD" w:rsidRDefault="001C7AB7" w:rsidP="001C7AB7">
            <w:pPr>
              <w:rPr>
                <w:rFonts w:ascii="Times New Roman" w:hAnsi="Times New Roman"/>
                <w:sz w:val="24"/>
              </w:rPr>
            </w:pPr>
            <w:r>
              <w:rPr>
                <w:rStyle w:val="InstructionsTabelleText"/>
                <w:rFonts w:ascii="Times New Roman" w:hAnsi="Times New Roman"/>
                <w:sz w:val="24"/>
              </w:rPr>
              <w:t>040-060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Expositions/Opérations soumises au risque de crédit de contrepartie</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040</w:t>
            </w:r>
          </w:p>
        </w:tc>
        <w:tc>
          <w:tcPr>
            <w:tcW w:w="8789" w:type="dxa"/>
          </w:tcPr>
          <w:p w:rsidR="001C7AB7" w:rsidRPr="00392FFD"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Opérations de financement sur titres </w:t>
            </w:r>
          </w:p>
          <w:p w:rsidR="001C7AB7" w:rsidRPr="00392FFD"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t>Les opérations de financement sur titres, telles que définies au paragraphe 17 du doc</w:t>
            </w:r>
            <w:r>
              <w:rPr>
                <w:rStyle w:val="InstructionsTabelleText"/>
                <w:rFonts w:ascii="Times New Roman" w:hAnsi="Times New Roman"/>
                <w:sz w:val="24"/>
              </w:rPr>
              <w:t>u</w:t>
            </w:r>
            <w:r>
              <w:rPr>
                <w:rStyle w:val="InstructionsTabelleText"/>
                <w:rFonts w:ascii="Times New Roman" w:hAnsi="Times New Roman"/>
                <w:sz w:val="24"/>
              </w:rPr>
              <w:t xml:space="preserve">ment du comité de Bâle intitulé «The Application of Basel II to Trading </w:t>
            </w:r>
            <w:proofErr w:type="spellStart"/>
            <w:r>
              <w:rPr>
                <w:rStyle w:val="InstructionsTabelleText"/>
                <w:rFonts w:ascii="Times New Roman" w:hAnsi="Times New Roman"/>
                <w:sz w:val="24"/>
              </w:rPr>
              <w:t>Activities</w:t>
            </w:r>
            <w:proofErr w:type="spellEnd"/>
            <w:r>
              <w:rPr>
                <w:rStyle w:val="InstructionsTabelleText"/>
                <w:rFonts w:ascii="Times New Roman" w:hAnsi="Times New Roman"/>
                <w:sz w:val="24"/>
              </w:rPr>
              <w:t xml:space="preserve"> and the </w:t>
            </w:r>
            <w:proofErr w:type="spellStart"/>
            <w:r>
              <w:rPr>
                <w:rStyle w:val="InstructionsTabelleText"/>
                <w:rFonts w:ascii="Times New Roman" w:hAnsi="Times New Roman"/>
                <w:sz w:val="24"/>
              </w:rPr>
              <w:t>Treatment</w:t>
            </w:r>
            <w:proofErr w:type="spellEnd"/>
            <w:r>
              <w:rPr>
                <w:rStyle w:val="InstructionsTabelleText"/>
                <w:rFonts w:ascii="Times New Roman" w:hAnsi="Times New Roman"/>
                <w:sz w:val="24"/>
              </w:rPr>
              <w:t xml:space="preserve"> of Double Default </w:t>
            </w:r>
            <w:proofErr w:type="spellStart"/>
            <w:r>
              <w:rPr>
                <w:rStyle w:val="InstructionsTabelleText"/>
                <w:rFonts w:ascii="Times New Roman" w:hAnsi="Times New Roman"/>
                <w:sz w:val="24"/>
              </w:rPr>
              <w:t>Effects</w:t>
            </w:r>
            <w:proofErr w:type="spellEnd"/>
            <w:r>
              <w:rPr>
                <w:rStyle w:val="InstructionsTabelleText"/>
                <w:rFonts w:ascii="Times New Roman" w:hAnsi="Times New Roman"/>
                <w:sz w:val="24"/>
              </w:rPr>
              <w:t>» (Application de Bâle II aux activités de nég</w:t>
            </w:r>
            <w:r>
              <w:rPr>
                <w:rStyle w:val="InstructionsTabelleText"/>
                <w:rFonts w:ascii="Times New Roman" w:hAnsi="Times New Roman"/>
                <w:sz w:val="24"/>
              </w:rPr>
              <w:t>o</w:t>
            </w:r>
            <w:r>
              <w:rPr>
                <w:rStyle w:val="InstructionsTabelleText"/>
                <w:rFonts w:ascii="Times New Roman" w:hAnsi="Times New Roman"/>
                <w:sz w:val="24"/>
              </w:rPr>
              <w:t>ciation et au traitement des effets de double défaut), se composent des transactions su</w:t>
            </w:r>
            <w:r>
              <w:rPr>
                <w:rStyle w:val="InstructionsTabelleText"/>
                <w:rFonts w:ascii="Times New Roman" w:hAnsi="Times New Roman"/>
                <w:sz w:val="24"/>
              </w:rPr>
              <w:t>i</w:t>
            </w:r>
            <w:r>
              <w:rPr>
                <w:rStyle w:val="InstructionsTabelleText"/>
                <w:rFonts w:ascii="Times New Roman" w:hAnsi="Times New Roman"/>
                <w:sz w:val="24"/>
              </w:rPr>
              <w:t>vantes: (i) les accords de mise en pension et de prise en pension définis à l'article 4, point 82, du CRR, ainsi que les opérations de prêt ou d'emprunt de titres ou de matières premières; et (ii) les opérations de prêt avec appel de marge telles que définies à l'a</w:t>
            </w:r>
            <w:r>
              <w:rPr>
                <w:rStyle w:val="InstructionsTabelleText"/>
                <w:rFonts w:ascii="Times New Roman" w:hAnsi="Times New Roman"/>
                <w:sz w:val="24"/>
              </w:rPr>
              <w:t>r</w:t>
            </w:r>
            <w:r>
              <w:rPr>
                <w:rStyle w:val="InstructionsTabelleText"/>
                <w:rFonts w:ascii="Times New Roman" w:hAnsi="Times New Roman"/>
                <w:sz w:val="24"/>
              </w:rPr>
              <w:t>ticle 272, point 3, du CRR.</w:t>
            </w:r>
          </w:p>
          <w:p w:rsidR="001C7AB7" w:rsidRPr="00392FFD" w:rsidRDefault="001C7AB7" w:rsidP="00FD6CCB">
            <w:pPr>
              <w:rPr>
                <w:rFonts w:ascii="Times New Roman" w:hAnsi="Times New Roman"/>
                <w:sz w:val="24"/>
              </w:rPr>
            </w:pPr>
            <w:r>
              <w:rPr>
                <w:rStyle w:val="InstructionsTabelleText"/>
                <w:rFonts w:ascii="Times New Roman" w:hAnsi="Times New Roman"/>
                <w:sz w:val="24"/>
              </w:rPr>
              <w:t xml:space="preserve">Les opérations de financement sur titres faisant partie d'une convention de compensation </w:t>
            </w:r>
            <w:proofErr w:type="spellStart"/>
            <w:r>
              <w:rPr>
                <w:rStyle w:val="InstructionsTabelleText"/>
                <w:rFonts w:ascii="Times New Roman" w:hAnsi="Times New Roman"/>
                <w:sz w:val="24"/>
              </w:rPr>
              <w:t>multiproduits</w:t>
            </w:r>
            <w:proofErr w:type="spellEnd"/>
            <w:r>
              <w:rPr>
                <w:rStyle w:val="InstructionsTabelleText"/>
                <w:rFonts w:ascii="Times New Roman" w:hAnsi="Times New Roman"/>
                <w:sz w:val="24"/>
              </w:rPr>
              <w:t>, et qui sont dès lors déclarées à la ligne 060, ne figureront pas dans cette ligne.</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Dérivés</w:t>
            </w:r>
            <w:r>
              <w:t xml:space="preserve"> </w:t>
            </w:r>
            <w:r>
              <w:rPr>
                <w:rStyle w:val="InstructionsTabelleberschrift"/>
                <w:rFonts w:ascii="Times New Roman" w:hAnsi="Times New Roman"/>
                <w:sz w:val="24"/>
              </w:rPr>
              <w:t>et opérations à règlement différé</w:t>
            </w:r>
          </w:p>
          <w:p w:rsidR="001C7AB7" w:rsidRPr="00392FFD" w:rsidRDefault="001C7AB7" w:rsidP="00FD6CCB">
            <w:pPr>
              <w:ind w:left="72"/>
              <w:rPr>
                <w:rFonts w:ascii="Times New Roman" w:hAnsi="Times New Roman"/>
                <w:sz w:val="24"/>
              </w:rPr>
            </w:pPr>
            <w:r>
              <w:rPr>
                <w:rStyle w:val="InstructionsTabelleText"/>
                <w:rFonts w:ascii="Times New Roman" w:hAnsi="Times New Roman"/>
                <w:sz w:val="24"/>
              </w:rPr>
              <w:t>Les dérivés comprennent les contrats figurant sur la liste de l'annexe II du CRR. Les d</w:t>
            </w:r>
            <w:r>
              <w:rPr>
                <w:rStyle w:val="InstructionsTabelleText"/>
                <w:rFonts w:ascii="Times New Roman" w:hAnsi="Times New Roman"/>
                <w:sz w:val="24"/>
              </w:rPr>
              <w:t>é</w:t>
            </w:r>
            <w:r>
              <w:rPr>
                <w:rStyle w:val="InstructionsTabelleText"/>
                <w:rFonts w:ascii="Times New Roman" w:hAnsi="Times New Roman"/>
                <w:sz w:val="24"/>
              </w:rPr>
              <w:t>rivés et les opérations à règlement différé faisant partie d'une convention de compens</w:t>
            </w:r>
            <w:r>
              <w:rPr>
                <w:rStyle w:val="InstructionsTabelleText"/>
                <w:rFonts w:ascii="Times New Roman" w:hAnsi="Times New Roman"/>
                <w:sz w:val="24"/>
              </w:rPr>
              <w:t>a</w:t>
            </w:r>
            <w:r>
              <w:rPr>
                <w:rStyle w:val="InstructionsTabelleText"/>
                <w:rFonts w:ascii="Times New Roman" w:hAnsi="Times New Roman"/>
                <w:sz w:val="24"/>
              </w:rPr>
              <w:t xml:space="preserve">tion </w:t>
            </w:r>
            <w:proofErr w:type="spellStart"/>
            <w:r>
              <w:rPr>
                <w:rStyle w:val="InstructionsTabelleText"/>
                <w:rFonts w:ascii="Times New Roman" w:hAnsi="Times New Roman"/>
                <w:sz w:val="24"/>
              </w:rPr>
              <w:t>multiproduits</w:t>
            </w:r>
            <w:proofErr w:type="spellEnd"/>
            <w:r>
              <w:rPr>
                <w:rStyle w:val="InstructionsTabelleText"/>
                <w:rFonts w:ascii="Times New Roman" w:hAnsi="Times New Roman"/>
                <w:sz w:val="24"/>
              </w:rPr>
              <w:t>, et qui sont dès lors déclarés à la ligne 060, ne figureront pas dans cette ligne.</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Issues d'une convention de compensation </w:t>
            </w:r>
            <w:proofErr w:type="spellStart"/>
            <w:r>
              <w:rPr>
                <w:rFonts w:ascii="Times New Roman" w:hAnsi="Times New Roman"/>
                <w:b/>
                <w:sz w:val="24"/>
                <w:u w:val="single"/>
              </w:rPr>
              <w:t>multiproduits</w:t>
            </w:r>
            <w:proofErr w:type="spellEnd"/>
          </w:p>
          <w:p w:rsidR="001C7AB7" w:rsidRPr="00392FFD" w:rsidRDefault="00FD6CCB" w:rsidP="001C7AB7">
            <w:pPr>
              <w:rPr>
                <w:rFonts w:ascii="Times New Roman" w:hAnsi="Times New Roman"/>
                <w:sz w:val="24"/>
              </w:rPr>
            </w:pPr>
            <w:r>
              <w:rPr>
                <w:rFonts w:ascii="Times New Roman" w:hAnsi="Times New Roman"/>
                <w:sz w:val="24"/>
              </w:rPr>
              <w:t>Voir les instructions concernant le modèle CR SA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070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EXPOSITIONS AFFECTÉES AUX ÉCHELONS OU CATÉGORIES DE DÉB</w:t>
            </w:r>
            <w:r>
              <w:rPr>
                <w:rFonts w:ascii="Times New Roman" w:hAnsi="Times New Roman"/>
                <w:b/>
                <w:sz w:val="24"/>
                <w:u w:val="single"/>
              </w:rPr>
              <w:t>I</w:t>
            </w:r>
            <w:r>
              <w:rPr>
                <w:rFonts w:ascii="Times New Roman" w:hAnsi="Times New Roman"/>
                <w:b/>
                <w:sz w:val="24"/>
                <w:u w:val="single"/>
              </w:rPr>
              <w:t>TEURS: TOTAL</w:t>
            </w:r>
          </w:p>
          <w:p w:rsidR="001C7AB7" w:rsidRPr="00392FFD" w:rsidRDefault="001C7AB7" w:rsidP="001C7AB7">
            <w:pPr>
              <w:rPr>
                <w:rFonts w:ascii="Times New Roman" w:hAnsi="Times New Roman"/>
                <w:sz w:val="24"/>
              </w:rPr>
            </w:pPr>
            <w:r>
              <w:rPr>
                <w:rFonts w:ascii="Times New Roman" w:hAnsi="Times New Roman"/>
                <w:sz w:val="24"/>
              </w:rPr>
              <w:t>Pour les expositions sur les entreprises, les établissements, et les administrations ce</w:t>
            </w:r>
            <w:r>
              <w:rPr>
                <w:rFonts w:ascii="Times New Roman" w:hAnsi="Times New Roman"/>
                <w:sz w:val="24"/>
              </w:rPr>
              <w:t>n</w:t>
            </w:r>
            <w:r>
              <w:rPr>
                <w:rFonts w:ascii="Times New Roman" w:hAnsi="Times New Roman"/>
                <w:sz w:val="24"/>
              </w:rPr>
              <w:t>trales et banques centrales, voir l'article 142, paragraphe 1, point 6, et l'article 170, par</w:t>
            </w:r>
            <w:r>
              <w:rPr>
                <w:rFonts w:ascii="Times New Roman" w:hAnsi="Times New Roman"/>
                <w:sz w:val="24"/>
              </w:rPr>
              <w:t>a</w:t>
            </w:r>
            <w:r>
              <w:rPr>
                <w:rFonts w:ascii="Times New Roman" w:hAnsi="Times New Roman"/>
                <w:sz w:val="24"/>
              </w:rPr>
              <w:t xml:space="preserve">graphe 1, point c), du CRR. </w:t>
            </w:r>
          </w:p>
          <w:p w:rsidR="001C7AB7" w:rsidRPr="00392FFD" w:rsidRDefault="001C7AB7" w:rsidP="001C7AB7">
            <w:pPr>
              <w:rPr>
                <w:rFonts w:ascii="Times New Roman" w:hAnsi="Times New Roman"/>
                <w:sz w:val="24"/>
              </w:rPr>
            </w:pPr>
            <w:r>
              <w:rPr>
                <w:rFonts w:ascii="Times New Roman" w:hAnsi="Times New Roman"/>
                <w:sz w:val="24"/>
              </w:rPr>
              <w:t>Pour les expositions sur la clientèle de détail, voir l'article 170, paragraphe 3, point b), du CRR. Pour les expositions provenant de créances achetées, voir l'article 166, par</w:t>
            </w:r>
            <w:r>
              <w:rPr>
                <w:rFonts w:ascii="Times New Roman" w:hAnsi="Times New Roman"/>
                <w:sz w:val="24"/>
              </w:rPr>
              <w:t>a</w:t>
            </w:r>
            <w:r>
              <w:rPr>
                <w:rFonts w:ascii="Times New Roman" w:hAnsi="Times New Roman"/>
                <w:sz w:val="24"/>
              </w:rPr>
              <w:t xml:space="preserve">graphe 6, du CRR. </w:t>
            </w:r>
          </w:p>
          <w:p w:rsidR="001C7AB7" w:rsidRPr="00392FFD" w:rsidRDefault="001C7AB7" w:rsidP="001C7AB7">
            <w:pPr>
              <w:rPr>
                <w:rFonts w:ascii="Times New Roman" w:hAnsi="Times New Roman"/>
                <w:sz w:val="24"/>
              </w:rPr>
            </w:pPr>
            <w:r>
              <w:rPr>
                <w:rFonts w:ascii="Times New Roman" w:hAnsi="Times New Roman"/>
                <w:sz w:val="24"/>
              </w:rPr>
              <w:t>Les expositions pour risque de dilution de créances achetées ne seront pas déclarées en fonction des échelons ou catégories de débiteurs. Elles figureront à la ligne 180.</w:t>
            </w:r>
          </w:p>
          <w:p w:rsidR="001C7AB7" w:rsidRPr="00392FFD" w:rsidRDefault="001C7AB7" w:rsidP="001C7AB7">
            <w:pPr>
              <w:rPr>
                <w:rFonts w:ascii="Times New Roman" w:hAnsi="Times New Roman"/>
                <w:sz w:val="24"/>
              </w:rPr>
            </w:pPr>
            <w:r>
              <w:rPr>
                <w:rFonts w:ascii="Times New Roman" w:hAnsi="Times New Roman"/>
                <w:sz w:val="24"/>
              </w:rPr>
              <w:t xml:space="preserve">Lorsque l'établissement recourt à un grand nombre d'échelons ou de catégories, il sera possible de convenir avec les autorités compétentes d'un nombre réduit d'échelons ou de catégories à déclarer. </w:t>
            </w:r>
          </w:p>
          <w:p w:rsidR="001C7AB7" w:rsidRPr="00392FFD" w:rsidRDefault="00C93697" w:rsidP="00FD6CCB">
            <w:pPr>
              <w:rPr>
                <w:rFonts w:ascii="Times New Roman" w:hAnsi="Times New Roman"/>
                <w:sz w:val="24"/>
              </w:rPr>
            </w:pPr>
            <w:r>
              <w:rPr>
                <w:rFonts w:ascii="Times New Roman" w:hAnsi="Times New Roman"/>
                <w:sz w:val="24"/>
              </w:rPr>
              <w:t>On ne recourra pas à une échelle standardisée. En revanche, les établissements déterm</w:t>
            </w:r>
            <w:r>
              <w:rPr>
                <w:rFonts w:ascii="Times New Roman" w:hAnsi="Times New Roman"/>
                <w:sz w:val="24"/>
              </w:rPr>
              <w:t>i</w:t>
            </w:r>
            <w:r>
              <w:rPr>
                <w:rFonts w:ascii="Times New Roman" w:hAnsi="Times New Roman"/>
                <w:sz w:val="24"/>
              </w:rPr>
              <w:t xml:space="preserve">neront eux-mêmes l'échelle à utiliser.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080</w:t>
            </w:r>
          </w:p>
        </w:tc>
        <w:tc>
          <w:tcPr>
            <w:tcW w:w="8789" w:type="dxa"/>
          </w:tcPr>
          <w:p w:rsidR="001C7AB7" w:rsidRPr="00392FFD" w:rsidRDefault="001C7AB7" w:rsidP="001C7AB7">
            <w:pPr>
              <w:rPr>
                <w:rFonts w:ascii="Times New Roman" w:hAnsi="Times New Roman"/>
                <w:sz w:val="24"/>
              </w:rPr>
            </w:pPr>
            <w:r>
              <w:rPr>
                <w:rFonts w:ascii="Times New Roman" w:hAnsi="Times New Roman"/>
                <w:b/>
                <w:sz w:val="24"/>
                <w:u w:val="single"/>
              </w:rPr>
              <w:t>CRITÈRES DE RÉFÉRENCEMENT DES FINANCEMENTS SPÉCIALISÉS: TOTAL</w:t>
            </w:r>
          </w:p>
          <w:p w:rsidR="001C7AB7" w:rsidRPr="00392FFD" w:rsidRDefault="001C7AB7" w:rsidP="00FD6CCB">
            <w:pPr>
              <w:rPr>
                <w:rFonts w:ascii="Times New Roman" w:hAnsi="Times New Roman"/>
                <w:sz w:val="24"/>
              </w:rPr>
            </w:pPr>
            <w:r>
              <w:rPr>
                <w:rFonts w:ascii="Times New Roman" w:hAnsi="Times New Roman"/>
                <w:sz w:val="24"/>
              </w:rPr>
              <w:t>Article 153, paragraphe 5, du CRR. Cela s'applique uniquement aux catégories d'expos</w:t>
            </w:r>
            <w:r>
              <w:rPr>
                <w:rFonts w:ascii="Times New Roman" w:hAnsi="Times New Roman"/>
                <w:sz w:val="24"/>
              </w:rPr>
              <w:t>i</w:t>
            </w:r>
            <w:r>
              <w:rPr>
                <w:rFonts w:ascii="Times New Roman" w:hAnsi="Times New Roman"/>
                <w:sz w:val="24"/>
              </w:rPr>
              <w:t xml:space="preserve">tions entreprises, établissements, administrations centrales et banques centrales. </w:t>
            </w:r>
          </w:p>
        </w:tc>
      </w:tr>
      <w:tr w:rsidR="001C7AB7" w:rsidRPr="00392FFD" w:rsidTr="00672D2A">
        <w:tc>
          <w:tcPr>
            <w:tcW w:w="1242" w:type="dxa"/>
          </w:tcPr>
          <w:p w:rsidR="001C7AB7" w:rsidRPr="00392FFD" w:rsidRDefault="001C7AB7" w:rsidP="004F2B30">
            <w:pPr>
              <w:rPr>
                <w:rFonts w:ascii="Times New Roman" w:hAnsi="Times New Roman"/>
                <w:sz w:val="24"/>
              </w:rPr>
            </w:pPr>
            <w:r>
              <w:rPr>
                <w:rFonts w:ascii="Times New Roman" w:hAnsi="Times New Roman"/>
                <w:sz w:val="24"/>
              </w:rPr>
              <w:t>090-150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VENTILATION PAR PONDÉRATION DU RISQUE DE L'EXPOSITION T</w:t>
            </w:r>
            <w:r>
              <w:rPr>
                <w:rStyle w:val="InstructionsTabelleberschrift"/>
                <w:rFonts w:ascii="Times New Roman" w:hAnsi="Times New Roman"/>
                <w:sz w:val="24"/>
              </w:rPr>
              <w:t>O</w:t>
            </w:r>
            <w:r>
              <w:rPr>
                <w:rStyle w:val="InstructionsTabelleberschrift"/>
                <w:rFonts w:ascii="Times New Roman" w:hAnsi="Times New Roman"/>
                <w:sz w:val="24"/>
              </w:rPr>
              <w:t>TALE, SELON LES CRITÈRES DE RÉFÉRENCEMENT DES FINANC</w:t>
            </w:r>
            <w:r>
              <w:rPr>
                <w:rStyle w:val="InstructionsTabelleberschrift"/>
                <w:rFonts w:ascii="Times New Roman" w:hAnsi="Times New Roman"/>
                <w:sz w:val="24"/>
              </w:rPr>
              <w:t>E</w:t>
            </w:r>
            <w:r>
              <w:rPr>
                <w:rStyle w:val="InstructionsTabelleberschrift"/>
                <w:rFonts w:ascii="Times New Roman" w:hAnsi="Times New Roman"/>
                <w:sz w:val="24"/>
              </w:rPr>
              <w:lastRenderedPageBreak/>
              <w:t>MENTS SPÉCIALISÉS:</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120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Dont: en catégorie 1 </w:t>
            </w:r>
          </w:p>
          <w:p w:rsidR="001C7AB7" w:rsidRPr="00392FFD" w:rsidRDefault="001C7AB7" w:rsidP="001C7AB7">
            <w:pPr>
              <w:rPr>
                <w:rFonts w:ascii="Times New Roman" w:hAnsi="Times New Roman"/>
                <w:sz w:val="24"/>
              </w:rPr>
            </w:pPr>
            <w:r>
              <w:rPr>
                <w:rFonts w:ascii="Times New Roman" w:hAnsi="Times New Roman"/>
                <w:sz w:val="24"/>
              </w:rPr>
              <w:t>Article 153, paragraphe 5, tableau 1, du CRR.</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TRAITEMENT ALTERNATIF: GARANTI PAR UN BIEN IMMOBILIER</w:t>
            </w:r>
          </w:p>
          <w:p w:rsidR="001C7AB7" w:rsidRPr="00392FFD" w:rsidRDefault="001C7AB7" w:rsidP="001C7AB7">
            <w:pPr>
              <w:rPr>
                <w:rFonts w:ascii="Times New Roman" w:hAnsi="Times New Roman"/>
                <w:sz w:val="24"/>
              </w:rPr>
            </w:pPr>
            <w:r>
              <w:rPr>
                <w:rFonts w:ascii="Times New Roman" w:hAnsi="Times New Roman"/>
                <w:sz w:val="24"/>
              </w:rPr>
              <w:t>Article 193, paragraphes 1 et 2, article 194, paragraphes 1 à 7, et article 230, par</w:t>
            </w:r>
            <w:r>
              <w:rPr>
                <w:rFonts w:ascii="Times New Roman" w:hAnsi="Times New Roman"/>
                <w:sz w:val="24"/>
              </w:rPr>
              <w:t>a</w:t>
            </w:r>
            <w:r>
              <w:rPr>
                <w:rFonts w:ascii="Times New Roman" w:hAnsi="Times New Roman"/>
                <w:sz w:val="24"/>
              </w:rPr>
              <w:t>graphe 3, du CRR</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EXPOSITIONS DÉCOULANT DE POSITIONS DE NÉGOCIATION NON D</w:t>
            </w:r>
            <w:r>
              <w:rPr>
                <w:rStyle w:val="InstructionsTabelleberschrift"/>
                <w:rFonts w:ascii="Times New Roman" w:hAnsi="Times New Roman"/>
                <w:sz w:val="24"/>
              </w:rPr>
              <w:t>É</w:t>
            </w:r>
            <w:r>
              <w:rPr>
                <w:rStyle w:val="InstructionsTabelleberschrift"/>
                <w:rFonts w:ascii="Times New Roman" w:hAnsi="Times New Roman"/>
                <w:sz w:val="24"/>
              </w:rPr>
              <w:t>NOUÉES AVEC APPLICATION DES PONDÉRATIONS DU RISQUE SELON LE TRAITEMENT ALTERNATIF OU D'UNE PONDÉRATION DE 100 % ET AUTRES EXPOSITIONS SOUMISES À PONDÉRATIONS</w:t>
            </w:r>
          </w:p>
          <w:p w:rsidR="001C7AB7" w:rsidRPr="00392FFD" w:rsidRDefault="001C7AB7" w:rsidP="00417984">
            <w:pPr>
              <w:rPr>
                <w:rFonts w:ascii="Times New Roman" w:hAnsi="Times New Roman"/>
                <w:sz w:val="24"/>
              </w:rPr>
            </w:pPr>
            <w:r>
              <w:rPr>
                <w:rFonts w:ascii="Times New Roman" w:hAnsi="Times New Roman"/>
                <w:sz w:val="24"/>
              </w:rPr>
              <w:t>Expositions découlant de positions de négociation non dénouées pour lesquelles le tra</w:t>
            </w:r>
            <w:r>
              <w:rPr>
                <w:rFonts w:ascii="Times New Roman" w:hAnsi="Times New Roman"/>
                <w:sz w:val="24"/>
              </w:rPr>
              <w:t>i</w:t>
            </w:r>
            <w:r>
              <w:rPr>
                <w:rFonts w:ascii="Times New Roman" w:hAnsi="Times New Roman"/>
                <w:sz w:val="24"/>
              </w:rPr>
              <w:t>tement alternatif visé à l'article 379, paragraphe 2, premier alinéa, dernière phrase, du CRR est utilisé, ou pour lesquelles une pondération de 100 % est appliquée, conform</w:t>
            </w:r>
            <w:r>
              <w:rPr>
                <w:rFonts w:ascii="Times New Roman" w:hAnsi="Times New Roman"/>
                <w:sz w:val="24"/>
              </w:rPr>
              <w:t>é</w:t>
            </w:r>
            <w:r>
              <w:rPr>
                <w:rFonts w:ascii="Times New Roman" w:hAnsi="Times New Roman"/>
                <w:sz w:val="24"/>
              </w:rPr>
              <w:t>ment à l'article 379, paragraphe 2, dernier alinéa, du CRR. Les dérivés de crédit au nième défaut non notés, visés à l'article 153, paragraphe 8, du CRR, ainsi que toute autre exposition soumise à une pondération de risque et non déclarée dans une autre ligne, s</w:t>
            </w:r>
            <w:r>
              <w:rPr>
                <w:rFonts w:ascii="Times New Roman" w:hAnsi="Times New Roman"/>
                <w:sz w:val="24"/>
              </w:rPr>
              <w:t>e</w:t>
            </w:r>
            <w:r>
              <w:rPr>
                <w:rFonts w:ascii="Times New Roman" w:hAnsi="Times New Roman"/>
                <w:sz w:val="24"/>
              </w:rPr>
              <w:t>ront déclarés dans cette ligne.</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RISQUE DE DILUTION: TOTAL DES CRÉANCES ACHETÉES</w:t>
            </w:r>
          </w:p>
          <w:p w:rsidR="001C7AB7" w:rsidRPr="00392FFD" w:rsidRDefault="001C7AB7" w:rsidP="001C7AB7">
            <w:pPr>
              <w:rPr>
                <w:rFonts w:ascii="Times New Roman" w:hAnsi="Times New Roman"/>
                <w:sz w:val="24"/>
              </w:rPr>
            </w:pPr>
            <w:r>
              <w:rPr>
                <w:rFonts w:ascii="Times New Roman" w:hAnsi="Times New Roman"/>
                <w:sz w:val="24"/>
              </w:rPr>
              <w:t>Pour une définition du risque de dilution, voir l'article 4, point 53), du CRR. Pour le ca</w:t>
            </w:r>
            <w:r>
              <w:rPr>
                <w:rFonts w:ascii="Times New Roman" w:hAnsi="Times New Roman"/>
                <w:sz w:val="24"/>
              </w:rPr>
              <w:t>l</w:t>
            </w:r>
            <w:r>
              <w:rPr>
                <w:rFonts w:ascii="Times New Roman" w:hAnsi="Times New Roman"/>
                <w:sz w:val="24"/>
              </w:rPr>
              <w:t>cul de la pondération pour risque de dilution, voir l'article 157, paragraphe 1, du CRR.</w:t>
            </w:r>
          </w:p>
          <w:p w:rsidR="001C7AB7" w:rsidRPr="00392FFD" w:rsidRDefault="001C7AB7" w:rsidP="00FD6CCB">
            <w:pPr>
              <w:rPr>
                <w:rFonts w:ascii="Times New Roman" w:hAnsi="Times New Roman"/>
                <w:sz w:val="24"/>
              </w:rPr>
            </w:pPr>
            <w:r>
              <w:rPr>
                <w:rFonts w:ascii="Times New Roman" w:hAnsi="Times New Roman"/>
                <w:sz w:val="24"/>
              </w:rPr>
              <w:t xml:space="preserve">Conformément à l'article 166, paragraphe 6, du CRR, la valeur exposée au risque des créances achetées correspondra au montant de l'encours moins les </w:t>
            </w:r>
            <w:r>
              <w:rPr>
                <w:rStyle w:val="InstructionsTabelleText"/>
                <w:rFonts w:ascii="Times New Roman" w:hAnsi="Times New Roman"/>
                <w:sz w:val="24"/>
              </w:rPr>
              <w:t>montants d'exposition pondérés</w:t>
            </w:r>
            <w:r>
              <w:rPr>
                <w:rFonts w:ascii="Times New Roman" w:hAnsi="Times New Roman"/>
                <w:sz w:val="24"/>
              </w:rPr>
              <w:t xml:space="preserve"> pour risque de dilution, avant atténuation du risque de crédit.</w:t>
            </w:r>
          </w:p>
        </w:tc>
      </w:tr>
    </w:tbl>
    <w:p w:rsidR="004357B9" w:rsidRPr="00392FFD" w:rsidRDefault="004357B9" w:rsidP="004357B9">
      <w:pPr>
        <w:autoSpaceDE w:val="0"/>
        <w:autoSpaceDN w:val="0"/>
        <w:adjustRightInd w:val="0"/>
        <w:spacing w:before="0" w:after="0"/>
        <w:ind w:left="284"/>
        <w:jc w:val="left"/>
        <w:rPr>
          <w:rFonts w:ascii="Times New Roman" w:hAnsi="Times New Roman"/>
          <w:sz w:val="24"/>
        </w:rPr>
      </w:pPr>
      <w:bookmarkStart w:id="288" w:name="_Toc120327823"/>
      <w:bookmarkStart w:id="289" w:name="_Toc120072325"/>
      <w:bookmarkStart w:id="290" w:name="_Toc294280272"/>
      <w:bookmarkStart w:id="291" w:name="_Toc294281597"/>
      <w:bookmarkStart w:id="292" w:name="_Toc294281817"/>
      <w:bookmarkStart w:id="293" w:name="_Toc294282031"/>
      <w:bookmarkStart w:id="294" w:name="_Toc294282234"/>
      <w:bookmarkStart w:id="295" w:name="_Toc294714169"/>
      <w:bookmarkStart w:id="296" w:name="_Toc295314195"/>
      <w:bookmarkStart w:id="297" w:name="_Toc295829584"/>
      <w:bookmarkStart w:id="298" w:name="_Toc295829867"/>
      <w:bookmarkStart w:id="299" w:name="_Toc301772755"/>
      <w:bookmarkStart w:id="300" w:name="_Toc301772833"/>
      <w:bookmarkStart w:id="301" w:name="_Toc302657772"/>
      <w:bookmarkStart w:id="302" w:name="_Toc302657891"/>
      <w:bookmarkStart w:id="303" w:name="_Toc294280294"/>
      <w:bookmarkStart w:id="304" w:name="_Toc294281619"/>
      <w:bookmarkStart w:id="305" w:name="_Toc294281839"/>
      <w:bookmarkStart w:id="306" w:name="_Toc294282053"/>
      <w:bookmarkStart w:id="307" w:name="_Toc294282256"/>
      <w:bookmarkStart w:id="308" w:name="_Toc294714191"/>
      <w:bookmarkStart w:id="309" w:name="_Toc295314217"/>
      <w:bookmarkStart w:id="310" w:name="_Toc295829606"/>
      <w:bookmarkStart w:id="311" w:name="_Toc295829889"/>
      <w:bookmarkStart w:id="312" w:name="_Toc301772777"/>
      <w:bookmarkStart w:id="313" w:name="_Toc301772855"/>
      <w:bookmarkStart w:id="314" w:name="_Toc302657794"/>
      <w:bookmarkStart w:id="315" w:name="_Toc302657913"/>
      <w:bookmarkStart w:id="316" w:name="_Toc294280312"/>
      <w:bookmarkStart w:id="317" w:name="_Toc294281637"/>
      <w:bookmarkStart w:id="318" w:name="_Toc294281857"/>
      <w:bookmarkStart w:id="319" w:name="_Toc294282071"/>
      <w:bookmarkStart w:id="320" w:name="_Toc294282274"/>
      <w:bookmarkStart w:id="321" w:name="_Toc294714209"/>
      <w:bookmarkStart w:id="322" w:name="_Toc295314235"/>
      <w:bookmarkStart w:id="323" w:name="_Toc295829624"/>
      <w:bookmarkStart w:id="324" w:name="_Toc295829907"/>
      <w:bookmarkStart w:id="325" w:name="_Toc301772795"/>
      <w:bookmarkStart w:id="326" w:name="_Toc301772873"/>
      <w:bookmarkStart w:id="327" w:name="_Toc302657812"/>
      <w:bookmarkStart w:id="328" w:name="_Toc302657931"/>
      <w:bookmarkStart w:id="329" w:name="_Toc294280316"/>
      <w:bookmarkStart w:id="330" w:name="_Toc294281641"/>
      <w:bookmarkStart w:id="331" w:name="_Toc294281861"/>
      <w:bookmarkStart w:id="332" w:name="_Toc294282075"/>
      <w:bookmarkStart w:id="333" w:name="_Toc294282278"/>
      <w:bookmarkStart w:id="334" w:name="_Toc294714213"/>
      <w:bookmarkStart w:id="335" w:name="_Toc295314239"/>
      <w:bookmarkStart w:id="336" w:name="_Toc295829628"/>
      <w:bookmarkStart w:id="337" w:name="_Toc295829911"/>
      <w:bookmarkStart w:id="338" w:name="_Toc301772799"/>
      <w:bookmarkStart w:id="339" w:name="_Toc301772877"/>
      <w:bookmarkStart w:id="340" w:name="_Toc302657816"/>
      <w:bookmarkStart w:id="341" w:name="_Toc302657935"/>
      <w:bookmarkStart w:id="342" w:name="_Toc294280319"/>
      <w:bookmarkStart w:id="343" w:name="_Toc294281644"/>
      <w:bookmarkStart w:id="344" w:name="_Toc294281864"/>
      <w:bookmarkStart w:id="345" w:name="_Toc294282078"/>
      <w:bookmarkStart w:id="346" w:name="_Toc294282281"/>
      <w:bookmarkStart w:id="347" w:name="_Toc294714216"/>
      <w:bookmarkStart w:id="348" w:name="_Toc295314242"/>
      <w:bookmarkStart w:id="349" w:name="_Toc295829631"/>
      <w:bookmarkStart w:id="350" w:name="_Toc295829914"/>
      <w:bookmarkStart w:id="351" w:name="_Toc301772802"/>
      <w:bookmarkStart w:id="352" w:name="_Toc301772880"/>
      <w:bookmarkStart w:id="353" w:name="_Toc302657819"/>
      <w:bookmarkStart w:id="354" w:name="_Toc302657938"/>
      <w:bookmarkStart w:id="355" w:name="_Toc294280322"/>
      <w:bookmarkStart w:id="356" w:name="_Toc294281647"/>
      <w:bookmarkStart w:id="357" w:name="_Toc294281867"/>
      <w:bookmarkStart w:id="358" w:name="_Toc294282081"/>
      <w:bookmarkStart w:id="359" w:name="_Toc294282284"/>
      <w:bookmarkStart w:id="360" w:name="_Toc294714219"/>
      <w:bookmarkStart w:id="361" w:name="_Toc295314245"/>
      <w:bookmarkStart w:id="362" w:name="_Toc295829634"/>
      <w:bookmarkStart w:id="363" w:name="_Toc295829917"/>
      <w:bookmarkStart w:id="364" w:name="_Toc301772805"/>
      <w:bookmarkStart w:id="365" w:name="_Toc301772883"/>
      <w:bookmarkStart w:id="366" w:name="_Toc302657822"/>
      <w:bookmarkStart w:id="367" w:name="_Toc302657941"/>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368" w:name="_Toc516210646"/>
      <w:bookmarkStart w:id="369" w:name="_Toc473560911"/>
      <w:bookmarkStart w:id="370" w:name="_Toc524104185"/>
      <w:r>
        <w:rPr>
          <w:rFonts w:ascii="Times New Roman" w:hAnsi="Times New Roman"/>
          <w:sz w:val="24"/>
          <w:u w:val="none"/>
        </w:rPr>
        <w:t>3.3.4.</w:t>
      </w:r>
      <w:r w:rsidRPr="00C8707D">
        <w:rPr>
          <w:u w:val="none"/>
        </w:rPr>
        <w:tab/>
      </w:r>
      <w:r>
        <w:rPr>
          <w:rFonts w:ascii="Times New Roman" w:hAnsi="Times New Roman"/>
          <w:sz w:val="24"/>
        </w:rPr>
        <w:t>C 08.02 - Risques de crédit et de crédit de contrepartie et positions de négociation non dénouées: Approche NI des exigences de fonds propres (répartition par échelon ou catég</w:t>
      </w:r>
      <w:r>
        <w:rPr>
          <w:rFonts w:ascii="Times New Roman" w:hAnsi="Times New Roman"/>
          <w:sz w:val="24"/>
        </w:rPr>
        <w:t>o</w:t>
      </w:r>
      <w:r>
        <w:rPr>
          <w:rFonts w:ascii="Times New Roman" w:hAnsi="Times New Roman"/>
          <w:sz w:val="24"/>
        </w:rPr>
        <w:t>rie de débiteurs (modèle CR IRB 2)</w:t>
      </w:r>
      <w:bookmarkEnd w:id="368"/>
      <w:bookmarkEnd w:id="369"/>
      <w:bookmarkEnd w:id="37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Colonne</w:t>
            </w:r>
          </w:p>
        </w:tc>
        <w:tc>
          <w:tcPr>
            <w:tcW w:w="780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Instructions</w:t>
            </w:r>
          </w:p>
        </w:tc>
      </w:tr>
      <w:tr w:rsidR="00E97CD2" w:rsidRPr="00392FFD" w:rsidTr="00672D2A">
        <w:tc>
          <w:tcPr>
            <w:tcW w:w="2024" w:type="dxa"/>
          </w:tcPr>
          <w:p w:rsidR="00E97CD2" w:rsidRPr="00392FFD" w:rsidRDefault="00E97CD2" w:rsidP="001C7AB7">
            <w:pPr>
              <w:rPr>
                <w:rFonts w:ascii="Times New Roman" w:hAnsi="Times New Roman"/>
                <w:sz w:val="24"/>
              </w:rPr>
            </w:pPr>
            <w:r>
              <w:rPr>
                <w:rFonts w:ascii="Times New Roman" w:hAnsi="Times New Roman"/>
                <w:sz w:val="24"/>
              </w:rPr>
              <w:t>005</w:t>
            </w:r>
          </w:p>
        </w:tc>
        <w:tc>
          <w:tcPr>
            <w:tcW w:w="7804" w:type="dxa"/>
          </w:tcPr>
          <w:p w:rsidR="00E97CD2" w:rsidRPr="00392FFD" w:rsidRDefault="00E97CD2" w:rsidP="001C7AB7">
            <w:pPr>
              <w:rPr>
                <w:rFonts w:ascii="Times New Roman" w:hAnsi="Times New Roman"/>
                <w:b/>
                <w:sz w:val="24"/>
                <w:u w:val="single"/>
              </w:rPr>
            </w:pPr>
            <w:r>
              <w:rPr>
                <w:rFonts w:ascii="Times New Roman" w:hAnsi="Times New Roman"/>
                <w:b/>
                <w:sz w:val="24"/>
                <w:u w:val="single"/>
              </w:rPr>
              <w:t>Échelon de débiteur (identifiant de ligne)</w:t>
            </w:r>
          </w:p>
          <w:p w:rsidR="00E97CD2" w:rsidRPr="00392FFD" w:rsidRDefault="00E97CD2" w:rsidP="003F05A0">
            <w:pPr>
              <w:rPr>
                <w:rFonts w:ascii="Times New Roman" w:hAnsi="Times New Roman"/>
                <w:sz w:val="24"/>
              </w:rPr>
            </w:pPr>
            <w:r>
              <w:rPr>
                <w:rFonts w:ascii="Times New Roman" w:hAnsi="Times New Roman"/>
                <w:sz w:val="24"/>
              </w:rPr>
              <w:t>L'échelon de débiteur est un identifiant de ligne qui est propre à chaque ligne d'une feuille donnée du tableau. Il suit l'ordre numérique: 1, 2, 3, etc.</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010-300</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Les instructions pour chacune de ces colonnes sont identiques à celles qui a</w:t>
            </w:r>
            <w:r>
              <w:rPr>
                <w:rFonts w:ascii="Times New Roman" w:hAnsi="Times New Roman"/>
                <w:sz w:val="24"/>
              </w:rPr>
              <w:t>c</w:t>
            </w:r>
            <w:r>
              <w:rPr>
                <w:rFonts w:ascii="Times New Roman" w:hAnsi="Times New Roman"/>
                <w:sz w:val="24"/>
              </w:rPr>
              <w:t>compagnent les numéros de colonne correspondants dans le tableau CR IRB 1.</w:t>
            </w:r>
          </w:p>
        </w:tc>
      </w:tr>
    </w:tbl>
    <w:p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Ligne</w:t>
            </w:r>
          </w:p>
        </w:tc>
        <w:tc>
          <w:tcPr>
            <w:tcW w:w="780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Instructions</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010-001 - 010-</w:t>
            </w:r>
            <w:r>
              <w:rPr>
                <w:rFonts w:ascii="Times New Roman" w:hAnsi="Times New Roman"/>
                <w:sz w:val="24"/>
              </w:rPr>
              <w:lastRenderedPageBreak/>
              <w:t>NNN</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lastRenderedPageBreak/>
              <w:t>Les valeurs déclarées dans ces lignes doivent être classées de la plus faible à la plus élevée, en fonction des PD attribuées à l'échelon ou à la catégorie de déb</w:t>
            </w:r>
            <w:r>
              <w:rPr>
                <w:rFonts w:ascii="Times New Roman" w:hAnsi="Times New Roman"/>
                <w:sz w:val="24"/>
              </w:rPr>
              <w:t>i</w:t>
            </w:r>
            <w:r>
              <w:rPr>
                <w:rFonts w:ascii="Times New Roman" w:hAnsi="Times New Roman"/>
                <w:sz w:val="24"/>
              </w:rPr>
              <w:lastRenderedPageBreak/>
              <w:t>teurs. Les PD des débiteurs en défaut sont fixées à 100 %. Les expositions soumises à un traitement alternatif pour les sûretés immobilières (possible uniquement lorsqu'il n'est pas fait usage des propres estimations de LGD) ne seront pas affectées selon la PD du débiteur et ne seront pas déclarées dans ce modèle.</w:t>
            </w:r>
          </w:p>
        </w:tc>
      </w:tr>
    </w:tbl>
    <w:p w:rsidR="004357B9" w:rsidRPr="00392FFD" w:rsidRDefault="004357B9" w:rsidP="00FD239F">
      <w:pPr>
        <w:pStyle w:val="InstructionsText"/>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1" w:name="_Toc360188361"/>
      <w:bookmarkStart w:id="372" w:name="_Toc516210647"/>
      <w:bookmarkStart w:id="373" w:name="_Toc473560912"/>
      <w:bookmarkStart w:id="374" w:name="_Toc524104186"/>
      <w:r>
        <w:rPr>
          <w:rFonts w:ascii="Times New Roman" w:hAnsi="Times New Roman"/>
          <w:sz w:val="24"/>
          <w:u w:val="none"/>
        </w:rPr>
        <w:t>3.4.</w:t>
      </w:r>
      <w:r w:rsidRPr="00C8707D">
        <w:rPr>
          <w:u w:val="none"/>
        </w:rPr>
        <w:tab/>
      </w:r>
      <w:r>
        <w:rPr>
          <w:rFonts w:ascii="Times New Roman" w:hAnsi="Times New Roman"/>
          <w:sz w:val="24"/>
        </w:rPr>
        <w:t>Risque de crédit et de crédit de contrepartie et positions de négociation non dénouées: Informations concernant la répartition géographique</w:t>
      </w:r>
      <w:bookmarkEnd w:id="371"/>
      <w:bookmarkEnd w:id="372"/>
      <w:bookmarkEnd w:id="373"/>
      <w:bookmarkEnd w:id="374"/>
    </w:p>
    <w:p w:rsidR="004357B9" w:rsidRPr="00392FFD" w:rsidRDefault="00125707" w:rsidP="00C37B29">
      <w:pPr>
        <w:pStyle w:val="InstructionsText2"/>
        <w:numPr>
          <w:ilvl w:val="0"/>
          <w:numId w:val="0"/>
        </w:numPr>
        <w:ind w:left="993"/>
      </w:pPr>
      <w:r>
        <w:t>79.</w:t>
      </w:r>
      <w:r>
        <w:tab/>
        <w:t>Tous les établissements déclarent les informations agrégées au niveau total. En outre, les établissements qui atteignent le seuil fixé à l'article 5, point a), point 4), du présent règlement déclareront les informations domestiques ainsi que toute do</w:t>
      </w:r>
      <w:r>
        <w:t>n</w:t>
      </w:r>
      <w:r>
        <w:t>née non domestique en les ventilant par pays. Ce seuil n'est applicable que pour les tableaux 1 et 2. Les expositions sur des organisations supranationales seront affe</w:t>
      </w:r>
      <w:r>
        <w:t>c</w:t>
      </w:r>
      <w:r>
        <w:t>tées à la zone géographique «Autres pays».</w:t>
      </w:r>
    </w:p>
    <w:p w:rsidR="004357B9" w:rsidRPr="00392FFD" w:rsidRDefault="00125707" w:rsidP="00C37B29">
      <w:pPr>
        <w:pStyle w:val="InstructionsText2"/>
        <w:numPr>
          <w:ilvl w:val="0"/>
          <w:numId w:val="0"/>
        </w:numPr>
        <w:ind w:left="993"/>
      </w:pPr>
      <w:r>
        <w:t>80.</w:t>
      </w:r>
      <w:r>
        <w:tab/>
        <w:t>Le terme «résidence du débiteur» se rapporte au pays dans lequel le débiteur est constitué. Ce concept peut s'appliquer sur la base du débiteur immédiat et sur la base du risque ultime. Dès lors, les techniques d'atténuation du risque de crédit peuvent modifier la répartition par pays d'une exposition. Les expositions sur des organisations supranationales ne sont pas affectées au pays de résidence de l'ét</w:t>
      </w:r>
      <w:r>
        <w:t>a</w:t>
      </w:r>
      <w:r>
        <w:t>blissement mais à la zone géographique «Autres pays», quelle que soit la catégorie d'expositions à laquelle elles sont affectées.</w:t>
      </w:r>
    </w:p>
    <w:p w:rsidR="0096378F" w:rsidRPr="00392FFD" w:rsidRDefault="00125707" w:rsidP="00C37B29">
      <w:pPr>
        <w:pStyle w:val="InstructionsText2"/>
        <w:numPr>
          <w:ilvl w:val="0"/>
          <w:numId w:val="0"/>
        </w:numPr>
        <w:ind w:left="993"/>
      </w:pPr>
      <w:r>
        <w:t>81.</w:t>
      </w:r>
      <w:r>
        <w:tab/>
        <w:t>Les données concernant l'«exposition initiale avant application des facteurs de conversion» seront déclarées en fonction du pays de résidence du débiteur imm</w:t>
      </w:r>
      <w:r>
        <w:t>é</w:t>
      </w:r>
      <w:r>
        <w:t>diat. Les données concernant la «valeur exposée au risque» et les «montants d'e</w:t>
      </w:r>
      <w:r>
        <w:t>x</w:t>
      </w:r>
      <w:r>
        <w:t>position pondérés» seront déclarées en fonction du pays de résidence du débiteur ultime.</w:t>
      </w:r>
    </w:p>
    <w:p w:rsidR="001A6C53" w:rsidRPr="00392FFD" w:rsidRDefault="001A6C53" w:rsidP="001A6C53">
      <w:pPr>
        <w:pStyle w:val="Instructionsberschrift2"/>
        <w:numPr>
          <w:ilvl w:val="0"/>
          <w:numId w:val="0"/>
        </w:numPr>
        <w:ind w:left="357" w:hanging="357"/>
        <w:rPr>
          <w:rFonts w:ascii="Times New Roman" w:hAnsi="Times New Roman" w:cs="Times New Roman"/>
          <w:sz w:val="24"/>
        </w:rPr>
      </w:pPr>
      <w:bookmarkStart w:id="375" w:name="_Toc360188362"/>
      <w:bookmarkStart w:id="376" w:name="_Toc516210648"/>
      <w:bookmarkStart w:id="377" w:name="_Toc473560913"/>
      <w:bookmarkStart w:id="378" w:name="_Toc524104187"/>
      <w:r>
        <w:rPr>
          <w:rFonts w:ascii="Times New Roman" w:hAnsi="Times New Roman"/>
          <w:sz w:val="24"/>
          <w:u w:val="none"/>
        </w:rPr>
        <w:t>3.4.1.</w:t>
      </w:r>
      <w:r w:rsidRPr="00C8707D">
        <w:rPr>
          <w:u w:val="none"/>
        </w:rPr>
        <w:tab/>
      </w:r>
      <w:r>
        <w:rPr>
          <w:rFonts w:ascii="Times New Roman" w:hAnsi="Times New Roman"/>
          <w:sz w:val="24"/>
        </w:rPr>
        <w:t>C 09.01 – Répartition géographique des expositions par pays de résidence du débiteur: expositions en approche standard (CR GB 1)</w:t>
      </w:r>
      <w:bookmarkEnd w:id="378"/>
    </w:p>
    <w:p w:rsidR="001A6C53" w:rsidRPr="00392FFD" w:rsidRDefault="001A6C53" w:rsidP="001A6C53">
      <w:pPr>
        <w:pStyle w:val="Instructionsberschrift2"/>
        <w:numPr>
          <w:ilvl w:val="0"/>
          <w:numId w:val="0"/>
        </w:numPr>
        <w:ind w:left="357" w:hanging="357"/>
        <w:rPr>
          <w:rFonts w:ascii="Times New Roman" w:hAnsi="Times New Roman" w:cs="Times New Roman"/>
          <w:sz w:val="24"/>
        </w:rPr>
      </w:pPr>
      <w:bookmarkStart w:id="379" w:name="_Toc524104188"/>
      <w:r>
        <w:rPr>
          <w:rFonts w:ascii="Times New Roman" w:hAnsi="Times New Roman"/>
          <w:sz w:val="24"/>
          <w:u w:val="none"/>
        </w:rPr>
        <w:t>3.4.1.1.</w:t>
      </w:r>
      <w:r w:rsidRPr="00C8707D">
        <w:rPr>
          <w:u w:val="none"/>
        </w:rPr>
        <w:tab/>
      </w:r>
      <w:r>
        <w:rPr>
          <w:rFonts w:ascii="Times New Roman" w:hAnsi="Times New Roman"/>
          <w:sz w:val="24"/>
        </w:rPr>
        <w:t>Instructions concernant certaines positions</w:t>
      </w:r>
      <w:bookmarkEnd w:id="37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A6C53" w:rsidRPr="00392FFD" w:rsidTr="008D2F6E">
        <w:trPr>
          <w:trHeight w:val="581"/>
        </w:trPr>
        <w:tc>
          <w:tcPr>
            <w:tcW w:w="9828" w:type="dxa"/>
            <w:gridSpan w:val="2"/>
            <w:shd w:val="clear" w:color="auto" w:fill="CCCCCC"/>
          </w:tcPr>
          <w:p w:rsidR="001A6C53" w:rsidRPr="00392FFD" w:rsidRDefault="001A6C53" w:rsidP="008D2F6E">
            <w:pPr>
              <w:spacing w:after="0"/>
              <w:rPr>
                <w:rStyle w:val="InstructionsTabelleText"/>
                <w:rFonts w:ascii="Times New Roman" w:hAnsi="Times New Roman"/>
                <w:b/>
                <w:sz w:val="24"/>
              </w:rPr>
            </w:pPr>
            <w:r>
              <w:rPr>
                <w:rStyle w:val="InstructionsTabelleText"/>
                <w:rFonts w:ascii="Times New Roman" w:hAnsi="Times New Roman"/>
                <w:b/>
                <w:sz w:val="24"/>
              </w:rPr>
              <w:t>Colonnes</w:t>
            </w:r>
          </w:p>
        </w:tc>
      </w:tr>
      <w:tr w:rsidR="001A6C53" w:rsidRPr="00392FFD" w:rsidTr="008D2F6E">
        <w:tc>
          <w:tcPr>
            <w:tcW w:w="1188" w:type="dxa"/>
          </w:tcPr>
          <w:p w:rsidR="001A6C53" w:rsidRPr="00392FFD" w:rsidRDefault="001A6C53" w:rsidP="008D2F6E">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EXPOSITION INITIALE AVANT APPLICATION DES FACTEURS DE CO</w:t>
            </w:r>
            <w:r>
              <w:rPr>
                <w:rFonts w:ascii="Times New Roman" w:hAnsi="Times New Roman"/>
                <w:b/>
                <w:sz w:val="24"/>
                <w:u w:val="single"/>
              </w:rPr>
              <w:t>N</w:t>
            </w:r>
            <w:r>
              <w:rPr>
                <w:rFonts w:ascii="Times New Roman" w:hAnsi="Times New Roman"/>
                <w:b/>
                <w:sz w:val="24"/>
                <w:u w:val="single"/>
              </w:rPr>
              <w:t>VERSION</w:t>
            </w:r>
          </w:p>
          <w:p w:rsidR="001A6C53" w:rsidRPr="00392FFD" w:rsidRDefault="001A6C53" w:rsidP="008D2F6E">
            <w:pPr>
              <w:rPr>
                <w:rFonts w:ascii="Times New Roman" w:hAnsi="Times New Roman"/>
                <w:sz w:val="24"/>
              </w:rPr>
            </w:pPr>
            <w:r>
              <w:rPr>
                <w:rFonts w:ascii="Times New Roman" w:hAnsi="Times New Roman"/>
                <w:sz w:val="24"/>
              </w:rPr>
              <w:t>Même définition que pour la colonne 010 du modèle CR SA.</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020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Expositions en défaut</w:t>
            </w:r>
          </w:p>
          <w:p w:rsidR="001A6C53" w:rsidRPr="00392FFD" w:rsidRDefault="001A6C53" w:rsidP="008D2F6E">
            <w:pPr>
              <w:rPr>
                <w:rStyle w:val="InstructionsTabelleText"/>
                <w:rFonts w:ascii="Times New Roman" w:hAnsi="Times New Roman"/>
                <w:sz w:val="24"/>
              </w:rPr>
            </w:pPr>
            <w:r>
              <w:rPr>
                <w:rStyle w:val="InstructionsTabelleText"/>
                <w:rFonts w:ascii="Times New Roman" w:hAnsi="Times New Roman"/>
                <w:sz w:val="24"/>
              </w:rPr>
              <w:t>Exposition initiale avant application des facteurs de conversion, pour les expositions qui ont été classées comme «expositions en défaut» et pour les expositions en défaut affectées aux catégories d'expositions «expositions présentant un risque particulièr</w:t>
            </w:r>
            <w:r>
              <w:rPr>
                <w:rStyle w:val="InstructionsTabelleText"/>
                <w:rFonts w:ascii="Times New Roman" w:hAnsi="Times New Roman"/>
                <w:sz w:val="24"/>
              </w:rPr>
              <w:t>e</w:t>
            </w:r>
            <w:r>
              <w:rPr>
                <w:rStyle w:val="InstructionsTabelleText"/>
                <w:rFonts w:ascii="Times New Roman" w:hAnsi="Times New Roman"/>
                <w:sz w:val="24"/>
              </w:rPr>
              <w:t>ment élevé» ou «expositions sous forme d'actions».</w:t>
            </w:r>
          </w:p>
          <w:p w:rsidR="001A6C53" w:rsidRPr="00392FFD" w:rsidRDefault="001A6C53" w:rsidP="008D2F6E">
            <w:pPr>
              <w:rPr>
                <w:rStyle w:val="InstructionsTabelleText"/>
                <w:rFonts w:ascii="Times New Roman" w:hAnsi="Times New Roman"/>
                <w:sz w:val="24"/>
              </w:rPr>
            </w:pPr>
            <w:r>
              <w:rPr>
                <w:rStyle w:val="InstructionsTabelleText"/>
                <w:rFonts w:ascii="Times New Roman" w:hAnsi="Times New Roman"/>
                <w:sz w:val="24"/>
              </w:rPr>
              <w:t>Ce «poste pour mémoire» fournit des données supplémentaires sur la structure par d</w:t>
            </w:r>
            <w:r>
              <w:rPr>
                <w:rStyle w:val="InstructionsTabelleText"/>
                <w:rFonts w:ascii="Times New Roman" w:hAnsi="Times New Roman"/>
                <w:sz w:val="24"/>
              </w:rPr>
              <w:t>é</w:t>
            </w:r>
            <w:r>
              <w:rPr>
                <w:rStyle w:val="InstructionsTabelleText"/>
                <w:rFonts w:ascii="Times New Roman" w:hAnsi="Times New Roman"/>
                <w:sz w:val="24"/>
              </w:rPr>
              <w:t>biteur des expositions en défaut. Les expositions classées dans la catégorie «expos</w:t>
            </w:r>
            <w:r>
              <w:rPr>
                <w:rStyle w:val="InstructionsTabelleText"/>
                <w:rFonts w:ascii="Times New Roman" w:hAnsi="Times New Roman"/>
                <w:sz w:val="24"/>
              </w:rPr>
              <w:t>i</w:t>
            </w:r>
            <w:r>
              <w:rPr>
                <w:rStyle w:val="InstructionsTabelleText"/>
                <w:rFonts w:ascii="Times New Roman" w:hAnsi="Times New Roman"/>
                <w:sz w:val="24"/>
              </w:rPr>
              <w:lastRenderedPageBreak/>
              <w:t>tions en défaut» visée à l'article 112, point j), du CRR seront déclarées là où les déb</w:t>
            </w:r>
            <w:r>
              <w:rPr>
                <w:rStyle w:val="InstructionsTabelleText"/>
                <w:rFonts w:ascii="Times New Roman" w:hAnsi="Times New Roman"/>
                <w:sz w:val="24"/>
              </w:rPr>
              <w:t>i</w:t>
            </w:r>
            <w:r>
              <w:rPr>
                <w:rStyle w:val="InstructionsTabelleText"/>
                <w:rFonts w:ascii="Times New Roman" w:hAnsi="Times New Roman"/>
                <w:sz w:val="24"/>
              </w:rPr>
              <w:t xml:space="preserve">teurs auraient </w:t>
            </w:r>
            <w:r>
              <w:rPr>
                <w:rStyle w:val="InstructionsTabelleText"/>
                <w:rFonts w:ascii="Times New Roman" w:hAnsi="Times New Roman"/>
                <w:sz w:val="24"/>
              </w:rPr>
              <w:br/>
              <w:t xml:space="preserve">été déclarés si ces expositions n'avaient pas été affectées à la catégorie d'exposition «expositions en défaut». </w:t>
            </w:r>
          </w:p>
          <w:p w:rsidR="001A6C53" w:rsidRPr="00392FFD" w:rsidRDefault="001A6C53" w:rsidP="008D2F6E">
            <w:pPr>
              <w:rPr>
                <w:rFonts w:ascii="Times New Roman" w:hAnsi="Times New Roman"/>
                <w:sz w:val="24"/>
              </w:rPr>
            </w:pPr>
            <w:r>
              <w:rPr>
                <w:rStyle w:val="InstructionsTabelleText"/>
                <w:rFonts w:ascii="Times New Roman" w:hAnsi="Times New Roman"/>
                <w:sz w:val="24"/>
              </w:rPr>
              <w:t>Ce poste est un «poste pour mémoire», c'est-à-dire qu'il n'influence pas le calcul des montants d'exposition pondérés des catégories d'exposition «expositions en défaut», «expositions présentant un risque particulièrement élevé» ou «expositions sous forme d'actions» visées respectivement à l'article 112, point j), à l'article 112, point k) et à l'a</w:t>
            </w:r>
            <w:r>
              <w:rPr>
                <w:rStyle w:val="InstructionsTabelleText"/>
                <w:rFonts w:ascii="Times New Roman" w:hAnsi="Times New Roman"/>
                <w:sz w:val="24"/>
              </w:rPr>
              <w:t>r</w:t>
            </w:r>
            <w:r>
              <w:rPr>
                <w:rStyle w:val="InstructionsTabelleText"/>
                <w:rFonts w:ascii="Times New Roman" w:hAnsi="Times New Roman"/>
                <w:sz w:val="24"/>
              </w:rPr>
              <w:t>ticle 112, point p) du CRR.</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lastRenderedPageBreak/>
              <w:t>040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Nouveaux défauts observés sur la période</w:t>
            </w:r>
          </w:p>
          <w:p w:rsidR="001A6C53" w:rsidRPr="00392FFD" w:rsidRDefault="001A6C53" w:rsidP="008D2F6E">
            <w:pPr>
              <w:rPr>
                <w:rFonts w:ascii="Times New Roman" w:hAnsi="Times New Roman"/>
                <w:b/>
                <w:sz w:val="24"/>
                <w:u w:val="single"/>
              </w:rPr>
            </w:pPr>
            <w:r>
              <w:rPr>
                <w:rStyle w:val="InstructionsTabelleText"/>
                <w:rFonts w:ascii="Times New Roman" w:hAnsi="Times New Roman"/>
                <w:sz w:val="24"/>
              </w:rPr>
              <w:t>Le montant d'expositions initiales qui sont passées dans la catégorie d'expositions «e</w:t>
            </w:r>
            <w:r>
              <w:rPr>
                <w:rStyle w:val="InstructionsTabelleText"/>
                <w:rFonts w:ascii="Times New Roman" w:hAnsi="Times New Roman"/>
                <w:sz w:val="24"/>
              </w:rPr>
              <w:t>x</w:t>
            </w:r>
            <w:r>
              <w:rPr>
                <w:rStyle w:val="InstructionsTabelleText"/>
                <w:rFonts w:ascii="Times New Roman" w:hAnsi="Times New Roman"/>
                <w:sz w:val="24"/>
              </w:rPr>
              <w:t>positions en défaut» au cours des trois mois qui ont suivi la dernière date de référence pour la déclaration sont déclarées dans la catégorie d'exposition à laquelle appartenait le débiteur à l'origine.</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050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Ajustements pour risque de crédit général</w:t>
            </w:r>
          </w:p>
          <w:p w:rsidR="001A6C53" w:rsidRDefault="001A6C53" w:rsidP="008D2F6E">
            <w:pPr>
              <w:rPr>
                <w:rFonts w:ascii="Times New Roman" w:hAnsi="Times New Roman"/>
                <w:sz w:val="24"/>
              </w:rPr>
            </w:pPr>
            <w:r>
              <w:rPr>
                <w:rFonts w:ascii="Times New Roman" w:hAnsi="Times New Roman"/>
                <w:sz w:val="24"/>
              </w:rPr>
              <w:t xml:space="preserve">Ajustements pour risque de crédit conformément à l'article 110 du CRR. </w:t>
            </w:r>
          </w:p>
          <w:p w:rsidR="001A6C53" w:rsidRPr="00AE7CD3" w:rsidRDefault="001A6C53" w:rsidP="008D2F6E">
            <w:pPr>
              <w:rPr>
                <w:rFonts w:ascii="Times New Roman" w:hAnsi="Times New Roman"/>
                <w:sz w:val="24"/>
              </w:rPr>
            </w:pPr>
            <w:r>
              <w:rPr>
                <w:rFonts w:ascii="Times New Roman" w:hAnsi="Times New Roman"/>
                <w:sz w:val="24"/>
              </w:rPr>
              <w:t>Ce poste comprend les ajustements pour risque de crédit général pouvant être inclus dans les fonds propres de catégorie 2, avant l’application du plafond fixé à l'article 62, point c), du CRR.</w:t>
            </w:r>
          </w:p>
          <w:p w:rsidR="001A6C53" w:rsidRPr="00392FFD" w:rsidRDefault="001A6C53" w:rsidP="008D2F6E">
            <w:pPr>
              <w:rPr>
                <w:rFonts w:ascii="Times New Roman" w:hAnsi="Times New Roman"/>
                <w:b/>
                <w:sz w:val="24"/>
                <w:u w:val="single"/>
              </w:rPr>
            </w:pPr>
            <w:r>
              <w:rPr>
                <w:rFonts w:ascii="Times New Roman" w:hAnsi="Times New Roman"/>
                <w:sz w:val="24"/>
              </w:rPr>
              <w:t>Les montants à déclarer sont les montants bruts d'effets fiscaux.</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055</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Ajustements pour risque de crédit spécifique</w:t>
            </w:r>
          </w:p>
          <w:p w:rsidR="001A6C53" w:rsidRPr="00392FFD" w:rsidRDefault="001A6C53" w:rsidP="008D2F6E">
            <w:pPr>
              <w:rPr>
                <w:rFonts w:ascii="Times New Roman" w:hAnsi="Times New Roman"/>
                <w:b/>
                <w:sz w:val="24"/>
                <w:u w:val="single"/>
              </w:rPr>
            </w:pPr>
            <w:r>
              <w:rPr>
                <w:rFonts w:ascii="Times New Roman" w:hAnsi="Times New Roman"/>
                <w:sz w:val="24"/>
              </w:rPr>
              <w:t>Ajustements pour risque de crédit conformément à l'article 110 du CRR.</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060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Sorties du bilan</w:t>
            </w:r>
          </w:p>
          <w:p w:rsidR="001A6C53" w:rsidRPr="00392FFD" w:rsidRDefault="001A6C53" w:rsidP="008D2F6E">
            <w:pPr>
              <w:rPr>
                <w:rFonts w:ascii="Times New Roman" w:hAnsi="Times New Roman"/>
                <w:b/>
                <w:sz w:val="24"/>
                <w:u w:val="single"/>
              </w:rPr>
            </w:pPr>
            <w:r>
              <w:rPr>
                <w:rStyle w:val="InstructionsTabelleText"/>
                <w:rFonts w:ascii="Times New Roman" w:hAnsi="Times New Roman"/>
                <w:sz w:val="24"/>
              </w:rPr>
              <w:t>Les radiations (sorties du bilan) comprennent non seulement la réduction de la valeur comptable des actifs financiers et leur comptabilisation directe dans le compte de co</w:t>
            </w:r>
            <w:r>
              <w:rPr>
                <w:rStyle w:val="InstructionsTabelleText"/>
                <w:rFonts w:ascii="Times New Roman" w:hAnsi="Times New Roman"/>
                <w:sz w:val="24"/>
              </w:rPr>
              <w:t>r</w:t>
            </w:r>
            <w:r>
              <w:rPr>
                <w:rStyle w:val="InstructionsTabelleText"/>
                <w:rFonts w:ascii="Times New Roman" w:hAnsi="Times New Roman"/>
                <w:sz w:val="24"/>
              </w:rPr>
              <w:t>rection de valeur [IFRS 7.B5.(d).(i)], mais également la réduction des montants inscrits dans le compte de correction de valeur en diminution de la valeur comptable des actifs financiers dépréciés [IFRS 7.B5.(d).(ii)].</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070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Ajustements pour risque de crédit/radiation de crédits pour nouveaux défauts o</w:t>
            </w:r>
            <w:r>
              <w:rPr>
                <w:rFonts w:ascii="Times New Roman" w:hAnsi="Times New Roman"/>
                <w:b/>
                <w:sz w:val="24"/>
                <w:u w:val="single"/>
              </w:rPr>
              <w:t>b</w:t>
            </w:r>
            <w:r>
              <w:rPr>
                <w:rFonts w:ascii="Times New Roman" w:hAnsi="Times New Roman"/>
                <w:b/>
                <w:sz w:val="24"/>
                <w:u w:val="single"/>
              </w:rPr>
              <w:t>servés</w:t>
            </w:r>
          </w:p>
          <w:p w:rsidR="001A6C53" w:rsidRPr="00392FFD" w:rsidRDefault="001A6C53" w:rsidP="008D2F6E">
            <w:pPr>
              <w:rPr>
                <w:rFonts w:ascii="Times New Roman" w:hAnsi="Times New Roman"/>
                <w:b/>
                <w:sz w:val="24"/>
                <w:u w:val="single"/>
              </w:rPr>
            </w:pPr>
            <w:r>
              <w:rPr>
                <w:rStyle w:val="InstructionsTabelleText"/>
                <w:rFonts w:ascii="Times New Roman" w:hAnsi="Times New Roman"/>
                <w:sz w:val="24"/>
              </w:rPr>
              <w:t>Somme des ajustements pour risque de crédit et radiations pour les expositions qui ont été classées dans la catégorie «expositions en défaut» au cours des trois mois qui ont suivi la dernière déclaration des données.</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075</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Valeur exposée au risque</w:t>
            </w:r>
          </w:p>
          <w:p w:rsidR="001A6C53" w:rsidRPr="00392FFD" w:rsidRDefault="001A6C53" w:rsidP="008D2F6E">
            <w:pPr>
              <w:rPr>
                <w:rFonts w:ascii="Times New Roman" w:hAnsi="Times New Roman"/>
                <w:b/>
                <w:sz w:val="24"/>
                <w:u w:val="single"/>
              </w:rPr>
            </w:pPr>
            <w:r>
              <w:rPr>
                <w:rStyle w:val="InstructionsTabelleText"/>
                <w:rFonts w:ascii="Times New Roman" w:hAnsi="Times New Roman"/>
                <w:sz w:val="24"/>
              </w:rPr>
              <w:t>Même définition que pour la colonne 200 du modèle CR SA.</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080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MONTANT D'EXPOSITION PONDÉRÉ AVANT APPLICATION DU FA</w:t>
            </w:r>
            <w:r>
              <w:rPr>
                <w:rFonts w:ascii="Times New Roman" w:hAnsi="Times New Roman"/>
                <w:b/>
                <w:sz w:val="24"/>
                <w:u w:val="single"/>
              </w:rPr>
              <w:t>C</w:t>
            </w:r>
            <w:r>
              <w:rPr>
                <w:rFonts w:ascii="Times New Roman" w:hAnsi="Times New Roman"/>
                <w:b/>
                <w:sz w:val="24"/>
                <w:u w:val="single"/>
              </w:rPr>
              <w:t>TEUR SUPPLÉTIF EN FAVEUR DES PME</w:t>
            </w:r>
          </w:p>
          <w:p w:rsidR="001A6C53" w:rsidRPr="00392FFD" w:rsidRDefault="001A6C53" w:rsidP="008D2F6E">
            <w:pPr>
              <w:rPr>
                <w:rFonts w:ascii="Times New Roman" w:hAnsi="Times New Roman"/>
                <w:b/>
                <w:sz w:val="24"/>
                <w:u w:val="single"/>
              </w:rPr>
            </w:pPr>
            <w:r>
              <w:rPr>
                <w:rFonts w:ascii="Times New Roman" w:hAnsi="Times New Roman"/>
                <w:sz w:val="24"/>
              </w:rPr>
              <w:t>Même définition que pour la colonne 215 du modèle CR SA.</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lastRenderedPageBreak/>
              <w:t>090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MONTANT D'EXPOSITION PONDÉRÉ APRÈS APPLICATION DU FA</w:t>
            </w:r>
            <w:r>
              <w:rPr>
                <w:rFonts w:ascii="Times New Roman" w:hAnsi="Times New Roman"/>
                <w:b/>
                <w:sz w:val="24"/>
                <w:u w:val="single"/>
              </w:rPr>
              <w:t>C</w:t>
            </w:r>
            <w:r>
              <w:rPr>
                <w:rFonts w:ascii="Times New Roman" w:hAnsi="Times New Roman"/>
                <w:b/>
                <w:sz w:val="24"/>
                <w:u w:val="single"/>
              </w:rPr>
              <w:t>TEUR SUPPLÉTIF EN FAVEUR DES PME</w:t>
            </w:r>
          </w:p>
          <w:p w:rsidR="001A6C53" w:rsidRPr="00392FFD" w:rsidRDefault="001A6C53" w:rsidP="008D2F6E">
            <w:pPr>
              <w:rPr>
                <w:rFonts w:ascii="Times New Roman" w:hAnsi="Times New Roman"/>
                <w:b/>
                <w:sz w:val="24"/>
                <w:u w:val="single"/>
              </w:rPr>
            </w:pPr>
            <w:r>
              <w:rPr>
                <w:rFonts w:ascii="Times New Roman" w:hAnsi="Times New Roman"/>
                <w:sz w:val="24"/>
              </w:rPr>
              <w:t>Même définition que pour la colonne 220 du modèle CR SA.</w:t>
            </w:r>
          </w:p>
        </w:tc>
      </w:tr>
    </w:tbl>
    <w:p w:rsidR="001A6C53" w:rsidRPr="00392FFD" w:rsidRDefault="001A6C53" w:rsidP="001A6C53">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1A6C53" w:rsidRPr="00392FFD" w:rsidTr="008D2F6E">
        <w:trPr>
          <w:gridAfter w:val="1"/>
          <w:wAfter w:w="61" w:type="dxa"/>
          <w:trHeight w:val="581"/>
        </w:trPr>
        <w:tc>
          <w:tcPr>
            <w:tcW w:w="9828" w:type="dxa"/>
            <w:gridSpan w:val="2"/>
            <w:shd w:val="clear" w:color="auto" w:fill="CCCCCC"/>
          </w:tcPr>
          <w:p w:rsidR="001A6C53" w:rsidRPr="00392FFD" w:rsidRDefault="001A6C53" w:rsidP="008D2F6E">
            <w:pPr>
              <w:spacing w:after="0"/>
              <w:rPr>
                <w:rStyle w:val="InstructionsTabelleText"/>
                <w:rFonts w:ascii="Times New Roman" w:hAnsi="Times New Roman"/>
                <w:b/>
                <w:sz w:val="24"/>
              </w:rPr>
            </w:pPr>
            <w:r>
              <w:rPr>
                <w:rStyle w:val="InstructionsTabelleText"/>
                <w:rFonts w:ascii="Times New Roman" w:hAnsi="Times New Roman"/>
                <w:b/>
                <w:sz w:val="24"/>
              </w:rPr>
              <w:t>Lignes</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010</w:t>
            </w: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sz w:val="24"/>
              </w:rPr>
            </w:pPr>
            <w:r>
              <w:rPr>
                <w:rStyle w:val="InstructionsTabelleberschrift"/>
                <w:rFonts w:ascii="Times New Roman" w:hAnsi="Times New Roman"/>
                <w:sz w:val="24"/>
              </w:rPr>
              <w:t>Administrations centrales ou banques centrales</w:t>
            </w:r>
          </w:p>
          <w:p w:rsidR="001A6C53" w:rsidRPr="00392FFD" w:rsidRDefault="001A6C53" w:rsidP="008D2F6E">
            <w:pPr>
              <w:ind w:left="72"/>
              <w:rPr>
                <w:rStyle w:val="InstructionsTabelleText"/>
                <w:rFonts w:ascii="Times New Roman" w:hAnsi="Times New Roman"/>
                <w:sz w:val="24"/>
              </w:rPr>
            </w:pPr>
            <w:r>
              <w:rPr>
                <w:rFonts w:ascii="Times New Roman" w:hAnsi="Times New Roman"/>
                <w:sz w:val="24"/>
              </w:rPr>
              <w:t>Article 112, point a), du CRR</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020</w:t>
            </w: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sz w:val="24"/>
              </w:rPr>
            </w:pPr>
            <w:r>
              <w:rPr>
                <w:rStyle w:val="InstructionsTabelleberschrift"/>
                <w:rFonts w:ascii="Times New Roman" w:hAnsi="Times New Roman"/>
                <w:sz w:val="24"/>
              </w:rPr>
              <w:t>Administrations régionales ou locales</w:t>
            </w:r>
          </w:p>
          <w:p w:rsidR="001A6C53" w:rsidRPr="00392FFD" w:rsidRDefault="001A6C53" w:rsidP="008D2F6E">
            <w:pPr>
              <w:ind w:left="72"/>
              <w:rPr>
                <w:rStyle w:val="InstructionsTabelleberschrift"/>
                <w:rFonts w:ascii="Times New Roman" w:hAnsi="Times New Roman"/>
                <w:sz w:val="24"/>
              </w:rPr>
            </w:pPr>
            <w:r>
              <w:rPr>
                <w:rFonts w:ascii="Times New Roman" w:hAnsi="Times New Roman"/>
                <w:sz w:val="24"/>
              </w:rPr>
              <w:t>Article 112, point b), du CRR</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030</w:t>
            </w: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sz w:val="24"/>
              </w:rPr>
            </w:pPr>
            <w:r>
              <w:rPr>
                <w:rStyle w:val="InstructionsTabelleberschrift"/>
                <w:rFonts w:ascii="Times New Roman" w:hAnsi="Times New Roman"/>
                <w:sz w:val="24"/>
              </w:rPr>
              <w:t>Entités du secteur public</w:t>
            </w:r>
          </w:p>
          <w:p w:rsidR="001A6C53" w:rsidRPr="00392FFD" w:rsidRDefault="001A6C53" w:rsidP="008D2F6E">
            <w:pPr>
              <w:ind w:left="72"/>
              <w:rPr>
                <w:rStyle w:val="InstructionsTabelleberschrift"/>
                <w:rFonts w:ascii="Times New Roman" w:hAnsi="Times New Roman"/>
                <w:sz w:val="24"/>
              </w:rPr>
            </w:pPr>
            <w:r>
              <w:rPr>
                <w:rFonts w:ascii="Times New Roman" w:hAnsi="Times New Roman"/>
                <w:sz w:val="24"/>
              </w:rPr>
              <w:t>Article 112, point c), du CRR</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040</w:t>
            </w: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sz w:val="24"/>
              </w:rPr>
            </w:pPr>
            <w:r>
              <w:rPr>
                <w:rStyle w:val="InstructionsTabelleberschrift"/>
                <w:rFonts w:ascii="Times New Roman" w:hAnsi="Times New Roman"/>
                <w:sz w:val="24"/>
              </w:rPr>
              <w:t>Banques multilatérales de développement</w:t>
            </w:r>
          </w:p>
          <w:p w:rsidR="001A6C53" w:rsidRPr="00392FFD" w:rsidRDefault="001A6C53" w:rsidP="008D2F6E">
            <w:pPr>
              <w:ind w:left="72"/>
              <w:rPr>
                <w:rStyle w:val="InstructionsTabelleberschrift"/>
                <w:rFonts w:ascii="Times New Roman" w:hAnsi="Times New Roman"/>
                <w:sz w:val="24"/>
              </w:rPr>
            </w:pPr>
            <w:r>
              <w:rPr>
                <w:rStyle w:val="InstructionsTabelleText"/>
                <w:rFonts w:ascii="Times New Roman" w:hAnsi="Times New Roman"/>
                <w:sz w:val="24"/>
              </w:rPr>
              <w:t>Article 112, point d),</w:t>
            </w:r>
            <w:r>
              <w:rPr>
                <w:rFonts w:ascii="Times New Roman" w:hAnsi="Times New Roman"/>
                <w:sz w:val="24"/>
              </w:rPr>
              <w:t xml:space="preserve"> du CRR.</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050</w:t>
            </w: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sz w:val="24"/>
              </w:rPr>
            </w:pPr>
            <w:r>
              <w:rPr>
                <w:rStyle w:val="InstructionsTabelleberschrift"/>
                <w:rFonts w:ascii="Times New Roman" w:hAnsi="Times New Roman"/>
                <w:sz w:val="24"/>
              </w:rPr>
              <w:t>Organisations internationales</w:t>
            </w:r>
          </w:p>
          <w:p w:rsidR="001A6C53" w:rsidRPr="00392FFD" w:rsidRDefault="001A6C53" w:rsidP="008D2F6E">
            <w:pPr>
              <w:ind w:left="72"/>
              <w:rPr>
                <w:rStyle w:val="InstructionsTabelleberschrift"/>
                <w:rFonts w:ascii="Times New Roman" w:hAnsi="Times New Roman"/>
                <w:sz w:val="24"/>
              </w:rPr>
            </w:pPr>
            <w:r>
              <w:rPr>
                <w:rFonts w:ascii="Times New Roman" w:hAnsi="Times New Roman"/>
                <w:sz w:val="24"/>
              </w:rPr>
              <w:t>Article 112, point e), du CRR</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060</w:t>
            </w: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sz w:val="24"/>
              </w:rPr>
            </w:pPr>
            <w:r>
              <w:rPr>
                <w:rStyle w:val="InstructionsTabelleberschrift"/>
                <w:rFonts w:ascii="Times New Roman" w:hAnsi="Times New Roman"/>
                <w:sz w:val="24"/>
              </w:rPr>
              <w:t>Établissements</w:t>
            </w:r>
          </w:p>
          <w:p w:rsidR="001A6C53" w:rsidRPr="00392FFD" w:rsidRDefault="001A6C53" w:rsidP="008D2F6E">
            <w:pPr>
              <w:ind w:left="72"/>
              <w:rPr>
                <w:rStyle w:val="InstructionsTabelleberschrift"/>
                <w:rFonts w:ascii="Times New Roman" w:hAnsi="Times New Roman"/>
                <w:sz w:val="24"/>
              </w:rPr>
            </w:pPr>
            <w:r>
              <w:rPr>
                <w:rFonts w:ascii="Times New Roman" w:hAnsi="Times New Roman"/>
                <w:sz w:val="24"/>
              </w:rPr>
              <w:t>Article 112, point f), du CRR</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070</w:t>
            </w: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sz w:val="24"/>
              </w:rPr>
            </w:pPr>
            <w:r>
              <w:rPr>
                <w:rStyle w:val="InstructionsTabelleberschrift"/>
                <w:rFonts w:ascii="Times New Roman" w:hAnsi="Times New Roman"/>
                <w:sz w:val="24"/>
              </w:rPr>
              <w:t>Entreprises</w:t>
            </w:r>
          </w:p>
          <w:p w:rsidR="001A6C53" w:rsidRPr="00392FFD" w:rsidRDefault="001A6C53" w:rsidP="008D2F6E">
            <w:pPr>
              <w:ind w:left="72"/>
              <w:rPr>
                <w:rStyle w:val="InstructionsTabelleberschrift"/>
                <w:rFonts w:ascii="Times New Roman" w:hAnsi="Times New Roman"/>
                <w:sz w:val="24"/>
              </w:rPr>
            </w:pPr>
            <w:r>
              <w:rPr>
                <w:rFonts w:ascii="Times New Roman" w:hAnsi="Times New Roman"/>
                <w:sz w:val="24"/>
              </w:rPr>
              <w:t>Article 112, point g), du CRR</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075</w:t>
            </w: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sz w:val="24"/>
              </w:rPr>
            </w:pPr>
            <w:r>
              <w:rPr>
                <w:rStyle w:val="InstructionsTabelleberschrift"/>
                <w:rFonts w:ascii="Times New Roman" w:hAnsi="Times New Roman"/>
                <w:sz w:val="24"/>
              </w:rPr>
              <w:t>dont: PME</w:t>
            </w:r>
          </w:p>
          <w:p w:rsidR="001A6C53" w:rsidRPr="00392FFD" w:rsidRDefault="001A6C53" w:rsidP="008D2F6E">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Même définition que pour la ligne 020 du modèle CR SA</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080</w:t>
            </w: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sz w:val="24"/>
              </w:rPr>
            </w:pPr>
            <w:r>
              <w:rPr>
                <w:rStyle w:val="InstructionsTabelleberschrift"/>
                <w:rFonts w:ascii="Times New Roman" w:hAnsi="Times New Roman"/>
                <w:sz w:val="24"/>
              </w:rPr>
              <w:t>Clientèle de détail</w:t>
            </w:r>
          </w:p>
          <w:p w:rsidR="001A6C53" w:rsidRPr="00392FFD" w:rsidRDefault="001A6C53" w:rsidP="008D2F6E">
            <w:pPr>
              <w:ind w:left="72"/>
              <w:rPr>
                <w:rStyle w:val="InstructionsTabelleberschrift"/>
                <w:rFonts w:ascii="Times New Roman" w:hAnsi="Times New Roman"/>
                <w:sz w:val="24"/>
              </w:rPr>
            </w:pPr>
            <w:r>
              <w:rPr>
                <w:rFonts w:ascii="Times New Roman" w:hAnsi="Times New Roman"/>
                <w:sz w:val="24"/>
              </w:rPr>
              <w:t>Article 112, point h), du CRR</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085</w:t>
            </w: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sz w:val="24"/>
              </w:rPr>
            </w:pPr>
            <w:r>
              <w:rPr>
                <w:rStyle w:val="InstructionsTabelleberschrift"/>
                <w:rFonts w:ascii="Times New Roman" w:hAnsi="Times New Roman"/>
                <w:sz w:val="24"/>
              </w:rPr>
              <w:t>dont: PME</w:t>
            </w:r>
          </w:p>
          <w:p w:rsidR="001A6C53" w:rsidRPr="00392FFD" w:rsidRDefault="001A6C53" w:rsidP="008D2F6E">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Même définition que pour la ligne 020 du modèle CR SA</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090</w:t>
            </w: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sz w:val="24"/>
              </w:rPr>
            </w:pPr>
            <w:r>
              <w:rPr>
                <w:rStyle w:val="InstructionsTabelleberschrift"/>
                <w:rFonts w:ascii="Times New Roman" w:hAnsi="Times New Roman"/>
                <w:sz w:val="24"/>
              </w:rPr>
              <w:t>Expositions garanties par une hypothèque sur un bien immobilier</w:t>
            </w:r>
          </w:p>
          <w:p w:rsidR="001A6C53" w:rsidRPr="00392FFD" w:rsidRDefault="001A6C53" w:rsidP="008D2F6E">
            <w:pPr>
              <w:ind w:left="72"/>
              <w:rPr>
                <w:rStyle w:val="InstructionsTabelleText"/>
                <w:rFonts w:ascii="Times New Roman" w:hAnsi="Times New Roman"/>
                <w:sz w:val="24"/>
              </w:rPr>
            </w:pPr>
            <w:r>
              <w:rPr>
                <w:rFonts w:ascii="Times New Roman" w:hAnsi="Times New Roman"/>
                <w:sz w:val="24"/>
              </w:rPr>
              <w:t>Article 112, point i), du CRR</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095</w:t>
            </w: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sz w:val="24"/>
              </w:rPr>
            </w:pPr>
            <w:r>
              <w:rPr>
                <w:rStyle w:val="InstructionsTabelleberschrift"/>
                <w:rFonts w:ascii="Times New Roman" w:hAnsi="Times New Roman"/>
                <w:sz w:val="24"/>
              </w:rPr>
              <w:t>dont: PME</w:t>
            </w:r>
          </w:p>
          <w:p w:rsidR="001A6C53" w:rsidRPr="00392FFD" w:rsidRDefault="001A6C53" w:rsidP="008D2F6E">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Même définition que pour la ligne 020 du modèle CR SA</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100</w:t>
            </w: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sz w:val="24"/>
              </w:rPr>
            </w:pPr>
            <w:r>
              <w:rPr>
                <w:rStyle w:val="InstructionsTabelleberschrift"/>
                <w:rFonts w:ascii="Times New Roman" w:hAnsi="Times New Roman"/>
                <w:sz w:val="24"/>
              </w:rPr>
              <w:t>Expositions en défaut</w:t>
            </w:r>
          </w:p>
          <w:p w:rsidR="001A6C53" w:rsidRPr="00392FFD" w:rsidRDefault="001A6C53" w:rsidP="008D2F6E">
            <w:pPr>
              <w:ind w:left="72"/>
              <w:rPr>
                <w:rStyle w:val="InstructionsTabelleberschrift"/>
                <w:rFonts w:ascii="Times New Roman" w:hAnsi="Times New Roman"/>
                <w:sz w:val="24"/>
              </w:rPr>
            </w:pPr>
            <w:r>
              <w:rPr>
                <w:rFonts w:ascii="Times New Roman" w:hAnsi="Times New Roman"/>
                <w:sz w:val="24"/>
              </w:rPr>
              <w:lastRenderedPageBreak/>
              <w:t>Article 112, point j), du CRR</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lastRenderedPageBreak/>
              <w:t>110</w:t>
            </w:r>
          </w:p>
        </w:tc>
        <w:tc>
          <w:tcPr>
            <w:tcW w:w="8701" w:type="dxa"/>
            <w:gridSpan w:val="2"/>
            <w:shd w:val="clear" w:color="auto" w:fill="FFFFFF"/>
          </w:tcPr>
          <w:p w:rsidR="001A6C53" w:rsidRPr="00392FFD" w:rsidRDefault="001A6C53" w:rsidP="008D2F6E">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Éléments présentant un risque particulièrement élevé</w:t>
            </w:r>
          </w:p>
          <w:p w:rsidR="001A6C53" w:rsidRPr="00392FFD" w:rsidRDefault="001A6C53" w:rsidP="008D2F6E">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Article 112, point k), du CRR</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120</w:t>
            </w:r>
          </w:p>
        </w:tc>
        <w:tc>
          <w:tcPr>
            <w:tcW w:w="8701" w:type="dxa"/>
            <w:gridSpan w:val="2"/>
            <w:shd w:val="clear" w:color="auto" w:fill="FFFFFF"/>
          </w:tcPr>
          <w:p w:rsidR="001A6C53" w:rsidRPr="00392FFD" w:rsidRDefault="001A6C53" w:rsidP="008D2F6E">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Obligations garanties</w:t>
            </w:r>
          </w:p>
          <w:p w:rsidR="001A6C53" w:rsidRPr="00392FFD" w:rsidRDefault="001A6C53" w:rsidP="008D2F6E">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u w:val="single"/>
              </w:rPr>
              <w:t>Article 112, point l), du CRR</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130</w:t>
            </w:r>
          </w:p>
          <w:p w:rsidR="001A6C53" w:rsidRPr="00392FFD" w:rsidRDefault="001A6C53" w:rsidP="008D2F6E">
            <w:pPr>
              <w:rPr>
                <w:rFonts w:ascii="Times New Roman" w:hAnsi="Times New Roman"/>
                <w:sz w:val="24"/>
              </w:rPr>
            </w:pP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bCs w:val="0"/>
                <w:sz w:val="24"/>
              </w:rPr>
            </w:pPr>
            <w:r>
              <w:rPr>
                <w:rStyle w:val="InstructionsTabelleberschrift"/>
                <w:rFonts w:ascii="Times New Roman" w:hAnsi="Times New Roman"/>
                <w:sz w:val="24"/>
              </w:rPr>
              <w:t>Créances sur des établissements et des entreprises faisant l'objet d'une évaluation du crédit à court terme</w:t>
            </w:r>
          </w:p>
          <w:p w:rsidR="001A6C53" w:rsidRPr="00392FFD" w:rsidRDefault="001A6C53" w:rsidP="008D2F6E">
            <w:pPr>
              <w:ind w:left="72"/>
              <w:rPr>
                <w:rFonts w:ascii="Times New Roman" w:hAnsi="Times New Roman"/>
                <w:sz w:val="24"/>
              </w:rPr>
            </w:pPr>
            <w:r>
              <w:rPr>
                <w:rFonts w:ascii="Times New Roman" w:hAnsi="Times New Roman"/>
                <w:sz w:val="24"/>
              </w:rPr>
              <w:t>Article 112, point n), du CRR</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140</w:t>
            </w: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sz w:val="24"/>
              </w:rPr>
            </w:pPr>
            <w:r>
              <w:rPr>
                <w:rStyle w:val="InstructionsTabelleberschrift"/>
                <w:rFonts w:ascii="Times New Roman" w:hAnsi="Times New Roman"/>
                <w:sz w:val="24"/>
              </w:rPr>
              <w:t>Organismes de placement collectif (OPC)</w:t>
            </w:r>
          </w:p>
          <w:p w:rsidR="001A6C53" w:rsidRPr="00392FFD" w:rsidRDefault="001A6C53" w:rsidP="008D2F6E">
            <w:pPr>
              <w:ind w:left="72"/>
              <w:rPr>
                <w:rStyle w:val="InstructionsTabelleberschrift"/>
                <w:rFonts w:ascii="Times New Roman" w:hAnsi="Times New Roman"/>
                <w:b w:val="0"/>
                <w:bCs w:val="0"/>
                <w:sz w:val="24"/>
                <w:u w:val="none"/>
              </w:rPr>
            </w:pPr>
            <w:r>
              <w:rPr>
                <w:rFonts w:ascii="Times New Roman" w:hAnsi="Times New Roman"/>
                <w:sz w:val="24"/>
              </w:rPr>
              <w:t>Article 112, point o), du CRR</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150</w:t>
            </w: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sz w:val="24"/>
              </w:rPr>
            </w:pPr>
            <w:r>
              <w:rPr>
                <w:rStyle w:val="InstructionsTabelleberschrift"/>
                <w:rFonts w:ascii="Times New Roman" w:hAnsi="Times New Roman"/>
                <w:sz w:val="24"/>
              </w:rPr>
              <w:t>Expositions sous forme d'actions</w:t>
            </w:r>
          </w:p>
          <w:p w:rsidR="001A6C53" w:rsidRPr="00392FFD" w:rsidRDefault="001A6C53" w:rsidP="008D2F6E">
            <w:pPr>
              <w:ind w:left="72"/>
              <w:rPr>
                <w:rStyle w:val="InstructionsTabelleberschrift"/>
                <w:rFonts w:ascii="Times New Roman" w:hAnsi="Times New Roman"/>
                <w:sz w:val="24"/>
              </w:rPr>
            </w:pPr>
            <w:r>
              <w:rPr>
                <w:rFonts w:ascii="Times New Roman" w:hAnsi="Times New Roman"/>
                <w:sz w:val="24"/>
              </w:rPr>
              <w:t>Article 112, point p), du CRR</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160</w:t>
            </w: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sz w:val="24"/>
              </w:rPr>
            </w:pPr>
            <w:r>
              <w:rPr>
                <w:rStyle w:val="InstructionsTabelleberschrift"/>
                <w:rFonts w:ascii="Times New Roman" w:hAnsi="Times New Roman"/>
                <w:sz w:val="24"/>
              </w:rPr>
              <w:t>Autres expositions</w:t>
            </w:r>
          </w:p>
          <w:p w:rsidR="001A6C53" w:rsidRPr="00392FFD" w:rsidRDefault="001A6C53" w:rsidP="008D2F6E">
            <w:pPr>
              <w:ind w:left="72"/>
              <w:rPr>
                <w:rStyle w:val="InstructionsTabelleberschrift"/>
                <w:rFonts w:ascii="Times New Roman" w:hAnsi="Times New Roman"/>
                <w:sz w:val="24"/>
              </w:rPr>
            </w:pPr>
            <w:r>
              <w:rPr>
                <w:rFonts w:ascii="Times New Roman" w:hAnsi="Times New Roman"/>
                <w:sz w:val="24"/>
              </w:rPr>
              <w:t>Article 112, point q), du CRR</w:t>
            </w:r>
          </w:p>
        </w:tc>
      </w:tr>
      <w:tr w:rsidR="001A6C53" w:rsidRPr="00392FFD" w:rsidTr="008D2F6E">
        <w:tc>
          <w:tcPr>
            <w:tcW w:w="1188" w:type="dxa"/>
            <w:shd w:val="clear" w:color="auto" w:fill="FFFFFF"/>
          </w:tcPr>
          <w:p w:rsidR="001A6C53" w:rsidRPr="00392FFD" w:rsidRDefault="001A6C53" w:rsidP="008D2F6E">
            <w:pPr>
              <w:rPr>
                <w:rFonts w:ascii="Times New Roman" w:hAnsi="Times New Roman"/>
                <w:sz w:val="24"/>
              </w:rPr>
            </w:pPr>
            <w:r>
              <w:rPr>
                <w:rFonts w:ascii="Times New Roman" w:hAnsi="Times New Roman"/>
                <w:sz w:val="24"/>
              </w:rPr>
              <w:t>170</w:t>
            </w:r>
          </w:p>
        </w:tc>
        <w:tc>
          <w:tcPr>
            <w:tcW w:w="8701" w:type="dxa"/>
            <w:gridSpan w:val="2"/>
            <w:shd w:val="clear" w:color="auto" w:fill="FFFFFF"/>
          </w:tcPr>
          <w:p w:rsidR="001A6C53" w:rsidRPr="00392FFD" w:rsidRDefault="001A6C53" w:rsidP="008D2F6E">
            <w:pPr>
              <w:ind w:left="72"/>
              <w:rPr>
                <w:rStyle w:val="InstructionsTabelleberschrift"/>
                <w:rFonts w:ascii="Times New Roman" w:hAnsi="Times New Roman"/>
                <w:sz w:val="24"/>
              </w:rPr>
            </w:pPr>
            <w:r>
              <w:rPr>
                <w:rStyle w:val="InstructionsTabelleberschrift"/>
                <w:rFonts w:ascii="Times New Roman" w:hAnsi="Times New Roman"/>
                <w:sz w:val="24"/>
              </w:rPr>
              <w:t>Total des expositions</w:t>
            </w:r>
          </w:p>
        </w:tc>
      </w:tr>
    </w:tbl>
    <w:p w:rsidR="001A6C53" w:rsidRPr="00392FFD" w:rsidRDefault="001A6C53" w:rsidP="001A6C53">
      <w:pPr>
        <w:spacing w:before="0" w:after="200" w:line="312" w:lineRule="auto"/>
        <w:jc w:val="left"/>
        <w:rPr>
          <w:rFonts w:ascii="Times New Roman" w:hAnsi="Times New Roman"/>
          <w:sz w:val="24"/>
        </w:rPr>
      </w:pPr>
    </w:p>
    <w:p w:rsidR="001A6C53" w:rsidRPr="00392FFD" w:rsidRDefault="001A6C53" w:rsidP="001A6C53">
      <w:pPr>
        <w:pStyle w:val="Instructionsberschrift2"/>
        <w:numPr>
          <w:ilvl w:val="0"/>
          <w:numId w:val="0"/>
        </w:numPr>
        <w:ind w:left="357" w:hanging="357"/>
        <w:rPr>
          <w:rFonts w:ascii="Times New Roman" w:hAnsi="Times New Roman" w:cs="Times New Roman"/>
          <w:sz w:val="24"/>
        </w:rPr>
      </w:pPr>
      <w:bookmarkStart w:id="380" w:name="_Toc524104189"/>
      <w:r>
        <w:rPr>
          <w:rFonts w:ascii="Times New Roman" w:hAnsi="Times New Roman"/>
          <w:sz w:val="24"/>
          <w:u w:val="none"/>
        </w:rPr>
        <w:t>3.4.2.</w:t>
      </w:r>
      <w:r w:rsidRPr="0068728A">
        <w:rPr>
          <w:u w:val="none"/>
        </w:rPr>
        <w:tab/>
      </w:r>
      <w:r>
        <w:rPr>
          <w:rFonts w:ascii="Times New Roman" w:hAnsi="Times New Roman"/>
          <w:sz w:val="24"/>
        </w:rPr>
        <w:t>C 09.02 – Répartition géographique des expositions par pays de résidence du débiteur: expositions en approche NI (CR GB 2)</w:t>
      </w:r>
      <w:bookmarkEnd w:id="380"/>
    </w:p>
    <w:p w:rsidR="001A6C53" w:rsidRPr="00392FFD" w:rsidRDefault="001A6C53" w:rsidP="001A6C53">
      <w:pPr>
        <w:pStyle w:val="Instructionsberschrift2"/>
        <w:numPr>
          <w:ilvl w:val="0"/>
          <w:numId w:val="0"/>
        </w:numPr>
        <w:ind w:left="357" w:hanging="357"/>
        <w:rPr>
          <w:rFonts w:ascii="Times New Roman" w:hAnsi="Times New Roman" w:cs="Times New Roman"/>
          <w:sz w:val="24"/>
        </w:rPr>
      </w:pPr>
      <w:bookmarkStart w:id="381" w:name="_Toc524104190"/>
      <w:r>
        <w:rPr>
          <w:rFonts w:ascii="Times New Roman" w:hAnsi="Times New Roman"/>
          <w:sz w:val="24"/>
          <w:u w:val="none"/>
        </w:rPr>
        <w:t>3.4.2.1.</w:t>
      </w:r>
      <w:r w:rsidRPr="007A3C47">
        <w:rPr>
          <w:u w:val="none"/>
        </w:rPr>
        <w:tab/>
      </w:r>
      <w:r>
        <w:rPr>
          <w:rFonts w:ascii="Times New Roman" w:hAnsi="Times New Roman"/>
          <w:sz w:val="24"/>
        </w:rPr>
        <w:t>Instructions concernant certaines positions</w:t>
      </w:r>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1A6C53" w:rsidRPr="00392FFD" w:rsidTr="008D2F6E">
        <w:tc>
          <w:tcPr>
            <w:tcW w:w="1188" w:type="dxa"/>
            <w:shd w:val="clear" w:color="auto" w:fill="CCCCCC"/>
          </w:tcPr>
          <w:p w:rsidR="001A6C53" w:rsidRPr="00392FFD" w:rsidRDefault="001A6C53" w:rsidP="008D2F6E">
            <w:pPr>
              <w:rPr>
                <w:rFonts w:ascii="Times New Roman" w:hAnsi="Times New Roman"/>
                <w:b/>
                <w:sz w:val="24"/>
              </w:rPr>
            </w:pPr>
            <w:r>
              <w:rPr>
                <w:rFonts w:ascii="Times New Roman" w:hAnsi="Times New Roman"/>
                <w:b/>
                <w:sz w:val="24"/>
              </w:rPr>
              <w:t>Colonnes</w:t>
            </w:r>
          </w:p>
        </w:tc>
        <w:tc>
          <w:tcPr>
            <w:tcW w:w="8640" w:type="dxa"/>
            <w:shd w:val="clear" w:color="auto" w:fill="CCCCCC"/>
          </w:tcPr>
          <w:p w:rsidR="001A6C53" w:rsidRPr="00392FFD" w:rsidRDefault="001A6C53" w:rsidP="008D2F6E">
            <w:pPr>
              <w:ind w:left="72"/>
              <w:rPr>
                <w:rFonts w:ascii="Times New Roman" w:hAnsi="Times New Roman"/>
                <w:sz w:val="24"/>
              </w:rPr>
            </w:pPr>
          </w:p>
        </w:tc>
      </w:tr>
      <w:tr w:rsidR="001A6C53" w:rsidRPr="00392FFD" w:rsidTr="008D2F6E">
        <w:tc>
          <w:tcPr>
            <w:tcW w:w="1188" w:type="dxa"/>
          </w:tcPr>
          <w:p w:rsidR="001A6C53" w:rsidRPr="00392FFD" w:rsidRDefault="001A6C53" w:rsidP="008D2F6E">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EXPOSITION INITIALE AVANT APPLICATION DES FACTEURS DE CO</w:t>
            </w:r>
            <w:r>
              <w:rPr>
                <w:rStyle w:val="InstructionsTabelleberschrift"/>
                <w:rFonts w:ascii="Times New Roman" w:hAnsi="Times New Roman"/>
                <w:sz w:val="24"/>
              </w:rPr>
              <w:t>N</w:t>
            </w:r>
            <w:r>
              <w:rPr>
                <w:rStyle w:val="InstructionsTabelleberschrift"/>
                <w:rFonts w:ascii="Times New Roman" w:hAnsi="Times New Roman"/>
                <w:sz w:val="24"/>
              </w:rPr>
              <w:t>VERSION</w:t>
            </w:r>
          </w:p>
          <w:p w:rsidR="001A6C53" w:rsidRPr="00392FFD" w:rsidRDefault="001A6C53" w:rsidP="008D2F6E">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Même définition que pour la colonne 020 du modèle CR IRB.</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030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Dont en défaut</w:t>
            </w:r>
          </w:p>
          <w:p w:rsidR="001A6C53" w:rsidRPr="00392FFD" w:rsidRDefault="001A6C53" w:rsidP="008D2F6E">
            <w:pPr>
              <w:rPr>
                <w:rStyle w:val="InstructionsTabelleText"/>
                <w:rFonts w:ascii="Times New Roman" w:hAnsi="Times New Roman"/>
                <w:sz w:val="24"/>
              </w:rPr>
            </w:pPr>
            <w:r>
              <w:rPr>
                <w:rStyle w:val="InstructionsTabelleText"/>
                <w:rFonts w:ascii="Times New Roman" w:hAnsi="Times New Roman"/>
                <w:sz w:val="24"/>
              </w:rPr>
              <w:t>Valeur de l'exposition initiale pour les expositions qui ont été classées comme «expos</w:t>
            </w:r>
            <w:r>
              <w:rPr>
                <w:rStyle w:val="InstructionsTabelleText"/>
                <w:rFonts w:ascii="Times New Roman" w:hAnsi="Times New Roman"/>
                <w:sz w:val="24"/>
              </w:rPr>
              <w:t>i</w:t>
            </w:r>
            <w:r>
              <w:rPr>
                <w:rStyle w:val="InstructionsTabelleText"/>
                <w:rFonts w:ascii="Times New Roman" w:hAnsi="Times New Roman"/>
                <w:sz w:val="24"/>
              </w:rPr>
              <w:t>tions en défaut» conformément à l'article 178 du CRR.</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040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Nouveaux défauts observés sur la période</w:t>
            </w:r>
          </w:p>
          <w:p w:rsidR="001A6C53" w:rsidRPr="00392FFD" w:rsidRDefault="001A6C53" w:rsidP="008D2F6E">
            <w:pPr>
              <w:rPr>
                <w:rFonts w:ascii="Times New Roman" w:hAnsi="Times New Roman"/>
                <w:b/>
                <w:sz w:val="24"/>
                <w:u w:val="single"/>
              </w:rPr>
            </w:pPr>
            <w:r>
              <w:rPr>
                <w:rStyle w:val="InstructionsTabelleText"/>
                <w:rFonts w:ascii="Times New Roman" w:hAnsi="Times New Roman"/>
                <w:sz w:val="24"/>
              </w:rPr>
              <w:t>Le montant d'expositions initiales qui sont passées dans la catégorie d'expositions «e</w:t>
            </w:r>
            <w:r>
              <w:rPr>
                <w:rStyle w:val="InstructionsTabelleText"/>
                <w:rFonts w:ascii="Times New Roman" w:hAnsi="Times New Roman"/>
                <w:sz w:val="24"/>
              </w:rPr>
              <w:t>x</w:t>
            </w:r>
            <w:r>
              <w:rPr>
                <w:rStyle w:val="InstructionsTabelleText"/>
                <w:rFonts w:ascii="Times New Roman" w:hAnsi="Times New Roman"/>
                <w:sz w:val="24"/>
              </w:rPr>
              <w:t>positions en défaut» au cours des trois mois qui ont suivi la dernière date de référence pour la déclaration sont déclarées dans la catégorie d'exposition à laquelle appartenait le débiteur à l'origine.</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050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Ajustements pour risque de crédit général</w:t>
            </w:r>
          </w:p>
          <w:p w:rsidR="001A6C53" w:rsidRPr="00392FFD" w:rsidRDefault="001A6C53" w:rsidP="008D2F6E">
            <w:pPr>
              <w:rPr>
                <w:rFonts w:ascii="Times New Roman" w:hAnsi="Times New Roman"/>
                <w:b/>
                <w:sz w:val="24"/>
                <w:u w:val="single"/>
              </w:rPr>
            </w:pPr>
            <w:r>
              <w:rPr>
                <w:rFonts w:ascii="Times New Roman" w:hAnsi="Times New Roman"/>
                <w:sz w:val="24"/>
              </w:rPr>
              <w:t xml:space="preserve">Ajustements pour risque de crédit conformément à l'article 110 du CRR. </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lastRenderedPageBreak/>
              <w:t>055</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Ajustements pour risque de crédit spécifique</w:t>
            </w:r>
          </w:p>
          <w:p w:rsidR="001A6C53" w:rsidRPr="00392FFD" w:rsidRDefault="001A6C53" w:rsidP="008D2F6E">
            <w:pPr>
              <w:rPr>
                <w:rFonts w:ascii="Times New Roman" w:hAnsi="Times New Roman"/>
                <w:b/>
                <w:sz w:val="24"/>
                <w:u w:val="single"/>
              </w:rPr>
            </w:pPr>
            <w:r>
              <w:rPr>
                <w:rFonts w:ascii="Times New Roman" w:hAnsi="Times New Roman"/>
                <w:sz w:val="24"/>
              </w:rPr>
              <w:t>Ajustements pour risque de crédit conformément à l'article 110 du CRR.</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060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Sorties du bilan</w:t>
            </w:r>
          </w:p>
          <w:p w:rsidR="001A6C53" w:rsidRPr="00392FFD" w:rsidRDefault="001A6C53" w:rsidP="008D2F6E">
            <w:pPr>
              <w:rPr>
                <w:rFonts w:ascii="Times New Roman" w:hAnsi="Times New Roman"/>
                <w:b/>
                <w:sz w:val="24"/>
                <w:u w:val="single"/>
              </w:rPr>
            </w:pPr>
            <w:r>
              <w:rPr>
                <w:rStyle w:val="InstructionsTabelleText"/>
                <w:rFonts w:ascii="Times New Roman" w:hAnsi="Times New Roman"/>
                <w:sz w:val="24"/>
              </w:rPr>
              <w:t>Les radiations (sorties du bilan) comprennent non seulement la réduction de la valeur comptable des actifs financiers et leur comptabilisation directe dans le compte de co</w:t>
            </w:r>
            <w:r>
              <w:rPr>
                <w:rStyle w:val="InstructionsTabelleText"/>
                <w:rFonts w:ascii="Times New Roman" w:hAnsi="Times New Roman"/>
                <w:sz w:val="24"/>
              </w:rPr>
              <w:t>r</w:t>
            </w:r>
            <w:r>
              <w:rPr>
                <w:rStyle w:val="InstructionsTabelleText"/>
                <w:rFonts w:ascii="Times New Roman" w:hAnsi="Times New Roman"/>
                <w:sz w:val="24"/>
              </w:rPr>
              <w:t>rection de valeur [IFRS 7.B5.(d).(i)], mais également la réduction des montants inscrits dans le compte de correction de valeur en diminution de la valeur comptable des actifs financiers dépréciés [IFRS 7.B5.(d).(ii)].</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070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Ajustements pour risque de crédit/radiation de crédits pour nouveaux défauts o</w:t>
            </w:r>
            <w:r>
              <w:rPr>
                <w:rFonts w:ascii="Times New Roman" w:hAnsi="Times New Roman"/>
                <w:b/>
                <w:sz w:val="24"/>
                <w:u w:val="single"/>
              </w:rPr>
              <w:t>b</w:t>
            </w:r>
            <w:r>
              <w:rPr>
                <w:rFonts w:ascii="Times New Roman" w:hAnsi="Times New Roman"/>
                <w:b/>
                <w:sz w:val="24"/>
                <w:u w:val="single"/>
              </w:rPr>
              <w:t>servés</w:t>
            </w:r>
          </w:p>
          <w:p w:rsidR="001A6C53" w:rsidRPr="00392FFD" w:rsidRDefault="001A6C53" w:rsidP="008D2F6E">
            <w:pPr>
              <w:rPr>
                <w:rFonts w:ascii="Times New Roman" w:hAnsi="Times New Roman"/>
                <w:b/>
                <w:sz w:val="24"/>
                <w:u w:val="single"/>
              </w:rPr>
            </w:pPr>
            <w:r>
              <w:rPr>
                <w:rStyle w:val="InstructionsTabelleText"/>
                <w:rFonts w:ascii="Times New Roman" w:hAnsi="Times New Roman"/>
                <w:sz w:val="24"/>
              </w:rPr>
              <w:t>Somme des ajustements pour risque de crédit et radiations pour les expositions qui ont été classées dans la catégorie «expositions en défaut» au cours des trois mois qui ont suivi la dernière déclaration des données.</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080</w:t>
            </w:r>
          </w:p>
        </w:tc>
        <w:tc>
          <w:tcPr>
            <w:tcW w:w="8640" w:type="dxa"/>
          </w:tcPr>
          <w:p w:rsidR="001A6C53" w:rsidRPr="00392FFD" w:rsidRDefault="001A6C53" w:rsidP="008D2F6E">
            <w:pPr>
              <w:rPr>
                <w:rStyle w:val="InstructionsTabelleberschrift"/>
                <w:rFonts w:ascii="Times New Roman" w:hAnsi="Times New Roman"/>
                <w:bCs w:val="0"/>
                <w:sz w:val="24"/>
              </w:rPr>
            </w:pPr>
            <w:r>
              <w:rPr>
                <w:rStyle w:val="InstructionsTabelleberschrift"/>
                <w:rFonts w:ascii="Times New Roman" w:hAnsi="Times New Roman"/>
                <w:sz w:val="24"/>
              </w:rPr>
              <w:t>SYSTÈME DE NOTATION INTERNE/PROBABILITÉ DE DÉFAUT (PD) A</w:t>
            </w:r>
            <w:r>
              <w:rPr>
                <w:rStyle w:val="InstructionsTabelleberschrift"/>
                <w:rFonts w:ascii="Times New Roman" w:hAnsi="Times New Roman"/>
                <w:sz w:val="24"/>
              </w:rPr>
              <w:t>F</w:t>
            </w:r>
            <w:r>
              <w:rPr>
                <w:rStyle w:val="InstructionsTabelleberschrift"/>
                <w:rFonts w:ascii="Times New Roman" w:hAnsi="Times New Roman"/>
                <w:sz w:val="24"/>
              </w:rPr>
              <w:t>FECTÉE PAR ÉCHELON OU CATÉGORIE DE DÉBITEURS (%)</w:t>
            </w:r>
          </w:p>
          <w:p w:rsidR="001A6C53" w:rsidRPr="00392FFD" w:rsidRDefault="001A6C53" w:rsidP="008D2F6E">
            <w:pPr>
              <w:rPr>
                <w:rFonts w:ascii="Times New Roman" w:hAnsi="Times New Roman"/>
                <w:b/>
                <w:sz w:val="24"/>
                <w:u w:val="single"/>
              </w:rPr>
            </w:pPr>
            <w:r>
              <w:rPr>
                <w:rStyle w:val="InstructionsTabelleText"/>
                <w:rFonts w:ascii="Times New Roman" w:hAnsi="Times New Roman"/>
                <w:sz w:val="24"/>
              </w:rPr>
              <w:t>Même définition que pour la colonne 010 du modèle CR IRB.</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090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LGD MOYENNE, PONDÉRÉE (%)</w:t>
            </w:r>
          </w:p>
          <w:p w:rsidR="001A6C53" w:rsidRPr="00392FFD" w:rsidRDefault="001A6C53" w:rsidP="008D2F6E">
            <w:pPr>
              <w:rPr>
                <w:rStyle w:val="InstructionsTabelleText"/>
                <w:rFonts w:ascii="Times New Roman" w:hAnsi="Times New Roman"/>
                <w:sz w:val="24"/>
              </w:rPr>
            </w:pPr>
            <w:r>
              <w:rPr>
                <w:rStyle w:val="InstructionsTabelleText"/>
                <w:rFonts w:ascii="Times New Roman" w:hAnsi="Times New Roman"/>
                <w:sz w:val="24"/>
              </w:rPr>
              <w:t>Même définition que pour les colonnes 230 et 240 du modèle CR IRB: la valeur moyenne, pondérée en fonction de l'exposition, des pertes en cas de défaut (%) se ra</w:t>
            </w:r>
            <w:r>
              <w:rPr>
                <w:rStyle w:val="InstructionsTabelleText"/>
                <w:rFonts w:ascii="Times New Roman" w:hAnsi="Times New Roman"/>
                <w:sz w:val="24"/>
              </w:rPr>
              <w:t>p</w:t>
            </w:r>
            <w:r>
              <w:rPr>
                <w:rStyle w:val="InstructionsTabelleText"/>
                <w:rFonts w:ascii="Times New Roman" w:hAnsi="Times New Roman"/>
                <w:sz w:val="24"/>
              </w:rPr>
              <w:t>porte à toutes les expositions, y compris les expositions sur les entités du secteur fina</w:t>
            </w:r>
            <w:r>
              <w:rPr>
                <w:rStyle w:val="InstructionsTabelleText"/>
                <w:rFonts w:ascii="Times New Roman" w:hAnsi="Times New Roman"/>
                <w:sz w:val="24"/>
              </w:rPr>
              <w:t>n</w:t>
            </w:r>
            <w:r>
              <w:rPr>
                <w:rStyle w:val="InstructionsTabelleText"/>
                <w:rFonts w:ascii="Times New Roman" w:hAnsi="Times New Roman"/>
                <w:sz w:val="24"/>
              </w:rPr>
              <w:t>cier de grande taille et les entités du secteur financier non réglementées. Les dispos</w:t>
            </w:r>
            <w:r>
              <w:rPr>
                <w:rStyle w:val="InstructionsTabelleText"/>
                <w:rFonts w:ascii="Times New Roman" w:hAnsi="Times New Roman"/>
                <w:sz w:val="24"/>
              </w:rPr>
              <w:t>i</w:t>
            </w:r>
            <w:r>
              <w:rPr>
                <w:rStyle w:val="InstructionsTabelleText"/>
                <w:rFonts w:ascii="Times New Roman" w:hAnsi="Times New Roman"/>
                <w:sz w:val="24"/>
              </w:rPr>
              <w:t>tions de l'article 181, paragraphe 1, point h), du CRR s'appliquent.</w:t>
            </w:r>
          </w:p>
          <w:p w:rsidR="001A6C53" w:rsidRPr="00392FFD" w:rsidRDefault="001A6C53" w:rsidP="008D2F6E">
            <w:pPr>
              <w:rPr>
                <w:rFonts w:ascii="Times New Roman" w:hAnsi="Times New Roman"/>
                <w:b/>
                <w:sz w:val="24"/>
                <w:u w:val="single"/>
              </w:rPr>
            </w:pPr>
            <w:r>
              <w:rPr>
                <w:rFonts w:ascii="Times New Roman" w:hAnsi="Times New Roman"/>
                <w:sz w:val="24"/>
              </w:rPr>
              <w:t>Les données ne seront pas déclarées pour les expositions de financement spécialisé v</w:t>
            </w:r>
            <w:r>
              <w:rPr>
                <w:rFonts w:ascii="Times New Roman" w:hAnsi="Times New Roman"/>
                <w:sz w:val="24"/>
              </w:rPr>
              <w:t>i</w:t>
            </w:r>
            <w:r>
              <w:rPr>
                <w:rFonts w:ascii="Times New Roman" w:hAnsi="Times New Roman"/>
                <w:sz w:val="24"/>
              </w:rPr>
              <w:t>sées à l'article 153, paragraphe 5.</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100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Dont: en défaut</w:t>
            </w:r>
          </w:p>
          <w:p w:rsidR="001A6C53" w:rsidRPr="00392FFD" w:rsidRDefault="001A6C53" w:rsidP="008D2F6E">
            <w:pPr>
              <w:rPr>
                <w:rFonts w:ascii="Times New Roman" w:hAnsi="Times New Roman"/>
                <w:b/>
                <w:sz w:val="24"/>
                <w:u w:val="single"/>
              </w:rPr>
            </w:pPr>
            <w:r>
              <w:rPr>
                <w:rStyle w:val="InstructionsTabelleText"/>
                <w:rFonts w:ascii="Times New Roman" w:hAnsi="Times New Roman"/>
                <w:sz w:val="24"/>
              </w:rPr>
              <w:t>Valeur moyenne, pondérée en fonction de l'exposition, des pertes en cas de défaut pour les expositions qui ont été classées comme «expositions en défaut» conformément à l'article 178 du CRR.</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105</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Valeur exposée au risque</w:t>
            </w:r>
          </w:p>
          <w:p w:rsidR="001A6C53" w:rsidRPr="00392FFD" w:rsidRDefault="001A6C53" w:rsidP="008D2F6E">
            <w:pPr>
              <w:rPr>
                <w:rFonts w:ascii="Times New Roman" w:hAnsi="Times New Roman"/>
                <w:b/>
                <w:sz w:val="24"/>
                <w:u w:val="single"/>
              </w:rPr>
            </w:pPr>
            <w:r>
              <w:rPr>
                <w:rStyle w:val="InstructionsTabelleText"/>
                <w:rFonts w:ascii="Times New Roman" w:hAnsi="Times New Roman"/>
                <w:sz w:val="24"/>
              </w:rPr>
              <w:t>Même définition que pour la colonne 110 du modèle CR IRB.</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110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MONTANT D'EXPOSITION PONDÉRÉ AVANT APPLICATION DU FA</w:t>
            </w:r>
            <w:r>
              <w:rPr>
                <w:rFonts w:ascii="Times New Roman" w:hAnsi="Times New Roman"/>
                <w:b/>
                <w:sz w:val="24"/>
                <w:u w:val="single"/>
              </w:rPr>
              <w:t>C</w:t>
            </w:r>
            <w:r>
              <w:rPr>
                <w:rFonts w:ascii="Times New Roman" w:hAnsi="Times New Roman"/>
                <w:b/>
                <w:sz w:val="24"/>
                <w:u w:val="single"/>
              </w:rPr>
              <w:t>TEUR SUPPLÉTIF EN FAVEUR DES PME</w:t>
            </w:r>
          </w:p>
          <w:p w:rsidR="001A6C53" w:rsidRPr="00392FFD" w:rsidRDefault="001A6C53" w:rsidP="008D2F6E">
            <w:pPr>
              <w:rPr>
                <w:rFonts w:ascii="Times New Roman" w:hAnsi="Times New Roman"/>
                <w:b/>
                <w:sz w:val="24"/>
                <w:u w:val="single"/>
              </w:rPr>
            </w:pPr>
            <w:r>
              <w:rPr>
                <w:rStyle w:val="InstructionsTabelleText"/>
                <w:rFonts w:ascii="Times New Roman" w:hAnsi="Times New Roman"/>
                <w:sz w:val="24"/>
              </w:rPr>
              <w:t>Même définition que pour la colonne 255 du modèle CR IRB.</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120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Dont en défaut</w:t>
            </w:r>
          </w:p>
          <w:p w:rsidR="001A6C53" w:rsidRPr="00392FFD" w:rsidRDefault="001A6C53" w:rsidP="008D2F6E">
            <w:pPr>
              <w:rPr>
                <w:rFonts w:ascii="Times New Roman" w:hAnsi="Times New Roman"/>
                <w:b/>
                <w:sz w:val="24"/>
                <w:u w:val="single"/>
              </w:rPr>
            </w:pPr>
            <w:r>
              <w:rPr>
                <w:rStyle w:val="InstructionsTabelleText"/>
                <w:rFonts w:ascii="Times New Roman" w:hAnsi="Times New Roman"/>
                <w:sz w:val="24"/>
              </w:rPr>
              <w:t>Montant d'exposition pondéré pour les expositions qui ont été classées comme «expos</w:t>
            </w:r>
            <w:r>
              <w:rPr>
                <w:rStyle w:val="InstructionsTabelleText"/>
                <w:rFonts w:ascii="Times New Roman" w:hAnsi="Times New Roman"/>
                <w:sz w:val="24"/>
              </w:rPr>
              <w:t>i</w:t>
            </w:r>
            <w:r>
              <w:rPr>
                <w:rStyle w:val="InstructionsTabelleText"/>
                <w:rFonts w:ascii="Times New Roman" w:hAnsi="Times New Roman"/>
                <w:sz w:val="24"/>
              </w:rPr>
              <w:t>tions en défaut» conformément à l'article 178 du CRR.</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125</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MONTANT D'EXPOSITION PONDÉRÉ APRÈS APPLICATION DU FA</w:t>
            </w:r>
            <w:r>
              <w:rPr>
                <w:rFonts w:ascii="Times New Roman" w:hAnsi="Times New Roman"/>
                <w:b/>
                <w:sz w:val="24"/>
                <w:u w:val="single"/>
              </w:rPr>
              <w:t>C</w:t>
            </w:r>
            <w:r>
              <w:rPr>
                <w:rFonts w:ascii="Times New Roman" w:hAnsi="Times New Roman"/>
                <w:b/>
                <w:sz w:val="24"/>
                <w:u w:val="single"/>
              </w:rPr>
              <w:lastRenderedPageBreak/>
              <w:t>TEUR SUPPLÉTIF EN FAVEUR DES PME</w:t>
            </w:r>
          </w:p>
          <w:p w:rsidR="001A6C53" w:rsidRPr="00392FFD" w:rsidRDefault="001A6C53" w:rsidP="008D2F6E">
            <w:pPr>
              <w:rPr>
                <w:rFonts w:ascii="Times New Roman" w:hAnsi="Times New Roman"/>
                <w:b/>
                <w:sz w:val="24"/>
                <w:u w:val="single"/>
              </w:rPr>
            </w:pPr>
            <w:r>
              <w:rPr>
                <w:rStyle w:val="InstructionsTabelleText"/>
                <w:rFonts w:ascii="Times New Roman" w:hAnsi="Times New Roman"/>
                <w:sz w:val="24"/>
              </w:rPr>
              <w:t>Même définition que pour la colonne 260 du modèle CR IRB.</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lastRenderedPageBreak/>
              <w:t>130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MONTANT DES PERTES ANTICIPÉES</w:t>
            </w:r>
          </w:p>
          <w:p w:rsidR="001A6C53" w:rsidRPr="00392FFD" w:rsidRDefault="001A6C53" w:rsidP="008D2F6E">
            <w:pPr>
              <w:rPr>
                <w:rFonts w:ascii="Times New Roman" w:hAnsi="Times New Roman"/>
                <w:b/>
                <w:sz w:val="24"/>
                <w:u w:val="single"/>
              </w:rPr>
            </w:pPr>
            <w:r>
              <w:rPr>
                <w:rStyle w:val="InstructionsTabelleText"/>
                <w:rFonts w:ascii="Times New Roman" w:hAnsi="Times New Roman"/>
                <w:sz w:val="24"/>
              </w:rPr>
              <w:t>Même définition que pour la colonne 280 du modèle CR IRB.</w:t>
            </w:r>
            <w:r>
              <w:rPr>
                <w:rFonts w:ascii="Times New Roman" w:hAnsi="Times New Roman"/>
                <w:b/>
                <w:sz w:val="24"/>
                <w:u w:val="single"/>
              </w:rPr>
              <w:t xml:space="preserve"> </w:t>
            </w:r>
          </w:p>
        </w:tc>
      </w:tr>
    </w:tbl>
    <w:p w:rsidR="001A6C53" w:rsidRPr="00392FFD" w:rsidRDefault="001A6C53" w:rsidP="001A6C53">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1A6C53" w:rsidRPr="00392FFD" w:rsidTr="008D2F6E">
        <w:tc>
          <w:tcPr>
            <w:tcW w:w="1188" w:type="dxa"/>
            <w:shd w:val="clear" w:color="auto" w:fill="CCCCCC"/>
          </w:tcPr>
          <w:p w:rsidR="001A6C53" w:rsidRPr="00392FFD" w:rsidRDefault="001A6C53" w:rsidP="008D2F6E">
            <w:pPr>
              <w:rPr>
                <w:rFonts w:ascii="Times New Roman" w:hAnsi="Times New Roman"/>
                <w:b/>
                <w:sz w:val="24"/>
              </w:rPr>
            </w:pPr>
            <w:r>
              <w:rPr>
                <w:rFonts w:ascii="Times New Roman" w:hAnsi="Times New Roman"/>
                <w:b/>
                <w:sz w:val="24"/>
              </w:rPr>
              <w:t>Lignes</w:t>
            </w:r>
          </w:p>
        </w:tc>
        <w:tc>
          <w:tcPr>
            <w:tcW w:w="8640" w:type="dxa"/>
            <w:shd w:val="clear" w:color="auto" w:fill="CCCCCC"/>
          </w:tcPr>
          <w:p w:rsidR="001A6C53" w:rsidRPr="00392FFD" w:rsidRDefault="001A6C53" w:rsidP="008D2F6E">
            <w:pPr>
              <w:ind w:left="72"/>
              <w:rPr>
                <w:rFonts w:ascii="Times New Roman" w:hAnsi="Times New Roman"/>
                <w:sz w:val="24"/>
              </w:rPr>
            </w:pP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010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 xml:space="preserve">Banques centrales et administrations centrales </w:t>
            </w:r>
          </w:p>
          <w:p w:rsidR="001A6C53" w:rsidRPr="00392FFD" w:rsidRDefault="001A6C53" w:rsidP="008D2F6E">
            <w:pPr>
              <w:rPr>
                <w:rFonts w:ascii="Times New Roman" w:hAnsi="Times New Roman"/>
                <w:sz w:val="24"/>
              </w:rPr>
            </w:pPr>
            <w:r>
              <w:rPr>
                <w:rFonts w:ascii="Times New Roman" w:hAnsi="Times New Roman"/>
                <w:sz w:val="24"/>
              </w:rPr>
              <w:t>(Article 147, paragraphe 2, point a), du CRR)</w:t>
            </w:r>
          </w:p>
        </w:tc>
      </w:tr>
      <w:tr w:rsidR="001A6C53" w:rsidRPr="00FE6995"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020</w:t>
            </w:r>
          </w:p>
        </w:tc>
        <w:tc>
          <w:tcPr>
            <w:tcW w:w="8640" w:type="dxa"/>
          </w:tcPr>
          <w:p w:rsidR="001A6C53" w:rsidRPr="0023700C" w:rsidRDefault="001A6C53" w:rsidP="008D2F6E">
            <w:pPr>
              <w:rPr>
                <w:rFonts w:ascii="Times New Roman" w:hAnsi="Times New Roman"/>
                <w:b/>
                <w:sz w:val="24"/>
                <w:u w:val="single"/>
              </w:rPr>
            </w:pPr>
            <w:r>
              <w:rPr>
                <w:rFonts w:ascii="Times New Roman" w:hAnsi="Times New Roman"/>
                <w:b/>
                <w:sz w:val="24"/>
                <w:u w:val="single"/>
              </w:rPr>
              <w:t>Établissements</w:t>
            </w:r>
          </w:p>
          <w:p w:rsidR="001A6C53" w:rsidRPr="0023700C" w:rsidRDefault="001A6C53" w:rsidP="008D2F6E">
            <w:pPr>
              <w:rPr>
                <w:rFonts w:ascii="Times New Roman" w:hAnsi="Times New Roman"/>
                <w:sz w:val="24"/>
              </w:rPr>
            </w:pPr>
            <w:r>
              <w:rPr>
                <w:rFonts w:ascii="Times New Roman" w:hAnsi="Times New Roman"/>
                <w:sz w:val="24"/>
              </w:rPr>
              <w:t>(Article 147, paragraphe 2, point b), du CRR)</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030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 xml:space="preserve">Entreprises </w:t>
            </w:r>
          </w:p>
          <w:p w:rsidR="001A6C53" w:rsidRPr="00392FFD" w:rsidRDefault="001A6C53" w:rsidP="008D2F6E">
            <w:pPr>
              <w:pStyle w:val="ListParagraph"/>
              <w:ind w:left="0"/>
              <w:rPr>
                <w:rFonts w:ascii="Times New Roman" w:hAnsi="Times New Roman"/>
                <w:sz w:val="24"/>
              </w:rPr>
            </w:pPr>
            <w:r>
              <w:rPr>
                <w:rFonts w:ascii="Times New Roman" w:hAnsi="Times New Roman"/>
                <w:sz w:val="24"/>
              </w:rPr>
              <w:t>(Toutes les entreprises conformément à l'article 147, paragraphe 2, point c).)</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042</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Dont: Financement spécialisé (sauf FS soumis à des critères de référencement)</w:t>
            </w:r>
          </w:p>
          <w:p w:rsidR="001A6C53" w:rsidRPr="00392FFD" w:rsidRDefault="001A6C53" w:rsidP="008D2F6E">
            <w:pPr>
              <w:pStyle w:val="ListParagraph"/>
              <w:ind w:left="0"/>
              <w:rPr>
                <w:rFonts w:ascii="Times New Roman" w:hAnsi="Times New Roman"/>
                <w:sz w:val="24"/>
              </w:rPr>
            </w:pPr>
            <w:r>
              <w:rPr>
                <w:rFonts w:ascii="Times New Roman" w:hAnsi="Times New Roman"/>
                <w:sz w:val="24"/>
              </w:rPr>
              <w:t>(Article 147, paragraphe 8, point a), du CRR)</w:t>
            </w:r>
          </w:p>
          <w:p w:rsidR="001A6C53" w:rsidRPr="00392FFD" w:rsidRDefault="001A6C53" w:rsidP="008D2F6E">
            <w:pPr>
              <w:pStyle w:val="ListParagraph"/>
              <w:ind w:left="0"/>
              <w:rPr>
                <w:rFonts w:ascii="Times New Roman" w:hAnsi="Times New Roman"/>
                <w:sz w:val="24"/>
              </w:rPr>
            </w:pPr>
            <w:r>
              <w:rPr>
                <w:rFonts w:ascii="Times New Roman" w:hAnsi="Times New Roman"/>
                <w:sz w:val="24"/>
              </w:rPr>
              <w:t>Les données ne seront pas déclarées pour les expositions de financement spécialisé v</w:t>
            </w:r>
            <w:r>
              <w:rPr>
                <w:rFonts w:ascii="Times New Roman" w:hAnsi="Times New Roman"/>
                <w:sz w:val="24"/>
              </w:rPr>
              <w:t>i</w:t>
            </w:r>
            <w:r>
              <w:rPr>
                <w:rFonts w:ascii="Times New Roman" w:hAnsi="Times New Roman"/>
                <w:sz w:val="24"/>
              </w:rPr>
              <w:t>sées à l'article 153, paragraphe 5.</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045</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Dont: Financement spécialisé soumis à des critères de référencement</w:t>
            </w:r>
          </w:p>
          <w:p w:rsidR="001A6C53" w:rsidRPr="00392FFD" w:rsidRDefault="001A6C53" w:rsidP="008D2F6E">
            <w:pPr>
              <w:rPr>
                <w:rFonts w:ascii="Times New Roman" w:hAnsi="Times New Roman"/>
                <w:b/>
                <w:sz w:val="24"/>
                <w:u w:val="single"/>
              </w:rPr>
            </w:pPr>
            <w:r>
              <w:rPr>
                <w:rFonts w:ascii="Times New Roman" w:hAnsi="Times New Roman"/>
                <w:sz w:val="24"/>
              </w:rPr>
              <w:t>Article 147, paragraphe 8, point a), et article 153, paragraphe 5, du CRR</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050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Dont: PME</w:t>
            </w:r>
          </w:p>
          <w:p w:rsidR="001A6C53" w:rsidRPr="00392FFD" w:rsidRDefault="001A6C53" w:rsidP="008D2F6E">
            <w:pPr>
              <w:pStyle w:val="ListParagraph"/>
              <w:ind w:left="0"/>
              <w:rPr>
                <w:rFonts w:ascii="Times New Roman" w:hAnsi="Times New Roman"/>
                <w:sz w:val="24"/>
              </w:rPr>
            </w:pPr>
            <w:r>
              <w:rPr>
                <w:rFonts w:ascii="Times New Roman" w:hAnsi="Times New Roman"/>
                <w:sz w:val="24"/>
              </w:rPr>
              <w:t>(Article 147, paragraphe 2, point c), du CRR)</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060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Clientèle de détail</w:t>
            </w:r>
          </w:p>
          <w:p w:rsidR="001A6C53" w:rsidRPr="00392FFD" w:rsidRDefault="001A6C53" w:rsidP="008D2F6E">
            <w:pPr>
              <w:rPr>
                <w:rFonts w:ascii="Times New Roman" w:hAnsi="Times New Roman"/>
                <w:sz w:val="24"/>
              </w:rPr>
            </w:pPr>
            <w:r>
              <w:rPr>
                <w:rFonts w:ascii="Times New Roman" w:hAnsi="Times New Roman"/>
                <w:sz w:val="24"/>
              </w:rPr>
              <w:t>Toutes les expositions sur la clientèle de détail, conformément à l'article 147, par</w:t>
            </w:r>
            <w:r>
              <w:rPr>
                <w:rFonts w:ascii="Times New Roman" w:hAnsi="Times New Roman"/>
                <w:sz w:val="24"/>
              </w:rPr>
              <w:t>a</w:t>
            </w:r>
            <w:r>
              <w:rPr>
                <w:rFonts w:ascii="Times New Roman" w:hAnsi="Times New Roman"/>
                <w:sz w:val="24"/>
              </w:rPr>
              <w:t>graphe 2, point d).</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070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Clientèle de détail – Expositions garanties par des biens immobiliers</w:t>
            </w:r>
          </w:p>
          <w:p w:rsidR="001A6C53" w:rsidRPr="00392FFD" w:rsidRDefault="001A6C53" w:rsidP="008D2F6E">
            <w:pPr>
              <w:pStyle w:val="ListParagraph"/>
              <w:ind w:left="0"/>
              <w:rPr>
                <w:rFonts w:ascii="Times New Roman" w:hAnsi="Times New Roman"/>
                <w:sz w:val="24"/>
              </w:rPr>
            </w:pPr>
            <w:r>
              <w:rPr>
                <w:rFonts w:ascii="Times New Roman" w:hAnsi="Times New Roman"/>
                <w:sz w:val="24"/>
              </w:rPr>
              <w:t>Expositions reflétant l'article 147, paragraphe 2, point d), du CRR, qui sont garanties par des biens immobiliers.</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080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PME</w:t>
            </w:r>
          </w:p>
          <w:p w:rsidR="001A6C53" w:rsidRPr="00392FFD" w:rsidRDefault="001A6C53" w:rsidP="008D2F6E">
            <w:pPr>
              <w:pStyle w:val="ListParagraph"/>
              <w:ind w:left="0"/>
              <w:rPr>
                <w:rFonts w:ascii="Times New Roman" w:hAnsi="Times New Roman"/>
                <w:sz w:val="24"/>
              </w:rPr>
            </w:pPr>
            <w:r>
              <w:rPr>
                <w:rFonts w:ascii="Times New Roman" w:hAnsi="Times New Roman"/>
                <w:sz w:val="24"/>
              </w:rPr>
              <w:t>Expositions sur la clientèle de détail reflétant l'article 147, paragraphe 2, point d), en conjonction avec l'article 153, paragraphe 3, du CRR, qui sont garanties par des biens immobiliers.</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090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Non PME</w:t>
            </w:r>
          </w:p>
          <w:p w:rsidR="001A6C53" w:rsidRPr="00392FFD" w:rsidRDefault="001A6C53" w:rsidP="008D2F6E">
            <w:pPr>
              <w:pStyle w:val="ListParagraph"/>
              <w:ind w:left="0"/>
              <w:rPr>
                <w:rFonts w:ascii="Times New Roman" w:hAnsi="Times New Roman"/>
                <w:sz w:val="24"/>
              </w:rPr>
            </w:pPr>
            <w:r>
              <w:rPr>
                <w:rFonts w:ascii="Times New Roman" w:hAnsi="Times New Roman"/>
                <w:sz w:val="24"/>
              </w:rPr>
              <w:t xml:space="preserve">Expositions sur la clientèle de détail reflétant l'article 147, paragraphe 2, point d), du </w:t>
            </w:r>
            <w:r>
              <w:rPr>
                <w:rFonts w:ascii="Times New Roman" w:hAnsi="Times New Roman"/>
                <w:sz w:val="24"/>
              </w:rPr>
              <w:lastRenderedPageBreak/>
              <w:t>CRR, qui sont garanties par des biens immobiliers.</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lastRenderedPageBreak/>
              <w:t>100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Clientèle de détail – Expositions renouvelables éligibles</w:t>
            </w:r>
          </w:p>
          <w:p w:rsidR="001A6C53" w:rsidRPr="00392FFD" w:rsidRDefault="001A6C53" w:rsidP="008D2F6E">
            <w:pPr>
              <w:pStyle w:val="ListParagraph"/>
              <w:ind w:left="0"/>
              <w:rPr>
                <w:rFonts w:ascii="Times New Roman" w:hAnsi="Times New Roman"/>
                <w:sz w:val="24"/>
              </w:rPr>
            </w:pPr>
            <w:r>
              <w:rPr>
                <w:rFonts w:ascii="Times New Roman" w:hAnsi="Times New Roman"/>
                <w:sz w:val="24"/>
              </w:rPr>
              <w:t xml:space="preserve">(Article 147, paragraphe 2, point d), en conjonction avec l'article 154, paragraphe 4, du CRR) </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110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Autre clientèle de détail</w:t>
            </w:r>
          </w:p>
          <w:p w:rsidR="001A6C53" w:rsidRPr="00392FFD" w:rsidRDefault="001A6C53" w:rsidP="008D2F6E">
            <w:pPr>
              <w:pStyle w:val="ListParagraph"/>
              <w:ind w:left="0"/>
              <w:rPr>
                <w:rFonts w:ascii="Times New Roman" w:hAnsi="Times New Roman"/>
                <w:sz w:val="24"/>
              </w:rPr>
            </w:pPr>
            <w:r>
              <w:rPr>
                <w:rFonts w:ascii="Times New Roman" w:hAnsi="Times New Roman"/>
                <w:sz w:val="24"/>
              </w:rPr>
              <w:t>Autres expositions sur la clientèle de détail reflétant les dispositions de l'article 147, paragraphe 2, point d), non déclarées dans les lignes 070 - 100.</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120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PME</w:t>
            </w:r>
          </w:p>
          <w:p w:rsidR="001A6C53" w:rsidRPr="00392FFD" w:rsidRDefault="001A6C53" w:rsidP="008D2F6E">
            <w:pPr>
              <w:pStyle w:val="ListParagraph"/>
              <w:ind w:left="0"/>
              <w:rPr>
                <w:rFonts w:ascii="Times New Roman" w:hAnsi="Times New Roman"/>
                <w:sz w:val="24"/>
              </w:rPr>
            </w:pPr>
            <w:r>
              <w:rPr>
                <w:rFonts w:ascii="Times New Roman" w:hAnsi="Times New Roman"/>
                <w:sz w:val="24"/>
              </w:rPr>
              <w:t>Autres expositions sur la clientèle de détail reflétant les dispositions de l'article 147, paragraphe 2, point d), en conjonction avec l'article 153, paragraphe 3, du CRR.</w:t>
            </w:r>
          </w:p>
        </w:tc>
      </w:tr>
      <w:tr w:rsidR="001A6C53" w:rsidRPr="00392FFD" w:rsidTr="008D2F6E">
        <w:tc>
          <w:tcPr>
            <w:tcW w:w="1188" w:type="dxa"/>
          </w:tcPr>
          <w:p w:rsidR="001A6C53" w:rsidRPr="00392FFD" w:rsidRDefault="001A6C53" w:rsidP="008D2F6E">
            <w:pPr>
              <w:rPr>
                <w:rFonts w:ascii="Times New Roman" w:hAnsi="Times New Roman"/>
                <w:sz w:val="24"/>
              </w:rPr>
            </w:pPr>
            <w:r>
              <w:rPr>
                <w:rFonts w:ascii="Times New Roman" w:hAnsi="Times New Roman"/>
                <w:sz w:val="24"/>
              </w:rPr>
              <w:t>130</w:t>
            </w:r>
          </w:p>
        </w:tc>
        <w:tc>
          <w:tcPr>
            <w:tcW w:w="8640"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Non PME</w:t>
            </w:r>
          </w:p>
          <w:p w:rsidR="001A6C53" w:rsidRPr="00392FFD" w:rsidRDefault="001A6C53" w:rsidP="008D2F6E">
            <w:pPr>
              <w:rPr>
                <w:rFonts w:ascii="Times New Roman" w:hAnsi="Times New Roman"/>
                <w:sz w:val="24"/>
              </w:rPr>
            </w:pPr>
            <w:r>
              <w:rPr>
                <w:rFonts w:ascii="Times New Roman" w:hAnsi="Times New Roman"/>
                <w:sz w:val="24"/>
              </w:rPr>
              <w:t>Autres expositions sur la clientèle de détail reflétant les dispositions de l'article 147, paragraphe 2, point d), du CRR.</w:t>
            </w:r>
          </w:p>
        </w:tc>
      </w:tr>
      <w:tr w:rsidR="001A6C53" w:rsidRPr="00392FFD" w:rsidTr="008D2F6E">
        <w:tc>
          <w:tcPr>
            <w:tcW w:w="1188"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rPr>
                <w:rFonts w:ascii="Times New Roman" w:hAnsi="Times New Roman"/>
                <w:sz w:val="24"/>
              </w:rPr>
            </w:pPr>
            <w:r>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rPr>
                <w:rFonts w:ascii="Times New Roman" w:hAnsi="Times New Roman"/>
                <w:b/>
                <w:sz w:val="24"/>
                <w:u w:val="single"/>
              </w:rPr>
            </w:pPr>
            <w:r>
              <w:rPr>
                <w:rFonts w:ascii="Times New Roman" w:hAnsi="Times New Roman"/>
                <w:b/>
                <w:sz w:val="24"/>
                <w:u w:val="single"/>
              </w:rPr>
              <w:t>Actions</w:t>
            </w:r>
          </w:p>
          <w:p w:rsidR="001A6C53" w:rsidRPr="00392FFD" w:rsidRDefault="001A6C53" w:rsidP="008D2F6E">
            <w:pPr>
              <w:rPr>
                <w:rFonts w:ascii="Times New Roman" w:hAnsi="Times New Roman"/>
                <w:b/>
                <w:sz w:val="24"/>
                <w:u w:val="single"/>
              </w:rPr>
            </w:pPr>
            <w:r>
              <w:rPr>
                <w:rFonts w:ascii="Times New Roman" w:hAnsi="Times New Roman"/>
                <w:sz w:val="24"/>
              </w:rPr>
              <w:t>Expositions sous forme d'actions reflétant les dispositions de l'article 147, par</w:t>
            </w:r>
            <w:r>
              <w:rPr>
                <w:rFonts w:ascii="Times New Roman" w:hAnsi="Times New Roman"/>
                <w:sz w:val="24"/>
              </w:rPr>
              <w:t>a</w:t>
            </w:r>
            <w:r>
              <w:rPr>
                <w:rFonts w:ascii="Times New Roman" w:hAnsi="Times New Roman"/>
                <w:sz w:val="24"/>
              </w:rPr>
              <w:t>graphe 2, point e), du CRR.</w:t>
            </w:r>
          </w:p>
        </w:tc>
      </w:tr>
      <w:tr w:rsidR="001A6C53" w:rsidRPr="00392FFD" w:rsidTr="008D2F6E">
        <w:tc>
          <w:tcPr>
            <w:tcW w:w="1188"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rPr>
                <w:rFonts w:ascii="Times New Roman" w:hAnsi="Times New Roman"/>
                <w:sz w:val="24"/>
              </w:rPr>
            </w:pPr>
            <w:r>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rPr>
                <w:rFonts w:ascii="Times New Roman" w:hAnsi="Times New Roman"/>
                <w:b/>
                <w:sz w:val="24"/>
                <w:u w:val="single"/>
              </w:rPr>
            </w:pPr>
            <w:r>
              <w:rPr>
                <w:rFonts w:ascii="Times New Roman" w:hAnsi="Times New Roman"/>
                <w:b/>
                <w:sz w:val="24"/>
                <w:u w:val="single"/>
              </w:rPr>
              <w:t>Total des expositions</w:t>
            </w:r>
          </w:p>
          <w:p w:rsidR="001A6C53" w:rsidRPr="00392FFD" w:rsidRDefault="001A6C53" w:rsidP="008D2F6E">
            <w:pPr>
              <w:rPr>
                <w:rFonts w:ascii="Times New Roman" w:hAnsi="Times New Roman"/>
                <w:b/>
                <w:sz w:val="24"/>
                <w:u w:val="single"/>
              </w:rPr>
            </w:pPr>
          </w:p>
        </w:tc>
      </w:tr>
    </w:tbl>
    <w:p w:rsidR="001A6C53" w:rsidRPr="00392FFD" w:rsidRDefault="001A6C53" w:rsidP="001A6C53">
      <w:pPr>
        <w:spacing w:before="0" w:after="200" w:line="312" w:lineRule="auto"/>
        <w:jc w:val="left"/>
        <w:rPr>
          <w:rFonts w:ascii="Times New Roman" w:hAnsi="Times New Roman"/>
          <w:sz w:val="24"/>
        </w:rPr>
      </w:pPr>
    </w:p>
    <w:p w:rsidR="001A6C53" w:rsidRPr="00392FFD" w:rsidRDefault="001A6C53" w:rsidP="001A6C53">
      <w:pPr>
        <w:pStyle w:val="Instructionsberschrift2"/>
        <w:numPr>
          <w:ilvl w:val="0"/>
          <w:numId w:val="0"/>
        </w:numPr>
        <w:ind w:left="357" w:hanging="357"/>
        <w:rPr>
          <w:rFonts w:ascii="Times New Roman" w:hAnsi="Times New Roman" w:cs="Times New Roman"/>
          <w:sz w:val="24"/>
        </w:rPr>
      </w:pPr>
      <w:bookmarkStart w:id="382" w:name="_Toc524104191"/>
      <w:r>
        <w:rPr>
          <w:rFonts w:ascii="Times New Roman" w:hAnsi="Times New Roman"/>
          <w:sz w:val="24"/>
          <w:u w:val="none"/>
        </w:rPr>
        <w:t>3.4.3.</w:t>
      </w:r>
      <w:r w:rsidRPr="002C520A">
        <w:rPr>
          <w:u w:val="none"/>
        </w:rPr>
        <w:tab/>
      </w:r>
      <w:r>
        <w:rPr>
          <w:rFonts w:ascii="Times New Roman" w:hAnsi="Times New Roman"/>
          <w:sz w:val="24"/>
        </w:rPr>
        <w:t xml:space="preserve">C 09.04 – Répartition des expositions de crédit pertinentes pour le calcul du coussin </w:t>
      </w:r>
      <w:proofErr w:type="spellStart"/>
      <w:r>
        <w:rPr>
          <w:rFonts w:ascii="Times New Roman" w:hAnsi="Times New Roman"/>
          <w:sz w:val="24"/>
        </w:rPr>
        <w:t>contracyclique</w:t>
      </w:r>
      <w:proofErr w:type="spellEnd"/>
      <w:r>
        <w:rPr>
          <w:rFonts w:ascii="Times New Roman" w:hAnsi="Times New Roman"/>
          <w:sz w:val="24"/>
        </w:rPr>
        <w:t xml:space="preserve"> par pays et du taux de coussin </w:t>
      </w:r>
      <w:proofErr w:type="spellStart"/>
      <w:r>
        <w:rPr>
          <w:rFonts w:ascii="Times New Roman" w:hAnsi="Times New Roman"/>
          <w:sz w:val="24"/>
        </w:rPr>
        <w:t>contracyclique</w:t>
      </w:r>
      <w:proofErr w:type="spellEnd"/>
      <w:r>
        <w:rPr>
          <w:rFonts w:ascii="Times New Roman" w:hAnsi="Times New Roman"/>
          <w:sz w:val="24"/>
        </w:rPr>
        <w:t xml:space="preserve"> spécifique à l'établissement (CCB)</w:t>
      </w:r>
      <w:bookmarkEnd w:id="382"/>
    </w:p>
    <w:p w:rsidR="001A6C53" w:rsidRPr="00392FFD" w:rsidRDefault="001A6C53" w:rsidP="001A6C53">
      <w:pPr>
        <w:pStyle w:val="Instructionsberschrift2"/>
        <w:numPr>
          <w:ilvl w:val="0"/>
          <w:numId w:val="0"/>
        </w:numPr>
        <w:ind w:left="357" w:hanging="357"/>
        <w:rPr>
          <w:rFonts w:ascii="Times New Roman" w:hAnsi="Times New Roman" w:cs="Times New Roman"/>
          <w:sz w:val="24"/>
        </w:rPr>
      </w:pPr>
      <w:bookmarkStart w:id="383" w:name="_Toc524104192"/>
      <w:r>
        <w:rPr>
          <w:rFonts w:ascii="Times New Roman" w:hAnsi="Times New Roman"/>
          <w:sz w:val="24"/>
          <w:u w:val="none"/>
        </w:rPr>
        <w:t>3.4.3.1.</w:t>
      </w:r>
      <w:r w:rsidRPr="002C520A">
        <w:rPr>
          <w:u w:val="none"/>
        </w:rPr>
        <w:tab/>
      </w:r>
      <w:r>
        <w:rPr>
          <w:rFonts w:ascii="Times New Roman" w:hAnsi="Times New Roman"/>
          <w:sz w:val="24"/>
        </w:rPr>
        <w:t>Remarques générales</w:t>
      </w:r>
      <w:bookmarkEnd w:id="383"/>
    </w:p>
    <w:p w:rsidR="001A6C53" w:rsidRPr="00392FFD" w:rsidRDefault="001A6C53" w:rsidP="001A6C53">
      <w:pPr>
        <w:pStyle w:val="InstructionsText2"/>
        <w:numPr>
          <w:ilvl w:val="0"/>
          <w:numId w:val="0"/>
        </w:numPr>
        <w:ind w:left="993"/>
      </w:pPr>
      <w:r>
        <w:t>82.</w:t>
      </w:r>
      <w:r>
        <w:tab/>
        <w:t xml:space="preserve">Ce tableau a pour objectif de fournir davantage d'informations sur les éléments du coussin de fonds propres </w:t>
      </w:r>
      <w:proofErr w:type="spellStart"/>
      <w:r>
        <w:t>contracyclique</w:t>
      </w:r>
      <w:proofErr w:type="spellEnd"/>
      <w:r>
        <w:t xml:space="preserve"> spécifique à l'établissement. Les info</w:t>
      </w:r>
      <w:r>
        <w:t>r</w:t>
      </w:r>
      <w:r>
        <w:t>mations requises concernent les exigences de fonds propres déterminées confo</w:t>
      </w:r>
      <w:r>
        <w:t>r</w:t>
      </w:r>
      <w:r>
        <w:t>mément à la troisième partie, titre II et titre IV, du CRR et la localisation géogr</w:t>
      </w:r>
      <w:r>
        <w:t>a</w:t>
      </w:r>
      <w:r>
        <w:t xml:space="preserve">phique des expositions de crédit, des expositions de titrisation et des expositions du portefeuille de négociation pertinentes pour le calcul du coussin de fonds propres </w:t>
      </w:r>
      <w:proofErr w:type="spellStart"/>
      <w:r>
        <w:t>contracyclique</w:t>
      </w:r>
      <w:proofErr w:type="spellEnd"/>
      <w:r>
        <w:t xml:space="preserve"> spécifique à l'établissement (CCB) conformément à l'article 140 de la CRD (expositions de crédit pertinentes). </w:t>
      </w:r>
    </w:p>
    <w:p w:rsidR="001A6C53" w:rsidRPr="00392FFD" w:rsidRDefault="001A6C53" w:rsidP="001A6C53">
      <w:pPr>
        <w:pStyle w:val="InstructionsText2"/>
        <w:numPr>
          <w:ilvl w:val="0"/>
          <w:numId w:val="0"/>
        </w:numPr>
        <w:ind w:left="993"/>
      </w:pPr>
      <w:r>
        <w:t>83.</w:t>
      </w:r>
      <w:r>
        <w:tab/>
        <w:t>Les informations du modèle C 09.04 doivent être fournies pour le «total» des expositions de crédit pertinentes dans toutes les juridictions où sont situées ces e</w:t>
      </w:r>
      <w:r>
        <w:t>x</w:t>
      </w:r>
      <w:r>
        <w:t xml:space="preserve">positions, ainsi qu'individuellement pour chacune des juridictions où sont situées les expositions de crédit pertinentes. Les chiffres totaux ainsi que les informations pour chaque juridiction doivent être fournis dans une dimension distincte. </w:t>
      </w:r>
    </w:p>
    <w:p w:rsidR="001A6C53" w:rsidRPr="00392FFD" w:rsidRDefault="001A6C53" w:rsidP="001A6C53">
      <w:pPr>
        <w:pStyle w:val="InstructionsText2"/>
        <w:numPr>
          <w:ilvl w:val="0"/>
          <w:numId w:val="0"/>
        </w:numPr>
        <w:ind w:left="993"/>
      </w:pPr>
      <w:r>
        <w:lastRenderedPageBreak/>
        <w:t>84.</w:t>
      </w:r>
      <w:r>
        <w:tab/>
        <w:t>Le seuil fixé à l'article 5, point a), point 4), du présent règlement ne s'applique pas pour la déclaration de cette répartition.</w:t>
      </w:r>
    </w:p>
    <w:p w:rsidR="001A6C53" w:rsidRPr="00392FFD" w:rsidRDefault="001A6C53" w:rsidP="001A6C53">
      <w:pPr>
        <w:pStyle w:val="InstructionsText2"/>
        <w:numPr>
          <w:ilvl w:val="0"/>
          <w:numId w:val="0"/>
        </w:numPr>
        <w:ind w:left="993"/>
      </w:pPr>
      <w:r>
        <w:t>85.</w:t>
      </w:r>
      <w:r>
        <w:tab/>
        <w:t xml:space="preserve">Afin de déterminer la localisation géographique, les expositions sont affectées sur la base du débiteur immédiat tel que prévu au règlement délégué (UE) nº 1152/2014 de la Commission du 4 juin 2014 précisant la méthode à utiliser pour déterminer la localisation géographique des expositions de crédit pertinentes aux fins du calcul du taux de coussin de fonds propres </w:t>
      </w:r>
      <w:proofErr w:type="spellStart"/>
      <w:r>
        <w:t>contracyclique</w:t>
      </w:r>
      <w:proofErr w:type="spellEnd"/>
      <w:r>
        <w:t xml:space="preserve"> spécifique à l'ét</w:t>
      </w:r>
      <w:r>
        <w:t>a</w:t>
      </w:r>
      <w:r>
        <w:t>blissement. Dès lors, les techniques d'ARC ne changent pas l'affectation d'une e</w:t>
      </w:r>
      <w:r>
        <w:t>x</w:t>
      </w:r>
      <w:r>
        <w:t>position à une localisation géographique aux fins de la déclaration des informations que prévoit ce modèle.</w:t>
      </w:r>
    </w:p>
    <w:p w:rsidR="001A6C53" w:rsidRPr="00392FFD" w:rsidRDefault="001A6C53" w:rsidP="001A6C53">
      <w:pPr>
        <w:pStyle w:val="Instructionsberschrift2"/>
        <w:numPr>
          <w:ilvl w:val="0"/>
          <w:numId w:val="0"/>
        </w:numPr>
        <w:ind w:left="357" w:hanging="357"/>
        <w:rPr>
          <w:rFonts w:ascii="Times New Roman" w:hAnsi="Times New Roman" w:cs="Times New Roman"/>
          <w:sz w:val="24"/>
        </w:rPr>
      </w:pPr>
      <w:bookmarkStart w:id="384" w:name="_Toc524104193"/>
      <w:r>
        <w:rPr>
          <w:rFonts w:ascii="Times New Roman" w:hAnsi="Times New Roman"/>
          <w:sz w:val="24"/>
          <w:u w:val="none"/>
        </w:rPr>
        <w:t>3.4.3.2.</w:t>
      </w:r>
      <w:r w:rsidRPr="007E2661">
        <w:rPr>
          <w:u w:val="none"/>
        </w:rPr>
        <w:tab/>
      </w:r>
      <w:r>
        <w:rPr>
          <w:rFonts w:ascii="Times New Roman" w:hAnsi="Times New Roman"/>
          <w:sz w:val="24"/>
        </w:rPr>
        <w:t>Instructions concernant certaines positions</w:t>
      </w:r>
      <w:bookmarkEnd w:id="38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1A6C53" w:rsidRPr="00392FFD" w:rsidTr="008D2F6E">
        <w:tc>
          <w:tcPr>
            <w:tcW w:w="1697" w:type="dxa"/>
            <w:shd w:val="clear" w:color="auto" w:fill="CCCCCC"/>
          </w:tcPr>
          <w:p w:rsidR="001A6C53" w:rsidRPr="00392FFD" w:rsidRDefault="001A6C53" w:rsidP="008D2F6E">
            <w:pPr>
              <w:rPr>
                <w:rFonts w:ascii="Times New Roman" w:hAnsi="Times New Roman"/>
                <w:b/>
                <w:sz w:val="24"/>
              </w:rPr>
            </w:pPr>
            <w:r>
              <w:rPr>
                <w:rFonts w:ascii="Times New Roman" w:hAnsi="Times New Roman"/>
                <w:b/>
                <w:sz w:val="24"/>
              </w:rPr>
              <w:t>Colonnes</w:t>
            </w:r>
          </w:p>
        </w:tc>
        <w:tc>
          <w:tcPr>
            <w:tcW w:w="8131" w:type="dxa"/>
            <w:shd w:val="clear" w:color="auto" w:fill="CCCCCC"/>
          </w:tcPr>
          <w:p w:rsidR="001A6C53" w:rsidRPr="00392FFD" w:rsidRDefault="001A6C53" w:rsidP="008D2F6E">
            <w:pPr>
              <w:ind w:left="72"/>
              <w:rPr>
                <w:rFonts w:ascii="Times New Roman" w:hAnsi="Times New Roman"/>
                <w:sz w:val="24"/>
              </w:rPr>
            </w:pPr>
          </w:p>
        </w:tc>
      </w:tr>
      <w:tr w:rsidR="001A6C53" w:rsidRPr="00392FFD" w:rsidTr="008D2F6E">
        <w:tc>
          <w:tcPr>
            <w:tcW w:w="1697" w:type="dxa"/>
          </w:tcPr>
          <w:p w:rsidR="001A6C53" w:rsidRPr="00392FFD" w:rsidRDefault="001A6C53" w:rsidP="008D2F6E">
            <w:pPr>
              <w:rPr>
                <w:rStyle w:val="InstructionsTabelleText"/>
                <w:rFonts w:ascii="Times New Roman" w:hAnsi="Times New Roman"/>
                <w:sz w:val="24"/>
              </w:rPr>
            </w:pPr>
            <w:r>
              <w:rPr>
                <w:rFonts w:ascii="Times New Roman" w:hAnsi="Times New Roman"/>
                <w:sz w:val="24"/>
              </w:rPr>
              <w:t>010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Montant</w:t>
            </w:r>
          </w:p>
          <w:p w:rsidR="001A6C53" w:rsidRPr="00392FFD" w:rsidRDefault="001A6C53" w:rsidP="008D2F6E">
            <w:pPr>
              <w:rPr>
                <w:rFonts w:ascii="Times New Roman" w:hAnsi="Times New Roman"/>
                <w:b/>
                <w:sz w:val="24"/>
                <w:u w:val="single"/>
              </w:rPr>
            </w:pPr>
            <w:r>
              <w:rPr>
                <w:rFonts w:ascii="Times New Roman" w:hAnsi="Times New Roman"/>
                <w:sz w:val="24"/>
              </w:rPr>
              <w:t>La valeur des expositions de crédit pertinentes et des exigences de fonds propres qui y sont associées, conformément aux instructions pour la ligne concernée.</w:t>
            </w:r>
          </w:p>
        </w:tc>
      </w:tr>
      <w:tr w:rsidR="001A6C53" w:rsidRPr="00392FFD" w:rsidTr="008D2F6E">
        <w:tc>
          <w:tcPr>
            <w:tcW w:w="1697" w:type="dxa"/>
          </w:tcPr>
          <w:p w:rsidR="001A6C53" w:rsidRPr="00392FFD" w:rsidRDefault="001A6C53" w:rsidP="008D2F6E">
            <w:pPr>
              <w:rPr>
                <w:sz w:val="24"/>
              </w:rPr>
            </w:pPr>
            <w:r>
              <w:rPr>
                <w:rFonts w:ascii="Times New Roman" w:hAnsi="Times New Roman"/>
                <w:sz w:val="24"/>
              </w:rPr>
              <w:t>020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Pourcentage</w:t>
            </w:r>
          </w:p>
          <w:p w:rsidR="001A6C53" w:rsidRPr="00392FFD" w:rsidRDefault="001A6C53" w:rsidP="008D2F6E">
            <w:pPr>
              <w:rPr>
                <w:rFonts w:ascii="Times New Roman" w:hAnsi="Times New Roman"/>
                <w:b/>
                <w:bCs/>
                <w:sz w:val="24"/>
                <w:u w:val="single"/>
              </w:rPr>
            </w:pP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t>030</w:t>
            </w:r>
          </w:p>
        </w:tc>
        <w:tc>
          <w:tcPr>
            <w:tcW w:w="8131" w:type="dxa"/>
          </w:tcPr>
          <w:p w:rsidR="001A6C53" w:rsidRPr="00392FFD" w:rsidRDefault="001A6C53" w:rsidP="008D2F6E">
            <w:pPr>
              <w:autoSpaceDE w:val="0"/>
              <w:autoSpaceDN w:val="0"/>
              <w:adjustRightInd w:val="0"/>
              <w:rPr>
                <w:rFonts w:ascii="Times New Roman" w:hAnsi="Times New Roman"/>
                <w:b/>
                <w:bCs/>
                <w:sz w:val="24"/>
                <w:u w:val="single"/>
              </w:rPr>
            </w:pPr>
            <w:r>
              <w:rPr>
                <w:rFonts w:ascii="Times New Roman" w:hAnsi="Times New Roman"/>
                <w:b/>
                <w:sz w:val="24"/>
                <w:u w:val="single"/>
              </w:rPr>
              <w:t>Informations qualitatives</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Ces informations ne sont à fournir que pour le pays de résidence de l'établiss</w:t>
            </w:r>
            <w:r>
              <w:rPr>
                <w:rFonts w:ascii="Times New Roman" w:hAnsi="Times New Roman"/>
                <w:sz w:val="24"/>
              </w:rPr>
              <w:t>e</w:t>
            </w:r>
            <w:r>
              <w:rPr>
                <w:rFonts w:ascii="Times New Roman" w:hAnsi="Times New Roman"/>
                <w:sz w:val="24"/>
              </w:rPr>
              <w:t xml:space="preserve">ment (la juridiction correspondant à son État membre d'origine) et le «total» de tous les pays. </w:t>
            </w:r>
          </w:p>
          <w:p w:rsidR="001A6C53" w:rsidRPr="00392FFD" w:rsidRDefault="001A6C53" w:rsidP="008D2F6E">
            <w:pPr>
              <w:autoSpaceDE w:val="0"/>
              <w:autoSpaceDN w:val="0"/>
              <w:adjustRightInd w:val="0"/>
              <w:rPr>
                <w:rFonts w:ascii="Times New Roman" w:hAnsi="Times New Roman"/>
                <w:b/>
                <w:bCs/>
                <w:sz w:val="24"/>
                <w:u w:val="single"/>
              </w:rPr>
            </w:pPr>
            <w:r>
              <w:rPr>
                <w:rFonts w:ascii="Times New Roman" w:hAnsi="Times New Roman"/>
                <w:sz w:val="24"/>
              </w:rPr>
              <w:t>Les établissements déclarent soit {y}, soit {n}, conformément aux instructions pour la ligne correspondante.</w:t>
            </w:r>
          </w:p>
        </w:tc>
      </w:tr>
    </w:tbl>
    <w:p w:rsidR="001A6C53" w:rsidRPr="00392FFD" w:rsidRDefault="001A6C53" w:rsidP="001A6C53">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1A6C53" w:rsidRPr="00392FFD" w:rsidTr="008D2F6E">
        <w:tc>
          <w:tcPr>
            <w:tcW w:w="1697" w:type="dxa"/>
            <w:shd w:val="clear" w:color="auto" w:fill="CCCCCC"/>
          </w:tcPr>
          <w:p w:rsidR="001A6C53" w:rsidRPr="00392FFD" w:rsidRDefault="001A6C53" w:rsidP="008D2F6E">
            <w:pPr>
              <w:rPr>
                <w:rFonts w:ascii="Times New Roman" w:hAnsi="Times New Roman"/>
                <w:b/>
                <w:sz w:val="24"/>
              </w:rPr>
            </w:pPr>
            <w:r>
              <w:rPr>
                <w:rFonts w:ascii="Times New Roman" w:hAnsi="Times New Roman"/>
                <w:b/>
                <w:sz w:val="24"/>
              </w:rPr>
              <w:t>Lignes</w:t>
            </w:r>
          </w:p>
        </w:tc>
        <w:tc>
          <w:tcPr>
            <w:tcW w:w="8131" w:type="dxa"/>
            <w:shd w:val="clear" w:color="auto" w:fill="CCCCCC"/>
          </w:tcPr>
          <w:p w:rsidR="001A6C53" w:rsidRPr="00392FFD" w:rsidRDefault="001A6C53" w:rsidP="008D2F6E">
            <w:pPr>
              <w:ind w:left="72"/>
              <w:rPr>
                <w:rFonts w:ascii="Times New Roman" w:hAnsi="Times New Roman"/>
                <w:sz w:val="24"/>
              </w:rPr>
            </w:pPr>
          </w:p>
        </w:tc>
      </w:tr>
      <w:tr w:rsidR="001A6C53" w:rsidRPr="00392FFD" w:rsidTr="008D2F6E">
        <w:tc>
          <w:tcPr>
            <w:tcW w:w="1697" w:type="dxa"/>
          </w:tcPr>
          <w:p w:rsidR="001A6C53" w:rsidRPr="00392FFD" w:rsidRDefault="001A6C53" w:rsidP="008D2F6E">
            <w:pPr>
              <w:rPr>
                <w:rStyle w:val="InstructionsTabelleText"/>
                <w:rFonts w:ascii="Times New Roman" w:hAnsi="Times New Roman"/>
                <w:sz w:val="24"/>
              </w:rPr>
            </w:pPr>
            <w:r>
              <w:rPr>
                <w:rFonts w:ascii="Times New Roman" w:hAnsi="Times New Roman"/>
                <w:sz w:val="24"/>
              </w:rPr>
              <w:t>010-020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Expositions de crédit pertinentes – risque de crédit</w:t>
            </w:r>
          </w:p>
          <w:p w:rsidR="001A6C53" w:rsidRPr="00392FFD" w:rsidRDefault="001A6C53" w:rsidP="008D2F6E">
            <w:pPr>
              <w:rPr>
                <w:rFonts w:ascii="Times New Roman" w:hAnsi="Times New Roman"/>
                <w:b/>
                <w:sz w:val="24"/>
                <w:u w:val="single"/>
              </w:rPr>
            </w:pPr>
            <w:r>
              <w:rPr>
                <w:rFonts w:ascii="Times New Roman" w:hAnsi="Times New Roman"/>
                <w:sz w:val="24"/>
              </w:rPr>
              <w:t>Expositions de crédit pertinentes définies conformément à l'article 140, par</w:t>
            </w:r>
            <w:r>
              <w:rPr>
                <w:rFonts w:ascii="Times New Roman" w:hAnsi="Times New Roman"/>
                <w:sz w:val="24"/>
              </w:rPr>
              <w:t>a</w:t>
            </w:r>
            <w:r>
              <w:rPr>
                <w:rFonts w:ascii="Times New Roman" w:hAnsi="Times New Roman"/>
                <w:sz w:val="24"/>
              </w:rPr>
              <w:t>graphe 4, point a), de la CRD.</w:t>
            </w:r>
          </w:p>
        </w:tc>
      </w:tr>
      <w:tr w:rsidR="001A6C53" w:rsidRPr="00392FFD" w:rsidTr="008D2F6E">
        <w:tc>
          <w:tcPr>
            <w:tcW w:w="1697" w:type="dxa"/>
          </w:tcPr>
          <w:p w:rsidR="001A6C53" w:rsidRPr="00392FFD" w:rsidRDefault="001A6C53" w:rsidP="008D2F6E">
            <w:pPr>
              <w:rPr>
                <w:sz w:val="24"/>
              </w:rPr>
            </w:pPr>
            <w:r>
              <w:rPr>
                <w:rFonts w:ascii="Times New Roman" w:hAnsi="Times New Roman"/>
                <w:sz w:val="24"/>
              </w:rPr>
              <w:t>010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Valeur exposée au risque selon l'approche standard</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Valeur exposée au risque déterminée conformément à l'article 111 du CRR, pour les expositions de crédit pertinentes définies conformément à l'article 140, par</w:t>
            </w:r>
            <w:r>
              <w:rPr>
                <w:rFonts w:ascii="Times New Roman" w:hAnsi="Times New Roman"/>
                <w:sz w:val="24"/>
              </w:rPr>
              <w:t>a</w:t>
            </w:r>
            <w:r>
              <w:rPr>
                <w:rFonts w:ascii="Times New Roman" w:hAnsi="Times New Roman"/>
                <w:sz w:val="24"/>
              </w:rPr>
              <w:t xml:space="preserve">graphe 4, point a), de la CRD. </w:t>
            </w:r>
          </w:p>
          <w:p w:rsidR="001A6C53" w:rsidRPr="00392FFD" w:rsidRDefault="001A6C53" w:rsidP="008D2F6E">
            <w:pPr>
              <w:autoSpaceDE w:val="0"/>
              <w:autoSpaceDN w:val="0"/>
              <w:adjustRightInd w:val="0"/>
              <w:rPr>
                <w:rFonts w:ascii="Times New Roman" w:hAnsi="Times New Roman"/>
                <w:b/>
                <w:bCs/>
                <w:sz w:val="24"/>
                <w:u w:val="single"/>
              </w:rPr>
            </w:pPr>
            <w:r>
              <w:rPr>
                <w:rFonts w:ascii="Times New Roman" w:hAnsi="Times New Roman"/>
                <w:sz w:val="24"/>
              </w:rPr>
              <w:t>La valeur exposée au risque des positions de titrisation dans le portefeuille d'intermédiation bancaire, selon l'approche standard, est exclue de cette ligne et déclarée à la ligne 050.</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t>020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Valeur exposée au risque selon l'approche NI</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 xml:space="preserve">Valeur exposée au risque déterminée conformément à l'article 166 du CRR, pour </w:t>
            </w:r>
            <w:r>
              <w:rPr>
                <w:rFonts w:ascii="Times New Roman" w:hAnsi="Times New Roman"/>
                <w:sz w:val="24"/>
              </w:rPr>
              <w:lastRenderedPageBreak/>
              <w:t>les expositions de crédit pertinentes définies conformément à l'article 140, par</w:t>
            </w:r>
            <w:r>
              <w:rPr>
                <w:rFonts w:ascii="Times New Roman" w:hAnsi="Times New Roman"/>
                <w:sz w:val="24"/>
              </w:rPr>
              <w:t>a</w:t>
            </w:r>
            <w:r>
              <w:rPr>
                <w:rFonts w:ascii="Times New Roman" w:hAnsi="Times New Roman"/>
                <w:sz w:val="24"/>
              </w:rPr>
              <w:t xml:space="preserve">graphe 4, point a), de la CRD. </w:t>
            </w:r>
          </w:p>
          <w:p w:rsidR="001A6C53" w:rsidRPr="00392FFD" w:rsidRDefault="001A6C53" w:rsidP="008D2F6E">
            <w:pPr>
              <w:rPr>
                <w:rFonts w:ascii="Times New Roman" w:hAnsi="Times New Roman"/>
                <w:b/>
                <w:bCs/>
                <w:sz w:val="24"/>
                <w:u w:val="single"/>
              </w:rPr>
            </w:pPr>
            <w:r>
              <w:rPr>
                <w:rFonts w:ascii="Times New Roman" w:hAnsi="Times New Roman"/>
                <w:sz w:val="24"/>
              </w:rPr>
              <w:t>La valeur exposée au risque des positions de titrisation dans le portefeuille d'intermédiation bancaire, selon NI, est exclue de cette ligne et déclarée à la ligne 060.</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lastRenderedPageBreak/>
              <w:t>030-040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Expositions de crédit pertinentes – risque de marché</w:t>
            </w:r>
          </w:p>
          <w:p w:rsidR="001A6C53" w:rsidRPr="00392FFD" w:rsidRDefault="001A6C53" w:rsidP="008D2F6E">
            <w:pPr>
              <w:rPr>
                <w:rFonts w:ascii="Times New Roman" w:hAnsi="Times New Roman"/>
                <w:b/>
                <w:bCs/>
                <w:sz w:val="24"/>
                <w:u w:val="single"/>
              </w:rPr>
            </w:pPr>
            <w:r>
              <w:rPr>
                <w:rFonts w:ascii="Times New Roman" w:hAnsi="Times New Roman"/>
                <w:sz w:val="24"/>
              </w:rPr>
              <w:t>Expositions de crédit pertinentes définies conformément à l'article 140, par</w:t>
            </w:r>
            <w:r>
              <w:rPr>
                <w:rFonts w:ascii="Times New Roman" w:hAnsi="Times New Roman"/>
                <w:sz w:val="24"/>
              </w:rPr>
              <w:t>a</w:t>
            </w:r>
            <w:r>
              <w:rPr>
                <w:rFonts w:ascii="Times New Roman" w:hAnsi="Times New Roman"/>
                <w:sz w:val="24"/>
              </w:rPr>
              <w:t>graphe 4, point b), de la CRD.</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t>030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Somme des positions longues et courtes des expositions du portefeuille de n</w:t>
            </w:r>
            <w:r>
              <w:rPr>
                <w:rFonts w:ascii="Times New Roman" w:hAnsi="Times New Roman"/>
                <w:b/>
                <w:sz w:val="24"/>
                <w:u w:val="single"/>
              </w:rPr>
              <w:t>é</w:t>
            </w:r>
            <w:r>
              <w:rPr>
                <w:rFonts w:ascii="Times New Roman" w:hAnsi="Times New Roman"/>
                <w:b/>
                <w:sz w:val="24"/>
                <w:u w:val="single"/>
              </w:rPr>
              <w:t>gociation pour les approches standard</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La somme des positions nette longue et nette courte conformément à l'article 327 du CRR des expositions de crédit pertinentes définies conformément à l'a</w:t>
            </w:r>
            <w:r>
              <w:rPr>
                <w:rFonts w:ascii="Times New Roman" w:hAnsi="Times New Roman"/>
                <w:sz w:val="24"/>
              </w:rPr>
              <w:t>r</w:t>
            </w:r>
            <w:r>
              <w:rPr>
                <w:rFonts w:ascii="Times New Roman" w:hAnsi="Times New Roman"/>
                <w:sz w:val="24"/>
              </w:rPr>
              <w:t xml:space="preserve">ticle 140, paragraphe 4, point b), de la CRD, en vertu de la troisième partie, titre IV, chapitre 2 du CRR: </w:t>
            </w:r>
          </w:p>
          <w:p w:rsidR="001A6C53" w:rsidRPr="00125707" w:rsidRDefault="001A6C53" w:rsidP="008D2F6E">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les expositions sur des titres de créance autres que des titrisations, </w:t>
            </w:r>
          </w:p>
          <w:p w:rsidR="001A6C53" w:rsidRPr="00125707" w:rsidRDefault="001A6C53" w:rsidP="008D2F6E">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les expositions sur des positions de titrisation dans le portefeuille de négoci</w:t>
            </w:r>
            <w:r>
              <w:rPr>
                <w:rFonts w:ascii="Times New Roman" w:hAnsi="Times New Roman"/>
                <w:sz w:val="24"/>
              </w:rPr>
              <w:t>a</w:t>
            </w:r>
            <w:r>
              <w:rPr>
                <w:rFonts w:ascii="Times New Roman" w:hAnsi="Times New Roman"/>
                <w:sz w:val="24"/>
              </w:rPr>
              <w:t xml:space="preserve">tion, </w:t>
            </w:r>
          </w:p>
          <w:p w:rsidR="001A6C53" w:rsidRPr="00125707" w:rsidRDefault="001A6C53" w:rsidP="008D2F6E">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les expositions sur les portefeuilles de négociation en corrélation,</w:t>
            </w:r>
          </w:p>
          <w:p w:rsidR="001A6C53" w:rsidRPr="00125707" w:rsidRDefault="001A6C53" w:rsidP="008D2F6E">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les expositions sur les actions, et</w:t>
            </w:r>
          </w:p>
          <w:p w:rsidR="001A6C53" w:rsidRPr="00125707" w:rsidRDefault="001A6C53" w:rsidP="008D2F6E">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les expositions sur les OPC, lorsque les exigences de fonds propres sont calc</w:t>
            </w:r>
            <w:r>
              <w:rPr>
                <w:rFonts w:ascii="Times New Roman" w:hAnsi="Times New Roman"/>
                <w:sz w:val="24"/>
              </w:rPr>
              <w:t>u</w:t>
            </w:r>
            <w:r>
              <w:rPr>
                <w:rFonts w:ascii="Times New Roman" w:hAnsi="Times New Roman"/>
                <w:sz w:val="24"/>
              </w:rPr>
              <w:t>lées conformément à l'article 348 du CRR.</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t>040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Valeur des expositions du portefeuille de négociation selon les approches fondées sur un modèle interne</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La somme des éléments suivants doit être déclarée pour les expositions de crédit pertinentes définies conformément à l'article 140, paragraphe 4, point b), de la CRD, en vertu de la troisième partie, titre IV, chapitres 2 et 5 du CRR:</w:t>
            </w:r>
          </w:p>
          <w:p w:rsidR="001A6C53" w:rsidRPr="00125707" w:rsidRDefault="001A6C53" w:rsidP="008D2F6E">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la juste valeur des positions sur non-dérivés qui représentent des expositions de crédit pertinentes telles que définies à l'article 140, paragraphe 4, point b), de la CRD déterminées conformément à l'article 104 du CRR.</w:t>
            </w:r>
          </w:p>
          <w:p w:rsidR="001A6C53" w:rsidRPr="00125707" w:rsidRDefault="001A6C53" w:rsidP="008D2F6E">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la valeur notionnelle des dérivés qui représentent des expositions de crédit pertinentes définies conformément à l'article 140, paragraphe 4, point b), de la CRD.</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t>050-060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Expositions de crédit pertinentes – positions de titrisation dans le portefeuille d'intermédiation bancaire</w:t>
            </w:r>
          </w:p>
          <w:p w:rsidR="001A6C53" w:rsidRPr="00392FFD" w:rsidRDefault="001A6C53" w:rsidP="008D2F6E">
            <w:pPr>
              <w:rPr>
                <w:rFonts w:ascii="Times New Roman" w:hAnsi="Times New Roman"/>
                <w:b/>
                <w:bCs/>
                <w:sz w:val="24"/>
                <w:u w:val="single"/>
              </w:rPr>
            </w:pPr>
            <w:r>
              <w:rPr>
                <w:rFonts w:ascii="Times New Roman" w:hAnsi="Times New Roman"/>
                <w:sz w:val="24"/>
              </w:rPr>
              <w:t>Expositions de crédit pertinentes définies conformément à l'article 140, par</w:t>
            </w:r>
            <w:r>
              <w:rPr>
                <w:rFonts w:ascii="Times New Roman" w:hAnsi="Times New Roman"/>
                <w:sz w:val="24"/>
              </w:rPr>
              <w:t>a</w:t>
            </w:r>
            <w:r>
              <w:rPr>
                <w:rFonts w:ascii="Times New Roman" w:hAnsi="Times New Roman"/>
                <w:sz w:val="24"/>
              </w:rPr>
              <w:t>graphe 4, point c), de la CRD.</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t>050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Valeur exposée au risque des positions de titrisation dans le portefeuille d'intermédiation bancaire selon l'approche standard</w:t>
            </w:r>
          </w:p>
          <w:p w:rsidR="001A6C53" w:rsidRPr="00392FFD" w:rsidRDefault="001A6C53" w:rsidP="008D2F6E">
            <w:pPr>
              <w:rPr>
                <w:rFonts w:ascii="Times New Roman" w:hAnsi="Times New Roman"/>
                <w:b/>
                <w:bCs/>
                <w:sz w:val="24"/>
                <w:u w:val="single"/>
              </w:rPr>
            </w:pPr>
            <w:r>
              <w:rPr>
                <w:rFonts w:ascii="Times New Roman" w:hAnsi="Times New Roman"/>
                <w:sz w:val="24"/>
              </w:rPr>
              <w:t>Valeur exposée au risque déterminée conformément à l'article 246 du CRR, pour les expositions de crédit pertinentes définies conformément à l'article 140, par</w:t>
            </w:r>
            <w:r>
              <w:rPr>
                <w:rFonts w:ascii="Times New Roman" w:hAnsi="Times New Roman"/>
                <w:sz w:val="24"/>
              </w:rPr>
              <w:t>a</w:t>
            </w:r>
            <w:r>
              <w:rPr>
                <w:rFonts w:ascii="Times New Roman" w:hAnsi="Times New Roman"/>
                <w:sz w:val="24"/>
              </w:rPr>
              <w:t xml:space="preserve">graphe 4, point c), de la CRD. </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lastRenderedPageBreak/>
              <w:t>060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Valeur exposée au risque des positions de titrisation dans le portefeuille d'intermédiation bancaire selon l'approche NI</w:t>
            </w:r>
          </w:p>
          <w:p w:rsidR="001A6C53" w:rsidRPr="00392FFD" w:rsidRDefault="001A6C53" w:rsidP="008D2F6E">
            <w:pPr>
              <w:autoSpaceDE w:val="0"/>
              <w:autoSpaceDN w:val="0"/>
              <w:adjustRightInd w:val="0"/>
              <w:rPr>
                <w:rFonts w:ascii="Times New Roman" w:hAnsi="Times New Roman"/>
                <w:b/>
                <w:bCs/>
                <w:sz w:val="24"/>
                <w:u w:val="single"/>
              </w:rPr>
            </w:pPr>
            <w:r>
              <w:rPr>
                <w:rFonts w:ascii="Times New Roman" w:hAnsi="Times New Roman"/>
                <w:sz w:val="24"/>
              </w:rPr>
              <w:t>Valeur exposée au risque déterminée conformément à l'article 246 du CRR, pour les expositions de crédit pertinentes définies conformément à l'article 140, par</w:t>
            </w:r>
            <w:r>
              <w:rPr>
                <w:rFonts w:ascii="Times New Roman" w:hAnsi="Times New Roman"/>
                <w:sz w:val="24"/>
              </w:rPr>
              <w:t>a</w:t>
            </w:r>
            <w:r>
              <w:rPr>
                <w:rFonts w:ascii="Times New Roman" w:hAnsi="Times New Roman"/>
                <w:sz w:val="24"/>
              </w:rPr>
              <w:t xml:space="preserve">graphe 4, point c), de la CRD. </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t>070-110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Exigences et pondérations de fonds propres</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t>070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Total des exigences de fonds propres pour le CCB</w:t>
            </w:r>
          </w:p>
          <w:p w:rsidR="001A6C53" w:rsidRPr="00392FFD" w:rsidRDefault="001A6C53" w:rsidP="008D2F6E">
            <w:pPr>
              <w:rPr>
                <w:rFonts w:ascii="Times New Roman" w:hAnsi="Times New Roman"/>
                <w:b/>
                <w:bCs/>
                <w:sz w:val="24"/>
                <w:u w:val="single"/>
              </w:rPr>
            </w:pPr>
            <w:r>
              <w:rPr>
                <w:rFonts w:ascii="Times New Roman" w:hAnsi="Times New Roman"/>
                <w:sz w:val="24"/>
              </w:rPr>
              <w:t>Somme des lignes 080, 090 et 100.</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t>080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rPr>
              <w:t>Exigences de fonds propres pour les expositions de crédit pertinentes – risque de crédit</w:t>
            </w:r>
            <w:r>
              <w:rPr>
                <w:rFonts w:ascii="Times New Roman" w:hAnsi="Times New Roman"/>
                <w:b/>
                <w:sz w:val="24"/>
                <w:u w:val="single"/>
              </w:rPr>
              <w:t xml:space="preserve"> </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Les exigences de fonds propres déterminées conformément à la troisième partie, titre II, chapitres 1 à 4 et 6 du CRR pour les expositions de crédit pertinentes, d</w:t>
            </w:r>
            <w:r>
              <w:rPr>
                <w:rFonts w:ascii="Times New Roman" w:hAnsi="Times New Roman"/>
                <w:sz w:val="24"/>
              </w:rPr>
              <w:t>é</w:t>
            </w:r>
            <w:r>
              <w:rPr>
                <w:rFonts w:ascii="Times New Roman" w:hAnsi="Times New Roman"/>
                <w:sz w:val="24"/>
              </w:rPr>
              <w:t xml:space="preserve">finies conformément à l'article 140, paragraphe 4, point a), de la CRD, dans le pays en question. </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Les exigences de fonds propres pour les positions de titrisation dans le port</w:t>
            </w:r>
            <w:r>
              <w:rPr>
                <w:rFonts w:ascii="Times New Roman" w:hAnsi="Times New Roman"/>
                <w:sz w:val="24"/>
              </w:rPr>
              <w:t>e</w:t>
            </w:r>
            <w:r>
              <w:rPr>
                <w:rFonts w:ascii="Times New Roman" w:hAnsi="Times New Roman"/>
                <w:sz w:val="24"/>
              </w:rPr>
              <w:t>feuille d'intermédiation bancaire sont exclues de cette ligne et déclarées à la ligne 100.</w:t>
            </w:r>
          </w:p>
          <w:p w:rsidR="001A6C53" w:rsidRPr="00392FFD" w:rsidRDefault="001A6C53" w:rsidP="008D2F6E">
            <w:pPr>
              <w:rPr>
                <w:rFonts w:ascii="Times New Roman" w:hAnsi="Times New Roman"/>
                <w:b/>
                <w:bCs/>
                <w:sz w:val="24"/>
                <w:u w:val="single"/>
              </w:rPr>
            </w:pPr>
            <w:r>
              <w:rPr>
                <w:rFonts w:ascii="Times New Roman" w:hAnsi="Times New Roman"/>
                <w:sz w:val="24"/>
              </w:rPr>
              <w:t>Les exigences de fonds propres sont de 8 % du montant d'exposition pondéré d</w:t>
            </w:r>
            <w:r>
              <w:rPr>
                <w:rFonts w:ascii="Times New Roman" w:hAnsi="Times New Roman"/>
                <w:sz w:val="24"/>
              </w:rPr>
              <w:t>é</w:t>
            </w:r>
            <w:r>
              <w:rPr>
                <w:rFonts w:ascii="Times New Roman" w:hAnsi="Times New Roman"/>
                <w:sz w:val="24"/>
              </w:rPr>
              <w:t>terminé conformément aux dispositions de la troisième partie, titre II, chapitres 1 à 4 et chapitre 6 du CRR.</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t>090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rPr>
              <w:t>Exigences de fonds propres pour les expositions de crédit pertinentes – risque de marché</w:t>
            </w:r>
            <w:r>
              <w:rPr>
                <w:rFonts w:ascii="Times New Roman" w:hAnsi="Times New Roman"/>
                <w:b/>
                <w:sz w:val="24"/>
                <w:u w:val="single"/>
              </w:rPr>
              <w:t xml:space="preserve"> </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Les exigences de fonds propres déterminées conformément à la troisième partie, titre IV, chapitre 2 du CRR pour les risques spécifiques ou conformément à la troisième partie, titre IV, chapitre 5 du CRR pour les risques supplémentaires de défaut et de migration pour les expositions de crédit pertinentes, définies confo</w:t>
            </w:r>
            <w:r>
              <w:rPr>
                <w:rFonts w:ascii="Times New Roman" w:hAnsi="Times New Roman"/>
                <w:sz w:val="24"/>
              </w:rPr>
              <w:t>r</w:t>
            </w:r>
            <w:r>
              <w:rPr>
                <w:rFonts w:ascii="Times New Roman" w:hAnsi="Times New Roman"/>
                <w:sz w:val="24"/>
              </w:rPr>
              <w:t>mément à l'article 140, paragraphe 4, point b), de la CRD, dans le pays en que</w:t>
            </w:r>
            <w:r>
              <w:rPr>
                <w:rFonts w:ascii="Times New Roman" w:hAnsi="Times New Roman"/>
                <w:sz w:val="24"/>
              </w:rPr>
              <w:t>s</w:t>
            </w:r>
            <w:r>
              <w:rPr>
                <w:rFonts w:ascii="Times New Roman" w:hAnsi="Times New Roman"/>
                <w:sz w:val="24"/>
              </w:rPr>
              <w:t xml:space="preserve">tion. </w:t>
            </w:r>
          </w:p>
          <w:p w:rsidR="001A6C53" w:rsidRPr="00392FFD" w:rsidRDefault="001A6C53" w:rsidP="008D2F6E">
            <w:pPr>
              <w:autoSpaceDE w:val="0"/>
              <w:autoSpaceDN w:val="0"/>
              <w:adjustRightInd w:val="0"/>
              <w:rPr>
                <w:rFonts w:ascii="Times New Roman" w:hAnsi="Times New Roman"/>
                <w:b/>
                <w:bCs/>
                <w:sz w:val="24"/>
                <w:u w:val="single"/>
              </w:rPr>
            </w:pPr>
            <w:r>
              <w:rPr>
                <w:rFonts w:ascii="Times New Roman" w:hAnsi="Times New Roman"/>
                <w:sz w:val="24"/>
              </w:rPr>
              <w:t>Les exigences de fonds propres pour les expositions de crédit pertinentes eu égard au risque de marché sont notamment les exigences de fonds propres pour les pos</w:t>
            </w:r>
            <w:r>
              <w:rPr>
                <w:rFonts w:ascii="Times New Roman" w:hAnsi="Times New Roman"/>
                <w:sz w:val="24"/>
              </w:rPr>
              <w:t>i</w:t>
            </w:r>
            <w:r>
              <w:rPr>
                <w:rFonts w:ascii="Times New Roman" w:hAnsi="Times New Roman"/>
                <w:sz w:val="24"/>
              </w:rPr>
              <w:t>tions de titrisation prévues à la troisième partie, titre IV, chapitre 2 du CRR et les exigences de fonds propres pour les expositions sur des organismes de placement collectif déterminées conformément à l'article 348 du CRR.</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t>100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rPr>
              <w:t>Exigences de fonds propres pour les expositions de crédit pertinentes – pos</w:t>
            </w:r>
            <w:r>
              <w:rPr>
                <w:rFonts w:ascii="Times New Roman" w:hAnsi="Times New Roman"/>
                <w:b/>
                <w:sz w:val="24"/>
              </w:rPr>
              <w:t>i</w:t>
            </w:r>
            <w:r>
              <w:rPr>
                <w:rFonts w:ascii="Times New Roman" w:hAnsi="Times New Roman"/>
                <w:b/>
                <w:sz w:val="24"/>
              </w:rPr>
              <w:t>tions de titrisation dans le portefeuille d'intermédiation bancaire</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Les exigences de fonds propres déterminées conformément à la troisième partie, titre II, chapitre 5 du CRR pour les expositions de crédit pertinentes, définies co</w:t>
            </w:r>
            <w:r>
              <w:rPr>
                <w:rFonts w:ascii="Times New Roman" w:hAnsi="Times New Roman"/>
                <w:sz w:val="24"/>
              </w:rPr>
              <w:t>n</w:t>
            </w:r>
            <w:r>
              <w:rPr>
                <w:rFonts w:ascii="Times New Roman" w:hAnsi="Times New Roman"/>
                <w:sz w:val="24"/>
              </w:rPr>
              <w:t>formément à l'article 140, paragraphe 4, point c), de la CRD dans le pays en que</w:t>
            </w:r>
            <w:r>
              <w:rPr>
                <w:rFonts w:ascii="Times New Roman" w:hAnsi="Times New Roman"/>
                <w:sz w:val="24"/>
              </w:rPr>
              <w:t>s</w:t>
            </w:r>
            <w:r>
              <w:rPr>
                <w:rFonts w:ascii="Times New Roman" w:hAnsi="Times New Roman"/>
                <w:sz w:val="24"/>
              </w:rPr>
              <w:t>tion.</w:t>
            </w:r>
          </w:p>
          <w:p w:rsidR="001A6C53" w:rsidRPr="00392FFD" w:rsidRDefault="001A6C53" w:rsidP="008D2F6E">
            <w:pPr>
              <w:rPr>
                <w:rFonts w:ascii="Times New Roman" w:hAnsi="Times New Roman"/>
                <w:b/>
                <w:bCs/>
                <w:sz w:val="24"/>
                <w:u w:val="single"/>
              </w:rPr>
            </w:pPr>
            <w:r>
              <w:rPr>
                <w:rFonts w:ascii="Times New Roman" w:hAnsi="Times New Roman"/>
                <w:sz w:val="24"/>
              </w:rPr>
              <w:t>Les exigences de fonds propres sont de 8 % du montant d'exposition pondéré d</w:t>
            </w:r>
            <w:r>
              <w:rPr>
                <w:rFonts w:ascii="Times New Roman" w:hAnsi="Times New Roman"/>
                <w:sz w:val="24"/>
              </w:rPr>
              <w:t>é</w:t>
            </w:r>
            <w:r>
              <w:rPr>
                <w:rFonts w:ascii="Times New Roman" w:hAnsi="Times New Roman"/>
                <w:sz w:val="24"/>
              </w:rPr>
              <w:t xml:space="preserve">terminé conformément aux dispositions de la troisième partie, titre II, chapitre 5 </w:t>
            </w:r>
            <w:r>
              <w:rPr>
                <w:rFonts w:ascii="Times New Roman" w:hAnsi="Times New Roman"/>
                <w:sz w:val="24"/>
              </w:rPr>
              <w:lastRenderedPageBreak/>
              <w:t>du CRR.</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lastRenderedPageBreak/>
              <w:t>110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Pondérations des exigences de fonds propres</w:t>
            </w:r>
          </w:p>
          <w:p w:rsidR="001A6C53" w:rsidRPr="00392FFD" w:rsidRDefault="001A6C53" w:rsidP="008D2F6E">
            <w:pPr>
              <w:rPr>
                <w:rFonts w:ascii="Times New Roman" w:hAnsi="Times New Roman"/>
                <w:sz w:val="24"/>
              </w:rPr>
            </w:pPr>
            <w:r>
              <w:rPr>
                <w:rFonts w:ascii="Times New Roman" w:hAnsi="Times New Roman"/>
                <w:sz w:val="24"/>
              </w:rPr>
              <w:t xml:space="preserve">La pondération appliquée au taux de coussin </w:t>
            </w:r>
            <w:proofErr w:type="spellStart"/>
            <w:r>
              <w:rPr>
                <w:rFonts w:ascii="Times New Roman" w:hAnsi="Times New Roman"/>
                <w:sz w:val="24"/>
              </w:rPr>
              <w:t>contracyclique</w:t>
            </w:r>
            <w:proofErr w:type="spellEnd"/>
            <w:r>
              <w:rPr>
                <w:rFonts w:ascii="Times New Roman" w:hAnsi="Times New Roman"/>
                <w:sz w:val="24"/>
              </w:rPr>
              <w:t xml:space="preserve"> dans chaque pays correspond à un ratio des exigences de fonds propres déterminé comme suit:</w:t>
            </w:r>
          </w:p>
          <w:p w:rsidR="001A6C53" w:rsidRPr="00392FFD" w:rsidRDefault="001A6C53" w:rsidP="008D2F6E">
            <w:pPr>
              <w:rPr>
                <w:rFonts w:ascii="Times New Roman" w:hAnsi="Times New Roman"/>
                <w:sz w:val="24"/>
              </w:rPr>
            </w:pPr>
            <w:r>
              <w:rPr>
                <w:rFonts w:ascii="Times New Roman" w:hAnsi="Times New Roman"/>
                <w:sz w:val="24"/>
              </w:rPr>
              <w:t>1.</w:t>
            </w:r>
            <w:r>
              <w:tab/>
            </w:r>
            <w:r>
              <w:rPr>
                <w:rFonts w:ascii="Times New Roman" w:hAnsi="Times New Roman"/>
                <w:sz w:val="24"/>
              </w:rPr>
              <w:t>Numérateur: le montant total des exigences de fonds propres correspo</w:t>
            </w:r>
            <w:r>
              <w:rPr>
                <w:rFonts w:ascii="Times New Roman" w:hAnsi="Times New Roman"/>
                <w:sz w:val="24"/>
              </w:rPr>
              <w:t>n</w:t>
            </w:r>
            <w:r>
              <w:rPr>
                <w:rFonts w:ascii="Times New Roman" w:hAnsi="Times New Roman"/>
                <w:sz w:val="24"/>
              </w:rPr>
              <w:t xml:space="preserve">dant aux expositions de crédit pertinentes dans le pays en question [r070; c10 feuille pays], </w:t>
            </w:r>
          </w:p>
          <w:p w:rsidR="001A6C53" w:rsidRPr="00392FFD" w:rsidRDefault="001A6C53" w:rsidP="008D2F6E">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Dénominateur: le montant total des exigences de fonds propres qui se ra</w:t>
            </w:r>
            <w:r>
              <w:rPr>
                <w:rFonts w:ascii="Times New Roman" w:hAnsi="Times New Roman"/>
                <w:sz w:val="24"/>
              </w:rPr>
              <w:t>p</w:t>
            </w:r>
            <w:r>
              <w:rPr>
                <w:rFonts w:ascii="Times New Roman" w:hAnsi="Times New Roman"/>
                <w:sz w:val="24"/>
              </w:rPr>
              <w:t xml:space="preserve">portent à l'ensemble des expositions de crédit pertinentes pour le calcul du coussin </w:t>
            </w:r>
            <w:proofErr w:type="spellStart"/>
            <w:r>
              <w:rPr>
                <w:rFonts w:ascii="Times New Roman" w:hAnsi="Times New Roman"/>
                <w:sz w:val="24"/>
              </w:rPr>
              <w:t>contracyclique</w:t>
            </w:r>
            <w:proofErr w:type="spellEnd"/>
            <w:r>
              <w:rPr>
                <w:rFonts w:ascii="Times New Roman" w:hAnsi="Times New Roman"/>
                <w:sz w:val="24"/>
              </w:rPr>
              <w:t xml:space="preserve"> conformément à l'article 140, paragraphe 4, de la CRD [r070; c010; «Total»].</w:t>
            </w:r>
          </w:p>
          <w:p w:rsidR="001A6C53" w:rsidRPr="00392FFD" w:rsidRDefault="001A6C53" w:rsidP="008D2F6E">
            <w:pPr>
              <w:rPr>
                <w:rFonts w:ascii="Times New Roman" w:hAnsi="Times New Roman"/>
                <w:b/>
                <w:bCs/>
                <w:sz w:val="24"/>
                <w:u w:val="single"/>
              </w:rPr>
            </w:pPr>
            <w:r>
              <w:rPr>
                <w:rFonts w:ascii="Times New Roman" w:hAnsi="Times New Roman"/>
                <w:sz w:val="24"/>
              </w:rPr>
              <w:t>Aucune information n'est à déclarer concernant les pondérations des exigences de fonds propres pour le «Total» de tous les pays.</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t>120-140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 xml:space="preserve">Taux de coussin de fonds propres </w:t>
            </w:r>
            <w:proofErr w:type="spellStart"/>
            <w:r>
              <w:rPr>
                <w:rFonts w:ascii="Times New Roman" w:hAnsi="Times New Roman"/>
                <w:b/>
                <w:sz w:val="24"/>
                <w:u w:val="single"/>
              </w:rPr>
              <w:t>contracyclique</w:t>
            </w:r>
            <w:proofErr w:type="spellEnd"/>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t>120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 xml:space="preserve">Taux de coussin de fonds propres </w:t>
            </w:r>
            <w:proofErr w:type="spellStart"/>
            <w:r>
              <w:rPr>
                <w:rFonts w:ascii="Times New Roman" w:hAnsi="Times New Roman"/>
                <w:b/>
                <w:sz w:val="24"/>
                <w:u w:val="single"/>
              </w:rPr>
              <w:t>contracyclique</w:t>
            </w:r>
            <w:proofErr w:type="spellEnd"/>
            <w:r>
              <w:rPr>
                <w:rFonts w:ascii="Times New Roman" w:hAnsi="Times New Roman"/>
                <w:b/>
                <w:sz w:val="24"/>
                <w:u w:val="single"/>
              </w:rPr>
              <w:t xml:space="preserve"> fixé par l'autorité désignée</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 xml:space="preserve">Le taux de coussin de fonds propres </w:t>
            </w:r>
            <w:proofErr w:type="spellStart"/>
            <w:r>
              <w:rPr>
                <w:rFonts w:ascii="Times New Roman" w:hAnsi="Times New Roman"/>
                <w:sz w:val="24"/>
              </w:rPr>
              <w:t>contracyclique</w:t>
            </w:r>
            <w:proofErr w:type="spellEnd"/>
            <w:r>
              <w:rPr>
                <w:rFonts w:ascii="Times New Roman" w:hAnsi="Times New Roman"/>
                <w:sz w:val="24"/>
              </w:rPr>
              <w:t xml:space="preserve"> fixé pour le pays en question par l'autorité désignée de ce pays conformément aux articles 136, 137, 138 et 139 de la CRD.</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 xml:space="preserve">Cette ligne doit rester vide lorsque aucun taux de coussin </w:t>
            </w:r>
            <w:proofErr w:type="spellStart"/>
            <w:r>
              <w:rPr>
                <w:rFonts w:ascii="Times New Roman" w:hAnsi="Times New Roman"/>
                <w:sz w:val="24"/>
              </w:rPr>
              <w:t>contracyclique</w:t>
            </w:r>
            <w:proofErr w:type="spellEnd"/>
            <w:r>
              <w:rPr>
                <w:rFonts w:ascii="Times New Roman" w:hAnsi="Times New Roman"/>
                <w:sz w:val="24"/>
              </w:rPr>
              <w:t xml:space="preserve"> n'a été fixé pour le pays en question par l'autorité désignée de ce pays.</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 xml:space="preserve">Ne pas déclarer non plus les taux de coussin de fonds propres </w:t>
            </w:r>
            <w:proofErr w:type="spellStart"/>
            <w:r>
              <w:rPr>
                <w:rFonts w:ascii="Times New Roman" w:hAnsi="Times New Roman"/>
                <w:sz w:val="24"/>
              </w:rPr>
              <w:t>contracyclique</w:t>
            </w:r>
            <w:proofErr w:type="spellEnd"/>
            <w:r>
              <w:rPr>
                <w:rFonts w:ascii="Times New Roman" w:hAnsi="Times New Roman"/>
                <w:sz w:val="24"/>
              </w:rPr>
              <w:t xml:space="preserve"> qui ont été fixés par l'autorité désignée, mais qui ne sont pas encore applicable dans le pays en question à la date de référence pour la déclaration.</w:t>
            </w:r>
          </w:p>
          <w:p w:rsidR="001A6C53" w:rsidRPr="00392FFD" w:rsidRDefault="001A6C53" w:rsidP="008D2F6E">
            <w:pPr>
              <w:rPr>
                <w:rFonts w:ascii="Times New Roman" w:hAnsi="Times New Roman"/>
                <w:b/>
                <w:bCs/>
                <w:sz w:val="24"/>
                <w:u w:val="single"/>
              </w:rPr>
            </w:pPr>
            <w:r>
              <w:rPr>
                <w:rFonts w:ascii="Times New Roman" w:hAnsi="Times New Roman"/>
                <w:sz w:val="24"/>
              </w:rPr>
              <w:t xml:space="preserve">Aucune information concernant le taux de coussin </w:t>
            </w:r>
            <w:proofErr w:type="spellStart"/>
            <w:r>
              <w:rPr>
                <w:rFonts w:ascii="Times New Roman" w:hAnsi="Times New Roman"/>
                <w:sz w:val="24"/>
              </w:rPr>
              <w:t>contracyclique</w:t>
            </w:r>
            <w:proofErr w:type="spellEnd"/>
            <w:r>
              <w:rPr>
                <w:rFonts w:ascii="Times New Roman" w:hAnsi="Times New Roman"/>
                <w:sz w:val="24"/>
              </w:rPr>
              <w:t xml:space="preserve"> fixé par l'autor</w:t>
            </w:r>
            <w:r>
              <w:rPr>
                <w:rFonts w:ascii="Times New Roman" w:hAnsi="Times New Roman"/>
                <w:sz w:val="24"/>
              </w:rPr>
              <w:t>i</w:t>
            </w:r>
            <w:r>
              <w:rPr>
                <w:rFonts w:ascii="Times New Roman" w:hAnsi="Times New Roman"/>
                <w:sz w:val="24"/>
              </w:rPr>
              <w:t xml:space="preserve">té désignée n'est à déclarer pour le «Total» de tous les pays. </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t>130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 xml:space="preserve">Taux de coussin de fonds propres </w:t>
            </w:r>
            <w:proofErr w:type="spellStart"/>
            <w:r>
              <w:rPr>
                <w:rFonts w:ascii="Times New Roman" w:hAnsi="Times New Roman"/>
                <w:b/>
                <w:sz w:val="24"/>
                <w:u w:val="single"/>
              </w:rPr>
              <w:t>contracyclique</w:t>
            </w:r>
            <w:proofErr w:type="spellEnd"/>
            <w:r>
              <w:rPr>
                <w:rFonts w:ascii="Times New Roman" w:hAnsi="Times New Roman"/>
                <w:b/>
                <w:sz w:val="24"/>
                <w:u w:val="single"/>
              </w:rPr>
              <w:t xml:space="preserve"> applicable dans le pays de l'établissement</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 xml:space="preserve">Le taux de coussin de fonds propres </w:t>
            </w:r>
            <w:proofErr w:type="spellStart"/>
            <w:r>
              <w:rPr>
                <w:rFonts w:ascii="Times New Roman" w:hAnsi="Times New Roman"/>
                <w:sz w:val="24"/>
              </w:rPr>
              <w:t>contracyclique</w:t>
            </w:r>
            <w:proofErr w:type="spellEnd"/>
            <w:r>
              <w:rPr>
                <w:rFonts w:ascii="Times New Roman" w:hAnsi="Times New Roman"/>
                <w:sz w:val="24"/>
              </w:rPr>
              <w:t xml:space="preserve"> applicable pour le pays en question, fixé par l'autorité désignée du pays de résidence de l'établissement, co</w:t>
            </w:r>
            <w:r>
              <w:rPr>
                <w:rFonts w:ascii="Times New Roman" w:hAnsi="Times New Roman"/>
                <w:sz w:val="24"/>
              </w:rPr>
              <w:t>n</w:t>
            </w:r>
            <w:r>
              <w:rPr>
                <w:rFonts w:ascii="Times New Roman" w:hAnsi="Times New Roman"/>
                <w:sz w:val="24"/>
              </w:rPr>
              <w:t xml:space="preserve">formément aux articles 137, 138 et 139 et à l'article 140, paragraphes 1, 2 et 3, de la CRD. Ne pas déclarer les taux de coussin de fonds propres </w:t>
            </w:r>
            <w:proofErr w:type="spellStart"/>
            <w:r>
              <w:rPr>
                <w:rFonts w:ascii="Times New Roman" w:hAnsi="Times New Roman"/>
                <w:sz w:val="24"/>
              </w:rPr>
              <w:t>contracyclique</w:t>
            </w:r>
            <w:proofErr w:type="spellEnd"/>
            <w:r>
              <w:rPr>
                <w:rFonts w:ascii="Times New Roman" w:hAnsi="Times New Roman"/>
                <w:sz w:val="24"/>
              </w:rPr>
              <w:t xml:space="preserve"> qui ne sont pas encore applicables à la date de référence pour la déclaration.</w:t>
            </w:r>
          </w:p>
          <w:p w:rsidR="001A6C53" w:rsidRPr="00392FFD" w:rsidRDefault="001A6C53" w:rsidP="008D2F6E">
            <w:pPr>
              <w:rPr>
                <w:rFonts w:ascii="Times New Roman" w:hAnsi="Times New Roman"/>
                <w:b/>
                <w:bCs/>
                <w:sz w:val="24"/>
                <w:u w:val="single"/>
              </w:rPr>
            </w:pPr>
            <w:r>
              <w:rPr>
                <w:rFonts w:ascii="Times New Roman" w:hAnsi="Times New Roman"/>
                <w:sz w:val="24"/>
              </w:rPr>
              <w:t xml:space="preserve">Aucune information concernant le taux de coussin </w:t>
            </w:r>
            <w:proofErr w:type="spellStart"/>
            <w:r>
              <w:rPr>
                <w:rFonts w:ascii="Times New Roman" w:hAnsi="Times New Roman"/>
                <w:sz w:val="24"/>
              </w:rPr>
              <w:t>contracyclique</w:t>
            </w:r>
            <w:proofErr w:type="spellEnd"/>
            <w:r>
              <w:rPr>
                <w:rFonts w:ascii="Times New Roman" w:hAnsi="Times New Roman"/>
                <w:sz w:val="24"/>
              </w:rPr>
              <w:t xml:space="preserve"> applicable dans le pays de l'établissement n'est à déclarer pour le «Total» de tous les pays.</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t>140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 xml:space="preserve">Taux de coussin de fonds propres </w:t>
            </w:r>
            <w:proofErr w:type="spellStart"/>
            <w:r>
              <w:rPr>
                <w:rFonts w:ascii="Times New Roman" w:hAnsi="Times New Roman"/>
                <w:b/>
                <w:sz w:val="24"/>
                <w:u w:val="single"/>
              </w:rPr>
              <w:t>contracyclique</w:t>
            </w:r>
            <w:proofErr w:type="spellEnd"/>
            <w:r>
              <w:rPr>
                <w:rFonts w:ascii="Times New Roman" w:hAnsi="Times New Roman"/>
                <w:b/>
                <w:sz w:val="24"/>
                <w:u w:val="single"/>
              </w:rPr>
              <w:t xml:space="preserve"> spécifique à l'établissement </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 xml:space="preserve">Le taux de coussin de fonds propres </w:t>
            </w:r>
            <w:proofErr w:type="spellStart"/>
            <w:r>
              <w:rPr>
                <w:rFonts w:ascii="Times New Roman" w:hAnsi="Times New Roman"/>
                <w:sz w:val="24"/>
              </w:rPr>
              <w:t>contracyclique</w:t>
            </w:r>
            <w:proofErr w:type="spellEnd"/>
            <w:r>
              <w:rPr>
                <w:rFonts w:ascii="Times New Roman" w:hAnsi="Times New Roman"/>
                <w:sz w:val="24"/>
              </w:rPr>
              <w:t xml:space="preserve"> spécifique à l'établissement, déterminé conformément à l'article 140, paragraphe 1, de la CRD. </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 xml:space="preserve">Le taux de coussin de fonds propres </w:t>
            </w:r>
            <w:proofErr w:type="spellStart"/>
            <w:r>
              <w:rPr>
                <w:rFonts w:ascii="Times New Roman" w:hAnsi="Times New Roman"/>
                <w:sz w:val="24"/>
              </w:rPr>
              <w:t>contracyclique</w:t>
            </w:r>
            <w:proofErr w:type="spellEnd"/>
            <w:r>
              <w:rPr>
                <w:rFonts w:ascii="Times New Roman" w:hAnsi="Times New Roman"/>
                <w:sz w:val="24"/>
              </w:rPr>
              <w:t xml:space="preserve"> spécifique à l'établissement est égal à la moyenne pondérée des taux de coussin </w:t>
            </w:r>
            <w:proofErr w:type="spellStart"/>
            <w:r>
              <w:rPr>
                <w:rFonts w:ascii="Times New Roman" w:hAnsi="Times New Roman"/>
                <w:sz w:val="24"/>
              </w:rPr>
              <w:t>contracyclique</w:t>
            </w:r>
            <w:proofErr w:type="spellEnd"/>
            <w:r>
              <w:rPr>
                <w:rFonts w:ascii="Times New Roman" w:hAnsi="Times New Roman"/>
                <w:sz w:val="24"/>
              </w:rPr>
              <w:t xml:space="preserve"> qui s'appl</w:t>
            </w:r>
            <w:r>
              <w:rPr>
                <w:rFonts w:ascii="Times New Roman" w:hAnsi="Times New Roman"/>
                <w:sz w:val="24"/>
              </w:rPr>
              <w:t>i</w:t>
            </w:r>
            <w:r>
              <w:rPr>
                <w:rFonts w:ascii="Times New Roman" w:hAnsi="Times New Roman"/>
                <w:sz w:val="24"/>
              </w:rPr>
              <w:t xml:space="preserve">quent dans les juridictions où sont situées les expositions de crédit pertinentes de </w:t>
            </w:r>
            <w:r>
              <w:rPr>
                <w:rFonts w:ascii="Times New Roman" w:hAnsi="Times New Roman"/>
                <w:sz w:val="24"/>
              </w:rPr>
              <w:lastRenderedPageBreak/>
              <w:t xml:space="preserve">l'établissement ou qui sont appliqués aux fins de l'article 140, conformément à l'article 139, paragraphe 2 ou 3, de la CRD. Le taux de coussin </w:t>
            </w:r>
            <w:proofErr w:type="spellStart"/>
            <w:r>
              <w:rPr>
                <w:rFonts w:ascii="Times New Roman" w:hAnsi="Times New Roman"/>
                <w:sz w:val="24"/>
              </w:rPr>
              <w:t>contracyclique</w:t>
            </w:r>
            <w:proofErr w:type="spellEnd"/>
            <w:r>
              <w:rPr>
                <w:rFonts w:ascii="Times New Roman" w:hAnsi="Times New Roman"/>
                <w:sz w:val="24"/>
              </w:rPr>
              <w:t xml:space="preserve"> a</w:t>
            </w:r>
            <w:r>
              <w:rPr>
                <w:rFonts w:ascii="Times New Roman" w:hAnsi="Times New Roman"/>
                <w:sz w:val="24"/>
              </w:rPr>
              <w:t>p</w:t>
            </w:r>
            <w:r>
              <w:rPr>
                <w:rFonts w:ascii="Times New Roman" w:hAnsi="Times New Roman"/>
                <w:sz w:val="24"/>
              </w:rPr>
              <w:t>plicable est déclaré en [r120; c020; feuille pays] ou [r130; c020; feuille pays] s</w:t>
            </w:r>
            <w:r>
              <w:rPr>
                <w:rFonts w:ascii="Times New Roman" w:hAnsi="Times New Roman"/>
                <w:sz w:val="24"/>
              </w:rPr>
              <w:t>e</w:t>
            </w:r>
            <w:r>
              <w:rPr>
                <w:rFonts w:ascii="Times New Roman" w:hAnsi="Times New Roman"/>
                <w:sz w:val="24"/>
              </w:rPr>
              <w:t>lon le cas.</w:t>
            </w:r>
          </w:p>
          <w:p w:rsidR="001A6C53" w:rsidRPr="00392FFD" w:rsidRDefault="001A6C53" w:rsidP="008D2F6E">
            <w:pPr>
              <w:autoSpaceDE w:val="0"/>
              <w:autoSpaceDN w:val="0"/>
              <w:adjustRightInd w:val="0"/>
              <w:rPr>
                <w:rFonts w:ascii="Times New Roman" w:hAnsi="Times New Roman"/>
                <w:b/>
                <w:strike/>
                <w:sz w:val="24"/>
              </w:rPr>
            </w:pPr>
            <w:r>
              <w:rPr>
                <w:rFonts w:ascii="Times New Roman" w:hAnsi="Times New Roman"/>
                <w:sz w:val="24"/>
              </w:rPr>
              <w:t xml:space="preserve">La pondération appliquée au taux de coussin </w:t>
            </w:r>
            <w:proofErr w:type="spellStart"/>
            <w:r>
              <w:rPr>
                <w:rFonts w:ascii="Times New Roman" w:hAnsi="Times New Roman"/>
                <w:sz w:val="24"/>
              </w:rPr>
              <w:t>contracyclique</w:t>
            </w:r>
            <w:proofErr w:type="spellEnd"/>
            <w:r>
              <w:rPr>
                <w:rFonts w:ascii="Times New Roman" w:hAnsi="Times New Roman"/>
                <w:sz w:val="24"/>
              </w:rPr>
              <w:t xml:space="preserve"> dans chaque pays correspond à la fraction des exigences de fonds propres dans le total des ex</w:t>
            </w:r>
            <w:r>
              <w:rPr>
                <w:rFonts w:ascii="Times New Roman" w:hAnsi="Times New Roman"/>
                <w:sz w:val="24"/>
              </w:rPr>
              <w:t>i</w:t>
            </w:r>
            <w:r>
              <w:rPr>
                <w:rFonts w:ascii="Times New Roman" w:hAnsi="Times New Roman"/>
                <w:sz w:val="24"/>
              </w:rPr>
              <w:t xml:space="preserve">gences de fonds propres; elle est déclarée en [r110; c020; feuille pays]. </w:t>
            </w:r>
          </w:p>
          <w:p w:rsidR="001A6C53" w:rsidRPr="00392FFD" w:rsidRDefault="001A6C53" w:rsidP="008D2F6E">
            <w:pPr>
              <w:rPr>
                <w:rFonts w:ascii="Times New Roman" w:hAnsi="Times New Roman"/>
                <w:b/>
                <w:bCs/>
                <w:sz w:val="24"/>
                <w:u w:val="single"/>
              </w:rPr>
            </w:pPr>
            <w:r>
              <w:rPr>
                <w:rFonts w:ascii="Times New Roman" w:hAnsi="Times New Roman"/>
                <w:sz w:val="24"/>
              </w:rPr>
              <w:t xml:space="preserve">Les informations sur le taux de coussin de fonds propres </w:t>
            </w:r>
            <w:proofErr w:type="spellStart"/>
            <w:r>
              <w:rPr>
                <w:rFonts w:ascii="Times New Roman" w:hAnsi="Times New Roman"/>
                <w:sz w:val="24"/>
              </w:rPr>
              <w:t>contracyclique</w:t>
            </w:r>
            <w:proofErr w:type="spellEnd"/>
            <w:r>
              <w:rPr>
                <w:rFonts w:ascii="Times New Roman" w:hAnsi="Times New Roman"/>
                <w:sz w:val="24"/>
              </w:rPr>
              <w:t xml:space="preserve"> spéc</w:t>
            </w:r>
            <w:r>
              <w:rPr>
                <w:rFonts w:ascii="Times New Roman" w:hAnsi="Times New Roman"/>
                <w:sz w:val="24"/>
              </w:rPr>
              <w:t>i</w:t>
            </w:r>
            <w:r>
              <w:rPr>
                <w:rFonts w:ascii="Times New Roman" w:hAnsi="Times New Roman"/>
                <w:sz w:val="24"/>
              </w:rPr>
              <w:t>fique à l'établissement ne sont à déclarer que pour le «Total» de tous les pays et non pour chaque pays séparément.</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lastRenderedPageBreak/>
              <w:t>150 - 160</w:t>
            </w:r>
          </w:p>
        </w:tc>
        <w:tc>
          <w:tcPr>
            <w:tcW w:w="8131"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Utilisation du seuil de 2 %</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t>150</w:t>
            </w:r>
          </w:p>
        </w:tc>
        <w:tc>
          <w:tcPr>
            <w:tcW w:w="8131" w:type="dxa"/>
          </w:tcPr>
          <w:p w:rsidR="001A6C53" w:rsidRPr="00392FFD" w:rsidRDefault="001A6C53" w:rsidP="008D2F6E">
            <w:pPr>
              <w:autoSpaceDE w:val="0"/>
              <w:autoSpaceDN w:val="0"/>
              <w:adjustRightInd w:val="0"/>
              <w:rPr>
                <w:rFonts w:ascii="Times New Roman" w:hAnsi="Times New Roman"/>
                <w:sz w:val="24"/>
              </w:rPr>
            </w:pPr>
            <w:r>
              <w:rPr>
                <w:rFonts w:ascii="Times New Roman" w:hAnsi="Times New Roman"/>
                <w:b/>
                <w:sz w:val="24"/>
                <w:u w:val="single"/>
              </w:rPr>
              <w:t>Utilisation du seuil de 2 % pour exposition générale de crédit</w:t>
            </w:r>
            <w:r>
              <w:rPr>
                <w:rFonts w:ascii="Times New Roman" w:hAnsi="Times New Roman"/>
                <w:sz w:val="24"/>
              </w:rPr>
              <w:t xml:space="preserve"> </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Conformément à l'article 2, paragraphe 5, point b), du règlement délégué (UE) nº 1152/2014 de la Commission, les expositions à un risque général de crédit étranger dont le montant agrégé ne dépasse pas 2 % du montant agrégé des exp</w:t>
            </w:r>
            <w:r>
              <w:rPr>
                <w:rFonts w:ascii="Times New Roman" w:hAnsi="Times New Roman"/>
                <w:sz w:val="24"/>
              </w:rPr>
              <w:t>o</w:t>
            </w:r>
            <w:r>
              <w:rPr>
                <w:rFonts w:ascii="Times New Roman" w:hAnsi="Times New Roman"/>
                <w:sz w:val="24"/>
              </w:rPr>
              <w:t>sitions générales de crédit, des expositions relevant du portefeuille de négociation et des expositions de titrisation de l'établissement peuvent être rattachées à l'État membre d'origine de l'établissement. Le montant agrégé des expositions générales de crédit, des expositions relevant du portefeuille de négociation et des expos</w:t>
            </w:r>
            <w:r>
              <w:rPr>
                <w:rFonts w:ascii="Times New Roman" w:hAnsi="Times New Roman"/>
                <w:sz w:val="24"/>
              </w:rPr>
              <w:t>i</w:t>
            </w:r>
            <w:r>
              <w:rPr>
                <w:rFonts w:ascii="Times New Roman" w:hAnsi="Times New Roman"/>
                <w:sz w:val="24"/>
              </w:rPr>
              <w:t>tions de titrisation est calculé en excluant les expositions générales de crédit loc</w:t>
            </w:r>
            <w:r>
              <w:rPr>
                <w:rFonts w:ascii="Times New Roman" w:hAnsi="Times New Roman"/>
                <w:sz w:val="24"/>
              </w:rPr>
              <w:t>a</w:t>
            </w:r>
            <w:r>
              <w:rPr>
                <w:rFonts w:ascii="Times New Roman" w:hAnsi="Times New Roman"/>
                <w:sz w:val="24"/>
              </w:rPr>
              <w:t>lisées en application de l’article 2, paragraphe 5, point a), et de l'article 2, par</w:t>
            </w:r>
            <w:r>
              <w:rPr>
                <w:rFonts w:ascii="Times New Roman" w:hAnsi="Times New Roman"/>
                <w:sz w:val="24"/>
              </w:rPr>
              <w:t>a</w:t>
            </w:r>
            <w:r>
              <w:rPr>
                <w:rFonts w:ascii="Times New Roman" w:hAnsi="Times New Roman"/>
                <w:sz w:val="24"/>
              </w:rPr>
              <w:t>graphe 4, du règlement délégué (UE) nº 1152/2014 de la Commission.</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Si l'établissement fait usage de cette dérogation, il indique «y» dans le tableau de la juridiction qui correspond à son État membre d'origine et dans celui du «Total» de tous les pays.</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S'il ne fait pas usage de cette dérogation, il indique «n» dans la cellule correspo</w:t>
            </w:r>
            <w:r>
              <w:rPr>
                <w:rFonts w:ascii="Times New Roman" w:hAnsi="Times New Roman"/>
                <w:sz w:val="24"/>
              </w:rPr>
              <w:t>n</w:t>
            </w:r>
            <w:r>
              <w:rPr>
                <w:rFonts w:ascii="Times New Roman" w:hAnsi="Times New Roman"/>
                <w:sz w:val="24"/>
              </w:rPr>
              <w:t>dante.</w:t>
            </w:r>
          </w:p>
        </w:tc>
      </w:tr>
      <w:tr w:rsidR="001A6C53" w:rsidRPr="00392FFD" w:rsidTr="008D2F6E">
        <w:tc>
          <w:tcPr>
            <w:tcW w:w="1697" w:type="dxa"/>
          </w:tcPr>
          <w:p w:rsidR="001A6C53" w:rsidRPr="00392FFD" w:rsidRDefault="001A6C53" w:rsidP="008D2F6E">
            <w:pPr>
              <w:rPr>
                <w:rFonts w:ascii="Times New Roman" w:hAnsi="Times New Roman"/>
                <w:sz w:val="24"/>
              </w:rPr>
            </w:pPr>
            <w:r>
              <w:rPr>
                <w:rFonts w:ascii="Times New Roman" w:hAnsi="Times New Roman"/>
                <w:sz w:val="24"/>
              </w:rPr>
              <w:t>160</w:t>
            </w:r>
          </w:p>
        </w:tc>
        <w:tc>
          <w:tcPr>
            <w:tcW w:w="8131" w:type="dxa"/>
          </w:tcPr>
          <w:p w:rsidR="001A6C53" w:rsidRPr="00392FFD" w:rsidRDefault="001A6C53" w:rsidP="008D2F6E">
            <w:pPr>
              <w:autoSpaceDE w:val="0"/>
              <w:autoSpaceDN w:val="0"/>
              <w:adjustRightInd w:val="0"/>
              <w:rPr>
                <w:rFonts w:ascii="Times New Roman" w:hAnsi="Times New Roman"/>
                <w:sz w:val="24"/>
              </w:rPr>
            </w:pPr>
            <w:r>
              <w:rPr>
                <w:rFonts w:ascii="Times New Roman" w:hAnsi="Times New Roman"/>
                <w:b/>
                <w:sz w:val="24"/>
                <w:u w:val="single"/>
              </w:rPr>
              <w:t>Utilisation du seuil de 2 % pour expositions relevant du portefeuille de nég</w:t>
            </w:r>
            <w:r>
              <w:rPr>
                <w:rFonts w:ascii="Times New Roman" w:hAnsi="Times New Roman"/>
                <w:b/>
                <w:sz w:val="24"/>
                <w:u w:val="single"/>
              </w:rPr>
              <w:t>o</w:t>
            </w:r>
            <w:r>
              <w:rPr>
                <w:rFonts w:ascii="Times New Roman" w:hAnsi="Times New Roman"/>
                <w:b/>
                <w:sz w:val="24"/>
                <w:u w:val="single"/>
              </w:rPr>
              <w:t>ciation</w:t>
            </w:r>
          </w:p>
          <w:p w:rsidR="001A6C53" w:rsidRPr="00392FFD" w:rsidRDefault="001A6C53" w:rsidP="008D2F6E">
            <w:pPr>
              <w:autoSpaceDE w:val="0"/>
              <w:autoSpaceDN w:val="0"/>
              <w:adjustRightInd w:val="0"/>
              <w:rPr>
                <w:rFonts w:ascii="Times New Roman" w:hAnsi="Times New Roman"/>
                <w:sz w:val="24"/>
              </w:rPr>
            </w:pPr>
            <w:r>
              <w:rPr>
                <w:rFonts w:ascii="Times New Roman" w:hAnsi="Times New Roman"/>
                <w:sz w:val="24"/>
              </w:rPr>
              <w:t>Conformément à l'article 3, paragraphe 3, du règlement délégué (UE) nº 1152/2014 de la Commission, les établissements peuvent rattacher les expos</w:t>
            </w:r>
            <w:r>
              <w:rPr>
                <w:rFonts w:ascii="Times New Roman" w:hAnsi="Times New Roman"/>
                <w:sz w:val="24"/>
              </w:rPr>
              <w:t>i</w:t>
            </w:r>
            <w:r>
              <w:rPr>
                <w:rFonts w:ascii="Times New Roman" w:hAnsi="Times New Roman"/>
                <w:sz w:val="24"/>
              </w:rPr>
              <w:t>tions du portefeuille de négociation à leur État membre d'origine si le total des expositions relevant du portefeuille de négociation n'excède pas 2 % du total de leurs expositions générales de crédit, de leurs expositions relevant du portefeuille de négociation et de leurs expositions de titrisation.</w:t>
            </w:r>
          </w:p>
          <w:p w:rsidR="001A6C53" w:rsidRPr="00392FFD" w:rsidRDefault="001A6C53" w:rsidP="008D2F6E">
            <w:pPr>
              <w:rPr>
                <w:rFonts w:ascii="Times New Roman" w:hAnsi="Times New Roman"/>
                <w:sz w:val="24"/>
              </w:rPr>
            </w:pPr>
            <w:r>
              <w:rPr>
                <w:rFonts w:ascii="Times New Roman" w:hAnsi="Times New Roman"/>
                <w:sz w:val="24"/>
              </w:rPr>
              <w:t>Si l'établissement fait usage de cette dérogation, il indique «y» dans le tableau de la juridiction qui correspond à son État membre d'origine et dans celui du «Total» de tous les pays.</w:t>
            </w:r>
          </w:p>
          <w:p w:rsidR="001A6C53" w:rsidRPr="00392FFD" w:rsidRDefault="001A6C53" w:rsidP="008D2F6E">
            <w:pPr>
              <w:rPr>
                <w:rFonts w:ascii="Times New Roman" w:hAnsi="Times New Roman"/>
                <w:b/>
                <w:bCs/>
                <w:sz w:val="24"/>
                <w:u w:val="single"/>
              </w:rPr>
            </w:pPr>
            <w:r>
              <w:rPr>
                <w:rFonts w:ascii="Times New Roman" w:hAnsi="Times New Roman"/>
                <w:sz w:val="24"/>
              </w:rPr>
              <w:t>S'il ne fait pas usage de cette dérogation, il indique «n» dans la cellule correspo</w:t>
            </w:r>
            <w:r>
              <w:rPr>
                <w:rFonts w:ascii="Times New Roman" w:hAnsi="Times New Roman"/>
                <w:sz w:val="24"/>
              </w:rPr>
              <w:t>n</w:t>
            </w:r>
            <w:r>
              <w:rPr>
                <w:rFonts w:ascii="Times New Roman" w:hAnsi="Times New Roman"/>
                <w:sz w:val="24"/>
              </w:rPr>
              <w:t>dante.</w:t>
            </w:r>
          </w:p>
        </w:tc>
      </w:tr>
    </w:tbl>
    <w:p w:rsidR="001A6C53" w:rsidRPr="00392FFD" w:rsidRDefault="001A6C53" w:rsidP="001A6C53">
      <w:pPr>
        <w:spacing w:before="0" w:after="0"/>
        <w:jc w:val="left"/>
        <w:rPr>
          <w:rFonts w:ascii="Times New Roman" w:hAnsi="Times New Roman"/>
          <w:bCs/>
          <w:sz w:val="24"/>
        </w:rPr>
      </w:pPr>
    </w:p>
    <w:p w:rsidR="001A6C53" w:rsidRPr="00392FFD" w:rsidRDefault="001A6C53" w:rsidP="001A6C53">
      <w:pPr>
        <w:pStyle w:val="Instructionsberschrift2"/>
        <w:numPr>
          <w:ilvl w:val="0"/>
          <w:numId w:val="0"/>
        </w:numPr>
        <w:ind w:left="357" w:hanging="357"/>
        <w:rPr>
          <w:rFonts w:ascii="Times New Roman" w:hAnsi="Times New Roman" w:cs="Times New Roman"/>
          <w:sz w:val="24"/>
        </w:rPr>
      </w:pPr>
      <w:bookmarkStart w:id="385" w:name="_Toc524104194"/>
      <w:r>
        <w:rPr>
          <w:rFonts w:ascii="Times New Roman" w:hAnsi="Times New Roman"/>
          <w:sz w:val="24"/>
          <w:u w:val="none"/>
        </w:rPr>
        <w:lastRenderedPageBreak/>
        <w:t>3.5.</w:t>
      </w:r>
      <w:r w:rsidRPr="007E2661">
        <w:rPr>
          <w:u w:val="none"/>
        </w:rPr>
        <w:tab/>
      </w:r>
      <w:r>
        <w:rPr>
          <w:rFonts w:ascii="Times New Roman" w:hAnsi="Times New Roman"/>
          <w:sz w:val="24"/>
        </w:rPr>
        <w:t>C 10.01 et C 10.02 – Expositions sous forme d'actions selon l’approche NI (CR EQU IRB 1 ET CR EQU IRB 2)</w:t>
      </w:r>
      <w:bookmarkEnd w:id="385"/>
    </w:p>
    <w:p w:rsidR="001A6C53" w:rsidRPr="00392FFD" w:rsidRDefault="001A6C53" w:rsidP="001A6C53">
      <w:pPr>
        <w:pStyle w:val="Instructionsberschrift2"/>
        <w:numPr>
          <w:ilvl w:val="0"/>
          <w:numId w:val="0"/>
        </w:numPr>
        <w:ind w:left="357" w:hanging="357"/>
        <w:rPr>
          <w:rFonts w:ascii="Times New Roman" w:hAnsi="Times New Roman" w:cs="Times New Roman"/>
          <w:sz w:val="24"/>
        </w:rPr>
      </w:pPr>
      <w:bookmarkStart w:id="386" w:name="_Toc524104195"/>
      <w:r>
        <w:rPr>
          <w:rFonts w:ascii="Times New Roman" w:hAnsi="Times New Roman"/>
          <w:sz w:val="24"/>
          <w:u w:val="none"/>
        </w:rPr>
        <w:t>3.5.1.</w:t>
      </w:r>
      <w:r w:rsidRPr="007E2661">
        <w:rPr>
          <w:u w:val="none"/>
        </w:rPr>
        <w:tab/>
      </w:r>
      <w:r>
        <w:rPr>
          <w:rFonts w:ascii="Times New Roman" w:hAnsi="Times New Roman"/>
          <w:sz w:val="24"/>
        </w:rPr>
        <w:t>Remarques générales</w:t>
      </w:r>
      <w:bookmarkEnd w:id="386"/>
    </w:p>
    <w:p w:rsidR="001A6C53" w:rsidRPr="00392FFD" w:rsidRDefault="001A6C53" w:rsidP="001A6C53">
      <w:pPr>
        <w:pStyle w:val="InstructionsText2"/>
        <w:numPr>
          <w:ilvl w:val="0"/>
          <w:numId w:val="0"/>
        </w:numPr>
        <w:ind w:left="993"/>
      </w:pPr>
      <w:r>
        <w:t>86.</w:t>
      </w:r>
      <w:r>
        <w:tab/>
        <w:t>Le modèle CR EQU IRB se compose de deux parties: CR EQU IRB 1 fournit un aperçu général des expositions NI de la catégorie des expositions sous forme d'actions et des différents modes de calcul des montants totaux d'exposition au risque. CR EQU IRB 2 fournit une ventilation du total des expositions attribuées aux échelons de débiteurs dans le cadre de la méthode PD/LGD. Le cas échéant, dans les instructions suivantes, «CR EQU IRB» désigne à la fois les sous-modèles «CR EQU IRB 1» et «CR EQU IRB 2».</w:t>
      </w:r>
    </w:p>
    <w:p w:rsidR="001A6C53" w:rsidRPr="00392FFD" w:rsidRDefault="001A6C53" w:rsidP="001A6C53">
      <w:pPr>
        <w:pStyle w:val="InstructionsText2"/>
        <w:numPr>
          <w:ilvl w:val="0"/>
          <w:numId w:val="0"/>
        </w:numPr>
        <w:ind w:left="993"/>
      </w:pPr>
      <w:r>
        <w:t>87.</w:t>
      </w:r>
      <w:r>
        <w:tab/>
        <w:t>Le modèle CR EQU IRB fournit des informations sur le calcul des montants d'exposition pondérés pour risque de crédit (article 92, paragraphe 3, point a), du CRR) selon la méthode NI (troisième partie, titre II, chapitre 3 du CRR), pour les expositions sous forme d'actions visées à l'article 147, paragraphe 2, point e), du CRR.</w:t>
      </w:r>
    </w:p>
    <w:p w:rsidR="001A6C53" w:rsidRPr="00392FFD" w:rsidRDefault="001A6C53" w:rsidP="001A6C53">
      <w:pPr>
        <w:pStyle w:val="InstructionsText2"/>
        <w:numPr>
          <w:ilvl w:val="0"/>
          <w:numId w:val="0"/>
        </w:numPr>
        <w:ind w:left="993"/>
      </w:pPr>
      <w:r>
        <w:t>88.</w:t>
      </w:r>
      <w:r>
        <w:tab/>
        <w:t>Selon l'article 147, paragraphe 6, du CRR, les expositions suivantes seront a</w:t>
      </w:r>
      <w:r>
        <w:t>f</w:t>
      </w:r>
      <w:r>
        <w:t>fectées à la catégorie d'expositions sous forme d'actions:</w:t>
      </w:r>
    </w:p>
    <w:p w:rsidR="001A6C53" w:rsidRPr="00392FFD" w:rsidRDefault="001A6C53" w:rsidP="001A6C53">
      <w:pPr>
        <w:pStyle w:val="InstructionsText2"/>
        <w:numPr>
          <w:ilvl w:val="0"/>
          <w:numId w:val="0"/>
        </w:numPr>
        <w:ind w:left="993"/>
      </w:pPr>
      <w:r>
        <w:t>a)</w:t>
      </w:r>
      <w:r>
        <w:tab/>
        <w:t>les expositions ne portant pas sur des créances et donnant droit à une créance subordonnée et résiduelle sur les actifs ou le revenu de l'émetteur; ou</w:t>
      </w:r>
    </w:p>
    <w:p w:rsidR="001A6C53" w:rsidRPr="00392FFD" w:rsidRDefault="001A6C53" w:rsidP="001A6C53">
      <w:pPr>
        <w:pStyle w:val="InstructionsText2"/>
        <w:numPr>
          <w:ilvl w:val="0"/>
          <w:numId w:val="0"/>
        </w:numPr>
        <w:ind w:left="993"/>
      </w:pPr>
      <w:r>
        <w:t>b)</w:t>
      </w:r>
      <w:r>
        <w:tab/>
        <w:t>les expositions portant sur des créances et autres titres, partenariats, instr</w:t>
      </w:r>
      <w:r>
        <w:t>u</w:t>
      </w:r>
      <w:r>
        <w:t>ments dérivés, ou autres véhicules, dont la substance économique est similaire à celle des expositions visées au point a).</w:t>
      </w:r>
    </w:p>
    <w:p w:rsidR="001A6C53" w:rsidRPr="00392FFD" w:rsidRDefault="001A6C53" w:rsidP="001A6C53">
      <w:pPr>
        <w:pStyle w:val="InstructionsText2"/>
        <w:numPr>
          <w:ilvl w:val="0"/>
          <w:numId w:val="0"/>
        </w:numPr>
        <w:ind w:left="993"/>
      </w:pPr>
      <w:r>
        <w:t>89.</w:t>
      </w:r>
      <w:r>
        <w:tab/>
        <w:t>Les organismes de placement collectif traités selon la méthode de pondération simple conformément à l'article 152 du CRR seront également déclarés dans le m</w:t>
      </w:r>
      <w:r>
        <w:t>o</w:t>
      </w:r>
      <w:r>
        <w:t>dèle CR EQU IRB.</w:t>
      </w:r>
    </w:p>
    <w:p w:rsidR="001A6C53" w:rsidRPr="00392FFD" w:rsidRDefault="001A6C53" w:rsidP="001A6C53">
      <w:pPr>
        <w:pStyle w:val="InstructionsText2"/>
        <w:numPr>
          <w:ilvl w:val="0"/>
          <w:numId w:val="0"/>
        </w:numPr>
        <w:ind w:left="993"/>
      </w:pPr>
      <w:r>
        <w:t>90.</w:t>
      </w:r>
      <w:r>
        <w:tab/>
        <w:t>Conformément à l'article 151, paragraphe 1, du CRR, les établissements re</w:t>
      </w:r>
      <w:r>
        <w:t>m</w:t>
      </w:r>
      <w:r>
        <w:t>plissent le modèle CR EQU IRB lorsqu'ils appliquent l'une des trois méthodes v</w:t>
      </w:r>
      <w:r>
        <w:t>i</w:t>
      </w:r>
      <w:r>
        <w:t xml:space="preserve">sées à l'article 155 du CRR: </w:t>
      </w:r>
    </w:p>
    <w:p w:rsidR="001A6C53" w:rsidRPr="00392FFD" w:rsidRDefault="001A6C53" w:rsidP="001A6C53">
      <w:pPr>
        <w:pStyle w:val="InstructionsText"/>
      </w:pPr>
      <w:r>
        <w:t xml:space="preserve">- la méthode de pondération simple; </w:t>
      </w:r>
    </w:p>
    <w:p w:rsidR="001A6C53" w:rsidRPr="00392FFD" w:rsidRDefault="001A6C53" w:rsidP="001A6C53">
      <w:pPr>
        <w:pStyle w:val="InstructionsText"/>
      </w:pPr>
      <w:r>
        <w:t xml:space="preserve">- l'approche fondée sur la probabilité de défaut et les pertes en cas de défaut (PD/LGD), ou </w:t>
      </w:r>
    </w:p>
    <w:p w:rsidR="001A6C53" w:rsidRPr="00392FFD" w:rsidRDefault="001A6C53" w:rsidP="001A6C53">
      <w:pPr>
        <w:pStyle w:val="InstructionsText"/>
      </w:pPr>
      <w:r>
        <w:t>l'approche fondée sur les modèles internes.</w:t>
      </w:r>
    </w:p>
    <w:p w:rsidR="001A6C53" w:rsidRPr="00392FFD" w:rsidRDefault="001A6C53" w:rsidP="001A6C53">
      <w:pPr>
        <w:pStyle w:val="InstructionsText"/>
      </w:pPr>
      <w:r>
        <w:t>De plus, les établissements qui appliquent l'approche NI devront également déclarer dans le modèle CR EQU IRB les montants d'exposition pondérés pour les expositions sous forme d'actions qui impliquent un traitement de pondération fixe [sans pour autant être traitées e</w:t>
      </w:r>
      <w:r>
        <w:t>x</w:t>
      </w:r>
      <w:r>
        <w:t>plicitement selon la méthode de pondération simple ou selon le recours partiel (temporaire ou permanent) à l'approche standard du risque de crédit (par ex. expositions sous forme d'actions impliquant une pondération de risque de 250 % conformément à l'article 48, paragraphe 4, du CRR, ou respectivement de 370 % conformément à l'article 471, paragraphe 2, du CRR)].</w:t>
      </w:r>
    </w:p>
    <w:p w:rsidR="001A6C53" w:rsidRPr="00392FFD" w:rsidRDefault="001A6C53" w:rsidP="001A6C53">
      <w:pPr>
        <w:pStyle w:val="InstructionsText2"/>
        <w:numPr>
          <w:ilvl w:val="0"/>
          <w:numId w:val="0"/>
        </w:numPr>
        <w:ind w:left="993"/>
      </w:pPr>
      <w:r>
        <w:t>91.</w:t>
      </w:r>
      <w:r>
        <w:tab/>
        <w:t>Les engagements sous forme d'actions suivants ne seront pas déclarés dans le modèle CR EQU IRB:</w:t>
      </w:r>
    </w:p>
    <w:p w:rsidR="001A6C53" w:rsidRPr="00392FFD" w:rsidRDefault="001A6C53" w:rsidP="001A6C53">
      <w:pPr>
        <w:pStyle w:val="InstructionsText"/>
      </w:pPr>
      <w:r>
        <w:lastRenderedPageBreak/>
        <w:t>- expositions sous forme d'actions dans le portefeuille de négociation (pour les cas où les ét</w:t>
      </w:r>
      <w:r>
        <w:t>a</w:t>
      </w:r>
      <w:r>
        <w:t xml:space="preserve">blissements ne sont pas exonérés du calcul des exigences de fonds propres pour les positions du portefeuille de négociation, conformément à l'article 94 du CRR). </w:t>
      </w:r>
    </w:p>
    <w:p w:rsidR="001A6C53" w:rsidRPr="00392FFD" w:rsidRDefault="001A6C53" w:rsidP="001A6C53">
      <w:pPr>
        <w:pStyle w:val="InstructionsText"/>
      </w:pPr>
      <w:r>
        <w:t>- expositions sous forme d'actions soumises au recours partiel à l'approche standard (a</w:t>
      </w:r>
      <w:r>
        <w:t>r</w:t>
      </w:r>
      <w:r>
        <w:t>ticle 150 du CRR), y compris:</w:t>
      </w:r>
    </w:p>
    <w:p w:rsidR="001A6C53" w:rsidRPr="00392FFD" w:rsidRDefault="001A6C53" w:rsidP="001A6C53">
      <w:pPr>
        <w:pStyle w:val="InstructionsText"/>
      </w:pPr>
      <w:r>
        <w:t>- les expositions sous forme d'actions bénéficiant d'une clause d'antériorité conformément à l'article 495, paragraphe 1, du CRR;</w:t>
      </w:r>
    </w:p>
    <w:p w:rsidR="001A6C53" w:rsidRPr="00392FFD" w:rsidRDefault="001A6C53" w:rsidP="001A6C53">
      <w:pPr>
        <w:pStyle w:val="InstructionsText"/>
      </w:pPr>
      <w:r>
        <w:t>- les expositions sous forme d'actions d'entités dont les obligations de crédit reçoivent une pondération de risque de 0 % en vertu de l'approche standard, y compris les entités à caractère public auxquels une pondération de risque de 0 % peut être appliquée (article 150, par</w:t>
      </w:r>
      <w:r>
        <w:t>a</w:t>
      </w:r>
      <w:r>
        <w:t>graphe 1, point g), du CRR);</w:t>
      </w:r>
    </w:p>
    <w:p w:rsidR="001A6C53" w:rsidRPr="00392FFD" w:rsidRDefault="001A6C53" w:rsidP="001A6C53">
      <w:pPr>
        <w:pStyle w:val="InstructionsText"/>
      </w:pPr>
      <w:r>
        <w:t>- les expositions sous forme d'actions prises dans le cadre de programmes législatifs visant à promouvoir certains secteurs de l'économie, qui accordent à l'établissement d'importantes subventions à l'investissement et impliquent aussi une certaine forme de contrôle public et des restrictions aux investissements en actions (article 150, paragraphe 1, point h), du CRR);</w:t>
      </w:r>
    </w:p>
    <w:p w:rsidR="001A6C53" w:rsidRPr="00392FFD" w:rsidRDefault="001A6C53" w:rsidP="001A6C53">
      <w:pPr>
        <w:pStyle w:val="InstructionsText"/>
      </w:pPr>
      <w:r>
        <w:t>- les expositions sur des actions d'entreprises de services auxiliaires dont les montants d'exp</w:t>
      </w:r>
      <w:r>
        <w:t>o</w:t>
      </w:r>
      <w:r>
        <w:t xml:space="preserve">sition pondérés peuvent être calculés selon le traitement réservé aux «actifs autres que des obligations de crédit» (conformément à l'article 155, paragraphe 1, du CRR); </w:t>
      </w:r>
    </w:p>
    <w:p w:rsidR="001A6C53" w:rsidRPr="00392FFD" w:rsidRDefault="001A6C53" w:rsidP="001A6C53">
      <w:pPr>
        <w:pStyle w:val="InstructionsText"/>
      </w:pPr>
      <w:r>
        <w:t>- les engagements sous forme d'actions déduits des fonds propres, conformément aux a</w:t>
      </w:r>
      <w:r>
        <w:t>r</w:t>
      </w:r>
      <w:r>
        <w:t>ticles 46 et 48 du CRR.</w:t>
      </w:r>
    </w:p>
    <w:p w:rsidR="001A6C53" w:rsidRPr="00392FFD" w:rsidRDefault="001A6C53" w:rsidP="001A6C53">
      <w:pPr>
        <w:pStyle w:val="InstructionsText"/>
      </w:pPr>
    </w:p>
    <w:p w:rsidR="001A6C53" w:rsidRPr="00392FFD" w:rsidRDefault="001A6C53" w:rsidP="001A6C53">
      <w:pPr>
        <w:pStyle w:val="Instructionsberschrift2"/>
        <w:numPr>
          <w:ilvl w:val="0"/>
          <w:numId w:val="0"/>
        </w:numPr>
        <w:ind w:left="357" w:hanging="357"/>
        <w:rPr>
          <w:rFonts w:ascii="Times New Roman" w:hAnsi="Times New Roman" w:cs="Times New Roman"/>
          <w:sz w:val="24"/>
        </w:rPr>
      </w:pPr>
      <w:bookmarkStart w:id="387" w:name="_Toc524104196"/>
      <w:r>
        <w:rPr>
          <w:rFonts w:ascii="Times New Roman" w:hAnsi="Times New Roman"/>
          <w:sz w:val="24"/>
          <w:u w:val="none"/>
        </w:rPr>
        <w:t>3.5.2.</w:t>
      </w:r>
      <w:r w:rsidRPr="00042D3B">
        <w:rPr>
          <w:u w:val="none"/>
        </w:rPr>
        <w:tab/>
      </w:r>
      <w:r>
        <w:rPr>
          <w:rFonts w:ascii="Times New Roman" w:hAnsi="Times New Roman"/>
          <w:sz w:val="24"/>
        </w:rPr>
        <w:t>Instructions concernant certaines positions (applicables aux sous-modèles CR EQU IRB 1 et CR EQU IRB 2)</w:t>
      </w:r>
      <w:bookmarkEnd w:id="387"/>
    </w:p>
    <w:tbl>
      <w:tblPr>
        <w:tblW w:w="0" w:type="auto"/>
        <w:tblLook w:val="01E0" w:firstRow="1" w:lastRow="1" w:firstColumn="1" w:lastColumn="1" w:noHBand="0" w:noVBand="0"/>
      </w:tblPr>
      <w:tblGrid>
        <w:gridCol w:w="852"/>
        <w:gridCol w:w="8004"/>
      </w:tblGrid>
      <w:tr w:rsidR="001A6C53" w:rsidRPr="00392FFD" w:rsidTr="008D2F6E">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1A6C53" w:rsidRPr="00392FFD" w:rsidRDefault="001A6C53" w:rsidP="008D2F6E">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Colonnes</w:t>
            </w:r>
          </w:p>
        </w:tc>
      </w:tr>
      <w:tr w:rsidR="001A6C53" w:rsidRPr="00392FFD" w:rsidTr="008D2F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w:t>
            </w:r>
          </w:p>
        </w:tc>
        <w:tc>
          <w:tcPr>
            <w:tcW w:w="8004" w:type="dxa"/>
          </w:tcPr>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ÉCHELON DE DÉBITEUR (IDENTIFIANT DE LIGNE)</w:t>
            </w:r>
          </w:p>
          <w:p w:rsidR="001A6C53" w:rsidRPr="00392FFD"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L'échelon de débiteur est un identifiant de ligne qui est propre à chaque ligne du tableau. </w:t>
            </w:r>
            <w:r>
              <w:rPr>
                <w:rFonts w:ascii="Times New Roman" w:hAnsi="Times New Roman"/>
                <w:sz w:val="24"/>
              </w:rPr>
              <w:t>Il suit l'ordre numérique: 1, 2, 3, etc.</w:t>
            </w:r>
          </w:p>
        </w:tc>
      </w:tr>
      <w:tr w:rsidR="001A6C53" w:rsidRPr="00392FFD" w:rsidTr="008D2F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w:t>
            </w:r>
          </w:p>
        </w:tc>
        <w:tc>
          <w:tcPr>
            <w:tcW w:w="8004" w:type="dxa"/>
          </w:tcPr>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SYSTÈME DE NOTATION INTERNE </w:t>
            </w:r>
          </w:p>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AFFECTÉE À L'ÉCHELON DE DÉBITEUR (%)</w:t>
            </w:r>
          </w:p>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Dans la colonne 010, les établissements qui appliquent la méthode PD/LGD d</w:t>
            </w:r>
            <w:r>
              <w:rPr>
                <w:rStyle w:val="InstructionsTabelleText"/>
                <w:rFonts w:ascii="Times New Roman" w:hAnsi="Times New Roman"/>
                <w:sz w:val="24"/>
              </w:rPr>
              <w:t>é</w:t>
            </w:r>
            <w:r>
              <w:rPr>
                <w:rStyle w:val="InstructionsTabelleText"/>
                <w:rFonts w:ascii="Times New Roman" w:hAnsi="Times New Roman"/>
                <w:sz w:val="24"/>
              </w:rPr>
              <w:t>clarent la probabilité de défaut (PD) calculée conformément aux dispositions de l'article 165, paragraphe 1, du CRR.</w:t>
            </w:r>
          </w:p>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 PD attribuée à l'échelon ou catégorie de débiteurs à déclarer satisfait aux ex</w:t>
            </w:r>
            <w:r>
              <w:rPr>
                <w:rStyle w:val="InstructionsTabelleText"/>
                <w:rFonts w:ascii="Times New Roman" w:hAnsi="Times New Roman"/>
                <w:sz w:val="24"/>
              </w:rPr>
              <w:t>i</w:t>
            </w:r>
            <w:r>
              <w:rPr>
                <w:rStyle w:val="InstructionsTabelleText"/>
                <w:rFonts w:ascii="Times New Roman" w:hAnsi="Times New Roman"/>
                <w:sz w:val="24"/>
              </w:rPr>
              <w:t>gences minimales prévues à la troisième partie, titre II, chapitre 3, section 6 du CRR. Pour chaque échelon ou catégorie, la PD qui lui est spécifiquement attr</w:t>
            </w:r>
            <w:r>
              <w:rPr>
                <w:rStyle w:val="InstructionsTabelleText"/>
                <w:rFonts w:ascii="Times New Roman" w:hAnsi="Times New Roman"/>
                <w:sz w:val="24"/>
              </w:rPr>
              <w:t>i</w:t>
            </w:r>
            <w:r>
              <w:rPr>
                <w:rStyle w:val="InstructionsTabelleText"/>
                <w:rFonts w:ascii="Times New Roman" w:hAnsi="Times New Roman"/>
                <w:sz w:val="24"/>
              </w:rPr>
              <w:t>buée est déclarée. Tous les paramètres de risque déclarés seront tirés des par</w:t>
            </w:r>
            <w:r>
              <w:rPr>
                <w:rStyle w:val="InstructionsTabelleText"/>
                <w:rFonts w:ascii="Times New Roman" w:hAnsi="Times New Roman"/>
                <w:sz w:val="24"/>
              </w:rPr>
              <w:t>a</w:t>
            </w:r>
            <w:r>
              <w:rPr>
                <w:rStyle w:val="InstructionsTabelleText"/>
                <w:rFonts w:ascii="Times New Roman" w:hAnsi="Times New Roman"/>
                <w:sz w:val="24"/>
              </w:rPr>
              <w:t>mètres de risque utilisés dans le système de notations internes approuvé par les autorités compétentes respectives.</w:t>
            </w:r>
          </w:p>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En ce qui concerne les chiffres correspondant à un ensemble d'échelons ou de catégories de débiteurs (par ex. le «total des expositions»), le montant moyen, </w:t>
            </w:r>
            <w:r>
              <w:rPr>
                <w:rStyle w:val="InstructionsTabelleText"/>
                <w:rFonts w:ascii="Times New Roman" w:hAnsi="Times New Roman"/>
                <w:sz w:val="24"/>
              </w:rPr>
              <w:lastRenderedPageBreak/>
              <w:t>pondéré en fonction de l'exposition, des PD attribuées aux échelons ou aux cat</w:t>
            </w:r>
            <w:r>
              <w:rPr>
                <w:rStyle w:val="InstructionsTabelleText"/>
                <w:rFonts w:ascii="Times New Roman" w:hAnsi="Times New Roman"/>
                <w:sz w:val="24"/>
              </w:rPr>
              <w:t>é</w:t>
            </w:r>
            <w:r>
              <w:rPr>
                <w:rStyle w:val="InstructionsTabelleText"/>
                <w:rFonts w:ascii="Times New Roman" w:hAnsi="Times New Roman"/>
                <w:sz w:val="24"/>
              </w:rPr>
              <w:t xml:space="preserve">gories de débiteurs inclus dans cet ensemble sera fourni. Toutes les expositions, y compris celles en défaut, doivent être prises en compte pour le calcul de la moyenne pondérée en fonction de l'exposition des PD. Pour le calcul de la moyenne pondérée en fonction de l'exposition des PD, on utilisera, à des fins de pondération, la valeur exposée au risque tenant compte de la protection de crédit non financée (colonne 060). </w:t>
            </w:r>
          </w:p>
        </w:tc>
      </w:tr>
      <w:tr w:rsidR="001A6C53" w:rsidRPr="00392FFD" w:rsidTr="008D2F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020</w:t>
            </w:r>
          </w:p>
        </w:tc>
        <w:tc>
          <w:tcPr>
            <w:tcW w:w="8004" w:type="dxa"/>
          </w:tcPr>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EXPOSITION INITIALE AVANT APPLICATION DES FACTEURS DE CONVERSION</w:t>
            </w: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Dans la colonne 020, les établissements déclarent la valeur exposée au risque initiale (avant application des facteurs de conversion). Conformément aux disp</w:t>
            </w:r>
            <w:r>
              <w:rPr>
                <w:rStyle w:val="InstructionsTabelleText"/>
                <w:rFonts w:ascii="Times New Roman" w:hAnsi="Times New Roman"/>
                <w:sz w:val="24"/>
              </w:rPr>
              <w:t>o</w:t>
            </w:r>
            <w:r>
              <w:rPr>
                <w:rStyle w:val="InstructionsTabelleText"/>
                <w:rFonts w:ascii="Times New Roman" w:hAnsi="Times New Roman"/>
                <w:sz w:val="24"/>
              </w:rPr>
              <w:t>sitions de l'article 167 du CRR, la valeur exposée au risque pour les expositions sous forme d'actions sera la valeur comptable résiduelle après ajustements pour risque de crédit spécifique. La</w:t>
            </w:r>
            <w:r>
              <w:rPr>
                <w:rFonts w:ascii="Times New Roman" w:hAnsi="Times New Roman"/>
                <w:sz w:val="24"/>
              </w:rPr>
              <w:t xml:space="preserve"> valeur exposée au risque des expositions sous forme d'actions hors bilan sera la valeur nominale après ajustements pour risque de crédit spécifique.</w:t>
            </w:r>
          </w:p>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Dans la colonne 020, les établissements déclarent également les éléments hors bilan visés à l'annexe I du CRR, affectés à la catégorie des expositions sous forme d'actions (par ex. «la fraction non versée d'actions et de titres partiell</w:t>
            </w:r>
            <w:r>
              <w:rPr>
                <w:rStyle w:val="InstructionsTabelleText"/>
                <w:rFonts w:ascii="Times New Roman" w:hAnsi="Times New Roman"/>
                <w:sz w:val="24"/>
              </w:rPr>
              <w:t>e</w:t>
            </w:r>
            <w:r>
              <w:rPr>
                <w:rStyle w:val="InstructionsTabelleText"/>
                <w:rFonts w:ascii="Times New Roman" w:hAnsi="Times New Roman"/>
                <w:sz w:val="24"/>
              </w:rPr>
              <w:t>ment libérés»).</w:t>
            </w:r>
          </w:p>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Les établissements qui appliquent la méthode de la pondération simple ou la m</w:t>
            </w:r>
            <w:r>
              <w:rPr>
                <w:rStyle w:val="InstructionsTabelleText"/>
                <w:rFonts w:ascii="Times New Roman" w:hAnsi="Times New Roman"/>
                <w:sz w:val="24"/>
              </w:rPr>
              <w:t>é</w:t>
            </w:r>
            <w:r>
              <w:rPr>
                <w:rStyle w:val="InstructionsTabelleText"/>
                <w:rFonts w:ascii="Times New Roman" w:hAnsi="Times New Roman"/>
                <w:sz w:val="24"/>
              </w:rPr>
              <w:t xml:space="preserve">thode PD/LGD (visée à l'article 165, paragraphe 1) tiennent également compte des dispositions de compensation visées à l'article 155, paragraphe 2, du CRR. </w:t>
            </w:r>
          </w:p>
        </w:tc>
      </w:tr>
      <w:tr w:rsidR="001A6C53" w:rsidRPr="00392FFD" w:rsidTr="008D2F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030-040</w:t>
            </w:r>
          </w:p>
        </w:tc>
        <w:tc>
          <w:tcPr>
            <w:tcW w:w="8004" w:type="dxa"/>
          </w:tcPr>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TECHNIQUES D'ATTÉNUATION DU RISQUE DE CRÉDIT (ARC) AVEC EFFETS DE SUBSTITUTION SUR L'EXPOSITION</w:t>
            </w:r>
          </w:p>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PROTECTION DE CRÉDIT NON FINANCÉE</w:t>
            </w:r>
          </w:p>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GARANTIES</w:t>
            </w:r>
          </w:p>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DÉRIVÉS DE CRÉDIT</w:t>
            </w:r>
          </w:p>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Indépendamment de l'approche adoptée pour le calcul des montants d'exposition pondérés pour les expositions sous forme d'actions, les établissements peuvent comptabiliser la protection de crédit non financée obtenue pour une exposition sous forme d'actions (article 155, paragraphes 2, 3 et 4, du CRR). Les établiss</w:t>
            </w:r>
            <w:r>
              <w:rPr>
                <w:rStyle w:val="InstructionsTabelleText"/>
                <w:rFonts w:ascii="Times New Roman" w:hAnsi="Times New Roman"/>
                <w:sz w:val="24"/>
              </w:rPr>
              <w:t>e</w:t>
            </w:r>
            <w:r>
              <w:rPr>
                <w:rStyle w:val="InstructionsTabelleText"/>
                <w:rFonts w:ascii="Times New Roman" w:hAnsi="Times New Roman"/>
                <w:sz w:val="24"/>
              </w:rPr>
              <w:t>ments qui appliquent la méthode de la pondération simple ou la méthode PD/LGD déclarent dans les colonnes 030 et 040 le montant de la protection de crédit non financée sous la forme de garanties (colonne 030) ou de dérivés de crédit (colonne 040), comptabilisée selon les méthodes prévues dans la troisième partie, titre II, chapitre 4 du CRR.</w:t>
            </w:r>
          </w:p>
        </w:tc>
      </w:tr>
      <w:tr w:rsidR="001A6C53" w:rsidRPr="00392FFD" w:rsidTr="008D2F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050</w:t>
            </w:r>
          </w:p>
        </w:tc>
        <w:tc>
          <w:tcPr>
            <w:tcW w:w="8004" w:type="dxa"/>
          </w:tcPr>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TECHNIQUES D'ATTÉNUATION DU RISQUE DE CRÉDIT (ARC) AVEC EFFETS DE SUBSTITUTION SUR L'EXPOSITION</w:t>
            </w:r>
          </w:p>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SUBSTITUTION DE L'EXPOSITION DUE À L'ARC</w:t>
            </w:r>
          </w:p>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TOTAL SORTIES</w:t>
            </w:r>
          </w:p>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Dans la colonne 050, les établissements déclarent la portion de l'exposition in</w:t>
            </w:r>
            <w:r>
              <w:rPr>
                <w:rStyle w:val="InstructionsTabelleText"/>
                <w:rFonts w:ascii="Times New Roman" w:hAnsi="Times New Roman"/>
                <w:sz w:val="24"/>
              </w:rPr>
              <w:t>i</w:t>
            </w:r>
            <w:r>
              <w:rPr>
                <w:rStyle w:val="InstructionsTabelleText"/>
                <w:rFonts w:ascii="Times New Roman" w:hAnsi="Times New Roman"/>
                <w:sz w:val="24"/>
              </w:rPr>
              <w:lastRenderedPageBreak/>
              <w:t>tiale avant application des facteurs de conversion, couverte par une protection de crédit non financée comptabilisée selon les méthodes visées dans la troisième partie, titre II, chapitre 4 du CRR.</w:t>
            </w:r>
          </w:p>
        </w:tc>
      </w:tr>
      <w:tr w:rsidR="001A6C53" w:rsidRPr="00392FFD" w:rsidTr="008D2F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060</w:t>
            </w:r>
          </w:p>
        </w:tc>
        <w:tc>
          <w:tcPr>
            <w:tcW w:w="8004" w:type="dxa"/>
          </w:tcPr>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VALEUR EXPOSÉE AU RISQUE</w:t>
            </w:r>
          </w:p>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Les établissements qui appliquent la méthode de la pondération simple ou la m</w:t>
            </w:r>
            <w:r>
              <w:rPr>
                <w:rStyle w:val="InstructionsTabelleText"/>
                <w:rFonts w:ascii="Times New Roman" w:hAnsi="Times New Roman"/>
                <w:sz w:val="24"/>
              </w:rPr>
              <w:t>é</w:t>
            </w:r>
            <w:r>
              <w:rPr>
                <w:rStyle w:val="InstructionsTabelleText"/>
                <w:rFonts w:ascii="Times New Roman" w:hAnsi="Times New Roman"/>
                <w:sz w:val="24"/>
              </w:rPr>
              <w:t xml:space="preserve">thode PD/LGD déclarent dans la colonne 060 la valeur exposée au risque compte tenu des effets de substitution découlant de la protection de crédit non financée (article 155, paragraphes 2 et 3, et article 167 du CRR). </w:t>
            </w:r>
          </w:p>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Pour rappel, dans le cas des expositions sous forme d'actions hors bilan, la v</w:t>
            </w:r>
            <w:r>
              <w:rPr>
                <w:rStyle w:val="InstructionsTabelleText"/>
                <w:rFonts w:ascii="Times New Roman" w:hAnsi="Times New Roman"/>
                <w:sz w:val="24"/>
              </w:rPr>
              <w:t>a</w:t>
            </w:r>
            <w:r>
              <w:rPr>
                <w:rStyle w:val="InstructionsTabelleText"/>
                <w:rFonts w:ascii="Times New Roman" w:hAnsi="Times New Roman"/>
                <w:sz w:val="24"/>
              </w:rPr>
              <w:t>leur exposée au risque sera la valeur nominale après ajustements pour risque de crédit spécifique (article 167 du CRR).</w:t>
            </w:r>
          </w:p>
        </w:tc>
      </w:tr>
      <w:tr w:rsidR="001A6C53" w:rsidRPr="00392FFD" w:rsidTr="008D2F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070</w:t>
            </w:r>
          </w:p>
        </w:tc>
        <w:tc>
          <w:tcPr>
            <w:tcW w:w="8004" w:type="dxa"/>
          </w:tcPr>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LGD MOYENNE, PONDÉRÉE (%)</w:t>
            </w:r>
          </w:p>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Les établissements qui appliquent la méthode PD/LGD déclarent dans la colonne 070 du modèle CR EQU IRB 2 la valeur moyenne, pondérée en fonction de l'e</w:t>
            </w:r>
            <w:r>
              <w:rPr>
                <w:rStyle w:val="InstructionsTabelleText"/>
                <w:rFonts w:ascii="Times New Roman" w:hAnsi="Times New Roman"/>
                <w:sz w:val="24"/>
              </w:rPr>
              <w:t>x</w:t>
            </w:r>
            <w:r>
              <w:rPr>
                <w:rStyle w:val="InstructionsTabelleText"/>
                <w:rFonts w:ascii="Times New Roman" w:hAnsi="Times New Roman"/>
                <w:sz w:val="24"/>
              </w:rPr>
              <w:t>position, des pertes en cas de défaut affectées aux échelons ou catégories de d</w:t>
            </w:r>
            <w:r>
              <w:rPr>
                <w:rStyle w:val="InstructionsTabelleText"/>
                <w:rFonts w:ascii="Times New Roman" w:hAnsi="Times New Roman"/>
                <w:sz w:val="24"/>
              </w:rPr>
              <w:t>é</w:t>
            </w:r>
            <w:r>
              <w:rPr>
                <w:rStyle w:val="InstructionsTabelleText"/>
                <w:rFonts w:ascii="Times New Roman" w:hAnsi="Times New Roman"/>
                <w:sz w:val="24"/>
              </w:rPr>
              <w:t>biteurs de l'ensemble; il en va de même pour la ligne 020 du modèle CR EQU IRB. La valeur exposée au risque compte tenu de la protection de crédit non f</w:t>
            </w:r>
            <w:r>
              <w:rPr>
                <w:rStyle w:val="InstructionsTabelleText"/>
                <w:rFonts w:ascii="Times New Roman" w:hAnsi="Times New Roman"/>
                <w:sz w:val="24"/>
              </w:rPr>
              <w:t>i</w:t>
            </w:r>
            <w:r>
              <w:rPr>
                <w:rStyle w:val="InstructionsTabelleText"/>
                <w:rFonts w:ascii="Times New Roman" w:hAnsi="Times New Roman"/>
                <w:sz w:val="24"/>
              </w:rPr>
              <w:t>nancée (colonne 060) sera utilisée pour le calcul du montant pondéré moyen des pertes en cas de défaut. Les établissements tiendront compte des dispositions de l'article 165, paragraphe 2, du CRR.</w:t>
            </w:r>
          </w:p>
        </w:tc>
      </w:tr>
      <w:tr w:rsidR="001A6C53" w:rsidRPr="00392FFD" w:rsidTr="008D2F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080</w:t>
            </w:r>
          </w:p>
        </w:tc>
        <w:tc>
          <w:tcPr>
            <w:tcW w:w="8004" w:type="dxa"/>
          </w:tcPr>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 D'EXPOSITION PONDÉRÉ</w:t>
            </w:r>
          </w:p>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Dans la colonne 080, les établissements déclarent les montants d'exposition po</w:t>
            </w:r>
            <w:r>
              <w:rPr>
                <w:rStyle w:val="InstructionsTabelleText"/>
                <w:rFonts w:ascii="Times New Roman" w:hAnsi="Times New Roman"/>
                <w:sz w:val="24"/>
              </w:rPr>
              <w:t>n</w:t>
            </w:r>
            <w:r>
              <w:rPr>
                <w:rStyle w:val="InstructionsTabelleText"/>
                <w:rFonts w:ascii="Times New Roman" w:hAnsi="Times New Roman"/>
                <w:sz w:val="24"/>
              </w:rPr>
              <w:t>dérés pour les expositions sous forme d'actions, calculés conformément aux di</w:t>
            </w:r>
            <w:r>
              <w:rPr>
                <w:rStyle w:val="InstructionsTabelleText"/>
                <w:rFonts w:ascii="Times New Roman" w:hAnsi="Times New Roman"/>
                <w:sz w:val="24"/>
              </w:rPr>
              <w:t>s</w:t>
            </w:r>
            <w:r>
              <w:rPr>
                <w:rStyle w:val="InstructionsTabelleText"/>
                <w:rFonts w:ascii="Times New Roman" w:hAnsi="Times New Roman"/>
                <w:sz w:val="24"/>
              </w:rPr>
              <w:t>positions de l'article 155 du CRR.</w:t>
            </w:r>
          </w:p>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Lorsque les établissements qui appliquent la méthode PD/LGD ne disposent pas d'informations suffisantes pour pouvoir utiliser la définition du défaut énoncée à l'article 178 du CRR, un facteur de majoration de 1,5 est appliqué aux pondér</w:t>
            </w:r>
            <w:r>
              <w:rPr>
                <w:rStyle w:val="InstructionsTabelleText"/>
                <w:rFonts w:ascii="Times New Roman" w:hAnsi="Times New Roman"/>
                <w:sz w:val="24"/>
              </w:rPr>
              <w:t>a</w:t>
            </w:r>
            <w:r>
              <w:rPr>
                <w:rStyle w:val="InstructionsTabelleText"/>
                <w:rFonts w:ascii="Times New Roman" w:hAnsi="Times New Roman"/>
                <w:sz w:val="24"/>
              </w:rPr>
              <w:t xml:space="preserve">tions de risque lors du calcul des montants d'exposition pondérés (article 155, paragraphe 3, du CRR). </w:t>
            </w:r>
          </w:p>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En ce qui concerne le paramètre d'entrée M (</w:t>
            </w:r>
            <w:proofErr w:type="spellStart"/>
            <w:r>
              <w:rPr>
                <w:rStyle w:val="InstructionsTabelleText"/>
                <w:rFonts w:ascii="Times New Roman" w:hAnsi="Times New Roman"/>
                <w:sz w:val="24"/>
              </w:rPr>
              <w:t>Maturity</w:t>
            </w:r>
            <w:proofErr w:type="spellEnd"/>
            <w:r>
              <w:rPr>
                <w:rStyle w:val="InstructionsTabelleText"/>
                <w:rFonts w:ascii="Times New Roman" w:hAnsi="Times New Roman"/>
                <w:sz w:val="24"/>
              </w:rPr>
              <w:t>, échéance) de la fonction de pondération de risque, l'échéance attribuée aux expositions sous forme d'a</w:t>
            </w:r>
            <w:r>
              <w:rPr>
                <w:rStyle w:val="InstructionsTabelleText"/>
                <w:rFonts w:ascii="Times New Roman" w:hAnsi="Times New Roman"/>
                <w:sz w:val="24"/>
              </w:rPr>
              <w:t>c</w:t>
            </w:r>
            <w:r>
              <w:rPr>
                <w:rStyle w:val="InstructionsTabelleText"/>
                <w:rFonts w:ascii="Times New Roman" w:hAnsi="Times New Roman"/>
                <w:sz w:val="24"/>
              </w:rPr>
              <w:t>tions est de cinq ans (article 165, paragraphe 3, du CRR).</w:t>
            </w:r>
          </w:p>
        </w:tc>
      </w:tr>
      <w:tr w:rsidR="001A6C53" w:rsidRPr="00392FFD" w:rsidTr="008D2F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090</w:t>
            </w:r>
          </w:p>
        </w:tc>
        <w:tc>
          <w:tcPr>
            <w:tcW w:w="8004" w:type="dxa"/>
          </w:tcPr>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POUR MÉMOIRE: MONTANT DES PERTES ANTICIPÉES</w:t>
            </w:r>
          </w:p>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Dans la colonne 090, les établissements déclarent le montant de la perte antic</w:t>
            </w:r>
            <w:r>
              <w:rPr>
                <w:rStyle w:val="InstructionsTabelleText"/>
                <w:rFonts w:ascii="Times New Roman" w:hAnsi="Times New Roman"/>
                <w:sz w:val="24"/>
              </w:rPr>
              <w:t>i</w:t>
            </w:r>
            <w:r>
              <w:rPr>
                <w:rStyle w:val="InstructionsTabelleText"/>
                <w:rFonts w:ascii="Times New Roman" w:hAnsi="Times New Roman"/>
                <w:sz w:val="24"/>
              </w:rPr>
              <w:t>pée pour les expositions sous forme d'actions, conformément à l'article 158, p</w:t>
            </w:r>
            <w:r>
              <w:rPr>
                <w:rStyle w:val="InstructionsTabelleText"/>
                <w:rFonts w:ascii="Times New Roman" w:hAnsi="Times New Roman"/>
                <w:sz w:val="24"/>
              </w:rPr>
              <w:t>a</w:t>
            </w:r>
            <w:r>
              <w:rPr>
                <w:rStyle w:val="InstructionsTabelleText"/>
                <w:rFonts w:ascii="Times New Roman" w:hAnsi="Times New Roman"/>
                <w:sz w:val="24"/>
              </w:rPr>
              <w:t xml:space="preserve">ragraphes 4, 7, 8 et 9, du CRR. </w:t>
            </w:r>
          </w:p>
        </w:tc>
      </w:tr>
    </w:tbl>
    <w:p w:rsidR="001A6C53" w:rsidRPr="00392FFD" w:rsidRDefault="001A6C53" w:rsidP="001A6C53">
      <w:pPr>
        <w:pStyle w:val="InstructionsText"/>
      </w:pPr>
    </w:p>
    <w:p w:rsidR="001A6C53" w:rsidRPr="00392FFD" w:rsidRDefault="001A6C53" w:rsidP="001A6C53">
      <w:pPr>
        <w:pStyle w:val="InstructionsText2"/>
        <w:numPr>
          <w:ilvl w:val="0"/>
          <w:numId w:val="0"/>
        </w:numPr>
        <w:ind w:left="993"/>
      </w:pPr>
      <w:r>
        <w:t>92.</w:t>
      </w:r>
      <w:r>
        <w:tab/>
        <w:t>Conformément à l'article 155 du CRR, les établissements peuvent appliquer différentes approches (méthode de la pondération simple, méthode PD/LGD, a</w:t>
      </w:r>
      <w:r>
        <w:t>p</w:t>
      </w:r>
      <w:r>
        <w:t>proche fondée sur les modèles internes) à différents portefeuilles lorsqu'ils utilisent ces différentes approches en interne. Dans le modèle CR QU IRB 1, les établiss</w:t>
      </w:r>
      <w:r>
        <w:t>e</w:t>
      </w:r>
      <w:r>
        <w:lastRenderedPageBreak/>
        <w:t>ments déclarent également les montants d'exposition pondérés pour les expositions sous forme d'actions qui impliquent un traitement de pondération fixe [sans pour autant être explicitement traitées selon la méthode de pondération simple ou selon le recours partiel (temporaire ou permanent) à l'approche standard du risque de cr</w:t>
      </w:r>
      <w:r>
        <w:t>é</w:t>
      </w:r>
      <w:r>
        <w:t>dit].</w:t>
      </w:r>
    </w:p>
    <w:tbl>
      <w:tblPr>
        <w:tblW w:w="9524" w:type="dxa"/>
        <w:tblLook w:val="01E0" w:firstRow="1" w:lastRow="1" w:firstColumn="1" w:lastColumn="1" w:noHBand="0" w:noVBand="0"/>
      </w:tblPr>
      <w:tblGrid>
        <w:gridCol w:w="1608"/>
        <w:gridCol w:w="7916"/>
      </w:tblGrid>
      <w:tr w:rsidR="001A6C53" w:rsidRPr="00392FFD" w:rsidTr="008D2F6E">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1A6C53" w:rsidRPr="00392FFD" w:rsidRDefault="001A6C53" w:rsidP="008D2F6E">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Lignes</w:t>
            </w:r>
          </w:p>
        </w:tc>
      </w:tr>
      <w:tr w:rsidR="001A6C53" w:rsidRPr="00392FFD" w:rsidTr="008D2F6E">
        <w:tc>
          <w:tcPr>
            <w:tcW w:w="1608"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ligne 020</w:t>
            </w:r>
          </w:p>
          <w:p w:rsidR="001A6C53" w:rsidRPr="00392FFD" w:rsidRDefault="001A6C53" w:rsidP="008D2F6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MÉTHODE PD/LGD: TOTAL </w:t>
            </w:r>
          </w:p>
          <w:p w:rsidR="001A6C53" w:rsidRPr="00392FFD" w:rsidRDefault="001A6C53" w:rsidP="008D2F6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Les établissements qui appliquent la méthode PD/LGD (article 155, par</w:t>
            </w:r>
            <w:r>
              <w:rPr>
                <w:rStyle w:val="InstructionsTabelleText"/>
                <w:rFonts w:ascii="Times New Roman" w:hAnsi="Times New Roman"/>
                <w:sz w:val="24"/>
              </w:rPr>
              <w:t>a</w:t>
            </w:r>
            <w:r>
              <w:rPr>
                <w:rStyle w:val="InstructionsTabelleText"/>
                <w:rFonts w:ascii="Times New Roman" w:hAnsi="Times New Roman"/>
                <w:sz w:val="24"/>
              </w:rPr>
              <w:t>graphe 3, du CRR) déclarent les informations requises à la ligne 020 du modèle CR EQU IRB 1.</w:t>
            </w:r>
          </w:p>
        </w:tc>
      </w:tr>
      <w:tr w:rsidR="001A6C53" w:rsidRPr="00392FFD" w:rsidTr="008D2F6E">
        <w:tc>
          <w:tcPr>
            <w:tcW w:w="1608"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lignes 050 - 090</w:t>
            </w:r>
          </w:p>
        </w:tc>
        <w:tc>
          <w:tcPr>
            <w:tcW w:w="7916"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rPr>
                <w:rStyle w:val="InstructionsTabelleText"/>
                <w:rFonts w:ascii="Times New Roman" w:hAnsi="Times New Roman"/>
                <w:b/>
                <w:sz w:val="24"/>
                <w:u w:val="single"/>
              </w:rPr>
            </w:pPr>
            <w:r>
              <w:rPr>
                <w:rStyle w:val="InstructionsTabelleText"/>
                <w:rFonts w:ascii="Times New Roman" w:hAnsi="Times New Roman"/>
                <w:b/>
                <w:sz w:val="24"/>
                <w:u w:val="single"/>
              </w:rPr>
              <w:t>MÉTHODE DE PONDÉRATION SIMPLE: TOTAL</w:t>
            </w:r>
          </w:p>
          <w:p w:rsidR="001A6C53" w:rsidRPr="00392FFD" w:rsidRDefault="001A6C53" w:rsidP="008D2F6E">
            <w:pPr>
              <w:rPr>
                <w:rStyle w:val="InstructionsTabelleText"/>
                <w:rFonts w:ascii="Times New Roman" w:hAnsi="Times New Roman"/>
                <w:b/>
                <w:sz w:val="24"/>
                <w:u w:val="single"/>
              </w:rPr>
            </w:pPr>
            <w:r>
              <w:rPr>
                <w:rStyle w:val="InstructionsTabelleText"/>
                <w:rFonts w:ascii="Times New Roman" w:hAnsi="Times New Roman"/>
                <w:b/>
                <w:sz w:val="24"/>
                <w:u w:val="single"/>
              </w:rPr>
              <w:t>RÉPARTITION DES EXPOSITIONS TOTALES PAR PONDÉRATION SELON LA MÉTHODE DE PONDÉRATION SIMPLE:</w:t>
            </w:r>
          </w:p>
          <w:p w:rsidR="001A6C53" w:rsidRPr="00392FFD" w:rsidRDefault="001A6C53" w:rsidP="008D2F6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Les établissements qui appliquent la méthode de pondération simple (a</w:t>
            </w:r>
            <w:r>
              <w:rPr>
                <w:rStyle w:val="InstructionsTabelleText"/>
                <w:rFonts w:ascii="Times New Roman" w:hAnsi="Times New Roman"/>
                <w:sz w:val="24"/>
              </w:rPr>
              <w:t>r</w:t>
            </w:r>
            <w:r>
              <w:rPr>
                <w:rStyle w:val="InstructionsTabelleText"/>
                <w:rFonts w:ascii="Times New Roman" w:hAnsi="Times New Roman"/>
                <w:sz w:val="24"/>
              </w:rPr>
              <w:t>ticle 155, paragraphe 2, du CRR) déclarent aux lignes 050 à 090 les inform</w:t>
            </w:r>
            <w:r>
              <w:rPr>
                <w:rStyle w:val="InstructionsTabelleText"/>
                <w:rFonts w:ascii="Times New Roman" w:hAnsi="Times New Roman"/>
                <w:sz w:val="24"/>
              </w:rPr>
              <w:t>a</w:t>
            </w:r>
            <w:r>
              <w:rPr>
                <w:rStyle w:val="InstructionsTabelleText"/>
                <w:rFonts w:ascii="Times New Roman" w:hAnsi="Times New Roman"/>
                <w:sz w:val="24"/>
              </w:rPr>
              <w:t>tions requises en fonction des caractéristiques des expositions sous-jacentes.</w:t>
            </w:r>
          </w:p>
        </w:tc>
      </w:tr>
      <w:tr w:rsidR="001A6C53" w:rsidRPr="00392FFD" w:rsidTr="008D2F6E">
        <w:tc>
          <w:tcPr>
            <w:tcW w:w="1608"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ligne 100</w:t>
            </w:r>
          </w:p>
        </w:tc>
        <w:tc>
          <w:tcPr>
            <w:tcW w:w="7916"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APPROCHE FONDÉE SUR LES MODÈLES INTERNES</w:t>
            </w:r>
          </w:p>
          <w:p w:rsidR="001A6C53" w:rsidRPr="00392FFD" w:rsidRDefault="001A6C53" w:rsidP="008D2F6E">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Les établissements qui appliquent l'approche fondée sur les modèles internes (article 155, paragraphe 4, du CRR) déclarent les informations requises à la ligne 100.</w:t>
            </w:r>
          </w:p>
        </w:tc>
      </w:tr>
      <w:tr w:rsidR="001A6C53" w:rsidRPr="00392FFD" w:rsidTr="008D2F6E">
        <w:tc>
          <w:tcPr>
            <w:tcW w:w="1608"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ligne 110</w:t>
            </w:r>
          </w:p>
        </w:tc>
        <w:tc>
          <w:tcPr>
            <w:tcW w:w="7916"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EXPOSITIONS SOUS FORME D’ACTIONS FAISANT L'OBJET DE PONDÉRATIONS</w:t>
            </w:r>
          </w:p>
          <w:p w:rsidR="001A6C53" w:rsidRPr="00392FFD" w:rsidRDefault="001A6C53" w:rsidP="008D2F6E">
            <w:pPr>
              <w:rPr>
                <w:rFonts w:ascii="Times New Roman" w:hAnsi="Times New Roman"/>
                <w:sz w:val="24"/>
              </w:rPr>
            </w:pPr>
            <w:r>
              <w:rPr>
                <w:rFonts w:ascii="Times New Roman" w:hAnsi="Times New Roman"/>
                <w:sz w:val="24"/>
              </w:rPr>
              <w:t>Les établissements qui appliquent l'approche NI déclarent les montants d'exp</w:t>
            </w:r>
            <w:r>
              <w:rPr>
                <w:rFonts w:ascii="Times New Roman" w:hAnsi="Times New Roman"/>
                <w:sz w:val="24"/>
              </w:rPr>
              <w:t>o</w:t>
            </w:r>
            <w:r>
              <w:rPr>
                <w:rFonts w:ascii="Times New Roman" w:hAnsi="Times New Roman"/>
                <w:sz w:val="24"/>
              </w:rPr>
              <w:t>sition pondérés pour les expositions sous forme d'actions qui impliquent un tra</w:t>
            </w:r>
            <w:r>
              <w:rPr>
                <w:rFonts w:ascii="Times New Roman" w:hAnsi="Times New Roman"/>
                <w:sz w:val="24"/>
              </w:rPr>
              <w:t>i</w:t>
            </w:r>
            <w:r>
              <w:rPr>
                <w:rFonts w:ascii="Times New Roman" w:hAnsi="Times New Roman"/>
                <w:sz w:val="24"/>
              </w:rPr>
              <w:t>tement de pondération fixe [sans pour autant être explicitement traitées selon la méthode de pondération simple ou selon le recours partiel (temporaire ou pe</w:t>
            </w:r>
            <w:r>
              <w:rPr>
                <w:rFonts w:ascii="Times New Roman" w:hAnsi="Times New Roman"/>
                <w:sz w:val="24"/>
              </w:rPr>
              <w:t>r</w:t>
            </w:r>
            <w:r>
              <w:rPr>
                <w:rFonts w:ascii="Times New Roman" w:hAnsi="Times New Roman"/>
                <w:sz w:val="24"/>
              </w:rPr>
              <w:t xml:space="preserve">manent) à l'approche standard du risque de crédit]. Par exemple, </w:t>
            </w:r>
          </w:p>
          <w:p w:rsidR="001A6C53" w:rsidRPr="00392FFD" w:rsidRDefault="001A6C53" w:rsidP="008D2F6E">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le montant d'exposition pondéré des positions sous forme d'actions dans des entités du secteur financier traité conformément à l'article 48, paragraphe 4, du CRR, ainsi que </w:t>
            </w:r>
          </w:p>
          <w:p w:rsidR="001A6C53" w:rsidRPr="00392FFD" w:rsidRDefault="001A6C53" w:rsidP="008D2F6E">
            <w:pPr>
              <w:rPr>
                <w:rStyle w:val="FormatvorlageInstructionsTabelleText"/>
                <w:rFonts w:ascii="Times New Roman" w:hAnsi="Times New Roman"/>
                <w:sz w:val="24"/>
              </w:rPr>
            </w:pPr>
            <w:r>
              <w:rPr>
                <w:rStyle w:val="FormatvorlageInstructionsTabelleText"/>
                <w:rFonts w:ascii="Times New Roman" w:hAnsi="Times New Roman"/>
                <w:sz w:val="24"/>
              </w:rPr>
              <w:t xml:space="preserve">- les positions sous forme d'actions faisant l'objet d'une pondération de 370 % conformément à l'article 471, paragraphe 2, du CRR </w:t>
            </w:r>
          </w:p>
          <w:p w:rsidR="001A6C53" w:rsidRPr="00392FFD" w:rsidRDefault="001A6C53" w:rsidP="008D2F6E">
            <w:pPr>
              <w:rPr>
                <w:rStyle w:val="FormatvorlageInstructionsTabelleText"/>
                <w:rFonts w:ascii="Times New Roman" w:hAnsi="Times New Roman"/>
                <w:sz w:val="24"/>
              </w:rPr>
            </w:pPr>
            <w:r>
              <w:rPr>
                <w:rStyle w:val="FormatvorlageInstructionsTabelleText"/>
                <w:rFonts w:ascii="Times New Roman" w:hAnsi="Times New Roman"/>
                <w:sz w:val="24"/>
              </w:rPr>
              <w:t>seront déclarés à la ligne 110.</w:t>
            </w:r>
          </w:p>
        </w:tc>
      </w:tr>
      <w:tr w:rsidR="001A6C53" w:rsidRPr="00392FFD" w:rsidTr="008D2F6E">
        <w:tc>
          <w:tcPr>
            <w:tcW w:w="1608"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rPr>
                <w:rStyle w:val="InstructionsTabelleText"/>
                <w:rFonts w:ascii="Times New Roman" w:hAnsi="Times New Roman"/>
                <w:sz w:val="24"/>
              </w:rPr>
            </w:pPr>
            <w:r>
              <w:rPr>
                <w:rStyle w:val="InstructionsTabelleText"/>
                <w:rFonts w:ascii="Times New Roman" w:hAnsi="Times New Roman"/>
                <w:sz w:val="24"/>
              </w:rPr>
              <w:t>CR EQU IRB 2</w:t>
            </w:r>
          </w:p>
          <w:p w:rsidR="001A6C53" w:rsidRPr="00392FFD" w:rsidRDefault="001A6C53" w:rsidP="008D2F6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RÉPARTITION DES EXPOSITIONS TOTALES SELON LA MÉTHODE PD/LGD PAR ÉCHELON DE DÉBITEURS</w:t>
            </w:r>
          </w:p>
          <w:p w:rsidR="001A6C53" w:rsidRPr="00392FFD" w:rsidRDefault="001A6C53" w:rsidP="008D2F6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Les établissements qui appliquent la méthode PD/LGD (article 155, par</w:t>
            </w:r>
            <w:r>
              <w:rPr>
                <w:rStyle w:val="InstructionsTabelleText"/>
                <w:rFonts w:ascii="Times New Roman" w:hAnsi="Times New Roman"/>
                <w:sz w:val="24"/>
              </w:rPr>
              <w:t>a</w:t>
            </w:r>
            <w:r>
              <w:rPr>
                <w:rStyle w:val="InstructionsTabelleText"/>
                <w:rFonts w:ascii="Times New Roman" w:hAnsi="Times New Roman"/>
                <w:sz w:val="24"/>
              </w:rPr>
              <w:t>graphe 3, du CRR) déclarent les informations requises dans le modèle CR EQU IRB 2.</w:t>
            </w:r>
          </w:p>
          <w:p w:rsidR="001A6C53" w:rsidRPr="00392FFD" w:rsidRDefault="001A6C53" w:rsidP="008D2F6E">
            <w:pPr>
              <w:rPr>
                <w:rStyle w:val="InstructionsTabelleberschrift"/>
                <w:rFonts w:ascii="Times New Roman" w:hAnsi="Times New Roman"/>
                <w:b w:val="0"/>
                <w:bCs w:val="0"/>
                <w:sz w:val="24"/>
                <w:u w:val="none"/>
              </w:rPr>
            </w:pPr>
            <w:r>
              <w:rPr>
                <w:rStyle w:val="InstructionsTabelleText"/>
                <w:rFonts w:ascii="Times New Roman" w:hAnsi="Times New Roman"/>
                <w:sz w:val="24"/>
              </w:rPr>
              <w:t>Lorsque les établissements qui appliquent la méthode PD/LGD utilisent un sy</w:t>
            </w:r>
            <w:r>
              <w:rPr>
                <w:rStyle w:val="InstructionsTabelleText"/>
                <w:rFonts w:ascii="Times New Roman" w:hAnsi="Times New Roman"/>
                <w:sz w:val="24"/>
              </w:rPr>
              <w:t>s</w:t>
            </w:r>
            <w:r>
              <w:rPr>
                <w:rStyle w:val="InstructionsTabelleText"/>
                <w:rFonts w:ascii="Times New Roman" w:hAnsi="Times New Roman"/>
                <w:sz w:val="24"/>
              </w:rPr>
              <w:lastRenderedPageBreak/>
              <w:t>tème unique de notations ou peuvent baser leur déclaration sur une échelle type interne, ils déclarent les échelons ou catégories de débiteurs associés à ce sy</w:t>
            </w:r>
            <w:r>
              <w:rPr>
                <w:rStyle w:val="InstructionsTabelleText"/>
                <w:rFonts w:ascii="Times New Roman" w:hAnsi="Times New Roman"/>
                <w:sz w:val="24"/>
              </w:rPr>
              <w:t>s</w:t>
            </w:r>
            <w:r>
              <w:rPr>
                <w:rStyle w:val="InstructionsTabelleText"/>
                <w:rFonts w:ascii="Times New Roman" w:hAnsi="Times New Roman"/>
                <w:sz w:val="24"/>
              </w:rPr>
              <w:t>tème unique de notations/cette échelle type interne dans le modèle CR EQU IRB 2. Dans les autres cas, on fusionnera les divers systèmes de notation, le</w:t>
            </w:r>
            <w:r>
              <w:rPr>
                <w:rStyle w:val="InstructionsTabelleText"/>
                <w:rFonts w:ascii="Times New Roman" w:hAnsi="Times New Roman"/>
                <w:sz w:val="24"/>
              </w:rPr>
              <w:t>s</w:t>
            </w:r>
            <w:r>
              <w:rPr>
                <w:rStyle w:val="InstructionsTabelleText"/>
                <w:rFonts w:ascii="Times New Roman" w:hAnsi="Times New Roman"/>
                <w:sz w:val="24"/>
              </w:rPr>
              <w:t>quels seront classés selon les critères suivants: Les échelons ou les catégories de débiteurs de ces divers systèmes de notation seront groupés et classés de la plus petite PD attribuée à chaque échelon ou catégorie de débiteurs à la plus grande.</w:t>
            </w:r>
          </w:p>
        </w:tc>
      </w:tr>
    </w:tbl>
    <w:p w:rsidR="001A6C53" w:rsidRPr="00392FFD" w:rsidRDefault="001A6C53" w:rsidP="001A6C53">
      <w:pPr>
        <w:spacing w:before="0" w:after="0"/>
        <w:jc w:val="left"/>
        <w:rPr>
          <w:rStyle w:val="InstructionsTabelleText"/>
          <w:rFonts w:ascii="Times New Roman" w:hAnsi="Times New Roman"/>
          <w:sz w:val="24"/>
        </w:rPr>
      </w:pP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388" w:name="_Toc524104197"/>
      <w:r>
        <w:rPr>
          <w:rFonts w:ascii="Times New Roman" w:hAnsi="Times New Roman"/>
          <w:sz w:val="24"/>
          <w:u w:val="none"/>
        </w:rPr>
        <w:t>3.6.</w:t>
      </w:r>
      <w:r w:rsidRPr="00042D3B">
        <w:rPr>
          <w:u w:val="none"/>
        </w:rPr>
        <w:tab/>
      </w:r>
      <w:r>
        <w:rPr>
          <w:rFonts w:ascii="Times New Roman" w:hAnsi="Times New Roman"/>
          <w:sz w:val="24"/>
        </w:rPr>
        <w:t>C 11.00 – Risque de règlement/livraison (CR SETT)</w:t>
      </w:r>
      <w:bookmarkEnd w:id="388"/>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389" w:name="_Toc524104198"/>
      <w:r>
        <w:rPr>
          <w:rFonts w:ascii="Times New Roman" w:hAnsi="Times New Roman"/>
          <w:sz w:val="24"/>
          <w:u w:val="none"/>
        </w:rPr>
        <w:t>3.6.1</w:t>
      </w:r>
      <w:r w:rsidRPr="00042D3B">
        <w:rPr>
          <w:rFonts w:ascii="Times New Roman" w:hAnsi="Times New Roman"/>
          <w:sz w:val="24"/>
          <w:u w:val="none"/>
        </w:rPr>
        <w:t>.</w:t>
      </w:r>
      <w:r w:rsidRPr="00042D3B">
        <w:rPr>
          <w:u w:val="none"/>
        </w:rPr>
        <w:tab/>
      </w:r>
      <w:r>
        <w:rPr>
          <w:rFonts w:ascii="Times New Roman" w:hAnsi="Times New Roman"/>
          <w:sz w:val="24"/>
        </w:rPr>
        <w:t>Remarques générales</w:t>
      </w:r>
      <w:bookmarkEnd w:id="389"/>
    </w:p>
    <w:p w:rsidR="001A6C53" w:rsidRPr="00392FFD" w:rsidRDefault="001A6C53" w:rsidP="001A6C53">
      <w:pPr>
        <w:pStyle w:val="InstructionsText2"/>
        <w:numPr>
          <w:ilvl w:val="0"/>
          <w:numId w:val="0"/>
        </w:numPr>
        <w:ind w:left="993"/>
      </w:pPr>
      <w:r>
        <w:t>93.</w:t>
      </w:r>
      <w:r>
        <w:tab/>
        <w:t>Ce modèle contient des informations sur les opérations du portefeuille de n</w:t>
      </w:r>
      <w:r>
        <w:t>é</w:t>
      </w:r>
      <w:r>
        <w:t>gociation et hors négociation, qui ne sont pas dénouées après la date prévue de l</w:t>
      </w:r>
      <w:r>
        <w:t>i</w:t>
      </w:r>
      <w:r>
        <w:t xml:space="preserve">vraison, ainsi que sur les exigences de fonds propres correspondantes pour le risque de règlement conformément à l'article 92, paragraphe 3, point c) ii) et à l'article 378 du CRR. </w:t>
      </w:r>
    </w:p>
    <w:p w:rsidR="001A6C53" w:rsidRPr="00392FFD" w:rsidRDefault="001A6C53" w:rsidP="001A6C53">
      <w:pPr>
        <w:pStyle w:val="InstructionsText2"/>
        <w:numPr>
          <w:ilvl w:val="0"/>
          <w:numId w:val="0"/>
        </w:numPr>
        <w:ind w:left="993"/>
      </w:pPr>
      <w:r>
        <w:t>94.</w:t>
      </w:r>
      <w:r>
        <w:tab/>
        <w:t xml:space="preserve">Dans le modèle CR SETT, les établissements déclarent les informations sur le risque de règlement/livraison en rapport avec les titres de créance, les actions, les devises et les matières premières détenus tant dans le portefeuille de négociation que dans le portefeuille hors négociation. </w:t>
      </w:r>
    </w:p>
    <w:p w:rsidR="001A6C53" w:rsidRPr="00392FFD" w:rsidRDefault="001A6C53" w:rsidP="001A6C53">
      <w:pPr>
        <w:pStyle w:val="InstructionsText2"/>
        <w:numPr>
          <w:ilvl w:val="0"/>
          <w:numId w:val="0"/>
        </w:numPr>
        <w:ind w:left="993"/>
      </w:pPr>
      <w:r>
        <w:t>95.</w:t>
      </w:r>
      <w:r>
        <w:tab/>
        <w:t>En vertu de l'article 378 du CRR, ne sont pas soumises au risque de règl</w:t>
      </w:r>
      <w:r>
        <w:t>e</w:t>
      </w:r>
      <w:r>
        <w:t>ment/livraison les opérations de pension et les opérations de prêt ou d'emprunt de titres ou de matières premières, liées à des titres de créance, actions, devises et m</w:t>
      </w:r>
      <w:r>
        <w:t>a</w:t>
      </w:r>
      <w:r>
        <w:t>tières premières. Il faut toutefois remarquer que les dérivés et les opérations à r</w:t>
      </w:r>
      <w:r>
        <w:t>è</w:t>
      </w:r>
      <w:r>
        <w:t>glement différé non dénoués après la date prévue de livraison sont néanmoins so</w:t>
      </w:r>
      <w:r>
        <w:t>u</w:t>
      </w:r>
      <w:r>
        <w:t>mis à des exigences de fonds propres pour risque de règlement/livraison, confo</w:t>
      </w:r>
      <w:r>
        <w:t>r</w:t>
      </w:r>
      <w:r>
        <w:t>mément à l'article 378 du CRR.</w:t>
      </w:r>
    </w:p>
    <w:p w:rsidR="001A6C53" w:rsidRPr="00392FFD" w:rsidRDefault="001A6C53" w:rsidP="001A6C53">
      <w:pPr>
        <w:pStyle w:val="InstructionsText2"/>
        <w:numPr>
          <w:ilvl w:val="0"/>
          <w:numId w:val="0"/>
        </w:numPr>
        <w:ind w:left="993"/>
      </w:pPr>
      <w:r>
        <w:t>96.</w:t>
      </w:r>
      <w:r>
        <w:tab/>
        <w:t>Dans le cas des opérations qui ne sont pas dénouées après la date de livraison prévue, l'établissement calcule la différence de prix à laquelle il est exposé. La di</w:t>
      </w:r>
      <w:r>
        <w:t>f</w:t>
      </w:r>
      <w:r>
        <w:t>férence de prix est calculée comme étant égale à la différence entre le prix de r</w:t>
      </w:r>
      <w:r>
        <w:t>è</w:t>
      </w:r>
      <w:r>
        <w:t xml:space="preserve">glement convenu pour le titre de créance, l'action, la devise ou la matière première considéré et sa valeur de marché courante, lorsque cette différence peut impliquer une perte pour l'établissement. </w:t>
      </w:r>
    </w:p>
    <w:p w:rsidR="001A6C53" w:rsidRPr="00392FFD" w:rsidRDefault="001A6C53" w:rsidP="001A6C53">
      <w:pPr>
        <w:pStyle w:val="InstructionsText2"/>
        <w:numPr>
          <w:ilvl w:val="0"/>
          <w:numId w:val="0"/>
        </w:numPr>
        <w:ind w:left="993"/>
      </w:pPr>
      <w:r>
        <w:t>97.</w:t>
      </w:r>
      <w:r>
        <w:tab/>
        <w:t>Pour calculer son exigence de fonds propres correspondante, l'établissement multiplie cette différence de prix par le facteur approprié du tableau 1 de l'a</w:t>
      </w:r>
      <w:r>
        <w:t>r</w:t>
      </w:r>
      <w:r>
        <w:t>ticle 378 du CRR.</w:t>
      </w:r>
    </w:p>
    <w:p w:rsidR="001A6C53" w:rsidRPr="00392FFD" w:rsidRDefault="001A6C53" w:rsidP="001A6C53">
      <w:pPr>
        <w:pStyle w:val="InstructionsText2"/>
        <w:numPr>
          <w:ilvl w:val="0"/>
          <w:numId w:val="0"/>
        </w:numPr>
        <w:ind w:left="993"/>
      </w:pPr>
      <w:r>
        <w:t>98.</w:t>
      </w:r>
      <w:r>
        <w:tab/>
        <w:t>Conformément à l'article 92, paragraphe 4, point b), les exigences de fonds propres pour risque de règlement/livraison seront multipliées par 12,5 pour calculer le montant d'exposition au risque.</w:t>
      </w:r>
    </w:p>
    <w:p w:rsidR="001A6C53" w:rsidRPr="00392FFD" w:rsidRDefault="001A6C53" w:rsidP="001A6C53">
      <w:pPr>
        <w:pStyle w:val="InstructionsText2"/>
        <w:numPr>
          <w:ilvl w:val="0"/>
          <w:numId w:val="0"/>
        </w:numPr>
        <w:ind w:left="993"/>
      </w:pPr>
      <w:r>
        <w:t>99.</w:t>
      </w:r>
      <w:r>
        <w:tab/>
        <w:t xml:space="preserve">Il convient de noter que les exigences de fonds propres pour les positions de négociation non dénouées visées à l'article 379 du CRR n'entrent pas dans le champ </w:t>
      </w:r>
      <w:r>
        <w:lastRenderedPageBreak/>
        <w:t>d'application du modèle CR SETT, mais seront déclarées dans les modèles cons</w:t>
      </w:r>
      <w:r>
        <w:t>a</w:t>
      </w:r>
      <w:r>
        <w:t>crés au risque de crédit (CR SA, CR IRB).</w:t>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390" w:name="_Toc524104199"/>
      <w:r>
        <w:rPr>
          <w:rFonts w:ascii="Times New Roman" w:hAnsi="Times New Roman"/>
          <w:sz w:val="24"/>
          <w:u w:val="none"/>
        </w:rPr>
        <w:t>3.6.2.</w:t>
      </w:r>
      <w:r w:rsidRPr="00C65B75">
        <w:rPr>
          <w:u w:val="none"/>
        </w:rPr>
        <w:tab/>
      </w:r>
      <w:r>
        <w:rPr>
          <w:rFonts w:ascii="Times New Roman" w:hAnsi="Times New Roman"/>
          <w:sz w:val="24"/>
        </w:rPr>
        <w:t>Instructions concernant certaines positions</w:t>
      </w:r>
      <w:bookmarkEnd w:id="3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A6C53" w:rsidRPr="00392FFD" w:rsidTr="008D2F6E">
        <w:tc>
          <w:tcPr>
            <w:tcW w:w="8856" w:type="dxa"/>
            <w:gridSpan w:val="2"/>
            <w:shd w:val="clear" w:color="auto" w:fill="CCCCCC"/>
          </w:tcPr>
          <w:p w:rsidR="001A6C53" w:rsidRPr="00392FFD" w:rsidRDefault="001A6C53" w:rsidP="008D2F6E">
            <w:pPr>
              <w:spacing w:beforeLines="60" w:before="144" w:afterLines="60" w:after="144"/>
              <w:rPr>
                <w:rFonts w:ascii="Times New Roman" w:hAnsi="Times New Roman"/>
                <w:b/>
                <w:sz w:val="24"/>
              </w:rPr>
            </w:pPr>
            <w:r>
              <w:rPr>
                <w:rFonts w:ascii="Times New Roman" w:hAnsi="Times New Roman"/>
                <w:b/>
                <w:sz w:val="24"/>
              </w:rPr>
              <w:t>Colonnes</w:t>
            </w:r>
          </w:p>
        </w:tc>
      </w:tr>
      <w:tr w:rsidR="001A6C53" w:rsidRPr="00392FFD" w:rsidTr="008D2F6E">
        <w:tc>
          <w:tcPr>
            <w:tcW w:w="852" w:type="dxa"/>
          </w:tcPr>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010</w:t>
            </w:r>
          </w:p>
        </w:tc>
        <w:tc>
          <w:tcPr>
            <w:tcW w:w="8004" w:type="dxa"/>
          </w:tcPr>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AU PRIX DE RÈGLEMENT</w:t>
            </w:r>
          </w:p>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Conformément à l'article 378 du CRR, les établissements déclarent dans la c</w:t>
            </w:r>
            <w:r>
              <w:rPr>
                <w:rFonts w:ascii="Times New Roman" w:hAnsi="Times New Roman"/>
                <w:sz w:val="24"/>
              </w:rPr>
              <w:t>o</w:t>
            </w:r>
            <w:r>
              <w:rPr>
                <w:rFonts w:ascii="Times New Roman" w:hAnsi="Times New Roman"/>
                <w:sz w:val="24"/>
              </w:rPr>
              <w:t>lonne 010 les opérations qui ne sont pas dénouées après la date de livraison pr</w:t>
            </w:r>
            <w:r>
              <w:rPr>
                <w:rFonts w:ascii="Times New Roman" w:hAnsi="Times New Roman"/>
                <w:sz w:val="24"/>
              </w:rPr>
              <w:t>é</w:t>
            </w:r>
            <w:r>
              <w:rPr>
                <w:rFonts w:ascii="Times New Roman" w:hAnsi="Times New Roman"/>
                <w:sz w:val="24"/>
              </w:rPr>
              <w:t xml:space="preserve">vue, selon le prix de règlement convenu. </w:t>
            </w:r>
          </w:p>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Toutes les opérations non dénouée seront inscrites dans cette colonne 010, qu'elles impliquent ou non une perte ou un bénéfice après la date de livraison prévue.</w:t>
            </w:r>
          </w:p>
        </w:tc>
      </w:tr>
      <w:tr w:rsidR="001A6C53" w:rsidRPr="00392FFD" w:rsidTr="008D2F6E">
        <w:tc>
          <w:tcPr>
            <w:tcW w:w="852" w:type="dxa"/>
          </w:tcPr>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020</w:t>
            </w:r>
          </w:p>
        </w:tc>
        <w:tc>
          <w:tcPr>
            <w:tcW w:w="8004" w:type="dxa"/>
          </w:tcPr>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EXPOSITION À LA DIFFÉRENCE DE PRIX DUE À DES OPÉRATIONS NON DÉNOUÉES</w:t>
            </w:r>
          </w:p>
          <w:p w:rsidR="001A6C53" w:rsidRPr="00C37B29" w:rsidRDefault="001A6C53" w:rsidP="008D2F6E">
            <w:pPr>
              <w:spacing w:beforeLines="60" w:before="144" w:afterLines="60" w:after="144"/>
              <w:rPr>
                <w:rFonts w:ascii="Times New Roman" w:hAnsi="Times New Roman"/>
                <w:sz w:val="24"/>
              </w:rPr>
            </w:pPr>
            <w:r>
              <w:rPr>
                <w:rFonts w:ascii="Times New Roman" w:hAnsi="Times New Roman"/>
                <w:sz w:val="24"/>
              </w:rPr>
              <w:t>Conformément à l'article 378 du CRR, les établissements déclarent dans la c</w:t>
            </w:r>
            <w:r>
              <w:rPr>
                <w:rFonts w:ascii="Times New Roman" w:hAnsi="Times New Roman"/>
                <w:sz w:val="24"/>
              </w:rPr>
              <w:t>o</w:t>
            </w:r>
            <w:r>
              <w:rPr>
                <w:rFonts w:ascii="Times New Roman" w:hAnsi="Times New Roman"/>
                <w:sz w:val="24"/>
              </w:rPr>
              <w:t>lonne 020 la différence de prix entre le prix de règlement convenu pour le titre de créance, l'action, la devise ou la matière première considéré et sa valeur de marché courante, lorsque cette différence peut impliquer une perte pour l'établi</w:t>
            </w:r>
            <w:r>
              <w:rPr>
                <w:rFonts w:ascii="Times New Roman" w:hAnsi="Times New Roman"/>
                <w:sz w:val="24"/>
              </w:rPr>
              <w:t>s</w:t>
            </w:r>
            <w:r>
              <w:rPr>
                <w:rFonts w:ascii="Times New Roman" w:hAnsi="Times New Roman"/>
                <w:sz w:val="24"/>
              </w:rPr>
              <w:t xml:space="preserve">sement. </w:t>
            </w:r>
          </w:p>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Seules les opérations non dénouées impliquant une perte après la date de livra</w:t>
            </w:r>
            <w:r>
              <w:rPr>
                <w:rFonts w:ascii="Times New Roman" w:hAnsi="Times New Roman"/>
                <w:sz w:val="24"/>
              </w:rPr>
              <w:t>i</w:t>
            </w:r>
            <w:r>
              <w:rPr>
                <w:rFonts w:ascii="Times New Roman" w:hAnsi="Times New Roman"/>
                <w:sz w:val="24"/>
              </w:rPr>
              <w:t>son prévue seront déclarées dans la colonne 020.</w:t>
            </w:r>
          </w:p>
        </w:tc>
      </w:tr>
      <w:tr w:rsidR="001A6C53" w:rsidRPr="00392FFD" w:rsidTr="008D2F6E">
        <w:tc>
          <w:tcPr>
            <w:tcW w:w="852" w:type="dxa"/>
          </w:tcPr>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030</w:t>
            </w:r>
          </w:p>
        </w:tc>
        <w:tc>
          <w:tcPr>
            <w:tcW w:w="8004" w:type="dxa"/>
          </w:tcPr>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EXIGENCES DE FONDS PROPRES</w:t>
            </w:r>
          </w:p>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Dans la colonne 030, les établissements déclarent leurs exigences de fonds propres calculées conformément à l'article 378 du CRR.</w:t>
            </w:r>
          </w:p>
        </w:tc>
      </w:tr>
      <w:tr w:rsidR="001A6C53" w:rsidRPr="00392FFD" w:rsidTr="008D2F6E">
        <w:tc>
          <w:tcPr>
            <w:tcW w:w="852" w:type="dxa"/>
          </w:tcPr>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040</w:t>
            </w:r>
          </w:p>
        </w:tc>
        <w:tc>
          <w:tcPr>
            <w:tcW w:w="8004" w:type="dxa"/>
          </w:tcPr>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 TOTAL DE L'EXPOSITION AU RISQUE DE RÈGLEMENT</w:t>
            </w:r>
          </w:p>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Conformément à l'article 92, paragraphe 4, point b), du CRR, les établissements multiplient les exigences de fonds propres figurant dans la colonne 030 par 12,5 afin d'obtenir le montant exposé au risque de règlement.</w:t>
            </w:r>
          </w:p>
        </w:tc>
      </w:tr>
    </w:tbl>
    <w:p w:rsidR="001A6C53" w:rsidRPr="00392FFD" w:rsidRDefault="001A6C53" w:rsidP="001A6C53">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1A6C53" w:rsidRPr="00392FFD" w:rsidTr="008D2F6E">
        <w:tc>
          <w:tcPr>
            <w:tcW w:w="8862" w:type="dxa"/>
            <w:gridSpan w:val="2"/>
            <w:shd w:val="clear" w:color="auto" w:fill="CCCCCC"/>
          </w:tcPr>
          <w:p w:rsidR="001A6C53" w:rsidRPr="00392FFD" w:rsidRDefault="001A6C53" w:rsidP="008D2F6E">
            <w:pPr>
              <w:spacing w:beforeLines="60" w:before="144" w:afterLines="60" w:after="144"/>
              <w:rPr>
                <w:rFonts w:ascii="Times New Roman" w:hAnsi="Times New Roman"/>
                <w:b/>
                <w:sz w:val="24"/>
              </w:rPr>
            </w:pPr>
            <w:r>
              <w:rPr>
                <w:rFonts w:ascii="Times New Roman" w:hAnsi="Times New Roman"/>
                <w:b/>
                <w:sz w:val="24"/>
              </w:rPr>
              <w:t>Lignes</w:t>
            </w:r>
          </w:p>
        </w:tc>
      </w:tr>
      <w:tr w:rsidR="001A6C53" w:rsidRPr="00392FFD" w:rsidTr="008D2F6E">
        <w:tc>
          <w:tcPr>
            <w:tcW w:w="852" w:type="dxa"/>
          </w:tcPr>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010</w:t>
            </w:r>
          </w:p>
        </w:tc>
        <w:tc>
          <w:tcPr>
            <w:tcW w:w="8010" w:type="dxa"/>
          </w:tcPr>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des opérations non dénouées dans le portefeuille hors négociation</w:t>
            </w:r>
          </w:p>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À la ligne 010, les établissements déclarent les données agrégées concernant le risque de règlement/livraison pour les positions du portefeuille hors négociation (conformément à l'article 92, paragraphe 3, point c) ii), et à l'article 378 du CRR).</w:t>
            </w:r>
          </w:p>
          <w:p w:rsidR="001A6C53" w:rsidRPr="00392FFD" w:rsidRDefault="001A6C53" w:rsidP="008D2F6E">
            <w:pPr>
              <w:spacing w:beforeLines="60" w:before="144"/>
              <w:rPr>
                <w:rFonts w:ascii="Times New Roman" w:hAnsi="Times New Roman"/>
                <w:sz w:val="24"/>
              </w:rPr>
            </w:pPr>
            <w:r>
              <w:rPr>
                <w:rFonts w:ascii="Times New Roman" w:hAnsi="Times New Roman"/>
                <w:sz w:val="24"/>
              </w:rPr>
              <w:t>Sous 010/010, les établissements déclarent la somme agrégée des opérations non dénouées après la date de livraison prévue au prix de règlement convenu.</w:t>
            </w:r>
          </w:p>
          <w:p w:rsidR="001A6C53" w:rsidRPr="00392FFD" w:rsidRDefault="001A6C53" w:rsidP="008D2F6E">
            <w:pPr>
              <w:spacing w:beforeLines="60" w:before="144"/>
              <w:rPr>
                <w:rFonts w:ascii="Times New Roman" w:hAnsi="Times New Roman"/>
                <w:sz w:val="24"/>
              </w:rPr>
            </w:pPr>
            <w:r>
              <w:rPr>
                <w:rFonts w:ascii="Times New Roman" w:hAnsi="Times New Roman"/>
                <w:sz w:val="24"/>
              </w:rPr>
              <w:lastRenderedPageBreak/>
              <w:t>Sous 010/020, les établissements déclarent les données agrégées concernant l'exposition à la différence de prix due aux opérations non dénouées impliquant une perte.</w:t>
            </w:r>
          </w:p>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Sous 010/030, les établissements déclarent les exigences de fonds propres agr</w:t>
            </w:r>
            <w:r>
              <w:rPr>
                <w:rFonts w:ascii="Times New Roman" w:hAnsi="Times New Roman"/>
                <w:sz w:val="24"/>
              </w:rPr>
              <w:t>é</w:t>
            </w:r>
            <w:r>
              <w:rPr>
                <w:rFonts w:ascii="Times New Roman" w:hAnsi="Times New Roman"/>
                <w:sz w:val="24"/>
              </w:rPr>
              <w:t>gées obtenues en additionnant les exigences de fonds propres pour opérations non dénouées en multipliant la «différence de prix» déclarée dans la colonne 020 par le facteur approprié en fonction du nombre de jours ouvrables après la date de règlement prévue (catégories figurant dans le tableau 1 de l'article 378 du CRR).</w:t>
            </w:r>
          </w:p>
        </w:tc>
      </w:tr>
      <w:tr w:rsidR="001A6C53" w:rsidRPr="00392FFD" w:rsidTr="008D2F6E">
        <w:tc>
          <w:tcPr>
            <w:tcW w:w="852" w:type="dxa"/>
          </w:tcPr>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020 à 060</w:t>
            </w:r>
          </w:p>
        </w:tc>
        <w:tc>
          <w:tcPr>
            <w:tcW w:w="8010" w:type="dxa"/>
          </w:tcPr>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Opérations non dénouées jusqu'à 4 jours (Facteur de 0 %) </w:t>
            </w:r>
          </w:p>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5 et 15 jours (Facteur de 8 %)</w:t>
            </w:r>
          </w:p>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16 et 30 jours (Facteur de 50 %)</w:t>
            </w:r>
          </w:p>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31 et 45 jours (Facteur de 75 %)</w:t>
            </w:r>
          </w:p>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pendant 46 jours ou plus (Facteur de 100 %)</w:t>
            </w:r>
          </w:p>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Dans les lignes 020 à 060, les établissements déclarent les informations conce</w:t>
            </w:r>
            <w:r>
              <w:rPr>
                <w:rFonts w:ascii="Times New Roman" w:hAnsi="Times New Roman"/>
                <w:sz w:val="24"/>
              </w:rPr>
              <w:t>r</w:t>
            </w:r>
            <w:r>
              <w:rPr>
                <w:rFonts w:ascii="Times New Roman" w:hAnsi="Times New Roman"/>
                <w:sz w:val="24"/>
              </w:rPr>
              <w:t>nant le risque de règlement/livraison pour les positions du portefeuille hors n</w:t>
            </w:r>
            <w:r>
              <w:rPr>
                <w:rFonts w:ascii="Times New Roman" w:hAnsi="Times New Roman"/>
                <w:sz w:val="24"/>
              </w:rPr>
              <w:t>é</w:t>
            </w:r>
            <w:r>
              <w:rPr>
                <w:rFonts w:ascii="Times New Roman" w:hAnsi="Times New Roman"/>
                <w:sz w:val="24"/>
              </w:rPr>
              <w:t xml:space="preserve">gociation, selon les catégories figurant dans le tableau 1 de l'article 378 du CRR. </w:t>
            </w:r>
          </w:p>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Aucune exigence de fonds propres pour le risque de règlement/livraison n'est r</w:t>
            </w:r>
            <w:r>
              <w:rPr>
                <w:rFonts w:ascii="Times New Roman" w:hAnsi="Times New Roman"/>
                <w:sz w:val="24"/>
              </w:rPr>
              <w:t>e</w:t>
            </w:r>
            <w:r>
              <w:rPr>
                <w:rFonts w:ascii="Times New Roman" w:hAnsi="Times New Roman"/>
                <w:sz w:val="24"/>
              </w:rPr>
              <w:t>quise pour les opérations non dénouées à l'issue d'une période inférieure à 5 jours ouvrables après la date de règlement prévue.</w:t>
            </w:r>
          </w:p>
        </w:tc>
      </w:tr>
      <w:tr w:rsidR="001A6C53" w:rsidRPr="00392FFD" w:rsidTr="008D2F6E">
        <w:tc>
          <w:tcPr>
            <w:tcW w:w="852" w:type="dxa"/>
          </w:tcPr>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070</w:t>
            </w:r>
          </w:p>
        </w:tc>
        <w:tc>
          <w:tcPr>
            <w:tcW w:w="8010" w:type="dxa"/>
          </w:tcPr>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des opérations non dénouées dans le portefeuille de négociation</w:t>
            </w:r>
          </w:p>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À la ligne 070, les établissements déclarent les données agrégées concernant le risque de règlement/livraison pour les positions du portefeuille de négociation (conformément à l'article 92, paragraphe 3, point c) ii), et à l'article 378 du CRR).</w:t>
            </w:r>
          </w:p>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Sous 070/010, les établissements déclarent la somme agrégée des opérations non dénouées après la date de livraison prévue au prix de règlement convenu.</w:t>
            </w:r>
          </w:p>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Sous 070/020, les établissements déclarent les données agrégées concernant l'exposition à la différence de prix due aux opérations non dénouées impliquant une perte.</w:t>
            </w:r>
          </w:p>
          <w:p w:rsidR="001A6C53" w:rsidRPr="00392FFD" w:rsidRDefault="001A6C53" w:rsidP="008D2F6E">
            <w:pPr>
              <w:spacing w:beforeLines="60" w:before="144" w:afterLines="60" w:after="144"/>
              <w:rPr>
                <w:rFonts w:ascii="Times New Roman" w:hAnsi="Times New Roman"/>
                <w:b/>
                <w:sz w:val="24"/>
              </w:rPr>
            </w:pPr>
            <w:r>
              <w:rPr>
                <w:rFonts w:ascii="Times New Roman" w:hAnsi="Times New Roman"/>
                <w:sz w:val="24"/>
              </w:rPr>
              <w:t>Sous 070/030, les établissements déclarent les exigences de fonds propres agr</w:t>
            </w:r>
            <w:r>
              <w:rPr>
                <w:rFonts w:ascii="Times New Roman" w:hAnsi="Times New Roman"/>
                <w:sz w:val="24"/>
              </w:rPr>
              <w:t>é</w:t>
            </w:r>
            <w:r>
              <w:rPr>
                <w:rFonts w:ascii="Times New Roman" w:hAnsi="Times New Roman"/>
                <w:sz w:val="24"/>
              </w:rPr>
              <w:t>gées obtenues en additionnant les exigences de fonds propres pour opérations non dénouées en multipliant la «différence de prix» déclarée dans la colonne 020 par un facteur approprié en fonction du nombre de jours ouvrables après la date de règlement prévue (catégories figurant dans le tableau 1 de l'article 378 du CRR).</w:t>
            </w:r>
          </w:p>
        </w:tc>
      </w:tr>
      <w:tr w:rsidR="001A6C53" w:rsidRPr="00392FFD" w:rsidTr="008D2F6E">
        <w:tc>
          <w:tcPr>
            <w:tcW w:w="852" w:type="dxa"/>
          </w:tcPr>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080 à 120</w:t>
            </w:r>
          </w:p>
        </w:tc>
        <w:tc>
          <w:tcPr>
            <w:tcW w:w="8010" w:type="dxa"/>
          </w:tcPr>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Opérations non dénouées jusqu'à 4 jours (Facteur de 0 %) </w:t>
            </w:r>
          </w:p>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5 et 15 jours (Facteur de 8 %)</w:t>
            </w:r>
          </w:p>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16 et 30 jours (Facteur de 50 %)</w:t>
            </w:r>
          </w:p>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Opérations non dénouées entre 31 et 45 jours (Facteur de 75 %)</w:t>
            </w:r>
          </w:p>
          <w:p w:rsidR="001A6C53" w:rsidRPr="00392FFD"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pendant 46 jours ou plus (Facteur de 100 %)</w:t>
            </w:r>
          </w:p>
          <w:p w:rsidR="001A6C53" w:rsidRPr="00392FFD" w:rsidRDefault="001A6C53" w:rsidP="008D2F6E">
            <w:pPr>
              <w:spacing w:beforeLines="60" w:before="144" w:afterLines="60" w:after="144"/>
              <w:rPr>
                <w:rFonts w:ascii="Times New Roman" w:hAnsi="Times New Roman"/>
                <w:sz w:val="24"/>
              </w:rPr>
            </w:pPr>
            <w:r>
              <w:rPr>
                <w:rFonts w:ascii="Times New Roman" w:hAnsi="Times New Roman"/>
                <w:sz w:val="24"/>
              </w:rPr>
              <w:t>Dans les lignes 080 à 120, les établissements déclarent les informations conce</w:t>
            </w:r>
            <w:r>
              <w:rPr>
                <w:rFonts w:ascii="Times New Roman" w:hAnsi="Times New Roman"/>
                <w:sz w:val="24"/>
              </w:rPr>
              <w:t>r</w:t>
            </w:r>
            <w:r>
              <w:rPr>
                <w:rFonts w:ascii="Times New Roman" w:hAnsi="Times New Roman"/>
                <w:sz w:val="24"/>
              </w:rPr>
              <w:t>nant le risque de règlement/livraison pour les positions du portefeuille de nég</w:t>
            </w:r>
            <w:r>
              <w:rPr>
                <w:rFonts w:ascii="Times New Roman" w:hAnsi="Times New Roman"/>
                <w:sz w:val="24"/>
              </w:rPr>
              <w:t>o</w:t>
            </w:r>
            <w:r>
              <w:rPr>
                <w:rFonts w:ascii="Times New Roman" w:hAnsi="Times New Roman"/>
                <w:sz w:val="24"/>
              </w:rPr>
              <w:t xml:space="preserve">ciation, selon les catégories figurant dans le tableau 1 de l'article 378 du CRR. </w:t>
            </w:r>
          </w:p>
          <w:p w:rsidR="001A6C53" w:rsidRPr="00392FFD" w:rsidRDefault="001A6C53" w:rsidP="008D2F6E">
            <w:pPr>
              <w:spacing w:beforeLines="60" w:before="144" w:afterLines="60" w:after="144"/>
              <w:rPr>
                <w:rFonts w:ascii="Times New Roman" w:hAnsi="Times New Roman"/>
                <w:b/>
                <w:sz w:val="24"/>
              </w:rPr>
            </w:pPr>
            <w:r>
              <w:rPr>
                <w:rFonts w:ascii="Times New Roman" w:hAnsi="Times New Roman"/>
                <w:sz w:val="24"/>
              </w:rPr>
              <w:t>Aucune exigence de fonds propres pour le risque de règlement/livraison n'est r</w:t>
            </w:r>
            <w:r>
              <w:rPr>
                <w:rFonts w:ascii="Times New Roman" w:hAnsi="Times New Roman"/>
                <w:sz w:val="24"/>
              </w:rPr>
              <w:t>e</w:t>
            </w:r>
            <w:r>
              <w:rPr>
                <w:rFonts w:ascii="Times New Roman" w:hAnsi="Times New Roman"/>
                <w:sz w:val="24"/>
              </w:rPr>
              <w:t>quise pour les opérations non dénouées à l'issue d'une période inférieure à 5 jours ouvrables après la date de règlement prévue.</w:t>
            </w:r>
          </w:p>
        </w:tc>
      </w:tr>
    </w:tbl>
    <w:p w:rsidR="001A6C53" w:rsidRPr="00392FFD" w:rsidRDefault="001A6C53" w:rsidP="001A6C53">
      <w:pPr>
        <w:spacing w:after="0"/>
        <w:rPr>
          <w:rFonts w:ascii="Times New Roman" w:hAnsi="Times New Roman"/>
          <w:sz w:val="24"/>
        </w:rPr>
      </w:pPr>
    </w:p>
    <w:p w:rsidR="001A6C53" w:rsidRPr="00392FFD" w:rsidRDefault="001A6C53" w:rsidP="001A6C53">
      <w:pPr>
        <w:spacing w:before="0" w:after="0"/>
        <w:jc w:val="left"/>
        <w:rPr>
          <w:rStyle w:val="InstructionsTabelleText"/>
          <w:rFonts w:ascii="Times New Roman" w:hAnsi="Times New Roman"/>
          <w:sz w:val="24"/>
        </w:rPr>
      </w:pPr>
      <w:r>
        <w:br w:type="page"/>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391" w:name="_Toc524104200"/>
      <w:r>
        <w:rPr>
          <w:rFonts w:ascii="Times New Roman" w:hAnsi="Times New Roman"/>
          <w:sz w:val="24"/>
          <w:u w:val="none"/>
        </w:rPr>
        <w:lastRenderedPageBreak/>
        <w:t>3.7.</w:t>
      </w:r>
      <w:r w:rsidRPr="00C65B75">
        <w:rPr>
          <w:u w:val="none"/>
        </w:rPr>
        <w:tab/>
      </w:r>
      <w:r>
        <w:rPr>
          <w:rFonts w:ascii="Times New Roman" w:hAnsi="Times New Roman"/>
          <w:sz w:val="24"/>
        </w:rPr>
        <w:t>C 12.00 – Risque de crédit: Titrisations - approche standard des exigences de fonds propres (CR SEC SA)</w:t>
      </w:r>
      <w:bookmarkEnd w:id="391"/>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392" w:name="_Toc524104201"/>
      <w:r>
        <w:rPr>
          <w:rFonts w:ascii="Times New Roman" w:hAnsi="Times New Roman"/>
          <w:sz w:val="24"/>
          <w:u w:val="none"/>
        </w:rPr>
        <w:t>3.7.1.</w:t>
      </w:r>
      <w:r w:rsidRPr="00C65B75">
        <w:rPr>
          <w:u w:val="none"/>
        </w:rPr>
        <w:tab/>
      </w:r>
      <w:r>
        <w:rPr>
          <w:rFonts w:ascii="Times New Roman" w:hAnsi="Times New Roman"/>
          <w:sz w:val="24"/>
        </w:rPr>
        <w:t>Remarques générales</w:t>
      </w:r>
      <w:bookmarkEnd w:id="392"/>
    </w:p>
    <w:p w:rsidR="001A6C53" w:rsidRDefault="001A6C53" w:rsidP="001A6C53">
      <w:pPr>
        <w:pStyle w:val="InstructionsText2"/>
        <w:numPr>
          <w:ilvl w:val="0"/>
          <w:numId w:val="0"/>
        </w:numPr>
        <w:ind w:left="993"/>
      </w:pPr>
      <w:r>
        <w:t>100.</w:t>
      </w:r>
      <w:r>
        <w:tab/>
        <w:t>Les informations requises dans ce modèle devront être fournies pour toutes les titrisations pour lesquelles un transfert de risque significatif est comptabilisé et dans lesquelles l'établissement déclarant est impliqué dans une titrisation traitée selon l'approche standard. Lorsque la date de référence pour la déclaration est postérieure au 1</w:t>
      </w:r>
      <w:r>
        <w:rPr>
          <w:vertAlign w:val="superscript"/>
        </w:rPr>
        <w:t>er</w:t>
      </w:r>
      <w:r>
        <w:t xml:space="preserve"> janvier 2019, les titrisations dont le montant d’exposition pondéré est déte</w:t>
      </w:r>
      <w:r>
        <w:t>r</w:t>
      </w:r>
      <w:r>
        <w:t>miné sur la base du cadre relatif à la titrisation tel que révisé ne doivent pas être d</w:t>
      </w:r>
      <w:r>
        <w:t>é</w:t>
      </w:r>
      <w:r>
        <w:t>clarées dans ce modèle, mais uniquement dans le modèle C 02.00. De même, lor</w:t>
      </w:r>
      <w:r>
        <w:t>s</w:t>
      </w:r>
      <w:r>
        <w:t>que la date de référence pour la déclaration est postérieure au 1</w:t>
      </w:r>
      <w:r>
        <w:rPr>
          <w:vertAlign w:val="superscript"/>
        </w:rPr>
        <w:t>er</w:t>
      </w:r>
      <w:r>
        <w:t xml:space="preserve"> janvier 2019, les positions de titrisations qui font l'objet d’une pondération de risque de 1 250 % co</w:t>
      </w:r>
      <w:r>
        <w:t>n</w:t>
      </w:r>
      <w:r>
        <w:t>formément au cadre relatif à la titrisation tel que révisé et qui sont déduites des fonds propres de base de catégorie 1 conformément à l'article 36, paragraphe 1, point k) ii), du CRR ne doivent pas être déclarées dans ce modèle, mais uniquement dans le modèle C 01.00.</w:t>
      </w:r>
    </w:p>
    <w:p w:rsidR="001A6C53" w:rsidRDefault="001A6C53" w:rsidP="001A6C53">
      <w:pPr>
        <w:pStyle w:val="InstructionsText2"/>
        <w:numPr>
          <w:ilvl w:val="0"/>
          <w:numId w:val="0"/>
        </w:numPr>
        <w:ind w:left="993"/>
      </w:pPr>
      <w:r>
        <w:t>100a. Aux fins de ce modèle, toutes les références aux articles de la troisième pa</w:t>
      </w:r>
      <w:r>
        <w:t>r</w:t>
      </w:r>
      <w:r>
        <w:t>tie, titre II, chapitre 5 du CRR doivent s’entendre comme des références au CRR dans sa version applicable au 31 décembre 2018.</w:t>
      </w:r>
    </w:p>
    <w:p w:rsidR="001A6C53" w:rsidRPr="00392FFD" w:rsidRDefault="001A6C53" w:rsidP="001A6C53">
      <w:pPr>
        <w:pStyle w:val="InstructionsText2"/>
        <w:numPr>
          <w:ilvl w:val="0"/>
          <w:numId w:val="0"/>
        </w:numPr>
        <w:ind w:left="993"/>
      </w:pPr>
      <w:r>
        <w:t>100b. Les informations à fournir sont fonction du rôle de l'établissement dans le contexte d'une titrisation. Ainsi, les initiateurs, les sponsors et les investisseurs do</w:t>
      </w:r>
      <w:r>
        <w:t>i</w:t>
      </w:r>
      <w:r>
        <w:t>vent déclarer certains éléments spécifiques.</w:t>
      </w:r>
    </w:p>
    <w:p w:rsidR="001A6C53" w:rsidRPr="00392FFD" w:rsidRDefault="001A6C53" w:rsidP="001A6C53">
      <w:pPr>
        <w:pStyle w:val="InstructionsText2"/>
        <w:numPr>
          <w:ilvl w:val="0"/>
          <w:numId w:val="0"/>
        </w:numPr>
        <w:ind w:left="993"/>
      </w:pPr>
      <w:r>
        <w:t>101.</w:t>
      </w:r>
      <w:r>
        <w:tab/>
        <w:t>Le modèle CR SEC SA collecte des informations jointes sur les titrisations tant classiques que synthétiques détenues dans le portefeuille d'intermédiation bancaire, telles que définies à l'article 242, points 10 et 11, du CRR, respectivement.</w:t>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393" w:name="_Toc524104202"/>
      <w:r>
        <w:rPr>
          <w:rFonts w:ascii="Times New Roman" w:hAnsi="Times New Roman"/>
          <w:sz w:val="24"/>
          <w:u w:val="none"/>
        </w:rPr>
        <w:t>3.7.2.</w:t>
      </w:r>
      <w:r w:rsidRPr="00C65B75">
        <w:rPr>
          <w:u w:val="none"/>
        </w:rPr>
        <w:tab/>
      </w:r>
      <w:r>
        <w:rPr>
          <w:rFonts w:ascii="Times New Roman" w:hAnsi="Times New Roman"/>
          <w:sz w:val="24"/>
        </w:rPr>
        <w:t>Instructions concernant certaines positions</w:t>
      </w:r>
      <w:bookmarkEnd w:id="393"/>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1A6C53" w:rsidRPr="00392FFD" w:rsidTr="008D2F6E">
        <w:tc>
          <w:tcPr>
            <w:tcW w:w="8957" w:type="dxa"/>
            <w:gridSpan w:val="2"/>
            <w:shd w:val="clear" w:color="auto" w:fill="CCCCCC"/>
          </w:tcPr>
          <w:p w:rsidR="001A6C53" w:rsidRPr="00392FFD" w:rsidRDefault="001A6C53" w:rsidP="008D2F6E">
            <w:pPr>
              <w:autoSpaceDE w:val="0"/>
              <w:autoSpaceDN w:val="0"/>
              <w:adjustRightInd w:val="0"/>
              <w:spacing w:before="0" w:after="0"/>
              <w:rPr>
                <w:rFonts w:ascii="Times New Roman" w:hAnsi="Times New Roman"/>
                <w:bCs/>
                <w:sz w:val="24"/>
              </w:rPr>
            </w:pPr>
          </w:p>
          <w:p w:rsidR="001A6C53" w:rsidRPr="00392FFD" w:rsidRDefault="001A6C53" w:rsidP="008D2F6E">
            <w:pPr>
              <w:autoSpaceDE w:val="0"/>
              <w:autoSpaceDN w:val="0"/>
              <w:adjustRightInd w:val="0"/>
              <w:spacing w:before="0" w:after="0"/>
              <w:rPr>
                <w:rFonts w:ascii="Times New Roman" w:hAnsi="Times New Roman"/>
                <w:b/>
                <w:bCs/>
                <w:sz w:val="24"/>
              </w:rPr>
            </w:pPr>
            <w:r>
              <w:rPr>
                <w:rFonts w:ascii="Times New Roman" w:hAnsi="Times New Roman"/>
                <w:b/>
                <w:sz w:val="24"/>
              </w:rPr>
              <w:t>Colonnes</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856"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 TOTAL DES EXPOSITIONS DE TITRISATION INITIÉES</w:t>
            </w:r>
          </w:p>
          <w:p w:rsidR="001A6C53" w:rsidRPr="00392FFD" w:rsidRDefault="001A6C53" w:rsidP="008D2F6E">
            <w:pPr>
              <w:autoSpaceDE w:val="0"/>
              <w:autoSpaceDN w:val="0"/>
              <w:adjustRightInd w:val="0"/>
              <w:spacing w:before="0" w:after="0"/>
              <w:rPr>
                <w:rFonts w:ascii="Times New Roman" w:hAnsi="Times New Roman"/>
                <w:bCs/>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établissements initiateurs doivent déclarer le montant de l'encours à la date de déclaration de toutes les expositions de titrisation courantes initiées dans l'opération de titrisation, indépendamment de qui détient les positions. Ainsi seront déclarées les expositions de titrisation au bilan (par ex. obligations, e</w:t>
            </w:r>
            <w:r>
              <w:rPr>
                <w:rFonts w:ascii="Times New Roman" w:hAnsi="Times New Roman"/>
                <w:sz w:val="24"/>
              </w:rPr>
              <w:t>m</w:t>
            </w:r>
            <w:r>
              <w:rPr>
                <w:rFonts w:ascii="Times New Roman" w:hAnsi="Times New Roman"/>
                <w:sz w:val="24"/>
              </w:rPr>
              <w:t xml:space="preserve">prunts subordonnés) ainsi que les expositions et les dérivés hors bilan (par ex. lignes de crédit subordonnées, facilités de trésorerie, contrats d'échange de taux d'intérêt, contrats d'échange sur risque de crédit, etc.) qui ont été initiés dans la titrisation.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Dans le cas des titrisations classiques, dans lesquelles l'initiateur ne détient a</w:t>
            </w:r>
            <w:r>
              <w:rPr>
                <w:rFonts w:ascii="Times New Roman" w:hAnsi="Times New Roman"/>
                <w:sz w:val="24"/>
              </w:rPr>
              <w:t>u</w:t>
            </w:r>
            <w:r>
              <w:rPr>
                <w:rFonts w:ascii="Times New Roman" w:hAnsi="Times New Roman"/>
                <w:sz w:val="24"/>
              </w:rPr>
              <w:t>cune position, l'initiateur ne tient pas compte de la titrisation dans la déclar</w:t>
            </w:r>
            <w:r>
              <w:rPr>
                <w:rFonts w:ascii="Times New Roman" w:hAnsi="Times New Roman"/>
                <w:sz w:val="24"/>
              </w:rPr>
              <w:t>a</w:t>
            </w:r>
            <w:r>
              <w:rPr>
                <w:rFonts w:ascii="Times New Roman" w:hAnsi="Times New Roman"/>
                <w:sz w:val="24"/>
              </w:rPr>
              <w:t>tion des modèles CR SEC SA ou CR SEC IRB. À cet égard, les positions de t</w:t>
            </w:r>
            <w:r>
              <w:rPr>
                <w:rFonts w:ascii="Times New Roman" w:hAnsi="Times New Roman"/>
                <w:sz w:val="24"/>
              </w:rPr>
              <w:t>i</w:t>
            </w:r>
            <w:r>
              <w:rPr>
                <w:rFonts w:ascii="Times New Roman" w:hAnsi="Times New Roman"/>
                <w:sz w:val="24"/>
              </w:rPr>
              <w:t xml:space="preserve">trisation détenues par l'initiateur comprennent les clauses de remboursement </w:t>
            </w:r>
            <w:r>
              <w:rPr>
                <w:rFonts w:ascii="Times New Roman" w:hAnsi="Times New Roman"/>
                <w:sz w:val="24"/>
              </w:rPr>
              <w:lastRenderedPageBreak/>
              <w:t>anticipé dans une titrisation d'expositions renouvelables telles que définies à l'article 242, point 12, du CRR.</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020-040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TITRISATIONS SYNTHÉTIQUES: PROTECTION DE CRÉDIT SUR LES EXPOSITIONS TITRISÉES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Conformément aux dispositions des articles 249 et 250 du CRR, la protection de crédit pour les expositions </w:t>
            </w:r>
            <w:proofErr w:type="spellStart"/>
            <w:r>
              <w:rPr>
                <w:rFonts w:ascii="Times New Roman" w:hAnsi="Times New Roman"/>
                <w:sz w:val="24"/>
              </w:rPr>
              <w:t>titrisées</w:t>
            </w:r>
            <w:proofErr w:type="spellEnd"/>
            <w:r>
              <w:rPr>
                <w:rFonts w:ascii="Times New Roman" w:hAnsi="Times New Roman"/>
                <w:sz w:val="24"/>
              </w:rPr>
              <w:t xml:space="preserve"> sera identique à celle qui serait appliquée s'il n'existait pas d'asymétrie d'échéances.</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56" w:type="dxa"/>
          </w:tcPr>
          <w:p w:rsidR="001A6C53" w:rsidRPr="00392FFD" w:rsidRDefault="001A6C53" w:rsidP="008D2F6E">
            <w:pPr>
              <w:spacing w:before="0" w:after="0"/>
              <w:jc w:val="left"/>
              <w:rPr>
                <w:rFonts w:ascii="Times New Roman" w:hAnsi="Times New Roman"/>
                <w:b/>
                <w:strike/>
                <w:sz w:val="24"/>
                <w:u w:val="single"/>
              </w:rPr>
            </w:pPr>
            <w:r>
              <w:rPr>
                <w:rFonts w:ascii="Times New Roman" w:hAnsi="Times New Roman"/>
                <w:b/>
                <w:sz w:val="24"/>
                <w:u w:val="single"/>
              </w:rPr>
              <w:t>(-) PROTECTION DE CRÉDIT FINANCÉE (C</w:t>
            </w:r>
            <w:r>
              <w:rPr>
                <w:rFonts w:ascii="Times New Roman" w:hAnsi="Times New Roman"/>
                <w:b/>
                <w:sz w:val="24"/>
                <w:u w:val="single"/>
                <w:vertAlign w:val="subscript"/>
              </w:rPr>
              <w:t>VA</w:t>
            </w:r>
            <w:r>
              <w:rPr>
                <w:rFonts w:ascii="Times New Roman" w:hAnsi="Times New Roman"/>
                <w:b/>
                <w:sz w:val="24"/>
                <w:u w:val="single"/>
              </w:rPr>
              <w:t xml:space="preserve">) </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 mode de calcul détaillé de la valeur corrigée pour volatilité de la sûreté (C</w:t>
            </w:r>
            <w:r>
              <w:rPr>
                <w:rFonts w:ascii="Times New Roman" w:hAnsi="Times New Roman"/>
                <w:sz w:val="24"/>
                <w:vertAlign w:val="subscript"/>
              </w:rPr>
              <w:t>VA</w:t>
            </w:r>
            <w:r>
              <w:rPr>
                <w:rFonts w:ascii="Times New Roman" w:hAnsi="Times New Roman"/>
                <w:sz w:val="24"/>
              </w:rPr>
              <w:t>) qui doit être déclarée dans cette colonne est établi à l'article 223, par</w:t>
            </w:r>
            <w:r>
              <w:rPr>
                <w:rFonts w:ascii="Times New Roman" w:hAnsi="Times New Roman"/>
                <w:sz w:val="24"/>
              </w:rPr>
              <w:t>a</w:t>
            </w:r>
            <w:r>
              <w:rPr>
                <w:rFonts w:ascii="Times New Roman" w:hAnsi="Times New Roman"/>
                <w:sz w:val="24"/>
              </w:rPr>
              <w:t>graphe 2, du CRR.</w:t>
            </w:r>
          </w:p>
          <w:p w:rsidR="001A6C53" w:rsidRPr="00392FFD" w:rsidRDefault="001A6C53" w:rsidP="008D2F6E">
            <w:pPr>
              <w:autoSpaceDE w:val="0"/>
              <w:autoSpaceDN w:val="0"/>
              <w:adjustRightInd w:val="0"/>
              <w:spacing w:before="0" w:after="0"/>
              <w:jc w:val="left"/>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 xml:space="preserve">(-) TOTAL SORTIES: VALEURS CORRIGÉES DE PROTECTION DE CRÉDIT NON FINANCÉE (G*) </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Suivant la règle générale des «entrées» et des «sorties», les montants déclarés dans cette colonne apparaîtront dans les «entrées» du modèle de risque de cr</w:t>
            </w:r>
            <w:r>
              <w:rPr>
                <w:rFonts w:ascii="Times New Roman" w:hAnsi="Times New Roman"/>
                <w:sz w:val="24"/>
              </w:rPr>
              <w:t>é</w:t>
            </w:r>
            <w:r>
              <w:rPr>
                <w:rFonts w:ascii="Times New Roman" w:hAnsi="Times New Roman"/>
                <w:sz w:val="24"/>
              </w:rPr>
              <w:t>dit correspondant (CA SA ou CR IRB) et dans la catégorie d'expositions pert</w:t>
            </w:r>
            <w:r>
              <w:rPr>
                <w:rFonts w:ascii="Times New Roman" w:hAnsi="Times New Roman"/>
                <w:sz w:val="24"/>
              </w:rPr>
              <w:t>i</w:t>
            </w:r>
            <w:r>
              <w:rPr>
                <w:rFonts w:ascii="Times New Roman" w:hAnsi="Times New Roman"/>
                <w:sz w:val="24"/>
              </w:rPr>
              <w:t>nente pour le fournisseur de protection (à savoir le tiers auquel la tranche est transférée au moyen d'une protection de crédit non financée).</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 mode de calcul du montant nominal de la protection de crédit corrigé du «risque de change» (G*) est précisé à l'article 233, paragraphe 3, du CRR.</w:t>
            </w:r>
          </w:p>
          <w:p w:rsidR="001A6C53" w:rsidRPr="00392FFD" w:rsidRDefault="001A6C53" w:rsidP="008D2F6E">
            <w:pPr>
              <w:autoSpaceDE w:val="0"/>
              <w:autoSpaceDN w:val="0"/>
              <w:adjustRightInd w:val="0"/>
              <w:spacing w:before="0" w:after="0"/>
              <w:jc w:val="left"/>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MONTANT NOTIONNEL DE PROTECTION DE CRÉDIT CONSERVÉ OU RACHETÉ</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Toutes les tranches qui ont été conservées ou rachetées, par ex. les positions de première perte conservées, seront déclarées à leur montant nominal.</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L'effet des décotes réglementaires sur la protection de crédit ne sera pas pris en considération lors du calcul du montant conservé ou racheté de protection de crédit.</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856" w:type="dxa"/>
          </w:tcPr>
          <w:p w:rsidR="001A6C53" w:rsidRPr="00672D2A" w:rsidRDefault="001A6C53" w:rsidP="008D2F6E">
            <w:pPr>
              <w:spacing w:before="0" w:after="0"/>
              <w:jc w:val="left"/>
              <w:rPr>
                <w:rFonts w:ascii="Times New Roman" w:hAnsi="Times New Roman"/>
                <w:b/>
                <w:sz w:val="24"/>
                <w:u w:val="single"/>
              </w:rPr>
            </w:pPr>
            <w:r>
              <w:rPr>
                <w:rFonts w:ascii="Times New Roman" w:hAnsi="Times New Roman"/>
                <w:b/>
                <w:sz w:val="24"/>
                <w:u w:val="single"/>
              </w:rPr>
              <w:t>POSITIONS DE TITRISATION: EXPOSITION INITIALE AVANT A</w:t>
            </w:r>
            <w:r>
              <w:rPr>
                <w:rFonts w:ascii="Times New Roman" w:hAnsi="Times New Roman"/>
                <w:b/>
                <w:sz w:val="24"/>
                <w:u w:val="single"/>
              </w:rPr>
              <w:t>P</w:t>
            </w:r>
            <w:r>
              <w:rPr>
                <w:rFonts w:ascii="Times New Roman" w:hAnsi="Times New Roman"/>
                <w:b/>
                <w:sz w:val="24"/>
                <w:u w:val="single"/>
              </w:rPr>
              <w:t>PLICATION DES FACTEURS DE CONVERSION</w:t>
            </w:r>
          </w:p>
          <w:p w:rsidR="001A6C53" w:rsidRPr="00672D2A"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de titrisation détenues par l'établissement déclarant, calculées co</w:t>
            </w:r>
            <w:r>
              <w:rPr>
                <w:rFonts w:ascii="Times New Roman" w:hAnsi="Times New Roman"/>
                <w:sz w:val="24"/>
              </w:rPr>
              <w:t>n</w:t>
            </w:r>
            <w:r>
              <w:rPr>
                <w:rFonts w:ascii="Times New Roman" w:hAnsi="Times New Roman"/>
                <w:sz w:val="24"/>
              </w:rPr>
              <w:t>formément à l'article 246, paragraphe 1, points a), c) et e), et paragraphe 2, du CRR, sans application des facteurs de conversion de crédit et sans ajustements pour risque de crédit et provisions. La compensation n'est pertinente que par rapport à plusieurs contrats de dérivés fournis à la même entité de titrisation, et couverts par un accord de compensation éligible.</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Les corrections de valeur et les provisions à déclarer dans cette colonne ne se </w:t>
            </w:r>
            <w:r>
              <w:rPr>
                <w:rFonts w:ascii="Times New Roman" w:hAnsi="Times New Roman"/>
                <w:sz w:val="24"/>
              </w:rPr>
              <w:lastRenderedPageBreak/>
              <w:t xml:space="preserve">rapportent qu'aux positions de titrisation. Les corrections de valeur de positions </w:t>
            </w:r>
            <w:proofErr w:type="spellStart"/>
            <w:r>
              <w:rPr>
                <w:rFonts w:ascii="Times New Roman" w:hAnsi="Times New Roman"/>
                <w:sz w:val="24"/>
              </w:rPr>
              <w:t>titrisées</w:t>
            </w:r>
            <w:proofErr w:type="spellEnd"/>
            <w:r>
              <w:rPr>
                <w:rFonts w:ascii="Times New Roman" w:hAnsi="Times New Roman"/>
                <w:sz w:val="24"/>
              </w:rPr>
              <w:t xml:space="preserve"> ne sont pas prises en compte.</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En présence d'une clause de remboursement anticipé, les établissements do</w:t>
            </w:r>
            <w:r>
              <w:rPr>
                <w:rFonts w:ascii="Times New Roman" w:hAnsi="Times New Roman"/>
                <w:sz w:val="24"/>
              </w:rPr>
              <w:t>i</w:t>
            </w:r>
            <w:r>
              <w:rPr>
                <w:rFonts w:ascii="Times New Roman" w:hAnsi="Times New Roman"/>
                <w:sz w:val="24"/>
              </w:rPr>
              <w:t>vent préciser le montant des «intérêts de l'établissement initiateur», tel que d</w:t>
            </w:r>
            <w:r>
              <w:rPr>
                <w:rFonts w:ascii="Times New Roman" w:hAnsi="Times New Roman"/>
                <w:sz w:val="24"/>
              </w:rPr>
              <w:t>é</w:t>
            </w:r>
            <w:r>
              <w:rPr>
                <w:rFonts w:ascii="Times New Roman" w:hAnsi="Times New Roman"/>
                <w:sz w:val="24"/>
              </w:rPr>
              <w:t xml:space="preserve">fini à l'article 256, paragraphe 2, du CRR. </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Dans le cadre de titrisations synthétiques, les positions détenues par l'initiateur sous la forme d'éléments au bilan et/ou d'intérêts de l'investisseur (rembours</w:t>
            </w:r>
            <w:r>
              <w:rPr>
                <w:rFonts w:ascii="Times New Roman" w:hAnsi="Times New Roman"/>
                <w:sz w:val="24"/>
              </w:rPr>
              <w:t>e</w:t>
            </w:r>
            <w:r>
              <w:rPr>
                <w:rFonts w:ascii="Times New Roman" w:hAnsi="Times New Roman"/>
                <w:sz w:val="24"/>
              </w:rPr>
              <w:t>ment anticipé) seront la somme des colonnes 010 à 040.</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060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 xml:space="preserve">(-) CORRECTIONS DE VALEUR ET PROVISIONS </w:t>
            </w:r>
          </w:p>
          <w:p w:rsidR="001A6C53" w:rsidRPr="00392FFD" w:rsidRDefault="001A6C53" w:rsidP="008D2F6E">
            <w:pPr>
              <w:pStyle w:val="ListParagraph"/>
              <w:spacing w:before="0" w:after="0"/>
              <w:ind w:left="284" w:hanging="284"/>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Corrections de valeur et provisions (article 159 du CRR) pour pertes de crédit, effectuées conformément au référentiel comptable appliqué par l'établissement déclarant. Les corrections de valeur comprennent tout montant comptabilisé dans le compte de correction au titre de pertes de crédit sur des actifs financiers depuis leur première comptabilisation au bilan (y compris les pertes dues au risque de crédit d'actifs financiers mesurés à leur juste valeur, et qui ne seront pas déduites de la valeur exposée au risque), plus les décotes sur les expos</w:t>
            </w:r>
            <w:r>
              <w:rPr>
                <w:rFonts w:ascii="Times New Roman" w:hAnsi="Times New Roman"/>
                <w:sz w:val="24"/>
              </w:rPr>
              <w:t>i</w:t>
            </w:r>
            <w:r>
              <w:rPr>
                <w:rFonts w:ascii="Times New Roman" w:hAnsi="Times New Roman"/>
                <w:sz w:val="24"/>
              </w:rPr>
              <w:t>tions acquises alors qu'elles étaient en défaut, conformément à l'article 166, p</w:t>
            </w:r>
            <w:r>
              <w:rPr>
                <w:rFonts w:ascii="Times New Roman" w:hAnsi="Times New Roman"/>
                <w:sz w:val="24"/>
              </w:rPr>
              <w:t>a</w:t>
            </w:r>
            <w:r>
              <w:rPr>
                <w:rFonts w:ascii="Times New Roman" w:hAnsi="Times New Roman"/>
                <w:sz w:val="24"/>
              </w:rPr>
              <w:t>ragraphe 1, du CRR. Les provisions comprennent les montants accumulés de pertes de crédit sur des éléments hors bilan.</w:t>
            </w:r>
          </w:p>
          <w:p w:rsidR="001A6C53" w:rsidRPr="00392FFD" w:rsidRDefault="001A6C53" w:rsidP="008D2F6E">
            <w:pPr>
              <w:pStyle w:val="ListParagraph"/>
              <w:spacing w:before="0" w:after="0"/>
              <w:ind w:left="0"/>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EXPOSITION NETTE DES CORRECTIONS DE VALEUR ET DES PROVISIONS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de titrisation conformément à l'article 246, paragraphes 1 et 2, du CRR, sans application des facteurs de conversion.</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Ces informations sont liées à la colonne 040 du modèle CR SA Total.</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080-110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TECHNIQUES D'ATTÉNUATION DU RISQUE DE CRÉDIT (ARC) AVEC EFFETS DE SUBSTITUTION SUR L'EXPOSITION</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Article 4, point 57, et troisième partie, titre II, chapitre 4 du CRR.</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Ce bloc de colonnes rassemble des informations sur les techniques d'atténu</w:t>
            </w:r>
            <w:r>
              <w:rPr>
                <w:rFonts w:ascii="Times New Roman" w:hAnsi="Times New Roman"/>
                <w:sz w:val="24"/>
              </w:rPr>
              <w:t>a</w:t>
            </w:r>
            <w:r>
              <w:rPr>
                <w:rFonts w:ascii="Times New Roman" w:hAnsi="Times New Roman"/>
                <w:sz w:val="24"/>
              </w:rPr>
              <w:t>tion du risque de crédit qui diminuent le risque de crédit d'une ou plusieurs e</w:t>
            </w:r>
            <w:r>
              <w:rPr>
                <w:rFonts w:ascii="Times New Roman" w:hAnsi="Times New Roman"/>
                <w:sz w:val="24"/>
              </w:rPr>
              <w:t>x</w:t>
            </w:r>
            <w:r>
              <w:rPr>
                <w:rFonts w:ascii="Times New Roman" w:hAnsi="Times New Roman"/>
                <w:sz w:val="24"/>
              </w:rPr>
              <w:t>positions au moyen de la substitution d'expositions (voir plus bas, sous Entrées et Sorties).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Voir les instructions concernant le modèle CR SA (Déclaration des techniques d'ARC avec effet de substitution).</w:t>
            </w:r>
          </w:p>
          <w:p w:rsidR="001A6C53" w:rsidRPr="00392FFD" w:rsidRDefault="001A6C53" w:rsidP="008D2F6E">
            <w:pPr>
              <w:autoSpaceDE w:val="0"/>
              <w:autoSpaceDN w:val="0"/>
              <w:adjustRightInd w:val="0"/>
              <w:spacing w:before="0" w:after="0"/>
              <w:ind w:left="284" w:hanging="284"/>
              <w:jc w:val="left"/>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 PROTECTION DE CRÉDIT NON FINANCÉE: VALEURS CORR</w:t>
            </w:r>
            <w:r>
              <w:rPr>
                <w:rFonts w:ascii="Times New Roman" w:hAnsi="Times New Roman"/>
                <w:b/>
                <w:sz w:val="24"/>
                <w:u w:val="single"/>
              </w:rPr>
              <w:t>I</w:t>
            </w:r>
            <w:r>
              <w:rPr>
                <w:rFonts w:ascii="Times New Roman" w:hAnsi="Times New Roman"/>
                <w:b/>
                <w:sz w:val="24"/>
                <w:u w:val="single"/>
              </w:rPr>
              <w:t>GÉES (G</w:t>
            </w:r>
            <w:r>
              <w:rPr>
                <w:rFonts w:ascii="Times New Roman" w:hAnsi="Times New Roman"/>
                <w:b/>
                <w:sz w:val="24"/>
                <w:u w:val="single"/>
                <w:vertAlign w:val="subscript"/>
              </w:rPr>
              <w:t>A</w:t>
            </w:r>
            <w:r>
              <w:rPr>
                <w:rFonts w:ascii="Times New Roman" w:hAnsi="Times New Roman"/>
                <w:b/>
                <w:sz w:val="24"/>
                <w:u w:val="single"/>
              </w:rPr>
              <w:t xml:space="preserve">) </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Protection de crédit non financée telle que définie à l'article 4, point 59, et telle que régie par l'article 235 du CRR.</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Voir les instructions concernant le modèle CR SA (Déclaration des techniques d'ARC avec effet de substitution).</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856" w:type="dxa"/>
          </w:tcPr>
          <w:p w:rsidR="001A6C53" w:rsidRPr="00392FFD" w:rsidRDefault="001A6C53" w:rsidP="008D2F6E">
            <w:pPr>
              <w:autoSpaceDE w:val="0"/>
              <w:autoSpaceDN w:val="0"/>
              <w:adjustRightInd w:val="0"/>
              <w:spacing w:before="0" w:after="0"/>
              <w:ind w:left="284" w:hanging="284"/>
              <w:jc w:val="left"/>
              <w:rPr>
                <w:rFonts w:ascii="Times New Roman" w:hAnsi="Times New Roman"/>
                <w:b/>
                <w:sz w:val="24"/>
                <w:u w:val="single"/>
              </w:rPr>
            </w:pPr>
            <w:r>
              <w:rPr>
                <w:rFonts w:ascii="Times New Roman" w:hAnsi="Times New Roman"/>
                <w:b/>
                <w:sz w:val="24"/>
                <w:u w:val="single"/>
              </w:rPr>
              <w:t>(-) PROTECTION DE CRÉDIT FINANCÉE</w:t>
            </w:r>
          </w:p>
          <w:p w:rsidR="001A6C53" w:rsidRPr="00392FFD" w:rsidRDefault="001A6C53" w:rsidP="008D2F6E">
            <w:pPr>
              <w:autoSpaceDE w:val="0"/>
              <w:autoSpaceDN w:val="0"/>
              <w:adjustRightInd w:val="0"/>
              <w:spacing w:before="0" w:after="0"/>
              <w:ind w:left="284" w:hanging="284"/>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Protection de crédit financée telle que définie à l'article 4, point 58, et telle que régie par les articles 195, 197 et 200 du CRR.</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titres liés à un crédit et les compensations au bilan conformément aux a</w:t>
            </w:r>
            <w:r>
              <w:rPr>
                <w:rFonts w:ascii="Times New Roman" w:hAnsi="Times New Roman"/>
                <w:sz w:val="24"/>
              </w:rPr>
              <w:t>r</w:t>
            </w:r>
            <w:r>
              <w:rPr>
                <w:rFonts w:ascii="Times New Roman" w:hAnsi="Times New Roman"/>
                <w:sz w:val="24"/>
              </w:rPr>
              <w:t>ticles 218 à 236 du CRR sont traités comme des sûretés en espèces.</w:t>
            </w:r>
          </w:p>
          <w:p w:rsidR="001A6C53" w:rsidRPr="00392FFD" w:rsidRDefault="001A6C53" w:rsidP="008D2F6E">
            <w:pPr>
              <w:autoSpaceDE w:val="0"/>
              <w:autoSpaceDN w:val="0"/>
              <w:adjustRightInd w:val="0"/>
              <w:spacing w:before="0" w:after="0"/>
              <w:ind w:left="284" w:hanging="284"/>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Voir les instructions concernant le modèle CR SA (Déclaration des techniques d'ARC avec effet de substitution).</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100-110</w:t>
            </w:r>
          </w:p>
        </w:tc>
        <w:tc>
          <w:tcPr>
            <w:tcW w:w="7856" w:type="dxa"/>
          </w:tcPr>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b/>
                <w:sz w:val="24"/>
                <w:u w:val="single"/>
              </w:rPr>
              <w:t xml:space="preserve">SUBSTITUTION DE L'EXPOSITION DUE À L'ARC: </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Les entrées et sorties au sein de la même catégorie d'expositions et, le cas échéant, les pondérations de risque ou les échelons de débiteurs seront égal</w:t>
            </w:r>
            <w:r>
              <w:rPr>
                <w:rFonts w:ascii="Times New Roman" w:hAnsi="Times New Roman"/>
                <w:sz w:val="24"/>
              </w:rPr>
              <w:t>e</w:t>
            </w:r>
            <w:r>
              <w:rPr>
                <w:rFonts w:ascii="Times New Roman" w:hAnsi="Times New Roman"/>
                <w:sz w:val="24"/>
              </w:rPr>
              <w:t>ment déclarés.</w:t>
            </w:r>
          </w:p>
          <w:p w:rsidR="001A6C53" w:rsidRPr="00392FFD" w:rsidRDefault="001A6C53" w:rsidP="008D2F6E">
            <w:pPr>
              <w:autoSpaceDE w:val="0"/>
              <w:autoSpaceDN w:val="0"/>
              <w:adjustRightInd w:val="0"/>
              <w:spacing w:before="0" w:after="0"/>
              <w:ind w:left="284" w:hanging="284"/>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56"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 SORTIES</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Article 222, paragraphe 3, et article 235, paragraphes 1 et 2.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sorties correspondent à la partie couverte de l'«Exposition nette des corre</w:t>
            </w:r>
            <w:r>
              <w:rPr>
                <w:rFonts w:ascii="Times New Roman" w:hAnsi="Times New Roman"/>
                <w:sz w:val="24"/>
              </w:rPr>
              <w:t>c</w:t>
            </w:r>
            <w:r>
              <w:rPr>
                <w:rFonts w:ascii="Times New Roman" w:hAnsi="Times New Roman"/>
                <w:sz w:val="24"/>
              </w:rPr>
              <w:t>tions de valeur et des provisions» qui est déduite de la catégorie d'expositions du débiteur et, le cas échéant, de sa pondération de risque ou de son échelon de débiteur, puis réaffectée à la catégorie d'expositions du fournisseur de prote</w:t>
            </w:r>
            <w:r>
              <w:rPr>
                <w:rFonts w:ascii="Times New Roman" w:hAnsi="Times New Roman"/>
                <w:sz w:val="24"/>
              </w:rPr>
              <w:t>c</w:t>
            </w:r>
            <w:r>
              <w:rPr>
                <w:rFonts w:ascii="Times New Roman" w:hAnsi="Times New Roman"/>
                <w:sz w:val="24"/>
              </w:rPr>
              <w:t xml:space="preserve">tion et, le cas échéant, à sa pondération de risque ou à son échelon de débiteur.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 montant sera considéré comme une entrée dans la catégorie d'expositions du fournisseur de protection et, le cas échéant, dans ses pondérations de risque ou ses échelons de débiteurs.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Ces informations sont liées à la colonne 090 [(-) Total des sorties] du modèle CR SA Total.</w:t>
            </w:r>
          </w:p>
          <w:p w:rsidR="001A6C53" w:rsidRPr="00392FFD" w:rsidRDefault="001A6C53" w:rsidP="008D2F6E">
            <w:pPr>
              <w:autoSpaceDE w:val="0"/>
              <w:autoSpaceDN w:val="0"/>
              <w:adjustRightInd w:val="0"/>
              <w:spacing w:before="0" w:after="0"/>
              <w:ind w:left="284" w:hanging="284"/>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56"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TOTAL ENTRÉES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Seront déclarées dans cette colonne les positions de titrisation qui sont des titres de créance et sont des sûretés financières éligibles en vertu de l'a</w:t>
            </w:r>
            <w:r>
              <w:rPr>
                <w:rFonts w:ascii="Times New Roman" w:hAnsi="Times New Roman"/>
                <w:sz w:val="24"/>
              </w:rPr>
              <w:t>r</w:t>
            </w:r>
            <w:r>
              <w:rPr>
                <w:rFonts w:ascii="Times New Roman" w:hAnsi="Times New Roman"/>
                <w:sz w:val="24"/>
              </w:rPr>
              <w:t>ticle 197, paragraphe 1, du CRR, lorsque la méthode simple fondée sur les s</w:t>
            </w:r>
            <w:r>
              <w:rPr>
                <w:rFonts w:ascii="Times New Roman" w:hAnsi="Times New Roman"/>
                <w:sz w:val="24"/>
              </w:rPr>
              <w:t>û</w:t>
            </w:r>
            <w:r>
              <w:rPr>
                <w:rFonts w:ascii="Times New Roman" w:hAnsi="Times New Roman"/>
                <w:sz w:val="24"/>
              </w:rPr>
              <w:t>retés financières est utilisée.</w:t>
            </w:r>
          </w:p>
          <w:p w:rsidR="001A6C53" w:rsidRPr="00392FFD" w:rsidRDefault="001A6C53" w:rsidP="008D2F6E">
            <w:pPr>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Ces informations sont liées à la colonne 100 (Total des entrées) du modèle CR SA Total. </w:t>
            </w:r>
          </w:p>
          <w:p w:rsidR="001A6C53" w:rsidRPr="00392FFD" w:rsidRDefault="001A6C53" w:rsidP="008D2F6E">
            <w:pPr>
              <w:autoSpaceDE w:val="0"/>
              <w:autoSpaceDN w:val="0"/>
              <w:adjustRightInd w:val="0"/>
              <w:spacing w:before="0" w:after="0"/>
              <w:ind w:left="284" w:hanging="284"/>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EXPOSITION NETTE COMPTE TENU DES EFFETS DE SUBSTIT</w:t>
            </w:r>
            <w:r>
              <w:rPr>
                <w:rFonts w:ascii="Times New Roman" w:hAnsi="Times New Roman"/>
                <w:b/>
                <w:sz w:val="24"/>
                <w:u w:val="single"/>
              </w:rPr>
              <w:t>U</w:t>
            </w:r>
            <w:r>
              <w:rPr>
                <w:rFonts w:ascii="Times New Roman" w:hAnsi="Times New Roman"/>
                <w:b/>
                <w:sz w:val="24"/>
                <w:u w:val="single"/>
              </w:rPr>
              <w:t>TION ARC ET AVANT APPLICATION DES FACTEURS DE CO</w:t>
            </w:r>
            <w:r>
              <w:rPr>
                <w:rFonts w:ascii="Times New Roman" w:hAnsi="Times New Roman"/>
                <w:b/>
                <w:sz w:val="24"/>
                <w:u w:val="single"/>
              </w:rPr>
              <w:t>N</w:t>
            </w:r>
            <w:r>
              <w:rPr>
                <w:rFonts w:ascii="Times New Roman" w:hAnsi="Times New Roman"/>
                <w:b/>
                <w:sz w:val="24"/>
                <w:u w:val="single"/>
              </w:rPr>
              <w:t>VERSION</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Expositions affectées à la pondération de risque et à la catégorie d'expositions correspondantes, après prise en compte des sorties et des entrées dues aux «techniques d'ARC avec effets de substitution sur l'exposition».</w:t>
            </w:r>
          </w:p>
          <w:p w:rsidR="001A6C53" w:rsidRPr="00392FFD" w:rsidRDefault="001A6C53" w:rsidP="008D2F6E">
            <w:pPr>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Ces informations sont liées à la colonne 110 du modèle CR SA Total.</w:t>
            </w:r>
          </w:p>
          <w:p w:rsidR="001A6C53" w:rsidRPr="00392FFD" w:rsidRDefault="001A6C53" w:rsidP="008D2F6E">
            <w:pPr>
              <w:autoSpaceDE w:val="0"/>
              <w:autoSpaceDN w:val="0"/>
              <w:adjustRightInd w:val="0"/>
              <w:spacing w:before="0" w:after="0"/>
              <w:ind w:left="284" w:hanging="284"/>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130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 TECHNIQUES D'ATTÉNUATION DU RISQUE DE CRÉDIT M</w:t>
            </w:r>
            <w:r>
              <w:rPr>
                <w:rFonts w:ascii="Times New Roman" w:hAnsi="Times New Roman"/>
                <w:b/>
                <w:sz w:val="24"/>
                <w:u w:val="single"/>
              </w:rPr>
              <w:t>O</w:t>
            </w:r>
            <w:r>
              <w:rPr>
                <w:rFonts w:ascii="Times New Roman" w:hAnsi="Times New Roman"/>
                <w:b/>
                <w:sz w:val="24"/>
                <w:u w:val="single"/>
              </w:rPr>
              <w:t>DIFIANT LE MONTANT DE L'EXPOSITION: VALEUR CORRIGÉE SELON LA MÉTHODE GÉNÉRALE FONDÉE SUR LES SÛRETÉS FINANCIÈRES POUR LA PROTECTION DE CRÉDIT FINANCÉE (C</w:t>
            </w:r>
            <w:r>
              <w:rPr>
                <w:rFonts w:ascii="Times New Roman" w:hAnsi="Times New Roman"/>
                <w:b/>
                <w:sz w:val="24"/>
                <w:u w:val="single"/>
                <w:vertAlign w:val="subscript"/>
              </w:rPr>
              <w:t>VAM</w:t>
            </w:r>
            <w:r>
              <w:rPr>
                <w:rFonts w:ascii="Times New Roman" w:hAnsi="Times New Roman"/>
                <w:b/>
                <w:sz w:val="24"/>
                <w:u w:val="single"/>
              </w:rPr>
              <w:t>)</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titres liés à un crédit sont également inclus dans ce poste (article 218 du CRR).</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Ces informations sont liées aux colonnes 120 et 130 du modèle CR SA Total. </w:t>
            </w:r>
          </w:p>
          <w:p w:rsidR="001A6C53" w:rsidRPr="00392FFD" w:rsidRDefault="001A6C53" w:rsidP="008D2F6E">
            <w:pPr>
              <w:autoSpaceDE w:val="0"/>
              <w:autoSpaceDN w:val="0"/>
              <w:adjustRightInd w:val="0"/>
              <w:spacing w:before="0" w:after="0"/>
              <w:ind w:left="284" w:hanging="284"/>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VALEUR EXPOSÉE AU RISQUE PLEINEMENT AJUSTÉE (E*)</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de titrisation conformément à l'article 246 du CRR, c'est-à-dire sans application des facteurs de conversion visés à l'article 246, paragraphe 1, point c), du CRR.</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xml:space="preserve">Ces informations sont liées à la colonne 150 du modèle CR SA Total. </w:t>
            </w:r>
          </w:p>
          <w:p w:rsidR="001A6C53" w:rsidRPr="00392FFD" w:rsidRDefault="001A6C53" w:rsidP="008D2F6E">
            <w:pPr>
              <w:autoSpaceDE w:val="0"/>
              <w:autoSpaceDN w:val="0"/>
              <w:adjustRightInd w:val="0"/>
              <w:spacing w:before="0" w:after="0"/>
              <w:ind w:left="284" w:hanging="284"/>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150-180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RÉPARTITION DE LA VALEUR EXPOSÉE AU RISQUE PLEIN</w:t>
            </w:r>
            <w:r>
              <w:rPr>
                <w:rFonts w:ascii="Times New Roman" w:hAnsi="Times New Roman"/>
                <w:b/>
                <w:sz w:val="24"/>
                <w:u w:val="single"/>
              </w:rPr>
              <w:t>E</w:t>
            </w:r>
            <w:r>
              <w:rPr>
                <w:rFonts w:ascii="Times New Roman" w:hAnsi="Times New Roman"/>
                <w:b/>
                <w:sz w:val="24"/>
                <w:u w:val="single"/>
              </w:rPr>
              <w:t>MENT AJUSTÉE (E*) DES ÉLÉMENTS DE HORS BILAN PAR FA</w:t>
            </w:r>
            <w:r>
              <w:rPr>
                <w:rFonts w:ascii="Times New Roman" w:hAnsi="Times New Roman"/>
                <w:b/>
                <w:sz w:val="24"/>
                <w:u w:val="single"/>
              </w:rPr>
              <w:t>C</w:t>
            </w:r>
            <w:r>
              <w:rPr>
                <w:rFonts w:ascii="Times New Roman" w:hAnsi="Times New Roman"/>
                <w:b/>
                <w:sz w:val="24"/>
                <w:u w:val="single"/>
              </w:rPr>
              <w:t>TEUR DE CONVERSION</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L'article 246, paragraphe 1, point c), du CRR dispose que la valeur exposée au risque d'une position de titrisation hors bilan sera sa valeur nominale multipliée par un facteur de conversion. Sauf mention contraire dans le CRR, ce facteur de conversion s'élèvera à 100 %.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Voir les colonnes 160 à 190 du modèle CR SA Total.</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Aux fins de la déclaration, les valeurs exposées au risque pleinement ajustées (E*) seront déclarées selon les quatre intervalles de facteurs de conversion su</w:t>
            </w:r>
            <w:r>
              <w:rPr>
                <w:rFonts w:ascii="Times New Roman" w:hAnsi="Times New Roman"/>
                <w:sz w:val="24"/>
              </w:rPr>
              <w:t>i</w:t>
            </w:r>
            <w:r>
              <w:rPr>
                <w:rFonts w:ascii="Times New Roman" w:hAnsi="Times New Roman"/>
                <w:sz w:val="24"/>
              </w:rPr>
              <w:t>vants, lesquels s'excluent mutuellement: 0 %,]0 %, 20 %],]20 %, 50 %] et]50 %, 100 %].</w:t>
            </w:r>
          </w:p>
          <w:p w:rsidR="001A6C53" w:rsidRPr="00392FFD" w:rsidRDefault="001A6C53" w:rsidP="008D2F6E">
            <w:pPr>
              <w:autoSpaceDE w:val="0"/>
              <w:autoSpaceDN w:val="0"/>
              <w:adjustRightInd w:val="0"/>
              <w:spacing w:before="0" w:after="0"/>
              <w:ind w:left="284" w:hanging="284"/>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 xml:space="preserve">VALEUR EXPOSÉE AU RISQUE </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de titrisation conformément à l'article 246 du CRR.</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Ces informations sont liées à la colonne 200 du modèle CR SA Total. </w:t>
            </w:r>
          </w:p>
          <w:p w:rsidR="001A6C53" w:rsidRPr="00392FFD" w:rsidRDefault="001A6C53" w:rsidP="008D2F6E">
            <w:pPr>
              <w:autoSpaceDE w:val="0"/>
              <w:autoSpaceDN w:val="0"/>
              <w:adjustRightInd w:val="0"/>
              <w:spacing w:before="0" w:after="0"/>
              <w:ind w:left="284" w:hanging="284"/>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200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 VALEUR EXPOSÉE DÉDUITE DES FONDS PROPRES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L'article 258 du CRR prévoit que, lorsqu'une position de titrisation appelle une pondération de risque de 1 250 %, l'établissement peut, au lieu d'inclure cette position dans le calcul des montants d'exposition pondérés, déduire de ses fonds propres la valeur exposée au risque de cette position.</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210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VALEUR EXPOSÉE FAISANT L'OBJET DE PONDÉRATIONS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Valeur exposée au risque moins la valeur exposée au risque déduite des fonds propres.</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220-320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RÉPARTITION SELON LES PONDÉRATIONS DE LA VALEUR E</w:t>
            </w:r>
            <w:r>
              <w:rPr>
                <w:rFonts w:ascii="Times New Roman" w:hAnsi="Times New Roman"/>
                <w:b/>
                <w:sz w:val="24"/>
                <w:u w:val="single"/>
              </w:rPr>
              <w:t>X</w:t>
            </w:r>
            <w:r>
              <w:rPr>
                <w:rFonts w:ascii="Times New Roman" w:hAnsi="Times New Roman"/>
                <w:b/>
                <w:sz w:val="24"/>
                <w:u w:val="single"/>
              </w:rPr>
              <w:t>POSÉE AU RISQUE FAISANT L'OBJET DE PONDÉRATIONS</w:t>
            </w: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220-260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POSITIONS NOTÉES</w:t>
            </w:r>
          </w:p>
          <w:p w:rsidR="001A6C53" w:rsidRPr="00392FFD" w:rsidRDefault="001A6C53" w:rsidP="008D2F6E">
            <w:pPr>
              <w:spacing w:before="0" w:after="0"/>
              <w:jc w:val="left"/>
              <w:rPr>
                <w:rFonts w:ascii="Times New Roman" w:hAnsi="Times New Roman"/>
                <w:b/>
                <w:sz w:val="24"/>
                <w:u w:val="single"/>
              </w:rPr>
            </w:pPr>
          </w:p>
          <w:p w:rsidR="001A6C53" w:rsidRPr="00392FFD" w:rsidRDefault="001A6C53" w:rsidP="008D2F6E">
            <w:pPr>
              <w:autoSpaceDE w:val="0"/>
              <w:autoSpaceDN w:val="0"/>
              <w:adjustRightInd w:val="0"/>
              <w:spacing w:before="0" w:after="0"/>
              <w:rPr>
                <w:rFonts w:ascii="Times New Roman" w:hAnsi="Times New Roman"/>
                <w:i/>
                <w:sz w:val="24"/>
              </w:rPr>
            </w:pPr>
            <w:r>
              <w:rPr>
                <w:rFonts w:ascii="Times New Roman" w:hAnsi="Times New Roman"/>
                <w:sz w:val="24"/>
              </w:rPr>
              <w:t>L'article 242, point 8, du CRR définit les positions notées.</w:t>
            </w:r>
          </w:p>
          <w:p w:rsidR="001A6C53" w:rsidRPr="00392FFD" w:rsidRDefault="001A6C53" w:rsidP="008D2F6E">
            <w:pPr>
              <w:autoSpaceDE w:val="0"/>
              <w:autoSpaceDN w:val="0"/>
              <w:adjustRightInd w:val="0"/>
              <w:spacing w:before="0" w:after="0"/>
              <w:rPr>
                <w:rFonts w:ascii="Times New Roman" w:hAnsi="Times New Roman"/>
                <w:i/>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valeurs exposées au risque faisant l'objet d'une pondération de risque sont ventilées en fonction de leur échelon de qualité de crédit, comme prévu pour l'approche standard à l'article 251 (tableau 1) du CRR.</w:t>
            </w:r>
          </w:p>
          <w:p w:rsidR="001A6C53" w:rsidRPr="00392FFD" w:rsidRDefault="001A6C53" w:rsidP="008D2F6E">
            <w:pPr>
              <w:spacing w:before="0" w:after="0"/>
              <w:jc w:val="left"/>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270</w:t>
            </w:r>
          </w:p>
        </w:tc>
        <w:tc>
          <w:tcPr>
            <w:tcW w:w="7856" w:type="dxa"/>
          </w:tcPr>
          <w:p w:rsidR="001A6C53" w:rsidRPr="00392FFD" w:rsidRDefault="001A6C53" w:rsidP="008D2F6E">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1 250 % (POSITIONS NON NOTÉES)</w:t>
            </w:r>
          </w:p>
          <w:p w:rsidR="001A6C53" w:rsidRPr="00392FFD" w:rsidRDefault="001A6C53" w:rsidP="008D2F6E">
            <w:pPr>
              <w:spacing w:before="0" w:after="0"/>
              <w:jc w:val="left"/>
              <w:rPr>
                <w:rFonts w:ascii="Times New Roman" w:hAnsi="Times New Roman"/>
                <w:b/>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L'article 242, point 7, du CRR définit les positions non notées.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280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APPROCHE PAR TRANSPARENCE</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Articles 253 et 254 et article 256, paragraphe 5, du CRR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colonnes consacrées à la méthode par transparence rassemblent tous les cas d'expositions non notées pour lesquelles la pondération de risque est obt</w:t>
            </w:r>
            <w:r>
              <w:rPr>
                <w:rFonts w:ascii="Times New Roman" w:hAnsi="Times New Roman"/>
                <w:sz w:val="24"/>
              </w:rPr>
              <w:t>e</w:t>
            </w:r>
            <w:r>
              <w:rPr>
                <w:rFonts w:ascii="Times New Roman" w:hAnsi="Times New Roman"/>
                <w:sz w:val="24"/>
              </w:rPr>
              <w:t>nue à partir du portefeuille d'expositions sous-jacent (pondération moyenne du panier, pondération maximale du panier, ou recours au ratio de concentration).</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290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APPROCHE PAR TRANSPARENCE - DONT: TRANCHE DE DE</w:t>
            </w:r>
            <w:r>
              <w:rPr>
                <w:rFonts w:ascii="Times New Roman" w:hAnsi="Times New Roman"/>
                <w:b/>
                <w:sz w:val="24"/>
                <w:u w:val="single"/>
              </w:rPr>
              <w:t>U</w:t>
            </w:r>
            <w:r>
              <w:rPr>
                <w:rFonts w:ascii="Times New Roman" w:hAnsi="Times New Roman"/>
                <w:b/>
                <w:sz w:val="24"/>
                <w:u w:val="single"/>
              </w:rPr>
              <w:t>XIÈME PERTE DU PROGRAMME ABCP</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La valeur exposée au risque sujette au traitement des positions de titrisation appartenant à une tranche de deuxième perte ou à une tranche plus favorable dans un programme ABCP, est définie à l'article 254 du CRR.</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L'article 242, point 9, du CRR définit le programme ABCP (programme de p</w:t>
            </w:r>
            <w:r>
              <w:rPr>
                <w:rFonts w:ascii="Times New Roman" w:hAnsi="Times New Roman"/>
                <w:sz w:val="24"/>
              </w:rPr>
              <w:t>a</w:t>
            </w:r>
            <w:r>
              <w:rPr>
                <w:rFonts w:ascii="Times New Roman" w:hAnsi="Times New Roman"/>
                <w:sz w:val="24"/>
              </w:rPr>
              <w:t xml:space="preserve">pier commercial adossé à des actifs). </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spacing w:before="0" w:after="0"/>
              <w:jc w:val="left"/>
              <w:rPr>
                <w:rFonts w:ascii="Times New Roman" w:hAnsi="Times New Roman"/>
                <w:sz w:val="24"/>
              </w:rPr>
            </w:pPr>
            <w:r>
              <w:rPr>
                <w:rFonts w:ascii="Times New Roman" w:hAnsi="Times New Roman"/>
                <w:sz w:val="24"/>
              </w:rPr>
              <w:t>300</w:t>
            </w:r>
          </w:p>
          <w:p w:rsidR="001A6C53" w:rsidRPr="00392FFD" w:rsidRDefault="001A6C53" w:rsidP="008D2F6E">
            <w:pPr>
              <w:autoSpaceDE w:val="0"/>
              <w:autoSpaceDN w:val="0"/>
              <w:adjustRightInd w:val="0"/>
              <w:spacing w:before="0" w:after="0"/>
              <w:rPr>
                <w:rFonts w:ascii="Times New Roman" w:hAnsi="Times New Roman"/>
                <w:bCs/>
                <w:sz w:val="24"/>
              </w:rPr>
            </w:pP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APPROCHE PAR TRANSPARENCE DONT: PONDÉRATION MOYENNE (%)</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La moyenne, pondérée en fonction de la valeur exposée au risque, des pondér</w:t>
            </w:r>
            <w:r>
              <w:rPr>
                <w:rFonts w:ascii="Times New Roman" w:hAnsi="Times New Roman"/>
                <w:sz w:val="24"/>
              </w:rPr>
              <w:t>a</w:t>
            </w:r>
            <w:r>
              <w:rPr>
                <w:rFonts w:ascii="Times New Roman" w:hAnsi="Times New Roman"/>
                <w:sz w:val="24"/>
              </w:rPr>
              <w:t>tions de risque sera déclarée.</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310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APPROCHE PAR ÉVALUATION INTERNE</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 xml:space="preserve">Article 109, paragraphe 1, et article 259, paragraphe 3, du CRR. </w:t>
            </w:r>
            <w:r>
              <w:rPr>
                <w:rFonts w:ascii="Times New Roman" w:hAnsi="Times New Roman"/>
                <w:sz w:val="24"/>
                <w:u w:val="single"/>
              </w:rPr>
              <w:t>Valeur exp</w:t>
            </w:r>
            <w:r>
              <w:rPr>
                <w:rFonts w:ascii="Times New Roman" w:hAnsi="Times New Roman"/>
                <w:sz w:val="24"/>
                <w:u w:val="single"/>
              </w:rPr>
              <w:t>o</w:t>
            </w:r>
            <w:r>
              <w:rPr>
                <w:rFonts w:ascii="Times New Roman" w:hAnsi="Times New Roman"/>
                <w:sz w:val="24"/>
                <w:u w:val="single"/>
              </w:rPr>
              <w:t xml:space="preserve">sée au risque des positions de </w:t>
            </w:r>
            <w:r>
              <w:rPr>
                <w:rFonts w:ascii="Times New Roman" w:hAnsi="Times New Roman"/>
                <w:sz w:val="24"/>
              </w:rPr>
              <w:t>titrisation</w:t>
            </w:r>
            <w:r>
              <w:rPr>
                <w:rFonts w:ascii="Times New Roman" w:hAnsi="Times New Roman"/>
                <w:sz w:val="24"/>
                <w:u w:val="single"/>
              </w:rPr>
              <w:t xml:space="preserve"> selon l'approche par évaluation i</w:t>
            </w:r>
            <w:r>
              <w:rPr>
                <w:rFonts w:ascii="Times New Roman" w:hAnsi="Times New Roman"/>
                <w:sz w:val="24"/>
                <w:u w:val="single"/>
              </w:rPr>
              <w:t>n</w:t>
            </w:r>
            <w:r>
              <w:rPr>
                <w:rFonts w:ascii="Times New Roman" w:hAnsi="Times New Roman"/>
                <w:sz w:val="24"/>
                <w:u w:val="single"/>
              </w:rPr>
              <w:t>terne.</w:t>
            </w:r>
          </w:p>
          <w:p w:rsidR="001A6C53" w:rsidRPr="00392FFD" w:rsidRDefault="001A6C53" w:rsidP="008D2F6E">
            <w:pPr>
              <w:spacing w:before="0" w:after="0"/>
              <w:jc w:val="left"/>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320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APPROCHE PAR ÉVALUATION INTERNE: PONDÉRATION MOYENNE (%)</w:t>
            </w:r>
          </w:p>
          <w:p w:rsidR="001A6C53" w:rsidRPr="00392FFD" w:rsidRDefault="001A6C53" w:rsidP="008D2F6E">
            <w:pPr>
              <w:spacing w:before="0" w:after="0"/>
              <w:jc w:val="left"/>
              <w:rPr>
                <w:rFonts w:ascii="Times New Roman" w:hAnsi="Times New Roman"/>
                <w:b/>
                <w:sz w:val="24"/>
                <w:u w:val="single"/>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La moyenne, pondérée en fonction de la valeur exposée au risque, des pondér</w:t>
            </w:r>
            <w:r>
              <w:rPr>
                <w:rFonts w:ascii="Times New Roman" w:hAnsi="Times New Roman"/>
                <w:sz w:val="24"/>
              </w:rPr>
              <w:t>a</w:t>
            </w:r>
            <w:r>
              <w:rPr>
                <w:rFonts w:ascii="Times New Roman" w:hAnsi="Times New Roman"/>
                <w:sz w:val="24"/>
              </w:rPr>
              <w:t>tions de risque sera déclarée.</w:t>
            </w:r>
          </w:p>
          <w:p w:rsidR="001A6C53" w:rsidRPr="00392FFD" w:rsidRDefault="001A6C53" w:rsidP="008D2F6E">
            <w:pPr>
              <w:spacing w:before="0" w:after="0"/>
              <w:jc w:val="left"/>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MONTANT D'EXPOSITION PONDÉRÉ</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Montant total d'exposition pondéré, calculé selon les dispositions de la tro</w:t>
            </w:r>
            <w:r>
              <w:rPr>
                <w:rFonts w:ascii="Times New Roman" w:hAnsi="Times New Roman"/>
                <w:sz w:val="24"/>
              </w:rPr>
              <w:t>i</w:t>
            </w:r>
            <w:r>
              <w:rPr>
                <w:rFonts w:ascii="Times New Roman" w:hAnsi="Times New Roman"/>
                <w:sz w:val="24"/>
              </w:rPr>
              <w:t>sième partie, titre II, chapitre 5, section 3 du CRR, avant ajustements en raison d'asymétries d'échéances ou de non-respect des mesures de diligence appr</w:t>
            </w:r>
            <w:r>
              <w:rPr>
                <w:rFonts w:ascii="Times New Roman" w:hAnsi="Times New Roman"/>
                <w:sz w:val="24"/>
              </w:rPr>
              <w:t>o</w:t>
            </w:r>
            <w:r>
              <w:rPr>
                <w:rFonts w:ascii="Times New Roman" w:hAnsi="Times New Roman"/>
                <w:sz w:val="24"/>
              </w:rPr>
              <w:t xml:space="preserve">priée, et à l'exception de tout montant d'exposition pondéré correspondant aux expositions redistribuées dans un autre modèle au moyen des sorties. </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DONT: TITRISATIONS SYNTHÉTIQUES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Pour les titrisations synthétiques, le montant à déclarer dans cette colonne ne tiendra pas compte d'une quelconque asymétrie d'échéances.</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EFFET GLOBAL (AJUSTEMENT) LIÉ AU MANQUEMENT AUX DISPOSITIONS EN MATIÈRE DE DILIGENCE APPROPRIÉE</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Style w:val="InstructionsTabelleText"/>
                <w:rFonts w:ascii="Times New Roman" w:hAnsi="Times New Roman"/>
                <w:sz w:val="24"/>
              </w:rPr>
            </w:pPr>
            <w:r>
              <w:rPr>
                <w:rStyle w:val="InstructionsTabelleText"/>
                <w:rFonts w:ascii="Times New Roman" w:hAnsi="Times New Roman"/>
                <w:sz w:val="24"/>
              </w:rPr>
              <w:t>L'article 14, paragraphe 2, l'article 406, paragraphe 2, et l'article 407 du CRR disposent que lorsqu'un établissement manque à certaines des exigences des a</w:t>
            </w:r>
            <w:r>
              <w:rPr>
                <w:rStyle w:val="InstructionsTabelleText"/>
                <w:rFonts w:ascii="Times New Roman" w:hAnsi="Times New Roman"/>
                <w:sz w:val="24"/>
              </w:rPr>
              <w:t>r</w:t>
            </w:r>
            <w:r>
              <w:rPr>
                <w:rStyle w:val="InstructionsTabelleText"/>
                <w:rFonts w:ascii="Times New Roman" w:hAnsi="Times New Roman"/>
                <w:sz w:val="24"/>
              </w:rPr>
              <w:t>ticles 405, 406 ou 409 du CRR, l'État membre veille à ce que les autorités compétentes imposent une pondération de risque supplémentaire proportio</w:t>
            </w:r>
            <w:r>
              <w:rPr>
                <w:rStyle w:val="InstructionsTabelleText"/>
                <w:rFonts w:ascii="Times New Roman" w:hAnsi="Times New Roman"/>
                <w:sz w:val="24"/>
              </w:rPr>
              <w:t>n</w:t>
            </w:r>
            <w:r>
              <w:rPr>
                <w:rStyle w:val="InstructionsTabelleText"/>
                <w:rFonts w:ascii="Times New Roman" w:hAnsi="Times New Roman"/>
                <w:sz w:val="24"/>
              </w:rPr>
              <w:t>née, qui ne peut être inférieure à 250 % de la pondération de risque (plafonnée à 1 250 %) qui s'appliquerait aux positions de titrisation concernées en vertu de la troisième partie, titre II, chapitre 5, section 3 du CRR. Une telle pondération de risque supplémentaire peut être imposée non seulement aux établissements investisseurs, mais également aux initiateurs, aux sponsors et aux prêteurs in</w:t>
            </w:r>
            <w:r>
              <w:rPr>
                <w:rStyle w:val="InstructionsTabelleText"/>
                <w:rFonts w:ascii="Times New Roman" w:hAnsi="Times New Roman"/>
                <w:sz w:val="24"/>
              </w:rPr>
              <w:t>i</w:t>
            </w:r>
            <w:r>
              <w:rPr>
                <w:rStyle w:val="InstructionsTabelleText"/>
                <w:rFonts w:ascii="Times New Roman" w:hAnsi="Times New Roman"/>
                <w:sz w:val="24"/>
              </w:rPr>
              <w:t>tiaux.</w:t>
            </w:r>
          </w:p>
          <w:p w:rsidR="001A6C53" w:rsidRPr="00392FFD" w:rsidRDefault="001A6C53" w:rsidP="008D2F6E">
            <w:pPr>
              <w:spacing w:before="0" w:after="0"/>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AJUSTEMENT DU MONTANT D'EXPOSITION PONDÉRÉ DU FAIT D'UNE ASYMÉTRIE D'ÉCHÉANCES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Style w:val="InstructionsTabelleText"/>
                <w:rFonts w:ascii="Times New Roman" w:hAnsi="Times New Roman"/>
                <w:sz w:val="24"/>
              </w:rPr>
            </w:pPr>
            <w:r>
              <w:rPr>
                <w:rStyle w:val="InstructionsTabelleText"/>
                <w:rFonts w:ascii="Times New Roman" w:hAnsi="Times New Roman"/>
                <w:sz w:val="24"/>
              </w:rPr>
              <w:t>Pour les asymétries d'échéances dans les titrisations synthétiques, RW*-RW(SP), tel que défini à l'article 250 du CRR, sera inclus, sauf dans le cas de tranches soumises à une pondération de risque de 1 250 %, pour lesquelles le montant à déclarer sera de 0. Attention: RW(SP) inclut non seulement les mo</w:t>
            </w:r>
            <w:r>
              <w:rPr>
                <w:rStyle w:val="InstructionsTabelleText"/>
                <w:rFonts w:ascii="Times New Roman" w:hAnsi="Times New Roman"/>
                <w:sz w:val="24"/>
              </w:rPr>
              <w:t>n</w:t>
            </w:r>
            <w:r>
              <w:rPr>
                <w:rStyle w:val="InstructionsTabelleText"/>
                <w:rFonts w:ascii="Times New Roman" w:hAnsi="Times New Roman"/>
                <w:sz w:val="24"/>
              </w:rPr>
              <w:t>tants d'exposition pondérés déclarés à la colonne 330, mais également les mo</w:t>
            </w:r>
            <w:r>
              <w:rPr>
                <w:rStyle w:val="InstructionsTabelleText"/>
                <w:rFonts w:ascii="Times New Roman" w:hAnsi="Times New Roman"/>
                <w:sz w:val="24"/>
              </w:rPr>
              <w:t>n</w:t>
            </w:r>
            <w:r>
              <w:rPr>
                <w:rStyle w:val="InstructionsTabelleText"/>
                <w:rFonts w:ascii="Times New Roman" w:hAnsi="Times New Roman"/>
                <w:sz w:val="24"/>
              </w:rPr>
              <w:t>tants d'exposition pondérés correspondant aux expositions redistribuées dans d'autres modèles au moyen des sorties.</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Del="00F5392E"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370-380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MONTANT TOTAL D'EXPOSITION PONDÉRÉ: AVANT APPLIC</w:t>
            </w:r>
            <w:r>
              <w:rPr>
                <w:rFonts w:ascii="Times New Roman" w:hAnsi="Times New Roman"/>
                <w:b/>
                <w:sz w:val="24"/>
                <w:u w:val="single"/>
              </w:rPr>
              <w:t>A</w:t>
            </w:r>
            <w:r>
              <w:rPr>
                <w:rFonts w:ascii="Times New Roman" w:hAnsi="Times New Roman"/>
                <w:b/>
                <w:sz w:val="24"/>
                <w:u w:val="single"/>
              </w:rPr>
              <w:t>TION DU PLAFOND/APRÈS APPLICATION DU PLAFOND</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Montant total d'exposition pondéré calculé conformément à la troisième partie, titre II, chapitre 5, section 3 du CRR, avant (colonne 370)/après (colonne 380) application des limites fixées à l'article 252 (Titrisation des éléments en défaut à ce moment-là ou qui sont considérés comme présentant un risque particuli</w:t>
            </w:r>
            <w:r>
              <w:rPr>
                <w:rFonts w:ascii="Times New Roman" w:hAnsi="Times New Roman"/>
                <w:sz w:val="24"/>
              </w:rPr>
              <w:t>è</w:t>
            </w:r>
            <w:r>
              <w:rPr>
                <w:rFonts w:ascii="Times New Roman" w:hAnsi="Times New Roman"/>
                <w:sz w:val="24"/>
              </w:rPr>
              <w:t>rement élevé) ou à l'article 256, paragraphe 4 (Exigences supplémentaires de fonds propres pour les titrisations d'expositions renouvelables comportant une clause de remboursement anticipé) du CRR.</w:t>
            </w:r>
          </w:p>
          <w:p w:rsidR="001A6C53" w:rsidRPr="00392FFD" w:rsidRDefault="001A6C53" w:rsidP="008D2F6E">
            <w:pPr>
              <w:spacing w:before="0" w:after="0"/>
              <w:jc w:val="left"/>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856"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POUR MÉMOIRE: MONTANT D'EXPOSITION PONDÉRÉ CORRE</w:t>
            </w:r>
            <w:r>
              <w:rPr>
                <w:rFonts w:ascii="Times New Roman" w:hAnsi="Times New Roman"/>
                <w:b/>
                <w:sz w:val="24"/>
                <w:u w:val="single"/>
              </w:rPr>
              <w:t>S</w:t>
            </w:r>
            <w:r>
              <w:rPr>
                <w:rFonts w:ascii="Times New Roman" w:hAnsi="Times New Roman"/>
                <w:b/>
                <w:sz w:val="24"/>
                <w:u w:val="single"/>
              </w:rPr>
              <w:t>PONDANT AUX SORTIES DE LA TITRISATION SA VERS D'AUTRES CATÉGORIES D'EXPOSITION</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Montant d'exposition pondéré découlant d'expositions redistribuées vers le fournisseur de la mesure d'atténuation du risque, figurant dès lors dans le m</w:t>
            </w:r>
            <w:r>
              <w:rPr>
                <w:rFonts w:ascii="Times New Roman" w:hAnsi="Times New Roman"/>
                <w:sz w:val="24"/>
              </w:rPr>
              <w:t>o</w:t>
            </w:r>
            <w:r>
              <w:rPr>
                <w:rFonts w:ascii="Times New Roman" w:hAnsi="Times New Roman"/>
                <w:sz w:val="24"/>
              </w:rPr>
              <w:t>dèle correspondant, et qui sont prises en compte dans le calcul du plafonn</w:t>
            </w:r>
            <w:r>
              <w:rPr>
                <w:rFonts w:ascii="Times New Roman" w:hAnsi="Times New Roman"/>
                <w:sz w:val="24"/>
              </w:rPr>
              <w:t>e</w:t>
            </w:r>
            <w:r>
              <w:rPr>
                <w:rFonts w:ascii="Times New Roman" w:hAnsi="Times New Roman"/>
                <w:sz w:val="24"/>
              </w:rPr>
              <w:t>ment des positions de titrisation.</w:t>
            </w:r>
          </w:p>
          <w:p w:rsidR="001A6C53" w:rsidRPr="00392FFD" w:rsidRDefault="001A6C53" w:rsidP="008D2F6E">
            <w:pPr>
              <w:spacing w:before="0" w:after="0"/>
              <w:jc w:val="left"/>
              <w:rPr>
                <w:rFonts w:ascii="Times New Roman" w:hAnsi="Times New Roman"/>
                <w:sz w:val="24"/>
              </w:rPr>
            </w:pPr>
          </w:p>
        </w:tc>
      </w:tr>
    </w:tbl>
    <w:p w:rsidR="001A6C53" w:rsidRPr="00392FFD" w:rsidRDefault="001A6C53" w:rsidP="001A6C53">
      <w:pPr>
        <w:spacing w:before="0" w:after="0"/>
        <w:jc w:val="left"/>
        <w:rPr>
          <w:rFonts w:ascii="Times New Roman" w:hAnsi="Times New Roman"/>
          <w:sz w:val="24"/>
        </w:rPr>
      </w:pPr>
    </w:p>
    <w:p w:rsidR="001A6C53" w:rsidRPr="00392FFD" w:rsidRDefault="001A6C53" w:rsidP="001A6C53">
      <w:pPr>
        <w:pStyle w:val="InstructionsText2"/>
        <w:numPr>
          <w:ilvl w:val="0"/>
          <w:numId w:val="0"/>
        </w:numPr>
        <w:ind w:left="993"/>
      </w:pPr>
      <w:r>
        <w:t>102.</w:t>
      </w:r>
      <w:r>
        <w:tab/>
        <w:t>Le modèle CR SEC SA se compose de trois grands blocs de lignes, qui ra</w:t>
      </w:r>
      <w:r>
        <w:t>s</w:t>
      </w:r>
      <w:r>
        <w:t>semblent des données sur les expositions initiées / sponsorisées / conservées ou a</w:t>
      </w:r>
      <w:r>
        <w:t>c</w:t>
      </w:r>
      <w:r>
        <w:t xml:space="preserve">quises par les initiateurs, investisseurs et sponsors. Pour chacun, les données sont ventilées entre éléments au bilan, éléments hors bilan, dérivés, titrisations et </w:t>
      </w:r>
      <w:proofErr w:type="spellStart"/>
      <w:r>
        <w:t>retitr</w:t>
      </w:r>
      <w:r>
        <w:t>i</w:t>
      </w:r>
      <w:r>
        <w:t>sations</w:t>
      </w:r>
      <w:proofErr w:type="spellEnd"/>
      <w:r>
        <w:t xml:space="preserve">. </w:t>
      </w:r>
    </w:p>
    <w:p w:rsidR="001A6C53" w:rsidRPr="00392FFD" w:rsidRDefault="001A6C53" w:rsidP="001A6C53">
      <w:pPr>
        <w:pStyle w:val="InstructionsText2"/>
        <w:numPr>
          <w:ilvl w:val="0"/>
          <w:numId w:val="0"/>
        </w:numPr>
        <w:ind w:left="993"/>
      </w:pPr>
      <w:r>
        <w:t>103.</w:t>
      </w:r>
      <w:r>
        <w:tab/>
        <w:t>Les positions traitées selon la méthode fondée sur les notations et les positions non notées (expositions à la date de déclaration) doivent également être ventilées en fonction des échelons de qualité de crédit appliqués à la date d'initiation (dernier bloc de lignes). Les initiateurs, les sponsors et les investisseurs doivent déclarer ces données.</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1A6C53" w:rsidRPr="00392FFD" w:rsidTr="008D2F6E">
        <w:tc>
          <w:tcPr>
            <w:tcW w:w="9004" w:type="dxa"/>
            <w:gridSpan w:val="2"/>
            <w:shd w:val="clear" w:color="auto" w:fill="CCCCCC"/>
          </w:tcPr>
          <w:p w:rsidR="001A6C53" w:rsidRPr="00392FFD" w:rsidRDefault="001A6C53" w:rsidP="008D2F6E">
            <w:pPr>
              <w:autoSpaceDE w:val="0"/>
              <w:autoSpaceDN w:val="0"/>
              <w:adjustRightInd w:val="0"/>
              <w:spacing w:before="0" w:after="0"/>
              <w:jc w:val="left"/>
              <w:rPr>
                <w:rFonts w:ascii="Times New Roman" w:hAnsi="Times New Roman"/>
                <w:bCs/>
                <w:sz w:val="24"/>
              </w:rPr>
            </w:pPr>
            <w:r>
              <w:rPr>
                <w:rFonts w:ascii="Times New Roman" w:hAnsi="Times New Roman"/>
                <w:b/>
                <w:sz w:val="24"/>
              </w:rPr>
              <w:t>Lignes</w:t>
            </w: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TOTAL DES EXPOSITIONS </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 montant total des expositions correspond au montant total de l'encours des titrisations. Cette ligne résume toutes les données déclarées par les initiateurs, les sponsors et les investisseurs dans les lignes suivantes.</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DONT: RETITRISATIONS</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xml:space="preserve">Montant total de l'encours des </w:t>
            </w:r>
            <w:proofErr w:type="spellStart"/>
            <w:r>
              <w:rPr>
                <w:rFonts w:ascii="Times New Roman" w:hAnsi="Times New Roman"/>
                <w:sz w:val="24"/>
              </w:rPr>
              <w:t>retitrisations</w:t>
            </w:r>
            <w:proofErr w:type="spellEnd"/>
            <w:r>
              <w:rPr>
                <w:rFonts w:ascii="Times New Roman" w:hAnsi="Times New Roman"/>
                <w:sz w:val="24"/>
              </w:rPr>
              <w:t>, conformément aux définitions de l'article 4, paragraphe 1, points 63 et 64, du CRR.</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INITIATEUR: TOTAL DES EXPOSITIONS </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Cette ligne synthétise les données sur les éléments au bilan et les éléments hors bilan et les dérivés et le remboursement anticipé des positions de titrisation pour lesquelles l'établissement joue le rôle d'initiateur, tel que défini à l'a</w:t>
            </w:r>
            <w:r>
              <w:rPr>
                <w:rFonts w:ascii="Times New Roman" w:hAnsi="Times New Roman"/>
                <w:sz w:val="24"/>
              </w:rPr>
              <w:t>r</w:t>
            </w:r>
            <w:r>
              <w:rPr>
                <w:rFonts w:ascii="Times New Roman" w:hAnsi="Times New Roman"/>
                <w:sz w:val="24"/>
              </w:rPr>
              <w:lastRenderedPageBreak/>
              <w:t>ticle 4, paragraphe 1, point 13, du CRR.</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040-060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ÉLÉMENTS DE BILAN </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L'article 246, paragraphe 1, point a), du CRR dispose que lorsqu'un établiss</w:t>
            </w:r>
            <w:r>
              <w:rPr>
                <w:rFonts w:ascii="Times New Roman" w:hAnsi="Times New Roman"/>
                <w:sz w:val="24"/>
              </w:rPr>
              <w:t>e</w:t>
            </w:r>
            <w:r>
              <w:rPr>
                <w:rFonts w:ascii="Times New Roman" w:hAnsi="Times New Roman"/>
                <w:sz w:val="24"/>
              </w:rPr>
              <w:t xml:space="preserve">ment </w:t>
            </w:r>
            <w:proofErr w:type="spellStart"/>
            <w:r>
              <w:rPr>
                <w:rFonts w:ascii="Times New Roman" w:hAnsi="Times New Roman"/>
                <w:sz w:val="24"/>
              </w:rPr>
              <w:t>calcule</w:t>
            </w:r>
            <w:proofErr w:type="spellEnd"/>
            <w:r>
              <w:rPr>
                <w:rFonts w:ascii="Times New Roman" w:hAnsi="Times New Roman"/>
                <w:sz w:val="24"/>
              </w:rPr>
              <w:t xml:space="preserve"> des montants d'exposition pondérés selon l'approche standard, la valeur exposée au risque d'une position de titrisation inscrite au bilan est égale à sa valeur comptable après application des ajustements pour risque de crédit spécifique.</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Les éléments au bilan sont répartis entre titrisations (ligne 050) et </w:t>
            </w:r>
            <w:proofErr w:type="spellStart"/>
            <w:r>
              <w:rPr>
                <w:rFonts w:ascii="Times New Roman" w:hAnsi="Times New Roman"/>
                <w:sz w:val="24"/>
              </w:rPr>
              <w:t>retitrisations</w:t>
            </w:r>
            <w:proofErr w:type="spellEnd"/>
            <w:r>
              <w:rPr>
                <w:rFonts w:ascii="Times New Roman" w:hAnsi="Times New Roman"/>
                <w:sz w:val="24"/>
              </w:rPr>
              <w:t xml:space="preserve"> (ligne 060).</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070-090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ÉLÉMENTS DE HORS BILAN ET DÉRIVÉS</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i/>
                <w:sz w:val="24"/>
              </w:rPr>
            </w:pPr>
            <w:r>
              <w:rPr>
                <w:rFonts w:ascii="Times New Roman" w:hAnsi="Times New Roman"/>
                <w:sz w:val="24"/>
              </w:rPr>
              <w:t>Ces lignes rassemblent des informations sur les éléments de hors bilan et les positions de titrisation de dérivés soumises à un facteur de conversion en vertu du cadre relatif à la titrisation. La valeur exposée au risque d'une position de t</w:t>
            </w:r>
            <w:r>
              <w:rPr>
                <w:rFonts w:ascii="Times New Roman" w:hAnsi="Times New Roman"/>
                <w:sz w:val="24"/>
              </w:rPr>
              <w:t>i</w:t>
            </w:r>
            <w:r>
              <w:rPr>
                <w:rFonts w:ascii="Times New Roman" w:hAnsi="Times New Roman"/>
                <w:sz w:val="24"/>
              </w:rPr>
              <w:t>trisation hors bilan sera sa valeur nominale, amputée de tout ajustement pour risque de crédit spécifique de cette position de titrisation, multipliée par un fa</w:t>
            </w:r>
            <w:r>
              <w:rPr>
                <w:rFonts w:ascii="Times New Roman" w:hAnsi="Times New Roman"/>
                <w:sz w:val="24"/>
              </w:rPr>
              <w:t>c</w:t>
            </w:r>
            <w:r>
              <w:rPr>
                <w:rFonts w:ascii="Times New Roman" w:hAnsi="Times New Roman"/>
                <w:sz w:val="24"/>
              </w:rPr>
              <w:t>teur de conversion de 100 %, sauf mention contraire.</w:t>
            </w:r>
          </w:p>
          <w:p w:rsidR="001A6C53" w:rsidRPr="00392FFD" w:rsidRDefault="001A6C53" w:rsidP="008D2F6E">
            <w:pPr>
              <w:autoSpaceDE w:val="0"/>
              <w:autoSpaceDN w:val="0"/>
              <w:adjustRightInd w:val="0"/>
              <w:spacing w:before="0" w:after="0"/>
              <w:rPr>
                <w:rFonts w:ascii="Times New Roman" w:hAnsi="Times New Roman"/>
                <w:i/>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La valeur exposée au risque pour risque de contrepartie d'un instrument dérivé repris à l'annexe II du CRR sera déterminée conformément à la troisième partie, titre II, chapitre 6 du CRR.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Pour les facilités de trésorerie, les facilités de crédit et les avances de trésorerie des organes de gestion, les établissements déclarent le montant non tiré.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Pour les contrats d'échange de taux d'intérêt et de devises, ils déclarent la valeur exposée au risque (conformément à l'article 246, paragraphe 1, du CRR), telle qu'indiquée dans le modèle CR SA Total.</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Les éléments hors bilan et les dérivés sont répartis entre titrisations (ligne 080) et </w:t>
            </w:r>
            <w:proofErr w:type="spellStart"/>
            <w:r>
              <w:rPr>
                <w:rFonts w:ascii="Times New Roman" w:hAnsi="Times New Roman"/>
                <w:sz w:val="24"/>
              </w:rPr>
              <w:t>retitrisations</w:t>
            </w:r>
            <w:proofErr w:type="spellEnd"/>
            <w:r>
              <w:rPr>
                <w:rFonts w:ascii="Times New Roman" w:hAnsi="Times New Roman"/>
                <w:sz w:val="24"/>
              </w:rPr>
              <w:t xml:space="preserve"> (ligne 090), comme le veut l'article 251, tableau 1, du CRR.</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REMBOURSEMENT ANTICIPÉ</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Cette ligne ne s'applique que pour les initiateurs de titrisations renouvelables comportant une clause de remboursement anticipé, au sens de l'article 242, points 13 et 14, du CRR.</w:t>
            </w:r>
          </w:p>
          <w:p w:rsidR="001A6C53" w:rsidRPr="00392FFD" w:rsidRDefault="001A6C53" w:rsidP="008D2F6E">
            <w:pPr>
              <w:pStyle w:val="Heading1"/>
              <w:rPr>
                <w:rFonts w:ascii="Times New Roman" w:eastAsia="Times New Roman" w:hAnsi="Times New Roman"/>
                <w:sz w:val="24"/>
                <w:szCs w:val="24"/>
              </w:rPr>
            </w:pPr>
          </w:p>
        </w:tc>
      </w:tr>
      <w:tr w:rsidR="001A6C53" w:rsidRPr="00392FFD" w:rsidTr="008D2F6E">
        <w:tc>
          <w:tcPr>
            <w:tcW w:w="1101" w:type="dxa"/>
            <w:tcBorders>
              <w:bottom w:val="single" w:sz="4" w:space="0" w:color="auto"/>
            </w:tcBorders>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Borders>
              <w:bottom w:val="single" w:sz="4" w:space="0" w:color="auto"/>
            </w:tcBorders>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INVESTISSEUR: TOTAL DES EXPOSITIONS </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Cette ligne synthétise les données sur les éléments au bilan, les éléments hors bilan et les dérivés de positions de titrisation pour lesquelles l'établissement joue le rôle d'investisseur.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 CRR ne fournit pas de définition explicite d'un investisseur. Dès lors, par «investisseur», on entendra un établissement qui détient une position de titris</w:t>
            </w:r>
            <w:r>
              <w:rPr>
                <w:rFonts w:ascii="Times New Roman" w:hAnsi="Times New Roman"/>
                <w:sz w:val="24"/>
              </w:rPr>
              <w:t>a</w:t>
            </w:r>
            <w:r>
              <w:rPr>
                <w:rFonts w:ascii="Times New Roman" w:hAnsi="Times New Roman"/>
                <w:sz w:val="24"/>
              </w:rPr>
              <w:lastRenderedPageBreak/>
              <w:t>tion dans le cadre d'une opération de titrisation dans laquelle il n'est ni l'initi</w:t>
            </w:r>
            <w:r>
              <w:rPr>
                <w:rFonts w:ascii="Times New Roman" w:hAnsi="Times New Roman"/>
                <w:sz w:val="24"/>
              </w:rPr>
              <w:t>a</w:t>
            </w:r>
            <w:r>
              <w:rPr>
                <w:rFonts w:ascii="Times New Roman" w:hAnsi="Times New Roman"/>
                <w:sz w:val="24"/>
              </w:rPr>
              <w:t>teur ni le sponsor.</w:t>
            </w:r>
          </w:p>
          <w:p w:rsidR="001A6C53" w:rsidRPr="00392FFD" w:rsidRDefault="001A6C53" w:rsidP="008D2F6E">
            <w:pPr>
              <w:pStyle w:val="Heading1"/>
              <w:rPr>
                <w:rFonts w:ascii="Times New Roman" w:eastAsia="Times New Roman" w:hAnsi="Times New Roman"/>
                <w:sz w:val="24"/>
                <w:szCs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120-140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ÉLÉMENTS DE BILAN</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On appliquera ici les mêmes critères de classement entre titrisations et </w:t>
            </w:r>
            <w:proofErr w:type="spellStart"/>
            <w:r>
              <w:rPr>
                <w:rFonts w:ascii="Times New Roman" w:hAnsi="Times New Roman"/>
                <w:sz w:val="24"/>
              </w:rPr>
              <w:t>retitris</w:t>
            </w:r>
            <w:r>
              <w:rPr>
                <w:rFonts w:ascii="Times New Roman" w:hAnsi="Times New Roman"/>
                <w:sz w:val="24"/>
              </w:rPr>
              <w:t>a</w:t>
            </w:r>
            <w:r>
              <w:rPr>
                <w:rFonts w:ascii="Times New Roman" w:hAnsi="Times New Roman"/>
                <w:sz w:val="24"/>
              </w:rPr>
              <w:t>tions</w:t>
            </w:r>
            <w:proofErr w:type="spellEnd"/>
            <w:r>
              <w:rPr>
                <w:rFonts w:ascii="Times New Roman" w:hAnsi="Times New Roman"/>
                <w:sz w:val="24"/>
              </w:rPr>
              <w:t xml:space="preserve"> que ceux utilisés pour les éléments au bilan pour les initiateurs.</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150-170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ÉLÉMENTS DE HORS BILAN ET DÉRIVÉS</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On appliquera ici les mêmes critères de classement entre titrisations et </w:t>
            </w:r>
            <w:proofErr w:type="spellStart"/>
            <w:r>
              <w:rPr>
                <w:rFonts w:ascii="Times New Roman" w:hAnsi="Times New Roman"/>
                <w:sz w:val="24"/>
              </w:rPr>
              <w:t>retitris</w:t>
            </w:r>
            <w:r>
              <w:rPr>
                <w:rFonts w:ascii="Times New Roman" w:hAnsi="Times New Roman"/>
                <w:sz w:val="24"/>
              </w:rPr>
              <w:t>a</w:t>
            </w:r>
            <w:r>
              <w:rPr>
                <w:rFonts w:ascii="Times New Roman" w:hAnsi="Times New Roman"/>
                <w:sz w:val="24"/>
              </w:rPr>
              <w:t>tions</w:t>
            </w:r>
            <w:proofErr w:type="spellEnd"/>
            <w:r>
              <w:rPr>
                <w:rFonts w:ascii="Times New Roman" w:hAnsi="Times New Roman"/>
                <w:sz w:val="24"/>
              </w:rPr>
              <w:t xml:space="preserve"> que ceux utilisés pour les éléments hors bilan et les dérivés pour les initi</w:t>
            </w:r>
            <w:r>
              <w:rPr>
                <w:rFonts w:ascii="Times New Roman" w:hAnsi="Times New Roman"/>
                <w:sz w:val="24"/>
              </w:rPr>
              <w:t>a</w:t>
            </w:r>
            <w:r>
              <w:rPr>
                <w:rFonts w:ascii="Times New Roman" w:hAnsi="Times New Roman"/>
                <w:sz w:val="24"/>
              </w:rPr>
              <w:t>teurs.</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t>180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TOTAL DES EXPOSITIONS </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pacing w:val="-6"/>
                <w:sz w:val="24"/>
              </w:rPr>
            </w:pPr>
            <w:r>
              <w:rPr>
                <w:rFonts w:ascii="Times New Roman" w:hAnsi="Times New Roman"/>
                <w:sz w:val="24"/>
              </w:rPr>
              <w:t xml:space="preserve">Cette ligne synthétise les données sur les éléments au bilan, les éléments hors bilan et les dérivés des positions de titrisation pour lesquelles l'établissement joue le rôle de sponsor, tel que défini à l'article 4, point 14, du CRR. Si un sponsor </w:t>
            </w:r>
            <w:proofErr w:type="spellStart"/>
            <w:r>
              <w:rPr>
                <w:rFonts w:ascii="Times New Roman" w:hAnsi="Times New Roman"/>
                <w:sz w:val="24"/>
              </w:rPr>
              <w:t>titrise</w:t>
            </w:r>
            <w:proofErr w:type="spellEnd"/>
            <w:r>
              <w:rPr>
                <w:rFonts w:ascii="Times New Roman" w:hAnsi="Times New Roman"/>
                <w:sz w:val="24"/>
              </w:rPr>
              <w:t xml:space="preserve"> également ses propres actifs, il devra indiquer, dans les lignes sur l'initiateur, les données relatives à ses propres actifs </w:t>
            </w:r>
            <w:proofErr w:type="spellStart"/>
            <w:r>
              <w:rPr>
                <w:rFonts w:ascii="Times New Roman" w:hAnsi="Times New Roman"/>
                <w:sz w:val="24"/>
              </w:rPr>
              <w:t>titrisés</w:t>
            </w:r>
            <w:proofErr w:type="spellEnd"/>
            <w:r>
              <w:rPr>
                <w:rFonts w:ascii="Times New Roman" w:hAnsi="Times New Roman"/>
                <w:sz w:val="24"/>
              </w:rPr>
              <w:t>.</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1101" w:type="dxa"/>
            <w:shd w:val="clear" w:color="auto" w:fill="auto"/>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190-210</w:t>
            </w:r>
          </w:p>
        </w:tc>
        <w:tc>
          <w:tcPr>
            <w:tcW w:w="7903" w:type="dxa"/>
            <w:shd w:val="clear" w:color="auto" w:fill="auto"/>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ÉLÉMENTS DE BILAN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On appliquera ici les mêmes critères de classement entre titrisations et </w:t>
            </w:r>
            <w:proofErr w:type="spellStart"/>
            <w:r>
              <w:rPr>
                <w:rFonts w:ascii="Times New Roman" w:hAnsi="Times New Roman"/>
                <w:sz w:val="24"/>
              </w:rPr>
              <w:t>retitris</w:t>
            </w:r>
            <w:r>
              <w:rPr>
                <w:rFonts w:ascii="Times New Roman" w:hAnsi="Times New Roman"/>
                <w:sz w:val="24"/>
              </w:rPr>
              <w:t>a</w:t>
            </w:r>
            <w:r>
              <w:rPr>
                <w:rFonts w:ascii="Times New Roman" w:hAnsi="Times New Roman"/>
                <w:sz w:val="24"/>
              </w:rPr>
              <w:t>tions</w:t>
            </w:r>
            <w:proofErr w:type="spellEnd"/>
            <w:r>
              <w:rPr>
                <w:rFonts w:ascii="Times New Roman" w:hAnsi="Times New Roman"/>
                <w:sz w:val="24"/>
              </w:rPr>
              <w:t xml:space="preserve"> que ceux utilisés pour les éléments au bilan pour les initiateurs.</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1101" w:type="dxa"/>
            <w:shd w:val="clear" w:color="auto" w:fill="auto"/>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220-240</w:t>
            </w:r>
          </w:p>
        </w:tc>
        <w:tc>
          <w:tcPr>
            <w:tcW w:w="7903" w:type="dxa"/>
            <w:shd w:val="clear" w:color="auto" w:fill="auto"/>
          </w:tcPr>
          <w:p w:rsidR="001A6C53" w:rsidRPr="00392FFD" w:rsidRDefault="001A6C53" w:rsidP="008D2F6E">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ÉLÉMENTS DE HORS BILAN ET DÉRIVÉS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On appliquera ici les mêmes critères de classement entre titrisations et </w:t>
            </w:r>
            <w:proofErr w:type="spellStart"/>
            <w:r>
              <w:rPr>
                <w:rFonts w:ascii="Times New Roman" w:hAnsi="Times New Roman"/>
                <w:sz w:val="24"/>
              </w:rPr>
              <w:t>retitris</w:t>
            </w:r>
            <w:r>
              <w:rPr>
                <w:rFonts w:ascii="Times New Roman" w:hAnsi="Times New Roman"/>
                <w:sz w:val="24"/>
              </w:rPr>
              <w:t>a</w:t>
            </w:r>
            <w:r>
              <w:rPr>
                <w:rFonts w:ascii="Times New Roman" w:hAnsi="Times New Roman"/>
                <w:sz w:val="24"/>
              </w:rPr>
              <w:t>tions</w:t>
            </w:r>
            <w:proofErr w:type="spellEnd"/>
            <w:r>
              <w:rPr>
                <w:rFonts w:ascii="Times New Roman" w:hAnsi="Times New Roman"/>
                <w:sz w:val="24"/>
              </w:rPr>
              <w:t xml:space="preserve"> que ceux utilisés pour les éléments hors bilan et les dérivés pour les initi</w:t>
            </w:r>
            <w:r>
              <w:rPr>
                <w:rFonts w:ascii="Times New Roman" w:hAnsi="Times New Roman"/>
                <w:sz w:val="24"/>
              </w:rPr>
              <w:t>a</w:t>
            </w:r>
            <w:r>
              <w:rPr>
                <w:rFonts w:ascii="Times New Roman" w:hAnsi="Times New Roman"/>
                <w:sz w:val="24"/>
              </w:rPr>
              <w:t>teurs.</w:t>
            </w:r>
          </w:p>
          <w:p w:rsidR="001A6C53" w:rsidRPr="00392FFD" w:rsidRDefault="001A6C53" w:rsidP="008D2F6E">
            <w:pPr>
              <w:autoSpaceDE w:val="0"/>
              <w:autoSpaceDN w:val="0"/>
              <w:adjustRightInd w:val="0"/>
              <w:spacing w:before="0" w:after="0"/>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250-290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RÉPARTITION DE L'ENCOURS DES POSITIONS PAR EQC AU COMMENCEMENT</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Ces lignes rassemblent des données sur l'encours des positions traitées selon la méthode fondée sur les notations et des positions non notées (à la date de décl</w:t>
            </w:r>
            <w:r>
              <w:rPr>
                <w:rFonts w:ascii="Times New Roman" w:hAnsi="Times New Roman"/>
                <w:sz w:val="24"/>
              </w:rPr>
              <w:t>a</w:t>
            </w:r>
            <w:r>
              <w:rPr>
                <w:rFonts w:ascii="Times New Roman" w:hAnsi="Times New Roman"/>
                <w:sz w:val="24"/>
              </w:rPr>
              <w:t>ration) en fonction des échelons de qualité de crédit (EQC) (prévus pour l'a</w:t>
            </w:r>
            <w:r>
              <w:rPr>
                <w:rFonts w:ascii="Times New Roman" w:hAnsi="Times New Roman"/>
                <w:sz w:val="24"/>
              </w:rPr>
              <w:t>p</w:t>
            </w:r>
            <w:r>
              <w:rPr>
                <w:rFonts w:ascii="Times New Roman" w:hAnsi="Times New Roman"/>
                <w:sz w:val="24"/>
              </w:rPr>
              <w:t>proche standard, à l'article 251, tableau 1 du CRR) appliqués à la date d'initi</w:t>
            </w:r>
            <w:r>
              <w:rPr>
                <w:rFonts w:ascii="Times New Roman" w:hAnsi="Times New Roman"/>
                <w:sz w:val="24"/>
              </w:rPr>
              <w:t>a</w:t>
            </w:r>
            <w:r>
              <w:rPr>
                <w:rFonts w:ascii="Times New Roman" w:hAnsi="Times New Roman"/>
                <w:sz w:val="24"/>
              </w:rPr>
              <w:t>tion (commencement). En l'absence de ces données, les données les plus a</w:t>
            </w:r>
            <w:r>
              <w:rPr>
                <w:rFonts w:ascii="Times New Roman" w:hAnsi="Times New Roman"/>
                <w:sz w:val="24"/>
              </w:rPr>
              <w:t>n</w:t>
            </w:r>
            <w:r>
              <w:rPr>
                <w:rFonts w:ascii="Times New Roman" w:hAnsi="Times New Roman"/>
                <w:sz w:val="24"/>
              </w:rPr>
              <w:t>ciennes, équivalentes en matière d'échelons de qualité de crédit, seront fournies.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Ces lignes ne doivent être remplies que pour les colonnes 190, 210 à 270 et les colonnes 330 à 340.</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tc>
      </w:tr>
    </w:tbl>
    <w:p w:rsidR="001A6C53" w:rsidRPr="00392FFD" w:rsidRDefault="001A6C53" w:rsidP="001A6C53">
      <w:pPr>
        <w:autoSpaceDE w:val="0"/>
        <w:autoSpaceDN w:val="0"/>
        <w:adjustRightInd w:val="0"/>
        <w:spacing w:before="0" w:after="0"/>
        <w:jc w:val="left"/>
        <w:rPr>
          <w:rFonts w:ascii="Times New Roman" w:hAnsi="Times New Roman"/>
          <w:sz w:val="24"/>
        </w:rPr>
      </w:pP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394" w:name="_Toc524104203"/>
      <w:r>
        <w:rPr>
          <w:rFonts w:ascii="Times New Roman" w:hAnsi="Times New Roman"/>
          <w:sz w:val="24"/>
          <w:u w:val="none"/>
        </w:rPr>
        <w:lastRenderedPageBreak/>
        <w:t>3.8</w:t>
      </w:r>
      <w:r w:rsidRPr="00CB17B8">
        <w:rPr>
          <w:rFonts w:ascii="Times New Roman" w:hAnsi="Times New Roman"/>
          <w:sz w:val="24"/>
        </w:rPr>
        <w:t>.</w:t>
      </w:r>
      <w:r w:rsidRPr="00CB17B8">
        <w:tab/>
      </w:r>
      <w:r>
        <w:rPr>
          <w:rFonts w:ascii="Times New Roman" w:hAnsi="Times New Roman"/>
          <w:sz w:val="24"/>
        </w:rPr>
        <w:t>C 13.00 - Risque de crédit – Titrisations: approche NI des exigences de fonds propres (CR SEC IRB)</w:t>
      </w:r>
      <w:bookmarkEnd w:id="394"/>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395" w:name="_Toc524104204"/>
      <w:r>
        <w:rPr>
          <w:rFonts w:ascii="Times New Roman" w:hAnsi="Times New Roman"/>
          <w:sz w:val="24"/>
          <w:u w:val="none"/>
        </w:rPr>
        <w:t>3.8.1.</w:t>
      </w:r>
      <w:r w:rsidRPr="00CB17B8">
        <w:rPr>
          <w:u w:val="none"/>
        </w:rPr>
        <w:tab/>
      </w:r>
      <w:r>
        <w:rPr>
          <w:rFonts w:ascii="Times New Roman" w:hAnsi="Times New Roman"/>
          <w:sz w:val="24"/>
        </w:rPr>
        <w:t>Remarques générales</w:t>
      </w:r>
      <w:bookmarkEnd w:id="395"/>
    </w:p>
    <w:p w:rsidR="001A6C53" w:rsidRDefault="001A6C53" w:rsidP="001A6C53">
      <w:pPr>
        <w:pStyle w:val="InstructionsText2"/>
        <w:numPr>
          <w:ilvl w:val="0"/>
          <w:numId w:val="0"/>
        </w:numPr>
        <w:ind w:left="993"/>
      </w:pPr>
      <w:r>
        <w:t>104.</w:t>
      </w:r>
      <w:r>
        <w:tab/>
        <w:t>Les informations dans ce modèle sont demandées pour toutes les titrisations pour lesquelles un transfert de risque significatif est comptabilisé et dans lesquelles l'établissement déclarant est impliqué dans une titrisation traitée selon l'approche standard. Lorsque la date de référence pour la déclaration est postérieure au 1</w:t>
      </w:r>
      <w:r>
        <w:rPr>
          <w:vertAlign w:val="superscript"/>
        </w:rPr>
        <w:t>er</w:t>
      </w:r>
      <w:r>
        <w:t xml:space="preserve"> ja</w:t>
      </w:r>
      <w:r>
        <w:t>n</w:t>
      </w:r>
      <w:r>
        <w:t>vier 2019, les titrisations dont le montant d’exposition pondéré est déterminé sur la base du cadre relatif à la titrisation tel que révisé ne doivent pas être déclarées dans ce modèle, mais uniquement dans le modèle C 02.00. De même, lorsque la date de référence pour la déclaration est postérieure au 1</w:t>
      </w:r>
      <w:r>
        <w:rPr>
          <w:vertAlign w:val="superscript"/>
        </w:rPr>
        <w:t>er</w:t>
      </w:r>
      <w:r>
        <w:t xml:space="preserve"> janvier 2019, les positions de t</w:t>
      </w:r>
      <w:r>
        <w:t>i</w:t>
      </w:r>
      <w:r>
        <w:t>trisations qui font l'objet d’une pondération de risque de 1 250 % conformément au cadre relatif à la titrisation tel que révisé et qui sont déduites des fonds propres de base de catégorie 1 conformément à l'article 36, paragraphe 1, point k) ii), du CRR ne doivent pas être déclarées dans ce modèle, mais uniquement dans le modèle C 01.00.</w:t>
      </w:r>
    </w:p>
    <w:p w:rsidR="001A6C53" w:rsidRDefault="001A6C53" w:rsidP="001A6C53">
      <w:pPr>
        <w:pStyle w:val="InstructionsText2"/>
        <w:numPr>
          <w:ilvl w:val="0"/>
          <w:numId w:val="0"/>
        </w:numPr>
        <w:ind w:left="993"/>
      </w:pPr>
      <w:r>
        <w:t>104 a. Aux fins de ce modèle, toutes les références aux articles de la troisième pa</w:t>
      </w:r>
      <w:r>
        <w:t>r</w:t>
      </w:r>
      <w:r>
        <w:t>tie, titre II, chapitre 5 du CRR doivent s’entendre comme des références au CRR dans sa version applicable le 31 décembre 2018.</w:t>
      </w:r>
    </w:p>
    <w:p w:rsidR="001A6C53" w:rsidRPr="00392FFD" w:rsidRDefault="001A6C53" w:rsidP="001A6C53">
      <w:pPr>
        <w:pStyle w:val="InstructionsText2"/>
        <w:numPr>
          <w:ilvl w:val="0"/>
          <w:numId w:val="0"/>
        </w:numPr>
        <w:ind w:left="993"/>
      </w:pPr>
      <w:r>
        <w:t>105.</w:t>
      </w:r>
      <w:r>
        <w:tab/>
        <w:t>Les données à déclarer sont fonction du rôle de l'établissement dans la titris</w:t>
      </w:r>
      <w:r>
        <w:t>a</w:t>
      </w:r>
      <w:r>
        <w:t>tion. Ainsi, les initiateurs, les sponsors et les investisseurs doivent déclarer certains éléments spécifiques.</w:t>
      </w:r>
    </w:p>
    <w:p w:rsidR="001A6C53" w:rsidRPr="00392FFD" w:rsidRDefault="001A6C53" w:rsidP="001A6C53">
      <w:pPr>
        <w:pStyle w:val="InstructionsText2"/>
        <w:numPr>
          <w:ilvl w:val="0"/>
          <w:numId w:val="0"/>
        </w:numPr>
        <w:ind w:left="993"/>
      </w:pPr>
      <w:r>
        <w:t>106.</w:t>
      </w:r>
      <w:r>
        <w:tab/>
        <w:t xml:space="preserve">Le modèle CR SEC IRB a le même champ d'application que le modèle CR SEC SA. Il contient des données conjointes sur les titrisations tant classiques que synthétiques détenues dans le portefeuille d'intermédiation bancaire. </w:t>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396" w:name="_Toc524104205"/>
      <w:r>
        <w:rPr>
          <w:rFonts w:ascii="Times New Roman" w:hAnsi="Times New Roman"/>
          <w:sz w:val="24"/>
          <w:u w:val="none"/>
        </w:rPr>
        <w:t>3.8.2.</w:t>
      </w:r>
      <w:r w:rsidRPr="00CB17B8">
        <w:rPr>
          <w:u w:val="none"/>
        </w:rPr>
        <w:tab/>
      </w:r>
      <w:r>
        <w:rPr>
          <w:rFonts w:ascii="Times New Roman" w:hAnsi="Times New Roman"/>
          <w:sz w:val="24"/>
        </w:rPr>
        <w:t>Instructions concernant certaines positions</w:t>
      </w:r>
      <w:bookmarkEnd w:id="39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1A6C53" w:rsidRPr="00392FFD" w:rsidTr="008D2F6E">
        <w:tc>
          <w:tcPr>
            <w:tcW w:w="9004" w:type="dxa"/>
            <w:gridSpan w:val="2"/>
            <w:shd w:val="clear" w:color="auto" w:fill="CCCCCC"/>
          </w:tcPr>
          <w:p w:rsidR="001A6C53" w:rsidRPr="00392FFD" w:rsidRDefault="001A6C53" w:rsidP="008D2F6E">
            <w:pPr>
              <w:autoSpaceDE w:val="0"/>
              <w:autoSpaceDN w:val="0"/>
              <w:adjustRightInd w:val="0"/>
              <w:spacing w:before="0" w:after="0"/>
              <w:ind w:left="426"/>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b/>
                <w:bCs/>
                <w:sz w:val="24"/>
              </w:rPr>
            </w:pPr>
            <w:r>
              <w:rPr>
                <w:rFonts w:ascii="Times New Roman" w:hAnsi="Times New Roman"/>
                <w:b/>
                <w:sz w:val="24"/>
              </w:rPr>
              <w:t>Colonnes</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1A6C53" w:rsidRPr="00392FFD" w:rsidRDefault="001A6C53" w:rsidP="008D2F6E">
            <w:pPr>
              <w:spacing w:before="0" w:after="0"/>
              <w:jc w:val="left"/>
              <w:rPr>
                <w:rFonts w:ascii="Times New Roman" w:hAnsi="Times New Roman"/>
                <w:sz w:val="24"/>
              </w:rPr>
            </w:pPr>
            <w:r>
              <w:rPr>
                <w:rFonts w:ascii="Times New Roman" w:hAnsi="Times New Roman"/>
                <w:b/>
                <w:sz w:val="24"/>
                <w:u w:val="single"/>
              </w:rPr>
              <w:t>MONTANT TOTAL DES EXPOSITIONS DE TITRISATION INITIÉES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Pour la ligne sur le total des éléments au bilan, le montant déclaré dans cette colonne correspond à l'encours des expositions </w:t>
            </w:r>
            <w:proofErr w:type="spellStart"/>
            <w:r>
              <w:rPr>
                <w:rFonts w:ascii="Times New Roman" w:hAnsi="Times New Roman"/>
                <w:sz w:val="24"/>
              </w:rPr>
              <w:t>titrisées</w:t>
            </w:r>
            <w:proofErr w:type="spellEnd"/>
            <w:r>
              <w:rPr>
                <w:rFonts w:ascii="Times New Roman" w:hAnsi="Times New Roman"/>
                <w:sz w:val="24"/>
              </w:rPr>
              <w:t xml:space="preserve"> à la date de déclaration.</w:t>
            </w:r>
          </w:p>
          <w:p w:rsidR="001A6C53" w:rsidRPr="00392FFD" w:rsidRDefault="001A6C53" w:rsidP="008D2F6E">
            <w:pPr>
              <w:autoSpaceDE w:val="0"/>
              <w:autoSpaceDN w:val="0"/>
              <w:adjustRightInd w:val="0"/>
              <w:spacing w:before="0" w:after="0"/>
              <w:rPr>
                <w:rFonts w:ascii="Times New Roman" w:hAnsi="Times New Roman"/>
                <w:bCs/>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Voir la colonne 010 du modèle CR SEC SA.</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020-040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TITRISATIONS SYNTHÉTIQUES: PROTECTION DE CRÉDIT SUR LES EXPOSITIONS TITRISÉES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 xml:space="preserve">Articles 249 et 250 du CRR </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bCs/>
                <w:sz w:val="24"/>
              </w:rPr>
            </w:pPr>
            <w:r>
              <w:rPr>
                <w:rFonts w:ascii="Times New Roman" w:hAnsi="Times New Roman"/>
                <w:sz w:val="24"/>
              </w:rPr>
              <w:t>Les asymétries d'échéances ne seront pas prises en compte dans la valeur corr</w:t>
            </w:r>
            <w:r>
              <w:rPr>
                <w:rFonts w:ascii="Times New Roman" w:hAnsi="Times New Roman"/>
                <w:sz w:val="24"/>
              </w:rPr>
              <w:t>i</w:t>
            </w:r>
            <w:r>
              <w:rPr>
                <w:rFonts w:ascii="Times New Roman" w:hAnsi="Times New Roman"/>
                <w:sz w:val="24"/>
              </w:rPr>
              <w:t xml:space="preserve">gée des techniques d'atténuation du risque de crédit retenues pour la structure de la titrisation. </w:t>
            </w: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020</w:t>
            </w:r>
          </w:p>
        </w:tc>
        <w:tc>
          <w:tcPr>
            <w:tcW w:w="7903" w:type="dxa"/>
          </w:tcPr>
          <w:p w:rsidR="001A6C53" w:rsidRPr="00392FFD" w:rsidRDefault="001A6C53" w:rsidP="008D2F6E">
            <w:pPr>
              <w:spacing w:before="0" w:after="0"/>
              <w:jc w:val="left"/>
              <w:rPr>
                <w:rFonts w:ascii="Times New Roman" w:hAnsi="Times New Roman"/>
                <w:b/>
                <w:strike/>
                <w:sz w:val="24"/>
                <w:u w:val="single"/>
              </w:rPr>
            </w:pPr>
            <w:r>
              <w:rPr>
                <w:rFonts w:ascii="Times New Roman" w:hAnsi="Times New Roman"/>
                <w:b/>
                <w:sz w:val="24"/>
                <w:u w:val="single"/>
              </w:rPr>
              <w:t>(-) PROTECTION DE CRÉDIT FINANCÉE (C</w:t>
            </w:r>
            <w:r>
              <w:rPr>
                <w:rFonts w:ascii="Times New Roman" w:hAnsi="Times New Roman"/>
                <w:b/>
                <w:sz w:val="24"/>
                <w:u w:val="single"/>
                <w:vertAlign w:val="subscript"/>
              </w:rPr>
              <w:t>VA</w:t>
            </w:r>
            <w:r>
              <w:rPr>
                <w:rFonts w:ascii="Times New Roman" w:hAnsi="Times New Roman"/>
                <w:b/>
                <w:sz w:val="24"/>
                <w:u w:val="single"/>
              </w:rPr>
              <w:t xml:space="preserve">) </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 mode de calcul détaillé de la valeur corrigée pour volatilité de la sûreté (C</w:t>
            </w:r>
            <w:r>
              <w:rPr>
                <w:rFonts w:ascii="Times New Roman" w:hAnsi="Times New Roman"/>
                <w:sz w:val="24"/>
                <w:vertAlign w:val="subscript"/>
              </w:rPr>
              <w:t>VA</w:t>
            </w:r>
            <w:r>
              <w:rPr>
                <w:rFonts w:ascii="Times New Roman" w:hAnsi="Times New Roman"/>
                <w:sz w:val="24"/>
              </w:rPr>
              <w:t>) qui doit être déclarée dans cette colonne est établi à l'article 223, par</w:t>
            </w:r>
            <w:r>
              <w:rPr>
                <w:rFonts w:ascii="Times New Roman" w:hAnsi="Times New Roman"/>
                <w:sz w:val="24"/>
              </w:rPr>
              <w:t>a</w:t>
            </w:r>
            <w:r>
              <w:rPr>
                <w:rFonts w:ascii="Times New Roman" w:hAnsi="Times New Roman"/>
                <w:sz w:val="24"/>
              </w:rPr>
              <w:t>graphe 2, du CRR.</w:t>
            </w:r>
          </w:p>
          <w:p w:rsidR="001A6C53" w:rsidRPr="00392FFD" w:rsidRDefault="001A6C53" w:rsidP="008D2F6E">
            <w:pPr>
              <w:spacing w:before="0" w:after="0"/>
              <w:jc w:val="left"/>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 xml:space="preserve">(-) TOTAL SORTIES: VALEURS CORRIGÉES DE PROTECTION DE CRÉDIT NON FINANCÉE (G*) </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i/>
                <w:sz w:val="24"/>
              </w:rPr>
            </w:pPr>
            <w:r>
              <w:rPr>
                <w:rFonts w:ascii="Times New Roman" w:hAnsi="Times New Roman"/>
                <w:sz w:val="24"/>
              </w:rPr>
              <w:t>Suivant la règle générale des «entrées» et des «sorties», les montants déclarés dans la colonne 030 du modèle CR SEC IRB apparaîtront dans les «entrées» du modèle de risque de crédit correspondant (CR SA ou CR IRB) et dans la cat</w:t>
            </w:r>
            <w:r>
              <w:rPr>
                <w:rFonts w:ascii="Times New Roman" w:hAnsi="Times New Roman"/>
                <w:sz w:val="24"/>
              </w:rPr>
              <w:t>é</w:t>
            </w:r>
            <w:r>
              <w:rPr>
                <w:rFonts w:ascii="Times New Roman" w:hAnsi="Times New Roman"/>
                <w:sz w:val="24"/>
              </w:rPr>
              <w:t>gorie d'expositions pertinente pour le fournisseur de protection (à savoir le tiers auquel la tranche est transférée au moyen d'une protection de crédit non fina</w:t>
            </w:r>
            <w:r>
              <w:rPr>
                <w:rFonts w:ascii="Times New Roman" w:hAnsi="Times New Roman"/>
                <w:sz w:val="24"/>
              </w:rPr>
              <w:t>n</w:t>
            </w:r>
            <w:r>
              <w:rPr>
                <w:rFonts w:ascii="Times New Roman" w:hAnsi="Times New Roman"/>
                <w:sz w:val="24"/>
              </w:rPr>
              <w:t>cée)</w:t>
            </w:r>
            <w:r>
              <w:rPr>
                <w:rFonts w:ascii="Times New Roman" w:hAnsi="Times New Roman"/>
                <w:i/>
                <w:sz w:val="24"/>
              </w:rPr>
              <w:t>.</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 mode de calcul du montant nominal de la protection de crédit corrigé du «risque de change» (G*) est précisé à l'article 233, paragraphe 3, du CRR.</w:t>
            </w:r>
          </w:p>
          <w:p w:rsidR="001A6C53" w:rsidRPr="00392FFD" w:rsidRDefault="001A6C53" w:rsidP="008D2F6E">
            <w:pPr>
              <w:autoSpaceDE w:val="0"/>
              <w:autoSpaceDN w:val="0"/>
              <w:adjustRightInd w:val="0"/>
              <w:spacing w:before="0" w:after="0"/>
              <w:jc w:val="left"/>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MONTANT NOTIONNEL DE PROTECTION DE CRÉDIT CONSERVÉ OU RACHETÉ</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Toutes les tranches qui ont été conservées ou rachetées, par ex. les positions de première perte conservées, seront déclarées à leur montant nominal.</w:t>
            </w:r>
          </w:p>
          <w:p w:rsidR="001A6C53" w:rsidRPr="00392FFD" w:rsidRDefault="001A6C53" w:rsidP="008D2F6E">
            <w:pPr>
              <w:autoSpaceDE w:val="0"/>
              <w:autoSpaceDN w:val="0"/>
              <w:adjustRightInd w:val="0"/>
              <w:spacing w:before="0" w:after="0"/>
              <w:rPr>
                <w:rFonts w:ascii="Times New Roman" w:hAnsi="Times New Roman"/>
                <w:bCs/>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L'effet des décotes réglementaires sur la protection de crédit ne sera pas pris en considération lors du calcul du montant conservé ou racheté de protection de crédit.</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903" w:type="dxa"/>
          </w:tcPr>
          <w:p w:rsidR="001A6C53" w:rsidRPr="00672D2A" w:rsidRDefault="001A6C53" w:rsidP="008D2F6E">
            <w:pPr>
              <w:spacing w:before="0" w:after="0"/>
              <w:rPr>
                <w:rFonts w:ascii="Times New Roman" w:hAnsi="Times New Roman"/>
                <w:b/>
                <w:sz w:val="24"/>
                <w:u w:val="single"/>
              </w:rPr>
            </w:pPr>
            <w:r>
              <w:rPr>
                <w:rFonts w:ascii="Times New Roman" w:hAnsi="Times New Roman"/>
                <w:b/>
                <w:sz w:val="24"/>
                <w:u w:val="single"/>
              </w:rPr>
              <w:t>POSITIONS DE TITRISATION: EXPOSITION INITIALE AVANT A</w:t>
            </w:r>
            <w:r>
              <w:rPr>
                <w:rFonts w:ascii="Times New Roman" w:hAnsi="Times New Roman"/>
                <w:b/>
                <w:sz w:val="24"/>
                <w:u w:val="single"/>
              </w:rPr>
              <w:t>P</w:t>
            </w:r>
            <w:r>
              <w:rPr>
                <w:rFonts w:ascii="Times New Roman" w:hAnsi="Times New Roman"/>
                <w:b/>
                <w:sz w:val="24"/>
                <w:u w:val="single"/>
              </w:rPr>
              <w:t xml:space="preserve">PLICATION DES FACTEURS DE CONVERSION </w:t>
            </w:r>
          </w:p>
          <w:p w:rsidR="001A6C53" w:rsidRPr="00672D2A"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positions de titrisation détenues par l'établissement déclarant, calculées conformément à l'article 246, paragraphe 1, points b), d) et e), et paragraphe 2, du CRR, sans application des facteurs de conversion de crédit et sans ajust</w:t>
            </w:r>
            <w:r>
              <w:rPr>
                <w:rFonts w:ascii="Times New Roman" w:hAnsi="Times New Roman"/>
                <w:sz w:val="24"/>
              </w:rPr>
              <w:t>e</w:t>
            </w:r>
            <w:r>
              <w:rPr>
                <w:rFonts w:ascii="Times New Roman" w:hAnsi="Times New Roman"/>
                <w:sz w:val="24"/>
              </w:rPr>
              <w:t>ments pour risque de crédit et provisions. La compensation n'est pertinente que par rapport à plusieurs contrats de dérivés fournis à la même entité de titris</w:t>
            </w:r>
            <w:r>
              <w:rPr>
                <w:rFonts w:ascii="Times New Roman" w:hAnsi="Times New Roman"/>
                <w:sz w:val="24"/>
              </w:rPr>
              <w:t>a</w:t>
            </w:r>
            <w:r>
              <w:rPr>
                <w:rFonts w:ascii="Times New Roman" w:hAnsi="Times New Roman"/>
                <w:sz w:val="24"/>
              </w:rPr>
              <w:t xml:space="preserve">tion, et couverts par un accord de compensation éligible.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Les corrections de valeur et les provisions à déclarer dans cette colonne ne se rapportent qu'aux positions de titrisation. Les corrections de valeur de positions </w:t>
            </w:r>
            <w:proofErr w:type="spellStart"/>
            <w:r>
              <w:rPr>
                <w:rFonts w:ascii="Times New Roman" w:hAnsi="Times New Roman"/>
                <w:sz w:val="24"/>
              </w:rPr>
              <w:t>titrisées</w:t>
            </w:r>
            <w:proofErr w:type="spellEnd"/>
            <w:r>
              <w:rPr>
                <w:rFonts w:ascii="Times New Roman" w:hAnsi="Times New Roman"/>
                <w:sz w:val="24"/>
              </w:rPr>
              <w:t xml:space="preserve"> ne sont pas prises en compte.</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En présence d'une clause de remboursement anticipé, les établissements doivent préciser le montant des «intérêts de l'établissement initiateur», tel que défini à l'article 256, paragraphe 2, du CRR.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Dans le cadre de titrisations synthétiques, les positions détenues par l'initiateur sous la forme d'éléments au bilan et/ou d'intérêts de l'investisseur (rembours</w:t>
            </w:r>
            <w:r>
              <w:rPr>
                <w:rFonts w:ascii="Times New Roman" w:hAnsi="Times New Roman"/>
                <w:sz w:val="24"/>
              </w:rPr>
              <w:t>e</w:t>
            </w:r>
            <w:r>
              <w:rPr>
                <w:rFonts w:ascii="Times New Roman" w:hAnsi="Times New Roman"/>
                <w:sz w:val="24"/>
              </w:rPr>
              <w:t>ment anticipé) seront la somme des colonnes 010 à 040.</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060-090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TECHNIQUES D'ATTÉNUATION DU RISQUE DE CRÉDIT (ARC) AVEC EFFETS DE SUBSTITUTION SUR L'EXPOSITION</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Voir l'article 4, paragraphe 1, point 57, et la troisième partie, titre II, chapitre 4 du CRR.</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Ce bloc de colonnes rassemble des informations sur les techniques d'atténuation du risque de crédit qui diminuent le risque de crédit d'une ou plusieurs expos</w:t>
            </w:r>
            <w:r>
              <w:rPr>
                <w:rFonts w:ascii="Times New Roman" w:hAnsi="Times New Roman"/>
                <w:sz w:val="24"/>
              </w:rPr>
              <w:t>i</w:t>
            </w:r>
            <w:r>
              <w:rPr>
                <w:rFonts w:ascii="Times New Roman" w:hAnsi="Times New Roman"/>
                <w:sz w:val="24"/>
              </w:rPr>
              <w:t>tions au moyen de la substitution d'expositions (voir plus bas, sous Entrées et Sorties).</w:t>
            </w:r>
          </w:p>
          <w:p w:rsidR="001A6C53" w:rsidRPr="00392FFD" w:rsidRDefault="001A6C53" w:rsidP="008D2F6E">
            <w:pPr>
              <w:spacing w:before="0" w:after="0"/>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060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 PROTECTION DE CRÉDIT NON FINANCÉE: VALEURS CORR</w:t>
            </w:r>
            <w:r>
              <w:rPr>
                <w:rFonts w:ascii="Times New Roman" w:hAnsi="Times New Roman"/>
                <w:b/>
                <w:sz w:val="24"/>
                <w:u w:val="single"/>
              </w:rPr>
              <w:t>I</w:t>
            </w:r>
            <w:r>
              <w:rPr>
                <w:rFonts w:ascii="Times New Roman" w:hAnsi="Times New Roman"/>
                <w:b/>
                <w:sz w:val="24"/>
                <w:u w:val="single"/>
              </w:rPr>
              <w:t>GÉES (G</w:t>
            </w:r>
            <w:r>
              <w:rPr>
                <w:rFonts w:ascii="Times New Roman" w:hAnsi="Times New Roman"/>
                <w:b/>
                <w:sz w:val="24"/>
                <w:u w:val="single"/>
                <w:vertAlign w:val="subscript"/>
              </w:rPr>
              <w:t>A</w:t>
            </w:r>
            <w:r>
              <w:rPr>
                <w:rFonts w:ascii="Times New Roman" w:hAnsi="Times New Roman"/>
                <w:b/>
                <w:sz w:val="24"/>
                <w:u w:val="single"/>
              </w:rPr>
              <w:t xml:space="preserve">) </w:t>
            </w:r>
          </w:p>
          <w:p w:rsidR="001A6C53" w:rsidRPr="00392FFD" w:rsidRDefault="001A6C53" w:rsidP="008D2F6E">
            <w:pPr>
              <w:spacing w:before="0" w:after="0"/>
              <w:jc w:val="left"/>
              <w:rPr>
                <w:rFonts w:ascii="Times New Roman" w:hAnsi="Times New Roman"/>
                <w:b/>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Protection de crédit non financée telle que définie à l'article 4, paragraphe 1, point 59, du CRR.</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L'article 236 du CRR décrit la méthode de calcul de G</w:t>
            </w:r>
            <w:r>
              <w:rPr>
                <w:rFonts w:ascii="Times New Roman" w:hAnsi="Times New Roman"/>
                <w:sz w:val="24"/>
                <w:vertAlign w:val="subscript"/>
              </w:rPr>
              <w:t>A</w:t>
            </w:r>
            <w:r>
              <w:rPr>
                <w:rFonts w:ascii="Times New Roman" w:hAnsi="Times New Roman"/>
                <w:sz w:val="24"/>
              </w:rPr>
              <w:t>, en cas de protection totale/partielle — même rang.</w:t>
            </w:r>
          </w:p>
          <w:p w:rsidR="001A6C53" w:rsidRPr="00392FFD" w:rsidRDefault="001A6C53" w:rsidP="008D2F6E">
            <w:pPr>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b/>
                <w:sz w:val="24"/>
                <w:u w:val="single"/>
              </w:rPr>
            </w:pPr>
            <w:r>
              <w:rPr>
                <w:rFonts w:ascii="Times New Roman" w:hAnsi="Times New Roman"/>
                <w:sz w:val="24"/>
              </w:rPr>
              <w:t>Ces informations sont liées aux colonnes 040 et 050 du modèle CR IRB.</w:t>
            </w:r>
          </w:p>
          <w:p w:rsidR="001A6C53" w:rsidRPr="00392FFD" w:rsidRDefault="001A6C53" w:rsidP="008D2F6E">
            <w:pPr>
              <w:spacing w:before="0" w:after="0"/>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903" w:type="dxa"/>
          </w:tcPr>
          <w:p w:rsidR="001A6C53" w:rsidRPr="00392FFD" w:rsidRDefault="001A6C53" w:rsidP="008D2F6E">
            <w:pPr>
              <w:spacing w:before="0" w:after="0"/>
              <w:rPr>
                <w:rFonts w:ascii="Times New Roman" w:hAnsi="Times New Roman"/>
                <w:b/>
                <w:sz w:val="24"/>
                <w:u w:val="single"/>
              </w:rPr>
            </w:pPr>
            <w:r>
              <w:rPr>
                <w:rFonts w:ascii="Times New Roman" w:hAnsi="Times New Roman"/>
                <w:b/>
                <w:sz w:val="24"/>
                <w:u w:val="single"/>
              </w:rPr>
              <w:t>(-) PROTECTION DE CRÉDIT FINANCÉE</w:t>
            </w:r>
          </w:p>
          <w:p w:rsidR="001A6C53" w:rsidRPr="00392FFD" w:rsidRDefault="001A6C53" w:rsidP="008D2F6E">
            <w:pPr>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Protection de crédit financée telle que définie à l'article 4, paragraphe 1, point 58, du CRR.</w:t>
            </w:r>
          </w:p>
          <w:p w:rsidR="001A6C53" w:rsidRPr="00392FFD" w:rsidRDefault="001A6C53" w:rsidP="008D2F6E">
            <w:pPr>
              <w:autoSpaceDE w:val="0"/>
              <w:autoSpaceDN w:val="0"/>
              <w:adjustRightInd w:val="0"/>
              <w:spacing w:before="0" w:after="0"/>
              <w:ind w:left="284" w:hanging="284"/>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Étant donné que la méthode simple fondée sur les sûretés financières n'est pas applicable, seule la protection de crédit financée, visée à l'article 200 du CRR, figurera dans cette colonne.</w:t>
            </w:r>
          </w:p>
          <w:p w:rsidR="001A6C53" w:rsidRPr="00392FFD" w:rsidRDefault="001A6C53" w:rsidP="008D2F6E">
            <w:pPr>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Ces informations sont liées à la colonne 060 du modèle CR IRB.</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080-090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SUBSTITUTION DE L'EXPOSITION DUE À L'ARC:</w:t>
            </w:r>
          </w:p>
          <w:p w:rsidR="001A6C53" w:rsidRPr="00392FFD" w:rsidRDefault="001A6C53" w:rsidP="008D2F6E">
            <w:pPr>
              <w:spacing w:before="0" w:after="0"/>
              <w:rPr>
                <w:rFonts w:ascii="Times New Roman" w:hAnsi="Times New Roman"/>
                <w:b/>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entrées et sorties au sein de la même catégorie d'expositions et, le cas échéant, les pondérations de risque ou les échelons de débiteurs seront égal</w:t>
            </w:r>
            <w:r>
              <w:rPr>
                <w:rFonts w:ascii="Times New Roman" w:hAnsi="Times New Roman"/>
                <w:sz w:val="24"/>
              </w:rPr>
              <w:t>e</w:t>
            </w:r>
            <w:r>
              <w:rPr>
                <w:rFonts w:ascii="Times New Roman" w:hAnsi="Times New Roman"/>
                <w:sz w:val="24"/>
              </w:rPr>
              <w:t>ment déclarés.</w:t>
            </w:r>
          </w:p>
          <w:p w:rsidR="001A6C53" w:rsidRPr="00392FFD" w:rsidRDefault="001A6C53" w:rsidP="008D2F6E">
            <w:pPr>
              <w:spacing w:before="0" w:after="0"/>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 SORTIES</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Article 236 du CRR.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sorties correspondent à la partie couverte de l'«Exposition nette des corre</w:t>
            </w:r>
            <w:r>
              <w:rPr>
                <w:rFonts w:ascii="Times New Roman" w:hAnsi="Times New Roman"/>
                <w:sz w:val="24"/>
              </w:rPr>
              <w:t>c</w:t>
            </w:r>
            <w:r>
              <w:rPr>
                <w:rFonts w:ascii="Times New Roman" w:hAnsi="Times New Roman"/>
                <w:sz w:val="24"/>
              </w:rPr>
              <w:t>tions de valeur et des provisions» qui est déduite de la catégorie d'expositions du débiteur et, le cas échéant, de sa pondération de risque ou de son échelon de débiteur, puis réaffectée à la catégorie d'expositions du fournisseur de prote</w:t>
            </w:r>
            <w:r>
              <w:rPr>
                <w:rFonts w:ascii="Times New Roman" w:hAnsi="Times New Roman"/>
                <w:sz w:val="24"/>
              </w:rPr>
              <w:t>c</w:t>
            </w:r>
            <w:r>
              <w:rPr>
                <w:rFonts w:ascii="Times New Roman" w:hAnsi="Times New Roman"/>
                <w:sz w:val="24"/>
              </w:rPr>
              <w:t xml:space="preserve">tion et, le cas échéant, à sa pondération de risque ou à son échelon de débiteur. </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Ce montant sera considéré comme une entrée dans la catégorie d'expositions du </w:t>
            </w:r>
            <w:r>
              <w:rPr>
                <w:rFonts w:ascii="Times New Roman" w:hAnsi="Times New Roman"/>
                <w:sz w:val="24"/>
              </w:rPr>
              <w:lastRenderedPageBreak/>
              <w:t>fournisseur de protection et, le cas échéant, dans ses pondérations de risque ou ses échelons de débiteurs.</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Ces informations sont liées à la colonne 070 du modèle CR IRB.</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903" w:type="dxa"/>
          </w:tcPr>
          <w:p w:rsidR="001A6C53" w:rsidRPr="00392FFD" w:rsidRDefault="001A6C53" w:rsidP="008D2F6E">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 ENTRÉES</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Ces informations sont liées à la colonne 080 du modèle CR IRB. </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1A6C53" w:rsidRPr="00392FFD" w:rsidRDefault="001A6C53" w:rsidP="008D2F6E">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EXPOSITION APRÈS EFFETS DE SUBSTITUTION ARC ET AVANT APPLICATION DES FACTEURS DE CONVERSION</w:t>
            </w:r>
          </w:p>
          <w:p w:rsidR="001A6C53" w:rsidRPr="00392FFD" w:rsidRDefault="001A6C53" w:rsidP="008D2F6E">
            <w:pPr>
              <w:autoSpaceDE w:val="0"/>
              <w:autoSpaceDN w:val="0"/>
              <w:adjustRightInd w:val="0"/>
              <w:spacing w:before="0" w:after="0"/>
              <w:jc w:val="left"/>
              <w:rPr>
                <w:rStyle w:val="FormatvorlageInstructionsTabelleText"/>
                <w:rFonts w:ascii="Times New Roman" w:hAnsi="Times New Roman"/>
                <w:sz w:val="24"/>
              </w:rPr>
            </w:pPr>
          </w:p>
          <w:p w:rsidR="001A6C53" w:rsidRPr="00392FFD" w:rsidRDefault="001A6C53" w:rsidP="008D2F6E">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Expositions affectées à la pondération de risque et à la catégorie d'expositions correspondantes, après prise en compte des sorties et des entrées dues aux «techniques d'ARC avec effets de substitution sur l'exposition».</w:t>
            </w:r>
          </w:p>
          <w:p w:rsidR="001A6C53" w:rsidRPr="00392FFD" w:rsidRDefault="001A6C53" w:rsidP="008D2F6E">
            <w:pPr>
              <w:autoSpaceDE w:val="0"/>
              <w:autoSpaceDN w:val="0"/>
              <w:adjustRightInd w:val="0"/>
              <w:spacing w:before="0" w:after="0"/>
              <w:jc w:val="left"/>
              <w:rPr>
                <w:rStyle w:val="FormatvorlageInstructionsTabelleText"/>
                <w:rFonts w:ascii="Times New Roman" w:hAnsi="Times New Roman"/>
                <w:sz w:val="24"/>
              </w:rPr>
            </w:pPr>
          </w:p>
          <w:p w:rsidR="001A6C53" w:rsidRPr="00392FFD" w:rsidRDefault="001A6C53" w:rsidP="008D2F6E">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Ces informations sont liées à la colonne 090 du modèle CR IRB.</w:t>
            </w:r>
          </w:p>
          <w:p w:rsidR="001A6C53" w:rsidRPr="00392FFD" w:rsidRDefault="001A6C53" w:rsidP="008D2F6E">
            <w:pPr>
              <w:autoSpaceDE w:val="0"/>
              <w:autoSpaceDN w:val="0"/>
              <w:adjustRightInd w:val="0"/>
              <w:spacing w:before="0" w:after="0"/>
              <w:jc w:val="left"/>
              <w:rPr>
                <w:rStyle w:val="InstructionsTabelleberschrift"/>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Pr>
          <w:p w:rsidR="001A6C53" w:rsidRPr="00392FFD" w:rsidRDefault="001A6C53" w:rsidP="008D2F6E">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TECHNIQUES D'ATTÉNUATION DU RISQUE DE CRÉDIT MOD</w:t>
            </w:r>
            <w:r>
              <w:rPr>
                <w:rStyle w:val="InstructionsTabelleberschrift"/>
                <w:rFonts w:ascii="Times New Roman" w:hAnsi="Times New Roman"/>
                <w:sz w:val="24"/>
              </w:rPr>
              <w:t>I</w:t>
            </w:r>
            <w:r>
              <w:rPr>
                <w:rStyle w:val="InstructionsTabelleberschrift"/>
                <w:rFonts w:ascii="Times New Roman" w:hAnsi="Times New Roman"/>
                <w:sz w:val="24"/>
              </w:rPr>
              <w:t>FIANT LE MONTANT DE L'EXPOSITION: VALEUR CORRIGÉE S</w:t>
            </w:r>
            <w:r>
              <w:rPr>
                <w:rStyle w:val="InstructionsTabelleberschrift"/>
                <w:rFonts w:ascii="Times New Roman" w:hAnsi="Times New Roman"/>
                <w:sz w:val="24"/>
              </w:rPr>
              <w:t>E</w:t>
            </w:r>
            <w:r>
              <w:rPr>
                <w:rStyle w:val="InstructionsTabelleberschrift"/>
                <w:rFonts w:ascii="Times New Roman" w:hAnsi="Times New Roman"/>
                <w:sz w:val="24"/>
              </w:rPr>
              <w:t>LON LA MÉTHODE GÉNÉRALE FONDÉE SUR LES SÛRETÉS F</w:t>
            </w:r>
            <w:r>
              <w:rPr>
                <w:rStyle w:val="InstructionsTabelleberschrift"/>
                <w:rFonts w:ascii="Times New Roman" w:hAnsi="Times New Roman"/>
                <w:sz w:val="24"/>
              </w:rPr>
              <w:t>I</w:t>
            </w:r>
            <w:r>
              <w:rPr>
                <w:rStyle w:val="InstructionsTabelleberschrift"/>
                <w:rFonts w:ascii="Times New Roman" w:hAnsi="Times New Roman"/>
                <w:sz w:val="24"/>
              </w:rPr>
              <w:t>NANCIÈRES POUR LA PROTECTION DE CRÉDIT FINANCÉE (CVAM)</w:t>
            </w:r>
          </w:p>
          <w:p w:rsidR="001A6C53" w:rsidRPr="00392FFD" w:rsidRDefault="001A6C53" w:rsidP="008D2F6E">
            <w:pPr>
              <w:autoSpaceDE w:val="0"/>
              <w:autoSpaceDN w:val="0"/>
              <w:adjustRightInd w:val="0"/>
              <w:spacing w:before="0" w:after="0"/>
              <w:jc w:val="left"/>
              <w:rPr>
                <w:rStyle w:val="FormatvorlageInstructionsTabelleText"/>
                <w:rFonts w:ascii="Times New Roman" w:hAnsi="Times New Roman"/>
                <w:sz w:val="24"/>
              </w:rPr>
            </w:pPr>
          </w:p>
          <w:p w:rsidR="001A6C53" w:rsidRPr="00392FFD" w:rsidRDefault="001A6C53" w:rsidP="008D2F6E">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Articles 218 à 222 du CRR. Les titres liés à un crédit sont également inclus dans ce poste (article 218 du CRR).</w:t>
            </w: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1A6C53" w:rsidRPr="00392FFD" w:rsidRDefault="001A6C53" w:rsidP="008D2F6E">
            <w:pPr>
              <w:spacing w:before="0" w:after="0"/>
              <w:rPr>
                <w:rFonts w:ascii="Times New Roman" w:hAnsi="Times New Roman"/>
                <w:b/>
                <w:sz w:val="24"/>
                <w:u w:val="single"/>
              </w:rPr>
            </w:pPr>
            <w:r>
              <w:rPr>
                <w:rFonts w:ascii="Times New Roman" w:hAnsi="Times New Roman"/>
                <w:b/>
                <w:sz w:val="24"/>
                <w:u w:val="single"/>
              </w:rPr>
              <w:t>VALEUR EXPOSÉE AU RISQUE PLEINEMENT AJUSTÉE (E*)</w:t>
            </w:r>
          </w:p>
          <w:p w:rsidR="001A6C53" w:rsidRPr="00392FFD" w:rsidRDefault="001A6C53" w:rsidP="008D2F6E">
            <w:pPr>
              <w:pStyle w:val="Heading1"/>
              <w:rPr>
                <w:rFonts w:ascii="Times New Roman" w:eastAsia="Times New Roman" w:hAnsi="Times New Roman"/>
                <w:sz w:val="24"/>
                <w:szCs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de titrisation conformément à l'article 246 du CRR, c'est-à-dire sans application des facteurs de conversion visés à l'article 246, paragraphe 1, point c), du CRR.</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130-160</w:t>
            </w:r>
          </w:p>
        </w:tc>
        <w:tc>
          <w:tcPr>
            <w:tcW w:w="7903" w:type="dxa"/>
          </w:tcPr>
          <w:p w:rsidR="001A6C53" w:rsidRPr="00392FFD" w:rsidRDefault="001A6C53" w:rsidP="008D2F6E">
            <w:pPr>
              <w:spacing w:before="0" w:after="0"/>
              <w:rPr>
                <w:rFonts w:ascii="Times New Roman" w:hAnsi="Times New Roman"/>
                <w:b/>
                <w:sz w:val="24"/>
                <w:u w:val="single"/>
              </w:rPr>
            </w:pPr>
            <w:r>
              <w:rPr>
                <w:rFonts w:ascii="Times New Roman" w:hAnsi="Times New Roman"/>
                <w:b/>
                <w:sz w:val="24"/>
                <w:u w:val="single"/>
              </w:rPr>
              <w:t>RÉPARTITION DE LA VALEUR EXPOSÉE AU RISQUE PLEIN</w:t>
            </w:r>
            <w:r>
              <w:rPr>
                <w:rFonts w:ascii="Times New Roman" w:hAnsi="Times New Roman"/>
                <w:b/>
                <w:sz w:val="24"/>
                <w:u w:val="single"/>
              </w:rPr>
              <w:t>E</w:t>
            </w:r>
            <w:r>
              <w:rPr>
                <w:rFonts w:ascii="Times New Roman" w:hAnsi="Times New Roman"/>
                <w:b/>
                <w:sz w:val="24"/>
                <w:u w:val="single"/>
              </w:rPr>
              <w:t>MENT AJUSTÉE (E*) DES ÉLÉMENTS DE HORS BILAN PAR FA</w:t>
            </w:r>
            <w:r>
              <w:rPr>
                <w:rFonts w:ascii="Times New Roman" w:hAnsi="Times New Roman"/>
                <w:b/>
                <w:sz w:val="24"/>
                <w:u w:val="single"/>
              </w:rPr>
              <w:t>C</w:t>
            </w:r>
            <w:r>
              <w:rPr>
                <w:rFonts w:ascii="Times New Roman" w:hAnsi="Times New Roman"/>
                <w:b/>
                <w:sz w:val="24"/>
                <w:u w:val="single"/>
              </w:rPr>
              <w:t>TEUR DE CONVERSION</w:t>
            </w:r>
          </w:p>
          <w:p w:rsidR="001A6C53" w:rsidRPr="00392FFD" w:rsidRDefault="001A6C53" w:rsidP="008D2F6E">
            <w:pPr>
              <w:spacing w:before="0" w:after="0"/>
              <w:rPr>
                <w:rFonts w:ascii="Times New Roman" w:hAnsi="Times New Roman"/>
                <w:b/>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L'article 246, paragraphe 1, point c), du CRR dispose que la valeur exposée au risque d'une position de titrisation hors bilan sera sa valeur nominale multipliée par un facteur de conversion. Sauf mention contraire dans le CRR, ce facteur de conversion s'élèvera à 100 %.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À cet égard, l'article 4, paragraphe 1, point 56, du CRR définit le facteur de conversion.</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Aux fins de la déclaration, les valeurs exposées au risque pleinement ajustées (E*) seront déclarées selon les quatre intervalles de facteurs de conversion su</w:t>
            </w:r>
            <w:r>
              <w:rPr>
                <w:rFonts w:ascii="Times New Roman" w:hAnsi="Times New Roman"/>
                <w:sz w:val="24"/>
              </w:rPr>
              <w:t>i</w:t>
            </w:r>
            <w:r>
              <w:rPr>
                <w:rFonts w:ascii="Times New Roman" w:hAnsi="Times New Roman"/>
                <w:sz w:val="24"/>
              </w:rPr>
              <w:t>vants, lesquels s'excluent mutuellement: 0 %, (0 %, 20 %], (20 %, 50 %] et (50 %, 100 %].</w:t>
            </w:r>
          </w:p>
          <w:p w:rsidR="001A6C53" w:rsidRPr="00392FFD" w:rsidRDefault="001A6C53" w:rsidP="008D2F6E">
            <w:pPr>
              <w:spacing w:before="0" w:after="0"/>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170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VALEUR EXPOSÉE AU RISQUE</w:t>
            </w:r>
          </w:p>
          <w:p w:rsidR="001A6C53" w:rsidRPr="00392FFD" w:rsidRDefault="001A6C53" w:rsidP="008D2F6E">
            <w:pPr>
              <w:spacing w:before="0" w:after="0"/>
              <w:jc w:val="left"/>
              <w:rPr>
                <w:rFonts w:ascii="Times New Roman" w:hAnsi="Times New Roman"/>
                <w:b/>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Positions de titrisation conformément à l'article 246 du CRR.</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Ces informations sont liées à la colonne 110 du modèle CR IRB. </w:t>
            </w:r>
          </w:p>
          <w:p w:rsidR="001A6C53" w:rsidRPr="00392FFD" w:rsidRDefault="001A6C53" w:rsidP="008D2F6E">
            <w:pPr>
              <w:spacing w:before="0" w:after="0"/>
              <w:jc w:val="left"/>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180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 VALEUR EXPOSÉE DÉDUITE DES FONDS PROPRES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L'article 266, paragraphe 3, du CRR prévoit que, lorsqu'une position de titris</w:t>
            </w:r>
            <w:r>
              <w:rPr>
                <w:rFonts w:ascii="Times New Roman" w:hAnsi="Times New Roman"/>
                <w:sz w:val="24"/>
              </w:rPr>
              <w:t>a</w:t>
            </w:r>
            <w:r>
              <w:rPr>
                <w:rFonts w:ascii="Times New Roman" w:hAnsi="Times New Roman"/>
                <w:sz w:val="24"/>
              </w:rPr>
              <w:t>tion appelle une pondération de risque de 1 250 %, l'établissement peut, au lieu d'inclure cette position dans le calcul des montants d'exposition pondérés, d</w:t>
            </w:r>
            <w:r>
              <w:rPr>
                <w:rFonts w:ascii="Times New Roman" w:hAnsi="Times New Roman"/>
                <w:sz w:val="24"/>
              </w:rPr>
              <w:t>é</w:t>
            </w:r>
            <w:r>
              <w:rPr>
                <w:rFonts w:ascii="Times New Roman" w:hAnsi="Times New Roman"/>
                <w:sz w:val="24"/>
              </w:rPr>
              <w:t>duire de ses fonds propres la valeur exposée au risque de cette position.</w:t>
            </w:r>
          </w:p>
          <w:p w:rsidR="001A6C53" w:rsidRPr="00392FFD" w:rsidRDefault="001A6C53" w:rsidP="008D2F6E">
            <w:pPr>
              <w:autoSpaceDE w:val="0"/>
              <w:autoSpaceDN w:val="0"/>
              <w:adjustRightInd w:val="0"/>
              <w:spacing w:before="0" w:after="0"/>
              <w:ind w:left="284" w:hanging="284"/>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VALEUR EXPOSÉE FAISANT L'OBJET DE PONDÉRATIONS</w:t>
            </w:r>
          </w:p>
          <w:p w:rsidR="001A6C53" w:rsidRPr="00392FFD" w:rsidRDefault="001A6C53" w:rsidP="008D2F6E">
            <w:pPr>
              <w:pStyle w:val="Heading1"/>
              <w:rPr>
                <w:rFonts w:ascii="Times New Roman" w:eastAsia="Times New Roman" w:hAnsi="Times New Roman"/>
                <w:sz w:val="24"/>
                <w:szCs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200-320</w:t>
            </w:r>
          </w:p>
        </w:tc>
        <w:tc>
          <w:tcPr>
            <w:tcW w:w="7903" w:type="dxa"/>
          </w:tcPr>
          <w:p w:rsidR="001A6C53" w:rsidRPr="00392FFD" w:rsidRDefault="001A6C53" w:rsidP="008D2F6E">
            <w:pPr>
              <w:spacing w:before="0" w:after="0"/>
              <w:rPr>
                <w:rFonts w:ascii="Times New Roman" w:hAnsi="Times New Roman"/>
                <w:b/>
                <w:sz w:val="24"/>
                <w:u w:val="single"/>
              </w:rPr>
            </w:pPr>
            <w:r>
              <w:rPr>
                <w:rFonts w:ascii="Times New Roman" w:hAnsi="Times New Roman"/>
                <w:b/>
                <w:sz w:val="24"/>
                <w:u w:val="single"/>
              </w:rPr>
              <w:t>MÉTHODE FONDÉE SUR LES NOTATIONS (ÉCHELONS DE QU</w:t>
            </w:r>
            <w:r>
              <w:rPr>
                <w:rFonts w:ascii="Times New Roman" w:hAnsi="Times New Roman"/>
                <w:b/>
                <w:sz w:val="24"/>
                <w:u w:val="single"/>
              </w:rPr>
              <w:t>A</w:t>
            </w:r>
            <w:r>
              <w:rPr>
                <w:rFonts w:ascii="Times New Roman" w:hAnsi="Times New Roman"/>
                <w:b/>
                <w:sz w:val="24"/>
                <w:u w:val="single"/>
              </w:rPr>
              <w:t>LITÉ DE CRÉDIT -EQC)</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Article 261 du CRR.</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Les positions de titrisation selon l'approche NI, qui recourent à une notation i</w:t>
            </w:r>
            <w:r>
              <w:rPr>
                <w:rFonts w:ascii="Times New Roman" w:hAnsi="Times New Roman"/>
                <w:sz w:val="24"/>
              </w:rPr>
              <w:t>n</w:t>
            </w:r>
            <w:r>
              <w:rPr>
                <w:rFonts w:ascii="Times New Roman" w:hAnsi="Times New Roman"/>
                <w:sz w:val="24"/>
              </w:rPr>
              <w:t>férée conformément à l'article 259, paragraphe 2, du CRR, seront déclarées en tant que positions notées.</w:t>
            </w:r>
          </w:p>
          <w:p w:rsidR="001A6C53" w:rsidRPr="00392FFD" w:rsidRDefault="001A6C53" w:rsidP="008D2F6E">
            <w:pPr>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valeurs exposées au risque soumises à des pondérations de risque sont ve</w:t>
            </w:r>
            <w:r>
              <w:rPr>
                <w:rFonts w:ascii="Times New Roman" w:hAnsi="Times New Roman"/>
                <w:sz w:val="24"/>
              </w:rPr>
              <w:t>n</w:t>
            </w:r>
            <w:r>
              <w:rPr>
                <w:rFonts w:ascii="Times New Roman" w:hAnsi="Times New Roman"/>
                <w:sz w:val="24"/>
              </w:rPr>
              <w:t xml:space="preserve">tilées en fonction de leur échelon de qualité de crédit (EQC), comme prévu pour l'approche NI à l'article 261, paragraphe 1, tableau 4 du CRR. </w:t>
            </w:r>
          </w:p>
          <w:p w:rsidR="001A6C53" w:rsidRPr="00392FFD" w:rsidRDefault="001A6C53" w:rsidP="008D2F6E">
            <w:pPr>
              <w:pStyle w:val="Heading1"/>
              <w:rPr>
                <w:rFonts w:ascii="Times New Roman" w:eastAsia="Times New Roman" w:hAnsi="Times New Roman"/>
                <w:sz w:val="24"/>
                <w:szCs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MÉTHODE DE LA FORMULE PRUDENTIELLE</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 xml:space="preserve">Pour la méthode de la formule prudentielle, consultez l'article 262 du CRR. </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 xml:space="preserve">La pondération de risque pour une position de titrisation sera égale à 7 % ou à la pondération de risque à appliquer conformément aux formules fournies si celle-ci est supérieure à 7 %. </w:t>
            </w:r>
          </w:p>
          <w:p w:rsidR="001A6C53" w:rsidRPr="00392FFD" w:rsidRDefault="001A6C53" w:rsidP="008D2F6E">
            <w:pPr>
              <w:pStyle w:val="Heading1"/>
              <w:rPr>
                <w:rFonts w:ascii="Times New Roman" w:eastAsia="Times New Roman" w:hAnsi="Times New Roman"/>
                <w:sz w:val="24"/>
                <w:szCs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MÉTHODE DE LA FORMULE PRUDENTIELLE: PONDÉRATION MOYENNE (%)</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L'atténuation du risque de crédit sur des positions de titrisation peut être com</w:t>
            </w:r>
            <w:r>
              <w:rPr>
                <w:rFonts w:ascii="Times New Roman" w:hAnsi="Times New Roman"/>
                <w:sz w:val="24"/>
              </w:rPr>
              <w:t>p</w:t>
            </w:r>
            <w:r>
              <w:rPr>
                <w:rFonts w:ascii="Times New Roman" w:hAnsi="Times New Roman"/>
                <w:sz w:val="24"/>
              </w:rPr>
              <w:t>tabilisée conformément à l'article 264 du CRR. Dans ce cas, l'établissement i</w:t>
            </w:r>
            <w:r>
              <w:rPr>
                <w:rFonts w:ascii="Times New Roman" w:hAnsi="Times New Roman"/>
                <w:sz w:val="24"/>
              </w:rPr>
              <w:t>n</w:t>
            </w:r>
            <w:r>
              <w:rPr>
                <w:rFonts w:ascii="Times New Roman" w:hAnsi="Times New Roman"/>
                <w:sz w:val="24"/>
              </w:rPr>
              <w:t>dique la «pondération de risque effective» de la position qui bénéficie d'une protection totale conformément aux dispositions de l'article 264, paragraphe 2, du CRR (la pondération de risque effective correspond au montant d'exposition pondéré de la position divisé par la valeur exposée au risque de la position, et multiplié par 100).</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Lorsque la position bénéficie d'une protection partielle, l'établissement doit a</w:t>
            </w:r>
            <w:r>
              <w:rPr>
                <w:rFonts w:ascii="Times New Roman" w:hAnsi="Times New Roman"/>
                <w:sz w:val="24"/>
              </w:rPr>
              <w:t>p</w:t>
            </w:r>
            <w:r>
              <w:rPr>
                <w:rFonts w:ascii="Times New Roman" w:hAnsi="Times New Roman"/>
                <w:sz w:val="24"/>
              </w:rPr>
              <w:t>pliquer la méthode de la formule prudentielle avec une valeur «T» corrigée conformément aux dispositions de l'article 264, paragraphe 3, du CRR.</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La moyenne pondérée des pondérations de risque sera déclarée dans cette c</w:t>
            </w:r>
            <w:r>
              <w:rPr>
                <w:rFonts w:ascii="Times New Roman" w:hAnsi="Times New Roman"/>
                <w:sz w:val="24"/>
              </w:rPr>
              <w:t>o</w:t>
            </w:r>
            <w:r>
              <w:rPr>
                <w:rFonts w:ascii="Times New Roman" w:hAnsi="Times New Roman"/>
                <w:sz w:val="24"/>
              </w:rPr>
              <w:t>lonne.</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350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APPROCHE PAR TRANSPARENCE</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Les colonnes consacrées à la méthode par transparence rassemblent tous les cas d'expositions non notées pour lesquelles la pondération de risque est obtenue à partir du portefeuille d'expositions sous-jacent (pondération maximale du p</w:t>
            </w:r>
            <w:r>
              <w:rPr>
                <w:rFonts w:ascii="Times New Roman" w:hAnsi="Times New Roman"/>
                <w:sz w:val="24"/>
              </w:rPr>
              <w:t>a</w:t>
            </w:r>
            <w:r>
              <w:rPr>
                <w:rFonts w:ascii="Times New Roman" w:hAnsi="Times New Roman"/>
                <w:sz w:val="24"/>
              </w:rPr>
              <w:t>nier).</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 xml:space="preserve">L'article 263, paragraphes 2 et 3, du CRR prévoit un traitement exceptionnel lorsque </w:t>
            </w:r>
            <w:proofErr w:type="spellStart"/>
            <w:r>
              <w:rPr>
                <w:rFonts w:ascii="Times New Roman" w:hAnsi="Times New Roman"/>
                <w:sz w:val="24"/>
              </w:rPr>
              <w:t>K</w:t>
            </w:r>
            <w:r>
              <w:rPr>
                <w:rFonts w:ascii="Times New Roman" w:hAnsi="Times New Roman"/>
                <w:sz w:val="24"/>
                <w:vertAlign w:val="subscript"/>
              </w:rPr>
              <w:t>irb</w:t>
            </w:r>
            <w:proofErr w:type="spellEnd"/>
            <w:r>
              <w:rPr>
                <w:rFonts w:ascii="Times New Roman" w:hAnsi="Times New Roman"/>
                <w:sz w:val="24"/>
              </w:rPr>
              <w:t xml:space="preserve"> ne peut être calculé.</w:t>
            </w:r>
          </w:p>
          <w:p w:rsidR="001A6C53" w:rsidRPr="00392FFD" w:rsidRDefault="001A6C53" w:rsidP="008D2F6E">
            <w:pPr>
              <w:spacing w:before="0" w:after="0"/>
              <w:rPr>
                <w:rFonts w:ascii="Times New Roman" w:hAnsi="Times New Roman"/>
                <w:i/>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Le montant non tiré des facilités de trésorerie sera déclaré sous «Éléments hors bilan et dérivés».</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 xml:space="preserve">Dès lors qu'un initiateur relève du traitement exceptionnel lorsque </w:t>
            </w:r>
            <w:proofErr w:type="spellStart"/>
            <w:r>
              <w:rPr>
                <w:rFonts w:ascii="Times New Roman" w:hAnsi="Times New Roman"/>
                <w:sz w:val="24"/>
              </w:rPr>
              <w:t>K</w:t>
            </w:r>
            <w:r>
              <w:rPr>
                <w:rFonts w:ascii="Times New Roman" w:hAnsi="Times New Roman"/>
                <w:sz w:val="24"/>
                <w:vertAlign w:val="subscript"/>
              </w:rPr>
              <w:t>irb</w:t>
            </w:r>
            <w:proofErr w:type="spellEnd"/>
            <w:r>
              <w:rPr>
                <w:rFonts w:ascii="Times New Roman" w:hAnsi="Times New Roman"/>
                <w:sz w:val="24"/>
              </w:rPr>
              <w:t xml:space="preserve"> ne peut être calculé, la colonne 350 est alors la colonne à utiliser pour déclarer le tra</w:t>
            </w:r>
            <w:r>
              <w:rPr>
                <w:rFonts w:ascii="Times New Roman" w:hAnsi="Times New Roman"/>
                <w:sz w:val="24"/>
              </w:rPr>
              <w:t>i</w:t>
            </w:r>
            <w:r>
              <w:rPr>
                <w:rFonts w:ascii="Times New Roman" w:hAnsi="Times New Roman"/>
                <w:sz w:val="24"/>
              </w:rPr>
              <w:t>tement de pondération appliqué à la valeur exposée au risque d'une facilité de trésorerie soumise au traitement visé à l'article 263 du CRR.</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Pour le remboursement anticipé, voir l'article 256, paragraphe 5, et l'article 265 du CRR.</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APPROCHE PAR TRANSPARENCE: PONDÉRATION MOYENNE (%)</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La moyenne, pondérée en fonction de la valeur exposée au risque, des pondér</w:t>
            </w:r>
            <w:r>
              <w:rPr>
                <w:rFonts w:ascii="Times New Roman" w:hAnsi="Times New Roman"/>
                <w:sz w:val="24"/>
              </w:rPr>
              <w:t>a</w:t>
            </w:r>
            <w:r>
              <w:rPr>
                <w:rFonts w:ascii="Times New Roman" w:hAnsi="Times New Roman"/>
                <w:sz w:val="24"/>
              </w:rPr>
              <w:t>tions de risque sera déclarée.</w:t>
            </w:r>
          </w:p>
          <w:p w:rsidR="001A6C53" w:rsidRPr="00392FFD" w:rsidRDefault="001A6C53" w:rsidP="008D2F6E">
            <w:pPr>
              <w:spacing w:before="0" w:after="0"/>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370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APPROCHE PAR ÉVALUATION INTERNE</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L'article 259, paragraphes 3 et 4, du CRR prévoit une «approche par évaluation interne» pour les positions de programmes ABCP.</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APPROCHE PAR ÉVALUATION INTERNE: PONDÉRATION MOYENNE (%)</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La moyenne pondérée des pondérations de risque sera déclarée dans cette c</w:t>
            </w:r>
            <w:r>
              <w:rPr>
                <w:rFonts w:ascii="Times New Roman" w:hAnsi="Times New Roman"/>
                <w:sz w:val="24"/>
              </w:rPr>
              <w:t>o</w:t>
            </w:r>
            <w:r>
              <w:rPr>
                <w:rFonts w:ascii="Times New Roman" w:hAnsi="Times New Roman"/>
                <w:sz w:val="24"/>
              </w:rPr>
              <w:t>lonne.</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 xml:space="preserve">(-) RÉDUCTION DU MONTANT D'EXPOSITION PONDÉRÉ SUITE À DES CORRECTIONS DE VALEUR ET PROVISIONS </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établissements qui recourent à l'approche NI observent les dispositions de l'article 266, paragraphe 1 (applicables uniquement pour les initiateurs, lorsque l'exposition n'a pas été déduite des fonds propres) et paragraphe 2 du CRR.</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Corrections de valeur et provisions (article 159 du CRR) pour pertes de crédit, effectuées conformément au référentiel comptable appliqué par l'établissement déclarant. Les corrections de valeur comprennent tout montant comptabilisé dans le compte de correction au titre de pertes de crédit sur des actifs financiers depuis leur première comptabilisation au bilan (y compris les pertes dues au </w:t>
            </w:r>
            <w:r>
              <w:rPr>
                <w:rFonts w:ascii="Times New Roman" w:hAnsi="Times New Roman"/>
                <w:sz w:val="24"/>
              </w:rPr>
              <w:lastRenderedPageBreak/>
              <w:t>risque de crédit d'actifs financiers mesurés à leur juste valeur, et qui ne seront pas déduites de la valeur exposée au risque), plus les décotes sur les expositions acquises alors qu'elles étaient en défaut, conformément à l'article 166, par</w:t>
            </w:r>
            <w:r>
              <w:rPr>
                <w:rFonts w:ascii="Times New Roman" w:hAnsi="Times New Roman"/>
                <w:sz w:val="24"/>
              </w:rPr>
              <w:t>a</w:t>
            </w:r>
            <w:r>
              <w:rPr>
                <w:rFonts w:ascii="Times New Roman" w:hAnsi="Times New Roman"/>
                <w:sz w:val="24"/>
              </w:rPr>
              <w:t>graphe 1, du CRR. Les provisions comprennent les montants accumulés de pertes de crédit sur des éléments hors bilan.</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400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MONTANT D'EXPOSITION PONDÉRÉ</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Montant total d'exposition pondéré, calculé selon les dispositions de la tro</w:t>
            </w:r>
            <w:r>
              <w:rPr>
                <w:rFonts w:ascii="Times New Roman" w:hAnsi="Times New Roman"/>
                <w:sz w:val="24"/>
              </w:rPr>
              <w:t>i</w:t>
            </w:r>
            <w:r>
              <w:rPr>
                <w:rFonts w:ascii="Times New Roman" w:hAnsi="Times New Roman"/>
                <w:sz w:val="24"/>
              </w:rPr>
              <w:t>sième partie, titre II, chapitre 5, section 3 du CRR, avant ajustements en raison d'asymétries d'échéances ou de non-respect des mesures de diligence appr</w:t>
            </w:r>
            <w:r>
              <w:rPr>
                <w:rFonts w:ascii="Times New Roman" w:hAnsi="Times New Roman"/>
                <w:sz w:val="24"/>
              </w:rPr>
              <w:t>o</w:t>
            </w:r>
            <w:r>
              <w:rPr>
                <w:rFonts w:ascii="Times New Roman" w:hAnsi="Times New Roman"/>
                <w:sz w:val="24"/>
              </w:rPr>
              <w:t xml:space="preserve">priée, et à l'exception de tout montant d'exposition pondéré correspondant aux expositions redistribuées dans un autre modèle au moyen des sorties. </w:t>
            </w:r>
          </w:p>
          <w:p w:rsidR="001A6C53" w:rsidRPr="00392FFD" w:rsidRDefault="001A6C53" w:rsidP="008D2F6E">
            <w:pPr>
              <w:spacing w:before="0" w:after="0"/>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tcPr>
          <w:p w:rsidR="001A6C53" w:rsidRPr="00392FFD" w:rsidRDefault="001A6C53" w:rsidP="008D2F6E">
            <w:pPr>
              <w:spacing w:before="0" w:after="0"/>
              <w:rPr>
                <w:rFonts w:ascii="Times New Roman" w:hAnsi="Times New Roman"/>
                <w:b/>
                <w:sz w:val="24"/>
                <w:u w:val="single"/>
              </w:rPr>
            </w:pPr>
            <w:r>
              <w:rPr>
                <w:rFonts w:ascii="Times New Roman" w:hAnsi="Times New Roman"/>
                <w:b/>
                <w:sz w:val="24"/>
                <w:u w:val="single"/>
              </w:rPr>
              <w:t>MONTANT D'EXPOSITION PONDÉRÉ DONT: TITRISATIONS SY</w:t>
            </w:r>
            <w:r>
              <w:rPr>
                <w:rFonts w:ascii="Times New Roman" w:hAnsi="Times New Roman"/>
                <w:b/>
                <w:sz w:val="24"/>
                <w:u w:val="single"/>
              </w:rPr>
              <w:t>N</w:t>
            </w:r>
            <w:r>
              <w:rPr>
                <w:rFonts w:ascii="Times New Roman" w:hAnsi="Times New Roman"/>
                <w:b/>
                <w:sz w:val="24"/>
                <w:u w:val="single"/>
              </w:rPr>
              <w:t>THÉTIQUES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Pour les titrisations synthétiques présentant une asymétrie d'échéances, le mo</w:t>
            </w:r>
            <w:r>
              <w:rPr>
                <w:rFonts w:ascii="Times New Roman" w:hAnsi="Times New Roman"/>
                <w:sz w:val="24"/>
              </w:rPr>
              <w:t>n</w:t>
            </w:r>
            <w:r>
              <w:rPr>
                <w:rFonts w:ascii="Times New Roman" w:hAnsi="Times New Roman"/>
                <w:sz w:val="24"/>
              </w:rPr>
              <w:t>tant à déclarer dans cette colonne ne tiendra pas compte d'une quelconque as</w:t>
            </w:r>
            <w:r>
              <w:rPr>
                <w:rFonts w:ascii="Times New Roman" w:hAnsi="Times New Roman"/>
                <w:sz w:val="24"/>
              </w:rPr>
              <w:t>y</w:t>
            </w:r>
            <w:r>
              <w:rPr>
                <w:rFonts w:ascii="Times New Roman" w:hAnsi="Times New Roman"/>
                <w:sz w:val="24"/>
              </w:rPr>
              <w:t>métrie d'échéances.</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420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EFFET GLOBAL (AJUSTEMENT) LIÉ AU MANQUEMENT AUX DI</w:t>
            </w:r>
            <w:r>
              <w:rPr>
                <w:rFonts w:ascii="Times New Roman" w:hAnsi="Times New Roman"/>
                <w:b/>
                <w:sz w:val="24"/>
                <w:u w:val="single"/>
              </w:rPr>
              <w:t>S</w:t>
            </w:r>
            <w:r>
              <w:rPr>
                <w:rFonts w:ascii="Times New Roman" w:hAnsi="Times New Roman"/>
                <w:b/>
                <w:sz w:val="24"/>
                <w:u w:val="single"/>
              </w:rPr>
              <w:t>POSITIONS EN MATIÈRE DE DILIGENCE APPROPRIÉE</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L'article 14, paragraphe 2, l'article 406, paragraphe 2, et l'article 407 du CRR prévoient que lorsqu'un établissement manque à certaines exigences, l'État membre veille à ce que les autorités compétentes imposent une pondération de risque supplémentaire proportionnée, qui ne peut être inférieure à 250 % de la pondération de risque (plafonnée à 1 250 %) qui s'appliquerait aux positions de titrisation concernées en vertu de la troisième partie, titre II, chapitre 5, section 3 du CRR.</w:t>
            </w:r>
          </w:p>
          <w:p w:rsidR="001A6C53" w:rsidRPr="00392FFD" w:rsidRDefault="001A6C53" w:rsidP="008D2F6E">
            <w:pPr>
              <w:spacing w:before="0" w:after="0"/>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430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AJUSTEMENT DU MONTANT D'EXPOSITION PONDÉRÉ DU FAIT D'UNE ASYMÉTRIE D'ÉCHÉANCES</w:t>
            </w:r>
          </w:p>
          <w:p w:rsidR="001A6C53" w:rsidRPr="00392FFD" w:rsidRDefault="001A6C53" w:rsidP="008D2F6E">
            <w:pPr>
              <w:spacing w:before="0" w:after="0"/>
              <w:jc w:val="left"/>
              <w:rPr>
                <w:rFonts w:ascii="Times New Roman" w:hAnsi="Times New Roman"/>
                <w:b/>
                <w:sz w:val="24"/>
                <w:u w:val="single"/>
              </w:rPr>
            </w:pPr>
          </w:p>
          <w:p w:rsidR="001A6C53" w:rsidRPr="00392FFD" w:rsidRDefault="001A6C53" w:rsidP="008D2F6E">
            <w:pPr>
              <w:spacing w:before="0" w:after="0"/>
              <w:rPr>
                <w:rFonts w:ascii="Times New Roman" w:hAnsi="Times New Roman"/>
                <w:sz w:val="24"/>
              </w:rPr>
            </w:pPr>
            <w:r>
              <w:rPr>
                <w:rFonts w:ascii="Times New Roman" w:hAnsi="Times New Roman"/>
                <w:sz w:val="24"/>
              </w:rPr>
              <w:t>Pour les asymétries d'échéances dans les titrisations synthétiques, RW*-RW(SP), tel que défini à l'article 250 du CRR, sera inclus, sauf dans le cas de tranches soumises à une pondération de risque de 1 250 %, pour lesquelles le montant à déclarer sera de 0. Attention: RW(SP) inclut non seulement les mo</w:t>
            </w:r>
            <w:r>
              <w:rPr>
                <w:rFonts w:ascii="Times New Roman" w:hAnsi="Times New Roman"/>
                <w:sz w:val="24"/>
              </w:rPr>
              <w:t>n</w:t>
            </w:r>
            <w:r>
              <w:rPr>
                <w:rFonts w:ascii="Times New Roman" w:hAnsi="Times New Roman"/>
                <w:sz w:val="24"/>
              </w:rPr>
              <w:t>tants d'exposition pondérés déclarés à la colonne 400, mais également les mo</w:t>
            </w:r>
            <w:r>
              <w:rPr>
                <w:rFonts w:ascii="Times New Roman" w:hAnsi="Times New Roman"/>
                <w:sz w:val="24"/>
              </w:rPr>
              <w:t>n</w:t>
            </w:r>
            <w:r>
              <w:rPr>
                <w:rFonts w:ascii="Times New Roman" w:hAnsi="Times New Roman"/>
                <w:sz w:val="24"/>
              </w:rPr>
              <w:t>tants d'exposition pondérés correspondant aux expositions redistribuées dans d'autres modèles au moyen des sorties.</w:t>
            </w:r>
          </w:p>
          <w:p w:rsidR="001A6C53" w:rsidRPr="00392FFD" w:rsidRDefault="001A6C53" w:rsidP="008D2F6E">
            <w:pPr>
              <w:spacing w:before="0" w:after="0"/>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440-450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MONTANT TOTAL D'EXPOSITION PONDÉRÉ: AVANT APPLIC</w:t>
            </w:r>
            <w:r>
              <w:rPr>
                <w:rFonts w:ascii="Times New Roman" w:hAnsi="Times New Roman"/>
                <w:b/>
                <w:sz w:val="24"/>
                <w:u w:val="single"/>
              </w:rPr>
              <w:t>A</w:t>
            </w:r>
            <w:r>
              <w:rPr>
                <w:rFonts w:ascii="Times New Roman" w:hAnsi="Times New Roman"/>
                <w:b/>
                <w:sz w:val="24"/>
                <w:u w:val="single"/>
              </w:rPr>
              <w:t>TION DU PLAFOND/APRÈS APPLICATION DU PLAFOND</w:t>
            </w:r>
          </w:p>
          <w:p w:rsidR="001A6C53" w:rsidRPr="00392FFD" w:rsidRDefault="001A6C53" w:rsidP="008D2F6E">
            <w:pPr>
              <w:spacing w:before="0" w:after="0"/>
              <w:jc w:val="left"/>
              <w:rPr>
                <w:rFonts w:ascii="Times New Roman" w:hAnsi="Times New Roman"/>
                <w:b/>
                <w:sz w:val="24"/>
                <w:u w:val="single"/>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Montant total d'exposition au risque calculé conformément à la troisième partie, titre II, chapitre 5, section 3 du CRR, avant (colonne 440)/après (colonne 450) application des limites fixées à l'article 260 du CRR. De plus, l'article 265 du CRR (Exigences de fonds propres supplémentaires pour les titrisations d'exp</w:t>
            </w:r>
            <w:r>
              <w:rPr>
                <w:rFonts w:ascii="Times New Roman" w:hAnsi="Times New Roman"/>
                <w:sz w:val="24"/>
              </w:rPr>
              <w:t>o</w:t>
            </w:r>
            <w:r>
              <w:rPr>
                <w:rFonts w:ascii="Times New Roman" w:hAnsi="Times New Roman"/>
                <w:sz w:val="24"/>
              </w:rPr>
              <w:lastRenderedPageBreak/>
              <w:t>sitions renouvelables comportant une clause de remboursement anticipé) doit être pris en compte.</w:t>
            </w:r>
          </w:p>
          <w:p w:rsidR="001A6C53" w:rsidRPr="00392FFD" w:rsidRDefault="001A6C53" w:rsidP="008D2F6E">
            <w:pPr>
              <w:spacing w:before="0" w:after="0"/>
              <w:jc w:val="left"/>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460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POUR MÉMOIRE: MONTANT D'EXPOSITION PONDÉRÉ CORRE</w:t>
            </w:r>
            <w:r>
              <w:rPr>
                <w:rFonts w:ascii="Times New Roman" w:hAnsi="Times New Roman"/>
                <w:b/>
                <w:sz w:val="24"/>
                <w:u w:val="single"/>
              </w:rPr>
              <w:t>S</w:t>
            </w:r>
            <w:r>
              <w:rPr>
                <w:rFonts w:ascii="Times New Roman" w:hAnsi="Times New Roman"/>
                <w:b/>
                <w:sz w:val="24"/>
                <w:u w:val="single"/>
              </w:rPr>
              <w:t>PONDANT AUX SORTIES DE LA TITRISATION NI VERS D'AUTRES CATÉGORIES D'EXPOSITION</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Montant d'exposition pondéré découlant d'expositions redistribuées vers le fournisseur de la mesure d'atténuation du risque, figurant dès lors dans le m</w:t>
            </w:r>
            <w:r>
              <w:rPr>
                <w:rFonts w:ascii="Times New Roman" w:hAnsi="Times New Roman"/>
                <w:sz w:val="24"/>
              </w:rPr>
              <w:t>o</w:t>
            </w:r>
            <w:r>
              <w:rPr>
                <w:rFonts w:ascii="Times New Roman" w:hAnsi="Times New Roman"/>
                <w:sz w:val="24"/>
              </w:rPr>
              <w:t>dèle correspondant, et qui sont prises en compte dans le calcul du plafonnement des positions de titrisation.</w:t>
            </w:r>
          </w:p>
          <w:p w:rsidR="001A6C53" w:rsidRPr="00392FFD" w:rsidRDefault="001A6C53" w:rsidP="008D2F6E">
            <w:pPr>
              <w:spacing w:before="0" w:after="0"/>
              <w:jc w:val="left"/>
              <w:rPr>
                <w:rFonts w:ascii="Times New Roman" w:hAnsi="Times New Roman"/>
                <w:sz w:val="24"/>
              </w:rPr>
            </w:pPr>
          </w:p>
        </w:tc>
      </w:tr>
    </w:tbl>
    <w:p w:rsidR="001A6C53" w:rsidRPr="00392FFD" w:rsidRDefault="001A6C53" w:rsidP="001A6C53">
      <w:pPr>
        <w:spacing w:before="0" w:after="0"/>
        <w:rPr>
          <w:rFonts w:ascii="Times New Roman" w:hAnsi="Times New Roman"/>
          <w:sz w:val="24"/>
        </w:rPr>
      </w:pPr>
    </w:p>
    <w:p w:rsidR="001A6C53" w:rsidRPr="00392FFD" w:rsidRDefault="001A6C53" w:rsidP="001A6C53">
      <w:pPr>
        <w:spacing w:before="0" w:after="0"/>
        <w:rPr>
          <w:rFonts w:ascii="Times New Roman" w:hAnsi="Times New Roman"/>
          <w:sz w:val="24"/>
        </w:rPr>
      </w:pPr>
    </w:p>
    <w:p w:rsidR="001A6C53" w:rsidRPr="00392FFD" w:rsidRDefault="001A6C53" w:rsidP="001A6C53">
      <w:pPr>
        <w:pStyle w:val="InstructionsText2"/>
        <w:numPr>
          <w:ilvl w:val="0"/>
          <w:numId w:val="0"/>
        </w:numPr>
        <w:ind w:left="993"/>
      </w:pPr>
      <w:r>
        <w:t>107.</w:t>
      </w:r>
      <w:r>
        <w:tab/>
        <w:t>Le modèle CR SEC IRB se compose de trois grands blocs de lignes, qui ra</w:t>
      </w:r>
      <w:r>
        <w:t>s</w:t>
      </w:r>
      <w:r>
        <w:t>semblent des données sur les expositions initiées / sponsorisées / conservées ou a</w:t>
      </w:r>
      <w:r>
        <w:t>c</w:t>
      </w:r>
      <w:r>
        <w:t xml:space="preserve">quises par les initiateurs, investisseurs et sponsors. Pour chacun, les données sont ventilées entre éléments au bilan, et éléments hors bilan et dérivés, ainsi que par groupes de pondération de risque des titrisations et des </w:t>
      </w:r>
      <w:proofErr w:type="spellStart"/>
      <w:r>
        <w:t>retitrisations</w:t>
      </w:r>
      <w:proofErr w:type="spellEnd"/>
      <w:r>
        <w:t xml:space="preserve">. </w:t>
      </w:r>
    </w:p>
    <w:p w:rsidR="001A6C53" w:rsidRPr="00392FFD" w:rsidRDefault="001A6C53" w:rsidP="001A6C53">
      <w:pPr>
        <w:pStyle w:val="InstructionsText2"/>
        <w:numPr>
          <w:ilvl w:val="0"/>
          <w:numId w:val="0"/>
        </w:numPr>
        <w:ind w:left="993"/>
      </w:pPr>
      <w:r>
        <w:t>108.</w:t>
      </w:r>
      <w:r>
        <w:tab/>
        <w:t>Les positions traitées selon la méthode fondée sur les notations et les positions non notées (expositions à la date de déclaration) sont également ventilées en fon</w:t>
      </w:r>
      <w:r>
        <w:t>c</w:t>
      </w:r>
      <w:r>
        <w:t>tion des échelons de qualité de crédit appliqués à la date d'initiation (dernier bloc de lignes). Les initiateurs, les sponsors et les investisseurs doivent déclarer ces do</w:t>
      </w:r>
      <w:r>
        <w:t>n</w:t>
      </w:r>
      <w:r>
        <w:t>nées.</w:t>
      </w:r>
    </w:p>
    <w:p w:rsidR="001A6C53" w:rsidRPr="00392FFD" w:rsidRDefault="001A6C53" w:rsidP="001A6C53">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1A6C53" w:rsidRPr="00392FFD" w:rsidTr="008D2F6E">
        <w:tc>
          <w:tcPr>
            <w:tcW w:w="9145" w:type="dxa"/>
            <w:gridSpan w:val="2"/>
            <w:shd w:val="clear" w:color="auto" w:fill="CCCCCC"/>
          </w:tcPr>
          <w:p w:rsidR="001A6C53" w:rsidRPr="00392FFD" w:rsidRDefault="001A6C53" w:rsidP="008D2F6E">
            <w:pPr>
              <w:autoSpaceDE w:val="0"/>
              <w:autoSpaceDN w:val="0"/>
              <w:adjustRightInd w:val="0"/>
              <w:spacing w:before="0" w:after="0"/>
              <w:rPr>
                <w:rFonts w:ascii="Times New Roman" w:hAnsi="Times New Roman"/>
                <w:bCs/>
                <w:sz w:val="24"/>
              </w:rPr>
            </w:pPr>
          </w:p>
          <w:p w:rsidR="001A6C53" w:rsidRPr="00392FFD" w:rsidRDefault="001A6C53" w:rsidP="008D2F6E">
            <w:pPr>
              <w:autoSpaceDE w:val="0"/>
              <w:autoSpaceDN w:val="0"/>
              <w:adjustRightInd w:val="0"/>
              <w:spacing w:before="0" w:after="0"/>
              <w:rPr>
                <w:rFonts w:ascii="Times New Roman" w:hAnsi="Times New Roman"/>
                <w:b/>
                <w:bCs/>
                <w:sz w:val="24"/>
              </w:rPr>
            </w:pPr>
            <w:r>
              <w:rPr>
                <w:rFonts w:ascii="Times New Roman" w:hAnsi="Times New Roman"/>
                <w:b/>
                <w:sz w:val="24"/>
              </w:rPr>
              <w:t>Lignes</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242"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TOTAL DES EXPOSITIONS </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 montant total des expositions correspond au montant total de l'encours des titrisations. Cette ligne résume toutes les informations fournies par les initi</w:t>
            </w:r>
            <w:r>
              <w:rPr>
                <w:rFonts w:ascii="Times New Roman" w:hAnsi="Times New Roman"/>
                <w:sz w:val="24"/>
              </w:rPr>
              <w:t>a</w:t>
            </w:r>
            <w:r>
              <w:rPr>
                <w:rFonts w:ascii="Times New Roman" w:hAnsi="Times New Roman"/>
                <w:sz w:val="24"/>
              </w:rPr>
              <w:t>teurs, les sponsors et les investisseurs dans les lignes suivantes.</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1242"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DONT: RETITRISATIONS</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xml:space="preserve">Montant total de l'encours des </w:t>
            </w:r>
            <w:proofErr w:type="spellStart"/>
            <w:r>
              <w:rPr>
                <w:rFonts w:ascii="Times New Roman" w:hAnsi="Times New Roman"/>
                <w:sz w:val="24"/>
              </w:rPr>
              <w:t>retitrisations</w:t>
            </w:r>
            <w:proofErr w:type="spellEnd"/>
            <w:r>
              <w:rPr>
                <w:rFonts w:ascii="Times New Roman" w:hAnsi="Times New Roman"/>
                <w:sz w:val="24"/>
              </w:rPr>
              <w:t>, conformément aux définitions de l'article 4, paragraphe 1, points 63 et 64, du CRR.</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tc>
      </w:tr>
      <w:tr w:rsidR="001A6C53" w:rsidRPr="00392FFD" w:rsidTr="008D2F6E">
        <w:tc>
          <w:tcPr>
            <w:tcW w:w="1242"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t>030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INITIATEUR: TOTAL DES EXPOSITIONS </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Cette ligne synthétise les données sur les éléments au bilan et les éléments hors bilan et les dérivés et le remboursement anticipé des positions de titrisation pour lesquelles l'établissement joue le rôle d'initiateur, tel que défini à l'a</w:t>
            </w:r>
            <w:r>
              <w:rPr>
                <w:rFonts w:ascii="Times New Roman" w:hAnsi="Times New Roman"/>
                <w:sz w:val="24"/>
              </w:rPr>
              <w:t>r</w:t>
            </w:r>
            <w:r>
              <w:rPr>
                <w:rFonts w:ascii="Times New Roman" w:hAnsi="Times New Roman"/>
                <w:sz w:val="24"/>
              </w:rPr>
              <w:t>ticle 4, paragraphe 1, point 13, du CRR.</w:t>
            </w:r>
          </w:p>
          <w:p w:rsidR="001A6C53" w:rsidRPr="00392FFD" w:rsidRDefault="001A6C53" w:rsidP="008D2F6E">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1A6C53" w:rsidRPr="00392FFD" w:rsidTr="008D2F6E">
        <w:tc>
          <w:tcPr>
            <w:tcW w:w="1242"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040-090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ÉLÉMENTS DE BILAN </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L'article 246, paragraphe 1, point b), du CRR dispose que lorsqu'un établiss</w:t>
            </w:r>
            <w:r>
              <w:rPr>
                <w:rFonts w:ascii="Times New Roman" w:hAnsi="Times New Roman"/>
                <w:sz w:val="24"/>
              </w:rPr>
              <w:t>e</w:t>
            </w:r>
            <w:r>
              <w:rPr>
                <w:rFonts w:ascii="Times New Roman" w:hAnsi="Times New Roman"/>
                <w:sz w:val="24"/>
              </w:rPr>
              <w:t xml:space="preserve">ment </w:t>
            </w:r>
            <w:proofErr w:type="spellStart"/>
            <w:r>
              <w:rPr>
                <w:rFonts w:ascii="Times New Roman" w:hAnsi="Times New Roman"/>
                <w:sz w:val="24"/>
              </w:rPr>
              <w:t>calcule</w:t>
            </w:r>
            <w:proofErr w:type="spellEnd"/>
            <w:r>
              <w:rPr>
                <w:rFonts w:ascii="Times New Roman" w:hAnsi="Times New Roman"/>
                <w:sz w:val="24"/>
              </w:rPr>
              <w:t xml:space="preserve"> des montants d'exposition pondérés selon l'approche NI, la valeur exposée au risque d'une position de titrisation inscrite au bilan est égale à sa v</w:t>
            </w:r>
            <w:r>
              <w:rPr>
                <w:rFonts w:ascii="Times New Roman" w:hAnsi="Times New Roman"/>
                <w:sz w:val="24"/>
              </w:rPr>
              <w:t>a</w:t>
            </w:r>
            <w:r>
              <w:rPr>
                <w:rFonts w:ascii="Times New Roman" w:hAnsi="Times New Roman"/>
                <w:sz w:val="24"/>
              </w:rPr>
              <w:t>leur comptable, mesurée sans tenir compte d'aucun ajustement éventuellement opéré pour risque de crédit.</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Les éléments au bilan sont répartis en fonction des groupes de pondérations des titrisations (A-B-C), dans les lignes 050 à 070, et des </w:t>
            </w:r>
            <w:proofErr w:type="spellStart"/>
            <w:r>
              <w:rPr>
                <w:rFonts w:ascii="Times New Roman" w:hAnsi="Times New Roman"/>
                <w:sz w:val="24"/>
              </w:rPr>
              <w:t>retitrisations</w:t>
            </w:r>
            <w:proofErr w:type="spellEnd"/>
            <w:r>
              <w:rPr>
                <w:rFonts w:ascii="Times New Roman" w:hAnsi="Times New Roman"/>
                <w:sz w:val="24"/>
              </w:rPr>
              <w:t xml:space="preserve"> (D-E), dans les colonnes 080 à 090, conformément à l'article 261, paragraphe 1, tableau 4 du CRR. </w:t>
            </w:r>
          </w:p>
          <w:p w:rsidR="001A6C53" w:rsidRPr="00392FFD" w:rsidRDefault="001A6C53" w:rsidP="008D2F6E">
            <w:pPr>
              <w:autoSpaceDE w:val="0"/>
              <w:autoSpaceDN w:val="0"/>
              <w:adjustRightInd w:val="0"/>
              <w:spacing w:before="0" w:after="0"/>
              <w:rPr>
                <w:rFonts w:ascii="Times New Roman" w:hAnsi="Times New Roman"/>
                <w:b/>
                <w:sz w:val="24"/>
                <w:u w:val="single"/>
              </w:rPr>
            </w:pPr>
          </w:p>
        </w:tc>
      </w:tr>
      <w:tr w:rsidR="001A6C53" w:rsidRPr="00392FFD" w:rsidTr="008D2F6E">
        <w:tc>
          <w:tcPr>
            <w:tcW w:w="1242"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100-150</w:t>
            </w:r>
          </w:p>
        </w:tc>
        <w:tc>
          <w:tcPr>
            <w:tcW w:w="7903" w:type="dxa"/>
          </w:tcPr>
          <w:p w:rsidR="001A6C53" w:rsidRPr="00392FFD" w:rsidRDefault="001A6C53" w:rsidP="008D2F6E">
            <w:pPr>
              <w:spacing w:before="0" w:after="0"/>
              <w:rPr>
                <w:rFonts w:ascii="Times New Roman" w:hAnsi="Times New Roman"/>
                <w:b/>
                <w:sz w:val="24"/>
                <w:u w:val="single"/>
              </w:rPr>
            </w:pPr>
            <w:r>
              <w:rPr>
                <w:rFonts w:ascii="Times New Roman" w:hAnsi="Times New Roman"/>
                <w:b/>
                <w:sz w:val="24"/>
                <w:u w:val="single"/>
              </w:rPr>
              <w:t>ÉLÉMENTS DE HORS BILAN ET DÉRIVÉS</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i/>
                <w:sz w:val="24"/>
              </w:rPr>
            </w:pPr>
            <w:r>
              <w:rPr>
                <w:rFonts w:ascii="Times New Roman" w:hAnsi="Times New Roman"/>
                <w:sz w:val="24"/>
              </w:rPr>
              <w:t>Ces lignes rassemblent des informations sur les éléments de hors bilan et les positions de titrisation de dérivés soumises à un facteur de conversion en vertu du cadre relatif à la titrisation. La valeur exposée au risque d'une position de t</w:t>
            </w:r>
            <w:r>
              <w:rPr>
                <w:rFonts w:ascii="Times New Roman" w:hAnsi="Times New Roman"/>
                <w:sz w:val="24"/>
              </w:rPr>
              <w:t>i</w:t>
            </w:r>
            <w:r>
              <w:rPr>
                <w:rFonts w:ascii="Times New Roman" w:hAnsi="Times New Roman"/>
                <w:sz w:val="24"/>
              </w:rPr>
              <w:t>trisation hors bilan sera sa valeur nominale, amputée de tout ajustement pour risque de crédit spécifique de cette position de titrisation, multipliée par un fa</w:t>
            </w:r>
            <w:r>
              <w:rPr>
                <w:rFonts w:ascii="Times New Roman" w:hAnsi="Times New Roman"/>
                <w:sz w:val="24"/>
              </w:rPr>
              <w:t>c</w:t>
            </w:r>
            <w:r>
              <w:rPr>
                <w:rFonts w:ascii="Times New Roman" w:hAnsi="Times New Roman"/>
                <w:sz w:val="24"/>
              </w:rPr>
              <w:t>teur de conversion de 100 %, sauf mention contraire.</w:t>
            </w:r>
          </w:p>
          <w:p w:rsidR="001A6C53" w:rsidRPr="00392FFD" w:rsidRDefault="001A6C53" w:rsidP="008D2F6E">
            <w:pPr>
              <w:autoSpaceDE w:val="0"/>
              <w:autoSpaceDN w:val="0"/>
              <w:adjustRightInd w:val="0"/>
              <w:spacing w:before="0" w:after="0"/>
              <w:rPr>
                <w:rFonts w:ascii="Times New Roman" w:hAnsi="Times New Roman"/>
                <w:i/>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positions de titrisation hors bilan provenant d'un instrument dérivé repris à l'annexe II du CRR seront déterminées conformément à la troisième partie, titre II, chapitre 6 du CRR. La valeur exposée au risque pour risque de contr</w:t>
            </w:r>
            <w:r>
              <w:rPr>
                <w:rFonts w:ascii="Times New Roman" w:hAnsi="Times New Roman"/>
                <w:sz w:val="24"/>
              </w:rPr>
              <w:t>e</w:t>
            </w:r>
            <w:r>
              <w:rPr>
                <w:rFonts w:ascii="Times New Roman" w:hAnsi="Times New Roman"/>
                <w:sz w:val="24"/>
              </w:rPr>
              <w:t>partie d'un instrument dérivé repris à l'annexe II du CRR sera déterminée co</w:t>
            </w:r>
            <w:r>
              <w:rPr>
                <w:rFonts w:ascii="Times New Roman" w:hAnsi="Times New Roman"/>
                <w:sz w:val="24"/>
              </w:rPr>
              <w:t>n</w:t>
            </w:r>
            <w:r>
              <w:rPr>
                <w:rFonts w:ascii="Times New Roman" w:hAnsi="Times New Roman"/>
                <w:sz w:val="24"/>
              </w:rPr>
              <w:t xml:space="preserve">formément à la troisième partie, titre II, chapitre 6 du CRR.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Pour les facilités de trésorerie, les facilités de crédit et les avances de trésorerie des organes de gestion, les établissements déclarent le montant non tiré.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Pour les contrats d'échange de taux d'intérêt et de devises, ils déclarent la valeur exposée au risque (conformément à l'article 246, paragraphe 1, du CRR), telle qu'indiquée dans le modèle CR SA Total.</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Les éléments hors bilan sont répartis en fonction des groupes de pondérations des titrisations (A-B-C), dans les lignes 110 à 130, et des </w:t>
            </w:r>
            <w:proofErr w:type="spellStart"/>
            <w:r>
              <w:rPr>
                <w:rFonts w:ascii="Times New Roman" w:hAnsi="Times New Roman"/>
                <w:sz w:val="24"/>
              </w:rPr>
              <w:t>retitrisations</w:t>
            </w:r>
            <w:proofErr w:type="spellEnd"/>
            <w:r>
              <w:rPr>
                <w:rFonts w:ascii="Times New Roman" w:hAnsi="Times New Roman"/>
                <w:sz w:val="24"/>
              </w:rPr>
              <w:t xml:space="preserve"> (D-E), dans les lignes 140 à 150, comme indiqué à l'article 261, paragraphe 1, t</w:t>
            </w:r>
            <w:r>
              <w:rPr>
                <w:rFonts w:ascii="Times New Roman" w:hAnsi="Times New Roman"/>
                <w:sz w:val="24"/>
              </w:rPr>
              <w:t>a</w:t>
            </w:r>
            <w:r>
              <w:rPr>
                <w:rFonts w:ascii="Times New Roman" w:hAnsi="Times New Roman"/>
                <w:sz w:val="24"/>
              </w:rPr>
              <w:t>bleau 4 du CRR.</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242"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160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REMBOURSEMENT ANTICIPÉ</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Cette ligne ne s'applique que pour les initiateurs de titrisations renouvelables comportant une clause de remboursement anticipé, au sens de l'article 242, points 13 et 14, du CRR.</w:t>
            </w:r>
          </w:p>
          <w:p w:rsidR="001A6C53" w:rsidRPr="00392FFD" w:rsidRDefault="001A6C53" w:rsidP="008D2F6E">
            <w:pPr>
              <w:pStyle w:val="Heading1"/>
              <w:rPr>
                <w:rFonts w:ascii="Times New Roman" w:eastAsia="Times New Roman" w:hAnsi="Times New Roman"/>
                <w:sz w:val="24"/>
                <w:szCs w:val="24"/>
              </w:rPr>
            </w:pPr>
          </w:p>
        </w:tc>
      </w:tr>
      <w:tr w:rsidR="001A6C53" w:rsidRPr="00392FFD" w:rsidTr="008D2F6E">
        <w:tc>
          <w:tcPr>
            <w:tcW w:w="1242"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INVESTISSEUR: TOTAL DES EXPOSITIONS </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Cette ligne synthétise les données sur les éléments au bilan, les éléments hors bilan et les dérivés de positions de titrisation pour lesquelles l'établissement joue le rôle d'investisseur. </w:t>
            </w:r>
          </w:p>
          <w:p w:rsidR="001A6C53" w:rsidRPr="00392FFD" w:rsidRDefault="001A6C53" w:rsidP="008D2F6E">
            <w:pPr>
              <w:autoSpaceDE w:val="0"/>
              <w:autoSpaceDN w:val="0"/>
              <w:adjustRightInd w:val="0"/>
              <w:spacing w:before="0" w:after="0"/>
              <w:rPr>
                <w:rStyle w:val="FormatvorlageInstructionsTabelleText"/>
                <w:rFonts w:ascii="Times New Roman" w:hAnsi="Times New Roman"/>
                <w:sz w:val="24"/>
              </w:rPr>
            </w:pPr>
          </w:p>
          <w:p w:rsidR="001A6C53" w:rsidRPr="00392FFD" w:rsidRDefault="001A6C53" w:rsidP="008D2F6E">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lastRenderedPageBreak/>
              <w:t>Le CRR ne fournit pas de définition explicite d'un investisseur. Dès lors, par «investisseur», on entendra un établissement qui détient une position de titris</w:t>
            </w:r>
            <w:r>
              <w:rPr>
                <w:rStyle w:val="FormatvorlageInstructionsTabelleText"/>
                <w:rFonts w:ascii="Times New Roman" w:hAnsi="Times New Roman"/>
                <w:sz w:val="24"/>
              </w:rPr>
              <w:t>a</w:t>
            </w:r>
            <w:r>
              <w:rPr>
                <w:rStyle w:val="FormatvorlageInstructionsTabelleText"/>
                <w:rFonts w:ascii="Times New Roman" w:hAnsi="Times New Roman"/>
                <w:sz w:val="24"/>
              </w:rPr>
              <w:t>tion dans le cadre d'une opération de titrisation dans laquelle il n'est ni l'initi</w:t>
            </w:r>
            <w:r>
              <w:rPr>
                <w:rStyle w:val="FormatvorlageInstructionsTabelleText"/>
                <w:rFonts w:ascii="Times New Roman" w:hAnsi="Times New Roman"/>
                <w:sz w:val="24"/>
              </w:rPr>
              <w:t>a</w:t>
            </w:r>
            <w:r>
              <w:rPr>
                <w:rStyle w:val="FormatvorlageInstructionsTabelleText"/>
                <w:rFonts w:ascii="Times New Roman" w:hAnsi="Times New Roman"/>
                <w:sz w:val="24"/>
              </w:rPr>
              <w:t>teur ni le sponsor.</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tc>
      </w:tr>
      <w:tr w:rsidR="001A6C53" w:rsidRPr="00392FFD" w:rsidTr="008D2F6E">
        <w:tc>
          <w:tcPr>
            <w:tcW w:w="1242"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180-230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ÉLÉMENTS DE BILAN </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On appliquera ici les mêmes critères de classement entre titrisations (A-B-C) et </w:t>
            </w:r>
            <w:proofErr w:type="spellStart"/>
            <w:r>
              <w:rPr>
                <w:rFonts w:ascii="Times New Roman" w:hAnsi="Times New Roman"/>
                <w:sz w:val="24"/>
              </w:rPr>
              <w:t>retitrisations</w:t>
            </w:r>
            <w:proofErr w:type="spellEnd"/>
            <w:r>
              <w:rPr>
                <w:rFonts w:ascii="Times New Roman" w:hAnsi="Times New Roman"/>
                <w:sz w:val="24"/>
              </w:rPr>
              <w:t xml:space="preserve"> (D-E) que ceux utilisés pour les éléments au bilan pour les initi</w:t>
            </w:r>
            <w:r>
              <w:rPr>
                <w:rFonts w:ascii="Times New Roman" w:hAnsi="Times New Roman"/>
                <w:sz w:val="24"/>
              </w:rPr>
              <w:t>a</w:t>
            </w:r>
            <w:r>
              <w:rPr>
                <w:rFonts w:ascii="Times New Roman" w:hAnsi="Times New Roman"/>
                <w:sz w:val="24"/>
              </w:rPr>
              <w:t>teurs.</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tc>
      </w:tr>
      <w:tr w:rsidR="001A6C53" w:rsidRPr="00392FFD" w:rsidTr="008D2F6E">
        <w:tc>
          <w:tcPr>
            <w:tcW w:w="1242"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t>240-290</w:t>
            </w:r>
          </w:p>
        </w:tc>
        <w:tc>
          <w:tcPr>
            <w:tcW w:w="7903" w:type="dxa"/>
          </w:tcPr>
          <w:p w:rsidR="001A6C53" w:rsidRPr="00392FFD" w:rsidRDefault="001A6C53" w:rsidP="008D2F6E">
            <w:pPr>
              <w:spacing w:before="0" w:after="0"/>
              <w:rPr>
                <w:rFonts w:ascii="Times New Roman" w:hAnsi="Times New Roman"/>
                <w:b/>
                <w:sz w:val="24"/>
                <w:u w:val="single"/>
              </w:rPr>
            </w:pPr>
            <w:r>
              <w:rPr>
                <w:rFonts w:ascii="Times New Roman" w:hAnsi="Times New Roman"/>
                <w:b/>
                <w:sz w:val="24"/>
                <w:u w:val="single"/>
              </w:rPr>
              <w:t>ÉLÉMENTS DE HORS BILAN ET DÉRIVÉS</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On appliquera ici les mêmes critères de classement entre titrisations (A-B-C) et </w:t>
            </w:r>
            <w:proofErr w:type="spellStart"/>
            <w:r>
              <w:rPr>
                <w:rFonts w:ascii="Times New Roman" w:hAnsi="Times New Roman"/>
                <w:sz w:val="24"/>
              </w:rPr>
              <w:t>retitrisations</w:t>
            </w:r>
            <w:proofErr w:type="spellEnd"/>
            <w:r>
              <w:rPr>
                <w:rFonts w:ascii="Times New Roman" w:hAnsi="Times New Roman"/>
                <w:sz w:val="24"/>
              </w:rPr>
              <w:t> (D-E) que ceux utilisés pour les éléments hors bilan et les dérivés pour les initiateurs.</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tc>
      </w:tr>
      <w:tr w:rsidR="001A6C53" w:rsidRPr="00392FFD" w:rsidTr="008D2F6E">
        <w:tc>
          <w:tcPr>
            <w:tcW w:w="1242"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300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TOTAL DES EXPOSITIONS </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Cette ligne synthétise les données sur les éléments au bilan et les éléments hors bilan et les dérivés des positions de titrisation pour lesquelles l'établissement joue le rôle de sponsor, tel que défini à l'article 4, paragraphe 1, point 14, du CRR. Si un sponsor </w:t>
            </w:r>
            <w:proofErr w:type="spellStart"/>
            <w:r>
              <w:rPr>
                <w:rFonts w:ascii="Times New Roman" w:hAnsi="Times New Roman"/>
                <w:sz w:val="24"/>
              </w:rPr>
              <w:t>titrise</w:t>
            </w:r>
            <w:proofErr w:type="spellEnd"/>
            <w:r>
              <w:rPr>
                <w:rFonts w:ascii="Times New Roman" w:hAnsi="Times New Roman"/>
                <w:sz w:val="24"/>
              </w:rPr>
              <w:t xml:space="preserve"> également ses propres actifs, il devra indiquer, dans les lignes sur l'initiateur, les données relatives à ses propres actifs </w:t>
            </w:r>
            <w:proofErr w:type="spellStart"/>
            <w:r>
              <w:rPr>
                <w:rFonts w:ascii="Times New Roman" w:hAnsi="Times New Roman"/>
                <w:sz w:val="24"/>
              </w:rPr>
              <w:t>titrisés</w:t>
            </w:r>
            <w:proofErr w:type="spellEnd"/>
            <w:r>
              <w:rPr>
                <w:rFonts w:ascii="Times New Roman" w:hAnsi="Times New Roman"/>
                <w:sz w:val="24"/>
              </w:rPr>
              <w:t>.</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1242" w:type="dxa"/>
            <w:shd w:val="clear" w:color="auto" w:fill="auto"/>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310-360</w:t>
            </w:r>
          </w:p>
        </w:tc>
        <w:tc>
          <w:tcPr>
            <w:tcW w:w="7903" w:type="dxa"/>
            <w:shd w:val="clear" w:color="auto" w:fill="auto"/>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ÉLÉMENTS DE BILAN </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On appliquera ici les mêmes critères de classement entre titrisations (A-B-C) et </w:t>
            </w:r>
            <w:proofErr w:type="spellStart"/>
            <w:r>
              <w:rPr>
                <w:rFonts w:ascii="Times New Roman" w:hAnsi="Times New Roman"/>
                <w:sz w:val="24"/>
              </w:rPr>
              <w:t>retitrisations</w:t>
            </w:r>
            <w:proofErr w:type="spellEnd"/>
            <w:r>
              <w:rPr>
                <w:rFonts w:ascii="Times New Roman" w:hAnsi="Times New Roman"/>
                <w:sz w:val="24"/>
              </w:rPr>
              <w:t> (D-E) que ceux utilisés pour les éléments au bilan et les dérivés pour les initiateurs.</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1242" w:type="dxa"/>
            <w:shd w:val="clear" w:color="auto" w:fill="auto"/>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370-420</w:t>
            </w:r>
          </w:p>
        </w:tc>
        <w:tc>
          <w:tcPr>
            <w:tcW w:w="7903" w:type="dxa"/>
            <w:shd w:val="clear" w:color="auto" w:fill="auto"/>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ÉLÉMENTS DE HORS BILAN ET DÉRIVÉS</w:t>
            </w:r>
          </w:p>
          <w:p w:rsidR="001A6C53" w:rsidRPr="00392FFD" w:rsidRDefault="001A6C53" w:rsidP="008D2F6E">
            <w:pPr>
              <w:autoSpaceDE w:val="0"/>
              <w:autoSpaceDN w:val="0"/>
              <w:adjustRightInd w:val="0"/>
              <w:spacing w:before="0" w:after="0"/>
              <w:rPr>
                <w:rFonts w:ascii="Times New Roman" w:hAnsi="Times New Roman"/>
                <w:b/>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On appliquera ici les mêmes critères de classement entre titrisations (A-B-C) et </w:t>
            </w:r>
            <w:proofErr w:type="spellStart"/>
            <w:r>
              <w:rPr>
                <w:rFonts w:ascii="Times New Roman" w:hAnsi="Times New Roman"/>
                <w:sz w:val="24"/>
              </w:rPr>
              <w:t>retitrisations</w:t>
            </w:r>
            <w:proofErr w:type="spellEnd"/>
            <w:r>
              <w:rPr>
                <w:rFonts w:ascii="Times New Roman" w:hAnsi="Times New Roman"/>
                <w:sz w:val="24"/>
              </w:rPr>
              <w:t> (D-E) que ceux utilisés pour les éléments hors bilan et les dérivés pour les initiateurs.</w:t>
            </w:r>
          </w:p>
          <w:p w:rsidR="001A6C53" w:rsidRPr="00392FFD" w:rsidRDefault="001A6C53" w:rsidP="008D2F6E">
            <w:pPr>
              <w:autoSpaceDE w:val="0"/>
              <w:autoSpaceDN w:val="0"/>
              <w:adjustRightInd w:val="0"/>
              <w:spacing w:before="0" w:after="0"/>
              <w:rPr>
                <w:rFonts w:ascii="Times New Roman" w:hAnsi="Times New Roman"/>
                <w:b/>
                <w:sz w:val="24"/>
                <w:u w:val="single"/>
              </w:rPr>
            </w:pPr>
          </w:p>
        </w:tc>
      </w:tr>
      <w:tr w:rsidR="001A6C53" w:rsidRPr="00392FFD" w:rsidTr="008D2F6E">
        <w:tc>
          <w:tcPr>
            <w:tcW w:w="1242"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t>430-540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RÉPARTITION DE L'ENCOURS DES POSITIONS PAR EQC AU COMMENCEMENT</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Ces lignes rassemblent des données sur l'encours des positions traitées selon la méthode fondée sur les notations et des positions non notées (à la date de décl</w:t>
            </w:r>
            <w:r>
              <w:rPr>
                <w:rFonts w:ascii="Times New Roman" w:hAnsi="Times New Roman"/>
                <w:sz w:val="24"/>
              </w:rPr>
              <w:t>a</w:t>
            </w:r>
            <w:r>
              <w:rPr>
                <w:rFonts w:ascii="Times New Roman" w:hAnsi="Times New Roman"/>
                <w:sz w:val="24"/>
              </w:rPr>
              <w:t>ration) en fonction des échelons de qualité de crédit (EQC) (prévus pour l'a</w:t>
            </w:r>
            <w:r>
              <w:rPr>
                <w:rFonts w:ascii="Times New Roman" w:hAnsi="Times New Roman"/>
                <w:sz w:val="24"/>
              </w:rPr>
              <w:t>p</w:t>
            </w:r>
            <w:r>
              <w:rPr>
                <w:rFonts w:ascii="Times New Roman" w:hAnsi="Times New Roman"/>
                <w:sz w:val="24"/>
              </w:rPr>
              <w:t>proche NI à l'article 261, tableau 4, du CRR) appliqués à la date d'initiation (commencement). En l'absence de ces données, les données les plus anciennes, équivalentes en matière d'échelons de qualité de crédit, seront fournies.</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Ces lignes ne doivent être remplies que pour les colonnes 170, 190 à 320 et les colonnes 400 à 410.</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tc>
      </w:tr>
    </w:tbl>
    <w:p w:rsidR="001A6C53" w:rsidRPr="00392FFD" w:rsidRDefault="001A6C53" w:rsidP="001A6C53">
      <w:pPr>
        <w:autoSpaceDE w:val="0"/>
        <w:autoSpaceDN w:val="0"/>
        <w:adjustRightInd w:val="0"/>
        <w:spacing w:before="0" w:after="0"/>
        <w:jc w:val="left"/>
        <w:rPr>
          <w:rFonts w:ascii="Times New Roman" w:hAnsi="Times New Roman"/>
          <w:sz w:val="24"/>
        </w:rPr>
      </w:pP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397" w:name="_Toc524104206"/>
      <w:r>
        <w:rPr>
          <w:rFonts w:ascii="Times New Roman" w:hAnsi="Times New Roman"/>
          <w:sz w:val="24"/>
          <w:u w:val="none"/>
        </w:rPr>
        <w:t>3.9.</w:t>
      </w:r>
      <w:r w:rsidRPr="0053667D">
        <w:rPr>
          <w:u w:val="none"/>
        </w:rPr>
        <w:tab/>
      </w:r>
      <w:r>
        <w:rPr>
          <w:rFonts w:ascii="Times New Roman" w:hAnsi="Times New Roman"/>
          <w:sz w:val="24"/>
        </w:rPr>
        <w:t>C 14.00 – Informations détaillées sur les titrisations (SEC DETAILS)</w:t>
      </w:r>
      <w:bookmarkEnd w:id="397"/>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398" w:name="_Toc524104207"/>
      <w:r>
        <w:rPr>
          <w:rFonts w:ascii="Times New Roman" w:hAnsi="Times New Roman"/>
          <w:sz w:val="24"/>
          <w:u w:val="none"/>
        </w:rPr>
        <w:t>3.9.1.</w:t>
      </w:r>
      <w:r w:rsidRPr="0053667D">
        <w:rPr>
          <w:u w:val="none"/>
        </w:rPr>
        <w:tab/>
      </w:r>
      <w:r>
        <w:rPr>
          <w:rFonts w:ascii="Times New Roman" w:hAnsi="Times New Roman"/>
          <w:sz w:val="24"/>
        </w:rPr>
        <w:t>Remarques générales</w:t>
      </w:r>
      <w:bookmarkEnd w:id="398"/>
    </w:p>
    <w:p w:rsidR="001A6C53" w:rsidRPr="00392FFD" w:rsidRDefault="001A6C53" w:rsidP="001A6C53">
      <w:pPr>
        <w:pStyle w:val="InstructionsText2"/>
        <w:numPr>
          <w:ilvl w:val="0"/>
          <w:numId w:val="0"/>
        </w:numPr>
        <w:ind w:left="993"/>
      </w:pPr>
      <w:r>
        <w:t>109.</w:t>
      </w:r>
      <w:r>
        <w:tab/>
        <w:t>Ce modèle regroupe des informations, transaction par transaction (à la diff</w:t>
      </w:r>
      <w:r>
        <w:t>é</w:t>
      </w:r>
      <w:r>
        <w:t>rence des données agrégées déclarées dans les modèles CR SEC SA, CR SEC IRB, MKR SA SEC, MKR SA CTP, CA1 et CA2), sur toutes les titrisations dans le</w:t>
      </w:r>
      <w:r>
        <w:t>s</w:t>
      </w:r>
      <w:r>
        <w:t xml:space="preserve">quelles l'établissement déclarant est impliqué. Les principales caractéristiques de chaque titrisation, notamment la nature des paniers sous-jacents et les exigences de fonds propres, doivent y être déclarées. </w:t>
      </w:r>
    </w:p>
    <w:p w:rsidR="001A6C53" w:rsidRPr="00392FFD" w:rsidRDefault="001A6C53" w:rsidP="001A6C53">
      <w:pPr>
        <w:pStyle w:val="InstructionsText2"/>
        <w:numPr>
          <w:ilvl w:val="0"/>
          <w:numId w:val="0"/>
        </w:numPr>
        <w:ind w:left="993"/>
      </w:pPr>
      <w:r>
        <w:t>110.</w:t>
      </w:r>
      <w:r>
        <w:tab/>
        <w:t>Ce modèle doit être utilisé pour:</w:t>
      </w:r>
    </w:p>
    <w:p w:rsidR="001A6C53" w:rsidRPr="00392FFD" w:rsidRDefault="001A6C53" w:rsidP="001A6C53">
      <w:pPr>
        <w:pStyle w:val="InstructionsText2"/>
        <w:numPr>
          <w:ilvl w:val="0"/>
          <w:numId w:val="0"/>
        </w:numPr>
        <w:ind w:left="993"/>
      </w:pPr>
      <w:r>
        <w:t>a.</w:t>
      </w:r>
      <w:r>
        <w:tab/>
        <w:t>Les titrisations initiées / sponsorisées par l'établissement déclarant lorsqu'il d</w:t>
      </w:r>
      <w:r>
        <w:t>é</w:t>
      </w:r>
      <w:r>
        <w:t>tient au moins une position dans la titrisation. Cela signifie que, qu'il y ait eu ou non un transfert de risque significatif, l'établissement déclarera des informations sur toutes les positions qu'il détient (soit dans le portefeuille de négociation soit dans le portefeuille d'intermédiation bancaire). Les positions détenues comprennent les p</w:t>
      </w:r>
      <w:r>
        <w:t>o</w:t>
      </w:r>
      <w:r>
        <w:t>sitions retenues en vertu de l'article 405 du CRR.</w:t>
      </w:r>
    </w:p>
    <w:p w:rsidR="001A6C53" w:rsidRPr="00392FFD" w:rsidRDefault="001A6C53" w:rsidP="001A6C53">
      <w:pPr>
        <w:pStyle w:val="InstructionsText2"/>
        <w:numPr>
          <w:ilvl w:val="0"/>
          <w:numId w:val="0"/>
        </w:numPr>
        <w:ind w:left="993"/>
      </w:pPr>
      <w:r>
        <w:t>b.</w:t>
      </w:r>
      <w:r>
        <w:tab/>
        <w:t>Les titrisations initiées / sponsorisées par l'établissement déclarant au cours de l'année de déclaration</w:t>
      </w:r>
      <w:r>
        <w:rPr>
          <w:vertAlign w:val="superscript"/>
        </w:rPr>
        <w:footnoteReference w:id="2"/>
      </w:r>
      <w:r>
        <w:t>, lorsqu'il ne détient aucune position.</w:t>
      </w:r>
    </w:p>
    <w:p w:rsidR="001A6C53" w:rsidRPr="00125707" w:rsidRDefault="001A6C53" w:rsidP="001A6C53">
      <w:pPr>
        <w:pStyle w:val="InstructionsText2"/>
        <w:numPr>
          <w:ilvl w:val="0"/>
          <w:numId w:val="0"/>
        </w:numPr>
        <w:ind w:left="993"/>
      </w:pPr>
      <w:r>
        <w:t>c.</w:t>
      </w:r>
      <w:r>
        <w:tab/>
        <w:t>Les titrisations dont les sous-jacents en dernière analyse sont des passifs fina</w:t>
      </w:r>
      <w:r>
        <w:t>n</w:t>
      </w:r>
      <w:r>
        <w:t>ciers initialement émis par l'établissement déclarant et (partiellement) acquis par un véhicule de titrisation. Ces sous-jacents pourraient inclure des obligations garanties ou autres passifs et sont identifiés en tant que tels dans la colonne 160.</w:t>
      </w:r>
    </w:p>
    <w:p w:rsidR="001A6C53" w:rsidRPr="00392FFD" w:rsidRDefault="001A6C53" w:rsidP="001A6C53">
      <w:pPr>
        <w:pStyle w:val="InstructionsText2"/>
        <w:numPr>
          <w:ilvl w:val="0"/>
          <w:numId w:val="0"/>
        </w:numPr>
        <w:ind w:left="993"/>
      </w:pPr>
      <w:r>
        <w:t>d.</w:t>
      </w:r>
      <w:r>
        <w:tab/>
        <w:t>Les positions détenues dans des titrisations dont l'établissement déclarant n'est ni l'initiateur ni le sponsor (c'est-à-dire les investisseurs et les prêteurs initiaux).</w:t>
      </w:r>
    </w:p>
    <w:p w:rsidR="001A6C53" w:rsidRPr="00392FFD" w:rsidRDefault="001A6C53" w:rsidP="001A6C53">
      <w:pPr>
        <w:pStyle w:val="InstructionsText2"/>
        <w:numPr>
          <w:ilvl w:val="0"/>
          <w:numId w:val="0"/>
        </w:numPr>
        <w:ind w:left="993"/>
      </w:pPr>
      <w:r>
        <w:t>111.</w:t>
      </w:r>
      <w:r>
        <w:tab/>
        <w:t>Ce modèle est utilisé par les groupes consolidés et les établissements indépe</w:t>
      </w:r>
      <w:r>
        <w:t>n</w:t>
      </w:r>
      <w:r>
        <w:t>dants</w:t>
      </w:r>
      <w:r>
        <w:rPr>
          <w:vertAlign w:val="superscript"/>
        </w:rPr>
        <w:footnoteReference w:id="3"/>
      </w:r>
      <w:r>
        <w:t xml:space="preserve"> situés dans le même pays que celui où ils sont soumis aux exigences de fonds propres. Dans le cas des titrisations impliquant plusieurs entités d'un même groupe consolidé, une ventilation détaillée entité par entité sera fournie. </w:t>
      </w:r>
    </w:p>
    <w:p w:rsidR="001A6C53" w:rsidRPr="00392FFD" w:rsidRDefault="001A6C53" w:rsidP="001A6C53">
      <w:pPr>
        <w:pStyle w:val="InstructionsText2"/>
        <w:numPr>
          <w:ilvl w:val="0"/>
          <w:numId w:val="0"/>
        </w:numPr>
        <w:ind w:left="993"/>
      </w:pPr>
      <w:r>
        <w:t>112.</w:t>
      </w:r>
      <w:r>
        <w:tab/>
        <w:t>En vertu de l'article 406, paragraphe 1, du CRR, qui dispose que les établiss</w:t>
      </w:r>
      <w:r>
        <w:t>e</w:t>
      </w:r>
      <w:r>
        <w:t>ments qui investissent dans des positions de titrisation doivent rassembler une quantité importante d'informations sur celles-ci afin de satisfaire aux exigences de diligence appropriée, ce modèle s'applique dans une certaine mesure aux investi</w:t>
      </w:r>
      <w:r>
        <w:t>s</w:t>
      </w:r>
      <w:r>
        <w:t>seurs. En particulier, ces derniers déclarent les colonnes 010-040, 070-110, 160, 190, 290-400, et 420-470.</w:t>
      </w:r>
    </w:p>
    <w:p w:rsidR="001A6C53" w:rsidRPr="00392FFD" w:rsidRDefault="001A6C53" w:rsidP="001A6C53">
      <w:pPr>
        <w:pStyle w:val="InstructionsText2"/>
        <w:numPr>
          <w:ilvl w:val="0"/>
          <w:numId w:val="0"/>
        </w:numPr>
        <w:ind w:left="993"/>
      </w:pPr>
      <w:r>
        <w:lastRenderedPageBreak/>
        <w:t>113.</w:t>
      </w:r>
      <w:r>
        <w:tab/>
        <w:t>En règle générale, les établissements qui jouent le rôle de prêteur initial (sans être par ailleurs initiateurs ou sponsors de la même titrisation) remplissent le m</w:t>
      </w:r>
      <w:r>
        <w:t>o</w:t>
      </w:r>
      <w:r>
        <w:t>dèle comme les investisseurs.</w:t>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399" w:name="_Toc524104208"/>
      <w:r>
        <w:rPr>
          <w:rFonts w:ascii="Times New Roman" w:hAnsi="Times New Roman"/>
          <w:sz w:val="24"/>
          <w:u w:val="none"/>
        </w:rPr>
        <w:t>3.9.2.</w:t>
      </w:r>
      <w:r w:rsidRPr="008028AE">
        <w:rPr>
          <w:u w:val="none"/>
        </w:rPr>
        <w:tab/>
      </w:r>
      <w:r>
        <w:rPr>
          <w:rFonts w:ascii="Times New Roman" w:hAnsi="Times New Roman"/>
          <w:sz w:val="24"/>
        </w:rPr>
        <w:t>Instructions concernant certaines positions</w:t>
      </w:r>
      <w:bookmarkEnd w:id="399"/>
    </w:p>
    <w:p w:rsidR="001A6C53" w:rsidRPr="00392FFD" w:rsidRDefault="001A6C53" w:rsidP="001A6C53">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1A6C53" w:rsidRPr="00392FFD" w:rsidTr="008D2F6E">
        <w:tc>
          <w:tcPr>
            <w:tcW w:w="9004" w:type="dxa"/>
            <w:gridSpan w:val="2"/>
            <w:shd w:val="clear" w:color="auto" w:fill="CCCCCC"/>
          </w:tcPr>
          <w:p w:rsidR="001A6C53" w:rsidRPr="00392FFD" w:rsidRDefault="001A6C53" w:rsidP="008D2F6E">
            <w:pPr>
              <w:autoSpaceDE w:val="0"/>
              <w:autoSpaceDN w:val="0"/>
              <w:adjustRightInd w:val="0"/>
              <w:spacing w:before="0" w:after="0"/>
              <w:rPr>
                <w:rFonts w:ascii="Times New Roman" w:hAnsi="Times New Roman"/>
                <w:bCs/>
                <w:sz w:val="24"/>
              </w:rPr>
            </w:pPr>
          </w:p>
          <w:p w:rsidR="001A6C53" w:rsidRPr="00392FFD" w:rsidRDefault="001A6C53" w:rsidP="008D2F6E">
            <w:pPr>
              <w:autoSpaceDE w:val="0"/>
              <w:autoSpaceDN w:val="0"/>
              <w:adjustRightInd w:val="0"/>
              <w:spacing w:before="0" w:after="0"/>
              <w:rPr>
                <w:rFonts w:ascii="Times New Roman" w:hAnsi="Times New Roman"/>
                <w:b/>
                <w:bCs/>
                <w:sz w:val="24"/>
              </w:rPr>
            </w:pPr>
            <w:r>
              <w:rPr>
                <w:rFonts w:ascii="Times New Roman" w:hAnsi="Times New Roman"/>
                <w:b/>
                <w:sz w:val="24"/>
              </w:rPr>
              <w:t>Colonnes</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005</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NUMÉRO DE LIGNE</w:t>
            </w:r>
          </w:p>
          <w:p w:rsidR="001A6C53" w:rsidRPr="00392FFD" w:rsidRDefault="001A6C53" w:rsidP="008D2F6E">
            <w:pPr>
              <w:spacing w:before="0" w:after="0"/>
              <w:jc w:val="left"/>
              <w:rPr>
                <w:rFonts w:ascii="Times New Roman" w:hAnsi="Times New Roman"/>
                <w:b/>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 numéro de ligne est un identifiant de ligne et est propre à chaque ligne du tableau. Il suit l'ordre numérique: 1, 2, 3, etc.</w:t>
            </w:r>
          </w:p>
          <w:p w:rsidR="001A6C53" w:rsidRPr="00392FFD" w:rsidRDefault="001A6C53" w:rsidP="008D2F6E">
            <w:pPr>
              <w:autoSpaceDE w:val="0"/>
              <w:autoSpaceDN w:val="0"/>
              <w:adjustRightInd w:val="0"/>
              <w:spacing w:before="0" w:after="0"/>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t>010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CODE INTERNE</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Code (alphanumérique) interne utilisé par l'établissement pour identifier la titr</w:t>
            </w:r>
            <w:r>
              <w:rPr>
                <w:rFonts w:ascii="Times New Roman" w:hAnsi="Times New Roman"/>
                <w:sz w:val="24"/>
              </w:rPr>
              <w:t>i</w:t>
            </w:r>
            <w:r>
              <w:rPr>
                <w:rFonts w:ascii="Times New Roman" w:hAnsi="Times New Roman"/>
                <w:sz w:val="24"/>
              </w:rPr>
              <w:t>sation. Ce code interne sera associé à l'identifiant de la titrisation.</w:t>
            </w:r>
          </w:p>
          <w:p w:rsidR="001A6C53" w:rsidRPr="00392FFD" w:rsidRDefault="001A6C53" w:rsidP="008D2F6E">
            <w:pPr>
              <w:autoSpaceDE w:val="0"/>
              <w:autoSpaceDN w:val="0"/>
              <w:adjustRightInd w:val="0"/>
              <w:spacing w:before="0" w:after="0"/>
              <w:jc w:val="left"/>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IDENTIFIANT DE LA TITRISATION</w:t>
            </w:r>
            <w:r>
              <w:rPr>
                <w:rFonts w:ascii="Times New Roman" w:hAnsi="Times New Roman"/>
                <w:b/>
                <w:sz w:val="24"/>
              </w:rPr>
              <w:t xml:space="preserve"> (Code/Nom)</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Code utilisé pour l'enregistrement légal de la titrisation ou, s'il n'est pas disp</w:t>
            </w:r>
            <w:r>
              <w:rPr>
                <w:rFonts w:ascii="Times New Roman" w:hAnsi="Times New Roman"/>
                <w:sz w:val="24"/>
              </w:rPr>
              <w:t>o</w:t>
            </w:r>
            <w:r>
              <w:rPr>
                <w:rFonts w:ascii="Times New Roman" w:hAnsi="Times New Roman"/>
                <w:sz w:val="24"/>
              </w:rPr>
              <w:t xml:space="preserve">nible, le nom sous lequel la titrisation est connue sur le marché. Si le code ISIN (International Securities Identification </w:t>
            </w:r>
            <w:proofErr w:type="spellStart"/>
            <w:r>
              <w:rPr>
                <w:rFonts w:ascii="Times New Roman" w:hAnsi="Times New Roman"/>
                <w:sz w:val="24"/>
              </w:rPr>
              <w:t>Number</w:t>
            </w:r>
            <w:proofErr w:type="spellEnd"/>
            <w:r>
              <w:rPr>
                <w:rFonts w:ascii="Times New Roman" w:hAnsi="Times New Roman"/>
                <w:sz w:val="24"/>
              </w:rPr>
              <w:t>) est disponible (pour les opér</w:t>
            </w:r>
            <w:r>
              <w:rPr>
                <w:rFonts w:ascii="Times New Roman" w:hAnsi="Times New Roman"/>
                <w:sz w:val="24"/>
              </w:rPr>
              <w:t>a</w:t>
            </w:r>
            <w:r>
              <w:rPr>
                <w:rFonts w:ascii="Times New Roman" w:hAnsi="Times New Roman"/>
                <w:sz w:val="24"/>
              </w:rPr>
              <w:t>tions publiques), les caractères communs à toutes les tranches de la titrisation seront mentionnés dans cette colonne.</w:t>
            </w:r>
          </w:p>
          <w:p w:rsidR="001A6C53" w:rsidRPr="00392FFD" w:rsidRDefault="001A6C53" w:rsidP="008D2F6E">
            <w:pPr>
              <w:autoSpaceDE w:val="0"/>
              <w:autoSpaceDN w:val="0"/>
              <w:adjustRightInd w:val="0"/>
              <w:spacing w:before="0" w:after="0"/>
              <w:jc w:val="left"/>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IDENTIFIANT DE L'INITIATEUR</w:t>
            </w:r>
            <w:r>
              <w:rPr>
                <w:rFonts w:ascii="Times New Roman" w:hAnsi="Times New Roman"/>
                <w:b/>
                <w:sz w:val="24"/>
              </w:rPr>
              <w:t xml:space="preserve"> (Code/Nom)</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Dans cette colonne doit figurer le code attribué par l'autorité de surveillance à l'initiateur ou, s'il n'est pas disponible, le nom de l'établissement lui-même.</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Dans le cas des titrisations avec plusieurs vendeurs, l'établissement déclarant mentionnera l'identifiant de toutes les entités faisant partie de son groupe co</w:t>
            </w:r>
            <w:r>
              <w:rPr>
                <w:rFonts w:ascii="Times New Roman" w:hAnsi="Times New Roman"/>
                <w:sz w:val="24"/>
              </w:rPr>
              <w:t>n</w:t>
            </w:r>
            <w:r>
              <w:rPr>
                <w:rFonts w:ascii="Times New Roman" w:hAnsi="Times New Roman"/>
                <w:sz w:val="24"/>
              </w:rPr>
              <w:t>solidé qui sont impliquées (en tant qu'initiateur, sponsor ou prêteur initial) dans la transaction. Lorsque le code n'est pas disponible ou connu de l'entité décl</w:t>
            </w:r>
            <w:r>
              <w:rPr>
                <w:rFonts w:ascii="Times New Roman" w:hAnsi="Times New Roman"/>
                <w:sz w:val="24"/>
              </w:rPr>
              <w:t>a</w:t>
            </w:r>
            <w:r>
              <w:rPr>
                <w:rFonts w:ascii="Times New Roman" w:hAnsi="Times New Roman"/>
                <w:sz w:val="24"/>
              </w:rPr>
              <w:t>rante, le nom de l'établissement sera utilisé.</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t>040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 xml:space="preserve">TYPE DE TITRISATION: (CLASSIQUE/ SYNTHÉTIQUE) </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Les abréviations suivantes seront utilisées:</w:t>
            </w:r>
            <w:r>
              <w:rPr>
                <w:rFonts w:ascii="Times New Roman" w:hAnsi="Times New Roman"/>
                <w:sz w:val="24"/>
              </w:rPr>
              <w:br/>
              <w:t>- «T» pour classique;</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pour synthétique. </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La «titrisation classique» et la «titrisation synthétique» sont définies à l'a</w:t>
            </w:r>
            <w:r>
              <w:rPr>
                <w:rFonts w:ascii="Times New Roman" w:hAnsi="Times New Roman"/>
                <w:sz w:val="24"/>
              </w:rPr>
              <w:t>r</w:t>
            </w:r>
            <w:r>
              <w:rPr>
                <w:rFonts w:ascii="Times New Roman" w:hAnsi="Times New Roman"/>
                <w:sz w:val="24"/>
              </w:rPr>
              <w:t>ticle 242, points 10 et 11, du CRR.</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t>050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TRAITEMENT COMPTABLE: LES EXPOSITIONS TITRISÉES SONT-ELLES COMPTABILISÉES AU BILAN OU RETIRÉES?</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Les initiateurs, sponsors et prêteurs initiaux mentionnent l'une des abréviations suivantes:</w:t>
            </w:r>
          </w:p>
          <w:p w:rsidR="001A6C53" w:rsidRPr="00392FFD" w:rsidRDefault="001A6C53" w:rsidP="008D2F6E">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xml:space="preserve">- «K» lorsque les expositions </w:t>
            </w:r>
            <w:proofErr w:type="spellStart"/>
            <w:r>
              <w:rPr>
                <w:rFonts w:ascii="Times New Roman" w:hAnsi="Times New Roman"/>
                <w:sz w:val="24"/>
              </w:rPr>
              <w:t>titrisées</w:t>
            </w:r>
            <w:proofErr w:type="spellEnd"/>
            <w:r>
              <w:rPr>
                <w:rFonts w:ascii="Times New Roman" w:hAnsi="Times New Roman"/>
                <w:sz w:val="24"/>
              </w:rPr>
              <w:t xml:space="preserve"> sont totalement comptabilisées</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xml:space="preserve">- «P» lorsque les expositions </w:t>
            </w:r>
            <w:proofErr w:type="spellStart"/>
            <w:r>
              <w:rPr>
                <w:rFonts w:ascii="Times New Roman" w:hAnsi="Times New Roman"/>
                <w:sz w:val="24"/>
              </w:rPr>
              <w:t>titrisées</w:t>
            </w:r>
            <w:proofErr w:type="spellEnd"/>
            <w:r>
              <w:rPr>
                <w:rFonts w:ascii="Times New Roman" w:hAnsi="Times New Roman"/>
                <w:sz w:val="24"/>
              </w:rPr>
              <w:t xml:space="preserve"> sont partiellement </w:t>
            </w:r>
            <w:proofErr w:type="spellStart"/>
            <w:r>
              <w:rPr>
                <w:rFonts w:ascii="Times New Roman" w:hAnsi="Times New Roman"/>
                <w:sz w:val="24"/>
              </w:rPr>
              <w:t>décomptabilisées</w:t>
            </w:r>
            <w:proofErr w:type="spellEnd"/>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xml:space="preserve">- «R» lorsque les expositions </w:t>
            </w:r>
            <w:proofErr w:type="spellStart"/>
            <w:r>
              <w:rPr>
                <w:rFonts w:ascii="Times New Roman" w:hAnsi="Times New Roman"/>
                <w:sz w:val="24"/>
              </w:rPr>
              <w:t>titrisées</w:t>
            </w:r>
            <w:proofErr w:type="spellEnd"/>
            <w:r>
              <w:rPr>
                <w:rFonts w:ascii="Times New Roman" w:hAnsi="Times New Roman"/>
                <w:sz w:val="24"/>
              </w:rPr>
              <w:t xml:space="preserve"> sont totalement </w:t>
            </w:r>
            <w:proofErr w:type="spellStart"/>
            <w:r>
              <w:rPr>
                <w:rFonts w:ascii="Times New Roman" w:hAnsi="Times New Roman"/>
                <w:sz w:val="24"/>
              </w:rPr>
              <w:t>décomptabilisées</w:t>
            </w:r>
            <w:proofErr w:type="spellEnd"/>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«N» pour «sans objet».</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Cette colonne synthétise le traitement comptable de l'opération. </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Dans le cas des titrisations synthétiques, les initiateurs doivent indiquer que les expositions </w:t>
            </w:r>
            <w:proofErr w:type="spellStart"/>
            <w:r>
              <w:rPr>
                <w:rFonts w:ascii="Times New Roman" w:hAnsi="Times New Roman"/>
                <w:sz w:val="24"/>
              </w:rPr>
              <w:t>titrisées</w:t>
            </w:r>
            <w:proofErr w:type="spellEnd"/>
            <w:r>
              <w:rPr>
                <w:rFonts w:ascii="Times New Roman" w:hAnsi="Times New Roman"/>
                <w:sz w:val="24"/>
              </w:rPr>
              <w:t xml:space="preserve"> ont été sorties du bilan.</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Dans le cas de titrisations de passifs, les initiateurs ne doivent pas remplir cette colonne.</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L'option «P» (expositions </w:t>
            </w:r>
            <w:proofErr w:type="spellStart"/>
            <w:r>
              <w:rPr>
                <w:rFonts w:ascii="Times New Roman" w:hAnsi="Times New Roman"/>
                <w:sz w:val="24"/>
              </w:rPr>
              <w:t>titrisées</w:t>
            </w:r>
            <w:proofErr w:type="spellEnd"/>
            <w:r>
              <w:rPr>
                <w:rFonts w:ascii="Times New Roman" w:hAnsi="Times New Roman"/>
                <w:sz w:val="24"/>
              </w:rPr>
              <w:t xml:space="preserve"> partiellement </w:t>
            </w:r>
            <w:proofErr w:type="spellStart"/>
            <w:r>
              <w:rPr>
                <w:rFonts w:ascii="Times New Roman" w:hAnsi="Times New Roman"/>
                <w:sz w:val="24"/>
              </w:rPr>
              <w:t>décomptabilisées</w:t>
            </w:r>
            <w:proofErr w:type="spellEnd"/>
            <w:r>
              <w:rPr>
                <w:rFonts w:ascii="Times New Roman" w:hAnsi="Times New Roman"/>
                <w:sz w:val="24"/>
              </w:rPr>
              <w:t xml:space="preserve">) sera utilisée lorsque les actifs </w:t>
            </w:r>
            <w:proofErr w:type="spellStart"/>
            <w:r>
              <w:rPr>
                <w:rFonts w:ascii="Times New Roman" w:hAnsi="Times New Roman"/>
                <w:sz w:val="24"/>
              </w:rPr>
              <w:t>titrisés</w:t>
            </w:r>
            <w:proofErr w:type="spellEnd"/>
            <w:r>
              <w:rPr>
                <w:rFonts w:ascii="Times New Roman" w:hAnsi="Times New Roman"/>
                <w:sz w:val="24"/>
              </w:rPr>
              <w:t xml:space="preserve"> sont comptabilisés au bilan à hauteur de l'implication continue de l'entité déclarante, conformément à IFRS 9.3.2.16 – 3.2.21. </w:t>
            </w:r>
          </w:p>
          <w:p w:rsidR="001A6C53" w:rsidRPr="00392FFD" w:rsidRDefault="001A6C53" w:rsidP="008D2F6E">
            <w:pPr>
              <w:autoSpaceDE w:val="0"/>
              <w:autoSpaceDN w:val="0"/>
              <w:adjustRightInd w:val="0"/>
              <w:spacing w:before="0" w:after="0"/>
              <w:jc w:val="left"/>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060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TRAITEMENT DE SOLVABILITÉ: LES POSITIONS DE TITRIS</w:t>
            </w:r>
            <w:r>
              <w:rPr>
                <w:rFonts w:ascii="Times New Roman" w:hAnsi="Times New Roman"/>
                <w:b/>
                <w:sz w:val="24"/>
                <w:u w:val="single"/>
              </w:rPr>
              <w:t>A</w:t>
            </w:r>
            <w:r>
              <w:rPr>
                <w:rFonts w:ascii="Times New Roman" w:hAnsi="Times New Roman"/>
                <w:b/>
                <w:sz w:val="24"/>
                <w:u w:val="single"/>
              </w:rPr>
              <w:t>TION FONT-ELLES L'OBJET D'EXIGENCES DE FONDS PROPRES?</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xml:space="preserve">Seuls les initiateurs mentionnent les abréviations suivantes: </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«N» pour non soumis à des exigences de fonds propres;</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«B» pour portefeuille d'intermédiation bancaire;</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«T» pour portefeuille de négociation;</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 pour en partie dans les deux portefeuilles. </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Articles 109, 243 et 244 du CRR.</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Cette colonne synthétise le traitement de solvabilité du dispositif de titrisation par l'initiateur. Elle indique si les exigences de fonds propres sont calculées en fonction des expositions </w:t>
            </w:r>
            <w:proofErr w:type="spellStart"/>
            <w:r>
              <w:rPr>
                <w:rFonts w:ascii="Times New Roman" w:hAnsi="Times New Roman"/>
                <w:sz w:val="24"/>
              </w:rPr>
              <w:t>titrisées</w:t>
            </w:r>
            <w:proofErr w:type="spellEnd"/>
            <w:r>
              <w:rPr>
                <w:rFonts w:ascii="Times New Roman" w:hAnsi="Times New Roman"/>
                <w:sz w:val="24"/>
              </w:rPr>
              <w:t xml:space="preserve"> ou des positions de titrisation (portefeuille d'intermédiation bancaire/portefeuille de négociation).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Lorsque les exigences de fonds propres sont basées sur des </w:t>
            </w:r>
            <w:r>
              <w:rPr>
                <w:rFonts w:ascii="Times New Roman" w:hAnsi="Times New Roman"/>
                <w:i/>
                <w:sz w:val="24"/>
              </w:rPr>
              <w:t xml:space="preserve">expositions </w:t>
            </w:r>
            <w:proofErr w:type="spellStart"/>
            <w:r>
              <w:rPr>
                <w:rFonts w:ascii="Times New Roman" w:hAnsi="Times New Roman"/>
                <w:i/>
                <w:sz w:val="24"/>
              </w:rPr>
              <w:t>titrisées</w:t>
            </w:r>
            <w:proofErr w:type="spellEnd"/>
            <w:r>
              <w:rPr>
                <w:rFonts w:ascii="Times New Roman" w:hAnsi="Times New Roman"/>
                <w:sz w:val="24"/>
              </w:rPr>
              <w:t xml:space="preserve"> (car elles ne constituent pas un transfert de risque significatif), le calcul des exigences de fonds propres pour risque de crédit sera déclaré dans le modèle CR SA, si l'approche standard est utilisée par l'établissement, ou dans le modèle CR IRB, si l'approche NI est utilisée.</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En revanche, lorsque les exigences de fonds propres sont basées sur des </w:t>
            </w:r>
            <w:r>
              <w:rPr>
                <w:rFonts w:ascii="Times New Roman" w:hAnsi="Times New Roman"/>
                <w:i/>
                <w:sz w:val="24"/>
              </w:rPr>
              <w:t>pos</w:t>
            </w:r>
            <w:r>
              <w:rPr>
                <w:rFonts w:ascii="Times New Roman" w:hAnsi="Times New Roman"/>
                <w:i/>
                <w:sz w:val="24"/>
              </w:rPr>
              <w:t>i</w:t>
            </w:r>
            <w:r>
              <w:rPr>
                <w:rFonts w:ascii="Times New Roman" w:hAnsi="Times New Roman"/>
                <w:i/>
                <w:sz w:val="24"/>
              </w:rPr>
              <w:t>tions de titrisation détenues dans le portefeuille d'intermédiation bancaire</w:t>
            </w:r>
            <w:r>
              <w:rPr>
                <w:rFonts w:ascii="Times New Roman" w:hAnsi="Times New Roman"/>
                <w:sz w:val="24"/>
              </w:rPr>
              <w:t xml:space="preserve"> (car elles constituent un transfert de risque significatif), le calcul des exigences de fonds propres pour risque de crédit sera déclaré dans les modèles CR SEC SA ou CR SEC IRB. Dans le cas des </w:t>
            </w:r>
            <w:r>
              <w:rPr>
                <w:rFonts w:ascii="Times New Roman" w:hAnsi="Times New Roman"/>
                <w:i/>
                <w:sz w:val="24"/>
              </w:rPr>
              <w:t>positions de titrisation détenues dans le port</w:t>
            </w:r>
            <w:r>
              <w:rPr>
                <w:rFonts w:ascii="Times New Roman" w:hAnsi="Times New Roman"/>
                <w:i/>
                <w:sz w:val="24"/>
              </w:rPr>
              <w:t>e</w:t>
            </w:r>
            <w:r>
              <w:rPr>
                <w:rFonts w:ascii="Times New Roman" w:hAnsi="Times New Roman"/>
                <w:i/>
                <w:sz w:val="24"/>
              </w:rPr>
              <w:t>feuille de négociation</w:t>
            </w:r>
            <w:r>
              <w:rPr>
                <w:rFonts w:ascii="Times New Roman" w:hAnsi="Times New Roman"/>
                <w:sz w:val="24"/>
              </w:rPr>
              <w:t>, le calcul des exigences de fonds propres pour risque de marché sera déclaré dans les modèles MKR SA TDI (risque de position général selon l'approche standard), MKR SA SEC ou MKR SA CTP (risque de position spécifique selon l'approche standard), ou MKR IM (modèles internes).</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Dans le cas des titrisations de passifs, les initiateurs ne doivent pas remplir cette colonne.</w:t>
            </w:r>
          </w:p>
          <w:p w:rsidR="001A6C53" w:rsidRPr="00392FFD" w:rsidRDefault="001A6C53" w:rsidP="008D2F6E">
            <w:pPr>
              <w:autoSpaceDE w:val="0"/>
              <w:autoSpaceDN w:val="0"/>
              <w:adjustRightInd w:val="0"/>
              <w:spacing w:before="0" w:after="0"/>
              <w:jc w:val="left"/>
              <w:rPr>
                <w:rFonts w:ascii="Times New Roman" w:hAnsi="Times New Roman"/>
                <w:bCs/>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070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TITRISATION OU RETITRISATION?</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Conformément aux définitions de la «titrisation» et de la «</w:t>
            </w:r>
            <w:proofErr w:type="spellStart"/>
            <w:r>
              <w:rPr>
                <w:rFonts w:ascii="Times New Roman" w:hAnsi="Times New Roman"/>
                <w:sz w:val="24"/>
              </w:rPr>
              <w:t>retitrisation</w:t>
            </w:r>
            <w:proofErr w:type="spellEnd"/>
            <w:r>
              <w:rPr>
                <w:rFonts w:ascii="Times New Roman" w:hAnsi="Times New Roman"/>
                <w:sz w:val="24"/>
              </w:rPr>
              <w:t>» do</w:t>
            </w:r>
            <w:r>
              <w:rPr>
                <w:rFonts w:ascii="Times New Roman" w:hAnsi="Times New Roman"/>
                <w:sz w:val="24"/>
              </w:rPr>
              <w:t>n</w:t>
            </w:r>
            <w:r>
              <w:rPr>
                <w:rFonts w:ascii="Times New Roman" w:hAnsi="Times New Roman"/>
                <w:sz w:val="24"/>
              </w:rPr>
              <w:t>nées à l'article 4, paragraphe 1, points 61 et 62 à 64, du CRR, déclarer le type de sous-jacent en utilisant les abréviations suivantes:</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«S» pour titrisation;</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xml:space="preserve">- «R» pour </w:t>
            </w:r>
            <w:proofErr w:type="spellStart"/>
            <w:r>
              <w:rPr>
                <w:rFonts w:ascii="Times New Roman" w:hAnsi="Times New Roman"/>
                <w:sz w:val="24"/>
              </w:rPr>
              <w:t>retitrisation</w:t>
            </w:r>
            <w:proofErr w:type="spellEnd"/>
            <w:r>
              <w:rPr>
                <w:rFonts w:ascii="Times New Roman" w:hAnsi="Times New Roman"/>
                <w:sz w:val="24"/>
              </w:rPr>
              <w:t>.</w:t>
            </w:r>
          </w:p>
          <w:p w:rsidR="001A6C53" w:rsidRPr="00392FFD" w:rsidRDefault="001A6C53" w:rsidP="008D2F6E">
            <w:pPr>
              <w:spacing w:before="0" w:after="0"/>
              <w:jc w:val="left"/>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rsidR="001A6C53" w:rsidRDefault="001A6C53" w:rsidP="008D2F6E">
            <w:pPr>
              <w:tabs>
                <w:tab w:val="left" w:pos="3274"/>
              </w:tabs>
              <w:spacing w:before="0" w:after="0"/>
              <w:jc w:val="left"/>
              <w:rPr>
                <w:rFonts w:ascii="Times New Roman" w:hAnsi="Times New Roman"/>
                <w:b/>
                <w:sz w:val="24"/>
                <w:u w:val="single"/>
              </w:rPr>
            </w:pPr>
            <w:r>
              <w:rPr>
                <w:rFonts w:ascii="Times New Roman" w:hAnsi="Times New Roman"/>
                <w:b/>
                <w:sz w:val="24"/>
                <w:u w:val="single"/>
              </w:rPr>
              <w:t>TITRISATION STS</w:t>
            </w:r>
          </w:p>
          <w:p w:rsidR="001A6C53" w:rsidRDefault="001A6C53" w:rsidP="008D2F6E">
            <w:pPr>
              <w:spacing w:before="0" w:after="0"/>
              <w:jc w:val="left"/>
              <w:rPr>
                <w:rFonts w:ascii="Times New Roman" w:hAnsi="Times New Roman"/>
                <w:sz w:val="24"/>
              </w:rPr>
            </w:pPr>
          </w:p>
          <w:p w:rsidR="001A6C53" w:rsidRDefault="001A6C53" w:rsidP="008D2F6E">
            <w:pPr>
              <w:spacing w:before="0" w:after="0"/>
              <w:jc w:val="left"/>
              <w:rPr>
                <w:rFonts w:ascii="Times New Roman" w:hAnsi="Times New Roman"/>
                <w:sz w:val="24"/>
              </w:rPr>
            </w:pPr>
            <w:r>
              <w:rPr>
                <w:rFonts w:ascii="Times New Roman" w:hAnsi="Times New Roman"/>
                <w:sz w:val="24"/>
              </w:rPr>
              <w:t>Article 18 du règlement (UE) 2017/2402</w:t>
            </w:r>
          </w:p>
          <w:p w:rsidR="001A6C53" w:rsidRDefault="001A6C53" w:rsidP="008D2F6E">
            <w:pPr>
              <w:spacing w:before="0" w:after="0"/>
              <w:jc w:val="left"/>
              <w:rPr>
                <w:rFonts w:ascii="Times New Roman" w:hAnsi="Times New Roman"/>
                <w:sz w:val="24"/>
              </w:rPr>
            </w:pPr>
          </w:p>
          <w:p w:rsidR="001A6C53" w:rsidRDefault="001A6C53" w:rsidP="008D2F6E">
            <w:pPr>
              <w:spacing w:before="0" w:after="0"/>
              <w:jc w:val="left"/>
              <w:rPr>
                <w:rFonts w:ascii="Times New Roman" w:hAnsi="Times New Roman"/>
                <w:sz w:val="24"/>
              </w:rPr>
            </w:pPr>
            <w:r>
              <w:rPr>
                <w:rFonts w:ascii="Times New Roman" w:hAnsi="Times New Roman"/>
                <w:sz w:val="24"/>
              </w:rPr>
              <w:t>L’une des abréviations suivantes sera utilisée:</w:t>
            </w:r>
          </w:p>
          <w:p w:rsidR="001A6C53" w:rsidRDefault="001A6C53" w:rsidP="008D2F6E">
            <w:pPr>
              <w:spacing w:before="0" w:after="0"/>
              <w:jc w:val="left"/>
              <w:rPr>
                <w:rFonts w:ascii="Times New Roman" w:hAnsi="Times New Roman"/>
                <w:sz w:val="24"/>
              </w:rPr>
            </w:pPr>
            <w:r>
              <w:rPr>
                <w:rFonts w:ascii="Times New Roman" w:hAnsi="Times New Roman"/>
                <w:sz w:val="24"/>
              </w:rPr>
              <w:t>Y – Oui</w:t>
            </w:r>
          </w:p>
          <w:p w:rsidR="001A6C53" w:rsidRDefault="001A6C53" w:rsidP="008D2F6E">
            <w:pPr>
              <w:spacing w:before="0" w:after="0"/>
              <w:jc w:val="left"/>
              <w:rPr>
                <w:rFonts w:ascii="Times New Roman" w:hAnsi="Times New Roman"/>
                <w:sz w:val="24"/>
              </w:rPr>
            </w:pPr>
            <w:r>
              <w:rPr>
                <w:rFonts w:ascii="Times New Roman" w:hAnsi="Times New Roman"/>
                <w:sz w:val="24"/>
              </w:rPr>
              <w:t>N – Non.</w:t>
            </w:r>
          </w:p>
          <w:p w:rsidR="001A6C53" w:rsidRPr="00392FFD" w:rsidRDefault="001A6C53" w:rsidP="008D2F6E">
            <w:pPr>
              <w:spacing w:before="0" w:after="0"/>
              <w:jc w:val="left"/>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highlight w:val="yellow"/>
              </w:rPr>
            </w:pPr>
            <w:r>
              <w:rPr>
                <w:rFonts w:ascii="Times New Roman" w:hAnsi="Times New Roman"/>
                <w:sz w:val="24"/>
              </w:rPr>
              <w:t>080-100</w:t>
            </w:r>
          </w:p>
        </w:tc>
        <w:tc>
          <w:tcPr>
            <w:tcW w:w="7903" w:type="dxa"/>
          </w:tcPr>
          <w:p w:rsidR="001A6C53" w:rsidRPr="00392FFD" w:rsidRDefault="001A6C53" w:rsidP="008D2F6E">
            <w:pPr>
              <w:spacing w:before="0" w:after="0"/>
              <w:jc w:val="left"/>
              <w:rPr>
                <w:rFonts w:ascii="Times New Roman" w:hAnsi="Times New Roman"/>
                <w:sz w:val="24"/>
              </w:rPr>
            </w:pPr>
            <w:r>
              <w:rPr>
                <w:rFonts w:ascii="Times New Roman" w:hAnsi="Times New Roman"/>
                <w:b/>
                <w:sz w:val="24"/>
                <w:u w:val="single"/>
              </w:rPr>
              <w:t>RÉTENTION</w:t>
            </w:r>
          </w:p>
          <w:p w:rsidR="001A6C53" w:rsidRPr="00392FFD" w:rsidRDefault="001A6C53" w:rsidP="008D2F6E">
            <w:pPr>
              <w:spacing w:before="0" w:after="0"/>
              <w:jc w:val="left"/>
              <w:rPr>
                <w:rFonts w:ascii="Times New Roman" w:hAnsi="Times New Roman"/>
                <w:sz w:val="24"/>
              </w:rPr>
            </w:pPr>
            <w:r>
              <w:rPr>
                <w:rFonts w:ascii="Times New Roman" w:hAnsi="Times New Roman"/>
                <w:sz w:val="24"/>
              </w:rPr>
              <w:t>Articles 404 à 410 du CRR.</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t>080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TYPE DE RÉTENTION APPLIQUÉE</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Pour chaque dispositif de titrisation initié, il convient de déclarer le type de r</w:t>
            </w:r>
            <w:r>
              <w:rPr>
                <w:rFonts w:ascii="Times New Roman" w:hAnsi="Times New Roman"/>
                <w:sz w:val="24"/>
              </w:rPr>
              <w:t>é</w:t>
            </w:r>
            <w:r>
              <w:rPr>
                <w:rFonts w:ascii="Times New Roman" w:hAnsi="Times New Roman"/>
                <w:sz w:val="24"/>
              </w:rPr>
              <w:t>tention d'intérêt économique net significatif, comme prévu à l'article 405 du CRR:</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 xml:space="preserve">A - Tranche verticale (positions de titrisation): </w:t>
            </w:r>
            <w:r>
              <w:rPr>
                <w:rFonts w:ascii="Times New Roman" w:hAnsi="Times New Roman"/>
                <w:i/>
                <w:sz w:val="24"/>
              </w:rPr>
              <w:t>«rétention de 5 % au moins de la valeur nominale de chacune des tranches vendues ou transférées aux inve</w:t>
            </w:r>
            <w:r>
              <w:rPr>
                <w:rFonts w:ascii="Times New Roman" w:hAnsi="Times New Roman"/>
                <w:i/>
                <w:sz w:val="24"/>
              </w:rPr>
              <w:t>s</w:t>
            </w:r>
            <w:r>
              <w:rPr>
                <w:rFonts w:ascii="Times New Roman" w:hAnsi="Times New Roman"/>
                <w:i/>
                <w:sz w:val="24"/>
              </w:rPr>
              <w:t xml:space="preserve">tisseurs». </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 xml:space="preserve">V - Tranche verticale (expositions </w:t>
            </w:r>
            <w:proofErr w:type="spellStart"/>
            <w:r>
              <w:rPr>
                <w:rFonts w:ascii="Times New Roman" w:hAnsi="Times New Roman"/>
                <w:sz w:val="24"/>
              </w:rPr>
              <w:t>titrisées</w:t>
            </w:r>
            <w:proofErr w:type="spellEnd"/>
            <w:r>
              <w:rPr>
                <w:rFonts w:ascii="Times New Roman" w:hAnsi="Times New Roman"/>
                <w:sz w:val="24"/>
              </w:rPr>
              <w:t>): rétention de</w:t>
            </w:r>
            <w:r>
              <w:rPr>
                <w:rFonts w:ascii="Times New Roman" w:hAnsi="Times New Roman"/>
                <w:i/>
                <w:sz w:val="24"/>
              </w:rPr>
              <w:t xml:space="preserve"> </w:t>
            </w:r>
            <w:r>
              <w:rPr>
                <w:rFonts w:ascii="Times New Roman" w:hAnsi="Times New Roman"/>
                <w:sz w:val="24"/>
              </w:rPr>
              <w:t xml:space="preserve">5 % au moins du risque de crédit de chacune des expositions </w:t>
            </w:r>
            <w:proofErr w:type="spellStart"/>
            <w:r>
              <w:rPr>
                <w:rFonts w:ascii="Times New Roman" w:hAnsi="Times New Roman"/>
                <w:sz w:val="24"/>
              </w:rPr>
              <w:t>titrisées</w:t>
            </w:r>
            <w:proofErr w:type="spellEnd"/>
            <w:r>
              <w:rPr>
                <w:rFonts w:ascii="Times New Roman" w:hAnsi="Times New Roman"/>
                <w:sz w:val="24"/>
              </w:rPr>
              <w:t xml:space="preserve">, lorsque le risque de crédit ainsi retenu pour ces expositions </w:t>
            </w:r>
            <w:proofErr w:type="spellStart"/>
            <w:r>
              <w:rPr>
                <w:rFonts w:ascii="Times New Roman" w:hAnsi="Times New Roman"/>
                <w:sz w:val="24"/>
              </w:rPr>
              <w:t>titrisées</w:t>
            </w:r>
            <w:proofErr w:type="spellEnd"/>
            <w:r>
              <w:rPr>
                <w:rFonts w:ascii="Times New Roman" w:hAnsi="Times New Roman"/>
                <w:sz w:val="24"/>
              </w:rPr>
              <w:t xml:space="preserve"> est toujours du même rang que le risque de crédit qui a été titrisé en ce qui concerne ces mêmes expositions, ou y est subordonné.</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B - Expositions renouvelables: «</w:t>
            </w:r>
            <w:r>
              <w:rPr>
                <w:rFonts w:ascii="Times New Roman" w:hAnsi="Times New Roman"/>
                <w:i/>
                <w:sz w:val="24"/>
              </w:rPr>
              <w:t>dans le cas de la titrisation d'expositions r</w:t>
            </w:r>
            <w:r>
              <w:rPr>
                <w:rFonts w:ascii="Times New Roman" w:hAnsi="Times New Roman"/>
                <w:i/>
                <w:sz w:val="24"/>
              </w:rPr>
              <w:t>e</w:t>
            </w:r>
            <w:r>
              <w:rPr>
                <w:rFonts w:ascii="Times New Roman" w:hAnsi="Times New Roman"/>
                <w:i/>
                <w:sz w:val="24"/>
              </w:rPr>
              <w:t xml:space="preserve">nouvelables, la rétention de l'intérêt de l'initiateur, qui n'est pas inférieur à 5 % de la valeur nominale des expositions </w:t>
            </w:r>
            <w:proofErr w:type="spellStart"/>
            <w:r>
              <w:rPr>
                <w:rFonts w:ascii="Times New Roman" w:hAnsi="Times New Roman"/>
                <w:i/>
                <w:sz w:val="24"/>
              </w:rPr>
              <w:t>titrisées</w:t>
            </w:r>
            <w:proofErr w:type="spellEnd"/>
            <w:r>
              <w:rPr>
                <w:rFonts w:ascii="Times New Roman" w:hAnsi="Times New Roman"/>
                <w:sz w:val="24"/>
              </w:rPr>
              <w:t xml:space="preserve">». </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C - Au bilan: «</w:t>
            </w:r>
            <w:r>
              <w:rPr>
                <w:rFonts w:ascii="Times New Roman" w:hAnsi="Times New Roman"/>
                <w:i/>
                <w:sz w:val="24"/>
              </w:rPr>
              <w:t>rétention d'expositions choisies d'une manière aléatoire, équiv</w:t>
            </w:r>
            <w:r>
              <w:rPr>
                <w:rFonts w:ascii="Times New Roman" w:hAnsi="Times New Roman"/>
                <w:i/>
                <w:sz w:val="24"/>
              </w:rPr>
              <w:t>a</w:t>
            </w:r>
            <w:r>
              <w:rPr>
                <w:rFonts w:ascii="Times New Roman" w:hAnsi="Times New Roman"/>
                <w:i/>
                <w:sz w:val="24"/>
              </w:rPr>
              <w:t xml:space="preserve">lentes à 5 % au moins de la valeur nominale des expositions </w:t>
            </w:r>
            <w:proofErr w:type="spellStart"/>
            <w:r>
              <w:rPr>
                <w:rFonts w:ascii="Times New Roman" w:hAnsi="Times New Roman"/>
                <w:i/>
                <w:sz w:val="24"/>
              </w:rPr>
              <w:t>titrisées</w:t>
            </w:r>
            <w:proofErr w:type="spellEnd"/>
            <w:r>
              <w:rPr>
                <w:rFonts w:ascii="Times New Roman" w:hAnsi="Times New Roman"/>
                <w:i/>
                <w:sz w:val="24"/>
              </w:rPr>
              <w:t xml:space="preserve">, lorsque ces expositions auraient autrement été </w:t>
            </w:r>
            <w:proofErr w:type="spellStart"/>
            <w:r>
              <w:rPr>
                <w:rFonts w:ascii="Times New Roman" w:hAnsi="Times New Roman"/>
                <w:i/>
                <w:sz w:val="24"/>
              </w:rPr>
              <w:t>titrisées</w:t>
            </w:r>
            <w:proofErr w:type="spellEnd"/>
            <w:r>
              <w:rPr>
                <w:rFonts w:ascii="Times New Roman" w:hAnsi="Times New Roman"/>
                <w:i/>
                <w:sz w:val="24"/>
              </w:rPr>
              <w:t xml:space="preserve"> dans la titrisation, pour autant que le nombre d'expositions potentiellement </w:t>
            </w:r>
            <w:proofErr w:type="spellStart"/>
            <w:r>
              <w:rPr>
                <w:rFonts w:ascii="Times New Roman" w:hAnsi="Times New Roman"/>
                <w:i/>
                <w:sz w:val="24"/>
              </w:rPr>
              <w:t>titrisées</w:t>
            </w:r>
            <w:proofErr w:type="spellEnd"/>
            <w:r>
              <w:rPr>
                <w:rFonts w:ascii="Times New Roman" w:hAnsi="Times New Roman"/>
                <w:i/>
                <w:sz w:val="24"/>
              </w:rPr>
              <w:t xml:space="preserve"> ne soit pas inférieur à cent à l'initiation</w:t>
            </w:r>
            <w:r>
              <w:rPr>
                <w:rFonts w:ascii="Times New Roman" w:hAnsi="Times New Roman"/>
                <w:sz w:val="24"/>
              </w:rPr>
              <w:t>».</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D - Première perte: «</w:t>
            </w:r>
            <w:r>
              <w:rPr>
                <w:rFonts w:ascii="Times New Roman" w:hAnsi="Times New Roman"/>
                <w:i/>
                <w:sz w:val="24"/>
              </w:rPr>
              <w:t xml:space="preserve">rétention de la tranche de première perte et, si nécessaire, d'autres tranches ayant un profil de risque identique ou plus important que celles transférées ou vendues aux investisseurs et ne venant pas à échéance avant celles transférées ou vendues aux investisseurs, de manière que, au total, </w:t>
            </w:r>
            <w:r>
              <w:rPr>
                <w:rFonts w:ascii="Times New Roman" w:hAnsi="Times New Roman"/>
                <w:i/>
                <w:sz w:val="24"/>
              </w:rPr>
              <w:lastRenderedPageBreak/>
              <w:t xml:space="preserve">la rétention soit égale à 5 % au moins de la valeur nominale des expositions </w:t>
            </w:r>
            <w:proofErr w:type="spellStart"/>
            <w:r>
              <w:rPr>
                <w:rFonts w:ascii="Times New Roman" w:hAnsi="Times New Roman"/>
                <w:i/>
                <w:sz w:val="24"/>
              </w:rPr>
              <w:t>t</w:t>
            </w:r>
            <w:r>
              <w:rPr>
                <w:rFonts w:ascii="Times New Roman" w:hAnsi="Times New Roman"/>
                <w:i/>
                <w:sz w:val="24"/>
              </w:rPr>
              <w:t>i</w:t>
            </w:r>
            <w:r>
              <w:rPr>
                <w:rFonts w:ascii="Times New Roman" w:hAnsi="Times New Roman"/>
                <w:i/>
                <w:sz w:val="24"/>
              </w:rPr>
              <w:t>trisées</w:t>
            </w:r>
            <w:proofErr w:type="spellEnd"/>
            <w:r>
              <w:rPr>
                <w:rFonts w:ascii="Times New Roman" w:hAnsi="Times New Roman"/>
                <w:sz w:val="24"/>
              </w:rPr>
              <w:t>».</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E – Exonéré. Ce code sera utilisé pour les titrisations concernées par les disp</w:t>
            </w:r>
            <w:r>
              <w:rPr>
                <w:rFonts w:ascii="Times New Roman" w:hAnsi="Times New Roman"/>
                <w:sz w:val="24"/>
              </w:rPr>
              <w:t>o</w:t>
            </w:r>
            <w:r>
              <w:rPr>
                <w:rFonts w:ascii="Times New Roman" w:hAnsi="Times New Roman"/>
                <w:sz w:val="24"/>
              </w:rPr>
              <w:t>sitions de l'article 405, paragraphe 3, du CRR.</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N - Sans objet. Ce code sera utilisé pour les titrisations concernées par les di</w:t>
            </w:r>
            <w:r>
              <w:rPr>
                <w:rFonts w:ascii="Times New Roman" w:hAnsi="Times New Roman"/>
                <w:sz w:val="24"/>
              </w:rPr>
              <w:t>s</w:t>
            </w:r>
            <w:r>
              <w:rPr>
                <w:rFonts w:ascii="Times New Roman" w:hAnsi="Times New Roman"/>
                <w:sz w:val="24"/>
              </w:rPr>
              <w:t>positions de l'article 404 du CRR.</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U - Non conforme ou inconnu. Ce code sera utilisé lorsque l'entité déclarante ne connaît pas avec certitude le type de rétention appliqué ou en cas de non-conformité.</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 DE RÉTENTION À LA DATE DE DÉCLARATION</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i/>
                <w:sz w:val="24"/>
              </w:rPr>
            </w:pPr>
            <w:r>
              <w:rPr>
                <w:rFonts w:ascii="Times New Roman" w:hAnsi="Times New Roman"/>
                <w:sz w:val="24"/>
              </w:rPr>
              <w:t xml:space="preserve">La rétention d'un </w:t>
            </w:r>
            <w:r>
              <w:rPr>
                <w:rFonts w:ascii="Times New Roman" w:hAnsi="Times New Roman"/>
                <w:i/>
                <w:sz w:val="24"/>
              </w:rPr>
              <w:t>intérêt économique net significatif par l'initiateur, le sponsor ou le prêteur initial</w:t>
            </w:r>
            <w:r>
              <w:rPr>
                <w:rFonts w:ascii="Times New Roman" w:hAnsi="Times New Roman"/>
                <w:sz w:val="24"/>
              </w:rPr>
              <w:t xml:space="preserve"> de la titrisation sera de 5 % au moins (à la date d'initiation).</w:t>
            </w:r>
          </w:p>
          <w:p w:rsidR="001A6C53" w:rsidRPr="00392FFD" w:rsidRDefault="001A6C53" w:rsidP="008D2F6E">
            <w:pPr>
              <w:spacing w:before="0" w:after="0"/>
              <w:rPr>
                <w:rFonts w:ascii="Times New Roman" w:hAnsi="Times New Roman"/>
                <w:i/>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Nonobstant l'article 405, paragraphe 1, du CRR, la mesure de la rétention à l'initiation peut généralement être interprétée comme étant la mesure au m</w:t>
            </w:r>
            <w:r>
              <w:rPr>
                <w:rFonts w:ascii="Times New Roman" w:hAnsi="Times New Roman"/>
                <w:sz w:val="24"/>
              </w:rPr>
              <w:t>o</w:t>
            </w:r>
            <w:r>
              <w:rPr>
                <w:rFonts w:ascii="Times New Roman" w:hAnsi="Times New Roman"/>
                <w:sz w:val="24"/>
              </w:rPr>
              <w:t xml:space="preserve">ment où les expositions ont été </w:t>
            </w:r>
            <w:proofErr w:type="spellStart"/>
            <w:r>
              <w:rPr>
                <w:rFonts w:ascii="Times New Roman" w:hAnsi="Times New Roman"/>
                <w:sz w:val="24"/>
              </w:rPr>
              <w:t>titrisées</w:t>
            </w:r>
            <w:proofErr w:type="spellEnd"/>
            <w:r>
              <w:rPr>
                <w:rFonts w:ascii="Times New Roman" w:hAnsi="Times New Roman"/>
                <w:sz w:val="24"/>
              </w:rPr>
              <w:t xml:space="preserve"> pour la première fois et non au moment où elles ont été créées pour la première fois (par exemple, pas au moment où les crédits sous-jacents ont été octroyés pour la première fois). La mesure de la rétention à l'initiation signifie que 5 % est le pourcentage de rétention requis au moment où ce niveau de rétention a été mesuré et qu'il a été satisfait à cette exigence (par ex. lorsque les expositions ont été </w:t>
            </w:r>
            <w:proofErr w:type="spellStart"/>
            <w:r>
              <w:rPr>
                <w:rFonts w:ascii="Times New Roman" w:hAnsi="Times New Roman"/>
                <w:sz w:val="24"/>
              </w:rPr>
              <w:t>titrisées</w:t>
            </w:r>
            <w:proofErr w:type="spellEnd"/>
            <w:r>
              <w:rPr>
                <w:rFonts w:ascii="Times New Roman" w:hAnsi="Times New Roman"/>
                <w:sz w:val="24"/>
              </w:rPr>
              <w:t xml:space="preserve"> pour la première fois); un </w:t>
            </w:r>
            <w:proofErr w:type="spellStart"/>
            <w:r>
              <w:rPr>
                <w:rFonts w:ascii="Times New Roman" w:hAnsi="Times New Roman"/>
                <w:sz w:val="24"/>
              </w:rPr>
              <w:t>recalcul</w:t>
            </w:r>
            <w:proofErr w:type="spellEnd"/>
            <w:r>
              <w:rPr>
                <w:rFonts w:ascii="Times New Roman" w:hAnsi="Times New Roman"/>
                <w:sz w:val="24"/>
              </w:rPr>
              <w:t xml:space="preserve"> dynamique et un réajustement du pourcentage de rétention tout au long de la durée de vie de l'opération ne sont pas exigés.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i/>
                <w:sz w:val="24"/>
              </w:rPr>
            </w:pPr>
            <w:r>
              <w:rPr>
                <w:rFonts w:ascii="Times New Roman" w:hAnsi="Times New Roman"/>
                <w:sz w:val="24"/>
              </w:rPr>
              <w:t>Cette colonne demeure vide si les codes «E» (exonéré) ou «N» (sans objet) f</w:t>
            </w:r>
            <w:r>
              <w:rPr>
                <w:rFonts w:ascii="Times New Roman" w:hAnsi="Times New Roman"/>
                <w:sz w:val="24"/>
              </w:rPr>
              <w:t>i</w:t>
            </w:r>
            <w:r>
              <w:rPr>
                <w:rFonts w:ascii="Times New Roman" w:hAnsi="Times New Roman"/>
                <w:sz w:val="24"/>
              </w:rPr>
              <w:t>gurent dans la colonne 080 (Type de rétention appliquée)</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RESPECT DE L'EXIGENCE DE RÉTENTION?</w:t>
            </w:r>
          </w:p>
          <w:p w:rsidR="001A6C53" w:rsidRPr="00392FFD" w:rsidRDefault="001A6C53" w:rsidP="008D2F6E">
            <w:pPr>
              <w:spacing w:before="0" w:after="0"/>
              <w:jc w:val="left"/>
              <w:rPr>
                <w:rFonts w:ascii="Times New Roman" w:hAnsi="Times New Roman"/>
                <w:b/>
                <w:sz w:val="24"/>
                <w:u w:val="single"/>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Article 405, paragraphe 1, du CRR</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Les abréviations suivantes seront utilisées:</w:t>
            </w:r>
          </w:p>
          <w:p w:rsidR="001A6C53" w:rsidRPr="00392FFD" w:rsidRDefault="001A6C53" w:rsidP="008D2F6E">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Oui;</w:t>
            </w:r>
          </w:p>
          <w:p w:rsidR="001A6C53" w:rsidRPr="00392FFD" w:rsidRDefault="001A6C53" w:rsidP="008D2F6E">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Non.</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i/>
                <w:sz w:val="24"/>
              </w:rPr>
            </w:pPr>
            <w:r>
              <w:rPr>
                <w:rFonts w:ascii="Times New Roman" w:hAnsi="Times New Roman"/>
                <w:sz w:val="24"/>
              </w:rPr>
              <w:t>Cette colonne demeure vide si les codes «E» (exonéré) ou «N» (sans objet) f</w:t>
            </w:r>
            <w:r>
              <w:rPr>
                <w:rFonts w:ascii="Times New Roman" w:hAnsi="Times New Roman"/>
                <w:sz w:val="24"/>
              </w:rPr>
              <w:t>i</w:t>
            </w:r>
            <w:r>
              <w:rPr>
                <w:rFonts w:ascii="Times New Roman" w:hAnsi="Times New Roman"/>
                <w:sz w:val="24"/>
              </w:rPr>
              <w:t>gurent dans la colonne 080 (Type de rétention appliquée)</w:t>
            </w:r>
          </w:p>
          <w:p w:rsidR="001A6C53" w:rsidRPr="00392FFD" w:rsidRDefault="001A6C53" w:rsidP="008D2F6E">
            <w:pPr>
              <w:spacing w:before="0" w:after="0"/>
              <w:jc w:val="left"/>
              <w:rPr>
                <w:rFonts w:ascii="Times New Roman" w:hAnsi="Times New Roman"/>
                <w:b/>
                <w:sz w:val="24"/>
                <w:u w:val="single"/>
              </w:rPr>
            </w:pPr>
          </w:p>
        </w:tc>
      </w:tr>
      <w:tr w:rsidR="001A6C53" w:rsidRPr="00392FFD" w:rsidTr="008D2F6E">
        <w:tc>
          <w:tcPr>
            <w:tcW w:w="1101" w:type="dxa"/>
            <w:shd w:val="clear" w:color="auto" w:fill="auto"/>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t>110</w:t>
            </w:r>
          </w:p>
        </w:tc>
        <w:tc>
          <w:tcPr>
            <w:tcW w:w="7903" w:type="dxa"/>
            <w:shd w:val="clear" w:color="auto" w:fill="auto"/>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RÔLE DE L'ÉTABLISSEMENT: (INITIATEUR / SPONSOR / PR</w:t>
            </w:r>
            <w:r>
              <w:rPr>
                <w:rFonts w:ascii="Times New Roman" w:hAnsi="Times New Roman"/>
                <w:b/>
                <w:sz w:val="24"/>
                <w:u w:val="single"/>
              </w:rPr>
              <w:t>Ê</w:t>
            </w:r>
            <w:r>
              <w:rPr>
                <w:rFonts w:ascii="Times New Roman" w:hAnsi="Times New Roman"/>
                <w:b/>
                <w:sz w:val="24"/>
                <w:u w:val="single"/>
              </w:rPr>
              <w:t>TEUR INITIAL / INVESTISSEUR)</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Les abréviations suivantes seront utilisées: </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«O» pour initiateur;</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«S» pour sponsor;</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«L» pour prêteur initial;</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 «I» pour investisseur. </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Voir les définitions à l'article 4, paragraphe 1, points 13 (initiateur) et 14 (spo</w:t>
            </w:r>
            <w:r>
              <w:rPr>
                <w:rFonts w:ascii="Times New Roman" w:hAnsi="Times New Roman"/>
                <w:sz w:val="24"/>
              </w:rPr>
              <w:t>n</w:t>
            </w:r>
            <w:r>
              <w:rPr>
                <w:rFonts w:ascii="Times New Roman" w:hAnsi="Times New Roman"/>
                <w:sz w:val="24"/>
              </w:rPr>
              <w:t>sor), du CRR. Les investisseurs sont supposés être les établissements auxquels les dispositions des articles 406 et 407 du CRR s'appliquent.</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120-130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rPr>
            </w:pPr>
            <w:r>
              <w:rPr>
                <w:rFonts w:ascii="Times New Roman" w:hAnsi="Times New Roman"/>
                <w:b/>
                <w:sz w:val="24"/>
              </w:rPr>
              <w:t>HORS PROGRAMMES ABCP</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En raison de leur nature spéciale liée au fait qu'ils se composent de plusieurs positions de titrisation individuelles, les programmes ABCP (définis à l'a</w:t>
            </w:r>
            <w:r>
              <w:rPr>
                <w:rFonts w:ascii="Times New Roman" w:hAnsi="Times New Roman"/>
                <w:sz w:val="24"/>
              </w:rPr>
              <w:t>r</w:t>
            </w:r>
            <w:r>
              <w:rPr>
                <w:rFonts w:ascii="Times New Roman" w:hAnsi="Times New Roman"/>
                <w:sz w:val="24"/>
              </w:rPr>
              <w:t>ticle 242, point 9, du CRR) sont exonérés de déclaration dans les colonnes 120 et 130.</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1A6C53" w:rsidRPr="00392FFD" w:rsidRDefault="001A6C53" w:rsidP="008D2F6E">
            <w:pPr>
              <w:spacing w:before="0" w:after="0"/>
              <w:jc w:val="left"/>
              <w:rPr>
                <w:rFonts w:ascii="Times New Roman" w:hAnsi="Times New Roman"/>
                <w:b/>
                <w:sz w:val="24"/>
              </w:rPr>
            </w:pPr>
            <w:r>
              <w:rPr>
                <w:rFonts w:ascii="Times New Roman" w:hAnsi="Times New Roman"/>
                <w:b/>
                <w:sz w:val="24"/>
              </w:rPr>
              <w:t>DATE D'INITIATION (mm/</w:t>
            </w:r>
            <w:proofErr w:type="spellStart"/>
            <w:r>
              <w:rPr>
                <w:rFonts w:ascii="Times New Roman" w:hAnsi="Times New Roman"/>
                <w:b/>
                <w:sz w:val="24"/>
              </w:rPr>
              <w:t>aaaa</w:t>
            </w:r>
            <w:proofErr w:type="spellEnd"/>
            <w:r>
              <w:rPr>
                <w:rFonts w:ascii="Times New Roman" w:hAnsi="Times New Roman"/>
                <w:b/>
                <w:sz w:val="24"/>
              </w:rPr>
              <w:t>)</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 mois et l'année de la date d'initiation (c'est-à-dire la date limite ou la date de clôture du panier) de la titrisation seront déclarés selon le format suivant: «mm/</w:t>
            </w:r>
            <w:proofErr w:type="spellStart"/>
            <w:r>
              <w:rPr>
                <w:rFonts w:ascii="Times New Roman" w:hAnsi="Times New Roman"/>
                <w:sz w:val="24"/>
              </w:rPr>
              <w:t>aaaa</w:t>
            </w:r>
            <w:proofErr w:type="spellEnd"/>
            <w:r>
              <w:rPr>
                <w:rFonts w:ascii="Times New Roman" w:hAnsi="Times New Roman"/>
                <w:sz w:val="24"/>
              </w:rPr>
              <w:t>».</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Pour chaque dispositif de titrisation, la date d'initiation ne peut pas changer entre deux dates de déclaration. Dans le cas particulier des dispositifs de titris</w:t>
            </w:r>
            <w:r>
              <w:rPr>
                <w:rFonts w:ascii="Times New Roman" w:hAnsi="Times New Roman"/>
                <w:sz w:val="24"/>
              </w:rPr>
              <w:t>a</w:t>
            </w:r>
            <w:r>
              <w:rPr>
                <w:rFonts w:ascii="Times New Roman" w:hAnsi="Times New Roman"/>
                <w:sz w:val="24"/>
              </w:rPr>
              <w:t xml:space="preserve">tion adossés à des paniers ouverts, la date d'initiation sera la date de la première émission des titres.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Ces données seront déclarées même lorsque l'entité déclarante ne détient a</w:t>
            </w:r>
            <w:r>
              <w:rPr>
                <w:rFonts w:ascii="Times New Roman" w:hAnsi="Times New Roman"/>
                <w:sz w:val="24"/>
              </w:rPr>
              <w:t>u</w:t>
            </w:r>
            <w:r>
              <w:rPr>
                <w:rFonts w:ascii="Times New Roman" w:hAnsi="Times New Roman"/>
                <w:sz w:val="24"/>
              </w:rPr>
              <w:t>cune position dans la titrisation.</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MONTANT TOTAL DES EXPOSITIONS TITRISÉES À LA DATE D'INITIATION</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Cette colonne contient le montant (selon les expositions initiales avant applic</w:t>
            </w:r>
            <w:r>
              <w:rPr>
                <w:rFonts w:ascii="Times New Roman" w:hAnsi="Times New Roman"/>
                <w:sz w:val="24"/>
              </w:rPr>
              <w:t>a</w:t>
            </w:r>
            <w:r>
              <w:rPr>
                <w:rFonts w:ascii="Times New Roman" w:hAnsi="Times New Roman"/>
                <w:sz w:val="24"/>
              </w:rPr>
              <w:t xml:space="preserve">tion des facteurs de conversion) du portefeuille titrisé à la date d'initiation.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Dans le cas des dispositifs de titrisation adossés à des paniers ouverts, on décl</w:t>
            </w:r>
            <w:r>
              <w:rPr>
                <w:rFonts w:ascii="Times New Roman" w:hAnsi="Times New Roman"/>
                <w:sz w:val="24"/>
              </w:rPr>
              <w:t>a</w:t>
            </w:r>
            <w:r>
              <w:rPr>
                <w:rFonts w:ascii="Times New Roman" w:hAnsi="Times New Roman"/>
                <w:sz w:val="24"/>
              </w:rPr>
              <w:t>rera le montant correspondant à la date d'initiation de la première émission des titres. En ce qui concerne les titrisations classiques, aucun autre actif du panier de titrisation ne sera inclus. Dans le cas des titrisations avec plusieurs vendeurs (c'est-à-dire avec plus d'un initiateur), seul le montant qui correspond à la co</w:t>
            </w:r>
            <w:r>
              <w:rPr>
                <w:rFonts w:ascii="Times New Roman" w:hAnsi="Times New Roman"/>
                <w:sz w:val="24"/>
              </w:rPr>
              <w:t>n</w:t>
            </w:r>
            <w:r>
              <w:rPr>
                <w:rFonts w:ascii="Times New Roman" w:hAnsi="Times New Roman"/>
                <w:sz w:val="24"/>
              </w:rPr>
              <w:t>tribution de l'entité déclarante dans le portefeuille titrisé sera déclaré. Dans le cas de la titrisation de passifs, seuls les montants émis par l'entité déclarante doivent être indiqués.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Ces données seront déclarées même lorsque l'entité déclarante ne détient a</w:t>
            </w:r>
            <w:r>
              <w:rPr>
                <w:rFonts w:ascii="Times New Roman" w:hAnsi="Times New Roman"/>
                <w:sz w:val="24"/>
              </w:rPr>
              <w:t>u</w:t>
            </w:r>
            <w:r>
              <w:rPr>
                <w:rFonts w:ascii="Times New Roman" w:hAnsi="Times New Roman"/>
                <w:sz w:val="24"/>
              </w:rPr>
              <w:t>cune position dans la titrisation.</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t>140-220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EXPOSITIONS TITRISÉES</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colonnes 140 à 220 contiennent des informations de l'entité déclarante sur plusieurs caractéristiques du portefeuille titrisé.</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140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MONTANT TOTAL</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établissements déclarent la valeur du portefeuille titrisé à la date de décl</w:t>
            </w:r>
            <w:r>
              <w:rPr>
                <w:rFonts w:ascii="Times New Roman" w:hAnsi="Times New Roman"/>
                <w:sz w:val="24"/>
              </w:rPr>
              <w:t>a</w:t>
            </w:r>
            <w:r>
              <w:rPr>
                <w:rFonts w:ascii="Times New Roman" w:hAnsi="Times New Roman"/>
                <w:sz w:val="24"/>
              </w:rPr>
              <w:t xml:space="preserve">ration, à savoir l'encours des expositions </w:t>
            </w:r>
            <w:proofErr w:type="spellStart"/>
            <w:r>
              <w:rPr>
                <w:rFonts w:ascii="Times New Roman" w:hAnsi="Times New Roman"/>
                <w:sz w:val="24"/>
              </w:rPr>
              <w:t>titrisées</w:t>
            </w:r>
            <w:proofErr w:type="spellEnd"/>
            <w:r>
              <w:rPr>
                <w:rFonts w:ascii="Times New Roman" w:hAnsi="Times New Roman"/>
                <w:sz w:val="24"/>
              </w:rPr>
              <w:t>. En ce qui concerne les titris</w:t>
            </w:r>
            <w:r>
              <w:rPr>
                <w:rFonts w:ascii="Times New Roman" w:hAnsi="Times New Roman"/>
                <w:sz w:val="24"/>
              </w:rPr>
              <w:t>a</w:t>
            </w:r>
            <w:r>
              <w:rPr>
                <w:rFonts w:ascii="Times New Roman" w:hAnsi="Times New Roman"/>
                <w:sz w:val="24"/>
              </w:rPr>
              <w:t>tions classiques, aucun autre actif du panier de titrisation ne sera inclus. Dans le cas des titrisations avec plusieurs vendeurs (c'est-à-dire avec plus d'un initi</w:t>
            </w:r>
            <w:r>
              <w:rPr>
                <w:rFonts w:ascii="Times New Roman" w:hAnsi="Times New Roman"/>
                <w:sz w:val="24"/>
              </w:rPr>
              <w:t>a</w:t>
            </w:r>
            <w:r>
              <w:rPr>
                <w:rFonts w:ascii="Times New Roman" w:hAnsi="Times New Roman"/>
                <w:sz w:val="24"/>
              </w:rPr>
              <w:t xml:space="preserve">teur), seul le montant qui correspond à la contribution de l'entité déclarante dans le portefeuille titrisé sera déclaré. Dans le cas des dispositifs de titrisation adossés à des paniers fermés (c'est-à-dire lorsque le portefeuille d'actifs </w:t>
            </w:r>
            <w:proofErr w:type="spellStart"/>
            <w:r>
              <w:rPr>
                <w:rFonts w:ascii="Times New Roman" w:hAnsi="Times New Roman"/>
                <w:sz w:val="24"/>
              </w:rPr>
              <w:t>titrisés</w:t>
            </w:r>
            <w:proofErr w:type="spellEnd"/>
            <w:r>
              <w:rPr>
                <w:rFonts w:ascii="Times New Roman" w:hAnsi="Times New Roman"/>
                <w:sz w:val="24"/>
              </w:rPr>
              <w:t xml:space="preserve"> ne peut être élargi après la date d'initiation), le montant sera progressivement diminué.</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Ces données seront déclarées même lorsque l'entité déclarante ne détient a</w:t>
            </w:r>
            <w:r>
              <w:rPr>
                <w:rFonts w:ascii="Times New Roman" w:hAnsi="Times New Roman"/>
                <w:sz w:val="24"/>
              </w:rPr>
              <w:t>u</w:t>
            </w:r>
            <w:r>
              <w:rPr>
                <w:rFonts w:ascii="Times New Roman" w:hAnsi="Times New Roman"/>
                <w:sz w:val="24"/>
              </w:rPr>
              <w:t>cune position dans la titrisation.</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150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PART DE L'ÉTABLISSEMENT (%)</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Sera déclarée la part de l'établissement (pourcentage à deux décimales) dans le portefeuille titrisé à la date de déclaration. Par défaut, la valeur à indiquer dans cette colonne est de 100 %, sauf pour les dispositifs de titrisation avec plusieurs vendeurs. Dans ce cas, l'entité déclarante doit préciser sa contribution actuelle au portefeuille titrisé (équivalant à la colonne 140 en termes relatifs).</w:t>
            </w:r>
          </w:p>
          <w:p w:rsidR="001A6C53" w:rsidRPr="00392FFD" w:rsidRDefault="001A6C53" w:rsidP="008D2F6E">
            <w:pPr>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Ces données seront déclarées même lorsque l'entité déclarante ne détient a</w:t>
            </w:r>
            <w:r>
              <w:rPr>
                <w:rFonts w:ascii="Times New Roman" w:hAnsi="Times New Roman"/>
                <w:sz w:val="24"/>
              </w:rPr>
              <w:t>u</w:t>
            </w:r>
            <w:r>
              <w:rPr>
                <w:rFonts w:ascii="Times New Roman" w:hAnsi="Times New Roman"/>
                <w:sz w:val="24"/>
              </w:rPr>
              <w:t>cune position dans la titrisation.</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t>160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TYPE</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Cette colonne rassemble des données sur le type d'actifs («1» à «8») ou de pa</w:t>
            </w:r>
            <w:r>
              <w:rPr>
                <w:rFonts w:ascii="Times New Roman" w:hAnsi="Times New Roman"/>
                <w:sz w:val="24"/>
              </w:rPr>
              <w:t>s</w:t>
            </w:r>
            <w:r>
              <w:rPr>
                <w:rFonts w:ascii="Times New Roman" w:hAnsi="Times New Roman"/>
                <w:sz w:val="24"/>
              </w:rPr>
              <w:t>sifs («9» et «10») qui composent le portefeuille titrisé. L'établissement me</w:t>
            </w:r>
            <w:r>
              <w:rPr>
                <w:rFonts w:ascii="Times New Roman" w:hAnsi="Times New Roman"/>
                <w:sz w:val="24"/>
              </w:rPr>
              <w:t>n</w:t>
            </w:r>
            <w:r>
              <w:rPr>
                <w:rFonts w:ascii="Times New Roman" w:hAnsi="Times New Roman"/>
                <w:sz w:val="24"/>
              </w:rPr>
              <w:t>tionne un des codes numériques suivants:</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xml:space="preserve">1 - Hypothèques sur un bien immobilier résidentiel; </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xml:space="preserve">2 - Hypothèques sur un bien immobilier commercial; </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xml:space="preserve">3 - Créances sur cartes de crédit; </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xml:space="preserve">4 - Locations ou crédits-bails; </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xml:space="preserve">5 - Prêts à des entreprises ou des PME (considérées comme des entreprises); </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6 - Prêts à la consommation;</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7 - Créances commerciales;</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8 - Autres actifs;</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9 - Obligations garanties;</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10 - Autres passifs.</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Lorsque le panier d'expositions </w:t>
            </w:r>
            <w:proofErr w:type="spellStart"/>
            <w:r>
              <w:rPr>
                <w:rFonts w:ascii="Times New Roman" w:hAnsi="Times New Roman"/>
                <w:sz w:val="24"/>
              </w:rPr>
              <w:t>titrisées</w:t>
            </w:r>
            <w:proofErr w:type="spellEnd"/>
            <w:r>
              <w:rPr>
                <w:rFonts w:ascii="Times New Roman" w:hAnsi="Times New Roman"/>
                <w:sz w:val="24"/>
              </w:rPr>
              <w:t xml:space="preserve"> est un mélange de ces différents types, l'établissement indiquera le type le plus important. Dans le cas des </w:t>
            </w:r>
            <w:proofErr w:type="spellStart"/>
            <w:r>
              <w:rPr>
                <w:rFonts w:ascii="Times New Roman" w:hAnsi="Times New Roman"/>
                <w:sz w:val="24"/>
              </w:rPr>
              <w:t>retitris</w:t>
            </w:r>
            <w:r>
              <w:rPr>
                <w:rFonts w:ascii="Times New Roman" w:hAnsi="Times New Roman"/>
                <w:sz w:val="24"/>
              </w:rPr>
              <w:t>a</w:t>
            </w:r>
            <w:r>
              <w:rPr>
                <w:rFonts w:ascii="Times New Roman" w:hAnsi="Times New Roman"/>
                <w:sz w:val="24"/>
              </w:rPr>
              <w:t>tions</w:t>
            </w:r>
            <w:proofErr w:type="spellEnd"/>
            <w:r>
              <w:rPr>
                <w:rFonts w:ascii="Times New Roman" w:hAnsi="Times New Roman"/>
                <w:sz w:val="24"/>
              </w:rPr>
              <w:t>, l'établissement se rapportera au panier sous-jacent d'actifs ultime. Le type «10» (Autres passifs) comprend les obligations du trésor et les titres liés à des crédits.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En ce qui concerne les dispositifs de titrisation adossés à des paniers fermés, </w:t>
            </w:r>
            <w:r>
              <w:rPr>
                <w:rFonts w:ascii="Times New Roman" w:hAnsi="Times New Roman"/>
                <w:sz w:val="24"/>
              </w:rPr>
              <w:lastRenderedPageBreak/>
              <w:t>leur type ne pourra pas changer entre deux dates de déclaration.</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170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APPROCHE APPLIQUÉE (SA/NI/MIX)</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Cette colonne rassemble des informations sur l'approche que l'établissement appliquerait aux expositions </w:t>
            </w:r>
            <w:proofErr w:type="spellStart"/>
            <w:r>
              <w:rPr>
                <w:rFonts w:ascii="Times New Roman" w:hAnsi="Times New Roman"/>
                <w:sz w:val="24"/>
              </w:rPr>
              <w:t>titrisées</w:t>
            </w:r>
            <w:proofErr w:type="spellEnd"/>
            <w:r>
              <w:rPr>
                <w:rFonts w:ascii="Times New Roman" w:hAnsi="Times New Roman"/>
                <w:sz w:val="24"/>
              </w:rPr>
              <w:t xml:space="preserve"> à la date de déclaration.</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Les abréviations suivantes seront utilisées:</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pour approche standard; </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«I» pour approche fondée sur les notations internes (NI);</w:t>
            </w: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 «M» pour une combinaison des deux approches (standard/NI).</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Si, dans le cadre de l'approche standard, «P» figure à la colonne 050, le calcul des exigences de fonds propres sera déclaré dans le modèle CR SEC SA.</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Si, dans le cadre de l'approche NI, «P» figure à la colonne 050, le calcul des exigences de fonds propres sera déclaré dans le modèle CR SEC IRB.</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Si, dans le cadre d'une combinaison des approches standard/NI, «P» figure à la colonne 050, le calcul des exigences de fonds propres sera déclaré dans le m</w:t>
            </w:r>
            <w:r>
              <w:rPr>
                <w:rFonts w:ascii="Times New Roman" w:hAnsi="Times New Roman"/>
                <w:sz w:val="24"/>
              </w:rPr>
              <w:t>o</w:t>
            </w:r>
            <w:r>
              <w:rPr>
                <w:rFonts w:ascii="Times New Roman" w:hAnsi="Times New Roman"/>
                <w:sz w:val="24"/>
              </w:rPr>
              <w:t>dèle CR SEC SA ainsi que dans le modèle CR SEC IRB.</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Ces données seront déclarées même lorsque l'entité déclarante ne détient a</w:t>
            </w:r>
            <w:r>
              <w:rPr>
                <w:rFonts w:ascii="Times New Roman" w:hAnsi="Times New Roman"/>
                <w:sz w:val="24"/>
              </w:rPr>
              <w:t>u</w:t>
            </w:r>
            <w:r>
              <w:rPr>
                <w:rFonts w:ascii="Times New Roman" w:hAnsi="Times New Roman"/>
                <w:sz w:val="24"/>
              </w:rPr>
              <w:t>cune position dans la titrisation. Cette colonne n'est toutefois pas utilisée pour la titrisation de passifs. Les sponsors ne rempliront pas cette colonne.</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shd w:val="clear" w:color="auto" w:fill="auto"/>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NOMBRE D'EXPOSITIONS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Article 261, point 1, du CRR</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Cette colonne n'est obligatoire que pour les établissements qui appliquent l'a</w:t>
            </w:r>
            <w:r>
              <w:rPr>
                <w:rFonts w:ascii="Times New Roman" w:hAnsi="Times New Roman"/>
                <w:sz w:val="24"/>
              </w:rPr>
              <w:t>p</w:t>
            </w:r>
            <w:r>
              <w:rPr>
                <w:rFonts w:ascii="Times New Roman" w:hAnsi="Times New Roman"/>
                <w:sz w:val="24"/>
              </w:rPr>
              <w:t xml:space="preserve">proche NI aux positions de titrisation (et déclarent dès lors «I» dans la colonne 170). L'établissement indique le nombre effectif d'expositions. </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Cette colonne ne sera pas remplie en cas de titrisation de passifs ou lorsque les exigences de fonds propres sont basées sur les expositions </w:t>
            </w:r>
            <w:proofErr w:type="spellStart"/>
            <w:r>
              <w:rPr>
                <w:rFonts w:ascii="Times New Roman" w:hAnsi="Times New Roman"/>
                <w:sz w:val="24"/>
              </w:rPr>
              <w:t>titrisées</w:t>
            </w:r>
            <w:proofErr w:type="spellEnd"/>
            <w:r>
              <w:rPr>
                <w:rFonts w:ascii="Times New Roman" w:hAnsi="Times New Roman"/>
                <w:sz w:val="24"/>
              </w:rPr>
              <w:t xml:space="preserve"> (en cas de t</w:t>
            </w:r>
            <w:r>
              <w:rPr>
                <w:rFonts w:ascii="Times New Roman" w:hAnsi="Times New Roman"/>
                <w:sz w:val="24"/>
              </w:rPr>
              <w:t>i</w:t>
            </w:r>
            <w:r>
              <w:rPr>
                <w:rFonts w:ascii="Times New Roman" w:hAnsi="Times New Roman"/>
                <w:sz w:val="24"/>
              </w:rPr>
              <w:t>trisation d'actifs). Cette colonne ne sera pas remplie si l'entité déclarante ne d</w:t>
            </w:r>
            <w:r>
              <w:rPr>
                <w:rFonts w:ascii="Times New Roman" w:hAnsi="Times New Roman"/>
                <w:sz w:val="24"/>
              </w:rPr>
              <w:t>é</w:t>
            </w:r>
            <w:r>
              <w:rPr>
                <w:rFonts w:ascii="Times New Roman" w:hAnsi="Times New Roman"/>
                <w:sz w:val="24"/>
              </w:rPr>
              <w:t>tient aucune position dans la titrisation. Cette colonne ne sera pas remplie par les investisseurs.</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shd w:val="clear" w:color="auto" w:fill="auto"/>
          </w:tcPr>
          <w:p w:rsidR="001A6C53" w:rsidRPr="00392FFD" w:rsidDel="00A749EA"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shd w:val="clear" w:color="auto" w:fill="auto"/>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PAYS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 xml:space="preserve">Indiquer le code (ISO 3166-1 alpha-2) du pays d'origine du sous-jacent ultime de l'opération, à savoir le pays du débiteur immédiat des expositions </w:t>
            </w:r>
            <w:proofErr w:type="spellStart"/>
            <w:r>
              <w:rPr>
                <w:rFonts w:ascii="Times New Roman" w:hAnsi="Times New Roman"/>
                <w:sz w:val="24"/>
              </w:rPr>
              <w:t>titrisées</w:t>
            </w:r>
            <w:proofErr w:type="spellEnd"/>
            <w:r>
              <w:rPr>
                <w:rFonts w:ascii="Times New Roman" w:hAnsi="Times New Roman"/>
                <w:sz w:val="24"/>
              </w:rPr>
              <w:t xml:space="preserve"> initiales (approche par transparence). Lorsque le panier de la titrisation se co</w:t>
            </w:r>
            <w:r>
              <w:rPr>
                <w:rFonts w:ascii="Times New Roman" w:hAnsi="Times New Roman"/>
                <w:sz w:val="24"/>
              </w:rPr>
              <w:t>m</w:t>
            </w:r>
            <w:r>
              <w:rPr>
                <w:rFonts w:ascii="Times New Roman" w:hAnsi="Times New Roman"/>
                <w:sz w:val="24"/>
              </w:rPr>
              <w:t>pose de plusieurs pays, l'établissement indique le pays le plus important. Si a</w:t>
            </w:r>
            <w:r>
              <w:rPr>
                <w:rFonts w:ascii="Times New Roman" w:hAnsi="Times New Roman"/>
                <w:sz w:val="24"/>
              </w:rPr>
              <w:t>u</w:t>
            </w:r>
            <w:r>
              <w:rPr>
                <w:rFonts w:ascii="Times New Roman" w:hAnsi="Times New Roman"/>
                <w:sz w:val="24"/>
              </w:rPr>
              <w:t>cun pays n'excède le seuil de 20 % du montant des actifs/passifs, il conviendra d'indiquer «Autres pays».</w:t>
            </w:r>
          </w:p>
          <w:p w:rsidR="001A6C53" w:rsidRPr="00392FFD" w:rsidRDefault="001A6C53" w:rsidP="008D2F6E">
            <w:pPr>
              <w:spacing w:before="0" w:after="0"/>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t>200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 xml:space="preserve">ELGD (%) </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La valeur moyenne, pondérée en fonction de l'exposition, des pertes en cas de défaut (ELGD) ne sera déclarée que par les établissements qui appliquent la </w:t>
            </w:r>
            <w:r>
              <w:rPr>
                <w:rFonts w:ascii="Times New Roman" w:hAnsi="Times New Roman"/>
                <w:sz w:val="24"/>
              </w:rPr>
              <w:lastRenderedPageBreak/>
              <w:t>méthode de la formule prudentielle (et indiquent par conséquent «I» dans la c</w:t>
            </w:r>
            <w:r>
              <w:rPr>
                <w:rFonts w:ascii="Times New Roman" w:hAnsi="Times New Roman"/>
                <w:sz w:val="24"/>
              </w:rPr>
              <w:t>o</w:t>
            </w:r>
            <w:r>
              <w:rPr>
                <w:rFonts w:ascii="Times New Roman" w:hAnsi="Times New Roman"/>
                <w:sz w:val="24"/>
              </w:rPr>
              <w:t>lonne 170). ELGD doit être calculé conformément aux dispositions de l'a</w:t>
            </w:r>
            <w:r>
              <w:rPr>
                <w:rFonts w:ascii="Times New Roman" w:hAnsi="Times New Roman"/>
                <w:sz w:val="24"/>
              </w:rPr>
              <w:t>r</w:t>
            </w:r>
            <w:r>
              <w:rPr>
                <w:rFonts w:ascii="Times New Roman" w:hAnsi="Times New Roman"/>
                <w:sz w:val="24"/>
              </w:rPr>
              <w:t xml:space="preserve">ticle 262, paragraphe 1, du CRR. </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Cette colonne ne sera pas remplie en cas de titrisation de passifs ou lorsque les exigences de fonds propres sont basées sur les expositions </w:t>
            </w:r>
            <w:proofErr w:type="spellStart"/>
            <w:r>
              <w:rPr>
                <w:rFonts w:ascii="Times New Roman" w:hAnsi="Times New Roman"/>
                <w:sz w:val="24"/>
              </w:rPr>
              <w:t>titrisées</w:t>
            </w:r>
            <w:proofErr w:type="spellEnd"/>
            <w:r>
              <w:rPr>
                <w:rFonts w:ascii="Times New Roman" w:hAnsi="Times New Roman"/>
                <w:sz w:val="24"/>
              </w:rPr>
              <w:t xml:space="preserve"> (en cas de t</w:t>
            </w:r>
            <w:r>
              <w:rPr>
                <w:rFonts w:ascii="Times New Roman" w:hAnsi="Times New Roman"/>
                <w:sz w:val="24"/>
              </w:rPr>
              <w:t>i</w:t>
            </w:r>
            <w:r>
              <w:rPr>
                <w:rFonts w:ascii="Times New Roman" w:hAnsi="Times New Roman"/>
                <w:sz w:val="24"/>
              </w:rPr>
              <w:t>trisation d'actifs). Cette colonne ne sera pas remplie non plus si l'entité décl</w:t>
            </w:r>
            <w:r>
              <w:rPr>
                <w:rFonts w:ascii="Times New Roman" w:hAnsi="Times New Roman"/>
                <w:sz w:val="24"/>
              </w:rPr>
              <w:t>a</w:t>
            </w:r>
            <w:r>
              <w:rPr>
                <w:rFonts w:ascii="Times New Roman" w:hAnsi="Times New Roman"/>
                <w:sz w:val="24"/>
              </w:rPr>
              <w:t>rante ne détient aucune position dans la titrisation. Les sponsors ne rempliront pas cette colonne.</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210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 CORRECTIONS DE VALEUR ET PROVISIONS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Corrections de valeur et provisions (article 159 du CRR) pour pertes de crédit, effectuées conformément au référentiel comptable appliqué par l'établissement déclarant. Les corrections de valeur comprennent tout montant comptabilisé dans le compte de correction au titre de pertes de crédit sur des actifs financiers depuis leur première comptabilisation au bilan (y compris les pertes dues au risque de crédit d'actifs financiers mesurés à leur juste valeur, et qui ne seront pas déduites de la valeur exposée au risque), plus les décotes sur les expositions acquises alors qu'elles étaient en défaut, conformément à l'article 166, par</w:t>
            </w:r>
            <w:r>
              <w:rPr>
                <w:rFonts w:ascii="Times New Roman" w:hAnsi="Times New Roman"/>
                <w:sz w:val="24"/>
              </w:rPr>
              <w:t>a</w:t>
            </w:r>
            <w:r>
              <w:rPr>
                <w:rFonts w:ascii="Times New Roman" w:hAnsi="Times New Roman"/>
                <w:sz w:val="24"/>
              </w:rPr>
              <w:t>graphe 1, du CRR. Les provisions comprennent les montants accumulés de pertes de crédit sur des éléments hors bilan.</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Cette colonne rassemble des informations sur les corrections de valeur et les provisions appliquées aux expositions </w:t>
            </w:r>
            <w:proofErr w:type="spellStart"/>
            <w:r>
              <w:rPr>
                <w:rFonts w:ascii="Times New Roman" w:hAnsi="Times New Roman"/>
                <w:sz w:val="24"/>
              </w:rPr>
              <w:t>titrisées</w:t>
            </w:r>
            <w:proofErr w:type="spellEnd"/>
            <w:r>
              <w:rPr>
                <w:rFonts w:ascii="Times New Roman" w:hAnsi="Times New Roman"/>
                <w:sz w:val="24"/>
              </w:rPr>
              <w:t>. Cette colonne ne sera pas re</w:t>
            </w:r>
            <w:r>
              <w:rPr>
                <w:rFonts w:ascii="Times New Roman" w:hAnsi="Times New Roman"/>
                <w:sz w:val="24"/>
              </w:rPr>
              <w:t>m</w:t>
            </w:r>
            <w:r>
              <w:rPr>
                <w:rFonts w:ascii="Times New Roman" w:hAnsi="Times New Roman"/>
                <w:sz w:val="24"/>
              </w:rPr>
              <w:t>plie en cas de titrisation de passifs.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Ces données seront déclarées même lorsque l'entité déclarante ne détient a</w:t>
            </w:r>
            <w:r>
              <w:rPr>
                <w:rFonts w:ascii="Times New Roman" w:hAnsi="Times New Roman"/>
                <w:sz w:val="24"/>
              </w:rPr>
              <w:t>u</w:t>
            </w:r>
            <w:r>
              <w:rPr>
                <w:rFonts w:ascii="Times New Roman" w:hAnsi="Times New Roman"/>
                <w:sz w:val="24"/>
              </w:rPr>
              <w:t xml:space="preserve">cune position dans la titrisation.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sponsors ne rempliront pas cette colonne.</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t>220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EXIGENCES DE FONDS PROPRES AVANT TITRISATION (%)</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Cette colonne contient des données sur les exigences de fonds propres du port</w:t>
            </w:r>
            <w:r>
              <w:rPr>
                <w:rFonts w:ascii="Times New Roman" w:hAnsi="Times New Roman"/>
                <w:sz w:val="24"/>
              </w:rPr>
              <w:t>e</w:t>
            </w:r>
            <w:r>
              <w:rPr>
                <w:rFonts w:ascii="Times New Roman" w:hAnsi="Times New Roman"/>
                <w:sz w:val="24"/>
              </w:rPr>
              <w:t>feuille titrisé, en l'absence de titrisation, et les pertes anticipées associées à ces risques (</w:t>
            </w:r>
            <w:proofErr w:type="spellStart"/>
            <w:r>
              <w:rPr>
                <w:rFonts w:ascii="Times New Roman" w:hAnsi="Times New Roman"/>
                <w:sz w:val="24"/>
              </w:rPr>
              <w:t>K</w:t>
            </w:r>
            <w:r>
              <w:rPr>
                <w:rFonts w:ascii="Times New Roman" w:hAnsi="Times New Roman"/>
                <w:sz w:val="24"/>
                <w:vertAlign w:val="subscript"/>
              </w:rPr>
              <w:t>irb</w:t>
            </w:r>
            <w:proofErr w:type="spellEnd"/>
            <w:r>
              <w:rPr>
                <w:rFonts w:ascii="Times New Roman" w:hAnsi="Times New Roman"/>
                <w:sz w:val="24"/>
              </w:rPr>
              <w:t xml:space="preserve">), sous la forme d'un pourcentage (à deux décimales) du total des expositions </w:t>
            </w:r>
            <w:proofErr w:type="spellStart"/>
            <w:r>
              <w:rPr>
                <w:rFonts w:ascii="Times New Roman" w:hAnsi="Times New Roman"/>
                <w:sz w:val="24"/>
              </w:rPr>
              <w:t>titrisées</w:t>
            </w:r>
            <w:proofErr w:type="spellEnd"/>
            <w:r>
              <w:rPr>
                <w:rFonts w:ascii="Times New Roman" w:hAnsi="Times New Roman"/>
                <w:sz w:val="24"/>
              </w:rPr>
              <w:t xml:space="preserve"> à la date d'initiation. </w:t>
            </w:r>
            <w:proofErr w:type="spellStart"/>
            <w:r>
              <w:rPr>
                <w:rFonts w:ascii="Times New Roman" w:hAnsi="Times New Roman"/>
                <w:sz w:val="24"/>
              </w:rPr>
              <w:t>K</w:t>
            </w:r>
            <w:r>
              <w:rPr>
                <w:rFonts w:ascii="Times New Roman" w:hAnsi="Times New Roman"/>
                <w:sz w:val="24"/>
                <w:vertAlign w:val="subscript"/>
              </w:rPr>
              <w:t>irb</w:t>
            </w:r>
            <w:proofErr w:type="spellEnd"/>
            <w:r>
              <w:rPr>
                <w:rFonts w:ascii="Times New Roman" w:hAnsi="Times New Roman"/>
                <w:sz w:val="24"/>
              </w:rPr>
              <w:t xml:space="preserve"> est défini à l'article 242, point 4, du CRR.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Cette colonne ne sera pas remplie en cas de titrisation de passifs. En cas de t</w:t>
            </w:r>
            <w:r>
              <w:rPr>
                <w:rFonts w:ascii="Times New Roman" w:hAnsi="Times New Roman"/>
                <w:sz w:val="24"/>
              </w:rPr>
              <w:t>i</w:t>
            </w:r>
            <w:r>
              <w:rPr>
                <w:rFonts w:ascii="Times New Roman" w:hAnsi="Times New Roman"/>
                <w:sz w:val="24"/>
              </w:rPr>
              <w:t xml:space="preserve">trisation d'actifs, ces données seront déclarées même lorsque l'entité déclarante ne détient aucune position dans la titrisation.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sponsors ne rempliront pas cette colonne.</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highlight w:val="yellow"/>
              </w:rPr>
            </w:pPr>
            <w:r>
              <w:rPr>
                <w:rFonts w:ascii="Times New Roman" w:hAnsi="Times New Roman"/>
                <w:sz w:val="24"/>
              </w:rPr>
              <w:t>230-300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STRUCTURE DE TITRISATION</w:t>
            </w:r>
          </w:p>
          <w:p w:rsidR="001A6C53" w:rsidRPr="00392FFD" w:rsidRDefault="001A6C53" w:rsidP="008D2F6E">
            <w:pPr>
              <w:autoSpaceDE w:val="0"/>
              <w:autoSpaceDN w:val="0"/>
              <w:adjustRightInd w:val="0"/>
              <w:spacing w:before="0" w:after="0"/>
              <w:jc w:val="left"/>
              <w:rPr>
                <w:rFonts w:ascii="Times New Roman" w:hAnsi="Times New Roman"/>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 bloc de six colonnes rassemble des informations sur la structure de la titris</w:t>
            </w:r>
            <w:r>
              <w:rPr>
                <w:rFonts w:ascii="Times New Roman" w:hAnsi="Times New Roman"/>
                <w:sz w:val="24"/>
              </w:rPr>
              <w:t>a</w:t>
            </w:r>
            <w:r>
              <w:rPr>
                <w:rFonts w:ascii="Times New Roman" w:hAnsi="Times New Roman"/>
                <w:sz w:val="24"/>
              </w:rPr>
              <w:t>tion en fonction des positions au bilan/hors bilan, des tranches (s</w:t>
            </w:r>
            <w:r>
              <w:rPr>
                <w:rFonts w:ascii="Times New Roman" w:hAnsi="Times New Roman"/>
                <w:sz w:val="24"/>
              </w:rPr>
              <w:t>e</w:t>
            </w:r>
            <w:r>
              <w:rPr>
                <w:rFonts w:ascii="Times New Roman" w:hAnsi="Times New Roman"/>
                <w:sz w:val="24"/>
              </w:rPr>
              <w:t xml:space="preserve">nior/mezzanine/ première perte) et de l'échéance.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Dans le cas des titrisations avec plusieurs vendeurs, pour la tranche de première perte, seul le montant correspondant ou attribué à l'établissement déclarant sera déclaré.</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highlight w:val="yellow"/>
              </w:rPr>
            </w:pPr>
            <w:r>
              <w:rPr>
                <w:rFonts w:ascii="Times New Roman" w:hAnsi="Times New Roman"/>
                <w:sz w:val="24"/>
              </w:rPr>
              <w:lastRenderedPageBreak/>
              <w:t>230-250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ÉLÉMENTS DE BILAN</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Ce bloc de colonnes contient des informations sur les éléments au bilan ventilés par tranches (senior/mezzanine/première perte).</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230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SENIOR</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p w:rsidR="001A6C53"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Lorsque la date de référence pour la déclaration est postérieure au 1</w:t>
            </w:r>
            <w:r>
              <w:rPr>
                <w:rFonts w:ascii="Times New Roman" w:hAnsi="Times New Roman"/>
                <w:sz w:val="24"/>
                <w:vertAlign w:val="superscript"/>
              </w:rPr>
              <w:t>er</w:t>
            </w:r>
            <w:r>
              <w:rPr>
                <w:rFonts w:ascii="Times New Roman" w:hAnsi="Times New Roman"/>
                <w:sz w:val="24"/>
              </w:rPr>
              <w:t xml:space="preserve"> janvier 2019, pour les positions de titrisation dont la valeur exposée au risque est calc</w:t>
            </w:r>
            <w:r>
              <w:rPr>
                <w:rFonts w:ascii="Times New Roman" w:hAnsi="Times New Roman"/>
                <w:sz w:val="24"/>
              </w:rPr>
              <w:t>u</w:t>
            </w:r>
            <w:r>
              <w:rPr>
                <w:rFonts w:ascii="Times New Roman" w:hAnsi="Times New Roman"/>
                <w:sz w:val="24"/>
              </w:rPr>
              <w:t>lée conformément au CRR: une position de titrisation telle que définie à l'a</w:t>
            </w:r>
            <w:r>
              <w:rPr>
                <w:rFonts w:ascii="Times New Roman" w:hAnsi="Times New Roman"/>
                <w:sz w:val="24"/>
              </w:rPr>
              <w:t>r</w:t>
            </w:r>
            <w:r>
              <w:rPr>
                <w:rFonts w:ascii="Times New Roman" w:hAnsi="Times New Roman"/>
                <w:sz w:val="24"/>
              </w:rPr>
              <w:t>ticle 242, point 6, du CRR.</w:t>
            </w:r>
          </w:p>
          <w:p w:rsidR="001A6C53"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Pour toutes les autres positions de titrisation: inclure dans cette catégorie toutes les tranches qui ne sont pas éligibles en tant que mezzanine ou première perte conformément au CRR dans sa version applicable au 31 décembre 2018.</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240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p w:rsidR="001A6C53"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Lorsque la date de référence pour la déclaration est postérieure au 1</w:t>
            </w:r>
            <w:r>
              <w:rPr>
                <w:rFonts w:ascii="Times New Roman" w:hAnsi="Times New Roman"/>
                <w:sz w:val="24"/>
                <w:vertAlign w:val="superscript"/>
              </w:rPr>
              <w:t>er</w:t>
            </w:r>
            <w:r>
              <w:rPr>
                <w:rFonts w:ascii="Times New Roman" w:hAnsi="Times New Roman"/>
                <w:sz w:val="24"/>
              </w:rPr>
              <w:t xml:space="preserve"> janvier 2019, pour les positions de titrisation dont la valeur exposée au risque est calc</w:t>
            </w:r>
            <w:r>
              <w:rPr>
                <w:rFonts w:ascii="Times New Roman" w:hAnsi="Times New Roman"/>
                <w:sz w:val="24"/>
              </w:rPr>
              <w:t>u</w:t>
            </w:r>
            <w:r>
              <w:rPr>
                <w:rFonts w:ascii="Times New Roman" w:hAnsi="Times New Roman"/>
                <w:sz w:val="24"/>
              </w:rPr>
              <w:t>lée conformément au CRR:</w:t>
            </w:r>
          </w:p>
          <w:p w:rsidR="001A6C53" w:rsidRDefault="001A6C53" w:rsidP="008D2F6E">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toutes les positions telles que définies à l'article 242, point 18, du CRR;</w:t>
            </w:r>
          </w:p>
          <w:p w:rsidR="001A6C53" w:rsidRDefault="001A6C53" w:rsidP="008D2F6E">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toutes les positions qui ne relèvent pas de l’article 242, point 6) ou point 17), du CRR.</w:t>
            </w:r>
          </w:p>
          <w:p w:rsidR="001A6C53"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Pour toutes les autres positions de titrisation: voir l'article 243, paragraphe 3 (t</w:t>
            </w:r>
            <w:r>
              <w:rPr>
                <w:rFonts w:ascii="Times New Roman" w:hAnsi="Times New Roman"/>
                <w:sz w:val="24"/>
              </w:rPr>
              <w:t>i</w:t>
            </w:r>
            <w:r>
              <w:rPr>
                <w:rFonts w:ascii="Times New Roman" w:hAnsi="Times New Roman"/>
                <w:sz w:val="24"/>
              </w:rPr>
              <w:t>trisations classiques), et l'article 244, paragraphe 3 (titrisations synthétiques), du CRR dans sa version applicable au 31 décembre 2018.</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PREMIÈRE PERTE</w:t>
            </w:r>
          </w:p>
          <w:p w:rsidR="001A6C53" w:rsidRDefault="001A6C53" w:rsidP="008D2F6E">
            <w:pPr>
              <w:autoSpaceDE w:val="0"/>
              <w:autoSpaceDN w:val="0"/>
              <w:adjustRightInd w:val="0"/>
              <w:spacing w:before="0" w:after="0"/>
              <w:jc w:val="left"/>
              <w:rPr>
                <w:rFonts w:ascii="Times New Roman" w:hAnsi="Times New Roman"/>
                <w:b/>
                <w:sz w:val="24"/>
                <w:u w:val="single"/>
              </w:rPr>
            </w:pPr>
          </w:p>
          <w:p w:rsidR="001A6C53"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sz w:val="24"/>
              </w:rPr>
              <w:t>Lorsque la date de référence pour la déclaration est postérieure au 1</w:t>
            </w:r>
            <w:r>
              <w:rPr>
                <w:rFonts w:ascii="Times New Roman" w:hAnsi="Times New Roman"/>
                <w:sz w:val="24"/>
                <w:vertAlign w:val="superscript"/>
              </w:rPr>
              <w:t>er</w:t>
            </w:r>
            <w:r>
              <w:rPr>
                <w:rFonts w:ascii="Times New Roman" w:hAnsi="Times New Roman"/>
                <w:sz w:val="24"/>
              </w:rPr>
              <w:t xml:space="preserve"> janvier 2019, pour les positions de titrisation dont la valeur exposée au risque est calc</w:t>
            </w:r>
            <w:r>
              <w:rPr>
                <w:rFonts w:ascii="Times New Roman" w:hAnsi="Times New Roman"/>
                <w:sz w:val="24"/>
              </w:rPr>
              <w:t>u</w:t>
            </w:r>
            <w:r>
              <w:rPr>
                <w:rFonts w:ascii="Times New Roman" w:hAnsi="Times New Roman"/>
                <w:sz w:val="24"/>
              </w:rPr>
              <w:t>lée conformément au CRR: une position de titrisation telle que définie à l'a</w:t>
            </w:r>
            <w:r>
              <w:rPr>
                <w:rFonts w:ascii="Times New Roman" w:hAnsi="Times New Roman"/>
                <w:sz w:val="24"/>
              </w:rPr>
              <w:t>r</w:t>
            </w:r>
            <w:r>
              <w:rPr>
                <w:rFonts w:ascii="Times New Roman" w:hAnsi="Times New Roman"/>
                <w:sz w:val="24"/>
              </w:rPr>
              <w:t>ticle 242, point 17, du CRR.</w:t>
            </w:r>
          </w:p>
          <w:p w:rsidR="001A6C53"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Pour toutes les autres positions de titrisation: la tranche de première perte est définie à l'article 242, point 15, du CRR dans sa version applicable au 31 d</w:t>
            </w:r>
            <w:r>
              <w:rPr>
                <w:rFonts w:ascii="Times New Roman" w:hAnsi="Times New Roman"/>
                <w:sz w:val="24"/>
              </w:rPr>
              <w:t>é</w:t>
            </w:r>
            <w:r>
              <w:rPr>
                <w:rFonts w:ascii="Times New Roman" w:hAnsi="Times New Roman"/>
                <w:sz w:val="24"/>
              </w:rPr>
              <w:t>cembre 2018.</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260-280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ÉLÉMENTS DE HORS BILAN ET DÉRIVÉS</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Ce bloc de colonnes contient des informations sur les éléments hors bilan et les dérivés ventilés par tranches (senior/mezzanine/première perte).</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On appliquera ici les mêmes critères de classement entre les tranches que ceux </w:t>
            </w:r>
            <w:r>
              <w:rPr>
                <w:rFonts w:ascii="Times New Roman" w:hAnsi="Times New Roman"/>
                <w:sz w:val="24"/>
              </w:rPr>
              <w:lastRenderedPageBreak/>
              <w:t>utilisés pour les éléments au bilan.</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tc>
      </w:tr>
      <w:tr w:rsidR="001A6C53" w:rsidRPr="00392FFD" w:rsidTr="008D2F6E">
        <w:tc>
          <w:tcPr>
            <w:tcW w:w="1101" w:type="dxa"/>
            <w:shd w:val="clear" w:color="auto" w:fill="auto"/>
          </w:tcPr>
          <w:p w:rsidR="001A6C53" w:rsidRPr="00392FFD" w:rsidDel="00304CB1"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290</w:t>
            </w:r>
          </w:p>
        </w:tc>
        <w:tc>
          <w:tcPr>
            <w:tcW w:w="7903" w:type="dxa"/>
            <w:shd w:val="clear" w:color="auto" w:fill="auto"/>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PREMIÈRE DATE DE FIN PRÉVISIBLE</w:t>
            </w:r>
          </w:p>
          <w:p w:rsidR="001A6C53" w:rsidRPr="00392FFD" w:rsidRDefault="001A6C53" w:rsidP="008D2F6E">
            <w:pPr>
              <w:spacing w:before="0" w:after="0"/>
              <w:jc w:val="left"/>
              <w:rPr>
                <w:rFonts w:ascii="Times New Roman" w:hAnsi="Times New Roman"/>
                <w:b/>
                <w:sz w:val="24"/>
                <w:u w:val="single"/>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 xml:space="preserve">Date de fin potentielle de l'ensemble de la titrisation en vertu des clauses du contrat et conditions financières actuellement attendues. En règle générale, il s'agit de la plus proche de ces deux dates: </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la première date à laquelle il est possible d'exercer une option de retrait anticipé (définie à l'article 242, point 2, du CRR), compte tenu de l'échéance de la ou des expositions sous-jacentes, ainsi que de leur coefficient de rembours</w:t>
            </w:r>
            <w:r>
              <w:rPr>
                <w:rFonts w:ascii="Times New Roman" w:hAnsi="Times New Roman"/>
                <w:sz w:val="24"/>
              </w:rPr>
              <w:t>e</w:t>
            </w:r>
            <w:r>
              <w:rPr>
                <w:rFonts w:ascii="Times New Roman" w:hAnsi="Times New Roman"/>
                <w:sz w:val="24"/>
              </w:rPr>
              <w:t xml:space="preserve">ment anticipé ou leurs conditions éventuelles de renégociation; </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la première date à laquelle l'initiateur peut exercer toute autre option de rachat prévue dans les clauses contractuelles de la titrisation, et qui provoqu</w:t>
            </w:r>
            <w:r>
              <w:rPr>
                <w:rFonts w:ascii="Times New Roman" w:hAnsi="Times New Roman"/>
                <w:sz w:val="24"/>
              </w:rPr>
              <w:t>e</w:t>
            </w:r>
            <w:r>
              <w:rPr>
                <w:rFonts w:ascii="Times New Roman" w:hAnsi="Times New Roman"/>
                <w:sz w:val="24"/>
              </w:rPr>
              <w:t>rait le remboursement total de la titrisation.</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 jour, le mois et l'année de la première date de fin prévisible seront déclarés.</w:t>
            </w:r>
            <w:r>
              <w:rPr>
                <w:rFonts w:ascii="Times New Roman" w:hAnsi="Times New Roman"/>
              </w:rPr>
              <w:t xml:space="preserve"> </w:t>
            </w:r>
            <w:r>
              <w:rPr>
                <w:rFonts w:ascii="Times New Roman" w:hAnsi="Times New Roman"/>
                <w:sz w:val="24"/>
              </w:rPr>
              <w:t>Le jour exact sera déclaré si cette information est disponible; autrement, le premier jour du mois sera déclaré.</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shd w:val="clear" w:color="auto" w:fill="auto"/>
          </w:tcPr>
          <w:p w:rsidR="001A6C53" w:rsidRPr="00392FFD" w:rsidDel="00304CB1"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300</w:t>
            </w:r>
          </w:p>
        </w:tc>
        <w:tc>
          <w:tcPr>
            <w:tcW w:w="7903" w:type="dxa"/>
            <w:shd w:val="clear" w:color="auto" w:fill="auto"/>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DATE D'ÉCHÉANCE FINALE LÉGALE</w:t>
            </w:r>
          </w:p>
          <w:p w:rsidR="001A6C53" w:rsidRPr="00392FFD" w:rsidRDefault="001A6C53" w:rsidP="008D2F6E">
            <w:pPr>
              <w:spacing w:before="0" w:after="0"/>
              <w:jc w:val="left"/>
              <w:rPr>
                <w:rFonts w:ascii="Times New Roman" w:hAnsi="Times New Roman"/>
                <w:b/>
                <w:sz w:val="24"/>
                <w:u w:val="single"/>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Date légale à laquelle la totalité du principal et des intérêts de la titrisation doit avoir été remboursée (sur la base des documents de l'opération).</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 jour, le mois et l'année de la date d'échéance finale légale seront déclarés.</w:t>
            </w:r>
            <w:r>
              <w:rPr>
                <w:rFonts w:ascii="Times New Roman" w:hAnsi="Times New Roman"/>
              </w:rPr>
              <w:t xml:space="preserve"> </w:t>
            </w:r>
            <w:r>
              <w:rPr>
                <w:rFonts w:ascii="Times New Roman" w:hAnsi="Times New Roman"/>
                <w:sz w:val="24"/>
              </w:rPr>
              <w:t>Le jour exact sera déclaré si cette information est disponible; autrement, le premier jour du mois sera déclaré.</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310-400</w:t>
            </w:r>
          </w:p>
        </w:tc>
        <w:tc>
          <w:tcPr>
            <w:tcW w:w="7903" w:type="dxa"/>
          </w:tcPr>
          <w:p w:rsidR="001A6C53" w:rsidRPr="001C5CA8" w:rsidRDefault="001A6C53" w:rsidP="008D2F6E">
            <w:pPr>
              <w:spacing w:before="0" w:after="0"/>
              <w:jc w:val="left"/>
              <w:rPr>
                <w:rFonts w:ascii="Times New Roman" w:hAnsi="Times New Roman"/>
                <w:b/>
                <w:sz w:val="24"/>
                <w:u w:val="single"/>
              </w:rPr>
            </w:pPr>
            <w:r>
              <w:rPr>
                <w:rFonts w:ascii="Times New Roman" w:hAnsi="Times New Roman"/>
                <w:b/>
                <w:sz w:val="24"/>
                <w:u w:val="single"/>
              </w:rPr>
              <w:t>POSITIONS DE TITRISATION: EXPOSITION INITIALE AVANT A</w:t>
            </w:r>
            <w:r>
              <w:rPr>
                <w:rFonts w:ascii="Times New Roman" w:hAnsi="Times New Roman"/>
                <w:b/>
                <w:sz w:val="24"/>
                <w:u w:val="single"/>
              </w:rPr>
              <w:t>P</w:t>
            </w:r>
            <w:r>
              <w:rPr>
                <w:rFonts w:ascii="Times New Roman" w:hAnsi="Times New Roman"/>
                <w:b/>
                <w:sz w:val="24"/>
                <w:u w:val="single"/>
              </w:rPr>
              <w:t>PLICATION DES FACTEURS DE CONVERSION</w:t>
            </w:r>
          </w:p>
          <w:p w:rsidR="001A6C53" w:rsidRPr="001C5CA8"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 xml:space="preserve">Ce bloc de colonnes rassemble des informations, à la date de la déclaration, sur les positions de titrisation en fonction des positions au bilan/hors bilan et des tranches (senior/mezzanine/ première perte). </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310-330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 xml:space="preserve">ÉLÉMENTS DE BILAN </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On appliquera ici les mêmes critères de classement entre les tranches que ceux utilisés pour les colonnes 230 à 250.</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340-360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ÉLÉMENTS DE HORS BILAN ET DÉRIVÉS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jc w:val="left"/>
              <w:rPr>
                <w:rFonts w:ascii="Times New Roman" w:hAnsi="Times New Roman"/>
                <w:sz w:val="24"/>
              </w:rPr>
            </w:pPr>
            <w:r>
              <w:rPr>
                <w:rFonts w:ascii="Times New Roman" w:hAnsi="Times New Roman"/>
                <w:sz w:val="24"/>
              </w:rPr>
              <w:t>On appliquera ici les mêmes critères de classement entre les tranches que ceux utilisés pour les colonnes 260 à 280.</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highlight w:val="yellow"/>
              </w:rPr>
            </w:pPr>
            <w:r>
              <w:rPr>
                <w:rFonts w:ascii="Times New Roman" w:hAnsi="Times New Roman"/>
                <w:sz w:val="24"/>
              </w:rPr>
              <w:t>370-400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ÉLÉMENTS POUR MÉMOIRE: ÉLÉMENTS DE HORS BILAN ET DÉRIVÉS</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Ce bloc de colonnes rassemble des informations complémentaires sur le total des éléments hors bilan et des dérivés (qui ont déjà été déclarés selon une autre ventilation dans les colonnes 340-360).</w:t>
            </w:r>
          </w:p>
          <w:p w:rsidR="001A6C53" w:rsidRPr="00392FFD" w:rsidRDefault="001A6C53" w:rsidP="008D2F6E">
            <w:pPr>
              <w:autoSpaceDE w:val="0"/>
              <w:autoSpaceDN w:val="0"/>
              <w:adjustRightInd w:val="0"/>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370</w:t>
            </w:r>
          </w:p>
        </w:tc>
        <w:tc>
          <w:tcPr>
            <w:tcW w:w="7903" w:type="dxa"/>
          </w:tcPr>
          <w:p w:rsidR="001A6C53" w:rsidRPr="00392FFD" w:rsidRDefault="001A6C53" w:rsidP="008D2F6E">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SUBSTITUTS DE CRÉDIT DIRECTS</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p w:rsidR="001A6C53" w:rsidRPr="00392FFD" w:rsidRDefault="001A6C53" w:rsidP="008D2F6E">
            <w:pPr>
              <w:spacing w:before="0" w:after="0"/>
              <w:rPr>
                <w:rFonts w:ascii="Times New Roman" w:hAnsi="Times New Roman"/>
                <w:sz w:val="24"/>
              </w:rPr>
            </w:pPr>
            <w:r>
              <w:rPr>
                <w:rFonts w:ascii="Times New Roman" w:hAnsi="Times New Roman"/>
                <w:sz w:val="24"/>
              </w:rPr>
              <w:t>Cette colonne est utilisée pour les positions de titrisation détenues par l'initi</w:t>
            </w:r>
            <w:r>
              <w:rPr>
                <w:rFonts w:ascii="Times New Roman" w:hAnsi="Times New Roman"/>
                <w:sz w:val="24"/>
              </w:rPr>
              <w:t>a</w:t>
            </w:r>
            <w:r>
              <w:rPr>
                <w:rFonts w:ascii="Times New Roman" w:hAnsi="Times New Roman"/>
                <w:sz w:val="24"/>
              </w:rPr>
              <w:t>teur et garanties par des substituts de crédit direct.</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Conformément à l'annexe I du CRR, les éléments hors bilan suivants, prése</w:t>
            </w:r>
            <w:r>
              <w:rPr>
                <w:rFonts w:ascii="Times New Roman" w:hAnsi="Times New Roman"/>
                <w:sz w:val="24"/>
              </w:rPr>
              <w:t>n</w:t>
            </w:r>
            <w:r>
              <w:rPr>
                <w:rFonts w:ascii="Times New Roman" w:hAnsi="Times New Roman"/>
                <w:sz w:val="24"/>
              </w:rPr>
              <w:t>tant un risque élevé, sont considérés comme des substituts de crédit direct:</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i/>
                <w:sz w:val="24"/>
              </w:rPr>
            </w:pPr>
            <w:r>
              <w:rPr>
                <w:rFonts w:ascii="Times New Roman" w:hAnsi="Times New Roman"/>
                <w:i/>
                <w:sz w:val="24"/>
              </w:rPr>
              <w:t>- cautionnements constituant des substituts de crédits;</w:t>
            </w:r>
          </w:p>
          <w:p w:rsidR="001A6C53" w:rsidRPr="00392FFD" w:rsidRDefault="001A6C53" w:rsidP="008D2F6E">
            <w:pPr>
              <w:spacing w:before="0" w:after="0"/>
              <w:rPr>
                <w:rFonts w:ascii="Times New Roman" w:hAnsi="Times New Roman"/>
                <w:i/>
                <w:sz w:val="24"/>
              </w:rPr>
            </w:pPr>
            <w:r>
              <w:rPr>
                <w:rFonts w:ascii="Times New Roman" w:hAnsi="Times New Roman"/>
                <w:i/>
                <w:sz w:val="24"/>
              </w:rPr>
              <w:t>- lettres de crédit stand-by irrévocables constituant des substituts de crédit.</w:t>
            </w:r>
          </w:p>
          <w:p w:rsidR="001A6C53" w:rsidRPr="00392FFD" w:rsidRDefault="001A6C53" w:rsidP="008D2F6E">
            <w:pPr>
              <w:autoSpaceDE w:val="0"/>
              <w:autoSpaceDN w:val="0"/>
              <w:adjustRightInd w:val="0"/>
              <w:spacing w:before="0" w:after="0"/>
              <w:jc w:val="left"/>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IRS / CRS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 xml:space="preserve">IRS est l'abréviation de </w:t>
            </w:r>
            <w:proofErr w:type="spellStart"/>
            <w:r>
              <w:rPr>
                <w:rFonts w:ascii="Times New Roman" w:hAnsi="Times New Roman"/>
                <w:sz w:val="24"/>
              </w:rPr>
              <w:t>Interest</w:t>
            </w:r>
            <w:proofErr w:type="spellEnd"/>
            <w:r>
              <w:rPr>
                <w:rFonts w:ascii="Times New Roman" w:hAnsi="Times New Roman"/>
                <w:sz w:val="24"/>
              </w:rPr>
              <w:t xml:space="preserve"> Rate Swaps (contrats d'échange de taux d'int</w:t>
            </w:r>
            <w:r>
              <w:rPr>
                <w:rFonts w:ascii="Times New Roman" w:hAnsi="Times New Roman"/>
                <w:sz w:val="24"/>
              </w:rPr>
              <w:t>é</w:t>
            </w:r>
            <w:r>
              <w:rPr>
                <w:rFonts w:ascii="Times New Roman" w:hAnsi="Times New Roman"/>
                <w:sz w:val="24"/>
              </w:rPr>
              <w:t xml:space="preserve">rêt) et CRS de </w:t>
            </w:r>
            <w:proofErr w:type="spellStart"/>
            <w:r>
              <w:rPr>
                <w:rFonts w:ascii="Times New Roman" w:hAnsi="Times New Roman"/>
                <w:sz w:val="24"/>
              </w:rPr>
              <w:t>Currency</w:t>
            </w:r>
            <w:proofErr w:type="spellEnd"/>
            <w:r>
              <w:rPr>
                <w:rFonts w:ascii="Times New Roman" w:hAnsi="Times New Roman"/>
                <w:sz w:val="24"/>
              </w:rPr>
              <w:t xml:space="preserve"> Rate Swaps (contrats d'échange de devises). Ces dér</w:t>
            </w:r>
            <w:r>
              <w:rPr>
                <w:rFonts w:ascii="Times New Roman" w:hAnsi="Times New Roman"/>
                <w:sz w:val="24"/>
              </w:rPr>
              <w:t>i</w:t>
            </w:r>
            <w:r>
              <w:rPr>
                <w:rFonts w:ascii="Times New Roman" w:hAnsi="Times New Roman"/>
                <w:sz w:val="24"/>
              </w:rPr>
              <w:t>vés figurent sur la liste de l'annexe II du CRR.</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FACILITÉS DE TRÉSORERIE (FT) ÉLIGIBLES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Les facilités de trésorerie (FT) définies à l'article 242, point 3, du CRR doivent satisfaire à 6 conditions énoncées à l'article 255, paragraphe 1, du CRR pour être considérées comme éligibles (quelle que soit la méthode appliquée par l'établissement, standard ou NI).</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AUTRES (Y COMPRIS FT NON ÉLIGIBLES)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Cette colonne est réservée au reste des éléments hors bilan, notamment les fac</w:t>
            </w:r>
            <w:r>
              <w:rPr>
                <w:rFonts w:ascii="Times New Roman" w:hAnsi="Times New Roman"/>
                <w:sz w:val="24"/>
              </w:rPr>
              <w:t>i</w:t>
            </w:r>
            <w:r>
              <w:rPr>
                <w:rFonts w:ascii="Times New Roman" w:hAnsi="Times New Roman"/>
                <w:sz w:val="24"/>
              </w:rPr>
              <w:t>lités de trésorerie non éligibles (c'est-à-dire celles qui ne remplissent pas les conditions énoncées à l'article 255, paragraphe 1, du CRR).</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shd w:val="clear" w:color="auto" w:fill="auto"/>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shd w:val="clear" w:color="auto" w:fill="auto"/>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REMBOURSEMENT ANTICIPÉ: FACTEUR DE CONVERSION A</w:t>
            </w:r>
            <w:r>
              <w:rPr>
                <w:rFonts w:ascii="Times New Roman" w:hAnsi="Times New Roman"/>
                <w:b/>
                <w:sz w:val="24"/>
                <w:u w:val="single"/>
              </w:rPr>
              <w:t>P</w:t>
            </w:r>
            <w:r>
              <w:rPr>
                <w:rFonts w:ascii="Times New Roman" w:hAnsi="Times New Roman"/>
                <w:b/>
                <w:sz w:val="24"/>
                <w:u w:val="single"/>
              </w:rPr>
              <w:t>PLIQUÉ</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tabs>
                <w:tab w:val="left" w:pos="5828"/>
              </w:tabs>
              <w:spacing w:before="0" w:after="0"/>
              <w:rPr>
                <w:rFonts w:ascii="Times New Roman" w:hAnsi="Times New Roman"/>
                <w:sz w:val="24"/>
              </w:rPr>
            </w:pPr>
            <w:r>
              <w:rPr>
                <w:rFonts w:ascii="Times New Roman" w:hAnsi="Times New Roman"/>
                <w:sz w:val="24"/>
              </w:rPr>
              <w:t>L'article 242, point 12, l'article 256, paragraphe 5 (approche standard), et l'a</w:t>
            </w:r>
            <w:r>
              <w:rPr>
                <w:rFonts w:ascii="Times New Roman" w:hAnsi="Times New Roman"/>
                <w:sz w:val="24"/>
              </w:rPr>
              <w:t>r</w:t>
            </w:r>
            <w:r>
              <w:rPr>
                <w:rFonts w:ascii="Times New Roman" w:hAnsi="Times New Roman"/>
                <w:sz w:val="24"/>
              </w:rPr>
              <w:t>ticle 265, paragraphe 1 (approche NI), du CRR prévoient un ensemble de fa</w:t>
            </w:r>
            <w:r>
              <w:rPr>
                <w:rFonts w:ascii="Times New Roman" w:hAnsi="Times New Roman"/>
                <w:sz w:val="24"/>
              </w:rPr>
              <w:t>c</w:t>
            </w:r>
            <w:r>
              <w:rPr>
                <w:rFonts w:ascii="Times New Roman" w:hAnsi="Times New Roman"/>
                <w:sz w:val="24"/>
              </w:rPr>
              <w:t>teurs de conversion à appliquer au montant des intérêts des investisseurs (afin de calculer les montants d'exposition pondérés).</w:t>
            </w:r>
          </w:p>
          <w:p w:rsidR="001A6C53" w:rsidRPr="00392FFD" w:rsidRDefault="001A6C53" w:rsidP="008D2F6E">
            <w:pPr>
              <w:tabs>
                <w:tab w:val="left" w:pos="5828"/>
              </w:tabs>
              <w:spacing w:before="0" w:after="0"/>
              <w:rPr>
                <w:rFonts w:ascii="Times New Roman" w:hAnsi="Times New Roman"/>
                <w:sz w:val="24"/>
              </w:rPr>
            </w:pPr>
          </w:p>
          <w:p w:rsidR="001A6C53" w:rsidRPr="00392FFD" w:rsidRDefault="001A6C53" w:rsidP="008D2F6E">
            <w:pPr>
              <w:tabs>
                <w:tab w:val="left" w:pos="5828"/>
              </w:tabs>
              <w:spacing w:before="0" w:after="0"/>
              <w:rPr>
                <w:rFonts w:ascii="Times New Roman" w:hAnsi="Times New Roman"/>
                <w:sz w:val="24"/>
              </w:rPr>
            </w:pPr>
            <w:r>
              <w:rPr>
                <w:rFonts w:ascii="Times New Roman" w:hAnsi="Times New Roman"/>
                <w:sz w:val="24"/>
              </w:rPr>
              <w:t>Cette colonne est utilisée pour les dispositifs de titrisation comportant une clause de remboursement anticipé (à savoir les titrisations renouvelables).</w:t>
            </w:r>
          </w:p>
          <w:p w:rsidR="001A6C53" w:rsidRPr="00392FFD" w:rsidRDefault="001A6C53" w:rsidP="008D2F6E">
            <w:pPr>
              <w:tabs>
                <w:tab w:val="left" w:pos="5828"/>
              </w:tabs>
              <w:spacing w:before="0" w:after="0"/>
              <w:rPr>
                <w:rFonts w:ascii="Times New Roman" w:hAnsi="Times New Roman"/>
                <w:sz w:val="24"/>
              </w:rPr>
            </w:pPr>
          </w:p>
          <w:p w:rsidR="001A6C53" w:rsidRPr="00392FFD" w:rsidRDefault="001A6C53" w:rsidP="008D2F6E">
            <w:pPr>
              <w:tabs>
                <w:tab w:val="left" w:pos="5828"/>
              </w:tabs>
              <w:spacing w:before="0" w:after="0"/>
              <w:rPr>
                <w:rFonts w:ascii="Times New Roman" w:hAnsi="Times New Roman"/>
                <w:sz w:val="24"/>
              </w:rPr>
            </w:pPr>
            <w:r>
              <w:rPr>
                <w:rFonts w:ascii="Times New Roman" w:hAnsi="Times New Roman"/>
                <w:sz w:val="24"/>
              </w:rPr>
              <w:t>Conformément à l'article 256, paragraphe 6, du CRR, le facteur de conversion à appliquer sera déterminé par le niveau de la marge nette moyenne sur trois mois.</w:t>
            </w:r>
          </w:p>
          <w:p w:rsidR="001A6C53" w:rsidRPr="00392FFD" w:rsidRDefault="001A6C53" w:rsidP="008D2F6E">
            <w:pPr>
              <w:tabs>
                <w:tab w:val="left" w:pos="5828"/>
              </w:tabs>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 xml:space="preserve">Dans le cas des titrisations de passifs, cette colonne ne sera pas remplie. Ces </w:t>
            </w:r>
            <w:r>
              <w:rPr>
                <w:rFonts w:ascii="Times New Roman" w:hAnsi="Times New Roman"/>
                <w:sz w:val="24"/>
              </w:rPr>
              <w:lastRenderedPageBreak/>
              <w:t>données sont liées à la ligne 100 du modèle CR SEC SA et à la ligne 160 du modèle CR SEC IRB.</w:t>
            </w:r>
          </w:p>
          <w:p w:rsidR="001A6C53" w:rsidRPr="00392FFD" w:rsidRDefault="001A6C53" w:rsidP="008D2F6E">
            <w:pPr>
              <w:spacing w:before="0" w:after="0"/>
              <w:jc w:val="left"/>
              <w:rPr>
                <w:rFonts w:ascii="Times New Roman" w:hAnsi="Times New Roman"/>
                <w:b/>
                <w:sz w:val="24"/>
                <w:u w:val="single"/>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420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 VALEUR EXPOSÉE DÉDUITE DES FONDS PROPRES</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Ces données sont étroitement liées à la colonne 200 du modèle CR SEC SA et à la colonne 180 du modèle CR SEC IRB.</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Cette colonne contiendra une valeur négative.</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Del="00304CB1"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430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MONTANT TOTAL D'EXPOSITION PONDÉRÉ AVANT APPLIC</w:t>
            </w:r>
            <w:r>
              <w:rPr>
                <w:rFonts w:ascii="Times New Roman" w:hAnsi="Times New Roman"/>
                <w:b/>
                <w:sz w:val="24"/>
                <w:u w:val="single"/>
              </w:rPr>
              <w:t>A</w:t>
            </w:r>
            <w:r>
              <w:rPr>
                <w:rFonts w:ascii="Times New Roman" w:hAnsi="Times New Roman"/>
                <w:b/>
                <w:sz w:val="24"/>
                <w:u w:val="single"/>
              </w:rPr>
              <w:t>TION DU PLAFOND</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Cette colonne contient des informations sur le montant d'exposition pondéré avant plafonnement applicable aux positions de titrisation (soit dans le cas de dispositifs de titrisation avec transfert de risque significatif). Dans le cas de di</w:t>
            </w:r>
            <w:r>
              <w:rPr>
                <w:rFonts w:ascii="Times New Roman" w:hAnsi="Times New Roman"/>
                <w:sz w:val="24"/>
              </w:rPr>
              <w:t>s</w:t>
            </w:r>
            <w:r>
              <w:rPr>
                <w:rFonts w:ascii="Times New Roman" w:hAnsi="Times New Roman"/>
                <w:sz w:val="24"/>
              </w:rPr>
              <w:t xml:space="preserve">positifs de titrisation sans transfert de risque significatif (à savoir le montant d'exposition pondéré calculé en fonction des expositions </w:t>
            </w:r>
            <w:proofErr w:type="spellStart"/>
            <w:r>
              <w:rPr>
                <w:rFonts w:ascii="Times New Roman" w:hAnsi="Times New Roman"/>
                <w:sz w:val="24"/>
              </w:rPr>
              <w:t>titrisées</w:t>
            </w:r>
            <w:proofErr w:type="spellEnd"/>
            <w:r>
              <w:rPr>
                <w:rFonts w:ascii="Times New Roman" w:hAnsi="Times New Roman"/>
                <w:sz w:val="24"/>
              </w:rPr>
              <w:t>), aucune do</w:t>
            </w:r>
            <w:r>
              <w:rPr>
                <w:rFonts w:ascii="Times New Roman" w:hAnsi="Times New Roman"/>
                <w:sz w:val="24"/>
              </w:rPr>
              <w:t>n</w:t>
            </w:r>
            <w:r>
              <w:rPr>
                <w:rFonts w:ascii="Times New Roman" w:hAnsi="Times New Roman"/>
                <w:sz w:val="24"/>
              </w:rPr>
              <w:t>née ne sera déclarée dans cette colonne.</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jc w:val="left"/>
              <w:rPr>
                <w:rFonts w:ascii="Times New Roman" w:hAnsi="Times New Roman"/>
                <w:b/>
                <w:sz w:val="24"/>
                <w:u w:val="single"/>
              </w:rPr>
            </w:pPr>
            <w:r>
              <w:rPr>
                <w:rFonts w:ascii="Times New Roman" w:hAnsi="Times New Roman"/>
                <w:sz w:val="24"/>
              </w:rPr>
              <w:t xml:space="preserve">Dans le cas des titrisations de passifs, cette colonne ne sera pas remplie. </w:t>
            </w: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440</w:t>
            </w:r>
          </w:p>
        </w:tc>
        <w:tc>
          <w:tcPr>
            <w:tcW w:w="7903" w:type="dxa"/>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MONTANT TOTAL D'EXPOSITION PONDÉRÉ APRÈS APPLIC</w:t>
            </w:r>
            <w:r>
              <w:rPr>
                <w:rFonts w:ascii="Times New Roman" w:hAnsi="Times New Roman"/>
                <w:b/>
                <w:sz w:val="24"/>
                <w:u w:val="single"/>
              </w:rPr>
              <w:t>A</w:t>
            </w:r>
            <w:r>
              <w:rPr>
                <w:rFonts w:ascii="Times New Roman" w:hAnsi="Times New Roman"/>
                <w:b/>
                <w:sz w:val="24"/>
                <w:u w:val="single"/>
              </w:rPr>
              <w:t>TION DU PLAFOND</w:t>
            </w:r>
          </w:p>
          <w:p w:rsidR="001A6C53" w:rsidRPr="00392FFD" w:rsidRDefault="001A6C53" w:rsidP="008D2F6E">
            <w:pPr>
              <w:spacing w:before="0" w:after="0"/>
              <w:jc w:val="left"/>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Cette colonne contient des informations sur le montant d'exposition pondéré après plafonnement, applicable aux positions de titrisation (soit dans le cas de dispositifs de titrisation avec transfert de risque significatif). Dans le cas de di</w:t>
            </w:r>
            <w:r>
              <w:rPr>
                <w:rFonts w:ascii="Times New Roman" w:hAnsi="Times New Roman"/>
                <w:sz w:val="24"/>
              </w:rPr>
              <w:t>s</w:t>
            </w:r>
            <w:r>
              <w:rPr>
                <w:rFonts w:ascii="Times New Roman" w:hAnsi="Times New Roman"/>
                <w:sz w:val="24"/>
              </w:rPr>
              <w:t xml:space="preserve">positifs de titrisation sans transfert de risque significatif (à savoir les exigences de fonds propres calculées en fonction des expositions </w:t>
            </w:r>
            <w:proofErr w:type="spellStart"/>
            <w:r>
              <w:rPr>
                <w:rFonts w:ascii="Times New Roman" w:hAnsi="Times New Roman"/>
                <w:sz w:val="24"/>
              </w:rPr>
              <w:t>titrisées</w:t>
            </w:r>
            <w:proofErr w:type="spellEnd"/>
            <w:r>
              <w:rPr>
                <w:rFonts w:ascii="Times New Roman" w:hAnsi="Times New Roman"/>
                <w:sz w:val="24"/>
              </w:rPr>
              <w:t>), aucune donnée ne sera déclarée dans cette colonne.</w:t>
            </w:r>
          </w:p>
          <w:p w:rsidR="001A6C53" w:rsidRPr="00392FFD" w:rsidRDefault="001A6C53" w:rsidP="008D2F6E">
            <w:pPr>
              <w:spacing w:before="0" w:after="0"/>
              <w:rPr>
                <w:rFonts w:ascii="Times New Roman" w:hAnsi="Times New Roman"/>
                <w:sz w:val="24"/>
              </w:rPr>
            </w:pPr>
          </w:p>
          <w:p w:rsidR="001A6C53" w:rsidRPr="00392FFD" w:rsidRDefault="001A6C53" w:rsidP="008D2F6E">
            <w:pPr>
              <w:spacing w:before="0" w:after="0"/>
              <w:rPr>
                <w:rFonts w:ascii="Times New Roman" w:hAnsi="Times New Roman"/>
                <w:sz w:val="24"/>
              </w:rPr>
            </w:pPr>
            <w:r>
              <w:rPr>
                <w:rFonts w:ascii="Times New Roman" w:hAnsi="Times New Roman"/>
                <w:sz w:val="24"/>
              </w:rPr>
              <w:t xml:space="preserve">Dans le cas des titrisations de passifs, cette colonne ne sera pas remplie. </w:t>
            </w:r>
          </w:p>
          <w:p w:rsidR="001A6C53" w:rsidRPr="00392FFD" w:rsidRDefault="001A6C53" w:rsidP="008D2F6E">
            <w:pPr>
              <w:spacing w:before="0" w:after="0"/>
              <w:jc w:val="left"/>
              <w:rPr>
                <w:rFonts w:ascii="Times New Roman" w:hAnsi="Times New Roman"/>
                <w:sz w:val="24"/>
              </w:rPr>
            </w:pPr>
          </w:p>
        </w:tc>
      </w:tr>
      <w:tr w:rsidR="001A6C53" w:rsidRPr="00392FFD" w:rsidTr="008D2F6E">
        <w:tc>
          <w:tcPr>
            <w:tcW w:w="110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445</w:t>
            </w:r>
          </w:p>
        </w:tc>
        <w:tc>
          <w:tcPr>
            <w:tcW w:w="7903" w:type="dxa"/>
          </w:tcPr>
          <w:p w:rsidR="001A6C53" w:rsidRDefault="001A6C53" w:rsidP="008D2F6E">
            <w:pPr>
              <w:spacing w:before="0" w:after="0"/>
              <w:jc w:val="left"/>
              <w:rPr>
                <w:rFonts w:ascii="Times New Roman" w:hAnsi="Times New Roman"/>
                <w:b/>
                <w:sz w:val="24"/>
                <w:u w:val="single"/>
              </w:rPr>
            </w:pPr>
            <w:r>
              <w:rPr>
                <w:rFonts w:ascii="Times New Roman" w:hAnsi="Times New Roman"/>
                <w:b/>
                <w:sz w:val="24"/>
                <w:u w:val="single"/>
              </w:rPr>
              <w:t xml:space="preserve">APPROCHE </w:t>
            </w:r>
          </w:p>
          <w:p w:rsidR="001A6C53" w:rsidRDefault="001A6C53" w:rsidP="008D2F6E">
            <w:pPr>
              <w:spacing w:before="0" w:after="0"/>
              <w:jc w:val="left"/>
              <w:rPr>
                <w:rFonts w:ascii="Times New Roman" w:hAnsi="Times New Roman"/>
                <w:sz w:val="24"/>
              </w:rPr>
            </w:pPr>
          </w:p>
          <w:p w:rsidR="001A6C53" w:rsidRDefault="001A6C53" w:rsidP="008D2F6E">
            <w:pPr>
              <w:spacing w:before="0" w:after="0"/>
              <w:jc w:val="left"/>
              <w:rPr>
                <w:rFonts w:ascii="Times New Roman" w:hAnsi="Times New Roman"/>
                <w:sz w:val="24"/>
              </w:rPr>
            </w:pPr>
            <w:r>
              <w:rPr>
                <w:rFonts w:ascii="Times New Roman" w:hAnsi="Times New Roman"/>
                <w:sz w:val="24"/>
              </w:rPr>
              <w:t>Dans cette colonne, il convient d’indiquer l'approche utilisée pour déterminer le montant total d’exposition au risque déclaré dans la colonne 440.</w:t>
            </w:r>
          </w:p>
          <w:p w:rsidR="001A6C53" w:rsidRDefault="001A6C53" w:rsidP="008D2F6E">
            <w:pPr>
              <w:spacing w:before="0" w:after="0"/>
              <w:jc w:val="left"/>
              <w:rPr>
                <w:rFonts w:ascii="Times New Roman" w:hAnsi="Times New Roman"/>
                <w:sz w:val="24"/>
              </w:rPr>
            </w:pPr>
          </w:p>
          <w:p w:rsidR="001A6C53" w:rsidRDefault="001A6C53" w:rsidP="008D2F6E">
            <w:pPr>
              <w:spacing w:before="0" w:after="0"/>
              <w:jc w:val="left"/>
              <w:rPr>
                <w:rFonts w:ascii="Times New Roman" w:hAnsi="Times New Roman"/>
                <w:sz w:val="24"/>
              </w:rPr>
            </w:pPr>
            <w:r>
              <w:rPr>
                <w:rFonts w:ascii="Times New Roman" w:hAnsi="Times New Roman"/>
                <w:sz w:val="24"/>
              </w:rPr>
              <w:t>Cette approche doit être l'une des suivantes:</w:t>
            </w:r>
          </w:p>
          <w:p w:rsidR="001A6C53" w:rsidRPr="006B4AC8" w:rsidRDefault="001A6C53" w:rsidP="008D2F6E">
            <w:pPr>
              <w:spacing w:before="0" w:after="0"/>
              <w:jc w:val="left"/>
              <w:rPr>
                <w:rFonts w:ascii="Times New Roman" w:hAnsi="Times New Roman"/>
                <w:sz w:val="24"/>
              </w:rPr>
            </w:pPr>
          </w:p>
          <w:p w:rsidR="001A6C53" w:rsidRPr="006B4AC8" w:rsidRDefault="001A6C53" w:rsidP="008D2F6E">
            <w:pPr>
              <w:spacing w:before="0" w:after="0"/>
              <w:jc w:val="left"/>
              <w:rPr>
                <w:rFonts w:ascii="Times New Roman" w:hAnsi="Times New Roman"/>
                <w:i/>
                <w:sz w:val="24"/>
              </w:rPr>
            </w:pPr>
            <w:r>
              <w:rPr>
                <w:rFonts w:ascii="Times New Roman" w:hAnsi="Times New Roman"/>
                <w:i/>
                <w:sz w:val="24"/>
              </w:rPr>
              <w:t>Pour les positions de titrisation dont le montant d’exposition pondéré est calc</w:t>
            </w:r>
            <w:r>
              <w:rPr>
                <w:rFonts w:ascii="Times New Roman" w:hAnsi="Times New Roman"/>
                <w:i/>
                <w:sz w:val="24"/>
              </w:rPr>
              <w:t>u</w:t>
            </w:r>
            <w:r>
              <w:rPr>
                <w:rFonts w:ascii="Times New Roman" w:hAnsi="Times New Roman"/>
                <w:i/>
                <w:sz w:val="24"/>
              </w:rPr>
              <w:t>lé conformément au CRR dans sa version applicable au 31 décembre 2018</w:t>
            </w:r>
          </w:p>
          <w:p w:rsidR="001A6C53" w:rsidRPr="006B4AC8" w:rsidRDefault="001A6C53" w:rsidP="008D2F6E">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Autre (cadre relatif à la titrisation initial)</w:t>
            </w:r>
          </w:p>
          <w:p w:rsidR="001A6C53" w:rsidRPr="006B4AC8" w:rsidRDefault="001A6C53" w:rsidP="008D2F6E">
            <w:pPr>
              <w:spacing w:before="0" w:after="0"/>
              <w:jc w:val="left"/>
              <w:rPr>
                <w:rFonts w:ascii="Times New Roman" w:hAnsi="Times New Roman"/>
                <w:b/>
                <w:sz w:val="24"/>
                <w:u w:val="single"/>
              </w:rPr>
            </w:pPr>
          </w:p>
          <w:p w:rsidR="001A6C53" w:rsidRPr="006B4AC8" w:rsidRDefault="001A6C53" w:rsidP="008D2F6E">
            <w:pPr>
              <w:autoSpaceDE w:val="0"/>
              <w:autoSpaceDN w:val="0"/>
              <w:adjustRightInd w:val="0"/>
              <w:spacing w:before="0" w:after="0"/>
              <w:jc w:val="left"/>
              <w:rPr>
                <w:rFonts w:ascii="Times New Roman" w:hAnsi="Times New Roman"/>
                <w:i/>
                <w:sz w:val="24"/>
              </w:rPr>
            </w:pPr>
            <w:r>
              <w:rPr>
                <w:rFonts w:ascii="Times New Roman" w:hAnsi="Times New Roman"/>
                <w:i/>
                <w:sz w:val="24"/>
              </w:rPr>
              <w:t>Lorsque la date de référence pour la déclaration est postérieure au 1</w:t>
            </w:r>
            <w:r>
              <w:rPr>
                <w:rFonts w:ascii="Times New Roman" w:hAnsi="Times New Roman"/>
                <w:i/>
                <w:sz w:val="24"/>
                <w:vertAlign w:val="superscript"/>
              </w:rPr>
              <w:t>er</w:t>
            </w:r>
            <w:r>
              <w:rPr>
                <w:rFonts w:ascii="Times New Roman" w:hAnsi="Times New Roman"/>
                <w:i/>
                <w:sz w:val="24"/>
              </w:rPr>
              <w:t xml:space="preserve"> janvier 2019, pour les positions de titrisation dont le montant d’exposition pondéré est calculé conformément au CRR:</w:t>
            </w:r>
          </w:p>
          <w:p w:rsidR="001A6C53" w:rsidRDefault="001A6C53" w:rsidP="008D2F6E">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rsidR="001A6C53" w:rsidRDefault="001A6C53" w:rsidP="008D2F6E">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rsidR="001A6C53" w:rsidRPr="009068C9" w:rsidRDefault="001A6C53" w:rsidP="008D2F6E">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SEC-ERBA</w:t>
            </w:r>
          </w:p>
          <w:p w:rsidR="001A6C53" w:rsidRDefault="001A6C53" w:rsidP="008D2F6E">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APPROCHE PAR ÉVALUATION INTERNE</w:t>
            </w:r>
          </w:p>
          <w:p w:rsidR="001A6C53" w:rsidRDefault="001A6C53" w:rsidP="008D2F6E">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1 250 % pour les positions ne relevant d'aucune méthode (article 254, par</w:t>
            </w:r>
            <w:r>
              <w:rPr>
                <w:rFonts w:ascii="Times New Roman" w:hAnsi="Times New Roman"/>
                <w:sz w:val="24"/>
              </w:rPr>
              <w:t>a</w:t>
            </w:r>
            <w:r>
              <w:rPr>
                <w:rFonts w:ascii="Times New Roman" w:hAnsi="Times New Roman"/>
                <w:sz w:val="24"/>
              </w:rPr>
              <w:t>graphe 7, du CRR)</w:t>
            </w:r>
          </w:p>
          <w:p w:rsidR="001A6C53" w:rsidRDefault="001A6C53" w:rsidP="008D2F6E">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Approches multiples</w:t>
            </w:r>
          </w:p>
          <w:p w:rsidR="001A6C53"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De même que lors de la détermination des pondérations de risque conform</w:t>
            </w:r>
            <w:r>
              <w:rPr>
                <w:rFonts w:ascii="Times New Roman" w:hAnsi="Times New Roman"/>
                <w:sz w:val="24"/>
              </w:rPr>
              <w:t>é</w:t>
            </w:r>
            <w:r>
              <w:rPr>
                <w:rFonts w:ascii="Times New Roman" w:hAnsi="Times New Roman"/>
                <w:sz w:val="24"/>
              </w:rPr>
              <w:t>ment à l’article 337 du CRR, pour les instruments du portefeuille de négoci</w:t>
            </w:r>
            <w:r>
              <w:rPr>
                <w:rFonts w:ascii="Times New Roman" w:hAnsi="Times New Roman"/>
                <w:sz w:val="24"/>
              </w:rPr>
              <w:t>a</w:t>
            </w:r>
            <w:r>
              <w:rPr>
                <w:rFonts w:ascii="Times New Roman" w:hAnsi="Times New Roman"/>
                <w:sz w:val="24"/>
              </w:rPr>
              <w:t>tion qui sont des positions de titrisation, l’approche sera définie comme étant l'approche que l’établissement appliquerait à la position dans son portefeuille hors négociation.</w:t>
            </w:r>
          </w:p>
          <w:p w:rsidR="001A6C53" w:rsidRPr="00140F6E"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Il conviendra d'indiquer «approches multiples» si l’établissement est impliqué dans une opération de titrisation ou exposé à celle-ci de plusieurs manières et applique, pour ses différents rôles ou ses différentes expositions, des approches différentes du calcul des exigences de fonds propres.</w:t>
            </w:r>
          </w:p>
          <w:p w:rsidR="001A6C53" w:rsidRPr="00392FFD" w:rsidRDefault="001A6C53" w:rsidP="008D2F6E">
            <w:pPr>
              <w:spacing w:before="0" w:after="0"/>
              <w:jc w:val="left"/>
              <w:rPr>
                <w:rFonts w:ascii="Times New Roman" w:hAnsi="Times New Roman"/>
                <w:b/>
                <w:sz w:val="24"/>
                <w:u w:val="single"/>
              </w:rPr>
            </w:pPr>
          </w:p>
        </w:tc>
      </w:tr>
      <w:tr w:rsidR="001A6C53" w:rsidRPr="00392FFD" w:rsidTr="008D2F6E">
        <w:tc>
          <w:tcPr>
            <w:tcW w:w="1101" w:type="dxa"/>
          </w:tcPr>
          <w:p w:rsidR="001A6C53"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446</w:t>
            </w:r>
          </w:p>
        </w:tc>
        <w:tc>
          <w:tcPr>
            <w:tcW w:w="7903" w:type="dxa"/>
          </w:tcPr>
          <w:p w:rsidR="001A6C53" w:rsidRDefault="001A6C53" w:rsidP="008D2F6E">
            <w:pPr>
              <w:spacing w:before="0" w:after="0"/>
              <w:jc w:val="left"/>
              <w:rPr>
                <w:rFonts w:ascii="Times New Roman" w:hAnsi="Times New Roman"/>
                <w:b/>
                <w:sz w:val="24"/>
                <w:u w:val="single"/>
              </w:rPr>
            </w:pPr>
            <w:r>
              <w:rPr>
                <w:rFonts w:ascii="Times New Roman" w:hAnsi="Times New Roman"/>
                <w:b/>
                <w:sz w:val="24"/>
                <w:u w:val="single"/>
              </w:rPr>
              <w:t>TITRISATIONS ÉLIGIBLES AU TRAITEMENT DIFFÉRENCIÉ EN TERMES D’EXIGENCES DE FONDS PROPRES</w:t>
            </w:r>
          </w:p>
          <w:p w:rsidR="001A6C53" w:rsidRDefault="001A6C53" w:rsidP="008D2F6E">
            <w:pPr>
              <w:spacing w:before="0" w:after="0"/>
              <w:jc w:val="left"/>
              <w:rPr>
                <w:rFonts w:ascii="Times New Roman" w:hAnsi="Times New Roman"/>
                <w:sz w:val="24"/>
              </w:rPr>
            </w:pPr>
          </w:p>
          <w:p w:rsidR="001A6C53" w:rsidRDefault="001A6C53" w:rsidP="008D2F6E">
            <w:pPr>
              <w:spacing w:before="0" w:after="0"/>
              <w:jc w:val="left"/>
              <w:rPr>
                <w:rFonts w:ascii="Times New Roman" w:hAnsi="Times New Roman"/>
                <w:sz w:val="24"/>
              </w:rPr>
            </w:pPr>
            <w:r>
              <w:rPr>
                <w:rFonts w:ascii="Times New Roman" w:hAnsi="Times New Roman"/>
                <w:sz w:val="24"/>
              </w:rPr>
              <w:t>Lorsque la date de référence pour la déclaration est postérieure au 1</w:t>
            </w:r>
            <w:r>
              <w:rPr>
                <w:rFonts w:ascii="Times New Roman" w:hAnsi="Times New Roman"/>
                <w:sz w:val="24"/>
                <w:vertAlign w:val="superscript"/>
              </w:rPr>
              <w:t>er</w:t>
            </w:r>
            <w:r>
              <w:rPr>
                <w:rFonts w:ascii="Times New Roman" w:hAnsi="Times New Roman"/>
                <w:sz w:val="24"/>
              </w:rPr>
              <w:t xml:space="preserve"> janvier 2019, articles 243 et 270 du CRR</w:t>
            </w:r>
          </w:p>
          <w:p w:rsidR="001A6C53" w:rsidRDefault="001A6C53" w:rsidP="008D2F6E">
            <w:pPr>
              <w:spacing w:before="0" w:after="0"/>
              <w:jc w:val="left"/>
              <w:rPr>
                <w:rFonts w:ascii="Times New Roman" w:hAnsi="Times New Roman"/>
                <w:sz w:val="24"/>
              </w:rPr>
            </w:pPr>
          </w:p>
          <w:p w:rsidR="001A6C53" w:rsidRPr="00140F6E" w:rsidRDefault="001A6C53" w:rsidP="008D2F6E">
            <w:pPr>
              <w:spacing w:before="0" w:after="0"/>
              <w:jc w:val="left"/>
              <w:rPr>
                <w:rFonts w:ascii="Times New Roman" w:hAnsi="Times New Roman"/>
                <w:sz w:val="24"/>
              </w:rPr>
            </w:pPr>
            <w:r>
              <w:rPr>
                <w:rFonts w:ascii="Times New Roman" w:hAnsi="Times New Roman"/>
                <w:sz w:val="24"/>
              </w:rPr>
              <w:t>L’une des abréviations suivantes sera utilisée:</w:t>
            </w:r>
          </w:p>
          <w:p w:rsidR="001A6C53" w:rsidRPr="00140F6E" w:rsidRDefault="001A6C53" w:rsidP="008D2F6E">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Oui</w:t>
            </w:r>
          </w:p>
          <w:p w:rsidR="001A6C53" w:rsidRDefault="001A6C53" w:rsidP="008D2F6E">
            <w:pPr>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Non</w:t>
            </w:r>
          </w:p>
          <w:p w:rsidR="001A6C53" w:rsidRDefault="001A6C53" w:rsidP="008D2F6E">
            <w:pPr>
              <w:spacing w:before="0" w:after="0"/>
              <w:jc w:val="left"/>
              <w:rPr>
                <w:rFonts w:ascii="Times New Roman" w:hAnsi="Times New Roman"/>
                <w:b/>
                <w:sz w:val="24"/>
                <w:u w:val="single"/>
              </w:rPr>
            </w:pPr>
          </w:p>
          <w:p w:rsidR="001A6C53" w:rsidRDefault="001A6C53" w:rsidP="008D2F6E">
            <w:pPr>
              <w:spacing w:before="0" w:after="0"/>
              <w:jc w:val="left"/>
              <w:rPr>
                <w:rFonts w:ascii="Times New Roman" w:hAnsi="Times New Roman"/>
                <w:b/>
                <w:sz w:val="24"/>
                <w:u w:val="single"/>
              </w:rPr>
            </w:pPr>
            <w:r>
              <w:rPr>
                <w:rFonts w:ascii="Times New Roman" w:hAnsi="Times New Roman"/>
                <w:sz w:val="24"/>
              </w:rPr>
              <w:t>Il conviendra de déclarer «Oui» dans le cas de titrisations STS éligibles au tra</w:t>
            </w:r>
            <w:r>
              <w:rPr>
                <w:rFonts w:ascii="Times New Roman" w:hAnsi="Times New Roman"/>
                <w:sz w:val="24"/>
              </w:rPr>
              <w:t>i</w:t>
            </w:r>
            <w:r>
              <w:rPr>
                <w:rFonts w:ascii="Times New Roman" w:hAnsi="Times New Roman"/>
                <w:sz w:val="24"/>
              </w:rPr>
              <w:t>tement différencié en termes d’exigences de fonds propres en vertu de l’article 243 du CRR ainsi que dans le cas de positions de rang supérieur dans des titr</w:t>
            </w:r>
            <w:r>
              <w:rPr>
                <w:rFonts w:ascii="Times New Roman" w:hAnsi="Times New Roman"/>
                <w:sz w:val="24"/>
              </w:rPr>
              <w:t>i</w:t>
            </w:r>
            <w:r>
              <w:rPr>
                <w:rFonts w:ascii="Times New Roman" w:hAnsi="Times New Roman"/>
                <w:sz w:val="24"/>
              </w:rPr>
              <w:t>sations de prêts aux PME (non STS) éligibles à ce traitement en vertu de l’article 270 du CRR.</w:t>
            </w:r>
          </w:p>
        </w:tc>
      </w:tr>
      <w:tr w:rsidR="001A6C53" w:rsidRPr="00392FFD" w:rsidTr="008D2F6E">
        <w:tc>
          <w:tcPr>
            <w:tcW w:w="1101" w:type="dxa"/>
            <w:shd w:val="clear" w:color="auto" w:fill="auto"/>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450-510</w:t>
            </w:r>
          </w:p>
        </w:tc>
        <w:tc>
          <w:tcPr>
            <w:tcW w:w="7903" w:type="dxa"/>
            <w:shd w:val="clear" w:color="auto" w:fill="auto"/>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POSITIONS DE TITRISATION - PORTEFEUILLE DE NÉGOCIATION</w:t>
            </w:r>
          </w:p>
          <w:p w:rsidR="001A6C53" w:rsidRPr="00392FFD" w:rsidRDefault="001A6C53" w:rsidP="008D2F6E">
            <w:pPr>
              <w:spacing w:before="0" w:after="0"/>
              <w:jc w:val="left"/>
              <w:rPr>
                <w:rFonts w:ascii="Times New Roman" w:hAnsi="Times New Roman"/>
                <w:b/>
                <w:sz w:val="24"/>
                <w:u w:val="single"/>
              </w:rPr>
            </w:pPr>
          </w:p>
        </w:tc>
      </w:tr>
      <w:tr w:rsidR="001A6C53" w:rsidRPr="00392FFD" w:rsidTr="008D2F6E">
        <w:tc>
          <w:tcPr>
            <w:tcW w:w="1101" w:type="dxa"/>
            <w:tcBorders>
              <w:top w:val="single" w:sz="4" w:space="0" w:color="auto"/>
              <w:left w:val="single" w:sz="4" w:space="0" w:color="auto"/>
              <w:bottom w:val="single" w:sz="4" w:space="0" w:color="auto"/>
              <w:right w:val="single" w:sz="4" w:space="0" w:color="auto"/>
            </w:tcBorders>
            <w:shd w:val="clear" w:color="auto" w:fill="auto"/>
          </w:tcPr>
          <w:p w:rsidR="001A6C53" w:rsidRPr="00392FFD" w:rsidDel="00304CB1"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1A6C53" w:rsidRPr="00392FFD" w:rsidRDefault="001A6C53" w:rsidP="008D2F6E">
            <w:pPr>
              <w:spacing w:before="0" w:after="0"/>
              <w:jc w:val="left"/>
              <w:rPr>
                <w:rFonts w:ascii="Times New Roman" w:hAnsi="Times New Roman"/>
                <w:b/>
                <w:sz w:val="24"/>
                <w:u w:val="single"/>
              </w:rPr>
            </w:pPr>
            <w:r>
              <w:rPr>
                <w:rFonts w:ascii="Times New Roman" w:hAnsi="Times New Roman"/>
                <w:b/>
                <w:sz w:val="24"/>
                <w:u w:val="single"/>
              </w:rPr>
              <w:t>PORTEFEUILLE DE NÉGOCIATION EN CORRÉLATION OU NON?</w:t>
            </w:r>
          </w:p>
          <w:p w:rsidR="001A6C53" w:rsidRPr="00392FFD" w:rsidRDefault="001A6C53" w:rsidP="008D2F6E">
            <w:pPr>
              <w:spacing w:before="0" w:after="0"/>
              <w:jc w:val="left"/>
              <w:rPr>
                <w:rStyle w:val="InstructionsTabelleText"/>
                <w:rFonts w:ascii="Times New Roman" w:hAnsi="Times New Roman"/>
                <w:sz w:val="24"/>
              </w:rPr>
            </w:pPr>
          </w:p>
          <w:p w:rsidR="001A6C53" w:rsidRPr="00392FFD" w:rsidRDefault="001A6C53" w:rsidP="008D2F6E">
            <w:pPr>
              <w:spacing w:before="0" w:after="0"/>
              <w:jc w:val="left"/>
              <w:rPr>
                <w:rStyle w:val="InstructionsTabelleText"/>
                <w:rFonts w:ascii="Times New Roman" w:hAnsi="Times New Roman"/>
                <w:sz w:val="24"/>
              </w:rPr>
            </w:pPr>
            <w:r>
              <w:rPr>
                <w:rStyle w:val="InstructionsTabelleText"/>
                <w:rFonts w:ascii="Times New Roman" w:hAnsi="Times New Roman"/>
                <w:sz w:val="24"/>
              </w:rPr>
              <w:t>Les abréviations suivantes seront utilisées:</w:t>
            </w:r>
          </w:p>
          <w:p w:rsidR="001A6C53" w:rsidRPr="00392FFD" w:rsidRDefault="001A6C53" w:rsidP="008D2F6E">
            <w:pPr>
              <w:spacing w:before="0" w:after="0"/>
              <w:jc w:val="left"/>
              <w:rPr>
                <w:rStyle w:val="InstructionsTabelleText"/>
                <w:rFonts w:ascii="Times New Roman" w:hAnsi="Times New Roman"/>
                <w:sz w:val="24"/>
              </w:rPr>
            </w:pPr>
            <w:r>
              <w:rPr>
                <w:rStyle w:val="InstructionsTabelleText"/>
                <w:rFonts w:ascii="Times New Roman" w:hAnsi="Times New Roman"/>
                <w:sz w:val="24"/>
              </w:rPr>
              <w:t>C - Portefeuille de négociation en corrélation (CTP);</w:t>
            </w:r>
          </w:p>
          <w:p w:rsidR="001A6C53" w:rsidRPr="00392FFD" w:rsidRDefault="001A6C53" w:rsidP="008D2F6E">
            <w:pPr>
              <w:spacing w:before="0" w:after="0"/>
              <w:jc w:val="left"/>
              <w:rPr>
                <w:rStyle w:val="InstructionsTabelleText"/>
                <w:rFonts w:ascii="Times New Roman" w:hAnsi="Times New Roman"/>
                <w:sz w:val="24"/>
              </w:rPr>
            </w:pPr>
            <w:r>
              <w:rPr>
                <w:rStyle w:val="InstructionsTabelleText"/>
                <w:rFonts w:ascii="Times New Roman" w:hAnsi="Times New Roman"/>
                <w:sz w:val="24"/>
              </w:rPr>
              <w:t>N - Non-CTP</w:t>
            </w:r>
          </w:p>
          <w:p w:rsidR="001A6C53" w:rsidRPr="00392FFD" w:rsidRDefault="001A6C53" w:rsidP="008D2F6E">
            <w:pPr>
              <w:spacing w:before="0" w:after="0"/>
              <w:jc w:val="left"/>
              <w:rPr>
                <w:rFonts w:ascii="Times New Roman" w:hAnsi="Times New Roman"/>
                <w:b/>
                <w:sz w:val="24"/>
                <w:u w:val="single"/>
              </w:rPr>
            </w:pPr>
          </w:p>
        </w:tc>
      </w:tr>
      <w:tr w:rsidR="001A6C53" w:rsidRPr="00392FFD" w:rsidTr="008D2F6E">
        <w:tc>
          <w:tcPr>
            <w:tcW w:w="1101" w:type="dxa"/>
            <w:tcBorders>
              <w:top w:val="single" w:sz="4" w:space="0" w:color="auto"/>
              <w:left w:val="single" w:sz="4" w:space="0" w:color="auto"/>
              <w:bottom w:val="single" w:sz="4" w:space="0" w:color="auto"/>
              <w:right w:val="single" w:sz="4" w:space="0" w:color="auto"/>
            </w:tcBorders>
            <w:shd w:val="clear" w:color="auto" w:fill="auto"/>
          </w:tcPr>
          <w:p w:rsidR="001A6C53" w:rsidRPr="00392FFD" w:rsidDel="00304CB1"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1A6C53" w:rsidRPr="00392FFD" w:rsidRDefault="001A6C53" w:rsidP="008D2F6E">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POSITIONS NETTES - LONGUES/COURTES</w:t>
            </w:r>
          </w:p>
          <w:p w:rsidR="001A6C53" w:rsidRPr="00392FFD" w:rsidRDefault="001A6C53" w:rsidP="008D2F6E">
            <w:pPr>
              <w:spacing w:before="0" w:after="0"/>
              <w:jc w:val="left"/>
              <w:rPr>
                <w:rFonts w:ascii="Times New Roman" w:hAnsi="Times New Roman"/>
                <w:b/>
                <w:sz w:val="24"/>
                <w:u w:val="single"/>
              </w:rPr>
            </w:pPr>
          </w:p>
          <w:p w:rsidR="001A6C53" w:rsidRPr="00392FFD" w:rsidRDefault="001A6C53" w:rsidP="008D2F6E">
            <w:pPr>
              <w:spacing w:before="0" w:after="0"/>
              <w:jc w:val="left"/>
              <w:rPr>
                <w:rFonts w:ascii="Times New Roman" w:hAnsi="Times New Roman"/>
                <w:b/>
                <w:sz w:val="24"/>
                <w:u w:val="single"/>
              </w:rPr>
            </w:pPr>
            <w:r>
              <w:rPr>
                <w:rStyle w:val="InstructionsTabelleText"/>
                <w:rFonts w:ascii="Times New Roman" w:hAnsi="Times New Roman"/>
                <w:sz w:val="24"/>
              </w:rPr>
              <w:t>Voir les colonnes 050 / 060 des modèles MKR SA SEC ou MKR SA CTP, re</w:t>
            </w:r>
            <w:r>
              <w:rPr>
                <w:rStyle w:val="InstructionsTabelleText"/>
                <w:rFonts w:ascii="Times New Roman" w:hAnsi="Times New Roman"/>
                <w:sz w:val="24"/>
              </w:rPr>
              <w:t>s</w:t>
            </w:r>
            <w:r>
              <w:rPr>
                <w:rStyle w:val="InstructionsTabelleText"/>
                <w:rFonts w:ascii="Times New Roman" w:hAnsi="Times New Roman"/>
                <w:sz w:val="24"/>
              </w:rPr>
              <w:t xml:space="preserve">pectivement. </w:t>
            </w:r>
          </w:p>
        </w:tc>
      </w:tr>
      <w:tr w:rsidR="001A6C53" w:rsidRPr="00392FFD" w:rsidTr="008D2F6E">
        <w:tc>
          <w:tcPr>
            <w:tcW w:w="1101" w:type="dxa"/>
            <w:tcBorders>
              <w:top w:val="single" w:sz="4" w:space="0" w:color="auto"/>
              <w:left w:val="single" w:sz="4" w:space="0" w:color="auto"/>
              <w:bottom w:val="single" w:sz="4" w:space="0" w:color="auto"/>
              <w:right w:val="single" w:sz="4" w:space="0" w:color="auto"/>
            </w:tcBorders>
            <w:shd w:val="clear" w:color="auto" w:fill="auto"/>
          </w:tcPr>
          <w:p w:rsidR="001A6C53" w:rsidRPr="00392FFD" w:rsidDel="00304CB1"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1A6C53" w:rsidRPr="00392FFD" w:rsidRDefault="001A6C53" w:rsidP="008D2F6E">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 DES EXIGENCES DE FONDS PROPRES (SA) - RISQUE SP</w:t>
            </w:r>
            <w:r>
              <w:rPr>
                <w:rStyle w:val="InstructionsTabelleberschrift"/>
                <w:rFonts w:ascii="Times New Roman" w:hAnsi="Times New Roman"/>
                <w:sz w:val="24"/>
              </w:rPr>
              <w:t>É</w:t>
            </w:r>
            <w:r>
              <w:rPr>
                <w:rStyle w:val="InstructionsTabelleberschrift"/>
                <w:rFonts w:ascii="Times New Roman" w:hAnsi="Times New Roman"/>
                <w:sz w:val="24"/>
              </w:rPr>
              <w:t>CIFIQUE</w:t>
            </w:r>
          </w:p>
          <w:p w:rsidR="001A6C53" w:rsidRPr="00392FFD" w:rsidRDefault="001A6C53" w:rsidP="008D2F6E">
            <w:pPr>
              <w:spacing w:before="0" w:after="0"/>
              <w:jc w:val="left"/>
              <w:rPr>
                <w:rFonts w:ascii="Times New Roman" w:hAnsi="Times New Roman"/>
                <w:b/>
                <w:sz w:val="24"/>
                <w:u w:val="single"/>
              </w:rPr>
            </w:pPr>
          </w:p>
          <w:p w:rsidR="001A6C53" w:rsidRPr="00392FFD" w:rsidRDefault="001A6C53" w:rsidP="008D2F6E">
            <w:pPr>
              <w:spacing w:before="0" w:after="0"/>
              <w:jc w:val="left"/>
              <w:rPr>
                <w:rFonts w:ascii="Times New Roman" w:hAnsi="Times New Roman"/>
                <w:b/>
                <w:sz w:val="24"/>
                <w:u w:val="single"/>
              </w:rPr>
            </w:pPr>
            <w:r>
              <w:rPr>
                <w:rStyle w:val="InstructionsTabelleText"/>
                <w:rFonts w:ascii="Times New Roman" w:hAnsi="Times New Roman"/>
                <w:sz w:val="24"/>
              </w:rPr>
              <w:t xml:space="preserve">Voir respectivement la colonne 610 du modèle MKR SA SEC ou la colonne 450 du modèle MKR SA CTP. </w:t>
            </w:r>
          </w:p>
        </w:tc>
      </w:tr>
    </w:tbl>
    <w:p w:rsidR="001A6C53" w:rsidRPr="00392FFD" w:rsidRDefault="001A6C53" w:rsidP="001A6C53">
      <w:pPr>
        <w:spacing w:before="0" w:after="0"/>
        <w:jc w:val="left"/>
        <w:rPr>
          <w:rStyle w:val="InstructionsTabelleText"/>
          <w:rFonts w:ascii="Times New Roman" w:hAnsi="Times New Roman"/>
          <w:sz w:val="24"/>
        </w:rPr>
      </w:pP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00" w:name="_Toc524104209"/>
      <w:r>
        <w:rPr>
          <w:rFonts w:ascii="Times New Roman" w:hAnsi="Times New Roman"/>
          <w:sz w:val="24"/>
        </w:rPr>
        <w:lastRenderedPageBreak/>
        <w:t>4.</w:t>
      </w:r>
      <w:r>
        <w:tab/>
      </w:r>
      <w:r>
        <w:rPr>
          <w:rFonts w:ascii="Times New Roman" w:hAnsi="Times New Roman"/>
          <w:sz w:val="24"/>
        </w:rPr>
        <w:t>Modèles consacrés au risque opérationnel</w:t>
      </w:r>
      <w:bookmarkEnd w:id="400"/>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01" w:name="_Toc524104210"/>
      <w:r>
        <w:rPr>
          <w:rFonts w:ascii="Times New Roman" w:hAnsi="Times New Roman"/>
          <w:sz w:val="24"/>
        </w:rPr>
        <w:t>4.1</w:t>
      </w:r>
      <w:r>
        <w:tab/>
      </w:r>
      <w:r>
        <w:tab/>
      </w:r>
      <w:r>
        <w:rPr>
          <w:rFonts w:ascii="Times New Roman" w:hAnsi="Times New Roman"/>
          <w:sz w:val="24"/>
        </w:rPr>
        <w:t>C 16.00 – Risque opérationnel (OPR)</w:t>
      </w:r>
      <w:bookmarkEnd w:id="401"/>
    </w:p>
    <w:p w:rsidR="001A6C53" w:rsidRPr="009068C9" w:rsidRDefault="001A6C53" w:rsidP="001A6C53">
      <w:pPr>
        <w:pStyle w:val="Instructionsberschrift2"/>
        <w:numPr>
          <w:ilvl w:val="0"/>
          <w:numId w:val="0"/>
        </w:numPr>
        <w:ind w:left="357" w:hanging="357"/>
        <w:rPr>
          <w:rFonts w:ascii="Times New Roman" w:hAnsi="Times New Roman" w:cs="Times New Roman"/>
          <w:sz w:val="24"/>
          <w:u w:val="none"/>
        </w:rPr>
      </w:pPr>
      <w:bookmarkStart w:id="402" w:name="_Toc524104211"/>
      <w:r>
        <w:rPr>
          <w:rFonts w:ascii="Times New Roman" w:hAnsi="Times New Roman"/>
          <w:sz w:val="24"/>
          <w:u w:val="none"/>
        </w:rPr>
        <w:t>4.1.1</w:t>
      </w:r>
      <w:r w:rsidRPr="008028AE">
        <w:rPr>
          <w:u w:val="none"/>
        </w:rPr>
        <w:tab/>
      </w:r>
      <w:r>
        <w:rPr>
          <w:rFonts w:ascii="Times New Roman" w:hAnsi="Times New Roman"/>
          <w:sz w:val="24"/>
          <w:u w:val="none"/>
        </w:rPr>
        <w:t>Remarques générales</w:t>
      </w:r>
      <w:bookmarkEnd w:id="402"/>
      <w:r>
        <w:rPr>
          <w:rFonts w:ascii="Times New Roman" w:hAnsi="Times New Roman"/>
          <w:sz w:val="24"/>
          <w:u w:val="none"/>
        </w:rPr>
        <w:t xml:space="preserve"> </w:t>
      </w:r>
    </w:p>
    <w:p w:rsidR="001A6C53" w:rsidRPr="00392FFD" w:rsidRDefault="001A6C53" w:rsidP="001A6C53">
      <w:pPr>
        <w:pStyle w:val="InstructionsText2"/>
        <w:numPr>
          <w:ilvl w:val="0"/>
          <w:numId w:val="0"/>
        </w:numPr>
        <w:ind w:left="993"/>
      </w:pPr>
      <w:r>
        <w:t>114.</w:t>
      </w:r>
      <w:r>
        <w:tab/>
        <w:t>Ce modèle fournit des informations sur le calcul des exigences de fonds propres conformément aux articles 312 à 324 du CRR pour le risque opérationnel selon l'approche élémentaire (BIA), l'approche standard (TSA), l'approche standard de remplacement (ASA) et les approches par mesure avancée (AMA). Un établi</w:t>
      </w:r>
      <w:r>
        <w:t>s</w:t>
      </w:r>
      <w:r>
        <w:t>sement ne peut appliquer simultanément l'approche TSA et l'approche ASA pour les activités de banque de détail et de banque commerciale sur une base indiv</w:t>
      </w:r>
      <w:r>
        <w:t>i</w:t>
      </w:r>
      <w:r>
        <w:t>duelle.</w:t>
      </w:r>
    </w:p>
    <w:p w:rsidR="001A6C53" w:rsidRPr="00392FFD" w:rsidRDefault="001A6C53" w:rsidP="001A6C53">
      <w:pPr>
        <w:pStyle w:val="InstructionsText2"/>
        <w:numPr>
          <w:ilvl w:val="0"/>
          <w:numId w:val="0"/>
        </w:numPr>
        <w:ind w:left="993"/>
      </w:pPr>
      <w:r>
        <w:t>115.</w:t>
      </w:r>
      <w:r>
        <w:tab/>
        <w:t>Les établissements qui recourent à l'approche BIA, TSA et/ou ASA calculent leurs exigences de fonds propres à partir des données de fin d'exercice. Lorsque les chiffres audités ne sont pas disponibles, les établissements peuvent utiliser des e</w:t>
      </w:r>
      <w:r>
        <w:t>s</w:t>
      </w:r>
      <w:r>
        <w:t>timations. Lorsque des chiffres audités sont utilisés, les établissements déclarent les chiffres audités qui ne sont pas susceptibles d’être modifiés. Il est possible de dér</w:t>
      </w:r>
      <w:r>
        <w:t>o</w:t>
      </w:r>
      <w:r>
        <w:t>ger à ce principe d'absence de modification, par exemple lorsqu'un cas exceptio</w:t>
      </w:r>
      <w:r>
        <w:t>n</w:t>
      </w:r>
      <w:r>
        <w:t>nel, tel qu'une acquisition ou cession récente d'entités ou d'activités, se présente d</w:t>
      </w:r>
      <w:r>
        <w:t>u</w:t>
      </w:r>
      <w:r>
        <w:t xml:space="preserve">rant cette période. </w:t>
      </w:r>
    </w:p>
    <w:p w:rsidR="001A6C53" w:rsidRPr="00392FFD" w:rsidRDefault="001A6C53" w:rsidP="001A6C53">
      <w:pPr>
        <w:pStyle w:val="InstructionsText2"/>
        <w:numPr>
          <w:ilvl w:val="0"/>
          <w:numId w:val="0"/>
        </w:numPr>
        <w:ind w:left="993"/>
      </w:pPr>
      <w:r>
        <w:t>116.</w:t>
      </w:r>
      <w:r>
        <w:tab/>
        <w:t>Lorsqu'un établissement peut démontrer à son autorité compétente qu'en raison de circonstances exceptionnelles (fusion ou cession d'entités ou d'activités), recourir à une moyenne sur trois ans pour le calcul de l'indicateur pertinent conduirait à une estimation peu objective de l'exigence de fonds propres pour risque opérationnel, l'autorité compétente peut autoriser l'établissement à modifier le calcul de manière à tenir compte de ces événements. L'autorité compétente peut également, de sa propre initiative, imposer à un établissement de modifier le calcul. Lorsqu'un établissement exerce ses activités depuis moins de trois ans, il peut utiliser des estimations pro</w:t>
      </w:r>
      <w:r>
        <w:t>s</w:t>
      </w:r>
      <w:r>
        <w:t>pectives pour calculer l'indicateur pertinent, pour autant qu'il commence à utiliser des données historiques dès que celles-ci sont disponibles.</w:t>
      </w:r>
    </w:p>
    <w:p w:rsidR="001A6C53" w:rsidRPr="00392FFD" w:rsidRDefault="001A6C53" w:rsidP="001A6C53">
      <w:pPr>
        <w:pStyle w:val="InstructionsText2"/>
        <w:numPr>
          <w:ilvl w:val="0"/>
          <w:numId w:val="0"/>
        </w:numPr>
        <w:ind w:left="993"/>
      </w:pPr>
      <w:r>
        <w:t>117.</w:t>
      </w:r>
      <w:r>
        <w:tab/>
        <w:t>Par colonne, ce modèle présente des informations, pour les trois derniers exe</w:t>
      </w:r>
      <w:r>
        <w:t>r</w:t>
      </w:r>
      <w:r>
        <w:t>cices, sur le montant de l'indicateur pertinent des activités bancaires soumises au risque opérationnel et sur le montant des prêts et des avances (ce dernier montant ne concernant que l'approche ASA). Ensuite, des informations sur le montant des ex</w:t>
      </w:r>
      <w:r>
        <w:t>i</w:t>
      </w:r>
      <w:r>
        <w:t>gences de fonds propres pour risque opérationnel y figurent. Le cas échéant, la part de ce montant qui est due à un mécanisme d'allocation doit être précisée. En ce qui concerne l'approche AMA, des postes pour mémoire ont été ajoutés afin de détailler l'effet de la perte anticipée, de la diversification et des techniques d'atténuation sur les exigences de fonds propres pour risque opérationnel.</w:t>
      </w:r>
    </w:p>
    <w:p w:rsidR="001A6C53" w:rsidRPr="00392FFD" w:rsidRDefault="001A6C53" w:rsidP="001A6C53">
      <w:pPr>
        <w:pStyle w:val="InstructionsText2"/>
        <w:numPr>
          <w:ilvl w:val="0"/>
          <w:numId w:val="0"/>
        </w:numPr>
        <w:ind w:left="993"/>
      </w:pPr>
      <w:r>
        <w:t>118.</w:t>
      </w:r>
      <w:r>
        <w:tab/>
        <w:t>Par ligne, les informations sont structurées par mode de calcul des exigences de fonds propres pour risque opérationnel, avec un détail des activités pour l'approche TSA et l'approche ASA.</w:t>
      </w:r>
    </w:p>
    <w:p w:rsidR="001A6C53" w:rsidRPr="00392FFD" w:rsidRDefault="001A6C53" w:rsidP="001A6C53">
      <w:pPr>
        <w:pStyle w:val="InstructionsText2"/>
        <w:numPr>
          <w:ilvl w:val="0"/>
          <w:numId w:val="0"/>
        </w:numPr>
        <w:ind w:left="993"/>
      </w:pPr>
      <w:r>
        <w:t>119.</w:t>
      </w:r>
      <w:r>
        <w:tab/>
        <w:t>Ce modèle devra être rempli par tous les établissements soumis aux exigences de fonds propres pour risque opérationnel.</w:t>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03" w:name="_Toc524104212"/>
      <w:r>
        <w:rPr>
          <w:rFonts w:ascii="Times New Roman" w:hAnsi="Times New Roman"/>
          <w:sz w:val="24"/>
          <w:u w:val="none"/>
        </w:rPr>
        <w:lastRenderedPageBreak/>
        <w:t>4.1.2.</w:t>
      </w:r>
      <w:r w:rsidRPr="008028AE">
        <w:rPr>
          <w:u w:val="none"/>
        </w:rPr>
        <w:tab/>
      </w:r>
      <w:r>
        <w:rPr>
          <w:rFonts w:ascii="Times New Roman" w:hAnsi="Times New Roman"/>
          <w:sz w:val="24"/>
        </w:rPr>
        <w:t>Instructions concernant certaines positions</w:t>
      </w:r>
      <w:bookmarkEnd w:id="403"/>
    </w:p>
    <w:p w:rsidR="001A6C53" w:rsidRPr="00392FFD" w:rsidRDefault="001A6C53" w:rsidP="001A6C53">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1A6C53" w:rsidRPr="00392FFD" w:rsidTr="008D2F6E">
        <w:trPr>
          <w:trHeight w:val="553"/>
        </w:trPr>
        <w:tc>
          <w:tcPr>
            <w:tcW w:w="8862" w:type="dxa"/>
            <w:gridSpan w:val="2"/>
            <w:shd w:val="clear" w:color="auto" w:fill="CCCCCC"/>
          </w:tcPr>
          <w:p w:rsidR="001A6C53" w:rsidRPr="00392FFD" w:rsidRDefault="001A6C53" w:rsidP="008D2F6E">
            <w:pPr>
              <w:autoSpaceDE w:val="0"/>
              <w:autoSpaceDN w:val="0"/>
              <w:adjustRightInd w:val="0"/>
              <w:spacing w:after="0"/>
              <w:rPr>
                <w:rFonts w:ascii="Times New Roman" w:hAnsi="Times New Roman"/>
                <w:b/>
                <w:bCs/>
                <w:sz w:val="24"/>
              </w:rPr>
            </w:pPr>
            <w:r>
              <w:rPr>
                <w:rFonts w:ascii="Times New Roman" w:hAnsi="Times New Roman"/>
                <w:b/>
                <w:sz w:val="24"/>
              </w:rPr>
              <w:t>Colonnes</w:t>
            </w:r>
          </w:p>
        </w:tc>
      </w:tr>
      <w:tr w:rsidR="001A6C53" w:rsidRPr="00392FFD" w:rsidTr="008D2F6E">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010-030</w:t>
            </w:r>
          </w:p>
        </w:tc>
        <w:tc>
          <w:tcPr>
            <w:tcW w:w="7877" w:type="dxa"/>
          </w:tcPr>
          <w:p w:rsidR="001A6C53" w:rsidRPr="00392FFD" w:rsidRDefault="001A6C53" w:rsidP="008D2F6E">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INDICATEUR PERTINENT</w:t>
            </w:r>
          </w:p>
          <w:p w:rsidR="001A6C53" w:rsidRPr="00392FFD" w:rsidRDefault="001A6C53" w:rsidP="008D2F6E">
            <w:pPr>
              <w:autoSpaceDE w:val="0"/>
              <w:autoSpaceDN w:val="0"/>
              <w:adjustRightInd w:val="0"/>
              <w:spacing w:before="0" w:after="0"/>
              <w:jc w:val="left"/>
              <w:rPr>
                <w:rFonts w:ascii="Times New Roman" w:hAnsi="Times New Roman"/>
                <w:bCs/>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établissements qui recourent à l'indicateur pertinent pour calculer les ex</w:t>
            </w:r>
            <w:r>
              <w:rPr>
                <w:rFonts w:ascii="Times New Roman" w:hAnsi="Times New Roman"/>
                <w:sz w:val="24"/>
              </w:rPr>
              <w:t>i</w:t>
            </w:r>
            <w:r>
              <w:rPr>
                <w:rFonts w:ascii="Times New Roman" w:hAnsi="Times New Roman"/>
                <w:sz w:val="24"/>
              </w:rPr>
              <w:t>gences de fonds propres pour risque opérationnel (BIA, TSA et ASA) déclarent celui-ci dans les colonnes 010 à 030, pour les exercices respectifs. De plus, en cas d'application combinée de plusieurs approches, visée à l'article 314 du CRR, les établissements déclarent également, à des fins d'information, l'indic</w:t>
            </w:r>
            <w:r>
              <w:rPr>
                <w:rFonts w:ascii="Times New Roman" w:hAnsi="Times New Roman"/>
                <w:sz w:val="24"/>
              </w:rPr>
              <w:t>a</w:t>
            </w:r>
            <w:r>
              <w:rPr>
                <w:rFonts w:ascii="Times New Roman" w:hAnsi="Times New Roman"/>
                <w:sz w:val="24"/>
              </w:rPr>
              <w:t>teur pertinent pour les activités soumises aux approches AMA. Il en va de même pour toutes les autres banques qui appliquent les approches AMA.</w:t>
            </w:r>
          </w:p>
          <w:p w:rsidR="001A6C53" w:rsidRPr="00392FFD" w:rsidRDefault="001A6C53" w:rsidP="008D2F6E">
            <w:pPr>
              <w:autoSpaceDE w:val="0"/>
              <w:autoSpaceDN w:val="0"/>
              <w:adjustRightInd w:val="0"/>
              <w:spacing w:before="0" w:after="0"/>
              <w:rPr>
                <w:rFonts w:ascii="Times New Roman" w:hAnsi="Times New Roman"/>
                <w:bCs/>
                <w:strike/>
                <w:sz w:val="24"/>
              </w:rPr>
            </w:pPr>
          </w:p>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 xml:space="preserve">Ci-après, le terme «indicateur pertinent» désigne «la somme des éléments» à fin d'exercice visés au tableau 1 de l'article 316, paragraphe 1, du CRR.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Lorsqu'un établissement ne possède pas de données relatives à «l'indicateur pertinent» pour couvrir trois exercices, les données historiques (auditées) di</w:t>
            </w:r>
            <w:r>
              <w:rPr>
                <w:rFonts w:ascii="Times New Roman" w:hAnsi="Times New Roman"/>
                <w:sz w:val="24"/>
              </w:rPr>
              <w:t>s</w:t>
            </w:r>
            <w:r>
              <w:rPr>
                <w:rFonts w:ascii="Times New Roman" w:hAnsi="Times New Roman"/>
                <w:sz w:val="24"/>
              </w:rPr>
              <w:t>ponibles seront affectées par priorité aux colonnes correspondantes du tableau. Par exemple, si l'établissement ne possède des données historiques que pour un seul exercice, celles-ci figureront dans la colonne 030. Si cela semble raiso</w:t>
            </w:r>
            <w:r>
              <w:rPr>
                <w:rFonts w:ascii="Times New Roman" w:hAnsi="Times New Roman"/>
                <w:sz w:val="24"/>
              </w:rPr>
              <w:t>n</w:t>
            </w:r>
            <w:r>
              <w:rPr>
                <w:rFonts w:ascii="Times New Roman" w:hAnsi="Times New Roman"/>
                <w:sz w:val="24"/>
              </w:rPr>
              <w:t>nable, les estimations prospectives seront alors intégrées à la colonne 020 (e</w:t>
            </w:r>
            <w:r>
              <w:rPr>
                <w:rFonts w:ascii="Times New Roman" w:hAnsi="Times New Roman"/>
                <w:sz w:val="24"/>
              </w:rPr>
              <w:t>s</w:t>
            </w:r>
            <w:r>
              <w:rPr>
                <w:rFonts w:ascii="Times New Roman" w:hAnsi="Times New Roman"/>
                <w:sz w:val="24"/>
              </w:rPr>
              <w:t>timations pour le prochain exercice) et à la colonne 010 (estimations pour l'exercice n + 2).</w:t>
            </w:r>
          </w:p>
          <w:p w:rsidR="001A6C53" w:rsidRPr="00392FFD" w:rsidRDefault="001A6C53" w:rsidP="008D2F6E">
            <w:pPr>
              <w:autoSpaceDE w:val="0"/>
              <w:autoSpaceDN w:val="0"/>
              <w:adjustRightInd w:val="0"/>
              <w:spacing w:before="0" w:after="0"/>
              <w:rPr>
                <w:rFonts w:ascii="Times New Roman" w:hAnsi="Times New Roman"/>
                <w:i/>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En outre, s'il n'existe aucune donnée historique disponible sur «l'indicateur pe</w:t>
            </w:r>
            <w:r>
              <w:rPr>
                <w:rFonts w:ascii="Times New Roman" w:hAnsi="Times New Roman"/>
                <w:sz w:val="24"/>
              </w:rPr>
              <w:t>r</w:t>
            </w:r>
            <w:r>
              <w:rPr>
                <w:rFonts w:ascii="Times New Roman" w:hAnsi="Times New Roman"/>
                <w:sz w:val="24"/>
              </w:rPr>
              <w:t>tinent», l'établissement peut utiliser des estimations prospectives.</w:t>
            </w:r>
          </w:p>
          <w:p w:rsidR="001A6C53" w:rsidRPr="00392FFD" w:rsidRDefault="001A6C53" w:rsidP="008D2F6E">
            <w:pPr>
              <w:autoSpaceDE w:val="0"/>
              <w:autoSpaceDN w:val="0"/>
              <w:adjustRightInd w:val="0"/>
              <w:spacing w:before="0" w:after="0"/>
              <w:jc w:val="left"/>
              <w:rPr>
                <w:rFonts w:ascii="Times New Roman" w:hAnsi="Times New Roman"/>
                <w:bCs/>
                <w:sz w:val="24"/>
              </w:rPr>
            </w:pPr>
          </w:p>
        </w:tc>
      </w:tr>
      <w:tr w:rsidR="001A6C53" w:rsidRPr="00392FFD" w:rsidTr="008D2F6E">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877" w:type="dxa"/>
          </w:tcPr>
          <w:p w:rsidR="001A6C53" w:rsidRPr="00392FFD" w:rsidRDefault="001A6C53" w:rsidP="008D2F6E">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PRÊTS ET AVANCES (EN CAS D'APPLICATION DE L'APPROCHE ASA)</w:t>
            </w:r>
          </w:p>
          <w:p w:rsidR="001A6C53" w:rsidRPr="00392FFD" w:rsidRDefault="001A6C53" w:rsidP="008D2F6E">
            <w:pPr>
              <w:autoSpaceDE w:val="0"/>
              <w:autoSpaceDN w:val="0"/>
              <w:adjustRightInd w:val="0"/>
              <w:spacing w:before="0" w:after="0"/>
              <w:jc w:val="left"/>
              <w:rPr>
                <w:rFonts w:ascii="Times New Roman" w:hAnsi="Times New Roman"/>
                <w:bCs/>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Ces colonnes seront utilisées pour déclarer les montants des prêts et des avances des lignes d'activité «banque commerciale» et «banque de détail», v</w:t>
            </w:r>
            <w:r>
              <w:rPr>
                <w:rFonts w:ascii="Times New Roman" w:hAnsi="Times New Roman"/>
                <w:sz w:val="24"/>
              </w:rPr>
              <w:t>i</w:t>
            </w:r>
            <w:r>
              <w:rPr>
                <w:rFonts w:ascii="Times New Roman" w:hAnsi="Times New Roman"/>
                <w:sz w:val="24"/>
              </w:rPr>
              <w:t xml:space="preserve">sés à l'article 319, paragraphe 1, point b), du CRR. Ces montants serviront à calculer l'indicateur pertinent de remplacement qui permet de déterminer les exigences de fonds propres correspondant aux activités soumises à l'approche ASA (article 319, paragraphe 1, point a), du CRR).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Pour la ligne d'activité «banque commerciale», les titres détenus dans le port</w:t>
            </w:r>
            <w:r>
              <w:rPr>
                <w:rFonts w:ascii="Times New Roman" w:hAnsi="Times New Roman"/>
                <w:sz w:val="24"/>
              </w:rPr>
              <w:t>e</w:t>
            </w:r>
            <w:r>
              <w:rPr>
                <w:rFonts w:ascii="Times New Roman" w:hAnsi="Times New Roman"/>
                <w:sz w:val="24"/>
              </w:rPr>
              <w:t>feuille hors négociation seront également inclus.</w:t>
            </w:r>
          </w:p>
        </w:tc>
      </w:tr>
      <w:tr w:rsidR="001A6C53" w:rsidRPr="00392FFD" w:rsidTr="008D2F6E">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77" w:type="dxa"/>
          </w:tcPr>
          <w:p w:rsidR="001A6C53" w:rsidRPr="00392FFD" w:rsidRDefault="001A6C53" w:rsidP="008D2F6E">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EXIGENCES DE FONDS PROPRES</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bCs/>
                <w:sz w:val="24"/>
              </w:rPr>
            </w:pPr>
            <w:r>
              <w:rPr>
                <w:rFonts w:ascii="Times New Roman" w:hAnsi="Times New Roman"/>
                <w:sz w:val="24"/>
              </w:rPr>
              <w:t>L'exigence de fonds propres est calculée en fonction de l'approche utilisée, co</w:t>
            </w:r>
            <w:r>
              <w:rPr>
                <w:rFonts w:ascii="Times New Roman" w:hAnsi="Times New Roman"/>
                <w:sz w:val="24"/>
              </w:rPr>
              <w:t>n</w:t>
            </w:r>
            <w:r>
              <w:rPr>
                <w:rFonts w:ascii="Times New Roman" w:hAnsi="Times New Roman"/>
                <w:sz w:val="24"/>
              </w:rPr>
              <w:t>formément aux articles 312 à 324 du CRR. Le montant obtenu est déclaré dans la colonne 070.</w:t>
            </w:r>
          </w:p>
        </w:tc>
      </w:tr>
      <w:tr w:rsidR="001A6C53" w:rsidRPr="00392FFD" w:rsidTr="008D2F6E">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071</w:t>
            </w:r>
          </w:p>
        </w:tc>
        <w:tc>
          <w:tcPr>
            <w:tcW w:w="7877" w:type="dxa"/>
          </w:tcPr>
          <w:p w:rsidR="001A6C53" w:rsidRPr="00392FFD" w:rsidRDefault="001A6C53" w:rsidP="008D2F6E">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MONTANT TOTAL DE L'EXPOSITION AU RISQUE OPÉRATIO</w:t>
            </w:r>
            <w:r>
              <w:rPr>
                <w:rStyle w:val="InstructionsTabelleberschrift"/>
                <w:rFonts w:ascii="Times New Roman" w:hAnsi="Times New Roman"/>
                <w:sz w:val="24"/>
              </w:rPr>
              <w:t>N</w:t>
            </w:r>
            <w:r>
              <w:rPr>
                <w:rStyle w:val="InstructionsTabelleberschrift"/>
                <w:rFonts w:ascii="Times New Roman" w:hAnsi="Times New Roman"/>
                <w:sz w:val="24"/>
              </w:rPr>
              <w:t>NEL</w:t>
            </w:r>
          </w:p>
          <w:p w:rsidR="001A6C53" w:rsidRPr="00392FFD" w:rsidRDefault="001A6C53" w:rsidP="008D2F6E">
            <w:pPr>
              <w:autoSpaceDE w:val="0"/>
              <w:autoSpaceDN w:val="0"/>
              <w:adjustRightInd w:val="0"/>
              <w:spacing w:before="0" w:after="0"/>
              <w:jc w:val="left"/>
              <w:rPr>
                <w:rStyle w:val="InstructionsTabelleberschrift"/>
                <w:rFonts w:ascii="Times New Roman" w:hAnsi="Times New Roman"/>
                <w:b w:val="0"/>
                <w:sz w:val="24"/>
              </w:rPr>
            </w:pPr>
            <w:r>
              <w:rPr>
                <w:rStyle w:val="InstructionsTabelleberschrift"/>
                <w:rFonts w:ascii="Times New Roman" w:hAnsi="Times New Roman"/>
                <w:sz w:val="24"/>
              </w:rPr>
              <w:t>Article 92, paragraphe 4, du CRR Exigences de fonds propres de la c</w:t>
            </w:r>
            <w:r>
              <w:rPr>
                <w:rStyle w:val="InstructionsTabelleberschrift"/>
                <w:rFonts w:ascii="Times New Roman" w:hAnsi="Times New Roman"/>
                <w:sz w:val="24"/>
              </w:rPr>
              <w:t>o</w:t>
            </w:r>
            <w:r>
              <w:rPr>
                <w:rStyle w:val="InstructionsTabelleberschrift"/>
                <w:rFonts w:ascii="Times New Roman" w:hAnsi="Times New Roman"/>
                <w:sz w:val="24"/>
              </w:rPr>
              <w:lastRenderedPageBreak/>
              <w:t>lonne 070, multipliées par 12,5.</w:t>
            </w:r>
          </w:p>
        </w:tc>
      </w:tr>
      <w:tr w:rsidR="001A6C53" w:rsidRPr="00392FFD" w:rsidTr="008D2F6E">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080</w:t>
            </w:r>
          </w:p>
        </w:tc>
        <w:tc>
          <w:tcPr>
            <w:tcW w:w="7877" w:type="dxa"/>
          </w:tcPr>
          <w:p w:rsidR="001A6C53" w:rsidRPr="00392FFD" w:rsidRDefault="001A6C53" w:rsidP="008D2F6E">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DONT: RÉSULTANT D'UN MÉCANISME D'ALLOCATION</w:t>
            </w:r>
          </w:p>
          <w:p w:rsidR="001A6C53" w:rsidRPr="00392FFD" w:rsidRDefault="001A6C53" w:rsidP="008D2F6E">
            <w:pPr>
              <w:autoSpaceDE w:val="0"/>
              <w:autoSpaceDN w:val="0"/>
              <w:adjustRightInd w:val="0"/>
              <w:spacing w:before="0" w:after="0"/>
              <w:jc w:val="left"/>
              <w:rPr>
                <w:rFonts w:ascii="Times New Roman" w:hAnsi="Times New Roman"/>
                <w:bCs/>
                <w:sz w:val="24"/>
              </w:rPr>
            </w:pPr>
          </w:p>
          <w:p w:rsidR="001A6C53" w:rsidRPr="00392FFD" w:rsidRDefault="001A6C53" w:rsidP="008D2F6E">
            <w:pPr>
              <w:jc w:val="left"/>
              <w:rPr>
                <w:rFonts w:ascii="Times New Roman" w:hAnsi="Times New Roman"/>
                <w:bCs/>
                <w:sz w:val="24"/>
              </w:rPr>
            </w:pPr>
            <w:r>
              <w:rPr>
                <w:rFonts w:ascii="Times New Roman" w:hAnsi="Times New Roman"/>
                <w:sz w:val="24"/>
              </w:rPr>
              <w:t>Article 18, paragraphe 1, du CRR (concernant l'inclusion, dans la demande v</w:t>
            </w:r>
            <w:r>
              <w:rPr>
                <w:rFonts w:ascii="Times New Roman" w:hAnsi="Times New Roman"/>
                <w:sz w:val="24"/>
              </w:rPr>
              <w:t>i</w:t>
            </w:r>
            <w:r>
              <w:rPr>
                <w:rFonts w:ascii="Times New Roman" w:hAnsi="Times New Roman"/>
                <w:sz w:val="24"/>
              </w:rPr>
              <w:t>sée à l'article 312, paragraphe 2, du CRR, d'une description des méthodes a</w:t>
            </w:r>
            <w:r>
              <w:rPr>
                <w:rFonts w:ascii="Times New Roman" w:hAnsi="Times New Roman"/>
                <w:sz w:val="24"/>
              </w:rPr>
              <w:t>p</w:t>
            </w:r>
            <w:r>
              <w:rPr>
                <w:rFonts w:ascii="Times New Roman" w:hAnsi="Times New Roman"/>
                <w:sz w:val="24"/>
              </w:rPr>
              <w:t>pliquées pour répartir la couverture en fonds propres du risque opérationnel entre les diverses entités du groupe, et d'une indication quant à l'intention ou non d'intégrer, et selon quelles modalités, les effets de la diversification dans le système d'évaluation des risques utilisé par un établissement de crédit mère dans l'Union et ses filiales, ou conjointement par les filiales d'une compagnie financière holding mère dans l'Union ou d'une compagnie financière holding mixte mère dans l'Union).</w:t>
            </w:r>
          </w:p>
          <w:p w:rsidR="001A6C53" w:rsidRPr="00392FFD" w:rsidRDefault="001A6C53" w:rsidP="008D2F6E">
            <w:pPr>
              <w:autoSpaceDE w:val="0"/>
              <w:autoSpaceDN w:val="0"/>
              <w:adjustRightInd w:val="0"/>
              <w:spacing w:before="0" w:after="0"/>
              <w:jc w:val="left"/>
              <w:rPr>
                <w:rFonts w:ascii="Times New Roman" w:hAnsi="Times New Roman"/>
                <w:bCs/>
                <w:sz w:val="24"/>
              </w:rPr>
            </w:pPr>
          </w:p>
        </w:tc>
      </w:tr>
      <w:tr w:rsidR="001A6C53" w:rsidRPr="00392FFD" w:rsidTr="008D2F6E">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090-120</w:t>
            </w:r>
          </w:p>
        </w:tc>
        <w:tc>
          <w:tcPr>
            <w:tcW w:w="7877" w:type="dxa"/>
          </w:tcPr>
          <w:p w:rsidR="001A6C53" w:rsidRPr="00392FFD" w:rsidRDefault="001A6C53" w:rsidP="008D2F6E">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ÉLÉMENTS POUR MÉMOIRE SELON L'APPROCHE AMA À D</w:t>
            </w:r>
            <w:r>
              <w:rPr>
                <w:rStyle w:val="InstructionsTabelleberschrift"/>
                <w:rFonts w:ascii="Times New Roman" w:hAnsi="Times New Roman"/>
                <w:sz w:val="24"/>
              </w:rPr>
              <w:t>É</w:t>
            </w:r>
            <w:r>
              <w:rPr>
                <w:rStyle w:val="InstructionsTabelleberschrift"/>
                <w:rFonts w:ascii="Times New Roman" w:hAnsi="Times New Roman"/>
                <w:sz w:val="24"/>
              </w:rPr>
              <w:t>CLARER LE CAS ÉCHÉANT</w:t>
            </w:r>
          </w:p>
        </w:tc>
      </w:tr>
      <w:tr w:rsidR="001A6C53" w:rsidRPr="00392FFD" w:rsidTr="008D2F6E">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77" w:type="dxa"/>
          </w:tcPr>
          <w:p w:rsidR="001A6C53" w:rsidRPr="00392FFD" w:rsidRDefault="001A6C53" w:rsidP="008D2F6E">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EXIGENCES DE FONDS PROPRES AVANT ALLÈGEMENT EN RA</w:t>
            </w:r>
            <w:r>
              <w:rPr>
                <w:rStyle w:val="InstructionsTabelleberschrift"/>
                <w:rFonts w:ascii="Times New Roman" w:hAnsi="Times New Roman"/>
                <w:sz w:val="24"/>
              </w:rPr>
              <w:t>I</w:t>
            </w:r>
            <w:r>
              <w:rPr>
                <w:rStyle w:val="InstructionsTabelleberschrift"/>
                <w:rFonts w:ascii="Times New Roman" w:hAnsi="Times New Roman"/>
                <w:sz w:val="24"/>
              </w:rPr>
              <w:t>SON DE PERTES ANTICIPÉES, DE LA DIVERSIFICATION ET DE TECHNIQUES D'ATTÉNUATION DU RISQUE</w:t>
            </w:r>
          </w:p>
          <w:p w:rsidR="001A6C53" w:rsidRPr="00392FFD" w:rsidRDefault="001A6C53" w:rsidP="008D2F6E">
            <w:pPr>
              <w:autoSpaceDE w:val="0"/>
              <w:autoSpaceDN w:val="0"/>
              <w:adjustRightInd w:val="0"/>
              <w:spacing w:before="0" w:after="0"/>
              <w:jc w:val="left"/>
              <w:rPr>
                <w:rFonts w:ascii="Times New Roman" w:hAnsi="Times New Roman"/>
                <w:bCs/>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L'exigence de fonds propres déclarée dans la colonne 090 est celle qui figure dans la colonne 070, mais qui est calculée avant prise en compte des effets d'a</w:t>
            </w:r>
            <w:r>
              <w:rPr>
                <w:rFonts w:ascii="Times New Roman" w:hAnsi="Times New Roman"/>
                <w:sz w:val="24"/>
              </w:rPr>
              <w:t>l</w:t>
            </w:r>
            <w:r>
              <w:rPr>
                <w:rFonts w:ascii="Times New Roman" w:hAnsi="Times New Roman"/>
                <w:sz w:val="24"/>
              </w:rPr>
              <w:t>lègement en raison de pertes anticipées, de la diversification et des techniques d'atténuation du risque (voir plus bas).</w:t>
            </w:r>
          </w:p>
          <w:p w:rsidR="001A6C53" w:rsidRPr="00392FFD" w:rsidRDefault="001A6C53" w:rsidP="008D2F6E">
            <w:pPr>
              <w:autoSpaceDE w:val="0"/>
              <w:autoSpaceDN w:val="0"/>
              <w:adjustRightInd w:val="0"/>
              <w:spacing w:before="0" w:after="0"/>
              <w:jc w:val="left"/>
              <w:rPr>
                <w:rFonts w:ascii="Times New Roman" w:hAnsi="Times New Roman"/>
                <w:bCs/>
                <w:sz w:val="24"/>
              </w:rPr>
            </w:pPr>
          </w:p>
        </w:tc>
      </w:tr>
      <w:tr w:rsidR="001A6C53" w:rsidRPr="00392FFD" w:rsidTr="008D2F6E">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77" w:type="dxa"/>
          </w:tcPr>
          <w:p w:rsidR="001A6C53" w:rsidRPr="00392FFD" w:rsidRDefault="001A6C53" w:rsidP="008D2F6E">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ALLÈGEMENT DES EXIGENCES DE FONDS PROPRES EN RA</w:t>
            </w:r>
            <w:r>
              <w:rPr>
                <w:rStyle w:val="InstructionsTabelleberschrift"/>
                <w:rFonts w:ascii="Times New Roman" w:hAnsi="Times New Roman"/>
                <w:sz w:val="24"/>
              </w:rPr>
              <w:t>I</w:t>
            </w:r>
            <w:r>
              <w:rPr>
                <w:rStyle w:val="InstructionsTabelleberschrift"/>
                <w:rFonts w:ascii="Times New Roman" w:hAnsi="Times New Roman"/>
                <w:sz w:val="24"/>
              </w:rPr>
              <w:t>SON DES PERTES ANTICIPÉES PRISES EN COMPTE DANS LES PRATIQUES INTERNES</w:t>
            </w:r>
          </w:p>
          <w:p w:rsidR="001A6C53" w:rsidRPr="00392FFD" w:rsidRDefault="001A6C53" w:rsidP="008D2F6E">
            <w:pPr>
              <w:autoSpaceDE w:val="0"/>
              <w:autoSpaceDN w:val="0"/>
              <w:adjustRightInd w:val="0"/>
              <w:spacing w:before="0" w:after="0"/>
              <w:jc w:val="left"/>
              <w:rPr>
                <w:rFonts w:ascii="Times New Roman" w:hAnsi="Times New Roman"/>
                <w:bCs/>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Dans la colonne 100 figure l'allègement des exigences de fonds propres en ra</w:t>
            </w:r>
            <w:r>
              <w:rPr>
                <w:rFonts w:ascii="Times New Roman" w:hAnsi="Times New Roman"/>
                <w:sz w:val="24"/>
              </w:rPr>
              <w:t>i</w:t>
            </w:r>
            <w:r>
              <w:rPr>
                <w:rFonts w:ascii="Times New Roman" w:hAnsi="Times New Roman"/>
                <w:sz w:val="24"/>
              </w:rPr>
              <w:t>son de pertes anticipées prises en compte dans les pratiques internes de l'ét</w:t>
            </w:r>
            <w:r>
              <w:rPr>
                <w:rFonts w:ascii="Times New Roman" w:hAnsi="Times New Roman"/>
                <w:sz w:val="24"/>
              </w:rPr>
              <w:t>a</w:t>
            </w:r>
            <w:r>
              <w:rPr>
                <w:rFonts w:ascii="Times New Roman" w:hAnsi="Times New Roman"/>
                <w:sz w:val="24"/>
              </w:rPr>
              <w:t>blissement (visées à l'article 322, paragraphe 2, point a), du CRR).</w:t>
            </w:r>
          </w:p>
          <w:p w:rsidR="001A6C53" w:rsidRPr="00392FFD" w:rsidRDefault="001A6C53" w:rsidP="008D2F6E">
            <w:pPr>
              <w:autoSpaceDE w:val="0"/>
              <w:autoSpaceDN w:val="0"/>
              <w:adjustRightInd w:val="0"/>
              <w:spacing w:before="0" w:after="0"/>
              <w:jc w:val="left"/>
              <w:rPr>
                <w:rFonts w:ascii="Times New Roman" w:hAnsi="Times New Roman"/>
                <w:bCs/>
                <w:sz w:val="24"/>
              </w:rPr>
            </w:pPr>
          </w:p>
        </w:tc>
      </w:tr>
      <w:tr w:rsidR="001A6C53" w:rsidRPr="00392FFD" w:rsidTr="008D2F6E">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77" w:type="dxa"/>
          </w:tcPr>
          <w:p w:rsidR="001A6C53" w:rsidRPr="00392FFD" w:rsidRDefault="001A6C53" w:rsidP="008D2F6E">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ALLÈGEMENT DES EXIGENCES DE FONDS PROPRES EN RA</w:t>
            </w:r>
            <w:r>
              <w:rPr>
                <w:rStyle w:val="InstructionsTabelleberschrift"/>
                <w:rFonts w:ascii="Times New Roman" w:hAnsi="Times New Roman"/>
                <w:sz w:val="24"/>
              </w:rPr>
              <w:t>I</w:t>
            </w:r>
            <w:r>
              <w:rPr>
                <w:rStyle w:val="InstructionsTabelleberschrift"/>
                <w:rFonts w:ascii="Times New Roman" w:hAnsi="Times New Roman"/>
                <w:sz w:val="24"/>
              </w:rPr>
              <w:t>SON DE LA DIVERSIFICATION</w:t>
            </w:r>
          </w:p>
          <w:p w:rsidR="001A6C53" w:rsidRPr="00392FFD" w:rsidRDefault="001A6C53" w:rsidP="008D2F6E">
            <w:pPr>
              <w:rPr>
                <w:rFonts w:ascii="Times New Roman" w:hAnsi="Times New Roman"/>
                <w:sz w:val="24"/>
              </w:rPr>
            </w:pPr>
            <w:r>
              <w:rPr>
                <w:rFonts w:ascii="Times New Roman" w:hAnsi="Times New Roman"/>
                <w:sz w:val="24"/>
              </w:rPr>
              <w:t>L'effet de diversification dans la colonne 110 correspond à la différence entre la somme des exigences de fonds propres calculées séparément pour chaque c</w:t>
            </w:r>
            <w:r>
              <w:rPr>
                <w:rFonts w:ascii="Times New Roman" w:hAnsi="Times New Roman"/>
                <w:sz w:val="24"/>
              </w:rPr>
              <w:t>a</w:t>
            </w:r>
            <w:r>
              <w:rPr>
                <w:rFonts w:ascii="Times New Roman" w:hAnsi="Times New Roman"/>
                <w:sz w:val="24"/>
              </w:rPr>
              <w:t>tégorie de risque opérationnel (à savoir une situation de «dépendance parfaite») et l'exigence de fonds propres diversifiée calculée en tenant compte des corrél</w:t>
            </w:r>
            <w:r>
              <w:rPr>
                <w:rFonts w:ascii="Times New Roman" w:hAnsi="Times New Roman"/>
                <w:sz w:val="24"/>
              </w:rPr>
              <w:t>a</w:t>
            </w:r>
            <w:r>
              <w:rPr>
                <w:rFonts w:ascii="Times New Roman" w:hAnsi="Times New Roman"/>
                <w:sz w:val="24"/>
              </w:rPr>
              <w:t>tions et des dépendances (c'est-à-dire en supposant une dépendance inférieure à une «dépendance parfaite» entre les catégories de risques). La situation de «d</w:t>
            </w:r>
            <w:r>
              <w:rPr>
                <w:rFonts w:ascii="Times New Roman" w:hAnsi="Times New Roman"/>
                <w:sz w:val="24"/>
              </w:rPr>
              <w:t>é</w:t>
            </w:r>
            <w:r>
              <w:rPr>
                <w:rFonts w:ascii="Times New Roman" w:hAnsi="Times New Roman"/>
                <w:sz w:val="24"/>
              </w:rPr>
              <w:t>pendance parfaite» survient dans le «cas par défaut», c'est-à-dire lorsque l'ét</w:t>
            </w:r>
            <w:r>
              <w:rPr>
                <w:rFonts w:ascii="Times New Roman" w:hAnsi="Times New Roman"/>
                <w:sz w:val="24"/>
              </w:rPr>
              <w:t>a</w:t>
            </w:r>
            <w:r>
              <w:rPr>
                <w:rFonts w:ascii="Times New Roman" w:hAnsi="Times New Roman"/>
                <w:sz w:val="24"/>
              </w:rPr>
              <w:t>blissement ne recourt pas à une structure de corrélations explicite entre les c</w:t>
            </w:r>
            <w:r>
              <w:rPr>
                <w:rFonts w:ascii="Times New Roman" w:hAnsi="Times New Roman"/>
                <w:sz w:val="24"/>
              </w:rPr>
              <w:t>a</w:t>
            </w:r>
            <w:r>
              <w:rPr>
                <w:rFonts w:ascii="Times New Roman" w:hAnsi="Times New Roman"/>
                <w:sz w:val="24"/>
              </w:rPr>
              <w:t>tégories de risques, et que les fonds propres AMA sont donc calculés comme étant la somme des différentes mesures du risque opérationnel des catégories de risque choisies. Dans ce cas, on suppose une corrélation de 100 % entre les catégories de risques et la valeur déclarée dans la colonne sera égale à 0. En r</w:t>
            </w:r>
            <w:r>
              <w:rPr>
                <w:rFonts w:ascii="Times New Roman" w:hAnsi="Times New Roman"/>
                <w:sz w:val="24"/>
              </w:rPr>
              <w:t>e</w:t>
            </w:r>
            <w:r>
              <w:rPr>
                <w:rFonts w:ascii="Times New Roman" w:hAnsi="Times New Roman"/>
                <w:sz w:val="24"/>
              </w:rPr>
              <w:t>vanche, lorsque l'établissement calcule une structure de corrélations explicite entre les catégories de risques, il doit inclure dans cette colonne la différence entre les fonds propres AMA tels que découlant du «cas par défaut» et ceux o</w:t>
            </w:r>
            <w:r>
              <w:rPr>
                <w:rFonts w:ascii="Times New Roman" w:hAnsi="Times New Roman"/>
                <w:sz w:val="24"/>
              </w:rPr>
              <w:t>b</w:t>
            </w:r>
            <w:r>
              <w:rPr>
                <w:rFonts w:ascii="Times New Roman" w:hAnsi="Times New Roman"/>
                <w:sz w:val="24"/>
              </w:rPr>
              <w:lastRenderedPageBreak/>
              <w:t>tenus après application de la structure de corrélations entre les catégories de risques. Cette valeur rend compte de la «capacité de diversification» du modèle AMA, c'est-à-dire de l'aptitude du modèle à tenir compte de la survenance non simultanée de pertes graves pour risque opérationnel. Dans la colonne 110, il convient de déclarer le montant de la réduction des fonds propres AMA qu'e</w:t>
            </w:r>
            <w:r>
              <w:rPr>
                <w:rFonts w:ascii="Times New Roman" w:hAnsi="Times New Roman"/>
                <w:sz w:val="24"/>
              </w:rPr>
              <w:t>n</w:t>
            </w:r>
            <w:r>
              <w:rPr>
                <w:rFonts w:ascii="Times New Roman" w:hAnsi="Times New Roman"/>
                <w:sz w:val="24"/>
              </w:rPr>
              <w:t>traîne la structure de corrélation retenue par rapport à l'hypothèse d'une corrél</w:t>
            </w:r>
            <w:r>
              <w:rPr>
                <w:rFonts w:ascii="Times New Roman" w:hAnsi="Times New Roman"/>
                <w:sz w:val="24"/>
              </w:rPr>
              <w:t>a</w:t>
            </w:r>
            <w:r>
              <w:rPr>
                <w:rFonts w:ascii="Times New Roman" w:hAnsi="Times New Roman"/>
                <w:sz w:val="24"/>
              </w:rPr>
              <w:t>tion de 100 %.</w:t>
            </w:r>
          </w:p>
          <w:p w:rsidR="001A6C53" w:rsidRPr="00392FFD" w:rsidRDefault="001A6C53" w:rsidP="008D2F6E">
            <w:pPr>
              <w:autoSpaceDE w:val="0"/>
              <w:autoSpaceDN w:val="0"/>
              <w:adjustRightInd w:val="0"/>
              <w:spacing w:before="0" w:after="0"/>
              <w:jc w:val="left"/>
              <w:rPr>
                <w:rFonts w:ascii="Times New Roman" w:hAnsi="Times New Roman"/>
                <w:bCs/>
                <w:sz w:val="24"/>
              </w:rPr>
            </w:pPr>
          </w:p>
        </w:tc>
      </w:tr>
      <w:tr w:rsidR="001A6C53" w:rsidRPr="00392FFD" w:rsidTr="008D2F6E">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120</w:t>
            </w:r>
          </w:p>
        </w:tc>
        <w:tc>
          <w:tcPr>
            <w:tcW w:w="7877" w:type="dxa"/>
          </w:tcPr>
          <w:p w:rsidR="001A6C53" w:rsidRPr="00392FFD" w:rsidRDefault="001A6C53" w:rsidP="008D2F6E">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ALLÈGEMENT DES EXIGENCES DE FONDS PROPRES EN RA</w:t>
            </w:r>
            <w:r>
              <w:rPr>
                <w:rStyle w:val="InstructionsTabelleberschrift"/>
                <w:rFonts w:ascii="Times New Roman" w:hAnsi="Times New Roman"/>
                <w:sz w:val="24"/>
              </w:rPr>
              <w:t>I</w:t>
            </w:r>
            <w:r>
              <w:rPr>
                <w:rStyle w:val="InstructionsTabelleberschrift"/>
                <w:rFonts w:ascii="Times New Roman" w:hAnsi="Times New Roman"/>
                <w:sz w:val="24"/>
              </w:rPr>
              <w:t>SON DE TECHNIQUES D'ATTÉNUATION DU RISQUE (ASSURANCE ET AUTRES MÉCANISMES DE TRANSFERT DU RISQUE)</w:t>
            </w:r>
          </w:p>
          <w:p w:rsidR="001A6C53" w:rsidRPr="00392FFD" w:rsidRDefault="001A6C53" w:rsidP="008D2F6E">
            <w:pPr>
              <w:autoSpaceDE w:val="0"/>
              <w:autoSpaceDN w:val="0"/>
              <w:adjustRightInd w:val="0"/>
              <w:spacing w:before="0" w:after="0"/>
              <w:jc w:val="left"/>
              <w:rPr>
                <w:rFonts w:ascii="Times New Roman" w:hAnsi="Times New Roman"/>
                <w:sz w:val="24"/>
              </w:rPr>
            </w:pPr>
          </w:p>
          <w:p w:rsidR="001A6C53" w:rsidRPr="00392FFD" w:rsidRDefault="001A6C53" w:rsidP="008D2F6E">
            <w:pPr>
              <w:autoSpaceDE w:val="0"/>
              <w:autoSpaceDN w:val="0"/>
              <w:adjustRightInd w:val="0"/>
              <w:spacing w:before="0" w:after="0"/>
              <w:jc w:val="left"/>
              <w:rPr>
                <w:rFonts w:ascii="Times New Roman" w:hAnsi="Times New Roman"/>
                <w:sz w:val="24"/>
              </w:rPr>
            </w:pPr>
            <w:r>
              <w:rPr>
                <w:rFonts w:ascii="Times New Roman" w:hAnsi="Times New Roman"/>
                <w:sz w:val="24"/>
              </w:rPr>
              <w:t>Dans la colonne 120 figure l'impact des assurances et des autres mécanismes de transfert du risque, visés à l'article 323, paragraphes 1 à 5, du CRR.</w:t>
            </w:r>
          </w:p>
          <w:p w:rsidR="001A6C53" w:rsidRPr="00392FFD" w:rsidRDefault="001A6C53" w:rsidP="008D2F6E">
            <w:pPr>
              <w:autoSpaceDE w:val="0"/>
              <w:autoSpaceDN w:val="0"/>
              <w:adjustRightInd w:val="0"/>
              <w:spacing w:before="0" w:after="0"/>
              <w:jc w:val="left"/>
              <w:rPr>
                <w:rFonts w:ascii="Times New Roman" w:hAnsi="Times New Roman"/>
                <w:bCs/>
                <w:sz w:val="24"/>
              </w:rPr>
            </w:pPr>
          </w:p>
        </w:tc>
      </w:tr>
    </w:tbl>
    <w:p w:rsidR="001A6C53" w:rsidRPr="00392FFD" w:rsidRDefault="001A6C53" w:rsidP="001A6C53">
      <w:pPr>
        <w:autoSpaceDE w:val="0"/>
        <w:autoSpaceDN w:val="0"/>
        <w:adjustRightInd w:val="0"/>
        <w:spacing w:before="0" w:after="0"/>
        <w:rPr>
          <w:rFonts w:ascii="Times New Roman" w:hAnsi="Times New Roman"/>
          <w:sz w:val="24"/>
        </w:rPr>
      </w:pPr>
    </w:p>
    <w:p w:rsidR="001A6C53" w:rsidRPr="00392FFD" w:rsidRDefault="001A6C53" w:rsidP="001A6C53">
      <w:pPr>
        <w:autoSpaceDE w:val="0"/>
        <w:autoSpaceDN w:val="0"/>
        <w:adjustRightInd w:val="0"/>
        <w:spacing w:before="0" w:after="0"/>
        <w:rPr>
          <w:rFonts w:ascii="Times New Roman" w:hAnsi="Times New Roman"/>
          <w:sz w:val="24"/>
        </w:rPr>
      </w:pPr>
    </w:p>
    <w:p w:rsidR="001A6C53" w:rsidRPr="00321A3B" w:rsidRDefault="001A6C53" w:rsidP="001A6C53">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1A6C53" w:rsidRPr="00392FFD" w:rsidTr="008D2F6E">
        <w:trPr>
          <w:trHeight w:val="518"/>
        </w:trPr>
        <w:tc>
          <w:tcPr>
            <w:tcW w:w="8862" w:type="dxa"/>
            <w:gridSpan w:val="2"/>
            <w:shd w:val="clear" w:color="auto" w:fill="CCCCCC"/>
          </w:tcPr>
          <w:p w:rsidR="001A6C53" w:rsidRPr="00392FFD" w:rsidRDefault="001A6C53" w:rsidP="008D2F6E">
            <w:pPr>
              <w:autoSpaceDE w:val="0"/>
              <w:autoSpaceDN w:val="0"/>
              <w:adjustRightInd w:val="0"/>
              <w:spacing w:after="0"/>
              <w:rPr>
                <w:rFonts w:ascii="Times New Roman" w:hAnsi="Times New Roman"/>
                <w:b/>
                <w:bCs/>
                <w:sz w:val="24"/>
              </w:rPr>
            </w:pPr>
            <w:r>
              <w:rPr>
                <w:rFonts w:ascii="Times New Roman" w:hAnsi="Times New Roman"/>
                <w:b/>
                <w:sz w:val="24"/>
              </w:rPr>
              <w:t>Lignes</w:t>
            </w:r>
          </w:p>
        </w:tc>
      </w:tr>
      <w:tr w:rsidR="001A6C53" w:rsidRPr="00392FFD" w:rsidTr="008D2F6E">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 xml:space="preserve">010 </w:t>
            </w:r>
          </w:p>
        </w:tc>
        <w:tc>
          <w:tcPr>
            <w:tcW w:w="7877" w:type="dxa"/>
          </w:tcPr>
          <w:p w:rsidR="001A6C53" w:rsidRPr="00392FFD" w:rsidRDefault="001A6C53" w:rsidP="008D2F6E">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ACTIVITÉS BANCAIRES EN APPROCHE ÉLÉMENTAIRE (BIA)</w:t>
            </w:r>
          </w:p>
          <w:p w:rsidR="001A6C53" w:rsidRPr="00392FFD" w:rsidRDefault="001A6C53" w:rsidP="008D2F6E">
            <w:pPr>
              <w:pStyle w:val="PlainText"/>
              <w:jc w:val="both"/>
              <w:rPr>
                <w:rFonts w:ascii="Times New Roman" w:eastAsia="Times New Roman" w:hAnsi="Times New Roman"/>
                <w:sz w:val="24"/>
                <w:szCs w:val="24"/>
              </w:rPr>
            </w:pPr>
          </w:p>
          <w:p w:rsidR="001A6C53" w:rsidRPr="00392FFD" w:rsidRDefault="001A6C53" w:rsidP="008D2F6E">
            <w:pPr>
              <w:pStyle w:val="PlainText"/>
              <w:jc w:val="both"/>
              <w:rPr>
                <w:rFonts w:ascii="Times New Roman" w:eastAsia="Times New Roman" w:hAnsi="Times New Roman"/>
                <w:sz w:val="24"/>
                <w:szCs w:val="24"/>
              </w:rPr>
            </w:pPr>
            <w:r>
              <w:rPr>
                <w:rFonts w:ascii="Times New Roman" w:hAnsi="Times New Roman"/>
                <w:sz w:val="24"/>
              </w:rPr>
              <w:t>Cette ligne présente les montants correspondant aux activités soumises à l'a</w:t>
            </w:r>
            <w:r>
              <w:rPr>
                <w:rFonts w:ascii="Times New Roman" w:hAnsi="Times New Roman"/>
                <w:sz w:val="24"/>
              </w:rPr>
              <w:t>p</w:t>
            </w:r>
            <w:r>
              <w:rPr>
                <w:rFonts w:ascii="Times New Roman" w:hAnsi="Times New Roman"/>
                <w:sz w:val="24"/>
              </w:rPr>
              <w:t>proche élémentaire pour le calcul de l'exigence de fonds propres pour risque opérationnel (articles 315 et 316 du CRR).</w:t>
            </w:r>
          </w:p>
          <w:p w:rsidR="001A6C53" w:rsidRPr="00392FFD" w:rsidRDefault="001A6C53" w:rsidP="008D2F6E">
            <w:pPr>
              <w:pStyle w:val="PlainText"/>
              <w:jc w:val="both"/>
              <w:rPr>
                <w:rFonts w:ascii="Times New Roman" w:eastAsia="Times New Roman" w:hAnsi="Times New Roman"/>
                <w:bCs/>
                <w:sz w:val="24"/>
                <w:szCs w:val="24"/>
              </w:rPr>
            </w:pPr>
          </w:p>
        </w:tc>
      </w:tr>
      <w:tr w:rsidR="001A6C53" w:rsidRPr="00392FFD" w:rsidTr="008D2F6E">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77" w:type="dxa"/>
          </w:tcPr>
          <w:p w:rsidR="001A6C53" w:rsidRPr="00392FFD" w:rsidRDefault="001A6C53" w:rsidP="008D2F6E">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ACTIVITÉS BANCAIRES EN APPROCHE STANDARD (TSA)/ EN A</w:t>
            </w:r>
            <w:r>
              <w:rPr>
                <w:rStyle w:val="InstructionsTabelleberschrift"/>
                <w:rFonts w:ascii="Times New Roman" w:hAnsi="Times New Roman"/>
                <w:sz w:val="24"/>
              </w:rPr>
              <w:t>P</w:t>
            </w:r>
            <w:r>
              <w:rPr>
                <w:rStyle w:val="InstructionsTabelleberschrift"/>
                <w:rFonts w:ascii="Times New Roman" w:hAnsi="Times New Roman"/>
                <w:sz w:val="24"/>
              </w:rPr>
              <w:t>PROCHE STANDARD DE REMPLACEMENT (ASA)</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L'exigence de fonds propres calculée selon l'approche TSA et selon l'approche ASA (articles 317 à 319 du CRR) est déclarée.</w:t>
            </w:r>
          </w:p>
          <w:p w:rsidR="001A6C53" w:rsidRPr="00392FFD" w:rsidRDefault="001A6C53" w:rsidP="008D2F6E">
            <w:pPr>
              <w:autoSpaceDE w:val="0"/>
              <w:autoSpaceDN w:val="0"/>
              <w:adjustRightInd w:val="0"/>
              <w:spacing w:before="0" w:after="0"/>
              <w:rPr>
                <w:rFonts w:ascii="Times New Roman" w:hAnsi="Times New Roman"/>
                <w:bCs/>
                <w:sz w:val="24"/>
              </w:rPr>
            </w:pPr>
          </w:p>
        </w:tc>
      </w:tr>
      <w:tr w:rsidR="001A6C53" w:rsidRPr="00392FFD" w:rsidTr="008D2F6E">
        <w:trPr>
          <w:trHeight w:val="1705"/>
        </w:trPr>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030-100</w:t>
            </w:r>
          </w:p>
        </w:tc>
        <w:tc>
          <w:tcPr>
            <w:tcW w:w="7877"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EN APPROCHE STANDARD (TSA)</w:t>
            </w:r>
          </w:p>
          <w:p w:rsidR="001A6C53" w:rsidRPr="00392FFD" w:rsidRDefault="001A6C53" w:rsidP="008D2F6E">
            <w:pPr>
              <w:autoSpaceDE w:val="0"/>
              <w:autoSpaceDN w:val="0"/>
              <w:adjustRightInd w:val="0"/>
              <w:spacing w:before="0" w:after="0"/>
              <w:jc w:val="left"/>
              <w:rPr>
                <w:rFonts w:ascii="Times New Roman" w:hAnsi="Times New Roman"/>
                <w:bCs/>
                <w:sz w:val="24"/>
              </w:rPr>
            </w:pPr>
            <w:r>
              <w:rPr>
                <w:rFonts w:ascii="Times New Roman" w:hAnsi="Times New Roman"/>
                <w:sz w:val="24"/>
              </w:rPr>
              <w:t>Dans le cas de l'utilisation de l'approche TSA, l'indicateur pertinent pour chaque exercice respectif sera réparti, dans les lignes 030 à 100, entre les diff</w:t>
            </w:r>
            <w:r>
              <w:rPr>
                <w:rFonts w:ascii="Times New Roman" w:hAnsi="Times New Roman"/>
                <w:sz w:val="24"/>
              </w:rPr>
              <w:t>é</w:t>
            </w:r>
            <w:r>
              <w:rPr>
                <w:rFonts w:ascii="Times New Roman" w:hAnsi="Times New Roman"/>
                <w:sz w:val="24"/>
              </w:rPr>
              <w:t>rentes lignes d'activité définies à l'article 317, tableau 2, du CRR. La mise en correspondance des activités avec les lignes d'activité doit suivre les principes énoncés à l'article 318 du CRR.</w:t>
            </w:r>
          </w:p>
        </w:tc>
      </w:tr>
      <w:tr w:rsidR="001A6C53" w:rsidRPr="00392FFD" w:rsidTr="008D2F6E">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110-120</w:t>
            </w:r>
          </w:p>
        </w:tc>
        <w:tc>
          <w:tcPr>
            <w:tcW w:w="7877" w:type="dxa"/>
          </w:tcPr>
          <w:p w:rsidR="001A6C53" w:rsidRPr="00392FFD" w:rsidRDefault="001A6C53" w:rsidP="008D2F6E">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EN APPROCHE STANDARD DE REMPLACEMENT (ASA)</w:t>
            </w:r>
          </w:p>
          <w:p w:rsidR="001A6C53" w:rsidRPr="00392FFD" w:rsidRDefault="001A6C53" w:rsidP="008D2F6E">
            <w:pPr>
              <w:rPr>
                <w:rFonts w:ascii="Times New Roman" w:hAnsi="Times New Roman"/>
                <w:sz w:val="24"/>
              </w:rPr>
            </w:pPr>
            <w:r>
              <w:rPr>
                <w:rFonts w:ascii="Times New Roman" w:hAnsi="Times New Roman"/>
                <w:sz w:val="24"/>
              </w:rPr>
              <w:t>Les établissements qui utilisent l'approche ASA (article 319 du CRR) décl</w:t>
            </w:r>
            <w:r>
              <w:rPr>
                <w:rFonts w:ascii="Times New Roman" w:hAnsi="Times New Roman"/>
                <w:sz w:val="24"/>
              </w:rPr>
              <w:t>a</w:t>
            </w:r>
            <w:r>
              <w:rPr>
                <w:rFonts w:ascii="Times New Roman" w:hAnsi="Times New Roman"/>
                <w:sz w:val="24"/>
              </w:rPr>
              <w:t>rent, pour les exercices respectifs, l'indicateur pertinent séparément pour chaque ligne d'activité dans les lignes 030 à 050 et 080 à 100, et dans les lignes 110 et 120 pour les lignes d'activité «banque commerciale» et «banque de d</w:t>
            </w:r>
            <w:r>
              <w:rPr>
                <w:rFonts w:ascii="Times New Roman" w:hAnsi="Times New Roman"/>
                <w:sz w:val="24"/>
              </w:rPr>
              <w:t>é</w:t>
            </w:r>
            <w:r>
              <w:rPr>
                <w:rFonts w:ascii="Times New Roman" w:hAnsi="Times New Roman"/>
                <w:sz w:val="24"/>
              </w:rPr>
              <w:t xml:space="preserve">tail». </w:t>
            </w:r>
          </w:p>
          <w:p w:rsidR="001A6C53" w:rsidRPr="00392FFD" w:rsidRDefault="001A6C53" w:rsidP="008D2F6E">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 xml:space="preserve">Les lignes 110 et 120 indiqueront le montant de </w:t>
            </w:r>
            <w:r>
              <w:rPr>
                <w:rFonts w:ascii="Times New Roman" w:hAnsi="Times New Roman"/>
                <w:sz w:val="24"/>
              </w:rPr>
              <w:t xml:space="preserve">l'indicateur pertinent </w:t>
            </w:r>
            <w:r>
              <w:rPr>
                <w:rStyle w:val="InstructionsTabelleText"/>
                <w:rFonts w:ascii="Times New Roman" w:hAnsi="Times New Roman"/>
                <w:sz w:val="24"/>
              </w:rPr>
              <w:t>des act</w:t>
            </w:r>
            <w:r>
              <w:rPr>
                <w:rStyle w:val="InstructionsTabelleText"/>
                <w:rFonts w:ascii="Times New Roman" w:hAnsi="Times New Roman"/>
                <w:sz w:val="24"/>
              </w:rPr>
              <w:t>i</w:t>
            </w:r>
            <w:r>
              <w:rPr>
                <w:rStyle w:val="InstructionsTabelleText"/>
                <w:rFonts w:ascii="Times New Roman" w:hAnsi="Times New Roman"/>
                <w:sz w:val="24"/>
              </w:rPr>
              <w:t>vités soumises à l'approche ASA, en opérant une distinction entre celles co</w:t>
            </w:r>
            <w:r>
              <w:rPr>
                <w:rStyle w:val="InstructionsTabelleText"/>
                <w:rFonts w:ascii="Times New Roman" w:hAnsi="Times New Roman"/>
                <w:sz w:val="24"/>
              </w:rPr>
              <w:t>r</w:t>
            </w:r>
            <w:r>
              <w:rPr>
                <w:rStyle w:val="InstructionsTabelleText"/>
                <w:rFonts w:ascii="Times New Roman" w:hAnsi="Times New Roman"/>
                <w:sz w:val="24"/>
              </w:rPr>
              <w:t xml:space="preserve">respondant à la «banque commerciale» et celles correspondant à la «banque de détail» (article 319 </w:t>
            </w:r>
            <w:r>
              <w:rPr>
                <w:rFonts w:ascii="Times New Roman" w:hAnsi="Times New Roman"/>
                <w:sz w:val="24"/>
              </w:rPr>
              <w:t>du CRR</w:t>
            </w:r>
            <w:r>
              <w:rPr>
                <w:rStyle w:val="InstructionsTabelleText"/>
                <w:rFonts w:ascii="Times New Roman" w:hAnsi="Times New Roman"/>
                <w:sz w:val="24"/>
              </w:rPr>
              <w:t>). Des montants peuvent figurer aux lignes corre</w:t>
            </w:r>
            <w:r>
              <w:rPr>
                <w:rStyle w:val="InstructionsTabelleText"/>
                <w:rFonts w:ascii="Times New Roman" w:hAnsi="Times New Roman"/>
                <w:sz w:val="24"/>
              </w:rPr>
              <w:t>s</w:t>
            </w:r>
            <w:r>
              <w:rPr>
                <w:rStyle w:val="InstructionsTabelleText"/>
                <w:rFonts w:ascii="Times New Roman" w:hAnsi="Times New Roman"/>
                <w:sz w:val="24"/>
              </w:rPr>
              <w:lastRenderedPageBreak/>
              <w:t>pondant à la «banque commerciale» et à la «banque de détail», non seulement avec l'approche TSA (lignes 060 et 070), mais également avec l'approche ASA (lignes 110 et 120), par exemple si une filiale est soumise à l'approche TSA alors que l'entreprise mère est soumise à l'approche ASA.</w:t>
            </w:r>
          </w:p>
        </w:tc>
      </w:tr>
      <w:tr w:rsidR="001A6C53" w:rsidRPr="00392FFD" w:rsidTr="008D2F6E">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130</w:t>
            </w:r>
          </w:p>
        </w:tc>
        <w:tc>
          <w:tcPr>
            <w:tcW w:w="7877" w:type="dxa"/>
          </w:tcPr>
          <w:p w:rsidR="001A6C53" w:rsidRPr="00392FFD" w:rsidRDefault="001A6C53" w:rsidP="008D2F6E">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ACTIVITÉS BANCAIRES EN APPROCHE PAR MESURE AVANCÉE (AMA)</w:t>
            </w:r>
          </w:p>
          <w:p w:rsidR="001A6C53" w:rsidRPr="00392FFD" w:rsidRDefault="001A6C53" w:rsidP="008D2F6E">
            <w:pPr>
              <w:autoSpaceDE w:val="0"/>
              <w:autoSpaceDN w:val="0"/>
              <w:adjustRightInd w:val="0"/>
              <w:spacing w:before="0" w:after="0"/>
              <w:rPr>
                <w:rFonts w:ascii="Times New Roman" w:hAnsi="Times New Roman"/>
                <w:bCs/>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Les données pertinentes pour les établissements appliquant l'approche AMA (article 312, paragraphe 2, et articles 321 à 323 du CRR) sont déclarées.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En cas d'utilisation combinée de différentes approches, comme indiqué à l'a</w:t>
            </w:r>
            <w:r>
              <w:rPr>
                <w:rFonts w:ascii="Times New Roman" w:hAnsi="Times New Roman"/>
                <w:sz w:val="24"/>
              </w:rPr>
              <w:t>r</w:t>
            </w:r>
            <w:r>
              <w:rPr>
                <w:rFonts w:ascii="Times New Roman" w:hAnsi="Times New Roman"/>
                <w:sz w:val="24"/>
              </w:rPr>
              <w:t>ticle 314 du CRR, les informations sur l'indicateur pertinent pour les activités soumises à l'approche AMA seront déclarées. Il en va de même pour toutes les autres banques qui appliquent les approches AMA.</w:t>
            </w:r>
          </w:p>
          <w:p w:rsidR="001A6C53" w:rsidRPr="00392FFD" w:rsidRDefault="001A6C53" w:rsidP="008D2F6E">
            <w:pPr>
              <w:autoSpaceDE w:val="0"/>
              <w:autoSpaceDN w:val="0"/>
              <w:adjustRightInd w:val="0"/>
              <w:spacing w:before="0" w:after="0"/>
              <w:rPr>
                <w:rFonts w:ascii="Times New Roman" w:hAnsi="Times New Roman"/>
                <w:bCs/>
                <w:sz w:val="24"/>
              </w:rPr>
            </w:pPr>
          </w:p>
        </w:tc>
      </w:tr>
    </w:tbl>
    <w:p w:rsidR="001A6C53" w:rsidRPr="00321A3B" w:rsidRDefault="001A6C53" w:rsidP="001A6C53">
      <w:pPr>
        <w:pStyle w:val="PlainText"/>
        <w:jc w:val="both"/>
        <w:rPr>
          <w:rFonts w:ascii="Times New Roman" w:hAnsi="Times New Roman"/>
          <w:sz w:val="24"/>
          <w:szCs w:val="24"/>
        </w:rPr>
      </w:pPr>
    </w:p>
    <w:p w:rsidR="001A6C53" w:rsidRPr="00392FFD" w:rsidRDefault="001A6C53" w:rsidP="001A6C53">
      <w:pPr>
        <w:rPr>
          <w:rFonts w:ascii="Times New Roman" w:hAnsi="Times New Roman"/>
          <w:sz w:val="24"/>
        </w:rPr>
      </w:pP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04" w:name="_Toc524104213"/>
      <w:r>
        <w:rPr>
          <w:rFonts w:ascii="Times New Roman" w:hAnsi="Times New Roman"/>
          <w:sz w:val="24"/>
          <w:u w:val="none"/>
        </w:rPr>
        <w:t>4.2.</w:t>
      </w:r>
      <w:r w:rsidRPr="008028AE">
        <w:rPr>
          <w:u w:val="none"/>
        </w:rPr>
        <w:tab/>
      </w:r>
      <w:r>
        <w:rPr>
          <w:rFonts w:ascii="Times New Roman" w:hAnsi="Times New Roman"/>
          <w:sz w:val="24"/>
        </w:rPr>
        <w:t>Risque opérationnel: Informations détaillées sur les pertes au cours de l’exercice passé (OPR DETAILS)</w:t>
      </w:r>
      <w:bookmarkEnd w:id="404"/>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05" w:name="_Toc524104214"/>
      <w:r>
        <w:rPr>
          <w:rFonts w:ascii="Times New Roman" w:hAnsi="Times New Roman"/>
          <w:sz w:val="24"/>
          <w:u w:val="none"/>
        </w:rPr>
        <w:t>4.2.1.</w:t>
      </w:r>
      <w:r w:rsidRPr="00DF450A">
        <w:rPr>
          <w:u w:val="none"/>
        </w:rPr>
        <w:tab/>
      </w:r>
      <w:r>
        <w:rPr>
          <w:rFonts w:ascii="Times New Roman" w:hAnsi="Times New Roman"/>
          <w:sz w:val="24"/>
        </w:rPr>
        <w:t>Remarques générales</w:t>
      </w:r>
      <w:bookmarkEnd w:id="405"/>
    </w:p>
    <w:p w:rsidR="001A6C53" w:rsidRPr="00392FFD" w:rsidRDefault="001A6C53" w:rsidP="001A6C53">
      <w:pPr>
        <w:pStyle w:val="InstructionsText2"/>
        <w:numPr>
          <w:ilvl w:val="0"/>
          <w:numId w:val="0"/>
        </w:numPr>
        <w:ind w:left="993"/>
      </w:pPr>
      <w:r>
        <w:t>120.</w:t>
      </w:r>
      <w:r>
        <w:tab/>
        <w:t xml:space="preserve">Le modèle C 17.01 (OPR DETAILS 1) synthétise les informations sur les pertes brutes et les recouvrements de pertes enregistrés par un établissement au cours du dernier exercice en fonction du type d'événement et de la ligne d'activité. Le modèle C 17.02 (OPR DETAILS 2) fournit des informations détaillées sur les évènements de perte les plus importants du dernier exercice. </w:t>
      </w:r>
    </w:p>
    <w:p w:rsidR="001A6C53" w:rsidRPr="00392FFD" w:rsidRDefault="001A6C53" w:rsidP="001A6C53">
      <w:pPr>
        <w:pStyle w:val="InstructionsText2"/>
        <w:numPr>
          <w:ilvl w:val="0"/>
          <w:numId w:val="0"/>
        </w:numPr>
        <w:ind w:left="993"/>
      </w:pPr>
      <w:r>
        <w:t>121.</w:t>
      </w:r>
      <w:r>
        <w:tab/>
        <w:t>Les pertes pour risque opérationnel qui sont en rapport avec le risque de crédit et sont soumises aux exigences de fonds propres pour risque de crédit (évènements de risque opérationnel à la limite avec le risque de crédit) ne sont prises en consid</w:t>
      </w:r>
      <w:r>
        <w:t>é</w:t>
      </w:r>
      <w:r>
        <w:t>ration ni dans le modèle C 17.01 ni dans le modèle C 17.02</w:t>
      </w:r>
    </w:p>
    <w:p w:rsidR="001A6C53" w:rsidRPr="00392FFD" w:rsidRDefault="001A6C53" w:rsidP="001A6C53">
      <w:pPr>
        <w:pStyle w:val="InstructionsText2"/>
        <w:numPr>
          <w:ilvl w:val="0"/>
          <w:numId w:val="0"/>
        </w:numPr>
        <w:ind w:left="993"/>
      </w:pPr>
      <w:r>
        <w:t>122.</w:t>
      </w:r>
      <w:r>
        <w:tab/>
        <w:t>En cas d'utilisation combinée de différentes approches pour le calcul des ex</w:t>
      </w:r>
      <w:r>
        <w:t>i</w:t>
      </w:r>
      <w:r>
        <w:t>gences de fonds propres pour risque opérationnel conformément à l'article 314 du CRR, les pertes et recouvrements enregistrés par un établissement seront déclarés dans les modèles C 17.01 et C 17.02 quelle que soit l'approche utilisée pour le ca</w:t>
      </w:r>
      <w:r>
        <w:t>l</w:t>
      </w:r>
      <w:r>
        <w:t>cul des exigences de fonds propres.</w:t>
      </w:r>
    </w:p>
    <w:p w:rsidR="001A6C53" w:rsidRPr="00392FFD" w:rsidRDefault="001A6C53" w:rsidP="001A6C53">
      <w:pPr>
        <w:pStyle w:val="InstructionsText2"/>
        <w:numPr>
          <w:ilvl w:val="0"/>
          <w:numId w:val="0"/>
        </w:numPr>
        <w:ind w:left="993"/>
      </w:pPr>
      <w:r>
        <w:t>123.</w:t>
      </w:r>
      <w:r>
        <w:tab/>
        <w:t>Par «perte brute», on entend une perte résultant d'un événement ou type d'év</w:t>
      </w:r>
      <w:r>
        <w:t>é</w:t>
      </w:r>
      <w:r>
        <w:t xml:space="preserve">nement de risque opérationnel (tel que visé à l'article 322, paragraphe 3, point b), du CRR) avant tout type de recouvrement, sans préjudice des «évènements de perte rapidement recouvrés» définis plus bas. </w:t>
      </w:r>
    </w:p>
    <w:p w:rsidR="001A6C53" w:rsidRPr="00392FFD" w:rsidRDefault="001A6C53" w:rsidP="001A6C53">
      <w:pPr>
        <w:pStyle w:val="InstructionsText2"/>
        <w:numPr>
          <w:ilvl w:val="0"/>
          <w:numId w:val="0"/>
        </w:numPr>
        <w:ind w:left="993"/>
      </w:pPr>
      <w:r>
        <w:t>124.</w:t>
      </w:r>
      <w:r>
        <w:tab/>
        <w:t>Par «recouvrement», on entend un événement indépendant lié à la perte pour risque opérationnel initiale intervenant à un moment distinct, au cours duquel des fonds ou des entrées d'avantages économiques sont reçus de la part de parties pr</w:t>
      </w:r>
      <w:r>
        <w:t>e</w:t>
      </w:r>
      <w:r>
        <w:t xml:space="preserve">nantes ou de tiers, tels que des assureurs ou d'autres parties. Les recouvrements sont </w:t>
      </w:r>
      <w:r>
        <w:lastRenderedPageBreak/>
        <w:t>répartis entre recouvrements provenant des assurances et autres mécanismes de transfert du risque et recouvrements directs.</w:t>
      </w:r>
    </w:p>
    <w:p w:rsidR="001A6C53" w:rsidRPr="00392FFD" w:rsidRDefault="001A6C53" w:rsidP="001A6C53">
      <w:pPr>
        <w:pStyle w:val="InstructionsText2"/>
        <w:numPr>
          <w:ilvl w:val="0"/>
          <w:numId w:val="0"/>
        </w:numPr>
        <w:ind w:left="993"/>
      </w:pPr>
      <w:r>
        <w:t>125.</w:t>
      </w:r>
      <w:r>
        <w:tab/>
        <w:t>Par «événements de perte rapidement recouvrés», on entend des événements de risque opérationnel conduisant à des pertes qui sont partiellement ou intégralement recouvrées dans un délai de cinq jours ouvrables. Dans le cas d'un événement de perte rapidement recouvré, seule la partie non recouvrée d'une perte qui n'est pas i</w:t>
      </w:r>
      <w:r>
        <w:t>n</w:t>
      </w:r>
      <w:r>
        <w:t>tégralement recouvrée (c'est-à-dire la perte nette après recouvrement partiel rapide) est incluse dans la définition de la perte brute. En conséquence, les événements de perte conduisant à des pertes intégralement recouvrées dans un délai de cinq jours ouvrables ne sont pas inclus dans la définition de la perte brute, ni dans la déclar</w:t>
      </w:r>
      <w:r>
        <w:t>a</w:t>
      </w:r>
      <w:r>
        <w:t>tion OPR DETAILS.</w:t>
      </w:r>
    </w:p>
    <w:p w:rsidR="001A6C53" w:rsidRPr="00392FFD" w:rsidRDefault="001A6C53" w:rsidP="001A6C53">
      <w:pPr>
        <w:pStyle w:val="InstructionsText2"/>
        <w:numPr>
          <w:ilvl w:val="0"/>
          <w:numId w:val="0"/>
        </w:numPr>
        <w:ind w:left="993"/>
      </w:pPr>
      <w:r>
        <w:t>126.</w:t>
      </w:r>
      <w:r>
        <w:tab/>
        <w:t>Par «date de comptabilisation», on entend la date à laquelle une perte ou des réserves/provisions ont été comptabilisées pour la première fois dans le compte de profits et pertes au titre d'une perte de risque opérationnel. Cette date est logiqu</w:t>
      </w:r>
      <w:r>
        <w:t>e</w:t>
      </w:r>
      <w:r>
        <w:t>ment ultérieure à la «date de survenance» (c'est-à-dire la date à laquelle l'événement de risque opérationnel est survenu ou a initialement débuté) et à la «date de déte</w:t>
      </w:r>
      <w:r>
        <w:t>c</w:t>
      </w:r>
      <w:r>
        <w:t>tion» (c'est-à-dire la date à laquelle l'établissement a eu connaissance de l'évén</w:t>
      </w:r>
      <w:r>
        <w:t>e</w:t>
      </w:r>
      <w:r>
        <w:t xml:space="preserve">ment de risque opérationnel). </w:t>
      </w:r>
    </w:p>
    <w:p w:rsidR="001A6C53" w:rsidRPr="00392FFD" w:rsidRDefault="001A6C53" w:rsidP="001A6C53">
      <w:pPr>
        <w:pStyle w:val="InstructionsText2"/>
        <w:numPr>
          <w:ilvl w:val="0"/>
          <w:numId w:val="0"/>
        </w:numPr>
        <w:ind w:left="993"/>
      </w:pPr>
      <w:r>
        <w:t>127.</w:t>
      </w:r>
      <w:r>
        <w:tab/>
        <w:t>Les pertes causées par un évènement de risque opérationnel commun ou par des évènements multiples liés à un évènement de risque opérationnel initial enge</w:t>
      </w:r>
      <w:r>
        <w:t>n</w:t>
      </w:r>
      <w:r>
        <w:t>drant des évènements ou des pertes («évènement-source») seront regroupées. Les évènements regroupés seront considérés et déclarés en tant qu'un seul évènement, et les montants de perte brute ou d'ajustements de perte correspondants seront donc additionnés entre eux.</w:t>
      </w:r>
    </w:p>
    <w:p w:rsidR="001A6C53" w:rsidRPr="00392FFD" w:rsidRDefault="001A6C53" w:rsidP="001A6C53">
      <w:pPr>
        <w:pStyle w:val="InstructionsText2"/>
        <w:numPr>
          <w:ilvl w:val="0"/>
          <w:numId w:val="0"/>
        </w:numPr>
        <w:ind w:left="993"/>
      </w:pPr>
      <w:r>
        <w:t>128.</w:t>
      </w:r>
      <w:r>
        <w:tab/>
        <w:t>Les chiffres déclarés au mois de juin de l'exercice concerné sont les chiffres i</w:t>
      </w:r>
      <w:r>
        <w:t>n</w:t>
      </w:r>
      <w:r>
        <w:t>termédiaires, tandis que les chiffres finaux sont déclarés en décembre. Par cons</w:t>
      </w:r>
      <w:r>
        <w:t>é</w:t>
      </w:r>
      <w:r>
        <w:t>quent, les chiffres de juin ont une période de référence de six mois (c'est-à-dire du 1er janvier au 30 juin de l'année civile) tandis que les chiffres de décembre ont une période de référence de 12 mois (c'est-à-dire du 1er janvier au 31 décembre de l'a</w:t>
      </w:r>
      <w:r>
        <w:t>n</w:t>
      </w:r>
      <w:r>
        <w:t>née civile). Pour les données déclarées en juin comme pour celles de décembre, on entend par «périodes de déclaration de référence précédentes» toutes les périodes de déclaration de référence jusqu'à celle se terminant à la fin de l'année civile pr</w:t>
      </w:r>
      <w:r>
        <w:t>é</w:t>
      </w:r>
      <w:r>
        <w:t>cédente et y compris cette dernière.</w:t>
      </w:r>
    </w:p>
    <w:p w:rsidR="001A6C53" w:rsidRPr="00392FFD" w:rsidRDefault="001A6C53" w:rsidP="001A6C53">
      <w:pPr>
        <w:pStyle w:val="InstructionsText2"/>
        <w:numPr>
          <w:ilvl w:val="0"/>
          <w:numId w:val="0"/>
        </w:numPr>
        <w:ind w:left="993"/>
      </w:pPr>
      <w:r>
        <w:t>129.</w:t>
      </w:r>
      <w:r>
        <w:tab/>
        <w:t>Afin de vérifier le respect des conditions prévues à l'article 5, point b) 2) b) i), du présent règlement, les établissements utilisent les dernières statistiques disp</w:t>
      </w:r>
      <w:r>
        <w:t>o</w:t>
      </w:r>
      <w:r>
        <w:t>nibles sur la page web «</w:t>
      </w:r>
      <w:proofErr w:type="spellStart"/>
      <w:r>
        <w:t>Supervisory</w:t>
      </w:r>
      <w:proofErr w:type="spellEnd"/>
      <w:r>
        <w:t xml:space="preserve"> </w:t>
      </w:r>
      <w:proofErr w:type="spellStart"/>
      <w:r>
        <w:t>Disclosure</w:t>
      </w:r>
      <w:proofErr w:type="spellEnd"/>
      <w:r>
        <w:t>» de l'ABE pour obtenir la «somme des totaux des bilans individuels de tous les établissements d'un même État membre». Afin de vérifier le respect des conditions prévues à l'article 5, point b) 2) b) iii), on utilisera le produit intérieur brut aux prix de marché tel que défini à l'a</w:t>
      </w:r>
      <w:r>
        <w:t>n</w:t>
      </w:r>
      <w:r>
        <w:t>nexe A, point 8.89, du règlement (UE) nº 549/2013 du Parlement européen et du Conseil (SEC 2010) et publié par Eurostat pour la précédente année civile.</w:t>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06" w:name="_Toc524104215"/>
      <w:r>
        <w:rPr>
          <w:rFonts w:ascii="Times New Roman" w:hAnsi="Times New Roman"/>
          <w:sz w:val="24"/>
          <w:u w:val="none"/>
        </w:rPr>
        <w:lastRenderedPageBreak/>
        <w:t>4.2.2.</w:t>
      </w:r>
      <w:r w:rsidRPr="00DF450A">
        <w:rPr>
          <w:u w:val="none"/>
        </w:rPr>
        <w:tab/>
      </w:r>
      <w:r>
        <w:rPr>
          <w:rFonts w:ascii="Times New Roman" w:hAnsi="Times New Roman"/>
          <w:sz w:val="24"/>
        </w:rPr>
        <w:t>C 17.01: Risque opérationnel: pertes et recouvrements par ligne d'activité et type d'événement sur l'exercice passé (OPR DETAILS 1)</w:t>
      </w:r>
      <w:bookmarkEnd w:id="406"/>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07" w:name="_Toc524104216"/>
      <w:r>
        <w:rPr>
          <w:rFonts w:ascii="Times New Roman" w:hAnsi="Times New Roman"/>
          <w:sz w:val="24"/>
          <w:u w:val="none"/>
        </w:rPr>
        <w:t>4.2.2.1.</w:t>
      </w:r>
      <w:r w:rsidRPr="00DF450A">
        <w:rPr>
          <w:u w:val="none"/>
        </w:rPr>
        <w:tab/>
      </w:r>
      <w:r>
        <w:rPr>
          <w:rFonts w:ascii="Times New Roman" w:hAnsi="Times New Roman"/>
          <w:sz w:val="24"/>
        </w:rPr>
        <w:t>Remarques générales</w:t>
      </w:r>
      <w:bookmarkEnd w:id="407"/>
    </w:p>
    <w:p w:rsidR="001A6C53" w:rsidRPr="00392FFD" w:rsidRDefault="001A6C53" w:rsidP="001A6C53">
      <w:pPr>
        <w:pStyle w:val="InstructionsText2"/>
        <w:numPr>
          <w:ilvl w:val="0"/>
          <w:numId w:val="0"/>
        </w:numPr>
        <w:ind w:left="993"/>
      </w:pPr>
      <w:r>
        <w:t>130.</w:t>
      </w:r>
      <w:r>
        <w:tab/>
        <w:t>Dans le modèle C 17.01, les données sont organisées en répartissant les pertes et les recouvrements qui dépassent certains seuils internes entre les différentes lignes d'activité (définies dans le tableau 2 de l'article 317 du CRR, y compris la ligne d'activité supplémentaire «Éléments d'entreprise» visée à l'article 322, par</w:t>
      </w:r>
      <w:r>
        <w:t>a</w:t>
      </w:r>
      <w:r>
        <w:t>graphe 3, point b), du CRR) et entre les différents types d'événements (définis à l'article 324 du CRR), étant entendu que les pertes correspondant à un événement peuvent être réparties entre plusieurs lignes d'activité.</w:t>
      </w:r>
    </w:p>
    <w:p w:rsidR="001A6C53" w:rsidRPr="00392FFD" w:rsidRDefault="001A6C53" w:rsidP="001A6C53">
      <w:pPr>
        <w:pStyle w:val="InstructionsText2"/>
        <w:numPr>
          <w:ilvl w:val="0"/>
          <w:numId w:val="0"/>
        </w:numPr>
        <w:ind w:left="993"/>
      </w:pPr>
      <w:r>
        <w:t>131.</w:t>
      </w:r>
      <w:r>
        <w:tab/>
        <w:t>Les colonnes présentent les différents types d'événements et les totaux pour chaque ligne d'activité, ainsi qu'un poste pour mémoire qui indique le seuil interne le plus faible appliqué dans le cadre de la collecte des données relatives aux pertes, en mentionnant, pour chaque ligne d'activité, le seuil le plus bas et le seuil le plus élevé, s'il existe plusieurs seuils.</w:t>
      </w:r>
    </w:p>
    <w:p w:rsidR="001A6C53" w:rsidRPr="00392FFD" w:rsidRDefault="001A6C53" w:rsidP="001A6C53">
      <w:pPr>
        <w:pStyle w:val="InstructionsText2"/>
        <w:numPr>
          <w:ilvl w:val="0"/>
          <w:numId w:val="0"/>
        </w:numPr>
        <w:ind w:left="993"/>
      </w:pPr>
      <w:r>
        <w:t>132.</w:t>
      </w:r>
      <w:r>
        <w:tab/>
        <w:t>Les lignes présentent les lignes d'activité, et pour chacune d'elles, des inform</w:t>
      </w:r>
      <w:r>
        <w:t>a</w:t>
      </w:r>
      <w:r>
        <w:t>tions sur le nombre d'évènements (nouveaux évènements), le montant de perte brute (nouveaux évènements), le nombre d'évènements faisant l'objet d'ajustements de perte, les ajustements de perte relatifs à des périodes de déclaration précédentes, la perte individuelle maximale, la somme des cinq pertes les plus élevées et le total des recouvrements de pertes (recouvrements de pertes directs et recouvrements provenant des assurances et autres mécanismes de transfert du risque).</w:t>
      </w:r>
    </w:p>
    <w:p w:rsidR="001A6C53" w:rsidRPr="00392FFD" w:rsidRDefault="001A6C53" w:rsidP="001A6C53">
      <w:pPr>
        <w:pStyle w:val="InstructionsText2"/>
        <w:numPr>
          <w:ilvl w:val="0"/>
          <w:numId w:val="0"/>
        </w:numPr>
        <w:ind w:left="993"/>
      </w:pPr>
      <w:r>
        <w:t>133.</w:t>
      </w:r>
      <w:r>
        <w:tab/>
        <w:t>Pour l'ensemble des lignes d'activité, des données sur le nombre d'événements et le montant de perte brute sont également exigées pour différentes fourchettes d</w:t>
      </w:r>
      <w:r>
        <w:t>é</w:t>
      </w:r>
      <w:r>
        <w:t>finies à partir de seuils fixes: 10 000, 20 000, 100 000 et 1 000 000. Ces seuils co</w:t>
      </w:r>
      <w:r>
        <w:t>r</w:t>
      </w:r>
      <w:r>
        <w:t>respondent à des montants en euros et sont donnés afin de permettre une compara</w:t>
      </w:r>
      <w:r>
        <w:t>i</w:t>
      </w:r>
      <w:r>
        <w:t>son des pertes déclarées entre les différents établissements; ils ne correspondent donc pas nécessairement aux seuils de perte minimum utilisés dans le cadre de la collecte des données internes concernant les pertes, lesquels sont déclarés dans une autre partie du modèle.</w:t>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08" w:name="_Toc524104217"/>
      <w:r>
        <w:rPr>
          <w:rFonts w:ascii="Times New Roman" w:hAnsi="Times New Roman"/>
          <w:sz w:val="24"/>
          <w:u w:val="none"/>
        </w:rPr>
        <w:t>4.2.2.2.</w:t>
      </w:r>
      <w:r>
        <w:tab/>
      </w:r>
      <w:r>
        <w:rPr>
          <w:rFonts w:ascii="Times New Roman" w:hAnsi="Times New Roman"/>
          <w:sz w:val="24"/>
        </w:rPr>
        <w:t>Instructions concernant certaines positions</w:t>
      </w:r>
      <w:bookmarkEnd w:id="4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1A6C53" w:rsidRPr="00392FFD" w:rsidTr="008D2F6E">
        <w:trPr>
          <w:trHeight w:val="576"/>
        </w:trPr>
        <w:tc>
          <w:tcPr>
            <w:tcW w:w="9180" w:type="dxa"/>
            <w:gridSpan w:val="2"/>
            <w:shd w:val="clear" w:color="auto" w:fill="CCCCCC"/>
          </w:tcPr>
          <w:p w:rsidR="001A6C53" w:rsidRPr="00392FFD" w:rsidRDefault="001A6C53" w:rsidP="008D2F6E">
            <w:pPr>
              <w:autoSpaceDE w:val="0"/>
              <w:autoSpaceDN w:val="0"/>
              <w:adjustRightInd w:val="0"/>
              <w:spacing w:after="0"/>
              <w:rPr>
                <w:rFonts w:ascii="Times New Roman" w:hAnsi="Times New Roman"/>
                <w:b/>
                <w:bCs/>
                <w:sz w:val="24"/>
              </w:rPr>
            </w:pPr>
            <w:r>
              <w:rPr>
                <w:rFonts w:ascii="Times New Roman" w:hAnsi="Times New Roman"/>
                <w:b/>
                <w:sz w:val="24"/>
              </w:rPr>
              <w:t>Colonnes</w:t>
            </w:r>
          </w:p>
        </w:tc>
      </w:tr>
      <w:tr w:rsidR="001A6C53" w:rsidRPr="00392FFD" w:rsidTr="008D2F6E">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rsidR="001A6C53" w:rsidRPr="00392FFD" w:rsidRDefault="001A6C53" w:rsidP="008D2F6E">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TYPES D'ÉVÉNEMENTS</w:t>
            </w:r>
          </w:p>
          <w:p w:rsidR="001A6C53" w:rsidRPr="00392FFD" w:rsidRDefault="001A6C53" w:rsidP="008D2F6E">
            <w:pPr>
              <w:rPr>
                <w:rFonts w:ascii="Times New Roman" w:hAnsi="Times New Roman"/>
                <w:sz w:val="24"/>
              </w:rPr>
            </w:pPr>
            <w:r>
              <w:rPr>
                <w:rFonts w:ascii="Times New Roman" w:hAnsi="Times New Roman"/>
                <w:sz w:val="24"/>
              </w:rPr>
              <w:t xml:space="preserve">Les établissements déclarent les pertes dans les colonnes 010 à 070, en fonction des types d'événement, tels que définis à l'article 324 du CRR. </w:t>
            </w:r>
          </w:p>
          <w:p w:rsidR="001A6C53" w:rsidRPr="00392FFD" w:rsidRDefault="001A6C53" w:rsidP="008D2F6E">
            <w:pPr>
              <w:rPr>
                <w:rFonts w:ascii="Times New Roman" w:hAnsi="Times New Roman"/>
                <w:bCs/>
                <w:sz w:val="24"/>
              </w:rPr>
            </w:pPr>
            <w:r>
              <w:rPr>
                <w:rFonts w:ascii="Times New Roman" w:hAnsi="Times New Roman"/>
                <w:sz w:val="24"/>
              </w:rPr>
              <w:t>Les établissements qui calculent leurs exigences de fonds propres selon l'approche BIA peuvent déclarer les pertes pour lesquelles le type d'événement n'est pas ide</w:t>
            </w:r>
            <w:r>
              <w:rPr>
                <w:rFonts w:ascii="Times New Roman" w:hAnsi="Times New Roman"/>
                <w:sz w:val="24"/>
              </w:rPr>
              <w:t>n</w:t>
            </w:r>
            <w:r>
              <w:rPr>
                <w:rFonts w:ascii="Times New Roman" w:hAnsi="Times New Roman"/>
                <w:sz w:val="24"/>
              </w:rPr>
              <w:t>tifié dans la colonne 080 uniquement.</w:t>
            </w:r>
          </w:p>
        </w:tc>
      </w:tr>
      <w:tr w:rsidR="001A6C53" w:rsidRPr="00392FFD" w:rsidTr="008D2F6E">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rsidR="001A6C53" w:rsidRPr="00392FFD" w:rsidRDefault="001A6C53" w:rsidP="008D2F6E">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TOTAL TYPES D'ÉVÉNEMENTS</w:t>
            </w:r>
          </w:p>
          <w:p w:rsidR="001A6C53" w:rsidRDefault="001A6C53" w:rsidP="008D2F6E">
            <w:pPr>
              <w:rPr>
                <w:rStyle w:val="InstructionsTabelleText"/>
                <w:rFonts w:ascii="Times New Roman" w:hAnsi="Times New Roman"/>
                <w:sz w:val="24"/>
              </w:rPr>
            </w:pPr>
            <w:r>
              <w:rPr>
                <w:rStyle w:val="InstructionsTabelleText"/>
                <w:rFonts w:ascii="Times New Roman" w:hAnsi="Times New Roman"/>
                <w:sz w:val="24"/>
              </w:rPr>
              <w:t xml:space="preserve">Dans la colonne 080, pour chaque ligne d'activité, les établissements indiquent le total des «nombre d'évènements (nouveaux évènements)», le total des «montant de </w:t>
            </w:r>
            <w:r>
              <w:rPr>
                <w:rStyle w:val="InstructionsTabelleText"/>
                <w:rFonts w:ascii="Times New Roman" w:hAnsi="Times New Roman"/>
                <w:sz w:val="24"/>
              </w:rPr>
              <w:lastRenderedPageBreak/>
              <w:t>perte brute (nouveaux évènements)», le total des «nombre d'évènements faisant l'objet d'ajustements de perte», le total des «ajustements de perte relatifs à des p</w:t>
            </w:r>
            <w:r>
              <w:rPr>
                <w:rStyle w:val="InstructionsTabelleText"/>
                <w:rFonts w:ascii="Times New Roman" w:hAnsi="Times New Roman"/>
                <w:sz w:val="24"/>
              </w:rPr>
              <w:t>é</w:t>
            </w:r>
            <w:r>
              <w:rPr>
                <w:rStyle w:val="InstructionsTabelleText"/>
                <w:rFonts w:ascii="Times New Roman" w:hAnsi="Times New Roman"/>
                <w:sz w:val="24"/>
              </w:rPr>
              <w:t>riodes de déclaration précédentes», la «perte individuelle maximale», la «somme des cinq pertes les plus élevées», le total des «recouvrements de pertes directs t</w:t>
            </w:r>
            <w:r>
              <w:rPr>
                <w:rStyle w:val="InstructionsTabelleText"/>
                <w:rFonts w:ascii="Times New Roman" w:hAnsi="Times New Roman"/>
                <w:sz w:val="24"/>
              </w:rPr>
              <w:t>o</w:t>
            </w:r>
            <w:r>
              <w:rPr>
                <w:rStyle w:val="InstructionsTabelleText"/>
                <w:rFonts w:ascii="Times New Roman" w:hAnsi="Times New Roman"/>
                <w:sz w:val="24"/>
              </w:rPr>
              <w:t>taux» et le total des «recouvrements totaux provenant des assurances et autres m</w:t>
            </w:r>
            <w:r>
              <w:rPr>
                <w:rStyle w:val="InstructionsTabelleText"/>
                <w:rFonts w:ascii="Times New Roman" w:hAnsi="Times New Roman"/>
                <w:sz w:val="24"/>
              </w:rPr>
              <w:t>é</w:t>
            </w:r>
            <w:r>
              <w:rPr>
                <w:rStyle w:val="InstructionsTabelleText"/>
                <w:rFonts w:ascii="Times New Roman" w:hAnsi="Times New Roman"/>
                <w:sz w:val="24"/>
              </w:rPr>
              <w:t>canismes de transfert du risque».</w:t>
            </w:r>
          </w:p>
          <w:p w:rsidR="001A6C53" w:rsidRPr="00392FFD" w:rsidRDefault="001A6C53" w:rsidP="008D2F6E">
            <w:pPr>
              <w:rPr>
                <w:rStyle w:val="InstructionsTabelleText"/>
                <w:rFonts w:ascii="Times New Roman" w:hAnsi="Times New Roman"/>
                <w:sz w:val="24"/>
              </w:rPr>
            </w:pPr>
            <w:r>
              <w:rPr>
                <w:rStyle w:val="InstructionsTabelleText"/>
                <w:rFonts w:ascii="Times New Roman" w:hAnsi="Times New Roman"/>
                <w:sz w:val="24"/>
              </w:rPr>
              <w:t>Pour autant que l'établissement ait identifié le type d'évènement pour toutes les pertes, la colonne 080 contient la simple agrégation du nombre d'évènements de perte, les montants de perte brute totaux, les montants de recouvrement de pertes totaux et les «ajustements de perte relatifs à des périodes de déclaration préc</w:t>
            </w:r>
            <w:r>
              <w:rPr>
                <w:rStyle w:val="InstructionsTabelleText"/>
                <w:rFonts w:ascii="Times New Roman" w:hAnsi="Times New Roman"/>
                <w:sz w:val="24"/>
              </w:rPr>
              <w:t>é</w:t>
            </w:r>
            <w:r>
              <w:rPr>
                <w:rStyle w:val="InstructionsTabelleText"/>
                <w:rFonts w:ascii="Times New Roman" w:hAnsi="Times New Roman"/>
                <w:sz w:val="24"/>
              </w:rPr>
              <w:t xml:space="preserve">dentes» déclarés dans les colonnes 010 à 070. </w:t>
            </w:r>
          </w:p>
          <w:p w:rsidR="001A6C53" w:rsidRPr="00392FFD" w:rsidRDefault="001A6C53" w:rsidP="008D2F6E">
            <w:pPr>
              <w:rPr>
                <w:rStyle w:val="InstructionsTabelleText"/>
                <w:rFonts w:ascii="Times New Roman" w:hAnsi="Times New Roman"/>
                <w:sz w:val="24"/>
              </w:rPr>
            </w:pPr>
            <w:r>
              <w:rPr>
                <w:rStyle w:val="InstructionsTabelleText"/>
                <w:rFonts w:ascii="Times New Roman" w:hAnsi="Times New Roman"/>
                <w:sz w:val="24"/>
              </w:rPr>
              <w:t>La «perte individuelle maximale» déclarée dans la colonne 080 est la perte indiv</w:t>
            </w:r>
            <w:r>
              <w:rPr>
                <w:rStyle w:val="InstructionsTabelleText"/>
                <w:rFonts w:ascii="Times New Roman" w:hAnsi="Times New Roman"/>
                <w:sz w:val="24"/>
              </w:rPr>
              <w:t>i</w:t>
            </w:r>
            <w:r>
              <w:rPr>
                <w:rStyle w:val="InstructionsTabelleText"/>
                <w:rFonts w:ascii="Times New Roman" w:hAnsi="Times New Roman"/>
                <w:sz w:val="24"/>
              </w:rPr>
              <w:t xml:space="preserve">duelle maximale au sein d'une ligne d'activité et est égale au maximum des «pertes individuelles maximales» déclarées dans les colonnes 010 à 070, pour autant que l'établissement ait identifié le type d'évènement pour toutes ces pertes. </w:t>
            </w:r>
          </w:p>
          <w:p w:rsidR="001A6C53" w:rsidRPr="00392FFD" w:rsidRDefault="001A6C53" w:rsidP="008D2F6E">
            <w:pPr>
              <w:rPr>
                <w:rFonts w:ascii="Times New Roman" w:hAnsi="Times New Roman"/>
                <w:bCs/>
                <w:sz w:val="24"/>
              </w:rPr>
            </w:pPr>
            <w:r>
              <w:rPr>
                <w:rStyle w:val="InstructionsTabelleText"/>
                <w:rFonts w:ascii="Times New Roman" w:hAnsi="Times New Roman"/>
                <w:sz w:val="24"/>
              </w:rPr>
              <w:t>En ce qui concerne la somme des cinq pertes les plus élevées, dans la colonne 080, on déclarera la somme des cinq pertes les plus élevées au sein d'une ligne d'activ</w:t>
            </w:r>
            <w:r>
              <w:rPr>
                <w:rStyle w:val="InstructionsTabelleText"/>
                <w:rFonts w:ascii="Times New Roman" w:hAnsi="Times New Roman"/>
                <w:sz w:val="24"/>
              </w:rPr>
              <w:t>i</w:t>
            </w:r>
            <w:r>
              <w:rPr>
                <w:rStyle w:val="InstructionsTabelleText"/>
                <w:rFonts w:ascii="Times New Roman" w:hAnsi="Times New Roman"/>
                <w:sz w:val="24"/>
              </w:rPr>
              <w:t>té.</w:t>
            </w:r>
          </w:p>
        </w:tc>
      </w:tr>
      <w:tr w:rsidR="001A6C53" w:rsidRPr="00392FFD" w:rsidTr="008D2F6E">
        <w:tc>
          <w:tcPr>
            <w:tcW w:w="985" w:type="dxa"/>
          </w:tcPr>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0090-0100</w:t>
            </w:r>
          </w:p>
        </w:tc>
        <w:tc>
          <w:tcPr>
            <w:tcW w:w="8195" w:type="dxa"/>
          </w:tcPr>
          <w:p w:rsidR="001A6C53" w:rsidRPr="00392FFD" w:rsidRDefault="001A6C53" w:rsidP="008D2F6E">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POUR MÉMOIRE: SEUIL APPLIQUÉ POUR LA COLLECTE DES DO</w:t>
            </w:r>
            <w:r>
              <w:rPr>
                <w:rStyle w:val="InstructionsTabelleberschrift"/>
                <w:rFonts w:ascii="Times New Roman" w:hAnsi="Times New Roman"/>
                <w:sz w:val="24"/>
              </w:rPr>
              <w:t>N</w:t>
            </w:r>
            <w:r>
              <w:rPr>
                <w:rStyle w:val="InstructionsTabelleberschrift"/>
                <w:rFonts w:ascii="Times New Roman" w:hAnsi="Times New Roman"/>
                <w:sz w:val="24"/>
              </w:rPr>
              <w:t>NÉES</w:t>
            </w: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Dans les colonnes 090 et 100, les établissements déclarent les seuils de perte m</w:t>
            </w:r>
            <w:r>
              <w:rPr>
                <w:rStyle w:val="InstructionsTabelleText"/>
                <w:rFonts w:ascii="Times New Roman" w:hAnsi="Times New Roman"/>
                <w:sz w:val="24"/>
              </w:rPr>
              <w:t>i</w:t>
            </w:r>
            <w:r>
              <w:rPr>
                <w:rStyle w:val="InstructionsTabelleText"/>
                <w:rFonts w:ascii="Times New Roman" w:hAnsi="Times New Roman"/>
                <w:sz w:val="24"/>
              </w:rPr>
              <w:t xml:space="preserve">nimum qu'ils utilisent dans le cadre de la collecte des données internes concernant les pertes, conformément à l'article 322, paragraphe 3, point c), dernière phrase, du CRR. </w:t>
            </w: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Lorsque l'établissement n'applique qu'un seul seuil pour chaque ligne d'activité, seule la colonne 090 sera remplie. </w:t>
            </w: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Lorsque plusieurs seuils sont appliqués au sein d'une même ligne d'activité régl</w:t>
            </w:r>
            <w:r>
              <w:rPr>
                <w:rStyle w:val="InstructionsTabelleText"/>
                <w:rFonts w:ascii="Times New Roman" w:hAnsi="Times New Roman"/>
                <w:sz w:val="24"/>
              </w:rPr>
              <w:t>e</w:t>
            </w:r>
            <w:r>
              <w:rPr>
                <w:rStyle w:val="InstructionsTabelleText"/>
                <w:rFonts w:ascii="Times New Roman" w:hAnsi="Times New Roman"/>
                <w:sz w:val="24"/>
              </w:rPr>
              <w:t>mentaire, le seuil applicable le plus élevé (colonne 100) sera également complété.</w:t>
            </w:r>
          </w:p>
        </w:tc>
      </w:tr>
    </w:tbl>
    <w:p w:rsidR="001A6C53" w:rsidRPr="00321A3B" w:rsidRDefault="001A6C53" w:rsidP="001A6C53">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1A6C53" w:rsidRPr="00321A3B" w:rsidTr="008D2F6E">
        <w:trPr>
          <w:trHeight w:val="504"/>
        </w:trPr>
        <w:tc>
          <w:tcPr>
            <w:tcW w:w="9180" w:type="dxa"/>
            <w:gridSpan w:val="2"/>
            <w:shd w:val="clear" w:color="auto" w:fill="CCCCCC"/>
          </w:tcPr>
          <w:p w:rsidR="001A6C53" w:rsidRPr="00321A3B" w:rsidRDefault="001A6C53" w:rsidP="008D2F6E">
            <w:pPr>
              <w:autoSpaceDE w:val="0"/>
              <w:autoSpaceDN w:val="0"/>
              <w:adjustRightInd w:val="0"/>
              <w:spacing w:after="0"/>
              <w:rPr>
                <w:rFonts w:ascii="Times New Roman" w:hAnsi="Times New Roman"/>
                <w:b/>
                <w:bCs/>
                <w:sz w:val="24"/>
              </w:rPr>
            </w:pPr>
            <w:r>
              <w:rPr>
                <w:rFonts w:ascii="Times New Roman" w:hAnsi="Times New Roman"/>
                <w:b/>
                <w:sz w:val="24"/>
              </w:rPr>
              <w:t>Lignes</w:t>
            </w:r>
          </w:p>
        </w:tc>
      </w:tr>
      <w:tr w:rsidR="001A6C53" w:rsidRPr="00392FFD" w:rsidTr="008D2F6E">
        <w:tc>
          <w:tcPr>
            <w:tcW w:w="1101" w:type="dxa"/>
          </w:tcPr>
          <w:p w:rsidR="001A6C53" w:rsidRPr="00321A3B" w:rsidRDefault="001A6C53" w:rsidP="008D2F6E">
            <w:pPr>
              <w:rPr>
                <w:rFonts w:ascii="Times New Roman" w:hAnsi="Times New Roman"/>
                <w:bCs/>
                <w:sz w:val="24"/>
              </w:rPr>
            </w:pPr>
            <w:r>
              <w:rPr>
                <w:rFonts w:ascii="Times New Roman" w:hAnsi="Times New Roman"/>
                <w:sz w:val="24"/>
              </w:rPr>
              <w:t>0010-0880</w:t>
            </w:r>
          </w:p>
        </w:tc>
        <w:tc>
          <w:tcPr>
            <w:tcW w:w="8079" w:type="dxa"/>
          </w:tcPr>
          <w:p w:rsidR="001A6C53" w:rsidRPr="00321A3B"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LIGNES D'ACTIVITÉ: FINANCEMENT DES ENTREPRISES, NÉG</w:t>
            </w:r>
            <w:r>
              <w:rPr>
                <w:rStyle w:val="InstructionsTabelleberschrift"/>
                <w:rFonts w:ascii="Times New Roman" w:hAnsi="Times New Roman"/>
                <w:sz w:val="24"/>
              </w:rPr>
              <w:t>O</w:t>
            </w:r>
            <w:r>
              <w:rPr>
                <w:rStyle w:val="InstructionsTabelleberschrift"/>
                <w:rFonts w:ascii="Times New Roman" w:hAnsi="Times New Roman"/>
                <w:sz w:val="24"/>
              </w:rPr>
              <w:t>CIATION ET VENTE, COURTAGE DE DÉTAIL, BANQUE COMME</w:t>
            </w:r>
            <w:r>
              <w:rPr>
                <w:rStyle w:val="InstructionsTabelleberschrift"/>
                <w:rFonts w:ascii="Times New Roman" w:hAnsi="Times New Roman"/>
                <w:sz w:val="24"/>
              </w:rPr>
              <w:t>R</w:t>
            </w:r>
            <w:r>
              <w:rPr>
                <w:rStyle w:val="InstructionsTabelleberschrift"/>
                <w:rFonts w:ascii="Times New Roman" w:hAnsi="Times New Roman"/>
                <w:sz w:val="24"/>
              </w:rPr>
              <w:t>CIALE, BANQUE DE DÉTAIL, PAIEMENT ET RÈGLEMENT, SE</w:t>
            </w:r>
            <w:r>
              <w:rPr>
                <w:rStyle w:val="InstructionsTabelleberschrift"/>
                <w:rFonts w:ascii="Times New Roman" w:hAnsi="Times New Roman"/>
                <w:sz w:val="24"/>
              </w:rPr>
              <w:t>R</w:t>
            </w:r>
            <w:r>
              <w:rPr>
                <w:rStyle w:val="InstructionsTabelleberschrift"/>
                <w:rFonts w:ascii="Times New Roman" w:hAnsi="Times New Roman"/>
                <w:sz w:val="24"/>
              </w:rPr>
              <w:t>VICES D'AGENCE, GESTION D'ACTIFS, ÉLÉMENTS D'ENTREPRISE</w:t>
            </w:r>
          </w:p>
          <w:p w:rsidR="001A6C53" w:rsidRPr="00321A3B" w:rsidRDefault="001A6C53" w:rsidP="008D2F6E">
            <w:pPr>
              <w:pStyle w:val="PlainText"/>
              <w:jc w:val="both"/>
              <w:rPr>
                <w:rFonts w:ascii="Times New Roman" w:hAnsi="Times New Roman"/>
                <w:sz w:val="24"/>
                <w:szCs w:val="24"/>
              </w:rPr>
            </w:pPr>
            <w:r>
              <w:rPr>
                <w:rFonts w:ascii="Times New Roman" w:hAnsi="Times New Roman"/>
                <w:sz w:val="24"/>
              </w:rPr>
              <w:t>Pour chaque ligne d'activité définie à l'article 317, paragraphe 4, tableau 2, du CRR, ainsi que pour la ligne d'activité supplémentaire «Éléments d'entreprise» visée à l'article 322, paragraphe 3, point b), du CRR, et pour chaque type d'év</w:t>
            </w:r>
            <w:r>
              <w:rPr>
                <w:rFonts w:ascii="Times New Roman" w:hAnsi="Times New Roman"/>
                <w:sz w:val="24"/>
              </w:rPr>
              <w:t>é</w:t>
            </w:r>
            <w:r>
              <w:rPr>
                <w:rFonts w:ascii="Times New Roman" w:hAnsi="Times New Roman"/>
                <w:sz w:val="24"/>
              </w:rPr>
              <w:t>nement, l'établissement déclare les informations suivantes, en fonction des seuils internes appliqués: nombre d'évènements (nouveaux évènements), montant de perte brute (nouveaux évènements), nombre d'évènements faisant l'objet d'aju</w:t>
            </w:r>
            <w:r>
              <w:rPr>
                <w:rFonts w:ascii="Times New Roman" w:hAnsi="Times New Roman"/>
                <w:sz w:val="24"/>
              </w:rPr>
              <w:t>s</w:t>
            </w:r>
            <w:r>
              <w:rPr>
                <w:rFonts w:ascii="Times New Roman" w:hAnsi="Times New Roman"/>
                <w:sz w:val="24"/>
              </w:rPr>
              <w:t>tements de perte, ajustements de perte relatifs à des périodes de déclaration pr</w:t>
            </w:r>
            <w:r>
              <w:rPr>
                <w:rFonts w:ascii="Times New Roman" w:hAnsi="Times New Roman"/>
                <w:sz w:val="24"/>
              </w:rPr>
              <w:t>é</w:t>
            </w:r>
            <w:r>
              <w:rPr>
                <w:rFonts w:ascii="Times New Roman" w:hAnsi="Times New Roman"/>
                <w:sz w:val="24"/>
              </w:rPr>
              <w:t>cédentes, perte individuelle maximale, somme des cinq pertes les plus élevées, recouvrements de pertes directs totaux et recouvrements totaux provenant des a</w:t>
            </w:r>
            <w:r>
              <w:rPr>
                <w:rFonts w:ascii="Times New Roman" w:hAnsi="Times New Roman"/>
                <w:sz w:val="24"/>
              </w:rPr>
              <w:t>s</w:t>
            </w:r>
            <w:r>
              <w:rPr>
                <w:rFonts w:ascii="Times New Roman" w:hAnsi="Times New Roman"/>
                <w:sz w:val="24"/>
              </w:rPr>
              <w:t xml:space="preserve">surances et autres mécanismes de transfert du risque. </w:t>
            </w:r>
          </w:p>
          <w:p w:rsidR="001A6C53" w:rsidRPr="00392FFD" w:rsidRDefault="001A6C53" w:rsidP="008D2F6E">
            <w:pPr>
              <w:rPr>
                <w:rFonts w:ascii="Times New Roman" w:hAnsi="Times New Roman"/>
                <w:sz w:val="24"/>
              </w:rPr>
            </w:pPr>
            <w:r>
              <w:rPr>
                <w:rFonts w:ascii="Times New Roman" w:hAnsi="Times New Roman"/>
                <w:sz w:val="24"/>
              </w:rPr>
              <w:t>Lorsqu'un événement de perte concerne plusieurs lignes d'activité, le «montant de perte brute» sera réparti entre les différentes lignes d'activité concernées.</w:t>
            </w:r>
          </w:p>
          <w:p w:rsidR="001A6C53" w:rsidRPr="00392FFD" w:rsidRDefault="001A6C53" w:rsidP="008D2F6E">
            <w:pPr>
              <w:rPr>
                <w:rFonts w:ascii="Times New Roman" w:hAnsi="Times New Roman"/>
                <w:bCs/>
                <w:sz w:val="24"/>
              </w:rPr>
            </w:pPr>
            <w:r>
              <w:rPr>
                <w:rFonts w:ascii="Times New Roman" w:hAnsi="Times New Roman"/>
                <w:sz w:val="24"/>
              </w:rPr>
              <w:lastRenderedPageBreak/>
              <w:t>Les établissements qui calculent leurs exigences de fonds propres selon l'a</w:t>
            </w:r>
            <w:r>
              <w:rPr>
                <w:rFonts w:ascii="Times New Roman" w:hAnsi="Times New Roman"/>
                <w:sz w:val="24"/>
              </w:rPr>
              <w:t>p</w:t>
            </w:r>
            <w:r>
              <w:rPr>
                <w:rFonts w:ascii="Times New Roman" w:hAnsi="Times New Roman"/>
                <w:sz w:val="24"/>
              </w:rPr>
              <w:t>proche BIA peuvent déclarer les pertes pour lesquelles la ligne d'activité n'est pas identifiée dans les lignes 910-980 uniquement.</w:t>
            </w:r>
          </w:p>
        </w:tc>
      </w:tr>
      <w:tr w:rsidR="001A6C53" w:rsidRPr="00392FFD" w:rsidTr="008D2F6E">
        <w:tc>
          <w:tcPr>
            <w:tcW w:w="1101" w:type="dxa"/>
          </w:tcPr>
          <w:p w:rsidR="001A6C53" w:rsidRPr="00392FFD" w:rsidRDefault="001A6C53" w:rsidP="008D2F6E">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rsidR="001A6C53" w:rsidRPr="00321A3B"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Nombre d'événements (nouveaux évènements)</w:t>
            </w:r>
          </w:p>
          <w:p w:rsidR="001A6C53" w:rsidRPr="00392FFD" w:rsidRDefault="001A6C53" w:rsidP="008D2F6E">
            <w:pPr>
              <w:rPr>
                <w:rFonts w:ascii="Times New Roman" w:hAnsi="Times New Roman"/>
                <w:sz w:val="24"/>
              </w:rPr>
            </w:pPr>
            <w:r>
              <w:rPr>
                <w:rFonts w:ascii="Times New Roman" w:hAnsi="Times New Roman"/>
                <w:sz w:val="24"/>
              </w:rPr>
              <w:t>Le nombre d'événements est le nombre d'événements de risque opérationnel pour lesquels des pertes brutes ont été comptabilisées au cours de la période de décl</w:t>
            </w:r>
            <w:r>
              <w:rPr>
                <w:rFonts w:ascii="Times New Roman" w:hAnsi="Times New Roman"/>
                <w:sz w:val="24"/>
              </w:rPr>
              <w:t>a</w:t>
            </w:r>
            <w:r>
              <w:rPr>
                <w:rFonts w:ascii="Times New Roman" w:hAnsi="Times New Roman"/>
                <w:sz w:val="24"/>
              </w:rPr>
              <w:t>ration de référence.</w:t>
            </w:r>
          </w:p>
          <w:p w:rsidR="001A6C53" w:rsidRPr="00392FFD" w:rsidRDefault="001A6C53" w:rsidP="008D2F6E">
            <w:pPr>
              <w:rPr>
                <w:rFonts w:ascii="Times New Roman" w:hAnsi="Times New Roman"/>
                <w:sz w:val="24"/>
              </w:rPr>
            </w:pPr>
            <w:r>
              <w:rPr>
                <w:rFonts w:ascii="Times New Roman" w:hAnsi="Times New Roman"/>
                <w:sz w:val="24"/>
              </w:rPr>
              <w:t>Le nombre d'évènements se rapporte aux «nouveaux évènements», c'est-à-dire aux évènements de risque opérationnel</w:t>
            </w:r>
          </w:p>
          <w:p w:rsidR="001A6C53" w:rsidRPr="00392FFD" w:rsidRDefault="001A6C53" w:rsidP="008D2F6E">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«comptabilisés pour la première fois» au cours de la période de déclaration de référence ou</w:t>
            </w:r>
          </w:p>
          <w:p w:rsidR="001A6C53" w:rsidRPr="00392FFD" w:rsidRDefault="001A6C53" w:rsidP="008D2F6E">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«comptabilisés pour la première fois» au cours d'une période de déclaration de référence précédente, si l'évènement n'avait pas été inclus dans de préc</w:t>
            </w:r>
            <w:r>
              <w:rPr>
                <w:rFonts w:ascii="Times New Roman" w:hAnsi="Times New Roman"/>
                <w:sz w:val="24"/>
              </w:rPr>
              <w:t>é</w:t>
            </w:r>
            <w:r>
              <w:rPr>
                <w:rFonts w:ascii="Times New Roman" w:hAnsi="Times New Roman"/>
                <w:sz w:val="24"/>
              </w:rPr>
              <w:t>dents rapports prudentiels, par exemple parce que ce n'est qu'au cours de l'actuelle période de déclaration de référence qu'il a été identifié en tant qu'évènement de risque opérationnel ou que la perte accumulée attribuable à cet évènement (c'est-à-dire la perte initiale plus / moins tous les ajustements de perte effectués lors de périodes de déclaration de référence précédentes) a dépassé le seuil pour la collecte des données internes.</w:t>
            </w:r>
          </w:p>
          <w:p w:rsidR="001A6C53" w:rsidRPr="00321A3B" w:rsidRDefault="001A6C53" w:rsidP="008D2F6E">
            <w:pPr>
              <w:rPr>
                <w:rStyle w:val="InstructionsTabelleberschrift"/>
                <w:rFonts w:ascii="Times New Roman" w:hAnsi="Times New Roman"/>
                <w:sz w:val="24"/>
              </w:rPr>
            </w:pPr>
            <w:r>
              <w:rPr>
                <w:rFonts w:ascii="Times New Roman" w:hAnsi="Times New Roman"/>
                <w:sz w:val="24"/>
              </w:rPr>
              <w:t>Les «nouveaux évènements» ne comprennent pas les évènements de risque op</w:t>
            </w:r>
            <w:r>
              <w:rPr>
                <w:rFonts w:ascii="Times New Roman" w:hAnsi="Times New Roman"/>
                <w:sz w:val="24"/>
              </w:rPr>
              <w:t>é</w:t>
            </w:r>
            <w:r>
              <w:rPr>
                <w:rFonts w:ascii="Times New Roman" w:hAnsi="Times New Roman"/>
                <w:sz w:val="24"/>
              </w:rPr>
              <w:t>rationnel «comptabilisés pour la première fois» au cours d'une période de décl</w:t>
            </w:r>
            <w:r>
              <w:rPr>
                <w:rFonts w:ascii="Times New Roman" w:hAnsi="Times New Roman"/>
                <w:sz w:val="24"/>
              </w:rPr>
              <w:t>a</w:t>
            </w:r>
            <w:r>
              <w:rPr>
                <w:rFonts w:ascii="Times New Roman" w:hAnsi="Times New Roman"/>
                <w:sz w:val="24"/>
              </w:rPr>
              <w:t>ration de référence précédente qui avaient déjà été inclus dans de précédents ra</w:t>
            </w:r>
            <w:r>
              <w:rPr>
                <w:rFonts w:ascii="Times New Roman" w:hAnsi="Times New Roman"/>
                <w:sz w:val="24"/>
              </w:rPr>
              <w:t>p</w:t>
            </w:r>
            <w:r>
              <w:rPr>
                <w:rFonts w:ascii="Times New Roman" w:hAnsi="Times New Roman"/>
                <w:sz w:val="24"/>
              </w:rPr>
              <w:t>ports prudentiels.</w:t>
            </w:r>
          </w:p>
        </w:tc>
      </w:tr>
      <w:tr w:rsidR="001A6C53" w:rsidRPr="00392FFD" w:rsidTr="008D2F6E">
        <w:tc>
          <w:tcPr>
            <w:tcW w:w="1101" w:type="dxa"/>
          </w:tcPr>
          <w:p w:rsidR="001A6C53" w:rsidRPr="00392FFD" w:rsidRDefault="001A6C53" w:rsidP="008D2F6E">
            <w:pPr>
              <w:rPr>
                <w:rFonts w:ascii="Times New Roman" w:hAnsi="Times New Roman"/>
                <w:bCs/>
                <w:sz w:val="24"/>
              </w:rPr>
            </w:pPr>
            <w:r>
              <w:rPr>
                <w:rFonts w:ascii="Times New Roman" w:hAnsi="Times New Roman"/>
                <w:sz w:val="24"/>
              </w:rPr>
              <w:t>0020, 0120, 0220, 0320, 0420, 0520, 0620, 0720, 0820</w:t>
            </w:r>
          </w:p>
        </w:tc>
        <w:tc>
          <w:tcPr>
            <w:tcW w:w="8079" w:type="dxa"/>
          </w:tcPr>
          <w:p w:rsidR="001A6C53" w:rsidRPr="00321A3B"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Montant de perte brute (nouveaux évènements)</w:t>
            </w:r>
          </w:p>
          <w:p w:rsidR="001A6C53" w:rsidRPr="00392FFD" w:rsidRDefault="001A6C53" w:rsidP="008D2F6E">
            <w:pPr>
              <w:rPr>
                <w:rFonts w:ascii="Times New Roman" w:hAnsi="Times New Roman"/>
                <w:sz w:val="24"/>
              </w:rPr>
            </w:pPr>
            <w:r>
              <w:rPr>
                <w:rFonts w:ascii="Times New Roman" w:hAnsi="Times New Roman"/>
                <w:sz w:val="24"/>
              </w:rPr>
              <w:t>Le montant de perte brute correspond aux montants de perte brute se rapportant aux évènements de risque opérationnel (par exemple charges directes, provisions, règlements). Toutes les pertes liées à un évènement unique qui sont comptabil</w:t>
            </w:r>
            <w:r>
              <w:rPr>
                <w:rFonts w:ascii="Times New Roman" w:hAnsi="Times New Roman"/>
                <w:sz w:val="24"/>
              </w:rPr>
              <w:t>i</w:t>
            </w:r>
            <w:r>
              <w:rPr>
                <w:rFonts w:ascii="Times New Roman" w:hAnsi="Times New Roman"/>
                <w:sz w:val="24"/>
              </w:rPr>
              <w:t>sées au cours de la période de déclaration de référence sont additionnées et co</w:t>
            </w:r>
            <w:r>
              <w:rPr>
                <w:rFonts w:ascii="Times New Roman" w:hAnsi="Times New Roman"/>
                <w:sz w:val="24"/>
              </w:rPr>
              <w:t>n</w:t>
            </w:r>
            <w:r>
              <w:rPr>
                <w:rFonts w:ascii="Times New Roman" w:hAnsi="Times New Roman"/>
                <w:sz w:val="24"/>
              </w:rPr>
              <w:t>sidérées comme la perte brute pour cet évènement pour cette période de déclar</w:t>
            </w:r>
            <w:r>
              <w:rPr>
                <w:rFonts w:ascii="Times New Roman" w:hAnsi="Times New Roman"/>
                <w:sz w:val="24"/>
              </w:rPr>
              <w:t>a</w:t>
            </w:r>
            <w:r>
              <w:rPr>
                <w:rFonts w:ascii="Times New Roman" w:hAnsi="Times New Roman"/>
                <w:sz w:val="24"/>
              </w:rPr>
              <w:t>tion de référence.</w:t>
            </w:r>
          </w:p>
          <w:p w:rsidR="001A6C53" w:rsidRPr="00392FFD" w:rsidRDefault="001A6C53" w:rsidP="008D2F6E">
            <w:pPr>
              <w:rPr>
                <w:rFonts w:ascii="Times New Roman" w:hAnsi="Times New Roman"/>
                <w:sz w:val="24"/>
              </w:rPr>
            </w:pPr>
            <w:r>
              <w:rPr>
                <w:rFonts w:ascii="Times New Roman" w:hAnsi="Times New Roman"/>
                <w:sz w:val="24"/>
              </w:rPr>
              <w:t>Le montant de perte brute déclaré se rapporte aux «nouveaux évènements» tels que définis à la ligne ci-dessus. Pour les évènements «comptabilisés pour la pr</w:t>
            </w:r>
            <w:r>
              <w:rPr>
                <w:rFonts w:ascii="Times New Roman" w:hAnsi="Times New Roman"/>
                <w:sz w:val="24"/>
              </w:rPr>
              <w:t>e</w:t>
            </w:r>
            <w:r>
              <w:rPr>
                <w:rFonts w:ascii="Times New Roman" w:hAnsi="Times New Roman"/>
                <w:sz w:val="24"/>
              </w:rPr>
              <w:t>mière fois» au cours d'une période de déclaration de référence précédente qui n'avaient pas été inclus dans de précédents rapports prudentiels, la perte totale a</w:t>
            </w:r>
            <w:r>
              <w:rPr>
                <w:rFonts w:ascii="Times New Roman" w:hAnsi="Times New Roman"/>
                <w:sz w:val="24"/>
              </w:rPr>
              <w:t>c</w:t>
            </w:r>
            <w:r>
              <w:rPr>
                <w:rFonts w:ascii="Times New Roman" w:hAnsi="Times New Roman"/>
                <w:sz w:val="24"/>
              </w:rPr>
              <w:t>cumulée jusqu'à la date de référence de la déclaration (c'est-à-dire la perte initiale plus / moins tous les ajustements de perte effectués lors de précédentes périodes de déclaration de référence) sera déclarée en tant que perte brute à la date de réf</w:t>
            </w:r>
            <w:r>
              <w:rPr>
                <w:rFonts w:ascii="Times New Roman" w:hAnsi="Times New Roman"/>
                <w:sz w:val="24"/>
              </w:rPr>
              <w:t>é</w:t>
            </w:r>
            <w:r>
              <w:rPr>
                <w:rFonts w:ascii="Times New Roman" w:hAnsi="Times New Roman"/>
                <w:sz w:val="24"/>
              </w:rPr>
              <w:t>rence de la déclaration.</w:t>
            </w:r>
          </w:p>
          <w:p w:rsidR="001A6C53" w:rsidRPr="00392FFD" w:rsidRDefault="001A6C53" w:rsidP="008D2F6E">
            <w:pPr>
              <w:rPr>
                <w:rStyle w:val="InstructionsTabelleberschrift"/>
                <w:rFonts w:ascii="Times New Roman" w:hAnsi="Times New Roman"/>
                <w:sz w:val="24"/>
              </w:rPr>
            </w:pPr>
            <w:r>
              <w:rPr>
                <w:rFonts w:ascii="Times New Roman" w:hAnsi="Times New Roman"/>
                <w:sz w:val="24"/>
              </w:rPr>
              <w:t>Les montants à déclarer ne tiennent pas compte des recouvrements obtenus.</w:t>
            </w:r>
          </w:p>
        </w:tc>
      </w:tr>
      <w:tr w:rsidR="001A6C53" w:rsidRPr="00392FFD" w:rsidTr="008D2F6E">
        <w:tc>
          <w:tcPr>
            <w:tcW w:w="1101" w:type="dxa"/>
          </w:tcPr>
          <w:p w:rsidR="001A6C53" w:rsidRPr="00392FFD" w:rsidRDefault="001A6C53" w:rsidP="008D2F6E">
            <w:pPr>
              <w:rPr>
                <w:rFonts w:ascii="Times New Roman" w:hAnsi="Times New Roman"/>
                <w:bCs/>
                <w:sz w:val="24"/>
              </w:rPr>
            </w:pPr>
            <w:r>
              <w:rPr>
                <w:rFonts w:ascii="Times New Roman" w:hAnsi="Times New Roman"/>
                <w:sz w:val="24"/>
              </w:rPr>
              <w:t xml:space="preserve">0030, 0130, 0230, 0330, 0430, </w:t>
            </w:r>
            <w:r>
              <w:rPr>
                <w:rFonts w:ascii="Times New Roman" w:hAnsi="Times New Roman"/>
                <w:sz w:val="24"/>
              </w:rPr>
              <w:lastRenderedPageBreak/>
              <w:t>0530, 0630, 0730, 0830</w:t>
            </w:r>
          </w:p>
        </w:tc>
        <w:tc>
          <w:tcPr>
            <w:tcW w:w="8079" w:type="dxa"/>
          </w:tcPr>
          <w:p w:rsidR="001A6C53" w:rsidRPr="00321A3B"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lastRenderedPageBreak/>
              <w:t>Nombre d'événements de perte faisant l'objet d'ajustements de perte</w:t>
            </w:r>
          </w:p>
          <w:p w:rsidR="001A6C53" w:rsidRPr="00392FFD" w:rsidRDefault="001A6C53" w:rsidP="008D2F6E">
            <w:pPr>
              <w:rPr>
                <w:rFonts w:ascii="Times New Roman" w:hAnsi="Times New Roman"/>
                <w:sz w:val="24"/>
              </w:rPr>
            </w:pPr>
            <w:r>
              <w:rPr>
                <w:rFonts w:ascii="Times New Roman" w:hAnsi="Times New Roman"/>
                <w:sz w:val="24"/>
              </w:rPr>
              <w:t>Le nombre d'évènements de perte faisant l'objet d'ajustements de perte corre</w:t>
            </w:r>
            <w:r>
              <w:rPr>
                <w:rFonts w:ascii="Times New Roman" w:hAnsi="Times New Roman"/>
                <w:sz w:val="24"/>
              </w:rPr>
              <w:t>s</w:t>
            </w:r>
            <w:r>
              <w:rPr>
                <w:rFonts w:ascii="Times New Roman" w:hAnsi="Times New Roman"/>
                <w:sz w:val="24"/>
              </w:rPr>
              <w:t>pond au nombre d'évènements de risque opérationnel «comptabilisés pour la première fois» au cours de périodes de déclaration de référence précédentes et d</w:t>
            </w:r>
            <w:r>
              <w:rPr>
                <w:rFonts w:ascii="Times New Roman" w:hAnsi="Times New Roman"/>
                <w:sz w:val="24"/>
              </w:rPr>
              <w:t>é</w:t>
            </w:r>
            <w:r>
              <w:rPr>
                <w:rFonts w:ascii="Times New Roman" w:hAnsi="Times New Roman"/>
                <w:sz w:val="24"/>
              </w:rPr>
              <w:lastRenderedPageBreak/>
              <w:t xml:space="preserve">jà inclus dans de précédents rapports, pour lesquels des ajustements de perte ont été effectués au cours de l'actuelle période de déclaration de référence. </w:t>
            </w:r>
          </w:p>
          <w:p w:rsidR="001A6C53" w:rsidRPr="00392FFD" w:rsidRDefault="001A6C53" w:rsidP="008D2F6E">
            <w:pPr>
              <w:rPr>
                <w:b/>
                <w:sz w:val="24"/>
              </w:rPr>
            </w:pPr>
            <w:r>
              <w:rPr>
                <w:rFonts w:ascii="Times New Roman" w:hAnsi="Times New Roman"/>
                <w:sz w:val="24"/>
              </w:rPr>
              <w:t>Si plusieurs ajustements de perte ont été effectués pour un évènement au cours de la période de déclaration de référence, la somme de ces ajustements de perte sera comptabilisée comme un unique ajustement au cours de la période.</w:t>
            </w:r>
          </w:p>
        </w:tc>
      </w:tr>
      <w:tr w:rsidR="001A6C53" w:rsidRPr="00392FFD" w:rsidTr="008D2F6E">
        <w:tc>
          <w:tcPr>
            <w:tcW w:w="1101" w:type="dxa"/>
          </w:tcPr>
          <w:p w:rsidR="001A6C53" w:rsidRPr="00392FFD" w:rsidRDefault="001A6C53" w:rsidP="008D2F6E">
            <w:pPr>
              <w:rPr>
                <w:rFonts w:ascii="Times New Roman" w:hAnsi="Times New Roman"/>
                <w:bCs/>
                <w:sz w:val="24"/>
              </w:rPr>
            </w:pPr>
            <w:r>
              <w:rPr>
                <w:rFonts w:ascii="Times New Roman" w:hAnsi="Times New Roman"/>
                <w:sz w:val="24"/>
              </w:rPr>
              <w:lastRenderedPageBreak/>
              <w:t>0040, 0140, 0240, 0340, 0440, 0540, 0640, 0740, 0840</w:t>
            </w:r>
          </w:p>
        </w:tc>
        <w:tc>
          <w:tcPr>
            <w:tcW w:w="8079" w:type="dxa"/>
          </w:tcPr>
          <w:p w:rsidR="001A6C53" w:rsidRPr="00321A3B"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Ajustements de perte relatifs à des périodes de déclaration précédentes</w:t>
            </w:r>
          </w:p>
          <w:p w:rsidR="001A6C53" w:rsidRPr="00392FFD" w:rsidRDefault="001A6C53" w:rsidP="008D2F6E">
            <w:pPr>
              <w:rPr>
                <w:rFonts w:ascii="Times New Roman" w:hAnsi="Times New Roman"/>
                <w:sz w:val="24"/>
              </w:rPr>
            </w:pPr>
            <w:r>
              <w:rPr>
                <w:rFonts w:ascii="Times New Roman" w:hAnsi="Times New Roman"/>
                <w:sz w:val="24"/>
              </w:rPr>
              <w:t>Les ajustements de perte relatifs à des périodes de déclaration de référence préc</w:t>
            </w:r>
            <w:r>
              <w:rPr>
                <w:rFonts w:ascii="Times New Roman" w:hAnsi="Times New Roman"/>
                <w:sz w:val="24"/>
              </w:rPr>
              <w:t>é</w:t>
            </w:r>
            <w:r>
              <w:rPr>
                <w:rFonts w:ascii="Times New Roman" w:hAnsi="Times New Roman"/>
                <w:sz w:val="24"/>
              </w:rPr>
              <w:t>dentes correspondent à la somme des éléments (positifs ou négatifs) suivants:</w:t>
            </w:r>
          </w:p>
          <w:p w:rsidR="001A6C53" w:rsidRPr="00392FFD" w:rsidRDefault="001A6C53" w:rsidP="008D2F6E">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les montants de perte brute se rapportant aux ajustements de perte positifs effectués au cours de la période de déclaration de référence (par exemple augmentation des provisions, événements de perte liés, règlements suppl</w:t>
            </w:r>
            <w:r>
              <w:rPr>
                <w:rFonts w:ascii="Times New Roman" w:hAnsi="Times New Roman"/>
                <w:sz w:val="24"/>
              </w:rPr>
              <w:t>é</w:t>
            </w:r>
            <w:r>
              <w:rPr>
                <w:rFonts w:ascii="Times New Roman" w:hAnsi="Times New Roman"/>
                <w:sz w:val="24"/>
              </w:rPr>
              <w:t>mentaires) d'événements de risque opérationnel «comptabilisés pour la pr</w:t>
            </w:r>
            <w:r>
              <w:rPr>
                <w:rFonts w:ascii="Times New Roman" w:hAnsi="Times New Roman"/>
                <w:sz w:val="24"/>
              </w:rPr>
              <w:t>e</w:t>
            </w:r>
            <w:r>
              <w:rPr>
                <w:rFonts w:ascii="Times New Roman" w:hAnsi="Times New Roman"/>
                <w:sz w:val="24"/>
              </w:rPr>
              <w:t>mière fois» et déclarés au cours de périodes de déclaration de référence pr</w:t>
            </w:r>
            <w:r>
              <w:rPr>
                <w:rFonts w:ascii="Times New Roman" w:hAnsi="Times New Roman"/>
                <w:sz w:val="24"/>
              </w:rPr>
              <w:t>é</w:t>
            </w:r>
            <w:r>
              <w:rPr>
                <w:rFonts w:ascii="Times New Roman" w:hAnsi="Times New Roman"/>
                <w:sz w:val="24"/>
              </w:rPr>
              <w:t>cédentes;</w:t>
            </w:r>
          </w:p>
          <w:p w:rsidR="001A6C53" w:rsidRPr="00392FFD" w:rsidRDefault="001A6C53" w:rsidP="008D2F6E">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les montants de perte brute se rapportant aux ajustements de perte négatifs effectués au cours de la période de déclaration de référence (par exemple, du fait d'une réduction des provisions) d'événements de risque opérationnel «comptabilisés pour la première fois» et déclarés au cours de périodes de déclaration de référence précédentes. </w:t>
            </w:r>
          </w:p>
          <w:p w:rsidR="001A6C53" w:rsidRPr="00392FFD" w:rsidRDefault="001A6C53" w:rsidP="008D2F6E">
            <w:pPr>
              <w:rPr>
                <w:rFonts w:ascii="Times New Roman" w:hAnsi="Times New Roman"/>
                <w:sz w:val="24"/>
              </w:rPr>
            </w:pPr>
            <w:r>
              <w:rPr>
                <w:rFonts w:ascii="Times New Roman" w:hAnsi="Times New Roman"/>
                <w:sz w:val="24"/>
              </w:rPr>
              <w:t>Si plusieurs ajustements de perte ont été effectués pour un évènement au cours de la période de déclaration de référence, on fera la somme des montants de tous ces ajustements de perte, en tenant compte de leur signe (positif ou négatif). Cette somme sera considérée comme l'ajustement de perte pour cet évènement pour cette période de déclaration de référence.</w:t>
            </w:r>
          </w:p>
          <w:p w:rsidR="001A6C53" w:rsidRPr="00392FFD" w:rsidRDefault="001A6C53" w:rsidP="008D2F6E">
            <w:pPr>
              <w:rPr>
                <w:rFonts w:ascii="Times New Roman" w:hAnsi="Times New Roman"/>
                <w:sz w:val="24"/>
              </w:rPr>
            </w:pPr>
            <w:r>
              <w:rPr>
                <w:rFonts w:ascii="Times New Roman" w:hAnsi="Times New Roman"/>
                <w:sz w:val="24"/>
              </w:rPr>
              <w:t>Si en raison d'un ajustement de perte négatif, le montant de perte ajusté attr</w:t>
            </w:r>
            <w:r>
              <w:rPr>
                <w:rFonts w:ascii="Times New Roman" w:hAnsi="Times New Roman"/>
                <w:sz w:val="24"/>
              </w:rPr>
              <w:t>i</w:t>
            </w:r>
            <w:r>
              <w:rPr>
                <w:rFonts w:ascii="Times New Roman" w:hAnsi="Times New Roman"/>
                <w:sz w:val="24"/>
              </w:rPr>
              <w:t>buable à un évènement tombe sous le seuil de cet établissement pour la collecte de données internes, l'établissement déclarera le montant total de perte accumulé pour cet évènement jusqu'à la dernière fois que cet évènement a été déclaré pour une date de référence en décembre (c'est-à-dire la perte initiale plus / moins tous les ajustements de perte effectués lors de périodes de déclaration de référence précédentes) avec un signe négatif au lieu du montant de l'ajustement de perte négatif lui-même.</w:t>
            </w:r>
          </w:p>
          <w:p w:rsidR="001A6C53" w:rsidRPr="00392FFD" w:rsidRDefault="001A6C53" w:rsidP="008D2F6E">
            <w:pPr>
              <w:rPr>
                <w:b/>
                <w:sz w:val="24"/>
              </w:rPr>
            </w:pPr>
            <w:r>
              <w:rPr>
                <w:rFonts w:ascii="Times New Roman" w:hAnsi="Times New Roman"/>
                <w:sz w:val="24"/>
              </w:rPr>
              <w:t>Les montants à déclarer ne tiennent pas compte des recouvrements obtenus.</w:t>
            </w:r>
          </w:p>
        </w:tc>
      </w:tr>
      <w:tr w:rsidR="001A6C53" w:rsidRPr="00392FFD" w:rsidTr="008D2F6E">
        <w:tc>
          <w:tcPr>
            <w:tcW w:w="1101" w:type="dxa"/>
          </w:tcPr>
          <w:p w:rsidR="001A6C53" w:rsidRPr="00392FFD" w:rsidRDefault="001A6C53" w:rsidP="008D2F6E">
            <w:pPr>
              <w:rPr>
                <w:rFonts w:ascii="Times New Roman" w:hAnsi="Times New Roman"/>
                <w:bCs/>
                <w:sz w:val="24"/>
              </w:rPr>
            </w:pPr>
            <w:r>
              <w:rPr>
                <w:rFonts w:ascii="Times New Roman" w:hAnsi="Times New Roman"/>
                <w:sz w:val="24"/>
              </w:rPr>
              <w:t>0050, 0150, 0250, 0350, 0450, 0550, 0650, 0750, 0850</w:t>
            </w:r>
          </w:p>
        </w:tc>
        <w:tc>
          <w:tcPr>
            <w:tcW w:w="8079" w:type="dxa"/>
          </w:tcPr>
          <w:p w:rsidR="001A6C53" w:rsidRPr="00321A3B"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Perte individuelle maximale</w:t>
            </w:r>
          </w:p>
          <w:p w:rsidR="001A6C53" w:rsidRPr="00392FFD" w:rsidRDefault="001A6C53" w:rsidP="008D2F6E">
            <w:pPr>
              <w:rPr>
                <w:rFonts w:ascii="Times New Roman" w:hAnsi="Times New Roman"/>
                <w:sz w:val="24"/>
              </w:rPr>
            </w:pPr>
            <w:r>
              <w:rPr>
                <w:rFonts w:ascii="Times New Roman" w:hAnsi="Times New Roman"/>
                <w:sz w:val="24"/>
              </w:rPr>
              <w:t>La «perte individuelle maximale» est le montant le plus élevé entre</w:t>
            </w:r>
          </w:p>
          <w:p w:rsidR="001A6C53" w:rsidRPr="00392FFD" w:rsidRDefault="001A6C53" w:rsidP="008D2F6E">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le montant le plus élevé de perte brute liée à un évènement déclaré pour la première fois au cours de la période de déclaration de référence et</w:t>
            </w:r>
          </w:p>
          <w:p w:rsidR="001A6C53" w:rsidRPr="00392FFD" w:rsidRDefault="001A6C53" w:rsidP="008D2F6E">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le montant le plus élevé d'ajustement de perte positif (tel que défini plus haut) lié à un évènement déclaré pour la première fois au cours d'une période de déclaration de référence précédente.</w:t>
            </w:r>
          </w:p>
          <w:p w:rsidR="001A6C53" w:rsidRPr="00392FFD" w:rsidRDefault="001A6C53" w:rsidP="008D2F6E">
            <w:pPr>
              <w:rPr>
                <w:sz w:val="24"/>
              </w:rPr>
            </w:pPr>
            <w:r>
              <w:rPr>
                <w:rFonts w:ascii="Times New Roman" w:hAnsi="Times New Roman"/>
                <w:sz w:val="24"/>
              </w:rPr>
              <w:t>Les montants à déclarer ne tiennent pas compte des recouvrements obtenus.</w:t>
            </w:r>
          </w:p>
        </w:tc>
      </w:tr>
      <w:tr w:rsidR="001A6C53" w:rsidRPr="00392FFD" w:rsidTr="008D2F6E">
        <w:tc>
          <w:tcPr>
            <w:tcW w:w="1101" w:type="dxa"/>
          </w:tcPr>
          <w:p w:rsidR="001A6C53" w:rsidRPr="00392FFD" w:rsidRDefault="001A6C53" w:rsidP="008D2F6E">
            <w:pPr>
              <w:rPr>
                <w:rFonts w:ascii="Times New Roman" w:hAnsi="Times New Roman"/>
                <w:bCs/>
                <w:sz w:val="24"/>
              </w:rPr>
            </w:pPr>
            <w:r>
              <w:rPr>
                <w:rFonts w:ascii="Times New Roman" w:hAnsi="Times New Roman"/>
                <w:sz w:val="24"/>
              </w:rPr>
              <w:t xml:space="preserve">0060, 0160, </w:t>
            </w:r>
            <w:r>
              <w:rPr>
                <w:rFonts w:ascii="Times New Roman" w:hAnsi="Times New Roman"/>
                <w:sz w:val="24"/>
              </w:rPr>
              <w:lastRenderedPageBreak/>
              <w:t>0260, 0360, 0460, 0560, 0660, 0760, 0860</w:t>
            </w:r>
          </w:p>
        </w:tc>
        <w:tc>
          <w:tcPr>
            <w:tcW w:w="8079" w:type="dxa"/>
          </w:tcPr>
          <w:p w:rsidR="001A6C53" w:rsidRPr="00321A3B"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lastRenderedPageBreak/>
              <w:t>Somme des cinq pertes les plus élevées</w:t>
            </w:r>
          </w:p>
          <w:p w:rsidR="001A6C53" w:rsidRPr="00392FFD" w:rsidRDefault="001A6C53" w:rsidP="008D2F6E">
            <w:pPr>
              <w:rPr>
                <w:rFonts w:ascii="Times New Roman" w:hAnsi="Times New Roman"/>
                <w:sz w:val="24"/>
              </w:rPr>
            </w:pPr>
            <w:r>
              <w:rPr>
                <w:rFonts w:ascii="Times New Roman" w:hAnsi="Times New Roman"/>
                <w:sz w:val="24"/>
              </w:rPr>
              <w:lastRenderedPageBreak/>
              <w:t>La somme des cinq pertes les plus élevées est la somme des cinq montants les plus élevés parmi</w:t>
            </w:r>
          </w:p>
          <w:p w:rsidR="001A6C53" w:rsidRPr="00392FFD" w:rsidRDefault="001A6C53" w:rsidP="008D2F6E">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les montants de perte brute pour des évènements déclarés pour la première fois au cours de la période de déclaration de référence et</w:t>
            </w:r>
          </w:p>
          <w:p w:rsidR="001A6C53" w:rsidRPr="00392FFD" w:rsidRDefault="001A6C53" w:rsidP="008D2F6E">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les montants d'ajustement de perte positif (tels que définis pour les lignes 040, 140, …, 840 plus haut) liés à des évènements déclarés pour la première fois au cours d'une période de déclaration de référence précédente. Le mo</w:t>
            </w:r>
            <w:r>
              <w:rPr>
                <w:rFonts w:ascii="Times New Roman" w:hAnsi="Times New Roman"/>
                <w:sz w:val="24"/>
              </w:rPr>
              <w:t>n</w:t>
            </w:r>
            <w:r>
              <w:rPr>
                <w:rFonts w:ascii="Times New Roman" w:hAnsi="Times New Roman"/>
                <w:sz w:val="24"/>
              </w:rPr>
              <w:t>tant à prendre en considération pour savoir s'il fait partie des cinq pertes les plus élevées est le montant de l'ajustement de perte lui-même et non la perte totale associée à l'évènement concerné avant ou après l'ajustement de perte.</w:t>
            </w:r>
          </w:p>
          <w:p w:rsidR="001A6C53" w:rsidRPr="00392FFD" w:rsidRDefault="001A6C53" w:rsidP="008D2F6E">
            <w:pPr>
              <w:rPr>
                <w:sz w:val="24"/>
              </w:rPr>
            </w:pPr>
            <w:r>
              <w:rPr>
                <w:rFonts w:ascii="Times New Roman" w:hAnsi="Times New Roman"/>
                <w:sz w:val="24"/>
              </w:rPr>
              <w:t>Les montants à déclarer ne tiennent pas compte des recouvrements obtenus.</w:t>
            </w:r>
          </w:p>
        </w:tc>
      </w:tr>
      <w:tr w:rsidR="001A6C53" w:rsidRPr="00392FFD" w:rsidTr="008D2F6E">
        <w:tc>
          <w:tcPr>
            <w:tcW w:w="1101" w:type="dxa"/>
          </w:tcPr>
          <w:p w:rsidR="001A6C53" w:rsidRPr="00392FFD" w:rsidRDefault="001A6C53" w:rsidP="008D2F6E">
            <w:pPr>
              <w:rPr>
                <w:rFonts w:ascii="Times New Roman" w:hAnsi="Times New Roman"/>
                <w:bCs/>
                <w:sz w:val="24"/>
              </w:rPr>
            </w:pPr>
            <w:r>
              <w:rPr>
                <w:rFonts w:ascii="Times New Roman" w:hAnsi="Times New Roman"/>
                <w:sz w:val="24"/>
              </w:rPr>
              <w:lastRenderedPageBreak/>
              <w:t>0070, 0170, 0270, 0370, 0470, 0570, 0670, 0770, 0870</w:t>
            </w:r>
          </w:p>
        </w:tc>
        <w:tc>
          <w:tcPr>
            <w:tcW w:w="8079" w:type="dxa"/>
          </w:tcPr>
          <w:p w:rsidR="001A6C53" w:rsidRPr="00392FFD" w:rsidRDefault="001A6C53" w:rsidP="008D2F6E">
            <w:pPr>
              <w:rPr>
                <w:sz w:val="24"/>
              </w:rPr>
            </w:pPr>
            <w:r>
              <w:rPr>
                <w:rStyle w:val="InstructionsTabelleberschrift"/>
                <w:rFonts w:ascii="Times New Roman" w:hAnsi="Times New Roman"/>
                <w:sz w:val="24"/>
              </w:rPr>
              <w:t>Recouvrements de pertes directs totaux</w:t>
            </w:r>
          </w:p>
          <w:p w:rsidR="001A6C53" w:rsidRPr="00392FFD" w:rsidRDefault="001A6C53" w:rsidP="008D2F6E">
            <w:pPr>
              <w:rPr>
                <w:rFonts w:ascii="Times New Roman" w:hAnsi="Times New Roman"/>
                <w:sz w:val="24"/>
              </w:rPr>
            </w:pPr>
            <w:r>
              <w:rPr>
                <w:rFonts w:ascii="Times New Roman" w:hAnsi="Times New Roman"/>
                <w:sz w:val="24"/>
              </w:rPr>
              <w:t>Les recouvrements directs correspondent à tous les recouvrements obtenus à l'e</w:t>
            </w:r>
            <w:r>
              <w:rPr>
                <w:rFonts w:ascii="Times New Roman" w:hAnsi="Times New Roman"/>
                <w:sz w:val="24"/>
              </w:rPr>
              <w:t>x</w:t>
            </w:r>
            <w:r>
              <w:rPr>
                <w:rFonts w:ascii="Times New Roman" w:hAnsi="Times New Roman"/>
                <w:sz w:val="24"/>
              </w:rPr>
              <w:t xml:space="preserve">ception de ceux qui relèvent de l'article 323 du CRR tels que déclarés à la ligne ci-dessous. </w:t>
            </w:r>
          </w:p>
          <w:p w:rsidR="001A6C53" w:rsidRPr="00392FFD" w:rsidRDefault="001A6C53" w:rsidP="008D2F6E">
            <w:pPr>
              <w:rPr>
                <w:b/>
                <w:sz w:val="24"/>
              </w:rPr>
            </w:pPr>
            <w:r>
              <w:rPr>
                <w:rFonts w:ascii="Times New Roman" w:hAnsi="Times New Roman"/>
                <w:sz w:val="24"/>
              </w:rPr>
              <w:t>Les «recouvrements de pertes directs totaux» sont la somme de tous les reco</w:t>
            </w:r>
            <w:r>
              <w:rPr>
                <w:rFonts w:ascii="Times New Roman" w:hAnsi="Times New Roman"/>
                <w:sz w:val="24"/>
              </w:rPr>
              <w:t>u</w:t>
            </w:r>
            <w:r>
              <w:rPr>
                <w:rFonts w:ascii="Times New Roman" w:hAnsi="Times New Roman"/>
                <w:sz w:val="24"/>
              </w:rPr>
              <w:t>vrements directs et ajustements de recouvrements directs comptabilisés au cours de la période de déclaration et se rapportant aux événements de risque opératio</w:t>
            </w:r>
            <w:r>
              <w:rPr>
                <w:rFonts w:ascii="Times New Roman" w:hAnsi="Times New Roman"/>
                <w:sz w:val="24"/>
              </w:rPr>
              <w:t>n</w:t>
            </w:r>
            <w:r>
              <w:rPr>
                <w:rFonts w:ascii="Times New Roman" w:hAnsi="Times New Roman"/>
                <w:sz w:val="24"/>
              </w:rPr>
              <w:t>nel comptabilisés pour la première fois au cours de la période de déclaration de référence ou lors de périodes de déclaration de référence précédentes.</w:t>
            </w:r>
          </w:p>
        </w:tc>
      </w:tr>
      <w:tr w:rsidR="001A6C53" w:rsidRPr="00392FFD" w:rsidTr="008D2F6E">
        <w:tc>
          <w:tcPr>
            <w:tcW w:w="1101" w:type="dxa"/>
          </w:tcPr>
          <w:p w:rsidR="001A6C53" w:rsidRPr="00392FFD" w:rsidRDefault="001A6C53" w:rsidP="008D2F6E">
            <w:pPr>
              <w:rPr>
                <w:rFonts w:ascii="Times New Roman" w:hAnsi="Times New Roman"/>
                <w:bCs/>
                <w:sz w:val="24"/>
              </w:rPr>
            </w:pPr>
            <w:r>
              <w:rPr>
                <w:rFonts w:ascii="Times New Roman" w:hAnsi="Times New Roman"/>
                <w:sz w:val="24"/>
              </w:rPr>
              <w:t>0080, 0180, 0280, 0380, 0480, 0580, 0680, 0780, 0880</w:t>
            </w:r>
          </w:p>
        </w:tc>
        <w:tc>
          <w:tcPr>
            <w:tcW w:w="8079" w:type="dxa"/>
          </w:tcPr>
          <w:p w:rsidR="001A6C53" w:rsidRPr="00321A3B"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Recouvrements totaux provenant des assurances et autres mécanismes de transfert du risque</w:t>
            </w:r>
          </w:p>
          <w:p w:rsidR="001A6C53" w:rsidRPr="00392FFD" w:rsidRDefault="001A6C53" w:rsidP="008D2F6E">
            <w:pPr>
              <w:rPr>
                <w:rFonts w:ascii="Times New Roman" w:hAnsi="Times New Roman"/>
                <w:sz w:val="24"/>
              </w:rPr>
            </w:pPr>
            <w:r>
              <w:rPr>
                <w:rFonts w:ascii="Times New Roman" w:hAnsi="Times New Roman"/>
                <w:sz w:val="24"/>
              </w:rPr>
              <w:t xml:space="preserve">Les recouvrements provenant des assurances et autres mécanismes de transfert du risque sont les recouvrements relevant de l'article 323 du CRR. </w:t>
            </w:r>
          </w:p>
          <w:p w:rsidR="001A6C53" w:rsidRPr="00392FFD" w:rsidRDefault="001A6C53" w:rsidP="008D2F6E">
            <w:pPr>
              <w:rPr>
                <w:sz w:val="24"/>
              </w:rPr>
            </w:pPr>
            <w:r>
              <w:rPr>
                <w:rFonts w:ascii="Times New Roman" w:hAnsi="Times New Roman"/>
                <w:sz w:val="24"/>
              </w:rPr>
              <w:t>Les «recouvrements totaux provenant des assurances et autres mécanismes de transfert du risque» sont la somme de tous les recouvrements provenant des ass</w:t>
            </w:r>
            <w:r>
              <w:rPr>
                <w:rFonts w:ascii="Times New Roman" w:hAnsi="Times New Roman"/>
                <w:sz w:val="24"/>
              </w:rPr>
              <w:t>u</w:t>
            </w:r>
            <w:r>
              <w:rPr>
                <w:rFonts w:ascii="Times New Roman" w:hAnsi="Times New Roman"/>
                <w:sz w:val="24"/>
              </w:rPr>
              <w:t>rances et autres mécanismes de transfert du risque et des ajustements de ces r</w:t>
            </w:r>
            <w:r>
              <w:rPr>
                <w:rFonts w:ascii="Times New Roman" w:hAnsi="Times New Roman"/>
                <w:sz w:val="24"/>
              </w:rPr>
              <w:t>e</w:t>
            </w:r>
            <w:r>
              <w:rPr>
                <w:rFonts w:ascii="Times New Roman" w:hAnsi="Times New Roman"/>
                <w:sz w:val="24"/>
              </w:rPr>
              <w:t>couvrements comptabilisés au cours de la période de déclaration de référence et se rapportant aux événements de risque opérationnel comptabilisés pour la pr</w:t>
            </w:r>
            <w:r>
              <w:rPr>
                <w:rFonts w:ascii="Times New Roman" w:hAnsi="Times New Roman"/>
                <w:sz w:val="24"/>
              </w:rPr>
              <w:t>e</w:t>
            </w:r>
            <w:r>
              <w:rPr>
                <w:rFonts w:ascii="Times New Roman" w:hAnsi="Times New Roman"/>
                <w:sz w:val="24"/>
              </w:rPr>
              <w:t>mière fois au cours de la période de déclaration de référence ou lors de périodes de déclaration de référence précédentes.</w:t>
            </w:r>
          </w:p>
        </w:tc>
      </w:tr>
      <w:tr w:rsidR="001A6C53" w:rsidRPr="00392FFD" w:rsidTr="008D2F6E">
        <w:tc>
          <w:tcPr>
            <w:tcW w:w="1101" w:type="dxa"/>
          </w:tcPr>
          <w:p w:rsidR="001A6C53" w:rsidRPr="00392FFD" w:rsidRDefault="001A6C53" w:rsidP="008D2F6E">
            <w:pPr>
              <w:rPr>
                <w:rFonts w:ascii="Times New Roman" w:hAnsi="Times New Roman"/>
                <w:bCs/>
                <w:sz w:val="24"/>
              </w:rPr>
            </w:pPr>
            <w:r>
              <w:rPr>
                <w:rFonts w:ascii="Times New Roman" w:hAnsi="Times New Roman"/>
                <w:sz w:val="24"/>
              </w:rPr>
              <w:t>0910-0980</w:t>
            </w:r>
          </w:p>
        </w:tc>
        <w:tc>
          <w:tcPr>
            <w:tcW w:w="8079"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TOTAL LIGNES D'ACTIVITÉ</w:t>
            </w:r>
          </w:p>
          <w:p w:rsidR="001A6C53" w:rsidRPr="00392FFD" w:rsidRDefault="001A6C53" w:rsidP="008D2F6E">
            <w:pPr>
              <w:rPr>
                <w:rFonts w:ascii="Times New Roman" w:hAnsi="Times New Roman"/>
                <w:sz w:val="24"/>
              </w:rPr>
            </w:pPr>
            <w:r>
              <w:rPr>
                <w:rFonts w:ascii="Times New Roman" w:hAnsi="Times New Roman"/>
                <w:sz w:val="24"/>
              </w:rPr>
              <w:t>Pour chaque type d'événement (colonnes 010 à 080), les informations (a</w:t>
            </w:r>
            <w:r>
              <w:rPr>
                <w:rFonts w:ascii="Times New Roman" w:hAnsi="Times New Roman"/>
                <w:sz w:val="24"/>
              </w:rPr>
              <w:t>r</w:t>
            </w:r>
            <w:r>
              <w:rPr>
                <w:rFonts w:ascii="Times New Roman" w:hAnsi="Times New Roman"/>
                <w:sz w:val="24"/>
              </w:rPr>
              <w:t>ticle 322, paragraphe 3, points b), c) et e) du CRR) relatives au total des lignes d'activité seront déclarées.</w:t>
            </w:r>
          </w:p>
        </w:tc>
      </w:tr>
      <w:tr w:rsidR="001A6C53" w:rsidRPr="00392FFD" w:rsidTr="008D2F6E">
        <w:tc>
          <w:tcPr>
            <w:tcW w:w="1101" w:type="dxa"/>
          </w:tcPr>
          <w:p w:rsidR="001A6C53" w:rsidRPr="00392FFD" w:rsidRDefault="001A6C53" w:rsidP="008D2F6E">
            <w:pPr>
              <w:rPr>
                <w:rFonts w:ascii="Times New Roman" w:hAnsi="Times New Roman"/>
                <w:bCs/>
                <w:sz w:val="24"/>
              </w:rPr>
            </w:pPr>
            <w:r>
              <w:rPr>
                <w:rFonts w:ascii="Times New Roman" w:hAnsi="Times New Roman"/>
                <w:sz w:val="24"/>
              </w:rPr>
              <w:t>0910-0914</w:t>
            </w:r>
          </w:p>
        </w:tc>
        <w:tc>
          <w:tcPr>
            <w:tcW w:w="8079"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Nombre d'événements</w:t>
            </w:r>
          </w:p>
          <w:p w:rsidR="001A6C53" w:rsidRPr="00392FFD" w:rsidRDefault="001A6C53" w:rsidP="008D2F6E">
            <w:pPr>
              <w:rPr>
                <w:rFonts w:ascii="Times New Roman" w:hAnsi="Times New Roman"/>
                <w:sz w:val="24"/>
              </w:rPr>
            </w:pPr>
            <w:r>
              <w:rPr>
                <w:rFonts w:ascii="Times New Roman" w:hAnsi="Times New Roman"/>
                <w:sz w:val="24"/>
              </w:rPr>
              <w:t xml:space="preserve">À la ligne 910, le nombre d'événements au-dessus du seuil interne, par type d'événement, pour l'ensemble des lignes d'activité sera déclaré. Ce chiffre peut être inférieur à l'agrégation des nombres d'événements par ligne d'activité, puisque les événements qui ont un impact multiple (impact dans plusieurs lignes d'activité) sont considérés comme un seul événement. Il peut être supérieur si un établissement qui calcule ses exigences de fonds propres selon l'approche BIA </w:t>
            </w:r>
            <w:r>
              <w:rPr>
                <w:rFonts w:ascii="Times New Roman" w:hAnsi="Times New Roman"/>
                <w:sz w:val="24"/>
              </w:rPr>
              <w:lastRenderedPageBreak/>
              <w:t>n'est pas en mesure dans chaque cas d'identifier la ou les lignes d'activités sur lesquelles la perte a une incidence.</w:t>
            </w:r>
          </w:p>
          <w:p w:rsidR="001A6C53" w:rsidRPr="00392FFD" w:rsidRDefault="001A6C53" w:rsidP="008D2F6E">
            <w:pPr>
              <w:rPr>
                <w:rFonts w:ascii="Times New Roman" w:hAnsi="Times New Roman"/>
                <w:sz w:val="24"/>
              </w:rPr>
            </w:pPr>
            <w:r>
              <w:rPr>
                <w:rFonts w:ascii="Times New Roman" w:hAnsi="Times New Roman"/>
                <w:sz w:val="24"/>
              </w:rPr>
              <w:t>Aux lignes 911 – 914, on indiquera le nombre d'évènements pour lesquels le montant de perte brute se situe dans la fourchette définie pour la ligne concernée.</w:t>
            </w:r>
          </w:p>
          <w:p w:rsidR="001A6C53" w:rsidRPr="00392FFD" w:rsidRDefault="001A6C53" w:rsidP="008D2F6E">
            <w:pPr>
              <w:rPr>
                <w:rFonts w:ascii="Times New Roman" w:hAnsi="Times New Roman"/>
                <w:sz w:val="24"/>
              </w:rPr>
            </w:pPr>
            <w:r>
              <w:rPr>
                <w:rFonts w:ascii="Times New Roman" w:hAnsi="Times New Roman"/>
                <w:sz w:val="24"/>
              </w:rPr>
              <w:t>Pour autant que l'établissement ait affecté toutes ses pertes soit à une ligne d'act</w:t>
            </w:r>
            <w:r>
              <w:rPr>
                <w:rFonts w:ascii="Times New Roman" w:hAnsi="Times New Roman"/>
                <w:sz w:val="24"/>
              </w:rPr>
              <w:t>i</w:t>
            </w:r>
            <w:r>
              <w:rPr>
                <w:rFonts w:ascii="Times New Roman" w:hAnsi="Times New Roman"/>
                <w:sz w:val="24"/>
              </w:rPr>
              <w:t>vité figurant dans le tableau 2 de l'article 317, paragraphe 4, du CRR, soit à la ligne d'activité «éléments d'entreprises» visée à l'article 322, paragraphe 3, point b), du CRR, ou respectivement qu'il ait identifié tous les types d'évènement pour toutes les pertes, les conditions suivantes s'appliquent pour la colonne 080:</w:t>
            </w:r>
          </w:p>
          <w:p w:rsidR="001A6C53" w:rsidRPr="00392FFD" w:rsidRDefault="001A6C53" w:rsidP="008D2F6E">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Le total des nombres d'événements déclaré dans les lignes 910 à 914 est égal à l'agrégation horizontale des nombres d'événements dans la ligne en que</w:t>
            </w:r>
            <w:r>
              <w:rPr>
                <w:rFonts w:ascii="Times New Roman" w:hAnsi="Times New Roman"/>
                <w:sz w:val="24"/>
              </w:rPr>
              <w:t>s</w:t>
            </w:r>
            <w:r>
              <w:rPr>
                <w:rFonts w:ascii="Times New Roman" w:hAnsi="Times New Roman"/>
                <w:sz w:val="24"/>
              </w:rPr>
              <w:t>tion, étant donné que dans ces chiffres, les événements ayant une incidence dans plusieurs lignes d'activité ont déjà été considérés comme un événement unique.</w:t>
            </w:r>
          </w:p>
          <w:p w:rsidR="001A6C53" w:rsidRPr="00392FFD" w:rsidRDefault="001A6C53" w:rsidP="008D2F6E">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La valeur déclarée dans la colonne 080, ligne 910 ne sera pas nécessairement égale à l'agrégation verticale des nombres d'événements qui figurent dans la colonne 080, étant donné qu'un événement donné peut avoir une incidence sur plusieurs lignes d'activité simultanément.</w:t>
            </w:r>
          </w:p>
        </w:tc>
      </w:tr>
      <w:tr w:rsidR="001A6C53" w:rsidRPr="00392FFD" w:rsidTr="008D2F6E">
        <w:tc>
          <w:tcPr>
            <w:tcW w:w="1101" w:type="dxa"/>
          </w:tcPr>
          <w:p w:rsidR="001A6C53" w:rsidRPr="00392FFD" w:rsidRDefault="001A6C53" w:rsidP="008D2F6E">
            <w:pPr>
              <w:rPr>
                <w:rFonts w:ascii="Times New Roman" w:hAnsi="Times New Roman"/>
                <w:bCs/>
                <w:sz w:val="24"/>
              </w:rPr>
            </w:pPr>
            <w:r>
              <w:rPr>
                <w:rFonts w:ascii="Times New Roman" w:hAnsi="Times New Roman"/>
                <w:sz w:val="24"/>
              </w:rPr>
              <w:lastRenderedPageBreak/>
              <w:t>0920-0924</w:t>
            </w:r>
          </w:p>
        </w:tc>
        <w:tc>
          <w:tcPr>
            <w:tcW w:w="8079"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Montant de perte brute (nouveaux évènements)</w:t>
            </w:r>
          </w:p>
          <w:p w:rsidR="001A6C53" w:rsidRPr="00392FFD" w:rsidRDefault="001A6C53" w:rsidP="008D2F6E">
            <w:pPr>
              <w:rPr>
                <w:rFonts w:ascii="Times New Roman" w:hAnsi="Times New Roman"/>
                <w:sz w:val="24"/>
              </w:rPr>
            </w:pPr>
            <w:r>
              <w:rPr>
                <w:rFonts w:ascii="Times New Roman" w:hAnsi="Times New Roman"/>
                <w:sz w:val="24"/>
              </w:rPr>
              <w:t>Pour autant que l'établissement ait affecté toutes ses pertes soit à une ligne d'act</w:t>
            </w:r>
            <w:r>
              <w:rPr>
                <w:rFonts w:ascii="Times New Roman" w:hAnsi="Times New Roman"/>
                <w:sz w:val="24"/>
              </w:rPr>
              <w:t>i</w:t>
            </w:r>
            <w:r>
              <w:rPr>
                <w:rFonts w:ascii="Times New Roman" w:hAnsi="Times New Roman"/>
                <w:sz w:val="24"/>
              </w:rPr>
              <w:t xml:space="preserve">vité figurant dans le tableau 2 de l'article 317, paragraphe 4, du CRR, soit à la ligne d'activité «éléments d'entreprises» visée à l'article 322, paragraphe 3, point b), du CRR, le montant de perte brute (nouveaux évènements) déclaré dans la ligne 920 correspond à la simple agrégation des montants de perte brut des nouveaux évènements pour chaque ligne d'activité. </w:t>
            </w:r>
          </w:p>
          <w:p w:rsidR="001A6C53" w:rsidRPr="00392FFD" w:rsidRDefault="001A6C53" w:rsidP="008D2F6E">
            <w:pPr>
              <w:rPr>
                <w:rStyle w:val="InstructionsTabelleberschrift"/>
                <w:rFonts w:ascii="Times New Roman" w:hAnsi="Times New Roman"/>
                <w:sz w:val="24"/>
              </w:rPr>
            </w:pPr>
            <w:r>
              <w:rPr>
                <w:rFonts w:ascii="Times New Roman" w:hAnsi="Times New Roman"/>
                <w:sz w:val="24"/>
              </w:rPr>
              <w:t>Aux lignes 921 - 924, on indiquera le montant de perte brute pour les évènements pour lesquels le montant de perte brute se situe dans la fourchette définie pour la ligne concernée.</w:t>
            </w:r>
          </w:p>
        </w:tc>
      </w:tr>
      <w:tr w:rsidR="001A6C53" w:rsidRPr="00392FFD" w:rsidTr="008D2F6E">
        <w:tc>
          <w:tcPr>
            <w:tcW w:w="1101" w:type="dxa"/>
          </w:tcPr>
          <w:p w:rsidR="001A6C53" w:rsidRPr="00392FFD" w:rsidRDefault="001A6C53" w:rsidP="008D2F6E">
            <w:pPr>
              <w:rPr>
                <w:rFonts w:ascii="Times New Roman" w:hAnsi="Times New Roman"/>
                <w:bCs/>
                <w:sz w:val="24"/>
              </w:rPr>
            </w:pPr>
            <w:r>
              <w:rPr>
                <w:rFonts w:ascii="Times New Roman" w:hAnsi="Times New Roman"/>
                <w:sz w:val="24"/>
              </w:rPr>
              <w:t>0930, 0935, 0936</w:t>
            </w:r>
          </w:p>
        </w:tc>
        <w:tc>
          <w:tcPr>
            <w:tcW w:w="8079" w:type="dxa"/>
          </w:tcPr>
          <w:p w:rsidR="001A6C53" w:rsidRPr="00392FFD" w:rsidRDefault="001A6C53" w:rsidP="008D2F6E">
            <w:pPr>
              <w:rPr>
                <w:rFonts w:ascii="Times New Roman" w:hAnsi="Times New Roman"/>
                <w:sz w:val="24"/>
              </w:rPr>
            </w:pPr>
            <w:r>
              <w:rPr>
                <w:rStyle w:val="InstructionsTabelleberschrift"/>
                <w:rFonts w:ascii="Times New Roman" w:hAnsi="Times New Roman"/>
                <w:sz w:val="24"/>
              </w:rPr>
              <w:t>Nombre d'événements de perte faisant l'objet d'ajustements de perte</w:t>
            </w:r>
          </w:p>
          <w:p w:rsidR="001A6C53" w:rsidRPr="00392FFD" w:rsidRDefault="001A6C53" w:rsidP="008D2F6E">
            <w:pPr>
              <w:rPr>
                <w:rFonts w:ascii="Times New Roman" w:hAnsi="Times New Roman"/>
                <w:sz w:val="24"/>
              </w:rPr>
            </w:pPr>
            <w:r>
              <w:rPr>
                <w:rFonts w:ascii="Times New Roman" w:hAnsi="Times New Roman"/>
                <w:sz w:val="24"/>
              </w:rPr>
              <w:t>À la ligne 930, on indiquera le nombre d'évènements faisant l'objet d'ajustements de perte tels que définis pour les lignes 030, 130, …, 830. Ce chiffre peut être i</w:t>
            </w:r>
            <w:r>
              <w:rPr>
                <w:rFonts w:ascii="Times New Roman" w:hAnsi="Times New Roman"/>
                <w:sz w:val="24"/>
              </w:rPr>
              <w:t>n</w:t>
            </w:r>
            <w:r>
              <w:rPr>
                <w:rFonts w:ascii="Times New Roman" w:hAnsi="Times New Roman"/>
                <w:sz w:val="24"/>
              </w:rPr>
              <w:t>férieur à l'agrégation des nombres d'événements faisant l'objet d'ajustements de perte par ligne d'activité, puisque les événements qui ont un impact multiple (i</w:t>
            </w:r>
            <w:r>
              <w:rPr>
                <w:rFonts w:ascii="Times New Roman" w:hAnsi="Times New Roman"/>
                <w:sz w:val="24"/>
              </w:rPr>
              <w:t>m</w:t>
            </w:r>
            <w:r>
              <w:rPr>
                <w:rFonts w:ascii="Times New Roman" w:hAnsi="Times New Roman"/>
                <w:sz w:val="24"/>
              </w:rPr>
              <w:t>pact dans plusieurs lignes d'activité) sont considérés comme un seul événement. Il peut être supérieur si un établissement qui calcule ses exigences de fonds propres selon l'approche BIA n'est pas en mesure dans chaque cas d'identifier la ou les lignes d'activités sur lesquelles la perte a une incidence.</w:t>
            </w:r>
          </w:p>
          <w:p w:rsidR="001A6C53" w:rsidRPr="00392FFD" w:rsidRDefault="001A6C53" w:rsidP="008D2F6E">
            <w:pPr>
              <w:rPr>
                <w:rStyle w:val="InstructionsTabelleberschrift"/>
                <w:rFonts w:ascii="Times New Roman" w:hAnsi="Times New Roman"/>
                <w:sz w:val="24"/>
              </w:rPr>
            </w:pPr>
            <w:r>
              <w:rPr>
                <w:rFonts w:ascii="Times New Roman" w:hAnsi="Times New Roman"/>
                <w:sz w:val="24"/>
              </w:rPr>
              <w:t>Le nombre d'événements de perte faisant l'objet d'ajustements de perte sera répa</w:t>
            </w:r>
            <w:r>
              <w:rPr>
                <w:rFonts w:ascii="Times New Roman" w:hAnsi="Times New Roman"/>
                <w:sz w:val="24"/>
              </w:rPr>
              <w:t>r</w:t>
            </w:r>
            <w:r>
              <w:rPr>
                <w:rFonts w:ascii="Times New Roman" w:hAnsi="Times New Roman"/>
                <w:sz w:val="24"/>
              </w:rPr>
              <w:t>ti entre le nombre d'évènements pour lesquels un ajustement de perte positif a été effectué au cours de la période de déclaration de référence et le nombre d'évèn</w:t>
            </w:r>
            <w:r>
              <w:rPr>
                <w:rFonts w:ascii="Times New Roman" w:hAnsi="Times New Roman"/>
                <w:sz w:val="24"/>
              </w:rPr>
              <w:t>e</w:t>
            </w:r>
            <w:r>
              <w:rPr>
                <w:rFonts w:ascii="Times New Roman" w:hAnsi="Times New Roman"/>
                <w:sz w:val="24"/>
              </w:rPr>
              <w:t>ments pour lesquels un ajustement de perte négatif a été effectué au cours de la période de déclaration (tous seront assortis d'un signe positif).</w:t>
            </w:r>
          </w:p>
        </w:tc>
      </w:tr>
      <w:tr w:rsidR="001A6C53" w:rsidRPr="00392FFD" w:rsidTr="008D2F6E">
        <w:tc>
          <w:tcPr>
            <w:tcW w:w="1101" w:type="dxa"/>
          </w:tcPr>
          <w:p w:rsidR="001A6C53" w:rsidRPr="00392FFD" w:rsidRDefault="001A6C53" w:rsidP="008D2F6E">
            <w:pPr>
              <w:rPr>
                <w:rFonts w:ascii="Times New Roman" w:hAnsi="Times New Roman"/>
                <w:sz w:val="24"/>
              </w:rPr>
            </w:pPr>
            <w:r>
              <w:rPr>
                <w:rFonts w:ascii="Times New Roman" w:hAnsi="Times New Roman"/>
                <w:sz w:val="24"/>
              </w:rPr>
              <w:t xml:space="preserve">0940, 0945, </w:t>
            </w:r>
            <w:r>
              <w:rPr>
                <w:rFonts w:ascii="Times New Roman" w:hAnsi="Times New Roman"/>
                <w:sz w:val="24"/>
              </w:rPr>
              <w:lastRenderedPageBreak/>
              <w:t>0946</w:t>
            </w:r>
          </w:p>
        </w:tc>
        <w:tc>
          <w:tcPr>
            <w:tcW w:w="8079" w:type="dxa"/>
          </w:tcPr>
          <w:p w:rsidR="001A6C53" w:rsidRPr="00392FFD" w:rsidRDefault="001A6C53" w:rsidP="008D2F6E">
            <w:pPr>
              <w:rPr>
                <w:rFonts w:ascii="Times New Roman" w:hAnsi="Times New Roman"/>
                <w:sz w:val="24"/>
              </w:rPr>
            </w:pPr>
            <w:r>
              <w:rPr>
                <w:rStyle w:val="InstructionsTabelleberschrift"/>
                <w:rFonts w:ascii="Times New Roman" w:hAnsi="Times New Roman"/>
                <w:sz w:val="24"/>
              </w:rPr>
              <w:lastRenderedPageBreak/>
              <w:t>Ajustements de perte relatifs à des périodes de déclaration précédentes</w:t>
            </w:r>
          </w:p>
          <w:p w:rsidR="001A6C53" w:rsidRPr="00392FFD" w:rsidRDefault="001A6C53" w:rsidP="008D2F6E">
            <w:pPr>
              <w:rPr>
                <w:rFonts w:ascii="Times New Roman" w:hAnsi="Times New Roman"/>
                <w:sz w:val="24"/>
              </w:rPr>
            </w:pPr>
            <w:r>
              <w:rPr>
                <w:rFonts w:ascii="Times New Roman" w:hAnsi="Times New Roman"/>
                <w:sz w:val="24"/>
              </w:rPr>
              <w:lastRenderedPageBreak/>
              <w:t>À la ligne 940, on indiquera le total des montants d'ajustement de perte relatifs à des périodes de déclaration précédentes par ligne d'activité (tels que définis pour les lignes 040, 140, …, 840). Pour autant que l'établissement ait affecté toutes ses pertes soit à une ligne d'activité figurant dans le tableau 2 de l'article 317, par</w:t>
            </w:r>
            <w:r>
              <w:rPr>
                <w:rFonts w:ascii="Times New Roman" w:hAnsi="Times New Roman"/>
                <w:sz w:val="24"/>
              </w:rPr>
              <w:t>a</w:t>
            </w:r>
            <w:r>
              <w:rPr>
                <w:rFonts w:ascii="Times New Roman" w:hAnsi="Times New Roman"/>
                <w:sz w:val="24"/>
              </w:rPr>
              <w:t>graphe 4, du CRR, soit à la ligne d'activité «éléments d'entreprises» visée à l'a</w:t>
            </w:r>
            <w:r>
              <w:rPr>
                <w:rFonts w:ascii="Times New Roman" w:hAnsi="Times New Roman"/>
                <w:sz w:val="24"/>
              </w:rPr>
              <w:t>r</w:t>
            </w:r>
            <w:r>
              <w:rPr>
                <w:rFonts w:ascii="Times New Roman" w:hAnsi="Times New Roman"/>
                <w:sz w:val="24"/>
              </w:rPr>
              <w:t>ticle 322, paragraphe 3, point b), du CRR, le montant déclaré dans la ligne 940 correspond à la simple agrégation des ajustements de perte relatifs à des périodes de déclaration précédentes déclarés pour les différentes lignes d'activité.</w:t>
            </w:r>
          </w:p>
          <w:p w:rsidR="001A6C53" w:rsidRPr="00392FFD" w:rsidRDefault="001A6C53" w:rsidP="008D2F6E">
            <w:pPr>
              <w:rPr>
                <w:sz w:val="24"/>
              </w:rPr>
            </w:pPr>
            <w:r>
              <w:rPr>
                <w:rFonts w:ascii="Times New Roman" w:hAnsi="Times New Roman"/>
                <w:sz w:val="24"/>
              </w:rPr>
              <w:t>Le montant des ajustements de perte sera réparti entre le montant correspondant à des évènements pour lesquels un ajustement de perte positif a été effectué au cours de la période de déclaration de référence (ligne 945, déclaré sous la forme d'un chiffre positif) et le montant correspondant à des évènements pour lesquels un ajustement de perte négatif a été effectué au cours de la période de déclaration (déclaré sous la forme d'un chiffre négatif). Si en raison d'un ajustement de perte négatif, le montant de perte ajusté attribuable à un évènement tombe sous le seuil de l'établissement pour la collecte de données internes, ce dernier déclarera le montant total de perte accumulé pour cet évènement jusqu'à la dernière fois que cet évènement a été déclaré pour une date de référence en décembre (c'est-à-dire la perte initiale plus / moins tous les ajustements de perte effectués lors de p</w:t>
            </w:r>
            <w:r>
              <w:rPr>
                <w:rFonts w:ascii="Times New Roman" w:hAnsi="Times New Roman"/>
                <w:sz w:val="24"/>
              </w:rPr>
              <w:t>é</w:t>
            </w:r>
            <w:r>
              <w:rPr>
                <w:rFonts w:ascii="Times New Roman" w:hAnsi="Times New Roman"/>
                <w:sz w:val="24"/>
              </w:rPr>
              <w:t>riodes de déclaration de référence précédentes) avec un signe négatif à la ligne 946 au lieu du montant de l'ajustement de perte négatif lui-même.</w:t>
            </w:r>
          </w:p>
        </w:tc>
      </w:tr>
      <w:tr w:rsidR="001A6C53" w:rsidRPr="00392FFD" w:rsidTr="008D2F6E">
        <w:tc>
          <w:tcPr>
            <w:tcW w:w="1101" w:type="dxa"/>
            <w:tcBorders>
              <w:top w:val="single" w:sz="4" w:space="0" w:color="auto"/>
              <w:left w:val="single" w:sz="4" w:space="0" w:color="auto"/>
              <w:bottom w:val="single" w:sz="4" w:space="0" w:color="auto"/>
              <w:right w:val="single" w:sz="4" w:space="0" w:color="auto"/>
            </w:tcBorders>
          </w:tcPr>
          <w:p w:rsidR="001A6C53" w:rsidRPr="00417984" w:rsidRDefault="001A6C53" w:rsidP="008D2F6E">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1A6C53" w:rsidRPr="00417984"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Perte individuelle maximale</w:t>
            </w:r>
          </w:p>
          <w:p w:rsidR="001A6C53" w:rsidRPr="00392FFD" w:rsidRDefault="001A6C53" w:rsidP="008D2F6E">
            <w:pPr>
              <w:rPr>
                <w:rFonts w:ascii="Times New Roman" w:hAnsi="Times New Roman"/>
                <w:sz w:val="24"/>
              </w:rPr>
            </w:pPr>
            <w:r>
              <w:rPr>
                <w:rFonts w:ascii="Times New Roman" w:hAnsi="Times New Roman"/>
                <w:sz w:val="24"/>
              </w:rPr>
              <w:t>Pour autant que l'établissement ait affecté toutes ses pertes soit à une ligne d'act</w:t>
            </w:r>
            <w:r>
              <w:rPr>
                <w:rFonts w:ascii="Times New Roman" w:hAnsi="Times New Roman"/>
                <w:sz w:val="24"/>
              </w:rPr>
              <w:t>i</w:t>
            </w:r>
            <w:r>
              <w:rPr>
                <w:rFonts w:ascii="Times New Roman" w:hAnsi="Times New Roman"/>
                <w:sz w:val="24"/>
              </w:rPr>
              <w:t>vité figurant dans le tableau 2 de l'article 317, paragraphe 4, du CRR, soit à la ligne d'activité «éléments d'entreprises» visée à l'article 322, paragraphe 3, point b), du CRR, la perte individuelle maximale est la perte maximale au-dessus du seuil interne pour chaque type d'évènement et parmi toutes les lignes d'activ</w:t>
            </w:r>
            <w:r>
              <w:rPr>
                <w:rFonts w:ascii="Times New Roman" w:hAnsi="Times New Roman"/>
                <w:sz w:val="24"/>
              </w:rPr>
              <w:t>i</w:t>
            </w:r>
            <w:r>
              <w:rPr>
                <w:rFonts w:ascii="Times New Roman" w:hAnsi="Times New Roman"/>
                <w:sz w:val="24"/>
              </w:rPr>
              <w:t>té. Ces chiffres peuvent être supérieurs à la perte individuelle la plus élevée enr</w:t>
            </w:r>
            <w:r>
              <w:rPr>
                <w:rFonts w:ascii="Times New Roman" w:hAnsi="Times New Roman"/>
                <w:sz w:val="24"/>
              </w:rPr>
              <w:t>e</w:t>
            </w:r>
            <w:r>
              <w:rPr>
                <w:rFonts w:ascii="Times New Roman" w:hAnsi="Times New Roman"/>
                <w:sz w:val="24"/>
              </w:rPr>
              <w:t>gistrée dans chaque ligne d'activité si un événement touche plusieurs lignes d'a</w:t>
            </w:r>
            <w:r>
              <w:rPr>
                <w:rFonts w:ascii="Times New Roman" w:hAnsi="Times New Roman"/>
                <w:sz w:val="24"/>
              </w:rPr>
              <w:t>c</w:t>
            </w:r>
            <w:r>
              <w:rPr>
                <w:rFonts w:ascii="Times New Roman" w:hAnsi="Times New Roman"/>
                <w:sz w:val="24"/>
              </w:rPr>
              <w:t>tivité.</w:t>
            </w:r>
          </w:p>
          <w:p w:rsidR="001A6C53" w:rsidRPr="00392FFD" w:rsidRDefault="001A6C53" w:rsidP="008D2F6E">
            <w:pPr>
              <w:rPr>
                <w:rFonts w:ascii="Times New Roman" w:hAnsi="Times New Roman"/>
                <w:sz w:val="24"/>
              </w:rPr>
            </w:pPr>
            <w:r>
              <w:rPr>
                <w:rFonts w:ascii="Times New Roman" w:hAnsi="Times New Roman"/>
                <w:sz w:val="24"/>
              </w:rPr>
              <w:t>Pour autant que l'établissement ait affecté toutes ses pertes soit à une ligne d'act</w:t>
            </w:r>
            <w:r>
              <w:rPr>
                <w:rFonts w:ascii="Times New Roman" w:hAnsi="Times New Roman"/>
                <w:sz w:val="24"/>
              </w:rPr>
              <w:t>i</w:t>
            </w:r>
            <w:r>
              <w:rPr>
                <w:rFonts w:ascii="Times New Roman" w:hAnsi="Times New Roman"/>
                <w:sz w:val="24"/>
              </w:rPr>
              <w:t>vité figurant dans le tableau 2 de l'article 317, paragraphe 4, du CRR, soit à la ligne d'activité «éléments d'entreprises» visée à l'article 322, paragraphe 3, point b), du CRR, ou respectivement qu'il ait identifié tous les types d'évènement pour toutes les pertes, les conditions suivantes s'appliquent pour la colonne 080:</w:t>
            </w:r>
          </w:p>
          <w:p w:rsidR="001A6C53" w:rsidRPr="00392FFD" w:rsidRDefault="001A6C53" w:rsidP="008D2F6E">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La perte individuelle maximale déclarée est égale à la plus élevée des valeurs déclarées dans les colonnes 010 – 070 de cette ligne.</w:t>
            </w:r>
          </w:p>
          <w:p w:rsidR="001A6C53" w:rsidRPr="00392FFD" w:rsidRDefault="001A6C53" w:rsidP="008D2F6E">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S'il y a des évènements ayant une incidence sur plusieurs lignes d'activité, le montant déclaré dans {r950, c080} peut être supérieur aux montants de «perte individuelle maximale» par ligne d'activité déclarés dans les autres lignes de la colonne 080. </w:t>
            </w:r>
          </w:p>
        </w:tc>
      </w:tr>
      <w:tr w:rsidR="001A6C53" w:rsidRPr="00392FFD" w:rsidTr="008D2F6E">
        <w:tc>
          <w:tcPr>
            <w:tcW w:w="1101"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Somme des cinq pertes les plus élevées</w:t>
            </w:r>
          </w:p>
          <w:p w:rsidR="001A6C53" w:rsidRPr="00392FFD" w:rsidRDefault="001A6C53" w:rsidP="008D2F6E">
            <w:pPr>
              <w:rPr>
                <w:rFonts w:ascii="Times New Roman" w:hAnsi="Times New Roman"/>
                <w:sz w:val="24"/>
              </w:rPr>
            </w:pPr>
            <w:r>
              <w:rPr>
                <w:rFonts w:ascii="Times New Roman" w:hAnsi="Times New Roman"/>
                <w:sz w:val="24"/>
              </w:rPr>
              <w:t xml:space="preserve">La somme des cinq pertes brutes les plus élevées pour chaque type d'événement et parmi toutes les lignes d'activité est déclarée. Cette somme peut être supérieure à la plus élevée des sommes des cinq pertes les plus élevées enregistrées dans chaque ligne d'activité. Cette somme doit être déclarée quel que soit le nombre de </w:t>
            </w:r>
            <w:r>
              <w:rPr>
                <w:rFonts w:ascii="Times New Roman" w:hAnsi="Times New Roman"/>
                <w:sz w:val="24"/>
              </w:rPr>
              <w:lastRenderedPageBreak/>
              <w:t xml:space="preserve">pertes. </w:t>
            </w:r>
          </w:p>
          <w:p w:rsidR="001A6C53" w:rsidRPr="00392FFD" w:rsidRDefault="001A6C53" w:rsidP="008D2F6E">
            <w:pPr>
              <w:rPr>
                <w:rStyle w:val="InstructionsTabelleberschrift"/>
                <w:rFonts w:ascii="Times New Roman" w:hAnsi="Times New Roman"/>
                <w:sz w:val="24"/>
              </w:rPr>
            </w:pPr>
            <w:r>
              <w:rPr>
                <w:rFonts w:ascii="Times New Roman" w:hAnsi="Times New Roman"/>
                <w:sz w:val="24"/>
              </w:rPr>
              <w:t>Pour autant que l'établissement ait affecté toutes ses pertes soit à une ligne d'act</w:t>
            </w:r>
            <w:r>
              <w:rPr>
                <w:rFonts w:ascii="Times New Roman" w:hAnsi="Times New Roman"/>
                <w:sz w:val="24"/>
              </w:rPr>
              <w:t>i</w:t>
            </w:r>
            <w:r>
              <w:rPr>
                <w:rFonts w:ascii="Times New Roman" w:hAnsi="Times New Roman"/>
                <w:sz w:val="24"/>
              </w:rPr>
              <w:t>vité figurant dans le tableau 2 de l'article 317, paragraphe 4, du CRR, soit à la ligne d'activité «éléments d'entreprises» visée à l'article 322, paragraphe 3, point b), du CRR, ou respectivement qu'il ait identifié tous les types d'évènement pour toutes les pertes, pour la colonne 080, la somme des cinq pertes les plus él</w:t>
            </w:r>
            <w:r>
              <w:rPr>
                <w:rFonts w:ascii="Times New Roman" w:hAnsi="Times New Roman"/>
                <w:sz w:val="24"/>
              </w:rPr>
              <w:t>e</w:t>
            </w:r>
            <w:r>
              <w:rPr>
                <w:rFonts w:ascii="Times New Roman" w:hAnsi="Times New Roman"/>
                <w:sz w:val="24"/>
              </w:rPr>
              <w:t>vées sera la somme des cinq pertes les plus élevées dans toute la matrice, ce qui signifie que cette valeur ne sera pas nécessairement égale à la valeur maximale de la «somme des cinq pertes les plus élevées» dans la ligne 960 ni à la valeur maximale de la «somme des cinq pertes les plus élevées» dans la colonne 080.</w:t>
            </w:r>
          </w:p>
        </w:tc>
      </w:tr>
      <w:tr w:rsidR="001A6C53" w:rsidRPr="00392FFD" w:rsidTr="008D2F6E">
        <w:tc>
          <w:tcPr>
            <w:tcW w:w="1101"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Recouvrements de pertes directs totaux</w:t>
            </w:r>
          </w:p>
          <w:p w:rsidR="001A6C53" w:rsidRPr="00392FFD" w:rsidRDefault="001A6C53" w:rsidP="008D2F6E">
            <w:pPr>
              <w:rPr>
                <w:rStyle w:val="InstructionsTabelleberschrift"/>
                <w:rFonts w:ascii="Times New Roman" w:hAnsi="Times New Roman"/>
                <w:sz w:val="24"/>
              </w:rPr>
            </w:pPr>
            <w:r>
              <w:rPr>
                <w:rFonts w:ascii="Times New Roman" w:hAnsi="Times New Roman"/>
                <w:sz w:val="24"/>
              </w:rPr>
              <w:t>Pour autant que l'établissement ait affecté toutes ses pertes soit à une ligne d'act</w:t>
            </w:r>
            <w:r>
              <w:rPr>
                <w:rFonts w:ascii="Times New Roman" w:hAnsi="Times New Roman"/>
                <w:sz w:val="24"/>
              </w:rPr>
              <w:t>i</w:t>
            </w:r>
            <w:r>
              <w:rPr>
                <w:rFonts w:ascii="Times New Roman" w:hAnsi="Times New Roman"/>
                <w:sz w:val="24"/>
              </w:rPr>
              <w:t>vité figurant dans le tableau 2 de l'article 317, paragraphe 4, du CRR, soit à la ligne d'activité «éléments d'entreprises» visée à l'article 322, paragraphe 3, point b), du CRR, les recouvrements de pertes directs totaux correspondent à la simple agrégation des recouvrements de pertes directs totaux pour chaque ligne d'activité.</w:t>
            </w:r>
          </w:p>
        </w:tc>
      </w:tr>
      <w:tr w:rsidR="001A6C53" w:rsidRPr="00392FFD" w:rsidTr="008D2F6E">
        <w:tc>
          <w:tcPr>
            <w:tcW w:w="1101"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Recouvrements totaux provenant des assurances et autres mécanismes de transfert du risque</w:t>
            </w:r>
          </w:p>
          <w:p w:rsidR="001A6C53" w:rsidRPr="00392FFD" w:rsidRDefault="001A6C53" w:rsidP="008D2F6E">
            <w:pPr>
              <w:rPr>
                <w:rFonts w:ascii="Times New Roman" w:hAnsi="Times New Roman"/>
                <w:b/>
                <w:bCs/>
                <w:sz w:val="24"/>
                <w:u w:val="single"/>
              </w:rPr>
            </w:pPr>
            <w:r>
              <w:rPr>
                <w:rFonts w:ascii="Times New Roman" w:hAnsi="Times New Roman"/>
                <w:sz w:val="24"/>
              </w:rPr>
              <w:t>Pour autant que l'établissement ait affecté toutes ses pertes soit à une ligne d'act</w:t>
            </w:r>
            <w:r>
              <w:rPr>
                <w:rFonts w:ascii="Times New Roman" w:hAnsi="Times New Roman"/>
                <w:sz w:val="24"/>
              </w:rPr>
              <w:t>i</w:t>
            </w:r>
            <w:r>
              <w:rPr>
                <w:rFonts w:ascii="Times New Roman" w:hAnsi="Times New Roman"/>
                <w:sz w:val="24"/>
              </w:rPr>
              <w:t>vité figurant dans le tableau 2 de l'article 317, paragraphe 4, du CRR, soit à la ligne d'activité «éléments d'entreprises» visée à l'article 322, paragraphe 3, point b), du CRR, les recouvrements totaux provenant des assurances et autres mécanismes de transfert du risque correspondent à la simple agrégation des r</w:t>
            </w:r>
            <w:r>
              <w:rPr>
                <w:rFonts w:ascii="Times New Roman" w:hAnsi="Times New Roman"/>
                <w:sz w:val="24"/>
              </w:rPr>
              <w:t>e</w:t>
            </w:r>
            <w:r>
              <w:rPr>
                <w:rFonts w:ascii="Times New Roman" w:hAnsi="Times New Roman"/>
                <w:sz w:val="24"/>
              </w:rPr>
              <w:t>couvrements de perte totaux provenant des assurances et autres mécanismes de transfert du risque pour chaque ligne d'activité.</w:t>
            </w:r>
          </w:p>
        </w:tc>
      </w:tr>
    </w:tbl>
    <w:p w:rsidR="001A6C53" w:rsidRPr="00392FFD" w:rsidRDefault="001A6C53" w:rsidP="001A6C53">
      <w:pPr>
        <w:spacing w:before="0" w:after="0"/>
        <w:jc w:val="left"/>
        <w:rPr>
          <w:rStyle w:val="InstructionsTabelleText"/>
          <w:rFonts w:ascii="Times New Roman" w:hAnsi="Times New Roman"/>
          <w:sz w:val="24"/>
        </w:rPr>
      </w:pP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09" w:name="_Toc524104218"/>
      <w:r>
        <w:rPr>
          <w:rFonts w:ascii="Times New Roman" w:hAnsi="Times New Roman"/>
          <w:sz w:val="24"/>
          <w:u w:val="none"/>
        </w:rPr>
        <w:t>4.2.3</w:t>
      </w:r>
      <w:r w:rsidRPr="00FF69EB">
        <w:rPr>
          <w:rFonts w:ascii="Times New Roman" w:hAnsi="Times New Roman"/>
          <w:sz w:val="24"/>
          <w:u w:val="none"/>
        </w:rPr>
        <w:t>.</w:t>
      </w:r>
      <w:r w:rsidRPr="00FF69EB">
        <w:rPr>
          <w:u w:val="none"/>
        </w:rPr>
        <w:tab/>
      </w:r>
      <w:r>
        <w:rPr>
          <w:rFonts w:ascii="Times New Roman" w:hAnsi="Times New Roman"/>
          <w:sz w:val="24"/>
        </w:rPr>
        <w:t>C 17.02: Risque opérationnel: Informations détaillées sur les évènements de perte les plus importants du dernier exercice (OPR DETAILS 2)</w:t>
      </w:r>
      <w:bookmarkEnd w:id="409"/>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10" w:name="_Toc524104219"/>
      <w:r>
        <w:rPr>
          <w:rFonts w:ascii="Times New Roman" w:hAnsi="Times New Roman"/>
          <w:sz w:val="24"/>
          <w:u w:val="none"/>
        </w:rPr>
        <w:t>4.2.3.1.</w:t>
      </w:r>
      <w:r w:rsidRPr="00FF69EB">
        <w:rPr>
          <w:u w:val="none"/>
        </w:rPr>
        <w:tab/>
      </w:r>
      <w:r>
        <w:rPr>
          <w:rFonts w:ascii="Times New Roman" w:hAnsi="Times New Roman"/>
          <w:sz w:val="24"/>
        </w:rPr>
        <w:t>Remarques générales</w:t>
      </w:r>
      <w:bookmarkEnd w:id="410"/>
    </w:p>
    <w:p w:rsidR="001A6C53" w:rsidRPr="00392FFD" w:rsidRDefault="001A6C53" w:rsidP="001A6C53">
      <w:pPr>
        <w:pStyle w:val="InstructionsText2"/>
        <w:numPr>
          <w:ilvl w:val="0"/>
          <w:numId w:val="0"/>
        </w:numPr>
        <w:ind w:left="993"/>
      </w:pPr>
      <w:r>
        <w:t>134.</w:t>
      </w:r>
      <w:r>
        <w:tab/>
        <w:t>Dans le modèle C 17.02, des informations sur les évènements de perte indiv</w:t>
      </w:r>
      <w:r>
        <w:t>i</w:t>
      </w:r>
      <w:r>
        <w:t>duels seront fournies (une ligne par évènement).</w:t>
      </w:r>
    </w:p>
    <w:p w:rsidR="001A6C53" w:rsidRPr="00392FFD" w:rsidRDefault="001A6C53" w:rsidP="001A6C53">
      <w:pPr>
        <w:pStyle w:val="InstructionsText2"/>
        <w:numPr>
          <w:ilvl w:val="0"/>
          <w:numId w:val="0"/>
        </w:numPr>
        <w:ind w:left="993"/>
      </w:pPr>
      <w:r>
        <w:t>135.</w:t>
      </w:r>
      <w:r>
        <w:tab/>
        <w:t>Les informations déclarées dans ce modèle se rapportent aux «nouveaux év</w:t>
      </w:r>
      <w:r>
        <w:t>è</w:t>
      </w:r>
      <w:r>
        <w:t>nements», c'est-à-dire aux évènements de risque opérationnel</w:t>
      </w:r>
      <w:r>
        <w:tab/>
      </w:r>
    </w:p>
    <w:p w:rsidR="001A6C53" w:rsidRPr="00392FFD" w:rsidRDefault="001A6C53" w:rsidP="001A6C53">
      <w:pPr>
        <w:pStyle w:val="InstructionsText2"/>
        <w:numPr>
          <w:ilvl w:val="0"/>
          <w:numId w:val="0"/>
        </w:numPr>
        <w:ind w:left="993"/>
      </w:pPr>
      <w:r>
        <w:t>a)</w:t>
      </w:r>
      <w:r>
        <w:tab/>
        <w:t>«comptabilisés pour la première fois» au cours de la période de déclaration de référence ou</w:t>
      </w:r>
    </w:p>
    <w:p w:rsidR="001A6C53" w:rsidRPr="00392FFD" w:rsidRDefault="001A6C53" w:rsidP="001A6C53">
      <w:pPr>
        <w:pStyle w:val="InstructionsText2"/>
        <w:numPr>
          <w:ilvl w:val="0"/>
          <w:numId w:val="0"/>
        </w:numPr>
        <w:ind w:left="993"/>
      </w:pPr>
      <w:r>
        <w:t>b)</w:t>
      </w:r>
      <w:r>
        <w:tab/>
        <w:t>«comptabilisés pour la première fois» au cours d'une période de déclaration de référence précédente, si l'évènement n'avait pas été inclus dans de précédents ra</w:t>
      </w:r>
      <w:r>
        <w:t>p</w:t>
      </w:r>
      <w:r>
        <w:t>ports prudentiels, par exemple parce que ce n'est qu'au cours de l'actuelle période de déclaration de référence qu'il a été identifié en tant qu'évènement de risque opér</w:t>
      </w:r>
      <w:r>
        <w:t>a</w:t>
      </w:r>
      <w:r>
        <w:t xml:space="preserve">tionnel ou que la perte accumulée attribuable à cet évènement (c'est-à-dire la perte </w:t>
      </w:r>
      <w:r>
        <w:lastRenderedPageBreak/>
        <w:t>initiale plus / moins tous les ajustements de perte effectués lors de périodes de d</w:t>
      </w:r>
      <w:r>
        <w:t>é</w:t>
      </w:r>
      <w:r>
        <w:t>claration de référence précédentes) a dépassé le seuil pour la collecte des données internes.</w:t>
      </w:r>
    </w:p>
    <w:p w:rsidR="00FF69EB" w:rsidRDefault="001A6C53" w:rsidP="001A6C53">
      <w:pPr>
        <w:pStyle w:val="InstructionsText2"/>
        <w:numPr>
          <w:ilvl w:val="0"/>
          <w:numId w:val="0"/>
        </w:numPr>
        <w:ind w:left="993"/>
      </w:pPr>
      <w:r>
        <w:t>136.</w:t>
      </w:r>
      <w:r>
        <w:tab/>
        <w:t>Seuls les évènements comportant un montant de perte brute supérieur ou égal à 100 000 EUR seront déclarés.</w:t>
      </w:r>
    </w:p>
    <w:p w:rsidR="001A6C53" w:rsidRPr="00392FFD" w:rsidRDefault="001A6C53" w:rsidP="001A6C53">
      <w:pPr>
        <w:pStyle w:val="InstructionsText2"/>
        <w:numPr>
          <w:ilvl w:val="0"/>
          <w:numId w:val="0"/>
        </w:numPr>
        <w:ind w:left="993"/>
      </w:pPr>
      <w:r>
        <w:tab/>
        <w:t>Sous réserve de ce seuil, seront inclus dans le modèle</w:t>
      </w:r>
    </w:p>
    <w:p w:rsidR="001A6C53" w:rsidRPr="00392FFD" w:rsidRDefault="001A6C53" w:rsidP="001A6C53">
      <w:pPr>
        <w:pStyle w:val="InstructionsText2"/>
        <w:numPr>
          <w:ilvl w:val="0"/>
          <w:numId w:val="0"/>
        </w:numPr>
        <w:ind w:left="993"/>
      </w:pPr>
      <w:r>
        <w:t>a)</w:t>
      </w:r>
      <w:r>
        <w:tab/>
        <w:t>l'évènement le plus important pour chaque type d'évènement, pour autant que l'établissement ait identifié les types d'évènement pour les pertes et</w:t>
      </w:r>
    </w:p>
    <w:p w:rsidR="001A6C53" w:rsidRPr="00392FFD" w:rsidRDefault="001A6C53" w:rsidP="001A6C53">
      <w:pPr>
        <w:pStyle w:val="InstructionsText2"/>
        <w:numPr>
          <w:ilvl w:val="0"/>
          <w:numId w:val="0"/>
        </w:numPr>
        <w:ind w:left="993"/>
      </w:pPr>
      <w:r>
        <w:t>b)</w:t>
      </w:r>
      <w:r>
        <w:tab/>
        <w:t xml:space="preserve">au moins les dix évènements les plus importants parmi ceux restant avec ou sans le type d'évènement identifié par montant de perte brute. </w:t>
      </w:r>
    </w:p>
    <w:p w:rsidR="001A6C53" w:rsidRPr="00392FFD" w:rsidRDefault="001A6C53" w:rsidP="001A6C53">
      <w:pPr>
        <w:pStyle w:val="InstructionsText2"/>
        <w:numPr>
          <w:ilvl w:val="0"/>
          <w:numId w:val="0"/>
        </w:numPr>
        <w:ind w:left="993"/>
      </w:pPr>
      <w:r>
        <w:t>c)</w:t>
      </w:r>
      <w:r>
        <w:tab/>
        <w:t xml:space="preserve">Les évènements sont classés en fonction de la perte brute qui leur est attribuée. </w:t>
      </w:r>
    </w:p>
    <w:p w:rsidR="001A6C53" w:rsidRPr="00392FFD" w:rsidRDefault="001A6C53" w:rsidP="001A6C53">
      <w:pPr>
        <w:pStyle w:val="InstructionsText2"/>
        <w:numPr>
          <w:ilvl w:val="0"/>
          <w:numId w:val="0"/>
        </w:numPr>
        <w:ind w:left="993"/>
      </w:pPr>
      <w:r>
        <w:t>d)</w:t>
      </w:r>
      <w:r>
        <w:tab/>
        <w:t>Un évènement n'est pris en considération qu'une seule fois.</w:t>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11" w:name="_Toc524104220"/>
      <w:r>
        <w:rPr>
          <w:rFonts w:ascii="Times New Roman" w:hAnsi="Times New Roman"/>
          <w:sz w:val="24"/>
          <w:u w:val="none"/>
        </w:rPr>
        <w:t>4.2.3.2.</w:t>
      </w:r>
      <w:r w:rsidRPr="00FF69EB">
        <w:rPr>
          <w:u w:val="none"/>
        </w:rPr>
        <w:tab/>
      </w:r>
      <w:r>
        <w:rPr>
          <w:rFonts w:ascii="Times New Roman" w:hAnsi="Times New Roman"/>
          <w:sz w:val="24"/>
        </w:rPr>
        <w:t>Instructions concernant certaines positions</w:t>
      </w:r>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1A6C53" w:rsidRPr="00392FFD" w:rsidTr="008D2F6E">
        <w:tc>
          <w:tcPr>
            <w:tcW w:w="9288" w:type="dxa"/>
            <w:gridSpan w:val="2"/>
            <w:shd w:val="clear" w:color="auto" w:fill="BFBFBF"/>
          </w:tcPr>
          <w:p w:rsidR="001A6C53" w:rsidRPr="00392FFD" w:rsidRDefault="001A6C53" w:rsidP="008D2F6E">
            <w:pPr>
              <w:rPr>
                <w:rFonts w:ascii="Times New Roman" w:hAnsi="Times New Roman"/>
                <w:sz w:val="24"/>
              </w:rPr>
            </w:pPr>
            <w:r>
              <w:rPr>
                <w:rFonts w:ascii="Times New Roman" w:hAnsi="Times New Roman"/>
                <w:b/>
                <w:sz w:val="24"/>
              </w:rPr>
              <w:t>Colonnes</w:t>
            </w:r>
          </w:p>
        </w:tc>
      </w:tr>
      <w:tr w:rsidR="001A6C53" w:rsidRPr="00392FFD" w:rsidTr="008D2F6E">
        <w:tc>
          <w:tcPr>
            <w:tcW w:w="959" w:type="dxa"/>
            <w:shd w:val="clear" w:color="auto" w:fill="auto"/>
          </w:tcPr>
          <w:p w:rsidR="001A6C53" w:rsidRPr="00392FFD" w:rsidRDefault="001A6C53" w:rsidP="008D2F6E">
            <w:pPr>
              <w:rPr>
                <w:rFonts w:ascii="Times New Roman" w:hAnsi="Times New Roman"/>
                <w:sz w:val="24"/>
              </w:rPr>
            </w:pPr>
            <w:r>
              <w:rPr>
                <w:rFonts w:ascii="Times New Roman" w:hAnsi="Times New Roman"/>
                <w:sz w:val="24"/>
              </w:rPr>
              <w:t>0010</w:t>
            </w:r>
          </w:p>
        </w:tc>
        <w:tc>
          <w:tcPr>
            <w:tcW w:w="8329" w:type="dxa"/>
            <w:shd w:val="clear" w:color="auto" w:fill="auto"/>
          </w:tcPr>
          <w:p w:rsidR="001A6C53" w:rsidRPr="00392FFD" w:rsidRDefault="001A6C53" w:rsidP="008D2F6E">
            <w:pPr>
              <w:rPr>
                <w:rFonts w:ascii="Times New Roman" w:hAnsi="Times New Roman"/>
                <w:sz w:val="24"/>
              </w:rPr>
            </w:pPr>
            <w:r>
              <w:rPr>
                <w:rStyle w:val="InstructionsTabelleberschrift"/>
                <w:rFonts w:ascii="Times New Roman" w:hAnsi="Times New Roman"/>
                <w:sz w:val="24"/>
              </w:rPr>
              <w:t>Identifiant d'évènement</w:t>
            </w:r>
          </w:p>
          <w:p w:rsidR="001A6C53" w:rsidRPr="00392FFD" w:rsidRDefault="001A6C53" w:rsidP="008D2F6E">
            <w:pPr>
              <w:rPr>
                <w:rFonts w:ascii="Times New Roman" w:hAnsi="Times New Roman"/>
                <w:sz w:val="24"/>
              </w:rPr>
            </w:pPr>
            <w:r>
              <w:rPr>
                <w:rFonts w:ascii="Times New Roman" w:hAnsi="Times New Roman"/>
                <w:sz w:val="24"/>
              </w:rPr>
              <w:t xml:space="preserve">L'identifiant d'évènement est un identifiant de ligne et est propre à chaque ligne du tableau. </w:t>
            </w:r>
          </w:p>
          <w:p w:rsidR="001A6C53" w:rsidRPr="00392FFD" w:rsidRDefault="001A6C53" w:rsidP="008D2F6E">
            <w:pPr>
              <w:rPr>
                <w:rFonts w:ascii="Times New Roman" w:hAnsi="Times New Roman"/>
                <w:sz w:val="24"/>
              </w:rPr>
            </w:pPr>
            <w:r>
              <w:rPr>
                <w:rFonts w:ascii="Times New Roman" w:hAnsi="Times New Roman"/>
                <w:sz w:val="24"/>
              </w:rPr>
              <w:t>Lorsqu'un identifiant d'évènement interne est disponible, l'établissement fournira ce dernier. Autrement, l'identifiant déclaré suivra l'ordre numérique: 1, 2, 3, etc.</w:t>
            </w:r>
          </w:p>
        </w:tc>
      </w:tr>
      <w:tr w:rsidR="001A6C53" w:rsidRPr="00392FFD" w:rsidTr="008D2F6E">
        <w:tc>
          <w:tcPr>
            <w:tcW w:w="959" w:type="dxa"/>
            <w:shd w:val="clear" w:color="auto" w:fill="auto"/>
          </w:tcPr>
          <w:p w:rsidR="001A6C53" w:rsidRPr="00321A3B" w:rsidRDefault="001A6C53" w:rsidP="008D2F6E">
            <w:pPr>
              <w:rPr>
                <w:rFonts w:ascii="Times New Roman" w:hAnsi="Times New Roman"/>
                <w:sz w:val="24"/>
              </w:rPr>
            </w:pPr>
            <w:r>
              <w:rPr>
                <w:rFonts w:ascii="Times New Roman" w:hAnsi="Times New Roman"/>
                <w:sz w:val="24"/>
              </w:rPr>
              <w:t>0020</w:t>
            </w:r>
          </w:p>
        </w:tc>
        <w:tc>
          <w:tcPr>
            <w:tcW w:w="8329" w:type="dxa"/>
            <w:shd w:val="clear" w:color="auto" w:fill="auto"/>
          </w:tcPr>
          <w:p w:rsidR="001A6C53" w:rsidRPr="00321A3B"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Date de comptabilisation</w:t>
            </w:r>
          </w:p>
          <w:p w:rsidR="001A6C53" w:rsidRPr="00392FFD" w:rsidRDefault="001A6C53" w:rsidP="008D2F6E">
            <w:pPr>
              <w:rPr>
                <w:rFonts w:ascii="Times New Roman" w:hAnsi="Times New Roman"/>
                <w:sz w:val="24"/>
              </w:rPr>
            </w:pPr>
            <w:r>
              <w:rPr>
                <w:rFonts w:ascii="Times New Roman" w:hAnsi="Times New Roman"/>
                <w:sz w:val="24"/>
              </w:rPr>
              <w:t>Par «date de comptabilisation», on entend la date à laquelle une perte ou des r</w:t>
            </w:r>
            <w:r>
              <w:rPr>
                <w:rFonts w:ascii="Times New Roman" w:hAnsi="Times New Roman"/>
                <w:sz w:val="24"/>
              </w:rPr>
              <w:t>é</w:t>
            </w:r>
            <w:r>
              <w:rPr>
                <w:rFonts w:ascii="Times New Roman" w:hAnsi="Times New Roman"/>
                <w:sz w:val="24"/>
              </w:rPr>
              <w:t xml:space="preserve">serves / provisions pour perte liée à un risque opérationnel ont été comptabilisées pour la première fois dans le compte de profits et pertes. </w:t>
            </w:r>
          </w:p>
        </w:tc>
      </w:tr>
      <w:tr w:rsidR="001A6C53" w:rsidRPr="00392FFD" w:rsidTr="008D2F6E">
        <w:tc>
          <w:tcPr>
            <w:tcW w:w="959" w:type="dxa"/>
            <w:shd w:val="clear" w:color="auto" w:fill="auto"/>
          </w:tcPr>
          <w:p w:rsidR="001A6C53" w:rsidRPr="00392FFD" w:rsidRDefault="001A6C53" w:rsidP="008D2F6E">
            <w:pPr>
              <w:rPr>
                <w:rFonts w:ascii="Times New Roman" w:hAnsi="Times New Roman"/>
                <w:sz w:val="24"/>
              </w:rPr>
            </w:pPr>
            <w:r>
              <w:rPr>
                <w:rFonts w:ascii="Times New Roman" w:hAnsi="Times New Roman"/>
                <w:sz w:val="24"/>
              </w:rPr>
              <w:t>0030</w:t>
            </w:r>
          </w:p>
        </w:tc>
        <w:tc>
          <w:tcPr>
            <w:tcW w:w="8329" w:type="dxa"/>
            <w:shd w:val="clear" w:color="auto" w:fill="auto"/>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Date de survenance</w:t>
            </w:r>
          </w:p>
          <w:p w:rsidR="001A6C53" w:rsidRPr="00392FFD" w:rsidRDefault="001A6C53" w:rsidP="008D2F6E">
            <w:pPr>
              <w:rPr>
                <w:rFonts w:ascii="Times New Roman" w:hAnsi="Times New Roman"/>
                <w:sz w:val="24"/>
              </w:rPr>
            </w:pPr>
            <w:r>
              <w:rPr>
                <w:rFonts w:ascii="Times New Roman" w:hAnsi="Times New Roman"/>
                <w:sz w:val="24"/>
              </w:rPr>
              <w:t>La date de survenance est la date à laquelle l'évènement de risque opérationnel est survenu ou a initialement débuté.</w:t>
            </w:r>
          </w:p>
        </w:tc>
      </w:tr>
      <w:tr w:rsidR="001A6C53" w:rsidRPr="00392FFD" w:rsidTr="008D2F6E">
        <w:tc>
          <w:tcPr>
            <w:tcW w:w="959" w:type="dxa"/>
            <w:shd w:val="clear" w:color="auto" w:fill="auto"/>
          </w:tcPr>
          <w:p w:rsidR="001A6C53" w:rsidRPr="00392FFD" w:rsidRDefault="001A6C53" w:rsidP="008D2F6E">
            <w:pPr>
              <w:rPr>
                <w:rFonts w:ascii="Times New Roman" w:hAnsi="Times New Roman"/>
                <w:sz w:val="24"/>
              </w:rPr>
            </w:pPr>
            <w:r>
              <w:rPr>
                <w:rFonts w:ascii="Times New Roman" w:hAnsi="Times New Roman"/>
                <w:sz w:val="24"/>
              </w:rPr>
              <w:t>0040</w:t>
            </w:r>
          </w:p>
        </w:tc>
        <w:tc>
          <w:tcPr>
            <w:tcW w:w="8329" w:type="dxa"/>
            <w:shd w:val="clear" w:color="auto" w:fill="auto"/>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Date de détection</w:t>
            </w:r>
          </w:p>
          <w:p w:rsidR="001A6C53" w:rsidRPr="00392FFD" w:rsidRDefault="001A6C53" w:rsidP="008D2F6E">
            <w:pPr>
              <w:rPr>
                <w:rFonts w:ascii="Times New Roman" w:hAnsi="Times New Roman"/>
                <w:sz w:val="24"/>
              </w:rPr>
            </w:pPr>
            <w:r>
              <w:rPr>
                <w:rFonts w:ascii="Times New Roman" w:hAnsi="Times New Roman"/>
                <w:sz w:val="24"/>
              </w:rPr>
              <w:t>La date de détection est la date à laquelle l'établissement a eu connaissance de l'év</w:t>
            </w:r>
            <w:r>
              <w:rPr>
                <w:rFonts w:ascii="Times New Roman" w:hAnsi="Times New Roman"/>
                <w:sz w:val="24"/>
              </w:rPr>
              <w:t>é</w:t>
            </w:r>
            <w:r>
              <w:rPr>
                <w:rFonts w:ascii="Times New Roman" w:hAnsi="Times New Roman"/>
                <w:sz w:val="24"/>
              </w:rPr>
              <w:t>nement de risque opérationnel.</w:t>
            </w:r>
          </w:p>
        </w:tc>
      </w:tr>
      <w:tr w:rsidR="001A6C53" w:rsidRPr="00392FFD" w:rsidTr="008D2F6E">
        <w:tc>
          <w:tcPr>
            <w:tcW w:w="959" w:type="dxa"/>
            <w:shd w:val="clear" w:color="auto" w:fill="auto"/>
          </w:tcPr>
          <w:p w:rsidR="001A6C53" w:rsidRPr="00392FFD" w:rsidRDefault="001A6C53" w:rsidP="008D2F6E">
            <w:pPr>
              <w:rPr>
                <w:rFonts w:ascii="Times New Roman" w:hAnsi="Times New Roman"/>
                <w:sz w:val="24"/>
              </w:rPr>
            </w:pPr>
            <w:r>
              <w:rPr>
                <w:rFonts w:ascii="Times New Roman" w:hAnsi="Times New Roman"/>
                <w:sz w:val="24"/>
              </w:rPr>
              <w:t>0050</w:t>
            </w:r>
          </w:p>
        </w:tc>
        <w:tc>
          <w:tcPr>
            <w:tcW w:w="8329" w:type="dxa"/>
            <w:shd w:val="clear" w:color="auto" w:fill="auto"/>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Type d'événement</w:t>
            </w:r>
          </w:p>
          <w:p w:rsidR="001A6C53" w:rsidRPr="00392FFD" w:rsidRDefault="001A6C53" w:rsidP="008D2F6E">
            <w:pPr>
              <w:rPr>
                <w:rFonts w:ascii="Times New Roman" w:hAnsi="Times New Roman"/>
                <w:sz w:val="24"/>
              </w:rPr>
            </w:pPr>
            <w:r>
              <w:rPr>
                <w:rFonts w:ascii="Times New Roman" w:hAnsi="Times New Roman"/>
                <w:sz w:val="24"/>
              </w:rPr>
              <w:t>Types d'évènement tels que définis à l'article 324 du CRR</w:t>
            </w:r>
          </w:p>
        </w:tc>
      </w:tr>
      <w:tr w:rsidR="001A6C53" w:rsidRPr="00392FFD" w:rsidTr="008D2F6E">
        <w:tc>
          <w:tcPr>
            <w:tcW w:w="959" w:type="dxa"/>
            <w:shd w:val="clear" w:color="auto" w:fill="auto"/>
          </w:tcPr>
          <w:p w:rsidR="001A6C53" w:rsidRPr="00392FFD" w:rsidRDefault="001A6C53" w:rsidP="008D2F6E">
            <w:pPr>
              <w:rPr>
                <w:rFonts w:ascii="Times New Roman" w:hAnsi="Times New Roman"/>
                <w:sz w:val="24"/>
              </w:rPr>
            </w:pPr>
            <w:r>
              <w:rPr>
                <w:rFonts w:ascii="Times New Roman" w:hAnsi="Times New Roman"/>
                <w:sz w:val="24"/>
              </w:rPr>
              <w:t>0060</w:t>
            </w:r>
          </w:p>
        </w:tc>
        <w:tc>
          <w:tcPr>
            <w:tcW w:w="8329" w:type="dxa"/>
            <w:shd w:val="clear" w:color="auto" w:fill="auto"/>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Perte brute</w:t>
            </w:r>
          </w:p>
          <w:p w:rsidR="001A6C53" w:rsidRPr="00392FFD" w:rsidRDefault="001A6C53" w:rsidP="008D2F6E">
            <w:pPr>
              <w:rPr>
                <w:rFonts w:ascii="Times New Roman" w:hAnsi="Times New Roman"/>
                <w:sz w:val="24"/>
              </w:rPr>
            </w:pPr>
            <w:r>
              <w:rPr>
                <w:rFonts w:ascii="Times New Roman" w:hAnsi="Times New Roman"/>
                <w:sz w:val="24"/>
              </w:rPr>
              <w:t>Perte brute liée à l'évènement telle que définie pour les lignes 020, 120, etc. du m</w:t>
            </w:r>
            <w:r>
              <w:rPr>
                <w:rFonts w:ascii="Times New Roman" w:hAnsi="Times New Roman"/>
                <w:sz w:val="24"/>
              </w:rPr>
              <w:t>o</w:t>
            </w:r>
            <w:r>
              <w:rPr>
                <w:rFonts w:ascii="Times New Roman" w:hAnsi="Times New Roman"/>
                <w:sz w:val="24"/>
              </w:rPr>
              <w:t>dèle C 17.01 ci-dessus</w:t>
            </w:r>
          </w:p>
        </w:tc>
      </w:tr>
      <w:tr w:rsidR="001A6C53" w:rsidRPr="00392FFD" w:rsidTr="008D2F6E">
        <w:tc>
          <w:tcPr>
            <w:tcW w:w="959" w:type="dxa"/>
            <w:shd w:val="clear" w:color="auto" w:fill="auto"/>
          </w:tcPr>
          <w:p w:rsidR="001A6C53" w:rsidRPr="00392FFD" w:rsidRDefault="001A6C53" w:rsidP="008D2F6E">
            <w:pPr>
              <w:rPr>
                <w:rFonts w:ascii="Times New Roman" w:hAnsi="Times New Roman"/>
                <w:sz w:val="24"/>
              </w:rPr>
            </w:pPr>
            <w:r>
              <w:rPr>
                <w:rFonts w:ascii="Times New Roman" w:hAnsi="Times New Roman"/>
                <w:sz w:val="24"/>
              </w:rPr>
              <w:lastRenderedPageBreak/>
              <w:t>0070</w:t>
            </w:r>
          </w:p>
        </w:tc>
        <w:tc>
          <w:tcPr>
            <w:tcW w:w="8329" w:type="dxa"/>
            <w:shd w:val="clear" w:color="auto" w:fill="auto"/>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Perte brute nette des recouvrements directs</w:t>
            </w:r>
          </w:p>
          <w:p w:rsidR="001A6C53" w:rsidRPr="00392FFD" w:rsidRDefault="001A6C53" w:rsidP="008D2F6E">
            <w:pPr>
              <w:rPr>
                <w:rFonts w:ascii="Times New Roman" w:hAnsi="Times New Roman"/>
                <w:sz w:val="24"/>
              </w:rPr>
            </w:pPr>
            <w:r>
              <w:rPr>
                <w:rFonts w:ascii="Times New Roman" w:hAnsi="Times New Roman"/>
                <w:sz w:val="24"/>
              </w:rPr>
              <w:t>Perte brute liée à l'évènement, telle que définie pour les lignes 020, 120, etc. du m</w:t>
            </w:r>
            <w:r>
              <w:rPr>
                <w:rFonts w:ascii="Times New Roman" w:hAnsi="Times New Roman"/>
                <w:sz w:val="24"/>
              </w:rPr>
              <w:t>o</w:t>
            </w:r>
            <w:r>
              <w:rPr>
                <w:rFonts w:ascii="Times New Roman" w:hAnsi="Times New Roman"/>
                <w:sz w:val="24"/>
              </w:rPr>
              <w:t>dèle C 17.01 ci-dessus, nette des recouvrements directs se rapportant à cet évèn</w:t>
            </w:r>
            <w:r>
              <w:rPr>
                <w:rFonts w:ascii="Times New Roman" w:hAnsi="Times New Roman"/>
                <w:sz w:val="24"/>
              </w:rPr>
              <w:t>e</w:t>
            </w:r>
            <w:r>
              <w:rPr>
                <w:rFonts w:ascii="Times New Roman" w:hAnsi="Times New Roman"/>
                <w:sz w:val="24"/>
              </w:rPr>
              <w:t>ment de perte</w:t>
            </w:r>
          </w:p>
        </w:tc>
      </w:tr>
      <w:tr w:rsidR="001A6C53" w:rsidRPr="00392FFD" w:rsidTr="008D2F6E">
        <w:tc>
          <w:tcPr>
            <w:tcW w:w="959" w:type="dxa"/>
            <w:shd w:val="clear" w:color="auto" w:fill="auto"/>
          </w:tcPr>
          <w:p w:rsidR="001A6C53" w:rsidRPr="00392FFD" w:rsidRDefault="001A6C53" w:rsidP="008D2F6E">
            <w:pPr>
              <w:rPr>
                <w:rFonts w:ascii="Times New Roman" w:hAnsi="Times New Roman"/>
                <w:sz w:val="24"/>
              </w:rPr>
            </w:pPr>
            <w:r>
              <w:rPr>
                <w:rFonts w:ascii="Times New Roman" w:hAnsi="Times New Roman"/>
                <w:sz w:val="24"/>
              </w:rPr>
              <w:t>0080 - 0160</w:t>
            </w:r>
          </w:p>
        </w:tc>
        <w:tc>
          <w:tcPr>
            <w:tcW w:w="8329" w:type="dxa"/>
            <w:shd w:val="clear" w:color="auto" w:fill="auto"/>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Perte brute par ligne d'activité</w:t>
            </w:r>
          </w:p>
          <w:p w:rsidR="001A6C53" w:rsidRPr="00392FFD" w:rsidRDefault="001A6C53" w:rsidP="008D2F6E">
            <w:pPr>
              <w:rPr>
                <w:rFonts w:ascii="Times New Roman" w:hAnsi="Times New Roman"/>
                <w:sz w:val="24"/>
              </w:rPr>
            </w:pPr>
            <w:r>
              <w:rPr>
                <w:rFonts w:ascii="Times New Roman" w:hAnsi="Times New Roman"/>
                <w:sz w:val="24"/>
              </w:rPr>
              <w:t>La perte brute telle que déclarée dans la colonne 060 sera affectée aux lignes d'act</w:t>
            </w:r>
            <w:r>
              <w:rPr>
                <w:rFonts w:ascii="Times New Roman" w:hAnsi="Times New Roman"/>
                <w:sz w:val="24"/>
              </w:rPr>
              <w:t>i</w:t>
            </w:r>
            <w:r>
              <w:rPr>
                <w:rFonts w:ascii="Times New Roman" w:hAnsi="Times New Roman"/>
                <w:sz w:val="24"/>
              </w:rPr>
              <w:t>vité concernées telles que définies à l'article 317 et à l'article 322, paragraphe 3, point b), du CRR.</w:t>
            </w:r>
          </w:p>
        </w:tc>
      </w:tr>
      <w:tr w:rsidR="001A6C53" w:rsidRPr="00392FFD" w:rsidTr="008D2F6E">
        <w:tc>
          <w:tcPr>
            <w:tcW w:w="959" w:type="dxa"/>
            <w:shd w:val="clear" w:color="auto" w:fill="auto"/>
          </w:tcPr>
          <w:p w:rsidR="001A6C53" w:rsidRPr="00392FFD" w:rsidRDefault="001A6C53" w:rsidP="008D2F6E">
            <w:pPr>
              <w:rPr>
                <w:rFonts w:ascii="Times New Roman" w:hAnsi="Times New Roman"/>
                <w:sz w:val="24"/>
              </w:rPr>
            </w:pPr>
            <w:r>
              <w:rPr>
                <w:rFonts w:ascii="Times New Roman" w:hAnsi="Times New Roman"/>
                <w:sz w:val="24"/>
              </w:rPr>
              <w:t>0170</w:t>
            </w:r>
          </w:p>
        </w:tc>
        <w:tc>
          <w:tcPr>
            <w:tcW w:w="8329" w:type="dxa"/>
            <w:shd w:val="clear" w:color="auto" w:fill="auto"/>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Nom de l'entité juridique</w:t>
            </w:r>
          </w:p>
          <w:p w:rsidR="001A6C53" w:rsidRPr="00392FFD" w:rsidRDefault="001A6C53" w:rsidP="008D2F6E">
            <w:pPr>
              <w:rPr>
                <w:rFonts w:ascii="Times New Roman" w:hAnsi="Times New Roman"/>
                <w:sz w:val="24"/>
              </w:rPr>
            </w:pPr>
            <w:r>
              <w:rPr>
                <w:rFonts w:ascii="Times New Roman" w:hAnsi="Times New Roman"/>
                <w:sz w:val="24"/>
              </w:rPr>
              <w:t>Nom de l'entité juridique, tel que déclaré dans la colonne 010 du modèle C 06.02, où la perte (ou la majeure partie de la perte si plusieurs entités étaient concernées) est survenue.</w:t>
            </w:r>
          </w:p>
        </w:tc>
      </w:tr>
      <w:tr w:rsidR="001A6C53" w:rsidRPr="00392FFD" w:rsidTr="008D2F6E">
        <w:tc>
          <w:tcPr>
            <w:tcW w:w="959" w:type="dxa"/>
            <w:shd w:val="clear" w:color="auto" w:fill="auto"/>
          </w:tcPr>
          <w:p w:rsidR="001A6C53" w:rsidRPr="00392FFD" w:rsidRDefault="001A6C53" w:rsidP="008D2F6E">
            <w:pPr>
              <w:rPr>
                <w:rFonts w:ascii="Times New Roman" w:hAnsi="Times New Roman"/>
                <w:sz w:val="24"/>
              </w:rPr>
            </w:pPr>
            <w:r>
              <w:rPr>
                <w:rFonts w:ascii="Times New Roman" w:hAnsi="Times New Roman"/>
                <w:sz w:val="24"/>
              </w:rPr>
              <w:t>0180</w:t>
            </w:r>
          </w:p>
        </w:tc>
        <w:tc>
          <w:tcPr>
            <w:tcW w:w="8329" w:type="dxa"/>
            <w:shd w:val="clear" w:color="auto" w:fill="auto"/>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Identifiant d'entité légale</w:t>
            </w:r>
          </w:p>
          <w:p w:rsidR="001A6C53" w:rsidRPr="00392FFD" w:rsidRDefault="001A6C53" w:rsidP="008D2F6E">
            <w:pPr>
              <w:rPr>
                <w:rFonts w:ascii="Times New Roman" w:hAnsi="Times New Roman"/>
                <w:sz w:val="24"/>
              </w:rPr>
            </w:pPr>
            <w:r>
              <w:rPr>
                <w:rFonts w:ascii="Times New Roman" w:hAnsi="Times New Roman"/>
                <w:sz w:val="24"/>
              </w:rPr>
              <w:t>Code LEI, tel que déclaré dans la colonne 025 du modèle C 06.02, de l'entité jur</w:t>
            </w:r>
            <w:r>
              <w:rPr>
                <w:rFonts w:ascii="Times New Roman" w:hAnsi="Times New Roman"/>
                <w:sz w:val="24"/>
              </w:rPr>
              <w:t>i</w:t>
            </w:r>
            <w:r>
              <w:rPr>
                <w:rFonts w:ascii="Times New Roman" w:hAnsi="Times New Roman"/>
                <w:sz w:val="24"/>
              </w:rPr>
              <w:t>dique où la perte (ou la majeure partie de la perte si plusieurs entités étaient conce</w:t>
            </w:r>
            <w:r>
              <w:rPr>
                <w:rFonts w:ascii="Times New Roman" w:hAnsi="Times New Roman"/>
                <w:sz w:val="24"/>
              </w:rPr>
              <w:t>r</w:t>
            </w:r>
            <w:r>
              <w:rPr>
                <w:rFonts w:ascii="Times New Roman" w:hAnsi="Times New Roman"/>
                <w:sz w:val="24"/>
              </w:rPr>
              <w:t>nées) est survenue.</w:t>
            </w:r>
          </w:p>
        </w:tc>
      </w:tr>
      <w:tr w:rsidR="001A6C53" w:rsidRPr="00392FFD" w:rsidTr="008D2F6E">
        <w:tc>
          <w:tcPr>
            <w:tcW w:w="959" w:type="dxa"/>
            <w:shd w:val="clear" w:color="auto" w:fill="auto"/>
          </w:tcPr>
          <w:p w:rsidR="001A6C53" w:rsidRPr="00392FFD" w:rsidRDefault="001A6C53" w:rsidP="008D2F6E">
            <w:pPr>
              <w:rPr>
                <w:rFonts w:ascii="Times New Roman" w:hAnsi="Times New Roman"/>
                <w:sz w:val="24"/>
              </w:rPr>
            </w:pPr>
            <w:r>
              <w:rPr>
                <w:rFonts w:ascii="Times New Roman" w:hAnsi="Times New Roman"/>
                <w:sz w:val="24"/>
              </w:rPr>
              <w:t>0190</w:t>
            </w:r>
          </w:p>
        </w:tc>
        <w:tc>
          <w:tcPr>
            <w:tcW w:w="8329" w:type="dxa"/>
            <w:shd w:val="clear" w:color="auto" w:fill="auto"/>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Unité opérationnelle</w:t>
            </w:r>
          </w:p>
          <w:p w:rsidR="001A6C53" w:rsidRPr="00392FFD" w:rsidRDefault="001A6C53" w:rsidP="008D2F6E">
            <w:pPr>
              <w:rPr>
                <w:rFonts w:ascii="Times New Roman" w:hAnsi="Times New Roman"/>
                <w:sz w:val="24"/>
              </w:rPr>
            </w:pPr>
            <w:r>
              <w:rPr>
                <w:rFonts w:ascii="Times New Roman" w:hAnsi="Times New Roman"/>
                <w:sz w:val="24"/>
              </w:rPr>
              <w:t>Unité opérationnelle ou division de l'établissement où la perte (ou la majeure partie de la perte si plusieurs unités opérationnelles ou divisions étaient concernées) est survenue.</w:t>
            </w:r>
          </w:p>
        </w:tc>
      </w:tr>
      <w:tr w:rsidR="001A6C53" w:rsidRPr="00392FFD" w:rsidTr="008D2F6E">
        <w:tc>
          <w:tcPr>
            <w:tcW w:w="959" w:type="dxa"/>
            <w:shd w:val="clear" w:color="auto" w:fill="auto"/>
          </w:tcPr>
          <w:p w:rsidR="001A6C53" w:rsidRPr="00321A3B" w:rsidRDefault="001A6C53" w:rsidP="008D2F6E">
            <w:pPr>
              <w:rPr>
                <w:rFonts w:ascii="Times New Roman" w:hAnsi="Times New Roman"/>
                <w:sz w:val="24"/>
              </w:rPr>
            </w:pPr>
            <w:r>
              <w:rPr>
                <w:rFonts w:ascii="Times New Roman" w:hAnsi="Times New Roman"/>
                <w:sz w:val="24"/>
              </w:rPr>
              <w:t>0200</w:t>
            </w:r>
          </w:p>
        </w:tc>
        <w:tc>
          <w:tcPr>
            <w:tcW w:w="8329" w:type="dxa"/>
            <w:shd w:val="clear" w:color="auto" w:fill="auto"/>
          </w:tcPr>
          <w:p w:rsidR="001A6C53" w:rsidRPr="00321A3B"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Description</w:t>
            </w:r>
          </w:p>
          <w:p w:rsidR="001A6C53" w:rsidRPr="00392FFD" w:rsidRDefault="001A6C53" w:rsidP="008D2F6E">
            <w:pPr>
              <w:rPr>
                <w:rFonts w:ascii="Times New Roman" w:hAnsi="Times New Roman"/>
                <w:sz w:val="24"/>
              </w:rPr>
            </w:pPr>
            <w:r>
              <w:rPr>
                <w:rFonts w:ascii="Times New Roman" w:hAnsi="Times New Roman"/>
                <w:sz w:val="24"/>
              </w:rPr>
              <w:t xml:space="preserve">Description circonstanciée de l'évènement, si nécessaire de manière généralisée et </w:t>
            </w:r>
            <w:proofErr w:type="spellStart"/>
            <w:r>
              <w:rPr>
                <w:rFonts w:ascii="Times New Roman" w:hAnsi="Times New Roman"/>
                <w:sz w:val="24"/>
              </w:rPr>
              <w:t>anonymisée</w:t>
            </w:r>
            <w:proofErr w:type="spellEnd"/>
            <w:r>
              <w:rPr>
                <w:rFonts w:ascii="Times New Roman" w:hAnsi="Times New Roman"/>
                <w:sz w:val="24"/>
              </w:rPr>
              <w:t>, qui doit comprendre au moins des informations sur l'évènement même et des informations sur les facteurs ou causes de l'évènement, lorsqu'ils sont connus.</w:t>
            </w:r>
          </w:p>
        </w:tc>
      </w:tr>
    </w:tbl>
    <w:p w:rsidR="001A6C53" w:rsidRPr="00392FFD" w:rsidRDefault="001A6C53" w:rsidP="001A6C53">
      <w:pPr>
        <w:spacing w:after="0"/>
        <w:rPr>
          <w:rFonts w:ascii="Times New Roman" w:hAnsi="Times New Roman"/>
          <w:sz w:val="24"/>
        </w:rPr>
      </w:pPr>
    </w:p>
    <w:p w:rsidR="001A6C53" w:rsidRPr="00392FFD" w:rsidRDefault="001A6C53" w:rsidP="001A6C53">
      <w:pPr>
        <w:spacing w:before="0" w:after="0"/>
        <w:jc w:val="left"/>
        <w:rPr>
          <w:rStyle w:val="InstructionsTabelleText"/>
          <w:rFonts w:ascii="Times New Roman" w:hAnsi="Times New Roman"/>
          <w:sz w:val="24"/>
        </w:rPr>
      </w:pPr>
      <w:r>
        <w:br w:type="page"/>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12" w:name="_Toc524104221"/>
      <w:r>
        <w:rPr>
          <w:rFonts w:ascii="Times New Roman" w:hAnsi="Times New Roman"/>
          <w:sz w:val="24"/>
          <w:u w:val="none"/>
        </w:rPr>
        <w:lastRenderedPageBreak/>
        <w:t>5.</w:t>
      </w:r>
      <w:r w:rsidRPr="00FF69EB">
        <w:rPr>
          <w:u w:val="none"/>
        </w:rPr>
        <w:tab/>
      </w:r>
      <w:r>
        <w:rPr>
          <w:rFonts w:ascii="Times New Roman" w:hAnsi="Times New Roman"/>
          <w:sz w:val="24"/>
        </w:rPr>
        <w:t>Modèles consacrés au risque de marché</w:t>
      </w:r>
      <w:bookmarkEnd w:id="412"/>
    </w:p>
    <w:p w:rsidR="001A6C53" w:rsidRPr="00392FFD" w:rsidRDefault="001A6C53" w:rsidP="001A6C53">
      <w:pPr>
        <w:pStyle w:val="InstructionsText2"/>
        <w:numPr>
          <w:ilvl w:val="0"/>
          <w:numId w:val="0"/>
        </w:numPr>
        <w:ind w:left="993"/>
      </w:pPr>
      <w:r>
        <w:t>137.</w:t>
      </w:r>
      <w:r>
        <w:tab/>
        <w:t>Ces instructions concernent les modèles de déclaration du calcul selon l'a</w:t>
      </w:r>
      <w:r>
        <w:t>p</w:t>
      </w:r>
      <w:r>
        <w:t>proche standard des exigences de fonds propres pour risque de change (MKR SA FX), risque sur matières premières (MKR SA COM), risque de taux d'intérêt (MKR SA TDI, MKR SA SEC, MKR SA CTP) et risque lié aux actions (MKR SA EQU). Cette partie reprend également les instructions pour le modèle de déclaration du calcul des exigences de fonds propres selon l'approche fondée sur les modèles i</w:t>
      </w:r>
      <w:r>
        <w:t>n</w:t>
      </w:r>
      <w:r>
        <w:t xml:space="preserve">ternes (MKR IM). </w:t>
      </w:r>
    </w:p>
    <w:p w:rsidR="001A6C53" w:rsidRPr="00392FFD" w:rsidRDefault="001A6C53" w:rsidP="001A6C53">
      <w:pPr>
        <w:pStyle w:val="InstructionsText2"/>
        <w:numPr>
          <w:ilvl w:val="0"/>
          <w:numId w:val="0"/>
        </w:numPr>
        <w:ind w:left="993"/>
      </w:pPr>
      <w:r>
        <w:t>138.</w:t>
      </w:r>
      <w:r>
        <w:tab/>
        <w:t>Le risque de position sur un titre de créance négocié ou une action négociée (ou un instrument dérivé sur titre de créance négocié ou sur action) sera divisé en deux composantes pour le calcul des fonds propres requis pour y faire face. La première composante est la composante «risque spécifique», c'est-à-dire le risque d'une v</w:t>
      </w:r>
      <w:r>
        <w:t>a</w:t>
      </w:r>
      <w:r>
        <w:t>riation du prix de l'instrument concerné sous l'influence de facteurs liés à son éme</w:t>
      </w:r>
      <w:r>
        <w:t>t</w:t>
      </w:r>
      <w:r>
        <w:t>teur ou, dans le cas d'un instrument dérivé, à l'émetteur de l'instrument sous-jacent. La seconde composante couvre le «risque général», c'est-à-dire le risque d'une v</w:t>
      </w:r>
      <w:r>
        <w:t>a</w:t>
      </w:r>
      <w:r>
        <w:t>riation du prix de l'instrument provoquée (dans le cas d'un titre de créance négocié ou d'un instrument dérivé sur un titre de créance négocié) par une fluctuation du n</w:t>
      </w:r>
      <w:r>
        <w:t>i</w:t>
      </w:r>
      <w:r>
        <w:t>veau des taux d'intérêt ou (dans le cas d'une action ou d'un instrument dérivé sur a</w:t>
      </w:r>
      <w:r>
        <w:t>c</w:t>
      </w:r>
      <w:r>
        <w:t>tion) par un mouvement général du marché des actions non imputable à certaines caractéristiques spécifiques des titres concernés. Le traitement général selon les in</w:t>
      </w:r>
      <w:r>
        <w:t>s</w:t>
      </w:r>
      <w:r>
        <w:t>truments, ainsi que les procédures de compensation, sont décrits dans les a</w:t>
      </w:r>
      <w:r>
        <w:t>r</w:t>
      </w:r>
      <w:r>
        <w:t xml:space="preserve">ticles 326 à 333 du CRR. </w:t>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13" w:name="_Toc524104222"/>
      <w:r>
        <w:rPr>
          <w:rFonts w:ascii="Times New Roman" w:hAnsi="Times New Roman"/>
          <w:sz w:val="24"/>
          <w:u w:val="none"/>
        </w:rPr>
        <w:t>5.1.</w:t>
      </w:r>
      <w:r w:rsidRPr="00FF69EB">
        <w:rPr>
          <w:u w:val="none"/>
        </w:rPr>
        <w:tab/>
      </w:r>
      <w:r>
        <w:rPr>
          <w:rFonts w:ascii="Times New Roman" w:hAnsi="Times New Roman"/>
          <w:sz w:val="24"/>
        </w:rPr>
        <w:t>C 18.00 – Risque de marché: approche standard des risques de position relatifs aux titres de créance négociés (MKR SA TDI)</w:t>
      </w:r>
      <w:bookmarkEnd w:id="413"/>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14" w:name="_Toc524104223"/>
      <w:r>
        <w:rPr>
          <w:rFonts w:ascii="Times New Roman" w:hAnsi="Times New Roman"/>
          <w:sz w:val="24"/>
          <w:u w:val="none"/>
        </w:rPr>
        <w:t>5.1.1.</w:t>
      </w:r>
      <w:r w:rsidRPr="00FF69EB">
        <w:rPr>
          <w:u w:val="none"/>
        </w:rPr>
        <w:tab/>
      </w:r>
      <w:r>
        <w:rPr>
          <w:rFonts w:ascii="Times New Roman" w:hAnsi="Times New Roman"/>
          <w:sz w:val="24"/>
        </w:rPr>
        <w:t>Remarques générales</w:t>
      </w:r>
      <w:bookmarkEnd w:id="414"/>
    </w:p>
    <w:p w:rsidR="001A6C53" w:rsidRPr="00392FFD" w:rsidRDefault="001A6C53" w:rsidP="001A6C53">
      <w:pPr>
        <w:pStyle w:val="InstructionsText2"/>
        <w:numPr>
          <w:ilvl w:val="0"/>
          <w:numId w:val="0"/>
        </w:numPr>
        <w:ind w:left="993"/>
      </w:pPr>
      <w:r>
        <w:t>139.</w:t>
      </w:r>
      <w:r>
        <w:tab/>
        <w:t>Ce modèle traite des positions et des exigences de fonds propres correspo</w:t>
      </w:r>
      <w:r>
        <w:t>n</w:t>
      </w:r>
      <w:r>
        <w:t>dantes pour risque de position sur des titres de créance négociés selon l'approche standard (article 102 et article 105, paragraphe 1, du CRR). Les différents risques et les différentes méthodes applicables en vertu du CRR sont considérés par ligne. Le risque spécifique associé aux expositions figurant dans les modèles MKR SA SEC et MKR SA CTP ne doit être déclaré que dans le modèle MKR SA TDI Total. Les exigences de fonds propres déclarées dans ces modèles seront respectivement tran</w:t>
      </w:r>
      <w:r>
        <w:t>s</w:t>
      </w:r>
      <w:r>
        <w:t>férées vers la cellule {325;060} (titrisations) et la cellule {330;060} (portefeuille de négociation en corrélation). .</w:t>
      </w:r>
    </w:p>
    <w:p w:rsidR="001A6C53" w:rsidRPr="00392FFD" w:rsidRDefault="001A6C53" w:rsidP="001A6C53">
      <w:pPr>
        <w:pStyle w:val="InstructionsText2"/>
        <w:numPr>
          <w:ilvl w:val="0"/>
          <w:numId w:val="0"/>
        </w:numPr>
        <w:ind w:left="993"/>
      </w:pPr>
      <w:r>
        <w:t>140.</w:t>
      </w:r>
      <w:r>
        <w:tab/>
        <w:t>Le modèle doit être rempli séparément pour le «Total» et pour une liste préd</w:t>
      </w:r>
      <w:r>
        <w:t>é</w:t>
      </w:r>
      <w:r>
        <w:t xml:space="preserve">finie des devises suivantes: EUR, ALL, BGN, CZK, DKK, EGP, GBP, HRK, HUF, ISK, JPY, MKD, NOK, PLN, RON, RUB, RSD, SEK, CHF, TRY, UAH, USD et un modèle supplémentaire pour toutes les autres devises. </w:t>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15" w:name="_Toc524104224"/>
      <w:r>
        <w:rPr>
          <w:rFonts w:ascii="Times New Roman" w:hAnsi="Times New Roman"/>
          <w:sz w:val="24"/>
          <w:u w:val="none"/>
        </w:rPr>
        <w:t>5.1.2.</w:t>
      </w:r>
      <w:r w:rsidRPr="00FF69EB">
        <w:rPr>
          <w:u w:val="none"/>
        </w:rPr>
        <w:tab/>
      </w:r>
      <w:r>
        <w:rPr>
          <w:rFonts w:ascii="Times New Roman" w:hAnsi="Times New Roman"/>
          <w:sz w:val="24"/>
        </w:rPr>
        <w:t>Instructions concernant certaines positions</w:t>
      </w:r>
      <w:bookmarkEnd w:id="4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1A6C53" w:rsidRPr="00392FFD" w:rsidTr="008D2F6E">
        <w:trPr>
          <w:trHeight w:val="569"/>
        </w:trPr>
        <w:tc>
          <w:tcPr>
            <w:tcW w:w="8862" w:type="dxa"/>
            <w:gridSpan w:val="2"/>
            <w:shd w:val="clear" w:color="auto" w:fill="CCCCCC"/>
          </w:tcPr>
          <w:p w:rsidR="001A6C53" w:rsidRPr="00392FFD" w:rsidRDefault="001A6C53" w:rsidP="008D2F6E">
            <w:pPr>
              <w:autoSpaceDE w:val="0"/>
              <w:autoSpaceDN w:val="0"/>
              <w:adjustRightInd w:val="0"/>
              <w:spacing w:after="0"/>
              <w:rPr>
                <w:rFonts w:ascii="Times New Roman" w:hAnsi="Times New Roman"/>
                <w:b/>
                <w:sz w:val="24"/>
              </w:rPr>
            </w:pPr>
            <w:r>
              <w:rPr>
                <w:rFonts w:ascii="Times New Roman" w:hAnsi="Times New Roman"/>
                <w:b/>
                <w:sz w:val="24"/>
              </w:rPr>
              <w:t>Colonnes</w:t>
            </w: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TOUTES LES POSITIONS (LONGUES ET COURTES)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Article 102 et article 105, paragraphe 1, du CRR. Il s'agit de positions brutes qui ne sont pas compensées par des instruments, à l'exclusion des positions de prise ferme souscrites ou reprises par des tiers (article 345, deuxième phrase, du CRR). En ce qui concerne la distinction entre les positions longues et courtes, également applicable à ces positions brutes, voir l'article 328, par</w:t>
            </w:r>
            <w:r>
              <w:rPr>
                <w:rFonts w:ascii="Times New Roman" w:hAnsi="Times New Roman"/>
                <w:sz w:val="24"/>
              </w:rPr>
              <w:t>a</w:t>
            </w:r>
            <w:r>
              <w:rPr>
                <w:rFonts w:ascii="Times New Roman" w:hAnsi="Times New Roman"/>
                <w:sz w:val="24"/>
              </w:rPr>
              <w:t>graphe 2, du CRR.</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030-040</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NETTES (LONGUES ET COURTES)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Articles 327 à 329 et article 334 du CRR. En ce qui concerne la distinction entre les positions longues et courtes, voir l'article 328, paragraphe 2, du CRR.</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SOUMISES AUX EXIGENCES DE FONDS PROPRES</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sz w:val="24"/>
              </w:rPr>
              <w:t>Positions nettes qui, selon les différentes approches envisagées dans la tro</w:t>
            </w:r>
            <w:r>
              <w:rPr>
                <w:rFonts w:ascii="Times New Roman" w:hAnsi="Times New Roman"/>
                <w:sz w:val="24"/>
              </w:rPr>
              <w:t>i</w:t>
            </w:r>
            <w:r>
              <w:rPr>
                <w:rFonts w:ascii="Times New Roman" w:hAnsi="Times New Roman"/>
                <w:sz w:val="24"/>
              </w:rPr>
              <w:t>sième partie, titre IV, chapitre 2 du CRR, reçoivent une exigence de fonds propres.</w:t>
            </w: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1A6C53" w:rsidRPr="00392FFD" w:rsidRDefault="001A6C53" w:rsidP="008D2F6E">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w:t>
            </w:r>
          </w:p>
          <w:p w:rsidR="001A6C53" w:rsidRPr="00392FFD" w:rsidRDefault="001A6C53" w:rsidP="008D2F6E">
            <w:pPr>
              <w:tabs>
                <w:tab w:val="left" w:pos="1665"/>
              </w:tabs>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sz w:val="24"/>
              </w:rPr>
              <w:t>Exigences de fonds propres pour toute position pertinente, conformément à la troisième partie, titre IV, chapitre 2 du CRR.</w:t>
            </w: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1A6C53" w:rsidRPr="00392FFD" w:rsidRDefault="001A6C53" w:rsidP="008D2F6E">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 TOTAL D'EXPOSITION AU RISQUE</w:t>
            </w:r>
          </w:p>
          <w:p w:rsidR="001A6C53" w:rsidRPr="00392FFD" w:rsidRDefault="001A6C53" w:rsidP="008D2F6E">
            <w:pPr>
              <w:tabs>
                <w:tab w:val="left" w:pos="1665"/>
              </w:tabs>
              <w:autoSpaceDE w:val="0"/>
              <w:autoSpaceDN w:val="0"/>
              <w:adjustRightInd w:val="0"/>
              <w:spacing w:before="0" w:after="0"/>
              <w:rPr>
                <w:rFonts w:ascii="Times New Roman" w:hAnsi="Times New Roman"/>
                <w:b/>
                <w:bCs/>
                <w:sz w:val="24"/>
                <w:u w:val="single"/>
              </w:rPr>
            </w:pPr>
          </w:p>
          <w:p w:rsidR="001A6C53" w:rsidRPr="00392FFD" w:rsidRDefault="001A6C53" w:rsidP="008D2F6E">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Article 92, paragraphe 4, point b) du CRR. Résultat de la multiplication par 12,5 des exigences de fonds propres. </w:t>
            </w:r>
          </w:p>
        </w:tc>
      </w:tr>
    </w:tbl>
    <w:p w:rsidR="001A6C53" w:rsidRPr="00392FFD" w:rsidRDefault="001A6C53" w:rsidP="001A6C53">
      <w:pPr>
        <w:autoSpaceDE w:val="0"/>
        <w:autoSpaceDN w:val="0"/>
        <w:adjustRightInd w:val="0"/>
        <w:spacing w:before="0" w:after="0"/>
        <w:rPr>
          <w:rFonts w:ascii="Times New Roman" w:hAnsi="Times New Roman"/>
          <w:sz w:val="24"/>
        </w:rPr>
      </w:pPr>
    </w:p>
    <w:p w:rsidR="001A6C53" w:rsidRPr="00392FFD" w:rsidRDefault="001A6C53" w:rsidP="001A6C53">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1A6C53" w:rsidRPr="00392FFD" w:rsidTr="008D2F6E">
        <w:trPr>
          <w:trHeight w:val="533"/>
        </w:trPr>
        <w:tc>
          <w:tcPr>
            <w:tcW w:w="8862" w:type="dxa"/>
            <w:gridSpan w:val="2"/>
            <w:shd w:val="clear" w:color="auto" w:fill="CCCCCC"/>
          </w:tcPr>
          <w:p w:rsidR="001A6C53" w:rsidRPr="00392FFD" w:rsidRDefault="001A6C53" w:rsidP="008D2F6E">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1A6C53" w:rsidRPr="00392FFD" w:rsidTr="008D2F6E">
        <w:trPr>
          <w:trHeight w:val="1168"/>
        </w:trPr>
        <w:tc>
          <w:tcPr>
            <w:tcW w:w="987"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010-350</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p>
        </w:tc>
        <w:tc>
          <w:tcPr>
            <w:tcW w:w="7875"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TITRES DE CRÉANCE NÉGOCIÉS DANS LE PORTEFEUILLE DE NÉGOCIATION</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positions sur titres de créance négociés, dans le portefeuille de négociation, et les exigences de fonds propres correspondantes pour risque de position, co</w:t>
            </w:r>
            <w:r>
              <w:rPr>
                <w:rFonts w:ascii="Times New Roman" w:hAnsi="Times New Roman"/>
                <w:sz w:val="24"/>
              </w:rPr>
              <w:t>n</w:t>
            </w:r>
            <w:r>
              <w:rPr>
                <w:rFonts w:ascii="Times New Roman" w:hAnsi="Times New Roman"/>
                <w:sz w:val="24"/>
              </w:rPr>
              <w:t>formément à l'article 92, paragraphe 3, point b) i) du CRR et à la troisième pa</w:t>
            </w:r>
            <w:r>
              <w:rPr>
                <w:rFonts w:ascii="Times New Roman" w:hAnsi="Times New Roman"/>
                <w:sz w:val="24"/>
              </w:rPr>
              <w:t>r</w:t>
            </w:r>
            <w:r>
              <w:rPr>
                <w:rFonts w:ascii="Times New Roman" w:hAnsi="Times New Roman"/>
                <w:sz w:val="24"/>
              </w:rPr>
              <w:t>tie, titre IV, chapitre 2 du CRR, sont déclarées en fonction de leur catégorie de risque, de leur échéance et de l'approche utilisée.</w:t>
            </w:r>
          </w:p>
        </w:tc>
      </w:tr>
      <w:tr w:rsidR="001A6C53" w:rsidRPr="00392FFD" w:rsidTr="008D2F6E">
        <w:tc>
          <w:tcPr>
            <w:tcW w:w="987"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011</w:t>
            </w:r>
          </w:p>
        </w:tc>
        <w:tc>
          <w:tcPr>
            <w:tcW w:w="7875"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RISQUE GÉNÉRAL </w:t>
            </w:r>
          </w:p>
        </w:tc>
      </w:tr>
      <w:tr w:rsidR="001A6C53" w:rsidRPr="00392FFD" w:rsidTr="008D2F6E">
        <w:tc>
          <w:tcPr>
            <w:tcW w:w="987"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012</w:t>
            </w:r>
          </w:p>
        </w:tc>
        <w:tc>
          <w:tcPr>
            <w:tcW w:w="7875"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Dérivés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sz w:val="24"/>
              </w:rPr>
              <w:t>Dérivés inclus dans le calcul du risque de taux d'intérêt des positions du port</w:t>
            </w:r>
            <w:r>
              <w:rPr>
                <w:rFonts w:ascii="Times New Roman" w:hAnsi="Times New Roman"/>
                <w:sz w:val="24"/>
              </w:rPr>
              <w:t>e</w:t>
            </w:r>
            <w:r>
              <w:rPr>
                <w:rFonts w:ascii="Times New Roman" w:hAnsi="Times New Roman"/>
                <w:sz w:val="24"/>
              </w:rPr>
              <w:t>feuille de négociation, compte tenu des articles 328 à 331, le cas échéant.</w:t>
            </w:r>
          </w:p>
        </w:tc>
      </w:tr>
      <w:tr w:rsidR="001A6C53" w:rsidRPr="00392FFD" w:rsidTr="008D2F6E">
        <w:tc>
          <w:tcPr>
            <w:tcW w:w="987"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013</w:t>
            </w:r>
          </w:p>
        </w:tc>
        <w:tc>
          <w:tcPr>
            <w:tcW w:w="7875"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Autres éléments d'actif et de passif</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sz w:val="24"/>
              </w:rPr>
              <w:t>Instruments autres que les dérivés inclus dans le calcul du risque de taux d'int</w:t>
            </w:r>
            <w:r>
              <w:rPr>
                <w:rFonts w:ascii="Times New Roman" w:hAnsi="Times New Roman"/>
                <w:sz w:val="24"/>
              </w:rPr>
              <w:t>é</w:t>
            </w:r>
            <w:r>
              <w:rPr>
                <w:rFonts w:ascii="Times New Roman" w:hAnsi="Times New Roman"/>
                <w:sz w:val="24"/>
              </w:rPr>
              <w:t xml:space="preserve">rêt des positions du portefeuille de négociation. </w:t>
            </w:r>
          </w:p>
        </w:tc>
      </w:tr>
      <w:tr w:rsidR="001A6C53" w:rsidRPr="00392FFD" w:rsidTr="008D2F6E">
        <w:tc>
          <w:tcPr>
            <w:tcW w:w="987"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020-200</w:t>
            </w:r>
          </w:p>
        </w:tc>
        <w:tc>
          <w:tcPr>
            <w:tcW w:w="7875"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APPROCHE BASÉE SUR L'ÉCHÉANCE</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sz w:val="24"/>
              </w:rPr>
              <w:t>Positions sur titres de créance négociés soumis à l'approche fondée sur l'échéance conformément à l'article 339, paragraphes 1 à 8, du CRR et les ex</w:t>
            </w:r>
            <w:r>
              <w:rPr>
                <w:rFonts w:ascii="Times New Roman" w:hAnsi="Times New Roman"/>
                <w:sz w:val="24"/>
              </w:rPr>
              <w:t>i</w:t>
            </w:r>
            <w:r>
              <w:rPr>
                <w:rFonts w:ascii="Times New Roman" w:hAnsi="Times New Roman"/>
                <w:sz w:val="24"/>
              </w:rPr>
              <w:lastRenderedPageBreak/>
              <w:t>gences de fonds propres correspondantes fixées à l'article 339, paragraphe 9, du CRR. La position sera divisée en zones 1, 2 et 3, et celles-ci selon l'échéance des instruments.</w:t>
            </w:r>
          </w:p>
        </w:tc>
      </w:tr>
      <w:tr w:rsidR="001A6C53" w:rsidRPr="00392FFD" w:rsidTr="008D2F6E">
        <w:tc>
          <w:tcPr>
            <w:tcW w:w="987"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210-240</w:t>
            </w:r>
          </w:p>
        </w:tc>
        <w:tc>
          <w:tcPr>
            <w:tcW w:w="7875"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b/>
                <w:sz w:val="24"/>
                <w:u w:val="single"/>
              </w:rPr>
              <w:t>RISQUE GÉNÉRAL. APPROCHE BASÉE SUR LA DURATION</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sur des titres de créance négociés soumis à l'approche basée sur la d</w:t>
            </w:r>
            <w:r>
              <w:rPr>
                <w:rFonts w:ascii="Times New Roman" w:hAnsi="Times New Roman"/>
                <w:sz w:val="24"/>
              </w:rPr>
              <w:t>u</w:t>
            </w:r>
            <w:r>
              <w:rPr>
                <w:rFonts w:ascii="Times New Roman" w:hAnsi="Times New Roman"/>
                <w:sz w:val="24"/>
              </w:rPr>
              <w:t>ration conformément à l'article 340, paragraphes 1 à 6, du CRR et les exigences de fonds propres correspondantes fixées à l'article 340, paragraphe 7, du CRR. La position sera divisée en zones 1, 2 et 3.</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87"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875"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RISQUE SPÉCIFIQUE</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Somme des montants déclarés aux lignes 251, 325 et 330.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sz w:val="24"/>
              </w:rPr>
              <w:t>Positions sur des titres de créance négociés soumis aux exigences de fonds propres pour risque spécifique, et les exigences de fonds propres correspo</w:t>
            </w:r>
            <w:r>
              <w:rPr>
                <w:rFonts w:ascii="Times New Roman" w:hAnsi="Times New Roman"/>
                <w:sz w:val="24"/>
              </w:rPr>
              <w:t>n</w:t>
            </w:r>
            <w:r>
              <w:rPr>
                <w:rFonts w:ascii="Times New Roman" w:hAnsi="Times New Roman"/>
                <w:sz w:val="24"/>
              </w:rPr>
              <w:t>dantes, conformément à l'article 92, paragraphe 3, point b), à l'article 335, à l'article 336, paragraphes 1 à 3, et aux articles 337 et 338 du CRR. Il faut ég</w:t>
            </w:r>
            <w:r>
              <w:rPr>
                <w:rFonts w:ascii="Times New Roman" w:hAnsi="Times New Roman"/>
                <w:sz w:val="24"/>
              </w:rPr>
              <w:t>a</w:t>
            </w:r>
            <w:r>
              <w:rPr>
                <w:rFonts w:ascii="Times New Roman" w:hAnsi="Times New Roman"/>
                <w:sz w:val="24"/>
              </w:rPr>
              <w:t>lement tenir compte de la dernière phrase de l'article 327, paragraphe 1, du CRR.</w:t>
            </w:r>
          </w:p>
        </w:tc>
      </w:tr>
      <w:tr w:rsidR="001A6C53" w:rsidRPr="00392FFD" w:rsidTr="008D2F6E">
        <w:tc>
          <w:tcPr>
            <w:tcW w:w="987"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251-321</w:t>
            </w:r>
          </w:p>
        </w:tc>
        <w:tc>
          <w:tcPr>
            <w:tcW w:w="7875"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 applicables aux titres de créances autres que des positions de titrisation</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Somme des montants déclarés aux lignes 260 à 321.</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L'exigence de fonds propres des dérivés de crédit au nième défaut qui ne bén</w:t>
            </w:r>
            <w:r>
              <w:rPr>
                <w:rFonts w:ascii="Times New Roman" w:hAnsi="Times New Roman"/>
                <w:sz w:val="24"/>
              </w:rPr>
              <w:t>é</w:t>
            </w:r>
            <w:r>
              <w:rPr>
                <w:rFonts w:ascii="Times New Roman" w:hAnsi="Times New Roman"/>
                <w:sz w:val="24"/>
              </w:rPr>
              <w:t>ficient pas d'une notation externe doit être calculée en additionnant les pond</w:t>
            </w:r>
            <w:r>
              <w:rPr>
                <w:rFonts w:ascii="Times New Roman" w:hAnsi="Times New Roman"/>
                <w:sz w:val="24"/>
              </w:rPr>
              <w:t>é</w:t>
            </w:r>
            <w:r>
              <w:rPr>
                <w:rFonts w:ascii="Times New Roman" w:hAnsi="Times New Roman"/>
                <w:sz w:val="24"/>
              </w:rPr>
              <w:t>rations de risque des entités de référence (article 332, paragraphe 1, point e), premier et deuxième alinéas, du CRR – «Transparence»). Les dérivés de crédit au nième défaut qui bénéficient d'une notation externe (article 332, par</w:t>
            </w:r>
            <w:r>
              <w:rPr>
                <w:rFonts w:ascii="Times New Roman" w:hAnsi="Times New Roman"/>
                <w:sz w:val="24"/>
              </w:rPr>
              <w:t>a</w:t>
            </w:r>
            <w:r>
              <w:rPr>
                <w:rFonts w:ascii="Times New Roman" w:hAnsi="Times New Roman"/>
                <w:sz w:val="24"/>
              </w:rPr>
              <w:t xml:space="preserve">graphe 1, point e), paragraphe 3, du CRR) seront déclarés séparément à la ligne 321.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u w:val="single"/>
              </w:rPr>
              <w:t>Déclaration de positions soumises à l'article 336, paragraphe 3, du CRR</w:t>
            </w:r>
            <w:r>
              <w:rPr>
                <w:rFonts w:ascii="Times New Roman" w:hAnsi="Times New Roman"/>
                <w:sz w:val="24"/>
              </w:rPr>
              <w:t>:</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Il existe un traitement spécial pour les obligations remplissant les conditions pour recevoir une pondération de risque de 10 % dans le portefeuille d'interm</w:t>
            </w:r>
            <w:r>
              <w:rPr>
                <w:rFonts w:ascii="Times New Roman" w:hAnsi="Times New Roman"/>
                <w:sz w:val="24"/>
              </w:rPr>
              <w:t>é</w:t>
            </w:r>
            <w:r>
              <w:rPr>
                <w:rFonts w:ascii="Times New Roman" w:hAnsi="Times New Roman"/>
                <w:sz w:val="24"/>
              </w:rPr>
              <w:t>diation bancaire, conformément à l'article 129, paragraphe 3, du CRR (oblig</w:t>
            </w:r>
            <w:r>
              <w:rPr>
                <w:rFonts w:ascii="Times New Roman" w:hAnsi="Times New Roman"/>
                <w:sz w:val="24"/>
              </w:rPr>
              <w:t>a</w:t>
            </w:r>
            <w:r>
              <w:rPr>
                <w:rFonts w:ascii="Times New Roman" w:hAnsi="Times New Roman"/>
                <w:sz w:val="24"/>
              </w:rPr>
              <w:t>tions garanties). Les exigences de fonds propres spécifiques représentent la moitié du pourcentage de la deuxième catégorie du tableau 1 de l'article 336 du CRR. Ces positions doivent être affectées aux lignes 280 à 300 en fonction de la durée résiduelle jusqu'à l'échéance finale.</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Lorsque le risque général des positions liées aux taux d'intérêt est couvert par un dérivé de crédit, les articles 346 et 347 s'appliquent. </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87" w:type="dxa"/>
          </w:tcPr>
          <w:p w:rsidR="001A6C53" w:rsidRPr="00392FFD" w:rsidDel="00F27BD6"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325</w:t>
            </w:r>
          </w:p>
        </w:tc>
        <w:tc>
          <w:tcPr>
            <w:tcW w:w="7875"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 applicables aux positions de titrisation</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Total des exigences de fonds propres déclaré dans la colonne 610 du modèle MKR SA SEC. Cette valeur ne figurera que dans le niveau Total du modèle MKR SA TDI.</w:t>
            </w:r>
          </w:p>
          <w:p w:rsidR="001A6C53" w:rsidRPr="00392FFD" w:rsidDel="00F27BD6"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87" w:type="dxa"/>
          </w:tcPr>
          <w:p w:rsidR="001A6C53" w:rsidRPr="00392FFD" w:rsidDel="00F27BD6"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330</w:t>
            </w:r>
          </w:p>
        </w:tc>
        <w:tc>
          <w:tcPr>
            <w:tcW w:w="7875"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 applicables au portefeuille de négociation en corrélation</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Total des exigences de fonds propres déclaré dans la colonne 450 du modèle MKR SA CTP. Cette valeur ne figurera que dans le niveau Total du modèle MKR SA TDI.</w:t>
            </w:r>
          </w:p>
          <w:p w:rsidR="001A6C53" w:rsidRPr="00392FFD" w:rsidDel="00F27BD6"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87"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350-390</w:t>
            </w:r>
          </w:p>
        </w:tc>
        <w:tc>
          <w:tcPr>
            <w:tcW w:w="7875" w:type="dxa"/>
          </w:tcPr>
          <w:p w:rsidR="001A6C53" w:rsidRPr="00392FFD" w:rsidRDefault="001A6C53" w:rsidP="008D2F6E">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EXIGENCES SUPPLÉMENTAIRES POUR RISQUES SUR OPTIONS (RISQUES NON DELTA) </w:t>
            </w:r>
          </w:p>
          <w:p w:rsidR="001A6C53" w:rsidRPr="00392FFD" w:rsidRDefault="001A6C53" w:rsidP="008D2F6E">
            <w:pPr>
              <w:autoSpaceDE w:val="0"/>
              <w:autoSpaceDN w:val="0"/>
              <w:adjustRightInd w:val="0"/>
              <w:spacing w:before="0" w:after="0"/>
              <w:rPr>
                <w:rStyle w:val="InstructionsTabelleberschrift"/>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Article 329, paragraphe 3, du CRR</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exigences supplémentaires pour les options liées aux risques autres que le risque delta seront déclarées dans la méthode appliquée pour leur calcul.</w:t>
            </w:r>
          </w:p>
          <w:p w:rsidR="001A6C53" w:rsidRPr="00392FFD" w:rsidRDefault="001A6C53" w:rsidP="008D2F6E">
            <w:pPr>
              <w:autoSpaceDE w:val="0"/>
              <w:autoSpaceDN w:val="0"/>
              <w:adjustRightInd w:val="0"/>
              <w:spacing w:before="0" w:after="0"/>
              <w:rPr>
                <w:rFonts w:ascii="Times New Roman" w:hAnsi="Times New Roman"/>
                <w:bCs/>
                <w:sz w:val="24"/>
              </w:rPr>
            </w:pPr>
          </w:p>
        </w:tc>
      </w:tr>
    </w:tbl>
    <w:p w:rsidR="001A6C53" w:rsidRPr="00392FFD" w:rsidRDefault="001A6C53" w:rsidP="001A6C53">
      <w:pPr>
        <w:autoSpaceDE w:val="0"/>
        <w:autoSpaceDN w:val="0"/>
        <w:adjustRightInd w:val="0"/>
        <w:spacing w:before="0" w:after="0"/>
        <w:rPr>
          <w:rFonts w:ascii="Times New Roman" w:hAnsi="Times New Roman"/>
          <w:bCs/>
          <w:sz w:val="24"/>
        </w:rPr>
      </w:pP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16" w:name="_Toc524104225"/>
      <w:r>
        <w:rPr>
          <w:rFonts w:ascii="Times New Roman" w:hAnsi="Times New Roman"/>
          <w:sz w:val="24"/>
          <w:u w:val="none"/>
        </w:rPr>
        <w:t>5.2.</w:t>
      </w:r>
      <w:r w:rsidRPr="00FF69EB">
        <w:rPr>
          <w:u w:val="none"/>
        </w:rPr>
        <w:tab/>
      </w:r>
      <w:r>
        <w:rPr>
          <w:rFonts w:ascii="Times New Roman" w:hAnsi="Times New Roman"/>
          <w:sz w:val="24"/>
        </w:rPr>
        <w:t>C 19.00 - RISQUE DE MARCHÉ: APPROCHE STANDARD DU RISQUE SPÉC</w:t>
      </w:r>
      <w:r>
        <w:rPr>
          <w:rFonts w:ascii="Times New Roman" w:hAnsi="Times New Roman"/>
          <w:sz w:val="24"/>
        </w:rPr>
        <w:t>I</w:t>
      </w:r>
      <w:r>
        <w:rPr>
          <w:rFonts w:ascii="Times New Roman" w:hAnsi="Times New Roman"/>
          <w:sz w:val="24"/>
        </w:rPr>
        <w:t>FIQUE EN TITRISATION (MKR SA SEC)</w:t>
      </w:r>
      <w:bookmarkEnd w:id="416"/>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17" w:name="_Toc524104226"/>
      <w:r>
        <w:rPr>
          <w:rFonts w:ascii="Times New Roman" w:hAnsi="Times New Roman"/>
          <w:sz w:val="24"/>
          <w:u w:val="none"/>
        </w:rPr>
        <w:t>5.2.1.</w:t>
      </w:r>
      <w:r w:rsidRPr="00FF69EB">
        <w:rPr>
          <w:u w:val="none"/>
        </w:rPr>
        <w:tab/>
      </w:r>
      <w:r>
        <w:rPr>
          <w:rFonts w:ascii="Times New Roman" w:hAnsi="Times New Roman"/>
          <w:sz w:val="24"/>
        </w:rPr>
        <w:t>Remarques générales</w:t>
      </w:r>
      <w:bookmarkEnd w:id="417"/>
    </w:p>
    <w:p w:rsidR="001A6C53" w:rsidRDefault="001A6C53" w:rsidP="001A6C53">
      <w:pPr>
        <w:pStyle w:val="InstructionsText2"/>
        <w:numPr>
          <w:ilvl w:val="0"/>
          <w:numId w:val="0"/>
        </w:numPr>
        <w:ind w:left="993"/>
      </w:pPr>
      <w:r>
        <w:t>141.</w:t>
      </w:r>
      <w:r>
        <w:tab/>
        <w:t xml:space="preserve">Ce modèle rassemble des informations sur les positions (toutes/nettes et longues/courtes) et les exigences de fonds propres associées pour la composante «risque spécifique» du risque de position dans les titrisations/ </w:t>
      </w:r>
      <w:proofErr w:type="spellStart"/>
      <w:r>
        <w:t>retitrisations</w:t>
      </w:r>
      <w:proofErr w:type="spellEnd"/>
      <w:r>
        <w:t xml:space="preserve"> détenues dans le portefeuille de négociation (non éligibles pour le portefeuille de négociation en corrélation), selon l'approche standard. Lorsque la date de référence pour la d</w:t>
      </w:r>
      <w:r>
        <w:t>é</w:t>
      </w:r>
      <w:r>
        <w:t>claration est postérieure au 1</w:t>
      </w:r>
      <w:r>
        <w:rPr>
          <w:vertAlign w:val="superscript"/>
        </w:rPr>
        <w:t>er</w:t>
      </w:r>
      <w:r>
        <w:t xml:space="preserve"> janvier 2019, les titrisations détenues dans le port</w:t>
      </w:r>
      <w:r>
        <w:t>e</w:t>
      </w:r>
      <w:r>
        <w:t>feuille de négociation dont les exigences de fonds propres pour risque spécifique sont basées sur le CRR, c’est-à-dire lorsque l’exigence de fonds propres est calc</w:t>
      </w:r>
      <w:r>
        <w:t>u</w:t>
      </w:r>
      <w:r>
        <w:t>lée conformément au cadre relatif à la titrisation tel que révisé, ne seront pas décl</w:t>
      </w:r>
      <w:r>
        <w:t>a</w:t>
      </w:r>
      <w:r>
        <w:t>rées dans ce modèle, mais uniquement dans le modèle C 02.00. De même, lorsque la date de référence pour la déclaration est postérieure au 1</w:t>
      </w:r>
      <w:r>
        <w:rPr>
          <w:vertAlign w:val="superscript"/>
        </w:rPr>
        <w:t>er</w:t>
      </w:r>
      <w:r>
        <w:t xml:space="preserve"> janvier 2019, les pos</w:t>
      </w:r>
      <w:r>
        <w:t>i</w:t>
      </w:r>
      <w:r>
        <w:t>tions de titrisations qui font l'objet d’une pondération de risque de 1 250 % confo</w:t>
      </w:r>
      <w:r>
        <w:t>r</w:t>
      </w:r>
      <w:r>
        <w:t>mément au CRR et qui sont déduites des fonds propres de base de catégorie 1 co</w:t>
      </w:r>
      <w:r>
        <w:t>n</w:t>
      </w:r>
      <w:r>
        <w:t>formément à l'article 36, paragraphe 1, point k) ii), du CRR ne doivent pas être d</w:t>
      </w:r>
      <w:r>
        <w:t>é</w:t>
      </w:r>
      <w:r>
        <w:t>clarées dans ce modèle, mais uniquement dans le modèle C 01.00.</w:t>
      </w:r>
    </w:p>
    <w:p w:rsidR="001A6C53" w:rsidRPr="00392FFD" w:rsidRDefault="001A6C53" w:rsidP="001A6C53">
      <w:pPr>
        <w:pStyle w:val="InstructionsText2"/>
        <w:numPr>
          <w:ilvl w:val="0"/>
          <w:numId w:val="0"/>
        </w:numPr>
        <w:ind w:left="993"/>
      </w:pPr>
      <w:r>
        <w:t>141a. Aux fins de ce modèle, toutes les références aux articles de la troisième pa</w:t>
      </w:r>
      <w:r>
        <w:t>r</w:t>
      </w:r>
      <w:r>
        <w:t>tie, titre II, chapitre 5 du CRR et à l’article 337 du CRR doivent s’entendre comme des références au CRR dans sa version applicable au 31 décembre 2018.</w:t>
      </w:r>
    </w:p>
    <w:p w:rsidR="001A6C53" w:rsidRPr="00392FFD" w:rsidRDefault="001A6C53" w:rsidP="001A6C53">
      <w:pPr>
        <w:pStyle w:val="InstructionsText2"/>
        <w:numPr>
          <w:ilvl w:val="0"/>
          <w:numId w:val="0"/>
        </w:numPr>
        <w:ind w:left="993"/>
      </w:pPr>
      <w:r>
        <w:t>142.</w:t>
      </w:r>
      <w:r>
        <w:tab/>
        <w:t>Le modèle MKR SA SEC détermine l'exigence de fonds propres pour le seul risque spécifique des positions de titrisation conformément à l'article 335 en liaison avec l'article 337 du CRR. Lorsque les positions de titrisation du portefeuille de n</w:t>
      </w:r>
      <w:r>
        <w:t>é</w:t>
      </w:r>
      <w:r>
        <w:t>gociation sont couvertes par des dérivés de crédit, les articles 346 et 347 s'appl</w:t>
      </w:r>
      <w:r>
        <w:t>i</w:t>
      </w:r>
      <w:r>
        <w:t>quent. Il n'existe qu'un modèle pour toutes les positions du portefeuille de négoci</w:t>
      </w:r>
      <w:r>
        <w:t>a</w:t>
      </w:r>
      <w:r>
        <w:t>tion, que l'établissement recoure à l'approche standard ou à l'approche NI pour ca</w:t>
      </w:r>
      <w:r>
        <w:t>l</w:t>
      </w:r>
      <w:r>
        <w:t>culer la pondération de risque de chacune des positions, conformément à la tro</w:t>
      </w:r>
      <w:r>
        <w:t>i</w:t>
      </w:r>
      <w:r>
        <w:t xml:space="preserve">sième partie, titre II, chapitre 5 du CRR. La déclaration des exigences de fonds </w:t>
      </w:r>
      <w:r>
        <w:lastRenderedPageBreak/>
        <w:t>propres pour le risque général de ces positions est effectuée dans les modèles MKR SA TDI ou MKR IM.</w:t>
      </w:r>
    </w:p>
    <w:p w:rsidR="001A6C53" w:rsidRPr="00392FFD" w:rsidRDefault="001A6C53" w:rsidP="001A6C53">
      <w:pPr>
        <w:pStyle w:val="InstructionsText2"/>
        <w:numPr>
          <w:ilvl w:val="0"/>
          <w:numId w:val="0"/>
        </w:numPr>
        <w:ind w:left="993"/>
      </w:pPr>
      <w:r>
        <w:t>143.</w:t>
      </w:r>
      <w:r>
        <w:tab/>
        <w:t>Les positions qui reçoivent une pondération de risque de 1 250 % peuvent aussi être déduites des fonds propres de base de catégorie 1 (voir l'article 243, par</w:t>
      </w:r>
      <w:r>
        <w:t>a</w:t>
      </w:r>
      <w:r>
        <w:t>graphe 1, point b), l'article 244, paragraphe 1, point b), et l'article 258 du CRR). Le cas échéant, ces positions doivent être déclarées dans la ligne 460 du modèle CA1.</w:t>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18" w:name="_Toc524104227"/>
      <w:r>
        <w:rPr>
          <w:rFonts w:ascii="Times New Roman" w:hAnsi="Times New Roman"/>
          <w:sz w:val="24"/>
          <w:u w:val="none"/>
        </w:rPr>
        <w:t>5.2.2.</w:t>
      </w:r>
      <w:r w:rsidRPr="00990117">
        <w:rPr>
          <w:u w:val="none"/>
        </w:rPr>
        <w:tab/>
      </w:r>
      <w:r>
        <w:rPr>
          <w:rFonts w:ascii="Times New Roman" w:hAnsi="Times New Roman"/>
          <w:sz w:val="24"/>
        </w:rPr>
        <w:t>Instructions concernant certaines positions</w:t>
      </w:r>
      <w:bookmarkEnd w:id="4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1A6C53" w:rsidRPr="00392FFD" w:rsidTr="008D2F6E">
        <w:trPr>
          <w:trHeight w:val="631"/>
        </w:trPr>
        <w:tc>
          <w:tcPr>
            <w:tcW w:w="8862" w:type="dxa"/>
            <w:gridSpan w:val="2"/>
            <w:shd w:val="clear" w:color="auto" w:fill="CCCCCC"/>
          </w:tcPr>
          <w:p w:rsidR="001A6C53" w:rsidRPr="00392FFD" w:rsidRDefault="001A6C53" w:rsidP="008D2F6E">
            <w:pPr>
              <w:autoSpaceDE w:val="0"/>
              <w:autoSpaceDN w:val="0"/>
              <w:adjustRightInd w:val="0"/>
              <w:spacing w:after="0"/>
              <w:rPr>
                <w:rFonts w:ascii="Times New Roman" w:hAnsi="Times New Roman"/>
                <w:b/>
                <w:sz w:val="24"/>
              </w:rPr>
            </w:pPr>
            <w:r>
              <w:rPr>
                <w:rFonts w:ascii="Times New Roman" w:hAnsi="Times New Roman"/>
                <w:b/>
                <w:sz w:val="24"/>
              </w:rPr>
              <w:t>Colonnes</w:t>
            </w: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TOUTES LES POSITIONS (LONGUES ET COURTES)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Article 102 et article 105, paragraphe 1, du CRR, en liaison avec l'article 337 du CRR (positions de titrisation). En ce qui concerne la distinction entre les p</w:t>
            </w:r>
            <w:r>
              <w:rPr>
                <w:rStyle w:val="InstructionsTabelleText"/>
                <w:rFonts w:ascii="Times New Roman" w:hAnsi="Times New Roman"/>
                <w:sz w:val="24"/>
              </w:rPr>
              <w:t>o</w:t>
            </w:r>
            <w:r>
              <w:rPr>
                <w:rStyle w:val="InstructionsTabelleText"/>
                <w:rFonts w:ascii="Times New Roman" w:hAnsi="Times New Roman"/>
                <w:sz w:val="24"/>
              </w:rPr>
              <w:t>sitions longues et courtes, également applicable à ces positions brutes, voir l'a</w:t>
            </w:r>
            <w:r>
              <w:rPr>
                <w:rStyle w:val="InstructionsTabelleText"/>
                <w:rFonts w:ascii="Times New Roman" w:hAnsi="Times New Roman"/>
                <w:sz w:val="24"/>
              </w:rPr>
              <w:t>r</w:t>
            </w:r>
            <w:r>
              <w:rPr>
                <w:rStyle w:val="InstructionsTabelleText"/>
                <w:rFonts w:ascii="Times New Roman" w:hAnsi="Times New Roman"/>
                <w:sz w:val="24"/>
              </w:rPr>
              <w:t xml:space="preserve">ticle 328, paragraphe 2, du CRR. </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 POSITIONS DÉDUITES DES FONDS PROPRES</w:t>
            </w:r>
            <w:r>
              <w:rPr>
                <w:rFonts w:ascii="Times New Roman" w:hAnsi="Times New Roman"/>
                <w:b/>
                <w:sz w:val="24"/>
                <w:u w:val="single"/>
              </w:rPr>
              <w:t xml:space="preserve"> (POSITIONS LONGUES ET COURTES)</w:t>
            </w: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Article 258 du CRR.</w:t>
            </w: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POSITIONS NETTES</w:t>
            </w:r>
            <w:r>
              <w:rPr>
                <w:rFonts w:ascii="Times New Roman" w:hAnsi="Times New Roman"/>
                <w:b/>
                <w:sz w:val="24"/>
                <w:u w:val="single"/>
              </w:rPr>
              <w:t xml:space="preserve"> (LONGUES ET COURTES)</w:t>
            </w: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Articles 327 à 329 et article 334 du CRR. En ce qui concerne la distinction entre les positions longues et courtes, voir l'article 328, paragraphe 2, du CRR.</w:t>
            </w: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070-520</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RÉPARTITION DES POSITIONS NETTES SELON LES PONDÉR</w:t>
            </w:r>
            <w:r>
              <w:rPr>
                <w:rFonts w:ascii="Times New Roman" w:hAnsi="Times New Roman"/>
                <w:b/>
                <w:sz w:val="24"/>
                <w:u w:val="single"/>
              </w:rPr>
              <w:t>A</w:t>
            </w:r>
            <w:r>
              <w:rPr>
                <w:rFonts w:ascii="Times New Roman" w:hAnsi="Times New Roman"/>
                <w:b/>
                <w:sz w:val="24"/>
                <w:u w:val="single"/>
              </w:rPr>
              <w:t>TIONS</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Article 251 (tableau 1) et article 261, paragraphe 1 (tableau 4), du CRR. La r</w:t>
            </w:r>
            <w:r>
              <w:rPr>
                <w:rStyle w:val="InstructionsTabelleText"/>
                <w:rFonts w:ascii="Times New Roman" w:hAnsi="Times New Roman"/>
                <w:sz w:val="24"/>
              </w:rPr>
              <w:t>é</w:t>
            </w:r>
            <w:r>
              <w:rPr>
                <w:rStyle w:val="InstructionsTabelleText"/>
                <w:rFonts w:ascii="Times New Roman" w:hAnsi="Times New Roman"/>
                <w:sz w:val="24"/>
              </w:rPr>
              <w:t>partition s'effectue séparément pour les positions longues et les positions courtes.</w:t>
            </w: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230-240 et 460-470</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1 250 %</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Article 251 (tableau 1) et article 261, paragraphe 1 (tableau 4), du CRR.</w:t>
            </w:r>
          </w:p>
        </w:tc>
      </w:tr>
      <w:tr w:rsidR="001A6C53" w:rsidRPr="00392FFD" w:rsidTr="008D2F6E">
        <w:trPr>
          <w:trHeight w:val="1706"/>
        </w:trPr>
        <w:tc>
          <w:tcPr>
            <w:tcW w:w="988" w:type="dxa"/>
          </w:tcPr>
          <w:p w:rsidR="001A6C53" w:rsidRPr="00392FFD" w:rsidRDefault="001A6C53" w:rsidP="008D2F6E">
            <w:pPr>
              <w:rPr>
                <w:rFonts w:ascii="Times New Roman" w:hAnsi="Times New Roman"/>
                <w:sz w:val="24"/>
              </w:rPr>
            </w:pPr>
            <w:r>
              <w:rPr>
                <w:rFonts w:ascii="Times New Roman" w:hAnsi="Times New Roman"/>
                <w:sz w:val="24"/>
              </w:rPr>
              <w:t>250-260 et 480-490</w:t>
            </w:r>
          </w:p>
          <w:p w:rsidR="001A6C53" w:rsidRPr="00392FFD" w:rsidRDefault="001A6C53" w:rsidP="008D2F6E">
            <w:pPr>
              <w:autoSpaceDE w:val="0"/>
              <w:autoSpaceDN w:val="0"/>
              <w:adjustRightInd w:val="0"/>
              <w:spacing w:before="0" w:after="0"/>
              <w:rPr>
                <w:rFonts w:ascii="Times New Roman" w:hAnsi="Times New Roman"/>
                <w:sz w:val="24"/>
              </w:rPr>
            </w:pPr>
          </w:p>
        </w:tc>
        <w:tc>
          <w:tcPr>
            <w:tcW w:w="7874" w:type="dxa"/>
          </w:tcPr>
          <w:p w:rsidR="001A6C53" w:rsidRPr="00392FFD" w:rsidRDefault="001A6C53" w:rsidP="008D2F6E">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MÉTHODE DE LA FORMULE PRUDENTIELLE</w:t>
            </w: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Article 337, paragraphe 2, du CRR, en liaison avec l'article 262 du CRR. </w:t>
            </w: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Ces colonnes seront utilisées par les établissements qui recourent à la méthode de la formule prudentielle (SFA), laquelle détermine les exigences de fonds propres en fonction des caractéristiques du panier de sûretés et des propriétés contractuelles de la tranche. </w:t>
            </w:r>
          </w:p>
          <w:p w:rsidR="001A6C53" w:rsidRPr="00392FFD" w:rsidRDefault="001A6C53" w:rsidP="008D2F6E">
            <w:pPr>
              <w:autoSpaceDE w:val="0"/>
              <w:autoSpaceDN w:val="0"/>
              <w:adjustRightInd w:val="0"/>
              <w:spacing w:before="0" w:after="0"/>
              <w:rPr>
                <w:rFonts w:ascii="Times New Roman" w:hAnsi="Times New Roman"/>
                <w:bCs/>
                <w:sz w:val="24"/>
                <w:u w:val="single"/>
              </w:rPr>
            </w:pPr>
          </w:p>
        </w:tc>
      </w:tr>
      <w:tr w:rsidR="001A6C53" w:rsidRPr="00392FFD" w:rsidTr="008D2F6E">
        <w:trPr>
          <w:trHeight w:val="2254"/>
        </w:trPr>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270 et 500</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APPROCHE PAR TRANSPARENCE</w:t>
            </w: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Approche standard: articles 253 et 254 et article 256, paragraphe 5, du CRR. Les colonnes consacrées à la méthode par transparence rassemblent tous les cas d'expositions non notées pour lesquelles la pondération de risque est obtenue à partir du portefeuille d'expositions sous-jacent (pondération moyenne du p</w:t>
            </w:r>
            <w:r>
              <w:rPr>
                <w:rStyle w:val="InstructionsTabelleText"/>
                <w:rFonts w:ascii="Times New Roman" w:hAnsi="Times New Roman"/>
                <w:sz w:val="24"/>
              </w:rPr>
              <w:t>a</w:t>
            </w:r>
            <w:r>
              <w:rPr>
                <w:rStyle w:val="InstructionsTabelleText"/>
                <w:rFonts w:ascii="Times New Roman" w:hAnsi="Times New Roman"/>
                <w:sz w:val="24"/>
              </w:rPr>
              <w:t>nier, pondération maximale du panier, ou recours au ratio de concentration).</w:t>
            </w: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Approche NI: article 263, paragraphes 2 et 3, du CRR. Pour les rembours</w:t>
            </w:r>
            <w:r>
              <w:rPr>
                <w:rStyle w:val="InstructionsTabelleText"/>
                <w:rFonts w:ascii="Times New Roman" w:hAnsi="Times New Roman"/>
                <w:sz w:val="24"/>
              </w:rPr>
              <w:t>e</w:t>
            </w:r>
            <w:r>
              <w:rPr>
                <w:rStyle w:val="InstructionsTabelleText"/>
                <w:rFonts w:ascii="Times New Roman" w:hAnsi="Times New Roman"/>
                <w:sz w:val="24"/>
              </w:rPr>
              <w:t>ments anticipés, voir l'article 265, paragraphe 1, et l'article 256, paragraphe 5, du CRR</w:t>
            </w: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280-290 / 510-520</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APPROCHE PAR ÉVALUATION INTERNE</w:t>
            </w:r>
          </w:p>
          <w:p w:rsidR="001A6C53" w:rsidRPr="00392FFD" w:rsidRDefault="001A6C53" w:rsidP="008D2F6E">
            <w:pPr>
              <w:autoSpaceDE w:val="0"/>
              <w:autoSpaceDN w:val="0"/>
              <w:adjustRightInd w:val="0"/>
              <w:jc w:val="left"/>
              <w:rPr>
                <w:rStyle w:val="InstructionsTabelleText"/>
                <w:rFonts w:ascii="Times New Roman" w:hAnsi="Times New Roman"/>
                <w:sz w:val="24"/>
              </w:rPr>
            </w:pPr>
            <w:r>
              <w:rPr>
                <w:rStyle w:val="InstructionsTabelleText"/>
                <w:rFonts w:ascii="Times New Roman" w:hAnsi="Times New Roman"/>
                <w:sz w:val="24"/>
              </w:rPr>
              <w:t>Article 109, paragraphe 1, deuxième phrase et article 259, paragraphes 3 et 4, du CRR.</w:t>
            </w:r>
          </w:p>
          <w:p w:rsidR="001A6C53" w:rsidRPr="00392FFD" w:rsidRDefault="001A6C53" w:rsidP="008D2F6E">
            <w:pPr>
              <w:autoSpaceDE w:val="0"/>
              <w:autoSpaceDN w:val="0"/>
              <w:adjustRightInd w:val="0"/>
              <w:jc w:val="left"/>
              <w:rPr>
                <w:rFonts w:ascii="Times New Roman" w:hAnsi="Times New Roman"/>
                <w:bCs/>
                <w:sz w:val="24"/>
                <w:u w:val="single"/>
              </w:rPr>
            </w:pPr>
            <w:r>
              <w:rPr>
                <w:rStyle w:val="InstructionsTabelleText"/>
                <w:rFonts w:ascii="Times New Roman" w:hAnsi="Times New Roman"/>
                <w:sz w:val="24"/>
              </w:rPr>
              <w:t>Ces colonnes seront remplies lorsque l'établissement utilise l'approche par év</w:t>
            </w:r>
            <w:r>
              <w:rPr>
                <w:rStyle w:val="InstructionsTabelleText"/>
                <w:rFonts w:ascii="Times New Roman" w:hAnsi="Times New Roman"/>
                <w:sz w:val="24"/>
              </w:rPr>
              <w:t>a</w:t>
            </w:r>
            <w:r>
              <w:rPr>
                <w:rStyle w:val="InstructionsTabelleText"/>
                <w:rFonts w:ascii="Times New Roman" w:hAnsi="Times New Roman"/>
                <w:sz w:val="24"/>
              </w:rPr>
              <w:t>luation interne pour déterminer les exigences de fonds propres pour les facilités de trésorerie et les rehaussements de crédit que les banques (y compris les banques tierces) accordent aux conduits ABCP. Basée sur les méthodes de l'OEEC, l'approche par évaluation interne ne s'applique que pour les expos</w:t>
            </w:r>
            <w:r>
              <w:rPr>
                <w:rStyle w:val="InstructionsTabelleText"/>
                <w:rFonts w:ascii="Times New Roman" w:hAnsi="Times New Roman"/>
                <w:sz w:val="24"/>
              </w:rPr>
              <w:t>i</w:t>
            </w:r>
            <w:r>
              <w:rPr>
                <w:rStyle w:val="InstructionsTabelleText"/>
                <w:rFonts w:ascii="Times New Roman" w:hAnsi="Times New Roman"/>
                <w:sz w:val="24"/>
              </w:rPr>
              <w:t>tions aux conduits ABCP qui bénéficient d'une notation interne équivalente à «</w:t>
            </w:r>
            <w:proofErr w:type="spellStart"/>
            <w:r>
              <w:rPr>
                <w:rStyle w:val="InstructionsTabelleText"/>
                <w:rFonts w:ascii="Times New Roman" w:hAnsi="Times New Roman"/>
                <w:sz w:val="24"/>
              </w:rPr>
              <w:t>investment</w:t>
            </w:r>
            <w:proofErr w:type="spellEnd"/>
            <w:r>
              <w:rPr>
                <w:rStyle w:val="InstructionsTabelleText"/>
                <w:rFonts w:ascii="Times New Roman" w:hAnsi="Times New Roman"/>
                <w:sz w:val="24"/>
              </w:rPr>
              <w:t xml:space="preserve"> grade» (de premier ordre) à la date d'initiation.</w:t>
            </w: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530-540</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EFFET GLOBAL (AJUSTEMENT) LIÉ AU MANQUEMENT AUX DISPOSITIONS EN MATIÈRE DE DILIGENCE APPROPRIÉE</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Article 337, paragraphe 3, du CRR, en liaison avec l'article 407 du CRR. A</w:t>
            </w:r>
            <w:r>
              <w:rPr>
                <w:rStyle w:val="InstructionsTabelleText"/>
                <w:rFonts w:ascii="Times New Roman" w:hAnsi="Times New Roman"/>
                <w:sz w:val="24"/>
              </w:rPr>
              <w:t>r</w:t>
            </w:r>
            <w:r>
              <w:rPr>
                <w:rStyle w:val="InstructionsTabelleText"/>
                <w:rFonts w:ascii="Times New Roman" w:hAnsi="Times New Roman"/>
                <w:sz w:val="24"/>
              </w:rPr>
              <w:t>ticle 14, paragraphe 2, du CRR</w:t>
            </w: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550-570</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AVANT APPLICATION DU PLAFOND - POSITIONS LONGUES/COURTES NETTES PONDÉRÉES ET SOMME DES POS</w:t>
            </w:r>
            <w:r>
              <w:rPr>
                <w:rFonts w:ascii="Times New Roman" w:hAnsi="Times New Roman"/>
                <w:b/>
                <w:sz w:val="24"/>
                <w:u w:val="single"/>
              </w:rPr>
              <w:t>I</w:t>
            </w:r>
            <w:r>
              <w:rPr>
                <w:rFonts w:ascii="Times New Roman" w:hAnsi="Times New Roman"/>
                <w:b/>
                <w:sz w:val="24"/>
                <w:u w:val="single"/>
              </w:rPr>
              <w:t>TONS LONGUES ET COURTES NETTES PONDÉRÉES</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Article 337 du CRR, sans tenir compte de la marge d'appréciation de l'a</w:t>
            </w:r>
            <w:r>
              <w:rPr>
                <w:rFonts w:ascii="Times New Roman" w:hAnsi="Times New Roman"/>
                <w:sz w:val="24"/>
              </w:rPr>
              <w:t>r</w:t>
            </w:r>
            <w:r>
              <w:rPr>
                <w:rFonts w:ascii="Times New Roman" w:hAnsi="Times New Roman"/>
                <w:sz w:val="24"/>
              </w:rPr>
              <w:t>ticle 335 du CRR, permettant à un établissement de plafonner le produit de la pondération et de la position nette à la perte maximale possible liée à un défaut.</w:t>
            </w: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580-600</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APRÈS APPLICATION DU PLAFOND - POSITIONS LONGUES/COURTES NETTES PONDÉRÉES ET SOMME DES POS</w:t>
            </w:r>
            <w:r>
              <w:rPr>
                <w:rFonts w:ascii="Times New Roman" w:hAnsi="Times New Roman"/>
                <w:b/>
                <w:sz w:val="24"/>
                <w:u w:val="single"/>
              </w:rPr>
              <w:t>I</w:t>
            </w:r>
            <w:r>
              <w:rPr>
                <w:rFonts w:ascii="Times New Roman" w:hAnsi="Times New Roman"/>
                <w:b/>
                <w:sz w:val="24"/>
                <w:u w:val="single"/>
              </w:rPr>
              <w:t>TONS LONGUES ET COURTES NETTES PONDÉRÉES</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Article 337 du CRR, compte tenu de la marge d'appréciation de l'article 335 du CRR.</w:t>
            </w:r>
          </w:p>
        </w:tc>
      </w:tr>
      <w:tr w:rsidR="001A6C53" w:rsidRPr="00392FFD" w:rsidTr="008D2F6E">
        <w:trPr>
          <w:trHeight w:val="416"/>
        </w:trPr>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610</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DES EXIGENCES DE FONDS PROPRES</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Conformément à l'article 337, paragraphe 4, du CRR, pour une période trans</w:t>
            </w:r>
            <w:r>
              <w:rPr>
                <w:rFonts w:ascii="Times New Roman" w:hAnsi="Times New Roman"/>
                <w:sz w:val="24"/>
              </w:rPr>
              <w:t>i</w:t>
            </w:r>
            <w:r>
              <w:rPr>
                <w:rFonts w:ascii="Times New Roman" w:hAnsi="Times New Roman"/>
                <w:sz w:val="24"/>
              </w:rPr>
              <w:t>toire s'achevant le 31 décembre 2014, l'établissement additionne séparément ses positions longues nettes pondérées (colonne 580) et ses positions courtes nettes pondérées (colonne 590). Le plus important de ces montants (après pl</w:t>
            </w:r>
            <w:r>
              <w:rPr>
                <w:rFonts w:ascii="Times New Roman" w:hAnsi="Times New Roman"/>
                <w:sz w:val="24"/>
              </w:rPr>
              <w:t>a</w:t>
            </w:r>
            <w:r>
              <w:rPr>
                <w:rFonts w:ascii="Times New Roman" w:hAnsi="Times New Roman"/>
                <w:sz w:val="24"/>
              </w:rPr>
              <w:t>fonnement) constitue l'exigence de fonds propres. À partir de 2015, conform</w:t>
            </w:r>
            <w:r>
              <w:rPr>
                <w:rFonts w:ascii="Times New Roman" w:hAnsi="Times New Roman"/>
                <w:sz w:val="24"/>
              </w:rPr>
              <w:t>é</w:t>
            </w:r>
            <w:r>
              <w:rPr>
                <w:rFonts w:ascii="Times New Roman" w:hAnsi="Times New Roman"/>
                <w:sz w:val="24"/>
              </w:rPr>
              <w:t>ment à l'article 337, paragraphe 4, du CRR, l'établissement additionnera ses p</w:t>
            </w:r>
            <w:r>
              <w:rPr>
                <w:rFonts w:ascii="Times New Roman" w:hAnsi="Times New Roman"/>
                <w:sz w:val="24"/>
              </w:rPr>
              <w:t>o</w:t>
            </w:r>
            <w:r>
              <w:rPr>
                <w:rFonts w:ascii="Times New Roman" w:hAnsi="Times New Roman"/>
                <w:sz w:val="24"/>
              </w:rPr>
              <w:t>sitions nettes pondérées, que celles-ci soient longues ou courtes (colonne 600), pour déterminer ses exigences de fonds propres.</w:t>
            </w:r>
          </w:p>
        </w:tc>
      </w:tr>
    </w:tbl>
    <w:p w:rsidR="001A6C53" w:rsidRPr="00392FFD" w:rsidRDefault="001A6C53" w:rsidP="001A6C53">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
        <w:gridCol w:w="7894"/>
      </w:tblGrid>
      <w:tr w:rsidR="001A6C53" w:rsidRPr="00392FFD" w:rsidTr="008D2F6E">
        <w:trPr>
          <w:trHeight w:val="537"/>
        </w:trPr>
        <w:tc>
          <w:tcPr>
            <w:tcW w:w="8862" w:type="dxa"/>
            <w:gridSpan w:val="2"/>
            <w:shd w:val="clear" w:color="auto" w:fill="BFBFBF"/>
          </w:tcPr>
          <w:p w:rsidR="001A6C53" w:rsidRPr="00392FFD" w:rsidRDefault="001A6C53" w:rsidP="008D2F6E">
            <w:pPr>
              <w:autoSpaceDE w:val="0"/>
              <w:autoSpaceDN w:val="0"/>
              <w:adjustRightInd w:val="0"/>
              <w:spacing w:after="0"/>
              <w:rPr>
                <w:rFonts w:ascii="Times New Roman" w:hAnsi="Times New Roman"/>
                <w:b/>
                <w:sz w:val="24"/>
              </w:rPr>
            </w:pPr>
            <w:r>
              <w:rPr>
                <w:rFonts w:ascii="Times New Roman" w:hAnsi="Times New Roman"/>
                <w:b/>
                <w:sz w:val="24"/>
              </w:rPr>
              <w:lastRenderedPageBreak/>
              <w:t>Lignes</w:t>
            </w:r>
          </w:p>
        </w:tc>
      </w:tr>
      <w:tr w:rsidR="001A6C53" w:rsidRPr="00392FFD" w:rsidTr="008D2F6E">
        <w:tc>
          <w:tcPr>
            <w:tcW w:w="96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94" w:type="dxa"/>
          </w:tcPr>
          <w:p w:rsidR="001A6C53" w:rsidRPr="00392FFD" w:rsidRDefault="001A6C53" w:rsidP="008D2F6E">
            <w:pPr>
              <w:rPr>
                <w:rFonts w:ascii="Times New Roman" w:hAnsi="Times New Roman"/>
                <w:sz w:val="24"/>
              </w:rPr>
            </w:pPr>
            <w:r>
              <w:rPr>
                <w:rStyle w:val="InstructionsTabelleberschrift"/>
                <w:rFonts w:ascii="Times New Roman" w:hAnsi="Times New Roman"/>
                <w:sz w:val="24"/>
              </w:rPr>
              <w:t>TOTAL DES EXPOSITIONS</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Encours total des titrisations (détenues dans le portefeuille de négociation) d</w:t>
            </w:r>
            <w:r>
              <w:rPr>
                <w:rFonts w:ascii="Times New Roman" w:hAnsi="Times New Roman"/>
                <w:sz w:val="24"/>
              </w:rPr>
              <w:t>é</w:t>
            </w:r>
            <w:r>
              <w:rPr>
                <w:rFonts w:ascii="Times New Roman" w:hAnsi="Times New Roman"/>
                <w:sz w:val="24"/>
              </w:rPr>
              <w:t>claré par l'établissement qui joue le rôle d'initiateur et/ou d'investisseur et/ou de sponsor.</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96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040, 070 et</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9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TITRISATIONS</w:t>
            </w:r>
          </w:p>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Article 4, points 61 et 62, du CRR.</w:t>
            </w:r>
          </w:p>
        </w:tc>
      </w:tr>
      <w:tr w:rsidR="001A6C53" w:rsidRPr="00392FFD" w:rsidTr="008D2F6E">
        <w:tc>
          <w:tcPr>
            <w:tcW w:w="96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020, 050,</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080 et 110</w:t>
            </w:r>
          </w:p>
        </w:tc>
        <w:tc>
          <w:tcPr>
            <w:tcW w:w="789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RETITRISATIONS</w:t>
            </w:r>
          </w:p>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Article 4, point 63, du CRR</w:t>
            </w:r>
          </w:p>
        </w:tc>
      </w:tr>
      <w:tr w:rsidR="001A6C53" w:rsidRPr="00392FFD" w:rsidTr="008D2F6E">
        <w:tc>
          <w:tcPr>
            <w:tcW w:w="96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030-050</w:t>
            </w:r>
          </w:p>
        </w:tc>
        <w:tc>
          <w:tcPr>
            <w:tcW w:w="789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INITIATEUR</w:t>
            </w:r>
          </w:p>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Article 4, point 13, du CRR.</w:t>
            </w:r>
          </w:p>
        </w:tc>
      </w:tr>
      <w:tr w:rsidR="001A6C53" w:rsidRPr="00392FFD" w:rsidTr="008D2F6E">
        <w:tc>
          <w:tcPr>
            <w:tcW w:w="96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9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INVESTISSEUR</w:t>
            </w:r>
          </w:p>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Établissement de crédit qui détient une position de titrisation dans le cadre d'une opération de titrisation pour laquelle il n'est ni initiateur ni sponsor.</w:t>
            </w:r>
          </w:p>
        </w:tc>
      </w:tr>
      <w:tr w:rsidR="001A6C53" w:rsidRPr="00392FFD" w:rsidTr="008D2F6E">
        <w:tc>
          <w:tcPr>
            <w:tcW w:w="96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9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SPONSOR</w:t>
            </w: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Article 4, point 14, du CRR. Si un sponsor </w:t>
            </w:r>
            <w:proofErr w:type="spellStart"/>
            <w:r>
              <w:rPr>
                <w:rStyle w:val="InstructionsTabelleText"/>
                <w:rFonts w:ascii="Times New Roman" w:hAnsi="Times New Roman"/>
                <w:sz w:val="24"/>
              </w:rPr>
              <w:t>titrise</w:t>
            </w:r>
            <w:proofErr w:type="spellEnd"/>
            <w:r>
              <w:rPr>
                <w:rStyle w:val="InstructionsTabelleText"/>
                <w:rFonts w:ascii="Times New Roman" w:hAnsi="Times New Roman"/>
                <w:sz w:val="24"/>
              </w:rPr>
              <w:t xml:space="preserve"> également ses propres actifs, il devra indiquer, dans les lignes sur l'initiateur, les données relatives à ses propres actifs </w:t>
            </w:r>
            <w:proofErr w:type="spellStart"/>
            <w:r>
              <w:rPr>
                <w:rStyle w:val="InstructionsTabelleText"/>
                <w:rFonts w:ascii="Times New Roman" w:hAnsi="Times New Roman"/>
                <w:sz w:val="24"/>
              </w:rPr>
              <w:t>titrisés</w:t>
            </w:r>
            <w:proofErr w:type="spellEnd"/>
            <w:r>
              <w:rPr>
                <w:rStyle w:val="InstructionsTabelleText"/>
                <w:rFonts w:ascii="Times New Roman" w:hAnsi="Times New Roman"/>
                <w:sz w:val="24"/>
              </w:rPr>
              <w:t>.</w:t>
            </w:r>
          </w:p>
        </w:tc>
      </w:tr>
      <w:tr w:rsidR="001A6C53" w:rsidRPr="00392FFD" w:rsidTr="008D2F6E">
        <w:tc>
          <w:tcPr>
            <w:tcW w:w="96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120-210</w:t>
            </w:r>
          </w:p>
        </w:tc>
        <w:tc>
          <w:tcPr>
            <w:tcW w:w="789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RÉPARTITION DE LA SOMME TOTALE DES POSITIONS LONGUES NETTES ET COURTES NETTES PONDÉRÉES PAR TYPE D'ACTIFS SOUS-JACENTS</w:t>
            </w: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Article 337, paragraphe 4, dernière phrase, du CRR.</w:t>
            </w: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La ventilation des actifs sous-jacents respecte la classification utilisée dans le modèle SEC </w:t>
            </w:r>
            <w:proofErr w:type="spellStart"/>
            <w:r>
              <w:rPr>
                <w:rStyle w:val="InstructionsTabelleText"/>
                <w:rFonts w:ascii="Times New Roman" w:hAnsi="Times New Roman"/>
                <w:sz w:val="24"/>
              </w:rPr>
              <w:t>Details</w:t>
            </w:r>
            <w:proofErr w:type="spellEnd"/>
            <w:r>
              <w:rPr>
                <w:rStyle w:val="InstructionsTabelleText"/>
                <w:rFonts w:ascii="Times New Roman" w:hAnsi="Times New Roman"/>
                <w:sz w:val="24"/>
              </w:rPr>
              <w:t xml:space="preserve"> (colonne «Type»):</w:t>
            </w:r>
          </w:p>
          <w:p w:rsidR="001A6C53" w:rsidRPr="00125707" w:rsidRDefault="001A6C53" w:rsidP="008D2F6E">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1-hypothèques sur un bien immobilier résidentiel; </w:t>
            </w:r>
          </w:p>
          <w:p w:rsidR="001A6C53" w:rsidRPr="00125707" w:rsidRDefault="001A6C53" w:rsidP="008D2F6E">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2-hypothèques sur un bien immobilier commercial; </w:t>
            </w:r>
          </w:p>
          <w:p w:rsidR="001A6C53" w:rsidRPr="00125707" w:rsidRDefault="001A6C53" w:rsidP="008D2F6E">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3-créances sur cartes de crédit; </w:t>
            </w:r>
          </w:p>
          <w:p w:rsidR="001A6C53" w:rsidRPr="00125707" w:rsidRDefault="001A6C53" w:rsidP="008D2F6E">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4-locations ou crédits-bails; </w:t>
            </w:r>
          </w:p>
          <w:p w:rsidR="001A6C53" w:rsidRPr="00125707" w:rsidRDefault="001A6C53" w:rsidP="008D2F6E">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5-prêts à des entreprises ou des PME (considérées comme des entr</w:t>
            </w:r>
            <w:r>
              <w:rPr>
                <w:rStyle w:val="InstructionsTabelleText"/>
                <w:rFonts w:ascii="Times New Roman" w:hAnsi="Times New Roman"/>
                <w:sz w:val="24"/>
              </w:rPr>
              <w:t>e</w:t>
            </w:r>
            <w:r>
              <w:rPr>
                <w:rStyle w:val="InstructionsTabelleText"/>
                <w:rFonts w:ascii="Times New Roman" w:hAnsi="Times New Roman"/>
                <w:sz w:val="24"/>
              </w:rPr>
              <w:t xml:space="preserve">prises); </w:t>
            </w:r>
          </w:p>
          <w:p w:rsidR="001A6C53" w:rsidRPr="00125707" w:rsidRDefault="001A6C53" w:rsidP="008D2F6E">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6-prêts à la consommation; </w:t>
            </w:r>
          </w:p>
          <w:p w:rsidR="001A6C53" w:rsidRPr="00125707" w:rsidRDefault="001A6C53" w:rsidP="008D2F6E">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7-créances commerciales; </w:t>
            </w:r>
          </w:p>
          <w:p w:rsidR="001A6C53" w:rsidRPr="00125707" w:rsidRDefault="001A6C53" w:rsidP="008D2F6E">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8-autres actifs; </w:t>
            </w:r>
          </w:p>
          <w:p w:rsidR="001A6C53" w:rsidRPr="00125707" w:rsidRDefault="001A6C53" w:rsidP="008D2F6E">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9-obligations garanties; </w:t>
            </w:r>
          </w:p>
          <w:p w:rsidR="001A6C53" w:rsidRPr="00125707" w:rsidRDefault="001A6C53" w:rsidP="008D2F6E">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10-autres passifs. </w:t>
            </w:r>
          </w:p>
          <w:p w:rsidR="001A6C53" w:rsidRPr="00392FFD" w:rsidRDefault="001A6C53" w:rsidP="008D2F6E">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Pour chaque titrisation, lorsque le panier consiste en plusieurs types d'actifs, l'établissement tiendra compte du type le plus important.</w:t>
            </w:r>
          </w:p>
        </w:tc>
      </w:tr>
    </w:tbl>
    <w:p w:rsidR="001A6C53" w:rsidRPr="00392FFD" w:rsidRDefault="001A6C53" w:rsidP="001A6C53">
      <w:pPr>
        <w:autoSpaceDE w:val="0"/>
        <w:autoSpaceDN w:val="0"/>
        <w:adjustRightInd w:val="0"/>
        <w:spacing w:before="0" w:after="0"/>
        <w:rPr>
          <w:rFonts w:ascii="Times New Roman" w:hAnsi="Times New Roman"/>
          <w:sz w:val="24"/>
        </w:rPr>
      </w:pP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19" w:name="_Toc524104228"/>
      <w:r>
        <w:rPr>
          <w:rFonts w:ascii="Times New Roman" w:hAnsi="Times New Roman"/>
          <w:sz w:val="24"/>
          <w:u w:val="none"/>
        </w:rPr>
        <w:lastRenderedPageBreak/>
        <w:t>5.3.</w:t>
      </w:r>
      <w:r w:rsidRPr="00D2309F">
        <w:rPr>
          <w:u w:val="none"/>
        </w:rPr>
        <w:tab/>
      </w:r>
      <w:r>
        <w:rPr>
          <w:rFonts w:ascii="Times New Roman" w:hAnsi="Times New Roman"/>
          <w:sz w:val="24"/>
        </w:rPr>
        <w:t>C 20.00 - RISQUE DE MARCHÉ: APPROCHE STANDARD DU RISQUE SPÉC</w:t>
      </w:r>
      <w:r>
        <w:rPr>
          <w:rFonts w:ascii="Times New Roman" w:hAnsi="Times New Roman"/>
          <w:sz w:val="24"/>
        </w:rPr>
        <w:t>I</w:t>
      </w:r>
      <w:r>
        <w:rPr>
          <w:rFonts w:ascii="Times New Roman" w:hAnsi="Times New Roman"/>
          <w:sz w:val="24"/>
        </w:rPr>
        <w:t>FIQUE POUR LES POSITIONS DU PORTEFEUILLE DE NÉGOCIATION EN CO</w:t>
      </w:r>
      <w:r>
        <w:rPr>
          <w:rFonts w:ascii="Times New Roman" w:hAnsi="Times New Roman"/>
          <w:sz w:val="24"/>
        </w:rPr>
        <w:t>R</w:t>
      </w:r>
      <w:r>
        <w:rPr>
          <w:rFonts w:ascii="Times New Roman" w:hAnsi="Times New Roman"/>
          <w:sz w:val="24"/>
        </w:rPr>
        <w:t>RÉLATION (MKR SA CTP)</w:t>
      </w:r>
      <w:bookmarkEnd w:id="419"/>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20" w:name="_Toc524104229"/>
      <w:r>
        <w:rPr>
          <w:rFonts w:ascii="Times New Roman" w:hAnsi="Times New Roman"/>
          <w:sz w:val="24"/>
          <w:u w:val="none"/>
        </w:rPr>
        <w:t>5.3.1.</w:t>
      </w:r>
      <w:r w:rsidRPr="00D2309F">
        <w:rPr>
          <w:u w:val="none"/>
        </w:rPr>
        <w:tab/>
      </w:r>
      <w:r>
        <w:rPr>
          <w:rFonts w:ascii="Times New Roman" w:hAnsi="Times New Roman"/>
          <w:sz w:val="24"/>
        </w:rPr>
        <w:t>Remarques générales</w:t>
      </w:r>
      <w:bookmarkEnd w:id="420"/>
    </w:p>
    <w:p w:rsidR="001A6C53" w:rsidRPr="00321A3B" w:rsidRDefault="001A6C53" w:rsidP="001A6C53">
      <w:pPr>
        <w:pStyle w:val="InstructionsText2"/>
        <w:numPr>
          <w:ilvl w:val="0"/>
          <w:numId w:val="0"/>
        </w:numPr>
        <w:ind w:left="993"/>
      </w:pPr>
      <w:r>
        <w:t>144.</w:t>
      </w:r>
      <w:r>
        <w:tab/>
        <w:t>Ce modèle rassemble des informations sur les positions du portefeuille de n</w:t>
      </w:r>
      <w:r>
        <w:t>é</w:t>
      </w:r>
      <w:r>
        <w:t>gociation en corrélation (comprenant les titrisations, dérivés de crédit au nième d</w:t>
      </w:r>
      <w:r>
        <w:t>é</w:t>
      </w:r>
      <w:r>
        <w:t>faut et autres positions du CTP incluses conformément à l'article 338, paragraphe 3) et les exigences de fonds propres correspondantes, selon l'approche standard.</w:t>
      </w:r>
    </w:p>
    <w:p w:rsidR="001A6C53" w:rsidRPr="00321A3B" w:rsidRDefault="001A6C53" w:rsidP="001A6C53">
      <w:pPr>
        <w:pStyle w:val="InstructionsText2"/>
        <w:numPr>
          <w:ilvl w:val="0"/>
          <w:numId w:val="0"/>
        </w:numPr>
        <w:ind w:left="993"/>
      </w:pPr>
      <w:r>
        <w:t>145.</w:t>
      </w:r>
      <w:r>
        <w:tab/>
        <w:t>Le modèle MKR SA CTP détermine l'exigence de fonds propres pour le seul risque spécifique des positions affectées au portefeuille de négociation en corrél</w:t>
      </w:r>
      <w:r>
        <w:t>a</w:t>
      </w:r>
      <w:r>
        <w:t>tion (CTP), conformément à l'article 335 en relation avec l'article 338, par</w:t>
      </w:r>
      <w:r>
        <w:t>a</w:t>
      </w:r>
      <w:r>
        <w:t>graphes 2 et 3, du CRR. Lorsque les positions CTP du portefeuille de négociation sont couvertes par des dérivés de crédit, les articles 346 et 347 du CRR s'appl</w:t>
      </w:r>
      <w:r>
        <w:t>i</w:t>
      </w:r>
      <w:r>
        <w:t>quent. Il n'existe qu'un modèle pour toutes les positions CTP du portefeuille de n</w:t>
      </w:r>
      <w:r>
        <w:t>é</w:t>
      </w:r>
      <w:r>
        <w:t>gociation, que l'établissement recoure à l'approche standard ou à l'approche NI pour calculer la pondération de risque de chacune des positions, conformément à la tro</w:t>
      </w:r>
      <w:r>
        <w:t>i</w:t>
      </w:r>
      <w:r>
        <w:t>sième partie, titre II, chapitre 5 du CRR. La déclaration des exigences de fonds propres pour le risque général de ces positions est effectuée dans les modèles MKR SA TDI ou MKR IM.</w:t>
      </w:r>
    </w:p>
    <w:p w:rsidR="001A6C53" w:rsidRPr="00321A3B" w:rsidRDefault="001A6C53" w:rsidP="001A6C53">
      <w:pPr>
        <w:pStyle w:val="InstructionsText2"/>
        <w:numPr>
          <w:ilvl w:val="0"/>
          <w:numId w:val="0"/>
        </w:numPr>
        <w:ind w:left="993"/>
      </w:pPr>
      <w:r>
        <w:t>146.</w:t>
      </w:r>
      <w:r>
        <w:tab/>
        <w:t>Cette structure du modèle distingue les positions de titrisation, les dérivés de crédit au nième défaut et les autres positions CTP. Dès lors, les positions de titris</w:t>
      </w:r>
      <w:r>
        <w:t>a</w:t>
      </w:r>
      <w:r>
        <w:t>tion seront toujours déclarées aux lignes 030, 060 ou 090 (selon le rôle de l'établi</w:t>
      </w:r>
      <w:r>
        <w:t>s</w:t>
      </w:r>
      <w:r>
        <w:t>sement dans la titrisation). Les dérivés de crédit au nième défaut seront toujours d</w:t>
      </w:r>
      <w:r>
        <w:t>é</w:t>
      </w:r>
      <w:r>
        <w:t>clarés à la ligne 110. Les «autres positions du portefeuille de négociation en corr</w:t>
      </w:r>
      <w:r>
        <w:t>é</w:t>
      </w:r>
      <w:r>
        <w:t>lation» ne sont ni des positions de titrisation ni des dérivés de crédit au nième d</w:t>
      </w:r>
      <w:r>
        <w:t>é</w:t>
      </w:r>
      <w:r>
        <w:t>faut (pour la définition, voir l'article 338, paragraphe 3, du CRR), mais elles sont explicitement «liées» (en raison de l'objectif de couverture) à une de ces deux pos</w:t>
      </w:r>
      <w:r>
        <w:t>i</w:t>
      </w:r>
      <w:r>
        <w:t>tions. C'est la raison pour laquelle elles sont affectées à l'une ou l'autre des deux sous-rubriques «titrisation» et «dérivés de crédit au nième défaut».</w:t>
      </w:r>
    </w:p>
    <w:p w:rsidR="001A6C53" w:rsidRPr="00321A3B" w:rsidRDefault="001A6C53" w:rsidP="001A6C53">
      <w:pPr>
        <w:pStyle w:val="InstructionsText2"/>
        <w:numPr>
          <w:ilvl w:val="0"/>
          <w:numId w:val="0"/>
        </w:numPr>
        <w:ind w:left="993"/>
      </w:pPr>
      <w:r>
        <w:t>147.</w:t>
      </w:r>
      <w:r>
        <w:tab/>
        <w:t>Les positions qui reçoivent une pondération de risque de 1 250 % peuvent aussi être déduites des fonds propres de base de catégorie 1 (CET1) (voir l'article 243, paragraphe 1, point b), l'article 244, paragraphe 1, point b), et l'article 258 du CRR). Le cas échéant, ces positions doivent être déclarées dans la ligne 460 du modèle CA1.</w:t>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21" w:name="_Toc524104230"/>
      <w:r>
        <w:rPr>
          <w:rFonts w:ascii="Times New Roman" w:hAnsi="Times New Roman"/>
          <w:sz w:val="24"/>
          <w:u w:val="none"/>
        </w:rPr>
        <w:t>5.3.2.</w:t>
      </w:r>
      <w:r w:rsidRPr="00D2309F">
        <w:rPr>
          <w:u w:val="none"/>
        </w:rPr>
        <w:tab/>
      </w:r>
      <w:r>
        <w:rPr>
          <w:rFonts w:ascii="Times New Roman" w:hAnsi="Times New Roman"/>
          <w:sz w:val="24"/>
        </w:rPr>
        <w:t>Instructions concernant certaines positions</w:t>
      </w:r>
      <w:bookmarkEnd w:id="4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1A6C53" w:rsidRPr="00392FFD" w:rsidTr="008D2F6E">
        <w:trPr>
          <w:trHeight w:val="602"/>
        </w:trPr>
        <w:tc>
          <w:tcPr>
            <w:tcW w:w="8862" w:type="dxa"/>
            <w:gridSpan w:val="2"/>
            <w:shd w:val="clear" w:color="auto" w:fill="CCCCCC"/>
          </w:tcPr>
          <w:p w:rsidR="001A6C53" w:rsidRPr="00392FFD" w:rsidRDefault="001A6C53" w:rsidP="008D2F6E">
            <w:pPr>
              <w:autoSpaceDE w:val="0"/>
              <w:autoSpaceDN w:val="0"/>
              <w:adjustRightInd w:val="0"/>
              <w:spacing w:after="0"/>
              <w:rPr>
                <w:rFonts w:ascii="Times New Roman" w:hAnsi="Times New Roman"/>
                <w:b/>
                <w:sz w:val="24"/>
              </w:rPr>
            </w:pPr>
            <w:r>
              <w:rPr>
                <w:rFonts w:ascii="Times New Roman" w:hAnsi="Times New Roman"/>
                <w:b/>
                <w:sz w:val="24"/>
              </w:rPr>
              <w:t>Colonnes</w:t>
            </w: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TOUTES LES POSITIONS (LONGUES ET COURTES)</w:t>
            </w:r>
          </w:p>
          <w:p w:rsidR="001A6C53" w:rsidRPr="00392FFD" w:rsidRDefault="001A6C53" w:rsidP="008D2F6E">
            <w:pPr>
              <w:rPr>
                <w:rFonts w:ascii="Times New Roman" w:hAnsi="Times New Roman"/>
                <w:sz w:val="24"/>
              </w:rPr>
            </w:pPr>
            <w:r>
              <w:rPr>
                <w:rFonts w:ascii="Times New Roman" w:hAnsi="Times New Roman"/>
                <w:sz w:val="24"/>
              </w:rPr>
              <w:t>Article 102 et article 105, paragraphe 1, du CRR, en relation avec les positions affectées au portefeuille de négociation en corrélation, conformément à l'a</w:t>
            </w:r>
            <w:r>
              <w:rPr>
                <w:rFonts w:ascii="Times New Roman" w:hAnsi="Times New Roman"/>
                <w:sz w:val="24"/>
              </w:rPr>
              <w:t>r</w:t>
            </w:r>
            <w:r>
              <w:rPr>
                <w:rFonts w:ascii="Times New Roman" w:hAnsi="Times New Roman"/>
                <w:sz w:val="24"/>
              </w:rPr>
              <w:t xml:space="preserve">ticle 338, paragraphes 2 et 3, du CRR. En ce qui concerne la distinction entre les positions longues et courtes, également applicable à ces positions brutes, </w:t>
            </w:r>
            <w:r>
              <w:rPr>
                <w:rFonts w:ascii="Times New Roman" w:hAnsi="Times New Roman"/>
                <w:sz w:val="24"/>
              </w:rPr>
              <w:lastRenderedPageBreak/>
              <w:t>voir l'article 328, paragraphe 2, du CRR.</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030-040</w:t>
            </w:r>
          </w:p>
        </w:tc>
        <w:tc>
          <w:tcPr>
            <w:tcW w:w="787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 POSITIONS DÉDUITES DES FONDS PROPRES (POSITIONS LONGUES ET COURTES)</w:t>
            </w:r>
          </w:p>
          <w:p w:rsidR="001A6C53" w:rsidRPr="00392FFD" w:rsidRDefault="001A6C53" w:rsidP="008D2F6E">
            <w:pPr>
              <w:rPr>
                <w:rFonts w:ascii="Times New Roman" w:hAnsi="Times New Roman"/>
                <w:sz w:val="24"/>
              </w:rPr>
            </w:pPr>
            <w:r>
              <w:rPr>
                <w:rFonts w:ascii="Times New Roman" w:hAnsi="Times New Roman"/>
                <w:sz w:val="24"/>
              </w:rPr>
              <w:t xml:space="preserve">Article 258 du CRR. </w:t>
            </w: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POSITIONS NETTES (LONGUES ET COURTES)</w:t>
            </w:r>
          </w:p>
          <w:p w:rsidR="001A6C53" w:rsidRPr="00392FFD" w:rsidRDefault="001A6C53" w:rsidP="008D2F6E">
            <w:pPr>
              <w:rPr>
                <w:rFonts w:ascii="Times New Roman" w:hAnsi="Times New Roman"/>
                <w:sz w:val="24"/>
              </w:rPr>
            </w:pPr>
            <w:r>
              <w:rPr>
                <w:rFonts w:ascii="Times New Roman" w:hAnsi="Times New Roman"/>
                <w:sz w:val="24"/>
              </w:rPr>
              <w:t>Articles 327 à 329 et article 334 du CRR. En ce qui concerne la distinction entre les positions longues et courtes, voir l'article 328, paragraphe 2, du CRR.</w:t>
            </w:r>
          </w:p>
          <w:p w:rsidR="001A6C53" w:rsidRPr="00392FFD" w:rsidRDefault="001A6C53" w:rsidP="008D2F6E">
            <w:pPr>
              <w:rPr>
                <w:rFonts w:ascii="Times New Roman" w:hAnsi="Times New Roman"/>
                <w:sz w:val="24"/>
              </w:rPr>
            </w:pP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070-400</w:t>
            </w:r>
          </w:p>
        </w:tc>
        <w:tc>
          <w:tcPr>
            <w:tcW w:w="787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RÉPARTITION DES POSITIONS NETTES SELON LES PONDÉR</w:t>
            </w:r>
            <w:r>
              <w:rPr>
                <w:rStyle w:val="InstructionsTabelleberschrift"/>
                <w:rFonts w:ascii="Times New Roman" w:hAnsi="Times New Roman"/>
                <w:sz w:val="24"/>
              </w:rPr>
              <w:t>A</w:t>
            </w:r>
            <w:r>
              <w:rPr>
                <w:rStyle w:val="InstructionsTabelleberschrift"/>
                <w:rFonts w:ascii="Times New Roman" w:hAnsi="Times New Roman"/>
                <w:sz w:val="24"/>
              </w:rPr>
              <w:t>TIONS DES APPROCHES SA ET NI</w:t>
            </w:r>
          </w:p>
          <w:p w:rsidR="001A6C53" w:rsidRPr="00392FFD" w:rsidRDefault="001A6C53" w:rsidP="008D2F6E">
            <w:pPr>
              <w:rPr>
                <w:rFonts w:ascii="Times New Roman" w:hAnsi="Times New Roman"/>
                <w:sz w:val="24"/>
              </w:rPr>
            </w:pPr>
            <w:r>
              <w:rPr>
                <w:rFonts w:ascii="Times New Roman" w:hAnsi="Times New Roman"/>
                <w:sz w:val="24"/>
              </w:rPr>
              <w:t xml:space="preserve">Article 251 (tableau 1) et article 261, paragraphe 1 (tableau 4), du CRR. </w:t>
            </w:r>
          </w:p>
        </w:tc>
      </w:tr>
      <w:tr w:rsidR="001A6C53" w:rsidRPr="00392FFD" w:rsidTr="008D2F6E">
        <w:tc>
          <w:tcPr>
            <w:tcW w:w="988" w:type="dxa"/>
          </w:tcPr>
          <w:p w:rsidR="001A6C53" w:rsidRPr="00392FFD" w:rsidRDefault="001A6C53" w:rsidP="008D2F6E">
            <w:pPr>
              <w:rPr>
                <w:rFonts w:ascii="Times New Roman" w:hAnsi="Times New Roman"/>
                <w:sz w:val="24"/>
              </w:rPr>
            </w:pPr>
            <w:r>
              <w:rPr>
                <w:rFonts w:ascii="Times New Roman" w:hAnsi="Times New Roman"/>
                <w:sz w:val="24"/>
              </w:rPr>
              <w:t>160 et 330</w:t>
            </w:r>
          </w:p>
          <w:p w:rsidR="001A6C53" w:rsidRPr="00392FFD" w:rsidRDefault="001A6C53" w:rsidP="008D2F6E">
            <w:pPr>
              <w:autoSpaceDE w:val="0"/>
              <w:autoSpaceDN w:val="0"/>
              <w:adjustRightInd w:val="0"/>
              <w:spacing w:before="0" w:after="0"/>
              <w:rPr>
                <w:rFonts w:ascii="Times New Roman" w:hAnsi="Times New Roman"/>
                <w:sz w:val="24"/>
              </w:rPr>
            </w:pPr>
          </w:p>
        </w:tc>
        <w:tc>
          <w:tcPr>
            <w:tcW w:w="787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AUTRES</w:t>
            </w:r>
          </w:p>
          <w:p w:rsidR="001A6C53" w:rsidRPr="00392FFD" w:rsidRDefault="001A6C53" w:rsidP="008D2F6E">
            <w:pPr>
              <w:rPr>
                <w:rFonts w:ascii="Times New Roman" w:hAnsi="Times New Roman"/>
                <w:sz w:val="24"/>
              </w:rPr>
            </w:pPr>
            <w:r>
              <w:rPr>
                <w:rFonts w:ascii="Times New Roman" w:hAnsi="Times New Roman"/>
                <w:sz w:val="24"/>
              </w:rPr>
              <w:t>Autres pondérations de risque non explicitement mentionnées dans les c</w:t>
            </w:r>
            <w:r>
              <w:rPr>
                <w:rFonts w:ascii="Times New Roman" w:hAnsi="Times New Roman"/>
                <w:sz w:val="24"/>
              </w:rPr>
              <w:t>o</w:t>
            </w:r>
            <w:r>
              <w:rPr>
                <w:rFonts w:ascii="Times New Roman" w:hAnsi="Times New Roman"/>
                <w:sz w:val="24"/>
              </w:rPr>
              <w:t>lonnes précédentes.</w:t>
            </w:r>
          </w:p>
          <w:p w:rsidR="001A6C53" w:rsidRPr="00392FFD" w:rsidRDefault="001A6C53" w:rsidP="008D2F6E">
            <w:pPr>
              <w:rPr>
                <w:rFonts w:ascii="Times New Roman" w:hAnsi="Times New Roman"/>
                <w:sz w:val="24"/>
              </w:rPr>
            </w:pPr>
            <w:r>
              <w:rPr>
                <w:rFonts w:ascii="Times New Roman" w:hAnsi="Times New Roman"/>
                <w:sz w:val="24"/>
              </w:rPr>
              <w:t xml:space="preserve">Pour les dérivés de crédit au nième défaut, uniquement ceux qui ne bénéficient pas d'une notation externe. Les dérivés de crédit au nième défaut bénéficiant d'une notation externe seront soit déclarés dans le modèle MKR SA TDI (ligne 321) soit (s'ils font partie du CTP) inscrits dans la colonne de la pondération de risque correspondante. </w:t>
            </w:r>
          </w:p>
        </w:tc>
      </w:tr>
      <w:tr w:rsidR="001A6C53" w:rsidRPr="00392FFD" w:rsidTr="008D2F6E">
        <w:tc>
          <w:tcPr>
            <w:tcW w:w="988" w:type="dxa"/>
          </w:tcPr>
          <w:p w:rsidR="001A6C53" w:rsidRPr="00392FFD" w:rsidRDefault="001A6C53" w:rsidP="008D2F6E">
            <w:pPr>
              <w:rPr>
                <w:rFonts w:ascii="Times New Roman" w:hAnsi="Times New Roman"/>
                <w:sz w:val="24"/>
              </w:rPr>
            </w:pPr>
            <w:r>
              <w:rPr>
                <w:rFonts w:ascii="Times New Roman" w:hAnsi="Times New Roman"/>
                <w:sz w:val="24"/>
              </w:rPr>
              <w:t>170-180 et 360-370</w:t>
            </w:r>
          </w:p>
          <w:p w:rsidR="001A6C53" w:rsidRPr="00392FFD" w:rsidRDefault="001A6C53" w:rsidP="008D2F6E">
            <w:pPr>
              <w:autoSpaceDE w:val="0"/>
              <w:autoSpaceDN w:val="0"/>
              <w:adjustRightInd w:val="0"/>
              <w:spacing w:before="0" w:after="0"/>
              <w:rPr>
                <w:rFonts w:ascii="Times New Roman" w:hAnsi="Times New Roman"/>
                <w:sz w:val="24"/>
              </w:rPr>
            </w:pPr>
          </w:p>
        </w:tc>
        <w:tc>
          <w:tcPr>
            <w:tcW w:w="787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1 250 %</w:t>
            </w:r>
          </w:p>
          <w:p w:rsidR="001A6C53" w:rsidRPr="00392FFD" w:rsidRDefault="001A6C53" w:rsidP="008D2F6E">
            <w:pPr>
              <w:rPr>
                <w:rFonts w:ascii="Times New Roman" w:hAnsi="Times New Roman"/>
                <w:sz w:val="24"/>
              </w:rPr>
            </w:pPr>
            <w:r>
              <w:rPr>
                <w:rFonts w:ascii="Times New Roman" w:hAnsi="Times New Roman"/>
                <w:sz w:val="24"/>
              </w:rPr>
              <w:t xml:space="preserve">Article 251 (tableau 1) et article 261, paragraphe 1 (tableau 4), du CRR. </w:t>
            </w:r>
          </w:p>
        </w:tc>
      </w:tr>
      <w:tr w:rsidR="001A6C53" w:rsidRPr="00392FFD" w:rsidTr="008D2F6E">
        <w:tc>
          <w:tcPr>
            <w:tcW w:w="988" w:type="dxa"/>
          </w:tcPr>
          <w:p w:rsidR="001A6C53" w:rsidRPr="00392FFD" w:rsidRDefault="001A6C53" w:rsidP="008D2F6E">
            <w:pPr>
              <w:rPr>
                <w:rFonts w:ascii="Times New Roman" w:hAnsi="Times New Roman"/>
                <w:sz w:val="24"/>
              </w:rPr>
            </w:pPr>
            <w:r>
              <w:rPr>
                <w:rFonts w:ascii="Times New Roman" w:hAnsi="Times New Roman"/>
                <w:sz w:val="24"/>
              </w:rPr>
              <w:t>190-200 et 340-350</w:t>
            </w:r>
          </w:p>
          <w:p w:rsidR="001A6C53" w:rsidRPr="00392FFD" w:rsidRDefault="001A6C53" w:rsidP="008D2F6E">
            <w:pPr>
              <w:autoSpaceDE w:val="0"/>
              <w:autoSpaceDN w:val="0"/>
              <w:adjustRightInd w:val="0"/>
              <w:spacing w:before="0" w:after="0"/>
              <w:rPr>
                <w:rFonts w:ascii="Times New Roman" w:hAnsi="Times New Roman"/>
                <w:sz w:val="24"/>
              </w:rPr>
            </w:pPr>
          </w:p>
        </w:tc>
        <w:tc>
          <w:tcPr>
            <w:tcW w:w="787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MÉTHODE DE LA FORMULE PRUDENTIELLE</w:t>
            </w:r>
          </w:p>
          <w:p w:rsidR="001A6C53" w:rsidRPr="00392FFD" w:rsidRDefault="001A6C53" w:rsidP="008D2F6E">
            <w:pPr>
              <w:rPr>
                <w:rFonts w:ascii="Times New Roman" w:hAnsi="Times New Roman"/>
                <w:sz w:val="24"/>
              </w:rPr>
            </w:pPr>
            <w:r>
              <w:rPr>
                <w:rFonts w:ascii="Times New Roman" w:hAnsi="Times New Roman"/>
                <w:sz w:val="24"/>
              </w:rPr>
              <w:t xml:space="preserve">Article 337, paragraphe 2, du CRR, en liaison avec l'article 262 du CRR. </w:t>
            </w:r>
          </w:p>
        </w:tc>
      </w:tr>
      <w:tr w:rsidR="001A6C53" w:rsidRPr="00392FFD" w:rsidTr="008D2F6E">
        <w:tc>
          <w:tcPr>
            <w:tcW w:w="988" w:type="dxa"/>
          </w:tcPr>
          <w:p w:rsidR="001A6C53" w:rsidRPr="00392FFD" w:rsidRDefault="001A6C53" w:rsidP="008D2F6E">
            <w:pPr>
              <w:rPr>
                <w:rFonts w:ascii="Times New Roman" w:hAnsi="Times New Roman"/>
                <w:sz w:val="24"/>
              </w:rPr>
            </w:pPr>
            <w:r>
              <w:rPr>
                <w:rFonts w:ascii="Times New Roman" w:hAnsi="Times New Roman"/>
                <w:sz w:val="24"/>
              </w:rPr>
              <w:t>210 / 380</w:t>
            </w:r>
          </w:p>
          <w:p w:rsidR="001A6C53" w:rsidRPr="00392FFD" w:rsidRDefault="001A6C53" w:rsidP="008D2F6E">
            <w:pPr>
              <w:autoSpaceDE w:val="0"/>
              <w:autoSpaceDN w:val="0"/>
              <w:adjustRightInd w:val="0"/>
              <w:spacing w:before="0" w:after="0"/>
              <w:rPr>
                <w:rFonts w:ascii="Times New Roman" w:hAnsi="Times New Roman"/>
                <w:sz w:val="24"/>
              </w:rPr>
            </w:pPr>
          </w:p>
        </w:tc>
        <w:tc>
          <w:tcPr>
            <w:tcW w:w="787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APPROCHE PAR TRANSPARENCE</w:t>
            </w:r>
          </w:p>
          <w:p w:rsidR="001A6C53" w:rsidRPr="00392FFD" w:rsidRDefault="001A6C53" w:rsidP="008D2F6E">
            <w:pPr>
              <w:rPr>
                <w:rFonts w:ascii="Times New Roman" w:hAnsi="Times New Roman"/>
                <w:sz w:val="24"/>
              </w:rPr>
            </w:pPr>
            <w:r>
              <w:rPr>
                <w:rFonts w:ascii="Times New Roman" w:hAnsi="Times New Roman"/>
                <w:sz w:val="24"/>
              </w:rPr>
              <w:t>Approche standard: articles 253 et 254 et article 256, paragraphe 5, du CRR. Les colonnes consacrées à la méthode par transparence rassemblent tous les cas d'expositions non notées pour lesquelles la pondération de risque est obtenue à partir du portefeuille d'expositions sous-jacent (pondération moyenne du p</w:t>
            </w:r>
            <w:r>
              <w:rPr>
                <w:rFonts w:ascii="Times New Roman" w:hAnsi="Times New Roman"/>
                <w:sz w:val="24"/>
              </w:rPr>
              <w:t>a</w:t>
            </w:r>
            <w:r>
              <w:rPr>
                <w:rFonts w:ascii="Times New Roman" w:hAnsi="Times New Roman"/>
                <w:sz w:val="24"/>
              </w:rPr>
              <w:t>nier, pondération maximale du panier, ou recours au ratio de concentration).</w:t>
            </w:r>
          </w:p>
          <w:p w:rsidR="001A6C53" w:rsidRPr="00392FFD" w:rsidRDefault="001A6C53" w:rsidP="008D2F6E">
            <w:pPr>
              <w:rPr>
                <w:rFonts w:ascii="Times New Roman" w:hAnsi="Times New Roman"/>
                <w:sz w:val="24"/>
              </w:rPr>
            </w:pPr>
            <w:r>
              <w:rPr>
                <w:rFonts w:ascii="Times New Roman" w:hAnsi="Times New Roman"/>
                <w:sz w:val="24"/>
              </w:rPr>
              <w:t>Approche NI: article 263, paragraphes 2 et 3, du CRR. Pour les rembours</w:t>
            </w:r>
            <w:r>
              <w:rPr>
                <w:rFonts w:ascii="Times New Roman" w:hAnsi="Times New Roman"/>
                <w:sz w:val="24"/>
              </w:rPr>
              <w:t>e</w:t>
            </w:r>
            <w:r>
              <w:rPr>
                <w:rFonts w:ascii="Times New Roman" w:hAnsi="Times New Roman"/>
                <w:sz w:val="24"/>
              </w:rPr>
              <w:t>ments anticipés, voir l'article 265, paragraphe 1, et l'article 256, paragraphe 5, du CRR</w:t>
            </w:r>
          </w:p>
        </w:tc>
      </w:tr>
      <w:tr w:rsidR="001A6C53" w:rsidRPr="00392FFD" w:rsidTr="008D2F6E">
        <w:tc>
          <w:tcPr>
            <w:tcW w:w="988" w:type="dxa"/>
          </w:tcPr>
          <w:p w:rsidR="001A6C53" w:rsidRPr="00392FFD" w:rsidRDefault="001A6C53" w:rsidP="008D2F6E">
            <w:pPr>
              <w:rPr>
                <w:rFonts w:ascii="Times New Roman" w:hAnsi="Times New Roman"/>
                <w:sz w:val="24"/>
              </w:rPr>
            </w:pPr>
            <w:r>
              <w:rPr>
                <w:rFonts w:ascii="Times New Roman" w:hAnsi="Times New Roman"/>
                <w:sz w:val="24"/>
              </w:rPr>
              <w:lastRenderedPageBreak/>
              <w:t>220-230 et 390-400</w:t>
            </w:r>
          </w:p>
          <w:p w:rsidR="001A6C53" w:rsidRPr="00392FFD" w:rsidRDefault="001A6C53" w:rsidP="008D2F6E">
            <w:pPr>
              <w:autoSpaceDE w:val="0"/>
              <w:autoSpaceDN w:val="0"/>
              <w:adjustRightInd w:val="0"/>
              <w:spacing w:before="0" w:after="0"/>
              <w:rPr>
                <w:rFonts w:ascii="Times New Roman" w:hAnsi="Times New Roman"/>
                <w:sz w:val="24"/>
              </w:rPr>
            </w:pPr>
          </w:p>
        </w:tc>
        <w:tc>
          <w:tcPr>
            <w:tcW w:w="787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APPROCHE PAR ÉVALUATION INTERNE</w:t>
            </w:r>
          </w:p>
          <w:p w:rsidR="001A6C53" w:rsidRPr="00392FFD" w:rsidRDefault="001A6C53" w:rsidP="008D2F6E">
            <w:pPr>
              <w:rPr>
                <w:rFonts w:ascii="Times New Roman" w:hAnsi="Times New Roman"/>
                <w:sz w:val="24"/>
              </w:rPr>
            </w:pPr>
            <w:r>
              <w:rPr>
                <w:rFonts w:ascii="Times New Roman" w:hAnsi="Times New Roman"/>
                <w:sz w:val="24"/>
              </w:rPr>
              <w:t xml:space="preserve">Article 259, paragraphes 3 et 4, du CRR. </w:t>
            </w:r>
          </w:p>
        </w:tc>
      </w:tr>
      <w:tr w:rsidR="001A6C53" w:rsidRPr="00392FFD" w:rsidTr="008D2F6E">
        <w:tc>
          <w:tcPr>
            <w:tcW w:w="988" w:type="dxa"/>
          </w:tcPr>
          <w:p w:rsidR="001A6C53" w:rsidRPr="00392FFD" w:rsidRDefault="001A6C53" w:rsidP="008D2F6E">
            <w:pPr>
              <w:rPr>
                <w:rFonts w:ascii="Times New Roman" w:hAnsi="Times New Roman"/>
                <w:sz w:val="24"/>
              </w:rPr>
            </w:pPr>
            <w:r>
              <w:rPr>
                <w:rFonts w:ascii="Times New Roman" w:hAnsi="Times New Roman"/>
                <w:sz w:val="24"/>
              </w:rPr>
              <w:t>410-420</w:t>
            </w:r>
          </w:p>
          <w:p w:rsidR="001A6C53" w:rsidRPr="00392FFD" w:rsidRDefault="001A6C53" w:rsidP="008D2F6E">
            <w:pPr>
              <w:autoSpaceDE w:val="0"/>
              <w:autoSpaceDN w:val="0"/>
              <w:adjustRightInd w:val="0"/>
              <w:spacing w:before="0" w:after="0"/>
              <w:rPr>
                <w:rFonts w:ascii="Times New Roman" w:hAnsi="Times New Roman"/>
                <w:sz w:val="24"/>
              </w:rPr>
            </w:pPr>
          </w:p>
        </w:tc>
        <w:tc>
          <w:tcPr>
            <w:tcW w:w="787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AVANT APPLICATION DU PLAFOND - POSITIONS LONGUES/COURTES NETTES PONDÉRÉES</w:t>
            </w:r>
          </w:p>
          <w:p w:rsidR="001A6C53" w:rsidRPr="00392FFD" w:rsidRDefault="001A6C53" w:rsidP="008D2F6E">
            <w:pPr>
              <w:rPr>
                <w:rFonts w:ascii="Times New Roman" w:hAnsi="Times New Roman"/>
                <w:sz w:val="24"/>
              </w:rPr>
            </w:pPr>
            <w:r>
              <w:rPr>
                <w:rFonts w:ascii="Times New Roman" w:hAnsi="Times New Roman"/>
                <w:sz w:val="24"/>
              </w:rPr>
              <w:t>Article 338 du CRR, compte non tenu de la marge d'appréciation de l'a</w:t>
            </w:r>
            <w:r>
              <w:rPr>
                <w:rFonts w:ascii="Times New Roman" w:hAnsi="Times New Roman"/>
                <w:sz w:val="24"/>
              </w:rPr>
              <w:t>r</w:t>
            </w:r>
            <w:r>
              <w:rPr>
                <w:rFonts w:ascii="Times New Roman" w:hAnsi="Times New Roman"/>
                <w:sz w:val="24"/>
              </w:rPr>
              <w:t>ticle 335 du CRR.</w:t>
            </w:r>
          </w:p>
          <w:p w:rsidR="001A6C53" w:rsidRPr="00392FFD" w:rsidRDefault="001A6C53" w:rsidP="008D2F6E">
            <w:pPr>
              <w:rPr>
                <w:rFonts w:ascii="Times New Roman" w:hAnsi="Times New Roman"/>
                <w:sz w:val="24"/>
              </w:rPr>
            </w:pPr>
          </w:p>
        </w:tc>
      </w:tr>
      <w:tr w:rsidR="001A6C53" w:rsidRPr="00392FFD" w:rsidTr="008D2F6E">
        <w:tc>
          <w:tcPr>
            <w:tcW w:w="988" w:type="dxa"/>
          </w:tcPr>
          <w:p w:rsidR="001A6C53" w:rsidRPr="00392FFD" w:rsidRDefault="001A6C53" w:rsidP="008D2F6E">
            <w:pPr>
              <w:rPr>
                <w:rFonts w:ascii="Times New Roman" w:hAnsi="Times New Roman"/>
                <w:sz w:val="24"/>
              </w:rPr>
            </w:pPr>
            <w:r>
              <w:rPr>
                <w:rFonts w:ascii="Times New Roman" w:hAnsi="Times New Roman"/>
                <w:sz w:val="24"/>
              </w:rPr>
              <w:t>430-440</w:t>
            </w:r>
          </w:p>
          <w:p w:rsidR="001A6C53" w:rsidRPr="00392FFD" w:rsidRDefault="001A6C53" w:rsidP="008D2F6E">
            <w:pPr>
              <w:autoSpaceDE w:val="0"/>
              <w:autoSpaceDN w:val="0"/>
              <w:adjustRightInd w:val="0"/>
              <w:spacing w:before="0" w:after="0"/>
              <w:rPr>
                <w:rFonts w:ascii="Times New Roman" w:hAnsi="Times New Roman"/>
                <w:sz w:val="24"/>
              </w:rPr>
            </w:pPr>
          </w:p>
        </w:tc>
        <w:tc>
          <w:tcPr>
            <w:tcW w:w="787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APRÈS APPLICATION DU PLAFOND - POSITIONS LONGUES/COURTES NETTES PONDÉRÉES</w:t>
            </w:r>
          </w:p>
          <w:p w:rsidR="001A6C53" w:rsidRPr="00392FFD" w:rsidRDefault="001A6C53" w:rsidP="008D2F6E">
            <w:pPr>
              <w:rPr>
                <w:rFonts w:ascii="Times New Roman" w:hAnsi="Times New Roman"/>
                <w:sz w:val="24"/>
              </w:rPr>
            </w:pPr>
            <w:r>
              <w:rPr>
                <w:rFonts w:ascii="Times New Roman" w:hAnsi="Times New Roman"/>
                <w:sz w:val="24"/>
              </w:rPr>
              <w:t xml:space="preserve">Article 338 du CRR, compte tenu de la marge d'appréciation de l'article 335 du CRR. </w:t>
            </w:r>
          </w:p>
        </w:tc>
      </w:tr>
      <w:tr w:rsidR="001A6C53" w:rsidRPr="00392FFD" w:rsidTr="008D2F6E">
        <w:tc>
          <w:tcPr>
            <w:tcW w:w="988" w:type="dxa"/>
          </w:tcPr>
          <w:p w:rsidR="001A6C53" w:rsidRPr="00392FFD" w:rsidRDefault="001A6C53" w:rsidP="008D2F6E">
            <w:pPr>
              <w:rPr>
                <w:rFonts w:ascii="Times New Roman" w:hAnsi="Times New Roman"/>
                <w:sz w:val="24"/>
              </w:rPr>
            </w:pPr>
            <w:r>
              <w:rPr>
                <w:rFonts w:ascii="Times New Roman" w:hAnsi="Times New Roman"/>
                <w:sz w:val="24"/>
              </w:rPr>
              <w:t>450</w:t>
            </w:r>
          </w:p>
          <w:p w:rsidR="001A6C53" w:rsidRPr="00392FFD" w:rsidRDefault="001A6C53" w:rsidP="008D2F6E">
            <w:pPr>
              <w:autoSpaceDE w:val="0"/>
              <w:autoSpaceDN w:val="0"/>
              <w:adjustRightInd w:val="0"/>
              <w:spacing w:before="0" w:after="0"/>
              <w:rPr>
                <w:rFonts w:ascii="Times New Roman" w:hAnsi="Times New Roman"/>
                <w:sz w:val="24"/>
              </w:rPr>
            </w:pPr>
          </w:p>
        </w:tc>
        <w:tc>
          <w:tcPr>
            <w:tcW w:w="787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TOTAL DES EXIGENCES DE FONDS PROPRES</w:t>
            </w:r>
          </w:p>
          <w:p w:rsidR="001A6C53" w:rsidRPr="00392FFD" w:rsidRDefault="001A6C53" w:rsidP="008D2F6E">
            <w:pPr>
              <w:rPr>
                <w:rFonts w:ascii="Times New Roman" w:hAnsi="Times New Roman"/>
                <w:sz w:val="24"/>
              </w:rPr>
            </w:pPr>
            <w:r>
              <w:rPr>
                <w:rFonts w:ascii="Times New Roman" w:hAnsi="Times New Roman"/>
                <w:sz w:val="24"/>
              </w:rPr>
              <w:t>L'exigence de fonds propres correspond à la plus élevée entre i) l'exigence de fonds propres pour risque spécifique qui ne s'appliquerait qu'aux positions longues nettes (colonne 430) ou ii) l'exigence de fonds propre pour risque sp</w:t>
            </w:r>
            <w:r>
              <w:rPr>
                <w:rFonts w:ascii="Times New Roman" w:hAnsi="Times New Roman"/>
                <w:sz w:val="24"/>
              </w:rPr>
              <w:t>é</w:t>
            </w:r>
            <w:r>
              <w:rPr>
                <w:rFonts w:ascii="Times New Roman" w:hAnsi="Times New Roman"/>
                <w:sz w:val="24"/>
              </w:rPr>
              <w:t>cifique qui ne s'appliquerait qu'aux positions courtes nettes (colonne 440).</w:t>
            </w:r>
          </w:p>
        </w:tc>
      </w:tr>
    </w:tbl>
    <w:p w:rsidR="001A6C53" w:rsidRPr="00392FFD" w:rsidRDefault="001A6C53" w:rsidP="001A6C53">
      <w:pPr>
        <w:autoSpaceDE w:val="0"/>
        <w:autoSpaceDN w:val="0"/>
        <w:adjustRightInd w:val="0"/>
        <w:spacing w:before="0" w:after="0"/>
        <w:rPr>
          <w:rFonts w:ascii="Times New Roman" w:hAnsi="Times New Roman"/>
          <w:sz w:val="24"/>
        </w:rPr>
      </w:pPr>
    </w:p>
    <w:p w:rsidR="001A6C53" w:rsidRPr="00392FFD" w:rsidRDefault="001A6C53" w:rsidP="001A6C53">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1A6C53" w:rsidRPr="00392FFD" w:rsidTr="008D2F6E">
        <w:trPr>
          <w:trHeight w:val="642"/>
        </w:trPr>
        <w:tc>
          <w:tcPr>
            <w:tcW w:w="9212" w:type="dxa"/>
            <w:gridSpan w:val="2"/>
            <w:shd w:val="clear" w:color="auto" w:fill="CCCCCC"/>
          </w:tcPr>
          <w:p w:rsidR="001A6C53" w:rsidRPr="00392FFD" w:rsidRDefault="001A6C53" w:rsidP="008D2F6E">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1A6C53" w:rsidRPr="00392FFD" w:rsidTr="008D2F6E">
        <w:tc>
          <w:tcPr>
            <w:tcW w:w="100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820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TOTAL DES EXPOSITIONS</w:t>
            </w:r>
          </w:p>
          <w:p w:rsidR="001A6C53" w:rsidRPr="00392FFD" w:rsidRDefault="001A6C53" w:rsidP="008D2F6E">
            <w:pPr>
              <w:rPr>
                <w:rFonts w:ascii="Times New Roman" w:hAnsi="Times New Roman"/>
                <w:sz w:val="24"/>
              </w:rPr>
            </w:pPr>
            <w:r>
              <w:rPr>
                <w:rFonts w:ascii="Times New Roman" w:hAnsi="Times New Roman"/>
                <w:sz w:val="24"/>
              </w:rPr>
              <w:t>Montant total des positions ouvertes (détenues dans le portefeuille de négociation en corrélation) déclaré par l'établissement qui joue le rôle d'initiateur, d'investi</w:t>
            </w:r>
            <w:r>
              <w:rPr>
                <w:rFonts w:ascii="Times New Roman" w:hAnsi="Times New Roman"/>
                <w:sz w:val="24"/>
              </w:rPr>
              <w:t>s</w:t>
            </w:r>
            <w:r>
              <w:rPr>
                <w:rFonts w:ascii="Times New Roman" w:hAnsi="Times New Roman"/>
                <w:sz w:val="24"/>
              </w:rPr>
              <w:t>seur ou de sponsor.</w:t>
            </w:r>
          </w:p>
        </w:tc>
      </w:tr>
      <w:tr w:rsidR="001A6C53" w:rsidRPr="00392FFD" w:rsidTr="008D2F6E">
        <w:tc>
          <w:tcPr>
            <w:tcW w:w="100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INITIATEUR</w:t>
            </w:r>
          </w:p>
          <w:p w:rsidR="001A6C53" w:rsidRPr="00392FFD" w:rsidRDefault="001A6C53" w:rsidP="008D2F6E">
            <w:pPr>
              <w:rPr>
                <w:rFonts w:ascii="Times New Roman" w:hAnsi="Times New Roman"/>
                <w:sz w:val="24"/>
              </w:rPr>
            </w:pPr>
            <w:r>
              <w:rPr>
                <w:rFonts w:ascii="Times New Roman" w:hAnsi="Times New Roman"/>
                <w:sz w:val="24"/>
              </w:rPr>
              <w:t xml:space="preserve">Article 4, point 13, du CRR </w:t>
            </w:r>
          </w:p>
        </w:tc>
      </w:tr>
      <w:tr w:rsidR="001A6C53" w:rsidRPr="00392FFD" w:rsidTr="008D2F6E">
        <w:tc>
          <w:tcPr>
            <w:tcW w:w="100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050-070</w:t>
            </w:r>
          </w:p>
        </w:tc>
        <w:tc>
          <w:tcPr>
            <w:tcW w:w="820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INVESTISSEUR</w:t>
            </w:r>
          </w:p>
          <w:p w:rsidR="001A6C53" w:rsidRPr="00392FFD" w:rsidRDefault="001A6C53" w:rsidP="008D2F6E">
            <w:pPr>
              <w:rPr>
                <w:rFonts w:ascii="Times New Roman" w:hAnsi="Times New Roman"/>
                <w:sz w:val="24"/>
              </w:rPr>
            </w:pPr>
            <w:r>
              <w:rPr>
                <w:rFonts w:ascii="Times New Roman" w:hAnsi="Times New Roman"/>
                <w:sz w:val="24"/>
              </w:rPr>
              <w:t>Établissement de crédit qui détient une position de titrisation dans le cadre d'une opération de titrisation pour laquelle il n'est ni initiateur ni sponsor.</w:t>
            </w:r>
          </w:p>
        </w:tc>
      </w:tr>
      <w:tr w:rsidR="001A6C53" w:rsidRPr="00392FFD" w:rsidTr="008D2F6E">
        <w:tc>
          <w:tcPr>
            <w:tcW w:w="100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080-100</w:t>
            </w:r>
          </w:p>
        </w:tc>
        <w:tc>
          <w:tcPr>
            <w:tcW w:w="820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SPONSOR</w:t>
            </w:r>
          </w:p>
          <w:p w:rsidR="001A6C53" w:rsidRPr="00392FFD" w:rsidRDefault="001A6C53" w:rsidP="008D2F6E">
            <w:pPr>
              <w:rPr>
                <w:rFonts w:ascii="Times New Roman" w:hAnsi="Times New Roman"/>
                <w:sz w:val="24"/>
              </w:rPr>
            </w:pPr>
            <w:r>
              <w:rPr>
                <w:rFonts w:ascii="Times New Roman" w:hAnsi="Times New Roman"/>
                <w:sz w:val="24"/>
              </w:rPr>
              <w:t xml:space="preserve">Article 4, point 14, du CRR Si un sponsor </w:t>
            </w:r>
            <w:proofErr w:type="spellStart"/>
            <w:r>
              <w:rPr>
                <w:rFonts w:ascii="Times New Roman" w:hAnsi="Times New Roman"/>
                <w:sz w:val="24"/>
              </w:rPr>
              <w:t>titrise</w:t>
            </w:r>
            <w:proofErr w:type="spellEnd"/>
            <w:r>
              <w:rPr>
                <w:rFonts w:ascii="Times New Roman" w:hAnsi="Times New Roman"/>
                <w:sz w:val="24"/>
              </w:rPr>
              <w:t xml:space="preserve"> également ses propres actifs, il devra indiquer, dans les lignes sur l'initiateur, les données relatives à ses propres actifs </w:t>
            </w:r>
            <w:proofErr w:type="spellStart"/>
            <w:r>
              <w:rPr>
                <w:rFonts w:ascii="Times New Roman" w:hAnsi="Times New Roman"/>
                <w:sz w:val="24"/>
              </w:rPr>
              <w:t>titrisés</w:t>
            </w:r>
            <w:proofErr w:type="spellEnd"/>
            <w:r>
              <w:rPr>
                <w:rFonts w:ascii="Times New Roman" w:hAnsi="Times New Roman"/>
                <w:sz w:val="24"/>
              </w:rPr>
              <w:t xml:space="preserve">. </w:t>
            </w:r>
          </w:p>
        </w:tc>
      </w:tr>
      <w:tr w:rsidR="001A6C53" w:rsidRPr="00392FFD" w:rsidTr="008D2F6E">
        <w:tc>
          <w:tcPr>
            <w:tcW w:w="100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030, 060 et 090</w:t>
            </w:r>
          </w:p>
        </w:tc>
        <w:tc>
          <w:tcPr>
            <w:tcW w:w="820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TITRISATIONS</w:t>
            </w:r>
          </w:p>
          <w:p w:rsidR="001A6C53" w:rsidRPr="00392FFD" w:rsidRDefault="001A6C53" w:rsidP="008D2F6E">
            <w:pPr>
              <w:rPr>
                <w:rFonts w:ascii="Times New Roman" w:hAnsi="Times New Roman"/>
                <w:sz w:val="24"/>
              </w:rPr>
            </w:pPr>
            <w:r>
              <w:rPr>
                <w:rFonts w:ascii="Times New Roman" w:hAnsi="Times New Roman"/>
                <w:sz w:val="24"/>
              </w:rPr>
              <w:t xml:space="preserve">Le portefeuille de négociation en corrélation se compose de titrisations, de dérivés </w:t>
            </w:r>
            <w:r>
              <w:rPr>
                <w:rFonts w:ascii="Times New Roman" w:hAnsi="Times New Roman"/>
                <w:sz w:val="24"/>
              </w:rPr>
              <w:lastRenderedPageBreak/>
              <w:t>de crédit au nième défaut et, éventuellement, d'autres positions de couverture qui satisfont aux critères de l'article 338, paragraphes 2 et 3, du CRR.</w:t>
            </w:r>
          </w:p>
          <w:p w:rsidR="001A6C53" w:rsidRPr="00392FFD" w:rsidRDefault="001A6C53" w:rsidP="008D2F6E">
            <w:pPr>
              <w:rPr>
                <w:rFonts w:ascii="Times New Roman" w:hAnsi="Times New Roman"/>
                <w:sz w:val="24"/>
              </w:rPr>
            </w:pPr>
          </w:p>
          <w:p w:rsidR="001A6C53" w:rsidRPr="00392FFD" w:rsidRDefault="001A6C53" w:rsidP="008D2F6E">
            <w:pPr>
              <w:rPr>
                <w:rFonts w:ascii="Times New Roman" w:hAnsi="Times New Roman"/>
                <w:sz w:val="24"/>
              </w:rPr>
            </w:pPr>
            <w:r>
              <w:rPr>
                <w:rFonts w:ascii="Times New Roman" w:hAnsi="Times New Roman"/>
                <w:sz w:val="24"/>
              </w:rPr>
              <w:t>Les dérivés d'expositions de titrisation qui offrent une répartition au prorata ainsi que les positions de couverture de positions CTP seront inscrits dans la ligne «Autres positions du portefeuille de négociation en corrélation».</w:t>
            </w:r>
          </w:p>
        </w:tc>
      </w:tr>
      <w:tr w:rsidR="001A6C53" w:rsidRPr="00392FFD" w:rsidTr="008D2F6E">
        <w:tc>
          <w:tcPr>
            <w:tcW w:w="100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110</w:t>
            </w:r>
          </w:p>
        </w:tc>
        <w:tc>
          <w:tcPr>
            <w:tcW w:w="820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DÉRIVÉS DE CRÉDIT AU NIÈME DÉFAUT</w:t>
            </w:r>
          </w:p>
          <w:p w:rsidR="001A6C53" w:rsidRPr="00392FFD" w:rsidRDefault="001A6C53" w:rsidP="008D2F6E">
            <w:pPr>
              <w:rPr>
                <w:rFonts w:ascii="Times New Roman" w:hAnsi="Times New Roman"/>
                <w:sz w:val="24"/>
              </w:rPr>
            </w:pPr>
            <w:r>
              <w:rPr>
                <w:rFonts w:ascii="Times New Roman" w:hAnsi="Times New Roman"/>
                <w:sz w:val="24"/>
              </w:rPr>
              <w:t>Les dérivés de crédit au nième défaut couverts par des dérivés de crédit au nième défaut, conformément à l'article 347 du CRR, seront déclarés dans ce poste.</w:t>
            </w:r>
          </w:p>
          <w:p w:rsidR="001A6C53" w:rsidRPr="00392FFD" w:rsidRDefault="001A6C53" w:rsidP="008D2F6E">
            <w:pPr>
              <w:rPr>
                <w:rFonts w:ascii="Times New Roman" w:hAnsi="Times New Roman"/>
                <w:sz w:val="24"/>
              </w:rPr>
            </w:pPr>
            <w:r>
              <w:rPr>
                <w:rFonts w:ascii="Times New Roman" w:hAnsi="Times New Roman"/>
                <w:sz w:val="24"/>
              </w:rPr>
              <w:t>L'initiateur, l'investisseur et le sponsor des positions ne conviennent pas pour les dérivés de crédit au nième défaut. Dès lors, une ventilation concernant les pos</w:t>
            </w:r>
            <w:r>
              <w:rPr>
                <w:rFonts w:ascii="Times New Roman" w:hAnsi="Times New Roman"/>
                <w:sz w:val="24"/>
              </w:rPr>
              <w:t>i</w:t>
            </w:r>
            <w:r>
              <w:rPr>
                <w:rFonts w:ascii="Times New Roman" w:hAnsi="Times New Roman"/>
                <w:sz w:val="24"/>
              </w:rPr>
              <w:t>tions de titrisation ne peut être fournie pour les dérivés de crédit au nième défaut.</w:t>
            </w:r>
          </w:p>
        </w:tc>
      </w:tr>
      <w:tr w:rsidR="001A6C53" w:rsidRPr="00392FFD" w:rsidTr="008D2F6E">
        <w:tc>
          <w:tcPr>
            <w:tcW w:w="100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040, 070, 100 et 120</w:t>
            </w:r>
          </w:p>
        </w:tc>
        <w:tc>
          <w:tcPr>
            <w:tcW w:w="8204" w:type="dxa"/>
          </w:tcPr>
          <w:p w:rsidR="001A6C53" w:rsidRPr="00392FFD" w:rsidRDefault="001A6C53" w:rsidP="008D2F6E">
            <w:pPr>
              <w:rPr>
                <w:rStyle w:val="InstructionsTabelleberschrift"/>
                <w:rFonts w:ascii="Times New Roman" w:hAnsi="Times New Roman"/>
                <w:sz w:val="24"/>
              </w:rPr>
            </w:pPr>
            <w:r>
              <w:rPr>
                <w:rStyle w:val="InstructionsTabelleberschrift"/>
                <w:rFonts w:ascii="Times New Roman" w:hAnsi="Times New Roman"/>
                <w:sz w:val="24"/>
              </w:rPr>
              <w:t>AUTRES POSITIONS DU PORTEFEUILLE DE NÉGOCIATION EN CORRÉLATION</w:t>
            </w:r>
          </w:p>
          <w:p w:rsidR="001A6C53" w:rsidRPr="00392FFD" w:rsidRDefault="001A6C53" w:rsidP="008D2F6E">
            <w:pPr>
              <w:rPr>
                <w:rFonts w:ascii="Times New Roman" w:hAnsi="Times New Roman"/>
                <w:sz w:val="24"/>
              </w:rPr>
            </w:pPr>
            <w:r>
              <w:rPr>
                <w:rFonts w:ascii="Times New Roman" w:hAnsi="Times New Roman"/>
                <w:sz w:val="24"/>
              </w:rPr>
              <w:t xml:space="preserve">Les positions sur: </w:t>
            </w:r>
          </w:p>
          <w:p w:rsidR="001A6C53" w:rsidRPr="00392FFD" w:rsidRDefault="001A6C53" w:rsidP="008D2F6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les dérivés d'expositions de titrisation qui offrent une répartition au prorata ainsi que les positions de couverture de positions CTP;</w:t>
            </w:r>
          </w:p>
          <w:p w:rsidR="001A6C53" w:rsidRPr="00392FFD" w:rsidRDefault="001A6C53" w:rsidP="008D2F6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les positions CTP couvertes par des dérivés de crédit, conformément à l'a</w:t>
            </w:r>
            <w:r>
              <w:rPr>
                <w:rFonts w:ascii="Times New Roman" w:hAnsi="Times New Roman"/>
                <w:sz w:val="24"/>
              </w:rPr>
              <w:t>r</w:t>
            </w:r>
            <w:r>
              <w:rPr>
                <w:rFonts w:ascii="Times New Roman" w:hAnsi="Times New Roman"/>
                <w:sz w:val="24"/>
              </w:rPr>
              <w:t>ticle 346 du CRR;</w:t>
            </w:r>
          </w:p>
          <w:p w:rsidR="001A6C53" w:rsidRPr="00392FFD" w:rsidRDefault="001A6C53" w:rsidP="008D2F6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les autres positions qui respectent les dispositions de l'article 338, par</w:t>
            </w:r>
            <w:r>
              <w:rPr>
                <w:rFonts w:ascii="Times New Roman" w:hAnsi="Times New Roman"/>
                <w:sz w:val="24"/>
              </w:rPr>
              <w:t>a</w:t>
            </w:r>
            <w:r>
              <w:rPr>
                <w:rFonts w:ascii="Times New Roman" w:hAnsi="Times New Roman"/>
                <w:sz w:val="24"/>
              </w:rPr>
              <w:t>graphe 3, du CRR;</w:t>
            </w:r>
          </w:p>
          <w:p w:rsidR="001A6C53" w:rsidRPr="00392FFD" w:rsidRDefault="001A6C53" w:rsidP="008D2F6E">
            <w:pPr>
              <w:rPr>
                <w:rFonts w:ascii="Times New Roman" w:hAnsi="Times New Roman"/>
                <w:sz w:val="24"/>
              </w:rPr>
            </w:pPr>
            <w:r>
              <w:rPr>
                <w:rFonts w:ascii="Times New Roman" w:hAnsi="Times New Roman"/>
                <w:sz w:val="24"/>
              </w:rPr>
              <w:t>sont incluses.</w:t>
            </w:r>
          </w:p>
        </w:tc>
      </w:tr>
    </w:tbl>
    <w:p w:rsidR="001A6C53" w:rsidRPr="00392FFD" w:rsidRDefault="001A6C53" w:rsidP="001A6C53">
      <w:pPr>
        <w:autoSpaceDE w:val="0"/>
        <w:autoSpaceDN w:val="0"/>
        <w:adjustRightInd w:val="0"/>
        <w:spacing w:before="0" w:after="0"/>
        <w:rPr>
          <w:rFonts w:ascii="Times New Roman" w:hAnsi="Times New Roman"/>
          <w:sz w:val="24"/>
        </w:rPr>
      </w:pP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22" w:name="_Toc524104231"/>
      <w:r>
        <w:rPr>
          <w:rFonts w:ascii="Times New Roman" w:hAnsi="Times New Roman"/>
          <w:sz w:val="24"/>
          <w:u w:val="none"/>
        </w:rPr>
        <w:t>5.4.</w:t>
      </w:r>
      <w:r w:rsidRPr="00D2309F">
        <w:rPr>
          <w:u w:val="none"/>
        </w:rPr>
        <w:tab/>
      </w:r>
      <w:r>
        <w:rPr>
          <w:rFonts w:ascii="Times New Roman" w:hAnsi="Times New Roman"/>
          <w:sz w:val="24"/>
        </w:rPr>
        <w:t>C 21.00 - Risque de marché: approche standard du risque relatif aux positions sous forme d'actions (MKR SA EQU)</w:t>
      </w:r>
      <w:bookmarkEnd w:id="422"/>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23" w:name="_Toc524104232"/>
      <w:r>
        <w:rPr>
          <w:rFonts w:ascii="Times New Roman" w:hAnsi="Times New Roman"/>
          <w:sz w:val="24"/>
          <w:u w:val="none"/>
        </w:rPr>
        <w:t>5.4.1.</w:t>
      </w:r>
      <w:r w:rsidRPr="00D2309F">
        <w:rPr>
          <w:u w:val="none"/>
        </w:rPr>
        <w:tab/>
      </w:r>
      <w:r>
        <w:rPr>
          <w:rFonts w:ascii="Times New Roman" w:hAnsi="Times New Roman"/>
          <w:sz w:val="24"/>
        </w:rPr>
        <w:t>Remarques générales</w:t>
      </w:r>
      <w:bookmarkEnd w:id="423"/>
    </w:p>
    <w:p w:rsidR="001A6C53" w:rsidRPr="00392FFD" w:rsidRDefault="001A6C53" w:rsidP="001A6C53">
      <w:pPr>
        <w:pStyle w:val="InstructionsText2"/>
        <w:numPr>
          <w:ilvl w:val="0"/>
          <w:numId w:val="0"/>
        </w:numPr>
        <w:ind w:left="993"/>
      </w:pPr>
      <w:r>
        <w:t>148.</w:t>
      </w:r>
      <w:r>
        <w:tab/>
        <w:t>Ce modèle rassemble des informations sur les positions et les exigences de fonds propres correspondantes pour risque de position lié aux actions du port</w:t>
      </w:r>
      <w:r>
        <w:t>e</w:t>
      </w:r>
      <w:r>
        <w:t>feuille de négociation, traitées selon l'approche standard.</w:t>
      </w:r>
    </w:p>
    <w:p w:rsidR="001A6C53" w:rsidRPr="00392FFD" w:rsidRDefault="001A6C53" w:rsidP="001A6C53">
      <w:pPr>
        <w:pStyle w:val="InstructionsText2"/>
        <w:numPr>
          <w:ilvl w:val="0"/>
          <w:numId w:val="0"/>
        </w:numPr>
        <w:ind w:left="993"/>
      </w:pPr>
      <w:r>
        <w:t>149.</w:t>
      </w:r>
      <w:r>
        <w:tab/>
        <w:t>Le modèle doit être rempli séparément pour le «Total» et pour une liste st</w:t>
      </w:r>
      <w:r>
        <w:t>a</w:t>
      </w:r>
      <w:r>
        <w:t>tique et prédéfinie de marchés: Bulgarie, Croatie, République tchèque, Danemark, Égypte, Hongrie, Islande, Liechtenstein, Norvège, Pologne, Roumanie, Suède, Royaume-Uni, Albanie, Japon, ancienne République yougoslave de Macédoine, Fédération de Russie, Serbie, Suisse, Turquie, Ukraine, États-Unis, zone euro et un modèle supplémentaire pour tous les autres marchés. Aux fins de la présente ex</w:t>
      </w:r>
      <w:r>
        <w:t>i</w:t>
      </w:r>
      <w:r>
        <w:t>gence de déclaration, le terme «marché» signifie «pays» (sauf pour les pays appa</w:t>
      </w:r>
      <w:r>
        <w:t>r</w:t>
      </w:r>
      <w:r>
        <w:t>tenant à la zone euro; voir règlement délégué (UE) nº 525/2014 de la Commission).</w:t>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24" w:name="_Toc524104233"/>
      <w:r>
        <w:rPr>
          <w:rFonts w:ascii="Times New Roman" w:hAnsi="Times New Roman"/>
          <w:sz w:val="24"/>
          <w:u w:val="none"/>
        </w:rPr>
        <w:lastRenderedPageBreak/>
        <w:t>5.4.2.</w:t>
      </w:r>
      <w:r w:rsidRPr="00D2309F">
        <w:rPr>
          <w:u w:val="none"/>
        </w:rPr>
        <w:tab/>
      </w:r>
      <w:r>
        <w:rPr>
          <w:rFonts w:ascii="Times New Roman" w:hAnsi="Times New Roman"/>
          <w:sz w:val="24"/>
        </w:rPr>
        <w:t>Instructions concernant certaines positions</w:t>
      </w:r>
      <w:bookmarkEnd w:id="4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1A6C53" w:rsidRPr="00392FFD" w:rsidTr="008D2F6E">
        <w:trPr>
          <w:trHeight w:val="626"/>
        </w:trPr>
        <w:tc>
          <w:tcPr>
            <w:tcW w:w="8862" w:type="dxa"/>
            <w:gridSpan w:val="2"/>
            <w:shd w:val="clear" w:color="auto" w:fill="CCCCCC"/>
          </w:tcPr>
          <w:p w:rsidR="001A6C53" w:rsidRPr="00392FFD" w:rsidRDefault="001A6C53" w:rsidP="008D2F6E">
            <w:pPr>
              <w:autoSpaceDE w:val="0"/>
              <w:autoSpaceDN w:val="0"/>
              <w:adjustRightInd w:val="0"/>
              <w:spacing w:after="0"/>
              <w:rPr>
                <w:rFonts w:ascii="Times New Roman" w:hAnsi="Times New Roman"/>
                <w:b/>
                <w:sz w:val="24"/>
              </w:rPr>
            </w:pPr>
            <w:r>
              <w:rPr>
                <w:rFonts w:ascii="Times New Roman" w:hAnsi="Times New Roman"/>
                <w:b/>
                <w:sz w:val="24"/>
              </w:rPr>
              <w:t>Colonnes</w:t>
            </w: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TOUTES LES POSITIONS (LONGUES ET COURTES)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Article 102 et article 105, paragraphe 1, du CRR. Il s'agit de positions brutes qui ne sont pas compensées par des instruments, à l'exclusion des positions de prise ferme souscrites ou reprises par des tiers (article 345, deuxième phrase, du CRR). </w:t>
            </w: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NETTES (LONGUES ET COURTES)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Articles 327, 329, 332, 341 et 345 du CRR </w:t>
            </w: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1A6C53" w:rsidRPr="00392FFD" w:rsidRDefault="001A6C53" w:rsidP="008D2F6E">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SOUMISES AUX EXIGENCES DE FONDS PROPRES</w:t>
            </w:r>
          </w:p>
          <w:p w:rsidR="001A6C53" w:rsidRPr="00392FFD" w:rsidRDefault="001A6C53" w:rsidP="008D2F6E">
            <w:pPr>
              <w:tabs>
                <w:tab w:val="left" w:pos="5795"/>
              </w:tabs>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nettes qui, selon les différentes approches envisagées dans la tro</w:t>
            </w:r>
            <w:r>
              <w:rPr>
                <w:rFonts w:ascii="Times New Roman" w:hAnsi="Times New Roman"/>
                <w:sz w:val="24"/>
              </w:rPr>
              <w:t>i</w:t>
            </w:r>
            <w:r>
              <w:rPr>
                <w:rFonts w:ascii="Times New Roman" w:hAnsi="Times New Roman"/>
                <w:sz w:val="24"/>
              </w:rPr>
              <w:t>sième partie, titre IV, chapitre 2 du CRR, reçoivent une exigence de fonds propres. L'exigence de fonds propres doit être calculée séparément pour chaque marché national. Les positions sur des contrats à terme sur indice boursier co</w:t>
            </w:r>
            <w:r>
              <w:rPr>
                <w:rFonts w:ascii="Times New Roman" w:hAnsi="Times New Roman"/>
                <w:sz w:val="24"/>
              </w:rPr>
              <w:t>n</w:t>
            </w:r>
            <w:r>
              <w:rPr>
                <w:rFonts w:ascii="Times New Roman" w:hAnsi="Times New Roman"/>
                <w:sz w:val="24"/>
              </w:rPr>
              <w:t>formément à l'article 344, paragraphe 4, deuxième phrase, du CRR ne sont pas à inclure dans cette colonne.</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1A6C53" w:rsidRPr="00392FFD" w:rsidRDefault="001A6C53" w:rsidP="008D2F6E">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w:t>
            </w:r>
          </w:p>
          <w:p w:rsidR="001A6C53" w:rsidRPr="00392FFD" w:rsidRDefault="001A6C53" w:rsidP="008D2F6E">
            <w:pPr>
              <w:tabs>
                <w:tab w:val="left" w:pos="1665"/>
              </w:tabs>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Exigences de fonds propres pour toute position pertinente, conformément à la troisième partie, titre IV, chapitre 2 du CRR.</w:t>
            </w:r>
          </w:p>
          <w:p w:rsidR="001A6C53" w:rsidRPr="00392FFD" w:rsidRDefault="001A6C53" w:rsidP="008D2F6E">
            <w:pPr>
              <w:tabs>
                <w:tab w:val="left" w:pos="1665"/>
              </w:tabs>
              <w:autoSpaceDE w:val="0"/>
              <w:autoSpaceDN w:val="0"/>
              <w:adjustRightInd w:val="0"/>
              <w:spacing w:before="0" w:after="0"/>
              <w:rPr>
                <w:rFonts w:ascii="Times New Roman" w:hAnsi="Times New Roman"/>
                <w:b/>
                <w:bCs/>
                <w:sz w:val="24"/>
                <w:u w:val="single"/>
              </w:rPr>
            </w:pP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1A6C53" w:rsidRPr="00392FFD" w:rsidRDefault="001A6C53" w:rsidP="008D2F6E">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 TOTAL D'EXPOSITION AU RISQUE</w:t>
            </w:r>
          </w:p>
          <w:p w:rsidR="001A6C53" w:rsidRPr="00392FFD" w:rsidRDefault="001A6C53" w:rsidP="008D2F6E">
            <w:pPr>
              <w:tabs>
                <w:tab w:val="left" w:pos="1665"/>
              </w:tabs>
              <w:autoSpaceDE w:val="0"/>
              <w:autoSpaceDN w:val="0"/>
              <w:adjustRightInd w:val="0"/>
              <w:spacing w:before="0" w:after="0"/>
              <w:rPr>
                <w:rFonts w:ascii="Times New Roman" w:hAnsi="Times New Roman"/>
                <w:b/>
                <w:bCs/>
                <w:sz w:val="24"/>
                <w:u w:val="single"/>
              </w:rPr>
            </w:pPr>
          </w:p>
          <w:p w:rsidR="001A6C53" w:rsidRPr="00392FFD" w:rsidRDefault="001A6C53" w:rsidP="008D2F6E">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Article 92, paragraphe 4, point b) du CRR. Résultat de la multiplication par 12,5 des exigences de fonds propres. </w:t>
            </w:r>
          </w:p>
        </w:tc>
      </w:tr>
    </w:tbl>
    <w:p w:rsidR="001A6C53" w:rsidRPr="00392FFD" w:rsidRDefault="001A6C53" w:rsidP="001A6C53">
      <w:pPr>
        <w:autoSpaceDE w:val="0"/>
        <w:autoSpaceDN w:val="0"/>
        <w:adjustRightInd w:val="0"/>
        <w:spacing w:before="0" w:after="0"/>
        <w:rPr>
          <w:rFonts w:ascii="Times New Roman" w:hAnsi="Times New Roman"/>
          <w:sz w:val="24"/>
        </w:rPr>
      </w:pPr>
    </w:p>
    <w:p w:rsidR="001A6C53" w:rsidRPr="00392FFD" w:rsidRDefault="001A6C53" w:rsidP="001A6C53">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1A6C53" w:rsidRPr="00392FFD" w:rsidTr="008D2F6E">
        <w:trPr>
          <w:trHeight w:val="662"/>
        </w:trPr>
        <w:tc>
          <w:tcPr>
            <w:tcW w:w="9212" w:type="dxa"/>
            <w:gridSpan w:val="2"/>
            <w:shd w:val="clear" w:color="auto" w:fill="CCCCCC"/>
          </w:tcPr>
          <w:p w:rsidR="001A6C53" w:rsidRPr="00392FFD" w:rsidRDefault="001A6C53" w:rsidP="008D2F6E">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1A6C53" w:rsidRPr="00392FFD" w:rsidTr="008D2F6E">
        <w:tc>
          <w:tcPr>
            <w:tcW w:w="100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010-130</w:t>
            </w:r>
          </w:p>
        </w:tc>
        <w:tc>
          <w:tcPr>
            <w:tcW w:w="820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ACTIONS DU PORTEFEUILLE DE NÉGOCIATION</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Exigences de fonds propres pour risque de position, conformément à l'article 92, paragraphe 3, point b) i) du CRR et à la troisième partie, titre IV, chapitre 2, se</w:t>
            </w:r>
            <w:r>
              <w:rPr>
                <w:rFonts w:ascii="Times New Roman" w:hAnsi="Times New Roman"/>
                <w:sz w:val="24"/>
              </w:rPr>
              <w:t>c</w:t>
            </w:r>
            <w:r>
              <w:rPr>
                <w:rFonts w:ascii="Times New Roman" w:hAnsi="Times New Roman"/>
                <w:sz w:val="24"/>
              </w:rPr>
              <w:t>tion 3 du CRR.</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100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RISQUE GÉNÉRAL</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sur actions soumises au risque général (article 343 du CRR) et leurs ex</w:t>
            </w:r>
            <w:r>
              <w:rPr>
                <w:rFonts w:ascii="Times New Roman" w:hAnsi="Times New Roman"/>
                <w:sz w:val="24"/>
              </w:rPr>
              <w:t>i</w:t>
            </w:r>
            <w:r>
              <w:rPr>
                <w:rFonts w:ascii="Times New Roman" w:hAnsi="Times New Roman"/>
                <w:sz w:val="24"/>
              </w:rPr>
              <w:t>gences de fonds propres correspondantes, conformément à la troisième partie, titre IV, chapitre 2, section 3 du CRR.</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deux ventilations (021/022 ainsi que 030/040) couvrent l'ensemble des pos</w:t>
            </w:r>
            <w:r>
              <w:rPr>
                <w:rFonts w:ascii="Times New Roman" w:hAnsi="Times New Roman"/>
                <w:sz w:val="24"/>
              </w:rPr>
              <w:t>i</w:t>
            </w:r>
            <w:r>
              <w:rPr>
                <w:rFonts w:ascii="Times New Roman" w:hAnsi="Times New Roman"/>
                <w:sz w:val="24"/>
              </w:rPr>
              <w:t xml:space="preserve">tions soumises au risque général. </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Les lignes 021 et 022 rassemblent des informations sur la répartition en fonction </w:t>
            </w:r>
            <w:r>
              <w:rPr>
                <w:rFonts w:ascii="Times New Roman" w:hAnsi="Times New Roman"/>
                <w:sz w:val="24"/>
              </w:rPr>
              <w:lastRenderedPageBreak/>
              <w:t xml:space="preserve">des instruments. Seule la ventilation des lignes 030 et 040 est utilisée comme base de calcul des exigences de fonds propres. </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100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021</w:t>
            </w:r>
          </w:p>
        </w:tc>
        <w:tc>
          <w:tcPr>
            <w:tcW w:w="8204"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Dérivés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sz w:val="24"/>
              </w:rPr>
              <w:t>Dérivés inclus dans le calcul du risque lié aux actions des positions du portefeuille de négociation, compte tenu des articles 329 et 332, le cas échéant.</w:t>
            </w:r>
          </w:p>
        </w:tc>
      </w:tr>
      <w:tr w:rsidR="001A6C53" w:rsidRPr="00392FFD" w:rsidTr="008D2F6E">
        <w:tc>
          <w:tcPr>
            <w:tcW w:w="100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022</w:t>
            </w:r>
          </w:p>
        </w:tc>
        <w:tc>
          <w:tcPr>
            <w:tcW w:w="8204"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Autres éléments d'actif et de passif</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Instruments autres que des dérivés inclus dans le calcul du risque lié aux actions des positions du portefeuille de négociation. </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100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820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Contrats à terme sur indice boursier largement diversifiés, négociés en bourse, et faisant l'objet d'une approche spécifique</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Contrats à terme sur indice boursier largement diversifiés négociés sur un marché boursier et soumis à une approche particulière, conformément à l'article 344, par</w:t>
            </w:r>
            <w:r>
              <w:rPr>
                <w:rFonts w:ascii="Times New Roman" w:hAnsi="Times New Roman"/>
                <w:sz w:val="24"/>
              </w:rPr>
              <w:t>a</w:t>
            </w:r>
            <w:r>
              <w:rPr>
                <w:rFonts w:ascii="Times New Roman" w:hAnsi="Times New Roman"/>
                <w:sz w:val="24"/>
              </w:rPr>
              <w:t>graphes 1 et 4, du CRR. Ces positions sont soumises au seul risque général et ne doivent donc pas être déclarées à la ligne 050.</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100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820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Actions différentes d'un contrat à terme sur indice boursier largement dive</w:t>
            </w:r>
            <w:r>
              <w:rPr>
                <w:rFonts w:ascii="Times New Roman" w:hAnsi="Times New Roman"/>
                <w:b/>
                <w:sz w:val="24"/>
                <w:u w:val="single"/>
              </w:rPr>
              <w:t>r</w:t>
            </w:r>
            <w:r>
              <w:rPr>
                <w:rFonts w:ascii="Times New Roman" w:hAnsi="Times New Roman"/>
                <w:b/>
                <w:sz w:val="24"/>
                <w:u w:val="single"/>
              </w:rPr>
              <w:t>sifié, négocié en bourse</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Autres positions sur actions soumises au risque spécifique, et leurs exigences de fonds propres correspondantes, conformément à l'article 343 et à l'article 344, p</w:t>
            </w:r>
            <w:r>
              <w:rPr>
                <w:rFonts w:ascii="Times New Roman" w:hAnsi="Times New Roman"/>
                <w:sz w:val="24"/>
              </w:rPr>
              <w:t>a</w:t>
            </w:r>
            <w:r>
              <w:rPr>
                <w:rFonts w:ascii="Times New Roman" w:hAnsi="Times New Roman"/>
                <w:sz w:val="24"/>
              </w:rPr>
              <w:t xml:space="preserve">ragraphe 3, du CRR. </w:t>
            </w:r>
          </w:p>
        </w:tc>
      </w:tr>
      <w:tr w:rsidR="001A6C53" w:rsidRPr="00392FFD" w:rsidTr="008D2F6E">
        <w:tc>
          <w:tcPr>
            <w:tcW w:w="100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050 </w:t>
            </w:r>
          </w:p>
        </w:tc>
        <w:tc>
          <w:tcPr>
            <w:tcW w:w="820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RISQUE SPÉCIFIQUE</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sur actions soumises au risque spécifique, et leurs exigences de fonds propres correspondantes, conformément à l'article 342 et à l'article 344, par</w:t>
            </w:r>
            <w:r>
              <w:rPr>
                <w:rFonts w:ascii="Times New Roman" w:hAnsi="Times New Roman"/>
                <w:sz w:val="24"/>
              </w:rPr>
              <w:t>a</w:t>
            </w:r>
            <w:r>
              <w:rPr>
                <w:rFonts w:ascii="Times New Roman" w:hAnsi="Times New Roman"/>
                <w:sz w:val="24"/>
              </w:rPr>
              <w:t xml:space="preserve">graphe 4, du CRR. </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100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090-130</w:t>
            </w:r>
          </w:p>
        </w:tc>
        <w:tc>
          <w:tcPr>
            <w:tcW w:w="820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EXIGENCES SUPPLÉMENTAIRES POUR RISQUES SUR OPTIONS (RISQUES NON DELTA)</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Article 329, paragraphes 2 et 3, du CRR.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exigences supplémentaires pour les options liées aux risques autres que le risque delta seront déclarées dans la méthode appliquée pour leur calcul.</w:t>
            </w:r>
          </w:p>
          <w:p w:rsidR="001A6C53" w:rsidRPr="00392FFD" w:rsidRDefault="001A6C53" w:rsidP="008D2F6E">
            <w:pPr>
              <w:autoSpaceDE w:val="0"/>
              <w:autoSpaceDN w:val="0"/>
              <w:adjustRightInd w:val="0"/>
              <w:spacing w:before="0" w:after="0"/>
              <w:rPr>
                <w:rFonts w:ascii="Times New Roman" w:hAnsi="Times New Roman"/>
                <w:sz w:val="24"/>
              </w:rPr>
            </w:pPr>
          </w:p>
        </w:tc>
      </w:tr>
    </w:tbl>
    <w:p w:rsidR="001A6C53" w:rsidRPr="00392FFD" w:rsidRDefault="001A6C53" w:rsidP="001A6C53">
      <w:pPr>
        <w:autoSpaceDE w:val="0"/>
        <w:autoSpaceDN w:val="0"/>
        <w:adjustRightInd w:val="0"/>
        <w:spacing w:before="0" w:after="0"/>
        <w:rPr>
          <w:rFonts w:ascii="Times New Roman" w:hAnsi="Times New Roman"/>
          <w:bCs/>
          <w:sz w:val="24"/>
        </w:rPr>
      </w:pP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25" w:name="_Toc524104234"/>
      <w:r>
        <w:rPr>
          <w:rFonts w:ascii="Times New Roman" w:hAnsi="Times New Roman"/>
          <w:sz w:val="24"/>
          <w:u w:val="none"/>
        </w:rPr>
        <w:t>5.5</w:t>
      </w:r>
      <w:r w:rsidRPr="00D2309F">
        <w:rPr>
          <w:rFonts w:ascii="Times New Roman" w:hAnsi="Times New Roman"/>
          <w:sz w:val="24"/>
          <w:u w:val="none"/>
        </w:rPr>
        <w:t>.</w:t>
      </w:r>
      <w:r w:rsidRPr="00D2309F">
        <w:rPr>
          <w:u w:val="none"/>
        </w:rPr>
        <w:tab/>
      </w:r>
      <w:r>
        <w:rPr>
          <w:rFonts w:ascii="Times New Roman" w:hAnsi="Times New Roman"/>
          <w:sz w:val="24"/>
        </w:rPr>
        <w:t>C 22.00 - Risque de marché: approches standard du risque de change (MKR SA FX)</w:t>
      </w:r>
      <w:bookmarkEnd w:id="425"/>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26" w:name="_Toc524104235"/>
      <w:r>
        <w:rPr>
          <w:rFonts w:ascii="Times New Roman" w:hAnsi="Times New Roman"/>
          <w:sz w:val="24"/>
          <w:u w:val="none"/>
        </w:rPr>
        <w:t>5.5.1.</w:t>
      </w:r>
      <w:r w:rsidRPr="00D2309F">
        <w:rPr>
          <w:u w:val="none"/>
        </w:rPr>
        <w:tab/>
      </w:r>
      <w:r>
        <w:rPr>
          <w:rFonts w:ascii="Times New Roman" w:hAnsi="Times New Roman"/>
          <w:sz w:val="24"/>
        </w:rPr>
        <w:t>Remarques générales</w:t>
      </w:r>
      <w:bookmarkEnd w:id="426"/>
    </w:p>
    <w:p w:rsidR="001A6C53" w:rsidRPr="00392FFD" w:rsidRDefault="001A6C53" w:rsidP="001A6C53">
      <w:pPr>
        <w:pStyle w:val="InstructionsText2"/>
        <w:numPr>
          <w:ilvl w:val="0"/>
          <w:numId w:val="0"/>
        </w:numPr>
        <w:ind w:left="993"/>
      </w:pPr>
      <w:r>
        <w:t>150.</w:t>
      </w:r>
      <w:r>
        <w:tab/>
        <w:t>Les établissements déclarent des informations sur les positions dans chaque devise (y compris celle de la déclaration) et les exigences de fonds propres corre</w:t>
      </w:r>
      <w:r>
        <w:t>s</w:t>
      </w:r>
      <w:r>
        <w:t xml:space="preserve">pondantes pour risque de change selon l'approche standard. La position est calculée pour chaque devise (y compris l'euro), l'or et les positions sur OPC. </w:t>
      </w:r>
    </w:p>
    <w:p w:rsidR="001A6C53" w:rsidRPr="00392FFD" w:rsidRDefault="001A6C53" w:rsidP="001A6C53">
      <w:pPr>
        <w:pStyle w:val="InstructionsText2"/>
        <w:numPr>
          <w:ilvl w:val="0"/>
          <w:numId w:val="0"/>
        </w:numPr>
        <w:ind w:left="993"/>
      </w:pPr>
      <w:r>
        <w:lastRenderedPageBreak/>
        <w:t>151.</w:t>
      </w:r>
      <w:r>
        <w:tab/>
        <w:t>Les lignes 100 à 480 de ce modèle sont complétées même lorsque les établi</w:t>
      </w:r>
      <w:r>
        <w:t>s</w:t>
      </w:r>
      <w:r>
        <w:t>sements ne sont pas tenus de calculer les exigences de fonds propres pour risque de change conformément à l'article 351 du CRR. Dans ces postes pour mémoire, toutes les positions dans la devise de la déclaration sont incluses, quelle que soit la mesure dans laquelle elles sont prises en compte aux fins de l'article 354 du CRR. Les lignes 130 à 480 des postes pour mémoire du modèle seront remplies sépar</w:t>
      </w:r>
      <w:r>
        <w:t>é</w:t>
      </w:r>
      <w:r>
        <w:t>ment pour toutes les devises des États membres de l'Union et pour les devises su</w:t>
      </w:r>
      <w:r>
        <w:t>i</w:t>
      </w:r>
      <w:r>
        <w:t>vantes: USD, CHF, JPY, RUB, TRY, AUD, CAD, RSD, ALL, UAH, MKD, EGP, ARS, BRL, MXN, HKD, ICK, TWD, NZD, NOK, SGD, KRW, CNY et toutes les autres devises.</w:t>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27" w:name="_Toc524104236"/>
      <w:r>
        <w:rPr>
          <w:rFonts w:ascii="Times New Roman" w:hAnsi="Times New Roman"/>
          <w:sz w:val="24"/>
          <w:u w:val="none"/>
        </w:rPr>
        <w:t>5.5.2.</w:t>
      </w:r>
      <w:r w:rsidRPr="00D2309F">
        <w:rPr>
          <w:u w:val="none"/>
        </w:rPr>
        <w:tab/>
      </w:r>
      <w:r>
        <w:rPr>
          <w:rFonts w:ascii="Times New Roman" w:hAnsi="Times New Roman"/>
          <w:sz w:val="24"/>
        </w:rPr>
        <w:t>Instructions concernant certaines positions</w:t>
      </w:r>
      <w:bookmarkEnd w:id="4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1A6C53" w:rsidRPr="00392FFD" w:rsidTr="008D2F6E">
        <w:trPr>
          <w:trHeight w:val="595"/>
        </w:trPr>
        <w:tc>
          <w:tcPr>
            <w:tcW w:w="8862" w:type="dxa"/>
            <w:gridSpan w:val="2"/>
            <w:shd w:val="clear" w:color="auto" w:fill="CCCCCC"/>
          </w:tcPr>
          <w:p w:rsidR="001A6C53" w:rsidRPr="00392FFD" w:rsidRDefault="001A6C53" w:rsidP="008D2F6E">
            <w:pPr>
              <w:autoSpaceDE w:val="0"/>
              <w:autoSpaceDN w:val="0"/>
              <w:adjustRightInd w:val="0"/>
              <w:spacing w:after="0"/>
              <w:rPr>
                <w:rFonts w:ascii="Times New Roman" w:hAnsi="Times New Roman"/>
                <w:b/>
                <w:sz w:val="24"/>
              </w:rPr>
            </w:pPr>
            <w:r>
              <w:rPr>
                <w:rFonts w:ascii="Times New Roman" w:hAnsi="Times New Roman"/>
                <w:b/>
                <w:sz w:val="24"/>
              </w:rPr>
              <w:t>Colonnes</w:t>
            </w: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020-030</w:t>
            </w:r>
          </w:p>
          <w:p w:rsidR="001A6C53" w:rsidRPr="00392FFD" w:rsidRDefault="001A6C53" w:rsidP="008D2F6E">
            <w:pPr>
              <w:autoSpaceDE w:val="0"/>
              <w:autoSpaceDN w:val="0"/>
              <w:adjustRightInd w:val="0"/>
              <w:spacing w:before="0" w:after="0"/>
              <w:rPr>
                <w:rFonts w:ascii="Times New Roman" w:hAnsi="Times New Roman"/>
                <w:sz w:val="24"/>
              </w:rPr>
            </w:pP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TOUTES LES POSITIONS (LONGUES ET COURTES)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brutes dues à des éléments d'actif, des montants à recevoir et des éléments similaires visés à l'article 352, paragraphe 1, du CRR. Conformément à l'article 352, paragraphe 2, et sous réserve de l'autorisation des autorités co</w:t>
            </w:r>
            <w:r>
              <w:rPr>
                <w:rFonts w:ascii="Times New Roman" w:hAnsi="Times New Roman"/>
                <w:sz w:val="24"/>
              </w:rPr>
              <w:t>m</w:t>
            </w:r>
            <w:r>
              <w:rPr>
                <w:rFonts w:ascii="Times New Roman" w:hAnsi="Times New Roman"/>
                <w:sz w:val="24"/>
              </w:rPr>
              <w:t>pétentes, ne seront pas déclarées les positions prises en tant que couverture contre l'effet négatif des taux de change sur leurs ratios conformément à l'a</w:t>
            </w:r>
            <w:r>
              <w:rPr>
                <w:rFonts w:ascii="Times New Roman" w:hAnsi="Times New Roman"/>
                <w:sz w:val="24"/>
              </w:rPr>
              <w:t>r</w:t>
            </w:r>
            <w:r>
              <w:rPr>
                <w:rFonts w:ascii="Times New Roman" w:hAnsi="Times New Roman"/>
                <w:sz w:val="24"/>
              </w:rPr>
              <w:t>ticle 92, paragraphe 1, et les positions liées à des éléments déjà déduits dans le calcul des fonds propres.</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040-050</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NETTES (LONGUES ET COURTES)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Article 352, paragraphe 3, article 352, paragraphe 4, première et deuxième phrases, et article 353 du CRR.</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positions nettes étant calculées pour chaque devise, il se peut qu'il y ait s</w:t>
            </w:r>
            <w:r>
              <w:rPr>
                <w:rFonts w:ascii="Times New Roman" w:hAnsi="Times New Roman"/>
                <w:sz w:val="24"/>
              </w:rPr>
              <w:t>i</w:t>
            </w:r>
            <w:r>
              <w:rPr>
                <w:rFonts w:ascii="Times New Roman" w:hAnsi="Times New Roman"/>
                <w:sz w:val="24"/>
              </w:rPr>
              <w:t xml:space="preserve">multanément des positions longues et courtes. </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SOUMISES AUX EXIGENCES DE FONDS PROPRES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Article 352, paragraphe 4, troisième phrase, et articles 353 et 354 du CRR </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060-070</w:t>
            </w:r>
          </w:p>
        </w:tc>
        <w:tc>
          <w:tcPr>
            <w:tcW w:w="7874"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b/>
                <w:sz w:val="24"/>
                <w:u w:val="single"/>
              </w:rPr>
              <w:t>POSITIONS SOUMISES AUX EXIGENCES DE FONDS PROPRES (LONGUES ET COURTES)</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On calcule les positions nettes courtes et longues pour chaque devise en dédu</w:t>
            </w:r>
            <w:r>
              <w:rPr>
                <w:rFonts w:ascii="Times New Roman" w:hAnsi="Times New Roman"/>
                <w:sz w:val="24"/>
              </w:rPr>
              <w:t>i</w:t>
            </w:r>
            <w:r>
              <w:rPr>
                <w:rFonts w:ascii="Times New Roman" w:hAnsi="Times New Roman"/>
                <w:sz w:val="24"/>
              </w:rPr>
              <w:t>sant le total des positions courtes du total des positions longues.</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positions nettes longues pour chaque opération dans une devise sont add</w:t>
            </w:r>
            <w:r>
              <w:rPr>
                <w:rFonts w:ascii="Times New Roman" w:hAnsi="Times New Roman"/>
                <w:sz w:val="24"/>
              </w:rPr>
              <w:t>i</w:t>
            </w:r>
            <w:r>
              <w:rPr>
                <w:rFonts w:ascii="Times New Roman" w:hAnsi="Times New Roman"/>
                <w:sz w:val="24"/>
              </w:rPr>
              <w:t>tionnées pour obtenir la position nette longue dans cette devise.</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positions nettes courtes pour chaque opération dans une devise sont add</w:t>
            </w:r>
            <w:r>
              <w:rPr>
                <w:rFonts w:ascii="Times New Roman" w:hAnsi="Times New Roman"/>
                <w:sz w:val="24"/>
              </w:rPr>
              <w:t>i</w:t>
            </w:r>
            <w:r>
              <w:rPr>
                <w:rFonts w:ascii="Times New Roman" w:hAnsi="Times New Roman"/>
                <w:sz w:val="24"/>
              </w:rPr>
              <w:t>tionnées pour obtenir la position nette courte dans cette devise.</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positions non compensées dans des devises différentes de celle de la décl</w:t>
            </w:r>
            <w:r>
              <w:rPr>
                <w:rFonts w:ascii="Times New Roman" w:hAnsi="Times New Roman"/>
                <w:sz w:val="24"/>
              </w:rPr>
              <w:t>a</w:t>
            </w:r>
            <w:r>
              <w:rPr>
                <w:rFonts w:ascii="Times New Roman" w:hAnsi="Times New Roman"/>
                <w:sz w:val="24"/>
              </w:rPr>
              <w:t>ration sont ajoutées aux positions soumises aux exigences de fonds propres pour les autres devises (ligne 030) dans la colonne (060) ou (070), selon qu'il s'agit de positions longues ou courtes.</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POSITIONS SOUMISES AUX EXIGENCES DE FONDS PROPRES </w:t>
            </w:r>
            <w:r>
              <w:rPr>
                <w:rFonts w:ascii="Times New Roman" w:hAnsi="Times New Roman"/>
                <w:b/>
                <w:sz w:val="24"/>
                <w:u w:val="single"/>
              </w:rPr>
              <w:lastRenderedPageBreak/>
              <w:t>(COMPENSÉES)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compensées pour des devises étroitement corrélées.</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090</w:t>
            </w:r>
          </w:p>
        </w:tc>
        <w:tc>
          <w:tcPr>
            <w:tcW w:w="7874"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Exigences de fonds propres pour toute position pertinente, conformément à la troisième partie, titre IV, chapitre 3 du CRR. </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88"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4" w:type="dxa"/>
          </w:tcPr>
          <w:p w:rsidR="001A6C53" w:rsidRPr="00392FFD" w:rsidRDefault="001A6C53" w:rsidP="008D2F6E">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 TOTAL D'EXPOSITION AU RISQUE</w:t>
            </w:r>
          </w:p>
          <w:p w:rsidR="001A6C53" w:rsidRPr="00392FFD" w:rsidRDefault="001A6C53" w:rsidP="008D2F6E">
            <w:pPr>
              <w:tabs>
                <w:tab w:val="left" w:pos="1665"/>
              </w:tabs>
              <w:autoSpaceDE w:val="0"/>
              <w:autoSpaceDN w:val="0"/>
              <w:adjustRightInd w:val="0"/>
              <w:spacing w:before="0" w:after="0"/>
              <w:rPr>
                <w:rFonts w:ascii="Times New Roman" w:hAnsi="Times New Roman"/>
                <w:b/>
                <w:bCs/>
                <w:sz w:val="24"/>
                <w:u w:val="single"/>
              </w:rPr>
            </w:pPr>
          </w:p>
          <w:p w:rsidR="001A6C53" w:rsidRPr="00392FFD" w:rsidRDefault="001A6C53" w:rsidP="008D2F6E">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Article 92, paragraphe 4, point b) du CRR. Résultat de la multiplication par 12,5 des exigences de fonds propres. </w:t>
            </w:r>
          </w:p>
          <w:p w:rsidR="001A6C53" w:rsidRPr="00392FFD" w:rsidRDefault="001A6C53" w:rsidP="008D2F6E">
            <w:pPr>
              <w:tabs>
                <w:tab w:val="left" w:pos="1665"/>
              </w:tabs>
              <w:autoSpaceDE w:val="0"/>
              <w:autoSpaceDN w:val="0"/>
              <w:adjustRightInd w:val="0"/>
              <w:spacing w:before="0" w:after="0"/>
              <w:rPr>
                <w:rFonts w:ascii="Times New Roman" w:hAnsi="Times New Roman"/>
                <w:b/>
                <w:bCs/>
                <w:sz w:val="24"/>
                <w:u w:val="single"/>
              </w:rPr>
            </w:pPr>
          </w:p>
        </w:tc>
      </w:tr>
    </w:tbl>
    <w:p w:rsidR="001A6C53" w:rsidRPr="00392FFD" w:rsidRDefault="001A6C53" w:rsidP="001A6C53">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1A6C53" w:rsidRPr="00392FFD" w:rsidTr="008D2F6E">
        <w:trPr>
          <w:trHeight w:val="497"/>
        </w:trPr>
        <w:tc>
          <w:tcPr>
            <w:tcW w:w="8862" w:type="dxa"/>
            <w:gridSpan w:val="2"/>
            <w:shd w:val="clear" w:color="auto" w:fill="CCCCCC"/>
          </w:tcPr>
          <w:p w:rsidR="001A6C53" w:rsidRPr="00392FFD" w:rsidRDefault="001A6C53" w:rsidP="008D2F6E">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1A6C53" w:rsidRPr="00392FFD" w:rsidTr="008D2F6E">
        <w:tc>
          <w:tcPr>
            <w:tcW w:w="99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1"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DES POSITIONS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Toutes les positions dans des devises autres que la devise de la déclaration et les positions dans la devise de la déclaration qui sont prises en compte aux fins de l'article 354 du CRR ainsi que leurs exigences de fonds propres correspo</w:t>
            </w:r>
            <w:r>
              <w:rPr>
                <w:rFonts w:ascii="Times New Roman" w:hAnsi="Times New Roman"/>
                <w:sz w:val="24"/>
              </w:rPr>
              <w:t>n</w:t>
            </w:r>
            <w:r>
              <w:rPr>
                <w:rFonts w:ascii="Times New Roman" w:hAnsi="Times New Roman"/>
                <w:sz w:val="24"/>
              </w:rPr>
              <w:t>dantes, conformément à l'article 92, paragraphe 3, point c) i) et à l'article 352, paragraphes 2 et 4, du CRR (pour la conversion dans la devise de la déclar</w:t>
            </w:r>
            <w:r>
              <w:rPr>
                <w:rFonts w:ascii="Times New Roman" w:hAnsi="Times New Roman"/>
                <w:sz w:val="24"/>
              </w:rPr>
              <w:t>a</w:t>
            </w:r>
            <w:r>
              <w:rPr>
                <w:rFonts w:ascii="Times New Roman" w:hAnsi="Times New Roman"/>
                <w:sz w:val="24"/>
              </w:rPr>
              <w:t>tion).</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99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871"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DEVISES ÉTROITEMENT CORRÉLÉES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et leurs exigences de fonds propres correspondantes pour les devises visées à l'article 354 du CRR.</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99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025</w:t>
            </w:r>
          </w:p>
        </w:tc>
        <w:tc>
          <w:tcPr>
            <w:tcW w:w="7871"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Devises étroitement corrélées: </w:t>
            </w:r>
            <w:r>
              <w:rPr>
                <w:rFonts w:ascii="Times New Roman" w:hAnsi="Times New Roman"/>
                <w:b/>
                <w:i/>
                <w:sz w:val="24"/>
                <w:u w:val="single"/>
              </w:rPr>
              <w:t>dont</w:t>
            </w:r>
            <w:r>
              <w:rPr>
                <w:rFonts w:ascii="Times New Roman" w:hAnsi="Times New Roman"/>
                <w:b/>
                <w:sz w:val="24"/>
                <w:u w:val="single"/>
              </w:rPr>
              <w:t>: devise de la déclaration</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positions dans la devise de la déclaration qui contribuent au calcul des ex</w:t>
            </w:r>
            <w:r>
              <w:rPr>
                <w:rFonts w:ascii="Times New Roman" w:hAnsi="Times New Roman"/>
                <w:sz w:val="24"/>
              </w:rPr>
              <w:t>i</w:t>
            </w:r>
            <w:r>
              <w:rPr>
                <w:rFonts w:ascii="Times New Roman" w:hAnsi="Times New Roman"/>
                <w:sz w:val="24"/>
              </w:rPr>
              <w:t>gences de fonds propres conformément à l'article 354 du CRR</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71"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TOUTES LES AUTRES DEVISES (y compris les OPC traités comme des devises différentes)</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et leurs exigences de fonds propres correspondantes pour les devises soumises à la procédure générale visée à l'article 351 et à l'article 352, par</w:t>
            </w:r>
            <w:r>
              <w:rPr>
                <w:rFonts w:ascii="Times New Roman" w:hAnsi="Times New Roman"/>
                <w:sz w:val="24"/>
              </w:rPr>
              <w:t>a</w:t>
            </w:r>
            <w:r>
              <w:rPr>
                <w:rFonts w:ascii="Times New Roman" w:hAnsi="Times New Roman"/>
                <w:sz w:val="24"/>
              </w:rPr>
              <w:t xml:space="preserve">graphes 2 et 4, du CRR. </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Déclaration d'OPC traitées comme des devises distinctes, conformément à l'a</w:t>
            </w:r>
            <w:r>
              <w:rPr>
                <w:rFonts w:ascii="Times New Roman" w:hAnsi="Times New Roman"/>
                <w:sz w:val="24"/>
                <w:u w:val="single"/>
              </w:rPr>
              <w:t>r</w:t>
            </w:r>
            <w:r>
              <w:rPr>
                <w:rFonts w:ascii="Times New Roman" w:hAnsi="Times New Roman"/>
                <w:sz w:val="24"/>
                <w:u w:val="single"/>
              </w:rPr>
              <w:t>ticle 353 du CRR:</w:t>
            </w:r>
          </w:p>
          <w:p w:rsidR="001A6C53" w:rsidRPr="00392FFD" w:rsidRDefault="001A6C53" w:rsidP="008D2F6E">
            <w:pPr>
              <w:autoSpaceDE w:val="0"/>
              <w:autoSpaceDN w:val="0"/>
              <w:adjustRightInd w:val="0"/>
              <w:spacing w:before="0" w:after="0"/>
              <w:rPr>
                <w:rFonts w:ascii="Times New Roman" w:hAnsi="Times New Roman"/>
                <w:bCs/>
                <w:sz w:val="24"/>
              </w:rPr>
            </w:pPr>
            <w:r>
              <w:rPr>
                <w:rFonts w:ascii="Times New Roman" w:hAnsi="Times New Roman"/>
                <w:sz w:val="24"/>
              </w:rPr>
              <w:t>Il existe deux traitements différents des OPC traitées comme des devises di</w:t>
            </w:r>
            <w:r>
              <w:rPr>
                <w:rFonts w:ascii="Times New Roman" w:hAnsi="Times New Roman"/>
                <w:sz w:val="24"/>
              </w:rPr>
              <w:t>s</w:t>
            </w:r>
            <w:r>
              <w:rPr>
                <w:rFonts w:ascii="Times New Roman" w:hAnsi="Times New Roman"/>
                <w:sz w:val="24"/>
              </w:rPr>
              <w:t>tinctes pour le calcul des exigences de fonds propres:</w:t>
            </w:r>
          </w:p>
          <w:p w:rsidR="001A6C53" w:rsidRPr="00392FFD" w:rsidRDefault="001A6C53" w:rsidP="008D2F6E">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La méthode relative à l'or modifiée, lorsque la direction des investiss</w:t>
            </w:r>
            <w:r>
              <w:rPr>
                <w:rFonts w:ascii="Times New Roman" w:hAnsi="Times New Roman"/>
                <w:sz w:val="24"/>
              </w:rPr>
              <w:t>e</w:t>
            </w:r>
            <w:r>
              <w:rPr>
                <w:rFonts w:ascii="Times New Roman" w:hAnsi="Times New Roman"/>
                <w:sz w:val="24"/>
              </w:rPr>
              <w:t>ments de l'OPC est inconnue (ces OPC seront additionnées aux pos</w:t>
            </w:r>
            <w:r>
              <w:rPr>
                <w:rFonts w:ascii="Times New Roman" w:hAnsi="Times New Roman"/>
                <w:sz w:val="24"/>
              </w:rPr>
              <w:t>i</w:t>
            </w:r>
            <w:r>
              <w:rPr>
                <w:rFonts w:ascii="Times New Roman" w:hAnsi="Times New Roman"/>
                <w:sz w:val="24"/>
              </w:rPr>
              <w:lastRenderedPageBreak/>
              <w:t>tions de change nettes globales de l'établissement);</w:t>
            </w:r>
          </w:p>
          <w:p w:rsidR="001A6C53" w:rsidRPr="00392FFD" w:rsidRDefault="001A6C53" w:rsidP="008D2F6E">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Lorsque la direction des investissements de l'OPC est connue, ces OPC seront additionnées au total des positions de change ouvertes (longues ou courtes, en fonction de la direction de l'OPC).</w:t>
            </w:r>
          </w:p>
          <w:p w:rsidR="001A6C53" w:rsidRPr="00392FFD" w:rsidRDefault="001A6C53" w:rsidP="008D2F6E">
            <w:pPr>
              <w:autoSpaceDE w:val="0"/>
              <w:autoSpaceDN w:val="0"/>
              <w:adjustRightInd w:val="0"/>
              <w:spacing w:before="0" w:after="0"/>
              <w:rPr>
                <w:rFonts w:ascii="Times New Roman" w:hAnsi="Times New Roman"/>
                <w:bCs/>
                <w:sz w:val="24"/>
                <w:u w:val="single"/>
              </w:rPr>
            </w:pPr>
            <w:r>
              <w:rPr>
                <w:rFonts w:ascii="Times New Roman" w:hAnsi="Times New Roman"/>
                <w:sz w:val="24"/>
              </w:rPr>
              <w:t>La déclaration de ces OPC suit le calcul des exigences de fonds propres.</w:t>
            </w:r>
            <w:r>
              <w:rPr>
                <w:rFonts w:ascii="Times New Roman" w:hAnsi="Times New Roman"/>
                <w:sz w:val="24"/>
                <w:u w:val="single"/>
              </w:rPr>
              <w:t xml:space="preserve"> </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040</w:t>
            </w:r>
          </w:p>
        </w:tc>
        <w:tc>
          <w:tcPr>
            <w:tcW w:w="7871"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OR</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et leurs exigences de fonds propres correspondantes pour les devises soumises à la procédure générale visée à l'article 351 et à l'article 352, par</w:t>
            </w:r>
            <w:r>
              <w:rPr>
                <w:rFonts w:ascii="Times New Roman" w:hAnsi="Times New Roman"/>
                <w:sz w:val="24"/>
              </w:rPr>
              <w:t>a</w:t>
            </w:r>
            <w:r>
              <w:rPr>
                <w:rFonts w:ascii="Times New Roman" w:hAnsi="Times New Roman"/>
                <w:sz w:val="24"/>
              </w:rPr>
              <w:t xml:space="preserve">graphes 2 et 4, du CRR. </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050 - 090</w:t>
            </w:r>
          </w:p>
        </w:tc>
        <w:tc>
          <w:tcPr>
            <w:tcW w:w="7871"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EXIGENCES SUPPLÉMENTAIRES POUR RISQUES SUR OPTIONS (RISQUES NON DELTA)</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Article 352, paragraphes 5 et 6, du CRR.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exigences supplémentaires pour les options liées aux risques autres que le risque delta seront déclarées dans la méthode appliquée pour leur calcul.</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100-120</w:t>
            </w:r>
          </w:p>
        </w:tc>
        <w:tc>
          <w:tcPr>
            <w:tcW w:w="7871"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Répartition du total des positions (devise de la déclaration y comprise) par catégorie d'exposition</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 total des positions sera réparti entre dérivés, autres éléments d'actif et de passif, et éléments hors bilan.</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1"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Éléments d'actif et de passif autres que les éléments de hors bilan et les d</w:t>
            </w:r>
            <w:r>
              <w:rPr>
                <w:rFonts w:ascii="Times New Roman" w:hAnsi="Times New Roman"/>
                <w:b/>
                <w:sz w:val="24"/>
                <w:u w:val="single"/>
              </w:rPr>
              <w:t>é</w:t>
            </w:r>
            <w:r>
              <w:rPr>
                <w:rFonts w:ascii="Times New Roman" w:hAnsi="Times New Roman"/>
                <w:b/>
                <w:sz w:val="24"/>
                <w:u w:val="single"/>
              </w:rPr>
              <w:t>rivés</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 Les positions qui ne figurent pas dans les lignes 110 ou 120 seront déclarées ici. </w:t>
            </w:r>
          </w:p>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1A6C53" w:rsidRPr="00392FFD" w:rsidTr="008D2F6E">
        <w:tc>
          <w:tcPr>
            <w:tcW w:w="99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71"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Éléments de hors bilan</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Éléments entrant dans le champ d'application de l’article 352 du CRR, quelle que soit la devise dans laquelle ils sont libellés, qui sont inclus dans l'annexe I du CRR, à l'exception de ceux inclus en tant qu'opérations de financement sur titres et opérations à règlement différé ou issus d'une convention de compens</w:t>
            </w:r>
            <w:r>
              <w:rPr>
                <w:rFonts w:ascii="Times New Roman" w:hAnsi="Times New Roman"/>
                <w:sz w:val="24"/>
              </w:rPr>
              <w:t>a</w:t>
            </w:r>
            <w:r>
              <w:rPr>
                <w:rFonts w:ascii="Times New Roman" w:hAnsi="Times New Roman"/>
                <w:sz w:val="24"/>
              </w:rPr>
              <w:t xml:space="preserve">tion </w:t>
            </w:r>
            <w:proofErr w:type="spellStart"/>
            <w:r>
              <w:rPr>
                <w:rFonts w:ascii="Times New Roman" w:hAnsi="Times New Roman"/>
                <w:sz w:val="24"/>
              </w:rPr>
              <w:t>multiproduits</w:t>
            </w:r>
            <w:proofErr w:type="spellEnd"/>
            <w:r>
              <w:rPr>
                <w:rFonts w:ascii="Times New Roman" w:hAnsi="Times New Roman"/>
                <w:sz w:val="24"/>
              </w:rPr>
              <w:t>.</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120</w:t>
            </w:r>
          </w:p>
          <w:p w:rsidR="001A6C53" w:rsidRPr="00392FFD" w:rsidRDefault="001A6C53" w:rsidP="008D2F6E">
            <w:pPr>
              <w:autoSpaceDE w:val="0"/>
              <w:autoSpaceDN w:val="0"/>
              <w:adjustRightInd w:val="0"/>
              <w:spacing w:before="0" w:after="0"/>
              <w:rPr>
                <w:rFonts w:ascii="Times New Roman" w:hAnsi="Times New Roman"/>
                <w:sz w:val="24"/>
              </w:rPr>
            </w:pPr>
          </w:p>
        </w:tc>
        <w:tc>
          <w:tcPr>
            <w:tcW w:w="7871"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Dérivés</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évaluées conformément à l'article 352 du CRR.</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130-480</w:t>
            </w:r>
          </w:p>
          <w:p w:rsidR="001A6C53" w:rsidRPr="00392FFD" w:rsidRDefault="001A6C53" w:rsidP="008D2F6E">
            <w:pPr>
              <w:autoSpaceDE w:val="0"/>
              <w:autoSpaceDN w:val="0"/>
              <w:adjustRightInd w:val="0"/>
              <w:spacing w:before="0" w:after="0"/>
              <w:rPr>
                <w:rFonts w:ascii="Times New Roman" w:hAnsi="Times New Roman"/>
                <w:sz w:val="24"/>
              </w:rPr>
            </w:pPr>
          </w:p>
        </w:tc>
        <w:tc>
          <w:tcPr>
            <w:tcW w:w="7871"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b/>
                <w:sz w:val="24"/>
                <w:u w:val="single"/>
              </w:rPr>
              <w:t>ÉLÉMENTS POUR MÉMOIRE: POSITIONS EN DEVISES</w:t>
            </w:r>
          </w:p>
          <w:p w:rsidR="001A6C53" w:rsidRPr="00392FFD" w:rsidRDefault="001A6C53" w:rsidP="008D2F6E">
            <w:pPr>
              <w:autoSpaceDE w:val="0"/>
              <w:autoSpaceDN w:val="0"/>
              <w:adjustRightInd w:val="0"/>
              <w:spacing w:before="0" w:after="0"/>
              <w:rPr>
                <w:rFonts w:ascii="Times New Roman" w:hAnsi="Times New Roman"/>
                <w:b/>
                <w:bCs/>
                <w:sz w:val="24"/>
              </w:rPr>
            </w:pP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Les postes pour mémoire du modèle seront remplis séparément pour toutes les devises des États membres de l'Union et pour les devises suivantes: USD, CHF, JPY, RUB, TRY, AUD, CAD, RSD, ALL, UAH, MKD, EGP, ARS, BRL, MXN, HKD, ICK, TWD, NZD, NOK, SGD, KRW, CNY et toutes les autres devises. </w:t>
            </w:r>
          </w:p>
        </w:tc>
      </w:tr>
    </w:tbl>
    <w:p w:rsidR="001A6C53" w:rsidRPr="00392FFD" w:rsidRDefault="001A6C53" w:rsidP="001A6C53">
      <w:pPr>
        <w:rPr>
          <w:rFonts w:ascii="Times New Roman" w:hAnsi="Times New Roman"/>
          <w:sz w:val="24"/>
        </w:rPr>
      </w:pP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28" w:name="_Toc524104237"/>
      <w:r>
        <w:rPr>
          <w:rFonts w:ascii="Times New Roman" w:hAnsi="Times New Roman"/>
          <w:sz w:val="24"/>
          <w:u w:val="none"/>
        </w:rPr>
        <w:t>5.6.</w:t>
      </w:r>
      <w:r w:rsidRPr="00D2309F">
        <w:rPr>
          <w:u w:val="none"/>
        </w:rPr>
        <w:tab/>
      </w:r>
      <w:r>
        <w:rPr>
          <w:rFonts w:ascii="Times New Roman" w:hAnsi="Times New Roman"/>
          <w:sz w:val="24"/>
        </w:rPr>
        <w:t>C 23.00 - Risque de marché: approches standard pour les matières premières (MKR SA COM)</w:t>
      </w:r>
      <w:bookmarkEnd w:id="428"/>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29" w:name="_Toc524104238"/>
      <w:r>
        <w:rPr>
          <w:rFonts w:ascii="Times New Roman" w:hAnsi="Times New Roman"/>
          <w:sz w:val="24"/>
          <w:u w:val="none"/>
        </w:rPr>
        <w:t>5.6.1.</w:t>
      </w:r>
      <w:r w:rsidRPr="00D2309F">
        <w:rPr>
          <w:u w:val="none"/>
        </w:rPr>
        <w:tab/>
      </w:r>
      <w:r>
        <w:rPr>
          <w:rFonts w:ascii="Times New Roman" w:hAnsi="Times New Roman"/>
          <w:sz w:val="24"/>
        </w:rPr>
        <w:t>Remarques générales</w:t>
      </w:r>
      <w:bookmarkEnd w:id="429"/>
    </w:p>
    <w:p w:rsidR="001A6C53" w:rsidRPr="00392FFD" w:rsidRDefault="001A6C53" w:rsidP="001A6C53">
      <w:pPr>
        <w:pStyle w:val="InstructionsText2"/>
        <w:numPr>
          <w:ilvl w:val="0"/>
          <w:numId w:val="0"/>
        </w:numPr>
        <w:ind w:left="993"/>
      </w:pPr>
      <w:r>
        <w:t>152.</w:t>
      </w:r>
      <w:r>
        <w:tab/>
        <w:t>Ce modèle rassemble des informations sur les positions sur matières premières et les exigences de fonds propres correspondantes traitées selon l'approche sta</w:t>
      </w:r>
      <w:r>
        <w:t>n</w:t>
      </w:r>
      <w:r>
        <w:t>dard.</w:t>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30" w:name="_Toc524104239"/>
      <w:r>
        <w:rPr>
          <w:rFonts w:ascii="Times New Roman" w:hAnsi="Times New Roman"/>
          <w:sz w:val="24"/>
          <w:u w:val="none"/>
        </w:rPr>
        <w:t>5.6.2.</w:t>
      </w:r>
      <w:r w:rsidRPr="00D2309F">
        <w:rPr>
          <w:u w:val="none"/>
        </w:rPr>
        <w:tab/>
      </w:r>
      <w:r>
        <w:rPr>
          <w:rFonts w:ascii="Times New Roman" w:hAnsi="Times New Roman"/>
          <w:sz w:val="24"/>
        </w:rPr>
        <w:t>Instructions concernant certaines positions</w:t>
      </w:r>
      <w:bookmarkEnd w:id="4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1A6C53" w:rsidRPr="00392FFD" w:rsidTr="008D2F6E">
        <w:trPr>
          <w:trHeight w:val="591"/>
        </w:trPr>
        <w:tc>
          <w:tcPr>
            <w:tcW w:w="8862" w:type="dxa"/>
            <w:gridSpan w:val="2"/>
            <w:shd w:val="clear" w:color="auto" w:fill="CCCCCC"/>
          </w:tcPr>
          <w:p w:rsidR="001A6C53" w:rsidRPr="00392FFD" w:rsidRDefault="001A6C53" w:rsidP="008D2F6E">
            <w:pPr>
              <w:autoSpaceDE w:val="0"/>
              <w:autoSpaceDN w:val="0"/>
              <w:adjustRightInd w:val="0"/>
              <w:spacing w:after="0"/>
              <w:rPr>
                <w:rFonts w:ascii="Times New Roman" w:hAnsi="Times New Roman"/>
                <w:b/>
                <w:sz w:val="24"/>
              </w:rPr>
            </w:pPr>
            <w:r>
              <w:rPr>
                <w:rFonts w:ascii="Times New Roman" w:hAnsi="Times New Roman"/>
                <w:b/>
                <w:sz w:val="24"/>
              </w:rPr>
              <w:t>Colonnes</w:t>
            </w:r>
          </w:p>
        </w:tc>
      </w:tr>
      <w:tr w:rsidR="001A6C53" w:rsidRPr="00392FFD" w:rsidTr="008D2F6E">
        <w:tc>
          <w:tcPr>
            <w:tcW w:w="986"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6"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TOUTES LES POSITIONS (LONGUES ET COURTES)</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longues/courtes brutes considérées comme des positions sur la même matière première, conformément à l'article 357, paragraphes 1 et 4, du CRR (voir également l'article 359, paragraphe 1, du CRR).</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1A6C53" w:rsidRPr="00392FFD" w:rsidTr="008D2F6E">
        <w:tc>
          <w:tcPr>
            <w:tcW w:w="986"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6"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NETTES (LONGUES ET COURTES)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Telles que définies à l'article 357, paragraphe 3, du CRR. </w:t>
            </w:r>
          </w:p>
        </w:tc>
      </w:tr>
      <w:tr w:rsidR="001A6C53" w:rsidRPr="00392FFD" w:rsidTr="008D2F6E">
        <w:tc>
          <w:tcPr>
            <w:tcW w:w="986"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6"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SOUMISES AUX EXIGENCES DE FONDS PROPRES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nettes qui, selon les différentes approches envisagées dans la tro</w:t>
            </w:r>
            <w:r>
              <w:rPr>
                <w:rFonts w:ascii="Times New Roman" w:hAnsi="Times New Roman"/>
                <w:sz w:val="24"/>
              </w:rPr>
              <w:t>i</w:t>
            </w:r>
            <w:r>
              <w:rPr>
                <w:rFonts w:ascii="Times New Roman" w:hAnsi="Times New Roman"/>
                <w:sz w:val="24"/>
              </w:rPr>
              <w:t>sième partie, titre IV, chapitre 4 du CRR, reçoivent une exigence de fonds propres.</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86"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6"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Exigences de fonds propres pour toute position pertinente, conformément à la troisième partie, titre IV, chapitre 4 du CRR. </w:t>
            </w:r>
          </w:p>
        </w:tc>
      </w:tr>
      <w:tr w:rsidR="001A6C53" w:rsidRPr="00392FFD" w:rsidTr="008D2F6E">
        <w:tc>
          <w:tcPr>
            <w:tcW w:w="986"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6" w:type="dxa"/>
          </w:tcPr>
          <w:p w:rsidR="001A6C53" w:rsidRPr="00392FFD" w:rsidRDefault="001A6C53" w:rsidP="008D2F6E">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 TOTAL D'EXPOSITION AU RISQUE</w:t>
            </w:r>
          </w:p>
          <w:p w:rsidR="001A6C53" w:rsidRPr="00392FFD" w:rsidRDefault="001A6C53" w:rsidP="008D2F6E">
            <w:pPr>
              <w:tabs>
                <w:tab w:val="left" w:pos="1665"/>
              </w:tabs>
              <w:autoSpaceDE w:val="0"/>
              <w:autoSpaceDN w:val="0"/>
              <w:adjustRightInd w:val="0"/>
              <w:spacing w:before="0" w:after="0"/>
              <w:rPr>
                <w:rFonts w:ascii="Times New Roman" w:hAnsi="Times New Roman"/>
                <w:b/>
                <w:bCs/>
                <w:sz w:val="24"/>
                <w:u w:val="single"/>
              </w:rPr>
            </w:pPr>
          </w:p>
          <w:p w:rsidR="001A6C53" w:rsidRPr="00392FFD" w:rsidRDefault="001A6C53" w:rsidP="008D2F6E">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Article 92, paragraphe 4, point b) du CRR. Résultat de la multiplication par 12,5 des exigences de fonds propres. </w:t>
            </w:r>
          </w:p>
        </w:tc>
      </w:tr>
    </w:tbl>
    <w:p w:rsidR="001A6C53" w:rsidRPr="00392FFD" w:rsidRDefault="001A6C53" w:rsidP="001A6C53">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1A6C53" w:rsidRPr="00392FFD" w:rsidTr="008D2F6E">
        <w:trPr>
          <w:trHeight w:val="483"/>
        </w:trPr>
        <w:tc>
          <w:tcPr>
            <w:tcW w:w="8862" w:type="dxa"/>
            <w:gridSpan w:val="2"/>
            <w:shd w:val="clear" w:color="auto" w:fill="CCCCCC"/>
          </w:tcPr>
          <w:p w:rsidR="001A6C53" w:rsidRPr="00392FFD" w:rsidRDefault="001A6C53" w:rsidP="008D2F6E">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1A6C53" w:rsidRPr="00392FFD" w:rsidTr="008D2F6E">
        <w:tc>
          <w:tcPr>
            <w:tcW w:w="987"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5"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DES POSITIONS SUR MATIÈRES PREMIÈRES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sur matières premières et leurs exigences de fonds propres corre</w:t>
            </w:r>
            <w:r>
              <w:rPr>
                <w:rFonts w:ascii="Times New Roman" w:hAnsi="Times New Roman"/>
                <w:sz w:val="24"/>
              </w:rPr>
              <w:t>s</w:t>
            </w:r>
            <w:r>
              <w:rPr>
                <w:rFonts w:ascii="Times New Roman" w:hAnsi="Times New Roman"/>
                <w:sz w:val="24"/>
              </w:rPr>
              <w:t xml:space="preserve">pondantes pour risque de marché, conformément à l'article 92, paragraphe 3, point c) iii) du CRR et à la troisième partie, titre IV, chapitre 4 du CRR. </w:t>
            </w:r>
          </w:p>
        </w:tc>
      </w:tr>
      <w:tr w:rsidR="001A6C53" w:rsidRPr="00392FFD" w:rsidTr="008D2F6E">
        <w:tc>
          <w:tcPr>
            <w:tcW w:w="987"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020-060</w:t>
            </w:r>
          </w:p>
        </w:tc>
        <w:tc>
          <w:tcPr>
            <w:tcW w:w="7875"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EN FONCTION DES CATÉGORIES DE MATIÈRES PREMIÈRES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Aux fins de la déclaration, les matières premières seront groupées en quatre </w:t>
            </w:r>
            <w:r>
              <w:rPr>
                <w:rFonts w:ascii="Times New Roman" w:hAnsi="Times New Roman"/>
                <w:sz w:val="24"/>
              </w:rPr>
              <w:lastRenderedPageBreak/>
              <w:t>grandes catégories visées dans le tableau 2 de l'article 361 du CRR.</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1A6C53" w:rsidRPr="00392FFD" w:rsidTr="008D2F6E">
        <w:tc>
          <w:tcPr>
            <w:tcW w:w="987"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070</w:t>
            </w:r>
          </w:p>
        </w:tc>
        <w:tc>
          <w:tcPr>
            <w:tcW w:w="7875"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APPROCHE DU TABLEAU D'ÉCHÉANCES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sur matières premières soumises à l'approche du tableau d'échéances visée à l'article 359 du CRR.</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87"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5"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APPROCHE DU TABLEAU D'ÉCHÉANCES ÉLARGIE</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sur matières premières soumises à l'approche du tableau d'échéances élargie visée à l'article 361 du CRR.</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87"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5"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APPROCHE SIMPLIFIÉE</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Positions sur matières premières soumises à l'approche simplifiée visée à l'a</w:t>
            </w:r>
            <w:r>
              <w:rPr>
                <w:rFonts w:ascii="Times New Roman" w:hAnsi="Times New Roman"/>
                <w:sz w:val="24"/>
              </w:rPr>
              <w:t>r</w:t>
            </w:r>
            <w:r>
              <w:rPr>
                <w:rFonts w:ascii="Times New Roman" w:hAnsi="Times New Roman"/>
                <w:sz w:val="24"/>
              </w:rPr>
              <w:t xml:space="preserve">ticle 360 du CRR. </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87"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100-140</w:t>
            </w:r>
          </w:p>
        </w:tc>
        <w:tc>
          <w:tcPr>
            <w:tcW w:w="7875"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EXIGENCES SUPPLÉMENTAIRES POUR RISQUES SUR OPTIONS (RISQUES NON DELTA)</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Article 358, paragraphe 4, du CRR </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exigences supplémentaires pour les options liées aux risques autres que le risque delta seront déclarées dans la méthode appliquée pour leur calcul.</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p>
        </w:tc>
      </w:tr>
    </w:tbl>
    <w:p w:rsidR="001A6C53" w:rsidRPr="00392FFD" w:rsidRDefault="001A6C53" w:rsidP="001A6C53">
      <w:pPr>
        <w:rPr>
          <w:rFonts w:ascii="Times New Roman" w:hAnsi="Times New Roman"/>
          <w:sz w:val="24"/>
        </w:rPr>
      </w:pPr>
    </w:p>
    <w:p w:rsidR="001A6C53" w:rsidRPr="0023700C" w:rsidRDefault="001A6C53" w:rsidP="001A6C53">
      <w:pPr>
        <w:pStyle w:val="Instructionsberschrift2"/>
        <w:numPr>
          <w:ilvl w:val="0"/>
          <w:numId w:val="0"/>
        </w:numPr>
        <w:ind w:left="357" w:hanging="357"/>
        <w:rPr>
          <w:rFonts w:ascii="Times New Roman" w:hAnsi="Times New Roman"/>
          <w:sz w:val="24"/>
        </w:rPr>
      </w:pPr>
      <w:bookmarkStart w:id="431" w:name="_Toc524104240"/>
      <w:r>
        <w:rPr>
          <w:rFonts w:ascii="Times New Roman" w:hAnsi="Times New Roman"/>
          <w:sz w:val="24"/>
          <w:u w:val="none"/>
        </w:rPr>
        <w:t>5.7.</w:t>
      </w:r>
      <w:r w:rsidRPr="00D2309F">
        <w:rPr>
          <w:u w:val="none"/>
        </w:rPr>
        <w:tab/>
      </w:r>
      <w:r>
        <w:rPr>
          <w:rFonts w:ascii="Times New Roman" w:hAnsi="Times New Roman"/>
          <w:sz w:val="24"/>
        </w:rPr>
        <w:t>C 24.00 - Risque de marché selon l’approche fondée sur les modèles internes (MKR IM)</w:t>
      </w:r>
      <w:bookmarkEnd w:id="431"/>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32" w:name="_Toc524104241"/>
      <w:r>
        <w:rPr>
          <w:rFonts w:ascii="Times New Roman" w:hAnsi="Times New Roman"/>
          <w:sz w:val="24"/>
          <w:u w:val="none"/>
        </w:rPr>
        <w:t>5.7.1.</w:t>
      </w:r>
      <w:r w:rsidRPr="00D2309F">
        <w:rPr>
          <w:u w:val="none"/>
        </w:rPr>
        <w:tab/>
      </w:r>
      <w:r>
        <w:rPr>
          <w:rFonts w:ascii="Times New Roman" w:hAnsi="Times New Roman"/>
          <w:sz w:val="24"/>
        </w:rPr>
        <w:t>Remarques générales</w:t>
      </w:r>
      <w:bookmarkEnd w:id="432"/>
    </w:p>
    <w:p w:rsidR="001A6C53" w:rsidRPr="00392FFD" w:rsidRDefault="001A6C53" w:rsidP="001A6C53">
      <w:pPr>
        <w:pStyle w:val="InstructionsText2"/>
        <w:numPr>
          <w:ilvl w:val="0"/>
          <w:numId w:val="0"/>
        </w:numPr>
        <w:ind w:left="993"/>
      </w:pPr>
      <w:r>
        <w:t>153.</w:t>
      </w:r>
      <w:r>
        <w:tab/>
        <w:t>Ce modèle fournit une ventilation des valeurs en risque (</w:t>
      </w:r>
      <w:proofErr w:type="spellStart"/>
      <w:r>
        <w:t>VaR</w:t>
      </w:r>
      <w:proofErr w:type="spellEnd"/>
      <w:r>
        <w:t>) et des valeurs en risque en situation de tensions (</w:t>
      </w:r>
      <w:proofErr w:type="spellStart"/>
      <w:r>
        <w:t>sVaR</w:t>
      </w:r>
      <w:proofErr w:type="spellEnd"/>
      <w:r>
        <w:t>), en fonction des différents risques de marché (dette, actions, change, matières premières), ainsi que d'autres informations pert</w:t>
      </w:r>
      <w:r>
        <w:t>i</w:t>
      </w:r>
      <w:r>
        <w:t>nentes pour le calcul des exigences de fonds propres.</w:t>
      </w:r>
    </w:p>
    <w:p w:rsidR="001A6C53" w:rsidRPr="00321A3B" w:rsidRDefault="001A6C53" w:rsidP="001A6C53">
      <w:pPr>
        <w:pStyle w:val="InstructionsText2"/>
        <w:numPr>
          <w:ilvl w:val="0"/>
          <w:numId w:val="0"/>
        </w:numPr>
        <w:ind w:left="993"/>
      </w:pPr>
      <w:r>
        <w:t>154.</w:t>
      </w:r>
      <w:r>
        <w:tab/>
        <w:t>En règle générale, la déclaration dépend de la structure du modèle appliqué par les établissements, selon qu'ils déclarent séparément ou ensemble leurs chiffres pour le risque général et pour le risque spécifique. Il en va de même pour la déco</w:t>
      </w:r>
      <w:r>
        <w:t>m</w:t>
      </w:r>
      <w:r>
        <w:t xml:space="preserve">position des </w:t>
      </w:r>
      <w:proofErr w:type="spellStart"/>
      <w:r>
        <w:t>VaR</w:t>
      </w:r>
      <w:proofErr w:type="spellEnd"/>
      <w:r>
        <w:t>/</w:t>
      </w:r>
      <w:proofErr w:type="spellStart"/>
      <w:r>
        <w:t>sVaR</w:t>
      </w:r>
      <w:proofErr w:type="spellEnd"/>
      <w:r>
        <w:t xml:space="preserve"> selon les catégories de risques (risque de taux d'intérêt, risque lié aux actions, risque sur matières premières et risque de change). Un ét</w:t>
      </w:r>
      <w:r>
        <w:t>a</w:t>
      </w:r>
      <w:r>
        <w:t xml:space="preserve">blissement peut s'abstenir de déclarer les décompositions mentionnées ci-dessus s'il démontre que cette déclaration représenterait une contrainte excessive. </w:t>
      </w: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33" w:name="_Toc524104242"/>
      <w:r>
        <w:rPr>
          <w:rFonts w:ascii="Times New Roman" w:hAnsi="Times New Roman"/>
          <w:sz w:val="24"/>
          <w:u w:val="none"/>
        </w:rPr>
        <w:t>5.7.2.</w:t>
      </w:r>
      <w:r>
        <w:tab/>
      </w:r>
      <w:r>
        <w:rPr>
          <w:rFonts w:ascii="Times New Roman" w:hAnsi="Times New Roman"/>
          <w:sz w:val="24"/>
        </w:rPr>
        <w:t>Instructions concernant certaines positions</w:t>
      </w:r>
      <w:bookmarkEnd w:id="4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1A6C53" w:rsidRPr="00392FFD" w:rsidTr="008D2F6E">
        <w:tc>
          <w:tcPr>
            <w:tcW w:w="8862" w:type="dxa"/>
            <w:gridSpan w:val="2"/>
            <w:shd w:val="clear" w:color="auto" w:fill="BFBFBF"/>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Colonnes</w:t>
            </w: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030-</w:t>
            </w:r>
            <w:r>
              <w:rPr>
                <w:rFonts w:ascii="Times New Roman" w:hAnsi="Times New Roman"/>
                <w:sz w:val="24"/>
              </w:rPr>
              <w:lastRenderedPageBreak/>
              <w:t>040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lastRenderedPageBreak/>
              <w:t>Valeur en risque (</w:t>
            </w:r>
            <w:proofErr w:type="spellStart"/>
            <w:r>
              <w:rPr>
                <w:rFonts w:ascii="Times New Roman" w:hAnsi="Times New Roman"/>
                <w:b/>
                <w:sz w:val="24"/>
                <w:u w:val="single"/>
              </w:rPr>
              <w:t>VaR</w:t>
            </w:r>
            <w:proofErr w:type="spellEnd"/>
            <w:r>
              <w:rPr>
                <w:rFonts w:ascii="Times New Roman" w:hAnsi="Times New Roman"/>
                <w:b/>
                <w:sz w:val="24"/>
                <w:u w:val="single"/>
              </w:rPr>
              <w:t xml:space="preserve">) </w:t>
            </w:r>
          </w:p>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sz w:val="24"/>
              </w:rPr>
              <w:lastRenderedPageBreak/>
              <w:t>Il s'agit de la perte potentielle maximale qui résulterait d'une variation du prix selon une probabilité donnée et dans un délai défini.</w:t>
            </w: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030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Facteur de multiplication (mc) x moyenne de la </w:t>
            </w:r>
            <w:proofErr w:type="spellStart"/>
            <w:r>
              <w:rPr>
                <w:rFonts w:ascii="Times New Roman" w:hAnsi="Times New Roman"/>
                <w:b/>
                <w:sz w:val="24"/>
                <w:u w:val="single"/>
              </w:rPr>
              <w:t>VaR</w:t>
            </w:r>
            <w:proofErr w:type="spellEnd"/>
            <w:r>
              <w:rPr>
                <w:rFonts w:ascii="Times New Roman" w:hAnsi="Times New Roman"/>
                <w:b/>
                <w:sz w:val="24"/>
                <w:u w:val="single"/>
              </w:rPr>
              <w:t xml:space="preserve"> sur les 60 derniers jours ouvrés (</w:t>
            </w:r>
            <w:proofErr w:type="spellStart"/>
            <w:r>
              <w:rPr>
                <w:rFonts w:ascii="Times New Roman" w:hAnsi="Times New Roman"/>
                <w:b/>
                <w:sz w:val="24"/>
                <w:u w:val="single"/>
              </w:rPr>
              <w:t>VaRavg</w:t>
            </w:r>
            <w:proofErr w:type="spellEnd"/>
            <w:r>
              <w:rPr>
                <w:rFonts w:ascii="Times New Roman" w:hAnsi="Times New Roman"/>
                <w:b/>
                <w:sz w:val="24"/>
                <w:u w:val="single"/>
              </w:rPr>
              <w:t>)</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Article 364, paragraphe 1, point a) ii), et article 365, paragraphe 1, du CRR. </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de la veille (VaRt-1)</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Article 364, paragraphe 1, point a) i), et article 365, paragraphe 1, du CRR. </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en situation de tensions</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Il s'agit de la perte potentielle maximale qui résulterait d'une variation du prix selon une probabilité donnée et dans un délai défini, déterminée sur la base des données d'entrée calibrées par rapport aux données historiques afférentes à une période de tensions financières d'une durée continue de douze mois pertinentes pour le portefeuille de l'établissement.</w:t>
            </w: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Facteur de multiplication (ms) x moyenne des 60 derniers jours ouvrés (</w:t>
            </w:r>
            <w:proofErr w:type="spellStart"/>
            <w:r>
              <w:rPr>
                <w:rFonts w:ascii="Times New Roman" w:hAnsi="Times New Roman"/>
                <w:b/>
                <w:sz w:val="24"/>
                <w:u w:val="single"/>
              </w:rPr>
              <w:t>SVaRavg</w:t>
            </w:r>
            <w:proofErr w:type="spellEnd"/>
            <w:r>
              <w:rPr>
                <w:rFonts w:ascii="Times New Roman" w:hAnsi="Times New Roman"/>
                <w:b/>
                <w:sz w:val="24"/>
                <w:u w:val="single"/>
              </w:rPr>
              <w:t>)</w:t>
            </w:r>
          </w:p>
          <w:p w:rsidR="001A6C53" w:rsidRPr="00392FFD" w:rsidRDefault="001A6C53" w:rsidP="008D2F6E">
            <w:pPr>
              <w:autoSpaceDE w:val="0"/>
              <w:autoSpaceDN w:val="0"/>
              <w:adjustRightInd w:val="0"/>
              <w:spacing w:before="0" w:after="0"/>
              <w:rPr>
                <w:rStyle w:val="InstructionsTabelleberschrift"/>
                <w:rFonts w:ascii="Times New Roman" w:hAnsi="Times New Roman"/>
                <w:sz w:val="24"/>
              </w:rPr>
            </w:pPr>
          </w:p>
          <w:p w:rsidR="001A6C53" w:rsidRPr="00392FFD" w:rsidRDefault="001A6C53" w:rsidP="008D2F6E">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Article 364, paragraphe 1, point b) ii), et article 365, paragraphe 1, du CRR.</w:t>
            </w:r>
            <w:r>
              <w:rPr>
                <w:rStyle w:val="InstructionsTabelleberschrift"/>
                <w:rFonts w:ascii="Times New Roman" w:hAnsi="Times New Roman"/>
                <w:sz w:val="24"/>
              </w:rPr>
              <w:t xml:space="preserve"> </w:t>
            </w:r>
          </w:p>
          <w:p w:rsidR="001A6C53" w:rsidRPr="00392FFD" w:rsidRDefault="001A6C53" w:rsidP="008D2F6E">
            <w:pPr>
              <w:autoSpaceDE w:val="0"/>
              <w:autoSpaceDN w:val="0"/>
              <w:adjustRightInd w:val="0"/>
              <w:spacing w:before="0" w:after="0"/>
              <w:rPr>
                <w:rStyle w:val="InstructionsTabelleberschrift"/>
                <w:rFonts w:ascii="Times New Roman" w:hAnsi="Times New Roman"/>
                <w:sz w:val="24"/>
              </w:rPr>
            </w:pP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Dernière mesure disponible (SVaRt-1)</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Article 364, paragraphe 1, point b) i), et article 365, paragraphe 1, du CRR. </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070-080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 POUR RISQUES SUPPLÉME</w:t>
            </w:r>
            <w:r>
              <w:rPr>
                <w:rFonts w:ascii="Times New Roman" w:hAnsi="Times New Roman"/>
                <w:b/>
                <w:sz w:val="24"/>
                <w:u w:val="single"/>
              </w:rPr>
              <w:t>N</w:t>
            </w:r>
            <w:r>
              <w:rPr>
                <w:rFonts w:ascii="Times New Roman" w:hAnsi="Times New Roman"/>
                <w:b/>
                <w:sz w:val="24"/>
                <w:u w:val="single"/>
              </w:rPr>
              <w:t>TAIRES DE DÉFAUT ET DE MIGRATION</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rPr>
                <w:rFonts w:ascii="Times New Roman" w:hAnsi="Times New Roman"/>
                <w:sz w:val="24"/>
              </w:rPr>
            </w:pPr>
            <w:r>
              <w:rPr>
                <w:rFonts w:ascii="Times New Roman" w:hAnsi="Times New Roman"/>
                <w:sz w:val="24"/>
              </w:rPr>
              <w:t>Il s'agit de la perte potentielle maximale qui résulterait d'une variation de prix liée à des risques de défaut et de migration, calculée conformément à l'a</w:t>
            </w:r>
            <w:r>
              <w:rPr>
                <w:rFonts w:ascii="Times New Roman" w:hAnsi="Times New Roman"/>
                <w:sz w:val="24"/>
              </w:rPr>
              <w:t>r</w:t>
            </w:r>
            <w:r>
              <w:rPr>
                <w:rFonts w:ascii="Times New Roman" w:hAnsi="Times New Roman"/>
                <w:sz w:val="24"/>
              </w:rPr>
              <w:t>ticle 364, paragraphe 2, point b), en relation avec les dispositions de la tro</w:t>
            </w:r>
            <w:r>
              <w:rPr>
                <w:rFonts w:ascii="Times New Roman" w:hAnsi="Times New Roman"/>
                <w:sz w:val="24"/>
              </w:rPr>
              <w:t>i</w:t>
            </w:r>
            <w:r>
              <w:rPr>
                <w:rFonts w:ascii="Times New Roman" w:hAnsi="Times New Roman"/>
                <w:sz w:val="24"/>
              </w:rPr>
              <w:t xml:space="preserve">sième partie, titre IV, chapitre 5, section 4 du CRR. </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Mesure moyenne sur 12 semaines</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Article 364, paragraphe 2, point b) ii), en relation avec la troisième partie, titre IV, chapitre 5, section 4 du CRR.</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Dernière mesure</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Article 364, paragraphe 2, point b) ii), en relation avec la troisième partie, titre IV, chapitre 5, section 4 du CRR.</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 TOUS RISQUES DE PRIX POUR LE PORTEFEUILLE DE NÉGOCIATION EN CORRÉLATION</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PLANCHER</w:t>
            </w:r>
          </w:p>
          <w:p w:rsidR="001A6C53" w:rsidRPr="00392FFD" w:rsidRDefault="001A6C53" w:rsidP="008D2F6E">
            <w:pPr>
              <w:rPr>
                <w:rFonts w:ascii="Times New Roman" w:hAnsi="Times New Roman"/>
                <w:sz w:val="24"/>
              </w:rPr>
            </w:pPr>
            <w:r>
              <w:rPr>
                <w:rFonts w:ascii="Times New Roman" w:hAnsi="Times New Roman"/>
                <w:sz w:val="24"/>
              </w:rPr>
              <w:lastRenderedPageBreak/>
              <w:t>Article 364, paragraphe 3, point c), du CRR</w:t>
            </w:r>
          </w:p>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sz w:val="24"/>
              </w:rPr>
              <w:t>= 8 % de l'exigence de fonds propres qui serait calculée conformément à l'a</w:t>
            </w:r>
            <w:r>
              <w:rPr>
                <w:rFonts w:ascii="Times New Roman" w:hAnsi="Times New Roman"/>
                <w:sz w:val="24"/>
              </w:rPr>
              <w:t>r</w:t>
            </w:r>
            <w:r>
              <w:rPr>
                <w:rFonts w:ascii="Times New Roman" w:hAnsi="Times New Roman"/>
                <w:sz w:val="24"/>
              </w:rPr>
              <w:t>ticle 338, paragraphe 1, du CRR, pour toutes les positions prises en compte dans les exigences de fonds propres «tous risques de prix».</w:t>
            </w:r>
            <w:r>
              <w:rPr>
                <w:rFonts w:ascii="Times New Roman" w:hAnsi="Times New Roman"/>
                <w:b/>
                <w:sz w:val="24"/>
                <w:u w:val="single"/>
              </w:rPr>
              <w:t xml:space="preserve"> </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100-110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MESURE MOYENNE SUR 12 SEMAINES ET DERNIÈRE MESURE</w:t>
            </w:r>
          </w:p>
          <w:p w:rsidR="001A6C53" w:rsidRPr="00392FFD" w:rsidRDefault="001A6C53" w:rsidP="008D2F6E">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Article 364, paragraphe 3, point b)</w:t>
            </w:r>
          </w:p>
          <w:p w:rsidR="001A6C53" w:rsidRPr="00392FFD" w:rsidRDefault="001A6C53" w:rsidP="008D2F6E">
            <w:pPr>
              <w:autoSpaceDE w:val="0"/>
              <w:autoSpaceDN w:val="0"/>
              <w:adjustRightInd w:val="0"/>
              <w:spacing w:before="0" w:after="0"/>
              <w:rPr>
                <w:rFonts w:ascii="Times New Roman" w:hAnsi="Times New Roman"/>
                <w:bCs/>
                <w:sz w:val="24"/>
                <w:u w:val="single"/>
              </w:rPr>
            </w:pP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DERNIÈRE MESURE</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Article 364, paragraphe 3, point a)</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120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Visées à l'article 364 du CRR pour tous les facteurs de risque, compte tenu des effets de corrélation, le cas échéant, ainsi que des risques supplémentaires de défaut et de migration et de tous les risques de prix pour le CTP, à l'exclusion toutefois des exigences de fonds propres pour les titrisations et les dérivés de crédit au nième défaut conformément à l'article 364, paragraphe 2, du CRR. </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130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 TOTAL D'EXPOSITION AU RISQUE</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Article 92, paragraphe 4, point b) du CRR. Résultat de la multiplication par 12,5 des exigences de fonds propres.</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140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Nombre de dépassements (au cours des 250 derniers jours ouvrés)</w:t>
            </w:r>
          </w:p>
          <w:p w:rsidR="001A6C53" w:rsidRPr="00392FFD" w:rsidRDefault="001A6C53" w:rsidP="008D2F6E">
            <w:pPr>
              <w:autoSpaceDE w:val="0"/>
              <w:autoSpaceDN w:val="0"/>
              <w:adjustRightInd w:val="0"/>
              <w:spacing w:before="0" w:after="0"/>
              <w:rPr>
                <w:rFonts w:ascii="Times New Roman" w:hAnsi="Times New Roman"/>
                <w:sz w:val="24"/>
              </w:rPr>
            </w:pPr>
          </w:p>
          <w:p w:rsidR="001A6C53"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Voir l'article 366 du CRR. </w:t>
            </w:r>
          </w:p>
          <w:p w:rsidR="001A6C53"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 nombre de dépassements sur la base duquel le cumulateur est déterminé doit être déclaré dans ce poste.</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150-160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Facteur de multiplication de la valeur en risque (mc) et facteur de mult</w:t>
            </w:r>
            <w:r>
              <w:rPr>
                <w:rFonts w:ascii="Times New Roman" w:hAnsi="Times New Roman"/>
                <w:b/>
                <w:sz w:val="24"/>
                <w:u w:val="single"/>
              </w:rPr>
              <w:t>i</w:t>
            </w:r>
            <w:r>
              <w:rPr>
                <w:rFonts w:ascii="Times New Roman" w:hAnsi="Times New Roman"/>
                <w:b/>
                <w:sz w:val="24"/>
                <w:u w:val="single"/>
              </w:rPr>
              <w:t>plication de la valeur en risque en situation de tensions (ms)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Voir l'article 366 du CRR.</w:t>
            </w:r>
            <w:r>
              <w:rPr>
                <w:rStyle w:val="InstructionsTabelleberschrift"/>
                <w:rFonts w:ascii="Times New Roman" w:hAnsi="Times New Roman"/>
                <w:sz w:val="24"/>
              </w:rPr>
              <w:t xml:space="preserve"> </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170-180</w:t>
            </w:r>
          </w:p>
        </w:tc>
        <w:tc>
          <w:tcPr>
            <w:tcW w:w="7869"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 PRÉSUMÉE POUR LE PLANCHER DU PORTEFEUILLE DE NÉGOCIATION EN CORRÉLATION - POSITIONS LONGUES/COURTES NETTES PONDÉRÉES APRÈS APPLICATION DU PLAFOND</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Les montants déclarés, qui servent de base au calcul de l'exigence plancher de fonds propres pour tous les risques de prix, conformément à l'article 364, par</w:t>
            </w:r>
            <w:r>
              <w:rPr>
                <w:rFonts w:ascii="Times New Roman" w:hAnsi="Times New Roman"/>
                <w:sz w:val="24"/>
              </w:rPr>
              <w:t>a</w:t>
            </w:r>
            <w:r>
              <w:rPr>
                <w:rFonts w:ascii="Times New Roman" w:hAnsi="Times New Roman"/>
                <w:sz w:val="24"/>
              </w:rPr>
              <w:t>graphe 3, point c), du CRR, tiennent compte de la marge d'appréciation de l'a</w:t>
            </w:r>
            <w:r>
              <w:rPr>
                <w:rFonts w:ascii="Times New Roman" w:hAnsi="Times New Roman"/>
                <w:sz w:val="24"/>
              </w:rPr>
              <w:t>r</w:t>
            </w:r>
            <w:r>
              <w:rPr>
                <w:rFonts w:ascii="Times New Roman" w:hAnsi="Times New Roman"/>
                <w:sz w:val="24"/>
              </w:rPr>
              <w:t xml:space="preserve">ticle 335 du CRR, lequel dispose qu'un établissement peut plafonner le produit de la pondération et de la position nette à la perte maximale possible liée à un défaut. </w:t>
            </w:r>
          </w:p>
          <w:p w:rsidR="001A6C53" w:rsidRPr="00392FFD" w:rsidRDefault="001A6C53" w:rsidP="008D2F6E">
            <w:pPr>
              <w:autoSpaceDE w:val="0"/>
              <w:autoSpaceDN w:val="0"/>
              <w:adjustRightInd w:val="0"/>
              <w:spacing w:before="0" w:after="0"/>
              <w:rPr>
                <w:rStyle w:val="InstructionsTabelleberschrift"/>
                <w:rFonts w:ascii="Times New Roman" w:hAnsi="Times New Roman"/>
                <w:sz w:val="24"/>
              </w:rPr>
            </w:pPr>
          </w:p>
        </w:tc>
      </w:tr>
    </w:tbl>
    <w:p w:rsidR="001A6C53" w:rsidRPr="00392FFD" w:rsidRDefault="001A6C53" w:rsidP="001A6C53">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1A6C53" w:rsidRPr="00392FFD" w:rsidTr="008D2F6E">
        <w:trPr>
          <w:trHeight w:val="566"/>
        </w:trPr>
        <w:tc>
          <w:tcPr>
            <w:tcW w:w="8896" w:type="dxa"/>
            <w:gridSpan w:val="2"/>
            <w:shd w:val="clear" w:color="auto" w:fill="CCCCCC"/>
          </w:tcPr>
          <w:p w:rsidR="001A6C53" w:rsidRPr="00392FFD" w:rsidRDefault="001A6C53" w:rsidP="008D2F6E">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903"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DES POSITIONS</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Correspond à la portion du risque de position, du risque de change et du risque sur matières premières, visés à l'article 363, paragraphe 1 du CRR, liée aux fa</w:t>
            </w:r>
            <w:r>
              <w:rPr>
                <w:rFonts w:ascii="Times New Roman" w:hAnsi="Times New Roman"/>
                <w:sz w:val="24"/>
              </w:rPr>
              <w:t>c</w:t>
            </w:r>
            <w:r>
              <w:rPr>
                <w:rFonts w:ascii="Times New Roman" w:hAnsi="Times New Roman"/>
                <w:sz w:val="24"/>
              </w:rPr>
              <w:t xml:space="preserve">teurs de risque énoncés à l'article 367, paragraphe 2, du CRR. </w:t>
            </w: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En ce qui concerne les colonnes 030 à 060 (</w:t>
            </w:r>
            <w:proofErr w:type="spellStart"/>
            <w:r>
              <w:rPr>
                <w:rFonts w:ascii="Times New Roman" w:hAnsi="Times New Roman"/>
                <w:sz w:val="24"/>
              </w:rPr>
              <w:t>VaR</w:t>
            </w:r>
            <w:proofErr w:type="spellEnd"/>
            <w:r>
              <w:rPr>
                <w:rFonts w:ascii="Times New Roman" w:hAnsi="Times New Roman"/>
                <w:sz w:val="24"/>
              </w:rPr>
              <w:t xml:space="preserve"> et </w:t>
            </w:r>
            <w:proofErr w:type="spellStart"/>
            <w:r>
              <w:rPr>
                <w:rFonts w:ascii="Times New Roman" w:hAnsi="Times New Roman"/>
                <w:sz w:val="24"/>
              </w:rPr>
              <w:t>sVaR</w:t>
            </w:r>
            <w:proofErr w:type="spellEnd"/>
            <w:r>
              <w:rPr>
                <w:rFonts w:ascii="Times New Roman" w:hAnsi="Times New Roman"/>
                <w:sz w:val="24"/>
              </w:rPr>
              <w:t xml:space="preserve">), les chiffres de la ligne du total ne sont pas égaux à la décomposition des chiffres pour la </w:t>
            </w:r>
            <w:proofErr w:type="spellStart"/>
            <w:r>
              <w:rPr>
                <w:rFonts w:ascii="Times New Roman" w:hAnsi="Times New Roman"/>
                <w:sz w:val="24"/>
              </w:rPr>
              <w:t>VaR</w:t>
            </w:r>
            <w:proofErr w:type="spellEnd"/>
            <w:r>
              <w:rPr>
                <w:rFonts w:ascii="Times New Roman" w:hAnsi="Times New Roman"/>
                <w:sz w:val="24"/>
              </w:rPr>
              <w:t>/</w:t>
            </w:r>
            <w:proofErr w:type="spellStart"/>
            <w:r>
              <w:rPr>
                <w:rFonts w:ascii="Times New Roman" w:hAnsi="Times New Roman"/>
                <w:sz w:val="24"/>
              </w:rPr>
              <w:t>sVaR</w:t>
            </w:r>
            <w:proofErr w:type="spellEnd"/>
            <w:r>
              <w:rPr>
                <w:rFonts w:ascii="Times New Roman" w:hAnsi="Times New Roman"/>
                <w:sz w:val="24"/>
              </w:rPr>
              <w:t xml:space="preserve"> des composantes de risque pertinentes. La décomposition est donc pour mémoire. </w:t>
            </w:r>
          </w:p>
          <w:p w:rsidR="001A6C53" w:rsidRPr="00392FFD" w:rsidRDefault="001A6C53" w:rsidP="008D2F6E">
            <w:pPr>
              <w:autoSpaceDE w:val="0"/>
              <w:autoSpaceDN w:val="0"/>
              <w:adjustRightInd w:val="0"/>
              <w:spacing w:before="0" w:after="0"/>
              <w:rPr>
                <w:rFonts w:ascii="Times New Roman" w:hAnsi="Times New Roman"/>
                <w:sz w:val="24"/>
              </w:rPr>
            </w:pP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903"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TITRES DE CRÉANCE NÉGOCIÉS</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Correspond à la portion du risque de position visé à l'article 363, paragraphe 1, du CRR liée aux facteurs de risque de taux d'intérêt énoncés à l'article 367, p</w:t>
            </w:r>
            <w:r>
              <w:rPr>
                <w:rFonts w:ascii="Times New Roman" w:hAnsi="Times New Roman"/>
                <w:sz w:val="24"/>
              </w:rPr>
              <w:t>a</w:t>
            </w:r>
            <w:r>
              <w:rPr>
                <w:rFonts w:ascii="Times New Roman" w:hAnsi="Times New Roman"/>
                <w:sz w:val="24"/>
              </w:rPr>
              <w:t xml:space="preserve">ragraphe 2, du CRR. </w:t>
            </w: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903"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TITRES DE CRÉANCE NÉGOCIÉS – RISQUE GÉNÉRAL</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 xml:space="preserve">Le risque général est défini à l'article 362 du CRR. </w:t>
            </w: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903"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TITRES DE CRÉANCE NÉGOCIÉS – RISQUE SPÉCIFIQUE</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Le risque spécifique est défini à l'article 362 du CRR. </w:t>
            </w: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903"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ACTIONS</w:t>
            </w:r>
          </w:p>
          <w:p w:rsidR="001A6C53" w:rsidRPr="00392FFD" w:rsidRDefault="001A6C53" w:rsidP="008D2F6E">
            <w:pPr>
              <w:autoSpaceDE w:val="0"/>
              <w:autoSpaceDN w:val="0"/>
              <w:adjustRightInd w:val="0"/>
              <w:spacing w:before="0" w:after="0"/>
              <w:rPr>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Correspond à la portion du risque de position visé à l'article 363, paragraphe 1, du CRR liée aux facteurs de risque sur actions énoncés à l'article 367, par</w:t>
            </w:r>
            <w:r>
              <w:rPr>
                <w:rFonts w:ascii="Times New Roman" w:hAnsi="Times New Roman"/>
                <w:sz w:val="24"/>
              </w:rPr>
              <w:t>a</w:t>
            </w:r>
            <w:r>
              <w:rPr>
                <w:rFonts w:ascii="Times New Roman" w:hAnsi="Times New Roman"/>
                <w:sz w:val="24"/>
              </w:rPr>
              <w:t xml:space="preserve">graphe 2, du CRR. </w:t>
            </w:r>
          </w:p>
          <w:p w:rsidR="001A6C53" w:rsidRPr="00392FFD" w:rsidRDefault="001A6C53" w:rsidP="008D2F6E">
            <w:pPr>
              <w:autoSpaceDE w:val="0"/>
              <w:autoSpaceDN w:val="0"/>
              <w:adjustRightInd w:val="0"/>
              <w:spacing w:before="0" w:after="0"/>
              <w:rPr>
                <w:rFonts w:ascii="Times New Roman" w:hAnsi="Times New Roman"/>
                <w:b/>
                <w:bCs/>
                <w:sz w:val="24"/>
                <w:u w:val="single"/>
              </w:rPr>
            </w:pP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903"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ACTIONS – RISQUE GÉNÉRAL</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sz w:val="24"/>
              </w:rPr>
              <w:t>Le risque général est défini à l'article 362 du CRR.</w:t>
            </w: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ACTIONS – RISQUE SPÉCIFIQUE</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Le risque spécifique est défini à l'article 362 du CRR. </w:t>
            </w: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903"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RISQUE DE CHANGE</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sz w:val="24"/>
              </w:rPr>
              <w:t>Article 363, paragraphe 1, et article 367, paragraphe 2, du CRR.</w:t>
            </w: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903"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RISQUE SUR MATIÈRES PREMIÈRES</w:t>
            </w:r>
          </w:p>
          <w:p w:rsidR="001A6C53" w:rsidRPr="00392FFD" w:rsidRDefault="001A6C53" w:rsidP="008D2F6E">
            <w:pPr>
              <w:autoSpaceDE w:val="0"/>
              <w:autoSpaceDN w:val="0"/>
              <w:adjustRightInd w:val="0"/>
              <w:spacing w:before="0" w:after="0"/>
              <w:rPr>
                <w:rFonts w:ascii="Times New Roman" w:hAnsi="Times New Roman"/>
                <w:b/>
                <w:bCs/>
                <w:sz w:val="24"/>
                <w:u w:val="single"/>
              </w:rPr>
            </w:pPr>
          </w:p>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Article 363, paragraphe 1, et article 367, paragraphe 2, du CRR. </w:t>
            </w: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903"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 TOTAL RISQUE GÉNÉRAL</w:t>
            </w: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Risque de marché provoqué par des mouvements généraux des marchés des titres de créance négociés, des actions, des changes et des matières premières.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pour risque général de tous les facteurs de risque (compte tenu des effets de corrélation, le cas échéant). </w:t>
            </w:r>
          </w:p>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 </w:t>
            </w:r>
          </w:p>
        </w:tc>
      </w:tr>
      <w:tr w:rsidR="001A6C53" w:rsidRPr="00392FFD" w:rsidTr="008D2F6E">
        <w:tc>
          <w:tcPr>
            <w:tcW w:w="993" w:type="dxa"/>
          </w:tcPr>
          <w:p w:rsidR="001A6C53" w:rsidRPr="00392FFD" w:rsidRDefault="001A6C53" w:rsidP="008D2F6E">
            <w:pPr>
              <w:autoSpaceDE w:val="0"/>
              <w:autoSpaceDN w:val="0"/>
              <w:adjustRightInd w:val="0"/>
              <w:spacing w:before="0" w:after="0"/>
              <w:rPr>
                <w:rFonts w:ascii="Times New Roman" w:hAnsi="Times New Roman"/>
                <w:sz w:val="24"/>
              </w:rPr>
            </w:pPr>
            <w:r>
              <w:rPr>
                <w:rFonts w:ascii="Times New Roman" w:hAnsi="Times New Roman"/>
                <w:sz w:val="24"/>
              </w:rPr>
              <w:lastRenderedPageBreak/>
              <w:t>110</w:t>
            </w:r>
          </w:p>
          <w:p w:rsidR="001A6C53" w:rsidRPr="00392FFD" w:rsidRDefault="001A6C53" w:rsidP="008D2F6E">
            <w:pPr>
              <w:jc w:val="center"/>
              <w:rPr>
                <w:rFonts w:ascii="Times New Roman" w:hAnsi="Times New Roman"/>
                <w:sz w:val="24"/>
              </w:rPr>
            </w:pPr>
          </w:p>
        </w:tc>
        <w:tc>
          <w:tcPr>
            <w:tcW w:w="7903" w:type="dxa"/>
          </w:tcPr>
          <w:p w:rsidR="001A6C53" w:rsidRPr="00392FFD" w:rsidRDefault="001A6C53" w:rsidP="008D2F6E">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 TOTAL RISQUE SPÉCIFIQUE</w:t>
            </w:r>
          </w:p>
          <w:p w:rsidR="001A6C53" w:rsidRPr="00392FFD" w:rsidRDefault="001A6C53" w:rsidP="008D2F6E">
            <w:pPr>
              <w:autoSpaceDE w:val="0"/>
              <w:autoSpaceDN w:val="0"/>
              <w:adjustRightInd w:val="0"/>
              <w:spacing w:before="0" w:after="0"/>
              <w:rPr>
                <w:rStyle w:val="InstructionsTabelleText"/>
                <w:rFonts w:ascii="Times New Roman" w:hAnsi="Times New Roman"/>
                <w:sz w:val="24"/>
              </w:rPr>
            </w:pPr>
          </w:p>
          <w:p w:rsidR="001A6C53" w:rsidRPr="00392FFD" w:rsidRDefault="001A6C53" w:rsidP="008D2F6E">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Composante de risque spécifique des titres de créance négociés et des actions.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pour risque spécifique lié aux actions et aux titres de créance négociés du portefeuille de négociation (compte tenu des effets de corrélation, le cas échéant).</w:t>
            </w:r>
          </w:p>
        </w:tc>
      </w:tr>
    </w:tbl>
    <w:p w:rsidR="001A6C53" w:rsidRPr="00392FFD" w:rsidRDefault="001A6C53" w:rsidP="001A6C53">
      <w:pPr>
        <w:spacing w:before="0" w:after="0"/>
        <w:jc w:val="left"/>
        <w:rPr>
          <w:rStyle w:val="InstructionsTabelleText"/>
          <w:rFonts w:ascii="Times New Roman" w:hAnsi="Times New Roman"/>
          <w:sz w:val="24"/>
        </w:rPr>
      </w:pPr>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34" w:name="_Toc524104243"/>
      <w:r>
        <w:rPr>
          <w:rFonts w:ascii="Times New Roman" w:hAnsi="Times New Roman"/>
          <w:sz w:val="24"/>
          <w:u w:val="none"/>
        </w:rPr>
        <w:t>5.8.</w:t>
      </w:r>
      <w:r w:rsidRPr="00AB77FB">
        <w:rPr>
          <w:u w:val="none"/>
        </w:rPr>
        <w:tab/>
      </w:r>
      <w:r>
        <w:rPr>
          <w:rFonts w:ascii="Times New Roman" w:hAnsi="Times New Roman"/>
          <w:sz w:val="24"/>
        </w:rPr>
        <w:t>C 25.00 - RISQUE D'AJUSTEMENT DE L'ÉVALUATION DE CRÉDIT (CVA)</w:t>
      </w:r>
      <w:bookmarkEnd w:id="434"/>
    </w:p>
    <w:p w:rsidR="001A6C53" w:rsidRPr="00321A3B" w:rsidRDefault="001A6C53" w:rsidP="001A6C53">
      <w:pPr>
        <w:pStyle w:val="Instructionsberschrift2"/>
        <w:numPr>
          <w:ilvl w:val="0"/>
          <w:numId w:val="0"/>
        </w:numPr>
        <w:ind w:left="357" w:hanging="357"/>
        <w:rPr>
          <w:rFonts w:ascii="Times New Roman" w:hAnsi="Times New Roman" w:cs="Times New Roman"/>
          <w:sz w:val="24"/>
        </w:rPr>
      </w:pPr>
      <w:bookmarkStart w:id="435" w:name="_Toc524104244"/>
      <w:r>
        <w:rPr>
          <w:rFonts w:ascii="Times New Roman" w:hAnsi="Times New Roman"/>
          <w:sz w:val="24"/>
          <w:u w:val="none"/>
        </w:rPr>
        <w:t>5.8.1.</w:t>
      </w:r>
      <w:r w:rsidRPr="00AB77FB">
        <w:rPr>
          <w:u w:val="none"/>
        </w:rPr>
        <w:tab/>
      </w:r>
      <w:r>
        <w:rPr>
          <w:rFonts w:ascii="Times New Roman" w:hAnsi="Times New Roman"/>
          <w:sz w:val="24"/>
        </w:rPr>
        <w:t>Instructions concernant certaines positions</w:t>
      </w:r>
      <w:bookmarkEnd w:id="4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A6C53" w:rsidRPr="00392FFD" w:rsidTr="008D2F6E">
        <w:tc>
          <w:tcPr>
            <w:tcW w:w="8856" w:type="dxa"/>
            <w:gridSpan w:val="2"/>
            <w:shd w:val="clear" w:color="auto" w:fill="CCCCCC"/>
          </w:tcPr>
          <w:p w:rsidR="001A6C53" w:rsidRPr="00392FFD" w:rsidRDefault="001A6C53" w:rsidP="008D2F6E">
            <w:pPr>
              <w:rPr>
                <w:rFonts w:ascii="Times New Roman" w:hAnsi="Times New Roman"/>
                <w:b/>
                <w:sz w:val="24"/>
              </w:rPr>
            </w:pPr>
            <w:r>
              <w:rPr>
                <w:rFonts w:ascii="Times New Roman" w:hAnsi="Times New Roman"/>
                <w:b/>
                <w:sz w:val="24"/>
              </w:rPr>
              <w:t>Colonnes</w:t>
            </w: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t>010</w:t>
            </w:r>
          </w:p>
        </w:tc>
        <w:tc>
          <w:tcPr>
            <w:tcW w:w="8004"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 xml:space="preserve">Valeur exposée au risque </w:t>
            </w:r>
          </w:p>
          <w:p w:rsidR="001A6C53" w:rsidRPr="00392FFD" w:rsidRDefault="001A6C53" w:rsidP="008D2F6E">
            <w:pPr>
              <w:rPr>
                <w:rFonts w:ascii="Times New Roman" w:hAnsi="Times New Roman"/>
                <w:sz w:val="24"/>
              </w:rPr>
            </w:pPr>
            <w:r>
              <w:rPr>
                <w:rFonts w:ascii="Times New Roman" w:hAnsi="Times New Roman"/>
                <w:sz w:val="24"/>
              </w:rPr>
              <w:t>Article 271 du CRR, en relation avec l'article 382 du CRR.</w:t>
            </w:r>
          </w:p>
          <w:p w:rsidR="001A6C53" w:rsidRPr="00392FFD" w:rsidRDefault="001A6C53" w:rsidP="008D2F6E">
            <w:pPr>
              <w:rPr>
                <w:rFonts w:ascii="Times New Roman" w:hAnsi="Times New Roman"/>
                <w:sz w:val="24"/>
              </w:rPr>
            </w:pPr>
            <w:r>
              <w:rPr>
                <w:rFonts w:ascii="Times New Roman" w:hAnsi="Times New Roman"/>
                <w:sz w:val="24"/>
              </w:rPr>
              <w:t xml:space="preserve">Valeur totale exposée au risque provenant de toutes les opérations soumises à une exigence de fonds propres pour risque de CVA. </w:t>
            </w: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t>020</w:t>
            </w:r>
          </w:p>
        </w:tc>
        <w:tc>
          <w:tcPr>
            <w:tcW w:w="8004"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 xml:space="preserve">Dont: Instruments dérivés de gré à gré </w:t>
            </w:r>
          </w:p>
          <w:p w:rsidR="001A6C53" w:rsidRPr="00392FFD" w:rsidRDefault="001A6C53" w:rsidP="008D2F6E">
            <w:pPr>
              <w:rPr>
                <w:rFonts w:ascii="Times New Roman" w:hAnsi="Times New Roman"/>
                <w:sz w:val="24"/>
              </w:rPr>
            </w:pPr>
            <w:r>
              <w:rPr>
                <w:rFonts w:ascii="Times New Roman" w:hAnsi="Times New Roman"/>
                <w:sz w:val="24"/>
              </w:rPr>
              <w:t>Article 271 du CRR, en relation avec l'article 382, paragraphe 1, du CRR.</w:t>
            </w:r>
          </w:p>
          <w:p w:rsidR="001A6C53" w:rsidRPr="00392FFD" w:rsidRDefault="001A6C53" w:rsidP="008D2F6E">
            <w:pPr>
              <w:rPr>
                <w:rFonts w:ascii="Times New Roman" w:hAnsi="Times New Roman"/>
                <w:sz w:val="24"/>
              </w:rPr>
            </w:pPr>
            <w:r>
              <w:rPr>
                <w:rFonts w:ascii="Times New Roman" w:hAnsi="Times New Roman"/>
                <w:sz w:val="24"/>
              </w:rPr>
              <w:t>La portion du risque total de crédit de contrepartie due aux seuls dérivés de gré à gré. Ces données ne sont pas demandées pour les établissements utilisant les modèles internes, et qui ont placé leurs dérivés de gré à gré et leurs opérations de financement sur titres dans un même ensemble de compensation.</w:t>
            </w: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t>030</w:t>
            </w:r>
          </w:p>
        </w:tc>
        <w:tc>
          <w:tcPr>
            <w:tcW w:w="8004"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 xml:space="preserve">Dont: Opérations de financement sur titres </w:t>
            </w:r>
          </w:p>
          <w:p w:rsidR="001A6C53" w:rsidRPr="00392FFD" w:rsidRDefault="001A6C53" w:rsidP="008D2F6E">
            <w:pPr>
              <w:rPr>
                <w:rFonts w:ascii="Times New Roman" w:hAnsi="Times New Roman"/>
                <w:sz w:val="24"/>
              </w:rPr>
            </w:pPr>
            <w:r>
              <w:rPr>
                <w:rFonts w:ascii="Times New Roman" w:hAnsi="Times New Roman"/>
                <w:sz w:val="24"/>
              </w:rPr>
              <w:t>Article 271 du CRR, en relation avec l'article 382, paragraphe 2, du CRR.</w:t>
            </w:r>
          </w:p>
          <w:p w:rsidR="001A6C53" w:rsidRPr="00392FFD" w:rsidRDefault="001A6C53" w:rsidP="008D2F6E">
            <w:pPr>
              <w:rPr>
                <w:rFonts w:ascii="Times New Roman" w:hAnsi="Times New Roman"/>
                <w:sz w:val="24"/>
              </w:rPr>
            </w:pPr>
            <w:r>
              <w:rPr>
                <w:rFonts w:ascii="Times New Roman" w:hAnsi="Times New Roman"/>
                <w:sz w:val="24"/>
              </w:rPr>
              <w:t>La portion du risque total de crédit de contrepartie due aux seuls dérivés sur op</w:t>
            </w:r>
            <w:r>
              <w:rPr>
                <w:rFonts w:ascii="Times New Roman" w:hAnsi="Times New Roman"/>
                <w:sz w:val="24"/>
              </w:rPr>
              <w:t>é</w:t>
            </w:r>
            <w:r>
              <w:rPr>
                <w:rFonts w:ascii="Times New Roman" w:hAnsi="Times New Roman"/>
                <w:sz w:val="24"/>
              </w:rPr>
              <w:t>rations de financement sur titres. Ces données ne sont pas demandées pour les établissements utilisant les modèles internes, et qui ont placé leurs dérivés de gré à gré et leurs opérations de financement sur titres dans un même ensemble de compensation.</w:t>
            </w: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t>040</w:t>
            </w:r>
          </w:p>
        </w:tc>
        <w:tc>
          <w:tcPr>
            <w:tcW w:w="8004"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FACTEUR DE MULTIPLICATION (mc) x MOYENNE DES 60 DE</w:t>
            </w:r>
            <w:r>
              <w:rPr>
                <w:rFonts w:ascii="Times New Roman" w:hAnsi="Times New Roman"/>
                <w:b/>
                <w:sz w:val="24"/>
                <w:u w:val="single"/>
              </w:rPr>
              <w:t>R</w:t>
            </w:r>
            <w:r>
              <w:rPr>
                <w:rFonts w:ascii="Times New Roman" w:hAnsi="Times New Roman"/>
                <w:b/>
                <w:sz w:val="24"/>
                <w:u w:val="single"/>
              </w:rPr>
              <w:t>NIERS JOURS OUVRÉS (</w:t>
            </w:r>
            <w:proofErr w:type="spellStart"/>
            <w:r>
              <w:rPr>
                <w:rFonts w:ascii="Times New Roman" w:hAnsi="Times New Roman"/>
                <w:b/>
                <w:sz w:val="24"/>
                <w:u w:val="single"/>
              </w:rPr>
              <w:t>VaRavg</w:t>
            </w:r>
            <w:proofErr w:type="spellEnd"/>
            <w:r>
              <w:rPr>
                <w:rFonts w:ascii="Times New Roman" w:hAnsi="Times New Roman"/>
                <w:b/>
                <w:sz w:val="24"/>
                <w:u w:val="single"/>
              </w:rPr>
              <w:t>)</w:t>
            </w:r>
          </w:p>
          <w:p w:rsidR="001A6C53" w:rsidRPr="00392FFD" w:rsidRDefault="001A6C53" w:rsidP="008D2F6E">
            <w:pPr>
              <w:rPr>
                <w:rFonts w:ascii="Times New Roman" w:hAnsi="Times New Roman"/>
                <w:sz w:val="24"/>
              </w:rPr>
            </w:pPr>
            <w:r>
              <w:rPr>
                <w:rFonts w:ascii="Times New Roman" w:hAnsi="Times New Roman"/>
                <w:sz w:val="24"/>
              </w:rPr>
              <w:t>Article 383 du CRR, en relation avec l'article 363, paragraphe 1, point d), du CRR.</w:t>
            </w:r>
          </w:p>
          <w:p w:rsidR="001A6C53" w:rsidRPr="00392FFD" w:rsidRDefault="001A6C53" w:rsidP="008D2F6E">
            <w:pPr>
              <w:rPr>
                <w:rFonts w:ascii="Times New Roman" w:hAnsi="Times New Roman"/>
                <w:sz w:val="24"/>
              </w:rPr>
            </w:pPr>
            <w:r>
              <w:rPr>
                <w:rFonts w:ascii="Times New Roman" w:hAnsi="Times New Roman"/>
                <w:sz w:val="24"/>
              </w:rPr>
              <w:t>Calcul de la valeur en risque fondé sur les modèles internes pour risque de ma</w:t>
            </w:r>
            <w:r>
              <w:rPr>
                <w:rFonts w:ascii="Times New Roman" w:hAnsi="Times New Roman"/>
                <w:sz w:val="24"/>
              </w:rPr>
              <w:t>r</w:t>
            </w:r>
            <w:r>
              <w:rPr>
                <w:rFonts w:ascii="Times New Roman" w:hAnsi="Times New Roman"/>
                <w:sz w:val="24"/>
              </w:rPr>
              <w:t xml:space="preserve">ché. </w:t>
            </w: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t>050</w:t>
            </w:r>
          </w:p>
        </w:tc>
        <w:tc>
          <w:tcPr>
            <w:tcW w:w="8004" w:type="dxa"/>
          </w:tcPr>
          <w:p w:rsidR="001A6C53" w:rsidRPr="00392FFD" w:rsidRDefault="001A6C53" w:rsidP="008D2F6E">
            <w:pPr>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DE LA VEILLE (VaRt-1)</w:t>
            </w:r>
          </w:p>
          <w:p w:rsidR="001A6C53" w:rsidRPr="00392FFD" w:rsidRDefault="001A6C53" w:rsidP="008D2F6E">
            <w:pPr>
              <w:rPr>
                <w:rFonts w:ascii="Times New Roman" w:hAnsi="Times New Roman"/>
                <w:sz w:val="24"/>
              </w:rPr>
            </w:pPr>
            <w:r>
              <w:rPr>
                <w:rFonts w:ascii="Times New Roman" w:hAnsi="Times New Roman"/>
                <w:sz w:val="24"/>
              </w:rPr>
              <w:t>Voir les instructions concernant la colonne 040.</w:t>
            </w: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t>060</w:t>
            </w:r>
          </w:p>
        </w:tc>
        <w:tc>
          <w:tcPr>
            <w:tcW w:w="8004"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FACTEUR DE MULTIPLICATION (ms) x MOYENNE DES 60 DE</w:t>
            </w:r>
            <w:r>
              <w:rPr>
                <w:rFonts w:ascii="Times New Roman" w:hAnsi="Times New Roman"/>
                <w:b/>
                <w:sz w:val="24"/>
                <w:u w:val="single"/>
              </w:rPr>
              <w:t>R</w:t>
            </w:r>
            <w:r>
              <w:rPr>
                <w:rFonts w:ascii="Times New Roman" w:hAnsi="Times New Roman"/>
                <w:b/>
                <w:sz w:val="24"/>
                <w:u w:val="single"/>
              </w:rPr>
              <w:t>NIERS OUVRÉS (</w:t>
            </w:r>
            <w:proofErr w:type="spellStart"/>
            <w:r>
              <w:rPr>
                <w:rFonts w:ascii="Times New Roman" w:hAnsi="Times New Roman"/>
                <w:b/>
                <w:sz w:val="24"/>
                <w:u w:val="single"/>
              </w:rPr>
              <w:t>SVaRavg</w:t>
            </w:r>
            <w:proofErr w:type="spellEnd"/>
            <w:r>
              <w:rPr>
                <w:rFonts w:ascii="Times New Roman" w:hAnsi="Times New Roman"/>
                <w:b/>
                <w:sz w:val="24"/>
                <w:u w:val="single"/>
              </w:rPr>
              <w:t>)</w:t>
            </w:r>
          </w:p>
          <w:p w:rsidR="001A6C53" w:rsidRPr="00392FFD" w:rsidRDefault="001A6C53" w:rsidP="008D2F6E">
            <w:pPr>
              <w:rPr>
                <w:rFonts w:ascii="Times New Roman" w:hAnsi="Times New Roman"/>
                <w:sz w:val="24"/>
              </w:rPr>
            </w:pPr>
            <w:r>
              <w:rPr>
                <w:rFonts w:ascii="Times New Roman" w:hAnsi="Times New Roman"/>
                <w:sz w:val="24"/>
              </w:rPr>
              <w:lastRenderedPageBreak/>
              <w:t>Voir les instructions concernant la colonne 040.</w:t>
            </w: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lastRenderedPageBreak/>
              <w:t>070</w:t>
            </w:r>
          </w:p>
        </w:tc>
        <w:tc>
          <w:tcPr>
            <w:tcW w:w="8004"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DERNIÈRE MESURE DISPONIBLE (SVaRt-1)</w:t>
            </w:r>
          </w:p>
          <w:p w:rsidR="001A6C53" w:rsidRPr="00392FFD" w:rsidRDefault="001A6C53" w:rsidP="008D2F6E">
            <w:pPr>
              <w:rPr>
                <w:rFonts w:ascii="Times New Roman" w:hAnsi="Times New Roman"/>
                <w:b/>
                <w:sz w:val="24"/>
                <w:u w:val="single"/>
              </w:rPr>
            </w:pPr>
            <w:r>
              <w:rPr>
                <w:rFonts w:ascii="Times New Roman" w:hAnsi="Times New Roman"/>
                <w:sz w:val="24"/>
              </w:rPr>
              <w:t>Voir les instructions concernant la colonne 040.</w:t>
            </w: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t>080</w:t>
            </w:r>
          </w:p>
        </w:tc>
        <w:tc>
          <w:tcPr>
            <w:tcW w:w="8004"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EXIGENCES DE FONDS PROPRES</w:t>
            </w:r>
          </w:p>
          <w:p w:rsidR="001A6C53" w:rsidRPr="00392FFD" w:rsidRDefault="001A6C53" w:rsidP="008D2F6E">
            <w:pPr>
              <w:rPr>
                <w:rFonts w:ascii="Times New Roman" w:hAnsi="Times New Roman"/>
                <w:sz w:val="24"/>
              </w:rPr>
            </w:pPr>
            <w:r>
              <w:rPr>
                <w:rFonts w:ascii="Times New Roman" w:hAnsi="Times New Roman"/>
                <w:sz w:val="24"/>
              </w:rPr>
              <w:t>Article 92, paragraphe 3, point d), du CRR</w:t>
            </w:r>
          </w:p>
          <w:p w:rsidR="001A6C53" w:rsidRPr="00392FFD" w:rsidRDefault="001A6C53" w:rsidP="008D2F6E">
            <w:pPr>
              <w:rPr>
                <w:rFonts w:ascii="Times New Roman" w:hAnsi="Times New Roman"/>
                <w:sz w:val="24"/>
              </w:rPr>
            </w:pPr>
            <w:r>
              <w:rPr>
                <w:rFonts w:ascii="Times New Roman" w:hAnsi="Times New Roman"/>
                <w:sz w:val="24"/>
              </w:rPr>
              <w:t xml:space="preserve">Exigences de fonds propres pour risque de CVA, calculées selon la méthode choisie. </w:t>
            </w: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t>090</w:t>
            </w:r>
          </w:p>
        </w:tc>
        <w:tc>
          <w:tcPr>
            <w:tcW w:w="8004"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MONTANT TOTAL D'EXPOSITION AU RISQUE</w:t>
            </w:r>
          </w:p>
          <w:p w:rsidR="001A6C53" w:rsidRPr="00392FFD" w:rsidRDefault="001A6C53" w:rsidP="008D2F6E">
            <w:pPr>
              <w:rPr>
                <w:rFonts w:ascii="Times New Roman" w:hAnsi="Times New Roman"/>
                <w:sz w:val="24"/>
              </w:rPr>
            </w:pPr>
            <w:r>
              <w:rPr>
                <w:rFonts w:ascii="Times New Roman" w:hAnsi="Times New Roman"/>
                <w:sz w:val="24"/>
              </w:rPr>
              <w:t>Article 92, paragraphe 4, point b), du CRR</w:t>
            </w:r>
          </w:p>
          <w:p w:rsidR="001A6C53" w:rsidRPr="00392FFD" w:rsidRDefault="001A6C53" w:rsidP="008D2F6E">
            <w:pPr>
              <w:rPr>
                <w:rFonts w:ascii="Times New Roman" w:hAnsi="Times New Roman"/>
                <w:sz w:val="24"/>
              </w:rPr>
            </w:pPr>
            <w:r>
              <w:rPr>
                <w:rFonts w:ascii="Times New Roman" w:hAnsi="Times New Roman"/>
                <w:sz w:val="24"/>
              </w:rPr>
              <w:t>Exigences de fonds propres multipliées par 12,5.</w:t>
            </w:r>
          </w:p>
        </w:tc>
      </w:tr>
      <w:tr w:rsidR="001A6C53" w:rsidRPr="00392FFD" w:rsidTr="008D2F6E">
        <w:tc>
          <w:tcPr>
            <w:tcW w:w="852" w:type="dxa"/>
          </w:tcPr>
          <w:p w:rsidR="001A6C53" w:rsidRPr="00392FFD" w:rsidRDefault="001A6C53" w:rsidP="008D2F6E">
            <w:pPr>
              <w:rPr>
                <w:rFonts w:ascii="Times New Roman" w:hAnsi="Times New Roman"/>
                <w:sz w:val="24"/>
              </w:rPr>
            </w:pPr>
          </w:p>
        </w:tc>
        <w:tc>
          <w:tcPr>
            <w:tcW w:w="8004"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Postes pour mémoire</w:t>
            </w: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t>100</w:t>
            </w:r>
          </w:p>
        </w:tc>
        <w:tc>
          <w:tcPr>
            <w:tcW w:w="8004"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Nombre de contreparties</w:t>
            </w:r>
          </w:p>
          <w:p w:rsidR="001A6C53" w:rsidRPr="00392FFD" w:rsidRDefault="001A6C53" w:rsidP="008D2F6E">
            <w:pPr>
              <w:rPr>
                <w:rFonts w:ascii="Times New Roman" w:hAnsi="Times New Roman"/>
                <w:sz w:val="24"/>
              </w:rPr>
            </w:pPr>
            <w:r>
              <w:rPr>
                <w:rFonts w:ascii="Times New Roman" w:hAnsi="Times New Roman"/>
                <w:sz w:val="24"/>
              </w:rPr>
              <w:t>Article 382 du CRR</w:t>
            </w:r>
          </w:p>
          <w:p w:rsidR="001A6C53" w:rsidRPr="00392FFD" w:rsidRDefault="001A6C53" w:rsidP="008D2F6E">
            <w:pPr>
              <w:rPr>
                <w:rFonts w:ascii="Times New Roman" w:hAnsi="Times New Roman"/>
                <w:sz w:val="24"/>
              </w:rPr>
            </w:pPr>
            <w:r>
              <w:rPr>
                <w:rFonts w:ascii="Times New Roman" w:hAnsi="Times New Roman"/>
                <w:sz w:val="24"/>
              </w:rPr>
              <w:t>Nombre de contreparties incluses dans le calcul des fonds propres pour risque de CVA.</w:t>
            </w:r>
          </w:p>
          <w:p w:rsidR="001A6C53" w:rsidRPr="00392FFD" w:rsidRDefault="001A6C53" w:rsidP="008D2F6E">
            <w:pPr>
              <w:rPr>
                <w:rFonts w:ascii="Times New Roman" w:hAnsi="Times New Roman"/>
                <w:sz w:val="24"/>
              </w:rPr>
            </w:pPr>
            <w:r>
              <w:rPr>
                <w:rFonts w:ascii="Times New Roman" w:hAnsi="Times New Roman"/>
                <w:sz w:val="24"/>
              </w:rPr>
              <w:t xml:space="preserve">Les contreparties forment un sous-ensemble de débiteurs. Ces contreparties n'existent qu'en cas d'opérations sur dérivés ou d'opérations de financement sur titres pour lesquelles elles sont simplement l'autre partie au contrat. </w:t>
            </w: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t>110</w:t>
            </w:r>
          </w:p>
        </w:tc>
        <w:tc>
          <w:tcPr>
            <w:tcW w:w="8004"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Dont: une approximation est utilisée pour déterminer l'écart de crédit</w:t>
            </w:r>
          </w:p>
          <w:p w:rsidR="001A6C53" w:rsidRPr="00321A3B" w:rsidRDefault="001A6C53" w:rsidP="008D2F6E">
            <w:pPr>
              <w:rPr>
                <w:rFonts w:ascii="Times New Roman" w:hAnsi="Times New Roman"/>
                <w:sz w:val="24"/>
              </w:rPr>
            </w:pPr>
            <w:r>
              <w:rPr>
                <w:rFonts w:ascii="Times New Roman" w:hAnsi="Times New Roman"/>
                <w:sz w:val="24"/>
              </w:rPr>
              <w:t>Nombre de contreparties lorsque l'écart de crédit a été déterminé par le biais d'une approximation et non de données de marché directement observées.</w:t>
            </w:r>
          </w:p>
          <w:p w:rsidR="001A6C53" w:rsidRPr="00321A3B" w:rsidRDefault="001A6C53" w:rsidP="008D2F6E">
            <w:pPr>
              <w:rPr>
                <w:rFonts w:ascii="Times New Roman" w:hAnsi="Times New Roman"/>
                <w:b/>
                <w:sz w:val="24"/>
                <w:u w:val="single"/>
              </w:rPr>
            </w:pP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t>120</w:t>
            </w:r>
          </w:p>
        </w:tc>
        <w:tc>
          <w:tcPr>
            <w:tcW w:w="8004"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CVA EFFECTUÉ</w:t>
            </w:r>
          </w:p>
          <w:p w:rsidR="001A6C53" w:rsidRPr="00392FFD" w:rsidRDefault="001A6C53" w:rsidP="008D2F6E">
            <w:pPr>
              <w:rPr>
                <w:rFonts w:ascii="Times New Roman" w:hAnsi="Times New Roman"/>
                <w:sz w:val="24"/>
              </w:rPr>
            </w:pPr>
          </w:p>
          <w:p w:rsidR="001A6C53" w:rsidRPr="00392FFD" w:rsidRDefault="001A6C53" w:rsidP="008D2F6E">
            <w:pPr>
              <w:rPr>
                <w:rFonts w:ascii="Times New Roman" w:hAnsi="Times New Roman"/>
                <w:sz w:val="24"/>
              </w:rPr>
            </w:pPr>
            <w:r>
              <w:rPr>
                <w:rFonts w:ascii="Times New Roman" w:hAnsi="Times New Roman"/>
                <w:sz w:val="24"/>
              </w:rPr>
              <w:t>Provisions comptables effectuées en raison d'une baisse de la qualité de crédit des contreparties des dérivés.</w:t>
            </w: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t>130</w:t>
            </w:r>
          </w:p>
        </w:tc>
        <w:tc>
          <w:tcPr>
            <w:tcW w:w="8004" w:type="dxa"/>
          </w:tcPr>
          <w:p w:rsidR="001A6C53" w:rsidRPr="00392FFD" w:rsidRDefault="001A6C53" w:rsidP="008D2F6E">
            <w:pPr>
              <w:rPr>
                <w:rFonts w:ascii="Times New Roman" w:hAnsi="Times New Roman"/>
                <w:b/>
                <w:sz w:val="24"/>
                <w:u w:val="single"/>
              </w:rPr>
            </w:pPr>
            <w:r>
              <w:rPr>
                <w:rFonts w:ascii="Times New Roman" w:hAnsi="Times New Roman"/>
                <w:b/>
                <w:sz w:val="24"/>
                <w:u w:val="single"/>
              </w:rPr>
              <w:t>CDS À SIGNATURE UNIQUE</w:t>
            </w:r>
          </w:p>
          <w:p w:rsidR="001A6C53" w:rsidRPr="00392FFD" w:rsidRDefault="001A6C53" w:rsidP="008D2F6E">
            <w:pPr>
              <w:rPr>
                <w:rFonts w:ascii="Times New Roman" w:hAnsi="Times New Roman"/>
                <w:sz w:val="24"/>
              </w:rPr>
            </w:pPr>
            <w:r>
              <w:rPr>
                <w:rFonts w:ascii="Times New Roman" w:hAnsi="Times New Roman"/>
                <w:sz w:val="24"/>
              </w:rPr>
              <w:t xml:space="preserve">Article 386, paragraphe 1, point a), du CRR </w:t>
            </w:r>
          </w:p>
          <w:p w:rsidR="001A6C53" w:rsidRPr="00392FFD" w:rsidRDefault="001A6C53" w:rsidP="008D2F6E">
            <w:pPr>
              <w:rPr>
                <w:rFonts w:ascii="Times New Roman" w:hAnsi="Times New Roman"/>
                <w:sz w:val="24"/>
              </w:rPr>
            </w:pPr>
            <w:r>
              <w:rPr>
                <w:rFonts w:ascii="Times New Roman" w:hAnsi="Times New Roman"/>
                <w:sz w:val="24"/>
              </w:rPr>
              <w:t xml:space="preserve">Montant notionnel total des CDS à signature unique utilisés pour couvrir le risque de CVA. </w:t>
            </w: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t>140</w:t>
            </w:r>
          </w:p>
        </w:tc>
        <w:tc>
          <w:tcPr>
            <w:tcW w:w="8004" w:type="dxa"/>
          </w:tcPr>
          <w:p w:rsidR="001A6C53" w:rsidRPr="00321A3B" w:rsidRDefault="001A6C53" w:rsidP="008D2F6E">
            <w:pPr>
              <w:rPr>
                <w:rFonts w:ascii="Times New Roman" w:hAnsi="Times New Roman"/>
                <w:b/>
                <w:sz w:val="24"/>
                <w:u w:val="single"/>
              </w:rPr>
            </w:pPr>
            <w:r>
              <w:rPr>
                <w:rFonts w:ascii="Times New Roman" w:hAnsi="Times New Roman"/>
                <w:b/>
                <w:sz w:val="24"/>
                <w:u w:val="single"/>
              </w:rPr>
              <w:t>CDS INDICIEL</w:t>
            </w:r>
          </w:p>
          <w:p w:rsidR="001A6C53" w:rsidRPr="00321A3B" w:rsidRDefault="001A6C53" w:rsidP="008D2F6E">
            <w:pPr>
              <w:rPr>
                <w:rFonts w:ascii="Times New Roman" w:hAnsi="Times New Roman"/>
                <w:sz w:val="24"/>
              </w:rPr>
            </w:pPr>
            <w:r>
              <w:rPr>
                <w:rFonts w:ascii="Times New Roman" w:hAnsi="Times New Roman"/>
                <w:sz w:val="24"/>
              </w:rPr>
              <w:t>Article 386, paragraphe 1, point b), du CRR</w:t>
            </w:r>
          </w:p>
          <w:p w:rsidR="001A6C53" w:rsidRPr="00392FFD" w:rsidRDefault="001A6C53" w:rsidP="008D2F6E">
            <w:pPr>
              <w:rPr>
                <w:rFonts w:ascii="Times New Roman" w:hAnsi="Times New Roman"/>
                <w:b/>
                <w:sz w:val="24"/>
                <w:u w:val="single"/>
              </w:rPr>
            </w:pPr>
            <w:r>
              <w:rPr>
                <w:rFonts w:ascii="Times New Roman" w:hAnsi="Times New Roman"/>
                <w:sz w:val="24"/>
              </w:rPr>
              <w:t xml:space="preserve">Montant notionnel total des CDS indiciels utilisés pour couvrir le risque de CVA. </w:t>
            </w:r>
          </w:p>
        </w:tc>
      </w:tr>
    </w:tbl>
    <w:p w:rsidR="001A6C53" w:rsidRPr="00392FFD" w:rsidRDefault="001A6C53" w:rsidP="001A6C53">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A6C53" w:rsidRPr="00392FFD" w:rsidTr="008D2F6E">
        <w:tc>
          <w:tcPr>
            <w:tcW w:w="8856" w:type="dxa"/>
            <w:gridSpan w:val="2"/>
            <w:shd w:val="clear" w:color="auto" w:fill="CCCCCC"/>
          </w:tcPr>
          <w:p w:rsidR="001A6C53" w:rsidRPr="00392FFD" w:rsidRDefault="001A6C53" w:rsidP="008D2F6E">
            <w:pPr>
              <w:rPr>
                <w:rFonts w:ascii="Times New Roman" w:hAnsi="Times New Roman"/>
                <w:b/>
                <w:sz w:val="24"/>
              </w:rPr>
            </w:pPr>
            <w:r>
              <w:rPr>
                <w:rFonts w:ascii="Times New Roman" w:hAnsi="Times New Roman"/>
                <w:b/>
                <w:sz w:val="24"/>
              </w:rPr>
              <w:t>Lignes</w:t>
            </w: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t>010</w:t>
            </w:r>
          </w:p>
        </w:tc>
        <w:tc>
          <w:tcPr>
            <w:tcW w:w="8004"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Total risque de CVA</w:t>
            </w:r>
          </w:p>
          <w:p w:rsidR="001A6C53" w:rsidRPr="00392FFD" w:rsidRDefault="001A6C53" w:rsidP="008D2F6E">
            <w:pPr>
              <w:rPr>
                <w:rFonts w:ascii="Times New Roman" w:hAnsi="Times New Roman"/>
                <w:bCs/>
                <w:sz w:val="24"/>
              </w:rPr>
            </w:pPr>
            <w:r>
              <w:rPr>
                <w:rFonts w:ascii="Times New Roman" w:hAnsi="Times New Roman"/>
                <w:sz w:val="24"/>
              </w:rPr>
              <w:t>Somme des lignes 020-040, le cas échéant.</w:t>
            </w: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t xml:space="preserve">020 </w:t>
            </w:r>
          </w:p>
        </w:tc>
        <w:tc>
          <w:tcPr>
            <w:tcW w:w="8004"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D'après la méthode avancée</w:t>
            </w:r>
          </w:p>
          <w:p w:rsidR="001A6C53" w:rsidRPr="00392FFD" w:rsidRDefault="001A6C53" w:rsidP="008D2F6E">
            <w:pPr>
              <w:rPr>
                <w:rFonts w:ascii="Times New Roman" w:hAnsi="Times New Roman"/>
                <w:bCs/>
                <w:sz w:val="24"/>
              </w:rPr>
            </w:pPr>
            <w:r>
              <w:rPr>
                <w:rFonts w:ascii="Times New Roman" w:hAnsi="Times New Roman"/>
                <w:sz w:val="24"/>
              </w:rPr>
              <w:t xml:space="preserve">Méthode avancée pour risque de CVA, prescrite par l'article 383 du CRR. </w:t>
            </w: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t>030</w:t>
            </w:r>
          </w:p>
        </w:tc>
        <w:tc>
          <w:tcPr>
            <w:tcW w:w="8004"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D'après la méthode standard</w:t>
            </w:r>
          </w:p>
          <w:p w:rsidR="001A6C53" w:rsidRPr="00392FFD" w:rsidRDefault="001A6C53" w:rsidP="008D2F6E">
            <w:pPr>
              <w:rPr>
                <w:rFonts w:ascii="Times New Roman" w:hAnsi="Times New Roman"/>
                <w:bCs/>
                <w:sz w:val="24"/>
              </w:rPr>
            </w:pPr>
            <w:r>
              <w:rPr>
                <w:rFonts w:ascii="Times New Roman" w:hAnsi="Times New Roman"/>
                <w:sz w:val="24"/>
              </w:rPr>
              <w:t xml:space="preserve">Méthode standard pour risque de CVA, prescrite par l'article 384 du CRR. </w:t>
            </w:r>
          </w:p>
        </w:tc>
      </w:tr>
      <w:tr w:rsidR="001A6C53" w:rsidRPr="00392FFD" w:rsidTr="008D2F6E">
        <w:tc>
          <w:tcPr>
            <w:tcW w:w="852" w:type="dxa"/>
          </w:tcPr>
          <w:p w:rsidR="001A6C53" w:rsidRPr="00392FFD" w:rsidRDefault="001A6C53" w:rsidP="008D2F6E">
            <w:pPr>
              <w:rPr>
                <w:rFonts w:ascii="Times New Roman" w:hAnsi="Times New Roman"/>
                <w:sz w:val="24"/>
              </w:rPr>
            </w:pPr>
            <w:r>
              <w:rPr>
                <w:rFonts w:ascii="Times New Roman" w:hAnsi="Times New Roman"/>
                <w:sz w:val="24"/>
              </w:rPr>
              <w:t>040</w:t>
            </w:r>
          </w:p>
        </w:tc>
        <w:tc>
          <w:tcPr>
            <w:tcW w:w="8004" w:type="dxa"/>
          </w:tcPr>
          <w:p w:rsidR="001A6C53" w:rsidRPr="00392FFD" w:rsidRDefault="001A6C53" w:rsidP="008D2F6E">
            <w:pPr>
              <w:rPr>
                <w:rFonts w:ascii="Times New Roman" w:hAnsi="Times New Roman"/>
                <w:b/>
                <w:bCs/>
                <w:sz w:val="24"/>
                <w:u w:val="single"/>
              </w:rPr>
            </w:pPr>
            <w:r>
              <w:rPr>
                <w:rFonts w:ascii="Times New Roman" w:hAnsi="Times New Roman"/>
                <w:b/>
                <w:sz w:val="24"/>
                <w:u w:val="single"/>
              </w:rPr>
              <w:t>Méthode de l'exposition initiale</w:t>
            </w:r>
          </w:p>
          <w:p w:rsidR="001A6C53" w:rsidRPr="00392FFD" w:rsidRDefault="001A6C53" w:rsidP="008D2F6E">
            <w:pPr>
              <w:rPr>
                <w:rFonts w:ascii="Times New Roman" w:hAnsi="Times New Roman"/>
                <w:bCs/>
                <w:sz w:val="24"/>
              </w:rPr>
            </w:pPr>
            <w:r>
              <w:rPr>
                <w:rFonts w:ascii="Times New Roman" w:hAnsi="Times New Roman"/>
                <w:sz w:val="24"/>
              </w:rPr>
              <w:t>Montants soumis à l'application de l'article 385 du CRR.</w:t>
            </w:r>
          </w:p>
        </w:tc>
      </w:tr>
    </w:tbl>
    <w:p w:rsidR="001A6C53" w:rsidRDefault="001A6C53" w:rsidP="001A6C53">
      <w:pPr>
        <w:rPr>
          <w:rStyle w:val="InstructionsTabelleText"/>
          <w:rFonts w:ascii="Times New Roman" w:hAnsi="Times New Roman"/>
          <w:sz w:val="24"/>
        </w:rPr>
      </w:pPr>
    </w:p>
    <w:p w:rsidR="001A6C53" w:rsidRDefault="001A6C53" w:rsidP="001A6C53">
      <w:pPr>
        <w:pStyle w:val="Instructionsberschrift2"/>
        <w:numPr>
          <w:ilvl w:val="0"/>
          <w:numId w:val="0"/>
        </w:numPr>
        <w:ind w:left="357" w:hanging="357"/>
        <w:rPr>
          <w:rFonts w:ascii="Times New Roman" w:hAnsi="Times New Roman" w:cs="Times New Roman"/>
          <w:sz w:val="24"/>
        </w:rPr>
      </w:pPr>
      <w:bookmarkStart w:id="436" w:name="_Toc524104245"/>
      <w:r>
        <w:rPr>
          <w:rFonts w:ascii="Times New Roman" w:hAnsi="Times New Roman"/>
          <w:sz w:val="24"/>
          <w:u w:val="none"/>
        </w:rPr>
        <w:t>6.</w:t>
      </w:r>
      <w:r w:rsidRPr="00E56D23">
        <w:rPr>
          <w:u w:val="none"/>
        </w:rPr>
        <w:tab/>
      </w:r>
      <w:r>
        <w:rPr>
          <w:rFonts w:ascii="Times New Roman" w:hAnsi="Times New Roman"/>
          <w:sz w:val="24"/>
        </w:rPr>
        <w:t>Évaluation prudente (</w:t>
      </w:r>
      <w:proofErr w:type="spellStart"/>
      <w:r>
        <w:rPr>
          <w:rFonts w:ascii="Times New Roman" w:hAnsi="Times New Roman"/>
          <w:sz w:val="24"/>
        </w:rPr>
        <w:t>PruVal</w:t>
      </w:r>
      <w:proofErr w:type="spellEnd"/>
      <w:r>
        <w:rPr>
          <w:rFonts w:ascii="Times New Roman" w:hAnsi="Times New Roman"/>
          <w:sz w:val="24"/>
        </w:rPr>
        <w:t>)</w:t>
      </w:r>
      <w:bookmarkEnd w:id="436"/>
    </w:p>
    <w:p w:rsidR="001A6C53" w:rsidRPr="001924F4" w:rsidRDefault="001A6C53" w:rsidP="001A6C53">
      <w:pPr>
        <w:pStyle w:val="Instructionsberschrift2"/>
        <w:numPr>
          <w:ilvl w:val="0"/>
          <w:numId w:val="0"/>
        </w:numPr>
        <w:ind w:left="357" w:hanging="357"/>
        <w:rPr>
          <w:rFonts w:ascii="Times New Roman" w:hAnsi="Times New Roman" w:cs="Times New Roman"/>
          <w:sz w:val="24"/>
          <w:u w:val="none"/>
        </w:rPr>
      </w:pPr>
      <w:bookmarkStart w:id="437" w:name="_Toc524104246"/>
      <w:r>
        <w:rPr>
          <w:rFonts w:ascii="Times New Roman" w:hAnsi="Times New Roman"/>
          <w:sz w:val="24"/>
          <w:u w:val="none"/>
        </w:rPr>
        <w:t>6.1.</w:t>
      </w:r>
      <w:r w:rsidRPr="00E56D23">
        <w:rPr>
          <w:u w:val="none"/>
        </w:rPr>
        <w:tab/>
      </w:r>
      <w:r>
        <w:rPr>
          <w:rFonts w:ascii="Times New Roman" w:hAnsi="Times New Roman"/>
          <w:sz w:val="24"/>
        </w:rPr>
        <w:t>C 32.01 - Évaluation prudente: Actifs et passifs évalués à la juste valeur (</w:t>
      </w:r>
      <w:proofErr w:type="spellStart"/>
      <w:r>
        <w:rPr>
          <w:rFonts w:ascii="Times New Roman" w:hAnsi="Times New Roman"/>
          <w:sz w:val="24"/>
        </w:rPr>
        <w:t>PruVal</w:t>
      </w:r>
      <w:proofErr w:type="spellEnd"/>
      <w:r>
        <w:rPr>
          <w:rFonts w:ascii="Times New Roman" w:hAnsi="Times New Roman"/>
          <w:sz w:val="24"/>
        </w:rPr>
        <w:t xml:space="preserve"> 1)</w:t>
      </w:r>
      <w:bookmarkEnd w:id="437"/>
    </w:p>
    <w:p w:rsidR="001A6C53" w:rsidRPr="00EB6E04" w:rsidRDefault="001A6C53" w:rsidP="001A6C53">
      <w:pPr>
        <w:pStyle w:val="Instructionsberschrift2"/>
        <w:numPr>
          <w:ilvl w:val="0"/>
          <w:numId w:val="0"/>
        </w:numPr>
        <w:ind w:left="357" w:hanging="357"/>
        <w:rPr>
          <w:rFonts w:ascii="Times New Roman" w:hAnsi="Times New Roman" w:cs="Times New Roman"/>
          <w:sz w:val="24"/>
          <w:u w:val="none"/>
        </w:rPr>
      </w:pPr>
      <w:bookmarkStart w:id="438" w:name="_Toc524104247"/>
      <w:r>
        <w:rPr>
          <w:rFonts w:ascii="Times New Roman" w:hAnsi="Times New Roman"/>
          <w:sz w:val="24"/>
          <w:u w:val="none"/>
        </w:rPr>
        <w:t>6.1.1</w:t>
      </w:r>
      <w:r w:rsidRPr="005E3EB3">
        <w:rPr>
          <w:rFonts w:ascii="Times New Roman" w:hAnsi="Times New Roman"/>
          <w:sz w:val="24"/>
          <w:u w:val="none"/>
        </w:rPr>
        <w:t>.</w:t>
      </w:r>
      <w:r w:rsidRPr="005E3EB3">
        <w:rPr>
          <w:rFonts w:ascii="Times New Roman" w:hAnsi="Times New Roman"/>
          <w:sz w:val="24"/>
          <w:u w:val="none"/>
        </w:rPr>
        <w:tab/>
      </w:r>
      <w:r>
        <w:rPr>
          <w:rFonts w:ascii="Times New Roman" w:hAnsi="Times New Roman"/>
          <w:sz w:val="24"/>
        </w:rPr>
        <w:t>Remarques générales</w:t>
      </w:r>
      <w:bookmarkEnd w:id="438"/>
      <w:r>
        <w:rPr>
          <w:rFonts w:ascii="Times New Roman" w:hAnsi="Times New Roman"/>
          <w:sz w:val="24"/>
          <w:u w:val="none"/>
        </w:rPr>
        <w:t xml:space="preserve"> </w:t>
      </w:r>
    </w:p>
    <w:p w:rsidR="001A6C53" w:rsidRDefault="001A6C53" w:rsidP="001A6C53">
      <w:pPr>
        <w:pStyle w:val="InstructionsText2"/>
        <w:numPr>
          <w:ilvl w:val="0"/>
          <w:numId w:val="0"/>
        </w:numPr>
        <w:ind w:left="993"/>
      </w:pPr>
      <w:r>
        <w:t>154a. Ce modèle devra être rempli par tous les établissements, qu'ils aient ou non adopté l'approche simplifiée pour la détermination des corrections de valeur su</w:t>
      </w:r>
      <w:r>
        <w:t>p</w:t>
      </w:r>
      <w:r>
        <w:t>plémentaires (</w:t>
      </w:r>
      <w:proofErr w:type="spellStart"/>
      <w:r>
        <w:rPr>
          <w:i/>
        </w:rPr>
        <w:t>additional</w:t>
      </w:r>
      <w:proofErr w:type="spellEnd"/>
      <w:r>
        <w:rPr>
          <w:i/>
        </w:rPr>
        <w:t xml:space="preserve"> </w:t>
      </w:r>
      <w:proofErr w:type="spellStart"/>
      <w:r>
        <w:rPr>
          <w:i/>
        </w:rPr>
        <w:t>valuation</w:t>
      </w:r>
      <w:proofErr w:type="spellEnd"/>
      <w:r>
        <w:rPr>
          <w:i/>
        </w:rPr>
        <w:t xml:space="preserve"> </w:t>
      </w:r>
      <w:proofErr w:type="spellStart"/>
      <w:r>
        <w:rPr>
          <w:i/>
        </w:rPr>
        <w:t>adjustment</w:t>
      </w:r>
      <w:proofErr w:type="spellEnd"/>
      <w:r>
        <w:t xml:space="preserve"> ou «AVA»). Il porte sur la valeur a</w:t>
      </w:r>
      <w:r>
        <w:t>b</w:t>
      </w:r>
      <w:r>
        <w:t>solue des actifs et passifs évalués à la juste valeur, qui sert à déterminer si les co</w:t>
      </w:r>
      <w:r>
        <w:t>n</w:t>
      </w:r>
      <w:r>
        <w:t>ditions d’utilisation de cette approche simplifiée, fixées à l’article 4 du règlement délégué (UE) 2016/101 sur l’évaluation prudente, sont remplies.</w:t>
      </w:r>
    </w:p>
    <w:p w:rsidR="001A6C53" w:rsidRDefault="001A6C53" w:rsidP="001A6C53">
      <w:pPr>
        <w:pStyle w:val="InstructionsText2"/>
        <w:numPr>
          <w:ilvl w:val="0"/>
          <w:numId w:val="0"/>
        </w:numPr>
        <w:ind w:left="993"/>
      </w:pPr>
      <w:r>
        <w:t>154b. En ce qui concerne les établissements qui utilisent l’approche simplifiée, ce modèle fournira l’AVA totale à déduire des fonds propres en vertu des articles 34 et 105 du CRR, déterminée conformément à l'article 5 du règlement délégué (UE) 2016/101 sur l’évaluation prudente, qui sera déclarée en conséquence à la ligne 290 du modèle C 01.00</w:t>
      </w:r>
    </w:p>
    <w:p w:rsidR="001A6C53" w:rsidRPr="004502C8" w:rsidRDefault="001A6C53" w:rsidP="001A6C53">
      <w:pPr>
        <w:pStyle w:val="Instructionsberschrift2"/>
        <w:numPr>
          <w:ilvl w:val="0"/>
          <w:numId w:val="0"/>
        </w:numPr>
        <w:ind w:left="357" w:hanging="357"/>
        <w:rPr>
          <w:rFonts w:ascii="Times New Roman" w:hAnsi="Times New Roman" w:cs="Times New Roman"/>
          <w:sz w:val="24"/>
          <w:u w:val="none"/>
        </w:rPr>
      </w:pPr>
      <w:bookmarkStart w:id="439" w:name="_Toc524104248"/>
      <w:r>
        <w:rPr>
          <w:rFonts w:ascii="Times New Roman" w:hAnsi="Times New Roman"/>
          <w:sz w:val="24"/>
          <w:u w:val="none"/>
        </w:rPr>
        <w:t>6.1.2.</w:t>
      </w:r>
      <w:r w:rsidRPr="00070DAB">
        <w:rPr>
          <w:u w:val="none"/>
        </w:rPr>
        <w:tab/>
      </w:r>
      <w:r>
        <w:rPr>
          <w:rFonts w:ascii="Times New Roman" w:hAnsi="Times New Roman"/>
          <w:sz w:val="24"/>
        </w:rPr>
        <w:t>Instructions concernant certaines positions</w:t>
      </w:r>
      <w:bookmarkEnd w:id="43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A6C53" w:rsidRPr="00E60B53" w:rsidTr="008D2F6E">
        <w:tc>
          <w:tcPr>
            <w:tcW w:w="9291" w:type="dxa"/>
            <w:gridSpan w:val="2"/>
            <w:shd w:val="clear" w:color="auto" w:fill="CCCCCC"/>
          </w:tcPr>
          <w:p w:rsidR="001A6C53" w:rsidRPr="00EB6E04" w:rsidRDefault="001A6C53" w:rsidP="008D2F6E">
            <w:pPr>
              <w:spacing w:beforeLines="60" w:before="144" w:afterLines="60" w:after="144"/>
              <w:rPr>
                <w:rFonts w:ascii="Times New Roman" w:hAnsi="Times New Roman"/>
                <w:b/>
                <w:sz w:val="24"/>
              </w:rPr>
            </w:pPr>
            <w:r>
              <w:rPr>
                <w:rFonts w:ascii="Times New Roman" w:hAnsi="Times New Roman"/>
                <w:b/>
                <w:sz w:val="24"/>
              </w:rPr>
              <w:t>Colonnes</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1A6C53" w:rsidRPr="00EB6E04" w:rsidRDefault="001A6C53" w:rsidP="008D2F6E">
            <w:pPr>
              <w:spacing w:beforeLines="60" w:before="144" w:afterLines="60" w:after="144"/>
              <w:rPr>
                <w:rFonts w:ascii="Times New Roman" w:hAnsi="Times New Roman"/>
                <w:b/>
                <w:caps/>
                <w:sz w:val="24"/>
                <w:u w:val="single"/>
              </w:rPr>
            </w:pPr>
            <w:r>
              <w:rPr>
                <w:rFonts w:ascii="Times New Roman" w:hAnsi="Times New Roman"/>
                <w:b/>
                <w:caps/>
                <w:sz w:val="24"/>
                <w:u w:val="single"/>
              </w:rPr>
              <w:t>ACTIFS ET PASSIFS ÉVALUÉS À LA JUSTE VALEUR</w:t>
            </w:r>
          </w:p>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Valeur absolue des actifs et passifs évalués à la juste valeur, telle que déclarée dans les états financiers en vertu du référentiel comptable applicable, visée à l’article 4, paragraphe 1, du règlement délégué (UE) 2016/101 sur l’évaluation prudente, avant toute déduction effectuée en vertu de l’article 4, paragraphe 2, d</w:t>
            </w:r>
            <w:r>
              <w:rPr>
                <w:rFonts w:ascii="Times New Roman" w:hAnsi="Times New Roman"/>
                <w:sz w:val="24"/>
              </w:rPr>
              <w:t>u</w:t>
            </w:r>
            <w:r>
              <w:rPr>
                <w:rFonts w:ascii="Times New Roman" w:hAnsi="Times New Roman"/>
                <w:sz w:val="24"/>
              </w:rPr>
              <w:t>dit règlement.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rsidR="001A6C53" w:rsidRPr="00EB6E04" w:rsidRDefault="001A6C53" w:rsidP="008D2F6E">
            <w:pPr>
              <w:spacing w:beforeLines="60" w:before="144" w:afterLines="60" w:after="144"/>
              <w:rPr>
                <w:rFonts w:ascii="Times New Roman" w:hAnsi="Times New Roman"/>
                <w:b/>
                <w:caps/>
                <w:sz w:val="24"/>
                <w:u w:val="single"/>
              </w:rPr>
            </w:pPr>
            <w:r>
              <w:rPr>
                <w:rFonts w:ascii="Times New Roman" w:hAnsi="Times New Roman"/>
                <w:b/>
                <w:caps/>
                <w:sz w:val="24"/>
                <w:u w:val="single"/>
              </w:rPr>
              <w:t>DONT: portefeuille de négociation</w:t>
            </w:r>
          </w:p>
          <w:p w:rsidR="001A6C53" w:rsidRPr="00EB6E04" w:rsidRDefault="001A6C53" w:rsidP="008D2F6E">
            <w:pPr>
              <w:spacing w:beforeLines="60" w:before="144" w:afterLines="60" w:after="144"/>
              <w:rPr>
                <w:rFonts w:ascii="Times New Roman" w:hAnsi="Times New Roman"/>
                <w:b/>
                <w:caps/>
                <w:sz w:val="24"/>
                <w:u w:val="single"/>
              </w:rPr>
            </w:pPr>
            <w:r>
              <w:rPr>
                <w:rFonts w:ascii="Times New Roman" w:hAnsi="Times New Roman"/>
                <w:sz w:val="24"/>
              </w:rPr>
              <w:t xml:space="preserve">Valeur absolue des actifs et passifs évalués à la juste valeur, telle que déclarée en 010, correspondant aux positions détenues dans le portefeuille de négociation. </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1A6C53" w:rsidRPr="00EB6E04" w:rsidRDefault="001A6C53" w:rsidP="008D2F6E">
            <w:pPr>
              <w:spacing w:beforeLines="60" w:before="144" w:afterLines="60" w:after="144"/>
              <w:rPr>
                <w:rFonts w:ascii="Times New Roman" w:hAnsi="Times New Roman"/>
                <w:b/>
                <w:caps/>
                <w:sz w:val="24"/>
                <w:u w:val="single"/>
              </w:rPr>
            </w:pPr>
            <w:r>
              <w:rPr>
                <w:rFonts w:ascii="Times New Roman" w:hAnsi="Times New Roman"/>
                <w:b/>
                <w:caps/>
                <w:sz w:val="24"/>
                <w:u w:val="single"/>
              </w:rPr>
              <w:t>ACTIFS ET PASSIFS ÉVALUÉS À LA JUSTE VALEUR EXCLUS EN RAISON D’UN IMPACT PARTIEL SUR LES FONDS PROPRES DE BASE DE CATÉGORIE 1</w:t>
            </w:r>
          </w:p>
          <w:p w:rsidR="001A6C53" w:rsidRPr="00EB6E04" w:rsidRDefault="001A6C53" w:rsidP="008D2F6E">
            <w:pPr>
              <w:spacing w:beforeLines="60" w:before="144" w:afterLines="60" w:after="144"/>
              <w:rPr>
                <w:rFonts w:ascii="Times New Roman" w:hAnsi="Times New Roman"/>
                <w:b/>
                <w:caps/>
                <w:sz w:val="24"/>
                <w:u w:val="single"/>
              </w:rPr>
            </w:pPr>
            <w:r>
              <w:rPr>
                <w:rFonts w:ascii="Times New Roman" w:hAnsi="Times New Roman"/>
                <w:sz w:val="24"/>
              </w:rPr>
              <w:t>Valeur absolue des actifs et passifs évalués à la juste valeur exclus en vertu de l’article 4, paragraphe 2, du règlement délégué (UE) 2016/101 sur l’évaluation prudente.</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1A6C53" w:rsidRPr="00EB6E04" w:rsidRDefault="001A6C53" w:rsidP="008D2F6E">
            <w:pPr>
              <w:spacing w:beforeLines="60" w:before="144" w:afterLines="60" w:after="144"/>
              <w:rPr>
                <w:rFonts w:ascii="Times New Roman" w:hAnsi="Times New Roman"/>
                <w:b/>
                <w:caps/>
                <w:sz w:val="24"/>
                <w:u w:val="single"/>
              </w:rPr>
            </w:pPr>
            <w:r>
              <w:rPr>
                <w:rFonts w:ascii="Times New Roman" w:hAnsi="Times New Roman"/>
                <w:b/>
                <w:caps/>
                <w:sz w:val="24"/>
                <w:u w:val="single"/>
              </w:rPr>
              <w:t>De correspondance parfaite</w:t>
            </w:r>
          </w:p>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Actifs et passifs compensés de correspondance parfaite évalués à la juste valeur exclus en vertu de l’article 4, paragraphe 2, du règlement délégué (UE) 2016/101 sur l’évaluation prudente.</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1A6C53" w:rsidRPr="00EB6E04" w:rsidRDefault="001A6C53" w:rsidP="008D2F6E">
            <w:pPr>
              <w:spacing w:beforeLines="60" w:before="144" w:afterLines="60" w:after="144"/>
              <w:rPr>
                <w:rFonts w:ascii="Times New Roman" w:hAnsi="Times New Roman"/>
                <w:b/>
                <w:caps/>
                <w:sz w:val="24"/>
                <w:u w:val="single"/>
              </w:rPr>
            </w:pPr>
            <w:r>
              <w:rPr>
                <w:rFonts w:ascii="Times New Roman" w:hAnsi="Times New Roman"/>
                <w:b/>
                <w:caps/>
                <w:sz w:val="24"/>
                <w:u w:val="single"/>
              </w:rPr>
              <w:t>Comptabilité de couverture</w:t>
            </w:r>
          </w:p>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Pour les positions faisant l'objet d'une comptabilité de couverture en vertu du réf</w:t>
            </w:r>
            <w:r>
              <w:rPr>
                <w:rFonts w:ascii="Times New Roman" w:hAnsi="Times New Roman"/>
                <w:sz w:val="24"/>
              </w:rPr>
              <w:t>é</w:t>
            </w:r>
            <w:r>
              <w:rPr>
                <w:rFonts w:ascii="Times New Roman" w:hAnsi="Times New Roman"/>
                <w:sz w:val="24"/>
              </w:rPr>
              <w:t>rentiel comptable applicable, valeur absolue des actifs et passifs évalués à la juste valeur exclus de manière proportionnelle à l'impact de la modification de l’évaluation comptable sur les fonds propres de base de catégorie 1 conformément à l'article 4, paragraphe 2, du règlement délégué (UE) 2016/101 sur l’évaluation prudente.</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1A6C53" w:rsidRPr="00EB6E04" w:rsidRDefault="001A6C53" w:rsidP="008D2F6E">
            <w:pPr>
              <w:spacing w:beforeLines="60" w:before="144" w:afterLines="60" w:after="144"/>
              <w:rPr>
                <w:rFonts w:ascii="Times New Roman" w:hAnsi="Times New Roman"/>
                <w:b/>
                <w:caps/>
                <w:sz w:val="24"/>
              </w:rPr>
            </w:pPr>
            <w:r>
              <w:rPr>
                <w:rFonts w:ascii="Times New Roman" w:hAnsi="Times New Roman"/>
                <w:b/>
                <w:caps/>
                <w:sz w:val="24"/>
                <w:u w:val="single"/>
              </w:rPr>
              <w:t xml:space="preserve">FILTRES PRUDENTIELS </w:t>
            </w:r>
          </w:p>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Valeur absolue des actifs et passifs évalués à la juste valeur exclus en vertu de l’article 4, paragraphe 2, du règlement délégué (UE) 2016/101 sur l’évaluation prudente en raison des filtres transitoires prévus aux articles 467 et 468 du CRR.</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1A6C53" w:rsidRPr="00EB6E04" w:rsidRDefault="001A6C53" w:rsidP="008D2F6E">
            <w:pPr>
              <w:spacing w:beforeLines="60" w:before="144" w:afterLines="60" w:after="144"/>
              <w:rPr>
                <w:rFonts w:ascii="Times New Roman" w:hAnsi="Times New Roman"/>
                <w:b/>
                <w:caps/>
                <w:sz w:val="24"/>
                <w:u w:val="single"/>
              </w:rPr>
            </w:pPr>
            <w:r>
              <w:rPr>
                <w:rFonts w:ascii="Times New Roman" w:hAnsi="Times New Roman"/>
                <w:b/>
                <w:caps/>
                <w:sz w:val="24"/>
                <w:u w:val="single"/>
              </w:rPr>
              <w:t>Autres</w:t>
            </w:r>
          </w:p>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Toutes les autres positions exclues en vertu de l'article 4, paragraphe 2, du règl</w:t>
            </w:r>
            <w:r>
              <w:rPr>
                <w:rFonts w:ascii="Times New Roman" w:hAnsi="Times New Roman"/>
                <w:sz w:val="24"/>
              </w:rPr>
              <w:t>e</w:t>
            </w:r>
            <w:r>
              <w:rPr>
                <w:rFonts w:ascii="Times New Roman" w:hAnsi="Times New Roman"/>
                <w:sz w:val="24"/>
              </w:rPr>
              <w:t>ment délégué (UE) 2016/101 sur l’évaluation prudente parce que les ajustements de leur valeur comptable n’ont qu'un effet proportionnel sur les fonds propres de base de catégorie 1.</w:t>
            </w:r>
          </w:p>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Cette ligne ne sera remplie que dans les rares cas où des éléments exclus en vertu de l’article 4, paragraphe 2, du règlement délégué (UE) 2016/101 sur l’évaluation prudente ne peuvent pas être imputés à la colonne 0030, 0040 ou 0050 de ce m</w:t>
            </w:r>
            <w:r>
              <w:rPr>
                <w:rFonts w:ascii="Times New Roman" w:hAnsi="Times New Roman"/>
                <w:sz w:val="24"/>
              </w:rPr>
              <w:t>o</w:t>
            </w:r>
            <w:r>
              <w:rPr>
                <w:rFonts w:ascii="Times New Roman" w:hAnsi="Times New Roman"/>
                <w:sz w:val="24"/>
              </w:rPr>
              <w:t>dèle.</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b/>
                <w:caps/>
                <w:sz w:val="24"/>
                <w:u w:val="single"/>
              </w:rPr>
              <w:t>Commentaires pour autres</w:t>
            </w:r>
            <w:r>
              <w:rPr>
                <w:rFonts w:ascii="Times New Roman" w:hAnsi="Times New Roman"/>
                <w:sz w:val="24"/>
              </w:rPr>
              <w:t xml:space="preserve"> </w:t>
            </w:r>
          </w:p>
          <w:p w:rsidR="001A6C53" w:rsidRPr="00EB6E04" w:rsidRDefault="001A6C53" w:rsidP="008D2F6E">
            <w:pPr>
              <w:spacing w:beforeLines="60" w:before="144" w:afterLines="60" w:after="144"/>
              <w:rPr>
                <w:rFonts w:ascii="Times New Roman" w:hAnsi="Times New Roman"/>
                <w:b/>
                <w:caps/>
                <w:sz w:val="24"/>
                <w:u w:val="single"/>
              </w:rPr>
            </w:pPr>
            <w:r>
              <w:rPr>
                <w:rFonts w:ascii="Times New Roman" w:hAnsi="Times New Roman"/>
                <w:sz w:val="24"/>
              </w:rPr>
              <w:t>Indiquer les principales raisons pour lesquelles les positions déclarées dans la c</w:t>
            </w:r>
            <w:r>
              <w:rPr>
                <w:rFonts w:ascii="Times New Roman" w:hAnsi="Times New Roman"/>
                <w:sz w:val="24"/>
              </w:rPr>
              <w:t>o</w:t>
            </w:r>
            <w:r>
              <w:rPr>
                <w:rFonts w:ascii="Times New Roman" w:hAnsi="Times New Roman"/>
                <w:sz w:val="24"/>
              </w:rPr>
              <w:t>lonne 0060 ont été exclues.</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1A6C53" w:rsidRPr="00EB6E04" w:rsidRDefault="001A6C53" w:rsidP="008D2F6E">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ACTIFS ET PASSIFS ÉVALUÉS À LA JUSTE VALEUR INCLUS DANS </w:t>
            </w:r>
            <w:r>
              <w:rPr>
                <w:rFonts w:ascii="Times New Roman" w:hAnsi="Times New Roman"/>
                <w:b/>
                <w:caps/>
                <w:sz w:val="24"/>
                <w:u w:val="single"/>
              </w:rPr>
              <w:lastRenderedPageBreak/>
              <w:t>LE SEUIL FIXÉ À L’ART. 4, PARAGRAPHE 1</w:t>
            </w:r>
          </w:p>
          <w:p w:rsidR="001A6C53" w:rsidRPr="00EB6E04" w:rsidRDefault="001A6C53" w:rsidP="008D2F6E">
            <w:pPr>
              <w:spacing w:beforeLines="60" w:before="144" w:afterLines="60" w:after="144"/>
              <w:rPr>
                <w:rFonts w:ascii="Times New Roman" w:hAnsi="Times New Roman"/>
                <w:b/>
                <w:caps/>
                <w:sz w:val="24"/>
                <w:u w:val="single"/>
              </w:rPr>
            </w:pPr>
            <w:r>
              <w:rPr>
                <w:rFonts w:ascii="Times New Roman" w:hAnsi="Times New Roman"/>
                <w:sz w:val="24"/>
              </w:rPr>
              <w:t>Valeur absolue des actifs et passifs évalués à la juste valeur effectivement inclus dans le calcul du seuil prévu à l’article 4, paragraphe 1, du règlement délégué (UE) 2016/101 sur l’évaluation prudente.</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rsidR="001A6C53" w:rsidRPr="00EB6E04" w:rsidRDefault="001A6C53" w:rsidP="008D2F6E">
            <w:pPr>
              <w:spacing w:beforeLines="60" w:before="144" w:afterLines="60" w:after="144"/>
              <w:rPr>
                <w:rFonts w:ascii="Times New Roman" w:hAnsi="Times New Roman"/>
                <w:b/>
                <w:caps/>
                <w:sz w:val="24"/>
                <w:u w:val="single"/>
              </w:rPr>
            </w:pPr>
            <w:r>
              <w:rPr>
                <w:rFonts w:ascii="Times New Roman" w:hAnsi="Times New Roman"/>
                <w:b/>
                <w:caps/>
                <w:sz w:val="24"/>
                <w:u w:val="single"/>
              </w:rPr>
              <w:t>DONT: portefeuille de négociation</w:t>
            </w:r>
          </w:p>
          <w:p w:rsidR="001A6C53" w:rsidRPr="00EB6E04" w:rsidRDefault="001A6C53" w:rsidP="008D2F6E">
            <w:pPr>
              <w:spacing w:beforeLines="60" w:before="144" w:afterLines="60" w:after="144"/>
              <w:rPr>
                <w:rFonts w:ascii="Times New Roman" w:hAnsi="Times New Roman"/>
                <w:b/>
                <w:caps/>
                <w:sz w:val="24"/>
                <w:u w:val="single"/>
              </w:rPr>
            </w:pPr>
            <w:r>
              <w:rPr>
                <w:rFonts w:ascii="Times New Roman" w:hAnsi="Times New Roman"/>
                <w:sz w:val="24"/>
              </w:rPr>
              <w:t>Valeur absolue des actifs et passifs évalués à la juste valeur, telle que déclarée dans la colonne 0080, correspondant aux positions détenues dans le portefeuille de négociation.</w:t>
            </w:r>
          </w:p>
        </w:tc>
      </w:tr>
    </w:tbl>
    <w:p w:rsidR="001A6C53" w:rsidRDefault="001A6C53" w:rsidP="001A6C53">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A6C53" w:rsidRPr="00E60B53" w:rsidTr="008D2F6E">
        <w:tc>
          <w:tcPr>
            <w:tcW w:w="9291" w:type="dxa"/>
            <w:gridSpan w:val="2"/>
            <w:shd w:val="clear" w:color="auto" w:fill="CCCCCC"/>
          </w:tcPr>
          <w:p w:rsidR="001A6C53" w:rsidRPr="00EB6E04" w:rsidRDefault="001A6C53" w:rsidP="008D2F6E">
            <w:pPr>
              <w:spacing w:beforeLines="60" w:before="144" w:afterLines="60" w:after="144"/>
              <w:rPr>
                <w:rFonts w:ascii="Times New Roman" w:hAnsi="Times New Roman"/>
                <w:b/>
                <w:sz w:val="24"/>
              </w:rPr>
            </w:pPr>
            <w:r>
              <w:rPr>
                <w:rFonts w:ascii="Times New Roman" w:hAnsi="Times New Roman"/>
                <w:b/>
                <w:sz w:val="24"/>
              </w:rPr>
              <w:t>Lignes</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Les définitions de ces catégories devront être identiques à celles des lignes corre</w:t>
            </w:r>
            <w:r>
              <w:rPr>
                <w:rFonts w:ascii="Times New Roman" w:hAnsi="Times New Roman"/>
                <w:sz w:val="24"/>
              </w:rPr>
              <w:t>s</w:t>
            </w:r>
            <w:r>
              <w:rPr>
                <w:rFonts w:ascii="Times New Roman" w:hAnsi="Times New Roman"/>
                <w:sz w:val="24"/>
              </w:rPr>
              <w:t xml:space="preserve">pondantes des modèles FINREP 1.1 et 1.2. </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1A6C53" w:rsidRPr="00EB6E04"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 TOTAL ACTIFS ET PASSIFS ÉVALUÉS À LA JUSTE VALEUR</w:t>
            </w:r>
          </w:p>
          <w:p w:rsidR="001A6C53" w:rsidRPr="00EB6E04" w:rsidRDefault="001A6C53" w:rsidP="008D2F6E">
            <w:pPr>
              <w:spacing w:beforeLines="60" w:before="144" w:afterLines="60" w:after="144"/>
              <w:rPr>
                <w:rFonts w:ascii="Times New Roman" w:hAnsi="Times New Roman"/>
                <w:b/>
                <w:sz w:val="24"/>
                <w:u w:val="single"/>
              </w:rPr>
            </w:pPr>
            <w:r>
              <w:rPr>
                <w:rFonts w:ascii="Times New Roman" w:hAnsi="Times New Roman"/>
                <w:sz w:val="24"/>
              </w:rPr>
              <w:t>Total des actifs et passifs évalués à la juste valeur déclarés dans les lignes 20 à 210.</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1A6C53" w:rsidRPr="00EB6E04"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 TOTAL ACTIFS ÉVALUÉS À LA JUSTE VALEUR</w:t>
            </w:r>
          </w:p>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 xml:space="preserve">Total des actifs évalués à la juste valeur déclarés dans les lignes 0030 à 0140. </w:t>
            </w:r>
          </w:p>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 xml:space="preserve">Les cellules pertinentes des lignes 0030 à 0130 seront remplies conformément au modèle FINREP F 01.01 des annexes III et IV du présent règlement en fonction du référentiel comptable applicable de l’établissement: </w:t>
            </w:r>
          </w:p>
          <w:p w:rsidR="001A6C53" w:rsidRPr="00EB6E04" w:rsidRDefault="001A6C53" w:rsidP="008D2F6E">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Normes IFRS telles qu’adoptées par l’Union en application du règlement (UE) 1606/2002 (ci-après «IFRS UE»)</w:t>
            </w:r>
          </w:p>
          <w:p w:rsidR="001A6C53" w:rsidRPr="00EB6E04" w:rsidRDefault="001A6C53" w:rsidP="008D2F6E">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Normes comptables nationales compatibles avec les IFRS UE (ci-après «réf</w:t>
            </w:r>
            <w:r>
              <w:rPr>
                <w:rFonts w:ascii="Times New Roman" w:hAnsi="Times New Roman"/>
                <w:sz w:val="24"/>
              </w:rPr>
              <w:t>é</w:t>
            </w:r>
            <w:r>
              <w:rPr>
                <w:rFonts w:ascii="Times New Roman" w:hAnsi="Times New Roman"/>
                <w:sz w:val="24"/>
              </w:rPr>
              <w:t>rentiel comptable national compatible IFRS») ou</w:t>
            </w:r>
          </w:p>
          <w:p w:rsidR="001A6C53" w:rsidRPr="00EB6E04" w:rsidRDefault="001A6C53" w:rsidP="008D2F6E">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Référentiel comptable national fondé sur la directive 86/635/CE sur la com</w:t>
            </w:r>
            <w:r>
              <w:rPr>
                <w:rFonts w:ascii="Times New Roman" w:hAnsi="Times New Roman"/>
                <w:sz w:val="24"/>
              </w:rPr>
              <w:t>p</w:t>
            </w:r>
            <w:r>
              <w:rPr>
                <w:rFonts w:ascii="Times New Roman" w:hAnsi="Times New Roman"/>
                <w:sz w:val="24"/>
              </w:rPr>
              <w:t>tabilité des banques, dite directive BAD (FINREP «référentiel comptable n</w:t>
            </w:r>
            <w:r>
              <w:rPr>
                <w:rFonts w:ascii="Times New Roman" w:hAnsi="Times New Roman"/>
                <w:sz w:val="24"/>
              </w:rPr>
              <w:t>a</w:t>
            </w:r>
            <w:r>
              <w:rPr>
                <w:rFonts w:ascii="Times New Roman" w:hAnsi="Times New Roman"/>
                <w:sz w:val="24"/>
              </w:rPr>
              <w:t>tional fondé sur la BAD»).</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1.1.1 ACTIFS FINANCIERS DÉTENUS À DES FINS DE NÉGOCIATION</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IFRS 9 Annexe A.</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Les informations fournies dans cette ligne devront correspondre à la ligne 050 du modèle F 01.01 des annexes III et IV du présent règlement.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1.1.2 ACTIFS FINANCIERS DE NÉGOCIATION</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 xml:space="preserve">Directive BAD articles 32 et 33; Annexe V, partie 1.17. </w:t>
            </w:r>
          </w:p>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091 du modèle F 01.01 des annexes III et IV du présent règlement.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1.1.3 ACTIFS FINANCIERS DÉTENUS À DES FINS AUTRES QUE DE NÉGOCIATION OBLIGATOIREMENT ÉVALUÉS À LA JUSTE V</w:t>
            </w:r>
            <w:r>
              <w:rPr>
                <w:rFonts w:ascii="Times New Roman" w:hAnsi="Times New Roman"/>
                <w:b/>
                <w:sz w:val="24"/>
                <w:u w:val="single"/>
              </w:rPr>
              <w:t>A</w:t>
            </w:r>
            <w:r>
              <w:rPr>
                <w:rFonts w:ascii="Times New Roman" w:hAnsi="Times New Roman"/>
                <w:b/>
                <w:sz w:val="24"/>
                <w:u w:val="single"/>
              </w:rPr>
              <w:t xml:space="preserve">LEUR PAR LE BIAIS DU COMPTE DE RÉSULTAT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 xml:space="preserve">IFRS 7.8(a)(ii); IFRS 9.4.1.4. </w:t>
            </w:r>
          </w:p>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096 du modèle F 01.01 des annexes III et IV du présent règlement.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1.1.4 ACTIFS FINANCIERS DÉSIGNÉS COMME ÉVALUÉS À LA JUSTE VALEUR PAR LE BIAIS DU COMPTE DE RÉSULTAT</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IFRS 7.8(a)(i); IFRS 9.4.1.5; Directive comptable article 8, paragraphe 1, point a), et paragraphe 6.</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100 du modèle F 01.01 des annexes III et IV du présent règlement.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 xml:space="preserve">1.1.5 </w:t>
            </w:r>
            <w:r>
              <w:rPr>
                <w:sz w:val="24"/>
              </w:rPr>
              <w:t xml:space="preserve"> </w:t>
            </w:r>
            <w:r>
              <w:rPr>
                <w:rFonts w:ascii="Times New Roman" w:hAnsi="Times New Roman"/>
                <w:b/>
                <w:sz w:val="24"/>
                <w:u w:val="single"/>
              </w:rPr>
              <w:t>ACTIFS FINANCIERS ÉVALUÉS À LA JUSTE VALEUR PAR LE BIAIS DES AUTRES ÉLÉMENTS DU RÉSULTAT GLOBAL</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IFRS 7.8(h); IFRS 9.4.1.2A.</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141 du modèle F 01.01 des annexes III et IV du présent règlement.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1.16 ACTIFS FINANCIERS NON DÉRIVÉS DÉTENUS À DES FINS AUTRES QUE DE NÉGOCIATION ÉVALUÉS À LA JUSTE VALEUR PAR LE BIAIS DU COMPTE DE RÉSULTAT</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 xml:space="preserve">Directive BAD article 36, paragraphe 2. </w:t>
            </w:r>
          </w:p>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171 du modèle F 01.01 des annexes III et IV du présent règlement.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1.1.7 ACTIFS FINANCIERS NON DÉRIVÉS DÉTENUS À DES FINS AUTRES QUE DE NÉGOCIATION ÉVALUÉS À LA JUSTE VALEUR EN CAPITAUX PROPRES</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Directive comptable article 8, paragraphe 1, point a), et paragraphe 8.</w:t>
            </w:r>
          </w:p>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175 du modèle F 01.01 des annexes III et IV du présent règlement.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1.1.8 AUTRES ACTIFS FINANCIERS NON DÉRIVÉS DÉTENUS À DES FINS AUTRES QUE DE NÉGOCIATION</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Directive BAD article 37; directive comptable article 12, paragraphe 7; annexe V, partie 1.20.</w:t>
            </w:r>
          </w:p>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234 du modèle F 01.01 des annexes III et IV du présent règlement.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1.1.9 DÉRIVÉS - COMPTABILITÉ DE COUVERTURE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IFRS 9.6.2.1; annexe V, partie 1.22; directive comptable article 8, paragraphe 1, point a), paragraphe 6 et paragraphe 8; IAS 39.9; annexe V, partie 1.22.</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240 du modèle F 01.01 des annexes III et IV du présent règlement.</w:t>
            </w:r>
          </w:p>
        </w:tc>
      </w:tr>
      <w:tr w:rsidR="001A6C53" w:rsidRPr="00E60B53" w:rsidTr="008D2F6E">
        <w:tc>
          <w:tcPr>
            <w:tcW w:w="1101" w:type="dxa"/>
          </w:tcPr>
          <w:p w:rsidR="001A6C53" w:rsidRPr="00EB6E04" w:rsidDel="006529A1"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1.1.10 VARIATIONS DE LA JUSTE VALEUR DES ÉLÉMENTS CO</w:t>
            </w:r>
            <w:r>
              <w:rPr>
                <w:rFonts w:ascii="Times New Roman" w:hAnsi="Times New Roman"/>
                <w:b/>
                <w:sz w:val="24"/>
                <w:u w:val="single"/>
              </w:rPr>
              <w:t>U</w:t>
            </w:r>
            <w:r>
              <w:rPr>
                <w:rFonts w:ascii="Times New Roman" w:hAnsi="Times New Roman"/>
                <w:b/>
                <w:sz w:val="24"/>
                <w:u w:val="single"/>
              </w:rPr>
              <w:t>VERTS LORS DE LA COUVERTURE DU RISQUE DE TAUX D’INTÉRÊT D’UN PORTEFEUILLE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IAS 39.89A(a); IFRS 9.6.5.8; directive comptable article 8, paragraphes 5 et 6.</w:t>
            </w:r>
          </w:p>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250 du modèle F 01.01 des annexes III et IV du présent règlement.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1.1.11 PARTICIPATIONS DANS DES FILIALES, COENTREPRISES ET ENTREPRISES ASSOCIÉES</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 xml:space="preserve">IAS 1.54(e); annexe V, partie 1.21, partie 2.4; directive BAD article 4 Actif, postes 7 et 8; directive comptable article 2, paragraphe 2. </w:t>
            </w:r>
          </w:p>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260 du modèle F 01.01 des annexes III et IV du présent règlement.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1.1.12 (-) DÉCOTES POUR ACTIFS DE NÉGOCIATION ÉVALUÉS À LA JUSTE VALEUR</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Annexe V, partie 1.29.</w:t>
            </w:r>
          </w:p>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375 du modèle F 01.01 des annexes III et IV du présent règlement.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 xml:space="preserve">1.2 TOTAL PASSIFS ÉVALUÉS À LA JUSTE VALEUR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Total des passifs évalués à la juste valeur déclarés dans les lignes 0160 à 0210.</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 xml:space="preserve">Les cellules pertinentes des lignes 0150 à 0190 seront remplies conformément au modèle FINREP F 01.02 des annexes III et IV du présent règlement en fonction du référentiel comptable applicable de l’établissement: </w:t>
            </w:r>
          </w:p>
          <w:p w:rsidR="001A6C53" w:rsidRPr="00DD41BE" w:rsidRDefault="001A6C53" w:rsidP="008D2F6E">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Normes IFRS telles qu’adoptées par l’Union en application du règlement (UE) 1606/2002 (ci-après «IFRS UE»)</w:t>
            </w:r>
          </w:p>
          <w:p w:rsidR="001A6C53" w:rsidRPr="00DD41BE" w:rsidRDefault="001A6C53" w:rsidP="008D2F6E">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Normes comptables nationales compatibles avec les IFRS UE (ci-après «réf</w:t>
            </w:r>
            <w:r>
              <w:rPr>
                <w:rFonts w:ascii="Times New Roman" w:hAnsi="Times New Roman"/>
                <w:sz w:val="24"/>
              </w:rPr>
              <w:t>é</w:t>
            </w:r>
            <w:r>
              <w:rPr>
                <w:rFonts w:ascii="Times New Roman" w:hAnsi="Times New Roman"/>
                <w:sz w:val="24"/>
              </w:rPr>
              <w:t xml:space="preserve">rentiel comptable national compatible IFRS») </w:t>
            </w:r>
          </w:p>
          <w:p w:rsidR="001A6C53" w:rsidRPr="00DD41BE" w:rsidRDefault="001A6C53" w:rsidP="008D2F6E">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ou référentiel comptable national fondé sur la directive 86/635/CE sur la comptabilité des banques, dite directive BAD (FINREP «référentiel comptable national fondé sur la BAD »).</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1.2.1 PASSIFS FINANCIERS DÉTENUS À DES FINS DE NÉGOCIATION</w:t>
            </w:r>
          </w:p>
          <w:p w:rsidR="001A6C53" w:rsidRPr="001A6C53" w:rsidRDefault="001A6C53" w:rsidP="008D2F6E">
            <w:pPr>
              <w:spacing w:beforeLines="60" w:before="144" w:afterLines="60" w:after="144"/>
              <w:rPr>
                <w:rFonts w:ascii="Times New Roman" w:hAnsi="Times New Roman"/>
                <w:sz w:val="24"/>
                <w:lang w:val="sv-SE"/>
              </w:rPr>
            </w:pPr>
            <w:r w:rsidRPr="001A6C53">
              <w:rPr>
                <w:rFonts w:ascii="Times New Roman" w:hAnsi="Times New Roman"/>
                <w:sz w:val="24"/>
                <w:lang w:val="sv-SE"/>
              </w:rPr>
              <w:t>IFRS 7.8 (e) (ii); IFRS 9.BA.6.</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010 du modèle F 01.02 des annexes III et IV du présent règlement.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1.2.2 PASSIFS FINANCIERS DE NÉGOCIATION</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Directive comptable article 8, paragraphe 1, point a), paragraphe 3 et par</w:t>
            </w:r>
            <w:r>
              <w:rPr>
                <w:rFonts w:ascii="Times New Roman" w:hAnsi="Times New Roman"/>
                <w:sz w:val="24"/>
              </w:rPr>
              <w:t>a</w:t>
            </w:r>
            <w:r>
              <w:rPr>
                <w:rFonts w:ascii="Times New Roman" w:hAnsi="Times New Roman"/>
                <w:sz w:val="24"/>
              </w:rPr>
              <w:t>graphe 6;</w:t>
            </w:r>
          </w:p>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061 du modèle F 01.02 des annexes III et IV du présent règlement.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1.2.3 PASSIFS FINANCIERS DÉSIGNÉS COMME ÉVALUÉS À LA JUSTE VALEUR PAR LE BIAIS DU COMPTE DE RÉSULTAT</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IFRS 7.8 (e)(i); IFRS 9.4.2.2;</w:t>
            </w:r>
            <w:r>
              <w:rPr>
                <w:sz w:val="24"/>
              </w:rPr>
              <w:t xml:space="preserve"> </w:t>
            </w:r>
            <w:r>
              <w:rPr>
                <w:rFonts w:ascii="Times New Roman" w:hAnsi="Times New Roman"/>
                <w:sz w:val="24"/>
              </w:rPr>
              <w:t xml:space="preserve">directive comptable article 8, paragraphe 1, point a), et paragraphe 6; IAS 39.9.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070 du modèle F 01.02 des annexes III et IV du présent règlement.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1.2.4 DÉRIVÉS - COMPTABILITÉ DE COUVERTURE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 xml:space="preserve">IFRS 9.6.2.1; annexe V, partie 1.26; directive comptable article 8, paragraphe 1, point a), paragraphe 6 et paragraphe 8, point a).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150 du modèle F 01.02 des annexes III et IV du présent règlement.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1.2.5 VARIATIONS DE LA JUSTE VALEUR DES ÉLÉMENTS CO</w:t>
            </w:r>
            <w:r>
              <w:rPr>
                <w:rFonts w:ascii="Times New Roman" w:hAnsi="Times New Roman"/>
                <w:b/>
                <w:sz w:val="24"/>
                <w:u w:val="single"/>
              </w:rPr>
              <w:t>U</w:t>
            </w:r>
            <w:r>
              <w:rPr>
                <w:rFonts w:ascii="Times New Roman" w:hAnsi="Times New Roman"/>
                <w:b/>
                <w:sz w:val="24"/>
                <w:u w:val="single"/>
              </w:rPr>
              <w:t>VERTS LORS DE LA COUVERTURE DU RISQUE DE TAUX D’INTÉRÊT D’UN PORTEFEUILLE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IAS 39.89A(b), IFRS 9.6.5.8; directive comptable article 8, paragraphes 5 et 6; annexe V, partie 2.8.</w:t>
            </w:r>
          </w:p>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160 du modèle F 01.02 des annexes III et IV du présent règlement.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1.2.6 DÉCOTES POUR PASSIFS DE NÉGOCIATION ÉVALUÉS À LA JUSTE VALEUR</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Annexe V, partie 1.29.</w:t>
            </w:r>
          </w:p>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295 du modèle F 01.02 des annexes III et IV du présent règlement.</w:t>
            </w:r>
          </w:p>
        </w:tc>
      </w:tr>
    </w:tbl>
    <w:p w:rsidR="001A6C53" w:rsidRDefault="001A6C53" w:rsidP="001A6C53">
      <w:pPr>
        <w:rPr>
          <w:rStyle w:val="InstructionsTabelleText"/>
          <w:rFonts w:ascii="Times New Roman" w:hAnsi="Times New Roman"/>
          <w:sz w:val="24"/>
        </w:rPr>
      </w:pPr>
    </w:p>
    <w:p w:rsidR="001A6C53" w:rsidRPr="004502C8" w:rsidRDefault="001A6C53" w:rsidP="001A6C53">
      <w:pPr>
        <w:pStyle w:val="Instructionsberschrift2"/>
        <w:numPr>
          <w:ilvl w:val="0"/>
          <w:numId w:val="0"/>
        </w:numPr>
        <w:ind w:left="357" w:hanging="357"/>
        <w:rPr>
          <w:rFonts w:ascii="Times New Roman" w:hAnsi="Times New Roman" w:cs="Times New Roman"/>
          <w:sz w:val="24"/>
          <w:u w:val="none"/>
        </w:rPr>
      </w:pPr>
      <w:bookmarkStart w:id="440" w:name="_Toc524104249"/>
      <w:r>
        <w:rPr>
          <w:rFonts w:ascii="Times New Roman" w:hAnsi="Times New Roman"/>
          <w:sz w:val="24"/>
          <w:u w:val="none"/>
        </w:rPr>
        <w:t>6.2.</w:t>
      </w:r>
      <w:r w:rsidRPr="00070DAB">
        <w:rPr>
          <w:u w:val="none"/>
        </w:rPr>
        <w:tab/>
      </w:r>
      <w:r>
        <w:rPr>
          <w:rFonts w:ascii="Times New Roman" w:hAnsi="Times New Roman"/>
          <w:sz w:val="24"/>
        </w:rPr>
        <w:t>C 32.02 - Évaluation prudente: Approche principale (</w:t>
      </w:r>
      <w:proofErr w:type="spellStart"/>
      <w:r>
        <w:rPr>
          <w:rFonts w:ascii="Times New Roman" w:hAnsi="Times New Roman"/>
          <w:sz w:val="24"/>
        </w:rPr>
        <w:t>PruVal</w:t>
      </w:r>
      <w:proofErr w:type="spellEnd"/>
      <w:r>
        <w:rPr>
          <w:rFonts w:ascii="Times New Roman" w:hAnsi="Times New Roman"/>
          <w:sz w:val="24"/>
        </w:rPr>
        <w:t xml:space="preserve"> 2)</w:t>
      </w:r>
      <w:bookmarkEnd w:id="440"/>
    </w:p>
    <w:p w:rsidR="001A6C53" w:rsidRDefault="001A6C53" w:rsidP="001A6C53">
      <w:pPr>
        <w:pStyle w:val="Instructionsberschrift2"/>
        <w:numPr>
          <w:ilvl w:val="0"/>
          <w:numId w:val="0"/>
        </w:numPr>
        <w:ind w:left="357" w:hanging="357"/>
        <w:rPr>
          <w:rFonts w:ascii="Times New Roman" w:hAnsi="Times New Roman" w:cs="Times New Roman"/>
          <w:sz w:val="24"/>
          <w:u w:val="none"/>
        </w:rPr>
      </w:pPr>
      <w:bookmarkStart w:id="441" w:name="_Toc524104250"/>
      <w:r>
        <w:rPr>
          <w:rFonts w:ascii="Times New Roman" w:hAnsi="Times New Roman"/>
          <w:sz w:val="24"/>
          <w:u w:val="none"/>
        </w:rPr>
        <w:t>6.2.1.</w:t>
      </w:r>
      <w:r w:rsidRPr="00070DAB">
        <w:rPr>
          <w:u w:val="none"/>
        </w:rPr>
        <w:tab/>
      </w:r>
      <w:r>
        <w:rPr>
          <w:rFonts w:ascii="Times New Roman" w:hAnsi="Times New Roman"/>
          <w:sz w:val="24"/>
        </w:rPr>
        <w:t>Remarques générales</w:t>
      </w:r>
      <w:bookmarkEnd w:id="441"/>
      <w:r>
        <w:rPr>
          <w:rFonts w:ascii="Times New Roman" w:hAnsi="Times New Roman"/>
          <w:sz w:val="24"/>
          <w:u w:val="none"/>
        </w:rPr>
        <w:t xml:space="preserve"> </w:t>
      </w:r>
    </w:p>
    <w:p w:rsidR="001A6C53" w:rsidRPr="00B93FA1" w:rsidRDefault="001A6C53" w:rsidP="001A6C53">
      <w:pPr>
        <w:pStyle w:val="InstructionsText2"/>
        <w:numPr>
          <w:ilvl w:val="0"/>
          <w:numId w:val="0"/>
        </w:numPr>
        <w:ind w:left="993"/>
      </w:pPr>
      <w:r>
        <w:t>154c. Ce modèle a pour objectif de fournir des informations sur la composition de l’AVA totale à déduire des fonds propres en vertu des articles 34 et 105 du CRR ainsi que des informations pertinentes sur l’évaluation comptable des positions donnant lieu à la détermination des AVA.</w:t>
      </w:r>
    </w:p>
    <w:p w:rsidR="001A6C53" w:rsidRPr="00B93FA1" w:rsidRDefault="001A6C53" w:rsidP="001A6C53">
      <w:pPr>
        <w:pStyle w:val="InstructionsText2"/>
        <w:numPr>
          <w:ilvl w:val="0"/>
          <w:numId w:val="0"/>
        </w:numPr>
        <w:ind w:left="993"/>
      </w:pPr>
      <w:r>
        <w:t xml:space="preserve">154d. Ce modèle devra être complété par tous les établissements qui: </w:t>
      </w:r>
    </w:p>
    <w:p w:rsidR="001A6C53" w:rsidRPr="00B93FA1" w:rsidRDefault="001A6C53" w:rsidP="001A6C53">
      <w:pPr>
        <w:pStyle w:val="InstructionsText2"/>
        <w:numPr>
          <w:ilvl w:val="0"/>
          <w:numId w:val="0"/>
        </w:numPr>
        <w:ind w:left="993"/>
      </w:pPr>
      <w:r>
        <w:lastRenderedPageBreak/>
        <w:t>a) sont tenus d’utiliser l'approche principale parce qu'ils dépassent le seuil fixé à l’article 4, paragraphe 1, du règlement délégué (UE) 2016/101 sur l’évaluation pr</w:t>
      </w:r>
      <w:r>
        <w:t>u</w:t>
      </w:r>
      <w:r>
        <w:t>dente, soit sur une base individuelle soit sur une base consolidée comme prévu à l’article 4, paragraphe 3, du règlement délégué (UE) 2016/101 sur l’évaluation pr</w:t>
      </w:r>
      <w:r>
        <w:t>u</w:t>
      </w:r>
      <w:r>
        <w:t>dente, ou</w:t>
      </w:r>
    </w:p>
    <w:p w:rsidR="001A6C53" w:rsidRPr="00B93FA1" w:rsidRDefault="001A6C53" w:rsidP="001A6C53">
      <w:pPr>
        <w:pStyle w:val="InstructionsText2"/>
        <w:numPr>
          <w:ilvl w:val="0"/>
          <w:numId w:val="0"/>
        </w:numPr>
        <w:ind w:left="993"/>
      </w:pPr>
      <w:r>
        <w:t xml:space="preserve">b) ont choisi d'appliquer l'approche principale bien qu’ils ne dépassent pas ce seuil. </w:t>
      </w:r>
    </w:p>
    <w:p w:rsidR="001A6C53" w:rsidRDefault="001A6C53" w:rsidP="001A6C53">
      <w:pPr>
        <w:pStyle w:val="InstructionsText2"/>
        <w:numPr>
          <w:ilvl w:val="0"/>
          <w:numId w:val="0"/>
        </w:numPr>
        <w:ind w:left="993"/>
      </w:pPr>
      <w:r>
        <w:t>154e. Aux fins de ce modèle, l’«incertitude haussière» est définie comme suit: Ai</w:t>
      </w:r>
      <w:r>
        <w:t>n</w:t>
      </w:r>
      <w:r>
        <w:t>si qu’en dispose l’article 8, paragraphe 2, du règlement délégué (UE) 2016/101 sur l’évaluation prudente, les AVA sont calculées comme étant la différence entre la juste valeur et une valeur prudente qui est déterminée sur la base d'une certitude à 90 % de l’établissement qu’il peut sortir de l’exposition à ce point ou à un point plus favorable au sein de la fourchette théorique de valeurs plausibles. La valeur haussière, ou «incertitude haussière», correspond au point opposé, dans la distrib</w:t>
      </w:r>
      <w:r>
        <w:t>u</w:t>
      </w:r>
      <w:r>
        <w:t>tion des valeurs plausibles, auquel l'établissement n’est sûr qu’à 10 % de pouvoir sortir de la position à ce point ou à un point plus favorable. L’incertitude haussière sera calculée et agrégée sur la même base que l’AVA totale, mais en remplaçant le niveau de certitude de 90 % utilisé pour déterminer l’AVA totale par un niveau de certitude de 10 %.</w:t>
      </w:r>
    </w:p>
    <w:p w:rsidR="001A6C53" w:rsidRPr="004502C8" w:rsidRDefault="001A6C53" w:rsidP="001A6C53">
      <w:pPr>
        <w:pStyle w:val="Instructionsberschrift2"/>
        <w:numPr>
          <w:ilvl w:val="0"/>
          <w:numId w:val="0"/>
        </w:numPr>
        <w:ind w:left="357" w:hanging="357"/>
        <w:rPr>
          <w:rFonts w:ascii="Times New Roman" w:hAnsi="Times New Roman" w:cs="Times New Roman"/>
          <w:sz w:val="24"/>
          <w:u w:val="none"/>
        </w:rPr>
      </w:pPr>
      <w:bookmarkStart w:id="442" w:name="_Toc524104251"/>
      <w:r>
        <w:rPr>
          <w:rFonts w:ascii="Times New Roman" w:hAnsi="Times New Roman"/>
          <w:sz w:val="24"/>
          <w:u w:val="none"/>
        </w:rPr>
        <w:t>6.2.2.</w:t>
      </w:r>
      <w:r w:rsidRPr="00070DAB">
        <w:rPr>
          <w:u w:val="none"/>
        </w:rPr>
        <w:tab/>
      </w:r>
      <w:r>
        <w:rPr>
          <w:rFonts w:ascii="Times New Roman" w:hAnsi="Times New Roman"/>
          <w:sz w:val="24"/>
          <w:u w:val="none"/>
        </w:rPr>
        <w:t>Instructions concernant certaines positions</w:t>
      </w:r>
      <w:bookmarkEnd w:id="44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A6C53" w:rsidRPr="00E60B53" w:rsidTr="008D2F6E">
        <w:tc>
          <w:tcPr>
            <w:tcW w:w="9291" w:type="dxa"/>
            <w:gridSpan w:val="2"/>
            <w:shd w:val="clear" w:color="auto" w:fill="CCCCCC"/>
          </w:tcPr>
          <w:p w:rsidR="001A6C53" w:rsidRPr="00EB6E04" w:rsidRDefault="001A6C53" w:rsidP="008D2F6E">
            <w:pPr>
              <w:spacing w:beforeLines="60" w:before="144" w:afterLines="60" w:after="144"/>
              <w:rPr>
                <w:rFonts w:ascii="Times New Roman" w:hAnsi="Times New Roman"/>
                <w:b/>
                <w:sz w:val="24"/>
              </w:rPr>
            </w:pPr>
            <w:r>
              <w:rPr>
                <w:rFonts w:ascii="Times New Roman" w:hAnsi="Times New Roman"/>
                <w:b/>
                <w:sz w:val="24"/>
              </w:rPr>
              <w:t>Colonnes</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DE CATÉGORIE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Les AVA de catégorie relatives à l'incertitude sur les prix du marché, aux coûts de liquidation, au risque lié au modèle, aux positions concentrées, aux frais admini</w:t>
            </w:r>
            <w:r>
              <w:rPr>
                <w:rFonts w:ascii="Times New Roman" w:hAnsi="Times New Roman"/>
                <w:sz w:val="24"/>
              </w:rPr>
              <w:t>s</w:t>
            </w:r>
            <w:r>
              <w:rPr>
                <w:rFonts w:ascii="Times New Roman" w:hAnsi="Times New Roman"/>
                <w:sz w:val="24"/>
              </w:rPr>
              <w:t>tratifs futurs, à la résiliation anticipée et au risque opérationnel sont calculées comme cela est décrit, respectivement, aux articles 9 à 11 et aux articles 14 à 17 du règlement délégué (UE) 2016/101 sur l’évaluation prudente.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Pour les catégories «incertitude sur les prix du marché», «coûts de liquidation» et «risque lié au modèle», qui font l'objet d’avantages de diversification comme énoncé, respectivement, à l’article 9, paragraphe 6, à l'article 10, paragraphe 7, et à l'article 11, paragraphe 7, du règlement délégué (UE) 2016/101 sur l’évaluation prudente, les AVA de catégorie seront, sauf indication contraire, déclarées comme étant la somme simple des AVA individuelles avant avantages de diversification [puisque les avantages de diversification calculés selon la méthode 1 ou selon la méthode 2 de l'annexe du règlement délégué (UE) 2016/101 sur l’évaluation pr</w:t>
            </w:r>
            <w:r>
              <w:rPr>
                <w:rFonts w:ascii="Times New Roman" w:hAnsi="Times New Roman"/>
                <w:sz w:val="24"/>
              </w:rPr>
              <w:t>u</w:t>
            </w:r>
            <w:r>
              <w:rPr>
                <w:rFonts w:ascii="Times New Roman" w:hAnsi="Times New Roman"/>
                <w:sz w:val="24"/>
              </w:rPr>
              <w:t xml:space="preserve">dente sont déclarés dans les postes 1.1.2, 1.1.2.1 et 1.1.2.2 du modèle].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Pour les catégories «incertitude sur les prix du marché», «coûts de liquidation» et «risque lié au modèle», les montants calculés selon l'approche basée sur des avis d’experts définie respectivement à l’article 9, paragraphe 5, point b), à l’article 10, paragraphe 6, point b) et à l’article 11, paragraphe 4, du règlement délégué (UE) 2016/101 sur l’évaluation prudente seront déclarés séparément dans les colonnes 0020, 0040 et 0060.</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INCERTITUDE SUR LES PRIX DU MARCHÉ</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 xml:space="preserve">Article 105, paragraphe 10, du CRR. </w:t>
            </w:r>
          </w:p>
          <w:p w:rsidR="001A6C53" w:rsidRPr="00DD41BE" w:rsidRDefault="001A6C53" w:rsidP="008D2F6E">
            <w:pPr>
              <w:spacing w:beforeLines="60" w:before="144" w:afterLines="60" w:after="144"/>
              <w:rPr>
                <w:rStyle w:val="InstructionsTabelleberschrift"/>
                <w:rFonts w:ascii="Times New Roman" w:hAnsi="Times New Roman"/>
                <w:sz w:val="24"/>
              </w:rPr>
            </w:pPr>
            <w:r>
              <w:rPr>
                <w:rFonts w:ascii="Times New Roman" w:hAnsi="Times New Roman"/>
                <w:sz w:val="24"/>
              </w:rPr>
              <w:t>AVA relatives à l'incertitude sur les prix du marché calculées conformément à l’article 9 du règlement délégué (UE) 2016/101 sur l’évaluation prudente.</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CALCULÉ SELON L’APPROCHE BASÉE SUR DES AVIS D’EXPERTS</w:t>
            </w:r>
          </w:p>
          <w:p w:rsidR="001A6C53" w:rsidRPr="00DD41BE" w:rsidRDefault="001A6C53" w:rsidP="008D2F6E">
            <w:pPr>
              <w:spacing w:beforeLines="60" w:before="144" w:afterLines="60" w:after="144"/>
              <w:rPr>
                <w:rStyle w:val="InstructionsTabelleberschrift"/>
                <w:rFonts w:ascii="Times New Roman" w:hAnsi="Times New Roman"/>
                <w:sz w:val="24"/>
              </w:rPr>
            </w:pPr>
            <w:r>
              <w:rPr>
                <w:rFonts w:ascii="Times New Roman" w:hAnsi="Times New Roman"/>
                <w:sz w:val="24"/>
              </w:rPr>
              <w:t>AVA relatives à l'incertitude sur les prix du marché calculées conformément à l’article 9, paragraphe 5, point b), du règlement délégué (UE) 2016/101 sur l’évaluation prudente.</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COÛTS DE LIQUIDATION</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 xml:space="preserve">Article 105, paragraphe 10, du CRR. </w:t>
            </w:r>
          </w:p>
          <w:p w:rsidR="001A6C53" w:rsidRPr="00DD41BE" w:rsidRDefault="001A6C53" w:rsidP="008D2F6E">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relatives aux coûts de liquidation calculées conformément à l’article 10 du règlement délégué (UE) 2016/101 sur l’évaluation prudente. </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CALCULÉ SELON L’APPROCHE BASÉE SUR DES AVIS D’EXPERTS</w:t>
            </w:r>
          </w:p>
          <w:p w:rsidR="001A6C53" w:rsidRPr="00DD41BE" w:rsidRDefault="001A6C53" w:rsidP="008D2F6E">
            <w:pPr>
              <w:spacing w:beforeLines="60" w:before="144" w:afterLines="60" w:after="144"/>
              <w:rPr>
                <w:rStyle w:val="InstructionsTabelleberschrift"/>
                <w:rFonts w:ascii="Times New Roman" w:hAnsi="Times New Roman"/>
                <w:sz w:val="24"/>
              </w:rPr>
            </w:pPr>
            <w:r>
              <w:rPr>
                <w:rFonts w:ascii="Times New Roman" w:hAnsi="Times New Roman"/>
                <w:sz w:val="24"/>
              </w:rPr>
              <w:t>AVA relatives aux coûts de liquidation calculées conformément à l’article 10, p</w:t>
            </w:r>
            <w:r>
              <w:rPr>
                <w:rFonts w:ascii="Times New Roman" w:hAnsi="Times New Roman"/>
                <w:sz w:val="24"/>
              </w:rPr>
              <w:t>a</w:t>
            </w:r>
            <w:r>
              <w:rPr>
                <w:rFonts w:ascii="Times New Roman" w:hAnsi="Times New Roman"/>
                <w:sz w:val="24"/>
              </w:rPr>
              <w:t>ragraphe 6, point b), du règlement délégué (UE) 2016/101 sur l’évaluation pr</w:t>
            </w:r>
            <w:r>
              <w:rPr>
                <w:rFonts w:ascii="Times New Roman" w:hAnsi="Times New Roman"/>
                <w:sz w:val="24"/>
              </w:rPr>
              <w:t>u</w:t>
            </w:r>
            <w:r>
              <w:rPr>
                <w:rFonts w:ascii="Times New Roman" w:hAnsi="Times New Roman"/>
                <w:sz w:val="24"/>
              </w:rPr>
              <w:t>dente.</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RISQUE LIÉ AU MODÈLE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Article 105, paragraphe 10, du CRR</w:t>
            </w:r>
          </w:p>
          <w:p w:rsidR="001A6C53" w:rsidRPr="00DD41BE" w:rsidRDefault="001A6C53" w:rsidP="008D2F6E">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relatives au risque lié au modèle calculées conformément à l’article 11 du règlement délégué (UE) 2016/101 sur l’évaluation prudente. </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CALCULÉ SELON L’APPROCHE BASÉE SUR DES AVIS D’EXPERTS</w:t>
            </w:r>
          </w:p>
          <w:p w:rsidR="001A6C53" w:rsidRPr="00DD41BE" w:rsidRDefault="001A6C53" w:rsidP="008D2F6E">
            <w:pPr>
              <w:spacing w:beforeLines="60" w:before="144" w:afterLines="60" w:after="144"/>
              <w:rPr>
                <w:rStyle w:val="InstructionsTabelleberschrift"/>
                <w:rFonts w:ascii="Times New Roman" w:hAnsi="Times New Roman"/>
                <w:sz w:val="24"/>
              </w:rPr>
            </w:pPr>
            <w:r>
              <w:rPr>
                <w:rFonts w:ascii="Times New Roman" w:hAnsi="Times New Roman"/>
                <w:sz w:val="24"/>
              </w:rPr>
              <w:t>AVA relatives au risque lié au modèle calculées conformément à l’article 11, p</w:t>
            </w:r>
            <w:r>
              <w:rPr>
                <w:rFonts w:ascii="Times New Roman" w:hAnsi="Times New Roman"/>
                <w:sz w:val="24"/>
              </w:rPr>
              <w:t>a</w:t>
            </w:r>
            <w:r>
              <w:rPr>
                <w:rFonts w:ascii="Times New Roman" w:hAnsi="Times New Roman"/>
                <w:sz w:val="24"/>
              </w:rPr>
              <w:t>ragraphe 4, du règlement délégué (UE) 2016/101 sur l’évaluation prudente.</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POSITIONS CONCENTRÉES</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Article 105, paragraphe 11, du CRR</w:t>
            </w:r>
          </w:p>
          <w:p w:rsidR="001A6C53" w:rsidRPr="00DD41BE" w:rsidRDefault="001A6C53" w:rsidP="008D2F6E">
            <w:pPr>
              <w:spacing w:beforeLines="60" w:before="144" w:afterLines="60" w:after="144"/>
              <w:rPr>
                <w:rStyle w:val="InstructionsTabelleberschrift"/>
                <w:rFonts w:ascii="Times New Roman" w:hAnsi="Times New Roman"/>
                <w:sz w:val="24"/>
              </w:rPr>
            </w:pPr>
            <w:r>
              <w:rPr>
                <w:rFonts w:ascii="Times New Roman" w:hAnsi="Times New Roman"/>
                <w:sz w:val="24"/>
              </w:rPr>
              <w:t>AVA relatives aux positions concentrées calculées conformément à l’article 14 du règlement délégué (UE) 2016/101 sur l’évaluation prudente.</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FRAIS ADMINISTRATIFS FUTURS</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Article 105, paragraphe 10, du CRR</w:t>
            </w:r>
          </w:p>
          <w:p w:rsidR="001A6C53" w:rsidRPr="00DD41BE" w:rsidRDefault="001A6C53" w:rsidP="008D2F6E">
            <w:pPr>
              <w:spacing w:beforeLines="60" w:before="144" w:afterLines="60" w:after="144"/>
              <w:rPr>
                <w:rStyle w:val="InstructionsTabelleberschrift"/>
                <w:rFonts w:ascii="Times New Roman" w:hAnsi="Times New Roman"/>
                <w:sz w:val="24"/>
              </w:rPr>
            </w:pPr>
            <w:r>
              <w:rPr>
                <w:rFonts w:ascii="Times New Roman" w:hAnsi="Times New Roman"/>
                <w:sz w:val="24"/>
              </w:rPr>
              <w:t>AVA relatives aux frais administratifs futurs calculées conformément à l’article 15 du règlement délégué (UE) 2016/101 sur l’évaluation prudente.</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RÉSILIATION ANTICIPÉE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Article 105, paragraphe 10, du CRR</w:t>
            </w:r>
          </w:p>
          <w:p w:rsidR="001A6C53" w:rsidRPr="00DD41BE" w:rsidRDefault="001A6C53" w:rsidP="008D2F6E">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relatives à la résiliation anticipée calculées conformément à l’article 16 du règlement délégué (UE) 2016/101 sur l’évaluation prudente. </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0100</w:t>
            </w:r>
          </w:p>
        </w:tc>
        <w:tc>
          <w:tcPr>
            <w:tcW w:w="8190"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RISQUE OPÉRATIONNEL</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Article 105, paragraphe 10, du CRR</w:t>
            </w:r>
          </w:p>
          <w:p w:rsidR="001A6C53" w:rsidRPr="00DD41BE" w:rsidRDefault="001A6C53" w:rsidP="008D2F6E">
            <w:pPr>
              <w:spacing w:beforeLines="60" w:before="144" w:afterLines="60" w:after="144"/>
              <w:rPr>
                <w:rStyle w:val="InstructionsTabelleberschrift"/>
                <w:rFonts w:ascii="Times New Roman" w:hAnsi="Times New Roman"/>
                <w:sz w:val="24"/>
              </w:rPr>
            </w:pPr>
            <w:r>
              <w:rPr>
                <w:rFonts w:ascii="Times New Roman" w:hAnsi="Times New Roman"/>
                <w:sz w:val="24"/>
              </w:rPr>
              <w:t>AVA relatives au risque opérationnel calculées conformément à l’article 17 du r</w:t>
            </w:r>
            <w:r>
              <w:rPr>
                <w:rFonts w:ascii="Times New Roman" w:hAnsi="Times New Roman"/>
                <w:sz w:val="24"/>
              </w:rPr>
              <w:t>è</w:t>
            </w:r>
            <w:r>
              <w:rPr>
                <w:rFonts w:ascii="Times New Roman" w:hAnsi="Times New Roman"/>
                <w:sz w:val="24"/>
              </w:rPr>
              <w:t>glement délégué (UE) 2016/101 sur l’évaluation prudente.</w:t>
            </w:r>
          </w:p>
        </w:tc>
      </w:tr>
      <w:tr w:rsidR="001A6C53" w:rsidRPr="00E60B53" w:rsidTr="008D2F6E">
        <w:tc>
          <w:tcPr>
            <w:tcW w:w="1101" w:type="dxa"/>
            <w:tcBorders>
              <w:bottom w:val="single" w:sz="4" w:space="0" w:color="auto"/>
            </w:tcBorders>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AVA TOTALE </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Ligne 0010: AVA totale à déduire des fonds propres en vertu des articles 34 et 105 du CRR et déclarée en conséquence dans la ligne 290 du C 01.00. L’AVA totale sera la somme des lignes 0030 et 0180. </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Ligne 0020: Part de l’AVA totale déclarée dans la ligne 0010 provenant des pos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tions du portefeuille de négociation (valeur absolue). </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Lignes 0030 à 0160: Somme des colonnes 0010, 0030, 0050 et 0070 à 0100. </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Lignes 0180 à 0210: AVA totale provenant des portefeuilles relevant de l'approche alternative. </w:t>
            </w:r>
          </w:p>
        </w:tc>
      </w:tr>
      <w:tr w:rsidR="001A6C53" w:rsidRPr="00E60B53" w:rsidTr="008D2F6E">
        <w:tc>
          <w:tcPr>
            <w:tcW w:w="1101" w:type="dxa"/>
            <w:tcBorders>
              <w:bottom w:val="single" w:sz="4" w:space="0" w:color="auto"/>
            </w:tcBorders>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INCERTITUDE HAUSSIÈRE</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8, paragraphe 2, du</w:t>
            </w:r>
            <w:r>
              <w:rPr>
                <w:rFonts w:ascii="Times New Roman" w:hAnsi="Times New Roman"/>
                <w:sz w:val="24"/>
              </w:rPr>
              <w:t xml:space="preserve"> règlement délégué (UE) 2016/101 sur l’évaluation pr</w:t>
            </w:r>
            <w:r>
              <w:rPr>
                <w:rFonts w:ascii="Times New Roman" w:hAnsi="Times New Roman"/>
                <w:sz w:val="24"/>
              </w:rPr>
              <w:t>u</w:t>
            </w:r>
            <w:r>
              <w:rPr>
                <w:rFonts w:ascii="Times New Roman" w:hAnsi="Times New Roman"/>
                <w:sz w:val="24"/>
              </w:rPr>
              <w:t>dente.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L’incertitude haussière sera calculée et agrégée sur la même base que l’AVA t</w:t>
            </w:r>
            <w:r>
              <w:rPr>
                <w:rFonts w:ascii="Times New Roman" w:hAnsi="Times New Roman"/>
                <w:sz w:val="24"/>
              </w:rPr>
              <w:t>o</w:t>
            </w:r>
            <w:r>
              <w:rPr>
                <w:rFonts w:ascii="Times New Roman" w:hAnsi="Times New Roman"/>
                <w:sz w:val="24"/>
              </w:rPr>
              <w:t>tale calculée dans la colonne 0110, mais en remplaçant le niveau de certitude de 90 % utilisé pour déterminer l’AVA totale par un niveau de certitude de 10 %.</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rsidR="001A6C53" w:rsidRPr="00EB6E04"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ACTIFS ET PASSIFS ÉVALUÉS À LA JUSTE VALEUR</w:t>
            </w:r>
          </w:p>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Valeur absolue des actifs et passifs évalués à la juste valeur correspondant aux montants d’AVA déclarés dans les lignes 0010 à 0130 et dans la ligne 0180. Pour certaines lignes, en particulier les lignes 0090 à 0130, ces montants sont susce</w:t>
            </w:r>
            <w:r>
              <w:rPr>
                <w:rFonts w:ascii="Times New Roman" w:hAnsi="Times New Roman"/>
                <w:sz w:val="24"/>
              </w:rPr>
              <w:t>p</w:t>
            </w:r>
            <w:r>
              <w:rPr>
                <w:rFonts w:ascii="Times New Roman" w:hAnsi="Times New Roman"/>
                <w:sz w:val="24"/>
              </w:rPr>
              <w:t xml:space="preserve">tibles de devoir être estimés approximativement ou imputés en se fondant sur des avis d’experts. </w:t>
            </w:r>
          </w:p>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Ligne 0010: Valeur absolue totale des actifs et passifs évalués à la juste valeur i</w:t>
            </w:r>
            <w:r>
              <w:rPr>
                <w:rFonts w:ascii="Times New Roman" w:hAnsi="Times New Roman"/>
                <w:sz w:val="24"/>
              </w:rPr>
              <w:t>n</w:t>
            </w:r>
            <w:r>
              <w:rPr>
                <w:rFonts w:ascii="Times New Roman" w:hAnsi="Times New Roman"/>
                <w:sz w:val="24"/>
              </w:rPr>
              <w:t>clus dans le calcul du seuil prévu à l’article 4, paragraphe 1, du règlement délégué (UE) 2016/101 sur l’évaluation prudente. Cette valeur absolue totale comprend la valeur absolue des actifs et passifs évalués à la juste valeur pour lesquels les AVA sont évaluées comme ayant une valeur nulle en vertu de l'article 9, paragraphe 2, de l’article 10, paragraphe 2, ou de l’article 10, paragraphe 3, du règlement dél</w:t>
            </w:r>
            <w:r>
              <w:rPr>
                <w:rFonts w:ascii="Times New Roman" w:hAnsi="Times New Roman"/>
                <w:sz w:val="24"/>
              </w:rPr>
              <w:t>é</w:t>
            </w:r>
            <w:r>
              <w:rPr>
                <w:rFonts w:ascii="Times New Roman" w:hAnsi="Times New Roman"/>
                <w:sz w:val="24"/>
              </w:rPr>
              <w:t xml:space="preserve">gué (UE) 2016/101 sur l’évaluation prudente, ces AVA étant également déclarées séparément dans les lignes 0070 et 0080. </w:t>
            </w:r>
            <w:r>
              <w:rPr>
                <w:rFonts w:ascii="Times New Roman" w:hAnsi="Times New Roman"/>
                <w:sz w:val="24"/>
              </w:rPr>
              <w:br/>
              <w:t xml:space="preserve">La ligne 0010 est la somme de la ligne 0030 et de la ligne 0180. </w:t>
            </w:r>
          </w:p>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 xml:space="preserve">Ligne 0020: portion de la valeur absolue totale des actifs et passifs évalués à la juste valeur déclarée à la ligne 0010 qui provient des positions du portefeuille de </w:t>
            </w:r>
            <w:r>
              <w:rPr>
                <w:rFonts w:ascii="Times New Roman" w:hAnsi="Times New Roman"/>
                <w:sz w:val="24"/>
              </w:rPr>
              <w:lastRenderedPageBreak/>
              <w:t xml:space="preserve">négociation (valeur absolue).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Ligne 0030: Valeur absolue des actifs et passifs évalués à la juste valeur corre</w:t>
            </w:r>
            <w:r>
              <w:rPr>
                <w:rFonts w:ascii="Times New Roman" w:hAnsi="Times New Roman"/>
                <w:sz w:val="24"/>
              </w:rPr>
              <w:t>s</w:t>
            </w:r>
            <w:r>
              <w:rPr>
                <w:rFonts w:ascii="Times New Roman" w:hAnsi="Times New Roman"/>
                <w:sz w:val="24"/>
              </w:rPr>
              <w:t>pondant aux portefeuilles relevant des articles 9 à 17 du règlement délégué (UE) 2016/101 sur l’évaluation prudente. Cette valeur absolue comprend la valeur abs</w:t>
            </w:r>
            <w:r>
              <w:rPr>
                <w:rFonts w:ascii="Times New Roman" w:hAnsi="Times New Roman"/>
                <w:sz w:val="24"/>
              </w:rPr>
              <w:t>o</w:t>
            </w:r>
            <w:r>
              <w:rPr>
                <w:rFonts w:ascii="Times New Roman" w:hAnsi="Times New Roman"/>
                <w:sz w:val="24"/>
              </w:rPr>
              <w:t>lue des actifs et passifs évalués à la juste valeur pour lesquels les AVA sont év</w:t>
            </w:r>
            <w:r>
              <w:rPr>
                <w:rFonts w:ascii="Times New Roman" w:hAnsi="Times New Roman"/>
                <w:sz w:val="24"/>
              </w:rPr>
              <w:t>a</w:t>
            </w:r>
            <w:r>
              <w:rPr>
                <w:rFonts w:ascii="Times New Roman" w:hAnsi="Times New Roman"/>
                <w:sz w:val="24"/>
              </w:rPr>
              <w:t>luées comme ayant une valeur nulle en vertu de l'article 9, paragraphe 2, de l’article 10, paragraphe 2, ou de l’article 10, paragraphe 3, du règlement délégué (UE) 2016/101 sur l’évaluation prudente, ces AVA étant également déclarées s</w:t>
            </w:r>
            <w:r>
              <w:rPr>
                <w:rFonts w:ascii="Times New Roman" w:hAnsi="Times New Roman"/>
                <w:sz w:val="24"/>
              </w:rPr>
              <w:t>é</w:t>
            </w:r>
            <w:r>
              <w:rPr>
                <w:rFonts w:ascii="Times New Roman" w:hAnsi="Times New Roman"/>
                <w:sz w:val="24"/>
              </w:rPr>
              <w:t>parément dans les lignes 0070 et 0080. La ligne 0030 sera la somme des lignes 0090 à 0130.</w:t>
            </w:r>
          </w:p>
          <w:p w:rsidR="001A6C53" w:rsidRPr="00AB63E5" w:rsidRDefault="001A6C53" w:rsidP="008D2F6E">
            <w:pPr>
              <w:spacing w:beforeLines="60" w:before="144" w:afterLines="60" w:after="144"/>
              <w:rPr>
                <w:rFonts w:ascii="Times New Roman" w:hAnsi="Times New Roman"/>
                <w:sz w:val="24"/>
              </w:rPr>
            </w:pPr>
            <w:r>
              <w:rPr>
                <w:rFonts w:ascii="Times New Roman" w:hAnsi="Times New Roman"/>
                <w:sz w:val="24"/>
              </w:rPr>
              <w:t>Ligne 0050: Valeur absolue des actifs et passifs évalués à la juste valeur inclus dans le cadre du calcul de l’AVA relative aux écarts de crédit constatés d'avance. Aux fins du calcul de cette AVA, les actifs et passifs compensés de correspo</w:t>
            </w:r>
            <w:r>
              <w:rPr>
                <w:rFonts w:ascii="Times New Roman" w:hAnsi="Times New Roman"/>
                <w:sz w:val="24"/>
              </w:rPr>
              <w:t>n</w:t>
            </w:r>
            <w:r>
              <w:rPr>
                <w:rFonts w:ascii="Times New Roman" w:hAnsi="Times New Roman"/>
                <w:sz w:val="24"/>
              </w:rPr>
              <w:t xml:space="preserve">dance parfaite évalués à la juste valeur, exclus du calcul du seuil conformément à l’article 4, paragraphe 2, du règlement délégué (UE) 2016/101 sur l’évaluation prudente, ne peuvent plus être considérés comme compensés de correspondance parfaite.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Ligne 0060: Valeur absolue des actifs et passifs évalués à la juste valeur inclus dans le cadre du calcul de l’AVA relative aux coûts d'investissement et de fina</w:t>
            </w:r>
            <w:r>
              <w:rPr>
                <w:rFonts w:ascii="Times New Roman" w:hAnsi="Times New Roman"/>
                <w:sz w:val="24"/>
              </w:rPr>
              <w:t>n</w:t>
            </w:r>
            <w:r>
              <w:rPr>
                <w:rFonts w:ascii="Times New Roman" w:hAnsi="Times New Roman"/>
                <w:sz w:val="24"/>
              </w:rPr>
              <w:t>cement. Aux fins du calcul de cette AVA, les actifs et passifs compensés de co</w:t>
            </w:r>
            <w:r>
              <w:rPr>
                <w:rFonts w:ascii="Times New Roman" w:hAnsi="Times New Roman"/>
                <w:sz w:val="24"/>
              </w:rPr>
              <w:t>r</w:t>
            </w:r>
            <w:r>
              <w:rPr>
                <w:rFonts w:ascii="Times New Roman" w:hAnsi="Times New Roman"/>
                <w:sz w:val="24"/>
              </w:rPr>
              <w:t>respondance parfaite évalués à la juste valeur, exclus du calcul du seuil confo</w:t>
            </w:r>
            <w:r>
              <w:rPr>
                <w:rFonts w:ascii="Times New Roman" w:hAnsi="Times New Roman"/>
                <w:sz w:val="24"/>
              </w:rPr>
              <w:t>r</w:t>
            </w:r>
            <w:r>
              <w:rPr>
                <w:rFonts w:ascii="Times New Roman" w:hAnsi="Times New Roman"/>
                <w:sz w:val="24"/>
              </w:rPr>
              <w:t>mément à l’article 4, paragraphe 2, du règlement délégué (UE) 2016/101 sur l’évaluation prudente, ne peuvent plus être considérés comme compensés de co</w:t>
            </w:r>
            <w:r>
              <w:rPr>
                <w:rFonts w:ascii="Times New Roman" w:hAnsi="Times New Roman"/>
                <w:sz w:val="24"/>
              </w:rPr>
              <w:t>r</w:t>
            </w:r>
            <w:r>
              <w:rPr>
                <w:rFonts w:ascii="Times New Roman" w:hAnsi="Times New Roman"/>
                <w:sz w:val="24"/>
              </w:rPr>
              <w:t xml:space="preserve">respondance parfaite.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Ligne 0070: Valeur absolue des actifs et passifs évalués à la juste valeur corre</w:t>
            </w:r>
            <w:r>
              <w:rPr>
                <w:rFonts w:ascii="Times New Roman" w:hAnsi="Times New Roman"/>
                <w:sz w:val="24"/>
              </w:rPr>
              <w:t>s</w:t>
            </w:r>
            <w:r>
              <w:rPr>
                <w:rFonts w:ascii="Times New Roman" w:hAnsi="Times New Roman"/>
                <w:sz w:val="24"/>
              </w:rPr>
              <w:t xml:space="preserve">pondant aux expositions liées à l'évaluation évaluées comme ayant une valeur nulle en vertu de l'article 9, paragraphe 2, du règlement délégué (UE) 2016/101 sur l’évaluation prudente.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Ligne 0080: Valeur absolue des actifs et passifs évalués à la juste valeur corre</w:t>
            </w:r>
            <w:r>
              <w:rPr>
                <w:rFonts w:ascii="Times New Roman" w:hAnsi="Times New Roman"/>
                <w:sz w:val="24"/>
              </w:rPr>
              <w:t>s</w:t>
            </w:r>
            <w:r>
              <w:rPr>
                <w:rFonts w:ascii="Times New Roman" w:hAnsi="Times New Roman"/>
                <w:sz w:val="24"/>
              </w:rPr>
              <w:t>pondant aux expositions liées à l'évaluation évaluées comme ayant une valeur nulle en vertu de l'article 10, paragraphe 2, ou de l’article 10, paragraphe 3, du r</w:t>
            </w:r>
            <w:r>
              <w:rPr>
                <w:rFonts w:ascii="Times New Roman" w:hAnsi="Times New Roman"/>
                <w:sz w:val="24"/>
              </w:rPr>
              <w:t>è</w:t>
            </w:r>
            <w:r>
              <w:rPr>
                <w:rFonts w:ascii="Times New Roman" w:hAnsi="Times New Roman"/>
                <w:sz w:val="24"/>
              </w:rPr>
              <w:t xml:space="preserve">glement délégué (UE) 2016/101 sur l’évaluation prudente.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Lignes 0090 à 0130: Valeur absolue des actifs et passifs évalués à la juste valeur imputés comme indiqué ci-dessous (voir instructions pour la ligne correspondante) selon les catégories de risque suivantes: taux d’intérêt, change, crédit, actions, m</w:t>
            </w:r>
            <w:r>
              <w:rPr>
                <w:rFonts w:ascii="Times New Roman" w:hAnsi="Times New Roman"/>
                <w:sz w:val="24"/>
              </w:rPr>
              <w:t>a</w:t>
            </w:r>
            <w:r>
              <w:rPr>
                <w:rFonts w:ascii="Times New Roman" w:hAnsi="Times New Roman"/>
                <w:sz w:val="24"/>
              </w:rPr>
              <w:t>tières premières. Cette valeur absolue comprend la valeur absolue des actifs et passifs évalués à la juste valeur pour lesquels les AVA sont évaluées comme ayant une valeur nulle en vertu de l'article 9, paragraphe 2, de l’article 10, paragraphe 2, ou de l’article 10, paragraphe 3, du règlement délégué (UE) 2016/101 sur l’évaluation prudente, ces AVA étant également déclarées séparément dans les lignes 0070 et 0080.</w:t>
            </w:r>
          </w:p>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Ligne 0180: Valeur absolue des actifs et passifs évalués à la juste valeur corre</w:t>
            </w:r>
            <w:r>
              <w:rPr>
                <w:rFonts w:ascii="Times New Roman" w:hAnsi="Times New Roman"/>
                <w:sz w:val="24"/>
              </w:rPr>
              <w:t>s</w:t>
            </w:r>
            <w:r>
              <w:rPr>
                <w:rFonts w:ascii="Times New Roman" w:hAnsi="Times New Roman"/>
                <w:sz w:val="24"/>
              </w:rPr>
              <w:t xml:space="preserve">pondant aux portefeuilles relevant de l’approche alternative. </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1A6C53" w:rsidRPr="00EB6E04"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ACTIFS ÉVALUÉS À LA JUSTE VALEUR</w:t>
            </w:r>
          </w:p>
          <w:p w:rsidR="001A6C53" w:rsidRPr="00EB6E04" w:rsidRDefault="001A6C53" w:rsidP="008D2F6E">
            <w:pPr>
              <w:spacing w:beforeLines="60" w:before="144" w:afterLines="60" w:after="144"/>
              <w:rPr>
                <w:rStyle w:val="InstructionsTabelleberschrift"/>
                <w:rFonts w:ascii="Times New Roman" w:hAnsi="Times New Roman"/>
                <w:sz w:val="24"/>
                <w:u w:val="none"/>
              </w:rPr>
            </w:pPr>
            <w:r>
              <w:rPr>
                <w:rFonts w:ascii="Times New Roman" w:hAnsi="Times New Roman"/>
                <w:sz w:val="24"/>
              </w:rPr>
              <w:t>Valeur absolue des a</w:t>
            </w:r>
            <w:r>
              <w:rPr>
                <w:rStyle w:val="InstructionsTabelleberschrift"/>
                <w:rFonts w:ascii="Times New Roman" w:hAnsi="Times New Roman"/>
                <w:b w:val="0"/>
                <w:sz w:val="24"/>
                <w:u w:val="none"/>
              </w:rPr>
              <w:t xml:space="preserve">ctifs évalués à la juste valeur correspondant aux différentes </w:t>
            </w:r>
            <w:r>
              <w:rPr>
                <w:rStyle w:val="InstructionsTabelleberschrift"/>
                <w:rFonts w:ascii="Times New Roman" w:hAnsi="Times New Roman"/>
                <w:b w:val="0"/>
                <w:sz w:val="24"/>
                <w:u w:val="none"/>
              </w:rPr>
              <w:lastRenderedPageBreak/>
              <w:t>lignes, comme expliqué dans les instructions relatives aux colonnes 0130-0140 ci-dessus.</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rsidR="001A6C53" w:rsidRPr="00EB6E04" w:rsidRDefault="001A6C53" w:rsidP="008D2F6E">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PASSIFS ÉVALUÉS À LA JUSTE VALEUR</w:t>
            </w:r>
          </w:p>
          <w:p w:rsidR="001A6C53" w:rsidRPr="00EB6E04" w:rsidRDefault="001A6C53" w:rsidP="008D2F6E">
            <w:pPr>
              <w:spacing w:beforeLines="60" w:before="144" w:afterLines="60" w:after="144"/>
              <w:rPr>
                <w:rStyle w:val="InstructionsTabelleberschrift"/>
                <w:rFonts w:ascii="Times New Roman" w:hAnsi="Times New Roman"/>
                <w:sz w:val="24"/>
              </w:rPr>
            </w:pPr>
            <w:r>
              <w:rPr>
                <w:rFonts w:ascii="Times New Roman" w:hAnsi="Times New Roman"/>
                <w:sz w:val="24"/>
              </w:rPr>
              <w:t>Valeur absolue des p</w:t>
            </w:r>
            <w:r>
              <w:rPr>
                <w:rStyle w:val="InstructionsTabelleberschrift"/>
                <w:rFonts w:ascii="Times New Roman" w:hAnsi="Times New Roman"/>
                <w:b w:val="0"/>
                <w:sz w:val="24"/>
                <w:u w:val="none"/>
              </w:rPr>
              <w:t>assifs évalués à la juste valeur correspondant aux différentes lignes, comme expliqué dans les instructions relatives aux colonnes 0130-0140 ci-dessus.</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1A6C53" w:rsidRPr="00EB6E04"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REVENUS QTD</w:t>
            </w:r>
          </w:p>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 xml:space="preserve">Revenus depuis le début du trimestre en cours («revenus QTD») depuis la dernière date de déclaration attribués aux actifs et passifs évalués à la juste valeur </w:t>
            </w:r>
            <w:r>
              <w:rPr>
                <w:rStyle w:val="InstructionsTabelleberschrift"/>
                <w:rFonts w:ascii="Times New Roman" w:hAnsi="Times New Roman"/>
                <w:b w:val="0"/>
                <w:sz w:val="24"/>
                <w:u w:val="none"/>
              </w:rPr>
              <w:t>corre</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pondant aux différentes lignes, comme expliqué dans les instructions relatives aux colonnes 0130-0140 ci-dessus, le cas échéant estimés approximativement ou i</w:t>
            </w:r>
            <w:r>
              <w:rPr>
                <w:rStyle w:val="InstructionsTabelleberschrift"/>
                <w:rFonts w:ascii="Times New Roman" w:hAnsi="Times New Roman"/>
                <w:b w:val="0"/>
                <w:sz w:val="24"/>
                <w:u w:val="none"/>
              </w:rPr>
              <w:t>m</w:t>
            </w:r>
            <w:r>
              <w:rPr>
                <w:rStyle w:val="InstructionsTabelleberschrift"/>
                <w:rFonts w:ascii="Times New Roman" w:hAnsi="Times New Roman"/>
                <w:b w:val="0"/>
                <w:sz w:val="24"/>
                <w:u w:val="none"/>
              </w:rPr>
              <w:t>putés en se fondant sur des avis d’experts</w:t>
            </w:r>
            <w:r>
              <w:rPr>
                <w:rFonts w:ascii="Times New Roman" w:hAnsi="Times New Roman"/>
                <w:sz w:val="24"/>
              </w:rPr>
              <w: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1A6C53" w:rsidRPr="00EB6E04"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DIFFÉRENCE IPV</w:t>
            </w:r>
          </w:p>
          <w:p w:rsidR="001A6C53" w:rsidRPr="00EB6E04"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Somme, pour toutes les positions et tous les facteurs de risque, des montants de différence non corrigés («différence IPV») calculés à la fin de mois la plus proche de la date de déclaration dans le cadre du processus de vérification indépendante des prix (</w:t>
            </w:r>
            <w:proofErr w:type="spellStart"/>
            <w:r>
              <w:rPr>
                <w:rStyle w:val="InstructionsTabelleberschrift"/>
                <w:rFonts w:ascii="Times New Roman" w:hAnsi="Times New Roman"/>
                <w:b w:val="0"/>
                <w:i/>
                <w:sz w:val="24"/>
                <w:u w:val="none"/>
              </w:rPr>
              <w:t>independent</w:t>
            </w:r>
            <w:proofErr w:type="spellEnd"/>
            <w:r>
              <w:rPr>
                <w:rStyle w:val="InstructionsTabelleberschrift"/>
                <w:rFonts w:ascii="Times New Roman" w:hAnsi="Times New Roman"/>
                <w:b w:val="0"/>
                <w:i/>
                <w:sz w:val="24"/>
                <w:u w:val="none"/>
              </w:rPr>
              <w:t xml:space="preserve"> </w:t>
            </w:r>
            <w:proofErr w:type="spellStart"/>
            <w:r>
              <w:rPr>
                <w:rStyle w:val="InstructionsTabelleberschrift"/>
                <w:rFonts w:ascii="Times New Roman" w:hAnsi="Times New Roman"/>
                <w:b w:val="0"/>
                <w:i/>
                <w:sz w:val="24"/>
                <w:u w:val="none"/>
              </w:rPr>
              <w:t>price</w:t>
            </w:r>
            <w:proofErr w:type="spellEnd"/>
            <w:r>
              <w:rPr>
                <w:rStyle w:val="InstructionsTabelleberschrift"/>
                <w:rFonts w:ascii="Times New Roman" w:hAnsi="Times New Roman"/>
                <w:b w:val="0"/>
                <w:i/>
                <w:sz w:val="24"/>
                <w:u w:val="none"/>
              </w:rPr>
              <w:t xml:space="preserve"> </w:t>
            </w:r>
            <w:proofErr w:type="spellStart"/>
            <w:r>
              <w:rPr>
                <w:rStyle w:val="InstructionsTabelleberschrift"/>
                <w:rFonts w:ascii="Times New Roman" w:hAnsi="Times New Roman"/>
                <w:b w:val="0"/>
                <w:i/>
                <w:sz w:val="24"/>
                <w:u w:val="none"/>
              </w:rPr>
              <w:t>verification</w:t>
            </w:r>
            <w:proofErr w:type="spellEnd"/>
            <w:r>
              <w:rPr>
                <w:rStyle w:val="InstructionsTabelleberschrift"/>
                <w:rFonts w:ascii="Times New Roman" w:hAnsi="Times New Roman"/>
                <w:b w:val="0"/>
                <w:sz w:val="24"/>
                <w:u w:val="none"/>
              </w:rPr>
              <w:t xml:space="preserve"> ou IPV) effectué en application de l’article 105, paragraphe 8, du CRR, par rapport aux meilleures données indépendantes disponibles pour la position ou le facteur de risque concerné(e). </w:t>
            </w:r>
          </w:p>
          <w:p w:rsidR="001A6C53" w:rsidRPr="00EB6E04"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montants de différence non corrigés correspondent aux différences non corr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gées entre les évaluations générées par le système de négociation et les évaluations obtenues au cours du processus mensuel d’IPV. </w:t>
            </w:r>
          </w:p>
          <w:p w:rsidR="001A6C53" w:rsidRPr="00EB6E04"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Aucun montant de différence corrigé figurant dans les livres et registres de l’établissement pour la date de fin de mois concernée ne sera inclus dans le calcul de la différence IPV.</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rsidR="001A6C53" w:rsidRPr="00EB6E04"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AJUSTEMENTS DE JUSTE VALEUR</w:t>
            </w:r>
          </w:p>
          <w:p w:rsidR="001A6C53" w:rsidRPr="00EB6E04"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Ajustements, parfois également appelés «réserves», éventuellement appliqués à la juste valeur comptable de l’établissement qui sont effectués en dehors du modèle d'évaluation utilisé pour générer les valeurs comptables (hors Report des gains et pertes du jour 1) et qui peuvent être identifiés comme agissant sur la même source d’incertitude d’évaluation que l’AVA correspondante. Ils peuvent refléter des fa</w:t>
            </w:r>
            <w:r>
              <w:rPr>
                <w:rStyle w:val="InstructionsTabelleberschrift"/>
                <w:rFonts w:ascii="Times New Roman" w:hAnsi="Times New Roman"/>
                <w:b w:val="0"/>
                <w:sz w:val="24"/>
                <w:u w:val="none"/>
              </w:rPr>
              <w:t>c</w:t>
            </w:r>
            <w:r>
              <w:rPr>
                <w:rStyle w:val="InstructionsTabelleberschrift"/>
                <w:rFonts w:ascii="Times New Roman" w:hAnsi="Times New Roman"/>
                <w:b w:val="0"/>
                <w:sz w:val="24"/>
                <w:u w:val="none"/>
              </w:rPr>
              <w:t>teurs de risque non pris en compte par la technique d'évaluation, qui prennent la forme d’une prime de risque ou d’un coût de sortie et sont conformes à la défin</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tion de la juste valeur. Ils devraient néanmoins être pris en considération par les participants au marché lors de la fixation d'un prix. (IFRS 13.9 et IFRS13.88)</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1A6C53" w:rsidRPr="00EB6E04"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INCERTITUDE SUR LES PRIX DU MARCHÉ</w:t>
            </w:r>
          </w:p>
          <w:p w:rsidR="001A6C53" w:rsidRPr="00EB6E04"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 appliqué à la juste valeur de l’établissement pour refléter la prime de risque découlant de l’existence d'une série de prix observés pour des instruments équivalents ou, s’agissant d’une donnée d’entrée sur les paramètres de marché ut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lisée dans un modèle d’évaluation, pour les instruments à partir desquels cette donnée d’entrée a été calibrée, et qui peut donc être identifié comme agissant sur </w:t>
            </w:r>
            <w:r>
              <w:rPr>
                <w:rStyle w:val="InstructionsTabelleberschrift"/>
                <w:rFonts w:ascii="Times New Roman" w:hAnsi="Times New Roman"/>
                <w:b w:val="0"/>
                <w:sz w:val="24"/>
                <w:u w:val="none"/>
              </w:rPr>
              <w:lastRenderedPageBreak/>
              <w:t xml:space="preserve">la même source d’incertitude d’évaluation que l’AVA relative à l’incertitude sur les prix du marché. </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rsidR="001A6C53" w:rsidRPr="00EB6E04"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COÛTS DE LIQUIDATION</w:t>
            </w:r>
          </w:p>
          <w:p w:rsidR="001A6C53" w:rsidRPr="00EB6E04"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 appliqué à la juste valeur de l’établissement pour corriger le fait que les évaluations au niveau des positions ne reflètent pas un prix de sortie pour la position ou le portefeuille, en particulier lorsque ces évaluations sont calibrées sur un cours moyen (</w:t>
            </w:r>
            <w:proofErr w:type="spellStart"/>
            <w:r>
              <w:rPr>
                <w:rStyle w:val="InstructionsTabelleberschrift"/>
                <w:rFonts w:ascii="Times New Roman" w:hAnsi="Times New Roman"/>
                <w:b w:val="0"/>
                <w:sz w:val="24"/>
                <w:u w:val="none"/>
              </w:rPr>
              <w:t>mid-market</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price</w:t>
            </w:r>
            <w:proofErr w:type="spellEnd"/>
            <w:r>
              <w:rPr>
                <w:rStyle w:val="InstructionsTabelleberschrift"/>
                <w:rFonts w:ascii="Times New Roman" w:hAnsi="Times New Roman"/>
                <w:b w:val="0"/>
                <w:sz w:val="24"/>
                <w:u w:val="none"/>
              </w:rPr>
              <w:t>), et qui peut donc être identifié comme agissant sur la même source d’incertitude d’évaluation que l’</w:t>
            </w:r>
            <w:r>
              <w:rPr>
                <w:rFonts w:ascii="Times New Roman" w:hAnsi="Times New Roman"/>
                <w:sz w:val="24"/>
              </w:rPr>
              <w:t>AVA relative aux coûts de l</w:t>
            </w:r>
            <w:r>
              <w:rPr>
                <w:rFonts w:ascii="Times New Roman" w:hAnsi="Times New Roman"/>
                <w:sz w:val="24"/>
              </w:rPr>
              <w:t>i</w:t>
            </w:r>
            <w:r>
              <w:rPr>
                <w:rFonts w:ascii="Times New Roman" w:hAnsi="Times New Roman"/>
                <w:sz w:val="24"/>
              </w:rPr>
              <w:t>quidation</w:t>
            </w:r>
            <w:r>
              <w:rPr>
                <w:rStyle w:val="InstructionsTabelleberschrift"/>
                <w:rFonts w:ascii="Times New Roman" w:hAnsi="Times New Roman"/>
                <w:b w:val="0"/>
                <w:sz w:val="24"/>
                <w:u w:val="none"/>
              </w:rPr>
              <w: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1A6C53" w:rsidRPr="00EB6E04"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RISQUE LIÉ AU MODÈLE</w:t>
            </w:r>
          </w:p>
          <w:p w:rsidR="001A6C53" w:rsidRPr="00EB6E04"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 appliqué à la juste valeur de l’établissement pour refléter des facteurs liés au marché ou au produit qui ne sont pas pris en compte par le modèle utilisé pour le calcul quotidien des valeurs et risques des positions (le «modèle d’évaluation»), ou pour refléter un niveau approprié de prudence, compte tenu de l’incertitude découlant de l’existence de plusieurs autres modèles et calibrations de modèles valides, et qui peut donc être identifié comme agissant sur la même source d’incertitude d’évaluation que l’</w:t>
            </w:r>
            <w:r>
              <w:rPr>
                <w:rFonts w:ascii="Times New Roman" w:hAnsi="Times New Roman"/>
                <w:sz w:val="24"/>
              </w:rPr>
              <w:t>AVA relative au risque lié au modèle</w:t>
            </w:r>
            <w:r>
              <w:rPr>
                <w:rStyle w:val="InstructionsTabelleberschrift"/>
                <w:rFonts w:ascii="Times New Roman" w:hAnsi="Times New Roman"/>
                <w:b w:val="0"/>
                <w:sz w:val="24"/>
                <w:u w:val="none"/>
              </w:rPr>
              <w: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1A6C53" w:rsidRPr="00EB6E04"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POSITIONS CONCENTRÉES</w:t>
            </w:r>
          </w:p>
          <w:p w:rsidR="001A6C53" w:rsidRPr="00EB6E04"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 appliqué à la juste valeur de l’établissement pour refléter le fait que la taille de la position agrégée qu'il détient est plus grande que le volume normal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ment négocié ou plus grande que la taille des positions sur lesquelles sont basées les offres de prix ou transactions observables servant à calibrer les prix ou données d’entrée utilisés par le modèle d’évaluation, et qui peut donc être identifié comme agissant sur la même source d’incertitude d’évaluation que l’</w:t>
            </w:r>
            <w:r>
              <w:rPr>
                <w:rFonts w:ascii="Times New Roman" w:hAnsi="Times New Roman"/>
                <w:sz w:val="24"/>
              </w:rPr>
              <w:t>AVA relative aux p</w:t>
            </w:r>
            <w:r>
              <w:rPr>
                <w:rFonts w:ascii="Times New Roman" w:hAnsi="Times New Roman"/>
                <w:sz w:val="24"/>
              </w:rPr>
              <w:t>o</w:t>
            </w:r>
            <w:r>
              <w:rPr>
                <w:rFonts w:ascii="Times New Roman" w:hAnsi="Times New Roman"/>
                <w:sz w:val="24"/>
              </w:rPr>
              <w:t>sitions concentrées</w:t>
            </w:r>
            <w:r>
              <w:rPr>
                <w:rStyle w:val="InstructionsTabelleberschrift"/>
                <w:rFonts w:ascii="Times New Roman" w:hAnsi="Times New Roman"/>
                <w:b w:val="0"/>
                <w:sz w:val="24"/>
                <w:u w:val="none"/>
              </w:rPr>
              <w:t xml:space="preserve">. </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1A6C53" w:rsidRPr="00EB6E04"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ÉCARTS DE CRÉDIT CONSTATÉS D’AVANCE</w:t>
            </w:r>
          </w:p>
          <w:p w:rsidR="001A6C53" w:rsidRPr="00EB6E04"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Ajustement appliqué à la juste valeur de l’établissement pour couvrir les pertes a</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tendues en raison d'un défaut de contrepartie sur des positions dérivées (c’est-à-dire Ajustement de l’évaluation de crédit, ou «CVA», total au niveau de l’établissement).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1A6C53" w:rsidRPr="00EB6E04"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COÛTS D’INVESTISSEMENT ET DE FINANCEMENT</w:t>
            </w:r>
          </w:p>
          <w:p w:rsidR="001A6C53" w:rsidRPr="00EB6E04"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 appliqué à la juste valeur de l’établissement pour compenser les cas où les modèles d’évaluation ne reflètent pas pleinement les coûts de financement que les participants au marché intégreraient dans le prix de sortie pour une position ou un portefeuille [c’est-à-dire Ajustement de l’évaluation du financement, ou «FVA», total (</w:t>
            </w:r>
            <w:proofErr w:type="spellStart"/>
            <w:r>
              <w:rPr>
                <w:rStyle w:val="InstructionsTabelleberschrift"/>
                <w:rFonts w:ascii="Times New Roman" w:hAnsi="Times New Roman"/>
                <w:b w:val="0"/>
                <w:i/>
                <w:sz w:val="24"/>
                <w:u w:val="none"/>
              </w:rPr>
              <w:t>Funding</w:t>
            </w:r>
            <w:proofErr w:type="spellEnd"/>
            <w:r>
              <w:rPr>
                <w:rStyle w:val="InstructionsTabelleberschrift"/>
                <w:rFonts w:ascii="Times New Roman" w:hAnsi="Times New Roman"/>
                <w:b w:val="0"/>
                <w:i/>
                <w:sz w:val="24"/>
                <w:u w:val="none"/>
              </w:rPr>
              <w:t xml:space="preserve"> </w:t>
            </w:r>
            <w:proofErr w:type="spellStart"/>
            <w:r>
              <w:rPr>
                <w:rStyle w:val="InstructionsTabelleberschrift"/>
                <w:rFonts w:ascii="Times New Roman" w:hAnsi="Times New Roman"/>
                <w:b w:val="0"/>
                <w:i/>
                <w:sz w:val="24"/>
                <w:u w:val="none"/>
              </w:rPr>
              <w:t>Valuation</w:t>
            </w:r>
            <w:proofErr w:type="spellEnd"/>
            <w:r>
              <w:rPr>
                <w:rStyle w:val="InstructionsTabelleberschrift"/>
                <w:rFonts w:ascii="Times New Roman" w:hAnsi="Times New Roman"/>
                <w:b w:val="0"/>
                <w:i/>
                <w:sz w:val="24"/>
                <w:u w:val="none"/>
              </w:rPr>
              <w:t xml:space="preserve"> </w:t>
            </w:r>
            <w:proofErr w:type="spellStart"/>
            <w:r>
              <w:rPr>
                <w:rStyle w:val="InstructionsTabelleberschrift"/>
                <w:rFonts w:ascii="Times New Roman" w:hAnsi="Times New Roman"/>
                <w:b w:val="0"/>
                <w:i/>
                <w:sz w:val="24"/>
                <w:u w:val="none"/>
              </w:rPr>
              <w:t>Adjustment</w:t>
            </w:r>
            <w:proofErr w:type="spellEnd"/>
            <w:r>
              <w:rPr>
                <w:rStyle w:val="InstructionsTabelleberschrift"/>
                <w:rFonts w:ascii="Times New Roman" w:hAnsi="Times New Roman"/>
                <w:b w:val="0"/>
                <w:sz w:val="24"/>
                <w:u w:val="none"/>
              </w:rPr>
              <w:t>) au niveau de l’établissement, lor</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qu’un établissement calcule cet ajustement, ou bien ajustement équivalent].</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1A6C53" w:rsidRPr="00EB6E04"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FRAIS ADMINISTRATIFS FUTURS</w:t>
            </w:r>
          </w:p>
          <w:p w:rsidR="001A6C53" w:rsidRPr="00EB6E04"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 appliqué à la juste valeur de l’établissement pour refléter les frais a</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 xml:space="preserve">ministratifs liés au portefeuille ou à la position mais qui ne sont pas pris en compte </w:t>
            </w:r>
            <w:r>
              <w:rPr>
                <w:rStyle w:val="InstructionsTabelleberschrift"/>
                <w:rFonts w:ascii="Times New Roman" w:hAnsi="Times New Roman"/>
                <w:b w:val="0"/>
                <w:sz w:val="24"/>
                <w:u w:val="none"/>
              </w:rPr>
              <w:lastRenderedPageBreak/>
              <w:t>dans le modèle d’évaluation ou dans les prix utilisés pour calibrer les données d’entrée de ce modèle, et qui peut donc être identifié comme agissant sur la même source d’incertitude d’évaluation que l’AVA relative aux frais administratifs f</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turs.</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0240</w:t>
            </w:r>
          </w:p>
        </w:tc>
        <w:tc>
          <w:tcPr>
            <w:tcW w:w="8190" w:type="dxa"/>
          </w:tcPr>
          <w:p w:rsidR="001A6C53" w:rsidRPr="00EB6E04"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RÉSILIATION ANTICIPÉE</w:t>
            </w:r>
          </w:p>
          <w:p w:rsidR="001A6C53" w:rsidRPr="00EB6E04"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 appliqué à la juste valeur de l’établissement pour refléter les attentes de résiliations anticipées contractuelles on non contractuelles qui ne sont pas prises en compte dans le modèle d'évaluation, et qui peut donc être identifié comme agissant sur la même source d’incertitude d’évaluation que l’AVA relative à la résiliation anticipée.</w:t>
            </w:r>
          </w:p>
        </w:tc>
      </w:tr>
      <w:tr w:rsidR="001A6C53" w:rsidRPr="00E60B53"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1A6C53" w:rsidRPr="00EB6E04"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RISQUE OPÉRATIONNEL</w:t>
            </w:r>
          </w:p>
          <w:p w:rsidR="001A6C53" w:rsidRPr="00EB6E04"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Ajustement appliqué à la juste valeur de l’établissement pour refléter la prime de risque que les participants au marché exigeraient pour compenser les risques op</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rationnels découlant de la couverture, de l’administration et du règlement des co</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trats du portefeuille, et qui peut donc être identifié comme agissant sur la même source d’incertitude d'évaluation que l’AVA relative au risque opérationnel.</w:t>
            </w:r>
          </w:p>
        </w:tc>
      </w:tr>
      <w:tr w:rsidR="001A6C53" w:rsidRPr="00DD41BE"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PROFITS ET PERTES JOUR 1</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Ajustements visant à refléter les cas où le modèle d'évaluation, plus tous les autres ajustements de juste valeur pertinents applicables à une position ou à un port</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feuille, n’ont pas reflété le prix payé ou reçu lors de la comptabilisation initiale, c’est-à-dire le report des profits et pertes du jour 1 (IFRS 9.B5.1.2.A)</w:t>
            </w:r>
          </w:p>
        </w:tc>
      </w:tr>
      <w:tr w:rsidR="001A6C53" w:rsidRPr="00DD41BE"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DESCRIPTION ET EXPLICATI</w:t>
            </w:r>
            <w:r>
              <w:t>ON</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Description des positions traitées conformément à l’article 7, paragraphe 2, point b), du règlement délégué (UE) 2016/101 sur l’évaluation prudente et explication de la raison pour laquelle il n’a pas été possible d'appliquer les articles 9 à 17 dudit règlement.</w:t>
            </w:r>
          </w:p>
        </w:tc>
      </w:tr>
    </w:tbl>
    <w:p w:rsidR="001A6C53" w:rsidRPr="00DD41BE" w:rsidRDefault="001A6C53" w:rsidP="001A6C53">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1A6C53" w:rsidRPr="00DD41BE" w:rsidTr="008D2F6E">
        <w:tc>
          <w:tcPr>
            <w:tcW w:w="9288" w:type="dxa"/>
            <w:gridSpan w:val="2"/>
            <w:shd w:val="clear" w:color="auto" w:fill="CCCCCC"/>
          </w:tcPr>
          <w:p w:rsidR="001A6C53" w:rsidRPr="00DD41BE" w:rsidRDefault="001A6C53" w:rsidP="008D2F6E">
            <w:pPr>
              <w:spacing w:beforeLines="60" w:before="144" w:afterLines="60" w:after="144"/>
              <w:rPr>
                <w:rFonts w:ascii="Times New Roman" w:hAnsi="Times New Roman"/>
                <w:b/>
                <w:sz w:val="24"/>
              </w:rPr>
            </w:pPr>
            <w:r>
              <w:rPr>
                <w:rFonts w:ascii="Times New Roman" w:hAnsi="Times New Roman"/>
                <w:b/>
                <w:sz w:val="24"/>
              </w:rPr>
              <w:t>Lignes</w:t>
            </w:r>
          </w:p>
        </w:tc>
      </w:tr>
      <w:tr w:rsidR="001A6C53" w:rsidRPr="009A7A38"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 xml:space="preserve">1. TOTAL APPROCHE PRINCIPALE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Article 7, paragraphe 2, du règlement délégué (UE) 2016/101 sur l’évaluation pr</w:t>
            </w:r>
            <w:r>
              <w:rPr>
                <w:rFonts w:ascii="Times New Roman" w:hAnsi="Times New Roman"/>
                <w:sz w:val="24"/>
              </w:rPr>
              <w:t>u</w:t>
            </w:r>
            <w:r>
              <w:rPr>
                <w:rFonts w:ascii="Times New Roman" w:hAnsi="Times New Roman"/>
                <w:sz w:val="24"/>
              </w:rPr>
              <w:t>dente.</w:t>
            </w:r>
          </w:p>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Pour chaque catégorie d’AVA visée dans les colonnes 0010 à 0110, l’AVA totale calculée selon l'approche principale définie au chapitre 3 du règlement délégué (UE) 2016/101 sur l’évaluation prudente pour les actifs et passifs évalués à la juste valeur inclus dans le calcul du seuil prévu à l’article 4, paragraphe 1, dudit règl</w:t>
            </w:r>
            <w:r>
              <w:rPr>
                <w:rFonts w:ascii="Times New Roman" w:hAnsi="Times New Roman"/>
                <w:sz w:val="24"/>
              </w:rPr>
              <w:t>e</w:t>
            </w:r>
            <w:r>
              <w:rPr>
                <w:rFonts w:ascii="Times New Roman" w:hAnsi="Times New Roman"/>
                <w:sz w:val="24"/>
              </w:rPr>
              <w:t xml:space="preserve">ment. Cela comprend les avantages de diversification déclarés dans la ligne 0140 conformément à l’article 9, paragraphe 6, à l'article 10, paragraphe 7, et à l'article 11, paragraphe 7, du règlement délégué (UE) 2016/101 sur l’évaluation prudente. </w:t>
            </w:r>
          </w:p>
        </w:tc>
      </w:tr>
      <w:tr w:rsidR="001A6C53" w:rsidRPr="009A7A38"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87"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 xml:space="preserve">DONT: PORTEFEUILLE DE NÉGOCIATION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Article 7, paragraphe 2, du règlement délégué (UE) 2016/101 sur l’évaluation pr</w:t>
            </w:r>
            <w:r>
              <w:rPr>
                <w:rFonts w:ascii="Times New Roman" w:hAnsi="Times New Roman"/>
                <w:sz w:val="24"/>
              </w:rPr>
              <w:t>u</w:t>
            </w:r>
            <w:r>
              <w:rPr>
                <w:rFonts w:ascii="Times New Roman" w:hAnsi="Times New Roman"/>
                <w:sz w:val="24"/>
              </w:rPr>
              <w:t>dente.</w:t>
            </w:r>
          </w:p>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sz w:val="24"/>
              </w:rPr>
              <w:t>Pour chaque catégorie d’AVA visée dans les colonnes 0010 à 0110, portion de l’AVA totale déclarée à la ligne 0010 qui provient des positions du portefeuille de négociation (valeur absolue).</w:t>
            </w:r>
          </w:p>
        </w:tc>
      </w:tr>
      <w:tr w:rsidR="001A6C53" w:rsidRPr="009A7A38" w:rsidTr="008D2F6E">
        <w:tc>
          <w:tcPr>
            <w:tcW w:w="1101" w:type="dxa"/>
          </w:tcPr>
          <w:p w:rsidR="001A6C53" w:rsidRPr="00EB6E04" w:rsidRDefault="001A6C53" w:rsidP="008D2F6E">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PORTEFEUILLES RELEVANT DES ARTICLES 9 À 17 - AVA DE CAT</w:t>
            </w:r>
            <w:r>
              <w:rPr>
                <w:rFonts w:ascii="Times New Roman" w:hAnsi="Times New Roman"/>
                <w:b/>
                <w:sz w:val="24"/>
                <w:u w:val="single"/>
              </w:rPr>
              <w:t>É</w:t>
            </w:r>
            <w:r>
              <w:rPr>
                <w:rFonts w:ascii="Times New Roman" w:hAnsi="Times New Roman"/>
                <w:b/>
                <w:sz w:val="24"/>
                <w:u w:val="single"/>
              </w:rPr>
              <w:t xml:space="preserve">GORIE TOTALE APRÈS DIVERSIFICATION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Article 7, paragraphe 2, point a), du règlement délégué (UE) 2016/101 sur l’évaluation prudente.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Pour chaque catégorie d’AVA visée dans les colonnes 0010 à 0110, AVA totale calculée conformément aux articles 9 à 17 du règlement délégué (UE) 2016/101 sur l’évaluation prudente pour les actifs et passifs évalués à la juste valeur inclus dans le calcul du seuil prévu à l’article 4, paragraphe 1, dudit règlement, à l’exception des actifs et passifs évalués à la juste valeur relevant du traitement d</w:t>
            </w:r>
            <w:r>
              <w:rPr>
                <w:rFonts w:ascii="Times New Roman" w:hAnsi="Times New Roman"/>
                <w:sz w:val="24"/>
              </w:rPr>
              <w:t>é</w:t>
            </w:r>
            <w:r>
              <w:rPr>
                <w:rFonts w:ascii="Times New Roman" w:hAnsi="Times New Roman"/>
                <w:sz w:val="24"/>
              </w:rPr>
              <w:t xml:space="preserve">crit à l’article 7, paragraphe 2, point b), du règlement délégué (UE) 2016/101 sur l’évaluation prudente.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Cela comprend les AVA calculées conformément aux articles 12 et 13 du règl</w:t>
            </w:r>
            <w:r>
              <w:rPr>
                <w:rFonts w:ascii="Times New Roman" w:hAnsi="Times New Roman"/>
                <w:sz w:val="24"/>
              </w:rPr>
              <w:t>e</w:t>
            </w:r>
            <w:r>
              <w:rPr>
                <w:rFonts w:ascii="Times New Roman" w:hAnsi="Times New Roman"/>
                <w:sz w:val="24"/>
              </w:rPr>
              <w:t xml:space="preserve">ment (UE) 2016/101 sur l’évaluation prudente qui sont déclarées dans les lignes 0050 et 0060 et qui sont incluses dans les AVA relatives à l’incertitude sur les prix du marché, les AVA relatives aux coûts de liquidation et les AVA relatives au risque lié au modèle, conformément à l’article 12, paragraphe 2, et à l’article 13, paragraphe 2, dudit règlement.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Cela comprend les avantages de diversification déclarés dans la ligne 0140 co</w:t>
            </w:r>
            <w:r>
              <w:rPr>
                <w:rFonts w:ascii="Times New Roman" w:hAnsi="Times New Roman"/>
                <w:sz w:val="24"/>
              </w:rPr>
              <w:t>n</w:t>
            </w:r>
            <w:r>
              <w:rPr>
                <w:rFonts w:ascii="Times New Roman" w:hAnsi="Times New Roman"/>
                <w:sz w:val="24"/>
              </w:rPr>
              <w:t xml:space="preserve">formément à l’article 9, paragraphe 6, à l'article 10, paragraphe 7, et à l'article 11, paragraphe 7, du règlement délégué (UE) 2016/101 sur l’évaluation prudente.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 xml:space="preserve">Le montant déclaré dans la ligne 0030 devrait donc être la différence entre la ligne 0040 et la ligne 0140. </w:t>
            </w:r>
          </w:p>
        </w:tc>
      </w:tr>
      <w:tr w:rsidR="001A6C53" w:rsidRPr="009A7A38" w:rsidTr="008D2F6E">
        <w:tc>
          <w:tcPr>
            <w:tcW w:w="1101" w:type="dxa"/>
          </w:tcPr>
          <w:p w:rsidR="001A6C53" w:rsidRPr="00A33C55" w:rsidRDefault="001A6C53" w:rsidP="008D2F6E">
            <w:pPr>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1.1.1 AVA DE CATÉGORIE TOTALE AVANT DIVERSIFICATION</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Pour les lignes 0090 à 0130, les établissements doivent ventiler leurs actifs et pa</w:t>
            </w:r>
            <w:r>
              <w:rPr>
                <w:rFonts w:ascii="Times New Roman" w:hAnsi="Times New Roman"/>
                <w:sz w:val="24"/>
              </w:rPr>
              <w:t>s</w:t>
            </w:r>
            <w:r>
              <w:rPr>
                <w:rFonts w:ascii="Times New Roman" w:hAnsi="Times New Roman"/>
                <w:sz w:val="24"/>
              </w:rPr>
              <w:t>sifs évalués à la juste valeur inclus dans le calcul du seuil prévu à l’article 4, par</w:t>
            </w:r>
            <w:r>
              <w:rPr>
                <w:rFonts w:ascii="Times New Roman" w:hAnsi="Times New Roman"/>
                <w:sz w:val="24"/>
              </w:rPr>
              <w:t>a</w:t>
            </w:r>
            <w:r>
              <w:rPr>
                <w:rFonts w:ascii="Times New Roman" w:hAnsi="Times New Roman"/>
                <w:sz w:val="24"/>
              </w:rPr>
              <w:t>graphe 1, du règlement délégué (UE) 2016/101 sur l’évaluation prudente (port</w:t>
            </w:r>
            <w:r>
              <w:rPr>
                <w:rFonts w:ascii="Times New Roman" w:hAnsi="Times New Roman"/>
                <w:sz w:val="24"/>
              </w:rPr>
              <w:t>e</w:t>
            </w:r>
            <w:r>
              <w:rPr>
                <w:rFonts w:ascii="Times New Roman" w:hAnsi="Times New Roman"/>
                <w:sz w:val="24"/>
              </w:rPr>
              <w:t xml:space="preserve">feuille de négociation et portefeuille hors négociation) selon les catégories de risque suivantes: taux d’intérêt, change, crédit, actions, matières premières.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À cette fin, les établissements doivent se baser sur leur structure interne de gestion des risques et, selon un système de mise en correspondance basé sur des avis d’experts, affecter leurs lignes d'activité ou leurs tables de négociation à la catég</w:t>
            </w:r>
            <w:r>
              <w:rPr>
                <w:rFonts w:ascii="Times New Roman" w:hAnsi="Times New Roman"/>
                <w:sz w:val="24"/>
              </w:rPr>
              <w:t>o</w:t>
            </w:r>
            <w:r>
              <w:rPr>
                <w:rFonts w:ascii="Times New Roman" w:hAnsi="Times New Roman"/>
                <w:sz w:val="24"/>
              </w:rPr>
              <w:t>rie de risque la plus appropriée. Les AVA, les ajustements de juste valeur et les autres informations requises correspondant aux lignes d'activité ou tables de nég</w:t>
            </w:r>
            <w:r>
              <w:rPr>
                <w:rFonts w:ascii="Times New Roman" w:hAnsi="Times New Roman"/>
                <w:sz w:val="24"/>
              </w:rPr>
              <w:t>o</w:t>
            </w:r>
            <w:r>
              <w:rPr>
                <w:rFonts w:ascii="Times New Roman" w:hAnsi="Times New Roman"/>
                <w:sz w:val="24"/>
              </w:rPr>
              <w:t>ciation en question seront alors affectés à la même catégorie de risque que ces de</w:t>
            </w:r>
            <w:r>
              <w:rPr>
                <w:rFonts w:ascii="Times New Roman" w:hAnsi="Times New Roman"/>
                <w:sz w:val="24"/>
              </w:rPr>
              <w:t>r</w:t>
            </w:r>
            <w:r>
              <w:rPr>
                <w:rFonts w:ascii="Times New Roman" w:hAnsi="Times New Roman"/>
                <w:sz w:val="24"/>
              </w:rPr>
              <w:t>nières, de manière à fournir, au niveau de chaque ligne correspondant à une cat</w:t>
            </w:r>
            <w:r>
              <w:rPr>
                <w:rFonts w:ascii="Times New Roman" w:hAnsi="Times New Roman"/>
                <w:sz w:val="24"/>
              </w:rPr>
              <w:t>é</w:t>
            </w:r>
            <w:r>
              <w:rPr>
                <w:rFonts w:ascii="Times New Roman" w:hAnsi="Times New Roman"/>
                <w:sz w:val="24"/>
              </w:rPr>
              <w:t xml:space="preserve">gorie de risque, une vue d’ensemble cohérente des ajustements effectués à des fins prudentielles et de ceux effectués à des fins comptables, ainsi qu'une indication de </w:t>
            </w:r>
            <w:r>
              <w:rPr>
                <w:rFonts w:ascii="Times New Roman" w:hAnsi="Times New Roman"/>
                <w:sz w:val="24"/>
              </w:rPr>
              <w:lastRenderedPageBreak/>
              <w:t>la taille des positions concernées (en termes d'actifs et de passifs évalués à la juste valeur). Lorsque les AVA ou les autres ajustements sont calculés à un niveau d'agrégation différent, notamment au niveau de l'entreprise, les établissements doivent mettre au point une méthode d’affectation des AVA aux ensembles de p</w:t>
            </w:r>
            <w:r>
              <w:rPr>
                <w:rFonts w:ascii="Times New Roman" w:hAnsi="Times New Roman"/>
                <w:sz w:val="24"/>
              </w:rPr>
              <w:t>o</w:t>
            </w:r>
            <w:r>
              <w:rPr>
                <w:rFonts w:ascii="Times New Roman" w:hAnsi="Times New Roman"/>
                <w:sz w:val="24"/>
              </w:rPr>
              <w:t xml:space="preserve">sitions concernés. Cette méthode d'affectation doit conduire à ce que la ligne 0040 soit la somme des lignes 0050 à 0130 pour les colonnes 0010 à 0100.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 xml:space="preserve">Quelle que soit l’approche appliquée, les informations déclarées doivent, dans la mesure du possible, être cohérentes au niveau de chaque ligne, puisque c'est à ce niveau que les informations fournies seront comparées </w:t>
            </w:r>
            <w:r>
              <w:t xml:space="preserve">entre elles (montant des AVA, incertitude haussière, montant des justes valeurs, et ajustements de juste valeur éventuels).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La ventilation dans les lignes 0090 à 0130 exclut les AVA calculées conform</w:t>
            </w:r>
            <w:r>
              <w:rPr>
                <w:rFonts w:ascii="Times New Roman" w:hAnsi="Times New Roman"/>
                <w:sz w:val="24"/>
              </w:rPr>
              <w:t>é</w:t>
            </w:r>
            <w:r>
              <w:rPr>
                <w:rFonts w:ascii="Times New Roman" w:hAnsi="Times New Roman"/>
                <w:sz w:val="24"/>
              </w:rPr>
              <w:t xml:space="preserve">ment aux articles 12 et 13 du règlement (UE) 2016/101 sur l’évaluation prudente qui sont déclarées dans les lignes 0050 et 0060 et qui sont incluses dans les AVA relatives à l’incertitude sur les prix du marché, aux coûts de liquidation et au risque lié au modèle, conformément à l’article 12, paragraphe 2, et à l’article 13, paragraphe 2, dudit règlement.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Les avantages de diversification sont déclarés dans la ligne 0140 conformément à l’article 9, paragraphe 6, à l'article 10, paragraphe 7, et à l'article 11, paragraphe 7, du règlement délégué (UE) 2016/101 sur l’évaluation prudente et sont par cons</w:t>
            </w:r>
            <w:r>
              <w:rPr>
                <w:rFonts w:ascii="Times New Roman" w:hAnsi="Times New Roman"/>
                <w:sz w:val="24"/>
              </w:rPr>
              <w:t>é</w:t>
            </w:r>
            <w:r>
              <w:rPr>
                <w:rFonts w:ascii="Times New Roman" w:hAnsi="Times New Roman"/>
                <w:sz w:val="24"/>
              </w:rPr>
              <w:t xml:space="preserve">quent exclus des lignes 0040 à 0130. </w:t>
            </w:r>
          </w:p>
        </w:tc>
      </w:tr>
      <w:tr w:rsidR="001A6C53" w:rsidRPr="009A7A38" w:rsidTr="008D2F6E">
        <w:tc>
          <w:tcPr>
            <w:tcW w:w="1101" w:type="dxa"/>
          </w:tcPr>
          <w:p w:rsidR="001A6C53" w:rsidRPr="00A33C55"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1A6C53" w:rsidRPr="00584165"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DONT: AVA RELATIVE AUX ÉCARTS DE CRÉDIT CONSTATÉS D’AVANCE</w:t>
            </w:r>
          </w:p>
          <w:p w:rsidR="001A6C53" w:rsidRPr="00584165" w:rsidRDefault="001A6C53" w:rsidP="008D2F6E">
            <w:pPr>
              <w:spacing w:beforeLines="60" w:before="144" w:afterLines="60" w:after="144"/>
              <w:rPr>
                <w:rFonts w:ascii="Times New Roman" w:hAnsi="Times New Roman"/>
                <w:sz w:val="24"/>
              </w:rPr>
            </w:pPr>
            <w:r>
              <w:rPr>
                <w:rFonts w:ascii="Times New Roman" w:hAnsi="Times New Roman"/>
                <w:sz w:val="24"/>
              </w:rPr>
              <w:t>Article 105, paragraphe 10, du CRR et article 12 du règlement délégué (UE) 2016/101 sur l’évaluation prudente.</w:t>
            </w:r>
          </w:p>
          <w:p w:rsidR="001A6C53" w:rsidRPr="00584165" w:rsidRDefault="001A6C53" w:rsidP="008D2F6E">
            <w:pPr>
              <w:spacing w:beforeLines="60" w:before="144" w:afterLines="60" w:after="144"/>
              <w:rPr>
                <w:rFonts w:ascii="Times New Roman" w:hAnsi="Times New Roman"/>
                <w:sz w:val="24"/>
              </w:rPr>
            </w:pPr>
            <w:r>
              <w:rPr>
                <w:rFonts w:ascii="Times New Roman" w:hAnsi="Times New Roman"/>
                <w:sz w:val="24"/>
              </w:rPr>
              <w:t>AVA totale calculée pour les écarts de crédit constatés d'avance («AVA sur CVA») et sa ventilation entre les AVA relatives à l’incertitude sur les prix du ma</w:t>
            </w:r>
            <w:r>
              <w:rPr>
                <w:rFonts w:ascii="Times New Roman" w:hAnsi="Times New Roman"/>
                <w:sz w:val="24"/>
              </w:rPr>
              <w:t>r</w:t>
            </w:r>
            <w:r>
              <w:rPr>
                <w:rFonts w:ascii="Times New Roman" w:hAnsi="Times New Roman"/>
                <w:sz w:val="24"/>
              </w:rPr>
              <w:t xml:space="preserve">ché, aux coûts de liquidation et au risque lié au modèle, conformément à l’article 12 du règlement (UE) 2016/101 sur l’évaluation prudente. </w:t>
            </w:r>
          </w:p>
          <w:p w:rsidR="001A6C53" w:rsidRPr="00584165" w:rsidRDefault="001A6C53" w:rsidP="008D2F6E">
            <w:pPr>
              <w:spacing w:beforeLines="60" w:before="144" w:afterLines="60" w:after="144"/>
              <w:rPr>
                <w:rFonts w:ascii="Times New Roman" w:hAnsi="Times New Roman"/>
                <w:sz w:val="24"/>
              </w:rPr>
            </w:pPr>
            <w:r>
              <w:rPr>
                <w:rFonts w:ascii="Times New Roman" w:hAnsi="Times New Roman"/>
                <w:sz w:val="24"/>
              </w:rPr>
              <w:t xml:space="preserve">Colonne 0110: L’AVA totale est donnée uniquement à titre d’information car sa ventilation entre les AVA relatives à l’incertitude sur les prix du marché, aux coûts de liquidation et au risque lié au modèle conduit à son inclusion, après prise en compte des avantages de diversification, dans les différentes AVA de catégorie correspondantes. </w:t>
            </w:r>
          </w:p>
          <w:p w:rsidR="001A6C53" w:rsidRPr="00584165" w:rsidRDefault="001A6C53" w:rsidP="008D2F6E">
            <w:pPr>
              <w:spacing w:beforeLines="60" w:before="144" w:afterLines="60" w:after="144"/>
              <w:rPr>
                <w:rFonts w:ascii="Times New Roman" w:hAnsi="Times New Roman"/>
                <w:sz w:val="24"/>
              </w:rPr>
            </w:pPr>
            <w:r>
              <w:rPr>
                <w:rFonts w:ascii="Times New Roman" w:hAnsi="Times New Roman"/>
                <w:sz w:val="24"/>
              </w:rPr>
              <w:t>Colonnes 0130 et 0140: Valeur absolue des actifs et passifs évalués à la juste v</w:t>
            </w:r>
            <w:r>
              <w:rPr>
                <w:rFonts w:ascii="Times New Roman" w:hAnsi="Times New Roman"/>
                <w:sz w:val="24"/>
              </w:rPr>
              <w:t>a</w:t>
            </w:r>
            <w:r>
              <w:rPr>
                <w:rFonts w:ascii="Times New Roman" w:hAnsi="Times New Roman"/>
                <w:sz w:val="24"/>
              </w:rPr>
              <w:t>leur inclus dans le calcul de l’AVA relative aux écarts de crédit constatés d'avance. Aux fins du calcul de cette AVA, les actifs et passifs compensés de co</w:t>
            </w:r>
            <w:r>
              <w:rPr>
                <w:rFonts w:ascii="Times New Roman" w:hAnsi="Times New Roman"/>
                <w:sz w:val="24"/>
              </w:rPr>
              <w:t>r</w:t>
            </w:r>
            <w:r>
              <w:rPr>
                <w:rFonts w:ascii="Times New Roman" w:hAnsi="Times New Roman"/>
                <w:sz w:val="24"/>
              </w:rPr>
              <w:t>respondance parfaite évalués à la juste valeur, exclus du calcul du seuil confo</w:t>
            </w:r>
            <w:r>
              <w:rPr>
                <w:rFonts w:ascii="Times New Roman" w:hAnsi="Times New Roman"/>
                <w:sz w:val="24"/>
              </w:rPr>
              <w:t>r</w:t>
            </w:r>
            <w:r>
              <w:rPr>
                <w:rFonts w:ascii="Times New Roman" w:hAnsi="Times New Roman"/>
                <w:sz w:val="24"/>
              </w:rPr>
              <w:t>mément à l’article 4, paragraphe 2, du règlement délégué (UE) 2016/101 sur l’évaluation prudente, ne peuvent plus être considérés comme compensés de co</w:t>
            </w:r>
            <w:r>
              <w:rPr>
                <w:rFonts w:ascii="Times New Roman" w:hAnsi="Times New Roman"/>
                <w:sz w:val="24"/>
              </w:rPr>
              <w:t>r</w:t>
            </w:r>
            <w:r>
              <w:rPr>
                <w:rFonts w:ascii="Times New Roman" w:hAnsi="Times New Roman"/>
                <w:sz w:val="24"/>
              </w:rPr>
              <w:t>respondance parfaite.</w:t>
            </w:r>
          </w:p>
        </w:tc>
      </w:tr>
      <w:tr w:rsidR="001A6C53" w:rsidRPr="009A7A38" w:rsidTr="008D2F6E">
        <w:tc>
          <w:tcPr>
            <w:tcW w:w="1101" w:type="dxa"/>
          </w:tcPr>
          <w:p w:rsidR="001A6C53" w:rsidRPr="00A33C55" w:rsidRDefault="001A6C53" w:rsidP="008D2F6E">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1A6C53" w:rsidRPr="00584165"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DONT: AVA RELATIVE AUX COÛTS D’INVESTISSEMENT ET DE F</w:t>
            </w:r>
            <w:r>
              <w:rPr>
                <w:rFonts w:ascii="Times New Roman" w:hAnsi="Times New Roman"/>
                <w:b/>
                <w:sz w:val="24"/>
                <w:u w:val="single"/>
              </w:rPr>
              <w:t>I</w:t>
            </w:r>
            <w:r>
              <w:rPr>
                <w:rFonts w:ascii="Times New Roman" w:hAnsi="Times New Roman"/>
                <w:b/>
                <w:sz w:val="24"/>
                <w:u w:val="single"/>
              </w:rPr>
              <w:t xml:space="preserve">NANCEMENT </w:t>
            </w:r>
          </w:p>
          <w:p w:rsidR="001A6C53" w:rsidRPr="00584165" w:rsidRDefault="001A6C53" w:rsidP="008D2F6E">
            <w:pPr>
              <w:spacing w:beforeLines="60" w:before="144" w:afterLines="60" w:after="144"/>
              <w:rPr>
                <w:rFonts w:ascii="Times New Roman" w:hAnsi="Times New Roman"/>
                <w:caps/>
                <w:sz w:val="24"/>
                <w:u w:val="single"/>
              </w:rPr>
            </w:pPr>
            <w:r>
              <w:rPr>
                <w:rFonts w:ascii="Times New Roman" w:hAnsi="Times New Roman"/>
                <w:sz w:val="24"/>
              </w:rPr>
              <w:t xml:space="preserve">Article 105, paragraphe 10, du CRR et article 17 du règlement délégué (UE) </w:t>
            </w:r>
            <w:r>
              <w:rPr>
                <w:rFonts w:ascii="Times New Roman" w:hAnsi="Times New Roman"/>
                <w:sz w:val="24"/>
              </w:rPr>
              <w:lastRenderedPageBreak/>
              <w:t>2016/101 sur l’évaluation prudente.</w:t>
            </w:r>
          </w:p>
          <w:p w:rsidR="001A6C53" w:rsidRPr="00584165" w:rsidRDefault="001A6C53" w:rsidP="008D2F6E">
            <w:pPr>
              <w:spacing w:beforeLines="60" w:before="144" w:afterLines="60" w:after="144"/>
              <w:rPr>
                <w:rFonts w:ascii="Times New Roman" w:hAnsi="Times New Roman"/>
                <w:sz w:val="24"/>
              </w:rPr>
            </w:pPr>
            <w:r>
              <w:rPr>
                <w:rFonts w:ascii="Times New Roman" w:hAnsi="Times New Roman"/>
                <w:sz w:val="24"/>
              </w:rPr>
              <w:t xml:space="preserve">L’AVA totale calculée pour les coûts d’investissement et de financement et sa ventilation entre les AVA relatives à l’incertitude sur les prix du marché, aux coûts de liquidation et au risque lié au modèle, conformément à l’article 13 du règlement (UE) 2016/101 sur l’évaluation prudente. </w:t>
            </w:r>
          </w:p>
          <w:p w:rsidR="001A6C53" w:rsidRPr="00584165" w:rsidRDefault="001A6C53" w:rsidP="008D2F6E">
            <w:pPr>
              <w:spacing w:beforeLines="60" w:before="144" w:afterLines="60" w:after="144"/>
              <w:rPr>
                <w:rFonts w:ascii="Times New Roman" w:hAnsi="Times New Roman"/>
                <w:sz w:val="24"/>
              </w:rPr>
            </w:pPr>
            <w:r>
              <w:rPr>
                <w:rFonts w:ascii="Times New Roman" w:hAnsi="Times New Roman"/>
                <w:sz w:val="24"/>
              </w:rPr>
              <w:t xml:space="preserve">Colonne 0110: L’AVA totale est donnée uniquement à titre d’information car sa ventilation entre les AVA relatives à l’incertitude sur les prix du marché, aux coûts de liquidation et au risque lié au modèle conduit à son inclusion, après prise en compte des avantages de diversification, dans les différentes AVA de catégorie correspondantes. </w:t>
            </w:r>
          </w:p>
          <w:p w:rsidR="001A6C53" w:rsidRPr="00584165" w:rsidRDefault="001A6C53" w:rsidP="008D2F6E">
            <w:pPr>
              <w:spacing w:beforeLines="60" w:before="144" w:afterLines="60" w:after="144"/>
              <w:rPr>
                <w:rFonts w:ascii="Times New Roman" w:hAnsi="Times New Roman"/>
                <w:sz w:val="24"/>
              </w:rPr>
            </w:pPr>
            <w:r>
              <w:rPr>
                <w:rFonts w:ascii="Times New Roman" w:hAnsi="Times New Roman"/>
                <w:sz w:val="24"/>
              </w:rPr>
              <w:t>Colonnes 0130 et 0140: Valeur absolue des actifs et passifs évalués à la juste v</w:t>
            </w:r>
            <w:r>
              <w:rPr>
                <w:rFonts w:ascii="Times New Roman" w:hAnsi="Times New Roman"/>
                <w:sz w:val="24"/>
              </w:rPr>
              <w:t>a</w:t>
            </w:r>
            <w:r>
              <w:rPr>
                <w:rFonts w:ascii="Times New Roman" w:hAnsi="Times New Roman"/>
                <w:sz w:val="24"/>
              </w:rPr>
              <w:t>leur inclus dans le calcul de l’AVA relative aux coûts d'investissement et de fina</w:t>
            </w:r>
            <w:r>
              <w:rPr>
                <w:rFonts w:ascii="Times New Roman" w:hAnsi="Times New Roman"/>
                <w:sz w:val="24"/>
              </w:rPr>
              <w:t>n</w:t>
            </w:r>
            <w:r>
              <w:rPr>
                <w:rFonts w:ascii="Times New Roman" w:hAnsi="Times New Roman"/>
                <w:sz w:val="24"/>
              </w:rPr>
              <w:t>cement. Aux fins du calcul de cette AVA, les actifs et passifs compensés de co</w:t>
            </w:r>
            <w:r>
              <w:rPr>
                <w:rFonts w:ascii="Times New Roman" w:hAnsi="Times New Roman"/>
                <w:sz w:val="24"/>
              </w:rPr>
              <w:t>r</w:t>
            </w:r>
            <w:r>
              <w:rPr>
                <w:rFonts w:ascii="Times New Roman" w:hAnsi="Times New Roman"/>
                <w:sz w:val="24"/>
              </w:rPr>
              <w:t>respondance parfaite évalués à la juste valeur, exclus du calcul du seuil confo</w:t>
            </w:r>
            <w:r>
              <w:rPr>
                <w:rFonts w:ascii="Times New Roman" w:hAnsi="Times New Roman"/>
                <w:sz w:val="24"/>
              </w:rPr>
              <w:t>r</w:t>
            </w:r>
            <w:r>
              <w:rPr>
                <w:rFonts w:ascii="Times New Roman" w:hAnsi="Times New Roman"/>
                <w:sz w:val="24"/>
              </w:rPr>
              <w:t>mément à l’article 4, paragraphe 2, du règlement délégué (UE) 2016/101 sur l’évaluation prudente, ne peuvent plus être considérés comme compensés de co</w:t>
            </w:r>
            <w:r>
              <w:rPr>
                <w:rFonts w:ascii="Times New Roman" w:hAnsi="Times New Roman"/>
                <w:sz w:val="24"/>
              </w:rPr>
              <w:t>r</w:t>
            </w:r>
            <w:r>
              <w:rPr>
                <w:rFonts w:ascii="Times New Roman" w:hAnsi="Times New Roman"/>
                <w:sz w:val="24"/>
              </w:rPr>
              <w:t>respondance parfaite.</w:t>
            </w:r>
          </w:p>
        </w:tc>
      </w:tr>
      <w:tr w:rsidR="001A6C53" w:rsidRPr="009A7A38" w:rsidTr="008D2F6E">
        <w:tc>
          <w:tcPr>
            <w:tcW w:w="1101" w:type="dxa"/>
          </w:tcPr>
          <w:p w:rsidR="001A6C53" w:rsidRPr="00995B12"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 xml:space="preserve">DONT: AVA ÉVALUÉE COMME AYANT UNE VALEUR NULLE EN VERTU DE L’ARTICLE 9, PARAGRAPHE 2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Valeur absolue des actifs et passifs évalués à la juste valeur correspondant aux e</w:t>
            </w:r>
            <w:r>
              <w:rPr>
                <w:rFonts w:ascii="Times New Roman" w:hAnsi="Times New Roman"/>
                <w:sz w:val="24"/>
              </w:rPr>
              <w:t>x</w:t>
            </w:r>
            <w:r>
              <w:rPr>
                <w:rFonts w:ascii="Times New Roman" w:hAnsi="Times New Roman"/>
                <w:sz w:val="24"/>
              </w:rPr>
              <w:t xml:space="preserve">positions liées à l'évaluation évaluées comme ayant une valeur d’AVA nulle en vertu de l'article 9, paragraphe 2, du règlement délégué (UE) 2016/101 sur l’évaluation prudente. </w:t>
            </w:r>
          </w:p>
        </w:tc>
      </w:tr>
      <w:tr w:rsidR="001A6C53" w:rsidRPr="009A7A38"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 xml:space="preserve">DONT: AVA ÉVALUÉE COMME AYANT UNE VALEUR NULLE EN VERTU DE L’ARTICLE 10, PARAGRAPHE 2 OU 3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Valeur absolue des actifs et passifs évalués à la juste valeur correspondant aux e</w:t>
            </w:r>
            <w:r>
              <w:rPr>
                <w:rFonts w:ascii="Times New Roman" w:hAnsi="Times New Roman"/>
                <w:sz w:val="24"/>
              </w:rPr>
              <w:t>x</w:t>
            </w:r>
            <w:r>
              <w:rPr>
                <w:rFonts w:ascii="Times New Roman" w:hAnsi="Times New Roman"/>
                <w:sz w:val="24"/>
              </w:rPr>
              <w:t>positions liées à l'évaluation évaluées comme ayant une valeur d’AVA nulle en vertu de l'article 10, paragraphe 2, ou de l’article 10, paragraphe 3, du règlement délégué (UE) 2016/101 sur l’évaluation prudente.</w:t>
            </w:r>
          </w:p>
        </w:tc>
      </w:tr>
      <w:tr w:rsidR="001A6C53" w:rsidRPr="009A7A38" w:rsidTr="008D2F6E">
        <w:tc>
          <w:tcPr>
            <w:tcW w:w="1101" w:type="dxa"/>
          </w:tcPr>
          <w:p w:rsidR="001A6C53" w:rsidRPr="005D5914" w:rsidRDefault="001A6C53" w:rsidP="008D2F6E">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1.1.1.1 TAUX D’INTÉRÊT</w:t>
            </w:r>
          </w:p>
        </w:tc>
      </w:tr>
      <w:tr w:rsidR="001A6C53" w:rsidRPr="009A7A38"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1.1.1.2 CHANGE</w:t>
            </w:r>
          </w:p>
        </w:tc>
      </w:tr>
      <w:tr w:rsidR="001A6C53" w:rsidRPr="009A7A38"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1.1.1.3 CRÉDIT</w:t>
            </w:r>
          </w:p>
        </w:tc>
      </w:tr>
      <w:tr w:rsidR="001A6C53" w:rsidRPr="009A7A38"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1.1.1.4 ACTIONS</w:t>
            </w:r>
          </w:p>
        </w:tc>
      </w:tr>
      <w:tr w:rsidR="001A6C53" w:rsidRPr="009A7A38"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1.1.1.5 MATIÈRES PREMIÈRES</w:t>
            </w:r>
          </w:p>
        </w:tc>
      </w:tr>
      <w:tr w:rsidR="001A6C53" w:rsidRPr="009A7A38"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1A6C53" w:rsidRPr="005D5914" w:rsidRDefault="001A6C53" w:rsidP="008D2F6E">
            <w:pPr>
              <w:spacing w:beforeLines="60" w:before="144" w:afterLines="60" w:after="144"/>
              <w:rPr>
                <w:rFonts w:ascii="Times New Roman" w:hAnsi="Times New Roman"/>
                <w:b/>
                <w:caps/>
                <w:sz w:val="24"/>
                <w:u w:val="single"/>
              </w:rPr>
            </w:pPr>
            <w:r>
              <w:rPr>
                <w:rFonts w:ascii="Times New Roman" w:hAnsi="Times New Roman"/>
                <w:b/>
                <w:caps/>
                <w:sz w:val="24"/>
                <w:u w:val="single"/>
              </w:rPr>
              <w:t>1.1.2 (-) Avantages de diversification</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Total des avantages de diversification. Somme des lignes 0150 et 0160.</w:t>
            </w:r>
          </w:p>
        </w:tc>
      </w:tr>
      <w:tr w:rsidR="001A6C53" w:rsidRPr="009A7A38"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1A6C53" w:rsidRPr="00DD41BE" w:rsidRDefault="001A6C53" w:rsidP="008D2F6E">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1.1.2.1 (-) Avantage de diversification calculé selon la </w:t>
            </w:r>
            <w:r>
              <w:rPr>
                <w:rFonts w:ascii="Times New Roman" w:hAnsi="Times New Roman"/>
                <w:b/>
                <w:caps/>
                <w:sz w:val="24"/>
                <w:u w:val="single"/>
              </w:rPr>
              <w:lastRenderedPageBreak/>
              <w:t>méthode 1</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Pour les catégories d’AVA agrégées selon la méthode 1 conformément à l'article 9, paragraphe 6, à l’article 10, paragraphe 7, et à l'article 11, paragraphe 6, du r</w:t>
            </w:r>
            <w:r>
              <w:rPr>
                <w:rFonts w:ascii="Times New Roman" w:hAnsi="Times New Roman"/>
                <w:sz w:val="24"/>
              </w:rPr>
              <w:t>è</w:t>
            </w:r>
            <w:r>
              <w:rPr>
                <w:rFonts w:ascii="Times New Roman" w:hAnsi="Times New Roman"/>
                <w:sz w:val="24"/>
              </w:rPr>
              <w:t>glement délégué (UE) 2016/101 sur l'évaluation prudente, différence entre la somme des AVA individuelles et l’AVA de catégorie totale après ajustement pour l’</w:t>
            </w:r>
            <w:proofErr w:type="spellStart"/>
            <w:r>
              <w:rPr>
                <w:rFonts w:ascii="Times New Roman" w:hAnsi="Times New Roman"/>
                <w:sz w:val="24"/>
              </w:rPr>
              <w:t>agrégration</w:t>
            </w:r>
            <w:proofErr w:type="spellEnd"/>
            <w:r>
              <w:rPr>
                <w:rFonts w:ascii="Times New Roman" w:hAnsi="Times New Roman"/>
                <w:sz w:val="24"/>
              </w:rPr>
              <w:t>.</w:t>
            </w:r>
          </w:p>
        </w:tc>
      </w:tr>
      <w:tr w:rsidR="001A6C53" w:rsidRPr="009A7A38"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87" w:type="dxa"/>
          </w:tcPr>
          <w:p w:rsidR="001A6C53" w:rsidRPr="00DD41BE" w:rsidRDefault="001A6C53" w:rsidP="008D2F6E">
            <w:pPr>
              <w:spacing w:beforeLines="60" w:before="144" w:afterLines="60" w:after="144"/>
              <w:rPr>
                <w:rFonts w:ascii="Times New Roman" w:hAnsi="Times New Roman"/>
                <w:b/>
                <w:caps/>
                <w:sz w:val="24"/>
                <w:u w:val="single"/>
              </w:rPr>
            </w:pPr>
            <w:r>
              <w:rPr>
                <w:rFonts w:ascii="Times New Roman" w:hAnsi="Times New Roman"/>
                <w:b/>
                <w:caps/>
                <w:sz w:val="24"/>
                <w:u w:val="single"/>
              </w:rPr>
              <w:t>1.1.2.2 (-) Avantage de diversification calculé selon la méthode 2</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Pour les catégories d’AVA agrégées selon la méthode 2 conformément à l'article 9, paragraphe 6, à l’article 10, paragraphe 7, et à l'article 11, paragraphe 6, du r</w:t>
            </w:r>
            <w:r>
              <w:rPr>
                <w:rFonts w:ascii="Times New Roman" w:hAnsi="Times New Roman"/>
                <w:sz w:val="24"/>
              </w:rPr>
              <w:t>è</w:t>
            </w:r>
            <w:r>
              <w:rPr>
                <w:rFonts w:ascii="Times New Roman" w:hAnsi="Times New Roman"/>
                <w:sz w:val="24"/>
              </w:rPr>
              <w:t>glement délégué (UE) 2016/101 sur l'évaluation prudente, différence entre la somme des AVA individuelles et l’AVA de catégorie totale après ajustement pour l’</w:t>
            </w:r>
            <w:proofErr w:type="spellStart"/>
            <w:r>
              <w:rPr>
                <w:rFonts w:ascii="Times New Roman" w:hAnsi="Times New Roman"/>
                <w:sz w:val="24"/>
              </w:rPr>
              <w:t>agrégration</w:t>
            </w:r>
            <w:proofErr w:type="spellEnd"/>
            <w:r>
              <w:rPr>
                <w:rFonts w:ascii="Times New Roman" w:hAnsi="Times New Roman"/>
                <w:sz w:val="24"/>
              </w:rPr>
              <w:t>.</w:t>
            </w:r>
          </w:p>
        </w:tc>
      </w:tr>
      <w:tr w:rsidR="001A6C53" w:rsidRPr="009A7A38"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1A6C53" w:rsidRPr="00DD41BE" w:rsidRDefault="001A6C53" w:rsidP="008D2F6E">
            <w:pPr>
              <w:spacing w:beforeLines="60" w:before="144" w:afterLines="60" w:after="144"/>
              <w:rPr>
                <w:rFonts w:ascii="Times New Roman" w:hAnsi="Times New Roman"/>
                <w:b/>
                <w:caps/>
                <w:sz w:val="24"/>
                <w:u w:val="single"/>
              </w:rPr>
            </w:pPr>
            <w:r>
              <w:rPr>
                <w:rFonts w:ascii="Times New Roman" w:hAnsi="Times New Roman"/>
                <w:b/>
                <w:caps/>
                <w:sz w:val="24"/>
                <w:u w:val="single"/>
              </w:rPr>
              <w:t>1.1.2.2* Pour mémoire: AVA avant diversification réduites de plus de 90 % par la diversification selon la méthode 2</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Selon la terminologie de la méthode 2, somme de FV – PV pour toutes les expos</w:t>
            </w:r>
            <w:r>
              <w:rPr>
                <w:rFonts w:ascii="Times New Roman" w:hAnsi="Times New Roman"/>
                <w:sz w:val="24"/>
              </w:rPr>
              <w:t>i</w:t>
            </w:r>
            <w:r>
              <w:rPr>
                <w:rFonts w:ascii="Times New Roman" w:hAnsi="Times New Roman"/>
                <w:sz w:val="24"/>
              </w:rPr>
              <w:t>tions liées à l’évaluation pour lesquelles APVA &lt; 10% (FV – PV).</w:t>
            </w:r>
          </w:p>
        </w:tc>
      </w:tr>
      <w:tr w:rsidR="001A6C53" w:rsidRPr="009A7A38"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1A6C53" w:rsidRPr="00DD41BE" w:rsidRDefault="001A6C53" w:rsidP="008D2F6E">
            <w:pPr>
              <w:spacing w:beforeLines="60" w:before="144" w:afterLines="60" w:after="144"/>
              <w:rPr>
                <w:rFonts w:ascii="Times New Roman" w:hAnsi="Times New Roman"/>
                <w:b/>
                <w:caps/>
                <w:sz w:val="24"/>
                <w:u w:val="single"/>
              </w:rPr>
            </w:pPr>
            <w:r>
              <w:rPr>
                <w:rFonts w:ascii="Times New Roman" w:hAnsi="Times New Roman"/>
                <w:b/>
                <w:caps/>
                <w:sz w:val="24"/>
                <w:u w:val="single"/>
              </w:rPr>
              <w:t>1.2 Portefeuilles relevant de l’approche alternative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Article 7, paragraphe 2, point b), du règlement délégué (UE) 2016/101 sur l’évaluation prudente.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Pour les portefeuilles relevant de l’approche alternative en vertu de l'article 7, p</w:t>
            </w:r>
            <w:r>
              <w:rPr>
                <w:rFonts w:ascii="Times New Roman" w:hAnsi="Times New Roman"/>
                <w:sz w:val="24"/>
              </w:rPr>
              <w:t>a</w:t>
            </w:r>
            <w:r>
              <w:rPr>
                <w:rFonts w:ascii="Times New Roman" w:hAnsi="Times New Roman"/>
                <w:sz w:val="24"/>
              </w:rPr>
              <w:t>ragraphe 2, point b) du règlement délégué (UE) 2016/101 sur l’évaluation pr</w:t>
            </w:r>
            <w:r>
              <w:rPr>
                <w:rFonts w:ascii="Times New Roman" w:hAnsi="Times New Roman"/>
                <w:sz w:val="24"/>
              </w:rPr>
              <w:t>u</w:t>
            </w:r>
            <w:r>
              <w:rPr>
                <w:rFonts w:ascii="Times New Roman" w:hAnsi="Times New Roman"/>
                <w:sz w:val="24"/>
              </w:rPr>
              <w:t xml:space="preserve">dente, l’AVA totale doit être calculée comme étant la somme des lignes 0190, 0200 et 0210.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Les informations du bilan et les autres informations contextuelles pertinentes do</w:t>
            </w:r>
            <w:r>
              <w:rPr>
                <w:rFonts w:ascii="Times New Roman" w:hAnsi="Times New Roman"/>
                <w:sz w:val="24"/>
              </w:rPr>
              <w:t>i</w:t>
            </w:r>
            <w:r>
              <w:rPr>
                <w:rFonts w:ascii="Times New Roman" w:hAnsi="Times New Roman"/>
                <w:sz w:val="24"/>
              </w:rPr>
              <w:t>vent être fournies dans les colonnes 0130 - 0260. Une description des positions et une explication de la raison pour laquelle il n’a pas été possible d'appliquer les a</w:t>
            </w:r>
            <w:r>
              <w:rPr>
                <w:rFonts w:ascii="Times New Roman" w:hAnsi="Times New Roman"/>
                <w:sz w:val="24"/>
              </w:rPr>
              <w:t>r</w:t>
            </w:r>
            <w:r>
              <w:rPr>
                <w:rFonts w:ascii="Times New Roman" w:hAnsi="Times New Roman"/>
                <w:sz w:val="24"/>
              </w:rPr>
              <w:t xml:space="preserve">ticles 9 à 17 du règlement (UE) 2016/101 sur l’évaluation prudente seront fournies dans la colonne 0270. </w:t>
            </w:r>
          </w:p>
        </w:tc>
      </w:tr>
      <w:tr w:rsidR="001A6C53" w:rsidRPr="009A7A38"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1A6C53" w:rsidRPr="00DD41BE" w:rsidRDefault="001A6C53" w:rsidP="008D2F6E">
            <w:pPr>
              <w:spacing w:beforeLines="60" w:before="144" w:afterLines="60" w:after="144"/>
              <w:rPr>
                <w:rFonts w:ascii="Times New Roman" w:hAnsi="Times New Roman"/>
                <w:b/>
                <w:caps/>
                <w:sz w:val="24"/>
                <w:u w:val="single"/>
              </w:rPr>
            </w:pPr>
            <w:r>
              <w:rPr>
                <w:rFonts w:ascii="Times New Roman" w:hAnsi="Times New Roman"/>
                <w:b/>
                <w:caps/>
                <w:sz w:val="24"/>
                <w:u w:val="single"/>
              </w:rPr>
              <w:t>1.2.1 Approche alternative; 100 % du profit net non ré</w:t>
            </w:r>
            <w:r>
              <w:rPr>
                <w:rFonts w:ascii="Times New Roman" w:hAnsi="Times New Roman"/>
                <w:b/>
                <w:caps/>
                <w:sz w:val="24"/>
                <w:u w:val="single"/>
              </w:rPr>
              <w:t>a</w:t>
            </w:r>
            <w:r>
              <w:rPr>
                <w:rFonts w:ascii="Times New Roman" w:hAnsi="Times New Roman"/>
                <w:b/>
                <w:caps/>
                <w:sz w:val="24"/>
                <w:u w:val="single"/>
              </w:rPr>
              <w:t>lisé</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Article 7, paragraphe 2, point b) i), du règlement délégué (UE) 2016/101 sur l’évaluation prudente.</w:t>
            </w:r>
          </w:p>
        </w:tc>
      </w:tr>
      <w:tr w:rsidR="001A6C53" w:rsidRPr="009A7A38"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1A6C53" w:rsidRPr="00DD41BE" w:rsidRDefault="001A6C53" w:rsidP="008D2F6E">
            <w:pPr>
              <w:spacing w:beforeLines="60" w:before="144" w:afterLines="60" w:after="144"/>
              <w:rPr>
                <w:rFonts w:ascii="Times New Roman" w:hAnsi="Times New Roman"/>
                <w:b/>
                <w:caps/>
                <w:sz w:val="24"/>
                <w:u w:val="single"/>
              </w:rPr>
            </w:pPr>
            <w:r>
              <w:rPr>
                <w:rFonts w:ascii="Times New Roman" w:hAnsi="Times New Roman"/>
                <w:b/>
                <w:caps/>
                <w:sz w:val="24"/>
                <w:u w:val="single"/>
              </w:rPr>
              <w:t>1.2.2 Approche alternative; 10 % de la valeur notio</w:t>
            </w:r>
            <w:r>
              <w:rPr>
                <w:rFonts w:ascii="Times New Roman" w:hAnsi="Times New Roman"/>
                <w:b/>
                <w:caps/>
                <w:sz w:val="24"/>
                <w:u w:val="single"/>
              </w:rPr>
              <w:t>n</w:t>
            </w:r>
            <w:r>
              <w:rPr>
                <w:rFonts w:ascii="Times New Roman" w:hAnsi="Times New Roman"/>
                <w:b/>
                <w:caps/>
                <w:sz w:val="24"/>
                <w:u w:val="single"/>
              </w:rPr>
              <w:t>nelle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Article 7, paragraphe 2, point b) ii), du règlement délégué (UE) 2016/101 sur l’évaluation prudente.</w:t>
            </w:r>
          </w:p>
        </w:tc>
      </w:tr>
      <w:tr w:rsidR="001A6C53" w:rsidRPr="009A7A38"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1A6C53" w:rsidRPr="00DD41BE" w:rsidRDefault="001A6C53" w:rsidP="008D2F6E">
            <w:pPr>
              <w:spacing w:beforeLines="60" w:before="144" w:afterLines="60" w:after="144"/>
              <w:rPr>
                <w:rFonts w:ascii="Times New Roman" w:hAnsi="Times New Roman"/>
                <w:b/>
                <w:caps/>
                <w:sz w:val="24"/>
                <w:u w:val="single"/>
              </w:rPr>
            </w:pPr>
            <w:r>
              <w:rPr>
                <w:rFonts w:ascii="Times New Roman" w:hAnsi="Times New Roman"/>
                <w:b/>
                <w:caps/>
                <w:sz w:val="24"/>
                <w:u w:val="single"/>
              </w:rPr>
              <w:t>1.2.3 Approche alternative; 25 % de la valeur de départ</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 xml:space="preserve">Article 7, paragraphe 2, point b) iii), du règlement délégué (UE) 2016/101 sur </w:t>
            </w:r>
            <w:r>
              <w:rPr>
                <w:rFonts w:ascii="Times New Roman" w:hAnsi="Times New Roman"/>
                <w:sz w:val="24"/>
              </w:rPr>
              <w:lastRenderedPageBreak/>
              <w:t>l’évaluation prudente.</w:t>
            </w:r>
          </w:p>
        </w:tc>
      </w:tr>
    </w:tbl>
    <w:p w:rsidR="001A6C53" w:rsidRDefault="001A6C53" w:rsidP="001A6C53">
      <w:pPr>
        <w:rPr>
          <w:rStyle w:val="InstructionsTabelleText"/>
          <w:rFonts w:ascii="Times New Roman" w:hAnsi="Times New Roman"/>
          <w:sz w:val="24"/>
        </w:rPr>
      </w:pPr>
    </w:p>
    <w:p w:rsidR="001A6C53" w:rsidRPr="00672D2A" w:rsidRDefault="001A6C53" w:rsidP="001A6C53">
      <w:pPr>
        <w:pStyle w:val="Instructionsberschrift2"/>
        <w:numPr>
          <w:ilvl w:val="0"/>
          <w:numId w:val="0"/>
        </w:numPr>
        <w:ind w:left="357" w:hanging="357"/>
        <w:rPr>
          <w:rFonts w:ascii="Times New Roman" w:hAnsi="Times New Roman"/>
          <w:sz w:val="24"/>
          <w:u w:val="none"/>
        </w:rPr>
      </w:pPr>
      <w:bookmarkStart w:id="443" w:name="_Toc524104252"/>
      <w:r>
        <w:rPr>
          <w:rFonts w:ascii="Times New Roman" w:hAnsi="Times New Roman"/>
          <w:sz w:val="24"/>
          <w:u w:val="none"/>
        </w:rPr>
        <w:t xml:space="preserve">6.3. </w:t>
      </w:r>
      <w:r>
        <w:rPr>
          <w:rFonts w:ascii="Times New Roman" w:hAnsi="Times New Roman"/>
          <w:sz w:val="24"/>
        </w:rPr>
        <w:t>C 32.03 - Évaluation prudente: AVA relative au risque lié au modèle (</w:t>
      </w:r>
      <w:proofErr w:type="spellStart"/>
      <w:r>
        <w:rPr>
          <w:rFonts w:ascii="Times New Roman" w:hAnsi="Times New Roman"/>
          <w:sz w:val="24"/>
        </w:rPr>
        <w:t>PruVal</w:t>
      </w:r>
      <w:proofErr w:type="spellEnd"/>
      <w:r>
        <w:rPr>
          <w:rFonts w:ascii="Times New Roman" w:hAnsi="Times New Roman"/>
          <w:sz w:val="24"/>
        </w:rPr>
        <w:t xml:space="preserve"> 3)</w:t>
      </w:r>
      <w:bookmarkEnd w:id="443"/>
    </w:p>
    <w:p w:rsidR="001A6C53" w:rsidRPr="00AF3D7A" w:rsidRDefault="001A6C53" w:rsidP="001A6C53">
      <w:pPr>
        <w:pStyle w:val="Instructionsberschrift2"/>
        <w:numPr>
          <w:ilvl w:val="0"/>
          <w:numId w:val="0"/>
        </w:numPr>
        <w:ind w:left="357" w:hanging="357"/>
        <w:rPr>
          <w:rFonts w:ascii="Times New Roman" w:hAnsi="Times New Roman" w:cs="Times New Roman"/>
          <w:sz w:val="24"/>
          <w:u w:val="none"/>
        </w:rPr>
      </w:pPr>
      <w:bookmarkStart w:id="444" w:name="_Toc524104253"/>
      <w:r>
        <w:rPr>
          <w:rFonts w:ascii="Times New Roman" w:hAnsi="Times New Roman"/>
          <w:sz w:val="24"/>
          <w:u w:val="none"/>
        </w:rPr>
        <w:t>6.3.1.</w:t>
      </w:r>
      <w:r>
        <w:tab/>
      </w:r>
      <w:r>
        <w:rPr>
          <w:rFonts w:ascii="Times New Roman" w:hAnsi="Times New Roman"/>
          <w:sz w:val="24"/>
        </w:rPr>
        <w:t>Remarques générales</w:t>
      </w:r>
      <w:bookmarkEnd w:id="444"/>
      <w:r>
        <w:rPr>
          <w:rFonts w:ascii="Times New Roman" w:hAnsi="Times New Roman"/>
          <w:sz w:val="24"/>
          <w:u w:val="none"/>
        </w:rPr>
        <w:t xml:space="preserve"> </w:t>
      </w:r>
    </w:p>
    <w:p w:rsidR="001A6C53" w:rsidRPr="00DD41BE" w:rsidRDefault="001A6C53" w:rsidP="001A6C53">
      <w:pPr>
        <w:pStyle w:val="InstructionsText2"/>
        <w:numPr>
          <w:ilvl w:val="0"/>
          <w:numId w:val="0"/>
        </w:numPr>
        <w:ind w:left="993"/>
      </w:pPr>
      <w:r>
        <w:t>154f. Ce modèle ne doit être rempli que par les établissements pour lesquels le seuil fixé à l’article 4, paragraphe 1, du règlement délégué (UE) 2016/101 sur l'évalu</w:t>
      </w:r>
      <w:r>
        <w:t>a</w:t>
      </w:r>
      <w:r>
        <w:t>tion prudente est dépassé au niveau de l’établissement. Lorsqu’un groupe dépasse le seuil sur une base consolidée, un établissement qui fait partie de ce groupe n’est t</w:t>
      </w:r>
      <w:r>
        <w:t>e</w:t>
      </w:r>
      <w:r>
        <w:t>nu de remplir ce modèle que si le seuil est également dépassé au niveau de cet ét</w:t>
      </w:r>
      <w:r>
        <w:t>a</w:t>
      </w:r>
      <w:r>
        <w:t>blissement.</w:t>
      </w:r>
    </w:p>
    <w:p w:rsidR="001A6C53" w:rsidRPr="00DD41BE" w:rsidRDefault="001A6C53" w:rsidP="001A6C53">
      <w:pPr>
        <w:pStyle w:val="InstructionsText2"/>
        <w:numPr>
          <w:ilvl w:val="0"/>
          <w:numId w:val="0"/>
        </w:numPr>
        <w:ind w:left="993"/>
      </w:pPr>
      <w:r>
        <w:t>154g. Ce modèle sert à déclarer les détails des AVA individuelles relatives au risque lié au modèle qui se classent aux 20 premiers rangs d'après le montant à ha</w:t>
      </w:r>
      <w:r>
        <w:t>u</w:t>
      </w:r>
      <w:r>
        <w:t>teur duquel elles contribuent à l’AVA de catégorie relative au risque lié au modèle totale calculée conformément à l'article 11 du règlement délégué (UE) 2016/101 sur l'évaluation prudente. Ces informations correspondent aux informations déclarées dans la colonne 0050 du modèle C 32.02</w:t>
      </w:r>
    </w:p>
    <w:p w:rsidR="001A6C53" w:rsidRPr="00DD41BE" w:rsidRDefault="001A6C53" w:rsidP="001A6C53">
      <w:pPr>
        <w:pStyle w:val="InstructionsText2"/>
        <w:numPr>
          <w:ilvl w:val="0"/>
          <w:numId w:val="0"/>
        </w:numPr>
        <w:ind w:left="993"/>
      </w:pPr>
      <w:r>
        <w:t xml:space="preserve">154h. Les AVA individuelles relatives au risque lié au modèle qui se classent aux 20 premiers rangs, accompagnées d'informations sur les produits correspondants, doivent être déclarées par ordre décroissant, c’est-à-dire en commençant par l’AVA individuelle la plus élevée. </w:t>
      </w:r>
    </w:p>
    <w:p w:rsidR="001A6C53" w:rsidRDefault="001A6C53" w:rsidP="001A6C53">
      <w:pPr>
        <w:pStyle w:val="InstructionsText2"/>
        <w:numPr>
          <w:ilvl w:val="0"/>
          <w:numId w:val="0"/>
        </w:numPr>
        <w:ind w:left="993"/>
      </w:pPr>
      <w:r>
        <w:t xml:space="preserve">154i. Les produits correspondant à ces AVA individuelles relatives au risque lié au modèle les plus élevées seront déclarés en s'appuyant sur l'inventaire des produits imposé par l'article 19, paragraphe 3, point a), du règlement délégué (UE) 2016/101 sur l’évaluation prudente. </w:t>
      </w:r>
    </w:p>
    <w:p w:rsidR="001A6C53" w:rsidRPr="004502C8" w:rsidRDefault="001A6C53" w:rsidP="001A6C53">
      <w:pPr>
        <w:pStyle w:val="InstructionsText2"/>
        <w:numPr>
          <w:ilvl w:val="0"/>
          <w:numId w:val="0"/>
        </w:numPr>
        <w:ind w:left="993"/>
      </w:pPr>
      <w:r>
        <w:t>154j. Lorsque des produits sont suffisamment homogènes en ce qui concerne le modèle d'évaluation et l’AVA relative au risque lié au modèle, ils seront regroupés et déclarés sur une seule ligne dans le but d’optimiser la couverture en ce qui co</w:t>
      </w:r>
      <w:r>
        <w:t>n</w:t>
      </w:r>
      <w:r>
        <w:t>cerne l’AVA de catégorie relative au risque lié au modèle totale de l’établissement.</w:t>
      </w:r>
    </w:p>
    <w:p w:rsidR="001A6C53" w:rsidRDefault="001A6C53" w:rsidP="001A6C53">
      <w:pPr>
        <w:pStyle w:val="Instructionsberschrift2"/>
        <w:numPr>
          <w:ilvl w:val="0"/>
          <w:numId w:val="0"/>
        </w:numPr>
        <w:ind w:left="357" w:hanging="357"/>
        <w:rPr>
          <w:rFonts w:ascii="Times New Roman" w:hAnsi="Times New Roman" w:cs="Times New Roman"/>
          <w:sz w:val="24"/>
        </w:rPr>
      </w:pPr>
      <w:bookmarkStart w:id="445" w:name="_Toc524104254"/>
      <w:r>
        <w:rPr>
          <w:rFonts w:ascii="Times New Roman" w:hAnsi="Times New Roman"/>
          <w:sz w:val="24"/>
          <w:u w:val="none"/>
        </w:rPr>
        <w:t>6.3.2.</w:t>
      </w:r>
      <w:r w:rsidRPr="006024E0">
        <w:rPr>
          <w:u w:val="none"/>
        </w:rPr>
        <w:tab/>
      </w:r>
      <w:r>
        <w:rPr>
          <w:rFonts w:ascii="Times New Roman" w:hAnsi="Times New Roman"/>
          <w:sz w:val="24"/>
        </w:rPr>
        <w:t>Instructions concernant certaines positions</w:t>
      </w:r>
      <w:bookmarkEnd w:id="44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A6C53" w:rsidRPr="00DD41BE" w:rsidTr="008D2F6E">
        <w:tc>
          <w:tcPr>
            <w:tcW w:w="9322" w:type="dxa"/>
            <w:gridSpan w:val="2"/>
            <w:shd w:val="clear" w:color="auto" w:fill="CCCCCC"/>
          </w:tcPr>
          <w:p w:rsidR="001A6C53" w:rsidRPr="005A2182" w:rsidRDefault="001A6C53" w:rsidP="008D2F6E">
            <w:pPr>
              <w:spacing w:beforeLines="60" w:before="144" w:afterLines="60" w:after="144"/>
              <w:rPr>
                <w:rFonts w:ascii="Times New Roman" w:hAnsi="Times New Roman"/>
                <w:b/>
                <w:sz w:val="24"/>
              </w:rPr>
            </w:pPr>
            <w:r>
              <w:rPr>
                <w:rFonts w:ascii="Times New Roman" w:hAnsi="Times New Roman"/>
                <w:b/>
                <w:sz w:val="24"/>
              </w:rPr>
              <w:t>Colonnes</w:t>
            </w:r>
          </w:p>
        </w:tc>
      </w:tr>
      <w:tr w:rsidR="001A6C53" w:rsidRPr="00DD41BE"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RANG</w:t>
            </w:r>
          </w:p>
          <w:p w:rsidR="001A6C53" w:rsidRPr="005A2182" w:rsidRDefault="001A6C53" w:rsidP="008D2F6E">
            <w:pPr>
              <w:spacing w:beforeLines="60" w:before="144" w:afterLines="60" w:after="144"/>
              <w:rPr>
                <w:rFonts w:ascii="Times New Roman" w:hAnsi="Times New Roman"/>
                <w:b/>
                <w:sz w:val="24"/>
                <w:u w:val="single"/>
              </w:rPr>
            </w:pPr>
            <w:r>
              <w:rPr>
                <w:rFonts w:ascii="Times New Roman" w:hAnsi="Times New Roman"/>
                <w:sz w:val="24"/>
              </w:rPr>
              <w:t>Le rang est un identifiant de ligne et est propre à chaque ligne du tableau. Il suit l'ordre numérique: 1, 2, 3, etc., le rang 1 étant attribué à l’AVA individuelle rel</w:t>
            </w:r>
            <w:r>
              <w:rPr>
                <w:rFonts w:ascii="Times New Roman" w:hAnsi="Times New Roman"/>
                <w:sz w:val="24"/>
              </w:rPr>
              <w:t>a</w:t>
            </w:r>
            <w:r>
              <w:rPr>
                <w:rFonts w:ascii="Times New Roman" w:hAnsi="Times New Roman"/>
                <w:sz w:val="24"/>
              </w:rPr>
              <w:t>tive au risque lié au modèle la plus élevée, le rang 2 à la deuxième plus élevée, et ainsi de suite.</w:t>
            </w:r>
          </w:p>
        </w:tc>
      </w:tr>
      <w:tr w:rsidR="001A6C53" w:rsidRPr="00DD41BE"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MODÈLE</w:t>
            </w:r>
          </w:p>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sz w:val="24"/>
              </w:rPr>
              <w:t>Nom (alphanumérique) utilisé en interne par l'établissement pour identifier le m</w:t>
            </w:r>
            <w:r>
              <w:rPr>
                <w:rFonts w:ascii="Times New Roman" w:hAnsi="Times New Roman"/>
                <w:sz w:val="24"/>
              </w:rPr>
              <w:t>o</w:t>
            </w:r>
            <w:r>
              <w:rPr>
                <w:rFonts w:ascii="Times New Roman" w:hAnsi="Times New Roman"/>
                <w:sz w:val="24"/>
              </w:rPr>
              <w:lastRenderedPageBreak/>
              <w:t>dèle.</w:t>
            </w:r>
          </w:p>
        </w:tc>
      </w:tr>
      <w:tr w:rsidR="001A6C53" w:rsidRPr="00DD41BE"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0020</w:t>
            </w:r>
          </w:p>
        </w:tc>
        <w:tc>
          <w:tcPr>
            <w:tcW w:w="8221"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CATÉGORIE DE RISQUE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La catégorie de risque (taux d’intérêt, change, crédit, actions, matières premières) la plus appropriée pour caractériser le produit ou le groupe de produits donnant lieu à l'ajustement de l'évaluation pour le risque lié au modèle.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Les établissements doivent indiquer l’un des codes suivants:</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IR – taux d’intérêt</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FX – change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CR – crédit</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EQ – actions</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CO – matières premières</w:t>
            </w:r>
          </w:p>
        </w:tc>
      </w:tr>
      <w:tr w:rsidR="001A6C53" w:rsidRPr="00DD41BE"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PRODUIT</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Nom (alphanumérique) donné en interne, conformément à l’inventaire des produits imposé par l'article 19, paragraphe 3, point a), du règlement délégué 2016/101 sur l’évaluation prudente, au produit ou groupe de produits qui est évalué au moyen du modèle.</w:t>
            </w:r>
          </w:p>
        </w:tc>
      </w:tr>
      <w:tr w:rsidR="001A6C53" w:rsidRPr="00DD41BE"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OBSERVABILITÉ</w:t>
            </w:r>
          </w:p>
          <w:p w:rsidR="001A6C53" w:rsidRPr="00DD41BE" w:rsidRDefault="001A6C53" w:rsidP="008D2F6E">
            <w:pPr>
              <w:pStyle w:val="CommentText"/>
              <w:rPr>
                <w:rFonts w:ascii="Times New Roman" w:hAnsi="Times New Roman"/>
                <w:sz w:val="24"/>
                <w:szCs w:val="24"/>
              </w:rPr>
            </w:pPr>
            <w:r>
              <w:rPr>
                <w:rFonts w:ascii="Times New Roman" w:hAnsi="Times New Roman"/>
                <w:sz w:val="24"/>
              </w:rPr>
              <w:t>Nombre de fois au cours des douze derniers mois où l'on a observé, pour le produit ou groupe de produits, un prix qui remplisse l'une des conditions suivantes:</w:t>
            </w:r>
          </w:p>
          <w:p w:rsidR="001A6C53" w:rsidRPr="00DD41BE" w:rsidRDefault="001A6C53" w:rsidP="008D2F6E">
            <w:pPr>
              <w:pStyle w:val="CommentText"/>
              <w:numPr>
                <w:ilvl w:val="0"/>
                <w:numId w:val="57"/>
              </w:numPr>
              <w:rPr>
                <w:rFonts w:ascii="Times New Roman" w:hAnsi="Times New Roman"/>
                <w:sz w:val="24"/>
                <w:szCs w:val="24"/>
              </w:rPr>
            </w:pPr>
            <w:r>
              <w:rPr>
                <w:rFonts w:ascii="Times New Roman" w:hAnsi="Times New Roman"/>
                <w:sz w:val="24"/>
              </w:rPr>
              <w:t>Le prix observé est un prix auquel l’établissement a effectué une transaction</w:t>
            </w:r>
          </w:p>
          <w:p w:rsidR="001A6C53" w:rsidRPr="00DD41BE" w:rsidRDefault="001A6C53" w:rsidP="008D2F6E">
            <w:pPr>
              <w:pStyle w:val="CommentText"/>
              <w:numPr>
                <w:ilvl w:val="0"/>
                <w:numId w:val="57"/>
              </w:numPr>
              <w:rPr>
                <w:rFonts w:ascii="Times New Roman" w:hAnsi="Times New Roman"/>
                <w:sz w:val="24"/>
                <w:szCs w:val="24"/>
              </w:rPr>
            </w:pPr>
            <w:r>
              <w:rPr>
                <w:rFonts w:ascii="Times New Roman" w:hAnsi="Times New Roman"/>
                <w:sz w:val="24"/>
              </w:rPr>
              <w:t>Le prix observé est un prix vérifiable auquel une transaction a été effectuée entre des tiers</w:t>
            </w:r>
          </w:p>
          <w:p w:rsidR="001A6C53" w:rsidRPr="00DD41BE" w:rsidRDefault="001A6C53" w:rsidP="008D2F6E">
            <w:pPr>
              <w:pStyle w:val="CommentText"/>
              <w:numPr>
                <w:ilvl w:val="0"/>
                <w:numId w:val="57"/>
              </w:numPr>
              <w:rPr>
                <w:rFonts w:ascii="Times New Roman" w:hAnsi="Times New Roman"/>
                <w:sz w:val="24"/>
                <w:szCs w:val="24"/>
              </w:rPr>
            </w:pPr>
            <w:r>
              <w:rPr>
                <w:rFonts w:ascii="Times New Roman" w:hAnsi="Times New Roman"/>
                <w:sz w:val="24"/>
              </w:rPr>
              <w:t>Le prix est obtenu à partir d'une offre ferme.</w:t>
            </w:r>
          </w:p>
          <w:p w:rsidR="001A6C53" w:rsidRPr="00DD41BE" w:rsidRDefault="001A6C53" w:rsidP="008D2F6E">
            <w:pPr>
              <w:pStyle w:val="CommentText"/>
              <w:rPr>
                <w:rStyle w:val="InstructionsTabelleberschrift"/>
                <w:rFonts w:ascii="Times New Roman" w:hAnsi="Times New Roman"/>
                <w:b w:val="0"/>
                <w:sz w:val="24"/>
                <w:szCs w:val="24"/>
                <w:u w:val="none"/>
              </w:rPr>
            </w:pPr>
            <w:r>
              <w:rPr>
                <w:rFonts w:ascii="Times New Roman" w:hAnsi="Times New Roman"/>
                <w:sz w:val="24"/>
              </w:rPr>
              <w:t>Les établissements doivent indiquer l’une des valeurs suivantes: «Aucune», «1-6», «6-24», «24-100», «100+».</w:t>
            </w:r>
          </w:p>
        </w:tc>
      </w:tr>
      <w:tr w:rsidR="001A6C53" w:rsidRPr="00DD41BE"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RELATIVE AU RISQUE LIÉ AU MODÈLE</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11, paragraphe 1, du </w:t>
            </w:r>
            <w:r>
              <w:rPr>
                <w:rFonts w:ascii="Times New Roman" w:hAnsi="Times New Roman"/>
                <w:sz w:val="24"/>
              </w:rPr>
              <w:t>règlement délégué (UE) 2016/101 sur l’évaluation prudente.</w:t>
            </w:r>
            <w:r>
              <w:rPr>
                <w:rStyle w:val="InstructionsTabelleberschrift"/>
                <w:rFonts w:ascii="Times New Roman" w:hAnsi="Times New Roman"/>
                <w:b w:val="0"/>
                <w:sz w:val="24"/>
                <w:u w:val="none"/>
              </w:rPr>
              <w:t xml:space="preserve"> </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 individuelle relative au risque lié au modèle avant avantage de diversific</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tion, mais après compensation (</w:t>
            </w:r>
            <w:proofErr w:type="spellStart"/>
            <w:r>
              <w:rPr>
                <w:rStyle w:val="InstructionsTabelleberschrift"/>
                <w:rFonts w:ascii="Times New Roman" w:hAnsi="Times New Roman"/>
                <w:b w:val="0"/>
                <w:i/>
                <w:sz w:val="24"/>
                <w:u w:val="none"/>
              </w:rPr>
              <w:t>netting</w:t>
            </w:r>
            <w:proofErr w:type="spellEnd"/>
            <w:r>
              <w:rPr>
                <w:rStyle w:val="InstructionsTabelleberschrift"/>
                <w:rFonts w:ascii="Times New Roman" w:hAnsi="Times New Roman"/>
                <w:b w:val="0"/>
                <w:sz w:val="24"/>
                <w:u w:val="none"/>
              </w:rPr>
              <w:t>) du portefeuille, le cas échéant.</w:t>
            </w:r>
          </w:p>
        </w:tc>
      </w:tr>
      <w:tr w:rsidR="001A6C53" w:rsidRPr="00DD41BE"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SELON L’APPROCHE BASÉE SUR DES AVIS D’EXPERTS</w:t>
            </w:r>
          </w:p>
          <w:p w:rsidR="001A6C53" w:rsidRPr="00DD41BE" w:rsidRDefault="001A6C53" w:rsidP="008D2F6E">
            <w:pPr>
              <w:spacing w:beforeLines="60" w:before="144" w:afterLines="60" w:after="144"/>
              <w:rPr>
                <w:rStyle w:val="InstructionsTabelleberschrift"/>
                <w:rFonts w:ascii="Times New Roman" w:hAnsi="Times New Roman"/>
                <w:sz w:val="24"/>
                <w:u w:val="none"/>
              </w:rPr>
            </w:pPr>
            <w:r>
              <w:rPr>
                <w:rFonts w:ascii="Times New Roman" w:hAnsi="Times New Roman"/>
                <w:sz w:val="24"/>
              </w:rPr>
              <w:t>Montants dans la colonne 0050 qui ont été calculés en utilisant l’approche basée sur des avis d’experts définie à l’article 11, paragraphe 4, du règlement délégué (UE) 2016/101 sur l’évaluation prudente.</w:t>
            </w:r>
          </w:p>
        </w:tc>
      </w:tr>
      <w:tr w:rsidR="001A6C53" w:rsidRPr="00DD41BE"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AGRÉGÉE SELON LA MÉTHODE 2</w:t>
            </w:r>
          </w:p>
          <w:p w:rsidR="001A6C53" w:rsidRPr="00DD41BE" w:rsidRDefault="001A6C53" w:rsidP="008D2F6E">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Montants dans la colonne 0050 qui ont été agrégés selon la méthode 2 de l’annexe du règlement délégué (UE) 2016/101 sur l’évaluation prudente. Cela correspond à FV – PV dans la terminologie de l’annexe. </w:t>
            </w:r>
          </w:p>
        </w:tc>
      </w:tr>
      <w:tr w:rsidR="001A6C53" w:rsidRPr="00DD41BE"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0080</w:t>
            </w:r>
          </w:p>
        </w:tc>
        <w:tc>
          <w:tcPr>
            <w:tcW w:w="8221"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AGRÉGÉE CALCULÉE SELON LA MÉTHODE 2</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Contribution à l’AVA de catégorie relative au risque lié au modèle totale, telle que calculée conformément à l’article 11, paragraphe 7, du </w:t>
            </w:r>
            <w:r>
              <w:rPr>
                <w:rFonts w:ascii="Times New Roman" w:hAnsi="Times New Roman"/>
                <w:sz w:val="24"/>
              </w:rPr>
              <w:t>règlement délégué (UE) 2016/101 sur l'évaluation prudente</w:t>
            </w:r>
            <w:r>
              <w:rPr>
                <w:rStyle w:val="InstructionsTabelleberschrift"/>
                <w:rFonts w:ascii="Times New Roman" w:hAnsi="Times New Roman"/>
                <w:b w:val="0"/>
                <w:sz w:val="24"/>
                <w:u w:val="none"/>
              </w:rPr>
              <w:t>, apportée par les AVA individuelles relatives au risque lié au modèle agrégées selon la méthode 2 de l’annexe du</w:t>
            </w:r>
            <w:r>
              <w:rPr>
                <w:rFonts w:ascii="Times New Roman" w:hAnsi="Times New Roman"/>
                <w:sz w:val="24"/>
              </w:rPr>
              <w:t xml:space="preserve"> règlement d</w:t>
            </w:r>
            <w:r>
              <w:rPr>
                <w:rFonts w:ascii="Times New Roman" w:hAnsi="Times New Roman"/>
                <w:sz w:val="24"/>
              </w:rPr>
              <w:t>é</w:t>
            </w:r>
            <w:r>
              <w:rPr>
                <w:rFonts w:ascii="Times New Roman" w:hAnsi="Times New Roman"/>
                <w:sz w:val="24"/>
              </w:rPr>
              <w:t>légué (UE) 2016/101 sur l’évaluation prudente</w:t>
            </w:r>
            <w:r>
              <w:rPr>
                <w:rStyle w:val="InstructionsTabelleberschrift"/>
                <w:rFonts w:ascii="Times New Roman" w:hAnsi="Times New Roman"/>
                <w:b w:val="0"/>
                <w:sz w:val="24"/>
                <w:u w:val="none"/>
              </w:rPr>
              <w:t xml:space="preserve">. </w:t>
            </w:r>
            <w:r>
              <w:rPr>
                <w:rFonts w:ascii="Times New Roman" w:hAnsi="Times New Roman"/>
                <w:sz w:val="24"/>
              </w:rPr>
              <w:t>Cela correspond à APVA dans la terminologie de l’annexe.</w:t>
            </w:r>
          </w:p>
        </w:tc>
      </w:tr>
      <w:tr w:rsidR="001A6C53" w:rsidRPr="00DD41BE"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ACTIFS ET PASSIFS ÉVALUÉS À LA JUSTE VALEUR</w:t>
            </w:r>
          </w:p>
          <w:p w:rsidR="001A6C53" w:rsidRPr="00DD41BE" w:rsidRDefault="001A6C53" w:rsidP="008D2F6E">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Valeur absolue des actifs et passifs évalués à la juste valeur évalués au moyen du modèle indiqué dans la colonne 0010, telle que déclarée dans les états financiers en vertu du référentiel comptable applicable. </w:t>
            </w:r>
          </w:p>
        </w:tc>
      </w:tr>
      <w:tr w:rsidR="001A6C53" w:rsidRPr="00DD41BE"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ACTIFS ÉVALUÉS À LA JUSTE VALEUR</w:t>
            </w:r>
          </w:p>
          <w:p w:rsidR="001A6C53" w:rsidRPr="00DD41BE" w:rsidRDefault="001A6C53" w:rsidP="008D2F6E">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Valeur absolue des actifs évalués à la juste valeur évalués au moyen du modèle i</w:t>
            </w:r>
            <w:r>
              <w:rPr>
                <w:rFonts w:ascii="Times New Roman" w:hAnsi="Times New Roman"/>
                <w:sz w:val="24"/>
              </w:rPr>
              <w:t>n</w:t>
            </w:r>
            <w:r>
              <w:rPr>
                <w:rFonts w:ascii="Times New Roman" w:hAnsi="Times New Roman"/>
                <w:sz w:val="24"/>
              </w:rPr>
              <w:t>diqué dans la colonne 0010, telle que déclarée dans les états financiers en vertu du référentiel comptable applicable</w:t>
            </w:r>
            <w:r>
              <w:rPr>
                <w:rStyle w:val="InstructionsTabelleberschrift"/>
                <w:rFonts w:ascii="Times New Roman" w:hAnsi="Times New Roman"/>
                <w:b w:val="0"/>
                <w:sz w:val="24"/>
                <w:u w:val="none"/>
              </w:rPr>
              <w:t>.</w:t>
            </w:r>
          </w:p>
        </w:tc>
      </w:tr>
      <w:tr w:rsidR="001A6C53" w:rsidRPr="00DD41BE"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PASSIFS ÉVALUÉS À LA JUSTE VALEUR</w:t>
            </w:r>
          </w:p>
          <w:p w:rsidR="001A6C53" w:rsidRPr="00DD41BE" w:rsidRDefault="001A6C53" w:rsidP="008D2F6E">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Valeur absolue des passifs évalués à la juste valeur évalués au moyen du modèle indiqué dans la colonne 0010, telle que déclarée dans les états financiers en vertu du référentiel comptable applicable. </w:t>
            </w:r>
          </w:p>
        </w:tc>
      </w:tr>
      <w:tr w:rsidR="001A6C53" w:rsidRPr="00DD41BE"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DIFFÉRENCE IPV (TEST DE DONNÉES DE SORTIE)</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Somme des montants de différence non corrigés («différence IPV») calculés à la fin de mois la plus proche de la date de déclaration dans le cadre du processus de vérification indépendante des prix (</w:t>
            </w:r>
            <w:proofErr w:type="spellStart"/>
            <w:r>
              <w:rPr>
                <w:rStyle w:val="InstructionsTabelleberschrift"/>
                <w:rFonts w:ascii="Times New Roman" w:hAnsi="Times New Roman"/>
                <w:b w:val="0"/>
                <w:i/>
                <w:sz w:val="24"/>
                <w:u w:val="none"/>
              </w:rPr>
              <w:t>independent</w:t>
            </w:r>
            <w:proofErr w:type="spellEnd"/>
            <w:r>
              <w:rPr>
                <w:rStyle w:val="InstructionsTabelleberschrift"/>
                <w:rFonts w:ascii="Times New Roman" w:hAnsi="Times New Roman"/>
                <w:b w:val="0"/>
                <w:i/>
                <w:sz w:val="24"/>
                <w:u w:val="none"/>
              </w:rPr>
              <w:t xml:space="preserve"> </w:t>
            </w:r>
            <w:proofErr w:type="spellStart"/>
            <w:r>
              <w:rPr>
                <w:rStyle w:val="InstructionsTabelleberschrift"/>
                <w:rFonts w:ascii="Times New Roman" w:hAnsi="Times New Roman"/>
                <w:b w:val="0"/>
                <w:i/>
                <w:sz w:val="24"/>
                <w:u w:val="none"/>
              </w:rPr>
              <w:t>price</w:t>
            </w:r>
            <w:proofErr w:type="spellEnd"/>
            <w:r>
              <w:rPr>
                <w:rStyle w:val="InstructionsTabelleberschrift"/>
                <w:rFonts w:ascii="Times New Roman" w:hAnsi="Times New Roman"/>
                <w:b w:val="0"/>
                <w:i/>
                <w:sz w:val="24"/>
                <w:u w:val="none"/>
              </w:rPr>
              <w:t xml:space="preserve"> </w:t>
            </w:r>
            <w:proofErr w:type="spellStart"/>
            <w:r>
              <w:rPr>
                <w:rStyle w:val="InstructionsTabelleberschrift"/>
                <w:rFonts w:ascii="Times New Roman" w:hAnsi="Times New Roman"/>
                <w:b w:val="0"/>
                <w:i/>
                <w:sz w:val="24"/>
                <w:u w:val="none"/>
              </w:rPr>
              <w:t>verification</w:t>
            </w:r>
            <w:proofErr w:type="spellEnd"/>
            <w:r>
              <w:rPr>
                <w:rStyle w:val="InstructionsTabelleberschrift"/>
                <w:rFonts w:ascii="Times New Roman" w:hAnsi="Times New Roman"/>
                <w:b w:val="0"/>
                <w:sz w:val="24"/>
                <w:u w:val="none"/>
              </w:rPr>
              <w:t xml:space="preserve"> ou IPV) effectué en application de l’article 105, paragraphe 8, du CRR, par rapport aux meilleures données indépendantes disponibles pour le produit ou groupe de produits concerné. </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montants de différence non corrigés correspondent aux différences non corr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gées entre les évaluations générées par le système de négociation et les évaluations obtenues au cours du processus mensuel d’IPV.</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Aucun montant de différence corrigé figurant dans les livres et registres de l’établissement pour la date de fin de mois concernée ne doit être inclus dans le calcul de la différence IPV.</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Seuls les résultats qui ont été calibrés à partir des prix d'instruments qui seraient mis en correspondance avec le même produit (dans le cadre d'un test de données de sortie) doivent être inclus ici. Les résultats de tests de données d’entrée dans le</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quels des données d'entrée provenant du marché sont testées par rapport à des n</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veaux calibrés à partir de produits différents ne doivent pas être inclus.</w:t>
            </w:r>
          </w:p>
        </w:tc>
      </w:tr>
      <w:tr w:rsidR="001A6C53" w:rsidRPr="00DD41BE"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rsidR="001A6C53" w:rsidRPr="00DD41BE" w:rsidRDefault="001A6C53" w:rsidP="008D2F6E">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COUVERTURE IPV (TEST DE DONNÉES DE SORTIE)</w:t>
            </w:r>
          </w:p>
          <w:p w:rsidR="001A6C53" w:rsidRPr="00DD41BE" w:rsidRDefault="001A6C53" w:rsidP="008D2F6E">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Pourcentage des positions mises en correspondance avec le modèle, pondérées par les AVA relatives au risque lié au modèle, qui est couvert par les résultats du test des données de sortie IPV figurant dans la colonne 0110.</w:t>
            </w:r>
          </w:p>
        </w:tc>
      </w:tr>
      <w:tr w:rsidR="001A6C53" w:rsidRPr="00DD41BE"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AJUSTEMENTS DE JUSTE VALEUR</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Ajustements de juste valeur tels que définis dans les colonnes 0190 et 0240 du modèle C 32.02 qui ont été appliqués aux positions mises en correspondance avec le </w:t>
            </w:r>
            <w:r>
              <w:rPr>
                <w:rFonts w:ascii="Times New Roman" w:hAnsi="Times New Roman"/>
                <w:sz w:val="24"/>
              </w:rPr>
              <w:t>modèle figurant dans la colonne 0010</w:t>
            </w:r>
            <w:r>
              <w:rPr>
                <w:rStyle w:val="InstructionsTabelleberschrift"/>
                <w:rFonts w:ascii="Times New Roman" w:hAnsi="Times New Roman"/>
                <w:b w:val="0"/>
                <w:sz w:val="24"/>
                <w:u w:val="none"/>
              </w:rPr>
              <w:t>.</w:t>
            </w:r>
          </w:p>
        </w:tc>
      </w:tr>
      <w:tr w:rsidR="001A6C53" w:rsidRPr="00310F96" w:rsidTr="008D2F6E">
        <w:tc>
          <w:tcPr>
            <w:tcW w:w="1101"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PROFITS ET PERTES JOUR 1</w:t>
            </w:r>
          </w:p>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Ajustements tels que définis dans la colonne 0260 du modèle C 32.02 qui ont été appliqués aux positions mises en correspondance avec le </w:t>
            </w:r>
            <w:r>
              <w:rPr>
                <w:rFonts w:ascii="Times New Roman" w:hAnsi="Times New Roman"/>
                <w:sz w:val="24"/>
              </w:rPr>
              <w:t>modèle figurant dans la colonne 0010</w:t>
            </w:r>
            <w:r>
              <w:rPr>
                <w:rStyle w:val="InstructionsTabelleberschrift"/>
                <w:rFonts w:ascii="Times New Roman" w:hAnsi="Times New Roman"/>
                <w:b w:val="0"/>
                <w:sz w:val="24"/>
                <w:u w:val="none"/>
              </w:rPr>
              <w:t>.</w:t>
            </w:r>
          </w:p>
        </w:tc>
      </w:tr>
    </w:tbl>
    <w:p w:rsidR="001A6C53" w:rsidRDefault="001A6C53" w:rsidP="001A6C53">
      <w:pPr>
        <w:rPr>
          <w:rStyle w:val="InstructionsTabelleText"/>
          <w:rFonts w:ascii="Times New Roman" w:hAnsi="Times New Roman"/>
          <w:sz w:val="24"/>
        </w:rPr>
      </w:pPr>
    </w:p>
    <w:p w:rsidR="001A6C53" w:rsidRPr="000C5EA7" w:rsidRDefault="001A6C53" w:rsidP="001A6C53">
      <w:pPr>
        <w:pStyle w:val="Instructionsberschrift2"/>
        <w:numPr>
          <w:ilvl w:val="0"/>
          <w:numId w:val="0"/>
        </w:numPr>
        <w:ind w:left="357" w:hanging="357"/>
        <w:rPr>
          <w:rFonts w:ascii="Times New Roman" w:hAnsi="Times New Roman"/>
          <w:sz w:val="24"/>
          <w:u w:val="none"/>
        </w:rPr>
      </w:pPr>
      <w:bookmarkStart w:id="446" w:name="_Toc524104255"/>
      <w:r>
        <w:rPr>
          <w:rFonts w:ascii="Times New Roman" w:hAnsi="Times New Roman"/>
          <w:sz w:val="24"/>
          <w:u w:val="none"/>
        </w:rPr>
        <w:t xml:space="preserve">6.4 </w:t>
      </w:r>
      <w:r>
        <w:rPr>
          <w:rFonts w:ascii="Times New Roman" w:hAnsi="Times New Roman"/>
          <w:sz w:val="24"/>
        </w:rPr>
        <w:t>C 32.04 - Évaluation prudente: AVA relative aux positions concentrées (</w:t>
      </w:r>
      <w:proofErr w:type="spellStart"/>
      <w:r>
        <w:rPr>
          <w:rFonts w:ascii="Times New Roman" w:hAnsi="Times New Roman"/>
          <w:sz w:val="24"/>
        </w:rPr>
        <w:t>PruVal</w:t>
      </w:r>
      <w:proofErr w:type="spellEnd"/>
      <w:r>
        <w:rPr>
          <w:rFonts w:ascii="Times New Roman" w:hAnsi="Times New Roman"/>
          <w:sz w:val="24"/>
        </w:rPr>
        <w:t xml:space="preserve"> 4)</w:t>
      </w:r>
      <w:bookmarkEnd w:id="446"/>
    </w:p>
    <w:p w:rsidR="001A6C53" w:rsidRDefault="001A6C53" w:rsidP="001A6C53">
      <w:pPr>
        <w:pStyle w:val="Instructionsberschrift2"/>
        <w:numPr>
          <w:ilvl w:val="0"/>
          <w:numId w:val="0"/>
        </w:numPr>
        <w:ind w:left="357" w:hanging="357"/>
        <w:rPr>
          <w:rFonts w:ascii="Times New Roman" w:hAnsi="Times New Roman" w:cs="Times New Roman"/>
          <w:sz w:val="24"/>
          <w:u w:val="none"/>
        </w:rPr>
      </w:pPr>
      <w:bookmarkStart w:id="447" w:name="_Toc524104256"/>
      <w:r>
        <w:rPr>
          <w:rFonts w:ascii="Times New Roman" w:hAnsi="Times New Roman"/>
          <w:sz w:val="24"/>
          <w:u w:val="none"/>
        </w:rPr>
        <w:t>6.4.1.</w:t>
      </w:r>
      <w:r w:rsidRPr="006024E0">
        <w:rPr>
          <w:u w:val="none"/>
        </w:rPr>
        <w:tab/>
      </w:r>
      <w:r>
        <w:rPr>
          <w:rFonts w:ascii="Times New Roman" w:hAnsi="Times New Roman"/>
          <w:sz w:val="24"/>
        </w:rPr>
        <w:t>Remarques générales</w:t>
      </w:r>
      <w:bookmarkEnd w:id="447"/>
      <w:r>
        <w:rPr>
          <w:rFonts w:ascii="Times New Roman" w:hAnsi="Times New Roman"/>
          <w:sz w:val="24"/>
          <w:u w:val="none"/>
        </w:rPr>
        <w:t xml:space="preserve"> </w:t>
      </w:r>
    </w:p>
    <w:p w:rsidR="001A6C53" w:rsidRPr="00DD41BE" w:rsidRDefault="001A6C53" w:rsidP="001A6C53">
      <w:pPr>
        <w:pStyle w:val="InstructionsText2"/>
        <w:numPr>
          <w:ilvl w:val="0"/>
          <w:numId w:val="0"/>
        </w:numPr>
        <w:ind w:left="993"/>
      </w:pPr>
      <w:r>
        <w:t>154k. Ce modèle ne doit être rempli que par les établissements pour lesquels le seuil fixé à l’article 4, paragraphe 1, du règlement délégué (UE) 2016/101 sur l'év</w:t>
      </w:r>
      <w:r>
        <w:t>a</w:t>
      </w:r>
      <w:r>
        <w:t>luation prudente est dépassé au niveau de l’établissement. Lorsqu’un groupe d</w:t>
      </w:r>
      <w:r>
        <w:t>é</w:t>
      </w:r>
      <w:r>
        <w:t>passe le seuil sur une base consolidée, un établissement qui fait partie de ce groupe ne doit remplir ce modèle que si le seuil est également dépassé au niveau de cet établissement.</w:t>
      </w:r>
    </w:p>
    <w:p w:rsidR="001A6C53" w:rsidRPr="00DD41BE" w:rsidRDefault="001A6C53" w:rsidP="001A6C53">
      <w:pPr>
        <w:pStyle w:val="InstructionsText2"/>
        <w:numPr>
          <w:ilvl w:val="0"/>
          <w:numId w:val="0"/>
        </w:numPr>
        <w:ind w:left="993"/>
      </w:pPr>
      <w:r>
        <w:t>154l. Ce modèle sert à déclarer les détails des AVA individuelles relatives aux pos</w:t>
      </w:r>
      <w:r>
        <w:t>i</w:t>
      </w:r>
      <w:r>
        <w:t>tions concentrées qui se classent aux 20 premiers rangs d'après le montant à hauteur duquel elles contribuent à l’AVA de catégorie relative aux positions concentrées t</w:t>
      </w:r>
      <w:r>
        <w:t>o</w:t>
      </w:r>
      <w:r>
        <w:t>tale calculée conformément à l'article 14 du règlement délégué (UE) 2016/101 sur l'évaluation prudente. Ces informations doivent correspondre aux informations d</w:t>
      </w:r>
      <w:r>
        <w:t>é</w:t>
      </w:r>
      <w:r>
        <w:t xml:space="preserve">clarées dans la colonne 0070 du modèle C 32.02 </w:t>
      </w:r>
    </w:p>
    <w:p w:rsidR="001A6C53" w:rsidRPr="00DD41BE" w:rsidRDefault="001A6C53" w:rsidP="001A6C53">
      <w:pPr>
        <w:pStyle w:val="InstructionsText2"/>
        <w:numPr>
          <w:ilvl w:val="0"/>
          <w:numId w:val="0"/>
        </w:numPr>
        <w:ind w:left="993"/>
      </w:pPr>
      <w:r>
        <w:t>154m. Les AVA individuelles relatives aux positions concentrées qui se classent aux 20 premiers rangs, accompagnées d'informations sur les produits correspo</w:t>
      </w:r>
      <w:r>
        <w:t>n</w:t>
      </w:r>
      <w:r>
        <w:t>dants, doivent être déclarées par ordre décroissant, c’est-à-dire en commençant par l’AVA individuelle la plus élevée.</w:t>
      </w:r>
    </w:p>
    <w:p w:rsidR="001A6C53" w:rsidRPr="00DD41BE" w:rsidRDefault="001A6C53" w:rsidP="001A6C53">
      <w:pPr>
        <w:pStyle w:val="InstructionsText2"/>
        <w:numPr>
          <w:ilvl w:val="0"/>
          <w:numId w:val="0"/>
        </w:numPr>
        <w:ind w:left="993"/>
      </w:pPr>
      <w:r>
        <w:t>154n. Les produits correspondant à ces AVA individuelles les plus élevées relatives aux positions concentrées seront déclarés en s'appuyant sur l'inventaire des produits imposé par l'article 19, paragraphe 3, point a), du règlement délégué (UE) 2016/101 sur l’évaluation prudente.</w:t>
      </w:r>
    </w:p>
    <w:p w:rsidR="001A6C53" w:rsidRPr="004502C8" w:rsidRDefault="001A6C53" w:rsidP="001A6C53">
      <w:pPr>
        <w:pStyle w:val="InstructionsText2"/>
        <w:numPr>
          <w:ilvl w:val="0"/>
          <w:numId w:val="0"/>
        </w:numPr>
        <w:ind w:left="993"/>
      </w:pPr>
      <w:r>
        <w:t>154o. Les positions qui sont homogènes du point de vue de la méthode de calcul des AVA doivent être si possible agrégées dans le but d'optimiser la couverture de ce modèle.</w:t>
      </w:r>
    </w:p>
    <w:p w:rsidR="001A6C53" w:rsidRPr="004502C8" w:rsidRDefault="001A6C53" w:rsidP="001A6C53">
      <w:pPr>
        <w:pStyle w:val="Instructionsberschrift2"/>
        <w:numPr>
          <w:ilvl w:val="0"/>
          <w:numId w:val="0"/>
        </w:numPr>
        <w:ind w:left="357" w:hanging="357"/>
        <w:rPr>
          <w:rFonts w:ascii="Times New Roman" w:hAnsi="Times New Roman" w:cs="Times New Roman"/>
          <w:sz w:val="24"/>
          <w:u w:val="none"/>
        </w:rPr>
      </w:pPr>
      <w:bookmarkStart w:id="448" w:name="_Toc524104257"/>
      <w:r>
        <w:rPr>
          <w:rFonts w:ascii="Times New Roman" w:hAnsi="Times New Roman"/>
          <w:sz w:val="24"/>
          <w:u w:val="none"/>
        </w:rPr>
        <w:lastRenderedPageBreak/>
        <w:t>6.4.2.</w:t>
      </w:r>
      <w:r w:rsidRPr="006024E0">
        <w:rPr>
          <w:u w:val="none"/>
        </w:rPr>
        <w:tab/>
      </w:r>
      <w:r>
        <w:rPr>
          <w:rFonts w:ascii="Times New Roman" w:hAnsi="Times New Roman"/>
          <w:sz w:val="24"/>
        </w:rPr>
        <w:t>Instructions concernant certaines positions</w:t>
      </w:r>
      <w:bookmarkEnd w:id="4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A6C53" w:rsidRPr="00DD41BE" w:rsidTr="008D2F6E">
        <w:tc>
          <w:tcPr>
            <w:tcW w:w="8856" w:type="dxa"/>
            <w:gridSpan w:val="2"/>
            <w:shd w:val="clear" w:color="auto" w:fill="CCCCCC"/>
          </w:tcPr>
          <w:p w:rsidR="001A6C53" w:rsidRPr="005A2182" w:rsidRDefault="001A6C53" w:rsidP="008D2F6E">
            <w:pPr>
              <w:spacing w:beforeLines="60" w:before="144" w:afterLines="60" w:after="144"/>
              <w:rPr>
                <w:rFonts w:ascii="Times New Roman" w:hAnsi="Times New Roman"/>
                <w:b/>
                <w:sz w:val="24"/>
              </w:rPr>
            </w:pPr>
            <w:r>
              <w:rPr>
                <w:rFonts w:ascii="Times New Roman" w:hAnsi="Times New Roman"/>
                <w:b/>
                <w:sz w:val="24"/>
              </w:rPr>
              <w:t>Colonnes</w:t>
            </w:r>
          </w:p>
        </w:tc>
      </w:tr>
      <w:tr w:rsidR="001A6C53" w:rsidRPr="00DD41BE" w:rsidTr="008D2F6E">
        <w:tc>
          <w:tcPr>
            <w:tcW w:w="852" w:type="dxa"/>
          </w:tcPr>
          <w:p w:rsidR="001A6C53" w:rsidRPr="005A2182" w:rsidRDefault="001A6C53" w:rsidP="008D2F6E">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RANG</w:t>
            </w:r>
          </w:p>
          <w:p w:rsidR="001A6C53" w:rsidRPr="00DD41BE" w:rsidDel="003016B5" w:rsidRDefault="001A6C53" w:rsidP="008D2F6E">
            <w:pPr>
              <w:spacing w:beforeLines="60" w:before="144" w:afterLines="60" w:after="144"/>
              <w:rPr>
                <w:rFonts w:ascii="Times New Roman" w:hAnsi="Times New Roman"/>
                <w:b/>
                <w:sz w:val="24"/>
                <w:u w:val="single"/>
              </w:rPr>
            </w:pPr>
            <w:r>
              <w:rPr>
                <w:rFonts w:ascii="Times New Roman" w:hAnsi="Times New Roman"/>
                <w:sz w:val="24"/>
              </w:rPr>
              <w:t>Le rang est un identifiant de ligne et est propre à chaque ligne du tableau. Il suit l'ordre numérique: 1, 2, 3, etc., le rang 1 étant attribué à l’AVA individuelle rel</w:t>
            </w:r>
            <w:r>
              <w:rPr>
                <w:rFonts w:ascii="Times New Roman" w:hAnsi="Times New Roman"/>
                <w:sz w:val="24"/>
              </w:rPr>
              <w:t>a</w:t>
            </w:r>
            <w:r>
              <w:rPr>
                <w:rFonts w:ascii="Times New Roman" w:hAnsi="Times New Roman"/>
                <w:sz w:val="24"/>
              </w:rPr>
              <w:t>tive aux positions concentrées la plus élevée, le rang 2 à la deuxième plus él</w:t>
            </w:r>
            <w:r>
              <w:rPr>
                <w:rFonts w:ascii="Times New Roman" w:hAnsi="Times New Roman"/>
                <w:sz w:val="24"/>
              </w:rPr>
              <w:t>e</w:t>
            </w:r>
            <w:r>
              <w:rPr>
                <w:rFonts w:ascii="Times New Roman" w:hAnsi="Times New Roman"/>
                <w:sz w:val="24"/>
              </w:rPr>
              <w:t>vée, et ainsi de suite.</w:t>
            </w:r>
          </w:p>
        </w:tc>
      </w:tr>
      <w:tr w:rsidR="001A6C53" w:rsidRPr="00DD41BE" w:rsidTr="008D2F6E">
        <w:tc>
          <w:tcPr>
            <w:tcW w:w="852"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CATÉGORIE DE RISQUE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Catégorie de risque (taux d’intérêt, change, crédit, actions, matières premières) la plus appropriée pour caractériser la position.</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Les établissements doivent indiquer l’un des codes suivants:</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IR – Taux d’intérêt</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FX – Change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CR – Crédit</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EQ – Actions</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CO – Matières premières</w:t>
            </w:r>
          </w:p>
        </w:tc>
      </w:tr>
      <w:tr w:rsidR="001A6C53" w:rsidRPr="00DD41BE" w:rsidTr="008D2F6E">
        <w:tc>
          <w:tcPr>
            <w:tcW w:w="852"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 xml:space="preserve">PRODUIT </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Nom (alphanumérique) donné en interne au produit ou groupe de produits co</w:t>
            </w:r>
            <w:r>
              <w:rPr>
                <w:rFonts w:ascii="Times New Roman" w:hAnsi="Times New Roman"/>
                <w:sz w:val="24"/>
              </w:rPr>
              <w:t>n</w:t>
            </w:r>
            <w:r>
              <w:rPr>
                <w:rFonts w:ascii="Times New Roman" w:hAnsi="Times New Roman"/>
                <w:sz w:val="24"/>
              </w:rPr>
              <w:t>formément à l’inventaire des produits imposé par l'article 19, paragraphe 3, point a), du règlement délégué 2016/101 sur l’évaluation prudente.</w:t>
            </w:r>
          </w:p>
        </w:tc>
      </w:tr>
      <w:tr w:rsidR="001A6C53" w:rsidRPr="00DD41BE" w:rsidTr="008D2F6E">
        <w:tc>
          <w:tcPr>
            <w:tcW w:w="852"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SOUS-JACENT</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Lorsqu’il s'agit de dérivés, nom donné en interne au sous-jacent, ou aux sous-jacents, et lorsqu'il ne s'agit pas de dérivés, nom donné en interne aux instr</w:t>
            </w:r>
            <w:r>
              <w:rPr>
                <w:rFonts w:ascii="Times New Roman" w:hAnsi="Times New Roman"/>
                <w:sz w:val="24"/>
              </w:rPr>
              <w:t>u</w:t>
            </w:r>
            <w:r>
              <w:rPr>
                <w:rFonts w:ascii="Times New Roman" w:hAnsi="Times New Roman"/>
                <w:sz w:val="24"/>
              </w:rPr>
              <w:t>ments.</w:t>
            </w:r>
          </w:p>
        </w:tc>
      </w:tr>
      <w:tr w:rsidR="001A6C53" w:rsidRPr="00DD41BE" w:rsidTr="008D2F6E">
        <w:tc>
          <w:tcPr>
            <w:tcW w:w="852"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TAILLE DE LA POSITION CONCENTRÉE</w:t>
            </w:r>
          </w:p>
          <w:p w:rsidR="001A6C53" w:rsidRPr="00DD41BE" w:rsidRDefault="001A6C53" w:rsidP="008D2F6E">
            <w:pPr>
              <w:spacing w:beforeLines="60" w:before="144" w:afterLines="60" w:after="144"/>
              <w:rPr>
                <w:rStyle w:val="InstructionsTabelleberschrift"/>
                <w:rFonts w:ascii="Times New Roman" w:hAnsi="Times New Roman"/>
                <w:sz w:val="24"/>
              </w:rPr>
            </w:pPr>
            <w:r>
              <w:rPr>
                <w:rFonts w:ascii="Times New Roman" w:hAnsi="Times New Roman"/>
                <w:sz w:val="24"/>
              </w:rPr>
              <w:t>Taille de la position d'évaluation concentrée individuelle identifiée conform</w:t>
            </w:r>
            <w:r>
              <w:rPr>
                <w:rFonts w:ascii="Times New Roman" w:hAnsi="Times New Roman"/>
                <w:sz w:val="24"/>
              </w:rPr>
              <w:t>é</w:t>
            </w:r>
            <w:r>
              <w:rPr>
                <w:rFonts w:ascii="Times New Roman" w:hAnsi="Times New Roman"/>
                <w:sz w:val="24"/>
              </w:rPr>
              <w:t xml:space="preserve">ment à l’article 14, paragraphe 1, point a), du règlement délégué (UE) 2016/101 sur l’évaluation prudente, exprimée dans l'unité indiquée dans la colonne 0050. </w:t>
            </w:r>
          </w:p>
        </w:tc>
      </w:tr>
      <w:tr w:rsidR="001A6C53" w:rsidRPr="00DD41BE" w:rsidTr="008D2F6E">
        <w:tc>
          <w:tcPr>
            <w:tcW w:w="852"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A6C53" w:rsidRPr="00DD41BE" w:rsidRDefault="001A6C53" w:rsidP="008D2F6E">
            <w:pPr>
              <w:spacing w:beforeLines="60" w:before="144" w:afterLines="60" w:after="144"/>
              <w:rPr>
                <w:rFonts w:ascii="Times New Roman" w:hAnsi="Times New Roman"/>
                <w:b/>
                <w:sz w:val="24"/>
                <w:u w:val="single"/>
              </w:rPr>
            </w:pPr>
            <w:r>
              <w:rPr>
                <w:rFonts w:ascii="Times New Roman" w:hAnsi="Times New Roman"/>
                <w:b/>
                <w:sz w:val="24"/>
                <w:u w:val="single"/>
              </w:rPr>
              <w:t>MESURE DE LA TAILLE</w:t>
            </w:r>
          </w:p>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Unité de mesure de la taille utilisée en interne dans le cadre de l’identification de la position d’évaluation concentrée afin de calculer la taille de la position co</w:t>
            </w:r>
            <w:r>
              <w:rPr>
                <w:rFonts w:ascii="Times New Roman" w:hAnsi="Times New Roman"/>
                <w:sz w:val="24"/>
              </w:rPr>
              <w:t>n</w:t>
            </w:r>
            <w:r>
              <w:rPr>
                <w:rFonts w:ascii="Times New Roman" w:hAnsi="Times New Roman"/>
                <w:sz w:val="24"/>
              </w:rPr>
              <w:t xml:space="preserve">centrée indiquée dans la colonne 0040. </w:t>
            </w:r>
          </w:p>
          <w:p w:rsidR="001A6C53" w:rsidRPr="00DD41BE" w:rsidRDefault="001A6C53" w:rsidP="008D2F6E">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Dans le cas de positions sur des obligations ou des actions, il convient d’indiquer l'unité utilisée </w:t>
            </w:r>
            <w:r>
              <w:rPr>
                <w:rFonts w:ascii="Times New Roman" w:hAnsi="Times New Roman"/>
                <w:sz w:val="24"/>
              </w:rPr>
              <w:t>pour la gestion interne des risques</w:t>
            </w:r>
            <w:r>
              <w:rPr>
                <w:rStyle w:val="InstructionsTabelleberschrift"/>
                <w:rFonts w:ascii="Times New Roman" w:hAnsi="Times New Roman"/>
                <w:b w:val="0"/>
                <w:sz w:val="24"/>
                <w:u w:val="none"/>
              </w:rPr>
              <w:t xml:space="preserve">, telle que le «nombre d’obligations», le «nombre d'actions», ou la «valeur de marché». </w:t>
            </w:r>
          </w:p>
          <w:p w:rsidR="001A6C53" w:rsidRPr="00DD41BE" w:rsidRDefault="001A6C53" w:rsidP="008D2F6E">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lastRenderedPageBreak/>
              <w:t>Dans le cas de positions sur des dérivés, il convient d'indiquer l'unité utilisée pour la gestion interne des risques, telle que «</w:t>
            </w:r>
            <w:r>
              <w:rPr>
                <w:rFonts w:ascii="Times New Roman" w:hAnsi="Times New Roman"/>
                <w:i/>
                <w:sz w:val="24"/>
              </w:rPr>
              <w:t>PV01; EUR pour 1 point de base de déplacement parallèle de la courbe des taux</w:t>
            </w:r>
            <w:r>
              <w:rPr>
                <w:rFonts w:ascii="Times New Roman" w:hAnsi="Times New Roman"/>
                <w:sz w:val="24"/>
              </w:rPr>
              <w:t xml:space="preserve">». </w:t>
            </w:r>
          </w:p>
        </w:tc>
      </w:tr>
      <w:tr w:rsidR="001A6C53" w:rsidRPr="00DD41BE" w:rsidTr="008D2F6E">
        <w:tc>
          <w:tcPr>
            <w:tcW w:w="852"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lastRenderedPageBreak/>
              <w:t>0060</w:t>
            </w:r>
          </w:p>
        </w:tc>
        <w:tc>
          <w:tcPr>
            <w:tcW w:w="8004"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VALEUR DE MARCHÉ</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de marché de la position.</w:t>
            </w:r>
          </w:p>
        </w:tc>
      </w:tr>
      <w:tr w:rsidR="001A6C53" w:rsidRPr="00DD41BE" w:rsidTr="008D2F6E">
        <w:tc>
          <w:tcPr>
            <w:tcW w:w="852"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PÉRIODE DE SORTIE PRUDENTE</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période de sortie prudente en nombre de jours estimée en application de l’article 14, paragraphe 1, point b), du </w:t>
            </w:r>
            <w:r>
              <w:rPr>
                <w:rFonts w:ascii="Times New Roman" w:hAnsi="Times New Roman"/>
                <w:sz w:val="24"/>
              </w:rPr>
              <w:t>règlement délégué (UE) 2016/101 sur</w:t>
            </w:r>
            <w:r>
              <w:rPr>
                <w:rStyle w:val="InstructionsTabelleberschrift"/>
                <w:rFonts w:ascii="Times New Roman" w:hAnsi="Times New Roman"/>
                <w:b w:val="0"/>
                <w:sz w:val="24"/>
                <w:u w:val="none"/>
              </w:rPr>
              <w:t xml:space="preserve"> </w:t>
            </w:r>
            <w:r>
              <w:rPr>
                <w:rFonts w:ascii="Times New Roman" w:hAnsi="Times New Roman"/>
                <w:sz w:val="24"/>
              </w:rPr>
              <w:t>l'évaluation prudente</w:t>
            </w:r>
            <w:r>
              <w:rPr>
                <w:rStyle w:val="InstructionsTabelleberschrift"/>
                <w:rFonts w:ascii="Times New Roman" w:hAnsi="Times New Roman"/>
                <w:b w:val="0"/>
                <w:sz w:val="24"/>
                <w:u w:val="none"/>
              </w:rPr>
              <w:t>.</w:t>
            </w:r>
          </w:p>
        </w:tc>
      </w:tr>
      <w:tr w:rsidR="001A6C53" w:rsidRPr="00DD41BE" w:rsidTr="008D2F6E">
        <w:tc>
          <w:tcPr>
            <w:tcW w:w="852"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RELATIVE AUX POSITIONS CONCENTRÉES</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 montant de l’AVA relative aux positions concentrées calculé conformément à l’article 14, paragraphe 1, du </w:t>
            </w:r>
            <w:r>
              <w:rPr>
                <w:rFonts w:ascii="Times New Roman" w:hAnsi="Times New Roman"/>
                <w:sz w:val="24"/>
              </w:rPr>
              <w:t>règlement délégué (UE) 2016/101 sur</w:t>
            </w:r>
            <w:r>
              <w:rPr>
                <w:rStyle w:val="InstructionsTabelleberschrift"/>
                <w:rFonts w:ascii="Times New Roman" w:hAnsi="Times New Roman"/>
                <w:b w:val="0"/>
                <w:sz w:val="24"/>
                <w:u w:val="none"/>
              </w:rPr>
              <w:t xml:space="preserve"> </w:t>
            </w:r>
            <w:r>
              <w:rPr>
                <w:rFonts w:ascii="Times New Roman" w:hAnsi="Times New Roman"/>
                <w:sz w:val="24"/>
              </w:rPr>
              <w:t>l'évaluation prudente</w:t>
            </w:r>
            <w:r>
              <w:rPr>
                <w:rStyle w:val="InstructionsTabelleberschrift"/>
                <w:rFonts w:ascii="Times New Roman" w:hAnsi="Times New Roman"/>
                <w:b w:val="0"/>
                <w:sz w:val="24"/>
                <w:u w:val="none"/>
              </w:rPr>
              <w:t xml:space="preserve"> pour la position d'évaluation concentrée individuelle concernée.</w:t>
            </w:r>
          </w:p>
        </w:tc>
      </w:tr>
      <w:tr w:rsidR="001A6C53" w:rsidRPr="00DD41BE" w:rsidTr="008D2F6E">
        <w:tc>
          <w:tcPr>
            <w:tcW w:w="852"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AJUSTEMENT DE LA JUSTE VALEUR DE LA POSITION CONCE</w:t>
            </w:r>
            <w:r>
              <w:rPr>
                <w:rStyle w:val="InstructionsTabelleberschrift"/>
                <w:rFonts w:ascii="Times New Roman" w:hAnsi="Times New Roman"/>
                <w:sz w:val="24"/>
              </w:rPr>
              <w:t>N</w:t>
            </w:r>
            <w:r>
              <w:rPr>
                <w:rStyle w:val="InstructionsTabelleberschrift"/>
                <w:rFonts w:ascii="Times New Roman" w:hAnsi="Times New Roman"/>
                <w:sz w:val="24"/>
              </w:rPr>
              <w:t>TRÉE</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 tout ajustement de juste valeur appliqué pour refléter le fait que la taille de la position agrégée détenue par l’établissement est plus grande que le volume normalement négocié ou plus grande que la taille des positions sur le</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quelles sont basées les offres de prix ou transactions utilisées pour calibrer les prix ou données d’entrée utilisés par le modèle d’évaluation.</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montant déclaré doit correspondre au montant qui a été appliqué à la position d’évaluation concentrée individuelle concernée.</w:t>
            </w:r>
          </w:p>
        </w:tc>
      </w:tr>
      <w:tr w:rsidR="001A6C53" w:rsidRPr="0022597E" w:rsidTr="008D2F6E">
        <w:tc>
          <w:tcPr>
            <w:tcW w:w="852" w:type="dxa"/>
          </w:tcPr>
          <w:p w:rsidR="001A6C53" w:rsidRPr="00DD41BE" w:rsidRDefault="001A6C53" w:rsidP="008D2F6E">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A6C53" w:rsidRPr="00DD41BE" w:rsidRDefault="001A6C53" w:rsidP="008D2F6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DIFFÉRENCE IPV</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Somme des montants de différence non corrigés («différence IPV») calculés à la fin de mois la plus proche de la date de déclaration dans le cadre du processus de vérification indépendante des prix (</w:t>
            </w:r>
            <w:proofErr w:type="spellStart"/>
            <w:r>
              <w:rPr>
                <w:rStyle w:val="InstructionsTabelleberschrift"/>
                <w:rFonts w:ascii="Times New Roman" w:hAnsi="Times New Roman"/>
                <w:b w:val="0"/>
                <w:i/>
                <w:sz w:val="24"/>
                <w:u w:val="none"/>
              </w:rPr>
              <w:t>independent</w:t>
            </w:r>
            <w:proofErr w:type="spellEnd"/>
            <w:r>
              <w:rPr>
                <w:rStyle w:val="InstructionsTabelleberschrift"/>
                <w:rFonts w:ascii="Times New Roman" w:hAnsi="Times New Roman"/>
                <w:b w:val="0"/>
                <w:i/>
                <w:sz w:val="24"/>
                <w:u w:val="none"/>
              </w:rPr>
              <w:t xml:space="preserve"> </w:t>
            </w:r>
            <w:proofErr w:type="spellStart"/>
            <w:r>
              <w:rPr>
                <w:rStyle w:val="InstructionsTabelleberschrift"/>
                <w:rFonts w:ascii="Times New Roman" w:hAnsi="Times New Roman"/>
                <w:b w:val="0"/>
                <w:i/>
                <w:sz w:val="24"/>
                <w:u w:val="none"/>
              </w:rPr>
              <w:t>price</w:t>
            </w:r>
            <w:proofErr w:type="spellEnd"/>
            <w:r>
              <w:rPr>
                <w:rStyle w:val="InstructionsTabelleberschrift"/>
                <w:rFonts w:ascii="Times New Roman" w:hAnsi="Times New Roman"/>
                <w:b w:val="0"/>
                <w:i/>
                <w:sz w:val="24"/>
                <w:u w:val="none"/>
              </w:rPr>
              <w:t xml:space="preserve"> </w:t>
            </w:r>
            <w:proofErr w:type="spellStart"/>
            <w:r>
              <w:rPr>
                <w:rStyle w:val="InstructionsTabelleberschrift"/>
                <w:rFonts w:ascii="Times New Roman" w:hAnsi="Times New Roman"/>
                <w:b w:val="0"/>
                <w:i/>
                <w:sz w:val="24"/>
                <w:u w:val="none"/>
              </w:rPr>
              <w:t>verification</w:t>
            </w:r>
            <w:proofErr w:type="spellEnd"/>
            <w:r>
              <w:rPr>
                <w:rStyle w:val="InstructionsTabelleberschrift"/>
                <w:rFonts w:ascii="Times New Roman" w:hAnsi="Times New Roman"/>
                <w:b w:val="0"/>
                <w:sz w:val="24"/>
                <w:u w:val="none"/>
              </w:rPr>
              <w:t xml:space="preserve"> ou IPV) effe</w:t>
            </w:r>
            <w:r>
              <w:rPr>
                <w:rStyle w:val="InstructionsTabelleberschrift"/>
                <w:rFonts w:ascii="Times New Roman" w:hAnsi="Times New Roman"/>
                <w:b w:val="0"/>
                <w:sz w:val="24"/>
                <w:u w:val="none"/>
              </w:rPr>
              <w:t>c</w:t>
            </w:r>
            <w:r>
              <w:rPr>
                <w:rStyle w:val="InstructionsTabelleberschrift"/>
                <w:rFonts w:ascii="Times New Roman" w:hAnsi="Times New Roman"/>
                <w:b w:val="0"/>
                <w:sz w:val="24"/>
                <w:u w:val="none"/>
              </w:rPr>
              <w:t>tué en application de l’article 105, paragraphe 8, du CRR, par rapport aux mei</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leures données indépendantes disponibles pour la position d'évaluation conce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trée individuelle concernée. </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montants de différence non corrigés se rapportent aux différences non corr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gées entre les évaluations générées par le système de négociation et les évalu</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tions obtenues au cours du processus mensuel d’IPV.</w:t>
            </w:r>
          </w:p>
          <w:p w:rsidR="001A6C53" w:rsidRPr="00DD41BE" w:rsidRDefault="001A6C53" w:rsidP="008D2F6E">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Aucun montant de différence corrigée figurant dans les livres et registres de l’établissement pour la date de fin de mois concernée ne doit être inclus dans le calcul de la différence IPV.</w:t>
            </w:r>
          </w:p>
        </w:tc>
      </w:tr>
    </w:tbl>
    <w:p w:rsidR="001A6C53" w:rsidRPr="00392FFD" w:rsidRDefault="001A6C53" w:rsidP="001A6C53">
      <w:pPr>
        <w:rPr>
          <w:rStyle w:val="InstructionsTabelleText"/>
          <w:rFonts w:ascii="Times New Roman" w:hAnsi="Times New Roman"/>
          <w:sz w:val="24"/>
        </w:rPr>
      </w:pPr>
    </w:p>
    <w:p w:rsidR="001A6C53" w:rsidRPr="00392FFD" w:rsidRDefault="001A6C53" w:rsidP="001A6C53">
      <w:pPr>
        <w:pStyle w:val="Instructionsberschrift2"/>
        <w:numPr>
          <w:ilvl w:val="0"/>
          <w:numId w:val="0"/>
        </w:numPr>
        <w:ind w:left="357" w:hanging="357"/>
        <w:rPr>
          <w:rFonts w:ascii="Times New Roman" w:hAnsi="Times New Roman" w:cs="Times New Roman"/>
          <w:sz w:val="24"/>
        </w:rPr>
      </w:pPr>
      <w:bookmarkStart w:id="449" w:name="_Toc524104258"/>
      <w:r>
        <w:rPr>
          <w:rFonts w:ascii="Times New Roman" w:hAnsi="Times New Roman"/>
          <w:sz w:val="24"/>
          <w:u w:val="none"/>
        </w:rPr>
        <w:lastRenderedPageBreak/>
        <w:t>7.</w:t>
      </w:r>
      <w:r w:rsidRPr="006637AE">
        <w:rPr>
          <w:u w:val="none"/>
        </w:rPr>
        <w:tab/>
      </w:r>
      <w:r>
        <w:rPr>
          <w:rFonts w:ascii="Times New Roman" w:hAnsi="Times New Roman"/>
          <w:sz w:val="24"/>
        </w:rPr>
        <w:t>C 33.00 - Expositions sur les administrations publiques (GOV)</w:t>
      </w:r>
      <w:bookmarkEnd w:id="449"/>
    </w:p>
    <w:p w:rsidR="001A6C53" w:rsidRPr="00392FFD" w:rsidRDefault="001A6C53" w:rsidP="001A6C53">
      <w:pPr>
        <w:pStyle w:val="Instructionsberschrift2"/>
        <w:numPr>
          <w:ilvl w:val="0"/>
          <w:numId w:val="0"/>
        </w:numPr>
        <w:ind w:left="357" w:hanging="357"/>
        <w:rPr>
          <w:rFonts w:ascii="Times New Roman" w:hAnsi="Times New Roman" w:cs="Times New Roman"/>
          <w:sz w:val="24"/>
        </w:rPr>
      </w:pPr>
      <w:bookmarkStart w:id="450" w:name="_Toc524104259"/>
      <w:r>
        <w:rPr>
          <w:rFonts w:ascii="Times New Roman" w:hAnsi="Times New Roman"/>
          <w:sz w:val="24"/>
          <w:u w:val="none"/>
        </w:rPr>
        <w:t>7.1.</w:t>
      </w:r>
      <w:r w:rsidRPr="006637AE">
        <w:rPr>
          <w:u w:val="none"/>
        </w:rPr>
        <w:tab/>
      </w:r>
      <w:r>
        <w:rPr>
          <w:rFonts w:ascii="Times New Roman" w:hAnsi="Times New Roman"/>
          <w:sz w:val="24"/>
        </w:rPr>
        <w:t>Remarques générales</w:t>
      </w:r>
      <w:bookmarkEnd w:id="450"/>
      <w:r>
        <w:rPr>
          <w:rFonts w:ascii="Times New Roman" w:hAnsi="Times New Roman"/>
          <w:sz w:val="24"/>
        </w:rPr>
        <w:t xml:space="preserve"> </w:t>
      </w:r>
    </w:p>
    <w:p w:rsidR="001A6C53" w:rsidRPr="00392FFD" w:rsidRDefault="001A6C53" w:rsidP="001A6C53">
      <w:pPr>
        <w:pStyle w:val="InstructionsText2"/>
        <w:numPr>
          <w:ilvl w:val="0"/>
          <w:numId w:val="0"/>
        </w:numPr>
        <w:ind w:left="993"/>
      </w:pPr>
      <w:r>
        <w:t>155.</w:t>
      </w:r>
      <w:r>
        <w:tab/>
        <w:t>Les informations pour le modèle C 33.00 couvrent toutes les expositions sur les «administrations publiques» telles que définies à l'annexe V, paragraphe 42, point b).</w:t>
      </w:r>
    </w:p>
    <w:p w:rsidR="001A6C53" w:rsidRPr="00392FFD" w:rsidRDefault="001A6C53" w:rsidP="001A6C53">
      <w:pPr>
        <w:pStyle w:val="InstructionsText2"/>
        <w:numPr>
          <w:ilvl w:val="0"/>
          <w:numId w:val="0"/>
        </w:numPr>
        <w:ind w:left="993"/>
      </w:pPr>
      <w:r>
        <w:t>156.</w:t>
      </w:r>
      <w:r>
        <w:tab/>
        <w:t>Les expositions sur les «administrations publiques» sont incluses dans diff</w:t>
      </w:r>
      <w:r>
        <w:t>é</w:t>
      </w:r>
      <w:r>
        <w:t xml:space="preserve">rentes catégories d'expositions conformément à l'article 112 et à l'article 147 du CRR, comme indiqué dans les instructions pour les modèles C 07.00, C 08.01 et C 08.02. </w:t>
      </w:r>
    </w:p>
    <w:p w:rsidR="001A6C53" w:rsidRPr="00392FFD" w:rsidRDefault="001A6C53" w:rsidP="001A6C53">
      <w:pPr>
        <w:pStyle w:val="InstructionsText2"/>
        <w:numPr>
          <w:ilvl w:val="0"/>
          <w:numId w:val="0"/>
        </w:numPr>
        <w:ind w:left="993"/>
      </w:pPr>
      <w:r>
        <w:t>157.</w:t>
      </w:r>
      <w:r>
        <w:tab/>
        <w:t xml:space="preserve">Le tableau 2 (Approche standard) et le tableau 3 (Approche NI) qui figurent dans la partie 3 de l'annexe V seront respectés pour la mise en correspondance des catégories d'expositions utilisées pour calculer les exigences de fonds propres en vertu du CRR avec le secteur de contreparties «administrations publiques». </w:t>
      </w:r>
    </w:p>
    <w:p w:rsidR="001A6C53" w:rsidRPr="00392FFD" w:rsidRDefault="001A6C53" w:rsidP="001A6C53">
      <w:pPr>
        <w:pStyle w:val="InstructionsText2"/>
        <w:numPr>
          <w:ilvl w:val="0"/>
          <w:numId w:val="0"/>
        </w:numPr>
        <w:ind w:left="993"/>
      </w:pPr>
      <w:r>
        <w:t>158.</w:t>
      </w:r>
      <w:r>
        <w:tab/>
        <w:t>Des informations seront fournies pour les expositions agrégées totales (c'est-à-dire la somme de tous les pays dans lesquels la banque a des expositions souv</w:t>
      </w:r>
      <w:r>
        <w:t>e</w:t>
      </w:r>
      <w:r>
        <w:t xml:space="preserve">raines) et pour chaque pays en fonction de la résidence de la contrepartie sur la base de l'«emprunteur direct». </w:t>
      </w:r>
    </w:p>
    <w:p w:rsidR="001A6C53" w:rsidRPr="00392FFD" w:rsidRDefault="001A6C53" w:rsidP="001A6C53">
      <w:pPr>
        <w:pStyle w:val="InstructionsText2"/>
        <w:numPr>
          <w:ilvl w:val="0"/>
          <w:numId w:val="0"/>
        </w:numPr>
        <w:ind w:left="993"/>
      </w:pPr>
      <w:r>
        <w:t>159.</w:t>
      </w:r>
      <w:r>
        <w:tab/>
        <w:t>L'affectation des expositions aux catégories d'expositions ou aux juridictions sera effectuée sans prendre en considération les techniques d'atténuation du risque de crédit, et en particulier sans prendre en considération les effets de substitution. Cependant, le calcul des valeurs exposées au risque et des montants d'exposition pondérés pour chaque catégorie d'expositions et chaque juridiction inclut l'inc</w:t>
      </w:r>
      <w:r>
        <w:t>i</w:t>
      </w:r>
      <w:r>
        <w:t>dence des techniques d'atténuation du risque de crédit, y compris les effets de sub</w:t>
      </w:r>
      <w:r>
        <w:t>s</w:t>
      </w:r>
      <w:r>
        <w:t xml:space="preserve">titution. </w:t>
      </w:r>
    </w:p>
    <w:p w:rsidR="001A6C53" w:rsidRPr="00392FFD" w:rsidRDefault="001A6C53" w:rsidP="001A6C53">
      <w:pPr>
        <w:pStyle w:val="InstructionsText2"/>
        <w:numPr>
          <w:ilvl w:val="0"/>
          <w:numId w:val="0"/>
        </w:numPr>
        <w:ind w:left="993"/>
      </w:pPr>
      <w:r>
        <w:t>160.</w:t>
      </w:r>
      <w:r>
        <w:tab/>
        <w:t>La déclaration des informations relatives aux expositions sur les «administr</w:t>
      </w:r>
      <w:r>
        <w:t>a</w:t>
      </w:r>
      <w:r>
        <w:t>tions publiques» par juridiction de la résidence de la contrepartie immédiate autre que la juridiction nationale de l'établissement déclarant est soumise aux seuils pr</w:t>
      </w:r>
      <w:r>
        <w:t>é</w:t>
      </w:r>
      <w:r>
        <w:t>vus à l'article 5, point b), point 3), du présent règlement.</w:t>
      </w:r>
    </w:p>
    <w:p w:rsidR="001A6C53" w:rsidRPr="00392FFD" w:rsidRDefault="001A6C53" w:rsidP="001A6C53">
      <w:pPr>
        <w:pStyle w:val="Instructionsberschrift2"/>
        <w:numPr>
          <w:ilvl w:val="0"/>
          <w:numId w:val="0"/>
        </w:numPr>
        <w:ind w:left="357" w:hanging="357"/>
        <w:rPr>
          <w:rFonts w:ascii="Times New Roman" w:hAnsi="Times New Roman" w:cs="Times New Roman"/>
          <w:sz w:val="24"/>
        </w:rPr>
      </w:pPr>
      <w:bookmarkStart w:id="451" w:name="_Toc524104260"/>
      <w:r>
        <w:rPr>
          <w:rFonts w:ascii="Times New Roman" w:hAnsi="Times New Roman"/>
          <w:sz w:val="24"/>
          <w:u w:val="none"/>
        </w:rPr>
        <w:t>7.2.</w:t>
      </w:r>
      <w:r>
        <w:tab/>
      </w:r>
      <w:r>
        <w:rPr>
          <w:rFonts w:ascii="Times New Roman" w:hAnsi="Times New Roman"/>
          <w:sz w:val="24"/>
        </w:rPr>
        <w:t>Champ d'application du modèle consacré aux expositions sur les «Administrations p</w:t>
      </w:r>
      <w:r>
        <w:rPr>
          <w:rFonts w:ascii="Times New Roman" w:hAnsi="Times New Roman"/>
          <w:sz w:val="24"/>
        </w:rPr>
        <w:t>u</w:t>
      </w:r>
      <w:r>
        <w:rPr>
          <w:rFonts w:ascii="Times New Roman" w:hAnsi="Times New Roman"/>
          <w:sz w:val="24"/>
        </w:rPr>
        <w:t>bliques»</w:t>
      </w:r>
      <w:bookmarkEnd w:id="451"/>
    </w:p>
    <w:p w:rsidR="001A6C53" w:rsidRPr="00392FFD" w:rsidRDefault="001A6C53" w:rsidP="001A6C53">
      <w:pPr>
        <w:pStyle w:val="InstructionsText2"/>
        <w:numPr>
          <w:ilvl w:val="0"/>
          <w:numId w:val="0"/>
        </w:numPr>
        <w:ind w:left="993"/>
      </w:pPr>
      <w:r>
        <w:t>161.</w:t>
      </w:r>
      <w:r>
        <w:tab/>
        <w:t>Le champ d'application du modèle GOV couvre les expositions directes au b</w:t>
      </w:r>
      <w:r>
        <w:t>i</w:t>
      </w:r>
      <w:r>
        <w:t>lan, hors bilan et sous la forme de dérivés sur les «administrations publiques» dans le portefeuille d'intermédiation bancaire et dans le portefeuille de négociation. En outre, un poste pour mémoire est également demandé concernant les expositions indirectes correspondant à des dérivés de crédit vendus dont les actifs sous-jacents sont des expositions sur des administrations publiques.</w:t>
      </w:r>
    </w:p>
    <w:p w:rsidR="001A6C53" w:rsidRPr="00392FFD" w:rsidRDefault="001A6C53" w:rsidP="001A6C53">
      <w:pPr>
        <w:pStyle w:val="InstructionsText2"/>
        <w:numPr>
          <w:ilvl w:val="0"/>
          <w:numId w:val="0"/>
        </w:numPr>
        <w:ind w:left="993"/>
      </w:pPr>
      <w:r>
        <w:t>162.</w:t>
      </w:r>
      <w:r>
        <w:tab/>
        <w:t xml:space="preserve">Une exposition est dite directe lorsque la contrepartie immédiate est une entité entrant dans la définition des «administrations publiques». </w:t>
      </w:r>
    </w:p>
    <w:p w:rsidR="001A6C53" w:rsidRPr="00392FFD" w:rsidRDefault="001A6C53" w:rsidP="001A6C53">
      <w:pPr>
        <w:pStyle w:val="InstructionsText2"/>
        <w:numPr>
          <w:ilvl w:val="0"/>
          <w:numId w:val="0"/>
        </w:numPr>
        <w:ind w:left="993"/>
      </w:pPr>
      <w:r>
        <w:t>163.</w:t>
      </w:r>
      <w:r>
        <w:tab/>
        <w:t>Le modèle est divisé en deux sections. La première repose sur une répartition des expositions par risque, approche réglementaire et catégorie d'expositions, et la seconde sur une répartition par échéance résiduelle.</w:t>
      </w:r>
    </w:p>
    <w:p w:rsidR="001A6C53" w:rsidRPr="00392FFD" w:rsidRDefault="001A6C53" w:rsidP="001A6C53">
      <w:pPr>
        <w:pStyle w:val="Instructionsberschrift2"/>
        <w:numPr>
          <w:ilvl w:val="0"/>
          <w:numId w:val="0"/>
        </w:numPr>
        <w:ind w:left="357" w:hanging="357"/>
        <w:rPr>
          <w:rFonts w:ascii="Times New Roman" w:hAnsi="Times New Roman" w:cs="Times New Roman"/>
          <w:sz w:val="24"/>
        </w:rPr>
      </w:pPr>
      <w:bookmarkStart w:id="452" w:name="_Toc524104261"/>
      <w:r>
        <w:rPr>
          <w:rFonts w:ascii="Times New Roman" w:hAnsi="Times New Roman"/>
          <w:sz w:val="24"/>
          <w:u w:val="none"/>
        </w:rPr>
        <w:lastRenderedPageBreak/>
        <w:t>7.3.</w:t>
      </w:r>
      <w:r w:rsidRPr="00613677">
        <w:rPr>
          <w:u w:val="none"/>
        </w:rPr>
        <w:tab/>
      </w:r>
      <w:r>
        <w:rPr>
          <w:rFonts w:ascii="Times New Roman" w:hAnsi="Times New Roman"/>
          <w:sz w:val="24"/>
        </w:rPr>
        <w:t>Instructions concernant certaines positions</w:t>
      </w:r>
      <w:bookmarkEnd w:id="45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A6C53" w:rsidRPr="00392FFD" w:rsidTr="008D2F6E">
        <w:tc>
          <w:tcPr>
            <w:tcW w:w="1188" w:type="dxa"/>
            <w:shd w:val="pct25" w:color="auto" w:fill="auto"/>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Colonnes</w:t>
            </w:r>
          </w:p>
          <w:p w:rsidR="001A6C53" w:rsidRPr="00392FFD" w:rsidRDefault="001A6C53" w:rsidP="008D2F6E">
            <w:pPr>
              <w:spacing w:before="0" w:after="0"/>
              <w:ind w:left="33"/>
              <w:rPr>
                <w:rFonts w:ascii="Times New Roman" w:hAnsi="Times New Roman"/>
                <w:bCs/>
                <w:sz w:val="24"/>
              </w:rPr>
            </w:pPr>
          </w:p>
        </w:tc>
        <w:tc>
          <w:tcPr>
            <w:tcW w:w="8640" w:type="dxa"/>
            <w:shd w:val="pct25" w:color="auto" w:fill="auto"/>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Instructions</w:t>
            </w:r>
          </w:p>
        </w:tc>
      </w:tr>
      <w:tr w:rsidR="001A6C53" w:rsidRPr="00392FFD" w:rsidTr="008D2F6E">
        <w:tc>
          <w:tcPr>
            <w:tcW w:w="1188" w:type="dxa"/>
            <w:tcBorders>
              <w:bottom w:val="single" w:sz="4" w:space="0" w:color="auto"/>
            </w:tcBorders>
          </w:tcPr>
          <w:p w:rsidR="001A6C53" w:rsidRPr="00392FFD" w:rsidRDefault="001A6C53" w:rsidP="008D2F6E">
            <w:pPr>
              <w:spacing w:before="0" w:after="0"/>
              <w:ind w:left="33"/>
              <w:rPr>
                <w:rFonts w:ascii="Times New Roman" w:hAnsi="Times New Roman"/>
                <w:bCs/>
                <w:sz w:val="24"/>
                <w:highlight w:val="yellow"/>
              </w:rPr>
            </w:pPr>
            <w:r>
              <w:rPr>
                <w:rFonts w:ascii="Times New Roman" w:hAnsi="Times New Roman"/>
                <w:sz w:val="24"/>
              </w:rPr>
              <w:t>010-260</w:t>
            </w:r>
          </w:p>
        </w:tc>
        <w:tc>
          <w:tcPr>
            <w:tcW w:w="8640" w:type="dxa"/>
            <w:tcBorders>
              <w:bottom w:val="single" w:sz="4" w:space="0" w:color="auto"/>
            </w:tcBorders>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 xml:space="preserve">EXPOSITIONS DIRECTES </w:t>
            </w: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highlight w:val="yellow"/>
              </w:rPr>
            </w:pPr>
            <w:r>
              <w:rPr>
                <w:rFonts w:ascii="Times New Roman" w:hAnsi="Times New Roman"/>
                <w:sz w:val="24"/>
              </w:rPr>
              <w:t>010-140</w:t>
            </w:r>
          </w:p>
        </w:tc>
        <w:tc>
          <w:tcPr>
            <w:tcW w:w="8640"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EXPOSITIONS AU BILAN</w:t>
            </w: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010</w:t>
            </w:r>
          </w:p>
        </w:tc>
        <w:tc>
          <w:tcPr>
            <w:tcW w:w="8640"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 xml:space="preserve">Valeur comptable brute totale des actifs financiers non dérivés </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Total de la valeur comptable brute, déterminée conformément à l'annexe V, partie 1, paragraphe 34, des actifs financiers non dérivés qui sont des expositions sur des adm</w:t>
            </w:r>
            <w:r>
              <w:rPr>
                <w:rFonts w:ascii="Times New Roman" w:hAnsi="Times New Roman"/>
                <w:sz w:val="24"/>
              </w:rPr>
              <w:t>i</w:t>
            </w:r>
            <w:r>
              <w:rPr>
                <w:rFonts w:ascii="Times New Roman" w:hAnsi="Times New Roman"/>
                <w:sz w:val="24"/>
              </w:rPr>
              <w:t>nistrations publiques, pour tous les portefeuilles comptables appliquant les normes IFRS ou les référentiels comptables nationaux fondés sur la directive 86/635/CEE (d</w:t>
            </w:r>
            <w:r>
              <w:rPr>
                <w:rFonts w:ascii="Times New Roman" w:hAnsi="Times New Roman"/>
                <w:sz w:val="24"/>
              </w:rPr>
              <w:t>i</w:t>
            </w:r>
            <w:r>
              <w:rPr>
                <w:rFonts w:ascii="Times New Roman" w:hAnsi="Times New Roman"/>
                <w:sz w:val="24"/>
              </w:rPr>
              <w:t xml:space="preserve">rective sur la comptabilité des banques, ci-après la «BAD») définis à l'annexe V, partie 1, paragraphes 15 à 22, et énumérés dans les colonnes 030 à 120. </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Les corrections de valeur à des fins d'évaluation prudente ne réduisent pas la valeur comptable brute des expositions du portefeuille de négociation et du portefeuille hors négociation mesurées à leur juste valeur.</w:t>
            </w:r>
          </w:p>
          <w:p w:rsidR="001A6C53" w:rsidRPr="00392FFD" w:rsidRDefault="001A6C53" w:rsidP="008D2F6E">
            <w:pPr>
              <w:spacing w:before="0" w:after="0"/>
              <w:rPr>
                <w:rFonts w:ascii="Times New Roman" w:hAnsi="Times New Roman"/>
                <w:bCs/>
                <w:sz w:val="24"/>
              </w:rPr>
            </w:pPr>
          </w:p>
        </w:tc>
      </w:tr>
      <w:tr w:rsidR="001A6C53" w:rsidRPr="00392FFD"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t>020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Valeur comptable totale des actifs financiers non dérivés (nette des positions courtes)</w:t>
            </w:r>
          </w:p>
          <w:p w:rsidR="001A6C53" w:rsidRPr="00321A3B"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Total de la valeur comptable, conformément à l'annexe V, partie 1, paragraphe 27, des actifs financiers non dérivés qui sont des expositions sur des administrations publiques, pour tous les portefeuilles comptables appliquant les normes IFRS ou les référentiels comptables nationaux fondés sur la BAD définis à l'annexe V, partie 1, paragraphes 15 à 22, et énumérés dans les colonnes 030 à 120, nette des positions courtes.</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Lorsque l'établissement a une position courte, libellée dans la même devise, pour la même échéance résiduelle et pour la même contrepartie immédiate, la valeur com</w:t>
            </w:r>
            <w:r>
              <w:rPr>
                <w:rFonts w:ascii="Times New Roman" w:hAnsi="Times New Roman"/>
                <w:sz w:val="24"/>
              </w:rPr>
              <w:t>p</w:t>
            </w:r>
            <w:r>
              <w:rPr>
                <w:rFonts w:ascii="Times New Roman" w:hAnsi="Times New Roman"/>
                <w:sz w:val="24"/>
              </w:rPr>
              <w:t>table de la position courte sera compensée avec la valeur comptable de la position d</w:t>
            </w:r>
            <w:r>
              <w:rPr>
                <w:rFonts w:ascii="Times New Roman" w:hAnsi="Times New Roman"/>
                <w:sz w:val="24"/>
              </w:rPr>
              <w:t>i</w:t>
            </w:r>
            <w:r>
              <w:rPr>
                <w:rFonts w:ascii="Times New Roman" w:hAnsi="Times New Roman"/>
                <w:sz w:val="24"/>
              </w:rPr>
              <w:t>recte. Ce montant net sera considéré comme nul s'il est négatif.</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La somme des colonnes 030 à 120 moins la colonne 130 doit être déclarée.</w:t>
            </w:r>
            <w:r>
              <w:rPr>
                <w:sz w:val="24"/>
              </w:rPr>
              <w:t xml:space="preserve"> </w:t>
            </w:r>
            <w:r>
              <w:rPr>
                <w:rFonts w:ascii="Times New Roman" w:hAnsi="Times New Roman"/>
                <w:sz w:val="24"/>
              </w:rPr>
              <w:t>Si ce mo</w:t>
            </w:r>
            <w:r>
              <w:rPr>
                <w:rFonts w:ascii="Times New Roman" w:hAnsi="Times New Roman"/>
                <w:sz w:val="24"/>
              </w:rPr>
              <w:t>n</w:t>
            </w:r>
            <w:r>
              <w:rPr>
                <w:rFonts w:ascii="Times New Roman" w:hAnsi="Times New Roman"/>
                <w:sz w:val="24"/>
              </w:rPr>
              <w:t>tant est inférieur à zéro, le montant à déclarer sera zéro.</w:t>
            </w:r>
          </w:p>
          <w:p w:rsidR="001A6C53" w:rsidRPr="00392FFD" w:rsidDel="00FB1EBF" w:rsidRDefault="001A6C53" w:rsidP="008D2F6E">
            <w:pPr>
              <w:spacing w:before="0" w:after="0"/>
              <w:ind w:left="33"/>
              <w:rPr>
                <w:rFonts w:ascii="Times New Roman" w:hAnsi="Times New Roman"/>
                <w:bCs/>
                <w:sz w:val="24"/>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030-120</w:t>
            </w:r>
          </w:p>
        </w:tc>
        <w:tc>
          <w:tcPr>
            <w:tcW w:w="8640"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ACTIFS FINANCIERS NON DÉRIVÉS PAR PORTEFEUILLE COMPTABLE</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Valeur comptable totale des actifs financiers non dérivés, telle que définie ci-dessus, qui sont des expositions sur des administrations publiques par portefeuille comptable selon le référentiel comptable applicable.</w:t>
            </w:r>
          </w:p>
          <w:p w:rsidR="001A6C53" w:rsidRPr="00392FFD" w:rsidDel="00FB1EBF" w:rsidRDefault="001A6C53" w:rsidP="008D2F6E">
            <w:pPr>
              <w:spacing w:before="0" w:after="0"/>
              <w:ind w:left="33"/>
              <w:rPr>
                <w:rFonts w:ascii="Times New Roman" w:hAnsi="Times New Roman"/>
                <w:bCs/>
                <w:sz w:val="24"/>
              </w:rPr>
            </w:pPr>
          </w:p>
        </w:tc>
      </w:tr>
      <w:tr w:rsidR="001A6C53" w:rsidRPr="001A6C53"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t>030</w:t>
            </w:r>
          </w:p>
        </w:tc>
        <w:tc>
          <w:tcPr>
            <w:tcW w:w="8640" w:type="dxa"/>
          </w:tcPr>
          <w:p w:rsidR="001A6C53" w:rsidRPr="00321A3B" w:rsidRDefault="001A6C53" w:rsidP="008D2F6E">
            <w:pPr>
              <w:spacing w:before="0" w:after="0"/>
              <w:ind w:left="33"/>
              <w:rPr>
                <w:rFonts w:ascii="Times New Roman" w:hAnsi="Times New Roman"/>
                <w:bCs/>
                <w:sz w:val="24"/>
              </w:rPr>
            </w:pPr>
            <w:r>
              <w:rPr>
                <w:rFonts w:ascii="Times New Roman" w:hAnsi="Times New Roman"/>
                <w:b/>
                <w:sz w:val="24"/>
                <w:u w:val="single"/>
              </w:rPr>
              <w:t>Actifs financiers détenus à des fins de négociation</w:t>
            </w:r>
          </w:p>
          <w:p w:rsidR="001A6C53" w:rsidRPr="00321A3B" w:rsidRDefault="001A6C53" w:rsidP="008D2F6E">
            <w:pPr>
              <w:spacing w:before="0" w:after="0"/>
              <w:ind w:left="33"/>
              <w:rPr>
                <w:rFonts w:ascii="Times New Roman" w:hAnsi="Times New Roman"/>
                <w:bCs/>
                <w:sz w:val="24"/>
              </w:rPr>
            </w:pPr>
          </w:p>
          <w:p w:rsidR="001A6C53" w:rsidRPr="001A6C53" w:rsidRDefault="001A6C53" w:rsidP="008D2F6E">
            <w:pPr>
              <w:spacing w:before="0" w:after="0"/>
              <w:ind w:left="33"/>
              <w:rPr>
                <w:rFonts w:ascii="Times New Roman" w:hAnsi="Times New Roman"/>
                <w:bCs/>
                <w:sz w:val="24"/>
                <w:lang w:val="en-US"/>
              </w:rPr>
            </w:pPr>
            <w:r w:rsidRPr="001A6C53">
              <w:rPr>
                <w:rFonts w:ascii="Times New Roman" w:hAnsi="Times New Roman"/>
                <w:sz w:val="24"/>
                <w:lang w:val="en-US"/>
              </w:rPr>
              <w:t xml:space="preserve">IFRS 7.8(a)(ii); IFRS 9 </w:t>
            </w:r>
            <w:proofErr w:type="spellStart"/>
            <w:r w:rsidRPr="001A6C53">
              <w:rPr>
                <w:rFonts w:ascii="Times New Roman" w:hAnsi="Times New Roman"/>
                <w:sz w:val="24"/>
                <w:lang w:val="en-US"/>
              </w:rPr>
              <w:t>Annexe</w:t>
            </w:r>
            <w:proofErr w:type="spellEnd"/>
            <w:r w:rsidRPr="001A6C53">
              <w:rPr>
                <w:rFonts w:ascii="Times New Roman" w:hAnsi="Times New Roman"/>
                <w:sz w:val="24"/>
                <w:lang w:val="en-US"/>
              </w:rPr>
              <w:t> A</w:t>
            </w:r>
          </w:p>
          <w:p w:rsidR="001A6C53" w:rsidRPr="001A6C53" w:rsidDel="00FB1EBF" w:rsidRDefault="001A6C53" w:rsidP="008D2F6E">
            <w:pPr>
              <w:spacing w:before="0" w:after="0"/>
              <w:ind w:left="33"/>
              <w:rPr>
                <w:rFonts w:ascii="Times New Roman" w:hAnsi="Times New Roman"/>
                <w:bCs/>
                <w:sz w:val="24"/>
                <w:lang w:val="en-US"/>
              </w:rPr>
            </w:pPr>
          </w:p>
        </w:tc>
      </w:tr>
      <w:tr w:rsidR="001A6C53" w:rsidRPr="00321A3B"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t>040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Actifs financiers de négociation</w:t>
            </w:r>
          </w:p>
          <w:p w:rsidR="001A6C53" w:rsidRPr="00321A3B" w:rsidRDefault="001A6C53" w:rsidP="008D2F6E">
            <w:pPr>
              <w:spacing w:before="0" w:after="0"/>
              <w:ind w:left="33"/>
              <w:rPr>
                <w:rFonts w:ascii="Times New Roman" w:hAnsi="Times New Roman"/>
                <w:bCs/>
                <w:sz w:val="24"/>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Directive 86/635/CEE articles 32-33; Annexe V. Partie 1.16; directive comptable a</w:t>
            </w:r>
            <w:r>
              <w:rPr>
                <w:rFonts w:ascii="Times New Roman" w:hAnsi="Times New Roman"/>
                <w:sz w:val="24"/>
              </w:rPr>
              <w:t>r</w:t>
            </w:r>
            <w:r>
              <w:rPr>
                <w:rFonts w:ascii="Times New Roman" w:hAnsi="Times New Roman"/>
                <w:sz w:val="24"/>
              </w:rPr>
              <w:t>ticle 8, paragraphe 1, point a)</w:t>
            </w: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lastRenderedPageBreak/>
              <w:t>À ne déclarer que par les établissements appliquant les référentiels</w:t>
            </w: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comptables nationaux.</w:t>
            </w:r>
          </w:p>
          <w:p w:rsidR="001A6C53" w:rsidRPr="00321A3B" w:rsidDel="00FB1EBF" w:rsidRDefault="001A6C53" w:rsidP="008D2F6E">
            <w:pPr>
              <w:spacing w:before="0" w:after="0"/>
              <w:ind w:left="33"/>
              <w:rPr>
                <w:rFonts w:ascii="Times New Roman" w:hAnsi="Times New Roman"/>
                <w:bCs/>
                <w:sz w:val="24"/>
              </w:rPr>
            </w:pPr>
          </w:p>
        </w:tc>
      </w:tr>
      <w:tr w:rsidR="001A6C53" w:rsidRPr="00321A3B"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lastRenderedPageBreak/>
              <w:t>050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Actifs financiers détenus à des fins autres que de négociation obligatoirement év</w:t>
            </w:r>
            <w:r>
              <w:rPr>
                <w:rFonts w:ascii="Times New Roman" w:hAnsi="Times New Roman"/>
                <w:b/>
                <w:sz w:val="24"/>
                <w:u w:val="single"/>
              </w:rPr>
              <w:t>a</w:t>
            </w:r>
            <w:r>
              <w:rPr>
                <w:rFonts w:ascii="Times New Roman" w:hAnsi="Times New Roman"/>
                <w:b/>
                <w:sz w:val="24"/>
                <w:u w:val="single"/>
              </w:rPr>
              <w:t>lués à la juste valeur par le biais du compte de résultat</w:t>
            </w:r>
          </w:p>
          <w:p w:rsidR="001A6C53" w:rsidRPr="00321A3B" w:rsidRDefault="001A6C53" w:rsidP="008D2F6E">
            <w:pPr>
              <w:spacing w:before="0" w:after="0"/>
              <w:ind w:left="33"/>
              <w:rPr>
                <w:rFonts w:ascii="Times New Roman" w:hAnsi="Times New Roman"/>
                <w:bCs/>
                <w:sz w:val="24"/>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IFRS 7.8(a)(ii); IFRS 9.4.1.4.</w:t>
            </w:r>
          </w:p>
          <w:p w:rsidR="001A6C53" w:rsidRPr="00321A3B" w:rsidRDefault="001A6C53" w:rsidP="008D2F6E">
            <w:pPr>
              <w:spacing w:before="0" w:after="0"/>
              <w:ind w:left="33"/>
              <w:rPr>
                <w:rFonts w:ascii="Times New Roman" w:hAnsi="Times New Roman"/>
                <w:bCs/>
                <w:sz w:val="24"/>
              </w:rPr>
            </w:pPr>
          </w:p>
        </w:tc>
      </w:tr>
      <w:tr w:rsidR="001A6C53" w:rsidRPr="00321A3B"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t>060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Actifs financiers désignés comme évalués à la juste valeur par le biais du compte de résultat</w:t>
            </w:r>
          </w:p>
          <w:p w:rsidR="001A6C53" w:rsidRPr="00321A3B" w:rsidRDefault="001A6C53" w:rsidP="008D2F6E">
            <w:pPr>
              <w:spacing w:before="0" w:after="0"/>
              <w:ind w:left="33"/>
              <w:rPr>
                <w:rFonts w:ascii="Times New Roman" w:hAnsi="Times New Roman"/>
                <w:bCs/>
                <w:sz w:val="24"/>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IFRS 7.8(a)(i); IFRS 9.4.1.5 et directive comptable article 8, paragraphe 1, point a), et paragraphe 6</w:t>
            </w:r>
          </w:p>
          <w:p w:rsidR="001A6C53" w:rsidRPr="00321A3B" w:rsidRDefault="001A6C53" w:rsidP="008D2F6E">
            <w:pPr>
              <w:spacing w:before="0" w:after="0"/>
              <w:ind w:left="33"/>
              <w:rPr>
                <w:rFonts w:ascii="Times New Roman" w:hAnsi="Times New Roman"/>
                <w:bCs/>
                <w:sz w:val="24"/>
              </w:rPr>
            </w:pPr>
          </w:p>
        </w:tc>
      </w:tr>
      <w:tr w:rsidR="001A6C53" w:rsidRPr="00321A3B"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t>070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Actifs financiers non dérivés détenus à des fins autres que de négociation évalués à la juste valeur par le biais du compte de résultat</w:t>
            </w:r>
          </w:p>
          <w:p w:rsidR="001A6C53" w:rsidRPr="00321A3B" w:rsidRDefault="001A6C53" w:rsidP="008D2F6E">
            <w:pPr>
              <w:spacing w:before="0" w:after="0"/>
              <w:ind w:left="33"/>
              <w:rPr>
                <w:rFonts w:ascii="Times New Roman" w:hAnsi="Times New Roman"/>
                <w:bCs/>
                <w:sz w:val="24"/>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Directive 86/635/CEE article 36, paragraphe 2; directive comptable article 8, par</w:t>
            </w:r>
            <w:r>
              <w:rPr>
                <w:rFonts w:ascii="Times New Roman" w:hAnsi="Times New Roman"/>
                <w:sz w:val="24"/>
              </w:rPr>
              <w:t>a</w:t>
            </w:r>
            <w:r>
              <w:rPr>
                <w:rFonts w:ascii="Times New Roman" w:hAnsi="Times New Roman"/>
                <w:sz w:val="24"/>
              </w:rPr>
              <w:t>graphe 1, point a)</w:t>
            </w:r>
          </w:p>
          <w:p w:rsidR="001A6C53" w:rsidRPr="00321A3B" w:rsidRDefault="001A6C53" w:rsidP="008D2F6E">
            <w:pPr>
              <w:spacing w:before="0" w:after="0"/>
              <w:ind w:left="33"/>
              <w:rPr>
                <w:rFonts w:ascii="Times New Roman" w:hAnsi="Times New Roman"/>
                <w:bCs/>
                <w:sz w:val="24"/>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À ne déclarer que par les établissements appliquant les référentiels</w:t>
            </w: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comptables nationaux.</w:t>
            </w:r>
          </w:p>
          <w:p w:rsidR="001A6C53" w:rsidRPr="00321A3B" w:rsidRDefault="001A6C53" w:rsidP="008D2F6E">
            <w:pPr>
              <w:spacing w:before="0" w:after="0"/>
              <w:ind w:left="33"/>
              <w:rPr>
                <w:rFonts w:ascii="Times New Roman" w:hAnsi="Times New Roman"/>
                <w:bCs/>
                <w:sz w:val="24"/>
              </w:rPr>
            </w:pPr>
          </w:p>
        </w:tc>
      </w:tr>
      <w:tr w:rsidR="001A6C53" w:rsidRPr="00321A3B"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t>080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Actifs financiers évalués à la juste valeur par le biais des autres éléments du résu</w:t>
            </w:r>
            <w:r>
              <w:rPr>
                <w:rFonts w:ascii="Times New Roman" w:hAnsi="Times New Roman"/>
                <w:b/>
                <w:sz w:val="24"/>
                <w:u w:val="single"/>
              </w:rPr>
              <w:t>l</w:t>
            </w:r>
            <w:r>
              <w:rPr>
                <w:rFonts w:ascii="Times New Roman" w:hAnsi="Times New Roman"/>
                <w:b/>
                <w:sz w:val="24"/>
                <w:u w:val="single"/>
              </w:rPr>
              <w:t>tat global</w:t>
            </w:r>
          </w:p>
          <w:p w:rsidR="001A6C53" w:rsidRPr="00321A3B" w:rsidRDefault="001A6C53" w:rsidP="008D2F6E">
            <w:pPr>
              <w:spacing w:before="0" w:after="0"/>
              <w:ind w:left="33"/>
              <w:rPr>
                <w:rFonts w:ascii="Times New Roman" w:hAnsi="Times New Roman"/>
                <w:bCs/>
                <w:sz w:val="24"/>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IFRS 7.8(d); IFRS 9.4.1.2A.</w:t>
            </w:r>
          </w:p>
          <w:p w:rsidR="001A6C53" w:rsidRPr="00321A3B" w:rsidRDefault="001A6C53" w:rsidP="008D2F6E">
            <w:pPr>
              <w:spacing w:before="0" w:after="0"/>
              <w:ind w:left="33"/>
              <w:rPr>
                <w:rFonts w:ascii="Times New Roman" w:hAnsi="Times New Roman"/>
                <w:b/>
                <w:bCs/>
                <w:sz w:val="24"/>
              </w:rPr>
            </w:pPr>
          </w:p>
        </w:tc>
      </w:tr>
      <w:tr w:rsidR="001A6C53" w:rsidRPr="00321A3B"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t>090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Actifs financiers non dérivés détenus à des fins autres que de négociation évalués à la juste valeur en capitaux propres</w:t>
            </w:r>
          </w:p>
          <w:p w:rsidR="001A6C53" w:rsidRPr="00321A3B" w:rsidRDefault="001A6C53" w:rsidP="008D2F6E">
            <w:pPr>
              <w:spacing w:before="0" w:after="0"/>
              <w:ind w:left="33"/>
              <w:rPr>
                <w:rFonts w:ascii="Times New Roman" w:hAnsi="Times New Roman"/>
                <w:bCs/>
                <w:sz w:val="24"/>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Directive comptable article 8, paragraphe 1, point a), et paragraphe 8</w:t>
            </w:r>
          </w:p>
          <w:p w:rsidR="001A6C53" w:rsidRPr="00321A3B" w:rsidRDefault="001A6C53" w:rsidP="008D2F6E">
            <w:pPr>
              <w:spacing w:before="0" w:after="0"/>
              <w:ind w:left="33"/>
              <w:rPr>
                <w:rFonts w:ascii="Times New Roman" w:hAnsi="Times New Roman"/>
                <w:bCs/>
                <w:sz w:val="24"/>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À ne déclarer que par les établissements appliquant les référentiels</w:t>
            </w: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comptables nationaux.</w:t>
            </w:r>
          </w:p>
          <w:p w:rsidR="001A6C53" w:rsidRPr="00321A3B" w:rsidRDefault="001A6C53" w:rsidP="008D2F6E">
            <w:pPr>
              <w:spacing w:before="0" w:after="0"/>
              <w:ind w:left="33"/>
              <w:rPr>
                <w:rFonts w:ascii="Times New Roman" w:hAnsi="Times New Roman"/>
                <w:bCs/>
                <w:sz w:val="24"/>
              </w:rPr>
            </w:pPr>
          </w:p>
        </w:tc>
      </w:tr>
      <w:tr w:rsidR="001A6C53" w:rsidRPr="00321A3B"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t>100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Actifs financiers au coût amorti</w:t>
            </w:r>
          </w:p>
          <w:p w:rsidR="001A6C53" w:rsidRPr="00321A3B" w:rsidRDefault="001A6C53" w:rsidP="008D2F6E">
            <w:pPr>
              <w:spacing w:before="0" w:after="0"/>
              <w:ind w:left="33"/>
              <w:rPr>
                <w:rFonts w:ascii="Times New Roman" w:hAnsi="Times New Roman"/>
                <w:bCs/>
                <w:sz w:val="24"/>
              </w:rPr>
            </w:pPr>
          </w:p>
          <w:p w:rsidR="001A6C53" w:rsidRPr="00321A3B" w:rsidDel="00501397" w:rsidRDefault="001A6C53" w:rsidP="008D2F6E">
            <w:pPr>
              <w:spacing w:before="0" w:after="0"/>
              <w:ind w:left="33"/>
              <w:rPr>
                <w:rFonts w:ascii="Times New Roman" w:hAnsi="Times New Roman"/>
                <w:b/>
                <w:bCs/>
                <w:sz w:val="24"/>
                <w:u w:val="single"/>
              </w:rPr>
            </w:pPr>
            <w:r>
              <w:rPr>
                <w:rFonts w:ascii="Times New Roman" w:hAnsi="Times New Roman"/>
                <w:sz w:val="24"/>
              </w:rPr>
              <w:t xml:space="preserve">IFRS 7.8(f); IFRS 9.4.1.2; annexe V, partie 1.15. </w:t>
            </w:r>
          </w:p>
          <w:p w:rsidR="001A6C53" w:rsidRPr="00321A3B" w:rsidRDefault="001A6C53" w:rsidP="008D2F6E">
            <w:pPr>
              <w:spacing w:before="0" w:after="0"/>
              <w:ind w:left="33"/>
              <w:rPr>
                <w:rFonts w:ascii="Times New Roman" w:hAnsi="Times New Roman"/>
                <w:bCs/>
                <w:sz w:val="24"/>
              </w:rPr>
            </w:pPr>
          </w:p>
        </w:tc>
      </w:tr>
      <w:tr w:rsidR="001A6C53" w:rsidRPr="00321A3B"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t>110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Actifs financiers non dérivés détenus à des fins autres que de négociation évalués au coût</w:t>
            </w:r>
          </w:p>
          <w:p w:rsidR="001A6C53" w:rsidRPr="00321A3B" w:rsidRDefault="001A6C53" w:rsidP="008D2F6E">
            <w:pPr>
              <w:spacing w:before="0" w:after="0"/>
              <w:ind w:left="33"/>
              <w:rPr>
                <w:rFonts w:ascii="Times New Roman" w:hAnsi="Times New Roman"/>
                <w:bCs/>
                <w:sz w:val="24"/>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Directive 86/635/CEE article 35; directive comptable article 6, paragraphe 1, point i), et article 8, paragraphe 2; Annexe V. Partie 1.16</w:t>
            </w:r>
          </w:p>
          <w:p w:rsidR="001A6C53" w:rsidRPr="00321A3B" w:rsidRDefault="001A6C53" w:rsidP="008D2F6E">
            <w:pPr>
              <w:spacing w:before="0" w:after="0"/>
              <w:ind w:left="33"/>
              <w:rPr>
                <w:rFonts w:ascii="Times New Roman" w:hAnsi="Times New Roman"/>
                <w:bCs/>
                <w:sz w:val="24"/>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À ne déclarer que par les établissements appliquant les référentiels</w:t>
            </w: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comptables nationaux.</w:t>
            </w:r>
          </w:p>
          <w:p w:rsidR="001A6C53" w:rsidRPr="00321A3B" w:rsidRDefault="001A6C53" w:rsidP="008D2F6E">
            <w:pPr>
              <w:spacing w:before="0" w:after="0"/>
              <w:ind w:left="33"/>
              <w:rPr>
                <w:rFonts w:ascii="Times New Roman" w:hAnsi="Times New Roman"/>
                <w:bCs/>
                <w:sz w:val="24"/>
              </w:rPr>
            </w:pPr>
          </w:p>
        </w:tc>
      </w:tr>
      <w:tr w:rsidR="001A6C53" w:rsidRPr="00321A3B"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t>120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Autres actifs financiers non dérivés détenus à des fins autres que de négociation</w:t>
            </w:r>
          </w:p>
          <w:p w:rsidR="001A6C53" w:rsidRPr="00321A3B" w:rsidRDefault="001A6C53" w:rsidP="008D2F6E">
            <w:pPr>
              <w:spacing w:before="0" w:after="0"/>
              <w:ind w:left="33"/>
              <w:rPr>
                <w:rFonts w:ascii="Times New Roman" w:hAnsi="Times New Roman"/>
                <w:bCs/>
                <w:sz w:val="24"/>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Directive 86/635/CEE article 37; directive comptable article 12, paragraphe 7; A</w:t>
            </w:r>
            <w:r>
              <w:rPr>
                <w:rFonts w:ascii="Times New Roman" w:hAnsi="Times New Roman"/>
                <w:sz w:val="24"/>
              </w:rPr>
              <w:t>n</w:t>
            </w:r>
            <w:r>
              <w:rPr>
                <w:rFonts w:ascii="Times New Roman" w:hAnsi="Times New Roman"/>
                <w:sz w:val="24"/>
              </w:rPr>
              <w:t>nexe V. Partie 1.16</w:t>
            </w:r>
          </w:p>
          <w:p w:rsidR="001A6C53" w:rsidRPr="00321A3B" w:rsidRDefault="001A6C53" w:rsidP="008D2F6E">
            <w:pPr>
              <w:spacing w:before="0" w:after="0"/>
              <w:ind w:left="33"/>
              <w:rPr>
                <w:rFonts w:ascii="Times New Roman" w:hAnsi="Times New Roman"/>
                <w:bCs/>
                <w:sz w:val="24"/>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À ne déclarer que par les établissements appliquant les référentiels</w:t>
            </w: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comptables nationaux.</w:t>
            </w:r>
          </w:p>
          <w:p w:rsidR="001A6C53" w:rsidRPr="00321A3B" w:rsidRDefault="001A6C53" w:rsidP="008D2F6E">
            <w:pPr>
              <w:spacing w:before="0" w:after="0"/>
              <w:ind w:left="33"/>
              <w:rPr>
                <w:rFonts w:ascii="Times New Roman" w:hAnsi="Times New Roman"/>
                <w:bCs/>
                <w:sz w:val="24"/>
              </w:rPr>
            </w:pPr>
          </w:p>
        </w:tc>
      </w:tr>
      <w:tr w:rsidR="001A6C53" w:rsidRPr="00392FFD"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lastRenderedPageBreak/>
              <w:t>130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Positions courtes</w:t>
            </w:r>
          </w:p>
          <w:p w:rsidR="001A6C53" w:rsidRPr="00321A3B" w:rsidRDefault="001A6C53" w:rsidP="008D2F6E">
            <w:pPr>
              <w:spacing w:before="0" w:after="0"/>
              <w:ind w:left="33"/>
              <w:rPr>
                <w:rFonts w:ascii="Times New Roman" w:hAnsi="Times New Roman"/>
                <w:bCs/>
                <w:sz w:val="24"/>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Valeur comptable des positions courtes, telles que définies dans IFRS 9 BA.7(b) lor</w:t>
            </w:r>
            <w:r>
              <w:rPr>
                <w:rFonts w:ascii="Times New Roman" w:hAnsi="Times New Roman"/>
                <w:sz w:val="24"/>
              </w:rPr>
              <w:t>s</w:t>
            </w:r>
            <w:r>
              <w:rPr>
                <w:rFonts w:ascii="Times New Roman" w:hAnsi="Times New Roman"/>
                <w:sz w:val="24"/>
              </w:rPr>
              <w:t>que la contrepartie directe est une administration publique telle que définie au par</w:t>
            </w:r>
            <w:r>
              <w:rPr>
                <w:rFonts w:ascii="Times New Roman" w:hAnsi="Times New Roman"/>
                <w:sz w:val="24"/>
              </w:rPr>
              <w:t>a</w:t>
            </w:r>
            <w:r>
              <w:rPr>
                <w:rFonts w:ascii="Times New Roman" w:hAnsi="Times New Roman"/>
                <w:sz w:val="24"/>
              </w:rPr>
              <w:t>graphe 1.</w:t>
            </w:r>
          </w:p>
          <w:p w:rsidR="001A6C53" w:rsidRPr="00321A3B"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Des positions courtes surviennent lorsque l'établissement vend des titres acquis dans le cadre d'une opération de prise en pension, ou empruntés dans le cadre d'une opération de prêt de titres, dont la contrepartie directe est une administration publique.</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La valeur comptable est la juste valeur des positions courtes.</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Les positions courtes doivent être déclarées par catégorie d'échéance résiduelle, telle que définie dans les lignes 170 à 230, et par contrepartie immédiate. Les positions courtes seront alors utilisées pour procéder à une compensation avec les positions de même échéance résiduelle et de même contrepartie immédiate pour le calcul des c</w:t>
            </w:r>
            <w:r>
              <w:rPr>
                <w:rFonts w:ascii="Times New Roman" w:hAnsi="Times New Roman"/>
                <w:sz w:val="24"/>
              </w:rPr>
              <w:t>o</w:t>
            </w:r>
            <w:r>
              <w:rPr>
                <w:rFonts w:ascii="Times New Roman" w:hAnsi="Times New Roman"/>
                <w:sz w:val="24"/>
              </w:rPr>
              <w:t>lonnes 030 à 120.</w:t>
            </w:r>
          </w:p>
        </w:tc>
      </w:tr>
      <w:tr w:rsidR="001A6C53" w:rsidRPr="00392FFD" w:rsidTr="008D2F6E">
        <w:tc>
          <w:tcPr>
            <w:tcW w:w="1188" w:type="dxa"/>
          </w:tcPr>
          <w:p w:rsidR="001A6C53" w:rsidRPr="00392FFD" w:rsidDel="00E97A51" w:rsidRDefault="001A6C53" w:rsidP="008D2F6E">
            <w:pPr>
              <w:spacing w:before="0" w:after="0"/>
              <w:ind w:left="33"/>
              <w:rPr>
                <w:rFonts w:ascii="Times New Roman" w:hAnsi="Times New Roman"/>
                <w:bCs/>
                <w:sz w:val="24"/>
              </w:rPr>
            </w:pPr>
            <w:r>
              <w:rPr>
                <w:rFonts w:ascii="Times New Roman" w:hAnsi="Times New Roman"/>
                <w:sz w:val="24"/>
              </w:rPr>
              <w:t>140</w:t>
            </w:r>
          </w:p>
        </w:tc>
        <w:tc>
          <w:tcPr>
            <w:tcW w:w="8640"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Dont: Positions courtes de prises en pension classées comme détenues à des fins de négociation ou comme actifs financiers de négociation</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Valeur comptable des positions courtes, telles que définies dans IFRS 9 BA.7(b), qui surviennent lorsque l'établissement vend des titres acquis dans le cadre d'opérations de prise en pension, dont la contrepartie directe est une administration publique, qui sont inclus dans les portefeuilles comptables «détenus à des fins de négociations» ou d'«actifs financiers de négociation» (colonnes 030 ou 040).</w:t>
            </w:r>
          </w:p>
          <w:p w:rsidR="001A6C53" w:rsidRPr="00392FFD" w:rsidRDefault="001A6C53" w:rsidP="008D2F6E">
            <w:pPr>
              <w:spacing w:before="0" w:after="0"/>
              <w:ind w:left="33"/>
              <w:rPr>
                <w:rFonts w:ascii="Times New Roman" w:hAnsi="Times New Roman"/>
                <w:b/>
                <w:bCs/>
                <w:sz w:val="24"/>
                <w:u w:val="single"/>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 xml:space="preserve">Ne seront pas incluses dans cette colonne les positions courtes qui surviennent lorsque les titres vendus avaient été empruntés dans le cadre d'une opération de prêt de titres. </w:t>
            </w:r>
          </w:p>
          <w:p w:rsidR="001A6C53" w:rsidRPr="00392FFD" w:rsidDel="00E97A51" w:rsidRDefault="001A6C53" w:rsidP="008D2F6E">
            <w:pPr>
              <w:spacing w:before="0" w:after="0"/>
              <w:ind w:left="33"/>
              <w:rPr>
                <w:rFonts w:ascii="Times New Roman" w:hAnsi="Times New Roman"/>
                <w:b/>
                <w:bCs/>
                <w:sz w:val="24"/>
                <w:u w:val="single"/>
              </w:rPr>
            </w:pPr>
          </w:p>
        </w:tc>
      </w:tr>
      <w:tr w:rsidR="001A6C53" w:rsidRPr="00321A3B" w:rsidDel="004A25FD" w:rsidTr="008D2F6E">
        <w:tc>
          <w:tcPr>
            <w:tcW w:w="1188" w:type="dxa"/>
          </w:tcPr>
          <w:p w:rsidR="001A6C53" w:rsidRPr="00321A3B" w:rsidDel="004A25FD" w:rsidRDefault="001A6C53" w:rsidP="008D2F6E">
            <w:pPr>
              <w:spacing w:before="0" w:after="0"/>
              <w:ind w:left="33"/>
              <w:rPr>
                <w:rFonts w:ascii="Times New Roman" w:hAnsi="Times New Roman"/>
                <w:bCs/>
                <w:sz w:val="24"/>
              </w:rPr>
            </w:pPr>
            <w:r>
              <w:rPr>
                <w:rFonts w:ascii="Times New Roman" w:hAnsi="Times New Roman"/>
                <w:sz w:val="24"/>
              </w:rPr>
              <w:t>150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Dépréciation cumulée</w:t>
            </w:r>
          </w:p>
          <w:p w:rsidR="001A6C53" w:rsidRPr="00321A3B" w:rsidRDefault="001A6C53" w:rsidP="008D2F6E">
            <w:pPr>
              <w:spacing w:before="0" w:after="0"/>
              <w:ind w:left="33"/>
              <w:rPr>
                <w:rFonts w:ascii="Times New Roman" w:hAnsi="Times New Roman"/>
                <w:b/>
                <w:bCs/>
                <w:sz w:val="24"/>
                <w:u w:val="single"/>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Total de la dépréciation cumulée liée aux actifs financiers non dérivés déclarés dans les colonnes 080 à 120. [Annexe V, partie 2, paragraphes 70 et 71]</w:t>
            </w:r>
          </w:p>
          <w:p w:rsidR="001A6C53" w:rsidRPr="00321A3B" w:rsidDel="004A25FD" w:rsidRDefault="001A6C53" w:rsidP="008D2F6E">
            <w:pPr>
              <w:spacing w:before="0" w:after="0"/>
              <w:ind w:left="33"/>
              <w:rPr>
                <w:rFonts w:ascii="Times New Roman" w:hAnsi="Times New Roman"/>
                <w:bCs/>
                <w:sz w:val="24"/>
              </w:rPr>
            </w:pPr>
          </w:p>
        </w:tc>
      </w:tr>
      <w:tr w:rsidR="001A6C53" w:rsidRPr="00392FFD"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t>160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Dépréciation cumulée - dont: d'actifs financiers évalués à la juste valeur par le biais des autres éléments du résultat global ou d'actifs financiers non dérivés d</w:t>
            </w:r>
            <w:r>
              <w:rPr>
                <w:rFonts w:ascii="Times New Roman" w:hAnsi="Times New Roman"/>
                <w:b/>
                <w:sz w:val="24"/>
                <w:u w:val="single"/>
              </w:rPr>
              <w:t>é</w:t>
            </w:r>
            <w:r>
              <w:rPr>
                <w:rFonts w:ascii="Times New Roman" w:hAnsi="Times New Roman"/>
                <w:b/>
                <w:sz w:val="24"/>
                <w:u w:val="single"/>
              </w:rPr>
              <w:t>tenus à des fins autres que de négociation évalués à la juste valeur en capitaux propres</w:t>
            </w:r>
          </w:p>
          <w:p w:rsidR="001A6C53" w:rsidRPr="00321A3B" w:rsidRDefault="001A6C53" w:rsidP="008D2F6E">
            <w:pPr>
              <w:spacing w:before="0" w:after="0"/>
              <w:ind w:left="33"/>
              <w:rPr>
                <w:rFonts w:ascii="Times New Roman" w:hAnsi="Times New Roman"/>
                <w:b/>
                <w:bCs/>
                <w:sz w:val="24"/>
                <w:u w:val="single"/>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 xml:space="preserve">Total de la dépréciation cumulée liée aux actifs financiers non dérivés déclarés dans les colonnes 080 et 090. </w:t>
            </w:r>
          </w:p>
          <w:p w:rsidR="001A6C53" w:rsidRPr="00392FFD" w:rsidRDefault="001A6C53" w:rsidP="008D2F6E">
            <w:pPr>
              <w:spacing w:before="0" w:after="0"/>
              <w:ind w:left="33"/>
              <w:rPr>
                <w:rFonts w:ascii="Times New Roman" w:hAnsi="Times New Roman"/>
                <w:b/>
                <w:bCs/>
                <w:sz w:val="24"/>
                <w:u w:val="single"/>
              </w:rPr>
            </w:pPr>
          </w:p>
        </w:tc>
      </w:tr>
      <w:tr w:rsidR="001A6C53" w:rsidRPr="00392FFD" w:rsidDel="004A25FD" w:rsidTr="008D2F6E">
        <w:tc>
          <w:tcPr>
            <w:tcW w:w="1188" w:type="dxa"/>
          </w:tcPr>
          <w:p w:rsidR="001A6C53" w:rsidRPr="00392FFD" w:rsidDel="004A25FD" w:rsidRDefault="001A6C53" w:rsidP="008D2F6E">
            <w:pPr>
              <w:spacing w:before="0" w:after="0"/>
              <w:ind w:left="33"/>
              <w:rPr>
                <w:rFonts w:ascii="Times New Roman" w:hAnsi="Times New Roman"/>
                <w:bCs/>
                <w:sz w:val="24"/>
              </w:rPr>
            </w:pPr>
            <w:r>
              <w:rPr>
                <w:rFonts w:ascii="Times New Roman" w:hAnsi="Times New Roman"/>
                <w:sz w:val="24"/>
              </w:rPr>
              <w:t>170</w:t>
            </w:r>
          </w:p>
        </w:tc>
        <w:tc>
          <w:tcPr>
            <w:tcW w:w="8640"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 xml:space="preserve">Variations négatives cumulées de la juste valeur dues au risque de crédit </w:t>
            </w:r>
          </w:p>
          <w:p w:rsidR="001A6C53" w:rsidRPr="00392FFD" w:rsidRDefault="001A6C53" w:rsidP="008D2F6E">
            <w:pPr>
              <w:spacing w:before="0" w:after="0"/>
              <w:ind w:left="33"/>
              <w:rPr>
                <w:rFonts w:ascii="Times New Roman" w:hAnsi="Times New Roman"/>
                <w:b/>
                <w:bCs/>
                <w:sz w:val="24"/>
                <w:u w:val="single"/>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Total des variations négatives cumulées de la juste valeur dues au risque de crédit liées aux positions indiquées dans les colonnes 050, 060, 070, 080 et 090. [Annexe V, partie 2, paragraphe 69]</w:t>
            </w:r>
          </w:p>
          <w:p w:rsidR="001A6C53" w:rsidRPr="00392FFD" w:rsidDel="004A25FD" w:rsidRDefault="001A6C53" w:rsidP="008D2F6E">
            <w:pPr>
              <w:spacing w:before="0" w:after="0"/>
              <w:ind w:left="33"/>
              <w:rPr>
                <w:rFonts w:ascii="Times New Roman" w:hAnsi="Times New Roman"/>
                <w:bCs/>
                <w:sz w:val="24"/>
              </w:rPr>
            </w:pPr>
          </w:p>
        </w:tc>
      </w:tr>
      <w:tr w:rsidR="001A6C53" w:rsidRPr="00392FFD"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lastRenderedPageBreak/>
              <w:t>180</w:t>
            </w:r>
          </w:p>
        </w:tc>
        <w:tc>
          <w:tcPr>
            <w:tcW w:w="8640"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Variations négatives cumulées de la juste valeur dues au risque de crédit - dont: d'actifs financiers détenus à des fins autres que de négociation obligatoirement évalués à la juste valeur par le biais du compte de résultat, d'actifs financiers d</w:t>
            </w:r>
            <w:r>
              <w:rPr>
                <w:rFonts w:ascii="Times New Roman" w:hAnsi="Times New Roman"/>
                <w:b/>
                <w:sz w:val="24"/>
                <w:u w:val="single"/>
              </w:rPr>
              <w:t>é</w:t>
            </w:r>
            <w:r>
              <w:rPr>
                <w:rFonts w:ascii="Times New Roman" w:hAnsi="Times New Roman"/>
                <w:b/>
                <w:sz w:val="24"/>
                <w:u w:val="single"/>
              </w:rPr>
              <w:t>signés comme évalués à la juste valeur par le biais du compte de résultat ou d'a</w:t>
            </w:r>
            <w:r>
              <w:rPr>
                <w:rFonts w:ascii="Times New Roman" w:hAnsi="Times New Roman"/>
                <w:b/>
                <w:sz w:val="24"/>
                <w:u w:val="single"/>
              </w:rPr>
              <w:t>c</w:t>
            </w:r>
            <w:r>
              <w:rPr>
                <w:rFonts w:ascii="Times New Roman" w:hAnsi="Times New Roman"/>
                <w:b/>
                <w:sz w:val="24"/>
                <w:u w:val="single"/>
              </w:rPr>
              <w:t>tifs financiers détenus à des fins autres que de négociation évalués à la juste v</w:t>
            </w:r>
            <w:r>
              <w:rPr>
                <w:rFonts w:ascii="Times New Roman" w:hAnsi="Times New Roman"/>
                <w:b/>
                <w:sz w:val="24"/>
                <w:u w:val="single"/>
              </w:rPr>
              <w:t>a</w:t>
            </w:r>
            <w:r>
              <w:rPr>
                <w:rFonts w:ascii="Times New Roman" w:hAnsi="Times New Roman"/>
                <w:b/>
                <w:sz w:val="24"/>
                <w:u w:val="single"/>
              </w:rPr>
              <w:t>leur par le biais du compte de résultat</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Total des variations négatives cumulées de la juste valeur dues au risque de crédit liées aux positions indiquées dans les colonnes 050, 060 et 070.</w:t>
            </w:r>
          </w:p>
          <w:p w:rsidR="001A6C53" w:rsidRPr="00392FFD" w:rsidRDefault="001A6C53" w:rsidP="008D2F6E">
            <w:pPr>
              <w:spacing w:before="0" w:after="0"/>
              <w:ind w:left="33"/>
              <w:rPr>
                <w:rFonts w:ascii="Times New Roman" w:hAnsi="Times New Roman"/>
                <w:bCs/>
                <w:sz w:val="24"/>
              </w:rPr>
            </w:pPr>
            <w:r>
              <w:rPr>
                <w:rFonts w:ascii="Times New Roman" w:hAnsi="Times New Roman"/>
                <w:b/>
                <w:sz w:val="24"/>
                <w:u w:val="single"/>
              </w:rPr>
              <w:t xml:space="preserve"> </w:t>
            </w: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190</w:t>
            </w:r>
          </w:p>
        </w:tc>
        <w:tc>
          <w:tcPr>
            <w:tcW w:w="8640"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Variations négatives cumulées de la juste valeur dues au risque de crédit - dont: d'actifs financiers évalués à la juste valeur par le biais des autres éléments du r</w:t>
            </w:r>
            <w:r>
              <w:rPr>
                <w:rFonts w:ascii="Times New Roman" w:hAnsi="Times New Roman"/>
                <w:b/>
                <w:sz w:val="24"/>
                <w:u w:val="single"/>
              </w:rPr>
              <w:t>é</w:t>
            </w:r>
            <w:r>
              <w:rPr>
                <w:rFonts w:ascii="Times New Roman" w:hAnsi="Times New Roman"/>
                <w:b/>
                <w:sz w:val="24"/>
                <w:u w:val="single"/>
              </w:rPr>
              <w:t>sultat global ou d'actifs financiers non dérivés détenus à des fins autres que de négociation évalués à la juste valeur en capitaux propres</w:t>
            </w:r>
          </w:p>
          <w:p w:rsidR="001A6C53" w:rsidRPr="00392FFD" w:rsidRDefault="001A6C53" w:rsidP="008D2F6E">
            <w:pPr>
              <w:spacing w:before="0" w:after="0"/>
              <w:ind w:left="33"/>
              <w:rPr>
                <w:rFonts w:ascii="Times New Roman" w:hAnsi="Times New Roman"/>
                <w:bCs/>
                <w:sz w:val="24"/>
              </w:rPr>
            </w:pPr>
          </w:p>
          <w:p w:rsidR="001A6C53" w:rsidRDefault="001A6C53" w:rsidP="008D2F6E">
            <w:pPr>
              <w:spacing w:before="0" w:after="0"/>
              <w:ind w:left="33"/>
              <w:rPr>
                <w:rFonts w:ascii="Times New Roman" w:hAnsi="Times New Roman"/>
                <w:bCs/>
                <w:sz w:val="24"/>
              </w:rPr>
            </w:pPr>
            <w:r>
              <w:rPr>
                <w:rFonts w:ascii="Times New Roman" w:hAnsi="Times New Roman"/>
                <w:sz w:val="24"/>
              </w:rPr>
              <w:t>Total des variations négatives cumulées de la juste valeur dues au risque de crédit liées aux positions indiquées dans les colonnes 080 et 090.</w:t>
            </w:r>
          </w:p>
          <w:p w:rsidR="001A6C53" w:rsidRPr="00392FFD" w:rsidRDefault="001A6C53" w:rsidP="008D2F6E">
            <w:pPr>
              <w:spacing w:before="0" w:after="0"/>
              <w:ind w:left="33"/>
              <w:rPr>
                <w:rFonts w:ascii="Times New Roman" w:hAnsi="Times New Roman"/>
                <w:bCs/>
                <w:sz w:val="24"/>
              </w:rPr>
            </w:pPr>
          </w:p>
        </w:tc>
      </w:tr>
      <w:tr w:rsidR="001A6C53" w:rsidRPr="00321A3B"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t>200-230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DÉRIVÉS</w:t>
            </w:r>
          </w:p>
          <w:p w:rsidR="001A6C53" w:rsidRPr="00321A3B" w:rsidRDefault="001A6C53" w:rsidP="008D2F6E">
            <w:pPr>
              <w:spacing w:before="0" w:after="0"/>
              <w:ind w:left="33"/>
              <w:rPr>
                <w:rFonts w:ascii="Times New Roman" w:hAnsi="Times New Roman"/>
                <w:b/>
                <w:bCs/>
                <w:sz w:val="24"/>
                <w:u w:val="single"/>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Les positions dérivées directes doivent être déclarées dans les colonnes 200 et 230.</w:t>
            </w:r>
          </w:p>
          <w:p w:rsidR="001A6C53" w:rsidRPr="00321A3B" w:rsidRDefault="001A6C53" w:rsidP="008D2F6E">
            <w:pPr>
              <w:spacing w:before="0" w:after="0"/>
              <w:ind w:left="33"/>
              <w:rPr>
                <w:rFonts w:ascii="Times New Roman" w:hAnsi="Times New Roman"/>
                <w:b/>
                <w:bCs/>
                <w:sz w:val="24"/>
                <w:u w:val="single"/>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Pour la déclaration des dérivés soumis à la fois à des exigences de fonds propres pour risque de crédit de contrepartie et pour risque de marché, voir les instructions pour la répartition par ligne.</w:t>
            </w:r>
          </w:p>
          <w:p w:rsidR="001A6C53" w:rsidRPr="00321A3B" w:rsidRDefault="001A6C53" w:rsidP="008D2F6E">
            <w:pPr>
              <w:spacing w:before="0" w:after="0"/>
              <w:ind w:left="33"/>
              <w:rPr>
                <w:rFonts w:ascii="Times New Roman" w:hAnsi="Times New Roman"/>
                <w:b/>
                <w:bCs/>
                <w:sz w:val="24"/>
                <w:u w:val="single"/>
              </w:rPr>
            </w:pPr>
          </w:p>
        </w:tc>
      </w:tr>
      <w:tr w:rsidR="001A6C53" w:rsidRPr="00392FFD"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t>200-210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Dérivés ayant une juste valeur positive</w:t>
            </w:r>
          </w:p>
          <w:p w:rsidR="001A6C53" w:rsidRPr="00321A3B"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 xml:space="preserve">Tous les instruments dérivés qui ont comme contrepartie une administration publique et qui ont une juste valeur positive pour l'établissement à la date de déclaration, qu'ils soient utilisés dans une relation de couverture satisfaisant aux critères, détenus à des fins de négociation ou inclus dans le portefeuille de négociation selon les normes IFRS et les référentiels comptables nationaux fondés sur la BAD. </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Les dérivés utilisés dans les couvertures économiques seront déclarés ici lorsqu'ils sont inclus dans les portefeuilles comptables «de négociation» ou «détenus à des fins de négociation» (annexe V, partie 2, paragraphes 120, 124, 125 et 137 à 140).</w:t>
            </w:r>
          </w:p>
          <w:p w:rsidR="001A6C53" w:rsidRPr="00392FFD" w:rsidRDefault="001A6C53" w:rsidP="008D2F6E">
            <w:pPr>
              <w:spacing w:before="0" w:after="0"/>
              <w:ind w:left="33"/>
              <w:rPr>
                <w:rFonts w:ascii="Times New Roman" w:hAnsi="Times New Roman"/>
                <w:b/>
                <w:bCs/>
                <w:sz w:val="24"/>
                <w:u w:val="single"/>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200</w:t>
            </w:r>
          </w:p>
        </w:tc>
        <w:tc>
          <w:tcPr>
            <w:tcW w:w="8640"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 xml:space="preserve">Dérivés ayant une juste valeur positive: Valeur comptable </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 xml:space="preserve">Valeur comptable des dérivés comptabilisés comme des actifs financiers à la date de référence de la déclaration. </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Selon les référentiels comptables fondés sur la BAD, les dérivés à déclarer dans ces c</w:t>
            </w:r>
            <w:r>
              <w:rPr>
                <w:rFonts w:ascii="Times New Roman" w:hAnsi="Times New Roman"/>
                <w:sz w:val="24"/>
              </w:rPr>
              <w:t>o</w:t>
            </w:r>
            <w:r>
              <w:rPr>
                <w:rFonts w:ascii="Times New Roman" w:hAnsi="Times New Roman"/>
                <w:sz w:val="24"/>
              </w:rPr>
              <w:t xml:space="preserve">lonnes comprennent les instruments dérivés évalués au coût, ou à la valeur la plus </w:t>
            </w:r>
            <w:r>
              <w:rPr>
                <w:rFonts w:ascii="Times New Roman" w:hAnsi="Times New Roman"/>
                <w:sz w:val="24"/>
              </w:rPr>
              <w:lastRenderedPageBreak/>
              <w:t xml:space="preserve">basse entre la valeur au coût et la valeur de marché, qui sont inclus dans le portefeuille de négociation ou désignés en tant qu'instruments de couverture. </w:t>
            </w:r>
          </w:p>
          <w:p w:rsidR="001A6C53" w:rsidRPr="00392FFD" w:rsidRDefault="001A6C53" w:rsidP="008D2F6E">
            <w:pPr>
              <w:spacing w:before="0" w:after="0"/>
              <w:ind w:left="33"/>
              <w:rPr>
                <w:rFonts w:ascii="Times New Roman" w:hAnsi="Times New Roman"/>
                <w:b/>
                <w:bCs/>
                <w:sz w:val="24"/>
                <w:u w:val="single"/>
              </w:rPr>
            </w:pPr>
          </w:p>
        </w:tc>
      </w:tr>
      <w:tr w:rsidR="001A6C53" w:rsidRPr="00321A3B"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lastRenderedPageBreak/>
              <w:t>210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Dérivés ayant une juste valeur positive: Montant notionnel</w:t>
            </w:r>
          </w:p>
          <w:p w:rsidR="001A6C53" w:rsidRPr="00321A3B" w:rsidRDefault="001A6C53" w:rsidP="008D2F6E">
            <w:pPr>
              <w:spacing w:before="0" w:after="0"/>
              <w:ind w:left="33"/>
              <w:rPr>
                <w:rFonts w:ascii="Times New Roman" w:hAnsi="Times New Roman"/>
                <w:bCs/>
                <w:sz w:val="24"/>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Selon les IFRS et les référentiels comptables nationaux fondés sur la BAD, le montant notionnel, tel que défini à l'annexe V, partie 2, paragraphes 133 à 135, de tous les co</w:t>
            </w:r>
            <w:r>
              <w:rPr>
                <w:rFonts w:ascii="Times New Roman" w:hAnsi="Times New Roman"/>
                <w:sz w:val="24"/>
              </w:rPr>
              <w:t>n</w:t>
            </w:r>
            <w:r>
              <w:rPr>
                <w:rFonts w:ascii="Times New Roman" w:hAnsi="Times New Roman"/>
                <w:sz w:val="24"/>
              </w:rPr>
              <w:t>trats dérivés conclus et non encore réglés à la date de référence de la déclaration dont la contrepartie est une administration publique, telle que définie au paragraphe 1, lor</w:t>
            </w:r>
            <w:r>
              <w:rPr>
                <w:rFonts w:ascii="Times New Roman" w:hAnsi="Times New Roman"/>
                <w:sz w:val="24"/>
              </w:rPr>
              <w:t>s</w:t>
            </w:r>
            <w:r>
              <w:rPr>
                <w:rFonts w:ascii="Times New Roman" w:hAnsi="Times New Roman"/>
                <w:sz w:val="24"/>
              </w:rPr>
              <w:t>que sa juste valeur est positive pour l'établissement à la date de référence de la déclar</w:t>
            </w:r>
            <w:r>
              <w:rPr>
                <w:rFonts w:ascii="Times New Roman" w:hAnsi="Times New Roman"/>
                <w:sz w:val="24"/>
              </w:rPr>
              <w:t>a</w:t>
            </w:r>
            <w:r>
              <w:rPr>
                <w:rFonts w:ascii="Times New Roman" w:hAnsi="Times New Roman"/>
                <w:sz w:val="24"/>
              </w:rPr>
              <w:t>tion.</w:t>
            </w:r>
          </w:p>
          <w:p w:rsidR="001A6C53" w:rsidRPr="00321A3B" w:rsidRDefault="001A6C53" w:rsidP="008D2F6E">
            <w:pPr>
              <w:spacing w:before="0" w:after="0"/>
              <w:ind w:left="33"/>
              <w:rPr>
                <w:rFonts w:ascii="Times New Roman" w:hAnsi="Times New Roman"/>
                <w:b/>
                <w:bCs/>
                <w:sz w:val="24"/>
                <w:u w:val="single"/>
              </w:rPr>
            </w:pPr>
          </w:p>
        </w:tc>
      </w:tr>
      <w:tr w:rsidR="001A6C53" w:rsidRPr="00392FFD"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t>220-230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Dérivés ayant une juste valeur négative</w:t>
            </w:r>
          </w:p>
          <w:p w:rsidR="001A6C53" w:rsidRPr="00321A3B" w:rsidDel="00501397"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Tous les instruments dérivés qui ont une administration publique comme contrepartie et qui ont une juste valeur négative pour l'établissement à la date de référence de la d</w:t>
            </w:r>
            <w:r>
              <w:rPr>
                <w:rFonts w:ascii="Times New Roman" w:hAnsi="Times New Roman"/>
                <w:sz w:val="24"/>
              </w:rPr>
              <w:t>é</w:t>
            </w:r>
            <w:r>
              <w:rPr>
                <w:rFonts w:ascii="Times New Roman" w:hAnsi="Times New Roman"/>
                <w:sz w:val="24"/>
              </w:rPr>
              <w:t xml:space="preserve">claration, qu'ils soient utilisés dans une relation de couverture satisfaisant aux critères ou détenus à des fins de négociation ou inclus dans le portefeuille de négociation selon les normes IFRS et les référentiels comptables nationaux fondés sur la BAD. </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Les dérivés utilisés dans les couvertures économiques seront déclarés ici lorsqu'ils sont inclus dans les portefeuilles comptables «de négociation» ou «détenus à des fins de négociation» (annexe V, partie 2, paragraphes 120, 124, 125 et 137 à 140).</w:t>
            </w:r>
          </w:p>
          <w:p w:rsidR="001A6C53" w:rsidRPr="00392FFD" w:rsidRDefault="001A6C53" w:rsidP="008D2F6E">
            <w:pPr>
              <w:spacing w:before="0" w:after="0"/>
              <w:ind w:left="33"/>
              <w:rPr>
                <w:rFonts w:ascii="Times New Roman" w:hAnsi="Times New Roman"/>
                <w:b/>
                <w:bCs/>
                <w:sz w:val="24"/>
                <w:u w:val="single"/>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220</w:t>
            </w:r>
          </w:p>
        </w:tc>
        <w:tc>
          <w:tcPr>
            <w:tcW w:w="8640"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 xml:space="preserve">Dérivés ayant une juste valeur négative: Valeur comptable </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 xml:space="preserve">Valeur comptable des dérivés comptabilisés comme des passifs financiers à la date de référence de la déclaration. </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Selon les référentiels comptables fondés sur la BAD, les dérivés à déclarer dans ces c</w:t>
            </w:r>
            <w:r>
              <w:rPr>
                <w:rFonts w:ascii="Times New Roman" w:hAnsi="Times New Roman"/>
                <w:sz w:val="24"/>
              </w:rPr>
              <w:t>o</w:t>
            </w:r>
            <w:r>
              <w:rPr>
                <w:rFonts w:ascii="Times New Roman" w:hAnsi="Times New Roman"/>
                <w:sz w:val="24"/>
              </w:rPr>
              <w:t xml:space="preserve">lonnes comprennent les instruments dérivés évalués au coût, ou à la valeur la plus basse entre la valeur au coût et la valeur de marché, qui sont inclus dans le portefeuille de négociation ou désignés en tant qu'instruments de couverture. </w:t>
            </w:r>
          </w:p>
          <w:p w:rsidR="001A6C53" w:rsidRPr="00392FFD" w:rsidRDefault="001A6C53" w:rsidP="008D2F6E">
            <w:pPr>
              <w:spacing w:before="0" w:after="0"/>
              <w:ind w:left="33"/>
              <w:rPr>
                <w:rFonts w:ascii="Times New Roman" w:hAnsi="Times New Roman"/>
                <w:b/>
                <w:bCs/>
                <w:sz w:val="24"/>
                <w:u w:val="single"/>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230</w:t>
            </w:r>
          </w:p>
        </w:tc>
        <w:tc>
          <w:tcPr>
            <w:tcW w:w="8640" w:type="dxa"/>
          </w:tcPr>
          <w:p w:rsidR="001A6C53" w:rsidRPr="00392FFD" w:rsidRDefault="001A6C53" w:rsidP="008D2F6E">
            <w:pPr>
              <w:spacing w:before="0" w:after="0"/>
              <w:rPr>
                <w:rFonts w:ascii="Times New Roman" w:hAnsi="Times New Roman"/>
                <w:b/>
                <w:bCs/>
                <w:sz w:val="24"/>
                <w:u w:val="single"/>
              </w:rPr>
            </w:pPr>
            <w:r>
              <w:rPr>
                <w:rFonts w:ascii="Times New Roman" w:hAnsi="Times New Roman"/>
                <w:b/>
                <w:sz w:val="24"/>
                <w:u w:val="single"/>
              </w:rPr>
              <w:t>Dérivés ayant une juste valeur négative: Montant notionnel</w:t>
            </w:r>
          </w:p>
          <w:p w:rsidR="001A6C53" w:rsidRPr="00392FFD" w:rsidRDefault="001A6C53" w:rsidP="008D2F6E">
            <w:pPr>
              <w:spacing w:before="0" w:after="0"/>
              <w:ind w:left="33"/>
              <w:rPr>
                <w:rFonts w:ascii="Times New Roman" w:hAnsi="Times New Roman"/>
                <w:b/>
                <w:bCs/>
                <w:sz w:val="24"/>
                <w:u w:val="single"/>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Selon les IFRS et les référentiels comptables nationaux fondés sur la BAD, le montant notionnel, tel que défini à l'annexe V, partie 2, paragraphes 133 à 135, de tous les co</w:t>
            </w:r>
            <w:r>
              <w:rPr>
                <w:rFonts w:ascii="Times New Roman" w:hAnsi="Times New Roman"/>
                <w:sz w:val="24"/>
              </w:rPr>
              <w:t>n</w:t>
            </w:r>
            <w:r>
              <w:rPr>
                <w:rFonts w:ascii="Times New Roman" w:hAnsi="Times New Roman"/>
                <w:sz w:val="24"/>
              </w:rPr>
              <w:t>trats dérivés conclus et non encore réglés à la date de référence dont la contrepartie est une administration publique, telle que définie au paragraphe 1, lorsque sa juste valeur est négative pour l'établissement.</w:t>
            </w:r>
          </w:p>
          <w:p w:rsidR="001A6C53" w:rsidRPr="00392FFD" w:rsidRDefault="001A6C53" w:rsidP="008D2F6E">
            <w:pPr>
              <w:spacing w:before="0" w:after="0"/>
              <w:ind w:left="33"/>
              <w:rPr>
                <w:rFonts w:ascii="Times New Roman" w:hAnsi="Times New Roman"/>
                <w:b/>
                <w:bCs/>
                <w:sz w:val="24"/>
                <w:u w:val="single"/>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240-260</w:t>
            </w:r>
          </w:p>
        </w:tc>
        <w:tc>
          <w:tcPr>
            <w:tcW w:w="8640"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EXPOSITIONS DE HORS BILAN</w:t>
            </w: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240</w:t>
            </w:r>
          </w:p>
        </w:tc>
        <w:tc>
          <w:tcPr>
            <w:tcW w:w="8640"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Montant nominal</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Lorsque la contrepartie directe de l'élément de hors bilan est une administration p</w:t>
            </w:r>
            <w:r>
              <w:rPr>
                <w:rFonts w:ascii="Times New Roman" w:hAnsi="Times New Roman"/>
                <w:sz w:val="24"/>
              </w:rPr>
              <w:t>u</w:t>
            </w:r>
            <w:r>
              <w:rPr>
                <w:rFonts w:ascii="Times New Roman" w:hAnsi="Times New Roman"/>
                <w:sz w:val="24"/>
              </w:rPr>
              <w:t>blique telle que définie plus haut au paragraphe 1, le montant nominal des engag</w:t>
            </w:r>
            <w:r>
              <w:rPr>
                <w:rFonts w:ascii="Times New Roman" w:hAnsi="Times New Roman"/>
                <w:sz w:val="24"/>
              </w:rPr>
              <w:t>e</w:t>
            </w:r>
            <w:r>
              <w:rPr>
                <w:rFonts w:ascii="Times New Roman" w:hAnsi="Times New Roman"/>
                <w:sz w:val="24"/>
              </w:rPr>
              <w:t>ments et garanties financières qui ne sont pas considérés comme des dérivés confo</w:t>
            </w:r>
            <w:r>
              <w:rPr>
                <w:rFonts w:ascii="Times New Roman" w:hAnsi="Times New Roman"/>
                <w:sz w:val="24"/>
              </w:rPr>
              <w:t>r</w:t>
            </w:r>
            <w:r>
              <w:rPr>
                <w:rFonts w:ascii="Times New Roman" w:hAnsi="Times New Roman"/>
                <w:sz w:val="24"/>
              </w:rPr>
              <w:t>mément aux normes IFRS ou selon les référentiels comptables nationaux fondés sur la BAD (Annexe V, partie 2, paragraphes 102-119).</w:t>
            </w:r>
          </w:p>
          <w:p w:rsidR="001A6C53" w:rsidRPr="00392FFD" w:rsidRDefault="001A6C53" w:rsidP="008D2F6E">
            <w:pPr>
              <w:spacing w:before="0" w:after="0"/>
              <w:ind w:left="33"/>
              <w:rPr>
                <w:rFonts w:ascii="Times New Roman" w:hAnsi="Times New Roman"/>
                <w:bCs/>
                <w:sz w:val="24"/>
              </w:rPr>
            </w:pPr>
          </w:p>
          <w:p w:rsidR="001A6C53" w:rsidRPr="00392FFD" w:rsidDel="00501397" w:rsidRDefault="001A6C53" w:rsidP="008D2F6E">
            <w:pPr>
              <w:spacing w:before="0" w:after="0"/>
              <w:ind w:left="33"/>
              <w:rPr>
                <w:rFonts w:ascii="Times New Roman" w:hAnsi="Times New Roman"/>
                <w:b/>
                <w:bCs/>
                <w:sz w:val="24"/>
                <w:u w:val="single"/>
              </w:rPr>
            </w:pPr>
            <w:r>
              <w:rPr>
                <w:rFonts w:ascii="Times New Roman" w:hAnsi="Times New Roman"/>
                <w:sz w:val="24"/>
              </w:rPr>
              <w:t xml:space="preserve">Conformément à l'annexe V, partie 1, paragraphes 43 et 44, l'administration publique est la contrepartie directe: a) dans une garantie financière donnée, lorsqu'elle est la contrepartie directe de l'instrument de créance garanti, et b) dans un engagement de prêt et autre engagement donné, lorsqu'elle est la contrepartie dont le risque de crédit est supporté par l'établissement déclarant. </w:t>
            </w:r>
          </w:p>
          <w:p w:rsidR="001A6C53" w:rsidRPr="00392FFD" w:rsidRDefault="001A6C53" w:rsidP="008D2F6E">
            <w:pPr>
              <w:spacing w:before="0" w:after="0"/>
              <w:ind w:left="33"/>
              <w:rPr>
                <w:rFonts w:ascii="Times New Roman" w:hAnsi="Times New Roman"/>
                <w:bCs/>
                <w:sz w:val="24"/>
              </w:rPr>
            </w:pPr>
          </w:p>
        </w:tc>
      </w:tr>
      <w:tr w:rsidR="001A6C53" w:rsidRPr="00321A3B"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lastRenderedPageBreak/>
              <w:t>250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Provisions</w:t>
            </w:r>
          </w:p>
          <w:p w:rsidR="001A6C53" w:rsidRPr="00321A3B" w:rsidRDefault="001A6C53" w:rsidP="008D2F6E">
            <w:pPr>
              <w:spacing w:before="0" w:after="0"/>
              <w:ind w:left="33"/>
              <w:rPr>
                <w:rFonts w:ascii="Times New Roman" w:hAnsi="Times New Roman"/>
                <w:bCs/>
                <w:sz w:val="24"/>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Directive 86/635/CEE article 4 Passif poste 6 c), Postes hors bilan, article 27 poste 11, article 28, poste 8, article 33; IFRS 9.4.2.1(c)(ii),(d)(ii), 9.5.5.20; IAS 37, IFRS 4, A</w:t>
            </w:r>
            <w:r>
              <w:rPr>
                <w:rFonts w:ascii="Times New Roman" w:hAnsi="Times New Roman"/>
                <w:sz w:val="24"/>
              </w:rPr>
              <w:t>n</w:t>
            </w:r>
            <w:r>
              <w:rPr>
                <w:rFonts w:ascii="Times New Roman" w:hAnsi="Times New Roman"/>
                <w:sz w:val="24"/>
              </w:rPr>
              <w:t>nexe V partie 2.11.</w:t>
            </w:r>
          </w:p>
          <w:p w:rsidR="001A6C53" w:rsidRPr="00321A3B" w:rsidRDefault="001A6C53" w:rsidP="008D2F6E">
            <w:pPr>
              <w:spacing w:before="0" w:after="0"/>
              <w:ind w:left="33"/>
              <w:rPr>
                <w:rFonts w:ascii="Times New Roman" w:hAnsi="Times New Roman"/>
                <w:bCs/>
                <w:sz w:val="24"/>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Provisions sur toutes les expositions de hors bilan, quelle que soit la manière dont elles sont mesurées, à l'exception de celles mesurées à la juste valeur par le biais du compte de résultat conformément à la norme IFRS 9.</w:t>
            </w: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 xml:space="preserve"> </w:t>
            </w: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Selon les normes IFRS, la dépréciation d'un engagement de prêt donné sera déclarée dans la colonne 150 lorsque l'établissement ne peut pas identifier séparément les pertes de crédit anticipées liées au montant tiré et au montant non tiré de l'instrument de dette. Si les pertes de crédit anticipées combinées pour cet instrument financier dépassent la valeur comptable brute de la composante de prêt de l'instrument, le solde restant des pertes de crédit anticipées sera déclaré en tant que provision dans la colonne 250.</w:t>
            </w:r>
          </w:p>
          <w:p w:rsidR="001A6C53" w:rsidRPr="00321A3B" w:rsidRDefault="001A6C53" w:rsidP="008D2F6E">
            <w:pPr>
              <w:spacing w:before="0" w:after="0"/>
              <w:ind w:left="33"/>
              <w:rPr>
                <w:rFonts w:ascii="Times New Roman" w:hAnsi="Times New Roman"/>
                <w:bCs/>
                <w:sz w:val="24"/>
              </w:rPr>
            </w:pPr>
          </w:p>
        </w:tc>
      </w:tr>
      <w:tr w:rsidR="001A6C53" w:rsidRPr="00392FFD"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t>260</w:t>
            </w:r>
          </w:p>
        </w:tc>
        <w:tc>
          <w:tcPr>
            <w:tcW w:w="8640"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 xml:space="preserve">Variations négatives cumulées de la juste valeur dues au risque de crédit </w:t>
            </w:r>
          </w:p>
          <w:p w:rsidR="001A6C53" w:rsidRPr="00321A3B" w:rsidRDefault="001A6C53" w:rsidP="008D2F6E">
            <w:pPr>
              <w:spacing w:before="0" w:after="0"/>
              <w:ind w:left="33"/>
              <w:rPr>
                <w:rFonts w:ascii="Times New Roman" w:hAnsi="Times New Roman"/>
                <w:b/>
                <w:bCs/>
                <w:sz w:val="24"/>
                <w:u w:val="single"/>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Pour les éléments de hors bilan mesurés à la juste valeur par le biais du compte de r</w:t>
            </w:r>
            <w:r>
              <w:rPr>
                <w:rFonts w:ascii="Times New Roman" w:hAnsi="Times New Roman"/>
                <w:sz w:val="24"/>
              </w:rPr>
              <w:t>é</w:t>
            </w:r>
            <w:r>
              <w:rPr>
                <w:rFonts w:ascii="Times New Roman" w:hAnsi="Times New Roman"/>
                <w:sz w:val="24"/>
              </w:rPr>
              <w:t>sultat conformément à la norme IFRS 9, les variations négatives cumulées de la juste valeur dues au risque de crédit (annexe V, partie 2, paragraphe 110)</w:t>
            </w:r>
          </w:p>
          <w:p w:rsidR="001A6C53" w:rsidRPr="00392FFD" w:rsidRDefault="001A6C53" w:rsidP="008D2F6E">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1A6C53" w:rsidRPr="00392FFD" w:rsidTr="008D2F6E">
        <w:tc>
          <w:tcPr>
            <w:tcW w:w="1188" w:type="dxa"/>
            <w:tcBorders>
              <w:top w:val="single" w:sz="4" w:space="0" w:color="auto"/>
              <w:left w:val="single" w:sz="4" w:space="0" w:color="auto"/>
              <w:bottom w:val="single" w:sz="4" w:space="0" w:color="auto"/>
              <w:right w:val="single" w:sz="4" w:space="0" w:color="auto"/>
            </w:tcBorders>
            <w:shd w:val="clear" w:color="auto" w:fill="auto"/>
          </w:tcPr>
          <w:p w:rsidR="001A6C53" w:rsidRPr="00392FFD" w:rsidDel="008D1680" w:rsidRDefault="001A6C53" w:rsidP="008D2F6E">
            <w:pPr>
              <w:spacing w:before="0" w:after="0"/>
              <w:ind w:left="33"/>
              <w:rPr>
                <w:rFonts w:ascii="Times New Roman" w:hAnsi="Times New Roman"/>
                <w:bCs/>
                <w:sz w:val="24"/>
              </w:rPr>
            </w:pPr>
            <w:r>
              <w:rPr>
                <w:rFonts w:ascii="Times New Roman" w:hAnsi="Times New Roman"/>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Pour mémoire: dérivés de crédit vendus sur des expositions sur des administr</w:t>
            </w:r>
            <w:r>
              <w:rPr>
                <w:rFonts w:ascii="Times New Roman" w:hAnsi="Times New Roman"/>
                <w:b/>
                <w:sz w:val="24"/>
                <w:u w:val="single"/>
              </w:rPr>
              <w:t>a</w:t>
            </w:r>
            <w:r>
              <w:rPr>
                <w:rFonts w:ascii="Times New Roman" w:hAnsi="Times New Roman"/>
                <w:b/>
                <w:sz w:val="24"/>
                <w:u w:val="single"/>
              </w:rPr>
              <w:t>tions publiques</w:t>
            </w:r>
          </w:p>
          <w:p w:rsidR="001A6C53" w:rsidRPr="00392FFD" w:rsidRDefault="001A6C53" w:rsidP="008D2F6E">
            <w:pPr>
              <w:spacing w:before="0" w:after="0"/>
              <w:ind w:left="33"/>
              <w:rPr>
                <w:rFonts w:ascii="Times New Roman" w:hAnsi="Times New Roman"/>
                <w:b/>
                <w:bCs/>
                <w:sz w:val="24"/>
                <w:u w:val="single"/>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Il convient de déclarer les dérivés de crédit qui ne correspondent pas à la définition des garanties financières que l'établissement déclarant a conclus avec des contreparties autres que des administrations publiques et dont l'exposition de référence est une a</w:t>
            </w:r>
            <w:r>
              <w:rPr>
                <w:rFonts w:ascii="Times New Roman" w:hAnsi="Times New Roman"/>
                <w:sz w:val="24"/>
              </w:rPr>
              <w:t>d</w:t>
            </w:r>
            <w:r>
              <w:rPr>
                <w:rFonts w:ascii="Times New Roman" w:hAnsi="Times New Roman"/>
                <w:sz w:val="24"/>
              </w:rPr>
              <w:t>ministration publique.</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Ces colonnes ne sont pas à remplir pour les expositions réparties par risque, par a</w:t>
            </w:r>
            <w:r>
              <w:rPr>
                <w:rFonts w:ascii="Times New Roman" w:hAnsi="Times New Roman"/>
                <w:sz w:val="24"/>
              </w:rPr>
              <w:t>p</w:t>
            </w:r>
            <w:r>
              <w:rPr>
                <w:rFonts w:ascii="Times New Roman" w:hAnsi="Times New Roman"/>
                <w:sz w:val="24"/>
              </w:rPr>
              <w:t>proche réglementaire et par catégorie d'exposition (lignes 020 et 160)</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 xml:space="preserve">Les expositions déclarées dans cette section ne doivent pas être prises en compte dans le calcul de la valeur exposée au risque et du montant d'exposition pondéré (colonnes 290 et 300), qui est basé uniquement sur les expositions directes. </w:t>
            </w:r>
          </w:p>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 xml:space="preserve"> </w:t>
            </w:r>
          </w:p>
        </w:tc>
      </w:tr>
      <w:tr w:rsidR="001A6C53" w:rsidRPr="00392FFD" w:rsidTr="008D2F6E">
        <w:tc>
          <w:tcPr>
            <w:tcW w:w="1188" w:type="dxa"/>
            <w:tcBorders>
              <w:top w:val="single" w:sz="4" w:space="0" w:color="auto"/>
              <w:left w:val="single" w:sz="4" w:space="0" w:color="auto"/>
              <w:bottom w:val="single" w:sz="4" w:space="0" w:color="auto"/>
              <w:right w:val="single" w:sz="4" w:space="0" w:color="auto"/>
            </w:tcBorders>
            <w:shd w:val="clear" w:color="auto" w:fill="auto"/>
          </w:tcPr>
          <w:p w:rsidR="001A6C53" w:rsidRPr="00392FFD" w:rsidDel="008D1680" w:rsidRDefault="001A6C53" w:rsidP="008D2F6E">
            <w:pPr>
              <w:spacing w:before="0" w:after="0"/>
              <w:ind w:left="33"/>
              <w:rPr>
                <w:rFonts w:ascii="Times New Roman" w:hAnsi="Times New Roman"/>
                <w:bCs/>
                <w:sz w:val="24"/>
              </w:rPr>
            </w:pPr>
            <w:r>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Dérivés ayant une juste valeur positive - Valeur comptable</w:t>
            </w:r>
          </w:p>
          <w:p w:rsidR="001A6C53" w:rsidRPr="00392FFD" w:rsidRDefault="001A6C53" w:rsidP="008D2F6E">
            <w:pPr>
              <w:spacing w:before="0" w:after="0"/>
              <w:ind w:left="33"/>
              <w:rPr>
                <w:rFonts w:ascii="Times New Roman" w:hAnsi="Times New Roman"/>
                <w:b/>
                <w:bCs/>
                <w:sz w:val="24"/>
                <w:u w:val="single"/>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 xml:space="preserve">Total de la valeur comptable des dérivés de crédit vendus sur des expositions sur des administrations publiques qui ont une juste valeur positive pour l'établissement à la date de déclaration de référence, sans prendre en compte les corrections de valeur à des </w:t>
            </w:r>
            <w:r>
              <w:rPr>
                <w:rFonts w:ascii="Times New Roman" w:hAnsi="Times New Roman"/>
                <w:sz w:val="24"/>
              </w:rPr>
              <w:lastRenderedPageBreak/>
              <w:t>fins d'évaluation prudente.</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Pour les dérivés selon les normes IFRS, le montant à déclarer dans cette colonne est la valeur comptable des dérivés qui sont des actifs financiers à la date de déclaration.</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Pour les dérivés selon les référentiels comptables fondés sur la BAD, le montant à d</w:t>
            </w:r>
            <w:r>
              <w:rPr>
                <w:rFonts w:ascii="Times New Roman" w:hAnsi="Times New Roman"/>
                <w:sz w:val="24"/>
              </w:rPr>
              <w:t>é</w:t>
            </w:r>
            <w:r>
              <w:rPr>
                <w:rFonts w:ascii="Times New Roman" w:hAnsi="Times New Roman"/>
                <w:sz w:val="24"/>
              </w:rPr>
              <w:t>clarer dans cette colonne est la juste valeur des dérivés ayant une juste valeur positive à la date de déclaration de référence, quelle que soit la manière dont ils sont comptabil</w:t>
            </w:r>
            <w:r>
              <w:rPr>
                <w:rFonts w:ascii="Times New Roman" w:hAnsi="Times New Roman"/>
                <w:sz w:val="24"/>
              </w:rPr>
              <w:t>i</w:t>
            </w:r>
            <w:r>
              <w:rPr>
                <w:rFonts w:ascii="Times New Roman" w:hAnsi="Times New Roman"/>
                <w:sz w:val="24"/>
              </w:rPr>
              <w:t>sés.</w:t>
            </w:r>
          </w:p>
          <w:p w:rsidR="001A6C53" w:rsidRPr="00392FFD" w:rsidRDefault="001A6C53" w:rsidP="008D2F6E">
            <w:pPr>
              <w:spacing w:before="0" w:after="0"/>
              <w:ind w:left="33"/>
              <w:rPr>
                <w:rFonts w:ascii="Times New Roman" w:hAnsi="Times New Roman"/>
                <w:b/>
                <w:bCs/>
                <w:sz w:val="24"/>
                <w:u w:val="single"/>
              </w:rPr>
            </w:pPr>
          </w:p>
        </w:tc>
      </w:tr>
      <w:tr w:rsidR="001A6C53" w:rsidRPr="00392FFD" w:rsidTr="008D2F6E">
        <w:tc>
          <w:tcPr>
            <w:tcW w:w="1188" w:type="dxa"/>
            <w:tcBorders>
              <w:top w:val="single" w:sz="4" w:space="0" w:color="auto"/>
              <w:left w:val="single" w:sz="4" w:space="0" w:color="auto"/>
              <w:bottom w:val="single" w:sz="4" w:space="0" w:color="auto"/>
              <w:right w:val="single" w:sz="4" w:space="0" w:color="auto"/>
            </w:tcBorders>
            <w:shd w:val="clear" w:color="auto" w:fill="auto"/>
          </w:tcPr>
          <w:p w:rsidR="001A6C53" w:rsidRPr="00392FFD" w:rsidDel="008D1680" w:rsidRDefault="001A6C53" w:rsidP="008D2F6E">
            <w:pPr>
              <w:spacing w:before="0" w:after="0"/>
              <w:ind w:left="33"/>
              <w:rPr>
                <w:rFonts w:ascii="Times New Roman" w:hAnsi="Times New Roman"/>
                <w:bCs/>
                <w:sz w:val="24"/>
              </w:rPr>
            </w:pPr>
            <w:r>
              <w:rPr>
                <w:rFonts w:ascii="Times New Roman" w:hAnsi="Times New Roman"/>
                <w:sz w:val="24"/>
              </w:rPr>
              <w:lastRenderedPageBreak/>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Dérivés ayant une juste valeur négative - Valeur comptable</w:t>
            </w:r>
          </w:p>
          <w:p w:rsidR="001A6C53" w:rsidRPr="00392FFD" w:rsidRDefault="001A6C53" w:rsidP="008D2F6E">
            <w:pPr>
              <w:spacing w:before="0" w:after="0"/>
              <w:ind w:left="33"/>
              <w:rPr>
                <w:rFonts w:ascii="Times New Roman" w:hAnsi="Times New Roman"/>
                <w:b/>
                <w:bCs/>
                <w:sz w:val="24"/>
                <w:u w:val="single"/>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Total de la valeur comptable des dérivés de crédit vendus sur des expositions sur des administrations publiques déclarées qui ont une juste valeur négative pour l'établiss</w:t>
            </w:r>
            <w:r>
              <w:rPr>
                <w:rFonts w:ascii="Times New Roman" w:hAnsi="Times New Roman"/>
                <w:sz w:val="24"/>
              </w:rPr>
              <w:t>e</w:t>
            </w:r>
            <w:r>
              <w:rPr>
                <w:rFonts w:ascii="Times New Roman" w:hAnsi="Times New Roman"/>
                <w:sz w:val="24"/>
              </w:rPr>
              <w:t>ment à la date de déclaration de référence, sans prendre en compte les corrections de valeur à des fins d'évaluation prudente.</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 xml:space="preserve">Pour les dérivés selon les normes IFRS, le montant à déclarer dans cette colonne est la valeur comptable des dérivés qui sont des passifs financiers à la date de déclaration. </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
                <w:bCs/>
                <w:sz w:val="24"/>
                <w:u w:val="single"/>
              </w:rPr>
            </w:pPr>
            <w:r>
              <w:rPr>
                <w:rFonts w:ascii="Times New Roman" w:hAnsi="Times New Roman"/>
                <w:sz w:val="24"/>
              </w:rPr>
              <w:t>Pour les dérivés selon les référentiels comptables fondés sur la BAD, le montant à d</w:t>
            </w:r>
            <w:r>
              <w:rPr>
                <w:rFonts w:ascii="Times New Roman" w:hAnsi="Times New Roman"/>
                <w:sz w:val="24"/>
              </w:rPr>
              <w:t>é</w:t>
            </w:r>
            <w:r>
              <w:rPr>
                <w:rFonts w:ascii="Times New Roman" w:hAnsi="Times New Roman"/>
                <w:sz w:val="24"/>
              </w:rPr>
              <w:t>clarer dans cette colonne est la juste valeur des dérivés ayant une juste valeur négative à la date de déclaration de référence, quelle que soit la manière dont ils sont comptab</w:t>
            </w:r>
            <w:r>
              <w:rPr>
                <w:rFonts w:ascii="Times New Roman" w:hAnsi="Times New Roman"/>
                <w:sz w:val="24"/>
              </w:rPr>
              <w:t>i</w:t>
            </w:r>
            <w:r>
              <w:rPr>
                <w:rFonts w:ascii="Times New Roman" w:hAnsi="Times New Roman"/>
                <w:sz w:val="24"/>
              </w:rPr>
              <w:t>lisés.</w:t>
            </w:r>
            <w:r>
              <w:rPr>
                <w:rFonts w:ascii="Times New Roman" w:hAnsi="Times New Roman"/>
                <w:b/>
                <w:sz w:val="24"/>
                <w:u w:val="single"/>
              </w:rPr>
              <w:t xml:space="preserve"> </w:t>
            </w:r>
          </w:p>
          <w:p w:rsidR="001A6C53" w:rsidRPr="00392FFD" w:rsidRDefault="001A6C53" w:rsidP="008D2F6E">
            <w:pPr>
              <w:spacing w:before="0" w:after="0"/>
              <w:ind w:left="33"/>
              <w:rPr>
                <w:rFonts w:ascii="Times New Roman" w:hAnsi="Times New Roman"/>
                <w:b/>
                <w:bCs/>
                <w:sz w:val="24"/>
                <w:u w:val="single"/>
              </w:rPr>
            </w:pPr>
          </w:p>
        </w:tc>
      </w:tr>
      <w:tr w:rsidR="001A6C53" w:rsidRPr="00392FFD" w:rsidTr="008D2F6E">
        <w:tc>
          <w:tcPr>
            <w:tcW w:w="1188" w:type="dxa"/>
            <w:tcBorders>
              <w:top w:val="single" w:sz="4" w:space="0" w:color="auto"/>
              <w:left w:val="single" w:sz="4" w:space="0" w:color="auto"/>
              <w:bottom w:val="single" w:sz="4" w:space="0" w:color="auto"/>
              <w:right w:val="single" w:sz="4" w:space="0" w:color="auto"/>
            </w:tcBorders>
            <w:shd w:val="clear" w:color="auto" w:fill="auto"/>
          </w:tcPr>
          <w:p w:rsidR="001A6C53" w:rsidRPr="00392FFD" w:rsidDel="008D1680" w:rsidRDefault="001A6C53" w:rsidP="008D2F6E">
            <w:pPr>
              <w:spacing w:before="0" w:after="0"/>
              <w:ind w:left="33"/>
              <w:rPr>
                <w:rFonts w:ascii="Times New Roman" w:hAnsi="Times New Roman"/>
                <w:bCs/>
                <w:sz w:val="24"/>
              </w:rPr>
            </w:pPr>
            <w:r>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Valeur exposée au risque</w:t>
            </w:r>
          </w:p>
          <w:p w:rsidR="001A6C53" w:rsidRPr="00392FFD" w:rsidRDefault="001A6C53" w:rsidP="008D2F6E">
            <w:pPr>
              <w:spacing w:before="0" w:after="0"/>
              <w:ind w:left="33"/>
              <w:rPr>
                <w:rFonts w:ascii="Times New Roman" w:hAnsi="Times New Roman"/>
                <w:b/>
                <w:bCs/>
                <w:sz w:val="24"/>
                <w:u w:val="single"/>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Valeur exposée au risque pour les expositions soumises au cadre relatif au risque de crédit.</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Pour les expositions dans le cadre de l'approche standard (SA): voir l'article 111 du CRR. Pour les expositions dans le cadre de l'approche NI: voir l'article 166 et l'a</w:t>
            </w:r>
            <w:r>
              <w:rPr>
                <w:rFonts w:ascii="Times New Roman" w:hAnsi="Times New Roman"/>
                <w:sz w:val="24"/>
              </w:rPr>
              <w:t>r</w:t>
            </w:r>
            <w:r>
              <w:rPr>
                <w:rFonts w:ascii="Times New Roman" w:hAnsi="Times New Roman"/>
                <w:sz w:val="24"/>
              </w:rPr>
              <w:t>ticle 230, paragraphe 1, deuxième phrase, du CRR.</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Pour la déclaration des dérivés soumis à la fois à des exigences de fonds propres pour risque de crédit de contrepartie et pour risque de marché, voir les instructions pour la répartition par ligne.</w:t>
            </w:r>
          </w:p>
          <w:p w:rsidR="001A6C53" w:rsidRPr="00392FFD" w:rsidRDefault="001A6C53" w:rsidP="008D2F6E">
            <w:pPr>
              <w:spacing w:before="0" w:after="0"/>
              <w:ind w:left="33"/>
              <w:rPr>
                <w:rFonts w:ascii="Times New Roman" w:hAnsi="Times New Roman"/>
                <w:b/>
                <w:bCs/>
                <w:sz w:val="24"/>
                <w:u w:val="single"/>
              </w:rPr>
            </w:pPr>
          </w:p>
        </w:tc>
      </w:tr>
      <w:tr w:rsidR="001A6C53" w:rsidRPr="00392FFD" w:rsidTr="008D2F6E">
        <w:tc>
          <w:tcPr>
            <w:tcW w:w="1188" w:type="dxa"/>
            <w:tcBorders>
              <w:top w:val="single" w:sz="4" w:space="0" w:color="auto"/>
              <w:left w:val="single" w:sz="4" w:space="0" w:color="auto"/>
              <w:bottom w:val="single" w:sz="4" w:space="0" w:color="auto"/>
              <w:right w:val="single" w:sz="4" w:space="0" w:color="auto"/>
            </w:tcBorders>
            <w:shd w:val="clear" w:color="auto" w:fill="auto"/>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 xml:space="preserve">Montant d'exposition pondéré </w:t>
            </w:r>
          </w:p>
          <w:p w:rsidR="001A6C53" w:rsidRPr="00392FFD" w:rsidRDefault="001A6C53" w:rsidP="008D2F6E">
            <w:pPr>
              <w:spacing w:before="0" w:after="0"/>
              <w:ind w:left="33"/>
              <w:rPr>
                <w:rFonts w:ascii="Times New Roman" w:hAnsi="Times New Roman"/>
                <w:b/>
                <w:bCs/>
                <w:sz w:val="24"/>
                <w:u w:val="single"/>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 xml:space="preserve">Montant d'exposition pondéré pour les expositions soumises au cadre relatif au risque de crédit. </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Pour les expositions dans le cadre de l'approche standard (SA): voir l'article 113, par</w:t>
            </w:r>
            <w:r>
              <w:rPr>
                <w:rFonts w:ascii="Times New Roman" w:hAnsi="Times New Roman"/>
                <w:sz w:val="24"/>
              </w:rPr>
              <w:t>a</w:t>
            </w:r>
            <w:r>
              <w:rPr>
                <w:rFonts w:ascii="Times New Roman" w:hAnsi="Times New Roman"/>
                <w:sz w:val="24"/>
              </w:rPr>
              <w:t>graphes 1 à 5, du CRR. Pour les expositions dans le cadre de l'approche NI: voir l'a</w:t>
            </w:r>
            <w:r>
              <w:rPr>
                <w:rFonts w:ascii="Times New Roman" w:hAnsi="Times New Roman"/>
                <w:sz w:val="24"/>
              </w:rPr>
              <w:t>r</w:t>
            </w:r>
            <w:r>
              <w:rPr>
                <w:rFonts w:ascii="Times New Roman" w:hAnsi="Times New Roman"/>
                <w:sz w:val="24"/>
              </w:rPr>
              <w:t>ticle 153, paragraphes 1 et 3, du CRR.</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Pour la déclaration des expositions directes entrant dans le champ d'application de l’article 271 du CRR et soumises à des exigences de fonds propres à la fois pour risque de crédit de contrepartie et pour risque de marché, voir les instructions pour la répart</w:t>
            </w:r>
            <w:r>
              <w:rPr>
                <w:rFonts w:ascii="Times New Roman" w:hAnsi="Times New Roman"/>
                <w:sz w:val="24"/>
              </w:rPr>
              <w:t>i</w:t>
            </w:r>
            <w:r>
              <w:rPr>
                <w:rFonts w:ascii="Times New Roman" w:hAnsi="Times New Roman"/>
                <w:sz w:val="24"/>
              </w:rPr>
              <w:lastRenderedPageBreak/>
              <w:t>tion par ligne.</w:t>
            </w:r>
          </w:p>
          <w:p w:rsidR="001A6C53" w:rsidRPr="00392FFD" w:rsidRDefault="001A6C53" w:rsidP="008D2F6E">
            <w:pPr>
              <w:spacing w:before="0" w:after="0"/>
              <w:ind w:left="33"/>
              <w:rPr>
                <w:rFonts w:ascii="Times New Roman" w:hAnsi="Times New Roman"/>
                <w:b/>
                <w:bCs/>
                <w:sz w:val="24"/>
                <w:u w:val="single"/>
              </w:rPr>
            </w:pPr>
          </w:p>
        </w:tc>
      </w:tr>
    </w:tbl>
    <w:p w:rsidR="001A6C53" w:rsidRPr="00392FFD" w:rsidRDefault="001A6C53" w:rsidP="001A6C53">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1A6C53" w:rsidRPr="00392FFD" w:rsidTr="008D2F6E">
        <w:tc>
          <w:tcPr>
            <w:tcW w:w="1188" w:type="dxa"/>
            <w:shd w:val="clear" w:color="auto" w:fill="CCCCCC"/>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Lignes</w:t>
            </w:r>
          </w:p>
        </w:tc>
        <w:tc>
          <w:tcPr>
            <w:tcW w:w="8701" w:type="dxa"/>
            <w:shd w:val="clear" w:color="auto" w:fill="CCCCCC"/>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Instructions</w:t>
            </w:r>
          </w:p>
        </w:tc>
      </w:tr>
      <w:tr w:rsidR="001A6C53" w:rsidRPr="00392FFD" w:rsidTr="008D2F6E">
        <w:tc>
          <w:tcPr>
            <w:tcW w:w="9889" w:type="dxa"/>
            <w:gridSpan w:val="2"/>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RÉPARTITION DES EXPOSITIONS PAR APPROCHE RÉGLEMENTAIRE</w:t>
            </w:r>
          </w:p>
          <w:p w:rsidR="001A6C53" w:rsidRPr="00392FFD" w:rsidRDefault="001A6C53" w:rsidP="008D2F6E">
            <w:pPr>
              <w:spacing w:before="0" w:after="0"/>
              <w:ind w:left="33"/>
              <w:rPr>
                <w:rFonts w:ascii="Times New Roman" w:hAnsi="Times New Roman"/>
                <w:bCs/>
                <w:sz w:val="24"/>
              </w:rPr>
            </w:pPr>
          </w:p>
        </w:tc>
      </w:tr>
      <w:tr w:rsidR="001A6C53" w:rsidRPr="00392FFD" w:rsidTr="008D2F6E">
        <w:tc>
          <w:tcPr>
            <w:tcW w:w="1188" w:type="dxa"/>
            <w:shd w:val="clear" w:color="auto" w:fill="auto"/>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010</w:t>
            </w:r>
          </w:p>
        </w:tc>
        <w:tc>
          <w:tcPr>
            <w:tcW w:w="8701" w:type="dxa"/>
            <w:shd w:val="clear" w:color="auto" w:fill="auto"/>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Total des expositions</w:t>
            </w:r>
          </w:p>
          <w:p w:rsidR="001A6C53" w:rsidRPr="00392FFD" w:rsidRDefault="001A6C53" w:rsidP="008D2F6E">
            <w:pPr>
              <w:spacing w:before="0" w:after="0"/>
              <w:ind w:left="33"/>
              <w:rPr>
                <w:rFonts w:ascii="Times New Roman" w:hAnsi="Times New Roman"/>
                <w:b/>
                <w:bCs/>
                <w:sz w:val="24"/>
                <w:u w:val="single"/>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Total des expositions sur des administrations publiques, telles que définies au par</w:t>
            </w:r>
            <w:r>
              <w:rPr>
                <w:rFonts w:ascii="Times New Roman" w:hAnsi="Times New Roman"/>
                <w:sz w:val="24"/>
              </w:rPr>
              <w:t>a</w:t>
            </w:r>
            <w:r>
              <w:rPr>
                <w:rFonts w:ascii="Times New Roman" w:hAnsi="Times New Roman"/>
                <w:sz w:val="24"/>
              </w:rPr>
              <w:t>graphe 1</w:t>
            </w:r>
          </w:p>
          <w:p w:rsidR="001A6C53" w:rsidRPr="00392FFD" w:rsidRDefault="001A6C53" w:rsidP="008D2F6E">
            <w:pPr>
              <w:spacing w:before="0" w:after="0"/>
              <w:ind w:left="33"/>
              <w:rPr>
                <w:rFonts w:ascii="Times New Roman" w:hAnsi="Times New Roman"/>
                <w:b/>
                <w:bCs/>
                <w:sz w:val="24"/>
                <w:u w:val="single"/>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020-155</w:t>
            </w:r>
          </w:p>
        </w:tc>
        <w:tc>
          <w:tcPr>
            <w:tcW w:w="8701" w:type="dxa"/>
          </w:tcPr>
          <w:p w:rsidR="001A6C53" w:rsidRPr="00392FFD" w:rsidRDefault="001A6C53" w:rsidP="008D2F6E">
            <w:pPr>
              <w:spacing w:before="0" w:after="0"/>
              <w:ind w:left="33"/>
              <w:rPr>
                <w:rFonts w:ascii="Times New Roman" w:hAnsi="Times New Roman"/>
                <w:bCs/>
                <w:sz w:val="24"/>
              </w:rPr>
            </w:pPr>
            <w:r>
              <w:rPr>
                <w:rFonts w:ascii="Times New Roman" w:hAnsi="Times New Roman"/>
                <w:b/>
                <w:sz w:val="24"/>
                <w:u w:val="single"/>
              </w:rPr>
              <w:t>Expositions selon le cadre relatif au risque de crédit</w:t>
            </w:r>
          </w:p>
          <w:p w:rsidR="001A6C53" w:rsidRPr="00392FFD" w:rsidRDefault="001A6C53" w:rsidP="008D2F6E">
            <w:pPr>
              <w:spacing w:before="0" w:after="0"/>
              <w:ind w:left="33"/>
              <w:rPr>
                <w:rFonts w:ascii="Times New Roman" w:hAnsi="Times New Roman"/>
                <w:bCs/>
                <w:sz w:val="24"/>
              </w:rPr>
            </w:pPr>
          </w:p>
          <w:p w:rsidR="001A6C53" w:rsidRDefault="001A6C53" w:rsidP="008D2F6E">
            <w:pPr>
              <w:spacing w:before="0" w:after="0"/>
              <w:ind w:left="33"/>
              <w:rPr>
                <w:rFonts w:ascii="Times New Roman" w:hAnsi="Times New Roman"/>
                <w:bCs/>
                <w:sz w:val="24"/>
              </w:rPr>
            </w:pPr>
            <w:r>
              <w:rPr>
                <w:rFonts w:ascii="Times New Roman" w:hAnsi="Times New Roman"/>
                <w:sz w:val="24"/>
              </w:rPr>
              <w:t>Le total des expositions sur les administrations publiques qui seront pondérées confo</w:t>
            </w:r>
            <w:r>
              <w:rPr>
                <w:rFonts w:ascii="Times New Roman" w:hAnsi="Times New Roman"/>
                <w:sz w:val="24"/>
              </w:rPr>
              <w:t>r</w:t>
            </w:r>
            <w:r>
              <w:rPr>
                <w:rFonts w:ascii="Times New Roman" w:hAnsi="Times New Roman"/>
                <w:sz w:val="24"/>
              </w:rPr>
              <w:t>mément à la partie trois, titre II, du CRR. Les expositions selon le cadre relatif au risque de crédit comprennent les expositions du portefeuille hors négociation et du po</w:t>
            </w:r>
            <w:r>
              <w:rPr>
                <w:rFonts w:ascii="Times New Roman" w:hAnsi="Times New Roman"/>
                <w:sz w:val="24"/>
              </w:rPr>
              <w:t>r</w:t>
            </w:r>
            <w:r>
              <w:rPr>
                <w:rFonts w:ascii="Times New Roman" w:hAnsi="Times New Roman"/>
                <w:sz w:val="24"/>
              </w:rPr>
              <w:t xml:space="preserve">tefeuille de négociation soumises à des exigences de fonds propres pour risque de crédit de contrepartie. </w:t>
            </w:r>
          </w:p>
          <w:p w:rsidR="001A6C53" w:rsidRPr="00D95045" w:rsidRDefault="001A6C53" w:rsidP="008D2F6E">
            <w:pPr>
              <w:spacing w:before="0" w:after="0"/>
              <w:ind w:left="33"/>
              <w:rPr>
                <w:rFonts w:ascii="Times New Roman" w:hAnsi="Times New Roman"/>
                <w:bCs/>
                <w:sz w:val="24"/>
              </w:rPr>
            </w:pPr>
          </w:p>
          <w:p w:rsidR="001A6C53" w:rsidRDefault="001A6C53" w:rsidP="008D2F6E">
            <w:pPr>
              <w:spacing w:before="0" w:after="0"/>
              <w:ind w:left="33"/>
              <w:rPr>
                <w:rFonts w:ascii="Times New Roman" w:hAnsi="Times New Roman"/>
                <w:bCs/>
                <w:sz w:val="24"/>
              </w:rPr>
            </w:pPr>
            <w:r>
              <w:rPr>
                <w:rFonts w:ascii="Times New Roman" w:hAnsi="Times New Roman"/>
                <w:sz w:val="24"/>
              </w:rPr>
              <w:t>Les expositions directes entrant dans le champ d'application de l’article 271 du CRR soumises à des exigences de fonds propres à la fois pour risque de crédit de contrepartie et pour risque de marché seront déclarées à la fois dans les lignes relatives au risque de crédit (020 à 155) et dans la ligne relative au risque de marché (ligne 160): les expos</w:t>
            </w:r>
            <w:r>
              <w:rPr>
                <w:rFonts w:ascii="Times New Roman" w:hAnsi="Times New Roman"/>
                <w:sz w:val="24"/>
              </w:rPr>
              <w:t>i</w:t>
            </w:r>
            <w:r>
              <w:rPr>
                <w:rFonts w:ascii="Times New Roman" w:hAnsi="Times New Roman"/>
                <w:sz w:val="24"/>
              </w:rPr>
              <w:t>tions dues au risque de crédit de contrepartie seront déclarées dans les lignes relatives au risque de crédit, tandis que celles dues au risque de marché seront déclarées dans la ligne relative au risque de marché.</w:t>
            </w:r>
          </w:p>
          <w:p w:rsidR="001A6C53" w:rsidRPr="00392FFD" w:rsidRDefault="001A6C53" w:rsidP="008D2F6E">
            <w:pPr>
              <w:spacing w:before="0" w:after="0"/>
              <w:ind w:left="33"/>
              <w:rPr>
                <w:rFonts w:ascii="Times New Roman" w:hAnsi="Times New Roman"/>
                <w:bCs/>
                <w:sz w:val="24"/>
              </w:rPr>
            </w:pPr>
          </w:p>
        </w:tc>
      </w:tr>
      <w:tr w:rsidR="001A6C53" w:rsidRPr="00321A3B"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t>030</w:t>
            </w:r>
          </w:p>
        </w:tc>
        <w:tc>
          <w:tcPr>
            <w:tcW w:w="8701"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Approche standard</w:t>
            </w:r>
          </w:p>
          <w:p w:rsidR="001A6C53" w:rsidRPr="00321A3B" w:rsidRDefault="001A6C53" w:rsidP="008D2F6E">
            <w:pPr>
              <w:spacing w:before="0" w:after="0"/>
              <w:ind w:left="33"/>
              <w:rPr>
                <w:rFonts w:ascii="Times New Roman" w:hAnsi="Times New Roman"/>
                <w:bCs/>
                <w:sz w:val="24"/>
              </w:rPr>
            </w:pPr>
          </w:p>
          <w:p w:rsidR="001A6C53" w:rsidRPr="00321A3B" w:rsidRDefault="001A6C53" w:rsidP="008D2F6E">
            <w:pPr>
              <w:spacing w:before="0" w:after="0"/>
              <w:ind w:left="33"/>
              <w:rPr>
                <w:rFonts w:ascii="Times New Roman" w:hAnsi="Times New Roman"/>
                <w:bCs/>
                <w:sz w:val="24"/>
              </w:rPr>
            </w:pPr>
            <w:r>
              <w:rPr>
                <w:rFonts w:ascii="Times New Roman" w:hAnsi="Times New Roman"/>
                <w:sz w:val="24"/>
              </w:rPr>
              <w:t>Les expositions sur les administrations publiques qui sont pondérées conformément à la partie trois, titre II, chapitre 2 du CRR, y compris les expositions du portefeuille hors négociation pour lesquelles la pondération conformément à ce chapitre concerne le risque de crédit de contrepartie.</w:t>
            </w:r>
          </w:p>
          <w:p w:rsidR="001A6C53" w:rsidRPr="00321A3B" w:rsidRDefault="001A6C53" w:rsidP="008D2F6E">
            <w:pPr>
              <w:spacing w:before="0" w:after="0"/>
              <w:ind w:left="33"/>
              <w:rPr>
                <w:rFonts w:ascii="Times New Roman" w:hAnsi="Times New Roman"/>
                <w:bCs/>
                <w:sz w:val="24"/>
              </w:rPr>
            </w:pPr>
          </w:p>
        </w:tc>
      </w:tr>
      <w:tr w:rsidR="001A6C53" w:rsidRPr="00392FFD"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t>040</w:t>
            </w:r>
          </w:p>
        </w:tc>
        <w:tc>
          <w:tcPr>
            <w:tcW w:w="8701"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Administrations centrales</w:t>
            </w:r>
          </w:p>
          <w:p w:rsidR="001A6C53" w:rsidRPr="00321A3B"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Expositions sur des administrations publiques qui sont des administrations centrales. Ces expositions sont affectées à la catégorie d'expositions «Administrations centrales ou banques centrales» conformément aux articles 112 et 114 du CRR, comme indiqué dans les instructions relatives au modèle C 07.00, à l'exception des indications relatives à la redistribution des expositions sur des administrations publiques vers d'autres cat</w:t>
            </w:r>
            <w:r>
              <w:rPr>
                <w:rFonts w:ascii="Times New Roman" w:hAnsi="Times New Roman"/>
                <w:sz w:val="24"/>
              </w:rPr>
              <w:t>é</w:t>
            </w:r>
            <w:r>
              <w:rPr>
                <w:rFonts w:ascii="Times New Roman" w:hAnsi="Times New Roman"/>
                <w:sz w:val="24"/>
              </w:rPr>
              <w:t>gories d'exposition en raison de l'application de techniques d'atténuation du risque de crédit avec effets de substitution sur l'exposition, qui ne s'appliquent pas.</w:t>
            </w:r>
          </w:p>
          <w:p w:rsidR="001A6C53" w:rsidRPr="00392FFD" w:rsidRDefault="001A6C53" w:rsidP="008D2F6E">
            <w:pPr>
              <w:spacing w:before="0" w:after="0"/>
              <w:ind w:left="33"/>
              <w:rPr>
                <w:rFonts w:ascii="Times New Roman" w:hAnsi="Times New Roman"/>
                <w:bCs/>
                <w:sz w:val="24"/>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050</w:t>
            </w:r>
          </w:p>
        </w:tc>
        <w:tc>
          <w:tcPr>
            <w:tcW w:w="8701"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Administrations régionales ou locales</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 xml:space="preserve">Expositions sur des administrations publiques qui sont des administrations régionales ou locales. Ces expositions sont affectées à la catégorie d'expositions «Administrations régionales ou locales» conformément aux articles 112 et 115 du CRR, comme indiqué dans les instructions relatives au modèle C 07.00, à l'exception des indications relatives </w:t>
            </w:r>
            <w:r>
              <w:rPr>
                <w:rFonts w:ascii="Times New Roman" w:hAnsi="Times New Roman"/>
                <w:sz w:val="24"/>
              </w:rPr>
              <w:lastRenderedPageBreak/>
              <w:t>à la redistribution des expositions sur des administrations publiques vers d'autres cat</w:t>
            </w:r>
            <w:r>
              <w:rPr>
                <w:rFonts w:ascii="Times New Roman" w:hAnsi="Times New Roman"/>
                <w:sz w:val="24"/>
              </w:rPr>
              <w:t>é</w:t>
            </w:r>
            <w:r>
              <w:rPr>
                <w:rFonts w:ascii="Times New Roman" w:hAnsi="Times New Roman"/>
                <w:sz w:val="24"/>
              </w:rPr>
              <w:t>gories d'exposition en raison de l'application de techniques d'atténuation du risque de crédit avec effets de substitution sur l'exposition, qui ne s'appliquent pas.</w:t>
            </w:r>
          </w:p>
          <w:p w:rsidR="001A6C53" w:rsidRPr="00392FFD" w:rsidRDefault="001A6C53" w:rsidP="008D2F6E">
            <w:pPr>
              <w:spacing w:before="0" w:after="0"/>
              <w:ind w:left="33"/>
              <w:rPr>
                <w:rFonts w:ascii="Times New Roman" w:hAnsi="Times New Roman"/>
                <w:bCs/>
                <w:sz w:val="24"/>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lastRenderedPageBreak/>
              <w:t>060</w:t>
            </w:r>
          </w:p>
        </w:tc>
        <w:tc>
          <w:tcPr>
            <w:tcW w:w="8701"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Entités du secteur public</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Expositions sur des administrations publiques qui sont des entités du secteur public. Ces expositions sont affectées à la catégorie d'expositions «Entités du secteur public» conformément aux articles 112 et 116 du CRR, comme indiqué dans les instructions r</w:t>
            </w:r>
            <w:r>
              <w:rPr>
                <w:rFonts w:ascii="Times New Roman" w:hAnsi="Times New Roman"/>
                <w:sz w:val="24"/>
              </w:rPr>
              <w:t>e</w:t>
            </w:r>
            <w:r>
              <w:rPr>
                <w:rFonts w:ascii="Times New Roman" w:hAnsi="Times New Roman"/>
                <w:sz w:val="24"/>
              </w:rPr>
              <w:t>latives au modèle C 07.00,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rsidR="001A6C53" w:rsidRPr="00392FFD" w:rsidRDefault="001A6C53" w:rsidP="008D2F6E">
            <w:pPr>
              <w:spacing w:before="0" w:after="0"/>
              <w:ind w:left="33"/>
              <w:rPr>
                <w:rFonts w:ascii="Times New Roman" w:hAnsi="Times New Roman"/>
                <w:bCs/>
                <w:sz w:val="24"/>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070</w:t>
            </w:r>
          </w:p>
        </w:tc>
        <w:tc>
          <w:tcPr>
            <w:tcW w:w="8701"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Organisations internationales</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Expositions sur des administrations publiques qui sont des organisations internati</w:t>
            </w:r>
            <w:r>
              <w:rPr>
                <w:rFonts w:ascii="Times New Roman" w:hAnsi="Times New Roman"/>
                <w:sz w:val="24"/>
              </w:rPr>
              <w:t>o</w:t>
            </w:r>
            <w:r>
              <w:rPr>
                <w:rFonts w:ascii="Times New Roman" w:hAnsi="Times New Roman"/>
                <w:sz w:val="24"/>
              </w:rPr>
              <w:t>nales. Ces expositions sont affectées à la catégorie d'expositions «Organisations inte</w:t>
            </w:r>
            <w:r>
              <w:rPr>
                <w:rFonts w:ascii="Times New Roman" w:hAnsi="Times New Roman"/>
                <w:sz w:val="24"/>
              </w:rPr>
              <w:t>r</w:t>
            </w:r>
            <w:r>
              <w:rPr>
                <w:rFonts w:ascii="Times New Roman" w:hAnsi="Times New Roman"/>
                <w:sz w:val="24"/>
              </w:rPr>
              <w:t>nationales» conformément aux articles 112 et 118 du CRR, comme indiqué dans les instructions relatives au modèle C 07.00, à l'exception des indications relatives à la r</w:t>
            </w:r>
            <w:r>
              <w:rPr>
                <w:rFonts w:ascii="Times New Roman" w:hAnsi="Times New Roman"/>
                <w:sz w:val="24"/>
              </w:rPr>
              <w:t>e</w:t>
            </w:r>
            <w:r>
              <w:rPr>
                <w:rFonts w:ascii="Times New Roman" w:hAnsi="Times New Roman"/>
                <w:sz w:val="24"/>
              </w:rPr>
              <w:t>distribution des expositions sur des administrations publiques vers d'autres catégories d'exposition en raison de l'application de techniques d'atténuation du risque de crédit avec effets de substitution sur l'exposition, qui ne s'appliquent pas.</w:t>
            </w:r>
          </w:p>
          <w:p w:rsidR="001A6C53" w:rsidRPr="00392FFD" w:rsidRDefault="001A6C53" w:rsidP="008D2F6E">
            <w:pPr>
              <w:spacing w:before="0" w:after="0"/>
              <w:ind w:left="33"/>
              <w:rPr>
                <w:rFonts w:ascii="Times New Roman" w:hAnsi="Times New Roman"/>
                <w:b/>
                <w:bCs/>
                <w:sz w:val="24"/>
                <w:u w:val="single"/>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075</w:t>
            </w:r>
          </w:p>
        </w:tc>
        <w:tc>
          <w:tcPr>
            <w:tcW w:w="8701" w:type="dxa"/>
          </w:tcPr>
          <w:p w:rsidR="001A6C53" w:rsidRDefault="001A6C53" w:rsidP="008D2F6E">
            <w:pPr>
              <w:spacing w:before="0" w:after="0"/>
              <w:ind w:left="33"/>
              <w:rPr>
                <w:rFonts w:ascii="Times New Roman" w:hAnsi="Times New Roman"/>
                <w:b/>
                <w:bCs/>
                <w:sz w:val="24"/>
                <w:u w:val="single"/>
              </w:rPr>
            </w:pPr>
            <w:r>
              <w:rPr>
                <w:rFonts w:ascii="Times New Roman" w:hAnsi="Times New Roman"/>
                <w:b/>
                <w:sz w:val="24"/>
                <w:u w:val="single"/>
              </w:rPr>
              <w:t>Autres expositions sur des administrations publiques relevant de l’approche sta</w:t>
            </w:r>
            <w:r>
              <w:rPr>
                <w:rFonts w:ascii="Times New Roman" w:hAnsi="Times New Roman"/>
                <w:b/>
                <w:sz w:val="24"/>
                <w:u w:val="single"/>
              </w:rPr>
              <w:t>n</w:t>
            </w:r>
            <w:r>
              <w:rPr>
                <w:rFonts w:ascii="Times New Roman" w:hAnsi="Times New Roman"/>
                <w:b/>
                <w:sz w:val="24"/>
                <w:u w:val="single"/>
              </w:rPr>
              <w:t>dard</w:t>
            </w:r>
          </w:p>
          <w:p w:rsidR="001A6C53" w:rsidRPr="00392FFD" w:rsidRDefault="001A6C53" w:rsidP="008D2F6E">
            <w:pPr>
              <w:spacing w:before="0" w:after="0"/>
              <w:ind w:left="33"/>
              <w:rPr>
                <w:rFonts w:ascii="Times New Roman" w:hAnsi="Times New Roman"/>
                <w:bCs/>
                <w:sz w:val="24"/>
              </w:rPr>
            </w:pPr>
          </w:p>
          <w:p w:rsidR="001A6C53" w:rsidRDefault="001A6C53" w:rsidP="008D2F6E">
            <w:pPr>
              <w:spacing w:before="0" w:after="0"/>
              <w:ind w:left="33"/>
              <w:rPr>
                <w:rFonts w:ascii="Times New Roman" w:hAnsi="Times New Roman"/>
                <w:bCs/>
                <w:sz w:val="24"/>
              </w:rPr>
            </w:pPr>
            <w:r>
              <w:rPr>
                <w:rFonts w:ascii="Times New Roman" w:hAnsi="Times New Roman"/>
                <w:sz w:val="24"/>
              </w:rPr>
              <w:t>Expositions sur des administrations publiques autres que celles incluses dans les lignes 040 à 070 ci-dessus, qui sont affectées aux catégories d'exposition au risque en a</w:t>
            </w:r>
            <w:r>
              <w:rPr>
                <w:rFonts w:ascii="Times New Roman" w:hAnsi="Times New Roman"/>
                <w:sz w:val="24"/>
              </w:rPr>
              <w:t>p</w:t>
            </w:r>
            <w:r>
              <w:rPr>
                <w:rFonts w:ascii="Times New Roman" w:hAnsi="Times New Roman"/>
                <w:sz w:val="24"/>
              </w:rPr>
              <w:t>proche SA conformément à l’article 112 du CRR aux fins du calcul des exigences de fonds propres.</w:t>
            </w:r>
          </w:p>
          <w:p w:rsidR="001A6C53" w:rsidRPr="00392FFD" w:rsidRDefault="001A6C53" w:rsidP="008D2F6E">
            <w:pPr>
              <w:spacing w:before="0" w:after="0"/>
              <w:ind w:left="33"/>
              <w:rPr>
                <w:rFonts w:ascii="Times New Roman" w:hAnsi="Times New Roman"/>
                <w:b/>
                <w:bCs/>
                <w:sz w:val="24"/>
                <w:u w:val="single"/>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080</w:t>
            </w:r>
          </w:p>
        </w:tc>
        <w:tc>
          <w:tcPr>
            <w:tcW w:w="8701"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Approche NI</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Les expositions sur les administrations publiques qui sont pondérées conformément à la partie trois, titre II, chapitre 3 du CRR, y compris les expositions du portefeuille hors négociation pour lesquelles la pondération conformément à ce chapitre concerne le risque de crédit de contrepartie.</w:t>
            </w:r>
          </w:p>
          <w:p w:rsidR="001A6C53" w:rsidRPr="00392FFD" w:rsidRDefault="001A6C53" w:rsidP="008D2F6E">
            <w:pPr>
              <w:spacing w:before="0" w:after="0"/>
              <w:ind w:left="33"/>
              <w:rPr>
                <w:rFonts w:ascii="Times New Roman" w:hAnsi="Times New Roman"/>
                <w:bCs/>
                <w:sz w:val="24"/>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090</w:t>
            </w:r>
          </w:p>
        </w:tc>
        <w:tc>
          <w:tcPr>
            <w:tcW w:w="8701"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Administrations centrales</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Les expositions sur des administrations publiques qui sont des administrations centrales et qui sont affectées à la catégorie d'expositions «Administrations centrales et banques centrales» conformément à l'article 147, paragraphe 3, point a), du CRR, comme ind</w:t>
            </w:r>
            <w:r>
              <w:rPr>
                <w:rFonts w:ascii="Times New Roman" w:hAnsi="Times New Roman"/>
                <w:sz w:val="24"/>
              </w:rPr>
              <w:t>i</w:t>
            </w:r>
            <w:r>
              <w:rPr>
                <w:rFonts w:ascii="Times New Roman" w:hAnsi="Times New Roman"/>
                <w:sz w:val="24"/>
              </w:rPr>
              <w:t>qué dans les instructions relatives aux modèles C 08.01 et C 08.02, à l'exception des i</w:t>
            </w:r>
            <w:r>
              <w:rPr>
                <w:rFonts w:ascii="Times New Roman" w:hAnsi="Times New Roman"/>
                <w:sz w:val="24"/>
              </w:rPr>
              <w:t>n</w:t>
            </w:r>
            <w:r>
              <w:rPr>
                <w:rFonts w:ascii="Times New Roman" w:hAnsi="Times New Roman"/>
                <w:sz w:val="24"/>
              </w:rPr>
              <w:t>dications relatives à la redistribution des expositions sur des administrations publiques vers d'autres catégories d'exposition en raison de l'application de techniques d'atténu</w:t>
            </w:r>
            <w:r>
              <w:rPr>
                <w:rFonts w:ascii="Times New Roman" w:hAnsi="Times New Roman"/>
                <w:sz w:val="24"/>
              </w:rPr>
              <w:t>a</w:t>
            </w:r>
            <w:r>
              <w:rPr>
                <w:rFonts w:ascii="Times New Roman" w:hAnsi="Times New Roman"/>
                <w:sz w:val="24"/>
              </w:rPr>
              <w:t>tion du risque de crédit avec effets de substitution sur l'exposition, qui ne s'appliquent pas.</w:t>
            </w:r>
          </w:p>
          <w:p w:rsidR="001A6C53" w:rsidRPr="00392FFD" w:rsidRDefault="001A6C53" w:rsidP="008D2F6E">
            <w:pPr>
              <w:spacing w:before="0" w:after="0"/>
              <w:ind w:left="33"/>
              <w:rPr>
                <w:rFonts w:ascii="Times New Roman" w:hAnsi="Times New Roman"/>
                <w:bCs/>
                <w:sz w:val="24"/>
              </w:rPr>
            </w:pPr>
          </w:p>
        </w:tc>
      </w:tr>
      <w:tr w:rsidR="001A6C53" w:rsidRPr="00392FFD" w:rsidTr="008D2F6E">
        <w:tc>
          <w:tcPr>
            <w:tcW w:w="1188" w:type="dxa"/>
          </w:tcPr>
          <w:p w:rsidR="001A6C53" w:rsidRPr="00321A3B" w:rsidRDefault="001A6C53" w:rsidP="008D2F6E">
            <w:pPr>
              <w:spacing w:before="0" w:after="0"/>
              <w:ind w:left="33"/>
              <w:rPr>
                <w:rFonts w:ascii="Times New Roman" w:hAnsi="Times New Roman"/>
                <w:bCs/>
                <w:sz w:val="24"/>
              </w:rPr>
            </w:pPr>
            <w:r>
              <w:rPr>
                <w:rFonts w:ascii="Times New Roman" w:hAnsi="Times New Roman"/>
                <w:sz w:val="24"/>
              </w:rPr>
              <w:lastRenderedPageBreak/>
              <w:t>100</w:t>
            </w:r>
          </w:p>
        </w:tc>
        <w:tc>
          <w:tcPr>
            <w:tcW w:w="8701" w:type="dxa"/>
          </w:tcPr>
          <w:p w:rsidR="001A6C53" w:rsidRPr="00321A3B" w:rsidRDefault="001A6C53" w:rsidP="008D2F6E">
            <w:pPr>
              <w:spacing w:before="0" w:after="0"/>
              <w:ind w:left="33"/>
              <w:rPr>
                <w:rFonts w:ascii="Times New Roman" w:hAnsi="Times New Roman"/>
                <w:b/>
                <w:bCs/>
                <w:sz w:val="24"/>
                <w:u w:val="single"/>
              </w:rPr>
            </w:pPr>
            <w:r>
              <w:rPr>
                <w:rFonts w:ascii="Times New Roman" w:hAnsi="Times New Roman"/>
                <w:b/>
                <w:sz w:val="24"/>
                <w:u w:val="single"/>
              </w:rPr>
              <w:t>Administrations régionales ou locales [Administrations centrales et banques ce</w:t>
            </w:r>
            <w:r>
              <w:rPr>
                <w:rFonts w:ascii="Times New Roman" w:hAnsi="Times New Roman"/>
                <w:b/>
                <w:sz w:val="24"/>
                <w:u w:val="single"/>
              </w:rPr>
              <w:t>n</w:t>
            </w:r>
            <w:r>
              <w:rPr>
                <w:rFonts w:ascii="Times New Roman" w:hAnsi="Times New Roman"/>
                <w:b/>
                <w:sz w:val="24"/>
                <w:u w:val="single"/>
              </w:rPr>
              <w:t>trales]</w:t>
            </w:r>
          </w:p>
          <w:p w:rsidR="001A6C53" w:rsidRPr="00321A3B"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Les expositions sur des administrations publiques qui sont des administrations régi</w:t>
            </w:r>
            <w:r>
              <w:rPr>
                <w:rFonts w:ascii="Times New Roman" w:hAnsi="Times New Roman"/>
                <w:sz w:val="24"/>
              </w:rPr>
              <w:t>o</w:t>
            </w:r>
            <w:r>
              <w:rPr>
                <w:rFonts w:ascii="Times New Roman" w:hAnsi="Times New Roman"/>
                <w:sz w:val="24"/>
              </w:rPr>
              <w:t>nales ou locales et qui sont affectées à la catégorie d'expositions «Administrations ce</w:t>
            </w:r>
            <w:r>
              <w:rPr>
                <w:rFonts w:ascii="Times New Roman" w:hAnsi="Times New Roman"/>
                <w:sz w:val="24"/>
              </w:rPr>
              <w:t>n</w:t>
            </w:r>
            <w:r>
              <w:rPr>
                <w:rFonts w:ascii="Times New Roman" w:hAnsi="Times New Roman"/>
                <w:sz w:val="24"/>
              </w:rPr>
              <w:t>trales et banques centrales» conformément à l'article 147, paragraphe 3, point a), du CRR, comme indiqué dans les instructions relatives aux modèles C 08.01 et C 08.02, à l'exception des indications relatives à la redistribution des expositions sur des admini</w:t>
            </w:r>
            <w:r>
              <w:rPr>
                <w:rFonts w:ascii="Times New Roman" w:hAnsi="Times New Roman"/>
                <w:sz w:val="24"/>
              </w:rPr>
              <w:t>s</w:t>
            </w:r>
            <w:r>
              <w:rPr>
                <w:rFonts w:ascii="Times New Roman" w:hAnsi="Times New Roman"/>
                <w:sz w:val="24"/>
              </w:rPr>
              <w:t>trations publiques vers d'autres catégories d'exposition en raison de l'application de techniques d'atténuation du risque de crédit avec effets de substitution sur l'exposition, qui ne s'appliquent pas.</w:t>
            </w:r>
          </w:p>
          <w:p w:rsidR="001A6C53" w:rsidRPr="00392FFD" w:rsidRDefault="001A6C53" w:rsidP="008D2F6E">
            <w:pPr>
              <w:spacing w:before="0" w:after="0"/>
              <w:ind w:left="33"/>
              <w:rPr>
                <w:rFonts w:ascii="Times New Roman" w:hAnsi="Times New Roman"/>
                <w:bCs/>
                <w:sz w:val="24"/>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110</w:t>
            </w:r>
          </w:p>
        </w:tc>
        <w:tc>
          <w:tcPr>
            <w:tcW w:w="8701"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Administrations régionales ou locales [Établissements]</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Les expositions sur des administrations publiques qui sont des administrations régi</w:t>
            </w:r>
            <w:r>
              <w:rPr>
                <w:rFonts w:ascii="Times New Roman" w:hAnsi="Times New Roman"/>
                <w:sz w:val="24"/>
              </w:rPr>
              <w:t>o</w:t>
            </w:r>
            <w:r>
              <w:rPr>
                <w:rFonts w:ascii="Times New Roman" w:hAnsi="Times New Roman"/>
                <w:sz w:val="24"/>
              </w:rPr>
              <w:t>nales ou locales et qui sont affectées à la catégorie d'expositions «Établissements» co</w:t>
            </w:r>
            <w:r>
              <w:rPr>
                <w:rFonts w:ascii="Times New Roman" w:hAnsi="Times New Roman"/>
                <w:sz w:val="24"/>
              </w:rPr>
              <w:t>n</w:t>
            </w:r>
            <w:r>
              <w:rPr>
                <w:rFonts w:ascii="Times New Roman" w:hAnsi="Times New Roman"/>
                <w:sz w:val="24"/>
              </w:rPr>
              <w:t>formément à l'article 147, paragraphe 4, point a), du CRR, comme indiqué dans les in</w:t>
            </w:r>
            <w:r>
              <w:rPr>
                <w:rFonts w:ascii="Times New Roman" w:hAnsi="Times New Roman"/>
                <w:sz w:val="24"/>
              </w:rPr>
              <w:t>s</w:t>
            </w:r>
            <w:r>
              <w:rPr>
                <w:rFonts w:ascii="Times New Roman" w:hAnsi="Times New Roman"/>
                <w:sz w:val="24"/>
              </w:rPr>
              <w:t>tructions relatives aux modèles C 08.01 et C 08.02, à l'exception des indications rel</w:t>
            </w:r>
            <w:r>
              <w:rPr>
                <w:rFonts w:ascii="Times New Roman" w:hAnsi="Times New Roman"/>
                <w:sz w:val="24"/>
              </w:rPr>
              <w:t>a</w:t>
            </w:r>
            <w:r>
              <w:rPr>
                <w:rFonts w:ascii="Times New Roman" w:hAnsi="Times New Roman"/>
                <w:sz w:val="24"/>
              </w:rPr>
              <w:t>tives à la redistribution des expositions sur des administrations publiques vers d'autres catégories d'exposition en raison de l'application de techniques d'atténuation du risque de crédit avec effets de substitution sur l'exposition, qui ne s'appliquent pas.</w:t>
            </w:r>
          </w:p>
          <w:p w:rsidR="001A6C53" w:rsidRPr="00392FFD" w:rsidRDefault="001A6C53" w:rsidP="008D2F6E">
            <w:pPr>
              <w:spacing w:before="0" w:after="0"/>
              <w:ind w:left="33"/>
              <w:rPr>
                <w:rFonts w:ascii="Times New Roman" w:hAnsi="Times New Roman"/>
                <w:bCs/>
                <w:sz w:val="24"/>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120</w:t>
            </w:r>
          </w:p>
        </w:tc>
        <w:tc>
          <w:tcPr>
            <w:tcW w:w="8701"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Entités du secteur public [Administrations centrales et banques centrales]</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Les expositions sur des administrations publiques qui sont des entités du secteur public conformément à l'article 4, point 8), du CRR et qui sont affectées à la catégorie d'exp</w:t>
            </w:r>
            <w:r>
              <w:rPr>
                <w:rFonts w:ascii="Times New Roman" w:hAnsi="Times New Roman"/>
                <w:sz w:val="24"/>
              </w:rPr>
              <w:t>o</w:t>
            </w:r>
            <w:r>
              <w:rPr>
                <w:rFonts w:ascii="Times New Roman" w:hAnsi="Times New Roman"/>
                <w:sz w:val="24"/>
              </w:rPr>
              <w:t>sitions «Administrations centrales et banques centrales» conformément à l'article 147, paragraphe 3, point a), du CRR, comme indiqué dans les instructions relatives aux m</w:t>
            </w:r>
            <w:r>
              <w:rPr>
                <w:rFonts w:ascii="Times New Roman" w:hAnsi="Times New Roman"/>
                <w:sz w:val="24"/>
              </w:rPr>
              <w:t>o</w:t>
            </w:r>
            <w:r>
              <w:rPr>
                <w:rFonts w:ascii="Times New Roman" w:hAnsi="Times New Roman"/>
                <w:sz w:val="24"/>
              </w:rPr>
              <w:t>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rsidR="001A6C53" w:rsidRPr="00392FFD" w:rsidRDefault="001A6C53" w:rsidP="008D2F6E">
            <w:pPr>
              <w:spacing w:before="0" w:after="0"/>
              <w:ind w:left="33"/>
              <w:rPr>
                <w:rFonts w:ascii="Times New Roman" w:hAnsi="Times New Roman"/>
                <w:bCs/>
                <w:sz w:val="24"/>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130</w:t>
            </w:r>
          </w:p>
        </w:tc>
        <w:tc>
          <w:tcPr>
            <w:tcW w:w="8701"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Entités du secteur public [Établissements]</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Les expositions sur des administrations publiques qui sont des entités du secteur public conformément à l'article 4, point 8), du CRR et qui sont affectées à la catégorie d'exp</w:t>
            </w:r>
            <w:r>
              <w:rPr>
                <w:rFonts w:ascii="Times New Roman" w:hAnsi="Times New Roman"/>
                <w:sz w:val="24"/>
              </w:rPr>
              <w:t>o</w:t>
            </w:r>
            <w:r>
              <w:rPr>
                <w:rFonts w:ascii="Times New Roman" w:hAnsi="Times New Roman"/>
                <w:sz w:val="24"/>
              </w:rPr>
              <w:t>sitions «Établissements» conformément à l'article 147, paragraphe 4, point b), du CRR, comme indiqué dans les instructions relatives aux modèles C 08.01 et C 08.02, à l'e</w:t>
            </w:r>
            <w:r>
              <w:rPr>
                <w:rFonts w:ascii="Times New Roman" w:hAnsi="Times New Roman"/>
                <w:sz w:val="24"/>
              </w:rPr>
              <w:t>x</w:t>
            </w:r>
            <w:r>
              <w:rPr>
                <w:rFonts w:ascii="Times New Roman" w:hAnsi="Times New Roman"/>
                <w:sz w:val="24"/>
              </w:rPr>
              <w:t>ception des indications relatives à la redistribution des expositions sur des administr</w:t>
            </w:r>
            <w:r>
              <w:rPr>
                <w:rFonts w:ascii="Times New Roman" w:hAnsi="Times New Roman"/>
                <w:sz w:val="24"/>
              </w:rPr>
              <w:t>a</w:t>
            </w:r>
            <w:r>
              <w:rPr>
                <w:rFonts w:ascii="Times New Roman" w:hAnsi="Times New Roman"/>
                <w:sz w:val="24"/>
              </w:rPr>
              <w:t>tions publiques vers d'autres catégories d'exposition en raison de l'application de tec</w:t>
            </w:r>
            <w:r>
              <w:rPr>
                <w:rFonts w:ascii="Times New Roman" w:hAnsi="Times New Roman"/>
                <w:sz w:val="24"/>
              </w:rPr>
              <w:t>h</w:t>
            </w:r>
            <w:r>
              <w:rPr>
                <w:rFonts w:ascii="Times New Roman" w:hAnsi="Times New Roman"/>
                <w:sz w:val="24"/>
              </w:rPr>
              <w:t>niques d'atténuation du risque de crédit avec effets de substitution sur l'exposition, qui ne s'appliquent pas.</w:t>
            </w:r>
          </w:p>
          <w:p w:rsidR="001A6C53" w:rsidRPr="00392FFD" w:rsidRDefault="001A6C53" w:rsidP="008D2F6E">
            <w:pPr>
              <w:spacing w:before="0" w:after="0"/>
              <w:ind w:left="33"/>
              <w:rPr>
                <w:rFonts w:ascii="Times New Roman" w:hAnsi="Times New Roman"/>
                <w:bCs/>
                <w:sz w:val="24"/>
              </w:rPr>
            </w:pPr>
          </w:p>
        </w:tc>
      </w:tr>
      <w:tr w:rsidR="001A6C53" w:rsidRPr="00392FFD" w:rsidTr="008D2F6E">
        <w:tc>
          <w:tcPr>
            <w:tcW w:w="1188" w:type="dxa"/>
          </w:tcPr>
          <w:p w:rsidR="001A6C53" w:rsidRPr="00392FFD" w:rsidDel="00C211CB" w:rsidRDefault="001A6C53" w:rsidP="008D2F6E">
            <w:pPr>
              <w:spacing w:before="0" w:after="0"/>
              <w:ind w:left="33"/>
              <w:rPr>
                <w:rFonts w:ascii="Times New Roman" w:hAnsi="Times New Roman"/>
                <w:bCs/>
                <w:sz w:val="24"/>
              </w:rPr>
            </w:pPr>
            <w:r>
              <w:rPr>
                <w:rFonts w:ascii="Times New Roman" w:hAnsi="Times New Roman"/>
                <w:sz w:val="24"/>
              </w:rPr>
              <w:t>140</w:t>
            </w:r>
          </w:p>
        </w:tc>
        <w:tc>
          <w:tcPr>
            <w:tcW w:w="8701"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Organisations internationales [Administrations centrales et banques centrales]</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Les expositions sur des administrations publiques qui sont des organisations internati</w:t>
            </w:r>
            <w:r>
              <w:rPr>
                <w:rFonts w:ascii="Times New Roman" w:hAnsi="Times New Roman"/>
                <w:sz w:val="24"/>
              </w:rPr>
              <w:t>o</w:t>
            </w:r>
            <w:r>
              <w:rPr>
                <w:rFonts w:ascii="Times New Roman" w:hAnsi="Times New Roman"/>
                <w:sz w:val="24"/>
              </w:rPr>
              <w:t>nales et qui sont affectées à la catégorie d'expositions «Administrations centrales et banques centrales» conformément à l'article 147, paragraphe 3, point a), du CRR, comme indiqué dans les instructions relatives aux modèles C 08.01 et C 08.02, à l'e</w:t>
            </w:r>
            <w:r>
              <w:rPr>
                <w:rFonts w:ascii="Times New Roman" w:hAnsi="Times New Roman"/>
                <w:sz w:val="24"/>
              </w:rPr>
              <w:t>x</w:t>
            </w:r>
            <w:r>
              <w:rPr>
                <w:rFonts w:ascii="Times New Roman" w:hAnsi="Times New Roman"/>
                <w:sz w:val="24"/>
              </w:rPr>
              <w:lastRenderedPageBreak/>
              <w:t>ception des indications relatives à la redistribution des expositions sur des administr</w:t>
            </w:r>
            <w:r>
              <w:rPr>
                <w:rFonts w:ascii="Times New Roman" w:hAnsi="Times New Roman"/>
                <w:sz w:val="24"/>
              </w:rPr>
              <w:t>a</w:t>
            </w:r>
            <w:r>
              <w:rPr>
                <w:rFonts w:ascii="Times New Roman" w:hAnsi="Times New Roman"/>
                <w:sz w:val="24"/>
              </w:rPr>
              <w:t>tions publiques vers d'autres catégories d'exposition en raison de l'application de tec</w:t>
            </w:r>
            <w:r>
              <w:rPr>
                <w:rFonts w:ascii="Times New Roman" w:hAnsi="Times New Roman"/>
                <w:sz w:val="24"/>
              </w:rPr>
              <w:t>h</w:t>
            </w:r>
            <w:r>
              <w:rPr>
                <w:rFonts w:ascii="Times New Roman" w:hAnsi="Times New Roman"/>
                <w:sz w:val="24"/>
              </w:rPr>
              <w:t>niques d'atténuation du risque de crédit avec effets de substitution sur l'exposition, qui ne s'appliquent pas.</w:t>
            </w:r>
          </w:p>
          <w:p w:rsidR="001A6C53" w:rsidRPr="00392FFD" w:rsidRDefault="001A6C53" w:rsidP="008D2F6E">
            <w:pPr>
              <w:spacing w:before="0" w:after="0"/>
              <w:ind w:left="33"/>
              <w:rPr>
                <w:rFonts w:ascii="Times New Roman" w:hAnsi="Times New Roman"/>
                <w:b/>
                <w:bCs/>
                <w:sz w:val="24"/>
                <w:u w:val="single"/>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lastRenderedPageBreak/>
              <w:t>155</w:t>
            </w:r>
          </w:p>
        </w:tc>
        <w:tc>
          <w:tcPr>
            <w:tcW w:w="8701"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Autres expositions sur des administrations publiques relevant de l’approche NI</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Expositions sur des administrations publiques autres que celles incluses dans les lignes 090 à 140 ci-dessus, qui sont affectées aux catégories d'exposition au risque en a</w:t>
            </w:r>
            <w:r>
              <w:rPr>
                <w:rFonts w:ascii="Times New Roman" w:hAnsi="Times New Roman"/>
                <w:sz w:val="24"/>
              </w:rPr>
              <w:t>p</w:t>
            </w:r>
            <w:r>
              <w:rPr>
                <w:rFonts w:ascii="Times New Roman" w:hAnsi="Times New Roman"/>
                <w:sz w:val="24"/>
              </w:rPr>
              <w:t>proche NI conformément à l’article 147 du CRR aux fins du calcul des exigences de fonds propres.</w:t>
            </w:r>
          </w:p>
          <w:p w:rsidR="001A6C53" w:rsidRPr="00392FFD" w:rsidRDefault="001A6C53" w:rsidP="008D2F6E">
            <w:pPr>
              <w:spacing w:before="0" w:after="0"/>
              <w:ind w:left="33"/>
              <w:rPr>
                <w:rFonts w:ascii="Times New Roman" w:hAnsi="Times New Roman"/>
                <w:b/>
                <w:bCs/>
                <w:sz w:val="24"/>
                <w:u w:val="single"/>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160</w:t>
            </w:r>
          </w:p>
        </w:tc>
        <w:tc>
          <w:tcPr>
            <w:tcW w:w="8701" w:type="dxa"/>
          </w:tcPr>
          <w:p w:rsidR="001A6C53" w:rsidRPr="00392FFD" w:rsidRDefault="001A6C53" w:rsidP="008D2F6E">
            <w:pPr>
              <w:spacing w:before="0" w:after="0"/>
              <w:ind w:left="33"/>
              <w:rPr>
                <w:rFonts w:ascii="Times New Roman" w:hAnsi="Times New Roman"/>
                <w:b/>
                <w:bCs/>
                <w:sz w:val="24"/>
                <w:u w:val="single"/>
              </w:rPr>
            </w:pPr>
            <w:r>
              <w:rPr>
                <w:rFonts w:ascii="Times New Roman" w:hAnsi="Times New Roman"/>
                <w:b/>
                <w:sz w:val="24"/>
                <w:u w:val="single"/>
              </w:rPr>
              <w:t>Expositions soumises au risque de marché</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Les expositions au risque de marché couvrent les positions pour lesquelles des ex</w:t>
            </w:r>
            <w:r>
              <w:rPr>
                <w:rFonts w:ascii="Times New Roman" w:hAnsi="Times New Roman"/>
                <w:sz w:val="24"/>
              </w:rPr>
              <w:t>i</w:t>
            </w:r>
            <w:r>
              <w:rPr>
                <w:rFonts w:ascii="Times New Roman" w:hAnsi="Times New Roman"/>
                <w:sz w:val="24"/>
              </w:rPr>
              <w:t>gences de fonds propres sont calculées conformément au titre IV de la partie trois du CRR.</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Les expositions directes entrant dans le champ d'application de l’article 271 du CRR soumises à des exigences de fonds propres à la fois pour risque de crédit de contrepartie et pour risque de marché seront déclarées à la fois dans les lignes relatives au risque de crédit (020 à 150) et dans la ligne relative au risque de marché (ligne 160): l’exposition due au risque de crédit de contrepartie sera déclarée dans les lignes relatives au risque de crédit, tandis que celle due au risque de marché sera déclarée dans la ligne relative au risque de marché.</w:t>
            </w:r>
          </w:p>
          <w:p w:rsidR="001A6C53" w:rsidRPr="00392FFD" w:rsidRDefault="001A6C53" w:rsidP="008D2F6E">
            <w:pPr>
              <w:spacing w:before="0" w:after="0"/>
              <w:ind w:left="33"/>
              <w:rPr>
                <w:rFonts w:ascii="Times New Roman" w:hAnsi="Times New Roman"/>
                <w:bCs/>
                <w:sz w:val="24"/>
              </w:rPr>
            </w:pPr>
          </w:p>
        </w:tc>
      </w:tr>
      <w:tr w:rsidR="001A6C53" w:rsidRPr="00392FFD" w:rsidTr="008D2F6E">
        <w:tc>
          <w:tcPr>
            <w:tcW w:w="1188" w:type="dxa"/>
          </w:tcPr>
          <w:p w:rsidR="001A6C53" w:rsidRPr="00392FFD" w:rsidRDefault="001A6C53" w:rsidP="008D2F6E">
            <w:pPr>
              <w:spacing w:before="0" w:after="0"/>
              <w:ind w:left="33"/>
              <w:rPr>
                <w:rFonts w:ascii="Times New Roman" w:hAnsi="Times New Roman"/>
                <w:bCs/>
                <w:sz w:val="24"/>
              </w:rPr>
            </w:pPr>
            <w:r>
              <w:rPr>
                <w:rFonts w:ascii="Times New Roman" w:hAnsi="Times New Roman"/>
                <w:sz w:val="24"/>
              </w:rPr>
              <w:t>170-230</w:t>
            </w:r>
          </w:p>
        </w:tc>
        <w:tc>
          <w:tcPr>
            <w:tcW w:w="8701" w:type="dxa"/>
          </w:tcPr>
          <w:p w:rsidR="001A6C53" w:rsidRPr="00392FFD" w:rsidRDefault="001A6C53" w:rsidP="008D2F6E">
            <w:pPr>
              <w:spacing w:before="0" w:after="0"/>
              <w:ind w:left="33"/>
              <w:rPr>
                <w:rFonts w:ascii="Times New Roman" w:hAnsi="Times New Roman"/>
                <w:b/>
                <w:bCs/>
                <w:sz w:val="24"/>
              </w:rPr>
            </w:pPr>
            <w:r>
              <w:rPr>
                <w:rFonts w:ascii="Times New Roman" w:hAnsi="Times New Roman"/>
                <w:b/>
                <w:sz w:val="24"/>
              </w:rPr>
              <w:t>RÉPARTITION DES EXPOSITIONS PAR ÉCHÉANCE RÉSIDUELLE</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L'échéance résiduelle correspond au nombre de jours séparant la date contractuelle d'échéance et la date de référence de la déclaration pour toutes les positions.</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33"/>
              <w:rPr>
                <w:rFonts w:ascii="Times New Roman" w:hAnsi="Times New Roman"/>
                <w:bCs/>
                <w:sz w:val="24"/>
              </w:rPr>
            </w:pPr>
            <w:r>
              <w:rPr>
                <w:rFonts w:ascii="Times New Roman" w:hAnsi="Times New Roman"/>
                <w:sz w:val="24"/>
              </w:rPr>
              <w:t>Les expositions sur les administrations publiques seront ventilées en fonction de l'échéance résiduelle et affectées aux différentes catégories d'échéance prévues de la manière suivante:</w:t>
            </w:r>
          </w:p>
          <w:p w:rsidR="001A6C53" w:rsidRPr="00392FFD" w:rsidRDefault="001A6C53" w:rsidP="008D2F6E">
            <w:pPr>
              <w:spacing w:before="0" w:after="0"/>
              <w:ind w:left="33"/>
              <w:rPr>
                <w:rFonts w:ascii="Times New Roman" w:hAnsi="Times New Roman"/>
                <w:bCs/>
                <w:sz w:val="24"/>
              </w:rPr>
            </w:pPr>
          </w:p>
          <w:p w:rsidR="001A6C53" w:rsidRPr="00392FFD" w:rsidRDefault="001A6C53" w:rsidP="008D2F6E">
            <w:pPr>
              <w:spacing w:before="0" w:after="0"/>
              <w:ind w:left="808" w:hanging="360"/>
              <w:rPr>
                <w:rFonts w:ascii="Symbol" w:hAnsi="Symbol"/>
                <w:bCs/>
                <w:sz w:val="24"/>
              </w:rPr>
            </w:pPr>
            <w:r>
              <w:tab/>
            </w:r>
            <w:r>
              <w:rPr>
                <w:rFonts w:ascii="Times New Roman" w:hAnsi="Times New Roman"/>
                <w:b/>
                <w:sz w:val="24"/>
              </w:rPr>
              <w:t>[ 0 - 3M [</w:t>
            </w:r>
            <w:r>
              <w:rPr>
                <w:rFonts w:ascii="Times New Roman" w:hAnsi="Times New Roman"/>
                <w:sz w:val="24"/>
              </w:rPr>
              <w:t xml:space="preserve"> : Moins de 90 jours</w:t>
            </w:r>
          </w:p>
          <w:p w:rsidR="001A6C53" w:rsidRPr="00392FFD" w:rsidRDefault="001A6C53" w:rsidP="008D2F6E">
            <w:pPr>
              <w:spacing w:before="0" w:after="0"/>
              <w:ind w:left="808" w:hanging="360"/>
              <w:rPr>
                <w:rFonts w:ascii="Symbol" w:hAnsi="Symbol"/>
                <w:bCs/>
                <w:sz w:val="24"/>
              </w:rPr>
            </w:pPr>
            <w:r>
              <w:tab/>
            </w:r>
            <w:r>
              <w:rPr>
                <w:rFonts w:ascii="Times New Roman" w:hAnsi="Times New Roman"/>
                <w:b/>
                <w:sz w:val="24"/>
              </w:rPr>
              <w:t>[ 3M - 1A [</w:t>
            </w:r>
            <w:r>
              <w:rPr>
                <w:rFonts w:ascii="Times New Roman" w:hAnsi="Times New Roman"/>
                <w:sz w:val="24"/>
              </w:rPr>
              <w:t xml:space="preserve"> : Supérieur ou égal à 90 jours et inférieur à 365 jours</w:t>
            </w:r>
          </w:p>
          <w:p w:rsidR="001A6C53" w:rsidRPr="00392FFD" w:rsidRDefault="001A6C53" w:rsidP="008D2F6E">
            <w:pPr>
              <w:spacing w:before="0" w:after="0"/>
              <w:ind w:left="808" w:hanging="360"/>
              <w:rPr>
                <w:rFonts w:ascii="Symbol" w:hAnsi="Symbol"/>
                <w:bCs/>
                <w:sz w:val="24"/>
              </w:rPr>
            </w:pPr>
            <w:r>
              <w:tab/>
            </w:r>
            <w:r>
              <w:rPr>
                <w:rFonts w:ascii="Times New Roman" w:hAnsi="Times New Roman"/>
                <w:b/>
                <w:sz w:val="24"/>
              </w:rPr>
              <w:t>[ 1A – 2A [</w:t>
            </w:r>
            <w:r>
              <w:rPr>
                <w:rFonts w:ascii="Times New Roman" w:hAnsi="Times New Roman"/>
                <w:sz w:val="24"/>
              </w:rPr>
              <w:t xml:space="preserve"> : Supérieur ou égal à 365 jours et inférieur à 730 jours</w:t>
            </w:r>
          </w:p>
          <w:p w:rsidR="001A6C53" w:rsidRPr="00392FFD" w:rsidRDefault="001A6C53" w:rsidP="008D2F6E">
            <w:pPr>
              <w:spacing w:before="0" w:after="0"/>
              <w:ind w:left="808" w:hanging="360"/>
              <w:rPr>
                <w:rFonts w:ascii="Symbol" w:hAnsi="Symbol"/>
                <w:bCs/>
                <w:sz w:val="24"/>
              </w:rPr>
            </w:pPr>
            <w:r>
              <w:tab/>
            </w:r>
            <w:r>
              <w:rPr>
                <w:rFonts w:ascii="Times New Roman" w:hAnsi="Times New Roman"/>
                <w:b/>
                <w:sz w:val="24"/>
              </w:rPr>
              <w:t>[ 2A – 3A [</w:t>
            </w:r>
            <w:r>
              <w:rPr>
                <w:rFonts w:ascii="Times New Roman" w:hAnsi="Times New Roman"/>
                <w:sz w:val="24"/>
              </w:rPr>
              <w:t xml:space="preserve"> : Supérieur ou égal à 730 jours et inférieur à 1 095 jours</w:t>
            </w:r>
          </w:p>
          <w:p w:rsidR="001A6C53" w:rsidRPr="00392FFD" w:rsidRDefault="001A6C53" w:rsidP="008D2F6E">
            <w:pPr>
              <w:spacing w:before="0" w:after="0"/>
              <w:ind w:left="808" w:hanging="360"/>
              <w:rPr>
                <w:rFonts w:ascii="Symbol" w:hAnsi="Symbol"/>
                <w:bCs/>
                <w:sz w:val="24"/>
              </w:rPr>
            </w:pPr>
            <w:r>
              <w:tab/>
            </w:r>
            <w:r>
              <w:rPr>
                <w:rFonts w:ascii="Times New Roman" w:hAnsi="Times New Roman"/>
                <w:b/>
                <w:sz w:val="24"/>
              </w:rPr>
              <w:t>[ 3A – 5A [</w:t>
            </w:r>
            <w:r>
              <w:rPr>
                <w:rFonts w:ascii="Times New Roman" w:hAnsi="Times New Roman"/>
                <w:sz w:val="24"/>
              </w:rPr>
              <w:t xml:space="preserve"> : Supérieur ou égal à 1 095 jours et inférieur à 1 825 jours</w:t>
            </w:r>
          </w:p>
          <w:p w:rsidR="001A6C53" w:rsidRPr="00392FFD" w:rsidRDefault="001A6C53" w:rsidP="008D2F6E">
            <w:pPr>
              <w:spacing w:before="0" w:after="0"/>
              <w:ind w:left="808" w:hanging="360"/>
              <w:rPr>
                <w:rFonts w:ascii="Symbol" w:hAnsi="Symbol"/>
                <w:bCs/>
                <w:sz w:val="24"/>
              </w:rPr>
            </w:pPr>
            <w:r>
              <w:tab/>
            </w:r>
            <w:r>
              <w:rPr>
                <w:rFonts w:ascii="Times New Roman" w:hAnsi="Times New Roman"/>
                <w:b/>
                <w:sz w:val="24"/>
              </w:rPr>
              <w:t>[ 5A – 10A [</w:t>
            </w:r>
            <w:r>
              <w:rPr>
                <w:rFonts w:ascii="Times New Roman" w:hAnsi="Times New Roman"/>
                <w:sz w:val="24"/>
              </w:rPr>
              <w:t xml:space="preserve"> : Supérieur ou égal à 1 825 jours et inférieur à 3 650 jours</w:t>
            </w:r>
          </w:p>
          <w:p w:rsidR="001A6C53" w:rsidRPr="00392FFD" w:rsidRDefault="001A6C53" w:rsidP="008D2F6E">
            <w:pPr>
              <w:spacing w:before="0" w:after="0"/>
              <w:ind w:left="808" w:hanging="360"/>
              <w:rPr>
                <w:rFonts w:ascii="Symbol" w:hAnsi="Symbol"/>
                <w:bCs/>
                <w:sz w:val="24"/>
              </w:rPr>
            </w:pPr>
            <w:r>
              <w:tab/>
            </w:r>
            <w:r>
              <w:rPr>
                <w:rFonts w:ascii="Times New Roman" w:hAnsi="Times New Roman"/>
                <w:b/>
                <w:sz w:val="24"/>
              </w:rPr>
              <w:t>[ 10A – plus</w:t>
            </w:r>
            <w:r>
              <w:rPr>
                <w:rFonts w:ascii="Times New Roman" w:hAnsi="Times New Roman"/>
                <w:sz w:val="24"/>
              </w:rPr>
              <w:t xml:space="preserve"> : Supérieur ou égal à 3 650 jours </w:t>
            </w:r>
          </w:p>
          <w:p w:rsidR="001A6C53" w:rsidRPr="00392FFD" w:rsidRDefault="001A6C53" w:rsidP="008D2F6E">
            <w:pPr>
              <w:spacing w:before="0" w:after="0"/>
              <w:ind w:left="33"/>
              <w:rPr>
                <w:rFonts w:ascii="Times New Roman" w:hAnsi="Times New Roman"/>
                <w:bCs/>
                <w:sz w:val="24"/>
              </w:rPr>
            </w:pPr>
          </w:p>
        </w:tc>
      </w:tr>
    </w:tbl>
    <w:p w:rsidR="001A6C53" w:rsidRPr="00392FFD" w:rsidRDefault="001A6C53" w:rsidP="001A6C53">
      <w:pPr>
        <w:spacing w:after="0"/>
        <w:rPr>
          <w:rStyle w:val="InstructionsTabelleText"/>
          <w:rFonts w:ascii="Times New Roman" w:hAnsi="Times New Roman"/>
          <w:sz w:val="24"/>
        </w:rPr>
      </w:pPr>
      <w:bookmarkStart w:id="453" w:name="_GoBack"/>
      <w:bookmarkEnd w:id="453"/>
    </w:p>
    <w:bookmarkEnd w:id="375"/>
    <w:bookmarkEnd w:id="376"/>
    <w:bookmarkEnd w:id="377"/>
    <w:p w:rsidR="00FD54FC" w:rsidRPr="00D72DF8" w:rsidRDefault="00FD54FC" w:rsidP="006452A4">
      <w:pPr>
        <w:spacing w:after="0"/>
        <w:rPr>
          <w:rStyle w:val="InstructionsTabelleText"/>
          <w:rFonts w:ascii="Times New Roman" w:hAnsi="Times New Roman"/>
          <w:sz w:val="24"/>
          <w:lang w:val="en-US"/>
        </w:rPr>
      </w:pPr>
    </w:p>
    <w:sectPr w:rsidR="00FD54FC" w:rsidRPr="00D72DF8"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21B" w:rsidRDefault="0081721B" w:rsidP="00D946DB">
      <w:pPr>
        <w:spacing w:before="0" w:after="0"/>
      </w:pPr>
      <w:r>
        <w:separator/>
      </w:r>
    </w:p>
  </w:endnote>
  <w:endnote w:type="continuationSeparator" w:id="0">
    <w:p w:rsidR="0081721B" w:rsidRDefault="0081721B" w:rsidP="00D946DB">
      <w:pPr>
        <w:spacing w:before="0" w:after="0"/>
      </w:pPr>
      <w:r>
        <w:continuationSeparator/>
      </w:r>
    </w:p>
  </w:endnote>
  <w:endnote w:type="continuationNotice" w:id="1">
    <w:p w:rsidR="0081721B" w:rsidRDefault="0081721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801" w:rsidRPr="00ED1956" w:rsidRDefault="00B90801">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491A6F">
      <w:rPr>
        <w:rFonts w:ascii="Times New Roman" w:hAnsi="Times New Roman"/>
        <w:noProof/>
        <w:sz w:val="22"/>
        <w:szCs w:val="22"/>
      </w:rPr>
      <w:t>7</w:t>
    </w:r>
    <w:r w:rsidRPr="00ED1956">
      <w:rPr>
        <w:rFonts w:ascii="Times New Roman" w:hAnsi="Times New Roman"/>
        <w:sz w:val="22"/>
        <w:szCs w:val="22"/>
      </w:rPr>
      <w:fldChar w:fldCharType="end"/>
    </w:r>
  </w:p>
  <w:p w:rsidR="00B90801" w:rsidRDefault="00B908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801" w:rsidRPr="00E85358" w:rsidRDefault="00B90801">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491A6F">
      <w:rPr>
        <w:noProof/>
        <w:sz w:val="22"/>
        <w:szCs w:val="22"/>
      </w:rPr>
      <w:t>1</w:t>
    </w:r>
    <w:r w:rsidRPr="00E85358">
      <w:rPr>
        <w:noProof/>
        <w:sz w:val="22"/>
        <w:szCs w:val="22"/>
      </w:rPr>
      <w:fldChar w:fldCharType="end"/>
    </w:r>
  </w:p>
  <w:p w:rsidR="00B90801" w:rsidRDefault="00B908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801" w:rsidRDefault="00B90801">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B90801" w:rsidRDefault="00B90801">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801" w:rsidRPr="00ED1956" w:rsidRDefault="00B90801">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613677">
      <w:rPr>
        <w:rFonts w:ascii="Times New Roman" w:hAnsi="Times New Roman"/>
        <w:noProof/>
        <w:sz w:val="20"/>
        <w:szCs w:val="20"/>
      </w:rPr>
      <w:t>240</w:t>
    </w:r>
    <w:r w:rsidRPr="00ED1956">
      <w:rPr>
        <w:rFonts w:ascii="Times New Roman" w:hAnsi="Times New Roman"/>
        <w:sz w:val="20"/>
        <w:szCs w:val="20"/>
      </w:rPr>
      <w:fldChar w:fldCharType="end"/>
    </w:r>
  </w:p>
  <w:p w:rsidR="00B90801" w:rsidRPr="00A772B4" w:rsidRDefault="00B90801"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21B" w:rsidRDefault="0081721B" w:rsidP="00D946DB">
      <w:pPr>
        <w:spacing w:before="0" w:after="0"/>
      </w:pPr>
      <w:r>
        <w:separator/>
      </w:r>
    </w:p>
  </w:footnote>
  <w:footnote w:type="continuationSeparator" w:id="0">
    <w:p w:rsidR="0081721B" w:rsidRDefault="0081721B" w:rsidP="00D946DB">
      <w:pPr>
        <w:spacing w:before="0" w:after="0"/>
      </w:pPr>
      <w:r>
        <w:continuationSeparator/>
      </w:r>
    </w:p>
  </w:footnote>
  <w:footnote w:type="continuationNotice" w:id="1">
    <w:p w:rsidR="0081721B" w:rsidRDefault="0081721B">
      <w:pPr>
        <w:spacing w:before="0" w:after="0"/>
      </w:pPr>
    </w:p>
  </w:footnote>
  <w:footnote w:id="2">
    <w:p w:rsidR="00B90801" w:rsidRPr="0017440D" w:rsidRDefault="00B90801" w:rsidP="001A6C5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Les données exigées des établissements dans ce modèle seront déclarées sur une base cumulée pour l'année civile ou le rapport de l'exercice (soit depuis le 1</w:t>
      </w:r>
      <w:r>
        <w:rPr>
          <w:rFonts w:ascii="Times New Roman" w:hAnsi="Times New Roman"/>
          <w:vertAlign w:val="superscript"/>
        </w:rPr>
        <w:t>er</w:t>
      </w:r>
      <w:r>
        <w:rPr>
          <w:rFonts w:ascii="Times New Roman" w:hAnsi="Times New Roman"/>
        </w:rPr>
        <w:t> janvier de l'année en cours).</w:t>
      </w:r>
    </w:p>
  </w:footnote>
  <w:footnote w:id="3">
    <w:p w:rsidR="00B90801" w:rsidRPr="0017440D" w:rsidRDefault="00B90801" w:rsidP="001A6C5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Les «établissements indépendants» ne font pas partie d'un groupe et ne se consolident pas eux-mêmes dans le pays où ils sont soumis aux exigences de fonds propres.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801" w:rsidRDefault="00B908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801" w:rsidRDefault="00B90801">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0998"/>
    <w:rsid w:val="00041480"/>
    <w:rsid w:val="00042D3B"/>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DAB"/>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D6DD9"/>
    <w:rsid w:val="000E093A"/>
    <w:rsid w:val="000E1572"/>
    <w:rsid w:val="000E29C9"/>
    <w:rsid w:val="000E3F99"/>
    <w:rsid w:val="000E6835"/>
    <w:rsid w:val="000E7BA8"/>
    <w:rsid w:val="000E7F08"/>
    <w:rsid w:val="000F13F9"/>
    <w:rsid w:val="000F1CEA"/>
    <w:rsid w:val="000F246D"/>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6C53"/>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D743D"/>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29E"/>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63A4"/>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20A"/>
    <w:rsid w:val="002C5671"/>
    <w:rsid w:val="002C6263"/>
    <w:rsid w:val="002C674A"/>
    <w:rsid w:val="002D1093"/>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24C"/>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626"/>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5458"/>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2A8"/>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A6F"/>
    <w:rsid w:val="00491F4D"/>
    <w:rsid w:val="00492D77"/>
    <w:rsid w:val="00493D5E"/>
    <w:rsid w:val="00495E8F"/>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1B8B"/>
    <w:rsid w:val="004F2B30"/>
    <w:rsid w:val="004F3766"/>
    <w:rsid w:val="004F3D87"/>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67D"/>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B64CF"/>
    <w:rsid w:val="005C1BC9"/>
    <w:rsid w:val="005C287F"/>
    <w:rsid w:val="005C2A1D"/>
    <w:rsid w:val="005C517E"/>
    <w:rsid w:val="005C5D3F"/>
    <w:rsid w:val="005C6CF7"/>
    <w:rsid w:val="005C6DEB"/>
    <w:rsid w:val="005C7A91"/>
    <w:rsid w:val="005D2F62"/>
    <w:rsid w:val="005D3318"/>
    <w:rsid w:val="005D35A0"/>
    <w:rsid w:val="005D3E00"/>
    <w:rsid w:val="005D40D9"/>
    <w:rsid w:val="005D5914"/>
    <w:rsid w:val="005E0301"/>
    <w:rsid w:val="005E03B8"/>
    <w:rsid w:val="005E0917"/>
    <w:rsid w:val="005E3471"/>
    <w:rsid w:val="005E3EB3"/>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4E0"/>
    <w:rsid w:val="00602FA5"/>
    <w:rsid w:val="00605A9A"/>
    <w:rsid w:val="00605F23"/>
    <w:rsid w:val="00606250"/>
    <w:rsid w:val="0060673F"/>
    <w:rsid w:val="00606885"/>
    <w:rsid w:val="0060723F"/>
    <w:rsid w:val="00607523"/>
    <w:rsid w:val="006108B8"/>
    <w:rsid w:val="00610920"/>
    <w:rsid w:val="00610B56"/>
    <w:rsid w:val="00611073"/>
    <w:rsid w:val="0061222C"/>
    <w:rsid w:val="0061248F"/>
    <w:rsid w:val="00612780"/>
    <w:rsid w:val="006128D7"/>
    <w:rsid w:val="00613677"/>
    <w:rsid w:val="0061482E"/>
    <w:rsid w:val="0061552A"/>
    <w:rsid w:val="00616264"/>
    <w:rsid w:val="00616690"/>
    <w:rsid w:val="00616E90"/>
    <w:rsid w:val="00620AB3"/>
    <w:rsid w:val="006221C9"/>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37AE"/>
    <w:rsid w:val="006646B6"/>
    <w:rsid w:val="006660B9"/>
    <w:rsid w:val="00666996"/>
    <w:rsid w:val="00672D2A"/>
    <w:rsid w:val="006746DB"/>
    <w:rsid w:val="006750B8"/>
    <w:rsid w:val="00676B42"/>
    <w:rsid w:val="00676B98"/>
    <w:rsid w:val="006771CE"/>
    <w:rsid w:val="006778A2"/>
    <w:rsid w:val="00681382"/>
    <w:rsid w:val="00685182"/>
    <w:rsid w:val="0068594D"/>
    <w:rsid w:val="0068728A"/>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14EDC"/>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3C47"/>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2661"/>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28AE"/>
    <w:rsid w:val="00805255"/>
    <w:rsid w:val="00810F87"/>
    <w:rsid w:val="0081176B"/>
    <w:rsid w:val="00812582"/>
    <w:rsid w:val="00812B04"/>
    <w:rsid w:val="008136B4"/>
    <w:rsid w:val="00816B32"/>
    <w:rsid w:val="00816F2D"/>
    <w:rsid w:val="0081721B"/>
    <w:rsid w:val="00820E23"/>
    <w:rsid w:val="0082105B"/>
    <w:rsid w:val="008248E0"/>
    <w:rsid w:val="00830F86"/>
    <w:rsid w:val="0083278B"/>
    <w:rsid w:val="0083285E"/>
    <w:rsid w:val="008343BD"/>
    <w:rsid w:val="0083444D"/>
    <w:rsid w:val="00836845"/>
    <w:rsid w:val="008368E7"/>
    <w:rsid w:val="00841322"/>
    <w:rsid w:val="008420D9"/>
    <w:rsid w:val="008427C5"/>
    <w:rsid w:val="00842A5C"/>
    <w:rsid w:val="00844689"/>
    <w:rsid w:val="00845545"/>
    <w:rsid w:val="008503E1"/>
    <w:rsid w:val="00850C75"/>
    <w:rsid w:val="00854E5A"/>
    <w:rsid w:val="0085520E"/>
    <w:rsid w:val="00855B29"/>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2F6E"/>
    <w:rsid w:val="008D30F0"/>
    <w:rsid w:val="008D4535"/>
    <w:rsid w:val="008D53B8"/>
    <w:rsid w:val="008D6256"/>
    <w:rsid w:val="008D6581"/>
    <w:rsid w:val="008D707C"/>
    <w:rsid w:val="008D7D83"/>
    <w:rsid w:val="008E0E86"/>
    <w:rsid w:val="008E0F08"/>
    <w:rsid w:val="008E10EF"/>
    <w:rsid w:val="008E20BD"/>
    <w:rsid w:val="008E3CA9"/>
    <w:rsid w:val="008E47D2"/>
    <w:rsid w:val="008E5ADB"/>
    <w:rsid w:val="008F1830"/>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0117"/>
    <w:rsid w:val="00991C37"/>
    <w:rsid w:val="00991D59"/>
    <w:rsid w:val="009921F0"/>
    <w:rsid w:val="0099270E"/>
    <w:rsid w:val="00994DA6"/>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04A9"/>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7FB"/>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0801"/>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38B3"/>
    <w:rsid w:val="00C64027"/>
    <w:rsid w:val="00C65B75"/>
    <w:rsid w:val="00C66473"/>
    <w:rsid w:val="00C67004"/>
    <w:rsid w:val="00C707EE"/>
    <w:rsid w:val="00C717C8"/>
    <w:rsid w:val="00C7187C"/>
    <w:rsid w:val="00C71AF2"/>
    <w:rsid w:val="00C71B7F"/>
    <w:rsid w:val="00C71B86"/>
    <w:rsid w:val="00C71D62"/>
    <w:rsid w:val="00C723EA"/>
    <w:rsid w:val="00C731CE"/>
    <w:rsid w:val="00C76E4A"/>
    <w:rsid w:val="00C80731"/>
    <w:rsid w:val="00C80811"/>
    <w:rsid w:val="00C81BA1"/>
    <w:rsid w:val="00C84BAF"/>
    <w:rsid w:val="00C84C64"/>
    <w:rsid w:val="00C8571F"/>
    <w:rsid w:val="00C8707D"/>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7B8"/>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309F"/>
    <w:rsid w:val="00D2428D"/>
    <w:rsid w:val="00D2506C"/>
    <w:rsid w:val="00D27F99"/>
    <w:rsid w:val="00D300D9"/>
    <w:rsid w:val="00D30A68"/>
    <w:rsid w:val="00D30BE6"/>
    <w:rsid w:val="00D30C04"/>
    <w:rsid w:val="00D314D5"/>
    <w:rsid w:val="00D31C7A"/>
    <w:rsid w:val="00D32447"/>
    <w:rsid w:val="00D33AA1"/>
    <w:rsid w:val="00D34F75"/>
    <w:rsid w:val="00D3593C"/>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2DF8"/>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0F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450A"/>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279A8"/>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56D23"/>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1BC3"/>
    <w:rsid w:val="00F2228C"/>
    <w:rsid w:val="00F22648"/>
    <w:rsid w:val="00F249CD"/>
    <w:rsid w:val="00F26B14"/>
    <w:rsid w:val="00F27056"/>
    <w:rsid w:val="00F271B3"/>
    <w:rsid w:val="00F30076"/>
    <w:rsid w:val="00F315FD"/>
    <w:rsid w:val="00F325B9"/>
    <w:rsid w:val="00F32D09"/>
    <w:rsid w:val="00F356CE"/>
    <w:rsid w:val="00F358AF"/>
    <w:rsid w:val="00F423F0"/>
    <w:rsid w:val="00F4393C"/>
    <w:rsid w:val="00F45359"/>
    <w:rsid w:val="00F457AB"/>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1E3"/>
    <w:rsid w:val="00FA6E69"/>
    <w:rsid w:val="00FA77E4"/>
    <w:rsid w:val="00FB1578"/>
    <w:rsid w:val="00FB199D"/>
    <w:rsid w:val="00FB1C26"/>
    <w:rsid w:val="00FB1D44"/>
    <w:rsid w:val="00FB25EE"/>
    <w:rsid w:val="00FB2CD7"/>
    <w:rsid w:val="00FB2E7B"/>
    <w:rsid w:val="00FB2F0C"/>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69E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fr-FR" w:eastAsia="fr-FR" w:bidi="fr-FR"/>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r-FR"/>
    </w:rPr>
  </w:style>
  <w:style w:type="character" w:customStyle="1" w:styleId="Heading2Char">
    <w:name w:val="Heading 2 Char"/>
    <w:link w:val="Heading2"/>
    <w:uiPriority w:val="99"/>
    <w:locked/>
    <w:rsid w:val="00EC5046"/>
    <w:rPr>
      <w:rFonts w:ascii="Verdana" w:hAnsi="Verdana" w:cs="Times New Roman"/>
      <w:b/>
      <w:sz w:val="24"/>
      <w:szCs w:val="24"/>
      <w:u w:val="single"/>
      <w:lang w:val="fr-FR"/>
    </w:rPr>
  </w:style>
  <w:style w:type="character" w:customStyle="1" w:styleId="Heading3Char">
    <w:name w:val="Heading 3 Char"/>
    <w:uiPriority w:val="99"/>
    <w:locked/>
    <w:rsid w:val="00884FEB"/>
    <w:rPr>
      <w:rFonts w:cs="Times New Roman"/>
      <w:sz w:val="24"/>
      <w:szCs w:val="24"/>
      <w:lang w:val="fr-FR" w:eastAsia="fr-FR"/>
    </w:rPr>
  </w:style>
  <w:style w:type="character" w:customStyle="1" w:styleId="Heading4Char">
    <w:name w:val="Heading 4 Char"/>
    <w:link w:val="Heading4"/>
    <w:uiPriority w:val="99"/>
    <w:locked/>
    <w:rsid w:val="00DE0962"/>
    <w:rPr>
      <w:rFonts w:ascii="Verdana" w:eastAsia="Times New Roman" w:hAnsi="Verdana"/>
      <w:b/>
      <w:szCs w:val="24"/>
      <w:u w:val="single"/>
      <w:lang w:eastAsia="fr-FR" w:bidi="fr-FR"/>
    </w:rPr>
  </w:style>
  <w:style w:type="character" w:customStyle="1" w:styleId="Heading5Char">
    <w:name w:val="Heading 5 Char"/>
    <w:link w:val="Heading5"/>
    <w:uiPriority w:val="1"/>
    <w:locked/>
    <w:rsid w:val="001E5A75"/>
    <w:rPr>
      <w:rFonts w:ascii="Arial" w:hAnsi="Arial" w:cs="Times New Roman"/>
      <w:b/>
      <w:i/>
      <w:sz w:val="20"/>
      <w:szCs w:val="20"/>
      <w:lang w:eastAsia="fr-FR"/>
    </w:rPr>
  </w:style>
  <w:style w:type="character" w:customStyle="1" w:styleId="Heading6Char">
    <w:name w:val="Heading 6 Char"/>
    <w:link w:val="Heading6"/>
    <w:semiHidden/>
    <w:locked/>
    <w:rsid w:val="001E5A75"/>
    <w:rPr>
      <w:rFonts w:ascii="Times New Roman" w:hAnsi="Times New Roman" w:cs="Times New Roman"/>
      <w:b/>
      <w:bCs/>
      <w:lang w:eastAsia="fr-FR"/>
    </w:rPr>
  </w:style>
  <w:style w:type="character" w:customStyle="1" w:styleId="Heading7Char">
    <w:name w:val="Heading 7 Char"/>
    <w:link w:val="Heading7"/>
    <w:semiHidden/>
    <w:locked/>
    <w:rsid w:val="001E5A75"/>
    <w:rPr>
      <w:rFonts w:ascii="Times New Roman" w:hAnsi="Times New Roman" w:cs="Times New Roman"/>
      <w:sz w:val="20"/>
      <w:szCs w:val="20"/>
      <w:lang w:eastAsia="fr-FR"/>
    </w:rPr>
  </w:style>
  <w:style w:type="character" w:customStyle="1" w:styleId="Heading8Char">
    <w:name w:val="Heading 8 Char"/>
    <w:link w:val="Heading8"/>
    <w:semiHidden/>
    <w:locked/>
    <w:rsid w:val="001E5A75"/>
    <w:rPr>
      <w:rFonts w:ascii="Times New Roman" w:hAnsi="Times New Roman" w:cs="Times New Roman"/>
      <w:i/>
      <w:iCs/>
      <w:sz w:val="20"/>
      <w:szCs w:val="20"/>
      <w:lang w:eastAsia="fr-FR"/>
    </w:rPr>
  </w:style>
  <w:style w:type="character" w:customStyle="1" w:styleId="Heading9Char">
    <w:name w:val="Heading 9 Char"/>
    <w:link w:val="Heading9"/>
    <w:semiHidden/>
    <w:locked/>
    <w:rsid w:val="001E5A75"/>
    <w:rPr>
      <w:rFonts w:ascii="Arial" w:hAnsi="Arial" w:cs="Arial"/>
      <w:lang w:eastAsia="fr-F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fr-FR"/>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fr-FR"/>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fr-FR"/>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fr-FR"/>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fr-FR"/>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fr-FR"/>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link w:val="CommentText"/>
    <w:uiPriority w:val="99"/>
    <w:locked/>
    <w:rsid w:val="00884FEB"/>
    <w:rPr>
      <w:rFonts w:ascii="Verdana"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fr-FR" w:bidi="fr-FR"/>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fr-FR" w:bidi="fr-FR"/>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fr-FR" w:bidi="fr-FR"/>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fr-FR" w:eastAsia="fr-FR"/>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fr-FR" w:bidi="fr-FR"/>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r-FR" w:eastAsia="fr-FR" w:bidi="fr-FR"/>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fr-FR"/>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fr-FR"/>
    </w:rPr>
  </w:style>
  <w:style w:type="character" w:customStyle="1" w:styleId="NumPar1Char">
    <w:name w:val="NumPar 1 Char"/>
    <w:link w:val="NumPar1"/>
    <w:uiPriority w:val="99"/>
    <w:locked/>
    <w:rsid w:val="00D34F75"/>
    <w:rPr>
      <w:rFonts w:cs="Times New Roman"/>
      <w:sz w:val="24"/>
      <w:szCs w:val="24"/>
      <w:lang w:val="fr-FR" w:eastAsia="fr-FR"/>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fr-FR" w:eastAsia="fr-FR"/>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r-FR" w:eastAsia="fr-FR"/>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fr-FR" w:eastAsia="fr-FR" w:bidi="fr-FR"/>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r-FR"/>
    </w:rPr>
  </w:style>
  <w:style w:type="character" w:customStyle="1" w:styleId="Heading2Char">
    <w:name w:val="Heading 2 Char"/>
    <w:link w:val="Heading2"/>
    <w:uiPriority w:val="99"/>
    <w:locked/>
    <w:rsid w:val="00EC5046"/>
    <w:rPr>
      <w:rFonts w:ascii="Verdana" w:hAnsi="Verdana" w:cs="Times New Roman"/>
      <w:b/>
      <w:sz w:val="24"/>
      <w:szCs w:val="24"/>
      <w:u w:val="single"/>
      <w:lang w:val="fr-FR"/>
    </w:rPr>
  </w:style>
  <w:style w:type="character" w:customStyle="1" w:styleId="Heading3Char">
    <w:name w:val="Heading 3 Char"/>
    <w:uiPriority w:val="99"/>
    <w:locked/>
    <w:rsid w:val="00884FEB"/>
    <w:rPr>
      <w:rFonts w:cs="Times New Roman"/>
      <w:sz w:val="24"/>
      <w:szCs w:val="24"/>
      <w:lang w:val="fr-FR" w:eastAsia="fr-FR"/>
    </w:rPr>
  </w:style>
  <w:style w:type="character" w:customStyle="1" w:styleId="Heading4Char">
    <w:name w:val="Heading 4 Char"/>
    <w:link w:val="Heading4"/>
    <w:uiPriority w:val="99"/>
    <w:locked/>
    <w:rsid w:val="00DE0962"/>
    <w:rPr>
      <w:rFonts w:ascii="Verdana" w:eastAsia="Times New Roman" w:hAnsi="Verdana"/>
      <w:b/>
      <w:szCs w:val="24"/>
      <w:u w:val="single"/>
      <w:lang w:eastAsia="fr-FR" w:bidi="fr-FR"/>
    </w:rPr>
  </w:style>
  <w:style w:type="character" w:customStyle="1" w:styleId="Heading5Char">
    <w:name w:val="Heading 5 Char"/>
    <w:link w:val="Heading5"/>
    <w:uiPriority w:val="1"/>
    <w:locked/>
    <w:rsid w:val="001E5A75"/>
    <w:rPr>
      <w:rFonts w:ascii="Arial" w:hAnsi="Arial" w:cs="Times New Roman"/>
      <w:b/>
      <w:i/>
      <w:sz w:val="20"/>
      <w:szCs w:val="20"/>
      <w:lang w:eastAsia="fr-FR"/>
    </w:rPr>
  </w:style>
  <w:style w:type="character" w:customStyle="1" w:styleId="Heading6Char">
    <w:name w:val="Heading 6 Char"/>
    <w:link w:val="Heading6"/>
    <w:semiHidden/>
    <w:locked/>
    <w:rsid w:val="001E5A75"/>
    <w:rPr>
      <w:rFonts w:ascii="Times New Roman" w:hAnsi="Times New Roman" w:cs="Times New Roman"/>
      <w:b/>
      <w:bCs/>
      <w:lang w:eastAsia="fr-FR"/>
    </w:rPr>
  </w:style>
  <w:style w:type="character" w:customStyle="1" w:styleId="Heading7Char">
    <w:name w:val="Heading 7 Char"/>
    <w:link w:val="Heading7"/>
    <w:semiHidden/>
    <w:locked/>
    <w:rsid w:val="001E5A75"/>
    <w:rPr>
      <w:rFonts w:ascii="Times New Roman" w:hAnsi="Times New Roman" w:cs="Times New Roman"/>
      <w:sz w:val="20"/>
      <w:szCs w:val="20"/>
      <w:lang w:eastAsia="fr-FR"/>
    </w:rPr>
  </w:style>
  <w:style w:type="character" w:customStyle="1" w:styleId="Heading8Char">
    <w:name w:val="Heading 8 Char"/>
    <w:link w:val="Heading8"/>
    <w:semiHidden/>
    <w:locked/>
    <w:rsid w:val="001E5A75"/>
    <w:rPr>
      <w:rFonts w:ascii="Times New Roman" w:hAnsi="Times New Roman" w:cs="Times New Roman"/>
      <w:i/>
      <w:iCs/>
      <w:sz w:val="20"/>
      <w:szCs w:val="20"/>
      <w:lang w:eastAsia="fr-FR"/>
    </w:rPr>
  </w:style>
  <w:style w:type="character" w:customStyle="1" w:styleId="Heading9Char">
    <w:name w:val="Heading 9 Char"/>
    <w:link w:val="Heading9"/>
    <w:semiHidden/>
    <w:locked/>
    <w:rsid w:val="001E5A75"/>
    <w:rPr>
      <w:rFonts w:ascii="Arial" w:hAnsi="Arial" w:cs="Arial"/>
      <w:lang w:eastAsia="fr-F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fr-FR"/>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fr-FR"/>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fr-FR"/>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fr-FR"/>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fr-FR"/>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fr-FR"/>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link w:val="CommentText"/>
    <w:uiPriority w:val="99"/>
    <w:locked/>
    <w:rsid w:val="00884FEB"/>
    <w:rPr>
      <w:rFonts w:ascii="Verdana"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fr-FR" w:bidi="fr-FR"/>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fr-FR" w:bidi="fr-FR"/>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fr-FR" w:bidi="fr-FR"/>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fr-FR" w:eastAsia="fr-FR"/>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fr-FR" w:bidi="fr-FR"/>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r-FR" w:eastAsia="fr-FR" w:bidi="fr-FR"/>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fr-FR"/>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fr-FR"/>
    </w:rPr>
  </w:style>
  <w:style w:type="character" w:customStyle="1" w:styleId="NumPar1Char">
    <w:name w:val="NumPar 1 Char"/>
    <w:link w:val="NumPar1"/>
    <w:uiPriority w:val="99"/>
    <w:locked/>
    <w:rsid w:val="00D34F75"/>
    <w:rPr>
      <w:rFonts w:cs="Times New Roman"/>
      <w:sz w:val="24"/>
      <w:szCs w:val="24"/>
      <w:lang w:val="fr-FR" w:eastAsia="fr-FR"/>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fr-FR" w:eastAsia="fr-FR"/>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r-FR" w:eastAsia="fr-FR"/>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B83DE7-D87A-4337-A69F-0DB7694B8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240</Pages>
  <Words>89078</Words>
  <Characters>473900</Characters>
  <Application>Microsoft Office Word</Application>
  <DocSecurity>0</DocSecurity>
  <Lines>16925</Lines>
  <Paragraphs>4982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557996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BENT BOUDJEMAA Atika (DGT)</cp:lastModifiedBy>
  <cp:revision>54</cp:revision>
  <cp:lastPrinted>2018-06-07T11:13:00Z</cp:lastPrinted>
  <dcterms:created xsi:type="dcterms:W3CDTF">2018-06-28T09:52:00Z</dcterms:created>
  <dcterms:modified xsi:type="dcterms:W3CDTF">2018-09-07T15:55:00Z</dcterms:modified>
</cp:coreProperties>
</file>