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4A4" w:rsidRPr="00583DD0" w:rsidRDefault="008934A4" w:rsidP="00A15D28">
      <w:pPr>
        <w:jc w:val="center"/>
        <w:rPr>
          <w:rFonts w:ascii="Times New Roman" w:hAnsi="Times New Roman"/>
          <w:b/>
          <w:sz w:val="24"/>
          <w:szCs w:val="24"/>
        </w:rPr>
      </w:pPr>
      <w:r>
        <w:rPr>
          <w:rFonts w:ascii="Times New Roman" w:hAnsi="Times New Roman"/>
          <w:b/>
          <w:sz w:val="24"/>
        </w:rPr>
        <w:t>NL</w:t>
      </w:r>
    </w:p>
    <w:p w:rsidR="008934A4" w:rsidRDefault="008934A4" w:rsidP="00A15D28">
      <w:pPr>
        <w:jc w:val="center"/>
        <w:rPr>
          <w:rFonts w:ascii="Times New Roman" w:hAnsi="Times New Roman"/>
          <w:b/>
          <w:sz w:val="24"/>
          <w:szCs w:val="24"/>
        </w:rPr>
      </w:pPr>
      <w:r>
        <w:rPr>
          <w:rFonts w:ascii="Times New Roman" w:hAnsi="Times New Roman"/>
          <w:b/>
          <w:sz w:val="24"/>
        </w:rPr>
        <w:t>BIJLAGE V</w:t>
      </w:r>
    </w:p>
    <w:p w:rsidR="001F0676" w:rsidRDefault="001F0676" w:rsidP="00A15D28">
      <w:pPr>
        <w:jc w:val="center"/>
        <w:rPr>
          <w:rFonts w:ascii="Times New Roman" w:hAnsi="Times New Roman"/>
          <w:sz w:val="24"/>
          <w:szCs w:val="24"/>
        </w:rPr>
      </w:pPr>
    </w:p>
    <w:p w:rsidR="00BB7DB0" w:rsidRDefault="00BB7DB0" w:rsidP="00A15D28">
      <w:pPr>
        <w:jc w:val="center"/>
        <w:rPr>
          <w:rFonts w:ascii="Times New Roman" w:hAnsi="Times New Roman"/>
          <w:sz w:val="24"/>
          <w:szCs w:val="24"/>
        </w:rPr>
      </w:pPr>
    </w:p>
    <w:p w:rsidR="001807E9" w:rsidRPr="00583DD0" w:rsidRDefault="001807E9" w:rsidP="00A15D28">
      <w:pPr>
        <w:jc w:val="center"/>
        <w:rPr>
          <w:rFonts w:ascii="Times New Roman" w:hAnsi="Times New Roman"/>
          <w:sz w:val="24"/>
          <w:szCs w:val="24"/>
        </w:rPr>
      </w:pPr>
    </w:p>
    <w:p w:rsidR="00A15D28" w:rsidRPr="00C0500B" w:rsidRDefault="006575B8" w:rsidP="00A15D28">
      <w:pPr>
        <w:jc w:val="center"/>
        <w:rPr>
          <w:rFonts w:ascii="Times New Roman" w:hAnsi="Times New Roman"/>
          <w:sz w:val="28"/>
          <w:szCs w:val="28"/>
          <w:u w:val="single"/>
        </w:rPr>
      </w:pPr>
      <w:r>
        <w:rPr>
          <w:rFonts w:ascii="Times New Roman" w:hAnsi="Times New Roman"/>
          <w:b/>
          <w:sz w:val="24"/>
          <w:u w:val="single"/>
        </w:rPr>
        <w:t>"</w:t>
      </w:r>
      <w:r w:rsidR="00A15D28">
        <w:rPr>
          <w:rFonts w:ascii="Times New Roman" w:hAnsi="Times New Roman"/>
          <w:b/>
          <w:sz w:val="24"/>
          <w:u w:val="single"/>
        </w:rPr>
        <w:t>BIJLAGE XI</w:t>
      </w:r>
    </w:p>
    <w:p w:rsidR="00A15D28" w:rsidRPr="00E94154" w:rsidRDefault="00A15D28" w:rsidP="00A15D28">
      <w:pPr>
        <w:jc w:val="center"/>
        <w:rPr>
          <w:rFonts w:ascii="Times New Roman" w:hAnsi="Times New Roman"/>
        </w:rPr>
      </w:pPr>
      <w:r>
        <w:rPr>
          <w:rFonts w:ascii="Times New Roman" w:hAnsi="Times New Roman"/>
          <w:b/>
          <w:sz w:val="24"/>
        </w:rPr>
        <w:t>RAPPORTAGE OVER HEFBOOMFINANCIERING</w:t>
      </w:r>
    </w:p>
    <w:p w:rsidR="00F4754B" w:rsidRPr="00E94154" w:rsidRDefault="00F4754B" w:rsidP="00F4754B">
      <w:pPr>
        <w:pStyle w:val="BodyText1"/>
        <w:rPr>
          <w:rFonts w:ascii="Times New Roman" w:hAnsi="Times New Roman"/>
        </w:rPr>
      </w:pPr>
    </w:p>
    <w:p w:rsidR="00A15D28" w:rsidRPr="00E94154" w:rsidRDefault="00A15D28" w:rsidP="00F4754B">
      <w:pPr>
        <w:pStyle w:val="BodyText1"/>
        <w:rPr>
          <w:rFonts w:ascii="Times New Roman" w:hAnsi="Times New Roman"/>
        </w:rPr>
      </w:pPr>
    </w:p>
    <w:p w:rsidR="00F4754B" w:rsidRPr="00E94154" w:rsidRDefault="00F4754B" w:rsidP="00F4754B">
      <w:pPr>
        <w:pStyle w:val="BodyText1"/>
        <w:rPr>
          <w:rFonts w:ascii="Times New Roman" w:hAnsi="Times New Roman"/>
        </w:rPr>
      </w:pPr>
    </w:p>
    <w:p w:rsidR="00DC2C28" w:rsidRPr="00E94154" w:rsidRDefault="000A7BCD">
      <w:pPr>
        <w:pStyle w:val="TOC1"/>
        <w:rPr>
          <w:rFonts w:ascii="Times New Roman" w:eastAsiaTheme="minorEastAsia" w:hAnsi="Times New Roman"/>
          <w:color w:val="auto"/>
          <w:sz w:val="22"/>
          <w:szCs w:val="22"/>
        </w:rPr>
      </w:pPr>
      <w:r>
        <w:rPr>
          <w:rFonts w:ascii="Times New Roman" w:hAnsi="Times New Roman"/>
          <w:b/>
        </w:rPr>
        <w:fldChar w:fldCharType="begin"/>
      </w:r>
      <w:r w:rsidR="00391EF9">
        <w:rPr>
          <w:rFonts w:ascii="Times New Roman" w:hAnsi="Times New Roman"/>
          <w:b/>
        </w:rPr>
        <w:instrText xml:space="preserve"> TOC \o "1-3" \h \z \u </w:instrText>
      </w:r>
      <w:r>
        <w:rPr>
          <w:rFonts w:ascii="Times New Roman" w:hAnsi="Times New Roman"/>
          <w:b/>
        </w:rPr>
        <w:fldChar w:fldCharType="separate"/>
      </w:r>
    </w:p>
    <w:sdt>
      <w:sdtPr>
        <w:rPr>
          <w:rFonts w:ascii="Arial" w:eastAsia="Times New Roman" w:hAnsi="Arial" w:cs="Times New Roman"/>
          <w:b w:val="0"/>
          <w:bCs w:val="0"/>
          <w:color w:val="000000"/>
          <w:sz w:val="18"/>
          <w:szCs w:val="20"/>
          <w:lang w:val="nl-NL" w:eastAsia="nl-NL" w:bidi="nl-NL"/>
        </w:rPr>
        <w:id w:val="25224694"/>
        <w:docPartObj>
          <w:docPartGallery w:val="Table of Contents"/>
          <w:docPartUnique/>
        </w:docPartObj>
      </w:sdtPr>
      <w:sdtEndPr>
        <w:rPr>
          <w:noProof/>
        </w:rPr>
      </w:sdtEndPr>
      <w:sdtContent>
        <w:p w:rsidR="006575B8" w:rsidRDefault="006575B8">
          <w:pPr>
            <w:pStyle w:val="TOCHeading"/>
          </w:pPr>
        </w:p>
        <w:p w:rsidR="006575B8" w:rsidRDefault="006575B8">
          <w:pPr>
            <w:pStyle w:val="TOC1"/>
            <w:rPr>
              <w:rFonts w:asciiTheme="minorHAnsi" w:eastAsiaTheme="minorEastAsia" w:hAnsiTheme="minorHAnsi" w:cstheme="minorBidi"/>
              <w:color w:val="auto"/>
              <w:sz w:val="22"/>
              <w:szCs w:val="22"/>
              <w:lang w:val="en-GB" w:eastAsia="en-GB" w:bidi="ar-SA"/>
            </w:rPr>
          </w:pPr>
          <w:r>
            <w:fldChar w:fldCharType="begin"/>
          </w:r>
          <w:r>
            <w:instrText xml:space="preserve"> TOC \o "1-3" \h \z \u </w:instrText>
          </w:r>
          <w:r>
            <w:fldChar w:fldCharType="separate"/>
          </w:r>
          <w:hyperlink w:anchor="_Toc522779990" w:history="1">
            <w:r w:rsidRPr="00776B33">
              <w:rPr>
                <w:rStyle w:val="Hyperlink"/>
                <w:rFonts w:ascii="Times New Roman" w:hAnsi="Times New Roman"/>
                <w:b/>
              </w:rPr>
              <w:t>DEEL I: ALGEMENE INSTRUCTIES</w:t>
            </w:r>
            <w:r>
              <w:rPr>
                <w:webHidden/>
              </w:rPr>
              <w:tab/>
            </w:r>
            <w:r>
              <w:rPr>
                <w:webHidden/>
              </w:rPr>
              <w:fldChar w:fldCharType="begin"/>
            </w:r>
            <w:r>
              <w:rPr>
                <w:webHidden/>
              </w:rPr>
              <w:instrText xml:space="preserve"> PAGEREF _Toc522779990 \h </w:instrText>
            </w:r>
            <w:r>
              <w:rPr>
                <w:webHidden/>
              </w:rPr>
            </w:r>
            <w:r>
              <w:rPr>
                <w:webHidden/>
              </w:rPr>
              <w:fldChar w:fldCharType="separate"/>
            </w:r>
            <w:r w:rsidRPr="00CF219D">
              <w:rPr>
                <w:webHidden/>
              </w:rPr>
              <w:t>2</w:t>
            </w:r>
            <w:r>
              <w:rPr>
                <w:webHidden/>
              </w:rPr>
              <w:fldChar w:fldCharType="end"/>
            </w:r>
          </w:hyperlink>
        </w:p>
        <w:p w:rsidR="006575B8" w:rsidRDefault="003104D7">
          <w:pPr>
            <w:pStyle w:val="TOC2"/>
            <w:rPr>
              <w:rFonts w:asciiTheme="minorHAnsi" w:eastAsiaTheme="minorEastAsia" w:hAnsiTheme="minorHAnsi" w:cstheme="minorBidi"/>
              <w:b w:val="0"/>
              <w:smallCaps w:val="0"/>
              <w:sz w:val="22"/>
              <w:lang w:val="en-GB" w:eastAsia="en-GB" w:bidi="ar-SA"/>
            </w:rPr>
          </w:pPr>
          <w:hyperlink w:anchor="_Toc522779991" w:history="1">
            <w:r w:rsidR="006575B8" w:rsidRPr="00CF219D">
              <w:rPr>
                <w:rStyle w:val="Hyperlink"/>
                <w:rFonts w:ascii="Times New Roman" w:hAnsi="Times New Roman"/>
              </w:rPr>
              <w:t>1</w:t>
            </w:r>
            <w:r w:rsidR="006575B8" w:rsidRPr="00776B33">
              <w:rPr>
                <w:rStyle w:val="Hyperlink"/>
                <w:rFonts w:ascii="Times New Roman" w:hAnsi="Times New Roman"/>
              </w:rPr>
              <w:t>.</w:t>
            </w:r>
            <w:r w:rsidR="006575B8">
              <w:rPr>
                <w:rFonts w:asciiTheme="minorHAnsi" w:eastAsiaTheme="minorEastAsia" w:hAnsiTheme="minorHAnsi" w:cstheme="minorBidi"/>
                <w:b w:val="0"/>
                <w:smallCaps w:val="0"/>
                <w:sz w:val="22"/>
                <w:lang w:val="en-GB" w:eastAsia="en-GB" w:bidi="ar-SA"/>
              </w:rPr>
              <w:tab/>
            </w:r>
            <w:r w:rsidR="006575B8" w:rsidRPr="00776B33">
              <w:rPr>
                <w:rStyle w:val="Hyperlink"/>
                <w:rFonts w:ascii="Times New Roman" w:hAnsi="Times New Roman"/>
              </w:rPr>
              <w:t>Labelen van templates en andere conventies</w:t>
            </w:r>
            <w:r w:rsidR="006575B8">
              <w:rPr>
                <w:webHidden/>
              </w:rPr>
              <w:tab/>
            </w:r>
            <w:r w:rsidR="006575B8">
              <w:rPr>
                <w:webHidden/>
              </w:rPr>
              <w:fldChar w:fldCharType="begin"/>
            </w:r>
            <w:r w:rsidR="006575B8">
              <w:rPr>
                <w:webHidden/>
              </w:rPr>
              <w:instrText xml:space="preserve"> PAGEREF _Toc522779991 \h </w:instrText>
            </w:r>
            <w:r w:rsidR="006575B8">
              <w:rPr>
                <w:webHidden/>
              </w:rPr>
            </w:r>
            <w:r w:rsidR="006575B8">
              <w:rPr>
                <w:webHidden/>
              </w:rPr>
              <w:fldChar w:fldCharType="separate"/>
            </w:r>
            <w:r w:rsidR="006575B8" w:rsidRPr="00CF219D">
              <w:rPr>
                <w:webHidden/>
              </w:rPr>
              <w:t>2</w:t>
            </w:r>
            <w:r w:rsidR="006575B8">
              <w:rPr>
                <w:webHidden/>
              </w:rPr>
              <w:fldChar w:fldCharType="end"/>
            </w:r>
          </w:hyperlink>
        </w:p>
        <w:p w:rsidR="006575B8" w:rsidRDefault="003104D7">
          <w:pPr>
            <w:pStyle w:val="TOC3"/>
            <w:rPr>
              <w:rFonts w:asciiTheme="minorHAnsi" w:eastAsiaTheme="minorEastAsia" w:hAnsiTheme="minorHAnsi" w:cstheme="minorBidi"/>
              <w:smallCaps w:val="0"/>
              <w:sz w:val="22"/>
              <w:szCs w:val="22"/>
              <w:lang w:val="en-GB" w:eastAsia="en-GB" w:bidi="ar-SA"/>
            </w:rPr>
          </w:pPr>
          <w:hyperlink w:anchor="_Toc522779992" w:history="1">
            <w:r w:rsidR="006575B8" w:rsidRPr="00CF219D">
              <w:rPr>
                <w:rStyle w:val="Hyperlink"/>
                <w:rFonts w:ascii="Times New Roman" w:hAnsi="Times New Roman"/>
                <w:b/>
              </w:rPr>
              <w:t>1</w:t>
            </w:r>
            <w:r w:rsidR="006575B8" w:rsidRPr="00776B33">
              <w:rPr>
                <w:rStyle w:val="Hyperlink"/>
                <w:rFonts w:ascii="Times New Roman" w:hAnsi="Times New Roman"/>
                <w:b/>
              </w:rPr>
              <w:t>.</w:t>
            </w:r>
            <w:r w:rsidR="006575B8" w:rsidRPr="00CF219D">
              <w:rPr>
                <w:rStyle w:val="Hyperlink"/>
                <w:rFonts w:ascii="Times New Roman" w:hAnsi="Times New Roman"/>
                <w:b/>
              </w:rPr>
              <w:t>1</w:t>
            </w:r>
            <w:r w:rsidR="006575B8" w:rsidRPr="00776B33">
              <w:rPr>
                <w:rStyle w:val="Hyperlink"/>
                <w:rFonts w:ascii="Times New Roman" w:hAnsi="Times New Roman"/>
                <w:b/>
              </w:rPr>
              <w:t>.</w:t>
            </w:r>
            <w:r w:rsidR="006575B8">
              <w:rPr>
                <w:rFonts w:asciiTheme="minorHAnsi" w:eastAsiaTheme="minorEastAsia" w:hAnsiTheme="minorHAnsi" w:cstheme="minorBidi"/>
                <w:smallCaps w:val="0"/>
                <w:sz w:val="22"/>
                <w:szCs w:val="22"/>
                <w:lang w:val="en-GB" w:eastAsia="en-GB" w:bidi="ar-SA"/>
              </w:rPr>
              <w:tab/>
            </w:r>
            <w:r w:rsidR="006575B8" w:rsidRPr="00776B33">
              <w:rPr>
                <w:rStyle w:val="Hyperlink"/>
                <w:rFonts w:ascii="Times New Roman" w:hAnsi="Times New Roman"/>
                <w:b/>
              </w:rPr>
              <w:t>Labelen van templates</w:t>
            </w:r>
            <w:r w:rsidR="006575B8">
              <w:rPr>
                <w:webHidden/>
              </w:rPr>
              <w:tab/>
            </w:r>
            <w:r w:rsidR="006575B8">
              <w:rPr>
                <w:webHidden/>
              </w:rPr>
              <w:fldChar w:fldCharType="begin"/>
            </w:r>
            <w:r w:rsidR="006575B8">
              <w:rPr>
                <w:webHidden/>
              </w:rPr>
              <w:instrText xml:space="preserve"> PAGEREF _Toc522779992 \h </w:instrText>
            </w:r>
            <w:r w:rsidR="006575B8">
              <w:rPr>
                <w:webHidden/>
              </w:rPr>
            </w:r>
            <w:r w:rsidR="006575B8">
              <w:rPr>
                <w:webHidden/>
              </w:rPr>
              <w:fldChar w:fldCharType="separate"/>
            </w:r>
            <w:r w:rsidR="006575B8" w:rsidRPr="00CF219D">
              <w:rPr>
                <w:webHidden/>
              </w:rPr>
              <w:t>2</w:t>
            </w:r>
            <w:r w:rsidR="006575B8">
              <w:rPr>
                <w:webHidden/>
              </w:rPr>
              <w:fldChar w:fldCharType="end"/>
            </w:r>
          </w:hyperlink>
        </w:p>
        <w:p w:rsidR="006575B8" w:rsidRDefault="003104D7">
          <w:pPr>
            <w:pStyle w:val="TOC3"/>
            <w:rPr>
              <w:rFonts w:asciiTheme="minorHAnsi" w:eastAsiaTheme="minorEastAsia" w:hAnsiTheme="minorHAnsi" w:cstheme="minorBidi"/>
              <w:smallCaps w:val="0"/>
              <w:sz w:val="22"/>
              <w:szCs w:val="22"/>
              <w:lang w:val="en-GB" w:eastAsia="en-GB" w:bidi="ar-SA"/>
            </w:rPr>
          </w:pPr>
          <w:hyperlink w:anchor="_Toc522779993" w:history="1">
            <w:r w:rsidR="006575B8" w:rsidRPr="00CF219D">
              <w:rPr>
                <w:rStyle w:val="Hyperlink"/>
                <w:rFonts w:ascii="Times New Roman" w:hAnsi="Times New Roman"/>
                <w:b/>
              </w:rPr>
              <w:t>1</w:t>
            </w:r>
            <w:r w:rsidR="006575B8" w:rsidRPr="00776B33">
              <w:rPr>
                <w:rStyle w:val="Hyperlink"/>
                <w:rFonts w:ascii="Times New Roman" w:hAnsi="Times New Roman"/>
                <w:b/>
              </w:rPr>
              <w:t>.</w:t>
            </w:r>
            <w:r w:rsidR="006575B8" w:rsidRPr="00CF219D">
              <w:rPr>
                <w:rStyle w:val="Hyperlink"/>
                <w:rFonts w:ascii="Times New Roman" w:hAnsi="Times New Roman"/>
                <w:b/>
              </w:rPr>
              <w:t>2</w:t>
            </w:r>
            <w:r w:rsidR="006575B8" w:rsidRPr="00776B33">
              <w:rPr>
                <w:rStyle w:val="Hyperlink"/>
                <w:rFonts w:ascii="Times New Roman" w:hAnsi="Times New Roman"/>
                <w:b/>
              </w:rPr>
              <w:t>.</w:t>
            </w:r>
            <w:r w:rsidR="006575B8">
              <w:rPr>
                <w:rFonts w:asciiTheme="minorHAnsi" w:eastAsiaTheme="minorEastAsia" w:hAnsiTheme="minorHAnsi" w:cstheme="minorBidi"/>
                <w:smallCaps w:val="0"/>
                <w:sz w:val="22"/>
                <w:szCs w:val="22"/>
                <w:lang w:val="en-GB" w:eastAsia="en-GB" w:bidi="ar-SA"/>
              </w:rPr>
              <w:tab/>
            </w:r>
            <w:r w:rsidR="006575B8" w:rsidRPr="00776B33">
              <w:rPr>
                <w:rStyle w:val="Hyperlink"/>
                <w:rFonts w:ascii="Times New Roman" w:hAnsi="Times New Roman"/>
                <w:b/>
              </w:rPr>
              <w:t>Gebruik van nummering</w:t>
            </w:r>
            <w:r w:rsidR="006575B8">
              <w:rPr>
                <w:webHidden/>
              </w:rPr>
              <w:tab/>
            </w:r>
            <w:r w:rsidR="006575B8">
              <w:rPr>
                <w:webHidden/>
              </w:rPr>
              <w:fldChar w:fldCharType="begin"/>
            </w:r>
            <w:r w:rsidR="006575B8">
              <w:rPr>
                <w:webHidden/>
              </w:rPr>
              <w:instrText xml:space="preserve"> PAGEREF _Toc522779993 \h </w:instrText>
            </w:r>
            <w:r w:rsidR="006575B8">
              <w:rPr>
                <w:webHidden/>
              </w:rPr>
            </w:r>
            <w:r w:rsidR="006575B8">
              <w:rPr>
                <w:webHidden/>
              </w:rPr>
              <w:fldChar w:fldCharType="separate"/>
            </w:r>
            <w:r w:rsidR="006575B8" w:rsidRPr="00CF219D">
              <w:rPr>
                <w:webHidden/>
              </w:rPr>
              <w:t>2</w:t>
            </w:r>
            <w:r w:rsidR="006575B8">
              <w:rPr>
                <w:webHidden/>
              </w:rPr>
              <w:fldChar w:fldCharType="end"/>
            </w:r>
          </w:hyperlink>
        </w:p>
        <w:p w:rsidR="006575B8" w:rsidRDefault="003104D7">
          <w:pPr>
            <w:pStyle w:val="TOC3"/>
            <w:rPr>
              <w:rFonts w:asciiTheme="minorHAnsi" w:eastAsiaTheme="minorEastAsia" w:hAnsiTheme="minorHAnsi" w:cstheme="minorBidi"/>
              <w:smallCaps w:val="0"/>
              <w:sz w:val="22"/>
              <w:szCs w:val="22"/>
              <w:lang w:val="en-GB" w:eastAsia="en-GB" w:bidi="ar-SA"/>
            </w:rPr>
          </w:pPr>
          <w:hyperlink w:anchor="_Toc522779994" w:history="1">
            <w:r w:rsidR="006575B8" w:rsidRPr="00CF219D">
              <w:rPr>
                <w:rStyle w:val="Hyperlink"/>
                <w:rFonts w:ascii="Times New Roman" w:hAnsi="Times New Roman"/>
                <w:b/>
              </w:rPr>
              <w:t>1</w:t>
            </w:r>
            <w:r w:rsidR="006575B8" w:rsidRPr="00776B33">
              <w:rPr>
                <w:rStyle w:val="Hyperlink"/>
                <w:rFonts w:ascii="Times New Roman" w:hAnsi="Times New Roman"/>
                <w:b/>
              </w:rPr>
              <w:t>.</w:t>
            </w:r>
            <w:r w:rsidR="006575B8" w:rsidRPr="00CF219D">
              <w:rPr>
                <w:rStyle w:val="Hyperlink"/>
                <w:rFonts w:ascii="Times New Roman" w:hAnsi="Times New Roman"/>
                <w:b/>
              </w:rPr>
              <w:t>3</w:t>
            </w:r>
            <w:r w:rsidR="006575B8" w:rsidRPr="00776B33">
              <w:rPr>
                <w:rStyle w:val="Hyperlink"/>
                <w:rFonts w:ascii="Times New Roman" w:hAnsi="Times New Roman"/>
                <w:b/>
              </w:rPr>
              <w:t>.</w:t>
            </w:r>
            <w:r w:rsidR="006575B8">
              <w:rPr>
                <w:rFonts w:asciiTheme="minorHAnsi" w:eastAsiaTheme="minorEastAsia" w:hAnsiTheme="minorHAnsi" w:cstheme="minorBidi"/>
                <w:smallCaps w:val="0"/>
                <w:sz w:val="22"/>
                <w:szCs w:val="22"/>
                <w:lang w:val="en-GB" w:eastAsia="en-GB" w:bidi="ar-SA"/>
              </w:rPr>
              <w:tab/>
            </w:r>
            <w:r w:rsidR="006575B8" w:rsidRPr="00776B33">
              <w:rPr>
                <w:rStyle w:val="Hyperlink"/>
                <w:rFonts w:ascii="Times New Roman" w:hAnsi="Times New Roman"/>
                <w:b/>
              </w:rPr>
              <w:t>Afkortingen</w:t>
            </w:r>
            <w:r w:rsidR="006575B8">
              <w:rPr>
                <w:webHidden/>
              </w:rPr>
              <w:tab/>
            </w:r>
            <w:r w:rsidR="006575B8">
              <w:rPr>
                <w:webHidden/>
              </w:rPr>
              <w:fldChar w:fldCharType="begin"/>
            </w:r>
            <w:r w:rsidR="006575B8">
              <w:rPr>
                <w:webHidden/>
              </w:rPr>
              <w:instrText xml:space="preserve"> PAGEREF _Toc522779994 \h </w:instrText>
            </w:r>
            <w:r w:rsidR="006575B8">
              <w:rPr>
                <w:webHidden/>
              </w:rPr>
            </w:r>
            <w:r w:rsidR="006575B8">
              <w:rPr>
                <w:webHidden/>
              </w:rPr>
              <w:fldChar w:fldCharType="separate"/>
            </w:r>
            <w:r w:rsidR="006575B8" w:rsidRPr="00CF219D">
              <w:rPr>
                <w:webHidden/>
              </w:rPr>
              <w:t>2</w:t>
            </w:r>
            <w:r w:rsidR="006575B8">
              <w:rPr>
                <w:webHidden/>
              </w:rPr>
              <w:fldChar w:fldCharType="end"/>
            </w:r>
          </w:hyperlink>
        </w:p>
        <w:p w:rsidR="006575B8" w:rsidRDefault="003104D7">
          <w:pPr>
            <w:pStyle w:val="TOC3"/>
            <w:rPr>
              <w:rFonts w:asciiTheme="minorHAnsi" w:eastAsiaTheme="minorEastAsia" w:hAnsiTheme="minorHAnsi" w:cstheme="minorBidi"/>
              <w:smallCaps w:val="0"/>
              <w:sz w:val="22"/>
              <w:szCs w:val="22"/>
              <w:lang w:val="en-GB" w:eastAsia="en-GB" w:bidi="ar-SA"/>
            </w:rPr>
          </w:pPr>
          <w:hyperlink w:anchor="_Toc522779995" w:history="1">
            <w:r w:rsidR="006575B8" w:rsidRPr="00CF219D">
              <w:rPr>
                <w:rStyle w:val="Hyperlink"/>
                <w:rFonts w:ascii="Times New Roman" w:hAnsi="Times New Roman"/>
                <w:b/>
              </w:rPr>
              <w:t>1</w:t>
            </w:r>
            <w:r w:rsidR="006575B8" w:rsidRPr="00776B33">
              <w:rPr>
                <w:rStyle w:val="Hyperlink"/>
                <w:rFonts w:ascii="Times New Roman" w:hAnsi="Times New Roman"/>
                <w:b/>
              </w:rPr>
              <w:t>.</w:t>
            </w:r>
            <w:r w:rsidR="006575B8" w:rsidRPr="00CF219D">
              <w:rPr>
                <w:rStyle w:val="Hyperlink"/>
                <w:rFonts w:ascii="Times New Roman" w:hAnsi="Times New Roman"/>
                <w:b/>
              </w:rPr>
              <w:t>4</w:t>
            </w:r>
            <w:r w:rsidR="006575B8" w:rsidRPr="00776B33">
              <w:rPr>
                <w:rStyle w:val="Hyperlink"/>
                <w:rFonts w:ascii="Times New Roman" w:hAnsi="Times New Roman"/>
                <w:b/>
              </w:rPr>
              <w:t>.</w:t>
            </w:r>
            <w:r w:rsidR="006575B8">
              <w:rPr>
                <w:rFonts w:asciiTheme="minorHAnsi" w:eastAsiaTheme="minorEastAsia" w:hAnsiTheme="minorHAnsi" w:cstheme="minorBidi"/>
                <w:smallCaps w:val="0"/>
                <w:sz w:val="22"/>
                <w:szCs w:val="22"/>
                <w:lang w:val="en-GB" w:eastAsia="en-GB" w:bidi="ar-SA"/>
              </w:rPr>
              <w:tab/>
            </w:r>
            <w:r w:rsidR="006575B8" w:rsidRPr="00776B33">
              <w:rPr>
                <w:rStyle w:val="Hyperlink"/>
                <w:rFonts w:ascii="Times New Roman" w:hAnsi="Times New Roman"/>
                <w:b/>
              </w:rPr>
              <w:t>Gebruik van tekens</w:t>
            </w:r>
            <w:r w:rsidR="006575B8">
              <w:rPr>
                <w:webHidden/>
              </w:rPr>
              <w:tab/>
            </w:r>
            <w:r w:rsidR="006575B8">
              <w:rPr>
                <w:webHidden/>
              </w:rPr>
              <w:fldChar w:fldCharType="begin"/>
            </w:r>
            <w:r w:rsidR="006575B8">
              <w:rPr>
                <w:webHidden/>
              </w:rPr>
              <w:instrText xml:space="preserve"> PAGEREF _Toc522779995 \h </w:instrText>
            </w:r>
            <w:r w:rsidR="006575B8">
              <w:rPr>
                <w:webHidden/>
              </w:rPr>
            </w:r>
            <w:r w:rsidR="006575B8">
              <w:rPr>
                <w:webHidden/>
              </w:rPr>
              <w:fldChar w:fldCharType="separate"/>
            </w:r>
            <w:r w:rsidR="006575B8" w:rsidRPr="00CF219D">
              <w:rPr>
                <w:webHidden/>
              </w:rPr>
              <w:t>3</w:t>
            </w:r>
            <w:r w:rsidR="006575B8">
              <w:rPr>
                <w:webHidden/>
              </w:rPr>
              <w:fldChar w:fldCharType="end"/>
            </w:r>
          </w:hyperlink>
        </w:p>
        <w:p w:rsidR="006575B8" w:rsidRDefault="003104D7">
          <w:pPr>
            <w:pStyle w:val="TOC1"/>
            <w:rPr>
              <w:rFonts w:asciiTheme="minorHAnsi" w:eastAsiaTheme="minorEastAsia" w:hAnsiTheme="minorHAnsi" w:cstheme="minorBidi"/>
              <w:color w:val="auto"/>
              <w:sz w:val="22"/>
              <w:szCs w:val="22"/>
              <w:lang w:val="en-GB" w:eastAsia="en-GB" w:bidi="ar-SA"/>
            </w:rPr>
          </w:pPr>
          <w:hyperlink w:anchor="_Toc522779996" w:history="1">
            <w:r w:rsidR="006575B8" w:rsidRPr="00776B33">
              <w:rPr>
                <w:rStyle w:val="Hyperlink"/>
                <w:rFonts w:ascii="Times New Roman" w:hAnsi="Times New Roman"/>
                <w:b/>
              </w:rPr>
              <w:t>DEEL II: INSTRUCTIES IN VERBAND MET DE TEMPLATES</w:t>
            </w:r>
            <w:r w:rsidR="006575B8">
              <w:rPr>
                <w:webHidden/>
              </w:rPr>
              <w:tab/>
            </w:r>
            <w:r w:rsidR="006575B8">
              <w:rPr>
                <w:webHidden/>
              </w:rPr>
              <w:fldChar w:fldCharType="begin"/>
            </w:r>
            <w:r w:rsidR="006575B8">
              <w:rPr>
                <w:webHidden/>
              </w:rPr>
              <w:instrText xml:space="preserve"> PAGEREF _Toc522779996 \h </w:instrText>
            </w:r>
            <w:r w:rsidR="006575B8">
              <w:rPr>
                <w:webHidden/>
              </w:rPr>
            </w:r>
            <w:r w:rsidR="006575B8">
              <w:rPr>
                <w:webHidden/>
              </w:rPr>
              <w:fldChar w:fldCharType="separate"/>
            </w:r>
            <w:r w:rsidR="006575B8" w:rsidRPr="00CF219D">
              <w:rPr>
                <w:webHidden/>
              </w:rPr>
              <w:t>4</w:t>
            </w:r>
            <w:r w:rsidR="006575B8">
              <w:rPr>
                <w:webHidden/>
              </w:rPr>
              <w:fldChar w:fldCharType="end"/>
            </w:r>
          </w:hyperlink>
        </w:p>
        <w:p w:rsidR="006575B8" w:rsidRDefault="003104D7">
          <w:pPr>
            <w:pStyle w:val="TOC2"/>
            <w:rPr>
              <w:rFonts w:asciiTheme="minorHAnsi" w:eastAsiaTheme="minorEastAsia" w:hAnsiTheme="minorHAnsi" w:cstheme="minorBidi"/>
              <w:b w:val="0"/>
              <w:smallCaps w:val="0"/>
              <w:sz w:val="22"/>
              <w:lang w:val="en-GB" w:eastAsia="en-GB" w:bidi="ar-SA"/>
            </w:rPr>
          </w:pPr>
          <w:hyperlink w:anchor="_Toc522779997" w:history="1">
            <w:r w:rsidR="006575B8" w:rsidRPr="00CF219D">
              <w:rPr>
                <w:rStyle w:val="Hyperlink"/>
                <w:rFonts w:ascii="Times New Roman" w:hAnsi="Times New Roman"/>
              </w:rPr>
              <w:t>1</w:t>
            </w:r>
            <w:r w:rsidR="006575B8" w:rsidRPr="00776B33">
              <w:rPr>
                <w:rStyle w:val="Hyperlink"/>
                <w:rFonts w:ascii="Times New Roman" w:hAnsi="Times New Roman"/>
              </w:rPr>
              <w:t>.</w:t>
            </w:r>
            <w:r w:rsidR="006575B8">
              <w:rPr>
                <w:rFonts w:asciiTheme="minorHAnsi" w:eastAsiaTheme="minorEastAsia" w:hAnsiTheme="minorHAnsi" w:cstheme="minorBidi"/>
                <w:b w:val="0"/>
                <w:smallCaps w:val="0"/>
                <w:sz w:val="22"/>
                <w:lang w:val="en-GB" w:eastAsia="en-GB" w:bidi="ar-SA"/>
              </w:rPr>
              <w:tab/>
            </w:r>
            <w:r w:rsidR="006575B8" w:rsidRPr="00776B33">
              <w:rPr>
                <w:rStyle w:val="Hyperlink"/>
                <w:rFonts w:ascii="Times New Roman" w:hAnsi="Times New Roman"/>
              </w:rPr>
              <w:t>Structuur en frequentie</w:t>
            </w:r>
            <w:r w:rsidR="006575B8">
              <w:rPr>
                <w:webHidden/>
              </w:rPr>
              <w:tab/>
            </w:r>
            <w:r w:rsidR="006575B8">
              <w:rPr>
                <w:webHidden/>
              </w:rPr>
              <w:fldChar w:fldCharType="begin"/>
            </w:r>
            <w:r w:rsidR="006575B8">
              <w:rPr>
                <w:webHidden/>
              </w:rPr>
              <w:instrText xml:space="preserve"> PAGEREF _Toc522779997 \h </w:instrText>
            </w:r>
            <w:r w:rsidR="006575B8">
              <w:rPr>
                <w:webHidden/>
              </w:rPr>
            </w:r>
            <w:r w:rsidR="006575B8">
              <w:rPr>
                <w:webHidden/>
              </w:rPr>
              <w:fldChar w:fldCharType="separate"/>
            </w:r>
            <w:r w:rsidR="006575B8" w:rsidRPr="00CF219D">
              <w:rPr>
                <w:webHidden/>
              </w:rPr>
              <w:t>4</w:t>
            </w:r>
            <w:r w:rsidR="006575B8">
              <w:rPr>
                <w:webHidden/>
              </w:rPr>
              <w:fldChar w:fldCharType="end"/>
            </w:r>
          </w:hyperlink>
        </w:p>
        <w:p w:rsidR="006575B8" w:rsidRDefault="003104D7">
          <w:pPr>
            <w:pStyle w:val="TOC2"/>
            <w:rPr>
              <w:rFonts w:asciiTheme="minorHAnsi" w:eastAsiaTheme="minorEastAsia" w:hAnsiTheme="minorHAnsi" w:cstheme="minorBidi"/>
              <w:b w:val="0"/>
              <w:smallCaps w:val="0"/>
              <w:sz w:val="22"/>
              <w:lang w:val="en-GB" w:eastAsia="en-GB" w:bidi="ar-SA"/>
            </w:rPr>
          </w:pPr>
          <w:hyperlink w:anchor="_Toc522779998" w:history="1">
            <w:r w:rsidR="006575B8" w:rsidRPr="00CF219D">
              <w:rPr>
                <w:rStyle w:val="Hyperlink"/>
                <w:rFonts w:ascii="Times New Roman" w:hAnsi="Times New Roman"/>
              </w:rPr>
              <w:t>2</w:t>
            </w:r>
            <w:r w:rsidR="006575B8" w:rsidRPr="00776B33">
              <w:rPr>
                <w:rStyle w:val="Hyperlink"/>
                <w:rFonts w:ascii="Times New Roman" w:hAnsi="Times New Roman"/>
              </w:rPr>
              <w:t>.</w:t>
            </w:r>
            <w:r w:rsidR="006575B8">
              <w:rPr>
                <w:rFonts w:asciiTheme="minorHAnsi" w:eastAsiaTheme="minorEastAsia" w:hAnsiTheme="minorHAnsi" w:cstheme="minorBidi"/>
                <w:b w:val="0"/>
                <w:smallCaps w:val="0"/>
                <w:sz w:val="22"/>
                <w:lang w:val="en-GB" w:eastAsia="en-GB" w:bidi="ar-SA"/>
              </w:rPr>
              <w:tab/>
            </w:r>
            <w:r w:rsidR="006575B8" w:rsidRPr="00776B33">
              <w:rPr>
                <w:rStyle w:val="Hyperlink"/>
                <w:rFonts w:ascii="Times New Roman" w:hAnsi="Times New Roman"/>
              </w:rPr>
              <w:t>Formules voor het berekenen van de hefboomratio</w:t>
            </w:r>
            <w:r w:rsidR="006575B8">
              <w:rPr>
                <w:webHidden/>
              </w:rPr>
              <w:tab/>
            </w:r>
            <w:r w:rsidR="006575B8">
              <w:rPr>
                <w:webHidden/>
              </w:rPr>
              <w:fldChar w:fldCharType="begin"/>
            </w:r>
            <w:r w:rsidR="006575B8">
              <w:rPr>
                <w:webHidden/>
              </w:rPr>
              <w:instrText xml:space="preserve"> PAGEREF _Toc522779998 \h </w:instrText>
            </w:r>
            <w:r w:rsidR="006575B8">
              <w:rPr>
                <w:webHidden/>
              </w:rPr>
            </w:r>
            <w:r w:rsidR="006575B8">
              <w:rPr>
                <w:webHidden/>
              </w:rPr>
              <w:fldChar w:fldCharType="separate"/>
            </w:r>
            <w:r w:rsidR="006575B8" w:rsidRPr="00CF219D">
              <w:rPr>
                <w:webHidden/>
              </w:rPr>
              <w:t>4</w:t>
            </w:r>
            <w:r w:rsidR="006575B8">
              <w:rPr>
                <w:webHidden/>
              </w:rPr>
              <w:fldChar w:fldCharType="end"/>
            </w:r>
          </w:hyperlink>
        </w:p>
        <w:p w:rsidR="006575B8" w:rsidRDefault="003104D7">
          <w:pPr>
            <w:pStyle w:val="TOC2"/>
            <w:rPr>
              <w:rFonts w:asciiTheme="minorHAnsi" w:eastAsiaTheme="minorEastAsia" w:hAnsiTheme="minorHAnsi" w:cstheme="minorBidi"/>
              <w:b w:val="0"/>
              <w:smallCaps w:val="0"/>
              <w:sz w:val="22"/>
              <w:lang w:val="en-GB" w:eastAsia="en-GB" w:bidi="ar-SA"/>
            </w:rPr>
          </w:pPr>
          <w:hyperlink w:anchor="_Toc522779999" w:history="1">
            <w:r w:rsidR="006575B8" w:rsidRPr="00CF219D">
              <w:rPr>
                <w:rStyle w:val="Hyperlink"/>
                <w:rFonts w:ascii="Times New Roman" w:hAnsi="Times New Roman"/>
              </w:rPr>
              <w:t>3</w:t>
            </w:r>
            <w:r w:rsidR="006575B8" w:rsidRPr="00776B33">
              <w:rPr>
                <w:rStyle w:val="Hyperlink"/>
                <w:rFonts w:ascii="Times New Roman" w:hAnsi="Times New Roman"/>
              </w:rPr>
              <w:t>.</w:t>
            </w:r>
            <w:r w:rsidR="006575B8">
              <w:rPr>
                <w:rFonts w:asciiTheme="minorHAnsi" w:eastAsiaTheme="minorEastAsia" w:hAnsiTheme="minorHAnsi" w:cstheme="minorBidi"/>
                <w:b w:val="0"/>
                <w:smallCaps w:val="0"/>
                <w:sz w:val="22"/>
                <w:lang w:val="en-GB" w:eastAsia="en-GB" w:bidi="ar-SA"/>
              </w:rPr>
              <w:tab/>
            </w:r>
            <w:r w:rsidR="006575B8" w:rsidRPr="00776B33">
              <w:rPr>
                <w:rStyle w:val="Hyperlink"/>
                <w:rFonts w:ascii="Times New Roman" w:hAnsi="Times New Roman"/>
              </w:rPr>
              <w:t>Materialiteitsdrempels voor derivaten</w:t>
            </w:r>
            <w:r w:rsidR="006575B8">
              <w:rPr>
                <w:webHidden/>
              </w:rPr>
              <w:tab/>
            </w:r>
            <w:r w:rsidR="006575B8">
              <w:rPr>
                <w:webHidden/>
              </w:rPr>
              <w:fldChar w:fldCharType="begin"/>
            </w:r>
            <w:r w:rsidR="006575B8">
              <w:rPr>
                <w:webHidden/>
              </w:rPr>
              <w:instrText xml:space="preserve"> PAGEREF _Toc522779999 \h </w:instrText>
            </w:r>
            <w:r w:rsidR="006575B8">
              <w:rPr>
                <w:webHidden/>
              </w:rPr>
            </w:r>
            <w:r w:rsidR="006575B8">
              <w:rPr>
                <w:webHidden/>
              </w:rPr>
              <w:fldChar w:fldCharType="separate"/>
            </w:r>
            <w:r w:rsidR="006575B8" w:rsidRPr="00CF219D">
              <w:rPr>
                <w:webHidden/>
              </w:rPr>
              <w:t>4</w:t>
            </w:r>
            <w:r w:rsidR="006575B8">
              <w:rPr>
                <w:webHidden/>
              </w:rPr>
              <w:fldChar w:fldCharType="end"/>
            </w:r>
          </w:hyperlink>
        </w:p>
        <w:p w:rsidR="006575B8" w:rsidRDefault="003104D7">
          <w:pPr>
            <w:pStyle w:val="TOC2"/>
            <w:rPr>
              <w:rFonts w:asciiTheme="minorHAnsi" w:eastAsiaTheme="minorEastAsia" w:hAnsiTheme="minorHAnsi" w:cstheme="minorBidi"/>
              <w:b w:val="0"/>
              <w:smallCaps w:val="0"/>
              <w:sz w:val="22"/>
              <w:lang w:val="en-GB" w:eastAsia="en-GB" w:bidi="ar-SA"/>
            </w:rPr>
          </w:pPr>
          <w:hyperlink w:anchor="_Toc522780000" w:history="1">
            <w:r w:rsidR="006575B8" w:rsidRPr="00CF219D">
              <w:rPr>
                <w:rStyle w:val="Hyperlink"/>
                <w:rFonts w:ascii="Times New Roman" w:hAnsi="Times New Roman"/>
              </w:rPr>
              <w:t>4</w:t>
            </w:r>
            <w:r w:rsidR="006575B8" w:rsidRPr="00776B33">
              <w:rPr>
                <w:rStyle w:val="Hyperlink"/>
                <w:rFonts w:ascii="Times New Roman" w:hAnsi="Times New Roman"/>
              </w:rPr>
              <w:t>.</w:t>
            </w:r>
            <w:r w:rsidR="006575B8">
              <w:rPr>
                <w:rFonts w:asciiTheme="minorHAnsi" w:eastAsiaTheme="minorEastAsia" w:hAnsiTheme="minorHAnsi" w:cstheme="minorBidi"/>
                <w:b w:val="0"/>
                <w:smallCaps w:val="0"/>
                <w:sz w:val="22"/>
                <w:lang w:val="en-GB" w:eastAsia="en-GB" w:bidi="ar-SA"/>
              </w:rPr>
              <w:tab/>
            </w:r>
            <w:r w:rsidR="006575B8" w:rsidRPr="00776B33">
              <w:rPr>
                <w:rStyle w:val="Hyperlink"/>
                <w:rFonts w:ascii="Times New Roman" w:hAnsi="Times New Roman"/>
              </w:rPr>
              <w:t xml:space="preserve">C </w:t>
            </w:r>
            <w:r w:rsidR="006575B8" w:rsidRPr="00CF219D">
              <w:rPr>
                <w:rStyle w:val="Hyperlink"/>
                <w:rFonts w:ascii="Times New Roman" w:hAnsi="Times New Roman"/>
              </w:rPr>
              <w:t>47</w:t>
            </w:r>
            <w:r w:rsidR="006575B8" w:rsidRPr="00776B33">
              <w:rPr>
                <w:rStyle w:val="Hyperlink"/>
                <w:rFonts w:ascii="Times New Roman" w:hAnsi="Times New Roman"/>
              </w:rPr>
              <w:t>.</w:t>
            </w:r>
            <w:r w:rsidR="006575B8" w:rsidRPr="00CF219D">
              <w:rPr>
                <w:rStyle w:val="Hyperlink"/>
                <w:rFonts w:ascii="Times New Roman" w:hAnsi="Times New Roman"/>
              </w:rPr>
              <w:t>00</w:t>
            </w:r>
            <w:r w:rsidR="006575B8" w:rsidRPr="00776B33">
              <w:rPr>
                <w:rStyle w:val="Hyperlink"/>
                <w:rFonts w:ascii="Times New Roman" w:hAnsi="Times New Roman"/>
              </w:rPr>
              <w:t xml:space="preserve"> – Hefboomratioberekening (LRCalc)</w:t>
            </w:r>
            <w:r w:rsidR="006575B8">
              <w:rPr>
                <w:webHidden/>
              </w:rPr>
              <w:tab/>
            </w:r>
            <w:r w:rsidR="006575B8">
              <w:rPr>
                <w:webHidden/>
              </w:rPr>
              <w:fldChar w:fldCharType="begin"/>
            </w:r>
            <w:r w:rsidR="006575B8">
              <w:rPr>
                <w:webHidden/>
              </w:rPr>
              <w:instrText xml:space="preserve"> PAGEREF _Toc522780000 \h </w:instrText>
            </w:r>
            <w:r w:rsidR="006575B8">
              <w:rPr>
                <w:webHidden/>
              </w:rPr>
            </w:r>
            <w:r w:rsidR="006575B8">
              <w:rPr>
                <w:webHidden/>
              </w:rPr>
              <w:fldChar w:fldCharType="separate"/>
            </w:r>
            <w:r w:rsidR="006575B8" w:rsidRPr="00CF219D">
              <w:rPr>
                <w:webHidden/>
              </w:rPr>
              <w:t>5</w:t>
            </w:r>
            <w:r w:rsidR="006575B8">
              <w:rPr>
                <w:webHidden/>
              </w:rPr>
              <w:fldChar w:fldCharType="end"/>
            </w:r>
          </w:hyperlink>
        </w:p>
        <w:p w:rsidR="006575B8" w:rsidRDefault="003104D7">
          <w:pPr>
            <w:pStyle w:val="TOC2"/>
            <w:rPr>
              <w:rFonts w:asciiTheme="minorHAnsi" w:eastAsiaTheme="minorEastAsia" w:hAnsiTheme="minorHAnsi" w:cstheme="minorBidi"/>
              <w:b w:val="0"/>
              <w:smallCaps w:val="0"/>
              <w:sz w:val="22"/>
              <w:lang w:val="en-GB" w:eastAsia="en-GB" w:bidi="ar-SA"/>
            </w:rPr>
          </w:pPr>
          <w:hyperlink w:anchor="_Toc522780001" w:history="1">
            <w:r w:rsidR="006575B8" w:rsidRPr="00CF219D">
              <w:rPr>
                <w:rStyle w:val="Hyperlink"/>
                <w:rFonts w:ascii="Times New Roman" w:hAnsi="Times New Roman"/>
              </w:rPr>
              <w:t>5</w:t>
            </w:r>
            <w:r w:rsidR="006575B8" w:rsidRPr="00776B33">
              <w:rPr>
                <w:rStyle w:val="Hyperlink"/>
                <w:rFonts w:ascii="Times New Roman" w:hAnsi="Times New Roman"/>
              </w:rPr>
              <w:t>.</w:t>
            </w:r>
            <w:r w:rsidR="006575B8">
              <w:rPr>
                <w:rFonts w:asciiTheme="minorHAnsi" w:eastAsiaTheme="minorEastAsia" w:hAnsiTheme="minorHAnsi" w:cstheme="minorBidi"/>
                <w:b w:val="0"/>
                <w:smallCaps w:val="0"/>
                <w:sz w:val="22"/>
                <w:lang w:val="en-GB" w:eastAsia="en-GB" w:bidi="ar-SA"/>
              </w:rPr>
              <w:tab/>
            </w:r>
            <w:r w:rsidR="006575B8" w:rsidRPr="00776B33">
              <w:rPr>
                <w:rStyle w:val="Hyperlink"/>
                <w:rFonts w:ascii="Times New Roman" w:hAnsi="Times New Roman"/>
              </w:rPr>
              <w:t xml:space="preserve">C </w:t>
            </w:r>
            <w:r w:rsidR="006575B8" w:rsidRPr="00CF219D">
              <w:rPr>
                <w:rStyle w:val="Hyperlink"/>
                <w:rFonts w:ascii="Times New Roman" w:hAnsi="Times New Roman"/>
              </w:rPr>
              <w:t>40</w:t>
            </w:r>
            <w:r w:rsidR="006575B8" w:rsidRPr="00776B33">
              <w:rPr>
                <w:rStyle w:val="Hyperlink"/>
                <w:rFonts w:ascii="Times New Roman" w:hAnsi="Times New Roman"/>
              </w:rPr>
              <w:t>.</w:t>
            </w:r>
            <w:r w:rsidR="006575B8" w:rsidRPr="00CF219D">
              <w:rPr>
                <w:rStyle w:val="Hyperlink"/>
                <w:rFonts w:ascii="Times New Roman" w:hAnsi="Times New Roman"/>
              </w:rPr>
              <w:t>00</w:t>
            </w:r>
            <w:r w:rsidR="006575B8" w:rsidRPr="00776B33">
              <w:rPr>
                <w:rStyle w:val="Hyperlink"/>
                <w:rFonts w:ascii="Times New Roman" w:hAnsi="Times New Roman"/>
              </w:rPr>
              <w:t xml:space="preserve"> — Alternatieve behandeling van de blootstellingsmaatstaf (LR</w:t>
            </w:r>
            <w:r w:rsidR="006575B8" w:rsidRPr="00CF219D">
              <w:rPr>
                <w:rStyle w:val="Hyperlink"/>
                <w:rFonts w:ascii="Times New Roman" w:hAnsi="Times New Roman"/>
              </w:rPr>
              <w:t>1</w:t>
            </w:r>
            <w:r w:rsidR="006575B8" w:rsidRPr="00776B33">
              <w:rPr>
                <w:rStyle w:val="Hyperlink"/>
                <w:rFonts w:ascii="Times New Roman" w:hAnsi="Times New Roman"/>
              </w:rPr>
              <w:t>)</w:t>
            </w:r>
            <w:r w:rsidR="006575B8">
              <w:rPr>
                <w:webHidden/>
              </w:rPr>
              <w:tab/>
            </w:r>
            <w:r w:rsidR="006575B8">
              <w:rPr>
                <w:webHidden/>
              </w:rPr>
              <w:fldChar w:fldCharType="begin"/>
            </w:r>
            <w:r w:rsidR="006575B8">
              <w:rPr>
                <w:webHidden/>
              </w:rPr>
              <w:instrText xml:space="preserve"> PAGEREF _Toc522780001 \h </w:instrText>
            </w:r>
            <w:r w:rsidR="006575B8">
              <w:rPr>
                <w:webHidden/>
              </w:rPr>
            </w:r>
            <w:r w:rsidR="006575B8">
              <w:rPr>
                <w:webHidden/>
              </w:rPr>
              <w:fldChar w:fldCharType="separate"/>
            </w:r>
            <w:r w:rsidR="006575B8" w:rsidRPr="00CF219D">
              <w:rPr>
                <w:webHidden/>
              </w:rPr>
              <w:t>14</w:t>
            </w:r>
            <w:r w:rsidR="006575B8">
              <w:rPr>
                <w:webHidden/>
              </w:rPr>
              <w:fldChar w:fldCharType="end"/>
            </w:r>
          </w:hyperlink>
        </w:p>
        <w:p w:rsidR="006575B8" w:rsidRDefault="003104D7">
          <w:pPr>
            <w:pStyle w:val="TOC2"/>
            <w:rPr>
              <w:rFonts w:asciiTheme="minorHAnsi" w:eastAsiaTheme="minorEastAsia" w:hAnsiTheme="minorHAnsi" w:cstheme="minorBidi"/>
              <w:b w:val="0"/>
              <w:smallCaps w:val="0"/>
              <w:sz w:val="22"/>
              <w:lang w:val="en-GB" w:eastAsia="en-GB" w:bidi="ar-SA"/>
            </w:rPr>
          </w:pPr>
          <w:hyperlink w:anchor="_Toc522780002" w:history="1">
            <w:r w:rsidR="006575B8" w:rsidRPr="00CF219D">
              <w:rPr>
                <w:rStyle w:val="Hyperlink"/>
                <w:rFonts w:ascii="Times New Roman" w:hAnsi="Times New Roman"/>
              </w:rPr>
              <w:t>6</w:t>
            </w:r>
            <w:r w:rsidR="006575B8" w:rsidRPr="00776B33">
              <w:rPr>
                <w:rStyle w:val="Hyperlink"/>
                <w:rFonts w:ascii="Times New Roman" w:hAnsi="Times New Roman"/>
              </w:rPr>
              <w:t>.</w:t>
            </w:r>
            <w:r w:rsidR="006575B8">
              <w:rPr>
                <w:rFonts w:asciiTheme="minorHAnsi" w:eastAsiaTheme="minorEastAsia" w:hAnsiTheme="minorHAnsi" w:cstheme="minorBidi"/>
                <w:b w:val="0"/>
                <w:smallCaps w:val="0"/>
                <w:sz w:val="22"/>
                <w:lang w:val="en-GB" w:eastAsia="en-GB" w:bidi="ar-SA"/>
              </w:rPr>
              <w:tab/>
            </w:r>
            <w:r w:rsidR="006575B8" w:rsidRPr="00776B33">
              <w:rPr>
                <w:rStyle w:val="Hyperlink"/>
                <w:rFonts w:ascii="Times New Roman" w:hAnsi="Times New Roman"/>
              </w:rPr>
              <w:t xml:space="preserve">C </w:t>
            </w:r>
            <w:r w:rsidR="006575B8" w:rsidRPr="00CF219D">
              <w:rPr>
                <w:rStyle w:val="Hyperlink"/>
                <w:rFonts w:ascii="Times New Roman" w:hAnsi="Times New Roman"/>
              </w:rPr>
              <w:t>41</w:t>
            </w:r>
            <w:r w:rsidR="006575B8" w:rsidRPr="00776B33">
              <w:rPr>
                <w:rStyle w:val="Hyperlink"/>
                <w:rFonts w:ascii="Times New Roman" w:hAnsi="Times New Roman"/>
              </w:rPr>
              <w:t>.</w:t>
            </w:r>
            <w:r w:rsidR="006575B8" w:rsidRPr="00CF219D">
              <w:rPr>
                <w:rStyle w:val="Hyperlink"/>
                <w:rFonts w:ascii="Times New Roman" w:hAnsi="Times New Roman"/>
              </w:rPr>
              <w:t>00</w:t>
            </w:r>
            <w:r w:rsidR="006575B8" w:rsidRPr="00776B33">
              <w:rPr>
                <w:rStyle w:val="Hyperlink"/>
                <w:rFonts w:ascii="Times New Roman" w:hAnsi="Times New Roman"/>
              </w:rPr>
              <w:t xml:space="preserve"> – Posten binnen en buiten de balanstelling — aanvullende uitsplitsing van blootstellingen (LR</w:t>
            </w:r>
            <w:r w:rsidR="006575B8" w:rsidRPr="00CF219D">
              <w:rPr>
                <w:rStyle w:val="Hyperlink"/>
                <w:rFonts w:ascii="Times New Roman" w:hAnsi="Times New Roman"/>
              </w:rPr>
              <w:t>2</w:t>
            </w:r>
            <w:r w:rsidR="006575B8" w:rsidRPr="00776B33">
              <w:rPr>
                <w:rStyle w:val="Hyperlink"/>
                <w:rFonts w:ascii="Times New Roman" w:hAnsi="Times New Roman"/>
              </w:rPr>
              <w:t>)</w:t>
            </w:r>
            <w:r w:rsidR="006575B8">
              <w:rPr>
                <w:webHidden/>
              </w:rPr>
              <w:tab/>
            </w:r>
            <w:r w:rsidR="006575B8">
              <w:rPr>
                <w:webHidden/>
              </w:rPr>
              <w:fldChar w:fldCharType="begin"/>
            </w:r>
            <w:r w:rsidR="006575B8">
              <w:rPr>
                <w:webHidden/>
              </w:rPr>
              <w:instrText xml:space="preserve"> PAGEREF _Toc522780002 \h </w:instrText>
            </w:r>
            <w:r w:rsidR="006575B8">
              <w:rPr>
                <w:webHidden/>
              </w:rPr>
            </w:r>
            <w:r w:rsidR="006575B8">
              <w:rPr>
                <w:webHidden/>
              </w:rPr>
              <w:fldChar w:fldCharType="separate"/>
            </w:r>
            <w:r w:rsidR="006575B8" w:rsidRPr="00CF219D">
              <w:rPr>
                <w:webHidden/>
              </w:rPr>
              <w:t>25</w:t>
            </w:r>
            <w:r w:rsidR="006575B8">
              <w:rPr>
                <w:webHidden/>
              </w:rPr>
              <w:fldChar w:fldCharType="end"/>
            </w:r>
          </w:hyperlink>
        </w:p>
        <w:p w:rsidR="006575B8" w:rsidRDefault="003104D7">
          <w:pPr>
            <w:pStyle w:val="TOC2"/>
            <w:rPr>
              <w:rFonts w:asciiTheme="minorHAnsi" w:eastAsiaTheme="minorEastAsia" w:hAnsiTheme="minorHAnsi" w:cstheme="minorBidi"/>
              <w:b w:val="0"/>
              <w:smallCaps w:val="0"/>
              <w:sz w:val="22"/>
              <w:lang w:val="en-GB" w:eastAsia="en-GB" w:bidi="ar-SA"/>
            </w:rPr>
          </w:pPr>
          <w:hyperlink w:anchor="_Toc522780003" w:history="1">
            <w:r w:rsidR="006575B8" w:rsidRPr="00CF219D">
              <w:rPr>
                <w:rStyle w:val="Hyperlink"/>
                <w:rFonts w:ascii="Times New Roman" w:hAnsi="Times New Roman"/>
              </w:rPr>
              <w:t>7</w:t>
            </w:r>
            <w:r w:rsidR="006575B8" w:rsidRPr="00776B33">
              <w:rPr>
                <w:rStyle w:val="Hyperlink"/>
                <w:rFonts w:ascii="Times New Roman" w:hAnsi="Times New Roman"/>
              </w:rPr>
              <w:t>.</w:t>
            </w:r>
            <w:r w:rsidR="006575B8">
              <w:rPr>
                <w:rFonts w:asciiTheme="minorHAnsi" w:eastAsiaTheme="minorEastAsia" w:hAnsiTheme="minorHAnsi" w:cstheme="minorBidi"/>
                <w:b w:val="0"/>
                <w:smallCaps w:val="0"/>
                <w:sz w:val="22"/>
                <w:lang w:val="en-GB" w:eastAsia="en-GB" w:bidi="ar-SA"/>
              </w:rPr>
              <w:tab/>
            </w:r>
            <w:r w:rsidR="006575B8" w:rsidRPr="00776B33">
              <w:rPr>
                <w:rStyle w:val="Hyperlink"/>
                <w:rFonts w:ascii="Times New Roman" w:hAnsi="Times New Roman"/>
              </w:rPr>
              <w:t xml:space="preserve">C </w:t>
            </w:r>
            <w:r w:rsidR="006575B8" w:rsidRPr="00CF219D">
              <w:rPr>
                <w:rStyle w:val="Hyperlink"/>
                <w:rFonts w:ascii="Times New Roman" w:hAnsi="Times New Roman"/>
              </w:rPr>
              <w:t>42</w:t>
            </w:r>
            <w:r w:rsidR="006575B8" w:rsidRPr="00776B33">
              <w:rPr>
                <w:rStyle w:val="Hyperlink"/>
                <w:rFonts w:ascii="Times New Roman" w:hAnsi="Times New Roman"/>
              </w:rPr>
              <w:t>.</w:t>
            </w:r>
            <w:r w:rsidR="006575B8" w:rsidRPr="00CF219D">
              <w:rPr>
                <w:rStyle w:val="Hyperlink"/>
                <w:rFonts w:ascii="Times New Roman" w:hAnsi="Times New Roman"/>
              </w:rPr>
              <w:t>00</w:t>
            </w:r>
            <w:r w:rsidR="006575B8" w:rsidRPr="00776B33">
              <w:rPr>
                <w:rStyle w:val="Hyperlink"/>
                <w:rFonts w:ascii="Times New Roman" w:hAnsi="Times New Roman"/>
              </w:rPr>
              <w:t xml:space="preserve"> — Alternatieve definitie van kapitaal (LR</w:t>
            </w:r>
            <w:r w:rsidR="006575B8" w:rsidRPr="00CF219D">
              <w:rPr>
                <w:rStyle w:val="Hyperlink"/>
                <w:rFonts w:ascii="Times New Roman" w:hAnsi="Times New Roman"/>
              </w:rPr>
              <w:t>3</w:t>
            </w:r>
            <w:r w:rsidR="006575B8" w:rsidRPr="00776B33">
              <w:rPr>
                <w:rStyle w:val="Hyperlink"/>
                <w:rFonts w:ascii="Times New Roman" w:hAnsi="Times New Roman"/>
              </w:rPr>
              <w:t>)</w:t>
            </w:r>
            <w:r w:rsidR="006575B8">
              <w:rPr>
                <w:webHidden/>
              </w:rPr>
              <w:tab/>
            </w:r>
            <w:r w:rsidR="006575B8">
              <w:rPr>
                <w:webHidden/>
              </w:rPr>
              <w:fldChar w:fldCharType="begin"/>
            </w:r>
            <w:r w:rsidR="006575B8">
              <w:rPr>
                <w:webHidden/>
              </w:rPr>
              <w:instrText xml:space="preserve"> PAGEREF _Toc522780003 \h </w:instrText>
            </w:r>
            <w:r w:rsidR="006575B8">
              <w:rPr>
                <w:webHidden/>
              </w:rPr>
            </w:r>
            <w:r w:rsidR="006575B8">
              <w:rPr>
                <w:webHidden/>
              </w:rPr>
              <w:fldChar w:fldCharType="separate"/>
            </w:r>
            <w:r w:rsidR="006575B8" w:rsidRPr="00CF219D">
              <w:rPr>
                <w:webHidden/>
              </w:rPr>
              <w:t>27</w:t>
            </w:r>
            <w:r w:rsidR="006575B8">
              <w:rPr>
                <w:webHidden/>
              </w:rPr>
              <w:fldChar w:fldCharType="end"/>
            </w:r>
          </w:hyperlink>
        </w:p>
        <w:p w:rsidR="006575B8" w:rsidRDefault="003104D7">
          <w:pPr>
            <w:pStyle w:val="TOC2"/>
            <w:rPr>
              <w:rFonts w:asciiTheme="minorHAnsi" w:eastAsiaTheme="minorEastAsia" w:hAnsiTheme="minorHAnsi" w:cstheme="minorBidi"/>
              <w:b w:val="0"/>
              <w:smallCaps w:val="0"/>
              <w:sz w:val="22"/>
              <w:lang w:val="en-GB" w:eastAsia="en-GB" w:bidi="ar-SA"/>
            </w:rPr>
          </w:pPr>
          <w:hyperlink w:anchor="_Toc522780004" w:history="1">
            <w:r w:rsidR="006575B8" w:rsidRPr="00CF219D">
              <w:rPr>
                <w:rStyle w:val="Hyperlink"/>
                <w:rFonts w:ascii="Times New Roman" w:hAnsi="Times New Roman"/>
              </w:rPr>
              <w:t>8</w:t>
            </w:r>
            <w:r w:rsidR="006575B8" w:rsidRPr="00776B33">
              <w:rPr>
                <w:rStyle w:val="Hyperlink"/>
                <w:rFonts w:ascii="Times New Roman" w:hAnsi="Times New Roman"/>
              </w:rPr>
              <w:t>.</w:t>
            </w:r>
            <w:r w:rsidR="006575B8">
              <w:rPr>
                <w:rFonts w:asciiTheme="minorHAnsi" w:eastAsiaTheme="minorEastAsia" w:hAnsiTheme="minorHAnsi" w:cstheme="minorBidi"/>
                <w:b w:val="0"/>
                <w:smallCaps w:val="0"/>
                <w:sz w:val="22"/>
                <w:lang w:val="en-GB" w:eastAsia="en-GB" w:bidi="ar-SA"/>
              </w:rPr>
              <w:tab/>
            </w:r>
            <w:r w:rsidR="006575B8" w:rsidRPr="00776B33">
              <w:rPr>
                <w:rStyle w:val="Hyperlink"/>
                <w:rFonts w:ascii="Times New Roman" w:hAnsi="Times New Roman"/>
              </w:rPr>
              <w:t xml:space="preserve">C </w:t>
            </w:r>
            <w:r w:rsidR="006575B8" w:rsidRPr="00CF219D">
              <w:rPr>
                <w:rStyle w:val="Hyperlink"/>
                <w:rFonts w:ascii="Times New Roman" w:hAnsi="Times New Roman"/>
              </w:rPr>
              <w:t>43</w:t>
            </w:r>
            <w:r w:rsidR="006575B8" w:rsidRPr="00776B33">
              <w:rPr>
                <w:rStyle w:val="Hyperlink"/>
                <w:rFonts w:ascii="Times New Roman" w:hAnsi="Times New Roman"/>
              </w:rPr>
              <w:t>.</w:t>
            </w:r>
            <w:r w:rsidR="006575B8" w:rsidRPr="00CF219D">
              <w:rPr>
                <w:rStyle w:val="Hyperlink"/>
                <w:rFonts w:ascii="Times New Roman" w:hAnsi="Times New Roman"/>
              </w:rPr>
              <w:t>00</w:t>
            </w:r>
            <w:r w:rsidR="006575B8" w:rsidRPr="00776B33">
              <w:rPr>
                <w:rStyle w:val="Hyperlink"/>
                <w:rFonts w:ascii="Times New Roman" w:hAnsi="Times New Roman"/>
              </w:rPr>
              <w:t xml:space="preserve"> – Alternatieve uitsplitsing van de bestanddelen van de blootstellingsmaatstaf voor de berekening van de hefboomratio (LR</w:t>
            </w:r>
            <w:r w:rsidR="006575B8" w:rsidRPr="00CF219D">
              <w:rPr>
                <w:rStyle w:val="Hyperlink"/>
                <w:rFonts w:ascii="Times New Roman" w:hAnsi="Times New Roman"/>
              </w:rPr>
              <w:t>4</w:t>
            </w:r>
            <w:r w:rsidR="006575B8" w:rsidRPr="00776B33">
              <w:rPr>
                <w:rStyle w:val="Hyperlink"/>
                <w:rFonts w:ascii="Times New Roman" w:hAnsi="Times New Roman"/>
              </w:rPr>
              <w:t>)</w:t>
            </w:r>
            <w:r w:rsidR="006575B8">
              <w:rPr>
                <w:webHidden/>
              </w:rPr>
              <w:tab/>
            </w:r>
            <w:r w:rsidR="006575B8">
              <w:rPr>
                <w:webHidden/>
              </w:rPr>
              <w:fldChar w:fldCharType="begin"/>
            </w:r>
            <w:r w:rsidR="006575B8">
              <w:rPr>
                <w:webHidden/>
              </w:rPr>
              <w:instrText xml:space="preserve"> PAGEREF _Toc522780004 \h </w:instrText>
            </w:r>
            <w:r w:rsidR="006575B8">
              <w:rPr>
                <w:webHidden/>
              </w:rPr>
            </w:r>
            <w:r w:rsidR="006575B8">
              <w:rPr>
                <w:webHidden/>
              </w:rPr>
              <w:fldChar w:fldCharType="separate"/>
            </w:r>
            <w:r w:rsidR="006575B8" w:rsidRPr="00CF219D">
              <w:rPr>
                <w:webHidden/>
              </w:rPr>
              <w:t>29</w:t>
            </w:r>
            <w:r w:rsidR="006575B8">
              <w:rPr>
                <w:webHidden/>
              </w:rPr>
              <w:fldChar w:fldCharType="end"/>
            </w:r>
          </w:hyperlink>
        </w:p>
        <w:p w:rsidR="006575B8" w:rsidRDefault="003104D7">
          <w:pPr>
            <w:pStyle w:val="TOC2"/>
            <w:rPr>
              <w:rFonts w:asciiTheme="minorHAnsi" w:eastAsiaTheme="minorEastAsia" w:hAnsiTheme="minorHAnsi" w:cstheme="minorBidi"/>
              <w:b w:val="0"/>
              <w:smallCaps w:val="0"/>
              <w:sz w:val="22"/>
              <w:lang w:val="en-GB" w:eastAsia="en-GB" w:bidi="ar-SA"/>
            </w:rPr>
          </w:pPr>
          <w:hyperlink w:anchor="_Toc522780005" w:history="1">
            <w:r w:rsidR="006575B8" w:rsidRPr="00CF219D">
              <w:rPr>
                <w:rStyle w:val="Hyperlink"/>
                <w:rFonts w:ascii="Times New Roman" w:hAnsi="Times New Roman"/>
              </w:rPr>
              <w:t>9</w:t>
            </w:r>
            <w:r w:rsidR="006575B8" w:rsidRPr="00776B33">
              <w:rPr>
                <w:rStyle w:val="Hyperlink"/>
                <w:rFonts w:ascii="Times New Roman" w:hAnsi="Times New Roman"/>
              </w:rPr>
              <w:t>.</w:t>
            </w:r>
            <w:r w:rsidR="006575B8">
              <w:rPr>
                <w:rFonts w:asciiTheme="minorHAnsi" w:eastAsiaTheme="minorEastAsia" w:hAnsiTheme="minorHAnsi" w:cstheme="minorBidi"/>
                <w:b w:val="0"/>
                <w:smallCaps w:val="0"/>
                <w:sz w:val="22"/>
                <w:lang w:val="en-GB" w:eastAsia="en-GB" w:bidi="ar-SA"/>
              </w:rPr>
              <w:tab/>
            </w:r>
            <w:r w:rsidR="006575B8" w:rsidRPr="00776B33">
              <w:rPr>
                <w:rStyle w:val="Hyperlink"/>
                <w:rFonts w:ascii="Times New Roman" w:hAnsi="Times New Roman"/>
              </w:rPr>
              <w:t xml:space="preserve">C </w:t>
            </w:r>
            <w:r w:rsidR="006575B8" w:rsidRPr="00CF219D">
              <w:rPr>
                <w:rStyle w:val="Hyperlink"/>
                <w:rFonts w:ascii="Times New Roman" w:hAnsi="Times New Roman"/>
              </w:rPr>
              <w:t>44</w:t>
            </w:r>
            <w:r w:rsidR="006575B8" w:rsidRPr="00776B33">
              <w:rPr>
                <w:rStyle w:val="Hyperlink"/>
                <w:rFonts w:ascii="Times New Roman" w:hAnsi="Times New Roman"/>
              </w:rPr>
              <w:t>.</w:t>
            </w:r>
            <w:r w:rsidR="006575B8" w:rsidRPr="00CF219D">
              <w:rPr>
                <w:rStyle w:val="Hyperlink"/>
                <w:rFonts w:ascii="Times New Roman" w:hAnsi="Times New Roman"/>
              </w:rPr>
              <w:t>00</w:t>
            </w:r>
            <w:r w:rsidR="006575B8" w:rsidRPr="00776B33">
              <w:rPr>
                <w:rStyle w:val="Hyperlink"/>
                <w:rFonts w:ascii="Times New Roman" w:hAnsi="Times New Roman"/>
              </w:rPr>
              <w:t xml:space="preserve"> — Algemene informatie (LR</w:t>
            </w:r>
            <w:r w:rsidR="006575B8" w:rsidRPr="00CF219D">
              <w:rPr>
                <w:rStyle w:val="Hyperlink"/>
                <w:rFonts w:ascii="Times New Roman" w:hAnsi="Times New Roman"/>
              </w:rPr>
              <w:t>5</w:t>
            </w:r>
            <w:r w:rsidR="006575B8" w:rsidRPr="00776B33">
              <w:rPr>
                <w:rStyle w:val="Hyperlink"/>
                <w:rFonts w:ascii="Times New Roman" w:hAnsi="Times New Roman"/>
              </w:rPr>
              <w:t>)</w:t>
            </w:r>
            <w:r w:rsidR="006575B8">
              <w:rPr>
                <w:webHidden/>
              </w:rPr>
              <w:tab/>
            </w:r>
            <w:r w:rsidR="006575B8">
              <w:rPr>
                <w:webHidden/>
              </w:rPr>
              <w:fldChar w:fldCharType="begin"/>
            </w:r>
            <w:r w:rsidR="006575B8">
              <w:rPr>
                <w:webHidden/>
              </w:rPr>
              <w:instrText xml:space="preserve"> PAGEREF _Toc522780005 \h </w:instrText>
            </w:r>
            <w:r w:rsidR="006575B8">
              <w:rPr>
                <w:webHidden/>
              </w:rPr>
            </w:r>
            <w:r w:rsidR="006575B8">
              <w:rPr>
                <w:webHidden/>
              </w:rPr>
              <w:fldChar w:fldCharType="separate"/>
            </w:r>
            <w:r w:rsidR="006575B8" w:rsidRPr="00CF219D">
              <w:rPr>
                <w:webHidden/>
              </w:rPr>
              <w:t>51</w:t>
            </w:r>
            <w:r w:rsidR="006575B8">
              <w:rPr>
                <w:webHidden/>
              </w:rPr>
              <w:fldChar w:fldCharType="end"/>
            </w:r>
          </w:hyperlink>
        </w:p>
        <w:p w:rsidR="006575B8" w:rsidRDefault="006575B8">
          <w:r>
            <w:rPr>
              <w:b/>
              <w:bCs/>
              <w:noProof/>
            </w:rPr>
            <w:fldChar w:fldCharType="end"/>
          </w:r>
        </w:p>
      </w:sdtContent>
    </w:sdt>
    <w:p w:rsidR="00433957" w:rsidRDefault="000A7BCD">
      <w:pPr>
        <w:pStyle w:val="BodyText1"/>
        <w:rPr>
          <w:rFonts w:ascii="Times New Roman" w:eastAsiaTheme="minorEastAsia" w:hAnsi="Times New Roman"/>
          <w:color w:val="auto"/>
          <w:sz w:val="22"/>
          <w:szCs w:val="22"/>
        </w:rPr>
        <w:sectPr w:rsidR="00433957" w:rsidSect="00DC2C28">
          <w:footerReference w:type="default" r:id="rId11"/>
          <w:footerReference w:type="first" r:id="rId12"/>
          <w:endnotePr>
            <w:numFmt w:val="decimal"/>
          </w:endnotePr>
          <w:pgSz w:w="11906" w:h="16838" w:code="9"/>
          <w:pgMar w:top="1417" w:right="1417" w:bottom="1134" w:left="1417" w:header="720" w:footer="720" w:gutter="0"/>
          <w:cols w:space="720"/>
          <w:titlePg/>
          <w:docGrid w:linePitch="360"/>
        </w:sectPr>
      </w:pPr>
      <w:r>
        <w:rPr>
          <w:rFonts w:ascii="Times New Roman" w:hAnsi="Times New Roman"/>
        </w:rPr>
        <w:fldChar w:fldCharType="end"/>
      </w:r>
    </w:p>
    <w:p w:rsidR="00F4754B" w:rsidRPr="00FE002E" w:rsidRDefault="00F4754B" w:rsidP="00F4754B">
      <w:pPr>
        <w:pStyle w:val="BodyText1"/>
        <w:rPr>
          <w:rFonts w:ascii="Times New Roman" w:hAnsi="Times New Roman"/>
        </w:rPr>
      </w:pPr>
    </w:p>
    <w:p w:rsidR="00217D1F" w:rsidRPr="00FE002E" w:rsidRDefault="00F4754B" w:rsidP="00217D1F">
      <w:pPr>
        <w:pStyle w:val="BodyText1"/>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522779990"/>
      <w:r>
        <w:rPr>
          <w:rFonts w:ascii="Times New Roman" w:hAnsi="Times New Roman"/>
          <w:b/>
          <w:sz w:val="24"/>
        </w:rPr>
        <w:t>DEEL I:</w:t>
      </w:r>
      <w:bookmarkEnd w:id="0"/>
      <w:r>
        <w:rPr>
          <w:rFonts w:ascii="Times New Roman" w:hAnsi="Times New Roman"/>
          <w:b/>
          <w:sz w:val="24"/>
        </w:rPr>
        <w:t xml:space="preserve"> ALGEMENE INSTRUCTIES</w:t>
      </w:r>
      <w:bookmarkEnd w:id="1"/>
      <w:bookmarkEnd w:id="2"/>
      <w:bookmarkEnd w:id="3"/>
      <w:bookmarkEnd w:id="4"/>
      <w:bookmarkEnd w:id="5"/>
    </w:p>
    <w:p w:rsidR="00FF2091" w:rsidRPr="00CF306A" w:rsidRDefault="00FF2091" w:rsidP="00A860E1">
      <w:pPr>
        <w:pStyle w:val="BodyText1"/>
      </w:pPr>
      <w:bookmarkStart w:id="6" w:name="_Toc351048500"/>
    </w:p>
    <w:p w:rsidR="00217D1F" w:rsidRPr="00FE002E" w:rsidRDefault="00500508" w:rsidP="00500508">
      <w:pPr>
        <w:pStyle w:val="BodyText1"/>
        <w:ind w:left="357" w:hanging="357"/>
        <w:outlineLvl w:val="1"/>
        <w:rPr>
          <w:rFonts w:ascii="Times New Roman" w:hAnsi="Times New Roman"/>
          <w:b/>
        </w:rPr>
      </w:pPr>
      <w:bookmarkStart w:id="7" w:name="_Toc322687865"/>
      <w:bookmarkStart w:id="8" w:name="_Toc359414274"/>
      <w:bookmarkStart w:id="9" w:name="_Toc423089061"/>
      <w:bookmarkStart w:id="10" w:name="_Toc522779991"/>
      <w:r w:rsidRPr="00CF219D">
        <w:rPr>
          <w:rFonts w:ascii="Times New Roman" w:hAnsi="Times New Roman"/>
          <w:b/>
        </w:rPr>
        <w:t>1</w:t>
      </w:r>
      <w:r>
        <w:rPr>
          <w:rFonts w:ascii="Times New Roman" w:hAnsi="Times New Roman"/>
          <w:b/>
        </w:rPr>
        <w:t>.</w:t>
      </w:r>
      <w:r>
        <w:tab/>
      </w:r>
      <w:r>
        <w:rPr>
          <w:rFonts w:ascii="Times New Roman" w:hAnsi="Times New Roman"/>
          <w:b/>
        </w:rPr>
        <w:t>Labelen van templates en andere conventies</w:t>
      </w:r>
      <w:bookmarkEnd w:id="6"/>
      <w:bookmarkEnd w:id="7"/>
      <w:bookmarkEnd w:id="8"/>
      <w:bookmarkEnd w:id="9"/>
      <w:bookmarkEnd w:id="10"/>
    </w:p>
    <w:p w:rsidR="00FF2091" w:rsidRPr="00CF306A" w:rsidRDefault="00FF2091" w:rsidP="00A860E1">
      <w:pPr>
        <w:pStyle w:val="BodyText1"/>
      </w:pPr>
    </w:p>
    <w:p w:rsidR="00217D1F" w:rsidRPr="00FE002E" w:rsidRDefault="00500508" w:rsidP="00500508">
      <w:pPr>
        <w:pStyle w:val="BodyText1"/>
        <w:ind w:left="357" w:hanging="357"/>
        <w:outlineLvl w:val="2"/>
        <w:rPr>
          <w:rFonts w:ascii="Times New Roman" w:hAnsi="Times New Roman"/>
          <w:b/>
        </w:rPr>
      </w:pPr>
      <w:bookmarkStart w:id="11" w:name="_Toc322687866"/>
      <w:bookmarkStart w:id="12" w:name="_Toc359414275"/>
      <w:bookmarkStart w:id="13" w:name="_Toc423089062"/>
      <w:bookmarkStart w:id="14" w:name="_Toc522779992"/>
      <w:bookmarkStart w:id="15" w:name="_Toc264038399"/>
      <w:bookmarkStart w:id="16" w:name="_Toc294018834"/>
      <w:r w:rsidRPr="00CF219D">
        <w:rPr>
          <w:rFonts w:ascii="Times New Roman" w:hAnsi="Times New Roman"/>
          <w:b/>
        </w:rPr>
        <w:t>1</w:t>
      </w:r>
      <w:r>
        <w:rPr>
          <w:rFonts w:ascii="Times New Roman" w:hAnsi="Times New Roman"/>
          <w:b/>
        </w:rPr>
        <w:t>.</w:t>
      </w:r>
      <w:r w:rsidRPr="00CF219D">
        <w:rPr>
          <w:rFonts w:ascii="Times New Roman" w:hAnsi="Times New Roman"/>
          <w:b/>
        </w:rPr>
        <w:t>1</w:t>
      </w:r>
      <w:r>
        <w:rPr>
          <w:rFonts w:ascii="Times New Roman" w:hAnsi="Times New Roman"/>
          <w:b/>
        </w:rPr>
        <w:t>.</w:t>
      </w:r>
      <w:r>
        <w:tab/>
      </w:r>
      <w:r>
        <w:rPr>
          <w:rFonts w:ascii="Times New Roman" w:hAnsi="Times New Roman"/>
          <w:b/>
        </w:rPr>
        <w:t xml:space="preserve">Labelen van </w:t>
      </w:r>
      <w:bookmarkEnd w:id="11"/>
      <w:r>
        <w:rPr>
          <w:rFonts w:ascii="Times New Roman" w:hAnsi="Times New Roman"/>
          <w:b/>
        </w:rPr>
        <w:t>templates</w:t>
      </w:r>
      <w:bookmarkEnd w:id="12"/>
      <w:bookmarkEnd w:id="13"/>
      <w:bookmarkEnd w:id="14"/>
    </w:p>
    <w:p w:rsidR="00FF2091" w:rsidRPr="00CF306A" w:rsidRDefault="00FF2091" w:rsidP="00A860E1">
      <w:pPr>
        <w:pStyle w:val="BodyText1"/>
      </w:pPr>
    </w:p>
    <w:p w:rsidR="00E22856" w:rsidRPr="00FE002E" w:rsidRDefault="00500508" w:rsidP="00500508">
      <w:pPr>
        <w:pStyle w:val="BodyText1"/>
        <w:ind w:left="720" w:hanging="360"/>
        <w:rPr>
          <w:rFonts w:ascii="Times New Roman" w:hAnsi="Times New Roman"/>
        </w:rPr>
      </w:pPr>
      <w:r w:rsidRPr="00CF219D">
        <w:rPr>
          <w:rFonts w:ascii="Times New Roman" w:hAnsi="Times New Roman"/>
        </w:rPr>
        <w:t>1</w:t>
      </w:r>
      <w:r>
        <w:rPr>
          <w:rFonts w:ascii="Times New Roman" w:hAnsi="Times New Roman"/>
        </w:rPr>
        <w:t>.</w:t>
      </w:r>
      <w:r>
        <w:tab/>
      </w:r>
      <w:r>
        <w:rPr>
          <w:rFonts w:ascii="Times New Roman" w:hAnsi="Times New Roman"/>
        </w:rPr>
        <w:t xml:space="preserve">Deze bijlage bevat aanvullende instructies voor de templates (hierna "LR" genoemd) in bijlage X bij deze verordening. </w:t>
      </w:r>
    </w:p>
    <w:p w:rsidR="00E22856" w:rsidRPr="00FE002E" w:rsidRDefault="00E22856" w:rsidP="00E22856">
      <w:pPr>
        <w:pStyle w:val="BodyText1"/>
        <w:ind w:left="720"/>
        <w:rPr>
          <w:rFonts w:ascii="Times New Roman" w:hAnsi="Times New Roman"/>
        </w:rPr>
      </w:pPr>
    </w:p>
    <w:p w:rsidR="00F4754B" w:rsidRPr="00FE002E" w:rsidRDefault="00500508" w:rsidP="00500508">
      <w:pPr>
        <w:pStyle w:val="InstructionsText2"/>
        <w:numPr>
          <w:ilvl w:val="0"/>
          <w:numId w:val="0"/>
        </w:numPr>
        <w:ind w:left="720" w:hanging="360"/>
        <w:rPr>
          <w:rFonts w:eastAsia="Times New Roman"/>
          <w:bCs/>
          <w:szCs w:val="17"/>
        </w:rPr>
      </w:pPr>
      <w:r w:rsidRPr="00CF219D">
        <w:t>2</w:t>
      </w:r>
      <w:r>
        <w:t>.</w:t>
      </w:r>
      <w:r>
        <w:tab/>
        <w:t>Het kader als geheel bestaat uit zes templates:</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w:t>
      </w:r>
      <w:r w:rsidRPr="00CF219D">
        <w:t>47</w:t>
      </w:r>
      <w:r>
        <w:t>.</w:t>
      </w:r>
      <w:r w:rsidRPr="00CF219D">
        <w:t>00</w:t>
      </w:r>
      <w:r>
        <w:t>: Hefboomratioberekening (Leverage Ratio Calculation - LRCalc): hefboomratioberekening;</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w:t>
      </w:r>
      <w:r w:rsidRPr="00CF219D">
        <w:t>40</w:t>
      </w:r>
      <w:r>
        <w:t>.</w:t>
      </w:r>
      <w:r w:rsidRPr="00CF219D">
        <w:t>00</w:t>
      </w:r>
      <w:r>
        <w:t xml:space="preserve">: Hefboomratiotemplate </w:t>
      </w:r>
      <w:r w:rsidRPr="00CF219D">
        <w:t>1</w:t>
      </w:r>
      <w:r>
        <w:t xml:space="preserve"> (LR</w:t>
      </w:r>
      <w:r w:rsidRPr="00CF219D">
        <w:t>1</w:t>
      </w:r>
      <w:r>
        <w:t>): alternatieve behandeling van de blootstellingsmaatstaf;</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w:t>
      </w:r>
      <w:r w:rsidRPr="00CF219D">
        <w:t>41</w:t>
      </w:r>
      <w:r>
        <w:t>.</w:t>
      </w:r>
      <w:r w:rsidRPr="00CF219D">
        <w:t>00</w:t>
      </w:r>
      <w:r>
        <w:t xml:space="preserve">: Hefboomratiotemplate </w:t>
      </w:r>
      <w:r w:rsidRPr="00CF219D">
        <w:t>2</w:t>
      </w:r>
      <w:r>
        <w:t xml:space="preserve"> (LR</w:t>
      </w:r>
      <w:r w:rsidRPr="00CF219D">
        <w:t>2</w:t>
      </w:r>
      <w:r>
        <w:t>): posten binnen en buiten de balanstelling – aanvullende uitsplitsing van blootstellingen;</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w:t>
      </w:r>
      <w:r w:rsidRPr="00CF219D">
        <w:t>42</w:t>
      </w:r>
      <w:r>
        <w:t>.</w:t>
      </w:r>
      <w:r w:rsidRPr="00CF219D">
        <w:t>00</w:t>
      </w:r>
      <w:r>
        <w:t xml:space="preserve">: Hefboomratiotemplate </w:t>
      </w:r>
      <w:r w:rsidRPr="00CF219D">
        <w:t>3</w:t>
      </w:r>
      <w:r>
        <w:t xml:space="preserve"> (LR</w:t>
      </w:r>
      <w:r w:rsidRPr="00CF219D">
        <w:t>3</w:t>
      </w:r>
      <w:r>
        <w:t>): alternatieve definitie van kapitaal;</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w:t>
      </w:r>
      <w:r w:rsidRPr="00CF219D">
        <w:t>43</w:t>
      </w:r>
      <w:r>
        <w:t>.</w:t>
      </w:r>
      <w:r w:rsidRPr="00CF219D">
        <w:t>00</w:t>
      </w:r>
      <w:r>
        <w:t xml:space="preserve">: Hefboomratiotemplate </w:t>
      </w:r>
      <w:r w:rsidRPr="00CF219D">
        <w:t>4</w:t>
      </w:r>
      <w:r>
        <w:t xml:space="preserve"> (LR</w:t>
      </w:r>
      <w:r w:rsidRPr="00CF219D">
        <w:t>4</w:t>
      </w:r>
      <w:r>
        <w:t>): alternatieve uitsplitsing van de bestanddelen van de blootstellingsmaatstaf voor de berekening van de hefboomratio; en</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w:t>
      </w:r>
      <w:r w:rsidRPr="00CF219D">
        <w:t>44</w:t>
      </w:r>
      <w:r>
        <w:t>.</w:t>
      </w:r>
      <w:r w:rsidRPr="00CF219D">
        <w:t>00</w:t>
      </w:r>
      <w:r>
        <w:t xml:space="preserve">: Hefboomratiotemplate </w:t>
      </w:r>
      <w:r w:rsidRPr="00CF219D">
        <w:t>5</w:t>
      </w:r>
      <w:r>
        <w:t xml:space="preserve"> (LR</w:t>
      </w:r>
      <w:r w:rsidRPr="00CF219D">
        <w:t>5</w:t>
      </w:r>
      <w:r>
        <w:t>): algemene informatie.</w:t>
      </w:r>
    </w:p>
    <w:p w:rsidR="00F4754B" w:rsidRPr="00FE002E" w:rsidRDefault="00500508" w:rsidP="00500508">
      <w:pPr>
        <w:pStyle w:val="InstructionsText2"/>
        <w:numPr>
          <w:ilvl w:val="0"/>
          <w:numId w:val="0"/>
        </w:numPr>
        <w:ind w:left="720" w:hanging="360"/>
        <w:rPr>
          <w:rFonts w:eastAsia="Times New Roman"/>
          <w:bCs/>
          <w:szCs w:val="17"/>
        </w:rPr>
      </w:pPr>
      <w:r w:rsidRPr="00CF219D">
        <w:t>3</w:t>
      </w:r>
      <w:r>
        <w:t>.</w:t>
      </w:r>
      <w:r>
        <w:tab/>
        <w:t>Voor elke template zijn verwijzingen naar wetgeving opgenomen, alsook nadere informatie over meer algemene aspecten van de rapportage.</w:t>
      </w:r>
    </w:p>
    <w:p w:rsidR="00FC2664" w:rsidRPr="00FE002E" w:rsidRDefault="00FC2664" w:rsidP="007E2A41">
      <w:pPr>
        <w:pStyle w:val="BodyText1"/>
        <w:spacing w:line="240" w:lineRule="auto"/>
        <w:ind w:left="720"/>
        <w:rPr>
          <w:rFonts w:ascii="Times New Roman" w:hAnsi="Times New Roman"/>
        </w:rPr>
      </w:pPr>
    </w:p>
    <w:p w:rsidR="00217D1F" w:rsidRPr="00FE002E" w:rsidRDefault="00500508" w:rsidP="00500508">
      <w:pPr>
        <w:pStyle w:val="BodyText1"/>
        <w:ind w:left="357" w:hanging="357"/>
        <w:outlineLvl w:val="2"/>
        <w:rPr>
          <w:rFonts w:ascii="Times New Roman" w:hAnsi="Times New Roman"/>
          <w:b/>
        </w:rPr>
      </w:pPr>
      <w:bookmarkStart w:id="17" w:name="_Toc359414277"/>
      <w:bookmarkStart w:id="18" w:name="_Toc322687867"/>
      <w:bookmarkStart w:id="19" w:name="_Toc351048502"/>
      <w:bookmarkStart w:id="20" w:name="_Toc359414278"/>
      <w:bookmarkStart w:id="21" w:name="_Toc423089063"/>
      <w:bookmarkStart w:id="22" w:name="_Toc522779993"/>
      <w:bookmarkEnd w:id="17"/>
      <w:r w:rsidRPr="00CF219D">
        <w:rPr>
          <w:rFonts w:ascii="Times New Roman" w:hAnsi="Times New Roman"/>
          <w:b/>
        </w:rPr>
        <w:t>1</w:t>
      </w:r>
      <w:r>
        <w:rPr>
          <w:rFonts w:ascii="Times New Roman" w:hAnsi="Times New Roman"/>
          <w:b/>
        </w:rPr>
        <w:t>.</w:t>
      </w:r>
      <w:r w:rsidRPr="00CF219D">
        <w:rPr>
          <w:rFonts w:ascii="Times New Roman" w:hAnsi="Times New Roman"/>
          <w:b/>
        </w:rPr>
        <w:t>2</w:t>
      </w:r>
      <w:r>
        <w:rPr>
          <w:rFonts w:ascii="Times New Roman" w:hAnsi="Times New Roman"/>
          <w:b/>
        </w:rPr>
        <w:t>.</w:t>
      </w:r>
      <w:r>
        <w:tab/>
      </w:r>
      <w:r>
        <w:rPr>
          <w:rFonts w:ascii="Times New Roman" w:hAnsi="Times New Roman"/>
          <w:b/>
        </w:rPr>
        <w:t>Gebruik van nummering</w:t>
      </w:r>
      <w:bookmarkEnd w:id="18"/>
      <w:bookmarkEnd w:id="19"/>
      <w:bookmarkEnd w:id="20"/>
      <w:bookmarkEnd w:id="21"/>
      <w:bookmarkEnd w:id="22"/>
    </w:p>
    <w:p w:rsidR="007E2A41" w:rsidRPr="00CF306A" w:rsidRDefault="007E2A41" w:rsidP="00217B44">
      <w:pPr>
        <w:pStyle w:val="BodyText1"/>
      </w:pPr>
    </w:p>
    <w:p w:rsidR="00F4754B" w:rsidRPr="00FE002E" w:rsidRDefault="00500508" w:rsidP="00500508">
      <w:pPr>
        <w:pStyle w:val="InstructionsText2"/>
        <w:numPr>
          <w:ilvl w:val="0"/>
          <w:numId w:val="0"/>
        </w:numPr>
        <w:ind w:left="720" w:hanging="360"/>
        <w:rPr>
          <w:rFonts w:eastAsia="Times New Roman"/>
          <w:bCs/>
          <w:szCs w:val="17"/>
        </w:rPr>
      </w:pPr>
      <w:r w:rsidRPr="00CF219D">
        <w:t>4</w:t>
      </w:r>
      <w:r>
        <w:t>.</w:t>
      </w:r>
      <w:r>
        <w:tab/>
        <w:t>Het document volgt de in de volgende punten beschreven conventies voor de verwijzing naar de kolommen, rijen en cellen van de templates. Van deze numerieke codes wordt uitgebreid gebruikgemaakt in de validatievoorschriften.</w:t>
      </w:r>
    </w:p>
    <w:p w:rsidR="00F4754B" w:rsidRPr="00FE002E" w:rsidRDefault="00500508" w:rsidP="00500508">
      <w:pPr>
        <w:pStyle w:val="InstructionsText2"/>
        <w:numPr>
          <w:ilvl w:val="0"/>
          <w:numId w:val="0"/>
        </w:numPr>
        <w:ind w:left="720" w:hanging="360"/>
        <w:rPr>
          <w:rFonts w:eastAsia="Times New Roman"/>
          <w:bCs/>
          <w:szCs w:val="17"/>
        </w:rPr>
      </w:pPr>
      <w:r w:rsidRPr="00CF219D">
        <w:t>5</w:t>
      </w:r>
      <w:r>
        <w:t>.</w:t>
      </w:r>
      <w:r>
        <w:tab/>
        <w:t>In de instructies wordt de volgende algemene notatie gehanteerd: {Template;Rij;Kolom}. Om naar de gehele rij of kolom te verwijzen, wordt een asteriskteken gebruikt.</w:t>
      </w:r>
    </w:p>
    <w:p w:rsidR="00F4754B" w:rsidRPr="00FE002E" w:rsidRDefault="00500508" w:rsidP="00500508">
      <w:pPr>
        <w:pStyle w:val="InstructionsText2"/>
        <w:numPr>
          <w:ilvl w:val="0"/>
          <w:numId w:val="0"/>
        </w:numPr>
        <w:ind w:left="720" w:hanging="360"/>
        <w:rPr>
          <w:rFonts w:eastAsia="Times New Roman"/>
          <w:bCs/>
          <w:szCs w:val="17"/>
        </w:rPr>
      </w:pPr>
      <w:r w:rsidRPr="00CF219D">
        <w:t>6</w:t>
      </w:r>
      <w:r>
        <w:t>.</w:t>
      </w:r>
      <w:r>
        <w:tab/>
        <w:t>In geval van validaties binnen een template waarbij alleen gegevenspunten uit die template worden gebruikt, verwijzen de notaties niet naar een template: {Rij;Kolom}.</w:t>
      </w:r>
    </w:p>
    <w:p w:rsidR="00F4754B" w:rsidRPr="00FE002E" w:rsidRDefault="00500508" w:rsidP="00500508">
      <w:pPr>
        <w:pStyle w:val="InstructionsText2"/>
        <w:numPr>
          <w:ilvl w:val="0"/>
          <w:numId w:val="0"/>
        </w:numPr>
        <w:ind w:left="720" w:hanging="360"/>
        <w:rPr>
          <w:rFonts w:eastAsia="Times New Roman"/>
          <w:bCs/>
          <w:szCs w:val="17"/>
        </w:rPr>
      </w:pPr>
      <w:r w:rsidRPr="00CF219D">
        <w:t>7</w:t>
      </w:r>
      <w:r>
        <w:t>.</w:t>
      </w:r>
      <w:r>
        <w:tab/>
        <w:t xml:space="preserve">In het kader van de rapportage over hefboomfinanciering wordt met "waarvan" verwezen naar een post die een subgroep van een hogere blootstellingscategorie is, terwijl met "pro-memoriepost" wordt verwezen naar een afzonderlijke post die geen subgroep van een blootstellingscategorie is. Rapportage over beide soorten cellen is verplicht, tenzij anders is bepaald. </w:t>
      </w:r>
    </w:p>
    <w:p w:rsidR="001D6F2F" w:rsidRPr="00FE002E" w:rsidRDefault="00500508" w:rsidP="00500508">
      <w:pPr>
        <w:pStyle w:val="BodyText1"/>
        <w:ind w:left="357" w:hanging="357"/>
        <w:outlineLvl w:val="2"/>
        <w:rPr>
          <w:rFonts w:ascii="Times New Roman" w:hAnsi="Times New Roman"/>
          <w:b/>
        </w:rPr>
      </w:pPr>
      <w:bookmarkStart w:id="23" w:name="_Toc423089064"/>
      <w:bookmarkStart w:id="24" w:name="_Toc522779994"/>
      <w:r w:rsidRPr="00CF219D">
        <w:rPr>
          <w:rFonts w:ascii="Times New Roman" w:hAnsi="Times New Roman"/>
          <w:b/>
        </w:rPr>
        <w:t>1</w:t>
      </w:r>
      <w:r>
        <w:rPr>
          <w:rFonts w:ascii="Times New Roman" w:hAnsi="Times New Roman"/>
          <w:b/>
        </w:rPr>
        <w:t>.</w:t>
      </w:r>
      <w:r w:rsidRPr="00CF219D">
        <w:rPr>
          <w:rFonts w:ascii="Times New Roman" w:hAnsi="Times New Roman"/>
          <w:b/>
        </w:rPr>
        <w:t>3</w:t>
      </w:r>
      <w:r>
        <w:rPr>
          <w:rFonts w:ascii="Times New Roman" w:hAnsi="Times New Roman"/>
          <w:b/>
        </w:rPr>
        <w:t>.</w:t>
      </w:r>
      <w:r>
        <w:tab/>
      </w:r>
      <w:r>
        <w:rPr>
          <w:rFonts w:ascii="Times New Roman" w:hAnsi="Times New Roman"/>
          <w:b/>
        </w:rPr>
        <w:t>Afkortingen</w:t>
      </w:r>
      <w:bookmarkEnd w:id="23"/>
      <w:bookmarkEnd w:id="24"/>
    </w:p>
    <w:p w:rsidR="001D6F2F" w:rsidRPr="00CF306A" w:rsidRDefault="001D6F2F" w:rsidP="001D6F2F">
      <w:pPr>
        <w:pStyle w:val="BodyText1"/>
      </w:pPr>
      <w:bookmarkStart w:id="25" w:name="_Toc359414279"/>
      <w:bookmarkStart w:id="26" w:name="_Toc322687868"/>
      <w:bookmarkStart w:id="27" w:name="_Toc351048503"/>
      <w:bookmarkStart w:id="28" w:name="_Toc359414280"/>
      <w:bookmarkEnd w:id="25"/>
    </w:p>
    <w:p w:rsidR="00627E07" w:rsidRDefault="00500508" w:rsidP="00500508">
      <w:pPr>
        <w:pStyle w:val="InstructionsText2"/>
        <w:numPr>
          <w:ilvl w:val="0"/>
          <w:numId w:val="0"/>
        </w:numPr>
        <w:ind w:left="720" w:hanging="360"/>
        <w:rPr>
          <w:rFonts w:eastAsia="Times New Roman"/>
          <w:bCs/>
          <w:szCs w:val="17"/>
        </w:rPr>
      </w:pPr>
      <w:r w:rsidRPr="00CF219D">
        <w:t>8</w:t>
      </w:r>
      <w:r>
        <w:t>.</w:t>
      </w:r>
      <w:r>
        <w:tab/>
        <w:t>In deze bijlage en de daarmee verband houdende templates worden de volgende afkortingen gehanteerd:</w:t>
      </w:r>
    </w:p>
    <w:p w:rsidR="00627E07" w:rsidRDefault="00500508" w:rsidP="00500508">
      <w:pPr>
        <w:pStyle w:val="InstructionsText2"/>
        <w:numPr>
          <w:ilvl w:val="0"/>
          <w:numId w:val="0"/>
        </w:numPr>
        <w:ind w:left="1440" w:hanging="360"/>
        <w:rPr>
          <w:rFonts w:eastAsia="Times New Roman"/>
          <w:bCs/>
          <w:szCs w:val="17"/>
        </w:rPr>
      </w:pPr>
      <w:r>
        <w:t>a.</w:t>
      </w:r>
      <w:r>
        <w:tab/>
        <w:t>VKV: dit is de afkorting van "Verordening Kapitaalvereisten", waaronder Verordening (EU) nr. </w:t>
      </w:r>
      <w:r w:rsidRPr="00CF219D">
        <w:t>575</w:t>
      </w:r>
      <w:r>
        <w:t>/</w:t>
      </w:r>
      <w:r w:rsidRPr="00CF219D">
        <w:t>2013</w:t>
      </w:r>
      <w:r>
        <w:t xml:space="preserve"> wordt verstaan;</w:t>
      </w:r>
    </w:p>
    <w:p w:rsidR="00627E07" w:rsidRDefault="00500508" w:rsidP="00500508">
      <w:pPr>
        <w:pStyle w:val="InstructionsText2"/>
        <w:numPr>
          <w:ilvl w:val="0"/>
          <w:numId w:val="0"/>
        </w:numPr>
        <w:ind w:left="1440" w:hanging="360"/>
        <w:rPr>
          <w:rFonts w:eastAsia="Times New Roman"/>
          <w:bCs/>
          <w:szCs w:val="17"/>
        </w:rPr>
      </w:pPr>
      <w:r>
        <w:lastRenderedPageBreak/>
        <w:t>b.</w:t>
      </w:r>
      <w:r>
        <w:tab/>
        <w:t xml:space="preserve">SFT: dit is de afkorting van "Securities Financing Transaction" (effectenfinancieringstransactie), waaronder het volgende wordt verstaan: "retrocessietransactie, transactie inzake verstrekte of opgenomen effecten- of grondstoffenleningen, transactie met afwikkeling op lange termijn en margeleningstransactie" in de zin van Verordening (EU) nr. </w:t>
      </w:r>
      <w:r w:rsidRPr="00CF219D">
        <w:t>575</w:t>
      </w:r>
      <w:r>
        <w:t>/</w:t>
      </w:r>
      <w:r w:rsidRPr="00CF219D">
        <w:t>2013</w:t>
      </w:r>
      <w:r>
        <w:t>;</w:t>
      </w:r>
    </w:p>
    <w:p w:rsidR="008E7068" w:rsidRPr="00627E07" w:rsidRDefault="00500508" w:rsidP="00500508">
      <w:pPr>
        <w:pStyle w:val="InstructionsText2"/>
        <w:numPr>
          <w:ilvl w:val="0"/>
          <w:numId w:val="0"/>
        </w:numPr>
        <w:ind w:left="1440" w:hanging="360"/>
        <w:rPr>
          <w:rFonts w:eastAsia="Times New Roman"/>
          <w:bCs/>
          <w:szCs w:val="17"/>
        </w:rPr>
      </w:pPr>
      <w:r>
        <w:t>c.</w:t>
      </w:r>
      <w:r>
        <w:tab/>
        <w:t>CRM: dit is de afkorting van Credit Risk Mitigation (kredietrisicolimitering).</w:t>
      </w:r>
    </w:p>
    <w:p w:rsidR="00217D1F" w:rsidRPr="00FE002E" w:rsidRDefault="00500508" w:rsidP="00500508">
      <w:pPr>
        <w:pStyle w:val="BodyText1"/>
        <w:ind w:left="357" w:hanging="357"/>
        <w:outlineLvl w:val="2"/>
        <w:rPr>
          <w:rFonts w:ascii="Times New Roman" w:hAnsi="Times New Roman"/>
          <w:b/>
        </w:rPr>
      </w:pPr>
      <w:bookmarkStart w:id="29" w:name="_Toc423089065"/>
      <w:bookmarkStart w:id="30" w:name="_Toc522779995"/>
      <w:r w:rsidRPr="00CF219D">
        <w:rPr>
          <w:rFonts w:ascii="Times New Roman" w:hAnsi="Times New Roman"/>
          <w:b/>
        </w:rPr>
        <w:t>1</w:t>
      </w:r>
      <w:r>
        <w:rPr>
          <w:rFonts w:ascii="Times New Roman" w:hAnsi="Times New Roman"/>
          <w:b/>
        </w:rPr>
        <w:t>.</w:t>
      </w:r>
      <w:r w:rsidRPr="00CF219D">
        <w:rPr>
          <w:rFonts w:ascii="Times New Roman" w:hAnsi="Times New Roman"/>
          <w:b/>
        </w:rPr>
        <w:t>4</w:t>
      </w:r>
      <w:r>
        <w:rPr>
          <w:rFonts w:ascii="Times New Roman" w:hAnsi="Times New Roman"/>
          <w:b/>
        </w:rPr>
        <w:t>.</w:t>
      </w:r>
      <w:r>
        <w:tab/>
      </w:r>
      <w:r>
        <w:rPr>
          <w:rFonts w:ascii="Times New Roman" w:hAnsi="Times New Roman"/>
          <w:b/>
        </w:rPr>
        <w:t>Gebruik van tekens</w:t>
      </w:r>
      <w:bookmarkEnd w:id="15"/>
      <w:bookmarkEnd w:id="16"/>
      <w:bookmarkEnd w:id="26"/>
      <w:bookmarkEnd w:id="27"/>
      <w:bookmarkEnd w:id="28"/>
      <w:bookmarkEnd w:id="29"/>
      <w:bookmarkEnd w:id="30"/>
    </w:p>
    <w:p w:rsidR="00FF2091" w:rsidRPr="00217B44" w:rsidRDefault="00FF2091" w:rsidP="007C2D57">
      <w:pPr>
        <w:pStyle w:val="BodyText1"/>
      </w:pPr>
    </w:p>
    <w:p w:rsidR="00B90CB5" w:rsidRPr="00FD2C06" w:rsidRDefault="00500508" w:rsidP="00500508">
      <w:pPr>
        <w:pStyle w:val="InstructionsText2"/>
        <w:numPr>
          <w:ilvl w:val="0"/>
          <w:numId w:val="0"/>
        </w:numPr>
        <w:ind w:left="720" w:hanging="360"/>
        <w:rPr>
          <w:rFonts w:eastAsia="Times New Roman"/>
          <w:bCs/>
          <w:szCs w:val="17"/>
        </w:rPr>
      </w:pPr>
      <w:bookmarkStart w:id="31" w:name="_Toc322687869"/>
      <w:r w:rsidRPr="00CF219D">
        <w:t>9</w:t>
      </w:r>
      <w:r>
        <w:t>.</w:t>
      </w:r>
      <w:r>
        <w:tab/>
        <w:t>Alle bedragen worden als positieve waarden gerapporteerd.</w:t>
      </w:r>
      <w:bookmarkStart w:id="32" w:name="_Toc264033192"/>
      <w:bookmarkEnd w:id="32"/>
      <w:r>
        <w:t xml:space="preserve"> Uitzonderingen zijn de bedragen gerapporteerd in {LRCalc;</w:t>
      </w:r>
      <w:r w:rsidRPr="00CF219D">
        <w:t>050</w:t>
      </w:r>
      <w:r>
        <w:t>;</w:t>
      </w:r>
      <w:r w:rsidRPr="00CF219D">
        <w:t>010</w:t>
      </w:r>
      <w:r>
        <w:t>}, {LRCalc;</w:t>
      </w:r>
      <w:r w:rsidRPr="00CF219D">
        <w:t>070</w:t>
      </w:r>
      <w:r>
        <w:t>;</w:t>
      </w:r>
      <w:r w:rsidRPr="00CF219D">
        <w:t>010</w:t>
      </w:r>
      <w:r>
        <w:t>}, {LRCalc;</w:t>
      </w:r>
      <w:r w:rsidRPr="00CF219D">
        <w:t>080</w:t>
      </w:r>
      <w:r>
        <w:t>;</w:t>
      </w:r>
      <w:r w:rsidRPr="00CF219D">
        <w:t>010</w:t>
      </w:r>
      <w:r>
        <w:t>}, {LRCalc;</w:t>
      </w:r>
      <w:r w:rsidRPr="00CF219D">
        <w:t>100</w:t>
      </w:r>
      <w:r>
        <w:t>;</w:t>
      </w:r>
      <w:r w:rsidRPr="00CF219D">
        <w:t>010</w:t>
      </w:r>
      <w:r>
        <w:t>}, {LRCalc;</w:t>
      </w:r>
      <w:r w:rsidRPr="00CF219D">
        <w:t>120</w:t>
      </w:r>
      <w:r>
        <w:t>;</w:t>
      </w:r>
      <w:r w:rsidRPr="00CF219D">
        <w:t>010</w:t>
      </w:r>
      <w:r>
        <w:t>}, {LRCalc;</w:t>
      </w:r>
      <w:r w:rsidRPr="00CF219D">
        <w:t>140</w:t>
      </w:r>
      <w:r>
        <w:t>;</w:t>
      </w:r>
      <w:r w:rsidRPr="00CF219D">
        <w:t>010</w:t>
      </w:r>
      <w:r>
        <w:t>}, {LRCalc;</w:t>
      </w:r>
      <w:r w:rsidRPr="00CF219D">
        <w:t>210</w:t>
      </w:r>
      <w:r>
        <w:t>;</w:t>
      </w:r>
      <w:r w:rsidRPr="00CF219D">
        <w:t>010</w:t>
      </w:r>
      <w:r>
        <w:t>}, {LRCalc;</w:t>
      </w:r>
      <w:r w:rsidRPr="00CF219D">
        <w:t>220</w:t>
      </w:r>
      <w:r>
        <w:t>;</w:t>
      </w:r>
      <w:r w:rsidRPr="00CF219D">
        <w:t>010</w:t>
      </w:r>
      <w:r>
        <w:t>}, {LRCalc;</w:t>
      </w:r>
      <w:r w:rsidRPr="00CF219D">
        <w:t>240</w:t>
      </w:r>
      <w:r>
        <w:t>;</w:t>
      </w:r>
      <w:r w:rsidRPr="00CF219D">
        <w:t>010</w:t>
      </w:r>
      <w:r>
        <w:t>}, {LRCalc;</w:t>
      </w:r>
      <w:r w:rsidRPr="00CF219D">
        <w:t>250</w:t>
      </w:r>
      <w:r>
        <w:t>;</w:t>
      </w:r>
      <w:r w:rsidRPr="00CF219D">
        <w:t>010</w:t>
      </w:r>
      <w:r>
        <w:t>}, {LRCalc;</w:t>
      </w:r>
      <w:r w:rsidRPr="00CF219D">
        <w:t>260</w:t>
      </w:r>
      <w:r>
        <w:t>;</w:t>
      </w:r>
      <w:r w:rsidRPr="00CF219D">
        <w:t>010</w:t>
      </w:r>
      <w:r>
        <w:t>}, {LRCalc;</w:t>
      </w:r>
      <w:r w:rsidRPr="00CF219D">
        <w:t>310</w:t>
      </w:r>
      <w:r>
        <w:t>;</w:t>
      </w:r>
      <w:r w:rsidRPr="00CF219D">
        <w:t>010</w:t>
      </w:r>
      <w:r>
        <w:t>}, {LRCalc;</w:t>
      </w:r>
      <w:r w:rsidRPr="00CF219D">
        <w:t>320</w:t>
      </w:r>
      <w:r>
        <w:t>;</w:t>
      </w:r>
      <w:r w:rsidRPr="00CF219D">
        <w:t>010</w:t>
      </w:r>
      <w:r>
        <w:t>}, {LRCalc;</w:t>
      </w:r>
      <w:r w:rsidRPr="00CF219D">
        <w:t>270</w:t>
      </w:r>
      <w:r>
        <w:t>;</w:t>
      </w:r>
      <w:r w:rsidRPr="00CF219D">
        <w:t>010</w:t>
      </w:r>
      <w:r>
        <w:t>}, {LRCalc;</w:t>
      </w:r>
      <w:r w:rsidRPr="00CF219D">
        <w:t>280</w:t>
      </w:r>
      <w:r>
        <w:t>;</w:t>
      </w:r>
      <w:r w:rsidRPr="00CF219D">
        <w:t>010</w:t>
      </w:r>
      <w:r>
        <w:t>}, {LRCalc;</w:t>
      </w:r>
      <w:r w:rsidRPr="00CF219D">
        <w:t>330</w:t>
      </w:r>
      <w:r>
        <w:t>;</w:t>
      </w:r>
      <w:r w:rsidRPr="00CF219D">
        <w:t>010</w:t>
      </w:r>
      <w:r>
        <w:t>}, {LRCalc;</w:t>
      </w:r>
      <w:r w:rsidRPr="00CF219D">
        <w:t>340</w:t>
      </w:r>
      <w:r>
        <w:t>;</w:t>
      </w:r>
      <w:r w:rsidRPr="00CF219D">
        <w:t>010</w:t>
      </w:r>
      <w:r>
        <w:t>}, {LR</w:t>
      </w:r>
      <w:r w:rsidRPr="00CF219D">
        <w:t>3</w:t>
      </w:r>
      <w:r>
        <w:t>;</w:t>
      </w:r>
      <w:r w:rsidRPr="00CF219D">
        <w:t>010</w:t>
      </w:r>
      <w:r>
        <w:t>;</w:t>
      </w:r>
      <w:r w:rsidRPr="00CF219D">
        <w:t>010</w:t>
      </w:r>
      <w:r>
        <w:t>}, {LR</w:t>
      </w:r>
      <w:r w:rsidRPr="00CF219D">
        <w:t>3</w:t>
      </w:r>
      <w:r>
        <w:t>;</w:t>
      </w:r>
      <w:r w:rsidRPr="00CF219D">
        <w:t>020</w:t>
      </w:r>
      <w:r>
        <w:t>;</w:t>
      </w:r>
      <w:r w:rsidRPr="00CF219D">
        <w:t>010</w:t>
      </w:r>
      <w:r>
        <w:t>}, {LR</w:t>
      </w:r>
      <w:r w:rsidRPr="00CF219D">
        <w:t>3</w:t>
      </w:r>
      <w:r>
        <w:t>;</w:t>
      </w:r>
      <w:r w:rsidRPr="00CF219D">
        <w:t>030</w:t>
      </w:r>
      <w:r>
        <w:t>;</w:t>
      </w:r>
      <w:r w:rsidRPr="00CF219D">
        <w:t>010</w:t>
      </w:r>
      <w:r>
        <w:t>}, {LR</w:t>
      </w:r>
      <w:r w:rsidRPr="00CF219D">
        <w:t>3</w:t>
      </w:r>
      <w:r>
        <w:t>;</w:t>
      </w:r>
      <w:r w:rsidRPr="00CF219D">
        <w:t>040</w:t>
      </w:r>
      <w:r>
        <w:t>;</w:t>
      </w:r>
      <w:r w:rsidRPr="00CF219D">
        <w:t>010</w:t>
      </w:r>
      <w:r>
        <w:t>}, {LR</w:t>
      </w:r>
      <w:r w:rsidRPr="00CF219D">
        <w:t>3</w:t>
      </w:r>
      <w:r>
        <w:t>;</w:t>
      </w:r>
      <w:r w:rsidRPr="00CF219D">
        <w:t>055</w:t>
      </w:r>
      <w:r>
        <w:t>;</w:t>
      </w:r>
      <w:r w:rsidRPr="00CF219D">
        <w:t>010</w:t>
      </w:r>
      <w:r>
        <w:t>}, {LR</w:t>
      </w:r>
      <w:r w:rsidRPr="00CF219D">
        <w:t>3</w:t>
      </w:r>
      <w:r>
        <w:t>;</w:t>
      </w:r>
      <w:r w:rsidRPr="00CF219D">
        <w:t>065</w:t>
      </w:r>
      <w:r>
        <w:t>;</w:t>
      </w:r>
      <w:r w:rsidRPr="00CF219D">
        <w:t>010</w:t>
      </w:r>
      <w:r>
        <w:t>}, {LR</w:t>
      </w:r>
      <w:r w:rsidRPr="00CF219D">
        <w:t>3</w:t>
      </w:r>
      <w:r>
        <w:t>;</w:t>
      </w:r>
      <w:r w:rsidRPr="00CF219D">
        <w:t>075</w:t>
      </w:r>
      <w:r>
        <w:t>;</w:t>
      </w:r>
      <w:r w:rsidRPr="00CF219D">
        <w:t>010</w:t>
      </w:r>
      <w:r>
        <w:t>} en {LR</w:t>
      </w:r>
      <w:r w:rsidRPr="00CF219D">
        <w:t>3</w:t>
      </w:r>
      <w:r>
        <w:t>;</w:t>
      </w:r>
      <w:r w:rsidRPr="00CF219D">
        <w:t>085</w:t>
      </w:r>
      <w:r>
        <w:t>;</w:t>
      </w:r>
      <w:r w:rsidRPr="00CF219D">
        <w:t>010</w:t>
      </w:r>
      <w:r>
        <w:t>}. Daarbij zij opgemerkt dat {LRCalc;</w:t>
      </w:r>
      <w:r w:rsidRPr="00CF219D">
        <w:t>050</w:t>
      </w:r>
      <w:r>
        <w:t>;</w:t>
      </w:r>
      <w:r w:rsidRPr="00CF219D">
        <w:t>010</w:t>
      </w:r>
      <w:r>
        <w:t>}, {LRCalc;</w:t>
      </w:r>
      <w:r w:rsidRPr="00CF219D">
        <w:t>070</w:t>
      </w:r>
      <w:r>
        <w:t>;</w:t>
      </w:r>
      <w:r w:rsidRPr="00CF219D">
        <w:t>010</w:t>
      </w:r>
      <w:r>
        <w:t>}, {LRCalc;</w:t>
      </w:r>
      <w:r w:rsidRPr="00CF219D">
        <w:t>080</w:t>
      </w:r>
      <w:r>
        <w:t>;</w:t>
      </w:r>
      <w:r w:rsidRPr="00CF219D">
        <w:t>010</w:t>
      </w:r>
      <w:r>
        <w:t>}, {LRCalc;</w:t>
      </w:r>
      <w:r w:rsidRPr="00CF219D">
        <w:t>100</w:t>
      </w:r>
      <w:r>
        <w:t>;</w:t>
      </w:r>
      <w:r w:rsidRPr="00CF219D">
        <w:t>010</w:t>
      </w:r>
      <w:r>
        <w:t>}, {LRCalc;</w:t>
      </w:r>
      <w:r w:rsidRPr="00CF219D">
        <w:t>120</w:t>
      </w:r>
      <w:r>
        <w:t>;</w:t>
      </w:r>
      <w:r w:rsidRPr="00CF219D">
        <w:t>010</w:t>
      </w:r>
      <w:r>
        <w:t>}, {LRCalc;</w:t>
      </w:r>
      <w:r w:rsidRPr="00CF219D">
        <w:t>140</w:t>
      </w:r>
      <w:r>
        <w:t>;</w:t>
      </w:r>
      <w:r w:rsidRPr="00CF219D">
        <w:t>010</w:t>
      </w:r>
      <w:r>
        <w:t>}, {LRCalc;</w:t>
      </w:r>
      <w:r w:rsidRPr="00CF219D">
        <w:t>210</w:t>
      </w:r>
      <w:r>
        <w:t>;</w:t>
      </w:r>
      <w:r w:rsidRPr="00CF219D">
        <w:t>010</w:t>
      </w:r>
      <w:r>
        <w:t>}, {LRCalc;</w:t>
      </w:r>
      <w:r w:rsidRPr="00CF219D">
        <w:t>220</w:t>
      </w:r>
      <w:r>
        <w:t>;</w:t>
      </w:r>
      <w:r w:rsidRPr="00CF219D">
        <w:t>010</w:t>
      </w:r>
      <w:r>
        <w:t>}, {LRCalc;</w:t>
      </w:r>
      <w:r w:rsidRPr="00CF219D">
        <w:t>240</w:t>
      </w:r>
      <w:r>
        <w:t>;</w:t>
      </w:r>
      <w:r w:rsidRPr="00CF219D">
        <w:t>010</w:t>
      </w:r>
      <w:r>
        <w:t>}, {LRCalc;</w:t>
      </w:r>
      <w:r w:rsidRPr="00CF219D">
        <w:t>250</w:t>
      </w:r>
      <w:r>
        <w:t>;</w:t>
      </w:r>
      <w:r w:rsidRPr="00CF219D">
        <w:t>010</w:t>
      </w:r>
      <w:r>
        <w:t>}, {LRCalc;</w:t>
      </w:r>
      <w:r w:rsidRPr="00CF219D">
        <w:t>260</w:t>
      </w:r>
      <w:r>
        <w:t>;</w:t>
      </w:r>
      <w:r w:rsidRPr="00CF219D">
        <w:t>010</w:t>
      </w:r>
      <w:r>
        <w:t>}, {LRCalc;</w:t>
      </w:r>
      <w:r w:rsidRPr="00CF219D">
        <w:t>270</w:t>
      </w:r>
      <w:r>
        <w:t>;</w:t>
      </w:r>
      <w:r w:rsidRPr="00CF219D">
        <w:t>010</w:t>
      </w:r>
      <w:r>
        <w:t>}, {LRCalc;</w:t>
      </w:r>
      <w:r w:rsidRPr="00CF219D">
        <w:t>280</w:t>
      </w:r>
      <w:r>
        <w:t>;</w:t>
      </w:r>
      <w:r w:rsidRPr="00CF219D">
        <w:t>010</w:t>
      </w:r>
      <w:r>
        <w:t>}, {LR</w:t>
      </w:r>
      <w:r w:rsidRPr="00CF219D">
        <w:t>3</w:t>
      </w:r>
      <w:r>
        <w:t>;</w:t>
      </w:r>
      <w:r w:rsidRPr="00CF219D">
        <w:t>055</w:t>
      </w:r>
      <w:r>
        <w:t>;</w:t>
      </w:r>
      <w:r w:rsidRPr="00CF219D">
        <w:t>010</w:t>
      </w:r>
      <w:r>
        <w:t>}, {LR</w:t>
      </w:r>
      <w:r w:rsidRPr="00CF219D">
        <w:t>3</w:t>
      </w:r>
      <w:r>
        <w:t>;</w:t>
      </w:r>
      <w:r w:rsidRPr="00CF219D">
        <w:t>065</w:t>
      </w:r>
      <w:r>
        <w:t>;</w:t>
      </w:r>
      <w:r w:rsidRPr="00CF219D">
        <w:t>010</w:t>
      </w:r>
      <w:r>
        <w:t>}, {LR</w:t>
      </w:r>
      <w:r w:rsidRPr="00CF219D">
        <w:t>3</w:t>
      </w:r>
      <w:r>
        <w:t>;</w:t>
      </w:r>
      <w:r w:rsidRPr="00CF219D">
        <w:t>075</w:t>
      </w:r>
      <w:r>
        <w:t>;</w:t>
      </w:r>
      <w:r w:rsidRPr="00CF219D">
        <w:t>010</w:t>
      </w:r>
      <w:r>
        <w:t>} en {LR</w:t>
      </w:r>
      <w:r w:rsidRPr="00CF219D">
        <w:t>3</w:t>
      </w:r>
      <w:r>
        <w:t>;</w:t>
      </w:r>
      <w:r w:rsidRPr="00CF219D">
        <w:t>085</w:t>
      </w:r>
      <w:r>
        <w:t>;</w:t>
      </w:r>
      <w:r w:rsidRPr="00CF219D">
        <w:t>010</w:t>
      </w:r>
      <w:r>
        <w:t>} uitsluitend een negatieve waarde hebben. Verder zij opgemerkt dat, afgezien van extreme gevallen, {LRCalc;</w:t>
      </w:r>
      <w:r w:rsidRPr="00CF219D">
        <w:t>310</w:t>
      </w:r>
      <w:r>
        <w:t>;</w:t>
      </w:r>
      <w:r w:rsidRPr="00CF219D">
        <w:t>010</w:t>
      </w:r>
      <w:r>
        <w:t>}, {LRCalc;</w:t>
      </w:r>
      <w:r w:rsidRPr="00CF219D">
        <w:t>320</w:t>
      </w:r>
      <w:r>
        <w:t>;</w:t>
      </w:r>
      <w:r w:rsidRPr="00CF219D">
        <w:t>010</w:t>
      </w:r>
      <w:r>
        <w:t>}, {LRCalc;</w:t>
      </w:r>
      <w:r w:rsidRPr="00CF219D">
        <w:t>330</w:t>
      </w:r>
      <w:r>
        <w:t>;</w:t>
      </w:r>
      <w:r w:rsidRPr="00CF219D">
        <w:t>010</w:t>
      </w:r>
      <w:r>
        <w:t>}, {LRCalc;</w:t>
      </w:r>
      <w:r w:rsidRPr="00CF219D">
        <w:t>340</w:t>
      </w:r>
      <w:r>
        <w:t>;</w:t>
      </w:r>
      <w:r w:rsidRPr="00CF219D">
        <w:t>010</w:t>
      </w:r>
      <w:r>
        <w:t>}, {LR</w:t>
      </w:r>
      <w:r w:rsidRPr="00CF219D">
        <w:t>3</w:t>
      </w:r>
      <w:r>
        <w:t>;</w:t>
      </w:r>
      <w:r w:rsidRPr="00CF219D">
        <w:t>010</w:t>
      </w:r>
      <w:r>
        <w:t>;</w:t>
      </w:r>
      <w:r w:rsidRPr="00CF219D">
        <w:t>010</w:t>
      </w:r>
      <w:r>
        <w:t>}, {LR</w:t>
      </w:r>
      <w:r w:rsidRPr="00CF219D">
        <w:t>3</w:t>
      </w:r>
      <w:r>
        <w:t>;</w:t>
      </w:r>
      <w:r w:rsidRPr="00CF219D">
        <w:t>020</w:t>
      </w:r>
      <w:r>
        <w:t>;</w:t>
      </w:r>
      <w:r w:rsidRPr="00CF219D">
        <w:t>010</w:t>
      </w:r>
      <w:r>
        <w:t>}, {LR</w:t>
      </w:r>
      <w:r w:rsidRPr="00CF219D">
        <w:t>3</w:t>
      </w:r>
      <w:r>
        <w:t>;</w:t>
      </w:r>
      <w:r w:rsidRPr="00CF219D">
        <w:t>030</w:t>
      </w:r>
      <w:r>
        <w:t>;</w:t>
      </w:r>
      <w:r w:rsidRPr="00CF219D">
        <w:t>010</w:t>
      </w:r>
      <w:r>
        <w:t>} en {LR</w:t>
      </w:r>
      <w:r w:rsidRPr="00CF219D">
        <w:t>3</w:t>
      </w:r>
      <w:r>
        <w:t>;</w:t>
      </w:r>
      <w:r w:rsidRPr="00CF219D">
        <w:t>040</w:t>
      </w:r>
      <w:r>
        <w:t>;</w:t>
      </w:r>
      <w:r w:rsidRPr="00CF219D">
        <w:t>010</w:t>
      </w:r>
      <w:r>
        <w:t>} uitsluitend een positieve waarde hebben.</w:t>
      </w:r>
    </w:p>
    <w:p w:rsidR="001F28C3" w:rsidRPr="00FD2C06" w:rsidRDefault="001F28C3" w:rsidP="00FD2C06">
      <w:pPr>
        <w:pStyle w:val="InstructionsText2"/>
        <w:numPr>
          <w:ilvl w:val="0"/>
          <w:numId w:val="0"/>
        </w:numPr>
        <w:ind w:left="720"/>
        <w:rPr>
          <w:rFonts w:eastAsia="Times New Roman"/>
          <w:bCs/>
          <w:szCs w:val="17"/>
        </w:rPr>
      </w:pPr>
    </w:p>
    <w:p w:rsidR="00217D1F" w:rsidRPr="00FE002E" w:rsidRDefault="00F4754B" w:rsidP="00217D1F">
      <w:pPr>
        <w:pStyle w:val="BodyText1"/>
        <w:outlineLvl w:val="0"/>
        <w:rPr>
          <w:rFonts w:ascii="Times New Roman" w:hAnsi="Times New Roman"/>
          <w:b/>
          <w:sz w:val="24"/>
          <w:szCs w:val="24"/>
        </w:rPr>
      </w:pPr>
      <w:r>
        <w:br w:type="page"/>
      </w:r>
      <w:bookmarkStart w:id="33" w:name="_Toc351048504"/>
      <w:bookmarkStart w:id="34" w:name="_Toc359414281"/>
      <w:bookmarkStart w:id="35" w:name="_Toc423089066"/>
      <w:bookmarkStart w:id="36" w:name="_Toc522779996"/>
      <w:r>
        <w:rPr>
          <w:rFonts w:ascii="Times New Roman" w:hAnsi="Times New Roman"/>
          <w:b/>
          <w:sz w:val="24"/>
        </w:rPr>
        <w:lastRenderedPageBreak/>
        <w:t>DEEL II: INSTRUCTIES IN VERBAND MET DE TEMPLATES</w:t>
      </w:r>
      <w:bookmarkEnd w:id="31"/>
      <w:bookmarkEnd w:id="33"/>
      <w:bookmarkEnd w:id="34"/>
      <w:bookmarkEnd w:id="35"/>
      <w:bookmarkEnd w:id="36"/>
    </w:p>
    <w:p w:rsidR="00D91BC3" w:rsidRPr="00CF306A" w:rsidRDefault="00D91BC3" w:rsidP="00217B44">
      <w:pPr>
        <w:pStyle w:val="BodyText1"/>
      </w:pPr>
    </w:p>
    <w:p w:rsidR="00217D1F" w:rsidRPr="00FE002E" w:rsidRDefault="00500508" w:rsidP="00500508">
      <w:pPr>
        <w:pStyle w:val="BodyText1"/>
        <w:ind w:left="357" w:hanging="357"/>
        <w:outlineLvl w:val="1"/>
        <w:rPr>
          <w:rFonts w:ascii="Times New Roman" w:hAnsi="Times New Roman"/>
          <w:b/>
        </w:rPr>
      </w:pPr>
      <w:bookmarkStart w:id="37" w:name="_Toc359414282"/>
      <w:bookmarkStart w:id="38" w:name="_Toc423089067"/>
      <w:bookmarkStart w:id="39" w:name="_Toc522779997"/>
      <w:bookmarkStart w:id="40" w:name="_Toc322631544"/>
      <w:bookmarkStart w:id="41" w:name="_Toc322687870"/>
      <w:r w:rsidRPr="00CF219D">
        <w:rPr>
          <w:rFonts w:ascii="Times New Roman" w:hAnsi="Times New Roman"/>
          <w:b/>
        </w:rPr>
        <w:t>1</w:t>
      </w:r>
      <w:r>
        <w:rPr>
          <w:rFonts w:ascii="Times New Roman" w:hAnsi="Times New Roman"/>
          <w:b/>
        </w:rPr>
        <w:t>.</w:t>
      </w:r>
      <w:r>
        <w:tab/>
      </w:r>
      <w:r>
        <w:rPr>
          <w:rFonts w:ascii="Times New Roman" w:hAnsi="Times New Roman"/>
          <w:b/>
        </w:rPr>
        <w:t>Structuur en frequentie</w:t>
      </w:r>
      <w:bookmarkEnd w:id="37"/>
      <w:bookmarkEnd w:id="38"/>
      <w:bookmarkEnd w:id="39"/>
      <w:r>
        <w:rPr>
          <w:rFonts w:ascii="Times New Roman" w:hAnsi="Times New Roman"/>
          <w:b/>
        </w:rPr>
        <w:t xml:space="preserve"> </w:t>
      </w:r>
      <w:bookmarkEnd w:id="40"/>
      <w:bookmarkEnd w:id="41"/>
    </w:p>
    <w:p w:rsidR="00D91BC3" w:rsidRPr="00CF306A" w:rsidRDefault="00D91BC3" w:rsidP="00217B44">
      <w:pPr>
        <w:pStyle w:val="BodyText1"/>
      </w:pPr>
    </w:p>
    <w:p w:rsidR="00F4754B" w:rsidRPr="00FE002E" w:rsidRDefault="00500508" w:rsidP="00500508">
      <w:pPr>
        <w:pStyle w:val="BodyText1"/>
        <w:spacing w:line="240" w:lineRule="auto"/>
        <w:ind w:left="720" w:hanging="360"/>
        <w:rPr>
          <w:rFonts w:ascii="Times New Roman" w:hAnsi="Times New Roman"/>
        </w:rPr>
      </w:pPr>
      <w:bookmarkStart w:id="42" w:name="_Toc322533849"/>
      <w:r w:rsidRPr="00CF219D">
        <w:rPr>
          <w:rFonts w:ascii="Times New Roman" w:hAnsi="Times New Roman"/>
        </w:rPr>
        <w:t>1</w:t>
      </w:r>
      <w:r>
        <w:rPr>
          <w:rFonts w:ascii="Times New Roman" w:hAnsi="Times New Roman"/>
        </w:rPr>
        <w:t>.</w:t>
      </w:r>
      <w:r>
        <w:tab/>
      </w:r>
      <w:r>
        <w:rPr>
          <w:rFonts w:ascii="Times New Roman" w:hAnsi="Times New Roman"/>
        </w:rPr>
        <w:t>De hefboomratiotemplate is in twee delen opgesplitst. Deel A omvat alle gegevens die ten grondslag liggen aan de berekening van de hefboomratio die instellingen overeenkomstig artikel </w:t>
      </w:r>
      <w:r w:rsidRPr="00CF219D">
        <w:rPr>
          <w:rFonts w:ascii="Times New Roman" w:hAnsi="Times New Roman"/>
        </w:rPr>
        <w:t>430</w:t>
      </w:r>
      <w:r>
        <w:rPr>
          <w:rFonts w:ascii="Times New Roman" w:hAnsi="Times New Roman"/>
        </w:rPr>
        <w:t>, lid </w:t>
      </w:r>
      <w:r w:rsidRPr="00CF219D">
        <w:rPr>
          <w:rFonts w:ascii="Times New Roman" w:hAnsi="Times New Roman"/>
        </w:rPr>
        <w:t>1</w:t>
      </w:r>
      <w:r>
        <w:rPr>
          <w:rFonts w:ascii="Times New Roman" w:hAnsi="Times New Roman"/>
        </w:rPr>
        <w:t>, eerste alinea, van de VKV bij de bevoegde autoriteiten moeten indienen. Deel B bevat alle gegevens die instellingen overeenkomstig artikel </w:t>
      </w:r>
      <w:r w:rsidRPr="00CF219D">
        <w:rPr>
          <w:rFonts w:ascii="Times New Roman" w:hAnsi="Times New Roman"/>
        </w:rPr>
        <w:t>430</w:t>
      </w:r>
      <w:r>
        <w:rPr>
          <w:rFonts w:ascii="Times New Roman" w:hAnsi="Times New Roman"/>
        </w:rPr>
        <w:t>, lid </w:t>
      </w:r>
      <w:r w:rsidRPr="00CF219D">
        <w:rPr>
          <w:rFonts w:ascii="Times New Roman" w:hAnsi="Times New Roman"/>
        </w:rPr>
        <w:t>1</w:t>
      </w:r>
      <w:r>
        <w:rPr>
          <w:rFonts w:ascii="Times New Roman" w:hAnsi="Times New Roman"/>
        </w:rPr>
        <w:t>, tweede alinea, van de VKV moeten indienen (d.w.z. in het kader van het in artikel </w:t>
      </w:r>
      <w:r w:rsidRPr="00CF219D">
        <w:rPr>
          <w:rFonts w:ascii="Times New Roman" w:hAnsi="Times New Roman"/>
        </w:rPr>
        <w:t>511</w:t>
      </w:r>
      <w:r>
        <w:rPr>
          <w:rFonts w:ascii="Times New Roman" w:hAnsi="Times New Roman"/>
        </w:rPr>
        <w:t xml:space="preserve"> van de VKV bedoelde verslag).</w:t>
      </w:r>
    </w:p>
    <w:p w:rsidR="00FC2664" w:rsidRPr="00FE002E" w:rsidRDefault="00FC2664" w:rsidP="00F4754B">
      <w:pPr>
        <w:pStyle w:val="BodyText1"/>
        <w:rPr>
          <w:rFonts w:ascii="Times New Roman" w:hAnsi="Times New Roman"/>
        </w:rPr>
      </w:pPr>
    </w:p>
    <w:p w:rsidR="00FF2091" w:rsidRPr="00FE002E" w:rsidRDefault="00500508" w:rsidP="00500508">
      <w:pPr>
        <w:pStyle w:val="BodyText1"/>
        <w:spacing w:line="240" w:lineRule="auto"/>
        <w:ind w:left="720" w:hanging="360"/>
        <w:rPr>
          <w:rFonts w:ascii="Times New Roman" w:hAnsi="Times New Roman"/>
        </w:rPr>
      </w:pPr>
      <w:r w:rsidRPr="00CF219D">
        <w:rPr>
          <w:rFonts w:ascii="Times New Roman" w:hAnsi="Times New Roman"/>
        </w:rPr>
        <w:t>2</w:t>
      </w:r>
      <w:r>
        <w:rPr>
          <w:rFonts w:ascii="Times New Roman" w:hAnsi="Times New Roman"/>
        </w:rPr>
        <w:t>.</w:t>
      </w:r>
      <w:r>
        <w:tab/>
      </w:r>
      <w:r>
        <w:rPr>
          <w:rFonts w:ascii="Times New Roman" w:hAnsi="Times New Roman"/>
        </w:rPr>
        <w:t xml:space="preserve">Bij het opstellen van de gegevens voor deze technische uitvoeringsnorm nemen instellingen de behandeling van fiduciaire activa in aanmerking overeenkomstig artikel </w:t>
      </w:r>
      <w:r w:rsidRPr="00CF219D">
        <w:rPr>
          <w:rFonts w:ascii="Times New Roman" w:hAnsi="Times New Roman"/>
        </w:rPr>
        <w:t>429</w:t>
      </w:r>
      <w:r>
        <w:rPr>
          <w:rFonts w:ascii="Times New Roman" w:hAnsi="Times New Roman"/>
        </w:rPr>
        <w:t xml:space="preserve">, lid </w:t>
      </w:r>
      <w:r w:rsidRPr="00CF219D">
        <w:rPr>
          <w:rFonts w:ascii="Times New Roman" w:hAnsi="Times New Roman"/>
        </w:rPr>
        <w:t>13</w:t>
      </w:r>
      <w:r>
        <w:rPr>
          <w:rFonts w:ascii="Times New Roman" w:hAnsi="Times New Roman"/>
        </w:rPr>
        <w:t>, van de VKV.</w:t>
      </w:r>
    </w:p>
    <w:p w:rsidR="00FC2664" w:rsidRPr="00FE002E" w:rsidRDefault="00FC2664" w:rsidP="00F4754B">
      <w:pPr>
        <w:pStyle w:val="BodyText1"/>
        <w:rPr>
          <w:rFonts w:ascii="Times New Roman" w:hAnsi="Times New Roman"/>
        </w:rPr>
      </w:pPr>
    </w:p>
    <w:p w:rsidR="00505096" w:rsidRPr="00FE002E" w:rsidRDefault="00500508" w:rsidP="00500508">
      <w:pPr>
        <w:pStyle w:val="BodyText1"/>
        <w:ind w:left="357" w:hanging="357"/>
        <w:outlineLvl w:val="1"/>
        <w:rPr>
          <w:rFonts w:ascii="Times New Roman" w:hAnsi="Times New Roman"/>
          <w:b/>
        </w:rPr>
      </w:pPr>
      <w:bookmarkStart w:id="43" w:name="_Toc359414283"/>
      <w:bookmarkStart w:id="44" w:name="_Toc423089068"/>
      <w:bookmarkStart w:id="45" w:name="_Toc522779998"/>
      <w:r w:rsidRPr="00CF219D">
        <w:rPr>
          <w:rFonts w:ascii="Times New Roman" w:hAnsi="Times New Roman"/>
          <w:b/>
        </w:rPr>
        <w:t>2</w:t>
      </w:r>
      <w:r>
        <w:rPr>
          <w:rFonts w:ascii="Times New Roman" w:hAnsi="Times New Roman"/>
          <w:b/>
        </w:rPr>
        <w:t>.</w:t>
      </w:r>
      <w:r>
        <w:tab/>
      </w:r>
      <w:r>
        <w:rPr>
          <w:rFonts w:ascii="Times New Roman" w:hAnsi="Times New Roman"/>
          <w:b/>
        </w:rPr>
        <w:t>Formules voor het berekenen van de hefboomratio</w:t>
      </w:r>
      <w:bookmarkEnd w:id="43"/>
      <w:bookmarkEnd w:id="44"/>
      <w:bookmarkEnd w:id="45"/>
    </w:p>
    <w:p w:rsidR="00B9185D" w:rsidRPr="00FE002E" w:rsidRDefault="00B9185D" w:rsidP="00FF2091">
      <w:pPr>
        <w:pStyle w:val="BodyText1"/>
        <w:spacing w:line="240" w:lineRule="auto"/>
        <w:rPr>
          <w:rFonts w:ascii="Times New Roman" w:hAnsi="Times New Roman"/>
        </w:rPr>
      </w:pPr>
    </w:p>
    <w:p w:rsidR="00505096" w:rsidRPr="00FE002E" w:rsidRDefault="00500508" w:rsidP="00500508">
      <w:pPr>
        <w:pStyle w:val="BodyText1"/>
        <w:spacing w:line="240" w:lineRule="auto"/>
        <w:ind w:left="720" w:hanging="360"/>
        <w:rPr>
          <w:rFonts w:ascii="Times New Roman" w:hAnsi="Times New Roman"/>
        </w:rPr>
      </w:pPr>
      <w:r w:rsidRPr="00CF219D">
        <w:rPr>
          <w:rFonts w:ascii="Times New Roman" w:hAnsi="Times New Roman"/>
        </w:rPr>
        <w:t>3</w:t>
      </w:r>
      <w:r>
        <w:rPr>
          <w:rFonts w:ascii="Times New Roman" w:hAnsi="Times New Roman"/>
        </w:rPr>
        <w:t>.</w:t>
      </w:r>
      <w:r>
        <w:tab/>
      </w:r>
      <w:r>
        <w:rPr>
          <w:rFonts w:ascii="Times New Roman" w:hAnsi="Times New Roman"/>
        </w:rPr>
        <w:t xml:space="preserve">De hefboomratio is gebaseerd op een kapitaalmaatstaf en een maatstaf voor de totale risicoblootstelling, die kunnen worden berekend met cellen uit deel A.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CF219D">
        <w:rPr>
          <w:rFonts w:ascii="Times New Roman" w:hAnsi="Times New Roman"/>
        </w:rPr>
        <w:t>4</w:t>
      </w:r>
      <w:r>
        <w:rPr>
          <w:rFonts w:ascii="Times New Roman" w:hAnsi="Times New Roman"/>
        </w:rPr>
        <w:t>.</w:t>
      </w:r>
      <w:r>
        <w:tab/>
      </w:r>
      <w:r>
        <w:rPr>
          <w:rFonts w:ascii="Times New Roman" w:hAnsi="Times New Roman"/>
        </w:rPr>
        <w:t>Hefboomratio – volledig ingefaseerde definitie = {LRCalc;</w:t>
      </w:r>
      <w:r w:rsidRPr="00CF219D">
        <w:rPr>
          <w:rFonts w:ascii="Times New Roman" w:hAnsi="Times New Roman"/>
        </w:rPr>
        <w:t>310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290</w:t>
      </w:r>
      <w:r>
        <w:rPr>
          <w:rFonts w:ascii="Times New Roman" w:hAnsi="Times New Roman"/>
        </w:rPr>
        <w:t>;</w:t>
      </w:r>
      <w:r w:rsidRPr="00CF219D">
        <w:rPr>
          <w:rFonts w:ascii="Times New Roman" w:hAnsi="Times New Roman"/>
        </w:rPr>
        <w:t>010</w:t>
      </w:r>
      <w:r>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CF219D">
        <w:rPr>
          <w:rFonts w:ascii="Times New Roman" w:hAnsi="Times New Roman"/>
        </w:rPr>
        <w:t>5</w:t>
      </w:r>
      <w:r>
        <w:rPr>
          <w:rFonts w:ascii="Times New Roman" w:hAnsi="Times New Roman"/>
        </w:rPr>
        <w:t>.</w:t>
      </w:r>
      <w:r>
        <w:tab/>
      </w:r>
      <w:r>
        <w:rPr>
          <w:rFonts w:ascii="Times New Roman" w:hAnsi="Times New Roman"/>
        </w:rPr>
        <w:t>Hefboomratio – overgangsdefinitie = {LRCalc;</w:t>
      </w:r>
      <w:r w:rsidRPr="00CF219D">
        <w:rPr>
          <w:rFonts w:ascii="Times New Roman" w:hAnsi="Times New Roman"/>
        </w:rPr>
        <w:t>320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300</w:t>
      </w:r>
      <w:r>
        <w:rPr>
          <w:rFonts w:ascii="Times New Roman" w:hAnsi="Times New Roman"/>
        </w:rPr>
        <w:t>;</w:t>
      </w:r>
      <w:r w:rsidRPr="00CF219D">
        <w:rPr>
          <w:rFonts w:ascii="Times New Roman" w:hAnsi="Times New Roman"/>
        </w:rPr>
        <w:t>010</w:t>
      </w:r>
      <w:r>
        <w:rPr>
          <w:rFonts w:ascii="Times New Roman" w:hAnsi="Times New Roman"/>
        </w:rPr>
        <w:t>}.</w:t>
      </w:r>
    </w:p>
    <w:p w:rsidR="00FC2664" w:rsidRPr="00FE002E" w:rsidRDefault="00FC2664" w:rsidP="007E2A41">
      <w:pPr>
        <w:pStyle w:val="BodyText1"/>
        <w:spacing w:line="240" w:lineRule="auto"/>
        <w:rPr>
          <w:rFonts w:ascii="Times New Roman" w:hAnsi="Times New Roman"/>
        </w:rPr>
      </w:pPr>
      <w:bookmarkStart w:id="46" w:name="_Toc322533852"/>
      <w:bookmarkEnd w:id="42"/>
    </w:p>
    <w:p w:rsidR="00FC2664" w:rsidRPr="00FE002E" w:rsidRDefault="00FC2664" w:rsidP="007E2A41">
      <w:pPr>
        <w:pStyle w:val="BodyText1"/>
        <w:spacing w:line="240" w:lineRule="auto"/>
        <w:rPr>
          <w:rFonts w:ascii="Times New Roman" w:hAnsi="Times New Roman"/>
        </w:rPr>
      </w:pPr>
    </w:p>
    <w:p w:rsidR="00505096" w:rsidRPr="00FE002E" w:rsidRDefault="00500508" w:rsidP="00500508">
      <w:pPr>
        <w:pStyle w:val="BodyText1"/>
        <w:ind w:left="357" w:hanging="357"/>
        <w:outlineLvl w:val="1"/>
        <w:rPr>
          <w:rFonts w:ascii="Times New Roman" w:hAnsi="Times New Roman"/>
          <w:b/>
        </w:rPr>
      </w:pPr>
      <w:bookmarkStart w:id="47" w:name="_Toc359414284"/>
      <w:bookmarkStart w:id="48" w:name="_Toc423089069"/>
      <w:bookmarkStart w:id="49" w:name="_Toc522779999"/>
      <w:r w:rsidRPr="00CF219D">
        <w:rPr>
          <w:rFonts w:ascii="Times New Roman" w:hAnsi="Times New Roman"/>
          <w:b/>
        </w:rPr>
        <w:t>3</w:t>
      </w:r>
      <w:r>
        <w:rPr>
          <w:rFonts w:ascii="Times New Roman" w:hAnsi="Times New Roman"/>
          <w:b/>
        </w:rPr>
        <w:t>.</w:t>
      </w:r>
      <w:r>
        <w:tab/>
      </w:r>
      <w:r>
        <w:rPr>
          <w:rFonts w:ascii="Times New Roman" w:hAnsi="Times New Roman"/>
          <w:b/>
        </w:rPr>
        <w:t>Materialiteitsdrempels voor derivaten</w:t>
      </w:r>
      <w:bookmarkEnd w:id="47"/>
      <w:bookmarkEnd w:id="48"/>
      <w:bookmarkEnd w:id="49"/>
    </w:p>
    <w:p w:rsidR="00505096" w:rsidRPr="00FE002E" w:rsidRDefault="00505096" w:rsidP="007E2A41">
      <w:pPr>
        <w:pStyle w:val="BodyText1"/>
        <w:spacing w:line="240" w:lineRule="auto"/>
        <w:rPr>
          <w:rFonts w:ascii="Times New Roman" w:hAnsi="Times New Roman"/>
        </w:rPr>
      </w:pPr>
    </w:p>
    <w:p w:rsidR="00505096" w:rsidRPr="00FE002E" w:rsidRDefault="00505096"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CF219D">
        <w:rPr>
          <w:rFonts w:ascii="Times New Roman" w:hAnsi="Times New Roman"/>
        </w:rPr>
        <w:t>6</w:t>
      </w:r>
      <w:r>
        <w:rPr>
          <w:rFonts w:ascii="Times New Roman" w:hAnsi="Times New Roman"/>
        </w:rPr>
        <w:t>.</w:t>
      </w:r>
      <w:r>
        <w:tab/>
      </w:r>
      <w:r>
        <w:rPr>
          <w:rFonts w:ascii="Times New Roman" w:hAnsi="Times New Roman"/>
        </w:rPr>
        <w:t>Om de rapportagelast voor instellingen met beperkte blootstellingen in de vorm van derivaten te verminderen, wordt de omvang van de derivatenblootstelling in verhouding tot de totale risicoblootstelling voor de berekening van de hefboomratio gemeten met de volgende maatstaven. De instellingen berekenen die maatstaven als volgt</w:t>
      </w:r>
      <w:bookmarkStart w:id="50" w:name="_Toc322533853"/>
      <w:bookmarkEnd w:id="46"/>
      <w:r>
        <w:rPr>
          <w:rFonts w:ascii="Times New Roman" w:hAnsi="Times New Roman"/>
        </w:rPr>
        <w:t>:</w:t>
      </w:r>
    </w:p>
    <w:p w:rsidR="00A30899" w:rsidRPr="00FE002E" w:rsidRDefault="00A30899" w:rsidP="007E2A41">
      <w:pPr>
        <w:pStyle w:val="ListParagraph"/>
        <w:rPr>
          <w:rFonts w:ascii="Times New Roman" w:hAnsi="Times New Roman"/>
          <w:szCs w:val="20"/>
        </w:rPr>
      </w:pPr>
    </w:p>
    <w:p w:rsidR="00A30899" w:rsidRPr="00E5591F" w:rsidRDefault="00500508" w:rsidP="00500508">
      <w:pPr>
        <w:pStyle w:val="BodyText1"/>
        <w:spacing w:line="240" w:lineRule="auto"/>
        <w:ind w:left="720" w:hanging="360"/>
        <w:jc w:val="left"/>
        <w:rPr>
          <w:rFonts w:ascii="Times New Roman" w:hAnsi="Times New Roman"/>
        </w:rPr>
      </w:pPr>
      <w:bookmarkStart w:id="51" w:name="_Toc322533854"/>
      <w:bookmarkEnd w:id="50"/>
      <w:r w:rsidRPr="00CF219D">
        <w:rPr>
          <w:rFonts w:ascii="Times New Roman" w:hAnsi="Times New Roman"/>
        </w:rPr>
        <w:t>7</w:t>
      </w:r>
      <w:r>
        <w:rPr>
          <w:rFonts w:ascii="Times New Roman" w:hAnsi="Times New Roman"/>
        </w:rPr>
        <w:t>.</w:t>
      </w:r>
      <w:r>
        <w:tab/>
      </w:r>
      <w:r>
        <w:rPr>
          <w:rFonts w:ascii="Times New Roman" w:hAnsi="Times New Roman"/>
        </w:rPr>
        <w:t xml:space="preserve">Derivatenaandeel = </w:t>
      </w:r>
      <m:oMath>
        <m:f>
          <m:fPr>
            <m:ctrlPr>
              <w:rPr>
                <w:rFonts w:ascii="Cambria Math" w:hAnsi="Times New Roman"/>
              </w:rPr>
            </m:ctrlPr>
          </m:fPr>
          <m:num>
            <m:eqArr>
              <m:eqArrPr>
                <m:ctrlPr>
                  <w:rPr>
                    <w:rFonts w:ascii="Cambria Math" w:hAnsi="Times New Roman"/>
                  </w:rPr>
                </m:ctrlPr>
              </m:eqArrPr>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m:t>
                    </m:r>
                    <m:r>
                      <m:rPr>
                        <m:sty m:val="p"/>
                      </m:rPr>
                      <w:rPr>
                        <w:rFonts w:ascii="Cambria Math" w:hAnsi="Times New Roman"/>
                      </w:rPr>
                      <m:t>060</m:t>
                    </m:r>
                    <m:r>
                      <m:rPr>
                        <m:sty m:val="p"/>
                      </m:rPr>
                      <w:rPr>
                        <w:rFonts w:ascii="Cambria Math" w:hAnsi="Times New Roman"/>
                      </w:rPr>
                      <m:t>;</m:t>
                    </m:r>
                    <m:r>
                      <m:rPr>
                        <m:sty m:val="p"/>
                      </m:rPr>
                      <w:rPr>
                        <w:rFonts w:ascii="Cambria Math" w:hAnsi="Times New Roman"/>
                      </w:rPr>
                      <m:t>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m:t>
                    </m:r>
                    <m:r>
                      <m:rPr>
                        <m:sty m:val="p"/>
                      </m:rPr>
                      <w:rPr>
                        <w:rFonts w:ascii="Cambria Math" w:hAnsi="Times New Roman"/>
                      </w:rPr>
                      <m:t>070</m:t>
                    </m:r>
                    <m:r>
                      <m:rPr>
                        <m:sty m:val="p"/>
                      </m:rPr>
                      <w:rPr>
                        <w:rFonts w:ascii="Cambria Math" w:hAnsi="Times New Roman"/>
                      </w:rPr>
                      <m:t>;</m:t>
                    </m:r>
                    <m:r>
                      <m:rPr>
                        <m:sty m:val="p"/>
                      </m:rPr>
                      <w:rPr>
                        <w:rFonts w:ascii="Cambria Math" w:hAnsi="Times New Roman"/>
                      </w:rPr>
                      <m:t>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m:t>
                    </m:r>
                    <m:r>
                      <m:rPr>
                        <m:sty m:val="p"/>
                      </m:rPr>
                      <w:rPr>
                        <w:rFonts w:ascii="Cambria Math" w:hAnsi="Times New Roman"/>
                      </w:rPr>
                      <m:t>080</m:t>
                    </m:r>
                    <m:r>
                      <m:rPr>
                        <m:sty m:val="p"/>
                      </m:rPr>
                      <w:rPr>
                        <w:rFonts w:ascii="Cambria Math" w:hAnsi="Times New Roman"/>
                      </w:rPr>
                      <m:t>;</m:t>
                    </m:r>
                    <m:r>
                      <m:rPr>
                        <m:sty m:val="p"/>
                      </m:rPr>
                      <w:rPr>
                        <w:rFonts w:ascii="Cambria Math" w:hAnsi="Times New Roman"/>
                      </w:rPr>
                      <m:t>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m:t>
                    </m:r>
                    <m:r>
                      <m:rPr>
                        <m:sty m:val="p"/>
                      </m:rPr>
                      <w:rPr>
                        <w:rFonts w:ascii="Cambria Math" w:hAnsi="Times New Roman"/>
                      </w:rPr>
                      <m:t>090</m:t>
                    </m:r>
                    <m:r>
                      <m:rPr>
                        <m:sty m:val="p"/>
                      </m:rPr>
                      <w:rPr>
                        <w:rFonts w:ascii="Cambria Math" w:hAnsi="Times New Roman"/>
                      </w:rPr>
                      <m:t>;</m:t>
                    </m:r>
                    <m:r>
                      <m:rPr>
                        <m:sty m:val="p"/>
                      </m:rPr>
                      <w:rPr>
                        <w:rFonts w:ascii="Cambria Math" w:hAnsi="Times New Roman"/>
                      </w:rPr>
                      <m:t>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m:t>
                    </m:r>
                    <m:r>
                      <m:rPr>
                        <m:sty m:val="p"/>
                      </m:rPr>
                      <w:rPr>
                        <w:rFonts w:ascii="Cambria Math" w:hAnsi="Times New Roman"/>
                      </w:rPr>
                      <m:t>100</m:t>
                    </m:r>
                    <m:r>
                      <m:rPr>
                        <m:sty m:val="p"/>
                      </m:rPr>
                      <w:rPr>
                        <w:rFonts w:ascii="Cambria Math" w:hAnsi="Times New Roman"/>
                      </w:rPr>
                      <m:t>;</m:t>
                    </m:r>
                    <m:r>
                      <m:rPr>
                        <m:sty m:val="p"/>
                      </m:rPr>
                      <w:rPr>
                        <w:rFonts w:ascii="Cambria Math" w:hAnsi="Times New Roman"/>
                      </w:rPr>
                      <m:t>010</m:t>
                    </m:r>
                  </m:e>
                </m:d>
                <m:ctrlPr>
                  <w:rPr>
                    <w:rFonts w:ascii="Cambria Math" w:eastAsia="Cambria Math" w:hAnsi="Cambria Math" w:cs="Cambria Math"/>
                  </w:rPr>
                </m:ctrlPr>
              </m:e>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m:t>
                    </m:r>
                    <m:r>
                      <m:rPr>
                        <m:sty m:val="p"/>
                      </m:rPr>
                      <w:rPr>
                        <w:rFonts w:ascii="Cambria Math" w:hAnsi="Times New Roman"/>
                      </w:rPr>
                      <m:t>110</m:t>
                    </m:r>
                    <m:r>
                      <m:rPr>
                        <m:sty m:val="p"/>
                      </m:rPr>
                      <w:rPr>
                        <w:rFonts w:ascii="Cambria Math" w:hAnsi="Times New Roman"/>
                      </w:rPr>
                      <m:t>;</m:t>
                    </m:r>
                    <m:r>
                      <m:rPr>
                        <m:sty m:val="p"/>
                      </m:rPr>
                      <w:rPr>
                        <w:rFonts w:ascii="Cambria Math" w:hAnsi="Times New Roman"/>
                      </w:rPr>
                      <m:t>010</m:t>
                    </m:r>
                  </m:e>
                </m:d>
                <m:r>
                  <m:rPr>
                    <m:sty m:val="p"/>
                  </m:rPr>
                  <w:rPr>
                    <w:rFonts w:ascii="Cambria Math" w:hAnsi="Times New Roman"/>
                  </w:rPr>
                  <m:t xml:space="preserve">+ </m:t>
                </m:r>
                <m:d>
                  <m:dPr>
                    <m:begChr m:val="{"/>
                    <m:endChr m:val="}"/>
                    <m:ctrlPr>
                      <w:rPr>
                        <w:rFonts w:ascii="Cambria Math" w:hAnsi="Times New Roman"/>
                      </w:rPr>
                    </m:ctrlPr>
                  </m:dPr>
                  <m:e>
                    <m:r>
                      <m:rPr>
                        <m:sty m:val="p"/>
                      </m:rPr>
                      <w:rPr>
                        <w:rFonts w:ascii="Cambria Math" w:hAnsi="Times New Roman"/>
                      </w:rPr>
                      <m:t>LRCalc;</m:t>
                    </m:r>
                    <m:r>
                      <m:rPr>
                        <m:sty m:val="p"/>
                      </m:rPr>
                      <w:rPr>
                        <w:rFonts w:ascii="Cambria Math" w:hAnsi="Times New Roman"/>
                      </w:rPr>
                      <m:t>120</m:t>
                    </m:r>
                    <m:r>
                      <m:rPr>
                        <m:sty m:val="p"/>
                      </m:rPr>
                      <w:rPr>
                        <w:rFonts w:ascii="Cambria Math" w:hAnsi="Times New Roman"/>
                      </w:rPr>
                      <m:t>;</m:t>
                    </m:r>
                    <m:r>
                      <m:rPr>
                        <m:sty m:val="p"/>
                      </m:rPr>
                      <w:rPr>
                        <w:rFonts w:ascii="Cambria Math" w:hAnsi="Times New Roman"/>
                      </w:rPr>
                      <m:t>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m:t>
                    </m:r>
                    <m:r>
                      <m:rPr>
                        <m:sty m:val="p"/>
                      </m:rPr>
                      <w:rPr>
                        <w:rFonts w:ascii="Cambria Math" w:hAnsi="Times New Roman"/>
                      </w:rPr>
                      <m:t>130</m:t>
                    </m:r>
                    <m:r>
                      <m:rPr>
                        <m:sty m:val="p"/>
                      </m:rPr>
                      <w:rPr>
                        <w:rFonts w:ascii="Cambria Math" w:hAnsi="Times New Roman"/>
                      </w:rPr>
                      <m:t>;</m:t>
                    </m:r>
                    <m:r>
                      <m:rPr>
                        <m:sty m:val="p"/>
                      </m:rPr>
                      <w:rPr>
                        <w:rFonts w:ascii="Cambria Math" w:hAnsi="Times New Roman"/>
                      </w:rPr>
                      <m:t>010</m:t>
                    </m:r>
                  </m:e>
                </m:d>
                <m:r>
                  <m:rPr>
                    <m:sty m:val="p"/>
                  </m:rPr>
                  <w:rPr>
                    <w:rFonts w:ascii="Cambria Math" w:hAnsi="Times New Roman"/>
                  </w:rPr>
                  <m:t>+{LRCalc;</m:t>
                </m:r>
                <m:r>
                  <m:rPr>
                    <m:sty m:val="p"/>
                  </m:rPr>
                  <w:rPr>
                    <w:rFonts w:ascii="Cambria Math" w:hAnsi="Times New Roman"/>
                  </w:rPr>
                  <m:t>140</m:t>
                </m:r>
                <m:r>
                  <m:rPr>
                    <m:sty m:val="p"/>
                  </m:rPr>
                  <w:rPr>
                    <w:rFonts w:ascii="Cambria Math" w:hAnsi="Times New Roman"/>
                  </w:rPr>
                  <m:t>;</m:t>
                </m:r>
                <m:r>
                  <m:rPr>
                    <m:sty m:val="p"/>
                  </m:rPr>
                  <w:rPr>
                    <w:rFonts w:ascii="Cambria Math" w:hAnsi="Times New Roman"/>
                  </w:rPr>
                  <m:t>010</m:t>
                </m:r>
                <m:r>
                  <m:rPr>
                    <m:sty m:val="p"/>
                  </m:rPr>
                  <w:rPr>
                    <w:rFonts w:ascii="Cambria Math" w:hAnsi="Times New Roman"/>
                  </w:rPr>
                  <m:t>}]</m:t>
                </m:r>
              </m:e>
            </m:eqArr>
          </m:num>
          <m:den>
            <m:r>
              <m:rPr>
                <m:sty m:val="p"/>
              </m:rPr>
              <w:rPr>
                <w:rFonts w:ascii="Cambria Math" w:hAnsi="Times New Roman"/>
              </w:rPr>
              <m:t>Total exposure measure</m:t>
            </m:r>
          </m:den>
        </m:f>
      </m:oMath>
      <w:r>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EB7F64" w:rsidRDefault="00500508" w:rsidP="00500508">
      <w:pPr>
        <w:pStyle w:val="BodyText1"/>
        <w:spacing w:line="240" w:lineRule="auto"/>
        <w:ind w:left="720" w:hanging="360"/>
        <w:rPr>
          <w:rFonts w:ascii="Times New Roman" w:hAnsi="Times New Roman"/>
        </w:rPr>
      </w:pPr>
      <w:r w:rsidRPr="00CF219D">
        <w:rPr>
          <w:rFonts w:ascii="Times New Roman" w:hAnsi="Times New Roman"/>
        </w:rPr>
        <w:t>8</w:t>
      </w:r>
      <w:r>
        <w:rPr>
          <w:rFonts w:ascii="Times New Roman" w:hAnsi="Times New Roman"/>
        </w:rPr>
        <w:t>.</w:t>
      </w:r>
      <w:r>
        <w:tab/>
      </w:r>
      <w:r>
        <w:rPr>
          <w:rFonts w:ascii="Times New Roman" w:hAnsi="Times New Roman"/>
        </w:rPr>
        <w:t>Daarbij is de maatstaf voor de totale risicoblootstelling gelijk aan: {LRCalc;</w:t>
      </w:r>
      <w:r w:rsidRPr="00CF219D">
        <w:rPr>
          <w:rFonts w:ascii="Times New Roman" w:hAnsi="Times New Roman"/>
        </w:rPr>
        <w:t>290</w:t>
      </w:r>
      <w:r>
        <w:rPr>
          <w:rFonts w:ascii="Times New Roman" w:hAnsi="Times New Roman"/>
        </w:rPr>
        <w:t>;</w:t>
      </w:r>
      <w:r w:rsidRPr="00CF219D">
        <w:rPr>
          <w:rFonts w:ascii="Times New Roman" w:hAnsi="Times New Roman"/>
        </w:rPr>
        <w:t>010</w:t>
      </w:r>
      <w:r>
        <w:rPr>
          <w:rFonts w:ascii="Times New Roman" w:hAnsi="Times New Roman"/>
        </w:rPr>
        <w:t>}.</w:t>
      </w:r>
    </w:p>
    <w:p w:rsidR="00F4754B" w:rsidRPr="00EB7F64" w:rsidRDefault="00F4754B" w:rsidP="00E5591F">
      <w:pPr>
        <w:pStyle w:val="BodyText1"/>
        <w:spacing w:line="240" w:lineRule="auto"/>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CF219D">
        <w:rPr>
          <w:rFonts w:ascii="Times New Roman" w:hAnsi="Times New Roman"/>
        </w:rPr>
        <w:t>9</w:t>
      </w:r>
      <w:r>
        <w:rPr>
          <w:rFonts w:ascii="Times New Roman" w:hAnsi="Times New Roman"/>
        </w:rPr>
        <w:t>.</w:t>
      </w:r>
      <w:r>
        <w:tab/>
      </w:r>
      <w:r>
        <w:rPr>
          <w:rFonts w:ascii="Times New Roman" w:hAnsi="Times New Roman"/>
        </w:rPr>
        <w:t>Totale notionele waarde van derivaten = {LR</w:t>
      </w:r>
      <w:r w:rsidRPr="00CF219D">
        <w:rPr>
          <w:rFonts w:ascii="Times New Roman" w:hAnsi="Times New Roman"/>
        </w:rPr>
        <w:t>1</w:t>
      </w:r>
      <w:r>
        <w:rPr>
          <w:rFonts w:ascii="Times New Roman" w:hAnsi="Times New Roman"/>
        </w:rPr>
        <w:t xml:space="preserve">; </w:t>
      </w:r>
      <w:r w:rsidRPr="00CF219D">
        <w:rPr>
          <w:rFonts w:ascii="Times New Roman" w:hAnsi="Times New Roman"/>
        </w:rPr>
        <w:t>010</w:t>
      </w:r>
      <w:r>
        <w:rPr>
          <w:rFonts w:ascii="Times New Roman" w:hAnsi="Times New Roman"/>
        </w:rPr>
        <w:t>;</w:t>
      </w:r>
      <w:r w:rsidRPr="00CF219D">
        <w:rPr>
          <w:rFonts w:ascii="Times New Roman" w:hAnsi="Times New Roman"/>
        </w:rPr>
        <w:t>070</w:t>
      </w:r>
      <w:r>
        <w:rPr>
          <w:rFonts w:ascii="Times New Roman" w:hAnsi="Times New Roman"/>
        </w:rPr>
        <w:t>}. Dit is een cel die instellingen altijd moeten rapporteren.</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CF219D">
        <w:rPr>
          <w:rFonts w:ascii="Times New Roman" w:hAnsi="Times New Roman"/>
        </w:rPr>
        <w:t>10</w:t>
      </w:r>
      <w:r>
        <w:rPr>
          <w:rFonts w:ascii="Times New Roman" w:hAnsi="Times New Roman"/>
        </w:rPr>
        <w:t>.</w:t>
      </w:r>
      <w:r>
        <w:tab/>
      </w:r>
      <w:r>
        <w:rPr>
          <w:rFonts w:ascii="Times New Roman" w:hAnsi="Times New Roman"/>
        </w:rPr>
        <w:t>Volume kredietderivaten = {LR</w:t>
      </w:r>
      <w:r w:rsidRPr="00CF219D">
        <w:rPr>
          <w:rFonts w:ascii="Times New Roman" w:hAnsi="Times New Roman"/>
        </w:rPr>
        <w:t>1</w:t>
      </w:r>
      <w:r>
        <w:rPr>
          <w:rFonts w:ascii="Times New Roman" w:hAnsi="Times New Roman"/>
        </w:rPr>
        <w:t>;</w:t>
      </w:r>
      <w:r w:rsidRPr="00CF219D">
        <w:rPr>
          <w:rFonts w:ascii="Times New Roman" w:hAnsi="Times New Roman"/>
        </w:rPr>
        <w:t>020</w:t>
      </w:r>
      <w:r>
        <w:rPr>
          <w:rFonts w:ascii="Times New Roman" w:hAnsi="Times New Roman"/>
        </w:rPr>
        <w:t>;</w:t>
      </w:r>
      <w:r w:rsidRPr="00CF219D">
        <w:rPr>
          <w:rFonts w:ascii="Times New Roman" w:hAnsi="Times New Roman"/>
        </w:rPr>
        <w:t>070</w:t>
      </w:r>
      <w:r>
        <w:rPr>
          <w:rFonts w:ascii="Times New Roman" w:hAnsi="Times New Roman"/>
        </w:rPr>
        <w:t>} + {LR</w:t>
      </w:r>
      <w:r w:rsidRPr="00CF219D">
        <w:rPr>
          <w:rFonts w:ascii="Times New Roman" w:hAnsi="Times New Roman"/>
        </w:rPr>
        <w:t>1</w:t>
      </w:r>
      <w:r>
        <w:rPr>
          <w:rFonts w:ascii="Times New Roman" w:hAnsi="Times New Roman"/>
        </w:rPr>
        <w:t>;</w:t>
      </w:r>
      <w:r w:rsidRPr="00CF219D">
        <w:rPr>
          <w:rFonts w:ascii="Times New Roman" w:hAnsi="Times New Roman"/>
        </w:rPr>
        <w:t>050</w:t>
      </w:r>
      <w:r>
        <w:rPr>
          <w:rFonts w:ascii="Times New Roman" w:hAnsi="Times New Roman"/>
        </w:rPr>
        <w:t>;</w:t>
      </w:r>
      <w:r w:rsidRPr="00CF219D">
        <w:rPr>
          <w:rFonts w:ascii="Times New Roman" w:hAnsi="Times New Roman"/>
        </w:rPr>
        <w:t>070</w:t>
      </w:r>
      <w:r>
        <w:rPr>
          <w:rFonts w:ascii="Times New Roman" w:hAnsi="Times New Roman"/>
        </w:rPr>
        <w:t>}. Dit zijn cellen die instellingen altijd moeten rapporteren.</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CF219D">
        <w:rPr>
          <w:rFonts w:ascii="Times New Roman" w:hAnsi="Times New Roman"/>
        </w:rPr>
        <w:t>11</w:t>
      </w:r>
      <w:r>
        <w:rPr>
          <w:rFonts w:ascii="Times New Roman" w:hAnsi="Times New Roman"/>
        </w:rPr>
        <w:t>.</w:t>
      </w:r>
      <w:r>
        <w:tab/>
      </w:r>
      <w:r>
        <w:rPr>
          <w:rFonts w:ascii="Times New Roman" w:hAnsi="Times New Roman"/>
        </w:rPr>
        <w:t xml:space="preserve">Als aan een van de onderstaande voorwaarden wordt voldaan, moeten de instellingen in de eerstvolgende verslagperiode de in punt </w:t>
      </w:r>
      <w:r w:rsidRPr="00CF219D">
        <w:rPr>
          <w:rFonts w:ascii="Times New Roman" w:hAnsi="Times New Roman"/>
        </w:rPr>
        <w:t>14</w:t>
      </w:r>
      <w:r>
        <w:rPr>
          <w:rFonts w:ascii="Times New Roman" w:hAnsi="Times New Roman"/>
        </w:rPr>
        <w:t xml:space="preserve"> bedoelde cellen rapporteren:</w:t>
      </w:r>
    </w:p>
    <w:p w:rsidR="00607A1B" w:rsidRPr="00FE002E" w:rsidRDefault="00607A1B" w:rsidP="00607A1B">
      <w:pPr>
        <w:pStyle w:val="BodyText1"/>
        <w:spacing w:line="240" w:lineRule="auto"/>
        <w:ind w:left="720"/>
        <w:rPr>
          <w:rFonts w:ascii="Times New Roman" w:hAnsi="Times New Roman"/>
        </w:rPr>
      </w:pPr>
    </w:p>
    <w:p w:rsidR="00F4754B" w:rsidRPr="00FE002E" w:rsidRDefault="00500508" w:rsidP="00500508">
      <w:pPr>
        <w:pStyle w:val="InstructionsText2"/>
        <w:numPr>
          <w:ilvl w:val="0"/>
          <w:numId w:val="0"/>
        </w:numPr>
        <w:ind w:left="1080" w:hanging="360"/>
        <w:rPr>
          <w:rFonts w:ascii="Symbol" w:eastAsia="Times New Roman" w:hAnsi="Symbol"/>
          <w:bCs/>
          <w:szCs w:val="17"/>
        </w:rPr>
      </w:pPr>
      <w:r>
        <w:tab/>
        <w:t xml:space="preserve">het in punt </w:t>
      </w:r>
      <w:r w:rsidRPr="00CF219D">
        <w:t>7</w:t>
      </w:r>
      <w:r>
        <w:t xml:space="preserve"> bedoelde derivatenaandeel is op twee opeenvolgende rapportagereferentiedata groter dan </w:t>
      </w:r>
      <w:r w:rsidRPr="00CF219D">
        <w:t>1</w:t>
      </w:r>
      <w:r>
        <w:t>,</w:t>
      </w:r>
      <w:r w:rsidRPr="00CF219D">
        <w:t>5</w:t>
      </w:r>
      <w:r>
        <w:t> %;</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het in punt </w:t>
      </w:r>
      <w:r w:rsidRPr="00CF219D">
        <w:t>7</w:t>
      </w:r>
      <w:r>
        <w:t xml:space="preserve"> bedoelde derivatenaandeel is groter dan </w:t>
      </w:r>
      <w:r w:rsidRPr="00CF219D">
        <w:t>2</w:t>
      </w:r>
      <w:r>
        <w:t>,</w:t>
      </w:r>
      <w:r w:rsidRPr="00CF219D">
        <w:t>0</w:t>
      </w:r>
      <w:r>
        <w:t> %.</w:t>
      </w:r>
    </w:p>
    <w:p w:rsidR="00F4754B" w:rsidRPr="00FE002E" w:rsidRDefault="00F4754B"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CF219D">
        <w:rPr>
          <w:rFonts w:ascii="Times New Roman" w:hAnsi="Times New Roman"/>
        </w:rPr>
        <w:t>12</w:t>
      </w:r>
      <w:r>
        <w:rPr>
          <w:rFonts w:ascii="Times New Roman" w:hAnsi="Times New Roman"/>
        </w:rPr>
        <w:t>.</w:t>
      </w:r>
      <w:r>
        <w:tab/>
      </w:r>
      <w:r>
        <w:rPr>
          <w:rFonts w:ascii="Times New Roman" w:hAnsi="Times New Roman"/>
        </w:rPr>
        <w:t xml:space="preserve">Instellingen waarvoor de in punt </w:t>
      </w:r>
      <w:r w:rsidRPr="00CF219D">
        <w:rPr>
          <w:rFonts w:ascii="Times New Roman" w:hAnsi="Times New Roman"/>
        </w:rPr>
        <w:t>9</w:t>
      </w:r>
      <w:r>
        <w:rPr>
          <w:rFonts w:ascii="Times New Roman" w:hAnsi="Times New Roman"/>
        </w:rPr>
        <w:t xml:space="preserve"> omschreven totale notionele waarde van derivaten groter is dan </w:t>
      </w:r>
      <w:r w:rsidRPr="00CF219D">
        <w:rPr>
          <w:rFonts w:ascii="Times New Roman" w:hAnsi="Times New Roman"/>
        </w:rPr>
        <w:t>10</w:t>
      </w:r>
      <w:r>
        <w:rPr>
          <w:rFonts w:ascii="Times New Roman" w:hAnsi="Times New Roman"/>
        </w:rPr>
        <w:t xml:space="preserve"> miljard EUR, rapporteren de in punt </w:t>
      </w:r>
      <w:r w:rsidRPr="00CF219D">
        <w:rPr>
          <w:rFonts w:ascii="Times New Roman" w:hAnsi="Times New Roman"/>
        </w:rPr>
        <w:t>14</w:t>
      </w:r>
      <w:r>
        <w:rPr>
          <w:rFonts w:ascii="Times New Roman" w:hAnsi="Times New Roman"/>
        </w:rPr>
        <w:t xml:space="preserve"> bedoelde cellen, zelfs als het aandeel van hun derivaten niet voldoet aan de voorwaarden van punt </w:t>
      </w:r>
      <w:r w:rsidRPr="00CF219D">
        <w:rPr>
          <w:rFonts w:ascii="Times New Roman" w:hAnsi="Times New Roman"/>
        </w:rPr>
        <w:t>11</w:t>
      </w:r>
      <w:r>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CF219D">
        <w:rPr>
          <w:rFonts w:ascii="Times New Roman" w:hAnsi="Times New Roman"/>
        </w:rPr>
        <w:lastRenderedPageBreak/>
        <w:t>13</w:t>
      </w:r>
      <w:r>
        <w:rPr>
          <w:rFonts w:ascii="Times New Roman" w:hAnsi="Times New Roman"/>
        </w:rPr>
        <w:t>.</w:t>
      </w:r>
      <w:r>
        <w:tab/>
      </w:r>
      <w:r>
        <w:rPr>
          <w:rFonts w:ascii="Times New Roman" w:hAnsi="Times New Roman"/>
        </w:rPr>
        <w:t xml:space="preserve">Als aan een van de onderstaande voorwaarden is voldaan, moeten instellingen de in punt </w:t>
      </w:r>
      <w:r w:rsidRPr="00CF219D">
        <w:rPr>
          <w:rFonts w:ascii="Times New Roman" w:hAnsi="Times New Roman"/>
        </w:rPr>
        <w:t>15</w:t>
      </w:r>
      <w:r>
        <w:rPr>
          <w:rFonts w:ascii="Times New Roman" w:hAnsi="Times New Roman"/>
        </w:rPr>
        <w:t xml:space="preserve"> bedoelde cellen rapporteren:</w:t>
      </w:r>
    </w:p>
    <w:p w:rsidR="00607A1B" w:rsidRPr="00FE002E" w:rsidRDefault="00607A1B" w:rsidP="00607A1B">
      <w:pPr>
        <w:pStyle w:val="BodyText1"/>
        <w:spacing w:line="240" w:lineRule="auto"/>
        <w:rPr>
          <w:rFonts w:ascii="Times New Roman" w:hAnsi="Times New Roman"/>
        </w:rPr>
      </w:pPr>
    </w:p>
    <w:p w:rsidR="00F4754B" w:rsidRPr="00FE002E" w:rsidRDefault="00500508" w:rsidP="00500508">
      <w:pPr>
        <w:pStyle w:val="InstructionsText2"/>
        <w:numPr>
          <w:ilvl w:val="0"/>
          <w:numId w:val="0"/>
        </w:numPr>
        <w:ind w:left="1080" w:hanging="360"/>
        <w:rPr>
          <w:rFonts w:ascii="Symbol" w:eastAsia="Times New Roman" w:hAnsi="Symbol"/>
          <w:bCs/>
          <w:szCs w:val="17"/>
        </w:rPr>
      </w:pPr>
      <w:r>
        <w:tab/>
        <w:t xml:space="preserve">de in punt </w:t>
      </w:r>
      <w:r w:rsidRPr="00CF219D">
        <w:t>10</w:t>
      </w:r>
      <w:r>
        <w:t xml:space="preserve"> bedoelde omvang van kredietderivaten is op twee opeenvolgende rapportagereferentiedata groter dan </w:t>
      </w:r>
      <w:r w:rsidRPr="00CF219D">
        <w:t>300</w:t>
      </w:r>
      <w:r>
        <w:t xml:space="preserve"> miljoen EUR;</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 xml:space="preserve">de in punt </w:t>
      </w:r>
      <w:r w:rsidRPr="00CF219D">
        <w:t>10</w:t>
      </w:r>
      <w:r>
        <w:t xml:space="preserve"> bedoelde omvang van kredietderivaten is groter dan </w:t>
      </w:r>
      <w:r w:rsidRPr="00CF219D">
        <w:t>500</w:t>
      </w:r>
      <w:r>
        <w:t xml:space="preserve"> miljoen EUR.</w:t>
      </w:r>
    </w:p>
    <w:p w:rsidR="00F4754B" w:rsidRPr="00FE002E" w:rsidRDefault="00F4754B" w:rsidP="00E5591F">
      <w:pPr>
        <w:pStyle w:val="BodyText1"/>
        <w:spacing w:line="240" w:lineRule="auto"/>
        <w:jc w:val="left"/>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CF219D">
        <w:rPr>
          <w:rFonts w:ascii="Times New Roman" w:hAnsi="Times New Roman"/>
        </w:rPr>
        <w:t>14</w:t>
      </w:r>
      <w:r>
        <w:rPr>
          <w:rFonts w:ascii="Times New Roman" w:hAnsi="Times New Roman"/>
        </w:rPr>
        <w:t>.</w:t>
      </w:r>
      <w:r>
        <w:tab/>
      </w:r>
      <w:r>
        <w:rPr>
          <w:rFonts w:ascii="Times New Roman" w:hAnsi="Times New Roman"/>
        </w:rPr>
        <w:t xml:space="preserve">De overeenkomstig punt </w:t>
      </w:r>
      <w:r w:rsidRPr="00CF219D">
        <w:rPr>
          <w:rFonts w:ascii="Times New Roman" w:hAnsi="Times New Roman"/>
        </w:rPr>
        <w:t>11</w:t>
      </w:r>
      <w:r>
        <w:rPr>
          <w:rFonts w:ascii="Times New Roman" w:hAnsi="Times New Roman"/>
        </w:rPr>
        <w:t xml:space="preserve"> door instellingen te rapporteren cellen zijn: {LR</w:t>
      </w:r>
      <w:r w:rsidRPr="00CF219D">
        <w:rPr>
          <w:rFonts w:ascii="Times New Roman" w:hAnsi="Times New Roman"/>
        </w:rPr>
        <w:t>1</w:t>
      </w:r>
      <w:r>
        <w:rPr>
          <w:rFonts w:ascii="Times New Roman" w:hAnsi="Times New Roman"/>
        </w:rPr>
        <w:t>;</w:t>
      </w:r>
      <w:r w:rsidRPr="00CF219D">
        <w:rPr>
          <w:rFonts w:ascii="Times New Roman" w:hAnsi="Times New Roman"/>
        </w:rPr>
        <w:t>010</w:t>
      </w:r>
      <w:r>
        <w:rPr>
          <w:rFonts w:ascii="Times New Roman" w:hAnsi="Times New Roman"/>
        </w:rPr>
        <w:t>;</w:t>
      </w:r>
      <w:r w:rsidRPr="00CF219D">
        <w:rPr>
          <w:rFonts w:ascii="Times New Roman" w:hAnsi="Times New Roman"/>
        </w:rPr>
        <w:t>010</w:t>
      </w:r>
      <w:r>
        <w:rPr>
          <w:rFonts w:ascii="Times New Roman" w:hAnsi="Times New Roman"/>
        </w:rPr>
        <w:t>}, {LR</w:t>
      </w:r>
      <w:r w:rsidRPr="00CF219D">
        <w:rPr>
          <w:rFonts w:ascii="Times New Roman" w:hAnsi="Times New Roman"/>
        </w:rPr>
        <w:t>1</w:t>
      </w:r>
      <w:r>
        <w:rPr>
          <w:rFonts w:ascii="Times New Roman" w:hAnsi="Times New Roman"/>
        </w:rPr>
        <w:t>;</w:t>
      </w:r>
      <w:r w:rsidRPr="00CF219D">
        <w:rPr>
          <w:rFonts w:ascii="Times New Roman" w:hAnsi="Times New Roman"/>
        </w:rPr>
        <w:t>010</w:t>
      </w:r>
      <w:r>
        <w:rPr>
          <w:rFonts w:ascii="Times New Roman" w:hAnsi="Times New Roman"/>
        </w:rPr>
        <w:t>;</w:t>
      </w:r>
      <w:r w:rsidRPr="00CF219D">
        <w:rPr>
          <w:rFonts w:ascii="Times New Roman" w:hAnsi="Times New Roman"/>
        </w:rPr>
        <w:t>020</w:t>
      </w:r>
      <w:r>
        <w:rPr>
          <w:rFonts w:ascii="Times New Roman" w:hAnsi="Times New Roman"/>
        </w:rPr>
        <w:t>}, {LR</w:t>
      </w:r>
      <w:r w:rsidRPr="00CF219D">
        <w:rPr>
          <w:rFonts w:ascii="Times New Roman" w:hAnsi="Times New Roman"/>
        </w:rPr>
        <w:t>1</w:t>
      </w:r>
      <w:r>
        <w:rPr>
          <w:rFonts w:ascii="Times New Roman" w:hAnsi="Times New Roman"/>
        </w:rPr>
        <w:t>;</w:t>
      </w:r>
      <w:r w:rsidRPr="00CF219D">
        <w:rPr>
          <w:rFonts w:ascii="Times New Roman" w:hAnsi="Times New Roman"/>
        </w:rPr>
        <w:t>010</w:t>
      </w:r>
      <w:r>
        <w:rPr>
          <w:rFonts w:ascii="Times New Roman" w:hAnsi="Times New Roman"/>
        </w:rPr>
        <w:t>;</w:t>
      </w:r>
      <w:r w:rsidRPr="00CF219D">
        <w:rPr>
          <w:rFonts w:ascii="Times New Roman" w:hAnsi="Times New Roman"/>
        </w:rPr>
        <w:t>050</w:t>
      </w:r>
      <w:r>
        <w:rPr>
          <w:rFonts w:ascii="Times New Roman" w:hAnsi="Times New Roman"/>
        </w:rPr>
        <w:t>}, {LR</w:t>
      </w:r>
      <w:r w:rsidRPr="00CF219D">
        <w:rPr>
          <w:rFonts w:ascii="Times New Roman" w:hAnsi="Times New Roman"/>
        </w:rPr>
        <w:t>1</w:t>
      </w:r>
      <w:r>
        <w:rPr>
          <w:rFonts w:ascii="Times New Roman" w:hAnsi="Times New Roman"/>
        </w:rPr>
        <w:t>;</w:t>
      </w:r>
      <w:r w:rsidRPr="00CF219D">
        <w:rPr>
          <w:rFonts w:ascii="Times New Roman" w:hAnsi="Times New Roman"/>
        </w:rPr>
        <w:t>020</w:t>
      </w:r>
      <w:r>
        <w:rPr>
          <w:rFonts w:ascii="Times New Roman" w:hAnsi="Times New Roman"/>
        </w:rPr>
        <w:t>;</w:t>
      </w:r>
      <w:r w:rsidRPr="00CF219D">
        <w:rPr>
          <w:rFonts w:ascii="Times New Roman" w:hAnsi="Times New Roman"/>
        </w:rPr>
        <w:t>010</w:t>
      </w:r>
      <w:r>
        <w:rPr>
          <w:rFonts w:ascii="Times New Roman" w:hAnsi="Times New Roman"/>
        </w:rPr>
        <w:t>}, {LR</w:t>
      </w:r>
      <w:r w:rsidRPr="00CF219D">
        <w:rPr>
          <w:rFonts w:ascii="Times New Roman" w:hAnsi="Times New Roman"/>
        </w:rPr>
        <w:t>1</w:t>
      </w:r>
      <w:r>
        <w:rPr>
          <w:rFonts w:ascii="Times New Roman" w:hAnsi="Times New Roman"/>
        </w:rPr>
        <w:t>;</w:t>
      </w:r>
      <w:r w:rsidRPr="00CF219D">
        <w:rPr>
          <w:rFonts w:ascii="Times New Roman" w:hAnsi="Times New Roman"/>
        </w:rPr>
        <w:t>020</w:t>
      </w:r>
      <w:r>
        <w:rPr>
          <w:rFonts w:ascii="Times New Roman" w:hAnsi="Times New Roman"/>
        </w:rPr>
        <w:t>;</w:t>
      </w:r>
      <w:r w:rsidRPr="00CF219D">
        <w:rPr>
          <w:rFonts w:ascii="Times New Roman" w:hAnsi="Times New Roman"/>
        </w:rPr>
        <w:t>020</w:t>
      </w:r>
      <w:r>
        <w:rPr>
          <w:rFonts w:ascii="Times New Roman" w:hAnsi="Times New Roman"/>
        </w:rPr>
        <w:t>}, {LR</w:t>
      </w:r>
      <w:r w:rsidRPr="00CF219D">
        <w:rPr>
          <w:rFonts w:ascii="Times New Roman" w:hAnsi="Times New Roman"/>
        </w:rPr>
        <w:t>1</w:t>
      </w:r>
      <w:r>
        <w:rPr>
          <w:rFonts w:ascii="Times New Roman" w:hAnsi="Times New Roman"/>
        </w:rPr>
        <w:t>;</w:t>
      </w:r>
      <w:r w:rsidRPr="00CF219D">
        <w:rPr>
          <w:rFonts w:ascii="Times New Roman" w:hAnsi="Times New Roman"/>
        </w:rPr>
        <w:t>020</w:t>
      </w:r>
      <w:r>
        <w:rPr>
          <w:rFonts w:ascii="Times New Roman" w:hAnsi="Times New Roman"/>
        </w:rPr>
        <w:t>;</w:t>
      </w:r>
      <w:r w:rsidRPr="00CF219D">
        <w:rPr>
          <w:rFonts w:ascii="Times New Roman" w:hAnsi="Times New Roman"/>
        </w:rPr>
        <w:t>050</w:t>
      </w:r>
      <w:r>
        <w:rPr>
          <w:rFonts w:ascii="Times New Roman" w:hAnsi="Times New Roman"/>
        </w:rPr>
        <w:t>}, {LR</w:t>
      </w:r>
      <w:r w:rsidRPr="00CF219D">
        <w:rPr>
          <w:rFonts w:ascii="Times New Roman" w:hAnsi="Times New Roman"/>
        </w:rPr>
        <w:t>1</w:t>
      </w:r>
      <w:r>
        <w:rPr>
          <w:rFonts w:ascii="Times New Roman" w:hAnsi="Times New Roman"/>
        </w:rPr>
        <w:t>;</w:t>
      </w:r>
      <w:r w:rsidRPr="00CF219D">
        <w:rPr>
          <w:rFonts w:ascii="Times New Roman" w:hAnsi="Times New Roman"/>
        </w:rPr>
        <w:t>030</w:t>
      </w:r>
      <w:r>
        <w:rPr>
          <w:rFonts w:ascii="Times New Roman" w:hAnsi="Times New Roman"/>
        </w:rPr>
        <w:t>;</w:t>
      </w:r>
      <w:r w:rsidRPr="00CF219D">
        <w:rPr>
          <w:rFonts w:ascii="Times New Roman" w:hAnsi="Times New Roman"/>
        </w:rPr>
        <w:t>050</w:t>
      </w:r>
      <w:r>
        <w:rPr>
          <w:rFonts w:ascii="Times New Roman" w:hAnsi="Times New Roman"/>
        </w:rPr>
        <w:t>}, {LR</w:t>
      </w:r>
      <w:r w:rsidRPr="00CF219D">
        <w:rPr>
          <w:rFonts w:ascii="Times New Roman" w:hAnsi="Times New Roman"/>
        </w:rPr>
        <w:t>1</w:t>
      </w:r>
      <w:r>
        <w:rPr>
          <w:rFonts w:ascii="Times New Roman" w:hAnsi="Times New Roman"/>
        </w:rPr>
        <w:t>;</w:t>
      </w:r>
      <w:r w:rsidRPr="00CF219D">
        <w:rPr>
          <w:rFonts w:ascii="Times New Roman" w:hAnsi="Times New Roman"/>
        </w:rPr>
        <w:t>030</w:t>
      </w:r>
      <w:r>
        <w:rPr>
          <w:rFonts w:ascii="Times New Roman" w:hAnsi="Times New Roman"/>
        </w:rPr>
        <w:t>;</w:t>
      </w:r>
      <w:r w:rsidRPr="00CF219D">
        <w:rPr>
          <w:rFonts w:ascii="Times New Roman" w:hAnsi="Times New Roman"/>
        </w:rPr>
        <w:t>070</w:t>
      </w:r>
      <w:r>
        <w:rPr>
          <w:rFonts w:ascii="Times New Roman" w:hAnsi="Times New Roman"/>
        </w:rPr>
        <w:t>}, {LR</w:t>
      </w:r>
      <w:r w:rsidRPr="00CF219D">
        <w:rPr>
          <w:rFonts w:ascii="Times New Roman" w:hAnsi="Times New Roman"/>
        </w:rPr>
        <w:t>1</w:t>
      </w:r>
      <w:r>
        <w:rPr>
          <w:rFonts w:ascii="Times New Roman" w:hAnsi="Times New Roman"/>
        </w:rPr>
        <w:t>;</w:t>
      </w:r>
      <w:r w:rsidRPr="00CF219D">
        <w:rPr>
          <w:rFonts w:ascii="Times New Roman" w:hAnsi="Times New Roman"/>
        </w:rPr>
        <w:t>040</w:t>
      </w:r>
      <w:r>
        <w:rPr>
          <w:rFonts w:ascii="Times New Roman" w:hAnsi="Times New Roman"/>
        </w:rPr>
        <w:t>;</w:t>
      </w:r>
      <w:r w:rsidRPr="00CF219D">
        <w:rPr>
          <w:rFonts w:ascii="Times New Roman" w:hAnsi="Times New Roman"/>
        </w:rPr>
        <w:t>050</w:t>
      </w:r>
      <w:r>
        <w:rPr>
          <w:rFonts w:ascii="Times New Roman" w:hAnsi="Times New Roman"/>
        </w:rPr>
        <w:t>}, {LR</w:t>
      </w:r>
      <w:r w:rsidRPr="00CF219D">
        <w:rPr>
          <w:rFonts w:ascii="Times New Roman" w:hAnsi="Times New Roman"/>
        </w:rPr>
        <w:t>1</w:t>
      </w:r>
      <w:r>
        <w:rPr>
          <w:rFonts w:ascii="Times New Roman" w:hAnsi="Times New Roman"/>
        </w:rPr>
        <w:t>;</w:t>
      </w:r>
      <w:r w:rsidRPr="00CF219D">
        <w:rPr>
          <w:rFonts w:ascii="Times New Roman" w:hAnsi="Times New Roman"/>
        </w:rPr>
        <w:t>040</w:t>
      </w:r>
      <w:r>
        <w:rPr>
          <w:rFonts w:ascii="Times New Roman" w:hAnsi="Times New Roman"/>
        </w:rPr>
        <w:t>;</w:t>
      </w:r>
      <w:r w:rsidRPr="00CF219D">
        <w:rPr>
          <w:rFonts w:ascii="Times New Roman" w:hAnsi="Times New Roman"/>
        </w:rPr>
        <w:t>070</w:t>
      </w:r>
      <w:r>
        <w:rPr>
          <w:rFonts w:ascii="Times New Roman" w:hAnsi="Times New Roman"/>
        </w:rPr>
        <w:t>}, {LR</w:t>
      </w:r>
      <w:r w:rsidRPr="00CF219D">
        <w:rPr>
          <w:rFonts w:ascii="Times New Roman" w:hAnsi="Times New Roman"/>
        </w:rPr>
        <w:t>1</w:t>
      </w:r>
      <w:r>
        <w:rPr>
          <w:rFonts w:ascii="Times New Roman" w:hAnsi="Times New Roman"/>
        </w:rPr>
        <w:t>;</w:t>
      </w:r>
      <w:r w:rsidRPr="00CF219D">
        <w:rPr>
          <w:rFonts w:ascii="Times New Roman" w:hAnsi="Times New Roman"/>
        </w:rPr>
        <w:t>050</w:t>
      </w:r>
      <w:r>
        <w:rPr>
          <w:rFonts w:ascii="Times New Roman" w:hAnsi="Times New Roman"/>
        </w:rPr>
        <w:t>;</w:t>
      </w:r>
      <w:r w:rsidRPr="00CF219D">
        <w:rPr>
          <w:rFonts w:ascii="Times New Roman" w:hAnsi="Times New Roman"/>
        </w:rPr>
        <w:t>010</w:t>
      </w:r>
      <w:r>
        <w:rPr>
          <w:rFonts w:ascii="Times New Roman" w:hAnsi="Times New Roman"/>
        </w:rPr>
        <w:t>}, {LR</w:t>
      </w:r>
      <w:r w:rsidRPr="00CF219D">
        <w:rPr>
          <w:rFonts w:ascii="Times New Roman" w:hAnsi="Times New Roman"/>
        </w:rPr>
        <w:t>1</w:t>
      </w:r>
      <w:r>
        <w:rPr>
          <w:rFonts w:ascii="Times New Roman" w:hAnsi="Times New Roman"/>
        </w:rPr>
        <w:t>;</w:t>
      </w:r>
      <w:r w:rsidRPr="00CF219D">
        <w:rPr>
          <w:rFonts w:ascii="Times New Roman" w:hAnsi="Times New Roman"/>
        </w:rPr>
        <w:t>050</w:t>
      </w:r>
      <w:r>
        <w:rPr>
          <w:rFonts w:ascii="Times New Roman" w:hAnsi="Times New Roman"/>
        </w:rPr>
        <w:t>;</w:t>
      </w:r>
      <w:r w:rsidRPr="00CF219D">
        <w:rPr>
          <w:rFonts w:ascii="Times New Roman" w:hAnsi="Times New Roman"/>
        </w:rPr>
        <w:t>020</w:t>
      </w:r>
      <w:r>
        <w:rPr>
          <w:rFonts w:ascii="Times New Roman" w:hAnsi="Times New Roman"/>
        </w:rPr>
        <w:t>}, {LR</w:t>
      </w:r>
      <w:r w:rsidRPr="00CF219D">
        <w:rPr>
          <w:rFonts w:ascii="Times New Roman" w:hAnsi="Times New Roman"/>
        </w:rPr>
        <w:t>1</w:t>
      </w:r>
      <w:r>
        <w:rPr>
          <w:rFonts w:ascii="Times New Roman" w:hAnsi="Times New Roman"/>
        </w:rPr>
        <w:t>;</w:t>
      </w:r>
      <w:r w:rsidRPr="00CF219D">
        <w:rPr>
          <w:rFonts w:ascii="Times New Roman" w:hAnsi="Times New Roman"/>
        </w:rPr>
        <w:t>050</w:t>
      </w:r>
      <w:r>
        <w:rPr>
          <w:rFonts w:ascii="Times New Roman" w:hAnsi="Times New Roman"/>
        </w:rPr>
        <w:t>;</w:t>
      </w:r>
      <w:r w:rsidRPr="00CF219D">
        <w:rPr>
          <w:rFonts w:ascii="Times New Roman" w:hAnsi="Times New Roman"/>
        </w:rPr>
        <w:t>050</w:t>
      </w:r>
      <w:r>
        <w:rPr>
          <w:rFonts w:ascii="Times New Roman" w:hAnsi="Times New Roman"/>
        </w:rPr>
        <w:t>}, {LR</w:t>
      </w:r>
      <w:r w:rsidRPr="00CF219D">
        <w:rPr>
          <w:rFonts w:ascii="Times New Roman" w:hAnsi="Times New Roman"/>
        </w:rPr>
        <w:t>1</w:t>
      </w:r>
      <w:r>
        <w:rPr>
          <w:rFonts w:ascii="Times New Roman" w:hAnsi="Times New Roman"/>
        </w:rPr>
        <w:t>;</w:t>
      </w:r>
      <w:r w:rsidRPr="00CF219D">
        <w:rPr>
          <w:rFonts w:ascii="Times New Roman" w:hAnsi="Times New Roman"/>
        </w:rPr>
        <w:t>060</w:t>
      </w:r>
      <w:r>
        <w:rPr>
          <w:rFonts w:ascii="Times New Roman" w:hAnsi="Times New Roman"/>
        </w:rPr>
        <w:t>;</w:t>
      </w:r>
      <w:r w:rsidRPr="00CF219D">
        <w:rPr>
          <w:rFonts w:ascii="Times New Roman" w:hAnsi="Times New Roman"/>
        </w:rPr>
        <w:t>010</w:t>
      </w:r>
      <w:r>
        <w:rPr>
          <w:rFonts w:ascii="Times New Roman" w:hAnsi="Times New Roman"/>
        </w:rPr>
        <w:t>}, {LR</w:t>
      </w:r>
      <w:r w:rsidRPr="00CF219D">
        <w:rPr>
          <w:rFonts w:ascii="Times New Roman" w:hAnsi="Times New Roman"/>
        </w:rPr>
        <w:t>1</w:t>
      </w:r>
      <w:r>
        <w:rPr>
          <w:rFonts w:ascii="Times New Roman" w:hAnsi="Times New Roman"/>
        </w:rPr>
        <w:t>;</w:t>
      </w:r>
      <w:r w:rsidRPr="00CF219D">
        <w:rPr>
          <w:rFonts w:ascii="Times New Roman" w:hAnsi="Times New Roman"/>
        </w:rPr>
        <w:t>060</w:t>
      </w:r>
      <w:r>
        <w:rPr>
          <w:rFonts w:ascii="Times New Roman" w:hAnsi="Times New Roman"/>
        </w:rPr>
        <w:t>;</w:t>
      </w:r>
      <w:r w:rsidRPr="00CF219D">
        <w:rPr>
          <w:rFonts w:ascii="Times New Roman" w:hAnsi="Times New Roman"/>
        </w:rPr>
        <w:t>020</w:t>
      </w:r>
      <w:r>
        <w:rPr>
          <w:rFonts w:ascii="Times New Roman" w:hAnsi="Times New Roman"/>
        </w:rPr>
        <w:t>}, {LR</w:t>
      </w:r>
      <w:r w:rsidRPr="00CF219D">
        <w:rPr>
          <w:rFonts w:ascii="Times New Roman" w:hAnsi="Times New Roman"/>
        </w:rPr>
        <w:t>1</w:t>
      </w:r>
      <w:r>
        <w:rPr>
          <w:rFonts w:ascii="Times New Roman" w:hAnsi="Times New Roman"/>
        </w:rPr>
        <w:t>;</w:t>
      </w:r>
      <w:r w:rsidRPr="00CF219D">
        <w:rPr>
          <w:rFonts w:ascii="Times New Roman" w:hAnsi="Times New Roman"/>
        </w:rPr>
        <w:t>060</w:t>
      </w:r>
      <w:r>
        <w:rPr>
          <w:rFonts w:ascii="Times New Roman" w:hAnsi="Times New Roman"/>
        </w:rPr>
        <w:t>;</w:t>
      </w:r>
      <w:r w:rsidRPr="00CF219D">
        <w:rPr>
          <w:rFonts w:ascii="Times New Roman" w:hAnsi="Times New Roman"/>
        </w:rPr>
        <w:t>050</w:t>
      </w:r>
      <w:r>
        <w:rPr>
          <w:rFonts w:ascii="Times New Roman" w:hAnsi="Times New Roman"/>
        </w:rPr>
        <w:t>} en {LR</w:t>
      </w:r>
      <w:r w:rsidRPr="00CF219D">
        <w:rPr>
          <w:rFonts w:ascii="Times New Roman" w:hAnsi="Times New Roman"/>
        </w:rPr>
        <w:t>1</w:t>
      </w:r>
      <w:r>
        <w:rPr>
          <w:rFonts w:ascii="Times New Roman" w:hAnsi="Times New Roman"/>
        </w:rPr>
        <w:t>;</w:t>
      </w:r>
      <w:r w:rsidRPr="00CF219D">
        <w:rPr>
          <w:rFonts w:ascii="Times New Roman" w:hAnsi="Times New Roman"/>
        </w:rPr>
        <w:t>060</w:t>
      </w:r>
      <w:r>
        <w:rPr>
          <w:rFonts w:ascii="Times New Roman" w:hAnsi="Times New Roman"/>
        </w:rPr>
        <w:t>;</w:t>
      </w:r>
      <w:r w:rsidRPr="00CF219D">
        <w:rPr>
          <w:rFonts w:ascii="Times New Roman" w:hAnsi="Times New Roman"/>
        </w:rPr>
        <w:t>070</w:t>
      </w:r>
      <w:r>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CF219D">
        <w:rPr>
          <w:rFonts w:ascii="Times New Roman" w:hAnsi="Times New Roman"/>
        </w:rPr>
        <w:t>15</w:t>
      </w:r>
      <w:r>
        <w:rPr>
          <w:rFonts w:ascii="Times New Roman" w:hAnsi="Times New Roman"/>
        </w:rPr>
        <w:t>.</w:t>
      </w:r>
      <w:r>
        <w:tab/>
      </w:r>
      <w:r>
        <w:rPr>
          <w:rFonts w:ascii="Times New Roman" w:hAnsi="Times New Roman"/>
        </w:rPr>
        <w:t xml:space="preserve">De overeenkomstig punt </w:t>
      </w:r>
      <w:r w:rsidRPr="00CF219D">
        <w:rPr>
          <w:rFonts w:ascii="Times New Roman" w:hAnsi="Times New Roman"/>
        </w:rPr>
        <w:t>13</w:t>
      </w:r>
      <w:r>
        <w:rPr>
          <w:rFonts w:ascii="Times New Roman" w:hAnsi="Times New Roman"/>
        </w:rPr>
        <w:t xml:space="preserve"> door instellingen te rapporteren cellen zijn: {LR</w:t>
      </w:r>
      <w:r w:rsidRPr="00CF219D">
        <w:rPr>
          <w:rFonts w:ascii="Times New Roman" w:hAnsi="Times New Roman"/>
        </w:rPr>
        <w:t>1</w:t>
      </w:r>
      <w:r>
        <w:rPr>
          <w:rFonts w:ascii="Times New Roman" w:hAnsi="Times New Roman"/>
        </w:rPr>
        <w:t>;</w:t>
      </w:r>
      <w:r w:rsidRPr="00CF219D">
        <w:rPr>
          <w:rFonts w:ascii="Times New Roman" w:hAnsi="Times New Roman"/>
        </w:rPr>
        <w:t>020</w:t>
      </w:r>
      <w:r>
        <w:rPr>
          <w:rFonts w:ascii="Times New Roman" w:hAnsi="Times New Roman"/>
        </w:rPr>
        <w:t>;</w:t>
      </w:r>
      <w:r w:rsidRPr="00CF219D">
        <w:rPr>
          <w:rFonts w:ascii="Times New Roman" w:hAnsi="Times New Roman"/>
        </w:rPr>
        <w:t>075</w:t>
      </w:r>
      <w:r>
        <w:rPr>
          <w:rFonts w:ascii="Times New Roman" w:hAnsi="Times New Roman"/>
        </w:rPr>
        <w:t>}, {LR</w:t>
      </w:r>
      <w:r w:rsidRPr="00CF219D">
        <w:rPr>
          <w:rFonts w:ascii="Times New Roman" w:hAnsi="Times New Roman"/>
        </w:rPr>
        <w:t>1</w:t>
      </w:r>
      <w:r>
        <w:rPr>
          <w:rFonts w:ascii="Times New Roman" w:hAnsi="Times New Roman"/>
        </w:rPr>
        <w:t>;</w:t>
      </w:r>
      <w:r w:rsidRPr="00CF219D">
        <w:rPr>
          <w:rFonts w:ascii="Times New Roman" w:hAnsi="Times New Roman"/>
        </w:rPr>
        <w:t>050</w:t>
      </w:r>
      <w:r>
        <w:rPr>
          <w:rFonts w:ascii="Times New Roman" w:hAnsi="Times New Roman"/>
        </w:rPr>
        <w:t>;</w:t>
      </w:r>
      <w:r w:rsidRPr="00CF219D">
        <w:rPr>
          <w:rFonts w:ascii="Times New Roman" w:hAnsi="Times New Roman"/>
        </w:rPr>
        <w:t>075</w:t>
      </w:r>
      <w:r>
        <w:rPr>
          <w:rFonts w:ascii="Times New Roman" w:hAnsi="Times New Roman"/>
        </w:rPr>
        <w:t>} en {LR</w:t>
      </w:r>
      <w:r w:rsidRPr="00CF219D">
        <w:rPr>
          <w:rFonts w:ascii="Times New Roman" w:hAnsi="Times New Roman"/>
        </w:rPr>
        <w:t>1</w:t>
      </w:r>
      <w:r>
        <w:rPr>
          <w:rFonts w:ascii="Times New Roman" w:hAnsi="Times New Roman"/>
        </w:rPr>
        <w:t>;</w:t>
      </w:r>
      <w:r w:rsidRPr="00CF219D">
        <w:rPr>
          <w:rFonts w:ascii="Times New Roman" w:hAnsi="Times New Roman"/>
        </w:rPr>
        <w:t>050</w:t>
      </w:r>
      <w:r>
        <w:rPr>
          <w:rFonts w:ascii="Times New Roman" w:hAnsi="Times New Roman"/>
        </w:rPr>
        <w:t>;</w:t>
      </w:r>
      <w:r w:rsidRPr="00CF219D">
        <w:rPr>
          <w:rFonts w:ascii="Times New Roman" w:hAnsi="Times New Roman"/>
        </w:rPr>
        <w:t>085</w:t>
      </w:r>
      <w:r>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C2664" w:rsidRPr="00FE002E" w:rsidRDefault="00FC2664" w:rsidP="007E2A41">
      <w:pPr>
        <w:pStyle w:val="BodyText1"/>
        <w:spacing w:line="240" w:lineRule="auto"/>
        <w:rPr>
          <w:rFonts w:ascii="Times New Roman" w:hAnsi="Times New Roman"/>
          <w:b/>
        </w:rPr>
      </w:pPr>
      <w:bookmarkStart w:id="52" w:name="_Toc351048506"/>
      <w:bookmarkStart w:id="53" w:name="_Toc322687879"/>
      <w:bookmarkStart w:id="54" w:name="_Toc315961853"/>
      <w:bookmarkEnd w:id="51"/>
    </w:p>
    <w:p w:rsidR="00217D1F" w:rsidRPr="00FE002E" w:rsidRDefault="00500508" w:rsidP="00500508">
      <w:pPr>
        <w:pStyle w:val="BodyText1"/>
        <w:ind w:left="357" w:hanging="357"/>
        <w:outlineLvl w:val="1"/>
        <w:rPr>
          <w:rFonts w:ascii="Times New Roman" w:hAnsi="Times New Roman"/>
          <w:b/>
        </w:rPr>
      </w:pPr>
      <w:bookmarkStart w:id="55" w:name="_Toc359414285"/>
      <w:bookmarkStart w:id="56" w:name="_Toc423089070"/>
      <w:bookmarkStart w:id="57" w:name="_Toc522780000"/>
      <w:r w:rsidRPr="00CF219D">
        <w:rPr>
          <w:rFonts w:ascii="Times New Roman" w:hAnsi="Times New Roman"/>
          <w:b/>
        </w:rPr>
        <w:t>4</w:t>
      </w:r>
      <w:r>
        <w:rPr>
          <w:rFonts w:ascii="Times New Roman" w:hAnsi="Times New Roman"/>
          <w:b/>
        </w:rPr>
        <w:t>.</w:t>
      </w:r>
      <w:r>
        <w:tab/>
      </w:r>
      <w:r>
        <w:rPr>
          <w:rFonts w:ascii="Times New Roman" w:hAnsi="Times New Roman"/>
          <w:b/>
        </w:rPr>
        <w:t xml:space="preserve">C </w:t>
      </w:r>
      <w:r w:rsidRPr="00CF219D">
        <w:rPr>
          <w:rFonts w:ascii="Times New Roman" w:hAnsi="Times New Roman"/>
          <w:b/>
        </w:rPr>
        <w:t>47</w:t>
      </w:r>
      <w:r>
        <w:rPr>
          <w:rFonts w:ascii="Times New Roman" w:hAnsi="Times New Roman"/>
          <w:b/>
        </w:rPr>
        <w:t>.</w:t>
      </w:r>
      <w:r w:rsidRPr="00CF219D">
        <w:rPr>
          <w:rFonts w:ascii="Times New Roman" w:hAnsi="Times New Roman"/>
          <w:b/>
        </w:rPr>
        <w:t>00</w:t>
      </w:r>
      <w:r>
        <w:rPr>
          <w:rFonts w:ascii="Times New Roman" w:hAnsi="Times New Roman"/>
          <w:b/>
        </w:rPr>
        <w:t xml:space="preserve"> – Hefboomratioberekening</w:t>
      </w:r>
      <w:bookmarkEnd w:id="52"/>
      <w:bookmarkEnd w:id="55"/>
      <w:r>
        <w:rPr>
          <w:rFonts w:ascii="Times New Roman" w:hAnsi="Times New Roman"/>
          <w:b/>
        </w:rPr>
        <w:t xml:space="preserve"> (LRCalc)</w:t>
      </w:r>
      <w:bookmarkEnd w:id="56"/>
      <w:bookmarkEnd w:id="57"/>
    </w:p>
    <w:p w:rsidR="00F4754B" w:rsidRDefault="00F4754B" w:rsidP="00F4754B">
      <w:pPr>
        <w:pStyle w:val="BodyText1"/>
        <w:rPr>
          <w:rFonts w:ascii="Times New Roman" w:hAnsi="Times New Roman"/>
        </w:rPr>
      </w:pPr>
    </w:p>
    <w:p w:rsidR="00AE2798" w:rsidRPr="00FE002E" w:rsidRDefault="00AE2798" w:rsidP="00AE2798">
      <w:pPr>
        <w:pStyle w:val="BodyText1"/>
        <w:spacing w:line="240" w:lineRule="auto"/>
        <w:rPr>
          <w:rFonts w:ascii="Times New Roman" w:hAnsi="Times New Roman"/>
        </w:rPr>
      </w:pPr>
    </w:p>
    <w:p w:rsidR="00AE2798" w:rsidRPr="00FE002E" w:rsidRDefault="00500508" w:rsidP="00500508">
      <w:pPr>
        <w:pStyle w:val="BodyText1"/>
        <w:spacing w:line="240" w:lineRule="auto"/>
        <w:ind w:left="720" w:hanging="360"/>
        <w:rPr>
          <w:rFonts w:ascii="Times New Roman" w:hAnsi="Times New Roman"/>
        </w:rPr>
      </w:pPr>
      <w:r w:rsidRPr="00CF219D">
        <w:rPr>
          <w:rFonts w:ascii="Times New Roman" w:hAnsi="Times New Roman"/>
        </w:rPr>
        <w:t>16</w:t>
      </w:r>
      <w:r>
        <w:rPr>
          <w:rFonts w:ascii="Times New Roman" w:hAnsi="Times New Roman"/>
        </w:rPr>
        <w:t>.</w:t>
      </w:r>
      <w:r>
        <w:tab/>
      </w:r>
      <w:r>
        <w:rPr>
          <w:rFonts w:ascii="Times New Roman" w:hAnsi="Times New Roman"/>
        </w:rPr>
        <w:t>In dit deel van de rapportagetemplate worden de gegevens verzameld die nodig zijn om de in de artikelen </w:t>
      </w:r>
      <w:r w:rsidRPr="00CF219D">
        <w:rPr>
          <w:rFonts w:ascii="Times New Roman" w:hAnsi="Times New Roman"/>
        </w:rPr>
        <w:t>429</w:t>
      </w:r>
      <w:r>
        <w:rPr>
          <w:rFonts w:ascii="Times New Roman" w:hAnsi="Times New Roman"/>
        </w:rPr>
        <w:t xml:space="preserve">, </w:t>
      </w:r>
      <w:r w:rsidRPr="00CF219D">
        <w:rPr>
          <w:rFonts w:ascii="Times New Roman" w:hAnsi="Times New Roman"/>
        </w:rPr>
        <w:t>429</w:t>
      </w:r>
      <w:r>
        <w:rPr>
          <w:rFonts w:ascii="Times New Roman" w:hAnsi="Times New Roman"/>
        </w:rPr>
        <w:t xml:space="preserve"> bis en </w:t>
      </w:r>
      <w:r w:rsidRPr="00CF219D">
        <w:rPr>
          <w:rFonts w:ascii="Times New Roman" w:hAnsi="Times New Roman"/>
        </w:rPr>
        <w:t>429</w:t>
      </w:r>
      <w:r>
        <w:rPr>
          <w:rFonts w:ascii="Times New Roman" w:hAnsi="Times New Roman"/>
        </w:rPr>
        <w:t xml:space="preserve"> ter van de VKV omschreven hefboomratio te berekenen. </w:t>
      </w:r>
    </w:p>
    <w:p w:rsidR="00AE2798" w:rsidRPr="00FE002E" w:rsidRDefault="00AE2798" w:rsidP="00AE2798">
      <w:pPr>
        <w:pStyle w:val="BodyText1"/>
        <w:spacing w:line="240" w:lineRule="auto"/>
        <w:rPr>
          <w:rFonts w:ascii="Times New Roman" w:hAnsi="Times New Roman"/>
        </w:rPr>
      </w:pPr>
    </w:p>
    <w:p w:rsidR="00AE2798" w:rsidRDefault="00500508" w:rsidP="00500508">
      <w:pPr>
        <w:pStyle w:val="BodyText1"/>
        <w:spacing w:line="240" w:lineRule="auto"/>
        <w:ind w:left="720" w:hanging="360"/>
        <w:rPr>
          <w:rFonts w:ascii="Times New Roman" w:hAnsi="Times New Roman"/>
        </w:rPr>
      </w:pPr>
      <w:r w:rsidRPr="00CF219D">
        <w:rPr>
          <w:rFonts w:ascii="Times New Roman" w:hAnsi="Times New Roman"/>
        </w:rPr>
        <w:t>17</w:t>
      </w:r>
      <w:r>
        <w:rPr>
          <w:rFonts w:ascii="Times New Roman" w:hAnsi="Times New Roman"/>
        </w:rPr>
        <w:t>.</w:t>
      </w:r>
      <w:r>
        <w:tab/>
      </w:r>
      <w:r>
        <w:rPr>
          <w:rFonts w:ascii="Times New Roman" w:hAnsi="Times New Roman"/>
        </w:rPr>
        <w:t>Instellingen rapporteren over de hefboomratio op kwartaalbasis. In elk kwartaal is de waarde "op de rapportagereferentiedatum" de waarde op de laatste kalenderdag van de derde maand van het desbetreffende kwartaal.</w:t>
      </w:r>
    </w:p>
    <w:p w:rsidR="00C151ED" w:rsidRDefault="00C151ED" w:rsidP="00FD2C06">
      <w:pPr>
        <w:pStyle w:val="BodyText1"/>
        <w:spacing w:line="240" w:lineRule="auto"/>
        <w:ind w:left="720"/>
        <w:rPr>
          <w:rFonts w:ascii="Times New Roman" w:hAnsi="Times New Roman"/>
        </w:rPr>
      </w:pPr>
    </w:p>
    <w:p w:rsidR="00B011A0" w:rsidRPr="00FE002E" w:rsidRDefault="00500508" w:rsidP="00500508">
      <w:pPr>
        <w:pStyle w:val="BodyText1"/>
        <w:spacing w:line="240" w:lineRule="auto"/>
        <w:ind w:left="720" w:hanging="360"/>
        <w:rPr>
          <w:rFonts w:ascii="Times New Roman" w:hAnsi="Times New Roman"/>
        </w:rPr>
      </w:pPr>
      <w:r w:rsidRPr="00CF219D">
        <w:rPr>
          <w:rFonts w:ascii="Times New Roman" w:hAnsi="Times New Roman"/>
        </w:rPr>
        <w:t>18</w:t>
      </w:r>
      <w:r>
        <w:rPr>
          <w:rFonts w:ascii="Times New Roman" w:hAnsi="Times New Roman"/>
        </w:rPr>
        <w:t>.</w:t>
      </w:r>
      <w:r>
        <w:tab/>
      </w:r>
      <w:r>
        <w:rPr>
          <w:rFonts w:ascii="Times New Roman" w:hAnsi="Times New Roman"/>
        </w:rPr>
        <w:t>Instellingen rapporteren {</w:t>
      </w:r>
      <w:r w:rsidRPr="00CF219D">
        <w:rPr>
          <w:rFonts w:ascii="Times New Roman" w:hAnsi="Times New Roman"/>
        </w:rPr>
        <w:t>010</w:t>
      </w:r>
      <w:r>
        <w:rPr>
          <w:rFonts w:ascii="Times New Roman" w:hAnsi="Times New Roman"/>
        </w:rPr>
        <w:t>;</w:t>
      </w:r>
      <w:r w:rsidRPr="00CF219D">
        <w:rPr>
          <w:rFonts w:ascii="Times New Roman" w:hAnsi="Times New Roman"/>
        </w:rPr>
        <w:t>010</w:t>
      </w:r>
      <w:r>
        <w:rPr>
          <w:rFonts w:ascii="Times New Roman" w:hAnsi="Times New Roman"/>
        </w:rPr>
        <w:t>} tot en met {</w:t>
      </w:r>
      <w:r w:rsidRPr="00CF219D">
        <w:rPr>
          <w:rFonts w:ascii="Times New Roman" w:hAnsi="Times New Roman"/>
        </w:rPr>
        <w:t>030</w:t>
      </w:r>
      <w:r>
        <w:rPr>
          <w:rFonts w:ascii="Times New Roman" w:hAnsi="Times New Roman"/>
        </w:rPr>
        <w:t>;</w:t>
      </w:r>
      <w:r w:rsidRPr="00CF219D">
        <w:rPr>
          <w:rFonts w:ascii="Times New Roman" w:hAnsi="Times New Roman"/>
        </w:rPr>
        <w:t>010</w:t>
      </w:r>
      <w:r>
        <w:rPr>
          <w:rFonts w:ascii="Times New Roman" w:hAnsi="Times New Roman"/>
        </w:rPr>
        <w:t>}, {</w:t>
      </w:r>
      <w:r w:rsidRPr="00CF219D">
        <w:rPr>
          <w:rFonts w:ascii="Times New Roman" w:hAnsi="Times New Roman"/>
        </w:rPr>
        <w:t>060</w:t>
      </w:r>
      <w:r>
        <w:rPr>
          <w:rFonts w:ascii="Times New Roman" w:hAnsi="Times New Roman"/>
        </w:rPr>
        <w:t>;</w:t>
      </w:r>
      <w:r w:rsidRPr="00CF219D">
        <w:rPr>
          <w:rFonts w:ascii="Times New Roman" w:hAnsi="Times New Roman"/>
        </w:rPr>
        <w:t>010</w:t>
      </w:r>
      <w:r>
        <w:rPr>
          <w:rFonts w:ascii="Times New Roman" w:hAnsi="Times New Roman"/>
        </w:rPr>
        <w:t>}, {</w:t>
      </w:r>
      <w:r w:rsidRPr="00CF219D">
        <w:rPr>
          <w:rFonts w:ascii="Times New Roman" w:hAnsi="Times New Roman"/>
        </w:rPr>
        <w:t>090</w:t>
      </w:r>
      <w:r>
        <w:rPr>
          <w:rFonts w:ascii="Times New Roman" w:hAnsi="Times New Roman"/>
        </w:rPr>
        <w:t>;</w:t>
      </w:r>
      <w:r w:rsidRPr="00CF219D">
        <w:rPr>
          <w:rFonts w:ascii="Times New Roman" w:hAnsi="Times New Roman"/>
        </w:rPr>
        <w:t>010</w:t>
      </w:r>
      <w:r>
        <w:rPr>
          <w:rFonts w:ascii="Times New Roman" w:hAnsi="Times New Roman"/>
        </w:rPr>
        <w:t>}, {</w:t>
      </w:r>
      <w:r w:rsidRPr="00CF219D">
        <w:rPr>
          <w:rFonts w:ascii="Times New Roman" w:hAnsi="Times New Roman"/>
        </w:rPr>
        <w:t>110</w:t>
      </w:r>
      <w:r>
        <w:rPr>
          <w:rFonts w:ascii="Times New Roman" w:hAnsi="Times New Roman"/>
        </w:rPr>
        <w:t>;</w:t>
      </w:r>
      <w:r w:rsidRPr="00CF219D">
        <w:rPr>
          <w:rFonts w:ascii="Times New Roman" w:hAnsi="Times New Roman"/>
        </w:rPr>
        <w:t>010</w:t>
      </w:r>
      <w:r>
        <w:rPr>
          <w:rFonts w:ascii="Times New Roman" w:hAnsi="Times New Roman"/>
        </w:rPr>
        <w:t>} en {</w:t>
      </w:r>
      <w:r w:rsidRPr="00CF219D">
        <w:rPr>
          <w:rFonts w:ascii="Times New Roman" w:hAnsi="Times New Roman"/>
        </w:rPr>
        <w:t>150</w:t>
      </w:r>
      <w:r>
        <w:rPr>
          <w:rFonts w:ascii="Times New Roman" w:hAnsi="Times New Roman"/>
        </w:rPr>
        <w:t>;</w:t>
      </w:r>
      <w:r w:rsidRPr="00CF219D">
        <w:rPr>
          <w:rFonts w:ascii="Times New Roman" w:hAnsi="Times New Roman"/>
        </w:rPr>
        <w:t>010</w:t>
      </w:r>
      <w:r>
        <w:rPr>
          <w:rFonts w:ascii="Times New Roman" w:hAnsi="Times New Roman"/>
        </w:rPr>
        <w:t>} tot en met {</w:t>
      </w:r>
      <w:r w:rsidRPr="00CF219D">
        <w:rPr>
          <w:rFonts w:ascii="Times New Roman" w:hAnsi="Times New Roman"/>
        </w:rPr>
        <w:t>190</w:t>
      </w:r>
      <w:r>
        <w:rPr>
          <w:rFonts w:ascii="Times New Roman" w:hAnsi="Times New Roman"/>
        </w:rPr>
        <w:t>;</w:t>
      </w:r>
      <w:r w:rsidRPr="00CF219D">
        <w:rPr>
          <w:rFonts w:ascii="Times New Roman" w:hAnsi="Times New Roman"/>
        </w:rPr>
        <w:t>010</w:t>
      </w:r>
      <w:r>
        <w:rPr>
          <w:rFonts w:ascii="Times New Roman" w:hAnsi="Times New Roman"/>
        </w:rPr>
        <w:t>} alsof de in {</w:t>
      </w:r>
      <w:r w:rsidRPr="00CF219D">
        <w:rPr>
          <w:rFonts w:ascii="Times New Roman" w:hAnsi="Times New Roman"/>
        </w:rPr>
        <w:t>050</w:t>
      </w:r>
      <w:r>
        <w:rPr>
          <w:rFonts w:ascii="Times New Roman" w:hAnsi="Times New Roman"/>
        </w:rPr>
        <w:t>;</w:t>
      </w:r>
      <w:r w:rsidRPr="00CF219D">
        <w:rPr>
          <w:rFonts w:ascii="Times New Roman" w:hAnsi="Times New Roman"/>
        </w:rPr>
        <w:t>010</w:t>
      </w:r>
      <w:r>
        <w:rPr>
          <w:rFonts w:ascii="Times New Roman" w:hAnsi="Times New Roman"/>
        </w:rPr>
        <w:t>}, {</w:t>
      </w:r>
      <w:r w:rsidRPr="00CF219D">
        <w:rPr>
          <w:rFonts w:ascii="Times New Roman" w:hAnsi="Times New Roman"/>
        </w:rPr>
        <w:t>080</w:t>
      </w:r>
      <w:r>
        <w:rPr>
          <w:rFonts w:ascii="Times New Roman" w:hAnsi="Times New Roman"/>
        </w:rPr>
        <w:t>;</w:t>
      </w:r>
      <w:r w:rsidRPr="00CF219D">
        <w:rPr>
          <w:rFonts w:ascii="Times New Roman" w:hAnsi="Times New Roman"/>
        </w:rPr>
        <w:t>010</w:t>
      </w:r>
      <w:r>
        <w:rPr>
          <w:rFonts w:ascii="Times New Roman" w:hAnsi="Times New Roman"/>
        </w:rPr>
        <w:t>}, {</w:t>
      </w:r>
      <w:r w:rsidRPr="00CF219D">
        <w:rPr>
          <w:rFonts w:ascii="Times New Roman" w:hAnsi="Times New Roman"/>
        </w:rPr>
        <w:t>100</w:t>
      </w:r>
      <w:r>
        <w:rPr>
          <w:rFonts w:ascii="Times New Roman" w:hAnsi="Times New Roman"/>
        </w:rPr>
        <w:t>;</w:t>
      </w:r>
      <w:r w:rsidRPr="00CF219D">
        <w:rPr>
          <w:rFonts w:ascii="Times New Roman" w:hAnsi="Times New Roman"/>
        </w:rPr>
        <w:t>010</w:t>
      </w:r>
      <w:r>
        <w:rPr>
          <w:rFonts w:ascii="Times New Roman" w:hAnsi="Times New Roman"/>
        </w:rPr>
        <w:t>}, {</w:t>
      </w:r>
      <w:r w:rsidRPr="00CF219D">
        <w:rPr>
          <w:rFonts w:ascii="Times New Roman" w:hAnsi="Times New Roman"/>
        </w:rPr>
        <w:t>120</w:t>
      </w:r>
      <w:r>
        <w:rPr>
          <w:rFonts w:ascii="Times New Roman" w:hAnsi="Times New Roman"/>
        </w:rPr>
        <w:t>;</w:t>
      </w:r>
      <w:r w:rsidRPr="00CF219D">
        <w:rPr>
          <w:rFonts w:ascii="Times New Roman" w:hAnsi="Times New Roman"/>
        </w:rPr>
        <w:t>010</w:t>
      </w:r>
      <w:r>
        <w:rPr>
          <w:rFonts w:ascii="Times New Roman" w:hAnsi="Times New Roman"/>
        </w:rPr>
        <w:t>} en {</w:t>
      </w:r>
      <w:r w:rsidRPr="00CF219D">
        <w:rPr>
          <w:rFonts w:ascii="Times New Roman" w:hAnsi="Times New Roman"/>
        </w:rPr>
        <w:t>220</w:t>
      </w:r>
      <w:r>
        <w:rPr>
          <w:rFonts w:ascii="Times New Roman" w:hAnsi="Times New Roman"/>
        </w:rPr>
        <w:t>;</w:t>
      </w:r>
      <w:r w:rsidRPr="00CF219D">
        <w:rPr>
          <w:rFonts w:ascii="Times New Roman" w:hAnsi="Times New Roman"/>
        </w:rPr>
        <w:t>010</w:t>
      </w:r>
      <w:r>
        <w:rPr>
          <w:rFonts w:ascii="Times New Roman" w:hAnsi="Times New Roman"/>
        </w:rPr>
        <w:t>} bedoelde uitsluitingen niet van toepassing zijn.</w:t>
      </w:r>
    </w:p>
    <w:p w:rsidR="00F36D5B" w:rsidRDefault="00F36D5B" w:rsidP="00FD2C06">
      <w:pPr>
        <w:pStyle w:val="BodyText1"/>
        <w:spacing w:line="240" w:lineRule="auto"/>
        <w:ind w:left="720"/>
        <w:rPr>
          <w:rFonts w:ascii="Times New Roman" w:hAnsi="Times New Roman"/>
        </w:rPr>
      </w:pPr>
    </w:p>
    <w:p w:rsidR="00F36D5B" w:rsidRDefault="00500508" w:rsidP="00500508">
      <w:pPr>
        <w:pStyle w:val="BodyText1"/>
        <w:spacing w:line="240" w:lineRule="auto"/>
        <w:ind w:left="720" w:hanging="360"/>
        <w:rPr>
          <w:rFonts w:ascii="Times New Roman" w:hAnsi="Times New Roman"/>
        </w:rPr>
      </w:pPr>
      <w:r w:rsidRPr="00CF219D">
        <w:rPr>
          <w:rFonts w:ascii="Times New Roman" w:hAnsi="Times New Roman"/>
        </w:rPr>
        <w:t>19</w:t>
      </w:r>
      <w:r>
        <w:rPr>
          <w:rFonts w:ascii="Times New Roman" w:hAnsi="Times New Roman"/>
        </w:rPr>
        <w:t>.</w:t>
      </w:r>
      <w:r>
        <w:tab/>
      </w:r>
      <w:r>
        <w:rPr>
          <w:rFonts w:ascii="Times New Roman" w:hAnsi="Times New Roman"/>
        </w:rPr>
        <w:t>Instellingen rapporteren {</w:t>
      </w:r>
      <w:r w:rsidRPr="00CF219D">
        <w:rPr>
          <w:rFonts w:ascii="Times New Roman" w:hAnsi="Times New Roman"/>
        </w:rPr>
        <w:t>010</w:t>
      </w:r>
      <w:r>
        <w:rPr>
          <w:rFonts w:ascii="Times New Roman" w:hAnsi="Times New Roman"/>
        </w:rPr>
        <w:t>;</w:t>
      </w:r>
      <w:r w:rsidRPr="00CF219D">
        <w:rPr>
          <w:rFonts w:ascii="Times New Roman" w:hAnsi="Times New Roman"/>
        </w:rPr>
        <w:t>010</w:t>
      </w:r>
      <w:r>
        <w:rPr>
          <w:rFonts w:ascii="Times New Roman" w:hAnsi="Times New Roman"/>
        </w:rPr>
        <w:t>} tot en met {</w:t>
      </w:r>
      <w:r w:rsidRPr="00CF219D">
        <w:rPr>
          <w:rFonts w:ascii="Times New Roman" w:hAnsi="Times New Roman"/>
        </w:rPr>
        <w:t>240</w:t>
      </w:r>
      <w:r>
        <w:rPr>
          <w:rFonts w:ascii="Times New Roman" w:hAnsi="Times New Roman"/>
        </w:rPr>
        <w:t>;</w:t>
      </w:r>
      <w:r w:rsidRPr="00CF219D">
        <w:rPr>
          <w:rFonts w:ascii="Times New Roman" w:hAnsi="Times New Roman"/>
        </w:rPr>
        <w:t>010</w:t>
      </w:r>
      <w:r>
        <w:rPr>
          <w:rFonts w:ascii="Times New Roman" w:hAnsi="Times New Roman"/>
        </w:rPr>
        <w:t>} alsof de in {</w:t>
      </w:r>
      <w:r w:rsidRPr="00CF219D">
        <w:rPr>
          <w:rFonts w:ascii="Times New Roman" w:hAnsi="Times New Roman"/>
        </w:rPr>
        <w:t>250</w:t>
      </w:r>
      <w:r>
        <w:rPr>
          <w:rFonts w:ascii="Times New Roman" w:hAnsi="Times New Roman"/>
        </w:rPr>
        <w:t>;</w:t>
      </w:r>
      <w:r w:rsidRPr="00CF219D">
        <w:rPr>
          <w:rFonts w:ascii="Times New Roman" w:hAnsi="Times New Roman"/>
        </w:rPr>
        <w:t>010</w:t>
      </w:r>
      <w:r>
        <w:rPr>
          <w:rFonts w:ascii="Times New Roman" w:hAnsi="Times New Roman"/>
        </w:rPr>
        <w:t>} en {</w:t>
      </w:r>
      <w:r w:rsidRPr="00CF219D">
        <w:rPr>
          <w:rFonts w:ascii="Times New Roman" w:hAnsi="Times New Roman"/>
        </w:rPr>
        <w:t>260</w:t>
      </w:r>
      <w:r>
        <w:rPr>
          <w:rFonts w:ascii="Times New Roman" w:hAnsi="Times New Roman"/>
        </w:rPr>
        <w:t>;</w:t>
      </w:r>
      <w:r w:rsidRPr="00CF219D">
        <w:rPr>
          <w:rFonts w:ascii="Times New Roman" w:hAnsi="Times New Roman"/>
        </w:rPr>
        <w:t>010</w:t>
      </w:r>
      <w:r>
        <w:rPr>
          <w:rFonts w:ascii="Times New Roman" w:hAnsi="Times New Roman"/>
        </w:rPr>
        <w:t>} bedoelde uitsluitingen niet van toepassing zijn.</w:t>
      </w:r>
    </w:p>
    <w:p w:rsidR="00720503" w:rsidRDefault="00720503" w:rsidP="00FD2C06">
      <w:pPr>
        <w:pStyle w:val="ListParagraph"/>
        <w:rPr>
          <w:rFonts w:ascii="Times New Roman" w:hAnsi="Times New Roman"/>
        </w:rPr>
      </w:pPr>
    </w:p>
    <w:p w:rsidR="00720503" w:rsidRPr="00B811B0" w:rsidRDefault="00500508" w:rsidP="00500508">
      <w:pPr>
        <w:pStyle w:val="InstructionsText2"/>
        <w:numPr>
          <w:ilvl w:val="0"/>
          <w:numId w:val="0"/>
        </w:numPr>
        <w:ind w:left="720" w:hanging="360"/>
      </w:pPr>
      <w:r w:rsidRPr="00CF219D">
        <w:t>20</w:t>
      </w:r>
      <w:r>
        <w:t>.</w:t>
      </w:r>
      <w:r>
        <w:tab/>
        <w:t>Elk bedrag dat het eigen vermogen of de blootstelling voor de berekening van de hefboomratio doet stijgen, wordt als een positieve waarde gerapporteerd. Elk bedrag dat het totale eigen vermogen of de blootstelling voor de berekening van de hefboomratio doet dalen, wordt daarentegen als een negatieve waarde gerapporteerd. Als er een minteken (-) voor het label van een post staat, wordt er voor die post geen positieve waarde verwacht.</w:t>
      </w:r>
    </w:p>
    <w:p w:rsidR="00720503" w:rsidRPr="00FE002E" w:rsidRDefault="00720503" w:rsidP="00FD2C06">
      <w:pPr>
        <w:pStyle w:val="BodyText1"/>
        <w:spacing w:line="240" w:lineRule="auto"/>
        <w:ind w:left="720"/>
        <w:rPr>
          <w:rFonts w:ascii="Times New Roman" w:hAnsi="Times New Roman"/>
        </w:rPr>
      </w:pPr>
    </w:p>
    <w:p w:rsidR="00AE2798" w:rsidRPr="00FE002E" w:rsidRDefault="00AE2798" w:rsidP="00AE2798">
      <w:pPr>
        <w:pStyle w:val="BodyText1"/>
        <w:rPr>
          <w:rFonts w:ascii="Times New Roman" w:hAnsi="Times New Roman"/>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FE002E" w:rsidTr="00FE0FF1">
        <w:trPr>
          <w:trHeight w:val="304"/>
        </w:trPr>
        <w:tc>
          <w:tcPr>
            <w:tcW w:w="1418" w:type="dxa"/>
            <w:shd w:val="clear" w:color="auto" w:fill="D9D9D9"/>
          </w:tcPr>
          <w:p w:rsidR="00AE2798" w:rsidRPr="00FE002E" w:rsidRDefault="00AE2798" w:rsidP="00FE0FF1">
            <w:pPr>
              <w:pStyle w:val="BodyText1"/>
              <w:rPr>
                <w:rFonts w:ascii="Times New Roman" w:hAnsi="Times New Roman"/>
              </w:rPr>
            </w:pPr>
          </w:p>
        </w:tc>
        <w:tc>
          <w:tcPr>
            <w:tcW w:w="7590" w:type="dxa"/>
            <w:shd w:val="clear" w:color="auto" w:fill="D9D9D9"/>
          </w:tcPr>
          <w:p w:rsidR="00AE2798" w:rsidRPr="00FE002E" w:rsidRDefault="00AE2798" w:rsidP="00FE0FF1">
            <w:pPr>
              <w:pStyle w:val="BodyText1"/>
              <w:rPr>
                <w:rFonts w:ascii="Times New Roman" w:hAnsi="Times New Roman"/>
                <w:bCs/>
                <w:u w:val="single"/>
              </w:rPr>
            </w:pPr>
            <w:r>
              <w:rPr>
                <w:rFonts w:ascii="Times New Roman" w:hAnsi="Times New Roman"/>
              </w:rPr>
              <w:t>Verwijzingen naar wetgeving en instructies</w:t>
            </w:r>
          </w:p>
        </w:tc>
      </w:tr>
      <w:tr w:rsidR="00AE2798" w:rsidRPr="00FE002E" w:rsidTr="00FE0FF1">
        <w:trPr>
          <w:trHeight w:val="304"/>
        </w:trPr>
        <w:tc>
          <w:tcPr>
            <w:tcW w:w="1418" w:type="dxa"/>
            <w:shd w:val="clear" w:color="auto" w:fill="D9D9D9"/>
          </w:tcPr>
          <w:p w:rsidR="00AE2798" w:rsidRPr="00FE002E" w:rsidRDefault="00AE2798" w:rsidP="00500508">
            <w:pPr>
              <w:pStyle w:val="BodyText1"/>
              <w:rPr>
                <w:rFonts w:ascii="Times New Roman" w:hAnsi="Times New Roman"/>
                <w:b/>
              </w:rPr>
            </w:pPr>
            <w:r>
              <w:rPr>
                <w:rFonts w:ascii="Times New Roman" w:hAnsi="Times New Roman"/>
                <w:b/>
              </w:rPr>
              <w:t>Rij en kolom</w:t>
            </w:r>
          </w:p>
        </w:tc>
        <w:tc>
          <w:tcPr>
            <w:tcW w:w="7590" w:type="dxa"/>
            <w:shd w:val="clear" w:color="auto" w:fill="D9D9D9"/>
          </w:tcPr>
          <w:p w:rsidR="00AE2798" w:rsidRPr="00FE002E" w:rsidRDefault="00AE2798" w:rsidP="00FE0FF1">
            <w:pPr>
              <w:pStyle w:val="BodyText1"/>
              <w:rPr>
                <w:rFonts w:ascii="Times New Roman" w:hAnsi="Times New Roman"/>
                <w:b/>
                <w:bCs/>
              </w:rPr>
            </w:pPr>
            <w:r>
              <w:rPr>
                <w:rFonts w:ascii="Times New Roman" w:hAnsi="Times New Roman"/>
                <w:b/>
              </w:rPr>
              <w:t>Blootstellingswaarden</w:t>
            </w: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w:t>
            </w:r>
            <w:r w:rsidRPr="00CF219D">
              <w:rPr>
                <w:rFonts w:ascii="Times New Roman" w:hAnsi="Times New Roman"/>
              </w:rPr>
              <w:t>010</w:t>
            </w:r>
            <w:r>
              <w:rPr>
                <w:rFonts w:ascii="Times New Roman" w:hAnsi="Times New Roman"/>
              </w:rPr>
              <w:t>;</w:t>
            </w:r>
            <w:r w:rsidRPr="00CF219D">
              <w:rPr>
                <w:rFonts w:ascii="Times New Roman" w:hAnsi="Times New Roman"/>
              </w:rPr>
              <w:t>010</w:t>
            </w:r>
            <w:r>
              <w:rPr>
                <w:rFonts w:ascii="Times New Roman" w:hAnsi="Times New Roman"/>
              </w:rPr>
              <w:t>}</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u w:val="single"/>
              </w:rPr>
            </w:pPr>
            <w:r>
              <w:rPr>
                <w:rFonts w:ascii="Times New Roman" w:hAnsi="Times New Roman"/>
                <w:b/>
              </w:rPr>
              <w:t>SFT's: blootstelling in overeenstemming met artikel </w:t>
            </w:r>
            <w:r w:rsidRPr="00CF219D">
              <w:rPr>
                <w:rFonts w:ascii="Times New Roman" w:hAnsi="Times New Roman"/>
                <w:b/>
              </w:rPr>
              <w:t>429</w:t>
            </w:r>
            <w:r>
              <w:rPr>
                <w:rFonts w:ascii="Times New Roman" w:hAnsi="Times New Roman"/>
                <w:b/>
              </w:rPr>
              <w:t xml:space="preserve">, lid </w:t>
            </w:r>
            <w:r w:rsidRPr="00CF219D">
              <w:rPr>
                <w:rFonts w:ascii="Times New Roman" w:hAnsi="Times New Roman"/>
                <w:b/>
              </w:rPr>
              <w:t>5</w:t>
            </w:r>
            <w:r>
              <w:rPr>
                <w:rFonts w:ascii="Times New Roman" w:hAnsi="Times New Roman"/>
                <w:b/>
              </w:rPr>
              <w:t xml:space="preserve">, en artikel </w:t>
            </w:r>
            <w:r w:rsidRPr="00CF219D">
              <w:rPr>
                <w:rFonts w:ascii="Times New Roman" w:hAnsi="Times New Roman"/>
                <w:b/>
              </w:rPr>
              <w:t>429</w:t>
            </w:r>
            <w:r>
              <w:rPr>
                <w:rFonts w:ascii="Times New Roman" w:hAnsi="Times New Roman"/>
                <w:b/>
              </w:rPr>
              <w:t xml:space="preserve">, lid </w:t>
            </w:r>
            <w:r w:rsidRPr="00CF219D">
              <w:rPr>
                <w:rFonts w:ascii="Times New Roman" w:hAnsi="Times New Roman"/>
                <w:b/>
              </w:rPr>
              <w:t>8</w:t>
            </w:r>
            <w:r>
              <w:rPr>
                <w:rFonts w:ascii="Times New Roman" w:hAnsi="Times New Roman"/>
                <w:b/>
              </w:rPr>
              <w:t>, van de VKV</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429</w:t>
            </w:r>
            <w:r>
              <w:rPr>
                <w:rFonts w:ascii="Times New Roman" w:hAnsi="Times New Roman"/>
              </w:rPr>
              <w:t xml:space="preserve">, lid </w:t>
            </w:r>
            <w:r w:rsidRPr="00CF219D">
              <w:rPr>
                <w:rFonts w:ascii="Times New Roman" w:hAnsi="Times New Roman"/>
              </w:rPr>
              <w:t>5</w:t>
            </w:r>
            <w:r>
              <w:rPr>
                <w:rFonts w:ascii="Times New Roman" w:hAnsi="Times New Roman"/>
              </w:rPr>
              <w:t xml:space="preserve">, onder d), en artikel </w:t>
            </w:r>
            <w:r w:rsidRPr="00CF219D">
              <w:rPr>
                <w:rFonts w:ascii="Times New Roman" w:hAnsi="Times New Roman"/>
              </w:rPr>
              <w:t>429</w:t>
            </w:r>
            <w:r>
              <w:rPr>
                <w:rFonts w:ascii="Times New Roman" w:hAnsi="Times New Roman"/>
              </w:rPr>
              <w:t xml:space="preserve">, lid </w:t>
            </w:r>
            <w:r w:rsidRPr="00CF219D">
              <w:rPr>
                <w:rFonts w:ascii="Times New Roman" w:hAnsi="Times New Roman"/>
              </w:rPr>
              <w:t>8</w:t>
            </w:r>
            <w:r>
              <w:rPr>
                <w:rFonts w:ascii="Times New Roman" w:hAnsi="Times New Roman"/>
              </w:rPr>
              <w:t>, van de VKV</w:t>
            </w:r>
          </w:p>
          <w:p w:rsidR="00AE2798" w:rsidRPr="00FE002E" w:rsidRDefault="00AE2798" w:rsidP="00FE0FF1">
            <w:pPr>
              <w:pStyle w:val="BodyText1"/>
              <w:spacing w:line="240" w:lineRule="auto"/>
              <w:rPr>
                <w:rFonts w:ascii="Times New Roman" w:hAnsi="Times New Roman"/>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De blootstelling uit hoofde van SFT's, berekend overeenkomstig artikel </w:t>
            </w:r>
            <w:r w:rsidRPr="00CF219D">
              <w:rPr>
                <w:rFonts w:ascii="Times New Roman" w:hAnsi="Times New Roman"/>
              </w:rPr>
              <w:t>429</w:t>
            </w:r>
            <w:r>
              <w:rPr>
                <w:rFonts w:ascii="Times New Roman" w:hAnsi="Times New Roman"/>
              </w:rPr>
              <w:t xml:space="preserve">, lid </w:t>
            </w:r>
            <w:r w:rsidRPr="00CF219D">
              <w:rPr>
                <w:rFonts w:ascii="Times New Roman" w:hAnsi="Times New Roman"/>
              </w:rPr>
              <w:t>5</w:t>
            </w:r>
            <w:r>
              <w:rPr>
                <w:rFonts w:ascii="Times New Roman" w:hAnsi="Times New Roman"/>
              </w:rPr>
              <w:t xml:space="preserve">, onder d), en artikel </w:t>
            </w:r>
            <w:r w:rsidRPr="00CF219D">
              <w:rPr>
                <w:rFonts w:ascii="Times New Roman" w:hAnsi="Times New Roman"/>
              </w:rPr>
              <w:t>429</w:t>
            </w:r>
            <w:r>
              <w:rPr>
                <w:rFonts w:ascii="Times New Roman" w:hAnsi="Times New Roman"/>
              </w:rPr>
              <w:t xml:space="preserve">, lid </w:t>
            </w:r>
            <w:r w:rsidRPr="00CF219D">
              <w:rPr>
                <w:rFonts w:ascii="Times New Roman" w:hAnsi="Times New Roman"/>
              </w:rPr>
              <w:t>8</w:t>
            </w:r>
            <w:r>
              <w:rPr>
                <w:rFonts w:ascii="Times New Roman" w:hAnsi="Times New Roman"/>
              </w:rPr>
              <w:t xml:space="preserve">, van de VKV. </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Instellingen nemen in deze cel transacties in aanmerking in overeenstemming met artikel</w:t>
            </w:r>
            <w:r w:rsidR="008F54E7">
              <w:rPr>
                <w:rFonts w:ascii="Times New Roman" w:hAnsi="Times New Roman"/>
              </w:rPr>
              <w:t> </w:t>
            </w:r>
            <w:r w:rsidRPr="00CF219D">
              <w:rPr>
                <w:rFonts w:ascii="Times New Roman" w:hAnsi="Times New Roman"/>
              </w:rPr>
              <w:t>429</w:t>
            </w:r>
            <w:r>
              <w:rPr>
                <w:rFonts w:ascii="Times New Roman" w:hAnsi="Times New Roman"/>
              </w:rPr>
              <w:t xml:space="preserve"> ter, lid </w:t>
            </w:r>
            <w:r w:rsidRPr="00CF219D">
              <w:rPr>
                <w:rFonts w:ascii="Times New Roman" w:hAnsi="Times New Roman"/>
              </w:rPr>
              <w:t>6</w:t>
            </w:r>
            <w:r>
              <w:rPr>
                <w:rFonts w:ascii="Times New Roman" w:hAnsi="Times New Roman"/>
              </w:rPr>
              <w:t>, onder c), van de VKV.</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lastRenderedPageBreak/>
              <w:t>Instellingen nemen in deze cel geen contanten op die zijn ontvangen van, of effecten die via voornoemde transacties zijn verstrekt aan een tegenpartij en die op de balans vermeld staan (er wordt met andere woorden niet voldaan aan de boekhoudkundige criteria voor verwijdering). In plaats daarvan vermelden instellingen deze posten in {</w:t>
            </w:r>
            <w:r w:rsidRPr="00CF219D">
              <w:rPr>
                <w:rFonts w:ascii="Times New Roman" w:hAnsi="Times New Roman"/>
              </w:rPr>
              <w:t>190</w:t>
            </w:r>
            <w:r>
              <w:rPr>
                <w:rFonts w:ascii="Times New Roman" w:hAnsi="Times New Roman"/>
              </w:rPr>
              <w:t>;</w:t>
            </w:r>
            <w:r w:rsidRPr="00CF219D">
              <w:rPr>
                <w:rFonts w:ascii="Times New Roman" w:hAnsi="Times New Roman"/>
              </w:rPr>
              <w:t>010</w:t>
            </w:r>
            <w:r>
              <w:rPr>
                <w:rFonts w:ascii="Times New Roman" w:hAnsi="Times New Roman"/>
              </w:rPr>
              <w:t>}.</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Instellingen nemen in deze cel geen SFT's op waarbij de instelling als agent optreedt en overeenkomstig artikel </w:t>
            </w:r>
            <w:r w:rsidRPr="00CF219D">
              <w:rPr>
                <w:rFonts w:ascii="Times New Roman" w:hAnsi="Times New Roman"/>
              </w:rPr>
              <w:t>429</w:t>
            </w:r>
            <w:r>
              <w:rPr>
                <w:rFonts w:ascii="Times New Roman" w:hAnsi="Times New Roman"/>
              </w:rPr>
              <w:t xml:space="preserve"> ter, lid </w:t>
            </w:r>
            <w:r w:rsidRPr="00CF219D">
              <w:rPr>
                <w:rFonts w:ascii="Times New Roman" w:hAnsi="Times New Roman"/>
              </w:rPr>
              <w:t>6</w:t>
            </w:r>
            <w:r>
              <w:rPr>
                <w:rFonts w:ascii="Times New Roman" w:hAnsi="Times New Roman"/>
              </w:rPr>
              <w:t>, onder a), van de VKV een cliënt of tegenpartij een vergoeding of garantie biedt die beperkt is tot het eventuele verschil tussen de waarde van de effecten of contanten die de cliënt heeft uitgeleend en de waarde van de zekerheden die de kredietnemer heeft verstrekt.</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lastRenderedPageBreak/>
              <w:t>{</w:t>
            </w:r>
            <w:r w:rsidRPr="00CF219D">
              <w:rPr>
                <w:rFonts w:ascii="Times New Roman" w:hAnsi="Times New Roman"/>
              </w:rPr>
              <w:t>020</w:t>
            </w:r>
            <w:r>
              <w:rPr>
                <w:rFonts w:ascii="Times New Roman" w:hAnsi="Times New Roman"/>
              </w:rPr>
              <w:t>;</w:t>
            </w:r>
            <w:r w:rsidRPr="00CF219D">
              <w:rPr>
                <w:rFonts w:ascii="Times New Roman" w:hAnsi="Times New Roman"/>
              </w:rPr>
              <w:t>010</w:t>
            </w:r>
            <w:r>
              <w:rPr>
                <w:rFonts w:ascii="Times New Roman" w:hAnsi="Times New Roman"/>
              </w:rPr>
              <w:t>}</w:t>
            </w:r>
          </w:p>
        </w:tc>
        <w:tc>
          <w:tcPr>
            <w:tcW w:w="7590" w:type="dxa"/>
          </w:tcPr>
          <w:p w:rsidR="00AE2798" w:rsidRDefault="00AE2798" w:rsidP="00FE0FF1">
            <w:pPr>
              <w:pStyle w:val="BodyText1"/>
              <w:spacing w:line="240" w:lineRule="auto"/>
              <w:rPr>
                <w:rFonts w:ascii="Times New Roman" w:hAnsi="Times New Roman"/>
                <w:b/>
                <w:bCs/>
              </w:rPr>
            </w:pPr>
            <w:r>
              <w:rPr>
                <w:rFonts w:ascii="Times New Roman" w:hAnsi="Times New Roman"/>
                <w:b/>
              </w:rPr>
              <w:t>SFT's: opslagfactor voor tegenpartijkredietrisico</w:t>
            </w:r>
          </w:p>
          <w:p w:rsidR="00AE2798" w:rsidRPr="0084012A"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429</w:t>
            </w:r>
            <w:r>
              <w:rPr>
                <w:rFonts w:ascii="Times New Roman" w:hAnsi="Times New Roman"/>
              </w:rPr>
              <w:t xml:space="preserve"> ter, lid </w:t>
            </w:r>
            <w:r w:rsidRPr="00CF219D">
              <w:rPr>
                <w:rFonts w:ascii="Times New Roman" w:hAnsi="Times New Roman"/>
              </w:rPr>
              <w:t>1</w:t>
            </w:r>
            <w:r>
              <w:rPr>
                <w:rFonts w:ascii="Times New Roman" w:hAnsi="Times New Roman"/>
              </w:rPr>
              <w:t>, van de VKV</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De opslagfactor voor tegenpartijkredietrisico van SFT's, met inbegrip van die buiten de balanstelling, berekend overeenkomstig artikel </w:t>
            </w:r>
            <w:r w:rsidRPr="00CF219D">
              <w:rPr>
                <w:rFonts w:ascii="Times New Roman" w:hAnsi="Times New Roman"/>
              </w:rPr>
              <w:t>429</w:t>
            </w:r>
            <w:r>
              <w:rPr>
                <w:rFonts w:ascii="Times New Roman" w:hAnsi="Times New Roman"/>
              </w:rPr>
              <w:t xml:space="preserve"> ter, lid </w:t>
            </w:r>
            <w:r w:rsidRPr="00CF219D">
              <w:rPr>
                <w:rFonts w:ascii="Times New Roman" w:hAnsi="Times New Roman"/>
              </w:rPr>
              <w:t>2</w:t>
            </w:r>
            <w:r>
              <w:rPr>
                <w:rFonts w:ascii="Times New Roman" w:hAnsi="Times New Roman"/>
              </w:rPr>
              <w:t xml:space="preserve"> of </w:t>
            </w:r>
            <w:r w:rsidRPr="00CF219D">
              <w:rPr>
                <w:rFonts w:ascii="Times New Roman" w:hAnsi="Times New Roman"/>
              </w:rPr>
              <w:t>3</w:t>
            </w:r>
            <w:r>
              <w:rPr>
                <w:rFonts w:ascii="Times New Roman" w:hAnsi="Times New Roman"/>
              </w:rPr>
              <w:t>, van de VKV, al naargelang het geval.</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Instellingen nemen in deze cel transacties in aanmerking in overeenstemming met artikel</w:t>
            </w:r>
            <w:r w:rsidR="008F54E7">
              <w:rPr>
                <w:rFonts w:ascii="Times New Roman" w:hAnsi="Times New Roman"/>
              </w:rPr>
              <w:t> </w:t>
            </w:r>
            <w:r w:rsidRPr="00CF219D">
              <w:rPr>
                <w:rFonts w:ascii="Times New Roman" w:hAnsi="Times New Roman"/>
              </w:rPr>
              <w:t>429</w:t>
            </w:r>
            <w:r>
              <w:rPr>
                <w:rFonts w:ascii="Times New Roman" w:hAnsi="Times New Roman"/>
              </w:rPr>
              <w:t xml:space="preserve"> ter, lid </w:t>
            </w:r>
            <w:r w:rsidRPr="00CF219D">
              <w:rPr>
                <w:rFonts w:ascii="Times New Roman" w:hAnsi="Times New Roman"/>
              </w:rPr>
              <w:t>6</w:t>
            </w:r>
            <w:r>
              <w:rPr>
                <w:rFonts w:ascii="Times New Roman" w:hAnsi="Times New Roman"/>
              </w:rPr>
              <w:t>, onder c), van de VKV.</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Instellingen nemen in deze cel geen SFT's op waarbij de instelling als agent optreedt en overeenkomstig artikel </w:t>
            </w:r>
            <w:r w:rsidRPr="00CF219D">
              <w:rPr>
                <w:rFonts w:ascii="Times New Roman" w:hAnsi="Times New Roman"/>
              </w:rPr>
              <w:t>429</w:t>
            </w:r>
            <w:r>
              <w:rPr>
                <w:rFonts w:ascii="Times New Roman" w:hAnsi="Times New Roman"/>
              </w:rPr>
              <w:t xml:space="preserve"> ter, lid </w:t>
            </w:r>
            <w:r w:rsidRPr="00CF219D">
              <w:rPr>
                <w:rFonts w:ascii="Times New Roman" w:hAnsi="Times New Roman"/>
              </w:rPr>
              <w:t>6</w:t>
            </w:r>
            <w:r>
              <w:rPr>
                <w:rFonts w:ascii="Times New Roman" w:hAnsi="Times New Roman"/>
              </w:rPr>
              <w:t>, onder a), van de VKV een cliënt of tegenpartij een vergoeding of garantie biedt die beperkt is tot het eventuele verschil tussen de waarde van de effecten of contanten die de cliënt heeft uitgeleend en de waarde van de zekerheden die de kredietnemer heeft verstrekt. In plaats daarvan vermelden instellingen deze posten in {</w:t>
            </w:r>
            <w:r w:rsidRPr="00CF219D">
              <w:rPr>
                <w:rFonts w:ascii="Times New Roman" w:hAnsi="Times New Roman"/>
              </w:rPr>
              <w:t>040</w:t>
            </w:r>
            <w:r>
              <w:rPr>
                <w:rFonts w:ascii="Times New Roman" w:hAnsi="Times New Roman"/>
              </w:rPr>
              <w:t>;</w:t>
            </w:r>
            <w:r w:rsidRPr="00CF219D">
              <w:rPr>
                <w:rFonts w:ascii="Times New Roman" w:hAnsi="Times New Roman"/>
              </w:rPr>
              <w:t>010</w:t>
            </w:r>
            <w:r>
              <w:rPr>
                <w:rFonts w:ascii="Times New Roman" w:hAnsi="Times New Roman"/>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w:t>
            </w:r>
            <w:r w:rsidRPr="00CF219D">
              <w:rPr>
                <w:rFonts w:ascii="Times New Roman" w:hAnsi="Times New Roman"/>
              </w:rPr>
              <w:t>030</w:t>
            </w:r>
            <w:r>
              <w:rPr>
                <w:rFonts w:ascii="Times New Roman" w:hAnsi="Times New Roman"/>
              </w:rPr>
              <w:t>;</w:t>
            </w:r>
            <w:r w:rsidRPr="00CF219D">
              <w:rPr>
                <w:rFonts w:ascii="Times New Roman" w:hAnsi="Times New Roman"/>
              </w:rPr>
              <w:t>010</w:t>
            </w:r>
            <w:r>
              <w:rPr>
                <w:rFonts w:ascii="Times New Roman" w:hAnsi="Times New Roman"/>
              </w:rPr>
              <w:t>}</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rPr>
            </w:pPr>
            <w:r>
              <w:rPr>
                <w:rFonts w:ascii="Times New Roman" w:hAnsi="Times New Roman"/>
                <w:b/>
              </w:rPr>
              <w:t>Afwijking voor SFT's: opslagfactor in overeenstemming met artikel </w:t>
            </w:r>
            <w:r w:rsidRPr="00CF219D">
              <w:rPr>
                <w:rFonts w:ascii="Times New Roman" w:hAnsi="Times New Roman"/>
                <w:b/>
              </w:rPr>
              <w:t>429</w:t>
            </w:r>
            <w:r>
              <w:rPr>
                <w:rFonts w:ascii="Times New Roman" w:hAnsi="Times New Roman"/>
                <w:b/>
              </w:rPr>
              <w:t xml:space="preserve"> ter, lid </w:t>
            </w:r>
            <w:r w:rsidRPr="00CF219D">
              <w:rPr>
                <w:rFonts w:ascii="Times New Roman" w:hAnsi="Times New Roman"/>
                <w:b/>
              </w:rPr>
              <w:t>4</w:t>
            </w:r>
            <w:r>
              <w:rPr>
                <w:rFonts w:ascii="Times New Roman" w:hAnsi="Times New Roman"/>
                <w:b/>
              </w:rPr>
              <w:t xml:space="preserve">, en artikel </w:t>
            </w:r>
            <w:r w:rsidRPr="00CF219D">
              <w:rPr>
                <w:rFonts w:ascii="Times New Roman" w:hAnsi="Times New Roman"/>
                <w:b/>
              </w:rPr>
              <w:t>222</w:t>
            </w:r>
            <w:r>
              <w:rPr>
                <w:rFonts w:ascii="Times New Roman" w:hAnsi="Times New Roman"/>
                <w:b/>
              </w:rPr>
              <w:t xml:space="preserve"> van de VKV</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429</w:t>
            </w:r>
            <w:r>
              <w:rPr>
                <w:rFonts w:ascii="Times New Roman" w:hAnsi="Times New Roman"/>
              </w:rPr>
              <w:t xml:space="preserve"> ter, lid </w:t>
            </w:r>
            <w:r w:rsidRPr="00CF219D">
              <w:rPr>
                <w:rFonts w:ascii="Times New Roman" w:hAnsi="Times New Roman"/>
              </w:rPr>
              <w:t>4</w:t>
            </w:r>
            <w:r>
              <w:rPr>
                <w:rFonts w:ascii="Times New Roman" w:hAnsi="Times New Roman"/>
              </w:rPr>
              <w:t xml:space="preserve">, en artikel </w:t>
            </w:r>
            <w:r w:rsidRPr="00CF219D">
              <w:rPr>
                <w:rFonts w:ascii="Times New Roman" w:hAnsi="Times New Roman"/>
              </w:rPr>
              <w:t>222</w:t>
            </w:r>
            <w:r>
              <w:rPr>
                <w:rFonts w:ascii="Times New Roman" w:hAnsi="Times New Roman"/>
              </w:rPr>
              <w:t xml:space="preserve"> van de VKV</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De blootstellingswaarde voor SFT's, met inbegrip van die buiten de balanstelling, berekend overeenkomstig artikel </w:t>
            </w:r>
            <w:r w:rsidRPr="00CF219D">
              <w:rPr>
                <w:rFonts w:ascii="Times New Roman" w:hAnsi="Times New Roman"/>
              </w:rPr>
              <w:t>222</w:t>
            </w:r>
            <w:r>
              <w:rPr>
                <w:rFonts w:ascii="Times New Roman" w:hAnsi="Times New Roman"/>
              </w:rPr>
              <w:t xml:space="preserve"> van de VKV, met toepassing van een vloer van </w:t>
            </w:r>
            <w:r w:rsidRPr="00CF219D">
              <w:rPr>
                <w:rFonts w:ascii="Times New Roman" w:hAnsi="Times New Roman"/>
              </w:rPr>
              <w:t>20</w:t>
            </w:r>
            <w:r>
              <w:rPr>
                <w:rFonts w:ascii="Times New Roman" w:hAnsi="Times New Roman"/>
              </w:rPr>
              <w:t xml:space="preserve"> % voor het toepasselijke risicogewicht. </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Instellingen nemen in deze cel transacties in aanmerking in overeenstemming met artikel</w:t>
            </w:r>
            <w:r w:rsidR="008F54E7">
              <w:rPr>
                <w:rFonts w:ascii="Times New Roman" w:hAnsi="Times New Roman"/>
              </w:rPr>
              <w:t> </w:t>
            </w:r>
            <w:r w:rsidRPr="00CF219D">
              <w:rPr>
                <w:rFonts w:ascii="Times New Roman" w:hAnsi="Times New Roman"/>
              </w:rPr>
              <w:t>429</w:t>
            </w:r>
            <w:r>
              <w:rPr>
                <w:rFonts w:ascii="Times New Roman" w:hAnsi="Times New Roman"/>
              </w:rPr>
              <w:t xml:space="preserve"> ter, lid </w:t>
            </w:r>
            <w:r w:rsidRPr="00CF219D">
              <w:rPr>
                <w:rFonts w:ascii="Times New Roman" w:hAnsi="Times New Roman"/>
              </w:rPr>
              <w:t>6</w:t>
            </w:r>
            <w:r>
              <w:rPr>
                <w:rFonts w:ascii="Times New Roman" w:hAnsi="Times New Roman"/>
              </w:rPr>
              <w:t>, onder c), van de VKV.</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Instellingen nemen in deze cel geen transacties in aanmerking waarvoor het opslagfactorgedeelte van de blootstellingswaarde voor de berekening van de hefboomratio wordt vastgesteld volgens de in artikel </w:t>
            </w:r>
            <w:r w:rsidRPr="00CF219D">
              <w:rPr>
                <w:rFonts w:ascii="Times New Roman" w:hAnsi="Times New Roman"/>
              </w:rPr>
              <w:t>429</w:t>
            </w:r>
            <w:r>
              <w:rPr>
                <w:rFonts w:ascii="Times New Roman" w:hAnsi="Times New Roman"/>
              </w:rPr>
              <w:t xml:space="preserve"> ter, lid </w:t>
            </w:r>
            <w:r w:rsidRPr="00CF219D">
              <w:rPr>
                <w:rFonts w:ascii="Times New Roman" w:hAnsi="Times New Roman"/>
              </w:rPr>
              <w:t>1</w:t>
            </w:r>
            <w:r>
              <w:rPr>
                <w:rFonts w:ascii="Times New Roman" w:hAnsi="Times New Roman"/>
              </w:rPr>
              <w:t>, van de VKV beschreven methode.</w:t>
            </w:r>
          </w:p>
          <w:p w:rsidR="00AE2798" w:rsidRPr="00FE002E"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t>{</w:t>
            </w:r>
            <w:r w:rsidRPr="00CF219D">
              <w:rPr>
                <w:rFonts w:ascii="Times New Roman" w:hAnsi="Times New Roman"/>
              </w:rPr>
              <w:t>040</w:t>
            </w:r>
            <w:r>
              <w:rPr>
                <w:rFonts w:ascii="Times New Roman" w:hAnsi="Times New Roman"/>
              </w:rPr>
              <w:t>;</w:t>
            </w:r>
            <w:r w:rsidRPr="00CF219D">
              <w:rPr>
                <w:rFonts w:ascii="Times New Roman" w:hAnsi="Times New Roman"/>
              </w:rPr>
              <w:t>010</w:t>
            </w:r>
            <w:r>
              <w:rPr>
                <w:rFonts w:ascii="Times New Roman" w:hAnsi="Times New Roman"/>
              </w:rPr>
              <w:t>}</w:t>
            </w:r>
          </w:p>
        </w:tc>
        <w:tc>
          <w:tcPr>
            <w:tcW w:w="7590" w:type="dxa"/>
          </w:tcPr>
          <w:p w:rsidR="00AE2798" w:rsidRDefault="00AE2798" w:rsidP="00FE0FF1">
            <w:pPr>
              <w:pStyle w:val="BodyText1"/>
              <w:spacing w:line="240" w:lineRule="auto"/>
              <w:rPr>
                <w:rFonts w:ascii="Times New Roman" w:hAnsi="Times New Roman"/>
                <w:bCs/>
              </w:rPr>
            </w:pPr>
            <w:r>
              <w:rPr>
                <w:rFonts w:ascii="Times New Roman" w:hAnsi="Times New Roman"/>
                <w:b/>
              </w:rPr>
              <w:t xml:space="preserve">Tegenpartijkredietrisico van SFT's waarbij als agent wordt opgetreden in overeenstemming met artikel </w:t>
            </w:r>
            <w:r w:rsidRPr="00CF219D">
              <w:rPr>
                <w:rFonts w:ascii="Times New Roman" w:hAnsi="Times New Roman"/>
                <w:b/>
              </w:rPr>
              <w:t>429</w:t>
            </w:r>
            <w:r>
              <w:rPr>
                <w:rFonts w:ascii="Times New Roman" w:hAnsi="Times New Roman"/>
                <w:b/>
              </w:rPr>
              <w:t xml:space="preserve"> ter, lid </w:t>
            </w:r>
            <w:r w:rsidRPr="00CF219D">
              <w:rPr>
                <w:rFonts w:ascii="Times New Roman" w:hAnsi="Times New Roman"/>
                <w:b/>
              </w:rPr>
              <w:t>6</w:t>
            </w:r>
            <w:r>
              <w:rPr>
                <w:rFonts w:ascii="Times New Roman" w:hAnsi="Times New Roman"/>
                <w:b/>
              </w:rPr>
              <w:t>, van de VKV</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429</w:t>
            </w:r>
            <w:r>
              <w:rPr>
                <w:rFonts w:ascii="Times New Roman" w:hAnsi="Times New Roman"/>
              </w:rPr>
              <w:t xml:space="preserve"> ter, lid </w:t>
            </w:r>
            <w:r w:rsidRPr="00CF219D">
              <w:rPr>
                <w:rFonts w:ascii="Times New Roman" w:hAnsi="Times New Roman"/>
              </w:rPr>
              <w:t>6</w:t>
            </w:r>
            <w:r>
              <w:rPr>
                <w:rFonts w:ascii="Times New Roman" w:hAnsi="Times New Roman"/>
              </w:rPr>
              <w:t xml:space="preserve">, onder a), en artikel </w:t>
            </w:r>
            <w:r w:rsidRPr="00CF219D">
              <w:rPr>
                <w:rFonts w:ascii="Times New Roman" w:hAnsi="Times New Roman"/>
              </w:rPr>
              <w:t>429</w:t>
            </w:r>
            <w:r>
              <w:rPr>
                <w:rFonts w:ascii="Times New Roman" w:hAnsi="Times New Roman"/>
              </w:rPr>
              <w:t xml:space="preserve"> ter, leden </w:t>
            </w:r>
            <w:r w:rsidRPr="00CF219D">
              <w:rPr>
                <w:rFonts w:ascii="Times New Roman" w:hAnsi="Times New Roman"/>
              </w:rPr>
              <w:t>2</w:t>
            </w:r>
            <w:r>
              <w:rPr>
                <w:rFonts w:ascii="Times New Roman" w:hAnsi="Times New Roman"/>
              </w:rPr>
              <w:t xml:space="preserve"> en </w:t>
            </w:r>
            <w:r w:rsidRPr="00CF219D">
              <w:rPr>
                <w:rFonts w:ascii="Times New Roman" w:hAnsi="Times New Roman"/>
              </w:rPr>
              <w:t>3</w:t>
            </w:r>
            <w:r>
              <w:rPr>
                <w:rFonts w:ascii="Times New Roman" w:hAnsi="Times New Roman"/>
              </w:rPr>
              <w:t>, van de VKV</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De blootstellingswaarde voor SFT's waarbij de instelling als agent optreedt en overeenkomstig artikel </w:t>
            </w:r>
            <w:r w:rsidRPr="00CF219D">
              <w:rPr>
                <w:rFonts w:ascii="Times New Roman" w:hAnsi="Times New Roman"/>
              </w:rPr>
              <w:t>429</w:t>
            </w:r>
            <w:r>
              <w:rPr>
                <w:rFonts w:ascii="Times New Roman" w:hAnsi="Times New Roman"/>
              </w:rPr>
              <w:t xml:space="preserve"> ter, lid </w:t>
            </w:r>
            <w:r w:rsidRPr="00CF219D">
              <w:rPr>
                <w:rFonts w:ascii="Times New Roman" w:hAnsi="Times New Roman"/>
              </w:rPr>
              <w:t>6</w:t>
            </w:r>
            <w:r>
              <w:rPr>
                <w:rFonts w:ascii="Times New Roman" w:hAnsi="Times New Roman"/>
              </w:rPr>
              <w:t xml:space="preserve">, onder a), van de VKV een cliënt of tegenpartij een vergoeding of garantie biedt die beperkt is tot het eventuele verschil tussen de waarde van de effecten of contanten die de cliënt heeft uitgeleend en de waarde van de zekerheden die de kredietnemer heeft verstrekt, bestaat alleen uit de opslagfactor die is vastgesteld overeenkomstig artikel </w:t>
            </w:r>
            <w:r w:rsidRPr="00CF219D">
              <w:rPr>
                <w:rFonts w:ascii="Times New Roman" w:hAnsi="Times New Roman"/>
              </w:rPr>
              <w:t>429</w:t>
            </w:r>
            <w:r>
              <w:rPr>
                <w:rFonts w:ascii="Times New Roman" w:hAnsi="Times New Roman"/>
              </w:rPr>
              <w:t xml:space="preserve"> ter, lid </w:t>
            </w:r>
            <w:r w:rsidRPr="00CF219D">
              <w:rPr>
                <w:rFonts w:ascii="Times New Roman" w:hAnsi="Times New Roman"/>
              </w:rPr>
              <w:t>2</w:t>
            </w:r>
            <w:r>
              <w:rPr>
                <w:rFonts w:ascii="Times New Roman" w:hAnsi="Times New Roman"/>
              </w:rPr>
              <w:t xml:space="preserve"> of </w:t>
            </w:r>
            <w:r w:rsidRPr="00CF219D">
              <w:rPr>
                <w:rFonts w:ascii="Times New Roman" w:hAnsi="Times New Roman"/>
              </w:rPr>
              <w:t>3</w:t>
            </w:r>
            <w:r>
              <w:rPr>
                <w:rFonts w:ascii="Times New Roman" w:hAnsi="Times New Roman"/>
              </w:rPr>
              <w:t>, van de VKV, al naargelang het geval.</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Instellingen nemen in deze cel geen transacties op in overeenstemming met artikel </w:t>
            </w:r>
            <w:r w:rsidRPr="00CF219D">
              <w:rPr>
                <w:rFonts w:ascii="Times New Roman" w:hAnsi="Times New Roman"/>
              </w:rPr>
              <w:t>429</w:t>
            </w:r>
            <w:r>
              <w:rPr>
                <w:rFonts w:ascii="Times New Roman" w:hAnsi="Times New Roman"/>
              </w:rPr>
              <w:t xml:space="preserve"> ter, lid </w:t>
            </w:r>
            <w:r w:rsidRPr="00CF219D">
              <w:rPr>
                <w:rFonts w:ascii="Times New Roman" w:hAnsi="Times New Roman"/>
              </w:rPr>
              <w:t>6</w:t>
            </w:r>
            <w:r>
              <w:rPr>
                <w:rFonts w:ascii="Times New Roman" w:hAnsi="Times New Roman"/>
              </w:rPr>
              <w:t>, onder c), van de VKV. In plaats daarvan nemen zij die posten op in {</w:t>
            </w:r>
            <w:r w:rsidRPr="00CF219D">
              <w:rPr>
                <w:rFonts w:ascii="Times New Roman" w:hAnsi="Times New Roman"/>
              </w:rPr>
              <w:t>010</w:t>
            </w:r>
            <w:r>
              <w:rPr>
                <w:rFonts w:ascii="Times New Roman" w:hAnsi="Times New Roman"/>
              </w:rPr>
              <w:t>;</w:t>
            </w:r>
            <w:r w:rsidRPr="00CF219D">
              <w:rPr>
                <w:rFonts w:ascii="Times New Roman" w:hAnsi="Times New Roman"/>
              </w:rPr>
              <w:t>010</w:t>
            </w:r>
            <w:r>
              <w:rPr>
                <w:rFonts w:ascii="Times New Roman" w:hAnsi="Times New Roman"/>
              </w:rPr>
              <w:t xml:space="preserve">} en </w:t>
            </w:r>
            <w:r>
              <w:rPr>
                <w:rFonts w:ascii="Times New Roman" w:hAnsi="Times New Roman"/>
              </w:rPr>
              <w:lastRenderedPageBreak/>
              <w:t>{</w:t>
            </w:r>
            <w:r w:rsidRPr="00CF219D">
              <w:rPr>
                <w:rFonts w:ascii="Times New Roman" w:hAnsi="Times New Roman"/>
              </w:rPr>
              <w:t>020</w:t>
            </w:r>
            <w:r>
              <w:rPr>
                <w:rFonts w:ascii="Times New Roman" w:hAnsi="Times New Roman"/>
              </w:rPr>
              <w:t>;</w:t>
            </w:r>
            <w:r w:rsidRPr="00CF219D">
              <w:rPr>
                <w:rFonts w:ascii="Times New Roman" w:hAnsi="Times New Roman"/>
              </w:rPr>
              <w:t>010</w:t>
            </w:r>
            <w:r>
              <w:rPr>
                <w:rFonts w:ascii="Times New Roman" w:hAnsi="Times New Roman"/>
              </w:rPr>
              <w:t>}, dan wel {</w:t>
            </w:r>
            <w:r w:rsidRPr="00CF219D">
              <w:rPr>
                <w:rFonts w:ascii="Times New Roman" w:hAnsi="Times New Roman"/>
              </w:rPr>
              <w:t>010</w:t>
            </w:r>
            <w:r>
              <w:rPr>
                <w:rFonts w:ascii="Times New Roman" w:hAnsi="Times New Roman"/>
              </w:rPr>
              <w:t>;</w:t>
            </w:r>
            <w:r w:rsidRPr="00CF219D">
              <w:rPr>
                <w:rFonts w:ascii="Times New Roman" w:hAnsi="Times New Roman"/>
              </w:rPr>
              <w:t>010</w:t>
            </w:r>
            <w:r>
              <w:rPr>
                <w:rFonts w:ascii="Times New Roman" w:hAnsi="Times New Roman"/>
              </w:rPr>
              <w:t>} en {</w:t>
            </w:r>
            <w:r w:rsidRPr="00CF219D">
              <w:rPr>
                <w:rFonts w:ascii="Times New Roman" w:hAnsi="Times New Roman"/>
              </w:rPr>
              <w:t>030</w:t>
            </w:r>
            <w:r>
              <w:rPr>
                <w:rFonts w:ascii="Times New Roman" w:hAnsi="Times New Roman"/>
              </w:rPr>
              <w:t>;</w:t>
            </w:r>
            <w:r w:rsidRPr="00CF219D">
              <w:rPr>
                <w:rFonts w:ascii="Times New Roman" w:hAnsi="Times New Roman"/>
              </w:rPr>
              <w:t>010</w:t>
            </w:r>
            <w:r>
              <w:rPr>
                <w:rFonts w:ascii="Times New Roman" w:hAnsi="Times New Roman"/>
              </w:rPr>
              <w:t>}, al naargelang het geval.</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lastRenderedPageBreak/>
              <w:t>{</w:t>
            </w:r>
            <w:r w:rsidRPr="00CF219D">
              <w:rPr>
                <w:rFonts w:ascii="Times New Roman" w:hAnsi="Times New Roman"/>
              </w:rPr>
              <w:t>050</w:t>
            </w:r>
            <w:r>
              <w:rPr>
                <w:rFonts w:ascii="Times New Roman" w:hAnsi="Times New Roman"/>
              </w:rPr>
              <w:t>;</w:t>
            </w:r>
            <w:r w:rsidRPr="00CF219D">
              <w:rPr>
                <w:rFonts w:ascii="Times New Roman" w:hAnsi="Times New Roman"/>
              </w:rPr>
              <w:t>010</w:t>
            </w:r>
            <w:r>
              <w:rPr>
                <w:rFonts w:ascii="Times New Roman" w:hAnsi="Times New Roman"/>
              </w:rPr>
              <w:t>}</w:t>
            </w:r>
          </w:p>
        </w:tc>
        <w:tc>
          <w:tcPr>
            <w:tcW w:w="7590" w:type="dxa"/>
          </w:tcPr>
          <w:p w:rsidR="00AE2798" w:rsidRDefault="005556DC" w:rsidP="00FE0FF1">
            <w:pPr>
              <w:pStyle w:val="BodyText1"/>
              <w:spacing w:line="240" w:lineRule="auto"/>
              <w:rPr>
                <w:rFonts w:ascii="Times New Roman" w:hAnsi="Times New Roman"/>
                <w:bCs/>
              </w:rPr>
            </w:pPr>
            <w:r>
              <w:rPr>
                <w:rFonts w:ascii="Times New Roman" w:hAnsi="Times New Roman"/>
                <w:b/>
              </w:rPr>
              <w:t>(-) Uitgesloten CTP-deel van als cliënt geclearde SFT-blootstellingen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429</w:t>
            </w:r>
            <w:r>
              <w:rPr>
                <w:rFonts w:ascii="Times New Roman" w:hAnsi="Times New Roman"/>
              </w:rPr>
              <w:t xml:space="preserve">, lid </w:t>
            </w:r>
            <w:r w:rsidRPr="00CF219D">
              <w:rPr>
                <w:rFonts w:ascii="Times New Roman" w:hAnsi="Times New Roman"/>
              </w:rPr>
              <w:t>11</w:t>
            </w:r>
            <w:r>
              <w:rPr>
                <w:rFonts w:ascii="Times New Roman" w:hAnsi="Times New Roman"/>
              </w:rPr>
              <w:t xml:space="preserve">, en artikel </w:t>
            </w:r>
            <w:r w:rsidRPr="00CF219D">
              <w:rPr>
                <w:rFonts w:ascii="Times New Roman" w:hAnsi="Times New Roman"/>
              </w:rPr>
              <w:t>306</w:t>
            </w:r>
            <w:r>
              <w:rPr>
                <w:rFonts w:ascii="Times New Roman" w:hAnsi="Times New Roman"/>
              </w:rPr>
              <w:t xml:space="preserve">, lid </w:t>
            </w:r>
            <w:r w:rsidRPr="00CF219D">
              <w:rPr>
                <w:rFonts w:ascii="Times New Roman" w:hAnsi="Times New Roman"/>
              </w:rPr>
              <w:t>1</w:t>
            </w:r>
            <w:r>
              <w:rPr>
                <w:rFonts w:ascii="Times New Roman" w:hAnsi="Times New Roman"/>
              </w:rPr>
              <w:t>, onder c), van de VKV</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Het uitgesloten CTP-deel van als cliënt geclearde transactieblootstellingen uit hoofde van SFT's, mits deze posten aan de in artikel </w:t>
            </w:r>
            <w:r w:rsidRPr="00CF219D">
              <w:rPr>
                <w:rFonts w:ascii="Times New Roman" w:hAnsi="Times New Roman"/>
              </w:rPr>
              <w:t>306</w:t>
            </w:r>
            <w:r>
              <w:rPr>
                <w:rFonts w:ascii="Times New Roman" w:hAnsi="Times New Roman"/>
              </w:rPr>
              <w:t xml:space="preserve">, lid </w:t>
            </w:r>
            <w:r w:rsidRPr="00CF219D">
              <w:rPr>
                <w:rFonts w:ascii="Times New Roman" w:hAnsi="Times New Roman"/>
              </w:rPr>
              <w:t>1</w:t>
            </w:r>
            <w:r>
              <w:rPr>
                <w:rFonts w:ascii="Times New Roman" w:hAnsi="Times New Roman"/>
              </w:rPr>
              <w:t>, onder c), van de VKV gestelde voorwaarden voldoen.</w:t>
            </w:r>
          </w:p>
          <w:p w:rsidR="004052F0" w:rsidRDefault="004052F0" w:rsidP="00FE0FF1">
            <w:pPr>
              <w:pStyle w:val="BodyText1"/>
              <w:spacing w:line="240" w:lineRule="auto"/>
              <w:rPr>
                <w:rFonts w:ascii="Times New Roman" w:hAnsi="Times New Roman"/>
                <w:bCs/>
              </w:rPr>
            </w:pPr>
          </w:p>
          <w:p w:rsidR="004052F0" w:rsidRDefault="004052F0" w:rsidP="00FE0FF1">
            <w:pPr>
              <w:pStyle w:val="BodyText1"/>
              <w:spacing w:line="240" w:lineRule="auto"/>
              <w:rPr>
                <w:rFonts w:ascii="Times New Roman" w:hAnsi="Times New Roman"/>
                <w:bCs/>
              </w:rPr>
            </w:pPr>
            <w:r>
              <w:rPr>
                <w:rFonts w:ascii="Times New Roman" w:hAnsi="Times New Roman"/>
              </w:rPr>
              <w:t xml:space="preserve">Ingeval het uitgesloten CTP-deel een effect is, wordt het niet in deze cel opgenomen, tenzij het een effect is dat tot zekerheid aan derden is verstrekt en dat volgens het toepasselijke kader voor financiële verslaggeving (d.w.z. overeenkomstig artikel </w:t>
            </w:r>
            <w:r w:rsidRPr="00CF219D">
              <w:rPr>
                <w:rFonts w:ascii="Times New Roman" w:hAnsi="Times New Roman"/>
              </w:rPr>
              <w:t>111</w:t>
            </w:r>
            <w:r>
              <w:rPr>
                <w:rFonts w:ascii="Times New Roman" w:hAnsi="Times New Roman"/>
              </w:rPr>
              <w:t xml:space="preserve">, lid </w:t>
            </w:r>
            <w:r w:rsidRPr="00CF219D">
              <w:rPr>
                <w:rFonts w:ascii="Times New Roman" w:hAnsi="Times New Roman"/>
              </w:rPr>
              <w:t>1</w:t>
            </w:r>
            <w:r>
              <w:rPr>
                <w:rFonts w:ascii="Times New Roman" w:hAnsi="Times New Roman"/>
              </w:rPr>
              <w:t>, eerste zin, van de VKV) tegen volledige waarde wordt opgenomen.</w:t>
            </w:r>
          </w:p>
          <w:p w:rsidR="004052F0" w:rsidRDefault="004052F0" w:rsidP="00FE0FF1">
            <w:pPr>
              <w:pStyle w:val="BodyText1"/>
              <w:spacing w:line="240" w:lineRule="auto"/>
              <w:rPr>
                <w:rFonts w:ascii="Times New Roman" w:hAnsi="Times New Roman"/>
                <w:bCs/>
              </w:rPr>
            </w:pPr>
          </w:p>
          <w:p w:rsidR="004052F0" w:rsidRDefault="004052F0" w:rsidP="00FD2C06">
            <w:pPr>
              <w:pStyle w:val="BodyText1"/>
              <w:spacing w:line="240" w:lineRule="auto"/>
              <w:rPr>
                <w:rFonts w:ascii="Times New Roman" w:hAnsi="Times New Roman"/>
                <w:bCs/>
              </w:rPr>
            </w:pPr>
            <w:r>
              <w:rPr>
                <w:rFonts w:ascii="Times New Roman" w:hAnsi="Times New Roman"/>
              </w:rPr>
              <w:t>Instellingen nemen het in deze cel gerapporteerde bedrag ook op in {</w:t>
            </w:r>
            <w:r w:rsidRPr="00CF219D">
              <w:rPr>
                <w:rFonts w:ascii="Times New Roman" w:hAnsi="Times New Roman"/>
              </w:rPr>
              <w:t>010</w:t>
            </w:r>
            <w:r>
              <w:rPr>
                <w:rFonts w:ascii="Times New Roman" w:hAnsi="Times New Roman"/>
              </w:rPr>
              <w:t>;</w:t>
            </w:r>
            <w:r w:rsidRPr="00CF219D">
              <w:rPr>
                <w:rFonts w:ascii="Times New Roman" w:hAnsi="Times New Roman"/>
              </w:rPr>
              <w:t>010</w:t>
            </w:r>
            <w:r>
              <w:rPr>
                <w:rFonts w:ascii="Times New Roman" w:hAnsi="Times New Roman"/>
              </w:rPr>
              <w:t>}, {</w:t>
            </w:r>
            <w:r w:rsidRPr="00CF219D">
              <w:rPr>
                <w:rFonts w:ascii="Times New Roman" w:hAnsi="Times New Roman"/>
              </w:rPr>
              <w:t>020</w:t>
            </w:r>
            <w:r>
              <w:rPr>
                <w:rFonts w:ascii="Times New Roman" w:hAnsi="Times New Roman"/>
              </w:rPr>
              <w:t>;</w:t>
            </w:r>
            <w:r w:rsidRPr="00CF219D">
              <w:rPr>
                <w:rFonts w:ascii="Times New Roman" w:hAnsi="Times New Roman"/>
              </w:rPr>
              <w:t>010</w:t>
            </w:r>
            <w:r>
              <w:rPr>
                <w:rFonts w:ascii="Times New Roman" w:hAnsi="Times New Roman"/>
              </w:rPr>
              <w:t>} en{</w:t>
            </w:r>
            <w:r w:rsidRPr="00CF219D">
              <w:rPr>
                <w:rFonts w:ascii="Times New Roman" w:hAnsi="Times New Roman"/>
              </w:rPr>
              <w:t>030</w:t>
            </w:r>
            <w:r>
              <w:rPr>
                <w:rFonts w:ascii="Times New Roman" w:hAnsi="Times New Roman"/>
              </w:rPr>
              <w:t>;</w:t>
            </w:r>
            <w:r w:rsidRPr="00CF219D">
              <w:rPr>
                <w:rFonts w:ascii="Times New Roman" w:hAnsi="Times New Roman"/>
              </w:rPr>
              <w:t>010</w:t>
            </w:r>
            <w:r>
              <w:rPr>
                <w:rFonts w:ascii="Times New Roman" w:hAnsi="Times New Roman"/>
              </w:rPr>
              <w:t>}, en, indien aan de in de tweede helft van de vorige zin gestelde voorwaarde is voldaan, in {</w:t>
            </w:r>
            <w:r w:rsidRPr="00CF219D">
              <w:rPr>
                <w:rFonts w:ascii="Times New Roman" w:hAnsi="Times New Roman"/>
              </w:rPr>
              <w:t>190</w:t>
            </w:r>
            <w:r>
              <w:rPr>
                <w:rFonts w:ascii="Times New Roman" w:hAnsi="Times New Roman"/>
              </w:rPr>
              <w:t>;</w:t>
            </w:r>
            <w:r w:rsidRPr="00CF219D">
              <w:rPr>
                <w:rFonts w:ascii="Times New Roman" w:hAnsi="Times New Roman"/>
              </w:rPr>
              <w:t>010</w:t>
            </w:r>
            <w:r>
              <w:rPr>
                <w:rFonts w:ascii="Times New Roman" w:hAnsi="Times New Roman"/>
              </w:rPr>
              <w:t>}, alsof er van geen uitsluiting sprake is.</w:t>
            </w:r>
          </w:p>
          <w:p w:rsidR="00AF6C6D" w:rsidRDefault="00AF6C6D" w:rsidP="00FD2C06">
            <w:pPr>
              <w:pStyle w:val="BodyText1"/>
              <w:spacing w:line="240" w:lineRule="auto"/>
              <w:rPr>
                <w:rFonts w:ascii="Times New Roman" w:hAnsi="Times New Roman"/>
                <w:bCs/>
              </w:rPr>
            </w:pPr>
          </w:p>
          <w:p w:rsidR="00AF6C6D" w:rsidRPr="00FE002E" w:rsidRDefault="00AF6C6D" w:rsidP="00FD2C06">
            <w:pPr>
              <w:pStyle w:val="BodyText1"/>
              <w:spacing w:line="240" w:lineRule="auto"/>
              <w:rPr>
                <w:rFonts w:ascii="Times New Roman" w:hAnsi="Times New Roman"/>
                <w:bCs/>
              </w:rPr>
            </w:pPr>
            <w:r>
              <w:rPr>
                <w:rFonts w:ascii="Times New Roman" w:hAnsi="Times New Roman"/>
              </w:rPr>
              <w:t>Indien de instelling een initiële marge heeft gestort voor een uitgesloten deel van een SFT dat wel in {</w:t>
            </w:r>
            <w:r w:rsidRPr="00CF219D">
              <w:rPr>
                <w:rFonts w:ascii="Times New Roman" w:hAnsi="Times New Roman"/>
              </w:rPr>
              <w:t>190</w:t>
            </w:r>
            <w:r>
              <w:rPr>
                <w:rFonts w:ascii="Times New Roman" w:hAnsi="Times New Roman"/>
              </w:rPr>
              <w:t>;</w:t>
            </w:r>
            <w:r w:rsidRPr="00CF219D">
              <w:rPr>
                <w:rFonts w:ascii="Times New Roman" w:hAnsi="Times New Roman"/>
              </w:rPr>
              <w:t>010</w:t>
            </w:r>
            <w:r>
              <w:rPr>
                <w:rFonts w:ascii="Times New Roman" w:hAnsi="Times New Roman"/>
              </w:rPr>
              <w:t>} en niet in {</w:t>
            </w:r>
            <w:r w:rsidRPr="00CF219D">
              <w:rPr>
                <w:rFonts w:ascii="Times New Roman" w:hAnsi="Times New Roman"/>
              </w:rPr>
              <w:t>020</w:t>
            </w:r>
            <w:r>
              <w:rPr>
                <w:rFonts w:ascii="Times New Roman" w:hAnsi="Times New Roman"/>
              </w:rPr>
              <w:t>;</w:t>
            </w:r>
            <w:r w:rsidRPr="00CF219D">
              <w:rPr>
                <w:rFonts w:ascii="Times New Roman" w:hAnsi="Times New Roman"/>
              </w:rPr>
              <w:t>010</w:t>
            </w:r>
            <w:r>
              <w:rPr>
                <w:rFonts w:ascii="Times New Roman" w:hAnsi="Times New Roman"/>
              </w:rPr>
              <w:t>} of {</w:t>
            </w:r>
            <w:r w:rsidRPr="00CF219D">
              <w:rPr>
                <w:rFonts w:ascii="Times New Roman" w:hAnsi="Times New Roman"/>
              </w:rPr>
              <w:t>030</w:t>
            </w:r>
            <w:r>
              <w:rPr>
                <w:rFonts w:ascii="Times New Roman" w:hAnsi="Times New Roman"/>
              </w:rPr>
              <w:t>;</w:t>
            </w:r>
            <w:r w:rsidRPr="00CF219D">
              <w:rPr>
                <w:rFonts w:ascii="Times New Roman" w:hAnsi="Times New Roman"/>
              </w:rPr>
              <w:t>010</w:t>
            </w:r>
            <w:r>
              <w:rPr>
                <w:rFonts w:ascii="Times New Roman" w:hAnsi="Times New Roman"/>
              </w:rPr>
              <w:t>} wordt gerapporteerd, dan kan de instelling deze initiële marge in deze cel rapporteren.</w:t>
            </w:r>
          </w:p>
          <w:p w:rsidR="00AE2798" w:rsidRPr="0084012A" w:rsidRDefault="00AE2798" w:rsidP="00C0429A">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w:t>
            </w:r>
            <w:r w:rsidRPr="00CF219D">
              <w:rPr>
                <w:rFonts w:ascii="Times New Roman" w:hAnsi="Times New Roman"/>
              </w:rPr>
              <w:t>060</w:t>
            </w:r>
            <w:r>
              <w:rPr>
                <w:rFonts w:ascii="Times New Roman" w:hAnsi="Times New Roman"/>
              </w:rPr>
              <w:t>;</w:t>
            </w:r>
            <w:r w:rsidRPr="00CF219D">
              <w:rPr>
                <w:rFonts w:ascii="Times New Roman" w:hAnsi="Times New Roman"/>
              </w:rPr>
              <w:t>010</w:t>
            </w:r>
            <w:r>
              <w:rPr>
                <w:rFonts w:ascii="Times New Roman" w:hAnsi="Times New Roman"/>
              </w:rPr>
              <w:t>}</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 xml:space="preserve">Derivaten: actuele vervangingswaarde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Artikelen </w:t>
            </w:r>
            <w:r w:rsidRPr="00CF219D">
              <w:rPr>
                <w:rFonts w:ascii="Times New Roman" w:hAnsi="Times New Roman"/>
              </w:rPr>
              <w:t>429</w:t>
            </w:r>
            <w:r>
              <w:rPr>
                <w:rFonts w:ascii="Times New Roman" w:hAnsi="Times New Roman"/>
              </w:rPr>
              <w:t xml:space="preserve"> bis, </w:t>
            </w:r>
            <w:r w:rsidRPr="00CF219D">
              <w:rPr>
                <w:rFonts w:ascii="Times New Roman" w:hAnsi="Times New Roman"/>
              </w:rPr>
              <w:t>274</w:t>
            </w:r>
            <w:r>
              <w:rPr>
                <w:rFonts w:ascii="Times New Roman" w:hAnsi="Times New Roman"/>
              </w:rPr>
              <w:t xml:space="preserve">, </w:t>
            </w:r>
            <w:r w:rsidRPr="00CF219D">
              <w:rPr>
                <w:rFonts w:ascii="Times New Roman" w:hAnsi="Times New Roman"/>
              </w:rPr>
              <w:t>295</w:t>
            </w:r>
            <w:r>
              <w:rPr>
                <w:rFonts w:ascii="Times New Roman" w:hAnsi="Times New Roman"/>
              </w:rPr>
              <w:t xml:space="preserve">, </w:t>
            </w:r>
            <w:r w:rsidRPr="00CF219D">
              <w:rPr>
                <w:rFonts w:ascii="Times New Roman" w:hAnsi="Times New Roman"/>
              </w:rPr>
              <w:t>296</w:t>
            </w:r>
            <w:r>
              <w:rPr>
                <w:rFonts w:ascii="Times New Roman" w:hAnsi="Times New Roman"/>
              </w:rPr>
              <w:t xml:space="preserve">, </w:t>
            </w:r>
            <w:r w:rsidRPr="00CF219D">
              <w:rPr>
                <w:rFonts w:ascii="Times New Roman" w:hAnsi="Times New Roman"/>
              </w:rPr>
              <w:t>297</w:t>
            </w:r>
            <w:r>
              <w:rPr>
                <w:rFonts w:ascii="Times New Roman" w:hAnsi="Times New Roman"/>
              </w:rPr>
              <w:t xml:space="preserve"> en </w:t>
            </w:r>
            <w:r w:rsidRPr="00CF219D">
              <w:rPr>
                <w:rFonts w:ascii="Times New Roman" w:hAnsi="Times New Roman"/>
              </w:rPr>
              <w:t>298</w:t>
            </w:r>
            <w:r>
              <w:rPr>
                <w:rFonts w:ascii="Times New Roman" w:hAnsi="Times New Roman"/>
              </w:rPr>
              <w:t xml:space="preserve"> van de VKV</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De in artikel </w:t>
            </w:r>
            <w:r w:rsidRPr="00CF219D">
              <w:rPr>
                <w:rFonts w:ascii="Times New Roman" w:hAnsi="Times New Roman"/>
              </w:rPr>
              <w:t>274</w:t>
            </w:r>
            <w:r>
              <w:rPr>
                <w:rFonts w:ascii="Times New Roman" w:hAnsi="Times New Roman"/>
              </w:rPr>
              <w:t xml:space="preserve">, lid </w:t>
            </w:r>
            <w:r w:rsidRPr="00CF219D">
              <w:rPr>
                <w:rFonts w:ascii="Times New Roman" w:hAnsi="Times New Roman"/>
              </w:rPr>
              <w:t>1</w:t>
            </w:r>
            <w:r>
              <w:rPr>
                <w:rFonts w:ascii="Times New Roman" w:hAnsi="Times New Roman"/>
              </w:rPr>
              <w:t>, van de VKV gespecificeerde actuele vervangingswaarde van in bijlage II bij de VKV genoemde contracten en kredietderivaten, met inbegrip van die buiten de balanstelling, wordt inclusief de ontvangen variatiemarge gerapporteerd.</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Zoals in artikel </w:t>
            </w:r>
            <w:r w:rsidRPr="00CF219D">
              <w:rPr>
                <w:rFonts w:ascii="Times New Roman" w:hAnsi="Times New Roman"/>
              </w:rPr>
              <w:t>429</w:t>
            </w:r>
            <w:r>
              <w:rPr>
                <w:rFonts w:ascii="Times New Roman" w:hAnsi="Times New Roman"/>
              </w:rPr>
              <w:t xml:space="preserve"> bis, lid </w:t>
            </w:r>
            <w:r w:rsidRPr="00CF219D">
              <w:rPr>
                <w:rFonts w:ascii="Times New Roman" w:hAnsi="Times New Roman"/>
              </w:rPr>
              <w:t>1</w:t>
            </w:r>
            <w:r>
              <w:rPr>
                <w:rFonts w:ascii="Times New Roman" w:hAnsi="Times New Roman"/>
              </w:rPr>
              <w:t>, van de VKV is bepaald, mogen instellingen overeenkomstig artikel </w:t>
            </w:r>
            <w:r w:rsidRPr="00CF219D">
              <w:rPr>
                <w:rFonts w:ascii="Times New Roman" w:hAnsi="Times New Roman"/>
              </w:rPr>
              <w:t>295</w:t>
            </w:r>
            <w:r>
              <w:rPr>
                <w:rFonts w:ascii="Times New Roman" w:hAnsi="Times New Roman"/>
              </w:rPr>
              <w:t xml:space="preserve"> van de VKV met de gevolgen van schuldvernieuwingscontracten en andere verrekeningsovereenkomsten rekening houden. Productoverschrijdende verrekening is niet van toepassing. Instellingen kunnen echter verrekening toepassen binnen de in artikel </w:t>
            </w:r>
            <w:r w:rsidRPr="00CF219D">
              <w:rPr>
                <w:rFonts w:ascii="Times New Roman" w:hAnsi="Times New Roman"/>
              </w:rPr>
              <w:t>272</w:t>
            </w:r>
            <w:r>
              <w:rPr>
                <w:rFonts w:ascii="Times New Roman" w:hAnsi="Times New Roman"/>
              </w:rPr>
              <w:t>, punt </w:t>
            </w:r>
            <w:r w:rsidRPr="00CF219D">
              <w:rPr>
                <w:rFonts w:ascii="Times New Roman" w:hAnsi="Times New Roman"/>
              </w:rPr>
              <w:t>25</w:t>
            </w:r>
            <w:r>
              <w:rPr>
                <w:rFonts w:ascii="Times New Roman" w:hAnsi="Times New Roman"/>
              </w:rPr>
              <w:t>, onder c), van de VKV bedoelde productcategorie en bij kredietderivaten wanneer zij onderworpen zijn aan een in artikel </w:t>
            </w:r>
            <w:r w:rsidRPr="00CF219D">
              <w:rPr>
                <w:rFonts w:ascii="Times New Roman" w:hAnsi="Times New Roman"/>
              </w:rPr>
              <w:t>295</w:t>
            </w:r>
            <w:r>
              <w:rPr>
                <w:rFonts w:ascii="Times New Roman" w:hAnsi="Times New Roman"/>
              </w:rPr>
              <w:t>, onder c), van de VKV bedoelde overeenkomst inzake productoverschrijdende contractuele verrekening.</w:t>
            </w:r>
          </w:p>
          <w:p w:rsidR="00AE2798" w:rsidRPr="00FE002E" w:rsidRDefault="00AE2798" w:rsidP="00FE0FF1">
            <w:pPr>
              <w:pStyle w:val="BodyText1"/>
              <w:spacing w:line="240" w:lineRule="auto"/>
              <w:rPr>
                <w:rFonts w:ascii="Times New Roman" w:hAnsi="Times New Roman"/>
              </w:rPr>
            </w:pPr>
          </w:p>
          <w:p w:rsidR="00AE2798" w:rsidRPr="00FE002E" w:rsidRDefault="00AE2798" w:rsidP="00FE0FF1">
            <w:pPr>
              <w:pStyle w:val="BodyText1"/>
              <w:spacing w:line="240" w:lineRule="auto"/>
              <w:rPr>
                <w:rFonts w:ascii="Times New Roman" w:hAnsi="Times New Roman"/>
              </w:rPr>
            </w:pPr>
            <w:r>
              <w:rPr>
                <w:rFonts w:ascii="Times New Roman" w:hAnsi="Times New Roman"/>
              </w:rPr>
              <w:t xml:space="preserve">Instellingen nemen in deze cel geen contracten op waarvan de waarde overeenkomstig artikel </w:t>
            </w:r>
            <w:r w:rsidRPr="00CF219D">
              <w:rPr>
                <w:rFonts w:ascii="Times New Roman" w:hAnsi="Times New Roman"/>
              </w:rPr>
              <w:t>429</w:t>
            </w:r>
            <w:r>
              <w:rPr>
                <w:rFonts w:ascii="Times New Roman" w:hAnsi="Times New Roman"/>
              </w:rPr>
              <w:t xml:space="preserve"> bis, lid </w:t>
            </w:r>
            <w:r w:rsidRPr="00CF219D">
              <w:rPr>
                <w:rFonts w:ascii="Times New Roman" w:hAnsi="Times New Roman"/>
              </w:rPr>
              <w:t>8</w:t>
            </w:r>
            <w:r>
              <w:rPr>
                <w:rFonts w:ascii="Times New Roman" w:hAnsi="Times New Roman"/>
              </w:rPr>
              <w:t xml:space="preserve">, en artikel </w:t>
            </w:r>
            <w:r w:rsidRPr="00CF219D">
              <w:rPr>
                <w:rFonts w:ascii="Times New Roman" w:hAnsi="Times New Roman"/>
              </w:rPr>
              <w:t>275</w:t>
            </w:r>
            <w:r>
              <w:rPr>
                <w:rFonts w:ascii="Times New Roman" w:hAnsi="Times New Roman"/>
              </w:rPr>
              <w:t xml:space="preserve"> van de VKV volgens de oorspronkelijkeblootstellingsmethode wordt bepaald.</w:t>
            </w:r>
          </w:p>
          <w:p w:rsidR="00AE2798" w:rsidRPr="00FE002E" w:rsidRDefault="00AE2798" w:rsidP="00FE0FF1">
            <w:pPr>
              <w:pStyle w:val="BodyText1"/>
              <w:spacing w:line="240" w:lineRule="auto"/>
              <w:rPr>
                <w:rFonts w:ascii="Times New Roman" w:hAnsi="Times New Roman"/>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71081">
            <w:pPr>
              <w:pStyle w:val="BodyText1"/>
              <w:rPr>
                <w:rFonts w:ascii="Times New Roman" w:hAnsi="Times New Roman"/>
                <w:bCs/>
              </w:rPr>
            </w:pPr>
            <w:r>
              <w:rPr>
                <w:rFonts w:ascii="Times New Roman" w:hAnsi="Times New Roman"/>
              </w:rPr>
              <w:t>{</w:t>
            </w:r>
            <w:r w:rsidRPr="00CF219D">
              <w:rPr>
                <w:rFonts w:ascii="Times New Roman" w:hAnsi="Times New Roman"/>
              </w:rPr>
              <w:t>070</w:t>
            </w:r>
            <w:r>
              <w:rPr>
                <w:rFonts w:ascii="Times New Roman" w:hAnsi="Times New Roman"/>
              </w:rPr>
              <w:t>;</w:t>
            </w:r>
            <w:r w:rsidRPr="00CF219D">
              <w:rPr>
                <w:rFonts w:ascii="Times New Roman" w:hAnsi="Times New Roman"/>
              </w:rPr>
              <w:t>010</w:t>
            </w:r>
            <w:r>
              <w:rPr>
                <w:rFonts w:ascii="Times New Roman" w:hAnsi="Times New Roman"/>
              </w:rPr>
              <w:t>}</w:t>
            </w:r>
          </w:p>
        </w:tc>
        <w:tc>
          <w:tcPr>
            <w:tcW w:w="7590" w:type="dxa"/>
            <w:tcBorders>
              <w:bottom w:val="single" w:sz="4" w:space="0" w:color="auto"/>
            </w:tcBorders>
          </w:tcPr>
          <w:p w:rsidR="00AE2798" w:rsidRDefault="005556DC" w:rsidP="00FE0FF1">
            <w:pPr>
              <w:pStyle w:val="BodyText1"/>
              <w:spacing w:line="240" w:lineRule="auto"/>
              <w:rPr>
                <w:rFonts w:ascii="Times New Roman" w:hAnsi="Times New Roman"/>
                <w:bCs/>
              </w:rPr>
            </w:pPr>
            <w:r>
              <w:rPr>
                <w:rFonts w:ascii="Times New Roman" w:hAnsi="Times New Roman"/>
                <w:b/>
              </w:rPr>
              <w:t>(-) Toelaatbare in contanten ontvangen variatiemarge afgetrokken van de marktwaarde van derivaten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429</w:t>
            </w:r>
            <w:r>
              <w:rPr>
                <w:rFonts w:ascii="Times New Roman" w:hAnsi="Times New Roman"/>
              </w:rPr>
              <w:t xml:space="preserve"> bis, lid </w:t>
            </w:r>
            <w:r w:rsidRPr="00CF219D">
              <w:rPr>
                <w:rFonts w:ascii="Times New Roman" w:hAnsi="Times New Roman"/>
              </w:rPr>
              <w:t>3</w:t>
            </w:r>
            <w:r>
              <w:rPr>
                <w:rFonts w:ascii="Times New Roman" w:hAnsi="Times New Roman"/>
              </w:rPr>
              <w:t>, van de VKV</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Van de tegenpartij in contanten ontvangen variatiemarge die overeenkomstig artikel </w:t>
            </w:r>
            <w:r w:rsidRPr="00CF219D">
              <w:rPr>
                <w:rFonts w:ascii="Times New Roman" w:hAnsi="Times New Roman"/>
              </w:rPr>
              <w:t>429</w:t>
            </w:r>
            <w:r>
              <w:rPr>
                <w:rFonts w:ascii="Times New Roman" w:hAnsi="Times New Roman"/>
              </w:rPr>
              <w:t xml:space="preserve"> bis, lid </w:t>
            </w:r>
            <w:r w:rsidRPr="00CF219D">
              <w:rPr>
                <w:rFonts w:ascii="Times New Roman" w:hAnsi="Times New Roman"/>
              </w:rPr>
              <w:t>3</w:t>
            </w:r>
            <w:r>
              <w:rPr>
                <w:rFonts w:ascii="Times New Roman" w:hAnsi="Times New Roman"/>
              </w:rPr>
              <w:t>, van de VKV mag worden afgetrokken van het gedeelte van de blootstellingswaarde dat de actuele vervangingswaarde van de derivatenblootstelling omvat.</w:t>
            </w:r>
          </w:p>
          <w:p w:rsidR="00291B93" w:rsidRDefault="00291B93" w:rsidP="00FE0FF1">
            <w:pPr>
              <w:pStyle w:val="BodyText1"/>
              <w:spacing w:line="240" w:lineRule="auto"/>
              <w:rPr>
                <w:rFonts w:ascii="Times New Roman" w:hAnsi="Times New Roman"/>
                <w:bCs/>
              </w:rPr>
            </w:pPr>
          </w:p>
          <w:p w:rsidR="00291B93" w:rsidRDefault="00291B93" w:rsidP="00FE0FF1">
            <w:pPr>
              <w:pStyle w:val="BodyText1"/>
              <w:spacing w:line="240" w:lineRule="auto"/>
              <w:rPr>
                <w:rFonts w:ascii="Times New Roman" w:hAnsi="Times New Roman"/>
                <w:bCs/>
              </w:rPr>
            </w:pPr>
            <w:r>
              <w:rPr>
                <w:rFonts w:ascii="Times New Roman" w:hAnsi="Times New Roman"/>
              </w:rPr>
              <w:t>Enigerlei in contanten ontvangen variatiemarge uit hoofde van een overeenkomstig artikel </w:t>
            </w:r>
            <w:r w:rsidRPr="00CF219D">
              <w:rPr>
                <w:rFonts w:ascii="Times New Roman" w:hAnsi="Times New Roman"/>
              </w:rPr>
              <w:t>429</w:t>
            </w:r>
            <w:r>
              <w:rPr>
                <w:rFonts w:ascii="Times New Roman" w:hAnsi="Times New Roman"/>
              </w:rPr>
              <w:t>, lid </w:t>
            </w:r>
            <w:r w:rsidRPr="00CF219D">
              <w:rPr>
                <w:rFonts w:ascii="Times New Roman" w:hAnsi="Times New Roman"/>
              </w:rPr>
              <w:t>11</w:t>
            </w:r>
            <w:r>
              <w:rPr>
                <w:rFonts w:ascii="Times New Roman" w:hAnsi="Times New Roman"/>
              </w:rPr>
              <w:t>, van de VKV uitgesloten CTP-deel wordt niet gerapporteerd.</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71081">
            <w:pPr>
              <w:pStyle w:val="BodyText1"/>
              <w:rPr>
                <w:rFonts w:ascii="Times New Roman" w:hAnsi="Times New Roman"/>
                <w:bCs/>
              </w:rPr>
            </w:pPr>
            <w:r>
              <w:rPr>
                <w:rFonts w:ascii="Times New Roman" w:hAnsi="Times New Roman"/>
              </w:rPr>
              <w:t>{</w:t>
            </w:r>
            <w:r w:rsidRPr="00CF219D">
              <w:rPr>
                <w:rFonts w:ascii="Times New Roman" w:hAnsi="Times New Roman"/>
              </w:rPr>
              <w:t>080</w:t>
            </w:r>
            <w:r>
              <w:rPr>
                <w:rFonts w:ascii="Times New Roman" w:hAnsi="Times New Roman"/>
              </w:rPr>
              <w:t>;</w:t>
            </w:r>
            <w:r w:rsidRPr="00CF219D">
              <w:rPr>
                <w:rFonts w:ascii="Times New Roman" w:hAnsi="Times New Roman"/>
              </w:rPr>
              <w:t>010</w:t>
            </w:r>
            <w:r>
              <w:rPr>
                <w:rFonts w:ascii="Times New Roman" w:hAnsi="Times New Roman"/>
              </w:rPr>
              <w:t>}</w:t>
            </w:r>
          </w:p>
        </w:tc>
        <w:tc>
          <w:tcPr>
            <w:tcW w:w="7590" w:type="dxa"/>
            <w:tcBorders>
              <w:bottom w:val="single" w:sz="4" w:space="0" w:color="auto"/>
            </w:tcBorders>
          </w:tcPr>
          <w:p w:rsidR="00AE2798" w:rsidRDefault="005556DC" w:rsidP="00FE0FF1">
            <w:pPr>
              <w:pStyle w:val="BodyText1"/>
              <w:spacing w:line="240" w:lineRule="auto"/>
              <w:rPr>
                <w:rFonts w:ascii="Times New Roman" w:hAnsi="Times New Roman"/>
                <w:bCs/>
              </w:rPr>
            </w:pPr>
            <w:r>
              <w:rPr>
                <w:rFonts w:ascii="Times New Roman" w:hAnsi="Times New Roman"/>
                <w:b/>
              </w:rPr>
              <w:t>(-) Uitgesloten CTP-deel van als cliënt geclearde transactieblootstellingen (vervangingswaarde)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lastRenderedPageBreak/>
              <w:t xml:space="preserve">Artikel </w:t>
            </w:r>
            <w:r w:rsidRPr="00CF219D">
              <w:rPr>
                <w:rFonts w:ascii="Times New Roman" w:hAnsi="Times New Roman"/>
              </w:rPr>
              <w:t>429</w:t>
            </w:r>
            <w:r>
              <w:rPr>
                <w:rFonts w:ascii="Times New Roman" w:hAnsi="Times New Roman"/>
              </w:rPr>
              <w:t xml:space="preserve">, lid </w:t>
            </w:r>
            <w:r w:rsidRPr="00CF219D">
              <w:rPr>
                <w:rFonts w:ascii="Times New Roman" w:hAnsi="Times New Roman"/>
              </w:rPr>
              <w:t>11</w:t>
            </w:r>
            <w:r>
              <w:rPr>
                <w:rFonts w:ascii="Times New Roman" w:hAnsi="Times New Roman"/>
              </w:rPr>
              <w:t>, van de VKV</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Het gedeelte van de blootstellingswaarde dat de vervangingswaarde omvat van uitgesloten transactieblootstellingen met betrekking tot een gekwalificeerde centrale tegenpartij (CTP) uit hoofde van als cliënt geclearde derivatentransacties, mits deze posten aan de in artikel </w:t>
            </w:r>
            <w:r w:rsidRPr="00CF219D">
              <w:rPr>
                <w:rFonts w:ascii="Times New Roman" w:hAnsi="Times New Roman"/>
              </w:rPr>
              <w:t>306</w:t>
            </w:r>
            <w:r>
              <w:rPr>
                <w:rFonts w:ascii="Times New Roman" w:hAnsi="Times New Roman"/>
              </w:rPr>
              <w:t xml:space="preserve">, lid </w:t>
            </w:r>
            <w:r w:rsidRPr="00CF219D">
              <w:rPr>
                <w:rFonts w:ascii="Times New Roman" w:hAnsi="Times New Roman"/>
              </w:rPr>
              <w:t>1</w:t>
            </w:r>
            <w:r>
              <w:rPr>
                <w:rFonts w:ascii="Times New Roman" w:hAnsi="Times New Roman"/>
              </w:rPr>
              <w:t>, onder c), van de VKV gestelde voorwaarden voldoen. Dit bedrag wordt gerapporteerd inclusief de in contanten ontvangen variatiemarge uit hoofde van dit deel.</w:t>
            </w:r>
          </w:p>
          <w:p w:rsidR="00AE2798" w:rsidRDefault="00AE2798" w:rsidP="00FE0FF1">
            <w:pPr>
              <w:pStyle w:val="BodyText1"/>
              <w:spacing w:line="240" w:lineRule="auto"/>
              <w:rPr>
                <w:rFonts w:ascii="Times New Roman" w:hAnsi="Times New Roman"/>
                <w:bCs/>
              </w:rPr>
            </w:pPr>
          </w:p>
          <w:p w:rsidR="00184D76" w:rsidRDefault="00184D76" w:rsidP="00184D76">
            <w:pPr>
              <w:pStyle w:val="BodyText1"/>
              <w:spacing w:line="240" w:lineRule="auto"/>
              <w:rPr>
                <w:rFonts w:ascii="Times New Roman" w:hAnsi="Times New Roman"/>
                <w:bCs/>
              </w:rPr>
            </w:pPr>
            <w:r>
              <w:rPr>
                <w:rFonts w:ascii="Times New Roman" w:hAnsi="Times New Roman"/>
              </w:rPr>
              <w:t>Instellingen nemen het in deze cel gerapporteerde bedrag ook op in {</w:t>
            </w:r>
            <w:r w:rsidRPr="00CF219D">
              <w:rPr>
                <w:rFonts w:ascii="Times New Roman" w:hAnsi="Times New Roman"/>
              </w:rPr>
              <w:t>060</w:t>
            </w:r>
            <w:r>
              <w:rPr>
                <w:rFonts w:ascii="Times New Roman" w:hAnsi="Times New Roman"/>
              </w:rPr>
              <w:t>;</w:t>
            </w:r>
            <w:r w:rsidRPr="00CF219D">
              <w:rPr>
                <w:rFonts w:ascii="Times New Roman" w:hAnsi="Times New Roman"/>
              </w:rPr>
              <w:t>010</w:t>
            </w:r>
            <w:r>
              <w:rPr>
                <w:rFonts w:ascii="Times New Roman" w:hAnsi="Times New Roman"/>
              </w:rPr>
              <w:t>} alsof er van geen uitsluiting sprake is.</w:t>
            </w:r>
          </w:p>
          <w:p w:rsidR="00184D76" w:rsidRPr="0084012A" w:rsidRDefault="00184D76"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lastRenderedPageBreak/>
              <w:t>{</w:t>
            </w:r>
            <w:r w:rsidRPr="00CF219D">
              <w:rPr>
                <w:rFonts w:ascii="Times New Roman" w:hAnsi="Times New Roman"/>
              </w:rPr>
              <w:t>090</w:t>
            </w:r>
            <w:r>
              <w:rPr>
                <w:rFonts w:ascii="Times New Roman" w:hAnsi="Times New Roman"/>
              </w:rPr>
              <w:t>;</w:t>
            </w:r>
            <w:r w:rsidRPr="00CF219D">
              <w:rPr>
                <w:rFonts w:ascii="Times New Roman" w:hAnsi="Times New Roman"/>
              </w:rPr>
              <w:t>010</w:t>
            </w:r>
            <w:r>
              <w:rPr>
                <w:rFonts w:ascii="Times New Roman" w:hAnsi="Times New Roman"/>
              </w:rPr>
              <w:t>}</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Derivaten: opslagfactor volgens de op de waardering tegen marktwaarde gebaseerde methode</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Artikelen </w:t>
            </w:r>
            <w:r w:rsidRPr="00CF219D">
              <w:rPr>
                <w:rFonts w:ascii="Times New Roman" w:hAnsi="Times New Roman"/>
              </w:rPr>
              <w:t>429</w:t>
            </w:r>
            <w:r>
              <w:rPr>
                <w:rFonts w:ascii="Times New Roman" w:hAnsi="Times New Roman"/>
              </w:rPr>
              <w:t xml:space="preserve"> bis, </w:t>
            </w:r>
            <w:r w:rsidRPr="00CF219D">
              <w:rPr>
                <w:rFonts w:ascii="Times New Roman" w:hAnsi="Times New Roman"/>
              </w:rPr>
              <w:t>274</w:t>
            </w:r>
            <w:r>
              <w:rPr>
                <w:rFonts w:ascii="Times New Roman" w:hAnsi="Times New Roman"/>
              </w:rPr>
              <w:t xml:space="preserve">, </w:t>
            </w:r>
            <w:r w:rsidRPr="00CF219D">
              <w:rPr>
                <w:rFonts w:ascii="Times New Roman" w:hAnsi="Times New Roman"/>
              </w:rPr>
              <w:t>295</w:t>
            </w:r>
            <w:r>
              <w:rPr>
                <w:rFonts w:ascii="Times New Roman" w:hAnsi="Times New Roman"/>
              </w:rPr>
              <w:t xml:space="preserve">, </w:t>
            </w:r>
            <w:r w:rsidRPr="00CF219D">
              <w:rPr>
                <w:rFonts w:ascii="Times New Roman" w:hAnsi="Times New Roman"/>
              </w:rPr>
              <w:t>296</w:t>
            </w:r>
            <w:r>
              <w:rPr>
                <w:rFonts w:ascii="Times New Roman" w:hAnsi="Times New Roman"/>
              </w:rPr>
              <w:t xml:space="preserve">, </w:t>
            </w:r>
            <w:r w:rsidRPr="00CF219D">
              <w:rPr>
                <w:rFonts w:ascii="Times New Roman" w:hAnsi="Times New Roman"/>
              </w:rPr>
              <w:t>297</w:t>
            </w:r>
            <w:r>
              <w:rPr>
                <w:rFonts w:ascii="Times New Roman" w:hAnsi="Times New Roman"/>
              </w:rPr>
              <w:t xml:space="preserve"> en </w:t>
            </w:r>
            <w:r w:rsidRPr="00CF219D">
              <w:rPr>
                <w:rFonts w:ascii="Times New Roman" w:hAnsi="Times New Roman"/>
              </w:rPr>
              <w:t>298</w:t>
            </w:r>
            <w:r>
              <w:rPr>
                <w:rFonts w:ascii="Times New Roman" w:hAnsi="Times New Roman"/>
              </w:rPr>
              <w:t xml:space="preserve"> en artikel </w:t>
            </w:r>
            <w:r w:rsidRPr="00CF219D">
              <w:rPr>
                <w:rFonts w:ascii="Times New Roman" w:hAnsi="Times New Roman"/>
              </w:rPr>
              <w:t>299</w:t>
            </w:r>
            <w:r>
              <w:rPr>
                <w:rFonts w:ascii="Times New Roman" w:hAnsi="Times New Roman"/>
              </w:rPr>
              <w:t xml:space="preserve">, lid </w:t>
            </w:r>
            <w:r w:rsidRPr="00CF219D">
              <w:rPr>
                <w:rFonts w:ascii="Times New Roman" w:hAnsi="Times New Roman"/>
              </w:rPr>
              <w:t>2</w:t>
            </w:r>
            <w:r>
              <w:rPr>
                <w:rFonts w:ascii="Times New Roman" w:hAnsi="Times New Roman"/>
              </w:rPr>
              <w:t>, van de VKV</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Deze cel bevat de opslagfactor voor de potentiële toekomstige blootstelling van in bijlage II bij de VKV genoemde contracten en van kredietderivaten (met inbegrip van die buiten de balanstelling), berekend volgens de op de waardering tegen marktwaarde gebaseerde methode (artikel </w:t>
            </w:r>
            <w:r w:rsidRPr="00CF219D">
              <w:rPr>
                <w:rFonts w:ascii="Times New Roman" w:hAnsi="Times New Roman"/>
              </w:rPr>
              <w:t>274</w:t>
            </w:r>
            <w:r>
              <w:rPr>
                <w:rFonts w:ascii="Times New Roman" w:hAnsi="Times New Roman"/>
              </w:rPr>
              <w:t xml:space="preserve"> van de VKV voor in bijlage II bij de VKV genoemde contracten en artikel </w:t>
            </w:r>
            <w:r w:rsidRPr="00CF219D">
              <w:rPr>
                <w:rFonts w:ascii="Times New Roman" w:hAnsi="Times New Roman"/>
              </w:rPr>
              <w:t>299</w:t>
            </w:r>
            <w:r>
              <w:rPr>
                <w:rFonts w:ascii="Times New Roman" w:hAnsi="Times New Roman"/>
              </w:rPr>
              <w:t xml:space="preserve">, lid </w:t>
            </w:r>
            <w:r w:rsidRPr="00CF219D">
              <w:rPr>
                <w:rFonts w:ascii="Times New Roman" w:hAnsi="Times New Roman"/>
              </w:rPr>
              <w:t>2</w:t>
            </w:r>
            <w:r>
              <w:rPr>
                <w:rFonts w:ascii="Times New Roman" w:hAnsi="Times New Roman"/>
              </w:rPr>
              <w:t xml:space="preserve">, van de VKV voor kredietderivaten) en met toepassing van de verrekeningsregels overeenkomstig artikel </w:t>
            </w:r>
            <w:r w:rsidRPr="00CF219D">
              <w:rPr>
                <w:rFonts w:ascii="Times New Roman" w:hAnsi="Times New Roman"/>
              </w:rPr>
              <w:t>429</w:t>
            </w:r>
            <w:r>
              <w:rPr>
                <w:rFonts w:ascii="Times New Roman" w:hAnsi="Times New Roman"/>
              </w:rPr>
              <w:t xml:space="preserve"> bis, lid </w:t>
            </w:r>
            <w:r w:rsidRPr="00CF219D">
              <w:rPr>
                <w:rFonts w:ascii="Times New Roman" w:hAnsi="Times New Roman"/>
              </w:rPr>
              <w:t>1</w:t>
            </w:r>
            <w:r>
              <w:rPr>
                <w:rFonts w:ascii="Times New Roman" w:hAnsi="Times New Roman"/>
              </w:rPr>
              <w:t xml:space="preserve">, van de VKV. Bij het bepalen van de blootstellingswaarde van die contracten mogen instellingen overeenkomstig artikel </w:t>
            </w:r>
            <w:r w:rsidRPr="00CF219D">
              <w:rPr>
                <w:rFonts w:ascii="Times New Roman" w:hAnsi="Times New Roman"/>
              </w:rPr>
              <w:t>295</w:t>
            </w:r>
            <w:r>
              <w:rPr>
                <w:rFonts w:ascii="Times New Roman" w:hAnsi="Times New Roman"/>
              </w:rPr>
              <w:t xml:space="preserve"> van de VKV met de gevolgen van schuldvernieuwingscontracten en andere verrekeningsovereenkomsten rekening houden. Productoverschrijdende verrekening is niet van toepassing. Instellingen kunnen echter verrekening toepassen binnen de in artikel </w:t>
            </w:r>
            <w:r w:rsidRPr="00CF219D">
              <w:rPr>
                <w:rFonts w:ascii="Times New Roman" w:hAnsi="Times New Roman"/>
              </w:rPr>
              <w:t>272</w:t>
            </w:r>
            <w:r>
              <w:rPr>
                <w:rFonts w:ascii="Times New Roman" w:hAnsi="Times New Roman"/>
              </w:rPr>
              <w:t>, punt </w:t>
            </w:r>
            <w:r w:rsidRPr="00CF219D">
              <w:rPr>
                <w:rFonts w:ascii="Times New Roman" w:hAnsi="Times New Roman"/>
              </w:rPr>
              <w:t>25</w:t>
            </w:r>
            <w:r>
              <w:rPr>
                <w:rFonts w:ascii="Times New Roman" w:hAnsi="Times New Roman"/>
              </w:rPr>
              <w:t>, onder c), van de VKV bedoelde productcategorie en bij kredietderivaten wanneer zij onderworpen zijn aan een in artikel </w:t>
            </w:r>
            <w:r w:rsidRPr="00CF219D">
              <w:rPr>
                <w:rFonts w:ascii="Times New Roman" w:hAnsi="Times New Roman"/>
              </w:rPr>
              <w:t>295</w:t>
            </w:r>
            <w:r>
              <w:rPr>
                <w:rFonts w:ascii="Times New Roman" w:hAnsi="Times New Roman"/>
              </w:rPr>
              <w:t xml:space="preserve">, onder c), van de VKV bedoelde overeenkomst inzake productoverschrijdende contractuele verrekening.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Overeenkomstig artikel </w:t>
            </w:r>
            <w:r w:rsidRPr="00CF219D">
              <w:rPr>
                <w:rFonts w:ascii="Times New Roman" w:hAnsi="Times New Roman"/>
              </w:rPr>
              <w:t>429</w:t>
            </w:r>
            <w:r>
              <w:rPr>
                <w:rFonts w:ascii="Times New Roman" w:hAnsi="Times New Roman"/>
              </w:rPr>
              <w:t xml:space="preserve"> bis, lid </w:t>
            </w:r>
            <w:r w:rsidRPr="00CF219D">
              <w:rPr>
                <w:rFonts w:ascii="Times New Roman" w:hAnsi="Times New Roman"/>
              </w:rPr>
              <w:t>1</w:t>
            </w:r>
            <w:r>
              <w:rPr>
                <w:rFonts w:ascii="Times New Roman" w:hAnsi="Times New Roman"/>
              </w:rPr>
              <w:t xml:space="preserve">, tweede alinea, van de VKV passen instellingen bij het bepalen van de potentiële blootstelling van kredietderivaten aan toekomstig kredietrisico de in artikel </w:t>
            </w:r>
            <w:r w:rsidRPr="00CF219D">
              <w:rPr>
                <w:rFonts w:ascii="Times New Roman" w:hAnsi="Times New Roman"/>
              </w:rPr>
              <w:t>299</w:t>
            </w:r>
            <w:r>
              <w:rPr>
                <w:rFonts w:ascii="Times New Roman" w:hAnsi="Times New Roman"/>
              </w:rPr>
              <w:t xml:space="preserve">, lid </w:t>
            </w:r>
            <w:r w:rsidRPr="00CF219D">
              <w:rPr>
                <w:rFonts w:ascii="Times New Roman" w:hAnsi="Times New Roman"/>
              </w:rPr>
              <w:t>2</w:t>
            </w:r>
            <w:r>
              <w:rPr>
                <w:rFonts w:ascii="Times New Roman" w:hAnsi="Times New Roman"/>
              </w:rPr>
              <w:t xml:space="preserve">, onder a), van de VKV vastgelegde beginselen niet alleen toe op de aan de handelsportefeuille toegewezen kredietderivaten, maar op al hun kredietderivaten.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rPr>
            </w:pPr>
            <w:r>
              <w:rPr>
                <w:rFonts w:ascii="Times New Roman" w:hAnsi="Times New Roman"/>
              </w:rPr>
              <w:t xml:space="preserve">Instellingen nemen in deze cel geen contracten op waarvan de waarde overeenkomstig artikel </w:t>
            </w:r>
            <w:r w:rsidRPr="00CF219D">
              <w:rPr>
                <w:rFonts w:ascii="Times New Roman" w:hAnsi="Times New Roman"/>
              </w:rPr>
              <w:t>429</w:t>
            </w:r>
            <w:r>
              <w:rPr>
                <w:rFonts w:ascii="Times New Roman" w:hAnsi="Times New Roman"/>
              </w:rPr>
              <w:t xml:space="preserve"> bis, lid </w:t>
            </w:r>
            <w:r w:rsidRPr="00CF219D">
              <w:rPr>
                <w:rFonts w:ascii="Times New Roman" w:hAnsi="Times New Roman"/>
              </w:rPr>
              <w:t>8</w:t>
            </w:r>
            <w:r>
              <w:rPr>
                <w:rFonts w:ascii="Times New Roman" w:hAnsi="Times New Roman"/>
              </w:rPr>
              <w:t xml:space="preserve">, en artikel </w:t>
            </w:r>
            <w:r w:rsidRPr="00CF219D">
              <w:rPr>
                <w:rFonts w:ascii="Times New Roman" w:hAnsi="Times New Roman"/>
              </w:rPr>
              <w:t>275</w:t>
            </w:r>
            <w:r>
              <w:rPr>
                <w:rFonts w:ascii="Times New Roman" w:hAnsi="Times New Roman"/>
              </w:rPr>
              <w:t xml:space="preserve"> van de VKV volgens de oorspronkelijkeblootstellingsmethode wordt bepaald.</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t>{</w:t>
            </w:r>
            <w:r w:rsidRPr="00CF219D">
              <w:rPr>
                <w:rFonts w:ascii="Times New Roman" w:hAnsi="Times New Roman"/>
              </w:rPr>
              <w:t>100</w:t>
            </w:r>
            <w:r>
              <w:rPr>
                <w:rFonts w:ascii="Times New Roman" w:hAnsi="Times New Roman"/>
              </w:rPr>
              <w:t>;</w:t>
            </w:r>
            <w:r w:rsidRPr="00CF219D">
              <w:rPr>
                <w:rFonts w:ascii="Times New Roman" w:hAnsi="Times New Roman"/>
              </w:rPr>
              <w:t>010</w:t>
            </w:r>
            <w:r>
              <w:rPr>
                <w:rFonts w:ascii="Times New Roman" w:hAnsi="Times New Roman"/>
              </w:rPr>
              <w:t>}</w:t>
            </w:r>
          </w:p>
        </w:tc>
        <w:tc>
          <w:tcPr>
            <w:tcW w:w="7590" w:type="dxa"/>
          </w:tcPr>
          <w:p w:rsidR="00AE2798" w:rsidRDefault="005556DC" w:rsidP="00FE0FF1">
            <w:pPr>
              <w:pStyle w:val="BodyText1"/>
              <w:spacing w:line="240" w:lineRule="auto"/>
              <w:rPr>
                <w:rFonts w:ascii="Times New Roman" w:hAnsi="Times New Roman"/>
                <w:bCs/>
              </w:rPr>
            </w:pPr>
            <w:r>
              <w:rPr>
                <w:rFonts w:ascii="Times New Roman" w:hAnsi="Times New Roman"/>
                <w:b/>
              </w:rPr>
              <w:t>(-) Uitgesloten CTP-deel van als cliënt geclearde transactieblootstellingen (potentiële toekomstige blootstelling)</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429</w:t>
            </w:r>
            <w:r>
              <w:rPr>
                <w:rFonts w:ascii="Times New Roman" w:hAnsi="Times New Roman"/>
              </w:rPr>
              <w:t xml:space="preserve">, lid </w:t>
            </w:r>
            <w:r w:rsidRPr="00CF219D">
              <w:rPr>
                <w:rFonts w:ascii="Times New Roman" w:hAnsi="Times New Roman"/>
              </w:rPr>
              <w:t>11</w:t>
            </w:r>
            <w:r>
              <w:rPr>
                <w:rFonts w:ascii="Times New Roman" w:hAnsi="Times New Roman"/>
              </w:rPr>
              <w:t>, van de VKV</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De potentiële toekomstige blootstelling van uitgesloten transactieblootstellingen met betrekking tot een gekwalificeerde CTP uit hoofde van als cliënt geclearde derivatentransacties, mits deze posten aan de in artikel </w:t>
            </w:r>
            <w:r w:rsidRPr="00CF219D">
              <w:rPr>
                <w:rFonts w:ascii="Times New Roman" w:hAnsi="Times New Roman"/>
              </w:rPr>
              <w:t>306</w:t>
            </w:r>
            <w:r>
              <w:rPr>
                <w:rFonts w:ascii="Times New Roman" w:hAnsi="Times New Roman"/>
              </w:rPr>
              <w:t xml:space="preserve">, lid </w:t>
            </w:r>
            <w:r w:rsidRPr="00CF219D">
              <w:rPr>
                <w:rFonts w:ascii="Times New Roman" w:hAnsi="Times New Roman"/>
              </w:rPr>
              <w:t>1</w:t>
            </w:r>
            <w:r>
              <w:rPr>
                <w:rFonts w:ascii="Times New Roman" w:hAnsi="Times New Roman"/>
              </w:rPr>
              <w:t>, onder c), van de VKV gestelde voorwaarden voldoen.</w:t>
            </w:r>
          </w:p>
          <w:p w:rsidR="001B3BF0" w:rsidRDefault="001B3BF0" w:rsidP="00FE0FF1">
            <w:pPr>
              <w:pStyle w:val="BodyText1"/>
              <w:spacing w:line="240" w:lineRule="auto"/>
              <w:rPr>
                <w:rFonts w:ascii="Times New Roman" w:hAnsi="Times New Roman"/>
                <w:bCs/>
              </w:rPr>
            </w:pPr>
          </w:p>
          <w:p w:rsidR="001B3BF0" w:rsidRDefault="001B3BF0" w:rsidP="00FE0FF1">
            <w:pPr>
              <w:pStyle w:val="BodyText1"/>
              <w:spacing w:line="240" w:lineRule="auto"/>
              <w:rPr>
                <w:rFonts w:ascii="Times New Roman" w:hAnsi="Times New Roman"/>
                <w:bCs/>
              </w:rPr>
            </w:pPr>
            <w:r>
              <w:rPr>
                <w:rFonts w:ascii="Times New Roman" w:hAnsi="Times New Roman"/>
              </w:rPr>
              <w:t>Instellingen nemen het in deze cel gerapporteerde bedrag ook op in {</w:t>
            </w:r>
            <w:r w:rsidRPr="00CF219D">
              <w:rPr>
                <w:rFonts w:ascii="Times New Roman" w:hAnsi="Times New Roman"/>
              </w:rPr>
              <w:t>090</w:t>
            </w:r>
            <w:r>
              <w:rPr>
                <w:rFonts w:ascii="Times New Roman" w:hAnsi="Times New Roman"/>
              </w:rPr>
              <w:t>;</w:t>
            </w:r>
            <w:r w:rsidRPr="00CF219D">
              <w:rPr>
                <w:rFonts w:ascii="Times New Roman" w:hAnsi="Times New Roman"/>
              </w:rPr>
              <w:t>010</w:t>
            </w:r>
            <w:r>
              <w:rPr>
                <w:rFonts w:ascii="Times New Roman" w:hAnsi="Times New Roman"/>
              </w:rPr>
              <w:t>} alsof er van geen uitsluiting sprake is.</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w:t>
            </w:r>
            <w:r w:rsidRPr="00CF219D">
              <w:rPr>
                <w:rFonts w:ascii="Times New Roman" w:hAnsi="Times New Roman"/>
              </w:rPr>
              <w:t>110</w:t>
            </w:r>
            <w:r>
              <w:rPr>
                <w:rFonts w:ascii="Times New Roman" w:hAnsi="Times New Roman"/>
              </w:rPr>
              <w:t>;</w:t>
            </w:r>
            <w:r w:rsidRPr="00CF219D">
              <w:rPr>
                <w:rFonts w:ascii="Times New Roman" w:hAnsi="Times New Roman"/>
              </w:rPr>
              <w:t>010</w:t>
            </w:r>
            <w:r>
              <w:rPr>
                <w:rFonts w:ascii="Times New Roman" w:hAnsi="Times New Roman"/>
              </w:rPr>
              <w:t>}</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Afwijking voor derivaten: oorspronkelijkeblootstellingsmethode</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429</w:t>
            </w:r>
            <w:r>
              <w:rPr>
                <w:rFonts w:ascii="Times New Roman" w:hAnsi="Times New Roman"/>
              </w:rPr>
              <w:t xml:space="preserve"> bis, lid </w:t>
            </w:r>
            <w:r w:rsidRPr="00CF219D">
              <w:rPr>
                <w:rFonts w:ascii="Times New Roman" w:hAnsi="Times New Roman"/>
              </w:rPr>
              <w:t>8</w:t>
            </w:r>
            <w:r>
              <w:rPr>
                <w:rFonts w:ascii="Times New Roman" w:hAnsi="Times New Roman"/>
              </w:rPr>
              <w:t xml:space="preserve">, en artikel </w:t>
            </w:r>
            <w:r w:rsidRPr="00CF219D">
              <w:rPr>
                <w:rFonts w:ascii="Times New Roman" w:hAnsi="Times New Roman"/>
              </w:rPr>
              <w:t>275</w:t>
            </w:r>
            <w:r>
              <w:rPr>
                <w:rFonts w:ascii="Times New Roman" w:hAnsi="Times New Roman"/>
              </w:rPr>
              <w:t xml:space="preserve"> van de VKV</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In deze cel wordt de blootstellingsmaatstaf vermeld van de in bijlage II, punten </w:t>
            </w:r>
            <w:r w:rsidRPr="00CF219D">
              <w:rPr>
                <w:rFonts w:ascii="Times New Roman" w:hAnsi="Times New Roman"/>
              </w:rPr>
              <w:t>1</w:t>
            </w:r>
            <w:r>
              <w:rPr>
                <w:rFonts w:ascii="Times New Roman" w:hAnsi="Times New Roman"/>
              </w:rPr>
              <w:t xml:space="preserve"> en </w:t>
            </w:r>
            <w:r w:rsidRPr="00CF219D">
              <w:rPr>
                <w:rFonts w:ascii="Times New Roman" w:hAnsi="Times New Roman"/>
              </w:rPr>
              <w:t>2</w:t>
            </w:r>
            <w:r>
              <w:rPr>
                <w:rFonts w:ascii="Times New Roman" w:hAnsi="Times New Roman"/>
              </w:rPr>
              <w:t xml:space="preserve">, van de VKV genoemde contracten, berekend volgens de in artikel </w:t>
            </w:r>
            <w:r w:rsidRPr="00CF219D">
              <w:rPr>
                <w:rFonts w:ascii="Times New Roman" w:hAnsi="Times New Roman"/>
              </w:rPr>
              <w:t>275</w:t>
            </w:r>
            <w:r>
              <w:rPr>
                <w:rFonts w:ascii="Times New Roman" w:hAnsi="Times New Roman"/>
              </w:rPr>
              <w:t xml:space="preserve"> van de VKV beschreven </w:t>
            </w:r>
            <w:r>
              <w:rPr>
                <w:rFonts w:ascii="Times New Roman" w:hAnsi="Times New Roman"/>
              </w:rPr>
              <w:lastRenderedPageBreak/>
              <w:t>oorspronkelijkeblootstellingsmethode.</w:t>
            </w:r>
          </w:p>
          <w:p w:rsidR="00AE2798" w:rsidRDefault="00AE2798" w:rsidP="00FE0FF1">
            <w:pPr>
              <w:pStyle w:val="BodyText1"/>
              <w:spacing w:line="240" w:lineRule="auto"/>
              <w:rPr>
                <w:rFonts w:ascii="Times New Roman" w:hAnsi="Times New Roman"/>
                <w:bCs/>
              </w:rPr>
            </w:pPr>
          </w:p>
          <w:p w:rsidR="00AE2798" w:rsidRPr="00FE002E" w:rsidRDefault="003F598C" w:rsidP="00FE0FF1">
            <w:pPr>
              <w:pStyle w:val="BodyText1"/>
              <w:spacing w:line="240" w:lineRule="auto"/>
              <w:rPr>
                <w:rFonts w:ascii="Times New Roman" w:hAnsi="Times New Roman"/>
                <w:bCs/>
              </w:rPr>
            </w:pPr>
            <w:r>
              <w:rPr>
                <w:rFonts w:ascii="Times New Roman" w:hAnsi="Times New Roman"/>
              </w:rPr>
              <w:t xml:space="preserve">Overeenkomstig artikel </w:t>
            </w:r>
            <w:r w:rsidRPr="00CF219D">
              <w:rPr>
                <w:rFonts w:ascii="Times New Roman" w:hAnsi="Times New Roman"/>
              </w:rPr>
              <w:t>429</w:t>
            </w:r>
            <w:r>
              <w:rPr>
                <w:rFonts w:ascii="Times New Roman" w:hAnsi="Times New Roman"/>
              </w:rPr>
              <w:t xml:space="preserve"> bis, lid </w:t>
            </w:r>
            <w:r w:rsidRPr="00CF219D">
              <w:rPr>
                <w:rFonts w:ascii="Times New Roman" w:hAnsi="Times New Roman"/>
              </w:rPr>
              <w:t>8</w:t>
            </w:r>
            <w:r>
              <w:rPr>
                <w:rFonts w:ascii="Times New Roman" w:hAnsi="Times New Roman"/>
              </w:rPr>
              <w:t>, van de VKV mogen instellingen die de oorspronkelijkeblootstellingsmethode toepassen, de blootstellingsmaatstaf niet verminderen met het bedrag van de in contanten ontvangen variatiemarge.</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Instellingen die de oorspronkelijkeblootstellingsmethode niet hanteren, rapporteren deze cel niet.</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rPr>
            </w:pPr>
            <w:r>
              <w:rPr>
                <w:rFonts w:ascii="Times New Roman" w:hAnsi="Times New Roman"/>
              </w:rPr>
              <w:t xml:space="preserve">Instellingen nemen in deze cel geen contracten in aanmerking waarvan de waarde overeenkomstig artikel </w:t>
            </w:r>
            <w:r w:rsidRPr="00CF219D">
              <w:rPr>
                <w:rFonts w:ascii="Times New Roman" w:hAnsi="Times New Roman"/>
              </w:rPr>
              <w:t>429</w:t>
            </w:r>
            <w:r>
              <w:rPr>
                <w:rFonts w:ascii="Times New Roman" w:hAnsi="Times New Roman"/>
              </w:rPr>
              <w:t xml:space="preserve"> bis, lid </w:t>
            </w:r>
            <w:r w:rsidRPr="00CF219D">
              <w:rPr>
                <w:rFonts w:ascii="Times New Roman" w:hAnsi="Times New Roman"/>
              </w:rPr>
              <w:t>1</w:t>
            </w:r>
            <w:r>
              <w:rPr>
                <w:rFonts w:ascii="Times New Roman" w:hAnsi="Times New Roman"/>
              </w:rPr>
              <w:t xml:space="preserve">, en artikel </w:t>
            </w:r>
            <w:r w:rsidRPr="00CF219D">
              <w:rPr>
                <w:rFonts w:ascii="Times New Roman" w:hAnsi="Times New Roman"/>
              </w:rPr>
              <w:t>274</w:t>
            </w:r>
            <w:r>
              <w:rPr>
                <w:rFonts w:ascii="Times New Roman" w:hAnsi="Times New Roman"/>
              </w:rPr>
              <w:t xml:space="preserve"> van de VKV volgens de op de waardering tegen marktwaarde gebaseerde methode wordt bepaald.</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lastRenderedPageBreak/>
              <w:t>{</w:t>
            </w:r>
            <w:r w:rsidRPr="00CF219D">
              <w:rPr>
                <w:rFonts w:ascii="Times New Roman" w:hAnsi="Times New Roman"/>
              </w:rPr>
              <w:t>120</w:t>
            </w:r>
            <w:r>
              <w:rPr>
                <w:rFonts w:ascii="Times New Roman" w:hAnsi="Times New Roman"/>
              </w:rPr>
              <w:t>;</w:t>
            </w:r>
            <w:r w:rsidRPr="00CF219D">
              <w:rPr>
                <w:rFonts w:ascii="Times New Roman" w:hAnsi="Times New Roman"/>
              </w:rPr>
              <w:t>010</w:t>
            </w:r>
            <w:r>
              <w:rPr>
                <w:rFonts w:ascii="Times New Roman" w:hAnsi="Times New Roman"/>
              </w:rPr>
              <w:t>}</w:t>
            </w:r>
          </w:p>
        </w:tc>
        <w:tc>
          <w:tcPr>
            <w:tcW w:w="7590" w:type="dxa"/>
          </w:tcPr>
          <w:p w:rsidR="00AE2798" w:rsidRDefault="00422C76" w:rsidP="00FE0FF1">
            <w:pPr>
              <w:pStyle w:val="BodyText1"/>
              <w:spacing w:line="240" w:lineRule="auto"/>
              <w:rPr>
                <w:rFonts w:ascii="Times New Roman" w:hAnsi="Times New Roman"/>
                <w:bCs/>
              </w:rPr>
            </w:pPr>
            <w:r>
              <w:rPr>
                <w:rFonts w:ascii="Times New Roman" w:hAnsi="Times New Roman"/>
                <w:b/>
              </w:rPr>
              <w:t>(-) Uitgesloten CTP-deel van als cliënt geclearde transactieblootstellingen (oorspronkelijkeblootstellingsmethode)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429</w:t>
            </w:r>
            <w:r>
              <w:rPr>
                <w:rFonts w:ascii="Times New Roman" w:hAnsi="Times New Roman"/>
              </w:rPr>
              <w:t xml:space="preserve">, lid </w:t>
            </w:r>
            <w:r w:rsidRPr="00CF219D">
              <w:rPr>
                <w:rFonts w:ascii="Times New Roman" w:hAnsi="Times New Roman"/>
              </w:rPr>
              <w:t>11</w:t>
            </w:r>
            <w:r>
              <w:rPr>
                <w:rFonts w:ascii="Times New Roman" w:hAnsi="Times New Roman"/>
              </w:rPr>
              <w:t>, van de VKV</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Het uitgesloten CTP-deel van als cliënt geclearde transactieblootstellingen volgens de in artikel </w:t>
            </w:r>
            <w:r w:rsidRPr="00CF219D">
              <w:rPr>
                <w:rFonts w:ascii="Times New Roman" w:hAnsi="Times New Roman"/>
              </w:rPr>
              <w:t>275</w:t>
            </w:r>
            <w:r>
              <w:rPr>
                <w:rFonts w:ascii="Times New Roman" w:hAnsi="Times New Roman"/>
              </w:rPr>
              <w:t xml:space="preserve"> van de VKV beschreven oorspronkelijkeblootstellingsmethode, mits die posten aan de in artikel </w:t>
            </w:r>
            <w:r w:rsidRPr="00CF219D">
              <w:rPr>
                <w:rFonts w:ascii="Times New Roman" w:hAnsi="Times New Roman"/>
              </w:rPr>
              <w:t>306</w:t>
            </w:r>
            <w:r>
              <w:rPr>
                <w:rFonts w:ascii="Times New Roman" w:hAnsi="Times New Roman"/>
              </w:rPr>
              <w:t xml:space="preserve">, lid </w:t>
            </w:r>
            <w:r w:rsidRPr="00CF219D">
              <w:rPr>
                <w:rFonts w:ascii="Times New Roman" w:hAnsi="Times New Roman"/>
              </w:rPr>
              <w:t>1</w:t>
            </w:r>
            <w:r>
              <w:rPr>
                <w:rFonts w:ascii="Times New Roman" w:hAnsi="Times New Roman"/>
              </w:rPr>
              <w:t>, onder c), van de VKV gestelde voorwaarden voldoen.</w:t>
            </w:r>
          </w:p>
          <w:p w:rsidR="001B3BF0" w:rsidRDefault="001B3BF0" w:rsidP="00FE0FF1">
            <w:pPr>
              <w:pStyle w:val="BodyText1"/>
              <w:spacing w:line="240" w:lineRule="auto"/>
              <w:rPr>
                <w:rFonts w:ascii="Times New Roman" w:hAnsi="Times New Roman"/>
                <w:bCs/>
              </w:rPr>
            </w:pPr>
          </w:p>
          <w:p w:rsidR="001B3BF0" w:rsidRDefault="001B3BF0" w:rsidP="00FE0FF1">
            <w:pPr>
              <w:pStyle w:val="BodyText1"/>
              <w:spacing w:line="240" w:lineRule="auto"/>
              <w:rPr>
                <w:rFonts w:ascii="Times New Roman" w:hAnsi="Times New Roman"/>
                <w:bCs/>
              </w:rPr>
            </w:pPr>
            <w:r>
              <w:rPr>
                <w:rFonts w:ascii="Times New Roman" w:hAnsi="Times New Roman"/>
              </w:rPr>
              <w:t>Instellingen nemen het in deze cel gerapporteerde bedrag ook op in {</w:t>
            </w:r>
            <w:r w:rsidRPr="00CF219D">
              <w:rPr>
                <w:rFonts w:ascii="Times New Roman" w:hAnsi="Times New Roman"/>
              </w:rPr>
              <w:t>110</w:t>
            </w:r>
            <w:r>
              <w:rPr>
                <w:rFonts w:ascii="Times New Roman" w:hAnsi="Times New Roman"/>
              </w:rPr>
              <w:t>;</w:t>
            </w:r>
            <w:r w:rsidRPr="00CF219D">
              <w:rPr>
                <w:rFonts w:ascii="Times New Roman" w:hAnsi="Times New Roman"/>
              </w:rPr>
              <w:t>010</w:t>
            </w:r>
            <w:r>
              <w:rPr>
                <w:rFonts w:ascii="Times New Roman" w:hAnsi="Times New Roman"/>
              </w:rPr>
              <w:t>} alsof er van geen uitsluiting sprake is.</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w:t>
            </w:r>
            <w:r w:rsidRPr="00CF219D">
              <w:rPr>
                <w:rFonts w:ascii="Times New Roman" w:hAnsi="Times New Roman"/>
              </w:rPr>
              <w:t>130</w:t>
            </w:r>
            <w:r>
              <w:rPr>
                <w:rFonts w:ascii="Times New Roman" w:hAnsi="Times New Roman"/>
              </w:rPr>
              <w:t>;</w:t>
            </w:r>
            <w:r w:rsidRPr="00CF219D">
              <w:rPr>
                <w:rFonts w:ascii="Times New Roman" w:hAnsi="Times New Roman"/>
              </w:rPr>
              <w:t>010</w:t>
            </w:r>
            <w:r>
              <w:rPr>
                <w:rFonts w:ascii="Times New Roman" w:hAnsi="Times New Roman"/>
              </w:rPr>
              <w:t>}</w:t>
            </w:r>
          </w:p>
        </w:tc>
        <w:tc>
          <w:tcPr>
            <w:tcW w:w="7590" w:type="dxa"/>
          </w:tcPr>
          <w:p w:rsidR="00AE2798" w:rsidRDefault="00AE2798" w:rsidP="00FE0FF1">
            <w:pPr>
              <w:pStyle w:val="BodyText1"/>
              <w:spacing w:line="240" w:lineRule="auto"/>
              <w:rPr>
                <w:rFonts w:ascii="Times New Roman" w:hAnsi="Times New Roman"/>
                <w:bCs/>
              </w:rPr>
            </w:pPr>
            <w:r>
              <w:rPr>
                <w:rFonts w:ascii="Times New Roman" w:hAnsi="Times New Roman"/>
                <w:b/>
              </w:rPr>
              <w:t>Verminderd notioneel bedrag van geboekte kredietderivaten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429</w:t>
            </w:r>
            <w:r>
              <w:rPr>
                <w:rFonts w:ascii="Times New Roman" w:hAnsi="Times New Roman"/>
              </w:rPr>
              <w:t xml:space="preserve"> bis, leden </w:t>
            </w:r>
            <w:r w:rsidRPr="00CF219D">
              <w:rPr>
                <w:rFonts w:ascii="Times New Roman" w:hAnsi="Times New Roman"/>
              </w:rPr>
              <w:t>5</w:t>
            </w:r>
            <w:r>
              <w:rPr>
                <w:rFonts w:ascii="Times New Roman" w:hAnsi="Times New Roman"/>
              </w:rPr>
              <w:t xml:space="preserve">, </w:t>
            </w:r>
            <w:r w:rsidRPr="00CF219D">
              <w:rPr>
                <w:rFonts w:ascii="Times New Roman" w:hAnsi="Times New Roman"/>
              </w:rPr>
              <w:t>6</w:t>
            </w:r>
            <w:r>
              <w:rPr>
                <w:rFonts w:ascii="Times New Roman" w:hAnsi="Times New Roman"/>
              </w:rPr>
              <w:t xml:space="preserve"> en </w:t>
            </w:r>
            <w:r w:rsidRPr="00CF219D">
              <w:rPr>
                <w:rFonts w:ascii="Times New Roman" w:hAnsi="Times New Roman"/>
              </w:rPr>
              <w:t>7</w:t>
            </w:r>
            <w:r>
              <w:rPr>
                <w:rFonts w:ascii="Times New Roman" w:hAnsi="Times New Roman"/>
              </w:rPr>
              <w:t>, van de VKV</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Verminderde notionele waarde van geboekte kredietderivaten (d.w.z. waarbij de instelling kredietprotectie aan een tegenpartij verstrekt), als beschreven in artikel </w:t>
            </w:r>
            <w:r w:rsidRPr="00CF219D">
              <w:rPr>
                <w:rFonts w:ascii="Times New Roman" w:hAnsi="Times New Roman"/>
              </w:rPr>
              <w:t>429</w:t>
            </w:r>
            <w:r>
              <w:rPr>
                <w:rFonts w:ascii="Times New Roman" w:hAnsi="Times New Roman"/>
              </w:rPr>
              <w:t xml:space="preserve"> bis, leden </w:t>
            </w:r>
            <w:r w:rsidRPr="00CF219D">
              <w:rPr>
                <w:rFonts w:ascii="Times New Roman" w:hAnsi="Times New Roman"/>
              </w:rPr>
              <w:t>5</w:t>
            </w:r>
            <w:r>
              <w:rPr>
                <w:rFonts w:ascii="Times New Roman" w:hAnsi="Times New Roman"/>
              </w:rPr>
              <w:t xml:space="preserve">, </w:t>
            </w:r>
            <w:r w:rsidRPr="00CF219D">
              <w:rPr>
                <w:rFonts w:ascii="Times New Roman" w:hAnsi="Times New Roman"/>
              </w:rPr>
              <w:t>6</w:t>
            </w:r>
            <w:r>
              <w:rPr>
                <w:rFonts w:ascii="Times New Roman" w:hAnsi="Times New Roman"/>
              </w:rPr>
              <w:t xml:space="preserve"> en </w:t>
            </w:r>
            <w:r w:rsidRPr="00CF219D">
              <w:rPr>
                <w:rFonts w:ascii="Times New Roman" w:hAnsi="Times New Roman"/>
              </w:rPr>
              <w:t>7</w:t>
            </w:r>
            <w:r>
              <w:rPr>
                <w:rFonts w:ascii="Times New Roman" w:hAnsi="Times New Roman"/>
              </w:rPr>
              <w:t>, van de VKV.</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w:t>
            </w:r>
            <w:r w:rsidRPr="00CF219D">
              <w:rPr>
                <w:rFonts w:ascii="Times New Roman" w:hAnsi="Times New Roman"/>
              </w:rPr>
              <w:t>140</w:t>
            </w:r>
            <w:r>
              <w:rPr>
                <w:rFonts w:ascii="Times New Roman" w:hAnsi="Times New Roman"/>
              </w:rPr>
              <w:t>;</w:t>
            </w:r>
            <w:r w:rsidRPr="00CF219D">
              <w:rPr>
                <w:rFonts w:ascii="Times New Roman" w:hAnsi="Times New Roman"/>
              </w:rPr>
              <w:t>010</w:t>
            </w:r>
            <w:r>
              <w:rPr>
                <w:rFonts w:ascii="Times New Roman" w:hAnsi="Times New Roman"/>
              </w:rPr>
              <w:t>}</w:t>
            </w:r>
          </w:p>
        </w:tc>
        <w:tc>
          <w:tcPr>
            <w:tcW w:w="7590" w:type="dxa"/>
          </w:tcPr>
          <w:p w:rsidR="00AE2798" w:rsidRDefault="00422C76" w:rsidP="00FE0FF1">
            <w:pPr>
              <w:pStyle w:val="BodyText1"/>
              <w:spacing w:line="240" w:lineRule="auto"/>
              <w:rPr>
                <w:rFonts w:ascii="Times New Roman" w:hAnsi="Times New Roman"/>
                <w:bCs/>
              </w:rPr>
            </w:pPr>
            <w:r>
              <w:rPr>
                <w:rFonts w:ascii="Times New Roman" w:hAnsi="Times New Roman"/>
                <w:b/>
              </w:rPr>
              <w:t>(-) Toelaatbare gekochte kredietderivaten afgetrokken van geboekte kredietderivaten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429</w:t>
            </w:r>
            <w:r>
              <w:rPr>
                <w:rFonts w:ascii="Times New Roman" w:hAnsi="Times New Roman"/>
              </w:rPr>
              <w:t xml:space="preserve"> bis, leden </w:t>
            </w:r>
            <w:r w:rsidRPr="00CF219D">
              <w:rPr>
                <w:rFonts w:ascii="Times New Roman" w:hAnsi="Times New Roman"/>
              </w:rPr>
              <w:t>5</w:t>
            </w:r>
            <w:r>
              <w:rPr>
                <w:rFonts w:ascii="Times New Roman" w:hAnsi="Times New Roman"/>
              </w:rPr>
              <w:t xml:space="preserve">, </w:t>
            </w:r>
            <w:r w:rsidRPr="00CF219D">
              <w:rPr>
                <w:rFonts w:ascii="Times New Roman" w:hAnsi="Times New Roman"/>
              </w:rPr>
              <w:t>6</w:t>
            </w:r>
            <w:r>
              <w:rPr>
                <w:rFonts w:ascii="Times New Roman" w:hAnsi="Times New Roman"/>
              </w:rPr>
              <w:t xml:space="preserve"> en </w:t>
            </w:r>
            <w:r w:rsidRPr="00CF219D">
              <w:rPr>
                <w:rFonts w:ascii="Times New Roman" w:hAnsi="Times New Roman"/>
              </w:rPr>
              <w:t>7</w:t>
            </w:r>
            <w:r>
              <w:rPr>
                <w:rFonts w:ascii="Times New Roman" w:hAnsi="Times New Roman"/>
              </w:rPr>
              <w:t>, van de VKV</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Verminderde notionele waarde van gekochte kredietderivaten (d.w.z. waarbij de instelling kredietprotectie van een tegenpartij koopt) op dezelfde referentienamen als de door de instelling geboekte kredietderivaten, waarbij de resterende looptijd van de gekochte protectie ten minste gelijk is aan de resterende looptijd van de verkochte protectie. De waarde is derhalve niet groter dan de waarde in {</w:t>
            </w:r>
            <w:r w:rsidRPr="00CF219D">
              <w:rPr>
                <w:rFonts w:ascii="Times New Roman" w:hAnsi="Times New Roman"/>
              </w:rPr>
              <w:t>130</w:t>
            </w:r>
            <w:r>
              <w:rPr>
                <w:rFonts w:ascii="Times New Roman" w:hAnsi="Times New Roman"/>
              </w:rPr>
              <w:t>;</w:t>
            </w:r>
            <w:r w:rsidRPr="00CF219D">
              <w:rPr>
                <w:rFonts w:ascii="Times New Roman" w:hAnsi="Times New Roman"/>
              </w:rPr>
              <w:t>010</w:t>
            </w:r>
            <w:r>
              <w:rPr>
                <w:rFonts w:ascii="Times New Roman" w:hAnsi="Times New Roman"/>
              </w:rPr>
              <w:t>} voor elke referentienaam.</w:t>
            </w:r>
          </w:p>
          <w:p w:rsidR="00AE2798" w:rsidRPr="0084012A" w:rsidRDefault="00AE2798" w:rsidP="00FE0FF1">
            <w:pPr>
              <w:pStyle w:val="BodyText1"/>
              <w:spacing w:line="240" w:lineRule="auto"/>
              <w:rPr>
                <w:rFonts w:ascii="Times New Roman" w:hAnsi="Times New Roman"/>
                <w:bCs/>
              </w:rPr>
            </w:pPr>
          </w:p>
        </w:tc>
      </w:tr>
      <w:tr w:rsidR="00AE2798" w:rsidRPr="00FE002E" w:rsidTr="006E259E">
        <w:trPr>
          <w:trHeight w:val="983"/>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w:t>
            </w:r>
            <w:r w:rsidRPr="00CF219D">
              <w:rPr>
                <w:rFonts w:ascii="Times New Roman" w:hAnsi="Times New Roman"/>
              </w:rPr>
              <w:t>150</w:t>
            </w:r>
            <w:r>
              <w:rPr>
                <w:rFonts w:ascii="Times New Roman" w:hAnsi="Times New Roman"/>
              </w:rPr>
              <w:t>;</w:t>
            </w:r>
            <w:r w:rsidRPr="00CF219D">
              <w:rPr>
                <w:rFonts w:ascii="Times New Roman" w:hAnsi="Times New Roman"/>
              </w:rPr>
              <w:t>010</w:t>
            </w:r>
            <w:r>
              <w:rPr>
                <w:rFonts w:ascii="Times New Roman" w:hAnsi="Times New Roman"/>
              </w:rPr>
              <w:t>}</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 xml:space="preserve">Posten buiten de balanstelling met een omrekeningsfactor van </w:t>
            </w:r>
            <w:r w:rsidRPr="00CF219D">
              <w:rPr>
                <w:rFonts w:ascii="Times New Roman" w:hAnsi="Times New Roman"/>
                <w:b/>
              </w:rPr>
              <w:t>10</w:t>
            </w:r>
            <w:r>
              <w:rPr>
                <w:rFonts w:ascii="Times New Roman" w:hAnsi="Times New Roman"/>
                <w:b/>
              </w:rPr>
              <w:t xml:space="preserve"> % in overeenstemming met artikel </w:t>
            </w:r>
            <w:r w:rsidRPr="00CF219D">
              <w:rPr>
                <w:rFonts w:ascii="Times New Roman" w:hAnsi="Times New Roman"/>
                <w:b/>
              </w:rPr>
              <w:t>429</w:t>
            </w:r>
            <w:r>
              <w:rPr>
                <w:rFonts w:ascii="Times New Roman" w:hAnsi="Times New Roman"/>
                <w:b/>
              </w:rPr>
              <w:t xml:space="preserve">, lid </w:t>
            </w:r>
            <w:r w:rsidRPr="00CF219D">
              <w:rPr>
                <w:rFonts w:ascii="Times New Roman" w:hAnsi="Times New Roman"/>
                <w:b/>
              </w:rPr>
              <w:t>10</w:t>
            </w:r>
            <w:r>
              <w:rPr>
                <w:rFonts w:ascii="Times New Roman" w:hAnsi="Times New Roman"/>
                <w:b/>
              </w:rPr>
              <w:t>, van de VKV</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429</w:t>
            </w:r>
            <w:r>
              <w:rPr>
                <w:rFonts w:ascii="Times New Roman" w:hAnsi="Times New Roman"/>
              </w:rPr>
              <w:t xml:space="preserve">, lid </w:t>
            </w:r>
            <w:r w:rsidRPr="00CF219D">
              <w:rPr>
                <w:rFonts w:ascii="Times New Roman" w:hAnsi="Times New Roman"/>
              </w:rPr>
              <w:t>10</w:t>
            </w:r>
            <w:r>
              <w:rPr>
                <w:rFonts w:ascii="Times New Roman" w:hAnsi="Times New Roman"/>
              </w:rPr>
              <w:t xml:space="preserve">, artikel </w:t>
            </w:r>
            <w:r w:rsidRPr="00CF219D">
              <w:rPr>
                <w:rFonts w:ascii="Times New Roman" w:hAnsi="Times New Roman"/>
              </w:rPr>
              <w:t>111</w:t>
            </w:r>
            <w:r>
              <w:rPr>
                <w:rFonts w:ascii="Times New Roman" w:hAnsi="Times New Roman"/>
              </w:rPr>
              <w:t xml:space="preserve">, lid </w:t>
            </w:r>
            <w:r w:rsidRPr="00CF219D">
              <w:rPr>
                <w:rFonts w:ascii="Times New Roman" w:hAnsi="Times New Roman"/>
              </w:rPr>
              <w:t>1</w:t>
            </w:r>
            <w:r>
              <w:rPr>
                <w:rFonts w:ascii="Times New Roman" w:hAnsi="Times New Roman"/>
              </w:rPr>
              <w:t xml:space="preserve">, onder d), en artikel </w:t>
            </w:r>
            <w:r w:rsidRPr="00CF219D">
              <w:rPr>
                <w:rFonts w:ascii="Times New Roman" w:hAnsi="Times New Roman"/>
              </w:rPr>
              <w:t>166</w:t>
            </w:r>
            <w:r>
              <w:rPr>
                <w:rFonts w:ascii="Times New Roman" w:hAnsi="Times New Roman"/>
              </w:rPr>
              <w:t xml:space="preserve">, lid </w:t>
            </w:r>
            <w:r w:rsidRPr="00CF219D">
              <w:rPr>
                <w:rFonts w:ascii="Times New Roman" w:hAnsi="Times New Roman"/>
              </w:rPr>
              <w:t>9</w:t>
            </w:r>
            <w:r>
              <w:rPr>
                <w:rFonts w:ascii="Times New Roman" w:hAnsi="Times New Roman"/>
              </w:rPr>
              <w:t>, van de VKV</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De blootstellingswaarde overeenkomstig artikel </w:t>
            </w:r>
            <w:r w:rsidRPr="00CF219D">
              <w:rPr>
                <w:rFonts w:ascii="Times New Roman" w:hAnsi="Times New Roman"/>
              </w:rPr>
              <w:t>429</w:t>
            </w:r>
            <w:r>
              <w:rPr>
                <w:rFonts w:ascii="Times New Roman" w:hAnsi="Times New Roman"/>
              </w:rPr>
              <w:t xml:space="preserve">, lid </w:t>
            </w:r>
            <w:r w:rsidRPr="00CF219D">
              <w:rPr>
                <w:rFonts w:ascii="Times New Roman" w:hAnsi="Times New Roman"/>
              </w:rPr>
              <w:t>10</w:t>
            </w:r>
            <w:r>
              <w:rPr>
                <w:rFonts w:ascii="Times New Roman" w:hAnsi="Times New Roman"/>
              </w:rPr>
              <w:t xml:space="preserve">, en artikel </w:t>
            </w:r>
            <w:r w:rsidRPr="00CF219D">
              <w:rPr>
                <w:rFonts w:ascii="Times New Roman" w:hAnsi="Times New Roman"/>
              </w:rPr>
              <w:t>111</w:t>
            </w:r>
            <w:r>
              <w:rPr>
                <w:rFonts w:ascii="Times New Roman" w:hAnsi="Times New Roman"/>
              </w:rPr>
              <w:t xml:space="preserve">, lid </w:t>
            </w:r>
            <w:r w:rsidRPr="00CF219D">
              <w:rPr>
                <w:rFonts w:ascii="Times New Roman" w:hAnsi="Times New Roman"/>
              </w:rPr>
              <w:t>1</w:t>
            </w:r>
            <w:r>
              <w:rPr>
                <w:rFonts w:ascii="Times New Roman" w:hAnsi="Times New Roman"/>
              </w:rPr>
              <w:t xml:space="preserve">, onder d), van de VKV van in bijlage I, punt </w:t>
            </w:r>
            <w:r w:rsidRPr="00CF219D">
              <w:rPr>
                <w:rFonts w:ascii="Times New Roman" w:hAnsi="Times New Roman"/>
              </w:rPr>
              <w:t>4</w:t>
            </w:r>
            <w:r>
              <w:rPr>
                <w:rFonts w:ascii="Times New Roman" w:hAnsi="Times New Roman"/>
              </w:rPr>
              <w:t xml:space="preserve">, onder a), b) en c), van de VKV genoemde posten buiten de balanstelling met een laag risico waaraan een omrekeningsfactor van </w:t>
            </w:r>
            <w:r w:rsidRPr="00CF219D">
              <w:rPr>
                <w:rFonts w:ascii="Times New Roman" w:hAnsi="Times New Roman"/>
              </w:rPr>
              <w:t>0</w:t>
            </w:r>
            <w:r>
              <w:rPr>
                <w:rFonts w:ascii="Times New Roman" w:hAnsi="Times New Roman"/>
              </w:rPr>
              <w:t xml:space="preserve"> % zou worden toegekend (ter herinnering zij opgemerkt dat de blootstellingswaarde hier </w:t>
            </w:r>
            <w:r w:rsidRPr="00CF219D">
              <w:rPr>
                <w:rFonts w:ascii="Times New Roman" w:hAnsi="Times New Roman"/>
              </w:rPr>
              <w:t>10</w:t>
            </w:r>
            <w:r>
              <w:rPr>
                <w:rFonts w:ascii="Times New Roman" w:hAnsi="Times New Roman"/>
              </w:rPr>
              <w:t> % van de nominale waarde is). Het betreft verplichtingen die te allen tijde onvoorwaardelijk zonder opzegtermijn kunnen worden opgezegd of waarvoor expliciet is bepaald dat zij te allen tijde automatisch kunnen worden opgezegd op grond van de verminderde kredietwaardigheid van de debiteur.</w:t>
            </w:r>
            <w:r>
              <w:t xml:space="preserve"> </w:t>
            </w:r>
            <w:r>
              <w:rPr>
                <w:rFonts w:ascii="Times New Roman" w:hAnsi="Times New Roman"/>
              </w:rPr>
              <w:t>Er zij aan herinnerd dat de nominale waarde niet met specifieke kredietrisicoaanpassingen mag worden verminderd.</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Indien een verplichting betrekking heeft op de uitbreiding van een andere verplichting, </w:t>
            </w:r>
            <w:r>
              <w:rPr>
                <w:rFonts w:ascii="Times New Roman" w:hAnsi="Times New Roman"/>
              </w:rPr>
              <w:lastRenderedPageBreak/>
              <w:t xml:space="preserve">wordt overeenkomstig artikel </w:t>
            </w:r>
            <w:r w:rsidRPr="00CF219D">
              <w:rPr>
                <w:rFonts w:ascii="Times New Roman" w:hAnsi="Times New Roman"/>
              </w:rPr>
              <w:t>166</w:t>
            </w:r>
            <w:r>
              <w:rPr>
                <w:rFonts w:ascii="Times New Roman" w:hAnsi="Times New Roman"/>
              </w:rPr>
              <w:t xml:space="preserve">, lid </w:t>
            </w:r>
            <w:r w:rsidRPr="00CF219D">
              <w:rPr>
                <w:rFonts w:ascii="Times New Roman" w:hAnsi="Times New Roman"/>
              </w:rPr>
              <w:t>9</w:t>
            </w:r>
            <w:r>
              <w:rPr>
                <w:rFonts w:ascii="Times New Roman" w:hAnsi="Times New Roman"/>
              </w:rPr>
              <w:t>, van de VKV gebruikgemaakt van de laagste van beide omrekeningsfactoren die voor de individuele verplichting gelden.</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Overeenkomstig artikel </w:t>
            </w:r>
            <w:r w:rsidRPr="00CF219D">
              <w:rPr>
                <w:rFonts w:ascii="Times New Roman" w:hAnsi="Times New Roman"/>
              </w:rPr>
              <w:t>429</w:t>
            </w:r>
            <w:r>
              <w:rPr>
                <w:rFonts w:ascii="Times New Roman" w:hAnsi="Times New Roman"/>
              </w:rPr>
              <w:t xml:space="preserve">, lid </w:t>
            </w:r>
            <w:r w:rsidRPr="00CF219D">
              <w:rPr>
                <w:rFonts w:ascii="Times New Roman" w:hAnsi="Times New Roman"/>
              </w:rPr>
              <w:t>10</w:t>
            </w:r>
            <w:r>
              <w:rPr>
                <w:rFonts w:ascii="Times New Roman" w:hAnsi="Times New Roman"/>
              </w:rPr>
              <w:t>, van de VKV houden instellingen in deze cel geen rekening met in bijlage II bij de VKV genoemde contracten, kredietderivaten en SFT's.</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D2C06">
        <w:trPr>
          <w:trHeight w:val="712"/>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lastRenderedPageBreak/>
              <w:t>{</w:t>
            </w:r>
            <w:r w:rsidRPr="00CF219D">
              <w:rPr>
                <w:rFonts w:ascii="Times New Roman" w:hAnsi="Times New Roman"/>
              </w:rPr>
              <w:t>160</w:t>
            </w:r>
            <w:r>
              <w:rPr>
                <w:rFonts w:ascii="Times New Roman" w:hAnsi="Times New Roman"/>
              </w:rPr>
              <w:t>;</w:t>
            </w:r>
            <w:r w:rsidRPr="00CF219D">
              <w:rPr>
                <w:rFonts w:ascii="Times New Roman" w:hAnsi="Times New Roman"/>
              </w:rPr>
              <w:t>010</w:t>
            </w:r>
            <w:r>
              <w:rPr>
                <w:rFonts w:ascii="Times New Roman" w:hAnsi="Times New Roman"/>
              </w:rPr>
              <w:t>}</w:t>
            </w:r>
          </w:p>
        </w:tc>
        <w:tc>
          <w:tcPr>
            <w:tcW w:w="7590" w:type="dxa"/>
          </w:tcPr>
          <w:p w:rsidR="00AE2798" w:rsidRPr="00FE002E" w:rsidRDefault="00AE2798" w:rsidP="00FE0FF1">
            <w:pPr>
              <w:pStyle w:val="BodyText1"/>
              <w:spacing w:line="240" w:lineRule="auto"/>
              <w:rPr>
                <w:rFonts w:ascii="Times New Roman" w:hAnsi="Times New Roman"/>
                <w:b/>
                <w:bCs/>
              </w:rPr>
            </w:pPr>
            <w:r>
              <w:rPr>
                <w:rFonts w:ascii="Times New Roman" w:hAnsi="Times New Roman"/>
                <w:b/>
              </w:rPr>
              <w:t xml:space="preserve">Posten buiten de balanstelling met een omrekeningsfactor van </w:t>
            </w:r>
            <w:r w:rsidRPr="00CF219D">
              <w:rPr>
                <w:rFonts w:ascii="Times New Roman" w:hAnsi="Times New Roman"/>
                <w:b/>
              </w:rPr>
              <w:t>20</w:t>
            </w:r>
            <w:r>
              <w:rPr>
                <w:rFonts w:ascii="Times New Roman" w:hAnsi="Times New Roman"/>
                <w:b/>
              </w:rPr>
              <w:t xml:space="preserve"> % in overeenstemming met artikel </w:t>
            </w:r>
            <w:r w:rsidRPr="00CF219D">
              <w:rPr>
                <w:rFonts w:ascii="Times New Roman" w:hAnsi="Times New Roman"/>
                <w:b/>
              </w:rPr>
              <w:t>429</w:t>
            </w:r>
            <w:r>
              <w:rPr>
                <w:rFonts w:ascii="Times New Roman" w:hAnsi="Times New Roman"/>
                <w:b/>
              </w:rPr>
              <w:t xml:space="preserve">, lid </w:t>
            </w:r>
            <w:r w:rsidRPr="00CF219D">
              <w:rPr>
                <w:rFonts w:ascii="Times New Roman" w:hAnsi="Times New Roman"/>
                <w:b/>
              </w:rPr>
              <w:t>10</w:t>
            </w:r>
            <w:r>
              <w:rPr>
                <w:rFonts w:ascii="Times New Roman" w:hAnsi="Times New Roman"/>
                <w:b/>
              </w:rPr>
              <w:t>, van de VKV</w:t>
            </w:r>
          </w:p>
          <w:p w:rsidR="00AE2798" w:rsidRPr="00FE002E" w:rsidRDefault="00AE2798" w:rsidP="00FE0FF1">
            <w:pPr>
              <w:pStyle w:val="BodyText1"/>
              <w:spacing w:line="240" w:lineRule="auto"/>
              <w:rPr>
                <w:rFonts w:ascii="Times New Roman" w:hAnsi="Times New Roman"/>
                <w:b/>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429</w:t>
            </w:r>
            <w:r>
              <w:rPr>
                <w:rFonts w:ascii="Times New Roman" w:hAnsi="Times New Roman"/>
              </w:rPr>
              <w:t xml:space="preserve">, lid </w:t>
            </w:r>
            <w:r w:rsidRPr="00CF219D">
              <w:rPr>
                <w:rFonts w:ascii="Times New Roman" w:hAnsi="Times New Roman"/>
              </w:rPr>
              <w:t>10</w:t>
            </w:r>
            <w:r>
              <w:rPr>
                <w:rFonts w:ascii="Times New Roman" w:hAnsi="Times New Roman"/>
              </w:rPr>
              <w:t xml:space="preserve">, artikel </w:t>
            </w:r>
            <w:r w:rsidRPr="00CF219D">
              <w:rPr>
                <w:rFonts w:ascii="Times New Roman" w:hAnsi="Times New Roman"/>
              </w:rPr>
              <w:t>111</w:t>
            </w:r>
            <w:r>
              <w:rPr>
                <w:rFonts w:ascii="Times New Roman" w:hAnsi="Times New Roman"/>
              </w:rPr>
              <w:t xml:space="preserve">, lid </w:t>
            </w:r>
            <w:r w:rsidRPr="00CF219D">
              <w:rPr>
                <w:rFonts w:ascii="Times New Roman" w:hAnsi="Times New Roman"/>
              </w:rPr>
              <w:t>1</w:t>
            </w:r>
            <w:r>
              <w:rPr>
                <w:rFonts w:ascii="Times New Roman" w:hAnsi="Times New Roman"/>
              </w:rPr>
              <w:t xml:space="preserve">, onder c), en artikel </w:t>
            </w:r>
            <w:r w:rsidRPr="00CF219D">
              <w:rPr>
                <w:rFonts w:ascii="Times New Roman" w:hAnsi="Times New Roman"/>
              </w:rPr>
              <w:t>166</w:t>
            </w:r>
            <w:r>
              <w:rPr>
                <w:rFonts w:ascii="Times New Roman" w:hAnsi="Times New Roman"/>
              </w:rPr>
              <w:t xml:space="preserve">, lid </w:t>
            </w:r>
            <w:r w:rsidRPr="00CF219D">
              <w:rPr>
                <w:rFonts w:ascii="Times New Roman" w:hAnsi="Times New Roman"/>
              </w:rPr>
              <w:t>9</w:t>
            </w:r>
            <w:r>
              <w:rPr>
                <w:rFonts w:ascii="Times New Roman" w:hAnsi="Times New Roman"/>
              </w:rPr>
              <w:t>, van de VKV</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De blootstellingswaarde overeenkomstig artikel </w:t>
            </w:r>
            <w:r w:rsidRPr="00CF219D">
              <w:rPr>
                <w:rFonts w:ascii="Times New Roman" w:hAnsi="Times New Roman"/>
              </w:rPr>
              <w:t>429</w:t>
            </w:r>
            <w:r>
              <w:rPr>
                <w:rFonts w:ascii="Times New Roman" w:hAnsi="Times New Roman"/>
              </w:rPr>
              <w:t xml:space="preserve">, lid </w:t>
            </w:r>
            <w:r w:rsidRPr="00CF219D">
              <w:rPr>
                <w:rFonts w:ascii="Times New Roman" w:hAnsi="Times New Roman"/>
              </w:rPr>
              <w:t>10</w:t>
            </w:r>
            <w:r>
              <w:rPr>
                <w:rFonts w:ascii="Times New Roman" w:hAnsi="Times New Roman"/>
              </w:rPr>
              <w:t xml:space="preserve">, en artikel </w:t>
            </w:r>
            <w:r w:rsidRPr="00CF219D">
              <w:rPr>
                <w:rFonts w:ascii="Times New Roman" w:hAnsi="Times New Roman"/>
              </w:rPr>
              <w:t>111</w:t>
            </w:r>
            <w:r>
              <w:rPr>
                <w:rFonts w:ascii="Times New Roman" w:hAnsi="Times New Roman"/>
              </w:rPr>
              <w:t xml:space="preserve">, lid </w:t>
            </w:r>
            <w:r w:rsidRPr="00CF219D">
              <w:rPr>
                <w:rFonts w:ascii="Times New Roman" w:hAnsi="Times New Roman"/>
              </w:rPr>
              <w:t>1</w:t>
            </w:r>
            <w:r>
              <w:rPr>
                <w:rFonts w:ascii="Times New Roman" w:hAnsi="Times New Roman"/>
              </w:rPr>
              <w:t xml:space="preserve">, onder c), van de VKV van in bijlage I, punt </w:t>
            </w:r>
            <w:r w:rsidRPr="00CF219D">
              <w:rPr>
                <w:rFonts w:ascii="Times New Roman" w:hAnsi="Times New Roman"/>
              </w:rPr>
              <w:t>3</w:t>
            </w:r>
            <w:r>
              <w:rPr>
                <w:rFonts w:ascii="Times New Roman" w:hAnsi="Times New Roman"/>
              </w:rPr>
              <w:t xml:space="preserve">, onder a) en b), van de VKV genoemde posten buiten de balanstelling met een middelgroot/laag risico waaraan een omrekeningsfactor van </w:t>
            </w:r>
            <w:r w:rsidRPr="00CF219D">
              <w:rPr>
                <w:rFonts w:ascii="Times New Roman" w:hAnsi="Times New Roman"/>
              </w:rPr>
              <w:t>20</w:t>
            </w:r>
            <w:r>
              <w:rPr>
                <w:rFonts w:ascii="Times New Roman" w:hAnsi="Times New Roman"/>
              </w:rPr>
              <w:t xml:space="preserve"> % zou worden toegekend (ter herinnering zij opgemerkt dat de blootstellingswaarde hier </w:t>
            </w:r>
            <w:r w:rsidRPr="00CF219D">
              <w:rPr>
                <w:rFonts w:ascii="Times New Roman" w:hAnsi="Times New Roman"/>
              </w:rPr>
              <w:t>20</w:t>
            </w:r>
            <w:r>
              <w:rPr>
                <w:rFonts w:ascii="Times New Roman" w:hAnsi="Times New Roman"/>
              </w:rPr>
              <w:t> % van de nominale waarde is).</w:t>
            </w:r>
            <w:r>
              <w:t xml:space="preserve"> </w:t>
            </w:r>
            <w:r>
              <w:rPr>
                <w:rFonts w:ascii="Times New Roman" w:hAnsi="Times New Roman"/>
              </w:rPr>
              <w:t>Er zij aan herinnerd dat de nominale waarde niet met specifieke kredietrisicoaanpassingen mag worden verminderd.</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Indien een verplichting betrekking heeft op de uitbreiding van een andere verplichting, wordt overeenkomstig artikel </w:t>
            </w:r>
            <w:r w:rsidRPr="00CF219D">
              <w:rPr>
                <w:rFonts w:ascii="Times New Roman" w:hAnsi="Times New Roman"/>
              </w:rPr>
              <w:t>166</w:t>
            </w:r>
            <w:r>
              <w:rPr>
                <w:rFonts w:ascii="Times New Roman" w:hAnsi="Times New Roman"/>
              </w:rPr>
              <w:t xml:space="preserve">, lid </w:t>
            </w:r>
            <w:r w:rsidRPr="00CF219D">
              <w:rPr>
                <w:rFonts w:ascii="Times New Roman" w:hAnsi="Times New Roman"/>
              </w:rPr>
              <w:t>9</w:t>
            </w:r>
            <w:r>
              <w:rPr>
                <w:rFonts w:ascii="Times New Roman" w:hAnsi="Times New Roman"/>
              </w:rPr>
              <w:t>, van de VKV gebruikgemaakt van de laagste van beide omrekeningsfactoren die voor de individuele verplichting gelden.</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433E1A">
            <w:pPr>
              <w:pStyle w:val="BodyText1"/>
              <w:spacing w:line="240" w:lineRule="auto"/>
              <w:rPr>
                <w:rFonts w:ascii="Times New Roman" w:hAnsi="Times New Roman"/>
                <w:b/>
                <w:bCs/>
              </w:rPr>
            </w:pPr>
            <w:r>
              <w:rPr>
                <w:rFonts w:ascii="Times New Roman" w:hAnsi="Times New Roman"/>
              </w:rPr>
              <w:t xml:space="preserve">Overeenkomstig artikel </w:t>
            </w:r>
            <w:r w:rsidRPr="00CF219D">
              <w:rPr>
                <w:rFonts w:ascii="Times New Roman" w:hAnsi="Times New Roman"/>
              </w:rPr>
              <w:t>429</w:t>
            </w:r>
            <w:r>
              <w:rPr>
                <w:rFonts w:ascii="Times New Roman" w:hAnsi="Times New Roman"/>
              </w:rPr>
              <w:t xml:space="preserve">, lid </w:t>
            </w:r>
            <w:r w:rsidRPr="00CF219D">
              <w:rPr>
                <w:rFonts w:ascii="Times New Roman" w:hAnsi="Times New Roman"/>
              </w:rPr>
              <w:t>10</w:t>
            </w:r>
            <w:r>
              <w:rPr>
                <w:rFonts w:ascii="Times New Roman" w:hAnsi="Times New Roman"/>
              </w:rPr>
              <w:t>, van de VKV houden instellingen in deze cel geen rekening met in bijlage II bij de VKV genoemde contracten, kredietderivaten en SFT's.</w:t>
            </w: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w:t>
            </w:r>
            <w:r w:rsidRPr="00CF219D">
              <w:rPr>
                <w:rFonts w:ascii="Times New Roman" w:hAnsi="Times New Roman"/>
              </w:rPr>
              <w:t>170</w:t>
            </w:r>
            <w:r>
              <w:rPr>
                <w:rFonts w:ascii="Times New Roman" w:hAnsi="Times New Roman"/>
              </w:rPr>
              <w:t>;</w:t>
            </w:r>
            <w:r w:rsidRPr="00CF219D">
              <w:rPr>
                <w:rFonts w:ascii="Times New Roman" w:hAnsi="Times New Roman"/>
              </w:rPr>
              <w:t>010</w:t>
            </w:r>
            <w:r>
              <w:rPr>
                <w:rFonts w:ascii="Times New Roman" w:hAnsi="Times New Roman"/>
              </w:rPr>
              <w:t>}</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rPr>
            </w:pPr>
            <w:r>
              <w:rPr>
                <w:rFonts w:ascii="Times New Roman" w:hAnsi="Times New Roman"/>
                <w:b/>
              </w:rPr>
              <w:t xml:space="preserve">Posten buiten de balanstelling met een omrekeningsfactor van </w:t>
            </w:r>
            <w:r w:rsidRPr="00CF219D">
              <w:rPr>
                <w:rFonts w:ascii="Times New Roman" w:hAnsi="Times New Roman"/>
                <w:b/>
              </w:rPr>
              <w:t>50</w:t>
            </w:r>
            <w:r>
              <w:rPr>
                <w:rFonts w:ascii="Times New Roman" w:hAnsi="Times New Roman"/>
                <w:b/>
              </w:rPr>
              <w:t xml:space="preserve"> % in overeenstemming met artikel </w:t>
            </w:r>
            <w:r w:rsidRPr="00CF219D">
              <w:rPr>
                <w:rFonts w:ascii="Times New Roman" w:hAnsi="Times New Roman"/>
                <w:b/>
              </w:rPr>
              <w:t>429</w:t>
            </w:r>
            <w:r>
              <w:rPr>
                <w:rFonts w:ascii="Times New Roman" w:hAnsi="Times New Roman"/>
                <w:b/>
              </w:rPr>
              <w:t xml:space="preserve">, lid </w:t>
            </w:r>
            <w:r w:rsidRPr="00CF219D">
              <w:rPr>
                <w:rFonts w:ascii="Times New Roman" w:hAnsi="Times New Roman"/>
                <w:b/>
              </w:rPr>
              <w:t>10</w:t>
            </w:r>
            <w:r>
              <w:rPr>
                <w:rFonts w:ascii="Times New Roman" w:hAnsi="Times New Roman"/>
                <w:b/>
              </w:rPr>
              <w:t>, van de VKV</w:t>
            </w:r>
          </w:p>
          <w:p w:rsidR="00AE2798" w:rsidRPr="00FE002E" w:rsidRDefault="00AE2798" w:rsidP="00FE0FF1">
            <w:pPr>
              <w:pStyle w:val="BodyText1"/>
              <w:spacing w:line="240" w:lineRule="auto"/>
              <w:rPr>
                <w:rFonts w:ascii="Times New Roman" w:hAnsi="Times New Roman"/>
                <w:b/>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429</w:t>
            </w:r>
            <w:r>
              <w:rPr>
                <w:rFonts w:ascii="Times New Roman" w:hAnsi="Times New Roman"/>
              </w:rPr>
              <w:t xml:space="preserve">, lid </w:t>
            </w:r>
            <w:r w:rsidRPr="00CF219D">
              <w:rPr>
                <w:rFonts w:ascii="Times New Roman" w:hAnsi="Times New Roman"/>
              </w:rPr>
              <w:t>10</w:t>
            </w:r>
            <w:r>
              <w:rPr>
                <w:rFonts w:ascii="Times New Roman" w:hAnsi="Times New Roman"/>
              </w:rPr>
              <w:t xml:space="preserve">, artikel </w:t>
            </w:r>
            <w:r w:rsidRPr="00CF219D">
              <w:rPr>
                <w:rFonts w:ascii="Times New Roman" w:hAnsi="Times New Roman"/>
              </w:rPr>
              <w:t>111</w:t>
            </w:r>
            <w:r>
              <w:rPr>
                <w:rFonts w:ascii="Times New Roman" w:hAnsi="Times New Roman"/>
              </w:rPr>
              <w:t xml:space="preserve">, lid </w:t>
            </w:r>
            <w:r w:rsidRPr="00CF219D">
              <w:rPr>
                <w:rFonts w:ascii="Times New Roman" w:hAnsi="Times New Roman"/>
              </w:rPr>
              <w:t>1</w:t>
            </w:r>
            <w:r>
              <w:rPr>
                <w:rFonts w:ascii="Times New Roman" w:hAnsi="Times New Roman"/>
              </w:rPr>
              <w:t xml:space="preserve">, onder b), en artikel </w:t>
            </w:r>
            <w:r w:rsidRPr="00CF219D">
              <w:rPr>
                <w:rFonts w:ascii="Times New Roman" w:hAnsi="Times New Roman"/>
              </w:rPr>
              <w:t>166</w:t>
            </w:r>
            <w:r>
              <w:rPr>
                <w:rFonts w:ascii="Times New Roman" w:hAnsi="Times New Roman"/>
              </w:rPr>
              <w:t xml:space="preserve">, lid </w:t>
            </w:r>
            <w:r w:rsidRPr="00CF219D">
              <w:rPr>
                <w:rFonts w:ascii="Times New Roman" w:hAnsi="Times New Roman"/>
              </w:rPr>
              <w:t>9</w:t>
            </w:r>
            <w:r>
              <w:rPr>
                <w:rFonts w:ascii="Times New Roman" w:hAnsi="Times New Roman"/>
              </w:rPr>
              <w:t>, van de VKV</w:t>
            </w:r>
          </w:p>
          <w:p w:rsidR="00AE2798" w:rsidRPr="00FE002E" w:rsidRDefault="00AE2798" w:rsidP="00FE0FF1">
            <w:pPr>
              <w:pStyle w:val="BodyText1"/>
              <w:spacing w:line="240" w:lineRule="auto"/>
              <w:rPr>
                <w:rFonts w:ascii="Times New Roman" w:hAnsi="Times New Roman"/>
                <w:bCs/>
              </w:rPr>
            </w:pPr>
          </w:p>
          <w:p w:rsidR="008C7B98" w:rsidRDefault="00AE2798" w:rsidP="00FE0FF1">
            <w:pPr>
              <w:pStyle w:val="BodyText1"/>
              <w:spacing w:line="240" w:lineRule="auto"/>
              <w:rPr>
                <w:rFonts w:ascii="Times New Roman" w:hAnsi="Times New Roman"/>
                <w:bCs/>
              </w:rPr>
            </w:pPr>
            <w:r>
              <w:rPr>
                <w:rFonts w:ascii="Times New Roman" w:hAnsi="Times New Roman"/>
              </w:rPr>
              <w:t xml:space="preserve">De blootstellingswaarde overeenkomstig artikel </w:t>
            </w:r>
            <w:r w:rsidRPr="00CF219D">
              <w:rPr>
                <w:rFonts w:ascii="Times New Roman" w:hAnsi="Times New Roman"/>
              </w:rPr>
              <w:t>429</w:t>
            </w:r>
            <w:r>
              <w:rPr>
                <w:rFonts w:ascii="Times New Roman" w:hAnsi="Times New Roman"/>
              </w:rPr>
              <w:t xml:space="preserve">, lid </w:t>
            </w:r>
            <w:r w:rsidRPr="00CF219D">
              <w:rPr>
                <w:rFonts w:ascii="Times New Roman" w:hAnsi="Times New Roman"/>
              </w:rPr>
              <w:t>10</w:t>
            </w:r>
            <w:r>
              <w:rPr>
                <w:rFonts w:ascii="Times New Roman" w:hAnsi="Times New Roman"/>
              </w:rPr>
              <w:t xml:space="preserve">, en artikel </w:t>
            </w:r>
            <w:r w:rsidRPr="00CF219D">
              <w:rPr>
                <w:rFonts w:ascii="Times New Roman" w:hAnsi="Times New Roman"/>
              </w:rPr>
              <w:t>111</w:t>
            </w:r>
            <w:r>
              <w:rPr>
                <w:rFonts w:ascii="Times New Roman" w:hAnsi="Times New Roman"/>
              </w:rPr>
              <w:t xml:space="preserve">, lid </w:t>
            </w:r>
            <w:r w:rsidRPr="00CF219D">
              <w:rPr>
                <w:rFonts w:ascii="Times New Roman" w:hAnsi="Times New Roman"/>
              </w:rPr>
              <w:t>1</w:t>
            </w:r>
            <w:r>
              <w:rPr>
                <w:rFonts w:ascii="Times New Roman" w:hAnsi="Times New Roman"/>
              </w:rPr>
              <w:t xml:space="preserve">, onder b), van de VKV van in bijlage I, punt </w:t>
            </w:r>
            <w:r w:rsidRPr="00CF219D">
              <w:rPr>
                <w:rFonts w:ascii="Times New Roman" w:hAnsi="Times New Roman"/>
              </w:rPr>
              <w:t>2</w:t>
            </w:r>
            <w:r>
              <w:rPr>
                <w:rFonts w:ascii="Times New Roman" w:hAnsi="Times New Roman"/>
              </w:rPr>
              <w:t xml:space="preserve">, onder a) en b), van de VKV genoemde posten buiten de balanstelling met een middelgroot risico waaraan een omrekeningsfactor van </w:t>
            </w:r>
            <w:r w:rsidRPr="00CF219D">
              <w:rPr>
                <w:rFonts w:ascii="Times New Roman" w:hAnsi="Times New Roman"/>
              </w:rPr>
              <w:t>50</w:t>
            </w:r>
            <w:r>
              <w:rPr>
                <w:rFonts w:ascii="Times New Roman" w:hAnsi="Times New Roman"/>
              </w:rPr>
              <w:t xml:space="preserve"> % zou worden toegekend zoals omschreven in de standaardbenadering voor het kredietrisico (ter herinnering zij opgemerkt dat de blootstellingswaarde hier </w:t>
            </w:r>
            <w:r w:rsidRPr="00CF219D">
              <w:rPr>
                <w:rFonts w:ascii="Times New Roman" w:hAnsi="Times New Roman"/>
              </w:rPr>
              <w:t>50</w:t>
            </w:r>
            <w:r>
              <w:rPr>
                <w:rFonts w:ascii="Times New Roman" w:hAnsi="Times New Roman"/>
              </w:rPr>
              <w:t> % van de nominale waarde is). Er zij aan herinnerd dat de nominale waarde niet met specifieke kredietrisicoaanpassingen mag worden verminderd.</w:t>
            </w:r>
          </w:p>
          <w:p w:rsidR="008C7B98" w:rsidRDefault="008C7B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Deze cel omvat liquiditeitsfaciliteiten en andere verplichtingen met betrekking tot securitisaties. Met andere woorden: voor alle liquiditeitsfaciliteiten in de zin van artikel </w:t>
            </w:r>
            <w:r w:rsidRPr="00CF219D">
              <w:rPr>
                <w:rFonts w:ascii="Times New Roman" w:hAnsi="Times New Roman"/>
              </w:rPr>
              <w:t>255</w:t>
            </w:r>
            <w:r>
              <w:rPr>
                <w:rFonts w:ascii="Times New Roman" w:hAnsi="Times New Roman"/>
              </w:rPr>
              <w:t xml:space="preserve"> van de VKV, ongeacht de looptijd ervan, bedraagt de omrekeningsfactor </w:t>
            </w:r>
            <w:r w:rsidRPr="00CF219D">
              <w:rPr>
                <w:rFonts w:ascii="Times New Roman" w:hAnsi="Times New Roman"/>
              </w:rPr>
              <w:t>50</w:t>
            </w:r>
            <w:r>
              <w:rPr>
                <w:rFonts w:ascii="Times New Roman" w:hAnsi="Times New Roman"/>
              </w:rPr>
              <w:t xml:space="preserve"> %. </w:t>
            </w:r>
          </w:p>
          <w:p w:rsidR="00AE2798" w:rsidRDefault="00AE2798" w:rsidP="00FE0FF1">
            <w:pPr>
              <w:pStyle w:val="BodyText1"/>
              <w:spacing w:line="240" w:lineRule="auto"/>
              <w:rPr>
                <w:rFonts w:ascii="Times New Roman" w:hAnsi="Times New Roman"/>
                <w:bCs/>
              </w:rPr>
            </w:pPr>
          </w:p>
          <w:p w:rsidR="00AE2798" w:rsidRPr="0044777F" w:rsidRDefault="00AE2798" w:rsidP="00FE0FF1">
            <w:pPr>
              <w:pStyle w:val="BodyText1"/>
              <w:spacing w:line="240" w:lineRule="auto"/>
              <w:rPr>
                <w:rFonts w:ascii="Times New Roman" w:hAnsi="Times New Roman"/>
                <w:bCs/>
              </w:rPr>
            </w:pPr>
            <w:r>
              <w:rPr>
                <w:rFonts w:ascii="Times New Roman" w:hAnsi="Times New Roman"/>
              </w:rPr>
              <w:t xml:space="preserve">Indien een verplichting betrekking heeft op de uitbreiding van een andere verplichting, wordt overeenkomstig artikel </w:t>
            </w:r>
            <w:r w:rsidRPr="00CF219D">
              <w:rPr>
                <w:rFonts w:ascii="Times New Roman" w:hAnsi="Times New Roman"/>
              </w:rPr>
              <w:t>166</w:t>
            </w:r>
            <w:r>
              <w:rPr>
                <w:rFonts w:ascii="Times New Roman" w:hAnsi="Times New Roman"/>
              </w:rPr>
              <w:t xml:space="preserve">, lid </w:t>
            </w:r>
            <w:r w:rsidRPr="00CF219D">
              <w:rPr>
                <w:rFonts w:ascii="Times New Roman" w:hAnsi="Times New Roman"/>
              </w:rPr>
              <w:t>9</w:t>
            </w:r>
            <w:r>
              <w:rPr>
                <w:rFonts w:ascii="Times New Roman" w:hAnsi="Times New Roman"/>
              </w:rPr>
              <w:t>, van de VKV gebruikgemaakt van de laagste van beide omrekeningsfactoren die voor de individuele verplichting gelden.</w:t>
            </w:r>
          </w:p>
          <w:p w:rsidR="00AE2798" w:rsidRPr="0044777F"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Overeenkomstig artikel </w:t>
            </w:r>
            <w:r w:rsidRPr="00CF219D">
              <w:rPr>
                <w:rFonts w:ascii="Times New Roman" w:hAnsi="Times New Roman"/>
              </w:rPr>
              <w:t>429</w:t>
            </w:r>
            <w:r>
              <w:rPr>
                <w:rFonts w:ascii="Times New Roman" w:hAnsi="Times New Roman"/>
              </w:rPr>
              <w:t xml:space="preserve">, lid </w:t>
            </w:r>
            <w:r w:rsidRPr="00CF219D">
              <w:rPr>
                <w:rFonts w:ascii="Times New Roman" w:hAnsi="Times New Roman"/>
              </w:rPr>
              <w:t>10</w:t>
            </w:r>
            <w:r>
              <w:rPr>
                <w:rFonts w:ascii="Times New Roman" w:hAnsi="Times New Roman"/>
              </w:rPr>
              <w:t>, van de VKV houden instellingen in deze cel geen rekening met in bijlage II bij de VKV genoemde contracten, kredietderivaten en SFT's.</w:t>
            </w:r>
          </w:p>
          <w:p w:rsidR="00AE2798" w:rsidRPr="00FE002E" w:rsidRDefault="00AE2798" w:rsidP="00FE0FF1">
            <w:pPr>
              <w:pStyle w:val="BodyText1"/>
              <w:spacing w:line="240" w:lineRule="auto"/>
              <w:rPr>
                <w:rFonts w:ascii="Times New Roman" w:hAnsi="Times New Roman"/>
                <w:b/>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w:t>
            </w:r>
            <w:r w:rsidRPr="00CF219D">
              <w:rPr>
                <w:rFonts w:ascii="Times New Roman" w:hAnsi="Times New Roman"/>
              </w:rPr>
              <w:t>180</w:t>
            </w:r>
            <w:r>
              <w:rPr>
                <w:rFonts w:ascii="Times New Roman" w:hAnsi="Times New Roman"/>
              </w:rPr>
              <w:t>;</w:t>
            </w:r>
            <w:r w:rsidRPr="00CF219D">
              <w:rPr>
                <w:rFonts w:ascii="Times New Roman" w:hAnsi="Times New Roman"/>
              </w:rPr>
              <w:t>010</w:t>
            </w:r>
            <w:r>
              <w:rPr>
                <w:rFonts w:ascii="Times New Roman" w:hAnsi="Times New Roman"/>
              </w:rPr>
              <w:t>}</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 xml:space="preserve">Posten buiten de balanstelling met een omrekeningsfactor van </w:t>
            </w:r>
            <w:r w:rsidRPr="00CF219D">
              <w:rPr>
                <w:rFonts w:ascii="Times New Roman" w:hAnsi="Times New Roman"/>
                <w:b/>
              </w:rPr>
              <w:t>100</w:t>
            </w:r>
            <w:r>
              <w:rPr>
                <w:rFonts w:ascii="Times New Roman" w:hAnsi="Times New Roman"/>
                <w:b/>
              </w:rPr>
              <w:t xml:space="preserve"> % in overeenstemming met artikel </w:t>
            </w:r>
            <w:r w:rsidRPr="00CF219D">
              <w:rPr>
                <w:rFonts w:ascii="Times New Roman" w:hAnsi="Times New Roman"/>
                <w:b/>
              </w:rPr>
              <w:t>429</w:t>
            </w:r>
            <w:r>
              <w:rPr>
                <w:rFonts w:ascii="Times New Roman" w:hAnsi="Times New Roman"/>
                <w:b/>
              </w:rPr>
              <w:t xml:space="preserve">, lid </w:t>
            </w:r>
            <w:r w:rsidRPr="00CF219D">
              <w:rPr>
                <w:rFonts w:ascii="Times New Roman" w:hAnsi="Times New Roman"/>
                <w:b/>
              </w:rPr>
              <w:t>10</w:t>
            </w:r>
            <w:r>
              <w:rPr>
                <w:rFonts w:ascii="Times New Roman" w:hAnsi="Times New Roman"/>
                <w:b/>
              </w:rPr>
              <w:t>, van de VKV</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429</w:t>
            </w:r>
            <w:r>
              <w:rPr>
                <w:rFonts w:ascii="Times New Roman" w:hAnsi="Times New Roman"/>
              </w:rPr>
              <w:t xml:space="preserve">, lid </w:t>
            </w:r>
            <w:r w:rsidRPr="00CF219D">
              <w:rPr>
                <w:rFonts w:ascii="Times New Roman" w:hAnsi="Times New Roman"/>
              </w:rPr>
              <w:t>10</w:t>
            </w:r>
            <w:r>
              <w:rPr>
                <w:rFonts w:ascii="Times New Roman" w:hAnsi="Times New Roman"/>
              </w:rPr>
              <w:t xml:space="preserve">, artikel </w:t>
            </w:r>
            <w:r w:rsidRPr="00CF219D">
              <w:rPr>
                <w:rFonts w:ascii="Times New Roman" w:hAnsi="Times New Roman"/>
              </w:rPr>
              <w:t>111</w:t>
            </w:r>
            <w:r>
              <w:rPr>
                <w:rFonts w:ascii="Times New Roman" w:hAnsi="Times New Roman"/>
              </w:rPr>
              <w:t xml:space="preserve">, lid </w:t>
            </w:r>
            <w:r w:rsidRPr="00CF219D">
              <w:rPr>
                <w:rFonts w:ascii="Times New Roman" w:hAnsi="Times New Roman"/>
              </w:rPr>
              <w:t>1</w:t>
            </w:r>
            <w:r>
              <w:rPr>
                <w:rFonts w:ascii="Times New Roman" w:hAnsi="Times New Roman"/>
              </w:rPr>
              <w:t xml:space="preserve">, onder a), en artikel </w:t>
            </w:r>
            <w:r w:rsidRPr="00CF219D">
              <w:rPr>
                <w:rFonts w:ascii="Times New Roman" w:hAnsi="Times New Roman"/>
              </w:rPr>
              <w:t>166</w:t>
            </w:r>
            <w:r>
              <w:rPr>
                <w:rFonts w:ascii="Times New Roman" w:hAnsi="Times New Roman"/>
              </w:rPr>
              <w:t xml:space="preserve">, lid </w:t>
            </w:r>
            <w:r w:rsidRPr="00CF219D">
              <w:rPr>
                <w:rFonts w:ascii="Times New Roman" w:hAnsi="Times New Roman"/>
              </w:rPr>
              <w:t>9</w:t>
            </w:r>
            <w:r>
              <w:rPr>
                <w:rFonts w:ascii="Times New Roman" w:hAnsi="Times New Roman"/>
              </w:rPr>
              <w:t>, van de VKV</w:t>
            </w:r>
          </w:p>
          <w:p w:rsidR="00AE2798" w:rsidRPr="00FE002E" w:rsidRDefault="00AE2798" w:rsidP="00FE0FF1">
            <w:pPr>
              <w:pStyle w:val="BodyText1"/>
              <w:spacing w:line="240" w:lineRule="auto"/>
              <w:rPr>
                <w:rFonts w:ascii="Times New Roman" w:hAnsi="Times New Roman"/>
                <w:bCs/>
              </w:rPr>
            </w:pPr>
          </w:p>
          <w:p w:rsidR="008C7B98" w:rsidRDefault="00AE2798" w:rsidP="00FE0FF1">
            <w:pPr>
              <w:pStyle w:val="BodyText1"/>
              <w:spacing w:line="240" w:lineRule="auto"/>
              <w:rPr>
                <w:rFonts w:ascii="Times New Roman" w:hAnsi="Times New Roman"/>
                <w:bCs/>
              </w:rPr>
            </w:pPr>
            <w:r>
              <w:rPr>
                <w:rFonts w:ascii="Times New Roman" w:hAnsi="Times New Roman"/>
              </w:rPr>
              <w:t xml:space="preserve">De blootstellingswaarde overeenkomstig artikel </w:t>
            </w:r>
            <w:r w:rsidRPr="00CF219D">
              <w:rPr>
                <w:rFonts w:ascii="Times New Roman" w:hAnsi="Times New Roman"/>
              </w:rPr>
              <w:t>429</w:t>
            </w:r>
            <w:r>
              <w:rPr>
                <w:rFonts w:ascii="Times New Roman" w:hAnsi="Times New Roman"/>
              </w:rPr>
              <w:t xml:space="preserve">, lid </w:t>
            </w:r>
            <w:r w:rsidRPr="00CF219D">
              <w:rPr>
                <w:rFonts w:ascii="Times New Roman" w:hAnsi="Times New Roman"/>
              </w:rPr>
              <w:t>10</w:t>
            </w:r>
            <w:r>
              <w:rPr>
                <w:rFonts w:ascii="Times New Roman" w:hAnsi="Times New Roman"/>
              </w:rPr>
              <w:t xml:space="preserve">, en artikel </w:t>
            </w:r>
            <w:r w:rsidRPr="00CF219D">
              <w:rPr>
                <w:rFonts w:ascii="Times New Roman" w:hAnsi="Times New Roman"/>
              </w:rPr>
              <w:t>111</w:t>
            </w:r>
            <w:r>
              <w:rPr>
                <w:rFonts w:ascii="Times New Roman" w:hAnsi="Times New Roman"/>
              </w:rPr>
              <w:t>, lid </w:t>
            </w:r>
            <w:r w:rsidRPr="00CF219D">
              <w:rPr>
                <w:rFonts w:ascii="Times New Roman" w:hAnsi="Times New Roman"/>
              </w:rPr>
              <w:t>1</w:t>
            </w:r>
            <w:r>
              <w:rPr>
                <w:rFonts w:ascii="Times New Roman" w:hAnsi="Times New Roman"/>
              </w:rPr>
              <w:t xml:space="preserve">, onder a), van de VKV van in bijlage I, punt </w:t>
            </w:r>
            <w:r w:rsidRPr="00CF219D">
              <w:rPr>
                <w:rFonts w:ascii="Times New Roman" w:hAnsi="Times New Roman"/>
              </w:rPr>
              <w:t>1</w:t>
            </w:r>
            <w:r>
              <w:rPr>
                <w:rFonts w:ascii="Times New Roman" w:hAnsi="Times New Roman"/>
              </w:rPr>
              <w:t xml:space="preserve">, onder a) tot en met k), van de VKV genoemde posten buiten de balanstelling met een hoog risico waaraan een omrekeningsfactor van </w:t>
            </w:r>
            <w:r w:rsidRPr="00CF219D">
              <w:rPr>
                <w:rFonts w:ascii="Times New Roman" w:hAnsi="Times New Roman"/>
              </w:rPr>
              <w:t>100</w:t>
            </w:r>
            <w:r>
              <w:rPr>
                <w:rFonts w:ascii="Times New Roman" w:hAnsi="Times New Roman"/>
              </w:rPr>
              <w:t xml:space="preserve"> % zou worden toegekend (ter herinnering zij opgemerkt dat de blootstellingswaarde hier </w:t>
            </w:r>
            <w:r w:rsidRPr="00CF219D">
              <w:rPr>
                <w:rFonts w:ascii="Times New Roman" w:hAnsi="Times New Roman"/>
              </w:rPr>
              <w:t>100</w:t>
            </w:r>
            <w:r>
              <w:rPr>
                <w:rFonts w:ascii="Times New Roman" w:hAnsi="Times New Roman"/>
              </w:rPr>
              <w:t xml:space="preserve"> % van de nominale waarde is). Er zij aan herinnerd dat de nominale waarde niet met specifieke kredietrisicoaanpassingen mag worden verminderd. </w:t>
            </w:r>
          </w:p>
          <w:p w:rsidR="008C7B98" w:rsidRDefault="008C7B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Deze cel omvat liquiditeitsfaciliteiten en andere verplichtingen met betrekking tot securitisaties. </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Indien een verplichting betrekking heeft op de uitbreiding van een andere verplichting, wordt overeenkomstig artikel </w:t>
            </w:r>
            <w:r w:rsidRPr="00CF219D">
              <w:rPr>
                <w:rFonts w:ascii="Times New Roman" w:hAnsi="Times New Roman"/>
              </w:rPr>
              <w:t>166</w:t>
            </w:r>
            <w:r>
              <w:rPr>
                <w:rFonts w:ascii="Times New Roman" w:hAnsi="Times New Roman"/>
              </w:rPr>
              <w:t xml:space="preserve">, lid </w:t>
            </w:r>
            <w:r w:rsidRPr="00CF219D">
              <w:rPr>
                <w:rFonts w:ascii="Times New Roman" w:hAnsi="Times New Roman"/>
              </w:rPr>
              <w:t>9</w:t>
            </w:r>
            <w:r>
              <w:rPr>
                <w:rFonts w:ascii="Times New Roman" w:hAnsi="Times New Roman"/>
              </w:rPr>
              <w:t>, van de VKV gebruikgemaakt van de laagste van beide omrekeningsfactoren die voor de individuele verplichting gelden.</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Overeenkomstig artikel </w:t>
            </w:r>
            <w:r w:rsidRPr="00CF219D">
              <w:rPr>
                <w:rFonts w:ascii="Times New Roman" w:hAnsi="Times New Roman"/>
              </w:rPr>
              <w:t>429</w:t>
            </w:r>
            <w:r>
              <w:rPr>
                <w:rFonts w:ascii="Times New Roman" w:hAnsi="Times New Roman"/>
              </w:rPr>
              <w:t xml:space="preserve">, lid </w:t>
            </w:r>
            <w:r w:rsidRPr="00CF219D">
              <w:rPr>
                <w:rFonts w:ascii="Times New Roman" w:hAnsi="Times New Roman"/>
              </w:rPr>
              <w:t>10</w:t>
            </w:r>
            <w:r>
              <w:rPr>
                <w:rFonts w:ascii="Times New Roman" w:hAnsi="Times New Roman"/>
              </w:rPr>
              <w:t>, van de VKV houden instellingen in deze cel geen rekening met in bijlage II bij de VKV genoemde contracten, kredietderivaten en SFT's.</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lastRenderedPageBreak/>
              <w:t>{</w:t>
            </w:r>
            <w:r w:rsidRPr="00CF219D">
              <w:rPr>
                <w:rFonts w:ascii="Times New Roman" w:hAnsi="Times New Roman"/>
              </w:rPr>
              <w:t>190</w:t>
            </w:r>
            <w:r>
              <w:rPr>
                <w:rFonts w:ascii="Times New Roman" w:hAnsi="Times New Roman"/>
              </w:rPr>
              <w:t>;</w:t>
            </w:r>
            <w:r w:rsidRPr="00CF219D">
              <w:rPr>
                <w:rFonts w:ascii="Times New Roman" w:hAnsi="Times New Roman"/>
              </w:rPr>
              <w:t>010</w:t>
            </w:r>
            <w:r>
              <w:rPr>
                <w:rFonts w:ascii="Times New Roman" w:hAnsi="Times New Roman"/>
              </w:rPr>
              <w:t>}</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 xml:space="preserve">Overige activa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429</w:t>
            </w:r>
            <w:r>
              <w:rPr>
                <w:rFonts w:ascii="Times New Roman" w:hAnsi="Times New Roman"/>
              </w:rPr>
              <w:t xml:space="preserve">, lid </w:t>
            </w:r>
            <w:r w:rsidRPr="00CF219D">
              <w:rPr>
                <w:rFonts w:ascii="Times New Roman" w:hAnsi="Times New Roman"/>
              </w:rPr>
              <w:t>5</w:t>
            </w:r>
            <w:r>
              <w:rPr>
                <w:rFonts w:ascii="Times New Roman" w:hAnsi="Times New Roman"/>
              </w:rPr>
              <w:t>, van de VKV</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Alle andere activa dan de in bijlage II bij de VKV genoemde contracten, kredietderivaten en SFT's (in deze cel moeten bijvoorbeeld onder andere de volgende activa worden gerapporteerd: te ontvangen boekhoudkundige activa voor in contanten betaalde variatiemarge ingeval deze activa volgens het toepasselijke kader voor financiële verslaggeving worden opgenomen, liquide activa als omschreven in het kader van de liquiditeitsdekkingsratio, alsook falende en niet-afgewikkelde transacties). Instellingen gaan bij de waardering uit van de beginselen van artikel </w:t>
            </w:r>
            <w:r w:rsidRPr="00CF219D">
              <w:rPr>
                <w:rFonts w:ascii="Times New Roman" w:hAnsi="Times New Roman"/>
              </w:rPr>
              <w:t>429</w:t>
            </w:r>
            <w:r>
              <w:rPr>
                <w:rFonts w:ascii="Times New Roman" w:hAnsi="Times New Roman"/>
              </w:rPr>
              <w:t xml:space="preserve">, lid </w:t>
            </w:r>
            <w:r w:rsidRPr="00CF219D">
              <w:rPr>
                <w:rFonts w:ascii="Times New Roman" w:hAnsi="Times New Roman"/>
              </w:rPr>
              <w:t>5</w:t>
            </w:r>
            <w:r>
              <w:rPr>
                <w:rFonts w:ascii="Times New Roman" w:hAnsi="Times New Roman"/>
              </w:rPr>
              <w:t>, van de VKV.</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Instellingen nemen in deze cel contanten op die zijn ontvangen van, of effecten die zijn verstrekt aan een tegenpartij via SFT's en die op de balans vermeld staan (d.w.z. er wordt niet voldaan aan de boekhoudkundige criteria voor verwijdering). Voorts nemen instellingen hier van het tier </w:t>
            </w:r>
            <w:r w:rsidRPr="00CF219D">
              <w:rPr>
                <w:rFonts w:ascii="Times New Roman" w:hAnsi="Times New Roman"/>
              </w:rPr>
              <w:t>1</w:t>
            </w:r>
            <w:r>
              <w:rPr>
                <w:rFonts w:ascii="Times New Roman" w:hAnsi="Times New Roman"/>
              </w:rPr>
              <w:t xml:space="preserve">-kernkapitaal afgetrokken posten en aanvullend tier </w:t>
            </w:r>
            <w:r w:rsidRPr="00CF219D">
              <w:rPr>
                <w:rFonts w:ascii="Times New Roman" w:hAnsi="Times New Roman"/>
              </w:rPr>
              <w:t>1</w:t>
            </w:r>
            <w:r>
              <w:rPr>
                <w:rFonts w:ascii="Times New Roman" w:hAnsi="Times New Roman"/>
              </w:rPr>
              <w:t xml:space="preserve">-bestanddelen (bv. immateriële activa, uitgestelde belastingvorderingen enz.) op. </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w:t>
            </w:r>
            <w:r w:rsidRPr="00CF219D">
              <w:rPr>
                <w:rFonts w:ascii="Times New Roman" w:hAnsi="Times New Roman"/>
              </w:rPr>
              <w:t>200</w:t>
            </w:r>
            <w:r>
              <w:rPr>
                <w:rFonts w:ascii="Times New Roman" w:hAnsi="Times New Roman"/>
              </w:rPr>
              <w:t>;</w:t>
            </w:r>
            <w:r w:rsidRPr="00CF219D">
              <w:rPr>
                <w:rFonts w:ascii="Times New Roman" w:hAnsi="Times New Roman"/>
              </w:rPr>
              <w:t>010</w:t>
            </w:r>
            <w:r>
              <w:rPr>
                <w:rFonts w:ascii="Times New Roman" w:hAnsi="Times New Roman"/>
              </w:rPr>
              <w:t>}</w:t>
            </w:r>
          </w:p>
        </w:tc>
        <w:tc>
          <w:tcPr>
            <w:tcW w:w="7590" w:type="dxa"/>
            <w:tcBorders>
              <w:bottom w:val="single" w:sz="4" w:space="0" w:color="auto"/>
            </w:tcBorders>
          </w:tcPr>
          <w:p w:rsidR="00AE2798" w:rsidRDefault="00AE2798" w:rsidP="00FE0FF1">
            <w:pPr>
              <w:pStyle w:val="BodyText1"/>
              <w:spacing w:line="240" w:lineRule="auto"/>
              <w:rPr>
                <w:rFonts w:ascii="Times New Roman" w:hAnsi="Times New Roman"/>
                <w:bCs/>
              </w:rPr>
            </w:pPr>
            <w:r>
              <w:rPr>
                <w:rFonts w:ascii="Times New Roman" w:hAnsi="Times New Roman"/>
                <w:b/>
              </w:rPr>
              <w:t>Brutering voor met betrekking tot derivaten verstrekte zekerheden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429</w:t>
            </w:r>
            <w:r>
              <w:rPr>
                <w:rFonts w:ascii="Times New Roman" w:hAnsi="Times New Roman"/>
              </w:rPr>
              <w:t xml:space="preserve"> bis, lid </w:t>
            </w:r>
            <w:r w:rsidRPr="00CF219D">
              <w:rPr>
                <w:rFonts w:ascii="Times New Roman" w:hAnsi="Times New Roman"/>
              </w:rPr>
              <w:t>2</w:t>
            </w:r>
            <w:r>
              <w:rPr>
                <w:rFonts w:ascii="Times New Roman" w:hAnsi="Times New Roman"/>
              </w:rPr>
              <w:t>, van de VKV</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Het bedrag van alle met betrekking tot derivaten verstrekte zekerheden indien overeenkomstig artikel </w:t>
            </w:r>
            <w:r w:rsidRPr="00CF219D">
              <w:rPr>
                <w:rFonts w:ascii="Times New Roman" w:hAnsi="Times New Roman"/>
              </w:rPr>
              <w:t>429</w:t>
            </w:r>
            <w:r>
              <w:rPr>
                <w:rFonts w:ascii="Times New Roman" w:hAnsi="Times New Roman"/>
              </w:rPr>
              <w:t> bis, lid </w:t>
            </w:r>
            <w:r w:rsidRPr="00CF219D">
              <w:rPr>
                <w:rFonts w:ascii="Times New Roman" w:hAnsi="Times New Roman"/>
              </w:rPr>
              <w:t>2</w:t>
            </w:r>
            <w:r>
              <w:rPr>
                <w:rFonts w:ascii="Times New Roman" w:hAnsi="Times New Roman"/>
              </w:rPr>
              <w:t>, van de VKV het bedrag van de activa op grond van het toepasselijke kader voor financiële verslaggeving wordt verminderd door de verstrekking van die zekerheden.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De initiële marge voor als cliënt geclearde derivatentransacties bij een gekwalificeerde CTP of de toelaatbare in contanten ontvangen variatiemarge, als omschreven in artikel </w:t>
            </w:r>
            <w:r w:rsidRPr="00CF219D">
              <w:rPr>
                <w:rFonts w:ascii="Times New Roman" w:hAnsi="Times New Roman"/>
              </w:rPr>
              <w:t>429</w:t>
            </w:r>
            <w:r>
              <w:rPr>
                <w:rFonts w:ascii="Times New Roman" w:hAnsi="Times New Roman"/>
              </w:rPr>
              <w:t xml:space="preserve"> bis, lid </w:t>
            </w:r>
            <w:r w:rsidRPr="00CF219D">
              <w:rPr>
                <w:rFonts w:ascii="Times New Roman" w:hAnsi="Times New Roman"/>
              </w:rPr>
              <w:t>3</w:t>
            </w:r>
            <w:r>
              <w:rPr>
                <w:rFonts w:ascii="Times New Roman" w:hAnsi="Times New Roman"/>
              </w:rPr>
              <w:t>, van de VKV, worden niet in deze cel opgenomen.</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w:t>
            </w:r>
            <w:r w:rsidRPr="00CF219D">
              <w:rPr>
                <w:rFonts w:ascii="Times New Roman" w:hAnsi="Times New Roman"/>
              </w:rPr>
              <w:t>210</w:t>
            </w:r>
            <w:r>
              <w:rPr>
                <w:rFonts w:ascii="Times New Roman" w:hAnsi="Times New Roman"/>
              </w:rPr>
              <w:t>;</w:t>
            </w:r>
            <w:r w:rsidRPr="00CF219D">
              <w:rPr>
                <w:rFonts w:ascii="Times New Roman" w:hAnsi="Times New Roman"/>
              </w:rPr>
              <w:t>010</w:t>
            </w:r>
            <w:r>
              <w:rPr>
                <w:rFonts w:ascii="Times New Roman" w:hAnsi="Times New Roman"/>
              </w:rPr>
              <w:t>}</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Te ontvangen activa voor de bij derivatentransacties in contanten betaalde variatiemarge</w:t>
            </w:r>
          </w:p>
          <w:p w:rsidR="00AE2798" w:rsidRDefault="00AE2798" w:rsidP="00FE0FF1">
            <w:pPr>
              <w:pStyle w:val="BodyText1"/>
              <w:spacing w:line="240" w:lineRule="auto"/>
              <w:rPr>
                <w:rFonts w:ascii="Times New Roman" w:hAnsi="Times New Roman"/>
                <w:bCs/>
              </w:rPr>
            </w:pPr>
          </w:p>
          <w:p w:rsidR="00AE2798" w:rsidRDefault="006D3F98" w:rsidP="00FE0FF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429</w:t>
            </w:r>
            <w:r>
              <w:rPr>
                <w:rFonts w:ascii="Times New Roman" w:hAnsi="Times New Roman"/>
              </w:rPr>
              <w:t xml:space="preserve"> bis, lid </w:t>
            </w:r>
            <w:r w:rsidRPr="00CF219D">
              <w:rPr>
                <w:rFonts w:ascii="Times New Roman" w:hAnsi="Times New Roman"/>
              </w:rPr>
              <w:t>3</w:t>
            </w:r>
            <w:r>
              <w:rPr>
                <w:rFonts w:ascii="Times New Roman" w:hAnsi="Times New Roman"/>
              </w:rPr>
              <w:t>, derde alinea, van de VKV</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De te ontvangen activa voor de bij derivatentransacties in contanten aan de tegenpartij betaalde variatiemarge indien de instelling op grond van het toepasselijke kader voor financiële verslaggeving verplicht is deze als een te ontvangen actief op te nemen, mits aan de in artikel </w:t>
            </w:r>
            <w:r w:rsidRPr="00CF219D">
              <w:rPr>
                <w:rFonts w:ascii="Times New Roman" w:hAnsi="Times New Roman"/>
              </w:rPr>
              <w:t>429</w:t>
            </w:r>
            <w:r>
              <w:rPr>
                <w:rFonts w:ascii="Times New Roman" w:hAnsi="Times New Roman"/>
              </w:rPr>
              <w:t xml:space="preserve"> bis, lid </w:t>
            </w:r>
            <w:r w:rsidRPr="00CF219D">
              <w:rPr>
                <w:rFonts w:ascii="Times New Roman" w:hAnsi="Times New Roman"/>
              </w:rPr>
              <w:t>3</w:t>
            </w:r>
            <w:r>
              <w:rPr>
                <w:rFonts w:ascii="Times New Roman" w:hAnsi="Times New Roman"/>
              </w:rPr>
              <w:t>, onder a) tot en met e), van de VKV gestelde voorwaarden is voldaan.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Het gerapporteerde bedrag wordt ook in de in {</w:t>
            </w:r>
            <w:r w:rsidRPr="00CF219D">
              <w:rPr>
                <w:rFonts w:ascii="Times New Roman" w:hAnsi="Times New Roman"/>
              </w:rPr>
              <w:t>190</w:t>
            </w:r>
            <w:r>
              <w:rPr>
                <w:rFonts w:ascii="Times New Roman" w:hAnsi="Times New Roman"/>
              </w:rPr>
              <w:t>;</w:t>
            </w:r>
            <w:r w:rsidRPr="00CF219D">
              <w:rPr>
                <w:rFonts w:ascii="Times New Roman" w:hAnsi="Times New Roman"/>
              </w:rPr>
              <w:t>010</w:t>
            </w:r>
            <w:r>
              <w:rPr>
                <w:rFonts w:ascii="Times New Roman" w:hAnsi="Times New Roman"/>
              </w:rPr>
              <w:t>} gerapporteerde overige activa opgenomen.</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w:t>
            </w:r>
            <w:r w:rsidRPr="00CF219D">
              <w:rPr>
                <w:rFonts w:ascii="Times New Roman" w:hAnsi="Times New Roman"/>
              </w:rPr>
              <w:t>220</w:t>
            </w:r>
            <w:r>
              <w:rPr>
                <w:rFonts w:ascii="Times New Roman" w:hAnsi="Times New Roman"/>
              </w:rPr>
              <w:t>;</w:t>
            </w:r>
            <w:r w:rsidRPr="00CF219D">
              <w:rPr>
                <w:rFonts w:ascii="Times New Roman" w:hAnsi="Times New Roman"/>
              </w:rPr>
              <w:t>010</w:t>
            </w:r>
            <w:r>
              <w:rPr>
                <w:rFonts w:ascii="Times New Roman" w:hAnsi="Times New Roman"/>
              </w:rPr>
              <w:t>}</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Uitgesloten CTP-deel van als cliënt geclearde transactieblootstellingen (initiële marge)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lastRenderedPageBreak/>
              <w:t xml:space="preserve">Artikel </w:t>
            </w:r>
            <w:r w:rsidRPr="00CF219D">
              <w:rPr>
                <w:rFonts w:ascii="Times New Roman" w:hAnsi="Times New Roman"/>
              </w:rPr>
              <w:t>429</w:t>
            </w:r>
            <w:r>
              <w:rPr>
                <w:rFonts w:ascii="Times New Roman" w:hAnsi="Times New Roman"/>
              </w:rPr>
              <w:t xml:space="preserve">, lid </w:t>
            </w:r>
            <w:r w:rsidRPr="00CF219D">
              <w:rPr>
                <w:rFonts w:ascii="Times New Roman" w:hAnsi="Times New Roman"/>
              </w:rPr>
              <w:t>11</w:t>
            </w:r>
            <w:r>
              <w:rPr>
                <w:rFonts w:ascii="Times New Roman" w:hAnsi="Times New Roman"/>
              </w:rPr>
              <w:t>, van de VKV</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Het gedeelte van de (gestorte) initiële marge van uitgesloten transactieblootstellingen met betrekking tot een gekwalificeerde CTP uit hoofde van als cliënt geclearde derivatentransacties, mits deze posten aan de in artikel </w:t>
            </w:r>
            <w:r w:rsidRPr="00CF219D">
              <w:rPr>
                <w:rFonts w:ascii="Times New Roman" w:hAnsi="Times New Roman"/>
              </w:rPr>
              <w:t>306</w:t>
            </w:r>
            <w:r>
              <w:rPr>
                <w:rFonts w:ascii="Times New Roman" w:hAnsi="Times New Roman"/>
              </w:rPr>
              <w:t xml:space="preserve">, lid </w:t>
            </w:r>
            <w:r w:rsidRPr="00CF219D">
              <w:rPr>
                <w:rFonts w:ascii="Times New Roman" w:hAnsi="Times New Roman"/>
              </w:rPr>
              <w:t>1</w:t>
            </w:r>
            <w:r>
              <w:rPr>
                <w:rFonts w:ascii="Times New Roman" w:hAnsi="Times New Roman"/>
              </w:rPr>
              <w:t>, onder c), van de VKV gestelde voorwaarden voldoen.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Het gerapporteerde bedrag wordt ook in de in {</w:t>
            </w:r>
            <w:r w:rsidRPr="00CF219D">
              <w:rPr>
                <w:rFonts w:ascii="Times New Roman" w:hAnsi="Times New Roman"/>
              </w:rPr>
              <w:t>190</w:t>
            </w:r>
            <w:r>
              <w:rPr>
                <w:rFonts w:ascii="Times New Roman" w:hAnsi="Times New Roman"/>
              </w:rPr>
              <w:t>;</w:t>
            </w:r>
            <w:r w:rsidRPr="00CF219D">
              <w:rPr>
                <w:rFonts w:ascii="Times New Roman" w:hAnsi="Times New Roman"/>
              </w:rPr>
              <w:t>010</w:t>
            </w:r>
            <w:r>
              <w:rPr>
                <w:rFonts w:ascii="Times New Roman" w:hAnsi="Times New Roman"/>
              </w:rPr>
              <w:t>} gerapporteerde overige activa opgenomen.</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lastRenderedPageBreak/>
              <w:t>{</w:t>
            </w:r>
            <w:r w:rsidRPr="00CF219D">
              <w:rPr>
                <w:rFonts w:ascii="Times New Roman" w:hAnsi="Times New Roman"/>
              </w:rPr>
              <w:t>230</w:t>
            </w:r>
            <w:r>
              <w:rPr>
                <w:rFonts w:ascii="Times New Roman" w:hAnsi="Times New Roman"/>
              </w:rPr>
              <w:t>;</w:t>
            </w:r>
            <w:r w:rsidRPr="00CF219D">
              <w:rPr>
                <w:rFonts w:ascii="Times New Roman" w:hAnsi="Times New Roman"/>
              </w:rPr>
              <w:t>010</w:t>
            </w:r>
            <w:r>
              <w:rPr>
                <w:rFonts w:ascii="Times New Roman" w:hAnsi="Times New Roman"/>
              </w:rPr>
              <w:t>}</w:t>
            </w:r>
          </w:p>
        </w:tc>
        <w:tc>
          <w:tcPr>
            <w:tcW w:w="7590" w:type="dxa"/>
            <w:tcBorders>
              <w:bottom w:val="single" w:sz="4" w:space="0" w:color="auto"/>
            </w:tcBorders>
          </w:tcPr>
          <w:p w:rsidR="00AE2798" w:rsidRDefault="00AE2798" w:rsidP="00FE0FF1">
            <w:pPr>
              <w:pStyle w:val="BodyText1"/>
              <w:spacing w:line="240" w:lineRule="auto"/>
              <w:rPr>
                <w:rFonts w:ascii="Times New Roman" w:hAnsi="Times New Roman"/>
                <w:bCs/>
              </w:rPr>
            </w:pPr>
            <w:r>
              <w:rPr>
                <w:rFonts w:ascii="Times New Roman" w:hAnsi="Times New Roman"/>
                <w:b/>
              </w:rPr>
              <w:t>Aanpassingen voor SFT's waarvoor de verkoop volgens het toepasselijke kader voor financiële verslaggeving wordt verantwoord</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429</w:t>
            </w:r>
            <w:r>
              <w:rPr>
                <w:rFonts w:ascii="Times New Roman" w:hAnsi="Times New Roman"/>
              </w:rPr>
              <w:t xml:space="preserve"> ter, lid </w:t>
            </w:r>
            <w:r w:rsidRPr="00CF219D">
              <w:rPr>
                <w:rFonts w:ascii="Times New Roman" w:hAnsi="Times New Roman"/>
              </w:rPr>
              <w:t>5</w:t>
            </w:r>
            <w:r>
              <w:rPr>
                <w:rFonts w:ascii="Times New Roman" w:hAnsi="Times New Roman"/>
              </w:rPr>
              <w:t>, van de VKV</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De waarde van bij een retrocessietransactie uitgeleende effecten die niet in aanmerking worden genomen omdat de verkoop volgens het toepasselijke kader voor financiële verslaggeving wordt verantwoord.</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w:t>
            </w:r>
            <w:r w:rsidRPr="00CF219D">
              <w:rPr>
                <w:rFonts w:ascii="Times New Roman" w:hAnsi="Times New Roman"/>
              </w:rPr>
              <w:t>240</w:t>
            </w:r>
            <w:r>
              <w:rPr>
                <w:rFonts w:ascii="Times New Roman" w:hAnsi="Times New Roman"/>
              </w:rPr>
              <w:t>;</w:t>
            </w:r>
            <w:r w:rsidRPr="00CF219D">
              <w:rPr>
                <w:rFonts w:ascii="Times New Roman" w:hAnsi="Times New Roman"/>
              </w:rPr>
              <w:t>010</w:t>
            </w:r>
            <w:r>
              <w:rPr>
                <w:rFonts w:ascii="Times New Roman" w:hAnsi="Times New Roman"/>
              </w:rPr>
              <w:t>}</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Fiduciaire activa</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429</w:t>
            </w:r>
            <w:r>
              <w:rPr>
                <w:rFonts w:ascii="Times New Roman" w:hAnsi="Times New Roman"/>
              </w:rPr>
              <w:t xml:space="preserve">, lid </w:t>
            </w:r>
            <w:r w:rsidRPr="00CF219D">
              <w:rPr>
                <w:rFonts w:ascii="Times New Roman" w:hAnsi="Times New Roman"/>
              </w:rPr>
              <w:t>13</w:t>
            </w:r>
            <w:r>
              <w:rPr>
                <w:rFonts w:ascii="Times New Roman" w:hAnsi="Times New Roman"/>
              </w:rPr>
              <w:t>, van de VKV</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De waarde van fiduciaire activa die overeenkomstig artikel </w:t>
            </w:r>
            <w:r w:rsidRPr="00CF219D">
              <w:rPr>
                <w:rFonts w:ascii="Times New Roman" w:hAnsi="Times New Roman"/>
              </w:rPr>
              <w:t>429</w:t>
            </w:r>
            <w:r>
              <w:rPr>
                <w:rFonts w:ascii="Times New Roman" w:hAnsi="Times New Roman"/>
              </w:rPr>
              <w:t xml:space="preserve">, lid </w:t>
            </w:r>
            <w:r w:rsidRPr="00CF219D">
              <w:rPr>
                <w:rFonts w:ascii="Times New Roman" w:hAnsi="Times New Roman"/>
              </w:rPr>
              <w:t>13</w:t>
            </w:r>
            <w:r>
              <w:rPr>
                <w:rFonts w:ascii="Times New Roman" w:hAnsi="Times New Roman"/>
              </w:rPr>
              <w:t xml:space="preserve">, van de VKV voldoen aan de criteria van IAS </w:t>
            </w:r>
            <w:r w:rsidRPr="00CF219D">
              <w:rPr>
                <w:rFonts w:ascii="Times New Roman" w:hAnsi="Times New Roman"/>
              </w:rPr>
              <w:t>39</w:t>
            </w:r>
            <w:r>
              <w:rPr>
                <w:rFonts w:ascii="Times New Roman" w:hAnsi="Times New Roman"/>
              </w:rPr>
              <w:t xml:space="preserve"> voor het niet-opnemen in de balans en, in voorkomend geval, de criteria van IFRS </w:t>
            </w:r>
            <w:r w:rsidRPr="00CF219D">
              <w:rPr>
                <w:rFonts w:ascii="Times New Roman" w:hAnsi="Times New Roman"/>
              </w:rPr>
              <w:t>10</w:t>
            </w:r>
            <w:r>
              <w:rPr>
                <w:rFonts w:ascii="Times New Roman" w:hAnsi="Times New Roman"/>
              </w:rPr>
              <w:t xml:space="preserve"> voor niet-consolidatie, in de veronderstelling dat er geen sprake is van boekhoudkundige verrekenings- of andere CRM-effecten (dit betekent dat alle effecten van boekhoudkundige verrekening of CRM die de boekwaarde hebben beïnvloed, worden teruggedraaid).</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Het gerapporteerde bedrag wordt ook in de in {</w:t>
            </w:r>
            <w:r w:rsidRPr="00CF219D">
              <w:rPr>
                <w:rFonts w:ascii="Times New Roman" w:hAnsi="Times New Roman"/>
              </w:rPr>
              <w:t>190</w:t>
            </w:r>
            <w:r>
              <w:rPr>
                <w:rFonts w:ascii="Times New Roman" w:hAnsi="Times New Roman"/>
              </w:rPr>
              <w:t>;</w:t>
            </w:r>
            <w:r w:rsidRPr="00CF219D">
              <w:rPr>
                <w:rFonts w:ascii="Times New Roman" w:hAnsi="Times New Roman"/>
              </w:rPr>
              <w:t>010</w:t>
            </w:r>
            <w:r>
              <w:rPr>
                <w:rFonts w:ascii="Times New Roman" w:hAnsi="Times New Roman"/>
              </w:rPr>
              <w:t>} gerapporteerde overige activa opgenomen.</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w:t>
            </w:r>
            <w:r w:rsidRPr="00CF219D">
              <w:rPr>
                <w:rFonts w:ascii="Times New Roman" w:hAnsi="Times New Roman"/>
              </w:rPr>
              <w:t>250</w:t>
            </w:r>
            <w:r>
              <w:rPr>
                <w:rFonts w:ascii="Times New Roman" w:hAnsi="Times New Roman"/>
              </w:rPr>
              <w:t>;</w:t>
            </w:r>
            <w:r w:rsidRPr="00CF219D">
              <w:rPr>
                <w:rFonts w:ascii="Times New Roman" w:hAnsi="Times New Roman"/>
              </w:rPr>
              <w:t>010</w:t>
            </w:r>
            <w:r>
              <w:rPr>
                <w:rFonts w:ascii="Times New Roman" w:hAnsi="Times New Roman"/>
              </w:rPr>
              <w:t>}</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xml:space="preserve">(-) Overeenkomstig artikel </w:t>
            </w:r>
            <w:r w:rsidRPr="00CF219D">
              <w:rPr>
                <w:rFonts w:ascii="Times New Roman" w:hAnsi="Times New Roman"/>
                <w:b/>
              </w:rPr>
              <w:t>429</w:t>
            </w:r>
            <w:r>
              <w:rPr>
                <w:rFonts w:ascii="Times New Roman" w:hAnsi="Times New Roman"/>
                <w:b/>
              </w:rPr>
              <w:t xml:space="preserve">, lid </w:t>
            </w:r>
            <w:r w:rsidRPr="00CF219D">
              <w:rPr>
                <w:rFonts w:ascii="Times New Roman" w:hAnsi="Times New Roman"/>
                <w:b/>
              </w:rPr>
              <w:t>7</w:t>
            </w:r>
            <w:r>
              <w:rPr>
                <w:rFonts w:ascii="Times New Roman" w:hAnsi="Times New Roman"/>
                <w:b/>
              </w:rPr>
              <w:t>, van de VKV uitgesloten intragroepblootstellingen (solobasis)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429</w:t>
            </w:r>
            <w:r>
              <w:rPr>
                <w:rFonts w:ascii="Times New Roman" w:hAnsi="Times New Roman"/>
              </w:rPr>
              <w:t xml:space="preserve">, lid </w:t>
            </w:r>
            <w:r w:rsidRPr="00CF219D">
              <w:rPr>
                <w:rFonts w:ascii="Times New Roman" w:hAnsi="Times New Roman"/>
              </w:rPr>
              <w:t>7</w:t>
            </w:r>
            <w:r>
              <w:rPr>
                <w:rFonts w:ascii="Times New Roman" w:hAnsi="Times New Roman"/>
              </w:rPr>
              <w:t xml:space="preserve">, en artikel </w:t>
            </w:r>
            <w:r w:rsidRPr="00CF219D">
              <w:rPr>
                <w:rFonts w:ascii="Times New Roman" w:hAnsi="Times New Roman"/>
              </w:rPr>
              <w:t>113</w:t>
            </w:r>
            <w:r>
              <w:rPr>
                <w:rFonts w:ascii="Times New Roman" w:hAnsi="Times New Roman"/>
              </w:rPr>
              <w:t xml:space="preserve">, lid </w:t>
            </w:r>
            <w:r w:rsidRPr="00CF219D">
              <w:rPr>
                <w:rFonts w:ascii="Times New Roman" w:hAnsi="Times New Roman"/>
              </w:rPr>
              <w:t>6</w:t>
            </w:r>
            <w:r>
              <w:rPr>
                <w:rFonts w:ascii="Times New Roman" w:hAnsi="Times New Roman"/>
              </w:rPr>
              <w:t>, van de VKV</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Blootstellingen die niet op de toepasselijke consolidatiebasis zijn geconsolideerd en die voor de in artikel </w:t>
            </w:r>
            <w:r w:rsidRPr="00CF219D">
              <w:rPr>
                <w:rFonts w:ascii="Times New Roman" w:hAnsi="Times New Roman"/>
              </w:rPr>
              <w:t>113</w:t>
            </w:r>
            <w:r>
              <w:rPr>
                <w:rFonts w:ascii="Times New Roman" w:hAnsi="Times New Roman"/>
              </w:rPr>
              <w:t xml:space="preserve">, lid </w:t>
            </w:r>
            <w:r w:rsidRPr="00CF219D">
              <w:rPr>
                <w:rFonts w:ascii="Times New Roman" w:hAnsi="Times New Roman"/>
              </w:rPr>
              <w:t>6</w:t>
            </w:r>
            <w:r>
              <w:rPr>
                <w:rFonts w:ascii="Times New Roman" w:hAnsi="Times New Roman"/>
              </w:rPr>
              <w:t xml:space="preserve">, van de VKV vastgestelde behandeling in aanmerking komen, mits aan alle in artikel </w:t>
            </w:r>
            <w:r w:rsidRPr="00CF219D">
              <w:rPr>
                <w:rFonts w:ascii="Times New Roman" w:hAnsi="Times New Roman"/>
              </w:rPr>
              <w:t>113</w:t>
            </w:r>
            <w:r>
              <w:rPr>
                <w:rFonts w:ascii="Times New Roman" w:hAnsi="Times New Roman"/>
              </w:rPr>
              <w:t xml:space="preserve">, lid </w:t>
            </w:r>
            <w:r w:rsidRPr="00CF219D">
              <w:rPr>
                <w:rFonts w:ascii="Times New Roman" w:hAnsi="Times New Roman"/>
              </w:rPr>
              <w:t>6</w:t>
            </w:r>
            <w:r>
              <w:rPr>
                <w:rFonts w:ascii="Times New Roman" w:hAnsi="Times New Roman"/>
              </w:rPr>
              <w:t>, onder a) tot en met e), van de VKV gestelde voorwaarden is voldaan en de bevoegde autoriteiten hun toestemming hebben verleend.</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Het gerapporteerde bedrag wordt ook in de bovengenoemde toepasselijke cellen opgenomen alsof er geen uitsluiting van toepassing is.</w:t>
            </w:r>
          </w:p>
          <w:p w:rsidR="00AE2798" w:rsidRPr="0084012A" w:rsidRDefault="00AE2798" w:rsidP="00FE0FF1">
            <w:pPr>
              <w:pStyle w:val="BodyText1"/>
              <w:spacing w:line="240" w:lineRule="auto"/>
              <w:rPr>
                <w:rFonts w:ascii="Times New Roman" w:hAnsi="Times New Roman"/>
                <w:bCs/>
              </w:rPr>
            </w:pPr>
          </w:p>
        </w:tc>
      </w:tr>
      <w:tr w:rsidR="004A1A27" w:rsidRPr="00FE002E" w:rsidTr="00FE0FF1">
        <w:trPr>
          <w:trHeight w:val="304"/>
        </w:trPr>
        <w:tc>
          <w:tcPr>
            <w:tcW w:w="1418" w:type="dxa"/>
            <w:tcBorders>
              <w:bottom w:val="single" w:sz="4" w:space="0" w:color="auto"/>
            </w:tcBorders>
          </w:tcPr>
          <w:p w:rsidR="004A1A27" w:rsidRDefault="004A1A27" w:rsidP="00FE0FF1">
            <w:pPr>
              <w:pStyle w:val="BodyText1"/>
              <w:rPr>
                <w:rFonts w:ascii="Times New Roman" w:hAnsi="Times New Roman"/>
                <w:bCs/>
              </w:rPr>
            </w:pPr>
            <w:r>
              <w:rPr>
                <w:rFonts w:ascii="Times New Roman" w:hAnsi="Times New Roman"/>
              </w:rPr>
              <w:t>{</w:t>
            </w:r>
            <w:r w:rsidRPr="00CF219D">
              <w:rPr>
                <w:rFonts w:ascii="Times New Roman" w:hAnsi="Times New Roman"/>
              </w:rPr>
              <w:t>260</w:t>
            </w:r>
            <w:r>
              <w:rPr>
                <w:rFonts w:ascii="Times New Roman" w:hAnsi="Times New Roman"/>
              </w:rPr>
              <w:t>;</w:t>
            </w:r>
            <w:r w:rsidRPr="00CF219D">
              <w:rPr>
                <w:rFonts w:ascii="Times New Roman" w:hAnsi="Times New Roman"/>
              </w:rPr>
              <w:t>010</w:t>
            </w:r>
            <w:r>
              <w:rPr>
                <w:rFonts w:ascii="Times New Roman" w:hAnsi="Times New Roman"/>
              </w:rPr>
              <w:t>}</w:t>
            </w:r>
          </w:p>
        </w:tc>
        <w:tc>
          <w:tcPr>
            <w:tcW w:w="7590" w:type="dxa"/>
            <w:tcBorders>
              <w:bottom w:val="single" w:sz="4" w:space="0" w:color="auto"/>
            </w:tcBorders>
          </w:tcPr>
          <w:p w:rsidR="004A1A27" w:rsidRDefault="00422C76" w:rsidP="003113EE">
            <w:pPr>
              <w:pStyle w:val="BodyText1"/>
              <w:spacing w:line="240" w:lineRule="auto"/>
              <w:rPr>
                <w:rFonts w:ascii="Times New Roman" w:hAnsi="Times New Roman"/>
                <w:bCs/>
              </w:rPr>
            </w:pPr>
            <w:r>
              <w:rPr>
                <w:rFonts w:ascii="Times New Roman" w:hAnsi="Times New Roman"/>
                <w:b/>
              </w:rPr>
              <w:t xml:space="preserve">(-) Overeenkomstig artikel </w:t>
            </w:r>
            <w:r w:rsidRPr="00CF219D">
              <w:rPr>
                <w:rFonts w:ascii="Times New Roman" w:hAnsi="Times New Roman"/>
                <w:b/>
              </w:rPr>
              <w:t>429</w:t>
            </w:r>
            <w:r>
              <w:rPr>
                <w:rFonts w:ascii="Times New Roman" w:hAnsi="Times New Roman"/>
                <w:b/>
              </w:rPr>
              <w:t xml:space="preserve">, lid </w:t>
            </w:r>
            <w:r w:rsidRPr="00CF219D">
              <w:rPr>
                <w:rFonts w:ascii="Times New Roman" w:hAnsi="Times New Roman"/>
                <w:b/>
              </w:rPr>
              <w:t>14</w:t>
            </w:r>
            <w:r>
              <w:rPr>
                <w:rFonts w:ascii="Times New Roman" w:hAnsi="Times New Roman"/>
                <w:b/>
              </w:rPr>
              <w:t>, van de VKV uitgesloten blootstellingen</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429</w:t>
            </w:r>
            <w:r>
              <w:rPr>
                <w:rFonts w:ascii="Times New Roman" w:hAnsi="Times New Roman"/>
              </w:rPr>
              <w:t xml:space="preserve">, lid </w:t>
            </w:r>
            <w:r w:rsidRPr="00CF219D">
              <w:rPr>
                <w:rFonts w:ascii="Times New Roman" w:hAnsi="Times New Roman"/>
              </w:rPr>
              <w:t>14</w:t>
            </w:r>
            <w:r>
              <w:rPr>
                <w:rFonts w:ascii="Times New Roman" w:hAnsi="Times New Roman"/>
              </w:rPr>
              <w:t>, van de VKV</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rPr>
              <w:t xml:space="preserve">De overeenkomstig artikel </w:t>
            </w:r>
            <w:r w:rsidRPr="00CF219D">
              <w:rPr>
                <w:rFonts w:ascii="Times New Roman" w:hAnsi="Times New Roman"/>
              </w:rPr>
              <w:t>429</w:t>
            </w:r>
            <w:r>
              <w:rPr>
                <w:rFonts w:ascii="Times New Roman" w:hAnsi="Times New Roman"/>
              </w:rPr>
              <w:t xml:space="preserve">, lid </w:t>
            </w:r>
            <w:r w:rsidRPr="00CF219D">
              <w:rPr>
                <w:rFonts w:ascii="Times New Roman" w:hAnsi="Times New Roman"/>
              </w:rPr>
              <w:t>14</w:t>
            </w:r>
            <w:r>
              <w:rPr>
                <w:rFonts w:ascii="Times New Roman" w:hAnsi="Times New Roman"/>
              </w:rPr>
              <w:t>, van de VKV uitgesloten blootstellingen, mits aan alle in genoemde bepaling gestelde voorwaarden is voldaan en de bevoegde autoriteiten hun toestemming hebben verleend.</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rPr>
              <w:t>Het gerapporteerde bedrag wordt ook in de bovengenoemde toepasselijke cellen opgenomen alsof er geen uitsluiting van toepassing is.</w:t>
            </w:r>
          </w:p>
          <w:p w:rsidR="004A1A27" w:rsidRDefault="004A1A27" w:rsidP="00FE0FF1">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t>{</w:t>
            </w:r>
            <w:r w:rsidRPr="00CF219D">
              <w:rPr>
                <w:rFonts w:ascii="Times New Roman" w:hAnsi="Times New Roman"/>
              </w:rPr>
              <w:t>270</w:t>
            </w:r>
            <w:r>
              <w:rPr>
                <w:rFonts w:ascii="Times New Roman" w:hAnsi="Times New Roman"/>
              </w:rPr>
              <w:t>;</w:t>
            </w:r>
            <w:r w:rsidRPr="00CF219D">
              <w:rPr>
                <w:rFonts w:ascii="Times New Roman" w:hAnsi="Times New Roman"/>
              </w:rPr>
              <w:t>010</w:t>
            </w:r>
            <w:r>
              <w:rPr>
                <w:rFonts w:ascii="Times New Roman" w:hAnsi="Times New Roman"/>
              </w:rPr>
              <w:t>}</w:t>
            </w:r>
          </w:p>
          <w:p w:rsidR="009264ED" w:rsidRDefault="009264ED" w:rsidP="00FE0FF1">
            <w:pPr>
              <w:pStyle w:val="BodyText1"/>
              <w:rPr>
                <w:rFonts w:ascii="Times New Roman" w:hAnsi="Times New Roman"/>
                <w:bCs/>
              </w:rPr>
            </w:pPr>
          </w:p>
        </w:tc>
        <w:tc>
          <w:tcPr>
            <w:tcW w:w="7590" w:type="dxa"/>
            <w:tcBorders>
              <w:bottom w:val="single" w:sz="4" w:space="0" w:color="auto"/>
            </w:tcBorders>
          </w:tcPr>
          <w:p w:rsidR="009264ED" w:rsidRPr="00FE002E" w:rsidRDefault="009264ED" w:rsidP="009264ED">
            <w:pPr>
              <w:pStyle w:val="BodyText1"/>
              <w:spacing w:line="240" w:lineRule="auto"/>
              <w:rPr>
                <w:rFonts w:ascii="Times New Roman" w:hAnsi="Times New Roman"/>
              </w:rPr>
            </w:pPr>
            <w:r>
              <w:rPr>
                <w:rFonts w:ascii="Times New Roman" w:hAnsi="Times New Roman"/>
                <w:b/>
              </w:rPr>
              <w:lastRenderedPageBreak/>
              <w:t xml:space="preserve">(-) Afgetrokken activabedrag - Tier </w:t>
            </w:r>
            <w:r w:rsidRPr="00CF219D">
              <w:rPr>
                <w:rFonts w:ascii="Times New Roman" w:hAnsi="Times New Roman"/>
                <w:b/>
              </w:rPr>
              <w:t>1</w:t>
            </w:r>
            <w:r>
              <w:rPr>
                <w:rFonts w:ascii="Times New Roman" w:hAnsi="Times New Roman"/>
                <w:b/>
              </w:rPr>
              <w:t>-kapitaal - volledig ingefaseerde definitie</w:t>
            </w:r>
          </w:p>
          <w:p w:rsidR="009264ED" w:rsidRPr="00FE002E" w:rsidRDefault="009264ED" w:rsidP="009264ED">
            <w:pPr>
              <w:pStyle w:val="BodyText1"/>
              <w:spacing w:line="240" w:lineRule="auto"/>
              <w:rPr>
                <w:rFonts w:ascii="Times New Roman" w:hAnsi="Times New Roman"/>
              </w:rPr>
            </w:pPr>
          </w:p>
          <w:p w:rsidR="009264ED" w:rsidRPr="00FE002E" w:rsidRDefault="009264ED" w:rsidP="009264ED">
            <w:pPr>
              <w:pStyle w:val="BodyText1"/>
              <w:spacing w:line="240" w:lineRule="auto"/>
              <w:rPr>
                <w:rFonts w:ascii="Times New Roman" w:hAnsi="Times New Roman"/>
              </w:rPr>
            </w:pPr>
            <w:r>
              <w:rPr>
                <w:rFonts w:ascii="Times New Roman" w:hAnsi="Times New Roman"/>
              </w:rPr>
              <w:lastRenderedPageBreak/>
              <w:t xml:space="preserve">Artikel </w:t>
            </w:r>
            <w:r w:rsidRPr="00CF219D">
              <w:rPr>
                <w:rFonts w:ascii="Times New Roman" w:hAnsi="Times New Roman"/>
              </w:rPr>
              <w:t>429</w:t>
            </w:r>
            <w:r>
              <w:rPr>
                <w:rFonts w:ascii="Times New Roman" w:hAnsi="Times New Roman"/>
              </w:rPr>
              <w:t xml:space="preserve">, lid </w:t>
            </w:r>
            <w:r w:rsidRPr="00CF219D">
              <w:rPr>
                <w:rFonts w:ascii="Times New Roman" w:hAnsi="Times New Roman"/>
              </w:rPr>
              <w:t>4</w:t>
            </w:r>
            <w:r>
              <w:rPr>
                <w:rFonts w:ascii="Times New Roman" w:hAnsi="Times New Roman"/>
              </w:rPr>
              <w:t xml:space="preserve">, onder a), en artikel </w:t>
            </w:r>
            <w:r w:rsidRPr="00CF219D">
              <w:rPr>
                <w:rFonts w:ascii="Times New Roman" w:hAnsi="Times New Roman"/>
              </w:rPr>
              <w:t>499</w:t>
            </w:r>
            <w:r>
              <w:rPr>
                <w:rFonts w:ascii="Times New Roman" w:hAnsi="Times New Roman"/>
              </w:rPr>
              <w:t xml:space="preserve">, lid </w:t>
            </w:r>
            <w:r w:rsidRPr="00CF219D">
              <w:rPr>
                <w:rFonts w:ascii="Times New Roman" w:hAnsi="Times New Roman"/>
              </w:rPr>
              <w:t>1</w:t>
            </w:r>
            <w:r>
              <w:rPr>
                <w:rFonts w:ascii="Times New Roman" w:hAnsi="Times New Roman"/>
              </w:rPr>
              <w:t>, onder a), van de VKV</w:t>
            </w:r>
          </w:p>
          <w:p w:rsidR="009264ED" w:rsidRPr="00FE002E" w:rsidRDefault="009264ED" w:rsidP="009264ED">
            <w:pPr>
              <w:pStyle w:val="BodyText1"/>
              <w:spacing w:line="240" w:lineRule="auto"/>
              <w:rPr>
                <w:rFonts w:ascii="Times New Roman" w:hAnsi="Times New Roman"/>
              </w:rPr>
            </w:pPr>
          </w:p>
          <w:p w:rsidR="009264ED" w:rsidRDefault="009264ED" w:rsidP="009264ED">
            <w:pPr>
              <w:pStyle w:val="BodyText1"/>
              <w:spacing w:line="240" w:lineRule="auto"/>
              <w:rPr>
                <w:rFonts w:ascii="Times New Roman" w:hAnsi="Times New Roman"/>
                <w:bCs/>
              </w:rPr>
            </w:pPr>
            <w:r>
              <w:rPr>
                <w:rFonts w:ascii="Times New Roman" w:hAnsi="Times New Roman"/>
              </w:rPr>
              <w:t>Het betreft alle aanpassingen die op de waarde van een actief betrekking hebben en die zijn vereist bij:</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 xml:space="preserve">artikelen </w:t>
            </w:r>
            <w:r w:rsidRPr="00CF219D">
              <w:rPr>
                <w:rFonts w:ascii="Times New Roman" w:hAnsi="Times New Roman"/>
              </w:rPr>
              <w:t>32</w:t>
            </w:r>
            <w:r>
              <w:rPr>
                <w:rFonts w:ascii="Times New Roman" w:hAnsi="Times New Roman"/>
              </w:rPr>
              <w:t xml:space="preserve"> tot en met </w:t>
            </w:r>
            <w:r w:rsidRPr="00CF219D">
              <w:rPr>
                <w:rFonts w:ascii="Times New Roman" w:hAnsi="Times New Roman"/>
              </w:rPr>
              <w:t>35</w:t>
            </w:r>
            <w:r>
              <w:rPr>
                <w:rFonts w:ascii="Times New Roman" w:hAnsi="Times New Roman"/>
              </w:rPr>
              <w:t xml:space="preserve"> van de VKV, of </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 xml:space="preserve">artikelen </w:t>
            </w:r>
            <w:r w:rsidRPr="00CF219D">
              <w:rPr>
                <w:rFonts w:ascii="Times New Roman" w:hAnsi="Times New Roman"/>
              </w:rPr>
              <w:t>36</w:t>
            </w:r>
            <w:r>
              <w:rPr>
                <w:rFonts w:ascii="Times New Roman" w:hAnsi="Times New Roman"/>
              </w:rPr>
              <w:t xml:space="preserve"> tot en met </w:t>
            </w:r>
            <w:r w:rsidRPr="00CF219D">
              <w:rPr>
                <w:rFonts w:ascii="Times New Roman" w:hAnsi="Times New Roman"/>
              </w:rPr>
              <w:t>47</w:t>
            </w:r>
            <w:r>
              <w:rPr>
                <w:rFonts w:ascii="Times New Roman" w:hAnsi="Times New Roman"/>
              </w:rPr>
              <w:t xml:space="preserve"> van de VKV, of</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artikelen </w:t>
            </w:r>
            <w:r w:rsidRPr="00CF219D">
              <w:rPr>
                <w:rFonts w:ascii="Times New Roman" w:hAnsi="Times New Roman"/>
              </w:rPr>
              <w:t>56</w:t>
            </w:r>
            <w:r>
              <w:rPr>
                <w:rFonts w:ascii="Times New Roman" w:hAnsi="Times New Roman"/>
              </w:rPr>
              <w:t xml:space="preserve"> tot en met </w:t>
            </w:r>
            <w:r w:rsidRPr="00CF219D">
              <w:rPr>
                <w:rFonts w:ascii="Times New Roman" w:hAnsi="Times New Roman"/>
              </w:rPr>
              <w:t>60</w:t>
            </w:r>
            <w:r>
              <w:rPr>
                <w:rFonts w:ascii="Times New Roman" w:hAnsi="Times New Roman"/>
              </w:rPr>
              <w:t xml:space="preserve"> van de VKV,</w:t>
            </w:r>
          </w:p>
          <w:p w:rsidR="006D3F98" w:rsidRDefault="006D3F98" w:rsidP="002573FC">
            <w:pPr>
              <w:pStyle w:val="BodyText1"/>
              <w:spacing w:line="240" w:lineRule="auto"/>
              <w:rPr>
                <w:rFonts w:ascii="Times New Roman" w:hAnsi="Times New Roman"/>
                <w:bCs/>
              </w:rPr>
            </w:pPr>
            <w:r>
              <w:rPr>
                <w:rFonts w:ascii="Times New Roman" w:hAnsi="Times New Roman"/>
              </w:rPr>
              <w:t>al naargelang het geval.</w:t>
            </w:r>
          </w:p>
          <w:p w:rsidR="009264ED"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 xml:space="preserve">Instellingen nemen de in de artikelen </w:t>
            </w:r>
            <w:r w:rsidRPr="00CF219D">
              <w:rPr>
                <w:rFonts w:ascii="Times New Roman" w:hAnsi="Times New Roman"/>
              </w:rPr>
              <w:t>48</w:t>
            </w:r>
            <w:r>
              <w:rPr>
                <w:rFonts w:ascii="Times New Roman" w:hAnsi="Times New Roman"/>
              </w:rPr>
              <w:t xml:space="preserve">, </w:t>
            </w:r>
            <w:r w:rsidRPr="00CF219D">
              <w:rPr>
                <w:rFonts w:ascii="Times New Roman" w:hAnsi="Times New Roman"/>
              </w:rPr>
              <w:t>49</w:t>
            </w:r>
            <w:r>
              <w:rPr>
                <w:rFonts w:ascii="Times New Roman" w:hAnsi="Times New Roman"/>
              </w:rPr>
              <w:t xml:space="preserve"> en </w:t>
            </w:r>
            <w:r w:rsidRPr="00CF219D">
              <w:rPr>
                <w:rFonts w:ascii="Times New Roman" w:hAnsi="Times New Roman"/>
              </w:rPr>
              <w:t>79</w:t>
            </w:r>
            <w:r>
              <w:rPr>
                <w:rFonts w:ascii="Times New Roman" w:hAnsi="Times New Roman"/>
              </w:rPr>
              <w:t xml:space="preserve"> van de VKV vervatte vrijstellingen, alternatieven en ontheffingen met betrekking tot dergelijke aftrekkingen in aanmerking, zonder rekening te houden met de afwijking waarin deel tien, titel I, hoofdstukken </w:t>
            </w:r>
            <w:r w:rsidRPr="00CF219D">
              <w:rPr>
                <w:rFonts w:ascii="Times New Roman" w:hAnsi="Times New Roman"/>
              </w:rPr>
              <w:t>1</w:t>
            </w:r>
            <w:r>
              <w:rPr>
                <w:rFonts w:ascii="Times New Roman" w:hAnsi="Times New Roman"/>
              </w:rPr>
              <w:t xml:space="preserve"> en </w:t>
            </w:r>
            <w:r w:rsidRPr="00CF219D">
              <w:rPr>
                <w:rFonts w:ascii="Times New Roman" w:hAnsi="Times New Roman"/>
              </w:rPr>
              <w:t>2</w:t>
            </w:r>
            <w:r>
              <w:rPr>
                <w:rFonts w:ascii="Times New Roman" w:hAnsi="Times New Roman"/>
              </w:rPr>
              <w:t>, van de VKV voorziet. Om dubbeltellingen te vermijden, rapporteren instellingen bij de berekening van de blootstellingswaarde in {</w:t>
            </w:r>
            <w:r w:rsidRPr="00CF219D">
              <w:rPr>
                <w:rFonts w:ascii="Times New Roman" w:hAnsi="Times New Roman"/>
              </w:rPr>
              <w:t>010</w:t>
            </w:r>
            <w:r>
              <w:rPr>
                <w:rFonts w:ascii="Times New Roman" w:hAnsi="Times New Roman"/>
              </w:rPr>
              <w:t>;</w:t>
            </w:r>
            <w:r w:rsidRPr="00CF219D">
              <w:rPr>
                <w:rFonts w:ascii="Times New Roman" w:hAnsi="Times New Roman"/>
              </w:rPr>
              <w:t>010</w:t>
            </w:r>
            <w:r>
              <w:rPr>
                <w:rFonts w:ascii="Times New Roman" w:hAnsi="Times New Roman"/>
              </w:rPr>
              <w:t>} tot en met {</w:t>
            </w:r>
            <w:r w:rsidRPr="00CF219D">
              <w:rPr>
                <w:rFonts w:ascii="Times New Roman" w:hAnsi="Times New Roman"/>
              </w:rPr>
              <w:t>260</w:t>
            </w:r>
            <w:r>
              <w:rPr>
                <w:rFonts w:ascii="Times New Roman" w:hAnsi="Times New Roman"/>
              </w:rPr>
              <w:t>;</w:t>
            </w:r>
            <w:r w:rsidRPr="00CF219D">
              <w:rPr>
                <w:rFonts w:ascii="Times New Roman" w:hAnsi="Times New Roman"/>
              </w:rPr>
              <w:t>010</w:t>
            </w:r>
            <w:r>
              <w:rPr>
                <w:rFonts w:ascii="Times New Roman" w:hAnsi="Times New Roman"/>
              </w:rPr>
              <w:t xml:space="preserve">} geen aanpassingen die reeds op grond van artikel </w:t>
            </w:r>
            <w:r w:rsidRPr="00CF219D">
              <w:rPr>
                <w:rFonts w:ascii="Times New Roman" w:hAnsi="Times New Roman"/>
              </w:rPr>
              <w:t>111</w:t>
            </w:r>
            <w:r>
              <w:rPr>
                <w:rFonts w:ascii="Times New Roman" w:hAnsi="Times New Roman"/>
              </w:rPr>
              <w:t xml:space="preserve"> van de VKV zijn toegepast; zij rapporteren evenmin aanpassingen waarbij er geen sprake is van de aftrekking van de waarde van een specifiek actief.</w:t>
            </w:r>
          </w:p>
          <w:p w:rsidR="009264ED" w:rsidRPr="00FE002E"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Aangezien deze bedragen reeds van de kapitaalmaatstaf zijn afgetrokken, doen zij de blootstelling voor de berekening van de hefboomratio dalen en worden zij als een negatieve waarde gerapporteerd.</w:t>
            </w:r>
          </w:p>
          <w:p w:rsidR="009264ED" w:rsidRDefault="009264ED" w:rsidP="003113EE">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lastRenderedPageBreak/>
              <w:t>{</w:t>
            </w:r>
            <w:r w:rsidRPr="00CF219D">
              <w:rPr>
                <w:rFonts w:ascii="Times New Roman" w:hAnsi="Times New Roman"/>
              </w:rPr>
              <w:t>280</w:t>
            </w:r>
            <w:r>
              <w:rPr>
                <w:rFonts w:ascii="Times New Roman" w:hAnsi="Times New Roman"/>
              </w:rPr>
              <w:t>;</w:t>
            </w:r>
            <w:r w:rsidRPr="00CF219D">
              <w:rPr>
                <w:rFonts w:ascii="Times New Roman" w:hAnsi="Times New Roman"/>
              </w:rPr>
              <w:t>010</w:t>
            </w:r>
            <w:r>
              <w:rPr>
                <w:rFonts w:ascii="Times New Roman" w:hAnsi="Times New Roman"/>
              </w:rPr>
              <w:t>}</w:t>
            </w:r>
          </w:p>
          <w:p w:rsidR="009264ED" w:rsidRDefault="009264ED" w:rsidP="00FE0FF1">
            <w:pPr>
              <w:pStyle w:val="BodyText1"/>
              <w:rPr>
                <w:rFonts w:ascii="Times New Roman" w:hAnsi="Times New Roman"/>
                <w:bCs/>
              </w:rPr>
            </w:pPr>
          </w:p>
        </w:tc>
        <w:tc>
          <w:tcPr>
            <w:tcW w:w="7590" w:type="dxa"/>
            <w:tcBorders>
              <w:bottom w:val="single" w:sz="4" w:space="0" w:color="auto"/>
            </w:tcBorders>
          </w:tcPr>
          <w:p w:rsidR="009264ED" w:rsidRPr="00FE002E" w:rsidRDefault="009264ED" w:rsidP="009264ED">
            <w:pPr>
              <w:pStyle w:val="BodyText1"/>
              <w:spacing w:line="240" w:lineRule="auto"/>
              <w:rPr>
                <w:rFonts w:ascii="Times New Roman" w:hAnsi="Times New Roman"/>
                <w:bCs/>
              </w:rPr>
            </w:pPr>
            <w:r>
              <w:rPr>
                <w:rFonts w:ascii="Times New Roman" w:hAnsi="Times New Roman"/>
                <w:b/>
              </w:rPr>
              <w:t xml:space="preserve">(-) Afgetrokken activabedrag - Tier </w:t>
            </w:r>
            <w:r w:rsidRPr="00CF219D">
              <w:rPr>
                <w:rFonts w:ascii="Times New Roman" w:hAnsi="Times New Roman"/>
                <w:b/>
              </w:rPr>
              <w:t>1</w:t>
            </w:r>
            <w:r>
              <w:rPr>
                <w:rFonts w:ascii="Times New Roman" w:hAnsi="Times New Roman"/>
                <w:b/>
              </w:rPr>
              <w:t>-kapitaal - overgangsdefinitie</w:t>
            </w:r>
          </w:p>
          <w:p w:rsidR="009264ED" w:rsidRPr="00FE002E"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429</w:t>
            </w:r>
            <w:r>
              <w:rPr>
                <w:rFonts w:ascii="Times New Roman" w:hAnsi="Times New Roman"/>
              </w:rPr>
              <w:t xml:space="preserve">, lid </w:t>
            </w:r>
            <w:r w:rsidRPr="00CF219D">
              <w:rPr>
                <w:rFonts w:ascii="Times New Roman" w:hAnsi="Times New Roman"/>
              </w:rPr>
              <w:t>4</w:t>
            </w:r>
            <w:r>
              <w:rPr>
                <w:rFonts w:ascii="Times New Roman" w:hAnsi="Times New Roman"/>
              </w:rPr>
              <w:t xml:space="preserve">, onder a), en artikel </w:t>
            </w:r>
            <w:r w:rsidRPr="00CF219D">
              <w:rPr>
                <w:rFonts w:ascii="Times New Roman" w:hAnsi="Times New Roman"/>
              </w:rPr>
              <w:t>499</w:t>
            </w:r>
            <w:r>
              <w:rPr>
                <w:rFonts w:ascii="Times New Roman" w:hAnsi="Times New Roman"/>
              </w:rPr>
              <w:t xml:space="preserve">, lid </w:t>
            </w:r>
            <w:r w:rsidRPr="00CF219D">
              <w:rPr>
                <w:rFonts w:ascii="Times New Roman" w:hAnsi="Times New Roman"/>
              </w:rPr>
              <w:t>1</w:t>
            </w:r>
            <w:r>
              <w:rPr>
                <w:rFonts w:ascii="Times New Roman" w:hAnsi="Times New Roman"/>
              </w:rPr>
              <w:t>, onder b), van de VKV</w:t>
            </w:r>
          </w:p>
          <w:p w:rsidR="009264ED" w:rsidRPr="00FE002E"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Het betreft alle aanpassingen die op de waarde van een actief betrekking hebben en die zijn vereist bij:</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 xml:space="preserve">artikelen </w:t>
            </w:r>
            <w:r w:rsidRPr="00CF219D">
              <w:rPr>
                <w:rFonts w:ascii="Times New Roman" w:hAnsi="Times New Roman"/>
              </w:rPr>
              <w:t>32</w:t>
            </w:r>
            <w:r>
              <w:rPr>
                <w:rFonts w:ascii="Times New Roman" w:hAnsi="Times New Roman"/>
              </w:rPr>
              <w:t xml:space="preserve"> tot en met </w:t>
            </w:r>
            <w:r w:rsidRPr="00CF219D">
              <w:rPr>
                <w:rFonts w:ascii="Times New Roman" w:hAnsi="Times New Roman"/>
              </w:rPr>
              <w:t>35</w:t>
            </w:r>
            <w:r>
              <w:rPr>
                <w:rFonts w:ascii="Times New Roman" w:hAnsi="Times New Roman"/>
              </w:rPr>
              <w:t xml:space="preserve"> van de VKV, of </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 xml:space="preserve">artikelen </w:t>
            </w:r>
            <w:r w:rsidRPr="00CF219D">
              <w:rPr>
                <w:rFonts w:ascii="Times New Roman" w:hAnsi="Times New Roman"/>
              </w:rPr>
              <w:t>36</w:t>
            </w:r>
            <w:r>
              <w:rPr>
                <w:rFonts w:ascii="Times New Roman" w:hAnsi="Times New Roman"/>
              </w:rPr>
              <w:t xml:space="preserve"> tot en met </w:t>
            </w:r>
            <w:r w:rsidRPr="00CF219D">
              <w:rPr>
                <w:rFonts w:ascii="Times New Roman" w:hAnsi="Times New Roman"/>
              </w:rPr>
              <w:t>47</w:t>
            </w:r>
            <w:r>
              <w:rPr>
                <w:rFonts w:ascii="Times New Roman" w:hAnsi="Times New Roman"/>
              </w:rPr>
              <w:t xml:space="preserve"> van de VKV, of </w:t>
            </w:r>
          </w:p>
          <w:p w:rsidR="00316050"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artikelen </w:t>
            </w:r>
            <w:r w:rsidRPr="00CF219D">
              <w:rPr>
                <w:rFonts w:ascii="Times New Roman" w:hAnsi="Times New Roman"/>
              </w:rPr>
              <w:t>56</w:t>
            </w:r>
            <w:r>
              <w:rPr>
                <w:rFonts w:ascii="Times New Roman" w:hAnsi="Times New Roman"/>
              </w:rPr>
              <w:t xml:space="preserve"> tot en met </w:t>
            </w:r>
            <w:r w:rsidRPr="00CF219D">
              <w:rPr>
                <w:rFonts w:ascii="Times New Roman" w:hAnsi="Times New Roman"/>
              </w:rPr>
              <w:t>60</w:t>
            </w:r>
            <w:r>
              <w:rPr>
                <w:rFonts w:ascii="Times New Roman" w:hAnsi="Times New Roman"/>
              </w:rPr>
              <w:t xml:space="preserve"> van de VKV,</w:t>
            </w:r>
          </w:p>
          <w:p w:rsidR="009264ED" w:rsidRDefault="00316050" w:rsidP="002573FC">
            <w:pPr>
              <w:pStyle w:val="BodyText1"/>
              <w:spacing w:line="240" w:lineRule="auto"/>
              <w:rPr>
                <w:rFonts w:ascii="Times New Roman" w:hAnsi="Times New Roman"/>
                <w:bCs/>
              </w:rPr>
            </w:pPr>
            <w:r>
              <w:rPr>
                <w:rFonts w:ascii="Times New Roman" w:hAnsi="Times New Roman"/>
              </w:rPr>
              <w:t>al naargelang het geval.</w:t>
            </w:r>
          </w:p>
          <w:p w:rsidR="009264ED"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 xml:space="preserve">Instellingen nemen de in de artikelen </w:t>
            </w:r>
            <w:r w:rsidRPr="00CF219D">
              <w:rPr>
                <w:rFonts w:ascii="Times New Roman" w:hAnsi="Times New Roman"/>
              </w:rPr>
              <w:t>48</w:t>
            </w:r>
            <w:r>
              <w:rPr>
                <w:rFonts w:ascii="Times New Roman" w:hAnsi="Times New Roman"/>
              </w:rPr>
              <w:t xml:space="preserve">, </w:t>
            </w:r>
            <w:r w:rsidRPr="00CF219D">
              <w:rPr>
                <w:rFonts w:ascii="Times New Roman" w:hAnsi="Times New Roman"/>
              </w:rPr>
              <w:t>49</w:t>
            </w:r>
            <w:r>
              <w:rPr>
                <w:rFonts w:ascii="Times New Roman" w:hAnsi="Times New Roman"/>
              </w:rPr>
              <w:t xml:space="preserve"> en </w:t>
            </w:r>
            <w:r w:rsidRPr="00CF219D">
              <w:rPr>
                <w:rFonts w:ascii="Times New Roman" w:hAnsi="Times New Roman"/>
              </w:rPr>
              <w:t>79</w:t>
            </w:r>
            <w:r>
              <w:rPr>
                <w:rFonts w:ascii="Times New Roman" w:hAnsi="Times New Roman"/>
              </w:rPr>
              <w:t xml:space="preserve"> van de VKV vervatte vrijstellingen, alternatieven en ontheffingen met betrekking tot dergelijke aftrekkingen in aanmerking, en houden tevens rekening met de afwijking waarin deel tien, titel I, hoofdstukken </w:t>
            </w:r>
            <w:r w:rsidRPr="00CF219D">
              <w:rPr>
                <w:rFonts w:ascii="Times New Roman" w:hAnsi="Times New Roman"/>
              </w:rPr>
              <w:t>1</w:t>
            </w:r>
            <w:r>
              <w:rPr>
                <w:rFonts w:ascii="Times New Roman" w:hAnsi="Times New Roman"/>
              </w:rPr>
              <w:t xml:space="preserve"> en </w:t>
            </w:r>
            <w:r w:rsidRPr="00CF219D">
              <w:rPr>
                <w:rFonts w:ascii="Times New Roman" w:hAnsi="Times New Roman"/>
              </w:rPr>
              <w:t>2</w:t>
            </w:r>
            <w:r>
              <w:rPr>
                <w:rFonts w:ascii="Times New Roman" w:hAnsi="Times New Roman"/>
              </w:rPr>
              <w:t>, van de VKV voorziet. Om dubbeltellingen te vermijden, rapporteren instellingen bij de berekening van de blootstellingswaarde in {</w:t>
            </w:r>
            <w:r w:rsidRPr="00CF219D">
              <w:rPr>
                <w:rFonts w:ascii="Times New Roman" w:hAnsi="Times New Roman"/>
              </w:rPr>
              <w:t>010</w:t>
            </w:r>
            <w:r>
              <w:rPr>
                <w:rFonts w:ascii="Times New Roman" w:hAnsi="Times New Roman"/>
              </w:rPr>
              <w:t>;</w:t>
            </w:r>
            <w:r w:rsidRPr="00CF219D">
              <w:rPr>
                <w:rFonts w:ascii="Times New Roman" w:hAnsi="Times New Roman"/>
              </w:rPr>
              <w:t>010</w:t>
            </w:r>
            <w:r>
              <w:rPr>
                <w:rFonts w:ascii="Times New Roman" w:hAnsi="Times New Roman"/>
              </w:rPr>
              <w:t>} tot en met {</w:t>
            </w:r>
            <w:r w:rsidRPr="00CF219D">
              <w:rPr>
                <w:rFonts w:ascii="Times New Roman" w:hAnsi="Times New Roman"/>
              </w:rPr>
              <w:t>260</w:t>
            </w:r>
            <w:r>
              <w:rPr>
                <w:rFonts w:ascii="Times New Roman" w:hAnsi="Times New Roman"/>
              </w:rPr>
              <w:t>;</w:t>
            </w:r>
            <w:r w:rsidRPr="00CF219D">
              <w:rPr>
                <w:rFonts w:ascii="Times New Roman" w:hAnsi="Times New Roman"/>
              </w:rPr>
              <w:t>010</w:t>
            </w:r>
            <w:r>
              <w:rPr>
                <w:rFonts w:ascii="Times New Roman" w:hAnsi="Times New Roman"/>
              </w:rPr>
              <w:t xml:space="preserve">} geen aanpassingen die reeds op grond van artikel </w:t>
            </w:r>
            <w:r w:rsidRPr="00CF219D">
              <w:rPr>
                <w:rFonts w:ascii="Times New Roman" w:hAnsi="Times New Roman"/>
              </w:rPr>
              <w:t>111</w:t>
            </w:r>
            <w:r>
              <w:rPr>
                <w:rFonts w:ascii="Times New Roman" w:hAnsi="Times New Roman"/>
              </w:rPr>
              <w:t xml:space="preserve"> van de VKV zijn toegepast; zij rapporteren evenmin aanpassingen waarbij er geen sprake is van de aftrekking van de waarde van een specifiek actief.</w:t>
            </w:r>
          </w:p>
          <w:p w:rsidR="009264ED" w:rsidRPr="00FE002E" w:rsidRDefault="009264ED" w:rsidP="009264ED">
            <w:pPr>
              <w:pStyle w:val="BodyText1"/>
              <w:spacing w:line="240" w:lineRule="auto"/>
              <w:rPr>
                <w:rFonts w:ascii="Times New Roman" w:hAnsi="Times New Roman"/>
                <w:bCs/>
              </w:rPr>
            </w:pPr>
          </w:p>
          <w:p w:rsidR="00F2347A" w:rsidRPr="00FE002E" w:rsidRDefault="00F2347A" w:rsidP="00F2347A">
            <w:pPr>
              <w:pStyle w:val="BodyText1"/>
              <w:spacing w:line="240" w:lineRule="auto"/>
              <w:rPr>
                <w:rFonts w:ascii="Times New Roman" w:hAnsi="Times New Roman"/>
                <w:bCs/>
              </w:rPr>
            </w:pPr>
            <w:r>
              <w:rPr>
                <w:rFonts w:ascii="Times New Roman" w:hAnsi="Times New Roman"/>
              </w:rPr>
              <w:t>Aangezien deze bedragen reeds van de kapitaalmaatstaf zijn afgetrokken, doen zij de blootstelling voor de berekening van de hefboomratio dalen en worden zij als een negatieve waarde gerapporteerd.</w:t>
            </w:r>
          </w:p>
          <w:p w:rsidR="009264ED" w:rsidRDefault="009264ED" w:rsidP="003113EE">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t>{</w:t>
            </w:r>
            <w:r w:rsidRPr="00CF219D">
              <w:rPr>
                <w:rFonts w:ascii="Times New Roman" w:hAnsi="Times New Roman"/>
              </w:rPr>
              <w:t>290</w:t>
            </w:r>
            <w:r>
              <w:rPr>
                <w:rFonts w:ascii="Times New Roman" w:hAnsi="Times New Roman"/>
              </w:rPr>
              <w:t>;</w:t>
            </w:r>
            <w:r w:rsidRPr="00CF219D">
              <w:rPr>
                <w:rFonts w:ascii="Times New Roman" w:hAnsi="Times New Roman"/>
              </w:rPr>
              <w:t>010</w:t>
            </w:r>
            <w:r>
              <w:rPr>
                <w:rFonts w:ascii="Times New Roman" w:hAnsi="Times New Roman"/>
              </w:rPr>
              <w:t>}</w:t>
            </w:r>
          </w:p>
          <w:p w:rsidR="009264ED" w:rsidRPr="00FE002E" w:rsidRDefault="009264ED" w:rsidP="009264ED">
            <w:pPr>
              <w:pStyle w:val="BodyText1"/>
              <w:rPr>
                <w:rFonts w:ascii="Times New Roman" w:hAnsi="Times New Roman"/>
                <w:bCs/>
              </w:rPr>
            </w:pPr>
          </w:p>
        </w:tc>
        <w:tc>
          <w:tcPr>
            <w:tcW w:w="7590" w:type="dxa"/>
            <w:tcBorders>
              <w:bottom w:val="single" w:sz="4" w:space="0" w:color="auto"/>
            </w:tcBorders>
          </w:tcPr>
          <w:p w:rsidR="009264ED" w:rsidRDefault="009264ED" w:rsidP="009264ED">
            <w:pPr>
              <w:pStyle w:val="BodyText1"/>
              <w:spacing w:line="240" w:lineRule="auto"/>
              <w:rPr>
                <w:rFonts w:ascii="Times New Roman" w:hAnsi="Times New Roman"/>
                <w:b/>
                <w:bCs/>
              </w:rPr>
            </w:pPr>
            <w:r>
              <w:rPr>
                <w:rFonts w:ascii="Times New Roman" w:hAnsi="Times New Roman"/>
                <w:b/>
              </w:rPr>
              <w:t xml:space="preserve">Totale risicoblootstelling voor de berekening van de hefboomratio – volgens een volledig ingefaseerde definitie van het tier </w:t>
            </w:r>
            <w:r w:rsidRPr="00CF219D">
              <w:rPr>
                <w:rFonts w:ascii="Times New Roman" w:hAnsi="Times New Roman"/>
                <w:b/>
              </w:rPr>
              <w:t>1</w:t>
            </w:r>
            <w:r>
              <w:rPr>
                <w:rFonts w:ascii="Times New Roman" w:hAnsi="Times New Roman"/>
                <w:b/>
              </w:rPr>
              <w:t>-kapitaal</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Instellingen rapporteren het volgende bedrag:</w:t>
            </w:r>
          </w:p>
          <w:p w:rsidR="009264ED" w:rsidRDefault="009264ED" w:rsidP="009264ED">
            <w:pPr>
              <w:pStyle w:val="BodyText1"/>
              <w:spacing w:line="240" w:lineRule="auto"/>
              <w:rPr>
                <w:rFonts w:ascii="Times New Roman" w:hAnsi="Times New Roman"/>
                <w:bCs/>
              </w:rPr>
            </w:pPr>
          </w:p>
          <w:p w:rsidR="009264ED" w:rsidRPr="006A32F5" w:rsidRDefault="009264ED" w:rsidP="009264ED">
            <w:pPr>
              <w:pStyle w:val="BodyText1"/>
              <w:spacing w:line="240" w:lineRule="auto"/>
              <w:rPr>
                <w:rFonts w:ascii="Times New Roman" w:hAnsi="Times New Roman"/>
                <w:bCs/>
              </w:rPr>
            </w:pPr>
            <w:r>
              <w:rPr>
                <w:rFonts w:ascii="Times New Roman" w:hAnsi="Times New Roman"/>
              </w:rPr>
              <w:t>{LRCalc;</w:t>
            </w:r>
            <w:r w:rsidRPr="00CF219D">
              <w:rPr>
                <w:rFonts w:ascii="Times New Roman" w:hAnsi="Times New Roman"/>
              </w:rPr>
              <w:t>010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020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030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040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050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060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070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080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090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100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110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120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130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140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150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160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170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180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190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200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210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220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230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240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250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260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270</w:t>
            </w:r>
            <w:r>
              <w:rPr>
                <w:rFonts w:ascii="Times New Roman" w:hAnsi="Times New Roman"/>
              </w:rPr>
              <w:t>;</w:t>
            </w:r>
            <w:r w:rsidRPr="00CF219D">
              <w:rPr>
                <w:rFonts w:ascii="Times New Roman" w:hAnsi="Times New Roman"/>
              </w:rPr>
              <w:t>010</w:t>
            </w:r>
            <w:r>
              <w:rPr>
                <w:rFonts w:ascii="Times New Roman" w:hAnsi="Times New Roman"/>
              </w:rPr>
              <w:t>}.</w:t>
            </w:r>
          </w:p>
          <w:p w:rsidR="009264ED" w:rsidRDefault="009264ED" w:rsidP="009264ED">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lastRenderedPageBreak/>
              <w:t>{</w:t>
            </w:r>
            <w:r w:rsidRPr="00CF219D">
              <w:rPr>
                <w:rFonts w:ascii="Times New Roman" w:hAnsi="Times New Roman"/>
              </w:rPr>
              <w:t>300</w:t>
            </w:r>
            <w:r>
              <w:rPr>
                <w:rFonts w:ascii="Times New Roman" w:hAnsi="Times New Roman"/>
              </w:rPr>
              <w:t>;</w:t>
            </w:r>
            <w:r w:rsidRPr="00CF219D">
              <w:rPr>
                <w:rFonts w:ascii="Times New Roman" w:hAnsi="Times New Roman"/>
              </w:rPr>
              <w:t>010</w:t>
            </w:r>
            <w:r>
              <w:rPr>
                <w:rFonts w:ascii="Times New Roman" w:hAnsi="Times New Roman"/>
              </w:rPr>
              <w:t>}</w:t>
            </w:r>
          </w:p>
          <w:p w:rsidR="009264ED" w:rsidRPr="00FE002E" w:rsidRDefault="009264ED" w:rsidP="009264ED">
            <w:pPr>
              <w:pStyle w:val="BodyText1"/>
              <w:rPr>
                <w:rFonts w:ascii="Times New Roman" w:hAnsi="Times New Roman"/>
                <w:bCs/>
              </w:rPr>
            </w:pPr>
          </w:p>
        </w:tc>
        <w:tc>
          <w:tcPr>
            <w:tcW w:w="7590" w:type="dxa"/>
            <w:tcBorders>
              <w:bottom w:val="single" w:sz="4" w:space="0" w:color="auto"/>
            </w:tcBorders>
          </w:tcPr>
          <w:p w:rsidR="009264ED" w:rsidRDefault="009264ED" w:rsidP="009264ED">
            <w:pPr>
              <w:pStyle w:val="BodyText1"/>
              <w:spacing w:line="240" w:lineRule="auto"/>
              <w:rPr>
                <w:rFonts w:ascii="Times New Roman" w:hAnsi="Times New Roman"/>
                <w:b/>
                <w:bCs/>
              </w:rPr>
            </w:pPr>
            <w:r>
              <w:rPr>
                <w:rFonts w:ascii="Times New Roman" w:hAnsi="Times New Roman"/>
                <w:b/>
              </w:rPr>
              <w:t xml:space="preserve">Totale risicoblootstelling voor de berekening van de hefboomratio – volgens een overgangsdefinitie van het tier </w:t>
            </w:r>
            <w:r w:rsidRPr="00CF219D">
              <w:rPr>
                <w:rFonts w:ascii="Times New Roman" w:hAnsi="Times New Roman"/>
                <w:b/>
              </w:rPr>
              <w:t>1</w:t>
            </w:r>
            <w:r>
              <w:rPr>
                <w:rFonts w:ascii="Times New Roman" w:hAnsi="Times New Roman"/>
                <w:b/>
              </w:rPr>
              <w:t>-kapitaal</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Instellingen rapporteren het volgende bedrag:</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{LRCalc;</w:t>
            </w:r>
            <w:r w:rsidRPr="00CF219D">
              <w:rPr>
                <w:rFonts w:ascii="Times New Roman" w:hAnsi="Times New Roman"/>
              </w:rPr>
              <w:t>010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020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030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040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050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060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070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080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090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100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110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120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130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140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150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160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170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180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190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200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210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220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230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240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250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260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280</w:t>
            </w:r>
            <w:r>
              <w:rPr>
                <w:rFonts w:ascii="Times New Roman" w:hAnsi="Times New Roman"/>
              </w:rPr>
              <w:t>;</w:t>
            </w:r>
            <w:r w:rsidRPr="00CF219D">
              <w:rPr>
                <w:rFonts w:ascii="Times New Roman" w:hAnsi="Times New Roman"/>
              </w:rPr>
              <w:t>010</w:t>
            </w:r>
            <w:r>
              <w:rPr>
                <w:rFonts w:ascii="Times New Roman" w:hAnsi="Times New Roman"/>
              </w:rPr>
              <w:t>}.</w:t>
            </w:r>
          </w:p>
          <w:p w:rsidR="009264ED" w:rsidRDefault="009264ED" w:rsidP="009264ED">
            <w:pPr>
              <w:pStyle w:val="BodyText1"/>
              <w:spacing w:line="240" w:lineRule="auto"/>
              <w:rPr>
                <w:rFonts w:ascii="Times New Roman" w:hAnsi="Times New Roman"/>
                <w:b/>
                <w:bCs/>
              </w:rPr>
            </w:pPr>
          </w:p>
        </w:tc>
      </w:tr>
      <w:tr w:rsidR="009264ED" w:rsidRPr="00FE002E" w:rsidTr="00FE0FF1">
        <w:trPr>
          <w:trHeight w:val="304"/>
        </w:trPr>
        <w:tc>
          <w:tcPr>
            <w:tcW w:w="1418" w:type="dxa"/>
            <w:shd w:val="pct25" w:color="auto" w:fill="auto"/>
          </w:tcPr>
          <w:p w:rsidR="009264ED" w:rsidRPr="00FE002E" w:rsidRDefault="009264ED" w:rsidP="00FE0FF1">
            <w:pPr>
              <w:pStyle w:val="BodyText1"/>
              <w:rPr>
                <w:rFonts w:ascii="Times New Roman" w:hAnsi="Times New Roman"/>
                <w:b/>
              </w:rPr>
            </w:pPr>
            <w:r>
              <w:rPr>
                <w:rFonts w:ascii="Times New Roman" w:hAnsi="Times New Roman"/>
                <w:b/>
              </w:rPr>
              <w:t xml:space="preserve">Rij </w:t>
            </w:r>
          </w:p>
          <w:p w:rsidR="009264ED" w:rsidRPr="00FE002E" w:rsidRDefault="009264ED" w:rsidP="00FE0FF1">
            <w:pPr>
              <w:pStyle w:val="BodyText1"/>
              <w:rPr>
                <w:rFonts w:ascii="Times New Roman" w:hAnsi="Times New Roman"/>
                <w:b/>
                <w:bCs/>
              </w:rPr>
            </w:pPr>
            <w:r>
              <w:rPr>
                <w:rFonts w:ascii="Times New Roman" w:hAnsi="Times New Roman"/>
                <w:b/>
              </w:rPr>
              <w:t>en kolom</w:t>
            </w:r>
          </w:p>
        </w:tc>
        <w:tc>
          <w:tcPr>
            <w:tcW w:w="7590" w:type="dxa"/>
            <w:shd w:val="pct25" w:color="auto" w:fill="auto"/>
          </w:tcPr>
          <w:p w:rsidR="009264ED" w:rsidRPr="00FE002E" w:rsidRDefault="009264ED" w:rsidP="00970A0D">
            <w:pPr>
              <w:pStyle w:val="BodyText1"/>
              <w:spacing w:line="240" w:lineRule="auto"/>
              <w:rPr>
                <w:rFonts w:ascii="Times New Roman" w:hAnsi="Times New Roman"/>
                <w:b/>
                <w:bCs/>
              </w:rPr>
            </w:pPr>
            <w:r>
              <w:rPr>
                <w:rFonts w:ascii="Times New Roman" w:hAnsi="Times New Roman"/>
                <w:b/>
              </w:rPr>
              <w:t xml:space="preserve">Kapitaal </w:t>
            </w:r>
          </w:p>
        </w:tc>
      </w:tr>
      <w:tr w:rsidR="009264ED" w:rsidRPr="00FE002E" w:rsidTr="00FE0FF1">
        <w:trPr>
          <w:trHeight w:val="304"/>
        </w:trPr>
        <w:tc>
          <w:tcPr>
            <w:tcW w:w="1418" w:type="dxa"/>
          </w:tcPr>
          <w:p w:rsidR="009264ED" w:rsidRPr="00FE002E" w:rsidRDefault="009264ED" w:rsidP="00FE0FF1">
            <w:pPr>
              <w:pStyle w:val="BodyText1"/>
              <w:rPr>
                <w:rFonts w:ascii="Times New Roman" w:hAnsi="Times New Roman"/>
                <w:bCs/>
              </w:rPr>
            </w:pPr>
            <w:r>
              <w:rPr>
                <w:rFonts w:ascii="Times New Roman" w:hAnsi="Times New Roman"/>
              </w:rPr>
              <w:t>{</w:t>
            </w:r>
            <w:r w:rsidRPr="00CF219D">
              <w:rPr>
                <w:rFonts w:ascii="Times New Roman" w:hAnsi="Times New Roman"/>
              </w:rPr>
              <w:t>310</w:t>
            </w:r>
            <w:r>
              <w:rPr>
                <w:rFonts w:ascii="Times New Roman" w:hAnsi="Times New Roman"/>
              </w:rPr>
              <w:t>;</w:t>
            </w:r>
            <w:r w:rsidRPr="00CF219D">
              <w:rPr>
                <w:rFonts w:ascii="Times New Roman" w:hAnsi="Times New Roman"/>
              </w:rPr>
              <w:t>010</w:t>
            </w:r>
            <w:r>
              <w:rPr>
                <w:rFonts w:ascii="Times New Roman" w:hAnsi="Times New Roman"/>
              </w:rPr>
              <w:t>}</w:t>
            </w:r>
          </w:p>
          <w:p w:rsidR="009264ED" w:rsidRPr="00FE002E" w:rsidRDefault="009264ED" w:rsidP="00FE0FF1">
            <w:pPr>
              <w:pStyle w:val="BodyText1"/>
              <w:rPr>
                <w:rFonts w:ascii="Times New Roman" w:hAnsi="Times New Roman"/>
                <w:bCs/>
              </w:rPr>
            </w:pPr>
          </w:p>
        </w:tc>
        <w:tc>
          <w:tcPr>
            <w:tcW w:w="7590" w:type="dxa"/>
          </w:tcPr>
          <w:p w:rsidR="009264ED" w:rsidRPr="00FE002E" w:rsidRDefault="009264ED" w:rsidP="00FE0FF1">
            <w:pPr>
              <w:pStyle w:val="BodyText1"/>
              <w:spacing w:line="240" w:lineRule="auto"/>
              <w:rPr>
                <w:rFonts w:ascii="Times New Roman" w:hAnsi="Times New Roman"/>
                <w:bCs/>
              </w:rPr>
            </w:pPr>
            <w:r>
              <w:rPr>
                <w:rFonts w:ascii="Times New Roman" w:hAnsi="Times New Roman"/>
                <w:b/>
              </w:rPr>
              <w:t xml:space="preserve">Tier </w:t>
            </w:r>
            <w:r w:rsidRPr="00CF219D">
              <w:rPr>
                <w:rFonts w:ascii="Times New Roman" w:hAnsi="Times New Roman"/>
                <w:b/>
              </w:rPr>
              <w:t>1</w:t>
            </w:r>
            <w:r>
              <w:rPr>
                <w:rFonts w:ascii="Times New Roman" w:hAnsi="Times New Roman"/>
                <w:b/>
              </w:rPr>
              <w:t>-kapitaal – volledig ingefaseerde definitie</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429</w:t>
            </w:r>
            <w:r>
              <w:rPr>
                <w:rFonts w:ascii="Times New Roman" w:hAnsi="Times New Roman"/>
              </w:rPr>
              <w:t xml:space="preserve">, lid </w:t>
            </w:r>
            <w:r w:rsidRPr="00CF219D">
              <w:rPr>
                <w:rFonts w:ascii="Times New Roman" w:hAnsi="Times New Roman"/>
              </w:rPr>
              <w:t>3</w:t>
            </w:r>
            <w:r>
              <w:rPr>
                <w:rFonts w:ascii="Times New Roman" w:hAnsi="Times New Roman"/>
              </w:rPr>
              <w:t xml:space="preserve">, en artikel </w:t>
            </w:r>
            <w:r w:rsidRPr="00CF219D">
              <w:rPr>
                <w:rFonts w:ascii="Times New Roman" w:hAnsi="Times New Roman"/>
              </w:rPr>
              <w:t>499</w:t>
            </w:r>
            <w:r>
              <w:rPr>
                <w:rFonts w:ascii="Times New Roman" w:hAnsi="Times New Roman"/>
              </w:rPr>
              <w:t xml:space="preserve">, lid </w:t>
            </w:r>
            <w:r w:rsidRPr="00CF219D">
              <w:rPr>
                <w:rFonts w:ascii="Times New Roman" w:hAnsi="Times New Roman"/>
              </w:rPr>
              <w:t>1</w:t>
            </w:r>
            <w:r>
              <w:rPr>
                <w:rFonts w:ascii="Times New Roman" w:hAnsi="Times New Roman"/>
              </w:rPr>
              <w:t>, van de VKV</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 xml:space="preserve">Dit is het bedrag aan tier </w:t>
            </w:r>
            <w:r w:rsidRPr="00CF219D">
              <w:rPr>
                <w:rFonts w:ascii="Times New Roman" w:hAnsi="Times New Roman"/>
              </w:rPr>
              <w:t>1</w:t>
            </w:r>
            <w:r>
              <w:rPr>
                <w:rFonts w:ascii="Times New Roman" w:hAnsi="Times New Roman"/>
              </w:rPr>
              <w:t xml:space="preserve">-kapitaal berekend overeenkomstig artikel </w:t>
            </w:r>
            <w:r w:rsidRPr="00CF219D">
              <w:rPr>
                <w:rFonts w:ascii="Times New Roman" w:hAnsi="Times New Roman"/>
              </w:rPr>
              <w:t>25</w:t>
            </w:r>
            <w:r>
              <w:rPr>
                <w:rFonts w:ascii="Times New Roman" w:hAnsi="Times New Roman"/>
              </w:rPr>
              <w:t xml:space="preserve"> van de VKV, zonder rekening te houden met de afwijking waarin deel tien, titel I, hoofdstukken </w:t>
            </w:r>
            <w:r w:rsidRPr="00CF219D">
              <w:rPr>
                <w:rFonts w:ascii="Times New Roman" w:hAnsi="Times New Roman"/>
              </w:rPr>
              <w:t>1</w:t>
            </w:r>
            <w:r>
              <w:rPr>
                <w:rFonts w:ascii="Times New Roman" w:hAnsi="Times New Roman"/>
              </w:rPr>
              <w:t xml:space="preserve"> en </w:t>
            </w:r>
            <w:r w:rsidRPr="00CF219D">
              <w:rPr>
                <w:rFonts w:ascii="Times New Roman" w:hAnsi="Times New Roman"/>
              </w:rPr>
              <w:t>2</w:t>
            </w:r>
            <w:r>
              <w:rPr>
                <w:rFonts w:ascii="Times New Roman" w:hAnsi="Times New Roman"/>
              </w:rPr>
              <w:t>, van de VKV voorziet.</w:t>
            </w:r>
          </w:p>
          <w:p w:rsidR="009264ED" w:rsidRPr="00FE002E" w:rsidRDefault="009264ED" w:rsidP="00FE0FF1">
            <w:pPr>
              <w:pStyle w:val="BodyText1"/>
              <w:spacing w:line="240" w:lineRule="auto"/>
              <w:rPr>
                <w:rFonts w:ascii="Times New Roman" w:hAnsi="Times New Roman"/>
                <w:bCs/>
              </w:rPr>
            </w:pPr>
          </w:p>
        </w:tc>
      </w:tr>
      <w:tr w:rsidR="009264ED" w:rsidRPr="00FE002E" w:rsidTr="00FE0FF1">
        <w:trPr>
          <w:trHeight w:val="304"/>
        </w:trPr>
        <w:tc>
          <w:tcPr>
            <w:tcW w:w="1418" w:type="dxa"/>
          </w:tcPr>
          <w:p w:rsidR="009264ED" w:rsidRPr="00FE002E" w:rsidRDefault="009264ED" w:rsidP="00FE0FF1">
            <w:pPr>
              <w:pStyle w:val="BodyText1"/>
              <w:rPr>
                <w:rFonts w:ascii="Times New Roman" w:hAnsi="Times New Roman"/>
                <w:bCs/>
              </w:rPr>
            </w:pPr>
            <w:r>
              <w:rPr>
                <w:rFonts w:ascii="Times New Roman" w:hAnsi="Times New Roman"/>
              </w:rPr>
              <w:t>{</w:t>
            </w:r>
            <w:r w:rsidRPr="00CF219D">
              <w:rPr>
                <w:rFonts w:ascii="Times New Roman" w:hAnsi="Times New Roman"/>
              </w:rPr>
              <w:t>320</w:t>
            </w:r>
            <w:r>
              <w:rPr>
                <w:rFonts w:ascii="Times New Roman" w:hAnsi="Times New Roman"/>
              </w:rPr>
              <w:t>;</w:t>
            </w:r>
            <w:r w:rsidRPr="00CF219D">
              <w:rPr>
                <w:rFonts w:ascii="Times New Roman" w:hAnsi="Times New Roman"/>
              </w:rPr>
              <w:t>010</w:t>
            </w:r>
            <w:r>
              <w:rPr>
                <w:rFonts w:ascii="Times New Roman" w:hAnsi="Times New Roman"/>
              </w:rPr>
              <w:t>}</w:t>
            </w:r>
          </w:p>
          <w:p w:rsidR="009264ED" w:rsidRPr="00FE002E" w:rsidRDefault="009264ED" w:rsidP="00FE0FF1">
            <w:pPr>
              <w:pStyle w:val="BodyText1"/>
              <w:rPr>
                <w:rFonts w:ascii="Times New Roman" w:hAnsi="Times New Roman"/>
                <w:bCs/>
              </w:rPr>
            </w:pPr>
          </w:p>
        </w:tc>
        <w:tc>
          <w:tcPr>
            <w:tcW w:w="7590" w:type="dxa"/>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 xml:space="preserve">Tier </w:t>
            </w:r>
            <w:r w:rsidRPr="00CF219D">
              <w:rPr>
                <w:rFonts w:ascii="Times New Roman" w:hAnsi="Times New Roman"/>
                <w:b/>
              </w:rPr>
              <w:t>1</w:t>
            </w:r>
            <w:r>
              <w:rPr>
                <w:rFonts w:ascii="Times New Roman" w:hAnsi="Times New Roman"/>
                <w:b/>
              </w:rPr>
              <w:t>-kapitaal - overgangsdefinitie</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429</w:t>
            </w:r>
            <w:r>
              <w:rPr>
                <w:rFonts w:ascii="Times New Roman" w:hAnsi="Times New Roman"/>
              </w:rPr>
              <w:t xml:space="preserve">, lid </w:t>
            </w:r>
            <w:r w:rsidRPr="00CF219D">
              <w:rPr>
                <w:rFonts w:ascii="Times New Roman" w:hAnsi="Times New Roman"/>
              </w:rPr>
              <w:t>3</w:t>
            </w:r>
            <w:r>
              <w:rPr>
                <w:rFonts w:ascii="Times New Roman" w:hAnsi="Times New Roman"/>
              </w:rPr>
              <w:t xml:space="preserve">, en artikel </w:t>
            </w:r>
            <w:r w:rsidRPr="00CF219D">
              <w:rPr>
                <w:rFonts w:ascii="Times New Roman" w:hAnsi="Times New Roman"/>
              </w:rPr>
              <w:t>499</w:t>
            </w:r>
            <w:r>
              <w:rPr>
                <w:rFonts w:ascii="Times New Roman" w:hAnsi="Times New Roman"/>
              </w:rPr>
              <w:t xml:space="preserve">, lid </w:t>
            </w:r>
            <w:r w:rsidRPr="00CF219D">
              <w:rPr>
                <w:rFonts w:ascii="Times New Roman" w:hAnsi="Times New Roman"/>
              </w:rPr>
              <w:t>1</w:t>
            </w:r>
            <w:r>
              <w:rPr>
                <w:rFonts w:ascii="Times New Roman" w:hAnsi="Times New Roman"/>
              </w:rPr>
              <w:t>, van de VKV</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 xml:space="preserve">Dit is het bedrag aan tier </w:t>
            </w:r>
            <w:r w:rsidRPr="00CF219D">
              <w:rPr>
                <w:rFonts w:ascii="Times New Roman" w:hAnsi="Times New Roman"/>
              </w:rPr>
              <w:t>1</w:t>
            </w:r>
            <w:r>
              <w:rPr>
                <w:rFonts w:ascii="Times New Roman" w:hAnsi="Times New Roman"/>
              </w:rPr>
              <w:t xml:space="preserve">-kapitaal berekend overeenkomstig artikel </w:t>
            </w:r>
            <w:r w:rsidRPr="00CF219D">
              <w:rPr>
                <w:rFonts w:ascii="Times New Roman" w:hAnsi="Times New Roman"/>
              </w:rPr>
              <w:t>25</w:t>
            </w:r>
            <w:r>
              <w:rPr>
                <w:rFonts w:ascii="Times New Roman" w:hAnsi="Times New Roman"/>
              </w:rPr>
              <w:t xml:space="preserve"> van de VKV, na rekening te hebben gehouden met de afwijking waarin deel tien, titel I, hoofdstukken </w:t>
            </w:r>
            <w:r w:rsidRPr="00CF219D">
              <w:rPr>
                <w:rFonts w:ascii="Times New Roman" w:hAnsi="Times New Roman"/>
              </w:rPr>
              <w:t>1</w:t>
            </w:r>
            <w:r>
              <w:rPr>
                <w:rFonts w:ascii="Times New Roman" w:hAnsi="Times New Roman"/>
              </w:rPr>
              <w:t xml:space="preserve"> en </w:t>
            </w:r>
            <w:r w:rsidRPr="00CF219D">
              <w:rPr>
                <w:rFonts w:ascii="Times New Roman" w:hAnsi="Times New Roman"/>
              </w:rPr>
              <w:t>2</w:t>
            </w:r>
            <w:r>
              <w:rPr>
                <w:rFonts w:ascii="Times New Roman" w:hAnsi="Times New Roman"/>
              </w:rPr>
              <w:t>, van de VKV voorziet.</w:t>
            </w:r>
          </w:p>
          <w:p w:rsidR="009264ED" w:rsidRPr="00FE002E" w:rsidRDefault="009264ED" w:rsidP="00FE0FF1">
            <w:pPr>
              <w:pStyle w:val="BodyText1"/>
              <w:spacing w:line="240" w:lineRule="auto"/>
              <w:rPr>
                <w:rFonts w:ascii="Times New Roman" w:hAnsi="Times New Roman"/>
                <w:bCs/>
              </w:rPr>
            </w:pPr>
          </w:p>
        </w:tc>
      </w:tr>
      <w:tr w:rsidR="009264ED" w:rsidRPr="00FE002E" w:rsidTr="00FE0FF1">
        <w:trPr>
          <w:trHeight w:val="304"/>
        </w:trPr>
        <w:tc>
          <w:tcPr>
            <w:tcW w:w="1418" w:type="dxa"/>
            <w:shd w:val="clear" w:color="auto" w:fill="A6A6A6" w:themeFill="background1" w:themeFillShade="A6"/>
          </w:tcPr>
          <w:p w:rsidR="009264ED" w:rsidRPr="00FE002E" w:rsidRDefault="009264ED" w:rsidP="00FE0FF1">
            <w:pPr>
              <w:pStyle w:val="BodyText1"/>
              <w:rPr>
                <w:rFonts w:ascii="Times New Roman" w:hAnsi="Times New Roman"/>
                <w:b/>
              </w:rPr>
            </w:pPr>
            <w:r>
              <w:rPr>
                <w:rFonts w:ascii="Times New Roman" w:hAnsi="Times New Roman"/>
                <w:b/>
              </w:rPr>
              <w:t xml:space="preserve">Rij </w:t>
            </w:r>
          </w:p>
          <w:p w:rsidR="009264ED" w:rsidRPr="00FE002E" w:rsidRDefault="009264ED" w:rsidP="00FE0FF1">
            <w:pPr>
              <w:pStyle w:val="BodyText1"/>
              <w:rPr>
                <w:rFonts w:ascii="Times New Roman" w:hAnsi="Times New Roman"/>
                <w:b/>
                <w:bCs/>
              </w:rPr>
            </w:pPr>
            <w:r>
              <w:rPr>
                <w:rFonts w:ascii="Times New Roman" w:hAnsi="Times New Roman"/>
                <w:b/>
              </w:rPr>
              <w:t>en kolom</w:t>
            </w:r>
          </w:p>
        </w:tc>
        <w:tc>
          <w:tcPr>
            <w:tcW w:w="7590" w:type="dxa"/>
            <w:shd w:val="clear" w:color="auto" w:fill="A6A6A6" w:themeFill="background1" w:themeFillShade="A6"/>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Hefboomratio</w:t>
            </w:r>
          </w:p>
        </w:tc>
      </w:tr>
      <w:tr w:rsidR="009264ED" w:rsidRPr="00FE002E" w:rsidTr="00FE0FF1">
        <w:trPr>
          <w:trHeight w:val="304"/>
        </w:trPr>
        <w:tc>
          <w:tcPr>
            <w:tcW w:w="1418" w:type="dxa"/>
          </w:tcPr>
          <w:p w:rsidR="009264ED" w:rsidRPr="00FE002E" w:rsidRDefault="009264ED" w:rsidP="00FF01D7">
            <w:pPr>
              <w:pStyle w:val="BodyText1"/>
              <w:rPr>
                <w:rFonts w:ascii="Times New Roman" w:hAnsi="Times New Roman"/>
                <w:bCs/>
              </w:rPr>
            </w:pPr>
            <w:r>
              <w:rPr>
                <w:rFonts w:ascii="Times New Roman" w:hAnsi="Times New Roman"/>
              </w:rPr>
              <w:t>{</w:t>
            </w:r>
            <w:r w:rsidRPr="00CF219D">
              <w:rPr>
                <w:rFonts w:ascii="Times New Roman" w:hAnsi="Times New Roman"/>
              </w:rPr>
              <w:t>330</w:t>
            </w:r>
            <w:r>
              <w:rPr>
                <w:rFonts w:ascii="Times New Roman" w:hAnsi="Times New Roman"/>
              </w:rPr>
              <w:t>;</w:t>
            </w:r>
            <w:r w:rsidRPr="00CF219D">
              <w:rPr>
                <w:rFonts w:ascii="Times New Roman" w:hAnsi="Times New Roman"/>
              </w:rPr>
              <w:t>010</w:t>
            </w:r>
            <w:r>
              <w:rPr>
                <w:rFonts w:ascii="Times New Roman" w:hAnsi="Times New Roman"/>
              </w:rPr>
              <w:t>}</w:t>
            </w:r>
          </w:p>
        </w:tc>
        <w:tc>
          <w:tcPr>
            <w:tcW w:w="7590" w:type="dxa"/>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 xml:space="preserve">Hefboomratio — volgens een volledig ingefaseerde definitie van het tier </w:t>
            </w:r>
            <w:r w:rsidRPr="00CF219D">
              <w:rPr>
                <w:rFonts w:ascii="Times New Roman" w:hAnsi="Times New Roman"/>
                <w:b/>
              </w:rPr>
              <w:t>1</w:t>
            </w:r>
            <w:r>
              <w:rPr>
                <w:rFonts w:ascii="Times New Roman" w:hAnsi="Times New Roman"/>
                <w:b/>
              </w:rPr>
              <w:t>-kapitaal</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429</w:t>
            </w:r>
            <w:r>
              <w:rPr>
                <w:rFonts w:ascii="Times New Roman" w:hAnsi="Times New Roman"/>
              </w:rPr>
              <w:t xml:space="preserve">, lid </w:t>
            </w:r>
            <w:r w:rsidRPr="00CF219D">
              <w:rPr>
                <w:rFonts w:ascii="Times New Roman" w:hAnsi="Times New Roman"/>
              </w:rPr>
              <w:t>2</w:t>
            </w:r>
            <w:r>
              <w:rPr>
                <w:rFonts w:ascii="Times New Roman" w:hAnsi="Times New Roman"/>
              </w:rPr>
              <w:t xml:space="preserve">, en artikel </w:t>
            </w:r>
            <w:r w:rsidRPr="00CF219D">
              <w:rPr>
                <w:rFonts w:ascii="Times New Roman" w:hAnsi="Times New Roman"/>
              </w:rPr>
              <w:t>499</w:t>
            </w:r>
            <w:r>
              <w:rPr>
                <w:rFonts w:ascii="Times New Roman" w:hAnsi="Times New Roman"/>
              </w:rPr>
              <w:t xml:space="preserve">, lid </w:t>
            </w:r>
            <w:r w:rsidRPr="00CF219D">
              <w:rPr>
                <w:rFonts w:ascii="Times New Roman" w:hAnsi="Times New Roman"/>
              </w:rPr>
              <w:t>1</w:t>
            </w:r>
            <w:r>
              <w:rPr>
                <w:rFonts w:ascii="Times New Roman" w:hAnsi="Times New Roman"/>
              </w:rPr>
              <w:t>, van de VKV</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 xml:space="preserve">Dit is de hefboomratio berekend overeenkomstig deel II, punt </w:t>
            </w:r>
            <w:r w:rsidRPr="00CF219D">
              <w:rPr>
                <w:rFonts w:ascii="Times New Roman" w:hAnsi="Times New Roman"/>
              </w:rPr>
              <w:t>4</w:t>
            </w:r>
            <w:r>
              <w:rPr>
                <w:rFonts w:ascii="Times New Roman" w:hAnsi="Times New Roman"/>
              </w:rPr>
              <w:t xml:space="preserve">, van deze bijlage. </w:t>
            </w:r>
          </w:p>
          <w:p w:rsidR="009264ED" w:rsidRPr="00FE002E" w:rsidRDefault="009264ED" w:rsidP="00FE0FF1">
            <w:pPr>
              <w:pStyle w:val="BodyText1"/>
              <w:spacing w:line="240" w:lineRule="auto"/>
              <w:rPr>
                <w:rFonts w:ascii="Times New Roman" w:hAnsi="Times New Roman"/>
                <w:b/>
                <w:bCs/>
              </w:rPr>
            </w:pPr>
          </w:p>
        </w:tc>
      </w:tr>
      <w:tr w:rsidR="009264ED" w:rsidRPr="00FE002E" w:rsidTr="00FE0FF1">
        <w:trPr>
          <w:trHeight w:val="304"/>
        </w:trPr>
        <w:tc>
          <w:tcPr>
            <w:tcW w:w="1418" w:type="dxa"/>
          </w:tcPr>
          <w:p w:rsidR="009264ED" w:rsidRPr="00FE002E" w:rsidRDefault="009264ED" w:rsidP="009264ED">
            <w:pPr>
              <w:pStyle w:val="BodyText1"/>
              <w:rPr>
                <w:rFonts w:ascii="Times New Roman" w:hAnsi="Times New Roman"/>
                <w:bCs/>
              </w:rPr>
            </w:pPr>
            <w:r>
              <w:rPr>
                <w:rFonts w:ascii="Times New Roman" w:hAnsi="Times New Roman"/>
              </w:rPr>
              <w:t>{</w:t>
            </w:r>
            <w:r w:rsidRPr="00CF219D">
              <w:rPr>
                <w:rFonts w:ascii="Times New Roman" w:hAnsi="Times New Roman"/>
              </w:rPr>
              <w:t>340</w:t>
            </w:r>
            <w:r>
              <w:rPr>
                <w:rFonts w:ascii="Times New Roman" w:hAnsi="Times New Roman"/>
              </w:rPr>
              <w:t>;</w:t>
            </w:r>
            <w:r w:rsidRPr="00CF219D">
              <w:rPr>
                <w:rFonts w:ascii="Times New Roman" w:hAnsi="Times New Roman"/>
              </w:rPr>
              <w:t>010</w:t>
            </w:r>
            <w:r>
              <w:rPr>
                <w:rFonts w:ascii="Times New Roman" w:hAnsi="Times New Roman"/>
              </w:rPr>
              <w:t>}</w:t>
            </w:r>
          </w:p>
        </w:tc>
        <w:tc>
          <w:tcPr>
            <w:tcW w:w="7590" w:type="dxa"/>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 xml:space="preserve">Hefboomratio — volgens een overgangsdefinitie van het tier </w:t>
            </w:r>
            <w:r w:rsidRPr="00CF219D">
              <w:rPr>
                <w:rFonts w:ascii="Times New Roman" w:hAnsi="Times New Roman"/>
                <w:b/>
              </w:rPr>
              <w:t>1</w:t>
            </w:r>
            <w:r>
              <w:rPr>
                <w:rFonts w:ascii="Times New Roman" w:hAnsi="Times New Roman"/>
                <w:b/>
              </w:rPr>
              <w:t>-kapitaal</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429</w:t>
            </w:r>
            <w:r>
              <w:rPr>
                <w:rFonts w:ascii="Times New Roman" w:hAnsi="Times New Roman"/>
              </w:rPr>
              <w:t xml:space="preserve">, lid </w:t>
            </w:r>
            <w:r w:rsidRPr="00CF219D">
              <w:rPr>
                <w:rFonts w:ascii="Times New Roman" w:hAnsi="Times New Roman"/>
              </w:rPr>
              <w:t>2</w:t>
            </w:r>
            <w:r>
              <w:rPr>
                <w:rFonts w:ascii="Times New Roman" w:hAnsi="Times New Roman"/>
              </w:rPr>
              <w:t xml:space="preserve">, en artikel </w:t>
            </w:r>
            <w:r w:rsidRPr="00CF219D">
              <w:rPr>
                <w:rFonts w:ascii="Times New Roman" w:hAnsi="Times New Roman"/>
              </w:rPr>
              <w:t>499</w:t>
            </w:r>
            <w:r>
              <w:rPr>
                <w:rFonts w:ascii="Times New Roman" w:hAnsi="Times New Roman"/>
              </w:rPr>
              <w:t xml:space="preserve">, lid </w:t>
            </w:r>
            <w:r w:rsidRPr="00CF219D">
              <w:rPr>
                <w:rFonts w:ascii="Times New Roman" w:hAnsi="Times New Roman"/>
              </w:rPr>
              <w:t>1</w:t>
            </w:r>
            <w:r>
              <w:rPr>
                <w:rFonts w:ascii="Times New Roman" w:hAnsi="Times New Roman"/>
              </w:rPr>
              <w:t>, van de VKV</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rPr>
            </w:pPr>
            <w:r>
              <w:rPr>
                <w:rFonts w:ascii="Times New Roman" w:hAnsi="Times New Roman"/>
              </w:rPr>
              <w:t xml:space="preserve">Dit is de hefboomratio berekend overeenkomstig deel II, punt </w:t>
            </w:r>
            <w:r w:rsidRPr="00CF219D">
              <w:rPr>
                <w:rFonts w:ascii="Times New Roman" w:hAnsi="Times New Roman"/>
              </w:rPr>
              <w:t>5</w:t>
            </w:r>
            <w:r>
              <w:rPr>
                <w:rFonts w:ascii="Times New Roman" w:hAnsi="Times New Roman"/>
              </w:rPr>
              <w:t>, van deze bijlage.</w:t>
            </w:r>
          </w:p>
          <w:p w:rsidR="009264ED" w:rsidRPr="00FE002E" w:rsidRDefault="009264ED" w:rsidP="00FE0FF1">
            <w:pPr>
              <w:pStyle w:val="BodyText1"/>
              <w:spacing w:line="240" w:lineRule="auto"/>
              <w:rPr>
                <w:rFonts w:ascii="Times New Roman" w:hAnsi="Times New Roman"/>
                <w:b/>
                <w:bCs/>
              </w:rPr>
            </w:pPr>
          </w:p>
        </w:tc>
      </w:tr>
    </w:tbl>
    <w:p w:rsidR="00AE2798" w:rsidRPr="00FE002E" w:rsidRDefault="00AE2798" w:rsidP="00AE2798">
      <w:pPr>
        <w:pStyle w:val="BodyText1"/>
        <w:rPr>
          <w:rFonts w:ascii="Times New Roman" w:hAnsi="Times New Roman"/>
        </w:rPr>
      </w:pPr>
    </w:p>
    <w:p w:rsidR="00700DA6" w:rsidRPr="00FE002E" w:rsidRDefault="00500508" w:rsidP="00500508">
      <w:pPr>
        <w:pStyle w:val="BodyText1"/>
        <w:ind w:left="357" w:hanging="357"/>
        <w:outlineLvl w:val="1"/>
        <w:rPr>
          <w:rFonts w:ascii="Times New Roman" w:hAnsi="Times New Roman"/>
          <w:b/>
        </w:rPr>
      </w:pPr>
      <w:bookmarkStart w:id="58" w:name="_Toc351048507"/>
      <w:bookmarkStart w:id="59" w:name="_Toc359414286"/>
      <w:bookmarkStart w:id="60" w:name="_Toc423089071"/>
      <w:bookmarkStart w:id="61" w:name="_Toc522780001"/>
      <w:r w:rsidRPr="00CF219D">
        <w:rPr>
          <w:rFonts w:ascii="Times New Roman" w:hAnsi="Times New Roman"/>
          <w:b/>
        </w:rPr>
        <w:t>5</w:t>
      </w:r>
      <w:r>
        <w:rPr>
          <w:rFonts w:ascii="Times New Roman" w:hAnsi="Times New Roman"/>
          <w:b/>
        </w:rPr>
        <w:t>.</w:t>
      </w:r>
      <w:r>
        <w:tab/>
      </w:r>
      <w:r>
        <w:rPr>
          <w:rFonts w:ascii="Times New Roman" w:hAnsi="Times New Roman"/>
          <w:b/>
        </w:rPr>
        <w:t xml:space="preserve">C </w:t>
      </w:r>
      <w:r w:rsidRPr="00CF219D">
        <w:rPr>
          <w:rFonts w:ascii="Times New Roman" w:hAnsi="Times New Roman"/>
          <w:b/>
        </w:rPr>
        <w:t>40</w:t>
      </w:r>
      <w:r>
        <w:rPr>
          <w:rFonts w:ascii="Times New Roman" w:hAnsi="Times New Roman"/>
          <w:b/>
        </w:rPr>
        <w:t>.</w:t>
      </w:r>
      <w:r w:rsidRPr="00CF219D">
        <w:rPr>
          <w:rFonts w:ascii="Times New Roman" w:hAnsi="Times New Roman"/>
          <w:b/>
        </w:rPr>
        <w:t>00</w:t>
      </w:r>
      <w:r>
        <w:rPr>
          <w:rFonts w:ascii="Times New Roman" w:hAnsi="Times New Roman"/>
          <w:b/>
        </w:rPr>
        <w:t xml:space="preserve"> — Alternatieve behandeling van de blootstellingsmaatstaf</w:t>
      </w:r>
      <w:bookmarkEnd w:id="53"/>
      <w:bookmarkEnd w:id="58"/>
      <w:bookmarkEnd w:id="59"/>
      <w:r>
        <w:rPr>
          <w:rFonts w:ascii="Times New Roman" w:hAnsi="Times New Roman"/>
          <w:b/>
        </w:rPr>
        <w:t xml:space="preserve"> (LR</w:t>
      </w:r>
      <w:r w:rsidRPr="00CF219D">
        <w:rPr>
          <w:rFonts w:ascii="Times New Roman" w:hAnsi="Times New Roman"/>
          <w:b/>
        </w:rPr>
        <w:t>1</w:t>
      </w:r>
      <w:r>
        <w:rPr>
          <w:rFonts w:ascii="Times New Roman" w:hAnsi="Times New Roman"/>
          <w:b/>
        </w:rPr>
        <w:t>)</w:t>
      </w:r>
      <w:bookmarkEnd w:id="60"/>
      <w:bookmarkEnd w:id="61"/>
    </w:p>
    <w:p w:rsidR="006033AB" w:rsidRPr="00FE002E" w:rsidRDefault="006033AB" w:rsidP="006033AB">
      <w:pPr>
        <w:pStyle w:val="BodyText1"/>
        <w:spacing w:line="240" w:lineRule="auto"/>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CF219D">
        <w:rPr>
          <w:rFonts w:ascii="Times New Roman" w:hAnsi="Times New Roman"/>
        </w:rPr>
        <w:t>21</w:t>
      </w:r>
      <w:r>
        <w:rPr>
          <w:rFonts w:ascii="Times New Roman" w:hAnsi="Times New Roman"/>
        </w:rPr>
        <w:t>.</w:t>
      </w:r>
      <w:r>
        <w:tab/>
      </w:r>
      <w:r>
        <w:rPr>
          <w:rFonts w:ascii="Times New Roman" w:hAnsi="Times New Roman"/>
        </w:rPr>
        <w:t xml:space="preserve">In dit deel van de rapportage worden gegevens verzameld over een alternatieve behandeling van derivaten, SFT's en posten buiten de balanstelling. </w:t>
      </w:r>
    </w:p>
    <w:p w:rsidR="00FC2664" w:rsidRPr="00FE002E" w:rsidRDefault="00FC2664" w:rsidP="007E2A41">
      <w:pPr>
        <w:pStyle w:val="BodyText1"/>
        <w:spacing w:line="240" w:lineRule="auto"/>
        <w:rPr>
          <w:rFonts w:ascii="Times New Roman" w:hAnsi="Times New Roman"/>
        </w:rPr>
      </w:pPr>
    </w:p>
    <w:p w:rsidR="00F4754B" w:rsidRDefault="00500508" w:rsidP="00500508">
      <w:pPr>
        <w:pStyle w:val="BodyText1"/>
        <w:spacing w:line="240" w:lineRule="auto"/>
        <w:ind w:left="720" w:hanging="360"/>
        <w:rPr>
          <w:rFonts w:ascii="Times New Roman" w:hAnsi="Times New Roman"/>
        </w:rPr>
      </w:pPr>
      <w:r w:rsidRPr="00CF219D">
        <w:rPr>
          <w:rFonts w:ascii="Times New Roman" w:hAnsi="Times New Roman"/>
        </w:rPr>
        <w:t>22</w:t>
      </w:r>
      <w:r>
        <w:rPr>
          <w:rFonts w:ascii="Times New Roman" w:hAnsi="Times New Roman"/>
        </w:rPr>
        <w:t>.</w:t>
      </w:r>
      <w:r>
        <w:tab/>
      </w:r>
      <w:r>
        <w:rPr>
          <w:rFonts w:ascii="Times New Roman" w:hAnsi="Times New Roman"/>
        </w:rPr>
        <w:t>Instellingen bepalen de "boekhoudkundige balanswaarden" in LR</w:t>
      </w:r>
      <w:r w:rsidRPr="00CF219D">
        <w:rPr>
          <w:rFonts w:ascii="Times New Roman" w:hAnsi="Times New Roman"/>
        </w:rPr>
        <w:t>1</w:t>
      </w:r>
      <w:r>
        <w:rPr>
          <w:rFonts w:ascii="Times New Roman" w:hAnsi="Times New Roman"/>
        </w:rPr>
        <w:t xml:space="preserve"> op basis van het toepasselijke kader voor financiële verslaggeving als bedoeld in artikel </w:t>
      </w:r>
      <w:r w:rsidRPr="00CF219D">
        <w:rPr>
          <w:rFonts w:ascii="Times New Roman" w:hAnsi="Times New Roman"/>
        </w:rPr>
        <w:t>4</w:t>
      </w:r>
      <w:r>
        <w:rPr>
          <w:rFonts w:ascii="Times New Roman" w:hAnsi="Times New Roman"/>
        </w:rPr>
        <w:t xml:space="preserve">, lid </w:t>
      </w:r>
      <w:r w:rsidRPr="00CF219D">
        <w:rPr>
          <w:rFonts w:ascii="Times New Roman" w:hAnsi="Times New Roman"/>
        </w:rPr>
        <w:t>1</w:t>
      </w:r>
      <w:r>
        <w:rPr>
          <w:rFonts w:ascii="Times New Roman" w:hAnsi="Times New Roman"/>
        </w:rPr>
        <w:t xml:space="preserve">, punt </w:t>
      </w:r>
      <w:r w:rsidRPr="00CF219D">
        <w:rPr>
          <w:rFonts w:ascii="Times New Roman" w:hAnsi="Times New Roman"/>
        </w:rPr>
        <w:t>77</w:t>
      </w:r>
      <w:r>
        <w:rPr>
          <w:rFonts w:ascii="Times New Roman" w:hAnsi="Times New Roman"/>
        </w:rPr>
        <w:t xml:space="preserve">, van de VKV. Met "boekwaarde in de veronderstelling dat er geen sprake is van verrekening of andere CRM" wordt bedoeld dat voor de boekhoudkundige balanswaarde eventuele verrekenings- of andere CRM-effecten buiten beschouwing blijven. </w:t>
      </w:r>
    </w:p>
    <w:p w:rsidR="005556DC" w:rsidRDefault="005556DC" w:rsidP="00FD2C06">
      <w:pPr>
        <w:pStyle w:val="BodyText1"/>
        <w:spacing w:line="240" w:lineRule="auto"/>
        <w:rPr>
          <w:rFonts w:ascii="Times New Roman" w:hAnsi="Times New Roman"/>
        </w:rPr>
      </w:pPr>
    </w:p>
    <w:p w:rsidR="005556DC" w:rsidRPr="00FE002E" w:rsidRDefault="00500508" w:rsidP="00500508">
      <w:pPr>
        <w:pStyle w:val="BodyText1"/>
        <w:spacing w:line="240" w:lineRule="auto"/>
        <w:ind w:left="720" w:hanging="360"/>
        <w:rPr>
          <w:rFonts w:ascii="Times New Roman" w:hAnsi="Times New Roman"/>
        </w:rPr>
      </w:pPr>
      <w:r w:rsidRPr="00CF219D">
        <w:rPr>
          <w:rFonts w:ascii="Times New Roman" w:hAnsi="Times New Roman"/>
        </w:rPr>
        <w:lastRenderedPageBreak/>
        <w:t>23</w:t>
      </w:r>
      <w:r>
        <w:rPr>
          <w:rFonts w:ascii="Times New Roman" w:hAnsi="Times New Roman"/>
        </w:rPr>
        <w:t>.</w:t>
      </w:r>
      <w:r>
        <w:tab/>
      </w:r>
      <w:r>
        <w:rPr>
          <w:rFonts w:ascii="Times New Roman" w:hAnsi="Times New Roman"/>
        </w:rPr>
        <w:t>Afgezien van {</w:t>
      </w:r>
      <w:r w:rsidRPr="00CF219D">
        <w:rPr>
          <w:rFonts w:ascii="Times New Roman" w:hAnsi="Times New Roman"/>
        </w:rPr>
        <w:t>250</w:t>
      </w:r>
      <w:r>
        <w:rPr>
          <w:rFonts w:ascii="Times New Roman" w:hAnsi="Times New Roman"/>
        </w:rPr>
        <w:t>;</w:t>
      </w:r>
      <w:r w:rsidRPr="00CF219D">
        <w:rPr>
          <w:rFonts w:ascii="Times New Roman" w:hAnsi="Times New Roman"/>
        </w:rPr>
        <w:t>120</w:t>
      </w:r>
      <w:r>
        <w:rPr>
          <w:rFonts w:ascii="Times New Roman" w:hAnsi="Times New Roman"/>
        </w:rPr>
        <w:t>} en {</w:t>
      </w:r>
      <w:r w:rsidRPr="00CF219D">
        <w:rPr>
          <w:rFonts w:ascii="Times New Roman" w:hAnsi="Times New Roman"/>
        </w:rPr>
        <w:t>260</w:t>
      </w:r>
      <w:r>
        <w:rPr>
          <w:rFonts w:ascii="Times New Roman" w:hAnsi="Times New Roman"/>
        </w:rPr>
        <w:t>;</w:t>
      </w:r>
      <w:r w:rsidRPr="00CF219D">
        <w:rPr>
          <w:rFonts w:ascii="Times New Roman" w:hAnsi="Times New Roman"/>
        </w:rPr>
        <w:t>120</w:t>
      </w:r>
      <w:r>
        <w:rPr>
          <w:rFonts w:ascii="Times New Roman" w:hAnsi="Times New Roman"/>
        </w:rPr>
        <w:t>}, rapporteren instellingen LR</w:t>
      </w:r>
      <w:r w:rsidRPr="00CF219D">
        <w:rPr>
          <w:rFonts w:ascii="Times New Roman" w:hAnsi="Times New Roman"/>
        </w:rPr>
        <w:t>1</w:t>
      </w:r>
      <w:r>
        <w:rPr>
          <w:rFonts w:ascii="Times New Roman" w:hAnsi="Times New Roman"/>
        </w:rPr>
        <w:t xml:space="preserve"> alsof de uitsluitingen bedoeld in de LRCalc-cellen {</w:t>
      </w:r>
      <w:r w:rsidRPr="00CF219D">
        <w:rPr>
          <w:rFonts w:ascii="Times New Roman" w:hAnsi="Times New Roman"/>
        </w:rPr>
        <w:t>050</w:t>
      </w:r>
      <w:r>
        <w:rPr>
          <w:rFonts w:ascii="Times New Roman" w:hAnsi="Times New Roman"/>
        </w:rPr>
        <w:t>;</w:t>
      </w:r>
      <w:r w:rsidRPr="00CF219D">
        <w:rPr>
          <w:rFonts w:ascii="Times New Roman" w:hAnsi="Times New Roman"/>
        </w:rPr>
        <w:t>010</w:t>
      </w:r>
      <w:r>
        <w:rPr>
          <w:rFonts w:ascii="Times New Roman" w:hAnsi="Times New Roman"/>
        </w:rPr>
        <w:t>}, {</w:t>
      </w:r>
      <w:r w:rsidRPr="00CF219D">
        <w:rPr>
          <w:rFonts w:ascii="Times New Roman" w:hAnsi="Times New Roman"/>
        </w:rPr>
        <w:t>080</w:t>
      </w:r>
      <w:r>
        <w:rPr>
          <w:rFonts w:ascii="Times New Roman" w:hAnsi="Times New Roman"/>
        </w:rPr>
        <w:t>;</w:t>
      </w:r>
      <w:r w:rsidRPr="00CF219D">
        <w:rPr>
          <w:rFonts w:ascii="Times New Roman" w:hAnsi="Times New Roman"/>
        </w:rPr>
        <w:t>010</w:t>
      </w:r>
      <w:r>
        <w:rPr>
          <w:rFonts w:ascii="Times New Roman" w:hAnsi="Times New Roman"/>
        </w:rPr>
        <w:t>}, {</w:t>
      </w:r>
      <w:r w:rsidRPr="00CF219D">
        <w:rPr>
          <w:rFonts w:ascii="Times New Roman" w:hAnsi="Times New Roman"/>
        </w:rPr>
        <w:t>100</w:t>
      </w:r>
      <w:r>
        <w:rPr>
          <w:rFonts w:ascii="Times New Roman" w:hAnsi="Times New Roman"/>
        </w:rPr>
        <w:t>;</w:t>
      </w:r>
      <w:r w:rsidRPr="00CF219D">
        <w:rPr>
          <w:rFonts w:ascii="Times New Roman" w:hAnsi="Times New Roman"/>
        </w:rPr>
        <w:t>010</w:t>
      </w:r>
      <w:r>
        <w:rPr>
          <w:rFonts w:ascii="Times New Roman" w:hAnsi="Times New Roman"/>
        </w:rPr>
        <w:t>}, {</w:t>
      </w:r>
      <w:r w:rsidRPr="00CF219D">
        <w:rPr>
          <w:rFonts w:ascii="Times New Roman" w:hAnsi="Times New Roman"/>
        </w:rPr>
        <w:t>120</w:t>
      </w:r>
      <w:r>
        <w:rPr>
          <w:rFonts w:ascii="Times New Roman" w:hAnsi="Times New Roman"/>
        </w:rPr>
        <w:t>;</w:t>
      </w:r>
      <w:r w:rsidRPr="00CF219D">
        <w:rPr>
          <w:rFonts w:ascii="Times New Roman" w:hAnsi="Times New Roman"/>
        </w:rPr>
        <w:t>010</w:t>
      </w:r>
      <w:r>
        <w:rPr>
          <w:rFonts w:ascii="Times New Roman" w:hAnsi="Times New Roman"/>
        </w:rPr>
        <w:t>}, {</w:t>
      </w:r>
      <w:r w:rsidRPr="00CF219D">
        <w:rPr>
          <w:rFonts w:ascii="Times New Roman" w:hAnsi="Times New Roman"/>
        </w:rPr>
        <w:t>220</w:t>
      </w:r>
      <w:r>
        <w:rPr>
          <w:rFonts w:ascii="Times New Roman" w:hAnsi="Times New Roman"/>
        </w:rPr>
        <w:t>;</w:t>
      </w:r>
      <w:r w:rsidRPr="00CF219D">
        <w:rPr>
          <w:rFonts w:ascii="Times New Roman" w:hAnsi="Times New Roman"/>
        </w:rPr>
        <w:t>010</w:t>
      </w:r>
      <w:r>
        <w:rPr>
          <w:rFonts w:ascii="Times New Roman" w:hAnsi="Times New Roman"/>
        </w:rPr>
        <w:t>}, {</w:t>
      </w:r>
      <w:r w:rsidRPr="00CF219D">
        <w:rPr>
          <w:rFonts w:ascii="Times New Roman" w:hAnsi="Times New Roman"/>
        </w:rPr>
        <w:t>250</w:t>
      </w:r>
      <w:r>
        <w:rPr>
          <w:rFonts w:ascii="Times New Roman" w:hAnsi="Times New Roman"/>
        </w:rPr>
        <w:t>;</w:t>
      </w:r>
      <w:r w:rsidRPr="00CF219D">
        <w:rPr>
          <w:rFonts w:ascii="Times New Roman" w:hAnsi="Times New Roman"/>
        </w:rPr>
        <w:t>010</w:t>
      </w:r>
      <w:r>
        <w:rPr>
          <w:rFonts w:ascii="Times New Roman" w:hAnsi="Times New Roman"/>
        </w:rPr>
        <w:t>} en {</w:t>
      </w:r>
      <w:r w:rsidRPr="00CF219D">
        <w:rPr>
          <w:rFonts w:ascii="Times New Roman" w:hAnsi="Times New Roman"/>
        </w:rPr>
        <w:t>260</w:t>
      </w:r>
      <w:r>
        <w:rPr>
          <w:rFonts w:ascii="Times New Roman" w:hAnsi="Times New Roman"/>
        </w:rPr>
        <w:t>;</w:t>
      </w:r>
      <w:r w:rsidRPr="00CF219D">
        <w:rPr>
          <w:rFonts w:ascii="Times New Roman" w:hAnsi="Times New Roman"/>
        </w:rPr>
        <w:t>010</w:t>
      </w:r>
      <w:r>
        <w:rPr>
          <w:rFonts w:ascii="Times New Roman" w:hAnsi="Times New Roman"/>
        </w:rPr>
        <w:t>} niet van toepassing zijn.</w:t>
      </w:r>
    </w:p>
    <w:p w:rsidR="005556DC" w:rsidRDefault="005556DC" w:rsidP="005556DC">
      <w:pPr>
        <w:pStyle w:val="BodyText1"/>
        <w:spacing w:line="240" w:lineRule="auto"/>
        <w:ind w:left="720"/>
        <w:rPr>
          <w:rFonts w:ascii="Times New Roman" w:hAnsi="Times New Roman"/>
        </w:rPr>
      </w:pPr>
    </w:p>
    <w:p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Pr>
                <w:rFonts w:ascii="Times New Roman" w:hAnsi="Times New Roman"/>
                <w:b/>
              </w:rPr>
              <w:t xml:space="preserve">Rij </w:t>
            </w:r>
          </w:p>
          <w:p w:rsidR="00F4754B" w:rsidRPr="00FE002E" w:rsidRDefault="00F4754B" w:rsidP="00F4754B">
            <w:pPr>
              <w:pStyle w:val="BodyText1"/>
              <w:rPr>
                <w:rFonts w:ascii="Times New Roman" w:hAnsi="Times New Roman"/>
                <w:b/>
              </w:rPr>
            </w:pPr>
            <w:r>
              <w:rPr>
                <w:rFonts w:ascii="Times New Roman" w:hAnsi="Times New Roman"/>
                <w:b/>
              </w:rPr>
              <w:t>en kolom</w:t>
            </w:r>
          </w:p>
        </w:tc>
        <w:tc>
          <w:tcPr>
            <w:tcW w:w="7620" w:type="dxa"/>
            <w:shd w:val="clear" w:color="auto" w:fill="D9D9D9"/>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Verwijzingen naar wetgeving en instructies</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w:t>
            </w:r>
            <w:r w:rsidRPr="00CF219D">
              <w:rPr>
                <w:rFonts w:ascii="Times New Roman" w:hAnsi="Times New Roman"/>
              </w:rPr>
              <w:t>010</w:t>
            </w:r>
            <w:r>
              <w:rPr>
                <w:rFonts w:ascii="Times New Roman" w:hAnsi="Times New Roman"/>
              </w:rPr>
              <w:t>;</w:t>
            </w:r>
            <w:r w:rsidRPr="00CF219D">
              <w:rPr>
                <w:rFonts w:ascii="Times New Roman" w:hAnsi="Times New Roman"/>
              </w:rPr>
              <w:t>010</w:t>
            </w:r>
            <w:r>
              <w:rPr>
                <w:rFonts w:ascii="Times New Roman" w:hAnsi="Times New Roman"/>
              </w:rPr>
              <w:t>}</w:t>
            </w:r>
          </w:p>
        </w:tc>
        <w:tc>
          <w:tcPr>
            <w:tcW w:w="7620" w:type="dxa"/>
          </w:tcPr>
          <w:p w:rsidR="00F4754B" w:rsidRPr="00FE002E" w:rsidRDefault="00F4754B" w:rsidP="007E2A41">
            <w:pPr>
              <w:pStyle w:val="BodyText1"/>
              <w:spacing w:line="240" w:lineRule="auto"/>
              <w:rPr>
                <w:rFonts w:ascii="Times New Roman" w:hAnsi="Times New Roman"/>
                <w:bCs/>
                <w:u w:val="single"/>
              </w:rPr>
            </w:pPr>
            <w:r>
              <w:rPr>
                <w:rFonts w:ascii="Times New Roman" w:hAnsi="Times New Roman"/>
                <w:b/>
              </w:rPr>
              <w:t>Derivaten — Boekhoudkundige balanswaarde</w:t>
            </w:r>
          </w:p>
          <w:p w:rsidR="00F4754B" w:rsidRPr="00FE002E" w:rsidRDefault="00F4754B"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Dit is de som van {</w:t>
            </w:r>
            <w:r w:rsidRPr="00CF219D">
              <w:rPr>
                <w:rFonts w:ascii="Times New Roman" w:hAnsi="Times New Roman"/>
              </w:rPr>
              <w:t>020</w:t>
            </w:r>
            <w:r>
              <w:rPr>
                <w:rFonts w:ascii="Times New Roman" w:hAnsi="Times New Roman"/>
              </w:rPr>
              <w:t>;</w:t>
            </w:r>
            <w:r w:rsidRPr="00CF219D">
              <w:rPr>
                <w:rFonts w:ascii="Times New Roman" w:hAnsi="Times New Roman"/>
              </w:rPr>
              <w:t>010</w:t>
            </w:r>
            <w:r>
              <w:rPr>
                <w:rFonts w:ascii="Times New Roman" w:hAnsi="Times New Roman"/>
              </w:rPr>
              <w:t>}, {</w:t>
            </w:r>
            <w:r w:rsidRPr="00CF219D">
              <w:rPr>
                <w:rFonts w:ascii="Times New Roman" w:hAnsi="Times New Roman"/>
              </w:rPr>
              <w:t>050</w:t>
            </w:r>
            <w:r>
              <w:rPr>
                <w:rFonts w:ascii="Times New Roman" w:hAnsi="Times New Roman"/>
              </w:rPr>
              <w:t>;</w:t>
            </w:r>
            <w:r w:rsidRPr="00CF219D">
              <w:rPr>
                <w:rFonts w:ascii="Times New Roman" w:hAnsi="Times New Roman"/>
              </w:rPr>
              <w:t>010</w:t>
            </w:r>
            <w:r>
              <w:rPr>
                <w:rFonts w:ascii="Times New Roman" w:hAnsi="Times New Roman"/>
              </w:rPr>
              <w:t>} en {</w:t>
            </w:r>
            <w:r w:rsidRPr="00CF219D">
              <w:rPr>
                <w:rFonts w:ascii="Times New Roman" w:hAnsi="Times New Roman"/>
              </w:rPr>
              <w:t>060</w:t>
            </w:r>
            <w:r>
              <w:rPr>
                <w:rFonts w:ascii="Times New Roman" w:hAnsi="Times New Roman"/>
              </w:rPr>
              <w:t>;</w:t>
            </w:r>
            <w:r w:rsidRPr="00CF219D">
              <w:rPr>
                <w:rFonts w:ascii="Times New Roman" w:hAnsi="Times New Roman"/>
              </w:rPr>
              <w:t>010</w:t>
            </w:r>
            <w:r>
              <w:rPr>
                <w:rFonts w:ascii="Times New Roman" w:hAnsi="Times New Roman"/>
              </w:rPr>
              <w:t>}.</w:t>
            </w:r>
          </w:p>
          <w:p w:rsidR="000A6437" w:rsidRPr="00FE002E" w:rsidRDefault="000A6437"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w:t>
            </w:r>
            <w:r w:rsidRPr="00CF219D">
              <w:rPr>
                <w:rFonts w:ascii="Times New Roman" w:hAnsi="Times New Roman"/>
              </w:rPr>
              <w:t>010</w:t>
            </w:r>
            <w:r>
              <w:rPr>
                <w:rFonts w:ascii="Times New Roman" w:hAnsi="Times New Roman"/>
              </w:rPr>
              <w:t>;</w:t>
            </w:r>
            <w:r w:rsidRPr="00CF219D">
              <w:rPr>
                <w:rFonts w:ascii="Times New Roman" w:hAnsi="Times New Roman"/>
              </w:rPr>
              <w:t>020</w:t>
            </w:r>
            <w:r>
              <w:rPr>
                <w:rFonts w:ascii="Times New Roman" w:hAnsi="Times New Roman"/>
              </w:rPr>
              <w:t>}</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Derivaten — Boekwaarde in de veronderstelling dat er geen sprake is van verrekening of andere CRM</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Dit is de som van {</w:t>
            </w:r>
            <w:r w:rsidRPr="00CF219D">
              <w:rPr>
                <w:rFonts w:ascii="Times New Roman" w:hAnsi="Times New Roman"/>
              </w:rPr>
              <w:t>020</w:t>
            </w:r>
            <w:r>
              <w:rPr>
                <w:rFonts w:ascii="Times New Roman" w:hAnsi="Times New Roman"/>
              </w:rPr>
              <w:t>;</w:t>
            </w:r>
            <w:r w:rsidRPr="00CF219D">
              <w:rPr>
                <w:rFonts w:ascii="Times New Roman" w:hAnsi="Times New Roman"/>
              </w:rPr>
              <w:t>020</w:t>
            </w:r>
            <w:r>
              <w:rPr>
                <w:rFonts w:ascii="Times New Roman" w:hAnsi="Times New Roman"/>
              </w:rPr>
              <w:t>}, {</w:t>
            </w:r>
            <w:r w:rsidRPr="00CF219D">
              <w:rPr>
                <w:rFonts w:ascii="Times New Roman" w:hAnsi="Times New Roman"/>
              </w:rPr>
              <w:t>050</w:t>
            </w:r>
            <w:r>
              <w:rPr>
                <w:rFonts w:ascii="Times New Roman" w:hAnsi="Times New Roman"/>
              </w:rPr>
              <w:t>;</w:t>
            </w:r>
            <w:r w:rsidRPr="00CF219D">
              <w:rPr>
                <w:rFonts w:ascii="Times New Roman" w:hAnsi="Times New Roman"/>
              </w:rPr>
              <w:t>020</w:t>
            </w:r>
            <w:r>
              <w:rPr>
                <w:rFonts w:ascii="Times New Roman" w:hAnsi="Times New Roman"/>
              </w:rPr>
              <w:t>} en {</w:t>
            </w:r>
            <w:r w:rsidRPr="00CF219D">
              <w:rPr>
                <w:rFonts w:ascii="Times New Roman" w:hAnsi="Times New Roman"/>
              </w:rPr>
              <w:t>060</w:t>
            </w:r>
            <w:r>
              <w:rPr>
                <w:rFonts w:ascii="Times New Roman" w:hAnsi="Times New Roman"/>
              </w:rPr>
              <w:t>;</w:t>
            </w:r>
            <w:r w:rsidRPr="00CF219D">
              <w:rPr>
                <w:rFonts w:ascii="Times New Roman" w:hAnsi="Times New Roman"/>
              </w:rPr>
              <w:t>020</w:t>
            </w:r>
            <w:r>
              <w:rPr>
                <w:rFonts w:ascii="Times New Roman" w:hAnsi="Times New Roman"/>
              </w:rPr>
              <w:t>}.</w:t>
            </w:r>
          </w:p>
          <w:p w:rsidR="00FF3AC1" w:rsidRPr="00FE002E" w:rsidRDefault="00FF3AC1"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w:t>
            </w:r>
            <w:r w:rsidRPr="00CF219D">
              <w:rPr>
                <w:rFonts w:ascii="Times New Roman" w:hAnsi="Times New Roman"/>
              </w:rPr>
              <w:t>010</w:t>
            </w:r>
            <w:r>
              <w:rPr>
                <w:rFonts w:ascii="Times New Roman" w:hAnsi="Times New Roman"/>
              </w:rPr>
              <w:t>;</w:t>
            </w:r>
            <w:r w:rsidRPr="00CF219D">
              <w:rPr>
                <w:rFonts w:ascii="Times New Roman" w:hAnsi="Times New Roman"/>
              </w:rPr>
              <w:t>050</w:t>
            </w:r>
            <w:r>
              <w:rPr>
                <w:rFonts w:ascii="Times New Roman" w:hAnsi="Times New Roman"/>
              </w:rPr>
              <w:t>}</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Derivaten — Opslagfactor volgens de op de waardering tegen marktwaarde gebaseerde methode (in de veronderstelling dat er geen sprake is van verrekening of andere CRM)</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Dit is de som van {</w:t>
            </w:r>
            <w:r w:rsidRPr="00CF219D">
              <w:rPr>
                <w:rFonts w:ascii="Times New Roman" w:hAnsi="Times New Roman"/>
              </w:rPr>
              <w:t>020</w:t>
            </w:r>
            <w:r>
              <w:rPr>
                <w:rFonts w:ascii="Times New Roman" w:hAnsi="Times New Roman"/>
              </w:rPr>
              <w:t>;</w:t>
            </w:r>
            <w:r w:rsidRPr="00CF219D">
              <w:rPr>
                <w:rFonts w:ascii="Times New Roman" w:hAnsi="Times New Roman"/>
              </w:rPr>
              <w:t>050</w:t>
            </w:r>
            <w:r>
              <w:rPr>
                <w:rFonts w:ascii="Times New Roman" w:hAnsi="Times New Roman"/>
              </w:rPr>
              <w:t>}, {</w:t>
            </w:r>
            <w:r w:rsidRPr="00CF219D">
              <w:rPr>
                <w:rFonts w:ascii="Times New Roman" w:hAnsi="Times New Roman"/>
              </w:rPr>
              <w:t>050</w:t>
            </w:r>
            <w:r>
              <w:rPr>
                <w:rFonts w:ascii="Times New Roman" w:hAnsi="Times New Roman"/>
              </w:rPr>
              <w:t>;</w:t>
            </w:r>
            <w:r w:rsidRPr="00CF219D">
              <w:rPr>
                <w:rFonts w:ascii="Times New Roman" w:hAnsi="Times New Roman"/>
              </w:rPr>
              <w:t>050</w:t>
            </w:r>
            <w:r>
              <w:rPr>
                <w:rFonts w:ascii="Times New Roman" w:hAnsi="Times New Roman"/>
              </w:rPr>
              <w:t>} en {</w:t>
            </w:r>
            <w:r w:rsidRPr="00CF219D">
              <w:rPr>
                <w:rFonts w:ascii="Times New Roman" w:hAnsi="Times New Roman"/>
              </w:rPr>
              <w:t>060</w:t>
            </w:r>
            <w:r>
              <w:rPr>
                <w:rFonts w:ascii="Times New Roman" w:hAnsi="Times New Roman"/>
              </w:rPr>
              <w:t>;</w:t>
            </w:r>
            <w:r w:rsidRPr="00CF219D">
              <w:rPr>
                <w:rFonts w:ascii="Times New Roman" w:hAnsi="Times New Roman"/>
              </w:rPr>
              <w:t>050</w:t>
            </w:r>
            <w:r>
              <w:rPr>
                <w:rFonts w:ascii="Times New Roman" w:hAnsi="Times New Roman"/>
              </w:rPr>
              <w: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w:t>
            </w:r>
            <w:r w:rsidRPr="00CF219D">
              <w:rPr>
                <w:rFonts w:ascii="Times New Roman" w:hAnsi="Times New Roman"/>
              </w:rPr>
              <w:t>010</w:t>
            </w:r>
            <w:r>
              <w:rPr>
                <w:rFonts w:ascii="Times New Roman" w:hAnsi="Times New Roman"/>
              </w:rPr>
              <w:t>;</w:t>
            </w:r>
            <w:r w:rsidRPr="00CF219D">
              <w:rPr>
                <w:rFonts w:ascii="Times New Roman" w:hAnsi="Times New Roman"/>
              </w:rPr>
              <w:t>070</w:t>
            </w:r>
            <w:r>
              <w:rPr>
                <w:rFonts w:ascii="Times New Roman" w:hAnsi="Times New Roman"/>
              </w:rPr>
              <w:t>}</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Derivaten — Notioneel bedrag</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Dit is de som van {</w:t>
            </w:r>
            <w:r w:rsidRPr="00CF219D">
              <w:rPr>
                <w:rFonts w:ascii="Times New Roman" w:hAnsi="Times New Roman"/>
              </w:rPr>
              <w:t>020</w:t>
            </w:r>
            <w:r>
              <w:rPr>
                <w:rFonts w:ascii="Times New Roman" w:hAnsi="Times New Roman"/>
              </w:rPr>
              <w:t>;</w:t>
            </w:r>
            <w:r w:rsidRPr="00CF219D">
              <w:rPr>
                <w:rFonts w:ascii="Times New Roman" w:hAnsi="Times New Roman"/>
              </w:rPr>
              <w:t>070</w:t>
            </w:r>
            <w:r>
              <w:rPr>
                <w:rFonts w:ascii="Times New Roman" w:hAnsi="Times New Roman"/>
              </w:rPr>
              <w:t>}, {</w:t>
            </w:r>
            <w:r w:rsidRPr="00CF219D">
              <w:rPr>
                <w:rFonts w:ascii="Times New Roman" w:hAnsi="Times New Roman"/>
              </w:rPr>
              <w:t>050</w:t>
            </w:r>
            <w:r>
              <w:rPr>
                <w:rFonts w:ascii="Times New Roman" w:hAnsi="Times New Roman"/>
              </w:rPr>
              <w:t>;</w:t>
            </w:r>
            <w:r w:rsidRPr="00CF219D">
              <w:rPr>
                <w:rFonts w:ascii="Times New Roman" w:hAnsi="Times New Roman"/>
              </w:rPr>
              <w:t>070</w:t>
            </w:r>
            <w:r>
              <w:rPr>
                <w:rFonts w:ascii="Times New Roman" w:hAnsi="Times New Roman"/>
              </w:rPr>
              <w:t>} en {</w:t>
            </w:r>
            <w:r w:rsidRPr="00CF219D">
              <w:rPr>
                <w:rFonts w:ascii="Times New Roman" w:hAnsi="Times New Roman"/>
              </w:rPr>
              <w:t>060</w:t>
            </w:r>
            <w:r>
              <w:rPr>
                <w:rFonts w:ascii="Times New Roman" w:hAnsi="Times New Roman"/>
              </w:rPr>
              <w:t>;</w:t>
            </w:r>
            <w:r w:rsidRPr="00CF219D">
              <w:rPr>
                <w:rFonts w:ascii="Times New Roman" w:hAnsi="Times New Roman"/>
              </w:rPr>
              <w:t>070</w:t>
            </w:r>
            <w:r>
              <w:rPr>
                <w:rFonts w:ascii="Times New Roman" w:hAnsi="Times New Roman"/>
              </w:rPr>
              <w: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w:t>
            </w:r>
            <w:r w:rsidRPr="00CF219D">
              <w:rPr>
                <w:rFonts w:ascii="Times New Roman" w:hAnsi="Times New Roman"/>
              </w:rPr>
              <w:t>020</w:t>
            </w:r>
            <w:r>
              <w:rPr>
                <w:rFonts w:ascii="Times New Roman" w:hAnsi="Times New Roman"/>
              </w:rPr>
              <w:t>;</w:t>
            </w:r>
            <w:r w:rsidRPr="00CF219D">
              <w:rPr>
                <w:rFonts w:ascii="Times New Roman" w:hAnsi="Times New Roman"/>
              </w:rPr>
              <w:t>010</w:t>
            </w:r>
            <w:r>
              <w:rPr>
                <w:rFonts w:ascii="Times New Roman" w:hAnsi="Times New Roman"/>
              </w:rPr>
              <w:t>}</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Kredietderivaten (verkochte protectie) — Boekhoudkundige balanswaarde</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4</w:t>
            </w:r>
            <w:r>
              <w:rPr>
                <w:rFonts w:ascii="Times New Roman" w:hAnsi="Times New Roman"/>
              </w:rPr>
              <w:t xml:space="preserve">, lid </w:t>
            </w:r>
            <w:r w:rsidRPr="00CF219D">
              <w:rPr>
                <w:rFonts w:ascii="Times New Roman" w:hAnsi="Times New Roman"/>
              </w:rPr>
              <w:t>1</w:t>
            </w:r>
            <w:r>
              <w:rPr>
                <w:rFonts w:ascii="Times New Roman" w:hAnsi="Times New Roman"/>
              </w:rPr>
              <w:t xml:space="preserve">, punt </w:t>
            </w:r>
            <w:r w:rsidRPr="00CF219D">
              <w:rPr>
                <w:rFonts w:ascii="Times New Roman" w:hAnsi="Times New Roman"/>
              </w:rPr>
              <w:t>77</w:t>
            </w:r>
            <w:r>
              <w:rPr>
                <w:rFonts w:ascii="Times New Roman" w:hAnsi="Times New Roman"/>
              </w:rPr>
              <w:t>, van de VKV</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De boekhoudkundige balanswaarde volgens het toepasselijke kader voor financiële verslaggeving van kredietderivaten als de instelling kredietprotectie aan een tegenpartij verkoopt en het contract op de balans wordt geactiveerd.</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w:t>
            </w:r>
            <w:r w:rsidRPr="00CF219D">
              <w:rPr>
                <w:rFonts w:ascii="Times New Roman" w:hAnsi="Times New Roman"/>
              </w:rPr>
              <w:t>020</w:t>
            </w:r>
            <w:r>
              <w:rPr>
                <w:rFonts w:ascii="Times New Roman" w:hAnsi="Times New Roman"/>
              </w:rPr>
              <w:t>;</w:t>
            </w:r>
            <w:r w:rsidRPr="00CF219D">
              <w:rPr>
                <w:rFonts w:ascii="Times New Roman" w:hAnsi="Times New Roman"/>
              </w:rPr>
              <w:t>020</w:t>
            </w:r>
            <w:r>
              <w:rPr>
                <w:rFonts w:ascii="Times New Roman" w:hAnsi="Times New Roman"/>
              </w:rPr>
              <w:t>}</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Kredietderivaten (verkochte protectie) — Boekwaarde in de veronderstelling dat er geen sprake is van verrekening of andere CRM</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4</w:t>
            </w:r>
            <w:r>
              <w:rPr>
                <w:rFonts w:ascii="Times New Roman" w:hAnsi="Times New Roman"/>
              </w:rPr>
              <w:t xml:space="preserve">, lid </w:t>
            </w:r>
            <w:r w:rsidRPr="00CF219D">
              <w:rPr>
                <w:rFonts w:ascii="Times New Roman" w:hAnsi="Times New Roman"/>
              </w:rPr>
              <w:t>1</w:t>
            </w:r>
            <w:r>
              <w:rPr>
                <w:rFonts w:ascii="Times New Roman" w:hAnsi="Times New Roman"/>
              </w:rPr>
              <w:t xml:space="preserve">, punt </w:t>
            </w:r>
            <w:r w:rsidRPr="00CF219D">
              <w:rPr>
                <w:rFonts w:ascii="Times New Roman" w:hAnsi="Times New Roman"/>
              </w:rPr>
              <w:t>77</w:t>
            </w:r>
            <w:r>
              <w:rPr>
                <w:rFonts w:ascii="Times New Roman" w:hAnsi="Times New Roman"/>
              </w:rPr>
              <w:t>, van de VKV</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De boekhoudkundige balanswaarde volgens het toepasselijke kader voor financiële verslaggeving van kredietderivaten als de instelling kredietprotectie aan een tegenpartij verkoopt en het contract op de balans wordt geactiveerd, in de veronderstelling dat er geen sprake is van prudentiële of boekhoudkundige verrekenings- of andere CRM-effecten (dit betekent dat alle effecten van boekhoudkundige verrekening of CRM die de boekwaarde hebben beïnvloed, worden teruggedraaid).</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w:t>
            </w:r>
            <w:r w:rsidRPr="00CF219D">
              <w:rPr>
                <w:rFonts w:ascii="Times New Roman" w:hAnsi="Times New Roman"/>
              </w:rPr>
              <w:t>020</w:t>
            </w:r>
            <w:r>
              <w:rPr>
                <w:rFonts w:ascii="Times New Roman" w:hAnsi="Times New Roman"/>
              </w:rPr>
              <w:t>;</w:t>
            </w:r>
            <w:r w:rsidRPr="00CF219D">
              <w:rPr>
                <w:rFonts w:ascii="Times New Roman" w:hAnsi="Times New Roman"/>
              </w:rPr>
              <w:t>050</w:t>
            </w:r>
            <w:r>
              <w:rPr>
                <w:rFonts w:ascii="Times New Roman" w:hAnsi="Times New Roman"/>
              </w:rPr>
              <w:t>}</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Kredietderivaten (verkochte protectie) — Opslagfactor volgens de op de waardering tegen marktwaarde gebaseerde methode (in de veronderstelling dat er geen sprake is van verrekening of andere CRM)</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Dit is de som van {</w:t>
            </w:r>
            <w:r w:rsidRPr="00CF219D">
              <w:rPr>
                <w:rFonts w:ascii="Times New Roman" w:hAnsi="Times New Roman"/>
              </w:rPr>
              <w:t>030</w:t>
            </w:r>
            <w:r>
              <w:rPr>
                <w:rFonts w:ascii="Times New Roman" w:hAnsi="Times New Roman"/>
              </w:rPr>
              <w:t>;</w:t>
            </w:r>
            <w:r w:rsidRPr="00CF219D">
              <w:rPr>
                <w:rFonts w:ascii="Times New Roman" w:hAnsi="Times New Roman"/>
              </w:rPr>
              <w:t>050</w:t>
            </w:r>
            <w:r>
              <w:rPr>
                <w:rFonts w:ascii="Times New Roman" w:hAnsi="Times New Roman"/>
              </w:rPr>
              <w:t>} en {</w:t>
            </w:r>
            <w:r w:rsidRPr="00CF219D">
              <w:rPr>
                <w:rFonts w:ascii="Times New Roman" w:hAnsi="Times New Roman"/>
              </w:rPr>
              <w:t>040</w:t>
            </w:r>
            <w:r>
              <w:rPr>
                <w:rFonts w:ascii="Times New Roman" w:hAnsi="Times New Roman"/>
              </w:rPr>
              <w:t>;</w:t>
            </w:r>
            <w:r w:rsidRPr="00CF219D">
              <w:rPr>
                <w:rFonts w:ascii="Times New Roman" w:hAnsi="Times New Roman"/>
              </w:rPr>
              <w:t>050</w:t>
            </w:r>
            <w:r>
              <w:rPr>
                <w:rFonts w:ascii="Times New Roman" w:hAnsi="Times New Roman"/>
              </w:rPr>
              <w: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w:t>
            </w:r>
            <w:r w:rsidRPr="00CF219D">
              <w:rPr>
                <w:rFonts w:ascii="Times New Roman" w:hAnsi="Times New Roman"/>
              </w:rPr>
              <w:t>020</w:t>
            </w:r>
            <w:r>
              <w:rPr>
                <w:rFonts w:ascii="Times New Roman" w:hAnsi="Times New Roman"/>
              </w:rPr>
              <w:t>;</w:t>
            </w:r>
            <w:r w:rsidRPr="00CF219D">
              <w:rPr>
                <w:rFonts w:ascii="Times New Roman" w:hAnsi="Times New Roman"/>
              </w:rPr>
              <w:t>070</w:t>
            </w:r>
            <w:r>
              <w:rPr>
                <w:rFonts w:ascii="Times New Roman" w:hAnsi="Times New Roman"/>
              </w:rPr>
              <w:t>}</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Kredietderivaten (verkochte protectie) — Notioneel bedrag</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Dit is de som van de cellen {</w:t>
            </w:r>
            <w:r w:rsidRPr="00CF219D">
              <w:rPr>
                <w:rFonts w:ascii="Times New Roman" w:hAnsi="Times New Roman"/>
              </w:rPr>
              <w:t>030</w:t>
            </w:r>
            <w:r>
              <w:rPr>
                <w:rFonts w:ascii="Times New Roman" w:hAnsi="Times New Roman"/>
              </w:rPr>
              <w:t>;</w:t>
            </w:r>
            <w:r w:rsidRPr="00CF219D">
              <w:rPr>
                <w:rFonts w:ascii="Times New Roman" w:hAnsi="Times New Roman"/>
              </w:rPr>
              <w:t>070</w:t>
            </w:r>
            <w:r>
              <w:rPr>
                <w:rFonts w:ascii="Times New Roman" w:hAnsi="Times New Roman"/>
              </w:rPr>
              <w:t>} en {</w:t>
            </w:r>
            <w:r w:rsidRPr="00CF219D">
              <w:rPr>
                <w:rFonts w:ascii="Times New Roman" w:hAnsi="Times New Roman"/>
              </w:rPr>
              <w:t>040</w:t>
            </w:r>
            <w:r>
              <w:rPr>
                <w:rFonts w:ascii="Times New Roman" w:hAnsi="Times New Roman"/>
              </w:rPr>
              <w:t>;</w:t>
            </w:r>
            <w:r w:rsidRPr="00CF219D">
              <w:rPr>
                <w:rFonts w:ascii="Times New Roman" w:hAnsi="Times New Roman"/>
              </w:rPr>
              <w:t>070</w:t>
            </w:r>
            <w:r>
              <w:rPr>
                <w:rFonts w:ascii="Times New Roman" w:hAnsi="Times New Roman"/>
              </w:rPr>
              <w:t>}.</w:t>
            </w:r>
          </w:p>
          <w:p w:rsidR="00F4754B" w:rsidRPr="00FE002E" w:rsidRDefault="00F4754B"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w:t>
            </w:r>
            <w:r w:rsidRPr="00CF219D">
              <w:rPr>
                <w:rFonts w:ascii="Times New Roman" w:hAnsi="Times New Roman"/>
              </w:rPr>
              <w:t>020</w:t>
            </w:r>
            <w:r>
              <w:rPr>
                <w:rFonts w:ascii="Times New Roman" w:hAnsi="Times New Roman"/>
              </w:rPr>
              <w:t>;</w:t>
            </w:r>
            <w:r w:rsidRPr="00CF219D">
              <w:rPr>
                <w:rFonts w:ascii="Times New Roman" w:hAnsi="Times New Roman"/>
              </w:rPr>
              <w:t>075</w:t>
            </w:r>
            <w:r>
              <w:rPr>
                <w:rFonts w:ascii="Times New Roman" w:hAnsi="Times New Roman"/>
              </w:rPr>
              <w:t>}</w:t>
            </w:r>
          </w:p>
        </w:tc>
        <w:tc>
          <w:tcPr>
            <w:tcW w:w="7620" w:type="dxa"/>
          </w:tcPr>
          <w:p w:rsidR="00410E47" w:rsidRPr="00FE002E" w:rsidRDefault="00410E47" w:rsidP="006B5E42">
            <w:pPr>
              <w:pStyle w:val="BodyText1"/>
              <w:spacing w:line="240" w:lineRule="auto"/>
              <w:rPr>
                <w:rFonts w:ascii="Times New Roman" w:hAnsi="Times New Roman"/>
                <w:b/>
                <w:bCs/>
              </w:rPr>
            </w:pPr>
            <w:r>
              <w:rPr>
                <w:rFonts w:ascii="Times New Roman" w:hAnsi="Times New Roman"/>
                <w:b/>
              </w:rPr>
              <w:t>Kredietderivaten (verkochte protectie) — Verminderd notioneel bedrag</w:t>
            </w:r>
          </w:p>
          <w:p w:rsidR="00410E47" w:rsidRPr="00FE002E" w:rsidRDefault="00410E47" w:rsidP="006B5E42">
            <w:pPr>
              <w:pStyle w:val="BodyText1"/>
              <w:spacing w:line="240" w:lineRule="auto"/>
              <w:rPr>
                <w:rFonts w:ascii="Times New Roman" w:hAnsi="Times New Roman"/>
                <w:bCs/>
              </w:rPr>
            </w:pPr>
          </w:p>
          <w:p w:rsidR="00410E47" w:rsidRPr="00FE002E" w:rsidRDefault="00410E47" w:rsidP="006B5E42">
            <w:pPr>
              <w:pStyle w:val="BodyText1"/>
              <w:spacing w:line="240" w:lineRule="auto"/>
              <w:rPr>
                <w:rFonts w:ascii="Times New Roman" w:hAnsi="Times New Roman"/>
                <w:bCs/>
              </w:rPr>
            </w:pPr>
            <w:r>
              <w:rPr>
                <w:rFonts w:ascii="Times New Roman" w:hAnsi="Times New Roman"/>
              </w:rPr>
              <w:lastRenderedPageBreak/>
              <w:t>Deze cel bevat het notionele bedrag van de kredietderivaten (verkochte protectie) als vermeld in {</w:t>
            </w:r>
            <w:r w:rsidRPr="00CF219D">
              <w:rPr>
                <w:rFonts w:ascii="Times New Roman" w:hAnsi="Times New Roman"/>
              </w:rPr>
              <w:t>020</w:t>
            </w:r>
            <w:r>
              <w:rPr>
                <w:rFonts w:ascii="Times New Roman" w:hAnsi="Times New Roman"/>
              </w:rPr>
              <w:t>;</w:t>
            </w:r>
            <w:r w:rsidRPr="00CF219D">
              <w:rPr>
                <w:rFonts w:ascii="Times New Roman" w:hAnsi="Times New Roman"/>
              </w:rPr>
              <w:t>070</w:t>
            </w:r>
            <w:r>
              <w:rPr>
                <w:rFonts w:ascii="Times New Roman" w:hAnsi="Times New Roman"/>
              </w:rPr>
              <w:t xml:space="preserve">} na aftrek van eventuele negatieve veranderingen in de reële waarde die met betrekking tot het geboekte kredietderivaat in het tier </w:t>
            </w:r>
            <w:r w:rsidRPr="00CF219D">
              <w:rPr>
                <w:rFonts w:ascii="Times New Roman" w:hAnsi="Times New Roman"/>
              </w:rPr>
              <w:t>1</w:t>
            </w:r>
            <w:r>
              <w:rPr>
                <w:rFonts w:ascii="Times New Roman" w:hAnsi="Times New Roman"/>
              </w:rPr>
              <w:t>-kapitaal zijn opgenomen.</w:t>
            </w:r>
          </w:p>
          <w:p w:rsidR="00410E47" w:rsidRPr="00FE002E" w:rsidRDefault="00410E47" w:rsidP="006B5E42">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w:t>
            </w:r>
            <w:r w:rsidRPr="00CF219D">
              <w:rPr>
                <w:rFonts w:ascii="Times New Roman" w:hAnsi="Times New Roman"/>
              </w:rPr>
              <w:t>030</w:t>
            </w:r>
            <w:r>
              <w:rPr>
                <w:rFonts w:ascii="Times New Roman" w:hAnsi="Times New Roman"/>
              </w:rPr>
              <w:t>;</w:t>
            </w:r>
            <w:r w:rsidRPr="00CF219D">
              <w:rPr>
                <w:rFonts w:ascii="Times New Roman" w:hAnsi="Times New Roman"/>
              </w:rPr>
              <w:t>050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Kredietderivaten (verkochte protectie) met vroegtijdige afwikkeling — Opslagfactor volgens de op de waardering tegen marktwaarde gebaseerde methode (in de veronderstelling dat er geen sprake is van verrekening of andere CRM)</w:t>
            </w:r>
          </w:p>
          <w:p w:rsidR="00410E47" w:rsidRPr="00FE002E" w:rsidRDefault="00410E47" w:rsidP="00406605">
            <w:pPr>
              <w:pStyle w:val="BodyText1"/>
              <w:spacing w:line="240" w:lineRule="auto"/>
              <w:jc w:val="center"/>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299</w:t>
            </w:r>
            <w:r>
              <w:rPr>
                <w:rFonts w:ascii="Times New Roman" w:hAnsi="Times New Roman"/>
              </w:rPr>
              <w:t xml:space="preserve">, lid </w:t>
            </w:r>
            <w:r w:rsidRPr="00CF219D">
              <w:rPr>
                <w:rFonts w:ascii="Times New Roman" w:hAnsi="Times New Roman"/>
              </w:rPr>
              <w:t>2</w:t>
            </w:r>
            <w:r>
              <w:rPr>
                <w:rFonts w:ascii="Times New Roman" w:hAnsi="Times New Roman"/>
              </w:rPr>
              <w:t>, van de VKV</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Deze cel vermeldt de potentiële toekomstige blootstelling van kredietderivaten als de instelling op basis van een clausule inzake vroegtijdige afwikkeling kredietprotectie aan een tegenpartij verkoopt, in de veronderstelling dat er geen sprake is van verrekening of andere CRM. Instellingen nemen in deze cel niet de opslagfactor voor kredietderivaten op als de instelling niet op basis van een clausule inzake vroegtijdige afwikkeling kredietprotectie aan een tegenpartij verkoopt. In plaats daarvan nemen instellingen deze informatie op in {LR</w:t>
            </w:r>
            <w:r w:rsidRPr="00CF219D">
              <w:rPr>
                <w:rFonts w:ascii="Times New Roman" w:hAnsi="Times New Roman"/>
              </w:rPr>
              <w:t>1</w:t>
            </w:r>
            <w:r>
              <w:rPr>
                <w:rFonts w:ascii="Times New Roman" w:hAnsi="Times New Roman"/>
              </w:rPr>
              <w:t>;</w:t>
            </w:r>
            <w:r w:rsidRPr="00CF219D">
              <w:rPr>
                <w:rFonts w:ascii="Times New Roman" w:hAnsi="Times New Roman"/>
              </w:rPr>
              <w:t>040</w:t>
            </w:r>
            <w:r>
              <w:rPr>
                <w:rFonts w:ascii="Times New Roman" w:hAnsi="Times New Roman"/>
              </w:rPr>
              <w:t>;</w:t>
            </w:r>
            <w:r w:rsidRPr="00CF219D">
              <w:rPr>
                <w:rFonts w:ascii="Times New Roman" w:hAnsi="Times New Roman"/>
              </w:rPr>
              <w:t>050</w:t>
            </w:r>
            <w:r>
              <w:rPr>
                <w:rFonts w:ascii="Times New Roman" w:hAnsi="Times New Roman"/>
              </w:rPr>
              <w:t>}.</w:t>
            </w:r>
          </w:p>
          <w:p w:rsidR="00994DCE" w:rsidRPr="00FE002E" w:rsidRDefault="00994DCE"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Een clausule inzake vroegtijdige afwikkeling is een clausule die bepaalt dat de niet in gebreke blijvende partij het recht heeft alle in het kader van de overeenkomst verrichte transacties zo spoedig mogelijk te beëindigen en af te wikkelen bij wanbetaling, ook in geval van insolventie of faillissement van de tegenpartij.</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Instellingen nemen alle kredietderivaten in aanmerking, niet alleen die welke aan de handelsportefeuille zijn toegewezen.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w:t>
            </w:r>
            <w:r w:rsidRPr="00CF219D">
              <w:rPr>
                <w:rFonts w:ascii="Times New Roman" w:hAnsi="Times New Roman"/>
              </w:rPr>
              <w:t>030</w:t>
            </w:r>
            <w:r>
              <w:rPr>
                <w:rFonts w:ascii="Times New Roman" w:hAnsi="Times New Roman"/>
              </w:rPr>
              <w:t>;</w:t>
            </w:r>
            <w:r w:rsidRPr="00CF219D">
              <w:rPr>
                <w:rFonts w:ascii="Times New Roman" w:hAnsi="Times New Roman"/>
              </w:rPr>
              <w:t>070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Kredietderivaten (verkochte protectie) met vroegtijdige afwikkeling – Notioneel bedrag</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Deze cel vermeldt het notionele bedrag aan kredietderivaten als de instelling op basis van een clausule inzake vroegtijdige afwikkeling kredietprotectie aan een tegenpartij verkoopt.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rPr>
            </w:pPr>
            <w:r>
              <w:rPr>
                <w:rFonts w:ascii="Times New Roman" w:hAnsi="Times New Roman"/>
              </w:rPr>
              <w:t>Een clausule inzake vroegtijdige afwikkeling is een clausule die bepaalt dat de niet in gebreke blijvende partij het recht heeft alle in het kader van de overeenkomst verrichte transacties zo spoedig mogelijk te beëindigen en af te wikkelen bij wanbetaling, ook in geval van insolventie of faillissement van de tegenpartij.</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Instellingen nemen alle kredietderivaten in aanmerking, niet alleen die welke aan de handelsportefeuille zijn toegewezen.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w:t>
            </w:r>
            <w:r w:rsidRPr="00CF219D">
              <w:rPr>
                <w:rFonts w:ascii="Times New Roman" w:hAnsi="Times New Roman"/>
              </w:rPr>
              <w:t>040</w:t>
            </w:r>
            <w:r>
              <w:rPr>
                <w:rFonts w:ascii="Times New Roman" w:hAnsi="Times New Roman"/>
              </w:rPr>
              <w:t>;</w:t>
            </w:r>
            <w:r w:rsidRPr="00CF219D">
              <w:rPr>
                <w:rFonts w:ascii="Times New Roman" w:hAnsi="Times New Roman"/>
              </w:rPr>
              <w:t>050</w:t>
            </w:r>
            <w:r>
              <w:rPr>
                <w:rFonts w:ascii="Times New Roman" w:hAnsi="Times New Roman"/>
              </w:rPr>
              <w:t>}</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Kredietderivaten (verkochte protectie) zonder vroegtijdige afwikkeling — Opslagfactor volgens de op de waardering tegen marktwaarde gebaseerde methode (in de veronderstelling dat er geen sprake is van verrekening of andere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299</w:t>
            </w:r>
            <w:r>
              <w:rPr>
                <w:rFonts w:ascii="Times New Roman" w:hAnsi="Times New Roman"/>
              </w:rPr>
              <w:t xml:space="preserve">, lid </w:t>
            </w:r>
            <w:r w:rsidRPr="00CF219D">
              <w:rPr>
                <w:rFonts w:ascii="Times New Roman" w:hAnsi="Times New Roman"/>
              </w:rPr>
              <w:t>2</w:t>
            </w:r>
            <w:r>
              <w:rPr>
                <w:rFonts w:ascii="Times New Roman" w:hAnsi="Times New Roman"/>
              </w:rPr>
              <w:t>, van de VKV</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tabs>
                <w:tab w:val="center" w:pos="4153"/>
                <w:tab w:val="right" w:pos="8306"/>
              </w:tabs>
              <w:spacing w:line="240" w:lineRule="auto"/>
              <w:rPr>
                <w:rFonts w:ascii="Times New Roman" w:hAnsi="Times New Roman"/>
                <w:bCs/>
              </w:rPr>
            </w:pPr>
            <w:r>
              <w:rPr>
                <w:rFonts w:ascii="Times New Roman" w:hAnsi="Times New Roman"/>
              </w:rPr>
              <w:t xml:space="preserve">Deze cel vermeldt de potentiële toekomstige blootstelling van kredietderivaten als de instelling </w:t>
            </w:r>
            <w:r>
              <w:rPr>
                <w:rFonts w:ascii="Times New Roman" w:hAnsi="Times New Roman"/>
                <w:b/>
                <w:u w:val="single"/>
              </w:rPr>
              <w:t>niet</w:t>
            </w:r>
            <w:r>
              <w:rPr>
                <w:rFonts w:ascii="Times New Roman" w:hAnsi="Times New Roman"/>
              </w:rPr>
              <w:t xml:space="preserve"> op basis van een clausule inzake vroegtijdige afwikkeling kredietprotectie aan een tegenpartij verkoopt, in de veronderstelling dat er geen sprake is van verrekening of andere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rPr>
            </w:pPr>
            <w:r>
              <w:rPr>
                <w:rFonts w:ascii="Times New Roman" w:hAnsi="Times New Roman"/>
              </w:rPr>
              <w:t>Een clausule inzake vroegtijdige afwikkeling is een clausule die bepaalt dat de niet in gebreke blijvende partij het recht heeft alle in het kader van de overeenkomst verrichte transacties zo spoedig mogelijk te beëindigen en af te wikkelen bij wanbetaling, ook in geval van insolventie of faillissement van de tegenpartij.</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rPr>
              <w:t>Instellingen nemen alle kredietderivaten in aanmerking, niet alleen die welke aan de handelsportefeuille zijn toegewezen.</w:t>
            </w:r>
            <w:r>
              <w:rPr>
                <w:rFonts w:ascii="Times New Roman" w:hAnsi="Times New Roman"/>
                <w:b/>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w:t>
            </w:r>
            <w:r w:rsidRPr="00CF219D">
              <w:rPr>
                <w:rFonts w:ascii="Times New Roman" w:hAnsi="Times New Roman"/>
              </w:rPr>
              <w:t>040</w:t>
            </w:r>
            <w:r>
              <w:rPr>
                <w:rFonts w:ascii="Times New Roman" w:hAnsi="Times New Roman"/>
              </w:rPr>
              <w:t>;</w:t>
            </w:r>
            <w:r w:rsidRPr="00CF219D">
              <w:rPr>
                <w:rFonts w:ascii="Times New Roman" w:hAnsi="Times New Roman"/>
              </w:rPr>
              <w:t>070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Kredietderivaten (verkochte protectie) zonder vroegtijdige afwikkeling — Notioneel bedrag</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rPr>
            </w:pPr>
            <w:r>
              <w:rPr>
                <w:rFonts w:ascii="Times New Roman" w:hAnsi="Times New Roman"/>
              </w:rPr>
              <w:t xml:space="preserve">Deze cel vermeldt het notionele bedrag aan kredietderivaten als de instelling </w:t>
            </w:r>
            <w:r>
              <w:rPr>
                <w:rFonts w:ascii="Times New Roman" w:hAnsi="Times New Roman"/>
                <w:b/>
                <w:u w:val="single"/>
              </w:rPr>
              <w:t>niet</w:t>
            </w:r>
            <w:r>
              <w:rPr>
                <w:rFonts w:ascii="Times New Roman" w:hAnsi="Times New Roman"/>
              </w:rPr>
              <w:t xml:space="preserve"> op basis van een clausule inzake vroegtijdige afwikkeling kredietprotectie aan een tegenpartij verkoopt.</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rPr>
            </w:pPr>
            <w:r>
              <w:rPr>
                <w:rFonts w:ascii="Times New Roman" w:hAnsi="Times New Roman"/>
              </w:rPr>
              <w:t>Een clausule inzake vroegtijdige afwikkeling is een clausule die bepaalt dat de niet in gebreke blijvende partij het recht heeft alle in het kader van de overeenkomst verrichte transacties zo spoedig mogelijk te beëindigen en af te wikkelen bij wanbetaling, ook in geval van insolventie of faillissement van de tegenpartij.</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De instellingen nemen alle kredietderivaten in aanmerking, niet alleen die welke aan de handelsportefeuille zijn toegewezen.</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w:t>
            </w:r>
            <w:r w:rsidRPr="00CF219D">
              <w:rPr>
                <w:rFonts w:ascii="Times New Roman" w:hAnsi="Times New Roman"/>
              </w:rPr>
              <w:t>050</w:t>
            </w:r>
            <w:r>
              <w:rPr>
                <w:rFonts w:ascii="Times New Roman" w:hAnsi="Times New Roman"/>
              </w:rPr>
              <w:t>;</w:t>
            </w:r>
            <w:r w:rsidRPr="00CF219D">
              <w:rPr>
                <w:rFonts w:ascii="Times New Roman" w:hAnsi="Times New Roman"/>
              </w:rPr>
              <w:t>010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Kredietderivaten (gekochte protectie) — Boekhoudkundige balanswaarde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4</w:t>
            </w:r>
            <w:r>
              <w:rPr>
                <w:rFonts w:ascii="Times New Roman" w:hAnsi="Times New Roman"/>
              </w:rPr>
              <w:t xml:space="preserve">, lid </w:t>
            </w:r>
            <w:r w:rsidRPr="00CF219D">
              <w:rPr>
                <w:rFonts w:ascii="Times New Roman" w:hAnsi="Times New Roman"/>
              </w:rPr>
              <w:t>1</w:t>
            </w:r>
            <w:r>
              <w:rPr>
                <w:rFonts w:ascii="Times New Roman" w:hAnsi="Times New Roman"/>
              </w:rPr>
              <w:t xml:space="preserve">, punt </w:t>
            </w:r>
            <w:r w:rsidRPr="00CF219D">
              <w:rPr>
                <w:rFonts w:ascii="Times New Roman" w:hAnsi="Times New Roman"/>
              </w:rPr>
              <w:t>77</w:t>
            </w:r>
            <w:r>
              <w:rPr>
                <w:rFonts w:ascii="Times New Roman" w:hAnsi="Times New Roman"/>
              </w:rPr>
              <w:t>, van de VKV</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De boekhoudkundige balanswaarde volgens het toepasselijke kader voor financiële verslaggeving van kredietderivaten als de instelling kredietprotectie van een tegenpartij koopt en het contract op de balans wordt geactiveerd.</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Instellingen nemen alle kredietderivaten in aanmerking, niet alleen die welke aan de handelsportefeuille zijn toegewezen.</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w:t>
            </w:r>
            <w:r w:rsidRPr="00CF219D">
              <w:rPr>
                <w:rFonts w:ascii="Times New Roman" w:hAnsi="Times New Roman"/>
              </w:rPr>
              <w:t>050</w:t>
            </w:r>
            <w:r>
              <w:rPr>
                <w:rFonts w:ascii="Times New Roman" w:hAnsi="Times New Roman"/>
              </w:rPr>
              <w:t>;</w:t>
            </w:r>
            <w:r w:rsidRPr="00CF219D">
              <w:rPr>
                <w:rFonts w:ascii="Times New Roman" w:hAnsi="Times New Roman"/>
              </w:rPr>
              <w:t>020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Kredietderivaten (gekochte protectie) — Boekwaarde in de veronderstelling dat er geen sprake is van verrekening of andere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4</w:t>
            </w:r>
            <w:r>
              <w:rPr>
                <w:rFonts w:ascii="Times New Roman" w:hAnsi="Times New Roman"/>
              </w:rPr>
              <w:t xml:space="preserve">, lid </w:t>
            </w:r>
            <w:r w:rsidRPr="00CF219D">
              <w:rPr>
                <w:rFonts w:ascii="Times New Roman" w:hAnsi="Times New Roman"/>
              </w:rPr>
              <w:t>1</w:t>
            </w:r>
            <w:r>
              <w:rPr>
                <w:rFonts w:ascii="Times New Roman" w:hAnsi="Times New Roman"/>
              </w:rPr>
              <w:t xml:space="preserve">, punt </w:t>
            </w:r>
            <w:r w:rsidRPr="00CF219D">
              <w:rPr>
                <w:rFonts w:ascii="Times New Roman" w:hAnsi="Times New Roman"/>
              </w:rPr>
              <w:t>77</w:t>
            </w:r>
            <w:r>
              <w:rPr>
                <w:rFonts w:ascii="Times New Roman" w:hAnsi="Times New Roman"/>
              </w:rPr>
              <w:t>, van de VKV</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De boekhoudkundige balanswaarde volgens het toepasselijke kader voor financiële verslaggeving van kredietderivaten als de instelling kredietprotectie van een tegenpartij koopt en het contract op de balans wordt geactiveerd, in de veronderstelling dat er geen sprake is van prudentiële of boekhoudkundige verrekenings- of andere CRM-effecten (dit betekent dat alle effecten van boekhoudkundige verrekening of CRM die de boekwaarde hebben beïnvloed, worden teruggedraaid).</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Instellingen nemen alle kredietderivaten in aanmerking, niet alleen die welke aan de handelsportefeuille zijn toegewezen.</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w:t>
            </w:r>
            <w:r w:rsidRPr="00CF219D">
              <w:rPr>
                <w:rFonts w:ascii="Times New Roman" w:hAnsi="Times New Roman"/>
              </w:rPr>
              <w:t>050</w:t>
            </w:r>
            <w:r>
              <w:rPr>
                <w:rFonts w:ascii="Times New Roman" w:hAnsi="Times New Roman"/>
              </w:rPr>
              <w:t>;</w:t>
            </w:r>
            <w:r w:rsidRPr="00CF219D">
              <w:rPr>
                <w:rFonts w:ascii="Times New Roman" w:hAnsi="Times New Roman"/>
              </w:rPr>
              <w:t>050</w:t>
            </w:r>
            <w:r>
              <w:rPr>
                <w:rFonts w:ascii="Times New Roman" w:hAnsi="Times New Roman"/>
              </w:rPr>
              <w:t>}</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Kredietderivaten (gekochte protectie) — Opslagfactor volgens de op de waardering tegen marktwaarde gebaseerde methode (in de veronderstelling dat er geen sprake is van verrekening of andere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299</w:t>
            </w:r>
            <w:r>
              <w:rPr>
                <w:rFonts w:ascii="Times New Roman" w:hAnsi="Times New Roman"/>
              </w:rPr>
              <w:t xml:space="preserve">, lid </w:t>
            </w:r>
            <w:r w:rsidRPr="00CF219D">
              <w:rPr>
                <w:rFonts w:ascii="Times New Roman" w:hAnsi="Times New Roman"/>
              </w:rPr>
              <w:t>2</w:t>
            </w:r>
            <w:r>
              <w:rPr>
                <w:rFonts w:ascii="Times New Roman" w:hAnsi="Times New Roman"/>
              </w:rPr>
              <w:t>, van de VKV</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Deze cel vermeldt de potentiële toekomstige blootstelling van kredietderivaten als de instelling kredietprotectie van een tegenpartij koopt, in de veronderstelling dat er geen sprake is van verrekening of andere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De instellingen nemen alle kredietderivaten in aanmerking, niet alleen die welke aan de handelsportefeuille zijn toegewezen.</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w:t>
            </w:r>
            <w:r w:rsidRPr="00CF219D">
              <w:rPr>
                <w:rFonts w:ascii="Times New Roman" w:hAnsi="Times New Roman"/>
              </w:rPr>
              <w:t>050</w:t>
            </w:r>
            <w:r>
              <w:rPr>
                <w:rFonts w:ascii="Times New Roman" w:hAnsi="Times New Roman"/>
              </w:rPr>
              <w:t>;</w:t>
            </w:r>
            <w:r w:rsidRPr="00CF219D">
              <w:rPr>
                <w:rFonts w:ascii="Times New Roman" w:hAnsi="Times New Roman"/>
              </w:rPr>
              <w:t>070</w:t>
            </w:r>
            <w:r>
              <w:rPr>
                <w:rFonts w:ascii="Times New Roman" w:hAnsi="Times New Roman"/>
              </w:rPr>
              <w:t>}</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Kredietderivaten (gekochte protectie) — Notioneel bedrag</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Deze cel vermeldt het notionele bedrag aan kredietderivaten als de instelling kredietprotectie van een tegenpartij koopt.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lastRenderedPageBreak/>
              <w:t>De instellingen nemen alle kredietderivaten in aanmerking, niet alleen die welke aan de handelsportefeuille zijn toegewezen.</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lastRenderedPageBreak/>
              <w:t>{</w:t>
            </w:r>
            <w:r w:rsidRPr="00CF219D">
              <w:rPr>
                <w:rFonts w:ascii="Times New Roman" w:hAnsi="Times New Roman"/>
              </w:rPr>
              <w:t>050</w:t>
            </w:r>
            <w:r>
              <w:rPr>
                <w:rFonts w:ascii="Times New Roman" w:hAnsi="Times New Roman"/>
              </w:rPr>
              <w:t>;</w:t>
            </w:r>
            <w:r w:rsidRPr="00CF219D">
              <w:rPr>
                <w:rFonts w:ascii="Times New Roman" w:hAnsi="Times New Roman"/>
              </w:rPr>
              <w:t>075</w:t>
            </w:r>
            <w:r>
              <w:rPr>
                <w:rFonts w:ascii="Times New Roman" w:hAnsi="Times New Roman"/>
              </w:rPr>
              <w:t>}</w:t>
            </w:r>
          </w:p>
        </w:tc>
        <w:tc>
          <w:tcPr>
            <w:tcW w:w="7620" w:type="dxa"/>
          </w:tcPr>
          <w:p w:rsidR="00410E47" w:rsidRDefault="00410E47" w:rsidP="007E2A41">
            <w:pPr>
              <w:pStyle w:val="BodyText1"/>
              <w:spacing w:line="240" w:lineRule="auto"/>
              <w:rPr>
                <w:rFonts w:ascii="Times New Roman" w:hAnsi="Times New Roman"/>
                <w:b/>
                <w:bCs/>
              </w:rPr>
            </w:pPr>
            <w:r>
              <w:rPr>
                <w:rFonts w:ascii="Times New Roman" w:hAnsi="Times New Roman"/>
                <w:b/>
              </w:rPr>
              <w:t>Kredietderivaten (gekochte protectie) — Verminderd notioneel bedrag</w:t>
            </w:r>
          </w:p>
          <w:p w:rsidR="00410E47" w:rsidRDefault="00410E47" w:rsidP="007E2A41">
            <w:pPr>
              <w:pStyle w:val="BodyText1"/>
              <w:spacing w:line="240" w:lineRule="auto"/>
              <w:rPr>
                <w:rFonts w:ascii="Times New Roman" w:hAnsi="Times New Roman"/>
                <w:b/>
                <w:bCs/>
              </w:rPr>
            </w:pPr>
          </w:p>
          <w:p w:rsidR="00410E47" w:rsidRPr="00FE002E" w:rsidRDefault="00410E47" w:rsidP="00410E47">
            <w:pPr>
              <w:pStyle w:val="BodyText1"/>
              <w:spacing w:line="240" w:lineRule="auto"/>
              <w:rPr>
                <w:rFonts w:ascii="Times New Roman" w:hAnsi="Times New Roman"/>
                <w:bCs/>
              </w:rPr>
            </w:pPr>
            <w:r>
              <w:rPr>
                <w:rFonts w:ascii="Times New Roman" w:hAnsi="Times New Roman"/>
              </w:rPr>
              <w:t>Deze cel bevat het notionele bedrag aan kredietderivaten (gekochte protectie) als vermeld in {</w:t>
            </w:r>
            <w:r w:rsidRPr="00CF219D">
              <w:rPr>
                <w:rFonts w:ascii="Times New Roman" w:hAnsi="Times New Roman"/>
              </w:rPr>
              <w:t>050</w:t>
            </w:r>
            <w:r>
              <w:rPr>
                <w:rFonts w:ascii="Times New Roman" w:hAnsi="Times New Roman"/>
              </w:rPr>
              <w:t>;</w:t>
            </w:r>
            <w:r w:rsidRPr="00CF219D">
              <w:rPr>
                <w:rFonts w:ascii="Times New Roman" w:hAnsi="Times New Roman"/>
              </w:rPr>
              <w:t>050</w:t>
            </w:r>
            <w:r>
              <w:rPr>
                <w:rFonts w:ascii="Times New Roman" w:hAnsi="Times New Roman"/>
              </w:rPr>
              <w:t xml:space="preserve">}, na aftrek van eventuele positieve veranderingen in de reële waarde die met betrekking tot het gekochte kredietderivaat in het tier </w:t>
            </w:r>
            <w:r w:rsidRPr="00CF219D">
              <w:rPr>
                <w:rFonts w:ascii="Times New Roman" w:hAnsi="Times New Roman"/>
              </w:rPr>
              <w:t>1</w:t>
            </w:r>
            <w:r>
              <w:rPr>
                <w:rFonts w:ascii="Times New Roman" w:hAnsi="Times New Roman"/>
              </w:rPr>
              <w:t>-kapitaal zijn opgenomen.</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w:t>
            </w:r>
            <w:r w:rsidRPr="00CF219D">
              <w:rPr>
                <w:rFonts w:ascii="Times New Roman" w:hAnsi="Times New Roman"/>
              </w:rPr>
              <w:t>050</w:t>
            </w:r>
            <w:r>
              <w:rPr>
                <w:rFonts w:ascii="Times New Roman" w:hAnsi="Times New Roman"/>
              </w:rPr>
              <w:t>;</w:t>
            </w:r>
            <w:r w:rsidRPr="00CF219D">
              <w:rPr>
                <w:rFonts w:ascii="Times New Roman" w:hAnsi="Times New Roman"/>
              </w:rPr>
              <w:t>085</w:t>
            </w:r>
            <w:r>
              <w:rPr>
                <w:rFonts w:ascii="Times New Roman" w:hAnsi="Times New Roman"/>
              </w:rPr>
              <w:t>}</w:t>
            </w:r>
          </w:p>
          <w:p w:rsidR="00410E47" w:rsidRPr="00FE002E" w:rsidRDefault="00410E47" w:rsidP="00F4754B">
            <w:pPr>
              <w:pStyle w:val="BodyText1"/>
              <w:rPr>
                <w:rFonts w:ascii="Times New Roman" w:hAnsi="Times New Roman"/>
                <w:bCs/>
              </w:rPr>
            </w:pPr>
          </w:p>
        </w:tc>
        <w:tc>
          <w:tcPr>
            <w:tcW w:w="7620" w:type="dxa"/>
          </w:tcPr>
          <w:p w:rsidR="00410E47" w:rsidRPr="00FE002E" w:rsidRDefault="00ED7412" w:rsidP="007E2A41">
            <w:pPr>
              <w:pStyle w:val="BodyText1"/>
              <w:spacing w:line="240" w:lineRule="auto"/>
              <w:rPr>
                <w:rFonts w:ascii="Times New Roman" w:hAnsi="Times New Roman"/>
                <w:b/>
                <w:bCs/>
              </w:rPr>
            </w:pPr>
            <w:r>
              <w:rPr>
                <w:rFonts w:ascii="Times New Roman" w:hAnsi="Times New Roman"/>
                <w:b/>
              </w:rPr>
              <w:t>Kredietderivaten (gekochte protectie) — Verminderd notioneel bedrag (dezelfde referentienaam)</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Het notionele bedrag aan kredietderivaten als de instelling kredietprotectie koopt op dezelfde onderliggende referentienaam als de door de rapporterende instelling geboekte kredietderivaten.</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Voor de rapportage van deze celwaarde worden onderliggende referentienamen als gelijk beschouwd als zij naar dezelfde rechtspersoon en rangorde verwijzen.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Voor een pool referentie-entiteiten gekochte kredietprotectie wordt als gelijk beschouwd als die protectie economisch gezien gelijkwaardig is aan voor elk van die entiteiten afzonderlijk gekochte protectie.</w:t>
            </w:r>
          </w:p>
          <w:p w:rsidR="00410E47" w:rsidRPr="00FE002E" w:rsidRDefault="00410E47"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 xml:space="preserve">Als een instelling voor een pool referentienamen kredietprotectie koopt, wordt die kredietprotectie alleen als gelijk beschouwd als de gekochte kredietprotectie alle segmenten van de pool dekt waarvoor kredietprotectie is verkocht. Met andere woorden, saldering kan alleen worden verantwoord als de pool referentie-entiteiten en de rangorde in beide transacties identiek zijn. </w:t>
            </w:r>
          </w:p>
          <w:p w:rsidR="006B3B83" w:rsidRPr="00FE002E" w:rsidRDefault="006B3B83"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Voor elke referentienaam mogen de in deze cel in aanmerking genomen notionele bedragen aan gekochte kredietprotectie niet groter zijn dan de in {</w:t>
            </w:r>
            <w:r w:rsidRPr="00CF219D">
              <w:rPr>
                <w:rFonts w:ascii="Times New Roman" w:hAnsi="Times New Roman"/>
              </w:rPr>
              <w:t>020</w:t>
            </w:r>
            <w:r>
              <w:rPr>
                <w:rFonts w:ascii="Times New Roman" w:hAnsi="Times New Roman"/>
              </w:rPr>
              <w:t>;</w:t>
            </w:r>
            <w:r w:rsidRPr="00CF219D">
              <w:rPr>
                <w:rFonts w:ascii="Times New Roman" w:hAnsi="Times New Roman"/>
              </w:rPr>
              <w:t>075</w:t>
            </w:r>
            <w:r>
              <w:rPr>
                <w:rFonts w:ascii="Times New Roman" w:hAnsi="Times New Roman"/>
              </w:rPr>
              <w:t>} en {</w:t>
            </w:r>
            <w:r w:rsidRPr="00CF219D">
              <w:rPr>
                <w:rFonts w:ascii="Times New Roman" w:hAnsi="Times New Roman"/>
              </w:rPr>
              <w:t>050</w:t>
            </w:r>
            <w:r>
              <w:rPr>
                <w:rFonts w:ascii="Times New Roman" w:hAnsi="Times New Roman"/>
              </w:rPr>
              <w:t>;</w:t>
            </w:r>
            <w:r w:rsidRPr="00CF219D">
              <w:rPr>
                <w:rFonts w:ascii="Times New Roman" w:hAnsi="Times New Roman"/>
              </w:rPr>
              <w:t>075</w:t>
            </w:r>
            <w:r>
              <w:rPr>
                <w:rFonts w:ascii="Times New Roman" w:hAnsi="Times New Roman"/>
              </w:rPr>
              <w:t>} gerapporteerde bedragen.</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w:t>
            </w:r>
            <w:r w:rsidRPr="00CF219D">
              <w:rPr>
                <w:rFonts w:ascii="Times New Roman" w:hAnsi="Times New Roman"/>
              </w:rPr>
              <w:t>060</w:t>
            </w:r>
            <w:r>
              <w:rPr>
                <w:rFonts w:ascii="Times New Roman" w:hAnsi="Times New Roman"/>
              </w:rPr>
              <w:t>;</w:t>
            </w:r>
            <w:r w:rsidRPr="00CF219D">
              <w:rPr>
                <w:rFonts w:ascii="Times New Roman" w:hAnsi="Times New Roman"/>
              </w:rPr>
              <w:t>010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Financiële derivaten — Boekhoudkundige balanswaarde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4</w:t>
            </w:r>
            <w:r>
              <w:rPr>
                <w:rFonts w:ascii="Times New Roman" w:hAnsi="Times New Roman"/>
              </w:rPr>
              <w:t xml:space="preserve">, lid </w:t>
            </w:r>
            <w:r w:rsidRPr="00CF219D">
              <w:rPr>
                <w:rFonts w:ascii="Times New Roman" w:hAnsi="Times New Roman"/>
              </w:rPr>
              <w:t>1</w:t>
            </w:r>
            <w:r>
              <w:rPr>
                <w:rFonts w:ascii="Times New Roman" w:hAnsi="Times New Roman"/>
              </w:rPr>
              <w:t xml:space="preserve">, punt </w:t>
            </w:r>
            <w:r w:rsidRPr="00CF219D">
              <w:rPr>
                <w:rFonts w:ascii="Times New Roman" w:hAnsi="Times New Roman"/>
              </w:rPr>
              <w:t>77</w:t>
            </w:r>
            <w:r>
              <w:rPr>
                <w:rFonts w:ascii="Times New Roman" w:hAnsi="Times New Roman"/>
              </w:rPr>
              <w:t>, van de VKV</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De boekhoudkundige balanswaarde volgens het toepasselijke kader voor financiële verslaggeving van de in bijlage II bij de VKV genoemde contracten, waarbij de contracten op de balans worden geactiveerd.</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w:t>
            </w:r>
            <w:r w:rsidRPr="00CF219D">
              <w:rPr>
                <w:rFonts w:ascii="Times New Roman" w:hAnsi="Times New Roman"/>
              </w:rPr>
              <w:t>060</w:t>
            </w:r>
            <w:r>
              <w:rPr>
                <w:rFonts w:ascii="Times New Roman" w:hAnsi="Times New Roman"/>
              </w:rPr>
              <w:t>;</w:t>
            </w:r>
            <w:r w:rsidRPr="00CF219D">
              <w:rPr>
                <w:rFonts w:ascii="Times New Roman" w:hAnsi="Times New Roman"/>
              </w:rPr>
              <w:t>020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Financiële derivaten — Boekwaarde in de veronderstelling dat er geen sprake is van verrekening of andere CRM</w:t>
            </w:r>
          </w:p>
          <w:p w:rsidR="00410E47" w:rsidRPr="00FE002E" w:rsidRDefault="00410E47" w:rsidP="006162F0">
            <w:pPr>
              <w:pStyle w:val="BodyText1"/>
              <w:spacing w:line="240" w:lineRule="auto"/>
              <w:ind w:firstLine="720"/>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4</w:t>
            </w:r>
            <w:r>
              <w:rPr>
                <w:rFonts w:ascii="Times New Roman" w:hAnsi="Times New Roman"/>
              </w:rPr>
              <w:t xml:space="preserve">, lid </w:t>
            </w:r>
            <w:r w:rsidRPr="00CF219D">
              <w:rPr>
                <w:rFonts w:ascii="Times New Roman" w:hAnsi="Times New Roman"/>
              </w:rPr>
              <w:t>1</w:t>
            </w:r>
            <w:r>
              <w:rPr>
                <w:rFonts w:ascii="Times New Roman" w:hAnsi="Times New Roman"/>
              </w:rPr>
              <w:t xml:space="preserve">, punt </w:t>
            </w:r>
            <w:r w:rsidRPr="00CF219D">
              <w:rPr>
                <w:rFonts w:ascii="Times New Roman" w:hAnsi="Times New Roman"/>
              </w:rPr>
              <w:t>77</w:t>
            </w:r>
            <w:r>
              <w:rPr>
                <w:rFonts w:ascii="Times New Roman" w:hAnsi="Times New Roman"/>
              </w:rPr>
              <w:t>, van de VKV</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De boekhoudkundige balanswaarde volgens het toepasselijke kader voor financiële verslaggeving van de in bijlage II bij de VKV genoemde contracten, waarbij de contracten op de balans worden geactiveerd, in de veronderstelling dat er geen sprake is van prudentiële of boekhoudkundige verrekenings- of andere CRM-effecten (dit betekent dat alle effecten van boekhoudkundige verrekening of CRM die de boekwaarde hebben beïnvloed, worden teruggedraaid).</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w:t>
            </w:r>
            <w:r w:rsidRPr="00CF219D">
              <w:rPr>
                <w:rFonts w:ascii="Times New Roman" w:hAnsi="Times New Roman"/>
              </w:rPr>
              <w:t>060</w:t>
            </w:r>
            <w:r>
              <w:rPr>
                <w:rFonts w:ascii="Times New Roman" w:hAnsi="Times New Roman"/>
              </w:rPr>
              <w:t>;</w:t>
            </w:r>
            <w:r w:rsidRPr="00CF219D">
              <w:rPr>
                <w:rFonts w:ascii="Times New Roman" w:hAnsi="Times New Roman"/>
              </w:rPr>
              <w:t>050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Financiële derivaten — Opslagfactor volgens de op de waardering tegen marktwaarde gebaseerde methode (in de veronderstelling dat er geen sprake is van verrekening of andere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274</w:t>
            </w:r>
            <w:r>
              <w:rPr>
                <w:rFonts w:ascii="Times New Roman" w:hAnsi="Times New Roman"/>
              </w:rPr>
              <w:t xml:space="preserve"> van de VKV</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lastRenderedPageBreak/>
              <w:t>Deze cel vermeldt de potentiële toekomstige blootstelling aan reguleringsrisico's van de in bijlage II bij de VKV genoemde contracten, in de veronderstelling dat er geen sprake is van verrekening of andere CRM.</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lastRenderedPageBreak/>
              <w:t>{</w:t>
            </w:r>
            <w:r w:rsidRPr="00CF219D">
              <w:rPr>
                <w:rFonts w:ascii="Times New Roman" w:hAnsi="Times New Roman"/>
              </w:rPr>
              <w:t>060</w:t>
            </w:r>
            <w:r>
              <w:rPr>
                <w:rFonts w:ascii="Times New Roman" w:hAnsi="Times New Roman"/>
              </w:rPr>
              <w:t>;</w:t>
            </w:r>
            <w:r w:rsidRPr="00CF219D">
              <w:rPr>
                <w:rFonts w:ascii="Times New Roman" w:hAnsi="Times New Roman"/>
              </w:rPr>
              <w:t>070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Financiële derivaten – Notioneel bedrag</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Deze cel vermeldt het notionele bedrag aan in bijlage II bij de VKV genoemde contracten.</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w:t>
            </w:r>
            <w:r w:rsidRPr="00CF219D">
              <w:rPr>
                <w:rFonts w:ascii="Times New Roman" w:hAnsi="Times New Roman"/>
              </w:rPr>
              <w:t>070</w:t>
            </w:r>
            <w:r>
              <w:rPr>
                <w:rFonts w:ascii="Times New Roman" w:hAnsi="Times New Roman"/>
              </w:rPr>
              <w:t>;</w:t>
            </w:r>
            <w:r w:rsidRPr="00CF219D">
              <w:rPr>
                <w:rFonts w:ascii="Times New Roman" w:hAnsi="Times New Roman"/>
              </w:rPr>
              <w:t>010</w:t>
            </w:r>
            <w:r>
              <w:rPr>
                <w:rFonts w:ascii="Times New Roman" w:hAnsi="Times New Roman"/>
              </w:rPr>
              <w:t>}</w:t>
            </w:r>
          </w:p>
        </w:tc>
        <w:tc>
          <w:tcPr>
            <w:tcW w:w="7620" w:type="dxa"/>
          </w:tcPr>
          <w:p w:rsidR="00410E47" w:rsidRPr="00FE002E" w:rsidRDefault="00A36A43" w:rsidP="007E2A41">
            <w:pPr>
              <w:pStyle w:val="BodyText1"/>
              <w:spacing w:line="240" w:lineRule="auto"/>
              <w:rPr>
                <w:rFonts w:ascii="Times New Roman" w:hAnsi="Times New Roman"/>
                <w:b/>
                <w:bCs/>
              </w:rPr>
            </w:pPr>
            <w:r>
              <w:rPr>
                <w:rFonts w:ascii="Times New Roman" w:hAnsi="Times New Roman"/>
                <w:b/>
              </w:rPr>
              <w:t>SFT's die onder een kaderverrekeningsovereenkomst vallen — Boekhoudkundige balanswaarde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4</w:t>
            </w:r>
            <w:r>
              <w:rPr>
                <w:rFonts w:ascii="Times New Roman" w:hAnsi="Times New Roman"/>
              </w:rPr>
              <w:t xml:space="preserve">, lid </w:t>
            </w:r>
            <w:r w:rsidRPr="00CF219D">
              <w:rPr>
                <w:rFonts w:ascii="Times New Roman" w:hAnsi="Times New Roman"/>
              </w:rPr>
              <w:t>1</w:t>
            </w:r>
            <w:r>
              <w:rPr>
                <w:rFonts w:ascii="Times New Roman" w:hAnsi="Times New Roman"/>
              </w:rPr>
              <w:t xml:space="preserve">, punt </w:t>
            </w:r>
            <w:r w:rsidRPr="00CF219D">
              <w:rPr>
                <w:rFonts w:ascii="Times New Roman" w:hAnsi="Times New Roman"/>
              </w:rPr>
              <w:t>77</w:t>
            </w:r>
            <w:r>
              <w:rPr>
                <w:rFonts w:ascii="Times New Roman" w:hAnsi="Times New Roman"/>
              </w:rPr>
              <w:t xml:space="preserve">, en artikel </w:t>
            </w:r>
            <w:r w:rsidRPr="00CF219D">
              <w:rPr>
                <w:rFonts w:ascii="Times New Roman" w:hAnsi="Times New Roman"/>
              </w:rPr>
              <w:t>206</w:t>
            </w:r>
            <w:r>
              <w:rPr>
                <w:rFonts w:ascii="Times New Roman" w:hAnsi="Times New Roman"/>
              </w:rPr>
              <w:t xml:space="preserve"> van de VKV</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De boekhoudkundige balanswaarde van SFT's volgens het toepasselijke kader voor financiële verslaggeving die onder een uit hoofde van artikel </w:t>
            </w:r>
            <w:r w:rsidRPr="00CF219D">
              <w:rPr>
                <w:rFonts w:ascii="Times New Roman" w:hAnsi="Times New Roman"/>
              </w:rPr>
              <w:t>206</w:t>
            </w:r>
            <w:r>
              <w:rPr>
                <w:rFonts w:ascii="Times New Roman" w:hAnsi="Times New Roman"/>
              </w:rPr>
              <w:t xml:space="preserve"> van de VKV toelaatbare kaderverrekeningsovereenkomst vallen.</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rPr>
              <w:t>Instellingen nemen in deze cel geen contanten op die zijn ontvangen van, of effecten die via voornoemde transacties zijn verstrekt aan een tegenpartij en die op de balans vermeld staan (er wordt met andere woorden niet voldaan aan de boekhoudkundige criteria voor verwijdering). In plaats daarvan nemen instellingen deze gegevens op in {</w:t>
            </w:r>
            <w:r w:rsidRPr="00CF219D">
              <w:rPr>
                <w:rFonts w:ascii="Times New Roman" w:hAnsi="Times New Roman"/>
              </w:rPr>
              <w:t>090</w:t>
            </w:r>
            <w:r>
              <w:rPr>
                <w:rFonts w:ascii="Times New Roman" w:hAnsi="Times New Roman"/>
              </w:rPr>
              <w:t>;</w:t>
            </w:r>
            <w:r w:rsidRPr="00CF219D">
              <w:rPr>
                <w:rFonts w:ascii="Times New Roman" w:hAnsi="Times New Roman"/>
              </w:rPr>
              <w:t>010</w:t>
            </w:r>
            <w:r>
              <w:rPr>
                <w:rFonts w:ascii="Times New Roman" w:hAnsi="Times New Roman"/>
              </w:rPr>
              <w:t>}.</w:t>
            </w:r>
            <w:r>
              <w:rPr>
                <w:rFonts w:ascii="Times New Roman" w:hAnsi="Times New Roman"/>
                <w:b/>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w:t>
            </w:r>
            <w:r w:rsidRPr="00CF219D">
              <w:rPr>
                <w:rFonts w:ascii="Times New Roman" w:hAnsi="Times New Roman"/>
              </w:rPr>
              <w:t>070</w:t>
            </w:r>
            <w:r>
              <w:rPr>
                <w:rFonts w:ascii="Times New Roman" w:hAnsi="Times New Roman"/>
              </w:rPr>
              <w:t>;</w:t>
            </w:r>
            <w:r w:rsidRPr="00CF219D">
              <w:rPr>
                <w:rFonts w:ascii="Times New Roman" w:hAnsi="Times New Roman"/>
              </w:rPr>
              <w:t>020</w:t>
            </w:r>
            <w:r>
              <w:rPr>
                <w:rFonts w:ascii="Times New Roman" w:hAnsi="Times New Roman"/>
              </w:rPr>
              <w:t>}</w:t>
            </w:r>
          </w:p>
        </w:tc>
        <w:tc>
          <w:tcPr>
            <w:tcW w:w="7620" w:type="dxa"/>
          </w:tcPr>
          <w:p w:rsidR="00410E47" w:rsidRPr="00FE002E" w:rsidRDefault="00A36A43" w:rsidP="007E2A41">
            <w:pPr>
              <w:pStyle w:val="BodyText1"/>
              <w:spacing w:line="240" w:lineRule="auto"/>
              <w:rPr>
                <w:rFonts w:ascii="Times New Roman" w:hAnsi="Times New Roman"/>
                <w:b/>
                <w:bCs/>
              </w:rPr>
            </w:pPr>
            <w:r>
              <w:rPr>
                <w:rFonts w:ascii="Times New Roman" w:hAnsi="Times New Roman"/>
                <w:b/>
              </w:rPr>
              <w:t>SFT's die onder een kaderverrekeningsovereenkomst vallen — Boekwaarde in de veronderstelling dat er geen sprake is van verrekening of andere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4</w:t>
            </w:r>
            <w:r>
              <w:rPr>
                <w:rFonts w:ascii="Times New Roman" w:hAnsi="Times New Roman"/>
              </w:rPr>
              <w:t xml:space="preserve">, lid </w:t>
            </w:r>
            <w:r w:rsidRPr="00CF219D">
              <w:rPr>
                <w:rFonts w:ascii="Times New Roman" w:hAnsi="Times New Roman"/>
              </w:rPr>
              <w:t>1</w:t>
            </w:r>
            <w:r>
              <w:rPr>
                <w:rFonts w:ascii="Times New Roman" w:hAnsi="Times New Roman"/>
              </w:rPr>
              <w:t xml:space="preserve">, punt </w:t>
            </w:r>
            <w:r w:rsidRPr="00CF219D">
              <w:rPr>
                <w:rFonts w:ascii="Times New Roman" w:hAnsi="Times New Roman"/>
              </w:rPr>
              <w:t>77</w:t>
            </w:r>
            <w:r>
              <w:rPr>
                <w:rFonts w:ascii="Times New Roman" w:hAnsi="Times New Roman"/>
              </w:rPr>
              <w:t xml:space="preserve">, en artikel </w:t>
            </w:r>
            <w:r w:rsidRPr="00CF219D">
              <w:rPr>
                <w:rFonts w:ascii="Times New Roman" w:hAnsi="Times New Roman"/>
              </w:rPr>
              <w:t>206</w:t>
            </w:r>
            <w:r>
              <w:rPr>
                <w:rFonts w:ascii="Times New Roman" w:hAnsi="Times New Roman"/>
              </w:rPr>
              <w:t xml:space="preserve"> van de VKV</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De boekhoudkundige balanswaarde volgens het toepasselijke kader voor financiële verslaggeving van SFT's die onder een uit hoofde van artikel </w:t>
            </w:r>
            <w:r w:rsidRPr="00CF219D">
              <w:rPr>
                <w:rFonts w:ascii="Times New Roman" w:hAnsi="Times New Roman"/>
              </w:rPr>
              <w:t>206</w:t>
            </w:r>
            <w:r>
              <w:rPr>
                <w:rFonts w:ascii="Times New Roman" w:hAnsi="Times New Roman"/>
              </w:rPr>
              <w:t xml:space="preserve"> toelaatbare kaderverrekeningsovereenkomst vallen, waarbij de contracten op de balans worden geactiveerd, in de veronderstelling dat er geen sprake is van prudentiële of boekhoudkundige verrekenings- of andere CRM-effecten (dit betekent dat alle effecten van boekhoudkundige verrekening of CRM die de boekwaarde hebben beïnvloed, worden teruggedraaid). Als voor een SFT de verkoop volgens het toepasselijke kader voor financiële verslaggeving wordt verantwoord, worden bovendien alle aan de verkoop gerelateerde posten door de instelling teruggeboekt.</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Instellingen nemen in deze cel geen contanten op die zijn ontvangen van, of effecten die via voornoemde transacties zijn verstrekt aan een tegenpartij en die op de balans vermeld staan (er wordt met andere woorden niet voldaan aan de boekhoudkundige criteria voor verwijdering). In plaats daarvan nemen instellingen deze gegevens op in {</w:t>
            </w:r>
            <w:r w:rsidRPr="00CF219D">
              <w:rPr>
                <w:rFonts w:ascii="Times New Roman" w:hAnsi="Times New Roman"/>
              </w:rPr>
              <w:t>090</w:t>
            </w:r>
            <w:r>
              <w:rPr>
                <w:rFonts w:ascii="Times New Roman" w:hAnsi="Times New Roman"/>
              </w:rPr>
              <w:t>;</w:t>
            </w:r>
            <w:r w:rsidRPr="00CF219D">
              <w:rPr>
                <w:rFonts w:ascii="Times New Roman" w:hAnsi="Times New Roman"/>
              </w:rPr>
              <w:t>020</w:t>
            </w:r>
            <w:r>
              <w:rPr>
                <w:rFonts w:ascii="Times New Roman" w:hAnsi="Times New Roman"/>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w:t>
            </w:r>
            <w:r w:rsidRPr="00CF219D">
              <w:rPr>
                <w:rFonts w:ascii="Times New Roman" w:hAnsi="Times New Roman"/>
              </w:rPr>
              <w:t>070</w:t>
            </w:r>
            <w:r>
              <w:rPr>
                <w:rFonts w:ascii="Times New Roman" w:hAnsi="Times New Roman"/>
              </w:rPr>
              <w:t>;</w:t>
            </w:r>
            <w:r w:rsidRPr="00CF219D">
              <w:rPr>
                <w:rFonts w:ascii="Times New Roman" w:hAnsi="Times New Roman"/>
              </w:rPr>
              <w:t>040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SFT's die onder een kaderverrekeningsovereenkomst vallen — Opslagfactor voor SFT's</w:t>
            </w: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206</w:t>
            </w:r>
            <w:r>
              <w:rPr>
                <w:rFonts w:ascii="Times New Roman" w:hAnsi="Times New Roman"/>
              </w:rPr>
              <w:t xml:space="preserve"> van de VKV</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Instellingen vormen samenstellen van verrekenbare transacties voor SFT's, met inbegrip van transacties buiten de balanstelling, die onder een uit hoofde van artikel </w:t>
            </w:r>
            <w:r w:rsidRPr="00CF219D">
              <w:rPr>
                <w:rFonts w:ascii="Times New Roman" w:hAnsi="Times New Roman"/>
              </w:rPr>
              <w:t>206</w:t>
            </w:r>
            <w:r>
              <w:rPr>
                <w:rFonts w:ascii="Times New Roman" w:hAnsi="Times New Roman"/>
              </w:rPr>
              <w:t xml:space="preserve"> toelaatbare kaderverrekeningsovereenkomst vallen. Voor elk samenstel van verrekenbare transacties berekenen de instellingen de opslagfactor voor blootstelling aan het actueel tegenpartijrisico (CCE) volgens de formule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m:oMath>
              <m:r>
                <w:rPr>
                  <w:rFonts w:ascii="Cambria Math" w:hAnsi="Cambria Math"/>
                </w:rPr>
                <m:t>CCE</m:t>
              </m:r>
              <m:r>
                <w:rPr>
                  <w:rFonts w:ascii="Cambria Math" w:hAnsi="Times New Roman"/>
                </w:rPr>
                <m:t xml:space="preserve">= </m:t>
              </m:r>
              <m:r>
                <w:rPr>
                  <w:rFonts w:ascii="Cambria Math" w:hAnsi="Cambria Math"/>
                </w:rPr>
                <m:t>max</m:t>
              </m:r>
              <m:d>
                <m:dPr>
                  <m:begChr m:val="{"/>
                  <m:endChr m:val="}"/>
                  <m:ctrlPr>
                    <w:rPr>
                      <w:rFonts w:ascii="Cambria Math" w:hAnsi="Times New Roman"/>
                      <w:bCs/>
                      <w:i/>
                    </w:rPr>
                  </m:ctrlPr>
                </m:dPr>
                <m:e>
                  <m:d>
                    <m:dPr>
                      <m:ctrlPr>
                        <w:rPr>
                          <w:rFonts w:ascii="Cambria Math" w:hAnsi="Times New Roman"/>
                          <w:bCs/>
                          <w:i/>
                        </w:rPr>
                      </m:ctrlPr>
                    </m:dPr>
                    <m:e>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E</m:t>
                              </m:r>
                            </m:e>
                            <m:sub>
                              <m:r>
                                <w:rPr>
                                  <w:rFonts w:ascii="Cambria Math" w:hAnsi="Cambria Math"/>
                                </w:rPr>
                                <m:t>i</m:t>
                              </m:r>
                            </m:sub>
                          </m:sSub>
                          <m:r>
                            <w:rPr>
                              <w:rFonts w:ascii="Times New Roman" w:hAnsi="Times New Roman"/>
                            </w:rPr>
                            <m:t>-</m:t>
                          </m:r>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C</m:t>
                                  </m:r>
                                </m:e>
                                <m:sub>
                                  <m:r>
                                    <w:rPr>
                                      <w:rFonts w:ascii="Cambria Math" w:hAnsi="Cambria Math"/>
                                    </w:rPr>
                                    <m:t>i</m:t>
                                  </m:r>
                                </m:sub>
                              </m:sSub>
                            </m:e>
                          </m:nary>
                        </m:e>
                      </m:nary>
                    </m:e>
                  </m:d>
                  <m:r>
                    <w:rPr>
                      <w:rFonts w:ascii="Cambria Math" w:hAnsi="Times New Roman"/>
                    </w:rPr>
                    <m:t>;</m:t>
                  </m:r>
                  <m:r>
                    <w:rPr>
                      <w:rFonts w:ascii="Cambria Math" w:hAnsi="Times New Roman"/>
                    </w:rPr>
                    <m:t>0</m:t>
                  </m:r>
                </m:e>
              </m:d>
            </m:oMath>
            <w:r>
              <w:rPr>
                <w:rFonts w:ascii="Times New Roman" w:hAnsi="Times New Roman"/>
              </w:rPr>
              <w:t xml:space="preserve"> </w:t>
            </w: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 </w:t>
            </w:r>
          </w:p>
          <w:p w:rsidR="00410E47" w:rsidRPr="00FE002E" w:rsidRDefault="00410E47" w:rsidP="007E2A41">
            <w:pPr>
              <w:pStyle w:val="BodyText1"/>
              <w:spacing w:line="240" w:lineRule="auto"/>
              <w:rPr>
                <w:rFonts w:ascii="Times New Roman" w:hAnsi="Times New Roman"/>
                <w:bCs/>
              </w:rPr>
            </w:pPr>
            <w:r>
              <w:rPr>
                <w:rFonts w:ascii="Times New Roman" w:hAnsi="Times New Roman"/>
              </w:rPr>
              <w:t>waarbij</w:t>
            </w:r>
          </w:p>
          <w:p w:rsidR="00410E47" w:rsidRPr="00FE002E" w:rsidRDefault="00410E47" w:rsidP="007E2A41">
            <w:pPr>
              <w:pStyle w:val="BodyText1"/>
              <w:spacing w:line="240" w:lineRule="auto"/>
              <w:rPr>
                <w:rFonts w:ascii="Times New Roman" w:hAnsi="Times New Roman"/>
                <w:bCs/>
              </w:rPr>
            </w:pPr>
            <w:r>
              <w:rPr>
                <w:rFonts w:ascii="Times New Roman" w:hAnsi="Times New Roman"/>
              </w:rPr>
              <w:t>i = elke transactie die van het samenstel van verrekenbare transacties deel uitmaakt;</w:t>
            </w:r>
          </w:p>
          <w:p w:rsidR="00410E47" w:rsidRPr="00FE002E" w:rsidRDefault="00410E47" w:rsidP="007E2A41">
            <w:pPr>
              <w:pStyle w:val="BodyText1"/>
              <w:spacing w:line="240" w:lineRule="auto"/>
              <w:rPr>
                <w:rFonts w:ascii="Times New Roman" w:hAnsi="Times New Roman"/>
                <w:bCs/>
              </w:rPr>
            </w:pPr>
            <w:r>
              <w:rPr>
                <w:rFonts w:ascii="Times New Roman" w:hAnsi="Times New Roman"/>
              </w:rPr>
              <w:t>E</w:t>
            </w:r>
            <w:r>
              <w:rPr>
                <w:rFonts w:ascii="Times New Roman" w:hAnsi="Times New Roman"/>
                <w:vertAlign w:val="subscript"/>
              </w:rPr>
              <w:t>i</w:t>
            </w:r>
            <w:r>
              <w:rPr>
                <w:rFonts w:ascii="Times New Roman" w:hAnsi="Times New Roman"/>
              </w:rPr>
              <w:t xml:space="preserve"> = voor transactie i, de waarde E</w:t>
            </w:r>
            <w:r>
              <w:rPr>
                <w:rFonts w:ascii="Times New Roman" w:hAnsi="Times New Roman"/>
                <w:vertAlign w:val="subscript"/>
              </w:rPr>
              <w:t>i</w:t>
            </w:r>
            <w:r>
              <w:rPr>
                <w:rFonts w:ascii="Times New Roman" w:hAnsi="Times New Roman"/>
              </w:rPr>
              <w:t xml:space="preserve"> zoals omschreven in artikel </w:t>
            </w:r>
            <w:r w:rsidRPr="00CF219D">
              <w:rPr>
                <w:rFonts w:ascii="Times New Roman" w:hAnsi="Times New Roman"/>
              </w:rPr>
              <w:t>220</w:t>
            </w:r>
            <w:r>
              <w:rPr>
                <w:rFonts w:ascii="Times New Roman" w:hAnsi="Times New Roman"/>
              </w:rPr>
              <w:t xml:space="preserve">, lid </w:t>
            </w:r>
            <w:r w:rsidRPr="00CF219D">
              <w:rPr>
                <w:rFonts w:ascii="Times New Roman" w:hAnsi="Times New Roman"/>
              </w:rPr>
              <w:t>3</w:t>
            </w:r>
            <w:r>
              <w:rPr>
                <w:rFonts w:ascii="Times New Roman" w:hAnsi="Times New Roman"/>
              </w:rPr>
              <w:t>, van de VKV.</w:t>
            </w:r>
          </w:p>
          <w:p w:rsidR="00410E47" w:rsidRPr="00FE002E" w:rsidRDefault="00410E47" w:rsidP="007E2A41">
            <w:pPr>
              <w:pStyle w:val="BodyText1"/>
              <w:spacing w:line="240" w:lineRule="auto"/>
              <w:rPr>
                <w:rFonts w:ascii="Times New Roman" w:hAnsi="Times New Roman"/>
                <w:bCs/>
              </w:rPr>
            </w:pPr>
            <w:r>
              <w:rPr>
                <w:rFonts w:ascii="Times New Roman" w:hAnsi="Times New Roman"/>
              </w:rPr>
              <w:t>C</w:t>
            </w:r>
            <w:r>
              <w:rPr>
                <w:rFonts w:ascii="Times New Roman" w:hAnsi="Times New Roman"/>
                <w:vertAlign w:val="subscript"/>
              </w:rPr>
              <w:t>i</w:t>
            </w:r>
            <w:r>
              <w:rPr>
                <w:rFonts w:ascii="Times New Roman" w:hAnsi="Times New Roman"/>
              </w:rPr>
              <w:t xml:space="preserve"> = voor transactie i, de waarde C</w:t>
            </w:r>
            <w:r>
              <w:rPr>
                <w:rFonts w:ascii="Times New Roman" w:hAnsi="Times New Roman"/>
                <w:vertAlign w:val="subscript"/>
              </w:rPr>
              <w:t>i</w:t>
            </w:r>
            <w:r>
              <w:rPr>
                <w:rFonts w:ascii="Times New Roman" w:hAnsi="Times New Roman"/>
              </w:rPr>
              <w:t xml:space="preserve"> zoals omschreven in artikel </w:t>
            </w:r>
            <w:r w:rsidRPr="00CF219D">
              <w:rPr>
                <w:rFonts w:ascii="Times New Roman" w:hAnsi="Times New Roman"/>
              </w:rPr>
              <w:t>220</w:t>
            </w:r>
            <w:r>
              <w:rPr>
                <w:rFonts w:ascii="Times New Roman" w:hAnsi="Times New Roman"/>
              </w:rPr>
              <w:t xml:space="preserve">, lid </w:t>
            </w:r>
            <w:r w:rsidRPr="00CF219D">
              <w:rPr>
                <w:rFonts w:ascii="Times New Roman" w:hAnsi="Times New Roman"/>
              </w:rPr>
              <w:t>3</w:t>
            </w:r>
            <w:r>
              <w:rPr>
                <w:rFonts w:ascii="Times New Roman" w:hAnsi="Times New Roman"/>
              </w:rPr>
              <w:t>, van de VKV.</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lastRenderedPageBreak/>
              <w:t>Instellingen tellen de uitkomsten van deze formule voor alle samenstellen van verrekenbare transacties bij elkaar op, en rapporteren het resultaat in deze cel.</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lastRenderedPageBreak/>
              <w:t>{</w:t>
            </w:r>
            <w:r w:rsidRPr="00CF219D">
              <w:rPr>
                <w:rFonts w:ascii="Times New Roman" w:hAnsi="Times New Roman"/>
              </w:rPr>
              <w:t>080</w:t>
            </w:r>
            <w:r>
              <w:rPr>
                <w:rFonts w:ascii="Times New Roman" w:hAnsi="Times New Roman"/>
              </w:rPr>
              <w:t>;</w:t>
            </w:r>
            <w:r w:rsidRPr="00CF219D">
              <w:rPr>
                <w:rFonts w:ascii="Times New Roman" w:hAnsi="Times New Roman"/>
              </w:rPr>
              <w:t>010</w:t>
            </w:r>
            <w:r>
              <w:rPr>
                <w:rFonts w:ascii="Times New Roman" w:hAnsi="Times New Roman"/>
              </w:rPr>
              <w:t>}</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rPr>
              <w:t>SFT's die niet onder een kaderverrekeningsovereenkomst vallen — Boekhoudkundige balanswaarde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4</w:t>
            </w:r>
            <w:r>
              <w:rPr>
                <w:rFonts w:ascii="Times New Roman" w:hAnsi="Times New Roman"/>
              </w:rPr>
              <w:t xml:space="preserve">, lid </w:t>
            </w:r>
            <w:r w:rsidRPr="00CF219D">
              <w:rPr>
                <w:rFonts w:ascii="Times New Roman" w:hAnsi="Times New Roman"/>
              </w:rPr>
              <w:t>1</w:t>
            </w:r>
            <w:r>
              <w:rPr>
                <w:rFonts w:ascii="Times New Roman" w:hAnsi="Times New Roman"/>
              </w:rPr>
              <w:t xml:space="preserve">, punt </w:t>
            </w:r>
            <w:r w:rsidRPr="00CF219D">
              <w:rPr>
                <w:rFonts w:ascii="Times New Roman" w:hAnsi="Times New Roman"/>
              </w:rPr>
              <w:t>77</w:t>
            </w:r>
            <w:r>
              <w:rPr>
                <w:rFonts w:ascii="Times New Roman" w:hAnsi="Times New Roman"/>
              </w:rPr>
              <w:t>, van de VKV</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De boekhoudkundige balanswaarde volgens het toepasselijke kader voor financiële verslaggeving van SFT's die </w:t>
            </w:r>
            <w:r>
              <w:rPr>
                <w:rFonts w:ascii="Times New Roman" w:hAnsi="Times New Roman"/>
                <w:b/>
                <w:u w:val="single"/>
              </w:rPr>
              <w:t>niet</w:t>
            </w:r>
            <w:r>
              <w:rPr>
                <w:rFonts w:ascii="Times New Roman" w:hAnsi="Times New Roman"/>
              </w:rPr>
              <w:t xml:space="preserve"> onder een uit hoofde van artikel </w:t>
            </w:r>
            <w:r w:rsidRPr="00CF219D">
              <w:rPr>
                <w:rFonts w:ascii="Times New Roman" w:hAnsi="Times New Roman"/>
              </w:rPr>
              <w:t>206</w:t>
            </w:r>
            <w:r>
              <w:rPr>
                <w:rFonts w:ascii="Times New Roman" w:hAnsi="Times New Roman"/>
              </w:rPr>
              <w:t xml:space="preserve"> toelaatbare kaderverrekeningsovereenkomst vallen, waarbij de contracten op de balans worden geactiveerd.</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Instellingen nemen in deze cel geen contanten op die zijn ontvangen van, of effecten die via voornoemde transacties zijn verstrekt aan een tegenpartij en die op de balans vermeld staan (er wordt met andere woorden niet voldaan aan de boekhoudkundige criteria voor verwijdering). In plaats daarvan nemen instellingen deze gegevens op in {</w:t>
            </w:r>
            <w:r w:rsidRPr="00CF219D">
              <w:rPr>
                <w:rFonts w:ascii="Times New Roman" w:hAnsi="Times New Roman"/>
              </w:rPr>
              <w:t>090</w:t>
            </w:r>
            <w:r>
              <w:rPr>
                <w:rFonts w:ascii="Times New Roman" w:hAnsi="Times New Roman"/>
              </w:rPr>
              <w:t>;</w:t>
            </w:r>
            <w:r w:rsidRPr="00CF219D">
              <w:rPr>
                <w:rFonts w:ascii="Times New Roman" w:hAnsi="Times New Roman"/>
              </w:rPr>
              <w:t>010</w:t>
            </w:r>
            <w:r>
              <w:rPr>
                <w:rFonts w:ascii="Times New Roman" w:hAnsi="Times New Roman"/>
              </w:rPr>
              <w:t>}.</w:t>
            </w:r>
            <w:r>
              <w:rPr>
                <w:rFonts w:ascii="Times New Roman" w:hAnsi="Times New Roman"/>
                <w:b/>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w:t>
            </w:r>
            <w:r w:rsidRPr="00CF219D">
              <w:rPr>
                <w:rFonts w:ascii="Times New Roman" w:hAnsi="Times New Roman"/>
              </w:rPr>
              <w:t>080</w:t>
            </w:r>
            <w:r>
              <w:rPr>
                <w:rFonts w:ascii="Times New Roman" w:hAnsi="Times New Roman"/>
              </w:rPr>
              <w:t>;</w:t>
            </w:r>
            <w:r w:rsidRPr="00CF219D">
              <w:rPr>
                <w:rFonts w:ascii="Times New Roman" w:hAnsi="Times New Roman"/>
              </w:rPr>
              <w:t>020</w:t>
            </w:r>
            <w:r>
              <w:rPr>
                <w:rFonts w:ascii="Times New Roman" w:hAnsi="Times New Roman"/>
              </w:rPr>
              <w:t>}</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rPr>
              <w:t>SFT's die niet onder een kaderverrekeningsovereenkomst vallen - Boekwaarde in de veronderstelling dat er geen sprake is van verrekening of andere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4</w:t>
            </w:r>
            <w:r>
              <w:rPr>
                <w:rFonts w:ascii="Times New Roman" w:hAnsi="Times New Roman"/>
              </w:rPr>
              <w:t xml:space="preserve">, lid </w:t>
            </w:r>
            <w:r w:rsidRPr="00CF219D">
              <w:rPr>
                <w:rFonts w:ascii="Times New Roman" w:hAnsi="Times New Roman"/>
              </w:rPr>
              <w:t>1</w:t>
            </w:r>
            <w:r>
              <w:rPr>
                <w:rFonts w:ascii="Times New Roman" w:hAnsi="Times New Roman"/>
              </w:rPr>
              <w:t xml:space="preserve">, punt </w:t>
            </w:r>
            <w:r w:rsidRPr="00CF219D">
              <w:rPr>
                <w:rFonts w:ascii="Times New Roman" w:hAnsi="Times New Roman"/>
              </w:rPr>
              <w:t>77</w:t>
            </w:r>
            <w:r>
              <w:rPr>
                <w:rFonts w:ascii="Times New Roman" w:hAnsi="Times New Roman"/>
              </w:rPr>
              <w:t>, van de VKV</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De boekhoudkundige balanswaarde volgens het toepasselijke kader voor financiële verslaggeving van SFT's die </w:t>
            </w:r>
            <w:r>
              <w:rPr>
                <w:rFonts w:ascii="Times New Roman" w:hAnsi="Times New Roman"/>
                <w:b/>
                <w:u w:val="single"/>
              </w:rPr>
              <w:t>niet</w:t>
            </w:r>
            <w:r>
              <w:rPr>
                <w:rFonts w:ascii="Times New Roman" w:hAnsi="Times New Roman"/>
              </w:rPr>
              <w:t xml:space="preserve"> onder een uit hoofde van artikel </w:t>
            </w:r>
            <w:r w:rsidRPr="00CF219D">
              <w:rPr>
                <w:rFonts w:ascii="Times New Roman" w:hAnsi="Times New Roman"/>
              </w:rPr>
              <w:t>206</w:t>
            </w:r>
            <w:r>
              <w:rPr>
                <w:rFonts w:ascii="Times New Roman" w:hAnsi="Times New Roman"/>
              </w:rPr>
              <w:t xml:space="preserve"> toelaatbare kaderverrekeningsovereenkomst vallen, waarbij de contracten op de balans worden geactiveerd, in de veronderstelling dat er geen sprake is van prudentiële of boekhoudkundige verrekenings- of andere CRM-effecten (dit betekent dat alle effecten van boekhoudkundige verrekening of CRM die de boekwaarde hebben beïnvloed, worden teruggedraaid). Als voor een SFT de verkoop volgens het toepasselijke kader voor financiële verslaggeving wordt verantwoord, worden bovendien alle aan de verkoop gerelateerde posten door de instelling teruggeboekt.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Instellingen nemen in deze cel geen contanten op die zijn ontvangen van, of effecten die via voornoemde transacties zijn verstrekt aan een tegenpartij en die op de balans vermeld staan (er wordt met andere woorden niet voldaan aan de boekhoudkundige criteria voor verwijdering). In plaats daarvan nemen instellingen deze gegevens op in {</w:t>
            </w:r>
            <w:r w:rsidRPr="00CF219D">
              <w:rPr>
                <w:rFonts w:ascii="Times New Roman" w:hAnsi="Times New Roman"/>
              </w:rPr>
              <w:t>090</w:t>
            </w:r>
            <w:r>
              <w:rPr>
                <w:rFonts w:ascii="Times New Roman" w:hAnsi="Times New Roman"/>
              </w:rPr>
              <w:t>;</w:t>
            </w:r>
            <w:r w:rsidRPr="00CF219D">
              <w:rPr>
                <w:rFonts w:ascii="Times New Roman" w:hAnsi="Times New Roman"/>
              </w:rPr>
              <w:t>020</w:t>
            </w:r>
            <w:r>
              <w:rPr>
                <w:rFonts w:ascii="Times New Roman" w:hAnsi="Times New Roman"/>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w:t>
            </w:r>
            <w:r w:rsidRPr="00CF219D">
              <w:rPr>
                <w:rFonts w:ascii="Times New Roman" w:hAnsi="Times New Roman"/>
              </w:rPr>
              <w:t>080</w:t>
            </w:r>
            <w:r>
              <w:rPr>
                <w:rFonts w:ascii="Times New Roman" w:hAnsi="Times New Roman"/>
              </w:rPr>
              <w:t>;</w:t>
            </w:r>
            <w:r w:rsidRPr="00CF219D">
              <w:rPr>
                <w:rFonts w:ascii="Times New Roman" w:hAnsi="Times New Roman"/>
              </w:rPr>
              <w:t>040</w:t>
            </w:r>
            <w:r>
              <w:rPr>
                <w:rFonts w:ascii="Times New Roman" w:hAnsi="Times New Roman"/>
              </w:rPr>
              <w:t>}</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rPr>
              <w:t>SFT's die niet onder een kaderverrekeningsovereenkomst vallen — Opslagfactor voor SFT's</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206</w:t>
            </w:r>
            <w:r>
              <w:rPr>
                <w:rFonts w:ascii="Times New Roman" w:hAnsi="Times New Roman"/>
              </w:rPr>
              <w:t xml:space="preserve"> van de VKV</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217B44">
            <w:pPr>
              <w:pStyle w:val="BodyText1"/>
              <w:spacing w:line="240" w:lineRule="auto"/>
              <w:rPr>
                <w:color w:val="auto"/>
              </w:rPr>
            </w:pPr>
            <w:r>
              <w:rPr>
                <w:rFonts w:ascii="Times New Roman" w:hAnsi="Times New Roman"/>
              </w:rPr>
              <w:t xml:space="preserve">Voor SFT's, met inbegrip van transacties buiten de balanstelling, die </w:t>
            </w:r>
            <w:r>
              <w:rPr>
                <w:rFonts w:ascii="Times New Roman" w:hAnsi="Times New Roman"/>
                <w:b/>
                <w:u w:val="single"/>
              </w:rPr>
              <w:t>niet</w:t>
            </w:r>
            <w:r>
              <w:rPr>
                <w:rFonts w:ascii="Times New Roman" w:hAnsi="Times New Roman"/>
              </w:rPr>
              <w:t xml:space="preserve"> onder een uit hoofde van artikel </w:t>
            </w:r>
            <w:r w:rsidRPr="00CF219D">
              <w:rPr>
                <w:rFonts w:ascii="Times New Roman" w:hAnsi="Times New Roman"/>
              </w:rPr>
              <w:t>206</w:t>
            </w:r>
            <w:r>
              <w:rPr>
                <w:rFonts w:ascii="Times New Roman" w:hAnsi="Times New Roman"/>
              </w:rPr>
              <w:t xml:space="preserve"> toelaatbare kaderverrekeningsovereenkomst vallen, vormen de instellingen samenstellen die bestaan uit alle in een transactie betrokken activa (d.w.z. elke SFT wordt als een afzonderlijk samenstel behandeld) en bepalen zij voor elk samenstel de opslagfactor voor blootstelling aan het actueel tegenpartijrisico (CCE) volgens de formule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CCE = max {(E – C); </w:t>
            </w:r>
            <w:r w:rsidRPr="00CF219D">
              <w:rPr>
                <w:rFonts w:ascii="Times New Roman" w:hAnsi="Times New Roman"/>
              </w:rPr>
              <w:t>0</w:t>
            </w:r>
            <w:r>
              <w:rPr>
                <w:rFonts w:ascii="Times New Roman" w:hAnsi="Times New Roman"/>
              </w:rPr>
              <w: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waarbij</w:t>
            </w:r>
          </w:p>
          <w:p w:rsidR="00410E47" w:rsidRPr="00FE002E" w:rsidRDefault="00410E47" w:rsidP="007E2A41">
            <w:pPr>
              <w:pStyle w:val="BodyText1"/>
              <w:spacing w:line="240" w:lineRule="auto"/>
              <w:rPr>
                <w:rFonts w:ascii="Times New Roman" w:hAnsi="Times New Roman"/>
                <w:bCs/>
              </w:rPr>
            </w:pPr>
            <w:r>
              <w:rPr>
                <w:rFonts w:ascii="Times New Roman" w:hAnsi="Times New Roman"/>
              </w:rPr>
              <w:t>E = de waarde E</w:t>
            </w:r>
            <w:r>
              <w:rPr>
                <w:rFonts w:ascii="Times New Roman" w:hAnsi="Times New Roman"/>
                <w:vertAlign w:val="subscript"/>
              </w:rPr>
              <w:t>i</w:t>
            </w:r>
            <w:r>
              <w:rPr>
                <w:rFonts w:ascii="Times New Roman" w:hAnsi="Times New Roman"/>
              </w:rPr>
              <w:t xml:space="preserve"> zoals omschreven in artikel </w:t>
            </w:r>
            <w:r w:rsidRPr="00CF219D">
              <w:rPr>
                <w:rFonts w:ascii="Times New Roman" w:hAnsi="Times New Roman"/>
              </w:rPr>
              <w:t>220</w:t>
            </w:r>
            <w:r>
              <w:rPr>
                <w:rFonts w:ascii="Times New Roman" w:hAnsi="Times New Roman"/>
              </w:rPr>
              <w:t xml:space="preserve">, lid </w:t>
            </w:r>
            <w:r w:rsidRPr="00CF219D">
              <w:rPr>
                <w:rFonts w:ascii="Times New Roman" w:hAnsi="Times New Roman"/>
              </w:rPr>
              <w:t>3</w:t>
            </w:r>
            <w:r>
              <w:rPr>
                <w:rFonts w:ascii="Times New Roman" w:hAnsi="Times New Roman"/>
              </w:rPr>
              <w:t>, van de VKV.</w:t>
            </w:r>
          </w:p>
          <w:p w:rsidR="00410E47" w:rsidRPr="00FE002E" w:rsidRDefault="00410E47" w:rsidP="007E2A41">
            <w:pPr>
              <w:pStyle w:val="BodyText1"/>
              <w:spacing w:line="240" w:lineRule="auto"/>
              <w:rPr>
                <w:rFonts w:ascii="Times New Roman" w:hAnsi="Times New Roman"/>
                <w:bCs/>
              </w:rPr>
            </w:pPr>
            <w:r>
              <w:rPr>
                <w:rFonts w:ascii="Times New Roman" w:hAnsi="Times New Roman"/>
              </w:rPr>
              <w:t>C = de waarde C</w:t>
            </w:r>
            <w:r>
              <w:rPr>
                <w:rFonts w:ascii="Times New Roman" w:hAnsi="Times New Roman"/>
                <w:vertAlign w:val="subscript"/>
              </w:rPr>
              <w:t>i</w:t>
            </w:r>
            <w:r>
              <w:rPr>
                <w:rFonts w:ascii="Times New Roman" w:hAnsi="Times New Roman"/>
              </w:rPr>
              <w:t xml:space="preserve"> zoals omschreven in artikel </w:t>
            </w:r>
            <w:r w:rsidRPr="00CF219D">
              <w:rPr>
                <w:rFonts w:ascii="Times New Roman" w:hAnsi="Times New Roman"/>
              </w:rPr>
              <w:t>220</w:t>
            </w:r>
            <w:r>
              <w:rPr>
                <w:rFonts w:ascii="Times New Roman" w:hAnsi="Times New Roman"/>
              </w:rPr>
              <w:t xml:space="preserve">, lid </w:t>
            </w:r>
            <w:r w:rsidRPr="00CF219D">
              <w:rPr>
                <w:rFonts w:ascii="Times New Roman" w:hAnsi="Times New Roman"/>
              </w:rPr>
              <w:t>3</w:t>
            </w:r>
            <w:r>
              <w:rPr>
                <w:rFonts w:ascii="Times New Roman" w:hAnsi="Times New Roman"/>
              </w:rPr>
              <w:t>, van de VKV.</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Instellingen tellen de uitkomsten van deze formule voor alle voornoemde samenstellen bij elkaar op, en rapporteren het resultaat in deze cel.</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lastRenderedPageBreak/>
              <w:t>{</w:t>
            </w:r>
            <w:r w:rsidRPr="00CF219D">
              <w:rPr>
                <w:rFonts w:ascii="Times New Roman" w:hAnsi="Times New Roman"/>
              </w:rPr>
              <w:t>090</w:t>
            </w:r>
            <w:r>
              <w:rPr>
                <w:rFonts w:ascii="Times New Roman" w:hAnsi="Times New Roman"/>
              </w:rPr>
              <w:t>;</w:t>
            </w:r>
            <w:r w:rsidRPr="00CF219D">
              <w:rPr>
                <w:rFonts w:ascii="Times New Roman" w:hAnsi="Times New Roman"/>
              </w:rPr>
              <w:t>010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Overige activa — Boekhoudkundige balanswaarde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4</w:t>
            </w:r>
            <w:r>
              <w:rPr>
                <w:rFonts w:ascii="Times New Roman" w:hAnsi="Times New Roman"/>
              </w:rPr>
              <w:t xml:space="preserve">, lid </w:t>
            </w:r>
            <w:r w:rsidRPr="00CF219D">
              <w:rPr>
                <w:rFonts w:ascii="Times New Roman" w:hAnsi="Times New Roman"/>
              </w:rPr>
              <w:t>1</w:t>
            </w:r>
            <w:r>
              <w:rPr>
                <w:rFonts w:ascii="Times New Roman" w:hAnsi="Times New Roman"/>
              </w:rPr>
              <w:t xml:space="preserve">, punt </w:t>
            </w:r>
            <w:r w:rsidRPr="00CF219D">
              <w:rPr>
                <w:rFonts w:ascii="Times New Roman" w:hAnsi="Times New Roman"/>
              </w:rPr>
              <w:t>77</w:t>
            </w:r>
            <w:r>
              <w:rPr>
                <w:rFonts w:ascii="Times New Roman" w:hAnsi="Times New Roman"/>
              </w:rPr>
              <w:t>, van de VKV</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De boekhoudkundige balanswaarde volgens het toepasselijke kader voor financiële verslaggeving van alle andere activa dan de in bijlage II bij de VKV genoemde contracten, kredietderivaten en SFT's.</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w:t>
            </w:r>
            <w:r w:rsidRPr="00CF219D">
              <w:rPr>
                <w:rFonts w:ascii="Times New Roman" w:hAnsi="Times New Roman"/>
              </w:rPr>
              <w:t>090</w:t>
            </w:r>
            <w:r>
              <w:rPr>
                <w:rFonts w:ascii="Times New Roman" w:hAnsi="Times New Roman"/>
              </w:rPr>
              <w:t>;</w:t>
            </w:r>
            <w:r w:rsidRPr="00CF219D">
              <w:rPr>
                <w:rFonts w:ascii="Times New Roman" w:hAnsi="Times New Roman"/>
              </w:rPr>
              <w:t>020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Overige activa — Boekwaarde in de veronderstelling dat er geen sprake is van verrekening of andere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4</w:t>
            </w:r>
            <w:r>
              <w:rPr>
                <w:rFonts w:ascii="Times New Roman" w:hAnsi="Times New Roman"/>
              </w:rPr>
              <w:t xml:space="preserve">, lid </w:t>
            </w:r>
            <w:r w:rsidRPr="00CF219D">
              <w:rPr>
                <w:rFonts w:ascii="Times New Roman" w:hAnsi="Times New Roman"/>
              </w:rPr>
              <w:t>1</w:t>
            </w:r>
            <w:r>
              <w:rPr>
                <w:rFonts w:ascii="Times New Roman" w:hAnsi="Times New Roman"/>
              </w:rPr>
              <w:t xml:space="preserve">, punt </w:t>
            </w:r>
            <w:r w:rsidRPr="00CF219D">
              <w:rPr>
                <w:rFonts w:ascii="Times New Roman" w:hAnsi="Times New Roman"/>
              </w:rPr>
              <w:t>77</w:t>
            </w:r>
            <w:r>
              <w:rPr>
                <w:rFonts w:ascii="Times New Roman" w:hAnsi="Times New Roman"/>
              </w:rPr>
              <w:t>, van de VKV</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De boekhoudkundige balanswaarde volgens het toepasselijke kader voor financiële verslaggeving van alle andere activa dan de in bijlage II bij de VKV genoemde contracten, kredietderivaten en SFT's, in de veronderstelling dat er geen sprake is van boekhoudkundige verrekenings- of andere CRM-effecten (dit betekent dat alle effecten van boekhoudkundige verrekening of CRM die de boekwaarde hebben beïnvloed, worden teruggedraaid).</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w:t>
            </w:r>
            <w:r w:rsidRPr="00CF219D">
              <w:rPr>
                <w:rFonts w:ascii="Times New Roman" w:hAnsi="Times New Roman"/>
              </w:rPr>
              <w:t>100</w:t>
            </w:r>
            <w:r>
              <w:rPr>
                <w:rFonts w:ascii="Times New Roman" w:hAnsi="Times New Roman"/>
              </w:rPr>
              <w:t>;</w:t>
            </w:r>
            <w:r w:rsidRPr="00CF219D">
              <w:rPr>
                <w:rFonts w:ascii="Times New Roman" w:hAnsi="Times New Roman"/>
              </w:rPr>
              <w:t>070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Posten buiten de balanstelling met een laag risico volgens de standaardbenadering; waarvan – Nominale waarde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111</w:t>
            </w:r>
            <w:r>
              <w:rPr>
                <w:rFonts w:ascii="Times New Roman" w:hAnsi="Times New Roman"/>
              </w:rPr>
              <w:t xml:space="preserve"> van de VKV</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 xml:space="preserve">Deze cel vermeldt de nominale waarde van posten buiten de balanstelling waaraan volgens de standaardbenadering voor het kredietrisico een kredietomrekeningsfactor van </w:t>
            </w:r>
            <w:r w:rsidRPr="00CF219D">
              <w:rPr>
                <w:rFonts w:ascii="Times New Roman" w:hAnsi="Times New Roman"/>
              </w:rPr>
              <w:t>0</w:t>
            </w:r>
            <w:r>
              <w:rPr>
                <w:rFonts w:ascii="Times New Roman" w:hAnsi="Times New Roman"/>
              </w:rPr>
              <w:t> % zou worden toegekend.</w:t>
            </w:r>
            <w:r>
              <w:t xml:space="preserve"> </w:t>
            </w:r>
            <w:r>
              <w:rPr>
                <w:rFonts w:ascii="Times New Roman" w:hAnsi="Times New Roman"/>
              </w:rPr>
              <w:t>Deze waarde wordt niet verminderd met specifieke kredietrisicoaanpassingen.</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 xml:space="preserve">Overeenkomstig artikel </w:t>
            </w:r>
            <w:r w:rsidRPr="00CF219D">
              <w:rPr>
                <w:rFonts w:ascii="Times New Roman" w:hAnsi="Times New Roman"/>
              </w:rPr>
              <w:t>429</w:t>
            </w:r>
            <w:r>
              <w:rPr>
                <w:rFonts w:ascii="Times New Roman" w:hAnsi="Times New Roman"/>
              </w:rPr>
              <w:t xml:space="preserve">, lid </w:t>
            </w:r>
            <w:r w:rsidRPr="00CF219D">
              <w:rPr>
                <w:rFonts w:ascii="Times New Roman" w:hAnsi="Times New Roman"/>
              </w:rPr>
              <w:t>10</w:t>
            </w:r>
            <w:r>
              <w:rPr>
                <w:rFonts w:ascii="Times New Roman" w:hAnsi="Times New Roman"/>
              </w:rPr>
              <w:t>, van de VKV houden instellingen in deze cel geen rekening met in bijlage II bij de VKV genoemde contracten, kredietderivaten en SFT's.</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w:t>
            </w:r>
            <w:r w:rsidRPr="00CF219D">
              <w:rPr>
                <w:rFonts w:ascii="Times New Roman" w:hAnsi="Times New Roman"/>
              </w:rPr>
              <w:t>110</w:t>
            </w:r>
            <w:r>
              <w:rPr>
                <w:rFonts w:ascii="Times New Roman" w:hAnsi="Times New Roman"/>
              </w:rPr>
              <w:t>;</w:t>
            </w:r>
            <w:r w:rsidRPr="00CF219D">
              <w:rPr>
                <w:rFonts w:ascii="Times New Roman" w:hAnsi="Times New Roman"/>
              </w:rPr>
              <w:t>070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Revolverende blootstellingen met betrekking tot particulieren en kleine partijen; waarvan – Nominale waarde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111</w:t>
            </w:r>
            <w:r>
              <w:rPr>
                <w:rFonts w:ascii="Times New Roman" w:hAnsi="Times New Roman"/>
              </w:rPr>
              <w:t xml:space="preserve"> en artikel </w:t>
            </w:r>
            <w:r w:rsidRPr="00CF219D">
              <w:rPr>
                <w:rFonts w:ascii="Times New Roman" w:hAnsi="Times New Roman"/>
              </w:rPr>
              <w:t>154</w:t>
            </w:r>
            <w:r>
              <w:rPr>
                <w:rFonts w:ascii="Times New Roman" w:hAnsi="Times New Roman"/>
              </w:rPr>
              <w:t xml:space="preserve">, lid </w:t>
            </w:r>
            <w:r w:rsidRPr="00CF219D">
              <w:rPr>
                <w:rFonts w:ascii="Times New Roman" w:hAnsi="Times New Roman"/>
              </w:rPr>
              <w:t>4</w:t>
            </w:r>
            <w:r>
              <w:rPr>
                <w:rFonts w:ascii="Times New Roman" w:hAnsi="Times New Roman"/>
              </w:rPr>
              <w:t>, van de VKV</w:t>
            </w:r>
          </w:p>
          <w:p w:rsidR="00410E47" w:rsidRPr="00FE002E" w:rsidRDefault="00410E47" w:rsidP="007E2A41">
            <w:pPr>
              <w:pStyle w:val="BodyText1"/>
              <w:spacing w:line="240" w:lineRule="auto"/>
              <w:rPr>
                <w:rFonts w:ascii="Times New Roman" w:hAnsi="Times New Roman"/>
                <w:bCs/>
              </w:rPr>
            </w:pPr>
          </w:p>
          <w:p w:rsidR="00CF66B5" w:rsidRDefault="00410E47" w:rsidP="007E2A41">
            <w:pPr>
              <w:pStyle w:val="BodyText1"/>
              <w:spacing w:line="240" w:lineRule="auto"/>
              <w:rPr>
                <w:rFonts w:ascii="Times New Roman" w:hAnsi="Times New Roman"/>
                <w:bCs/>
              </w:rPr>
            </w:pPr>
            <w:r>
              <w:rPr>
                <w:rFonts w:ascii="Times New Roman" w:hAnsi="Times New Roman"/>
              </w:rPr>
              <w:t xml:space="preserve">Deze cel vermeldt de nominale waarde van gekwalificeerde revolverende blootstellingen met betrekking tot particulieren en kleine partijen buiten de balanstelling die voldoen aan de in artikel </w:t>
            </w:r>
            <w:r w:rsidRPr="00CF219D">
              <w:rPr>
                <w:rFonts w:ascii="Times New Roman" w:hAnsi="Times New Roman"/>
              </w:rPr>
              <w:t>154</w:t>
            </w:r>
            <w:r>
              <w:rPr>
                <w:rFonts w:ascii="Times New Roman" w:hAnsi="Times New Roman"/>
              </w:rPr>
              <w:t xml:space="preserve">, lid </w:t>
            </w:r>
            <w:r w:rsidRPr="00CF219D">
              <w:rPr>
                <w:rFonts w:ascii="Times New Roman" w:hAnsi="Times New Roman"/>
              </w:rPr>
              <w:t>4</w:t>
            </w:r>
            <w:r>
              <w:rPr>
                <w:rFonts w:ascii="Times New Roman" w:hAnsi="Times New Roman"/>
              </w:rPr>
              <w:t>, onder a), b) en c), van de VKV gestelde voorwaarden. Deze waarde wordt niet verminderd met specifieke kredietrisicoaanpassingen.</w:t>
            </w:r>
          </w:p>
          <w:p w:rsidR="00CF66B5" w:rsidRDefault="00CF66B5"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 xml:space="preserve">Hieronder vallen alle blootstellingen die betrekking hebben op personen, revolverend zijn en onvoorwaardelijk kunnen worden opgezegd zoals beschreven in artikel </w:t>
            </w:r>
            <w:r w:rsidRPr="00CF219D">
              <w:rPr>
                <w:rFonts w:ascii="Times New Roman" w:hAnsi="Times New Roman"/>
              </w:rPr>
              <w:t>149</w:t>
            </w:r>
            <w:r>
              <w:rPr>
                <w:rFonts w:ascii="Times New Roman" w:hAnsi="Times New Roman"/>
              </w:rPr>
              <w:t xml:space="preserve">, onder b), van de VKV, en in totaal beperkt zijn tot </w:t>
            </w:r>
            <w:r w:rsidRPr="00CF219D">
              <w:rPr>
                <w:rFonts w:ascii="Times New Roman" w:hAnsi="Times New Roman"/>
              </w:rPr>
              <w:t>100</w:t>
            </w:r>
            <w:r>
              <w:rPr>
                <w:rFonts w:ascii="Times New Roman" w:hAnsi="Times New Roman"/>
              </w:rPr>
              <w:t> </w:t>
            </w:r>
            <w:r w:rsidRPr="00CF219D">
              <w:rPr>
                <w:rFonts w:ascii="Times New Roman" w:hAnsi="Times New Roman"/>
              </w:rPr>
              <w:t>000</w:t>
            </w:r>
            <w:r>
              <w:rPr>
                <w:rFonts w:ascii="Times New Roman" w:hAnsi="Times New Roman"/>
              </w:rPr>
              <w:t> EUR per debiteur.</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 xml:space="preserve">Overeenkomstig artikel </w:t>
            </w:r>
            <w:r w:rsidRPr="00CF219D">
              <w:rPr>
                <w:rFonts w:ascii="Times New Roman" w:hAnsi="Times New Roman"/>
              </w:rPr>
              <w:t>429</w:t>
            </w:r>
            <w:r>
              <w:rPr>
                <w:rFonts w:ascii="Times New Roman" w:hAnsi="Times New Roman"/>
              </w:rPr>
              <w:t xml:space="preserve">, lid </w:t>
            </w:r>
            <w:r w:rsidRPr="00CF219D">
              <w:rPr>
                <w:rFonts w:ascii="Times New Roman" w:hAnsi="Times New Roman"/>
              </w:rPr>
              <w:t>10</w:t>
            </w:r>
            <w:r>
              <w:rPr>
                <w:rFonts w:ascii="Times New Roman" w:hAnsi="Times New Roman"/>
              </w:rPr>
              <w:t>, van de VKV houden instellingen in deze cel geen rekening met in bijlage II bij de VKV genoemde contracten, kredietderivaten en SFT's.</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w:t>
            </w:r>
            <w:r w:rsidRPr="00CF219D">
              <w:rPr>
                <w:rFonts w:ascii="Times New Roman" w:hAnsi="Times New Roman"/>
              </w:rPr>
              <w:t>120</w:t>
            </w:r>
            <w:r>
              <w:rPr>
                <w:rFonts w:ascii="Times New Roman" w:hAnsi="Times New Roman"/>
              </w:rPr>
              <w:t>;</w:t>
            </w:r>
            <w:r w:rsidRPr="00CF219D">
              <w:rPr>
                <w:rFonts w:ascii="Times New Roman" w:hAnsi="Times New Roman"/>
              </w:rPr>
              <w:t>070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Onvoorwaardelijk opzegbare kredietkaartverplichtingen — Nominale waarde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111</w:t>
            </w:r>
            <w:r>
              <w:rPr>
                <w:rFonts w:ascii="Times New Roman" w:hAnsi="Times New Roman"/>
              </w:rPr>
              <w:t xml:space="preserve"> en artikel </w:t>
            </w:r>
            <w:r w:rsidRPr="00CF219D">
              <w:rPr>
                <w:rFonts w:ascii="Times New Roman" w:hAnsi="Times New Roman"/>
              </w:rPr>
              <w:t>154</w:t>
            </w:r>
            <w:r>
              <w:rPr>
                <w:rFonts w:ascii="Times New Roman" w:hAnsi="Times New Roman"/>
              </w:rPr>
              <w:t xml:space="preserve">, lid </w:t>
            </w:r>
            <w:r w:rsidRPr="00CF219D">
              <w:rPr>
                <w:rFonts w:ascii="Times New Roman" w:hAnsi="Times New Roman"/>
              </w:rPr>
              <w:t>4</w:t>
            </w:r>
            <w:r>
              <w:rPr>
                <w:rFonts w:ascii="Times New Roman" w:hAnsi="Times New Roman"/>
              </w:rPr>
              <w:t>, van de VKV</w:t>
            </w:r>
          </w:p>
          <w:p w:rsidR="00410E47" w:rsidRPr="00FE002E" w:rsidRDefault="00410E47" w:rsidP="007E2A41">
            <w:pPr>
              <w:pStyle w:val="BodyText1"/>
              <w:spacing w:line="240" w:lineRule="auto"/>
              <w:rPr>
                <w:rFonts w:ascii="Times New Roman" w:hAnsi="Times New Roman"/>
                <w:bCs/>
              </w:rPr>
            </w:pPr>
          </w:p>
          <w:p w:rsidR="00A51BD1" w:rsidRDefault="001005A7" w:rsidP="007E2A41">
            <w:pPr>
              <w:pStyle w:val="BodyText1"/>
              <w:spacing w:line="240" w:lineRule="auto"/>
              <w:rPr>
                <w:rFonts w:ascii="Times New Roman" w:hAnsi="Times New Roman"/>
                <w:bCs/>
              </w:rPr>
            </w:pPr>
            <w:r>
              <w:rPr>
                <w:rFonts w:ascii="Times New Roman" w:hAnsi="Times New Roman"/>
              </w:rPr>
              <w:t xml:space="preserve">Deze cel vermeldt de nominale waarde van kredietkaartverplichtingen die te allen tijde onvoorwaardelijk zonder voorafgaande kennisgeving door de instelling kunnen worden opgezegd en waaraan volgens de standaardbenadering voor het kredietrisico een kredietomrekeningsfactor van </w:t>
            </w:r>
            <w:r w:rsidRPr="00CF219D">
              <w:rPr>
                <w:rFonts w:ascii="Times New Roman" w:hAnsi="Times New Roman"/>
              </w:rPr>
              <w:t>0</w:t>
            </w:r>
            <w:r>
              <w:rPr>
                <w:rFonts w:ascii="Times New Roman" w:hAnsi="Times New Roman"/>
              </w:rPr>
              <w:t> % zou worden toegekend.</w:t>
            </w:r>
            <w:r>
              <w:t xml:space="preserve"> </w:t>
            </w:r>
            <w:r>
              <w:rPr>
                <w:rFonts w:ascii="Times New Roman" w:hAnsi="Times New Roman"/>
              </w:rPr>
              <w:t>Deze waarde wordt niet verminderd met specifieke kredietrisicoaanpassingen.</w:t>
            </w:r>
          </w:p>
          <w:p w:rsidR="00A51BD1" w:rsidRDefault="00A51BD1"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lastRenderedPageBreak/>
              <w:t>Instellingen nemen in deze cel geen kredietverplichtingen op waarvoor uitdrukkelijk in automatische opzegging is voorzien als de kredietwaardigheid van een kredietnemer verslechtert, maar die geen onvoorwaardelijk opzegbare verplichtingen zijn.</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 xml:space="preserve">Overeenkomstig artikel </w:t>
            </w:r>
            <w:r w:rsidRPr="00CF219D">
              <w:rPr>
                <w:rFonts w:ascii="Times New Roman" w:hAnsi="Times New Roman"/>
              </w:rPr>
              <w:t>429</w:t>
            </w:r>
            <w:r>
              <w:rPr>
                <w:rFonts w:ascii="Times New Roman" w:hAnsi="Times New Roman"/>
              </w:rPr>
              <w:t xml:space="preserve">, lid </w:t>
            </w:r>
            <w:r w:rsidRPr="00CF219D">
              <w:rPr>
                <w:rFonts w:ascii="Times New Roman" w:hAnsi="Times New Roman"/>
              </w:rPr>
              <w:t>10</w:t>
            </w:r>
            <w:r>
              <w:rPr>
                <w:rFonts w:ascii="Times New Roman" w:hAnsi="Times New Roman"/>
              </w:rPr>
              <w:t>, van de VKV houden instellingen in deze cel geen rekening met in bijlage II bij de VKV genoemde contracten, kredietderivaten en SFT's.</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w:t>
            </w:r>
            <w:r w:rsidRPr="00CF219D">
              <w:rPr>
                <w:rFonts w:ascii="Times New Roman" w:hAnsi="Times New Roman"/>
              </w:rPr>
              <w:t>130</w:t>
            </w:r>
            <w:r>
              <w:rPr>
                <w:rFonts w:ascii="Times New Roman" w:hAnsi="Times New Roman"/>
              </w:rPr>
              <w:t>;</w:t>
            </w:r>
            <w:r w:rsidRPr="00CF219D">
              <w:rPr>
                <w:rFonts w:ascii="Times New Roman" w:hAnsi="Times New Roman"/>
              </w:rPr>
              <w:t>070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Niet-revolverende onvoorwaardelijk opzegbare verplichtingen — Nominale waarde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111</w:t>
            </w:r>
            <w:r>
              <w:rPr>
                <w:rFonts w:ascii="Times New Roman" w:hAnsi="Times New Roman"/>
              </w:rPr>
              <w:t xml:space="preserve"> en artikel </w:t>
            </w:r>
            <w:r w:rsidRPr="00CF219D">
              <w:rPr>
                <w:rFonts w:ascii="Times New Roman" w:hAnsi="Times New Roman"/>
              </w:rPr>
              <w:t>154</w:t>
            </w:r>
            <w:r>
              <w:rPr>
                <w:rFonts w:ascii="Times New Roman" w:hAnsi="Times New Roman"/>
              </w:rPr>
              <w:t xml:space="preserve">, lid </w:t>
            </w:r>
            <w:r w:rsidRPr="00CF219D">
              <w:rPr>
                <w:rFonts w:ascii="Times New Roman" w:hAnsi="Times New Roman"/>
              </w:rPr>
              <w:t>4</w:t>
            </w:r>
            <w:r>
              <w:rPr>
                <w:rFonts w:ascii="Times New Roman" w:hAnsi="Times New Roman"/>
              </w:rPr>
              <w:t>, van de VKV</w:t>
            </w:r>
          </w:p>
          <w:p w:rsidR="00410E47" w:rsidRPr="00FE002E" w:rsidRDefault="00410E47" w:rsidP="007E2A41">
            <w:pPr>
              <w:pStyle w:val="BodyText1"/>
              <w:spacing w:line="240" w:lineRule="auto"/>
              <w:rPr>
                <w:rFonts w:ascii="Times New Roman" w:hAnsi="Times New Roman"/>
                <w:b/>
                <w:bCs/>
              </w:rPr>
            </w:pPr>
          </w:p>
          <w:p w:rsidR="00A51BD1" w:rsidRDefault="00410E47" w:rsidP="007E2A41">
            <w:pPr>
              <w:pStyle w:val="BodyText1"/>
              <w:spacing w:line="240" w:lineRule="auto"/>
              <w:rPr>
                <w:rFonts w:ascii="Times New Roman" w:hAnsi="Times New Roman"/>
                <w:bCs/>
              </w:rPr>
            </w:pPr>
            <w:r>
              <w:rPr>
                <w:rFonts w:ascii="Times New Roman" w:hAnsi="Times New Roman"/>
              </w:rPr>
              <w:t xml:space="preserve">Deze cel vermeldt de nominale waarde van overige verplichtingen die te allen tijde onvoorwaardelijk zonder voorafgaande kennisgeving door de instelling kunnen worden opgezegd en waaraan volgens de standaardbenadering voor het kredietrisico een kredietomrekeningsfactor van </w:t>
            </w:r>
            <w:r w:rsidRPr="00CF219D">
              <w:rPr>
                <w:rFonts w:ascii="Times New Roman" w:hAnsi="Times New Roman"/>
              </w:rPr>
              <w:t>0</w:t>
            </w:r>
            <w:r>
              <w:rPr>
                <w:rFonts w:ascii="Times New Roman" w:hAnsi="Times New Roman"/>
              </w:rPr>
              <w:t> % zou worden toegekend. Deze waarde wordt niet verminderd met specifieke kredietrisicoaanpassingen.</w:t>
            </w:r>
          </w:p>
          <w:p w:rsidR="00A51BD1" w:rsidRDefault="00A51BD1"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Instellingen nemen in deze cel geen kredietverplichtingen op waarvoor uitdrukkelijk in automatische opzegging is voorzien als de kredietwaardigheid van een kredietnemer verslechtert, maar die geen onvoorwaardelijk opzegbare verplichtingen zijn.</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 xml:space="preserve">Overeenkomstig artikel </w:t>
            </w:r>
            <w:r w:rsidRPr="00CF219D">
              <w:rPr>
                <w:rFonts w:ascii="Times New Roman" w:hAnsi="Times New Roman"/>
              </w:rPr>
              <w:t>429</w:t>
            </w:r>
            <w:r>
              <w:rPr>
                <w:rFonts w:ascii="Times New Roman" w:hAnsi="Times New Roman"/>
              </w:rPr>
              <w:t xml:space="preserve">, lid </w:t>
            </w:r>
            <w:r w:rsidRPr="00CF219D">
              <w:rPr>
                <w:rFonts w:ascii="Times New Roman" w:hAnsi="Times New Roman"/>
              </w:rPr>
              <w:t>10</w:t>
            </w:r>
            <w:r>
              <w:rPr>
                <w:rFonts w:ascii="Times New Roman" w:hAnsi="Times New Roman"/>
              </w:rPr>
              <w:t>, van de VKV houden instellingen in deze cel geen rekening met in bijlage II bij de VKV genoemde contracten, kredietderivaten en SFT's.</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w:t>
            </w:r>
            <w:r w:rsidRPr="00CF219D">
              <w:rPr>
                <w:rFonts w:ascii="Times New Roman" w:hAnsi="Times New Roman"/>
              </w:rPr>
              <w:t>140</w:t>
            </w:r>
            <w:r>
              <w:rPr>
                <w:rFonts w:ascii="Times New Roman" w:hAnsi="Times New Roman"/>
              </w:rPr>
              <w:t>;</w:t>
            </w:r>
            <w:r w:rsidRPr="00CF219D">
              <w:rPr>
                <w:rFonts w:ascii="Times New Roman" w:hAnsi="Times New Roman"/>
              </w:rPr>
              <w:t>070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Posten buiten de balanstelling met een middelgroot/laag risico volgens de standaardbenadering — Nominale waarde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111</w:t>
            </w:r>
            <w:r>
              <w:rPr>
                <w:rFonts w:ascii="Times New Roman" w:hAnsi="Times New Roman"/>
              </w:rPr>
              <w:t xml:space="preserve"> van de VKV</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 xml:space="preserve">Deze cel vermeldt de nominale waarde van posten buiten de balanstelling waaraan volgens de standaardbenadering voor het kredietrisico een kredietomrekeningsfactor van </w:t>
            </w:r>
            <w:r w:rsidRPr="00CF219D">
              <w:rPr>
                <w:rFonts w:ascii="Times New Roman" w:hAnsi="Times New Roman"/>
              </w:rPr>
              <w:t>20</w:t>
            </w:r>
            <w:r>
              <w:rPr>
                <w:rFonts w:ascii="Times New Roman" w:hAnsi="Times New Roman"/>
              </w:rPr>
              <w:t> % zou worden toegekend.</w:t>
            </w:r>
            <w:r>
              <w:t xml:space="preserve"> </w:t>
            </w:r>
            <w:r>
              <w:rPr>
                <w:rFonts w:ascii="Times New Roman" w:hAnsi="Times New Roman"/>
              </w:rPr>
              <w:t>Deze waarde wordt niet verminderd met specifieke kredietrisicoaanpassingen.</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 xml:space="preserve">Overeenkomstig artikel </w:t>
            </w:r>
            <w:r w:rsidRPr="00CF219D">
              <w:rPr>
                <w:rFonts w:ascii="Times New Roman" w:hAnsi="Times New Roman"/>
              </w:rPr>
              <w:t>429</w:t>
            </w:r>
            <w:r>
              <w:rPr>
                <w:rFonts w:ascii="Times New Roman" w:hAnsi="Times New Roman"/>
              </w:rPr>
              <w:t xml:space="preserve">, lid </w:t>
            </w:r>
            <w:r w:rsidRPr="00CF219D">
              <w:rPr>
                <w:rFonts w:ascii="Times New Roman" w:hAnsi="Times New Roman"/>
              </w:rPr>
              <w:t>10</w:t>
            </w:r>
            <w:r>
              <w:rPr>
                <w:rFonts w:ascii="Times New Roman" w:hAnsi="Times New Roman"/>
              </w:rPr>
              <w:t>, van de VKV houden instellingen in deze cel geen rekening met in bijlage II bij de VKV genoemde contracten, kredietderivaten en SFT's.</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w:t>
            </w:r>
            <w:r w:rsidRPr="00CF219D">
              <w:rPr>
                <w:rFonts w:ascii="Times New Roman" w:hAnsi="Times New Roman"/>
              </w:rPr>
              <w:t>150</w:t>
            </w:r>
            <w:r>
              <w:rPr>
                <w:rFonts w:ascii="Times New Roman" w:hAnsi="Times New Roman"/>
              </w:rPr>
              <w:t>;</w:t>
            </w:r>
            <w:r w:rsidRPr="00CF219D">
              <w:rPr>
                <w:rFonts w:ascii="Times New Roman" w:hAnsi="Times New Roman"/>
              </w:rPr>
              <w:t>070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Posten buiten de balanstelling met een middelgroot risico volgens de standaardbenadering — Nominale waarde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111</w:t>
            </w:r>
            <w:r>
              <w:rPr>
                <w:rFonts w:ascii="Times New Roman" w:hAnsi="Times New Roman"/>
              </w:rPr>
              <w:t xml:space="preserve"> van de VKV</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 xml:space="preserve">Deze cel vermeldt de nominale waarde van posten buiten de balanstelling waaraan volgens de standaardbenadering voor het kredietrisico een kredietomrekeningsfactor van </w:t>
            </w:r>
            <w:r w:rsidRPr="00CF219D">
              <w:rPr>
                <w:rFonts w:ascii="Times New Roman" w:hAnsi="Times New Roman"/>
              </w:rPr>
              <w:t>50</w:t>
            </w:r>
            <w:r>
              <w:rPr>
                <w:rFonts w:ascii="Times New Roman" w:hAnsi="Times New Roman"/>
              </w:rPr>
              <w:t> % zou worden toegekend.</w:t>
            </w:r>
            <w:r>
              <w:t xml:space="preserve"> </w:t>
            </w:r>
            <w:r>
              <w:rPr>
                <w:rFonts w:ascii="Times New Roman" w:hAnsi="Times New Roman"/>
              </w:rPr>
              <w:t>Deze waarde wordt niet verminderd met specifieke kredietrisicoaanpassingen.</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 xml:space="preserve">Overeenkomstig artikel </w:t>
            </w:r>
            <w:r w:rsidRPr="00CF219D">
              <w:rPr>
                <w:rFonts w:ascii="Times New Roman" w:hAnsi="Times New Roman"/>
              </w:rPr>
              <w:t>429</w:t>
            </w:r>
            <w:r>
              <w:rPr>
                <w:rFonts w:ascii="Times New Roman" w:hAnsi="Times New Roman"/>
              </w:rPr>
              <w:t xml:space="preserve">, lid </w:t>
            </w:r>
            <w:r w:rsidRPr="00CF219D">
              <w:rPr>
                <w:rFonts w:ascii="Times New Roman" w:hAnsi="Times New Roman"/>
              </w:rPr>
              <w:t>10</w:t>
            </w:r>
            <w:r>
              <w:rPr>
                <w:rFonts w:ascii="Times New Roman" w:hAnsi="Times New Roman"/>
              </w:rPr>
              <w:t>, van de VKV houden instellingen in deze cel geen rekening met in bijlage II bij de VKV genoemde contracten, kredietderivaten en SFT's.</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w:t>
            </w:r>
            <w:r w:rsidRPr="00CF219D">
              <w:rPr>
                <w:rFonts w:ascii="Times New Roman" w:hAnsi="Times New Roman"/>
              </w:rPr>
              <w:t>160</w:t>
            </w:r>
            <w:r>
              <w:rPr>
                <w:rFonts w:ascii="Times New Roman" w:hAnsi="Times New Roman"/>
              </w:rPr>
              <w:t>;</w:t>
            </w:r>
            <w:r w:rsidRPr="00CF219D">
              <w:rPr>
                <w:rFonts w:ascii="Times New Roman" w:hAnsi="Times New Roman"/>
              </w:rPr>
              <w:t>070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Posten buiten de balanstelling met een volledig risico volgens de standaardbenadering — Nominale waarde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111</w:t>
            </w:r>
            <w:r>
              <w:rPr>
                <w:rFonts w:ascii="Times New Roman" w:hAnsi="Times New Roman"/>
              </w:rPr>
              <w:t xml:space="preserve"> van de VKV</w:t>
            </w:r>
          </w:p>
          <w:p w:rsidR="00410E47" w:rsidRPr="00FE002E" w:rsidRDefault="00410E47" w:rsidP="007E2A41">
            <w:pPr>
              <w:pStyle w:val="BodyText1"/>
              <w:spacing w:line="240" w:lineRule="auto"/>
              <w:rPr>
                <w:rFonts w:ascii="Times New Roman" w:hAnsi="Times New Roman"/>
                <w:b/>
                <w:bCs/>
              </w:rPr>
            </w:pPr>
          </w:p>
          <w:p w:rsidR="00A51BD1" w:rsidRDefault="00410E47" w:rsidP="00A51BD1">
            <w:pPr>
              <w:pStyle w:val="BodyText1"/>
              <w:spacing w:line="240" w:lineRule="auto"/>
              <w:rPr>
                <w:rFonts w:ascii="Times New Roman" w:hAnsi="Times New Roman"/>
                <w:bCs/>
              </w:rPr>
            </w:pPr>
            <w:r>
              <w:rPr>
                <w:rFonts w:ascii="Times New Roman" w:hAnsi="Times New Roman"/>
              </w:rPr>
              <w:t xml:space="preserve">Deze cel vermeldt de nominale waarde van posten buiten de balanstelling waaraan volgens de standaardbenadering voor het kredietrisico een kredietomrekeningsfactor van </w:t>
            </w:r>
            <w:r w:rsidRPr="00CF219D">
              <w:rPr>
                <w:rFonts w:ascii="Times New Roman" w:hAnsi="Times New Roman"/>
              </w:rPr>
              <w:t>100</w:t>
            </w:r>
            <w:r>
              <w:rPr>
                <w:rFonts w:ascii="Times New Roman" w:hAnsi="Times New Roman"/>
              </w:rPr>
              <w:t> % zou worden toegekend. Deze waarde wordt niet verminderd met specifieke kredietrisicoaanpassingen.</w:t>
            </w:r>
          </w:p>
          <w:p w:rsidR="00410E47" w:rsidRPr="00FE002E" w:rsidRDefault="00410E47" w:rsidP="007E2A41">
            <w:pPr>
              <w:pStyle w:val="BodyText1"/>
              <w:spacing w:line="240" w:lineRule="auto"/>
              <w:rPr>
                <w:rFonts w:ascii="Times New Roman" w:hAnsi="Times New Roman"/>
                <w:bCs/>
              </w:rPr>
            </w:pPr>
          </w:p>
          <w:p w:rsidR="00410E47" w:rsidRPr="00FE002E" w:rsidRDefault="0034348F" w:rsidP="007E2A41">
            <w:pPr>
              <w:pStyle w:val="BodyText1"/>
              <w:spacing w:line="240" w:lineRule="auto"/>
              <w:rPr>
                <w:rFonts w:ascii="Times New Roman" w:hAnsi="Times New Roman"/>
                <w:bCs/>
              </w:rPr>
            </w:pPr>
            <w:r>
              <w:rPr>
                <w:rFonts w:ascii="Times New Roman" w:hAnsi="Times New Roman"/>
              </w:rPr>
              <w:t xml:space="preserve">Overeenkomstig artikel </w:t>
            </w:r>
            <w:r w:rsidRPr="00CF219D">
              <w:rPr>
                <w:rFonts w:ascii="Times New Roman" w:hAnsi="Times New Roman"/>
              </w:rPr>
              <w:t>429</w:t>
            </w:r>
            <w:r>
              <w:rPr>
                <w:rFonts w:ascii="Times New Roman" w:hAnsi="Times New Roman"/>
              </w:rPr>
              <w:t xml:space="preserve">, lid </w:t>
            </w:r>
            <w:r w:rsidRPr="00CF219D">
              <w:rPr>
                <w:rFonts w:ascii="Times New Roman" w:hAnsi="Times New Roman"/>
              </w:rPr>
              <w:t>10</w:t>
            </w:r>
            <w:r>
              <w:rPr>
                <w:rFonts w:ascii="Times New Roman" w:hAnsi="Times New Roman"/>
              </w:rPr>
              <w:t>, van de VKV houden instellingen in deze cel geen rekening met in bijlage II bij de VKV genoemde contracten, kredietderivaten en SFT's.</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w:t>
            </w:r>
            <w:r w:rsidRPr="00CF219D">
              <w:rPr>
                <w:rFonts w:ascii="Times New Roman" w:hAnsi="Times New Roman"/>
              </w:rPr>
              <w:t>170</w:t>
            </w:r>
            <w:r>
              <w:rPr>
                <w:rFonts w:ascii="Times New Roman" w:hAnsi="Times New Roman"/>
              </w:rPr>
              <w:t>;</w:t>
            </w:r>
            <w:r w:rsidRPr="00CF219D">
              <w:rPr>
                <w:rFonts w:ascii="Times New Roman" w:hAnsi="Times New Roman"/>
              </w:rPr>
              <w:t>070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(pro-memoriepost) Opgenomen bedragen van revolverende blootstellingen met betrekking tot particulieren en kleine partijen — Nominale waarde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154</w:t>
            </w:r>
            <w:r>
              <w:rPr>
                <w:rFonts w:ascii="Times New Roman" w:hAnsi="Times New Roman"/>
              </w:rPr>
              <w:t xml:space="preserve">, lid </w:t>
            </w:r>
            <w:r w:rsidRPr="00CF219D">
              <w:rPr>
                <w:rFonts w:ascii="Times New Roman" w:hAnsi="Times New Roman"/>
              </w:rPr>
              <w:t>4</w:t>
            </w:r>
            <w:r>
              <w:rPr>
                <w:rFonts w:ascii="Times New Roman" w:hAnsi="Times New Roman"/>
              </w:rPr>
              <w:t>, van de VKV</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Deze cel vermeldt de nominale waarde van opgenomen bedragen op revolverende blootstellingen met betrekking tot particulieren en kleine partijen buiten de balanstelling.</w:t>
            </w:r>
            <w:r>
              <w:t xml:space="preserve"> </w:t>
            </w:r>
            <w:r>
              <w:rPr>
                <w:rFonts w:ascii="Times New Roman" w:hAnsi="Times New Roman"/>
              </w:rPr>
              <w:t>Deze waarde wordt niet verminderd met specifieke kredietrisicoaanpassingen.</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w:t>
            </w:r>
            <w:r w:rsidRPr="00CF219D">
              <w:rPr>
                <w:rFonts w:ascii="Times New Roman" w:hAnsi="Times New Roman"/>
              </w:rPr>
              <w:t>180</w:t>
            </w:r>
            <w:r>
              <w:rPr>
                <w:rFonts w:ascii="Times New Roman" w:hAnsi="Times New Roman"/>
              </w:rPr>
              <w:t>;</w:t>
            </w:r>
            <w:r w:rsidRPr="00CF219D">
              <w:rPr>
                <w:rFonts w:ascii="Times New Roman" w:hAnsi="Times New Roman"/>
              </w:rPr>
              <w:t>070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(pro-memoriepost) Opgenomen bedragen op onvoorwaardelijk opzegbare kredietkaartverplichtingen — Nominale waarde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111</w:t>
            </w:r>
            <w:r>
              <w:rPr>
                <w:rFonts w:ascii="Times New Roman" w:hAnsi="Times New Roman"/>
              </w:rPr>
              <w:t xml:space="preserve"> en artikel </w:t>
            </w:r>
            <w:r w:rsidRPr="00CF219D">
              <w:rPr>
                <w:rFonts w:ascii="Times New Roman" w:hAnsi="Times New Roman"/>
              </w:rPr>
              <w:t>154</w:t>
            </w:r>
            <w:r>
              <w:rPr>
                <w:rFonts w:ascii="Times New Roman" w:hAnsi="Times New Roman"/>
              </w:rPr>
              <w:t xml:space="preserve">, lid </w:t>
            </w:r>
            <w:r w:rsidRPr="00CF219D">
              <w:rPr>
                <w:rFonts w:ascii="Times New Roman" w:hAnsi="Times New Roman"/>
              </w:rPr>
              <w:t>4</w:t>
            </w:r>
            <w:r>
              <w:rPr>
                <w:rFonts w:ascii="Times New Roman" w:hAnsi="Times New Roman"/>
              </w:rPr>
              <w:t>, van de VKV</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Deze cel vermeldt de nominale waarde van opgenomen bedragen op onvoorwaardelijk opzegbare kredietkaartverplichtingen. Deze waarde wordt niet verminderd met specifieke kredietrisicoaanpassingen.</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w:t>
            </w:r>
            <w:r w:rsidRPr="00CF219D">
              <w:rPr>
                <w:rFonts w:ascii="Times New Roman" w:hAnsi="Times New Roman"/>
              </w:rPr>
              <w:t>190</w:t>
            </w:r>
            <w:r>
              <w:rPr>
                <w:rFonts w:ascii="Times New Roman" w:hAnsi="Times New Roman"/>
              </w:rPr>
              <w:t>;</w:t>
            </w:r>
            <w:r w:rsidRPr="00CF219D">
              <w:rPr>
                <w:rFonts w:ascii="Times New Roman" w:hAnsi="Times New Roman"/>
              </w:rPr>
              <w:t>070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(pro-memoriepost) Opgenomen bedragen op niet-revolverende onvoorwaardelijk opzegbare verplichtingen — Nominale waarde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111</w:t>
            </w:r>
            <w:r>
              <w:rPr>
                <w:rFonts w:ascii="Times New Roman" w:hAnsi="Times New Roman"/>
              </w:rPr>
              <w:t xml:space="preserve"> en artikel </w:t>
            </w:r>
            <w:r w:rsidRPr="00CF219D">
              <w:rPr>
                <w:rFonts w:ascii="Times New Roman" w:hAnsi="Times New Roman"/>
              </w:rPr>
              <w:t>154</w:t>
            </w:r>
            <w:r>
              <w:rPr>
                <w:rFonts w:ascii="Times New Roman" w:hAnsi="Times New Roman"/>
              </w:rPr>
              <w:t xml:space="preserve">, lid </w:t>
            </w:r>
            <w:r w:rsidRPr="00CF219D">
              <w:rPr>
                <w:rFonts w:ascii="Times New Roman" w:hAnsi="Times New Roman"/>
              </w:rPr>
              <w:t>4</w:t>
            </w:r>
            <w:r>
              <w:rPr>
                <w:rFonts w:ascii="Times New Roman" w:hAnsi="Times New Roman"/>
              </w:rPr>
              <w:t>, van de VKV</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Deze cel vermeldt de nominale waarde van opgenomen bedragen op niet-revolverende onvoorwaardelijk opzegbare verplichtingen.</w:t>
            </w:r>
            <w:r>
              <w:t xml:space="preserve"> </w:t>
            </w:r>
            <w:r>
              <w:rPr>
                <w:rFonts w:ascii="Times New Roman" w:hAnsi="Times New Roman"/>
              </w:rPr>
              <w:t>Deze waarde wordt niet verminderd met specifieke kredietrisicoaanpassingen.</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w:t>
            </w:r>
            <w:r w:rsidRPr="00CF219D">
              <w:rPr>
                <w:rFonts w:ascii="Times New Roman" w:hAnsi="Times New Roman"/>
              </w:rPr>
              <w:t>210</w:t>
            </w:r>
            <w:r>
              <w:rPr>
                <w:rFonts w:ascii="Times New Roman" w:hAnsi="Times New Roman"/>
              </w:rPr>
              <w:t>;</w:t>
            </w:r>
            <w:r w:rsidRPr="00CF219D">
              <w:rPr>
                <w:rFonts w:ascii="Times New Roman" w:hAnsi="Times New Roman"/>
              </w:rPr>
              <w:t>020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In de vorm van contanten ontvangen zekerheden bij derivatentransacties — Boekwaarde in de veronderstelling dat er geen sprake is van verrekening of andere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De boekhoudkundige balanswaarde volgens het toepasselijke kader voor financiële verslaggeving van bij derivatentransacties ontvangen zekerheden in de vorm van contanten, in de veronderstelling dat er geen sprake is van boekhoudkundige verrekenings- of andere CRM-effecten (dit betekent dat alle effecten van boekhoudkundige verrekening of CRM die de boekwaarde hebben beïnvloed, worden teruggedraaid).</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217B44">
            <w:pPr>
              <w:pStyle w:val="BodyText1"/>
              <w:tabs>
                <w:tab w:val="left" w:pos="4755"/>
              </w:tabs>
              <w:spacing w:line="240" w:lineRule="auto"/>
              <w:rPr>
                <w:rFonts w:ascii="Times New Roman" w:hAnsi="Times New Roman"/>
                <w:b/>
                <w:bCs/>
              </w:rPr>
            </w:pPr>
            <w:r>
              <w:rPr>
                <w:rFonts w:ascii="Times New Roman" w:hAnsi="Times New Roman"/>
              </w:rPr>
              <w:t>Voor deze cel wordt onder contanten het totale bedrag aan contanten in de vorm van chartaal geld/valuta's verstaan. Het totale bedrag aan bij centrale banken aangehouden deposito's is inbegrepen, voor zover die deposito's in tijden van stress kunnen worden opgevraagd. Instellingen rapporteren in deze cel geen contanten die bij andere instellingen zijn gedeponeerd.</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w:t>
            </w:r>
            <w:r w:rsidRPr="00CF219D">
              <w:rPr>
                <w:rFonts w:ascii="Times New Roman" w:hAnsi="Times New Roman"/>
              </w:rPr>
              <w:t>220</w:t>
            </w:r>
            <w:r>
              <w:rPr>
                <w:rFonts w:ascii="Times New Roman" w:hAnsi="Times New Roman"/>
              </w:rPr>
              <w:t>;</w:t>
            </w:r>
            <w:r w:rsidRPr="00CF219D">
              <w:rPr>
                <w:rFonts w:ascii="Times New Roman" w:hAnsi="Times New Roman"/>
              </w:rPr>
              <w:t>020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Te ontvangen activa uit hoofde van bij derivatentransacties gestorte zekerheden in de vorm van contanten — Boekwaarde in de veronderstelling dat er geen sprake is van verrekening of andere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 xml:space="preserve">De boekhoudkundige balanswaarde volgens het toepasselijke kader voor financiële verslaggeving van te ontvangen activa uit hoofde van bij derivatentransacties gestorte zekerheden in de vorm van contanten, in de veronderstelling dat er geen sprake is van boekhoudkundige verrekenings- of andere CRM-effecten (dit betekent dat alle effecten van boekhoudkundige verrekening of CRM die de boekwaarde hebben beïnvloed, worden teruggedraaid). Instellingen die volgens het toepasselijke kader voor financiële verslaggeving de vordering uit hoofde van de tegen de desbetreffende derivatenverplichting gestorte zekerheden in de vorm van contanten (negatieve reële waarde) mogen verrekenen </w:t>
            </w:r>
            <w:r>
              <w:rPr>
                <w:rFonts w:ascii="Times New Roman" w:hAnsi="Times New Roman"/>
              </w:rPr>
              <w:lastRenderedPageBreak/>
              <w:t>en die ervoor kiezen dat te doen, moeten de saldering tegenboeken en de nettovordering in contanten rapporteren.</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w:t>
            </w:r>
            <w:r w:rsidRPr="00CF219D">
              <w:rPr>
                <w:rFonts w:ascii="Times New Roman" w:hAnsi="Times New Roman"/>
              </w:rPr>
              <w:t>230</w:t>
            </w:r>
            <w:r>
              <w:rPr>
                <w:rFonts w:ascii="Times New Roman" w:hAnsi="Times New Roman"/>
              </w:rPr>
              <w:t>;</w:t>
            </w:r>
            <w:r w:rsidRPr="00CF219D">
              <w:rPr>
                <w:rFonts w:ascii="Times New Roman" w:hAnsi="Times New Roman"/>
              </w:rPr>
              <w:t>020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Bij een SFT ontvangen effecten die worden geactiveerd — Boekwaarde in de veronderstelling dat er geen sprake is van verrekening of andere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De boekhoudkundige balanswaarde volgens het toepasselijke kader voor financiële verslaggeving van effecten ontvangen bij een SFT welke volgens het toepasselijke kader voor financiële verslaggeving worden geactiveerd, in de veronderstelling dat er geen sprake is van boekhoudkundige verrekenings- of andere CRM-effecten (dit betekent dat alle effecten van boekhoudkundige verrekening of CRM die de boekwaarde hebben beïnvloed, worden teruggedraaid).</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w:t>
            </w:r>
            <w:r w:rsidRPr="00CF219D">
              <w:rPr>
                <w:rFonts w:ascii="Times New Roman" w:hAnsi="Times New Roman"/>
              </w:rPr>
              <w:t>240</w:t>
            </w:r>
            <w:r>
              <w:rPr>
                <w:rFonts w:ascii="Times New Roman" w:hAnsi="Times New Roman"/>
              </w:rPr>
              <w:t>;</w:t>
            </w:r>
            <w:r w:rsidRPr="00CF219D">
              <w:rPr>
                <w:rFonts w:ascii="Times New Roman" w:hAnsi="Times New Roman"/>
              </w:rPr>
              <w:t>020</w:t>
            </w:r>
            <w:r>
              <w:rPr>
                <w:rFonts w:ascii="Times New Roman" w:hAnsi="Times New Roman"/>
              </w:rPr>
              <w:t>}</w:t>
            </w:r>
          </w:p>
        </w:tc>
        <w:tc>
          <w:tcPr>
            <w:tcW w:w="7620" w:type="dxa"/>
          </w:tcPr>
          <w:p w:rsidR="00410E47" w:rsidRPr="00FE002E" w:rsidRDefault="00410E47" w:rsidP="007E2A41">
            <w:pPr>
              <w:pStyle w:val="BodyText1"/>
              <w:tabs>
                <w:tab w:val="left" w:pos="4755"/>
              </w:tabs>
              <w:spacing w:line="240" w:lineRule="auto"/>
              <w:rPr>
                <w:rFonts w:ascii="Times New Roman" w:hAnsi="Times New Roman"/>
                <w:b/>
                <w:bCs/>
              </w:rPr>
            </w:pPr>
            <w:r>
              <w:rPr>
                <w:rFonts w:ascii="Times New Roman" w:hAnsi="Times New Roman"/>
                <w:b/>
              </w:rPr>
              <w:t>SFT-kredietverlening in contanten via derden (vorderingen in contanten) — Boekwaarde in de veronderstelling dat er geen sprake is van verrekening of andere CRM</w:t>
            </w:r>
          </w:p>
          <w:p w:rsidR="00410E47" w:rsidRPr="00FE002E" w:rsidRDefault="00410E47" w:rsidP="007E2A41">
            <w:pPr>
              <w:pStyle w:val="BodyText1"/>
              <w:tabs>
                <w:tab w:val="left" w:pos="4755"/>
              </w:tabs>
              <w:spacing w:line="240" w:lineRule="auto"/>
              <w:rPr>
                <w:rFonts w:ascii="Times New Roman" w:hAnsi="Times New Roman"/>
                <w:b/>
                <w:bCs/>
              </w:rPr>
            </w:pPr>
          </w:p>
          <w:p w:rsidR="00410E47" w:rsidRPr="00FE002E" w:rsidRDefault="00410E47" w:rsidP="007E2A41">
            <w:pPr>
              <w:pStyle w:val="BodyText1"/>
              <w:tabs>
                <w:tab w:val="left" w:pos="4755"/>
              </w:tabs>
              <w:spacing w:line="240" w:lineRule="auto"/>
              <w:rPr>
                <w:rFonts w:ascii="Times New Roman" w:hAnsi="Times New Roman"/>
              </w:rPr>
            </w:pPr>
            <w:r>
              <w:rPr>
                <w:rFonts w:ascii="Times New Roman" w:hAnsi="Times New Roman"/>
              </w:rPr>
              <w:t>De boekhoudkundige balanswaarde volgens het toepasselijke kader voor financiële verslaggeving voor de contanten die via een derde aan de effecteneigenaar zijn doorgeleend bij een gekwalificeerde transactie inzake uitlening van contanten via een derde (Cash Conduit Lending Transaction — CCLT), in de veronderstelling dat er geen sprake is van boekhoudkundige verrekenings- of andere CRM-effecten (dit betekent dat alle effecten van boekhoudkundige verrekening of CRM die de boekwaarde hebben beïnvloed, worden teruggedraaid).</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410E47" w:rsidP="007E2A41">
            <w:pPr>
              <w:pStyle w:val="BodyText1"/>
              <w:tabs>
                <w:tab w:val="left" w:pos="4755"/>
              </w:tabs>
              <w:spacing w:line="240" w:lineRule="auto"/>
              <w:rPr>
                <w:rFonts w:ascii="Times New Roman" w:hAnsi="Times New Roman"/>
              </w:rPr>
            </w:pPr>
            <w:r>
              <w:rPr>
                <w:rFonts w:ascii="Times New Roman" w:hAnsi="Times New Roman"/>
              </w:rPr>
              <w:t>Voor deze cel wordt onder contanten het totale bedrag aan contanten in de vorm van chartaal geld/valuta's verstaan. Het totale bedrag aan bij centrale banken aangehouden deposito's is inbegrepen, voor zover die deposito's in tijden van stress kunnen worden opgevraagd. Instellingen rapporteren in deze cel geen contanten die bij andere instellingen zijn gedeponeerd.</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410E47" w:rsidP="007E2A41">
            <w:pPr>
              <w:pStyle w:val="BodyText1"/>
              <w:tabs>
                <w:tab w:val="left" w:pos="4755"/>
              </w:tabs>
              <w:spacing w:line="240" w:lineRule="auto"/>
              <w:rPr>
                <w:rFonts w:ascii="Times New Roman" w:hAnsi="Times New Roman"/>
              </w:rPr>
            </w:pPr>
            <w:r>
              <w:rPr>
                <w:rFonts w:ascii="Times New Roman" w:hAnsi="Times New Roman"/>
              </w:rPr>
              <w:t>Onder CCLT wordt het volgende verstaan: een combinatie van twee transacties waarbij een instelling effecten leent van de effecteneigenaar en effecten doorleent aan de effectenlener. Tegelijkertijd ontvangt de instelling zekerheden in de vorm van contanten van de effectenlener en leent zij de ontvangen contanten door aan de effecteneigenaar. Een gekwalificeerde CCLT voldoet aan de volgende voorwaarden:</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(a)</w:t>
            </w:r>
            <w:r>
              <w:tab/>
            </w:r>
            <w:r>
              <w:rPr>
                <w:rFonts w:ascii="Times New Roman" w:hAnsi="Times New Roman"/>
                <w:color w:val="000000"/>
              </w:rPr>
              <w:t>de beide deeltransacties die gezamenlijk de gekwalificeerde CCLT vormen, worden uitgevoerd op dezelfde transactiedatum of, bij internationale transacties, op aansluitende handelsdagen;</w:t>
            </w: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(b)</w:t>
            </w:r>
            <w:r>
              <w:tab/>
            </w:r>
            <w:r>
              <w:rPr>
                <w:rFonts w:ascii="Times New Roman" w:hAnsi="Times New Roman"/>
                <w:color w:val="000000"/>
              </w:rPr>
              <w:t>als er voor de deeltransacties geen looptijd is opgegeven, is de instelling wettelijk gerechtigd beide deeltransacties van de CCLT te allen tijde en zonder voorafgaande kennisgeving vroegtijdig af te wikkelen;</w:t>
            </w: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(c)</w:t>
            </w:r>
            <w:r>
              <w:tab/>
            </w:r>
            <w:r>
              <w:rPr>
                <w:rFonts w:ascii="Times New Roman" w:hAnsi="Times New Roman"/>
                <w:color w:val="000000"/>
              </w:rPr>
              <w:t>als er voor de deeltransacties wel een looptijd is opgegeven, mogen er door de CCLT geen looptijdverschillen ontstaan voor de instelling; de instelling is wettelijk gerechtigd beide deeltransacties van de CCLT te allen tijde en zonder voorafgaande kennisgeving vroegtijdig af te wikkelen;</w:t>
            </w: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(d)</w:t>
            </w:r>
            <w:r>
              <w:tab/>
            </w:r>
            <w:r>
              <w:rPr>
                <w:rFonts w:ascii="Times New Roman" w:hAnsi="Times New Roman"/>
                <w:color w:val="000000"/>
              </w:rPr>
              <w:t>er mogen door de CCLT geen andere additionele blootstellingen ontstaan.</w:t>
            </w:r>
          </w:p>
          <w:p w:rsidR="00410E47" w:rsidRPr="00FE002E" w:rsidRDefault="00410E47" w:rsidP="007E2A41">
            <w:pPr>
              <w:pStyle w:val="BodyText1"/>
              <w:spacing w:line="240" w:lineRule="auto"/>
              <w:rPr>
                <w:rFonts w:ascii="Times New Roman" w:hAnsi="Times New Roman"/>
                <w:b/>
                <w:bCs/>
              </w:rPr>
            </w:pPr>
          </w:p>
        </w:tc>
      </w:tr>
      <w:tr w:rsidR="004B5877" w:rsidRPr="00FE002E" w:rsidTr="004B5877">
        <w:tc>
          <w:tcPr>
            <w:tcW w:w="1418" w:type="dxa"/>
          </w:tcPr>
          <w:p w:rsidR="004B5877" w:rsidRPr="00FE002E" w:rsidRDefault="004B5877" w:rsidP="004178C8">
            <w:pPr>
              <w:pStyle w:val="BodyText1"/>
              <w:rPr>
                <w:rFonts w:ascii="Times New Roman" w:hAnsi="Times New Roman"/>
                <w:bCs/>
              </w:rPr>
            </w:pPr>
            <w:bookmarkStart w:id="62" w:name="_Toc322687882"/>
            <w:bookmarkEnd w:id="54"/>
            <w:r>
              <w:rPr>
                <w:rFonts w:ascii="Times New Roman" w:hAnsi="Times New Roman"/>
              </w:rPr>
              <w:t>{</w:t>
            </w:r>
            <w:r w:rsidRPr="00CF219D">
              <w:rPr>
                <w:rFonts w:ascii="Times New Roman" w:hAnsi="Times New Roman"/>
              </w:rPr>
              <w:t>250</w:t>
            </w:r>
            <w:r>
              <w:rPr>
                <w:rFonts w:ascii="Times New Roman" w:hAnsi="Times New Roman"/>
              </w:rPr>
              <w:t>;</w:t>
            </w:r>
            <w:r w:rsidRPr="00CF219D">
              <w:rPr>
                <w:rFonts w:ascii="Times New Roman" w:hAnsi="Times New Roman"/>
              </w:rPr>
              <w:t>120</w:t>
            </w:r>
            <w:r>
              <w:rPr>
                <w:rFonts w:ascii="Times New Roman" w:hAnsi="Times New Roman"/>
              </w:rPr>
              <w:t>}</w:t>
            </w:r>
          </w:p>
        </w:tc>
        <w:tc>
          <w:tcPr>
            <w:tcW w:w="7620" w:type="dxa"/>
          </w:tcPr>
          <w:p w:rsidR="004B5877" w:rsidRDefault="004B5877" w:rsidP="004B5877">
            <w:pPr>
              <w:pStyle w:val="BodyText1"/>
              <w:tabs>
                <w:tab w:val="left" w:pos="4755"/>
              </w:tabs>
              <w:spacing w:line="240" w:lineRule="auto"/>
              <w:rPr>
                <w:rFonts w:ascii="Times New Roman" w:hAnsi="Times New Roman"/>
                <w:bCs/>
              </w:rPr>
            </w:pPr>
            <w:r>
              <w:rPr>
                <w:rFonts w:ascii="Times New Roman" w:hAnsi="Times New Roman"/>
                <w:b/>
              </w:rPr>
              <w:t xml:space="preserve">Blootstellingen die voor de in artikel </w:t>
            </w:r>
            <w:r w:rsidRPr="00CF219D">
              <w:rPr>
                <w:rFonts w:ascii="Times New Roman" w:hAnsi="Times New Roman"/>
                <w:b/>
              </w:rPr>
              <w:t>113</w:t>
            </w:r>
            <w:r>
              <w:rPr>
                <w:rFonts w:ascii="Times New Roman" w:hAnsi="Times New Roman"/>
                <w:b/>
              </w:rPr>
              <w:t xml:space="preserve">, lid </w:t>
            </w:r>
            <w:r w:rsidRPr="00CF219D">
              <w:rPr>
                <w:rFonts w:ascii="Times New Roman" w:hAnsi="Times New Roman"/>
                <w:b/>
              </w:rPr>
              <w:t>6</w:t>
            </w:r>
            <w:r>
              <w:rPr>
                <w:rFonts w:ascii="Times New Roman" w:hAnsi="Times New Roman"/>
                <w:b/>
              </w:rPr>
              <w:t>, van de VKV vastgestelde behandeling in aanmerking komen — Hypothetisch uitgesloten blootstellingswaarde voor de berekening van de hefboomratio</w:t>
            </w:r>
          </w:p>
          <w:p w:rsidR="00A46F6B" w:rsidRDefault="00A46F6B" w:rsidP="004178C8">
            <w:pPr>
              <w:pStyle w:val="BodyText1"/>
              <w:tabs>
                <w:tab w:val="left" w:pos="4755"/>
              </w:tabs>
              <w:spacing w:line="240" w:lineRule="auto"/>
              <w:rPr>
                <w:rFonts w:ascii="Times New Roman" w:hAnsi="Times New Roman"/>
                <w:bCs/>
              </w:rPr>
            </w:pPr>
          </w:p>
          <w:p w:rsidR="004B5877" w:rsidRDefault="004B5877" w:rsidP="004178C8">
            <w:pPr>
              <w:pStyle w:val="BodyText1"/>
              <w:tabs>
                <w:tab w:val="left" w:pos="4755"/>
              </w:tabs>
              <w:spacing w:line="240" w:lineRule="auto"/>
              <w:rPr>
                <w:rFonts w:ascii="Times New Roman" w:hAnsi="Times New Roman"/>
                <w:bCs/>
              </w:rPr>
            </w:pPr>
            <w:r>
              <w:rPr>
                <w:rFonts w:ascii="Times New Roman" w:hAnsi="Times New Roman"/>
              </w:rPr>
              <w:t>Het bedrag van de totale risicoblootstelling voor de berekening van de hefboomratio dat zou worden uitgesloten indien de bevoegde autoriteiten de ruimste toelating zouden geven voor het uitsluiten van blootstellingen waarvoor alle in artikel </w:t>
            </w:r>
            <w:r w:rsidRPr="00CF219D">
              <w:rPr>
                <w:rFonts w:ascii="Times New Roman" w:hAnsi="Times New Roman"/>
              </w:rPr>
              <w:t>113</w:t>
            </w:r>
            <w:r>
              <w:rPr>
                <w:rFonts w:ascii="Times New Roman" w:hAnsi="Times New Roman"/>
              </w:rPr>
              <w:t>, lid </w:t>
            </w:r>
            <w:r w:rsidRPr="00CF219D">
              <w:rPr>
                <w:rFonts w:ascii="Times New Roman" w:hAnsi="Times New Roman"/>
              </w:rPr>
              <w:t>6</w:t>
            </w:r>
            <w:r>
              <w:rPr>
                <w:rFonts w:ascii="Times New Roman" w:hAnsi="Times New Roman"/>
              </w:rPr>
              <w:t>, onder a) tot en met e), van de VKV zijn vervuld en waarvoor de in artikel </w:t>
            </w:r>
            <w:r w:rsidRPr="00CF219D">
              <w:rPr>
                <w:rFonts w:ascii="Times New Roman" w:hAnsi="Times New Roman"/>
              </w:rPr>
              <w:t>113</w:t>
            </w:r>
            <w:r>
              <w:rPr>
                <w:rFonts w:ascii="Times New Roman" w:hAnsi="Times New Roman"/>
              </w:rPr>
              <w:t>, lid </w:t>
            </w:r>
            <w:r w:rsidRPr="00CF219D">
              <w:rPr>
                <w:rFonts w:ascii="Times New Roman" w:hAnsi="Times New Roman"/>
              </w:rPr>
              <w:t>6</w:t>
            </w:r>
            <w:r>
              <w:rPr>
                <w:rFonts w:ascii="Times New Roman" w:hAnsi="Times New Roman"/>
              </w:rPr>
              <w:t xml:space="preserve">, van de VKV bedoelde </w:t>
            </w:r>
            <w:r>
              <w:rPr>
                <w:rFonts w:ascii="Times New Roman" w:hAnsi="Times New Roman"/>
              </w:rPr>
              <w:lastRenderedPageBreak/>
              <w:t>goedkeuring is verleend. Indien de bevoegde autoriteit reeds de ruimste toelating heeft gegeven, dan is de waarde in deze cel gelijk aan die in {LRCalc;</w:t>
            </w:r>
            <w:r w:rsidRPr="00CF219D">
              <w:rPr>
                <w:rFonts w:ascii="Times New Roman" w:hAnsi="Times New Roman"/>
              </w:rPr>
              <w:t>250</w:t>
            </w:r>
            <w:r>
              <w:rPr>
                <w:rFonts w:ascii="Times New Roman" w:hAnsi="Times New Roman"/>
              </w:rPr>
              <w:t>;</w:t>
            </w:r>
            <w:r w:rsidRPr="00CF219D">
              <w:rPr>
                <w:rFonts w:ascii="Times New Roman" w:hAnsi="Times New Roman"/>
              </w:rPr>
              <w:t>010</w:t>
            </w:r>
            <w:r>
              <w:rPr>
                <w:rFonts w:ascii="Times New Roman" w:hAnsi="Times New Roman"/>
              </w:rPr>
              <w:t>}.</w:t>
            </w:r>
          </w:p>
          <w:p w:rsidR="004B5877" w:rsidRPr="00FE002E" w:rsidRDefault="004B5877" w:rsidP="006A32F5">
            <w:pPr>
              <w:pStyle w:val="Paragraph"/>
              <w:ind w:firstLine="0"/>
              <w:rPr>
                <w:rFonts w:ascii="Times New Roman" w:hAnsi="Times New Roman"/>
                <w:b/>
                <w:bCs/>
              </w:rPr>
            </w:pPr>
          </w:p>
        </w:tc>
      </w:tr>
      <w:tr w:rsidR="004B5877" w:rsidRPr="00FE002E" w:rsidTr="004B5877">
        <w:tc>
          <w:tcPr>
            <w:tcW w:w="1418" w:type="dxa"/>
          </w:tcPr>
          <w:p w:rsidR="004B5877" w:rsidRPr="00FE002E" w:rsidRDefault="004B5877" w:rsidP="004178C8">
            <w:pPr>
              <w:pStyle w:val="BodyText1"/>
              <w:rPr>
                <w:rFonts w:ascii="Times New Roman" w:hAnsi="Times New Roman"/>
                <w:bCs/>
              </w:rPr>
            </w:pPr>
            <w:r>
              <w:rPr>
                <w:rFonts w:ascii="Times New Roman" w:hAnsi="Times New Roman"/>
              </w:rPr>
              <w:lastRenderedPageBreak/>
              <w:t>{</w:t>
            </w:r>
            <w:r w:rsidRPr="00CF219D">
              <w:rPr>
                <w:rFonts w:ascii="Times New Roman" w:hAnsi="Times New Roman"/>
              </w:rPr>
              <w:t>260</w:t>
            </w:r>
            <w:r>
              <w:rPr>
                <w:rFonts w:ascii="Times New Roman" w:hAnsi="Times New Roman"/>
              </w:rPr>
              <w:t>;</w:t>
            </w:r>
            <w:r w:rsidRPr="00CF219D">
              <w:rPr>
                <w:rFonts w:ascii="Times New Roman" w:hAnsi="Times New Roman"/>
              </w:rPr>
              <w:t>120</w:t>
            </w:r>
            <w:r>
              <w:rPr>
                <w:rFonts w:ascii="Times New Roman" w:hAnsi="Times New Roman"/>
              </w:rPr>
              <w:t>}</w:t>
            </w:r>
          </w:p>
        </w:tc>
        <w:tc>
          <w:tcPr>
            <w:tcW w:w="7620" w:type="dxa"/>
          </w:tcPr>
          <w:p w:rsidR="004B5877" w:rsidRPr="00FE002E" w:rsidRDefault="004B5877" w:rsidP="004B5877">
            <w:pPr>
              <w:pStyle w:val="BodyText1"/>
              <w:tabs>
                <w:tab w:val="left" w:pos="4755"/>
              </w:tabs>
              <w:spacing w:line="240" w:lineRule="auto"/>
              <w:rPr>
                <w:rFonts w:ascii="Times New Roman" w:hAnsi="Times New Roman"/>
                <w:b/>
                <w:bCs/>
              </w:rPr>
            </w:pPr>
            <w:r>
              <w:rPr>
                <w:rFonts w:ascii="Times New Roman" w:hAnsi="Times New Roman"/>
                <w:b/>
              </w:rPr>
              <w:t xml:space="preserve">Blootstellingen die aan de in artikel </w:t>
            </w:r>
            <w:r w:rsidRPr="00CF219D">
              <w:rPr>
                <w:rFonts w:ascii="Times New Roman" w:hAnsi="Times New Roman"/>
                <w:b/>
              </w:rPr>
              <w:t>429</w:t>
            </w:r>
            <w:r>
              <w:rPr>
                <w:rFonts w:ascii="Times New Roman" w:hAnsi="Times New Roman"/>
                <w:b/>
              </w:rPr>
              <w:t xml:space="preserve">, lid </w:t>
            </w:r>
            <w:r w:rsidRPr="00CF219D">
              <w:rPr>
                <w:rFonts w:ascii="Times New Roman" w:hAnsi="Times New Roman"/>
                <w:b/>
              </w:rPr>
              <w:t>14</w:t>
            </w:r>
            <w:r>
              <w:rPr>
                <w:rFonts w:ascii="Times New Roman" w:hAnsi="Times New Roman"/>
                <w:b/>
              </w:rPr>
              <w:t>, onder a), b) en c), van de VKV gestelde voorwaarden voldoen — Hypothetisch uitgesloten blootstellingswaarde voor de berekening van de hefboomratio</w:t>
            </w:r>
          </w:p>
          <w:p w:rsidR="004B5877" w:rsidRDefault="004B5877" w:rsidP="004B5877">
            <w:pPr>
              <w:pStyle w:val="BodyText1"/>
              <w:tabs>
                <w:tab w:val="left" w:pos="4755"/>
              </w:tabs>
              <w:spacing w:line="240" w:lineRule="auto"/>
              <w:rPr>
                <w:rFonts w:ascii="Times New Roman" w:hAnsi="Times New Roman"/>
                <w:bCs/>
              </w:rPr>
            </w:pPr>
          </w:p>
          <w:p w:rsidR="00214D62" w:rsidRDefault="00214D62" w:rsidP="004B5877">
            <w:pPr>
              <w:pStyle w:val="BodyText1"/>
              <w:tabs>
                <w:tab w:val="left" w:pos="4755"/>
              </w:tabs>
              <w:spacing w:line="240" w:lineRule="auto"/>
              <w:rPr>
                <w:rFonts w:ascii="Times New Roman" w:hAnsi="Times New Roman"/>
                <w:bCs/>
              </w:rPr>
            </w:pPr>
            <w:r>
              <w:rPr>
                <w:rFonts w:ascii="Times New Roman" w:hAnsi="Times New Roman"/>
              </w:rPr>
              <w:t xml:space="preserve">Het bedrag van de totale risicoblootstelling voor de berekening van de hefboomratio dat zou worden uitgesloten indien de bevoegde autoriteiten de ruimste toelating zouden geven voor het uitsluiten van blootstellingen die aan de in artikel </w:t>
            </w:r>
            <w:r w:rsidRPr="00CF219D">
              <w:rPr>
                <w:rFonts w:ascii="Times New Roman" w:hAnsi="Times New Roman"/>
              </w:rPr>
              <w:t>429</w:t>
            </w:r>
            <w:r>
              <w:rPr>
                <w:rFonts w:ascii="Times New Roman" w:hAnsi="Times New Roman"/>
              </w:rPr>
              <w:t xml:space="preserve">, lid </w:t>
            </w:r>
            <w:r w:rsidRPr="00CF219D">
              <w:rPr>
                <w:rFonts w:ascii="Times New Roman" w:hAnsi="Times New Roman"/>
              </w:rPr>
              <w:t>14</w:t>
            </w:r>
            <w:r>
              <w:rPr>
                <w:rFonts w:ascii="Times New Roman" w:hAnsi="Times New Roman"/>
              </w:rPr>
              <w:t>, onder a), b) en c), van de VKV voldoen. Indien de bevoegde autoriteit reeds de ruimste toelating heeft gegeven, dan is de waarde in deze cel gelijk aan die in {LRCalc;</w:t>
            </w:r>
            <w:r w:rsidRPr="00CF219D">
              <w:rPr>
                <w:rFonts w:ascii="Times New Roman" w:hAnsi="Times New Roman"/>
              </w:rPr>
              <w:t>260</w:t>
            </w:r>
            <w:r>
              <w:rPr>
                <w:rFonts w:ascii="Times New Roman" w:hAnsi="Times New Roman"/>
              </w:rPr>
              <w:t>;</w:t>
            </w:r>
            <w:r w:rsidRPr="00CF219D">
              <w:rPr>
                <w:rFonts w:ascii="Times New Roman" w:hAnsi="Times New Roman"/>
              </w:rPr>
              <w:t>010</w:t>
            </w:r>
            <w:r>
              <w:rPr>
                <w:rFonts w:ascii="Times New Roman" w:hAnsi="Times New Roman"/>
              </w:rPr>
              <w:t>}.</w:t>
            </w:r>
          </w:p>
          <w:p w:rsidR="004B5877" w:rsidRPr="00FE002E" w:rsidRDefault="004B5877" w:rsidP="006A32F5">
            <w:pPr>
              <w:pStyle w:val="Paragraph"/>
              <w:ind w:left="794" w:firstLine="0"/>
              <w:rPr>
                <w:rFonts w:ascii="Times New Roman" w:hAnsi="Times New Roman"/>
                <w:b/>
                <w:bCs/>
              </w:rPr>
            </w:pPr>
          </w:p>
        </w:tc>
      </w:tr>
    </w:tbl>
    <w:p w:rsidR="00F4754B" w:rsidRPr="00FE002E" w:rsidRDefault="00F4754B" w:rsidP="00F4754B">
      <w:pPr>
        <w:pStyle w:val="BodyText1"/>
        <w:rPr>
          <w:rFonts w:ascii="Times New Roman" w:hAnsi="Times New Roman"/>
          <w:b/>
        </w:rPr>
      </w:pPr>
    </w:p>
    <w:p w:rsidR="00217D1F" w:rsidRPr="00FE002E" w:rsidRDefault="00500508" w:rsidP="00500508">
      <w:pPr>
        <w:pStyle w:val="BodyText1"/>
        <w:ind w:left="357" w:hanging="357"/>
        <w:outlineLvl w:val="1"/>
        <w:rPr>
          <w:rFonts w:ascii="Times New Roman" w:hAnsi="Times New Roman"/>
          <w:b/>
        </w:rPr>
      </w:pPr>
      <w:bookmarkStart w:id="63" w:name="_Toc338669914"/>
      <w:bookmarkStart w:id="64" w:name="_Toc338669915"/>
      <w:bookmarkStart w:id="65" w:name="_Toc338669918"/>
      <w:bookmarkStart w:id="66" w:name="_Toc351048508"/>
      <w:bookmarkStart w:id="67" w:name="_Toc359414287"/>
      <w:bookmarkStart w:id="68" w:name="_Toc423089072"/>
      <w:bookmarkStart w:id="69" w:name="_Toc522780002"/>
      <w:bookmarkEnd w:id="63"/>
      <w:bookmarkEnd w:id="64"/>
      <w:bookmarkEnd w:id="65"/>
      <w:r w:rsidRPr="00CF219D">
        <w:rPr>
          <w:rFonts w:ascii="Times New Roman" w:hAnsi="Times New Roman"/>
          <w:b/>
        </w:rPr>
        <w:t>6</w:t>
      </w:r>
      <w:r>
        <w:rPr>
          <w:rFonts w:ascii="Times New Roman" w:hAnsi="Times New Roman"/>
          <w:b/>
        </w:rPr>
        <w:t>.</w:t>
      </w:r>
      <w:r>
        <w:tab/>
      </w:r>
      <w:r>
        <w:rPr>
          <w:rFonts w:ascii="Times New Roman" w:hAnsi="Times New Roman"/>
          <w:b/>
        </w:rPr>
        <w:t xml:space="preserve">C </w:t>
      </w:r>
      <w:r w:rsidRPr="00CF219D">
        <w:rPr>
          <w:rFonts w:ascii="Times New Roman" w:hAnsi="Times New Roman"/>
          <w:b/>
        </w:rPr>
        <w:t>41</w:t>
      </w:r>
      <w:r>
        <w:rPr>
          <w:rFonts w:ascii="Times New Roman" w:hAnsi="Times New Roman"/>
          <w:b/>
        </w:rPr>
        <w:t>.</w:t>
      </w:r>
      <w:r w:rsidRPr="00CF219D">
        <w:rPr>
          <w:rFonts w:ascii="Times New Roman" w:hAnsi="Times New Roman"/>
          <w:b/>
        </w:rPr>
        <w:t>00</w:t>
      </w:r>
      <w:r>
        <w:rPr>
          <w:rFonts w:ascii="Times New Roman" w:hAnsi="Times New Roman"/>
          <w:b/>
        </w:rPr>
        <w:t xml:space="preserve"> – Posten binnen en buiten de balanstelling — aanvullende uitsplitsing van blootstellingen</w:t>
      </w:r>
      <w:bookmarkEnd w:id="66"/>
      <w:bookmarkEnd w:id="67"/>
      <w:r>
        <w:rPr>
          <w:rFonts w:ascii="Times New Roman" w:hAnsi="Times New Roman"/>
          <w:b/>
        </w:rPr>
        <w:t xml:space="preserve"> (LR</w:t>
      </w:r>
      <w:r w:rsidRPr="00CF219D">
        <w:rPr>
          <w:rFonts w:ascii="Times New Roman" w:hAnsi="Times New Roman"/>
          <w:b/>
        </w:rPr>
        <w:t>2</w:t>
      </w:r>
      <w:r>
        <w:rPr>
          <w:rFonts w:ascii="Times New Roman" w:hAnsi="Times New Roman"/>
          <w:b/>
        </w:rPr>
        <w:t>)</w:t>
      </w:r>
      <w:bookmarkEnd w:id="68"/>
      <w:bookmarkEnd w:id="69"/>
    </w:p>
    <w:p w:rsidR="00675587" w:rsidRPr="00FE002E" w:rsidRDefault="00675587" w:rsidP="007E2A41">
      <w:pPr>
        <w:pStyle w:val="BodyText1"/>
        <w:spacing w:line="240" w:lineRule="auto"/>
        <w:ind w:left="720"/>
        <w:rPr>
          <w:rFonts w:ascii="Times New Roman" w:hAnsi="Times New Roman"/>
          <w:bCs/>
        </w:rPr>
      </w:pPr>
    </w:p>
    <w:p w:rsidR="00F4754B" w:rsidRPr="00FE002E" w:rsidRDefault="00500508" w:rsidP="00500508">
      <w:pPr>
        <w:pStyle w:val="BodyText1"/>
        <w:spacing w:line="240" w:lineRule="auto"/>
        <w:ind w:left="720" w:hanging="360"/>
        <w:rPr>
          <w:rFonts w:ascii="Times New Roman" w:hAnsi="Times New Roman"/>
          <w:bCs/>
        </w:rPr>
      </w:pPr>
      <w:r w:rsidRPr="00CF219D">
        <w:rPr>
          <w:rFonts w:ascii="Times New Roman" w:hAnsi="Times New Roman"/>
        </w:rPr>
        <w:t>24</w:t>
      </w:r>
      <w:r>
        <w:rPr>
          <w:rFonts w:ascii="Times New Roman" w:hAnsi="Times New Roman"/>
        </w:rPr>
        <w:t>.</w:t>
      </w:r>
      <w:r>
        <w:tab/>
      </w:r>
      <w:r>
        <w:rPr>
          <w:rFonts w:ascii="Times New Roman" w:hAnsi="Times New Roman"/>
        </w:rPr>
        <w:t>Template LR</w:t>
      </w:r>
      <w:r w:rsidRPr="00CF219D">
        <w:rPr>
          <w:rFonts w:ascii="Times New Roman" w:hAnsi="Times New Roman"/>
        </w:rPr>
        <w:t>2</w:t>
      </w:r>
      <w:r>
        <w:rPr>
          <w:rFonts w:ascii="Times New Roman" w:hAnsi="Times New Roman"/>
        </w:rPr>
        <w:t xml:space="preserve"> bevat informatie over aanvullende uitsplitsingen van alle blootstellingen binnen en buiten de balanstelling</w:t>
      </w:r>
      <w:r>
        <w:rPr>
          <w:rFonts w:ascii="Times New Roman" w:hAnsi="Times New Roman"/>
          <w:vertAlign w:val="superscript"/>
        </w:rPr>
        <w:footnoteReference w:id="2"/>
      </w:r>
      <w:r>
        <w:rPr>
          <w:rFonts w:ascii="Times New Roman" w:hAnsi="Times New Roman"/>
        </w:rPr>
        <w:t xml:space="preserve"> die tot de niet-handelsportefeuille behoren en van alle tot de handelsportefeuille behorende blootstellingen die aan tegenpartijkredietrisico onderworpen zijn. De uitsplitsing geschiedt overeenkomstig de risicogewichten die worden toegepast uit hoofde van het onderdeel van de VKV dat op het kredietrisico betrekking heeft. De informatie over blootstellingen wordt op verschillende wijze verkregen, al naargelang de standaardbenadering dan wel de interneratingbenadering wordt gevolgd.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CF219D">
        <w:rPr>
          <w:rFonts w:ascii="Times New Roman" w:hAnsi="Times New Roman"/>
        </w:rPr>
        <w:t>25</w:t>
      </w:r>
      <w:r>
        <w:rPr>
          <w:rFonts w:ascii="Times New Roman" w:hAnsi="Times New Roman"/>
        </w:rPr>
        <w:t>.</w:t>
      </w:r>
      <w:r>
        <w:tab/>
      </w:r>
      <w:r>
        <w:rPr>
          <w:rFonts w:ascii="Times New Roman" w:hAnsi="Times New Roman"/>
        </w:rPr>
        <w:t>Wat blootstellingen betreft die worden ondersteund door CRM-technieken waarbij de risicoweging van de tegenpartij wordt vervangen door de risicoweging van de garantie, verwijzen instellingen naar het risicogewicht na het substitutie-effect. Bij de interneratingbenadering verrichten instellingen de volgende berekening: voor blootstellingen (die geen blootstellingen zijn waarvoor de regelgeving in een specifieke risicoweging voorziet) die tot de afzonderlijke debiteurenklassen behoren, wordt het risicogewicht bepaald door de risicogewogen blootstelling, vastgesteld op basis van hetzij de formule voor de berekening van het risicogewicht, hetzij de toezichthouderformule (voor blootstellingen met betrekking tot respectievelijk kredietrisico en securitisaties), te delen door de blootstellingswaarde, rekening houdend met instromen en uitstromen als gevolg van CRM-technieken met substitutie-effect op de blootstelling. Bij de interneratingbenadering worden blootstellingen waarbij sprake is van wanbetaling, verwijderd uit {</w:t>
      </w:r>
      <w:r w:rsidRPr="00CF219D">
        <w:rPr>
          <w:rFonts w:ascii="Times New Roman" w:hAnsi="Times New Roman"/>
        </w:rPr>
        <w:t>020</w:t>
      </w:r>
      <w:r>
        <w:rPr>
          <w:rFonts w:ascii="Times New Roman" w:hAnsi="Times New Roman"/>
        </w:rPr>
        <w:t>;</w:t>
      </w:r>
      <w:r w:rsidRPr="00CF219D">
        <w:rPr>
          <w:rFonts w:ascii="Times New Roman" w:hAnsi="Times New Roman"/>
        </w:rPr>
        <w:t>010</w:t>
      </w:r>
      <w:r>
        <w:rPr>
          <w:rFonts w:ascii="Times New Roman" w:hAnsi="Times New Roman"/>
        </w:rPr>
        <w:t>} tot en met {</w:t>
      </w:r>
      <w:r w:rsidRPr="00CF219D">
        <w:rPr>
          <w:rFonts w:ascii="Times New Roman" w:hAnsi="Times New Roman"/>
        </w:rPr>
        <w:t>090</w:t>
      </w:r>
      <w:r>
        <w:rPr>
          <w:rFonts w:ascii="Times New Roman" w:hAnsi="Times New Roman"/>
        </w:rPr>
        <w:t>;</w:t>
      </w:r>
      <w:r w:rsidRPr="00CF219D">
        <w:rPr>
          <w:rFonts w:ascii="Times New Roman" w:hAnsi="Times New Roman"/>
        </w:rPr>
        <w:t>010</w:t>
      </w:r>
      <w:r>
        <w:rPr>
          <w:rFonts w:ascii="Times New Roman" w:hAnsi="Times New Roman"/>
        </w:rPr>
        <w:t>} en opgenomen in {</w:t>
      </w:r>
      <w:r w:rsidRPr="00CF219D">
        <w:rPr>
          <w:rFonts w:ascii="Times New Roman" w:hAnsi="Times New Roman"/>
        </w:rPr>
        <w:t>100</w:t>
      </w:r>
      <w:r>
        <w:rPr>
          <w:rFonts w:ascii="Times New Roman" w:hAnsi="Times New Roman"/>
        </w:rPr>
        <w:t>;</w:t>
      </w:r>
      <w:r w:rsidRPr="00CF219D">
        <w:rPr>
          <w:rFonts w:ascii="Times New Roman" w:hAnsi="Times New Roman"/>
        </w:rPr>
        <w:t>010</w:t>
      </w:r>
      <w:r>
        <w:rPr>
          <w:rFonts w:ascii="Times New Roman" w:hAnsi="Times New Roman"/>
        </w:rPr>
        <w:t>}. Bij de standaardbenadering worden onder artikel </w:t>
      </w:r>
      <w:r w:rsidRPr="00CF219D">
        <w:rPr>
          <w:rFonts w:ascii="Times New Roman" w:hAnsi="Times New Roman"/>
        </w:rPr>
        <w:t>112</w:t>
      </w:r>
      <w:r>
        <w:rPr>
          <w:rFonts w:ascii="Times New Roman" w:hAnsi="Times New Roman"/>
        </w:rPr>
        <w:t>, onder j), van de VKV vallende blootstellingen waarbij sprake is van wanbetaling, verwijderd uit {</w:t>
      </w:r>
      <w:r w:rsidRPr="00CF219D">
        <w:rPr>
          <w:rFonts w:ascii="Times New Roman" w:hAnsi="Times New Roman"/>
        </w:rPr>
        <w:t>020</w:t>
      </w:r>
      <w:r>
        <w:rPr>
          <w:rFonts w:ascii="Times New Roman" w:hAnsi="Times New Roman"/>
        </w:rPr>
        <w:t>;</w:t>
      </w:r>
      <w:r w:rsidRPr="00CF219D">
        <w:rPr>
          <w:rFonts w:ascii="Times New Roman" w:hAnsi="Times New Roman"/>
        </w:rPr>
        <w:t>020</w:t>
      </w:r>
      <w:r>
        <w:rPr>
          <w:rFonts w:ascii="Times New Roman" w:hAnsi="Times New Roman"/>
        </w:rPr>
        <w:t>} tot en met {</w:t>
      </w:r>
      <w:r w:rsidRPr="00CF219D">
        <w:rPr>
          <w:rFonts w:ascii="Times New Roman" w:hAnsi="Times New Roman"/>
        </w:rPr>
        <w:t>090</w:t>
      </w:r>
      <w:r>
        <w:rPr>
          <w:rFonts w:ascii="Times New Roman" w:hAnsi="Times New Roman"/>
        </w:rPr>
        <w:t>;</w:t>
      </w:r>
      <w:r w:rsidRPr="00CF219D">
        <w:rPr>
          <w:rFonts w:ascii="Times New Roman" w:hAnsi="Times New Roman"/>
        </w:rPr>
        <w:t>020</w:t>
      </w:r>
      <w:r>
        <w:rPr>
          <w:rFonts w:ascii="Times New Roman" w:hAnsi="Times New Roman"/>
        </w:rPr>
        <w:t>} en opgenomen in {</w:t>
      </w:r>
      <w:r w:rsidRPr="00CF219D">
        <w:rPr>
          <w:rFonts w:ascii="Times New Roman" w:hAnsi="Times New Roman"/>
        </w:rPr>
        <w:t>100</w:t>
      </w:r>
      <w:r>
        <w:rPr>
          <w:rFonts w:ascii="Times New Roman" w:hAnsi="Times New Roman"/>
        </w:rPr>
        <w:t>;</w:t>
      </w:r>
      <w:r w:rsidRPr="00CF219D">
        <w:rPr>
          <w:rFonts w:ascii="Times New Roman" w:hAnsi="Times New Roman"/>
        </w:rPr>
        <w:t>020</w:t>
      </w:r>
      <w:r>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CF219D">
        <w:rPr>
          <w:rFonts w:ascii="Times New Roman" w:hAnsi="Times New Roman"/>
        </w:rPr>
        <w:t>26</w:t>
      </w:r>
      <w:r>
        <w:rPr>
          <w:rFonts w:ascii="Times New Roman" w:hAnsi="Times New Roman"/>
        </w:rPr>
        <w:t>.</w:t>
      </w:r>
      <w:r>
        <w:tab/>
      </w:r>
      <w:r>
        <w:rPr>
          <w:rFonts w:ascii="Times New Roman" w:hAnsi="Times New Roman"/>
        </w:rPr>
        <w:t xml:space="preserve">Instellingen gaan er bij beide benaderingen van uit dat voor blootstellingen die op het toetsingsvermogen in mindering zijn gebracht, een risicogewicht van </w:t>
      </w:r>
      <w:r w:rsidRPr="00CF219D">
        <w:rPr>
          <w:rFonts w:ascii="Times New Roman" w:hAnsi="Times New Roman"/>
        </w:rPr>
        <w:t>1</w:t>
      </w:r>
      <w:r>
        <w:rPr>
          <w:rFonts w:ascii="Times New Roman" w:hAnsi="Times New Roman"/>
        </w:rPr>
        <w:t> </w:t>
      </w:r>
      <w:r w:rsidRPr="00CF219D">
        <w:rPr>
          <w:rFonts w:ascii="Times New Roman" w:hAnsi="Times New Roman"/>
        </w:rPr>
        <w:t>250</w:t>
      </w:r>
      <w:r>
        <w:rPr>
          <w:rFonts w:ascii="Times New Roman" w:hAnsi="Times New Roman"/>
        </w:rPr>
        <w:t> % geldt.</w:t>
      </w:r>
    </w:p>
    <w:p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0756A">
            <w:pPr>
              <w:pStyle w:val="BodyText1"/>
              <w:spacing w:line="240" w:lineRule="auto"/>
              <w:rPr>
                <w:rFonts w:ascii="Times New Roman" w:hAnsi="Times New Roman"/>
                <w:b/>
              </w:rPr>
            </w:pPr>
            <w:r>
              <w:rPr>
                <w:rFonts w:ascii="Times New Roman" w:hAnsi="Times New Roman"/>
                <w:b/>
              </w:rPr>
              <w:t xml:space="preserve">Rij </w:t>
            </w:r>
          </w:p>
          <w:p w:rsidR="00F4754B" w:rsidRPr="00FE002E" w:rsidRDefault="00F4754B" w:rsidP="00F0756A">
            <w:pPr>
              <w:pStyle w:val="BodyText1"/>
              <w:spacing w:line="240" w:lineRule="auto"/>
              <w:rPr>
                <w:rFonts w:ascii="Times New Roman" w:hAnsi="Times New Roman"/>
                <w:b/>
                <w:bCs/>
              </w:rPr>
            </w:pPr>
          </w:p>
        </w:tc>
        <w:tc>
          <w:tcPr>
            <w:tcW w:w="7620" w:type="dxa"/>
            <w:shd w:val="clear" w:color="auto" w:fill="D9D9D9"/>
          </w:tcPr>
          <w:p w:rsidR="00F4754B" w:rsidRPr="00FE002E" w:rsidRDefault="00F4754B" w:rsidP="00F0756A">
            <w:pPr>
              <w:pStyle w:val="BodyText1"/>
              <w:spacing w:line="240" w:lineRule="auto"/>
              <w:rPr>
                <w:rFonts w:ascii="Times New Roman" w:hAnsi="Times New Roman"/>
                <w:b/>
                <w:bCs/>
              </w:rPr>
            </w:pPr>
            <w:r>
              <w:rPr>
                <w:rFonts w:ascii="Times New Roman" w:hAnsi="Times New Roman"/>
                <w:b/>
              </w:rPr>
              <w:t>Verwijzingen naar wetgeving en instructies</w:t>
            </w:r>
          </w:p>
          <w:p w:rsidR="00F4754B" w:rsidRPr="00FE002E" w:rsidRDefault="00F4754B" w:rsidP="00F0756A">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CF219D">
              <w:rPr>
                <w:rFonts w:ascii="Times New Roman" w:hAnsi="Times New Roman"/>
              </w:rPr>
              <w:t>010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Totale tot de niet-handelsportefeuille behorende blootstellingen binnen en buiten de balanstelling en tot de handelsportefeuille behorende blootstellingen die aan tegenpartijkredietrisico onderworpen zijn (uitsplitsing volgens risicogewicht):</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Dit is de som van{</w:t>
            </w:r>
            <w:r w:rsidRPr="00CF219D">
              <w:rPr>
                <w:rFonts w:ascii="Times New Roman" w:hAnsi="Times New Roman"/>
              </w:rPr>
              <w:t>020</w:t>
            </w:r>
            <w:r>
              <w:rPr>
                <w:rFonts w:ascii="Times New Roman" w:hAnsi="Times New Roman"/>
              </w:rPr>
              <w:t>;*} tot en met {</w:t>
            </w:r>
            <w:r w:rsidRPr="00CF219D">
              <w:rPr>
                <w:rFonts w:ascii="Times New Roman" w:hAnsi="Times New Roman"/>
              </w:rPr>
              <w:t>100</w:t>
            </w:r>
            <w:r>
              <w:rPr>
                <w:rFonts w:ascii="Times New Roman" w:hAnsi="Times New Roman"/>
              </w:rPr>
              <w:t>;*}.</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CF219D">
              <w:rPr>
                <w:rFonts w:ascii="Times New Roman" w:hAnsi="Times New Roman"/>
              </w:rPr>
              <w:t>020</w:t>
            </w:r>
          </w:p>
          <w:p w:rsidR="00F4754B" w:rsidRPr="00FE002E" w:rsidRDefault="00F4754B" w:rsidP="00F4754B">
            <w:pPr>
              <w:pStyle w:val="BodyText1"/>
              <w:rPr>
                <w:rFonts w:ascii="Times New Roman" w:hAnsi="Times New Roman"/>
                <w:b/>
                <w:bCs/>
                <w:u w:val="single"/>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 xml:space="preserve">= </w:t>
            </w:r>
            <w:r w:rsidRPr="00CF219D">
              <w:rPr>
                <w:rFonts w:ascii="Times New Roman" w:hAnsi="Times New Roman"/>
                <w:b/>
              </w:rPr>
              <w:t>0</w:t>
            </w:r>
            <w:r>
              <w:rPr>
                <w:rFonts w:ascii="Times New Roman" w:hAnsi="Times New Roman"/>
                <w:b/>
              </w:rPr>
              <w:t>%</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Blootstellingen met een risicogewicht van </w:t>
            </w:r>
            <w:r w:rsidRPr="00CF219D">
              <w:rPr>
                <w:rFonts w:ascii="Times New Roman" w:hAnsi="Times New Roman"/>
              </w:rPr>
              <w:t>0</w:t>
            </w:r>
            <w:r>
              <w:rPr>
                <w:rFonts w:ascii="Times New Roman" w:hAnsi="Times New Roman"/>
              </w:rPr>
              <w:t>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CF219D">
              <w:rPr>
                <w:rFonts w:ascii="Times New Roman" w:hAnsi="Times New Roman"/>
              </w:rPr>
              <w:lastRenderedPageBreak/>
              <w:t>030</w:t>
            </w: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 xml:space="preserve">&gt; </w:t>
            </w:r>
            <w:r w:rsidRPr="00CF219D">
              <w:rPr>
                <w:rFonts w:ascii="Times New Roman" w:hAnsi="Times New Roman"/>
                <w:b/>
              </w:rPr>
              <w:t>0</w:t>
            </w:r>
            <w:r>
              <w:rPr>
                <w:rFonts w:ascii="Times New Roman" w:hAnsi="Times New Roman"/>
                <w:b/>
              </w:rPr>
              <w:t xml:space="preserve"> % en ≤ </w:t>
            </w:r>
            <w:r w:rsidRPr="00CF219D">
              <w:rPr>
                <w:rFonts w:ascii="Times New Roman" w:hAnsi="Times New Roman"/>
                <w:b/>
              </w:rPr>
              <w:t>12</w:t>
            </w:r>
            <w:r>
              <w:rPr>
                <w:rFonts w:ascii="Times New Roman" w:hAnsi="Times New Roman"/>
                <w:b/>
              </w:rPr>
              <w:t> %</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Blootstellingen met een risicogewicht dat behoort tot de risicogewichten die groter zijn dan </w:t>
            </w:r>
            <w:r w:rsidRPr="00CF219D">
              <w:rPr>
                <w:rFonts w:ascii="Times New Roman" w:hAnsi="Times New Roman"/>
              </w:rPr>
              <w:t>0</w:t>
            </w:r>
            <w:r>
              <w:rPr>
                <w:rFonts w:ascii="Times New Roman" w:hAnsi="Times New Roman"/>
              </w:rPr>
              <w:t xml:space="preserve"> % en kleiner zijn dan of gelijk aan </w:t>
            </w:r>
            <w:r w:rsidRPr="00CF219D">
              <w:rPr>
                <w:rFonts w:ascii="Times New Roman" w:hAnsi="Times New Roman"/>
              </w:rPr>
              <w:t>12</w:t>
            </w:r>
            <w:r>
              <w:rPr>
                <w:rFonts w:ascii="Times New Roman" w:hAnsi="Times New Roman"/>
              </w:rPr>
              <w:t>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rPr>
            </w:pPr>
            <w:r w:rsidRPr="00CF219D">
              <w:rPr>
                <w:rFonts w:ascii="Times New Roman" w:hAnsi="Times New Roman"/>
              </w:rPr>
              <w:t>040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 xml:space="preserve">&gt; </w:t>
            </w:r>
            <w:r w:rsidRPr="00CF219D">
              <w:rPr>
                <w:rFonts w:ascii="Times New Roman" w:hAnsi="Times New Roman"/>
                <w:b/>
              </w:rPr>
              <w:t>12</w:t>
            </w:r>
            <w:r>
              <w:rPr>
                <w:rFonts w:ascii="Times New Roman" w:hAnsi="Times New Roman"/>
                <w:b/>
              </w:rPr>
              <w:t xml:space="preserve"> % en ≤ </w:t>
            </w:r>
            <w:r w:rsidRPr="00CF219D">
              <w:rPr>
                <w:rFonts w:ascii="Times New Roman" w:hAnsi="Times New Roman"/>
                <w:b/>
              </w:rPr>
              <w:t>20</w:t>
            </w:r>
            <w:r>
              <w:rPr>
                <w:rFonts w:ascii="Times New Roman" w:hAnsi="Times New Roman"/>
                <w:b/>
              </w:rPr>
              <w:t>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Blootstellingen met een risicogewicht dat behoort tot de risicogewichten die groter zijn dan </w:t>
            </w:r>
            <w:r w:rsidRPr="00CF219D">
              <w:rPr>
                <w:rFonts w:ascii="Times New Roman" w:hAnsi="Times New Roman"/>
              </w:rPr>
              <w:t>12</w:t>
            </w:r>
            <w:r>
              <w:rPr>
                <w:rFonts w:ascii="Times New Roman" w:hAnsi="Times New Roman"/>
              </w:rPr>
              <w:t xml:space="preserve"> % en kleiner zijn dan of gelijk aan </w:t>
            </w:r>
            <w:r w:rsidRPr="00CF219D">
              <w:rPr>
                <w:rFonts w:ascii="Times New Roman" w:hAnsi="Times New Roman"/>
              </w:rPr>
              <w:t>20</w:t>
            </w:r>
            <w:r>
              <w:rPr>
                <w:rFonts w:ascii="Times New Roman" w:hAnsi="Times New Roman"/>
              </w:rPr>
              <w:t xml:space="preserve"> %.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CF219D">
              <w:rPr>
                <w:rFonts w:ascii="Times New Roman" w:hAnsi="Times New Roman"/>
              </w:rPr>
              <w:t>050</w:t>
            </w: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 xml:space="preserve">&gt; </w:t>
            </w:r>
            <w:r w:rsidRPr="00CF219D">
              <w:rPr>
                <w:rFonts w:ascii="Times New Roman" w:hAnsi="Times New Roman"/>
                <w:b/>
              </w:rPr>
              <w:t>20</w:t>
            </w:r>
            <w:r>
              <w:rPr>
                <w:rFonts w:ascii="Times New Roman" w:hAnsi="Times New Roman"/>
                <w:b/>
              </w:rPr>
              <w:t xml:space="preserve"> % en ≤ </w:t>
            </w:r>
            <w:r w:rsidRPr="00CF219D">
              <w:rPr>
                <w:rFonts w:ascii="Times New Roman" w:hAnsi="Times New Roman"/>
                <w:b/>
              </w:rPr>
              <w:t>50</w:t>
            </w:r>
            <w:r>
              <w:rPr>
                <w:rFonts w:ascii="Times New Roman" w:hAnsi="Times New Roman"/>
                <w:b/>
              </w:rPr>
              <w:t>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Blootstellingen met een risicogewicht dat behoort tot de risicogewichten die groter zijn dan </w:t>
            </w:r>
            <w:r w:rsidRPr="00CF219D">
              <w:rPr>
                <w:rFonts w:ascii="Times New Roman" w:hAnsi="Times New Roman"/>
              </w:rPr>
              <w:t>20</w:t>
            </w:r>
            <w:r>
              <w:rPr>
                <w:rFonts w:ascii="Times New Roman" w:hAnsi="Times New Roman"/>
              </w:rPr>
              <w:t xml:space="preserve"> % en kleiner zijn dan of gelijk aan </w:t>
            </w:r>
            <w:r w:rsidRPr="00CF219D">
              <w:rPr>
                <w:rFonts w:ascii="Times New Roman" w:hAnsi="Times New Roman"/>
              </w:rPr>
              <w:t>50</w:t>
            </w:r>
            <w:r>
              <w:rPr>
                <w:rFonts w:ascii="Times New Roman" w:hAnsi="Times New Roman"/>
              </w:rPr>
              <w:t>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CF219D">
              <w:rPr>
                <w:rFonts w:ascii="Times New Roman" w:hAnsi="Times New Roman"/>
              </w:rPr>
              <w:t>060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 xml:space="preserve">&gt; </w:t>
            </w:r>
            <w:r w:rsidRPr="00CF219D">
              <w:rPr>
                <w:rFonts w:ascii="Times New Roman" w:hAnsi="Times New Roman"/>
                <w:b/>
              </w:rPr>
              <w:t>50</w:t>
            </w:r>
            <w:r>
              <w:rPr>
                <w:rFonts w:ascii="Times New Roman" w:hAnsi="Times New Roman"/>
                <w:b/>
              </w:rPr>
              <w:t xml:space="preserve"> % en ≤ </w:t>
            </w:r>
            <w:r w:rsidRPr="00CF219D">
              <w:rPr>
                <w:rFonts w:ascii="Times New Roman" w:hAnsi="Times New Roman"/>
                <w:b/>
              </w:rPr>
              <w:t>75</w:t>
            </w:r>
            <w:r>
              <w:rPr>
                <w:rFonts w:ascii="Times New Roman" w:hAnsi="Times New Roman"/>
                <w:b/>
              </w:rPr>
              <w:t>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Blootstellingen met een risicogewicht dat behoort tot de risicogewichten die groter zijn dan </w:t>
            </w:r>
            <w:r w:rsidRPr="00CF219D">
              <w:rPr>
                <w:rFonts w:ascii="Times New Roman" w:hAnsi="Times New Roman"/>
              </w:rPr>
              <w:t>50</w:t>
            </w:r>
            <w:r>
              <w:rPr>
                <w:rFonts w:ascii="Times New Roman" w:hAnsi="Times New Roman"/>
              </w:rPr>
              <w:t xml:space="preserve"> % en kleiner zijn dan of gelijk aan </w:t>
            </w:r>
            <w:r w:rsidRPr="00CF219D">
              <w:rPr>
                <w:rFonts w:ascii="Times New Roman" w:hAnsi="Times New Roman"/>
              </w:rPr>
              <w:t>75</w:t>
            </w:r>
            <w:r>
              <w:rPr>
                <w:rFonts w:ascii="Times New Roman" w:hAnsi="Times New Roman"/>
              </w:rPr>
              <w:t>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CF219D">
              <w:rPr>
                <w:rFonts w:ascii="Times New Roman" w:hAnsi="Times New Roman"/>
              </w:rPr>
              <w:t>070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 xml:space="preserve">&gt; </w:t>
            </w:r>
            <w:r w:rsidRPr="00CF219D">
              <w:rPr>
                <w:rFonts w:ascii="Times New Roman" w:hAnsi="Times New Roman"/>
                <w:b/>
              </w:rPr>
              <w:t>75</w:t>
            </w:r>
            <w:r>
              <w:rPr>
                <w:rFonts w:ascii="Times New Roman" w:hAnsi="Times New Roman"/>
                <w:b/>
              </w:rPr>
              <w:t xml:space="preserve"> % en ≤ </w:t>
            </w:r>
            <w:r w:rsidRPr="00CF219D">
              <w:rPr>
                <w:rFonts w:ascii="Times New Roman" w:hAnsi="Times New Roman"/>
                <w:b/>
              </w:rPr>
              <w:t>100</w:t>
            </w:r>
            <w:r>
              <w:rPr>
                <w:rFonts w:ascii="Times New Roman" w:hAnsi="Times New Roman"/>
                <w:b/>
              </w:rPr>
              <w:t>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Blootstellingen met een risicogewicht dat behoort tot de risicogewichten die groter zijn dan </w:t>
            </w:r>
            <w:r w:rsidRPr="00CF219D">
              <w:rPr>
                <w:rFonts w:ascii="Times New Roman" w:hAnsi="Times New Roman"/>
              </w:rPr>
              <w:t>75</w:t>
            </w:r>
            <w:r>
              <w:rPr>
                <w:rFonts w:ascii="Times New Roman" w:hAnsi="Times New Roman"/>
              </w:rPr>
              <w:t xml:space="preserve"> % en kleiner zijn dan of gelijk aan </w:t>
            </w:r>
            <w:r w:rsidRPr="00CF219D">
              <w:rPr>
                <w:rFonts w:ascii="Times New Roman" w:hAnsi="Times New Roman"/>
              </w:rPr>
              <w:t>100</w:t>
            </w:r>
            <w:r>
              <w:rPr>
                <w:rFonts w:ascii="Times New Roman" w:hAnsi="Times New Roman"/>
              </w:rPr>
              <w:t>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CF219D">
              <w:rPr>
                <w:rFonts w:ascii="Times New Roman" w:hAnsi="Times New Roman"/>
              </w:rPr>
              <w:t>080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 xml:space="preserve">&gt; </w:t>
            </w:r>
            <w:r w:rsidRPr="00CF219D">
              <w:rPr>
                <w:rFonts w:ascii="Times New Roman" w:hAnsi="Times New Roman"/>
                <w:b/>
              </w:rPr>
              <w:t>100</w:t>
            </w:r>
            <w:r>
              <w:rPr>
                <w:rFonts w:ascii="Times New Roman" w:hAnsi="Times New Roman"/>
                <w:b/>
              </w:rPr>
              <w:t xml:space="preserve"> % en ≤ </w:t>
            </w:r>
            <w:r w:rsidRPr="00CF219D">
              <w:rPr>
                <w:rFonts w:ascii="Times New Roman" w:hAnsi="Times New Roman"/>
                <w:b/>
              </w:rPr>
              <w:t>425</w:t>
            </w:r>
            <w:r>
              <w:rPr>
                <w:rFonts w:ascii="Times New Roman" w:hAnsi="Times New Roman"/>
                <w:b/>
              </w:rPr>
              <w:t> %</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Blootstellingen met een risicogewicht dat behoort tot de risicogewichten die groter zijn dan </w:t>
            </w:r>
            <w:r w:rsidRPr="00CF219D">
              <w:rPr>
                <w:rFonts w:ascii="Times New Roman" w:hAnsi="Times New Roman"/>
              </w:rPr>
              <w:t>100</w:t>
            </w:r>
            <w:r>
              <w:rPr>
                <w:rFonts w:ascii="Times New Roman" w:hAnsi="Times New Roman"/>
              </w:rPr>
              <w:t xml:space="preserve"> % en kleiner zijn dan of gelijk aan </w:t>
            </w:r>
            <w:r w:rsidRPr="00CF219D">
              <w:rPr>
                <w:rFonts w:ascii="Times New Roman" w:hAnsi="Times New Roman"/>
              </w:rPr>
              <w:t>425</w:t>
            </w:r>
            <w:r>
              <w:rPr>
                <w:rFonts w:ascii="Times New Roman" w:hAnsi="Times New Roman"/>
              </w:rPr>
              <w:t>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CF219D">
              <w:rPr>
                <w:rFonts w:ascii="Times New Roman" w:hAnsi="Times New Roman"/>
              </w:rPr>
              <w:t>090</w:t>
            </w: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 xml:space="preserve">&gt; </w:t>
            </w:r>
            <w:r w:rsidRPr="00CF219D">
              <w:rPr>
                <w:rFonts w:ascii="Times New Roman" w:hAnsi="Times New Roman"/>
                <w:b/>
              </w:rPr>
              <w:t>425</w:t>
            </w:r>
            <w:r>
              <w:rPr>
                <w:rFonts w:ascii="Times New Roman" w:hAnsi="Times New Roman"/>
                <w:b/>
              </w:rPr>
              <w:t xml:space="preserve"> % en ≤ </w:t>
            </w:r>
            <w:r w:rsidRPr="00CF219D">
              <w:rPr>
                <w:rFonts w:ascii="Times New Roman" w:hAnsi="Times New Roman"/>
                <w:b/>
              </w:rPr>
              <w:t>1250</w:t>
            </w:r>
            <w:r>
              <w:rPr>
                <w:rFonts w:ascii="Times New Roman" w:hAnsi="Times New Roman"/>
                <w:b/>
              </w:rPr>
              <w:t>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Blootstellingen met een risicogewicht dat behoort tot de risicogewichten die groter zijn dan </w:t>
            </w:r>
            <w:r w:rsidRPr="00CF219D">
              <w:rPr>
                <w:rFonts w:ascii="Times New Roman" w:hAnsi="Times New Roman"/>
              </w:rPr>
              <w:t>425</w:t>
            </w:r>
            <w:r>
              <w:rPr>
                <w:rFonts w:ascii="Times New Roman" w:hAnsi="Times New Roman"/>
              </w:rPr>
              <w:t xml:space="preserve"> % en kleiner zijn dan of gelijk aan </w:t>
            </w:r>
            <w:r w:rsidRPr="00CF219D">
              <w:rPr>
                <w:rFonts w:ascii="Times New Roman" w:hAnsi="Times New Roman"/>
              </w:rPr>
              <w:t>1250</w:t>
            </w:r>
            <w:r>
              <w:rPr>
                <w:rFonts w:ascii="Times New Roman" w:hAnsi="Times New Roman"/>
              </w:rPr>
              <w:t>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sidRPr="00CF219D">
              <w:rPr>
                <w:rFonts w:ascii="Times New Roman" w:hAnsi="Times New Roman"/>
              </w:rPr>
              <w:t>100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Blootstellingen waarbij sprake is van wanbetaling</w:t>
            </w:r>
          </w:p>
          <w:p w:rsidR="00F4754B" w:rsidRPr="00FE002E" w:rsidRDefault="00F4754B" w:rsidP="007E2A41">
            <w:pPr>
              <w:pStyle w:val="BodyText1"/>
              <w:spacing w:line="240" w:lineRule="auto"/>
              <w:rPr>
                <w:rFonts w:ascii="Times New Roman" w:hAnsi="Times New Roman"/>
                <w:b/>
                <w:bCs/>
                <w:u w:val="single"/>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Bij de standaardbenadering betreft het blootstellingen die vallen onder artikel </w:t>
            </w:r>
            <w:r w:rsidRPr="00CF219D">
              <w:rPr>
                <w:rFonts w:ascii="Times New Roman" w:hAnsi="Times New Roman"/>
              </w:rPr>
              <w:t>112</w:t>
            </w:r>
            <w:r>
              <w:rPr>
                <w:rFonts w:ascii="Times New Roman" w:hAnsi="Times New Roman"/>
              </w:rPr>
              <w:t>, onder j), van de VKV.</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Bij de interneratingbenadering zijn alle blootstellingen met een PD van </w:t>
            </w:r>
            <w:r w:rsidRPr="00CF219D">
              <w:rPr>
                <w:rFonts w:ascii="Times New Roman" w:hAnsi="Times New Roman"/>
              </w:rPr>
              <w:t>100</w:t>
            </w:r>
            <w:r>
              <w:rPr>
                <w:rFonts w:ascii="Times New Roman" w:hAnsi="Times New Roman"/>
              </w:rPr>
              <w:t xml:space="preserve"> % blootstellingen waarbij sprake is van wanbetaling. </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sidRPr="00CF219D">
              <w:rPr>
                <w:rFonts w:ascii="Times New Roman" w:hAnsi="Times New Roman"/>
              </w:rPr>
              <w:t>110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0756A" w:rsidP="007E2A41">
            <w:pPr>
              <w:pStyle w:val="BodyText1"/>
              <w:spacing w:line="240" w:lineRule="auto"/>
              <w:rPr>
                <w:rFonts w:ascii="Times New Roman" w:hAnsi="Times New Roman"/>
                <w:b/>
                <w:bCs/>
              </w:rPr>
            </w:pPr>
            <w:r>
              <w:rPr>
                <w:rFonts w:ascii="Times New Roman" w:hAnsi="Times New Roman"/>
                <w:b/>
              </w:rPr>
              <w:t xml:space="preserve">(pro-memoriepost) Posten buiten de balanstelling met een laag risico en posten buiten de balanstelling waarvoor bij de solvabiliteitsratio een omrekeningsfactor van </w:t>
            </w:r>
            <w:r w:rsidRPr="00CF219D">
              <w:rPr>
                <w:rFonts w:ascii="Times New Roman" w:hAnsi="Times New Roman"/>
                <w:b/>
              </w:rPr>
              <w:t>0</w:t>
            </w:r>
            <w:r>
              <w:rPr>
                <w:rFonts w:ascii="Times New Roman" w:hAnsi="Times New Roman"/>
                <w:b/>
              </w:rPr>
              <w:t> % geldt</w:t>
            </w:r>
          </w:p>
          <w:p w:rsidR="00F4754B" w:rsidRPr="00FE002E" w:rsidRDefault="00F4754B" w:rsidP="007E2A41">
            <w:pPr>
              <w:pStyle w:val="BodyText1"/>
              <w:spacing w:line="240" w:lineRule="auto"/>
              <w:rPr>
                <w:rFonts w:ascii="Times New Roman" w:hAnsi="Times New Roman"/>
                <w:b/>
                <w:bCs/>
                <w:u w:val="single"/>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Posten buiten de balanstelling met een laag risico in de zin van artikel </w:t>
            </w:r>
            <w:r w:rsidRPr="00CF219D">
              <w:rPr>
                <w:rFonts w:ascii="Times New Roman" w:hAnsi="Times New Roman"/>
              </w:rPr>
              <w:t>111</w:t>
            </w:r>
            <w:r>
              <w:rPr>
                <w:rFonts w:ascii="Times New Roman" w:hAnsi="Times New Roman"/>
              </w:rPr>
              <w:t xml:space="preserve"> van de VKV en posten buiten de balanstelling waarvoor overeenkomstig artikel </w:t>
            </w:r>
            <w:r w:rsidRPr="00CF219D">
              <w:rPr>
                <w:rFonts w:ascii="Times New Roman" w:hAnsi="Times New Roman"/>
              </w:rPr>
              <w:t>166</w:t>
            </w:r>
            <w:r>
              <w:rPr>
                <w:rFonts w:ascii="Times New Roman" w:hAnsi="Times New Roman"/>
              </w:rPr>
              <w:t xml:space="preserve"> van de VKV een omrekeningsfactor van </w:t>
            </w:r>
            <w:r w:rsidRPr="00CF219D">
              <w:rPr>
                <w:rFonts w:ascii="Times New Roman" w:hAnsi="Times New Roman"/>
              </w:rPr>
              <w:t>0</w:t>
            </w:r>
            <w:r>
              <w:rPr>
                <w:rFonts w:ascii="Times New Roman" w:hAnsi="Times New Roman"/>
              </w:rPr>
              <w:t> % geldt.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6E259E">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Default="00F4754B" w:rsidP="00F0756A">
            <w:pPr>
              <w:pStyle w:val="BodyText1"/>
              <w:spacing w:line="240" w:lineRule="auto"/>
              <w:rPr>
                <w:rFonts w:ascii="Times New Roman" w:hAnsi="Times New Roman"/>
                <w:b/>
                <w:bCs/>
              </w:rPr>
            </w:pPr>
            <w:r>
              <w:rPr>
                <w:rFonts w:ascii="Times New Roman" w:hAnsi="Times New Roman"/>
                <w:b/>
              </w:rPr>
              <w:t>Kolom</w:t>
            </w:r>
          </w:p>
          <w:p w:rsidR="00F0756A" w:rsidRPr="00FE002E" w:rsidDel="00C94DF9" w:rsidRDefault="00F0756A" w:rsidP="00F0756A">
            <w:pPr>
              <w:pStyle w:val="BodyText1"/>
              <w:spacing w:line="240" w:lineRule="auto"/>
              <w:rPr>
                <w:rFonts w:ascii="Times New Roman" w:hAnsi="Times New Roman"/>
                <w:b/>
                <w:bCs/>
              </w:rPr>
            </w:pPr>
          </w:p>
        </w:tc>
        <w:tc>
          <w:tcPr>
            <w:tcW w:w="7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Pr="00FE002E" w:rsidRDefault="00F4754B" w:rsidP="00F0756A">
            <w:pPr>
              <w:pStyle w:val="BodyText1"/>
              <w:spacing w:line="240" w:lineRule="auto"/>
              <w:rPr>
                <w:rFonts w:ascii="Times New Roman" w:hAnsi="Times New Roman"/>
                <w:b/>
                <w:bCs/>
              </w:rPr>
            </w:pPr>
            <w:r>
              <w:rPr>
                <w:rFonts w:ascii="Times New Roman" w:hAnsi="Times New Roman"/>
                <w:b/>
              </w:rPr>
              <w:t>Verwijzingen naar wetgeving en instructies</w:t>
            </w:r>
          </w:p>
          <w:p w:rsidR="002509B1" w:rsidRPr="00FE002E" w:rsidRDefault="002509B1" w:rsidP="00BE6AC4">
            <w:pPr>
              <w:pStyle w:val="BodyText1"/>
              <w:spacing w:line="240" w:lineRule="auto"/>
              <w:rPr>
                <w:rFonts w:ascii="Times New Roman" w:hAnsi="Times New Roman"/>
                <w:b/>
                <w:bCs/>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sidRPr="00CF219D">
              <w:rPr>
                <w:rFonts w:ascii="Times New Roman" w:hAnsi="Times New Roman"/>
              </w:rPr>
              <w:t>010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Blootstellingen binnen en buiten de balanstelling (blootstellingen in het kader van de standaardbenadering)</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Waarde van blootstellingen binnen en buiten de balanstelling rekening houdend met waardeaanpassingen, alle CRM- en kredietomrekeningsfactoren, zoals berekend </w:t>
            </w:r>
            <w:r>
              <w:rPr>
                <w:rFonts w:ascii="Times New Roman" w:hAnsi="Times New Roman"/>
              </w:rPr>
              <w:lastRenderedPageBreak/>
              <w:t xml:space="preserve">overeenkomstig deel drie, titel II, hoofdstuk </w:t>
            </w:r>
            <w:r w:rsidRPr="00CF219D">
              <w:rPr>
                <w:rFonts w:ascii="Times New Roman" w:hAnsi="Times New Roman"/>
              </w:rPr>
              <w:t>2</w:t>
            </w:r>
            <w:r>
              <w:rPr>
                <w:rFonts w:ascii="Times New Roman" w:hAnsi="Times New Roman"/>
              </w:rPr>
              <w:t xml:space="preserve">, van de VKV.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sidRPr="00CF219D">
              <w:rPr>
                <w:rFonts w:ascii="Times New Roman" w:hAnsi="Times New Roman"/>
              </w:rPr>
              <w:lastRenderedPageBreak/>
              <w:t>020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Blootstellingen binnen en buiten de balanstelling (blootstellingen in het kader van de interneratingbenadering)</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Waarde van blootstellingen binnen en buiten de balanstelling, overeenkomstig artikel </w:t>
            </w:r>
            <w:r w:rsidRPr="00CF219D">
              <w:rPr>
                <w:rFonts w:ascii="Times New Roman" w:hAnsi="Times New Roman"/>
              </w:rPr>
              <w:t>166</w:t>
            </w:r>
            <w:r>
              <w:rPr>
                <w:rFonts w:ascii="Times New Roman" w:hAnsi="Times New Roman"/>
              </w:rPr>
              <w:t xml:space="preserve"> van de VKV en artikel </w:t>
            </w:r>
            <w:r w:rsidRPr="00CF219D">
              <w:rPr>
                <w:rFonts w:ascii="Times New Roman" w:hAnsi="Times New Roman"/>
              </w:rPr>
              <w:t>230</w:t>
            </w:r>
            <w:r>
              <w:rPr>
                <w:rFonts w:ascii="Times New Roman" w:hAnsi="Times New Roman"/>
              </w:rPr>
              <w:t>, lid </w:t>
            </w:r>
            <w:r w:rsidRPr="00CF219D">
              <w:rPr>
                <w:rFonts w:ascii="Times New Roman" w:hAnsi="Times New Roman"/>
              </w:rPr>
              <w:t>1</w:t>
            </w:r>
            <w:r>
              <w:rPr>
                <w:rFonts w:ascii="Times New Roman" w:hAnsi="Times New Roman"/>
              </w:rPr>
              <w:t>, tweede alinea, eerste zin, van de VKV, rekening houdend met instromen en uitstromen als gevolg van CRM-technieken met substitutie-effect op de blootstelling.</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Voor posten buiten de balanstelling hanteren instellingen de omrekeningsfactoren zoals die in artikel </w:t>
            </w:r>
            <w:r w:rsidRPr="00CF219D">
              <w:rPr>
                <w:rFonts w:ascii="Times New Roman" w:hAnsi="Times New Roman"/>
              </w:rPr>
              <w:t>166</w:t>
            </w:r>
            <w:r>
              <w:rPr>
                <w:rFonts w:ascii="Times New Roman" w:hAnsi="Times New Roman"/>
              </w:rPr>
              <w:t>, leden </w:t>
            </w:r>
            <w:r w:rsidRPr="00CF219D">
              <w:rPr>
                <w:rFonts w:ascii="Times New Roman" w:hAnsi="Times New Roman"/>
              </w:rPr>
              <w:t>8</w:t>
            </w:r>
            <w:r>
              <w:rPr>
                <w:rFonts w:ascii="Times New Roman" w:hAnsi="Times New Roman"/>
              </w:rPr>
              <w:t xml:space="preserve">, </w:t>
            </w:r>
            <w:r w:rsidRPr="00CF219D">
              <w:rPr>
                <w:rFonts w:ascii="Times New Roman" w:hAnsi="Times New Roman"/>
              </w:rPr>
              <w:t>9</w:t>
            </w:r>
            <w:r>
              <w:rPr>
                <w:rFonts w:ascii="Times New Roman" w:hAnsi="Times New Roman"/>
              </w:rPr>
              <w:t xml:space="preserve"> en </w:t>
            </w:r>
            <w:r w:rsidRPr="00CF219D">
              <w:rPr>
                <w:rFonts w:ascii="Times New Roman" w:hAnsi="Times New Roman"/>
              </w:rPr>
              <w:t>10</w:t>
            </w:r>
            <w:r>
              <w:rPr>
                <w:rFonts w:ascii="Times New Roman" w:hAnsi="Times New Roman"/>
              </w:rPr>
              <w:t>, van de VKV zijn vastgesteld.</w:t>
            </w:r>
          </w:p>
          <w:p w:rsidR="002509B1" w:rsidRPr="00FE002E" w:rsidRDefault="002509B1" w:rsidP="007E2A41">
            <w:pPr>
              <w:pStyle w:val="BodyText1"/>
              <w:spacing w:line="240" w:lineRule="auto"/>
              <w:rPr>
                <w:rFonts w:ascii="Times New Roman" w:hAnsi="Times New Roman"/>
                <w:b/>
                <w:bCs/>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sidRPr="00CF219D">
              <w:rPr>
                <w:rFonts w:ascii="Times New Roman" w:hAnsi="Times New Roman"/>
              </w:rPr>
              <w:t>030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Nominale waarde</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Blootstellingswaarden van posten buiten de balanstelling als omschreven in de artikelen </w:t>
            </w:r>
            <w:r w:rsidRPr="00CF219D">
              <w:rPr>
                <w:rFonts w:ascii="Times New Roman" w:hAnsi="Times New Roman"/>
              </w:rPr>
              <w:t>111</w:t>
            </w:r>
            <w:r>
              <w:rPr>
                <w:rFonts w:ascii="Times New Roman" w:hAnsi="Times New Roman"/>
              </w:rPr>
              <w:t xml:space="preserve"> en </w:t>
            </w:r>
            <w:r w:rsidRPr="00CF219D">
              <w:rPr>
                <w:rFonts w:ascii="Times New Roman" w:hAnsi="Times New Roman"/>
              </w:rPr>
              <w:t>166</w:t>
            </w:r>
            <w:r>
              <w:rPr>
                <w:rFonts w:ascii="Times New Roman" w:hAnsi="Times New Roman"/>
              </w:rPr>
              <w:t xml:space="preserve"> van de VKV, zonder toepassing van omrekeningsfactoren. </w:t>
            </w:r>
          </w:p>
          <w:p w:rsidR="002509B1" w:rsidRPr="00FE002E" w:rsidRDefault="002509B1" w:rsidP="007E2A41">
            <w:pPr>
              <w:pStyle w:val="BodyText1"/>
              <w:spacing w:line="240" w:lineRule="auto"/>
              <w:rPr>
                <w:rFonts w:ascii="Times New Roman" w:hAnsi="Times New Roman"/>
                <w:bCs/>
              </w:rPr>
            </w:pPr>
          </w:p>
        </w:tc>
      </w:tr>
    </w:tbl>
    <w:p w:rsidR="00F4754B" w:rsidRPr="00FE002E" w:rsidRDefault="00F4754B" w:rsidP="00F4754B">
      <w:pPr>
        <w:pStyle w:val="BodyText1"/>
        <w:rPr>
          <w:rFonts w:ascii="Times New Roman" w:hAnsi="Times New Roman"/>
        </w:rPr>
      </w:pPr>
    </w:p>
    <w:p w:rsidR="00217D1F" w:rsidRPr="00FE002E" w:rsidRDefault="00500508" w:rsidP="00500508">
      <w:pPr>
        <w:pStyle w:val="BodyText1"/>
        <w:ind w:left="357" w:hanging="357"/>
        <w:outlineLvl w:val="1"/>
        <w:rPr>
          <w:rFonts w:ascii="Times New Roman" w:hAnsi="Times New Roman"/>
          <w:b/>
        </w:rPr>
      </w:pPr>
      <w:bookmarkStart w:id="71" w:name="_Toc338669922"/>
      <w:bookmarkStart w:id="72" w:name="_Toc338669923"/>
      <w:bookmarkStart w:id="73" w:name="_Toc338669924"/>
      <w:bookmarkStart w:id="74" w:name="_Toc338669925"/>
      <w:bookmarkStart w:id="75" w:name="_Toc338669926"/>
      <w:bookmarkStart w:id="76" w:name="_Toc338669927"/>
      <w:bookmarkStart w:id="77" w:name="_Toc338669928"/>
      <w:bookmarkStart w:id="78" w:name="_Toc351048509"/>
      <w:bookmarkStart w:id="79" w:name="_Toc359414288"/>
      <w:bookmarkStart w:id="80" w:name="_Toc423089073"/>
      <w:bookmarkStart w:id="81" w:name="_Toc522780003"/>
      <w:bookmarkStart w:id="82" w:name="_Toc322687894"/>
      <w:bookmarkEnd w:id="62"/>
      <w:bookmarkEnd w:id="71"/>
      <w:bookmarkEnd w:id="72"/>
      <w:bookmarkEnd w:id="73"/>
      <w:bookmarkEnd w:id="74"/>
      <w:bookmarkEnd w:id="75"/>
      <w:bookmarkEnd w:id="76"/>
      <w:bookmarkEnd w:id="77"/>
      <w:r w:rsidRPr="00CF219D">
        <w:rPr>
          <w:rFonts w:ascii="Times New Roman" w:hAnsi="Times New Roman"/>
          <w:b/>
        </w:rPr>
        <w:t>7</w:t>
      </w:r>
      <w:r>
        <w:rPr>
          <w:rFonts w:ascii="Times New Roman" w:hAnsi="Times New Roman"/>
          <w:b/>
        </w:rPr>
        <w:t>.</w:t>
      </w:r>
      <w:r>
        <w:tab/>
      </w:r>
      <w:r>
        <w:rPr>
          <w:rFonts w:ascii="Times New Roman" w:hAnsi="Times New Roman"/>
          <w:b/>
        </w:rPr>
        <w:t xml:space="preserve">C </w:t>
      </w:r>
      <w:r w:rsidRPr="00CF219D">
        <w:rPr>
          <w:rFonts w:ascii="Times New Roman" w:hAnsi="Times New Roman"/>
          <w:b/>
        </w:rPr>
        <w:t>42</w:t>
      </w:r>
      <w:r>
        <w:rPr>
          <w:rFonts w:ascii="Times New Roman" w:hAnsi="Times New Roman"/>
          <w:b/>
        </w:rPr>
        <w:t>.</w:t>
      </w:r>
      <w:r w:rsidRPr="00CF219D">
        <w:rPr>
          <w:rFonts w:ascii="Times New Roman" w:hAnsi="Times New Roman"/>
          <w:b/>
        </w:rPr>
        <w:t>00</w:t>
      </w:r>
      <w:r>
        <w:rPr>
          <w:rFonts w:ascii="Times New Roman" w:hAnsi="Times New Roman"/>
          <w:b/>
        </w:rPr>
        <w:t xml:space="preserve"> — Alternatieve definitie van kapitaal</w:t>
      </w:r>
      <w:bookmarkEnd w:id="78"/>
      <w:bookmarkEnd w:id="79"/>
      <w:r>
        <w:rPr>
          <w:rFonts w:ascii="Times New Roman" w:hAnsi="Times New Roman"/>
          <w:b/>
        </w:rPr>
        <w:t xml:space="preserve"> (LR</w:t>
      </w:r>
      <w:r w:rsidRPr="00CF219D">
        <w:rPr>
          <w:rFonts w:ascii="Times New Roman" w:hAnsi="Times New Roman"/>
          <w:b/>
        </w:rPr>
        <w:t>3</w:t>
      </w:r>
      <w:r>
        <w:rPr>
          <w:rFonts w:ascii="Times New Roman" w:hAnsi="Times New Roman"/>
          <w:b/>
        </w:rPr>
        <w:t>)</w:t>
      </w:r>
      <w:bookmarkEnd w:id="80"/>
      <w:bookmarkEnd w:id="81"/>
      <w:r>
        <w:rPr>
          <w:rFonts w:ascii="Times New Roman" w:hAnsi="Times New Roman"/>
          <w:b/>
        </w:rPr>
        <w:t xml:space="preserve"> </w:t>
      </w:r>
      <w:bookmarkEnd w:id="82"/>
    </w:p>
    <w:p w:rsidR="00675587" w:rsidRPr="00FE002E" w:rsidRDefault="00675587" w:rsidP="00675587">
      <w:pPr>
        <w:pStyle w:val="BodyText1"/>
        <w:ind w:left="720"/>
        <w:rPr>
          <w:rFonts w:ascii="Times New Roman" w:hAnsi="Times New Roman"/>
        </w:rPr>
      </w:pPr>
    </w:p>
    <w:p w:rsidR="00675587" w:rsidRPr="00FE002E" w:rsidRDefault="00500508" w:rsidP="00500508">
      <w:pPr>
        <w:pStyle w:val="BodyText1"/>
        <w:spacing w:line="240" w:lineRule="auto"/>
        <w:ind w:left="720" w:hanging="360"/>
        <w:rPr>
          <w:rFonts w:ascii="Times New Roman" w:hAnsi="Times New Roman"/>
        </w:rPr>
      </w:pPr>
      <w:r w:rsidRPr="00CF219D">
        <w:rPr>
          <w:rFonts w:ascii="Times New Roman" w:hAnsi="Times New Roman"/>
        </w:rPr>
        <w:t>27</w:t>
      </w:r>
      <w:r>
        <w:rPr>
          <w:rFonts w:ascii="Times New Roman" w:hAnsi="Times New Roman"/>
        </w:rPr>
        <w:t>.</w:t>
      </w:r>
      <w:r>
        <w:tab/>
      </w:r>
      <w:r>
        <w:rPr>
          <w:rFonts w:ascii="Times New Roman" w:hAnsi="Times New Roman"/>
        </w:rPr>
        <w:t>Template LR</w:t>
      </w:r>
      <w:r w:rsidRPr="00CF219D">
        <w:rPr>
          <w:rFonts w:ascii="Times New Roman" w:hAnsi="Times New Roman"/>
        </w:rPr>
        <w:t>3</w:t>
      </w:r>
      <w:r>
        <w:rPr>
          <w:rFonts w:ascii="Times New Roman" w:hAnsi="Times New Roman"/>
        </w:rPr>
        <w:t xml:space="preserve"> bevat voor de toetsing van artikel </w:t>
      </w:r>
      <w:r w:rsidRPr="00CF219D">
        <w:rPr>
          <w:rFonts w:ascii="Times New Roman" w:hAnsi="Times New Roman"/>
        </w:rPr>
        <w:t>511</w:t>
      </w:r>
      <w:r>
        <w:rPr>
          <w:rFonts w:ascii="Times New Roman" w:hAnsi="Times New Roman"/>
        </w:rPr>
        <w:t xml:space="preserve"> van de VKV benodigde informatie over de kapitaalmaatstaven.</w:t>
      </w:r>
    </w:p>
    <w:p w:rsidR="00F4754B" w:rsidRPr="00FE002E" w:rsidRDefault="00F4754B" w:rsidP="007E2A41">
      <w:pPr>
        <w:pStyle w:val="BodyText1"/>
        <w:spacing w:line="240" w:lineRule="auto"/>
        <w:ind w:left="720"/>
        <w:rPr>
          <w:rFonts w:ascii="Times New Roman" w:hAnsi="Times New Roman"/>
        </w:rPr>
      </w:pPr>
      <w:r>
        <w:rPr>
          <w:rFonts w:ascii="Times New Roman" w:hAnsi="Times New Roman"/>
        </w:rPr>
        <w:t xml:space="preserve">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Pr>
                <w:rFonts w:ascii="Times New Roman" w:hAnsi="Times New Roman"/>
                <w:b/>
              </w:rPr>
              <w:t xml:space="preserve">Rij </w:t>
            </w:r>
          </w:p>
          <w:p w:rsidR="00F4754B" w:rsidRPr="00FE002E" w:rsidRDefault="00F4754B" w:rsidP="00F4754B">
            <w:pPr>
              <w:pStyle w:val="BodyText1"/>
              <w:rPr>
                <w:rFonts w:ascii="Times New Roman" w:hAnsi="Times New Roman"/>
                <w:b/>
                <w:bCs/>
                <w:u w:val="single"/>
              </w:rPr>
            </w:pPr>
            <w:r>
              <w:rPr>
                <w:rFonts w:ascii="Times New Roman" w:hAnsi="Times New Roman"/>
                <w:b/>
              </w:rPr>
              <w:t>en kolom</w:t>
            </w:r>
          </w:p>
        </w:tc>
        <w:tc>
          <w:tcPr>
            <w:tcW w:w="7620" w:type="dxa"/>
            <w:shd w:val="clear" w:color="auto" w:fill="D9D9D9"/>
          </w:tcPr>
          <w:p w:rsidR="00F4754B" w:rsidRPr="00FE002E" w:rsidRDefault="00F4754B" w:rsidP="00F4754B">
            <w:pPr>
              <w:pStyle w:val="BodyText1"/>
              <w:rPr>
                <w:rFonts w:ascii="Times New Roman" w:hAnsi="Times New Roman"/>
                <w:b/>
                <w:bCs/>
                <w:u w:val="single"/>
              </w:rPr>
            </w:pPr>
            <w:r>
              <w:rPr>
                <w:rFonts w:ascii="Times New Roman" w:hAnsi="Times New Roman"/>
                <w:b/>
              </w:rPr>
              <w:t>Verwijzingen naar wetgeving en instructies</w:t>
            </w:r>
          </w:p>
        </w:tc>
      </w:tr>
      <w:tr w:rsidR="00F4754B" w:rsidRPr="00FE002E" w:rsidTr="00FC2664">
        <w:trPr>
          <w:trHeight w:val="1561"/>
        </w:trPr>
        <w:tc>
          <w:tcPr>
            <w:tcW w:w="1418" w:type="dxa"/>
          </w:tcPr>
          <w:p w:rsidR="00F4754B" w:rsidRPr="00FE002E" w:rsidRDefault="00F4754B" w:rsidP="00F4754B">
            <w:pPr>
              <w:pStyle w:val="BodyText1"/>
              <w:rPr>
                <w:rFonts w:ascii="Times New Roman" w:hAnsi="Times New Roman"/>
                <w:bCs/>
              </w:rPr>
            </w:pPr>
            <w:r>
              <w:rPr>
                <w:rFonts w:ascii="Times New Roman" w:hAnsi="Times New Roman"/>
              </w:rPr>
              <w:t>{</w:t>
            </w:r>
            <w:r w:rsidRPr="00CF219D">
              <w:rPr>
                <w:rFonts w:ascii="Times New Roman" w:hAnsi="Times New Roman"/>
              </w:rPr>
              <w:t>010</w:t>
            </w:r>
            <w:r>
              <w:rPr>
                <w:rFonts w:ascii="Times New Roman" w:hAnsi="Times New Roman"/>
              </w:rPr>
              <w:t>;</w:t>
            </w:r>
            <w:r w:rsidRPr="00CF219D">
              <w:rPr>
                <w:rFonts w:ascii="Times New Roman" w:hAnsi="Times New Roman"/>
              </w:rPr>
              <w:t>010</w:t>
            </w:r>
            <w:r>
              <w:rPr>
                <w:rFonts w:ascii="Times New Roman" w:hAnsi="Times New Roman"/>
              </w:rPr>
              <w:t>}</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Tier </w:t>
            </w:r>
            <w:r w:rsidRPr="00CF219D">
              <w:rPr>
                <w:rFonts w:ascii="Times New Roman" w:hAnsi="Times New Roman"/>
                <w:b/>
              </w:rPr>
              <w:t>1</w:t>
            </w:r>
            <w:r>
              <w:rPr>
                <w:rFonts w:ascii="Times New Roman" w:hAnsi="Times New Roman"/>
                <w:b/>
              </w:rPr>
              <w:t xml:space="preserve">-kernkapitaal — volledig ingefaseerde definitie </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50</w:t>
            </w:r>
            <w:r>
              <w:rPr>
                <w:rFonts w:ascii="Times New Roman" w:hAnsi="Times New Roman"/>
              </w:rPr>
              <w:t xml:space="preserve"> van de VKV</w:t>
            </w:r>
          </w:p>
          <w:p w:rsidR="00F4754B" w:rsidRPr="00FE002E" w:rsidRDefault="00F4754B" w:rsidP="007E2A41">
            <w:pPr>
              <w:pStyle w:val="BodyText1"/>
              <w:spacing w:line="240" w:lineRule="auto"/>
              <w:rPr>
                <w:rFonts w:ascii="Times New Roman" w:hAnsi="Times New Roman"/>
              </w:rPr>
            </w:pPr>
          </w:p>
          <w:p w:rsidR="00F4754B" w:rsidRPr="00FE002E" w:rsidRDefault="00F4754B" w:rsidP="007A0E3A">
            <w:pPr>
              <w:pStyle w:val="BodyText1"/>
              <w:spacing w:line="240" w:lineRule="auto"/>
              <w:rPr>
                <w:rFonts w:ascii="Times New Roman" w:hAnsi="Times New Roman"/>
                <w:bCs/>
                <w:i/>
              </w:rPr>
            </w:pPr>
            <w:r>
              <w:rPr>
                <w:rFonts w:ascii="Times New Roman" w:hAnsi="Times New Roman"/>
              </w:rPr>
              <w:t xml:space="preserve">Dit is het bedrag aan tier </w:t>
            </w:r>
            <w:r w:rsidRPr="00CF219D">
              <w:rPr>
                <w:rFonts w:ascii="Times New Roman" w:hAnsi="Times New Roman"/>
              </w:rPr>
              <w:t>1</w:t>
            </w:r>
            <w:r>
              <w:rPr>
                <w:rFonts w:ascii="Times New Roman" w:hAnsi="Times New Roman"/>
              </w:rPr>
              <w:t xml:space="preserve">-kernkapitaal als omschreven in artikel </w:t>
            </w:r>
            <w:r w:rsidRPr="00CF219D">
              <w:rPr>
                <w:rFonts w:ascii="Times New Roman" w:hAnsi="Times New Roman"/>
              </w:rPr>
              <w:t>50</w:t>
            </w:r>
            <w:r>
              <w:rPr>
                <w:rFonts w:ascii="Times New Roman" w:hAnsi="Times New Roman"/>
              </w:rPr>
              <w:t xml:space="preserve"> van de VKV, zonder rekening te houden met de afwijking waarin deel tien, titel I, hoofdstukken </w:t>
            </w:r>
            <w:r w:rsidRPr="00CF219D">
              <w:rPr>
                <w:rFonts w:ascii="Times New Roman" w:hAnsi="Times New Roman"/>
              </w:rPr>
              <w:t>1</w:t>
            </w:r>
            <w:r>
              <w:rPr>
                <w:rFonts w:ascii="Times New Roman" w:hAnsi="Times New Roman"/>
              </w:rPr>
              <w:t xml:space="preserve"> en </w:t>
            </w:r>
            <w:r w:rsidRPr="00CF219D">
              <w:rPr>
                <w:rFonts w:ascii="Times New Roman" w:hAnsi="Times New Roman"/>
              </w:rPr>
              <w:t>2</w:t>
            </w:r>
            <w:r>
              <w:rPr>
                <w:rFonts w:ascii="Times New Roman" w:hAnsi="Times New Roman"/>
              </w:rPr>
              <w:t>, van de VKV voorziet.</w:t>
            </w:r>
            <w:r>
              <w:rPr>
                <w:rFonts w:ascii="Times New Roman" w:hAnsi="Times New Roman"/>
                <w:b/>
              </w:rPr>
              <w:t xml:space="preserve"> </w:t>
            </w:r>
          </w:p>
        </w:tc>
      </w:tr>
      <w:tr w:rsidR="00F4754B" w:rsidRPr="00FE002E" w:rsidTr="00FC2664">
        <w:trPr>
          <w:trHeight w:val="1561"/>
        </w:trPr>
        <w:tc>
          <w:tcPr>
            <w:tcW w:w="1418" w:type="dxa"/>
          </w:tcPr>
          <w:p w:rsidR="00F4754B" w:rsidRPr="00FE002E" w:rsidRDefault="00F4754B" w:rsidP="00F4754B">
            <w:pPr>
              <w:pStyle w:val="BodyText1"/>
              <w:rPr>
                <w:rFonts w:ascii="Times New Roman" w:hAnsi="Times New Roman"/>
                <w:bCs/>
              </w:rPr>
            </w:pPr>
            <w:r>
              <w:rPr>
                <w:rFonts w:ascii="Times New Roman" w:hAnsi="Times New Roman"/>
              </w:rPr>
              <w:t>{</w:t>
            </w:r>
            <w:r w:rsidRPr="00CF219D">
              <w:rPr>
                <w:rFonts w:ascii="Times New Roman" w:hAnsi="Times New Roman"/>
              </w:rPr>
              <w:t>020</w:t>
            </w:r>
            <w:r>
              <w:rPr>
                <w:rFonts w:ascii="Times New Roman" w:hAnsi="Times New Roman"/>
              </w:rPr>
              <w:t>;</w:t>
            </w:r>
            <w:r w:rsidRPr="00CF219D">
              <w:rPr>
                <w:rFonts w:ascii="Times New Roman" w:hAnsi="Times New Roman"/>
              </w:rPr>
              <w:t>010</w:t>
            </w:r>
            <w:r>
              <w:rPr>
                <w:rFonts w:ascii="Times New Roman" w:hAnsi="Times New Roman"/>
              </w:rPr>
              <w:t>}</w:t>
            </w:r>
          </w:p>
        </w:tc>
        <w:tc>
          <w:tcPr>
            <w:tcW w:w="7620" w:type="dxa"/>
          </w:tcPr>
          <w:p w:rsidR="00F4754B" w:rsidRPr="00FE002E" w:rsidRDefault="00F4754B" w:rsidP="007E2A41">
            <w:pPr>
              <w:pStyle w:val="BodyText1"/>
              <w:spacing w:line="240" w:lineRule="auto"/>
              <w:rPr>
                <w:rFonts w:ascii="Times New Roman" w:hAnsi="Times New Roman"/>
                <w:i/>
              </w:rPr>
            </w:pPr>
            <w:r>
              <w:rPr>
                <w:rFonts w:ascii="Times New Roman" w:hAnsi="Times New Roman"/>
                <w:b/>
              </w:rPr>
              <w:t xml:space="preserve">Tier </w:t>
            </w:r>
            <w:r w:rsidRPr="00CF219D">
              <w:rPr>
                <w:rFonts w:ascii="Times New Roman" w:hAnsi="Times New Roman"/>
                <w:b/>
              </w:rPr>
              <w:t>1</w:t>
            </w:r>
            <w:r>
              <w:rPr>
                <w:rFonts w:ascii="Times New Roman" w:hAnsi="Times New Roman"/>
                <w:b/>
              </w:rPr>
              <w:t>-kernkapitaal — overgangsdefinitie</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Artikel </w:t>
            </w:r>
            <w:r w:rsidRPr="00CF219D">
              <w:rPr>
                <w:rFonts w:ascii="Times New Roman" w:hAnsi="Times New Roman"/>
              </w:rPr>
              <w:t>50</w:t>
            </w:r>
            <w:r>
              <w:rPr>
                <w:rFonts w:ascii="Times New Roman" w:hAnsi="Times New Roman"/>
              </w:rPr>
              <w:t xml:space="preserve"> van de VKV</w:t>
            </w:r>
          </w:p>
          <w:p w:rsidR="00F4754B" w:rsidRPr="00FE002E" w:rsidRDefault="00F4754B" w:rsidP="007E2A41">
            <w:pPr>
              <w:pStyle w:val="BodyText1"/>
              <w:spacing w:line="240" w:lineRule="auto"/>
              <w:rPr>
                <w:rFonts w:ascii="Times New Roman" w:hAnsi="Times New Roman"/>
              </w:rPr>
            </w:pPr>
          </w:p>
          <w:p w:rsidR="00F4754B" w:rsidRPr="00FE002E" w:rsidRDefault="00F4754B" w:rsidP="007A0E3A">
            <w:pPr>
              <w:pStyle w:val="BodyText1"/>
              <w:spacing w:line="240" w:lineRule="auto"/>
              <w:rPr>
                <w:rFonts w:ascii="Times New Roman" w:hAnsi="Times New Roman"/>
              </w:rPr>
            </w:pPr>
            <w:r>
              <w:rPr>
                <w:rFonts w:ascii="Times New Roman" w:hAnsi="Times New Roman"/>
              </w:rPr>
              <w:t xml:space="preserve">Dit is het bedrag aan tier </w:t>
            </w:r>
            <w:r w:rsidRPr="00CF219D">
              <w:rPr>
                <w:rFonts w:ascii="Times New Roman" w:hAnsi="Times New Roman"/>
              </w:rPr>
              <w:t>1</w:t>
            </w:r>
            <w:r>
              <w:rPr>
                <w:rFonts w:ascii="Times New Roman" w:hAnsi="Times New Roman"/>
              </w:rPr>
              <w:t xml:space="preserve">-kernkapitaal als omschreven in artikel </w:t>
            </w:r>
            <w:r w:rsidRPr="00CF219D">
              <w:rPr>
                <w:rFonts w:ascii="Times New Roman" w:hAnsi="Times New Roman"/>
              </w:rPr>
              <w:t>50</w:t>
            </w:r>
            <w:r>
              <w:rPr>
                <w:rFonts w:ascii="Times New Roman" w:hAnsi="Times New Roman"/>
              </w:rPr>
              <w:t xml:space="preserve"> van de VKV, rekening houdend met de afwijking waarin deel tien, titel I, hoofdstukken </w:t>
            </w:r>
            <w:r w:rsidRPr="00CF219D">
              <w:rPr>
                <w:rFonts w:ascii="Times New Roman" w:hAnsi="Times New Roman"/>
              </w:rPr>
              <w:t>1</w:t>
            </w:r>
            <w:r>
              <w:rPr>
                <w:rFonts w:ascii="Times New Roman" w:hAnsi="Times New Roman"/>
              </w:rPr>
              <w:t xml:space="preserve"> en </w:t>
            </w:r>
            <w:r w:rsidRPr="00CF219D">
              <w:rPr>
                <w:rFonts w:ascii="Times New Roman" w:hAnsi="Times New Roman"/>
              </w:rPr>
              <w:t>2</w:t>
            </w:r>
            <w:r>
              <w:rPr>
                <w:rFonts w:ascii="Times New Roman" w:hAnsi="Times New Roman"/>
              </w:rPr>
              <w:t>, van de VKV voorziet.</w:t>
            </w: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u w:val="single"/>
              </w:rPr>
            </w:pPr>
            <w:r>
              <w:rPr>
                <w:rFonts w:ascii="Times New Roman" w:hAnsi="Times New Roman"/>
              </w:rPr>
              <w:t>{</w:t>
            </w:r>
            <w:r w:rsidRPr="00CF219D">
              <w:rPr>
                <w:rFonts w:ascii="Times New Roman" w:hAnsi="Times New Roman"/>
              </w:rPr>
              <w:t>030</w:t>
            </w:r>
            <w:r>
              <w:rPr>
                <w:rFonts w:ascii="Times New Roman" w:hAnsi="Times New Roman"/>
              </w:rPr>
              <w:t>;</w:t>
            </w:r>
            <w:r w:rsidRPr="00CF219D">
              <w:rPr>
                <w:rFonts w:ascii="Times New Roman" w:hAnsi="Times New Roman"/>
              </w:rPr>
              <w:t>010</w:t>
            </w:r>
            <w:r>
              <w:rPr>
                <w:rFonts w:ascii="Times New Roman" w:hAnsi="Times New Roman"/>
              </w:rPr>
              <w:t>}</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i/>
              </w:rPr>
            </w:pPr>
            <w:r>
              <w:rPr>
                <w:rFonts w:ascii="Times New Roman" w:hAnsi="Times New Roman"/>
                <w:b/>
              </w:rPr>
              <w:t>Totaal eigen vermogen — volledig ingefaseerde definitie</w:t>
            </w:r>
          </w:p>
          <w:p w:rsidR="00F4754B" w:rsidRPr="00FE002E" w:rsidRDefault="00F4754B" w:rsidP="007E2A41">
            <w:pPr>
              <w:pStyle w:val="BodyText1"/>
              <w:spacing w:line="240" w:lineRule="auto"/>
              <w:rPr>
                <w:rFonts w:ascii="Times New Roman" w:hAnsi="Times New Roman"/>
                <w:i/>
                <w:u w:val="single"/>
              </w:rPr>
            </w:pPr>
          </w:p>
          <w:p w:rsidR="00F4754B" w:rsidRPr="00FE002E" w:rsidRDefault="00F4754B" w:rsidP="007E2A41">
            <w:pPr>
              <w:pStyle w:val="BodyText1"/>
              <w:spacing w:line="240" w:lineRule="auto"/>
              <w:rPr>
                <w:rFonts w:ascii="Times New Roman" w:hAnsi="Times New Roman"/>
                <w:i/>
              </w:rPr>
            </w:pPr>
            <w:r>
              <w:rPr>
                <w:rFonts w:ascii="Times New Roman" w:hAnsi="Times New Roman"/>
              </w:rPr>
              <w:t xml:space="preserve">Artikel </w:t>
            </w:r>
            <w:r w:rsidRPr="00CF219D">
              <w:rPr>
                <w:rFonts w:ascii="Times New Roman" w:hAnsi="Times New Roman"/>
              </w:rPr>
              <w:t>72</w:t>
            </w:r>
            <w:r>
              <w:rPr>
                <w:rFonts w:ascii="Times New Roman" w:hAnsi="Times New Roman"/>
              </w:rPr>
              <w:t xml:space="preserve"> van de VKV</w:t>
            </w:r>
          </w:p>
          <w:p w:rsidR="00F4754B" w:rsidRPr="00FE002E" w:rsidRDefault="00F4754B" w:rsidP="007E2A41">
            <w:pPr>
              <w:pStyle w:val="BodyText1"/>
              <w:spacing w:line="240" w:lineRule="auto"/>
              <w:rPr>
                <w:rFonts w:ascii="Times New Roman" w:hAnsi="Times New Roman"/>
                <w:i/>
                <w:u w:val="single"/>
              </w:rPr>
            </w:pPr>
          </w:p>
          <w:p w:rsidR="00F4754B" w:rsidRPr="00FE002E" w:rsidRDefault="00F4754B" w:rsidP="007E2A41">
            <w:pPr>
              <w:pStyle w:val="BodyText1"/>
              <w:spacing w:line="240" w:lineRule="auto"/>
              <w:rPr>
                <w:rFonts w:ascii="Times New Roman" w:hAnsi="Times New Roman"/>
                <w:i/>
              </w:rPr>
            </w:pPr>
            <w:r>
              <w:rPr>
                <w:rFonts w:ascii="Times New Roman" w:hAnsi="Times New Roman"/>
              </w:rPr>
              <w:t xml:space="preserve">Dit is het bedrag aan eigen vermogen als omschreven in artikel </w:t>
            </w:r>
            <w:r w:rsidRPr="00CF219D">
              <w:rPr>
                <w:rFonts w:ascii="Times New Roman" w:hAnsi="Times New Roman"/>
              </w:rPr>
              <w:t>72</w:t>
            </w:r>
            <w:r>
              <w:rPr>
                <w:rFonts w:ascii="Times New Roman" w:hAnsi="Times New Roman"/>
              </w:rPr>
              <w:t xml:space="preserve"> van de VKV, zonder rekening te houden met de afwijking waarin deel tien, titel I, hoofdstukken </w:t>
            </w:r>
            <w:r w:rsidRPr="00CF219D">
              <w:rPr>
                <w:rFonts w:ascii="Times New Roman" w:hAnsi="Times New Roman"/>
              </w:rPr>
              <w:t>1</w:t>
            </w:r>
            <w:r>
              <w:rPr>
                <w:rFonts w:ascii="Times New Roman" w:hAnsi="Times New Roman"/>
              </w:rPr>
              <w:t xml:space="preserve"> en </w:t>
            </w:r>
            <w:r w:rsidRPr="00CF219D">
              <w:rPr>
                <w:rFonts w:ascii="Times New Roman" w:hAnsi="Times New Roman"/>
              </w:rPr>
              <w:t>2</w:t>
            </w:r>
            <w:r>
              <w:rPr>
                <w:rFonts w:ascii="Times New Roman" w:hAnsi="Times New Roman"/>
              </w:rPr>
              <w:t>, van de VKV voorziet.</w:t>
            </w:r>
          </w:p>
          <w:p w:rsidR="00F4754B" w:rsidRPr="00FE002E" w:rsidRDefault="00F4754B" w:rsidP="007E2A41">
            <w:pPr>
              <w:pStyle w:val="BodyText1"/>
              <w:spacing w:line="240" w:lineRule="auto"/>
              <w:rPr>
                <w:rFonts w:ascii="Times New Roman" w:hAnsi="Times New Roman"/>
                <w:i/>
                <w:u w:val="single"/>
              </w:rPr>
            </w:pP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t>{</w:t>
            </w:r>
            <w:r w:rsidRPr="00CF219D">
              <w:rPr>
                <w:rFonts w:ascii="Times New Roman" w:hAnsi="Times New Roman"/>
              </w:rPr>
              <w:t>040</w:t>
            </w:r>
            <w:r>
              <w:rPr>
                <w:rFonts w:ascii="Times New Roman" w:hAnsi="Times New Roman"/>
              </w:rPr>
              <w:t>;</w:t>
            </w:r>
            <w:r w:rsidRPr="00CF219D">
              <w:rPr>
                <w:rFonts w:ascii="Times New Roman" w:hAnsi="Times New Roman"/>
              </w:rPr>
              <w:t>010</w:t>
            </w:r>
            <w:r>
              <w:rPr>
                <w:rFonts w:ascii="Times New Roman" w:hAnsi="Times New Roman"/>
              </w:rPr>
              <w:t>}</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Totaal eigen vermogen — overgangsdefinitie</w:t>
            </w:r>
          </w:p>
          <w:p w:rsidR="00F4754B" w:rsidRPr="00FE002E" w:rsidRDefault="00F4754B" w:rsidP="007E2A41">
            <w:pPr>
              <w:pStyle w:val="BodyText1"/>
              <w:spacing w:line="240" w:lineRule="auto"/>
              <w:rPr>
                <w:rFonts w:ascii="Times New Roman" w:hAnsi="Times New Roman"/>
                <w:bCs/>
                <w:u w:val="single"/>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Artikel </w:t>
            </w:r>
            <w:r w:rsidRPr="00CF219D">
              <w:rPr>
                <w:rFonts w:ascii="Times New Roman" w:hAnsi="Times New Roman"/>
              </w:rPr>
              <w:t>72</w:t>
            </w:r>
            <w:r>
              <w:rPr>
                <w:rFonts w:ascii="Times New Roman" w:hAnsi="Times New Roman"/>
              </w:rPr>
              <w:t xml:space="preserve"> van de VKV</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Dit is het bedrag aan eigen vermogen als omschreven in artikel </w:t>
            </w:r>
            <w:r w:rsidRPr="00CF219D">
              <w:rPr>
                <w:rFonts w:ascii="Times New Roman" w:hAnsi="Times New Roman"/>
              </w:rPr>
              <w:t>72</w:t>
            </w:r>
            <w:r>
              <w:rPr>
                <w:rFonts w:ascii="Times New Roman" w:hAnsi="Times New Roman"/>
              </w:rPr>
              <w:t xml:space="preserve"> van de VKV, rekening houdend met de afwijking waarin deel tien, titel I, hoofdstukken </w:t>
            </w:r>
            <w:r w:rsidRPr="00CF219D">
              <w:rPr>
                <w:rFonts w:ascii="Times New Roman" w:hAnsi="Times New Roman"/>
              </w:rPr>
              <w:t>1</w:t>
            </w:r>
            <w:r>
              <w:rPr>
                <w:rFonts w:ascii="Times New Roman" w:hAnsi="Times New Roman"/>
              </w:rPr>
              <w:t xml:space="preserve"> en </w:t>
            </w:r>
            <w:r w:rsidRPr="00CF219D">
              <w:rPr>
                <w:rFonts w:ascii="Times New Roman" w:hAnsi="Times New Roman"/>
              </w:rPr>
              <w:t>2</w:t>
            </w:r>
            <w:r>
              <w:rPr>
                <w:rFonts w:ascii="Times New Roman" w:hAnsi="Times New Roman"/>
              </w:rPr>
              <w:t>, van de VKV voorziet.</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w:t>
            </w:r>
            <w:r w:rsidRPr="00CF219D">
              <w:rPr>
                <w:rFonts w:ascii="Times New Roman" w:hAnsi="Times New Roman"/>
              </w:rPr>
              <w:t>055</w:t>
            </w:r>
            <w:r>
              <w:rPr>
                <w:rFonts w:ascii="Times New Roman" w:hAnsi="Times New Roman"/>
              </w:rPr>
              <w:t>;</w:t>
            </w:r>
            <w:r w:rsidRPr="00CF219D">
              <w:rPr>
                <w:rFonts w:ascii="Times New Roman" w:hAnsi="Times New Roman"/>
              </w:rPr>
              <w:t>010</w:t>
            </w:r>
            <w:r>
              <w:rPr>
                <w:rFonts w:ascii="Times New Roman" w:hAnsi="Times New Roman"/>
              </w:rPr>
              <w:t>}</w:t>
            </w:r>
          </w:p>
        </w:tc>
        <w:tc>
          <w:tcPr>
            <w:tcW w:w="7620" w:type="dxa"/>
          </w:tcPr>
          <w:p w:rsidR="00F4754B" w:rsidRPr="00FE002E" w:rsidRDefault="00E818E9" w:rsidP="007E2A41">
            <w:pPr>
              <w:pStyle w:val="BodyText1"/>
              <w:spacing w:line="240" w:lineRule="auto"/>
              <w:rPr>
                <w:rFonts w:ascii="Times New Roman" w:hAnsi="Times New Roman"/>
                <w:b/>
                <w:bCs/>
              </w:rPr>
            </w:pPr>
            <w:r>
              <w:rPr>
                <w:rFonts w:ascii="Times New Roman" w:hAnsi="Times New Roman"/>
                <w:b/>
              </w:rPr>
              <w:t xml:space="preserve">Afgetrokken activabedrag — van tier </w:t>
            </w:r>
            <w:r w:rsidRPr="00CF219D">
              <w:rPr>
                <w:rFonts w:ascii="Times New Roman" w:hAnsi="Times New Roman"/>
                <w:b/>
              </w:rPr>
              <w:t>1</w:t>
            </w:r>
            <w:r>
              <w:rPr>
                <w:rFonts w:ascii="Times New Roman" w:hAnsi="Times New Roman"/>
                <w:b/>
              </w:rPr>
              <w:t xml:space="preserve">-kernkapitaalbestanddelen — volledig </w:t>
            </w:r>
            <w:r>
              <w:rPr>
                <w:rFonts w:ascii="Times New Roman" w:hAnsi="Times New Roman"/>
                <w:b/>
              </w:rPr>
              <w:lastRenderedPageBreak/>
              <w:t>ingefaseerde definitie</w:t>
            </w:r>
          </w:p>
          <w:p w:rsidR="00F4754B" w:rsidRPr="00FE002E" w:rsidRDefault="00F4754B" w:rsidP="007E2A41">
            <w:pPr>
              <w:pStyle w:val="BodyText1"/>
              <w:spacing w:line="240" w:lineRule="auto"/>
              <w:rPr>
                <w:rFonts w:ascii="Times New Roman" w:hAnsi="Times New Roman"/>
                <w:bCs/>
                <w:u w:val="single"/>
              </w:rPr>
            </w:pPr>
          </w:p>
          <w:p w:rsidR="00C81710" w:rsidRDefault="00F4754B" w:rsidP="007E2A41">
            <w:pPr>
              <w:pStyle w:val="BodyText1"/>
              <w:spacing w:line="240" w:lineRule="auto"/>
              <w:rPr>
                <w:rFonts w:ascii="Times New Roman" w:hAnsi="Times New Roman"/>
                <w:bCs/>
              </w:rPr>
            </w:pPr>
            <w:r>
              <w:rPr>
                <w:rFonts w:ascii="Times New Roman" w:hAnsi="Times New Roman"/>
              </w:rPr>
              <w:t xml:space="preserve">Het betreft het bedrag aan regelgevingsaanpassingen in tier </w:t>
            </w:r>
            <w:r w:rsidRPr="00CF219D">
              <w:rPr>
                <w:rFonts w:ascii="Times New Roman" w:hAnsi="Times New Roman"/>
              </w:rPr>
              <w:t>1</w:t>
            </w:r>
            <w:r>
              <w:rPr>
                <w:rFonts w:ascii="Times New Roman" w:hAnsi="Times New Roman"/>
              </w:rPr>
              <w:t>-kernkapitaalbestanddelen die de waarde van een actief aanpassen en die zijn vereist bij:</w:t>
            </w:r>
          </w:p>
          <w:p w:rsidR="00C81710" w:rsidRPr="00FD2C0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 xml:space="preserve">artikelen </w:t>
            </w:r>
            <w:r w:rsidRPr="00CF219D">
              <w:rPr>
                <w:rFonts w:ascii="Times New Roman" w:hAnsi="Times New Roman"/>
              </w:rPr>
              <w:t>32</w:t>
            </w:r>
            <w:r>
              <w:rPr>
                <w:rFonts w:ascii="Times New Roman" w:hAnsi="Times New Roman"/>
              </w:rPr>
              <w:t xml:space="preserve"> tot en met </w:t>
            </w:r>
            <w:r w:rsidRPr="00CF219D">
              <w:rPr>
                <w:rFonts w:ascii="Times New Roman" w:hAnsi="Times New Roman"/>
              </w:rPr>
              <w:t>35</w:t>
            </w:r>
            <w:r>
              <w:rPr>
                <w:rFonts w:ascii="Times New Roman" w:hAnsi="Times New Roman"/>
              </w:rPr>
              <w:t xml:space="preserve"> van de VKV, of</w:t>
            </w:r>
          </w:p>
          <w:p w:rsidR="00C81710" w:rsidRPr="006914A2"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artikelen </w:t>
            </w:r>
            <w:r w:rsidRPr="00CF219D">
              <w:rPr>
                <w:rFonts w:ascii="Times New Roman" w:hAnsi="Times New Roman"/>
              </w:rPr>
              <w:t>36</w:t>
            </w:r>
            <w:r>
              <w:rPr>
                <w:rFonts w:ascii="Times New Roman" w:hAnsi="Times New Roman"/>
              </w:rPr>
              <w:t xml:space="preserve"> tot en met </w:t>
            </w:r>
            <w:r w:rsidRPr="00CF219D">
              <w:rPr>
                <w:rFonts w:ascii="Times New Roman" w:hAnsi="Times New Roman"/>
              </w:rPr>
              <w:t>47</w:t>
            </w:r>
            <w:r>
              <w:rPr>
                <w:rFonts w:ascii="Times New Roman" w:hAnsi="Times New Roman"/>
              </w:rPr>
              <w:t xml:space="preserve"> van de VKV,</w:t>
            </w:r>
          </w:p>
          <w:p w:rsidR="007A0E3A" w:rsidRPr="00FD2C06" w:rsidRDefault="007A0E3A" w:rsidP="006914A2">
            <w:pPr>
              <w:pStyle w:val="BodyText1"/>
              <w:spacing w:line="240" w:lineRule="auto"/>
              <w:rPr>
                <w:rFonts w:ascii="Times New Roman" w:hAnsi="Times New Roman"/>
                <w:b/>
                <w:bCs/>
              </w:rPr>
            </w:pPr>
            <w:r>
              <w:rPr>
                <w:rFonts w:ascii="Times New Roman" w:hAnsi="Times New Roman"/>
              </w:rPr>
              <w:t>al naargelang het geval.</w:t>
            </w:r>
          </w:p>
          <w:p w:rsidR="00C81710" w:rsidRDefault="00C81710" w:rsidP="005556DC">
            <w:pPr>
              <w:pStyle w:val="BodyText1"/>
              <w:spacing w:line="240" w:lineRule="auto"/>
              <w:rPr>
                <w:rFonts w:ascii="Times New Roman" w:hAnsi="Times New Roman"/>
                <w:bCs/>
              </w:rPr>
            </w:pPr>
          </w:p>
          <w:p w:rsidR="00F4754B" w:rsidRPr="00422C76" w:rsidRDefault="00C81710" w:rsidP="00422C76">
            <w:pPr>
              <w:pStyle w:val="BodyText1"/>
              <w:spacing w:line="240" w:lineRule="auto"/>
              <w:rPr>
                <w:rFonts w:ascii="Times New Roman" w:hAnsi="Times New Roman"/>
                <w:b/>
                <w:bCs/>
              </w:rPr>
            </w:pPr>
            <w:r>
              <w:rPr>
                <w:rFonts w:ascii="Times New Roman" w:hAnsi="Times New Roman"/>
              </w:rPr>
              <w:t xml:space="preserve">Instellingen nemen de in de artikelen </w:t>
            </w:r>
            <w:r w:rsidRPr="00CF219D">
              <w:rPr>
                <w:rFonts w:ascii="Times New Roman" w:hAnsi="Times New Roman"/>
              </w:rPr>
              <w:t>48</w:t>
            </w:r>
            <w:r>
              <w:rPr>
                <w:rFonts w:ascii="Times New Roman" w:hAnsi="Times New Roman"/>
              </w:rPr>
              <w:t xml:space="preserve">, </w:t>
            </w:r>
            <w:r w:rsidRPr="00CF219D">
              <w:rPr>
                <w:rFonts w:ascii="Times New Roman" w:hAnsi="Times New Roman"/>
              </w:rPr>
              <w:t>49</w:t>
            </w:r>
            <w:r>
              <w:rPr>
                <w:rFonts w:ascii="Times New Roman" w:hAnsi="Times New Roman"/>
              </w:rPr>
              <w:t xml:space="preserve"> en </w:t>
            </w:r>
            <w:r w:rsidRPr="00CF219D">
              <w:rPr>
                <w:rFonts w:ascii="Times New Roman" w:hAnsi="Times New Roman"/>
              </w:rPr>
              <w:t>79</w:t>
            </w:r>
            <w:r>
              <w:rPr>
                <w:rFonts w:ascii="Times New Roman" w:hAnsi="Times New Roman"/>
              </w:rPr>
              <w:t xml:space="preserve"> van de VKV vervatte vrijstellingen, alternatieven en ontheffingen met betrekking tot dergelijke aftrekkingen in aanmerking, zonder rekening te houden met de afwijking waarin deel tien, titel I, hoofdstukken </w:t>
            </w:r>
            <w:r w:rsidRPr="00CF219D">
              <w:rPr>
                <w:rFonts w:ascii="Times New Roman" w:hAnsi="Times New Roman"/>
              </w:rPr>
              <w:t>1</w:t>
            </w:r>
            <w:r>
              <w:rPr>
                <w:rFonts w:ascii="Times New Roman" w:hAnsi="Times New Roman"/>
              </w:rPr>
              <w:t xml:space="preserve"> en </w:t>
            </w:r>
            <w:r w:rsidRPr="00CF219D">
              <w:rPr>
                <w:rFonts w:ascii="Times New Roman" w:hAnsi="Times New Roman"/>
              </w:rPr>
              <w:t>2</w:t>
            </w:r>
            <w:r>
              <w:rPr>
                <w:rFonts w:ascii="Times New Roman" w:hAnsi="Times New Roman"/>
              </w:rPr>
              <w:t>, van de VKV voorziet. Om dubbeltellingen te vermijden, rapporteren instellingen bij de berekening van de blootstellingswaarde in {LRCalc;</w:t>
            </w:r>
            <w:r w:rsidRPr="00CF219D">
              <w:rPr>
                <w:rFonts w:ascii="Times New Roman" w:hAnsi="Times New Roman"/>
              </w:rPr>
              <w:t>10</w:t>
            </w:r>
            <w:r>
              <w:rPr>
                <w:rFonts w:ascii="Times New Roman" w:hAnsi="Times New Roman"/>
              </w:rPr>
              <w:t>;</w:t>
            </w:r>
            <w:r w:rsidRPr="00CF219D">
              <w:rPr>
                <w:rFonts w:ascii="Times New Roman" w:hAnsi="Times New Roman"/>
              </w:rPr>
              <w:t>10</w:t>
            </w:r>
            <w:r>
              <w:rPr>
                <w:rFonts w:ascii="Times New Roman" w:hAnsi="Times New Roman"/>
              </w:rPr>
              <w:t>} tot en met {LRCalc;</w:t>
            </w:r>
            <w:r w:rsidRPr="00CF219D">
              <w:rPr>
                <w:rFonts w:ascii="Times New Roman" w:hAnsi="Times New Roman"/>
              </w:rPr>
              <w:t>260</w:t>
            </w:r>
            <w:r>
              <w:rPr>
                <w:rFonts w:ascii="Times New Roman" w:hAnsi="Times New Roman"/>
              </w:rPr>
              <w:t>;</w:t>
            </w:r>
            <w:r w:rsidRPr="00CF219D">
              <w:rPr>
                <w:rFonts w:ascii="Times New Roman" w:hAnsi="Times New Roman"/>
              </w:rPr>
              <w:t>10</w:t>
            </w:r>
            <w:r>
              <w:rPr>
                <w:rFonts w:ascii="Times New Roman" w:hAnsi="Times New Roman"/>
              </w:rPr>
              <w:t xml:space="preserve">} geen aanpassingen die reeds op grond van artikel </w:t>
            </w:r>
            <w:r w:rsidRPr="00CF219D">
              <w:rPr>
                <w:rFonts w:ascii="Times New Roman" w:hAnsi="Times New Roman"/>
              </w:rPr>
              <w:t>111</w:t>
            </w:r>
            <w:r>
              <w:rPr>
                <w:rFonts w:ascii="Times New Roman" w:hAnsi="Times New Roman"/>
              </w:rPr>
              <w:t xml:space="preserve"> van de VKV zijn toegepast; zij rapporteren evenmin aanpassingen waarbij er geen sprake is van de aftrekking van de waarde van een specifiek actief.</w:t>
            </w:r>
            <w:r>
              <w:rPr>
                <w:rFonts w:ascii="Times New Roman" w:hAnsi="Times New Roman"/>
                <w:b/>
              </w:rPr>
              <w:t xml:space="preserve"> </w:t>
            </w:r>
          </w:p>
          <w:p w:rsidR="00C81710" w:rsidRDefault="00C81710" w:rsidP="007E2A41">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Pr>
                <w:rFonts w:ascii="Times New Roman" w:hAnsi="Times New Roman"/>
              </w:rPr>
              <w:t xml:space="preserve">Aangezien deze aanpassingen het totale eigen vermogen doen dalen, worden zij als een negatieve waarde gerapporteerd. </w:t>
            </w:r>
          </w:p>
          <w:p w:rsidR="00F4754B" w:rsidRPr="00FE002E" w:rsidRDefault="00F4754B"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lastRenderedPageBreak/>
              <w:t>{</w:t>
            </w:r>
            <w:r w:rsidRPr="00CF219D">
              <w:rPr>
                <w:rFonts w:ascii="Times New Roman" w:hAnsi="Times New Roman"/>
              </w:rPr>
              <w:t>065</w:t>
            </w:r>
            <w:r>
              <w:rPr>
                <w:rFonts w:ascii="Times New Roman" w:hAnsi="Times New Roman"/>
              </w:rPr>
              <w:t>;</w:t>
            </w:r>
            <w:r w:rsidRPr="00CF219D">
              <w:rPr>
                <w:rFonts w:ascii="Times New Roman" w:hAnsi="Times New Roman"/>
              </w:rPr>
              <w:t>010</w:t>
            </w:r>
            <w:r>
              <w:rPr>
                <w:rFonts w:ascii="Times New Roman" w:hAnsi="Times New Roman"/>
              </w:rPr>
              <w:t>}</w:t>
            </w:r>
          </w:p>
        </w:tc>
        <w:tc>
          <w:tcPr>
            <w:tcW w:w="7620" w:type="dxa"/>
          </w:tcPr>
          <w:p w:rsidR="00F4754B" w:rsidRPr="00FE002E" w:rsidRDefault="00E818E9" w:rsidP="007E2A41">
            <w:pPr>
              <w:pStyle w:val="BodyText1"/>
              <w:spacing w:line="240" w:lineRule="auto"/>
              <w:rPr>
                <w:rFonts w:ascii="Times New Roman" w:hAnsi="Times New Roman"/>
                <w:bCs/>
              </w:rPr>
            </w:pPr>
            <w:r>
              <w:rPr>
                <w:rFonts w:ascii="Times New Roman" w:hAnsi="Times New Roman"/>
                <w:b/>
              </w:rPr>
              <w:t xml:space="preserve">Afgetrokken activabedrag — van tier </w:t>
            </w:r>
            <w:r w:rsidRPr="00CF219D">
              <w:rPr>
                <w:rFonts w:ascii="Times New Roman" w:hAnsi="Times New Roman"/>
                <w:b/>
              </w:rPr>
              <w:t>1</w:t>
            </w:r>
            <w:r>
              <w:rPr>
                <w:rFonts w:ascii="Times New Roman" w:hAnsi="Times New Roman"/>
                <w:b/>
              </w:rPr>
              <w:t>-kernkapitaalbestanddelen — overgangsdefinitie</w:t>
            </w:r>
          </w:p>
          <w:p w:rsidR="00F4754B" w:rsidRPr="00FE002E"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Pr>
                <w:rFonts w:ascii="Times New Roman" w:hAnsi="Times New Roman"/>
              </w:rPr>
              <w:t xml:space="preserve">Het betreft het bedrag aan regelgevingsaanpassingen in tier </w:t>
            </w:r>
            <w:r w:rsidRPr="00CF219D">
              <w:rPr>
                <w:rFonts w:ascii="Times New Roman" w:hAnsi="Times New Roman"/>
              </w:rPr>
              <w:t>1</w:t>
            </w:r>
            <w:r>
              <w:rPr>
                <w:rFonts w:ascii="Times New Roman" w:hAnsi="Times New Roman"/>
              </w:rPr>
              <w:t>-kernkapitaalbestanddelen die de waarde van een actief aanpassen en die zijn vereist bij:</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 xml:space="preserve">artikelen </w:t>
            </w:r>
            <w:r w:rsidRPr="00CF219D">
              <w:rPr>
                <w:rFonts w:ascii="Times New Roman" w:hAnsi="Times New Roman"/>
              </w:rPr>
              <w:t>32</w:t>
            </w:r>
            <w:r>
              <w:rPr>
                <w:rFonts w:ascii="Times New Roman" w:hAnsi="Times New Roman"/>
              </w:rPr>
              <w:t xml:space="preserve"> tot en met </w:t>
            </w:r>
            <w:r w:rsidRPr="00CF219D">
              <w:rPr>
                <w:rFonts w:ascii="Times New Roman" w:hAnsi="Times New Roman"/>
              </w:rPr>
              <w:t>35</w:t>
            </w:r>
            <w:r>
              <w:rPr>
                <w:rFonts w:ascii="Times New Roman" w:hAnsi="Times New Roman"/>
              </w:rPr>
              <w:t xml:space="preserve"> van de VKV, of</w:t>
            </w:r>
          </w:p>
          <w:p w:rsidR="00C81710" w:rsidRPr="006914A2"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artikelen </w:t>
            </w:r>
            <w:r w:rsidRPr="00CF219D">
              <w:rPr>
                <w:rFonts w:ascii="Times New Roman" w:hAnsi="Times New Roman"/>
              </w:rPr>
              <w:t>36</w:t>
            </w:r>
            <w:r>
              <w:rPr>
                <w:rFonts w:ascii="Times New Roman" w:hAnsi="Times New Roman"/>
              </w:rPr>
              <w:t xml:space="preserve"> tot en met </w:t>
            </w:r>
            <w:r w:rsidRPr="00CF219D">
              <w:rPr>
                <w:rFonts w:ascii="Times New Roman" w:hAnsi="Times New Roman"/>
              </w:rPr>
              <w:t>47</w:t>
            </w:r>
            <w:r>
              <w:rPr>
                <w:rFonts w:ascii="Times New Roman" w:hAnsi="Times New Roman"/>
              </w:rPr>
              <w:t xml:space="preserve"> van de VKV,</w:t>
            </w:r>
          </w:p>
          <w:p w:rsidR="007A0E3A" w:rsidRPr="00D74CC1" w:rsidRDefault="007A0E3A" w:rsidP="006914A2">
            <w:pPr>
              <w:pStyle w:val="BodyText1"/>
              <w:spacing w:line="240" w:lineRule="auto"/>
              <w:rPr>
                <w:rFonts w:ascii="Times New Roman" w:hAnsi="Times New Roman"/>
                <w:b/>
                <w:bCs/>
              </w:rPr>
            </w:pPr>
            <w:r>
              <w:rPr>
                <w:rFonts w:ascii="Times New Roman" w:hAnsi="Times New Roman"/>
              </w:rPr>
              <w:t>al naargelang het geval.</w:t>
            </w:r>
          </w:p>
          <w:p w:rsidR="00C81710" w:rsidRDefault="00C81710" w:rsidP="007E2A41">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rPr>
              <w:t xml:space="preserve">Instellingen nemen de in de artikelen </w:t>
            </w:r>
            <w:r w:rsidRPr="00CF219D">
              <w:rPr>
                <w:rFonts w:ascii="Times New Roman" w:hAnsi="Times New Roman"/>
              </w:rPr>
              <w:t>48</w:t>
            </w:r>
            <w:r>
              <w:rPr>
                <w:rFonts w:ascii="Times New Roman" w:hAnsi="Times New Roman"/>
              </w:rPr>
              <w:t xml:space="preserve">, </w:t>
            </w:r>
            <w:r w:rsidRPr="00CF219D">
              <w:rPr>
                <w:rFonts w:ascii="Times New Roman" w:hAnsi="Times New Roman"/>
              </w:rPr>
              <w:t>49</w:t>
            </w:r>
            <w:r>
              <w:rPr>
                <w:rFonts w:ascii="Times New Roman" w:hAnsi="Times New Roman"/>
              </w:rPr>
              <w:t xml:space="preserve"> en </w:t>
            </w:r>
            <w:r w:rsidRPr="00CF219D">
              <w:rPr>
                <w:rFonts w:ascii="Times New Roman" w:hAnsi="Times New Roman"/>
              </w:rPr>
              <w:t>79</w:t>
            </w:r>
            <w:r>
              <w:rPr>
                <w:rFonts w:ascii="Times New Roman" w:hAnsi="Times New Roman"/>
              </w:rPr>
              <w:t xml:space="preserve"> van de VKV vervatte vrijstellingen, alternatieven en ontheffingen met betrekking tot dergelijke aftrekkingen in aanmerking, en houden tevens rekening met de afwijking waarin deel tien, titel I, hoofdstukken </w:t>
            </w:r>
            <w:r w:rsidRPr="00CF219D">
              <w:rPr>
                <w:rFonts w:ascii="Times New Roman" w:hAnsi="Times New Roman"/>
              </w:rPr>
              <w:t>1</w:t>
            </w:r>
            <w:r>
              <w:rPr>
                <w:rFonts w:ascii="Times New Roman" w:hAnsi="Times New Roman"/>
              </w:rPr>
              <w:t xml:space="preserve"> en </w:t>
            </w:r>
            <w:r w:rsidRPr="00CF219D">
              <w:rPr>
                <w:rFonts w:ascii="Times New Roman" w:hAnsi="Times New Roman"/>
              </w:rPr>
              <w:t>2</w:t>
            </w:r>
            <w:r>
              <w:rPr>
                <w:rFonts w:ascii="Times New Roman" w:hAnsi="Times New Roman"/>
              </w:rPr>
              <w:t>, van de VKV voorziet. Om dubbeltellingen te vermijden, rapporteren instellingen bij de berekening van de blootstellingswaarde in {LRCalc;</w:t>
            </w:r>
            <w:r w:rsidRPr="00CF219D">
              <w:rPr>
                <w:rFonts w:ascii="Times New Roman" w:hAnsi="Times New Roman"/>
              </w:rPr>
              <w:t>10</w:t>
            </w:r>
            <w:r>
              <w:rPr>
                <w:rFonts w:ascii="Times New Roman" w:hAnsi="Times New Roman"/>
              </w:rPr>
              <w:t>;</w:t>
            </w:r>
            <w:r w:rsidRPr="00CF219D">
              <w:rPr>
                <w:rFonts w:ascii="Times New Roman" w:hAnsi="Times New Roman"/>
              </w:rPr>
              <w:t>10</w:t>
            </w:r>
            <w:r>
              <w:rPr>
                <w:rFonts w:ascii="Times New Roman" w:hAnsi="Times New Roman"/>
              </w:rPr>
              <w:t>} tot en met {LRCalc;</w:t>
            </w:r>
            <w:r w:rsidRPr="00CF219D">
              <w:rPr>
                <w:rFonts w:ascii="Times New Roman" w:hAnsi="Times New Roman"/>
              </w:rPr>
              <w:t>260</w:t>
            </w:r>
            <w:r>
              <w:rPr>
                <w:rFonts w:ascii="Times New Roman" w:hAnsi="Times New Roman"/>
              </w:rPr>
              <w:t>;</w:t>
            </w:r>
            <w:r w:rsidRPr="00CF219D">
              <w:rPr>
                <w:rFonts w:ascii="Times New Roman" w:hAnsi="Times New Roman"/>
              </w:rPr>
              <w:t>10</w:t>
            </w:r>
            <w:r>
              <w:rPr>
                <w:rFonts w:ascii="Times New Roman" w:hAnsi="Times New Roman"/>
              </w:rPr>
              <w:t xml:space="preserve">} geen aanpassingen die reeds op grond van artikel </w:t>
            </w:r>
            <w:r w:rsidRPr="00CF219D">
              <w:rPr>
                <w:rFonts w:ascii="Times New Roman" w:hAnsi="Times New Roman"/>
              </w:rPr>
              <w:t>111</w:t>
            </w:r>
            <w:r>
              <w:rPr>
                <w:rFonts w:ascii="Times New Roman" w:hAnsi="Times New Roman"/>
              </w:rPr>
              <w:t xml:space="preserve"> van de VKV zijn toegepast; zij rapporteren evenmin aanpassingen waarbij er geen sprake is van de aftrekking van de waarde van een specifiek actief.</w:t>
            </w:r>
            <w:r>
              <w:rPr>
                <w:rFonts w:ascii="Times New Roman" w:hAnsi="Times New Roman"/>
                <w:b/>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7E2A41">
            <w:pPr>
              <w:pStyle w:val="BodyText1"/>
              <w:spacing w:line="240" w:lineRule="auto"/>
              <w:rPr>
                <w:rFonts w:ascii="Times New Roman" w:hAnsi="Times New Roman"/>
                <w:bCs/>
                <w:u w:val="single"/>
              </w:rPr>
            </w:pPr>
            <w:r>
              <w:rPr>
                <w:rFonts w:ascii="Times New Roman" w:hAnsi="Times New Roman"/>
              </w:rPr>
              <w:t>Aangezien deze aanpassingen het totale eigen vermogen doen dalen, worden zij als een negatieve waarde gerapporteerd.</w:t>
            </w: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w:t>
            </w:r>
            <w:r w:rsidRPr="00CF219D">
              <w:rPr>
                <w:rFonts w:ascii="Times New Roman" w:hAnsi="Times New Roman"/>
              </w:rPr>
              <w:t>075</w:t>
            </w:r>
            <w:r>
              <w:rPr>
                <w:rFonts w:ascii="Times New Roman" w:hAnsi="Times New Roman"/>
              </w:rPr>
              <w:t>;</w:t>
            </w:r>
            <w:r w:rsidRPr="00CF219D">
              <w:rPr>
                <w:rFonts w:ascii="Times New Roman" w:hAnsi="Times New Roman"/>
              </w:rPr>
              <w:t>010</w:t>
            </w:r>
            <w:r>
              <w:rPr>
                <w:rFonts w:ascii="Times New Roman" w:hAnsi="Times New Roman"/>
              </w:rPr>
              <w:t>}</w:t>
            </w:r>
          </w:p>
        </w:tc>
        <w:tc>
          <w:tcPr>
            <w:tcW w:w="7620" w:type="dxa"/>
          </w:tcPr>
          <w:p w:rsidR="00F4754B" w:rsidRPr="00FE002E" w:rsidRDefault="00E818E9" w:rsidP="007E2A41">
            <w:pPr>
              <w:pStyle w:val="BodyText1"/>
              <w:spacing w:line="240" w:lineRule="auto"/>
              <w:rPr>
                <w:rFonts w:ascii="Times New Roman" w:hAnsi="Times New Roman"/>
                <w:b/>
                <w:bCs/>
              </w:rPr>
            </w:pPr>
            <w:r>
              <w:rPr>
                <w:rFonts w:ascii="Times New Roman" w:hAnsi="Times New Roman"/>
                <w:b/>
              </w:rPr>
              <w:t>Afgetrokken activabedrag — van eigenvermogensbestanddelen — volledig ingefaseerde definitie</w:t>
            </w:r>
          </w:p>
          <w:p w:rsidR="00F4754B" w:rsidRPr="00FE002E"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Pr>
                <w:rFonts w:ascii="Times New Roman" w:hAnsi="Times New Roman"/>
              </w:rPr>
              <w:t>Het betreft het bedrag aan regelgevingsaanpassingen in eigenvermogensbestanddelen die de waarde van een actief aanpassen en die zijn vereist bij:</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 xml:space="preserve">artikelen </w:t>
            </w:r>
            <w:r w:rsidRPr="00CF219D">
              <w:rPr>
                <w:rFonts w:ascii="Times New Roman" w:hAnsi="Times New Roman"/>
              </w:rPr>
              <w:t>32</w:t>
            </w:r>
            <w:r>
              <w:rPr>
                <w:rFonts w:ascii="Times New Roman" w:hAnsi="Times New Roman"/>
              </w:rPr>
              <w:t xml:space="preserve"> tot en met </w:t>
            </w:r>
            <w:r w:rsidRPr="00CF219D">
              <w:rPr>
                <w:rFonts w:ascii="Times New Roman" w:hAnsi="Times New Roman"/>
              </w:rPr>
              <w:t>35</w:t>
            </w:r>
            <w:r>
              <w:rPr>
                <w:rFonts w:ascii="Times New Roman" w:hAnsi="Times New Roman"/>
              </w:rPr>
              <w:t xml:space="preserve"> van de VKV, of</w:t>
            </w:r>
          </w:p>
          <w:p w:rsidR="00C81710" w:rsidRPr="00FD2C0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 xml:space="preserve">artikelen </w:t>
            </w:r>
            <w:r w:rsidRPr="00CF219D">
              <w:rPr>
                <w:rFonts w:ascii="Times New Roman" w:hAnsi="Times New Roman"/>
              </w:rPr>
              <w:t>36</w:t>
            </w:r>
            <w:r>
              <w:rPr>
                <w:rFonts w:ascii="Times New Roman" w:hAnsi="Times New Roman"/>
              </w:rPr>
              <w:t xml:space="preserve"> tot en met </w:t>
            </w:r>
            <w:r w:rsidRPr="00CF219D">
              <w:rPr>
                <w:rFonts w:ascii="Times New Roman" w:hAnsi="Times New Roman"/>
              </w:rPr>
              <w:t>47</w:t>
            </w:r>
            <w:r>
              <w:rPr>
                <w:rFonts w:ascii="Times New Roman" w:hAnsi="Times New Roman"/>
              </w:rPr>
              <w:t xml:space="preserve"> van de VKV, of</w:t>
            </w:r>
          </w:p>
          <w:p w:rsidR="00C81710" w:rsidRPr="00FD2C0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 xml:space="preserve">artikelen </w:t>
            </w:r>
            <w:r w:rsidRPr="00CF219D">
              <w:rPr>
                <w:rFonts w:ascii="Times New Roman" w:hAnsi="Times New Roman"/>
              </w:rPr>
              <w:t>56</w:t>
            </w:r>
            <w:r>
              <w:rPr>
                <w:rFonts w:ascii="Times New Roman" w:hAnsi="Times New Roman"/>
              </w:rPr>
              <w:t xml:space="preserve"> tot en met </w:t>
            </w:r>
            <w:r w:rsidRPr="00CF219D">
              <w:rPr>
                <w:rFonts w:ascii="Times New Roman" w:hAnsi="Times New Roman"/>
              </w:rPr>
              <w:t>60</w:t>
            </w:r>
            <w:r>
              <w:rPr>
                <w:rFonts w:ascii="Times New Roman" w:hAnsi="Times New Roman"/>
              </w:rPr>
              <w:t xml:space="preserve"> van de VKV, of</w:t>
            </w:r>
          </w:p>
          <w:p w:rsidR="00C81710" w:rsidRPr="0087718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artikelen </w:t>
            </w:r>
            <w:r w:rsidRPr="00CF219D">
              <w:rPr>
                <w:rFonts w:ascii="Times New Roman" w:hAnsi="Times New Roman"/>
              </w:rPr>
              <w:t>66</w:t>
            </w:r>
            <w:r>
              <w:rPr>
                <w:rFonts w:ascii="Times New Roman" w:hAnsi="Times New Roman"/>
              </w:rPr>
              <w:t xml:space="preserve"> tot en met </w:t>
            </w:r>
            <w:r w:rsidRPr="00CF219D">
              <w:rPr>
                <w:rFonts w:ascii="Times New Roman" w:hAnsi="Times New Roman"/>
              </w:rPr>
              <w:t>70</w:t>
            </w:r>
            <w:r>
              <w:rPr>
                <w:rFonts w:ascii="Times New Roman" w:hAnsi="Times New Roman"/>
              </w:rPr>
              <w:t xml:space="preserve"> van de VKV,</w:t>
            </w:r>
          </w:p>
          <w:p w:rsidR="007A0E3A" w:rsidRPr="00D74CC1" w:rsidRDefault="007A0E3A" w:rsidP="00877186">
            <w:pPr>
              <w:pStyle w:val="BodyText1"/>
              <w:spacing w:line="240" w:lineRule="auto"/>
              <w:rPr>
                <w:rFonts w:ascii="Times New Roman" w:hAnsi="Times New Roman"/>
                <w:b/>
                <w:bCs/>
              </w:rPr>
            </w:pPr>
            <w:r>
              <w:rPr>
                <w:rFonts w:ascii="Times New Roman" w:hAnsi="Times New Roman"/>
              </w:rPr>
              <w:t>al naargelang het geval.</w:t>
            </w:r>
          </w:p>
          <w:p w:rsidR="00C81710" w:rsidRDefault="00C81710" w:rsidP="00C81710">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rPr>
              <w:t xml:space="preserve">Instellingen nemen de in de artikelen </w:t>
            </w:r>
            <w:r w:rsidRPr="00CF219D">
              <w:rPr>
                <w:rFonts w:ascii="Times New Roman" w:hAnsi="Times New Roman"/>
              </w:rPr>
              <w:t>48</w:t>
            </w:r>
            <w:r>
              <w:rPr>
                <w:rFonts w:ascii="Times New Roman" w:hAnsi="Times New Roman"/>
              </w:rPr>
              <w:t xml:space="preserve">, </w:t>
            </w:r>
            <w:r w:rsidRPr="00CF219D">
              <w:rPr>
                <w:rFonts w:ascii="Times New Roman" w:hAnsi="Times New Roman"/>
              </w:rPr>
              <w:t>49</w:t>
            </w:r>
            <w:r>
              <w:rPr>
                <w:rFonts w:ascii="Times New Roman" w:hAnsi="Times New Roman"/>
              </w:rPr>
              <w:t xml:space="preserve"> en </w:t>
            </w:r>
            <w:r w:rsidRPr="00CF219D">
              <w:rPr>
                <w:rFonts w:ascii="Times New Roman" w:hAnsi="Times New Roman"/>
              </w:rPr>
              <w:t>79</w:t>
            </w:r>
            <w:r>
              <w:rPr>
                <w:rFonts w:ascii="Times New Roman" w:hAnsi="Times New Roman"/>
              </w:rPr>
              <w:t xml:space="preserve"> van de VKV vervatte vrijstellingen, alternatieven en ontheffingen met betrekking tot dergelijke aftrekkingen in aanmerking, zonder rekening te houden met de afwijking waarin deel tien, titel I, hoofdstukken </w:t>
            </w:r>
            <w:r w:rsidRPr="00CF219D">
              <w:rPr>
                <w:rFonts w:ascii="Times New Roman" w:hAnsi="Times New Roman"/>
              </w:rPr>
              <w:t>1</w:t>
            </w:r>
            <w:r>
              <w:rPr>
                <w:rFonts w:ascii="Times New Roman" w:hAnsi="Times New Roman"/>
              </w:rPr>
              <w:t xml:space="preserve"> en </w:t>
            </w:r>
            <w:r w:rsidRPr="00CF219D">
              <w:rPr>
                <w:rFonts w:ascii="Times New Roman" w:hAnsi="Times New Roman"/>
              </w:rPr>
              <w:t>2</w:t>
            </w:r>
            <w:r>
              <w:rPr>
                <w:rFonts w:ascii="Times New Roman" w:hAnsi="Times New Roman"/>
              </w:rPr>
              <w:t>, van de VKV voorziet. Om dubbeltellingen te vermijden, rapporteren instellingen bij de berekening van de blootstellingswaarde in de rijen {LRCalc;</w:t>
            </w:r>
            <w:r w:rsidRPr="00CF219D">
              <w:rPr>
                <w:rFonts w:ascii="Times New Roman" w:hAnsi="Times New Roman"/>
              </w:rPr>
              <w:t>10</w:t>
            </w:r>
            <w:r>
              <w:rPr>
                <w:rFonts w:ascii="Times New Roman" w:hAnsi="Times New Roman"/>
              </w:rPr>
              <w:t>;</w:t>
            </w:r>
            <w:r w:rsidRPr="00CF219D">
              <w:rPr>
                <w:rFonts w:ascii="Times New Roman" w:hAnsi="Times New Roman"/>
              </w:rPr>
              <w:t>10</w:t>
            </w:r>
            <w:r>
              <w:rPr>
                <w:rFonts w:ascii="Times New Roman" w:hAnsi="Times New Roman"/>
              </w:rPr>
              <w:t>} tot en met {LRCalc;</w:t>
            </w:r>
            <w:r w:rsidRPr="00CF219D">
              <w:rPr>
                <w:rFonts w:ascii="Times New Roman" w:hAnsi="Times New Roman"/>
              </w:rPr>
              <w:t>260</w:t>
            </w:r>
            <w:r>
              <w:rPr>
                <w:rFonts w:ascii="Times New Roman" w:hAnsi="Times New Roman"/>
              </w:rPr>
              <w:t>;</w:t>
            </w:r>
            <w:r w:rsidRPr="00CF219D">
              <w:rPr>
                <w:rFonts w:ascii="Times New Roman" w:hAnsi="Times New Roman"/>
              </w:rPr>
              <w:t>10</w:t>
            </w:r>
            <w:r>
              <w:rPr>
                <w:rFonts w:ascii="Times New Roman" w:hAnsi="Times New Roman"/>
              </w:rPr>
              <w:t xml:space="preserve">} geen aanpassingen die reeds op grond van artikel </w:t>
            </w:r>
            <w:r w:rsidRPr="00CF219D">
              <w:rPr>
                <w:rFonts w:ascii="Times New Roman" w:hAnsi="Times New Roman"/>
              </w:rPr>
              <w:t>111</w:t>
            </w:r>
            <w:r>
              <w:rPr>
                <w:rFonts w:ascii="Times New Roman" w:hAnsi="Times New Roman"/>
              </w:rPr>
              <w:t xml:space="preserve"> van de VKV zijn toegepast; zij rapporteren evenmin aanpassingen waarbij er geen sprake is van de aftrekking van de waarde van een specifiek actief.</w:t>
            </w:r>
            <w:r>
              <w:rPr>
                <w:rFonts w:ascii="Times New Roman" w:hAnsi="Times New Roman"/>
                <w:b/>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Pr>
                <w:rFonts w:ascii="Times New Roman" w:hAnsi="Times New Roman"/>
              </w:rPr>
              <w:t xml:space="preserve">Aangezien deze aanpassingen het totale eigen vermogen doen dalen, worden zij als een negatieve waarde gerapporteerd. </w:t>
            </w:r>
          </w:p>
          <w:p w:rsidR="00F4754B" w:rsidRPr="00FE002E" w:rsidRDefault="00F4754B" w:rsidP="005556DC">
            <w:pPr>
              <w:pStyle w:val="BodyText1"/>
              <w:spacing w:line="240" w:lineRule="auto"/>
              <w:rPr>
                <w:rFonts w:ascii="Times New Roman" w:hAnsi="Times New Roman"/>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lastRenderedPageBreak/>
              <w:t>{</w:t>
            </w:r>
            <w:r w:rsidRPr="00CF219D">
              <w:rPr>
                <w:rFonts w:ascii="Times New Roman" w:hAnsi="Times New Roman"/>
              </w:rPr>
              <w:t>085</w:t>
            </w:r>
            <w:r>
              <w:rPr>
                <w:rFonts w:ascii="Times New Roman" w:hAnsi="Times New Roman"/>
              </w:rPr>
              <w:t>;</w:t>
            </w:r>
            <w:r w:rsidRPr="00CF219D">
              <w:rPr>
                <w:rFonts w:ascii="Times New Roman" w:hAnsi="Times New Roman"/>
              </w:rPr>
              <w:t>010</w:t>
            </w:r>
            <w:r>
              <w:rPr>
                <w:rFonts w:ascii="Times New Roman" w:hAnsi="Times New Roman"/>
              </w:rPr>
              <w:t>}</w:t>
            </w:r>
          </w:p>
        </w:tc>
        <w:tc>
          <w:tcPr>
            <w:tcW w:w="7620" w:type="dxa"/>
          </w:tcPr>
          <w:p w:rsidR="00F4754B" w:rsidRPr="00FE002E" w:rsidRDefault="00E818E9" w:rsidP="007E2A41">
            <w:pPr>
              <w:pStyle w:val="BodyText1"/>
              <w:spacing w:line="240" w:lineRule="auto"/>
              <w:rPr>
                <w:rFonts w:ascii="Times New Roman" w:hAnsi="Times New Roman"/>
                <w:bCs/>
              </w:rPr>
            </w:pPr>
            <w:r>
              <w:rPr>
                <w:rFonts w:ascii="Times New Roman" w:hAnsi="Times New Roman"/>
                <w:b/>
              </w:rPr>
              <w:t>Afgetrokken activabedrag — van eigenvermogensbestanddelen — overgangsdefinitie</w:t>
            </w:r>
          </w:p>
          <w:p w:rsidR="00F4754B"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Pr>
                <w:rFonts w:ascii="Times New Roman" w:hAnsi="Times New Roman"/>
              </w:rPr>
              <w:t>Het betreft het bedrag aan regelgevingsaanpassingen in eigenvermogensbestanddelen die de waarde van een actief aanpassen en die zijn vereist bij:</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 xml:space="preserve">artikelen </w:t>
            </w:r>
            <w:r w:rsidRPr="00CF219D">
              <w:rPr>
                <w:rFonts w:ascii="Times New Roman" w:hAnsi="Times New Roman"/>
              </w:rPr>
              <w:t>32</w:t>
            </w:r>
            <w:r>
              <w:rPr>
                <w:rFonts w:ascii="Times New Roman" w:hAnsi="Times New Roman"/>
              </w:rPr>
              <w:t xml:space="preserve"> tot en met </w:t>
            </w:r>
            <w:r w:rsidRPr="00CF219D">
              <w:rPr>
                <w:rFonts w:ascii="Times New Roman" w:hAnsi="Times New Roman"/>
              </w:rPr>
              <w:t>35</w:t>
            </w:r>
            <w:r>
              <w:rPr>
                <w:rFonts w:ascii="Times New Roman" w:hAnsi="Times New Roman"/>
              </w:rPr>
              <w:t xml:space="preserve"> van de VKV, of</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 xml:space="preserve">artikelen </w:t>
            </w:r>
            <w:r w:rsidRPr="00CF219D">
              <w:rPr>
                <w:rFonts w:ascii="Times New Roman" w:hAnsi="Times New Roman"/>
              </w:rPr>
              <w:t>36</w:t>
            </w:r>
            <w:r>
              <w:rPr>
                <w:rFonts w:ascii="Times New Roman" w:hAnsi="Times New Roman"/>
              </w:rPr>
              <w:t xml:space="preserve"> tot en met </w:t>
            </w:r>
            <w:r w:rsidRPr="00CF219D">
              <w:rPr>
                <w:rFonts w:ascii="Times New Roman" w:hAnsi="Times New Roman"/>
              </w:rPr>
              <w:t>47</w:t>
            </w:r>
            <w:r>
              <w:rPr>
                <w:rFonts w:ascii="Times New Roman" w:hAnsi="Times New Roman"/>
              </w:rPr>
              <w:t xml:space="preserve"> van de VKV, of</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 xml:space="preserve">artikelen </w:t>
            </w:r>
            <w:r w:rsidRPr="00CF219D">
              <w:rPr>
                <w:rFonts w:ascii="Times New Roman" w:hAnsi="Times New Roman"/>
              </w:rPr>
              <w:t>56</w:t>
            </w:r>
            <w:r>
              <w:rPr>
                <w:rFonts w:ascii="Times New Roman" w:hAnsi="Times New Roman"/>
              </w:rPr>
              <w:t xml:space="preserve"> tot en met </w:t>
            </w:r>
            <w:r w:rsidRPr="00CF219D">
              <w:rPr>
                <w:rFonts w:ascii="Times New Roman" w:hAnsi="Times New Roman"/>
              </w:rPr>
              <w:t>60</w:t>
            </w:r>
            <w:r>
              <w:rPr>
                <w:rFonts w:ascii="Times New Roman" w:hAnsi="Times New Roman"/>
              </w:rPr>
              <w:t xml:space="preserve"> van de VKV, of</w:t>
            </w:r>
          </w:p>
          <w:p w:rsidR="00C81710" w:rsidRPr="0087718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artikelen </w:t>
            </w:r>
            <w:r w:rsidRPr="00CF219D">
              <w:rPr>
                <w:rFonts w:ascii="Times New Roman" w:hAnsi="Times New Roman"/>
              </w:rPr>
              <w:t>66</w:t>
            </w:r>
            <w:r>
              <w:rPr>
                <w:rFonts w:ascii="Times New Roman" w:hAnsi="Times New Roman"/>
              </w:rPr>
              <w:t xml:space="preserve"> tot en met </w:t>
            </w:r>
            <w:r w:rsidRPr="00CF219D">
              <w:rPr>
                <w:rFonts w:ascii="Times New Roman" w:hAnsi="Times New Roman"/>
              </w:rPr>
              <w:t>70</w:t>
            </w:r>
            <w:r>
              <w:rPr>
                <w:rFonts w:ascii="Times New Roman" w:hAnsi="Times New Roman"/>
              </w:rPr>
              <w:t xml:space="preserve"> van de VKV,</w:t>
            </w:r>
          </w:p>
          <w:p w:rsidR="007A0E3A" w:rsidRPr="00D74CC1" w:rsidRDefault="007A0E3A" w:rsidP="00877186">
            <w:pPr>
              <w:pStyle w:val="BodyText1"/>
              <w:spacing w:line="240" w:lineRule="auto"/>
              <w:rPr>
                <w:rFonts w:ascii="Times New Roman" w:hAnsi="Times New Roman"/>
                <w:b/>
                <w:bCs/>
              </w:rPr>
            </w:pPr>
            <w:r>
              <w:rPr>
                <w:rFonts w:ascii="Times New Roman" w:hAnsi="Times New Roman"/>
              </w:rPr>
              <w:t>al naargelang het geval.</w:t>
            </w:r>
          </w:p>
          <w:p w:rsidR="00C81710" w:rsidRDefault="00C81710" w:rsidP="00C81710">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rPr>
              <w:t xml:space="preserve">Instellingen nemen de in de artikelen </w:t>
            </w:r>
            <w:r w:rsidRPr="00CF219D">
              <w:rPr>
                <w:rFonts w:ascii="Times New Roman" w:hAnsi="Times New Roman"/>
              </w:rPr>
              <w:t>48</w:t>
            </w:r>
            <w:r>
              <w:rPr>
                <w:rFonts w:ascii="Times New Roman" w:hAnsi="Times New Roman"/>
              </w:rPr>
              <w:t xml:space="preserve">, </w:t>
            </w:r>
            <w:r w:rsidRPr="00CF219D">
              <w:rPr>
                <w:rFonts w:ascii="Times New Roman" w:hAnsi="Times New Roman"/>
              </w:rPr>
              <w:t>49</w:t>
            </w:r>
            <w:r>
              <w:rPr>
                <w:rFonts w:ascii="Times New Roman" w:hAnsi="Times New Roman"/>
              </w:rPr>
              <w:t xml:space="preserve"> en </w:t>
            </w:r>
            <w:r w:rsidRPr="00CF219D">
              <w:rPr>
                <w:rFonts w:ascii="Times New Roman" w:hAnsi="Times New Roman"/>
              </w:rPr>
              <w:t>79</w:t>
            </w:r>
            <w:r>
              <w:rPr>
                <w:rFonts w:ascii="Times New Roman" w:hAnsi="Times New Roman"/>
              </w:rPr>
              <w:t xml:space="preserve"> van de VKV vervatte vrijstellingen, alternatieven en ontheffingen met betrekking tot dergelijke aftrekkingen in aanmerking, en houden tevens rekening met de afwijking waarin deel tien, titel I, hoofdstukken </w:t>
            </w:r>
            <w:r w:rsidRPr="00CF219D">
              <w:rPr>
                <w:rFonts w:ascii="Times New Roman" w:hAnsi="Times New Roman"/>
              </w:rPr>
              <w:t>1</w:t>
            </w:r>
            <w:r>
              <w:rPr>
                <w:rFonts w:ascii="Times New Roman" w:hAnsi="Times New Roman"/>
              </w:rPr>
              <w:t xml:space="preserve"> en </w:t>
            </w:r>
            <w:r w:rsidRPr="00CF219D">
              <w:rPr>
                <w:rFonts w:ascii="Times New Roman" w:hAnsi="Times New Roman"/>
              </w:rPr>
              <w:t>2</w:t>
            </w:r>
            <w:r>
              <w:rPr>
                <w:rFonts w:ascii="Times New Roman" w:hAnsi="Times New Roman"/>
              </w:rPr>
              <w:t>, van de VKV voorziet. Om dubbeltellingen te vermijden, rapporteren instellingen bij de berekening van de blootstellingswaarde in {LRCalc;</w:t>
            </w:r>
            <w:r w:rsidRPr="00CF219D">
              <w:rPr>
                <w:rFonts w:ascii="Times New Roman" w:hAnsi="Times New Roman"/>
              </w:rPr>
              <w:t>10</w:t>
            </w:r>
            <w:r>
              <w:rPr>
                <w:rFonts w:ascii="Times New Roman" w:hAnsi="Times New Roman"/>
              </w:rPr>
              <w:t>;</w:t>
            </w:r>
            <w:r w:rsidRPr="00CF219D">
              <w:rPr>
                <w:rFonts w:ascii="Times New Roman" w:hAnsi="Times New Roman"/>
              </w:rPr>
              <w:t>10</w:t>
            </w:r>
            <w:r>
              <w:rPr>
                <w:rFonts w:ascii="Times New Roman" w:hAnsi="Times New Roman"/>
              </w:rPr>
              <w:t>} tot en met {LRCalc;</w:t>
            </w:r>
            <w:r w:rsidRPr="00CF219D">
              <w:rPr>
                <w:rFonts w:ascii="Times New Roman" w:hAnsi="Times New Roman"/>
              </w:rPr>
              <w:t>260</w:t>
            </w:r>
            <w:r>
              <w:rPr>
                <w:rFonts w:ascii="Times New Roman" w:hAnsi="Times New Roman"/>
              </w:rPr>
              <w:t>;</w:t>
            </w:r>
            <w:r w:rsidRPr="00CF219D">
              <w:rPr>
                <w:rFonts w:ascii="Times New Roman" w:hAnsi="Times New Roman"/>
              </w:rPr>
              <w:t>10</w:t>
            </w:r>
            <w:r>
              <w:rPr>
                <w:rFonts w:ascii="Times New Roman" w:hAnsi="Times New Roman"/>
              </w:rPr>
              <w:t xml:space="preserve">} geen aanpassingen die reeds op grond van artikel </w:t>
            </w:r>
            <w:r w:rsidRPr="00CF219D">
              <w:rPr>
                <w:rFonts w:ascii="Times New Roman" w:hAnsi="Times New Roman"/>
              </w:rPr>
              <w:t>111</w:t>
            </w:r>
            <w:r>
              <w:rPr>
                <w:rFonts w:ascii="Times New Roman" w:hAnsi="Times New Roman"/>
              </w:rPr>
              <w:t xml:space="preserve"> van de VKV zijn toegepast; zij rapporteren evenmin aanpassingen waarbij er geen sprake is van de aftrekking van de waarde van een specifiek actief.</w:t>
            </w:r>
            <w:r>
              <w:rPr>
                <w:rFonts w:ascii="Times New Roman" w:hAnsi="Times New Roman"/>
                <w:b/>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Pr>
                <w:rFonts w:ascii="Times New Roman" w:hAnsi="Times New Roman"/>
              </w:rPr>
              <w:t xml:space="preserve">Aangezien deze aanpassingen het totale eigen vermogen doen dalen, worden zij als een negatieve waarde gerapporteerd. </w:t>
            </w:r>
          </w:p>
          <w:p w:rsidR="002509B1" w:rsidRPr="00FE002E" w:rsidRDefault="002509B1" w:rsidP="005556DC">
            <w:pPr>
              <w:pStyle w:val="BodyText1"/>
              <w:spacing w:line="240" w:lineRule="auto"/>
              <w:rPr>
                <w:rFonts w:ascii="Times New Roman" w:hAnsi="Times New Roman"/>
                <w:bCs/>
              </w:rPr>
            </w:pPr>
          </w:p>
        </w:tc>
      </w:tr>
    </w:tbl>
    <w:p w:rsidR="00217D1F" w:rsidRPr="00FE002E" w:rsidRDefault="00217D1F" w:rsidP="00217D1F">
      <w:pPr>
        <w:pStyle w:val="BodyText1"/>
        <w:ind w:left="567"/>
        <w:rPr>
          <w:rFonts w:ascii="Times New Roman" w:hAnsi="Times New Roman"/>
          <w:b/>
        </w:rPr>
      </w:pPr>
      <w:bookmarkStart w:id="83" w:name="_Toc322687900"/>
      <w:bookmarkStart w:id="84" w:name="_Toc322533879"/>
    </w:p>
    <w:p w:rsidR="00217D1F" w:rsidRPr="00FE002E" w:rsidRDefault="00500508" w:rsidP="00500508">
      <w:pPr>
        <w:pStyle w:val="BodyText1"/>
        <w:ind w:left="357" w:hanging="357"/>
        <w:outlineLvl w:val="1"/>
        <w:rPr>
          <w:rFonts w:ascii="Times New Roman" w:hAnsi="Times New Roman"/>
          <w:b/>
        </w:rPr>
      </w:pPr>
      <w:bookmarkStart w:id="85" w:name="_Toc351048510"/>
      <w:bookmarkStart w:id="86" w:name="_Toc359414289"/>
      <w:bookmarkStart w:id="87" w:name="_Toc423089074"/>
      <w:bookmarkStart w:id="88" w:name="_Toc522780004"/>
      <w:r w:rsidRPr="00CF219D">
        <w:rPr>
          <w:rFonts w:ascii="Times New Roman" w:hAnsi="Times New Roman"/>
          <w:b/>
        </w:rPr>
        <w:t>8</w:t>
      </w:r>
      <w:r>
        <w:rPr>
          <w:rFonts w:ascii="Times New Roman" w:hAnsi="Times New Roman"/>
          <w:b/>
        </w:rPr>
        <w:t>.</w:t>
      </w:r>
      <w:r>
        <w:tab/>
      </w:r>
      <w:r>
        <w:rPr>
          <w:rFonts w:ascii="Times New Roman" w:hAnsi="Times New Roman"/>
          <w:b/>
        </w:rPr>
        <w:t xml:space="preserve">C </w:t>
      </w:r>
      <w:r w:rsidRPr="00CF219D">
        <w:rPr>
          <w:rFonts w:ascii="Times New Roman" w:hAnsi="Times New Roman"/>
          <w:b/>
        </w:rPr>
        <w:t>43</w:t>
      </w:r>
      <w:r>
        <w:rPr>
          <w:rFonts w:ascii="Times New Roman" w:hAnsi="Times New Roman"/>
          <w:b/>
        </w:rPr>
        <w:t>.</w:t>
      </w:r>
      <w:r w:rsidRPr="00CF219D">
        <w:rPr>
          <w:rFonts w:ascii="Times New Roman" w:hAnsi="Times New Roman"/>
          <w:b/>
        </w:rPr>
        <w:t>00</w:t>
      </w:r>
      <w:r>
        <w:rPr>
          <w:rFonts w:ascii="Times New Roman" w:hAnsi="Times New Roman"/>
          <w:b/>
        </w:rPr>
        <w:t xml:space="preserve"> – Alternatieve uitsplitsing van de bestanddelen van de blootstellingsmaatstaf voor de berekening van de hefboomratio</w:t>
      </w:r>
      <w:bookmarkEnd w:id="83"/>
      <w:bookmarkEnd w:id="85"/>
      <w:bookmarkEnd w:id="86"/>
      <w:r>
        <w:rPr>
          <w:rFonts w:ascii="Times New Roman" w:hAnsi="Times New Roman"/>
          <w:b/>
        </w:rPr>
        <w:t xml:space="preserve"> (LR</w:t>
      </w:r>
      <w:r w:rsidRPr="00CF219D">
        <w:rPr>
          <w:rFonts w:ascii="Times New Roman" w:hAnsi="Times New Roman"/>
          <w:b/>
        </w:rPr>
        <w:t>4</w:t>
      </w:r>
      <w:r>
        <w:rPr>
          <w:rFonts w:ascii="Times New Roman" w:hAnsi="Times New Roman"/>
          <w:b/>
        </w:rPr>
        <w:t>)</w:t>
      </w:r>
      <w:bookmarkEnd w:id="87"/>
      <w:bookmarkEnd w:id="88"/>
    </w:p>
    <w:p w:rsidR="00675587" w:rsidRPr="00FE002E" w:rsidRDefault="00675587" w:rsidP="00675587">
      <w:pPr>
        <w:pStyle w:val="BodyText1"/>
        <w:ind w:left="720"/>
        <w:rPr>
          <w:rFonts w:ascii="Times New Roman" w:hAnsi="Times New Roman"/>
        </w:rPr>
      </w:pPr>
    </w:p>
    <w:p w:rsidR="004E437E" w:rsidRDefault="00500508" w:rsidP="00500508">
      <w:pPr>
        <w:pStyle w:val="BodyText1"/>
        <w:ind w:left="720" w:hanging="360"/>
        <w:rPr>
          <w:rFonts w:ascii="Times New Roman" w:hAnsi="Times New Roman"/>
        </w:rPr>
      </w:pPr>
      <w:r w:rsidRPr="00CF219D">
        <w:rPr>
          <w:rFonts w:ascii="Times New Roman" w:hAnsi="Times New Roman"/>
        </w:rPr>
        <w:t>28</w:t>
      </w:r>
      <w:r>
        <w:rPr>
          <w:rFonts w:ascii="Times New Roman" w:hAnsi="Times New Roman"/>
        </w:rPr>
        <w:t>.</w:t>
      </w:r>
      <w:r>
        <w:tab/>
      </w:r>
      <w:r>
        <w:rPr>
          <w:rFonts w:ascii="Times New Roman" w:hAnsi="Times New Roman"/>
        </w:rPr>
        <w:t>In LR</w:t>
      </w:r>
      <w:r w:rsidRPr="00CF219D">
        <w:rPr>
          <w:rFonts w:ascii="Times New Roman" w:hAnsi="Times New Roman"/>
        </w:rPr>
        <w:t>4</w:t>
      </w:r>
      <w:r>
        <w:rPr>
          <w:rFonts w:ascii="Times New Roman" w:hAnsi="Times New Roman"/>
        </w:rPr>
        <w:t xml:space="preserve"> rapporteren instellingen de blootstellingswaarden voor de berekening van de hefboomratio, na toepassing, in voorkomend geval, van de in de volgende LRCalc-cellen bedoelde uitsluitingen: {</w:t>
      </w:r>
      <w:r w:rsidRPr="00CF219D">
        <w:rPr>
          <w:rFonts w:ascii="Times New Roman" w:hAnsi="Times New Roman"/>
        </w:rPr>
        <w:t>050</w:t>
      </w:r>
      <w:r>
        <w:rPr>
          <w:rFonts w:ascii="Times New Roman" w:hAnsi="Times New Roman"/>
        </w:rPr>
        <w:t>;</w:t>
      </w:r>
      <w:r w:rsidRPr="00CF219D">
        <w:rPr>
          <w:rFonts w:ascii="Times New Roman" w:hAnsi="Times New Roman"/>
        </w:rPr>
        <w:t>010</w:t>
      </w:r>
      <w:r>
        <w:rPr>
          <w:rFonts w:ascii="Times New Roman" w:hAnsi="Times New Roman"/>
        </w:rPr>
        <w:t>}, {</w:t>
      </w:r>
      <w:r w:rsidRPr="00CF219D">
        <w:rPr>
          <w:rFonts w:ascii="Times New Roman" w:hAnsi="Times New Roman"/>
        </w:rPr>
        <w:t>080</w:t>
      </w:r>
      <w:r>
        <w:rPr>
          <w:rFonts w:ascii="Times New Roman" w:hAnsi="Times New Roman"/>
        </w:rPr>
        <w:t>;</w:t>
      </w:r>
      <w:r w:rsidRPr="00CF219D">
        <w:rPr>
          <w:rFonts w:ascii="Times New Roman" w:hAnsi="Times New Roman"/>
        </w:rPr>
        <w:t>010</w:t>
      </w:r>
      <w:r>
        <w:rPr>
          <w:rFonts w:ascii="Times New Roman" w:hAnsi="Times New Roman"/>
        </w:rPr>
        <w:t>}, {</w:t>
      </w:r>
      <w:r w:rsidRPr="00CF219D">
        <w:rPr>
          <w:rFonts w:ascii="Times New Roman" w:hAnsi="Times New Roman"/>
        </w:rPr>
        <w:t>100</w:t>
      </w:r>
      <w:r>
        <w:rPr>
          <w:rFonts w:ascii="Times New Roman" w:hAnsi="Times New Roman"/>
        </w:rPr>
        <w:t>;</w:t>
      </w:r>
      <w:r w:rsidRPr="00CF219D">
        <w:rPr>
          <w:rFonts w:ascii="Times New Roman" w:hAnsi="Times New Roman"/>
        </w:rPr>
        <w:t>010</w:t>
      </w:r>
      <w:r>
        <w:rPr>
          <w:rFonts w:ascii="Times New Roman" w:hAnsi="Times New Roman"/>
        </w:rPr>
        <w:t>}, {</w:t>
      </w:r>
      <w:r w:rsidRPr="00CF219D">
        <w:rPr>
          <w:rFonts w:ascii="Times New Roman" w:hAnsi="Times New Roman"/>
        </w:rPr>
        <w:t>120</w:t>
      </w:r>
      <w:r>
        <w:rPr>
          <w:rFonts w:ascii="Times New Roman" w:hAnsi="Times New Roman"/>
        </w:rPr>
        <w:t>;</w:t>
      </w:r>
      <w:r w:rsidRPr="00CF219D">
        <w:rPr>
          <w:rFonts w:ascii="Times New Roman" w:hAnsi="Times New Roman"/>
        </w:rPr>
        <w:t>010</w:t>
      </w:r>
      <w:r>
        <w:rPr>
          <w:rFonts w:ascii="Times New Roman" w:hAnsi="Times New Roman"/>
        </w:rPr>
        <w:t>}, {</w:t>
      </w:r>
      <w:r w:rsidRPr="00CF219D">
        <w:rPr>
          <w:rFonts w:ascii="Times New Roman" w:hAnsi="Times New Roman"/>
        </w:rPr>
        <w:t>220</w:t>
      </w:r>
      <w:r>
        <w:rPr>
          <w:rFonts w:ascii="Times New Roman" w:hAnsi="Times New Roman"/>
        </w:rPr>
        <w:t xml:space="preserve">; </w:t>
      </w:r>
      <w:r w:rsidRPr="00CF219D">
        <w:rPr>
          <w:rFonts w:ascii="Times New Roman" w:hAnsi="Times New Roman"/>
        </w:rPr>
        <w:t>010</w:t>
      </w:r>
      <w:r>
        <w:rPr>
          <w:rFonts w:ascii="Times New Roman" w:hAnsi="Times New Roman"/>
        </w:rPr>
        <w:t>}, {</w:t>
      </w:r>
      <w:r w:rsidRPr="00CF219D">
        <w:rPr>
          <w:rFonts w:ascii="Times New Roman" w:hAnsi="Times New Roman"/>
        </w:rPr>
        <w:t>250</w:t>
      </w:r>
      <w:r>
        <w:rPr>
          <w:rFonts w:ascii="Times New Roman" w:hAnsi="Times New Roman"/>
        </w:rPr>
        <w:t>;</w:t>
      </w:r>
      <w:r w:rsidRPr="00CF219D">
        <w:rPr>
          <w:rFonts w:ascii="Times New Roman" w:hAnsi="Times New Roman"/>
        </w:rPr>
        <w:t>010</w:t>
      </w:r>
      <w:r>
        <w:rPr>
          <w:rFonts w:ascii="Times New Roman" w:hAnsi="Times New Roman"/>
        </w:rPr>
        <w:t>} en{</w:t>
      </w:r>
      <w:r w:rsidRPr="00CF219D">
        <w:rPr>
          <w:rFonts w:ascii="Times New Roman" w:hAnsi="Times New Roman"/>
        </w:rPr>
        <w:t>260</w:t>
      </w:r>
      <w:r>
        <w:rPr>
          <w:rFonts w:ascii="Times New Roman" w:hAnsi="Times New Roman"/>
        </w:rPr>
        <w:t>;</w:t>
      </w:r>
      <w:r w:rsidRPr="00CF219D">
        <w:rPr>
          <w:rFonts w:ascii="Times New Roman" w:hAnsi="Times New Roman"/>
        </w:rPr>
        <w:t>010</w:t>
      </w:r>
      <w:r>
        <w:rPr>
          <w:rFonts w:ascii="Times New Roman" w:hAnsi="Times New Roman"/>
        </w:rPr>
        <w:t>}.</w:t>
      </w:r>
    </w:p>
    <w:p w:rsidR="004E437E" w:rsidRPr="004E437E" w:rsidRDefault="004E437E" w:rsidP="00FD2C06">
      <w:pPr>
        <w:pStyle w:val="BodyText1"/>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CF219D">
        <w:rPr>
          <w:rFonts w:ascii="Times New Roman" w:hAnsi="Times New Roman"/>
        </w:rPr>
        <w:t>29</w:t>
      </w:r>
      <w:r>
        <w:rPr>
          <w:rFonts w:ascii="Times New Roman" w:hAnsi="Times New Roman"/>
        </w:rPr>
        <w:t>.</w:t>
      </w:r>
      <w:r>
        <w:tab/>
      </w:r>
      <w:r>
        <w:rPr>
          <w:rFonts w:ascii="Times New Roman" w:hAnsi="Times New Roman"/>
        </w:rPr>
        <w:t xml:space="preserve">Om dubbeltellingen te vermijden, houden instellingen zich aan de in het volgende punt vermelde vergelijking.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CF219D">
        <w:rPr>
          <w:rFonts w:ascii="Times New Roman" w:hAnsi="Times New Roman"/>
        </w:rPr>
        <w:t>30</w:t>
      </w:r>
      <w:r>
        <w:rPr>
          <w:rFonts w:ascii="Times New Roman" w:hAnsi="Times New Roman"/>
        </w:rPr>
        <w:t>.</w:t>
      </w:r>
      <w:r>
        <w:tab/>
      </w:r>
      <w:r>
        <w:rPr>
          <w:rFonts w:ascii="Times New Roman" w:hAnsi="Times New Roman"/>
        </w:rPr>
        <w:t xml:space="preserve">De vergelijking waaraan instellingen zich overeenkomstig punt </w:t>
      </w:r>
      <w:r w:rsidRPr="00CF219D">
        <w:rPr>
          <w:rFonts w:ascii="Times New Roman" w:hAnsi="Times New Roman"/>
        </w:rPr>
        <w:t>29</w:t>
      </w:r>
      <w:r>
        <w:rPr>
          <w:rFonts w:ascii="Times New Roman" w:hAnsi="Times New Roman"/>
        </w:rPr>
        <w:t xml:space="preserve"> moeten houden, luidt als volgt: [{LRCalc;</w:t>
      </w:r>
      <w:r w:rsidRPr="00CF219D">
        <w:rPr>
          <w:rFonts w:ascii="Times New Roman" w:hAnsi="Times New Roman"/>
        </w:rPr>
        <w:t>010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020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030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040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050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060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070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080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090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100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110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120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130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140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150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160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170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180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190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200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210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220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230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240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250</w:t>
      </w:r>
      <w:r>
        <w:rPr>
          <w:rFonts w:ascii="Times New Roman" w:hAnsi="Times New Roman"/>
        </w:rPr>
        <w:t>;</w:t>
      </w:r>
      <w:r w:rsidRPr="00CF219D">
        <w:rPr>
          <w:rFonts w:ascii="Times New Roman" w:hAnsi="Times New Roman"/>
        </w:rPr>
        <w:t>010</w:t>
      </w:r>
      <w:r>
        <w:rPr>
          <w:rFonts w:ascii="Times New Roman" w:hAnsi="Times New Roman"/>
        </w:rPr>
        <w:t>} + {LRCalc;</w:t>
      </w:r>
      <w:r w:rsidRPr="00CF219D">
        <w:rPr>
          <w:rFonts w:ascii="Times New Roman" w:hAnsi="Times New Roman"/>
        </w:rPr>
        <w:t>260</w:t>
      </w:r>
      <w:r>
        <w:rPr>
          <w:rFonts w:ascii="Times New Roman" w:hAnsi="Times New Roman"/>
        </w:rPr>
        <w:t>;</w:t>
      </w:r>
      <w:r w:rsidRPr="00CF219D">
        <w:rPr>
          <w:rFonts w:ascii="Times New Roman" w:hAnsi="Times New Roman"/>
        </w:rPr>
        <w:t>010</w:t>
      </w:r>
      <w:r>
        <w:rPr>
          <w:rFonts w:ascii="Times New Roman" w:hAnsi="Times New Roman"/>
        </w:rPr>
        <w:t>}] = [{LR</w:t>
      </w:r>
      <w:r w:rsidRPr="00CF219D">
        <w:rPr>
          <w:rFonts w:ascii="Times New Roman" w:hAnsi="Times New Roman"/>
        </w:rPr>
        <w:t>4</w:t>
      </w:r>
      <w:r>
        <w:rPr>
          <w:rFonts w:ascii="Times New Roman" w:hAnsi="Times New Roman"/>
        </w:rPr>
        <w:t>;</w:t>
      </w:r>
      <w:r w:rsidRPr="00CF219D">
        <w:rPr>
          <w:rFonts w:ascii="Times New Roman" w:hAnsi="Times New Roman"/>
        </w:rPr>
        <w:t>010</w:t>
      </w:r>
      <w:r>
        <w:rPr>
          <w:rFonts w:ascii="Times New Roman" w:hAnsi="Times New Roman"/>
        </w:rPr>
        <w:t>;</w:t>
      </w:r>
      <w:r w:rsidRPr="00CF219D">
        <w:rPr>
          <w:rFonts w:ascii="Times New Roman" w:hAnsi="Times New Roman"/>
        </w:rPr>
        <w:t>010</w:t>
      </w:r>
      <w:r>
        <w:rPr>
          <w:rFonts w:ascii="Times New Roman" w:hAnsi="Times New Roman"/>
        </w:rPr>
        <w:t>} + {LR</w:t>
      </w:r>
      <w:r w:rsidRPr="00CF219D">
        <w:rPr>
          <w:rFonts w:ascii="Times New Roman" w:hAnsi="Times New Roman"/>
        </w:rPr>
        <w:t>4</w:t>
      </w:r>
      <w:r>
        <w:rPr>
          <w:rFonts w:ascii="Times New Roman" w:hAnsi="Times New Roman"/>
        </w:rPr>
        <w:t>;</w:t>
      </w:r>
      <w:r w:rsidRPr="00CF219D">
        <w:rPr>
          <w:rFonts w:ascii="Times New Roman" w:hAnsi="Times New Roman"/>
        </w:rPr>
        <w:t>040</w:t>
      </w:r>
      <w:r>
        <w:rPr>
          <w:rFonts w:ascii="Times New Roman" w:hAnsi="Times New Roman"/>
        </w:rPr>
        <w:t>;</w:t>
      </w:r>
      <w:r w:rsidRPr="00CF219D">
        <w:rPr>
          <w:rFonts w:ascii="Times New Roman" w:hAnsi="Times New Roman"/>
        </w:rPr>
        <w:t>010</w:t>
      </w:r>
      <w:r>
        <w:rPr>
          <w:rFonts w:ascii="Times New Roman" w:hAnsi="Times New Roman"/>
        </w:rPr>
        <w:t>} + {LR</w:t>
      </w:r>
      <w:r w:rsidRPr="00CF219D">
        <w:rPr>
          <w:rFonts w:ascii="Times New Roman" w:hAnsi="Times New Roman"/>
        </w:rPr>
        <w:t>4</w:t>
      </w:r>
      <w:r>
        <w:rPr>
          <w:rFonts w:ascii="Times New Roman" w:hAnsi="Times New Roman"/>
        </w:rPr>
        <w:t>;</w:t>
      </w:r>
      <w:r w:rsidRPr="00CF219D">
        <w:rPr>
          <w:rFonts w:ascii="Times New Roman" w:hAnsi="Times New Roman"/>
        </w:rPr>
        <w:t>050</w:t>
      </w:r>
      <w:r>
        <w:rPr>
          <w:rFonts w:ascii="Times New Roman" w:hAnsi="Times New Roman"/>
        </w:rPr>
        <w:t>;</w:t>
      </w:r>
      <w:r w:rsidRPr="00CF219D">
        <w:rPr>
          <w:rFonts w:ascii="Times New Roman" w:hAnsi="Times New Roman"/>
        </w:rPr>
        <w:t>010</w:t>
      </w:r>
      <w:r>
        <w:rPr>
          <w:rFonts w:ascii="Times New Roman" w:hAnsi="Times New Roman"/>
        </w:rPr>
        <w:t>} + {LR</w:t>
      </w:r>
      <w:r w:rsidRPr="00CF219D">
        <w:rPr>
          <w:rFonts w:ascii="Times New Roman" w:hAnsi="Times New Roman"/>
        </w:rPr>
        <w:t>4</w:t>
      </w:r>
      <w:r>
        <w:rPr>
          <w:rFonts w:ascii="Times New Roman" w:hAnsi="Times New Roman"/>
        </w:rPr>
        <w:t>;</w:t>
      </w:r>
      <w:r w:rsidRPr="00CF219D">
        <w:rPr>
          <w:rFonts w:ascii="Times New Roman" w:hAnsi="Times New Roman"/>
        </w:rPr>
        <w:t>060</w:t>
      </w:r>
      <w:r>
        <w:rPr>
          <w:rFonts w:ascii="Times New Roman" w:hAnsi="Times New Roman"/>
        </w:rPr>
        <w:t>;</w:t>
      </w:r>
      <w:r w:rsidRPr="00CF219D">
        <w:rPr>
          <w:rFonts w:ascii="Times New Roman" w:hAnsi="Times New Roman"/>
        </w:rPr>
        <w:t>010</w:t>
      </w:r>
      <w:r>
        <w:rPr>
          <w:rFonts w:ascii="Times New Roman" w:hAnsi="Times New Roman"/>
        </w:rPr>
        <w:t>} + {LR</w:t>
      </w:r>
      <w:r w:rsidRPr="00CF219D">
        <w:rPr>
          <w:rFonts w:ascii="Times New Roman" w:hAnsi="Times New Roman"/>
        </w:rPr>
        <w:t>4</w:t>
      </w:r>
      <w:r>
        <w:rPr>
          <w:rFonts w:ascii="Times New Roman" w:hAnsi="Times New Roman"/>
        </w:rPr>
        <w:t>;</w:t>
      </w:r>
      <w:r w:rsidRPr="00CF219D">
        <w:rPr>
          <w:rFonts w:ascii="Times New Roman" w:hAnsi="Times New Roman"/>
        </w:rPr>
        <w:t>065</w:t>
      </w:r>
      <w:r>
        <w:rPr>
          <w:rFonts w:ascii="Times New Roman" w:hAnsi="Times New Roman"/>
        </w:rPr>
        <w:t>;</w:t>
      </w:r>
      <w:r w:rsidRPr="00CF219D">
        <w:rPr>
          <w:rFonts w:ascii="Times New Roman" w:hAnsi="Times New Roman"/>
        </w:rPr>
        <w:t>010</w:t>
      </w:r>
      <w:r>
        <w:rPr>
          <w:rFonts w:ascii="Times New Roman" w:hAnsi="Times New Roman"/>
        </w:rPr>
        <w:t>} + {LR</w:t>
      </w:r>
      <w:r w:rsidRPr="00CF219D">
        <w:rPr>
          <w:rFonts w:ascii="Times New Roman" w:hAnsi="Times New Roman"/>
        </w:rPr>
        <w:t>4</w:t>
      </w:r>
      <w:r>
        <w:rPr>
          <w:rFonts w:ascii="Times New Roman" w:hAnsi="Times New Roman"/>
        </w:rPr>
        <w:t>;</w:t>
      </w:r>
      <w:r w:rsidRPr="00CF219D">
        <w:rPr>
          <w:rFonts w:ascii="Times New Roman" w:hAnsi="Times New Roman"/>
        </w:rPr>
        <w:t>070</w:t>
      </w:r>
      <w:r>
        <w:rPr>
          <w:rFonts w:ascii="Times New Roman" w:hAnsi="Times New Roman"/>
        </w:rPr>
        <w:t>;</w:t>
      </w:r>
      <w:r w:rsidRPr="00CF219D">
        <w:rPr>
          <w:rFonts w:ascii="Times New Roman" w:hAnsi="Times New Roman"/>
        </w:rPr>
        <w:t>010</w:t>
      </w:r>
      <w:r>
        <w:rPr>
          <w:rFonts w:ascii="Times New Roman" w:hAnsi="Times New Roman"/>
        </w:rPr>
        <w:t>} + {LR</w:t>
      </w:r>
      <w:r w:rsidRPr="00CF219D">
        <w:rPr>
          <w:rFonts w:ascii="Times New Roman" w:hAnsi="Times New Roman"/>
        </w:rPr>
        <w:t>4</w:t>
      </w:r>
      <w:r>
        <w:rPr>
          <w:rFonts w:ascii="Times New Roman" w:hAnsi="Times New Roman"/>
        </w:rPr>
        <w:t>;</w:t>
      </w:r>
      <w:r w:rsidRPr="00CF219D">
        <w:rPr>
          <w:rFonts w:ascii="Times New Roman" w:hAnsi="Times New Roman"/>
        </w:rPr>
        <w:t>080</w:t>
      </w:r>
      <w:r>
        <w:rPr>
          <w:rFonts w:ascii="Times New Roman" w:hAnsi="Times New Roman"/>
        </w:rPr>
        <w:t>;</w:t>
      </w:r>
      <w:r w:rsidRPr="00CF219D">
        <w:rPr>
          <w:rFonts w:ascii="Times New Roman" w:hAnsi="Times New Roman"/>
        </w:rPr>
        <w:t>010</w:t>
      </w:r>
      <w:r>
        <w:rPr>
          <w:rFonts w:ascii="Times New Roman" w:hAnsi="Times New Roman"/>
        </w:rPr>
        <w:t>} + {LR</w:t>
      </w:r>
      <w:r w:rsidRPr="00CF219D">
        <w:rPr>
          <w:rFonts w:ascii="Times New Roman" w:hAnsi="Times New Roman"/>
        </w:rPr>
        <w:t>4</w:t>
      </w:r>
      <w:r>
        <w:rPr>
          <w:rFonts w:ascii="Times New Roman" w:hAnsi="Times New Roman"/>
        </w:rPr>
        <w:t>;</w:t>
      </w:r>
      <w:r w:rsidRPr="00CF219D">
        <w:rPr>
          <w:rFonts w:ascii="Times New Roman" w:hAnsi="Times New Roman"/>
        </w:rPr>
        <w:t>080</w:t>
      </w:r>
      <w:r>
        <w:rPr>
          <w:rFonts w:ascii="Times New Roman" w:hAnsi="Times New Roman"/>
        </w:rPr>
        <w:t>;</w:t>
      </w:r>
      <w:r w:rsidRPr="00CF219D">
        <w:rPr>
          <w:rFonts w:ascii="Times New Roman" w:hAnsi="Times New Roman"/>
        </w:rPr>
        <w:t>020</w:t>
      </w:r>
      <w:r>
        <w:rPr>
          <w:rFonts w:ascii="Times New Roman" w:hAnsi="Times New Roman"/>
        </w:rPr>
        <w:t>} + {LR</w:t>
      </w:r>
      <w:r w:rsidRPr="00CF219D">
        <w:rPr>
          <w:rFonts w:ascii="Times New Roman" w:hAnsi="Times New Roman"/>
        </w:rPr>
        <w:t>4</w:t>
      </w:r>
      <w:r>
        <w:rPr>
          <w:rFonts w:ascii="Times New Roman" w:hAnsi="Times New Roman"/>
        </w:rPr>
        <w:t>;</w:t>
      </w:r>
      <w:r w:rsidRPr="00CF219D">
        <w:rPr>
          <w:rFonts w:ascii="Times New Roman" w:hAnsi="Times New Roman"/>
        </w:rPr>
        <w:t>090</w:t>
      </w:r>
      <w:r>
        <w:rPr>
          <w:rFonts w:ascii="Times New Roman" w:hAnsi="Times New Roman"/>
        </w:rPr>
        <w:t>;</w:t>
      </w:r>
      <w:r w:rsidRPr="00CF219D">
        <w:rPr>
          <w:rFonts w:ascii="Times New Roman" w:hAnsi="Times New Roman"/>
        </w:rPr>
        <w:t>010</w:t>
      </w:r>
      <w:r>
        <w:rPr>
          <w:rFonts w:ascii="Times New Roman" w:hAnsi="Times New Roman"/>
        </w:rPr>
        <w:t>} + {LR</w:t>
      </w:r>
      <w:r w:rsidRPr="00CF219D">
        <w:rPr>
          <w:rFonts w:ascii="Times New Roman" w:hAnsi="Times New Roman"/>
        </w:rPr>
        <w:t>4</w:t>
      </w:r>
      <w:r>
        <w:rPr>
          <w:rFonts w:ascii="Times New Roman" w:hAnsi="Times New Roman"/>
        </w:rPr>
        <w:t>;</w:t>
      </w:r>
      <w:r w:rsidRPr="00CF219D">
        <w:rPr>
          <w:rFonts w:ascii="Times New Roman" w:hAnsi="Times New Roman"/>
        </w:rPr>
        <w:t>090</w:t>
      </w:r>
      <w:r>
        <w:rPr>
          <w:rFonts w:ascii="Times New Roman" w:hAnsi="Times New Roman"/>
        </w:rPr>
        <w:t>;</w:t>
      </w:r>
      <w:r w:rsidRPr="00CF219D">
        <w:rPr>
          <w:rFonts w:ascii="Times New Roman" w:hAnsi="Times New Roman"/>
        </w:rPr>
        <w:t>020</w:t>
      </w:r>
      <w:r>
        <w:rPr>
          <w:rFonts w:ascii="Times New Roman" w:hAnsi="Times New Roman"/>
        </w:rPr>
        <w:t>} + {LR</w:t>
      </w:r>
      <w:r w:rsidRPr="00CF219D">
        <w:rPr>
          <w:rFonts w:ascii="Times New Roman" w:hAnsi="Times New Roman"/>
        </w:rPr>
        <w:t>4</w:t>
      </w:r>
      <w:r>
        <w:rPr>
          <w:rFonts w:ascii="Times New Roman" w:hAnsi="Times New Roman"/>
        </w:rPr>
        <w:t>;</w:t>
      </w:r>
      <w:r w:rsidRPr="00CF219D">
        <w:rPr>
          <w:rFonts w:ascii="Times New Roman" w:hAnsi="Times New Roman"/>
        </w:rPr>
        <w:t>140</w:t>
      </w:r>
      <w:r>
        <w:rPr>
          <w:rFonts w:ascii="Times New Roman" w:hAnsi="Times New Roman"/>
        </w:rPr>
        <w:t>;</w:t>
      </w:r>
      <w:r w:rsidRPr="00CF219D">
        <w:rPr>
          <w:rFonts w:ascii="Times New Roman" w:hAnsi="Times New Roman"/>
        </w:rPr>
        <w:t>010</w:t>
      </w:r>
      <w:r>
        <w:rPr>
          <w:rFonts w:ascii="Times New Roman" w:hAnsi="Times New Roman"/>
        </w:rPr>
        <w:t>} + {LR</w:t>
      </w:r>
      <w:r w:rsidRPr="00CF219D">
        <w:rPr>
          <w:rFonts w:ascii="Times New Roman" w:hAnsi="Times New Roman"/>
        </w:rPr>
        <w:t>4</w:t>
      </w:r>
      <w:r>
        <w:rPr>
          <w:rFonts w:ascii="Times New Roman" w:hAnsi="Times New Roman"/>
        </w:rPr>
        <w:t>;</w:t>
      </w:r>
      <w:r w:rsidRPr="00CF219D">
        <w:rPr>
          <w:rFonts w:ascii="Times New Roman" w:hAnsi="Times New Roman"/>
        </w:rPr>
        <w:t>140</w:t>
      </w:r>
      <w:r>
        <w:rPr>
          <w:rFonts w:ascii="Times New Roman" w:hAnsi="Times New Roman"/>
        </w:rPr>
        <w:t>;</w:t>
      </w:r>
      <w:r w:rsidRPr="00CF219D">
        <w:rPr>
          <w:rFonts w:ascii="Times New Roman" w:hAnsi="Times New Roman"/>
        </w:rPr>
        <w:t>020</w:t>
      </w:r>
      <w:r>
        <w:rPr>
          <w:rFonts w:ascii="Times New Roman" w:hAnsi="Times New Roman"/>
        </w:rPr>
        <w:t>} + {LR</w:t>
      </w:r>
      <w:r w:rsidRPr="00CF219D">
        <w:rPr>
          <w:rFonts w:ascii="Times New Roman" w:hAnsi="Times New Roman"/>
        </w:rPr>
        <w:t>4</w:t>
      </w:r>
      <w:r>
        <w:rPr>
          <w:rFonts w:ascii="Times New Roman" w:hAnsi="Times New Roman"/>
        </w:rPr>
        <w:t>;</w:t>
      </w:r>
      <w:r w:rsidRPr="00CF219D">
        <w:rPr>
          <w:rFonts w:ascii="Times New Roman" w:hAnsi="Times New Roman"/>
        </w:rPr>
        <w:t>180</w:t>
      </w:r>
      <w:r>
        <w:rPr>
          <w:rFonts w:ascii="Times New Roman" w:hAnsi="Times New Roman"/>
        </w:rPr>
        <w:t>;</w:t>
      </w:r>
      <w:r w:rsidRPr="00CF219D">
        <w:rPr>
          <w:rFonts w:ascii="Times New Roman" w:hAnsi="Times New Roman"/>
        </w:rPr>
        <w:t>010</w:t>
      </w:r>
      <w:r>
        <w:rPr>
          <w:rFonts w:ascii="Times New Roman" w:hAnsi="Times New Roman"/>
        </w:rPr>
        <w:t>} + {LR</w:t>
      </w:r>
      <w:r w:rsidRPr="00CF219D">
        <w:rPr>
          <w:rFonts w:ascii="Times New Roman" w:hAnsi="Times New Roman"/>
        </w:rPr>
        <w:t>4</w:t>
      </w:r>
      <w:r>
        <w:rPr>
          <w:rFonts w:ascii="Times New Roman" w:hAnsi="Times New Roman"/>
        </w:rPr>
        <w:t>;</w:t>
      </w:r>
      <w:r w:rsidRPr="00CF219D">
        <w:rPr>
          <w:rFonts w:ascii="Times New Roman" w:hAnsi="Times New Roman"/>
        </w:rPr>
        <w:t>180</w:t>
      </w:r>
      <w:r>
        <w:rPr>
          <w:rFonts w:ascii="Times New Roman" w:hAnsi="Times New Roman"/>
        </w:rPr>
        <w:t>;</w:t>
      </w:r>
      <w:r w:rsidRPr="00CF219D">
        <w:rPr>
          <w:rFonts w:ascii="Times New Roman" w:hAnsi="Times New Roman"/>
        </w:rPr>
        <w:t>020</w:t>
      </w:r>
      <w:r>
        <w:rPr>
          <w:rFonts w:ascii="Times New Roman" w:hAnsi="Times New Roman"/>
        </w:rPr>
        <w:t>} + {LR</w:t>
      </w:r>
      <w:r w:rsidRPr="00CF219D">
        <w:rPr>
          <w:rFonts w:ascii="Times New Roman" w:hAnsi="Times New Roman"/>
        </w:rPr>
        <w:t>4</w:t>
      </w:r>
      <w:r>
        <w:rPr>
          <w:rFonts w:ascii="Times New Roman" w:hAnsi="Times New Roman"/>
        </w:rPr>
        <w:t>;</w:t>
      </w:r>
      <w:r w:rsidRPr="00CF219D">
        <w:rPr>
          <w:rFonts w:ascii="Times New Roman" w:hAnsi="Times New Roman"/>
        </w:rPr>
        <w:t>190</w:t>
      </w:r>
      <w:r>
        <w:rPr>
          <w:rFonts w:ascii="Times New Roman" w:hAnsi="Times New Roman"/>
        </w:rPr>
        <w:t>;</w:t>
      </w:r>
      <w:r w:rsidRPr="00CF219D">
        <w:rPr>
          <w:rFonts w:ascii="Times New Roman" w:hAnsi="Times New Roman"/>
        </w:rPr>
        <w:t>010</w:t>
      </w:r>
      <w:r>
        <w:rPr>
          <w:rFonts w:ascii="Times New Roman" w:hAnsi="Times New Roman"/>
        </w:rPr>
        <w:t>} + {LR</w:t>
      </w:r>
      <w:r w:rsidRPr="00CF219D">
        <w:rPr>
          <w:rFonts w:ascii="Times New Roman" w:hAnsi="Times New Roman"/>
        </w:rPr>
        <w:t>4</w:t>
      </w:r>
      <w:r>
        <w:rPr>
          <w:rFonts w:ascii="Times New Roman" w:hAnsi="Times New Roman"/>
        </w:rPr>
        <w:t>;</w:t>
      </w:r>
      <w:r w:rsidRPr="00CF219D">
        <w:rPr>
          <w:rFonts w:ascii="Times New Roman" w:hAnsi="Times New Roman"/>
        </w:rPr>
        <w:t>190</w:t>
      </w:r>
      <w:r>
        <w:rPr>
          <w:rFonts w:ascii="Times New Roman" w:hAnsi="Times New Roman"/>
        </w:rPr>
        <w:t>;</w:t>
      </w:r>
      <w:r w:rsidRPr="00CF219D">
        <w:rPr>
          <w:rFonts w:ascii="Times New Roman" w:hAnsi="Times New Roman"/>
        </w:rPr>
        <w:t>020</w:t>
      </w:r>
      <w:r>
        <w:rPr>
          <w:rFonts w:ascii="Times New Roman" w:hAnsi="Times New Roman"/>
        </w:rPr>
        <w:t>} + {LR</w:t>
      </w:r>
      <w:r w:rsidRPr="00CF219D">
        <w:rPr>
          <w:rFonts w:ascii="Times New Roman" w:hAnsi="Times New Roman"/>
        </w:rPr>
        <w:t>4</w:t>
      </w:r>
      <w:r>
        <w:rPr>
          <w:rFonts w:ascii="Times New Roman" w:hAnsi="Times New Roman"/>
        </w:rPr>
        <w:t>;</w:t>
      </w:r>
      <w:r w:rsidRPr="00CF219D">
        <w:rPr>
          <w:rFonts w:ascii="Times New Roman" w:hAnsi="Times New Roman"/>
        </w:rPr>
        <w:t>210</w:t>
      </w:r>
      <w:r>
        <w:rPr>
          <w:rFonts w:ascii="Times New Roman" w:hAnsi="Times New Roman"/>
        </w:rPr>
        <w:t>;</w:t>
      </w:r>
      <w:r w:rsidRPr="00CF219D">
        <w:rPr>
          <w:rFonts w:ascii="Times New Roman" w:hAnsi="Times New Roman"/>
        </w:rPr>
        <w:t>010</w:t>
      </w:r>
      <w:r>
        <w:rPr>
          <w:rFonts w:ascii="Times New Roman" w:hAnsi="Times New Roman"/>
        </w:rPr>
        <w:t>} + {LR</w:t>
      </w:r>
      <w:r w:rsidRPr="00CF219D">
        <w:rPr>
          <w:rFonts w:ascii="Times New Roman" w:hAnsi="Times New Roman"/>
        </w:rPr>
        <w:t>4</w:t>
      </w:r>
      <w:r>
        <w:rPr>
          <w:rFonts w:ascii="Times New Roman" w:hAnsi="Times New Roman"/>
        </w:rPr>
        <w:t>;</w:t>
      </w:r>
      <w:r w:rsidRPr="00CF219D">
        <w:rPr>
          <w:rFonts w:ascii="Times New Roman" w:hAnsi="Times New Roman"/>
        </w:rPr>
        <w:t>210</w:t>
      </w:r>
      <w:r>
        <w:rPr>
          <w:rFonts w:ascii="Times New Roman" w:hAnsi="Times New Roman"/>
        </w:rPr>
        <w:t>;</w:t>
      </w:r>
      <w:r w:rsidRPr="00CF219D">
        <w:rPr>
          <w:rFonts w:ascii="Times New Roman" w:hAnsi="Times New Roman"/>
        </w:rPr>
        <w:t>020</w:t>
      </w:r>
      <w:r>
        <w:rPr>
          <w:rFonts w:ascii="Times New Roman" w:hAnsi="Times New Roman"/>
        </w:rPr>
        <w:t>} + {LR</w:t>
      </w:r>
      <w:r w:rsidRPr="00CF219D">
        <w:rPr>
          <w:rFonts w:ascii="Times New Roman" w:hAnsi="Times New Roman"/>
        </w:rPr>
        <w:t>4</w:t>
      </w:r>
      <w:r>
        <w:rPr>
          <w:rFonts w:ascii="Times New Roman" w:hAnsi="Times New Roman"/>
        </w:rPr>
        <w:t>;</w:t>
      </w:r>
      <w:r w:rsidRPr="00CF219D">
        <w:rPr>
          <w:rFonts w:ascii="Times New Roman" w:hAnsi="Times New Roman"/>
        </w:rPr>
        <w:t>230</w:t>
      </w:r>
      <w:r>
        <w:rPr>
          <w:rFonts w:ascii="Times New Roman" w:hAnsi="Times New Roman"/>
        </w:rPr>
        <w:t>;</w:t>
      </w:r>
      <w:r w:rsidRPr="00CF219D">
        <w:rPr>
          <w:rFonts w:ascii="Times New Roman" w:hAnsi="Times New Roman"/>
        </w:rPr>
        <w:t>010</w:t>
      </w:r>
      <w:r>
        <w:rPr>
          <w:rFonts w:ascii="Times New Roman" w:hAnsi="Times New Roman"/>
        </w:rPr>
        <w:t>} + {LR</w:t>
      </w:r>
      <w:r w:rsidRPr="00CF219D">
        <w:rPr>
          <w:rFonts w:ascii="Times New Roman" w:hAnsi="Times New Roman"/>
        </w:rPr>
        <w:t>4</w:t>
      </w:r>
      <w:r>
        <w:rPr>
          <w:rFonts w:ascii="Times New Roman" w:hAnsi="Times New Roman"/>
        </w:rPr>
        <w:t>;</w:t>
      </w:r>
      <w:r w:rsidRPr="00CF219D">
        <w:rPr>
          <w:rFonts w:ascii="Times New Roman" w:hAnsi="Times New Roman"/>
        </w:rPr>
        <w:t>230</w:t>
      </w:r>
      <w:r>
        <w:rPr>
          <w:rFonts w:ascii="Times New Roman" w:hAnsi="Times New Roman"/>
        </w:rPr>
        <w:t>;</w:t>
      </w:r>
      <w:r w:rsidRPr="00CF219D">
        <w:rPr>
          <w:rFonts w:ascii="Times New Roman" w:hAnsi="Times New Roman"/>
        </w:rPr>
        <w:t>020</w:t>
      </w:r>
      <w:r>
        <w:rPr>
          <w:rFonts w:ascii="Times New Roman" w:hAnsi="Times New Roman"/>
        </w:rPr>
        <w:t>} + {LR</w:t>
      </w:r>
      <w:r w:rsidRPr="00CF219D">
        <w:rPr>
          <w:rFonts w:ascii="Times New Roman" w:hAnsi="Times New Roman"/>
        </w:rPr>
        <w:t>4</w:t>
      </w:r>
      <w:r>
        <w:rPr>
          <w:rFonts w:ascii="Times New Roman" w:hAnsi="Times New Roman"/>
        </w:rPr>
        <w:t>;</w:t>
      </w:r>
      <w:r w:rsidRPr="00CF219D">
        <w:rPr>
          <w:rFonts w:ascii="Times New Roman" w:hAnsi="Times New Roman"/>
        </w:rPr>
        <w:t>280</w:t>
      </w:r>
      <w:r>
        <w:rPr>
          <w:rFonts w:ascii="Times New Roman" w:hAnsi="Times New Roman"/>
        </w:rPr>
        <w:t>;</w:t>
      </w:r>
      <w:r w:rsidRPr="00CF219D">
        <w:rPr>
          <w:rFonts w:ascii="Times New Roman" w:hAnsi="Times New Roman"/>
        </w:rPr>
        <w:t>010</w:t>
      </w:r>
      <w:r>
        <w:rPr>
          <w:rFonts w:ascii="Times New Roman" w:hAnsi="Times New Roman"/>
        </w:rPr>
        <w:t>} + {LR</w:t>
      </w:r>
      <w:r w:rsidRPr="00CF219D">
        <w:rPr>
          <w:rFonts w:ascii="Times New Roman" w:hAnsi="Times New Roman"/>
        </w:rPr>
        <w:t>4</w:t>
      </w:r>
      <w:r>
        <w:rPr>
          <w:rFonts w:ascii="Times New Roman" w:hAnsi="Times New Roman"/>
        </w:rPr>
        <w:t>;</w:t>
      </w:r>
      <w:r w:rsidRPr="00CF219D">
        <w:rPr>
          <w:rFonts w:ascii="Times New Roman" w:hAnsi="Times New Roman"/>
        </w:rPr>
        <w:t>280</w:t>
      </w:r>
      <w:r>
        <w:rPr>
          <w:rFonts w:ascii="Times New Roman" w:hAnsi="Times New Roman"/>
        </w:rPr>
        <w:t>;</w:t>
      </w:r>
      <w:r w:rsidRPr="00CF219D">
        <w:rPr>
          <w:rFonts w:ascii="Times New Roman" w:hAnsi="Times New Roman"/>
        </w:rPr>
        <w:t>020</w:t>
      </w:r>
      <w:r>
        <w:rPr>
          <w:rFonts w:ascii="Times New Roman" w:hAnsi="Times New Roman"/>
        </w:rPr>
        <w:t>} + {LR</w:t>
      </w:r>
      <w:r w:rsidRPr="00CF219D">
        <w:rPr>
          <w:rFonts w:ascii="Times New Roman" w:hAnsi="Times New Roman"/>
        </w:rPr>
        <w:t>4</w:t>
      </w:r>
      <w:r>
        <w:rPr>
          <w:rFonts w:ascii="Times New Roman" w:hAnsi="Times New Roman"/>
        </w:rPr>
        <w:t>;</w:t>
      </w:r>
      <w:r w:rsidRPr="00CF219D">
        <w:rPr>
          <w:rFonts w:ascii="Times New Roman" w:hAnsi="Times New Roman"/>
        </w:rPr>
        <w:t>290</w:t>
      </w:r>
      <w:r>
        <w:rPr>
          <w:rFonts w:ascii="Times New Roman" w:hAnsi="Times New Roman"/>
        </w:rPr>
        <w:t>;</w:t>
      </w:r>
      <w:r w:rsidRPr="00CF219D">
        <w:rPr>
          <w:rFonts w:ascii="Times New Roman" w:hAnsi="Times New Roman"/>
        </w:rPr>
        <w:t>010</w:t>
      </w:r>
      <w:r>
        <w:rPr>
          <w:rFonts w:ascii="Times New Roman" w:hAnsi="Times New Roman"/>
        </w:rPr>
        <w:t>} + {LR</w:t>
      </w:r>
      <w:r w:rsidRPr="00CF219D">
        <w:rPr>
          <w:rFonts w:ascii="Times New Roman" w:hAnsi="Times New Roman"/>
        </w:rPr>
        <w:t>4</w:t>
      </w:r>
      <w:r>
        <w:rPr>
          <w:rFonts w:ascii="Times New Roman" w:hAnsi="Times New Roman"/>
        </w:rPr>
        <w:t>;</w:t>
      </w:r>
      <w:r w:rsidRPr="00CF219D">
        <w:rPr>
          <w:rFonts w:ascii="Times New Roman" w:hAnsi="Times New Roman"/>
        </w:rPr>
        <w:t>290</w:t>
      </w:r>
      <w:r>
        <w:rPr>
          <w:rFonts w:ascii="Times New Roman" w:hAnsi="Times New Roman"/>
        </w:rPr>
        <w:t>;</w:t>
      </w:r>
      <w:r w:rsidRPr="00CF219D">
        <w:rPr>
          <w:rFonts w:ascii="Times New Roman" w:hAnsi="Times New Roman"/>
        </w:rPr>
        <w:t>020</w:t>
      </w:r>
      <w:r>
        <w:rPr>
          <w:rFonts w:ascii="Times New Roman" w:hAnsi="Times New Roman"/>
        </w:rPr>
        <w:t>}].</w:t>
      </w:r>
    </w:p>
    <w:p w:rsidR="000A7BCD" w:rsidRDefault="000A7BCD">
      <w:pPr>
        <w:rPr>
          <w:rFonts w:ascii="Times New Roman" w:hAnsi="Times New Roman"/>
          <w:sz w:val="20"/>
        </w:rPr>
      </w:pPr>
      <w:r>
        <w:rPr>
          <w:rFonts w:ascii="Times New Roman" w:hAnsi="Times New Roman"/>
        </w:rPr>
        <w:br w:type="page"/>
      </w:r>
    </w:p>
    <w:p w:rsidR="00675587" w:rsidRPr="00FE002E" w:rsidRDefault="00675587" w:rsidP="00675587">
      <w:pPr>
        <w:pStyle w:val="BodyText1"/>
        <w:rPr>
          <w:rFonts w:ascii="Times New Roman" w:hAnsi="Times New Roman"/>
        </w:rPr>
      </w:pPr>
    </w:p>
    <w:tbl>
      <w:tblPr>
        <w:tblW w:w="9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111"/>
        <w:gridCol w:w="8133"/>
      </w:tblGrid>
      <w:tr w:rsidR="00F4754B" w:rsidRPr="00FE002E" w:rsidTr="0053335C">
        <w:trPr>
          <w:trHeight w:val="297"/>
        </w:trPr>
        <w:tc>
          <w:tcPr>
            <w:tcW w:w="1111" w:type="dxa"/>
            <w:shd w:val="clear" w:color="auto" w:fill="BFBFBF" w:themeFill="background1" w:themeFillShade="BF"/>
          </w:tcPr>
          <w:p w:rsidR="00F4754B" w:rsidRPr="00FE002E" w:rsidRDefault="00F4754B" w:rsidP="00F4754B">
            <w:pPr>
              <w:pStyle w:val="BodyText1"/>
              <w:rPr>
                <w:rFonts w:ascii="Times New Roman" w:hAnsi="Times New Roman"/>
                <w:b/>
                <w:bCs/>
                <w:i/>
              </w:rPr>
            </w:pPr>
            <w:r>
              <w:rPr>
                <w:rFonts w:ascii="Times New Roman" w:hAnsi="Times New Roman"/>
                <w:b/>
              </w:rPr>
              <w:t>Rij en kolom</w:t>
            </w:r>
          </w:p>
        </w:tc>
        <w:tc>
          <w:tcPr>
            <w:tcW w:w="8133" w:type="dxa"/>
            <w:shd w:val="clear" w:color="auto" w:fill="BFBFBF" w:themeFill="background1" w:themeFillShade="BF"/>
          </w:tcPr>
          <w:p w:rsidR="00F4754B" w:rsidRPr="00FE002E" w:rsidRDefault="00F4754B" w:rsidP="00F4754B">
            <w:pPr>
              <w:pStyle w:val="BodyText1"/>
              <w:rPr>
                <w:rFonts w:ascii="Times New Roman" w:hAnsi="Times New Roman"/>
                <w:b/>
                <w:bCs/>
                <w:i/>
              </w:rPr>
            </w:pPr>
            <w:r>
              <w:rPr>
                <w:rFonts w:ascii="Times New Roman" w:hAnsi="Times New Roman"/>
                <w:b/>
              </w:rPr>
              <w:t>Verwijzingen naar wetgeving en instructies</w:t>
            </w:r>
          </w:p>
        </w:tc>
      </w:tr>
      <w:tr w:rsidR="00F4754B" w:rsidRPr="00FE002E" w:rsidTr="0053335C">
        <w:trPr>
          <w:trHeight w:val="445"/>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CF219D">
              <w:rPr>
                <w:rFonts w:ascii="Times New Roman" w:hAnsi="Times New Roman"/>
              </w:rPr>
              <w:t>010</w:t>
            </w:r>
            <w:r>
              <w:rPr>
                <w:rFonts w:ascii="Times New Roman" w:hAnsi="Times New Roman"/>
              </w:rPr>
              <w:t>;</w:t>
            </w:r>
            <w:r w:rsidRPr="00CF219D">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Posten buiten de balanstelling; waarvan – Blootstellingswaarde voor de berekening van de hefboomratio</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De blootstellingswaarde van de hefboomratio berekend als de som van {LRCalc;</w:t>
            </w:r>
            <w:r w:rsidRPr="00CF219D">
              <w:rPr>
                <w:rFonts w:ascii="Times New Roman" w:hAnsi="Times New Roman"/>
              </w:rPr>
              <w:t>150</w:t>
            </w:r>
            <w:r>
              <w:rPr>
                <w:rFonts w:ascii="Times New Roman" w:hAnsi="Times New Roman"/>
              </w:rPr>
              <w:t>;</w:t>
            </w:r>
            <w:r w:rsidRPr="00CF219D">
              <w:rPr>
                <w:rFonts w:ascii="Times New Roman" w:hAnsi="Times New Roman"/>
              </w:rPr>
              <w:t>010</w:t>
            </w:r>
            <w:r>
              <w:rPr>
                <w:rFonts w:ascii="Times New Roman" w:hAnsi="Times New Roman"/>
              </w:rPr>
              <w:t>}, {LRCalc;</w:t>
            </w:r>
            <w:r w:rsidRPr="00CF219D">
              <w:rPr>
                <w:rFonts w:ascii="Times New Roman" w:hAnsi="Times New Roman"/>
              </w:rPr>
              <w:t>160</w:t>
            </w:r>
            <w:r>
              <w:rPr>
                <w:rFonts w:ascii="Times New Roman" w:hAnsi="Times New Roman"/>
              </w:rPr>
              <w:t>;</w:t>
            </w:r>
            <w:r w:rsidRPr="00CF219D">
              <w:rPr>
                <w:rFonts w:ascii="Times New Roman" w:hAnsi="Times New Roman"/>
              </w:rPr>
              <w:t>010</w:t>
            </w:r>
            <w:r>
              <w:rPr>
                <w:rFonts w:ascii="Times New Roman" w:hAnsi="Times New Roman"/>
              </w:rPr>
              <w:t>}, {LRCalc;</w:t>
            </w:r>
            <w:r w:rsidRPr="00CF219D">
              <w:rPr>
                <w:rFonts w:ascii="Times New Roman" w:hAnsi="Times New Roman"/>
              </w:rPr>
              <w:t>170</w:t>
            </w:r>
            <w:r>
              <w:rPr>
                <w:rFonts w:ascii="Times New Roman" w:hAnsi="Times New Roman"/>
              </w:rPr>
              <w:t>;</w:t>
            </w:r>
            <w:r w:rsidRPr="00CF219D">
              <w:rPr>
                <w:rFonts w:ascii="Times New Roman" w:hAnsi="Times New Roman"/>
              </w:rPr>
              <w:t>010</w:t>
            </w:r>
            <w:r>
              <w:rPr>
                <w:rFonts w:ascii="Times New Roman" w:hAnsi="Times New Roman"/>
              </w:rPr>
              <w:t>} en {LRCalc;</w:t>
            </w:r>
            <w:r w:rsidRPr="00CF219D">
              <w:rPr>
                <w:rFonts w:ascii="Times New Roman" w:hAnsi="Times New Roman"/>
              </w:rPr>
              <w:t>180</w:t>
            </w:r>
            <w:r>
              <w:rPr>
                <w:rFonts w:ascii="Times New Roman" w:hAnsi="Times New Roman"/>
              </w:rPr>
              <w:t>;</w:t>
            </w:r>
            <w:r w:rsidRPr="00CF219D">
              <w:rPr>
                <w:rFonts w:ascii="Times New Roman" w:hAnsi="Times New Roman"/>
              </w:rPr>
              <w:t>010</w:t>
            </w:r>
            <w:r>
              <w:rPr>
                <w:rFonts w:ascii="Times New Roman" w:hAnsi="Times New Roman"/>
              </w:rPr>
              <w:t>} met uitzondering van de respectieve intragroepblootstellingen (solobasis) uitgesloten in overeenstemming met artikel </w:t>
            </w:r>
            <w:r w:rsidRPr="00CF219D">
              <w:rPr>
                <w:rFonts w:ascii="Times New Roman" w:hAnsi="Times New Roman"/>
              </w:rPr>
              <w:t>429</w:t>
            </w:r>
            <w:r>
              <w:rPr>
                <w:rFonts w:ascii="Times New Roman" w:hAnsi="Times New Roman"/>
              </w:rPr>
              <w:t>, lid </w:t>
            </w:r>
            <w:r w:rsidRPr="00CF219D">
              <w:rPr>
                <w:rFonts w:ascii="Times New Roman" w:hAnsi="Times New Roman"/>
              </w:rPr>
              <w:t>7</w:t>
            </w:r>
            <w:r>
              <w:rPr>
                <w:rFonts w:ascii="Times New Roman" w:hAnsi="Times New Roman"/>
              </w:rPr>
              <w:t>, van de VKV.</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1179"/>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CF219D">
              <w:rPr>
                <w:rFonts w:ascii="Times New Roman" w:hAnsi="Times New Roman"/>
              </w:rPr>
              <w:t>010</w:t>
            </w:r>
            <w:r>
              <w:rPr>
                <w:rFonts w:ascii="Times New Roman" w:hAnsi="Times New Roman"/>
              </w:rPr>
              <w:t>;</w:t>
            </w:r>
            <w:r w:rsidRPr="00CF219D">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Posten buiten de balanstelling; waarvan – Risicogewogen activa</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 risicogewogen posten buiten de balanstelling — exclusief SFT's en derivaten — volgens de standaardbenadering en de interneratingbenadering. Voor blootstellingen volgens de standaardbenadering bepalen instellingen de risicogewogen post overeenkomstig deel drie, titel II, hoofdstuk </w:t>
            </w:r>
            <w:r w:rsidRPr="00CF219D">
              <w:rPr>
                <w:rFonts w:ascii="Times New Roman" w:hAnsi="Times New Roman"/>
              </w:rPr>
              <w:t>2</w:t>
            </w:r>
            <w:r>
              <w:rPr>
                <w:rFonts w:ascii="Times New Roman" w:hAnsi="Times New Roman"/>
              </w:rPr>
              <w:t xml:space="preserve">, van de VKV. Voor blootstellingen volgens de interneratingbenadering bepalen instellingen de risicogewogen post overeenkomstig deel drie, titel II, hoofdstuk </w:t>
            </w:r>
            <w:r w:rsidRPr="00CF219D">
              <w:rPr>
                <w:rFonts w:ascii="Times New Roman" w:hAnsi="Times New Roman"/>
              </w:rPr>
              <w:t>3</w:t>
            </w:r>
            <w:r>
              <w:rPr>
                <w:rFonts w:ascii="Times New Roman" w:hAnsi="Times New Roman"/>
              </w:rPr>
              <w:t>, van de VKV.</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4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CF219D">
              <w:rPr>
                <w:rFonts w:ascii="Times New Roman" w:hAnsi="Times New Roman"/>
              </w:rPr>
              <w:t>020</w:t>
            </w:r>
            <w:r>
              <w:rPr>
                <w:rFonts w:ascii="Times New Roman" w:hAnsi="Times New Roman"/>
              </w:rPr>
              <w:t>;</w:t>
            </w:r>
            <w:r w:rsidRPr="00CF219D">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Handelsfinanciering; waarvan – Blootstellingswaarde voor de berekening van de hefboomratio</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De blootstellingswaarde voor de berekening van de hefboomratio van aan handelsfinanciering gerelateerde posten buiten de balanstelling. Voor de rapportage in LR</w:t>
            </w:r>
            <w:r w:rsidRPr="00CF219D">
              <w:rPr>
                <w:rFonts w:ascii="Times New Roman" w:hAnsi="Times New Roman"/>
              </w:rPr>
              <w:t>4</w:t>
            </w:r>
            <w:r>
              <w:rPr>
                <w:rFonts w:ascii="Times New Roman" w:hAnsi="Times New Roman"/>
              </w:rPr>
              <w:t xml:space="preserve"> houden de aan handelsfinanciering gerelateerde posten buiten de balanstelling verband met verstrekte en geconfirmeerde, kortlopende en zelfliquiderende documentaire kredieten voor in- en uitvoer, en soortgelijke transacties.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1038"/>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CF219D">
              <w:rPr>
                <w:rFonts w:ascii="Times New Roman" w:hAnsi="Times New Roman"/>
              </w:rPr>
              <w:t>020</w:t>
            </w:r>
            <w:r>
              <w:rPr>
                <w:rFonts w:ascii="Times New Roman" w:hAnsi="Times New Roman"/>
              </w:rPr>
              <w:t>;</w:t>
            </w:r>
            <w:r w:rsidRPr="00CF219D">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Handelsfinanciering; waarvan – Risicogewogen activa </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De risicogewogen, aan handelsfinanciering gerelateerde posten buiten de balanstelling, exclusief SFT's en derivaten. Voor de rapportage in LR</w:t>
            </w:r>
            <w:r w:rsidRPr="00CF219D">
              <w:rPr>
                <w:rFonts w:ascii="Times New Roman" w:hAnsi="Times New Roman"/>
              </w:rPr>
              <w:t>4</w:t>
            </w:r>
            <w:r>
              <w:rPr>
                <w:rFonts w:ascii="Times New Roman" w:hAnsi="Times New Roman"/>
              </w:rPr>
              <w:t xml:space="preserve"> houden de aan handelsfinanciering gerelateerde posten buiten de balanstelling verband met verstrekte en geconfirmeerde, kortlopende en zelfliquiderende documentaire kredieten voor in- en uitvoer, en soortgelijke transacties.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1030"/>
        </w:trPr>
        <w:tc>
          <w:tcPr>
            <w:tcW w:w="1111" w:type="dxa"/>
            <w:shd w:val="clear" w:color="auto" w:fill="FFFFFF"/>
          </w:tcPr>
          <w:p w:rsidR="00F4754B" w:rsidRPr="00FE002E" w:rsidRDefault="00F4754B" w:rsidP="00F4754B">
            <w:pPr>
              <w:pStyle w:val="BodyText1"/>
              <w:rPr>
                <w:rFonts w:ascii="Times New Roman" w:hAnsi="Times New Roman"/>
                <w:bCs/>
              </w:rPr>
            </w:pPr>
            <w:r>
              <w:rPr>
                <w:rFonts w:ascii="Times New Roman" w:hAnsi="Times New Roman"/>
              </w:rPr>
              <w:t>{</w:t>
            </w:r>
            <w:r w:rsidRPr="00CF219D">
              <w:rPr>
                <w:rFonts w:ascii="Times New Roman" w:hAnsi="Times New Roman"/>
              </w:rPr>
              <w:t>030</w:t>
            </w:r>
            <w:r>
              <w:rPr>
                <w:rFonts w:ascii="Times New Roman" w:hAnsi="Times New Roman"/>
              </w:rPr>
              <w:t>;</w:t>
            </w:r>
            <w:r w:rsidRPr="00CF219D">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In het kader van een officiële exportkredietverzekeringsregeling — Blootstellingswaarde voor de berekening van de hefboomratio</w:t>
            </w:r>
          </w:p>
          <w:p w:rsidR="002509B1" w:rsidRPr="00FE002E" w:rsidRDefault="002509B1" w:rsidP="007E2A41">
            <w:pPr>
              <w:pStyle w:val="BodyText1"/>
              <w:spacing w:line="240" w:lineRule="auto"/>
              <w:rPr>
                <w:rFonts w:ascii="Times New Roman" w:hAnsi="Times New Roman"/>
                <w:b/>
                <w:bCs/>
              </w:rPr>
            </w:pPr>
          </w:p>
          <w:p w:rsidR="001F28E7" w:rsidRDefault="00F4754B" w:rsidP="007E2A41">
            <w:pPr>
              <w:pStyle w:val="BodyText1"/>
              <w:spacing w:line="240" w:lineRule="auto"/>
              <w:rPr>
                <w:rFonts w:ascii="Times New Roman" w:hAnsi="Times New Roman"/>
              </w:rPr>
            </w:pPr>
            <w:r>
              <w:rPr>
                <w:rFonts w:ascii="Times New Roman" w:hAnsi="Times New Roman"/>
              </w:rPr>
              <w:t>De blootstellingswaarde voor de berekening van de hefboomratio van aan handelsfinanciering gerelateerde posten buiten de balanstelling in het kader van een officiële exportkredietverzekeringsregeling.</w:t>
            </w:r>
          </w:p>
          <w:p w:rsidR="001F28E7" w:rsidRDefault="001F28E7"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Voor de rapportage in LR</w:t>
            </w:r>
            <w:r w:rsidRPr="00CF219D">
              <w:rPr>
                <w:rFonts w:ascii="Times New Roman" w:hAnsi="Times New Roman"/>
              </w:rPr>
              <w:t>4</w:t>
            </w:r>
            <w:r>
              <w:rPr>
                <w:rFonts w:ascii="Times New Roman" w:hAnsi="Times New Roman"/>
              </w:rPr>
              <w:t xml:space="preserve"> houdt een officiële exportkredietverzekeringsregeling verband met officiële ondersteuning, door de overheid of een andere entiteit zoals een exportkredietverzekeringsinstelling, in de vorm van onder meer rechtstreekse kredieten/financiering, herfinanciering, renteondersteuning (waarbij gedurende de gehele looptijd van het krediet een vaste rente wordt gegarandeerd), steunfinanciering (kredieten en subsidies), alsook exportkredietverzekering en -garanties.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601"/>
        </w:trPr>
        <w:tc>
          <w:tcPr>
            <w:tcW w:w="1111" w:type="dxa"/>
            <w:shd w:val="clear" w:color="auto" w:fill="FFFFFF"/>
          </w:tcPr>
          <w:p w:rsidR="00F4754B" w:rsidRPr="00FE002E" w:rsidRDefault="00F4754B" w:rsidP="00F4754B">
            <w:pPr>
              <w:pStyle w:val="BodyText1"/>
              <w:rPr>
                <w:rFonts w:ascii="Times New Roman" w:hAnsi="Times New Roman"/>
                <w:bCs/>
              </w:rPr>
            </w:pPr>
            <w:r>
              <w:rPr>
                <w:rFonts w:ascii="Times New Roman" w:hAnsi="Times New Roman"/>
              </w:rPr>
              <w:t>{</w:t>
            </w:r>
            <w:r w:rsidRPr="00CF219D">
              <w:rPr>
                <w:rFonts w:ascii="Times New Roman" w:hAnsi="Times New Roman"/>
              </w:rPr>
              <w:t>030</w:t>
            </w:r>
            <w:r>
              <w:rPr>
                <w:rFonts w:ascii="Times New Roman" w:hAnsi="Times New Roman"/>
              </w:rPr>
              <w:t>;</w:t>
            </w:r>
            <w:r w:rsidRPr="00CF219D">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In het kader van een officiële exportkredietverzekeringsregeling — Risicogewogen activa</w:t>
            </w:r>
          </w:p>
          <w:p w:rsidR="002509B1" w:rsidRPr="00FE002E" w:rsidRDefault="002509B1" w:rsidP="007E2A41">
            <w:pPr>
              <w:pStyle w:val="BodyText1"/>
              <w:spacing w:line="240" w:lineRule="auto"/>
              <w:rPr>
                <w:rFonts w:ascii="Times New Roman" w:hAnsi="Times New Roman"/>
                <w:b/>
                <w:bCs/>
              </w:rPr>
            </w:pPr>
          </w:p>
          <w:p w:rsidR="001F28E7" w:rsidRDefault="00F4754B" w:rsidP="007E2A41">
            <w:pPr>
              <w:pStyle w:val="BodyText1"/>
              <w:spacing w:line="240" w:lineRule="auto"/>
              <w:rPr>
                <w:rFonts w:ascii="Times New Roman" w:hAnsi="Times New Roman"/>
              </w:rPr>
            </w:pPr>
            <w:r>
              <w:rPr>
                <w:rFonts w:ascii="Times New Roman" w:hAnsi="Times New Roman"/>
              </w:rPr>
              <w:t>De risicogewogen, aan handelsfinanciering gerelateerde posten buiten de balanstelling — exclusief SFT's en derivaten — in het kader van een officiële exportkredietverzekeringsregeling.</w:t>
            </w:r>
          </w:p>
          <w:p w:rsidR="001F28E7" w:rsidRDefault="001F28E7"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Voor de rapportage in LR</w:t>
            </w:r>
            <w:r w:rsidRPr="00CF219D">
              <w:rPr>
                <w:rFonts w:ascii="Times New Roman" w:hAnsi="Times New Roman"/>
              </w:rPr>
              <w:t>4</w:t>
            </w:r>
            <w:r>
              <w:rPr>
                <w:rFonts w:ascii="Times New Roman" w:hAnsi="Times New Roman"/>
              </w:rPr>
              <w:t xml:space="preserve"> houdt een officiële exportkredietverzekeringsregeling verband met officiële ondersteuning, door de overheid of een andere entiteit zoals een exportkredietverzekeringsinstelling, in de vorm van onder meer rechtstreekse kredieten/financiering, herfinanciering, renteondersteuning (waarbij gedurende de gehele looptijd </w:t>
            </w:r>
            <w:r>
              <w:rPr>
                <w:rFonts w:ascii="Times New Roman" w:hAnsi="Times New Roman"/>
              </w:rPr>
              <w:lastRenderedPageBreak/>
              <w:t xml:space="preserve">van het krediet een vaste rente wordt gegarandeerd), steunfinanciering (kredieten en subsidies), alsook exportkredietverzekering en -garanties.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w:t>
            </w:r>
            <w:r w:rsidRPr="00CF219D">
              <w:rPr>
                <w:rFonts w:ascii="Times New Roman" w:hAnsi="Times New Roman"/>
              </w:rPr>
              <w:t>040</w:t>
            </w:r>
            <w:r>
              <w:rPr>
                <w:rFonts w:ascii="Times New Roman" w:hAnsi="Times New Roman"/>
              </w:rPr>
              <w:t>;</w:t>
            </w:r>
            <w:r w:rsidRPr="00CF219D">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Derivaten en SFT's die onderworpen zijn aan een overeenkomst inzake productoverschrijdende verrekening — Blootstellingswaarde voor de berekening van de hefboomratio</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 blootstellingswaarde voor de berekening van de hefboomratio van derivaten en SFT's, indien deze onderworpen zijn aan een overeenkomst inzake productoverschrijdende verrekening als omschreven in artikel </w:t>
            </w:r>
            <w:r w:rsidRPr="00CF219D">
              <w:rPr>
                <w:rFonts w:ascii="Times New Roman" w:hAnsi="Times New Roman"/>
              </w:rPr>
              <w:t>272</w:t>
            </w:r>
            <w:r>
              <w:rPr>
                <w:rFonts w:ascii="Times New Roman" w:hAnsi="Times New Roman"/>
              </w:rPr>
              <w:t xml:space="preserve">, punt </w:t>
            </w:r>
            <w:r w:rsidRPr="00CF219D">
              <w:rPr>
                <w:rFonts w:ascii="Times New Roman" w:hAnsi="Times New Roman"/>
              </w:rPr>
              <w:t>25</w:t>
            </w:r>
            <w:r>
              <w:rPr>
                <w:rFonts w:ascii="Times New Roman" w:hAnsi="Times New Roman"/>
              </w:rPr>
              <w:t>, van de VKV.</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w:t>
            </w:r>
            <w:r w:rsidRPr="00CF219D">
              <w:rPr>
                <w:rFonts w:ascii="Times New Roman" w:hAnsi="Times New Roman"/>
              </w:rPr>
              <w:t>040</w:t>
            </w:r>
            <w:r>
              <w:rPr>
                <w:rFonts w:ascii="Times New Roman" w:hAnsi="Times New Roman"/>
              </w:rPr>
              <w:t>;</w:t>
            </w:r>
            <w:r w:rsidRPr="00CF219D">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Derivaten en SFT's die onderworpen zijn aan een overeenkomst inzake productoverschrijdende verrekening — Risicogewogen activa</w:t>
            </w:r>
          </w:p>
          <w:p w:rsidR="002509B1" w:rsidRPr="00FE002E" w:rsidRDefault="002509B1" w:rsidP="007E2A41">
            <w:pPr>
              <w:pStyle w:val="BodyText1"/>
              <w:spacing w:line="240" w:lineRule="auto"/>
              <w:rPr>
                <w:rFonts w:ascii="Times New Roman" w:hAnsi="Times New Roman"/>
                <w:b/>
                <w:bCs/>
              </w:rPr>
            </w:pPr>
          </w:p>
          <w:p w:rsidR="002509B1" w:rsidRPr="00FE002E" w:rsidRDefault="00F4754B" w:rsidP="007E2A41">
            <w:pPr>
              <w:pStyle w:val="BodyText1"/>
              <w:spacing w:line="240" w:lineRule="auto"/>
              <w:rPr>
                <w:rFonts w:ascii="Times New Roman" w:hAnsi="Times New Roman"/>
                <w:bCs/>
              </w:rPr>
            </w:pPr>
            <w:r>
              <w:rPr>
                <w:rFonts w:ascii="Times New Roman" w:hAnsi="Times New Roman"/>
              </w:rPr>
              <w:t>De risicogewogen posten voor blootstelling aan krediet- en tegenpartijkredietrisico uit hoofde van derivaten en SFT's, berekend overeenkomstig deel drie, titel II, van de VKV, inclusief posten buiten de balanstelling, indien deze onderworpen zijn aan een overeenkomst inzake productoverschrijdende verrekening als omschreven in artikel </w:t>
            </w:r>
            <w:r w:rsidRPr="00CF219D">
              <w:rPr>
                <w:rFonts w:ascii="Times New Roman" w:hAnsi="Times New Roman"/>
              </w:rPr>
              <w:t>272</w:t>
            </w:r>
            <w:r>
              <w:rPr>
                <w:rFonts w:ascii="Times New Roman" w:hAnsi="Times New Roman"/>
              </w:rPr>
              <w:t xml:space="preserve">, punt </w:t>
            </w:r>
            <w:r w:rsidRPr="00CF219D">
              <w:rPr>
                <w:rFonts w:ascii="Times New Roman" w:hAnsi="Times New Roman"/>
              </w:rPr>
              <w:t>25</w:t>
            </w:r>
            <w:r>
              <w:rPr>
                <w:rFonts w:ascii="Times New Roman" w:hAnsi="Times New Roman"/>
              </w:rPr>
              <w:t>, van de VKV.</w:t>
            </w:r>
          </w:p>
          <w:p w:rsidR="00F4754B" w:rsidRPr="00FE002E" w:rsidRDefault="00F4754B"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w:t>
            </w:r>
            <w:r w:rsidRPr="00CF219D">
              <w:rPr>
                <w:rFonts w:ascii="Times New Roman" w:hAnsi="Times New Roman"/>
              </w:rPr>
              <w:t>050</w:t>
            </w:r>
            <w:r>
              <w:rPr>
                <w:rFonts w:ascii="Times New Roman" w:hAnsi="Times New Roman"/>
              </w:rPr>
              <w:t>;</w:t>
            </w:r>
            <w:r w:rsidRPr="00CF219D">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Derivaten die niet onderworpen zijn aan een overeenkomst inzake productoverschrijdende verrekening — Blootstellingswaarde voor de berekening van de hefboomratio</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 blootstellingswaarde voor de berekening van de hefboomratio van derivaten, indien deze </w:t>
            </w:r>
            <w:r>
              <w:rPr>
                <w:rFonts w:ascii="Times New Roman" w:hAnsi="Times New Roman"/>
                <w:b/>
                <w:u w:val="single"/>
              </w:rPr>
              <w:t>niet</w:t>
            </w:r>
            <w:r>
              <w:rPr>
                <w:rFonts w:ascii="Times New Roman" w:hAnsi="Times New Roman"/>
              </w:rPr>
              <w:t xml:space="preserve"> onderworpen zijn aan een overeenkomst inzake productoverschrijdende verrekening als omschreven in artikel </w:t>
            </w:r>
            <w:r w:rsidRPr="00CF219D">
              <w:rPr>
                <w:rFonts w:ascii="Times New Roman" w:hAnsi="Times New Roman"/>
              </w:rPr>
              <w:t>272</w:t>
            </w:r>
            <w:r>
              <w:rPr>
                <w:rFonts w:ascii="Times New Roman" w:hAnsi="Times New Roman"/>
              </w:rPr>
              <w:t>, punt </w:t>
            </w:r>
            <w:r w:rsidRPr="00CF219D">
              <w:rPr>
                <w:rFonts w:ascii="Times New Roman" w:hAnsi="Times New Roman"/>
              </w:rPr>
              <w:t>25</w:t>
            </w:r>
            <w:r>
              <w:rPr>
                <w:rFonts w:ascii="Times New Roman" w:hAnsi="Times New Roman"/>
              </w:rPr>
              <w:t>, van de VKV.</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w:t>
            </w:r>
            <w:r w:rsidRPr="00CF219D">
              <w:rPr>
                <w:rFonts w:ascii="Times New Roman" w:hAnsi="Times New Roman"/>
              </w:rPr>
              <w:t>050</w:t>
            </w:r>
            <w:r>
              <w:rPr>
                <w:rFonts w:ascii="Times New Roman" w:hAnsi="Times New Roman"/>
              </w:rPr>
              <w:t>;</w:t>
            </w:r>
            <w:r w:rsidRPr="00CF219D">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Derivaten die niet onderworpen zijn aan een overeenkomst inzake productoverschrijdende verrekening — Risicogewogen activa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De risicogewogen posten voor blootstelling aan krediet- en tegenpartijkredietrisico uit hoofde van derivaten, berekend overeenkomstig deel drie, titel II, van de VKV, inclusief posten buiten de balanstelling, indien deze niet onderworpen zijn aan een overeenkomst inzake productoverschrijdende verrekening als omschreven in artikel </w:t>
            </w:r>
            <w:r w:rsidRPr="00CF219D">
              <w:rPr>
                <w:rFonts w:ascii="Times New Roman" w:hAnsi="Times New Roman"/>
              </w:rPr>
              <w:t>272</w:t>
            </w:r>
            <w:r>
              <w:rPr>
                <w:rFonts w:ascii="Times New Roman" w:hAnsi="Times New Roman"/>
              </w:rPr>
              <w:t>, punt </w:t>
            </w:r>
            <w:r w:rsidRPr="00CF219D">
              <w:rPr>
                <w:rFonts w:ascii="Times New Roman" w:hAnsi="Times New Roman"/>
              </w:rPr>
              <w:t>25</w:t>
            </w:r>
            <w:r>
              <w:rPr>
                <w:rFonts w:ascii="Times New Roman" w:hAnsi="Times New Roman"/>
              </w:rPr>
              <w:t xml:space="preserve">, van de VKV. </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w:t>
            </w:r>
            <w:r w:rsidRPr="00CF219D">
              <w:rPr>
                <w:rFonts w:ascii="Times New Roman" w:hAnsi="Times New Roman"/>
              </w:rPr>
              <w:t>060</w:t>
            </w:r>
            <w:r>
              <w:rPr>
                <w:rFonts w:ascii="Times New Roman" w:hAnsi="Times New Roman"/>
              </w:rPr>
              <w:t>;</w:t>
            </w:r>
            <w:r w:rsidRPr="00CF219D">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SFT's die niet onderworpen zijn aan een overeenkomst inzake productoverschrijdende verrekening — Blootstellingswaarde voor de berekening van de hefboomratio</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 blootstellingswaarde voor de berekening van de hefboomratio van blootstellingen uit hoofde van SFT's, indien deze </w:t>
            </w:r>
            <w:r>
              <w:rPr>
                <w:rFonts w:ascii="Times New Roman" w:hAnsi="Times New Roman"/>
                <w:b/>
                <w:u w:val="single"/>
              </w:rPr>
              <w:t>niet</w:t>
            </w:r>
            <w:r>
              <w:rPr>
                <w:rFonts w:ascii="Times New Roman" w:hAnsi="Times New Roman"/>
              </w:rPr>
              <w:t xml:space="preserve"> onderworpen zijn aan een overeenkomst inzake productoverschrijdende verrekening als omschreven in artikel </w:t>
            </w:r>
            <w:r w:rsidRPr="00CF219D">
              <w:rPr>
                <w:rFonts w:ascii="Times New Roman" w:hAnsi="Times New Roman"/>
              </w:rPr>
              <w:t>272</w:t>
            </w:r>
            <w:r>
              <w:rPr>
                <w:rFonts w:ascii="Times New Roman" w:hAnsi="Times New Roman"/>
              </w:rPr>
              <w:t>, punt </w:t>
            </w:r>
            <w:r w:rsidRPr="00CF219D">
              <w:rPr>
                <w:rFonts w:ascii="Times New Roman" w:hAnsi="Times New Roman"/>
              </w:rPr>
              <w:t>25</w:t>
            </w:r>
            <w:r>
              <w:rPr>
                <w:rFonts w:ascii="Times New Roman" w:hAnsi="Times New Roman"/>
              </w:rPr>
              <w:t>, van de VKV.</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w:t>
            </w:r>
            <w:r w:rsidRPr="00CF219D">
              <w:rPr>
                <w:rFonts w:ascii="Times New Roman" w:hAnsi="Times New Roman"/>
              </w:rPr>
              <w:t>060</w:t>
            </w:r>
            <w:r>
              <w:rPr>
                <w:rFonts w:ascii="Times New Roman" w:hAnsi="Times New Roman"/>
              </w:rPr>
              <w:t>;</w:t>
            </w:r>
            <w:r w:rsidRPr="00CF219D">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SFT's die niet onderworpen zijn aan een overeenkomst inzake productoverschrijdende verrekening — Risicogewogen activa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 risicogewogen posten voor blootstelling aan krediet- en tegenpartijkredietrisico uit hoofde van SFT's, berekend overeenkomstig deel </w:t>
            </w:r>
            <w:r w:rsidRPr="00CF219D">
              <w:rPr>
                <w:rFonts w:ascii="Times New Roman" w:hAnsi="Times New Roman"/>
              </w:rPr>
              <w:t>3</w:t>
            </w:r>
            <w:r>
              <w:rPr>
                <w:rFonts w:ascii="Times New Roman" w:hAnsi="Times New Roman"/>
              </w:rPr>
              <w:t xml:space="preserve">, titel II, van de VKV, inclusief posten buiten de balanstelling, indien deze </w:t>
            </w:r>
            <w:r>
              <w:rPr>
                <w:rFonts w:ascii="Times New Roman" w:hAnsi="Times New Roman"/>
                <w:b/>
                <w:u w:val="single"/>
              </w:rPr>
              <w:t>niet</w:t>
            </w:r>
            <w:r>
              <w:rPr>
                <w:rFonts w:ascii="Times New Roman" w:hAnsi="Times New Roman"/>
              </w:rPr>
              <w:t xml:space="preserve"> onderworpen zijn aan een overeenkomst inzake productoverschrijdende verrekening als omschreven in artikel </w:t>
            </w:r>
            <w:r w:rsidRPr="00CF219D">
              <w:rPr>
                <w:rFonts w:ascii="Times New Roman" w:hAnsi="Times New Roman"/>
              </w:rPr>
              <w:t>272</w:t>
            </w:r>
            <w:r>
              <w:rPr>
                <w:rFonts w:ascii="Times New Roman" w:hAnsi="Times New Roman"/>
              </w:rPr>
              <w:t>, punt </w:t>
            </w:r>
            <w:r w:rsidRPr="00CF219D">
              <w:rPr>
                <w:rFonts w:ascii="Times New Roman" w:hAnsi="Times New Roman"/>
              </w:rPr>
              <w:t>25</w:t>
            </w:r>
            <w:r>
              <w:rPr>
                <w:rFonts w:ascii="Times New Roman" w:hAnsi="Times New Roman"/>
              </w:rPr>
              <w:t xml:space="preserve">, van de VKV. </w:t>
            </w:r>
          </w:p>
          <w:p w:rsidR="002509B1" w:rsidRPr="00FE002E" w:rsidRDefault="002509B1" w:rsidP="007E2A41">
            <w:pPr>
              <w:pStyle w:val="BodyText1"/>
              <w:spacing w:line="240" w:lineRule="auto"/>
              <w:rPr>
                <w:rFonts w:ascii="Times New Roman" w:hAnsi="Times New Roman"/>
                <w:b/>
                <w:bCs/>
              </w:rPr>
            </w:pPr>
          </w:p>
        </w:tc>
      </w:tr>
      <w:tr w:rsidR="00465521" w:rsidRPr="00FE002E" w:rsidTr="0053335C">
        <w:trPr>
          <w:trHeight w:val="71"/>
        </w:trPr>
        <w:tc>
          <w:tcPr>
            <w:tcW w:w="1111" w:type="dxa"/>
            <w:shd w:val="clear" w:color="auto" w:fill="FFFFFF"/>
          </w:tcPr>
          <w:p w:rsidR="00465521" w:rsidRPr="00FE002E" w:rsidRDefault="00465521" w:rsidP="00F70A83">
            <w:pPr>
              <w:pStyle w:val="BodyText1"/>
              <w:rPr>
                <w:rFonts w:ascii="Times New Roman" w:hAnsi="Times New Roman"/>
                <w:bCs/>
              </w:rPr>
            </w:pPr>
            <w:r>
              <w:rPr>
                <w:rFonts w:ascii="Times New Roman" w:hAnsi="Times New Roman"/>
              </w:rPr>
              <w:t>{</w:t>
            </w:r>
            <w:r w:rsidRPr="00CF219D">
              <w:rPr>
                <w:rFonts w:ascii="Times New Roman" w:hAnsi="Times New Roman"/>
              </w:rPr>
              <w:t>065</w:t>
            </w:r>
            <w:r>
              <w:rPr>
                <w:rFonts w:ascii="Times New Roman" w:hAnsi="Times New Roman"/>
              </w:rPr>
              <w:t>;</w:t>
            </w:r>
            <w:r w:rsidRPr="00CF219D">
              <w:rPr>
                <w:rFonts w:ascii="Times New Roman" w:hAnsi="Times New Roman"/>
              </w:rPr>
              <w:t>010</w:t>
            </w:r>
            <w:r>
              <w:rPr>
                <w:rFonts w:ascii="Times New Roman" w:hAnsi="Times New Roman"/>
              </w:rPr>
              <w:t>}</w:t>
            </w:r>
          </w:p>
        </w:tc>
        <w:tc>
          <w:tcPr>
            <w:tcW w:w="8133" w:type="dxa"/>
            <w:shd w:val="clear" w:color="auto" w:fill="FFFFFF"/>
          </w:tcPr>
          <w:p w:rsidR="00465521" w:rsidRDefault="004968DF" w:rsidP="007E2A41">
            <w:pPr>
              <w:pStyle w:val="BodyText1"/>
              <w:spacing w:line="240" w:lineRule="auto"/>
              <w:rPr>
                <w:rFonts w:ascii="Times New Roman" w:hAnsi="Times New Roman"/>
                <w:b/>
                <w:bCs/>
              </w:rPr>
            </w:pPr>
            <w:r>
              <w:rPr>
                <w:rFonts w:ascii="Times New Roman" w:hAnsi="Times New Roman"/>
                <w:b/>
              </w:rPr>
              <w:t>Uit de verdere behandeling voortvloeiende risicoposten voor kredietderivaten — Blootstellingswaarde voor de berekening van de hefboomratio</w:t>
            </w:r>
          </w:p>
          <w:p w:rsidR="004968DF" w:rsidRDefault="004968DF" w:rsidP="007E2A41">
            <w:pPr>
              <w:pStyle w:val="BodyText1"/>
              <w:spacing w:line="240" w:lineRule="auto"/>
              <w:rPr>
                <w:rFonts w:ascii="Times New Roman" w:hAnsi="Times New Roman"/>
                <w:b/>
                <w:bCs/>
              </w:rPr>
            </w:pPr>
          </w:p>
          <w:p w:rsidR="004968DF" w:rsidRDefault="000D3973" w:rsidP="00DB61A5">
            <w:pPr>
              <w:pStyle w:val="BodyText1"/>
              <w:spacing w:line="240" w:lineRule="auto"/>
              <w:rPr>
                <w:rFonts w:ascii="Times New Roman" w:hAnsi="Times New Roman"/>
                <w:b/>
                <w:bCs/>
              </w:rPr>
            </w:pPr>
            <w:r>
              <w:rPr>
                <w:rFonts w:ascii="Times New Roman" w:hAnsi="Times New Roman"/>
              </w:rPr>
              <w:t>Deze cel is gelijk aan het verschil tussen {LRCalc;</w:t>
            </w:r>
            <w:r w:rsidRPr="00CF219D">
              <w:rPr>
                <w:rFonts w:ascii="Times New Roman" w:hAnsi="Times New Roman"/>
              </w:rPr>
              <w:t>130</w:t>
            </w:r>
            <w:r>
              <w:rPr>
                <w:rFonts w:ascii="Times New Roman" w:hAnsi="Times New Roman"/>
              </w:rPr>
              <w:t>;</w:t>
            </w:r>
            <w:r w:rsidRPr="00CF219D">
              <w:rPr>
                <w:rFonts w:ascii="Times New Roman" w:hAnsi="Times New Roman"/>
              </w:rPr>
              <w:t>010</w:t>
            </w:r>
            <w:r>
              <w:rPr>
                <w:rFonts w:ascii="Times New Roman" w:hAnsi="Times New Roman"/>
              </w:rPr>
              <w:t>} en {LRCalc;</w:t>
            </w:r>
            <w:r w:rsidRPr="00CF219D">
              <w:rPr>
                <w:rFonts w:ascii="Times New Roman" w:hAnsi="Times New Roman"/>
              </w:rPr>
              <w:t>140</w:t>
            </w:r>
            <w:r>
              <w:rPr>
                <w:rFonts w:ascii="Times New Roman" w:hAnsi="Times New Roman"/>
              </w:rPr>
              <w:t>;</w:t>
            </w:r>
            <w:r w:rsidRPr="00CF219D">
              <w:rPr>
                <w:rFonts w:ascii="Times New Roman" w:hAnsi="Times New Roman"/>
              </w:rPr>
              <w:t>010</w:t>
            </w:r>
            <w:r>
              <w:rPr>
                <w:rFonts w:ascii="Times New Roman" w:hAnsi="Times New Roman"/>
              </w:rPr>
              <w:t>} met uitzondering van de respectieve intragroepblootstellingen (solobasis) uitgesloten in overeenstemming met artikel </w:t>
            </w:r>
            <w:r w:rsidRPr="00CF219D">
              <w:rPr>
                <w:rFonts w:ascii="Times New Roman" w:hAnsi="Times New Roman"/>
              </w:rPr>
              <w:t>429</w:t>
            </w:r>
            <w:r>
              <w:rPr>
                <w:rFonts w:ascii="Times New Roman" w:hAnsi="Times New Roman"/>
              </w:rPr>
              <w:t>, lid </w:t>
            </w:r>
            <w:r w:rsidRPr="00CF219D">
              <w:rPr>
                <w:rFonts w:ascii="Times New Roman" w:hAnsi="Times New Roman"/>
              </w:rPr>
              <w:t>7</w:t>
            </w:r>
            <w:r>
              <w:rPr>
                <w:rFonts w:ascii="Times New Roman" w:hAnsi="Times New Roman"/>
              </w:rPr>
              <w:t>, van de VKV.</w:t>
            </w:r>
            <w:r>
              <w:rPr>
                <w:rFonts w:ascii="Times New Roman" w:hAnsi="Times New Roman"/>
                <w:b/>
              </w:rPr>
              <w:t xml:space="preserve"> </w:t>
            </w:r>
          </w:p>
          <w:p w:rsidR="00EC2C14" w:rsidRPr="00FE002E" w:rsidRDefault="00EC2C14" w:rsidP="00DB61A5">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70A83">
            <w:pPr>
              <w:pStyle w:val="BodyText1"/>
              <w:rPr>
                <w:rFonts w:ascii="Times New Roman" w:hAnsi="Times New Roman"/>
              </w:rPr>
            </w:pPr>
            <w:r>
              <w:rPr>
                <w:rFonts w:ascii="Times New Roman" w:hAnsi="Times New Roman"/>
              </w:rPr>
              <w:t>{</w:t>
            </w:r>
            <w:r w:rsidRPr="00CF219D">
              <w:rPr>
                <w:rFonts w:ascii="Times New Roman" w:hAnsi="Times New Roman"/>
              </w:rPr>
              <w:t>070</w:t>
            </w:r>
            <w:r>
              <w:rPr>
                <w:rFonts w:ascii="Times New Roman" w:hAnsi="Times New Roman"/>
              </w:rPr>
              <w:t>;</w:t>
            </w:r>
            <w:r w:rsidRPr="00CF219D">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Overige tot de handelsportefeuille behorende activa — Blootstellingswaarde voor de berekening van de hefboomratio</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De blootstellingswaarde voor de berekening van de hefboomratio van de in {LRCalc;</w:t>
            </w:r>
            <w:r w:rsidRPr="00CF219D">
              <w:rPr>
                <w:rFonts w:ascii="Times New Roman" w:hAnsi="Times New Roman"/>
              </w:rPr>
              <w:t>190</w:t>
            </w:r>
            <w:r>
              <w:rPr>
                <w:rFonts w:ascii="Times New Roman" w:hAnsi="Times New Roman"/>
              </w:rPr>
              <w:t>;</w:t>
            </w:r>
            <w:r w:rsidRPr="00CF219D">
              <w:rPr>
                <w:rFonts w:ascii="Times New Roman" w:hAnsi="Times New Roman"/>
              </w:rPr>
              <w:t>010</w:t>
            </w:r>
            <w:r>
              <w:rPr>
                <w:rFonts w:ascii="Times New Roman" w:hAnsi="Times New Roman"/>
              </w:rPr>
              <w:t>} gerapporteerde posten, exclusief niet in de handelsportefeuille opgenomen posten.</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465521">
            <w:pPr>
              <w:pStyle w:val="BodyText1"/>
              <w:rPr>
                <w:rFonts w:ascii="Times New Roman" w:hAnsi="Times New Roman"/>
                <w:bCs/>
              </w:rPr>
            </w:pPr>
            <w:r>
              <w:rPr>
                <w:rFonts w:ascii="Times New Roman" w:hAnsi="Times New Roman"/>
              </w:rPr>
              <w:lastRenderedPageBreak/>
              <w:t>{</w:t>
            </w:r>
            <w:r w:rsidRPr="00CF219D">
              <w:rPr>
                <w:rFonts w:ascii="Times New Roman" w:hAnsi="Times New Roman"/>
              </w:rPr>
              <w:t>070</w:t>
            </w:r>
            <w:r>
              <w:rPr>
                <w:rFonts w:ascii="Times New Roman" w:hAnsi="Times New Roman"/>
              </w:rPr>
              <w:t>;</w:t>
            </w:r>
            <w:r w:rsidRPr="00CF219D">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Overige tot de handelsportefeuille behorende activa — Risicogewogen activa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Eigenvermogensvereisten vermenigvuldigd met </w:t>
            </w:r>
            <w:r w:rsidRPr="00CF219D">
              <w:rPr>
                <w:rFonts w:ascii="Times New Roman" w:hAnsi="Times New Roman"/>
              </w:rPr>
              <w:t>12</w:t>
            </w:r>
            <w:r>
              <w:rPr>
                <w:rFonts w:ascii="Times New Roman" w:hAnsi="Times New Roman"/>
              </w:rPr>
              <w:t>,</w:t>
            </w:r>
            <w:r w:rsidRPr="00CF219D">
              <w:rPr>
                <w:rFonts w:ascii="Times New Roman" w:hAnsi="Times New Roman"/>
              </w:rPr>
              <w:t>5</w:t>
            </w:r>
            <w:r>
              <w:rPr>
                <w:rFonts w:ascii="Times New Roman" w:hAnsi="Times New Roman"/>
              </w:rPr>
              <w:t xml:space="preserve"> van de posten die onder deel drie, titel IV, van de VKV vallen.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w:t>
            </w:r>
            <w:r w:rsidRPr="00CF219D">
              <w:rPr>
                <w:rFonts w:ascii="Times New Roman" w:hAnsi="Times New Roman"/>
              </w:rPr>
              <w:t>080</w:t>
            </w:r>
            <w:r>
              <w:rPr>
                <w:rFonts w:ascii="Times New Roman" w:hAnsi="Times New Roman"/>
              </w:rPr>
              <w:t>;</w:t>
            </w:r>
            <w:r w:rsidRPr="00CF219D">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Gedekte obligaties — Blootstellingswaarde voor de berekening van de hefboomratio — Blootstellingen in het kader van de standaardbenadering</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 blootstellingswaarde voor de berekening van de hefboomratio van activa die blootstellingen zijn in de vorm van gedekte obligaties als omschreven in artikel </w:t>
            </w:r>
            <w:r w:rsidRPr="00CF219D">
              <w:rPr>
                <w:rFonts w:ascii="Times New Roman" w:hAnsi="Times New Roman"/>
              </w:rPr>
              <w:t>129</w:t>
            </w:r>
            <w:r>
              <w:rPr>
                <w:rFonts w:ascii="Times New Roman" w:hAnsi="Times New Roman"/>
              </w:rPr>
              <w:t xml:space="preserve"> van de VKV. </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CF219D">
              <w:rPr>
                <w:rFonts w:ascii="Times New Roman" w:hAnsi="Times New Roman"/>
              </w:rPr>
              <w:t>080</w:t>
            </w:r>
            <w:r>
              <w:rPr>
                <w:rFonts w:ascii="Times New Roman" w:hAnsi="Times New Roman"/>
              </w:rPr>
              <w:t>;</w:t>
            </w:r>
            <w:r w:rsidRPr="00CF219D">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Gedekte obligaties — Blootstellingswaarde voor de berekening van de hefboomratio — Blootstellingen in het kader van de interneratingbenadering</w:t>
            </w:r>
          </w:p>
          <w:p w:rsidR="002509B1" w:rsidRPr="00FE002E" w:rsidRDefault="002509B1" w:rsidP="007E2A41">
            <w:pPr>
              <w:pStyle w:val="BodyText1"/>
              <w:spacing w:line="240" w:lineRule="auto"/>
              <w:rPr>
                <w:rFonts w:ascii="Times New Roman" w:hAnsi="Times New Roman"/>
                <w:b/>
                <w:bCs/>
              </w:rPr>
            </w:pPr>
          </w:p>
          <w:p w:rsidR="009C4E79" w:rsidRDefault="00F4754B" w:rsidP="007E2A41">
            <w:pPr>
              <w:pStyle w:val="BodyText1"/>
              <w:spacing w:line="240" w:lineRule="auto"/>
              <w:rPr>
                <w:rFonts w:ascii="Times New Roman" w:hAnsi="Times New Roman"/>
                <w:bCs/>
              </w:rPr>
            </w:pPr>
            <w:r>
              <w:rPr>
                <w:rFonts w:ascii="Times New Roman" w:hAnsi="Times New Roman"/>
              </w:rPr>
              <w:t xml:space="preserve">De blootstellingswaarde voor de berekening van de hefboomratio van activa die blootstellingen zijn in de vorm van gedekte obligaties als omschreven in artikel </w:t>
            </w:r>
            <w:r w:rsidRPr="00CF219D">
              <w:rPr>
                <w:rFonts w:ascii="Times New Roman" w:hAnsi="Times New Roman"/>
              </w:rPr>
              <w:t>161</w:t>
            </w:r>
            <w:r>
              <w:rPr>
                <w:rFonts w:ascii="Times New Roman" w:hAnsi="Times New Roman"/>
              </w:rPr>
              <w:t xml:space="preserve">, lid </w:t>
            </w:r>
            <w:r w:rsidRPr="00CF219D">
              <w:rPr>
                <w:rFonts w:ascii="Times New Roman" w:hAnsi="Times New Roman"/>
              </w:rPr>
              <w:t>1</w:t>
            </w:r>
            <w:r>
              <w:rPr>
                <w:rFonts w:ascii="Times New Roman" w:hAnsi="Times New Roman"/>
              </w:rPr>
              <w:t xml:space="preserve">, onder d), van de VKV.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CF219D">
              <w:rPr>
                <w:rFonts w:ascii="Times New Roman" w:hAnsi="Times New Roman"/>
              </w:rPr>
              <w:t>080</w:t>
            </w:r>
            <w:r>
              <w:rPr>
                <w:rFonts w:ascii="Times New Roman" w:hAnsi="Times New Roman"/>
              </w:rPr>
              <w:t>;</w:t>
            </w:r>
            <w:r w:rsidRPr="00CF219D">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Gedekte obligaties — Risicogewogen activa — Blootstellingen in het kader van de standaardbenadering</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 risicogewogen posten van activa die blootstellingen zijn in de vorm van gedekte obligaties als bedoeld in artikel </w:t>
            </w:r>
            <w:r w:rsidRPr="00CF219D">
              <w:rPr>
                <w:rFonts w:ascii="Times New Roman" w:hAnsi="Times New Roman"/>
              </w:rPr>
              <w:t>129</w:t>
            </w:r>
            <w:r>
              <w:rPr>
                <w:rFonts w:ascii="Times New Roman" w:hAnsi="Times New Roman"/>
              </w:rPr>
              <w:t xml:space="preserve"> van de VKV. </w:t>
            </w:r>
          </w:p>
          <w:p w:rsidR="00086A8A" w:rsidRPr="00FE002E" w:rsidRDefault="00086A8A" w:rsidP="007E2A41">
            <w:pPr>
              <w:pStyle w:val="BodyText1"/>
              <w:spacing w:line="240" w:lineRule="auto"/>
              <w:rPr>
                <w:rFonts w:ascii="Times New Roman" w:hAnsi="Times New Roman"/>
                <w:bCs/>
              </w:rPr>
            </w:pPr>
          </w:p>
          <w:p w:rsidR="002509B1" w:rsidRDefault="00086A8A" w:rsidP="007E2A41">
            <w:pPr>
              <w:pStyle w:val="BodyText1"/>
              <w:spacing w:line="240" w:lineRule="auto"/>
              <w:rPr>
                <w:rFonts w:ascii="Times New Roman" w:hAnsi="Times New Roman"/>
                <w:b/>
                <w:bCs/>
                <w:u w:val="single"/>
              </w:rPr>
            </w:pPr>
            <w:r>
              <w:rPr>
                <w:rFonts w:ascii="Times New Roman" w:hAnsi="Times New Roman"/>
              </w:rPr>
              <w:t>Instellingen rapporteren deze blootstellingen na aftrek van blootstellingen ten aanzien waarvan zich een wanbetaling heeft voorgedaan.</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CF219D">
              <w:rPr>
                <w:rFonts w:ascii="Times New Roman" w:hAnsi="Times New Roman"/>
              </w:rPr>
              <w:t>080</w:t>
            </w:r>
            <w:r>
              <w:rPr>
                <w:rFonts w:ascii="Times New Roman" w:hAnsi="Times New Roman"/>
              </w:rPr>
              <w:t>;</w:t>
            </w:r>
            <w:r w:rsidRPr="00CF219D">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Gedekte obligaties — Risicogewogen activa — Blootstellingen in het kader van de interneratingbenadering</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 risicogewogen posten van activa die blootstellingen zijn in de vorm van gedekte obligaties als bedoeld in artikel </w:t>
            </w:r>
            <w:r w:rsidRPr="00CF219D">
              <w:rPr>
                <w:rFonts w:ascii="Times New Roman" w:hAnsi="Times New Roman"/>
              </w:rPr>
              <w:t>161</w:t>
            </w:r>
            <w:r>
              <w:rPr>
                <w:rFonts w:ascii="Times New Roman" w:hAnsi="Times New Roman"/>
              </w:rPr>
              <w:t xml:space="preserve">, lid </w:t>
            </w:r>
            <w:r w:rsidRPr="00CF219D">
              <w:rPr>
                <w:rFonts w:ascii="Times New Roman" w:hAnsi="Times New Roman"/>
              </w:rPr>
              <w:t>1</w:t>
            </w:r>
            <w:r>
              <w:rPr>
                <w:rFonts w:ascii="Times New Roman" w:hAnsi="Times New Roman"/>
              </w:rPr>
              <w:t xml:space="preserve">, onder d), van de VKV. </w:t>
            </w:r>
          </w:p>
          <w:p w:rsidR="002509B1" w:rsidRDefault="002509B1"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CF219D">
              <w:rPr>
                <w:rFonts w:ascii="Times New Roman" w:hAnsi="Times New Roman"/>
              </w:rPr>
              <w:t>090</w:t>
            </w:r>
            <w:r>
              <w:rPr>
                <w:rFonts w:ascii="Times New Roman" w:hAnsi="Times New Roman"/>
              </w:rPr>
              <w:t>;</w:t>
            </w:r>
            <w:r w:rsidRPr="00CF219D">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Als landen behandelde blootstellingen — Blootstellingswaarde voor de berekening van de hefboomratio — Blootstellingen in het kader van de standaardbenadering</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Dit is de som van de cellen {</w:t>
            </w:r>
            <w:r w:rsidRPr="00CF219D">
              <w:rPr>
                <w:rFonts w:ascii="Times New Roman" w:hAnsi="Times New Roman"/>
              </w:rPr>
              <w:t>100</w:t>
            </w:r>
            <w:r>
              <w:rPr>
                <w:rFonts w:ascii="Times New Roman" w:hAnsi="Times New Roman"/>
              </w:rPr>
              <w:t>;</w:t>
            </w:r>
            <w:r w:rsidRPr="00CF219D">
              <w:rPr>
                <w:rFonts w:ascii="Times New Roman" w:hAnsi="Times New Roman"/>
              </w:rPr>
              <w:t>010</w:t>
            </w:r>
            <w:r>
              <w:rPr>
                <w:rFonts w:ascii="Times New Roman" w:hAnsi="Times New Roman"/>
              </w:rPr>
              <w:t>} tot en met {</w:t>
            </w:r>
            <w:r w:rsidRPr="00CF219D">
              <w:rPr>
                <w:rFonts w:ascii="Times New Roman" w:hAnsi="Times New Roman"/>
              </w:rPr>
              <w:t>130</w:t>
            </w:r>
            <w:r>
              <w:rPr>
                <w:rFonts w:ascii="Times New Roman" w:hAnsi="Times New Roman"/>
              </w:rPr>
              <w:t>;</w:t>
            </w:r>
            <w:r w:rsidRPr="00CF219D">
              <w:rPr>
                <w:rFonts w:ascii="Times New Roman" w:hAnsi="Times New Roman"/>
              </w:rPr>
              <w:t>010</w:t>
            </w:r>
            <w:r>
              <w:rPr>
                <w:rFonts w:ascii="Times New Roman" w:hAnsi="Times New Roman"/>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CF219D">
              <w:rPr>
                <w:rFonts w:ascii="Times New Roman" w:hAnsi="Times New Roman"/>
              </w:rPr>
              <w:t>090</w:t>
            </w:r>
            <w:r>
              <w:rPr>
                <w:rFonts w:ascii="Times New Roman" w:hAnsi="Times New Roman"/>
              </w:rPr>
              <w:t>;</w:t>
            </w:r>
            <w:r w:rsidRPr="00CF219D">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Als landen behandelde blootstellingen — Blootstellingswaarde voor de berekening van de hefboomratio — Blootstellingen in het kader van de interneratingbenadering</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Dit is de som van de cellen {</w:t>
            </w:r>
            <w:r w:rsidRPr="00CF219D">
              <w:rPr>
                <w:rFonts w:ascii="Times New Roman" w:hAnsi="Times New Roman"/>
              </w:rPr>
              <w:t>100</w:t>
            </w:r>
            <w:r>
              <w:rPr>
                <w:rFonts w:ascii="Times New Roman" w:hAnsi="Times New Roman"/>
              </w:rPr>
              <w:t>;</w:t>
            </w:r>
            <w:r w:rsidRPr="00CF219D">
              <w:rPr>
                <w:rFonts w:ascii="Times New Roman" w:hAnsi="Times New Roman"/>
              </w:rPr>
              <w:t>020</w:t>
            </w:r>
            <w:r>
              <w:rPr>
                <w:rFonts w:ascii="Times New Roman" w:hAnsi="Times New Roman"/>
              </w:rPr>
              <w:t>} tot en met {</w:t>
            </w:r>
            <w:r w:rsidRPr="00CF219D">
              <w:rPr>
                <w:rFonts w:ascii="Times New Roman" w:hAnsi="Times New Roman"/>
              </w:rPr>
              <w:t>130</w:t>
            </w:r>
            <w:r>
              <w:rPr>
                <w:rFonts w:ascii="Times New Roman" w:hAnsi="Times New Roman"/>
              </w:rPr>
              <w:t>;</w:t>
            </w:r>
            <w:r w:rsidRPr="00CF219D">
              <w:rPr>
                <w:rFonts w:ascii="Times New Roman" w:hAnsi="Times New Roman"/>
              </w:rPr>
              <w:t>020</w:t>
            </w:r>
            <w:r>
              <w:rPr>
                <w:rFonts w:ascii="Times New Roman" w:hAnsi="Times New Roman"/>
              </w:rPr>
              <w:t>}.</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 xml:space="preserve">Instellingen rapporteren deze blootstellingen na aftrek van blootstellingen ten aanzien waarvan </w:t>
            </w:r>
            <w:r>
              <w:rPr>
                <w:rFonts w:ascii="Times New Roman" w:hAnsi="Times New Roman"/>
              </w:rPr>
              <w:lastRenderedPageBreak/>
              <w:t>zich een wanbetaling heeft voorgedaan.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w:t>
            </w:r>
            <w:r w:rsidRPr="00CF219D">
              <w:rPr>
                <w:rFonts w:ascii="Times New Roman" w:hAnsi="Times New Roman"/>
              </w:rPr>
              <w:t>090</w:t>
            </w:r>
            <w:r>
              <w:rPr>
                <w:rFonts w:ascii="Times New Roman" w:hAnsi="Times New Roman"/>
              </w:rPr>
              <w:t>;</w:t>
            </w:r>
            <w:r w:rsidRPr="00CF219D">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Als landen behandelde blootstellingen — Risicogewogen activa — Blootstellingen in het kader van de standaardbenadering</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Dit is de som van de cellen {</w:t>
            </w:r>
            <w:r w:rsidRPr="00CF219D">
              <w:rPr>
                <w:rFonts w:ascii="Times New Roman" w:hAnsi="Times New Roman"/>
              </w:rPr>
              <w:t>100</w:t>
            </w:r>
            <w:r>
              <w:rPr>
                <w:rFonts w:ascii="Times New Roman" w:hAnsi="Times New Roman"/>
              </w:rPr>
              <w:t>;</w:t>
            </w:r>
            <w:r w:rsidRPr="00CF219D">
              <w:rPr>
                <w:rFonts w:ascii="Times New Roman" w:hAnsi="Times New Roman"/>
              </w:rPr>
              <w:t>030</w:t>
            </w:r>
            <w:r>
              <w:rPr>
                <w:rFonts w:ascii="Times New Roman" w:hAnsi="Times New Roman"/>
              </w:rPr>
              <w:t>} tot en met {</w:t>
            </w:r>
            <w:r w:rsidRPr="00CF219D">
              <w:rPr>
                <w:rFonts w:ascii="Times New Roman" w:hAnsi="Times New Roman"/>
              </w:rPr>
              <w:t>130</w:t>
            </w:r>
            <w:r>
              <w:rPr>
                <w:rFonts w:ascii="Times New Roman" w:hAnsi="Times New Roman"/>
              </w:rPr>
              <w:t>;</w:t>
            </w:r>
            <w:r w:rsidRPr="00CF219D">
              <w:rPr>
                <w:rFonts w:ascii="Times New Roman" w:hAnsi="Times New Roman"/>
              </w:rPr>
              <w:t>030</w:t>
            </w:r>
            <w:r>
              <w:rPr>
                <w:rFonts w:ascii="Times New Roman" w:hAnsi="Times New Roman"/>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CF219D">
              <w:rPr>
                <w:rFonts w:ascii="Times New Roman" w:hAnsi="Times New Roman"/>
              </w:rPr>
              <w:t>090</w:t>
            </w:r>
            <w:r>
              <w:rPr>
                <w:rFonts w:ascii="Times New Roman" w:hAnsi="Times New Roman"/>
              </w:rPr>
              <w:t>;</w:t>
            </w:r>
            <w:r w:rsidRPr="00CF219D">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Als landen behandelde blootstellingen — Risicogewogen activa — Blootstellingen in het kader van de interneratingbenadering</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Dit is de som van de cellen {</w:t>
            </w:r>
            <w:r w:rsidRPr="00CF219D">
              <w:rPr>
                <w:rFonts w:ascii="Times New Roman" w:hAnsi="Times New Roman"/>
              </w:rPr>
              <w:t>100</w:t>
            </w:r>
            <w:r>
              <w:rPr>
                <w:rFonts w:ascii="Times New Roman" w:hAnsi="Times New Roman"/>
              </w:rPr>
              <w:t>;</w:t>
            </w:r>
            <w:r w:rsidRPr="00CF219D">
              <w:rPr>
                <w:rFonts w:ascii="Times New Roman" w:hAnsi="Times New Roman"/>
              </w:rPr>
              <w:t>040</w:t>
            </w:r>
            <w:r>
              <w:rPr>
                <w:rFonts w:ascii="Times New Roman" w:hAnsi="Times New Roman"/>
              </w:rPr>
              <w:t>} tot en met {</w:t>
            </w:r>
            <w:r w:rsidRPr="00CF219D">
              <w:rPr>
                <w:rFonts w:ascii="Times New Roman" w:hAnsi="Times New Roman"/>
              </w:rPr>
              <w:t>130</w:t>
            </w:r>
            <w:r>
              <w:rPr>
                <w:rFonts w:ascii="Times New Roman" w:hAnsi="Times New Roman"/>
              </w:rPr>
              <w:t>;</w:t>
            </w:r>
            <w:r w:rsidRPr="00CF219D">
              <w:rPr>
                <w:rFonts w:ascii="Times New Roman" w:hAnsi="Times New Roman"/>
              </w:rPr>
              <w:t>040</w:t>
            </w:r>
            <w:r>
              <w:rPr>
                <w:rFonts w:ascii="Times New Roman" w:hAnsi="Times New Roman"/>
              </w:rPr>
              <w:t>}.</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CF219D">
              <w:rPr>
                <w:rFonts w:ascii="Times New Roman" w:hAnsi="Times New Roman"/>
              </w:rPr>
              <w:t>100</w:t>
            </w:r>
            <w:r>
              <w:rPr>
                <w:rFonts w:ascii="Times New Roman" w:hAnsi="Times New Roman"/>
              </w:rPr>
              <w:t>;</w:t>
            </w:r>
            <w:r w:rsidRPr="00CF219D">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Centrale overheden en centrale banken — Blootstellingswaarde voor de berekening van de hefboomratio — Blootstellingen in het kader van de standaardbenadering</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 blootstellingswaarde voor de berekening van de hefboomratio van activa die blootstellingen zijn met betrekking tot centrale overheden of centrale banken als omschreven in artikel </w:t>
            </w:r>
            <w:r w:rsidRPr="00CF219D">
              <w:rPr>
                <w:rFonts w:ascii="Times New Roman" w:hAnsi="Times New Roman"/>
              </w:rPr>
              <w:t>114</w:t>
            </w:r>
            <w:r>
              <w:rPr>
                <w:rFonts w:ascii="Times New Roman" w:hAnsi="Times New Roman"/>
              </w:rPr>
              <w:t xml:space="preserve"> van de VKV.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CF219D">
              <w:rPr>
                <w:rFonts w:ascii="Times New Roman" w:hAnsi="Times New Roman"/>
              </w:rPr>
              <w:t>100</w:t>
            </w:r>
            <w:r>
              <w:rPr>
                <w:rFonts w:ascii="Times New Roman" w:hAnsi="Times New Roman"/>
              </w:rPr>
              <w:t>;</w:t>
            </w:r>
            <w:r w:rsidRPr="00CF219D">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Centrale overheden en centrale banken — Blootstellingswaarde voor de berekening van de hefboomratio — Blootstellingen in het kader van de interneratingbenadering</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 blootstellingswaarde voor de berekening van de hefboomratio van activa die blootstellingen zijn met betrekking tot centrale overheden of centrale banken als omschreven in artikel </w:t>
            </w:r>
            <w:r w:rsidRPr="00CF219D">
              <w:rPr>
                <w:rFonts w:ascii="Times New Roman" w:hAnsi="Times New Roman"/>
              </w:rPr>
              <w:t>147</w:t>
            </w:r>
            <w:r>
              <w:rPr>
                <w:rFonts w:ascii="Times New Roman" w:hAnsi="Times New Roman"/>
              </w:rPr>
              <w:t xml:space="preserve">, lid </w:t>
            </w:r>
            <w:r w:rsidRPr="00CF219D">
              <w:rPr>
                <w:rFonts w:ascii="Times New Roman" w:hAnsi="Times New Roman"/>
              </w:rPr>
              <w:t>2</w:t>
            </w:r>
            <w:r>
              <w:rPr>
                <w:rFonts w:ascii="Times New Roman" w:hAnsi="Times New Roman"/>
              </w:rPr>
              <w:t xml:space="preserve">, onder a), van de VKV.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CF219D">
              <w:rPr>
                <w:rFonts w:ascii="Times New Roman" w:hAnsi="Times New Roman"/>
              </w:rPr>
              <w:t>100</w:t>
            </w:r>
            <w:r>
              <w:rPr>
                <w:rFonts w:ascii="Times New Roman" w:hAnsi="Times New Roman"/>
              </w:rPr>
              <w:t>;</w:t>
            </w:r>
            <w:r w:rsidRPr="00CF219D">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Centrale overheden en centrale banken — Risicogewogen activa — Blootstellingen in het kader van de standaardbenadering</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 risicogewogen posten van activa die blootstellingen zijn met betrekking tot centrale overheden of centrale banken als omschreven in artikel </w:t>
            </w:r>
            <w:r w:rsidRPr="00CF219D">
              <w:rPr>
                <w:rFonts w:ascii="Times New Roman" w:hAnsi="Times New Roman"/>
              </w:rPr>
              <w:t>114</w:t>
            </w:r>
            <w:r>
              <w:rPr>
                <w:rFonts w:ascii="Times New Roman" w:hAnsi="Times New Roman"/>
              </w:rPr>
              <w:t xml:space="preserve"> van de VKV.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CF219D">
              <w:rPr>
                <w:rFonts w:ascii="Times New Roman" w:hAnsi="Times New Roman"/>
              </w:rPr>
              <w:t>100</w:t>
            </w:r>
            <w:r>
              <w:rPr>
                <w:rFonts w:ascii="Times New Roman" w:hAnsi="Times New Roman"/>
              </w:rPr>
              <w:t>;</w:t>
            </w:r>
            <w:r w:rsidRPr="00CF219D">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Centrale overheden en centrale banken — Risicogewogen activa — Blootstellingen in het kader van de interneratingbenadering</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 risicogewogen posten van activa die blootstellingen zijn met betrekking tot centrale overheden of centrale banken als omschreven in artikel </w:t>
            </w:r>
            <w:r w:rsidRPr="00CF219D">
              <w:rPr>
                <w:rFonts w:ascii="Times New Roman" w:hAnsi="Times New Roman"/>
              </w:rPr>
              <w:t>147</w:t>
            </w:r>
            <w:r>
              <w:rPr>
                <w:rFonts w:ascii="Times New Roman" w:hAnsi="Times New Roman"/>
              </w:rPr>
              <w:t xml:space="preserve">, lid </w:t>
            </w:r>
            <w:r w:rsidRPr="00CF219D">
              <w:rPr>
                <w:rFonts w:ascii="Times New Roman" w:hAnsi="Times New Roman"/>
              </w:rPr>
              <w:t>2</w:t>
            </w:r>
            <w:r>
              <w:rPr>
                <w:rFonts w:ascii="Times New Roman" w:hAnsi="Times New Roman"/>
              </w:rPr>
              <w:t xml:space="preserve">, onder a), van de VKV.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CF219D">
              <w:rPr>
                <w:rFonts w:ascii="Times New Roman" w:hAnsi="Times New Roman"/>
              </w:rPr>
              <w:t>110</w:t>
            </w:r>
            <w:r>
              <w:rPr>
                <w:rFonts w:ascii="Times New Roman" w:hAnsi="Times New Roman"/>
              </w:rPr>
              <w:t>;</w:t>
            </w:r>
            <w:r w:rsidRPr="00CF219D">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Als landen behandelde regionale en lokale overheden — Blootstellingswaarde voor de berekening van de hefboomratio — Blootstellingen in het kader van de standaardbenadering</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 blootstellingswaarde voor de berekening van de hefboomratio van activa die blootstellingen zijn met betrekking tot regionale en lokale overheden die als landen worden behandeld en die vallen onder artikel </w:t>
            </w:r>
            <w:r w:rsidRPr="00CF219D">
              <w:rPr>
                <w:rFonts w:ascii="Times New Roman" w:hAnsi="Times New Roman"/>
              </w:rPr>
              <w:t>115</w:t>
            </w:r>
            <w:r>
              <w:rPr>
                <w:rFonts w:ascii="Times New Roman" w:hAnsi="Times New Roman"/>
              </w:rPr>
              <w:t xml:space="preserve">, leden </w:t>
            </w:r>
            <w:r w:rsidRPr="00CF219D">
              <w:rPr>
                <w:rFonts w:ascii="Times New Roman" w:hAnsi="Times New Roman"/>
              </w:rPr>
              <w:t>2</w:t>
            </w:r>
            <w:r>
              <w:rPr>
                <w:rFonts w:ascii="Times New Roman" w:hAnsi="Times New Roman"/>
              </w:rPr>
              <w:t xml:space="preserve"> en </w:t>
            </w:r>
            <w:r w:rsidRPr="00CF219D">
              <w:rPr>
                <w:rFonts w:ascii="Times New Roman" w:hAnsi="Times New Roman"/>
              </w:rPr>
              <w:t>4</w:t>
            </w:r>
            <w:r>
              <w:rPr>
                <w:rFonts w:ascii="Times New Roman" w:hAnsi="Times New Roman"/>
              </w:rPr>
              <w:t xml:space="preserve">, van de VKV.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w:t>
            </w:r>
            <w:r w:rsidRPr="00CF219D">
              <w:rPr>
                <w:rFonts w:ascii="Times New Roman" w:hAnsi="Times New Roman"/>
              </w:rPr>
              <w:t>110</w:t>
            </w:r>
            <w:r>
              <w:rPr>
                <w:rFonts w:ascii="Times New Roman" w:hAnsi="Times New Roman"/>
              </w:rPr>
              <w:t>;</w:t>
            </w:r>
            <w:r w:rsidRPr="00CF219D">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Als landen behandelde regionale en lokale overheden — Blootstellingswaarde voor de berekening van de hefboomratio — Blootstellingen in het kader van de interneratingbenadering</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 blootstellingswaarde voor de berekening van de hefboomratio van activa die blootstellingen zijn met betrekking tot regionale en lokale overheden die vallen onder artikel </w:t>
            </w:r>
            <w:r w:rsidRPr="00CF219D">
              <w:rPr>
                <w:rFonts w:ascii="Times New Roman" w:hAnsi="Times New Roman"/>
              </w:rPr>
              <w:t>147</w:t>
            </w:r>
            <w:r>
              <w:rPr>
                <w:rFonts w:ascii="Times New Roman" w:hAnsi="Times New Roman"/>
              </w:rPr>
              <w:t xml:space="preserve">, lid </w:t>
            </w:r>
            <w:r w:rsidRPr="00CF219D">
              <w:rPr>
                <w:rFonts w:ascii="Times New Roman" w:hAnsi="Times New Roman"/>
              </w:rPr>
              <w:t>3</w:t>
            </w:r>
            <w:r>
              <w:rPr>
                <w:rFonts w:ascii="Times New Roman" w:hAnsi="Times New Roman"/>
              </w:rPr>
              <w:t xml:space="preserve">, onder a), van de VKV. </w:t>
            </w:r>
          </w:p>
          <w:p w:rsidR="002509B1" w:rsidRDefault="002509B1" w:rsidP="007E2A41">
            <w:pPr>
              <w:pStyle w:val="BodyText1"/>
              <w:spacing w:line="240" w:lineRule="auto"/>
              <w:rPr>
                <w:rFonts w:ascii="Times New Roman" w:hAnsi="Times New Roman"/>
                <w:b/>
                <w:bCs/>
                <w:u w:val="single"/>
              </w:rPr>
            </w:pPr>
          </w:p>
          <w:p w:rsidR="009C4E79" w:rsidRDefault="009C4E79" w:rsidP="007E2A41">
            <w:pPr>
              <w:pStyle w:val="BodyText1"/>
              <w:spacing w:line="240" w:lineRule="auto"/>
              <w:rPr>
                <w:rFonts w:ascii="Times New Roman" w:hAnsi="Times New Roman"/>
                <w:b/>
                <w:bCs/>
                <w:u w:val="single"/>
              </w:rPr>
            </w:pPr>
            <w:r>
              <w:rPr>
                <w:rFonts w:ascii="Times New Roman" w:hAnsi="Times New Roman"/>
              </w:rPr>
              <w:t>Instellingen rapporteren deze blootstellingen na aftrek van blootstellingen ten aanzien waarvan zich een wanbetaling heeft voorgedaan.</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CF219D">
              <w:rPr>
                <w:rFonts w:ascii="Times New Roman" w:hAnsi="Times New Roman"/>
              </w:rPr>
              <w:t>110</w:t>
            </w:r>
            <w:r>
              <w:rPr>
                <w:rFonts w:ascii="Times New Roman" w:hAnsi="Times New Roman"/>
              </w:rPr>
              <w:t>;</w:t>
            </w:r>
            <w:r w:rsidRPr="00CF219D">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Als landen behandelde regionale en lokale overheden — Risicogewogen activa — Blootstellingen in het kader van de standaardbenadering</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 risicogewogen posten van activa die blootstellingen zijn met betrekking tot regionale en lokale overheden die als landen worden behandeld en die vallen onder artikel </w:t>
            </w:r>
            <w:r w:rsidRPr="00CF219D">
              <w:rPr>
                <w:rFonts w:ascii="Times New Roman" w:hAnsi="Times New Roman"/>
              </w:rPr>
              <w:t>115</w:t>
            </w:r>
            <w:r>
              <w:rPr>
                <w:rFonts w:ascii="Times New Roman" w:hAnsi="Times New Roman"/>
              </w:rPr>
              <w:t xml:space="preserve">, leden </w:t>
            </w:r>
            <w:r w:rsidRPr="00CF219D">
              <w:rPr>
                <w:rFonts w:ascii="Times New Roman" w:hAnsi="Times New Roman"/>
              </w:rPr>
              <w:t>2</w:t>
            </w:r>
            <w:r>
              <w:rPr>
                <w:rFonts w:ascii="Times New Roman" w:hAnsi="Times New Roman"/>
              </w:rPr>
              <w:t xml:space="preserve"> en </w:t>
            </w:r>
            <w:r w:rsidRPr="00CF219D">
              <w:rPr>
                <w:rFonts w:ascii="Times New Roman" w:hAnsi="Times New Roman"/>
              </w:rPr>
              <w:t>4</w:t>
            </w:r>
            <w:r>
              <w:rPr>
                <w:rFonts w:ascii="Times New Roman" w:hAnsi="Times New Roman"/>
              </w:rPr>
              <w:t>, van de VKV.</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CF219D">
              <w:rPr>
                <w:rFonts w:ascii="Times New Roman" w:hAnsi="Times New Roman"/>
              </w:rPr>
              <w:t>110</w:t>
            </w:r>
            <w:r>
              <w:rPr>
                <w:rFonts w:ascii="Times New Roman" w:hAnsi="Times New Roman"/>
              </w:rPr>
              <w:t>;</w:t>
            </w:r>
            <w:r w:rsidRPr="00CF219D">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Als landen behandelde regionale en lokale overheden — Risicogewogen activa — Blootstellingen in het kader van de interneratingbenadering</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 risicogewogen posten van activa die blootstellingen zijn met betrekking tot regionale en lokale overheden die vallen onder artikel </w:t>
            </w:r>
            <w:r w:rsidRPr="00CF219D">
              <w:rPr>
                <w:rFonts w:ascii="Times New Roman" w:hAnsi="Times New Roman"/>
              </w:rPr>
              <w:t>147</w:t>
            </w:r>
            <w:r>
              <w:rPr>
                <w:rFonts w:ascii="Times New Roman" w:hAnsi="Times New Roman"/>
              </w:rPr>
              <w:t xml:space="preserve">, lid </w:t>
            </w:r>
            <w:r w:rsidRPr="00CF219D">
              <w:rPr>
                <w:rFonts w:ascii="Times New Roman" w:hAnsi="Times New Roman"/>
              </w:rPr>
              <w:t>3</w:t>
            </w:r>
            <w:r>
              <w:rPr>
                <w:rFonts w:ascii="Times New Roman" w:hAnsi="Times New Roman"/>
              </w:rPr>
              <w:t xml:space="preserve">, onder a), van de VKV.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CF219D">
              <w:rPr>
                <w:rFonts w:ascii="Times New Roman" w:hAnsi="Times New Roman"/>
              </w:rPr>
              <w:t>120</w:t>
            </w:r>
            <w:r>
              <w:rPr>
                <w:rFonts w:ascii="Times New Roman" w:hAnsi="Times New Roman"/>
              </w:rPr>
              <w:t>;</w:t>
            </w:r>
            <w:r w:rsidRPr="00CF219D">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Als landen behandelde multilaterale ontwikkelingsbanken en internationale organisaties – Blootstellingswaarde voor de berekening van de hefboomratio – Blootstellingen in het kader van de standaardbenadering</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 blootstellingswaarde voor de berekening van de hefboomratio van activa die blootstellingen zijn met betrekking tot multilaterale ontwikkelingsbanken en internationale organisaties die vallen onder artikel </w:t>
            </w:r>
            <w:r w:rsidRPr="00CF219D">
              <w:rPr>
                <w:rFonts w:ascii="Times New Roman" w:hAnsi="Times New Roman"/>
              </w:rPr>
              <w:t>117</w:t>
            </w:r>
            <w:r>
              <w:rPr>
                <w:rFonts w:ascii="Times New Roman" w:hAnsi="Times New Roman"/>
              </w:rPr>
              <w:t xml:space="preserve">, lid </w:t>
            </w:r>
            <w:r w:rsidRPr="00CF219D">
              <w:rPr>
                <w:rFonts w:ascii="Times New Roman" w:hAnsi="Times New Roman"/>
              </w:rPr>
              <w:t>2</w:t>
            </w:r>
            <w:r>
              <w:rPr>
                <w:rFonts w:ascii="Times New Roman" w:hAnsi="Times New Roman"/>
              </w:rPr>
              <w:t xml:space="preserve">, en artikel </w:t>
            </w:r>
            <w:r w:rsidRPr="00CF219D">
              <w:rPr>
                <w:rFonts w:ascii="Times New Roman" w:hAnsi="Times New Roman"/>
              </w:rPr>
              <w:t>118</w:t>
            </w:r>
            <w:r>
              <w:rPr>
                <w:rFonts w:ascii="Times New Roman" w:hAnsi="Times New Roman"/>
              </w:rPr>
              <w:t xml:space="preserve"> van de VKV.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w:t>
            </w:r>
            <w:r w:rsidRPr="00CF219D">
              <w:rPr>
                <w:rFonts w:ascii="Times New Roman" w:hAnsi="Times New Roman"/>
              </w:rPr>
              <w:t>120</w:t>
            </w:r>
            <w:r>
              <w:rPr>
                <w:rFonts w:ascii="Times New Roman" w:hAnsi="Times New Roman"/>
              </w:rPr>
              <w:t>;</w:t>
            </w:r>
            <w:r w:rsidRPr="00CF219D">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Als landen behandelde multilaterale ontwikkelingsbanken en internationale organisaties – Blootstellingswaarde voor de berekening van de hefboomratio – Blootstellingen in het kader van de interneratingbenadering</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 blootstellingswaarde voor de berekening van de hefboomratio van activa die blootstellingen zijn met betrekking tot multilaterale ontwikkelingsbanken en internationale organisaties die vallen onder artikel </w:t>
            </w:r>
            <w:r w:rsidRPr="00CF219D">
              <w:rPr>
                <w:rFonts w:ascii="Times New Roman" w:hAnsi="Times New Roman"/>
              </w:rPr>
              <w:t>147</w:t>
            </w:r>
            <w:r>
              <w:rPr>
                <w:rFonts w:ascii="Times New Roman" w:hAnsi="Times New Roman"/>
              </w:rPr>
              <w:t xml:space="preserve">, lid </w:t>
            </w:r>
            <w:r w:rsidRPr="00CF219D">
              <w:rPr>
                <w:rFonts w:ascii="Times New Roman" w:hAnsi="Times New Roman"/>
              </w:rPr>
              <w:t>3</w:t>
            </w:r>
            <w:r>
              <w:rPr>
                <w:rFonts w:ascii="Times New Roman" w:hAnsi="Times New Roman"/>
              </w:rPr>
              <w:t xml:space="preserve">, onder b) en c), van de VKV.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w:t>
            </w:r>
            <w:r w:rsidRPr="00CF219D">
              <w:rPr>
                <w:rFonts w:ascii="Times New Roman" w:hAnsi="Times New Roman"/>
              </w:rPr>
              <w:t>120</w:t>
            </w:r>
            <w:r>
              <w:rPr>
                <w:rFonts w:ascii="Times New Roman" w:hAnsi="Times New Roman"/>
              </w:rPr>
              <w:t>;</w:t>
            </w:r>
            <w:r w:rsidRPr="00CF219D">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Als landen behandelde multilaterale ontwikkelingsbanken en internationale organisaties — Risicogewogen activa — Blootstellingen in het kader van de standaardbenadering</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 risicogewogen posten van activa die blootstellingen zijn met betrekking tot multilaterale ontwikkelingsbanken en internationale organisaties die vallen onder artikel </w:t>
            </w:r>
            <w:r w:rsidRPr="00CF219D">
              <w:rPr>
                <w:rFonts w:ascii="Times New Roman" w:hAnsi="Times New Roman"/>
              </w:rPr>
              <w:t>117</w:t>
            </w:r>
            <w:r>
              <w:rPr>
                <w:rFonts w:ascii="Times New Roman" w:hAnsi="Times New Roman"/>
              </w:rPr>
              <w:t xml:space="preserve">, lid </w:t>
            </w:r>
            <w:r w:rsidRPr="00CF219D">
              <w:rPr>
                <w:rFonts w:ascii="Times New Roman" w:hAnsi="Times New Roman"/>
              </w:rPr>
              <w:t>2</w:t>
            </w:r>
            <w:r>
              <w:rPr>
                <w:rFonts w:ascii="Times New Roman" w:hAnsi="Times New Roman"/>
              </w:rPr>
              <w:t xml:space="preserve">, en artikel </w:t>
            </w:r>
            <w:r w:rsidRPr="00CF219D">
              <w:rPr>
                <w:rFonts w:ascii="Times New Roman" w:hAnsi="Times New Roman"/>
              </w:rPr>
              <w:t>118</w:t>
            </w:r>
            <w:r>
              <w:rPr>
                <w:rFonts w:ascii="Times New Roman" w:hAnsi="Times New Roman"/>
              </w:rPr>
              <w:t xml:space="preserve"> van de VKV.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bCs/>
              </w:rPr>
            </w:pPr>
            <w:r>
              <w:rPr>
                <w:rFonts w:ascii="Times New Roman" w:hAnsi="Times New Roman"/>
              </w:rPr>
              <w:t>{</w:t>
            </w:r>
            <w:r w:rsidRPr="00CF219D">
              <w:rPr>
                <w:rFonts w:ascii="Times New Roman" w:hAnsi="Times New Roman"/>
              </w:rPr>
              <w:t>120</w:t>
            </w:r>
            <w:r>
              <w:rPr>
                <w:rFonts w:ascii="Times New Roman" w:hAnsi="Times New Roman"/>
              </w:rPr>
              <w:t>;</w:t>
            </w:r>
            <w:r w:rsidRPr="00CF219D">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Als landen behandelde multilaterale ontwikkelingsbanken en internationale organisaties — Risicogewogen activa — Blootstellingen in het kader van de interneratingbenadering</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 risicogewogen posten van activa die blootstellingen zijn met betrekking tot multilaterale ontwikkelingsbanken en internationale organisaties die vallen onder artikel </w:t>
            </w:r>
            <w:r w:rsidRPr="00CF219D">
              <w:rPr>
                <w:rFonts w:ascii="Times New Roman" w:hAnsi="Times New Roman"/>
              </w:rPr>
              <w:t>147</w:t>
            </w:r>
            <w:r>
              <w:rPr>
                <w:rFonts w:ascii="Times New Roman" w:hAnsi="Times New Roman"/>
              </w:rPr>
              <w:t xml:space="preserve">, lid </w:t>
            </w:r>
            <w:r w:rsidRPr="00CF219D">
              <w:rPr>
                <w:rFonts w:ascii="Times New Roman" w:hAnsi="Times New Roman"/>
              </w:rPr>
              <w:t>3</w:t>
            </w:r>
            <w:r>
              <w:rPr>
                <w:rFonts w:ascii="Times New Roman" w:hAnsi="Times New Roman"/>
              </w:rPr>
              <w:t xml:space="preserve">, onder b) en c), van de VKV.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w:t>
            </w:r>
            <w:r w:rsidRPr="00CF219D">
              <w:rPr>
                <w:rFonts w:ascii="Times New Roman" w:hAnsi="Times New Roman"/>
              </w:rPr>
              <w:t>130</w:t>
            </w:r>
            <w:r>
              <w:rPr>
                <w:rFonts w:ascii="Times New Roman" w:hAnsi="Times New Roman"/>
              </w:rPr>
              <w:t>;</w:t>
            </w:r>
            <w:r w:rsidRPr="00CF219D">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Als landen behandelde publiekrechtelijke lichamen — Blootstellingswaarde voor de berekening van de hefboomratio — Blootstellingen in het kader van de standaardbenadering</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 blootstellingswaarde voor de berekening van de hefboomratio van activa die blootstellingen zijn met betrekking tot publiekrechtelijke lichamen die vallen onder artikel </w:t>
            </w:r>
            <w:r w:rsidRPr="00CF219D">
              <w:rPr>
                <w:rFonts w:ascii="Times New Roman" w:hAnsi="Times New Roman"/>
              </w:rPr>
              <w:t>116</w:t>
            </w:r>
            <w:r>
              <w:rPr>
                <w:rFonts w:ascii="Times New Roman" w:hAnsi="Times New Roman"/>
              </w:rPr>
              <w:t xml:space="preserve">, lid </w:t>
            </w:r>
            <w:r w:rsidRPr="00CF219D">
              <w:rPr>
                <w:rFonts w:ascii="Times New Roman" w:hAnsi="Times New Roman"/>
              </w:rPr>
              <w:t>4</w:t>
            </w:r>
            <w:r>
              <w:rPr>
                <w:rFonts w:ascii="Times New Roman" w:hAnsi="Times New Roman"/>
              </w:rPr>
              <w:t xml:space="preserve">, van de VKV.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w:t>
            </w:r>
            <w:r w:rsidRPr="00CF219D">
              <w:rPr>
                <w:rFonts w:ascii="Times New Roman" w:hAnsi="Times New Roman"/>
              </w:rPr>
              <w:t>130</w:t>
            </w:r>
            <w:r>
              <w:rPr>
                <w:rFonts w:ascii="Times New Roman" w:hAnsi="Times New Roman"/>
              </w:rPr>
              <w:t>;</w:t>
            </w:r>
            <w:r w:rsidRPr="00CF219D">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Als landen behandelde publiekrechtelijke lichamen — Blootstellingswaarde voor de berekening van de hefboomratio — Blootstellingen in het kader van de interneratingbenadering</w:t>
            </w:r>
          </w:p>
          <w:p w:rsidR="002509B1" w:rsidRPr="00FE002E" w:rsidRDefault="002509B1" w:rsidP="007E2A41">
            <w:pPr>
              <w:pStyle w:val="BodyText1"/>
              <w:spacing w:line="240" w:lineRule="auto"/>
              <w:rPr>
                <w:rFonts w:ascii="Times New Roman" w:hAnsi="Times New Roman"/>
                <w:b/>
              </w:rPr>
            </w:pPr>
          </w:p>
          <w:p w:rsidR="002509B1" w:rsidRDefault="00F4754B" w:rsidP="007E2A41">
            <w:pPr>
              <w:pStyle w:val="BodyText1"/>
              <w:spacing w:line="240" w:lineRule="auto"/>
              <w:rPr>
                <w:rFonts w:ascii="Times New Roman" w:hAnsi="Times New Roman"/>
                <w:bCs/>
              </w:rPr>
            </w:pPr>
            <w:r>
              <w:rPr>
                <w:rFonts w:ascii="Times New Roman" w:hAnsi="Times New Roman"/>
              </w:rPr>
              <w:t xml:space="preserve">De blootstellingswaarde voor de berekening van de hefboomratio van activa die blootstellingen zijn met betrekking tot publiekrechtelijke lichamen die vallen onder artikel </w:t>
            </w:r>
            <w:r w:rsidRPr="00CF219D">
              <w:rPr>
                <w:rFonts w:ascii="Times New Roman" w:hAnsi="Times New Roman"/>
              </w:rPr>
              <w:t>147</w:t>
            </w:r>
            <w:r>
              <w:rPr>
                <w:rFonts w:ascii="Times New Roman" w:hAnsi="Times New Roman"/>
              </w:rPr>
              <w:t xml:space="preserve">, lid </w:t>
            </w:r>
            <w:r w:rsidRPr="00CF219D">
              <w:rPr>
                <w:rFonts w:ascii="Times New Roman" w:hAnsi="Times New Roman"/>
              </w:rPr>
              <w:t>3</w:t>
            </w:r>
            <w:r>
              <w:rPr>
                <w:rFonts w:ascii="Times New Roman" w:hAnsi="Times New Roman"/>
              </w:rPr>
              <w:t>, onder a), van de VKV.</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CF219D">
              <w:rPr>
                <w:rFonts w:ascii="Times New Roman" w:hAnsi="Times New Roman"/>
              </w:rPr>
              <w:t>130</w:t>
            </w:r>
            <w:r>
              <w:rPr>
                <w:rFonts w:ascii="Times New Roman" w:hAnsi="Times New Roman"/>
              </w:rPr>
              <w:t>;</w:t>
            </w:r>
            <w:r w:rsidRPr="00CF219D">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Als landen behandelde publiekrechtelijke lichamen — Risicogewogen activa — Blootstellingen in het kader van de standaardbenadering</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 risicogewogen posten van activa die blootstellingen zijn met betrekking tot publiekrechtelijke lichamen die vallen onder artikel </w:t>
            </w:r>
            <w:r w:rsidRPr="00CF219D">
              <w:rPr>
                <w:rFonts w:ascii="Times New Roman" w:hAnsi="Times New Roman"/>
              </w:rPr>
              <w:t>116</w:t>
            </w:r>
            <w:r>
              <w:rPr>
                <w:rFonts w:ascii="Times New Roman" w:hAnsi="Times New Roman"/>
              </w:rPr>
              <w:t xml:space="preserve">, lid </w:t>
            </w:r>
            <w:r w:rsidRPr="00CF219D">
              <w:rPr>
                <w:rFonts w:ascii="Times New Roman" w:hAnsi="Times New Roman"/>
              </w:rPr>
              <w:t>4</w:t>
            </w:r>
            <w:r>
              <w:rPr>
                <w:rFonts w:ascii="Times New Roman" w:hAnsi="Times New Roman"/>
              </w:rPr>
              <w:t xml:space="preserve">, van de VKV.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CF219D">
              <w:rPr>
                <w:rFonts w:ascii="Times New Roman" w:hAnsi="Times New Roman"/>
              </w:rPr>
              <w:t>130</w:t>
            </w:r>
            <w:r>
              <w:rPr>
                <w:rFonts w:ascii="Times New Roman" w:hAnsi="Times New Roman"/>
              </w:rPr>
              <w:t>;</w:t>
            </w:r>
            <w:r w:rsidRPr="00CF219D">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Als landen behandelde publiekrechtelijke lichamen — Risicogewogen activa — Blootstellingen in het kader van de interneratingbenadering</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 risicogewogen posten van activa die blootstellingen zijn met betrekking tot publiekrechtelijke lichamen die vallen onder artikel </w:t>
            </w:r>
            <w:r w:rsidRPr="00CF219D">
              <w:rPr>
                <w:rFonts w:ascii="Times New Roman" w:hAnsi="Times New Roman"/>
              </w:rPr>
              <w:t>147</w:t>
            </w:r>
            <w:r>
              <w:rPr>
                <w:rFonts w:ascii="Times New Roman" w:hAnsi="Times New Roman"/>
              </w:rPr>
              <w:t xml:space="preserve">, lid </w:t>
            </w:r>
            <w:r w:rsidRPr="00CF219D">
              <w:rPr>
                <w:rFonts w:ascii="Times New Roman" w:hAnsi="Times New Roman"/>
              </w:rPr>
              <w:t>3</w:t>
            </w:r>
            <w:r>
              <w:rPr>
                <w:rFonts w:ascii="Times New Roman" w:hAnsi="Times New Roman"/>
              </w:rPr>
              <w:t xml:space="preserve">, onder a), van de VKV.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 xml:space="preserve">Instellingen rapporteren deze blootstellingen na aftrek van blootstellingen ten aanzien waarvan </w:t>
            </w:r>
            <w:r>
              <w:rPr>
                <w:rFonts w:ascii="Times New Roman" w:hAnsi="Times New Roman"/>
              </w:rPr>
              <w:lastRenderedPageBreak/>
              <w:t>zich een wanbetaling heeft voorgedaan.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w:t>
            </w:r>
            <w:r w:rsidRPr="00CF219D">
              <w:rPr>
                <w:rFonts w:ascii="Times New Roman" w:hAnsi="Times New Roman"/>
              </w:rPr>
              <w:t>140</w:t>
            </w:r>
            <w:r>
              <w:rPr>
                <w:rFonts w:ascii="Times New Roman" w:hAnsi="Times New Roman"/>
              </w:rPr>
              <w:t>;</w:t>
            </w:r>
            <w:r w:rsidRPr="00CF219D">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Blootstellingen met betrekking tot </w:t>
            </w:r>
            <w:r>
              <w:rPr>
                <w:rFonts w:ascii="Times New Roman" w:hAnsi="Times New Roman"/>
                <w:b/>
                <w:u w:val="single"/>
              </w:rPr>
              <w:t>niet</w:t>
            </w:r>
            <w:r>
              <w:rPr>
                <w:rFonts w:ascii="Times New Roman" w:hAnsi="Times New Roman"/>
                <w:b/>
              </w:rPr>
              <w:t xml:space="preserve"> als landen behandelde regionale overheden, multilaterale ontwikkelingsbanken, internationale organisaties en publiekrechtelijke lichamen — Blootstellingswaarde voor de berekening van de hefboomratio — Blootstellingen in het kader van de standaardbenadering</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Dit is de som van de cellen {</w:t>
            </w:r>
            <w:r w:rsidRPr="00CF219D">
              <w:rPr>
                <w:rFonts w:ascii="Times New Roman" w:hAnsi="Times New Roman"/>
              </w:rPr>
              <w:t>150</w:t>
            </w:r>
            <w:r>
              <w:rPr>
                <w:rFonts w:ascii="Times New Roman" w:hAnsi="Times New Roman"/>
              </w:rPr>
              <w:t>;</w:t>
            </w:r>
            <w:r w:rsidRPr="00CF219D">
              <w:rPr>
                <w:rFonts w:ascii="Times New Roman" w:hAnsi="Times New Roman"/>
              </w:rPr>
              <w:t>010</w:t>
            </w:r>
            <w:r>
              <w:rPr>
                <w:rFonts w:ascii="Times New Roman" w:hAnsi="Times New Roman"/>
              </w:rPr>
              <w:t>} tot en met {</w:t>
            </w:r>
            <w:r w:rsidRPr="00CF219D">
              <w:rPr>
                <w:rFonts w:ascii="Times New Roman" w:hAnsi="Times New Roman"/>
              </w:rPr>
              <w:t>170</w:t>
            </w:r>
            <w:r>
              <w:rPr>
                <w:rFonts w:ascii="Times New Roman" w:hAnsi="Times New Roman"/>
              </w:rPr>
              <w:t>;</w:t>
            </w:r>
            <w:r w:rsidRPr="00CF219D">
              <w:rPr>
                <w:rFonts w:ascii="Times New Roman" w:hAnsi="Times New Roman"/>
              </w:rPr>
              <w:t>010</w:t>
            </w:r>
            <w:r>
              <w:rPr>
                <w:rFonts w:ascii="Times New Roman" w:hAnsi="Times New Roman"/>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CF219D">
              <w:rPr>
                <w:rFonts w:ascii="Times New Roman" w:hAnsi="Times New Roman"/>
              </w:rPr>
              <w:t>140</w:t>
            </w:r>
            <w:r>
              <w:rPr>
                <w:rFonts w:ascii="Times New Roman" w:hAnsi="Times New Roman"/>
              </w:rPr>
              <w:t>;</w:t>
            </w:r>
            <w:r w:rsidRPr="00CF219D">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Blootstellingen met betrekking tot </w:t>
            </w:r>
            <w:r>
              <w:rPr>
                <w:rFonts w:ascii="Times New Roman" w:hAnsi="Times New Roman"/>
                <w:b/>
                <w:u w:val="single"/>
              </w:rPr>
              <w:t>niet</w:t>
            </w:r>
            <w:r>
              <w:rPr>
                <w:rFonts w:ascii="Times New Roman" w:hAnsi="Times New Roman"/>
                <w:b/>
              </w:rPr>
              <w:t xml:space="preserve"> als landen behandelde regionale overheden, multilaterale ontwikkelingsbanken, internationale organisaties en publiekrechtelijke lichamen — Blootstellingswaarde voor de berekening van de hefboomratio — Blootstellingen in het kader van de interneratingbenadering</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Dit is de som van de cellen {</w:t>
            </w:r>
            <w:r w:rsidRPr="00CF219D">
              <w:rPr>
                <w:rFonts w:ascii="Times New Roman" w:hAnsi="Times New Roman"/>
              </w:rPr>
              <w:t>150</w:t>
            </w:r>
            <w:r>
              <w:rPr>
                <w:rFonts w:ascii="Times New Roman" w:hAnsi="Times New Roman"/>
              </w:rPr>
              <w:t>;</w:t>
            </w:r>
            <w:r w:rsidRPr="00CF219D">
              <w:rPr>
                <w:rFonts w:ascii="Times New Roman" w:hAnsi="Times New Roman"/>
              </w:rPr>
              <w:t>020</w:t>
            </w:r>
            <w:r>
              <w:rPr>
                <w:rFonts w:ascii="Times New Roman" w:hAnsi="Times New Roman"/>
              </w:rPr>
              <w:t>} tot en met {</w:t>
            </w:r>
            <w:r w:rsidRPr="00CF219D">
              <w:rPr>
                <w:rFonts w:ascii="Times New Roman" w:hAnsi="Times New Roman"/>
              </w:rPr>
              <w:t>170</w:t>
            </w:r>
            <w:r>
              <w:rPr>
                <w:rFonts w:ascii="Times New Roman" w:hAnsi="Times New Roman"/>
              </w:rPr>
              <w:t>;</w:t>
            </w:r>
            <w:r w:rsidRPr="00CF219D">
              <w:rPr>
                <w:rFonts w:ascii="Times New Roman" w:hAnsi="Times New Roman"/>
              </w:rPr>
              <w:t>020</w:t>
            </w:r>
            <w:r>
              <w:rPr>
                <w:rFonts w:ascii="Times New Roman" w:hAnsi="Times New Roman"/>
              </w:rPr>
              <w:t>}.</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CF219D">
              <w:rPr>
                <w:rFonts w:ascii="Times New Roman" w:hAnsi="Times New Roman"/>
              </w:rPr>
              <w:t>140</w:t>
            </w:r>
            <w:r>
              <w:rPr>
                <w:rFonts w:ascii="Times New Roman" w:hAnsi="Times New Roman"/>
              </w:rPr>
              <w:t>;</w:t>
            </w:r>
            <w:r w:rsidRPr="00CF219D">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Blootstellingen met betrekking tot </w:t>
            </w:r>
            <w:r>
              <w:rPr>
                <w:rFonts w:ascii="Times New Roman" w:hAnsi="Times New Roman"/>
                <w:b/>
                <w:u w:val="single"/>
              </w:rPr>
              <w:t>niet</w:t>
            </w:r>
            <w:r>
              <w:rPr>
                <w:rFonts w:ascii="Times New Roman" w:hAnsi="Times New Roman"/>
                <w:b/>
              </w:rPr>
              <w:t xml:space="preserve"> als landen behandelde regionale overheden, multilaterale ontwikkelingsbanken, internationale organisaties en publiekrechtelijke lichamen — Risicogewogen activa — Blootstellingen in het kader van de standaardbenadering</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Dit is de som van de cellen {</w:t>
            </w:r>
            <w:r w:rsidRPr="00CF219D">
              <w:rPr>
                <w:rFonts w:ascii="Times New Roman" w:hAnsi="Times New Roman"/>
              </w:rPr>
              <w:t>150</w:t>
            </w:r>
            <w:r>
              <w:rPr>
                <w:rFonts w:ascii="Times New Roman" w:hAnsi="Times New Roman"/>
              </w:rPr>
              <w:t>;</w:t>
            </w:r>
            <w:r w:rsidRPr="00CF219D">
              <w:rPr>
                <w:rFonts w:ascii="Times New Roman" w:hAnsi="Times New Roman"/>
              </w:rPr>
              <w:t>030</w:t>
            </w:r>
            <w:r>
              <w:rPr>
                <w:rFonts w:ascii="Times New Roman" w:hAnsi="Times New Roman"/>
              </w:rPr>
              <w:t>} tot en met {</w:t>
            </w:r>
            <w:r w:rsidRPr="00CF219D">
              <w:rPr>
                <w:rFonts w:ascii="Times New Roman" w:hAnsi="Times New Roman"/>
              </w:rPr>
              <w:t>170</w:t>
            </w:r>
            <w:r>
              <w:rPr>
                <w:rFonts w:ascii="Times New Roman" w:hAnsi="Times New Roman"/>
              </w:rPr>
              <w:t>;</w:t>
            </w:r>
            <w:r w:rsidRPr="00CF219D">
              <w:rPr>
                <w:rFonts w:ascii="Times New Roman" w:hAnsi="Times New Roman"/>
              </w:rPr>
              <w:t>030</w:t>
            </w:r>
            <w:r>
              <w:rPr>
                <w:rFonts w:ascii="Times New Roman" w:hAnsi="Times New Roman"/>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CF219D">
              <w:rPr>
                <w:rFonts w:ascii="Times New Roman" w:hAnsi="Times New Roman"/>
              </w:rPr>
              <w:t>140</w:t>
            </w:r>
            <w:r>
              <w:rPr>
                <w:rFonts w:ascii="Times New Roman" w:hAnsi="Times New Roman"/>
              </w:rPr>
              <w:t>;</w:t>
            </w:r>
            <w:r w:rsidRPr="00CF219D">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Blootstellingen met betrekking tot </w:t>
            </w:r>
            <w:r>
              <w:rPr>
                <w:rFonts w:ascii="Times New Roman" w:hAnsi="Times New Roman"/>
                <w:b/>
                <w:u w:val="single"/>
              </w:rPr>
              <w:t>niet</w:t>
            </w:r>
            <w:r>
              <w:rPr>
                <w:rFonts w:ascii="Times New Roman" w:hAnsi="Times New Roman"/>
                <w:b/>
              </w:rPr>
              <w:t xml:space="preserve"> als landen behandelde regionale overheden, multilaterale ontwikkelingsbanken, internationale organisaties en publiekrechtelijke lichamen — Risicogewogen activa — Blootstellingen in het kader van de interneratingbenadering</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Dit is de som van de cellen {</w:t>
            </w:r>
            <w:r w:rsidRPr="00CF219D">
              <w:rPr>
                <w:rFonts w:ascii="Times New Roman" w:hAnsi="Times New Roman"/>
              </w:rPr>
              <w:t>150</w:t>
            </w:r>
            <w:r>
              <w:rPr>
                <w:rFonts w:ascii="Times New Roman" w:hAnsi="Times New Roman"/>
              </w:rPr>
              <w:t>;</w:t>
            </w:r>
            <w:r w:rsidRPr="00CF219D">
              <w:rPr>
                <w:rFonts w:ascii="Times New Roman" w:hAnsi="Times New Roman"/>
              </w:rPr>
              <w:t>040</w:t>
            </w:r>
            <w:r>
              <w:rPr>
                <w:rFonts w:ascii="Times New Roman" w:hAnsi="Times New Roman"/>
              </w:rPr>
              <w:t>} tot en met {</w:t>
            </w:r>
            <w:r w:rsidRPr="00CF219D">
              <w:rPr>
                <w:rFonts w:ascii="Times New Roman" w:hAnsi="Times New Roman"/>
              </w:rPr>
              <w:t>170</w:t>
            </w:r>
            <w:r>
              <w:rPr>
                <w:rFonts w:ascii="Times New Roman" w:hAnsi="Times New Roman"/>
              </w:rPr>
              <w:t>;</w:t>
            </w:r>
            <w:r w:rsidRPr="00CF219D">
              <w:rPr>
                <w:rFonts w:ascii="Times New Roman" w:hAnsi="Times New Roman"/>
              </w:rPr>
              <w:t>040</w:t>
            </w:r>
            <w:r>
              <w:rPr>
                <w:rFonts w:ascii="Times New Roman" w:hAnsi="Times New Roman"/>
              </w:rPr>
              <w:t>}.</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CF219D">
              <w:rPr>
                <w:rFonts w:ascii="Times New Roman" w:hAnsi="Times New Roman"/>
              </w:rPr>
              <w:t>150</w:t>
            </w:r>
            <w:r>
              <w:rPr>
                <w:rFonts w:ascii="Times New Roman" w:hAnsi="Times New Roman"/>
              </w:rPr>
              <w:t>;</w:t>
            </w:r>
            <w:r w:rsidRPr="00CF219D">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u w:val="single"/>
              </w:rPr>
              <w:t>Niet</w:t>
            </w:r>
            <w:r>
              <w:rPr>
                <w:rFonts w:ascii="Times New Roman" w:hAnsi="Times New Roman"/>
                <w:b/>
              </w:rPr>
              <w:t xml:space="preserve"> als landen behandelde regionale en lokale overheden – Blootstellingswaarde voor de berekening van de hefboomratio – Blootstellingen in het kader van de standaardbenadering</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 blootstellingswaarde voor de berekening van de hefboomratio van activa die blootstellingen zijn met betrekking tot regionale en lokale overheden die niet als landen worden behandeld en die vallen onder artikel </w:t>
            </w:r>
            <w:r w:rsidRPr="00CF219D">
              <w:rPr>
                <w:rFonts w:ascii="Times New Roman" w:hAnsi="Times New Roman"/>
              </w:rPr>
              <w:t>115</w:t>
            </w:r>
            <w:r>
              <w:rPr>
                <w:rFonts w:ascii="Times New Roman" w:hAnsi="Times New Roman"/>
              </w:rPr>
              <w:t xml:space="preserve">, leden </w:t>
            </w:r>
            <w:r w:rsidRPr="00CF219D">
              <w:rPr>
                <w:rFonts w:ascii="Times New Roman" w:hAnsi="Times New Roman"/>
              </w:rPr>
              <w:t>1</w:t>
            </w:r>
            <w:r>
              <w:rPr>
                <w:rFonts w:ascii="Times New Roman" w:hAnsi="Times New Roman"/>
              </w:rPr>
              <w:t xml:space="preserve">, </w:t>
            </w:r>
            <w:r w:rsidRPr="00CF219D">
              <w:rPr>
                <w:rFonts w:ascii="Times New Roman" w:hAnsi="Times New Roman"/>
              </w:rPr>
              <w:t>3</w:t>
            </w:r>
            <w:r>
              <w:rPr>
                <w:rFonts w:ascii="Times New Roman" w:hAnsi="Times New Roman"/>
              </w:rPr>
              <w:t xml:space="preserve"> en </w:t>
            </w:r>
            <w:r w:rsidRPr="00CF219D">
              <w:rPr>
                <w:rFonts w:ascii="Times New Roman" w:hAnsi="Times New Roman"/>
              </w:rPr>
              <w:t>5</w:t>
            </w:r>
            <w:r>
              <w:rPr>
                <w:rFonts w:ascii="Times New Roman" w:hAnsi="Times New Roman"/>
              </w:rPr>
              <w:t xml:space="preserve">, van de VKV.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w:t>
            </w:r>
            <w:r w:rsidRPr="00CF219D">
              <w:rPr>
                <w:rFonts w:ascii="Times New Roman" w:hAnsi="Times New Roman"/>
              </w:rPr>
              <w:t>150</w:t>
            </w:r>
            <w:r>
              <w:rPr>
                <w:rFonts w:ascii="Times New Roman" w:hAnsi="Times New Roman"/>
              </w:rPr>
              <w:t>;</w:t>
            </w:r>
            <w:r w:rsidRPr="00CF219D">
              <w:rPr>
                <w:rFonts w:ascii="Times New Roman" w:hAnsi="Times New Roman"/>
              </w:rPr>
              <w:t>020</w:t>
            </w:r>
            <w:r>
              <w:rPr>
                <w:rFonts w:ascii="Times New Roman" w:hAnsi="Times New Roman"/>
              </w:rPr>
              <w:t>}</w:t>
            </w:r>
          </w:p>
        </w:tc>
        <w:tc>
          <w:tcPr>
            <w:tcW w:w="8133" w:type="dxa"/>
            <w:shd w:val="clear" w:color="auto" w:fill="FFFFFF"/>
          </w:tcPr>
          <w:p w:rsidR="002509B1" w:rsidRPr="00FE002E" w:rsidRDefault="00F4754B" w:rsidP="007E2A41">
            <w:pPr>
              <w:pStyle w:val="BodyText1"/>
              <w:spacing w:line="240" w:lineRule="auto"/>
              <w:rPr>
                <w:rFonts w:ascii="Times New Roman" w:hAnsi="Times New Roman"/>
                <w:b/>
                <w:bCs/>
              </w:rPr>
            </w:pPr>
            <w:r>
              <w:rPr>
                <w:rFonts w:ascii="Times New Roman" w:hAnsi="Times New Roman"/>
                <w:b/>
                <w:u w:val="single"/>
              </w:rPr>
              <w:t>Niet</w:t>
            </w:r>
            <w:r>
              <w:rPr>
                <w:rFonts w:ascii="Times New Roman" w:hAnsi="Times New Roman"/>
                <w:b/>
              </w:rPr>
              <w:t xml:space="preserve"> als landen behandelde regionale en lokale overheden – Blootstellingswaarde voor de berekening van de hefboomratio – Blootstellingen in het kader van de interneratingbenadering</w:t>
            </w:r>
          </w:p>
          <w:p w:rsidR="00F4754B" w:rsidRPr="00FE002E" w:rsidRDefault="00F4754B" w:rsidP="007E2A41">
            <w:pPr>
              <w:pStyle w:val="BodyText1"/>
              <w:spacing w:line="240" w:lineRule="auto"/>
              <w:rPr>
                <w:rFonts w:ascii="Times New Roman" w:hAnsi="Times New Roman"/>
                <w:b/>
              </w:rPr>
            </w:pPr>
            <w:r>
              <w:rPr>
                <w:rFonts w:ascii="Times New Roman" w:hAnsi="Times New Roman"/>
                <w:b/>
              </w:rPr>
              <w:t xml:space="preserve"> </w:t>
            </w:r>
          </w:p>
          <w:p w:rsidR="002509B1" w:rsidRDefault="00F4754B" w:rsidP="007E2A41">
            <w:pPr>
              <w:pStyle w:val="BodyText1"/>
              <w:spacing w:line="240" w:lineRule="auto"/>
              <w:rPr>
                <w:rFonts w:ascii="Times New Roman" w:hAnsi="Times New Roman"/>
                <w:bCs/>
              </w:rPr>
            </w:pPr>
            <w:r>
              <w:rPr>
                <w:rFonts w:ascii="Times New Roman" w:hAnsi="Times New Roman"/>
              </w:rPr>
              <w:t xml:space="preserve">De blootstellingswaarde voor de berekening van de hefboomratio van activa die blootstellingen zijn met betrekking tot regionale en lokale overheden die niet als landen worden behandeld en die vallen onder artikel </w:t>
            </w:r>
            <w:r w:rsidRPr="00CF219D">
              <w:rPr>
                <w:rFonts w:ascii="Times New Roman" w:hAnsi="Times New Roman"/>
              </w:rPr>
              <w:t>147</w:t>
            </w:r>
            <w:r>
              <w:rPr>
                <w:rFonts w:ascii="Times New Roman" w:hAnsi="Times New Roman"/>
              </w:rPr>
              <w:t xml:space="preserve">, lid </w:t>
            </w:r>
            <w:r w:rsidRPr="00CF219D">
              <w:rPr>
                <w:rFonts w:ascii="Times New Roman" w:hAnsi="Times New Roman"/>
              </w:rPr>
              <w:t>4</w:t>
            </w:r>
            <w:r>
              <w:rPr>
                <w:rFonts w:ascii="Times New Roman" w:hAnsi="Times New Roman"/>
              </w:rPr>
              <w:t xml:space="preserve">, onder a), van de VKV.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F4754B" w:rsidRPr="00FE002E" w:rsidDel="00F559E6" w:rsidRDefault="00F4754B" w:rsidP="007E2A41">
            <w:pPr>
              <w:pStyle w:val="BodyText1"/>
              <w:spacing w:line="240" w:lineRule="auto"/>
              <w:rPr>
                <w:rFonts w:ascii="Times New Roman" w:hAnsi="Times New Roman"/>
                <w:b/>
                <w:bCs/>
                <w:u w:val="single"/>
              </w:rPr>
            </w:pPr>
            <w:r>
              <w:rPr>
                <w:rFonts w:ascii="Times New Roman" w:hAnsi="Times New Roman"/>
              </w:rPr>
              <w:t xml:space="preserve"> </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w:t>
            </w:r>
            <w:r w:rsidRPr="00CF219D">
              <w:rPr>
                <w:rFonts w:ascii="Times New Roman" w:hAnsi="Times New Roman"/>
              </w:rPr>
              <w:t>150</w:t>
            </w:r>
            <w:r>
              <w:rPr>
                <w:rFonts w:ascii="Times New Roman" w:hAnsi="Times New Roman"/>
              </w:rPr>
              <w:t>;</w:t>
            </w:r>
            <w:r w:rsidRPr="00CF219D">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u w:val="single"/>
              </w:rPr>
              <w:t>Niet</w:t>
            </w:r>
            <w:r>
              <w:rPr>
                <w:rFonts w:ascii="Times New Roman" w:hAnsi="Times New Roman"/>
                <w:b/>
              </w:rPr>
              <w:t xml:space="preserve"> als landen behandelde regionale en lokale overheden — Risicogewogen activa — Blootstellingen in het kader van de standaardbenadering </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 risicogewogen posten van activa die blootstellingen zijn met betrekking tot regionale en lokale overheden die niet als landen worden behandeld en die vallen onder artikel </w:t>
            </w:r>
            <w:r w:rsidRPr="00CF219D">
              <w:rPr>
                <w:rFonts w:ascii="Times New Roman" w:hAnsi="Times New Roman"/>
              </w:rPr>
              <w:t>115</w:t>
            </w:r>
            <w:r>
              <w:rPr>
                <w:rFonts w:ascii="Times New Roman" w:hAnsi="Times New Roman"/>
              </w:rPr>
              <w:t xml:space="preserve">, leden </w:t>
            </w:r>
            <w:r w:rsidRPr="00CF219D">
              <w:rPr>
                <w:rFonts w:ascii="Times New Roman" w:hAnsi="Times New Roman"/>
              </w:rPr>
              <w:t>1</w:t>
            </w:r>
            <w:r>
              <w:rPr>
                <w:rFonts w:ascii="Times New Roman" w:hAnsi="Times New Roman"/>
              </w:rPr>
              <w:t xml:space="preserve">, </w:t>
            </w:r>
            <w:r w:rsidRPr="00CF219D">
              <w:rPr>
                <w:rFonts w:ascii="Times New Roman" w:hAnsi="Times New Roman"/>
              </w:rPr>
              <w:t>3</w:t>
            </w:r>
            <w:r>
              <w:rPr>
                <w:rFonts w:ascii="Times New Roman" w:hAnsi="Times New Roman"/>
              </w:rPr>
              <w:t xml:space="preserve"> en </w:t>
            </w:r>
            <w:r w:rsidRPr="00CF219D">
              <w:rPr>
                <w:rFonts w:ascii="Times New Roman" w:hAnsi="Times New Roman"/>
              </w:rPr>
              <w:t>5</w:t>
            </w:r>
            <w:r>
              <w:rPr>
                <w:rFonts w:ascii="Times New Roman" w:hAnsi="Times New Roman"/>
              </w:rPr>
              <w:t xml:space="preserve">, van de VKV.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CF219D">
              <w:rPr>
                <w:rFonts w:ascii="Times New Roman" w:hAnsi="Times New Roman"/>
              </w:rPr>
              <w:t>150</w:t>
            </w:r>
            <w:r>
              <w:rPr>
                <w:rFonts w:ascii="Times New Roman" w:hAnsi="Times New Roman"/>
              </w:rPr>
              <w:t>;</w:t>
            </w:r>
            <w:r w:rsidRPr="00CF219D">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u w:val="single"/>
              </w:rPr>
              <w:t>Niet</w:t>
            </w:r>
            <w:r>
              <w:rPr>
                <w:rFonts w:ascii="Times New Roman" w:hAnsi="Times New Roman"/>
                <w:b/>
              </w:rPr>
              <w:t xml:space="preserve"> als landen behandelde regionale en lokale overheden — Risicogewogen activa — Blootstellingen in het kader van de interneratingbenadering</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 risicogewogen posten van activa die blootstellingen zijn met betrekking tot regionale en lokale overheden die niet als landen worden behandeld en die vallen onder artikel </w:t>
            </w:r>
            <w:r w:rsidRPr="00CF219D">
              <w:rPr>
                <w:rFonts w:ascii="Times New Roman" w:hAnsi="Times New Roman"/>
              </w:rPr>
              <w:t>147</w:t>
            </w:r>
            <w:r>
              <w:rPr>
                <w:rFonts w:ascii="Times New Roman" w:hAnsi="Times New Roman"/>
              </w:rPr>
              <w:t xml:space="preserve">, lid </w:t>
            </w:r>
            <w:r w:rsidRPr="00CF219D">
              <w:rPr>
                <w:rFonts w:ascii="Times New Roman" w:hAnsi="Times New Roman"/>
              </w:rPr>
              <w:t>4</w:t>
            </w:r>
            <w:r>
              <w:rPr>
                <w:rFonts w:ascii="Times New Roman" w:hAnsi="Times New Roman"/>
              </w:rPr>
              <w:t>, onder a), van de VKV.</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CF219D">
              <w:rPr>
                <w:rFonts w:ascii="Times New Roman" w:hAnsi="Times New Roman"/>
              </w:rPr>
              <w:t>160</w:t>
            </w:r>
            <w:r>
              <w:rPr>
                <w:rFonts w:ascii="Times New Roman" w:hAnsi="Times New Roman"/>
              </w:rPr>
              <w:t>;</w:t>
            </w:r>
            <w:r w:rsidRPr="00CF219D">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u w:val="single"/>
              </w:rPr>
              <w:t>Niet</w:t>
            </w:r>
            <w:r>
              <w:rPr>
                <w:rFonts w:ascii="Times New Roman" w:hAnsi="Times New Roman"/>
                <w:b/>
              </w:rPr>
              <w:t xml:space="preserve"> als landen behandelde multilaterale ontwikkelingsbanken — Blootstellingswaarde voor de berekening van de hefboomratio — Blootstellingen in het kader van de standaardbenadering</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 blootstellingswaarde voor de berekening van de hefboomratio van activa die blootstellingen zijn met betrekking tot multilaterale ontwikkelingsbanken die vallen onder artikel </w:t>
            </w:r>
            <w:r w:rsidRPr="00CF219D">
              <w:rPr>
                <w:rFonts w:ascii="Times New Roman" w:hAnsi="Times New Roman"/>
              </w:rPr>
              <w:t>117</w:t>
            </w:r>
            <w:r>
              <w:rPr>
                <w:rFonts w:ascii="Times New Roman" w:hAnsi="Times New Roman"/>
              </w:rPr>
              <w:t xml:space="preserve">, leden </w:t>
            </w:r>
            <w:r w:rsidRPr="00CF219D">
              <w:rPr>
                <w:rFonts w:ascii="Times New Roman" w:hAnsi="Times New Roman"/>
              </w:rPr>
              <w:t>1</w:t>
            </w:r>
            <w:r>
              <w:rPr>
                <w:rFonts w:ascii="Times New Roman" w:hAnsi="Times New Roman"/>
              </w:rPr>
              <w:t xml:space="preserve"> en </w:t>
            </w:r>
            <w:r w:rsidRPr="00CF219D">
              <w:rPr>
                <w:rFonts w:ascii="Times New Roman" w:hAnsi="Times New Roman"/>
              </w:rPr>
              <w:t>3</w:t>
            </w:r>
            <w:r>
              <w:rPr>
                <w:rFonts w:ascii="Times New Roman" w:hAnsi="Times New Roman"/>
              </w:rPr>
              <w:t xml:space="preserve">, van de VKV.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CF219D">
              <w:rPr>
                <w:rFonts w:ascii="Times New Roman" w:hAnsi="Times New Roman"/>
              </w:rPr>
              <w:t>160</w:t>
            </w:r>
            <w:r>
              <w:rPr>
                <w:rFonts w:ascii="Times New Roman" w:hAnsi="Times New Roman"/>
              </w:rPr>
              <w:t>;</w:t>
            </w:r>
            <w:r w:rsidRPr="00CF219D">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u w:val="single"/>
              </w:rPr>
              <w:t>Niet</w:t>
            </w:r>
            <w:r>
              <w:rPr>
                <w:rFonts w:ascii="Times New Roman" w:hAnsi="Times New Roman"/>
                <w:b/>
              </w:rPr>
              <w:t xml:space="preserve"> als landen behandelde multilaterale ontwikkelingsbanken — Blootstellingswaarde voor de berekening van de hefboomratio — Blootstellingen in het kader van de interneratingbenadering</w:t>
            </w:r>
          </w:p>
          <w:p w:rsidR="002509B1" w:rsidRPr="00FE002E" w:rsidRDefault="002509B1" w:rsidP="007E2A41">
            <w:pPr>
              <w:pStyle w:val="BodyText1"/>
              <w:spacing w:line="240" w:lineRule="auto"/>
              <w:rPr>
                <w:rFonts w:ascii="Times New Roman" w:hAnsi="Times New Roman"/>
                <w:b/>
              </w:rPr>
            </w:pPr>
          </w:p>
          <w:p w:rsidR="002509B1" w:rsidRDefault="00F4754B" w:rsidP="007E2A41">
            <w:pPr>
              <w:pStyle w:val="BodyText1"/>
              <w:spacing w:line="240" w:lineRule="auto"/>
              <w:rPr>
                <w:rFonts w:ascii="Times New Roman" w:hAnsi="Times New Roman"/>
                <w:bCs/>
              </w:rPr>
            </w:pPr>
            <w:r>
              <w:rPr>
                <w:rFonts w:ascii="Times New Roman" w:hAnsi="Times New Roman"/>
              </w:rPr>
              <w:t xml:space="preserve">De blootstellingswaarde voor de berekening van de hefboomratio van activa die blootstellingen zijn met betrekking tot multilaterale ontwikkelingsbanken die niet als landen worden behandeld en die vallen onder artikel </w:t>
            </w:r>
            <w:r w:rsidRPr="00CF219D">
              <w:rPr>
                <w:rFonts w:ascii="Times New Roman" w:hAnsi="Times New Roman"/>
              </w:rPr>
              <w:t>147</w:t>
            </w:r>
            <w:r>
              <w:rPr>
                <w:rFonts w:ascii="Times New Roman" w:hAnsi="Times New Roman"/>
              </w:rPr>
              <w:t xml:space="preserve">, lid </w:t>
            </w:r>
            <w:r w:rsidRPr="00CF219D">
              <w:rPr>
                <w:rFonts w:ascii="Times New Roman" w:hAnsi="Times New Roman"/>
              </w:rPr>
              <w:t>4</w:t>
            </w:r>
            <w:r>
              <w:rPr>
                <w:rFonts w:ascii="Times New Roman" w:hAnsi="Times New Roman"/>
              </w:rPr>
              <w:t xml:space="preserve">, onder c), van de VKV. </w:t>
            </w:r>
          </w:p>
          <w:p w:rsidR="00315160" w:rsidRDefault="00315160"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9C4E79" w:rsidRPr="00FE002E" w:rsidDel="009A4B38"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CF219D">
              <w:rPr>
                <w:rFonts w:ascii="Times New Roman" w:hAnsi="Times New Roman"/>
              </w:rPr>
              <w:t>160</w:t>
            </w:r>
            <w:r>
              <w:rPr>
                <w:rFonts w:ascii="Times New Roman" w:hAnsi="Times New Roman"/>
              </w:rPr>
              <w:t>;</w:t>
            </w:r>
            <w:r w:rsidRPr="00CF219D">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u w:val="single"/>
              </w:rPr>
              <w:t>Niet</w:t>
            </w:r>
            <w:r>
              <w:rPr>
                <w:rFonts w:ascii="Times New Roman" w:hAnsi="Times New Roman"/>
                <w:b/>
              </w:rPr>
              <w:t xml:space="preserve"> als landen behandelde multilaterale ontwikkelingsbanken — Risicogewogen activa — Blootstellingen in het kader van de standaardbenadering</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 risicogewogen posten van activa die blootstellingen zijn met betrekking tot multilaterale ontwikkelingsbanken die vallen onder artikel </w:t>
            </w:r>
            <w:r w:rsidRPr="00CF219D">
              <w:rPr>
                <w:rFonts w:ascii="Times New Roman" w:hAnsi="Times New Roman"/>
              </w:rPr>
              <w:t>117</w:t>
            </w:r>
            <w:r>
              <w:rPr>
                <w:rFonts w:ascii="Times New Roman" w:hAnsi="Times New Roman"/>
              </w:rPr>
              <w:t xml:space="preserve">, leden </w:t>
            </w:r>
            <w:r w:rsidRPr="00CF219D">
              <w:rPr>
                <w:rFonts w:ascii="Times New Roman" w:hAnsi="Times New Roman"/>
              </w:rPr>
              <w:t>1</w:t>
            </w:r>
            <w:r>
              <w:rPr>
                <w:rFonts w:ascii="Times New Roman" w:hAnsi="Times New Roman"/>
              </w:rPr>
              <w:t xml:space="preserve"> en </w:t>
            </w:r>
            <w:r w:rsidRPr="00CF219D">
              <w:rPr>
                <w:rFonts w:ascii="Times New Roman" w:hAnsi="Times New Roman"/>
              </w:rPr>
              <w:t>3</w:t>
            </w:r>
            <w:r>
              <w:rPr>
                <w:rFonts w:ascii="Times New Roman" w:hAnsi="Times New Roman"/>
              </w:rPr>
              <w:t>, van de VKV.</w:t>
            </w:r>
          </w:p>
          <w:p w:rsidR="002509B1" w:rsidRDefault="002509B1" w:rsidP="007E2A41">
            <w:pPr>
              <w:pStyle w:val="BodyText1"/>
              <w:spacing w:line="240" w:lineRule="auto"/>
              <w:rPr>
                <w:rFonts w:ascii="Times New Roman" w:hAnsi="Times New Roman"/>
                <w:b/>
                <w:bCs/>
                <w:u w:val="single"/>
              </w:rPr>
            </w:pPr>
          </w:p>
          <w:p w:rsidR="00086A8A" w:rsidRPr="00E5591F" w:rsidRDefault="00086A8A"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CF219D">
              <w:rPr>
                <w:rFonts w:ascii="Times New Roman" w:hAnsi="Times New Roman"/>
              </w:rPr>
              <w:t>160</w:t>
            </w:r>
            <w:r>
              <w:rPr>
                <w:rFonts w:ascii="Times New Roman" w:hAnsi="Times New Roman"/>
              </w:rPr>
              <w:t>;</w:t>
            </w:r>
            <w:r w:rsidRPr="00CF219D">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u w:val="single"/>
              </w:rPr>
              <w:t>Niet</w:t>
            </w:r>
            <w:r>
              <w:rPr>
                <w:rFonts w:ascii="Times New Roman" w:hAnsi="Times New Roman"/>
                <w:b/>
              </w:rPr>
              <w:t xml:space="preserve"> als landen behandelde multilaterale ontwikkelingsbanken — Risicogewogen activa — Blootstellingen in het kader van de interneratingbenadering</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 risicogewogen posten van activa die blootstellingen zijn met betrekking tot multilaterale </w:t>
            </w:r>
            <w:r>
              <w:rPr>
                <w:rFonts w:ascii="Times New Roman" w:hAnsi="Times New Roman"/>
              </w:rPr>
              <w:lastRenderedPageBreak/>
              <w:t xml:space="preserve">ontwikkelingsbanken die niet als landen worden behandeld en die vallen onder artikel </w:t>
            </w:r>
            <w:r w:rsidRPr="00CF219D">
              <w:rPr>
                <w:rFonts w:ascii="Times New Roman" w:hAnsi="Times New Roman"/>
              </w:rPr>
              <w:t>147</w:t>
            </w:r>
            <w:r>
              <w:rPr>
                <w:rFonts w:ascii="Times New Roman" w:hAnsi="Times New Roman"/>
              </w:rPr>
              <w:t xml:space="preserve">, lid </w:t>
            </w:r>
            <w:r w:rsidRPr="00CF219D">
              <w:rPr>
                <w:rFonts w:ascii="Times New Roman" w:hAnsi="Times New Roman"/>
              </w:rPr>
              <w:t>4</w:t>
            </w:r>
            <w:r>
              <w:rPr>
                <w:rFonts w:ascii="Times New Roman" w:hAnsi="Times New Roman"/>
              </w:rPr>
              <w:t xml:space="preserve">, onder c), van de VKV.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lastRenderedPageBreak/>
              <w:t>{</w:t>
            </w:r>
            <w:r w:rsidRPr="00CF219D">
              <w:rPr>
                <w:rFonts w:ascii="Times New Roman" w:hAnsi="Times New Roman"/>
              </w:rPr>
              <w:t>170</w:t>
            </w:r>
            <w:r>
              <w:rPr>
                <w:rFonts w:ascii="Times New Roman" w:hAnsi="Times New Roman"/>
              </w:rPr>
              <w:t>;</w:t>
            </w:r>
            <w:r w:rsidRPr="00CF219D">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u w:val="single"/>
              </w:rPr>
              <w:t>Niet</w:t>
            </w:r>
            <w:r>
              <w:rPr>
                <w:rFonts w:ascii="Times New Roman" w:hAnsi="Times New Roman"/>
                <w:b/>
              </w:rPr>
              <w:t xml:space="preserve"> als landen behandelde publiekrechtelijke lichamen — Blootstellingswaarde voor de berekening van de hefboomratio — Blootstellingen in het kader van de standaardbenadering</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 blootstellingswaarde voor de berekening van de hefboomratio van activa die blootstellingen zijn met betrekking tot publiekrechtelijke lichamen die vallen onder artikel </w:t>
            </w:r>
            <w:r w:rsidRPr="00CF219D">
              <w:rPr>
                <w:rFonts w:ascii="Times New Roman" w:hAnsi="Times New Roman"/>
              </w:rPr>
              <w:t>116</w:t>
            </w:r>
            <w:r>
              <w:rPr>
                <w:rFonts w:ascii="Times New Roman" w:hAnsi="Times New Roman"/>
              </w:rPr>
              <w:t xml:space="preserve">, leden </w:t>
            </w:r>
            <w:r w:rsidRPr="00CF219D">
              <w:rPr>
                <w:rFonts w:ascii="Times New Roman" w:hAnsi="Times New Roman"/>
              </w:rPr>
              <w:t>1</w:t>
            </w:r>
            <w:r>
              <w:rPr>
                <w:rFonts w:ascii="Times New Roman" w:hAnsi="Times New Roman"/>
              </w:rPr>
              <w:t xml:space="preserve">, </w:t>
            </w:r>
            <w:r w:rsidRPr="00CF219D">
              <w:rPr>
                <w:rFonts w:ascii="Times New Roman" w:hAnsi="Times New Roman"/>
              </w:rPr>
              <w:t>2</w:t>
            </w:r>
            <w:r>
              <w:rPr>
                <w:rFonts w:ascii="Times New Roman" w:hAnsi="Times New Roman"/>
              </w:rPr>
              <w:t xml:space="preserve">, </w:t>
            </w:r>
            <w:r w:rsidRPr="00CF219D">
              <w:rPr>
                <w:rFonts w:ascii="Times New Roman" w:hAnsi="Times New Roman"/>
              </w:rPr>
              <w:t>3</w:t>
            </w:r>
            <w:r>
              <w:rPr>
                <w:rFonts w:ascii="Times New Roman" w:hAnsi="Times New Roman"/>
              </w:rPr>
              <w:t xml:space="preserve"> en </w:t>
            </w:r>
            <w:r w:rsidRPr="00CF219D">
              <w:rPr>
                <w:rFonts w:ascii="Times New Roman" w:hAnsi="Times New Roman"/>
              </w:rPr>
              <w:t>5</w:t>
            </w:r>
            <w:r>
              <w:rPr>
                <w:rFonts w:ascii="Times New Roman" w:hAnsi="Times New Roman"/>
              </w:rPr>
              <w:t xml:space="preserve">, van de VKV.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CF219D">
              <w:rPr>
                <w:rFonts w:ascii="Times New Roman" w:hAnsi="Times New Roman"/>
              </w:rPr>
              <w:t>170</w:t>
            </w:r>
            <w:r>
              <w:rPr>
                <w:rFonts w:ascii="Times New Roman" w:hAnsi="Times New Roman"/>
              </w:rPr>
              <w:t>;</w:t>
            </w:r>
            <w:r w:rsidRPr="00CF219D">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u w:val="single"/>
              </w:rPr>
              <w:t>Niet</w:t>
            </w:r>
            <w:r>
              <w:rPr>
                <w:rFonts w:ascii="Times New Roman" w:hAnsi="Times New Roman"/>
                <w:b/>
              </w:rPr>
              <w:t xml:space="preserve"> als landen behandelde publiekrechtelijke lichamen — Blootstellingswaarde voor de berekening van de hefboomratio — Blootstellingen in het kader van de interneratingbenadering</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 blootstellingswaarde voor de berekening van de hefboomratio van activa die blootstellingen zijn met betrekking tot publiekrechtelijke lichamen die niet als landen worden behandeld en die vallen onder artikel </w:t>
            </w:r>
            <w:r w:rsidRPr="00CF219D">
              <w:rPr>
                <w:rFonts w:ascii="Times New Roman" w:hAnsi="Times New Roman"/>
              </w:rPr>
              <w:t>147</w:t>
            </w:r>
            <w:r>
              <w:rPr>
                <w:rFonts w:ascii="Times New Roman" w:hAnsi="Times New Roman"/>
              </w:rPr>
              <w:t xml:space="preserve">, lid </w:t>
            </w:r>
            <w:r w:rsidRPr="00CF219D">
              <w:rPr>
                <w:rFonts w:ascii="Times New Roman" w:hAnsi="Times New Roman"/>
              </w:rPr>
              <w:t>4</w:t>
            </w:r>
            <w:r>
              <w:rPr>
                <w:rFonts w:ascii="Times New Roman" w:hAnsi="Times New Roman"/>
              </w:rPr>
              <w:t xml:space="preserve">, onder b), van de VKV.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9C4E79" w:rsidRPr="00FE002E" w:rsidDel="00973F19"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CF219D">
              <w:rPr>
                <w:rFonts w:ascii="Times New Roman" w:hAnsi="Times New Roman"/>
              </w:rPr>
              <w:t>170</w:t>
            </w:r>
            <w:r>
              <w:rPr>
                <w:rFonts w:ascii="Times New Roman" w:hAnsi="Times New Roman"/>
              </w:rPr>
              <w:t>;</w:t>
            </w:r>
            <w:r w:rsidRPr="00CF219D">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u w:val="single"/>
              </w:rPr>
              <w:t>Niet</w:t>
            </w:r>
            <w:r>
              <w:rPr>
                <w:rFonts w:ascii="Times New Roman" w:hAnsi="Times New Roman"/>
                <w:b/>
              </w:rPr>
              <w:t xml:space="preserve"> als landen behandelde publiekrechtelijke lichamen — Risicogewogen activa — Blootstellingen in het kader van de standaardbenadering</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 risicogewogen posten van activa die blootstellingen zijn met betrekking tot publiekrechtelijke lichamen die vallen onder artikel </w:t>
            </w:r>
            <w:r w:rsidRPr="00CF219D">
              <w:rPr>
                <w:rFonts w:ascii="Times New Roman" w:hAnsi="Times New Roman"/>
              </w:rPr>
              <w:t>116</w:t>
            </w:r>
            <w:r>
              <w:rPr>
                <w:rFonts w:ascii="Times New Roman" w:hAnsi="Times New Roman"/>
              </w:rPr>
              <w:t xml:space="preserve">, leden </w:t>
            </w:r>
            <w:r w:rsidRPr="00CF219D">
              <w:rPr>
                <w:rFonts w:ascii="Times New Roman" w:hAnsi="Times New Roman"/>
              </w:rPr>
              <w:t>1</w:t>
            </w:r>
            <w:r>
              <w:rPr>
                <w:rFonts w:ascii="Times New Roman" w:hAnsi="Times New Roman"/>
              </w:rPr>
              <w:t xml:space="preserve">, </w:t>
            </w:r>
            <w:r w:rsidRPr="00CF219D">
              <w:rPr>
                <w:rFonts w:ascii="Times New Roman" w:hAnsi="Times New Roman"/>
              </w:rPr>
              <w:t>2</w:t>
            </w:r>
            <w:r>
              <w:rPr>
                <w:rFonts w:ascii="Times New Roman" w:hAnsi="Times New Roman"/>
              </w:rPr>
              <w:t xml:space="preserve">, </w:t>
            </w:r>
            <w:r w:rsidRPr="00CF219D">
              <w:rPr>
                <w:rFonts w:ascii="Times New Roman" w:hAnsi="Times New Roman"/>
              </w:rPr>
              <w:t>3</w:t>
            </w:r>
            <w:r>
              <w:rPr>
                <w:rFonts w:ascii="Times New Roman" w:hAnsi="Times New Roman"/>
              </w:rPr>
              <w:t xml:space="preserve"> en </w:t>
            </w:r>
            <w:r w:rsidRPr="00CF219D">
              <w:rPr>
                <w:rFonts w:ascii="Times New Roman" w:hAnsi="Times New Roman"/>
              </w:rPr>
              <w:t>5</w:t>
            </w:r>
            <w:r>
              <w:rPr>
                <w:rFonts w:ascii="Times New Roman" w:hAnsi="Times New Roman"/>
              </w:rPr>
              <w:t xml:space="preserve">, van de VKV.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CF219D">
              <w:rPr>
                <w:rFonts w:ascii="Times New Roman" w:hAnsi="Times New Roman"/>
              </w:rPr>
              <w:t>170</w:t>
            </w:r>
            <w:r>
              <w:rPr>
                <w:rFonts w:ascii="Times New Roman" w:hAnsi="Times New Roman"/>
              </w:rPr>
              <w:t>;</w:t>
            </w:r>
            <w:r w:rsidRPr="00CF219D">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u w:val="single"/>
              </w:rPr>
              <w:t>Niet</w:t>
            </w:r>
            <w:r>
              <w:rPr>
                <w:rFonts w:ascii="Times New Roman" w:hAnsi="Times New Roman"/>
                <w:b/>
              </w:rPr>
              <w:t xml:space="preserve"> als landen behandelde publiekrechtelijke lichamen — Risicogewogen activa — Blootstellingen in het kader van de interneratingbenadering</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 risicogewogen posten van activa die blootstellingen zijn met betrekking tot publiekrechtelijke lichamen die niet als landen worden behandeld en die vallen onder artikel </w:t>
            </w:r>
            <w:r w:rsidRPr="00CF219D">
              <w:rPr>
                <w:rFonts w:ascii="Times New Roman" w:hAnsi="Times New Roman"/>
              </w:rPr>
              <w:t>147</w:t>
            </w:r>
            <w:r>
              <w:rPr>
                <w:rFonts w:ascii="Times New Roman" w:hAnsi="Times New Roman"/>
              </w:rPr>
              <w:t xml:space="preserve">, lid </w:t>
            </w:r>
            <w:r w:rsidRPr="00CF219D">
              <w:rPr>
                <w:rFonts w:ascii="Times New Roman" w:hAnsi="Times New Roman"/>
              </w:rPr>
              <w:t>4</w:t>
            </w:r>
            <w:r>
              <w:rPr>
                <w:rFonts w:ascii="Times New Roman" w:hAnsi="Times New Roman"/>
              </w:rPr>
              <w:t xml:space="preserve">, onder b), van de VKV. </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CF219D">
              <w:rPr>
                <w:rFonts w:ascii="Times New Roman" w:hAnsi="Times New Roman"/>
              </w:rPr>
              <w:t>180</w:t>
            </w:r>
            <w:r>
              <w:rPr>
                <w:rFonts w:ascii="Times New Roman" w:hAnsi="Times New Roman"/>
              </w:rPr>
              <w:t>;</w:t>
            </w:r>
            <w:r w:rsidRPr="00CF219D">
              <w:rPr>
                <w:rFonts w:ascii="Times New Roman" w:hAnsi="Times New Roman"/>
              </w:rPr>
              <w:t>010</w:t>
            </w:r>
            <w:r>
              <w:rPr>
                <w:rFonts w:ascii="Times New Roman" w:hAnsi="Times New Roman"/>
              </w:rPr>
              <w:t>}</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Instellingen — Blootstellingswaarde voor de berekening van de hefboomratio — Blootstellingen in het kader van de standaardbenadering</w:t>
            </w:r>
          </w:p>
          <w:p w:rsidR="002509B1" w:rsidRPr="00706750"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 blootstellingswaarde voor de berekening van de hefboomratio van activa die blootstellingen zijn met betrekking tot instellingen die vallen onder de artikelen </w:t>
            </w:r>
            <w:r w:rsidRPr="00CF219D">
              <w:rPr>
                <w:rFonts w:ascii="Times New Roman" w:hAnsi="Times New Roman"/>
              </w:rPr>
              <w:t>119</w:t>
            </w:r>
            <w:r>
              <w:rPr>
                <w:rFonts w:ascii="Times New Roman" w:hAnsi="Times New Roman"/>
              </w:rPr>
              <w:t xml:space="preserve">, </w:t>
            </w:r>
            <w:r w:rsidRPr="00CF219D">
              <w:rPr>
                <w:rFonts w:ascii="Times New Roman" w:hAnsi="Times New Roman"/>
              </w:rPr>
              <w:t>120</w:t>
            </w:r>
            <w:r>
              <w:rPr>
                <w:rFonts w:ascii="Times New Roman" w:hAnsi="Times New Roman"/>
              </w:rPr>
              <w:t xml:space="preserve"> en </w:t>
            </w:r>
            <w:r w:rsidRPr="00CF219D">
              <w:rPr>
                <w:rFonts w:ascii="Times New Roman" w:hAnsi="Times New Roman"/>
              </w:rPr>
              <w:t>121</w:t>
            </w:r>
            <w:r>
              <w:rPr>
                <w:rFonts w:ascii="Times New Roman" w:hAnsi="Times New Roman"/>
              </w:rPr>
              <w:t xml:space="preserve"> van de VKV.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CF219D">
              <w:rPr>
                <w:rFonts w:ascii="Times New Roman" w:hAnsi="Times New Roman"/>
              </w:rPr>
              <w:t>180</w:t>
            </w:r>
            <w:r>
              <w:rPr>
                <w:rFonts w:ascii="Times New Roman" w:hAnsi="Times New Roman"/>
              </w:rPr>
              <w:t>;</w:t>
            </w:r>
            <w:r w:rsidRPr="00CF219D">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Instellingen — Blootstellingswaarde voor de berekening van de hefboomratio — Blootstellingen in het kader van de interneratingbenadering</w:t>
            </w:r>
          </w:p>
          <w:p w:rsidR="002509B1" w:rsidRPr="00FE002E" w:rsidRDefault="002509B1"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lastRenderedPageBreak/>
              <w:t xml:space="preserve">De blootstellingswaarde voor de berekening van de hefboomratio van activa die blootstellingen zijn met betrekking tot instellingen die vallen onder artikel </w:t>
            </w:r>
            <w:r w:rsidRPr="00CF219D">
              <w:rPr>
                <w:rFonts w:ascii="Times New Roman" w:hAnsi="Times New Roman"/>
              </w:rPr>
              <w:t>147</w:t>
            </w:r>
            <w:r>
              <w:rPr>
                <w:rFonts w:ascii="Times New Roman" w:hAnsi="Times New Roman"/>
              </w:rPr>
              <w:t xml:space="preserve">, lid </w:t>
            </w:r>
            <w:r w:rsidRPr="00CF219D">
              <w:rPr>
                <w:rFonts w:ascii="Times New Roman" w:hAnsi="Times New Roman"/>
              </w:rPr>
              <w:t>2</w:t>
            </w:r>
            <w:r>
              <w:rPr>
                <w:rFonts w:ascii="Times New Roman" w:hAnsi="Times New Roman"/>
              </w:rPr>
              <w:t xml:space="preserve">, onder b), van de VKV en die </w:t>
            </w:r>
            <w:r>
              <w:rPr>
                <w:rFonts w:ascii="Times New Roman" w:hAnsi="Times New Roman"/>
                <w:b/>
                <w:u w:val="single"/>
              </w:rPr>
              <w:t>geen</w:t>
            </w:r>
            <w:r>
              <w:rPr>
                <w:rFonts w:ascii="Times New Roman" w:hAnsi="Times New Roman"/>
              </w:rPr>
              <w:t xml:space="preserve"> blootstellingen zijn in de vorm van gedekte obligaties als bedoeld in artikel </w:t>
            </w:r>
            <w:r w:rsidRPr="00CF219D">
              <w:rPr>
                <w:rFonts w:ascii="Times New Roman" w:hAnsi="Times New Roman"/>
              </w:rPr>
              <w:t>161</w:t>
            </w:r>
            <w:r>
              <w:rPr>
                <w:rFonts w:ascii="Times New Roman" w:hAnsi="Times New Roman"/>
              </w:rPr>
              <w:t xml:space="preserve">, lid </w:t>
            </w:r>
            <w:r w:rsidRPr="00CF219D">
              <w:rPr>
                <w:rFonts w:ascii="Times New Roman" w:hAnsi="Times New Roman"/>
              </w:rPr>
              <w:t>1</w:t>
            </w:r>
            <w:r>
              <w:rPr>
                <w:rFonts w:ascii="Times New Roman" w:hAnsi="Times New Roman"/>
              </w:rPr>
              <w:t xml:space="preserve">, onder d), van de VKV en </w:t>
            </w:r>
            <w:r>
              <w:rPr>
                <w:rFonts w:ascii="Times New Roman" w:hAnsi="Times New Roman"/>
                <w:b/>
                <w:u w:val="single"/>
              </w:rPr>
              <w:t>niet</w:t>
            </w:r>
            <w:r>
              <w:rPr>
                <w:rFonts w:ascii="Times New Roman" w:hAnsi="Times New Roman"/>
              </w:rPr>
              <w:t xml:space="preserve"> vallen onder artikel </w:t>
            </w:r>
            <w:r w:rsidRPr="00CF219D">
              <w:rPr>
                <w:rFonts w:ascii="Times New Roman" w:hAnsi="Times New Roman"/>
              </w:rPr>
              <w:t>147</w:t>
            </w:r>
            <w:r>
              <w:rPr>
                <w:rFonts w:ascii="Times New Roman" w:hAnsi="Times New Roman"/>
              </w:rPr>
              <w:t xml:space="preserve">, lid </w:t>
            </w:r>
            <w:r w:rsidRPr="00CF219D">
              <w:rPr>
                <w:rFonts w:ascii="Times New Roman" w:hAnsi="Times New Roman"/>
              </w:rPr>
              <w:t>4</w:t>
            </w:r>
            <w:r>
              <w:rPr>
                <w:rFonts w:ascii="Times New Roman" w:hAnsi="Times New Roman"/>
              </w:rPr>
              <w:t>, onder a), b) en c), van de VKV.</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w:t>
            </w:r>
            <w:r w:rsidRPr="00CF219D">
              <w:rPr>
                <w:rFonts w:ascii="Times New Roman" w:hAnsi="Times New Roman"/>
              </w:rPr>
              <w:t>180</w:t>
            </w:r>
            <w:r>
              <w:rPr>
                <w:rFonts w:ascii="Times New Roman" w:hAnsi="Times New Roman"/>
              </w:rPr>
              <w:t>;</w:t>
            </w:r>
            <w:r w:rsidRPr="00CF219D">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Instellingen — Risicogewogen activa — Blootstellingen in het kader van de standaardbenadering</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 risicogewogen posten van activa die blootstellingen zijn met betrekking tot instellingen die vallen onder de artikelen </w:t>
            </w:r>
            <w:r w:rsidRPr="00CF219D">
              <w:rPr>
                <w:rFonts w:ascii="Times New Roman" w:hAnsi="Times New Roman"/>
              </w:rPr>
              <w:t>119</w:t>
            </w:r>
            <w:r>
              <w:rPr>
                <w:rFonts w:ascii="Times New Roman" w:hAnsi="Times New Roman"/>
              </w:rPr>
              <w:t xml:space="preserve">, </w:t>
            </w:r>
            <w:r w:rsidRPr="00CF219D">
              <w:rPr>
                <w:rFonts w:ascii="Times New Roman" w:hAnsi="Times New Roman"/>
              </w:rPr>
              <w:t>120</w:t>
            </w:r>
            <w:r>
              <w:rPr>
                <w:rFonts w:ascii="Times New Roman" w:hAnsi="Times New Roman"/>
              </w:rPr>
              <w:t xml:space="preserve"> en </w:t>
            </w:r>
            <w:r w:rsidRPr="00CF219D">
              <w:rPr>
                <w:rFonts w:ascii="Times New Roman" w:hAnsi="Times New Roman"/>
              </w:rPr>
              <w:t>121</w:t>
            </w:r>
            <w:r>
              <w:rPr>
                <w:rFonts w:ascii="Times New Roman" w:hAnsi="Times New Roman"/>
              </w:rPr>
              <w:t xml:space="preserve"> van de VKV.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CF219D">
              <w:rPr>
                <w:rFonts w:ascii="Times New Roman" w:hAnsi="Times New Roman"/>
              </w:rPr>
              <w:t>180</w:t>
            </w:r>
            <w:r>
              <w:rPr>
                <w:rFonts w:ascii="Times New Roman" w:hAnsi="Times New Roman"/>
              </w:rPr>
              <w:t>;</w:t>
            </w:r>
            <w:r w:rsidRPr="00CF219D">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Instellingen — Risicogewogen activa — Blootstellingen in het kader van de interneratingbenadering</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 risicogewogen posten van activa die blootstellingen zijn met betrekking tot instellingen die vallen onder artikel </w:t>
            </w:r>
            <w:r w:rsidRPr="00CF219D">
              <w:rPr>
                <w:rFonts w:ascii="Times New Roman" w:hAnsi="Times New Roman"/>
              </w:rPr>
              <w:t>147</w:t>
            </w:r>
            <w:r>
              <w:rPr>
                <w:rFonts w:ascii="Times New Roman" w:hAnsi="Times New Roman"/>
              </w:rPr>
              <w:t xml:space="preserve">, lid </w:t>
            </w:r>
            <w:r w:rsidRPr="00CF219D">
              <w:rPr>
                <w:rFonts w:ascii="Times New Roman" w:hAnsi="Times New Roman"/>
              </w:rPr>
              <w:t>2</w:t>
            </w:r>
            <w:r>
              <w:rPr>
                <w:rFonts w:ascii="Times New Roman" w:hAnsi="Times New Roman"/>
              </w:rPr>
              <w:t xml:space="preserve">, onder b), van de VKV en die </w:t>
            </w:r>
            <w:r>
              <w:rPr>
                <w:rFonts w:ascii="Times New Roman" w:hAnsi="Times New Roman"/>
                <w:b/>
                <w:u w:val="single"/>
              </w:rPr>
              <w:t>geen</w:t>
            </w:r>
            <w:r>
              <w:rPr>
                <w:rFonts w:ascii="Times New Roman" w:hAnsi="Times New Roman"/>
              </w:rPr>
              <w:t xml:space="preserve"> blootstellingen zijn in de vorm van gedekte obligaties als bedoeld in artikel </w:t>
            </w:r>
            <w:r w:rsidRPr="00CF219D">
              <w:rPr>
                <w:rFonts w:ascii="Times New Roman" w:hAnsi="Times New Roman"/>
              </w:rPr>
              <w:t>161</w:t>
            </w:r>
            <w:r>
              <w:rPr>
                <w:rFonts w:ascii="Times New Roman" w:hAnsi="Times New Roman"/>
              </w:rPr>
              <w:t xml:space="preserve">, lid </w:t>
            </w:r>
            <w:r w:rsidRPr="00CF219D">
              <w:rPr>
                <w:rFonts w:ascii="Times New Roman" w:hAnsi="Times New Roman"/>
              </w:rPr>
              <w:t>1</w:t>
            </w:r>
            <w:r>
              <w:rPr>
                <w:rFonts w:ascii="Times New Roman" w:hAnsi="Times New Roman"/>
              </w:rPr>
              <w:t xml:space="preserve">, onder d), van de VKV en </w:t>
            </w:r>
            <w:r>
              <w:rPr>
                <w:rFonts w:ascii="Times New Roman" w:hAnsi="Times New Roman"/>
                <w:b/>
                <w:u w:val="single"/>
              </w:rPr>
              <w:t>niet</w:t>
            </w:r>
            <w:r>
              <w:rPr>
                <w:rFonts w:ascii="Times New Roman" w:hAnsi="Times New Roman"/>
              </w:rPr>
              <w:t xml:space="preserve"> vallen onder artikel </w:t>
            </w:r>
            <w:r w:rsidRPr="00CF219D">
              <w:rPr>
                <w:rFonts w:ascii="Times New Roman" w:hAnsi="Times New Roman"/>
              </w:rPr>
              <w:t>147</w:t>
            </w:r>
            <w:r>
              <w:rPr>
                <w:rFonts w:ascii="Times New Roman" w:hAnsi="Times New Roman"/>
              </w:rPr>
              <w:t xml:space="preserve">, lid </w:t>
            </w:r>
            <w:r w:rsidRPr="00CF219D">
              <w:rPr>
                <w:rFonts w:ascii="Times New Roman" w:hAnsi="Times New Roman"/>
              </w:rPr>
              <w:t>4</w:t>
            </w:r>
            <w:r>
              <w:rPr>
                <w:rFonts w:ascii="Times New Roman" w:hAnsi="Times New Roman"/>
              </w:rPr>
              <w:t>, onder a), b) en c), van de VKV.</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w:t>
            </w:r>
            <w:r w:rsidRPr="00CF219D">
              <w:rPr>
                <w:rFonts w:ascii="Times New Roman" w:hAnsi="Times New Roman"/>
              </w:rPr>
              <w:t>190</w:t>
            </w:r>
            <w:r>
              <w:rPr>
                <w:rFonts w:ascii="Times New Roman" w:hAnsi="Times New Roman"/>
              </w:rPr>
              <w:t>;</w:t>
            </w:r>
            <w:r w:rsidRPr="00CF219D">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Gedekt door hypotheken op onroerend goed; waarvan – Blootstellingswaarde voor de berekening van de hefboomratio – Blootstellingen in het kader van de standaardbenadering</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 blootstellingswaarde voor de berekening van de hefboomratio van activa die blootstellingen zijn die worden gedekt door hypotheken op onroerend goed die vallen onder artikel </w:t>
            </w:r>
            <w:r w:rsidRPr="00CF219D">
              <w:rPr>
                <w:rFonts w:ascii="Times New Roman" w:hAnsi="Times New Roman"/>
              </w:rPr>
              <w:t>124</w:t>
            </w:r>
            <w:r>
              <w:rPr>
                <w:rFonts w:ascii="Times New Roman" w:hAnsi="Times New Roman"/>
              </w:rPr>
              <w:t xml:space="preserve"> van de VKV.</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CF219D">
              <w:rPr>
                <w:rFonts w:ascii="Times New Roman" w:hAnsi="Times New Roman"/>
              </w:rPr>
              <w:t>190</w:t>
            </w:r>
            <w:r>
              <w:rPr>
                <w:rFonts w:ascii="Times New Roman" w:hAnsi="Times New Roman"/>
              </w:rPr>
              <w:t>;</w:t>
            </w:r>
            <w:r w:rsidRPr="00CF219D">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Gedekt door hypotheken op onroerend goed; waarvan – Blootstellingswaarde voor de berekening van de hefboomratio – Blootstellingen in het kader van de interneratingbenadering</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De blootstellingswaarde voor de berekening van de hefboomratio van activa die blootstellingen zijn met betrekking tot ondernemingen in de zin van artikel </w:t>
            </w:r>
            <w:r w:rsidRPr="00CF219D">
              <w:rPr>
                <w:rFonts w:ascii="Times New Roman" w:hAnsi="Times New Roman"/>
              </w:rPr>
              <w:t>147</w:t>
            </w:r>
            <w:r>
              <w:rPr>
                <w:rFonts w:ascii="Times New Roman" w:hAnsi="Times New Roman"/>
              </w:rPr>
              <w:t>, lid </w:t>
            </w:r>
            <w:r w:rsidRPr="00CF219D">
              <w:rPr>
                <w:rFonts w:ascii="Times New Roman" w:hAnsi="Times New Roman"/>
              </w:rPr>
              <w:t>2</w:t>
            </w:r>
            <w:r>
              <w:rPr>
                <w:rFonts w:ascii="Times New Roman" w:hAnsi="Times New Roman"/>
              </w:rPr>
              <w:t>, onder c), van de VKV of blootstellingen met betrekking tot particulieren en kleine partijen in de zin van artikel </w:t>
            </w:r>
            <w:r w:rsidRPr="00CF219D">
              <w:rPr>
                <w:rFonts w:ascii="Times New Roman" w:hAnsi="Times New Roman"/>
              </w:rPr>
              <w:t>147</w:t>
            </w:r>
            <w:r>
              <w:rPr>
                <w:rFonts w:ascii="Times New Roman" w:hAnsi="Times New Roman"/>
              </w:rPr>
              <w:t>, lid </w:t>
            </w:r>
            <w:r w:rsidRPr="00CF219D">
              <w:rPr>
                <w:rFonts w:ascii="Times New Roman" w:hAnsi="Times New Roman"/>
              </w:rPr>
              <w:t>2</w:t>
            </w:r>
            <w:r>
              <w:rPr>
                <w:rFonts w:ascii="Times New Roman" w:hAnsi="Times New Roman"/>
              </w:rPr>
              <w:t>, onder d), van de VKV, indien deze blootstellingen zijn gedekt door hypotheken op onroerend goed als bedoeld in artikel </w:t>
            </w:r>
            <w:r w:rsidRPr="00CF219D">
              <w:rPr>
                <w:rFonts w:ascii="Times New Roman" w:hAnsi="Times New Roman"/>
              </w:rPr>
              <w:t>199</w:t>
            </w:r>
            <w:r>
              <w:rPr>
                <w:rFonts w:ascii="Times New Roman" w:hAnsi="Times New Roman"/>
              </w:rPr>
              <w:t>, lid </w:t>
            </w:r>
            <w:r w:rsidRPr="00CF219D">
              <w:rPr>
                <w:rFonts w:ascii="Times New Roman" w:hAnsi="Times New Roman"/>
              </w:rPr>
              <w:t>1</w:t>
            </w:r>
            <w:r>
              <w:rPr>
                <w:rFonts w:ascii="Times New Roman" w:hAnsi="Times New Roman"/>
              </w:rPr>
              <w:t>, onder a), van de VKV.</w:t>
            </w:r>
          </w:p>
          <w:p w:rsidR="002509B1" w:rsidRDefault="002509B1"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CF219D">
              <w:rPr>
                <w:rFonts w:ascii="Times New Roman" w:hAnsi="Times New Roman"/>
              </w:rPr>
              <w:t>190</w:t>
            </w:r>
            <w:r>
              <w:rPr>
                <w:rFonts w:ascii="Times New Roman" w:hAnsi="Times New Roman"/>
              </w:rPr>
              <w:t>;</w:t>
            </w:r>
            <w:r w:rsidRPr="00CF219D">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Gedekt door hypotheken op onroerend goed; waarvan – Risicogewogen activa – Blootstellingen in het kader van de standaardbenadering</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 risicogewogen posten van activa die blootstellingen zijn die worden gedekt door hypotheken op onroerend goed die vallen onder artikel </w:t>
            </w:r>
            <w:r w:rsidRPr="00CF219D">
              <w:rPr>
                <w:rFonts w:ascii="Times New Roman" w:hAnsi="Times New Roman"/>
              </w:rPr>
              <w:t>124</w:t>
            </w:r>
            <w:r>
              <w:rPr>
                <w:rFonts w:ascii="Times New Roman" w:hAnsi="Times New Roman"/>
              </w:rPr>
              <w:t xml:space="preserve"> van de VKV.</w:t>
            </w:r>
          </w:p>
          <w:p w:rsidR="002509B1" w:rsidRDefault="002509B1" w:rsidP="007E2A41">
            <w:pPr>
              <w:pStyle w:val="BodyText1"/>
              <w:spacing w:line="240" w:lineRule="auto"/>
              <w:rPr>
                <w:rFonts w:ascii="Times New Roman" w:hAnsi="Times New Roman"/>
                <w:b/>
                <w:bCs/>
                <w:u w:val="single"/>
              </w:rPr>
            </w:pPr>
          </w:p>
          <w:p w:rsidR="00086A8A" w:rsidRPr="00E5591F" w:rsidRDefault="00086A8A"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w:t>
            </w:r>
            <w:r w:rsidRPr="00CF219D">
              <w:rPr>
                <w:rFonts w:ascii="Times New Roman" w:hAnsi="Times New Roman"/>
              </w:rPr>
              <w:t>190</w:t>
            </w:r>
            <w:r>
              <w:rPr>
                <w:rFonts w:ascii="Times New Roman" w:hAnsi="Times New Roman"/>
              </w:rPr>
              <w:t>;</w:t>
            </w:r>
            <w:r w:rsidRPr="00CF219D">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06750">
            <w:pPr>
              <w:pStyle w:val="BodyText1"/>
              <w:tabs>
                <w:tab w:val="left" w:pos="6382"/>
              </w:tabs>
              <w:spacing w:line="240" w:lineRule="auto"/>
              <w:rPr>
                <w:rFonts w:ascii="Times New Roman" w:hAnsi="Times New Roman"/>
                <w:b/>
                <w:bCs/>
              </w:rPr>
            </w:pPr>
            <w:r>
              <w:rPr>
                <w:rFonts w:ascii="Times New Roman" w:hAnsi="Times New Roman"/>
                <w:b/>
              </w:rPr>
              <w:t>Gedekt door hypotheken op onroerend goed; waarvan – Risicogewogen activa – Blootstellingen in het kader van de interneratingbenadering</w:t>
            </w:r>
            <w:r>
              <w:tab/>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 risicogewogen posten van activa die blootstellingen zijn met betrekking tot ondernemingen in de zin van artikel </w:t>
            </w:r>
            <w:r w:rsidRPr="00CF219D">
              <w:rPr>
                <w:rFonts w:ascii="Times New Roman" w:hAnsi="Times New Roman"/>
              </w:rPr>
              <w:t>147</w:t>
            </w:r>
            <w:r>
              <w:rPr>
                <w:rFonts w:ascii="Times New Roman" w:hAnsi="Times New Roman"/>
              </w:rPr>
              <w:t xml:space="preserve">, lid </w:t>
            </w:r>
            <w:r w:rsidRPr="00CF219D">
              <w:rPr>
                <w:rFonts w:ascii="Times New Roman" w:hAnsi="Times New Roman"/>
              </w:rPr>
              <w:t>2</w:t>
            </w:r>
            <w:r>
              <w:rPr>
                <w:rFonts w:ascii="Times New Roman" w:hAnsi="Times New Roman"/>
              </w:rPr>
              <w:t>, onder c), van de VKV of blootstellingen met betrekking tot particulieren en kleine partijen in de zin van artikel </w:t>
            </w:r>
            <w:r w:rsidRPr="00CF219D">
              <w:rPr>
                <w:rFonts w:ascii="Times New Roman" w:hAnsi="Times New Roman"/>
              </w:rPr>
              <w:t>147</w:t>
            </w:r>
            <w:r>
              <w:rPr>
                <w:rFonts w:ascii="Times New Roman" w:hAnsi="Times New Roman"/>
              </w:rPr>
              <w:t xml:space="preserve">, lid </w:t>
            </w:r>
            <w:r w:rsidRPr="00CF219D">
              <w:rPr>
                <w:rFonts w:ascii="Times New Roman" w:hAnsi="Times New Roman"/>
              </w:rPr>
              <w:t>2</w:t>
            </w:r>
            <w:r>
              <w:rPr>
                <w:rFonts w:ascii="Times New Roman" w:hAnsi="Times New Roman"/>
              </w:rPr>
              <w:t xml:space="preserve">, onder d), van de VKV, indien deze blootstellingen zijn gedekt door hypotheken op onroerend goed als bedoeld in artikel </w:t>
            </w:r>
            <w:r w:rsidRPr="00CF219D">
              <w:rPr>
                <w:rFonts w:ascii="Times New Roman" w:hAnsi="Times New Roman"/>
              </w:rPr>
              <w:t>199</w:t>
            </w:r>
            <w:r>
              <w:rPr>
                <w:rFonts w:ascii="Times New Roman" w:hAnsi="Times New Roman"/>
              </w:rPr>
              <w:t xml:space="preserve">, lid </w:t>
            </w:r>
            <w:r w:rsidRPr="00CF219D">
              <w:rPr>
                <w:rFonts w:ascii="Times New Roman" w:hAnsi="Times New Roman"/>
              </w:rPr>
              <w:t>1</w:t>
            </w:r>
            <w:r>
              <w:rPr>
                <w:rFonts w:ascii="Times New Roman" w:hAnsi="Times New Roman"/>
              </w:rPr>
              <w:t>, onder a), van de VKV.</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w:t>
            </w:r>
            <w:r w:rsidRPr="00CF219D">
              <w:rPr>
                <w:rFonts w:ascii="Times New Roman" w:hAnsi="Times New Roman"/>
              </w:rPr>
              <w:t>200</w:t>
            </w:r>
            <w:r>
              <w:rPr>
                <w:rFonts w:ascii="Times New Roman" w:hAnsi="Times New Roman"/>
              </w:rPr>
              <w:t>;</w:t>
            </w:r>
            <w:r w:rsidRPr="00CF219D">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Gedekt door hypotheken op niet-zakelijk onroerend goed — Blootstellingswaarde voor de berekening van de hefboomratio — Blootstellingen in het kader van de standaardbenadering</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 blootstellingswaarde voor de berekening van de hefboomratio van activa die blootstellingen zijn die geheel en volledig zijn gedekt door hypotheken op niet-zakelijk onroerend goed die vallen onder artikel </w:t>
            </w:r>
            <w:r w:rsidRPr="00CF219D">
              <w:rPr>
                <w:rFonts w:ascii="Times New Roman" w:hAnsi="Times New Roman"/>
              </w:rPr>
              <w:t>125</w:t>
            </w:r>
            <w:r>
              <w:rPr>
                <w:rFonts w:ascii="Times New Roman" w:hAnsi="Times New Roman"/>
              </w:rPr>
              <w:t xml:space="preserve"> van de VKV.</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CF219D">
              <w:rPr>
                <w:rFonts w:ascii="Times New Roman" w:hAnsi="Times New Roman"/>
              </w:rPr>
              <w:t>200</w:t>
            </w:r>
            <w:r>
              <w:rPr>
                <w:rFonts w:ascii="Times New Roman" w:hAnsi="Times New Roman"/>
              </w:rPr>
              <w:t>;</w:t>
            </w:r>
            <w:r w:rsidRPr="00CF219D">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Gedekt door hypotheken op niet-zakelijk onroerend goed — Blootstellingswaarde voor de berekening van de hefboomratio — Blootstellingen in het kader van de interneratingbenadering</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De blootstellingswaarde voor de berekening van de hefboomratio van activa die blootstellingen zijn met betrekking tot ondernemingen in de zin van artikel </w:t>
            </w:r>
            <w:r w:rsidRPr="00CF219D">
              <w:rPr>
                <w:rFonts w:ascii="Times New Roman" w:hAnsi="Times New Roman"/>
              </w:rPr>
              <w:t>147</w:t>
            </w:r>
            <w:r>
              <w:rPr>
                <w:rFonts w:ascii="Times New Roman" w:hAnsi="Times New Roman"/>
              </w:rPr>
              <w:t>, lid </w:t>
            </w:r>
            <w:r w:rsidRPr="00CF219D">
              <w:rPr>
                <w:rFonts w:ascii="Times New Roman" w:hAnsi="Times New Roman"/>
              </w:rPr>
              <w:t>2</w:t>
            </w:r>
            <w:r>
              <w:rPr>
                <w:rFonts w:ascii="Times New Roman" w:hAnsi="Times New Roman"/>
              </w:rPr>
              <w:t>, onder c), van de VKV of blootstellingen met betrekking tot particulieren en kleine partijen in de zin van artikel </w:t>
            </w:r>
            <w:r w:rsidRPr="00CF219D">
              <w:rPr>
                <w:rFonts w:ascii="Times New Roman" w:hAnsi="Times New Roman"/>
              </w:rPr>
              <w:t>147</w:t>
            </w:r>
            <w:r>
              <w:rPr>
                <w:rFonts w:ascii="Times New Roman" w:hAnsi="Times New Roman"/>
              </w:rPr>
              <w:t>, lid </w:t>
            </w:r>
            <w:r w:rsidRPr="00CF219D">
              <w:rPr>
                <w:rFonts w:ascii="Times New Roman" w:hAnsi="Times New Roman"/>
              </w:rPr>
              <w:t>2</w:t>
            </w:r>
            <w:r>
              <w:rPr>
                <w:rFonts w:ascii="Times New Roman" w:hAnsi="Times New Roman"/>
              </w:rPr>
              <w:t>, onder d), van de VKV, indien deze blootstellingen zijn gedekt door hypotheken op niet-zakelijk onroerend goed als bedoeld in artikel </w:t>
            </w:r>
            <w:r w:rsidRPr="00CF219D">
              <w:rPr>
                <w:rFonts w:ascii="Times New Roman" w:hAnsi="Times New Roman"/>
              </w:rPr>
              <w:t>199</w:t>
            </w:r>
            <w:r>
              <w:rPr>
                <w:rFonts w:ascii="Times New Roman" w:hAnsi="Times New Roman"/>
              </w:rPr>
              <w:t>, lid </w:t>
            </w:r>
            <w:r w:rsidRPr="00CF219D">
              <w:rPr>
                <w:rFonts w:ascii="Times New Roman" w:hAnsi="Times New Roman"/>
              </w:rPr>
              <w:t>1</w:t>
            </w:r>
            <w:r>
              <w:rPr>
                <w:rFonts w:ascii="Times New Roman" w:hAnsi="Times New Roman"/>
              </w:rPr>
              <w:t>, onder a), van de VKV.</w:t>
            </w:r>
          </w:p>
          <w:p w:rsidR="009C4E79" w:rsidRDefault="009C4E79" w:rsidP="007E2A41">
            <w:pPr>
              <w:pStyle w:val="BodyText1"/>
              <w:spacing w:line="240" w:lineRule="auto"/>
              <w:rPr>
                <w:rFonts w:ascii="Times New Roman" w:hAnsi="Times New Roman"/>
                <w:bCs/>
              </w:rPr>
            </w:pPr>
          </w:p>
          <w:p w:rsidR="002509B1" w:rsidRPr="00FE002E" w:rsidDel="003A59D6" w:rsidRDefault="009C4E79" w:rsidP="007E2A41">
            <w:pPr>
              <w:pStyle w:val="BodyText1"/>
              <w:spacing w:line="240" w:lineRule="auto"/>
              <w:rPr>
                <w:rFonts w:ascii="Times New Roman" w:hAnsi="Times New Roman"/>
                <w:b/>
                <w:bCs/>
                <w:u w:val="single"/>
              </w:rPr>
            </w:pPr>
            <w:r>
              <w:rPr>
                <w:rFonts w:ascii="Times New Roman" w:hAnsi="Times New Roman"/>
              </w:rPr>
              <w:t>Instellingen rapporteren deze blootstellingen na aftrek van blootstellingen ten aanzien waarvan zich een wanbetaling heeft voorgedaan.</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CF219D">
              <w:rPr>
                <w:rFonts w:ascii="Times New Roman" w:hAnsi="Times New Roman"/>
              </w:rPr>
              <w:t>200</w:t>
            </w:r>
            <w:r>
              <w:rPr>
                <w:rFonts w:ascii="Times New Roman" w:hAnsi="Times New Roman"/>
              </w:rPr>
              <w:t>;</w:t>
            </w:r>
            <w:r w:rsidRPr="00CF219D">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Gedekt door hypotheken op niet-zakelijk onroerend goed — Risicogewogen activa — Blootstellingen in het kader van de standaardbenadering</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 risicogewogen posten van activa die blootstellingen zijn die geheel en volledig zijn gedekt door hypotheken op niet-zakelijk onroerend goed die vallen onder artikel </w:t>
            </w:r>
            <w:r w:rsidRPr="00CF219D">
              <w:rPr>
                <w:rFonts w:ascii="Times New Roman" w:hAnsi="Times New Roman"/>
              </w:rPr>
              <w:t>125</w:t>
            </w:r>
            <w:r>
              <w:rPr>
                <w:rFonts w:ascii="Times New Roman" w:hAnsi="Times New Roman"/>
              </w:rPr>
              <w:t xml:space="preserve"> van de VKV.</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w:t>
            </w:r>
            <w:r w:rsidRPr="00CF219D">
              <w:rPr>
                <w:rFonts w:ascii="Times New Roman" w:hAnsi="Times New Roman"/>
              </w:rPr>
              <w:t>200</w:t>
            </w:r>
            <w:r>
              <w:rPr>
                <w:rFonts w:ascii="Times New Roman" w:hAnsi="Times New Roman"/>
              </w:rPr>
              <w:t>;</w:t>
            </w:r>
            <w:r w:rsidRPr="00CF219D">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Gedekt door hypotheken op niet-zakelijk onroerend goed — Risicogewogen activa — Blootstellingen in het kader van de interneratingbenadering</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 risicogewogen posten van activa die blootstellingen zijn met betrekking tot ondernemingen in de zin van artikel </w:t>
            </w:r>
            <w:r w:rsidRPr="00CF219D">
              <w:rPr>
                <w:rFonts w:ascii="Times New Roman" w:hAnsi="Times New Roman"/>
              </w:rPr>
              <w:t>147</w:t>
            </w:r>
            <w:r>
              <w:rPr>
                <w:rFonts w:ascii="Times New Roman" w:hAnsi="Times New Roman"/>
              </w:rPr>
              <w:t xml:space="preserve">, lid </w:t>
            </w:r>
            <w:r w:rsidRPr="00CF219D">
              <w:rPr>
                <w:rFonts w:ascii="Times New Roman" w:hAnsi="Times New Roman"/>
              </w:rPr>
              <w:t>2</w:t>
            </w:r>
            <w:r>
              <w:rPr>
                <w:rFonts w:ascii="Times New Roman" w:hAnsi="Times New Roman"/>
              </w:rPr>
              <w:t>, onder c), van de VKV of blootstellingen met betrekking tot particulieren en kleine partijen in de zin van artikel </w:t>
            </w:r>
            <w:r w:rsidRPr="00CF219D">
              <w:rPr>
                <w:rFonts w:ascii="Times New Roman" w:hAnsi="Times New Roman"/>
              </w:rPr>
              <w:t>147</w:t>
            </w:r>
            <w:r>
              <w:rPr>
                <w:rFonts w:ascii="Times New Roman" w:hAnsi="Times New Roman"/>
              </w:rPr>
              <w:t xml:space="preserve">, lid </w:t>
            </w:r>
            <w:r w:rsidRPr="00CF219D">
              <w:rPr>
                <w:rFonts w:ascii="Times New Roman" w:hAnsi="Times New Roman"/>
              </w:rPr>
              <w:t>2</w:t>
            </w:r>
            <w:r>
              <w:rPr>
                <w:rFonts w:ascii="Times New Roman" w:hAnsi="Times New Roman"/>
              </w:rPr>
              <w:t xml:space="preserve">, onder d), van de VKV, indien deze blootstellingen zijn gedekt door hypotheken op niet-zakelijk onroerend goed als bedoeld in artikel </w:t>
            </w:r>
            <w:r w:rsidRPr="00CF219D">
              <w:rPr>
                <w:rFonts w:ascii="Times New Roman" w:hAnsi="Times New Roman"/>
              </w:rPr>
              <w:t>199</w:t>
            </w:r>
            <w:r>
              <w:rPr>
                <w:rFonts w:ascii="Times New Roman" w:hAnsi="Times New Roman"/>
              </w:rPr>
              <w:t xml:space="preserve">, lid </w:t>
            </w:r>
            <w:r w:rsidRPr="00CF219D">
              <w:rPr>
                <w:rFonts w:ascii="Times New Roman" w:hAnsi="Times New Roman"/>
              </w:rPr>
              <w:t>1</w:t>
            </w:r>
            <w:r>
              <w:rPr>
                <w:rFonts w:ascii="Times New Roman" w:hAnsi="Times New Roman"/>
              </w:rPr>
              <w:t xml:space="preserve">, onder a), van de VKV. </w:t>
            </w:r>
          </w:p>
          <w:p w:rsidR="009C4E79" w:rsidRDefault="009C4E79" w:rsidP="007E2A41">
            <w:pPr>
              <w:pStyle w:val="BodyText1"/>
              <w:spacing w:line="240" w:lineRule="auto"/>
              <w:rPr>
                <w:rFonts w:ascii="Times New Roman" w:hAnsi="Times New Roman"/>
                <w:bCs/>
              </w:rPr>
            </w:pPr>
          </w:p>
          <w:p w:rsidR="002509B1" w:rsidRPr="00FE002E" w:rsidRDefault="009C4E79" w:rsidP="007E2A41">
            <w:pPr>
              <w:pStyle w:val="BodyText1"/>
              <w:spacing w:line="240" w:lineRule="auto"/>
              <w:rPr>
                <w:rFonts w:ascii="Times New Roman" w:hAnsi="Times New Roman"/>
                <w:b/>
                <w:bCs/>
                <w:u w:val="single"/>
              </w:rPr>
            </w:pPr>
            <w:r>
              <w:rPr>
                <w:rFonts w:ascii="Times New Roman" w:hAnsi="Times New Roman"/>
              </w:rPr>
              <w:t>Instellingen rapporteren deze blootstellingen na aftrek van blootstellingen ten aanzien waarvan zich een wanbetaling heeft voorgedaan.</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CF219D">
              <w:rPr>
                <w:rFonts w:ascii="Times New Roman" w:hAnsi="Times New Roman"/>
              </w:rPr>
              <w:t>210</w:t>
            </w:r>
            <w:r>
              <w:rPr>
                <w:rFonts w:ascii="Times New Roman" w:hAnsi="Times New Roman"/>
              </w:rPr>
              <w:t>;</w:t>
            </w:r>
            <w:r w:rsidRPr="00CF219D">
              <w:rPr>
                <w:rFonts w:ascii="Times New Roman" w:hAnsi="Times New Roman"/>
              </w:rPr>
              <w:t>010</w:t>
            </w:r>
            <w:r>
              <w:rPr>
                <w:rFonts w:ascii="Times New Roman" w:hAnsi="Times New Roman"/>
              </w:rPr>
              <w:t>}</w:t>
            </w:r>
          </w:p>
        </w:tc>
        <w:tc>
          <w:tcPr>
            <w:tcW w:w="8133" w:type="dxa"/>
            <w:shd w:val="clear" w:color="auto" w:fill="FFFFFF"/>
          </w:tcPr>
          <w:p w:rsidR="00F4754B" w:rsidRPr="00967213" w:rsidRDefault="00F4754B" w:rsidP="007E2A41">
            <w:pPr>
              <w:pStyle w:val="BodyText1"/>
              <w:spacing w:line="240" w:lineRule="auto"/>
              <w:rPr>
                <w:rFonts w:ascii="Times New Roman" w:hAnsi="Times New Roman"/>
                <w:b/>
                <w:bCs/>
              </w:rPr>
            </w:pPr>
            <w:r>
              <w:rPr>
                <w:rFonts w:ascii="Times New Roman" w:hAnsi="Times New Roman"/>
                <w:b/>
              </w:rPr>
              <w:t>Blootstellingen met betrekking tot particulieren en kleine partijen; waarvan – Blootstellingswaarde voor de berekening van de hefboomratio – Blootstellingen in het kader van de standaardbenadering</w:t>
            </w:r>
          </w:p>
          <w:p w:rsidR="002509B1" w:rsidRPr="00967213"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 blootstellingswaarde voor de berekening van de hefboomratio van activa die blootstellingen zijn met betrekking tot particulieren en kleine partijen die vallen onder artikel </w:t>
            </w:r>
            <w:r w:rsidRPr="00CF219D">
              <w:rPr>
                <w:rFonts w:ascii="Times New Roman" w:hAnsi="Times New Roman"/>
              </w:rPr>
              <w:t>123</w:t>
            </w:r>
            <w:r>
              <w:rPr>
                <w:rFonts w:ascii="Times New Roman" w:hAnsi="Times New Roman"/>
              </w:rPr>
              <w:t xml:space="preserve"> van de VKV.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w:t>
            </w:r>
            <w:r w:rsidRPr="00CF219D">
              <w:rPr>
                <w:rFonts w:ascii="Times New Roman" w:hAnsi="Times New Roman"/>
              </w:rPr>
              <w:t>210</w:t>
            </w:r>
            <w:r>
              <w:rPr>
                <w:rFonts w:ascii="Times New Roman" w:hAnsi="Times New Roman"/>
              </w:rPr>
              <w:t>;</w:t>
            </w:r>
            <w:r w:rsidRPr="00CF219D">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Blootstellingen met betrekking tot particulieren en kleine partijen; waarvan – Blootstellingswaarde voor de berekening van de hefboomratio – Blootstellingen in het kader van de interneratingbenadering</w:t>
            </w:r>
          </w:p>
          <w:p w:rsidR="002509B1" w:rsidRPr="00FE002E" w:rsidRDefault="002509B1" w:rsidP="007E2A41">
            <w:pPr>
              <w:pStyle w:val="BodyText1"/>
              <w:spacing w:line="240" w:lineRule="auto"/>
              <w:rPr>
                <w:rFonts w:ascii="Times New Roman" w:hAnsi="Times New Roman"/>
                <w:b/>
                <w:bCs/>
              </w:rPr>
            </w:pPr>
          </w:p>
          <w:p w:rsidR="00F4754B" w:rsidRPr="00BB5324" w:rsidRDefault="00F4754B" w:rsidP="007E2A41">
            <w:pPr>
              <w:pStyle w:val="BodyText1"/>
              <w:spacing w:line="240" w:lineRule="auto"/>
              <w:rPr>
                <w:rFonts w:ascii="Times New Roman" w:hAnsi="Times New Roman"/>
                <w:bCs/>
              </w:rPr>
            </w:pPr>
            <w:r>
              <w:rPr>
                <w:rFonts w:ascii="Times New Roman" w:hAnsi="Times New Roman"/>
              </w:rPr>
              <w:t xml:space="preserve">De blootstellingswaarde voor de berekening van de hefboomratio van activa die blootstellingen zijn met betrekking tot particulieren en kleine partijen in de zin van artikel </w:t>
            </w:r>
            <w:r w:rsidRPr="00CF219D">
              <w:rPr>
                <w:rFonts w:ascii="Times New Roman" w:hAnsi="Times New Roman"/>
              </w:rPr>
              <w:t>147</w:t>
            </w:r>
            <w:r>
              <w:rPr>
                <w:rFonts w:ascii="Times New Roman" w:hAnsi="Times New Roman"/>
              </w:rPr>
              <w:t xml:space="preserve">, lid </w:t>
            </w:r>
            <w:r w:rsidRPr="00CF219D">
              <w:rPr>
                <w:rFonts w:ascii="Times New Roman" w:hAnsi="Times New Roman"/>
              </w:rPr>
              <w:t>2</w:t>
            </w:r>
            <w:r>
              <w:rPr>
                <w:rFonts w:ascii="Times New Roman" w:hAnsi="Times New Roman"/>
              </w:rPr>
              <w:t xml:space="preserve">, onder d), van de VKV, indien deze blootstellingen </w:t>
            </w:r>
            <w:r>
              <w:rPr>
                <w:rFonts w:ascii="Times New Roman" w:hAnsi="Times New Roman"/>
                <w:b/>
                <w:u w:val="single"/>
              </w:rPr>
              <w:t>niet</w:t>
            </w:r>
            <w:r>
              <w:rPr>
                <w:rFonts w:ascii="Times New Roman" w:hAnsi="Times New Roman"/>
              </w:rPr>
              <w:t xml:space="preserve"> zijn gedekt door hypotheken op onroerend goed als bedoeld in artikel </w:t>
            </w:r>
            <w:r w:rsidRPr="00CF219D">
              <w:rPr>
                <w:rFonts w:ascii="Times New Roman" w:hAnsi="Times New Roman"/>
              </w:rPr>
              <w:t>199</w:t>
            </w:r>
            <w:r>
              <w:rPr>
                <w:rFonts w:ascii="Times New Roman" w:hAnsi="Times New Roman"/>
              </w:rPr>
              <w:t xml:space="preserve">, lid </w:t>
            </w:r>
            <w:r w:rsidRPr="00CF219D">
              <w:rPr>
                <w:rFonts w:ascii="Times New Roman" w:hAnsi="Times New Roman"/>
              </w:rPr>
              <w:t>1</w:t>
            </w:r>
            <w:r>
              <w:rPr>
                <w:rFonts w:ascii="Times New Roman" w:hAnsi="Times New Roman"/>
              </w:rPr>
              <w:t xml:space="preserve">, onder a), van de VKV. </w:t>
            </w:r>
          </w:p>
          <w:p w:rsidR="009C4E79" w:rsidRPr="00BB5324" w:rsidRDefault="009C4E79" w:rsidP="007E2A41">
            <w:pPr>
              <w:pStyle w:val="BodyText1"/>
              <w:spacing w:line="240" w:lineRule="auto"/>
              <w:rPr>
                <w:rFonts w:ascii="Times New Roman" w:hAnsi="Times New Roman"/>
                <w:bCs/>
              </w:rPr>
            </w:pPr>
          </w:p>
          <w:p w:rsidR="00086A8A" w:rsidRPr="00FE002E" w:rsidRDefault="009C4E79" w:rsidP="009C4E79">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CF219D">
              <w:rPr>
                <w:rFonts w:ascii="Times New Roman" w:hAnsi="Times New Roman"/>
              </w:rPr>
              <w:t>210</w:t>
            </w:r>
            <w:r>
              <w:rPr>
                <w:rFonts w:ascii="Times New Roman" w:hAnsi="Times New Roman"/>
              </w:rPr>
              <w:t>;</w:t>
            </w:r>
            <w:r w:rsidRPr="00CF219D">
              <w:rPr>
                <w:rFonts w:ascii="Times New Roman" w:hAnsi="Times New Roman"/>
              </w:rPr>
              <w:t>030</w:t>
            </w:r>
            <w:r>
              <w:rPr>
                <w:rFonts w:ascii="Times New Roman" w:hAnsi="Times New Roman"/>
              </w:rPr>
              <w:t>}</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Blootstellingen met betrekking tot particulieren en kleine partijen; waarvan – Risicogewogen activa – Blootstellingen in het kader van de standaardbenadering</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 risicogewogen posten van activa die blootstellingen zijn met betrekking tot particulieren en kleine partijen die vallen onder artikel </w:t>
            </w:r>
            <w:r w:rsidRPr="00CF219D">
              <w:rPr>
                <w:rFonts w:ascii="Times New Roman" w:hAnsi="Times New Roman"/>
              </w:rPr>
              <w:t>123</w:t>
            </w:r>
            <w:r>
              <w:rPr>
                <w:rFonts w:ascii="Times New Roman" w:hAnsi="Times New Roman"/>
              </w:rPr>
              <w:t xml:space="preserve"> van de VKV.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w:t>
            </w:r>
            <w:r w:rsidRPr="00CF219D">
              <w:rPr>
                <w:rFonts w:ascii="Times New Roman" w:hAnsi="Times New Roman"/>
              </w:rPr>
              <w:t>210</w:t>
            </w:r>
            <w:r>
              <w:rPr>
                <w:rFonts w:ascii="Times New Roman" w:hAnsi="Times New Roman"/>
              </w:rPr>
              <w:t>;</w:t>
            </w:r>
            <w:r w:rsidRPr="00CF219D">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Blootstellingen met betrekking tot particulieren en kleine partijen; waarvan – Risicogewogen activa – Blootstellingen in het kader van de interneratingbenadering</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 risicogewogen posten van activa die blootstellingen zijn met betrekking tot particulieren en kleine partijen in de zin van artikel </w:t>
            </w:r>
            <w:r w:rsidRPr="00CF219D">
              <w:rPr>
                <w:rFonts w:ascii="Times New Roman" w:hAnsi="Times New Roman"/>
              </w:rPr>
              <w:t>147</w:t>
            </w:r>
            <w:r>
              <w:rPr>
                <w:rFonts w:ascii="Times New Roman" w:hAnsi="Times New Roman"/>
              </w:rPr>
              <w:t xml:space="preserve">, lid </w:t>
            </w:r>
            <w:r w:rsidRPr="00CF219D">
              <w:rPr>
                <w:rFonts w:ascii="Times New Roman" w:hAnsi="Times New Roman"/>
              </w:rPr>
              <w:t>2</w:t>
            </w:r>
            <w:r>
              <w:rPr>
                <w:rFonts w:ascii="Times New Roman" w:hAnsi="Times New Roman"/>
              </w:rPr>
              <w:t xml:space="preserve">, onder d), van de VKV, indien deze blootstellingen </w:t>
            </w:r>
            <w:r>
              <w:rPr>
                <w:rFonts w:ascii="Times New Roman" w:hAnsi="Times New Roman"/>
                <w:b/>
                <w:u w:val="single"/>
              </w:rPr>
              <w:t>niet</w:t>
            </w:r>
            <w:r>
              <w:rPr>
                <w:rFonts w:ascii="Times New Roman" w:hAnsi="Times New Roman"/>
              </w:rPr>
              <w:t xml:space="preserve"> zijn gedekt door hypotheken op onroerend goed als bedoeld in artikel </w:t>
            </w:r>
            <w:r w:rsidRPr="00CF219D">
              <w:rPr>
                <w:rFonts w:ascii="Times New Roman" w:hAnsi="Times New Roman"/>
              </w:rPr>
              <w:t>199</w:t>
            </w:r>
            <w:r>
              <w:rPr>
                <w:rFonts w:ascii="Times New Roman" w:hAnsi="Times New Roman"/>
              </w:rPr>
              <w:t xml:space="preserve">, lid </w:t>
            </w:r>
            <w:r w:rsidRPr="00CF219D">
              <w:rPr>
                <w:rFonts w:ascii="Times New Roman" w:hAnsi="Times New Roman"/>
              </w:rPr>
              <w:t>1</w:t>
            </w:r>
            <w:r>
              <w:rPr>
                <w:rFonts w:ascii="Times New Roman" w:hAnsi="Times New Roman"/>
              </w:rPr>
              <w:t xml:space="preserve">, onder a), van de VKV.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CF219D">
              <w:rPr>
                <w:rFonts w:ascii="Times New Roman" w:hAnsi="Times New Roman"/>
              </w:rPr>
              <w:t>220</w:t>
            </w:r>
            <w:r>
              <w:rPr>
                <w:rFonts w:ascii="Times New Roman" w:hAnsi="Times New Roman"/>
              </w:rPr>
              <w:t>;</w:t>
            </w:r>
            <w:r w:rsidRPr="00CF219D">
              <w:rPr>
                <w:rFonts w:ascii="Times New Roman" w:hAnsi="Times New Roman"/>
              </w:rPr>
              <w:t>010</w:t>
            </w:r>
            <w:r>
              <w:rPr>
                <w:rFonts w:ascii="Times New Roman" w:hAnsi="Times New Roman"/>
              </w:rPr>
              <w:t>}</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In de categorie particulieren en kleine partijen ondergebrachte kmo's — Blootstellingswaarde voor de berekening van de hefboomratio — Blootstellingen in het kader van de standaardbenadering</w:t>
            </w:r>
          </w:p>
          <w:p w:rsidR="002509B1" w:rsidRPr="00706750"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De blootstellingswaarde voor de berekening van de hefboomratio van activa die blootstellingen zijn met betrekking tot kleine en middelgrote ondernemingen die in de categorie particulieren en kleine partijen zijn ondergebracht en die vallen onder artikel </w:t>
            </w:r>
            <w:r w:rsidRPr="00CF219D">
              <w:rPr>
                <w:rFonts w:ascii="Times New Roman" w:hAnsi="Times New Roman"/>
              </w:rPr>
              <w:t>123</w:t>
            </w:r>
            <w:r>
              <w:rPr>
                <w:rFonts w:ascii="Times New Roman" w:hAnsi="Times New Roman"/>
              </w:rPr>
              <w:t xml:space="preserve"> van de VKV. </w:t>
            </w:r>
          </w:p>
          <w:p w:rsidR="00BB5324" w:rsidRDefault="00BB5324" w:rsidP="007E2A41">
            <w:pPr>
              <w:pStyle w:val="BodyText1"/>
              <w:spacing w:line="240" w:lineRule="auto"/>
              <w:rPr>
                <w:rFonts w:ascii="Times New Roman" w:hAnsi="Times New Roman"/>
                <w:bCs/>
              </w:rPr>
            </w:pPr>
          </w:p>
          <w:p w:rsidR="004B653A" w:rsidRDefault="004B653A" w:rsidP="007E2A41">
            <w:pPr>
              <w:pStyle w:val="BodyText1"/>
              <w:spacing w:line="240" w:lineRule="auto"/>
              <w:rPr>
                <w:rFonts w:ascii="Times New Roman" w:hAnsi="Times New Roman"/>
                <w:bCs/>
              </w:rPr>
            </w:pPr>
            <w:r>
              <w:rPr>
                <w:rFonts w:ascii="Times New Roman" w:hAnsi="Times New Roman"/>
              </w:rPr>
              <w:t xml:space="preserve">Bij het rapporteren van deze cel wordt voor het begrip "kleine of middelgrote onderneming" (kmo) de definitie gehanteerd die is vermeld in artikel </w:t>
            </w:r>
            <w:r w:rsidRPr="00CF219D">
              <w:rPr>
                <w:rFonts w:ascii="Times New Roman" w:hAnsi="Times New Roman"/>
              </w:rPr>
              <w:t>501</w:t>
            </w:r>
            <w:r>
              <w:rPr>
                <w:rFonts w:ascii="Times New Roman" w:hAnsi="Times New Roman"/>
              </w:rPr>
              <w:t xml:space="preserve">, lid </w:t>
            </w:r>
            <w:r w:rsidRPr="00CF219D">
              <w:rPr>
                <w:rFonts w:ascii="Times New Roman" w:hAnsi="Times New Roman"/>
              </w:rPr>
              <w:t>2</w:t>
            </w:r>
            <w:r>
              <w:rPr>
                <w:rFonts w:ascii="Times New Roman" w:hAnsi="Times New Roman"/>
              </w:rPr>
              <w:t>, onder b), van de VKV.</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CF219D">
              <w:rPr>
                <w:rFonts w:ascii="Times New Roman" w:hAnsi="Times New Roman"/>
              </w:rPr>
              <w:t>220</w:t>
            </w:r>
            <w:r>
              <w:rPr>
                <w:rFonts w:ascii="Times New Roman" w:hAnsi="Times New Roman"/>
              </w:rPr>
              <w:t>;</w:t>
            </w:r>
            <w:r w:rsidRPr="00CF219D">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In de categorie particulieren en kleine partijen ondergebrachte kmo's — Blootstellingswaarde voor de berekening van de hefboomratio — Blootstellingen in het kader van de interneratingbenadering</w:t>
            </w:r>
          </w:p>
          <w:p w:rsidR="002509B1" w:rsidRPr="00FE002E" w:rsidRDefault="002509B1" w:rsidP="007E2A41">
            <w:pPr>
              <w:pStyle w:val="BodyText1"/>
              <w:spacing w:line="240" w:lineRule="auto"/>
              <w:rPr>
                <w:rFonts w:ascii="Times New Roman" w:hAnsi="Times New Roman"/>
                <w:b/>
                <w:bCs/>
              </w:rPr>
            </w:pPr>
          </w:p>
          <w:p w:rsidR="00315160" w:rsidRDefault="00F4754B" w:rsidP="007E2A41">
            <w:pPr>
              <w:pStyle w:val="BodyText1"/>
              <w:spacing w:line="240" w:lineRule="auto"/>
              <w:rPr>
                <w:rFonts w:ascii="Times New Roman" w:hAnsi="Times New Roman"/>
                <w:bCs/>
              </w:rPr>
            </w:pPr>
            <w:r>
              <w:rPr>
                <w:rFonts w:ascii="Times New Roman" w:hAnsi="Times New Roman"/>
              </w:rPr>
              <w:t xml:space="preserve">De blootstellingswaarde voor de berekening van de hefboomratio van activa die blootstellingen zijn met betrekking tot particulieren en kleine partijen in de zin van artikel </w:t>
            </w:r>
            <w:r w:rsidRPr="00CF219D">
              <w:rPr>
                <w:rFonts w:ascii="Times New Roman" w:hAnsi="Times New Roman"/>
              </w:rPr>
              <w:t>147</w:t>
            </w:r>
            <w:r>
              <w:rPr>
                <w:rFonts w:ascii="Times New Roman" w:hAnsi="Times New Roman"/>
              </w:rPr>
              <w:t xml:space="preserve">, lid </w:t>
            </w:r>
            <w:r w:rsidRPr="00CF219D">
              <w:rPr>
                <w:rFonts w:ascii="Times New Roman" w:hAnsi="Times New Roman"/>
              </w:rPr>
              <w:t>2</w:t>
            </w:r>
            <w:r>
              <w:rPr>
                <w:rFonts w:ascii="Times New Roman" w:hAnsi="Times New Roman"/>
              </w:rPr>
              <w:t xml:space="preserve">, onder d), </w:t>
            </w:r>
            <w:r>
              <w:rPr>
                <w:rFonts w:ascii="Times New Roman" w:hAnsi="Times New Roman"/>
              </w:rPr>
              <w:lastRenderedPageBreak/>
              <w:t xml:space="preserve">van de VKV, indien het blootstellingen met betrekking tot kleine en middelgrote ondernemingen betreft die </w:t>
            </w:r>
            <w:r>
              <w:rPr>
                <w:rFonts w:ascii="Times New Roman" w:hAnsi="Times New Roman"/>
                <w:b/>
                <w:u w:val="single"/>
              </w:rPr>
              <w:t>niet</w:t>
            </w:r>
            <w:r>
              <w:rPr>
                <w:rFonts w:ascii="Times New Roman" w:hAnsi="Times New Roman"/>
              </w:rPr>
              <w:t xml:space="preserve"> zijn gedekt door hypotheken op onroerend goed als bedoeld in artikel </w:t>
            </w:r>
            <w:r w:rsidRPr="00CF219D">
              <w:rPr>
                <w:rFonts w:ascii="Times New Roman" w:hAnsi="Times New Roman"/>
              </w:rPr>
              <w:t>199</w:t>
            </w:r>
            <w:r>
              <w:rPr>
                <w:rFonts w:ascii="Times New Roman" w:hAnsi="Times New Roman"/>
              </w:rPr>
              <w:t xml:space="preserve">, lid </w:t>
            </w:r>
            <w:r w:rsidRPr="00CF219D">
              <w:rPr>
                <w:rFonts w:ascii="Times New Roman" w:hAnsi="Times New Roman"/>
              </w:rPr>
              <w:t>1</w:t>
            </w:r>
            <w:r>
              <w:rPr>
                <w:rFonts w:ascii="Times New Roman" w:hAnsi="Times New Roman"/>
              </w:rPr>
              <w:t>, onder a), van de VKV.</w:t>
            </w:r>
          </w:p>
          <w:p w:rsidR="00F4754B" w:rsidRPr="00FE002E" w:rsidRDefault="00315160" w:rsidP="007E2A41">
            <w:pPr>
              <w:pStyle w:val="BodyText1"/>
              <w:spacing w:line="240" w:lineRule="auto"/>
              <w:rPr>
                <w:rFonts w:ascii="Times New Roman" w:hAnsi="Times New Roman"/>
                <w:bCs/>
              </w:rPr>
            </w:pPr>
            <w:r>
              <w:rPr>
                <w:rFonts w:ascii="Times New Roman" w:hAnsi="Times New Roman"/>
              </w:rPr>
              <w:t xml:space="preserve"> </w:t>
            </w:r>
          </w:p>
          <w:p w:rsidR="004B653A" w:rsidRDefault="004B653A" w:rsidP="007E2A41">
            <w:pPr>
              <w:pStyle w:val="BodyText1"/>
              <w:spacing w:line="240" w:lineRule="auto"/>
              <w:rPr>
                <w:rFonts w:ascii="Times New Roman" w:hAnsi="Times New Roman"/>
                <w:bCs/>
              </w:rPr>
            </w:pPr>
            <w:r>
              <w:rPr>
                <w:rFonts w:ascii="Times New Roman" w:hAnsi="Times New Roman"/>
              </w:rPr>
              <w:t xml:space="preserve">Bij het rapporteren van deze cel wordt voor het begrip "kleine of middelgrote onderneming" (kmo) de definitie gehanteerd die is vermeld in artikel </w:t>
            </w:r>
            <w:r w:rsidRPr="00CF219D">
              <w:rPr>
                <w:rFonts w:ascii="Times New Roman" w:hAnsi="Times New Roman"/>
              </w:rPr>
              <w:t>501</w:t>
            </w:r>
            <w:r>
              <w:rPr>
                <w:rFonts w:ascii="Times New Roman" w:hAnsi="Times New Roman"/>
              </w:rPr>
              <w:t xml:space="preserve">, lid </w:t>
            </w:r>
            <w:r w:rsidRPr="00CF219D">
              <w:rPr>
                <w:rFonts w:ascii="Times New Roman" w:hAnsi="Times New Roman"/>
              </w:rPr>
              <w:t>2</w:t>
            </w:r>
            <w:r>
              <w:rPr>
                <w:rFonts w:ascii="Times New Roman" w:hAnsi="Times New Roman"/>
              </w:rPr>
              <w:t>, onder b), van de VKV.</w:t>
            </w:r>
          </w:p>
          <w:p w:rsidR="009C4E79" w:rsidRDefault="009C4E79" w:rsidP="009C4E79">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Del="00EC6E42"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w:t>
            </w:r>
            <w:r w:rsidRPr="00CF219D">
              <w:rPr>
                <w:rFonts w:ascii="Times New Roman" w:hAnsi="Times New Roman"/>
              </w:rPr>
              <w:t>220</w:t>
            </w:r>
            <w:r>
              <w:rPr>
                <w:rFonts w:ascii="Times New Roman" w:hAnsi="Times New Roman"/>
              </w:rPr>
              <w:t>;</w:t>
            </w:r>
            <w:r w:rsidRPr="00CF219D">
              <w:rPr>
                <w:rFonts w:ascii="Times New Roman" w:hAnsi="Times New Roman"/>
              </w:rPr>
              <w:t>030</w:t>
            </w:r>
            <w:r>
              <w:rPr>
                <w:rFonts w:ascii="Times New Roman" w:hAnsi="Times New Roman"/>
              </w:rPr>
              <w:t>}</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In de categorie particulieren en kleine partijen ondergebrachte kmo's – Risicogewogen activa – Blootstellingen in het kader van de standaardbenadering</w:t>
            </w:r>
          </w:p>
          <w:p w:rsidR="002509B1" w:rsidRPr="007129B2"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 risicogewogen posten van activa die blootstellingen zijn met betrekking tot kleine en middelgrote ondernemingen die in de categorie particulieren en kleine partijen zijn ondergebracht en die vallen onder artikel </w:t>
            </w:r>
            <w:r w:rsidRPr="00CF219D">
              <w:rPr>
                <w:rFonts w:ascii="Times New Roman" w:hAnsi="Times New Roman"/>
              </w:rPr>
              <w:t>123</w:t>
            </w:r>
            <w:r>
              <w:rPr>
                <w:rFonts w:ascii="Times New Roman" w:hAnsi="Times New Roman"/>
              </w:rPr>
              <w:t xml:space="preserve"> van de VKV. </w:t>
            </w:r>
          </w:p>
          <w:p w:rsidR="00BB5324" w:rsidRDefault="00BB5324" w:rsidP="007E2A41">
            <w:pPr>
              <w:pStyle w:val="BodyText1"/>
              <w:spacing w:line="240" w:lineRule="auto"/>
              <w:rPr>
                <w:rFonts w:ascii="Times New Roman" w:hAnsi="Times New Roman"/>
                <w:bCs/>
              </w:rPr>
            </w:pPr>
          </w:p>
          <w:p w:rsidR="004B653A" w:rsidRDefault="004B653A" w:rsidP="007E2A41">
            <w:pPr>
              <w:pStyle w:val="BodyText1"/>
              <w:spacing w:line="240" w:lineRule="auto"/>
              <w:rPr>
                <w:rFonts w:ascii="Times New Roman" w:hAnsi="Times New Roman"/>
                <w:bCs/>
              </w:rPr>
            </w:pPr>
            <w:r>
              <w:rPr>
                <w:rFonts w:ascii="Times New Roman" w:hAnsi="Times New Roman"/>
              </w:rPr>
              <w:t xml:space="preserve">Bij het rapporteren van deze cel wordt voor het begrip "kleine of middelgrote onderneming" (kmo) de definitie gehanteerd die is vermeld in artikel </w:t>
            </w:r>
            <w:r w:rsidRPr="00CF219D">
              <w:rPr>
                <w:rFonts w:ascii="Times New Roman" w:hAnsi="Times New Roman"/>
              </w:rPr>
              <w:t>501</w:t>
            </w:r>
            <w:r>
              <w:rPr>
                <w:rFonts w:ascii="Times New Roman" w:hAnsi="Times New Roman"/>
              </w:rPr>
              <w:t xml:space="preserve">, lid </w:t>
            </w:r>
            <w:r w:rsidRPr="00CF219D">
              <w:rPr>
                <w:rFonts w:ascii="Times New Roman" w:hAnsi="Times New Roman"/>
              </w:rPr>
              <w:t>2</w:t>
            </w:r>
            <w:r>
              <w:rPr>
                <w:rFonts w:ascii="Times New Roman" w:hAnsi="Times New Roman"/>
              </w:rPr>
              <w:t>, onder b), van de VKV.</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CF219D">
              <w:rPr>
                <w:rFonts w:ascii="Times New Roman" w:hAnsi="Times New Roman"/>
              </w:rPr>
              <w:t>220</w:t>
            </w:r>
            <w:r>
              <w:rPr>
                <w:rFonts w:ascii="Times New Roman" w:hAnsi="Times New Roman"/>
              </w:rPr>
              <w:t>;</w:t>
            </w:r>
            <w:r w:rsidRPr="00CF219D">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In de categorie particulieren en kleine partijen ondergebrachte kmo's — Risicogewogen activa — Blootstellingen in het kader van de interneratingbenadering</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 risicogewogen posten van activa die blootstellingen zijn met betrekking tot particulieren en kleine partijen in de zin van artikel </w:t>
            </w:r>
            <w:r w:rsidRPr="00CF219D">
              <w:rPr>
                <w:rFonts w:ascii="Times New Roman" w:hAnsi="Times New Roman"/>
              </w:rPr>
              <w:t>147</w:t>
            </w:r>
            <w:r>
              <w:rPr>
                <w:rFonts w:ascii="Times New Roman" w:hAnsi="Times New Roman"/>
              </w:rPr>
              <w:t xml:space="preserve">, lid </w:t>
            </w:r>
            <w:r w:rsidRPr="00CF219D">
              <w:rPr>
                <w:rFonts w:ascii="Times New Roman" w:hAnsi="Times New Roman"/>
              </w:rPr>
              <w:t>2</w:t>
            </w:r>
            <w:r>
              <w:rPr>
                <w:rFonts w:ascii="Times New Roman" w:hAnsi="Times New Roman"/>
              </w:rPr>
              <w:t xml:space="preserve">, onder d), van de VKV, indien het blootstellingen met betrekking tot kleine en middelgrote ondernemingen betreft die </w:t>
            </w:r>
            <w:r>
              <w:rPr>
                <w:rFonts w:ascii="Times New Roman" w:hAnsi="Times New Roman"/>
                <w:b/>
                <w:u w:val="single"/>
              </w:rPr>
              <w:t>niet</w:t>
            </w:r>
            <w:r>
              <w:rPr>
                <w:rFonts w:ascii="Times New Roman" w:hAnsi="Times New Roman"/>
              </w:rPr>
              <w:t xml:space="preserve"> zijn gedekt door hypotheken op onroerend goed als bedoeld in artikel </w:t>
            </w:r>
            <w:r w:rsidRPr="00CF219D">
              <w:rPr>
                <w:rFonts w:ascii="Times New Roman" w:hAnsi="Times New Roman"/>
              </w:rPr>
              <w:t>199</w:t>
            </w:r>
            <w:r>
              <w:rPr>
                <w:rFonts w:ascii="Times New Roman" w:hAnsi="Times New Roman"/>
              </w:rPr>
              <w:t xml:space="preserve">, lid </w:t>
            </w:r>
            <w:r w:rsidRPr="00CF219D">
              <w:rPr>
                <w:rFonts w:ascii="Times New Roman" w:hAnsi="Times New Roman"/>
              </w:rPr>
              <w:t>1</w:t>
            </w:r>
            <w:r>
              <w:rPr>
                <w:rFonts w:ascii="Times New Roman" w:hAnsi="Times New Roman"/>
              </w:rPr>
              <w:t xml:space="preserve">, onder a), van de VKV. </w:t>
            </w:r>
          </w:p>
          <w:p w:rsidR="00BB5324" w:rsidRDefault="00BB5324" w:rsidP="007E2A41">
            <w:pPr>
              <w:pStyle w:val="BodyText1"/>
              <w:spacing w:line="240" w:lineRule="auto"/>
              <w:rPr>
                <w:rFonts w:ascii="Times New Roman" w:hAnsi="Times New Roman"/>
                <w:bCs/>
              </w:rPr>
            </w:pPr>
          </w:p>
          <w:p w:rsidR="004B653A" w:rsidRPr="00FE002E" w:rsidRDefault="004B653A" w:rsidP="007E2A41">
            <w:pPr>
              <w:pStyle w:val="BodyText1"/>
              <w:spacing w:line="240" w:lineRule="auto"/>
              <w:rPr>
                <w:rFonts w:ascii="Times New Roman" w:hAnsi="Times New Roman"/>
                <w:bCs/>
              </w:rPr>
            </w:pPr>
            <w:r>
              <w:rPr>
                <w:rFonts w:ascii="Times New Roman" w:hAnsi="Times New Roman"/>
              </w:rPr>
              <w:t xml:space="preserve">Bij het rapporteren van deze cel wordt voor het begrip "kleine of middelgrote onderneming" (kmo) de definitie gehanteerd die is vermeld in artikel </w:t>
            </w:r>
            <w:r w:rsidRPr="00CF219D">
              <w:rPr>
                <w:rFonts w:ascii="Times New Roman" w:hAnsi="Times New Roman"/>
              </w:rPr>
              <w:t>501</w:t>
            </w:r>
            <w:r>
              <w:rPr>
                <w:rFonts w:ascii="Times New Roman" w:hAnsi="Times New Roman"/>
              </w:rPr>
              <w:t xml:space="preserve">, lid </w:t>
            </w:r>
            <w:r w:rsidRPr="00CF219D">
              <w:rPr>
                <w:rFonts w:ascii="Times New Roman" w:hAnsi="Times New Roman"/>
              </w:rPr>
              <w:t>2</w:t>
            </w:r>
            <w:r>
              <w:rPr>
                <w:rFonts w:ascii="Times New Roman" w:hAnsi="Times New Roman"/>
              </w:rPr>
              <w:t>, onder b), van de VKV.</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CF219D">
              <w:rPr>
                <w:rFonts w:ascii="Times New Roman" w:hAnsi="Times New Roman"/>
              </w:rPr>
              <w:t>230</w:t>
            </w:r>
            <w:r>
              <w:rPr>
                <w:rFonts w:ascii="Times New Roman" w:hAnsi="Times New Roman"/>
              </w:rPr>
              <w:t>;</w:t>
            </w:r>
            <w:r w:rsidRPr="00CF219D">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Ondernemingen; waarvan – Blootstellingswaarde voor de berekening van de hefboomratio – Blootstellingen in het kader van de standaardbenadering</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Dit is de som van {</w:t>
            </w:r>
            <w:r w:rsidRPr="00CF219D">
              <w:rPr>
                <w:rFonts w:ascii="Times New Roman" w:hAnsi="Times New Roman"/>
              </w:rPr>
              <w:t>240</w:t>
            </w:r>
            <w:r>
              <w:rPr>
                <w:rFonts w:ascii="Times New Roman" w:hAnsi="Times New Roman"/>
              </w:rPr>
              <w:t>;</w:t>
            </w:r>
            <w:r w:rsidRPr="00CF219D">
              <w:rPr>
                <w:rFonts w:ascii="Times New Roman" w:hAnsi="Times New Roman"/>
              </w:rPr>
              <w:t>010</w:t>
            </w:r>
            <w:r>
              <w:rPr>
                <w:rFonts w:ascii="Times New Roman" w:hAnsi="Times New Roman"/>
              </w:rPr>
              <w:t>} en {</w:t>
            </w:r>
            <w:r w:rsidRPr="00CF219D">
              <w:rPr>
                <w:rFonts w:ascii="Times New Roman" w:hAnsi="Times New Roman"/>
              </w:rPr>
              <w:t>250</w:t>
            </w:r>
            <w:r>
              <w:rPr>
                <w:rFonts w:ascii="Times New Roman" w:hAnsi="Times New Roman"/>
              </w:rPr>
              <w:t>;</w:t>
            </w:r>
            <w:r w:rsidRPr="00CF219D">
              <w:rPr>
                <w:rFonts w:ascii="Times New Roman" w:hAnsi="Times New Roman"/>
              </w:rPr>
              <w:t>010</w:t>
            </w:r>
            <w:r>
              <w:rPr>
                <w:rFonts w:ascii="Times New Roman" w:hAnsi="Times New Roman"/>
              </w:rPr>
              <w:t>}.</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CF219D">
              <w:rPr>
                <w:rFonts w:ascii="Times New Roman" w:hAnsi="Times New Roman"/>
              </w:rPr>
              <w:t>230</w:t>
            </w:r>
            <w:r>
              <w:rPr>
                <w:rFonts w:ascii="Times New Roman" w:hAnsi="Times New Roman"/>
              </w:rPr>
              <w:t>;</w:t>
            </w:r>
            <w:r w:rsidRPr="00CF219D">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Ondernemingen; waarvan – Blootstellingswaarde voor de berekening van de hefboomratio – Blootstellingen in het kader van de interneratingbenadering</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Dit is de som van {</w:t>
            </w:r>
            <w:r w:rsidRPr="00CF219D">
              <w:rPr>
                <w:rFonts w:ascii="Times New Roman" w:hAnsi="Times New Roman"/>
              </w:rPr>
              <w:t>240</w:t>
            </w:r>
            <w:r>
              <w:rPr>
                <w:rFonts w:ascii="Times New Roman" w:hAnsi="Times New Roman"/>
              </w:rPr>
              <w:t>;</w:t>
            </w:r>
            <w:r w:rsidRPr="00CF219D">
              <w:rPr>
                <w:rFonts w:ascii="Times New Roman" w:hAnsi="Times New Roman"/>
              </w:rPr>
              <w:t>020</w:t>
            </w:r>
            <w:r>
              <w:rPr>
                <w:rFonts w:ascii="Times New Roman" w:hAnsi="Times New Roman"/>
              </w:rPr>
              <w:t>} en {</w:t>
            </w:r>
            <w:r w:rsidRPr="00CF219D">
              <w:rPr>
                <w:rFonts w:ascii="Times New Roman" w:hAnsi="Times New Roman"/>
              </w:rPr>
              <w:t>250</w:t>
            </w:r>
            <w:r>
              <w:rPr>
                <w:rFonts w:ascii="Times New Roman" w:hAnsi="Times New Roman"/>
              </w:rPr>
              <w:t>;</w:t>
            </w:r>
            <w:r w:rsidRPr="00CF219D">
              <w:rPr>
                <w:rFonts w:ascii="Times New Roman" w:hAnsi="Times New Roman"/>
              </w:rPr>
              <w:t>020</w:t>
            </w:r>
            <w:r>
              <w:rPr>
                <w:rFonts w:ascii="Times New Roman" w:hAnsi="Times New Roman"/>
              </w:rPr>
              <w:t>}.</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CF219D">
              <w:rPr>
                <w:rFonts w:ascii="Times New Roman" w:hAnsi="Times New Roman"/>
              </w:rPr>
              <w:t>230</w:t>
            </w:r>
            <w:r>
              <w:rPr>
                <w:rFonts w:ascii="Times New Roman" w:hAnsi="Times New Roman"/>
              </w:rPr>
              <w:t>;</w:t>
            </w:r>
            <w:r w:rsidRPr="00CF219D">
              <w:rPr>
                <w:rFonts w:ascii="Times New Roman" w:hAnsi="Times New Roman"/>
              </w:rPr>
              <w:t>030</w:t>
            </w:r>
            <w:r>
              <w:rPr>
                <w:rFonts w:ascii="Times New Roman" w:hAnsi="Times New Roman"/>
              </w:rPr>
              <w:t>}</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Ondernemingen; waarvan – Risicogewogen activa – Blootstellingen in het kader van de standaardbenadering</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Dit is de som van {</w:t>
            </w:r>
            <w:r w:rsidRPr="00CF219D">
              <w:rPr>
                <w:rFonts w:ascii="Times New Roman" w:hAnsi="Times New Roman"/>
              </w:rPr>
              <w:t>240</w:t>
            </w:r>
            <w:r>
              <w:rPr>
                <w:rFonts w:ascii="Times New Roman" w:hAnsi="Times New Roman"/>
              </w:rPr>
              <w:t>;</w:t>
            </w:r>
            <w:r w:rsidRPr="00CF219D">
              <w:rPr>
                <w:rFonts w:ascii="Times New Roman" w:hAnsi="Times New Roman"/>
              </w:rPr>
              <w:t>030</w:t>
            </w:r>
            <w:r>
              <w:rPr>
                <w:rFonts w:ascii="Times New Roman" w:hAnsi="Times New Roman"/>
              </w:rPr>
              <w:t>} en {</w:t>
            </w:r>
            <w:r w:rsidRPr="00CF219D">
              <w:rPr>
                <w:rFonts w:ascii="Times New Roman" w:hAnsi="Times New Roman"/>
              </w:rPr>
              <w:t>250</w:t>
            </w:r>
            <w:r>
              <w:rPr>
                <w:rFonts w:ascii="Times New Roman" w:hAnsi="Times New Roman"/>
              </w:rPr>
              <w:t>;</w:t>
            </w:r>
            <w:r w:rsidRPr="00CF219D">
              <w:rPr>
                <w:rFonts w:ascii="Times New Roman" w:hAnsi="Times New Roman"/>
              </w:rPr>
              <w:t>030</w:t>
            </w:r>
            <w:r>
              <w:rPr>
                <w:rFonts w:ascii="Times New Roman" w:hAnsi="Times New Roman"/>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 xml:space="preserve">Instellingen rapporteren deze blootstellingen na aftrek van blootstellingen ten aanzien waarvan </w:t>
            </w:r>
            <w:r>
              <w:rPr>
                <w:rFonts w:ascii="Times New Roman" w:hAnsi="Times New Roman"/>
              </w:rPr>
              <w:lastRenderedPageBreak/>
              <w:t>zich een wanbetaling heeft voorgedaan.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w:t>
            </w:r>
            <w:r w:rsidRPr="00CF219D">
              <w:rPr>
                <w:rFonts w:ascii="Times New Roman" w:hAnsi="Times New Roman"/>
              </w:rPr>
              <w:t>230</w:t>
            </w:r>
            <w:r>
              <w:rPr>
                <w:rFonts w:ascii="Times New Roman" w:hAnsi="Times New Roman"/>
              </w:rPr>
              <w:t>;</w:t>
            </w:r>
            <w:r w:rsidRPr="00CF219D">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Ondernemingen; waarvan – Risicogewogen activa – Blootstellingen in het kader van de interneratingbenadering</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Dit is de som van {</w:t>
            </w:r>
            <w:r w:rsidRPr="00CF219D">
              <w:rPr>
                <w:rFonts w:ascii="Times New Roman" w:hAnsi="Times New Roman"/>
              </w:rPr>
              <w:t>240</w:t>
            </w:r>
            <w:r>
              <w:rPr>
                <w:rFonts w:ascii="Times New Roman" w:hAnsi="Times New Roman"/>
              </w:rPr>
              <w:t>;</w:t>
            </w:r>
            <w:r w:rsidRPr="00CF219D">
              <w:rPr>
                <w:rFonts w:ascii="Times New Roman" w:hAnsi="Times New Roman"/>
              </w:rPr>
              <w:t>040</w:t>
            </w:r>
            <w:r>
              <w:rPr>
                <w:rFonts w:ascii="Times New Roman" w:hAnsi="Times New Roman"/>
              </w:rPr>
              <w:t>} en {</w:t>
            </w:r>
            <w:r w:rsidRPr="00CF219D">
              <w:rPr>
                <w:rFonts w:ascii="Times New Roman" w:hAnsi="Times New Roman"/>
              </w:rPr>
              <w:t>250</w:t>
            </w:r>
            <w:r>
              <w:rPr>
                <w:rFonts w:ascii="Times New Roman" w:hAnsi="Times New Roman"/>
              </w:rPr>
              <w:t>;</w:t>
            </w:r>
            <w:r w:rsidRPr="00CF219D">
              <w:rPr>
                <w:rFonts w:ascii="Times New Roman" w:hAnsi="Times New Roman"/>
              </w:rPr>
              <w:t>040</w:t>
            </w:r>
            <w:r>
              <w:rPr>
                <w:rFonts w:ascii="Times New Roman" w:hAnsi="Times New Roman"/>
              </w:rPr>
              <w:t>}.</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CF219D">
              <w:rPr>
                <w:rFonts w:ascii="Times New Roman" w:hAnsi="Times New Roman"/>
              </w:rPr>
              <w:t>240</w:t>
            </w:r>
            <w:r>
              <w:rPr>
                <w:rFonts w:ascii="Times New Roman" w:hAnsi="Times New Roman"/>
              </w:rPr>
              <w:t>;</w:t>
            </w:r>
            <w:r w:rsidRPr="00CF219D">
              <w:rPr>
                <w:rFonts w:ascii="Times New Roman" w:hAnsi="Times New Roman"/>
              </w:rPr>
              <w:t>010</w:t>
            </w:r>
            <w:r>
              <w:rPr>
                <w:rFonts w:ascii="Times New Roman" w:hAnsi="Times New Roman"/>
              </w:rPr>
              <w:t>}</w:t>
            </w:r>
          </w:p>
        </w:tc>
        <w:tc>
          <w:tcPr>
            <w:tcW w:w="8133" w:type="dxa"/>
            <w:shd w:val="clear" w:color="auto" w:fill="FFFFFF"/>
          </w:tcPr>
          <w:p w:rsidR="00F4754B" w:rsidRPr="006F6EA7" w:rsidRDefault="00F4754B" w:rsidP="007E2A41">
            <w:pPr>
              <w:pStyle w:val="BodyText1"/>
              <w:spacing w:line="240" w:lineRule="auto"/>
              <w:rPr>
                <w:rFonts w:ascii="Times New Roman" w:hAnsi="Times New Roman"/>
                <w:b/>
                <w:bCs/>
              </w:rPr>
            </w:pPr>
            <w:r>
              <w:rPr>
                <w:rFonts w:ascii="Times New Roman" w:hAnsi="Times New Roman"/>
                <w:b/>
              </w:rPr>
              <w:t>Financiële ondernemingen — Blootstellingswaarde voor de berekening van de hefboomratio — Blootstellingen in het kader van de standaardbenadering</w:t>
            </w:r>
          </w:p>
          <w:p w:rsidR="002509B1" w:rsidRPr="00706750"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 blootstellingswaarde voor de berekening van de hefboomratio van activa die blootstellingen zijn met betrekking tot financiële ondernemingen die vallen onder artikel </w:t>
            </w:r>
            <w:r w:rsidRPr="00CF219D">
              <w:rPr>
                <w:rFonts w:ascii="Times New Roman" w:hAnsi="Times New Roman"/>
              </w:rPr>
              <w:t>122</w:t>
            </w:r>
            <w:r>
              <w:rPr>
                <w:rFonts w:ascii="Times New Roman" w:hAnsi="Times New Roman"/>
              </w:rPr>
              <w:t xml:space="preserve"> van de VKV. Voor de rapportage in LR</w:t>
            </w:r>
            <w:r w:rsidRPr="00CF219D">
              <w:rPr>
                <w:rFonts w:ascii="Times New Roman" w:hAnsi="Times New Roman"/>
              </w:rPr>
              <w:t>4</w:t>
            </w:r>
            <w:r>
              <w:rPr>
                <w:rFonts w:ascii="Times New Roman" w:hAnsi="Times New Roman"/>
              </w:rPr>
              <w:t xml:space="preserve"> wordt onder financiële ondernemingen het volgende verstaan: gereglementeerde en niet-gereglementeerde ondernemingen die geen in {</w:t>
            </w:r>
            <w:r w:rsidRPr="00CF219D">
              <w:rPr>
                <w:rFonts w:ascii="Times New Roman" w:hAnsi="Times New Roman"/>
              </w:rPr>
              <w:t>180</w:t>
            </w:r>
            <w:r>
              <w:rPr>
                <w:rFonts w:ascii="Times New Roman" w:hAnsi="Times New Roman"/>
              </w:rPr>
              <w:t>;</w:t>
            </w:r>
            <w:r w:rsidRPr="00CF219D">
              <w:rPr>
                <w:rFonts w:ascii="Times New Roman" w:hAnsi="Times New Roman"/>
              </w:rPr>
              <w:t>10</w:t>
            </w:r>
            <w:r>
              <w:rPr>
                <w:rFonts w:ascii="Times New Roman" w:hAnsi="Times New Roman"/>
              </w:rPr>
              <w:t xml:space="preserve">} bedoelde instellingen zijn en waarvan de hoofdactiviteit bestaat in het verwerven van deelnemingen of in het uitoefenen van een of meer van de in bijlage I bij Richtlijn </w:t>
            </w:r>
            <w:r w:rsidRPr="00CF219D">
              <w:rPr>
                <w:rFonts w:ascii="Times New Roman" w:hAnsi="Times New Roman"/>
              </w:rPr>
              <w:t>2013</w:t>
            </w:r>
            <w:r>
              <w:rPr>
                <w:rFonts w:ascii="Times New Roman" w:hAnsi="Times New Roman"/>
              </w:rPr>
              <w:t>/</w:t>
            </w:r>
            <w:r w:rsidRPr="00CF219D">
              <w:rPr>
                <w:rFonts w:ascii="Times New Roman" w:hAnsi="Times New Roman"/>
              </w:rPr>
              <w:t>36</w:t>
            </w:r>
            <w:r>
              <w:rPr>
                <w:rFonts w:ascii="Times New Roman" w:hAnsi="Times New Roman"/>
              </w:rPr>
              <w:t xml:space="preserve">/EU genoemde werkzaamheden, alsmede in artikel </w:t>
            </w:r>
            <w:r w:rsidRPr="00CF219D">
              <w:rPr>
                <w:rFonts w:ascii="Times New Roman" w:hAnsi="Times New Roman"/>
              </w:rPr>
              <w:t>4</w:t>
            </w:r>
            <w:r>
              <w:rPr>
                <w:rFonts w:ascii="Times New Roman" w:hAnsi="Times New Roman"/>
              </w:rPr>
              <w:t xml:space="preserve">, lid </w:t>
            </w:r>
            <w:r w:rsidRPr="00CF219D">
              <w:rPr>
                <w:rFonts w:ascii="Times New Roman" w:hAnsi="Times New Roman"/>
              </w:rPr>
              <w:t>1</w:t>
            </w:r>
            <w:r>
              <w:rPr>
                <w:rFonts w:ascii="Times New Roman" w:hAnsi="Times New Roman"/>
              </w:rPr>
              <w:t>, punt </w:t>
            </w:r>
            <w:r w:rsidRPr="00CF219D">
              <w:rPr>
                <w:rFonts w:ascii="Times New Roman" w:hAnsi="Times New Roman"/>
              </w:rPr>
              <w:t>27</w:t>
            </w:r>
            <w:r>
              <w:rPr>
                <w:rFonts w:ascii="Times New Roman" w:hAnsi="Times New Roman"/>
              </w:rPr>
              <w:t>, van de VKV omschreven ondernemingen die geen in {</w:t>
            </w:r>
            <w:r w:rsidRPr="00CF219D">
              <w:rPr>
                <w:rFonts w:ascii="Times New Roman" w:hAnsi="Times New Roman"/>
              </w:rPr>
              <w:t>180</w:t>
            </w:r>
            <w:r>
              <w:rPr>
                <w:rFonts w:ascii="Times New Roman" w:hAnsi="Times New Roman"/>
              </w:rPr>
              <w:t>;</w:t>
            </w:r>
            <w:r w:rsidRPr="00CF219D">
              <w:rPr>
                <w:rFonts w:ascii="Times New Roman" w:hAnsi="Times New Roman"/>
              </w:rPr>
              <w:t>10</w:t>
            </w:r>
            <w:r>
              <w:rPr>
                <w:rFonts w:ascii="Times New Roman" w:hAnsi="Times New Roman"/>
              </w:rPr>
              <w:t xml:space="preserve">} bedoelde instellingen zijn. </w:t>
            </w:r>
          </w:p>
          <w:p w:rsidR="00086A8A" w:rsidRDefault="00BB5324" w:rsidP="007E2A41">
            <w:pPr>
              <w:pStyle w:val="BodyText1"/>
              <w:spacing w:line="240" w:lineRule="auto"/>
              <w:rPr>
                <w:rFonts w:ascii="Times New Roman" w:hAnsi="Times New Roman"/>
                <w:bCs/>
              </w:rPr>
            </w:pPr>
            <w:r>
              <w:rPr>
                <w:rFonts w:ascii="Times New Roman" w:hAnsi="Times New Roman"/>
              </w:rPr>
              <w:t>.</w:t>
            </w:r>
          </w:p>
          <w:p w:rsidR="00086A8A" w:rsidRPr="00FE002E" w:rsidRDefault="00086A8A"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w:t>
            </w:r>
            <w:r w:rsidRPr="00CF219D">
              <w:rPr>
                <w:rFonts w:ascii="Times New Roman" w:hAnsi="Times New Roman"/>
              </w:rPr>
              <w:t>240</w:t>
            </w:r>
            <w:r>
              <w:rPr>
                <w:rFonts w:ascii="Times New Roman" w:hAnsi="Times New Roman"/>
              </w:rPr>
              <w:t>;</w:t>
            </w:r>
            <w:r w:rsidRPr="00CF219D">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Financiële ondernemingen — Blootstellingswaarde voor de berekening van de hefboomratio — Blootstellingen in het kader van de interneratingbenadering</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De blootstellingswaarde voor de berekening van de hefboomratio van activa die blootstellingen zijn met betrekking tot financiële ondernemingen in de zin van artikel </w:t>
            </w:r>
            <w:r w:rsidRPr="00CF219D">
              <w:rPr>
                <w:rFonts w:ascii="Times New Roman" w:hAnsi="Times New Roman"/>
              </w:rPr>
              <w:t>147</w:t>
            </w:r>
            <w:r>
              <w:rPr>
                <w:rFonts w:ascii="Times New Roman" w:hAnsi="Times New Roman"/>
              </w:rPr>
              <w:t xml:space="preserve">, lid </w:t>
            </w:r>
            <w:r w:rsidRPr="00CF219D">
              <w:rPr>
                <w:rFonts w:ascii="Times New Roman" w:hAnsi="Times New Roman"/>
              </w:rPr>
              <w:t>2</w:t>
            </w:r>
            <w:r>
              <w:rPr>
                <w:rFonts w:ascii="Times New Roman" w:hAnsi="Times New Roman"/>
              </w:rPr>
              <w:t xml:space="preserve">, onder c), van de VKV, indien deze blootstellingen </w:t>
            </w:r>
            <w:r>
              <w:rPr>
                <w:rFonts w:ascii="Times New Roman" w:hAnsi="Times New Roman"/>
                <w:b/>
                <w:u w:val="single"/>
              </w:rPr>
              <w:t>niet</w:t>
            </w:r>
            <w:r>
              <w:rPr>
                <w:rFonts w:ascii="Times New Roman" w:hAnsi="Times New Roman"/>
              </w:rPr>
              <w:t xml:space="preserve"> zijn gedekt door hypotheken op onroerend goed als bedoeld in artikel </w:t>
            </w:r>
            <w:r w:rsidRPr="00CF219D">
              <w:rPr>
                <w:rFonts w:ascii="Times New Roman" w:hAnsi="Times New Roman"/>
              </w:rPr>
              <w:t>199</w:t>
            </w:r>
            <w:r>
              <w:rPr>
                <w:rFonts w:ascii="Times New Roman" w:hAnsi="Times New Roman"/>
              </w:rPr>
              <w:t xml:space="preserve">, lid </w:t>
            </w:r>
            <w:r w:rsidRPr="00CF219D">
              <w:rPr>
                <w:rFonts w:ascii="Times New Roman" w:hAnsi="Times New Roman"/>
              </w:rPr>
              <w:t>1</w:t>
            </w:r>
            <w:r>
              <w:rPr>
                <w:rFonts w:ascii="Times New Roman" w:hAnsi="Times New Roman"/>
              </w:rPr>
              <w:t>, onder a), van de VKV. Voor de rapportage in LR</w:t>
            </w:r>
            <w:r w:rsidRPr="00CF219D">
              <w:rPr>
                <w:rFonts w:ascii="Times New Roman" w:hAnsi="Times New Roman"/>
              </w:rPr>
              <w:t>4</w:t>
            </w:r>
            <w:r>
              <w:rPr>
                <w:rFonts w:ascii="Times New Roman" w:hAnsi="Times New Roman"/>
              </w:rPr>
              <w:t xml:space="preserve"> wordt onder financiële ondernemingen het volgende verstaan: gereglementeerde en niet-gereglementeerde ondernemingen die geen in {</w:t>
            </w:r>
            <w:r w:rsidRPr="00CF219D">
              <w:rPr>
                <w:rFonts w:ascii="Times New Roman" w:hAnsi="Times New Roman"/>
              </w:rPr>
              <w:t>180</w:t>
            </w:r>
            <w:r>
              <w:rPr>
                <w:rFonts w:ascii="Times New Roman" w:hAnsi="Times New Roman"/>
              </w:rPr>
              <w:t>;</w:t>
            </w:r>
            <w:r w:rsidRPr="00CF219D">
              <w:rPr>
                <w:rFonts w:ascii="Times New Roman" w:hAnsi="Times New Roman"/>
              </w:rPr>
              <w:t>10</w:t>
            </w:r>
            <w:r>
              <w:rPr>
                <w:rFonts w:ascii="Times New Roman" w:hAnsi="Times New Roman"/>
              </w:rPr>
              <w:t xml:space="preserve">} bedoelde instellingen zijn en waarvan de hoofdactiviteit bestaat in het verwerven van deelnemingen of in het uitoefenen van een of meer van de in bijlage I bij Richtlijn </w:t>
            </w:r>
            <w:r w:rsidRPr="00CF219D">
              <w:rPr>
                <w:rFonts w:ascii="Times New Roman" w:hAnsi="Times New Roman"/>
              </w:rPr>
              <w:t>2013</w:t>
            </w:r>
            <w:r>
              <w:rPr>
                <w:rFonts w:ascii="Times New Roman" w:hAnsi="Times New Roman"/>
              </w:rPr>
              <w:t>/</w:t>
            </w:r>
            <w:r w:rsidRPr="00CF219D">
              <w:rPr>
                <w:rFonts w:ascii="Times New Roman" w:hAnsi="Times New Roman"/>
              </w:rPr>
              <w:t>36</w:t>
            </w:r>
            <w:r>
              <w:rPr>
                <w:rFonts w:ascii="Times New Roman" w:hAnsi="Times New Roman"/>
              </w:rPr>
              <w:t xml:space="preserve">/EU genoemde werkzaamheden, alsmede in artikel </w:t>
            </w:r>
            <w:r w:rsidRPr="00CF219D">
              <w:rPr>
                <w:rFonts w:ascii="Times New Roman" w:hAnsi="Times New Roman"/>
              </w:rPr>
              <w:t>4</w:t>
            </w:r>
            <w:r>
              <w:rPr>
                <w:rFonts w:ascii="Times New Roman" w:hAnsi="Times New Roman"/>
              </w:rPr>
              <w:t xml:space="preserve">, lid </w:t>
            </w:r>
            <w:r w:rsidRPr="00CF219D">
              <w:rPr>
                <w:rFonts w:ascii="Times New Roman" w:hAnsi="Times New Roman"/>
              </w:rPr>
              <w:t>1</w:t>
            </w:r>
            <w:r>
              <w:rPr>
                <w:rFonts w:ascii="Times New Roman" w:hAnsi="Times New Roman"/>
              </w:rPr>
              <w:t>, punt </w:t>
            </w:r>
            <w:r w:rsidRPr="00CF219D">
              <w:rPr>
                <w:rFonts w:ascii="Times New Roman" w:hAnsi="Times New Roman"/>
              </w:rPr>
              <w:t>27</w:t>
            </w:r>
            <w:r>
              <w:rPr>
                <w:rFonts w:ascii="Times New Roman" w:hAnsi="Times New Roman"/>
              </w:rPr>
              <w:t>, van de VKV omschreven ondernemingen die geen in {</w:t>
            </w:r>
            <w:r w:rsidRPr="00CF219D">
              <w:rPr>
                <w:rFonts w:ascii="Times New Roman" w:hAnsi="Times New Roman"/>
              </w:rPr>
              <w:t>180</w:t>
            </w:r>
            <w:r>
              <w:rPr>
                <w:rFonts w:ascii="Times New Roman" w:hAnsi="Times New Roman"/>
              </w:rPr>
              <w:t>;</w:t>
            </w:r>
            <w:r w:rsidRPr="00CF219D">
              <w:rPr>
                <w:rFonts w:ascii="Times New Roman" w:hAnsi="Times New Roman"/>
              </w:rPr>
              <w:t>10</w:t>
            </w:r>
            <w:r>
              <w:rPr>
                <w:rFonts w:ascii="Times New Roman" w:hAnsi="Times New Roman"/>
              </w:rPr>
              <w:t xml:space="preserve">} bedoelde instellingen zijn.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CF219D">
              <w:rPr>
                <w:rFonts w:ascii="Times New Roman" w:hAnsi="Times New Roman"/>
              </w:rPr>
              <w:t>240</w:t>
            </w:r>
            <w:r>
              <w:rPr>
                <w:rFonts w:ascii="Times New Roman" w:hAnsi="Times New Roman"/>
              </w:rPr>
              <w:t>;</w:t>
            </w:r>
            <w:r w:rsidRPr="00CF219D">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Financiële ondernemingen — Risicogewogen activa — Blootstellingen in het kader van de standaardbenadering</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 risicogewogen posten van activa die blootstellingen zijn met betrekking tot financiële ondernemingen die vallen onder artikel </w:t>
            </w:r>
            <w:r w:rsidRPr="00CF219D">
              <w:rPr>
                <w:rFonts w:ascii="Times New Roman" w:hAnsi="Times New Roman"/>
              </w:rPr>
              <w:t>122</w:t>
            </w:r>
            <w:r>
              <w:rPr>
                <w:rFonts w:ascii="Times New Roman" w:hAnsi="Times New Roman"/>
              </w:rPr>
              <w:t xml:space="preserve"> van de VKV. Voor de rapportage in LR</w:t>
            </w:r>
            <w:r w:rsidRPr="00CF219D">
              <w:rPr>
                <w:rFonts w:ascii="Times New Roman" w:hAnsi="Times New Roman"/>
              </w:rPr>
              <w:t>4</w:t>
            </w:r>
            <w:r>
              <w:rPr>
                <w:rFonts w:ascii="Times New Roman" w:hAnsi="Times New Roman"/>
              </w:rPr>
              <w:t xml:space="preserve"> wordt onder financiële ondernemingen het volgende verstaan: gereglementeerde en niet-gereglementeerde ondernemingen die geen in {</w:t>
            </w:r>
            <w:r w:rsidRPr="00CF219D">
              <w:rPr>
                <w:rFonts w:ascii="Times New Roman" w:hAnsi="Times New Roman"/>
              </w:rPr>
              <w:t>180</w:t>
            </w:r>
            <w:r>
              <w:rPr>
                <w:rFonts w:ascii="Times New Roman" w:hAnsi="Times New Roman"/>
              </w:rPr>
              <w:t>;</w:t>
            </w:r>
            <w:r w:rsidRPr="00CF219D">
              <w:rPr>
                <w:rFonts w:ascii="Times New Roman" w:hAnsi="Times New Roman"/>
              </w:rPr>
              <w:t>10</w:t>
            </w:r>
            <w:r>
              <w:rPr>
                <w:rFonts w:ascii="Times New Roman" w:hAnsi="Times New Roman"/>
              </w:rPr>
              <w:t xml:space="preserve">} bedoelde instellingen zijn en waarvan de hoofdactiviteit bestaat in het verwerven van deelnemingen of in het uitoefenen van een of meer van de in bijlage I bij Richtlijn </w:t>
            </w:r>
            <w:r w:rsidRPr="00CF219D">
              <w:rPr>
                <w:rFonts w:ascii="Times New Roman" w:hAnsi="Times New Roman"/>
              </w:rPr>
              <w:t>2013</w:t>
            </w:r>
            <w:r>
              <w:rPr>
                <w:rFonts w:ascii="Times New Roman" w:hAnsi="Times New Roman"/>
              </w:rPr>
              <w:t>/</w:t>
            </w:r>
            <w:r w:rsidRPr="00CF219D">
              <w:rPr>
                <w:rFonts w:ascii="Times New Roman" w:hAnsi="Times New Roman"/>
              </w:rPr>
              <w:t>36</w:t>
            </w:r>
            <w:r>
              <w:rPr>
                <w:rFonts w:ascii="Times New Roman" w:hAnsi="Times New Roman"/>
              </w:rPr>
              <w:t xml:space="preserve">/EU genoemde werkzaamheden, alsmede in artikel </w:t>
            </w:r>
            <w:r w:rsidRPr="00CF219D">
              <w:rPr>
                <w:rFonts w:ascii="Times New Roman" w:hAnsi="Times New Roman"/>
              </w:rPr>
              <w:t>4</w:t>
            </w:r>
            <w:r>
              <w:rPr>
                <w:rFonts w:ascii="Times New Roman" w:hAnsi="Times New Roman"/>
              </w:rPr>
              <w:t xml:space="preserve">, lid </w:t>
            </w:r>
            <w:r w:rsidRPr="00CF219D">
              <w:rPr>
                <w:rFonts w:ascii="Times New Roman" w:hAnsi="Times New Roman"/>
              </w:rPr>
              <w:t>1</w:t>
            </w:r>
            <w:r>
              <w:rPr>
                <w:rFonts w:ascii="Times New Roman" w:hAnsi="Times New Roman"/>
              </w:rPr>
              <w:t>, punt </w:t>
            </w:r>
            <w:r w:rsidRPr="00CF219D">
              <w:rPr>
                <w:rFonts w:ascii="Times New Roman" w:hAnsi="Times New Roman"/>
              </w:rPr>
              <w:t>27</w:t>
            </w:r>
            <w:r>
              <w:rPr>
                <w:rFonts w:ascii="Times New Roman" w:hAnsi="Times New Roman"/>
              </w:rPr>
              <w:t>, van de VKV omschreven ondernemingen die geen in {</w:t>
            </w:r>
            <w:r w:rsidRPr="00CF219D">
              <w:rPr>
                <w:rFonts w:ascii="Times New Roman" w:hAnsi="Times New Roman"/>
              </w:rPr>
              <w:t>180</w:t>
            </w:r>
            <w:r>
              <w:rPr>
                <w:rFonts w:ascii="Times New Roman" w:hAnsi="Times New Roman"/>
              </w:rPr>
              <w:t>;</w:t>
            </w:r>
            <w:r w:rsidRPr="00CF219D">
              <w:rPr>
                <w:rFonts w:ascii="Times New Roman" w:hAnsi="Times New Roman"/>
              </w:rPr>
              <w:t>10</w:t>
            </w:r>
            <w:r>
              <w:rPr>
                <w:rFonts w:ascii="Times New Roman" w:hAnsi="Times New Roman"/>
              </w:rPr>
              <w:t xml:space="preserve">} bedoelde instellingen zijn.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CF219D">
              <w:rPr>
                <w:rFonts w:ascii="Times New Roman" w:hAnsi="Times New Roman"/>
              </w:rPr>
              <w:t>240</w:t>
            </w:r>
            <w:r>
              <w:rPr>
                <w:rFonts w:ascii="Times New Roman" w:hAnsi="Times New Roman"/>
              </w:rPr>
              <w:t>;</w:t>
            </w:r>
            <w:r w:rsidRPr="00CF219D">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Financiële ondernemingen — Risicogewogen activa — Blootstellingen in het kader van de interneratingbenadering</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 risicogewogen posten van activa die blootstellingen zijn met betrekking tot financiële </w:t>
            </w:r>
            <w:r>
              <w:rPr>
                <w:rFonts w:ascii="Times New Roman" w:hAnsi="Times New Roman"/>
              </w:rPr>
              <w:lastRenderedPageBreak/>
              <w:t xml:space="preserve">ondernemingen in de zin van artikel </w:t>
            </w:r>
            <w:r w:rsidRPr="00CF219D">
              <w:rPr>
                <w:rFonts w:ascii="Times New Roman" w:hAnsi="Times New Roman"/>
              </w:rPr>
              <w:t>147</w:t>
            </w:r>
            <w:r>
              <w:rPr>
                <w:rFonts w:ascii="Times New Roman" w:hAnsi="Times New Roman"/>
              </w:rPr>
              <w:t xml:space="preserve">, lid </w:t>
            </w:r>
            <w:r w:rsidRPr="00CF219D">
              <w:rPr>
                <w:rFonts w:ascii="Times New Roman" w:hAnsi="Times New Roman"/>
              </w:rPr>
              <w:t>2</w:t>
            </w:r>
            <w:r>
              <w:rPr>
                <w:rFonts w:ascii="Times New Roman" w:hAnsi="Times New Roman"/>
              </w:rPr>
              <w:t xml:space="preserve">, onder c), van de VKV, indien deze blootstellingen </w:t>
            </w:r>
            <w:r>
              <w:rPr>
                <w:rFonts w:ascii="Times New Roman" w:hAnsi="Times New Roman"/>
                <w:b/>
                <w:u w:val="single"/>
              </w:rPr>
              <w:t>niet</w:t>
            </w:r>
            <w:r>
              <w:rPr>
                <w:rFonts w:ascii="Times New Roman" w:hAnsi="Times New Roman"/>
              </w:rPr>
              <w:t xml:space="preserve"> zijn gedekt door hypotheken op onroerend goed als bedoeld in artikel </w:t>
            </w:r>
            <w:r w:rsidRPr="00CF219D">
              <w:rPr>
                <w:rFonts w:ascii="Times New Roman" w:hAnsi="Times New Roman"/>
              </w:rPr>
              <w:t>199</w:t>
            </w:r>
            <w:r>
              <w:rPr>
                <w:rFonts w:ascii="Times New Roman" w:hAnsi="Times New Roman"/>
              </w:rPr>
              <w:t xml:space="preserve">, lid </w:t>
            </w:r>
            <w:r w:rsidRPr="00CF219D">
              <w:rPr>
                <w:rFonts w:ascii="Times New Roman" w:hAnsi="Times New Roman"/>
              </w:rPr>
              <w:t>1</w:t>
            </w:r>
            <w:r>
              <w:rPr>
                <w:rFonts w:ascii="Times New Roman" w:hAnsi="Times New Roman"/>
              </w:rPr>
              <w:t>, onder a), van de VKV. Voor de rapportage in LR</w:t>
            </w:r>
            <w:r w:rsidRPr="00CF219D">
              <w:rPr>
                <w:rFonts w:ascii="Times New Roman" w:hAnsi="Times New Roman"/>
              </w:rPr>
              <w:t>4</w:t>
            </w:r>
            <w:r>
              <w:rPr>
                <w:rFonts w:ascii="Times New Roman" w:hAnsi="Times New Roman"/>
              </w:rPr>
              <w:t xml:space="preserve"> wordt onder financiële ondernemingen het volgende verstaan: gereglementeerde en niet-gereglementeerde ondernemingen die geen in {</w:t>
            </w:r>
            <w:r w:rsidRPr="00CF219D">
              <w:rPr>
                <w:rFonts w:ascii="Times New Roman" w:hAnsi="Times New Roman"/>
              </w:rPr>
              <w:t>180</w:t>
            </w:r>
            <w:r>
              <w:rPr>
                <w:rFonts w:ascii="Times New Roman" w:hAnsi="Times New Roman"/>
              </w:rPr>
              <w:t>;</w:t>
            </w:r>
            <w:r w:rsidRPr="00CF219D">
              <w:rPr>
                <w:rFonts w:ascii="Times New Roman" w:hAnsi="Times New Roman"/>
              </w:rPr>
              <w:t>10</w:t>
            </w:r>
            <w:r>
              <w:rPr>
                <w:rFonts w:ascii="Times New Roman" w:hAnsi="Times New Roman"/>
              </w:rPr>
              <w:t xml:space="preserve">} bedoelde instellingen zijn en waarvan de hoofdactiviteit bestaat in het verwerven van deelnemingen of in het uitoefenen van een of meer van de in bijlage I bij Richtlijn </w:t>
            </w:r>
            <w:r w:rsidRPr="00CF219D">
              <w:rPr>
                <w:rFonts w:ascii="Times New Roman" w:hAnsi="Times New Roman"/>
              </w:rPr>
              <w:t>2013</w:t>
            </w:r>
            <w:r>
              <w:rPr>
                <w:rFonts w:ascii="Times New Roman" w:hAnsi="Times New Roman"/>
              </w:rPr>
              <w:t>/</w:t>
            </w:r>
            <w:r w:rsidRPr="00CF219D">
              <w:rPr>
                <w:rFonts w:ascii="Times New Roman" w:hAnsi="Times New Roman"/>
              </w:rPr>
              <w:t>36</w:t>
            </w:r>
            <w:r>
              <w:rPr>
                <w:rFonts w:ascii="Times New Roman" w:hAnsi="Times New Roman"/>
              </w:rPr>
              <w:t xml:space="preserve">/EU genoemde werkzaamheden, alsmede in artikel </w:t>
            </w:r>
            <w:r w:rsidRPr="00CF219D">
              <w:rPr>
                <w:rFonts w:ascii="Times New Roman" w:hAnsi="Times New Roman"/>
              </w:rPr>
              <w:t>4</w:t>
            </w:r>
            <w:r>
              <w:rPr>
                <w:rFonts w:ascii="Times New Roman" w:hAnsi="Times New Roman"/>
              </w:rPr>
              <w:t xml:space="preserve">, lid </w:t>
            </w:r>
            <w:r w:rsidRPr="00CF219D">
              <w:rPr>
                <w:rFonts w:ascii="Times New Roman" w:hAnsi="Times New Roman"/>
              </w:rPr>
              <w:t>1</w:t>
            </w:r>
            <w:r>
              <w:rPr>
                <w:rFonts w:ascii="Times New Roman" w:hAnsi="Times New Roman"/>
              </w:rPr>
              <w:t>, punt </w:t>
            </w:r>
            <w:r w:rsidRPr="00CF219D">
              <w:rPr>
                <w:rFonts w:ascii="Times New Roman" w:hAnsi="Times New Roman"/>
              </w:rPr>
              <w:t>27</w:t>
            </w:r>
            <w:r>
              <w:rPr>
                <w:rFonts w:ascii="Times New Roman" w:hAnsi="Times New Roman"/>
              </w:rPr>
              <w:t>, van de VKV omschreven ondernemingen die geen in {</w:t>
            </w:r>
            <w:r w:rsidRPr="00CF219D">
              <w:rPr>
                <w:rFonts w:ascii="Times New Roman" w:hAnsi="Times New Roman"/>
              </w:rPr>
              <w:t>180</w:t>
            </w:r>
            <w:r>
              <w:rPr>
                <w:rFonts w:ascii="Times New Roman" w:hAnsi="Times New Roman"/>
              </w:rPr>
              <w:t>;</w:t>
            </w:r>
            <w:r w:rsidRPr="00CF219D">
              <w:rPr>
                <w:rFonts w:ascii="Times New Roman" w:hAnsi="Times New Roman"/>
              </w:rPr>
              <w:t>10</w:t>
            </w:r>
            <w:r>
              <w:rPr>
                <w:rFonts w:ascii="Times New Roman" w:hAnsi="Times New Roman"/>
              </w:rPr>
              <w:t xml:space="preserve">} bedoelde instellingen zijn.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w:t>
            </w:r>
            <w:r w:rsidRPr="00CF219D">
              <w:rPr>
                <w:rFonts w:ascii="Times New Roman" w:hAnsi="Times New Roman"/>
              </w:rPr>
              <w:t>250</w:t>
            </w:r>
            <w:r>
              <w:rPr>
                <w:rFonts w:ascii="Times New Roman" w:hAnsi="Times New Roman"/>
              </w:rPr>
              <w:t>;</w:t>
            </w:r>
            <w:r w:rsidRPr="00CF219D">
              <w:rPr>
                <w:rFonts w:ascii="Times New Roman" w:hAnsi="Times New Roman"/>
              </w:rPr>
              <w:t>010</w:t>
            </w:r>
            <w:r>
              <w:rPr>
                <w:rFonts w:ascii="Times New Roman" w:hAnsi="Times New Roman"/>
              </w:rPr>
              <w:t>}</w:t>
            </w:r>
          </w:p>
        </w:tc>
        <w:tc>
          <w:tcPr>
            <w:tcW w:w="8133" w:type="dxa"/>
            <w:shd w:val="clear" w:color="auto" w:fill="FFFFFF"/>
          </w:tcPr>
          <w:p w:rsidR="00F4754B" w:rsidRPr="00BE6AC4" w:rsidRDefault="00CD1DA1" w:rsidP="007E2A41">
            <w:pPr>
              <w:pStyle w:val="BodyText1"/>
              <w:spacing w:line="240" w:lineRule="auto"/>
              <w:rPr>
                <w:rFonts w:ascii="Times New Roman" w:hAnsi="Times New Roman"/>
                <w:b/>
                <w:bCs/>
              </w:rPr>
            </w:pPr>
            <w:r>
              <w:rPr>
                <w:rFonts w:ascii="Times New Roman" w:hAnsi="Times New Roman"/>
                <w:b/>
              </w:rPr>
              <w:t>Niet-financiële ondernemingen; waarvan – Blootstellingswaarde voor de berekening van de hefboomratio – Blootstellingen in het kader van de standaardbenadering</w:t>
            </w:r>
          </w:p>
          <w:p w:rsidR="002509B1" w:rsidRPr="00BE6AC4"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 blootstellingswaarde van de hefboomratio van activa die blootstellingen zijn met betrekking tot </w:t>
            </w:r>
            <w:r>
              <w:rPr>
                <w:rFonts w:ascii="Times New Roman" w:hAnsi="Times New Roman"/>
                <w:b/>
              </w:rPr>
              <w:t>niet</w:t>
            </w:r>
            <w:r>
              <w:rPr>
                <w:rFonts w:ascii="Times New Roman" w:hAnsi="Times New Roman"/>
              </w:rPr>
              <w:t xml:space="preserve">-financiële ondernemingen die vallen onder artikel </w:t>
            </w:r>
            <w:r w:rsidRPr="00CF219D">
              <w:rPr>
                <w:rFonts w:ascii="Times New Roman" w:hAnsi="Times New Roman"/>
              </w:rPr>
              <w:t>122</w:t>
            </w:r>
            <w:r>
              <w:rPr>
                <w:rFonts w:ascii="Times New Roman" w:hAnsi="Times New Roman"/>
              </w:rPr>
              <w:t xml:space="preserve"> van de CRR.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Dit is de som van {</w:t>
            </w:r>
            <w:r w:rsidRPr="00CF219D">
              <w:rPr>
                <w:rFonts w:ascii="Times New Roman" w:hAnsi="Times New Roman"/>
              </w:rPr>
              <w:t>260</w:t>
            </w:r>
            <w:r>
              <w:rPr>
                <w:rFonts w:ascii="Times New Roman" w:hAnsi="Times New Roman"/>
              </w:rPr>
              <w:t>;</w:t>
            </w:r>
            <w:r w:rsidRPr="00CF219D">
              <w:rPr>
                <w:rFonts w:ascii="Times New Roman" w:hAnsi="Times New Roman"/>
              </w:rPr>
              <w:t>010</w:t>
            </w:r>
            <w:r>
              <w:rPr>
                <w:rFonts w:ascii="Times New Roman" w:hAnsi="Times New Roman"/>
              </w:rPr>
              <w:t>} en {</w:t>
            </w:r>
            <w:r w:rsidRPr="00CF219D">
              <w:rPr>
                <w:rFonts w:ascii="Times New Roman" w:hAnsi="Times New Roman"/>
              </w:rPr>
              <w:t>270</w:t>
            </w:r>
            <w:r>
              <w:rPr>
                <w:rFonts w:ascii="Times New Roman" w:hAnsi="Times New Roman"/>
              </w:rPr>
              <w:t>;</w:t>
            </w:r>
            <w:r w:rsidRPr="00CF219D">
              <w:rPr>
                <w:rFonts w:ascii="Times New Roman" w:hAnsi="Times New Roman"/>
              </w:rPr>
              <w:t>010</w:t>
            </w:r>
            <w:r>
              <w:rPr>
                <w:rFonts w:ascii="Times New Roman" w:hAnsi="Times New Roman"/>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CF219D">
              <w:rPr>
                <w:rFonts w:ascii="Times New Roman" w:hAnsi="Times New Roman"/>
              </w:rPr>
              <w:t>250</w:t>
            </w:r>
            <w:r>
              <w:rPr>
                <w:rFonts w:ascii="Times New Roman" w:hAnsi="Times New Roman"/>
              </w:rPr>
              <w:t>;</w:t>
            </w:r>
            <w:r w:rsidRPr="00CF219D">
              <w:rPr>
                <w:rFonts w:ascii="Times New Roman" w:hAnsi="Times New Roman"/>
              </w:rPr>
              <w:t>020</w:t>
            </w:r>
            <w:r>
              <w:rPr>
                <w:rFonts w:ascii="Times New Roman" w:hAnsi="Times New Roman"/>
              </w:rPr>
              <w:t>}</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rPr>
              <w:t>Niet-financiële ondernemingen; waarvan – Blootstellingswaarde voor de berekening van de hefboomratio – Blootstellingen in het kader van de interneratingbenadering</w:t>
            </w:r>
          </w:p>
          <w:p w:rsidR="002509B1" w:rsidRPr="00FE002E" w:rsidRDefault="002509B1" w:rsidP="007E2A41">
            <w:pPr>
              <w:pStyle w:val="BodyText1"/>
              <w:spacing w:line="240" w:lineRule="auto"/>
              <w:rPr>
                <w:rFonts w:ascii="Times New Roman" w:hAnsi="Times New Roman"/>
                <w:b/>
                <w:bCs/>
              </w:rPr>
            </w:pPr>
          </w:p>
          <w:p w:rsidR="00FA71DB" w:rsidRDefault="00F4754B" w:rsidP="007E2A41">
            <w:pPr>
              <w:pStyle w:val="BodyText1"/>
              <w:spacing w:line="240" w:lineRule="auto"/>
              <w:rPr>
                <w:rFonts w:ascii="Times New Roman" w:hAnsi="Times New Roman"/>
                <w:bCs/>
              </w:rPr>
            </w:pPr>
            <w:r>
              <w:rPr>
                <w:rFonts w:ascii="Times New Roman" w:hAnsi="Times New Roman"/>
              </w:rPr>
              <w:t xml:space="preserve">De blootstellingswaarde voor de berekening van de hefboomratio van activa die blootstellingen zijn met betrekking tot </w:t>
            </w:r>
            <w:r>
              <w:rPr>
                <w:rFonts w:ascii="Times New Roman" w:hAnsi="Times New Roman"/>
                <w:b/>
              </w:rPr>
              <w:t>niet</w:t>
            </w:r>
            <w:r>
              <w:rPr>
                <w:rFonts w:ascii="Times New Roman" w:hAnsi="Times New Roman"/>
              </w:rPr>
              <w:t>-financiële ondernemingen in de zin van artikel </w:t>
            </w:r>
            <w:r w:rsidRPr="00CF219D">
              <w:rPr>
                <w:rFonts w:ascii="Times New Roman" w:hAnsi="Times New Roman"/>
              </w:rPr>
              <w:t>147</w:t>
            </w:r>
            <w:r>
              <w:rPr>
                <w:rFonts w:ascii="Times New Roman" w:hAnsi="Times New Roman"/>
              </w:rPr>
              <w:t xml:space="preserve">, lid </w:t>
            </w:r>
            <w:r w:rsidRPr="00CF219D">
              <w:rPr>
                <w:rFonts w:ascii="Times New Roman" w:hAnsi="Times New Roman"/>
              </w:rPr>
              <w:t>2</w:t>
            </w:r>
            <w:r>
              <w:rPr>
                <w:rFonts w:ascii="Times New Roman" w:hAnsi="Times New Roman"/>
              </w:rPr>
              <w:t xml:space="preserve">, onder c), van de VKV, indien deze blootstellingen </w:t>
            </w:r>
            <w:r>
              <w:rPr>
                <w:rFonts w:ascii="Times New Roman" w:hAnsi="Times New Roman"/>
                <w:b/>
                <w:u w:val="single"/>
              </w:rPr>
              <w:t>niet</w:t>
            </w:r>
            <w:r>
              <w:rPr>
                <w:rFonts w:ascii="Times New Roman" w:hAnsi="Times New Roman"/>
              </w:rPr>
              <w:t xml:space="preserve"> zijn gedekt door hypotheken op onroerend goed als bedoeld in artikel </w:t>
            </w:r>
            <w:r w:rsidRPr="00CF219D">
              <w:rPr>
                <w:rFonts w:ascii="Times New Roman" w:hAnsi="Times New Roman"/>
              </w:rPr>
              <w:t>199</w:t>
            </w:r>
            <w:r>
              <w:rPr>
                <w:rFonts w:ascii="Times New Roman" w:hAnsi="Times New Roman"/>
              </w:rPr>
              <w:t xml:space="preserve">, lid </w:t>
            </w:r>
            <w:r w:rsidRPr="00CF219D">
              <w:rPr>
                <w:rFonts w:ascii="Times New Roman" w:hAnsi="Times New Roman"/>
              </w:rPr>
              <w:t>1</w:t>
            </w:r>
            <w:r>
              <w:rPr>
                <w:rFonts w:ascii="Times New Roman" w:hAnsi="Times New Roman"/>
              </w:rPr>
              <w:t xml:space="preserve">, onder a), van de VKV. </w:t>
            </w:r>
          </w:p>
          <w:p w:rsidR="00BE6AC4" w:rsidRDefault="00BE6AC4"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Dit is de som van {</w:t>
            </w:r>
            <w:r w:rsidRPr="00CF219D">
              <w:rPr>
                <w:rFonts w:ascii="Times New Roman" w:hAnsi="Times New Roman"/>
              </w:rPr>
              <w:t>260</w:t>
            </w:r>
            <w:r>
              <w:rPr>
                <w:rFonts w:ascii="Times New Roman" w:hAnsi="Times New Roman"/>
              </w:rPr>
              <w:t>;</w:t>
            </w:r>
            <w:r w:rsidRPr="00CF219D">
              <w:rPr>
                <w:rFonts w:ascii="Times New Roman" w:hAnsi="Times New Roman"/>
              </w:rPr>
              <w:t>020</w:t>
            </w:r>
            <w:r>
              <w:rPr>
                <w:rFonts w:ascii="Times New Roman" w:hAnsi="Times New Roman"/>
              </w:rPr>
              <w:t>} en {</w:t>
            </w:r>
            <w:r w:rsidRPr="00CF219D">
              <w:rPr>
                <w:rFonts w:ascii="Times New Roman" w:hAnsi="Times New Roman"/>
              </w:rPr>
              <w:t>270</w:t>
            </w:r>
            <w:r>
              <w:rPr>
                <w:rFonts w:ascii="Times New Roman" w:hAnsi="Times New Roman"/>
              </w:rPr>
              <w:t>;</w:t>
            </w:r>
            <w:r w:rsidRPr="00CF219D">
              <w:rPr>
                <w:rFonts w:ascii="Times New Roman" w:hAnsi="Times New Roman"/>
              </w:rPr>
              <w:t>020</w:t>
            </w:r>
            <w:r>
              <w:rPr>
                <w:rFonts w:ascii="Times New Roman" w:hAnsi="Times New Roman"/>
              </w:rPr>
              <w:t>}.</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w:t>
            </w:r>
            <w:r w:rsidRPr="00CF219D">
              <w:rPr>
                <w:rFonts w:ascii="Times New Roman" w:hAnsi="Times New Roman"/>
              </w:rPr>
              <w:t>250</w:t>
            </w:r>
            <w:r>
              <w:rPr>
                <w:rFonts w:ascii="Times New Roman" w:hAnsi="Times New Roman"/>
              </w:rPr>
              <w:t>;</w:t>
            </w:r>
            <w:r w:rsidRPr="00CF219D">
              <w:rPr>
                <w:rFonts w:ascii="Times New Roman" w:hAnsi="Times New Roman"/>
              </w:rPr>
              <w:t>030</w:t>
            </w:r>
            <w:r>
              <w:rPr>
                <w:rFonts w:ascii="Times New Roman" w:hAnsi="Times New Roman"/>
              </w:rPr>
              <w:t>}</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rPr>
              <w:t>Niet-financiële ondernemingen; waarvan – Risicogewogen activa – Blootstellingen in het kader van de standaardbenadering</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 risicogewogen posten van activa die blootstellingen zijn met betrekking tot </w:t>
            </w:r>
            <w:r>
              <w:rPr>
                <w:rFonts w:ascii="Times New Roman" w:hAnsi="Times New Roman"/>
                <w:b/>
              </w:rPr>
              <w:t>niet</w:t>
            </w:r>
            <w:r>
              <w:rPr>
                <w:rFonts w:ascii="Times New Roman" w:hAnsi="Times New Roman"/>
              </w:rPr>
              <w:t xml:space="preserve">-financiële ondernemingen die vallen onder artikel </w:t>
            </w:r>
            <w:r w:rsidRPr="00CF219D">
              <w:rPr>
                <w:rFonts w:ascii="Times New Roman" w:hAnsi="Times New Roman"/>
              </w:rPr>
              <w:t>122</w:t>
            </w:r>
            <w:r>
              <w:rPr>
                <w:rFonts w:ascii="Times New Roman" w:hAnsi="Times New Roman"/>
              </w:rPr>
              <w:t xml:space="preserve"> van de CRR.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Dit is de som van {</w:t>
            </w:r>
            <w:r w:rsidRPr="00CF219D">
              <w:rPr>
                <w:rFonts w:ascii="Times New Roman" w:hAnsi="Times New Roman"/>
              </w:rPr>
              <w:t>260</w:t>
            </w:r>
            <w:r>
              <w:rPr>
                <w:rFonts w:ascii="Times New Roman" w:hAnsi="Times New Roman"/>
              </w:rPr>
              <w:t>;</w:t>
            </w:r>
            <w:r w:rsidRPr="00CF219D">
              <w:rPr>
                <w:rFonts w:ascii="Times New Roman" w:hAnsi="Times New Roman"/>
              </w:rPr>
              <w:t>030</w:t>
            </w:r>
            <w:r>
              <w:rPr>
                <w:rFonts w:ascii="Times New Roman" w:hAnsi="Times New Roman"/>
              </w:rPr>
              <w:t>} en {</w:t>
            </w:r>
            <w:r w:rsidRPr="00CF219D">
              <w:rPr>
                <w:rFonts w:ascii="Times New Roman" w:hAnsi="Times New Roman"/>
              </w:rPr>
              <w:t>270</w:t>
            </w:r>
            <w:r>
              <w:rPr>
                <w:rFonts w:ascii="Times New Roman" w:hAnsi="Times New Roman"/>
              </w:rPr>
              <w:t>;</w:t>
            </w:r>
            <w:r w:rsidRPr="00CF219D">
              <w:rPr>
                <w:rFonts w:ascii="Times New Roman" w:hAnsi="Times New Roman"/>
              </w:rPr>
              <w:t>030</w:t>
            </w:r>
            <w:r>
              <w:rPr>
                <w:rFonts w:ascii="Times New Roman" w:hAnsi="Times New Roman"/>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bCs/>
              </w:rPr>
            </w:pPr>
            <w:r>
              <w:rPr>
                <w:rFonts w:ascii="Times New Roman" w:hAnsi="Times New Roman"/>
              </w:rPr>
              <w:t>{</w:t>
            </w:r>
            <w:r w:rsidRPr="00CF219D">
              <w:rPr>
                <w:rFonts w:ascii="Times New Roman" w:hAnsi="Times New Roman"/>
              </w:rPr>
              <w:t>250</w:t>
            </w:r>
            <w:r>
              <w:rPr>
                <w:rFonts w:ascii="Times New Roman" w:hAnsi="Times New Roman"/>
              </w:rPr>
              <w:t>;</w:t>
            </w:r>
            <w:r w:rsidRPr="00CF219D">
              <w:rPr>
                <w:rFonts w:ascii="Times New Roman" w:hAnsi="Times New Roman"/>
              </w:rPr>
              <w:t>040</w:t>
            </w:r>
            <w:r>
              <w:rPr>
                <w:rFonts w:ascii="Times New Roman" w:hAnsi="Times New Roman"/>
              </w:rPr>
              <w:t>}</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rPr>
              <w:t>Niet-financiële ondernemingen; waarvan – Risicogewogen activa – Blootstellingen in het kader van de interneratingbenadering</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 risicogewogen posten van activa die blootstellingen zijn met betrekking tot </w:t>
            </w:r>
            <w:r>
              <w:rPr>
                <w:rFonts w:ascii="Times New Roman" w:hAnsi="Times New Roman"/>
                <w:b/>
              </w:rPr>
              <w:t>niet</w:t>
            </w:r>
            <w:r>
              <w:rPr>
                <w:rFonts w:ascii="Times New Roman" w:hAnsi="Times New Roman"/>
              </w:rPr>
              <w:t xml:space="preserve">-financiële ondernemingen in de zin van artikel </w:t>
            </w:r>
            <w:r w:rsidRPr="00CF219D">
              <w:rPr>
                <w:rFonts w:ascii="Times New Roman" w:hAnsi="Times New Roman"/>
              </w:rPr>
              <w:t>147</w:t>
            </w:r>
            <w:r>
              <w:rPr>
                <w:rFonts w:ascii="Times New Roman" w:hAnsi="Times New Roman"/>
              </w:rPr>
              <w:t xml:space="preserve">, lid </w:t>
            </w:r>
            <w:r w:rsidRPr="00CF219D">
              <w:rPr>
                <w:rFonts w:ascii="Times New Roman" w:hAnsi="Times New Roman"/>
              </w:rPr>
              <w:t>2</w:t>
            </w:r>
            <w:r>
              <w:rPr>
                <w:rFonts w:ascii="Times New Roman" w:hAnsi="Times New Roman"/>
              </w:rPr>
              <w:t xml:space="preserve">, onder c), van de VKV, indien deze blootstellingen </w:t>
            </w:r>
            <w:r>
              <w:rPr>
                <w:rFonts w:ascii="Times New Roman" w:hAnsi="Times New Roman"/>
                <w:b/>
                <w:u w:val="single"/>
              </w:rPr>
              <w:t>niet</w:t>
            </w:r>
            <w:r>
              <w:rPr>
                <w:rFonts w:ascii="Times New Roman" w:hAnsi="Times New Roman"/>
              </w:rPr>
              <w:t xml:space="preserve"> zijn gedekt door hypotheken op onroerend goed als bedoeld in artikel </w:t>
            </w:r>
            <w:r w:rsidRPr="00CF219D">
              <w:rPr>
                <w:rFonts w:ascii="Times New Roman" w:hAnsi="Times New Roman"/>
              </w:rPr>
              <w:t>199</w:t>
            </w:r>
            <w:r>
              <w:rPr>
                <w:rFonts w:ascii="Times New Roman" w:hAnsi="Times New Roman"/>
              </w:rPr>
              <w:t xml:space="preserve">, lid </w:t>
            </w:r>
            <w:r w:rsidRPr="00CF219D">
              <w:rPr>
                <w:rFonts w:ascii="Times New Roman" w:hAnsi="Times New Roman"/>
              </w:rPr>
              <w:t>1</w:t>
            </w:r>
            <w:r>
              <w:rPr>
                <w:rFonts w:ascii="Times New Roman" w:hAnsi="Times New Roman"/>
              </w:rPr>
              <w:t xml:space="preserve">, onder a), van de VKV.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Dit is de som van {</w:t>
            </w:r>
            <w:r w:rsidRPr="00CF219D">
              <w:rPr>
                <w:rFonts w:ascii="Times New Roman" w:hAnsi="Times New Roman"/>
              </w:rPr>
              <w:t>260</w:t>
            </w:r>
            <w:r>
              <w:rPr>
                <w:rFonts w:ascii="Times New Roman" w:hAnsi="Times New Roman"/>
              </w:rPr>
              <w:t>;</w:t>
            </w:r>
            <w:r w:rsidRPr="00CF219D">
              <w:rPr>
                <w:rFonts w:ascii="Times New Roman" w:hAnsi="Times New Roman"/>
              </w:rPr>
              <w:t>040</w:t>
            </w:r>
            <w:r>
              <w:rPr>
                <w:rFonts w:ascii="Times New Roman" w:hAnsi="Times New Roman"/>
              </w:rPr>
              <w:t>} en {</w:t>
            </w:r>
            <w:r w:rsidRPr="00CF219D">
              <w:rPr>
                <w:rFonts w:ascii="Times New Roman" w:hAnsi="Times New Roman"/>
              </w:rPr>
              <w:t>270</w:t>
            </w:r>
            <w:r>
              <w:rPr>
                <w:rFonts w:ascii="Times New Roman" w:hAnsi="Times New Roman"/>
              </w:rPr>
              <w:t>;</w:t>
            </w:r>
            <w:r w:rsidRPr="00CF219D">
              <w:rPr>
                <w:rFonts w:ascii="Times New Roman" w:hAnsi="Times New Roman"/>
              </w:rPr>
              <w:t>040</w:t>
            </w:r>
            <w:r>
              <w:rPr>
                <w:rFonts w:ascii="Times New Roman" w:hAnsi="Times New Roman"/>
              </w:rPr>
              <w:t>}.</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w:t>
            </w:r>
            <w:r w:rsidRPr="00CF219D">
              <w:rPr>
                <w:rFonts w:ascii="Times New Roman" w:hAnsi="Times New Roman"/>
              </w:rPr>
              <w:t>260</w:t>
            </w:r>
            <w:r>
              <w:rPr>
                <w:rFonts w:ascii="Times New Roman" w:hAnsi="Times New Roman"/>
              </w:rPr>
              <w:t>;</w:t>
            </w:r>
            <w:r w:rsidRPr="00CF219D">
              <w:rPr>
                <w:rFonts w:ascii="Times New Roman" w:hAnsi="Times New Roman"/>
              </w:rPr>
              <w:t>010</w:t>
            </w:r>
            <w:r>
              <w:rPr>
                <w:rFonts w:ascii="Times New Roman" w:hAnsi="Times New Roman"/>
              </w:rPr>
              <w:t>}</w:t>
            </w:r>
          </w:p>
        </w:tc>
        <w:tc>
          <w:tcPr>
            <w:tcW w:w="8133" w:type="dxa"/>
            <w:shd w:val="clear" w:color="auto" w:fill="FFFFFF"/>
          </w:tcPr>
          <w:p w:rsidR="00F4754B" w:rsidRPr="006F6EA7" w:rsidRDefault="00F4754B" w:rsidP="007E2A41">
            <w:pPr>
              <w:pStyle w:val="BodyText1"/>
              <w:spacing w:line="240" w:lineRule="auto"/>
              <w:rPr>
                <w:rFonts w:ascii="Times New Roman" w:hAnsi="Times New Roman"/>
                <w:b/>
                <w:bCs/>
              </w:rPr>
            </w:pPr>
            <w:r>
              <w:rPr>
                <w:rFonts w:ascii="Times New Roman" w:hAnsi="Times New Roman"/>
                <w:b/>
              </w:rPr>
              <w:t>Kmo-blootstellingen — Blootstellingswaarde voor de berekening van de hefboomratio — Blootstellingen in het kader van de standaardbenadering</w:t>
            </w:r>
          </w:p>
          <w:p w:rsidR="002509B1" w:rsidRPr="00706750"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 blootstellingswaarde voor de berekening van de hefboomratio van activa die blootstellingen zijn met betrekking tot ondernemingen in de vorm van kleine en middelgrote ondernemingen die vallen onder artikel </w:t>
            </w:r>
            <w:r w:rsidRPr="00CF219D">
              <w:rPr>
                <w:rFonts w:ascii="Times New Roman" w:hAnsi="Times New Roman"/>
              </w:rPr>
              <w:t>122</w:t>
            </w:r>
            <w:r>
              <w:rPr>
                <w:rFonts w:ascii="Times New Roman" w:hAnsi="Times New Roman"/>
              </w:rPr>
              <w:t xml:space="preserve"> van de VKV.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Pr>
                <w:rFonts w:ascii="Times New Roman" w:hAnsi="Times New Roman"/>
              </w:rPr>
              <w:t xml:space="preserve">Bij het rapporteren van deze cel wordt voor het begrip "kleine of middelgrote onderneming" (kmo) de definitie gehanteerd die is vermeld in artikel </w:t>
            </w:r>
            <w:r w:rsidRPr="00CF219D">
              <w:rPr>
                <w:rFonts w:ascii="Times New Roman" w:hAnsi="Times New Roman"/>
              </w:rPr>
              <w:t>501</w:t>
            </w:r>
            <w:r>
              <w:rPr>
                <w:rFonts w:ascii="Times New Roman" w:hAnsi="Times New Roman"/>
              </w:rPr>
              <w:t xml:space="preserve">, lid </w:t>
            </w:r>
            <w:r w:rsidRPr="00CF219D">
              <w:rPr>
                <w:rFonts w:ascii="Times New Roman" w:hAnsi="Times New Roman"/>
              </w:rPr>
              <w:t>2</w:t>
            </w:r>
            <w:r>
              <w:rPr>
                <w:rFonts w:ascii="Times New Roman" w:hAnsi="Times New Roman"/>
              </w:rPr>
              <w:t>, onder b), van de VKV.</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CF219D">
              <w:rPr>
                <w:rFonts w:ascii="Times New Roman" w:hAnsi="Times New Roman"/>
              </w:rPr>
              <w:t>260</w:t>
            </w:r>
            <w:r>
              <w:rPr>
                <w:rFonts w:ascii="Times New Roman" w:hAnsi="Times New Roman"/>
              </w:rPr>
              <w:t>;</w:t>
            </w:r>
            <w:r w:rsidRPr="00CF219D">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Kmo-blootstellingen — Blootstellingswaarde voor de berekening van de hefboomratio — Blootstellingen in het kader van de interneratingbenadering</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 blootstellingswaarde voor de berekening van de hefboomratio van activa die blootstellingen zijn met betrekking tot ondernemingen in de zin van artikel </w:t>
            </w:r>
            <w:r w:rsidRPr="00CF219D">
              <w:rPr>
                <w:rFonts w:ascii="Times New Roman" w:hAnsi="Times New Roman"/>
              </w:rPr>
              <w:t>147</w:t>
            </w:r>
            <w:r>
              <w:rPr>
                <w:rFonts w:ascii="Times New Roman" w:hAnsi="Times New Roman"/>
              </w:rPr>
              <w:t xml:space="preserve">, lid </w:t>
            </w:r>
            <w:r w:rsidRPr="00CF219D">
              <w:rPr>
                <w:rFonts w:ascii="Times New Roman" w:hAnsi="Times New Roman"/>
              </w:rPr>
              <w:t>2</w:t>
            </w:r>
            <w:r>
              <w:rPr>
                <w:rFonts w:ascii="Times New Roman" w:hAnsi="Times New Roman"/>
              </w:rPr>
              <w:t xml:space="preserve">, onder c), van de VKV, indien het blootstellingen betreft met betrekking tot kleine en middelgrote ondernemingen die </w:t>
            </w:r>
            <w:r>
              <w:rPr>
                <w:rFonts w:ascii="Times New Roman" w:hAnsi="Times New Roman"/>
                <w:b/>
                <w:u w:val="single"/>
              </w:rPr>
              <w:t>niet</w:t>
            </w:r>
            <w:r>
              <w:rPr>
                <w:rFonts w:ascii="Times New Roman" w:hAnsi="Times New Roman"/>
              </w:rPr>
              <w:t xml:space="preserve"> zijn gedekt door hypotheken op onroerend goed als bedoeld in artikel </w:t>
            </w:r>
            <w:r w:rsidRPr="00CF219D">
              <w:rPr>
                <w:rFonts w:ascii="Times New Roman" w:hAnsi="Times New Roman"/>
              </w:rPr>
              <w:t>199</w:t>
            </w:r>
            <w:r>
              <w:rPr>
                <w:rFonts w:ascii="Times New Roman" w:hAnsi="Times New Roman"/>
              </w:rPr>
              <w:t xml:space="preserve">, lid </w:t>
            </w:r>
            <w:r w:rsidRPr="00CF219D">
              <w:rPr>
                <w:rFonts w:ascii="Times New Roman" w:hAnsi="Times New Roman"/>
              </w:rPr>
              <w:t>1</w:t>
            </w:r>
            <w:r>
              <w:rPr>
                <w:rFonts w:ascii="Times New Roman" w:hAnsi="Times New Roman"/>
              </w:rPr>
              <w:t>, onder a), van de VKV.</w:t>
            </w:r>
          </w:p>
          <w:p w:rsidR="00FA71DB" w:rsidRDefault="00FA71DB" w:rsidP="007E2A41">
            <w:pPr>
              <w:pStyle w:val="BodyText1"/>
              <w:spacing w:line="240" w:lineRule="auto"/>
              <w:rPr>
                <w:rFonts w:ascii="Times New Roman" w:hAnsi="Times New Roman"/>
                <w:bCs/>
              </w:rPr>
            </w:pPr>
          </w:p>
          <w:p w:rsidR="002509B1" w:rsidRDefault="004F39F5" w:rsidP="007E2A41">
            <w:pPr>
              <w:pStyle w:val="BodyText1"/>
              <w:spacing w:line="240" w:lineRule="auto"/>
              <w:rPr>
                <w:rFonts w:ascii="Times New Roman" w:hAnsi="Times New Roman"/>
                <w:b/>
                <w:bCs/>
                <w:u w:val="single"/>
              </w:rPr>
            </w:pPr>
            <w:r>
              <w:rPr>
                <w:rFonts w:ascii="Times New Roman" w:hAnsi="Times New Roman"/>
              </w:rPr>
              <w:t xml:space="preserve">Bij het rapporteren van deze cel wordt voor het begrip "kleine of middelgrote onderneming" (kmo) de definitie gehanteerd die is vermeld in artikel </w:t>
            </w:r>
            <w:r w:rsidRPr="00CF219D">
              <w:rPr>
                <w:rFonts w:ascii="Times New Roman" w:hAnsi="Times New Roman"/>
              </w:rPr>
              <w:t>501</w:t>
            </w:r>
            <w:r>
              <w:rPr>
                <w:rFonts w:ascii="Times New Roman" w:hAnsi="Times New Roman"/>
              </w:rPr>
              <w:t xml:space="preserve">, lid </w:t>
            </w:r>
            <w:r w:rsidRPr="00CF219D">
              <w:rPr>
                <w:rFonts w:ascii="Times New Roman" w:hAnsi="Times New Roman"/>
              </w:rPr>
              <w:t>2</w:t>
            </w:r>
            <w:r>
              <w:rPr>
                <w:rFonts w:ascii="Times New Roman" w:hAnsi="Times New Roman"/>
              </w:rPr>
              <w:t>, onder b), van de VKV.</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9C4E79" w:rsidRPr="00FE002E" w:rsidDel="00504CFF"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CF219D">
              <w:rPr>
                <w:rFonts w:ascii="Times New Roman" w:hAnsi="Times New Roman"/>
              </w:rPr>
              <w:t>260</w:t>
            </w:r>
            <w:r>
              <w:rPr>
                <w:rFonts w:ascii="Times New Roman" w:hAnsi="Times New Roman"/>
              </w:rPr>
              <w:t>;</w:t>
            </w:r>
            <w:r w:rsidRPr="00CF219D">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Kmo-blootstellingen — Risicogewogen activa — Blootstellingen in het kader van de standaardbenadering</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 risicogewogen posten van activa die blootstellingen zijn met betrekking tot ondernemingen in de vorm van kleine en middelgrote ondernemingen die vallen onder artikel </w:t>
            </w:r>
            <w:r w:rsidRPr="00CF219D">
              <w:rPr>
                <w:rFonts w:ascii="Times New Roman" w:hAnsi="Times New Roman"/>
              </w:rPr>
              <w:t>122</w:t>
            </w:r>
            <w:r>
              <w:rPr>
                <w:rFonts w:ascii="Times New Roman" w:hAnsi="Times New Roman"/>
              </w:rPr>
              <w:t xml:space="preserve"> van de VKV.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Pr>
                <w:rFonts w:ascii="Times New Roman" w:hAnsi="Times New Roman"/>
              </w:rPr>
              <w:t xml:space="preserve">Bij het rapporteren van deze cel wordt voor het begrip "kleine of middelgrote onderneming" (kmo) de definitie gehanteerd die is vermeld in artikel </w:t>
            </w:r>
            <w:r w:rsidRPr="00CF219D">
              <w:rPr>
                <w:rFonts w:ascii="Times New Roman" w:hAnsi="Times New Roman"/>
              </w:rPr>
              <w:t>501</w:t>
            </w:r>
            <w:r>
              <w:rPr>
                <w:rFonts w:ascii="Times New Roman" w:hAnsi="Times New Roman"/>
              </w:rPr>
              <w:t xml:space="preserve">, lid </w:t>
            </w:r>
            <w:r w:rsidRPr="00CF219D">
              <w:rPr>
                <w:rFonts w:ascii="Times New Roman" w:hAnsi="Times New Roman"/>
              </w:rPr>
              <w:t>2</w:t>
            </w:r>
            <w:r>
              <w:rPr>
                <w:rFonts w:ascii="Times New Roman" w:hAnsi="Times New Roman"/>
              </w:rPr>
              <w:t>, onder b), van de VKV.</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CF219D">
              <w:rPr>
                <w:rFonts w:ascii="Times New Roman" w:hAnsi="Times New Roman"/>
              </w:rPr>
              <w:t>260</w:t>
            </w:r>
            <w:r>
              <w:rPr>
                <w:rFonts w:ascii="Times New Roman" w:hAnsi="Times New Roman"/>
              </w:rPr>
              <w:t>;</w:t>
            </w:r>
            <w:r w:rsidRPr="00CF219D">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Kmo-blootstellingen — Risicogewogen activa — Blootstellingen in het kader van de interneratingbenadering</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 risicogewogen posten van activa die blootstellingen zijn met betrekking tot ondernemingen in de zin van artikel </w:t>
            </w:r>
            <w:r w:rsidRPr="00CF219D">
              <w:rPr>
                <w:rFonts w:ascii="Times New Roman" w:hAnsi="Times New Roman"/>
              </w:rPr>
              <w:t>147</w:t>
            </w:r>
            <w:r>
              <w:rPr>
                <w:rFonts w:ascii="Times New Roman" w:hAnsi="Times New Roman"/>
              </w:rPr>
              <w:t xml:space="preserve">, lid </w:t>
            </w:r>
            <w:r w:rsidRPr="00CF219D">
              <w:rPr>
                <w:rFonts w:ascii="Times New Roman" w:hAnsi="Times New Roman"/>
              </w:rPr>
              <w:t>2</w:t>
            </w:r>
            <w:r>
              <w:rPr>
                <w:rFonts w:ascii="Times New Roman" w:hAnsi="Times New Roman"/>
              </w:rPr>
              <w:t xml:space="preserve">, onder c), van de VKV, indien het blootstellingen betreft met betrekking tot kleine en middelgrote ondernemingen die </w:t>
            </w:r>
            <w:r>
              <w:rPr>
                <w:rFonts w:ascii="Times New Roman" w:hAnsi="Times New Roman"/>
                <w:b/>
                <w:u w:val="single"/>
              </w:rPr>
              <w:t>niet</w:t>
            </w:r>
            <w:r>
              <w:rPr>
                <w:rFonts w:ascii="Times New Roman" w:hAnsi="Times New Roman"/>
              </w:rPr>
              <w:t xml:space="preserve"> zijn gedekt door hypotheken op onroerend goed als bedoeld in artikel </w:t>
            </w:r>
            <w:r w:rsidRPr="00CF219D">
              <w:rPr>
                <w:rFonts w:ascii="Times New Roman" w:hAnsi="Times New Roman"/>
              </w:rPr>
              <w:t>199</w:t>
            </w:r>
            <w:r>
              <w:rPr>
                <w:rFonts w:ascii="Times New Roman" w:hAnsi="Times New Roman"/>
              </w:rPr>
              <w:t>, lid </w:t>
            </w:r>
            <w:r w:rsidRPr="00CF219D">
              <w:rPr>
                <w:rFonts w:ascii="Times New Roman" w:hAnsi="Times New Roman"/>
              </w:rPr>
              <w:t>1</w:t>
            </w:r>
            <w:r>
              <w:rPr>
                <w:rFonts w:ascii="Times New Roman" w:hAnsi="Times New Roman"/>
              </w:rPr>
              <w:t xml:space="preserve">, onder a), van de VKV.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Pr>
                <w:rFonts w:ascii="Times New Roman" w:hAnsi="Times New Roman"/>
              </w:rPr>
              <w:t xml:space="preserve">Bij het rapporteren van deze cel wordt voor het begrip "kleine of middelgrote onderneming" (kmo) de definitie gehanteerd die is vermeld in artikel </w:t>
            </w:r>
            <w:r w:rsidRPr="00CF219D">
              <w:rPr>
                <w:rFonts w:ascii="Times New Roman" w:hAnsi="Times New Roman"/>
              </w:rPr>
              <w:t>501</w:t>
            </w:r>
            <w:r>
              <w:rPr>
                <w:rFonts w:ascii="Times New Roman" w:hAnsi="Times New Roman"/>
              </w:rPr>
              <w:t xml:space="preserve">, lid </w:t>
            </w:r>
            <w:r w:rsidRPr="00CF219D">
              <w:rPr>
                <w:rFonts w:ascii="Times New Roman" w:hAnsi="Times New Roman"/>
              </w:rPr>
              <w:t>2</w:t>
            </w:r>
            <w:r>
              <w:rPr>
                <w:rFonts w:ascii="Times New Roman" w:hAnsi="Times New Roman"/>
              </w:rPr>
              <w:t>, onder b), van de VKV.</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CF219D">
              <w:rPr>
                <w:rFonts w:ascii="Times New Roman" w:hAnsi="Times New Roman"/>
              </w:rPr>
              <w:t>270</w:t>
            </w:r>
            <w:r>
              <w:rPr>
                <w:rFonts w:ascii="Times New Roman" w:hAnsi="Times New Roman"/>
              </w:rPr>
              <w:t>;</w:t>
            </w:r>
            <w:r w:rsidRPr="00CF219D">
              <w:rPr>
                <w:rFonts w:ascii="Times New Roman" w:hAnsi="Times New Roman"/>
              </w:rPr>
              <w:t>010</w:t>
            </w:r>
            <w:r>
              <w:rPr>
                <w:rFonts w:ascii="Times New Roman" w:hAnsi="Times New Roman"/>
              </w:rPr>
              <w:t>}</w:t>
            </w:r>
          </w:p>
        </w:tc>
        <w:tc>
          <w:tcPr>
            <w:tcW w:w="8133" w:type="dxa"/>
            <w:shd w:val="clear" w:color="auto" w:fill="FFFFFF"/>
          </w:tcPr>
          <w:p w:rsidR="00F4754B" w:rsidRPr="00706750" w:rsidRDefault="00BE6AC4" w:rsidP="007E2A41">
            <w:pPr>
              <w:pStyle w:val="BodyText1"/>
              <w:spacing w:line="240" w:lineRule="auto"/>
              <w:rPr>
                <w:rFonts w:ascii="Times New Roman" w:hAnsi="Times New Roman"/>
                <w:b/>
              </w:rPr>
            </w:pPr>
            <w:r>
              <w:rPr>
                <w:rFonts w:ascii="Times New Roman" w:hAnsi="Times New Roman"/>
                <w:b/>
              </w:rPr>
              <w:t>Andere blootstellingen dan kmo-blootstellingen — Blootstellingswaarde voor de berekening van de hefboomratio — Blootstellingen in het kader van de standaardbenadering</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 blootstellingswaarde voor de berekening van de hefboomratio van activa die blootstellingen </w:t>
            </w:r>
            <w:r>
              <w:rPr>
                <w:rFonts w:ascii="Times New Roman" w:hAnsi="Times New Roman"/>
              </w:rPr>
              <w:lastRenderedPageBreak/>
              <w:t xml:space="preserve">zijn met betrekking tot ondernemingen die vallen onder artikel </w:t>
            </w:r>
            <w:r w:rsidRPr="00CF219D">
              <w:rPr>
                <w:rFonts w:ascii="Times New Roman" w:hAnsi="Times New Roman"/>
              </w:rPr>
              <w:t>122</w:t>
            </w:r>
            <w:r>
              <w:rPr>
                <w:rFonts w:ascii="Times New Roman" w:hAnsi="Times New Roman"/>
              </w:rPr>
              <w:t xml:space="preserve"> van de VKV en die niet in {</w:t>
            </w:r>
            <w:r w:rsidRPr="00CF219D">
              <w:rPr>
                <w:rFonts w:ascii="Times New Roman" w:hAnsi="Times New Roman"/>
              </w:rPr>
              <w:t>230</w:t>
            </w:r>
            <w:r>
              <w:rPr>
                <w:rFonts w:ascii="Times New Roman" w:hAnsi="Times New Roman"/>
              </w:rPr>
              <w:t>;</w:t>
            </w:r>
            <w:r w:rsidRPr="00CF219D">
              <w:rPr>
                <w:rFonts w:ascii="Times New Roman" w:hAnsi="Times New Roman"/>
              </w:rPr>
              <w:t>040</w:t>
            </w:r>
            <w:r>
              <w:rPr>
                <w:rFonts w:ascii="Times New Roman" w:hAnsi="Times New Roman"/>
              </w:rPr>
              <w:t>} en {</w:t>
            </w:r>
            <w:r w:rsidRPr="00CF219D">
              <w:rPr>
                <w:rFonts w:ascii="Times New Roman" w:hAnsi="Times New Roman"/>
              </w:rPr>
              <w:t>250</w:t>
            </w:r>
            <w:r>
              <w:rPr>
                <w:rFonts w:ascii="Times New Roman" w:hAnsi="Times New Roman"/>
              </w:rPr>
              <w:t>;</w:t>
            </w:r>
            <w:r w:rsidRPr="00CF219D">
              <w:rPr>
                <w:rFonts w:ascii="Times New Roman" w:hAnsi="Times New Roman"/>
              </w:rPr>
              <w:t>040</w:t>
            </w:r>
            <w:r>
              <w:rPr>
                <w:rFonts w:ascii="Times New Roman" w:hAnsi="Times New Roman"/>
              </w:rPr>
              <w:t xml:space="preserve">} worden gerapporteerd.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w:t>
            </w:r>
            <w:r w:rsidRPr="00CF219D">
              <w:rPr>
                <w:rFonts w:ascii="Times New Roman" w:hAnsi="Times New Roman"/>
              </w:rPr>
              <w:t>270</w:t>
            </w:r>
            <w:r>
              <w:rPr>
                <w:rFonts w:ascii="Times New Roman" w:hAnsi="Times New Roman"/>
              </w:rPr>
              <w:t>;</w:t>
            </w:r>
            <w:r w:rsidRPr="00CF219D">
              <w:rPr>
                <w:rFonts w:ascii="Times New Roman" w:hAnsi="Times New Roman"/>
              </w:rPr>
              <w:t>020</w:t>
            </w:r>
            <w:r>
              <w:rPr>
                <w:rFonts w:ascii="Times New Roman" w:hAnsi="Times New Roman"/>
              </w:rPr>
              <w:t>}</w:t>
            </w:r>
          </w:p>
        </w:tc>
        <w:tc>
          <w:tcPr>
            <w:tcW w:w="8133" w:type="dxa"/>
            <w:shd w:val="clear" w:color="auto" w:fill="FFFFFF"/>
          </w:tcPr>
          <w:p w:rsidR="00F4754B" w:rsidRPr="00FE002E" w:rsidRDefault="00BE6AC4" w:rsidP="007E2A41">
            <w:pPr>
              <w:pStyle w:val="BodyText1"/>
              <w:spacing w:line="240" w:lineRule="auto"/>
              <w:rPr>
                <w:rFonts w:ascii="Times New Roman" w:hAnsi="Times New Roman"/>
                <w:b/>
                <w:bCs/>
              </w:rPr>
            </w:pPr>
            <w:r>
              <w:rPr>
                <w:rFonts w:ascii="Times New Roman" w:hAnsi="Times New Roman"/>
                <w:b/>
              </w:rPr>
              <w:t>Andere blootstellingen dan kmo-blootstellingen — Blootstellingswaarde voor de berekening van de hefboomratio — Blootstellingen in het kader van de interneratingbenadering</w:t>
            </w:r>
          </w:p>
          <w:p w:rsidR="002509B1" w:rsidRPr="00FE002E" w:rsidRDefault="002509B1" w:rsidP="007E2A41">
            <w:pPr>
              <w:pStyle w:val="BodyText1"/>
              <w:spacing w:line="240" w:lineRule="auto"/>
              <w:rPr>
                <w:rFonts w:ascii="Times New Roman" w:hAnsi="Times New Roman"/>
                <w:b/>
                <w:bCs/>
              </w:rPr>
            </w:pPr>
          </w:p>
          <w:p w:rsidR="002509B1" w:rsidRDefault="00F4754B" w:rsidP="007E2A41">
            <w:pPr>
              <w:pStyle w:val="BodyText1"/>
              <w:spacing w:line="240" w:lineRule="auto"/>
              <w:rPr>
                <w:rFonts w:ascii="Times New Roman" w:hAnsi="Times New Roman"/>
                <w:b/>
                <w:bCs/>
                <w:u w:val="single"/>
              </w:rPr>
            </w:pPr>
            <w:r>
              <w:rPr>
                <w:rFonts w:ascii="Times New Roman" w:hAnsi="Times New Roman"/>
              </w:rPr>
              <w:t xml:space="preserve">De blootstellingswaarde voor de berekening van de hefboomratio van activa die blootstellingen zijn met betrekking tot ondernemingen in de zin van artikel </w:t>
            </w:r>
            <w:r w:rsidRPr="00CF219D">
              <w:rPr>
                <w:rFonts w:ascii="Times New Roman" w:hAnsi="Times New Roman"/>
              </w:rPr>
              <w:t>147</w:t>
            </w:r>
            <w:r>
              <w:rPr>
                <w:rFonts w:ascii="Times New Roman" w:hAnsi="Times New Roman"/>
              </w:rPr>
              <w:t xml:space="preserve">, lid </w:t>
            </w:r>
            <w:r w:rsidRPr="00CF219D">
              <w:rPr>
                <w:rFonts w:ascii="Times New Roman" w:hAnsi="Times New Roman"/>
              </w:rPr>
              <w:t>2</w:t>
            </w:r>
            <w:r>
              <w:rPr>
                <w:rFonts w:ascii="Times New Roman" w:hAnsi="Times New Roman"/>
              </w:rPr>
              <w:t xml:space="preserve">, onder c), van de VKV, indien deze blootstellingen </w:t>
            </w:r>
            <w:r>
              <w:rPr>
                <w:rFonts w:ascii="Times New Roman" w:hAnsi="Times New Roman"/>
                <w:b/>
                <w:u w:val="single"/>
              </w:rPr>
              <w:t>niet</w:t>
            </w:r>
            <w:r>
              <w:rPr>
                <w:rFonts w:ascii="Times New Roman" w:hAnsi="Times New Roman"/>
              </w:rPr>
              <w:t xml:space="preserve"> zijn gedekt door hypotheken op onroerend goed als bedoeld in artikel </w:t>
            </w:r>
            <w:r w:rsidRPr="00CF219D">
              <w:rPr>
                <w:rFonts w:ascii="Times New Roman" w:hAnsi="Times New Roman"/>
              </w:rPr>
              <w:t>199</w:t>
            </w:r>
            <w:r>
              <w:rPr>
                <w:rFonts w:ascii="Times New Roman" w:hAnsi="Times New Roman"/>
              </w:rPr>
              <w:t xml:space="preserve">, lid </w:t>
            </w:r>
            <w:r w:rsidRPr="00CF219D">
              <w:rPr>
                <w:rFonts w:ascii="Times New Roman" w:hAnsi="Times New Roman"/>
              </w:rPr>
              <w:t>1</w:t>
            </w:r>
            <w:r>
              <w:rPr>
                <w:rFonts w:ascii="Times New Roman" w:hAnsi="Times New Roman"/>
              </w:rPr>
              <w:t>, onder a), van de VKV en niet in {</w:t>
            </w:r>
            <w:r w:rsidRPr="00CF219D">
              <w:rPr>
                <w:rFonts w:ascii="Times New Roman" w:hAnsi="Times New Roman"/>
              </w:rPr>
              <w:t>230</w:t>
            </w:r>
            <w:r>
              <w:rPr>
                <w:rFonts w:ascii="Times New Roman" w:hAnsi="Times New Roman"/>
              </w:rPr>
              <w:t>;</w:t>
            </w:r>
            <w:r w:rsidRPr="00CF219D">
              <w:rPr>
                <w:rFonts w:ascii="Times New Roman" w:hAnsi="Times New Roman"/>
              </w:rPr>
              <w:t>040</w:t>
            </w:r>
            <w:r>
              <w:rPr>
                <w:rFonts w:ascii="Times New Roman" w:hAnsi="Times New Roman"/>
              </w:rPr>
              <w:t>} en {</w:t>
            </w:r>
            <w:r w:rsidRPr="00CF219D">
              <w:rPr>
                <w:rFonts w:ascii="Times New Roman" w:hAnsi="Times New Roman"/>
              </w:rPr>
              <w:t>250</w:t>
            </w:r>
            <w:r>
              <w:rPr>
                <w:rFonts w:ascii="Times New Roman" w:hAnsi="Times New Roman"/>
              </w:rPr>
              <w:t>;</w:t>
            </w:r>
            <w:r w:rsidRPr="00CF219D">
              <w:rPr>
                <w:rFonts w:ascii="Times New Roman" w:hAnsi="Times New Roman"/>
              </w:rPr>
              <w:t>040</w:t>
            </w:r>
            <w:r>
              <w:rPr>
                <w:rFonts w:ascii="Times New Roman" w:hAnsi="Times New Roman"/>
              </w:rPr>
              <w:t xml:space="preserve">} worden gerapporteerd. </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CF219D">
              <w:rPr>
                <w:rFonts w:ascii="Times New Roman" w:hAnsi="Times New Roman"/>
              </w:rPr>
              <w:t>270</w:t>
            </w:r>
            <w:r>
              <w:rPr>
                <w:rFonts w:ascii="Times New Roman" w:hAnsi="Times New Roman"/>
              </w:rPr>
              <w:t>;</w:t>
            </w:r>
            <w:r w:rsidRPr="00CF219D">
              <w:rPr>
                <w:rFonts w:ascii="Times New Roman" w:hAnsi="Times New Roman"/>
              </w:rPr>
              <w:t>030</w:t>
            </w:r>
            <w:r>
              <w:rPr>
                <w:rFonts w:ascii="Times New Roman" w:hAnsi="Times New Roman"/>
              </w:rPr>
              <w:t>}</w:t>
            </w:r>
          </w:p>
        </w:tc>
        <w:tc>
          <w:tcPr>
            <w:tcW w:w="8133" w:type="dxa"/>
            <w:shd w:val="clear" w:color="auto" w:fill="FFFFFF"/>
          </w:tcPr>
          <w:p w:rsidR="00F4754B" w:rsidRPr="00706750" w:rsidRDefault="00BE6AC4" w:rsidP="007E2A41">
            <w:pPr>
              <w:pStyle w:val="BodyText1"/>
              <w:spacing w:line="240" w:lineRule="auto"/>
              <w:rPr>
                <w:rFonts w:ascii="Times New Roman" w:hAnsi="Times New Roman"/>
                <w:b/>
                <w:bCs/>
              </w:rPr>
            </w:pPr>
            <w:r>
              <w:rPr>
                <w:rFonts w:ascii="Times New Roman" w:hAnsi="Times New Roman"/>
                <w:b/>
              </w:rPr>
              <w:t>Andere blootstellingen dan kmo-blootstellingen — Risicogewogen activa — Blootstellingen in het kader van de standaardbenadering</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 risicogewogen posten van activa die blootstellingen zijn met betrekking tot ondernemingen die vallen onder artikel </w:t>
            </w:r>
            <w:r w:rsidRPr="00CF219D">
              <w:rPr>
                <w:rFonts w:ascii="Times New Roman" w:hAnsi="Times New Roman"/>
              </w:rPr>
              <w:t>122</w:t>
            </w:r>
            <w:r>
              <w:rPr>
                <w:rFonts w:ascii="Times New Roman" w:hAnsi="Times New Roman"/>
              </w:rPr>
              <w:t xml:space="preserve"> van de VKV en die niet in {</w:t>
            </w:r>
            <w:r w:rsidRPr="00CF219D">
              <w:rPr>
                <w:rFonts w:ascii="Times New Roman" w:hAnsi="Times New Roman"/>
              </w:rPr>
              <w:t>230</w:t>
            </w:r>
            <w:r>
              <w:rPr>
                <w:rFonts w:ascii="Times New Roman" w:hAnsi="Times New Roman"/>
              </w:rPr>
              <w:t>;</w:t>
            </w:r>
            <w:r w:rsidRPr="00CF219D">
              <w:rPr>
                <w:rFonts w:ascii="Times New Roman" w:hAnsi="Times New Roman"/>
              </w:rPr>
              <w:t>040</w:t>
            </w:r>
            <w:r>
              <w:rPr>
                <w:rFonts w:ascii="Times New Roman" w:hAnsi="Times New Roman"/>
              </w:rPr>
              <w:t>} en {</w:t>
            </w:r>
            <w:r w:rsidRPr="00CF219D">
              <w:rPr>
                <w:rFonts w:ascii="Times New Roman" w:hAnsi="Times New Roman"/>
              </w:rPr>
              <w:t>250</w:t>
            </w:r>
            <w:r>
              <w:rPr>
                <w:rFonts w:ascii="Times New Roman" w:hAnsi="Times New Roman"/>
              </w:rPr>
              <w:t>;</w:t>
            </w:r>
            <w:r w:rsidRPr="00CF219D">
              <w:rPr>
                <w:rFonts w:ascii="Times New Roman" w:hAnsi="Times New Roman"/>
              </w:rPr>
              <w:t>040</w:t>
            </w:r>
            <w:r>
              <w:rPr>
                <w:rFonts w:ascii="Times New Roman" w:hAnsi="Times New Roman"/>
              </w:rPr>
              <w:t xml:space="preserve">} worden gerapporteerd.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w:t>
            </w:r>
            <w:r w:rsidRPr="00CF219D">
              <w:rPr>
                <w:rFonts w:ascii="Times New Roman" w:hAnsi="Times New Roman"/>
              </w:rPr>
              <w:t>270</w:t>
            </w:r>
            <w:r>
              <w:rPr>
                <w:rFonts w:ascii="Times New Roman" w:hAnsi="Times New Roman"/>
              </w:rPr>
              <w:t>;</w:t>
            </w:r>
            <w:r w:rsidRPr="00CF219D">
              <w:rPr>
                <w:rFonts w:ascii="Times New Roman" w:hAnsi="Times New Roman"/>
              </w:rPr>
              <w:t>040</w:t>
            </w:r>
            <w:r>
              <w:rPr>
                <w:rFonts w:ascii="Times New Roman" w:hAnsi="Times New Roman"/>
              </w:rPr>
              <w:t>}</w:t>
            </w:r>
          </w:p>
        </w:tc>
        <w:tc>
          <w:tcPr>
            <w:tcW w:w="8133" w:type="dxa"/>
            <w:shd w:val="clear" w:color="auto" w:fill="FFFFFF"/>
          </w:tcPr>
          <w:p w:rsidR="00F4754B" w:rsidRPr="00FE002E" w:rsidRDefault="00BE6AC4" w:rsidP="007E2A41">
            <w:pPr>
              <w:pStyle w:val="BodyText1"/>
              <w:spacing w:line="240" w:lineRule="auto"/>
              <w:rPr>
                <w:rFonts w:ascii="Times New Roman" w:hAnsi="Times New Roman"/>
                <w:b/>
                <w:bCs/>
              </w:rPr>
            </w:pPr>
            <w:r>
              <w:rPr>
                <w:rFonts w:ascii="Times New Roman" w:hAnsi="Times New Roman"/>
                <w:b/>
              </w:rPr>
              <w:t>Andere blootstellingen dan kmo-blootstellingen — Risicogewogen activa — Blootstellingen in het kader van de interneratingbenadering</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 risicogewogen posten van activa die blootstellingen zijn met betrekking tot ondernemingen in de zin van artikel </w:t>
            </w:r>
            <w:r w:rsidRPr="00CF219D">
              <w:rPr>
                <w:rFonts w:ascii="Times New Roman" w:hAnsi="Times New Roman"/>
              </w:rPr>
              <w:t>147</w:t>
            </w:r>
            <w:r>
              <w:rPr>
                <w:rFonts w:ascii="Times New Roman" w:hAnsi="Times New Roman"/>
              </w:rPr>
              <w:t xml:space="preserve">, lid </w:t>
            </w:r>
            <w:r w:rsidRPr="00CF219D">
              <w:rPr>
                <w:rFonts w:ascii="Times New Roman" w:hAnsi="Times New Roman"/>
              </w:rPr>
              <w:t>2</w:t>
            </w:r>
            <w:r>
              <w:rPr>
                <w:rFonts w:ascii="Times New Roman" w:hAnsi="Times New Roman"/>
              </w:rPr>
              <w:t xml:space="preserve">, onder c), van de VKV, indien deze blootstellingen </w:t>
            </w:r>
            <w:r>
              <w:rPr>
                <w:rFonts w:ascii="Times New Roman" w:hAnsi="Times New Roman"/>
                <w:b/>
                <w:u w:val="single"/>
              </w:rPr>
              <w:t>niet</w:t>
            </w:r>
            <w:r>
              <w:rPr>
                <w:rFonts w:ascii="Times New Roman" w:hAnsi="Times New Roman"/>
              </w:rPr>
              <w:t xml:space="preserve"> zijn gedekt door hypotheken op onroerend goed als bedoeld in artikel </w:t>
            </w:r>
            <w:r w:rsidRPr="00CF219D">
              <w:rPr>
                <w:rFonts w:ascii="Times New Roman" w:hAnsi="Times New Roman"/>
              </w:rPr>
              <w:t>199</w:t>
            </w:r>
            <w:r>
              <w:rPr>
                <w:rFonts w:ascii="Times New Roman" w:hAnsi="Times New Roman"/>
              </w:rPr>
              <w:t xml:space="preserve">, lid </w:t>
            </w:r>
            <w:r w:rsidRPr="00CF219D">
              <w:rPr>
                <w:rFonts w:ascii="Times New Roman" w:hAnsi="Times New Roman"/>
              </w:rPr>
              <w:t>1</w:t>
            </w:r>
            <w:r>
              <w:rPr>
                <w:rFonts w:ascii="Times New Roman" w:hAnsi="Times New Roman"/>
              </w:rPr>
              <w:t>, onder a), van de VKV en niet in {</w:t>
            </w:r>
            <w:r w:rsidRPr="00CF219D">
              <w:rPr>
                <w:rFonts w:ascii="Times New Roman" w:hAnsi="Times New Roman"/>
              </w:rPr>
              <w:t>230</w:t>
            </w:r>
            <w:r>
              <w:rPr>
                <w:rFonts w:ascii="Times New Roman" w:hAnsi="Times New Roman"/>
              </w:rPr>
              <w:t>;</w:t>
            </w:r>
            <w:r w:rsidRPr="00CF219D">
              <w:rPr>
                <w:rFonts w:ascii="Times New Roman" w:hAnsi="Times New Roman"/>
              </w:rPr>
              <w:t>040</w:t>
            </w:r>
            <w:r>
              <w:rPr>
                <w:rFonts w:ascii="Times New Roman" w:hAnsi="Times New Roman"/>
              </w:rPr>
              <w:t>} en {</w:t>
            </w:r>
            <w:r w:rsidRPr="00CF219D">
              <w:rPr>
                <w:rFonts w:ascii="Times New Roman" w:hAnsi="Times New Roman"/>
              </w:rPr>
              <w:t>250</w:t>
            </w:r>
            <w:r>
              <w:rPr>
                <w:rFonts w:ascii="Times New Roman" w:hAnsi="Times New Roman"/>
              </w:rPr>
              <w:t>;</w:t>
            </w:r>
            <w:r w:rsidRPr="00CF219D">
              <w:rPr>
                <w:rFonts w:ascii="Times New Roman" w:hAnsi="Times New Roman"/>
              </w:rPr>
              <w:t>040</w:t>
            </w:r>
            <w:r>
              <w:rPr>
                <w:rFonts w:ascii="Times New Roman" w:hAnsi="Times New Roman"/>
              </w:rPr>
              <w:t xml:space="preserve">} worden gerapporteerd.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w:t>
            </w:r>
            <w:r w:rsidRPr="00CF219D">
              <w:rPr>
                <w:rFonts w:ascii="Times New Roman" w:hAnsi="Times New Roman"/>
              </w:rPr>
              <w:t>280</w:t>
            </w:r>
            <w:r>
              <w:rPr>
                <w:rFonts w:ascii="Times New Roman" w:hAnsi="Times New Roman"/>
              </w:rPr>
              <w:t>;</w:t>
            </w:r>
            <w:r w:rsidRPr="00CF219D">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Blootstellingen waarbij sprake is van wanbetaling — Blootstellingswaarde voor de berekening van de hefboomratio — Blootstellingen in het kader van de standaardbenadering</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 blootstellingswaarde voor de berekening van de hefboomratio van activa die blootstellingen zijn waarbij sprake is van wanbetaling en die derhalve vallen onder artikel </w:t>
            </w:r>
            <w:r w:rsidRPr="00CF219D">
              <w:rPr>
                <w:rFonts w:ascii="Times New Roman" w:hAnsi="Times New Roman"/>
              </w:rPr>
              <w:t>127</w:t>
            </w:r>
            <w:r>
              <w:rPr>
                <w:rFonts w:ascii="Times New Roman" w:hAnsi="Times New Roman"/>
              </w:rPr>
              <w:t xml:space="preserve"> van de VKV.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CF219D">
              <w:rPr>
                <w:rFonts w:ascii="Times New Roman" w:hAnsi="Times New Roman"/>
              </w:rPr>
              <w:t>280</w:t>
            </w:r>
            <w:r>
              <w:rPr>
                <w:rFonts w:ascii="Times New Roman" w:hAnsi="Times New Roman"/>
              </w:rPr>
              <w:t>;</w:t>
            </w:r>
            <w:r w:rsidRPr="00CF219D">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Blootstellingen waarbij sprake is van wanbetaling — Blootstellingswaarde voor de berekening van de hefboomratio — Blootstellingen in het kader van de interneratingbenadering</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De blootstellingswaarde voor de berekening van de hefboomratio van activa die in de in artikel </w:t>
            </w:r>
            <w:r w:rsidRPr="00CF219D">
              <w:rPr>
                <w:rFonts w:ascii="Times New Roman" w:hAnsi="Times New Roman"/>
              </w:rPr>
              <w:t>147</w:t>
            </w:r>
            <w:r>
              <w:rPr>
                <w:rFonts w:ascii="Times New Roman" w:hAnsi="Times New Roman"/>
              </w:rPr>
              <w:t>, lid </w:t>
            </w:r>
            <w:r w:rsidRPr="00CF219D">
              <w:rPr>
                <w:rFonts w:ascii="Times New Roman" w:hAnsi="Times New Roman"/>
              </w:rPr>
              <w:t>2</w:t>
            </w:r>
            <w:r>
              <w:rPr>
                <w:rFonts w:ascii="Times New Roman" w:hAnsi="Times New Roman"/>
              </w:rPr>
              <w:t xml:space="preserve">, van de VKV genoemde blootstellingscategorieën zijn ondergebracht, indien er zich overeenkomstig artikel </w:t>
            </w:r>
            <w:r w:rsidRPr="00CF219D">
              <w:rPr>
                <w:rFonts w:ascii="Times New Roman" w:hAnsi="Times New Roman"/>
              </w:rPr>
              <w:t>178</w:t>
            </w:r>
            <w:r>
              <w:rPr>
                <w:rFonts w:ascii="Times New Roman" w:hAnsi="Times New Roman"/>
              </w:rPr>
              <w:t xml:space="preserve"> van de VKV een wanbetaling heeft voorgedaan.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CF219D">
              <w:rPr>
                <w:rFonts w:ascii="Times New Roman" w:hAnsi="Times New Roman"/>
              </w:rPr>
              <w:t>280</w:t>
            </w:r>
            <w:r>
              <w:rPr>
                <w:rFonts w:ascii="Times New Roman" w:hAnsi="Times New Roman"/>
              </w:rPr>
              <w:t>;</w:t>
            </w:r>
            <w:r w:rsidRPr="00CF219D">
              <w:rPr>
                <w:rFonts w:ascii="Times New Roman" w:hAnsi="Times New Roman"/>
              </w:rPr>
              <w:t>030</w:t>
            </w:r>
            <w:r>
              <w:rPr>
                <w:rFonts w:ascii="Times New Roman" w:hAnsi="Times New Roman"/>
              </w:rPr>
              <w:t>}</w:t>
            </w:r>
          </w:p>
        </w:tc>
        <w:tc>
          <w:tcPr>
            <w:tcW w:w="8133" w:type="dxa"/>
            <w:shd w:val="clear" w:color="auto" w:fill="FFFFFF"/>
          </w:tcPr>
          <w:p w:rsidR="00F4754B" w:rsidRPr="00BB7DB0" w:rsidRDefault="00F4754B" w:rsidP="007E2A41">
            <w:pPr>
              <w:pStyle w:val="BodyText1"/>
              <w:spacing w:line="240" w:lineRule="auto"/>
              <w:rPr>
                <w:rFonts w:ascii="Times New Roman" w:hAnsi="Times New Roman"/>
                <w:b/>
                <w:bCs/>
              </w:rPr>
            </w:pPr>
            <w:r>
              <w:rPr>
                <w:rFonts w:ascii="Times New Roman" w:hAnsi="Times New Roman"/>
                <w:b/>
              </w:rPr>
              <w:t>Blootstellingen waarbij sprake is van wanbetaling — Risicogewogen activa — Blootstellingen in het kader van de standaardbenadering</w:t>
            </w:r>
          </w:p>
          <w:p w:rsidR="002509B1" w:rsidRPr="00BB7DB0"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 risicogewogen posten van activa die blootstellingen zijn waarbij sprake is van wanbetaling en die derhalve vallen onder artikel </w:t>
            </w:r>
            <w:r w:rsidRPr="00CF219D">
              <w:rPr>
                <w:rFonts w:ascii="Times New Roman" w:hAnsi="Times New Roman"/>
              </w:rPr>
              <w:t>127</w:t>
            </w:r>
            <w:r>
              <w:rPr>
                <w:rFonts w:ascii="Times New Roman" w:hAnsi="Times New Roman"/>
              </w:rPr>
              <w:t xml:space="preserve"> van de VKV.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w:t>
            </w:r>
            <w:r w:rsidRPr="00CF219D">
              <w:rPr>
                <w:rFonts w:ascii="Times New Roman" w:hAnsi="Times New Roman"/>
              </w:rPr>
              <w:t>280</w:t>
            </w:r>
            <w:r>
              <w:rPr>
                <w:rFonts w:ascii="Times New Roman" w:hAnsi="Times New Roman"/>
              </w:rPr>
              <w:t>;</w:t>
            </w:r>
            <w:r w:rsidRPr="00CF219D">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Blootstellingen waarbij sprake is van wanbetaling — Risicogewogen activa — Blootstellingen in het kader van de interneratingbenadering</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 risicogewogen posten van activa die in de in artikel </w:t>
            </w:r>
            <w:r w:rsidRPr="00CF219D">
              <w:rPr>
                <w:rFonts w:ascii="Times New Roman" w:hAnsi="Times New Roman"/>
              </w:rPr>
              <w:t>147</w:t>
            </w:r>
            <w:r>
              <w:rPr>
                <w:rFonts w:ascii="Times New Roman" w:hAnsi="Times New Roman"/>
              </w:rPr>
              <w:t xml:space="preserve">, lid </w:t>
            </w:r>
            <w:r w:rsidRPr="00CF219D">
              <w:rPr>
                <w:rFonts w:ascii="Times New Roman" w:hAnsi="Times New Roman"/>
              </w:rPr>
              <w:t>2</w:t>
            </w:r>
            <w:r>
              <w:rPr>
                <w:rFonts w:ascii="Times New Roman" w:hAnsi="Times New Roman"/>
              </w:rPr>
              <w:t xml:space="preserve">, van de VKV genoemde blootstellingscategorieën zijn ondergebracht, indien er zich overeenkomstig artikel </w:t>
            </w:r>
            <w:r w:rsidRPr="00CF219D">
              <w:rPr>
                <w:rFonts w:ascii="Times New Roman" w:hAnsi="Times New Roman"/>
              </w:rPr>
              <w:t>178</w:t>
            </w:r>
            <w:r>
              <w:rPr>
                <w:rFonts w:ascii="Times New Roman" w:hAnsi="Times New Roman"/>
              </w:rPr>
              <w:t xml:space="preserve"> van de VKV een wanbetaling heeft voorgedaan.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w:t>
            </w:r>
            <w:r w:rsidRPr="00CF219D">
              <w:rPr>
                <w:rFonts w:ascii="Times New Roman" w:hAnsi="Times New Roman"/>
              </w:rPr>
              <w:t>290</w:t>
            </w:r>
            <w:r>
              <w:rPr>
                <w:rFonts w:ascii="Times New Roman" w:hAnsi="Times New Roman"/>
              </w:rPr>
              <w:t>;</w:t>
            </w:r>
            <w:r w:rsidRPr="00CF219D">
              <w:rPr>
                <w:rFonts w:ascii="Times New Roman" w:hAnsi="Times New Roman"/>
              </w:rPr>
              <w:t>010</w:t>
            </w:r>
            <w:r>
              <w:rPr>
                <w:rFonts w:ascii="Times New Roman" w:hAnsi="Times New Roman"/>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Overige blootstellingen; waarvan – Blootstellingswaarde voor de berekening van de hefboomratio – Blootstellingen in het kader van de standaardbenadering</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De blootstellingswaarde voor de berekening van de hefboomratio van activa die in de in artikel </w:t>
            </w:r>
            <w:r w:rsidRPr="00CF219D">
              <w:rPr>
                <w:rFonts w:ascii="Times New Roman" w:hAnsi="Times New Roman"/>
              </w:rPr>
              <w:t>112</w:t>
            </w:r>
            <w:r>
              <w:rPr>
                <w:rFonts w:ascii="Times New Roman" w:hAnsi="Times New Roman"/>
              </w:rPr>
              <w:t xml:space="preserve">, onder k), m), n), o), p) en q), van de VKV genoemde blootstellingscategorieën zijn ondergebracht. </w:t>
            </w:r>
          </w:p>
          <w:p w:rsidR="00482670" w:rsidRDefault="00482670" w:rsidP="007E2A41">
            <w:pPr>
              <w:pStyle w:val="BodyText1"/>
              <w:spacing w:line="240" w:lineRule="auto"/>
              <w:rPr>
                <w:rFonts w:ascii="Times New Roman" w:hAnsi="Times New Roman"/>
                <w:bCs/>
              </w:rPr>
            </w:pPr>
          </w:p>
          <w:p w:rsidR="00482670" w:rsidRPr="00FE002E" w:rsidRDefault="00482670" w:rsidP="007E2A41">
            <w:pPr>
              <w:pStyle w:val="BodyText1"/>
              <w:spacing w:line="240" w:lineRule="auto"/>
              <w:rPr>
                <w:rFonts w:ascii="Times New Roman" w:hAnsi="Times New Roman"/>
                <w:bCs/>
              </w:rPr>
            </w:pPr>
            <w:r>
              <w:rPr>
                <w:rFonts w:ascii="Times New Roman" w:hAnsi="Times New Roman"/>
              </w:rPr>
              <w:t xml:space="preserve">Instellingen rapporteren hier de activa die van het eigen vermogen zijn afgetrokken (bv. immateriële activa) maar die niet elders kunnen worden ondergebracht, ook al is een dergelijke onderbrenging niet verplicht voor de bepaling van de risicogebaseerde eigenvermogensvereisten in de kolommen {*; </w:t>
            </w:r>
            <w:r w:rsidRPr="00CF219D">
              <w:rPr>
                <w:rFonts w:ascii="Times New Roman" w:hAnsi="Times New Roman"/>
              </w:rPr>
              <w:t>030</w:t>
            </w:r>
            <w:r>
              <w:rPr>
                <w:rFonts w:ascii="Times New Roman" w:hAnsi="Times New Roman"/>
              </w:rPr>
              <w:t xml:space="preserve">} en {*; </w:t>
            </w:r>
            <w:r w:rsidRPr="00CF219D">
              <w:rPr>
                <w:rFonts w:ascii="Times New Roman" w:hAnsi="Times New Roman"/>
              </w:rPr>
              <w:t>040</w:t>
            </w:r>
            <w:r>
              <w:rPr>
                <w:rFonts w:ascii="Times New Roman" w:hAnsi="Times New Roman"/>
              </w:rPr>
              <w:t>}.</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CF219D">
              <w:rPr>
                <w:rFonts w:ascii="Times New Roman" w:hAnsi="Times New Roman"/>
              </w:rPr>
              <w:t>290</w:t>
            </w:r>
            <w:r>
              <w:rPr>
                <w:rFonts w:ascii="Times New Roman" w:hAnsi="Times New Roman"/>
              </w:rPr>
              <w:t>;</w:t>
            </w:r>
            <w:r w:rsidRPr="00CF219D">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Overige blootstellingen; waarvan – Blootstellingswaarde voor de berekening van de hefboomratio – Blootstellingen in het kader van de interneratingbenadering</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De blootstellingswaarde voor de berekening van de hefboomratio van activa die in de in artikel </w:t>
            </w:r>
            <w:r w:rsidRPr="00CF219D">
              <w:rPr>
                <w:rFonts w:ascii="Times New Roman" w:hAnsi="Times New Roman"/>
              </w:rPr>
              <w:t>147</w:t>
            </w:r>
            <w:r>
              <w:rPr>
                <w:rFonts w:ascii="Times New Roman" w:hAnsi="Times New Roman"/>
              </w:rPr>
              <w:t>, lid </w:t>
            </w:r>
            <w:r w:rsidRPr="00CF219D">
              <w:rPr>
                <w:rFonts w:ascii="Times New Roman" w:hAnsi="Times New Roman"/>
              </w:rPr>
              <w:t>2</w:t>
            </w:r>
            <w:r>
              <w:rPr>
                <w:rFonts w:ascii="Times New Roman" w:hAnsi="Times New Roman"/>
              </w:rPr>
              <w:t xml:space="preserve">, onder e), f) en g), van de VKV genoemde blootstellingscategorieën zijn ondergebracht. </w:t>
            </w:r>
          </w:p>
          <w:p w:rsidR="00482670" w:rsidRDefault="00482670" w:rsidP="007E2A41">
            <w:pPr>
              <w:pStyle w:val="BodyText1"/>
              <w:spacing w:line="240" w:lineRule="auto"/>
              <w:rPr>
                <w:rFonts w:ascii="Times New Roman" w:hAnsi="Times New Roman"/>
                <w:bCs/>
              </w:rPr>
            </w:pPr>
          </w:p>
          <w:p w:rsidR="00482670" w:rsidRDefault="00482670" w:rsidP="007E2A41">
            <w:pPr>
              <w:pStyle w:val="BodyText1"/>
              <w:spacing w:line="240" w:lineRule="auto"/>
              <w:rPr>
                <w:rFonts w:ascii="Times New Roman" w:hAnsi="Times New Roman"/>
                <w:bCs/>
              </w:rPr>
            </w:pPr>
            <w:r>
              <w:rPr>
                <w:rFonts w:ascii="Times New Roman" w:hAnsi="Times New Roman"/>
              </w:rPr>
              <w:t xml:space="preserve">Instellingen rapporteren hier de activa die van het eigen vermogen zijn afgetrokken (bv. immateriële activa) maar die niet elders kunnen worden ondergebracht, ook al is een dergelijke onderbrenging niet verplicht voor de bepaling van de risicogebaseerde eigenvermogensvereisten in de kolommen {*; </w:t>
            </w:r>
            <w:r w:rsidRPr="00CF219D">
              <w:rPr>
                <w:rFonts w:ascii="Times New Roman" w:hAnsi="Times New Roman"/>
              </w:rPr>
              <w:t>030</w:t>
            </w:r>
            <w:r>
              <w:rPr>
                <w:rFonts w:ascii="Times New Roman" w:hAnsi="Times New Roman"/>
              </w:rPr>
              <w:t xml:space="preserve">} en {*; </w:t>
            </w:r>
            <w:r w:rsidRPr="00CF219D">
              <w:rPr>
                <w:rFonts w:ascii="Times New Roman" w:hAnsi="Times New Roman"/>
              </w:rPr>
              <w:t>040</w:t>
            </w:r>
            <w:r>
              <w:rPr>
                <w:rFonts w:ascii="Times New Roman" w:hAnsi="Times New Roman"/>
              </w:rPr>
              <w:t>}.</w:t>
            </w:r>
          </w:p>
          <w:p w:rsidR="00BB388D" w:rsidRDefault="00BB388D" w:rsidP="007E2A41">
            <w:pPr>
              <w:pStyle w:val="BodyText1"/>
              <w:spacing w:line="240" w:lineRule="auto"/>
              <w:rPr>
                <w:rFonts w:ascii="Times New Roman" w:hAnsi="Times New Roman"/>
                <w:bCs/>
              </w:rPr>
            </w:pPr>
          </w:p>
          <w:p w:rsidR="00BB388D" w:rsidRPr="00FE002E" w:rsidRDefault="00BB388D"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CF219D">
              <w:rPr>
                <w:rFonts w:ascii="Times New Roman" w:hAnsi="Times New Roman"/>
              </w:rPr>
              <w:t>290</w:t>
            </w:r>
            <w:r>
              <w:rPr>
                <w:rFonts w:ascii="Times New Roman" w:hAnsi="Times New Roman"/>
              </w:rPr>
              <w:t>;</w:t>
            </w:r>
            <w:r w:rsidRPr="00CF219D">
              <w:rPr>
                <w:rFonts w:ascii="Times New Roman" w:hAnsi="Times New Roman"/>
              </w:rPr>
              <w:t>030</w:t>
            </w:r>
            <w:r>
              <w:rPr>
                <w:rFonts w:ascii="Times New Roman" w:hAnsi="Times New Roman"/>
              </w:rPr>
              <w:t>}</w:t>
            </w:r>
          </w:p>
        </w:tc>
        <w:tc>
          <w:tcPr>
            <w:tcW w:w="8133" w:type="dxa"/>
            <w:shd w:val="clear" w:color="auto" w:fill="FFFFFF"/>
          </w:tcPr>
          <w:p w:rsidR="00F4754B" w:rsidRPr="00706750" w:rsidRDefault="00F4754B" w:rsidP="007E2A41">
            <w:pPr>
              <w:pStyle w:val="BodyText1"/>
              <w:spacing w:line="240" w:lineRule="auto"/>
              <w:rPr>
                <w:rFonts w:ascii="Times New Roman" w:hAnsi="Times New Roman"/>
                <w:bCs/>
              </w:rPr>
            </w:pPr>
            <w:r>
              <w:rPr>
                <w:rFonts w:ascii="Times New Roman" w:hAnsi="Times New Roman"/>
                <w:b/>
              </w:rPr>
              <w:t>Overige blootstellingen; waarvan – Risicogewogen activa – Blootstellingen in het kader van de standaardbenadering</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 risicogewogen posten van activa die in de in artikel </w:t>
            </w:r>
            <w:r w:rsidRPr="00CF219D">
              <w:rPr>
                <w:rFonts w:ascii="Times New Roman" w:hAnsi="Times New Roman"/>
              </w:rPr>
              <w:t>112</w:t>
            </w:r>
            <w:r>
              <w:rPr>
                <w:rFonts w:ascii="Times New Roman" w:hAnsi="Times New Roman"/>
              </w:rPr>
              <w:t>, onder k), m), n), o), p) en q), van de VKV genoemde blootstellingscategorieën zijn ondergebracht.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w:t>
            </w:r>
            <w:r w:rsidRPr="00CF219D">
              <w:rPr>
                <w:rFonts w:ascii="Times New Roman" w:hAnsi="Times New Roman"/>
              </w:rPr>
              <w:t>290</w:t>
            </w:r>
            <w:r>
              <w:rPr>
                <w:rFonts w:ascii="Times New Roman" w:hAnsi="Times New Roman"/>
              </w:rPr>
              <w:t>;</w:t>
            </w:r>
            <w:r w:rsidRPr="00CF219D">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Overige blootstellingen; waarvan – Risicogewogen activa – Blootstellingen in het kader van de interneratingbenadering</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 risicogewogen posten van activa die in de in artikel </w:t>
            </w:r>
            <w:r w:rsidRPr="00CF219D">
              <w:rPr>
                <w:rFonts w:ascii="Times New Roman" w:hAnsi="Times New Roman"/>
              </w:rPr>
              <w:t>147</w:t>
            </w:r>
            <w:r>
              <w:rPr>
                <w:rFonts w:ascii="Times New Roman" w:hAnsi="Times New Roman"/>
              </w:rPr>
              <w:t xml:space="preserve">, lid </w:t>
            </w:r>
            <w:r w:rsidRPr="00CF219D">
              <w:rPr>
                <w:rFonts w:ascii="Times New Roman" w:hAnsi="Times New Roman"/>
              </w:rPr>
              <w:t>2</w:t>
            </w:r>
            <w:r>
              <w:rPr>
                <w:rFonts w:ascii="Times New Roman" w:hAnsi="Times New Roman"/>
              </w:rPr>
              <w:t xml:space="preserve">, onder e), f) en g), van de VKV genoemde blootstellingscategorieën zijn ondergebracht. </w:t>
            </w:r>
          </w:p>
          <w:p w:rsidR="00BB388D" w:rsidRDefault="00BB388D" w:rsidP="007E2A41">
            <w:pPr>
              <w:pStyle w:val="BodyText1"/>
              <w:spacing w:line="240" w:lineRule="auto"/>
              <w:rPr>
                <w:rFonts w:ascii="Times New Roman" w:hAnsi="Times New Roman"/>
                <w:bCs/>
              </w:rPr>
            </w:pPr>
          </w:p>
          <w:p w:rsidR="00BB388D" w:rsidRPr="00FE002E" w:rsidRDefault="00BB388D"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CF219D">
              <w:rPr>
                <w:rFonts w:ascii="Times New Roman" w:hAnsi="Times New Roman"/>
              </w:rPr>
              <w:t>300</w:t>
            </w:r>
            <w:r>
              <w:rPr>
                <w:rFonts w:ascii="Times New Roman" w:hAnsi="Times New Roman"/>
              </w:rPr>
              <w:t>;</w:t>
            </w:r>
            <w:r w:rsidRPr="00CF219D">
              <w:rPr>
                <w:rFonts w:ascii="Times New Roman" w:hAnsi="Times New Roman"/>
              </w:rPr>
              <w:t>010</w:t>
            </w:r>
            <w:r>
              <w:rPr>
                <w:rFonts w:ascii="Times New Roman" w:hAnsi="Times New Roman"/>
              </w:rPr>
              <w:t>}</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Securitisatieblootstellingen — Blootstellingswaarde voor de berekening van de hefboomratio — Blootstellingen in het kader van de standaardbenadering</w:t>
            </w:r>
          </w:p>
          <w:p w:rsidR="002509B1" w:rsidRPr="00706750"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 blootstellingswaarde voor de berekening van de hefboomratio van activa die blootstellingen </w:t>
            </w:r>
            <w:r>
              <w:rPr>
                <w:rFonts w:ascii="Times New Roman" w:hAnsi="Times New Roman"/>
              </w:rPr>
              <w:lastRenderedPageBreak/>
              <w:t>zijn met betrekking tot securitisatieposities die vallen onder artikel </w:t>
            </w:r>
            <w:r w:rsidRPr="00CF219D">
              <w:rPr>
                <w:rFonts w:ascii="Times New Roman" w:hAnsi="Times New Roman"/>
              </w:rPr>
              <w:t>112</w:t>
            </w:r>
            <w:r>
              <w:rPr>
                <w:rFonts w:ascii="Times New Roman" w:hAnsi="Times New Roman"/>
              </w:rPr>
              <w:t>, onder m), van de VKV.</w:t>
            </w:r>
          </w:p>
          <w:p w:rsidR="00086A8A" w:rsidRDefault="00086A8A" w:rsidP="007E2A41">
            <w:pPr>
              <w:pStyle w:val="BodyText1"/>
              <w:spacing w:line="240" w:lineRule="auto"/>
              <w:rPr>
                <w:rFonts w:ascii="Times New Roman" w:hAnsi="Times New Roman"/>
                <w:bCs/>
              </w:rPr>
            </w:pPr>
          </w:p>
          <w:p w:rsidR="002509B1" w:rsidRDefault="00086A8A"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w:t>
            </w:r>
            <w:r w:rsidRPr="00CF219D">
              <w:rPr>
                <w:rFonts w:ascii="Times New Roman" w:hAnsi="Times New Roman"/>
              </w:rPr>
              <w:t>300</w:t>
            </w:r>
            <w:r>
              <w:rPr>
                <w:rFonts w:ascii="Times New Roman" w:hAnsi="Times New Roman"/>
              </w:rPr>
              <w:t>;</w:t>
            </w:r>
            <w:r w:rsidRPr="00CF219D">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Securitisatieblootstellingen — Blootstellingswaarde voor de berekening van de hefboomratio — Blootstellingen in het kader van de interneratingbenadering</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De blootstellingswaarde voor de berekening van de hefboomratio van activa die blootstellingen zijn met betrekking tot securitisatieposities die vallen onder artikel </w:t>
            </w:r>
            <w:r w:rsidRPr="00CF219D">
              <w:rPr>
                <w:rFonts w:ascii="Times New Roman" w:hAnsi="Times New Roman"/>
              </w:rPr>
              <w:t>147</w:t>
            </w:r>
            <w:r>
              <w:rPr>
                <w:rFonts w:ascii="Times New Roman" w:hAnsi="Times New Roman"/>
              </w:rPr>
              <w:t xml:space="preserve">, lid </w:t>
            </w:r>
            <w:r w:rsidRPr="00CF219D">
              <w:rPr>
                <w:rFonts w:ascii="Times New Roman" w:hAnsi="Times New Roman"/>
              </w:rPr>
              <w:t>2</w:t>
            </w:r>
            <w:r>
              <w:rPr>
                <w:rFonts w:ascii="Times New Roman" w:hAnsi="Times New Roman"/>
              </w:rPr>
              <w:t xml:space="preserve">, onder f), van de VKV.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Del="00B9734C"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CF219D">
              <w:rPr>
                <w:rFonts w:ascii="Times New Roman" w:hAnsi="Times New Roman"/>
              </w:rPr>
              <w:t>300</w:t>
            </w:r>
            <w:r>
              <w:rPr>
                <w:rFonts w:ascii="Times New Roman" w:hAnsi="Times New Roman"/>
              </w:rPr>
              <w:t>;</w:t>
            </w:r>
            <w:r w:rsidRPr="00CF219D">
              <w:rPr>
                <w:rFonts w:ascii="Times New Roman" w:hAnsi="Times New Roman"/>
              </w:rPr>
              <w:t>030</w:t>
            </w:r>
            <w:r>
              <w:rPr>
                <w:rFonts w:ascii="Times New Roman" w:hAnsi="Times New Roman"/>
              </w:rPr>
              <w:t>}</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Securitisatieblootstellingen — Risicogewogen activa — Blootstellingen in het kader van de standaardbenadering</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De risicogewogen posten van activa die blootstellingen zijn met betrekking tot securitisatieposities die vallen onder artikel </w:t>
            </w:r>
            <w:r w:rsidRPr="00CF219D">
              <w:rPr>
                <w:rFonts w:ascii="Times New Roman" w:hAnsi="Times New Roman"/>
              </w:rPr>
              <w:t>112</w:t>
            </w:r>
            <w:r>
              <w:rPr>
                <w:rFonts w:ascii="Times New Roman" w:hAnsi="Times New Roman"/>
              </w:rPr>
              <w:t xml:space="preserve">, onder m), van de VKV.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CF219D">
              <w:rPr>
                <w:rFonts w:ascii="Times New Roman" w:hAnsi="Times New Roman"/>
              </w:rPr>
              <w:t>300</w:t>
            </w:r>
            <w:r>
              <w:rPr>
                <w:rFonts w:ascii="Times New Roman" w:hAnsi="Times New Roman"/>
              </w:rPr>
              <w:t>;</w:t>
            </w:r>
            <w:r w:rsidRPr="00CF219D">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Securitisatieblootstellingen — Risicogewogen activa — Blootstellingen in het kader van de interneratingbenadering</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De risicogewogen posten van activa die blootstellingen zijn met betrekking tot securitisatieposities die vallen onder artikel </w:t>
            </w:r>
            <w:r w:rsidRPr="00CF219D">
              <w:rPr>
                <w:rFonts w:ascii="Times New Roman" w:hAnsi="Times New Roman"/>
              </w:rPr>
              <w:t>147</w:t>
            </w:r>
            <w:r>
              <w:rPr>
                <w:rFonts w:ascii="Times New Roman" w:hAnsi="Times New Roman"/>
              </w:rPr>
              <w:t>, lid </w:t>
            </w:r>
            <w:r w:rsidRPr="00CF219D">
              <w:rPr>
                <w:rFonts w:ascii="Times New Roman" w:hAnsi="Times New Roman"/>
              </w:rPr>
              <w:t>2</w:t>
            </w:r>
            <w:r>
              <w:rPr>
                <w:rFonts w:ascii="Times New Roman" w:hAnsi="Times New Roman"/>
              </w:rPr>
              <w:t xml:space="preserve">, onder f), van de VKV.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w:t>
            </w:r>
            <w:r w:rsidRPr="00CF219D">
              <w:rPr>
                <w:rFonts w:ascii="Times New Roman" w:hAnsi="Times New Roman"/>
              </w:rPr>
              <w:t>310</w:t>
            </w:r>
            <w:r>
              <w:rPr>
                <w:rFonts w:ascii="Times New Roman" w:hAnsi="Times New Roman"/>
              </w:rPr>
              <w:t>;</w:t>
            </w:r>
            <w:r w:rsidRPr="00CF219D">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Handelsfinanciering (pro-memoriepost); waarvan – Blootstellingswaarde voor de berekening van de hefboomratio – Blootstellingen in het kader van de standaardbenadering</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 blootstellingswaarde voor de berekening van de hefboomratio van posten binnen de balanstelling die verband houden met leningen aan een exporteur of importeur van goederen of diensten door middel van import- en exportkredieten en soortgelijke transacties. </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CF219D">
              <w:rPr>
                <w:rFonts w:ascii="Times New Roman" w:hAnsi="Times New Roman"/>
              </w:rPr>
              <w:t>310</w:t>
            </w:r>
            <w:r>
              <w:rPr>
                <w:rFonts w:ascii="Times New Roman" w:hAnsi="Times New Roman"/>
              </w:rPr>
              <w:t>;</w:t>
            </w:r>
            <w:r w:rsidRPr="00CF219D">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Handelsfinanciering (pro-memoriepost); waarvan – Blootstellingswaarde voor de berekening van de hefboomratio – Blootstellingen in het kader van de interneratingbenadering</w:t>
            </w:r>
          </w:p>
          <w:p w:rsidR="002509B1" w:rsidRPr="00FE002E" w:rsidRDefault="002509B1" w:rsidP="007E2A41">
            <w:pPr>
              <w:pStyle w:val="BodyText1"/>
              <w:spacing w:line="240" w:lineRule="auto"/>
              <w:rPr>
                <w:rFonts w:ascii="Times New Roman" w:hAnsi="Times New Roman"/>
                <w:b/>
                <w:bCs/>
              </w:rPr>
            </w:pPr>
          </w:p>
          <w:p w:rsidR="002509B1" w:rsidRDefault="00F4754B" w:rsidP="007E2A41">
            <w:pPr>
              <w:pStyle w:val="BodyText1"/>
              <w:spacing w:line="240" w:lineRule="auto"/>
              <w:rPr>
                <w:rFonts w:ascii="Times New Roman" w:hAnsi="Times New Roman"/>
                <w:b/>
                <w:bCs/>
                <w:u w:val="single"/>
              </w:rPr>
            </w:pPr>
            <w:r>
              <w:rPr>
                <w:rFonts w:ascii="Times New Roman" w:hAnsi="Times New Roman"/>
              </w:rPr>
              <w:t xml:space="preserve">De blootstellingswaarde voor de berekening van de hefboomratio van posten binnen de balanstelling die verband houden met leningen aan een exporteur of importeur van goederen of diensten door middel van import- en exportkredieten en soortgelijke transacties. </w:t>
            </w:r>
          </w:p>
          <w:p w:rsidR="00BE6AC4" w:rsidRDefault="00BE6AC4" w:rsidP="009C4E79">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CF219D">
              <w:rPr>
                <w:rFonts w:ascii="Times New Roman" w:hAnsi="Times New Roman"/>
              </w:rPr>
              <w:t>310</w:t>
            </w:r>
            <w:r>
              <w:rPr>
                <w:rFonts w:ascii="Times New Roman" w:hAnsi="Times New Roman"/>
              </w:rPr>
              <w:t>;</w:t>
            </w:r>
            <w:r w:rsidRPr="00CF219D">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Handelsfinanciering (pro-memoriepost); waarvan – Risicogewogen activa – Blootstellingen in het kader van de standaardbenadering</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 risicogewogen posten binnen de balanstelling die verband houden met leningen aan een exporteur of importeur van goederen of diensten door middel van import- en exportkredieten en </w:t>
            </w:r>
            <w:r>
              <w:rPr>
                <w:rFonts w:ascii="Times New Roman" w:hAnsi="Times New Roman"/>
              </w:rPr>
              <w:lastRenderedPageBreak/>
              <w:t xml:space="preserve">soortgelijke transacties.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w:t>
            </w:r>
            <w:r w:rsidRPr="00CF219D">
              <w:rPr>
                <w:rFonts w:ascii="Times New Roman" w:hAnsi="Times New Roman"/>
              </w:rPr>
              <w:t>310</w:t>
            </w:r>
            <w:r>
              <w:rPr>
                <w:rFonts w:ascii="Times New Roman" w:hAnsi="Times New Roman"/>
              </w:rPr>
              <w:t>;</w:t>
            </w:r>
            <w:r w:rsidRPr="00CF219D">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Handelsfinanciering (pro-memoriepost); waarvan – Risicogewogen activa – Blootstellingen in het kader van de interneratingbenadering</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 risicogewogen posten binnen de balanstelling die verband houden met leningen aan een exporteur of importeur van goederen of diensten door middel van import- en exportkredieten en soortgelijke transacties.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Instellingen rapporteren deze blootstellingen na aftrek van blootstellingen ten aanzien waarvan zich een wanbetaling heeft voorgedaan.</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w:t>
            </w:r>
            <w:r w:rsidRPr="00CF219D">
              <w:rPr>
                <w:rFonts w:ascii="Times New Roman" w:hAnsi="Times New Roman"/>
              </w:rPr>
              <w:t>320</w:t>
            </w:r>
            <w:r>
              <w:rPr>
                <w:rFonts w:ascii="Times New Roman" w:hAnsi="Times New Roman"/>
              </w:rPr>
              <w:t>;</w:t>
            </w:r>
            <w:r w:rsidRPr="00CF219D">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In het kader van een officiële exportkredietverzekeringsregeling — Blootstellingswaarde voor de berekening van de hefboomratio — Blootstellingen in het kader van de standaardbenadering</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De blootstellingswaarde voor de berekening van de hefboomratio van posten binnen de balanstelling die verband houden met handelsfinanciering in het kader van een officiële exportkredietverzekeringsregeling. Voor de rapportage in LR</w:t>
            </w:r>
            <w:r w:rsidRPr="00CF219D">
              <w:rPr>
                <w:rFonts w:ascii="Times New Roman" w:hAnsi="Times New Roman"/>
              </w:rPr>
              <w:t>4</w:t>
            </w:r>
            <w:r>
              <w:rPr>
                <w:rFonts w:ascii="Times New Roman" w:hAnsi="Times New Roman"/>
              </w:rPr>
              <w:t xml:space="preserve"> houdt een officiële exportkredietverzekeringsregeling verband met officiële ondersteuning, door de overheid of een andere entiteit zoals een exportkredietverzekeringsinstelling, in de vorm van onder meer rechtstreekse kredieten/financiering, herfinanciering, renteondersteuning (waarbij gedurende de gehele looptijd van het krediet een vaste rente wordt gegarandeerd), steunfinanciering (kredieten en subsidies), alsook exportkredietverzekering en -garanties. </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CF219D">
              <w:rPr>
                <w:rFonts w:ascii="Times New Roman" w:hAnsi="Times New Roman"/>
              </w:rPr>
              <w:t>320</w:t>
            </w:r>
            <w:r>
              <w:rPr>
                <w:rFonts w:ascii="Times New Roman" w:hAnsi="Times New Roman"/>
              </w:rPr>
              <w:t>;</w:t>
            </w:r>
            <w:r w:rsidRPr="00CF219D">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In het kader van een officiële exportkredietverzekeringsregeling — Blootstellingswaarde voor de berekening van de hefboomratio — Blootstellingen in het kader van de interneratingbenadering</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De blootstellingswaarde voor de berekening van de hefboomratio van posten binnen de balanstelling die verband houden met handelsfinanciering in het kader van een officiële exportkredietverzekeringsregeling. Voor de rapportage in LR</w:t>
            </w:r>
            <w:r w:rsidRPr="00CF219D">
              <w:rPr>
                <w:rFonts w:ascii="Times New Roman" w:hAnsi="Times New Roman"/>
              </w:rPr>
              <w:t>4</w:t>
            </w:r>
            <w:r>
              <w:rPr>
                <w:rFonts w:ascii="Times New Roman" w:hAnsi="Times New Roman"/>
              </w:rPr>
              <w:t xml:space="preserve"> houdt een officiële exportkredietverzekeringsregeling verband met officiële ondersteuning, door de overheid of een andere entiteit zoals een exportkredietverzekeringsinstelling, in de vorm van onder meer rechtstreekse kredieten/financiering, herfinanciering, renteondersteuning (waarbij gedurende de gehele looptijd van het krediet een vaste rente wordt gegarandeerd), steunfinanciering (kredieten en subsidies), alsook exportkredietverzekering en -garanties. </w:t>
            </w:r>
          </w:p>
          <w:p w:rsidR="009C4E79" w:rsidRDefault="009C4E79" w:rsidP="007E2A41">
            <w:pPr>
              <w:pStyle w:val="BodyText1"/>
              <w:spacing w:line="240" w:lineRule="auto"/>
              <w:rPr>
                <w:rFonts w:ascii="Times New Roman" w:hAnsi="Times New Roman"/>
              </w:rPr>
            </w:pPr>
          </w:p>
          <w:p w:rsidR="009C4E79" w:rsidRPr="00FE002E" w:rsidRDefault="009C4E79" w:rsidP="007E2A41">
            <w:pPr>
              <w:pStyle w:val="BodyText1"/>
              <w:spacing w:line="240" w:lineRule="auto"/>
              <w:rPr>
                <w:rFonts w:ascii="Times New Roman" w:hAnsi="Times New Roman"/>
              </w:rPr>
            </w:pPr>
            <w:r>
              <w:rPr>
                <w:rFonts w:ascii="Times New Roman" w:hAnsi="Times New Roman"/>
              </w:rPr>
              <w:t>Instellingen rapporteren deze blootstellingen na aftrek van blootstellingen ten aanzien waarvan zich een wanbetaling heeft voorgedaan.</w:t>
            </w:r>
          </w:p>
          <w:p w:rsidR="002509B1" w:rsidRPr="00FE002E" w:rsidDel="00600AB1"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CF219D">
              <w:rPr>
                <w:rFonts w:ascii="Times New Roman" w:hAnsi="Times New Roman"/>
              </w:rPr>
              <w:t>320</w:t>
            </w:r>
            <w:r>
              <w:rPr>
                <w:rFonts w:ascii="Times New Roman" w:hAnsi="Times New Roman"/>
              </w:rPr>
              <w:t>;</w:t>
            </w:r>
            <w:r w:rsidRPr="00CF219D">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In het kader van een officiële exportkredietverzekeringsregeling — Risicogewogen activa — Blootstellingen in het kader van de standaardbenadering</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De risicogewogen posten binnen de balanstelling die verband houden met handelsfinanciering uit hoofde van een officiële exportkredietverzekeringsregeling. Voor de rapportage in LR</w:t>
            </w:r>
            <w:r w:rsidRPr="00CF219D">
              <w:rPr>
                <w:rFonts w:ascii="Times New Roman" w:hAnsi="Times New Roman"/>
              </w:rPr>
              <w:t>4</w:t>
            </w:r>
            <w:r>
              <w:rPr>
                <w:rFonts w:ascii="Times New Roman" w:hAnsi="Times New Roman"/>
              </w:rPr>
              <w:t xml:space="preserve"> houdt een officiële exportkredietverzekeringsregeling verband met officiële ondersteuning, door de overheid of een andere entiteit zoals een exportkredietverzekeringsinstelling, in de vorm van onder meer rechtstreekse kredieten/financiering, herfinanciering, renteondersteuning (waarbij gedurende de gehele looptijd van het krediet een vaste rente wordt gegarandeerd), steunfinanciering (kredieten en subsidies), alsook exportkredietverzekering en -garanties. </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Pr>
                <w:rFonts w:ascii="Times New Roman" w:hAnsi="Times New Roman"/>
              </w:rPr>
              <w:t xml:space="preserve">Instellingen rapporteren deze blootstellingen na aftrek van blootstellingen ten aanzien waarvan </w:t>
            </w:r>
            <w:r>
              <w:rPr>
                <w:rFonts w:ascii="Times New Roman" w:hAnsi="Times New Roman"/>
              </w:rPr>
              <w:lastRenderedPageBreak/>
              <w:t>zich een wanbetaling heeft voorgedaan.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w:t>
            </w:r>
            <w:r w:rsidRPr="00CF219D">
              <w:rPr>
                <w:rFonts w:ascii="Times New Roman" w:hAnsi="Times New Roman"/>
              </w:rPr>
              <w:t>320</w:t>
            </w:r>
            <w:r>
              <w:rPr>
                <w:rFonts w:ascii="Times New Roman" w:hAnsi="Times New Roman"/>
              </w:rPr>
              <w:t>;</w:t>
            </w:r>
            <w:r w:rsidRPr="00CF219D">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In het kader van een officiële exportkredietverzekeringsregeling — Risicogewogen activa — Blootstellingen in het kader van de interneratingbenadering</w:t>
            </w:r>
          </w:p>
          <w:p w:rsidR="002509B1" w:rsidRPr="00FE002E" w:rsidRDefault="002509B1" w:rsidP="007E2A41">
            <w:pPr>
              <w:pStyle w:val="BodyText1"/>
              <w:spacing w:line="240" w:lineRule="auto"/>
              <w:rPr>
                <w:rFonts w:ascii="Times New Roman" w:hAnsi="Times New Roman"/>
                <w:b/>
                <w:bCs/>
              </w:rPr>
            </w:pPr>
          </w:p>
          <w:p w:rsidR="009C4E79" w:rsidRDefault="00F4754B" w:rsidP="007E2A41">
            <w:pPr>
              <w:pStyle w:val="BodyText1"/>
              <w:spacing w:line="240" w:lineRule="auto"/>
              <w:rPr>
                <w:rFonts w:ascii="Times New Roman" w:hAnsi="Times New Roman"/>
              </w:rPr>
            </w:pPr>
            <w:r>
              <w:rPr>
                <w:rFonts w:ascii="Times New Roman" w:hAnsi="Times New Roman"/>
              </w:rPr>
              <w:t>De risicogewogen posten binnen de balanstelling die verband houden met handelsfinanciering in het kader van een officiële exportkredietverzekeringsregeling. Voor de rapportage in LR</w:t>
            </w:r>
            <w:r w:rsidRPr="00CF219D">
              <w:rPr>
                <w:rFonts w:ascii="Times New Roman" w:hAnsi="Times New Roman"/>
              </w:rPr>
              <w:t>4</w:t>
            </w:r>
            <w:r>
              <w:rPr>
                <w:rFonts w:ascii="Times New Roman" w:hAnsi="Times New Roman"/>
              </w:rPr>
              <w:t xml:space="preserve"> houdt een officiële exportkredietverzekeringsregeling verband met officiële ondersteuning, door de overheid of een andere entiteit zoals een exportkredietverzekeringsinstelling, in de vorm van onder meer rechtstreekse kredieten/financiering, herfinanciering, renteondersteuning (waarbij gedurende de gehele looptijd van het krediet een vaste rente wordt gegarandeerd), steunfinanciering (kredieten en subsidies), alsook exportkredietverzekering en -garanties. </w:t>
            </w:r>
          </w:p>
          <w:p w:rsidR="009C4E79" w:rsidRDefault="009C4E79" w:rsidP="007E2A41">
            <w:pPr>
              <w:pStyle w:val="BodyText1"/>
              <w:spacing w:line="240" w:lineRule="auto"/>
              <w:rPr>
                <w:rFonts w:ascii="Times New Roman" w:hAnsi="Times New Roman"/>
              </w:rPr>
            </w:pPr>
          </w:p>
          <w:p w:rsidR="00F4754B" w:rsidRPr="00FE002E" w:rsidRDefault="009C4E79" w:rsidP="007E2A41">
            <w:pPr>
              <w:pStyle w:val="BodyText1"/>
              <w:spacing w:line="240" w:lineRule="auto"/>
              <w:rPr>
                <w:rFonts w:ascii="Times New Roman" w:hAnsi="Times New Roman"/>
              </w:rPr>
            </w:pPr>
            <w:r>
              <w:rPr>
                <w:rFonts w:ascii="Times New Roman" w:hAnsi="Times New Roman"/>
              </w:rPr>
              <w:t>Instellingen rapporteren deze blootstellingen na aftrek van blootstellingen ten aanzien waarvan zich een wanbetaling heeft voorgedaan.</w:t>
            </w:r>
          </w:p>
          <w:p w:rsidR="002509B1" w:rsidRPr="00FE002E" w:rsidRDefault="002509B1" w:rsidP="007E2A41">
            <w:pPr>
              <w:pStyle w:val="BodyText1"/>
              <w:spacing w:line="240" w:lineRule="auto"/>
              <w:rPr>
                <w:rFonts w:ascii="Times New Roman" w:hAnsi="Times New Roman"/>
                <w:b/>
                <w:bCs/>
                <w:u w:val="single"/>
              </w:rPr>
            </w:pPr>
          </w:p>
        </w:tc>
      </w:tr>
    </w:tbl>
    <w:p w:rsidR="000A7BCD" w:rsidRDefault="000A7BCD" w:rsidP="00500508">
      <w:pPr>
        <w:pStyle w:val="BodyText1"/>
        <w:ind w:left="357" w:hanging="357"/>
        <w:outlineLvl w:val="1"/>
        <w:rPr>
          <w:rFonts w:ascii="Times New Roman" w:hAnsi="Times New Roman"/>
          <w:b/>
        </w:rPr>
      </w:pPr>
      <w:bookmarkStart w:id="89" w:name="_Toc351048511"/>
      <w:bookmarkStart w:id="90" w:name="_Toc359414290"/>
      <w:bookmarkStart w:id="91" w:name="_Toc423089075"/>
      <w:bookmarkStart w:id="92" w:name="_Toc522780005"/>
      <w:bookmarkEnd w:id="84"/>
    </w:p>
    <w:p w:rsidR="00217D1F" w:rsidRPr="00FE002E" w:rsidRDefault="00F4754B" w:rsidP="00500508">
      <w:pPr>
        <w:pStyle w:val="BodyText1"/>
        <w:ind w:left="357" w:hanging="357"/>
        <w:outlineLvl w:val="1"/>
        <w:rPr>
          <w:rFonts w:ascii="Times New Roman" w:hAnsi="Times New Roman"/>
          <w:b/>
        </w:rPr>
      </w:pPr>
      <w:r w:rsidRPr="00CF219D">
        <w:rPr>
          <w:rFonts w:ascii="Times New Roman" w:hAnsi="Times New Roman"/>
          <w:b/>
        </w:rPr>
        <w:t>9</w:t>
      </w:r>
      <w:r>
        <w:rPr>
          <w:rFonts w:ascii="Times New Roman" w:hAnsi="Times New Roman"/>
          <w:b/>
        </w:rPr>
        <w:t>.</w:t>
      </w:r>
      <w:r>
        <w:tab/>
      </w:r>
      <w:r>
        <w:rPr>
          <w:rFonts w:ascii="Times New Roman" w:hAnsi="Times New Roman"/>
          <w:b/>
        </w:rPr>
        <w:t xml:space="preserve">C </w:t>
      </w:r>
      <w:r w:rsidRPr="00CF219D">
        <w:rPr>
          <w:rFonts w:ascii="Times New Roman" w:hAnsi="Times New Roman"/>
          <w:b/>
        </w:rPr>
        <w:t>44</w:t>
      </w:r>
      <w:r>
        <w:rPr>
          <w:rFonts w:ascii="Times New Roman" w:hAnsi="Times New Roman"/>
          <w:b/>
        </w:rPr>
        <w:t>.</w:t>
      </w:r>
      <w:r w:rsidRPr="00CF219D">
        <w:rPr>
          <w:rFonts w:ascii="Times New Roman" w:hAnsi="Times New Roman"/>
          <w:b/>
        </w:rPr>
        <w:t>00</w:t>
      </w:r>
      <w:r>
        <w:rPr>
          <w:rFonts w:ascii="Times New Roman" w:hAnsi="Times New Roman"/>
          <w:b/>
        </w:rPr>
        <w:t xml:space="preserve"> — Algemene informatie</w:t>
      </w:r>
      <w:bookmarkEnd w:id="89"/>
      <w:bookmarkEnd w:id="90"/>
      <w:r>
        <w:rPr>
          <w:rFonts w:ascii="Times New Roman" w:hAnsi="Times New Roman"/>
          <w:b/>
        </w:rPr>
        <w:t xml:space="preserve"> (LR</w:t>
      </w:r>
      <w:r w:rsidRPr="00CF219D">
        <w:rPr>
          <w:rFonts w:ascii="Times New Roman" w:hAnsi="Times New Roman"/>
          <w:b/>
        </w:rPr>
        <w:t>5</w:t>
      </w:r>
      <w:r>
        <w:rPr>
          <w:rFonts w:ascii="Times New Roman" w:hAnsi="Times New Roman"/>
          <w:b/>
        </w:rPr>
        <w:t>)</w:t>
      </w:r>
      <w:bookmarkEnd w:id="91"/>
      <w:bookmarkEnd w:id="92"/>
    </w:p>
    <w:p w:rsidR="00675587" w:rsidRPr="00FE002E" w:rsidRDefault="00675587" w:rsidP="00675587">
      <w:pPr>
        <w:pStyle w:val="BodyText1"/>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CF219D">
        <w:rPr>
          <w:rFonts w:ascii="Times New Roman" w:hAnsi="Times New Roman"/>
        </w:rPr>
        <w:t>31</w:t>
      </w:r>
      <w:r>
        <w:rPr>
          <w:rFonts w:ascii="Times New Roman" w:hAnsi="Times New Roman"/>
        </w:rPr>
        <w:t>.</w:t>
      </w:r>
      <w:r>
        <w:tab/>
      </w:r>
      <w:r>
        <w:rPr>
          <w:rFonts w:ascii="Times New Roman" w:hAnsi="Times New Roman"/>
        </w:rPr>
        <w:t>Hier wordt aanvullende informatie verzameld ten behoeve van de classificatie van de werkzaamheden van de instelling en de door haar gemaakte keuzes met betrekking tot de regelgeving.</w:t>
      </w:r>
    </w:p>
    <w:p w:rsidR="00675587" w:rsidRPr="00FE002E" w:rsidRDefault="00675587" w:rsidP="00675587">
      <w:pPr>
        <w:pStyle w:val="BodyText1"/>
        <w:ind w:left="720"/>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Pr>
                <w:rFonts w:ascii="Times New Roman" w:hAnsi="Times New Roman"/>
                <w:b/>
              </w:rPr>
              <w:t xml:space="preserve">Rij </w:t>
            </w:r>
          </w:p>
          <w:p w:rsidR="00F4754B" w:rsidRPr="00FE002E" w:rsidRDefault="00F4754B" w:rsidP="00F4754B">
            <w:pPr>
              <w:pStyle w:val="BodyText1"/>
              <w:rPr>
                <w:rFonts w:ascii="Times New Roman" w:hAnsi="Times New Roman"/>
                <w:b/>
                <w:bCs/>
              </w:rPr>
            </w:pPr>
            <w:r>
              <w:rPr>
                <w:rFonts w:ascii="Times New Roman" w:hAnsi="Times New Roman"/>
                <w:b/>
              </w:rPr>
              <w:t>en kolom</w:t>
            </w:r>
          </w:p>
        </w:tc>
        <w:tc>
          <w:tcPr>
            <w:tcW w:w="7620" w:type="dxa"/>
            <w:shd w:val="clear" w:color="auto" w:fill="D9D9D9"/>
          </w:tcPr>
          <w:p w:rsidR="00F4754B" w:rsidRPr="00FE002E" w:rsidRDefault="00F4754B" w:rsidP="00F4754B">
            <w:pPr>
              <w:pStyle w:val="BodyText1"/>
              <w:rPr>
                <w:rFonts w:ascii="Times New Roman" w:hAnsi="Times New Roman"/>
                <w:b/>
                <w:bCs/>
              </w:rPr>
            </w:pPr>
            <w:r>
              <w:rPr>
                <w:rFonts w:ascii="Times New Roman" w:hAnsi="Times New Roman"/>
                <w:b/>
              </w:rPr>
              <w:t>Instructies</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w:t>
            </w:r>
            <w:r w:rsidRPr="00CF219D">
              <w:rPr>
                <w:rFonts w:ascii="Times New Roman" w:hAnsi="Times New Roman"/>
              </w:rPr>
              <w:t>010</w:t>
            </w:r>
            <w:r>
              <w:rPr>
                <w:rFonts w:ascii="Times New Roman" w:hAnsi="Times New Roman"/>
              </w:rPr>
              <w:t>;</w:t>
            </w:r>
            <w:r w:rsidRPr="00CF219D">
              <w:rPr>
                <w:rFonts w:ascii="Times New Roman" w:hAnsi="Times New Roman"/>
              </w:rPr>
              <w:t>010</w:t>
            </w:r>
            <w:r>
              <w:rPr>
                <w:rFonts w:ascii="Times New Roman" w:hAnsi="Times New Roman"/>
              </w:rPr>
              <w:t>}</w:t>
            </w:r>
          </w:p>
        </w:tc>
        <w:tc>
          <w:tcPr>
            <w:tcW w:w="7620" w:type="dxa"/>
          </w:tcPr>
          <w:p w:rsidR="00F4754B" w:rsidRPr="00FE002E" w:rsidRDefault="00F4754B" w:rsidP="002509B1">
            <w:pPr>
              <w:pStyle w:val="BodyText1"/>
              <w:spacing w:line="240" w:lineRule="auto"/>
              <w:rPr>
                <w:rFonts w:ascii="Times New Roman" w:hAnsi="Times New Roman"/>
                <w:b/>
                <w:bCs/>
              </w:rPr>
            </w:pPr>
            <w:r>
              <w:rPr>
                <w:rFonts w:ascii="Times New Roman" w:hAnsi="Times New Roman"/>
                <w:b/>
              </w:rPr>
              <w:t>Ondernemingsstructuur van de instelling</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Pr>
                <w:rFonts w:ascii="Times New Roman" w:hAnsi="Times New Roman"/>
              </w:rPr>
              <w:t>De instelling brengt haar ondernemingsstructuur onder in een van de onderstaande categorieën:</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vennootschap op aandelen;</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onderlinge maatschappij/coöperatie;</w:t>
            </w:r>
          </w:p>
          <w:p w:rsidR="00F4754B"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vennootschap die geen vennootschap op aandelen is.</w:t>
            </w:r>
          </w:p>
          <w:p w:rsidR="00BE6AC4" w:rsidRPr="00FE002E" w:rsidRDefault="00BE6AC4" w:rsidP="00BE6AC4">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A1A9C">
            <w:pPr>
              <w:pStyle w:val="BodyText1"/>
              <w:rPr>
                <w:rFonts w:ascii="Times New Roman" w:hAnsi="Times New Roman"/>
                <w:bCs/>
              </w:rPr>
            </w:pPr>
            <w:r>
              <w:rPr>
                <w:rFonts w:ascii="Times New Roman" w:hAnsi="Times New Roman"/>
              </w:rPr>
              <w:t>{</w:t>
            </w:r>
            <w:r w:rsidRPr="00CF219D">
              <w:rPr>
                <w:rFonts w:ascii="Times New Roman" w:hAnsi="Times New Roman"/>
              </w:rPr>
              <w:t>020</w:t>
            </w:r>
            <w:r>
              <w:rPr>
                <w:rFonts w:ascii="Times New Roman" w:hAnsi="Times New Roman"/>
              </w:rPr>
              <w:t>;</w:t>
            </w:r>
            <w:r w:rsidRPr="00CF219D">
              <w:rPr>
                <w:rFonts w:ascii="Times New Roman" w:hAnsi="Times New Roman"/>
              </w:rPr>
              <w:t>010</w:t>
            </w:r>
            <w:r>
              <w:rPr>
                <w:rFonts w:ascii="Times New Roman" w:hAnsi="Times New Roman"/>
              </w:rPr>
              <w:t>}</w:t>
            </w:r>
          </w:p>
        </w:tc>
        <w:tc>
          <w:tcPr>
            <w:tcW w:w="7620" w:type="dxa"/>
          </w:tcPr>
          <w:p w:rsidR="00F4754B" w:rsidRPr="00FE002E" w:rsidRDefault="00F4754B" w:rsidP="002509B1">
            <w:pPr>
              <w:pStyle w:val="BodyText1"/>
              <w:spacing w:line="240" w:lineRule="auto"/>
              <w:rPr>
                <w:rFonts w:ascii="Times New Roman" w:hAnsi="Times New Roman"/>
                <w:b/>
                <w:bCs/>
              </w:rPr>
            </w:pPr>
            <w:r>
              <w:rPr>
                <w:rFonts w:ascii="Times New Roman" w:hAnsi="Times New Roman"/>
                <w:b/>
              </w:rPr>
              <w:t>Behandeling van derivaten</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Pr>
                <w:rFonts w:ascii="Times New Roman" w:hAnsi="Times New Roman"/>
              </w:rPr>
              <w:t>De instelling geeft aan welke van de onderstaande methoden zij hanteert bij de behandeling van derivaten:</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oorspronkelijkeblootstellingsmethode;</w:t>
            </w:r>
          </w:p>
          <w:p w:rsidR="00F4754B"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op de waardering tegen marktwaarde gebaseerde methode.</w:t>
            </w:r>
          </w:p>
          <w:p w:rsidR="00BE6AC4" w:rsidRPr="00FE002E" w:rsidRDefault="00BE6AC4" w:rsidP="00BE6AC4">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A1A9C">
            <w:pPr>
              <w:pStyle w:val="BodyText1"/>
              <w:rPr>
                <w:rFonts w:ascii="Times New Roman" w:hAnsi="Times New Roman"/>
                <w:bCs/>
              </w:rPr>
            </w:pPr>
            <w:r>
              <w:rPr>
                <w:rFonts w:ascii="Times New Roman" w:hAnsi="Times New Roman"/>
              </w:rPr>
              <w:t>{</w:t>
            </w:r>
            <w:r w:rsidRPr="00CF219D">
              <w:rPr>
                <w:rFonts w:ascii="Times New Roman" w:hAnsi="Times New Roman"/>
              </w:rPr>
              <w:t>040</w:t>
            </w:r>
            <w:r>
              <w:rPr>
                <w:rFonts w:ascii="Times New Roman" w:hAnsi="Times New Roman"/>
              </w:rPr>
              <w:t>;</w:t>
            </w:r>
            <w:r w:rsidRPr="00CF219D">
              <w:rPr>
                <w:rFonts w:ascii="Times New Roman" w:hAnsi="Times New Roman"/>
              </w:rPr>
              <w:t>010</w:t>
            </w:r>
            <w:r>
              <w:rPr>
                <w:rFonts w:ascii="Times New Roman" w:hAnsi="Times New Roman"/>
              </w:rPr>
              <w:t>}</w:t>
            </w:r>
          </w:p>
        </w:tc>
        <w:tc>
          <w:tcPr>
            <w:tcW w:w="7620" w:type="dxa"/>
          </w:tcPr>
          <w:p w:rsidR="00F4754B" w:rsidRPr="00FE002E" w:rsidRDefault="00F4754B" w:rsidP="002509B1">
            <w:pPr>
              <w:pStyle w:val="BodyText1"/>
              <w:spacing w:line="240" w:lineRule="auto"/>
              <w:rPr>
                <w:rFonts w:ascii="Times New Roman" w:hAnsi="Times New Roman"/>
                <w:b/>
                <w:bCs/>
              </w:rPr>
            </w:pPr>
            <w:r>
              <w:rPr>
                <w:rFonts w:ascii="Times New Roman" w:hAnsi="Times New Roman"/>
                <w:b/>
              </w:rPr>
              <w:t>Instellingstype</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Pr>
                <w:rFonts w:ascii="Times New Roman" w:hAnsi="Times New Roman"/>
              </w:rPr>
              <w:t>De instelling brengt haar instellingstype onder in een van de onderstaande categorieën:</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universeel bankieren (bankieren ten behoeve van particulieren en kleine partijen en zakenbankieren);</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bankieren ten behoeve van particulieren en kleine partijen;</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zakenbankieren;</w:t>
            </w:r>
          </w:p>
          <w:p w:rsidR="00875832"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gespecialiseerd kredietverlener;</w:t>
            </w:r>
          </w:p>
          <w:p w:rsidR="00F4754B" w:rsidRDefault="00875832"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ander bedrijfsmodel.</w:t>
            </w:r>
          </w:p>
          <w:p w:rsidR="00BE6AC4" w:rsidRPr="00FE002E" w:rsidRDefault="00BE6AC4" w:rsidP="00BE6AC4">
            <w:pPr>
              <w:pStyle w:val="BodyText1"/>
              <w:spacing w:line="240" w:lineRule="auto"/>
              <w:rPr>
                <w:rFonts w:ascii="Times New Roman" w:hAnsi="Times New Roman"/>
                <w:bCs/>
              </w:rPr>
            </w:pPr>
          </w:p>
        </w:tc>
      </w:tr>
    </w:tbl>
    <w:p w:rsidR="00565261" w:rsidRPr="00C743F2" w:rsidRDefault="006D1C09" w:rsidP="008717E3">
      <w:pPr>
        <w:pStyle w:val="BodyText1"/>
        <w:ind w:left="567"/>
        <w:rPr>
          <w:rFonts w:ascii="Times New Roman" w:hAnsi="Times New Roman"/>
        </w:rPr>
      </w:pPr>
      <w:r>
        <w:rPr>
          <w:rFonts w:ascii="Times New Roman" w:hAnsi="Times New Roman"/>
          <w:sz w:val="24"/>
        </w:rPr>
        <w:t>"</w:t>
      </w:r>
    </w:p>
    <w:sectPr w:rsidR="00565261" w:rsidRPr="00C743F2" w:rsidSect="005315D3">
      <w:headerReference w:type="default" r:id="rId13"/>
      <w:footerReference w:type="default" r:id="rId14"/>
      <w:headerReference w:type="first" r:id="rId15"/>
      <w:footerReference w:type="first" r:id="rId16"/>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04D7" w:rsidRDefault="003104D7">
      <w:r>
        <w:separator/>
      </w:r>
    </w:p>
  </w:endnote>
  <w:endnote w:type="continuationSeparator" w:id="0">
    <w:p w:rsidR="003104D7" w:rsidRDefault="003104D7">
      <w:r>
        <w:continuationSeparator/>
      </w:r>
    </w:p>
  </w:endnote>
  <w:endnote w:type="continuationNotice" w:id="1">
    <w:p w:rsidR="003104D7" w:rsidRDefault="003104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EUAlbertina">
    <w:altName w:val="EU Albertina"/>
    <w:panose1 w:val="00000000000000000000"/>
    <w:charset w:val="CC"/>
    <w:family w:val="auto"/>
    <w:notTrueType/>
    <w:pitch w:val="default"/>
    <w:sig w:usb0="00000001" w:usb1="00000000" w:usb2="00000000" w:usb3="00000000" w:csb0="00000005"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4D7" w:rsidRPr="00A772B4" w:rsidRDefault="003104D7">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44</w:t>
    </w:r>
    <w:r w:rsidRPr="00A772B4">
      <w:rPr>
        <w:rFonts w:ascii="Times New Roman" w:hAnsi="Times New Roman"/>
      </w:rPr>
      <w:fldChar w:fldCharType="end"/>
    </w:r>
  </w:p>
  <w:p w:rsidR="003104D7" w:rsidRDefault="003104D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8305317"/>
      <w:docPartObj>
        <w:docPartGallery w:val="Page Numbers (Bottom of Page)"/>
        <w:docPartUnique/>
      </w:docPartObj>
    </w:sdtPr>
    <w:sdtEndPr>
      <w:rPr>
        <w:noProof/>
      </w:rPr>
    </w:sdtEndPr>
    <w:sdtContent>
      <w:p w:rsidR="003104D7" w:rsidRDefault="003104D7">
        <w:pPr>
          <w:pStyle w:val="Footer"/>
          <w:jc w:val="center"/>
        </w:pPr>
        <w:r>
          <w:fldChar w:fldCharType="begin"/>
        </w:r>
        <w:r>
          <w:instrText xml:space="preserve"> PAGE   \* MERGEFORMAT </w:instrText>
        </w:r>
        <w:r>
          <w:fldChar w:fldCharType="separate"/>
        </w:r>
        <w:r w:rsidR="00CF219D">
          <w:rPr>
            <w:noProof/>
          </w:rPr>
          <w:t>1</w:t>
        </w:r>
        <w:r>
          <w:rPr>
            <w:noProof/>
          </w:rPr>
          <w:fldChar w:fldCharType="end"/>
        </w:r>
      </w:p>
    </w:sdtContent>
  </w:sdt>
  <w:p w:rsidR="003104D7" w:rsidRDefault="003104D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0"/>
      </w:rPr>
      <w:id w:val="17201704"/>
      <w:docPartObj>
        <w:docPartGallery w:val="Page Numbers (Bottom of Page)"/>
        <w:docPartUnique/>
      </w:docPartObj>
    </w:sdtPr>
    <w:sdtContent>
      <w:p w:rsidR="003104D7" w:rsidRPr="009A78F0" w:rsidRDefault="003104D7"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CF219D">
          <w:rPr>
            <w:rFonts w:ascii="Times New Roman" w:hAnsi="Times New Roman"/>
            <w:noProof/>
            <w:sz w:val="20"/>
          </w:rPr>
          <w:t>3</w:t>
        </w:r>
        <w:r w:rsidRPr="009A78F0">
          <w:rPr>
            <w:rFonts w:ascii="Times New Roman" w:hAnsi="Times New Roman"/>
            <w:noProof/>
            <w:sz w:val="20"/>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01700"/>
      <w:docPartObj>
        <w:docPartGallery w:val="Page Numbers (Bottom of Page)"/>
        <w:docPartUnique/>
      </w:docPartObj>
    </w:sdtPr>
    <w:sdtContent>
      <w:p w:rsidR="003104D7" w:rsidRDefault="003104D7">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rsidR="003104D7" w:rsidRDefault="003104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04D7" w:rsidRPr="004D223F" w:rsidRDefault="003104D7" w:rsidP="00C7701D">
      <w:r>
        <w:continuationSeparator/>
      </w:r>
    </w:p>
  </w:footnote>
  <w:footnote w:type="continuationSeparator" w:id="0">
    <w:p w:rsidR="003104D7" w:rsidRDefault="003104D7">
      <w:r>
        <w:continuationSeparator/>
      </w:r>
    </w:p>
  </w:footnote>
  <w:footnote w:type="continuationNotice" w:id="1">
    <w:p w:rsidR="003104D7" w:rsidRDefault="003104D7"/>
  </w:footnote>
  <w:footnote w:id="2">
    <w:p w:rsidR="003104D7" w:rsidRPr="006575B8" w:rsidRDefault="003104D7" w:rsidP="00F4754B">
      <w:pPr>
        <w:pStyle w:val="FootnoteText"/>
        <w:rPr>
          <w:sz w:val="12"/>
          <w:szCs w:val="12"/>
        </w:rPr>
      </w:pPr>
      <w:bookmarkStart w:id="70" w:name="_GoBack"/>
      <w:bookmarkEnd w:id="70"/>
      <w:r>
        <w:rPr>
          <w:rStyle w:val="FootnoteReference"/>
        </w:rPr>
        <w:footnoteRef/>
      </w:r>
      <w:r>
        <w:t xml:space="preserve"> </w:t>
      </w:r>
      <w:r>
        <w:rPr>
          <w:sz w:val="12"/>
        </w:rPr>
        <w:t>Deze omvatten aan kredietrisico onderworpen securitisaties en blootstellingen in aandelen.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4D7" w:rsidRDefault="003104D7">
    <w:pPr>
      <w:pStyle w:val="Header"/>
    </w:pPr>
    <w:r>
      <w:rPr>
        <w:noProof/>
        <w:lang w:val="en-GB" w:eastAsia="en-GB" w:bidi="ar-SA"/>
      </w:rPr>
      <mc:AlternateContent>
        <mc:Choice Requires="wps">
          <w:drawing>
            <wp:anchor distT="4294967294" distB="4294967294" distL="114300" distR="114300" simplePos="0" relativeHeight="251688448" behindDoc="0" locked="0" layoutInCell="1" allowOverlap="1" wp14:anchorId="0D41E113" wp14:editId="33644602">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xmlns:o="urn:schemas-microsoft-com:office:office" xmlns:w14="http://schemas.microsoft.com/office/word/2010/wordml" xmlns:v="urn:schemas-microsoft-com:vml" w14:anchorId="4042D745" id="_x0000_t32" coordsize="21600,21600" o:spt="32" o:oned="t" path="m,l21600,21600e" filled="f">
              <v:path arrowok="t" fillok="f" o:connecttype="none"/>
              <o:lock v:ext="edit" shapetype="t"/>
            </v:shapetype>
            <v:shape xmlns:o="urn:schemas-microsoft-com:office:office" xmlns:v="urn:schemas-microsoft-com:vml"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4D7" w:rsidRDefault="003104D7">
    <w:pPr>
      <w:pStyle w:val="Header"/>
      <w:tabs>
        <w:tab w:val="clear" w:pos="8306"/>
        <w:tab w:val="right" w:pos="9072"/>
      </w:tabs>
      <w:jc w:val="right"/>
      <w:rPr>
        <w:noProof/>
      </w:rPr>
    </w:pPr>
    <w:r>
      <w:rPr>
        <w:noProof/>
        <w:lang w:val="en-GB" w:eastAsia="en-GB" w:bidi="ar-SA"/>
      </w:rPr>
      <mc:AlternateContent>
        <mc:Choice Requires="wps">
          <w:drawing>
            <wp:anchor distT="4294967294" distB="4294967294" distL="114300" distR="114300" simplePos="0" relativeHeight="251695616" behindDoc="1" locked="1" layoutInCell="0" allowOverlap="1" wp14:anchorId="28DE85BB" wp14:editId="7BBD29F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xmlns:o="urn:schemas-microsoft-com:office:office" xmlns:w14="http://schemas.microsoft.com/office/word/2010/wordml" xmlns:v="urn:schemas-microsoft-com:vml" w14:anchorId="28BB0DC1" id="_x0000_t32" coordsize="21600,21600" o:spt="32" o:oned="t" path="m,l21600,21600e" filled="f">
              <v:path arrowok="t" fillok="f" o:connecttype="none"/>
              <o:lock v:ext="edit" shapetype="t"/>
            </v:shapetype>
            <v:shape xmlns:o="urn:schemas-microsoft-com:office:office" xmlns:v="urn:schemas-microsoft-com:vml"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xmlns:w10="urn:schemas-microsoft-com:office:word" anchorx="page" anchory="page"/>
              <w10:anchorlock xmlns:w10="urn:schemas-microsoft-com:office:word"/>
            </v:shape>
          </w:pict>
        </mc:Fallback>
      </mc:AlternateContent>
    </w:r>
  </w:p>
  <w:p w:rsidR="003104D7" w:rsidRDefault="003104D7">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RIKSAS Gintaras (FISMA)">
    <w15:presenceInfo w15:providerId="None" w15:userId="GRIKSAS Gintaras (FISM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77825"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60AEF"/>
    <w:rsid w:val="00060D86"/>
    <w:rsid w:val="00061696"/>
    <w:rsid w:val="00061FBE"/>
    <w:rsid w:val="0006345F"/>
    <w:rsid w:val="0006469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A7BCD"/>
    <w:rsid w:val="000B108D"/>
    <w:rsid w:val="000B2DD8"/>
    <w:rsid w:val="000B5761"/>
    <w:rsid w:val="000B74A7"/>
    <w:rsid w:val="000C04BB"/>
    <w:rsid w:val="000C216B"/>
    <w:rsid w:val="000C3F11"/>
    <w:rsid w:val="000C6AAC"/>
    <w:rsid w:val="000D1636"/>
    <w:rsid w:val="000D1827"/>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1057"/>
    <w:rsid w:val="00132069"/>
    <w:rsid w:val="00132855"/>
    <w:rsid w:val="00132A0E"/>
    <w:rsid w:val="00141FF2"/>
    <w:rsid w:val="00142ED4"/>
    <w:rsid w:val="00143338"/>
    <w:rsid w:val="00146CA4"/>
    <w:rsid w:val="00151462"/>
    <w:rsid w:val="00151D33"/>
    <w:rsid w:val="00154FCE"/>
    <w:rsid w:val="001572C1"/>
    <w:rsid w:val="00162ABC"/>
    <w:rsid w:val="00164A3E"/>
    <w:rsid w:val="00166964"/>
    <w:rsid w:val="00166C41"/>
    <w:rsid w:val="00167041"/>
    <w:rsid w:val="00171C3F"/>
    <w:rsid w:val="00171C76"/>
    <w:rsid w:val="001721BF"/>
    <w:rsid w:val="00173FAA"/>
    <w:rsid w:val="0017558C"/>
    <w:rsid w:val="00175A51"/>
    <w:rsid w:val="00180521"/>
    <w:rsid w:val="001807E9"/>
    <w:rsid w:val="00180FB9"/>
    <w:rsid w:val="00181A8D"/>
    <w:rsid w:val="001849BA"/>
    <w:rsid w:val="00184D76"/>
    <w:rsid w:val="00186774"/>
    <w:rsid w:val="00187E4B"/>
    <w:rsid w:val="00193A99"/>
    <w:rsid w:val="00197F19"/>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4BA5"/>
    <w:rsid w:val="001E58D0"/>
    <w:rsid w:val="001E5F9C"/>
    <w:rsid w:val="001F0676"/>
    <w:rsid w:val="001F0ECD"/>
    <w:rsid w:val="001F28C3"/>
    <w:rsid w:val="001F28E7"/>
    <w:rsid w:val="001F3810"/>
    <w:rsid w:val="001F4281"/>
    <w:rsid w:val="001F7C68"/>
    <w:rsid w:val="001F7D7C"/>
    <w:rsid w:val="002143BB"/>
    <w:rsid w:val="00214915"/>
    <w:rsid w:val="002149E4"/>
    <w:rsid w:val="00214D62"/>
    <w:rsid w:val="002161E2"/>
    <w:rsid w:val="00217B44"/>
    <w:rsid w:val="00217D1F"/>
    <w:rsid w:val="0022597B"/>
    <w:rsid w:val="002262E5"/>
    <w:rsid w:val="002323A0"/>
    <w:rsid w:val="00233A74"/>
    <w:rsid w:val="00235FBA"/>
    <w:rsid w:val="0023791C"/>
    <w:rsid w:val="00237DD1"/>
    <w:rsid w:val="0024092A"/>
    <w:rsid w:val="0024434F"/>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6279"/>
    <w:rsid w:val="00291B93"/>
    <w:rsid w:val="00292FC3"/>
    <w:rsid w:val="0029415C"/>
    <w:rsid w:val="00294990"/>
    <w:rsid w:val="002A07A2"/>
    <w:rsid w:val="002B0879"/>
    <w:rsid w:val="002B34A4"/>
    <w:rsid w:val="002B3FF4"/>
    <w:rsid w:val="002C1F24"/>
    <w:rsid w:val="002C4B54"/>
    <w:rsid w:val="002C5729"/>
    <w:rsid w:val="002C5782"/>
    <w:rsid w:val="002C6479"/>
    <w:rsid w:val="002D2944"/>
    <w:rsid w:val="002E1083"/>
    <w:rsid w:val="002E3728"/>
    <w:rsid w:val="002E3FD6"/>
    <w:rsid w:val="002E6BDF"/>
    <w:rsid w:val="002E6BEF"/>
    <w:rsid w:val="002F2179"/>
    <w:rsid w:val="00300E22"/>
    <w:rsid w:val="0030136E"/>
    <w:rsid w:val="003027FE"/>
    <w:rsid w:val="00302FB6"/>
    <w:rsid w:val="003032DF"/>
    <w:rsid w:val="0030524E"/>
    <w:rsid w:val="003104D7"/>
    <w:rsid w:val="003113EE"/>
    <w:rsid w:val="00315160"/>
    <w:rsid w:val="00316050"/>
    <w:rsid w:val="003167BD"/>
    <w:rsid w:val="00316905"/>
    <w:rsid w:val="00317861"/>
    <w:rsid w:val="00321B6C"/>
    <w:rsid w:val="003231FC"/>
    <w:rsid w:val="00324840"/>
    <w:rsid w:val="003260D7"/>
    <w:rsid w:val="003264FC"/>
    <w:rsid w:val="003335A9"/>
    <w:rsid w:val="0033504B"/>
    <w:rsid w:val="003353A9"/>
    <w:rsid w:val="003355CE"/>
    <w:rsid w:val="003358B6"/>
    <w:rsid w:val="003371AF"/>
    <w:rsid w:val="003411F8"/>
    <w:rsid w:val="003418AD"/>
    <w:rsid w:val="0034348F"/>
    <w:rsid w:val="00345499"/>
    <w:rsid w:val="003475AF"/>
    <w:rsid w:val="00352D4B"/>
    <w:rsid w:val="0036007F"/>
    <w:rsid w:val="00360553"/>
    <w:rsid w:val="00361101"/>
    <w:rsid w:val="00373CFA"/>
    <w:rsid w:val="0037735D"/>
    <w:rsid w:val="00384D30"/>
    <w:rsid w:val="00385061"/>
    <w:rsid w:val="00386CDA"/>
    <w:rsid w:val="00387DC5"/>
    <w:rsid w:val="00390B7F"/>
    <w:rsid w:val="00391EF9"/>
    <w:rsid w:val="00392036"/>
    <w:rsid w:val="00393D7A"/>
    <w:rsid w:val="00394D11"/>
    <w:rsid w:val="00395FEB"/>
    <w:rsid w:val="003A3804"/>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6829"/>
    <w:rsid w:val="003C7E9B"/>
    <w:rsid w:val="003D0536"/>
    <w:rsid w:val="003D118F"/>
    <w:rsid w:val="003E12AE"/>
    <w:rsid w:val="003E1D33"/>
    <w:rsid w:val="003E23B1"/>
    <w:rsid w:val="003E4F6D"/>
    <w:rsid w:val="003F1BF6"/>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30CAC"/>
    <w:rsid w:val="00433529"/>
    <w:rsid w:val="00433957"/>
    <w:rsid w:val="00433E1A"/>
    <w:rsid w:val="00434439"/>
    <w:rsid w:val="00436233"/>
    <w:rsid w:val="004379F7"/>
    <w:rsid w:val="0044777F"/>
    <w:rsid w:val="0045378E"/>
    <w:rsid w:val="00453BD6"/>
    <w:rsid w:val="004573B6"/>
    <w:rsid w:val="00460502"/>
    <w:rsid w:val="004612B9"/>
    <w:rsid w:val="004618EC"/>
    <w:rsid w:val="00462168"/>
    <w:rsid w:val="0046231D"/>
    <w:rsid w:val="00463240"/>
    <w:rsid w:val="00465521"/>
    <w:rsid w:val="00467C7D"/>
    <w:rsid w:val="00467F98"/>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560"/>
    <w:rsid w:val="004C587B"/>
    <w:rsid w:val="004C6361"/>
    <w:rsid w:val="004D12DC"/>
    <w:rsid w:val="004D14B5"/>
    <w:rsid w:val="004D223F"/>
    <w:rsid w:val="004D2325"/>
    <w:rsid w:val="004D36F1"/>
    <w:rsid w:val="004D7C73"/>
    <w:rsid w:val="004E100C"/>
    <w:rsid w:val="004E437E"/>
    <w:rsid w:val="004F0C5D"/>
    <w:rsid w:val="004F39F5"/>
    <w:rsid w:val="004F4B70"/>
    <w:rsid w:val="00500508"/>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5D3"/>
    <w:rsid w:val="00531A77"/>
    <w:rsid w:val="0053335C"/>
    <w:rsid w:val="005334AA"/>
    <w:rsid w:val="00534FED"/>
    <w:rsid w:val="00540765"/>
    <w:rsid w:val="00542741"/>
    <w:rsid w:val="005441C9"/>
    <w:rsid w:val="00544664"/>
    <w:rsid w:val="00553B13"/>
    <w:rsid w:val="0055482B"/>
    <w:rsid w:val="005550ED"/>
    <w:rsid w:val="005556DC"/>
    <w:rsid w:val="00556C46"/>
    <w:rsid w:val="00557776"/>
    <w:rsid w:val="005637C9"/>
    <w:rsid w:val="00564147"/>
    <w:rsid w:val="00564469"/>
    <w:rsid w:val="00565261"/>
    <w:rsid w:val="005706FB"/>
    <w:rsid w:val="00572698"/>
    <w:rsid w:val="0057423E"/>
    <w:rsid w:val="00574827"/>
    <w:rsid w:val="0057624C"/>
    <w:rsid w:val="0057643F"/>
    <w:rsid w:val="00576B1D"/>
    <w:rsid w:val="00580256"/>
    <w:rsid w:val="00583DD0"/>
    <w:rsid w:val="00590FFA"/>
    <w:rsid w:val="00592197"/>
    <w:rsid w:val="0059457E"/>
    <w:rsid w:val="00595A81"/>
    <w:rsid w:val="005A0FE7"/>
    <w:rsid w:val="005A1569"/>
    <w:rsid w:val="005A23B9"/>
    <w:rsid w:val="005A28BE"/>
    <w:rsid w:val="005A5B50"/>
    <w:rsid w:val="005B1C10"/>
    <w:rsid w:val="005C09F7"/>
    <w:rsid w:val="005C1136"/>
    <w:rsid w:val="005C3639"/>
    <w:rsid w:val="005C5A30"/>
    <w:rsid w:val="005C5E78"/>
    <w:rsid w:val="005C6F27"/>
    <w:rsid w:val="005D0068"/>
    <w:rsid w:val="005D5E9E"/>
    <w:rsid w:val="005D7EDA"/>
    <w:rsid w:val="005E11D1"/>
    <w:rsid w:val="005E1C85"/>
    <w:rsid w:val="005E2F5D"/>
    <w:rsid w:val="005E5BB9"/>
    <w:rsid w:val="005E73EB"/>
    <w:rsid w:val="005F2987"/>
    <w:rsid w:val="005F3AC8"/>
    <w:rsid w:val="005F557E"/>
    <w:rsid w:val="005F704F"/>
    <w:rsid w:val="006033AB"/>
    <w:rsid w:val="00603F44"/>
    <w:rsid w:val="00603F66"/>
    <w:rsid w:val="00605108"/>
    <w:rsid w:val="0060766D"/>
    <w:rsid w:val="00607A1B"/>
    <w:rsid w:val="0061104D"/>
    <w:rsid w:val="0061109E"/>
    <w:rsid w:val="006162F0"/>
    <w:rsid w:val="006171B4"/>
    <w:rsid w:val="0062069D"/>
    <w:rsid w:val="00621B0F"/>
    <w:rsid w:val="00625DC4"/>
    <w:rsid w:val="0062777A"/>
    <w:rsid w:val="00627E07"/>
    <w:rsid w:val="00633D3F"/>
    <w:rsid w:val="00634086"/>
    <w:rsid w:val="00634337"/>
    <w:rsid w:val="00637945"/>
    <w:rsid w:val="0064027F"/>
    <w:rsid w:val="00642285"/>
    <w:rsid w:val="006423CC"/>
    <w:rsid w:val="006470A6"/>
    <w:rsid w:val="00650723"/>
    <w:rsid w:val="00652361"/>
    <w:rsid w:val="006537BB"/>
    <w:rsid w:val="00655C0D"/>
    <w:rsid w:val="006575B8"/>
    <w:rsid w:val="00657F8D"/>
    <w:rsid w:val="006604D8"/>
    <w:rsid w:val="00661667"/>
    <w:rsid w:val="006622A7"/>
    <w:rsid w:val="00664684"/>
    <w:rsid w:val="006646F1"/>
    <w:rsid w:val="00665BBB"/>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659"/>
    <w:rsid w:val="006C07C1"/>
    <w:rsid w:val="006C0C0A"/>
    <w:rsid w:val="006C1A7F"/>
    <w:rsid w:val="006C69BD"/>
    <w:rsid w:val="006D1BFE"/>
    <w:rsid w:val="006D1C09"/>
    <w:rsid w:val="006D3F98"/>
    <w:rsid w:val="006D7886"/>
    <w:rsid w:val="006D7B47"/>
    <w:rsid w:val="006E1E69"/>
    <w:rsid w:val="006E259E"/>
    <w:rsid w:val="006E2997"/>
    <w:rsid w:val="006E657C"/>
    <w:rsid w:val="006E7944"/>
    <w:rsid w:val="006F0266"/>
    <w:rsid w:val="006F112E"/>
    <w:rsid w:val="006F3775"/>
    <w:rsid w:val="006F4457"/>
    <w:rsid w:val="006F4788"/>
    <w:rsid w:val="006F63EA"/>
    <w:rsid w:val="006F6CC7"/>
    <w:rsid w:val="006F6EA7"/>
    <w:rsid w:val="006F7AAD"/>
    <w:rsid w:val="00700DA6"/>
    <w:rsid w:val="007022DC"/>
    <w:rsid w:val="0070279B"/>
    <w:rsid w:val="00703D5A"/>
    <w:rsid w:val="00706750"/>
    <w:rsid w:val="007100CC"/>
    <w:rsid w:val="007129B2"/>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473F"/>
    <w:rsid w:val="007449D7"/>
    <w:rsid w:val="00746D86"/>
    <w:rsid w:val="00750C66"/>
    <w:rsid w:val="00751DEF"/>
    <w:rsid w:val="00754D85"/>
    <w:rsid w:val="007611CF"/>
    <w:rsid w:val="007625FE"/>
    <w:rsid w:val="00765E8F"/>
    <w:rsid w:val="0077078C"/>
    <w:rsid w:val="0077269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4B43"/>
    <w:rsid w:val="007D6824"/>
    <w:rsid w:val="007E15B2"/>
    <w:rsid w:val="007E1F46"/>
    <w:rsid w:val="007E2A41"/>
    <w:rsid w:val="007E3631"/>
    <w:rsid w:val="007E52B2"/>
    <w:rsid w:val="007E64C7"/>
    <w:rsid w:val="007E65E8"/>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10EDB"/>
    <w:rsid w:val="00811D20"/>
    <w:rsid w:val="008153CE"/>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5372E"/>
    <w:rsid w:val="00854D51"/>
    <w:rsid w:val="008552F5"/>
    <w:rsid w:val="00855566"/>
    <w:rsid w:val="008646BB"/>
    <w:rsid w:val="0086471C"/>
    <w:rsid w:val="00865326"/>
    <w:rsid w:val="008717E3"/>
    <w:rsid w:val="008725D5"/>
    <w:rsid w:val="00873845"/>
    <w:rsid w:val="00875832"/>
    <w:rsid w:val="00877186"/>
    <w:rsid w:val="00882BCA"/>
    <w:rsid w:val="008838D5"/>
    <w:rsid w:val="00883C1E"/>
    <w:rsid w:val="00884D28"/>
    <w:rsid w:val="008934A4"/>
    <w:rsid w:val="008934D6"/>
    <w:rsid w:val="00897B7D"/>
    <w:rsid w:val="008A0524"/>
    <w:rsid w:val="008A6888"/>
    <w:rsid w:val="008B0457"/>
    <w:rsid w:val="008B54AB"/>
    <w:rsid w:val="008C2320"/>
    <w:rsid w:val="008C4E32"/>
    <w:rsid w:val="008C5950"/>
    <w:rsid w:val="008C5D3D"/>
    <w:rsid w:val="008C7B98"/>
    <w:rsid w:val="008D076A"/>
    <w:rsid w:val="008D5977"/>
    <w:rsid w:val="008D70E9"/>
    <w:rsid w:val="008E267D"/>
    <w:rsid w:val="008E57C0"/>
    <w:rsid w:val="008E5E14"/>
    <w:rsid w:val="008E5EFD"/>
    <w:rsid w:val="008E7068"/>
    <w:rsid w:val="008F4A14"/>
    <w:rsid w:val="008F54E7"/>
    <w:rsid w:val="008F5AFD"/>
    <w:rsid w:val="008F6658"/>
    <w:rsid w:val="008F79EC"/>
    <w:rsid w:val="00902868"/>
    <w:rsid w:val="0090360B"/>
    <w:rsid w:val="009112BB"/>
    <w:rsid w:val="00913141"/>
    <w:rsid w:val="009140DC"/>
    <w:rsid w:val="0091485A"/>
    <w:rsid w:val="00916C6C"/>
    <w:rsid w:val="009201F5"/>
    <w:rsid w:val="00920B86"/>
    <w:rsid w:val="00922F82"/>
    <w:rsid w:val="009235D8"/>
    <w:rsid w:val="00924DD1"/>
    <w:rsid w:val="009264ED"/>
    <w:rsid w:val="009310D6"/>
    <w:rsid w:val="00932CC4"/>
    <w:rsid w:val="009370D9"/>
    <w:rsid w:val="00943D4A"/>
    <w:rsid w:val="00943EEE"/>
    <w:rsid w:val="00945030"/>
    <w:rsid w:val="009479A1"/>
    <w:rsid w:val="0095041F"/>
    <w:rsid w:val="00950BE9"/>
    <w:rsid w:val="00952538"/>
    <w:rsid w:val="00955105"/>
    <w:rsid w:val="009564BF"/>
    <w:rsid w:val="009622D7"/>
    <w:rsid w:val="00962BDA"/>
    <w:rsid w:val="00967213"/>
    <w:rsid w:val="00970990"/>
    <w:rsid w:val="00970A0D"/>
    <w:rsid w:val="009751DA"/>
    <w:rsid w:val="00976466"/>
    <w:rsid w:val="00976643"/>
    <w:rsid w:val="009832C9"/>
    <w:rsid w:val="009837F5"/>
    <w:rsid w:val="00984DE4"/>
    <w:rsid w:val="009865E6"/>
    <w:rsid w:val="0099040F"/>
    <w:rsid w:val="0099406F"/>
    <w:rsid w:val="00994DCE"/>
    <w:rsid w:val="009958C0"/>
    <w:rsid w:val="009A1D61"/>
    <w:rsid w:val="009A298D"/>
    <w:rsid w:val="009A3377"/>
    <w:rsid w:val="009A78F0"/>
    <w:rsid w:val="009B2324"/>
    <w:rsid w:val="009B7D2C"/>
    <w:rsid w:val="009C086F"/>
    <w:rsid w:val="009C4D9B"/>
    <w:rsid w:val="009C4E79"/>
    <w:rsid w:val="009D1E48"/>
    <w:rsid w:val="009D7791"/>
    <w:rsid w:val="009E077F"/>
    <w:rsid w:val="009E3A9F"/>
    <w:rsid w:val="009E6F32"/>
    <w:rsid w:val="009F40E2"/>
    <w:rsid w:val="009F54CD"/>
    <w:rsid w:val="00A007CB"/>
    <w:rsid w:val="00A04558"/>
    <w:rsid w:val="00A057A8"/>
    <w:rsid w:val="00A05B9C"/>
    <w:rsid w:val="00A12EA5"/>
    <w:rsid w:val="00A13791"/>
    <w:rsid w:val="00A13F81"/>
    <w:rsid w:val="00A141DB"/>
    <w:rsid w:val="00A14C6C"/>
    <w:rsid w:val="00A15D28"/>
    <w:rsid w:val="00A177F0"/>
    <w:rsid w:val="00A2267A"/>
    <w:rsid w:val="00A276D6"/>
    <w:rsid w:val="00A30899"/>
    <w:rsid w:val="00A32213"/>
    <w:rsid w:val="00A332EF"/>
    <w:rsid w:val="00A340C7"/>
    <w:rsid w:val="00A352C2"/>
    <w:rsid w:val="00A36A43"/>
    <w:rsid w:val="00A40786"/>
    <w:rsid w:val="00A442D0"/>
    <w:rsid w:val="00A446E2"/>
    <w:rsid w:val="00A45762"/>
    <w:rsid w:val="00A45B87"/>
    <w:rsid w:val="00A46F6B"/>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424D"/>
    <w:rsid w:val="00AE70B4"/>
    <w:rsid w:val="00AF007D"/>
    <w:rsid w:val="00AF11F1"/>
    <w:rsid w:val="00AF6C6D"/>
    <w:rsid w:val="00AF70A5"/>
    <w:rsid w:val="00AF7A0B"/>
    <w:rsid w:val="00B011A0"/>
    <w:rsid w:val="00B02080"/>
    <w:rsid w:val="00B04987"/>
    <w:rsid w:val="00B07F02"/>
    <w:rsid w:val="00B14A33"/>
    <w:rsid w:val="00B14E1C"/>
    <w:rsid w:val="00B16CF0"/>
    <w:rsid w:val="00B25881"/>
    <w:rsid w:val="00B266E8"/>
    <w:rsid w:val="00B33C3B"/>
    <w:rsid w:val="00B33D65"/>
    <w:rsid w:val="00B34328"/>
    <w:rsid w:val="00B36FA6"/>
    <w:rsid w:val="00B416F0"/>
    <w:rsid w:val="00B41FD3"/>
    <w:rsid w:val="00B43466"/>
    <w:rsid w:val="00B572B5"/>
    <w:rsid w:val="00B60E64"/>
    <w:rsid w:val="00B617F9"/>
    <w:rsid w:val="00B64C27"/>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B7DB0"/>
    <w:rsid w:val="00BC107F"/>
    <w:rsid w:val="00BC1513"/>
    <w:rsid w:val="00BC2711"/>
    <w:rsid w:val="00BC49E8"/>
    <w:rsid w:val="00BD1CFF"/>
    <w:rsid w:val="00BD24F1"/>
    <w:rsid w:val="00BD608A"/>
    <w:rsid w:val="00BD793A"/>
    <w:rsid w:val="00BD7A36"/>
    <w:rsid w:val="00BE6AC4"/>
    <w:rsid w:val="00BE6E00"/>
    <w:rsid w:val="00BF0C32"/>
    <w:rsid w:val="00BF230D"/>
    <w:rsid w:val="00BF2CB9"/>
    <w:rsid w:val="00BF30BD"/>
    <w:rsid w:val="00BF5AE5"/>
    <w:rsid w:val="00BF6F73"/>
    <w:rsid w:val="00C03080"/>
    <w:rsid w:val="00C0429A"/>
    <w:rsid w:val="00C048A0"/>
    <w:rsid w:val="00C04E9D"/>
    <w:rsid w:val="00C0500B"/>
    <w:rsid w:val="00C06D24"/>
    <w:rsid w:val="00C07EA0"/>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4497"/>
    <w:rsid w:val="00C51C1B"/>
    <w:rsid w:val="00C53D72"/>
    <w:rsid w:val="00C54069"/>
    <w:rsid w:val="00C57A31"/>
    <w:rsid w:val="00C60D60"/>
    <w:rsid w:val="00C613F3"/>
    <w:rsid w:val="00C61779"/>
    <w:rsid w:val="00C62E9A"/>
    <w:rsid w:val="00C700A2"/>
    <w:rsid w:val="00C702BB"/>
    <w:rsid w:val="00C71C58"/>
    <w:rsid w:val="00C7343B"/>
    <w:rsid w:val="00C743F2"/>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A32"/>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594E"/>
    <w:rsid w:val="00CF219D"/>
    <w:rsid w:val="00CF306A"/>
    <w:rsid w:val="00CF3C75"/>
    <w:rsid w:val="00CF4BD1"/>
    <w:rsid w:val="00CF66B5"/>
    <w:rsid w:val="00D00B5A"/>
    <w:rsid w:val="00D01084"/>
    <w:rsid w:val="00D01712"/>
    <w:rsid w:val="00D06A7C"/>
    <w:rsid w:val="00D07F77"/>
    <w:rsid w:val="00D121CF"/>
    <w:rsid w:val="00D12AD3"/>
    <w:rsid w:val="00D12DAF"/>
    <w:rsid w:val="00D1314A"/>
    <w:rsid w:val="00D15CF3"/>
    <w:rsid w:val="00D162AB"/>
    <w:rsid w:val="00D2098D"/>
    <w:rsid w:val="00D23044"/>
    <w:rsid w:val="00D23658"/>
    <w:rsid w:val="00D25AB2"/>
    <w:rsid w:val="00D26C77"/>
    <w:rsid w:val="00D27261"/>
    <w:rsid w:val="00D27375"/>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607E"/>
    <w:rsid w:val="00D66A5D"/>
    <w:rsid w:val="00D700FC"/>
    <w:rsid w:val="00D70263"/>
    <w:rsid w:val="00D8468F"/>
    <w:rsid w:val="00D84B96"/>
    <w:rsid w:val="00D85101"/>
    <w:rsid w:val="00D85B72"/>
    <w:rsid w:val="00D86A70"/>
    <w:rsid w:val="00D878CB"/>
    <w:rsid w:val="00D87F26"/>
    <w:rsid w:val="00D905E0"/>
    <w:rsid w:val="00D91BC3"/>
    <w:rsid w:val="00D94D86"/>
    <w:rsid w:val="00D97C06"/>
    <w:rsid w:val="00DA2D19"/>
    <w:rsid w:val="00DA48CE"/>
    <w:rsid w:val="00DB01EC"/>
    <w:rsid w:val="00DB033A"/>
    <w:rsid w:val="00DB38A5"/>
    <w:rsid w:val="00DB61A5"/>
    <w:rsid w:val="00DB7DDB"/>
    <w:rsid w:val="00DC235A"/>
    <w:rsid w:val="00DC2C28"/>
    <w:rsid w:val="00DC423C"/>
    <w:rsid w:val="00DD0B71"/>
    <w:rsid w:val="00DD0B97"/>
    <w:rsid w:val="00DD6D69"/>
    <w:rsid w:val="00DE0D29"/>
    <w:rsid w:val="00DE0F90"/>
    <w:rsid w:val="00DE182E"/>
    <w:rsid w:val="00DE1CC9"/>
    <w:rsid w:val="00DE1EB5"/>
    <w:rsid w:val="00DE3017"/>
    <w:rsid w:val="00DE3B51"/>
    <w:rsid w:val="00DE4426"/>
    <w:rsid w:val="00DE522A"/>
    <w:rsid w:val="00DE586C"/>
    <w:rsid w:val="00DE60C3"/>
    <w:rsid w:val="00DE64B2"/>
    <w:rsid w:val="00DE7D0C"/>
    <w:rsid w:val="00DF0DF3"/>
    <w:rsid w:val="00DF20D1"/>
    <w:rsid w:val="00DF379D"/>
    <w:rsid w:val="00DF58DD"/>
    <w:rsid w:val="00DF5A86"/>
    <w:rsid w:val="00DF6990"/>
    <w:rsid w:val="00DF7A39"/>
    <w:rsid w:val="00E01821"/>
    <w:rsid w:val="00E03538"/>
    <w:rsid w:val="00E03C20"/>
    <w:rsid w:val="00E0409F"/>
    <w:rsid w:val="00E04821"/>
    <w:rsid w:val="00E052C6"/>
    <w:rsid w:val="00E10A87"/>
    <w:rsid w:val="00E153DB"/>
    <w:rsid w:val="00E227A1"/>
    <w:rsid w:val="00E22856"/>
    <w:rsid w:val="00E234C7"/>
    <w:rsid w:val="00E24E43"/>
    <w:rsid w:val="00E31D0D"/>
    <w:rsid w:val="00E32E4A"/>
    <w:rsid w:val="00E3420D"/>
    <w:rsid w:val="00E34F87"/>
    <w:rsid w:val="00E41CDC"/>
    <w:rsid w:val="00E43085"/>
    <w:rsid w:val="00E44ED7"/>
    <w:rsid w:val="00E45650"/>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91D94"/>
    <w:rsid w:val="00E940DF"/>
    <w:rsid w:val="00E94154"/>
    <w:rsid w:val="00EA2EE1"/>
    <w:rsid w:val="00EA3F88"/>
    <w:rsid w:val="00EA630C"/>
    <w:rsid w:val="00EA6568"/>
    <w:rsid w:val="00EB0C28"/>
    <w:rsid w:val="00EB6A20"/>
    <w:rsid w:val="00EB7F64"/>
    <w:rsid w:val="00EC2827"/>
    <w:rsid w:val="00EC2C14"/>
    <w:rsid w:val="00EC4D93"/>
    <w:rsid w:val="00EC4E6F"/>
    <w:rsid w:val="00EC6544"/>
    <w:rsid w:val="00ED09F6"/>
    <w:rsid w:val="00ED1F3E"/>
    <w:rsid w:val="00ED6FE2"/>
    <w:rsid w:val="00ED7412"/>
    <w:rsid w:val="00ED76D2"/>
    <w:rsid w:val="00EE00B8"/>
    <w:rsid w:val="00EE6CA0"/>
    <w:rsid w:val="00EE771E"/>
    <w:rsid w:val="00EF2098"/>
    <w:rsid w:val="00EF7B4B"/>
    <w:rsid w:val="00F0756A"/>
    <w:rsid w:val="00F124B4"/>
    <w:rsid w:val="00F1460A"/>
    <w:rsid w:val="00F1797F"/>
    <w:rsid w:val="00F21015"/>
    <w:rsid w:val="00F2347A"/>
    <w:rsid w:val="00F2424E"/>
    <w:rsid w:val="00F25D8A"/>
    <w:rsid w:val="00F27448"/>
    <w:rsid w:val="00F350C0"/>
    <w:rsid w:val="00F35FA2"/>
    <w:rsid w:val="00F36D5B"/>
    <w:rsid w:val="00F413E1"/>
    <w:rsid w:val="00F45CD9"/>
    <w:rsid w:val="00F46A1B"/>
    <w:rsid w:val="00F4754B"/>
    <w:rsid w:val="00F50AD6"/>
    <w:rsid w:val="00F57807"/>
    <w:rsid w:val="00F624B0"/>
    <w:rsid w:val="00F62568"/>
    <w:rsid w:val="00F67941"/>
    <w:rsid w:val="00F67A47"/>
    <w:rsid w:val="00F70A83"/>
    <w:rsid w:val="00F71081"/>
    <w:rsid w:val="00F71479"/>
    <w:rsid w:val="00F82D6D"/>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5C02"/>
    <w:rsid w:val="00FE002E"/>
    <w:rsid w:val="00FE04FF"/>
    <w:rsid w:val="00FE0FF1"/>
    <w:rsid w:val="00FE476F"/>
    <w:rsid w:val="00FF01D7"/>
    <w:rsid w:val="00FF2091"/>
    <w:rsid w:val="00FF27C2"/>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fill="f" fillcolor="white" stroke="f">
      <v:fill color="white" on="f"/>
      <v:stroke on="f"/>
      <v:textbox inset="0,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nl-N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semiHidden="0" w:uiPriority="10" w:unhideWhenUsed="0" w:qFormat="1"/>
    <w:lsdException w:name="Default Paragraph Font" w:uiPriority="1"/>
    <w:lsdException w:name="Body Text" w:uiPriority="0"/>
    <w:lsdException w:name="Subtitle" w:uiPriority="11"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nl-NL"/>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nl-NL"/>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nl-NL"/>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nl-NL"/>
    </w:rPr>
  </w:style>
  <w:style w:type="character" w:customStyle="1" w:styleId="Heading6Char">
    <w:name w:val="Heading 6 Char"/>
    <w:basedOn w:val="DefaultParagraphFont"/>
    <w:link w:val="Heading6"/>
    <w:rsid w:val="00F4754B"/>
    <w:rPr>
      <w:b/>
      <w:bCs/>
      <w:szCs w:val="22"/>
      <w:lang w:eastAsia="nl-NL"/>
    </w:rPr>
  </w:style>
  <w:style w:type="character" w:customStyle="1" w:styleId="Heading7Char">
    <w:name w:val="Heading 7 Char"/>
    <w:basedOn w:val="DefaultParagraphFont"/>
    <w:link w:val="Heading7"/>
    <w:rsid w:val="00F4754B"/>
    <w:rPr>
      <w:sz w:val="24"/>
      <w:szCs w:val="24"/>
      <w:lang w:eastAsia="nl-NL"/>
    </w:rPr>
  </w:style>
  <w:style w:type="character" w:customStyle="1" w:styleId="Heading8Char">
    <w:name w:val="Heading 8 Char"/>
    <w:basedOn w:val="DefaultParagraphFont"/>
    <w:link w:val="Heading8"/>
    <w:rsid w:val="00F4754B"/>
    <w:rPr>
      <w:i/>
      <w:iCs/>
      <w:sz w:val="24"/>
      <w:szCs w:val="24"/>
      <w:lang w:eastAsia="nl-NL"/>
    </w:rPr>
  </w:style>
  <w:style w:type="character" w:customStyle="1" w:styleId="Heading9Char">
    <w:name w:val="Heading 9 Char"/>
    <w:basedOn w:val="DefaultParagraphFont"/>
    <w:link w:val="Heading9"/>
    <w:rsid w:val="00F4754B"/>
    <w:rPr>
      <w:rFonts w:ascii="Verdana" w:hAnsi="Verdana" w:cs="Arial"/>
      <w:szCs w:val="22"/>
      <w:lang w:eastAsia="nl-NL"/>
    </w:rPr>
  </w:style>
  <w:style w:type="character" w:customStyle="1" w:styleId="Heading1Char">
    <w:name w:val="Heading 1 Char"/>
    <w:basedOn w:val="DefaultParagraphFont"/>
    <w:link w:val="Heading1"/>
    <w:rsid w:val="00F4754B"/>
    <w:rPr>
      <w:rFonts w:ascii="Arial" w:hAnsi="Arial"/>
      <w:color w:val="48748F" w:themeColor="accent1"/>
      <w:sz w:val="36"/>
      <w:lang w:eastAsia="nl-NL"/>
    </w:rPr>
  </w:style>
  <w:style w:type="character" w:customStyle="1" w:styleId="Heading2Char">
    <w:name w:val="Heading 2 Char"/>
    <w:basedOn w:val="DefaultParagraphFont"/>
    <w:link w:val="Heading2"/>
    <w:rsid w:val="00F4754B"/>
    <w:rPr>
      <w:rFonts w:ascii="Arial" w:hAnsi="Arial"/>
      <w:color w:val="48748F" w:themeColor="accent1"/>
      <w:sz w:val="24"/>
      <w:lang w:eastAsia="nl-NL"/>
    </w:rPr>
  </w:style>
  <w:style w:type="character" w:customStyle="1" w:styleId="Heading3Char">
    <w:name w:val="Heading 3 Char"/>
    <w:basedOn w:val="DefaultParagraphFont"/>
    <w:link w:val="Heading3"/>
    <w:rsid w:val="00F4754B"/>
    <w:rPr>
      <w:rFonts w:ascii="Arial" w:hAnsi="Arial"/>
      <w:b/>
      <w:color w:val="48748F" w:themeColor="accent1"/>
      <w:szCs w:val="22"/>
      <w:lang w:eastAsia="nl-NL"/>
    </w:rPr>
  </w:style>
  <w:style w:type="character" w:customStyle="1" w:styleId="Heading4Char">
    <w:name w:val="Heading 4 Char"/>
    <w:basedOn w:val="DefaultParagraphFont"/>
    <w:link w:val="Heading4"/>
    <w:rsid w:val="00F4754B"/>
    <w:rPr>
      <w:rFonts w:ascii="Arial" w:hAnsi="Arial"/>
      <w:color w:val="48748F" w:themeColor="accent1"/>
      <w:lang w:eastAsia="nl-NL"/>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nl-NL"/>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nl-NL"/>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nl-NL"/>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nl-NL"/>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nl-NL"/>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nl-NL"/>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nl-NL"/>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nl-NL"/>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nl-NL"/>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rPr>
  </w:style>
  <w:style w:type="character" w:customStyle="1" w:styleId="PlainTextChar">
    <w:name w:val="Plain Text Char"/>
    <w:basedOn w:val="DefaultParagraphFont"/>
    <w:link w:val="PlainText"/>
    <w:uiPriority w:val="99"/>
    <w:rsid w:val="00F4754B"/>
    <w:rPr>
      <w:rFonts w:ascii="Verdana" w:hAnsi="Verdana"/>
      <w:lang w:val="nl-NL" w:eastAsia="nl-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nl-NL"/>
    </w:rPr>
  </w:style>
  <w:style w:type="paragraph" w:customStyle="1" w:styleId="Revision1">
    <w:name w:val="Revision1"/>
    <w:hidden/>
    <w:uiPriority w:val="99"/>
    <w:semiHidden/>
    <w:rsid w:val="00F4754B"/>
    <w:rPr>
      <w:rFonts w:ascii="Verdana" w:hAnsi="Verdana"/>
      <w:szCs w:val="24"/>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nl-NL" w:eastAsia="nl-NL" w:bidi="nl-NL"/>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nl-NL"/>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rPr>
  </w:style>
  <w:style w:type="character" w:customStyle="1" w:styleId="TitrearticleChar">
    <w:name w:val="Titre article Char"/>
    <w:basedOn w:val="DefaultParagraphFont"/>
    <w:link w:val="Titrearticle"/>
    <w:rsid w:val="00F4754B"/>
    <w:rPr>
      <w:i/>
      <w:sz w:val="24"/>
      <w:szCs w:val="24"/>
      <w:lang w:eastAsia="nl-NL"/>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nl-NL"/>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nl-NL"/>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nl-NL"/>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nl-NL" w:eastAsia="nl-NL"/>
    </w:rPr>
  </w:style>
  <w:style w:type="paragraph" w:styleId="TOCHeading">
    <w:name w:val="TOC Heading"/>
    <w:basedOn w:val="Heading1"/>
    <w:next w:val="Normal"/>
    <w:uiPriority w:val="39"/>
    <w:unhideWhenUsed/>
    <w:qFormat/>
    <w:rsid w:val="006575B8"/>
    <w:pPr>
      <w:keepNext/>
      <w:keepLines/>
      <w:spacing w:before="480" w:after="0" w:line="276" w:lineRule="auto"/>
      <w:outlineLvl w:val="9"/>
    </w:pPr>
    <w:rPr>
      <w:rFonts w:asciiTheme="majorHAnsi" w:eastAsiaTheme="majorEastAsia" w:hAnsiTheme="majorHAnsi" w:cstheme="majorBidi"/>
      <w:b/>
      <w:bCs/>
      <w:color w:val="36566B" w:themeColor="accent1" w:themeShade="BF"/>
      <w:sz w:val="28"/>
      <w:szCs w:val="28"/>
      <w:lang w:val="en-US" w:eastAsia="ja-JP"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nl-N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semiHidden="0" w:uiPriority="10" w:unhideWhenUsed="0" w:qFormat="1"/>
    <w:lsdException w:name="Default Paragraph Font" w:uiPriority="1"/>
    <w:lsdException w:name="Body Text" w:uiPriority="0"/>
    <w:lsdException w:name="Subtitle" w:uiPriority="11"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nl-NL"/>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nl-NL"/>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nl-NL"/>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nl-NL"/>
    </w:rPr>
  </w:style>
  <w:style w:type="character" w:customStyle="1" w:styleId="Heading6Char">
    <w:name w:val="Heading 6 Char"/>
    <w:basedOn w:val="DefaultParagraphFont"/>
    <w:link w:val="Heading6"/>
    <w:rsid w:val="00F4754B"/>
    <w:rPr>
      <w:b/>
      <w:bCs/>
      <w:szCs w:val="22"/>
      <w:lang w:eastAsia="nl-NL"/>
    </w:rPr>
  </w:style>
  <w:style w:type="character" w:customStyle="1" w:styleId="Heading7Char">
    <w:name w:val="Heading 7 Char"/>
    <w:basedOn w:val="DefaultParagraphFont"/>
    <w:link w:val="Heading7"/>
    <w:rsid w:val="00F4754B"/>
    <w:rPr>
      <w:sz w:val="24"/>
      <w:szCs w:val="24"/>
      <w:lang w:eastAsia="nl-NL"/>
    </w:rPr>
  </w:style>
  <w:style w:type="character" w:customStyle="1" w:styleId="Heading8Char">
    <w:name w:val="Heading 8 Char"/>
    <w:basedOn w:val="DefaultParagraphFont"/>
    <w:link w:val="Heading8"/>
    <w:rsid w:val="00F4754B"/>
    <w:rPr>
      <w:i/>
      <w:iCs/>
      <w:sz w:val="24"/>
      <w:szCs w:val="24"/>
      <w:lang w:eastAsia="nl-NL"/>
    </w:rPr>
  </w:style>
  <w:style w:type="character" w:customStyle="1" w:styleId="Heading9Char">
    <w:name w:val="Heading 9 Char"/>
    <w:basedOn w:val="DefaultParagraphFont"/>
    <w:link w:val="Heading9"/>
    <w:rsid w:val="00F4754B"/>
    <w:rPr>
      <w:rFonts w:ascii="Verdana" w:hAnsi="Verdana" w:cs="Arial"/>
      <w:szCs w:val="22"/>
      <w:lang w:eastAsia="nl-NL"/>
    </w:rPr>
  </w:style>
  <w:style w:type="character" w:customStyle="1" w:styleId="Heading1Char">
    <w:name w:val="Heading 1 Char"/>
    <w:basedOn w:val="DefaultParagraphFont"/>
    <w:link w:val="Heading1"/>
    <w:rsid w:val="00F4754B"/>
    <w:rPr>
      <w:rFonts w:ascii="Arial" w:hAnsi="Arial"/>
      <w:color w:val="48748F" w:themeColor="accent1"/>
      <w:sz w:val="36"/>
      <w:lang w:eastAsia="nl-NL"/>
    </w:rPr>
  </w:style>
  <w:style w:type="character" w:customStyle="1" w:styleId="Heading2Char">
    <w:name w:val="Heading 2 Char"/>
    <w:basedOn w:val="DefaultParagraphFont"/>
    <w:link w:val="Heading2"/>
    <w:rsid w:val="00F4754B"/>
    <w:rPr>
      <w:rFonts w:ascii="Arial" w:hAnsi="Arial"/>
      <w:color w:val="48748F" w:themeColor="accent1"/>
      <w:sz w:val="24"/>
      <w:lang w:eastAsia="nl-NL"/>
    </w:rPr>
  </w:style>
  <w:style w:type="character" w:customStyle="1" w:styleId="Heading3Char">
    <w:name w:val="Heading 3 Char"/>
    <w:basedOn w:val="DefaultParagraphFont"/>
    <w:link w:val="Heading3"/>
    <w:rsid w:val="00F4754B"/>
    <w:rPr>
      <w:rFonts w:ascii="Arial" w:hAnsi="Arial"/>
      <w:b/>
      <w:color w:val="48748F" w:themeColor="accent1"/>
      <w:szCs w:val="22"/>
      <w:lang w:eastAsia="nl-NL"/>
    </w:rPr>
  </w:style>
  <w:style w:type="character" w:customStyle="1" w:styleId="Heading4Char">
    <w:name w:val="Heading 4 Char"/>
    <w:basedOn w:val="DefaultParagraphFont"/>
    <w:link w:val="Heading4"/>
    <w:rsid w:val="00F4754B"/>
    <w:rPr>
      <w:rFonts w:ascii="Arial" w:hAnsi="Arial"/>
      <w:color w:val="48748F" w:themeColor="accent1"/>
      <w:lang w:eastAsia="nl-NL"/>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nl-NL"/>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nl-NL"/>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nl-NL"/>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nl-NL"/>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nl-NL"/>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nl-NL"/>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nl-NL"/>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nl-NL"/>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nl-NL"/>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rPr>
  </w:style>
  <w:style w:type="character" w:customStyle="1" w:styleId="PlainTextChar">
    <w:name w:val="Plain Text Char"/>
    <w:basedOn w:val="DefaultParagraphFont"/>
    <w:link w:val="PlainText"/>
    <w:uiPriority w:val="99"/>
    <w:rsid w:val="00F4754B"/>
    <w:rPr>
      <w:rFonts w:ascii="Verdana" w:hAnsi="Verdana"/>
      <w:lang w:val="nl-NL" w:eastAsia="nl-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nl-NL"/>
    </w:rPr>
  </w:style>
  <w:style w:type="paragraph" w:customStyle="1" w:styleId="Revision1">
    <w:name w:val="Revision1"/>
    <w:hidden/>
    <w:uiPriority w:val="99"/>
    <w:semiHidden/>
    <w:rsid w:val="00F4754B"/>
    <w:rPr>
      <w:rFonts w:ascii="Verdana" w:hAnsi="Verdana"/>
      <w:szCs w:val="24"/>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nl-NL" w:eastAsia="nl-NL" w:bidi="nl-NL"/>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nl-NL"/>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rPr>
  </w:style>
  <w:style w:type="character" w:customStyle="1" w:styleId="TitrearticleChar">
    <w:name w:val="Titre article Char"/>
    <w:basedOn w:val="DefaultParagraphFont"/>
    <w:link w:val="Titrearticle"/>
    <w:rsid w:val="00F4754B"/>
    <w:rPr>
      <w:i/>
      <w:sz w:val="24"/>
      <w:szCs w:val="24"/>
      <w:lang w:eastAsia="nl-NL"/>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nl-NL"/>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nl-NL"/>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nl-NL"/>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nl-NL" w:eastAsia="nl-NL"/>
    </w:rPr>
  </w:style>
  <w:style w:type="paragraph" w:styleId="TOCHeading">
    <w:name w:val="TOC Heading"/>
    <w:basedOn w:val="Heading1"/>
    <w:next w:val="Normal"/>
    <w:uiPriority w:val="39"/>
    <w:unhideWhenUsed/>
    <w:qFormat/>
    <w:rsid w:val="006575B8"/>
    <w:pPr>
      <w:keepNext/>
      <w:keepLines/>
      <w:spacing w:before="480" w:after="0" w:line="276" w:lineRule="auto"/>
      <w:outlineLvl w:val="9"/>
    </w:pPr>
    <w:rPr>
      <w:rFonts w:asciiTheme="majorHAnsi" w:eastAsiaTheme="majorEastAsia" w:hAnsiTheme="majorHAnsi" w:cstheme="majorBidi"/>
      <w:b/>
      <w:bCs/>
      <w:color w:val="36566B" w:themeColor="accent1" w:themeShade="BF"/>
      <w:sz w:val="28"/>
      <w:szCs w:val="28"/>
      <w:lang w:val="en-US"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20" Type="http://schemas.microsoft.com/office/2011/relationships/people" Target="peop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B13CA1-0FC3-4FD5-A0BA-60BB1CE04AF1}">
  <ds:schemaRefs>
    <ds:schemaRef ds:uri="http://schemas.openxmlformats.org/officeDocument/2006/bibliography"/>
  </ds:schemaRefs>
</ds:datastoreItem>
</file>

<file path=customXml/itemProps2.xml><?xml version="1.0" encoding="utf-8"?>
<ds:datastoreItem xmlns:ds="http://schemas.openxmlformats.org/officeDocument/2006/customXml" ds:itemID="{AAC8312D-830B-4AC8-8E72-FE7555541CB1}">
  <ds:schemaRefs>
    <ds:schemaRef ds:uri="http://schemas.openxmlformats.org/officeDocument/2006/bibliography"/>
  </ds:schemaRefs>
</ds:datastoreItem>
</file>

<file path=customXml/itemProps3.xml><?xml version="1.0" encoding="utf-8"?>
<ds:datastoreItem xmlns:ds="http://schemas.openxmlformats.org/officeDocument/2006/customXml" ds:itemID="{47429136-124D-4714-BF9D-298284FE1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50</Pages>
  <Words>19913</Words>
  <Characters>124957</Characters>
  <Application>Microsoft Office Word</Application>
  <DocSecurity>0</DocSecurity>
  <Lines>3081</Lines>
  <Paragraphs>1091</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144236</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IDZERDA Renee (DGT)</cp:lastModifiedBy>
  <cp:revision>17</cp:revision>
  <cp:lastPrinted>2015-04-10T08:05:00Z</cp:lastPrinted>
  <dcterms:created xsi:type="dcterms:W3CDTF">2018-02-06T16:20:00Z</dcterms:created>
  <dcterms:modified xsi:type="dcterms:W3CDTF">2018-09-05T08:52:00Z</dcterms:modified>
</cp:coreProperties>
</file>