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2E9" w:rsidRPr="00E83F90" w:rsidRDefault="009502E9" w:rsidP="00A33695">
      <w:pPr>
        <w:jc w:val="center"/>
        <w:rPr>
          <w:rFonts w:ascii="Times New Roman" w:hAnsi="Times New Roman"/>
          <w:b/>
          <w:sz w:val="24"/>
        </w:rPr>
      </w:pPr>
      <w:bookmarkStart w:id="0" w:name="_Toc262568021"/>
      <w:bookmarkStart w:id="1" w:name="_Toc295829847"/>
      <w:r>
        <w:rPr>
          <w:rFonts w:ascii="Times New Roman" w:hAnsi="Times New Roman"/>
          <w:b/>
          <w:sz w:val="24"/>
        </w:rPr>
        <w:t>FI</w:t>
      </w:r>
    </w:p>
    <w:p w:rsidR="00FF3ED5" w:rsidRDefault="00FF3ED5" w:rsidP="00A3369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LIITE IV</w:t>
      </w:r>
    </w:p>
    <w:p w:rsidR="008F53AF" w:rsidRPr="00E83F90" w:rsidRDefault="008F53AF" w:rsidP="00A33695">
      <w:pPr>
        <w:jc w:val="center"/>
        <w:rPr>
          <w:rFonts w:ascii="Times New Roman" w:hAnsi="Times New Roman"/>
          <w:b/>
          <w:sz w:val="24"/>
        </w:rPr>
      </w:pPr>
    </w:p>
    <w:p w:rsidR="00C87CEE" w:rsidRPr="00C81874" w:rsidRDefault="00530C90" w:rsidP="00A33695">
      <w:pPr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”LIITE IX</w:t>
      </w:r>
    </w:p>
    <w:p w:rsidR="00DD58A5" w:rsidRDefault="00F41B3A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SUURISTA ASIAKASRISKEISTÄ JA KESKITTYMÄRISKISTÄ ILMOITTAMINEN </w:t>
      </w:r>
    </w:p>
    <w:p w:rsidR="00C87CEE" w:rsidRPr="00EF13C2" w:rsidRDefault="00C87CEE" w:rsidP="00C87CEE">
      <w:pPr>
        <w:jc w:val="center"/>
        <w:rPr>
          <w:rFonts w:ascii="Times New Roman" w:hAnsi="Times New Roman"/>
          <w:b/>
          <w:sz w:val="24"/>
        </w:rPr>
      </w:pPr>
    </w:p>
    <w:p w:rsidR="00224E73" w:rsidRPr="00384ADB" w:rsidRDefault="00224E73" w:rsidP="00317768">
      <w:pPr>
        <w:pStyle w:val="Heading6"/>
        <w:rPr>
          <w:sz w:val="24"/>
          <w:szCs w:val="24"/>
        </w:rPr>
      </w:pPr>
    </w:p>
    <w:p w:rsidR="00224E73" w:rsidRPr="00384ADB" w:rsidRDefault="00224E73" w:rsidP="00317768">
      <w:pPr>
        <w:pStyle w:val="Heading6"/>
        <w:rPr>
          <w:sz w:val="24"/>
          <w:szCs w:val="24"/>
        </w:rPr>
      </w:pPr>
    </w:p>
    <w:p w:rsidR="001D23F1" w:rsidRPr="00384ADB" w:rsidRDefault="001D23F1" w:rsidP="001D23F1">
      <w:pPr>
        <w:rPr>
          <w:rFonts w:ascii="Times New Roman" w:hAnsi="Times New Roman"/>
          <w:sz w:val="24"/>
        </w:rPr>
      </w:pPr>
    </w:p>
    <w:p w:rsidR="00D64B66" w:rsidRPr="00384ADB" w:rsidRDefault="003105C6" w:rsidP="00317768">
      <w:pPr>
        <w:pStyle w:val="Heading6"/>
        <w:rPr>
          <w:sz w:val="24"/>
          <w:szCs w:val="24"/>
        </w:rPr>
      </w:pPr>
      <w:r>
        <w:rPr>
          <w:sz w:val="24"/>
        </w:rPr>
        <w:t>Sisällysluettelo</w:t>
      </w:r>
    </w:p>
    <w:p w:rsidR="00FB4302" w:rsidRDefault="00FB430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bidi="ar-SA"/>
        </w:rPr>
      </w:pPr>
      <w:r>
        <w:rPr>
          <w:rFonts w:ascii="Times New Roman" w:hAnsi="Times New Roman"/>
          <w:noProof w:val="0"/>
          <w:sz w:val="24"/>
          <w:szCs w:val="24"/>
        </w:rPr>
        <w:fldChar w:fldCharType="begin"/>
      </w:r>
      <w:r w:rsidR="00621F98">
        <w:rPr>
          <w:rFonts w:ascii="Times New Roman" w:hAnsi="Times New Roman"/>
          <w:noProof w:val="0"/>
          <w:sz w:val="24"/>
          <w:szCs w:val="24"/>
        </w:rPr>
        <w:instrText xml:space="preserve"> TOC \o "1-3" \h \z \u </w:instrText>
      </w:r>
      <w:r>
        <w:rPr>
          <w:rFonts w:ascii="Times New Roman" w:hAnsi="Times New Roman"/>
          <w:noProof w:val="0"/>
          <w:sz w:val="24"/>
          <w:szCs w:val="24"/>
        </w:rPr>
        <w:fldChar w:fldCharType="separate"/>
      </w:r>
      <w:hyperlink w:anchor="_Toc523746691" w:history="1">
        <w:r w:rsidRPr="00C3090A">
          <w:rPr>
            <w:rStyle w:val="Hyperlink"/>
            <w:rFonts w:ascii="Times New Roman" w:hAnsi="Times New Roman"/>
          </w:rPr>
          <w:t>OSA I: YLEISET OHJEET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_Toc523746691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Pr="00F1628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FB4302" w:rsidRDefault="006B5B0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bidi="ar-SA"/>
        </w:rPr>
      </w:pPr>
      <w:hyperlink w:anchor="_Toc523746692" w:history="1">
        <w:r w:rsidR="00FB4302" w:rsidRPr="00F1628A">
          <w:rPr>
            <w:rStyle w:val="Hyperlink"/>
            <w:rFonts w:ascii="Times New Roman" w:hAnsi="Times New Roman"/>
          </w:rPr>
          <w:t>1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>
          <w:rPr>
            <w:rFonts w:asciiTheme="minorHAnsi" w:eastAsiaTheme="minorEastAsia" w:hAnsiTheme="minorHAnsi" w:cstheme="minorBidi"/>
            <w:b w:val="0"/>
            <w:smallCaps w:val="0"/>
            <w:sz w:val="22"/>
            <w:lang w:bidi="ar-SA"/>
          </w:rPr>
          <w:tab/>
        </w:r>
        <w:r w:rsidR="00FB4302" w:rsidRPr="00C3090A">
          <w:rPr>
            <w:rStyle w:val="Hyperlink"/>
            <w:rFonts w:ascii="Times New Roman" w:hAnsi="Times New Roman"/>
          </w:rPr>
          <w:t>Rakenne ja käytännöt</w:t>
        </w:r>
        <w:r w:rsidR="00FB4302">
          <w:rPr>
            <w:webHidden/>
          </w:rPr>
          <w:tab/>
        </w:r>
        <w:r w:rsidR="00FB4302">
          <w:rPr>
            <w:webHidden/>
          </w:rPr>
          <w:fldChar w:fldCharType="begin"/>
        </w:r>
        <w:r w:rsidR="00FB4302">
          <w:rPr>
            <w:webHidden/>
          </w:rPr>
          <w:instrText xml:space="preserve"> PAGEREF _Toc523746692 \h </w:instrText>
        </w:r>
        <w:r w:rsidR="00FB4302">
          <w:rPr>
            <w:webHidden/>
          </w:rPr>
        </w:r>
        <w:r w:rsidR="00FB4302">
          <w:rPr>
            <w:webHidden/>
          </w:rPr>
          <w:fldChar w:fldCharType="separate"/>
        </w:r>
        <w:r w:rsidR="00FB4302" w:rsidRPr="00F1628A">
          <w:rPr>
            <w:webHidden/>
          </w:rPr>
          <w:t>2</w:t>
        </w:r>
        <w:r w:rsidR="00FB4302">
          <w:rPr>
            <w:webHidden/>
          </w:rPr>
          <w:fldChar w:fldCharType="end"/>
        </w:r>
      </w:hyperlink>
    </w:p>
    <w:p w:rsidR="00FB4302" w:rsidRDefault="006B5B0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bidi="ar-SA"/>
        </w:rPr>
      </w:pPr>
      <w:hyperlink w:anchor="_Toc523746693" w:history="1">
        <w:r w:rsidR="00FB4302" w:rsidRPr="00F1628A">
          <w:rPr>
            <w:rStyle w:val="Hyperlink"/>
            <w:b w:val="0"/>
          </w:rPr>
          <w:t>2</w:t>
        </w:r>
        <w:r w:rsidR="00FB4302" w:rsidRPr="00FB4302">
          <w:rPr>
            <w:rStyle w:val="Hyperlink"/>
            <w:b w:val="0"/>
          </w:rPr>
          <w:t>.</w:t>
        </w:r>
        <w:r w:rsidR="00FB4302">
          <w:rPr>
            <w:rFonts w:asciiTheme="minorHAnsi" w:eastAsiaTheme="minorEastAsia" w:hAnsiTheme="minorHAnsi" w:cstheme="minorBidi"/>
            <w:b w:val="0"/>
            <w:smallCaps w:val="0"/>
            <w:sz w:val="22"/>
            <w:lang w:bidi="ar-SA"/>
          </w:rPr>
          <w:tab/>
        </w:r>
        <w:r w:rsidR="00FB4302" w:rsidRPr="00C3090A">
          <w:rPr>
            <w:rStyle w:val="Hyperlink"/>
            <w:rFonts w:ascii="Times New Roman" w:hAnsi="Times New Roman"/>
          </w:rPr>
          <w:t>Lyhenteet</w:t>
        </w:r>
        <w:r w:rsidR="00FB4302">
          <w:rPr>
            <w:webHidden/>
          </w:rPr>
          <w:tab/>
        </w:r>
        <w:r w:rsidR="00FB4302">
          <w:rPr>
            <w:webHidden/>
          </w:rPr>
          <w:fldChar w:fldCharType="begin"/>
        </w:r>
        <w:r w:rsidR="00FB4302">
          <w:rPr>
            <w:webHidden/>
          </w:rPr>
          <w:instrText xml:space="preserve"> PAGEREF _Toc523746693 \h </w:instrText>
        </w:r>
        <w:r w:rsidR="00FB4302">
          <w:rPr>
            <w:webHidden/>
          </w:rPr>
        </w:r>
        <w:r w:rsidR="00FB4302">
          <w:rPr>
            <w:webHidden/>
          </w:rPr>
          <w:fldChar w:fldCharType="separate"/>
        </w:r>
        <w:r w:rsidR="00FB4302" w:rsidRPr="00F1628A">
          <w:rPr>
            <w:webHidden/>
          </w:rPr>
          <w:t>2</w:t>
        </w:r>
        <w:r w:rsidR="00FB4302">
          <w:rPr>
            <w:webHidden/>
          </w:rPr>
          <w:fldChar w:fldCharType="end"/>
        </w:r>
      </w:hyperlink>
    </w:p>
    <w:p w:rsidR="00FB4302" w:rsidRDefault="006B5B0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bidi="ar-SA"/>
        </w:rPr>
      </w:pPr>
      <w:hyperlink w:anchor="_Toc523746694" w:history="1">
        <w:r w:rsidR="00FB4302" w:rsidRPr="00C3090A">
          <w:rPr>
            <w:rStyle w:val="Hyperlink"/>
            <w:rFonts w:ascii="Times New Roman" w:hAnsi="Times New Roman"/>
          </w:rPr>
          <w:t>OSA II: LOMAKKEISIIN LIITTYVÄT OHJEET</w:t>
        </w:r>
        <w:r w:rsidR="00FB4302">
          <w:rPr>
            <w:webHidden/>
          </w:rPr>
          <w:tab/>
        </w:r>
        <w:r w:rsidR="00FB4302">
          <w:rPr>
            <w:webHidden/>
          </w:rPr>
          <w:fldChar w:fldCharType="begin"/>
        </w:r>
        <w:r w:rsidR="00FB4302">
          <w:rPr>
            <w:webHidden/>
          </w:rPr>
          <w:instrText xml:space="preserve"> PAGEREF _Toc523746694 \h </w:instrText>
        </w:r>
        <w:r w:rsidR="00FB4302">
          <w:rPr>
            <w:webHidden/>
          </w:rPr>
        </w:r>
        <w:r w:rsidR="00FB4302">
          <w:rPr>
            <w:webHidden/>
          </w:rPr>
          <w:fldChar w:fldCharType="separate"/>
        </w:r>
        <w:r w:rsidR="00FB4302" w:rsidRPr="00F1628A">
          <w:rPr>
            <w:webHidden/>
          </w:rPr>
          <w:t>3</w:t>
        </w:r>
        <w:r w:rsidR="00FB4302">
          <w:rPr>
            <w:webHidden/>
          </w:rPr>
          <w:fldChar w:fldCharType="end"/>
        </w:r>
      </w:hyperlink>
    </w:p>
    <w:p w:rsidR="00FB4302" w:rsidRDefault="006B5B0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bidi="ar-SA"/>
        </w:rPr>
      </w:pPr>
      <w:hyperlink w:anchor="_Toc523746695" w:history="1">
        <w:r w:rsidR="00FB4302" w:rsidRPr="00F1628A">
          <w:rPr>
            <w:rStyle w:val="Hyperlink"/>
            <w:rFonts w:ascii="Times New Roman" w:hAnsi="Times New Roman"/>
          </w:rPr>
          <w:t>1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>
          <w:rPr>
            <w:rFonts w:asciiTheme="minorHAnsi" w:eastAsiaTheme="minorEastAsia" w:hAnsiTheme="minorHAnsi" w:cstheme="minorBidi"/>
            <w:b w:val="0"/>
            <w:smallCaps w:val="0"/>
            <w:sz w:val="22"/>
            <w:lang w:bidi="ar-SA"/>
          </w:rPr>
          <w:tab/>
        </w:r>
        <w:r w:rsidR="00FB4302" w:rsidRPr="00C3090A">
          <w:rPr>
            <w:rStyle w:val="Hyperlink"/>
            <w:rFonts w:ascii="Times New Roman" w:hAnsi="Times New Roman"/>
          </w:rPr>
          <w:t>LE-raportoinnin laajuus ja taso</w:t>
        </w:r>
        <w:r w:rsidR="00FB4302">
          <w:rPr>
            <w:webHidden/>
          </w:rPr>
          <w:tab/>
        </w:r>
        <w:r w:rsidR="00FB4302">
          <w:rPr>
            <w:webHidden/>
          </w:rPr>
          <w:fldChar w:fldCharType="begin"/>
        </w:r>
        <w:r w:rsidR="00FB4302">
          <w:rPr>
            <w:webHidden/>
          </w:rPr>
          <w:instrText xml:space="preserve"> PAGEREF _Toc523746695 \h </w:instrText>
        </w:r>
        <w:r w:rsidR="00FB4302">
          <w:rPr>
            <w:webHidden/>
          </w:rPr>
        </w:r>
        <w:r w:rsidR="00FB4302">
          <w:rPr>
            <w:webHidden/>
          </w:rPr>
          <w:fldChar w:fldCharType="separate"/>
        </w:r>
        <w:r w:rsidR="00FB4302" w:rsidRPr="00F1628A">
          <w:rPr>
            <w:webHidden/>
          </w:rPr>
          <w:t>3</w:t>
        </w:r>
        <w:r w:rsidR="00FB4302">
          <w:rPr>
            <w:webHidden/>
          </w:rPr>
          <w:fldChar w:fldCharType="end"/>
        </w:r>
      </w:hyperlink>
    </w:p>
    <w:p w:rsidR="00FB4302" w:rsidRDefault="006B5B0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bidi="ar-SA"/>
        </w:rPr>
      </w:pPr>
      <w:hyperlink w:anchor="_Toc523746696" w:history="1">
        <w:r w:rsidR="00FB4302" w:rsidRPr="00F1628A">
          <w:rPr>
            <w:rStyle w:val="Hyperlink"/>
            <w:rFonts w:ascii="Times New Roman" w:hAnsi="Times New Roman"/>
          </w:rPr>
          <w:t>2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>
          <w:rPr>
            <w:rFonts w:asciiTheme="minorHAnsi" w:eastAsiaTheme="minorEastAsia" w:hAnsiTheme="minorHAnsi" w:cstheme="minorBidi"/>
            <w:b w:val="0"/>
            <w:smallCaps w:val="0"/>
            <w:sz w:val="22"/>
            <w:lang w:bidi="ar-SA"/>
          </w:rPr>
          <w:tab/>
        </w:r>
        <w:r w:rsidR="00FB4302" w:rsidRPr="00C3090A">
          <w:rPr>
            <w:rStyle w:val="Hyperlink"/>
            <w:rFonts w:ascii="Times New Roman" w:hAnsi="Times New Roman"/>
          </w:rPr>
          <w:t>LE-lomakkeen rakenne</w:t>
        </w:r>
        <w:r w:rsidR="00FB4302">
          <w:rPr>
            <w:webHidden/>
          </w:rPr>
          <w:tab/>
        </w:r>
        <w:r w:rsidR="00FB4302">
          <w:rPr>
            <w:webHidden/>
          </w:rPr>
          <w:fldChar w:fldCharType="begin"/>
        </w:r>
        <w:r w:rsidR="00FB4302">
          <w:rPr>
            <w:webHidden/>
          </w:rPr>
          <w:instrText xml:space="preserve"> PAGEREF _Toc523746696 \h </w:instrText>
        </w:r>
        <w:r w:rsidR="00FB4302">
          <w:rPr>
            <w:webHidden/>
          </w:rPr>
        </w:r>
        <w:r w:rsidR="00FB4302">
          <w:rPr>
            <w:webHidden/>
          </w:rPr>
          <w:fldChar w:fldCharType="separate"/>
        </w:r>
        <w:r w:rsidR="00FB4302" w:rsidRPr="00F1628A">
          <w:rPr>
            <w:webHidden/>
          </w:rPr>
          <w:t>4</w:t>
        </w:r>
        <w:r w:rsidR="00FB4302">
          <w:rPr>
            <w:webHidden/>
          </w:rPr>
          <w:fldChar w:fldCharType="end"/>
        </w:r>
      </w:hyperlink>
    </w:p>
    <w:p w:rsidR="00FB4302" w:rsidRDefault="006B5B0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bidi="ar-SA"/>
        </w:rPr>
      </w:pPr>
      <w:hyperlink w:anchor="_Toc523746697" w:history="1">
        <w:r w:rsidR="00FB4302" w:rsidRPr="00F1628A">
          <w:rPr>
            <w:rStyle w:val="Hyperlink"/>
            <w:rFonts w:ascii="Times New Roman" w:eastAsia="Arial" w:hAnsi="Times New Roman"/>
          </w:rPr>
          <w:t>3</w:t>
        </w:r>
        <w:r w:rsidR="00FB4302" w:rsidRPr="00C3090A">
          <w:rPr>
            <w:rStyle w:val="Hyperlink"/>
            <w:rFonts w:ascii="Times New Roman" w:eastAsia="Arial" w:hAnsi="Times New Roman"/>
          </w:rPr>
          <w:t>.</w:t>
        </w:r>
        <w:r w:rsidR="00FB4302">
          <w:rPr>
            <w:rFonts w:asciiTheme="minorHAnsi" w:eastAsiaTheme="minorEastAsia" w:hAnsiTheme="minorHAnsi" w:cstheme="minorBidi"/>
            <w:b w:val="0"/>
            <w:smallCaps w:val="0"/>
            <w:sz w:val="22"/>
            <w:lang w:bidi="ar-SA"/>
          </w:rPr>
          <w:tab/>
        </w:r>
        <w:r w:rsidR="00FB4302" w:rsidRPr="00C3090A">
          <w:rPr>
            <w:rStyle w:val="Hyperlink"/>
            <w:rFonts w:ascii="Times New Roman" w:hAnsi="Times New Roman"/>
          </w:rPr>
          <w:t>LE-raportointia varten käytettävät määritelmät ja yleiset ohjeet</w:t>
        </w:r>
        <w:r w:rsidR="00FB4302">
          <w:rPr>
            <w:webHidden/>
          </w:rPr>
          <w:tab/>
        </w:r>
        <w:r w:rsidR="00FB4302">
          <w:rPr>
            <w:webHidden/>
          </w:rPr>
          <w:fldChar w:fldCharType="begin"/>
        </w:r>
        <w:r w:rsidR="00FB4302">
          <w:rPr>
            <w:webHidden/>
          </w:rPr>
          <w:instrText xml:space="preserve"> PAGEREF _Toc523746697 \h </w:instrText>
        </w:r>
        <w:r w:rsidR="00FB4302">
          <w:rPr>
            <w:webHidden/>
          </w:rPr>
        </w:r>
        <w:r w:rsidR="00FB4302">
          <w:rPr>
            <w:webHidden/>
          </w:rPr>
          <w:fldChar w:fldCharType="separate"/>
        </w:r>
        <w:r w:rsidR="00FB4302" w:rsidRPr="00F1628A">
          <w:rPr>
            <w:webHidden/>
          </w:rPr>
          <w:t>4</w:t>
        </w:r>
        <w:r w:rsidR="00FB4302">
          <w:rPr>
            <w:webHidden/>
          </w:rPr>
          <w:fldChar w:fldCharType="end"/>
        </w:r>
      </w:hyperlink>
    </w:p>
    <w:p w:rsidR="00FB4302" w:rsidRDefault="006B5B0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bidi="ar-SA"/>
        </w:rPr>
      </w:pPr>
      <w:hyperlink w:anchor="_Toc523746698" w:history="1">
        <w:r w:rsidR="00FB4302" w:rsidRPr="00F1628A">
          <w:rPr>
            <w:rStyle w:val="Hyperlink"/>
            <w:rFonts w:ascii="Times New Roman" w:hAnsi="Times New Roman"/>
          </w:rPr>
          <w:t>4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>
          <w:rPr>
            <w:rFonts w:asciiTheme="minorHAnsi" w:eastAsiaTheme="minorEastAsia" w:hAnsiTheme="minorHAnsi" w:cstheme="minorBidi"/>
            <w:b w:val="0"/>
            <w:smallCaps w:val="0"/>
            <w:sz w:val="22"/>
            <w:lang w:bidi="ar-SA"/>
          </w:rPr>
          <w:tab/>
        </w:r>
        <w:r w:rsidR="00FB4302" w:rsidRPr="00C3090A">
          <w:rPr>
            <w:rStyle w:val="Hyperlink"/>
            <w:rFonts w:ascii="Times New Roman" w:hAnsi="Times New Roman"/>
          </w:rPr>
          <w:t xml:space="preserve">C </w:t>
        </w:r>
        <w:r w:rsidR="00FB4302" w:rsidRPr="00F1628A">
          <w:rPr>
            <w:rStyle w:val="Hyperlink"/>
            <w:rFonts w:ascii="Times New Roman" w:hAnsi="Times New Roman"/>
          </w:rPr>
          <w:t>26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 w:rsidRPr="00F1628A">
          <w:rPr>
            <w:rStyle w:val="Hyperlink"/>
            <w:rFonts w:ascii="Times New Roman" w:hAnsi="Times New Roman"/>
          </w:rPr>
          <w:t>00</w:t>
        </w:r>
        <w:r w:rsidR="00FB4302" w:rsidRPr="00C3090A">
          <w:rPr>
            <w:rStyle w:val="Hyperlink"/>
            <w:rFonts w:ascii="Times New Roman" w:hAnsi="Times New Roman"/>
          </w:rPr>
          <w:t xml:space="preserve"> – LE-ylärajoja koskeva lomake</w:t>
        </w:r>
        <w:r w:rsidR="00FB4302">
          <w:rPr>
            <w:webHidden/>
          </w:rPr>
          <w:tab/>
        </w:r>
        <w:r w:rsidR="00FB4302">
          <w:rPr>
            <w:webHidden/>
          </w:rPr>
          <w:fldChar w:fldCharType="begin"/>
        </w:r>
        <w:r w:rsidR="00FB4302">
          <w:rPr>
            <w:webHidden/>
          </w:rPr>
          <w:instrText xml:space="preserve"> PAGEREF _Toc523746698 \h </w:instrText>
        </w:r>
        <w:r w:rsidR="00FB4302">
          <w:rPr>
            <w:webHidden/>
          </w:rPr>
        </w:r>
        <w:r w:rsidR="00FB4302">
          <w:rPr>
            <w:webHidden/>
          </w:rPr>
          <w:fldChar w:fldCharType="separate"/>
        </w:r>
        <w:r w:rsidR="00FB4302" w:rsidRPr="00F1628A">
          <w:rPr>
            <w:webHidden/>
          </w:rPr>
          <w:t>5</w:t>
        </w:r>
        <w:r w:rsidR="00FB4302">
          <w:rPr>
            <w:webHidden/>
          </w:rPr>
          <w:fldChar w:fldCharType="end"/>
        </w:r>
      </w:hyperlink>
    </w:p>
    <w:p w:rsidR="00FB4302" w:rsidRDefault="006B5B0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bidi="ar-SA"/>
        </w:rPr>
      </w:pPr>
      <w:hyperlink w:anchor="_Toc523746699" w:history="1">
        <w:r w:rsidR="00FB4302" w:rsidRPr="00F1628A">
          <w:rPr>
            <w:rStyle w:val="Hyperlink"/>
            <w:rFonts w:ascii="Times New Roman" w:hAnsi="Times New Roman"/>
          </w:rPr>
          <w:t>4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 w:rsidRPr="00F1628A">
          <w:rPr>
            <w:rStyle w:val="Hyperlink"/>
            <w:rFonts w:ascii="Times New Roman" w:hAnsi="Times New Roman"/>
          </w:rPr>
          <w:t>1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>
          <w:rPr>
            <w:rFonts w:asciiTheme="minorHAnsi" w:eastAsiaTheme="minorEastAsia" w:hAnsiTheme="minorHAnsi" w:cstheme="minorBidi"/>
            <w:b w:val="0"/>
            <w:smallCaps w:val="0"/>
            <w:sz w:val="22"/>
            <w:lang w:bidi="ar-SA"/>
          </w:rPr>
          <w:tab/>
        </w:r>
        <w:r w:rsidR="00FB4302" w:rsidRPr="00C3090A">
          <w:rPr>
            <w:rStyle w:val="Hyperlink"/>
            <w:rFonts w:ascii="Times New Roman" w:hAnsi="Times New Roman"/>
          </w:rPr>
          <w:t>Tiettyjä rivejä koskevat ohjeet</w:t>
        </w:r>
        <w:r w:rsidR="00FB4302">
          <w:rPr>
            <w:webHidden/>
          </w:rPr>
          <w:tab/>
        </w:r>
        <w:r w:rsidR="00FB4302">
          <w:rPr>
            <w:webHidden/>
          </w:rPr>
          <w:fldChar w:fldCharType="begin"/>
        </w:r>
        <w:r w:rsidR="00FB4302">
          <w:rPr>
            <w:webHidden/>
          </w:rPr>
          <w:instrText xml:space="preserve"> PAGEREF _Toc523746699 \h </w:instrText>
        </w:r>
        <w:r w:rsidR="00FB4302">
          <w:rPr>
            <w:webHidden/>
          </w:rPr>
        </w:r>
        <w:r w:rsidR="00FB4302">
          <w:rPr>
            <w:webHidden/>
          </w:rPr>
          <w:fldChar w:fldCharType="separate"/>
        </w:r>
        <w:r w:rsidR="00FB4302" w:rsidRPr="00F1628A">
          <w:rPr>
            <w:webHidden/>
          </w:rPr>
          <w:t>5</w:t>
        </w:r>
        <w:r w:rsidR="00FB4302">
          <w:rPr>
            <w:webHidden/>
          </w:rPr>
          <w:fldChar w:fldCharType="end"/>
        </w:r>
      </w:hyperlink>
    </w:p>
    <w:p w:rsidR="00FB4302" w:rsidRDefault="006B5B0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bidi="ar-SA"/>
        </w:rPr>
      </w:pPr>
      <w:hyperlink w:anchor="_Toc523746700" w:history="1">
        <w:r w:rsidR="00FB4302" w:rsidRPr="00F1628A">
          <w:rPr>
            <w:rStyle w:val="Hyperlink"/>
            <w:rFonts w:ascii="Times New Roman" w:hAnsi="Times New Roman"/>
          </w:rPr>
          <w:t>5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>
          <w:rPr>
            <w:rFonts w:asciiTheme="minorHAnsi" w:eastAsiaTheme="minorEastAsia" w:hAnsiTheme="minorHAnsi" w:cstheme="minorBidi"/>
            <w:b w:val="0"/>
            <w:smallCaps w:val="0"/>
            <w:sz w:val="22"/>
            <w:lang w:bidi="ar-SA"/>
          </w:rPr>
          <w:tab/>
        </w:r>
        <w:r w:rsidR="00FB4302" w:rsidRPr="00C3090A">
          <w:rPr>
            <w:rStyle w:val="Hyperlink"/>
            <w:rFonts w:ascii="Times New Roman" w:hAnsi="Times New Roman"/>
          </w:rPr>
          <w:t xml:space="preserve">C </w:t>
        </w:r>
        <w:r w:rsidR="00FB4302" w:rsidRPr="00F1628A">
          <w:rPr>
            <w:rStyle w:val="Hyperlink"/>
            <w:rFonts w:ascii="Times New Roman" w:hAnsi="Times New Roman"/>
          </w:rPr>
          <w:t>27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 w:rsidRPr="00F1628A">
          <w:rPr>
            <w:rStyle w:val="Hyperlink"/>
            <w:rFonts w:ascii="Times New Roman" w:hAnsi="Times New Roman"/>
          </w:rPr>
          <w:t>00</w:t>
        </w:r>
        <w:r w:rsidR="00FB4302" w:rsidRPr="00C3090A">
          <w:rPr>
            <w:rStyle w:val="Hyperlink"/>
            <w:rFonts w:ascii="Times New Roman" w:hAnsi="Times New Roman"/>
          </w:rPr>
          <w:t xml:space="preserve"> – Vastapuolen tunnistetiedot (LE</w:t>
        </w:r>
        <w:r w:rsidR="00FB4302" w:rsidRPr="00F1628A">
          <w:rPr>
            <w:rStyle w:val="Hyperlink"/>
            <w:rFonts w:ascii="Times New Roman" w:hAnsi="Times New Roman"/>
          </w:rPr>
          <w:t>1</w:t>
        </w:r>
        <w:r w:rsidR="00FB4302" w:rsidRPr="00C3090A">
          <w:rPr>
            <w:rStyle w:val="Hyperlink"/>
            <w:rFonts w:ascii="Times New Roman" w:hAnsi="Times New Roman"/>
          </w:rPr>
          <w:t>)</w:t>
        </w:r>
        <w:r w:rsidR="00FB4302">
          <w:rPr>
            <w:webHidden/>
          </w:rPr>
          <w:tab/>
        </w:r>
        <w:r w:rsidR="00FB4302">
          <w:rPr>
            <w:webHidden/>
          </w:rPr>
          <w:fldChar w:fldCharType="begin"/>
        </w:r>
        <w:r w:rsidR="00FB4302">
          <w:rPr>
            <w:webHidden/>
          </w:rPr>
          <w:instrText xml:space="preserve"> PAGEREF _Toc523746700 \h </w:instrText>
        </w:r>
        <w:r w:rsidR="00FB4302">
          <w:rPr>
            <w:webHidden/>
          </w:rPr>
        </w:r>
        <w:r w:rsidR="00FB4302">
          <w:rPr>
            <w:webHidden/>
          </w:rPr>
          <w:fldChar w:fldCharType="separate"/>
        </w:r>
        <w:r w:rsidR="00FB4302" w:rsidRPr="00F1628A">
          <w:rPr>
            <w:webHidden/>
          </w:rPr>
          <w:t>6</w:t>
        </w:r>
        <w:r w:rsidR="00FB4302">
          <w:rPr>
            <w:webHidden/>
          </w:rPr>
          <w:fldChar w:fldCharType="end"/>
        </w:r>
      </w:hyperlink>
    </w:p>
    <w:p w:rsidR="00FB4302" w:rsidRDefault="006B5B0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bidi="ar-SA"/>
        </w:rPr>
      </w:pPr>
      <w:hyperlink w:anchor="_Toc523746701" w:history="1">
        <w:r w:rsidR="00FB4302" w:rsidRPr="00F1628A">
          <w:rPr>
            <w:rStyle w:val="Hyperlink"/>
            <w:rFonts w:ascii="Times New Roman" w:hAnsi="Times New Roman"/>
          </w:rPr>
          <w:t>5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 w:rsidRPr="00F1628A">
          <w:rPr>
            <w:rStyle w:val="Hyperlink"/>
            <w:rFonts w:ascii="Times New Roman" w:hAnsi="Times New Roman"/>
          </w:rPr>
          <w:t>1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>
          <w:rPr>
            <w:rFonts w:asciiTheme="minorHAnsi" w:eastAsiaTheme="minorEastAsia" w:hAnsiTheme="minorHAnsi" w:cstheme="minorBidi"/>
            <w:b w:val="0"/>
            <w:smallCaps w:val="0"/>
            <w:sz w:val="22"/>
            <w:lang w:bidi="ar-SA"/>
          </w:rPr>
          <w:tab/>
        </w:r>
        <w:r w:rsidR="00FB4302" w:rsidRPr="00C3090A">
          <w:rPr>
            <w:rStyle w:val="Hyperlink"/>
            <w:rFonts w:ascii="Times New Roman" w:hAnsi="Times New Roman"/>
          </w:rPr>
          <w:t>Tiettyjä sarakkeita koskevat ohjeet</w:t>
        </w:r>
        <w:r w:rsidR="00FB4302">
          <w:rPr>
            <w:webHidden/>
          </w:rPr>
          <w:tab/>
        </w:r>
        <w:r w:rsidR="00FB4302">
          <w:rPr>
            <w:webHidden/>
          </w:rPr>
          <w:fldChar w:fldCharType="begin"/>
        </w:r>
        <w:r w:rsidR="00FB4302">
          <w:rPr>
            <w:webHidden/>
          </w:rPr>
          <w:instrText xml:space="preserve"> PAGEREF _Toc523746701 \h </w:instrText>
        </w:r>
        <w:r w:rsidR="00FB4302">
          <w:rPr>
            <w:webHidden/>
          </w:rPr>
        </w:r>
        <w:r w:rsidR="00FB4302">
          <w:rPr>
            <w:webHidden/>
          </w:rPr>
          <w:fldChar w:fldCharType="separate"/>
        </w:r>
        <w:r w:rsidR="00FB4302" w:rsidRPr="00F1628A">
          <w:rPr>
            <w:webHidden/>
          </w:rPr>
          <w:t>6</w:t>
        </w:r>
        <w:r w:rsidR="00FB4302">
          <w:rPr>
            <w:webHidden/>
          </w:rPr>
          <w:fldChar w:fldCharType="end"/>
        </w:r>
      </w:hyperlink>
    </w:p>
    <w:p w:rsidR="00FB4302" w:rsidRDefault="006B5B0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bidi="ar-SA"/>
        </w:rPr>
      </w:pPr>
      <w:hyperlink w:anchor="_Toc523746702" w:history="1">
        <w:r w:rsidR="00FB4302" w:rsidRPr="00F1628A">
          <w:rPr>
            <w:rStyle w:val="Hyperlink"/>
            <w:rFonts w:ascii="Times New Roman" w:hAnsi="Times New Roman"/>
          </w:rPr>
          <w:t>6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>
          <w:rPr>
            <w:rFonts w:asciiTheme="minorHAnsi" w:eastAsiaTheme="minorEastAsia" w:hAnsiTheme="minorHAnsi" w:cstheme="minorBidi"/>
            <w:b w:val="0"/>
            <w:smallCaps w:val="0"/>
            <w:sz w:val="22"/>
            <w:lang w:bidi="ar-SA"/>
          </w:rPr>
          <w:tab/>
        </w:r>
        <w:r w:rsidR="00FB4302" w:rsidRPr="00C3090A">
          <w:rPr>
            <w:rStyle w:val="Hyperlink"/>
            <w:rFonts w:ascii="Times New Roman" w:hAnsi="Times New Roman"/>
          </w:rPr>
          <w:t xml:space="preserve">C </w:t>
        </w:r>
        <w:r w:rsidR="00FB4302" w:rsidRPr="00F1628A">
          <w:rPr>
            <w:rStyle w:val="Hyperlink"/>
            <w:rFonts w:ascii="Times New Roman" w:hAnsi="Times New Roman"/>
          </w:rPr>
          <w:t>28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 w:rsidRPr="00F1628A">
          <w:rPr>
            <w:rStyle w:val="Hyperlink"/>
            <w:rFonts w:ascii="Times New Roman" w:hAnsi="Times New Roman"/>
          </w:rPr>
          <w:t>00</w:t>
        </w:r>
        <w:r w:rsidR="00FB4302" w:rsidRPr="00C3090A">
          <w:rPr>
            <w:rStyle w:val="Hyperlink"/>
            <w:rFonts w:ascii="Times New Roman" w:hAnsi="Times New Roman"/>
          </w:rPr>
          <w:t xml:space="preserve"> – Kaupankäyntivarastoon ja sen ulkopuolisiin eriin liittyvät vastuut (LE</w:t>
        </w:r>
        <w:r w:rsidR="00FB4302" w:rsidRPr="00F1628A">
          <w:rPr>
            <w:rStyle w:val="Hyperlink"/>
            <w:rFonts w:ascii="Times New Roman" w:hAnsi="Times New Roman"/>
          </w:rPr>
          <w:t>2</w:t>
        </w:r>
        <w:r w:rsidR="00FB4302" w:rsidRPr="00C3090A">
          <w:rPr>
            <w:rStyle w:val="Hyperlink"/>
            <w:rFonts w:ascii="Times New Roman" w:hAnsi="Times New Roman"/>
          </w:rPr>
          <w:t>)</w:t>
        </w:r>
        <w:r w:rsidR="00FB4302">
          <w:rPr>
            <w:webHidden/>
          </w:rPr>
          <w:tab/>
        </w:r>
        <w:r w:rsidR="00FB4302">
          <w:rPr>
            <w:webHidden/>
          </w:rPr>
          <w:fldChar w:fldCharType="begin"/>
        </w:r>
        <w:r w:rsidR="00FB4302">
          <w:rPr>
            <w:webHidden/>
          </w:rPr>
          <w:instrText xml:space="preserve"> PAGEREF _Toc523746702 \h </w:instrText>
        </w:r>
        <w:r w:rsidR="00FB4302">
          <w:rPr>
            <w:webHidden/>
          </w:rPr>
        </w:r>
        <w:r w:rsidR="00FB4302">
          <w:rPr>
            <w:webHidden/>
          </w:rPr>
          <w:fldChar w:fldCharType="separate"/>
        </w:r>
        <w:r w:rsidR="00FB4302" w:rsidRPr="00F1628A">
          <w:rPr>
            <w:webHidden/>
          </w:rPr>
          <w:t>9</w:t>
        </w:r>
        <w:r w:rsidR="00FB4302">
          <w:rPr>
            <w:webHidden/>
          </w:rPr>
          <w:fldChar w:fldCharType="end"/>
        </w:r>
      </w:hyperlink>
    </w:p>
    <w:p w:rsidR="00FB4302" w:rsidRDefault="006B5B0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bidi="ar-SA"/>
        </w:rPr>
      </w:pPr>
      <w:hyperlink w:anchor="_Toc523746703" w:history="1">
        <w:r w:rsidR="00FB4302" w:rsidRPr="00F1628A">
          <w:rPr>
            <w:rStyle w:val="Hyperlink"/>
            <w:rFonts w:ascii="Times New Roman" w:hAnsi="Times New Roman"/>
          </w:rPr>
          <w:t>6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 w:rsidRPr="00F1628A">
          <w:rPr>
            <w:rStyle w:val="Hyperlink"/>
            <w:rFonts w:ascii="Times New Roman" w:hAnsi="Times New Roman"/>
          </w:rPr>
          <w:t>1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>
          <w:rPr>
            <w:rFonts w:asciiTheme="minorHAnsi" w:eastAsiaTheme="minorEastAsia" w:hAnsiTheme="minorHAnsi" w:cstheme="minorBidi"/>
            <w:b w:val="0"/>
            <w:smallCaps w:val="0"/>
            <w:sz w:val="22"/>
            <w:lang w:bidi="ar-SA"/>
          </w:rPr>
          <w:tab/>
        </w:r>
        <w:r w:rsidR="00FB4302" w:rsidRPr="00C3090A">
          <w:rPr>
            <w:rStyle w:val="Hyperlink"/>
            <w:rFonts w:ascii="Times New Roman" w:hAnsi="Times New Roman"/>
          </w:rPr>
          <w:t>Tiettyjä sarakkeita koskevat ohjeet</w:t>
        </w:r>
        <w:r w:rsidR="00FB4302">
          <w:rPr>
            <w:webHidden/>
          </w:rPr>
          <w:tab/>
        </w:r>
        <w:r w:rsidR="00FB4302">
          <w:rPr>
            <w:webHidden/>
          </w:rPr>
          <w:fldChar w:fldCharType="begin"/>
        </w:r>
        <w:r w:rsidR="00FB4302">
          <w:rPr>
            <w:webHidden/>
          </w:rPr>
          <w:instrText xml:space="preserve"> PAGEREF _Toc523746703 \h </w:instrText>
        </w:r>
        <w:r w:rsidR="00FB4302">
          <w:rPr>
            <w:webHidden/>
          </w:rPr>
        </w:r>
        <w:r w:rsidR="00FB4302">
          <w:rPr>
            <w:webHidden/>
          </w:rPr>
          <w:fldChar w:fldCharType="separate"/>
        </w:r>
        <w:r w:rsidR="00FB4302" w:rsidRPr="00F1628A">
          <w:rPr>
            <w:webHidden/>
          </w:rPr>
          <w:t>9</w:t>
        </w:r>
        <w:r w:rsidR="00FB4302">
          <w:rPr>
            <w:webHidden/>
          </w:rPr>
          <w:fldChar w:fldCharType="end"/>
        </w:r>
      </w:hyperlink>
    </w:p>
    <w:p w:rsidR="00FB4302" w:rsidRDefault="006B5B0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bidi="ar-SA"/>
        </w:rPr>
      </w:pPr>
      <w:hyperlink w:anchor="_Toc523746704" w:history="1">
        <w:r w:rsidR="00FB4302" w:rsidRPr="00F1628A">
          <w:rPr>
            <w:rStyle w:val="Hyperlink"/>
            <w:rFonts w:ascii="Times New Roman" w:hAnsi="Times New Roman"/>
          </w:rPr>
          <w:t>7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>
          <w:rPr>
            <w:rFonts w:asciiTheme="minorHAnsi" w:eastAsiaTheme="minorEastAsia" w:hAnsiTheme="minorHAnsi" w:cstheme="minorBidi"/>
            <w:b w:val="0"/>
            <w:smallCaps w:val="0"/>
            <w:sz w:val="22"/>
            <w:lang w:bidi="ar-SA"/>
          </w:rPr>
          <w:tab/>
        </w:r>
        <w:r w:rsidR="00FB4302" w:rsidRPr="00C3090A">
          <w:rPr>
            <w:rStyle w:val="Hyperlink"/>
            <w:rFonts w:ascii="Times New Roman" w:hAnsi="Times New Roman"/>
          </w:rPr>
          <w:t xml:space="preserve">C </w:t>
        </w:r>
        <w:r w:rsidR="00FB4302" w:rsidRPr="00F1628A">
          <w:rPr>
            <w:rStyle w:val="Hyperlink"/>
            <w:rFonts w:ascii="Times New Roman" w:hAnsi="Times New Roman"/>
          </w:rPr>
          <w:t>29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 w:rsidRPr="00F1628A">
          <w:rPr>
            <w:rStyle w:val="Hyperlink"/>
            <w:rFonts w:ascii="Times New Roman" w:hAnsi="Times New Roman"/>
          </w:rPr>
          <w:t>00</w:t>
        </w:r>
        <w:r w:rsidR="00FB4302" w:rsidRPr="00C3090A">
          <w:rPr>
            <w:rStyle w:val="Hyperlink"/>
            <w:rFonts w:ascii="Times New Roman" w:hAnsi="Times New Roman"/>
          </w:rPr>
          <w:t xml:space="preserve"> – Tiedot yksittäisten asiakaskokonaisuuteen kuuluvien asiakkaiden vastuista (LE</w:t>
        </w:r>
        <w:r w:rsidR="00FB4302" w:rsidRPr="00F1628A">
          <w:rPr>
            <w:rStyle w:val="Hyperlink"/>
            <w:rFonts w:ascii="Times New Roman" w:hAnsi="Times New Roman"/>
          </w:rPr>
          <w:t>3</w:t>
        </w:r>
        <w:r w:rsidR="00FB4302" w:rsidRPr="00C3090A">
          <w:rPr>
            <w:rStyle w:val="Hyperlink"/>
            <w:rFonts w:ascii="Times New Roman" w:hAnsi="Times New Roman"/>
          </w:rPr>
          <w:t>)</w:t>
        </w:r>
        <w:r w:rsidR="00FB4302">
          <w:rPr>
            <w:webHidden/>
          </w:rPr>
          <w:tab/>
        </w:r>
        <w:r w:rsidR="00FB4302">
          <w:rPr>
            <w:webHidden/>
          </w:rPr>
          <w:fldChar w:fldCharType="begin"/>
        </w:r>
        <w:r w:rsidR="00FB4302">
          <w:rPr>
            <w:webHidden/>
          </w:rPr>
          <w:instrText xml:space="preserve"> PAGEREF _Toc523746704 \h </w:instrText>
        </w:r>
        <w:r w:rsidR="00FB4302">
          <w:rPr>
            <w:webHidden/>
          </w:rPr>
        </w:r>
        <w:r w:rsidR="00FB4302">
          <w:rPr>
            <w:webHidden/>
          </w:rPr>
          <w:fldChar w:fldCharType="separate"/>
        </w:r>
        <w:r w:rsidR="00FB4302" w:rsidRPr="00F1628A">
          <w:rPr>
            <w:webHidden/>
          </w:rPr>
          <w:t>16</w:t>
        </w:r>
        <w:r w:rsidR="00FB4302">
          <w:rPr>
            <w:webHidden/>
          </w:rPr>
          <w:fldChar w:fldCharType="end"/>
        </w:r>
      </w:hyperlink>
    </w:p>
    <w:p w:rsidR="00FB4302" w:rsidRDefault="006B5B0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bidi="ar-SA"/>
        </w:rPr>
      </w:pPr>
      <w:hyperlink w:anchor="_Toc523746705" w:history="1">
        <w:r w:rsidR="00FB4302" w:rsidRPr="00F1628A">
          <w:rPr>
            <w:rStyle w:val="Hyperlink"/>
            <w:rFonts w:ascii="Times New Roman" w:hAnsi="Times New Roman"/>
          </w:rPr>
          <w:t>7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 w:rsidRPr="00F1628A">
          <w:rPr>
            <w:rStyle w:val="Hyperlink"/>
            <w:rFonts w:ascii="Times New Roman" w:hAnsi="Times New Roman"/>
          </w:rPr>
          <w:t>1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>
          <w:rPr>
            <w:rFonts w:asciiTheme="minorHAnsi" w:eastAsiaTheme="minorEastAsia" w:hAnsiTheme="minorHAnsi" w:cstheme="minorBidi"/>
            <w:b w:val="0"/>
            <w:smallCaps w:val="0"/>
            <w:sz w:val="22"/>
            <w:lang w:bidi="ar-SA"/>
          </w:rPr>
          <w:tab/>
        </w:r>
        <w:r w:rsidR="00FB4302" w:rsidRPr="00C3090A">
          <w:rPr>
            <w:rStyle w:val="Hyperlink"/>
            <w:rFonts w:ascii="Times New Roman" w:hAnsi="Times New Roman"/>
          </w:rPr>
          <w:t>Tiettyjä sarakkeita koskevat ohjeet</w:t>
        </w:r>
        <w:r w:rsidR="00FB4302">
          <w:rPr>
            <w:webHidden/>
          </w:rPr>
          <w:tab/>
        </w:r>
        <w:r w:rsidR="00FB4302">
          <w:rPr>
            <w:webHidden/>
          </w:rPr>
          <w:fldChar w:fldCharType="begin"/>
        </w:r>
        <w:r w:rsidR="00FB4302">
          <w:rPr>
            <w:webHidden/>
          </w:rPr>
          <w:instrText xml:space="preserve"> PAGEREF _Toc523746705 \h </w:instrText>
        </w:r>
        <w:r w:rsidR="00FB4302">
          <w:rPr>
            <w:webHidden/>
          </w:rPr>
        </w:r>
        <w:r w:rsidR="00FB4302">
          <w:rPr>
            <w:webHidden/>
          </w:rPr>
          <w:fldChar w:fldCharType="separate"/>
        </w:r>
        <w:r w:rsidR="00FB4302" w:rsidRPr="00F1628A">
          <w:rPr>
            <w:webHidden/>
          </w:rPr>
          <w:t>16</w:t>
        </w:r>
        <w:r w:rsidR="00FB4302">
          <w:rPr>
            <w:webHidden/>
          </w:rPr>
          <w:fldChar w:fldCharType="end"/>
        </w:r>
      </w:hyperlink>
    </w:p>
    <w:p w:rsidR="00FB4302" w:rsidRDefault="006B5B0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bidi="ar-SA"/>
        </w:rPr>
      </w:pPr>
      <w:hyperlink w:anchor="_Toc523746706" w:history="1">
        <w:r w:rsidR="00FB4302" w:rsidRPr="00F1628A">
          <w:rPr>
            <w:rStyle w:val="Hyperlink"/>
            <w:rFonts w:ascii="Times New Roman" w:hAnsi="Times New Roman"/>
          </w:rPr>
          <w:t>8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>
          <w:rPr>
            <w:rFonts w:asciiTheme="minorHAnsi" w:eastAsiaTheme="minorEastAsia" w:hAnsiTheme="minorHAnsi" w:cstheme="minorBidi"/>
            <w:b w:val="0"/>
            <w:smallCaps w:val="0"/>
            <w:sz w:val="22"/>
            <w:lang w:bidi="ar-SA"/>
          </w:rPr>
          <w:tab/>
        </w:r>
        <w:r w:rsidR="00FB4302" w:rsidRPr="00C3090A">
          <w:rPr>
            <w:rStyle w:val="Hyperlink"/>
            <w:rFonts w:ascii="Times New Roman" w:hAnsi="Times New Roman"/>
          </w:rPr>
          <w:t xml:space="preserve">C </w:t>
        </w:r>
        <w:r w:rsidR="00FB4302" w:rsidRPr="00F1628A">
          <w:rPr>
            <w:rStyle w:val="Hyperlink"/>
            <w:rFonts w:ascii="Times New Roman" w:hAnsi="Times New Roman"/>
          </w:rPr>
          <w:t>30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 w:rsidRPr="00F1628A">
          <w:rPr>
            <w:rStyle w:val="Hyperlink"/>
            <w:rFonts w:ascii="Times New Roman" w:hAnsi="Times New Roman"/>
          </w:rPr>
          <w:t>00</w:t>
        </w:r>
        <w:r w:rsidR="00FB4302" w:rsidRPr="00C3090A">
          <w:rPr>
            <w:rStyle w:val="Hyperlink"/>
            <w:rFonts w:ascii="Times New Roman" w:hAnsi="Times New Roman"/>
          </w:rPr>
          <w:t xml:space="preserve"> – Vastuiden maturiteettiluokat – kymmenen suurinta vastuuta laitosten osalta ja kymmenen suurinta vastuuta sääntelemättömien rahoitusalan yhteisöjen osalta (LE</w:t>
        </w:r>
        <w:r w:rsidR="00FB4302" w:rsidRPr="00F1628A">
          <w:rPr>
            <w:rStyle w:val="Hyperlink"/>
            <w:rFonts w:ascii="Times New Roman" w:hAnsi="Times New Roman"/>
          </w:rPr>
          <w:t>4</w:t>
        </w:r>
        <w:r w:rsidR="00FB4302" w:rsidRPr="00C3090A">
          <w:rPr>
            <w:rStyle w:val="Hyperlink"/>
            <w:rFonts w:ascii="Times New Roman" w:hAnsi="Times New Roman"/>
          </w:rPr>
          <w:t>-lomake)</w:t>
        </w:r>
        <w:r w:rsidR="00FB4302">
          <w:rPr>
            <w:webHidden/>
          </w:rPr>
          <w:tab/>
        </w:r>
        <w:r w:rsidR="00FB4302">
          <w:rPr>
            <w:webHidden/>
          </w:rPr>
          <w:fldChar w:fldCharType="begin"/>
        </w:r>
        <w:r w:rsidR="00FB4302">
          <w:rPr>
            <w:webHidden/>
          </w:rPr>
          <w:instrText xml:space="preserve"> PAGEREF _Toc523746706 \h </w:instrText>
        </w:r>
        <w:r w:rsidR="00FB4302">
          <w:rPr>
            <w:webHidden/>
          </w:rPr>
        </w:r>
        <w:r w:rsidR="00FB4302">
          <w:rPr>
            <w:webHidden/>
          </w:rPr>
          <w:fldChar w:fldCharType="separate"/>
        </w:r>
        <w:r w:rsidR="00FB4302" w:rsidRPr="00F1628A">
          <w:rPr>
            <w:webHidden/>
          </w:rPr>
          <w:t>17</w:t>
        </w:r>
        <w:r w:rsidR="00FB4302">
          <w:rPr>
            <w:webHidden/>
          </w:rPr>
          <w:fldChar w:fldCharType="end"/>
        </w:r>
      </w:hyperlink>
    </w:p>
    <w:p w:rsidR="00FB4302" w:rsidRDefault="006B5B0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bidi="ar-SA"/>
        </w:rPr>
      </w:pPr>
      <w:hyperlink w:anchor="_Toc523746707" w:history="1">
        <w:r w:rsidR="00FB4302" w:rsidRPr="00F1628A">
          <w:rPr>
            <w:rStyle w:val="Hyperlink"/>
            <w:rFonts w:ascii="Times New Roman" w:hAnsi="Times New Roman"/>
          </w:rPr>
          <w:t>8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 w:rsidRPr="00F1628A">
          <w:rPr>
            <w:rStyle w:val="Hyperlink"/>
            <w:rFonts w:ascii="Times New Roman" w:hAnsi="Times New Roman"/>
          </w:rPr>
          <w:t>1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>
          <w:rPr>
            <w:rFonts w:asciiTheme="minorHAnsi" w:eastAsiaTheme="minorEastAsia" w:hAnsiTheme="minorHAnsi" w:cstheme="minorBidi"/>
            <w:b w:val="0"/>
            <w:smallCaps w:val="0"/>
            <w:sz w:val="22"/>
            <w:lang w:bidi="ar-SA"/>
          </w:rPr>
          <w:tab/>
        </w:r>
        <w:r w:rsidR="00FB4302" w:rsidRPr="00C3090A">
          <w:rPr>
            <w:rStyle w:val="Hyperlink"/>
            <w:rFonts w:ascii="Times New Roman" w:hAnsi="Times New Roman"/>
          </w:rPr>
          <w:t>Tiettyjä sarakkeita koskevat ohjeet</w:t>
        </w:r>
        <w:r w:rsidR="00FB4302">
          <w:rPr>
            <w:webHidden/>
          </w:rPr>
          <w:tab/>
        </w:r>
        <w:r w:rsidR="00FB4302">
          <w:rPr>
            <w:webHidden/>
          </w:rPr>
          <w:fldChar w:fldCharType="begin"/>
        </w:r>
        <w:r w:rsidR="00FB4302">
          <w:rPr>
            <w:webHidden/>
          </w:rPr>
          <w:instrText xml:space="preserve"> PAGEREF _Toc523746707 \h </w:instrText>
        </w:r>
        <w:r w:rsidR="00FB4302">
          <w:rPr>
            <w:webHidden/>
          </w:rPr>
        </w:r>
        <w:r w:rsidR="00FB4302">
          <w:rPr>
            <w:webHidden/>
          </w:rPr>
          <w:fldChar w:fldCharType="separate"/>
        </w:r>
        <w:r w:rsidR="00FB4302" w:rsidRPr="00F1628A">
          <w:rPr>
            <w:webHidden/>
          </w:rPr>
          <w:t>17</w:t>
        </w:r>
        <w:r w:rsidR="00FB4302">
          <w:rPr>
            <w:webHidden/>
          </w:rPr>
          <w:fldChar w:fldCharType="end"/>
        </w:r>
      </w:hyperlink>
    </w:p>
    <w:p w:rsidR="00FB4302" w:rsidRDefault="006B5B0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bidi="ar-SA"/>
        </w:rPr>
      </w:pPr>
      <w:hyperlink w:anchor="_Toc523746708" w:history="1">
        <w:r w:rsidR="00FB4302" w:rsidRPr="00F1628A">
          <w:rPr>
            <w:rStyle w:val="Hyperlink"/>
            <w:rFonts w:ascii="Times New Roman" w:hAnsi="Times New Roman"/>
          </w:rPr>
          <w:t>9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>
          <w:rPr>
            <w:rFonts w:asciiTheme="minorHAnsi" w:eastAsiaTheme="minorEastAsia" w:hAnsiTheme="minorHAnsi" w:cstheme="minorBidi"/>
            <w:b w:val="0"/>
            <w:smallCaps w:val="0"/>
            <w:sz w:val="22"/>
            <w:lang w:bidi="ar-SA"/>
          </w:rPr>
          <w:tab/>
        </w:r>
        <w:r w:rsidR="00FB4302" w:rsidRPr="00C3090A">
          <w:rPr>
            <w:rStyle w:val="Hyperlink"/>
            <w:rFonts w:ascii="Times New Roman" w:hAnsi="Times New Roman"/>
          </w:rPr>
          <w:t xml:space="preserve">C </w:t>
        </w:r>
        <w:r w:rsidR="00FB4302" w:rsidRPr="00F1628A">
          <w:rPr>
            <w:rStyle w:val="Hyperlink"/>
            <w:rFonts w:ascii="Times New Roman" w:hAnsi="Times New Roman"/>
          </w:rPr>
          <w:t>31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 w:rsidRPr="00F1628A">
          <w:rPr>
            <w:rStyle w:val="Hyperlink"/>
            <w:rFonts w:ascii="Times New Roman" w:hAnsi="Times New Roman"/>
          </w:rPr>
          <w:t>00</w:t>
        </w:r>
        <w:r w:rsidR="00FB4302" w:rsidRPr="00C3090A">
          <w:rPr>
            <w:rStyle w:val="Hyperlink"/>
            <w:rFonts w:ascii="Times New Roman" w:hAnsi="Times New Roman"/>
          </w:rPr>
          <w:t xml:space="preserve"> – Vastuiden maturiteettiluokat – kymmenen suurinta vastuuta laitosten osalta ja kymmenen suurinta vastuuta sääntelemättömien rahoitusalan yhteisöjen osalta: tiedot yksittäisten asiakaskokonaisuuteen kuuluvien asiakkaiden vastuista (LE</w:t>
        </w:r>
        <w:r w:rsidR="00FB4302" w:rsidRPr="00F1628A">
          <w:rPr>
            <w:rStyle w:val="Hyperlink"/>
            <w:rFonts w:ascii="Times New Roman" w:hAnsi="Times New Roman"/>
          </w:rPr>
          <w:t>5</w:t>
        </w:r>
        <w:r w:rsidR="00FB4302" w:rsidRPr="00C3090A">
          <w:rPr>
            <w:rStyle w:val="Hyperlink"/>
            <w:rFonts w:ascii="Times New Roman" w:hAnsi="Times New Roman"/>
          </w:rPr>
          <w:t>-lomake)</w:t>
        </w:r>
        <w:r w:rsidR="00FB4302">
          <w:rPr>
            <w:webHidden/>
          </w:rPr>
          <w:tab/>
        </w:r>
        <w:r w:rsidR="00FB4302">
          <w:rPr>
            <w:webHidden/>
          </w:rPr>
          <w:fldChar w:fldCharType="begin"/>
        </w:r>
        <w:r w:rsidR="00FB4302">
          <w:rPr>
            <w:webHidden/>
          </w:rPr>
          <w:instrText xml:space="preserve"> PAGEREF _Toc523746708 \h </w:instrText>
        </w:r>
        <w:r w:rsidR="00FB4302">
          <w:rPr>
            <w:webHidden/>
          </w:rPr>
        </w:r>
        <w:r w:rsidR="00FB4302">
          <w:rPr>
            <w:webHidden/>
          </w:rPr>
          <w:fldChar w:fldCharType="separate"/>
        </w:r>
        <w:r w:rsidR="00FB4302" w:rsidRPr="00F1628A">
          <w:rPr>
            <w:webHidden/>
          </w:rPr>
          <w:t>19</w:t>
        </w:r>
        <w:r w:rsidR="00FB4302">
          <w:rPr>
            <w:webHidden/>
          </w:rPr>
          <w:fldChar w:fldCharType="end"/>
        </w:r>
      </w:hyperlink>
    </w:p>
    <w:p w:rsidR="00FB4302" w:rsidRDefault="006B5B0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bidi="ar-SA"/>
        </w:rPr>
      </w:pPr>
      <w:hyperlink w:anchor="_Toc523746709" w:history="1">
        <w:r w:rsidR="00FB4302" w:rsidRPr="00F1628A">
          <w:rPr>
            <w:rStyle w:val="Hyperlink"/>
            <w:rFonts w:ascii="Times New Roman" w:hAnsi="Times New Roman"/>
          </w:rPr>
          <w:t>9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 w:rsidRPr="00F1628A">
          <w:rPr>
            <w:rStyle w:val="Hyperlink"/>
            <w:rFonts w:ascii="Times New Roman" w:hAnsi="Times New Roman"/>
          </w:rPr>
          <w:t>1</w:t>
        </w:r>
        <w:r w:rsidR="00FB4302" w:rsidRPr="00C3090A">
          <w:rPr>
            <w:rStyle w:val="Hyperlink"/>
            <w:rFonts w:ascii="Times New Roman" w:hAnsi="Times New Roman"/>
          </w:rPr>
          <w:t>.</w:t>
        </w:r>
        <w:r w:rsidR="00FB4302">
          <w:rPr>
            <w:rFonts w:asciiTheme="minorHAnsi" w:eastAsiaTheme="minorEastAsia" w:hAnsiTheme="minorHAnsi" w:cstheme="minorBidi"/>
            <w:b w:val="0"/>
            <w:smallCaps w:val="0"/>
            <w:sz w:val="22"/>
            <w:lang w:bidi="ar-SA"/>
          </w:rPr>
          <w:tab/>
        </w:r>
        <w:r w:rsidR="00FB4302" w:rsidRPr="00C3090A">
          <w:rPr>
            <w:rStyle w:val="Hyperlink"/>
            <w:rFonts w:ascii="Times New Roman" w:hAnsi="Times New Roman"/>
          </w:rPr>
          <w:t>Tiettyjä sarakkeita koskevat ohjeet</w:t>
        </w:r>
        <w:r w:rsidR="00FB4302">
          <w:rPr>
            <w:webHidden/>
          </w:rPr>
          <w:tab/>
        </w:r>
        <w:r w:rsidR="00FB4302">
          <w:rPr>
            <w:webHidden/>
          </w:rPr>
          <w:fldChar w:fldCharType="begin"/>
        </w:r>
        <w:r w:rsidR="00FB4302">
          <w:rPr>
            <w:webHidden/>
          </w:rPr>
          <w:instrText xml:space="preserve"> PAGEREF _Toc523746709 \h </w:instrText>
        </w:r>
        <w:r w:rsidR="00FB4302">
          <w:rPr>
            <w:webHidden/>
          </w:rPr>
        </w:r>
        <w:r w:rsidR="00FB4302">
          <w:rPr>
            <w:webHidden/>
          </w:rPr>
          <w:fldChar w:fldCharType="separate"/>
        </w:r>
        <w:r w:rsidR="00FB4302" w:rsidRPr="00F1628A">
          <w:rPr>
            <w:webHidden/>
          </w:rPr>
          <w:t>19</w:t>
        </w:r>
        <w:r w:rsidR="00FB4302">
          <w:rPr>
            <w:webHidden/>
          </w:rPr>
          <w:fldChar w:fldCharType="end"/>
        </w:r>
      </w:hyperlink>
    </w:p>
    <w:p w:rsidR="00B34DAD" w:rsidRDefault="00FB4302">
      <w:pPr>
        <w:rPr>
          <w:rFonts w:ascii="Times New Roman" w:eastAsia="SimSun" w:hAnsi="Times New Roman"/>
          <w:sz w:val="24"/>
        </w:rPr>
        <w:sectPr w:rsidR="00B34DAD" w:rsidSect="00A772B4">
          <w:footerReference w:type="default" r:id="rId10"/>
          <w:footerReference w:type="first" r:id="rId11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</w:rPr>
        <w:fldChar w:fldCharType="end"/>
      </w:r>
    </w:p>
    <w:p w:rsidR="009777FB" w:rsidRPr="009777FB" w:rsidRDefault="003105C6" w:rsidP="0093135A">
      <w:pPr>
        <w:pStyle w:val="Heading2"/>
        <w:rPr>
          <w:bCs/>
        </w:rPr>
      </w:pPr>
      <w:bookmarkStart w:id="2" w:name="_Toc264038394"/>
      <w:bookmarkStart w:id="3" w:name="_Toc393461951"/>
      <w:bookmarkStart w:id="4" w:name="_Toc523746691"/>
      <w:r>
        <w:rPr>
          <w:rFonts w:ascii="Times New Roman" w:hAnsi="Times New Roman"/>
        </w:rPr>
        <w:lastRenderedPageBreak/>
        <w:t>OSA I:</w:t>
      </w:r>
      <w:bookmarkEnd w:id="2"/>
      <w:r>
        <w:rPr>
          <w:rFonts w:ascii="Times New Roman" w:hAnsi="Times New Roman"/>
        </w:rPr>
        <w:t xml:space="preserve"> YLEISET OHJEET</w:t>
      </w:r>
      <w:bookmarkEnd w:id="3"/>
      <w:bookmarkEnd w:id="4"/>
    </w:p>
    <w:p w:rsidR="003105C6" w:rsidRPr="00384ADB" w:rsidRDefault="003105C6" w:rsidP="00C52CE2">
      <w:pPr>
        <w:pStyle w:val="Instructionsberschrift2"/>
        <w:numPr>
          <w:ilvl w:val="0"/>
          <w:numId w:val="20"/>
        </w:numPr>
        <w:rPr>
          <w:rFonts w:ascii="Times New Roman" w:hAnsi="Times New Roman" w:cs="Times New Roman"/>
          <w:b/>
          <w:sz w:val="24"/>
          <w:u w:val="none"/>
        </w:rPr>
      </w:pPr>
      <w:bookmarkStart w:id="5" w:name="_Toc393461952"/>
      <w:bookmarkStart w:id="6" w:name="_Toc523746692"/>
      <w:r>
        <w:rPr>
          <w:rFonts w:ascii="Times New Roman" w:hAnsi="Times New Roman"/>
          <w:b/>
          <w:sz w:val="24"/>
          <w:u w:val="none"/>
        </w:rPr>
        <w:t>Rakenne ja käytännöt</w:t>
      </w:r>
      <w:bookmarkEnd w:id="5"/>
      <w:bookmarkEnd w:id="6"/>
    </w:p>
    <w:p w:rsidR="00393539" w:rsidRPr="0039317F" w:rsidRDefault="00D40975" w:rsidP="0039317F">
      <w:pPr>
        <w:pStyle w:val="InstructionsText2"/>
      </w:pPr>
      <w:bookmarkStart w:id="7" w:name="_Toc264038399"/>
      <w:bookmarkStart w:id="8" w:name="_Toc294018834"/>
      <w:r>
        <w:t>Suuria asiakasriskejä (large exposure, LE) koskeva raportointikehys koostuu kuudesta lomakkeesta, jotka sisältävät seuraavat tiedot:</w:t>
      </w:r>
    </w:p>
    <w:p w:rsidR="00DA54E3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>
        <w:t>suurten asiakasriskien ylärajat;</w:t>
      </w:r>
    </w:p>
    <w:p w:rsidR="00DA54E3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>
        <w:t>vastapuolen tunnistetiedot (LE</w:t>
      </w:r>
      <w:r w:rsidRPr="00F1628A">
        <w:t>1</w:t>
      </w:r>
      <w:r>
        <w:t>-lomake);</w:t>
      </w:r>
    </w:p>
    <w:p w:rsidR="00393539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>
        <w:t>kaupankäyntivarastoon ja sen ulkopuolisiin eriin liittyvät vastuut (LE</w:t>
      </w:r>
      <w:r w:rsidRPr="00F1628A">
        <w:t>2</w:t>
      </w:r>
      <w:r>
        <w:t xml:space="preserve">-lomake); </w:t>
      </w:r>
    </w:p>
    <w:p w:rsidR="00393539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>
        <w:t>tiedot yksittäisten asiakaskokonaisuuteen kuuluvien asiakkaiden vastuista (LE</w:t>
      </w:r>
      <w:r w:rsidRPr="00F1628A">
        <w:t>3</w:t>
      </w:r>
      <w:r>
        <w:t>-lomake);</w:t>
      </w:r>
    </w:p>
    <w:p w:rsidR="00627430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>
        <w:t>vastuiden maturiteettiluokat – kymmenen suurinta vastuuta laitosten osalta ja kymmenen suurinta vastuuta sääntelemättömien rahoitusalan yhteisöjen osalta (LE</w:t>
      </w:r>
      <w:r w:rsidRPr="00F1628A">
        <w:t>4</w:t>
      </w:r>
      <w:r>
        <w:t xml:space="preserve">-lomake); </w:t>
      </w:r>
    </w:p>
    <w:p w:rsidR="00DA54E3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>
        <w:t>vastuiden maturiteettiluokat – kymmenen suurinta vastuuta laitosten osalta ja kymmenen suurinta vastuuta sääntelemättömien rahoitusalan yhteisöjen osalta: tiedot yksittäisten asiakaskokonaisuuteen kuuluvien asiakkaiden vastuista (LE</w:t>
      </w:r>
      <w:r w:rsidRPr="00F1628A">
        <w:t>5</w:t>
      </w:r>
      <w:r>
        <w:t>-lomake).</w:t>
      </w:r>
    </w:p>
    <w:p w:rsidR="003D56DE" w:rsidRPr="0039317F" w:rsidRDefault="00756759" w:rsidP="0039317F">
      <w:pPr>
        <w:pStyle w:val="InstructionsText2"/>
      </w:pPr>
      <w:r>
        <w:t>Ohjeisiin sisältyy lainsäädäntöviittauksia ja täsmennyksiä siitä, mitä tietoja kussakin lomakkeessa on ilmoitettava.</w:t>
      </w:r>
    </w:p>
    <w:p w:rsidR="00B0191A" w:rsidRPr="0039317F" w:rsidRDefault="003105C6" w:rsidP="0039317F">
      <w:pPr>
        <w:pStyle w:val="InstructionsText2"/>
      </w:pPr>
      <w:r>
        <w:t xml:space="preserve">Ohjeissa ja validointisäännöissä noudatetaan jäljempänä olevissa kohdissa esitettyä merkintäkäytäntöä, kun viitataan lomakkeiden sarakkeisiin, riveihin ja soluihin. </w:t>
      </w:r>
    </w:p>
    <w:p w:rsidR="00B0191A" w:rsidRPr="0039317F" w:rsidRDefault="00F36707" w:rsidP="0039317F">
      <w:pPr>
        <w:pStyle w:val="InstructionsText2"/>
      </w:pPr>
      <w:r>
        <w:t>Ohjeissa ja validointisäännöissä sovelletaan yleensä seuraavaa käytäntöä: {</w:t>
      </w:r>
      <w:proofErr w:type="gramStart"/>
      <w:r>
        <w:t>Lom</w:t>
      </w:r>
      <w:r>
        <w:t>a</w:t>
      </w:r>
      <w:r>
        <w:t>ke;Rivi</w:t>
      </w:r>
      <w:proofErr w:type="gramEnd"/>
      <w:r>
        <w:t xml:space="preserve">;Sarake}. Tähti merkitsee sitä, että kaikki ilmoitetut </w:t>
      </w:r>
      <w:proofErr w:type="gramStart"/>
      <w:r>
        <w:t>rivit on</w:t>
      </w:r>
      <w:proofErr w:type="gramEnd"/>
      <w:r>
        <w:t xml:space="preserve"> validoitu.</w:t>
      </w:r>
    </w:p>
    <w:p w:rsidR="00B0191A" w:rsidRPr="0039317F" w:rsidRDefault="003105C6" w:rsidP="0039317F">
      <w:pPr>
        <w:pStyle w:val="InstructionsText2"/>
        <w:rPr>
          <w:rFonts w:eastAsia="Arial"/>
        </w:rPr>
      </w:pPr>
      <w:r>
        <w:t>Jos kyseessä on lomakkeen sisäinen validointi, jossa käytetään vain kyseisen loma</w:t>
      </w:r>
      <w:r>
        <w:t>k</w:t>
      </w:r>
      <w:r>
        <w:t>keen tietopisteitä, merkinnöissä ei mainita lomaketta: {</w:t>
      </w:r>
      <w:proofErr w:type="gramStart"/>
      <w:r>
        <w:t>Rivi;Sarake</w:t>
      </w:r>
      <w:proofErr w:type="gramEnd"/>
      <w:r>
        <w:t>}.</w:t>
      </w:r>
    </w:p>
    <w:p w:rsidR="00B0191A" w:rsidRDefault="006217F1" w:rsidP="0039317F">
      <w:pPr>
        <w:pStyle w:val="InstructionsText2"/>
      </w:pPr>
      <w:proofErr w:type="gramStart"/>
      <w:r>
        <w:t>ABS(Arvo): absoluuttinen arvo ilman merkkiä.</w:t>
      </w:r>
      <w:proofErr w:type="gramEnd"/>
      <w:r>
        <w:t xml:space="preserve"> </w:t>
      </w:r>
      <w:bookmarkEnd w:id="7"/>
      <w:bookmarkEnd w:id="8"/>
      <w:r>
        <w:t>Vastuita lisäävä määrä on ilmoitettava plusmerkkisenä lukuna. Vastuita vähentävä määrä taas ilmoitetaan miinusmerkkisenä lukuna. Jos erän merkinnän edessä on miinusmerkki (-), kyseisestä erästä ei ilmoiteta plusmerkkistä lukua.</w:t>
      </w:r>
    </w:p>
    <w:p w:rsidR="0093135A" w:rsidRPr="0078562D" w:rsidRDefault="0078562D" w:rsidP="0078562D">
      <w:pPr>
        <w:pStyle w:val="Instructionsberschrift2"/>
        <w:numPr>
          <w:ilvl w:val="0"/>
          <w:numId w:val="20"/>
        </w:numPr>
        <w:rPr>
          <w:b/>
        </w:rPr>
      </w:pPr>
      <w:bookmarkStart w:id="9" w:name="_Toc523746693"/>
      <w:r>
        <w:rPr>
          <w:rFonts w:ascii="Times New Roman" w:hAnsi="Times New Roman"/>
          <w:b/>
          <w:sz w:val="24"/>
          <w:u w:val="none"/>
        </w:rPr>
        <w:t>Lyhenteet</w:t>
      </w:r>
      <w:bookmarkEnd w:id="9"/>
    </w:p>
    <w:p w:rsidR="0093135A" w:rsidRDefault="0093135A" w:rsidP="0093135A">
      <w:pPr>
        <w:pStyle w:val="InstructionsText2"/>
      </w:pPr>
      <w:proofErr w:type="gramStart"/>
      <w:r>
        <w:t xml:space="preserve">Tässä liitteessä asetusta (EU) N:o </w:t>
      </w:r>
      <w:r w:rsidRPr="00F1628A">
        <w:t>575</w:t>
      </w:r>
      <w:r>
        <w:t>/</w:t>
      </w:r>
      <w:r w:rsidRPr="00F1628A">
        <w:t>2013</w:t>
      </w:r>
      <w:r>
        <w:t xml:space="preserve"> kutsutaan ’vakavaraisuusasetukseksi’</w:t>
      </w:r>
      <w:proofErr w:type="gramEnd"/>
      <w:r>
        <w:t>.</w:t>
      </w:r>
    </w:p>
    <w:p w:rsidR="0093135A" w:rsidRPr="0039317F" w:rsidRDefault="0093135A" w:rsidP="0078562D">
      <w:pPr>
        <w:pStyle w:val="InstructionsText2"/>
        <w:numPr>
          <w:ilvl w:val="0"/>
          <w:numId w:val="0"/>
        </w:numPr>
        <w:ind w:left="720" w:hanging="360"/>
      </w:pPr>
    </w:p>
    <w:p w:rsidR="00A801A9" w:rsidRPr="00384ADB" w:rsidRDefault="00A801A9" w:rsidP="00005FFC">
      <w:pPr>
        <w:rPr>
          <w:rFonts w:ascii="Times New Roman" w:hAnsi="Times New Roman"/>
          <w:sz w:val="24"/>
        </w:rPr>
        <w:sectPr w:rsidR="00A801A9" w:rsidRPr="00384ADB" w:rsidSect="00C41ABD">
          <w:endnotePr>
            <w:numFmt w:val="decimal"/>
          </w:endnotePr>
          <w:pgSz w:w="11906" w:h="16838"/>
          <w:pgMar w:top="1417" w:right="1417" w:bottom="1134" w:left="1417" w:header="708" w:footer="708" w:gutter="0"/>
          <w:pgNumType w:start="2"/>
          <w:cols w:space="708"/>
          <w:docGrid w:linePitch="360"/>
        </w:sectPr>
      </w:pPr>
      <w:bookmarkStart w:id="10" w:name="_Toc264033192"/>
      <w:bookmarkEnd w:id="10"/>
    </w:p>
    <w:p w:rsidR="00A801A9" w:rsidRPr="00F40CD9" w:rsidRDefault="003105C6" w:rsidP="00D64B66">
      <w:pPr>
        <w:pStyle w:val="Heading2"/>
        <w:rPr>
          <w:rFonts w:ascii="Times New Roman" w:hAnsi="Times New Roman"/>
        </w:rPr>
      </w:pPr>
      <w:bookmarkStart w:id="11" w:name="_Toc393461953"/>
      <w:bookmarkStart w:id="12" w:name="_Toc523746694"/>
      <w:r>
        <w:rPr>
          <w:rFonts w:ascii="Times New Roman" w:hAnsi="Times New Roman"/>
        </w:rPr>
        <w:lastRenderedPageBreak/>
        <w:t>OSA II: LOMAKKEISIIN LIITTYVÄT OHJEET</w:t>
      </w:r>
      <w:bookmarkEnd w:id="11"/>
      <w:bookmarkEnd w:id="12"/>
    </w:p>
    <w:p w:rsidR="00F41B3A" w:rsidRPr="00384ADB" w:rsidRDefault="00F41B3A" w:rsidP="00EA549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Tässä liitteessä annettuja ohjeita suurista asiakasriskeistä ilmoittamisesta sovelletaan myös </w:t>
      </w:r>
      <w:r w:rsidRPr="00F1628A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 ja </w:t>
      </w:r>
      <w:r w:rsidRPr="00F1628A">
        <w:rPr>
          <w:rFonts w:ascii="Times New Roman" w:hAnsi="Times New Roman"/>
          <w:sz w:val="24"/>
        </w:rPr>
        <w:t>11</w:t>
      </w:r>
      <w:r>
        <w:rPr>
          <w:rFonts w:ascii="Times New Roman" w:hAnsi="Times New Roman"/>
          <w:sz w:val="24"/>
        </w:rPr>
        <w:t xml:space="preserve"> artiklassa vaadittuun merkittävistä vastuista ilmoittamiseen mainituissa artikloissa mä</w:t>
      </w:r>
      <w:r>
        <w:rPr>
          <w:rFonts w:ascii="Times New Roman" w:hAnsi="Times New Roman"/>
          <w:sz w:val="24"/>
        </w:rPr>
        <w:t>ä</w:t>
      </w:r>
      <w:r>
        <w:rPr>
          <w:rFonts w:ascii="Times New Roman" w:hAnsi="Times New Roman"/>
          <w:sz w:val="24"/>
        </w:rPr>
        <w:t>ritellyn soveltamisalan mukaisesti.</w:t>
      </w:r>
    </w:p>
    <w:p w:rsidR="003105C6" w:rsidRPr="00384ADB" w:rsidRDefault="006443CC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3" w:name="_Toc393461954"/>
      <w:bookmarkStart w:id="14" w:name="_Toc523746695"/>
      <w:r>
        <w:rPr>
          <w:rFonts w:ascii="Times New Roman" w:hAnsi="Times New Roman"/>
          <w:b/>
          <w:sz w:val="24"/>
          <w:u w:val="none"/>
        </w:rPr>
        <w:t>LE-raportoinnin laajuus ja taso</w:t>
      </w:r>
      <w:bookmarkEnd w:id="13"/>
      <w:bookmarkEnd w:id="14"/>
    </w:p>
    <w:p w:rsidR="000F13EA" w:rsidRPr="0039317F" w:rsidRDefault="000F13EA" w:rsidP="0039317F">
      <w:pPr>
        <w:pStyle w:val="InstructionsText2"/>
        <w:numPr>
          <w:ilvl w:val="0"/>
          <w:numId w:val="27"/>
        </w:numPr>
        <w:rPr>
          <w:rFonts w:eastAsia="Arial"/>
        </w:rPr>
      </w:pPr>
      <w:proofErr w:type="gramStart"/>
      <w:r>
        <w:t>Laitosten on käytettävä lomakkeita LE</w:t>
      </w:r>
      <w:r w:rsidRPr="00F1628A">
        <w:t>1</w:t>
      </w:r>
      <w:r>
        <w:t>, LE</w:t>
      </w:r>
      <w:r w:rsidRPr="00F1628A">
        <w:t>2</w:t>
      </w:r>
      <w:r>
        <w:t xml:space="preserve"> ja LE</w:t>
      </w:r>
      <w:r w:rsidRPr="00F1628A">
        <w:t>3</w:t>
      </w:r>
      <w:r>
        <w:t xml:space="preserve"> ilmoittaessaan yksittäisesti tiet</w:t>
      </w:r>
      <w:r>
        <w:t>o</w:t>
      </w:r>
      <w:r>
        <w:t xml:space="preserve">ja suurista asiakaskohtaisista tai asiakaskokonaisuuskohtaisista vastuista asetuksen (EU) N:o </w:t>
      </w:r>
      <w:r w:rsidRPr="00F1628A">
        <w:t>575</w:t>
      </w:r>
      <w:r>
        <w:t>/</w:t>
      </w:r>
      <w:r w:rsidRPr="00F1628A">
        <w:t>2013</w:t>
      </w:r>
      <w:r>
        <w:t xml:space="preserve"> (jäljempänä tässä liitteessä ’vakavaraisuusasetus’</w:t>
      </w:r>
      <w:proofErr w:type="gramEnd"/>
      <w:r>
        <w:t xml:space="preserve">) </w:t>
      </w:r>
      <w:r w:rsidRPr="00F1628A">
        <w:t>394</w:t>
      </w:r>
      <w:r>
        <w:t xml:space="preserve"> artiklan </w:t>
      </w:r>
      <w:r w:rsidRPr="00F1628A">
        <w:t>1</w:t>
      </w:r>
      <w:r>
        <w:t xml:space="preserve"> kohdan mukaisesti. </w:t>
      </w:r>
    </w:p>
    <w:p w:rsidR="00B0191A" w:rsidRPr="0039317F" w:rsidRDefault="000F13EA" w:rsidP="0039317F">
      <w:pPr>
        <w:pStyle w:val="InstructionsText2"/>
        <w:rPr>
          <w:rFonts w:eastAsia="Arial"/>
        </w:rPr>
      </w:pPr>
      <w:r>
        <w:t>Jäsenvaltiossa emoyrityksenä toimivien laitosten on käytettävä lomakkeita LE</w:t>
      </w:r>
      <w:r w:rsidRPr="00F1628A">
        <w:t>1</w:t>
      </w:r>
      <w:r>
        <w:t>, LE</w:t>
      </w:r>
      <w:r w:rsidRPr="00F1628A">
        <w:t>2</w:t>
      </w:r>
      <w:r>
        <w:t xml:space="preserve"> ja LE</w:t>
      </w:r>
      <w:r w:rsidRPr="00F1628A">
        <w:t>3</w:t>
      </w:r>
      <w:r>
        <w:t xml:space="preserve"> ilmoittaessaan konsolidoidusti tietoja suurista asiakaskohtaisista tai asiakask</w:t>
      </w:r>
      <w:r>
        <w:t>o</w:t>
      </w:r>
      <w:r>
        <w:t xml:space="preserve">konaisuuskohtaisista vastuista vakavaraisuusasetuksen </w:t>
      </w:r>
      <w:r w:rsidRPr="00F1628A">
        <w:t>394</w:t>
      </w:r>
      <w:r>
        <w:t xml:space="preserve"> artiklan </w:t>
      </w:r>
      <w:r w:rsidRPr="00F1628A">
        <w:t>1</w:t>
      </w:r>
      <w:r>
        <w:t xml:space="preserve"> kohdan muka</w:t>
      </w:r>
      <w:r>
        <w:t>i</w:t>
      </w:r>
      <w:r>
        <w:t xml:space="preserve">sesti. </w:t>
      </w:r>
    </w:p>
    <w:p w:rsidR="00B0191A" w:rsidRPr="0039317F" w:rsidRDefault="00A11FB0" w:rsidP="000F0ADE">
      <w:pPr>
        <w:pStyle w:val="InstructionsText2"/>
        <w:rPr>
          <w:rFonts w:eastAsia="Arial"/>
        </w:rPr>
      </w:pPr>
      <w:r>
        <w:t xml:space="preserve">Kaikki vakavaraisuusasetuksen </w:t>
      </w:r>
      <w:r w:rsidRPr="00F1628A">
        <w:t>392</w:t>
      </w:r>
      <w:r>
        <w:t xml:space="preserve"> artiklan mukaisesti määritellyt suuret asiakasriskit on ilmoitettava, myös sellaiset, joita ei oteta huomioon vakavaraisuusasetuksen </w:t>
      </w:r>
      <w:r w:rsidRPr="00F1628A">
        <w:t>395</w:t>
      </w:r>
      <w:r>
        <w:t xml:space="preserve"> artiklassa säädetyn suurten asiakasriskien ylärajan noudattamisen osalta. </w:t>
      </w:r>
    </w:p>
    <w:p w:rsidR="00B0191A" w:rsidRPr="0039317F" w:rsidRDefault="001C7BF0" w:rsidP="000F0ADE">
      <w:pPr>
        <w:pStyle w:val="InstructionsText2"/>
        <w:rPr>
          <w:rFonts w:eastAsia="Arial"/>
        </w:rPr>
      </w:pPr>
      <w:r>
        <w:t>Jäsenvaltiossa emoyrityksenä toimivien laitosten, joihin sovelletaan vakavaraisuusas</w:t>
      </w:r>
      <w:r>
        <w:t>e</w:t>
      </w:r>
      <w:r>
        <w:t xml:space="preserve">tuksen kolmannen osan II osaston </w:t>
      </w:r>
      <w:r w:rsidRPr="00F1628A">
        <w:t>3</w:t>
      </w:r>
      <w:r>
        <w:t xml:space="preserve"> lukua, on käytettävä lomakkeita LE</w:t>
      </w:r>
      <w:r w:rsidRPr="00F1628A">
        <w:t>1</w:t>
      </w:r>
      <w:r>
        <w:t>, LE</w:t>
      </w:r>
      <w:r w:rsidRPr="00F1628A">
        <w:t>2</w:t>
      </w:r>
      <w:r>
        <w:t xml:space="preserve"> ja LE</w:t>
      </w:r>
      <w:r w:rsidRPr="00F1628A">
        <w:t>3</w:t>
      </w:r>
      <w:r>
        <w:t xml:space="preserve"> ilmoittaessaan konsolidoidusti tietoja, jotka koskevat </w:t>
      </w:r>
      <w:r w:rsidRPr="00F1628A">
        <w:t>20</w:t>
      </w:r>
      <w:r>
        <w:t xml:space="preserve">:tä suurinta asiakaskohtaista tai asiakaskokonaisuuskohtaista vastuuta vakavaraisuusasetuksen </w:t>
      </w:r>
      <w:r w:rsidRPr="00F1628A">
        <w:t>394</w:t>
      </w:r>
      <w:r>
        <w:t xml:space="preserve"> artiklan </w:t>
      </w:r>
      <w:r w:rsidRPr="00F1628A">
        <w:t>1</w:t>
      </w:r>
      <w:r>
        <w:t xml:space="preserve"> ko</w:t>
      </w:r>
      <w:r>
        <w:t>h</w:t>
      </w:r>
      <w:r>
        <w:t>dan viimeisen virkkeen mukaisesti. Vastuuarvo, joka saadaan vähentämällä LE</w:t>
      </w:r>
      <w:r w:rsidRPr="00F1628A">
        <w:t>2</w:t>
      </w:r>
      <w:r>
        <w:t xml:space="preserve">-lomakkeen sarakkeessa </w:t>
      </w:r>
      <w:r w:rsidRPr="00F1628A">
        <w:t>320</w:t>
      </w:r>
      <w:r>
        <w:t xml:space="preserve"> (”Vapautetut määrät”) oleva määrä saman lomakkeen s</w:t>
      </w:r>
      <w:r>
        <w:t>a</w:t>
      </w:r>
      <w:r>
        <w:t xml:space="preserve">rakkeessa </w:t>
      </w:r>
      <w:r w:rsidRPr="00F1628A">
        <w:t>210</w:t>
      </w:r>
      <w:r>
        <w:t xml:space="preserve"> (”Yhteensä”) olevasta määrästä, on määrä, jota on käytettävä määrite</w:t>
      </w:r>
      <w:r>
        <w:t>t</w:t>
      </w:r>
      <w:r>
        <w:t xml:space="preserve">täessä kyseiset </w:t>
      </w:r>
      <w:r w:rsidRPr="00F1628A">
        <w:t>20</w:t>
      </w:r>
      <w:r>
        <w:t xml:space="preserve"> suurinta asiakasriskiä. </w:t>
      </w:r>
    </w:p>
    <w:p w:rsidR="00B0191A" w:rsidRPr="0039317F" w:rsidRDefault="00C1644D">
      <w:pPr>
        <w:pStyle w:val="InstructionsText2"/>
        <w:rPr>
          <w:rFonts w:eastAsia="Arial"/>
        </w:rPr>
      </w:pPr>
      <w:r>
        <w:t>Jäsenvaltiossa emoyrityksenä toimivien laitosten on käytettävä lomakkeita LE</w:t>
      </w:r>
      <w:r w:rsidRPr="00F1628A">
        <w:t>1</w:t>
      </w:r>
      <w:r>
        <w:t>, LE</w:t>
      </w:r>
      <w:r w:rsidRPr="00F1628A">
        <w:t>2</w:t>
      </w:r>
      <w:r>
        <w:t xml:space="preserve"> ja LE</w:t>
      </w:r>
      <w:r w:rsidRPr="00F1628A">
        <w:t>3</w:t>
      </w:r>
      <w:r>
        <w:t xml:space="preserve"> ilmoittaessaan konsolidoidusti tietoja, jotka koskevat kymmentä suurinta va</w:t>
      </w:r>
      <w:r>
        <w:t>s</w:t>
      </w:r>
      <w:r>
        <w:t xml:space="preserve">tuuta laitosten osalta sekä kymmentä suurinta vastuuta sääntelemättömien rahoitusalan yhteisöjen osalta vakavaraisuusasetuksen </w:t>
      </w:r>
      <w:r w:rsidRPr="00F1628A">
        <w:t>394</w:t>
      </w:r>
      <w:r>
        <w:t xml:space="preserve"> artiklan </w:t>
      </w:r>
      <w:r w:rsidRPr="00F1628A">
        <w:t>2</w:t>
      </w:r>
      <w:r>
        <w:t xml:space="preserve"> kohdan a–d alakohdan muka</w:t>
      </w:r>
      <w:r>
        <w:t>i</w:t>
      </w:r>
      <w:r>
        <w:t>sesti. Jäsenvaltiossa emoyrityksenä toimivien laitosten on käytettävä lomakkeita LE</w:t>
      </w:r>
      <w:r w:rsidRPr="00F1628A">
        <w:t>4</w:t>
      </w:r>
      <w:r>
        <w:t xml:space="preserve"> ja LE</w:t>
      </w:r>
      <w:r w:rsidRPr="00F1628A">
        <w:t>5</w:t>
      </w:r>
      <w:r>
        <w:t xml:space="preserve"> ilmoittaessaan tietoja kyseisten vastuiden maturiteettirakenteesta vakavara</w:t>
      </w:r>
      <w:r>
        <w:t>i</w:t>
      </w:r>
      <w:r>
        <w:t xml:space="preserve">suusasetuksen </w:t>
      </w:r>
      <w:r w:rsidRPr="00F1628A">
        <w:t>394</w:t>
      </w:r>
      <w:r>
        <w:t xml:space="preserve"> artiklan </w:t>
      </w:r>
      <w:r w:rsidRPr="00F1628A">
        <w:t>2</w:t>
      </w:r>
      <w:r>
        <w:t xml:space="preserve"> kohdan e alakohdan mukaisesti. LE</w:t>
      </w:r>
      <w:r w:rsidRPr="00F1628A">
        <w:t>2</w:t>
      </w:r>
      <w:r>
        <w:t>-lomakkeen sara</w:t>
      </w:r>
      <w:r>
        <w:t>k</w:t>
      </w:r>
      <w:r>
        <w:t xml:space="preserve">keessa </w:t>
      </w:r>
      <w:r w:rsidRPr="00F1628A">
        <w:t>210</w:t>
      </w:r>
      <w:r>
        <w:t xml:space="preserve"> (”Yhteensä”) laskettu vastuuarvo on määrä, jota on käytettävä määritett</w:t>
      </w:r>
      <w:r>
        <w:t>ä</w:t>
      </w:r>
      <w:r>
        <w:t xml:space="preserve">essä kyseiset </w:t>
      </w:r>
      <w:r w:rsidRPr="00F1628A">
        <w:t>20</w:t>
      </w:r>
      <w:r>
        <w:t xml:space="preserve"> suurinta asiakasriskiä.</w:t>
      </w:r>
    </w:p>
    <w:p w:rsidR="00B0191A" w:rsidRPr="0039317F" w:rsidRDefault="001E0F83">
      <w:pPr>
        <w:pStyle w:val="InstructionsText2"/>
        <w:rPr>
          <w:rFonts w:eastAsia="Arial"/>
        </w:rPr>
      </w:pPr>
      <w:r>
        <w:t>Tiedot suurista asiakasriskeistä sekä asiaankuuluvista suurimmista asiakaskokona</w:t>
      </w:r>
      <w:r>
        <w:t>i</w:t>
      </w:r>
      <w:r>
        <w:t>suuskohtaisista riskeistä ja asiakaskokonaisuuksiin kuulumattomia asiakkaita kosk</w:t>
      </w:r>
      <w:r>
        <w:t>e</w:t>
      </w:r>
      <w:r>
        <w:t>vista riskeistä on ilmoitettava LE</w:t>
      </w:r>
      <w:r w:rsidRPr="00F1628A">
        <w:t>2</w:t>
      </w:r>
      <w:r>
        <w:t xml:space="preserve">-lomakkeessa (jossa asiakaskokonaisuus ilmoitetaan yhtenä riskikeskittymänä). </w:t>
      </w:r>
    </w:p>
    <w:p w:rsidR="00B0191A" w:rsidRPr="0039317F" w:rsidRDefault="008A4511">
      <w:pPr>
        <w:pStyle w:val="InstructionsText2"/>
        <w:rPr>
          <w:rFonts w:eastAsia="Arial"/>
        </w:rPr>
      </w:pPr>
      <w:r>
        <w:t>Laitokset ilmoittavat LE</w:t>
      </w:r>
      <w:r w:rsidRPr="00F1628A">
        <w:t>3</w:t>
      </w:r>
      <w:r>
        <w:t>-lomakkeessa tiedot LE</w:t>
      </w:r>
      <w:r w:rsidRPr="00F1628A">
        <w:t>2</w:t>
      </w:r>
      <w:r>
        <w:t>-lomakkeessa ilmoitettuihin yksi</w:t>
      </w:r>
      <w:r>
        <w:t>t</w:t>
      </w:r>
      <w:r>
        <w:t>täisten asiakaskokonaisuuksiin kuuluvien asiakkaiden vastuista. LE</w:t>
      </w:r>
      <w:r w:rsidRPr="00F1628A">
        <w:t>2</w:t>
      </w:r>
      <w:r>
        <w:t>-lomakkeessa i</w:t>
      </w:r>
      <w:r>
        <w:t>l</w:t>
      </w:r>
      <w:r>
        <w:t>moitettua yksittäisen asiakkaan vastuuta ei saa ilmoittaa uudelleen LE</w:t>
      </w:r>
      <w:r w:rsidRPr="00F1628A">
        <w:t>3</w:t>
      </w:r>
      <w:r>
        <w:t xml:space="preserve">-lomakkeessa. </w:t>
      </w:r>
    </w:p>
    <w:p w:rsidR="00DA54E3" w:rsidRPr="00384ADB" w:rsidRDefault="00B945FE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5" w:name="_Toc393461955"/>
      <w:bookmarkStart w:id="16" w:name="_Toc523746696"/>
      <w:r>
        <w:rPr>
          <w:rFonts w:ascii="Times New Roman" w:hAnsi="Times New Roman"/>
          <w:b/>
          <w:sz w:val="24"/>
          <w:u w:val="none"/>
        </w:rPr>
        <w:lastRenderedPageBreak/>
        <w:t>LE-lomakkeen rakenne</w:t>
      </w:r>
      <w:bookmarkEnd w:id="15"/>
      <w:bookmarkEnd w:id="16"/>
    </w:p>
    <w:p w:rsidR="00A11EC0" w:rsidRPr="0039317F" w:rsidRDefault="00B945FE" w:rsidP="0039317F">
      <w:pPr>
        <w:pStyle w:val="InstructionsText2"/>
        <w:rPr>
          <w:rFonts w:eastAsia="Arial"/>
        </w:rPr>
      </w:pPr>
      <w:r>
        <w:t>LE</w:t>
      </w:r>
      <w:r w:rsidRPr="00F1628A">
        <w:t>1</w:t>
      </w:r>
      <w:r>
        <w:t>-lomakkeen sarakkeissa ilmoitetaan tunnistetiedot yksittäisistä asiakkaista tai asiakaskokonaisuuksista, joilta laitoksella on saamisia.</w:t>
      </w:r>
    </w:p>
    <w:p w:rsidR="00B0191A" w:rsidRPr="0039317F" w:rsidRDefault="009362E7" w:rsidP="0039317F">
      <w:pPr>
        <w:pStyle w:val="InstructionsText2"/>
        <w:rPr>
          <w:rFonts w:eastAsia="Arial"/>
        </w:rPr>
      </w:pPr>
      <w:r>
        <w:t>LE</w:t>
      </w:r>
      <w:r w:rsidRPr="00F1628A">
        <w:t>2</w:t>
      </w:r>
      <w:r>
        <w:t>- ja LE</w:t>
      </w:r>
      <w:r w:rsidRPr="00F1628A">
        <w:t>3</w:t>
      </w:r>
      <w:r>
        <w:t xml:space="preserve">-lomakkeiden sarakkeissa on esitettävä seuraavat tiedot:   </w:t>
      </w:r>
    </w:p>
    <w:p w:rsidR="00B0191A" w:rsidRPr="0039317F" w:rsidRDefault="001E0F83" w:rsidP="000F0ADE">
      <w:pPr>
        <w:pStyle w:val="InstructionsText2"/>
        <w:numPr>
          <w:ilvl w:val="1"/>
          <w:numId w:val="15"/>
        </w:numPr>
        <w:rPr>
          <w:rFonts w:eastAsia="Arial"/>
        </w:rPr>
      </w:pPr>
      <w:r>
        <w:t>vastuuarvo ennen vapautusten soveltamista ja ennen kuin on otettu huomioon luottoriskin vähentämisen vaikutus, mukaan lukien välitön ja välillinen vastuu ja lisävastuut liiketoimista, joissa vastuu johtuu kohde-etuutena olevasta oma</w:t>
      </w:r>
      <w:r>
        <w:t>i</w:t>
      </w:r>
      <w:r>
        <w:t>suuserästä;</w:t>
      </w:r>
    </w:p>
    <w:p w:rsidR="00B0191A" w:rsidRPr="0039317F" w:rsidRDefault="001E0F83" w:rsidP="000F0ADE">
      <w:pPr>
        <w:pStyle w:val="InstructionsText2"/>
        <w:numPr>
          <w:ilvl w:val="1"/>
          <w:numId w:val="15"/>
        </w:numPr>
        <w:rPr>
          <w:rFonts w:eastAsia="Arial"/>
        </w:rPr>
      </w:pPr>
      <w:r>
        <w:t>vapautusten ja luottoriskin vähentämistekniikoiden vaikutus;</w:t>
      </w:r>
    </w:p>
    <w:p w:rsidR="00B0191A" w:rsidRPr="0039317F" w:rsidRDefault="001E0F83">
      <w:pPr>
        <w:pStyle w:val="InstructionsText2"/>
        <w:numPr>
          <w:ilvl w:val="1"/>
          <w:numId w:val="15"/>
        </w:numPr>
        <w:rPr>
          <w:rFonts w:eastAsia="Arial"/>
        </w:rPr>
      </w:pPr>
      <w:r>
        <w:t xml:space="preserve">vakavaraisuusasetuksen </w:t>
      </w:r>
      <w:r w:rsidRPr="00F1628A">
        <w:t>395</w:t>
      </w:r>
      <w:r>
        <w:t xml:space="preserve"> artiklan </w:t>
      </w:r>
      <w:r w:rsidRPr="00F1628A">
        <w:t>1</w:t>
      </w:r>
      <w:r>
        <w:t xml:space="preserve"> kohdan soveltamista varten laskettu vastuuarvo vapautusten soveltamisen jälkeen ja kun on otettu huomioon luott</w:t>
      </w:r>
      <w:r>
        <w:t>o</w:t>
      </w:r>
      <w:r>
        <w:t xml:space="preserve">riskin vähentämisen vaikutus. </w:t>
      </w:r>
    </w:p>
    <w:p w:rsidR="00B0191A" w:rsidRPr="0039317F" w:rsidRDefault="00B4530A" w:rsidP="0039317F">
      <w:pPr>
        <w:pStyle w:val="InstructionsText2"/>
        <w:rPr>
          <w:rFonts w:eastAsia="Arial"/>
        </w:rPr>
      </w:pPr>
      <w:r>
        <w:t>LE</w:t>
      </w:r>
      <w:r w:rsidRPr="00F1628A">
        <w:t>4</w:t>
      </w:r>
      <w:r>
        <w:t>- ja LE</w:t>
      </w:r>
      <w:r w:rsidRPr="00F1628A">
        <w:t>5</w:t>
      </w:r>
      <w:r>
        <w:t>-lomakkeiden sarakkeissa esitetään tiedot siitä, mihin maturiteettiluo</w:t>
      </w:r>
      <w:r>
        <w:t>k</w:t>
      </w:r>
      <w:r>
        <w:t>kaan on kohdennettava odotettavissa olevat erääntyvät määrät, jotka koskevat ky</w:t>
      </w:r>
      <w:r>
        <w:t>m</w:t>
      </w:r>
      <w:r>
        <w:t>mentä suurinta vastuuta laitosten osalta ja kymmentä suurinta vastuuta sääntelemätt</w:t>
      </w:r>
      <w:r>
        <w:t>ö</w:t>
      </w:r>
      <w:r>
        <w:t xml:space="preserve">mien rahoitusalan yhteisöjen osalta. </w:t>
      </w:r>
    </w:p>
    <w:p w:rsidR="006443CC" w:rsidRPr="00384ADB" w:rsidRDefault="00B945FE" w:rsidP="00C52CE2">
      <w:pPr>
        <w:pStyle w:val="Instructionsberschrift2"/>
        <w:numPr>
          <w:ilvl w:val="0"/>
          <w:numId w:val="22"/>
        </w:numPr>
        <w:rPr>
          <w:rFonts w:ascii="Times New Roman" w:eastAsia="Arial" w:hAnsi="Times New Roman" w:cs="Times New Roman"/>
          <w:b/>
          <w:sz w:val="24"/>
          <w:u w:val="none"/>
        </w:rPr>
      </w:pPr>
      <w:bookmarkStart w:id="17" w:name="_Toc393461956"/>
      <w:bookmarkStart w:id="18" w:name="_Toc523746697"/>
      <w:r>
        <w:rPr>
          <w:rFonts w:ascii="Times New Roman" w:hAnsi="Times New Roman"/>
          <w:b/>
          <w:sz w:val="24"/>
          <w:u w:val="none"/>
        </w:rPr>
        <w:t>LE-raportointia varten käytettävät määritelmät ja yleiset ohjeet</w:t>
      </w:r>
      <w:bookmarkEnd w:id="17"/>
      <w:bookmarkEnd w:id="18"/>
    </w:p>
    <w:p w:rsidR="001E0F83" w:rsidRPr="0039317F" w:rsidRDefault="00B945FE" w:rsidP="0039317F">
      <w:pPr>
        <w:pStyle w:val="InstructionsText2"/>
        <w:rPr>
          <w:rFonts w:eastAsia="Arial"/>
        </w:rPr>
      </w:pPr>
      <w:r>
        <w:t xml:space="preserve">”Asiakaskokonaisuus” määritellään vakavaraisuusasetuksen </w:t>
      </w:r>
      <w:r w:rsidRPr="00F1628A">
        <w:t>4</w:t>
      </w:r>
      <w:r>
        <w:t xml:space="preserve"> artiklan </w:t>
      </w:r>
      <w:r w:rsidRPr="00F1628A">
        <w:t>1</w:t>
      </w:r>
      <w:r>
        <w:t xml:space="preserve"> kohdan </w:t>
      </w:r>
      <w:r w:rsidRPr="00F1628A">
        <w:t>39</w:t>
      </w:r>
      <w:r>
        <w:t xml:space="preserve"> alakohdassa.</w:t>
      </w:r>
    </w:p>
    <w:p w:rsidR="00B0191A" w:rsidRPr="0039317F" w:rsidRDefault="00915A9C" w:rsidP="0039317F">
      <w:pPr>
        <w:pStyle w:val="InstructionsText2"/>
        <w:rPr>
          <w:rFonts w:eastAsia="Arial"/>
        </w:rPr>
      </w:pPr>
      <w:r>
        <w:t xml:space="preserve">”Sääntelemätön rahoitusalan yhteisö” määritellään vakavaraisuusasetuksen </w:t>
      </w:r>
      <w:r w:rsidRPr="00F1628A">
        <w:t>142</w:t>
      </w:r>
      <w:r>
        <w:t xml:space="preserve"> arti</w:t>
      </w:r>
      <w:r>
        <w:t>k</w:t>
      </w:r>
      <w:r>
        <w:t xml:space="preserve">lan </w:t>
      </w:r>
      <w:r w:rsidRPr="00F1628A">
        <w:t>1</w:t>
      </w:r>
      <w:r>
        <w:t xml:space="preserve"> kohdan </w:t>
      </w:r>
      <w:r w:rsidRPr="00F1628A">
        <w:t>5</w:t>
      </w:r>
      <w:r>
        <w:t xml:space="preserve"> alakohdassa.  </w:t>
      </w:r>
    </w:p>
    <w:p w:rsidR="00B0191A" w:rsidRPr="0039317F" w:rsidRDefault="00D441A7" w:rsidP="0039317F">
      <w:pPr>
        <w:pStyle w:val="InstructionsText2"/>
        <w:rPr>
          <w:rFonts w:eastAsia="Arial"/>
        </w:rPr>
      </w:pPr>
      <w:r>
        <w:t xml:space="preserve">”Laitos” määritellään vakavaraisuusasetuksen </w:t>
      </w:r>
      <w:r w:rsidRPr="00F1628A">
        <w:t>4</w:t>
      </w:r>
      <w:r>
        <w:t xml:space="preserve"> artiklan </w:t>
      </w:r>
      <w:r w:rsidRPr="00F1628A">
        <w:t>1</w:t>
      </w:r>
      <w:r>
        <w:t xml:space="preserve"> kohdan </w:t>
      </w:r>
      <w:r w:rsidRPr="00F1628A">
        <w:t>3</w:t>
      </w:r>
      <w:r>
        <w:t xml:space="preserve"> alakohdassa.  </w:t>
      </w:r>
    </w:p>
    <w:p w:rsidR="00B0191A" w:rsidRPr="0039317F" w:rsidRDefault="009B34D1" w:rsidP="0039317F">
      <w:pPr>
        <w:pStyle w:val="InstructionsText2"/>
        <w:rPr>
          <w:rFonts w:eastAsia="Arial"/>
        </w:rPr>
      </w:pPr>
      <w:r>
        <w:t>”Siviilioikeudellisten yhtiöiden” vastuut on ilmoitettava. Lisäksi laitosten on lisättävä siviilioikeudellisen yhtiön luottomäärät kunkin kumppanin velkaantuneisuuteen. Sivi</w:t>
      </w:r>
      <w:r>
        <w:t>i</w:t>
      </w:r>
      <w:r>
        <w:t>lioikeudellisten yhtiöiden kiintiöidyt vastuut jaetaan tai kohdennetaan kumppaneiden kesken kunkin kiintiön mukaisesti. Tietyt rakenteet (esimerkiksi yhteistilit, perillisten yhteisomistus, bulvaanilainat), jotka toimivat tosiasiallisesti siviilioikeudellisina yht</w:t>
      </w:r>
      <w:r>
        <w:t>i</w:t>
      </w:r>
      <w:r>
        <w:t xml:space="preserve">öinä, on ilmoitettava aivan samalla tavoin. </w:t>
      </w:r>
    </w:p>
    <w:p w:rsidR="00910E26" w:rsidRPr="0039317F" w:rsidRDefault="00D441A7" w:rsidP="0039317F">
      <w:pPr>
        <w:pStyle w:val="InstructionsText2"/>
        <w:rPr>
          <w:rFonts w:eastAsia="Arial"/>
        </w:rPr>
      </w:pPr>
      <w:r>
        <w:t>Omaisuuseriä ja taseen ulkopuolisia eriä on käytettävä ilman riskipainoja tai riskiaste</w:t>
      </w:r>
      <w:r>
        <w:t>i</w:t>
      </w:r>
      <w:r>
        <w:t xml:space="preserve">ta vakavaraisuusasetuksen </w:t>
      </w:r>
      <w:r w:rsidRPr="00F1628A">
        <w:t>389</w:t>
      </w:r>
      <w:r>
        <w:t xml:space="preserve"> artiklan mukaisesti. Luottovasta-arvokertoimia ei s</w:t>
      </w:r>
      <w:r>
        <w:t>o</w:t>
      </w:r>
      <w:r>
        <w:t>velleta taseen ulkopuolisiin eriin.</w:t>
      </w:r>
    </w:p>
    <w:p w:rsidR="00B0191A" w:rsidRPr="0039317F" w:rsidRDefault="0039317F" w:rsidP="0039317F">
      <w:pPr>
        <w:pStyle w:val="InstructionsText2"/>
        <w:rPr>
          <w:rFonts w:eastAsia="Arial"/>
        </w:rPr>
      </w:pPr>
      <w:r>
        <w:t xml:space="preserve"> ”Vastuut” määritellään vakavaraisuusasetuksen </w:t>
      </w:r>
      <w:r w:rsidRPr="00F1628A">
        <w:t>389</w:t>
      </w:r>
      <w:r>
        <w:t xml:space="preserve"> artiklassa: </w:t>
      </w:r>
    </w:p>
    <w:p w:rsidR="00B0191A" w:rsidRPr="0039317F" w:rsidRDefault="001243C8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>
        <w:t xml:space="preserve">kaikki kaupankäyntivarastoon ja sen ulkopuolisiin eriin sisältyvät omaisuuserät ja taseen ulkopuoliset erät, mukaan lukien vakavaraisuusasetuksen </w:t>
      </w:r>
      <w:r w:rsidRPr="00F1628A">
        <w:t>400</w:t>
      </w:r>
      <w:r>
        <w:t xml:space="preserve"> arti</w:t>
      </w:r>
      <w:r>
        <w:t>k</w:t>
      </w:r>
      <w:r>
        <w:t>lassa määritetyt erät, lukuun ottamatta kuitenkaan eriä, jotka kuuluvat vakav</w:t>
      </w:r>
      <w:r>
        <w:t>a</w:t>
      </w:r>
      <w:r>
        <w:t xml:space="preserve">raisuusasetuksen </w:t>
      </w:r>
      <w:r w:rsidRPr="00F1628A">
        <w:t>390</w:t>
      </w:r>
      <w:r>
        <w:t xml:space="preserve"> artiklan </w:t>
      </w:r>
      <w:r w:rsidRPr="00F1628A">
        <w:t>6</w:t>
      </w:r>
      <w:r>
        <w:t xml:space="preserve"> kohdan a–d alakohdan soveltamisalaan; </w:t>
      </w:r>
    </w:p>
    <w:p w:rsidR="00B0191A" w:rsidRPr="0039317F" w:rsidRDefault="00AB5AE4" w:rsidP="000F0ADE">
      <w:pPr>
        <w:pStyle w:val="InstructionsText2"/>
        <w:numPr>
          <w:ilvl w:val="1"/>
          <w:numId w:val="15"/>
        </w:numPr>
        <w:rPr>
          <w:rFonts w:eastAsia="Arial"/>
        </w:rPr>
      </w:pPr>
      <w:r>
        <w:lastRenderedPageBreak/>
        <w:t>”välilliset vastuut” ovat vastuita, jotka kohdennetaan takaajalle tai vaku</w:t>
      </w:r>
      <w:r>
        <w:t>u</w:t>
      </w:r>
      <w:r>
        <w:t xml:space="preserve">denantajalle eikä niinkään varsinaiselle lainanottajalle vakavaraisuusasetuksen </w:t>
      </w:r>
      <w:r w:rsidRPr="00F1628A">
        <w:t>403</w:t>
      </w:r>
      <w:r>
        <w:t xml:space="preserve"> artiklan mukaisesti. [</w:t>
      </w:r>
      <w:r>
        <w:rPr>
          <w:i/>
        </w:rPr>
        <w:t>Tässä esitetyt määritelmät eivät missään tapauksessa saa poiketa perussäädöksessä annetuista määritelmistä.</w:t>
      </w:r>
      <w:r>
        <w:t>]</w:t>
      </w:r>
    </w:p>
    <w:p w:rsidR="00B0191A" w:rsidRPr="0039317F" w:rsidRDefault="00F40CD9" w:rsidP="0039317F">
      <w:pPr>
        <w:pStyle w:val="InstructionsText2"/>
        <w:rPr>
          <w:rFonts w:eastAsia="Arial"/>
        </w:rPr>
      </w:pPr>
      <w:r>
        <w:t xml:space="preserve">Asiakaskokonaisuuskohtaiset vastuut lasketaan </w:t>
      </w:r>
      <w:r w:rsidRPr="00F1628A">
        <w:t>390</w:t>
      </w:r>
      <w:r>
        <w:t xml:space="preserve"> artiklan </w:t>
      </w:r>
      <w:r w:rsidRPr="00F1628A">
        <w:t>5</w:t>
      </w:r>
      <w:r>
        <w:t xml:space="preserve"> kohdan mukaisesti.</w:t>
      </w:r>
    </w:p>
    <w:p w:rsidR="0008722B" w:rsidRPr="0039317F" w:rsidRDefault="008645CF" w:rsidP="0039317F">
      <w:pPr>
        <w:pStyle w:val="InstructionsText2"/>
        <w:rPr>
          <w:rFonts w:eastAsia="Arial"/>
        </w:rPr>
      </w:pPr>
      <w:r>
        <w:t>”Nettoutussopimukset” voidaan ottaa huomioon laskettaessa suuren asiakasriskin va</w:t>
      </w:r>
      <w:r>
        <w:t>s</w:t>
      </w:r>
      <w:r>
        <w:t xml:space="preserve">tuuarvon vaikutuksia vakavaraisuusasetuksen </w:t>
      </w:r>
      <w:r w:rsidRPr="00F1628A">
        <w:t>390</w:t>
      </w:r>
      <w:r>
        <w:t xml:space="preserve"> artiklan </w:t>
      </w:r>
      <w:r w:rsidRPr="00F1628A">
        <w:t>1</w:t>
      </w:r>
      <w:r>
        <w:t xml:space="preserve">, </w:t>
      </w:r>
      <w:r w:rsidRPr="00F1628A">
        <w:t>2</w:t>
      </w:r>
      <w:r>
        <w:t xml:space="preserve"> ja </w:t>
      </w:r>
      <w:r w:rsidRPr="00F1628A">
        <w:t>3</w:t>
      </w:r>
      <w:r>
        <w:t xml:space="preserve"> kohdan mukaisesti. Vakavaraisuusasetuksen liitteessä II lueteltujen johdannaissopimusten vastuuarvo määritetään vakavaraisuusasetuksen kolmannen osan II osaston </w:t>
      </w:r>
      <w:r w:rsidRPr="00F1628A">
        <w:t>6</w:t>
      </w:r>
      <w:r>
        <w:t xml:space="preserve"> luvun mukaisesti. Uudistamissopimusten ja muiden nettoutussopimusten vaikutukset on otettava huom</w:t>
      </w:r>
      <w:r>
        <w:t>i</w:t>
      </w:r>
      <w:r>
        <w:t xml:space="preserve">oon sovellettaessa kyseisiä menetelmiä vakavaraisuusasetuksen kolmannen osan II osaston </w:t>
      </w:r>
      <w:r w:rsidRPr="00F1628A">
        <w:t>6</w:t>
      </w:r>
      <w:r>
        <w:t xml:space="preserve"> luvun mukaisesti. Takaisinostotransaktion, arvopapereiden tai hyödykkeiden lainaksi antamisen tai lainaksi ottamisen, pitkän selvitysajan liiketoimien ja vakuude</w:t>
      </w:r>
      <w:r>
        <w:t>l</w:t>
      </w:r>
      <w:r>
        <w:t xml:space="preserve">lisen limiittiluotonannon vastuuarvo voidaan määrittää joko vakavaraisuusasetuksen kolmannen osan II osaston </w:t>
      </w:r>
      <w:r w:rsidRPr="00F1628A">
        <w:t>4</w:t>
      </w:r>
      <w:r>
        <w:t xml:space="preserve"> tai </w:t>
      </w:r>
      <w:r w:rsidRPr="00F1628A">
        <w:t>6</w:t>
      </w:r>
      <w:r>
        <w:t xml:space="preserve"> luvun mukaisesti. Raportoivan laitoksen vastapu</w:t>
      </w:r>
      <w:r>
        <w:t>o</w:t>
      </w:r>
      <w:r>
        <w:t xml:space="preserve">len kanssa tehtyyn vakavaraisuusasetuksen </w:t>
      </w:r>
      <w:r w:rsidRPr="00F1628A">
        <w:t>296</w:t>
      </w:r>
      <w:r>
        <w:t xml:space="preserve"> artiklassa tarkoitettuun tuotteiden ri</w:t>
      </w:r>
      <w:r>
        <w:t>s</w:t>
      </w:r>
      <w:r>
        <w:t>tikkäisnettoutusta koskevaan nettoutussopimukseen perustuvan yhden yhtenäisen o</w:t>
      </w:r>
      <w:r>
        <w:t>i</w:t>
      </w:r>
      <w:r>
        <w:t>keudellisen velvoitteen vastuuarvo ilmoitetaan ”muina sitoumuksina” LE-lomakkeissa.</w:t>
      </w:r>
    </w:p>
    <w:p w:rsidR="00AB28E2" w:rsidRPr="0039317F" w:rsidRDefault="001E0F83" w:rsidP="0039317F">
      <w:pPr>
        <w:pStyle w:val="InstructionsText2"/>
        <w:rPr>
          <w:rFonts w:eastAsia="Arial"/>
        </w:rPr>
      </w:pPr>
      <w:r>
        <w:t xml:space="preserve">”Vastuuarvo” lasketaan vakavaraisuusasetuksen </w:t>
      </w:r>
      <w:r w:rsidRPr="00F1628A">
        <w:t>390</w:t>
      </w:r>
      <w:r>
        <w:t xml:space="preserve"> artiklan mukaisesti.</w:t>
      </w:r>
    </w:p>
    <w:p w:rsidR="00B0191A" w:rsidRPr="0039317F" w:rsidRDefault="001E0F83" w:rsidP="0039317F">
      <w:pPr>
        <w:pStyle w:val="InstructionsText2"/>
        <w:rPr>
          <w:rFonts w:eastAsia="Arial"/>
        </w:rPr>
      </w:pPr>
      <w:r>
        <w:t>Vapautusten täyden tai osittaisen soveltamisen ja hyväksyttävien luottoriskin vähe</w:t>
      </w:r>
      <w:r>
        <w:t>n</w:t>
      </w:r>
      <w:r>
        <w:t xml:space="preserve">tämistekniikoiden vaikutusta vakavaraisuusasetuksen </w:t>
      </w:r>
      <w:r w:rsidRPr="00F1628A">
        <w:t>395</w:t>
      </w:r>
      <w:r>
        <w:t xml:space="preserve"> artiklan </w:t>
      </w:r>
      <w:r w:rsidRPr="00F1628A">
        <w:t>1</w:t>
      </w:r>
      <w:r>
        <w:t xml:space="preserve"> kohdan mukaista vastuiden laskemista varten kuvataan vakavaraisuusasetuksen </w:t>
      </w:r>
      <w:r w:rsidRPr="00F1628A">
        <w:t>399</w:t>
      </w:r>
      <w:r>
        <w:t>–</w:t>
      </w:r>
      <w:r w:rsidRPr="00F1628A">
        <w:t>403</w:t>
      </w:r>
      <w:r>
        <w:t xml:space="preserve"> artiklassa. </w:t>
      </w:r>
    </w:p>
    <w:p w:rsidR="00AB28E2" w:rsidRPr="0039317F" w:rsidRDefault="0017740A" w:rsidP="0039317F">
      <w:pPr>
        <w:pStyle w:val="InstructionsText2"/>
        <w:rPr>
          <w:rFonts w:eastAsia="Arial"/>
        </w:rPr>
      </w:pPr>
      <w:r>
        <w:t>Takaisinmyyntisopimukset, jotka kuuluvat suurten asiakasriskien ilmoittamisen pi</w:t>
      </w:r>
      <w:r>
        <w:t>i</w:t>
      </w:r>
      <w:r>
        <w:t xml:space="preserve">riin, ilmoitetaan vakavaraisuusasetuksen </w:t>
      </w:r>
      <w:r w:rsidRPr="00F1628A">
        <w:t>402</w:t>
      </w:r>
      <w:r>
        <w:t xml:space="preserve"> artiklan </w:t>
      </w:r>
      <w:r w:rsidRPr="00F1628A">
        <w:t>3</w:t>
      </w:r>
      <w:r>
        <w:t xml:space="preserve"> kohdan mukaisesti. Edellytt</w:t>
      </w:r>
      <w:r>
        <w:t>ä</w:t>
      </w:r>
      <w:r>
        <w:t xml:space="preserve">en, että vakavaraisuusasetuksen </w:t>
      </w:r>
      <w:r w:rsidRPr="00F1628A">
        <w:t>402</w:t>
      </w:r>
      <w:r>
        <w:t xml:space="preserve"> artiklan </w:t>
      </w:r>
      <w:r w:rsidRPr="00F1628A">
        <w:t>3</w:t>
      </w:r>
      <w:r>
        <w:t xml:space="preserve"> kohdassa asetetut kriteerit täyttyvät, la</w:t>
      </w:r>
      <w:r>
        <w:t>i</w:t>
      </w:r>
      <w:r>
        <w:t>tos ilmoittaa kunkin kolmannen osapuolen suurista asiakasriskeistä vaateen määrän, joka transaktion vastapuolella on kolmannen osapuolen suhteen, ei siis vastapuolen vastuun määrää.</w:t>
      </w:r>
    </w:p>
    <w:p w:rsidR="00B0191A" w:rsidRPr="00384ADB" w:rsidRDefault="00B0191A" w:rsidP="00FD4656">
      <w:pPr>
        <w:rPr>
          <w:rFonts w:eastAsia="Arial"/>
        </w:rPr>
      </w:pPr>
    </w:p>
    <w:p w:rsidR="00C83135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9" w:name="_Toc393461957"/>
      <w:bookmarkStart w:id="20" w:name="_Toc523746698"/>
      <w:r>
        <w:rPr>
          <w:rFonts w:ascii="Times New Roman" w:hAnsi="Times New Roman"/>
          <w:b/>
          <w:sz w:val="24"/>
          <w:u w:val="none"/>
        </w:rPr>
        <w:t xml:space="preserve">C </w:t>
      </w:r>
      <w:r w:rsidRPr="00F1628A">
        <w:rPr>
          <w:rFonts w:ascii="Times New Roman" w:hAnsi="Times New Roman"/>
          <w:b/>
          <w:sz w:val="24"/>
          <w:u w:val="none"/>
        </w:rPr>
        <w:t>26</w:t>
      </w:r>
      <w:r>
        <w:rPr>
          <w:rFonts w:ascii="Times New Roman" w:hAnsi="Times New Roman"/>
          <w:b/>
          <w:sz w:val="24"/>
          <w:u w:val="none"/>
        </w:rPr>
        <w:t>.</w:t>
      </w:r>
      <w:r w:rsidRPr="00F1628A">
        <w:rPr>
          <w:rFonts w:ascii="Times New Roman" w:hAnsi="Times New Roman"/>
          <w:b/>
          <w:sz w:val="24"/>
          <w:u w:val="none"/>
        </w:rPr>
        <w:t>00</w:t>
      </w:r>
      <w:r>
        <w:rPr>
          <w:rFonts w:ascii="Times New Roman" w:hAnsi="Times New Roman"/>
          <w:b/>
          <w:sz w:val="24"/>
          <w:u w:val="none"/>
        </w:rPr>
        <w:t xml:space="preserve"> – LE-ylärajoja koskeva lomake</w:t>
      </w:r>
      <w:bookmarkEnd w:id="19"/>
      <w:bookmarkEnd w:id="20"/>
    </w:p>
    <w:p w:rsidR="00C83135" w:rsidRPr="00384ADB" w:rsidRDefault="00C8313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1" w:name="_Toc393461958"/>
      <w:bookmarkStart w:id="22" w:name="_Toc523746699"/>
      <w:r>
        <w:rPr>
          <w:rFonts w:ascii="Times New Roman" w:hAnsi="Times New Roman"/>
          <w:sz w:val="24"/>
        </w:rPr>
        <w:t>Tiettyjä rivejä koskevat ohjeet</w:t>
      </w:r>
      <w:bookmarkEnd w:id="21"/>
      <w:bookmarkEnd w:id="22"/>
    </w:p>
    <w:p w:rsidR="00C83135" w:rsidRPr="00384ADB" w:rsidRDefault="00C83135" w:rsidP="0039317F">
      <w:pPr>
        <w:pStyle w:val="InstructionsText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C83135" w:rsidRPr="00384ADB" w:rsidTr="00C83135">
        <w:tc>
          <w:tcPr>
            <w:tcW w:w="1418" w:type="dxa"/>
            <w:shd w:val="clear" w:color="auto" w:fill="D9D9D9"/>
          </w:tcPr>
          <w:p w:rsidR="00C83135" w:rsidRPr="00384ADB" w:rsidRDefault="00C83135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Rivit</w:t>
            </w:r>
          </w:p>
        </w:tc>
        <w:tc>
          <w:tcPr>
            <w:tcW w:w="7620" w:type="dxa"/>
            <w:shd w:val="clear" w:color="auto" w:fill="D9D9D9"/>
          </w:tcPr>
          <w:p w:rsidR="00B0191A" w:rsidRPr="00384ADB" w:rsidRDefault="00C83135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Lainsäädäntöviittaukset ja ohjeet</w:t>
            </w:r>
          </w:p>
        </w:tc>
      </w:tr>
      <w:tr w:rsidR="00C83135" w:rsidRPr="00384ADB" w:rsidTr="00C83135">
        <w:tc>
          <w:tcPr>
            <w:tcW w:w="1418" w:type="dxa"/>
          </w:tcPr>
          <w:p w:rsidR="00C83135" w:rsidRPr="00384ADB" w:rsidRDefault="00C8313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:rsidR="00702E1B" w:rsidRPr="00384ADB" w:rsidRDefault="00702E1B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Muut kuin laitokset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2F1033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Vakavaraisuusasetuksen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kohta,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458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2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kohdan d al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kohdan ii alakohta,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458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kohta ja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459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b alakohta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702E1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Ilmoitetaan sovellettava yläraja sellaisten vastapuolten osalta, jotka eivät ole laitoksia. Tämä määrä on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25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 % hyväksyttävästä pääomasta, joka on ilmoite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tu liitteen I lomakkeen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4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rivillä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226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mikäli ei sovelleta tiukempaa prosen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timäärää vakavaraisuusasetuksen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458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mukaisten kansallisten to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menpiteiden tai vakavaraisuusasetuksen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459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b alakohdan mukaisesti hyväksyttyjen delegoitujen säädösten soveltamisen vuoksi. </w:t>
            </w:r>
          </w:p>
          <w:p w:rsidR="00B0191A" w:rsidRPr="00384ADB" w:rsidRDefault="002F4A3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</w:tc>
      </w:tr>
      <w:tr w:rsidR="00C83135" w:rsidRPr="00384ADB" w:rsidTr="00C83135">
        <w:tc>
          <w:tcPr>
            <w:tcW w:w="1418" w:type="dxa"/>
          </w:tcPr>
          <w:p w:rsidR="00C83135" w:rsidRPr="00384ADB" w:rsidRDefault="00C8313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020</w:t>
            </w:r>
          </w:p>
        </w:tc>
        <w:tc>
          <w:tcPr>
            <w:tcW w:w="7620" w:type="dxa"/>
          </w:tcPr>
          <w:p w:rsidR="00C83135" w:rsidRPr="00384ADB" w:rsidRDefault="001A4F5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Laitokset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1A4F56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Vakavaraisuusasetuksen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kohta,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458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2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kohdan d al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kohdan ii alakohta,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458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kohta ja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459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b alakohta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Ilmoitetaan sovellettava yläraja sellaisten vastapuolten osalta, jotka ovat la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toksia. Vakavaraisuusasetuksen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kohdan mukaisesti tämä mä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ä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rä on seuraava: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F7508F">
            <w:pPr>
              <w:pStyle w:val="InstructionsText"/>
              <w:numPr>
                <w:ilvl w:val="0"/>
                <w:numId w:val="26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jos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25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 % hyväksyttävästä pääomasta on yli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150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miljoonaa euroa (tai jos toimivaltainen viranomainen on asettanut alle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150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miljoonan 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u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ron ylärajan vakavaraisuusasetuksen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kohdan kolma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n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nen alakohdan mukaisesti), ilmoitetaan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25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 % hyväksyttävästä pä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ä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omasta;</w:t>
            </w:r>
          </w:p>
          <w:p w:rsidR="00704405" w:rsidRPr="00384ADB" w:rsidRDefault="0070440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F7508F">
            <w:pPr>
              <w:pStyle w:val="InstructionsText"/>
              <w:numPr>
                <w:ilvl w:val="0"/>
                <w:numId w:val="26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jos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150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miljoonaa euroa (tai tätä alempi yläraja, jonka toimivaltainen viranomainen on asettanut vakavaraisuusasetuksen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kohdan kolmannen alakohdan mukaisesti) on yli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25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 % laitoksen h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y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väksyttävästä pääomasta, ilmoitetaan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150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miljoonaa euroa (tai toim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valtaisen viranomaisen asettama alempi yläraja). Jos laitos on määri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tänyt alemman ylärajan hyväksyttävän pääomansa osalta mainitun asetuksen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kohdan toisen alakohdan mukaisesti, ilmo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tetaan kyseinen yläraja. </w:t>
            </w:r>
          </w:p>
          <w:p w:rsidR="007F3F93" w:rsidRPr="00384ADB" w:rsidRDefault="007F3F9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7F3F93" w:rsidRPr="00384ADB" w:rsidRDefault="002F4A3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Kyseiset ylärajat voivat olla tiukemmat sovellettaessa vakavaraisuusasetu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k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6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kohdan tai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458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mukaisia kansallisia toimenpiteitä tai vakavaraisuusasetuksen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459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b alakohdan mukaisesti hyväksytt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y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jä delegoituja säädöksiä.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C83135" w:rsidRPr="00384ADB" w:rsidTr="00C83135">
        <w:tc>
          <w:tcPr>
            <w:tcW w:w="1418" w:type="dxa"/>
          </w:tcPr>
          <w:p w:rsidR="00C83135" w:rsidRPr="00384ADB" w:rsidRDefault="00C8313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:rsidR="00702E1B" w:rsidRPr="00384ADB" w:rsidRDefault="001A4F5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Laitokset prosentteina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1A4F56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Vakavaraisuusasetuksen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kohta ja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459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a alakohta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586D8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Ilmoitettava määrä on absoluuttinen yläraja (ilmoitettu rivillä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020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) ilmaist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u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na prosenttiosuutena hyväksyttävästä pääomasta.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</w:tbl>
    <w:p w:rsidR="00C83135" w:rsidRPr="00384ADB" w:rsidRDefault="00C83135" w:rsidP="0039317F">
      <w:pPr>
        <w:pStyle w:val="InstructionsText"/>
      </w:pPr>
    </w:p>
    <w:p w:rsidR="00634B45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23" w:name="_Toc393461959"/>
      <w:bookmarkStart w:id="24" w:name="_Toc523746700"/>
      <w:r>
        <w:rPr>
          <w:rFonts w:ascii="Times New Roman" w:hAnsi="Times New Roman"/>
          <w:b/>
          <w:sz w:val="24"/>
          <w:u w:val="none"/>
        </w:rPr>
        <w:t xml:space="preserve">C </w:t>
      </w:r>
      <w:r w:rsidRPr="00F1628A">
        <w:rPr>
          <w:rFonts w:ascii="Times New Roman" w:hAnsi="Times New Roman"/>
          <w:b/>
          <w:sz w:val="24"/>
          <w:u w:val="none"/>
        </w:rPr>
        <w:t>27</w:t>
      </w:r>
      <w:r>
        <w:rPr>
          <w:rFonts w:ascii="Times New Roman" w:hAnsi="Times New Roman"/>
          <w:b/>
          <w:sz w:val="24"/>
          <w:u w:val="none"/>
        </w:rPr>
        <w:t>.</w:t>
      </w:r>
      <w:r w:rsidRPr="00F1628A">
        <w:rPr>
          <w:rFonts w:ascii="Times New Roman" w:hAnsi="Times New Roman"/>
          <w:b/>
          <w:sz w:val="24"/>
          <w:u w:val="none"/>
        </w:rPr>
        <w:t>00</w:t>
      </w:r>
      <w:r>
        <w:rPr>
          <w:rFonts w:ascii="Times New Roman" w:hAnsi="Times New Roman"/>
          <w:b/>
          <w:sz w:val="24"/>
          <w:u w:val="none"/>
        </w:rPr>
        <w:t xml:space="preserve"> – Vastapuolen tunnistetiedot (LE</w:t>
      </w:r>
      <w:r w:rsidRPr="00F1628A">
        <w:rPr>
          <w:rFonts w:ascii="Times New Roman" w:hAnsi="Times New Roman"/>
          <w:b/>
          <w:sz w:val="24"/>
          <w:u w:val="none"/>
        </w:rPr>
        <w:t>1</w:t>
      </w:r>
      <w:r>
        <w:rPr>
          <w:rFonts w:ascii="Times New Roman" w:hAnsi="Times New Roman"/>
          <w:b/>
          <w:sz w:val="24"/>
          <w:u w:val="none"/>
        </w:rPr>
        <w:t>)</w:t>
      </w:r>
      <w:bookmarkEnd w:id="23"/>
      <w:bookmarkEnd w:id="24"/>
    </w:p>
    <w:p w:rsidR="00634B45" w:rsidRPr="00384ADB" w:rsidRDefault="00634B4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5" w:name="_Toc393461960"/>
      <w:bookmarkStart w:id="26" w:name="_Toc523746701"/>
      <w:r>
        <w:rPr>
          <w:rFonts w:ascii="Times New Roman" w:hAnsi="Times New Roman"/>
          <w:sz w:val="24"/>
        </w:rPr>
        <w:t>Tiettyjä sarakkeita koskevat ohjeet</w:t>
      </w:r>
      <w:bookmarkEnd w:id="25"/>
      <w:bookmarkEnd w:id="26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634B45" w:rsidRPr="00384ADB" w:rsidTr="00634B45">
        <w:tc>
          <w:tcPr>
            <w:tcW w:w="1418" w:type="dxa"/>
            <w:shd w:val="clear" w:color="auto" w:fill="D9D9D9"/>
          </w:tcPr>
          <w:p w:rsidR="00634B45" w:rsidRPr="00384ADB" w:rsidRDefault="00634B45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Sarake</w:t>
            </w:r>
          </w:p>
        </w:tc>
        <w:tc>
          <w:tcPr>
            <w:tcW w:w="7620" w:type="dxa"/>
            <w:shd w:val="clear" w:color="auto" w:fill="D9D9D9"/>
          </w:tcPr>
          <w:p w:rsidR="00634B45" w:rsidRPr="00384ADB" w:rsidRDefault="00634B45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Lainsäädäntöviittaukset ja ohjeet</w:t>
            </w:r>
          </w:p>
        </w:tc>
      </w:tr>
      <w:tr w:rsidR="00634B45" w:rsidRPr="00384ADB" w:rsidTr="00634B45">
        <w:tc>
          <w:tcPr>
            <w:tcW w:w="1418" w:type="dxa"/>
          </w:tcPr>
          <w:p w:rsidR="00634B45" w:rsidRPr="00384ADB" w:rsidRDefault="00634B4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–</w:t>
            </w: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070</w:t>
            </w:r>
          </w:p>
        </w:tc>
        <w:tc>
          <w:tcPr>
            <w:tcW w:w="7620" w:type="dxa"/>
          </w:tcPr>
          <w:p w:rsidR="00634B45" w:rsidRPr="00384ADB" w:rsidRDefault="00634B45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Vastapuolen tunnistetiedot:</w:t>
            </w:r>
          </w:p>
          <w:p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290EFB" w:rsidRPr="0039317F" w:rsidRDefault="0031054B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Laitokset ilmoittavat kaikkien niiden vastapuolten tunnistetiedot, joista 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n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netaan tietoja jollakin lomakkeista C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28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00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–C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31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00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 Asiakaskokonaisuuden tunnistetietoja ei ilmoiteta, jollei asiakaskokonaisuudelle ole yksilöllistä koodia kansallisessa ilmoitusjärjestelmässä.</w:t>
            </w:r>
          </w:p>
          <w:p w:rsidR="00B0191A" w:rsidRPr="0039317F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9317F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Vakavaraisuusasetuksen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394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kohdan a alakohdan mukaisesti la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tosten on ilmoitettava sellaisten vastapuolten tunnistetiedot, joiden osalta niillä on vakavaraisuusasetuksen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392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artiklassa määritelty suuri asiakasriski. </w:t>
            </w:r>
          </w:p>
          <w:p w:rsidR="00B0191A" w:rsidRPr="0039317F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9317F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Vakavaraisuusasetuksen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394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2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kohdan a alakohdan mukaisesti la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tosten on ilmoitettava sellaisten vastapuolten tunnistetiedot, joiden osalta niillä on suurimmat asiakasriskit (silloin kun vastapuoli on laitos tai säänt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lemätön rahoitusalan yhteisö).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CA42A9" w:rsidRPr="00384ADB" w:rsidTr="00186D4E">
        <w:trPr>
          <w:trHeight w:val="992"/>
        </w:trPr>
        <w:tc>
          <w:tcPr>
            <w:tcW w:w="1418" w:type="dxa"/>
          </w:tcPr>
          <w:p w:rsidR="00CA42A9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010</w:t>
            </w:r>
          </w:p>
        </w:tc>
        <w:tc>
          <w:tcPr>
            <w:tcW w:w="7620" w:type="dxa"/>
          </w:tcPr>
          <w:p w:rsidR="00CA42A9" w:rsidRPr="00384ADB" w:rsidRDefault="00CA42A9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Koodi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296D72" w:rsidRPr="00384ADB" w:rsidRDefault="00296D72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Koodi on rivitunniste, jonka on oltava kunkin taulukkorivin osalta yksilöll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nen.</w:t>
            </w:r>
          </w:p>
          <w:p w:rsidR="00296D72" w:rsidRDefault="00296D7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290EFB" w:rsidRPr="00384ADB" w:rsidRDefault="00290EF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Koodia käytetään yksittäisen vastapuolen tunnistamiseen. Tämän sarakkeen tarkoituksena on kuitenkin luoda yhteys lomakkeessa C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27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00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olevien vast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puolta koskevien tietojen ja lomakkeissa C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28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00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–C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31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00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ilmoitettujen va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tuiden välille. Asiakaskokonaisuuden koodia ei ilmoiteta, jollei asiakask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o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konaisuudelle ole yksilöllistä koodia kansallisessa ilmoitusjärjestelmässä. Koodeja on käytettävä johdonmukaisesti koko ajan.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Koodin kokoonpano riippuu kansallisesta ilmoitusjärjestelmästä, ellei unionilla ole yhtenäistä kodifiointia.</w:t>
            </w:r>
          </w:p>
          <w:p w:rsidR="00264B52" w:rsidRPr="00384ADB" w:rsidRDefault="00264B52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634B45" w:rsidRPr="00384ADB" w:rsidTr="0039317F">
        <w:trPr>
          <w:trHeight w:val="60"/>
        </w:trPr>
        <w:tc>
          <w:tcPr>
            <w:tcW w:w="1418" w:type="dxa"/>
          </w:tcPr>
          <w:p w:rsidR="00634B45" w:rsidRPr="00384ADB" w:rsidRDefault="00634B4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:rsidR="00634B45" w:rsidRPr="00384ADB" w:rsidRDefault="00634B45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Nimi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634B45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Nimen on vastattava ryhmän nimeä, jos ilmoitus koskee asiakaskokonaisuu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ta. Muussa tapauksessa nimen on vastattava yksittäistä vastapuolta.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Kun on kyse asiakaskokonaisuudesta, on ilmoitettava emoyrityksen nimi tai, ellei asiakaskokonaisuudella ole emoyritystä, ryhmän kaupallinen nimi.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:rsidTr="00634B45">
        <w:tc>
          <w:tcPr>
            <w:tcW w:w="1418" w:type="dxa"/>
          </w:tcPr>
          <w:p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LEI-koodi</w:t>
            </w:r>
          </w:p>
          <w:p w:rsidR="00B0191A" w:rsidRPr="00384ADB" w:rsidRDefault="00B0191A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0191A" w:rsidRPr="00384ADB" w:rsidRDefault="00965DE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Vastapuolen oikeushenkilötunnus.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965DED" w:rsidRPr="00384ADB" w:rsidTr="00634B45">
        <w:tc>
          <w:tcPr>
            <w:tcW w:w="1418" w:type="dxa"/>
          </w:tcPr>
          <w:p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Vastapuolen kotipaikka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8927C3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Käytetään vastapuolen rekisteröintimaan ISO-koodia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3166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–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-alpha-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2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(m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u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kaan lukien kansainvälisten järjestöjen ISO-pseudokoodit, jotka ovat saat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vissa Eurostatin maksutasekäsikirjan ”Balance of Payments Vademecum” viimeisimmästä painoksesta).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Asiakaskokonaisuuksista ei ilmoiteta kotipaikkaa.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:rsidTr="00634B45">
        <w:tc>
          <w:tcPr>
            <w:tcW w:w="1418" w:type="dxa"/>
          </w:tcPr>
          <w:p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Vastapuolen ala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965DE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Kullekin vastapuolelle valitaan yksi ala FINREPin talouden alaa koskevasta luokituksesta: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i) Keskuspankit;</w:t>
            </w:r>
          </w:p>
          <w:p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ii)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Julkisyhteisöt;</w:t>
            </w:r>
          </w:p>
          <w:p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iii)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Luottolaitokset;</w:t>
            </w:r>
          </w:p>
          <w:p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iv)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Vakavaraisuusasetuksen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4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kohdan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2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alakohdassa määritellyt sijoituspalveluyritykset;</w:t>
            </w:r>
          </w:p>
          <w:p w:rsidR="00470630" w:rsidRDefault="00470630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Muut rahoituslaitokset (lukuun ottamatta sijoituspalveluyrityksiä);</w:t>
            </w:r>
          </w:p>
          <w:p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Rahoitusalan ulkopuoliset yritykset;</w:t>
            </w:r>
          </w:p>
          <w:p w:rsidR="00B0191A" w:rsidRPr="00384ADB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vii)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Kotitaloudet. </w:t>
            </w:r>
          </w:p>
          <w:p w:rsidR="00B0191A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Asiakaskokonaisuuksista ei raportoida alaa.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:rsidTr="00634B45">
        <w:tc>
          <w:tcPr>
            <w:tcW w:w="1418" w:type="dxa"/>
          </w:tcPr>
          <w:p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060</w:t>
            </w:r>
          </w:p>
        </w:tc>
        <w:tc>
          <w:tcPr>
            <w:tcW w:w="7620" w:type="dxa"/>
          </w:tcPr>
          <w:p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NACE-koodi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Talouden ala ilmoitetaan käyttämällä NACE-koodeja (Nomenclature stati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tique des activités économiques dans l’Union européenne = Statistical Cla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sification of Economic Activities in the European Union, Euroopan unionin tilastollinen toimialaluokitus).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Tämä sarake koskee ainoastaan vastapuolia ”Muut rahoituslaitokset” ja ”R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hoitusalan ulkopuoliset yritykset”.  NACE-koodeja käytetään ”rahoitusalan ulkopuolisten yritysten” osalta yhden tason tarkkuudella (esimerkiksi ”F – Rakentaminen”) ja ”muiden rahoituslaitosten” osalta kahden tason tarkku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u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della niin, että ilmoitetaan erikseen myös vakuutustoimintaa koskevat tiedot (esimerkiksi ”K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65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– Vakuutus-, jälleenvakuutus- ja eläkevakuutustoiminta (pl. pakollinen sosiaalivakuutus)”). 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”Muiden rahoituslaitosten” ja ”rahoitusalan ulkopuolisten yritysten” talo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u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den alat luokitellaan FINREPin vastapuolia koskevan jaottelun perusteella.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Asiakaskokonaisuuksista ei ilmoiteta NACE-koodia.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:rsidTr="00634B45">
        <w:tc>
          <w:tcPr>
            <w:tcW w:w="1418" w:type="dxa"/>
          </w:tcPr>
          <w:p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070</w:t>
            </w:r>
          </w:p>
        </w:tc>
        <w:tc>
          <w:tcPr>
            <w:tcW w:w="7620" w:type="dxa"/>
          </w:tcPr>
          <w:p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Vastapuolityyppi 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 w:rsidP="000F0ADE">
            <w:pPr>
              <w:pStyle w:val="InstructionsText"/>
              <w:rPr>
                <w:rFonts w:eastAsia="Arial"/>
              </w:rPr>
            </w:pPr>
            <w:r>
              <w:t xml:space="preserve">Vakavaraisuusasetuksen </w:t>
            </w:r>
            <w:r w:rsidRPr="00F1628A">
              <w:t>394</w:t>
            </w:r>
            <w:r>
              <w:t xml:space="preserve"> artiklan </w:t>
            </w:r>
            <w:r w:rsidRPr="00F1628A">
              <w:t>2</w:t>
            </w:r>
            <w:r>
              <w:t xml:space="preserve"> kohta </w:t>
            </w:r>
            <w:r>
              <w:rPr>
                <w:i/>
              </w:rPr>
              <w:t xml:space="preserve"> </w:t>
            </w:r>
          </w:p>
          <w:p w:rsidR="00B0191A" w:rsidRPr="00384ADB" w:rsidRDefault="00B0191A">
            <w:pPr>
              <w:pStyle w:val="InstructionsText"/>
              <w:rPr>
                <w:rFonts w:eastAsia="Arial"/>
              </w:rPr>
            </w:pPr>
          </w:p>
          <w:p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Laitoksiin liittyvien kymmenen suurimman asiakasriskin ja sääntelemätt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ö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miin rahoitusalan yhteisöihin liittyvien kymmenen suurimman asiakasriskin vastapuolen tyyppi määritetään käyttämällä laitoksista kirjainta ”I” ja säänt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lemättömistä rahoitusalan yhteisöistä kirjainta ”U”.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634B45" w:rsidRPr="00384ADB" w:rsidRDefault="00634B45" w:rsidP="0039317F"/>
    <w:p w:rsidR="003105C6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sz w:val="24"/>
          <w:u w:val="none"/>
        </w:rPr>
      </w:pPr>
      <w:bookmarkStart w:id="27" w:name="_Toc393461961"/>
      <w:bookmarkStart w:id="28" w:name="_Toc523746702"/>
      <w:r>
        <w:rPr>
          <w:rFonts w:ascii="Times New Roman" w:hAnsi="Times New Roman"/>
          <w:b/>
          <w:sz w:val="24"/>
          <w:u w:val="none"/>
        </w:rPr>
        <w:lastRenderedPageBreak/>
        <w:t xml:space="preserve">C </w:t>
      </w:r>
      <w:r w:rsidRPr="00F1628A">
        <w:rPr>
          <w:rFonts w:ascii="Times New Roman" w:hAnsi="Times New Roman"/>
          <w:b/>
          <w:sz w:val="24"/>
          <w:u w:val="none"/>
        </w:rPr>
        <w:t>28</w:t>
      </w:r>
      <w:r>
        <w:rPr>
          <w:rFonts w:ascii="Times New Roman" w:hAnsi="Times New Roman"/>
          <w:b/>
          <w:sz w:val="24"/>
          <w:u w:val="none"/>
        </w:rPr>
        <w:t>.</w:t>
      </w:r>
      <w:r w:rsidRPr="00F1628A">
        <w:rPr>
          <w:rFonts w:ascii="Times New Roman" w:hAnsi="Times New Roman"/>
          <w:b/>
          <w:sz w:val="24"/>
          <w:u w:val="none"/>
        </w:rPr>
        <w:t>00</w:t>
      </w:r>
      <w:r>
        <w:rPr>
          <w:rFonts w:ascii="Times New Roman" w:hAnsi="Times New Roman"/>
          <w:b/>
          <w:sz w:val="24"/>
          <w:u w:val="none"/>
        </w:rPr>
        <w:t xml:space="preserve"> – Kaupankäyntivarastoon ja sen ulkopuolisiin eriin liittyvät vastuut (LE</w:t>
      </w:r>
      <w:r w:rsidRPr="00F1628A">
        <w:rPr>
          <w:rFonts w:ascii="Times New Roman" w:hAnsi="Times New Roman"/>
          <w:b/>
          <w:sz w:val="24"/>
          <w:u w:val="none"/>
        </w:rPr>
        <w:t>2</w:t>
      </w:r>
      <w:r>
        <w:rPr>
          <w:rFonts w:ascii="Times New Roman" w:hAnsi="Times New Roman"/>
          <w:b/>
          <w:sz w:val="24"/>
          <w:u w:val="none"/>
        </w:rPr>
        <w:t>)</w:t>
      </w:r>
      <w:bookmarkEnd w:id="27"/>
      <w:bookmarkEnd w:id="28"/>
    </w:p>
    <w:p w:rsidR="003105C6" w:rsidRPr="00384ADB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9" w:name="_Toc308175821"/>
      <w:bookmarkStart w:id="30" w:name="_Toc310414968"/>
      <w:bookmarkStart w:id="31" w:name="_Toc393461962"/>
      <w:bookmarkStart w:id="32" w:name="_Toc523746703"/>
      <w:r>
        <w:rPr>
          <w:rFonts w:ascii="Times New Roman" w:hAnsi="Times New Roman"/>
          <w:sz w:val="24"/>
        </w:rPr>
        <w:t xml:space="preserve">Tiettyjä sarakkeita koskevat </w:t>
      </w:r>
      <w:bookmarkEnd w:id="29"/>
      <w:bookmarkEnd w:id="30"/>
      <w:r>
        <w:rPr>
          <w:rFonts w:ascii="Times New Roman" w:hAnsi="Times New Roman"/>
          <w:sz w:val="24"/>
        </w:rPr>
        <w:t>ohjeet</w:t>
      </w:r>
      <w:bookmarkEnd w:id="31"/>
      <w:bookmarkEnd w:id="32"/>
    </w:p>
    <w:p w:rsidR="00D946DB" w:rsidRPr="00384ADB" w:rsidRDefault="00D946DB" w:rsidP="0039317F">
      <w:pPr>
        <w:pStyle w:val="InstructionsText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D946DB" w:rsidRPr="00384ADB" w:rsidTr="00E17043">
        <w:tc>
          <w:tcPr>
            <w:tcW w:w="1418" w:type="dxa"/>
            <w:shd w:val="clear" w:color="auto" w:fill="D9D9D9"/>
          </w:tcPr>
          <w:p w:rsidR="00D946DB" w:rsidRPr="00384ADB" w:rsidRDefault="005E7263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Sarake</w:t>
            </w:r>
          </w:p>
        </w:tc>
        <w:tc>
          <w:tcPr>
            <w:tcW w:w="7620" w:type="dxa"/>
            <w:shd w:val="clear" w:color="auto" w:fill="D9D9D9"/>
          </w:tcPr>
          <w:p w:rsidR="00B0191A" w:rsidRPr="00384ADB" w:rsidRDefault="003105C6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Lainsäädäntöviittaukset ja ohjeet</w:t>
            </w:r>
          </w:p>
        </w:tc>
      </w:tr>
      <w:tr w:rsidR="00D946DB" w:rsidRPr="00384ADB" w:rsidTr="00E17043">
        <w:tc>
          <w:tcPr>
            <w:tcW w:w="1418" w:type="dxa"/>
          </w:tcPr>
          <w:p w:rsidR="00D946DB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  <w:p w:rsidR="00CA42A9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  <w:tc>
          <w:tcPr>
            <w:tcW w:w="7620" w:type="dxa"/>
          </w:tcPr>
          <w:p w:rsidR="00B0191A" w:rsidRPr="00384ADB" w:rsidRDefault="00394753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Koodi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Jos asiakaskokonaisuudelle on saatavilla yksilöllinen koodi kansallisella 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solla, tämä koodi on ilmoitettava asiakaskokonaisuuden koodina. Jos kansa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lisella tasolla ei ole saatavilla yksilöllistä koodia, ilmoitettava koodi on l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o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makkeessa C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27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00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ilmoitetun emoyrityksen koodi.</w:t>
            </w: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Tapauksissa, joissa asiakaskokonaisuudella ei ole emoyritystä, ilmoitetaan sen yksittäisen yhteisön koodi, jota laitos pitää asiakaskokonaisuuden me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r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kittävimpänä. Muussa tapauksessa koodin on vastattava yksittäistä vast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puolta.</w:t>
            </w: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Koodeja on käytettävä johdonmukaisesti koko ajan. </w:t>
            </w: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Koodin kokoonpano riippuu kansallisesta ilmoitusjärjestelmästä, ellei EU:lla ole yhtenäistä kodifiointia.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Ryhmä tai yksittäinen asiakas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Jos kyseessä on yksittäisen asiakkaan vastuu, laitos merkitsee ”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”, ja jos k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y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seessä on asiakaskokonaisuuden vastuu, laitos merkitsee ”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2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”.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Liiketoimet, joissa vastuu johtuu kohde-etuutena olevasta oma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i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suuserästä 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Vakavaraisuusasetuksen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390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7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kohta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Jos laitoksella on ilmoitettuun vastapuoleen liittyviä vastuita kansallisten toimivaltaisten viranomaisten antamien teknisten lisäselvitysten mukaisesti sellaisten liiketoimien kautta, joissa vastuu johtuu kohde-etuutena olevasta omaisuuserästä, ilmoitetaan vastauksena ”kyllä”, muussa tapauksessa ”ei”.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–</w:t>
            </w: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180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Alkuperäiset vastuut</w:t>
            </w:r>
          </w:p>
          <w:p w:rsidR="00B0191A" w:rsidRPr="00384ADB" w:rsidRDefault="00B0191A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 xml:space="preserve">Vakavaraisuusasetuksen </w:t>
            </w:r>
            <w:r w:rsidRPr="00F1628A">
              <w:t>24</w:t>
            </w:r>
            <w:r>
              <w:t xml:space="preserve">, </w:t>
            </w:r>
            <w:r w:rsidRPr="00F1628A">
              <w:t>389</w:t>
            </w:r>
            <w:r>
              <w:t xml:space="preserve">, </w:t>
            </w:r>
            <w:r w:rsidRPr="00F1628A">
              <w:t>390</w:t>
            </w:r>
            <w:r>
              <w:t xml:space="preserve"> ja </w:t>
            </w:r>
            <w:r w:rsidRPr="00F1628A">
              <w:t>392</w:t>
            </w:r>
            <w:r>
              <w:t xml:space="preserve"> artikla</w:t>
            </w:r>
          </w:p>
          <w:p w:rsidR="00B0191A" w:rsidRPr="00384ADB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9317F" w:rsidRDefault="00C92E09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Laitoksen on ilmoitettava tässä sarakelohkossa alkuperäiset vastuut välitt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ö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mistä ja välillisistä vastuista sekä lisäriskeistä, jotka liittyvät liiketoimiin, joissa vastuu johtuu kohde-etuutena olevasta omaisuuserästä.</w:t>
            </w:r>
          </w:p>
          <w:p w:rsidR="00B0191A" w:rsidRPr="0039317F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0191A" w:rsidRPr="0039317F" w:rsidRDefault="00BB3751" w:rsidP="0039317F">
            <w:pPr>
              <w:pStyle w:val="InstructionsText"/>
            </w:pPr>
            <w:r>
              <w:t xml:space="preserve">Vakavaraisuusasetuksen </w:t>
            </w:r>
            <w:r w:rsidRPr="00F1628A">
              <w:t>389</w:t>
            </w:r>
            <w:r>
              <w:t xml:space="preserve"> artiklan mukaan omaisuuseriä ja taseen ulk</w:t>
            </w:r>
            <w:r>
              <w:t>o</w:t>
            </w:r>
            <w:r>
              <w:t xml:space="preserve">puolisia eriä on käytettävä ilman riskipainoja tai riskiasteita. Luottovasta-arvokertoimia ei sovelleta taseen ulkopuolisiin eriin.  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</w:pPr>
            <w:r>
              <w:lastRenderedPageBreak/>
              <w:t xml:space="preserve">Näissä sarakkeissa on ilmoitettava alkuperäinen vastuu eli vastuuarvo ilman arvonoikaisuja ja varauksia, jotka on vähennettävä sarakkeessa </w:t>
            </w:r>
            <w:r w:rsidRPr="00F1628A">
              <w:t>210</w:t>
            </w:r>
            <w:r>
              <w:t>.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C92E09" w:rsidP="0039317F">
            <w:pPr>
              <w:pStyle w:val="InstructionsText"/>
            </w:pPr>
            <w:r>
              <w:t>Vastuuarvon määrityksestä ja laskemisesta säädetään vakavaraisuusasetu</w:t>
            </w:r>
            <w:r>
              <w:t>k</w:t>
            </w:r>
            <w:r>
              <w:t xml:space="preserve">sen </w:t>
            </w:r>
            <w:r w:rsidRPr="00F1628A">
              <w:t>389</w:t>
            </w:r>
            <w:r>
              <w:t xml:space="preserve"> ja </w:t>
            </w:r>
            <w:r w:rsidRPr="00F1628A">
              <w:t>390</w:t>
            </w:r>
            <w:r>
              <w:t xml:space="preserve"> artiklassa. Omaisuuserät ja taseen ulkopuoliset erät on arvo</w:t>
            </w:r>
            <w:r>
              <w:t>s</w:t>
            </w:r>
            <w:r>
              <w:t>tettava sen tilinpäätössäännöstön mukaan, jota laitokseen sovelletaan vak</w:t>
            </w:r>
            <w:r>
              <w:t>a</w:t>
            </w:r>
            <w:r>
              <w:t xml:space="preserve">varaisuusasetuksen </w:t>
            </w:r>
            <w:r w:rsidRPr="00F1628A">
              <w:t>24</w:t>
            </w:r>
            <w:r>
              <w:t xml:space="preserve"> artiklan mukaisesti.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</w:pPr>
            <w:r>
              <w:t xml:space="preserve">Omista varoista vähennetyt vastuut, jotka eivät ole vakavaraisuusasetuksen </w:t>
            </w:r>
            <w:r w:rsidRPr="00F1628A">
              <w:t>390</w:t>
            </w:r>
            <w:r>
              <w:t xml:space="preserve"> artiklan </w:t>
            </w:r>
            <w:r w:rsidRPr="00F1628A">
              <w:t>6</w:t>
            </w:r>
            <w:r>
              <w:t xml:space="preserve"> kohdan e alakohdan mukaisia vastuita, merkitään näihin s</w:t>
            </w:r>
            <w:r>
              <w:t>a</w:t>
            </w:r>
            <w:r>
              <w:t xml:space="preserve">rakkeisiin. Nämä vastuut vähennetään sarakkeessa </w:t>
            </w:r>
            <w:r w:rsidRPr="00F1628A">
              <w:t>200</w:t>
            </w:r>
            <w:r>
              <w:t>.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</w:pPr>
            <w:r>
              <w:t xml:space="preserve">Vakavaraisuusasetuksen </w:t>
            </w:r>
            <w:r w:rsidRPr="00F1628A">
              <w:t>390</w:t>
            </w:r>
            <w:r>
              <w:t xml:space="preserve"> artiklan </w:t>
            </w:r>
            <w:r w:rsidRPr="00F1628A">
              <w:t>6</w:t>
            </w:r>
            <w:r>
              <w:t xml:space="preserve"> kohdan a–d alakohdassa tarkoitettuja vastuita ei merkitä näihin sarakkeisiin. 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  <w:rPr>
                <w:rFonts w:eastAsia="Arial"/>
              </w:rPr>
            </w:pPr>
            <w:r>
              <w:t xml:space="preserve">Alkuperäisiin vastuisiin sisältyvät vakavaraisuusasetuksen </w:t>
            </w:r>
            <w:r w:rsidRPr="00F1628A">
              <w:t>400</w:t>
            </w:r>
            <w:r>
              <w:t xml:space="preserve"> artiklan m</w:t>
            </w:r>
            <w:r>
              <w:t>u</w:t>
            </w:r>
            <w:r>
              <w:t>kaiset omaisuuserät ja taseen ulkopuoliset erät. Vapautukset vähennetään s</w:t>
            </w:r>
            <w:r>
              <w:t>a</w:t>
            </w:r>
            <w:r>
              <w:t xml:space="preserve">rakkeessa </w:t>
            </w:r>
            <w:r w:rsidRPr="00F1628A">
              <w:t>320</w:t>
            </w:r>
            <w:r>
              <w:t xml:space="preserve"> vakavaraisuusasetuksen </w:t>
            </w:r>
            <w:r w:rsidRPr="00F1628A">
              <w:t>395</w:t>
            </w:r>
            <w:r>
              <w:t xml:space="preserve"> artiklan </w:t>
            </w:r>
            <w:r w:rsidRPr="00F1628A">
              <w:t>1</w:t>
            </w:r>
            <w:r>
              <w:t xml:space="preserve"> kohdan soveltamiseksi.</w:t>
            </w:r>
          </w:p>
          <w:p w:rsidR="00B0191A" w:rsidRPr="00384ADB" w:rsidRDefault="00B0191A" w:rsidP="0039317F">
            <w:pPr>
              <w:pStyle w:val="InstructionsText"/>
              <w:rPr>
                <w:rFonts w:eastAsia="Arial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Sekä kaupankäyntivarastoon että sen ulkopuolisiin eriin sisältyvät vastuut otetaan mukaan.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0191A" w:rsidRPr="00384ADB" w:rsidRDefault="00BB3751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Kun vastuut jaotellaan instrumentteihin ja kun nettoutussopimuksiin peru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tuvat erilaiset vastuut muodostavat yhden vastuun, tämä yksi vastuu ko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dennetaan instrumenttiin, joka vastaa nettoutussopimukseen sisältyvää pä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ä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asiallista omaisuuserää (ks. myös johdanto-osa).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040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Alkuperäiset vastuut yhteensä</w:t>
            </w:r>
          </w:p>
          <w:p w:rsidR="00B0191A" w:rsidRPr="00384ADB" w:rsidRDefault="00B0191A" w:rsidP="0039317F">
            <w:pPr>
              <w:pStyle w:val="InstructionsText"/>
            </w:pPr>
          </w:p>
          <w:p w:rsidR="00B0191A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>Laitoksen on ilmoitettava summa, johon sisältyvät välittömät ja välilliset vastuut sekä lisävastuut liiketoimista, joissa vastuu johtuu kohde-etuutena olevasta omaisuuserästä.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Joista: maksukyvyttömiä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Vakavaraisuusasetuksen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178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9B2EE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>Laitoksen on ilmoitettava, mikä osa alkuperäisen vastuun kokonaissummasta vastaa maksukyvyttömiä vastuita.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–</w:t>
            </w: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110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Välittömät vastuut</w:t>
            </w:r>
          </w:p>
          <w:p w:rsidR="00B0191A" w:rsidRPr="00384ADB" w:rsidRDefault="00B0191A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Välittömät vastuut tarkoittavat varsinaiseen lainanottajaan liittyviä vastuita.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Vieraan pääoman ehtoiset rahoitusvälineet</w:t>
            </w:r>
          </w:p>
          <w:p w:rsidR="00B0191A" w:rsidRPr="00384ADB" w:rsidRDefault="00B0191A" w:rsidP="0039317F">
            <w:pPr>
              <w:pStyle w:val="InstructionsText"/>
            </w:pPr>
          </w:p>
          <w:p w:rsidR="00B0191A" w:rsidRPr="0039317F" w:rsidRDefault="00193DDC" w:rsidP="0039317F">
            <w:pPr>
              <w:pStyle w:val="InstructionsText"/>
            </w:pPr>
            <w:r>
              <w:t xml:space="preserve">Asetuksen (EY) N:o </w:t>
            </w:r>
            <w:r w:rsidRPr="00F1628A">
              <w:t>1071</w:t>
            </w:r>
            <w:r>
              <w:t>/</w:t>
            </w:r>
            <w:r w:rsidRPr="00F1628A">
              <w:t>2013</w:t>
            </w:r>
            <w:r>
              <w:t xml:space="preserve"> (EKP/</w:t>
            </w:r>
            <w:r w:rsidRPr="00F1628A">
              <w:t>2013</w:t>
            </w:r>
            <w:r>
              <w:t>/</w:t>
            </w:r>
            <w:r w:rsidRPr="00F1628A">
              <w:t>33</w:t>
            </w:r>
            <w:r>
              <w:t xml:space="preserve">) liitteessä II olevan </w:t>
            </w:r>
            <w:r w:rsidRPr="00F1628A">
              <w:t>2</w:t>
            </w:r>
            <w:r>
              <w:t xml:space="preserve"> osan taulukossa olevat luokat </w:t>
            </w:r>
            <w:r w:rsidRPr="00F1628A">
              <w:t>2</w:t>
            </w:r>
            <w:r>
              <w:t xml:space="preserve"> ja </w:t>
            </w:r>
            <w:r w:rsidRPr="00F1628A">
              <w:t>3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Velkainstrumentteihin sisältyvät vieraan pääoman ehtoiset arvopaperit sekä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luotot. </w:t>
            </w:r>
          </w:p>
          <w:p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9317F" w:rsidRDefault="00BB3751" w:rsidP="0039317F">
            <w:pPr>
              <w:pStyle w:val="InstructionsText"/>
            </w:pPr>
            <w:r>
              <w:t>Tähän sarakkeeseen merkitään instrumentit, jotka luokitellaan ”lainoiksi, joiden alkuperäinen maturiteetti on korkeintaan yksi vuosi / vuodesta viiteen vuoteen / yli viisi vuotta” tai ”muiksi arvopapereiksi kuin osakkeet” asetu</w:t>
            </w:r>
            <w:r>
              <w:t>k</w:t>
            </w:r>
            <w:r>
              <w:t>sen EKP/</w:t>
            </w:r>
            <w:r w:rsidRPr="00F1628A">
              <w:t>2013</w:t>
            </w:r>
            <w:r>
              <w:t>/</w:t>
            </w:r>
            <w:r w:rsidRPr="00F1628A">
              <w:t>33</w:t>
            </w:r>
            <w:r>
              <w:t xml:space="preserve"> mukaisesti.</w:t>
            </w:r>
          </w:p>
          <w:p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9317F" w:rsidRDefault="00D95A62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>Tähän sarakkeeseen merkitään takaisinostotransaktiot, arvopapereiden tai hyödykkeiden lainaksiantaminen tai -ottaminen (arvopapereilla toteutettavat rahoitustoimet) ja vakuudelliset limiittiluotonantotransaktiot.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070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Oman pääoman ehtoiset rahoitusvälineet</w:t>
            </w:r>
          </w:p>
          <w:p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9317F" w:rsidRDefault="00DF008D" w:rsidP="0039317F">
            <w:pPr>
              <w:pStyle w:val="InstructionsText"/>
            </w:pPr>
            <w:r>
              <w:t>Asetuksen EKP/</w:t>
            </w:r>
            <w:r w:rsidRPr="00F1628A">
              <w:t>2013</w:t>
            </w:r>
            <w:r>
              <w:t>/</w:t>
            </w:r>
            <w:r w:rsidRPr="00F1628A">
              <w:t>33</w:t>
            </w:r>
            <w:r>
              <w:t xml:space="preserve"> liitteessä II olevan </w:t>
            </w:r>
            <w:r w:rsidRPr="00F1628A">
              <w:t>2</w:t>
            </w:r>
            <w:r>
              <w:t xml:space="preserve"> osan taulukossa olevat luokat </w:t>
            </w:r>
            <w:r w:rsidRPr="00F1628A">
              <w:t>4</w:t>
            </w:r>
            <w:r>
              <w:t xml:space="preserve"> ja </w:t>
            </w:r>
            <w:r w:rsidRPr="00F1628A">
              <w:t>5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</w:pPr>
            <w:r>
              <w:t>Tähän sarakkeeseen merkitään instrumentit, jotka luokitellaan ”osakkeiksi ja osuuksiksi” tai ”rahamarkkinarahastojen rahasto-osuuksiksi” asetuksen EKP/</w:t>
            </w:r>
            <w:r w:rsidRPr="00F1628A">
              <w:t>2013</w:t>
            </w:r>
            <w:r>
              <w:t>/</w:t>
            </w:r>
            <w:r w:rsidRPr="00F1628A">
              <w:t>33</w:t>
            </w:r>
            <w:r>
              <w:t xml:space="preserve"> mukaisesti.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080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Johdannaiset </w:t>
            </w:r>
          </w:p>
          <w:p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9317F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 xml:space="preserve">Vakavaraisuusasetuksen </w:t>
            </w:r>
            <w:r w:rsidRPr="00F1628A">
              <w:t>272</w:t>
            </w:r>
            <w:r>
              <w:t xml:space="preserve"> artiklan </w:t>
            </w:r>
            <w:r w:rsidRPr="00F1628A">
              <w:t>2</w:t>
            </w:r>
            <w:r>
              <w:t xml:space="preserve"> kohta ja liite II</w:t>
            </w:r>
          </w:p>
          <w:p w:rsidR="00B0191A" w:rsidRPr="0039317F" w:rsidRDefault="00B0191A" w:rsidP="000F0ADE">
            <w:pPr>
              <w:pStyle w:val="InstructionsText"/>
            </w:pPr>
          </w:p>
          <w:p w:rsidR="00B0191A" w:rsidRPr="0039317F" w:rsidRDefault="009E58B0">
            <w:pPr>
              <w:pStyle w:val="InstructionsText"/>
            </w:pPr>
            <w:r>
              <w:t xml:space="preserve">Tässä sarakkeessa ilmoitetaan vakavaraisuusasetuksen liitteessä II luetellut johdannaiset ja vakavaraisuusasetuksen </w:t>
            </w:r>
            <w:r w:rsidRPr="00F1628A">
              <w:t>272</w:t>
            </w:r>
            <w:r>
              <w:t xml:space="preserve"> artiklan </w:t>
            </w:r>
            <w:r w:rsidRPr="00F1628A">
              <w:t>2</w:t>
            </w:r>
            <w:r>
              <w:t xml:space="preserve"> kohdassa määritellyt pitkän selvitysajan liiketoimet. </w:t>
            </w:r>
          </w:p>
          <w:p w:rsidR="00B0191A" w:rsidRPr="0039317F" w:rsidRDefault="00B0191A">
            <w:pPr>
              <w:pStyle w:val="InstructionsText"/>
            </w:pPr>
          </w:p>
          <w:p w:rsidR="00B0191A" w:rsidRPr="0039317F" w:rsidRDefault="00BB3751">
            <w:pPr>
              <w:pStyle w:val="InstructionsText"/>
            </w:pPr>
            <w:r>
              <w:t>Luottojohdannaiset, joihin kohdistuu vastapuoliriski, ilmoitetaan tässä s</w:t>
            </w:r>
            <w:r>
              <w:t>a</w:t>
            </w:r>
            <w:r>
              <w:t>rakkeessa.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–</w:t>
            </w: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110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Taseen ulkopuoliset erät</w:t>
            </w:r>
          </w:p>
          <w:p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/>
                <w:bCs/>
                <w:sz w:val="24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Vakavaraisuusasetuksen liite I</w:t>
            </w:r>
          </w:p>
          <w:p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Näissä sarakkeissa ilmoitetaan nimellisarvo ennen erityisten luottori</w:t>
            </w:r>
            <w:r>
              <w:rPr>
                <w:rFonts w:ascii="Times New Roman" w:hAnsi="Times New Roman"/>
                <w:sz w:val="24"/>
              </w:rPr>
              <w:t>s</w:t>
            </w:r>
            <w:r>
              <w:rPr>
                <w:rFonts w:ascii="Times New Roman" w:hAnsi="Times New Roman"/>
                <w:sz w:val="24"/>
              </w:rPr>
              <w:t>kioikaisujen vähentämistä ja ilman luottovasta-arvokerrointen soveltamista.</w:t>
            </w:r>
          </w:p>
          <w:p w:rsidR="00BB3751" w:rsidRPr="00384ADB" w:rsidRDefault="00BB3751" w:rsidP="00A51E2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Lainasitoumukset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9A7666" w:rsidRPr="0039317F" w:rsidRDefault="0045752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Vakavaraisuusasetuksen liitteessä I olevan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kohdan c ja h alakohta,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2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h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dan b alakohdan ii alakohta,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kohdan b alakohdan i alakohta ja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4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kohdan a alakohta </w:t>
            </w:r>
          </w:p>
          <w:p w:rsidR="00B0191A" w:rsidRPr="0039317F" w:rsidRDefault="00B0191A">
            <w:pPr>
              <w:pStyle w:val="InstructionsText"/>
            </w:pPr>
          </w:p>
          <w:p w:rsidR="00B0191A" w:rsidRPr="0039317F" w:rsidRDefault="00BB3751">
            <w:pPr>
              <w:pStyle w:val="InstructionsText"/>
            </w:pPr>
            <w:r>
              <w:t>Lainasitoumukset ovat kiinteitä sitoumuksia, jotka koskevat luoton tarjo</w:t>
            </w:r>
            <w:r>
              <w:t>a</w:t>
            </w:r>
            <w:r>
              <w:t>mista ennalta määritellyin ehdoin, lukuun ottamatta niitä, jotka ovat johda</w:t>
            </w:r>
            <w:r>
              <w:t>n</w:t>
            </w:r>
            <w:r>
              <w:t>naisia, koska ne voidaan maksaa nettomääräisenä käteisellä taikka luovutt</w:t>
            </w:r>
            <w:r>
              <w:t>a</w:t>
            </w:r>
            <w:r>
              <w:t xml:space="preserve">malla tai laskemalla liikkeeseen jokin muu instrumentti.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100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Rahoitusvakuudet</w:t>
            </w:r>
          </w:p>
          <w:p w:rsidR="009A7666" w:rsidRPr="00384ADB" w:rsidRDefault="009A7666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965D5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Vakavaraisuusasetuksen liitteessä I olevan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kohdan a, b ja f alakohta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Rahoitusvakuudet ovat sopimuksia, joiden mukaan vakuuden antaja maksaa tietyn summan vakuuden haltijalle korvauksena tämän kokemasta tappiosta, joka aiheutuu siitä, että tietty velallinen ei pysty maksamaan velkaa velkai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n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strumentin alkuperäisten tai muutettujen ehtojen mukaisesti. Luottojohda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n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naiset, joita ei ole merkitty sarakkeeseen ”johdannaiset”, on ilmoitettava tä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sä sarakkeessa.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Muut sitoumukset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704405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Muita sitoumuksia ovat vakavaraisuusasetuksen liitteessä I mainitut erät, jo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ta ei ole sisällytetty edellisiin luokkiin. </w:t>
            </w:r>
            <w:r>
              <w:rPr>
                <w:rFonts w:ascii="Times New Roman" w:hAnsi="Times New Roman"/>
                <w:sz w:val="24"/>
              </w:rPr>
              <w:t>Laitoksen vastapuolen kanssa te</w:t>
            </w:r>
            <w:r>
              <w:rPr>
                <w:rFonts w:ascii="Times New Roman" w:hAnsi="Times New Roman"/>
                <w:sz w:val="24"/>
              </w:rPr>
              <w:t>h</w:t>
            </w:r>
            <w:r>
              <w:rPr>
                <w:rFonts w:ascii="Times New Roman" w:hAnsi="Times New Roman"/>
                <w:sz w:val="24"/>
              </w:rPr>
              <w:t>tyyn tuotteiden ristikkäisnettoutusta koskevaan sopimukseen perustuvan y</w:t>
            </w:r>
            <w:r>
              <w:rPr>
                <w:rFonts w:ascii="Times New Roman" w:hAnsi="Times New Roman"/>
                <w:sz w:val="24"/>
              </w:rPr>
              <w:t>h</w:t>
            </w:r>
            <w:r>
              <w:rPr>
                <w:rFonts w:ascii="Times New Roman" w:hAnsi="Times New Roman"/>
                <w:sz w:val="24"/>
              </w:rPr>
              <w:t>den yhtenäisen oikeudellisen velvoitteen vastuuarvo ilmoitetaan tässä sara</w:t>
            </w:r>
            <w:r>
              <w:rPr>
                <w:rFonts w:ascii="Times New Roman" w:hAnsi="Times New Roman"/>
                <w:sz w:val="24"/>
              </w:rPr>
              <w:t>k</w:t>
            </w:r>
            <w:r>
              <w:rPr>
                <w:rFonts w:ascii="Times New Roman" w:hAnsi="Times New Roman"/>
                <w:sz w:val="24"/>
              </w:rPr>
              <w:t>keessa.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120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–</w:t>
            </w: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180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Välilliset vastuut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  <w:p w:rsidR="00B0191A" w:rsidRPr="00384ADB" w:rsidRDefault="00BB3751" w:rsidP="000F0ADE">
            <w:pPr>
              <w:pStyle w:val="InstructionsText"/>
            </w:pPr>
            <w:r>
              <w:t xml:space="preserve">Vakavaraisuusasetuksen </w:t>
            </w:r>
            <w:r w:rsidRPr="00F1628A">
              <w:t>403</w:t>
            </w:r>
            <w:r>
              <w:t xml:space="preserve"> artikla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 xml:space="preserve">Vakavaraisuusasetuksen </w:t>
            </w:r>
            <w:r w:rsidRPr="00F1628A">
              <w:t>403</w:t>
            </w:r>
            <w:r>
              <w:t xml:space="preserve"> artiklan mukaisesti luottolaitos voi käyttää su</w:t>
            </w:r>
            <w:r>
              <w:t>b</w:t>
            </w:r>
            <w:r>
              <w:t>stituutiomenetelmää, jos kolmas osapuoli on taannut asiakkaaseen liittyvän vastuun tai antanut vakuuden, jolla se on suojattu.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Laitoksen on ilmoitettava tässä sarakelohkossa välittömän vastuun määrät, jotka siirretään takaisin takaajalle tai vakuuden antajalle, mikäli viimeksi mainitulle määriteltäisiin enintään yhtä suuri riskipaino kuin se, jota kolma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teen osapuoleen sovellettaisiin vakavaraisuusasetuksen kolmannen osan II osaston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luvun mukaisesti. </w:t>
            </w:r>
            <w:r>
              <w:t>Suojattu alkuperäinen viitevastuu (välitön va</w:t>
            </w:r>
            <w:r>
              <w:t>s</w:t>
            </w:r>
            <w:r>
              <w:t>tuu) vähennetään alkuperäisen lainanottajan vastuusta sarakkeissa ”Hyvä</w:t>
            </w:r>
            <w:r>
              <w:t>k</w:t>
            </w:r>
            <w:r>
              <w:t>syttävät luottoriskin vähentämistekniikat”.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Välillinen vastuu lisää takaajan tai vakuuden antajan vastuuta substituutiovaikutuksen vuoksi. Tämä koskee myös asiakaskokonaisuuksien sisällä annettuja takuita.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Laitoksen on ilmoitettava välillisten vastuiden alkuperäinen määrä sara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keessa, joka vastaa taatun tai vakuuden saaneen välittömän vastuun tyyppiä siten, että kun taattu välitön vastuu on velkainstrumentti, takaajalle siirretyn ”välillisen vastuun” määrä ilmoitetaan sarakkeessa ”Vieraan pääoman ehto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set rahoitusvälineet”.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Luottoriskin vaihtolainoista johtuvat vastuut on myös ilmoitettava tässä s</w:t>
            </w:r>
            <w:r>
              <w:t>a</w:t>
            </w:r>
            <w:r>
              <w:t xml:space="preserve">rakelohkossa vakavaraisuusasetuksen </w:t>
            </w:r>
            <w:r w:rsidRPr="00F1628A">
              <w:t>399</w:t>
            </w:r>
            <w:r>
              <w:t xml:space="preserve"> artiklan mukaisesti.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120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Vieraan pääoman ehtoiset rahoitusvälineet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Ks. sarake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060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proofErr w:type="gramEnd"/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AE2F75">
        <w:tc>
          <w:tcPr>
            <w:tcW w:w="1418" w:type="dxa"/>
            <w:shd w:val="clear" w:color="auto" w:fill="FFFFFF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130</w:t>
            </w:r>
          </w:p>
        </w:tc>
        <w:tc>
          <w:tcPr>
            <w:tcW w:w="7620" w:type="dxa"/>
            <w:shd w:val="clear" w:color="auto" w:fill="FFFFFF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Oman pääoman ehtoiset rahoitusvälineet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proofErr w:type="gram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Ks. sarake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070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  <w:proofErr w:type="gramEnd"/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140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Johdannaiset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Ks. sarake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080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proofErr w:type="gramEnd"/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150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–</w:t>
            </w: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170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Taseen ulkopuoliset erät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B3751" w:rsidRPr="00384ADB" w:rsidRDefault="00BB3751" w:rsidP="00B9340F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Näiden sarakkeiden arvon on oltava nimellisarvo ennen erityisten luottori</w:t>
            </w:r>
            <w:r>
              <w:rPr>
                <w:rFonts w:ascii="Times New Roman" w:hAnsi="Times New Roman"/>
                <w:sz w:val="24"/>
              </w:rPr>
              <w:t>s</w:t>
            </w:r>
            <w:r>
              <w:rPr>
                <w:rFonts w:ascii="Times New Roman" w:hAnsi="Times New Roman"/>
                <w:sz w:val="24"/>
              </w:rPr>
              <w:t>kioikaisujen vähentämistä ja luottovasta-arvokerrointen soveltamista.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150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Lainasitoumukset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Ks. sarake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090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proofErr w:type="gramEnd"/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160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Rahoitusvakuudet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Ks. sarake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100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proofErr w:type="gramEnd"/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170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Muut sitoumukset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Ks. sarake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110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proofErr w:type="gramEnd"/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180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Lisäriskit liiketoimista, joissa vastuu johtuu kohde-etuutena olevasta omaisuuserästä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Vakavaraisuusasetuksen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390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7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kohta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Lisäriskit liiketoimista, joissa vastuu johtuu kohde-etuutena olevasta oma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suuserästä.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190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Arvonoikaisut ja varaukset</w:t>
            </w:r>
          </w:p>
          <w:p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b/>
                <w:color w:val="auto"/>
                <w:sz w:val="24"/>
              </w:rPr>
            </w:pPr>
          </w:p>
          <w:p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Vakavaraisuusasetuksen </w:t>
            </w:r>
            <w:r w:rsidRPr="00F1628A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34</w:t>
            </w:r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, </w:t>
            </w:r>
            <w:r w:rsidRPr="00F1628A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24</w:t>
            </w:r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, </w:t>
            </w:r>
            <w:r w:rsidRPr="00F1628A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110</w:t>
            </w:r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 ja </w:t>
            </w:r>
            <w:r w:rsidRPr="00F1628A"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111</w:t>
            </w:r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 artikla</w:t>
            </w:r>
          </w:p>
          <w:p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</w:rPr>
            </w:pPr>
          </w:p>
          <w:p w:rsidR="00BB3751" w:rsidRPr="00384ADB" w:rsidRDefault="00BB3751" w:rsidP="00502BD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Vastaavaan tilinpäätöskehykseen (direktiivi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86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/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635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/ETY tai asetus (EY) N:o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1606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/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2002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) sisältyvät arvonoikaisut ja varaukset, jotka vaikuttavat vastuiden arvostukseen vakavaraisuusasetuksen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24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ja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110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mukaisesti.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</w:rPr>
            </w:pPr>
          </w:p>
          <w:p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Arvonoikaisut ja varaukset sarakkeeseen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040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merkityn bruttomääräisen va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tuun suhteen ilmoitetaan tässä sarakkeessa. </w:t>
            </w:r>
          </w:p>
          <w:p w:rsidR="00BB3751" w:rsidRPr="00384ADB" w:rsidRDefault="00BB3751" w:rsidP="00751BC8">
            <w:pPr>
              <w:pStyle w:val="Default"/>
              <w:jc w:val="both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200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Omista varoista vähennetyt vastuut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 xml:space="preserve">Vakavaraisuusasetuksen </w:t>
            </w:r>
            <w:r w:rsidRPr="00F1628A">
              <w:t>390</w:t>
            </w:r>
            <w:r>
              <w:t xml:space="preserve"> artiklan </w:t>
            </w:r>
            <w:r w:rsidRPr="00F1628A">
              <w:t>6</w:t>
            </w:r>
            <w:r>
              <w:t xml:space="preserve"> kohdan e alakohta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eastAsia="Calibri" w:hAnsi="Times New Roman"/>
                <w:color w:val="000000"/>
                <w:sz w:val="24"/>
              </w:rPr>
            </w:pPr>
          </w:p>
          <w:p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eastAsia="Calibri" w:hAnsi="Times New Roman"/>
                <w:color w:val="00000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Ilmoitetaan omista varoista vähennetyt vastuut, jotka sisällytetään alkuperä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sen vastuun kokonaissummaa koskeviin sarakkeisiin. </w:t>
            </w:r>
          </w:p>
          <w:p w:rsidR="00BB3751" w:rsidRPr="00F40CD9" w:rsidRDefault="00BB3751" w:rsidP="001E6FAF">
            <w:pPr>
              <w:pStyle w:val="Default"/>
              <w:jc w:val="both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  <w:vAlign w:val="center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210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–</w:t>
            </w: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230</w:t>
            </w:r>
          </w:p>
        </w:tc>
        <w:tc>
          <w:tcPr>
            <w:tcW w:w="7620" w:type="dxa"/>
            <w:vAlign w:val="center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Vastuuarvo ennen vapautusten soveltamista ja luottoriskin vähentämi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s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tä</w:t>
            </w:r>
          </w:p>
          <w:p w:rsidR="00BB3751" w:rsidRPr="00384ADB" w:rsidRDefault="00BB3751" w:rsidP="005149C1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BB3751" w:rsidRPr="00384ADB" w:rsidRDefault="00BB3751" w:rsidP="0039317F">
            <w:pPr>
              <w:pStyle w:val="InstructionsText"/>
            </w:pPr>
            <w:r>
              <w:t xml:space="preserve">Vakavaraisuusasetuksen </w:t>
            </w:r>
            <w:r w:rsidRPr="00F1628A">
              <w:t>394</w:t>
            </w:r>
            <w:r>
              <w:t xml:space="preserve"> artiklan </w:t>
            </w:r>
            <w:r w:rsidRPr="00F1628A">
              <w:t>1</w:t>
            </w:r>
            <w:r>
              <w:t xml:space="preserve"> kohdan b alakohta</w:t>
            </w:r>
          </w:p>
          <w:p w:rsidR="00BB3751" w:rsidRPr="00384ADB" w:rsidRDefault="00BB3751" w:rsidP="0039317F">
            <w:pPr>
              <w:pStyle w:val="InstructionsText"/>
            </w:pPr>
          </w:p>
          <w:p w:rsidR="00BB3751" w:rsidRPr="00384ADB" w:rsidRDefault="008A4511" w:rsidP="0039317F">
            <w:pPr>
              <w:pStyle w:val="InstructionsText"/>
            </w:pPr>
            <w:r>
              <w:t>Laitosten on ilmoitettava vastuuarvo ennen kuin huomioon on otettu ma</w:t>
            </w:r>
            <w:r>
              <w:t>h</w:t>
            </w:r>
            <w:r>
              <w:t>dollinen luottoriskin vähentäminen.</w:t>
            </w:r>
          </w:p>
          <w:p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210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Yhteensä</w:t>
            </w:r>
          </w:p>
          <w:p w:rsidR="00BB3751" w:rsidRPr="0039317F" w:rsidRDefault="00BB3751" w:rsidP="0039317F">
            <w:pPr>
              <w:pStyle w:val="InstructionsText"/>
            </w:pPr>
          </w:p>
          <w:p w:rsidR="00BB3751" w:rsidRPr="0039317F" w:rsidRDefault="00BB3751" w:rsidP="0039317F">
            <w:pPr>
              <w:pStyle w:val="InstructionsText"/>
            </w:pPr>
            <w:r>
              <w:t>Tässä sarakkeessa ilmoitettava vastuuarvo on määrä, jota on käytetty määr</w:t>
            </w:r>
            <w:r>
              <w:t>i</w:t>
            </w:r>
            <w:r>
              <w:t xml:space="preserve">tettäessä, onko vastuu vakavaraisuusasetuksen </w:t>
            </w:r>
            <w:r w:rsidRPr="00F1628A">
              <w:t>392</w:t>
            </w:r>
            <w:r>
              <w:t xml:space="preserve"> artiklassa olevan määr</w:t>
            </w:r>
            <w:r>
              <w:t>i</w:t>
            </w:r>
            <w:r>
              <w:t>telmän mukainen suuri asiakasriski.</w:t>
            </w:r>
          </w:p>
          <w:p w:rsidR="00B0191A" w:rsidRPr="0039317F" w:rsidRDefault="00B0191A" w:rsidP="000F0ADE">
            <w:pPr>
              <w:pStyle w:val="InstructionsText"/>
            </w:pPr>
          </w:p>
          <w:p w:rsidR="00B0191A" w:rsidRPr="0039317F" w:rsidRDefault="00BB3751">
            <w:pPr>
              <w:pStyle w:val="InstructionsText"/>
            </w:pPr>
            <w:r>
              <w:t>Siihen sisältyy alkuperäinen vastuu, josta on vähennetty arvonoikaisut ja v</w:t>
            </w:r>
            <w:r>
              <w:t>a</w:t>
            </w:r>
            <w:r>
              <w:t>raukset sekä omista varoista vähennettyjen vastuiden määrä.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220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joista: kaupankäyntivaraston ulkopuolisia eriä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proofErr w:type="gram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Kaupankäyntivaraston ulkopuolisten erien osuus kokonaisriskistä ennen v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pautuksia ja luottoriskin vähentämistä.</w:t>
            </w:r>
            <w:proofErr w:type="gram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230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% hyväksyttävästä pääomasta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395EED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Vakavaraisuusasetuksen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artiklan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kohdan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71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alakohdan b alakohta sekä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395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artikla</w:t>
            </w: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B3751" w:rsidRPr="00384ADB" w:rsidRDefault="00BB3751" w:rsidP="0061723E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Ilmoitettava määrä on vastuuarvon prosenttiosuus laitoksen vakavaraisuu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asetuksen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artiklan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kohdan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71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alakohdan b alakohdassa tarkoitetusta h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y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väksyttävästä pääomasta ennen vapautusten soveltamista ja luottoriskien v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ä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hentämistä.</w:t>
            </w:r>
          </w:p>
          <w:p w:rsidR="00BB3751" w:rsidRPr="00384ADB" w:rsidRDefault="00BB3751" w:rsidP="00151B6A">
            <w:pPr>
              <w:spacing w:before="0" w:after="0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–</w:t>
            </w: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310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Hyväksyttävät luottoriskin vähentämistekniikat</w:t>
            </w: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Vakavaraisuusasetuksen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399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artikla sekä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401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–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403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artikla</w:t>
            </w: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Vakavaraisuusasetuksen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4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kohdan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57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alakohdassa määritetyt luo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toriskin vähentämistekniikat.</w:t>
            </w:r>
            <w:proofErr w:type="gramEnd"/>
          </w:p>
          <w:p w:rsidR="00BB3751" w:rsidRPr="00384ADB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Tätä ilmoitusta varten vakavaraisuusasetuksen kolmannen osan II osaston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ja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luvussa mainittuja luottoriskin vähentämistekniikoita on käytettävä v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kavaraisuusasetuksen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401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–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403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artiklan mukaisesti. </w:t>
            </w: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Luottoriskin vähentämistekniikoilla voi olla kolme eri vaikutusta LE-järjestelmään: substituutiovaikutus, vastikkeellinen luottosuoja, joka ei ole substituutiovaikutus, ja kiinteistökohtelu.</w:t>
            </w:r>
          </w:p>
          <w:p w:rsidR="00BB3751" w:rsidRPr="00384ADB" w:rsidRDefault="00BB3751" w:rsidP="00E02226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–</w:t>
            </w: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290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Hyväksyttävien luottoriskin vähentämistekniikoiden substituutiova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i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kutus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9317F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 xml:space="preserve">Vakavaraisuusasetuksen </w:t>
            </w:r>
            <w:r w:rsidRPr="00F1628A">
              <w:t>403</w:t>
            </w:r>
            <w:r>
              <w:t xml:space="preserve"> artikla</w:t>
            </w:r>
          </w:p>
          <w:p w:rsidR="00B0191A" w:rsidRPr="0039317F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9317F" w:rsidRDefault="00BB3751" w:rsidP="000F0ADE">
            <w:pPr>
              <w:pStyle w:val="InstructionsText"/>
            </w:pPr>
            <w:r>
              <w:t>Vastikkeellisen ja takauksen luonteisen luottosuojan määrän, joka on ilmo</w:t>
            </w:r>
            <w:r>
              <w:t>i</w:t>
            </w:r>
            <w:r>
              <w:t>tettava näissä sarakkeissa, on vastattava vastuita, jotka kolmas osapuoli on taannut tai suojannut antamalla vakuuden, jos laitos päättää kohdella vastu</w:t>
            </w:r>
            <w:r>
              <w:t>u</w:t>
            </w:r>
            <w:r>
              <w:t>ta takaajaan tai vakuuden antajaan liittyvänä.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240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Vieraan pääoman ehtoiset rahoitusvälineet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Ks. sarake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060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proofErr w:type="gramEnd"/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250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Oman pääoman ehtoiset rahoitusvälineet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proofErr w:type="gram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Ks. sarake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070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  <w:proofErr w:type="gramEnd"/>
          </w:p>
          <w:p w:rsidR="00B0191A" w:rsidRPr="00384ADB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260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Johdannaiset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Ks. sarake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080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proofErr w:type="gramEnd"/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270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–</w:t>
            </w: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290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Taseen ulkopuoliset erät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</w:p>
          <w:p w:rsidR="00BB3751" w:rsidRPr="00384ADB" w:rsidRDefault="00BB3751" w:rsidP="00B9340F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Näiden sarakkeiden arvot ilmoitetaan soveltamatta luottovasta-arvokertoimia.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270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Lainasitoumukset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Ks. sarake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090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proofErr w:type="gramEnd"/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280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Rahoitusvakuudet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Ks. sarake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100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proofErr w:type="gramEnd"/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290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Muut sitoumukset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Ks. sarake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110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proofErr w:type="gramEnd"/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300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Vastikkeellinen luottosuoja, joka ei ole substituutiovaikutus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 xml:space="preserve">Vakavaraisuusasetuksen </w:t>
            </w:r>
            <w:r w:rsidRPr="00F1628A">
              <w:t>401</w:t>
            </w:r>
            <w:r>
              <w:t xml:space="preserve"> artikla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 xml:space="preserve">Laitoksen on ilmoitettava vakavaraisuusasetuksen </w:t>
            </w:r>
            <w:r w:rsidRPr="00F1628A">
              <w:t>4</w:t>
            </w:r>
            <w:r>
              <w:t xml:space="preserve"> artiklan </w:t>
            </w:r>
            <w:r w:rsidRPr="00F1628A">
              <w:t>1</w:t>
            </w:r>
            <w:r>
              <w:t xml:space="preserve"> kohdan </w:t>
            </w:r>
            <w:r w:rsidRPr="00F1628A">
              <w:t>58</w:t>
            </w:r>
            <w:r>
              <w:t xml:space="preserve"> alakohdan mukaiset vastikkeellisen luottosuojan määrät, jotka vähennetään vastuuarvosta vakavaraisuusasetuksen </w:t>
            </w:r>
            <w:r w:rsidRPr="00F1628A">
              <w:t>401</w:t>
            </w:r>
            <w:r>
              <w:t xml:space="preserve"> artiklan soveltamiseksi.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310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Kiinteistö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 xml:space="preserve">Vakavaraisuusasetuksen </w:t>
            </w:r>
            <w:r w:rsidRPr="00F1628A">
              <w:t>402</w:t>
            </w:r>
            <w:r>
              <w:t xml:space="preserve"> artikla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lastRenderedPageBreak/>
              <w:t>Laitoksen on ilmoitettava vastuuarvosta vähennetyt määrät vakavaraisuu</w:t>
            </w:r>
            <w:r>
              <w:t>s</w:t>
            </w:r>
            <w:r>
              <w:t xml:space="preserve">asetuksen </w:t>
            </w:r>
            <w:r w:rsidRPr="00F1628A">
              <w:t>402</w:t>
            </w:r>
            <w:r>
              <w:t xml:space="preserve"> artiklan soveltamiseksi.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320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Vapautetut määrät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54652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Vakavaraisuusasetuksen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400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artikla</w:t>
            </w:r>
          </w:p>
          <w:p w:rsidR="00BB3751" w:rsidRPr="00384ADB" w:rsidRDefault="00BB3751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B3751" w:rsidRPr="00384ADB" w:rsidRDefault="0054768B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Laitoksen on ilmoitettava määrät, jotka on vapautettu LE-järjestelmästä.</w:t>
            </w:r>
          </w:p>
          <w:p w:rsidR="00BB3751" w:rsidRPr="00384ADB" w:rsidRDefault="00BB3751" w:rsidP="006344BC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330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–</w:t>
            </w: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350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Vastuuarvo vapautusten soveltamisen ja luottoriskin vähentämisen jä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l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keen</w:t>
            </w:r>
          </w:p>
          <w:p w:rsidR="00BB3751" w:rsidRPr="0039317F" w:rsidRDefault="00BB3751" w:rsidP="0039317F">
            <w:pPr>
              <w:pStyle w:val="InstructionsText"/>
            </w:pPr>
          </w:p>
          <w:p w:rsidR="00BB3751" w:rsidRPr="0039317F" w:rsidRDefault="00BB3751" w:rsidP="0039317F">
            <w:pPr>
              <w:pStyle w:val="InstructionsText"/>
            </w:pPr>
            <w:r>
              <w:t xml:space="preserve">Vakavaraisuusasetuksen </w:t>
            </w:r>
            <w:r w:rsidRPr="00F1628A">
              <w:t>394</w:t>
            </w:r>
            <w:r>
              <w:t xml:space="preserve"> artiklan </w:t>
            </w:r>
            <w:r w:rsidRPr="00F1628A">
              <w:t>1</w:t>
            </w:r>
            <w:r>
              <w:t xml:space="preserve"> kohdan d alakohta</w:t>
            </w:r>
          </w:p>
          <w:p w:rsidR="00B0191A" w:rsidRPr="0039317F" w:rsidRDefault="00B0191A" w:rsidP="000F0ADE">
            <w:pPr>
              <w:pStyle w:val="InstructionsText"/>
            </w:pPr>
          </w:p>
          <w:p w:rsidR="00B0191A" w:rsidRPr="0039317F" w:rsidRDefault="0054768B">
            <w:pPr>
              <w:pStyle w:val="InstructionsText"/>
            </w:pPr>
            <w:r>
              <w:t xml:space="preserve">Laitoksen on ilmoitettava vakavaraisuusasetuksen </w:t>
            </w:r>
            <w:r w:rsidRPr="00F1628A">
              <w:t>395</w:t>
            </w:r>
            <w:r>
              <w:t xml:space="preserve"> artiklan </w:t>
            </w:r>
            <w:r w:rsidRPr="00F1628A">
              <w:t>1</w:t>
            </w:r>
            <w:r>
              <w:t xml:space="preserve"> kohdan s</w:t>
            </w:r>
            <w:r>
              <w:t>o</w:t>
            </w:r>
            <w:r>
              <w:t>veltamista varten laskettu vastuuarvo sen jälkeen, kun huomioon on otettu vapautukset ja luottoriskin vähentäminen.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330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Yhteensä</w:t>
            </w:r>
          </w:p>
          <w:p w:rsidR="00BB3751" w:rsidRPr="00384ADB" w:rsidRDefault="00BB3751" w:rsidP="0039317F">
            <w:pPr>
              <w:pStyle w:val="InstructionsText"/>
            </w:pPr>
          </w:p>
          <w:p w:rsidR="00BB3751" w:rsidRPr="0039317F" w:rsidRDefault="00BB3751" w:rsidP="000F0ADE">
            <w:pPr>
              <w:pStyle w:val="InstructionsText"/>
            </w:pPr>
            <w:r>
              <w:t>Tähän sarakkeeseen merkitään määrä, joka otetaan huomioon vakavara</w:t>
            </w:r>
            <w:r>
              <w:t>i</w:t>
            </w:r>
            <w:r>
              <w:t xml:space="preserve">suusasetuksen </w:t>
            </w:r>
            <w:r w:rsidRPr="00F1628A">
              <w:t>395</w:t>
            </w:r>
            <w:r>
              <w:t xml:space="preserve"> artiklassa säädetyn suuren asiakasriskin ylärajan nouda</w:t>
            </w:r>
            <w:r>
              <w:t>t</w:t>
            </w:r>
            <w:r>
              <w:t>tamista varten.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340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joista: kaupankäyntivaraston ulkopuolisia eriä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54768B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Laitoksen on ilmoitettava kokonaisriski sen jälkeen, kun on sovellettu v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pautuksia ja otettu huomioon kaupankäyntivaraston ulkopuolisiin eriin ku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u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luvan luottoriskin vähentämisen vaikutus.</w:t>
            </w:r>
          </w:p>
          <w:p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350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% hyväksyttävästä pääomasta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54768B" w:rsidP="00BE2D91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Laitoksen on ilmoitettava vastuuarvon prosenttiosuus laitoksen hyväksytt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ä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västä pääomasta vapautusten soveltamisen ja luottoriskin vähentämisen jä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keen, kuten vakavaraisuusasetuksen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artiklan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kohdan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71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alakohdan b al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kohdassa on määritelty.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3105C6" w:rsidRPr="00384ADB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33" w:name="_Toc358305157"/>
      <w:bookmarkStart w:id="34" w:name="_Toc393461963"/>
      <w:bookmarkStart w:id="35" w:name="_Toc523746704"/>
      <w:r>
        <w:rPr>
          <w:rFonts w:ascii="Times New Roman" w:hAnsi="Times New Roman"/>
          <w:b/>
          <w:sz w:val="24"/>
          <w:u w:val="none"/>
        </w:rPr>
        <w:t xml:space="preserve">C </w:t>
      </w:r>
      <w:r w:rsidRPr="00F1628A">
        <w:rPr>
          <w:rFonts w:ascii="Times New Roman" w:hAnsi="Times New Roman"/>
          <w:b/>
          <w:sz w:val="24"/>
          <w:u w:val="none"/>
        </w:rPr>
        <w:t>29</w:t>
      </w:r>
      <w:r>
        <w:rPr>
          <w:rFonts w:ascii="Times New Roman" w:hAnsi="Times New Roman"/>
          <w:b/>
          <w:sz w:val="24"/>
          <w:u w:val="none"/>
        </w:rPr>
        <w:t>.</w:t>
      </w:r>
      <w:r w:rsidRPr="00F1628A">
        <w:rPr>
          <w:rFonts w:ascii="Times New Roman" w:hAnsi="Times New Roman"/>
          <w:b/>
          <w:sz w:val="24"/>
          <w:u w:val="none"/>
        </w:rPr>
        <w:t>00</w:t>
      </w:r>
      <w:r>
        <w:rPr>
          <w:rFonts w:ascii="Times New Roman" w:hAnsi="Times New Roman"/>
          <w:b/>
          <w:sz w:val="24"/>
          <w:u w:val="none"/>
        </w:rPr>
        <w:t xml:space="preserve"> – Tiedot yksittäisten asiakaskokonaisuuteen kuuluvien asiakkaiden vastuista</w:t>
      </w:r>
      <w:bookmarkEnd w:id="33"/>
      <w:r>
        <w:rPr>
          <w:rFonts w:ascii="Times New Roman" w:hAnsi="Times New Roman"/>
          <w:b/>
          <w:sz w:val="24"/>
          <w:u w:val="none"/>
        </w:rPr>
        <w:t xml:space="preserve"> (LE</w:t>
      </w:r>
      <w:r w:rsidRPr="00F1628A">
        <w:rPr>
          <w:rFonts w:ascii="Times New Roman" w:hAnsi="Times New Roman"/>
          <w:b/>
          <w:sz w:val="24"/>
          <w:u w:val="none"/>
        </w:rPr>
        <w:t>3</w:t>
      </w:r>
      <w:r>
        <w:rPr>
          <w:rFonts w:ascii="Times New Roman" w:hAnsi="Times New Roman"/>
          <w:b/>
          <w:sz w:val="24"/>
          <w:u w:val="none"/>
        </w:rPr>
        <w:t>)</w:t>
      </w:r>
      <w:bookmarkEnd w:id="34"/>
      <w:bookmarkEnd w:id="35"/>
    </w:p>
    <w:p w:rsidR="003105C6" w:rsidRPr="00384ADB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36" w:name="_Toc308175824"/>
      <w:bookmarkStart w:id="37" w:name="_Toc310414970"/>
      <w:bookmarkStart w:id="38" w:name="_Toc358305158"/>
      <w:bookmarkStart w:id="39" w:name="_Toc393461964"/>
      <w:bookmarkStart w:id="40" w:name="_Toc523746705"/>
      <w:r>
        <w:rPr>
          <w:rFonts w:ascii="Times New Roman" w:hAnsi="Times New Roman"/>
          <w:sz w:val="24"/>
        </w:rPr>
        <w:t xml:space="preserve">Tiettyjä sarakkeita koskevat </w:t>
      </w:r>
      <w:bookmarkEnd w:id="36"/>
      <w:bookmarkEnd w:id="37"/>
      <w:r>
        <w:rPr>
          <w:rFonts w:ascii="Times New Roman" w:hAnsi="Times New Roman"/>
          <w:sz w:val="24"/>
        </w:rPr>
        <w:t>ohjeet</w:t>
      </w:r>
      <w:bookmarkEnd w:id="38"/>
      <w:bookmarkEnd w:id="39"/>
      <w:bookmarkEnd w:id="40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5514AF" w:rsidRPr="00384ADB" w:rsidTr="00E17043">
        <w:tc>
          <w:tcPr>
            <w:tcW w:w="1418" w:type="dxa"/>
            <w:shd w:val="clear" w:color="auto" w:fill="D9D9D9"/>
          </w:tcPr>
          <w:p w:rsidR="005514AF" w:rsidRPr="00384ADB" w:rsidRDefault="005514AF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Sarake</w:t>
            </w:r>
          </w:p>
        </w:tc>
        <w:tc>
          <w:tcPr>
            <w:tcW w:w="7620" w:type="dxa"/>
            <w:shd w:val="clear" w:color="auto" w:fill="D9D9D9"/>
          </w:tcPr>
          <w:p w:rsidR="005514AF" w:rsidRPr="00384ADB" w:rsidRDefault="005514AF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Lainsäädäntöviittaukset ja ohjeet</w:t>
            </w:r>
          </w:p>
        </w:tc>
      </w:tr>
      <w:tr w:rsidR="005514AF" w:rsidRPr="00384ADB" w:rsidTr="00E17043">
        <w:tc>
          <w:tcPr>
            <w:tcW w:w="1418" w:type="dxa"/>
          </w:tcPr>
          <w:p w:rsidR="005514AF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–</w:t>
            </w: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360</w:t>
            </w:r>
          </w:p>
        </w:tc>
        <w:tc>
          <w:tcPr>
            <w:tcW w:w="7620" w:type="dxa"/>
          </w:tcPr>
          <w:p w:rsidR="00704405" w:rsidRPr="00384ADB" w:rsidRDefault="00704405" w:rsidP="0039317F">
            <w:pPr>
              <w:pStyle w:val="InstructionsText"/>
            </w:pPr>
          </w:p>
          <w:p w:rsidR="005514AF" w:rsidRPr="00384ADB" w:rsidRDefault="00BA7374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>Laitokset ilmoittavat LE</w:t>
            </w:r>
            <w:r w:rsidRPr="00F1628A">
              <w:t>3</w:t>
            </w:r>
            <w:r>
              <w:t>-lomakkeessa yksittäisten asiakaskokonaisuuteen kuuluvien asiakkaiden tiedot, jotka on merkitty LE</w:t>
            </w:r>
            <w:r w:rsidRPr="00F1628A">
              <w:t>2</w:t>
            </w:r>
            <w:r>
              <w:t xml:space="preserve">-lomakkeen riveille. </w:t>
            </w:r>
          </w:p>
          <w:p w:rsidR="009F75EC" w:rsidRPr="00384ADB" w:rsidRDefault="009F75EC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6E7C46" w:rsidRPr="00384ADB" w:rsidTr="00383747">
        <w:trPr>
          <w:trHeight w:val="1203"/>
        </w:trPr>
        <w:tc>
          <w:tcPr>
            <w:tcW w:w="1418" w:type="dxa"/>
          </w:tcPr>
          <w:p w:rsidR="006E7C46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010</w:t>
            </w:r>
          </w:p>
        </w:tc>
        <w:tc>
          <w:tcPr>
            <w:tcW w:w="7620" w:type="dxa"/>
          </w:tcPr>
          <w:p w:rsidR="006E7C46" w:rsidRPr="00384ADB" w:rsidRDefault="006E7C4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Koodi</w:t>
            </w:r>
          </w:p>
          <w:p w:rsidR="006E7C46" w:rsidRPr="00384ADB" w:rsidRDefault="006E7C4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D0674" w:rsidRPr="00384ADB" w:rsidRDefault="00BD0674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Sarakkeet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ja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muodostavat yhdistetyn rivitunnisteen, ja niiden on yhdessä oltava yksilöllisiä kunkin taulukkorivin osalta.</w:t>
            </w:r>
          </w:p>
          <w:p w:rsidR="00C53963" w:rsidRPr="00384ADB" w:rsidRDefault="00C53963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Asiakaskokonaisuuksiin kuuluvien yksittäisten vastapuolten koodi on ilmo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tettava.</w:t>
            </w:r>
          </w:p>
          <w:p w:rsidR="00C53963" w:rsidRPr="00384ADB" w:rsidRDefault="00C53963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FC221F" w:rsidRPr="00384ADB" w:rsidTr="00383747">
        <w:trPr>
          <w:trHeight w:val="1203"/>
        </w:trPr>
        <w:tc>
          <w:tcPr>
            <w:tcW w:w="1418" w:type="dxa"/>
          </w:tcPr>
          <w:p w:rsidR="00FC221F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:rsidR="00FC221F" w:rsidRPr="00384ADB" w:rsidRDefault="00FC221F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Ryhmän koodi</w:t>
            </w:r>
          </w:p>
          <w:p w:rsidR="00FC221F" w:rsidRPr="00384ADB" w:rsidRDefault="00FC221F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D0674" w:rsidRDefault="00BD0674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Sarakkeet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ja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muodostavat yhdistetyn rivitunnisteen, ja niiden on yhdessä oltava yksilöllisiä kunkin taulukkorivin osalta.</w:t>
            </w:r>
          </w:p>
          <w:p w:rsidR="007449CB" w:rsidRPr="00384ADB" w:rsidRDefault="007449C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Jos asiakaskokonaisuudelle on saatavilla yksilöllinen koodi kansallisella 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solla, tämä koodi on ilmoitettava. Jos kansallisella tasolla ei ole saatavilla yksilöllistä koodia, ilmoitettava koodi on koodi, jota käytetään ilmoitettaessa vastuita asiakaskokonaisuudelle lomakkeessa C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28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(LE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).</w:t>
            </w:r>
          </w:p>
          <w:p w:rsidR="00B0191A" w:rsidRPr="00384ADB" w:rsidRDefault="00D46F0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>Jos asiakas kuuluu useaan asiakaskokonaisuuteen, se on ilmoitettava kaikk</w:t>
            </w:r>
            <w:r>
              <w:t>i</w:t>
            </w:r>
            <w:r>
              <w:t>en näiden asiakaskokonaisuuksien jäsenenä.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6E7C46" w:rsidRPr="00384ADB" w:rsidTr="00E17043">
        <w:tc>
          <w:tcPr>
            <w:tcW w:w="1418" w:type="dxa"/>
          </w:tcPr>
          <w:p w:rsidR="006E7C46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:rsidR="006E7C46" w:rsidRPr="00384ADB" w:rsidRDefault="006E7C4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Liiketoimet, joissa vastuu johtuu kohde-etuutena olevasta oma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i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suuserästä </w:t>
            </w:r>
          </w:p>
          <w:p w:rsidR="006E7C46" w:rsidRPr="00384ADB" w:rsidRDefault="006E7C46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3D3140" w:rsidRPr="00384ADB" w:rsidRDefault="003D3140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Ks. LE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2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-lomakkeen sarake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030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proofErr w:type="gramEnd"/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5514AF" w:rsidRPr="00384ADB" w:rsidTr="00E17043">
        <w:tc>
          <w:tcPr>
            <w:tcW w:w="1418" w:type="dxa"/>
          </w:tcPr>
          <w:p w:rsidR="005514AF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:rsidR="005514AF" w:rsidRPr="00384ADB" w:rsidRDefault="00FC221F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Yhteystyyppi</w:t>
            </w:r>
          </w:p>
          <w:p w:rsidR="005514AF" w:rsidRPr="00384ADB" w:rsidRDefault="005514AF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5254" w:rsidRPr="00384ADB" w:rsidRDefault="00D46F08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Yksittäisen yhteisön ja asiakaskokonaisuuden välisen yhteyden tyyppi 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maistaan seuraavasti: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0525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”a” tarkoittaa vakavaraisuusasetuksen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4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kohdan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39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alakohdan a alakohdassa tarkoitettua tyyppiä (määräysvalta); tai </w:t>
            </w:r>
          </w:p>
          <w:p w:rsidR="00B0191A" w:rsidRPr="00384ADB" w:rsidRDefault="00B0525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”b” tarkoittaa vakavaraisuusasetuksen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4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artiklan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kohdan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39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alakohdan b alakohdassa tarkoitettua tyyppiä (sidossuhde).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F75EC" w:rsidRPr="00384ADB" w:rsidTr="009F75EC">
        <w:tc>
          <w:tcPr>
            <w:tcW w:w="1418" w:type="dxa"/>
          </w:tcPr>
          <w:p w:rsidR="009F75EC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–</w:t>
            </w: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360</w:t>
            </w:r>
          </w:p>
        </w:tc>
        <w:tc>
          <w:tcPr>
            <w:tcW w:w="7620" w:type="dxa"/>
          </w:tcPr>
          <w:p w:rsidR="00464111" w:rsidRPr="00384ADB" w:rsidRDefault="0046411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464111" w:rsidRPr="00384ADB" w:rsidRDefault="0046411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Kun LE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-lomakkeen mukaisia instrumentteja tarjotaan koko asiakaskok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naisuudelle, ne kohdennetaan LE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-lomakkeessa ilmoitetuille yksittäisille vastapuolille laitoksen liiketoimintakriteerien mukaisesti. </w:t>
            </w:r>
          </w:p>
          <w:p w:rsidR="00667F2D" w:rsidRPr="00384ADB" w:rsidRDefault="00667F2D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0191A" w:rsidRPr="00384ADB" w:rsidRDefault="00667F2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Muut ohjeet ovat samat kuin LE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-lomakkeessa.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915A9C" w:rsidRPr="00384ADB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41" w:name="_Toc358305159"/>
      <w:bookmarkStart w:id="42" w:name="_Toc393461965"/>
      <w:bookmarkStart w:id="43" w:name="_Toc523746706"/>
      <w:bookmarkEnd w:id="0"/>
      <w:bookmarkEnd w:id="1"/>
      <w:r>
        <w:rPr>
          <w:rFonts w:ascii="Times New Roman" w:hAnsi="Times New Roman"/>
          <w:b/>
          <w:sz w:val="24"/>
          <w:u w:val="none"/>
        </w:rPr>
        <w:t xml:space="preserve">C </w:t>
      </w:r>
      <w:r w:rsidRPr="00F1628A">
        <w:rPr>
          <w:rFonts w:ascii="Times New Roman" w:hAnsi="Times New Roman"/>
          <w:b/>
          <w:sz w:val="24"/>
          <w:u w:val="none"/>
        </w:rPr>
        <w:t>30</w:t>
      </w:r>
      <w:r>
        <w:rPr>
          <w:rFonts w:ascii="Times New Roman" w:hAnsi="Times New Roman"/>
          <w:b/>
          <w:sz w:val="24"/>
          <w:u w:val="none"/>
        </w:rPr>
        <w:t>.</w:t>
      </w:r>
      <w:r w:rsidRPr="00F1628A">
        <w:rPr>
          <w:rFonts w:ascii="Times New Roman" w:hAnsi="Times New Roman"/>
          <w:b/>
          <w:sz w:val="24"/>
          <w:u w:val="none"/>
        </w:rPr>
        <w:t>00</w:t>
      </w:r>
      <w:r>
        <w:rPr>
          <w:rFonts w:ascii="Times New Roman" w:hAnsi="Times New Roman"/>
          <w:b/>
          <w:sz w:val="24"/>
          <w:u w:val="none"/>
        </w:rPr>
        <w:t xml:space="preserve"> – Vastuiden maturiteettiluokat – kymmenen suurinta vastuuta laitosten osa</w:t>
      </w:r>
      <w:r>
        <w:rPr>
          <w:rFonts w:ascii="Times New Roman" w:hAnsi="Times New Roman"/>
          <w:b/>
          <w:sz w:val="24"/>
          <w:u w:val="none"/>
        </w:rPr>
        <w:t>l</w:t>
      </w:r>
      <w:r>
        <w:rPr>
          <w:rFonts w:ascii="Times New Roman" w:hAnsi="Times New Roman"/>
          <w:b/>
          <w:sz w:val="24"/>
          <w:u w:val="none"/>
        </w:rPr>
        <w:t>ta ja kymmenen suurinta vastuuta sääntelemättömien rahoitusalan yhteisöjen osalta</w:t>
      </w:r>
      <w:bookmarkEnd w:id="41"/>
      <w:r>
        <w:rPr>
          <w:rFonts w:ascii="Times New Roman" w:hAnsi="Times New Roman"/>
          <w:b/>
          <w:sz w:val="24"/>
          <w:u w:val="none"/>
        </w:rPr>
        <w:t xml:space="preserve"> (LE</w:t>
      </w:r>
      <w:r w:rsidRPr="00F1628A">
        <w:rPr>
          <w:rFonts w:ascii="Times New Roman" w:hAnsi="Times New Roman"/>
          <w:b/>
          <w:sz w:val="24"/>
          <w:u w:val="none"/>
        </w:rPr>
        <w:t>4</w:t>
      </w:r>
      <w:r>
        <w:rPr>
          <w:rFonts w:ascii="Times New Roman" w:hAnsi="Times New Roman"/>
          <w:b/>
          <w:sz w:val="24"/>
          <w:u w:val="none"/>
        </w:rPr>
        <w:t>-lomake)</w:t>
      </w:r>
      <w:bookmarkEnd w:id="42"/>
      <w:bookmarkEnd w:id="43"/>
    </w:p>
    <w:p w:rsidR="00915A9C" w:rsidRPr="00384ADB" w:rsidRDefault="00915A9C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44" w:name="_Toc358305160"/>
      <w:bookmarkStart w:id="45" w:name="_Toc393461966"/>
      <w:bookmarkStart w:id="46" w:name="_Toc523746707"/>
      <w:r>
        <w:rPr>
          <w:rFonts w:ascii="Times New Roman" w:hAnsi="Times New Roman"/>
          <w:sz w:val="24"/>
        </w:rPr>
        <w:t>Tiettyjä sarakkeita koskevat ohjeet</w:t>
      </w:r>
      <w:bookmarkEnd w:id="44"/>
      <w:bookmarkEnd w:id="45"/>
      <w:bookmarkEnd w:id="46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915A9C" w:rsidRPr="00384ADB" w:rsidTr="00915A9C">
        <w:tc>
          <w:tcPr>
            <w:tcW w:w="1418" w:type="dxa"/>
            <w:shd w:val="clear" w:color="auto" w:fill="D9D9D9"/>
          </w:tcPr>
          <w:p w:rsidR="00915A9C" w:rsidRPr="00384ADB" w:rsidRDefault="00915A9C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Sarake</w:t>
            </w:r>
          </w:p>
        </w:tc>
        <w:tc>
          <w:tcPr>
            <w:tcW w:w="7620" w:type="dxa"/>
            <w:shd w:val="clear" w:color="auto" w:fill="D9D9D9"/>
          </w:tcPr>
          <w:p w:rsidR="00915A9C" w:rsidRPr="00384ADB" w:rsidRDefault="00915A9C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Lainsäädäntöviittaukset ja ohjeet</w:t>
            </w:r>
          </w:p>
        </w:tc>
      </w:tr>
      <w:tr w:rsidR="00915A9C" w:rsidRPr="00384ADB" w:rsidTr="00915A9C">
        <w:tc>
          <w:tcPr>
            <w:tcW w:w="1418" w:type="dxa"/>
          </w:tcPr>
          <w:p w:rsidR="00915A9C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:rsidR="00915A9C" w:rsidRPr="00384ADB" w:rsidRDefault="00915A9C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Koodi</w:t>
            </w:r>
          </w:p>
          <w:p w:rsidR="00915A9C" w:rsidRPr="00384ADB" w:rsidRDefault="00915A9C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D0674" w:rsidRPr="00384ADB" w:rsidRDefault="00BD0674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Koodi on rivitunniste, jonka on oltava kunkin taulukkorivin osalta yksilöll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nen.</w:t>
            </w:r>
          </w:p>
          <w:p w:rsidR="00B0191A" w:rsidRPr="00384ADB" w:rsidRDefault="00915A9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Ks. LE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-lomakkeen sarake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010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proofErr w:type="gramEnd"/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15A9C" w:rsidRPr="00384ADB" w:rsidTr="00915A9C">
        <w:tc>
          <w:tcPr>
            <w:tcW w:w="1418" w:type="dxa"/>
          </w:tcPr>
          <w:p w:rsidR="00915A9C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020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–</w:t>
            </w: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250</w:t>
            </w:r>
          </w:p>
        </w:tc>
        <w:tc>
          <w:tcPr>
            <w:tcW w:w="7620" w:type="dxa"/>
          </w:tcPr>
          <w:p w:rsidR="00915A9C" w:rsidRPr="00384ADB" w:rsidRDefault="00915A9C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Vastuun maturiteettiluokat</w:t>
            </w:r>
          </w:p>
          <w:p w:rsidR="00915A9C" w:rsidRPr="00384ADB" w:rsidRDefault="00915A9C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ED1EF3" w:rsidRPr="00384ADB" w:rsidRDefault="00915A9C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 xml:space="preserve">Vakavaraisuusasetuksen </w:t>
            </w:r>
            <w:r w:rsidRPr="00F1628A">
              <w:t>394</w:t>
            </w:r>
            <w:r>
              <w:t xml:space="preserve"> artiklan </w:t>
            </w:r>
            <w:r w:rsidRPr="00F1628A">
              <w:t>2</w:t>
            </w:r>
            <w:r>
              <w:t xml:space="preserve"> kohdan e alakohta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9E6A9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Laitoksen on annettava nämä tiedot kymmenestä suurimmasta vastuusta la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tosten osalta ja kymmenestä suurimmasta vastuusta sääntelemättömien 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hoitusalan yhteisöjen osalta. 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ED1EF3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Maturiteettiluokat määritetään kuukauden välein, jos maturiteetti on eni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tään vuosi, neljännesvuosittain, jos maturiteetti on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–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vuotta, ja pidemmin välein, jos maturiteetti on yli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vuotta.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7449C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Kukin vastuuarvo, johon ei ole vielä sovellettu vapautuksia eikä luottoriskin vähentämistä (LE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-lomakkeen sarake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210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), ilmoitetaan siten, että koko maksamatta oleva määrä kohdennetaan sen odotettavissa olevaa jäljellä ol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vaa maturiteettia vastaavaan maturiteettiluokkaan. Kun on kyse useasta eri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lisestä suhteesta, jotka muodostavat vastuun asiakkaalle, kukin vastuun osa ilmoitetaan siten, että koko maksamatta oleva määrä kohdennetaan sen od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tettavissa olevaa jäljellä olevaa maturiteettia vastaavaan maturiteettiluo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kaan.  Instrumentit, joilla ei ole kiinteää maturiteettia, kuten oma pääoma, merkitään sarakkeeseen ”määrittelemätön maturiteetti”.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915A9C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Vastuun odotettavissa oleva maturiteetti ilmoitetaan sekä välittömistä että välillisistä vastuista.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915A9C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Kun kyseessä ovat välittömät vastuut, käytetään maksuvalmiuden lisämetri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kan maturiteettitaulukkolomakkeen ohjeita (ks. tämän asetuksen liite XXIII) kohdennettaessa odotettavissa olevia velkainstrumenttien ja johdannaisten määriä tämän lomakkeen eri maturiteettiluokkiin. </w:t>
            </w:r>
          </w:p>
          <w:p w:rsidR="00B0191A" w:rsidRPr="00384ADB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915A9C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Kun kyseessä ovat taseen ulkopuoliset erät, odotettavissa olevat määrät ko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dennetaan maturiteettiluokkiin riskin maturiteetin perusteella. Tarkemmin sanottuna tämä tarkoittaa talletuksentekosopimusten osalta talletuksen mat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riteettirakennetta, rahoitusvakuuksien osalta kohde-etuutena olevien raho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tusvarojen maturiteettirakennetta, käyttämättömien lainasitoumusjärjestel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y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jen osalta lainan maturiteettirakennetta ja muiden sitoumusten osalta s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toumuksen maturiteettirakennetta.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Default="00915A9C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Kun kyseessä ovat välilliset vastuut, kohdentaminen maturiteettiluokkiin p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rustuu niiden taattujen operaatioiden maturiteettiin, jotka ovat synnyttäneet välittömän vastuun.</w:t>
            </w:r>
          </w:p>
          <w:p w:rsidR="001D319A" w:rsidRPr="000448EA" w:rsidRDefault="001D319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1D319A" w:rsidRPr="000448EA" w:rsidRDefault="001D319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Jos vastuun tai vastuun osan katsotaan olevan maksukyvytön ja se ilmoit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taan sellaiseksi lomakkeessa C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28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(LE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-lomakkeen sarake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050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) ja C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29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(LE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-lomakkeen sarake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060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), maksukyvyttömän vastuun oletettu ke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to on kohdennettava vastaaviin maturiteettiluokkiin seuraavasti:</w:t>
            </w:r>
          </w:p>
          <w:p w:rsidR="001D319A" w:rsidRPr="000448EA" w:rsidRDefault="001D319A" w:rsidP="001D319A">
            <w:pPr>
              <w:pStyle w:val="ListParagraph"/>
              <w:numPr>
                <w:ilvl w:val="0"/>
                <w:numId w:val="30"/>
              </w:numPr>
              <w:spacing w:before="0" w:after="200" w:line="276" w:lineRule="auto"/>
              <w:contextualSpacing/>
              <w:jc w:val="lef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Jos raportoivalla yhteisöllä on maksukyvyttömyydestä huolimatta vastuun odotettavissa olevaa takaisinmaksua koskeva selkeä aikata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lu, se kohdentaa ne vastaaviin luokkiin aikataulun mukaisesti.</w:t>
            </w:r>
          </w:p>
          <w:p w:rsidR="001D319A" w:rsidRPr="000448EA" w:rsidRDefault="001D319A" w:rsidP="001D319A">
            <w:pPr>
              <w:pStyle w:val="ListParagraph"/>
              <w:numPr>
                <w:ilvl w:val="0"/>
                <w:numId w:val="30"/>
              </w:numPr>
              <w:spacing w:before="0" w:after="200" w:line="276" w:lineRule="auto"/>
              <w:contextualSpacing/>
              <w:jc w:val="lef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Jos raportoivalla yhteisöllä ei ole perusteltua näkemystä siitä, milloin maksukyvyttömät määrät maksetaan takaisin (jos milloinkaan), se kohdentaa ne luokkaan ”määrittelemätön maturiteetti”.</w:t>
            </w:r>
          </w:p>
          <w:p w:rsidR="00B0191A" w:rsidRPr="00384ADB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915A9C" w:rsidRPr="00384ADB" w:rsidRDefault="00915A9C" w:rsidP="009A77CD">
      <w:pPr>
        <w:spacing w:after="0"/>
        <w:rPr>
          <w:rFonts w:ascii="Times New Roman" w:hAnsi="Times New Roman"/>
          <w:b/>
          <w:sz w:val="24"/>
        </w:rPr>
      </w:pPr>
    </w:p>
    <w:p w:rsidR="003D3140" w:rsidRPr="00384ADB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47" w:name="_Toc393461967"/>
      <w:bookmarkStart w:id="48" w:name="_Toc523746708"/>
      <w:r>
        <w:rPr>
          <w:rFonts w:ascii="Times New Roman" w:hAnsi="Times New Roman"/>
          <w:b/>
          <w:sz w:val="24"/>
          <w:u w:val="none"/>
        </w:rPr>
        <w:t xml:space="preserve">C </w:t>
      </w:r>
      <w:r w:rsidRPr="00F1628A">
        <w:rPr>
          <w:rFonts w:ascii="Times New Roman" w:hAnsi="Times New Roman"/>
          <w:b/>
          <w:sz w:val="24"/>
          <w:u w:val="none"/>
        </w:rPr>
        <w:t>31</w:t>
      </w:r>
      <w:r>
        <w:rPr>
          <w:rFonts w:ascii="Times New Roman" w:hAnsi="Times New Roman"/>
          <w:b/>
          <w:sz w:val="24"/>
          <w:u w:val="none"/>
        </w:rPr>
        <w:t>.</w:t>
      </w:r>
      <w:r w:rsidRPr="00F1628A">
        <w:rPr>
          <w:rFonts w:ascii="Times New Roman" w:hAnsi="Times New Roman"/>
          <w:b/>
          <w:sz w:val="24"/>
          <w:u w:val="none"/>
        </w:rPr>
        <w:t>00</w:t>
      </w:r>
      <w:r>
        <w:rPr>
          <w:rFonts w:ascii="Times New Roman" w:hAnsi="Times New Roman"/>
          <w:b/>
          <w:sz w:val="24"/>
          <w:u w:val="none"/>
        </w:rPr>
        <w:t xml:space="preserve"> – Vastuiden maturiteettiluokat – kymmenen suurinta vastuuta laitosten osa</w:t>
      </w:r>
      <w:r>
        <w:rPr>
          <w:rFonts w:ascii="Times New Roman" w:hAnsi="Times New Roman"/>
          <w:b/>
          <w:sz w:val="24"/>
          <w:u w:val="none"/>
        </w:rPr>
        <w:t>l</w:t>
      </w:r>
      <w:r>
        <w:rPr>
          <w:rFonts w:ascii="Times New Roman" w:hAnsi="Times New Roman"/>
          <w:b/>
          <w:sz w:val="24"/>
          <w:u w:val="none"/>
        </w:rPr>
        <w:t>ta ja kymmenen suurinta vastuuta sääntelemättömien rahoitusalan yhteisöjen osalta: tiedot yksittäisten asiakaskokonaisuuteen kuuluvien asiakkaiden vastuista (LE</w:t>
      </w:r>
      <w:r w:rsidRPr="00F1628A">
        <w:rPr>
          <w:rFonts w:ascii="Times New Roman" w:hAnsi="Times New Roman"/>
          <w:b/>
          <w:sz w:val="24"/>
          <w:u w:val="none"/>
        </w:rPr>
        <w:t>5</w:t>
      </w:r>
      <w:r>
        <w:rPr>
          <w:rFonts w:ascii="Times New Roman" w:hAnsi="Times New Roman"/>
          <w:b/>
          <w:sz w:val="24"/>
          <w:u w:val="none"/>
        </w:rPr>
        <w:t>-lomake)</w:t>
      </w:r>
      <w:bookmarkEnd w:id="47"/>
      <w:bookmarkEnd w:id="48"/>
    </w:p>
    <w:p w:rsidR="003D3140" w:rsidRPr="00384ADB" w:rsidRDefault="003D3140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49" w:name="_Toc393461968"/>
      <w:bookmarkStart w:id="50" w:name="_Toc523746709"/>
      <w:r>
        <w:rPr>
          <w:rFonts w:ascii="Times New Roman" w:hAnsi="Times New Roman"/>
          <w:sz w:val="24"/>
        </w:rPr>
        <w:t>Tiettyjä sarakkeita koskevat ohjeet</w:t>
      </w:r>
      <w:bookmarkEnd w:id="49"/>
      <w:bookmarkEnd w:id="50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3D3140" w:rsidRPr="00384ADB" w:rsidTr="00AF0271">
        <w:tc>
          <w:tcPr>
            <w:tcW w:w="1418" w:type="dxa"/>
            <w:shd w:val="clear" w:color="auto" w:fill="D9D9D9"/>
          </w:tcPr>
          <w:p w:rsidR="003D3140" w:rsidRPr="00384ADB" w:rsidRDefault="003D3140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Sarake</w:t>
            </w:r>
          </w:p>
        </w:tc>
        <w:tc>
          <w:tcPr>
            <w:tcW w:w="7620" w:type="dxa"/>
            <w:shd w:val="clear" w:color="auto" w:fill="D9D9D9"/>
          </w:tcPr>
          <w:p w:rsidR="003D3140" w:rsidRPr="00384ADB" w:rsidRDefault="003D3140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Lainsäädäntöviittaukset ja ohjeet</w:t>
            </w:r>
          </w:p>
        </w:tc>
      </w:tr>
      <w:tr w:rsidR="00B80B0E" w:rsidRPr="00384ADB" w:rsidTr="00AF0271">
        <w:tc>
          <w:tcPr>
            <w:tcW w:w="1418" w:type="dxa"/>
          </w:tcPr>
          <w:p w:rsidR="00B80B0E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–</w:t>
            </w: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260</w:t>
            </w:r>
          </w:p>
        </w:tc>
        <w:tc>
          <w:tcPr>
            <w:tcW w:w="7620" w:type="dxa"/>
          </w:tcPr>
          <w:p w:rsidR="00B80B0E" w:rsidRPr="00384ADB" w:rsidRDefault="00B80B0E" w:rsidP="0039317F">
            <w:pPr>
              <w:pStyle w:val="InstructionsText"/>
            </w:pPr>
          </w:p>
          <w:p w:rsidR="00B80B0E" w:rsidRPr="00384ADB" w:rsidRDefault="00186D4E" w:rsidP="0039317F">
            <w:pPr>
              <w:pStyle w:val="InstructionsText"/>
            </w:pPr>
            <w:r>
              <w:t>Laitoksen on ilmoitettava LE</w:t>
            </w:r>
            <w:r w:rsidRPr="00F1628A">
              <w:t>5</w:t>
            </w:r>
            <w:r>
              <w:t>-lomakkeessa yksittäisten asiakaskokonaisu</w:t>
            </w:r>
            <w:r>
              <w:t>u</w:t>
            </w:r>
            <w:r>
              <w:t>teen kuuluvien vastapuolten tiedot, jotka on merkitty LE</w:t>
            </w:r>
            <w:r w:rsidRPr="00F1628A">
              <w:t>4</w:t>
            </w:r>
            <w:r>
              <w:t>-lomakkeen rivei</w:t>
            </w:r>
            <w:r>
              <w:t>l</w:t>
            </w:r>
            <w:r>
              <w:t>le.</w:t>
            </w:r>
          </w:p>
          <w:p w:rsidR="00B80B0E" w:rsidRPr="00384ADB" w:rsidRDefault="00B80B0E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3D3140" w:rsidRPr="00384ADB" w:rsidTr="00AF0271">
        <w:tc>
          <w:tcPr>
            <w:tcW w:w="1418" w:type="dxa"/>
          </w:tcPr>
          <w:p w:rsidR="003D3140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:rsidR="003D3140" w:rsidRPr="00384ADB" w:rsidRDefault="003D3140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Koodi</w:t>
            </w:r>
          </w:p>
          <w:p w:rsidR="003D3140" w:rsidRPr="00384ADB" w:rsidRDefault="003D3140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D0674" w:rsidRPr="00384ADB" w:rsidRDefault="00BD0674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Sarakkeet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010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ja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020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muodostavat yhdistetyn rivitunnisteen, ja niiden on yhdessä oltava yksilöllisiä kunkin taulukkorivin osalta.</w:t>
            </w:r>
          </w:p>
          <w:p w:rsidR="003D3140" w:rsidRPr="00384ADB" w:rsidRDefault="003D314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Ks. LE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-lomakkeen sarake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010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proofErr w:type="gramEnd"/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3D3140" w:rsidRPr="00384ADB" w:rsidTr="00AF0271">
        <w:tc>
          <w:tcPr>
            <w:tcW w:w="1418" w:type="dxa"/>
          </w:tcPr>
          <w:p w:rsidR="003D3140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:rsidR="00B80B0E" w:rsidRPr="00384ADB" w:rsidRDefault="00B80B0E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Ryhmän koodi</w:t>
            </w:r>
          </w:p>
          <w:p w:rsidR="00BD0674" w:rsidRPr="00384ADB" w:rsidRDefault="00BD0674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D0674" w:rsidRPr="00384ADB" w:rsidRDefault="00BD0674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Sarakkeet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010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ja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020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mu</w:t>
            </w:r>
            <w:bookmarkStart w:id="51" w:name="_GoBack"/>
            <w:bookmarkEnd w:id="51"/>
            <w:r>
              <w:rPr>
                <w:rStyle w:val="FormatvorlageInstructionsTabelleText"/>
                <w:rFonts w:ascii="Times New Roman" w:hAnsi="Times New Roman"/>
                <w:sz w:val="24"/>
              </w:rPr>
              <w:t>odostavat yhdistetyn rivitunnisteen, ja niiden on yhdessä oltava yksilöllisiä kunkin taulukkorivin osalta.</w:t>
            </w:r>
          </w:p>
          <w:p w:rsidR="00B80B0E" w:rsidRPr="00384ADB" w:rsidRDefault="00B80B0E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Ks. LE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-lomakkeen sarake </w:t>
            </w:r>
            <w:r w:rsidRPr="00F1628A">
              <w:rPr>
                <w:rStyle w:val="FormatvorlageInstructionsTabelleText"/>
                <w:rFonts w:ascii="Times New Roman" w:hAnsi="Times New Roman"/>
                <w:sz w:val="24"/>
              </w:rPr>
              <w:t>020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proofErr w:type="gramEnd"/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3D3140" w:rsidRPr="00384ADB" w:rsidTr="00AF0271">
        <w:tc>
          <w:tcPr>
            <w:tcW w:w="1418" w:type="dxa"/>
          </w:tcPr>
          <w:p w:rsidR="003D3140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–</w:t>
            </w:r>
            <w:r w:rsidRPr="00F1628A">
              <w:rPr>
                <w:rStyle w:val="FormatvorlageInstructionsTabelleText"/>
                <w:rFonts w:ascii="Times New Roman" w:hAnsi="Times New Roman"/>
                <w:b/>
                <w:sz w:val="24"/>
              </w:rPr>
              <w:t>260</w:t>
            </w:r>
          </w:p>
        </w:tc>
        <w:tc>
          <w:tcPr>
            <w:tcW w:w="7620" w:type="dxa"/>
          </w:tcPr>
          <w:p w:rsidR="003D3140" w:rsidRPr="00384ADB" w:rsidRDefault="003D3140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Vastuiden maturiteettiluokat</w:t>
            </w:r>
          </w:p>
          <w:p w:rsidR="003D3140" w:rsidRPr="00384ADB" w:rsidRDefault="003D3140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3D3140" w:rsidRPr="00384ADB" w:rsidRDefault="00B80B0E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Ks. LE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-lomakkeen sarakkeet 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–</w:t>
            </w:r>
            <w:r w:rsidRPr="00F1628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250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.”</w:t>
            </w:r>
          </w:p>
          <w:p w:rsidR="00264B52" w:rsidRPr="00384ADB" w:rsidRDefault="00264B52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3D3140" w:rsidRPr="00E83F90" w:rsidRDefault="003D3140" w:rsidP="0078562D">
      <w:pPr>
        <w:spacing w:after="0"/>
        <w:rPr>
          <w:rFonts w:ascii="Times New Roman" w:hAnsi="Times New Roman"/>
          <w:sz w:val="24"/>
        </w:rPr>
      </w:pPr>
    </w:p>
    <w:sectPr w:rsidR="003D3140" w:rsidRPr="00E83F90" w:rsidSect="00B51F42"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B08" w:rsidRDefault="006B5B08" w:rsidP="00D946DB">
      <w:pPr>
        <w:spacing w:before="0" w:after="0"/>
      </w:pPr>
      <w:r>
        <w:separator/>
      </w:r>
    </w:p>
  </w:endnote>
  <w:endnote w:type="continuationSeparator" w:id="0">
    <w:p w:rsidR="006B5B08" w:rsidRDefault="006B5B08" w:rsidP="00D946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B08" w:rsidRPr="00A772B4" w:rsidRDefault="006B5B08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F1628A">
      <w:rPr>
        <w:rFonts w:ascii="Times New Roman" w:hAnsi="Times New Roman"/>
        <w:noProof/>
      </w:rPr>
      <w:t>2</w:t>
    </w:r>
    <w:r w:rsidRPr="00A772B4">
      <w:rPr>
        <w:rFonts w:ascii="Times New Roman" w:hAnsi="Times New Roman"/>
      </w:rPr>
      <w:fldChar w:fldCharType="end"/>
    </w:r>
  </w:p>
  <w:p w:rsidR="006B5B08" w:rsidRDefault="006B5B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B08" w:rsidRDefault="006B5B0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1628A">
      <w:rPr>
        <w:noProof/>
      </w:rPr>
      <w:t>1</w:t>
    </w:r>
    <w:r>
      <w:rPr>
        <w:noProof/>
      </w:rPr>
      <w:fldChar w:fldCharType="end"/>
    </w:r>
  </w:p>
  <w:p w:rsidR="006B5B08" w:rsidRDefault="006B5B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B08" w:rsidRDefault="006B5B0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5B08" w:rsidRDefault="006B5B08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B08" w:rsidRPr="00A772B4" w:rsidRDefault="006B5B08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F1628A">
      <w:rPr>
        <w:rFonts w:ascii="Times New Roman" w:hAnsi="Times New Roman"/>
        <w:noProof/>
      </w:rPr>
      <w:t>19</w:t>
    </w:r>
    <w:r w:rsidRPr="00A772B4">
      <w:rPr>
        <w:rFonts w:ascii="Times New Roman" w:hAnsi="Times New Roman"/>
      </w:rPr>
      <w:fldChar w:fldCharType="end"/>
    </w:r>
  </w:p>
  <w:p w:rsidR="006B5B08" w:rsidRPr="00A772B4" w:rsidRDefault="006B5B08" w:rsidP="00A772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B08" w:rsidRDefault="006B5B08" w:rsidP="00D946DB">
      <w:pPr>
        <w:spacing w:before="0" w:after="0"/>
      </w:pPr>
      <w:r>
        <w:separator/>
      </w:r>
    </w:p>
  </w:footnote>
  <w:footnote w:type="continuationSeparator" w:id="0">
    <w:p w:rsidR="006B5B08" w:rsidRDefault="006B5B08" w:rsidP="00D946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B08" w:rsidRDefault="006B5B08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298D3E4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4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0A6035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6">
    <w:nsid w:val="2E7D3286"/>
    <w:multiLevelType w:val="hybridMultilevel"/>
    <w:tmpl w:val="1730D754"/>
    <w:lvl w:ilvl="0" w:tplc="0809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 w:tentative="1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2F7D7F02"/>
    <w:multiLevelType w:val="multilevel"/>
    <w:tmpl w:val="0407001D"/>
    <w:numStyleLink w:val="Formatvorlage3"/>
  </w:abstractNum>
  <w:abstractNum w:abstractNumId="8">
    <w:nsid w:val="33057CB8"/>
    <w:multiLevelType w:val="hybridMultilevel"/>
    <w:tmpl w:val="7BD0454E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FC723E"/>
    <w:multiLevelType w:val="hybridMultilevel"/>
    <w:tmpl w:val="96E450D2"/>
    <w:lvl w:ilvl="0" w:tplc="FA32F8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8A2408"/>
    <w:multiLevelType w:val="hybridMultilevel"/>
    <w:tmpl w:val="E30272B0"/>
    <w:lvl w:ilvl="0" w:tplc="061CD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2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740233"/>
    <w:multiLevelType w:val="hybridMultilevel"/>
    <w:tmpl w:val="E71498F6"/>
    <w:lvl w:ilvl="0" w:tplc="AD6A509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F553D7"/>
    <w:multiLevelType w:val="hybridMultilevel"/>
    <w:tmpl w:val="4F107210"/>
    <w:lvl w:ilvl="0" w:tplc="933E192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23"/>
  </w:num>
  <w:num w:numId="4">
    <w:abstractNumId w:val="11"/>
  </w:num>
  <w:num w:numId="5">
    <w:abstractNumId w:val="20"/>
  </w:num>
  <w:num w:numId="6">
    <w:abstractNumId w:val="10"/>
  </w:num>
  <w:num w:numId="7">
    <w:abstractNumId w:val="22"/>
  </w:num>
  <w:num w:numId="8">
    <w:abstractNumId w:val="2"/>
  </w:num>
  <w:num w:numId="9">
    <w:abstractNumId w:val="17"/>
  </w:num>
  <w:num w:numId="10">
    <w:abstractNumId w:val="9"/>
  </w:num>
  <w:num w:numId="11">
    <w:abstractNumId w:val="13"/>
  </w:num>
  <w:num w:numId="12">
    <w:abstractNumId w:val="4"/>
  </w:num>
  <w:num w:numId="13">
    <w:abstractNumId w:val="19"/>
  </w:num>
  <w:num w:numId="14">
    <w:abstractNumId w:val="15"/>
  </w:num>
  <w:num w:numId="15">
    <w:abstractNumId w:val="8"/>
  </w:num>
  <w:num w:numId="16">
    <w:abstractNumId w:val="12"/>
  </w:num>
  <w:num w:numId="17">
    <w:abstractNumId w:val="7"/>
  </w:num>
  <w:num w:numId="18">
    <w:abstractNumId w:val="21"/>
  </w:num>
  <w:num w:numId="19">
    <w:abstractNumId w:val="1"/>
  </w:num>
  <w:num w:numId="20">
    <w:abstractNumId w:val="3"/>
  </w:num>
  <w:num w:numId="21">
    <w:abstractNumId w:val="6"/>
  </w:num>
  <w:num w:numId="22">
    <w:abstractNumId w:val="5"/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14"/>
  </w:num>
  <w:num w:numId="26">
    <w:abstractNumId w:val="18"/>
  </w:num>
  <w:num w:numId="27">
    <w:abstractNumId w:val="8"/>
    <w:lvlOverride w:ilvl="0">
      <w:startOverride w:val="1"/>
    </w:lvlOverride>
  </w:num>
  <w:num w:numId="28">
    <w:abstractNumId w:val="8"/>
  </w:num>
  <w:num w:numId="29">
    <w:abstractNumId w:val="8"/>
  </w:num>
  <w:num w:numId="30">
    <w:abstractNumId w:val="25"/>
  </w:num>
  <w:num w:numId="31">
    <w:abstractNumId w:val="24"/>
  </w:num>
  <w:num w:numId="32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84FEB"/>
    <w:rsid w:val="00000989"/>
    <w:rsid w:val="000010C7"/>
    <w:rsid w:val="00001BFB"/>
    <w:rsid w:val="000020E5"/>
    <w:rsid w:val="00004FE8"/>
    <w:rsid w:val="00005765"/>
    <w:rsid w:val="00005FFC"/>
    <w:rsid w:val="00007D0D"/>
    <w:rsid w:val="00011BD0"/>
    <w:rsid w:val="00012901"/>
    <w:rsid w:val="00013A2D"/>
    <w:rsid w:val="00014890"/>
    <w:rsid w:val="00014C1D"/>
    <w:rsid w:val="0001706C"/>
    <w:rsid w:val="00017A25"/>
    <w:rsid w:val="00020516"/>
    <w:rsid w:val="00021AFC"/>
    <w:rsid w:val="00022B30"/>
    <w:rsid w:val="000232E2"/>
    <w:rsid w:val="000243CE"/>
    <w:rsid w:val="0002657F"/>
    <w:rsid w:val="00026A0E"/>
    <w:rsid w:val="000326C1"/>
    <w:rsid w:val="00037093"/>
    <w:rsid w:val="000417C3"/>
    <w:rsid w:val="000428BA"/>
    <w:rsid w:val="0004324E"/>
    <w:rsid w:val="000448EA"/>
    <w:rsid w:val="00047903"/>
    <w:rsid w:val="0005400A"/>
    <w:rsid w:val="00054652"/>
    <w:rsid w:val="0005609F"/>
    <w:rsid w:val="00057362"/>
    <w:rsid w:val="00060493"/>
    <w:rsid w:val="00060C8F"/>
    <w:rsid w:val="00061E48"/>
    <w:rsid w:val="00062C41"/>
    <w:rsid w:val="00063085"/>
    <w:rsid w:val="00076091"/>
    <w:rsid w:val="00076880"/>
    <w:rsid w:val="000828C6"/>
    <w:rsid w:val="00083F35"/>
    <w:rsid w:val="0008578E"/>
    <w:rsid w:val="000858A9"/>
    <w:rsid w:val="0008722B"/>
    <w:rsid w:val="00087415"/>
    <w:rsid w:val="000903FA"/>
    <w:rsid w:val="0009490B"/>
    <w:rsid w:val="00095702"/>
    <w:rsid w:val="00097F16"/>
    <w:rsid w:val="000A27BA"/>
    <w:rsid w:val="000A4EAF"/>
    <w:rsid w:val="000A63A8"/>
    <w:rsid w:val="000B0EBE"/>
    <w:rsid w:val="000B1C14"/>
    <w:rsid w:val="000B6880"/>
    <w:rsid w:val="000B6A14"/>
    <w:rsid w:val="000B7CB9"/>
    <w:rsid w:val="000C0208"/>
    <w:rsid w:val="000C14C3"/>
    <w:rsid w:val="000C7E9F"/>
    <w:rsid w:val="000D220D"/>
    <w:rsid w:val="000D44E0"/>
    <w:rsid w:val="000D65D1"/>
    <w:rsid w:val="000D702E"/>
    <w:rsid w:val="000D735D"/>
    <w:rsid w:val="000E1572"/>
    <w:rsid w:val="000E29C9"/>
    <w:rsid w:val="000E657C"/>
    <w:rsid w:val="000E7BA8"/>
    <w:rsid w:val="000F0519"/>
    <w:rsid w:val="000F0ADE"/>
    <w:rsid w:val="000F13EA"/>
    <w:rsid w:val="000F2F09"/>
    <w:rsid w:val="000F4702"/>
    <w:rsid w:val="000F6A80"/>
    <w:rsid w:val="000F6B25"/>
    <w:rsid w:val="000F7A95"/>
    <w:rsid w:val="001047F8"/>
    <w:rsid w:val="00106801"/>
    <w:rsid w:val="00107B30"/>
    <w:rsid w:val="00111654"/>
    <w:rsid w:val="00117214"/>
    <w:rsid w:val="0012049B"/>
    <w:rsid w:val="001243C8"/>
    <w:rsid w:val="00124B85"/>
    <w:rsid w:val="001273B5"/>
    <w:rsid w:val="00127E0D"/>
    <w:rsid w:val="00133AC1"/>
    <w:rsid w:val="001345B4"/>
    <w:rsid w:val="0013570A"/>
    <w:rsid w:val="00136316"/>
    <w:rsid w:val="001402DB"/>
    <w:rsid w:val="00141565"/>
    <w:rsid w:val="00142154"/>
    <w:rsid w:val="00142B80"/>
    <w:rsid w:val="001432EE"/>
    <w:rsid w:val="001441C5"/>
    <w:rsid w:val="00147FA5"/>
    <w:rsid w:val="00151B6A"/>
    <w:rsid w:val="001557FE"/>
    <w:rsid w:val="001570C4"/>
    <w:rsid w:val="0015766F"/>
    <w:rsid w:val="00163DBA"/>
    <w:rsid w:val="001668F3"/>
    <w:rsid w:val="001719E2"/>
    <w:rsid w:val="001721BD"/>
    <w:rsid w:val="001735B9"/>
    <w:rsid w:val="0017440D"/>
    <w:rsid w:val="00175957"/>
    <w:rsid w:val="0017699A"/>
    <w:rsid w:val="0017740A"/>
    <w:rsid w:val="00183B7A"/>
    <w:rsid w:val="00184E8A"/>
    <w:rsid w:val="001854F6"/>
    <w:rsid w:val="00185877"/>
    <w:rsid w:val="00186D4E"/>
    <w:rsid w:val="001919E9"/>
    <w:rsid w:val="00192323"/>
    <w:rsid w:val="00192C81"/>
    <w:rsid w:val="00192FAC"/>
    <w:rsid w:val="00193DDC"/>
    <w:rsid w:val="00194742"/>
    <w:rsid w:val="00194DB0"/>
    <w:rsid w:val="001957C3"/>
    <w:rsid w:val="00195B92"/>
    <w:rsid w:val="00196DE8"/>
    <w:rsid w:val="001A241E"/>
    <w:rsid w:val="001A44B3"/>
    <w:rsid w:val="001A4F56"/>
    <w:rsid w:val="001A6BFD"/>
    <w:rsid w:val="001B195A"/>
    <w:rsid w:val="001B4EA5"/>
    <w:rsid w:val="001B58FB"/>
    <w:rsid w:val="001C1392"/>
    <w:rsid w:val="001C653B"/>
    <w:rsid w:val="001C787E"/>
    <w:rsid w:val="001C7BF0"/>
    <w:rsid w:val="001D018B"/>
    <w:rsid w:val="001D23F1"/>
    <w:rsid w:val="001D319A"/>
    <w:rsid w:val="001D47C6"/>
    <w:rsid w:val="001D65B8"/>
    <w:rsid w:val="001E01BA"/>
    <w:rsid w:val="001E0F83"/>
    <w:rsid w:val="001E3351"/>
    <w:rsid w:val="001E5519"/>
    <w:rsid w:val="001E5A75"/>
    <w:rsid w:val="001E6B9D"/>
    <w:rsid w:val="001E6FAF"/>
    <w:rsid w:val="001F2920"/>
    <w:rsid w:val="001F488E"/>
    <w:rsid w:val="001F5AC3"/>
    <w:rsid w:val="002021E2"/>
    <w:rsid w:val="00206E56"/>
    <w:rsid w:val="0021104F"/>
    <w:rsid w:val="0021389C"/>
    <w:rsid w:val="00213DC3"/>
    <w:rsid w:val="00215C5A"/>
    <w:rsid w:val="0021767A"/>
    <w:rsid w:val="00221103"/>
    <w:rsid w:val="0022244D"/>
    <w:rsid w:val="00222596"/>
    <w:rsid w:val="00222AC6"/>
    <w:rsid w:val="00223787"/>
    <w:rsid w:val="00223CA3"/>
    <w:rsid w:val="00224E73"/>
    <w:rsid w:val="00225D42"/>
    <w:rsid w:val="002273C8"/>
    <w:rsid w:val="0023488F"/>
    <w:rsid w:val="002357EA"/>
    <w:rsid w:val="00237276"/>
    <w:rsid w:val="002413AE"/>
    <w:rsid w:val="00245325"/>
    <w:rsid w:val="00245670"/>
    <w:rsid w:val="00245BDE"/>
    <w:rsid w:val="00250176"/>
    <w:rsid w:val="002506A3"/>
    <w:rsid w:val="002514E5"/>
    <w:rsid w:val="00253022"/>
    <w:rsid w:val="00254114"/>
    <w:rsid w:val="00254DF6"/>
    <w:rsid w:val="00262C1B"/>
    <w:rsid w:val="00264B52"/>
    <w:rsid w:val="00266178"/>
    <w:rsid w:val="002664C7"/>
    <w:rsid w:val="00271C8B"/>
    <w:rsid w:val="00276B41"/>
    <w:rsid w:val="002775CC"/>
    <w:rsid w:val="00280FC6"/>
    <w:rsid w:val="00285E2F"/>
    <w:rsid w:val="00290AA2"/>
    <w:rsid w:val="00290EFB"/>
    <w:rsid w:val="00291346"/>
    <w:rsid w:val="002920FF"/>
    <w:rsid w:val="00292678"/>
    <w:rsid w:val="0029325B"/>
    <w:rsid w:val="00294411"/>
    <w:rsid w:val="00296D72"/>
    <w:rsid w:val="002A04D3"/>
    <w:rsid w:val="002A08BC"/>
    <w:rsid w:val="002A2A16"/>
    <w:rsid w:val="002A499D"/>
    <w:rsid w:val="002B705F"/>
    <w:rsid w:val="002C0029"/>
    <w:rsid w:val="002C41F1"/>
    <w:rsid w:val="002C42C2"/>
    <w:rsid w:val="002C6263"/>
    <w:rsid w:val="002D42A8"/>
    <w:rsid w:val="002D4E10"/>
    <w:rsid w:val="002D6B9E"/>
    <w:rsid w:val="002E053A"/>
    <w:rsid w:val="002E2061"/>
    <w:rsid w:val="002E3720"/>
    <w:rsid w:val="002E3822"/>
    <w:rsid w:val="002E4EB7"/>
    <w:rsid w:val="002E587F"/>
    <w:rsid w:val="002F1033"/>
    <w:rsid w:val="002F170E"/>
    <w:rsid w:val="002F277D"/>
    <w:rsid w:val="002F2A34"/>
    <w:rsid w:val="002F2E19"/>
    <w:rsid w:val="002F39A7"/>
    <w:rsid w:val="002F4A3D"/>
    <w:rsid w:val="00300224"/>
    <w:rsid w:val="0030392E"/>
    <w:rsid w:val="00303B64"/>
    <w:rsid w:val="00306AD1"/>
    <w:rsid w:val="00306F71"/>
    <w:rsid w:val="003104B3"/>
    <w:rsid w:val="003104F4"/>
    <w:rsid w:val="0031054B"/>
    <w:rsid w:val="003105C6"/>
    <w:rsid w:val="00310F05"/>
    <w:rsid w:val="00311729"/>
    <w:rsid w:val="00311B2D"/>
    <w:rsid w:val="003137B9"/>
    <w:rsid w:val="003154FF"/>
    <w:rsid w:val="00317768"/>
    <w:rsid w:val="003209F9"/>
    <w:rsid w:val="00331FE6"/>
    <w:rsid w:val="00333A44"/>
    <w:rsid w:val="00335A13"/>
    <w:rsid w:val="00337738"/>
    <w:rsid w:val="00340901"/>
    <w:rsid w:val="003455BC"/>
    <w:rsid w:val="00345E53"/>
    <w:rsid w:val="003462BE"/>
    <w:rsid w:val="003472A8"/>
    <w:rsid w:val="00347FF9"/>
    <w:rsid w:val="00350F29"/>
    <w:rsid w:val="0035181B"/>
    <w:rsid w:val="00352D3A"/>
    <w:rsid w:val="00353D6B"/>
    <w:rsid w:val="00353F4C"/>
    <w:rsid w:val="003572D8"/>
    <w:rsid w:val="00357F63"/>
    <w:rsid w:val="0036045A"/>
    <w:rsid w:val="00361699"/>
    <w:rsid w:val="003616A1"/>
    <w:rsid w:val="003618E5"/>
    <w:rsid w:val="00363E1B"/>
    <w:rsid w:val="00364B2F"/>
    <w:rsid w:val="00371593"/>
    <w:rsid w:val="00382DA8"/>
    <w:rsid w:val="00383747"/>
    <w:rsid w:val="00383FF2"/>
    <w:rsid w:val="00384ADB"/>
    <w:rsid w:val="00387E40"/>
    <w:rsid w:val="00390A6B"/>
    <w:rsid w:val="00390DDA"/>
    <w:rsid w:val="003912BF"/>
    <w:rsid w:val="0039317F"/>
    <w:rsid w:val="00393539"/>
    <w:rsid w:val="00394753"/>
    <w:rsid w:val="00394FF1"/>
    <w:rsid w:val="00395EED"/>
    <w:rsid w:val="003A0C05"/>
    <w:rsid w:val="003A200A"/>
    <w:rsid w:val="003A449C"/>
    <w:rsid w:val="003A5D8C"/>
    <w:rsid w:val="003A67FF"/>
    <w:rsid w:val="003B09B9"/>
    <w:rsid w:val="003B28ED"/>
    <w:rsid w:val="003B3DBB"/>
    <w:rsid w:val="003C0FB5"/>
    <w:rsid w:val="003C227A"/>
    <w:rsid w:val="003C2566"/>
    <w:rsid w:val="003C4D23"/>
    <w:rsid w:val="003C60B9"/>
    <w:rsid w:val="003D10E9"/>
    <w:rsid w:val="003D24A1"/>
    <w:rsid w:val="003D2721"/>
    <w:rsid w:val="003D3140"/>
    <w:rsid w:val="003D431C"/>
    <w:rsid w:val="003D56DE"/>
    <w:rsid w:val="003D6268"/>
    <w:rsid w:val="003E1667"/>
    <w:rsid w:val="003E5145"/>
    <w:rsid w:val="003E6D37"/>
    <w:rsid w:val="003E79B9"/>
    <w:rsid w:val="003F0D24"/>
    <w:rsid w:val="003F15BB"/>
    <w:rsid w:val="003F1C2D"/>
    <w:rsid w:val="003F2734"/>
    <w:rsid w:val="00401111"/>
    <w:rsid w:val="004012D1"/>
    <w:rsid w:val="00402F1D"/>
    <w:rsid w:val="00412D44"/>
    <w:rsid w:val="00414FB3"/>
    <w:rsid w:val="00415A1B"/>
    <w:rsid w:val="004201CB"/>
    <w:rsid w:val="00420322"/>
    <w:rsid w:val="00423ADC"/>
    <w:rsid w:val="00424AD4"/>
    <w:rsid w:val="00426E6A"/>
    <w:rsid w:val="0043001B"/>
    <w:rsid w:val="00433DC8"/>
    <w:rsid w:val="00434B3C"/>
    <w:rsid w:val="004351CC"/>
    <w:rsid w:val="004377DA"/>
    <w:rsid w:val="004377E2"/>
    <w:rsid w:val="004408E7"/>
    <w:rsid w:val="00443003"/>
    <w:rsid w:val="00444394"/>
    <w:rsid w:val="00445B97"/>
    <w:rsid w:val="00445E06"/>
    <w:rsid w:val="00446CDE"/>
    <w:rsid w:val="00450232"/>
    <w:rsid w:val="0045025C"/>
    <w:rsid w:val="00452FEF"/>
    <w:rsid w:val="00453169"/>
    <w:rsid w:val="00455364"/>
    <w:rsid w:val="004560B2"/>
    <w:rsid w:val="00456976"/>
    <w:rsid w:val="00457521"/>
    <w:rsid w:val="00457B7E"/>
    <w:rsid w:val="00461936"/>
    <w:rsid w:val="00461A5A"/>
    <w:rsid w:val="00464111"/>
    <w:rsid w:val="00464459"/>
    <w:rsid w:val="004675B7"/>
    <w:rsid w:val="00470630"/>
    <w:rsid w:val="0047209E"/>
    <w:rsid w:val="0047503C"/>
    <w:rsid w:val="004760FD"/>
    <w:rsid w:val="00476C53"/>
    <w:rsid w:val="0048116C"/>
    <w:rsid w:val="0048284E"/>
    <w:rsid w:val="00484A6F"/>
    <w:rsid w:val="00484DDA"/>
    <w:rsid w:val="00484EDB"/>
    <w:rsid w:val="004867E5"/>
    <w:rsid w:val="004901BE"/>
    <w:rsid w:val="00490746"/>
    <w:rsid w:val="004969CB"/>
    <w:rsid w:val="00496F5D"/>
    <w:rsid w:val="004A2728"/>
    <w:rsid w:val="004A4555"/>
    <w:rsid w:val="004A5880"/>
    <w:rsid w:val="004A6C52"/>
    <w:rsid w:val="004B2A17"/>
    <w:rsid w:val="004B4DF9"/>
    <w:rsid w:val="004C285B"/>
    <w:rsid w:val="004D2F50"/>
    <w:rsid w:val="004D3678"/>
    <w:rsid w:val="004D71FD"/>
    <w:rsid w:val="004E04BF"/>
    <w:rsid w:val="004E4FFB"/>
    <w:rsid w:val="004E672C"/>
    <w:rsid w:val="004F0828"/>
    <w:rsid w:val="004F4EAC"/>
    <w:rsid w:val="004F50AF"/>
    <w:rsid w:val="005020DE"/>
    <w:rsid w:val="005027FA"/>
    <w:rsid w:val="00502BDF"/>
    <w:rsid w:val="00502FC6"/>
    <w:rsid w:val="0050399F"/>
    <w:rsid w:val="0050588B"/>
    <w:rsid w:val="005067A1"/>
    <w:rsid w:val="005068E6"/>
    <w:rsid w:val="005135D6"/>
    <w:rsid w:val="005147D5"/>
    <w:rsid w:val="005149C1"/>
    <w:rsid w:val="00517633"/>
    <w:rsid w:val="00523687"/>
    <w:rsid w:val="00524120"/>
    <w:rsid w:val="005248A6"/>
    <w:rsid w:val="00524CD5"/>
    <w:rsid w:val="00530A76"/>
    <w:rsid w:val="00530C90"/>
    <w:rsid w:val="00530FC7"/>
    <w:rsid w:val="0053327A"/>
    <w:rsid w:val="00533D6A"/>
    <w:rsid w:val="00536484"/>
    <w:rsid w:val="005429A0"/>
    <w:rsid w:val="00543869"/>
    <w:rsid w:val="0054768B"/>
    <w:rsid w:val="005511AD"/>
    <w:rsid w:val="005514AF"/>
    <w:rsid w:val="005523E5"/>
    <w:rsid w:val="00552E3E"/>
    <w:rsid w:val="0055357B"/>
    <w:rsid w:val="00553F7B"/>
    <w:rsid w:val="0055791B"/>
    <w:rsid w:val="00563313"/>
    <w:rsid w:val="00564A89"/>
    <w:rsid w:val="00565031"/>
    <w:rsid w:val="005666F4"/>
    <w:rsid w:val="00570953"/>
    <w:rsid w:val="00571BF6"/>
    <w:rsid w:val="00574DEE"/>
    <w:rsid w:val="00583AD3"/>
    <w:rsid w:val="00585466"/>
    <w:rsid w:val="00586D84"/>
    <w:rsid w:val="00590D39"/>
    <w:rsid w:val="005911AC"/>
    <w:rsid w:val="00593E1F"/>
    <w:rsid w:val="005A18FB"/>
    <w:rsid w:val="005A2363"/>
    <w:rsid w:val="005A2E40"/>
    <w:rsid w:val="005A6305"/>
    <w:rsid w:val="005A682F"/>
    <w:rsid w:val="005B02DE"/>
    <w:rsid w:val="005B0C8D"/>
    <w:rsid w:val="005B13A0"/>
    <w:rsid w:val="005C1BC9"/>
    <w:rsid w:val="005C287F"/>
    <w:rsid w:val="005C2A35"/>
    <w:rsid w:val="005C2ADF"/>
    <w:rsid w:val="005C6DEB"/>
    <w:rsid w:val="005C7A91"/>
    <w:rsid w:val="005D4CF2"/>
    <w:rsid w:val="005E456E"/>
    <w:rsid w:val="005E6669"/>
    <w:rsid w:val="005E7263"/>
    <w:rsid w:val="005E7B06"/>
    <w:rsid w:val="005F2B02"/>
    <w:rsid w:val="005F5B6B"/>
    <w:rsid w:val="005F6C23"/>
    <w:rsid w:val="005F6FDF"/>
    <w:rsid w:val="00600198"/>
    <w:rsid w:val="00601450"/>
    <w:rsid w:val="0060520C"/>
    <w:rsid w:val="006108B8"/>
    <w:rsid w:val="00611073"/>
    <w:rsid w:val="00611819"/>
    <w:rsid w:val="006128D7"/>
    <w:rsid w:val="0061482E"/>
    <w:rsid w:val="0061552A"/>
    <w:rsid w:val="00616264"/>
    <w:rsid w:val="00616690"/>
    <w:rsid w:val="00616E90"/>
    <w:rsid w:val="0061723E"/>
    <w:rsid w:val="00617700"/>
    <w:rsid w:val="006204A8"/>
    <w:rsid w:val="006217F1"/>
    <w:rsid w:val="00621F98"/>
    <w:rsid w:val="00623A72"/>
    <w:rsid w:val="00627143"/>
    <w:rsid w:val="00627430"/>
    <w:rsid w:val="006317A9"/>
    <w:rsid w:val="0063275A"/>
    <w:rsid w:val="006340C6"/>
    <w:rsid w:val="006344BC"/>
    <w:rsid w:val="00634B45"/>
    <w:rsid w:val="00641181"/>
    <w:rsid w:val="00643011"/>
    <w:rsid w:val="00643F3B"/>
    <w:rsid w:val="006443CC"/>
    <w:rsid w:val="006455BC"/>
    <w:rsid w:val="0064641B"/>
    <w:rsid w:val="00650DB8"/>
    <w:rsid w:val="00651C18"/>
    <w:rsid w:val="00652A45"/>
    <w:rsid w:val="00652DF7"/>
    <w:rsid w:val="00652F11"/>
    <w:rsid w:val="00655444"/>
    <w:rsid w:val="0066173C"/>
    <w:rsid w:val="00662957"/>
    <w:rsid w:val="006644E6"/>
    <w:rsid w:val="00667F2D"/>
    <w:rsid w:val="006746DB"/>
    <w:rsid w:val="00675DA2"/>
    <w:rsid w:val="006771CE"/>
    <w:rsid w:val="006778A2"/>
    <w:rsid w:val="00677A1D"/>
    <w:rsid w:val="006834A9"/>
    <w:rsid w:val="006916CC"/>
    <w:rsid w:val="006916DC"/>
    <w:rsid w:val="00695E99"/>
    <w:rsid w:val="00696F12"/>
    <w:rsid w:val="006A01F5"/>
    <w:rsid w:val="006A0C55"/>
    <w:rsid w:val="006A210B"/>
    <w:rsid w:val="006A3382"/>
    <w:rsid w:val="006A483F"/>
    <w:rsid w:val="006A5132"/>
    <w:rsid w:val="006A5184"/>
    <w:rsid w:val="006B0FE2"/>
    <w:rsid w:val="006B19A0"/>
    <w:rsid w:val="006B2A31"/>
    <w:rsid w:val="006B55D6"/>
    <w:rsid w:val="006B5B08"/>
    <w:rsid w:val="006B5BA8"/>
    <w:rsid w:val="006B68BC"/>
    <w:rsid w:val="006B6945"/>
    <w:rsid w:val="006B7228"/>
    <w:rsid w:val="006B72EF"/>
    <w:rsid w:val="006C0915"/>
    <w:rsid w:val="006C11BB"/>
    <w:rsid w:val="006C399A"/>
    <w:rsid w:val="006C3FF9"/>
    <w:rsid w:val="006C4174"/>
    <w:rsid w:val="006C45C6"/>
    <w:rsid w:val="006D49F3"/>
    <w:rsid w:val="006D6677"/>
    <w:rsid w:val="006E3FCC"/>
    <w:rsid w:val="006E52E7"/>
    <w:rsid w:val="006E7C46"/>
    <w:rsid w:val="006F1806"/>
    <w:rsid w:val="006F4E86"/>
    <w:rsid w:val="006F50E2"/>
    <w:rsid w:val="006F773D"/>
    <w:rsid w:val="00702E1B"/>
    <w:rsid w:val="00704405"/>
    <w:rsid w:val="00704B2D"/>
    <w:rsid w:val="0070633D"/>
    <w:rsid w:val="007063C4"/>
    <w:rsid w:val="0070714B"/>
    <w:rsid w:val="00707659"/>
    <w:rsid w:val="007111B3"/>
    <w:rsid w:val="00711E1C"/>
    <w:rsid w:val="00711F3A"/>
    <w:rsid w:val="00712B6C"/>
    <w:rsid w:val="00721227"/>
    <w:rsid w:val="00721A22"/>
    <w:rsid w:val="00721C5C"/>
    <w:rsid w:val="00721CEA"/>
    <w:rsid w:val="007247ED"/>
    <w:rsid w:val="00727756"/>
    <w:rsid w:val="0073581C"/>
    <w:rsid w:val="00736AD5"/>
    <w:rsid w:val="00736D27"/>
    <w:rsid w:val="007420C6"/>
    <w:rsid w:val="007433DF"/>
    <w:rsid w:val="007434D0"/>
    <w:rsid w:val="0074362F"/>
    <w:rsid w:val="007449CB"/>
    <w:rsid w:val="00746AE6"/>
    <w:rsid w:val="00747646"/>
    <w:rsid w:val="007503D4"/>
    <w:rsid w:val="00751BC8"/>
    <w:rsid w:val="007535D4"/>
    <w:rsid w:val="0075517F"/>
    <w:rsid w:val="00756759"/>
    <w:rsid w:val="00761234"/>
    <w:rsid w:val="00761BD9"/>
    <w:rsid w:val="0076257F"/>
    <w:rsid w:val="00763360"/>
    <w:rsid w:val="00763A4B"/>
    <w:rsid w:val="00764E61"/>
    <w:rsid w:val="00767423"/>
    <w:rsid w:val="0077061D"/>
    <w:rsid w:val="00775951"/>
    <w:rsid w:val="00775AA6"/>
    <w:rsid w:val="0078015D"/>
    <w:rsid w:val="00781160"/>
    <w:rsid w:val="007827A3"/>
    <w:rsid w:val="007846BD"/>
    <w:rsid w:val="0078562D"/>
    <w:rsid w:val="00785E60"/>
    <w:rsid w:val="00785E90"/>
    <w:rsid w:val="007864CA"/>
    <w:rsid w:val="00787CDE"/>
    <w:rsid w:val="007A1D61"/>
    <w:rsid w:val="007A4CFD"/>
    <w:rsid w:val="007A6B64"/>
    <w:rsid w:val="007B0068"/>
    <w:rsid w:val="007B025E"/>
    <w:rsid w:val="007B0AC3"/>
    <w:rsid w:val="007B0B53"/>
    <w:rsid w:val="007B5523"/>
    <w:rsid w:val="007B693F"/>
    <w:rsid w:val="007B7F68"/>
    <w:rsid w:val="007C1912"/>
    <w:rsid w:val="007C4C33"/>
    <w:rsid w:val="007C796B"/>
    <w:rsid w:val="007D0BDE"/>
    <w:rsid w:val="007D1FD8"/>
    <w:rsid w:val="007D2AEF"/>
    <w:rsid w:val="007D2CE6"/>
    <w:rsid w:val="007D4A96"/>
    <w:rsid w:val="007D5AD0"/>
    <w:rsid w:val="007D6D2D"/>
    <w:rsid w:val="007E087E"/>
    <w:rsid w:val="007E18BB"/>
    <w:rsid w:val="007E1EDF"/>
    <w:rsid w:val="007E33D4"/>
    <w:rsid w:val="007E3813"/>
    <w:rsid w:val="007E475F"/>
    <w:rsid w:val="007E4B02"/>
    <w:rsid w:val="007E7097"/>
    <w:rsid w:val="007E7384"/>
    <w:rsid w:val="007F0442"/>
    <w:rsid w:val="007F0E32"/>
    <w:rsid w:val="007F3F93"/>
    <w:rsid w:val="007F41EE"/>
    <w:rsid w:val="007F6D99"/>
    <w:rsid w:val="007F7A60"/>
    <w:rsid w:val="008004DF"/>
    <w:rsid w:val="008010EA"/>
    <w:rsid w:val="008024B2"/>
    <w:rsid w:val="00803A7B"/>
    <w:rsid w:val="00804EE8"/>
    <w:rsid w:val="00816B32"/>
    <w:rsid w:val="00820E23"/>
    <w:rsid w:val="0082105B"/>
    <w:rsid w:val="00822FDF"/>
    <w:rsid w:val="00823FC1"/>
    <w:rsid w:val="00826F85"/>
    <w:rsid w:val="0083444D"/>
    <w:rsid w:val="008420D9"/>
    <w:rsid w:val="008427C5"/>
    <w:rsid w:val="0084379F"/>
    <w:rsid w:val="00845545"/>
    <w:rsid w:val="008551B9"/>
    <w:rsid w:val="00855342"/>
    <w:rsid w:val="0085621E"/>
    <w:rsid w:val="00856854"/>
    <w:rsid w:val="00860094"/>
    <w:rsid w:val="00861ECE"/>
    <w:rsid w:val="008645CF"/>
    <w:rsid w:val="008662E0"/>
    <w:rsid w:val="00866E26"/>
    <w:rsid w:val="008707F8"/>
    <w:rsid w:val="00872488"/>
    <w:rsid w:val="0087489F"/>
    <w:rsid w:val="00875044"/>
    <w:rsid w:val="00875C7F"/>
    <w:rsid w:val="008761B4"/>
    <w:rsid w:val="00880323"/>
    <w:rsid w:val="008815DE"/>
    <w:rsid w:val="0088172D"/>
    <w:rsid w:val="0088232A"/>
    <w:rsid w:val="00884B2C"/>
    <w:rsid w:val="00884FEB"/>
    <w:rsid w:val="0088630E"/>
    <w:rsid w:val="00891DBA"/>
    <w:rsid w:val="008927C3"/>
    <w:rsid w:val="00894520"/>
    <w:rsid w:val="00895503"/>
    <w:rsid w:val="008A4511"/>
    <w:rsid w:val="008A49E8"/>
    <w:rsid w:val="008A5292"/>
    <w:rsid w:val="008A53B5"/>
    <w:rsid w:val="008A66B9"/>
    <w:rsid w:val="008A76C7"/>
    <w:rsid w:val="008A7A5D"/>
    <w:rsid w:val="008A7C50"/>
    <w:rsid w:val="008B2F5E"/>
    <w:rsid w:val="008B6066"/>
    <w:rsid w:val="008B7267"/>
    <w:rsid w:val="008C11CD"/>
    <w:rsid w:val="008C122C"/>
    <w:rsid w:val="008C624D"/>
    <w:rsid w:val="008C62D0"/>
    <w:rsid w:val="008C6E0B"/>
    <w:rsid w:val="008D1E70"/>
    <w:rsid w:val="008D2210"/>
    <w:rsid w:val="008D6194"/>
    <w:rsid w:val="008D68F4"/>
    <w:rsid w:val="008D6D5B"/>
    <w:rsid w:val="008E0BAF"/>
    <w:rsid w:val="008E0E86"/>
    <w:rsid w:val="008E0F08"/>
    <w:rsid w:val="008E3CA9"/>
    <w:rsid w:val="008E416F"/>
    <w:rsid w:val="008E47D2"/>
    <w:rsid w:val="008E6B72"/>
    <w:rsid w:val="008F024A"/>
    <w:rsid w:val="008F1D51"/>
    <w:rsid w:val="008F53AF"/>
    <w:rsid w:val="008F5876"/>
    <w:rsid w:val="009007C6"/>
    <w:rsid w:val="00900C1D"/>
    <w:rsid w:val="00903390"/>
    <w:rsid w:val="00906D99"/>
    <w:rsid w:val="009079AD"/>
    <w:rsid w:val="00910E26"/>
    <w:rsid w:val="00915A15"/>
    <w:rsid w:val="00915A9C"/>
    <w:rsid w:val="00917FAE"/>
    <w:rsid w:val="00920EBF"/>
    <w:rsid w:val="00924EEF"/>
    <w:rsid w:val="0093135A"/>
    <w:rsid w:val="00931490"/>
    <w:rsid w:val="00934B81"/>
    <w:rsid w:val="009362E7"/>
    <w:rsid w:val="009371BA"/>
    <w:rsid w:val="00942368"/>
    <w:rsid w:val="00945316"/>
    <w:rsid w:val="00946F8D"/>
    <w:rsid w:val="009502E9"/>
    <w:rsid w:val="00950950"/>
    <w:rsid w:val="0095231B"/>
    <w:rsid w:val="00955F25"/>
    <w:rsid w:val="009608A3"/>
    <w:rsid w:val="009637EA"/>
    <w:rsid w:val="009641EA"/>
    <w:rsid w:val="00965272"/>
    <w:rsid w:val="00965D5D"/>
    <w:rsid w:val="00965DED"/>
    <w:rsid w:val="009660C0"/>
    <w:rsid w:val="00971A2C"/>
    <w:rsid w:val="0097361F"/>
    <w:rsid w:val="00974222"/>
    <w:rsid w:val="0097529F"/>
    <w:rsid w:val="009770DD"/>
    <w:rsid w:val="009777FB"/>
    <w:rsid w:val="00981993"/>
    <w:rsid w:val="0098245F"/>
    <w:rsid w:val="00983EE0"/>
    <w:rsid w:val="00985397"/>
    <w:rsid w:val="0098778D"/>
    <w:rsid w:val="009900AD"/>
    <w:rsid w:val="00991C37"/>
    <w:rsid w:val="0099328D"/>
    <w:rsid w:val="00994ECA"/>
    <w:rsid w:val="00995730"/>
    <w:rsid w:val="00995EC9"/>
    <w:rsid w:val="0099694B"/>
    <w:rsid w:val="00997758"/>
    <w:rsid w:val="009A0845"/>
    <w:rsid w:val="009A1317"/>
    <w:rsid w:val="009A2E43"/>
    <w:rsid w:val="009A4B3E"/>
    <w:rsid w:val="009A6E08"/>
    <w:rsid w:val="009A7666"/>
    <w:rsid w:val="009A77CD"/>
    <w:rsid w:val="009B2EE9"/>
    <w:rsid w:val="009B34D1"/>
    <w:rsid w:val="009B6CE4"/>
    <w:rsid w:val="009C0018"/>
    <w:rsid w:val="009C001E"/>
    <w:rsid w:val="009C0800"/>
    <w:rsid w:val="009C212D"/>
    <w:rsid w:val="009C273D"/>
    <w:rsid w:val="009C2C58"/>
    <w:rsid w:val="009C3801"/>
    <w:rsid w:val="009C4291"/>
    <w:rsid w:val="009C7D6A"/>
    <w:rsid w:val="009D3244"/>
    <w:rsid w:val="009D3500"/>
    <w:rsid w:val="009E250B"/>
    <w:rsid w:val="009E44AD"/>
    <w:rsid w:val="009E58B0"/>
    <w:rsid w:val="009E6A9F"/>
    <w:rsid w:val="009F3AD0"/>
    <w:rsid w:val="009F75EC"/>
    <w:rsid w:val="00A01C72"/>
    <w:rsid w:val="00A02743"/>
    <w:rsid w:val="00A02850"/>
    <w:rsid w:val="00A03C89"/>
    <w:rsid w:val="00A03DC9"/>
    <w:rsid w:val="00A0483F"/>
    <w:rsid w:val="00A0649B"/>
    <w:rsid w:val="00A11EC0"/>
    <w:rsid w:val="00A11FB0"/>
    <w:rsid w:val="00A1286F"/>
    <w:rsid w:val="00A136CD"/>
    <w:rsid w:val="00A14B7E"/>
    <w:rsid w:val="00A21A2C"/>
    <w:rsid w:val="00A24751"/>
    <w:rsid w:val="00A27BA8"/>
    <w:rsid w:val="00A3142E"/>
    <w:rsid w:val="00A320B1"/>
    <w:rsid w:val="00A32542"/>
    <w:rsid w:val="00A33695"/>
    <w:rsid w:val="00A35C0D"/>
    <w:rsid w:val="00A36D27"/>
    <w:rsid w:val="00A36D70"/>
    <w:rsid w:val="00A4309F"/>
    <w:rsid w:val="00A431AF"/>
    <w:rsid w:val="00A449A6"/>
    <w:rsid w:val="00A45C17"/>
    <w:rsid w:val="00A469C9"/>
    <w:rsid w:val="00A46B32"/>
    <w:rsid w:val="00A51E27"/>
    <w:rsid w:val="00A60BA6"/>
    <w:rsid w:val="00A61994"/>
    <w:rsid w:val="00A64421"/>
    <w:rsid w:val="00A72569"/>
    <w:rsid w:val="00A72DF3"/>
    <w:rsid w:val="00A76A5D"/>
    <w:rsid w:val="00A772B4"/>
    <w:rsid w:val="00A801A9"/>
    <w:rsid w:val="00A80A02"/>
    <w:rsid w:val="00A81836"/>
    <w:rsid w:val="00A827EF"/>
    <w:rsid w:val="00A83F80"/>
    <w:rsid w:val="00A85CE0"/>
    <w:rsid w:val="00A86139"/>
    <w:rsid w:val="00A8655C"/>
    <w:rsid w:val="00A90BDF"/>
    <w:rsid w:val="00A91DBC"/>
    <w:rsid w:val="00A921D0"/>
    <w:rsid w:val="00A9707B"/>
    <w:rsid w:val="00A97B12"/>
    <w:rsid w:val="00AA02BE"/>
    <w:rsid w:val="00AA0B7E"/>
    <w:rsid w:val="00AA21F3"/>
    <w:rsid w:val="00AA2AD2"/>
    <w:rsid w:val="00AA40D1"/>
    <w:rsid w:val="00AB233A"/>
    <w:rsid w:val="00AB28E2"/>
    <w:rsid w:val="00AB2F46"/>
    <w:rsid w:val="00AB4E51"/>
    <w:rsid w:val="00AB5AE4"/>
    <w:rsid w:val="00AB5E31"/>
    <w:rsid w:val="00AB62B3"/>
    <w:rsid w:val="00AC14E2"/>
    <w:rsid w:val="00AC2688"/>
    <w:rsid w:val="00AC5975"/>
    <w:rsid w:val="00AC5F45"/>
    <w:rsid w:val="00AC69C3"/>
    <w:rsid w:val="00AD061B"/>
    <w:rsid w:val="00AD1C09"/>
    <w:rsid w:val="00AD4571"/>
    <w:rsid w:val="00AE1CD7"/>
    <w:rsid w:val="00AE2F75"/>
    <w:rsid w:val="00AE34DF"/>
    <w:rsid w:val="00AE5923"/>
    <w:rsid w:val="00AF0271"/>
    <w:rsid w:val="00AF06DB"/>
    <w:rsid w:val="00AF172A"/>
    <w:rsid w:val="00AF62BC"/>
    <w:rsid w:val="00AF672F"/>
    <w:rsid w:val="00AF7FA5"/>
    <w:rsid w:val="00B01163"/>
    <w:rsid w:val="00B0191A"/>
    <w:rsid w:val="00B0468D"/>
    <w:rsid w:val="00B05254"/>
    <w:rsid w:val="00B057CA"/>
    <w:rsid w:val="00B063D0"/>
    <w:rsid w:val="00B12EA6"/>
    <w:rsid w:val="00B141BC"/>
    <w:rsid w:val="00B15280"/>
    <w:rsid w:val="00B1595E"/>
    <w:rsid w:val="00B17100"/>
    <w:rsid w:val="00B200D4"/>
    <w:rsid w:val="00B207F4"/>
    <w:rsid w:val="00B22A44"/>
    <w:rsid w:val="00B244CF"/>
    <w:rsid w:val="00B2596F"/>
    <w:rsid w:val="00B27616"/>
    <w:rsid w:val="00B27865"/>
    <w:rsid w:val="00B27962"/>
    <w:rsid w:val="00B33244"/>
    <w:rsid w:val="00B34DAD"/>
    <w:rsid w:val="00B35C1A"/>
    <w:rsid w:val="00B36BA6"/>
    <w:rsid w:val="00B414D0"/>
    <w:rsid w:val="00B42ABA"/>
    <w:rsid w:val="00B439B1"/>
    <w:rsid w:val="00B4530A"/>
    <w:rsid w:val="00B50194"/>
    <w:rsid w:val="00B51F42"/>
    <w:rsid w:val="00B53030"/>
    <w:rsid w:val="00B65F23"/>
    <w:rsid w:val="00B679C2"/>
    <w:rsid w:val="00B7024C"/>
    <w:rsid w:val="00B70632"/>
    <w:rsid w:val="00B80B0E"/>
    <w:rsid w:val="00B822A4"/>
    <w:rsid w:val="00B82A3A"/>
    <w:rsid w:val="00B83DD6"/>
    <w:rsid w:val="00B85081"/>
    <w:rsid w:val="00B9340F"/>
    <w:rsid w:val="00B945FE"/>
    <w:rsid w:val="00BA066A"/>
    <w:rsid w:val="00BA1DC1"/>
    <w:rsid w:val="00BA2252"/>
    <w:rsid w:val="00BA362E"/>
    <w:rsid w:val="00BA3827"/>
    <w:rsid w:val="00BA577F"/>
    <w:rsid w:val="00BA623F"/>
    <w:rsid w:val="00BA6E03"/>
    <w:rsid w:val="00BA7374"/>
    <w:rsid w:val="00BB105B"/>
    <w:rsid w:val="00BB235F"/>
    <w:rsid w:val="00BB29F2"/>
    <w:rsid w:val="00BB2FB4"/>
    <w:rsid w:val="00BB3751"/>
    <w:rsid w:val="00BB50BB"/>
    <w:rsid w:val="00BB55B9"/>
    <w:rsid w:val="00BB6397"/>
    <w:rsid w:val="00BB665E"/>
    <w:rsid w:val="00BB6DEA"/>
    <w:rsid w:val="00BB74BC"/>
    <w:rsid w:val="00BC068F"/>
    <w:rsid w:val="00BC131B"/>
    <w:rsid w:val="00BC2C58"/>
    <w:rsid w:val="00BC47F7"/>
    <w:rsid w:val="00BC72FD"/>
    <w:rsid w:val="00BD0674"/>
    <w:rsid w:val="00BD26B2"/>
    <w:rsid w:val="00BD2B86"/>
    <w:rsid w:val="00BE0698"/>
    <w:rsid w:val="00BE1311"/>
    <w:rsid w:val="00BE2D91"/>
    <w:rsid w:val="00BE3226"/>
    <w:rsid w:val="00BE358B"/>
    <w:rsid w:val="00BE6DFE"/>
    <w:rsid w:val="00BF27C4"/>
    <w:rsid w:val="00BF3C7F"/>
    <w:rsid w:val="00BF4825"/>
    <w:rsid w:val="00BF4DBA"/>
    <w:rsid w:val="00BF640E"/>
    <w:rsid w:val="00BF666D"/>
    <w:rsid w:val="00BF67A2"/>
    <w:rsid w:val="00C000FD"/>
    <w:rsid w:val="00C01264"/>
    <w:rsid w:val="00C02143"/>
    <w:rsid w:val="00C029BC"/>
    <w:rsid w:val="00C04D37"/>
    <w:rsid w:val="00C0662F"/>
    <w:rsid w:val="00C066B8"/>
    <w:rsid w:val="00C07304"/>
    <w:rsid w:val="00C074C4"/>
    <w:rsid w:val="00C101C6"/>
    <w:rsid w:val="00C12FEB"/>
    <w:rsid w:val="00C15B08"/>
    <w:rsid w:val="00C1644D"/>
    <w:rsid w:val="00C16AD7"/>
    <w:rsid w:val="00C2230F"/>
    <w:rsid w:val="00C25670"/>
    <w:rsid w:val="00C2609F"/>
    <w:rsid w:val="00C2636B"/>
    <w:rsid w:val="00C277FB"/>
    <w:rsid w:val="00C3194E"/>
    <w:rsid w:val="00C338A5"/>
    <w:rsid w:val="00C356C8"/>
    <w:rsid w:val="00C367B4"/>
    <w:rsid w:val="00C368A1"/>
    <w:rsid w:val="00C36B2D"/>
    <w:rsid w:val="00C4072C"/>
    <w:rsid w:val="00C40D60"/>
    <w:rsid w:val="00C41ABD"/>
    <w:rsid w:val="00C43339"/>
    <w:rsid w:val="00C43A7D"/>
    <w:rsid w:val="00C46DB1"/>
    <w:rsid w:val="00C47BD3"/>
    <w:rsid w:val="00C50300"/>
    <w:rsid w:val="00C521E5"/>
    <w:rsid w:val="00C52B89"/>
    <w:rsid w:val="00C52CE2"/>
    <w:rsid w:val="00C53963"/>
    <w:rsid w:val="00C54763"/>
    <w:rsid w:val="00C563A1"/>
    <w:rsid w:val="00C569F8"/>
    <w:rsid w:val="00C57601"/>
    <w:rsid w:val="00C57B68"/>
    <w:rsid w:val="00C624CC"/>
    <w:rsid w:val="00C635CF"/>
    <w:rsid w:val="00C65806"/>
    <w:rsid w:val="00C707EE"/>
    <w:rsid w:val="00C71A90"/>
    <w:rsid w:val="00C8129D"/>
    <w:rsid w:val="00C81874"/>
    <w:rsid w:val="00C81D53"/>
    <w:rsid w:val="00C83135"/>
    <w:rsid w:val="00C83BED"/>
    <w:rsid w:val="00C840B4"/>
    <w:rsid w:val="00C8442F"/>
    <w:rsid w:val="00C84BAF"/>
    <w:rsid w:val="00C87CEE"/>
    <w:rsid w:val="00C92415"/>
    <w:rsid w:val="00C92E09"/>
    <w:rsid w:val="00C941FF"/>
    <w:rsid w:val="00C960CE"/>
    <w:rsid w:val="00C973FB"/>
    <w:rsid w:val="00CA1AAB"/>
    <w:rsid w:val="00CA2E80"/>
    <w:rsid w:val="00CA42A9"/>
    <w:rsid w:val="00CA61EE"/>
    <w:rsid w:val="00CA6CFB"/>
    <w:rsid w:val="00CB484B"/>
    <w:rsid w:val="00CB4E0C"/>
    <w:rsid w:val="00CB5059"/>
    <w:rsid w:val="00CB554D"/>
    <w:rsid w:val="00CB6C8D"/>
    <w:rsid w:val="00CB6CF3"/>
    <w:rsid w:val="00CC05E7"/>
    <w:rsid w:val="00CC2429"/>
    <w:rsid w:val="00CC3B68"/>
    <w:rsid w:val="00CC604B"/>
    <w:rsid w:val="00CC6811"/>
    <w:rsid w:val="00CC6B3A"/>
    <w:rsid w:val="00CD4331"/>
    <w:rsid w:val="00CD4E73"/>
    <w:rsid w:val="00CD52C6"/>
    <w:rsid w:val="00CD7ED8"/>
    <w:rsid w:val="00CE019C"/>
    <w:rsid w:val="00CE0F46"/>
    <w:rsid w:val="00CE32FA"/>
    <w:rsid w:val="00CE5ACF"/>
    <w:rsid w:val="00CF06F7"/>
    <w:rsid w:val="00CF4742"/>
    <w:rsid w:val="00CF4894"/>
    <w:rsid w:val="00CF48DE"/>
    <w:rsid w:val="00D02770"/>
    <w:rsid w:val="00D03C12"/>
    <w:rsid w:val="00D054C0"/>
    <w:rsid w:val="00D06F70"/>
    <w:rsid w:val="00D07BD7"/>
    <w:rsid w:val="00D10700"/>
    <w:rsid w:val="00D10C3F"/>
    <w:rsid w:val="00D115F3"/>
    <w:rsid w:val="00D12FB2"/>
    <w:rsid w:val="00D14A32"/>
    <w:rsid w:val="00D2018B"/>
    <w:rsid w:val="00D20309"/>
    <w:rsid w:val="00D204FD"/>
    <w:rsid w:val="00D207BF"/>
    <w:rsid w:val="00D209F9"/>
    <w:rsid w:val="00D20C67"/>
    <w:rsid w:val="00D2506C"/>
    <w:rsid w:val="00D268D8"/>
    <w:rsid w:val="00D27F99"/>
    <w:rsid w:val="00D27FAC"/>
    <w:rsid w:val="00D30BE6"/>
    <w:rsid w:val="00D311E6"/>
    <w:rsid w:val="00D31C7A"/>
    <w:rsid w:val="00D32E09"/>
    <w:rsid w:val="00D34FAB"/>
    <w:rsid w:val="00D35220"/>
    <w:rsid w:val="00D35C30"/>
    <w:rsid w:val="00D36501"/>
    <w:rsid w:val="00D36546"/>
    <w:rsid w:val="00D37C40"/>
    <w:rsid w:val="00D40229"/>
    <w:rsid w:val="00D4061C"/>
    <w:rsid w:val="00D40975"/>
    <w:rsid w:val="00D4194D"/>
    <w:rsid w:val="00D441A7"/>
    <w:rsid w:val="00D45A48"/>
    <w:rsid w:val="00D46F08"/>
    <w:rsid w:val="00D47551"/>
    <w:rsid w:val="00D52B83"/>
    <w:rsid w:val="00D52FEA"/>
    <w:rsid w:val="00D533DD"/>
    <w:rsid w:val="00D56439"/>
    <w:rsid w:val="00D56773"/>
    <w:rsid w:val="00D56AF5"/>
    <w:rsid w:val="00D57A8E"/>
    <w:rsid w:val="00D60795"/>
    <w:rsid w:val="00D60F96"/>
    <w:rsid w:val="00D62DF8"/>
    <w:rsid w:val="00D6494A"/>
    <w:rsid w:val="00D64B66"/>
    <w:rsid w:val="00D711F2"/>
    <w:rsid w:val="00D72193"/>
    <w:rsid w:val="00D77799"/>
    <w:rsid w:val="00D80537"/>
    <w:rsid w:val="00D8096D"/>
    <w:rsid w:val="00D832B0"/>
    <w:rsid w:val="00D8369E"/>
    <w:rsid w:val="00D83979"/>
    <w:rsid w:val="00D84EB7"/>
    <w:rsid w:val="00D86BA2"/>
    <w:rsid w:val="00D87BAB"/>
    <w:rsid w:val="00D90FE3"/>
    <w:rsid w:val="00D91DC3"/>
    <w:rsid w:val="00D92396"/>
    <w:rsid w:val="00D946DB"/>
    <w:rsid w:val="00D94E50"/>
    <w:rsid w:val="00D95A62"/>
    <w:rsid w:val="00DA0764"/>
    <w:rsid w:val="00DA3B36"/>
    <w:rsid w:val="00DA4B64"/>
    <w:rsid w:val="00DA54E3"/>
    <w:rsid w:val="00DA62B2"/>
    <w:rsid w:val="00DA77E1"/>
    <w:rsid w:val="00DB0F07"/>
    <w:rsid w:val="00DB2DD0"/>
    <w:rsid w:val="00DB40CA"/>
    <w:rsid w:val="00DB4B27"/>
    <w:rsid w:val="00DB7260"/>
    <w:rsid w:val="00DB7A5E"/>
    <w:rsid w:val="00DC2D05"/>
    <w:rsid w:val="00DC40DA"/>
    <w:rsid w:val="00DD12B7"/>
    <w:rsid w:val="00DD1906"/>
    <w:rsid w:val="00DD2C19"/>
    <w:rsid w:val="00DD58A5"/>
    <w:rsid w:val="00DD72AA"/>
    <w:rsid w:val="00DE0962"/>
    <w:rsid w:val="00DE230A"/>
    <w:rsid w:val="00DE35BA"/>
    <w:rsid w:val="00DE4035"/>
    <w:rsid w:val="00DE4821"/>
    <w:rsid w:val="00DE4EF2"/>
    <w:rsid w:val="00DE55EC"/>
    <w:rsid w:val="00DE5729"/>
    <w:rsid w:val="00DE6063"/>
    <w:rsid w:val="00DF008D"/>
    <w:rsid w:val="00DF6633"/>
    <w:rsid w:val="00DF7226"/>
    <w:rsid w:val="00E02226"/>
    <w:rsid w:val="00E02A1B"/>
    <w:rsid w:val="00E02C8A"/>
    <w:rsid w:val="00E050F3"/>
    <w:rsid w:val="00E052A9"/>
    <w:rsid w:val="00E07C8E"/>
    <w:rsid w:val="00E108C2"/>
    <w:rsid w:val="00E11F7B"/>
    <w:rsid w:val="00E12946"/>
    <w:rsid w:val="00E143FD"/>
    <w:rsid w:val="00E1696D"/>
    <w:rsid w:val="00E17043"/>
    <w:rsid w:val="00E1750A"/>
    <w:rsid w:val="00E2063E"/>
    <w:rsid w:val="00E21328"/>
    <w:rsid w:val="00E25528"/>
    <w:rsid w:val="00E27969"/>
    <w:rsid w:val="00E27CC9"/>
    <w:rsid w:val="00E32DA2"/>
    <w:rsid w:val="00E33B0C"/>
    <w:rsid w:val="00E33BF7"/>
    <w:rsid w:val="00E41415"/>
    <w:rsid w:val="00E417A7"/>
    <w:rsid w:val="00E41A58"/>
    <w:rsid w:val="00E42511"/>
    <w:rsid w:val="00E457D2"/>
    <w:rsid w:val="00E45FB9"/>
    <w:rsid w:val="00E4605F"/>
    <w:rsid w:val="00E46936"/>
    <w:rsid w:val="00E479DE"/>
    <w:rsid w:val="00E47CCD"/>
    <w:rsid w:val="00E5098D"/>
    <w:rsid w:val="00E509EA"/>
    <w:rsid w:val="00E528E4"/>
    <w:rsid w:val="00E543B2"/>
    <w:rsid w:val="00E54B05"/>
    <w:rsid w:val="00E5608A"/>
    <w:rsid w:val="00E56E29"/>
    <w:rsid w:val="00E57916"/>
    <w:rsid w:val="00E60049"/>
    <w:rsid w:val="00E60B50"/>
    <w:rsid w:val="00E63DC8"/>
    <w:rsid w:val="00E66040"/>
    <w:rsid w:val="00E669ED"/>
    <w:rsid w:val="00E70299"/>
    <w:rsid w:val="00E7112F"/>
    <w:rsid w:val="00E73B3F"/>
    <w:rsid w:val="00E748E2"/>
    <w:rsid w:val="00E75993"/>
    <w:rsid w:val="00E80172"/>
    <w:rsid w:val="00E802E3"/>
    <w:rsid w:val="00E804CC"/>
    <w:rsid w:val="00E83D25"/>
    <w:rsid w:val="00E83F90"/>
    <w:rsid w:val="00E84465"/>
    <w:rsid w:val="00E93275"/>
    <w:rsid w:val="00E9580A"/>
    <w:rsid w:val="00E96FFE"/>
    <w:rsid w:val="00EA3219"/>
    <w:rsid w:val="00EA3FEF"/>
    <w:rsid w:val="00EA419C"/>
    <w:rsid w:val="00EA549E"/>
    <w:rsid w:val="00EB154B"/>
    <w:rsid w:val="00EB24B3"/>
    <w:rsid w:val="00EB3D2B"/>
    <w:rsid w:val="00EB5804"/>
    <w:rsid w:val="00EB6AF6"/>
    <w:rsid w:val="00EB6B66"/>
    <w:rsid w:val="00EB7B94"/>
    <w:rsid w:val="00EC0D9E"/>
    <w:rsid w:val="00EC43A5"/>
    <w:rsid w:val="00EC5046"/>
    <w:rsid w:val="00EC5298"/>
    <w:rsid w:val="00EC69A1"/>
    <w:rsid w:val="00ED1EF3"/>
    <w:rsid w:val="00ED55F7"/>
    <w:rsid w:val="00ED7234"/>
    <w:rsid w:val="00ED7C8E"/>
    <w:rsid w:val="00EE2205"/>
    <w:rsid w:val="00EE2934"/>
    <w:rsid w:val="00EE385F"/>
    <w:rsid w:val="00EE651E"/>
    <w:rsid w:val="00EE6B9E"/>
    <w:rsid w:val="00EF0BD5"/>
    <w:rsid w:val="00EF0DA4"/>
    <w:rsid w:val="00EF13C2"/>
    <w:rsid w:val="00EF253C"/>
    <w:rsid w:val="00EF39E3"/>
    <w:rsid w:val="00EF735A"/>
    <w:rsid w:val="00F015E6"/>
    <w:rsid w:val="00F0322C"/>
    <w:rsid w:val="00F04906"/>
    <w:rsid w:val="00F04F29"/>
    <w:rsid w:val="00F12EA3"/>
    <w:rsid w:val="00F1455C"/>
    <w:rsid w:val="00F150E9"/>
    <w:rsid w:val="00F1628A"/>
    <w:rsid w:val="00F174C5"/>
    <w:rsid w:val="00F20C92"/>
    <w:rsid w:val="00F21A1B"/>
    <w:rsid w:val="00F24AD1"/>
    <w:rsid w:val="00F276A6"/>
    <w:rsid w:val="00F30076"/>
    <w:rsid w:val="00F30757"/>
    <w:rsid w:val="00F325B9"/>
    <w:rsid w:val="00F33A0C"/>
    <w:rsid w:val="00F33AD3"/>
    <w:rsid w:val="00F356CE"/>
    <w:rsid w:val="00F35FFD"/>
    <w:rsid w:val="00F360BF"/>
    <w:rsid w:val="00F36707"/>
    <w:rsid w:val="00F40CD9"/>
    <w:rsid w:val="00F41952"/>
    <w:rsid w:val="00F41B3A"/>
    <w:rsid w:val="00F423F0"/>
    <w:rsid w:val="00F44F8A"/>
    <w:rsid w:val="00F4557F"/>
    <w:rsid w:val="00F463F5"/>
    <w:rsid w:val="00F51302"/>
    <w:rsid w:val="00F5381F"/>
    <w:rsid w:val="00F5524C"/>
    <w:rsid w:val="00F56926"/>
    <w:rsid w:val="00F60F37"/>
    <w:rsid w:val="00F61095"/>
    <w:rsid w:val="00F620A2"/>
    <w:rsid w:val="00F63BA7"/>
    <w:rsid w:val="00F7508F"/>
    <w:rsid w:val="00F7650D"/>
    <w:rsid w:val="00F777C7"/>
    <w:rsid w:val="00F800B6"/>
    <w:rsid w:val="00F84B2D"/>
    <w:rsid w:val="00F91572"/>
    <w:rsid w:val="00F93B5F"/>
    <w:rsid w:val="00F940AE"/>
    <w:rsid w:val="00F94F7D"/>
    <w:rsid w:val="00F94FFF"/>
    <w:rsid w:val="00F966F4"/>
    <w:rsid w:val="00FB199D"/>
    <w:rsid w:val="00FB1C26"/>
    <w:rsid w:val="00FB1D44"/>
    <w:rsid w:val="00FB2C3F"/>
    <w:rsid w:val="00FB3348"/>
    <w:rsid w:val="00FB4302"/>
    <w:rsid w:val="00FB4960"/>
    <w:rsid w:val="00FB5258"/>
    <w:rsid w:val="00FC0907"/>
    <w:rsid w:val="00FC1580"/>
    <w:rsid w:val="00FC1FF4"/>
    <w:rsid w:val="00FC221F"/>
    <w:rsid w:val="00FC24AC"/>
    <w:rsid w:val="00FC2882"/>
    <w:rsid w:val="00FC3295"/>
    <w:rsid w:val="00FC371D"/>
    <w:rsid w:val="00FC40E0"/>
    <w:rsid w:val="00FC4D06"/>
    <w:rsid w:val="00FC6DE4"/>
    <w:rsid w:val="00FC787E"/>
    <w:rsid w:val="00FD0B03"/>
    <w:rsid w:val="00FD1186"/>
    <w:rsid w:val="00FD4656"/>
    <w:rsid w:val="00FD569F"/>
    <w:rsid w:val="00FD5893"/>
    <w:rsid w:val="00FD6766"/>
    <w:rsid w:val="00FD7524"/>
    <w:rsid w:val="00FE103A"/>
    <w:rsid w:val="00FE2B2D"/>
    <w:rsid w:val="00FE4AE0"/>
    <w:rsid w:val="00FE4D22"/>
    <w:rsid w:val="00FF0EEE"/>
    <w:rsid w:val="00FF28DF"/>
    <w:rsid w:val="00FF3A9F"/>
    <w:rsid w:val="00FF3ED5"/>
    <w:rsid w:val="00FF4224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fi-FI" w:eastAsia="fi-FI" w:bidi="fi-FI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1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able of figures" w:uiPriority="0"/>
    <w:lsdException w:name="footnote reference" w:uiPriority="0"/>
    <w:lsdException w:name="endnote reference" w:semiHidden="0" w:uiPriority="1" w:unhideWhenUsed="0"/>
    <w:lsdException w:name="endnote text" w:semiHidden="0" w:uiPriority="1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fi-FI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fi-FI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szCs w:val="14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fi-FI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fi-FI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fi-FI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fi-FI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eastAsia="fi-FI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fi-FI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fi-FI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fi-FI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fi-FI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fi-FI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fi-FI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sz w:val="16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fi-FI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fi-FI" w:eastAsia="fi-FI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fi-FI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fi-F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fi-FI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fi-FI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cs="Arial"/>
      <w:b w:val="0"/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eastAsia="fi-FI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39317F"/>
    <w:pPr>
      <w:tabs>
        <w:tab w:val="left" w:pos="477"/>
      </w:tabs>
      <w:spacing w:before="0" w:after="0"/>
    </w:pPr>
    <w:rPr>
      <w:rFonts w:ascii="Times New Roman" w:hAnsi="Times New Roman"/>
      <w:sz w:val="24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fi-FI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74222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fi-FI" w:eastAsia="fi-FI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39317F"/>
    <w:rPr>
      <w:rFonts w:ascii="Times New Roman" w:eastAsia="Times New Roman" w:hAnsi="Times New Roman"/>
      <w:sz w:val="24"/>
      <w:szCs w:val="24"/>
      <w:lang w:eastAsia="fi-FI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fi-FI" w:eastAsia="fi-FI" w:bidi="fi-FI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numbering" w:customStyle="1" w:styleId="Formatvorlage3">
    <w:name w:val="Formatvorlage3"/>
    <w:uiPriority w:val="99"/>
    <w:rsid w:val="00DE0962"/>
    <w:pPr>
      <w:numPr>
        <w:numId w:val="16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fi-FI"/>
    </w:rPr>
  </w:style>
  <w:style w:type="numbering" w:customStyle="1" w:styleId="Formatvorlage4">
    <w:name w:val="Formatvorlage4"/>
    <w:uiPriority w:val="99"/>
    <w:rsid w:val="00FB1D44"/>
    <w:pPr>
      <w:numPr>
        <w:numId w:val="18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hAnsi="Times New Roman"/>
      <w:sz w:val="24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</w:rPr>
  </w:style>
  <w:style w:type="character" w:customStyle="1" w:styleId="style461">
    <w:name w:val="style461"/>
    <w:rsid w:val="00600198"/>
    <w:rPr>
      <w:color w:val="FF5A00"/>
    </w:rPr>
  </w:style>
  <w:style w:type="paragraph" w:customStyle="1" w:styleId="Default">
    <w:name w:val="Default"/>
    <w:rsid w:val="004675B7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Times New Roman"/>
        <w:lang w:val="fi-FI" w:eastAsia="fi-FI" w:bidi="fi-FI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1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able of figures" w:uiPriority="0"/>
    <w:lsdException w:name="footnote reference" w:uiPriority="0"/>
    <w:lsdException w:name="endnote reference" w:semiHidden="0" w:uiPriority="1" w:unhideWhenUsed="0"/>
    <w:lsdException w:name="endnote text" w:semiHidden="0" w:uiPriority="1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fi-FI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fi-FI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szCs w:val="14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fi-FI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fi-FI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fi-FI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fi-FI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eastAsia="fi-FI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fi-FI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fi-FI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fi-FI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fi-FI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fi-FI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fi-FI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sz w:val="16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fi-FI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fi-FI" w:eastAsia="fi-FI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fi-FI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fi-F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fi-FI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fi-FI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cs="Arial"/>
      <w:b w:val="0"/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eastAsia="fi-FI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39317F"/>
    <w:pPr>
      <w:tabs>
        <w:tab w:val="left" w:pos="477"/>
      </w:tabs>
      <w:spacing w:before="0" w:after="0"/>
    </w:pPr>
    <w:rPr>
      <w:rFonts w:ascii="Times New Roman" w:hAnsi="Times New Roman"/>
      <w:sz w:val="24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fi-FI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74222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fi-FI" w:eastAsia="fi-FI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39317F"/>
    <w:rPr>
      <w:rFonts w:ascii="Times New Roman" w:eastAsia="Times New Roman" w:hAnsi="Times New Roman"/>
      <w:sz w:val="24"/>
      <w:szCs w:val="24"/>
      <w:lang w:eastAsia="fi-FI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fi-FI" w:eastAsia="fi-FI" w:bidi="fi-FI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numbering" w:customStyle="1" w:styleId="Formatvorlage3">
    <w:name w:val="Formatvorlage3"/>
    <w:uiPriority w:val="99"/>
    <w:rsid w:val="00DE0962"/>
    <w:pPr>
      <w:numPr>
        <w:numId w:val="16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fi-FI"/>
    </w:rPr>
  </w:style>
  <w:style w:type="numbering" w:customStyle="1" w:styleId="Formatvorlage4">
    <w:name w:val="Formatvorlage4"/>
    <w:uiPriority w:val="99"/>
    <w:rsid w:val="00FB1D44"/>
    <w:pPr>
      <w:numPr>
        <w:numId w:val="18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hAnsi="Times New Roman"/>
      <w:sz w:val="24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</w:rPr>
  </w:style>
  <w:style w:type="character" w:customStyle="1" w:styleId="style461">
    <w:name w:val="style461"/>
    <w:rsid w:val="00600198"/>
    <w:rPr>
      <w:color w:val="FF5A00"/>
    </w:rPr>
  </w:style>
  <w:style w:type="paragraph" w:customStyle="1" w:styleId="Default">
    <w:name w:val="Default"/>
    <w:rsid w:val="004675B7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2EB51-C774-4F0A-98D0-8284F8364C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5E6B40-6B3D-436D-BA27-565FF2E4D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19</Pages>
  <Words>4093</Words>
  <Characters>33530</Characters>
  <Application>Microsoft Office Word</Application>
  <DocSecurity>0</DocSecurity>
  <Lines>986</Lines>
  <Paragraphs>442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37181</CharactersWithSpaces>
  <SharedDoc>false</SharedDoc>
  <HLinks>
    <vt:vector size="108" baseType="variant">
      <vt:variant>
        <vt:i4>1900607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_Toc393461968</vt:lpwstr>
      </vt:variant>
      <vt:variant>
        <vt:i4>1900607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_Toc393461967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_Toc393461966</vt:lpwstr>
      </vt:variant>
      <vt:variant>
        <vt:i4>1900607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_Toc393461965</vt:lpwstr>
      </vt:variant>
      <vt:variant>
        <vt:i4>1900607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_Toc393461964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_Toc393461963</vt:lpwstr>
      </vt:variant>
      <vt:variant>
        <vt:i4>1900607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_Toc393461962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_Toc393461961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_Toc393461960</vt:lpwstr>
      </vt:variant>
      <vt:variant>
        <vt:i4>1966143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_Toc393461959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_Toc393461958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_Toc393461957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_Toc393461956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_Toc393461955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_Toc393461954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_Toc393461953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_Toc393461952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_Toc393461951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EBA staff</dc:creator>
  <cp:lastModifiedBy>KOSKI Ismo (DGT-EXT)</cp:lastModifiedBy>
  <cp:revision>13</cp:revision>
  <dcterms:created xsi:type="dcterms:W3CDTF">2018-06-13T13:34:00Z</dcterms:created>
  <dcterms:modified xsi:type="dcterms:W3CDTF">2018-09-04T09:37:00Z</dcterms:modified>
</cp:coreProperties>
</file>