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LV</w:t>
      </w:r>
    </w:p>
    <w:p w:rsidR="008934A4" w:rsidRDefault="008934A4" w:rsidP="00A15D28">
      <w:pPr>
        <w:jc w:val="center"/>
        <w:rPr>
          <w:rFonts w:ascii="Times New Roman" w:hAnsi="Times New Roman"/>
          <w:b/>
          <w:sz w:val="24"/>
          <w:szCs w:val="24"/>
        </w:rPr>
      </w:pPr>
      <w:r>
        <w:rPr>
          <w:rFonts w:ascii="Times New Roman" w:hAnsi="Times New Roman"/>
          <w:b/>
          <w:sz w:val="24"/>
        </w:rPr>
        <w:t>V PIELIKUMS</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XI PIELIKUMS</w:t>
      </w:r>
    </w:p>
    <w:p w:rsidR="00A15D28" w:rsidRPr="00E94154" w:rsidRDefault="00A15D28" w:rsidP="00A15D28">
      <w:pPr>
        <w:jc w:val="center"/>
        <w:rPr>
          <w:rFonts w:ascii="Times New Roman" w:hAnsi="Times New Roman"/>
        </w:rPr>
      </w:pPr>
      <w:r>
        <w:rPr>
          <w:rFonts w:ascii="Times New Roman" w:hAnsi="Times New Roman"/>
          <w:b/>
          <w:sz w:val="24"/>
        </w:rPr>
        <w:t>PĀRSKATU SNIEGŠANA PAR SVIRU</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E231B" w:rsidRDefault="003B2B0A">
      <w:pPr>
        <w:pStyle w:val="TOC1"/>
        <w:rPr>
          <w:rFonts w:asciiTheme="minorHAnsi" w:eastAsiaTheme="minorEastAsia" w:hAnsiTheme="minorHAnsi" w:cstheme="minorBidi"/>
          <w:color w:val="auto"/>
          <w:sz w:val="22"/>
          <w:szCs w:val="22"/>
          <w:lang w:val="en-GB" w:eastAsia="en-GB" w:bidi="ta-IN"/>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917516" w:history="1">
        <w:r w:rsidR="00DE231B" w:rsidRPr="00FD71D8">
          <w:rPr>
            <w:rStyle w:val="Hyperlink"/>
            <w:rFonts w:ascii="Times New Roman" w:hAnsi="Times New Roman"/>
            <w:b/>
          </w:rPr>
          <w:t>I DAĻA. VISPĀRĪGAS NORĀDES</w:t>
        </w:r>
        <w:r w:rsidR="00DE231B">
          <w:rPr>
            <w:webHidden/>
          </w:rPr>
          <w:tab/>
        </w:r>
        <w:r w:rsidR="00DE231B">
          <w:rPr>
            <w:webHidden/>
          </w:rPr>
          <w:fldChar w:fldCharType="begin"/>
        </w:r>
        <w:r w:rsidR="00DE231B">
          <w:rPr>
            <w:webHidden/>
          </w:rPr>
          <w:instrText xml:space="preserve"> PAGEREF _Toc523917516 \h </w:instrText>
        </w:r>
        <w:r w:rsidR="00DE231B">
          <w:rPr>
            <w:webHidden/>
          </w:rPr>
        </w:r>
        <w:r w:rsidR="00DE231B">
          <w:rPr>
            <w:webHidden/>
          </w:rPr>
          <w:fldChar w:fldCharType="separate"/>
        </w:r>
        <w:r w:rsidR="00DE231B" w:rsidRPr="009619BA">
          <w:rPr>
            <w:webHidden/>
          </w:rPr>
          <w:t>2</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17" w:history="1">
        <w:r w:rsidR="00DE231B" w:rsidRPr="009619BA">
          <w:rPr>
            <w:rStyle w:val="Hyperlink"/>
            <w:rFonts w:ascii="Times New Roman" w:hAnsi="Times New Roman"/>
          </w:rPr>
          <w:t>1</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Veidņu apzīmējumi un citas konvencijas</w:t>
        </w:r>
        <w:r w:rsidR="00DE231B">
          <w:rPr>
            <w:webHidden/>
          </w:rPr>
          <w:tab/>
        </w:r>
        <w:r w:rsidR="00DE231B">
          <w:rPr>
            <w:webHidden/>
          </w:rPr>
          <w:fldChar w:fldCharType="begin"/>
        </w:r>
        <w:r w:rsidR="00DE231B">
          <w:rPr>
            <w:webHidden/>
          </w:rPr>
          <w:instrText xml:space="preserve"> PAGEREF _Toc523917517 \h </w:instrText>
        </w:r>
        <w:r w:rsidR="00DE231B">
          <w:rPr>
            <w:webHidden/>
          </w:rPr>
        </w:r>
        <w:r w:rsidR="00DE231B">
          <w:rPr>
            <w:webHidden/>
          </w:rPr>
          <w:fldChar w:fldCharType="separate"/>
        </w:r>
        <w:r w:rsidR="00DE231B" w:rsidRPr="009619BA">
          <w:rPr>
            <w:webHidden/>
          </w:rPr>
          <w:t>2</w:t>
        </w:r>
        <w:r w:rsidR="00DE231B">
          <w:rPr>
            <w:webHidden/>
          </w:rPr>
          <w:fldChar w:fldCharType="end"/>
        </w:r>
      </w:hyperlink>
    </w:p>
    <w:p w:rsidR="00DE231B" w:rsidRDefault="00F27032">
      <w:pPr>
        <w:pStyle w:val="TOC3"/>
        <w:rPr>
          <w:rFonts w:asciiTheme="minorHAnsi" w:eastAsiaTheme="minorEastAsia" w:hAnsiTheme="minorHAnsi" w:cstheme="minorBidi"/>
          <w:smallCaps w:val="0"/>
          <w:sz w:val="22"/>
          <w:szCs w:val="22"/>
          <w:lang w:val="en-GB" w:eastAsia="en-GB" w:bidi="ta-IN"/>
        </w:rPr>
      </w:pPr>
      <w:hyperlink w:anchor="_Toc523917518" w:history="1">
        <w:r w:rsidR="00DE231B" w:rsidRPr="009619BA">
          <w:rPr>
            <w:rStyle w:val="Hyperlink"/>
            <w:rFonts w:ascii="Times New Roman" w:hAnsi="Times New Roman"/>
            <w:b/>
          </w:rPr>
          <w:t>1</w:t>
        </w:r>
        <w:r w:rsidR="00DE231B" w:rsidRPr="00FD71D8">
          <w:rPr>
            <w:rStyle w:val="Hyperlink"/>
            <w:rFonts w:ascii="Times New Roman" w:hAnsi="Times New Roman"/>
            <w:b/>
          </w:rPr>
          <w:t>.</w:t>
        </w:r>
        <w:r w:rsidR="00DE231B" w:rsidRPr="009619BA">
          <w:rPr>
            <w:rStyle w:val="Hyperlink"/>
            <w:rFonts w:ascii="Times New Roman" w:hAnsi="Times New Roman"/>
            <w:b/>
          </w:rPr>
          <w:t>1</w:t>
        </w:r>
        <w:r w:rsidR="00DE231B" w:rsidRPr="00FD71D8">
          <w:rPr>
            <w:rStyle w:val="Hyperlink"/>
            <w:rFonts w:ascii="Times New Roman" w:hAnsi="Times New Roman"/>
            <w:b/>
          </w:rPr>
          <w:t>.</w:t>
        </w:r>
        <w:r w:rsidR="00DE231B">
          <w:rPr>
            <w:rFonts w:asciiTheme="minorHAnsi" w:eastAsiaTheme="minorEastAsia" w:hAnsiTheme="minorHAnsi" w:cstheme="minorBidi"/>
            <w:smallCaps w:val="0"/>
            <w:sz w:val="22"/>
            <w:szCs w:val="22"/>
            <w:lang w:val="en-GB" w:eastAsia="en-GB" w:bidi="ta-IN"/>
          </w:rPr>
          <w:tab/>
        </w:r>
        <w:r w:rsidR="00DE231B" w:rsidRPr="00FD71D8">
          <w:rPr>
            <w:rStyle w:val="Hyperlink"/>
            <w:rFonts w:ascii="Times New Roman" w:hAnsi="Times New Roman"/>
            <w:b/>
          </w:rPr>
          <w:t>Veidņu apzīmējumi</w:t>
        </w:r>
        <w:r w:rsidR="00DE231B">
          <w:rPr>
            <w:webHidden/>
          </w:rPr>
          <w:tab/>
        </w:r>
        <w:r w:rsidR="00DE231B">
          <w:rPr>
            <w:webHidden/>
          </w:rPr>
          <w:fldChar w:fldCharType="begin"/>
        </w:r>
        <w:r w:rsidR="00DE231B">
          <w:rPr>
            <w:webHidden/>
          </w:rPr>
          <w:instrText xml:space="preserve"> PAGEREF _Toc523917518 \h </w:instrText>
        </w:r>
        <w:r w:rsidR="00DE231B">
          <w:rPr>
            <w:webHidden/>
          </w:rPr>
        </w:r>
        <w:r w:rsidR="00DE231B">
          <w:rPr>
            <w:webHidden/>
          </w:rPr>
          <w:fldChar w:fldCharType="separate"/>
        </w:r>
        <w:r w:rsidR="00DE231B" w:rsidRPr="009619BA">
          <w:rPr>
            <w:webHidden/>
          </w:rPr>
          <w:t>2</w:t>
        </w:r>
        <w:r w:rsidR="00DE231B">
          <w:rPr>
            <w:webHidden/>
          </w:rPr>
          <w:fldChar w:fldCharType="end"/>
        </w:r>
      </w:hyperlink>
    </w:p>
    <w:p w:rsidR="00DE231B" w:rsidRDefault="00F27032">
      <w:pPr>
        <w:pStyle w:val="TOC3"/>
        <w:rPr>
          <w:rFonts w:asciiTheme="minorHAnsi" w:eastAsiaTheme="minorEastAsia" w:hAnsiTheme="minorHAnsi" w:cstheme="minorBidi"/>
          <w:smallCaps w:val="0"/>
          <w:sz w:val="22"/>
          <w:szCs w:val="22"/>
          <w:lang w:val="en-GB" w:eastAsia="en-GB" w:bidi="ta-IN"/>
        </w:rPr>
      </w:pPr>
      <w:hyperlink w:anchor="_Toc523917519" w:history="1">
        <w:r w:rsidR="00DE231B" w:rsidRPr="009619BA">
          <w:rPr>
            <w:rStyle w:val="Hyperlink"/>
            <w:rFonts w:ascii="Times New Roman" w:hAnsi="Times New Roman"/>
            <w:b/>
          </w:rPr>
          <w:t>1</w:t>
        </w:r>
        <w:r w:rsidR="00DE231B" w:rsidRPr="00FD71D8">
          <w:rPr>
            <w:rStyle w:val="Hyperlink"/>
            <w:rFonts w:ascii="Times New Roman" w:hAnsi="Times New Roman"/>
            <w:b/>
          </w:rPr>
          <w:t>.</w:t>
        </w:r>
        <w:r w:rsidR="00DE231B" w:rsidRPr="009619BA">
          <w:rPr>
            <w:rStyle w:val="Hyperlink"/>
            <w:rFonts w:ascii="Times New Roman" w:hAnsi="Times New Roman"/>
            <w:b/>
          </w:rPr>
          <w:t>2</w:t>
        </w:r>
        <w:r w:rsidR="00DE231B" w:rsidRPr="00FD71D8">
          <w:rPr>
            <w:rStyle w:val="Hyperlink"/>
            <w:rFonts w:ascii="Times New Roman" w:hAnsi="Times New Roman"/>
            <w:b/>
          </w:rPr>
          <w:t>.</w:t>
        </w:r>
        <w:r w:rsidR="00DE231B">
          <w:rPr>
            <w:rFonts w:asciiTheme="minorHAnsi" w:eastAsiaTheme="minorEastAsia" w:hAnsiTheme="minorHAnsi" w:cstheme="minorBidi"/>
            <w:smallCaps w:val="0"/>
            <w:sz w:val="22"/>
            <w:szCs w:val="22"/>
            <w:lang w:val="en-GB" w:eastAsia="en-GB" w:bidi="ta-IN"/>
          </w:rPr>
          <w:tab/>
        </w:r>
        <w:r w:rsidR="00DE231B" w:rsidRPr="00FD71D8">
          <w:rPr>
            <w:rStyle w:val="Hyperlink"/>
            <w:rFonts w:ascii="Times New Roman" w:hAnsi="Times New Roman"/>
            <w:b/>
          </w:rPr>
          <w:t>Pieņemtā prakse attiecībā uz numerāciju</w:t>
        </w:r>
        <w:r w:rsidR="00DE231B">
          <w:rPr>
            <w:webHidden/>
          </w:rPr>
          <w:tab/>
        </w:r>
        <w:r w:rsidR="00DE231B">
          <w:rPr>
            <w:webHidden/>
          </w:rPr>
          <w:fldChar w:fldCharType="begin"/>
        </w:r>
        <w:r w:rsidR="00DE231B">
          <w:rPr>
            <w:webHidden/>
          </w:rPr>
          <w:instrText xml:space="preserve"> PAGEREF _Toc523917519 \h </w:instrText>
        </w:r>
        <w:r w:rsidR="00DE231B">
          <w:rPr>
            <w:webHidden/>
          </w:rPr>
        </w:r>
        <w:r w:rsidR="00DE231B">
          <w:rPr>
            <w:webHidden/>
          </w:rPr>
          <w:fldChar w:fldCharType="separate"/>
        </w:r>
        <w:r w:rsidR="00DE231B" w:rsidRPr="009619BA">
          <w:rPr>
            <w:webHidden/>
          </w:rPr>
          <w:t>2</w:t>
        </w:r>
        <w:r w:rsidR="00DE231B">
          <w:rPr>
            <w:webHidden/>
          </w:rPr>
          <w:fldChar w:fldCharType="end"/>
        </w:r>
      </w:hyperlink>
    </w:p>
    <w:p w:rsidR="00DE231B" w:rsidRDefault="00F27032">
      <w:pPr>
        <w:pStyle w:val="TOC3"/>
        <w:rPr>
          <w:rFonts w:asciiTheme="minorHAnsi" w:eastAsiaTheme="minorEastAsia" w:hAnsiTheme="minorHAnsi" w:cstheme="minorBidi"/>
          <w:smallCaps w:val="0"/>
          <w:sz w:val="22"/>
          <w:szCs w:val="22"/>
          <w:lang w:val="en-GB" w:eastAsia="en-GB" w:bidi="ta-IN"/>
        </w:rPr>
      </w:pPr>
      <w:hyperlink w:anchor="_Toc523917520" w:history="1">
        <w:r w:rsidR="00DE231B" w:rsidRPr="009619BA">
          <w:rPr>
            <w:rStyle w:val="Hyperlink"/>
            <w:rFonts w:ascii="Times New Roman" w:hAnsi="Times New Roman"/>
            <w:b/>
          </w:rPr>
          <w:t>1</w:t>
        </w:r>
        <w:r w:rsidR="00DE231B" w:rsidRPr="00FD71D8">
          <w:rPr>
            <w:rStyle w:val="Hyperlink"/>
            <w:rFonts w:ascii="Times New Roman" w:hAnsi="Times New Roman"/>
            <w:b/>
          </w:rPr>
          <w:t>.</w:t>
        </w:r>
        <w:r w:rsidR="00DE231B" w:rsidRPr="009619BA">
          <w:rPr>
            <w:rStyle w:val="Hyperlink"/>
            <w:rFonts w:ascii="Times New Roman" w:hAnsi="Times New Roman"/>
            <w:b/>
          </w:rPr>
          <w:t>3</w:t>
        </w:r>
        <w:r w:rsidR="00DE231B" w:rsidRPr="00FD71D8">
          <w:rPr>
            <w:rStyle w:val="Hyperlink"/>
            <w:rFonts w:ascii="Times New Roman" w:hAnsi="Times New Roman"/>
            <w:b/>
          </w:rPr>
          <w:t>.</w:t>
        </w:r>
        <w:r w:rsidR="00DE231B">
          <w:rPr>
            <w:rFonts w:asciiTheme="minorHAnsi" w:eastAsiaTheme="minorEastAsia" w:hAnsiTheme="minorHAnsi" w:cstheme="minorBidi"/>
            <w:smallCaps w:val="0"/>
            <w:sz w:val="22"/>
            <w:szCs w:val="22"/>
            <w:lang w:val="en-GB" w:eastAsia="en-GB" w:bidi="ta-IN"/>
          </w:rPr>
          <w:tab/>
        </w:r>
        <w:r w:rsidR="00DE231B" w:rsidRPr="00FD71D8">
          <w:rPr>
            <w:rStyle w:val="Hyperlink"/>
            <w:rFonts w:ascii="Times New Roman" w:hAnsi="Times New Roman"/>
            <w:b/>
          </w:rPr>
          <w:t>Saīsinājumi</w:t>
        </w:r>
        <w:r w:rsidR="00DE231B">
          <w:rPr>
            <w:webHidden/>
          </w:rPr>
          <w:tab/>
        </w:r>
        <w:r w:rsidR="00DE231B">
          <w:rPr>
            <w:webHidden/>
          </w:rPr>
          <w:fldChar w:fldCharType="begin"/>
        </w:r>
        <w:r w:rsidR="00DE231B">
          <w:rPr>
            <w:webHidden/>
          </w:rPr>
          <w:instrText xml:space="preserve"> PAGEREF _Toc523917520 \h </w:instrText>
        </w:r>
        <w:r w:rsidR="00DE231B">
          <w:rPr>
            <w:webHidden/>
          </w:rPr>
        </w:r>
        <w:r w:rsidR="00DE231B">
          <w:rPr>
            <w:webHidden/>
          </w:rPr>
          <w:fldChar w:fldCharType="separate"/>
        </w:r>
        <w:r w:rsidR="00DE231B" w:rsidRPr="009619BA">
          <w:rPr>
            <w:webHidden/>
          </w:rPr>
          <w:t>2</w:t>
        </w:r>
        <w:r w:rsidR="00DE231B">
          <w:rPr>
            <w:webHidden/>
          </w:rPr>
          <w:fldChar w:fldCharType="end"/>
        </w:r>
      </w:hyperlink>
    </w:p>
    <w:p w:rsidR="00DE231B" w:rsidRDefault="00F27032">
      <w:pPr>
        <w:pStyle w:val="TOC3"/>
        <w:rPr>
          <w:rFonts w:asciiTheme="minorHAnsi" w:eastAsiaTheme="minorEastAsia" w:hAnsiTheme="minorHAnsi" w:cstheme="minorBidi"/>
          <w:smallCaps w:val="0"/>
          <w:sz w:val="22"/>
          <w:szCs w:val="22"/>
          <w:lang w:val="en-GB" w:eastAsia="en-GB" w:bidi="ta-IN"/>
        </w:rPr>
      </w:pPr>
      <w:hyperlink w:anchor="_Toc523917521" w:history="1">
        <w:r w:rsidR="00DE231B" w:rsidRPr="009619BA">
          <w:rPr>
            <w:rStyle w:val="Hyperlink"/>
            <w:rFonts w:ascii="Times New Roman" w:hAnsi="Times New Roman"/>
            <w:b/>
          </w:rPr>
          <w:t>1</w:t>
        </w:r>
        <w:r w:rsidR="00DE231B" w:rsidRPr="00FD71D8">
          <w:rPr>
            <w:rStyle w:val="Hyperlink"/>
            <w:rFonts w:ascii="Times New Roman" w:hAnsi="Times New Roman"/>
            <w:b/>
          </w:rPr>
          <w:t>.</w:t>
        </w:r>
        <w:r w:rsidR="00DE231B" w:rsidRPr="009619BA">
          <w:rPr>
            <w:rStyle w:val="Hyperlink"/>
            <w:rFonts w:ascii="Times New Roman" w:hAnsi="Times New Roman"/>
            <w:b/>
          </w:rPr>
          <w:t>4</w:t>
        </w:r>
        <w:r w:rsidR="00DE231B" w:rsidRPr="00FD71D8">
          <w:rPr>
            <w:rStyle w:val="Hyperlink"/>
            <w:rFonts w:ascii="Times New Roman" w:hAnsi="Times New Roman"/>
            <w:b/>
          </w:rPr>
          <w:t>.</w:t>
        </w:r>
        <w:r w:rsidR="00DE231B">
          <w:rPr>
            <w:rFonts w:asciiTheme="minorHAnsi" w:eastAsiaTheme="minorEastAsia" w:hAnsiTheme="minorHAnsi" w:cstheme="minorBidi"/>
            <w:smallCaps w:val="0"/>
            <w:sz w:val="22"/>
            <w:szCs w:val="22"/>
            <w:lang w:val="en-GB" w:eastAsia="en-GB" w:bidi="ta-IN"/>
          </w:rPr>
          <w:tab/>
        </w:r>
        <w:r w:rsidR="00DE231B" w:rsidRPr="00FD71D8">
          <w:rPr>
            <w:rStyle w:val="Hyperlink"/>
            <w:rFonts w:ascii="Times New Roman" w:hAnsi="Times New Roman"/>
            <w:b/>
          </w:rPr>
          <w:t>Pieņemtā prakse attiecībā uz zīmēm</w:t>
        </w:r>
        <w:r w:rsidR="00DE231B">
          <w:rPr>
            <w:webHidden/>
          </w:rPr>
          <w:tab/>
        </w:r>
        <w:r w:rsidR="00DE231B">
          <w:rPr>
            <w:webHidden/>
          </w:rPr>
          <w:fldChar w:fldCharType="begin"/>
        </w:r>
        <w:r w:rsidR="00DE231B">
          <w:rPr>
            <w:webHidden/>
          </w:rPr>
          <w:instrText xml:space="preserve"> PAGEREF _Toc523917521 \h </w:instrText>
        </w:r>
        <w:r w:rsidR="00DE231B">
          <w:rPr>
            <w:webHidden/>
          </w:rPr>
        </w:r>
        <w:r w:rsidR="00DE231B">
          <w:rPr>
            <w:webHidden/>
          </w:rPr>
          <w:fldChar w:fldCharType="separate"/>
        </w:r>
        <w:r w:rsidR="00DE231B" w:rsidRPr="009619BA">
          <w:rPr>
            <w:webHidden/>
          </w:rPr>
          <w:t>3</w:t>
        </w:r>
        <w:r w:rsidR="00DE231B">
          <w:rPr>
            <w:webHidden/>
          </w:rPr>
          <w:fldChar w:fldCharType="end"/>
        </w:r>
      </w:hyperlink>
    </w:p>
    <w:p w:rsidR="00DE231B" w:rsidRDefault="00F27032">
      <w:pPr>
        <w:pStyle w:val="TOC1"/>
        <w:rPr>
          <w:rFonts w:asciiTheme="minorHAnsi" w:eastAsiaTheme="minorEastAsia" w:hAnsiTheme="minorHAnsi" w:cstheme="minorBidi"/>
          <w:color w:val="auto"/>
          <w:sz w:val="22"/>
          <w:szCs w:val="22"/>
          <w:lang w:val="en-GB" w:eastAsia="en-GB" w:bidi="ta-IN"/>
        </w:rPr>
      </w:pPr>
      <w:hyperlink w:anchor="_Toc523917522" w:history="1">
        <w:r w:rsidR="00DE231B" w:rsidRPr="00FD71D8">
          <w:rPr>
            <w:rStyle w:val="Hyperlink"/>
            <w:rFonts w:ascii="Times New Roman" w:hAnsi="Times New Roman"/>
            <w:b/>
          </w:rPr>
          <w:t>II DAĻA. NORĀDES SAISTĪBĀ AR VEIDNI</w:t>
        </w:r>
        <w:r w:rsidR="00DE231B">
          <w:rPr>
            <w:webHidden/>
          </w:rPr>
          <w:tab/>
        </w:r>
        <w:r w:rsidR="00DE231B">
          <w:rPr>
            <w:webHidden/>
          </w:rPr>
          <w:fldChar w:fldCharType="begin"/>
        </w:r>
        <w:r w:rsidR="00DE231B">
          <w:rPr>
            <w:webHidden/>
          </w:rPr>
          <w:instrText xml:space="preserve"> PAGEREF _Toc523917522 \h </w:instrText>
        </w:r>
        <w:r w:rsidR="00DE231B">
          <w:rPr>
            <w:webHidden/>
          </w:rPr>
        </w:r>
        <w:r w:rsidR="00DE231B">
          <w:rPr>
            <w:webHidden/>
          </w:rPr>
          <w:fldChar w:fldCharType="separate"/>
        </w:r>
        <w:r w:rsidR="00DE231B" w:rsidRPr="009619BA">
          <w:rPr>
            <w:webHidden/>
          </w:rPr>
          <w:t>4</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3" w:history="1">
        <w:r w:rsidR="00DE231B" w:rsidRPr="009619BA">
          <w:rPr>
            <w:rStyle w:val="Hyperlink"/>
            <w:rFonts w:ascii="Times New Roman" w:hAnsi="Times New Roman"/>
          </w:rPr>
          <w:t>1</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Struktūra un regularitāte</w:t>
        </w:r>
        <w:r w:rsidR="00DE231B">
          <w:rPr>
            <w:webHidden/>
          </w:rPr>
          <w:tab/>
        </w:r>
        <w:r w:rsidR="00DE231B">
          <w:rPr>
            <w:webHidden/>
          </w:rPr>
          <w:fldChar w:fldCharType="begin"/>
        </w:r>
        <w:r w:rsidR="00DE231B">
          <w:rPr>
            <w:webHidden/>
          </w:rPr>
          <w:instrText xml:space="preserve"> PAGEREF _Toc523917523 \h </w:instrText>
        </w:r>
        <w:r w:rsidR="00DE231B">
          <w:rPr>
            <w:webHidden/>
          </w:rPr>
        </w:r>
        <w:r w:rsidR="00DE231B">
          <w:rPr>
            <w:webHidden/>
          </w:rPr>
          <w:fldChar w:fldCharType="separate"/>
        </w:r>
        <w:r w:rsidR="00DE231B" w:rsidRPr="009619BA">
          <w:rPr>
            <w:webHidden/>
          </w:rPr>
          <w:t>4</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4" w:history="1">
        <w:r w:rsidR="00DE231B" w:rsidRPr="009619BA">
          <w:rPr>
            <w:rStyle w:val="Hyperlink"/>
            <w:rFonts w:ascii="Times New Roman" w:hAnsi="Times New Roman"/>
          </w:rPr>
          <w:t>2</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Sviras rādītāja aprēķināšanas formulas</w:t>
        </w:r>
        <w:r w:rsidR="00DE231B">
          <w:rPr>
            <w:webHidden/>
          </w:rPr>
          <w:tab/>
        </w:r>
        <w:r w:rsidR="00DE231B">
          <w:rPr>
            <w:webHidden/>
          </w:rPr>
          <w:fldChar w:fldCharType="begin"/>
        </w:r>
        <w:r w:rsidR="00DE231B">
          <w:rPr>
            <w:webHidden/>
          </w:rPr>
          <w:instrText xml:space="preserve"> PAGEREF _Toc523917524 \h </w:instrText>
        </w:r>
        <w:r w:rsidR="00DE231B">
          <w:rPr>
            <w:webHidden/>
          </w:rPr>
        </w:r>
        <w:r w:rsidR="00DE231B">
          <w:rPr>
            <w:webHidden/>
          </w:rPr>
          <w:fldChar w:fldCharType="separate"/>
        </w:r>
        <w:r w:rsidR="00DE231B" w:rsidRPr="009619BA">
          <w:rPr>
            <w:webHidden/>
          </w:rPr>
          <w:t>4</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5" w:history="1">
        <w:r w:rsidR="00DE231B" w:rsidRPr="009619BA">
          <w:rPr>
            <w:rStyle w:val="Hyperlink"/>
            <w:rFonts w:ascii="Times New Roman" w:hAnsi="Times New Roman"/>
          </w:rPr>
          <w:t>3</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Atvasināto instrumentu būtiskuma sliekšņi</w:t>
        </w:r>
        <w:r w:rsidR="00DE231B">
          <w:rPr>
            <w:webHidden/>
          </w:rPr>
          <w:tab/>
        </w:r>
        <w:r w:rsidR="00DE231B">
          <w:rPr>
            <w:webHidden/>
          </w:rPr>
          <w:fldChar w:fldCharType="begin"/>
        </w:r>
        <w:r w:rsidR="00DE231B">
          <w:rPr>
            <w:webHidden/>
          </w:rPr>
          <w:instrText xml:space="preserve"> PAGEREF _Toc523917525 \h </w:instrText>
        </w:r>
        <w:r w:rsidR="00DE231B">
          <w:rPr>
            <w:webHidden/>
          </w:rPr>
        </w:r>
        <w:r w:rsidR="00DE231B">
          <w:rPr>
            <w:webHidden/>
          </w:rPr>
          <w:fldChar w:fldCharType="separate"/>
        </w:r>
        <w:r w:rsidR="00DE231B" w:rsidRPr="009619BA">
          <w:rPr>
            <w:webHidden/>
          </w:rPr>
          <w:t>4</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6" w:history="1">
        <w:r w:rsidR="00DE231B" w:rsidRPr="009619BA">
          <w:rPr>
            <w:rStyle w:val="Hyperlink"/>
            <w:rFonts w:ascii="Times New Roman" w:hAnsi="Times New Roman"/>
          </w:rPr>
          <w:t>4</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47</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Sviras rādītāja aprēķināšana (LRCalc)</w:t>
        </w:r>
        <w:r w:rsidR="00DE231B">
          <w:rPr>
            <w:webHidden/>
          </w:rPr>
          <w:tab/>
        </w:r>
        <w:r w:rsidR="00DE231B">
          <w:rPr>
            <w:webHidden/>
          </w:rPr>
          <w:fldChar w:fldCharType="begin"/>
        </w:r>
        <w:r w:rsidR="00DE231B">
          <w:rPr>
            <w:webHidden/>
          </w:rPr>
          <w:instrText xml:space="preserve"> PAGEREF _Toc523917526 \h </w:instrText>
        </w:r>
        <w:r w:rsidR="00DE231B">
          <w:rPr>
            <w:webHidden/>
          </w:rPr>
        </w:r>
        <w:r w:rsidR="00DE231B">
          <w:rPr>
            <w:webHidden/>
          </w:rPr>
          <w:fldChar w:fldCharType="separate"/>
        </w:r>
        <w:r w:rsidR="00DE231B" w:rsidRPr="009619BA">
          <w:rPr>
            <w:webHidden/>
          </w:rPr>
          <w:t>5</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7" w:history="1">
        <w:r w:rsidR="00DE231B" w:rsidRPr="009619BA">
          <w:rPr>
            <w:rStyle w:val="Hyperlink"/>
            <w:rFonts w:ascii="Times New Roman" w:hAnsi="Times New Roman"/>
          </w:rPr>
          <w:t>5</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40</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Riska darījuma vērtības mēram piemērotā alternatīvā procedūra (LR</w:t>
        </w:r>
        <w:r w:rsidR="00DE231B" w:rsidRPr="009619BA">
          <w:rPr>
            <w:rStyle w:val="Hyperlink"/>
            <w:rFonts w:ascii="Times New Roman" w:hAnsi="Times New Roman"/>
          </w:rPr>
          <w:t>1</w:t>
        </w:r>
        <w:r w:rsidR="00DE231B" w:rsidRPr="00FD71D8">
          <w:rPr>
            <w:rStyle w:val="Hyperlink"/>
            <w:rFonts w:ascii="Times New Roman" w:hAnsi="Times New Roman"/>
          </w:rPr>
          <w:t>)</w:t>
        </w:r>
        <w:r w:rsidR="00DE231B">
          <w:rPr>
            <w:webHidden/>
          </w:rPr>
          <w:tab/>
        </w:r>
        <w:r w:rsidR="00DE231B">
          <w:rPr>
            <w:webHidden/>
          </w:rPr>
          <w:fldChar w:fldCharType="begin"/>
        </w:r>
        <w:r w:rsidR="00DE231B">
          <w:rPr>
            <w:webHidden/>
          </w:rPr>
          <w:instrText xml:space="preserve"> PAGEREF _Toc523917527 \h </w:instrText>
        </w:r>
        <w:r w:rsidR="00DE231B">
          <w:rPr>
            <w:webHidden/>
          </w:rPr>
        </w:r>
        <w:r w:rsidR="00DE231B">
          <w:rPr>
            <w:webHidden/>
          </w:rPr>
          <w:fldChar w:fldCharType="separate"/>
        </w:r>
        <w:r w:rsidR="00DE231B" w:rsidRPr="009619BA">
          <w:rPr>
            <w:webHidden/>
          </w:rPr>
          <w:t>14</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8" w:history="1">
        <w:r w:rsidR="00DE231B" w:rsidRPr="009619BA">
          <w:rPr>
            <w:rStyle w:val="Hyperlink"/>
            <w:rFonts w:ascii="Times New Roman" w:hAnsi="Times New Roman"/>
          </w:rPr>
          <w:t>6</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41</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Bilances un ārpusbilances posteņi – riska darījumu papildu dalījums (LR</w:t>
        </w:r>
        <w:r w:rsidR="00DE231B" w:rsidRPr="009619BA">
          <w:rPr>
            <w:rStyle w:val="Hyperlink"/>
            <w:rFonts w:ascii="Times New Roman" w:hAnsi="Times New Roman"/>
          </w:rPr>
          <w:t>2</w:t>
        </w:r>
        <w:r w:rsidR="00DE231B" w:rsidRPr="00FD71D8">
          <w:rPr>
            <w:rStyle w:val="Hyperlink"/>
            <w:rFonts w:ascii="Times New Roman" w:hAnsi="Times New Roman"/>
          </w:rPr>
          <w:t>)</w:t>
        </w:r>
        <w:r w:rsidR="00DE231B">
          <w:rPr>
            <w:webHidden/>
          </w:rPr>
          <w:tab/>
        </w:r>
        <w:r w:rsidR="00DE231B">
          <w:rPr>
            <w:webHidden/>
          </w:rPr>
          <w:fldChar w:fldCharType="begin"/>
        </w:r>
        <w:r w:rsidR="00DE231B">
          <w:rPr>
            <w:webHidden/>
          </w:rPr>
          <w:instrText xml:space="preserve"> PAGEREF _Toc523917528 \h </w:instrText>
        </w:r>
        <w:r w:rsidR="00DE231B">
          <w:rPr>
            <w:webHidden/>
          </w:rPr>
        </w:r>
        <w:r w:rsidR="00DE231B">
          <w:rPr>
            <w:webHidden/>
          </w:rPr>
          <w:fldChar w:fldCharType="separate"/>
        </w:r>
        <w:r w:rsidR="00DE231B" w:rsidRPr="009619BA">
          <w:rPr>
            <w:webHidden/>
          </w:rPr>
          <w:t>23</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29" w:history="1">
        <w:r w:rsidR="00DE231B" w:rsidRPr="009619BA">
          <w:rPr>
            <w:rStyle w:val="Hyperlink"/>
            <w:rFonts w:ascii="Times New Roman" w:hAnsi="Times New Roman"/>
          </w:rPr>
          <w:t>7</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42</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Kapitāla alternatīva definīcija (LR</w:t>
        </w:r>
        <w:r w:rsidR="00DE231B" w:rsidRPr="009619BA">
          <w:rPr>
            <w:rStyle w:val="Hyperlink"/>
            <w:rFonts w:ascii="Times New Roman" w:hAnsi="Times New Roman"/>
          </w:rPr>
          <w:t>3</w:t>
        </w:r>
        <w:r w:rsidR="00DE231B" w:rsidRPr="00FD71D8">
          <w:rPr>
            <w:rStyle w:val="Hyperlink"/>
            <w:rFonts w:ascii="Times New Roman" w:hAnsi="Times New Roman"/>
          </w:rPr>
          <w:t>)</w:t>
        </w:r>
        <w:r w:rsidR="00DE231B">
          <w:rPr>
            <w:webHidden/>
          </w:rPr>
          <w:tab/>
        </w:r>
        <w:r w:rsidR="00DE231B">
          <w:rPr>
            <w:webHidden/>
          </w:rPr>
          <w:fldChar w:fldCharType="begin"/>
        </w:r>
        <w:r w:rsidR="00DE231B">
          <w:rPr>
            <w:webHidden/>
          </w:rPr>
          <w:instrText xml:space="preserve"> PAGEREF _Toc523917529 \h </w:instrText>
        </w:r>
        <w:r w:rsidR="00DE231B">
          <w:rPr>
            <w:webHidden/>
          </w:rPr>
        </w:r>
        <w:r w:rsidR="00DE231B">
          <w:rPr>
            <w:webHidden/>
          </w:rPr>
          <w:fldChar w:fldCharType="separate"/>
        </w:r>
        <w:r w:rsidR="00DE231B" w:rsidRPr="009619BA">
          <w:rPr>
            <w:webHidden/>
          </w:rPr>
          <w:t>25</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30" w:history="1">
        <w:r w:rsidR="00DE231B" w:rsidRPr="009619BA">
          <w:rPr>
            <w:rStyle w:val="Hyperlink"/>
            <w:rFonts w:ascii="Times New Roman" w:hAnsi="Times New Roman"/>
          </w:rPr>
          <w:t>8</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43</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Sviras rādītāja riska darījuma vērtības mēra komponentu alternatīvs dalījums (LR</w:t>
        </w:r>
        <w:r w:rsidR="00DE231B" w:rsidRPr="009619BA">
          <w:rPr>
            <w:rStyle w:val="Hyperlink"/>
            <w:rFonts w:ascii="Times New Roman" w:hAnsi="Times New Roman"/>
          </w:rPr>
          <w:t>4</w:t>
        </w:r>
        <w:r w:rsidR="00DE231B" w:rsidRPr="00FD71D8">
          <w:rPr>
            <w:rStyle w:val="Hyperlink"/>
            <w:rFonts w:ascii="Times New Roman" w:hAnsi="Times New Roman"/>
          </w:rPr>
          <w:t>)</w:t>
        </w:r>
        <w:r w:rsidR="00DE231B">
          <w:rPr>
            <w:webHidden/>
          </w:rPr>
          <w:tab/>
        </w:r>
        <w:r w:rsidR="00DE231B">
          <w:rPr>
            <w:webHidden/>
          </w:rPr>
          <w:fldChar w:fldCharType="begin"/>
        </w:r>
        <w:r w:rsidR="00DE231B">
          <w:rPr>
            <w:webHidden/>
          </w:rPr>
          <w:instrText xml:space="preserve"> PAGEREF _Toc523917530 \h </w:instrText>
        </w:r>
        <w:r w:rsidR="00DE231B">
          <w:rPr>
            <w:webHidden/>
          </w:rPr>
        </w:r>
        <w:r w:rsidR="00DE231B">
          <w:rPr>
            <w:webHidden/>
          </w:rPr>
          <w:fldChar w:fldCharType="separate"/>
        </w:r>
        <w:r w:rsidR="00DE231B" w:rsidRPr="009619BA">
          <w:rPr>
            <w:webHidden/>
          </w:rPr>
          <w:t>27</w:t>
        </w:r>
        <w:r w:rsidR="00DE231B">
          <w:rPr>
            <w:webHidden/>
          </w:rPr>
          <w:fldChar w:fldCharType="end"/>
        </w:r>
      </w:hyperlink>
    </w:p>
    <w:p w:rsidR="00DE231B" w:rsidRDefault="00F27032">
      <w:pPr>
        <w:pStyle w:val="TOC2"/>
        <w:rPr>
          <w:rFonts w:asciiTheme="minorHAnsi" w:eastAsiaTheme="minorEastAsia" w:hAnsiTheme="minorHAnsi" w:cstheme="minorBidi"/>
          <w:b w:val="0"/>
          <w:smallCaps w:val="0"/>
          <w:sz w:val="22"/>
          <w:lang w:val="en-GB" w:eastAsia="en-GB" w:bidi="ta-IN"/>
        </w:rPr>
      </w:pPr>
      <w:hyperlink w:anchor="_Toc523917531" w:history="1">
        <w:r w:rsidR="00DE231B" w:rsidRPr="009619BA">
          <w:rPr>
            <w:rStyle w:val="Hyperlink"/>
            <w:rFonts w:ascii="Times New Roman" w:hAnsi="Times New Roman"/>
          </w:rPr>
          <w:t>9</w:t>
        </w:r>
        <w:r w:rsidR="00DE231B" w:rsidRPr="00FD71D8">
          <w:rPr>
            <w:rStyle w:val="Hyperlink"/>
            <w:rFonts w:ascii="Times New Roman" w:hAnsi="Times New Roman"/>
          </w:rPr>
          <w:t>.</w:t>
        </w:r>
        <w:r w:rsidR="00DE231B">
          <w:rPr>
            <w:rFonts w:asciiTheme="minorHAnsi" w:eastAsiaTheme="minorEastAsia" w:hAnsiTheme="minorHAnsi" w:cstheme="minorBidi"/>
            <w:b w:val="0"/>
            <w:smallCaps w:val="0"/>
            <w:sz w:val="22"/>
            <w:lang w:val="en-GB" w:eastAsia="en-GB" w:bidi="ta-IN"/>
          </w:rPr>
          <w:tab/>
        </w:r>
        <w:r w:rsidR="00DE231B" w:rsidRPr="00FD71D8">
          <w:rPr>
            <w:rStyle w:val="Hyperlink"/>
            <w:rFonts w:ascii="Times New Roman" w:hAnsi="Times New Roman"/>
          </w:rPr>
          <w:t xml:space="preserve">C </w:t>
        </w:r>
        <w:r w:rsidR="00DE231B" w:rsidRPr="009619BA">
          <w:rPr>
            <w:rStyle w:val="Hyperlink"/>
            <w:rFonts w:ascii="Times New Roman" w:hAnsi="Times New Roman"/>
          </w:rPr>
          <w:t>44</w:t>
        </w:r>
        <w:r w:rsidR="00DE231B" w:rsidRPr="00FD71D8">
          <w:rPr>
            <w:rStyle w:val="Hyperlink"/>
            <w:rFonts w:ascii="Times New Roman" w:hAnsi="Times New Roman"/>
          </w:rPr>
          <w:t>.</w:t>
        </w:r>
        <w:r w:rsidR="00DE231B" w:rsidRPr="009619BA">
          <w:rPr>
            <w:rStyle w:val="Hyperlink"/>
            <w:rFonts w:ascii="Times New Roman" w:hAnsi="Times New Roman"/>
          </w:rPr>
          <w:t>00</w:t>
        </w:r>
        <w:r w:rsidR="00DE231B" w:rsidRPr="00FD71D8">
          <w:rPr>
            <w:rStyle w:val="Hyperlink"/>
            <w:rFonts w:ascii="Times New Roman" w:hAnsi="Times New Roman"/>
          </w:rPr>
          <w:t xml:space="preserve"> – Vispārīga informācija (LR</w:t>
        </w:r>
        <w:r w:rsidR="00DE231B" w:rsidRPr="009619BA">
          <w:rPr>
            <w:rStyle w:val="Hyperlink"/>
            <w:rFonts w:ascii="Times New Roman" w:hAnsi="Times New Roman"/>
          </w:rPr>
          <w:t>5</w:t>
        </w:r>
        <w:r w:rsidR="00DE231B" w:rsidRPr="00FD71D8">
          <w:rPr>
            <w:rStyle w:val="Hyperlink"/>
            <w:rFonts w:ascii="Times New Roman" w:hAnsi="Times New Roman"/>
          </w:rPr>
          <w:t>)</w:t>
        </w:r>
        <w:r w:rsidR="00DE231B">
          <w:rPr>
            <w:webHidden/>
          </w:rPr>
          <w:tab/>
        </w:r>
        <w:r w:rsidR="00DE231B">
          <w:rPr>
            <w:webHidden/>
          </w:rPr>
          <w:fldChar w:fldCharType="begin"/>
        </w:r>
        <w:r w:rsidR="00DE231B">
          <w:rPr>
            <w:webHidden/>
          </w:rPr>
          <w:instrText xml:space="preserve"> PAGEREF _Toc523917531 \h </w:instrText>
        </w:r>
        <w:r w:rsidR="00DE231B">
          <w:rPr>
            <w:webHidden/>
          </w:rPr>
        </w:r>
        <w:r w:rsidR="00DE231B">
          <w:rPr>
            <w:webHidden/>
          </w:rPr>
          <w:fldChar w:fldCharType="separate"/>
        </w:r>
        <w:r w:rsidR="00DE231B" w:rsidRPr="009619BA">
          <w:rPr>
            <w:webHidden/>
          </w:rPr>
          <w:t>45</w:t>
        </w:r>
        <w:r w:rsidR="00DE231B">
          <w:rPr>
            <w:webHidden/>
          </w:rPr>
          <w:fldChar w:fldCharType="end"/>
        </w:r>
      </w:hyperlink>
    </w:p>
    <w:p w:rsidR="00725769" w:rsidRDefault="003B2B0A">
      <w:pPr>
        <w:pStyle w:val="BodyText1"/>
        <w:rPr>
          <w:rFonts w:ascii="Times New Roman" w:eastAsiaTheme="minorEastAsia" w:hAnsi="Times New Roman"/>
          <w:color w:val="auto"/>
          <w:sz w:val="22"/>
          <w:szCs w:val="22"/>
        </w:rPr>
        <w:sectPr w:rsidR="00725769"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917516"/>
      <w:r>
        <w:rPr>
          <w:rFonts w:ascii="Times New Roman" w:hAnsi="Times New Roman"/>
          <w:b/>
          <w:sz w:val="24"/>
        </w:rPr>
        <w:t>I DAĻA.</w:t>
      </w:r>
      <w:bookmarkEnd w:id="0"/>
      <w:r>
        <w:rPr>
          <w:rFonts w:ascii="Times New Roman" w:hAnsi="Times New Roman"/>
          <w:b/>
          <w:sz w:val="24"/>
        </w:rPr>
        <w:t xml:space="preserve"> VISPĀRĪGAS NORĀDES</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917517"/>
      <w:r w:rsidRPr="009619BA">
        <w:rPr>
          <w:rFonts w:ascii="Times New Roman" w:hAnsi="Times New Roman"/>
          <w:b/>
        </w:rPr>
        <w:t>1</w:t>
      </w:r>
      <w:r>
        <w:rPr>
          <w:rFonts w:ascii="Times New Roman" w:hAnsi="Times New Roman"/>
          <w:b/>
        </w:rPr>
        <w:t>.</w:t>
      </w:r>
      <w:r>
        <w:tab/>
      </w:r>
      <w:r>
        <w:rPr>
          <w:rFonts w:ascii="Times New Roman" w:hAnsi="Times New Roman"/>
          <w:b/>
        </w:rPr>
        <w:t>Veidņu apzīmējumi un citas konvencijas</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3917518"/>
      <w:bookmarkStart w:id="15" w:name="_Toc264038399"/>
      <w:bookmarkStart w:id="16" w:name="_Toc294018834"/>
      <w:r w:rsidRPr="009619BA">
        <w:rPr>
          <w:rFonts w:ascii="Times New Roman" w:hAnsi="Times New Roman"/>
          <w:b/>
        </w:rPr>
        <w:t>1</w:t>
      </w:r>
      <w:r>
        <w:rPr>
          <w:rFonts w:ascii="Times New Roman" w:hAnsi="Times New Roman"/>
          <w:b/>
        </w:rPr>
        <w:t>.</w:t>
      </w:r>
      <w:r w:rsidRPr="009619BA">
        <w:rPr>
          <w:rFonts w:ascii="Times New Roman" w:hAnsi="Times New Roman"/>
          <w:b/>
        </w:rPr>
        <w:t>1</w:t>
      </w:r>
      <w:r>
        <w:rPr>
          <w:rFonts w:ascii="Times New Roman" w:hAnsi="Times New Roman"/>
          <w:b/>
        </w:rPr>
        <w:t>.</w:t>
      </w:r>
      <w:r>
        <w:tab/>
      </w:r>
      <w:r>
        <w:rPr>
          <w:rFonts w:ascii="Times New Roman" w:hAnsi="Times New Roman"/>
          <w:b/>
        </w:rPr>
        <w:t xml:space="preserve">Veidņu </w:t>
      </w:r>
      <w:bookmarkEnd w:id="11"/>
      <w:r>
        <w:rPr>
          <w:rFonts w:ascii="Times New Roman" w:hAnsi="Times New Roman"/>
          <w:b/>
        </w:rPr>
        <w:t>apzīmējumi</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9619BA">
        <w:rPr>
          <w:rFonts w:ascii="Times New Roman" w:hAnsi="Times New Roman"/>
        </w:rPr>
        <w:t>1</w:t>
      </w:r>
      <w:r>
        <w:rPr>
          <w:rFonts w:ascii="Times New Roman" w:hAnsi="Times New Roman"/>
        </w:rPr>
        <w:t>.</w:t>
      </w:r>
      <w:r>
        <w:tab/>
      </w:r>
      <w:r>
        <w:rPr>
          <w:rFonts w:ascii="Times New Roman" w:hAnsi="Times New Roman"/>
        </w:rPr>
        <w:t xml:space="preserve">Šajā pielikumā ir iekļauti papildu norādījumi par veidnēm (turpmāk “LR”), kas iekļautas šīs regulas X pielikumā.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rsidRPr="009619BA">
        <w:t>2</w:t>
      </w:r>
      <w:r>
        <w:t>.</w:t>
      </w:r>
      <w:r>
        <w:tab/>
        <w:t>Kopumā regulējumā ir šādas sešas veidnes.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47</w:t>
      </w:r>
      <w:r>
        <w:t>.</w:t>
      </w:r>
      <w:r w:rsidRPr="009619BA">
        <w:t>00</w:t>
      </w:r>
      <w:r>
        <w:t>: Sviras rādītāja aprēķināšana (LRCalc): Sviras rādītāja aprēķināšana;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40</w:t>
      </w:r>
      <w:r>
        <w:t>.</w:t>
      </w:r>
      <w:r w:rsidRPr="009619BA">
        <w:t>00</w:t>
      </w:r>
      <w:r>
        <w:t xml:space="preserve">: Sviras rādītāja </w:t>
      </w:r>
      <w:r w:rsidRPr="009619BA">
        <w:t>1</w:t>
      </w:r>
      <w:r>
        <w:t>. veidne (LR</w:t>
      </w:r>
      <w:r w:rsidRPr="009619BA">
        <w:t>1</w:t>
      </w:r>
      <w:r>
        <w:t>): Riska darījuma vērtības mēram piemērotā alternatīvā procedūra;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41</w:t>
      </w:r>
      <w:r>
        <w:t>.</w:t>
      </w:r>
      <w:r w:rsidRPr="009619BA">
        <w:t>00</w:t>
      </w:r>
      <w:r>
        <w:t xml:space="preserve">: Sviras rādītāja </w:t>
      </w:r>
      <w:r w:rsidRPr="009619BA">
        <w:t>2</w:t>
      </w:r>
      <w:r>
        <w:t>. veidne (LR</w:t>
      </w:r>
      <w:r w:rsidRPr="009619BA">
        <w:t>2</w:t>
      </w:r>
      <w:r>
        <w:t>): Bilances un ārpusbilances posteņi ― riska darījumu papildu dalījums;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42</w:t>
      </w:r>
      <w:r>
        <w:t>.</w:t>
      </w:r>
      <w:r w:rsidRPr="009619BA">
        <w:t>00</w:t>
      </w:r>
      <w:r>
        <w:t xml:space="preserve">: Sviras rādītāja </w:t>
      </w:r>
      <w:r w:rsidRPr="009619BA">
        <w:t>3</w:t>
      </w:r>
      <w:r>
        <w:t>. veidne (LR</w:t>
      </w:r>
      <w:r w:rsidRPr="009619BA">
        <w:t>3</w:t>
      </w:r>
      <w:r>
        <w:t>): Kapitāla alternatīva definīcija;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43</w:t>
      </w:r>
      <w:r>
        <w:t>.</w:t>
      </w:r>
      <w:r w:rsidRPr="009619BA">
        <w:t>00</w:t>
      </w:r>
      <w:r>
        <w:t xml:space="preserve">: Sviras rādītāja </w:t>
      </w:r>
      <w:r w:rsidRPr="009619BA">
        <w:t>4</w:t>
      </w:r>
      <w:r>
        <w:t>. veidne (LR</w:t>
      </w:r>
      <w:r w:rsidRPr="009619BA">
        <w:t>4</w:t>
      </w:r>
      <w:r>
        <w:t>): Sviras rādītāja riska darījuma vērtības mēra komponentu dalījums; kā arī</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9619BA">
        <w:t>44</w:t>
      </w:r>
      <w:r>
        <w:t>.</w:t>
      </w:r>
      <w:r w:rsidRPr="009619BA">
        <w:t>00</w:t>
      </w:r>
      <w:r>
        <w:t xml:space="preserve">: Sviras rādītāja </w:t>
      </w:r>
      <w:r w:rsidRPr="009619BA">
        <w:t>5</w:t>
      </w:r>
      <w:r>
        <w:t>. veidne (LR</w:t>
      </w:r>
      <w:r w:rsidRPr="009619BA">
        <w:t>5</w:t>
      </w:r>
      <w:r>
        <w:t>): Vispārīga informācija.</w:t>
      </w:r>
    </w:p>
    <w:p w:rsidR="00F4754B" w:rsidRPr="00FE002E" w:rsidRDefault="00500508" w:rsidP="00500508">
      <w:pPr>
        <w:pStyle w:val="InstructionsText2"/>
        <w:numPr>
          <w:ilvl w:val="0"/>
          <w:numId w:val="0"/>
        </w:numPr>
        <w:ind w:left="720" w:hanging="360"/>
        <w:rPr>
          <w:rFonts w:eastAsia="Times New Roman"/>
          <w:bCs/>
          <w:szCs w:val="17"/>
        </w:rPr>
      </w:pPr>
      <w:r w:rsidRPr="009619BA">
        <w:t>3</w:t>
      </w:r>
      <w:r>
        <w:t>.</w:t>
      </w:r>
      <w:r>
        <w:tab/>
        <w:t>Katrai veidnei ir sniegtas atsauces uz tiesību aktiem, kā arī sīkāka informācija par pārskatu sniegšanas vispārīgākiem aspektiem.</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917519"/>
      <w:bookmarkEnd w:id="17"/>
      <w:r w:rsidRPr="009619BA">
        <w:rPr>
          <w:rFonts w:ascii="Times New Roman" w:hAnsi="Times New Roman"/>
          <w:b/>
        </w:rPr>
        <w:t>1</w:t>
      </w:r>
      <w:r>
        <w:rPr>
          <w:rFonts w:ascii="Times New Roman" w:hAnsi="Times New Roman"/>
          <w:b/>
        </w:rPr>
        <w:t>.</w:t>
      </w:r>
      <w:r w:rsidRPr="009619BA">
        <w:rPr>
          <w:rFonts w:ascii="Times New Roman" w:hAnsi="Times New Roman"/>
          <w:b/>
        </w:rPr>
        <w:t>2</w:t>
      </w:r>
      <w:r>
        <w:rPr>
          <w:rFonts w:ascii="Times New Roman" w:hAnsi="Times New Roman"/>
          <w:b/>
        </w:rPr>
        <w:t>.</w:t>
      </w:r>
      <w:r>
        <w:tab/>
      </w:r>
      <w:r>
        <w:rPr>
          <w:rFonts w:ascii="Times New Roman" w:hAnsi="Times New Roman"/>
          <w:b/>
        </w:rPr>
        <w:t>Pieņemtā prakse attiecībā uz numerāciju</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rsidRPr="009619BA">
        <w:t>4</w:t>
      </w:r>
      <w:r>
        <w:t>.</w:t>
      </w:r>
      <w:r>
        <w:tab/>
        <w:t>Atsaucoties uz veidņu slejām, rindām un šūnām, dokumentā ievēro apzīmējumu konvenciju, kas izklāstīta turpmākajos punktos. Šos ciparu kodus plaši izmanto validācijas noteikumos.</w:t>
      </w:r>
    </w:p>
    <w:p w:rsidR="00F4754B" w:rsidRPr="00FE002E" w:rsidRDefault="00500508" w:rsidP="00500508">
      <w:pPr>
        <w:pStyle w:val="InstructionsText2"/>
        <w:numPr>
          <w:ilvl w:val="0"/>
          <w:numId w:val="0"/>
        </w:numPr>
        <w:ind w:left="720" w:hanging="360"/>
        <w:rPr>
          <w:rFonts w:eastAsia="Times New Roman"/>
          <w:bCs/>
          <w:szCs w:val="17"/>
        </w:rPr>
      </w:pPr>
      <w:r w:rsidRPr="009619BA">
        <w:t>5</w:t>
      </w:r>
      <w:r>
        <w:t>.</w:t>
      </w:r>
      <w:r>
        <w:tab/>
        <w:t>Norādēs izmantots šāds vispārējs apzīmējums: {Veidne;Rinda;Sleja}. Zvaigznīti izmanto, lai norādītu uz visu rindu vai sleju.</w:t>
      </w:r>
    </w:p>
    <w:p w:rsidR="00F4754B" w:rsidRPr="00FE002E" w:rsidRDefault="00500508" w:rsidP="00500508">
      <w:pPr>
        <w:pStyle w:val="InstructionsText2"/>
        <w:numPr>
          <w:ilvl w:val="0"/>
          <w:numId w:val="0"/>
        </w:numPr>
        <w:ind w:left="720" w:hanging="360"/>
        <w:rPr>
          <w:rFonts w:eastAsia="Times New Roman"/>
          <w:bCs/>
          <w:szCs w:val="17"/>
        </w:rPr>
      </w:pPr>
      <w:r w:rsidRPr="009619BA">
        <w:t>6</w:t>
      </w:r>
      <w:r>
        <w:t>.</w:t>
      </w:r>
      <w:r>
        <w:tab/>
        <w:t>Ja validācija tiek veikta veidnē, izmanto tikai minētās veidnes datu punktus, apzīmējums neattiecas uz veidni: {Rinda; Sleja}.</w:t>
      </w:r>
    </w:p>
    <w:p w:rsidR="00F4754B" w:rsidRPr="00FE002E" w:rsidRDefault="00500508" w:rsidP="00500508">
      <w:pPr>
        <w:pStyle w:val="InstructionsText2"/>
        <w:numPr>
          <w:ilvl w:val="0"/>
          <w:numId w:val="0"/>
        </w:numPr>
        <w:ind w:left="720" w:hanging="360"/>
        <w:rPr>
          <w:rFonts w:eastAsia="Times New Roman"/>
          <w:bCs/>
          <w:szCs w:val="17"/>
        </w:rPr>
      </w:pPr>
      <w:r w:rsidRPr="009619BA">
        <w:t>7</w:t>
      </w:r>
      <w:r>
        <w:t>.</w:t>
      </w:r>
      <w:r>
        <w:tab/>
        <w:t xml:space="preserve">Sviras pārskatu sniegšanas vajadzībām vārdu savienojums “no kā” attiecas uz posteni, kas ir augstāka līmeņa riska darījuma kategorijas apakškopa, savukārt jēdziens “izziņas postenis” attiecas uz atsevišķu posteni, kas nav riska darījuma kategorijas apakškopa. Ja vien nav norādīts citādi, obligāti jāsniedz pārskats par abiem šūnu veidiem.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3917520"/>
      <w:r w:rsidRPr="009619BA">
        <w:rPr>
          <w:rFonts w:ascii="Times New Roman" w:hAnsi="Times New Roman"/>
          <w:b/>
        </w:rPr>
        <w:t>1</w:t>
      </w:r>
      <w:r>
        <w:rPr>
          <w:rFonts w:ascii="Times New Roman" w:hAnsi="Times New Roman"/>
          <w:b/>
        </w:rPr>
        <w:t>.</w:t>
      </w:r>
      <w:r w:rsidRPr="009619BA">
        <w:rPr>
          <w:rFonts w:ascii="Times New Roman" w:hAnsi="Times New Roman"/>
          <w:b/>
        </w:rPr>
        <w:t>3</w:t>
      </w:r>
      <w:r>
        <w:rPr>
          <w:rFonts w:ascii="Times New Roman" w:hAnsi="Times New Roman"/>
          <w:b/>
        </w:rPr>
        <w:t>.</w:t>
      </w:r>
      <w:r>
        <w:tab/>
      </w:r>
      <w:r>
        <w:rPr>
          <w:rFonts w:ascii="Times New Roman" w:hAnsi="Times New Roman"/>
          <w:b/>
        </w:rPr>
        <w:t>Saīsinājumi</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rsidRPr="009619BA">
        <w:t>8</w:t>
      </w:r>
      <w:r>
        <w:t>.</w:t>
      </w:r>
      <w:r>
        <w:tab/>
        <w:t>Šā pielikuma un ar to saistīto veidņu vajadzībām izmanto šādus saīsinājumus:</w:t>
      </w:r>
    </w:p>
    <w:p w:rsidR="00627E07" w:rsidRDefault="00500508" w:rsidP="00500508">
      <w:pPr>
        <w:pStyle w:val="InstructionsText2"/>
        <w:numPr>
          <w:ilvl w:val="0"/>
          <w:numId w:val="0"/>
        </w:numPr>
        <w:ind w:left="1440" w:hanging="360"/>
        <w:rPr>
          <w:rFonts w:eastAsia="Times New Roman"/>
          <w:bCs/>
          <w:szCs w:val="17"/>
        </w:rPr>
      </w:pPr>
      <w:r>
        <w:t>a.</w:t>
      </w:r>
      <w:r>
        <w:tab/>
        <w:t xml:space="preserve">KPR — Kapitāla prasību regula, proti, Regula (ES) Nr. </w:t>
      </w:r>
      <w:r w:rsidRPr="009619BA">
        <w:t>575</w:t>
      </w:r>
      <w:r>
        <w:t>/</w:t>
      </w:r>
      <w:r w:rsidRPr="009619BA">
        <w:t>2013</w:t>
      </w:r>
      <w:r>
        <w:t>;</w:t>
      </w:r>
    </w:p>
    <w:p w:rsidR="00627E07" w:rsidRDefault="00500508" w:rsidP="00500508">
      <w:pPr>
        <w:pStyle w:val="InstructionsText2"/>
        <w:numPr>
          <w:ilvl w:val="0"/>
          <w:numId w:val="0"/>
        </w:numPr>
        <w:ind w:left="1440" w:hanging="360"/>
        <w:rPr>
          <w:rFonts w:eastAsia="Times New Roman"/>
          <w:bCs/>
          <w:szCs w:val="17"/>
        </w:rPr>
      </w:pPr>
      <w:r>
        <w:lastRenderedPageBreak/>
        <w:t>b.</w:t>
      </w:r>
      <w:r>
        <w:tab/>
        <w:t>VFD – vērtspapīru finansēšanas darījums, proti, “repo darījums, vērtspapīru vai preču aizdevuma vai aizņēmuma darījums, ilgstošo norēķinu darījums un maržinālo aizdevumu darījums”, kā minēts Regulā (ES) Nr. </w:t>
      </w:r>
      <w:r w:rsidRPr="009619BA">
        <w:t>575</w:t>
      </w:r>
      <w:r>
        <w:t>/</w:t>
      </w:r>
      <w:r w:rsidRPr="009619BA">
        <w:t>2013</w:t>
      </w:r>
      <w:r>
        <w:t>;</w:t>
      </w:r>
    </w:p>
    <w:p w:rsidR="008E7068" w:rsidRPr="00627E07" w:rsidRDefault="00500508" w:rsidP="00500508">
      <w:pPr>
        <w:pStyle w:val="InstructionsText2"/>
        <w:numPr>
          <w:ilvl w:val="0"/>
          <w:numId w:val="0"/>
        </w:numPr>
        <w:ind w:left="1440" w:hanging="360"/>
        <w:rPr>
          <w:rFonts w:eastAsia="Times New Roman"/>
          <w:bCs/>
          <w:szCs w:val="17"/>
        </w:rPr>
      </w:pPr>
      <w:r>
        <w:t>c.</w:t>
      </w:r>
      <w:r>
        <w:tab/>
        <w:t>KRM — kredītriska mazināšana.</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3917521"/>
      <w:r w:rsidRPr="009619BA">
        <w:rPr>
          <w:rFonts w:ascii="Times New Roman" w:hAnsi="Times New Roman"/>
          <w:b/>
        </w:rPr>
        <w:t>1</w:t>
      </w:r>
      <w:r>
        <w:rPr>
          <w:rFonts w:ascii="Times New Roman" w:hAnsi="Times New Roman"/>
          <w:b/>
        </w:rPr>
        <w:t>.</w:t>
      </w:r>
      <w:r w:rsidRPr="009619BA">
        <w:rPr>
          <w:rFonts w:ascii="Times New Roman" w:hAnsi="Times New Roman"/>
          <w:b/>
        </w:rPr>
        <w:t>4</w:t>
      </w:r>
      <w:r>
        <w:rPr>
          <w:rFonts w:ascii="Times New Roman" w:hAnsi="Times New Roman"/>
          <w:b/>
        </w:rPr>
        <w:t>.</w:t>
      </w:r>
      <w:r>
        <w:tab/>
      </w:r>
      <w:r>
        <w:rPr>
          <w:rFonts w:ascii="Times New Roman" w:hAnsi="Times New Roman"/>
          <w:b/>
        </w:rPr>
        <w:t>Pieņemtā prakse attiecībā uz zīmēm</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rsidRPr="009619BA">
        <w:t>9</w:t>
      </w:r>
      <w:r>
        <w:t>.</w:t>
      </w:r>
      <w:r>
        <w:tab/>
        <w:t>Visas summas norāda kā pozitīvus skaitļus.</w:t>
      </w:r>
      <w:bookmarkStart w:id="32" w:name="_Toc264033192"/>
      <w:bookmarkEnd w:id="32"/>
      <w:r>
        <w:t xml:space="preserve"> Izņēmums ir summas, kuras norāda {LRCalc;</w:t>
      </w:r>
      <w:r w:rsidRPr="009619BA">
        <w:t>050</w:t>
      </w:r>
      <w:r>
        <w:t>;</w:t>
      </w:r>
      <w:r w:rsidRPr="009619BA">
        <w:t>010</w:t>
      </w:r>
      <w:r>
        <w:t>}, {LRCalc;</w:t>
      </w:r>
      <w:r w:rsidRPr="009619BA">
        <w:t>070</w:t>
      </w:r>
      <w:r>
        <w:t>;</w:t>
      </w:r>
      <w:r w:rsidRPr="009619BA">
        <w:t>010</w:t>
      </w:r>
      <w:r>
        <w:t>}, {LRCalc;</w:t>
      </w:r>
      <w:r w:rsidRPr="009619BA">
        <w:t>080</w:t>
      </w:r>
      <w:r>
        <w:t>;</w:t>
      </w:r>
      <w:r w:rsidRPr="009619BA">
        <w:t>010</w:t>
      </w:r>
      <w:r>
        <w:t>}, {LRCalc;</w:t>
      </w:r>
      <w:r w:rsidRPr="009619BA">
        <w:t>100</w:t>
      </w:r>
      <w:r>
        <w:t>;</w:t>
      </w:r>
      <w:r w:rsidRPr="009619BA">
        <w:t>010</w:t>
      </w:r>
      <w:r>
        <w:t>}, {LRCalc;</w:t>
      </w:r>
      <w:r w:rsidRPr="009619BA">
        <w:t>120</w:t>
      </w:r>
      <w:r>
        <w:t>;</w:t>
      </w:r>
      <w:r w:rsidRPr="009619BA">
        <w:t>010</w:t>
      </w:r>
      <w:r>
        <w:t>}, {LRCalc;</w:t>
      </w:r>
      <w:r w:rsidRPr="009619BA">
        <w:t>140</w:t>
      </w:r>
      <w:r>
        <w:t>;</w:t>
      </w:r>
      <w:r w:rsidRPr="009619BA">
        <w:t>010</w:t>
      </w:r>
      <w:r>
        <w:t>}, {LRCalc;</w:t>
      </w:r>
      <w:r w:rsidRPr="009619BA">
        <w:t>210</w:t>
      </w:r>
      <w:r>
        <w:t>;</w:t>
      </w:r>
      <w:r w:rsidRPr="009619BA">
        <w:t>010</w:t>
      </w:r>
      <w:r>
        <w:t>}, {LRCalc;</w:t>
      </w:r>
      <w:r w:rsidRPr="009619BA">
        <w:t>220</w:t>
      </w:r>
      <w:r>
        <w:t>;</w:t>
      </w:r>
      <w:r w:rsidRPr="009619BA">
        <w:t>010</w:t>
      </w:r>
      <w:r>
        <w:t>}, {LRCalc;</w:t>
      </w:r>
      <w:r w:rsidRPr="009619BA">
        <w:t>240</w:t>
      </w:r>
      <w:r>
        <w:t>;</w:t>
      </w:r>
      <w:r w:rsidRPr="009619BA">
        <w:t>010</w:t>
      </w:r>
      <w:r>
        <w:t>}, {LRCalc;</w:t>
      </w:r>
      <w:r w:rsidRPr="009619BA">
        <w:t>250</w:t>
      </w:r>
      <w:r>
        <w:t>;</w:t>
      </w:r>
      <w:r w:rsidRPr="009619BA">
        <w:t>010</w:t>
      </w:r>
      <w:r>
        <w:t>}, {LRCalc;</w:t>
      </w:r>
      <w:r w:rsidRPr="009619BA">
        <w:t>260</w:t>
      </w:r>
      <w:r>
        <w:t>;</w:t>
      </w:r>
      <w:r w:rsidRPr="009619BA">
        <w:t>010</w:t>
      </w:r>
      <w:r>
        <w:t>}, {LRCalc;</w:t>
      </w:r>
      <w:r w:rsidRPr="009619BA">
        <w:t>310</w:t>
      </w:r>
      <w:r>
        <w:t>;</w:t>
      </w:r>
      <w:r w:rsidRPr="009619BA">
        <w:t>010</w:t>
      </w:r>
      <w:r>
        <w:t>}, {LRCalc;</w:t>
      </w:r>
      <w:r w:rsidRPr="009619BA">
        <w:t>320</w:t>
      </w:r>
      <w:r>
        <w:t>;</w:t>
      </w:r>
      <w:r w:rsidRPr="009619BA">
        <w:t>010</w:t>
      </w:r>
      <w:r>
        <w:t>}, {LRCalc;</w:t>
      </w:r>
      <w:r w:rsidRPr="009619BA">
        <w:t>270</w:t>
      </w:r>
      <w:r>
        <w:t>;</w:t>
      </w:r>
      <w:r w:rsidRPr="009619BA">
        <w:t>010</w:t>
      </w:r>
      <w:r>
        <w:t>}, {LRCalc;</w:t>
      </w:r>
      <w:r w:rsidRPr="009619BA">
        <w:t>280</w:t>
      </w:r>
      <w:r>
        <w:t>;</w:t>
      </w:r>
      <w:r w:rsidRPr="009619BA">
        <w:t>010</w:t>
      </w:r>
      <w:r>
        <w:t>}, {LRCalc;</w:t>
      </w:r>
      <w:r w:rsidRPr="009619BA">
        <w:t>330</w:t>
      </w:r>
      <w:r>
        <w:t>;</w:t>
      </w:r>
      <w:r w:rsidRPr="009619BA">
        <w:t>010</w:t>
      </w:r>
      <w:r>
        <w:t>}, {LRCalc;</w:t>
      </w:r>
      <w:r w:rsidRPr="009619BA">
        <w:t>340</w:t>
      </w:r>
      <w:r>
        <w:t>;</w:t>
      </w:r>
      <w:r w:rsidRPr="009619BA">
        <w:t>010</w:t>
      </w:r>
      <w:r>
        <w:t>}, {LR</w:t>
      </w:r>
      <w:r w:rsidRPr="009619BA">
        <w:t>3</w:t>
      </w:r>
      <w:r>
        <w:t>;</w:t>
      </w:r>
      <w:r w:rsidRPr="009619BA">
        <w:t>010</w:t>
      </w:r>
      <w:r>
        <w:t>;</w:t>
      </w:r>
      <w:r w:rsidRPr="009619BA">
        <w:t>010</w:t>
      </w:r>
      <w:r>
        <w:t>}, {LR</w:t>
      </w:r>
      <w:r w:rsidRPr="009619BA">
        <w:t>3</w:t>
      </w:r>
      <w:r>
        <w:t>;</w:t>
      </w:r>
      <w:r w:rsidRPr="009619BA">
        <w:t>020</w:t>
      </w:r>
      <w:r>
        <w:t>;</w:t>
      </w:r>
      <w:r w:rsidRPr="009619BA">
        <w:t>010</w:t>
      </w:r>
      <w:r>
        <w:t>}, {LR</w:t>
      </w:r>
      <w:r w:rsidRPr="009619BA">
        <w:t>3</w:t>
      </w:r>
      <w:r>
        <w:t>;</w:t>
      </w:r>
      <w:r w:rsidRPr="009619BA">
        <w:t>030</w:t>
      </w:r>
      <w:r>
        <w:t>;</w:t>
      </w:r>
      <w:r w:rsidRPr="009619BA">
        <w:t>010</w:t>
      </w:r>
      <w:r>
        <w:t>}, {LR</w:t>
      </w:r>
      <w:r w:rsidRPr="009619BA">
        <w:t>3</w:t>
      </w:r>
      <w:r>
        <w:t>;</w:t>
      </w:r>
      <w:r w:rsidRPr="009619BA">
        <w:t>040</w:t>
      </w:r>
      <w:r>
        <w:t>;</w:t>
      </w:r>
      <w:r w:rsidRPr="009619BA">
        <w:t>010</w:t>
      </w:r>
      <w:r>
        <w:t>}, {LR</w:t>
      </w:r>
      <w:r w:rsidRPr="009619BA">
        <w:t>3</w:t>
      </w:r>
      <w:r>
        <w:t>;</w:t>
      </w:r>
      <w:r w:rsidRPr="009619BA">
        <w:t>055</w:t>
      </w:r>
      <w:r>
        <w:t>;</w:t>
      </w:r>
      <w:r w:rsidRPr="009619BA">
        <w:t>010</w:t>
      </w:r>
      <w:r>
        <w:t>}, {LR</w:t>
      </w:r>
      <w:r w:rsidRPr="009619BA">
        <w:t>3</w:t>
      </w:r>
      <w:r>
        <w:t>;</w:t>
      </w:r>
      <w:r w:rsidRPr="009619BA">
        <w:t>065</w:t>
      </w:r>
      <w:r>
        <w:t>;</w:t>
      </w:r>
      <w:r w:rsidRPr="009619BA">
        <w:t>010</w:t>
      </w:r>
      <w:r>
        <w:t>}, {LR</w:t>
      </w:r>
      <w:r w:rsidRPr="009619BA">
        <w:t>3</w:t>
      </w:r>
      <w:r>
        <w:t>;</w:t>
      </w:r>
      <w:r w:rsidRPr="009619BA">
        <w:t>075</w:t>
      </w:r>
      <w:r>
        <w:t>;</w:t>
      </w:r>
      <w:r w:rsidRPr="009619BA">
        <w:t>010</w:t>
      </w:r>
      <w:r>
        <w:t>} un {LR</w:t>
      </w:r>
      <w:r w:rsidRPr="009619BA">
        <w:t>3</w:t>
      </w:r>
      <w:r>
        <w:t>;</w:t>
      </w:r>
      <w:r w:rsidRPr="009619BA">
        <w:t>085</w:t>
      </w:r>
      <w:r>
        <w:t>;</w:t>
      </w:r>
      <w:r w:rsidRPr="009619BA">
        <w:t>010</w:t>
      </w:r>
      <w:r>
        <w:t>}. Tādējādi ņem vērā, ka {LRCalc;</w:t>
      </w:r>
      <w:r w:rsidRPr="009619BA">
        <w:t>050</w:t>
      </w:r>
      <w:r>
        <w:t>;</w:t>
      </w:r>
      <w:r w:rsidRPr="009619BA">
        <w:t>010</w:t>
      </w:r>
      <w:r>
        <w:t>}, {LRCalc;</w:t>
      </w:r>
      <w:r w:rsidRPr="009619BA">
        <w:t>070</w:t>
      </w:r>
      <w:r>
        <w:t>;</w:t>
      </w:r>
      <w:r w:rsidRPr="009619BA">
        <w:t>010</w:t>
      </w:r>
      <w:r>
        <w:t>}, {LRCalc;</w:t>
      </w:r>
      <w:r w:rsidRPr="009619BA">
        <w:t>080</w:t>
      </w:r>
      <w:r>
        <w:t>;</w:t>
      </w:r>
      <w:r w:rsidRPr="009619BA">
        <w:t>010</w:t>
      </w:r>
      <w:r>
        <w:t>}, {LRCalc;</w:t>
      </w:r>
      <w:r w:rsidRPr="009619BA">
        <w:t>100</w:t>
      </w:r>
      <w:r>
        <w:t>;</w:t>
      </w:r>
      <w:r w:rsidRPr="009619BA">
        <w:t>010</w:t>
      </w:r>
      <w:r>
        <w:t>}, {LRCalc;</w:t>
      </w:r>
      <w:r w:rsidRPr="009619BA">
        <w:t>120</w:t>
      </w:r>
      <w:r>
        <w:t>;</w:t>
      </w:r>
      <w:r w:rsidRPr="009619BA">
        <w:t>010</w:t>
      </w:r>
      <w:r>
        <w:t>}, {LRCalc;</w:t>
      </w:r>
      <w:r w:rsidRPr="009619BA">
        <w:t>140</w:t>
      </w:r>
      <w:r>
        <w:t>;</w:t>
      </w:r>
      <w:r w:rsidRPr="009619BA">
        <w:t>010</w:t>
      </w:r>
      <w:r>
        <w:t>}, {LRCalc;</w:t>
      </w:r>
      <w:r w:rsidRPr="009619BA">
        <w:t>210</w:t>
      </w:r>
      <w:r>
        <w:t>;</w:t>
      </w:r>
      <w:r w:rsidRPr="009619BA">
        <w:t>010</w:t>
      </w:r>
      <w:r>
        <w:t>}, {LRCalc;</w:t>
      </w:r>
      <w:r w:rsidRPr="009619BA">
        <w:t>220</w:t>
      </w:r>
      <w:r>
        <w:t>;</w:t>
      </w:r>
      <w:r w:rsidRPr="009619BA">
        <w:t>010</w:t>
      </w:r>
      <w:r>
        <w:t>}, {LRCalc;</w:t>
      </w:r>
      <w:r w:rsidRPr="009619BA">
        <w:t>240</w:t>
      </w:r>
      <w:r>
        <w:t>;</w:t>
      </w:r>
      <w:r w:rsidRPr="009619BA">
        <w:t>010</w:t>
      </w:r>
      <w:r>
        <w:t>}, {LRCalc;</w:t>
      </w:r>
      <w:r w:rsidRPr="009619BA">
        <w:t>250</w:t>
      </w:r>
      <w:r>
        <w:t>;</w:t>
      </w:r>
      <w:r w:rsidRPr="009619BA">
        <w:t>010</w:t>
      </w:r>
      <w:r>
        <w:t>}, {LRCalc;</w:t>
      </w:r>
      <w:r w:rsidRPr="009619BA">
        <w:t>260</w:t>
      </w:r>
      <w:r>
        <w:t>;</w:t>
      </w:r>
      <w:r w:rsidRPr="009619BA">
        <w:t>010</w:t>
      </w:r>
      <w:r>
        <w:t>}, {LRCalc;</w:t>
      </w:r>
      <w:r w:rsidRPr="009619BA">
        <w:t>270</w:t>
      </w:r>
      <w:r>
        <w:t>;</w:t>
      </w:r>
      <w:r w:rsidRPr="009619BA">
        <w:t>010</w:t>
      </w:r>
      <w:r>
        <w:t>}, {LRCalc;</w:t>
      </w:r>
      <w:r w:rsidRPr="009619BA">
        <w:t>280</w:t>
      </w:r>
      <w:r>
        <w:t>;</w:t>
      </w:r>
      <w:r w:rsidRPr="009619BA">
        <w:t>010</w:t>
      </w:r>
      <w:r>
        <w:t>}, {LR</w:t>
      </w:r>
      <w:r w:rsidRPr="009619BA">
        <w:t>3</w:t>
      </w:r>
      <w:r>
        <w:t>;</w:t>
      </w:r>
      <w:r w:rsidRPr="009619BA">
        <w:t>055</w:t>
      </w:r>
      <w:r>
        <w:t>;</w:t>
      </w:r>
      <w:r w:rsidRPr="009619BA">
        <w:t>010</w:t>
      </w:r>
      <w:r>
        <w:t>}, {LR</w:t>
      </w:r>
      <w:r w:rsidRPr="009619BA">
        <w:t>3</w:t>
      </w:r>
      <w:r>
        <w:t>;</w:t>
      </w:r>
      <w:r w:rsidRPr="009619BA">
        <w:t>065</w:t>
      </w:r>
      <w:r>
        <w:t>;</w:t>
      </w:r>
      <w:r w:rsidRPr="009619BA">
        <w:t>010</w:t>
      </w:r>
      <w:r>
        <w:t>}, {LR</w:t>
      </w:r>
      <w:r w:rsidRPr="009619BA">
        <w:t>3</w:t>
      </w:r>
      <w:r>
        <w:t>;</w:t>
      </w:r>
      <w:r w:rsidRPr="009619BA">
        <w:t>075</w:t>
      </w:r>
      <w:r>
        <w:t>;</w:t>
      </w:r>
      <w:r w:rsidRPr="009619BA">
        <w:t>010</w:t>
      </w:r>
      <w:r>
        <w:t>} un {LR</w:t>
      </w:r>
      <w:r w:rsidRPr="009619BA">
        <w:t>3</w:t>
      </w:r>
      <w:r>
        <w:t>;</w:t>
      </w:r>
      <w:r w:rsidRPr="009619BA">
        <w:t>085</w:t>
      </w:r>
      <w:r>
        <w:t>;</w:t>
      </w:r>
      <w:r w:rsidRPr="009619BA">
        <w:t>010</w:t>
      </w:r>
      <w:r>
        <w:t>} var būt tikai negatīvas vērtības. Ņem vērā arī to, ka, izņemot galējus gadījumus, {LRCalc;</w:t>
      </w:r>
      <w:r w:rsidRPr="009619BA">
        <w:t>310</w:t>
      </w:r>
      <w:r>
        <w:t>;</w:t>
      </w:r>
      <w:r w:rsidRPr="009619BA">
        <w:t>010</w:t>
      </w:r>
      <w:r>
        <w:t>}, {LRCalc;</w:t>
      </w:r>
      <w:r w:rsidRPr="009619BA">
        <w:t>320</w:t>
      </w:r>
      <w:r>
        <w:t>;</w:t>
      </w:r>
      <w:r w:rsidRPr="009619BA">
        <w:t>010</w:t>
      </w:r>
      <w:r>
        <w:t>}, {LRCalc;</w:t>
      </w:r>
      <w:r w:rsidRPr="009619BA">
        <w:t>330</w:t>
      </w:r>
      <w:r>
        <w:t>;</w:t>
      </w:r>
      <w:r w:rsidRPr="009619BA">
        <w:t>010</w:t>
      </w:r>
      <w:r>
        <w:t>}, {LRCalc;</w:t>
      </w:r>
      <w:r w:rsidRPr="009619BA">
        <w:t>340</w:t>
      </w:r>
      <w:r>
        <w:t>;</w:t>
      </w:r>
      <w:r w:rsidRPr="009619BA">
        <w:t>010</w:t>
      </w:r>
      <w:r>
        <w:t>}, {LR</w:t>
      </w:r>
      <w:r w:rsidRPr="009619BA">
        <w:t>3</w:t>
      </w:r>
      <w:r>
        <w:t>;</w:t>
      </w:r>
      <w:r w:rsidRPr="009619BA">
        <w:t>010</w:t>
      </w:r>
      <w:r>
        <w:t>;</w:t>
      </w:r>
      <w:r w:rsidRPr="009619BA">
        <w:t>010</w:t>
      </w:r>
      <w:r>
        <w:t>}, {LR</w:t>
      </w:r>
      <w:r w:rsidRPr="009619BA">
        <w:t>3</w:t>
      </w:r>
      <w:r>
        <w:t>;</w:t>
      </w:r>
      <w:r w:rsidRPr="009619BA">
        <w:t>020</w:t>
      </w:r>
      <w:r>
        <w:t>;</w:t>
      </w:r>
      <w:r w:rsidRPr="009619BA">
        <w:t>010</w:t>
      </w:r>
      <w:r>
        <w:t>}, {LR</w:t>
      </w:r>
      <w:r w:rsidRPr="009619BA">
        <w:t>3</w:t>
      </w:r>
      <w:r>
        <w:t>;</w:t>
      </w:r>
      <w:r w:rsidRPr="009619BA">
        <w:t>030</w:t>
      </w:r>
      <w:r>
        <w:t>;</w:t>
      </w:r>
      <w:r w:rsidRPr="009619BA">
        <w:t>010</w:t>
      </w:r>
      <w:r>
        <w:t>} un {LR</w:t>
      </w:r>
      <w:r w:rsidRPr="009619BA">
        <w:t>3</w:t>
      </w:r>
      <w:r>
        <w:t>;</w:t>
      </w:r>
      <w:r w:rsidRPr="009619BA">
        <w:t>040</w:t>
      </w:r>
      <w:r>
        <w:t>;</w:t>
      </w:r>
      <w:r w:rsidRPr="009619BA">
        <w:t>010</w:t>
      </w:r>
      <w:r>
        <w:t>} var būt tikai pozitīvas vērtības.</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3917522"/>
      <w:r>
        <w:rPr>
          <w:rFonts w:ascii="Times New Roman" w:hAnsi="Times New Roman"/>
          <w:b/>
          <w:sz w:val="24"/>
        </w:rPr>
        <w:lastRenderedPageBreak/>
        <w:t>II DAĻA. NORĀDES SAISTĪBĀ AR VEIDNI</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3917523"/>
      <w:bookmarkStart w:id="40" w:name="_Toc322631544"/>
      <w:bookmarkStart w:id="41" w:name="_Toc322687870"/>
      <w:r w:rsidRPr="009619BA">
        <w:rPr>
          <w:rFonts w:ascii="Times New Roman" w:hAnsi="Times New Roman"/>
          <w:b/>
        </w:rPr>
        <w:t>1</w:t>
      </w:r>
      <w:r>
        <w:rPr>
          <w:rFonts w:ascii="Times New Roman" w:hAnsi="Times New Roman"/>
          <w:b/>
        </w:rPr>
        <w:t>.</w:t>
      </w:r>
      <w:r>
        <w:tab/>
      </w:r>
      <w:r>
        <w:rPr>
          <w:rFonts w:ascii="Times New Roman" w:hAnsi="Times New Roman"/>
          <w:b/>
        </w:rPr>
        <w:t>Struktūra un regularitāte</w:t>
      </w:r>
      <w:bookmarkEnd w:id="37"/>
      <w:bookmarkEnd w:id="38"/>
      <w:bookmarkEnd w:id="39"/>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sidRPr="009619BA">
        <w:rPr>
          <w:rFonts w:ascii="Times New Roman" w:hAnsi="Times New Roman"/>
        </w:rPr>
        <w:t>1</w:t>
      </w:r>
      <w:r>
        <w:rPr>
          <w:rFonts w:ascii="Times New Roman" w:hAnsi="Times New Roman"/>
        </w:rPr>
        <w:t>.</w:t>
      </w:r>
      <w:r>
        <w:tab/>
      </w:r>
      <w:r>
        <w:rPr>
          <w:rFonts w:ascii="Times New Roman" w:hAnsi="Times New Roman"/>
        </w:rPr>
        <w:t xml:space="preserve">Sviras rādītāja veidne ir sadalīta divās daļās. A daļā ir iekļauti visi datu posteņi, kurus izmanto sviras rādītāja aprēķinā, ko iestādes iesniedz kompetentajām iestādēm saskaņā ar KPR </w:t>
      </w:r>
      <w:r w:rsidRPr="009619BA">
        <w:rPr>
          <w:rFonts w:ascii="Times New Roman" w:hAnsi="Times New Roman"/>
        </w:rPr>
        <w:t>430</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pirmo daļu, savukārt B daļā ir visi datu posteņi, kurus iestādes iesniedz saskaņā ar KPR </w:t>
      </w:r>
      <w:r w:rsidRPr="009619BA">
        <w:rPr>
          <w:rFonts w:ascii="Times New Roman" w:hAnsi="Times New Roman"/>
        </w:rPr>
        <w:t>430</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otro daļu (proti, KPR </w:t>
      </w:r>
      <w:r w:rsidRPr="009619BA">
        <w:rPr>
          <w:rFonts w:ascii="Times New Roman" w:hAnsi="Times New Roman"/>
        </w:rPr>
        <w:t>511</w:t>
      </w:r>
      <w:r>
        <w:rPr>
          <w:rFonts w:ascii="Times New Roman" w:hAnsi="Times New Roman"/>
        </w:rPr>
        <w:t>. pantā minētā ziņojuma vajadzībām).</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w:t>
      </w:r>
      <w:r>
        <w:rPr>
          <w:rFonts w:ascii="Times New Roman" w:hAnsi="Times New Roman"/>
        </w:rPr>
        <w:t>.</w:t>
      </w:r>
      <w:r>
        <w:tab/>
      </w:r>
      <w:r>
        <w:rPr>
          <w:rFonts w:ascii="Times New Roman" w:hAnsi="Times New Roman"/>
        </w:rPr>
        <w:t xml:space="preserve">Apkopojot datus par šo ĪTS, iestādes ņem vērā fiduciārajiem aktīviem piemēroto procedūru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13</w:t>
      </w:r>
      <w:r>
        <w:rPr>
          <w:rFonts w:ascii="Times New Roman" w:hAnsi="Times New Roman"/>
        </w:rPr>
        <w:t>. punktu.</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917524"/>
      <w:r w:rsidRPr="009619BA">
        <w:rPr>
          <w:rFonts w:ascii="Times New Roman" w:hAnsi="Times New Roman"/>
          <w:b/>
        </w:rPr>
        <w:t>2</w:t>
      </w:r>
      <w:r>
        <w:rPr>
          <w:rFonts w:ascii="Times New Roman" w:hAnsi="Times New Roman"/>
          <w:b/>
        </w:rPr>
        <w:t>.</w:t>
      </w:r>
      <w:r>
        <w:tab/>
      </w:r>
      <w:r>
        <w:rPr>
          <w:rFonts w:ascii="Times New Roman" w:hAnsi="Times New Roman"/>
          <w:b/>
        </w:rPr>
        <w:t>Sviras rādītāja aprēķināšanas formulas</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3</w:t>
      </w:r>
      <w:r>
        <w:rPr>
          <w:rFonts w:ascii="Times New Roman" w:hAnsi="Times New Roman"/>
        </w:rPr>
        <w:t>.</w:t>
      </w:r>
      <w:r>
        <w:tab/>
      </w:r>
      <w:r>
        <w:rPr>
          <w:rFonts w:ascii="Times New Roman" w:hAnsi="Times New Roman"/>
        </w:rPr>
        <w:t xml:space="preserve">Sviras rādītājs pamatojas uz kapitāla mēru un kopējās riska darījumu vērtības mēru, ko var aprēķināt, izmantojot A daļas šūnas.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4</w:t>
      </w:r>
      <w:r>
        <w:rPr>
          <w:rFonts w:ascii="Times New Roman" w:hAnsi="Times New Roman"/>
        </w:rPr>
        <w:t>.</w:t>
      </w:r>
      <w:r>
        <w:tab/>
      </w:r>
      <w:r>
        <w:rPr>
          <w:rFonts w:ascii="Times New Roman" w:hAnsi="Times New Roman"/>
        </w:rPr>
        <w:t>Sviras rādītājs – pilnībā ieviestā definīcija = {LRCalc;</w:t>
      </w:r>
      <w:r w:rsidRPr="009619BA">
        <w:rPr>
          <w:rFonts w:ascii="Times New Roman" w:hAnsi="Times New Roman"/>
        </w:rPr>
        <w:t>310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290</w:t>
      </w:r>
      <w:r>
        <w:rPr>
          <w:rFonts w:ascii="Times New Roman" w:hAnsi="Times New Roman"/>
        </w:rPr>
        <w:t>;</w:t>
      </w:r>
      <w:r w:rsidRPr="009619BA">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5</w:t>
      </w:r>
      <w:r>
        <w:rPr>
          <w:rFonts w:ascii="Times New Roman" w:hAnsi="Times New Roman"/>
        </w:rPr>
        <w:t>.</w:t>
      </w:r>
      <w:r>
        <w:tab/>
      </w:r>
      <w:r>
        <w:rPr>
          <w:rFonts w:ascii="Times New Roman" w:hAnsi="Times New Roman"/>
        </w:rPr>
        <w:t>Sviras rādītājs – pārejas definīcija ={LRCalc;</w:t>
      </w:r>
      <w:r w:rsidRPr="009619BA">
        <w:rPr>
          <w:rFonts w:ascii="Times New Roman" w:hAnsi="Times New Roman"/>
        </w:rPr>
        <w:t>320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300</w:t>
      </w:r>
      <w:r>
        <w:rPr>
          <w:rFonts w:ascii="Times New Roman" w:hAnsi="Times New Roman"/>
        </w:rPr>
        <w:t>;</w:t>
      </w:r>
      <w:r w:rsidRPr="009619BA">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917525"/>
      <w:r w:rsidRPr="009619BA">
        <w:rPr>
          <w:rFonts w:ascii="Times New Roman" w:hAnsi="Times New Roman"/>
          <w:b/>
        </w:rPr>
        <w:t>3</w:t>
      </w:r>
      <w:r>
        <w:rPr>
          <w:rFonts w:ascii="Times New Roman" w:hAnsi="Times New Roman"/>
          <w:b/>
        </w:rPr>
        <w:t>.</w:t>
      </w:r>
      <w:r>
        <w:tab/>
      </w:r>
      <w:r>
        <w:rPr>
          <w:rFonts w:ascii="Times New Roman" w:hAnsi="Times New Roman"/>
          <w:b/>
        </w:rPr>
        <w:t>Atvasināto instrumentu būtiskuma sliekšņi</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6</w:t>
      </w:r>
      <w:r>
        <w:rPr>
          <w:rFonts w:ascii="Times New Roman" w:hAnsi="Times New Roman"/>
        </w:rPr>
        <w:t>.</w:t>
      </w:r>
      <w:r>
        <w:tab/>
      </w:r>
      <w:r>
        <w:rPr>
          <w:rFonts w:ascii="Times New Roman" w:hAnsi="Times New Roman"/>
        </w:rPr>
        <w:t>Lai samazinātu pārskatu sniegšanas slogu iestādēm, kurām ir maz riska darījumu ar atvasinātajiem instrumentiem, izmanto šādus mērus, lai novērtētu riska darījumu vērtības ar atvasinātajiem instrumentiem relatīvo nozīmi attiecībā pret sviras rādītāja kopējo riska darījumu vērtību. Iestādes šos mērus aprēķina šādi</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sidRPr="009619BA">
        <w:rPr>
          <w:rFonts w:ascii="Times New Roman" w:hAnsi="Times New Roman"/>
        </w:rPr>
        <w:t>7</w:t>
      </w:r>
      <w:r>
        <w:rPr>
          <w:rFonts w:ascii="Times New Roman" w:hAnsi="Times New Roman"/>
        </w:rPr>
        <w:t>.</w:t>
      </w:r>
      <w:r>
        <w:tab/>
      </w:r>
      <w:r>
        <w:rPr>
          <w:rFonts w:ascii="Times New Roman" w:hAnsi="Times New Roman"/>
        </w:rPr>
        <w:t xml:space="preserve">Atvasināto instrumentu īpatsvars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060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070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080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090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100</m:t>
                    </m:r>
                    <m:r>
                      <m:rPr>
                        <m:sty m:val="p"/>
                      </m:rPr>
                      <w:rPr>
                        <w:rFonts w:ascii="Cambria Math" w:hAnsi="Times New Roman"/>
                      </w:rPr>
                      <m:t>;</m:t>
                    </m:r>
                    <m:r>
                      <m:rPr>
                        <m:sty m:val="p"/>
                      </m:rPr>
                      <w:rPr>
                        <w:rFonts w:ascii="Cambria Math" w:hAnsi="Times New Roman"/>
                      </w:rPr>
                      <m:t>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110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120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130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+{LRCalc;</m:t>
                </m:r>
                <m:r>
                  <m:rPr>
                    <m:sty m:val="p"/>
                  </m:rPr>
                  <w:rPr>
                    <w:rFonts w:ascii="Cambria Math" w:hAnsi="Times New Roman"/>
                  </w:rPr>
                  <m:t>140</m:t>
                </m:r>
                <m:r>
                  <m:rPr>
                    <m:sty m:val="p"/>
                  </m:rPr>
                  <w:rPr>
                    <w:rFonts w:ascii="Cambria Math" w:hAnsi="Times New Roman"/>
                  </w:rPr>
                  <m:t>;</m:t>
                </m:r>
                <m:r>
                  <m:rPr>
                    <m:sty m:val="p"/>
                  </m:rPr>
                  <w:rPr>
                    <w:rFonts w:ascii="Cambria Math" w:hAnsi="Times New Roman"/>
                  </w:rPr>
                  <m:t>010</m:t>
                </m:r>
                <m:r>
                  <m:rPr>
                    <m:sty m:val="p"/>
                  </m:rPr>
                  <w:rPr>
                    <w:rFonts w:ascii="Cambria Math" w:hAnsi="Times New Roman"/>
                  </w:rPr>
                  <m:t>}]</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sidRPr="009619BA">
        <w:rPr>
          <w:rFonts w:ascii="Times New Roman" w:hAnsi="Times New Roman"/>
        </w:rPr>
        <w:t>8</w:t>
      </w:r>
      <w:r>
        <w:rPr>
          <w:rFonts w:ascii="Times New Roman" w:hAnsi="Times New Roman"/>
        </w:rPr>
        <w:t>.</w:t>
      </w:r>
      <w:r>
        <w:tab/>
      </w:r>
      <w:r>
        <w:rPr>
          <w:rFonts w:ascii="Times New Roman" w:hAnsi="Times New Roman"/>
        </w:rPr>
        <w:t xml:space="preserve">Kur kopējās riska darījumu vērtības mērs ir vienāds ar: {LRCalc; </w:t>
      </w:r>
      <w:r w:rsidRPr="009619BA">
        <w:rPr>
          <w:rFonts w:ascii="Times New Roman" w:hAnsi="Times New Roman"/>
        </w:rPr>
        <w:t>290</w:t>
      </w:r>
      <w:r>
        <w:rPr>
          <w:rFonts w:ascii="Times New Roman" w:hAnsi="Times New Roman"/>
        </w:rPr>
        <w:t xml:space="preserve">; </w:t>
      </w:r>
      <w:r w:rsidRPr="009619BA">
        <w:rPr>
          <w:rFonts w:ascii="Times New Roman" w:hAnsi="Times New Roman"/>
        </w:rPr>
        <w:t>010</w:t>
      </w:r>
      <w:r>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9</w:t>
      </w:r>
      <w:r>
        <w:rPr>
          <w:rFonts w:ascii="Times New Roman" w:hAnsi="Times New Roman"/>
        </w:rPr>
        <w:t>.</w:t>
      </w:r>
      <w:r>
        <w:tab/>
      </w:r>
      <w:r>
        <w:rPr>
          <w:rFonts w:ascii="Times New Roman" w:hAnsi="Times New Roman"/>
        </w:rPr>
        <w:t>Atvasināto instrumentu kopējā nosacītā vērtība = {LR</w:t>
      </w:r>
      <w:r w:rsidRPr="009619BA">
        <w:rPr>
          <w:rFonts w:ascii="Times New Roman" w:hAnsi="Times New Roman"/>
        </w:rPr>
        <w:t>1</w:t>
      </w:r>
      <w:r>
        <w:rPr>
          <w:rFonts w:ascii="Times New Roman" w:hAnsi="Times New Roman"/>
        </w:rPr>
        <w:t xml:space="preserve">; </w:t>
      </w:r>
      <w:r w:rsidRPr="009619BA">
        <w:rPr>
          <w:rFonts w:ascii="Times New Roman" w:hAnsi="Times New Roman"/>
        </w:rPr>
        <w:t>010</w:t>
      </w:r>
      <w:r>
        <w:rPr>
          <w:rFonts w:ascii="Times New Roman" w:hAnsi="Times New Roman"/>
        </w:rPr>
        <w:t>;</w:t>
      </w:r>
      <w:r w:rsidRPr="009619BA">
        <w:rPr>
          <w:rFonts w:ascii="Times New Roman" w:hAnsi="Times New Roman"/>
        </w:rPr>
        <w:t>070</w:t>
      </w:r>
      <w:r>
        <w:rPr>
          <w:rFonts w:ascii="Times New Roman" w:hAnsi="Times New Roman"/>
        </w:rPr>
        <w:t>}. Tā ir šūna, kuru iestādes vienmēr norāda.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10</w:t>
      </w:r>
      <w:r>
        <w:rPr>
          <w:rFonts w:ascii="Times New Roman" w:hAnsi="Times New Roman"/>
        </w:rPr>
        <w:t>.</w:t>
      </w:r>
      <w:r>
        <w:tab/>
      </w:r>
      <w:r>
        <w:rPr>
          <w:rFonts w:ascii="Times New Roman" w:hAnsi="Times New Roman"/>
        </w:rPr>
        <w:t>Kredītu atvasināto instrumentu apjoms = {LR</w:t>
      </w:r>
      <w:r w:rsidRPr="009619BA">
        <w:rPr>
          <w:rFonts w:ascii="Times New Roman" w:hAnsi="Times New Roman"/>
        </w:rPr>
        <w:t>1</w:t>
      </w: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070</w:t>
      </w:r>
      <w:r>
        <w:rPr>
          <w:rFonts w:ascii="Times New Roman" w:hAnsi="Times New Roman"/>
        </w:rPr>
        <w:t>} +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070</w:t>
      </w:r>
      <w:r>
        <w:rPr>
          <w:rFonts w:ascii="Times New Roman" w:hAnsi="Times New Roman"/>
        </w:rPr>
        <w:t>}. Tās ir šūnas, kuras iestādes vienmēr norāda.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11</w:t>
      </w:r>
      <w:r>
        <w:rPr>
          <w:rFonts w:ascii="Times New Roman" w:hAnsi="Times New Roman"/>
        </w:rPr>
        <w:t>.</w:t>
      </w:r>
      <w:r>
        <w:tab/>
      </w:r>
      <w:r>
        <w:rPr>
          <w:rFonts w:ascii="Times New Roman" w:hAnsi="Times New Roman"/>
        </w:rPr>
        <w:t xml:space="preserve">Iestādēm jāsniedz pārskats par </w:t>
      </w:r>
      <w:r w:rsidRPr="009619BA">
        <w:rPr>
          <w:rFonts w:ascii="Times New Roman" w:hAnsi="Times New Roman"/>
        </w:rPr>
        <w:t>14</w:t>
      </w:r>
      <w:r>
        <w:rPr>
          <w:rFonts w:ascii="Times New Roman" w:hAnsi="Times New Roman"/>
        </w:rPr>
        <w:t>. punktā minētajām šūnām nākamajā pārskata periodā, ja ir izpildīts kāds no šiem nosacījumiem:</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 xml:space="preserve">atvasināto instrumentu īpatsvars, kas minēts </w:t>
      </w:r>
      <w:r w:rsidRPr="009619BA">
        <w:t>7</w:t>
      </w:r>
      <w:r>
        <w:t xml:space="preserve">. punktā, ir vairāk nekā </w:t>
      </w:r>
      <w:r w:rsidRPr="009619BA">
        <w:t>1</w:t>
      </w:r>
      <w:r>
        <w:t>,</w:t>
      </w:r>
      <w:r w:rsidRPr="009619BA">
        <w:t>5</w:t>
      </w:r>
      <w:r>
        <w:t> % divos secīgos pārskata sniegšanas datumos;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atvasināto instrumentu īpatsvars, kas minēts </w:t>
      </w:r>
      <w:r w:rsidRPr="009619BA">
        <w:t>7</w:t>
      </w:r>
      <w:r>
        <w:t xml:space="preserve">. punktā, pārsniedz </w:t>
      </w:r>
      <w:r w:rsidRPr="009619BA">
        <w:t>2</w:t>
      </w:r>
      <w:r>
        <w:t>,</w:t>
      </w:r>
      <w:r w:rsidRPr="009619BA">
        <w:t>0</w:t>
      </w:r>
      <w:r>
        <w:t>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12</w:t>
      </w:r>
      <w:r>
        <w:rPr>
          <w:rFonts w:ascii="Times New Roman" w:hAnsi="Times New Roman"/>
        </w:rPr>
        <w:t>.</w:t>
      </w:r>
      <w:r>
        <w:tab/>
      </w:r>
      <w:r>
        <w:rPr>
          <w:rFonts w:ascii="Times New Roman" w:hAnsi="Times New Roman"/>
        </w:rPr>
        <w:t xml:space="preserve">Iestādes, kuru atvasināto instrumentu kopējā nosacītā vērtība, kas definēta </w:t>
      </w:r>
      <w:r w:rsidRPr="009619BA">
        <w:rPr>
          <w:rFonts w:ascii="Times New Roman" w:hAnsi="Times New Roman"/>
        </w:rPr>
        <w:t>9</w:t>
      </w:r>
      <w:r>
        <w:rPr>
          <w:rFonts w:ascii="Times New Roman" w:hAnsi="Times New Roman"/>
        </w:rPr>
        <w:t xml:space="preserve">. punktā, pārsniedz EUR </w:t>
      </w:r>
      <w:r w:rsidRPr="009619BA">
        <w:rPr>
          <w:rFonts w:ascii="Times New Roman" w:hAnsi="Times New Roman"/>
        </w:rPr>
        <w:t>10</w:t>
      </w:r>
      <w:r>
        <w:rPr>
          <w:rFonts w:ascii="Times New Roman" w:hAnsi="Times New Roman"/>
        </w:rPr>
        <w:t xml:space="preserve"> miljardus, sniedz pārskatu par </w:t>
      </w:r>
      <w:r w:rsidRPr="009619BA">
        <w:rPr>
          <w:rFonts w:ascii="Times New Roman" w:hAnsi="Times New Roman"/>
        </w:rPr>
        <w:t>14</w:t>
      </w:r>
      <w:r>
        <w:rPr>
          <w:rFonts w:ascii="Times New Roman" w:hAnsi="Times New Roman"/>
        </w:rPr>
        <w:t xml:space="preserve">. punktā minētajām šūnām pat tad, ja to atvasināto instrumentu īpatsvars neatbilst </w:t>
      </w:r>
      <w:r w:rsidRPr="009619BA">
        <w:rPr>
          <w:rFonts w:ascii="Times New Roman" w:hAnsi="Times New Roman"/>
        </w:rPr>
        <w:t>11</w:t>
      </w:r>
      <w:r>
        <w:rPr>
          <w:rFonts w:ascii="Times New Roman" w:hAnsi="Times New Roman"/>
        </w:rPr>
        <w:t>. punktā aprakstītajiem nosacījumiem.</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lastRenderedPageBreak/>
        <w:t>13</w:t>
      </w:r>
      <w:r>
        <w:rPr>
          <w:rFonts w:ascii="Times New Roman" w:hAnsi="Times New Roman"/>
        </w:rPr>
        <w:t>.</w:t>
      </w:r>
      <w:r>
        <w:tab/>
      </w:r>
      <w:r>
        <w:rPr>
          <w:rFonts w:ascii="Times New Roman" w:hAnsi="Times New Roman"/>
        </w:rPr>
        <w:t xml:space="preserve">Iestādēm jāsniedz pārskats par </w:t>
      </w:r>
      <w:r w:rsidRPr="009619BA">
        <w:rPr>
          <w:rFonts w:ascii="Times New Roman" w:hAnsi="Times New Roman"/>
        </w:rPr>
        <w:t>15</w:t>
      </w:r>
      <w:r>
        <w:rPr>
          <w:rFonts w:ascii="Times New Roman" w:hAnsi="Times New Roman"/>
        </w:rPr>
        <w:t>. punktā minētajām šūnām, ja ir izpildīts kāds no šiem nosacījumiem:</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 xml:space="preserve">kredītu atvasināto instrumentu apjoms, kas minēts </w:t>
      </w:r>
      <w:r w:rsidRPr="009619BA">
        <w:t>10</w:t>
      </w:r>
      <w:r>
        <w:t xml:space="preserve">. punktā, ir vairāk nekā EUR </w:t>
      </w:r>
      <w:r w:rsidRPr="009619BA">
        <w:t>300</w:t>
      </w:r>
      <w:r>
        <w:t xml:space="preserve"> miljoni divos secīgos pārskata sniegšanas datumos;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kredītu atvasināto instrumentu apjoms, kas minēts </w:t>
      </w:r>
      <w:r w:rsidRPr="009619BA">
        <w:t>10</w:t>
      </w:r>
      <w:r>
        <w:t xml:space="preserve">. punktā, pārsniedz EUR </w:t>
      </w:r>
      <w:r w:rsidRPr="009619BA">
        <w:t>500</w:t>
      </w:r>
      <w:r>
        <w:t xml:space="preserve"> miljonus.</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14</w:t>
      </w:r>
      <w:r>
        <w:rPr>
          <w:rFonts w:ascii="Times New Roman" w:hAnsi="Times New Roman"/>
        </w:rPr>
        <w:t>.</w:t>
      </w:r>
      <w:r>
        <w:tab/>
      </w:r>
      <w:r>
        <w:rPr>
          <w:rFonts w:ascii="Times New Roman" w:hAnsi="Times New Roman"/>
        </w:rPr>
        <w:t xml:space="preserve">Saskaņā ar </w:t>
      </w:r>
      <w:r w:rsidRPr="009619BA">
        <w:rPr>
          <w:rFonts w:ascii="Times New Roman" w:hAnsi="Times New Roman"/>
        </w:rPr>
        <w:t>11</w:t>
      </w:r>
      <w:r>
        <w:rPr>
          <w:rFonts w:ascii="Times New Roman" w:hAnsi="Times New Roman"/>
        </w:rPr>
        <w:t>. punktu iestādēm jānorāda šādas šūnas: {LR</w:t>
      </w:r>
      <w:r w:rsidRPr="009619BA">
        <w:rPr>
          <w:rFonts w:ascii="Times New Roman" w:hAnsi="Times New Roman"/>
        </w:rPr>
        <w:t>1</w:t>
      </w: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020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050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020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050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050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070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050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070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020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050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020</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050</w:t>
      </w:r>
      <w:r>
        <w:rPr>
          <w:rFonts w:ascii="Times New Roman" w:hAnsi="Times New Roman"/>
        </w:rPr>
        <w:t>} un {LR</w:t>
      </w:r>
      <w:r w:rsidRPr="009619BA">
        <w:rPr>
          <w:rFonts w:ascii="Times New Roman" w:hAnsi="Times New Roman"/>
        </w:rPr>
        <w:t>1</w:t>
      </w: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070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15</w:t>
      </w:r>
      <w:r>
        <w:rPr>
          <w:rFonts w:ascii="Times New Roman" w:hAnsi="Times New Roman"/>
        </w:rPr>
        <w:t>.</w:t>
      </w:r>
      <w:r>
        <w:tab/>
      </w:r>
      <w:r>
        <w:rPr>
          <w:rFonts w:ascii="Times New Roman" w:hAnsi="Times New Roman"/>
        </w:rPr>
        <w:t xml:space="preserve">Saskaņā ar </w:t>
      </w:r>
      <w:r w:rsidRPr="009619BA">
        <w:rPr>
          <w:rFonts w:ascii="Times New Roman" w:hAnsi="Times New Roman"/>
        </w:rPr>
        <w:t>13</w:t>
      </w:r>
      <w:r>
        <w:rPr>
          <w:rFonts w:ascii="Times New Roman" w:hAnsi="Times New Roman"/>
        </w:rPr>
        <w:t>. punktu iestādēm jānorāda šādas šūnas: {LR</w:t>
      </w:r>
      <w:r w:rsidRPr="009619BA">
        <w:rPr>
          <w:rFonts w:ascii="Times New Roman" w:hAnsi="Times New Roman"/>
        </w:rPr>
        <w:t>1</w:t>
      </w: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075</w:t>
      </w:r>
      <w:r>
        <w:rPr>
          <w:rFonts w:ascii="Times New Roman" w:hAnsi="Times New Roman"/>
        </w:rPr>
        <w:t>},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075</w:t>
      </w:r>
      <w:r>
        <w:rPr>
          <w:rFonts w:ascii="Times New Roman" w:hAnsi="Times New Roman"/>
        </w:rPr>
        <w:t>} un {LR</w:t>
      </w:r>
      <w:r w:rsidRPr="009619BA">
        <w:rPr>
          <w:rFonts w:ascii="Times New Roman" w:hAnsi="Times New Roman"/>
        </w:rPr>
        <w:t>1</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085</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2" w:name="_Toc351048506"/>
      <w:bookmarkStart w:id="53" w:name="_Toc322687879"/>
      <w:bookmarkStart w:id="54" w:name="_Toc315961853"/>
      <w:bookmarkEnd w:id="51"/>
    </w:p>
    <w:p w:rsidR="00217D1F" w:rsidRPr="00FE002E" w:rsidRDefault="00500508" w:rsidP="00500508">
      <w:pPr>
        <w:pStyle w:val="BodyText1"/>
        <w:ind w:left="357" w:hanging="357"/>
        <w:outlineLvl w:val="1"/>
        <w:rPr>
          <w:rFonts w:ascii="Times New Roman" w:hAnsi="Times New Roman"/>
          <w:b/>
        </w:rPr>
      </w:pPr>
      <w:bookmarkStart w:id="55" w:name="_Toc359414285"/>
      <w:bookmarkStart w:id="56" w:name="_Toc423089070"/>
      <w:bookmarkStart w:id="57" w:name="_Toc523917526"/>
      <w:r w:rsidRPr="009619BA">
        <w:rPr>
          <w:rFonts w:ascii="Times New Roman" w:hAnsi="Times New Roman"/>
          <w:b/>
        </w:rPr>
        <w:t>4</w:t>
      </w:r>
      <w:r>
        <w:rPr>
          <w:rFonts w:ascii="Times New Roman" w:hAnsi="Times New Roman"/>
          <w:b/>
        </w:rPr>
        <w:t>.</w:t>
      </w:r>
      <w:r>
        <w:tab/>
      </w:r>
      <w:r>
        <w:rPr>
          <w:rFonts w:ascii="Times New Roman" w:hAnsi="Times New Roman"/>
          <w:b/>
        </w:rPr>
        <w:t xml:space="preserve">C </w:t>
      </w:r>
      <w:r w:rsidRPr="009619BA">
        <w:rPr>
          <w:rFonts w:ascii="Times New Roman" w:hAnsi="Times New Roman"/>
          <w:b/>
        </w:rPr>
        <w:t>47</w:t>
      </w:r>
      <w:r>
        <w:rPr>
          <w:rFonts w:ascii="Times New Roman" w:hAnsi="Times New Roman"/>
          <w:b/>
        </w:rPr>
        <w:t>.</w:t>
      </w:r>
      <w:r w:rsidRPr="009619BA">
        <w:rPr>
          <w:rFonts w:ascii="Times New Roman" w:hAnsi="Times New Roman"/>
          <w:b/>
        </w:rPr>
        <w:t>00</w:t>
      </w:r>
      <w:r>
        <w:rPr>
          <w:rFonts w:ascii="Times New Roman" w:hAnsi="Times New Roman"/>
          <w:b/>
        </w:rPr>
        <w:t xml:space="preserve"> – Sviras rādītāja aprēķināšana</w:t>
      </w:r>
      <w:bookmarkEnd w:id="52"/>
      <w:bookmarkEnd w:id="55"/>
      <w:r>
        <w:rPr>
          <w:rFonts w:ascii="Times New Roman" w:hAnsi="Times New Roman"/>
          <w:b/>
        </w:rPr>
        <w:t xml:space="preserve"> (LRCalc)</w:t>
      </w:r>
      <w:bookmarkEnd w:id="56"/>
      <w:bookmarkEnd w:id="5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16</w:t>
      </w:r>
      <w:r>
        <w:rPr>
          <w:rFonts w:ascii="Times New Roman" w:hAnsi="Times New Roman"/>
        </w:rPr>
        <w:t>.</w:t>
      </w:r>
      <w:r>
        <w:tab/>
      </w:r>
      <w:r>
        <w:rPr>
          <w:rFonts w:ascii="Times New Roman" w:hAnsi="Times New Roman"/>
        </w:rPr>
        <w:t xml:space="preserve">Šajā pārskatu veidnes daļā tiek vākti dati, kuri nepieciešami sviras rādītāja aprēķināšanai, kā noteikts KPR </w:t>
      </w:r>
      <w:r w:rsidRPr="009619BA">
        <w:rPr>
          <w:rFonts w:ascii="Times New Roman" w:hAnsi="Times New Roman"/>
        </w:rPr>
        <w:t>429</w:t>
      </w:r>
      <w:r>
        <w:rPr>
          <w:rFonts w:ascii="Times New Roman" w:hAnsi="Times New Roman"/>
        </w:rPr>
        <w:t xml:space="preserve">., </w:t>
      </w:r>
      <w:r w:rsidRPr="009619BA">
        <w:rPr>
          <w:rFonts w:ascii="Times New Roman" w:hAnsi="Times New Roman"/>
        </w:rPr>
        <w:t>429</w:t>
      </w:r>
      <w:r>
        <w:rPr>
          <w:rFonts w:ascii="Times New Roman" w:hAnsi="Times New Roman"/>
        </w:rPr>
        <w:t xml:space="preserve">.a un </w:t>
      </w:r>
      <w:r w:rsidRPr="009619BA">
        <w:rPr>
          <w:rFonts w:ascii="Times New Roman" w:hAnsi="Times New Roman"/>
        </w:rPr>
        <w:t>429</w:t>
      </w:r>
      <w:r>
        <w:rPr>
          <w:rFonts w:ascii="Times New Roman" w:hAnsi="Times New Roman"/>
        </w:rPr>
        <w:t xml:space="preserve">.b pantā.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sidRPr="009619BA">
        <w:rPr>
          <w:rFonts w:ascii="Times New Roman" w:hAnsi="Times New Roman"/>
        </w:rPr>
        <w:t>17</w:t>
      </w:r>
      <w:r>
        <w:rPr>
          <w:rFonts w:ascii="Times New Roman" w:hAnsi="Times New Roman"/>
        </w:rPr>
        <w:t>.</w:t>
      </w:r>
      <w:r>
        <w:tab/>
      </w:r>
      <w:r>
        <w:rPr>
          <w:rFonts w:ascii="Times New Roman" w:hAnsi="Times New Roman"/>
        </w:rPr>
        <w:t>Iestādes pārskatu par sviras rādītāju sniedz reizi ceturksnī. Katrā ceturksnī vērtība “pārskata sniegšanas atsauces datumā” ir vērtība attiecīgā ceturkšņa trešā mēneša pēdējā kalendārajā dienā.</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18</w:t>
      </w:r>
      <w:r>
        <w:rPr>
          <w:rFonts w:ascii="Times New Roman" w:hAnsi="Times New Roman"/>
        </w:rPr>
        <w:t>.</w:t>
      </w:r>
      <w:r>
        <w:tab/>
      </w:r>
      <w:r>
        <w:rPr>
          <w:rFonts w:ascii="Times New Roman" w:hAnsi="Times New Roman"/>
        </w:rPr>
        <w:t>Iestādes sniedz pārskatu par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līdz {</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 līdz {</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it kā nepiemērotu izņēmumus, kas minēti {</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sidRPr="009619BA">
        <w:rPr>
          <w:rFonts w:ascii="Times New Roman" w:hAnsi="Times New Roman"/>
        </w:rPr>
        <w:t>19</w:t>
      </w:r>
      <w:r>
        <w:rPr>
          <w:rFonts w:ascii="Times New Roman" w:hAnsi="Times New Roman"/>
        </w:rPr>
        <w:t>.</w:t>
      </w:r>
      <w:r>
        <w:tab/>
      </w:r>
      <w:r>
        <w:rPr>
          <w:rFonts w:ascii="Times New Roman" w:hAnsi="Times New Roman"/>
        </w:rPr>
        <w:t>Iestādes sniedz pārskatu par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līdz {</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 it kā nepiemērotu izņēmumus, kas minēti {</w:t>
      </w:r>
      <w:r w:rsidRPr="009619BA">
        <w:rPr>
          <w:rFonts w:ascii="Times New Roman" w:hAnsi="Times New Roman"/>
        </w:rPr>
        <w:t>250</w:t>
      </w:r>
      <w:r>
        <w:rPr>
          <w:rFonts w:ascii="Times New Roman" w:hAnsi="Times New Roman"/>
        </w:rPr>
        <w:t>;</w:t>
      </w:r>
      <w:r w:rsidRPr="009619BA">
        <w:rPr>
          <w:rFonts w:ascii="Times New Roman" w:hAnsi="Times New Roman"/>
        </w:rPr>
        <w:t>010</w:t>
      </w:r>
      <w:r w:rsidR="009619BA">
        <w:rPr>
          <w:rFonts w:ascii="Times New Roman" w:hAnsi="Times New Roman"/>
        </w:rPr>
        <w:t>} un</w:t>
      </w:r>
      <w:bookmarkStart w:id="58" w:name="_GoBack"/>
      <w:bookmarkEnd w:id="58"/>
      <w:r>
        <w:rPr>
          <w:rFonts w:ascii="Times New Roman" w:hAnsi="Times New Roman"/>
        </w:rPr>
        <w:t xml:space="preserve"> {</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9619BA">
        <w:t>20</w:t>
      </w:r>
      <w:r>
        <w:t>.</w:t>
      </w:r>
      <w:r>
        <w:tab/>
        <w:t>Jebkuru summu, kas palielina pašu kapitālu vai sviras rādītāja riska darījuma vērtību, norāda kā pozitīvu skaitli. Turpretim summu, kas samazina kopējo pašu kapitālu vai sviras rādītāja riska darījuma vērtību, norāda kā negatīvu skaitli. Ja pirms kāda posteņa apzīmējuma ir mīnuszīme (-), paredzēts, ka minēto posteni neuzrāda kā pozitīvu skaitli.</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Atsauces uz tiesību aktiem un norādes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Rinda un sleja</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Riska darījumu vērtības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 xml:space="preserve">VFD: riska darījums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5</w:t>
            </w:r>
            <w:r>
              <w:rPr>
                <w:rFonts w:ascii="Times New Roman" w:hAnsi="Times New Roman"/>
                <w:b/>
              </w:rPr>
              <w:t xml:space="preserve">. un </w:t>
            </w:r>
            <w:r w:rsidRPr="009619BA">
              <w:rPr>
                <w:rFonts w:ascii="Times New Roman" w:hAnsi="Times New Roman"/>
                <w:b/>
              </w:rPr>
              <w:t>8</w:t>
            </w:r>
            <w:r>
              <w:rPr>
                <w:rFonts w:ascii="Times New Roman" w:hAnsi="Times New Roman"/>
                <w:b/>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5</w:t>
            </w:r>
            <w:r>
              <w:rPr>
                <w:rFonts w:ascii="Times New Roman" w:hAnsi="Times New Roman"/>
              </w:rPr>
              <w:t xml:space="preserve">. punkta d) apakšpunkts un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8</w:t>
            </w:r>
            <w:r>
              <w:rPr>
                <w:rFonts w:ascii="Times New Roman" w:hAnsi="Times New Roman"/>
              </w:rPr>
              <w:t>. punkts</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VFD riska darījuma vērtība, kas aprēķināta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5</w:t>
            </w:r>
            <w:r>
              <w:rPr>
                <w:rFonts w:ascii="Times New Roman" w:hAnsi="Times New Roman"/>
              </w:rPr>
              <w:t xml:space="preserve">. punkta d) apakšpunktu un </w:t>
            </w:r>
            <w:r w:rsidRPr="009619BA">
              <w:rPr>
                <w:rFonts w:ascii="Times New Roman" w:hAnsi="Times New Roman"/>
              </w:rPr>
              <w:t>8</w:t>
            </w:r>
            <w:r>
              <w:rPr>
                <w:rFonts w:ascii="Times New Roman" w:hAnsi="Times New Roman"/>
              </w:rPr>
              <w:t xml:space="preserve">. punktu.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ņem vērā darījumus saskaņā ar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c) apakšpunktu.</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minētos posteņus iekļauj {</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Šajā šūnā iestādes neiekļauj starpnieka VFD, ja iestāde nodrošina galvojumu vai garantiju klientam vai darījuma partnerim tikai starpības apmērā starp klienta aizdotā nodrošinājuma vai naudas vērtību un aizņēmēja sniegtā nodrošinājuma vērtību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a) apakšpunktu.</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VFD: palielinājums darījuma partnera kredītriskam</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1</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Palielinājums darījuma partnera kredītriskam saistībā ar VFD, tostarp ārpusbilances, kas attiecīgi noteikts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2</w:t>
            </w:r>
            <w:r>
              <w:rPr>
                <w:rFonts w:ascii="Times New Roman" w:hAnsi="Times New Roman"/>
              </w:rPr>
              <w:t xml:space="preserve">. vai </w:t>
            </w:r>
            <w:r w:rsidRPr="009619BA">
              <w:rPr>
                <w:rFonts w:ascii="Times New Roman" w:hAnsi="Times New Roman"/>
              </w:rPr>
              <w:t>3</w:t>
            </w:r>
            <w:r>
              <w:rPr>
                <w:rFonts w:ascii="Times New Roman" w:hAnsi="Times New Roman"/>
              </w:rPr>
              <w:t>. punktu.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ņem vērā darījumus saskaņā ar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c) apakšpunktu.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neiekļauj starpnieka VFD, ja iestāde nodrošina galvojumu vai garantiju klientam vai darījuma partnerim tikai starpības apmērā starp klienta aizdotā nodrošinājuma vai naudas vērtību un aizņēmēja sniegtā nodrošinājuma vērtību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a) apakšpunktu. Tā vietā iestādes minētos posteņus iekļauj {</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Atkāpe attiecībā uz VFD: palielinājums saskaņā ar KPR </w:t>
            </w:r>
            <w:r w:rsidRPr="009619BA">
              <w:rPr>
                <w:rFonts w:ascii="Times New Roman" w:hAnsi="Times New Roman"/>
                <w:b/>
              </w:rPr>
              <w:t>429</w:t>
            </w:r>
            <w:r>
              <w:rPr>
                <w:rFonts w:ascii="Times New Roman" w:hAnsi="Times New Roman"/>
                <w:b/>
              </w:rPr>
              <w:t xml:space="preserve">.b panta </w:t>
            </w:r>
            <w:r w:rsidRPr="009619BA">
              <w:rPr>
                <w:rFonts w:ascii="Times New Roman" w:hAnsi="Times New Roman"/>
                <w:b/>
              </w:rPr>
              <w:t>4</w:t>
            </w:r>
            <w:r>
              <w:rPr>
                <w:rFonts w:ascii="Times New Roman" w:hAnsi="Times New Roman"/>
                <w:b/>
              </w:rPr>
              <w:t xml:space="preserve">. punktu un </w:t>
            </w:r>
            <w:r w:rsidRPr="009619BA">
              <w:rPr>
                <w:rFonts w:ascii="Times New Roman" w:hAnsi="Times New Roman"/>
                <w:b/>
              </w:rPr>
              <w:t>222</w:t>
            </w:r>
            <w:r>
              <w:rPr>
                <w:rFonts w:ascii="Times New Roman" w:hAnsi="Times New Roman"/>
                <w:b/>
              </w:rPr>
              <w:t>. pantu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4</w:t>
            </w:r>
            <w:r>
              <w:rPr>
                <w:rFonts w:ascii="Times New Roman" w:hAnsi="Times New Roman"/>
              </w:rPr>
              <w:t xml:space="preserve">. punkts un </w:t>
            </w:r>
            <w:r w:rsidRPr="009619BA">
              <w:rPr>
                <w:rFonts w:ascii="Times New Roman" w:hAnsi="Times New Roman"/>
              </w:rPr>
              <w:t>222</w:t>
            </w:r>
            <w:r>
              <w:rPr>
                <w:rFonts w:ascii="Times New Roman" w:hAnsi="Times New Roman"/>
              </w:rPr>
              <w:t>. pants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Riska darījuma vērtība VFD, tostarp ārpusbilances, kas aprēķināta saskaņā ar KPR </w:t>
            </w:r>
            <w:r w:rsidRPr="009619BA">
              <w:rPr>
                <w:rFonts w:ascii="Times New Roman" w:hAnsi="Times New Roman"/>
              </w:rPr>
              <w:t>222</w:t>
            </w:r>
            <w:r>
              <w:rPr>
                <w:rFonts w:ascii="Times New Roman" w:hAnsi="Times New Roman"/>
              </w:rPr>
              <w:t xml:space="preserve">. pantu, piemērojot </w:t>
            </w:r>
            <w:r w:rsidRPr="009619BA">
              <w:rPr>
                <w:rFonts w:ascii="Times New Roman" w:hAnsi="Times New Roman"/>
              </w:rPr>
              <w:t>20</w:t>
            </w:r>
            <w:r>
              <w:rPr>
                <w:rFonts w:ascii="Times New Roman" w:hAnsi="Times New Roman"/>
              </w:rPr>
              <w:t xml:space="preserve"> % minimumu piemērojamajai riska pakāpei.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ņem vērā darījumus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c) apakšpunktu.</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neņem vērā darījumus, kuriem palielinājuma daļa sviras rādītāja riska darījuma vērtībā ir noteikta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1</w:t>
            </w:r>
            <w:r>
              <w:rPr>
                <w:rFonts w:ascii="Times New Roman" w:hAnsi="Times New Roman"/>
              </w:rPr>
              <w:t>. punktā definēto metodi.</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 xml:space="preserve">Starpnieka VFD darījuma partnera kredītrisks saskaņā ar KPR </w:t>
            </w:r>
            <w:r w:rsidRPr="009619BA">
              <w:rPr>
                <w:rFonts w:ascii="Times New Roman" w:hAnsi="Times New Roman"/>
                <w:b/>
              </w:rPr>
              <w:t>429</w:t>
            </w:r>
            <w:r>
              <w:rPr>
                <w:rFonts w:ascii="Times New Roman" w:hAnsi="Times New Roman"/>
                <w:b/>
              </w:rPr>
              <w:t xml:space="preserve">.b panta </w:t>
            </w:r>
            <w:r w:rsidRPr="009619BA">
              <w:rPr>
                <w:rFonts w:ascii="Times New Roman" w:hAnsi="Times New Roman"/>
                <w:b/>
              </w:rPr>
              <w:t>6</w:t>
            </w:r>
            <w:r>
              <w:rPr>
                <w:rFonts w:ascii="Times New Roman" w:hAnsi="Times New Roman"/>
                <w:b/>
              </w:rPr>
              <w:t>. punktu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xml:space="preserve">. punkta a) apakšpunkts, </w:t>
            </w:r>
            <w:r w:rsidRPr="009619BA">
              <w:rPr>
                <w:rFonts w:ascii="Times New Roman" w:hAnsi="Times New Roman"/>
              </w:rPr>
              <w:t>2</w:t>
            </w:r>
            <w:r>
              <w:rPr>
                <w:rFonts w:ascii="Times New Roman" w:hAnsi="Times New Roman"/>
              </w:rPr>
              <w:t xml:space="preserve">. punkts un </w:t>
            </w:r>
            <w:r w:rsidRPr="009619BA">
              <w:rPr>
                <w:rFonts w:ascii="Times New Roman" w:hAnsi="Times New Roman"/>
              </w:rPr>
              <w:t>3</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Riska darījuma vērtību starpnieka VFD, ja iestāde nodrošina galvojumu vai garantiju klientam vai darījuma partnerim tikai starpības apmērā starp klienta aizdotā nodrošinājuma vai naudas vērtību un aizņēmēja sniegtā nodrošinājuma vērtību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xml:space="preserve">. punkta a) apakšpunktu, veido vienīgi palielinājums, kas noteikts attiecīgi saskaņā ar 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2</w:t>
            </w:r>
            <w:r>
              <w:rPr>
                <w:rFonts w:ascii="Times New Roman" w:hAnsi="Times New Roman"/>
              </w:rPr>
              <w:t xml:space="preserve">. vai </w:t>
            </w:r>
            <w:r w:rsidRPr="009619BA">
              <w:rPr>
                <w:rFonts w:ascii="Times New Roman" w:hAnsi="Times New Roman"/>
              </w:rPr>
              <w:t>3</w:t>
            </w:r>
            <w:r>
              <w:rPr>
                <w:rFonts w:ascii="Times New Roman" w:hAnsi="Times New Roman"/>
              </w:rPr>
              <w:t>. punktu.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iestādes neiekļauj darījumus saskaņā ar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6</w:t>
            </w:r>
            <w:r>
              <w:rPr>
                <w:rFonts w:ascii="Times New Roman" w:hAnsi="Times New Roman"/>
              </w:rPr>
              <w:t>. punkta c) apakšpunktu. Tā vietā iestādes minētos posteņus attiecīgā gadījumā iekļauj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vai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un{</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VFD riska darījumos, kam veikta klientu tīrvērte, neietvertā CCP daļa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xml:space="preserve">. punkts un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VFD tirdzniecības riska darījumos, kam veikta klientu tīrvērte, neietvertā CCP daļa, ar nosacījumu, ka minētie posteņi atbilst nosacījumiem, kas paredzēti KPR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apakšpunktā.</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 xml:space="preserve">Ja neietvertā CCP daļa ir nodrošinājums, to nenorāda šajā šūnā, ja vien tas nav pārķīlāts nodrošinājums, kas saskaņā ar piemērojamo grāmatvedības regulējumu (t. i., saskaņā ar </w:t>
            </w:r>
            <w:r>
              <w:rPr>
                <w:rFonts w:ascii="Times New Roman" w:hAnsi="Times New Roman"/>
              </w:rPr>
              <w:lastRenderedPageBreak/>
              <w:t xml:space="preserve">KPR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punkta pirmo teikumu) ir iekļauts pēc pilnas vērtības.</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Iestādes iekļauj šajā šūnā norādīto summu arī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it kā nepiemērotu izņēmumu, un {</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ja ir izpildīts nosacījums iepriekšējā teikuma otrajā pusē.</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Ja ir sākotnējā drošības rezerve, ko iestāde iesniegusi VFD neietvertajai daļai, kas norādīts {</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un nav norādīts {</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vai {</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iestāde to var norādīt šajā šūnā.</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Atvasinātie instrumenti: pašreizējā aizvietošanas vērtība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w:t>
            </w:r>
            <w:r w:rsidRPr="009619BA">
              <w:rPr>
                <w:rFonts w:ascii="Times New Roman" w:hAnsi="Times New Roman"/>
              </w:rPr>
              <w:t>274</w:t>
            </w:r>
            <w:r>
              <w:rPr>
                <w:rFonts w:ascii="Times New Roman" w:hAnsi="Times New Roman"/>
              </w:rPr>
              <w:t xml:space="preserve">., </w:t>
            </w:r>
            <w:r w:rsidRPr="009619BA">
              <w:rPr>
                <w:rFonts w:ascii="Times New Roman" w:hAnsi="Times New Roman"/>
              </w:rPr>
              <w:t>295</w:t>
            </w:r>
            <w:r>
              <w:rPr>
                <w:rFonts w:ascii="Times New Roman" w:hAnsi="Times New Roman"/>
              </w:rPr>
              <w:t xml:space="preserve">., </w:t>
            </w:r>
            <w:r w:rsidRPr="009619BA">
              <w:rPr>
                <w:rFonts w:ascii="Times New Roman" w:hAnsi="Times New Roman"/>
              </w:rPr>
              <w:t>296</w:t>
            </w:r>
            <w:r>
              <w:rPr>
                <w:rFonts w:ascii="Times New Roman" w:hAnsi="Times New Roman"/>
              </w:rPr>
              <w:t xml:space="preserve">., </w:t>
            </w:r>
            <w:r w:rsidRPr="009619BA">
              <w:rPr>
                <w:rFonts w:ascii="Times New Roman" w:hAnsi="Times New Roman"/>
              </w:rPr>
              <w:t>297</w:t>
            </w:r>
            <w:r>
              <w:rPr>
                <w:rFonts w:ascii="Times New Roman" w:hAnsi="Times New Roman"/>
              </w:rPr>
              <w:t xml:space="preserve">. un </w:t>
            </w:r>
            <w:r w:rsidRPr="009619BA">
              <w:rPr>
                <w:rFonts w:ascii="Times New Roman" w:hAnsi="Times New Roman"/>
              </w:rPr>
              <w:t>298</w:t>
            </w:r>
            <w:r>
              <w:rPr>
                <w:rFonts w:ascii="Times New Roman" w:hAnsi="Times New Roman"/>
              </w:rPr>
              <w:t>. pants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Līgumu, kas minēti KPR II pielikumā, un kredītu atvasināto instrumentu, tostarp to, kuri ir ārpusbilances posteņi, pašreizējā aizvietošanas vērtība, kā precizēts KPR </w:t>
            </w:r>
            <w:r w:rsidRPr="009619BA">
              <w:rPr>
                <w:rFonts w:ascii="Times New Roman" w:hAnsi="Times New Roman"/>
              </w:rPr>
              <w:t>274</w:t>
            </w:r>
            <w:r>
              <w:rPr>
                <w:rFonts w:ascii="Times New Roman" w:hAnsi="Times New Roman"/>
              </w:rPr>
              <w:t xml:space="preserve">. panta </w:t>
            </w:r>
            <w:r w:rsidRPr="009619BA">
              <w:rPr>
                <w:rFonts w:ascii="Times New Roman" w:hAnsi="Times New Roman"/>
              </w:rPr>
              <w:t>1</w:t>
            </w:r>
            <w:r>
              <w:rPr>
                <w:rFonts w:ascii="Times New Roman" w:hAnsi="Times New Roman"/>
              </w:rPr>
              <w:t>. punktā, kas norādīta, ieskaitot saņemto mainīgo drošības rezervi.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Kā noteikts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1</w:t>
            </w:r>
            <w:r>
              <w:rPr>
                <w:rFonts w:ascii="Times New Roman" w:hAnsi="Times New Roman"/>
              </w:rPr>
              <w:t xml:space="preserve">. punktā, iestādes var ņemt vērā ietekmi, ko rada pārjaunojuma līgumi un citi savstarpējo prasījumu ieskaita līgumi saskaņā ar KPR </w:t>
            </w:r>
            <w:r w:rsidRPr="009619BA">
              <w:rPr>
                <w:rFonts w:ascii="Times New Roman" w:hAnsi="Times New Roman"/>
              </w:rPr>
              <w:t>295</w:t>
            </w:r>
            <w:r>
              <w:rPr>
                <w:rFonts w:ascii="Times New Roman" w:hAnsi="Times New Roman"/>
              </w:rPr>
              <w:t xml:space="preserve">. pantu. Dažādu produktu savstarpējo prasījumu ieskaitu nepiemēro. Tomēr iestādes var veikt savstarpējo prasījumu ieskaitu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xml:space="preserve">. punkta c) apakšpunktā minēto produktu kategorijas ietvaros un kredītu atvasinātajiem instrumentiem, ja uz tiem attiecas dažādu produktu savstarpējo prasījumu līgumiskā ieskaita līgums, kā minēts KPR </w:t>
            </w:r>
            <w:r w:rsidRPr="009619BA">
              <w:rPr>
                <w:rFonts w:ascii="Times New Roman" w:hAnsi="Times New Roman"/>
              </w:rPr>
              <w:t>295</w:t>
            </w:r>
            <w:r>
              <w:rPr>
                <w:rFonts w:ascii="Times New Roman" w:hAnsi="Times New Roman"/>
              </w:rPr>
              <w:t>. panta c) punktā.</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Šajā šūnā iestādes neiekļauj līgumus, kas novērtēti, piemērojot sākotnējās riska darījuma vērtības metodi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8</w:t>
            </w:r>
            <w:r>
              <w:rPr>
                <w:rFonts w:ascii="Times New Roman" w:hAnsi="Times New Roman"/>
              </w:rPr>
              <w:t xml:space="preserve">. punktu un </w:t>
            </w:r>
            <w:r w:rsidRPr="009619BA">
              <w:rPr>
                <w:rFonts w:ascii="Times New Roman" w:hAnsi="Times New Roman"/>
              </w:rPr>
              <w:t>275</w:t>
            </w:r>
            <w:r>
              <w:rPr>
                <w:rFonts w:ascii="Times New Roman" w:hAnsi="Times New Roman"/>
              </w:rPr>
              <w:t>. pantu.</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Atbilstoša naudas mainīgā drošības rezerve, kas saņemta ieskaitā pret atvasināto instrumentu tirgus vērtību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3</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Mainīgā drošības rezerve, kas saņemta naudā no darījuma partnera un kas atbilst ieskaitam pret atvasināto instrumentu riska darījuma aizvietošanas vērtības daļu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3</w:t>
            </w:r>
            <w:r>
              <w:rPr>
                <w:rFonts w:ascii="Times New Roman" w:hAnsi="Times New Roman"/>
              </w:rPr>
              <w:t>. punktu.</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 xml:space="preserve">Nenorāda visas saņemtās naudas mainīgās drošības rezerves par neietverto CCP daļu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punktu.</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Tirdzniecības riska darījumos, kam veikta klientu tīrvērte, neietvertā CCP daļa (aizvietošanas vērtība)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Aizvietošanas vērtības daļa atbrīvotos tirdzniecības riska darījumos ar QCCP no atvasināto instrumentu darījumiem, kam veikta klientu tīrvērte, ar nosacījumu, ka minētie posteņi atbilst nosacījumiem, kas paredzēti KPR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apakšpunktā. Šo summu norāda, ieskaitot naudas mainīgo drošības rezervi, kas saņemta par šo daļu.</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Iestādes iekļauj šajā šūnā norādīto summu arī {</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it kā nepiemērotu izņēmumu.</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Atvasinātie instrumenti: palielinājums atbilstoši tirgus vērtības metodei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w:t>
            </w:r>
            <w:r w:rsidRPr="009619BA">
              <w:rPr>
                <w:rFonts w:ascii="Times New Roman" w:hAnsi="Times New Roman"/>
              </w:rPr>
              <w:t>274</w:t>
            </w:r>
            <w:r>
              <w:rPr>
                <w:rFonts w:ascii="Times New Roman" w:hAnsi="Times New Roman"/>
              </w:rPr>
              <w:t xml:space="preserve">., </w:t>
            </w:r>
            <w:r w:rsidRPr="009619BA">
              <w:rPr>
                <w:rFonts w:ascii="Times New Roman" w:hAnsi="Times New Roman"/>
              </w:rPr>
              <w:t>295</w:t>
            </w:r>
            <w:r>
              <w:rPr>
                <w:rFonts w:ascii="Times New Roman" w:hAnsi="Times New Roman"/>
              </w:rPr>
              <w:t xml:space="preserve">., </w:t>
            </w:r>
            <w:r w:rsidRPr="009619BA">
              <w:rPr>
                <w:rFonts w:ascii="Times New Roman" w:hAnsi="Times New Roman"/>
              </w:rPr>
              <w:t>296</w:t>
            </w:r>
            <w:r>
              <w:rPr>
                <w:rFonts w:ascii="Times New Roman" w:hAnsi="Times New Roman"/>
              </w:rPr>
              <w:t xml:space="preserve">., </w:t>
            </w:r>
            <w:r w:rsidRPr="009619BA">
              <w:rPr>
                <w:rFonts w:ascii="Times New Roman" w:hAnsi="Times New Roman"/>
              </w:rPr>
              <w:t>297</w:t>
            </w:r>
            <w:r>
              <w:rPr>
                <w:rFonts w:ascii="Times New Roman" w:hAnsi="Times New Roman"/>
              </w:rPr>
              <w:t xml:space="preserve">., </w:t>
            </w:r>
            <w:r w:rsidRPr="009619BA">
              <w:rPr>
                <w:rFonts w:ascii="Times New Roman" w:hAnsi="Times New Roman"/>
              </w:rPr>
              <w:t>298</w:t>
            </w:r>
            <w:r>
              <w:rPr>
                <w:rFonts w:ascii="Times New Roman" w:hAnsi="Times New Roman"/>
              </w:rPr>
              <w:t xml:space="preserve">. un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Šajā šūnā sniedz līgumu, kas minēti KPR II pielikumā, un kredītu atvasināto instrumentu, tostarp to, kuri ir ārpusbilances, potenciālo nākotnes riska darījuma vērtības palielinājumu, kas aprēķināts saskaņā ar tirgus vērtības metodi (KPR </w:t>
            </w:r>
            <w:r w:rsidRPr="009619BA">
              <w:rPr>
                <w:rFonts w:ascii="Times New Roman" w:hAnsi="Times New Roman"/>
              </w:rPr>
              <w:t>274</w:t>
            </w:r>
            <w:r>
              <w:rPr>
                <w:rFonts w:ascii="Times New Roman" w:hAnsi="Times New Roman"/>
              </w:rPr>
              <w:t xml:space="preserve">. pants KPR II pielikumā </w:t>
            </w:r>
            <w:r>
              <w:rPr>
                <w:rFonts w:ascii="Times New Roman" w:hAnsi="Times New Roman"/>
              </w:rPr>
              <w:lastRenderedPageBreak/>
              <w:t xml:space="preserve">norādītajiem līgumiem un KPR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punkts kredītu atvasinātajiem instrumentiem), piemērojot savstarpējo prasījumu ieskaita noteikumus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1</w:t>
            </w:r>
            <w:r>
              <w:rPr>
                <w:rFonts w:ascii="Times New Roman" w:hAnsi="Times New Roman"/>
              </w:rPr>
              <w:t xml:space="preserve">. punktu. Nosakot minēto līgumu riska darījuma vērtību, iestādes var ņemt vērā ietekmi, ko rada pārjaunojuma līgumi un citi savstarpējo prasījumu ieskaita līgumi saskaņā ar KPR </w:t>
            </w:r>
            <w:r w:rsidRPr="009619BA">
              <w:rPr>
                <w:rFonts w:ascii="Times New Roman" w:hAnsi="Times New Roman"/>
              </w:rPr>
              <w:t>295</w:t>
            </w:r>
            <w:r>
              <w:rPr>
                <w:rFonts w:ascii="Times New Roman" w:hAnsi="Times New Roman"/>
              </w:rPr>
              <w:t xml:space="preserve">. pantu. Dažādu produktu savstarpējo prasījumu ieskaitu nepiemēro. Tomēr iestādes var veikt savstarpējo prasījumu ieskaitu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xml:space="preserve">. punkta c) apakšpunktā minēto produktu kategorijas ietvaros un kredītu atvasinātajiem instrumentiem, ja uz tiem attiecas dažādu produktu savstarpējo prasījumu līgumiskā ieskaita līgums, kā minēts KPR </w:t>
            </w:r>
            <w:r w:rsidRPr="009619BA">
              <w:rPr>
                <w:rFonts w:ascii="Times New Roman" w:hAnsi="Times New Roman"/>
              </w:rPr>
              <w:t>295</w:t>
            </w:r>
            <w:r>
              <w:rPr>
                <w:rFonts w:ascii="Times New Roman" w:hAnsi="Times New Roman"/>
              </w:rPr>
              <w:t xml:space="preserve">. panta c) punktā.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1</w:t>
            </w:r>
            <w:r>
              <w:rPr>
                <w:rFonts w:ascii="Times New Roman" w:hAnsi="Times New Roman"/>
              </w:rPr>
              <w:t xml:space="preserve">. punkta otro daļu, nosakot kredītu atvasināto instrumentu potenciālo nākotnes kredītriska darījuma vērtību, iestādes piemēro KPR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a) apakšpunktā minētos principus visiem kredītu atvasinātajiem instrumentiem, ne tikai tiem, kas iekļauti tirdzniecības portfelī.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Šajā šūnā iestādes neiekļauj līgumus, kas novērtēti, piemērojot sākotnējās riska darījuma vērtības metodi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8</w:t>
            </w:r>
            <w:r>
              <w:rPr>
                <w:rFonts w:ascii="Times New Roman" w:hAnsi="Times New Roman"/>
              </w:rPr>
              <w:t xml:space="preserve">. punktu un </w:t>
            </w:r>
            <w:r w:rsidRPr="009619BA">
              <w:rPr>
                <w:rFonts w:ascii="Times New Roman" w:hAnsi="Times New Roman"/>
              </w:rPr>
              <w:t>275</w:t>
            </w:r>
            <w:r>
              <w:rPr>
                <w:rFonts w:ascii="Times New Roman" w:hAnsi="Times New Roman"/>
              </w:rPr>
              <w:t>. pantu.</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Tirdzniecības riska darījumos, kam veikta klientu tīrvērte, neietvertā CCP daļa (potenciālais nākotnes riska darījums)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Potenciālais nākotnes riska darījums atbrīvotos tirdzniecības riska darījumos ar QCCP no atvasināto instrumentu darījumiem, kam veikta klientu tīrvērte, ar nosacījumu, ka minētie posteņi atbilst nosacījumiem, kas paredzēti KPR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apakšpunktā.</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Iestādes iekļauj šajā šūnā norādīto summu arī {</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it kā nepiemērotu izņēmumu.</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Atkāpe attiecībā uz atvasinātajiem instrumentiem: sākotnējās riska darījuma vērtības metode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8</w:t>
            </w:r>
            <w:r>
              <w:rPr>
                <w:rFonts w:ascii="Times New Roman" w:hAnsi="Times New Roman"/>
              </w:rPr>
              <w:t xml:space="preserve">. punkts un </w:t>
            </w:r>
            <w:r w:rsidRPr="009619BA">
              <w:rPr>
                <w:rFonts w:ascii="Times New Roman" w:hAnsi="Times New Roman"/>
              </w:rPr>
              <w:t>275</w:t>
            </w:r>
            <w:r>
              <w:rPr>
                <w:rFonts w:ascii="Times New Roman" w:hAnsi="Times New Roman"/>
              </w:rPr>
              <w:t>. pants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sniedz KPR II pielikuma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xml:space="preserve">. punktā norādīto līgumu riska darījuma vērtības mēru, kas aprēķināts saskaņā ar sākotnējās riska darījuma vērtības metodi, kura izklāstīta KPR </w:t>
            </w:r>
            <w:r w:rsidRPr="009619BA">
              <w:rPr>
                <w:rFonts w:ascii="Times New Roman" w:hAnsi="Times New Roman"/>
              </w:rPr>
              <w:t>275</w:t>
            </w:r>
            <w:r>
              <w:rPr>
                <w:rFonts w:ascii="Times New Roman" w:hAnsi="Times New Roman"/>
              </w:rPr>
              <w:t>. pantā.</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 xml:space="preserve">Iestādes, kuras piemēro sākotnējās riska darījuma vērtības metodi, nesamazina riska darījumu vērtības mēru par naudā saņemto mainīgās drošības rezerves summu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8</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Iestādes, kuras neizmanto sākotnējās riska darījuma vērtības metodi, nesniedz pārskatu par šo šūnu.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Šajā šūnā iestādes neņem vērā līgumus, kas novērtēti, piemērojot tirgus vērtības metodi saskaņā ar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1</w:t>
            </w:r>
            <w:r>
              <w:rPr>
                <w:rFonts w:ascii="Times New Roman" w:hAnsi="Times New Roman"/>
              </w:rPr>
              <w:t xml:space="preserve">. punktu un </w:t>
            </w:r>
            <w:r w:rsidRPr="009619BA">
              <w:rPr>
                <w:rFonts w:ascii="Times New Roman" w:hAnsi="Times New Roman"/>
              </w:rPr>
              <w:t>274</w:t>
            </w:r>
            <w:r>
              <w:rPr>
                <w:rFonts w:ascii="Times New Roman" w:hAnsi="Times New Roman"/>
              </w:rPr>
              <w:t>. pantu.</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Tirdzniecības riska darījumos, kam veikta klientu tīrvērte, neietvertā CCP daļa (sākotnējās riska darījuma vērtības metode)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Tirdzniecības riska darījumos, kam veikta klientu tīrvērte, neietvertā CCP daļa, piemērojot sākotnējās riska darījuma vērtības metodi, kā noteikts KPR </w:t>
            </w:r>
            <w:r w:rsidRPr="009619BA">
              <w:rPr>
                <w:rFonts w:ascii="Times New Roman" w:hAnsi="Times New Roman"/>
              </w:rPr>
              <w:t>275</w:t>
            </w:r>
            <w:r>
              <w:rPr>
                <w:rFonts w:ascii="Times New Roman" w:hAnsi="Times New Roman"/>
              </w:rPr>
              <w:t xml:space="preserve">. pantā, ar nosacījumu, ka minētie posteņi atbilst nosacījumiem, kas paredzēti KPR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apakšpunktā.</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Iestādes iekļauj šajā šūnā norādīto summu arī {</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 it kā nepiemērotu izņēmumu.</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Pārdoto kredītu atvasināto instrumentu nosacītās summas maksimālā vērtība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5</w:t>
            </w:r>
            <w:r>
              <w:rPr>
                <w:rFonts w:ascii="Times New Roman" w:hAnsi="Times New Roman"/>
              </w:rPr>
              <w:t xml:space="preserve">. līdz </w:t>
            </w:r>
            <w:r w:rsidRPr="009619BA">
              <w:rPr>
                <w:rFonts w:ascii="Times New Roman" w:hAnsi="Times New Roman"/>
              </w:rPr>
              <w:t>7</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Pārdoto kredītu atvasināto instrumentu nosacītās summas maksimālā vērtība (t. i., ja iestāde nodrošina kredītaizsardzību darījuma partnerim), kā noteikts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5</w:t>
            </w:r>
            <w:r>
              <w:rPr>
                <w:rFonts w:ascii="Times New Roman" w:hAnsi="Times New Roman"/>
              </w:rPr>
              <w:t xml:space="preserve">. līdz </w:t>
            </w:r>
            <w:r w:rsidRPr="009619BA">
              <w:rPr>
                <w:rFonts w:ascii="Times New Roman" w:hAnsi="Times New Roman"/>
              </w:rPr>
              <w:t>7</w:t>
            </w:r>
            <w:r>
              <w:rPr>
                <w:rFonts w:ascii="Times New Roman" w:hAnsi="Times New Roman"/>
              </w:rPr>
              <w:t>. punktā.</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Atbilstoši nopirktie kredītu atvasinātie instrumenti, kas ieskaitīti pret pārdotajiem kredītu atvasinātajiem instrumentiem</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5</w:t>
            </w:r>
            <w:r>
              <w:rPr>
                <w:rFonts w:ascii="Times New Roman" w:hAnsi="Times New Roman"/>
              </w:rPr>
              <w:t xml:space="preserve">. līdz </w:t>
            </w:r>
            <w:r w:rsidRPr="009619BA">
              <w:rPr>
                <w:rFonts w:ascii="Times New Roman" w:hAnsi="Times New Roman"/>
              </w:rPr>
              <w:t>7</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Nopirkto kredītu atvasināto instrumentu nosacītās summas maksimālā vērtība (t. i., ja iestāde pērk kredītaizsardzību no darījuma partnera) attiecībā uz tādiem pašiem atsauces nosaukumiem kā tie kredītu atvasinātie instrumenti, kurus pārdevusi iestāde, ja nopirktās kredītaizsardzības termiņš ir vienāds vai lielāks par pārdotās aizsardzības atlikušo termiņu. Līdz ar to vērtība nepārsniedz vērtību, kas katram atsauces nosaukumam ierakstīta {</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Ārpusbilances posteņi ar </w:t>
            </w:r>
            <w:r w:rsidRPr="009619BA">
              <w:rPr>
                <w:rFonts w:ascii="Times New Roman" w:hAnsi="Times New Roman"/>
                <w:b/>
              </w:rPr>
              <w:t>10</w:t>
            </w:r>
            <w:r>
              <w:rPr>
                <w:rFonts w:ascii="Times New Roman" w:hAnsi="Times New Roman"/>
                <w:b/>
              </w:rPr>
              <w:t xml:space="preserve"> % kredīta korekcijas pakāpi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10</w:t>
            </w:r>
            <w:r>
              <w:rPr>
                <w:rFonts w:ascii="Times New Roman" w:hAnsi="Times New Roman"/>
                <w:b/>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punkts,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apakšpunkts un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Tādu zema riska ārpusbilances posteņu riska darījuma vērtība saskaņā ar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punktu un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apakšpunktu, kuriem tiktu noteikta </w:t>
            </w:r>
            <w:r w:rsidRPr="009619BA">
              <w:rPr>
                <w:rFonts w:ascii="Times New Roman" w:hAnsi="Times New Roman"/>
              </w:rPr>
              <w:t>0</w:t>
            </w:r>
            <w:r>
              <w:rPr>
                <w:rFonts w:ascii="Times New Roman" w:hAnsi="Times New Roman"/>
              </w:rPr>
              <w:t xml:space="preserve"> % kredīta korekcijas pakāpe, kas minēta KPR I pielikuma </w:t>
            </w:r>
            <w:r w:rsidRPr="009619BA">
              <w:rPr>
                <w:rFonts w:ascii="Times New Roman" w:hAnsi="Times New Roman"/>
              </w:rPr>
              <w:t>4</w:t>
            </w:r>
            <w:r>
              <w:rPr>
                <w:rFonts w:ascii="Times New Roman" w:hAnsi="Times New Roman"/>
              </w:rPr>
              <w:t xml:space="preserve">. punkta a) līdz c) apakšpunktā (atgādinājumam – riska darījuma vērtība šeit ir </w:t>
            </w:r>
            <w:r w:rsidRPr="009619BA">
              <w:rPr>
                <w:rFonts w:ascii="Times New Roman" w:hAnsi="Times New Roman"/>
              </w:rPr>
              <w:t>10</w:t>
            </w:r>
            <w:r>
              <w:rPr>
                <w:rFonts w:ascii="Times New Roman" w:hAnsi="Times New Roman"/>
              </w:rPr>
              <w:t> % no nominālvērtības). Tās ir saistības, kuras iestāde bez nosacījumiem jebkurā laikā bez iepriekšējas paziņošanas var atcelt (UCC) vai kurās faktiski paredzēta automātiska atcelšana, jo pasliktinājusies aizņēmēja kredītspēja.</w:t>
            </w:r>
            <w:r>
              <w:t xml:space="preserve"> </w:t>
            </w:r>
            <w:r>
              <w:rPr>
                <w:rFonts w:ascii="Times New Roman" w:hAnsi="Times New Roman"/>
              </w:rPr>
              <w:t>Atgādinājumam — nominālvērtību nesamazina ar specifiskām kredītriska korekcijām.</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Ja piešķīrums attiecas uz kāda cita piešķīruma pagarinājumu, tad izmanto zemāko no abām atsevišķajiem piešķīrumiem piemērojamajām korekcijas pakāpēm saskaņā ar KPR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Ārpusbilances posteņi ar </w:t>
            </w:r>
            <w:r w:rsidRPr="009619BA">
              <w:rPr>
                <w:rFonts w:ascii="Times New Roman" w:hAnsi="Times New Roman"/>
                <w:b/>
              </w:rPr>
              <w:t>20</w:t>
            </w:r>
            <w:r>
              <w:rPr>
                <w:rFonts w:ascii="Times New Roman" w:hAnsi="Times New Roman"/>
                <w:b/>
              </w:rPr>
              <w:t xml:space="preserve"> % kredīta korekcijas pakāpi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10</w:t>
            </w:r>
            <w:r>
              <w:rPr>
                <w:rFonts w:ascii="Times New Roman" w:hAnsi="Times New Roman"/>
                <w:b/>
              </w:rPr>
              <w:t>. punktu</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punkts,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c) apakšpunkts un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Tādu vidēja/zema riska ārpusbilances posteņu riska darījuma vērtība saskaņā ar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punktu un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c) apakšpunktu, kuriem tiktu noteikta </w:t>
            </w:r>
            <w:r w:rsidRPr="009619BA">
              <w:rPr>
                <w:rFonts w:ascii="Times New Roman" w:hAnsi="Times New Roman"/>
              </w:rPr>
              <w:t>20</w:t>
            </w:r>
            <w:r>
              <w:rPr>
                <w:rFonts w:ascii="Times New Roman" w:hAnsi="Times New Roman"/>
              </w:rPr>
              <w:t xml:space="preserve"> % kredīta korekcijas pakāpe, kas minēta KPR I pielikuma </w:t>
            </w:r>
            <w:r w:rsidRPr="009619BA">
              <w:rPr>
                <w:rFonts w:ascii="Times New Roman" w:hAnsi="Times New Roman"/>
              </w:rPr>
              <w:t>3</w:t>
            </w:r>
            <w:r>
              <w:rPr>
                <w:rFonts w:ascii="Times New Roman" w:hAnsi="Times New Roman"/>
              </w:rPr>
              <w:t xml:space="preserve">. punkta a) un b) apakšpunktā (atgādinājumam — riska darījuma vērtība šeit ir </w:t>
            </w:r>
            <w:r w:rsidRPr="009619BA">
              <w:rPr>
                <w:rFonts w:ascii="Times New Roman" w:hAnsi="Times New Roman"/>
              </w:rPr>
              <w:t>20</w:t>
            </w:r>
            <w:r>
              <w:rPr>
                <w:rFonts w:ascii="Times New Roman" w:hAnsi="Times New Roman"/>
              </w:rPr>
              <w:t xml:space="preserve"> % no nominālvērtības).</w:t>
            </w:r>
            <w:r>
              <w:t xml:space="preserve"> </w:t>
            </w:r>
            <w:r>
              <w:rPr>
                <w:rFonts w:ascii="Times New Roman" w:hAnsi="Times New Roman"/>
              </w:rPr>
              <w:t>Atgādinājumam — nominālvērtību nesamazina ar specifiskām kredītriska korekcijām.</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Ja piešķīrums attiecas uz kāda cita piešķīruma pagarinājumu, tad izmanto zemāko no abām atsevišķajiem piešķīrumiem piemērojamajām korekcijas pakāpēm saskaņā ar KPR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Ārpusbilances posteņi ar </w:t>
            </w:r>
            <w:r w:rsidRPr="009619BA">
              <w:rPr>
                <w:rFonts w:ascii="Times New Roman" w:hAnsi="Times New Roman"/>
                <w:b/>
              </w:rPr>
              <w:t>50</w:t>
            </w:r>
            <w:r>
              <w:rPr>
                <w:rFonts w:ascii="Times New Roman" w:hAnsi="Times New Roman"/>
                <w:b/>
              </w:rPr>
              <w:t xml:space="preserve"> % kredīta korekcijas pakāpi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10</w:t>
            </w:r>
            <w:r>
              <w:rPr>
                <w:rFonts w:ascii="Times New Roman" w:hAnsi="Times New Roman"/>
                <w:b/>
              </w:rPr>
              <w:t>. punktu</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punkts,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b) apakšpunkts un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Tādu vidēja riska ārpusbilances posteņu riska darījuma vērtība saskaņā ar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punktu un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b) apakšpunktu, kuriem tiktu noteikta </w:t>
            </w:r>
            <w:r w:rsidRPr="009619BA">
              <w:rPr>
                <w:rFonts w:ascii="Times New Roman" w:hAnsi="Times New Roman"/>
              </w:rPr>
              <w:t>50</w:t>
            </w:r>
            <w:r>
              <w:rPr>
                <w:rFonts w:ascii="Times New Roman" w:hAnsi="Times New Roman"/>
              </w:rPr>
              <w:t xml:space="preserve"> % kredīta korekcijas pakāpe, kā definēts standartizētajā pieejā kredītriskam, kas minēta KPR I pielikuma </w:t>
            </w:r>
            <w:r w:rsidRPr="009619BA">
              <w:rPr>
                <w:rFonts w:ascii="Times New Roman" w:hAnsi="Times New Roman"/>
              </w:rPr>
              <w:t>2</w:t>
            </w:r>
            <w:r>
              <w:rPr>
                <w:rFonts w:ascii="Times New Roman" w:hAnsi="Times New Roman"/>
              </w:rPr>
              <w:t xml:space="preserve">. punkta a) un b) apakšpunktā (atgādinājumam — riska darījuma vērtība šeit ir </w:t>
            </w:r>
            <w:r w:rsidRPr="009619BA">
              <w:rPr>
                <w:rFonts w:ascii="Times New Roman" w:hAnsi="Times New Roman"/>
              </w:rPr>
              <w:t>50</w:t>
            </w:r>
            <w:r>
              <w:rPr>
                <w:rFonts w:ascii="Times New Roman" w:hAnsi="Times New Roman"/>
              </w:rPr>
              <w:t xml:space="preserve"> % no nominālvērtības). Atgādinājumam — nominālvērtību nesamazina ar specifiskām kredītriska korekcijām.</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iekļauj likviditātes iespējas un citus piešķīrumus attiecībā uz vērtspapīrošanu. Citiem vārdiem sakot, kredīta korekcijas pakāpe visām likviditātes iespējām saskaņā ar KPR </w:t>
            </w:r>
            <w:r w:rsidRPr="009619BA">
              <w:rPr>
                <w:rFonts w:ascii="Times New Roman" w:hAnsi="Times New Roman"/>
              </w:rPr>
              <w:t>255</w:t>
            </w:r>
            <w:r>
              <w:rPr>
                <w:rFonts w:ascii="Times New Roman" w:hAnsi="Times New Roman"/>
              </w:rPr>
              <w:t xml:space="preserve">. pantu ir </w:t>
            </w:r>
            <w:r w:rsidRPr="009619BA">
              <w:rPr>
                <w:rFonts w:ascii="Times New Roman" w:hAnsi="Times New Roman"/>
              </w:rPr>
              <w:t>50</w:t>
            </w:r>
            <w:r>
              <w:rPr>
                <w:rFonts w:ascii="Times New Roman" w:hAnsi="Times New Roman"/>
              </w:rPr>
              <w:t xml:space="preserve"> % neatkarīgi no termiņa.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 xml:space="preserve">Ja piešķīrums attiecas uz kāda cita piešķīruma pagarinājumu, tad izmanto zemāko no abām atsevišķajiem piešķīrumiem piemērojamajām korekcijas pakāpēm saskaņā ar KPR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punktu.</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Ārpusbilances posteņi ar </w:t>
            </w:r>
            <w:r w:rsidRPr="009619BA">
              <w:rPr>
                <w:rFonts w:ascii="Times New Roman" w:hAnsi="Times New Roman"/>
                <w:b/>
              </w:rPr>
              <w:t>100</w:t>
            </w:r>
            <w:r>
              <w:rPr>
                <w:rFonts w:ascii="Times New Roman" w:hAnsi="Times New Roman"/>
                <w:b/>
              </w:rPr>
              <w:t xml:space="preserve"> % kredīta korekcijas pakāpi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10</w:t>
            </w:r>
            <w:r>
              <w:rPr>
                <w:rFonts w:ascii="Times New Roman" w:hAnsi="Times New Roman"/>
                <w:b/>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punkts,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apakšpunkts un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Tādu augsta riska ārpusbilances posteņu riska darījuma vērtība saskaņā ar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xml:space="preserve">. punktu un </w:t>
            </w:r>
            <w:r w:rsidRPr="009619BA">
              <w:rPr>
                <w:rFonts w:ascii="Times New Roman" w:hAnsi="Times New Roman"/>
              </w:rPr>
              <w:t>111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kuriem tiktu noteikta </w:t>
            </w:r>
            <w:r w:rsidRPr="009619BA">
              <w:rPr>
                <w:rFonts w:ascii="Times New Roman" w:hAnsi="Times New Roman"/>
              </w:rPr>
              <w:t>100</w:t>
            </w:r>
            <w:r>
              <w:rPr>
                <w:rFonts w:ascii="Times New Roman" w:hAnsi="Times New Roman"/>
              </w:rPr>
              <w:t xml:space="preserve"> % kredīta korekcijas pakāpe, kas minēta KPR I pielikuma </w:t>
            </w:r>
            <w:r w:rsidRPr="009619BA">
              <w:rPr>
                <w:rFonts w:ascii="Times New Roman" w:hAnsi="Times New Roman"/>
              </w:rPr>
              <w:t>1</w:t>
            </w:r>
            <w:r>
              <w:rPr>
                <w:rFonts w:ascii="Times New Roman" w:hAnsi="Times New Roman"/>
              </w:rPr>
              <w:t xml:space="preserve">. punkta a) līdz k) apakšpunktā (atgādinājumam – riska darījuma vērtība šeit ir </w:t>
            </w:r>
            <w:r w:rsidRPr="009619BA">
              <w:rPr>
                <w:rFonts w:ascii="Times New Roman" w:hAnsi="Times New Roman"/>
              </w:rPr>
              <w:t>100</w:t>
            </w:r>
            <w:r>
              <w:rPr>
                <w:rFonts w:ascii="Times New Roman" w:hAnsi="Times New Roman"/>
              </w:rPr>
              <w:t xml:space="preserve"> % no nominālvērtības). Atgādinājumam — nominālvērtību nesamazina ar specifiskām kredītriska korekcijām.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Šajā šūnā iekļauj likviditātes iespējas un citus piešķīrumus attiecībā uz vērtspapīrošanu.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Ja piešķīrums attiecas uz kāda cita piešķīruma pagarinājumu, tad izmanto zemāko no abām atsevišķajiem piešķīrumiem piemērojamajām korekcijas pakāpēm saskaņā ar KPR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9</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Citi aktīvi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5</w:t>
            </w:r>
            <w:r>
              <w:rPr>
                <w:rFonts w:ascii="Times New Roman" w:hAnsi="Times New Roman"/>
              </w:rPr>
              <w:t>. punkts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Visi aktīvi, izņemot līgumus, kas minēti KPR II pielikumā, kredītu atvasinātos instrumentus un VFD (t. i., to citu aktīvu starpā, kuri jānorāda šajā šūnā, ir grāmatvedībā iekļautie debitoru parādi par sniegto naudas mainīgo drošības rezervi, ja tie atzīti saskaņā ar operatīvo grāmatvedības regulējumu, likvīdie aktīvi, kā definēts saskaņā ar likviditātes seguma koeficientu, un neizdevušies darījumi, un darījumi, kuros nav nokārtoti norēķini). Iestādes nosaka vērtību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5</w:t>
            </w:r>
            <w:r>
              <w:rPr>
                <w:rFonts w:ascii="Times New Roman" w:hAnsi="Times New Roman"/>
              </w:rPr>
              <w:t xml:space="preserve">. punktā minētajiem principiem. Iestādes nosaka vērtību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5</w:t>
            </w:r>
            <w:r>
              <w:rPr>
                <w:rFonts w:ascii="Times New Roman" w:hAnsi="Times New Roman"/>
              </w:rPr>
              <w:t>. punktā minētajiem principiem.</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Šajā šūnā iestādes iekļauj saņemto naudu vai jebkādu nodrošinājumu, kas sniegts darījuma partnerim, izmantojot VFD, un paturēts bilancē (t. i., nav izpildīti grāmatvedības kritēriji par atzīšanas pārtraukšanu). Turklāt iestādes šeit atzīst posteņus, kas atskaitīti no pirmā līmeņa pamata kapitāla un pirmā līmeņa papildu kapitāla posteņiem (piemēram, </w:t>
            </w:r>
            <w:r>
              <w:rPr>
                <w:rFonts w:ascii="Times New Roman" w:hAnsi="Times New Roman"/>
              </w:rPr>
              <w:lastRenderedPageBreak/>
              <w:t xml:space="preserve">nemateriālie aktīvi, atliktā nodokļa aktīvi utt.).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200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Bruto palielinājums sniegtajam atvasināto instrumentu nodrošinājumam</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2</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Jebkura sniegtā atvasināto instrumentu nodrošinājuma summa, ja minētā nodrošinājuma sniegšana samazina aktīvu summu saskaņā ar piemērojamo grāmatvedības regulējumu, kā noteikts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2</w:t>
            </w:r>
            <w:r>
              <w:rPr>
                <w:rFonts w:ascii="Times New Roman" w:hAnsi="Times New Roman"/>
              </w:rPr>
              <w:t>. punktā.</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Iestādes šajā šūnā neiekļauj sākotnējo drošības rezervi atvasināto instrumentu darījumiem, kam veikta klientu tīrvērte, ar atbilstošu centrālo darījumu partneri (QCCP) vai atbilstošu naudas mainīgo drošības rezervi, kā definēts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3</w:t>
            </w:r>
            <w:r>
              <w:rPr>
                <w:rFonts w:ascii="Times New Roman" w:hAnsi="Times New Roman"/>
              </w:rPr>
              <w:t>. punktā.</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Debitoru parādi par atvasināto instrumentu darījumos iesniegto naudas mainīgo drošības rezervi</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3</w:t>
            </w:r>
            <w:r>
              <w:rPr>
                <w:rFonts w:ascii="Times New Roman" w:hAnsi="Times New Roman"/>
              </w:rPr>
              <w:t>. punkta trešā daļa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Debitoru parādi par mainīgo drošības rezervi, kas naudā izmaksāta atvasināto instrumentu darījumos, ja iestādei saskaņā ar piemērojamo grāmatvedības regulējumu ir jāatzīst šie debitoru parādi par aktīvu, ar nosacījumu, ka ir izpildīti KPR </w:t>
            </w:r>
            <w:r w:rsidRPr="009619BA">
              <w:rPr>
                <w:rFonts w:ascii="Times New Roman" w:hAnsi="Times New Roman"/>
              </w:rPr>
              <w:t>429</w:t>
            </w:r>
            <w:r>
              <w:rPr>
                <w:rFonts w:ascii="Times New Roman" w:hAnsi="Times New Roman"/>
              </w:rPr>
              <w:t xml:space="preserve">.a panta </w:t>
            </w:r>
            <w:r w:rsidRPr="009619BA">
              <w:rPr>
                <w:rFonts w:ascii="Times New Roman" w:hAnsi="Times New Roman"/>
              </w:rPr>
              <w:t>3</w:t>
            </w:r>
            <w:r>
              <w:rPr>
                <w:rFonts w:ascii="Times New Roman" w:hAnsi="Times New Roman"/>
              </w:rPr>
              <w:t>. punkta a) līdz e) apakšpunktā minētie nosacījumi.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Norādīto summu iekļauj arī citos aktīvos, kuri norādīti {</w:t>
            </w:r>
            <w:r w:rsidRPr="009619BA">
              <w:rPr>
                <w:rFonts w:ascii="Times New Roman" w:hAnsi="Times New Roman"/>
              </w:rPr>
              <w:t>190</w:t>
            </w:r>
            <w:r>
              <w:rPr>
                <w:rFonts w:ascii="Times New Roman" w:hAnsi="Times New Roman"/>
              </w:rPr>
              <w:t xml:space="preserve">, </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Tirdzniecības riska darījumos, kam veikta klientu tīrvērte, neietvertā CCP daļa (sākotnējā drošības rezerve)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11</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Sākotnējās drošības rezerves (iesniegtā) daļa neietvertos tirdzniecības riska darījumos ar QCCP no atvasināto instrumentu darījumiem, kam veikta klientu tīrvērte, ar nosacījumu, ka minētie posteņi atbilst nosacījumiem, kas paredzēti KPR </w:t>
            </w:r>
            <w:r w:rsidRPr="009619BA">
              <w:rPr>
                <w:rFonts w:ascii="Times New Roman" w:hAnsi="Times New Roman"/>
              </w:rPr>
              <w:t>306</w:t>
            </w:r>
            <w:r>
              <w:rPr>
                <w:rFonts w:ascii="Times New Roman" w:hAnsi="Times New Roman"/>
              </w:rPr>
              <w:t xml:space="preserve">. panta </w:t>
            </w:r>
            <w:r w:rsidRPr="009619BA">
              <w:rPr>
                <w:rFonts w:ascii="Times New Roman" w:hAnsi="Times New Roman"/>
              </w:rPr>
              <w:t>1</w:t>
            </w:r>
            <w:r>
              <w:rPr>
                <w:rFonts w:ascii="Times New Roman" w:hAnsi="Times New Roman"/>
              </w:rPr>
              <w:t>. punkta c) apakšpunktā.</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Norādīto summu iekļauj arī citos aktīvos, kuri norādīti {</w:t>
            </w:r>
            <w:r w:rsidRPr="009619BA">
              <w:rPr>
                <w:rFonts w:ascii="Times New Roman" w:hAnsi="Times New Roman"/>
              </w:rPr>
              <w:t>190</w:t>
            </w:r>
            <w:r>
              <w:rPr>
                <w:rFonts w:ascii="Times New Roman" w:hAnsi="Times New Roman"/>
              </w:rPr>
              <w:t xml:space="preserve">, </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Korekcija attiecībā uz darījumiem, kuri uzskaitīti kā VFD tirdzniecība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.b panta </w:t>
            </w:r>
            <w:r w:rsidRPr="009619BA">
              <w:rPr>
                <w:rFonts w:ascii="Times New Roman" w:hAnsi="Times New Roman"/>
              </w:rPr>
              <w:t>5</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Tādu aizdoto vērtspapīru vērtība repo darījumā, kam pārtraukta atzīšana sakarā ar darījumu, kas uzskaitīts kā tirdzniecība, saskaņā ar piemērojamo grāmatvedības regulējumu.</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Fiduciārie aktīvi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13</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Tādu fiduciāro aktīvu vērtība, kas atbilst SGS Nr. </w:t>
            </w:r>
            <w:r w:rsidRPr="009619BA">
              <w:rPr>
                <w:rFonts w:ascii="Times New Roman" w:hAnsi="Times New Roman"/>
              </w:rPr>
              <w:t>39</w:t>
            </w:r>
            <w:r>
              <w:rPr>
                <w:rFonts w:ascii="Times New Roman" w:hAnsi="Times New Roman"/>
              </w:rPr>
              <w:t xml:space="preserve"> kritērijam par atzīšanas pārtraukšanu un attiecīgā gadījumā SFPS Nr. </w:t>
            </w:r>
            <w:r w:rsidRPr="009619BA">
              <w:rPr>
                <w:rFonts w:ascii="Times New Roman" w:hAnsi="Times New Roman"/>
              </w:rPr>
              <w:t>10</w:t>
            </w:r>
            <w:r>
              <w:rPr>
                <w:rFonts w:ascii="Times New Roman" w:hAnsi="Times New Roman"/>
              </w:rPr>
              <w:t xml:space="preserve"> kritērijam par konsolidācijas pārtraukšanu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13</w:t>
            </w:r>
            <w:r>
              <w:rPr>
                <w:rFonts w:ascii="Times New Roman" w:hAnsi="Times New Roman"/>
              </w:rPr>
              <w:t>. punktu, pieņemot, ka nav grāmatvedības savstarpējo prasījumu ieskaita vai citas KRM ietekmes (proti, apvērš jebkādu grāmatvedības savstarpējo prasījumu ieskaita vai KRM ietekmi, kas ietekmējusi uzskaites vērtību).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Norādīto summu iekļauj arī citos aktīvos, kuri norādīti {</w:t>
            </w:r>
            <w:r w:rsidRPr="009619BA">
              <w:rPr>
                <w:rFonts w:ascii="Times New Roman" w:hAnsi="Times New Roman"/>
              </w:rPr>
              <w:t>190</w:t>
            </w:r>
            <w:r>
              <w:rPr>
                <w:rFonts w:ascii="Times New Roman" w:hAnsi="Times New Roman"/>
              </w:rPr>
              <w:t xml:space="preserve">, </w:t>
            </w:r>
            <w:r w:rsidRPr="009619BA">
              <w:rPr>
                <w:rFonts w:ascii="Times New Roman" w:hAnsi="Times New Roman"/>
              </w:rPr>
              <w:t>010</w:t>
            </w:r>
            <w:r>
              <w:rPr>
                <w:rFonts w:ascii="Times New Roman" w:hAnsi="Times New Roman"/>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Grupas iekšējie riska darījumi (solo līmenī), kas nav ietverti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7</w:t>
            </w:r>
            <w:r>
              <w:rPr>
                <w:rFonts w:ascii="Times New Roman" w:hAnsi="Times New Roman"/>
                <w:b/>
              </w:rPr>
              <w:t>. punktu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7</w:t>
            </w:r>
            <w:r>
              <w:rPr>
                <w:rFonts w:ascii="Times New Roman" w:hAnsi="Times New Roman"/>
              </w:rPr>
              <w:t xml:space="preserve">. punkts un </w:t>
            </w:r>
            <w:r w:rsidRPr="009619BA">
              <w:rPr>
                <w:rFonts w:ascii="Times New Roman" w:hAnsi="Times New Roman"/>
              </w:rPr>
              <w:t>113</w:t>
            </w:r>
            <w:r>
              <w:rPr>
                <w:rFonts w:ascii="Times New Roman" w:hAnsi="Times New Roman"/>
              </w:rPr>
              <w:t xml:space="preserve">. panta </w:t>
            </w:r>
            <w:r w:rsidRPr="009619BA">
              <w:rPr>
                <w:rFonts w:ascii="Times New Roman" w:hAnsi="Times New Roman"/>
              </w:rPr>
              <w:t>6</w:t>
            </w:r>
            <w:r>
              <w:rPr>
                <w:rFonts w:ascii="Times New Roman" w:hAnsi="Times New Roman"/>
              </w:rPr>
              <w:t>. punkts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Riska darījumi, kuri nav konsolidēti piemērojamajā konsolidācijas līmenī un uz kuriem var attiecināt KPR </w:t>
            </w:r>
            <w:r w:rsidRPr="009619BA">
              <w:rPr>
                <w:rFonts w:ascii="Times New Roman" w:hAnsi="Times New Roman"/>
              </w:rPr>
              <w:t>113</w:t>
            </w:r>
            <w:r>
              <w:rPr>
                <w:rFonts w:ascii="Times New Roman" w:hAnsi="Times New Roman"/>
              </w:rPr>
              <w:t xml:space="preserve">. panta </w:t>
            </w:r>
            <w:r w:rsidRPr="009619BA">
              <w:rPr>
                <w:rFonts w:ascii="Times New Roman" w:hAnsi="Times New Roman"/>
              </w:rPr>
              <w:t>6</w:t>
            </w:r>
            <w:r>
              <w:rPr>
                <w:rFonts w:ascii="Times New Roman" w:hAnsi="Times New Roman"/>
              </w:rPr>
              <w:t xml:space="preserve">. punktā noteikto pieeju, ar nosacījumu, ka ir izpildīti visi nosacījumi, kas izklāstīti KPR </w:t>
            </w:r>
            <w:r w:rsidRPr="009619BA">
              <w:rPr>
                <w:rFonts w:ascii="Times New Roman" w:hAnsi="Times New Roman"/>
              </w:rPr>
              <w:t>113</w:t>
            </w:r>
            <w:r>
              <w:rPr>
                <w:rFonts w:ascii="Times New Roman" w:hAnsi="Times New Roman"/>
              </w:rPr>
              <w:t xml:space="preserve">. panta </w:t>
            </w:r>
            <w:r w:rsidRPr="009619BA">
              <w:rPr>
                <w:rFonts w:ascii="Times New Roman" w:hAnsi="Times New Roman"/>
              </w:rPr>
              <w:t>6</w:t>
            </w:r>
            <w:r>
              <w:rPr>
                <w:rFonts w:ascii="Times New Roman" w:hAnsi="Times New Roman"/>
              </w:rPr>
              <w:t>. punkta a) līdz e) apakšpunktā, un ja kompetentās iestādes ir devušas savu atļauju.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Norādīto summu iekļauj arī iepriekš norādītajās piemērojamajās šūnās, it kā netiktu piemērots izņēmums.</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xml:space="preserve">(-) Riska darījumi, kas nav ietverti saskaņā ar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14</w:t>
            </w:r>
            <w:r>
              <w:rPr>
                <w:rFonts w:ascii="Times New Roman" w:hAnsi="Times New Roman"/>
                <w:b/>
              </w:rPr>
              <w:t>. punktu</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14</w:t>
            </w:r>
            <w:r>
              <w:rPr>
                <w:rFonts w:ascii="Times New Roman" w:hAnsi="Times New Roman"/>
              </w:rPr>
              <w:t>. punkts</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Riska darījumi, kas nav ietverti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14</w:t>
            </w:r>
            <w:r>
              <w:rPr>
                <w:rFonts w:ascii="Times New Roman" w:hAnsi="Times New Roman"/>
              </w:rPr>
              <w:t>. punktu, ja ir ievēroti tajā minētie nosacījumi un ja kompetentās iestādes ir devušas savu atļauju.</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Norādīto summu iekļauj arī iepriekš norādītajās piemērojamajās šūnās, it kā netiktu piemērots izņēmums.</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9619BA">
              <w:rPr>
                <w:rFonts w:ascii="Times New Roman" w:hAnsi="Times New Roman"/>
              </w:rPr>
              <w:t>270</w:t>
            </w:r>
            <w:r>
              <w:rPr>
                <w:rFonts w:ascii="Times New Roman" w:hAnsi="Times New Roman"/>
              </w:rPr>
              <w:t>;</w:t>
            </w:r>
            <w:r w:rsidRPr="009619BA">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xml:space="preserve">(-) Atskaitītā aktīvu summa – </w:t>
            </w:r>
            <w:r w:rsidRPr="009619BA">
              <w:rPr>
                <w:rFonts w:ascii="Times New Roman" w:hAnsi="Times New Roman"/>
                <w:b/>
              </w:rPr>
              <w:t>1</w:t>
            </w:r>
            <w:r>
              <w:rPr>
                <w:rFonts w:ascii="Times New Roman" w:hAnsi="Times New Roman"/>
                <w:b/>
              </w:rPr>
              <w:t>. līmeņa kapitāls – pilnībā ieviestā definīcija</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a) apakšpunkts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apakšpunkts</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Tajā iekļauj visas korekcijas, kas vērstas uz aktīva vērtību un kas ir paredzētas: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xml:space="preserve">. pantā, vai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pantā, vai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56</w:t>
            </w:r>
            <w:r>
              <w:rPr>
                <w:rFonts w:ascii="Times New Roman" w:hAnsi="Times New Roman"/>
              </w:rPr>
              <w:t xml:space="preserve">. līdz </w:t>
            </w:r>
            <w:r w:rsidRPr="009619BA">
              <w:rPr>
                <w:rFonts w:ascii="Times New Roman" w:hAnsi="Times New Roman"/>
              </w:rPr>
              <w:t>60</w:t>
            </w:r>
            <w:r>
              <w:rPr>
                <w:rFonts w:ascii="Times New Roman" w:hAnsi="Times New Roman"/>
              </w:rPr>
              <w:t>. pantā</w:t>
            </w:r>
          </w:p>
          <w:p w:rsidR="006D3F98" w:rsidRDefault="006D3F98" w:rsidP="002573FC">
            <w:pPr>
              <w:pStyle w:val="BodyText1"/>
              <w:spacing w:line="240" w:lineRule="auto"/>
              <w:rPr>
                <w:rFonts w:ascii="Times New Roman" w:hAnsi="Times New Roman"/>
                <w:bCs/>
              </w:rPr>
            </w:pPr>
            <w:r>
              <w:rPr>
                <w:rFonts w:ascii="Times New Roman" w:hAnsi="Times New Roman"/>
              </w:rPr>
              <w:t>attiecīgos gadījumos.</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neņemot vērā KPR Desmitās daļas I sadaļas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xml:space="preserve">. nodaļā minēto atkāpi. Lai izvairītos no dubultas uzskaites, iestādes nenorāda korekcijas, kas jau piemērotas saskaņā ar KPR </w:t>
            </w:r>
            <w:r w:rsidRPr="009619BA">
              <w:rPr>
                <w:rFonts w:ascii="Times New Roman" w:hAnsi="Times New Roman"/>
              </w:rPr>
              <w:t>111</w:t>
            </w:r>
            <w:r>
              <w:rPr>
                <w:rFonts w:ascii="Times New Roman" w:hAnsi="Times New Roman"/>
              </w:rPr>
              <w:t>. pantu, aprēķinot riska darījuma vērtību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to {</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r>
              <w:t xml:space="preserve"> </w:t>
            </w:r>
            <w:r>
              <w:rPr>
                <w:rFonts w:ascii="Times New Roman" w:hAnsi="Times New Roman"/>
              </w:rPr>
              <w:t>un nenorāda korekcijas, ar ko netiek atskaitīta konkrēta aktīva vērtība.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Tā kā šīs summas jau ir atskaitītas no kapitāla mēra, tās samazina sviras rādītāja riska darījuma vērtību un tās norāda kā negatīvu skaitli.</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xml:space="preserve">(-) Atskaitītā aktīvu summa – </w:t>
            </w:r>
            <w:r w:rsidRPr="009619BA">
              <w:rPr>
                <w:rFonts w:ascii="Times New Roman" w:hAnsi="Times New Roman"/>
                <w:b/>
              </w:rPr>
              <w:t>1</w:t>
            </w:r>
            <w:r>
              <w:rPr>
                <w:rFonts w:ascii="Times New Roman" w:hAnsi="Times New Roman"/>
                <w:b/>
              </w:rPr>
              <w:t>. līmeņa kapitāls – pārejas definīcija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a) apakšpunkts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punkta b) apakšpunkts</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Tajā iekļauj visas korekcijas, ar ko koriģē aktīva vērtību un kas ir paredzētas: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xml:space="preserve">. pantā, vai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xml:space="preserve">. pantā, vai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KPR </w:t>
            </w:r>
            <w:r w:rsidRPr="009619BA">
              <w:rPr>
                <w:rFonts w:ascii="Times New Roman" w:hAnsi="Times New Roman"/>
              </w:rPr>
              <w:t>56</w:t>
            </w:r>
            <w:r>
              <w:rPr>
                <w:rFonts w:ascii="Times New Roman" w:hAnsi="Times New Roman"/>
              </w:rPr>
              <w:t xml:space="preserve">. līdz </w:t>
            </w:r>
            <w:r w:rsidRPr="009619BA">
              <w:rPr>
                <w:rFonts w:ascii="Times New Roman" w:hAnsi="Times New Roman"/>
              </w:rPr>
              <w:t>60</w:t>
            </w:r>
            <w:r>
              <w:rPr>
                <w:rFonts w:ascii="Times New Roman" w:hAnsi="Times New Roman"/>
              </w:rPr>
              <w:t>. pantā</w:t>
            </w:r>
          </w:p>
          <w:p w:rsidR="009264ED" w:rsidRDefault="00316050" w:rsidP="002573FC">
            <w:pPr>
              <w:pStyle w:val="BodyText1"/>
              <w:spacing w:line="240" w:lineRule="auto"/>
              <w:rPr>
                <w:rFonts w:ascii="Times New Roman" w:hAnsi="Times New Roman"/>
                <w:bCs/>
              </w:rPr>
            </w:pPr>
            <w:r>
              <w:rPr>
                <w:rFonts w:ascii="Times New Roman" w:hAnsi="Times New Roman"/>
              </w:rPr>
              <w:t>attiecīgos gadījumos.</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papildus tam, ka ņem vērā KPR Desmitās daļas I sadaļas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xml:space="preserve">. nodaļā minētās atkāpes. Lai izvairītos no dubultas uzskaites, iestādes nenorāda korekcijas, kas jau piemērotas saskaņā ar KPR </w:t>
            </w:r>
            <w:r w:rsidRPr="009619BA">
              <w:rPr>
                <w:rFonts w:ascii="Times New Roman" w:hAnsi="Times New Roman"/>
              </w:rPr>
              <w:t>111</w:t>
            </w:r>
            <w:r>
              <w:rPr>
                <w:rFonts w:ascii="Times New Roman" w:hAnsi="Times New Roman"/>
              </w:rPr>
              <w:t xml:space="preserve">. pantu, aprēķinot riska darījuma vērtību </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xml:space="preserve"> līdz </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 un nenorāda korekcijas, ar ko netiek atskaitīta konkrēta aktīva vērtība.</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Tā kā šīs summas jau ir atskaitītas no kapitāla mēra, tās samazina sviras rādītāja riska darījuma vērtību un tās norāda kā negatīvu skaitli.</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290</w:t>
            </w:r>
            <w:r>
              <w:rPr>
                <w:rFonts w:ascii="Times New Roman" w:hAnsi="Times New Roman"/>
              </w:rPr>
              <w:t>;</w:t>
            </w:r>
            <w:r w:rsidRPr="009619BA">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Kopā sviras rādītāja riska darījums, izmantojot pilnībā ieviesto </w:t>
            </w:r>
            <w:r w:rsidRPr="009619BA">
              <w:rPr>
                <w:rFonts w:ascii="Times New Roman" w:hAnsi="Times New Roman"/>
                <w:b/>
              </w:rPr>
              <w:t>1</w:t>
            </w:r>
            <w:r>
              <w:rPr>
                <w:rFonts w:ascii="Times New Roman" w:hAnsi="Times New Roman"/>
                <w:b/>
              </w:rPr>
              <w:t>. līmeņa kapitāla definīciju</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Iestādes norāda šādu summu:</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270</w:t>
            </w:r>
            <w:r>
              <w:rPr>
                <w:rFonts w:ascii="Times New Roman" w:hAnsi="Times New Roman"/>
              </w:rPr>
              <w:t>;</w:t>
            </w:r>
            <w:r w:rsidRPr="009619BA">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9619BA">
              <w:rPr>
                <w:rFonts w:ascii="Times New Roman" w:hAnsi="Times New Roman"/>
              </w:rPr>
              <w:t>300</w:t>
            </w:r>
            <w:r>
              <w:rPr>
                <w:rFonts w:ascii="Times New Roman" w:hAnsi="Times New Roman"/>
              </w:rPr>
              <w:t>;</w:t>
            </w:r>
            <w:r w:rsidRPr="009619BA">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Kopā sviras rādītāja riska darījums, izmantojot </w:t>
            </w:r>
            <w:r w:rsidRPr="009619BA">
              <w:rPr>
                <w:rFonts w:ascii="Times New Roman" w:hAnsi="Times New Roman"/>
                <w:b/>
              </w:rPr>
              <w:t>1</w:t>
            </w:r>
            <w:r>
              <w:rPr>
                <w:rFonts w:ascii="Times New Roman" w:hAnsi="Times New Roman"/>
                <w:b/>
              </w:rPr>
              <w:t>. līmeņa kapitāla pārejas definīciju</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Iestādes norāda šādu summu:</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280</w:t>
            </w:r>
            <w:r>
              <w:rPr>
                <w:rFonts w:ascii="Times New Roman" w:hAnsi="Times New Roman"/>
              </w:rPr>
              <w:t>;</w:t>
            </w:r>
            <w:r w:rsidRPr="009619BA">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Rinda </w:t>
            </w:r>
          </w:p>
          <w:p w:rsidR="009264ED" w:rsidRPr="00FE002E" w:rsidRDefault="009264ED" w:rsidP="00FE0FF1">
            <w:pPr>
              <w:pStyle w:val="BodyText1"/>
              <w:rPr>
                <w:rFonts w:ascii="Times New Roman" w:hAnsi="Times New Roman"/>
                <w:b/>
                <w:bCs/>
              </w:rPr>
            </w:pPr>
            <w:r>
              <w:rPr>
                <w:rFonts w:ascii="Times New Roman" w:hAnsi="Times New Roman"/>
                <w:b/>
              </w:rPr>
              <w:t>un sleja</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Kapitāls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9619BA">
              <w:rPr>
                <w:rFonts w:ascii="Times New Roman" w:hAnsi="Times New Roman"/>
              </w:rPr>
              <w:t>310</w:t>
            </w:r>
            <w:r>
              <w:rPr>
                <w:rFonts w:ascii="Times New Roman" w:hAnsi="Times New Roman"/>
              </w:rPr>
              <w:t>;</w:t>
            </w:r>
            <w:r w:rsidRPr="009619BA">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Pirmā līmeņa kapitāls – pilnībā ieviestā definīcija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Tā ir </w:t>
            </w:r>
            <w:r w:rsidRPr="009619BA">
              <w:rPr>
                <w:rFonts w:ascii="Times New Roman" w:hAnsi="Times New Roman"/>
              </w:rPr>
              <w:t>1</w:t>
            </w:r>
            <w:r>
              <w:rPr>
                <w:rFonts w:ascii="Times New Roman" w:hAnsi="Times New Roman"/>
              </w:rPr>
              <w:t xml:space="preserve">. līmeņa kapitāla summa, kas aprēķināta saskaņā ar KPR </w:t>
            </w:r>
            <w:r w:rsidRPr="009619BA">
              <w:rPr>
                <w:rFonts w:ascii="Times New Roman" w:hAnsi="Times New Roman"/>
              </w:rPr>
              <w:t>25</w:t>
            </w:r>
            <w:r>
              <w:rPr>
                <w:rFonts w:ascii="Times New Roman" w:hAnsi="Times New Roman"/>
              </w:rPr>
              <w:t xml:space="preserve">. pantu, neņemot vērā KPR Desmitās daļas I sadaļas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9619BA">
              <w:rPr>
                <w:rFonts w:ascii="Times New Roman" w:hAnsi="Times New Roman"/>
              </w:rPr>
              <w:t>320</w:t>
            </w:r>
            <w:r>
              <w:rPr>
                <w:rFonts w:ascii="Times New Roman" w:hAnsi="Times New Roman"/>
              </w:rPr>
              <w:t>;</w:t>
            </w:r>
            <w:r w:rsidRPr="009619BA">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Pirmā līmeņa kapitāls – pārejas definīcija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Tā ir </w:t>
            </w:r>
            <w:r w:rsidRPr="009619BA">
              <w:rPr>
                <w:rFonts w:ascii="Times New Roman" w:hAnsi="Times New Roman"/>
              </w:rPr>
              <w:t>1</w:t>
            </w:r>
            <w:r>
              <w:rPr>
                <w:rFonts w:ascii="Times New Roman" w:hAnsi="Times New Roman"/>
              </w:rPr>
              <w:t xml:space="preserve">. līmeņa kapitāla summa, kas aprēķināta saskaņā ar KPR </w:t>
            </w:r>
            <w:r w:rsidRPr="009619BA">
              <w:rPr>
                <w:rFonts w:ascii="Times New Roman" w:hAnsi="Times New Roman"/>
              </w:rPr>
              <w:t>25</w:t>
            </w:r>
            <w:r>
              <w:rPr>
                <w:rFonts w:ascii="Times New Roman" w:hAnsi="Times New Roman"/>
              </w:rPr>
              <w:t xml:space="preserve">. pantu, neņemot vērā KPR Desmitās daļas I sadaļas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Rinda </w:t>
            </w:r>
          </w:p>
          <w:p w:rsidR="009264ED" w:rsidRPr="00FE002E" w:rsidRDefault="009264ED" w:rsidP="00FE0FF1">
            <w:pPr>
              <w:pStyle w:val="BodyText1"/>
              <w:rPr>
                <w:rFonts w:ascii="Times New Roman" w:hAnsi="Times New Roman"/>
                <w:b/>
                <w:bCs/>
              </w:rPr>
            </w:pPr>
            <w:r>
              <w:rPr>
                <w:rFonts w:ascii="Times New Roman" w:hAnsi="Times New Roman"/>
                <w:b/>
              </w:rPr>
              <w:t>un sleja</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Sviras rādītājs</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w:t>
            </w:r>
            <w:r w:rsidRPr="009619BA">
              <w:rPr>
                <w:rFonts w:ascii="Times New Roman" w:hAnsi="Times New Roman"/>
              </w:rPr>
              <w:t>330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Sviras rādītājs, izmantojot pilnībā ieviesto </w:t>
            </w:r>
            <w:r w:rsidRPr="009619BA">
              <w:rPr>
                <w:rFonts w:ascii="Times New Roman" w:hAnsi="Times New Roman"/>
                <w:b/>
              </w:rPr>
              <w:t>1</w:t>
            </w:r>
            <w:r>
              <w:rPr>
                <w:rFonts w:ascii="Times New Roman" w:hAnsi="Times New Roman"/>
                <w:b/>
              </w:rPr>
              <w:t>. līmeņa kapitāla definīciju</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Tas ir sviras rādītājs, kas aprēķināts saskaņā ar šā pielikuma II daļas </w:t>
            </w:r>
            <w:r w:rsidRPr="009619BA">
              <w:rPr>
                <w:rFonts w:ascii="Times New Roman" w:hAnsi="Times New Roman"/>
              </w:rPr>
              <w:t>4</w:t>
            </w:r>
            <w:r>
              <w:rPr>
                <w:rFonts w:ascii="Times New Roman" w:hAnsi="Times New Roman"/>
              </w:rPr>
              <w:t xml:space="preserve">. punktu.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w:t>
            </w:r>
            <w:r w:rsidRPr="009619BA">
              <w:rPr>
                <w:rFonts w:ascii="Times New Roman" w:hAnsi="Times New Roman"/>
              </w:rPr>
              <w:t>340</w:t>
            </w:r>
            <w:r>
              <w:rPr>
                <w:rFonts w:ascii="Times New Roman" w:hAnsi="Times New Roman"/>
              </w:rPr>
              <w:t>;</w:t>
            </w:r>
            <w:r w:rsidRPr="009619BA">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Sviras rādītājs, izmantojot </w:t>
            </w:r>
            <w:r w:rsidRPr="009619BA">
              <w:rPr>
                <w:rFonts w:ascii="Times New Roman" w:hAnsi="Times New Roman"/>
                <w:b/>
              </w:rPr>
              <w:t>1</w:t>
            </w:r>
            <w:r>
              <w:rPr>
                <w:rFonts w:ascii="Times New Roman" w:hAnsi="Times New Roman"/>
                <w:b/>
              </w:rPr>
              <w:t>. līmeņa kapitāla pārejas definīciju</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punkts un </w:t>
            </w:r>
            <w:r w:rsidRPr="009619BA">
              <w:rPr>
                <w:rFonts w:ascii="Times New Roman" w:hAnsi="Times New Roman"/>
              </w:rPr>
              <w:t>499</w:t>
            </w:r>
            <w:r>
              <w:rPr>
                <w:rFonts w:ascii="Times New Roman" w:hAnsi="Times New Roman"/>
              </w:rPr>
              <w:t xml:space="preserve">. panta </w:t>
            </w:r>
            <w:r w:rsidRPr="009619BA">
              <w:rPr>
                <w:rFonts w:ascii="Times New Roman" w:hAnsi="Times New Roman"/>
              </w:rPr>
              <w:t>1</w:t>
            </w:r>
            <w:r>
              <w:rPr>
                <w:rFonts w:ascii="Times New Roman" w:hAnsi="Times New Roman"/>
              </w:rPr>
              <w:t>. punkts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 xml:space="preserve">Tas ir sviras rādītājs, kas aprēķināts saskaņā ar šā pielikuma II daļas </w:t>
            </w:r>
            <w:r w:rsidRPr="009619BA">
              <w:rPr>
                <w:rFonts w:ascii="Times New Roman" w:hAnsi="Times New Roman"/>
              </w:rPr>
              <w:t>5</w:t>
            </w:r>
            <w:r>
              <w:rPr>
                <w:rFonts w:ascii="Times New Roman" w:hAnsi="Times New Roman"/>
              </w:rPr>
              <w:t>. punktu.</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17527"/>
      <w:r w:rsidRPr="009619BA">
        <w:rPr>
          <w:rFonts w:ascii="Times New Roman" w:hAnsi="Times New Roman"/>
          <w:b/>
        </w:rPr>
        <w:t>5</w:t>
      </w:r>
      <w:r>
        <w:rPr>
          <w:rFonts w:ascii="Times New Roman" w:hAnsi="Times New Roman"/>
          <w:b/>
        </w:rPr>
        <w:t>.</w:t>
      </w:r>
      <w:r>
        <w:tab/>
      </w:r>
      <w:r>
        <w:rPr>
          <w:rFonts w:ascii="Times New Roman" w:hAnsi="Times New Roman"/>
          <w:b/>
        </w:rPr>
        <w:t xml:space="preserve">C </w:t>
      </w:r>
      <w:r w:rsidRPr="009619BA">
        <w:rPr>
          <w:rFonts w:ascii="Times New Roman" w:hAnsi="Times New Roman"/>
          <w:b/>
        </w:rPr>
        <w:t>40</w:t>
      </w:r>
      <w:r>
        <w:rPr>
          <w:rFonts w:ascii="Times New Roman" w:hAnsi="Times New Roman"/>
          <w:b/>
        </w:rPr>
        <w:t>.</w:t>
      </w:r>
      <w:r w:rsidRPr="009619BA">
        <w:rPr>
          <w:rFonts w:ascii="Times New Roman" w:hAnsi="Times New Roman"/>
          <w:b/>
        </w:rPr>
        <w:t>00</w:t>
      </w:r>
      <w:r>
        <w:rPr>
          <w:rFonts w:ascii="Times New Roman" w:hAnsi="Times New Roman"/>
          <w:b/>
        </w:rPr>
        <w:t xml:space="preserve"> – Riska darījuma vērtības mēram piemērotā alternatīvā procedūra</w:t>
      </w:r>
      <w:bookmarkEnd w:id="53"/>
      <w:bookmarkEnd w:id="59"/>
      <w:bookmarkEnd w:id="60"/>
      <w:r>
        <w:rPr>
          <w:rFonts w:ascii="Times New Roman" w:hAnsi="Times New Roman"/>
          <w:b/>
        </w:rPr>
        <w:t xml:space="preserve"> (LR</w:t>
      </w:r>
      <w:r w:rsidRPr="009619BA">
        <w:rPr>
          <w:rFonts w:ascii="Times New Roman" w:hAnsi="Times New Roman"/>
          <w:b/>
        </w:rPr>
        <w:t>1</w:t>
      </w:r>
      <w:r>
        <w:rPr>
          <w:rFonts w:ascii="Times New Roman" w:hAnsi="Times New Roman"/>
          <w:b/>
        </w:rPr>
        <w:t>)</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21</w:t>
      </w:r>
      <w:r>
        <w:rPr>
          <w:rFonts w:ascii="Times New Roman" w:hAnsi="Times New Roman"/>
        </w:rPr>
        <w:t>.</w:t>
      </w:r>
      <w:r>
        <w:tab/>
      </w:r>
      <w:r>
        <w:rPr>
          <w:rFonts w:ascii="Times New Roman" w:hAnsi="Times New Roman"/>
        </w:rPr>
        <w:t xml:space="preserve">Šajā pārskatu daļā tiek vākti dati par alternatīvu procedūru attiecībā uz atvasinātajiem instrumentiem, VFD un ārpusbilances posteņiem.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sidRPr="009619BA">
        <w:rPr>
          <w:rFonts w:ascii="Times New Roman" w:hAnsi="Times New Roman"/>
        </w:rPr>
        <w:t>22</w:t>
      </w:r>
      <w:r>
        <w:rPr>
          <w:rFonts w:ascii="Times New Roman" w:hAnsi="Times New Roman"/>
        </w:rPr>
        <w:t>.</w:t>
      </w:r>
      <w:r>
        <w:tab/>
      </w:r>
      <w:r>
        <w:rPr>
          <w:rFonts w:ascii="Times New Roman" w:hAnsi="Times New Roman"/>
        </w:rPr>
        <w:t>Iestādes “grāmatvedības bilances vērtības” LR</w:t>
      </w:r>
      <w:r w:rsidRPr="009619BA">
        <w:rPr>
          <w:rFonts w:ascii="Times New Roman" w:hAnsi="Times New Roman"/>
        </w:rPr>
        <w:t>1</w:t>
      </w:r>
      <w:r>
        <w:rPr>
          <w:rFonts w:ascii="Times New Roman" w:hAnsi="Times New Roman"/>
        </w:rPr>
        <w:t xml:space="preserve"> veidnē nosaka, pamatojoties uz piemērojamo grāmatvedības regulējumu saskaņā ar 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xml:space="preserve">) apakšpunktu. “Uzskaites vērtība, pieņemot, ka nav savstarpējo prasījumu ieskaita vai citas KRM” attiecas uz grāmatvedības bilances vērtību, neņemot vērā jebkādu savstarpējo prasījumu ieskaita vai citas kredītriska mazināšanas ietekmi.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23</w:t>
      </w:r>
      <w:r>
        <w:rPr>
          <w:rFonts w:ascii="Times New Roman" w:hAnsi="Times New Roman"/>
        </w:rPr>
        <w:t>.</w:t>
      </w:r>
      <w:r>
        <w:tab/>
      </w:r>
      <w:r>
        <w:rPr>
          <w:rFonts w:ascii="Times New Roman" w:hAnsi="Times New Roman"/>
        </w:rPr>
        <w:t>Izņemot {</w:t>
      </w:r>
      <w:r w:rsidRPr="009619BA">
        <w:rPr>
          <w:rFonts w:ascii="Times New Roman" w:hAnsi="Times New Roman"/>
        </w:rPr>
        <w:t>250</w:t>
      </w:r>
      <w:r>
        <w:rPr>
          <w:rFonts w:ascii="Times New Roman" w:hAnsi="Times New Roman"/>
        </w:rPr>
        <w:t>;</w:t>
      </w:r>
      <w:r w:rsidRPr="009619BA">
        <w:rPr>
          <w:rFonts w:ascii="Times New Roman" w:hAnsi="Times New Roman"/>
        </w:rPr>
        <w:t>120</w:t>
      </w:r>
      <w:r>
        <w:rPr>
          <w:rFonts w:ascii="Times New Roman" w:hAnsi="Times New Roman"/>
        </w:rPr>
        <w:t>} un {</w:t>
      </w:r>
      <w:r w:rsidRPr="009619BA">
        <w:rPr>
          <w:rFonts w:ascii="Times New Roman" w:hAnsi="Times New Roman"/>
        </w:rPr>
        <w:t>260</w:t>
      </w:r>
      <w:r>
        <w:rPr>
          <w:rFonts w:ascii="Times New Roman" w:hAnsi="Times New Roman"/>
        </w:rPr>
        <w:t>;</w:t>
      </w:r>
      <w:r w:rsidRPr="009619BA">
        <w:rPr>
          <w:rFonts w:ascii="Times New Roman" w:hAnsi="Times New Roman"/>
        </w:rPr>
        <w:t>120</w:t>
      </w:r>
      <w:r>
        <w:rPr>
          <w:rFonts w:ascii="Times New Roman" w:hAnsi="Times New Roman"/>
        </w:rPr>
        <w:t>}, iestādes sniedz pārskatu par LR</w:t>
      </w:r>
      <w:r w:rsidRPr="009619BA">
        <w:rPr>
          <w:rFonts w:ascii="Times New Roman" w:hAnsi="Times New Roman"/>
        </w:rPr>
        <w:t>1</w:t>
      </w:r>
      <w:r>
        <w:rPr>
          <w:rFonts w:ascii="Times New Roman" w:hAnsi="Times New Roman"/>
        </w:rPr>
        <w:t>, it kā nepiemērotu izņēmumus, kas minēti LRCalc šūnās {</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un{</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Rinda </w:t>
            </w:r>
          </w:p>
          <w:p w:rsidR="00F4754B" w:rsidRPr="00FE002E" w:rsidRDefault="00F4754B" w:rsidP="00F4754B">
            <w:pPr>
              <w:pStyle w:val="BodyText1"/>
              <w:rPr>
                <w:rFonts w:ascii="Times New Roman" w:hAnsi="Times New Roman"/>
                <w:b/>
              </w:rPr>
            </w:pPr>
            <w:r>
              <w:rPr>
                <w:rFonts w:ascii="Times New Roman" w:hAnsi="Times New Roman"/>
                <w:b/>
              </w:rPr>
              <w:t>un sleja</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Atsauces uz tiesību aktiem un norādes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Atvasinātie instrumenti – grāmatvedības bilances vērtība</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summa.</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 uzskaites vērtība, pieņemot, ka nav savstarpējo prasījumu ieskaita vai citas KRM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020</w:t>
            </w:r>
            <w:r>
              <w:rPr>
                <w:rFonts w:ascii="Times New Roman" w:hAnsi="Times New Roman"/>
              </w:rPr>
              <w:t>;</w:t>
            </w:r>
            <w:r w:rsidRPr="009619BA">
              <w:rPr>
                <w:rFonts w:ascii="Times New Roman" w:hAnsi="Times New Roman"/>
              </w:rPr>
              <w:t>020</w:t>
            </w:r>
            <w:r>
              <w:rPr>
                <w:rFonts w:ascii="Times New Roman" w:hAnsi="Times New Roman"/>
              </w:rPr>
              <w:t>}, {</w:t>
            </w:r>
            <w:r w:rsidRPr="009619BA">
              <w:rPr>
                <w:rFonts w:ascii="Times New Roman" w:hAnsi="Times New Roman"/>
              </w:rPr>
              <w:t>050</w:t>
            </w:r>
            <w:r>
              <w:rPr>
                <w:rFonts w:ascii="Times New Roman" w:hAnsi="Times New Roman"/>
              </w:rPr>
              <w:t>;</w:t>
            </w:r>
            <w:r w:rsidRPr="009619BA">
              <w:rPr>
                <w:rFonts w:ascii="Times New Roman" w:hAnsi="Times New Roman"/>
              </w:rPr>
              <w:t>020</w:t>
            </w:r>
            <w:r>
              <w:rPr>
                <w:rFonts w:ascii="Times New Roman" w:hAnsi="Times New Roman"/>
              </w:rPr>
              <w:t>} un {</w:t>
            </w:r>
            <w:r w:rsidRPr="009619BA">
              <w:rPr>
                <w:rFonts w:ascii="Times New Roman" w:hAnsi="Times New Roman"/>
              </w:rPr>
              <w:t>060</w:t>
            </w:r>
            <w:r>
              <w:rPr>
                <w:rFonts w:ascii="Times New Roman" w:hAnsi="Times New Roman"/>
              </w:rPr>
              <w:t>;</w:t>
            </w:r>
            <w:r w:rsidRPr="009619BA">
              <w:rPr>
                <w:rFonts w:ascii="Times New Roman" w:hAnsi="Times New Roman"/>
              </w:rPr>
              <w:t>020</w:t>
            </w:r>
            <w:r>
              <w:rPr>
                <w:rFonts w:ascii="Times New Roman" w:hAnsi="Times New Roman"/>
              </w:rPr>
              <w:t>} summa.</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050</w:t>
            </w:r>
            <w:r>
              <w:rPr>
                <w:rFonts w:ascii="Times New Roman" w:hAnsi="Times New Roman"/>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 palielinājums atbilstoši tirgus vērtības metodei (pieņemot, ka nav savstarpējo prasījumu ieskaita vai citas KRM)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020</w:t>
            </w:r>
            <w:r>
              <w:rPr>
                <w:rFonts w:ascii="Times New Roman" w:hAnsi="Times New Roman"/>
              </w:rPr>
              <w:t>;</w:t>
            </w:r>
            <w:r w:rsidRPr="009619BA">
              <w:rPr>
                <w:rFonts w:ascii="Times New Roman" w:hAnsi="Times New Roman"/>
              </w:rPr>
              <w:t>050</w:t>
            </w:r>
            <w:r>
              <w:rPr>
                <w:rFonts w:ascii="Times New Roman" w:hAnsi="Times New Roman"/>
              </w:rPr>
              <w:t>}, {</w:t>
            </w:r>
            <w:r w:rsidRPr="009619BA">
              <w:rPr>
                <w:rFonts w:ascii="Times New Roman" w:hAnsi="Times New Roman"/>
              </w:rPr>
              <w:t>050</w:t>
            </w:r>
            <w:r>
              <w:rPr>
                <w:rFonts w:ascii="Times New Roman" w:hAnsi="Times New Roman"/>
              </w:rPr>
              <w:t>;</w:t>
            </w:r>
            <w:r w:rsidRPr="009619BA">
              <w:rPr>
                <w:rFonts w:ascii="Times New Roman" w:hAnsi="Times New Roman"/>
              </w:rPr>
              <w:t>050</w:t>
            </w:r>
            <w:r>
              <w:rPr>
                <w:rFonts w:ascii="Times New Roman" w:hAnsi="Times New Roman"/>
              </w:rPr>
              <w:t>} un {</w:t>
            </w:r>
            <w:r w:rsidRPr="009619BA">
              <w:rPr>
                <w:rFonts w:ascii="Times New Roman" w:hAnsi="Times New Roman"/>
              </w:rPr>
              <w:t>060</w:t>
            </w:r>
            <w:r>
              <w:rPr>
                <w:rFonts w:ascii="Times New Roman" w:hAnsi="Times New Roman"/>
              </w:rPr>
              <w:t>;</w:t>
            </w:r>
            <w:r w:rsidRPr="009619BA">
              <w:rPr>
                <w:rFonts w:ascii="Times New Roman" w:hAnsi="Times New Roman"/>
              </w:rPr>
              <w:t>050</w:t>
            </w:r>
            <w:r>
              <w:rPr>
                <w:rFonts w:ascii="Times New Roman" w:hAnsi="Times New Roman"/>
              </w:rPr>
              <w:t>}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 nosacītā summa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020</w:t>
            </w:r>
            <w:r>
              <w:rPr>
                <w:rFonts w:ascii="Times New Roman" w:hAnsi="Times New Roman"/>
              </w:rPr>
              <w:t>;</w:t>
            </w:r>
            <w:r w:rsidRPr="009619BA">
              <w:rPr>
                <w:rFonts w:ascii="Times New Roman" w:hAnsi="Times New Roman"/>
              </w:rPr>
              <w:t>070</w:t>
            </w:r>
            <w:r>
              <w:rPr>
                <w:rFonts w:ascii="Times New Roman" w:hAnsi="Times New Roman"/>
              </w:rPr>
              <w:t>}, {</w:t>
            </w:r>
            <w:r w:rsidRPr="009619BA">
              <w:rPr>
                <w:rFonts w:ascii="Times New Roman" w:hAnsi="Times New Roman"/>
              </w:rPr>
              <w:t>050</w:t>
            </w:r>
            <w:r>
              <w:rPr>
                <w:rFonts w:ascii="Times New Roman" w:hAnsi="Times New Roman"/>
              </w:rPr>
              <w:t>;</w:t>
            </w:r>
            <w:r w:rsidRPr="009619BA">
              <w:rPr>
                <w:rFonts w:ascii="Times New Roman" w:hAnsi="Times New Roman"/>
              </w:rPr>
              <w:t>070</w:t>
            </w:r>
            <w:r>
              <w:rPr>
                <w:rFonts w:ascii="Times New Roman" w:hAnsi="Times New Roman"/>
              </w:rPr>
              <w:t>} un {</w:t>
            </w:r>
            <w:r w:rsidRPr="009619BA">
              <w:rPr>
                <w:rFonts w:ascii="Times New Roman" w:hAnsi="Times New Roman"/>
              </w:rPr>
              <w:t>060</w:t>
            </w:r>
            <w:r>
              <w:rPr>
                <w:rFonts w:ascii="Times New Roman" w:hAnsi="Times New Roman"/>
              </w:rPr>
              <w:t>;</w:t>
            </w:r>
            <w:r w:rsidRPr="009619BA">
              <w:rPr>
                <w:rFonts w:ascii="Times New Roman" w:hAnsi="Times New Roman"/>
              </w:rPr>
              <w:t>070</w:t>
            </w:r>
            <w:r>
              <w:rPr>
                <w:rFonts w:ascii="Times New Roman" w:hAnsi="Times New Roman"/>
              </w:rPr>
              <w:t>}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Kredītu atvasinātie instrumenti (pārdotā aizsardzība) – grāmatvedības bilances vērtība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Kredītu atvasināto instrumentu grāmatvedības bilances vērtība saskaņā ar piemērojamo grāmatvedības regulējumu, ja iestāde pārdod kredītaizsardzību darījuma partnerim un līgumu atzīst par aktīvu bilancē.</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Kredītu atvasinātie instrumenti (pārdotā aizsardzība) – uzskaites vērtība, pieņemot, ka nav savstarpējo prasījumu ieskaita vai citas KRM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Kredītu atvasināto instrumentu grāmatvedības bilances vērtība saskaņā ar piemērojamo grāmatvedības regulējumu, ja iestāde pārdod kredītaizsardzību darījuma partnerim un līgumu atzīst par aktīvu bilancē, pieņemot, ka nav prudenciāla vai grāmatvedības savstarpējo prasījumu ieskaita vai citas KRM ietekmes (proti, apvērš jebkādu grāmatvedības savstarpējo prasījumu ieskaita vai KRM ietekmi, kas ietekmējusi uzskaites vērtību).</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020</w:t>
            </w:r>
            <w:r>
              <w:rPr>
                <w:rFonts w:ascii="Times New Roman" w:hAnsi="Times New Roman"/>
              </w:rPr>
              <w:t>;</w:t>
            </w:r>
            <w:r w:rsidRPr="009619BA">
              <w:rPr>
                <w:rFonts w:ascii="Times New Roman" w:hAnsi="Times New Roman"/>
              </w:rPr>
              <w:t>050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Kredītu atvasinātie instrumenti (pārdotā aizsardzība) – palielinājums atbilstoši tirgus vērtības metodei (pieņemot, ka nav savstarpējo prasījumu ieskaita vai citas KRM)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030</w:t>
            </w:r>
            <w:r>
              <w:rPr>
                <w:rFonts w:ascii="Times New Roman" w:hAnsi="Times New Roman"/>
              </w:rPr>
              <w:t>;</w:t>
            </w:r>
            <w:r w:rsidRPr="009619BA">
              <w:rPr>
                <w:rFonts w:ascii="Times New Roman" w:hAnsi="Times New Roman"/>
              </w:rPr>
              <w:t>050</w:t>
            </w:r>
            <w:r>
              <w:rPr>
                <w:rFonts w:ascii="Times New Roman" w:hAnsi="Times New Roman"/>
              </w:rPr>
              <w:t>} un {</w:t>
            </w:r>
            <w:r w:rsidRPr="009619BA">
              <w:rPr>
                <w:rFonts w:ascii="Times New Roman" w:hAnsi="Times New Roman"/>
              </w:rPr>
              <w:t>040</w:t>
            </w:r>
            <w:r>
              <w:rPr>
                <w:rFonts w:ascii="Times New Roman" w:hAnsi="Times New Roman"/>
              </w:rPr>
              <w:t>;</w:t>
            </w:r>
            <w:r w:rsidRPr="009619BA">
              <w:rPr>
                <w:rFonts w:ascii="Times New Roman" w:hAnsi="Times New Roman"/>
              </w:rPr>
              <w:t>050</w:t>
            </w:r>
            <w:r>
              <w:rPr>
                <w:rFonts w:ascii="Times New Roman" w:hAnsi="Times New Roman"/>
              </w:rPr>
              <w:t>}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Kredītu atvasinātie instrumenti (pārdotā aizsardzība) – nosacītā summa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030</w:t>
            </w:r>
            <w:r>
              <w:rPr>
                <w:rFonts w:ascii="Times New Roman" w:hAnsi="Times New Roman"/>
              </w:rPr>
              <w:t>;</w:t>
            </w:r>
            <w:r w:rsidRPr="009619BA">
              <w:rPr>
                <w:rFonts w:ascii="Times New Roman" w:hAnsi="Times New Roman"/>
              </w:rPr>
              <w:t>070</w:t>
            </w:r>
            <w:r>
              <w:rPr>
                <w:rFonts w:ascii="Times New Roman" w:hAnsi="Times New Roman"/>
              </w:rPr>
              <w:t>} un {</w:t>
            </w:r>
            <w:r w:rsidRPr="009619BA">
              <w:rPr>
                <w:rFonts w:ascii="Times New Roman" w:hAnsi="Times New Roman"/>
              </w:rPr>
              <w:t>040</w:t>
            </w:r>
            <w:r>
              <w:rPr>
                <w:rFonts w:ascii="Times New Roman" w:hAnsi="Times New Roman"/>
              </w:rPr>
              <w:t>;</w:t>
            </w:r>
            <w:r w:rsidRPr="009619BA">
              <w:rPr>
                <w:rFonts w:ascii="Times New Roman" w:hAnsi="Times New Roman"/>
              </w:rPr>
              <w:t>070</w:t>
            </w:r>
            <w:r>
              <w:rPr>
                <w:rFonts w:ascii="Times New Roman" w:hAnsi="Times New Roman"/>
              </w:rPr>
              <w:t>} šūnas summa.</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075</w:t>
            </w:r>
            <w:r>
              <w:rPr>
                <w:rFonts w:ascii="Times New Roman" w:hAnsi="Times New Roman"/>
              </w:rPr>
              <w:t>}</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Kredītu atvasinātie instrumenti (pārdotā aizsardzība) – nosacītās summas maksimālā vērtība</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Šajā šūnā sniedz kredītu atvasinātajos instrumentos garantēto nosacīto summu (pārdotā aizsardzība) kā {</w:t>
            </w:r>
            <w:r w:rsidRPr="009619BA">
              <w:rPr>
                <w:rFonts w:ascii="Times New Roman" w:hAnsi="Times New Roman"/>
              </w:rPr>
              <w:t>020</w:t>
            </w:r>
            <w:r>
              <w:rPr>
                <w:rFonts w:ascii="Times New Roman" w:hAnsi="Times New Roman"/>
              </w:rPr>
              <w:t xml:space="preserve">; </w:t>
            </w:r>
            <w:r w:rsidRPr="009619BA">
              <w:rPr>
                <w:rFonts w:ascii="Times New Roman" w:hAnsi="Times New Roman"/>
              </w:rPr>
              <w:t>070</w:t>
            </w:r>
            <w:r>
              <w:rPr>
                <w:rFonts w:ascii="Times New Roman" w:hAnsi="Times New Roman"/>
              </w:rPr>
              <w:t xml:space="preserve">} pēc tam, kad tā samazināta par jebkurām negatīvām patiesās vērtības izmaiņām, kas iekļautas </w:t>
            </w:r>
            <w:r w:rsidRPr="009619BA">
              <w:rPr>
                <w:rFonts w:ascii="Times New Roman" w:hAnsi="Times New Roman"/>
              </w:rPr>
              <w:t>1</w:t>
            </w:r>
            <w:r>
              <w:rPr>
                <w:rFonts w:ascii="Times New Roman" w:hAnsi="Times New Roman"/>
              </w:rPr>
              <w:t>. līmeņa kapitālā attiecībā uz pārdoto kredītu atvasināto instrumentu.</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(pārdotā aizsardzība), uz kuriem attiecas slēgšanas klauzula – palielinājums atbilstoši tirgus vērtības metodei (pieņemot, ka nav savstarpējo prasījumu ieskaita vai citas KRM)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Šajā šūnā sniedz kredītu atvasināto instrumentu potenciālo nākotnes riska darījumu vērtību, ja iestāde pārdod kredītaizsardzību darījuma partnerim, uz kuru attiecas slēgšanas klauzula, pieņemot, ka nav savstarpējo prasījumu ieskaita vai citas KRM. Šajā šūnā iestādes neiekļauj kredītu atvasināto instrumentu palielinājumu, ja iestāde pārdod kredītaizsardzību darījuma partnerim, uz kuru neattiecas slēgšanas klauzula. Tā vietā iestādes to iekļauj {LR</w:t>
            </w:r>
            <w:r w:rsidRPr="009619BA">
              <w:rPr>
                <w:rFonts w:ascii="Times New Roman" w:hAnsi="Times New Roman"/>
              </w:rPr>
              <w:t>1</w:t>
            </w: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050</w:t>
            </w:r>
            <w:r>
              <w:rPr>
                <w:rFonts w:ascii="Times New Roman" w:hAnsi="Times New Roman"/>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Iestādes ņem vērā visus kredītu atvasinātos instrumentus, ne tikai tos, kas iekļauti tirdzniecības portfelī.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(pārdotā aizsardzība), uz kuriem attiecas slēgšanas klauzula – nosacītā summa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Šajā šūnā sniedz kredītu atvasinātajos instrumentos garantēto nosacīto summu, ja iestāde pārdod kredītaizsardzību darījuma partnerim, uz kuru attiecas slēgšanas klauzula.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Iestādes ņem vērā visus kredītu atvasinātos instrumentus, ne tikai tos, kas iekļauti tirdzniecības portfelī.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(pārdotā aizsardzība), uz kuriem neattiecas slēgšanas klauzula – palielinājums atbilstoši tirgus vērtības metodei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Šajā šūnā sniedz kredītu atvasināto instrumentu potenciālo nākotnes riska darījumu vērtību, ja iestāde pārdod kredītaizsardzību darījuma partnerim, uz kuru </w:t>
            </w:r>
            <w:r>
              <w:rPr>
                <w:rFonts w:ascii="Times New Roman" w:hAnsi="Times New Roman"/>
                <w:b/>
                <w:u w:val="single"/>
              </w:rPr>
              <w:t>neattiecas</w:t>
            </w:r>
            <w:r>
              <w:rPr>
                <w:rFonts w:ascii="Times New Roman" w:hAnsi="Times New Roman"/>
              </w:rPr>
              <w:t xml:space="preserve"> slēgšanas klauzula,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Iestādes ņem vērā visus kredītu atvasinātos instrumentus, ne tikai tos, kas iekļauti tirdzniecības portfelī.</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040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(pārdotā aizsardzība), uz kuriem neattiecas slēgšanas klauzula – nosacītā summa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Šajā šūnā sniedz kredītu atvasinātajos instrumentos garantēto nosacīto summu, ja iestāde pārdod kredītaizsardzību darījuma partnerim, uz kuru </w:t>
            </w:r>
            <w:r>
              <w:rPr>
                <w:rFonts w:ascii="Times New Roman" w:hAnsi="Times New Roman"/>
                <w:b/>
                <w:u w:val="single"/>
              </w:rPr>
              <w:t>neattiecas</w:t>
            </w:r>
            <w:r>
              <w:rPr>
                <w:rFonts w:ascii="Times New Roman" w:hAnsi="Times New Roman"/>
              </w:rPr>
              <w:t xml:space="preserve"> “slēgšanas klauzula”.</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Iestādes ņem vērā visus kredītu atvasinātos instrumentus, ne tikai tos, kas iekļauti tirdzniecības portfelī.</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(nopirktā aizsardzība) – grāmatvedības bilances 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Kredītu atvasināto instrumentu grāmatvedības bilances vērtība saskaņā ar piemērojamo grāmatvedības regulējumu, ja iestāde pērk kredītaizsardzību no darījuma partnera un līgumu atzīst par aktīvu bilancē.</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Iestādes ņem vērā visus kredītu atvasinātos instrumentus, ne tikai tos, kas iekļauti tirdzniecības portfelī.</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(nopirktā aizsardzība)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Kredītu atvasināto instrumentu grāmatvedības bilances vērtība saskaņā ar piemērojamo grāmatvedības regulējumu, ja iestāde pērk kredītaizsardzību no darījuma partnera un līgumu atzīst par aktīvu bilancē, pieņemot, ka nav prudenciāla vai grāmatvedības savstarpējo prasījumu ieskaita vai KRM ietekmes (proti, apvērš jebkādu grāmatvedības savstarpējo prasījumu ieskaita vai KRM ietekmi, kas ietekmējusi uzskaites vērtību).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Iestādes ņem vērā visus kredītu atvasinātos instrumentus, ne tikai tos, kas iekļauti tirdzniecības portfelī.</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(nopirktā aizsardzība) – palielinājums atbilstoši tirgus vērtības metodei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299</w:t>
            </w:r>
            <w:r>
              <w:rPr>
                <w:rFonts w:ascii="Times New Roman" w:hAnsi="Times New Roman"/>
              </w:rPr>
              <w:t xml:space="preserve">. panta </w:t>
            </w:r>
            <w:r w:rsidRPr="009619BA">
              <w:rPr>
                <w:rFonts w:ascii="Times New Roman" w:hAnsi="Times New Roman"/>
              </w:rPr>
              <w:t>2</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sniedz kredītu atvasināto instrumentu potenciālo nākotnes riska darījumu vērtību, ja iestāde pērk kredītaizsardzību no darījuma partnera,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Iestādes ņem vērā visus kredītu atvasinātos instrumentus, ne tikai tos, kas iekļauti tirdzniecības portfelī.</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050</w:t>
            </w:r>
            <w:r>
              <w:rPr>
                <w:rFonts w:ascii="Times New Roman" w:hAnsi="Times New Roman"/>
              </w:rPr>
              <w:t>;</w:t>
            </w:r>
            <w:r w:rsidRPr="009619BA">
              <w:rPr>
                <w:rFonts w:ascii="Times New Roman" w:hAnsi="Times New Roman"/>
              </w:rPr>
              <w:t>070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Kredītu atvasinātie instrumenti (nopirktā aizsardzība) – nosacītā summa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Šajā šūnā sniedz kredītu atvasinātajos instrumentos garantēto nosacīto summu, ja iestāde pērk kredītaizsardzību no darījuma partnera.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Iestādes ņem vērā visus kredītu atvasinātos instrumentus, ne tikai tos, kas iekļauti tirdzniecības portfelī.</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075</w:t>
            </w:r>
            <w:r>
              <w:rPr>
                <w:rFonts w:ascii="Times New Roman" w:hAnsi="Times New Roman"/>
              </w:rPr>
              <w:t>}</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Kredītu atvasinātie instrumenti (nopirktā aizsardzība) – nosacītās summas maksimālā vērtība</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Šajā šūnā sniedz kredītu atvasinātajos instrumentos garantēto nosacīto summu (nopirktā aizsardzība) kā {</w:t>
            </w:r>
            <w:r w:rsidRPr="009619BA">
              <w:rPr>
                <w:rFonts w:ascii="Times New Roman" w:hAnsi="Times New Roman"/>
              </w:rPr>
              <w:t>050</w:t>
            </w:r>
            <w:r>
              <w:rPr>
                <w:rFonts w:ascii="Times New Roman" w:hAnsi="Times New Roman"/>
              </w:rPr>
              <w:t>;</w:t>
            </w:r>
            <w:r w:rsidRPr="009619BA">
              <w:rPr>
                <w:rFonts w:ascii="Times New Roman" w:hAnsi="Times New Roman"/>
              </w:rPr>
              <w:t>050</w:t>
            </w:r>
            <w:r>
              <w:rPr>
                <w:rFonts w:ascii="Times New Roman" w:hAnsi="Times New Roman"/>
              </w:rPr>
              <w:t xml:space="preserve">} pēc tam, kad tā samazināta par jebkurām pozitīvām patiesās vērtības izmaiņām, kas iekļautas </w:t>
            </w:r>
            <w:r w:rsidRPr="009619BA">
              <w:rPr>
                <w:rFonts w:ascii="Times New Roman" w:hAnsi="Times New Roman"/>
              </w:rPr>
              <w:t>1</w:t>
            </w:r>
            <w:r>
              <w:rPr>
                <w:rFonts w:ascii="Times New Roman" w:hAnsi="Times New Roman"/>
              </w:rPr>
              <w:t>. līmeņa kapitālā attiecībā uz nopirkto kredītu atvasināto instrumentu.</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085</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Kredītu atvasinātie instrumenti (nopirktā aizsardzība) – nosacītās summas maksimālā vērtība (tas pats atsauces nosaukums)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Kredītu atvasināto instrumentu nosacītā summa, ja iestāde pērk kredītaizsardzību par to pašu atsauces nosaukumu kā kredītu atvasinātie instrumenti, kurus ir pārdevusi pārskatu sniedzošā iestāde.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Šīs šūnas vērtības sniegšanas vajadzībām pamatā esošos atsauces nosaukumus uzskata par vienu un to pašu, ja tie attiecas uz vienu un to pašu juridisko personu un prioritātes pakāpi.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Kredītaizsardzību, kas nopirkta attiecībā uz atsauces sabiedrību portfeli, uzskata par to pašu, ja šī aizsardzība ir ekonomiski līdzvērtīga atsevišķi nopirktai aizsardzībai attiecībā uz katru atsevišķo nosaukumu portfelī.</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Ja iestāde pērk kredītaizsardzību attiecībā uz atsauces nosaukumu portfeli, to uzskata par to pašu tikai tad, ja nopirktā kredītaizsardzība attiecas uz visām apakškopām portfelī, attiecībā uz ko ir pārdota kredītaizsardzība. Citiem vārdiem sakot, ieskaitu var atzīt tikai tad, ja atsauces sabiedrību portfelis un pakārtotības līmenis abos darījumos ir vienāds.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Katra atsauces nosaukuma gadījumā nopirktās kredītaizsardzības nosacītās summas, kas tiek ņemtas vērā šajā šūnā, nepārsniedz {</w:t>
            </w:r>
            <w:r w:rsidRPr="009619BA">
              <w:rPr>
                <w:rFonts w:ascii="Times New Roman" w:hAnsi="Times New Roman"/>
              </w:rPr>
              <w:t>020</w:t>
            </w:r>
            <w:r>
              <w:rPr>
                <w:rFonts w:ascii="Times New Roman" w:hAnsi="Times New Roman"/>
              </w:rPr>
              <w:t>;</w:t>
            </w:r>
            <w:r w:rsidRPr="009619BA">
              <w:rPr>
                <w:rFonts w:ascii="Times New Roman" w:hAnsi="Times New Roman"/>
              </w:rPr>
              <w:t>075</w:t>
            </w:r>
            <w:r>
              <w:rPr>
                <w:rFonts w:ascii="Times New Roman" w:hAnsi="Times New Roman"/>
              </w:rPr>
              <w:t>} un {</w:t>
            </w:r>
            <w:r w:rsidRPr="009619BA">
              <w:rPr>
                <w:rFonts w:ascii="Times New Roman" w:hAnsi="Times New Roman"/>
              </w:rPr>
              <w:t>050</w:t>
            </w:r>
            <w:r>
              <w:rPr>
                <w:rFonts w:ascii="Times New Roman" w:hAnsi="Times New Roman"/>
              </w:rPr>
              <w:t>;</w:t>
            </w:r>
            <w:r w:rsidRPr="009619BA">
              <w:rPr>
                <w:rFonts w:ascii="Times New Roman" w:hAnsi="Times New Roman"/>
              </w:rPr>
              <w:t>075</w:t>
            </w:r>
            <w:r>
              <w:rPr>
                <w:rFonts w:ascii="Times New Roman" w:hAnsi="Times New Roman"/>
              </w:rPr>
              <w:t>} norādītās summas.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Finanšu atvasinātie instrumenti – grāmatvedības bilances 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KPR II pielikumā norādīto līgumu grāmatvedības bilances vērtība saskaņā ar piemērojamo grāmatvedības regulējumu, ja līgumus atzīst par aktīviem bilancē.</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Finanšu atvasinātie instrumenti – uzskaites vērtība, pieņemot, ka nav savstarpējo prasījumu ieskaita vai citas KRM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KPR II pielikumā norādīto līgumu grāmatvedības bilances vērtība saskaņā ar piemērojamo grāmatvedības regulējumu, ja līgumus atzīst par aktīviem bilancē, pieņemot, ka nav prudenciāla vai grāmatvedības savstarpējo prasījumu ieskaita vai citas KRM ietekmes (proti, apvērš jebkādu grāmatvedības savstarpējo prasījumu ieskaita vai KRM ietekmi, kas ietekmējusi uzskaites vērtību).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Finanšu atvasinātie instrumenti – palielinājums atbilstoši tirgus vērtības metodei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 xml:space="preserve">KPR </w:t>
            </w:r>
            <w:r w:rsidRPr="009619BA">
              <w:rPr>
                <w:rFonts w:ascii="Times New Roman" w:hAnsi="Times New Roman"/>
              </w:rPr>
              <w:t>274</w:t>
            </w:r>
            <w:r>
              <w:rPr>
                <w:rFonts w:ascii="Times New Roman" w:hAnsi="Times New Roman"/>
              </w:rPr>
              <w:t>. pants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sniedz KPR II pielikumā norādīto līgumu regulatīvo potenciālo nākotnes riska darījumu vērtību, pieņemot, ka nav savstarpējo prasījumu ieskaita vai citas KRM.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060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Finanšu atvasinātie instrumenti ― nosacītā summa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sniedz tajos līgumos garantēto nosacīto summu, kas norādīti KPR II pielikumā.</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VFD, uz kuriem attiecas savstarpējo prasījumu ieskaita jumta līgums – grāmatvedības bilances 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xml:space="preserve">) apakšpunkts un </w:t>
            </w:r>
            <w:r w:rsidRPr="009619BA">
              <w:rPr>
                <w:rFonts w:ascii="Times New Roman" w:hAnsi="Times New Roman"/>
              </w:rPr>
              <w:t>206</w:t>
            </w:r>
            <w:r>
              <w:rPr>
                <w:rFonts w:ascii="Times New Roman" w:hAnsi="Times New Roman"/>
              </w:rPr>
              <w:t>. pants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Tādu VFD grāmatvedības bilances vērtība saskaņā ar piemērojamo grāmatvedības regulējumu, uz kuriem attiecas savstarpējo prasījumu ieskaita jumta līgums, kas ir atbilstošs saskaņā ar KPR </w:t>
            </w:r>
            <w:r w:rsidRPr="009619BA">
              <w:rPr>
                <w:rFonts w:ascii="Times New Roman" w:hAnsi="Times New Roman"/>
              </w:rPr>
              <w:t>206</w:t>
            </w:r>
            <w:r>
              <w:rPr>
                <w:rFonts w:ascii="Times New Roman" w:hAnsi="Times New Roman"/>
              </w:rPr>
              <w:t>. pantu.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VFD, uz kuriem attiecas savstarpējo prasījumu ieskaita jumta līgums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xml:space="preserve">) apakšpunkts un </w:t>
            </w:r>
            <w:r w:rsidRPr="009619BA">
              <w:rPr>
                <w:rFonts w:ascii="Times New Roman" w:hAnsi="Times New Roman"/>
              </w:rPr>
              <w:t>206</w:t>
            </w:r>
            <w:r>
              <w:rPr>
                <w:rFonts w:ascii="Times New Roman" w:hAnsi="Times New Roman"/>
              </w:rPr>
              <w:t>. pants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Tādu VFD grāmatvedības bilances vērtība saskaņā ar piemērojamo grāmatvedības regulējumu, uz kuriem attiecas savstarpējo prasījumu ieskaita jumta līgums, kas ir atbilstošs saskaņā ar KPR </w:t>
            </w:r>
            <w:r w:rsidRPr="009619BA">
              <w:rPr>
                <w:rFonts w:ascii="Times New Roman" w:hAnsi="Times New Roman"/>
              </w:rPr>
              <w:t>206</w:t>
            </w:r>
            <w:r>
              <w:rPr>
                <w:rFonts w:ascii="Times New Roman" w:hAnsi="Times New Roman"/>
              </w:rPr>
              <w:t>. pantu, ja līgumus atzīst par aktīviem bilancē, pieņemot, ka nav prudenciāla vai grāmatvedības savstarpējo prasījumu ieskaita vai citas KRM ietekmes (proti, apvērš jebkādu grāmatvedības savstarpējo prasījumu ieskaita vai KRM ietekmi, kas ietekmējusi uzskaites vērtību). Turklāt, ja veic VFD tirdzniecības uzskaiti saskaņā ar piemērojamo grāmatvedības regulējumu, iestādes apvērš visus ar tirdzniecību saistītos uzskaites ierakstus.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w:t>
            </w:r>
            <w:r w:rsidRPr="009619BA">
              <w:rPr>
                <w:rFonts w:ascii="Times New Roman" w:hAnsi="Times New Roman"/>
              </w:rPr>
              <w:t>090</w:t>
            </w:r>
            <w:r>
              <w:rPr>
                <w:rFonts w:ascii="Times New Roman" w:hAnsi="Times New Roman"/>
              </w:rPr>
              <w:t> </w:t>
            </w:r>
            <w:r w:rsidRPr="009619BA">
              <w:rPr>
                <w:rFonts w:ascii="Times New Roman" w:hAnsi="Times New Roman"/>
              </w:rPr>
              <w:t>020</w:t>
            </w:r>
            <w:r>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040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Vērtspapīru finansēšanas darījumi, uz kuriem attiecas savstarpējo prasījumu ieskaita jumta līgums – VFD palielinājums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206</w:t>
            </w:r>
            <w:r>
              <w:rPr>
                <w:rFonts w:ascii="Times New Roman" w:hAnsi="Times New Roman"/>
              </w:rPr>
              <w:t>. pants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Iestādes veido VFD, tostarp ārpusbilances darījumu, uz kuriem attiecas savstarpējo prasījumu ieskaita līgums, kas atbilst KPR </w:t>
            </w:r>
            <w:r w:rsidRPr="009619BA">
              <w:rPr>
                <w:rFonts w:ascii="Times New Roman" w:hAnsi="Times New Roman"/>
              </w:rPr>
              <w:t>206</w:t>
            </w:r>
            <w:r>
              <w:rPr>
                <w:rFonts w:ascii="Times New Roman" w:hAnsi="Times New Roman"/>
              </w:rPr>
              <w:t>. panta prasībām, savstarpējo prasījumu ieskaita kopas. Katrai savstarpējo prasījumu ieskaita kopai iestādes aprēķina pašreizējās darījuma partnera riska darījuma vērtības (CCE) palielinājumu saskaņā ar šādu formulu: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m:t>
                  </m:r>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kur: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katrs savstarpējo prasījumu ieskaita kopā iekļautais darījums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darījuma i vērtība E</w:t>
            </w:r>
            <w:r>
              <w:rPr>
                <w:rFonts w:ascii="Times New Roman" w:hAnsi="Times New Roman"/>
                <w:vertAlign w:val="subscript"/>
              </w:rPr>
              <w:t>i</w:t>
            </w:r>
            <w:r>
              <w:rPr>
                <w:rFonts w:ascii="Times New Roman" w:hAnsi="Times New Roman"/>
              </w:rPr>
              <w:t xml:space="preserve">, kas definēta KPR </w:t>
            </w:r>
            <w:r w:rsidRPr="009619BA">
              <w:rPr>
                <w:rFonts w:ascii="Times New Roman" w:hAnsi="Times New Roman"/>
              </w:rPr>
              <w:t>220</w:t>
            </w:r>
            <w:r>
              <w:rPr>
                <w:rFonts w:ascii="Times New Roman" w:hAnsi="Times New Roman"/>
              </w:rPr>
              <w:t xml:space="preserve">. panta </w:t>
            </w:r>
            <w:r w:rsidRPr="009619BA">
              <w:rPr>
                <w:rFonts w:ascii="Times New Roman" w:hAnsi="Times New Roman"/>
              </w:rPr>
              <w:t>3</w:t>
            </w:r>
            <w:r>
              <w:rPr>
                <w:rFonts w:ascii="Times New Roman" w:hAnsi="Times New Roman"/>
              </w:rPr>
              <w:t>. punktā</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darījuma i vērtība C</w:t>
            </w:r>
            <w:r>
              <w:rPr>
                <w:rFonts w:ascii="Times New Roman" w:hAnsi="Times New Roman"/>
                <w:vertAlign w:val="subscript"/>
              </w:rPr>
              <w:t>i</w:t>
            </w:r>
            <w:r>
              <w:rPr>
                <w:rFonts w:ascii="Times New Roman" w:hAnsi="Times New Roman"/>
              </w:rPr>
              <w:t xml:space="preserve">, kas definēta KPR </w:t>
            </w:r>
            <w:r w:rsidRPr="009619BA">
              <w:rPr>
                <w:rFonts w:ascii="Times New Roman" w:hAnsi="Times New Roman"/>
              </w:rPr>
              <w:t>220</w:t>
            </w:r>
            <w:r>
              <w:rPr>
                <w:rFonts w:ascii="Times New Roman" w:hAnsi="Times New Roman"/>
              </w:rPr>
              <w:t xml:space="preserve">. panta </w:t>
            </w:r>
            <w:r w:rsidRPr="009619BA">
              <w:rPr>
                <w:rFonts w:ascii="Times New Roman" w:hAnsi="Times New Roman"/>
              </w:rPr>
              <w:t>3</w:t>
            </w:r>
            <w:r>
              <w:rPr>
                <w:rFonts w:ascii="Times New Roman" w:hAnsi="Times New Roman"/>
              </w:rPr>
              <w:t>. punktā</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Iestādes summē šīs formulas iznākumu visām savstarpējo prasījumu ieskaita kopām un </w:t>
            </w:r>
            <w:r>
              <w:rPr>
                <w:rFonts w:ascii="Times New Roman" w:hAnsi="Times New Roman"/>
              </w:rPr>
              <w:lastRenderedPageBreak/>
              <w:t>norāda rezultātu šajā šūnā.</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VFD, uz kuriem neattiecas savstarpējo prasījumu ieskaita jumta līgums – grāmatvedības bilances 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Tādu VFD grāmatvedības bilances vērtība saskaņā ar piemērojamo grāmatvedības regulējumu, uz kuriem </w:t>
            </w:r>
            <w:r>
              <w:rPr>
                <w:rFonts w:ascii="Times New Roman" w:hAnsi="Times New Roman"/>
                <w:b/>
                <w:u w:val="single"/>
              </w:rPr>
              <w:t>neattiecas</w:t>
            </w:r>
            <w:r>
              <w:rPr>
                <w:rFonts w:ascii="Times New Roman" w:hAnsi="Times New Roman"/>
              </w:rPr>
              <w:t xml:space="preserve"> savstarpējo prasījumu ieskaita jumta līgums, kas ir atbilstošs saskaņā ar KPR </w:t>
            </w:r>
            <w:r w:rsidRPr="009619BA">
              <w:rPr>
                <w:rFonts w:ascii="Times New Roman" w:hAnsi="Times New Roman"/>
              </w:rPr>
              <w:t>206</w:t>
            </w:r>
            <w:r>
              <w:rPr>
                <w:rFonts w:ascii="Times New Roman" w:hAnsi="Times New Roman"/>
              </w:rPr>
              <w:t>. pantu, ja līgumus atzīst par aktīviem bilancē.</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VFD, uz kuriem neattiecas savstarpējo prasījumu ieskaita jumta līgums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Tādu VFD grāmatvedības bilances vērtība saskaņā ar piemērojamo grāmatvedības regulējumu, uz kuriem </w:t>
            </w:r>
            <w:r>
              <w:rPr>
                <w:rFonts w:ascii="Times New Roman" w:hAnsi="Times New Roman"/>
                <w:b/>
                <w:u w:val="single"/>
              </w:rPr>
              <w:t>neattiecas</w:t>
            </w:r>
            <w:r>
              <w:rPr>
                <w:rFonts w:ascii="Times New Roman" w:hAnsi="Times New Roman"/>
              </w:rPr>
              <w:t xml:space="preserve"> savstarpējo prasījumu ieskaita jumta līgums, kas ir atbilstošs saskaņā ar KPR </w:t>
            </w:r>
            <w:r w:rsidRPr="009619BA">
              <w:rPr>
                <w:rFonts w:ascii="Times New Roman" w:hAnsi="Times New Roman"/>
              </w:rPr>
              <w:t>206</w:t>
            </w:r>
            <w:r>
              <w:rPr>
                <w:rFonts w:ascii="Times New Roman" w:hAnsi="Times New Roman"/>
              </w:rPr>
              <w:t>. pantu, ja līgumus atzīst par aktīviem bilancē, pieņemot, ka nav grāmatvedības savstarpējo prasījumu ieskaita vai citas KRM ietekmes (proti, apvērš jebkādu grāmatvedības savstarpējo prasījumu ieskaita vai KRM ietekmi, kas ietekmējusi uzskaites vērtību). Turklāt, ja veic VFD tirdzniecības uzskaiti saskaņā ar piemērojamo grāmatvedības regulējumu, iestādes apvērš visus ar tirdzniecību saistītos uzskaites ierakstus.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w:t>
            </w:r>
            <w:r w:rsidRPr="009619BA">
              <w:rPr>
                <w:rFonts w:ascii="Times New Roman" w:hAnsi="Times New Roman"/>
              </w:rPr>
              <w:t>090</w:t>
            </w:r>
            <w:r>
              <w:rPr>
                <w:rFonts w:ascii="Times New Roman" w:hAnsi="Times New Roman"/>
              </w:rPr>
              <w:t> </w:t>
            </w:r>
            <w:r w:rsidRPr="009619BA">
              <w:rPr>
                <w:rFonts w:ascii="Times New Roman" w:hAnsi="Times New Roman"/>
              </w:rPr>
              <w:t>020</w:t>
            </w:r>
            <w:r>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040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VFD, uz kuriem neattiecas savstarpējo prasījumu ieskaita jumta līgums – VFD palielinājums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206</w:t>
            </w:r>
            <w:r>
              <w:rPr>
                <w:rFonts w:ascii="Times New Roman" w:hAnsi="Times New Roman"/>
              </w:rPr>
              <w:t>. pants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Iestādes veido VDF, tostarp ārpusbilances darījumu, uz kuriem </w:t>
            </w:r>
            <w:r>
              <w:rPr>
                <w:rFonts w:ascii="Times New Roman" w:hAnsi="Times New Roman"/>
                <w:b/>
                <w:u w:val="single"/>
              </w:rPr>
              <w:t>neattiecas</w:t>
            </w:r>
            <w:r>
              <w:rPr>
                <w:rFonts w:ascii="Times New Roman" w:hAnsi="Times New Roman"/>
              </w:rPr>
              <w:t xml:space="preserve"> savstarpējo prasījumu ieskaita jumta līgums, kas ir atbilstošs saskaņā ar KPR </w:t>
            </w:r>
            <w:r w:rsidRPr="009619BA">
              <w:rPr>
                <w:rFonts w:ascii="Times New Roman" w:hAnsi="Times New Roman"/>
              </w:rPr>
              <w:t>206</w:t>
            </w:r>
            <w:r>
              <w:rPr>
                <w:rFonts w:ascii="Times New Roman" w:hAnsi="Times New Roman"/>
              </w:rPr>
              <w:t xml:space="preserve">. pantu, kopas, kurās ir visi darījumā iekļautie aktīvi (proti, katru VFD uzskata par atsevišķu kopu), un nosaka katrai kopai pašreizējās darījuma partnera riska darījuma vērtības (CCE) palielinājumu saskaņā ar šādu formulu: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max {(E — C); </w:t>
            </w:r>
            <w:r w:rsidRPr="009619BA">
              <w:rPr>
                <w:rFonts w:ascii="Times New Roman" w:hAnsi="Times New Roman"/>
              </w:rPr>
              <w:t>0</w:t>
            </w:r>
            <w:r>
              <w:rPr>
                <w:rFonts w:ascii="Times New Roman" w:hAnsi="Times New Roman"/>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kur: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vērtība E</w:t>
            </w:r>
            <w:r>
              <w:rPr>
                <w:rFonts w:ascii="Times New Roman" w:hAnsi="Times New Roman"/>
                <w:vertAlign w:val="subscript"/>
              </w:rPr>
              <w:t>i</w:t>
            </w:r>
            <w:r>
              <w:rPr>
                <w:rFonts w:ascii="Times New Roman" w:hAnsi="Times New Roman"/>
              </w:rPr>
              <w:t xml:space="preserve">, kas definēta KPR </w:t>
            </w:r>
            <w:r w:rsidRPr="009619BA">
              <w:rPr>
                <w:rFonts w:ascii="Times New Roman" w:hAnsi="Times New Roman"/>
              </w:rPr>
              <w:t>220</w:t>
            </w:r>
            <w:r>
              <w:rPr>
                <w:rFonts w:ascii="Times New Roman" w:hAnsi="Times New Roman"/>
              </w:rPr>
              <w:t xml:space="preserve">. panta </w:t>
            </w:r>
            <w:r w:rsidRPr="009619BA">
              <w:rPr>
                <w:rFonts w:ascii="Times New Roman" w:hAnsi="Times New Roman"/>
              </w:rPr>
              <w:t>3</w:t>
            </w:r>
            <w:r>
              <w:rPr>
                <w:rFonts w:ascii="Times New Roman" w:hAnsi="Times New Roman"/>
              </w:rPr>
              <w:t>. punktā</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vērtība C</w:t>
            </w:r>
            <w:r>
              <w:rPr>
                <w:rFonts w:ascii="Times New Roman" w:hAnsi="Times New Roman"/>
                <w:vertAlign w:val="subscript"/>
              </w:rPr>
              <w:t>i</w:t>
            </w:r>
            <w:r>
              <w:rPr>
                <w:rFonts w:ascii="Times New Roman" w:hAnsi="Times New Roman"/>
              </w:rPr>
              <w:t xml:space="preserve">, kas definēta KPR </w:t>
            </w:r>
            <w:r w:rsidRPr="009619BA">
              <w:rPr>
                <w:rFonts w:ascii="Times New Roman" w:hAnsi="Times New Roman"/>
              </w:rPr>
              <w:t>220</w:t>
            </w:r>
            <w:r>
              <w:rPr>
                <w:rFonts w:ascii="Times New Roman" w:hAnsi="Times New Roman"/>
              </w:rPr>
              <w:t xml:space="preserve">. panta </w:t>
            </w:r>
            <w:r w:rsidRPr="009619BA">
              <w:rPr>
                <w:rFonts w:ascii="Times New Roman" w:hAnsi="Times New Roman"/>
              </w:rPr>
              <w:t>3</w:t>
            </w:r>
            <w:r>
              <w:rPr>
                <w:rFonts w:ascii="Times New Roman" w:hAnsi="Times New Roman"/>
              </w:rPr>
              <w:t>. punktā</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Iestādes summē šīs formulas iznākumu visām iepriekš minētajām kopām un norāda rezultātu šajā šūnā.</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Citi aktīvi – grāmatvedības bilances 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Grāmatvedības bilances vērtība saskaņā ar piemērojamo grāmatvedības regulējumu visiem </w:t>
            </w:r>
            <w:r>
              <w:rPr>
                <w:rFonts w:ascii="Times New Roman" w:hAnsi="Times New Roman"/>
              </w:rPr>
              <w:lastRenderedPageBreak/>
              <w:t>aktīviem, kas nav līgumi, kuri minēti KPR II pielikumā, kredītu atvasinātie instrumenti un VFD.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090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Citi aktīvi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77</w:t>
            </w:r>
            <w:r>
              <w:rPr>
                <w:rFonts w:ascii="Times New Roman" w:hAnsi="Times New Roman"/>
              </w:rPr>
              <w:t>) apakšpunkts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Grāmatvedības bilances vērtība saskaņā ar piemērojamo grāmatvedības regulējumu visiem aktīviem, kas nav līgumi, kuri minēti KPR II pielikumā, kredītu atvasinātie instrumenti un VFD, pieņemot, ka nav grāmatvedības savstarpējo prasījumu ieskaita vai citas KRM ietekmes (proti, apvērš jebkādu grāmatvedības savstarpējo prasījumu ieskaita vai KRM ietekmi, kas ietekmējusi uzskaites vērtību).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100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Zema riska ārpusbilances posteņi saskaņā ar RSP; no kā — nominālvērtība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pants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Šajā šūnā sniedz tādu ārpusbilances posteņu nominālvērtību, kuriem tiktu noteikta </w:t>
            </w:r>
            <w:r w:rsidRPr="009619BA">
              <w:rPr>
                <w:rFonts w:ascii="Times New Roman" w:hAnsi="Times New Roman"/>
              </w:rPr>
              <w:t>0</w:t>
            </w:r>
            <w:r>
              <w:rPr>
                <w:rFonts w:ascii="Times New Roman" w:hAnsi="Times New Roman"/>
              </w:rPr>
              <w:t> % kredīta korekcijas pakāpe saskaņā ar standartizēto pieeju kredītriskam.</w:t>
            </w:r>
            <w:r>
              <w:t xml:space="preserve"> </w:t>
            </w:r>
            <w:r>
              <w:rPr>
                <w:rFonts w:ascii="Times New Roman" w:hAnsi="Times New Roman"/>
              </w:rPr>
              <w:t>Šo vērtību nesamazina ar specifiskām kredītriska korekcijām.</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Atjaunojami riska darījumi ar privātpersonām vai MVU; no kā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pants un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 xml:space="preserve">Šajā šūnā sniedz tādu ārpusbilances atbilstīgu atjaunojamu riska darījumu ar privātpersonām vai MVU nominālvērtību, kuri atbilst KPR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punkta a) līdz c) punktā minētajiem nosacījumiem. Šo vērtību nesamazina ar specifiskām kredītriska korekcijām.</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Tas attiecas uz visiem riska darījumiem, kuri ir darījumi ar privātpersonām, ir atjaunojami un kurus bez nosacījumiem var atcelt, kā aprakstīts KPR </w:t>
            </w:r>
            <w:r w:rsidRPr="009619BA">
              <w:rPr>
                <w:rFonts w:ascii="Times New Roman" w:hAnsi="Times New Roman"/>
              </w:rPr>
              <w:t>149</w:t>
            </w:r>
            <w:r>
              <w:rPr>
                <w:rFonts w:ascii="Times New Roman" w:hAnsi="Times New Roman"/>
              </w:rPr>
              <w:t xml:space="preserve">. punkta b) punktā, un kopumā ir ierobežoti līdz EUR </w:t>
            </w:r>
            <w:r w:rsidRPr="009619BA">
              <w:rPr>
                <w:rFonts w:ascii="Times New Roman" w:hAnsi="Times New Roman"/>
              </w:rPr>
              <w:t>100</w:t>
            </w:r>
            <w:r>
              <w:rPr>
                <w:rFonts w:ascii="Times New Roman" w:hAnsi="Times New Roman"/>
              </w:rPr>
              <w:t xml:space="preserve"> </w:t>
            </w:r>
            <w:r w:rsidRPr="009619BA">
              <w:rPr>
                <w:rFonts w:ascii="Times New Roman" w:hAnsi="Times New Roman"/>
              </w:rPr>
              <w:t>000</w:t>
            </w:r>
            <w:r>
              <w:rPr>
                <w:rFonts w:ascii="Times New Roman" w:hAnsi="Times New Roman"/>
              </w:rPr>
              <w:t xml:space="preserve"> uz parādnieku.</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120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Bez nosacījumiem atceļamas kredītkaršu saistības – nominālvērtība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pants un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 xml:space="preserve">Šajā šūnā sniedz tādu kredītkaršu saistību nominālvērtību, kuras iestāde bez nosacījumiem jebkurā laikā bez iepriekšējas paziņošanas var atcelt (UCC) un kurām tiktu noteikta </w:t>
            </w:r>
            <w:r w:rsidRPr="009619BA">
              <w:rPr>
                <w:rFonts w:ascii="Times New Roman" w:hAnsi="Times New Roman"/>
              </w:rPr>
              <w:t>0</w:t>
            </w:r>
            <w:r>
              <w:rPr>
                <w:rFonts w:ascii="Times New Roman" w:hAnsi="Times New Roman"/>
              </w:rPr>
              <w:t xml:space="preserve"> % kredīta korekcijas pakāpe saskaņā ar standartizēto pieeju kredītriskam.</w:t>
            </w:r>
            <w:r>
              <w:t xml:space="preserve"> </w:t>
            </w:r>
            <w:r>
              <w:rPr>
                <w:rFonts w:ascii="Times New Roman" w:hAnsi="Times New Roman"/>
              </w:rPr>
              <w:t>Šo vērtību nesamazina ar specifiskām kredītriska korekcijām.</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Šajā šūnā iestādes neiekļauj kredītu saistības, kurās faktiski paredzēta automātiska atcelšana, jo pasliktinājusies aizņēmēja kredītspēja, taču kuras nav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130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Neatjaunojamas bez nosacījumiem atceļamas saistības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pants un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lastRenderedPageBreak/>
              <w:t xml:space="preserve">Tajā sniedz tādu citu saistību nominālvērtību, kuras iestāde bez nosacījumiem jebkurā laikā bez iepriekšējas paziņošanas var atcelt (UCC) un kurām tiktu noteikta </w:t>
            </w:r>
            <w:r w:rsidRPr="009619BA">
              <w:rPr>
                <w:rFonts w:ascii="Times New Roman" w:hAnsi="Times New Roman"/>
              </w:rPr>
              <w:t>0</w:t>
            </w:r>
            <w:r>
              <w:rPr>
                <w:rFonts w:ascii="Times New Roman" w:hAnsi="Times New Roman"/>
              </w:rPr>
              <w:t> % kredīta korekcijas pakāpe saskaņā ar standartizēto pieeju kredītriskam. Šo vērtību nesamazina ar specifiskām kredītriska korekcijām.</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Šajā šūnā iestādes neiekļauj kredītu saistības, kurās faktiski paredzēta automātiska atcelšana, jo pasliktinājusies aizņēmēja kredītspēja, taču kuras nav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140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Vidēja/zema riska ārpusbilances posteņi saskaņā ar RSP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pants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Šajā šūnā sniedz tādu ārpusbilances posteņu nominālvērtību, kuriem tiktu noteikta </w:t>
            </w:r>
            <w:r w:rsidRPr="009619BA">
              <w:rPr>
                <w:rFonts w:ascii="Times New Roman" w:hAnsi="Times New Roman"/>
              </w:rPr>
              <w:t>20</w:t>
            </w:r>
            <w:r>
              <w:rPr>
                <w:rFonts w:ascii="Times New Roman" w:hAnsi="Times New Roman"/>
              </w:rPr>
              <w:t> % kredīta korekcijas pakāpe saskaņā ar standartizēto pieeju kredītriskam.</w:t>
            </w:r>
            <w:r>
              <w:t xml:space="preserve"> </w:t>
            </w:r>
            <w:r>
              <w:rPr>
                <w:rFonts w:ascii="Times New Roman" w:hAnsi="Times New Roman"/>
              </w:rPr>
              <w:t>Šo vērtību nesamazina ar specifiskām kredītriska korekcijām.</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Vidēja riska ārpusbilances posteņi saskaņā ar RSP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pants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Šajā šūnā sniedz tādu ārpusbilances posteņu nominālvērtību, kuriem tiktu noteikta </w:t>
            </w:r>
            <w:r w:rsidRPr="009619BA">
              <w:rPr>
                <w:rFonts w:ascii="Times New Roman" w:hAnsi="Times New Roman"/>
              </w:rPr>
              <w:t>50</w:t>
            </w:r>
            <w:r>
              <w:rPr>
                <w:rFonts w:ascii="Times New Roman" w:hAnsi="Times New Roman"/>
              </w:rPr>
              <w:t> % kredīta korekcijas pakāpe saskaņā ar standartizēto pieeju kredītriskam.</w:t>
            </w:r>
            <w:r>
              <w:t xml:space="preserve"> </w:t>
            </w:r>
            <w:r>
              <w:rPr>
                <w:rFonts w:ascii="Times New Roman" w:hAnsi="Times New Roman"/>
              </w:rPr>
              <w:t>Šo vērtību nesamazina ar specifiskām kredītriska korekcijām.</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160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Augsta riska ārpusbilances posteņi saskaņā ar RSP – nominālvērtība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pants</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 xml:space="preserve">Šajā šūnā sniedz tādu ārpusbilances posteņu nominālvērtību, kuriem tiktu noteikta </w:t>
            </w:r>
            <w:r w:rsidRPr="009619BA">
              <w:rPr>
                <w:rFonts w:ascii="Times New Roman" w:hAnsi="Times New Roman"/>
              </w:rPr>
              <w:t>100</w:t>
            </w:r>
            <w:r>
              <w:rPr>
                <w:rFonts w:ascii="Times New Roman" w:hAnsi="Times New Roman"/>
              </w:rPr>
              <w:t> % kredīta korekcijas pakāpe saskaņā ar standartizēto pieeju kredītriskam. Šo vērtību nesamazina ar specifiskām kredītriska korekcijām.</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 xml:space="preserve">Iestādes šajā šūnā neņem vērā līgumus, kas minēti KPR II pielikumā, kredītu atvasinātos instrumentus un VFD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10</w:t>
            </w:r>
            <w:r>
              <w:rPr>
                <w:rFonts w:ascii="Times New Roman" w:hAnsi="Times New Roman"/>
              </w:rPr>
              <w:t>. punktu.</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170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(izziņas postenis) Izmantotās summas atjaunojamos riska darījumos ar privātpersonām vai MVU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sniedz tādu summu nominālvērtību, kuras izmantotas ārpusbilances atjaunojamiem riska darījumiem ar privātpersonām vai MVU.</w:t>
            </w:r>
            <w:r>
              <w:t xml:space="preserve"> </w:t>
            </w:r>
            <w:r>
              <w:rPr>
                <w:rFonts w:ascii="Times New Roman" w:hAnsi="Times New Roman"/>
              </w:rPr>
              <w:t>Šo vērtību nesamazina ar specifiskām kredītriska korekcijām.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(izziņas postenis) Izmantotās summas bez nosacījumiem atceļamām kredītkaršu saistībām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pants un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Šajā šūnā sniedz tādu summu nominālvērtību, kuras izmantotas bez nosacījumiem </w:t>
            </w:r>
            <w:r>
              <w:rPr>
                <w:rFonts w:ascii="Times New Roman" w:hAnsi="Times New Roman"/>
              </w:rPr>
              <w:lastRenderedPageBreak/>
              <w:t>atceļamām kredītkaršu saistībām. Šo vērtību nesamazina ar specifiskām kredītriska korekcijām.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190</w:t>
            </w:r>
            <w:r>
              <w:rPr>
                <w:rFonts w:ascii="Times New Roman" w:hAnsi="Times New Roman"/>
              </w:rPr>
              <w:t>;</w:t>
            </w:r>
            <w:r w:rsidRPr="009619B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(izziņas postenis) Izmantotās summas neatjaunojamām bez nosacījumiem atceļamām saistībām – nominālvērtība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pants un </w:t>
            </w:r>
            <w:r w:rsidRPr="009619BA">
              <w:rPr>
                <w:rFonts w:ascii="Times New Roman" w:hAnsi="Times New Roman"/>
              </w:rPr>
              <w:t>154</w:t>
            </w:r>
            <w:r>
              <w:rPr>
                <w:rFonts w:ascii="Times New Roman" w:hAnsi="Times New Roman"/>
              </w:rPr>
              <w:t xml:space="preserve">. panta </w:t>
            </w:r>
            <w:r w:rsidRPr="009619BA">
              <w:rPr>
                <w:rFonts w:ascii="Times New Roman" w:hAnsi="Times New Roman"/>
              </w:rPr>
              <w:t>4</w:t>
            </w:r>
            <w:r>
              <w:rPr>
                <w:rFonts w:ascii="Times New Roman" w:hAnsi="Times New Roman"/>
              </w:rPr>
              <w:t>. punkts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Šajā šūnā sniedz tādu summu nominālvērtību, kuras izmantotas neatjaunojamām bez nosacījumiem atceļamām saistībām.</w:t>
            </w:r>
            <w:r>
              <w:t xml:space="preserve"> </w:t>
            </w:r>
            <w:r>
              <w:rPr>
                <w:rFonts w:ascii="Times New Roman" w:hAnsi="Times New Roman"/>
              </w:rPr>
              <w:t>Šo vērtību nesamazina ar specifiskām kredītriska korekcijām.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Atvasināto instrumentu darījumos saņemtais naudas nodrošinājums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Atvasināto instrumentu darījumos saņemtā naudas nodrošinājuma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Šīs šūnas vajadzībām naudu definē kā naudas kopsummu, tostarp monētas un banknotes/valūtu. Noguldījumu kopsumma centrālajās bankās ir iekļauta tādā apmērā, kādā šos noguldījumus var izņemt spriedzes apstākļos. Šajā šūnā iestādes nenorāda naudas noguldījumus citās iestādēs.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Debitoru parādi par atvasināto instrumentu darījumos iesniegto naudas nodrošinājumu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Grāmatvedības bilances vērtība saskaņā ar piemērojamo grāmatvedības regulējumu debitoru parādiem par naudas nodrošinājumu, kas iesniegts pret atvasināto instrumentu darījumiem, pieņemot, ka nav grāmatvedības savstarpējo prasījumu ieskaita vai citas KRM ietekmes (proti, apvērš jebkādu grāmatvedības savstarpējo prasījumu ieskaita vai KRM ietekmi, kas ietekmējusi uzskaites vērtību). Iestādes, kuras drīkst saskaņā ar piemērojamo grāmatvedības regulējumu veikt debitoru parāda par iesniegto naudas nodrošinājumu savstarpējo prasījumu ieskaitu pret saistīto atvasinātā instrumenta saistību (negatīva patiesā vērtība) un kuras nolemj tā rīkoties, apvērš savstarpējo prasījumu ieskaitu un norāda neto saņemamo summu.</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VFD saņemtie vērtspapīri, kas atzīti par aktīvu – uzskaites vērtība, pieņemot, ka nav savstarpējo prasījumu ieskaita vai citas KRM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Tādu vērtspapīru grāmatvedības bilances vērtība saskaņā ar piemērojamo grāmatvedības regulējumu, kuri saņemti VFD un atzīti par aktīvu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9619BA">
              <w:rPr>
                <w:rFonts w:ascii="Times New Roman" w:hAnsi="Times New Roman"/>
              </w:rPr>
              <w:t>240</w:t>
            </w:r>
            <w:r>
              <w:rPr>
                <w:rFonts w:ascii="Times New Roman" w:hAnsi="Times New Roman"/>
              </w:rPr>
              <w:t>;</w:t>
            </w:r>
            <w:r w:rsidRPr="009619B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VFD naudas konduītu aizdevums (naudas debitoru parādi) – uzskaites vērtība, pieņemot, ka nav savstarpējo prasījumu ieskaita vai citas KRM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Naudas debitoru parāda, ko veido nauda, kas tālāk aizdota vērtspapīru īpašniekam atbilstīgā naudas konduītu aizdevuma darījumā (CCLT),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Šīs šūnas vajadzībām naudu definē kā naudas kopsummu, tostarp monētas un banknotes/valūtu. Noguldījumu kopsumma centrālajās bankās ir iekļauta tādā apmērā, kādā šos noguldījumus var izņemt spriedzes apstākļos. Šajā šūnā iestādes nesniedz pārskatu par </w:t>
            </w:r>
            <w:r>
              <w:rPr>
                <w:rFonts w:ascii="Times New Roman" w:hAnsi="Times New Roman"/>
              </w:rPr>
              <w:lastRenderedPageBreak/>
              <w:t>naudas noguldījumiem citās iestādēs.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CCLT definē kā divu darījumu kombināciju, kurā iestāde aizņemas vērtspapīrus no vērtspapīru īpašnieka un aizdod vērtspapīrus tālāk vērtspapīru aizņēmējam. Vienlaikus iestāde saņem naudas nodrošinājumu no vērtspapīru aizņēmēja un aizdod tālāk saņemto naudu vērtspapīru īpašniekam. Atbilstīgs CCLT atbilst šādiem nosacījumiem:</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abus atsevišķos darījumus, kuros ietilpst atbilstīgais CCLT, veic vienā tirdzniecības dienā, vai starptautiskus darījumus – tuvākajās darba dienās;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ja ietilpstošajos darījumos nav noteikts termiņš, iestādei ir juridiskas tiesības jebkurā laikā un bez iepriekšēja paziņojuma slēgt kādu no CCLT pusēm, proti, abus ietilpstošos darījumus;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ja ietilpstošajos darījumos ir noteikts termiņš, CCLT dēļ neveidojas situācija, kad iestādei rodas termiņu nesakritība; iestādei ir juridiskas tiesības jebkurā laikā un bez iepriekšēja paziņojuma slēgt kādu no CCLT pusēm, kas ir abi ietilpstošie darījumi;</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tas nerada citus inkrementālus riska darījumus.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4"/>
            <w:r>
              <w:rPr>
                <w:rFonts w:ascii="Times New Roman" w:hAnsi="Times New Roman"/>
              </w:rPr>
              <w:lastRenderedPageBreak/>
              <w:t>{</w:t>
            </w:r>
            <w:r w:rsidRPr="009619BA">
              <w:rPr>
                <w:rFonts w:ascii="Times New Roman" w:hAnsi="Times New Roman"/>
              </w:rPr>
              <w:t>250</w:t>
            </w:r>
            <w:r>
              <w:rPr>
                <w:rFonts w:ascii="Times New Roman" w:hAnsi="Times New Roman"/>
              </w:rPr>
              <w:t>;</w:t>
            </w:r>
            <w:r w:rsidRPr="009619BA">
              <w:rPr>
                <w:rFonts w:ascii="Times New Roman" w:hAnsi="Times New Roman"/>
              </w:rPr>
              <w:t>120</w:t>
            </w:r>
            <w:r>
              <w:rPr>
                <w:rFonts w:ascii="Times New Roman" w:hAnsi="Times New Roman"/>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 xml:space="preserve">Riska darījumi, uz kuriem var attiecināt KPR </w:t>
            </w:r>
            <w:r w:rsidRPr="009619BA">
              <w:rPr>
                <w:rFonts w:ascii="Times New Roman" w:hAnsi="Times New Roman"/>
                <w:b/>
              </w:rPr>
              <w:t>113</w:t>
            </w:r>
            <w:r>
              <w:rPr>
                <w:rFonts w:ascii="Times New Roman" w:hAnsi="Times New Roman"/>
                <w:b/>
              </w:rPr>
              <w:t xml:space="preserve">. panta </w:t>
            </w:r>
            <w:r w:rsidRPr="009619BA">
              <w:rPr>
                <w:rFonts w:ascii="Times New Roman" w:hAnsi="Times New Roman"/>
                <w:b/>
              </w:rPr>
              <w:t>6</w:t>
            </w:r>
            <w:r>
              <w:rPr>
                <w:rFonts w:ascii="Times New Roman" w:hAnsi="Times New Roman"/>
                <w:b/>
              </w:rPr>
              <w:t>. punktā noteikto pieeju – hipotētiski atbrīvotā sviras rādītāja riska darījuma vērtība</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 xml:space="preserve">Kopējās sviras rādītāja riska darījuma vērtības summa, kas tiktu atbrīvota, ja kompetentās iestādes pilnā apmērā piešķirtu atļauju piemērot atbrīvojumu riska darījumiem, kuri atbilst visiem nosacījumiem, kas izklāstīti KPR </w:t>
            </w:r>
            <w:r w:rsidRPr="009619BA">
              <w:rPr>
                <w:rFonts w:ascii="Times New Roman" w:hAnsi="Times New Roman"/>
              </w:rPr>
              <w:t>113</w:t>
            </w:r>
            <w:r>
              <w:rPr>
                <w:rFonts w:ascii="Times New Roman" w:hAnsi="Times New Roman"/>
              </w:rPr>
              <w:t xml:space="preserve">. panta </w:t>
            </w:r>
            <w:r w:rsidRPr="009619BA">
              <w:rPr>
                <w:rFonts w:ascii="Times New Roman" w:hAnsi="Times New Roman"/>
              </w:rPr>
              <w:t>6</w:t>
            </w:r>
            <w:r>
              <w:rPr>
                <w:rFonts w:ascii="Times New Roman" w:hAnsi="Times New Roman"/>
              </w:rPr>
              <w:t xml:space="preserve">. punkta a) līdz e) apakšpunktā, un kuriem ir sniegta atļauja, kas paredzēta KPR </w:t>
            </w:r>
            <w:r w:rsidRPr="009619BA">
              <w:rPr>
                <w:rFonts w:ascii="Times New Roman" w:hAnsi="Times New Roman"/>
              </w:rPr>
              <w:t>113</w:t>
            </w:r>
            <w:r>
              <w:rPr>
                <w:rFonts w:ascii="Times New Roman" w:hAnsi="Times New Roman"/>
              </w:rPr>
              <w:t xml:space="preserve">. panta </w:t>
            </w:r>
            <w:r w:rsidRPr="009619BA">
              <w:rPr>
                <w:rFonts w:ascii="Times New Roman" w:hAnsi="Times New Roman"/>
              </w:rPr>
              <w:t>6</w:t>
            </w:r>
            <w:r>
              <w:rPr>
                <w:rFonts w:ascii="Times New Roman" w:hAnsi="Times New Roman"/>
              </w:rPr>
              <w:t>. punktā. Ja kompetentā iestāde jau piešķīrusi atļauju pilnā apmērā, vērtība šajā šūnā ir vienāda ar vērtību LRCalc;</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w:t>
            </w:r>
            <w:r w:rsidRPr="009619BA">
              <w:rPr>
                <w:rFonts w:ascii="Times New Roman" w:hAnsi="Times New Roman"/>
              </w:rPr>
              <w:t>260</w:t>
            </w:r>
            <w:r>
              <w:rPr>
                <w:rFonts w:ascii="Times New Roman" w:hAnsi="Times New Roman"/>
              </w:rPr>
              <w:t>;</w:t>
            </w:r>
            <w:r w:rsidRPr="009619BA">
              <w:rPr>
                <w:rFonts w:ascii="Times New Roman" w:hAnsi="Times New Roman"/>
              </w:rPr>
              <w:t>120</w:t>
            </w:r>
            <w:r>
              <w:rPr>
                <w:rFonts w:ascii="Times New Roman" w:hAnsi="Times New Roman"/>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 xml:space="preserve">Riska darījumi, kas atbilst KPR </w:t>
            </w:r>
            <w:r w:rsidRPr="009619BA">
              <w:rPr>
                <w:rFonts w:ascii="Times New Roman" w:hAnsi="Times New Roman"/>
                <w:b/>
              </w:rPr>
              <w:t>429</w:t>
            </w:r>
            <w:r>
              <w:rPr>
                <w:rFonts w:ascii="Times New Roman" w:hAnsi="Times New Roman"/>
                <w:b/>
              </w:rPr>
              <w:t xml:space="preserve">. panta </w:t>
            </w:r>
            <w:r w:rsidRPr="009619BA">
              <w:rPr>
                <w:rFonts w:ascii="Times New Roman" w:hAnsi="Times New Roman"/>
                <w:b/>
              </w:rPr>
              <w:t>14</w:t>
            </w:r>
            <w:r>
              <w:rPr>
                <w:rFonts w:ascii="Times New Roman" w:hAnsi="Times New Roman"/>
                <w:b/>
              </w:rPr>
              <w:t>. punkta a) līdz c) apakšpunktā minētajiem nosacījumiem – hipotētiski atbrīvotā sviras rādītāja riska darījuma vērtība</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 xml:space="preserve">Kopējās sviras rādītāja riska darījuma vērtības summa, kas tiktu atbrīvota, ja kompetentās iestādes pilnā apmērā piešķirtu atļauju piemērot atbrīvojumu riska darījumiem, kuri atbilst nosacījumiem, kas izklāstīti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14</w:t>
            </w:r>
            <w:r>
              <w:rPr>
                <w:rFonts w:ascii="Times New Roman" w:hAnsi="Times New Roman"/>
              </w:rPr>
              <w:t>. punkta a) līdz c) apakšpunktā. Ja kompetentā iestāde jau piešķīrusi atļauju pilnā apmērā, vērtība šajā šūnā ir vienāda ar vērtību LRCalc;</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17528"/>
      <w:bookmarkEnd w:id="64"/>
      <w:bookmarkEnd w:id="65"/>
      <w:bookmarkEnd w:id="66"/>
      <w:r w:rsidRPr="009619BA">
        <w:rPr>
          <w:rFonts w:ascii="Times New Roman" w:hAnsi="Times New Roman"/>
          <w:b/>
        </w:rPr>
        <w:t>6</w:t>
      </w:r>
      <w:r>
        <w:rPr>
          <w:rFonts w:ascii="Times New Roman" w:hAnsi="Times New Roman"/>
          <w:b/>
        </w:rPr>
        <w:t>.</w:t>
      </w:r>
      <w:r>
        <w:tab/>
      </w:r>
      <w:r>
        <w:rPr>
          <w:rFonts w:ascii="Times New Roman" w:hAnsi="Times New Roman"/>
          <w:b/>
        </w:rPr>
        <w:t xml:space="preserve">C </w:t>
      </w:r>
      <w:r w:rsidRPr="009619BA">
        <w:rPr>
          <w:rFonts w:ascii="Times New Roman" w:hAnsi="Times New Roman"/>
          <w:b/>
        </w:rPr>
        <w:t>41</w:t>
      </w:r>
      <w:r>
        <w:rPr>
          <w:rFonts w:ascii="Times New Roman" w:hAnsi="Times New Roman"/>
          <w:b/>
        </w:rPr>
        <w:t>.</w:t>
      </w:r>
      <w:r w:rsidRPr="009619BA">
        <w:rPr>
          <w:rFonts w:ascii="Times New Roman" w:hAnsi="Times New Roman"/>
          <w:b/>
        </w:rPr>
        <w:t>00</w:t>
      </w:r>
      <w:r>
        <w:rPr>
          <w:rFonts w:ascii="Times New Roman" w:hAnsi="Times New Roman"/>
          <w:b/>
        </w:rPr>
        <w:t xml:space="preserve"> – Bilances un ārpusbilances posteņi – riska darījumu papildu dalījums</w:t>
      </w:r>
      <w:bookmarkEnd w:id="67"/>
      <w:bookmarkEnd w:id="68"/>
      <w:r>
        <w:rPr>
          <w:rFonts w:ascii="Times New Roman" w:hAnsi="Times New Roman"/>
          <w:b/>
        </w:rPr>
        <w:t xml:space="preserve"> (LR</w:t>
      </w:r>
      <w:r w:rsidRPr="009619BA">
        <w:rPr>
          <w:rFonts w:ascii="Times New Roman" w:hAnsi="Times New Roman"/>
          <w:b/>
        </w:rPr>
        <w:t>2</w:t>
      </w:r>
      <w:r>
        <w:rPr>
          <w:rFonts w:ascii="Times New Roman" w:hAnsi="Times New Roman"/>
          <w:b/>
        </w:rPr>
        <w:t>)</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9619BA">
        <w:rPr>
          <w:rFonts w:ascii="Times New Roman" w:hAnsi="Times New Roman"/>
        </w:rPr>
        <w:t>24</w:t>
      </w:r>
      <w:r>
        <w:rPr>
          <w:rFonts w:ascii="Times New Roman" w:hAnsi="Times New Roman"/>
        </w:rPr>
        <w:t>.</w:t>
      </w:r>
      <w:r>
        <w:tab/>
      </w:r>
      <w:r>
        <w:rPr>
          <w:rFonts w:ascii="Times New Roman" w:hAnsi="Times New Roman"/>
        </w:rPr>
        <w:t>LR</w:t>
      </w:r>
      <w:r w:rsidRPr="009619BA">
        <w:rPr>
          <w:rFonts w:ascii="Times New Roman" w:hAnsi="Times New Roman"/>
        </w:rPr>
        <w:t>2</w:t>
      </w:r>
      <w:r>
        <w:rPr>
          <w:rFonts w:ascii="Times New Roman" w:hAnsi="Times New Roman"/>
        </w:rPr>
        <w:t> veidnē sniedz informāciju par visu bilances un ārpusbilances riska darījumu papildu dalījuma posteņiem</w:t>
      </w:r>
      <w:r>
        <w:rPr>
          <w:rFonts w:ascii="Times New Roman" w:hAnsi="Times New Roman"/>
          <w:vertAlign w:val="superscript"/>
        </w:rPr>
        <w:footnoteReference w:id="2"/>
      </w:r>
      <w:r>
        <w:rPr>
          <w:rFonts w:ascii="Times New Roman" w:hAnsi="Times New Roman"/>
        </w:rPr>
        <w:t xml:space="preserve">, kas ietilpst netirdzniecības portfelī, un par visu tirdzniecības portfeļa riska darījumu papildu dalījuma posteņiem, uz ko attiecas darījuma partnera kredītrisks. Dalījums atbilst riska pakāpēm, kuras piemēro saskaņā ar KPR kredītriska sadaļu. Informāciju par riska darījumiem iegūst atšķirīgi attiecīgi saskaņā ar standartizēto pieeju un IRB pieeju.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25</w:t>
      </w:r>
      <w:r>
        <w:rPr>
          <w:rFonts w:ascii="Times New Roman" w:hAnsi="Times New Roman"/>
        </w:rPr>
        <w:t>.</w:t>
      </w:r>
      <w:r>
        <w:tab/>
      </w:r>
      <w:r>
        <w:rPr>
          <w:rFonts w:ascii="Times New Roman" w:hAnsi="Times New Roman"/>
        </w:rPr>
        <w:t xml:space="preserve">Attiecībā uz riska darījumiem, kuros izmanto KRM metodes, aizstājot darījuma partnera riska pakāpi ar garantijas riska pakāpi, iestādes ņem vērā riska pakāpi pēc aizstāšanas. Atbilstoši IRB pieejai iestādes izmanto šādu aprēķinu: riska darījumiem (kas nav tie, kuriem regulējošās prasībās ir noteiktas konkrētas riska pakāpes), kas pieder pie katras parādnieka kategorijas, riska pakāpi atvasina, dalot riska darījuma riska svērto vērtību, kas iegūta, izmantojot riska pakāpes formulu vai uzraudzības formulu (attiecīgi kredītriskam un vērtspapīrošanas riska darījumiem), ar riska darījuma vērtību, pēc tam, kad ņemtas vērā </w:t>
      </w:r>
      <w:r>
        <w:rPr>
          <w:rFonts w:ascii="Times New Roman" w:hAnsi="Times New Roman"/>
        </w:rPr>
        <w:lastRenderedPageBreak/>
        <w:t>ienākošās un izejošās naudas plūsmas sakarā ar kredītriska mazināšanas metodēm ar aizstāšanas ietekmi uz riska darījumu. Atbilstoši IRB pieejai riska darījumus, kas klasificēti kā tādi, kuros netiek pildītas saistības, izslēdz no {</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līdz {</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un iekļauj {</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xml:space="preserve">}. Atbilstoši standartizētajai pieejai riska darījumus, uz kuriem attiecas KPR </w:t>
      </w:r>
      <w:r w:rsidRPr="009619BA">
        <w:rPr>
          <w:rFonts w:ascii="Times New Roman" w:hAnsi="Times New Roman"/>
        </w:rPr>
        <w:t>112</w:t>
      </w:r>
      <w:r>
        <w:rPr>
          <w:rFonts w:ascii="Times New Roman" w:hAnsi="Times New Roman"/>
        </w:rPr>
        <w:t>. panta j) punkts, izslēdz no {</w:t>
      </w:r>
      <w:r w:rsidRPr="009619BA">
        <w:rPr>
          <w:rFonts w:ascii="Times New Roman" w:hAnsi="Times New Roman"/>
        </w:rPr>
        <w:t>020</w:t>
      </w:r>
      <w:r>
        <w:rPr>
          <w:rFonts w:ascii="Times New Roman" w:hAnsi="Times New Roman"/>
        </w:rPr>
        <w:t>;</w:t>
      </w:r>
      <w:r w:rsidRPr="009619BA">
        <w:rPr>
          <w:rFonts w:ascii="Times New Roman" w:hAnsi="Times New Roman"/>
        </w:rPr>
        <w:t>020</w:t>
      </w:r>
      <w:r>
        <w:rPr>
          <w:rFonts w:ascii="Times New Roman" w:hAnsi="Times New Roman"/>
        </w:rPr>
        <w:t>} līdz {</w:t>
      </w:r>
      <w:r w:rsidRPr="009619BA">
        <w:rPr>
          <w:rFonts w:ascii="Times New Roman" w:hAnsi="Times New Roman"/>
        </w:rPr>
        <w:t>090</w:t>
      </w:r>
      <w:r>
        <w:rPr>
          <w:rFonts w:ascii="Times New Roman" w:hAnsi="Times New Roman"/>
        </w:rPr>
        <w:t>;</w:t>
      </w:r>
      <w:r w:rsidRPr="009619BA">
        <w:rPr>
          <w:rFonts w:ascii="Times New Roman" w:hAnsi="Times New Roman"/>
        </w:rPr>
        <w:t>020</w:t>
      </w:r>
      <w:r>
        <w:rPr>
          <w:rFonts w:ascii="Times New Roman" w:hAnsi="Times New Roman"/>
        </w:rPr>
        <w:t>} un iekļauj {</w:t>
      </w:r>
      <w:r w:rsidRPr="009619BA">
        <w:rPr>
          <w:rFonts w:ascii="Times New Roman" w:hAnsi="Times New Roman"/>
        </w:rPr>
        <w:t>100</w:t>
      </w:r>
      <w:r>
        <w:rPr>
          <w:rFonts w:ascii="Times New Roman" w:hAnsi="Times New Roman"/>
        </w:rPr>
        <w:t>;</w:t>
      </w:r>
      <w:r w:rsidRPr="009619BA">
        <w:rPr>
          <w:rFonts w:ascii="Times New Roman" w:hAnsi="Times New Roman"/>
        </w:rPr>
        <w:t>020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26</w:t>
      </w:r>
      <w:r>
        <w:rPr>
          <w:rFonts w:ascii="Times New Roman" w:hAnsi="Times New Roman"/>
        </w:rPr>
        <w:t>.</w:t>
      </w:r>
      <w:r>
        <w:tab/>
      </w:r>
      <w:r>
        <w:rPr>
          <w:rFonts w:ascii="Times New Roman" w:hAnsi="Times New Roman"/>
        </w:rPr>
        <w:t xml:space="preserve">Saskaņā ar abām pieejām iestādes riska darījumus, kas atskaitīti no regulējošām prasībām atbilstošā kapitāla, uzskata par tādiem, kuriem piemērota </w:t>
      </w:r>
      <w:r w:rsidRPr="009619BA">
        <w:rPr>
          <w:rFonts w:ascii="Times New Roman" w:hAnsi="Times New Roman"/>
        </w:rPr>
        <w:t>1250</w:t>
      </w:r>
      <w:r>
        <w:rPr>
          <w:rFonts w:ascii="Times New Roman" w:hAnsi="Times New Roman"/>
        </w:rPr>
        <w:t> % riska pakāpe.</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Rinda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Atsauces uz tiesību aktiem un norādes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Kopā bilances un ārpusbilances riska darījumi, kas ietilpst netirdzniecības portfelī, kā arī tirdzniecības portfeļa riska darījumi, uz kuriem attiecas darījuma partnera kredītrisks (dalījums atbilstoši riska pakāpei):</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020</w:t>
            </w:r>
            <w:r>
              <w:rPr>
                <w:rFonts w:ascii="Times New Roman" w:hAnsi="Times New Roman"/>
              </w:rPr>
              <w:t>:*} līdz {</w:t>
            </w:r>
            <w:r w:rsidRPr="009619BA">
              <w:rPr>
                <w:rFonts w:ascii="Times New Roman" w:hAnsi="Times New Roman"/>
              </w:rPr>
              <w:t>100</w:t>
            </w:r>
            <w:r>
              <w:rPr>
                <w:rFonts w:ascii="Times New Roman" w:hAnsi="Times New Roman"/>
              </w:rPr>
              <w:t>;*} summa.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 </w:t>
            </w:r>
            <w:r w:rsidRPr="009619BA">
              <w:rPr>
                <w:rFonts w:ascii="Times New Roman" w:hAnsi="Times New Roman"/>
                <w:b/>
              </w:rPr>
              <w:t>0</w:t>
            </w:r>
            <w:r>
              <w:rPr>
                <w:rFonts w:ascii="Times New Roman" w:hAnsi="Times New Roman"/>
                <w:b/>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w:t>
            </w:r>
            <w:r w:rsidRPr="009619BA">
              <w:rPr>
                <w:rFonts w:ascii="Times New Roman" w:hAnsi="Times New Roman"/>
              </w:rPr>
              <w:t>0</w:t>
            </w:r>
            <w:r>
              <w:rPr>
                <w:rFonts w:ascii="Times New Roman" w:hAnsi="Times New Roman"/>
              </w:rPr>
              <w:t> % riska pakāpi.</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0</w:t>
            </w:r>
            <w:r>
              <w:rPr>
                <w:rFonts w:ascii="Times New Roman" w:hAnsi="Times New Roman"/>
                <w:b/>
              </w:rPr>
              <w:t xml:space="preserve"> % un ≤ </w:t>
            </w:r>
            <w:r w:rsidRPr="009619BA">
              <w:rPr>
                <w:rFonts w:ascii="Times New Roman" w:hAnsi="Times New Roman"/>
                <w:b/>
              </w:rPr>
              <w:t>12</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0</w:t>
            </w:r>
            <w:r>
              <w:rPr>
                <w:rFonts w:ascii="Times New Roman" w:hAnsi="Times New Roman"/>
              </w:rPr>
              <w:t xml:space="preserve"> % un mazākas par vai vienādas ar </w:t>
            </w:r>
            <w:r w:rsidRPr="009619BA">
              <w:rPr>
                <w:rFonts w:ascii="Times New Roman" w:hAnsi="Times New Roman"/>
              </w:rPr>
              <w:t>12</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9619BA">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12</w:t>
            </w:r>
            <w:r>
              <w:rPr>
                <w:rFonts w:ascii="Times New Roman" w:hAnsi="Times New Roman"/>
                <w:b/>
              </w:rPr>
              <w:t xml:space="preserve"> % un ≤ </w:t>
            </w:r>
            <w:r w:rsidRPr="009619BA">
              <w:rPr>
                <w:rFonts w:ascii="Times New Roman" w:hAnsi="Times New Roman"/>
                <w:b/>
              </w:rPr>
              <w:t>20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12</w:t>
            </w:r>
            <w:r>
              <w:rPr>
                <w:rFonts w:ascii="Times New Roman" w:hAnsi="Times New Roman"/>
              </w:rPr>
              <w:t xml:space="preserve"> % un mazākas par vai vienādas ar </w:t>
            </w:r>
            <w:r w:rsidRPr="009619BA">
              <w:rPr>
                <w:rFonts w:ascii="Times New Roman" w:hAnsi="Times New Roman"/>
              </w:rPr>
              <w:t>20</w:t>
            </w:r>
            <w:r>
              <w:rPr>
                <w:rFonts w:ascii="Times New Roman" w:hAnsi="Times New Roman"/>
              </w:rPr>
              <w:t xml:space="preserve">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20</w:t>
            </w:r>
            <w:r>
              <w:rPr>
                <w:rFonts w:ascii="Times New Roman" w:hAnsi="Times New Roman"/>
                <w:b/>
              </w:rPr>
              <w:t xml:space="preserve"> % un ≤ </w:t>
            </w:r>
            <w:r w:rsidRPr="009619BA">
              <w:rPr>
                <w:rFonts w:ascii="Times New Roman" w:hAnsi="Times New Roman"/>
                <w:b/>
              </w:rPr>
              <w:t>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20</w:t>
            </w:r>
            <w:r>
              <w:rPr>
                <w:rFonts w:ascii="Times New Roman" w:hAnsi="Times New Roman"/>
              </w:rPr>
              <w:t xml:space="preserve"> % un mazākas par vai vienādas ar </w:t>
            </w:r>
            <w:r w:rsidRPr="009619BA">
              <w:rPr>
                <w:rFonts w:ascii="Times New Roman" w:hAnsi="Times New Roman"/>
              </w:rPr>
              <w:t>50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50</w:t>
            </w:r>
            <w:r>
              <w:rPr>
                <w:rFonts w:ascii="Times New Roman" w:hAnsi="Times New Roman"/>
                <w:b/>
              </w:rPr>
              <w:t xml:space="preserve"> % un ≤ </w:t>
            </w:r>
            <w:r w:rsidRPr="009619BA">
              <w:rPr>
                <w:rFonts w:ascii="Times New Roman" w:hAnsi="Times New Roman"/>
                <w:b/>
              </w:rPr>
              <w:t>75</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50</w:t>
            </w:r>
            <w:r>
              <w:rPr>
                <w:rFonts w:ascii="Times New Roman" w:hAnsi="Times New Roman"/>
              </w:rPr>
              <w:t xml:space="preserve"> % un mazākas par vai vienādas ar </w:t>
            </w:r>
            <w:r w:rsidRPr="009619BA">
              <w:rPr>
                <w:rFonts w:ascii="Times New Roman" w:hAnsi="Times New Roman"/>
              </w:rPr>
              <w:t>75</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75</w:t>
            </w:r>
            <w:r>
              <w:rPr>
                <w:rFonts w:ascii="Times New Roman" w:hAnsi="Times New Roman"/>
                <w:b/>
              </w:rPr>
              <w:t xml:space="preserve"> % un ≤ </w:t>
            </w:r>
            <w:r w:rsidRPr="009619BA">
              <w:rPr>
                <w:rFonts w:ascii="Times New Roman" w:hAnsi="Times New Roman"/>
                <w:b/>
              </w:rPr>
              <w:t>100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75</w:t>
            </w:r>
            <w:r>
              <w:rPr>
                <w:rFonts w:ascii="Times New Roman" w:hAnsi="Times New Roman"/>
              </w:rPr>
              <w:t xml:space="preserve"> % un mazākas par vai vienādas ar </w:t>
            </w:r>
            <w:r w:rsidRPr="009619BA">
              <w:rPr>
                <w:rFonts w:ascii="Times New Roman" w:hAnsi="Times New Roman"/>
              </w:rPr>
              <w:t>100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100</w:t>
            </w:r>
            <w:r>
              <w:rPr>
                <w:rFonts w:ascii="Times New Roman" w:hAnsi="Times New Roman"/>
                <w:b/>
              </w:rPr>
              <w:t xml:space="preserve"> % un ≤ </w:t>
            </w:r>
            <w:r w:rsidRPr="009619BA">
              <w:rPr>
                <w:rFonts w:ascii="Times New Roman" w:hAnsi="Times New Roman"/>
                <w:b/>
              </w:rPr>
              <w:t>425</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100</w:t>
            </w:r>
            <w:r>
              <w:rPr>
                <w:rFonts w:ascii="Times New Roman" w:hAnsi="Times New Roman"/>
              </w:rPr>
              <w:t xml:space="preserve"> % un mazākas par vai vienādas ar </w:t>
            </w:r>
            <w:r w:rsidRPr="009619BA">
              <w:rPr>
                <w:rFonts w:ascii="Times New Roman" w:hAnsi="Times New Roman"/>
              </w:rPr>
              <w:t>425</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9619BA">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9619BA">
              <w:rPr>
                <w:rFonts w:ascii="Times New Roman" w:hAnsi="Times New Roman"/>
                <w:b/>
              </w:rPr>
              <w:t>425</w:t>
            </w:r>
            <w:r>
              <w:rPr>
                <w:rFonts w:ascii="Times New Roman" w:hAnsi="Times New Roman"/>
                <w:b/>
              </w:rPr>
              <w:t xml:space="preserve"> % un ≤ </w:t>
            </w:r>
            <w:r w:rsidRPr="009619BA">
              <w:rPr>
                <w:rFonts w:ascii="Times New Roman" w:hAnsi="Times New Roman"/>
                <w:b/>
              </w:rPr>
              <w:t>1250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Riska darījumi ar riska pakāpi, kas iekļauta tādu riska pakāpju diapazonā, kuras ir lielākas par </w:t>
            </w:r>
            <w:r w:rsidRPr="009619BA">
              <w:rPr>
                <w:rFonts w:ascii="Times New Roman" w:hAnsi="Times New Roman"/>
              </w:rPr>
              <w:t>425</w:t>
            </w:r>
            <w:r>
              <w:rPr>
                <w:rFonts w:ascii="Times New Roman" w:hAnsi="Times New Roman"/>
              </w:rPr>
              <w:t xml:space="preserve"> % un mazākas par vai vienādas ar </w:t>
            </w:r>
            <w:r w:rsidRPr="009619BA">
              <w:rPr>
                <w:rFonts w:ascii="Times New Roman" w:hAnsi="Times New Roman"/>
              </w:rPr>
              <w:t>1250</w:t>
            </w:r>
            <w:r>
              <w:rPr>
                <w:rFonts w:ascii="Times New Roman" w:hAnsi="Times New Roman"/>
              </w:rPr>
              <w: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9619BA">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kuros netiek pildītas saistības</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Saskaņā ar standartizēto pieeju riska darījumi, uz kuriem attiecas KPR </w:t>
            </w:r>
            <w:r w:rsidRPr="009619BA">
              <w:rPr>
                <w:rFonts w:ascii="Times New Roman" w:hAnsi="Times New Roman"/>
              </w:rPr>
              <w:t>112</w:t>
            </w:r>
            <w:r>
              <w:rPr>
                <w:rFonts w:ascii="Times New Roman" w:hAnsi="Times New Roman"/>
              </w:rPr>
              <w:t>. panta j) punkts.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Saskaņā ar IRB pieeju visi riska darījumi ar </w:t>
            </w:r>
            <w:r w:rsidRPr="009619BA">
              <w:rPr>
                <w:rFonts w:ascii="Times New Roman" w:hAnsi="Times New Roman"/>
              </w:rPr>
              <w:t>100</w:t>
            </w:r>
            <w:r>
              <w:rPr>
                <w:rFonts w:ascii="Times New Roman" w:hAnsi="Times New Roman"/>
              </w:rPr>
              <w:t xml:space="preserve"> % PD ir riska darījumi, kuros netiek pildītas saistības.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9619BA">
              <w:rPr>
                <w:rFonts w:ascii="Times New Roman" w:hAnsi="Times New Roman"/>
              </w:rPr>
              <w:lastRenderedPageBreak/>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(izziņas postenis) Zema riska ārpusbilances posteņi vai ārpusbilances posteņi, kuriem ir </w:t>
            </w:r>
            <w:r w:rsidRPr="009619BA">
              <w:rPr>
                <w:rFonts w:ascii="Times New Roman" w:hAnsi="Times New Roman"/>
                <w:b/>
              </w:rPr>
              <w:t>0</w:t>
            </w:r>
            <w:r>
              <w:rPr>
                <w:rFonts w:ascii="Times New Roman" w:hAnsi="Times New Roman"/>
                <w:b/>
              </w:rPr>
              <w:t> % korekcijas pakāpe saskaņā ar maksātspējas rādītāju</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Zema riska ārpusbilances posteņi saskaņā ar KPR </w:t>
            </w:r>
            <w:r w:rsidRPr="009619BA">
              <w:rPr>
                <w:rFonts w:ascii="Times New Roman" w:hAnsi="Times New Roman"/>
              </w:rPr>
              <w:t>111</w:t>
            </w:r>
            <w:r>
              <w:rPr>
                <w:rFonts w:ascii="Times New Roman" w:hAnsi="Times New Roman"/>
              </w:rPr>
              <w:t xml:space="preserve">. pantu un ārpusbilances posteņi ar </w:t>
            </w:r>
            <w:r w:rsidRPr="009619BA">
              <w:rPr>
                <w:rFonts w:ascii="Times New Roman" w:hAnsi="Times New Roman"/>
              </w:rPr>
              <w:t>0</w:t>
            </w:r>
            <w:r>
              <w:rPr>
                <w:rFonts w:ascii="Times New Roman" w:hAnsi="Times New Roman"/>
              </w:rPr>
              <w:t xml:space="preserve"> % korekcijas pakāpi saskaņā ar KPR </w:t>
            </w:r>
            <w:r w:rsidRPr="009619BA">
              <w:rPr>
                <w:rFonts w:ascii="Times New Roman" w:hAnsi="Times New Roman"/>
              </w:rPr>
              <w:t>166</w:t>
            </w:r>
            <w:r>
              <w:rPr>
                <w:rFonts w:ascii="Times New Roman" w:hAnsi="Times New Roman"/>
              </w:rPr>
              <w:t>. pantu.</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Sleja</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Atsauces uz tiesību aktiem un norādes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9619BA">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Bilances un ārpusbilances riska darījumi (SP riska darījumi)</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Bilances un ārpusbilances riska darījuma vērtības, pēc tam, kad ņemtas vērā vērtības korekcijas, visi KRM un kredītu korekcijas pakāpes, kas aprēķinātas saskaņā ar KPR Trešās daļas </w:t>
            </w:r>
            <w:r w:rsidRPr="009619BA">
              <w:rPr>
                <w:rFonts w:ascii="Times New Roman" w:hAnsi="Times New Roman"/>
              </w:rPr>
              <w:t>2</w:t>
            </w:r>
            <w:r>
              <w:rPr>
                <w:rFonts w:ascii="Times New Roman" w:hAnsi="Times New Roman"/>
              </w:rPr>
              <w:t xml:space="preserve">. nodaļas II sadaļu.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9619BA">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Bilances un ārpusbilances riska darījumi (IRB riska darījumi)</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Bilances un ārpusbilances riska darījuma vērtības saskaņā ar KPR </w:t>
            </w:r>
            <w:r w:rsidRPr="009619BA">
              <w:rPr>
                <w:rFonts w:ascii="Times New Roman" w:hAnsi="Times New Roman"/>
              </w:rPr>
              <w:t>166</w:t>
            </w:r>
            <w:r>
              <w:rPr>
                <w:rFonts w:ascii="Times New Roman" w:hAnsi="Times New Roman"/>
              </w:rPr>
              <w:t xml:space="preserve">. pantu un KPR </w:t>
            </w:r>
            <w:r w:rsidRPr="009619BA">
              <w:rPr>
                <w:rFonts w:ascii="Times New Roman" w:hAnsi="Times New Roman"/>
              </w:rPr>
              <w:t>230</w:t>
            </w:r>
            <w:r>
              <w:rPr>
                <w:rFonts w:ascii="Times New Roman" w:hAnsi="Times New Roman"/>
              </w:rPr>
              <w:t xml:space="preserve">. panta </w:t>
            </w:r>
            <w:r w:rsidRPr="009619BA">
              <w:rPr>
                <w:rFonts w:ascii="Times New Roman" w:hAnsi="Times New Roman"/>
              </w:rPr>
              <w:t>1</w:t>
            </w:r>
            <w:r>
              <w:rPr>
                <w:rFonts w:ascii="Times New Roman" w:hAnsi="Times New Roman"/>
              </w:rPr>
              <w:t>. punkta otrās daļas pirmo teikumu, pēc tam, kad ņemtas vērā ienākošās un izejošās naudas plūsmas sakarā ar KRM metodēm ar aizstāšanas ietekmi uz riska darījumu.</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Attiecībā uz ārpusbilances posteņiem iestādes piemēro korekcijas pakāpes, kas noteiktas KPR </w:t>
            </w:r>
            <w:r w:rsidRPr="009619BA">
              <w:rPr>
                <w:rFonts w:ascii="Times New Roman" w:hAnsi="Times New Roman"/>
              </w:rPr>
              <w:t>166</w:t>
            </w:r>
            <w:r>
              <w:rPr>
                <w:rFonts w:ascii="Times New Roman" w:hAnsi="Times New Roman"/>
              </w:rPr>
              <w:t xml:space="preserve">. panta </w:t>
            </w:r>
            <w:r w:rsidRPr="009619BA">
              <w:rPr>
                <w:rFonts w:ascii="Times New Roman" w:hAnsi="Times New Roman"/>
              </w:rPr>
              <w:t>8</w:t>
            </w:r>
            <w:r>
              <w:rPr>
                <w:rFonts w:ascii="Times New Roman" w:hAnsi="Times New Roman"/>
              </w:rPr>
              <w:t xml:space="preserve">. līdz </w:t>
            </w:r>
            <w:r w:rsidRPr="009619BA">
              <w:rPr>
                <w:rFonts w:ascii="Times New Roman" w:hAnsi="Times New Roman"/>
              </w:rPr>
              <w:t>10</w:t>
            </w:r>
            <w:r>
              <w:rPr>
                <w:rFonts w:ascii="Times New Roman" w:hAnsi="Times New Roman"/>
              </w:rPr>
              <w:t>. punktā.</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9619BA">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Nominālvērtība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111</w:t>
            </w:r>
            <w:r>
              <w:rPr>
                <w:rFonts w:ascii="Times New Roman" w:hAnsi="Times New Roman"/>
              </w:rPr>
              <w:t xml:space="preserve">. un </w:t>
            </w:r>
            <w:r w:rsidRPr="009619BA">
              <w:rPr>
                <w:rFonts w:ascii="Times New Roman" w:hAnsi="Times New Roman"/>
              </w:rPr>
              <w:t>166</w:t>
            </w:r>
            <w:r>
              <w:rPr>
                <w:rFonts w:ascii="Times New Roman" w:hAnsi="Times New Roman"/>
              </w:rPr>
              <w:t xml:space="preserve">. pantā noteiktās ārpusbilances posteņu riska darījuma vērtības, nepiemērojot korekcijas pakāpes.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917529"/>
      <w:bookmarkStart w:id="82" w:name="_Toc322687894"/>
      <w:bookmarkEnd w:id="63"/>
      <w:bookmarkEnd w:id="71"/>
      <w:bookmarkEnd w:id="72"/>
      <w:bookmarkEnd w:id="73"/>
      <w:bookmarkEnd w:id="74"/>
      <w:bookmarkEnd w:id="75"/>
      <w:bookmarkEnd w:id="76"/>
      <w:bookmarkEnd w:id="77"/>
      <w:r w:rsidRPr="009619BA">
        <w:rPr>
          <w:rFonts w:ascii="Times New Roman" w:hAnsi="Times New Roman"/>
          <w:b/>
        </w:rPr>
        <w:t>7</w:t>
      </w:r>
      <w:r>
        <w:rPr>
          <w:rFonts w:ascii="Times New Roman" w:hAnsi="Times New Roman"/>
          <w:b/>
        </w:rPr>
        <w:t>.</w:t>
      </w:r>
      <w:r>
        <w:tab/>
      </w:r>
      <w:r>
        <w:rPr>
          <w:rFonts w:ascii="Times New Roman" w:hAnsi="Times New Roman"/>
          <w:b/>
        </w:rPr>
        <w:t xml:space="preserve">C </w:t>
      </w:r>
      <w:r w:rsidRPr="009619BA">
        <w:rPr>
          <w:rFonts w:ascii="Times New Roman" w:hAnsi="Times New Roman"/>
          <w:b/>
        </w:rPr>
        <w:t>42</w:t>
      </w:r>
      <w:r>
        <w:rPr>
          <w:rFonts w:ascii="Times New Roman" w:hAnsi="Times New Roman"/>
          <w:b/>
        </w:rPr>
        <w:t>.</w:t>
      </w:r>
      <w:r w:rsidRPr="009619BA">
        <w:rPr>
          <w:rFonts w:ascii="Times New Roman" w:hAnsi="Times New Roman"/>
          <w:b/>
        </w:rPr>
        <w:t>00</w:t>
      </w:r>
      <w:r>
        <w:rPr>
          <w:rFonts w:ascii="Times New Roman" w:hAnsi="Times New Roman"/>
          <w:b/>
        </w:rPr>
        <w:t xml:space="preserve"> – Kapitāla alternatīva definīcija </w:t>
      </w:r>
      <w:bookmarkEnd w:id="78"/>
      <w:bookmarkEnd w:id="79"/>
      <w:r>
        <w:rPr>
          <w:rFonts w:ascii="Times New Roman" w:hAnsi="Times New Roman"/>
          <w:b/>
        </w:rPr>
        <w:t>(LR</w:t>
      </w:r>
      <w:r w:rsidRPr="009619BA">
        <w:rPr>
          <w:rFonts w:ascii="Times New Roman" w:hAnsi="Times New Roman"/>
          <w:b/>
        </w:rPr>
        <w:t>3</w:t>
      </w:r>
      <w:r>
        <w:rPr>
          <w:rFonts w:ascii="Times New Roman" w:hAnsi="Times New Roman"/>
          <w:b/>
        </w:rPr>
        <w:t>)</w:t>
      </w:r>
      <w:bookmarkEnd w:id="80"/>
      <w:bookmarkEnd w:id="81"/>
      <w:r>
        <w:rPr>
          <w:rFonts w:ascii="Times New Roman" w:hAnsi="Times New Roman"/>
          <w:b/>
        </w:rPr>
        <w:t xml:space="preserve"> </w:t>
      </w:r>
      <w:bookmarkEnd w:id="82"/>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27</w:t>
      </w:r>
      <w:r>
        <w:rPr>
          <w:rFonts w:ascii="Times New Roman" w:hAnsi="Times New Roman"/>
        </w:rPr>
        <w:t>.</w:t>
      </w:r>
      <w:r>
        <w:tab/>
      </w:r>
      <w:r>
        <w:rPr>
          <w:rFonts w:ascii="Times New Roman" w:hAnsi="Times New Roman"/>
        </w:rPr>
        <w:t>LR</w:t>
      </w:r>
      <w:r w:rsidRPr="009619BA">
        <w:rPr>
          <w:rFonts w:ascii="Times New Roman" w:hAnsi="Times New Roman"/>
        </w:rPr>
        <w:t>3</w:t>
      </w:r>
      <w:r>
        <w:rPr>
          <w:rFonts w:ascii="Times New Roman" w:hAnsi="Times New Roman"/>
        </w:rPr>
        <w:t xml:space="preserve"> veidnē sniedz informāciju par kapitāla mēriem, kas nepieciešami KPR </w:t>
      </w:r>
      <w:r w:rsidRPr="009619BA">
        <w:rPr>
          <w:rFonts w:ascii="Times New Roman" w:hAnsi="Times New Roman"/>
        </w:rPr>
        <w:t>511</w:t>
      </w:r>
      <w:r>
        <w:rPr>
          <w:rFonts w:ascii="Times New Roman" w:hAnsi="Times New Roman"/>
        </w:rPr>
        <w:t>. pantā paredzētajai pārskatīšanai.</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Rinda </w:t>
            </w:r>
          </w:p>
          <w:p w:rsidR="00F4754B" w:rsidRPr="00FE002E" w:rsidRDefault="00F4754B" w:rsidP="00F4754B">
            <w:pPr>
              <w:pStyle w:val="BodyText1"/>
              <w:rPr>
                <w:rFonts w:ascii="Times New Roman" w:hAnsi="Times New Roman"/>
                <w:b/>
                <w:bCs/>
                <w:u w:val="single"/>
              </w:rPr>
            </w:pPr>
            <w:r>
              <w:rPr>
                <w:rFonts w:ascii="Times New Roman" w:hAnsi="Times New Roman"/>
                <w:b/>
              </w:rPr>
              <w:t>un sleja</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Atsauces uz tiesību aktiem un norādes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Pirmā līmeņa pamata kapitāls – pilnībā ieviestā definīcija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50</w:t>
            </w:r>
            <w:r>
              <w:rPr>
                <w:rFonts w:ascii="Times New Roman" w:hAnsi="Times New Roman"/>
              </w:rPr>
              <w:t>. pants</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 xml:space="preserve">Tā ir pirmā līmeņa pamata kapitāla summa, kā definēts KPR </w:t>
            </w:r>
            <w:r w:rsidRPr="009619BA">
              <w:rPr>
                <w:rFonts w:ascii="Times New Roman" w:hAnsi="Times New Roman"/>
              </w:rPr>
              <w:t>50</w:t>
            </w:r>
            <w:r>
              <w:rPr>
                <w:rFonts w:ascii="Times New Roman" w:hAnsi="Times New Roman"/>
              </w:rPr>
              <w:t xml:space="preserve">. pantā, neņemot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Pirmā līmeņa pamata kapitāls – pārejas definīcija</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KPR </w:t>
            </w:r>
            <w:r w:rsidRPr="009619BA">
              <w:rPr>
                <w:rFonts w:ascii="Times New Roman" w:hAnsi="Times New Roman"/>
              </w:rPr>
              <w:t>50</w:t>
            </w:r>
            <w:r>
              <w:rPr>
                <w:rFonts w:ascii="Times New Roman" w:hAnsi="Times New Roman"/>
              </w:rPr>
              <w:t>. pants</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 xml:space="preserve">Tā ir pirmā līmeņa pamata kapitāla summa, kas aprēķināta, kā definēts KPR </w:t>
            </w:r>
            <w:r w:rsidRPr="009619BA">
              <w:rPr>
                <w:rFonts w:ascii="Times New Roman" w:hAnsi="Times New Roman"/>
              </w:rPr>
              <w:t>50</w:t>
            </w:r>
            <w:r>
              <w:rPr>
                <w:rFonts w:ascii="Times New Roman" w:hAnsi="Times New Roman"/>
              </w:rPr>
              <w:t xml:space="preserve">. pantā, pēc tam, kad ņemta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minētā atkāpe.</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Kopā pašu kapitāls – pilnībā ieviestā definīcija</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lastRenderedPageBreak/>
              <w:t xml:space="preserve">KPR </w:t>
            </w:r>
            <w:r w:rsidRPr="009619BA">
              <w:rPr>
                <w:rFonts w:ascii="Times New Roman" w:hAnsi="Times New Roman"/>
              </w:rPr>
              <w:t>72</w:t>
            </w:r>
            <w:r>
              <w:rPr>
                <w:rFonts w:ascii="Times New Roman" w:hAnsi="Times New Roman"/>
              </w:rPr>
              <w:t>. pants</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Tā ir pašu kapitāla summa, kā definēts KPR </w:t>
            </w:r>
            <w:r w:rsidRPr="009619BA">
              <w:rPr>
                <w:rFonts w:ascii="Times New Roman" w:hAnsi="Times New Roman"/>
              </w:rPr>
              <w:t>72</w:t>
            </w:r>
            <w:r>
              <w:rPr>
                <w:rFonts w:ascii="Times New Roman" w:hAnsi="Times New Roman"/>
              </w:rPr>
              <w:t xml:space="preserve">. pantā, neņemot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Kopā pašu kapitāls – pārejas definīcija</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KPR </w:t>
            </w:r>
            <w:r w:rsidRPr="009619BA">
              <w:rPr>
                <w:rFonts w:ascii="Times New Roman" w:hAnsi="Times New Roman"/>
              </w:rPr>
              <w:t>72</w:t>
            </w:r>
            <w:r>
              <w:rPr>
                <w:rFonts w:ascii="Times New Roman" w:hAnsi="Times New Roman"/>
              </w:rPr>
              <w:t>. pants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Tā ir pašu kapitāla summa, kā definēts KPR </w:t>
            </w:r>
            <w:r w:rsidRPr="009619BA">
              <w:rPr>
                <w:rFonts w:ascii="Times New Roman" w:hAnsi="Times New Roman"/>
              </w:rPr>
              <w:t>72</w:t>
            </w:r>
            <w:r>
              <w:rPr>
                <w:rFonts w:ascii="Times New Roman" w:hAnsi="Times New Roman"/>
              </w:rPr>
              <w:t xml:space="preserve">. pantā, pēc tam, kad ņemta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minētā atkāpe.</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9619BA">
              <w:rPr>
                <w:rFonts w:ascii="Times New Roman" w:hAnsi="Times New Roman"/>
              </w:rPr>
              <w:t>055</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Atskaitītā aktīvu summa – no pirmā līmeņa pamata kapitāla posteņiem – pilnībā ieviestā definīcija</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Tajā iekļauj pirmā līmeņa pamata kapitāla posteņu regulatīvo korekciju summu, ar ko koriģē aktīva vērtību un kas ir paredzētas:</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pantā, vai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pantā</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atkarībā no attiecīgā gadījuma.</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neņemot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 Lai izvairītos no dubultas uzskaites, iestādes, aprēķinot riska darījuma vērtību {LRCalc;</w:t>
            </w:r>
            <w:r w:rsidRPr="009619BA">
              <w:rPr>
                <w:rFonts w:ascii="Times New Roman" w:hAnsi="Times New Roman"/>
              </w:rPr>
              <w:t>10</w:t>
            </w:r>
            <w:r>
              <w:rPr>
                <w:rFonts w:ascii="Times New Roman" w:hAnsi="Times New Roman"/>
              </w:rPr>
              <w:t>;</w:t>
            </w:r>
            <w:r w:rsidRPr="009619BA">
              <w:rPr>
                <w:rFonts w:ascii="Times New Roman" w:hAnsi="Times New Roman"/>
              </w:rPr>
              <w:t>10</w:t>
            </w:r>
            <w:r>
              <w:rPr>
                <w:rFonts w:ascii="Times New Roman" w:hAnsi="Times New Roman"/>
              </w:rPr>
              <w:t>} līdz {LRCalc;</w:t>
            </w:r>
            <w:r w:rsidRPr="009619BA">
              <w:rPr>
                <w:rFonts w:ascii="Times New Roman" w:hAnsi="Times New Roman"/>
              </w:rPr>
              <w:t>260</w:t>
            </w:r>
            <w:r>
              <w:rPr>
                <w:rFonts w:ascii="Times New Roman" w:hAnsi="Times New Roman"/>
              </w:rPr>
              <w:t>;</w:t>
            </w:r>
            <w:r w:rsidRPr="009619BA">
              <w:rPr>
                <w:rFonts w:ascii="Times New Roman" w:hAnsi="Times New Roman"/>
              </w:rPr>
              <w:t>10</w:t>
            </w:r>
            <w:r>
              <w:rPr>
                <w:rFonts w:ascii="Times New Roman" w:hAnsi="Times New Roman"/>
              </w:rPr>
              <w:t xml:space="preserve">}, nenorāda korekcijas, kas jau piemērotas saskaņā ar KPR </w:t>
            </w:r>
            <w:r w:rsidRPr="009619BA">
              <w:rPr>
                <w:rFonts w:ascii="Times New Roman" w:hAnsi="Times New Roman"/>
              </w:rPr>
              <w:t>111</w:t>
            </w:r>
            <w:r>
              <w:rPr>
                <w:rFonts w:ascii="Times New Roman" w:hAnsi="Times New Roman"/>
              </w:rPr>
              <w:t>. pantu, un nenorāda korekcijas, ar ko netiek atskaitīta konkrēta aktīva vērtība.</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Tā kā šīs korekcijas samazina kopējo pašu kapitālu, tās norāda kā negatīvu skaitli.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9619BA">
              <w:rPr>
                <w:rFonts w:ascii="Times New Roman" w:hAnsi="Times New Roman"/>
              </w:rPr>
              <w:t>065</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Atskaitītā aktīvu summa – no pirmā līmeņa pamata kapitāla posteņiem – pārejas definīcija</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Tajā iekļauj pirmā līmeņa pamata kapitāla regulatīvo korekciju summu, ar ko koriģē aktīva vērtību un kas ir paredzētas: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pantā, vai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pantā</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attiecīgos gadījumos.</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papildus tam, ka ņem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 Lai izvairītos no dubultas uzskaites, iestādes, aprēķinot riska darījuma vērtību {LRCalc;</w:t>
            </w:r>
            <w:r w:rsidRPr="009619BA">
              <w:rPr>
                <w:rFonts w:ascii="Times New Roman" w:hAnsi="Times New Roman"/>
              </w:rPr>
              <w:t>10</w:t>
            </w:r>
            <w:r>
              <w:rPr>
                <w:rFonts w:ascii="Times New Roman" w:hAnsi="Times New Roman"/>
              </w:rPr>
              <w:t>;</w:t>
            </w:r>
            <w:r w:rsidRPr="009619BA">
              <w:rPr>
                <w:rFonts w:ascii="Times New Roman" w:hAnsi="Times New Roman"/>
              </w:rPr>
              <w:t>10</w:t>
            </w:r>
            <w:r>
              <w:rPr>
                <w:rFonts w:ascii="Times New Roman" w:hAnsi="Times New Roman"/>
              </w:rPr>
              <w:t>} līdz {LRCalc;</w:t>
            </w:r>
            <w:r w:rsidRPr="009619BA">
              <w:rPr>
                <w:rFonts w:ascii="Times New Roman" w:hAnsi="Times New Roman"/>
              </w:rPr>
              <w:t>260</w:t>
            </w:r>
            <w:r>
              <w:rPr>
                <w:rFonts w:ascii="Times New Roman" w:hAnsi="Times New Roman"/>
              </w:rPr>
              <w:t>;</w:t>
            </w:r>
            <w:r w:rsidRPr="009619BA">
              <w:rPr>
                <w:rFonts w:ascii="Times New Roman" w:hAnsi="Times New Roman"/>
              </w:rPr>
              <w:t>10</w:t>
            </w:r>
            <w:r>
              <w:rPr>
                <w:rFonts w:ascii="Times New Roman" w:hAnsi="Times New Roman"/>
              </w:rPr>
              <w:t xml:space="preserve">}, nenorāda korekcijas, kas jau piemērotas saskaņā ar KPR </w:t>
            </w:r>
            <w:r w:rsidRPr="009619BA">
              <w:rPr>
                <w:rFonts w:ascii="Times New Roman" w:hAnsi="Times New Roman"/>
              </w:rPr>
              <w:t>111</w:t>
            </w:r>
            <w:r>
              <w:rPr>
                <w:rFonts w:ascii="Times New Roman" w:hAnsi="Times New Roman"/>
              </w:rPr>
              <w:t>. pantu, un nenorāda korekcijas, ar ko netiek atskaitīta konkrēta aktīva vērtība.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Tā kā šīs korekcijas samazina kopējo pašu kapitālu, tās norāda kā negatīvu skaitli.</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9619BA">
              <w:rPr>
                <w:rFonts w:ascii="Times New Roman" w:hAnsi="Times New Roman"/>
              </w:rPr>
              <w:t>075</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Atskaitītā aktīvu summa – no pašu kapitāla posteņiem – pilnībā ieviestā definīcija</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Tajā iekļauj pašu kapitāla posteņu regulatīvo korekciju summu, ar ko koriģē aktīva vērtību un kas ir paredzētas: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pantā, vai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pantā, vai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56</w:t>
            </w:r>
            <w:r>
              <w:rPr>
                <w:rFonts w:ascii="Times New Roman" w:hAnsi="Times New Roman"/>
              </w:rPr>
              <w:t xml:space="preserve">. līdz </w:t>
            </w:r>
            <w:r w:rsidRPr="009619BA">
              <w:rPr>
                <w:rFonts w:ascii="Times New Roman" w:hAnsi="Times New Roman"/>
              </w:rPr>
              <w:t>60</w:t>
            </w:r>
            <w:r>
              <w:rPr>
                <w:rFonts w:ascii="Times New Roman" w:hAnsi="Times New Roman"/>
              </w:rPr>
              <w:t>. pantā, vai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66</w:t>
            </w:r>
            <w:r>
              <w:rPr>
                <w:rFonts w:ascii="Times New Roman" w:hAnsi="Times New Roman"/>
              </w:rPr>
              <w:t xml:space="preserve">. līdz </w:t>
            </w:r>
            <w:r w:rsidRPr="009619BA">
              <w:rPr>
                <w:rFonts w:ascii="Times New Roman" w:hAnsi="Times New Roman"/>
              </w:rPr>
              <w:t>70</w:t>
            </w:r>
            <w:r>
              <w:rPr>
                <w:rFonts w:ascii="Times New Roman" w:hAnsi="Times New Roman"/>
              </w:rPr>
              <w:t>. pantā</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attiecīgos gadījumos.</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neņemot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xml:space="preserve">. nodaļā </w:t>
            </w:r>
            <w:r>
              <w:rPr>
                <w:rFonts w:ascii="Times New Roman" w:hAnsi="Times New Roman"/>
              </w:rPr>
              <w:lastRenderedPageBreak/>
              <w:t>minēto atkāpi. Lai izvairītos no dubultas uzskaites, iestādes, aprēķinot riska darījuma vērtību rindās {LRCalc;</w:t>
            </w:r>
            <w:r w:rsidRPr="009619BA">
              <w:rPr>
                <w:rFonts w:ascii="Times New Roman" w:hAnsi="Times New Roman"/>
              </w:rPr>
              <w:t>10</w:t>
            </w:r>
            <w:r>
              <w:rPr>
                <w:rFonts w:ascii="Times New Roman" w:hAnsi="Times New Roman"/>
              </w:rPr>
              <w:t>;</w:t>
            </w:r>
            <w:r w:rsidRPr="009619BA">
              <w:rPr>
                <w:rFonts w:ascii="Times New Roman" w:hAnsi="Times New Roman"/>
              </w:rPr>
              <w:t>10</w:t>
            </w:r>
            <w:r>
              <w:rPr>
                <w:rFonts w:ascii="Times New Roman" w:hAnsi="Times New Roman"/>
              </w:rPr>
              <w:t>} līdz {LRCalc;</w:t>
            </w:r>
            <w:r w:rsidRPr="009619BA">
              <w:rPr>
                <w:rFonts w:ascii="Times New Roman" w:hAnsi="Times New Roman"/>
              </w:rPr>
              <w:t>260</w:t>
            </w:r>
            <w:r>
              <w:rPr>
                <w:rFonts w:ascii="Times New Roman" w:hAnsi="Times New Roman"/>
              </w:rPr>
              <w:t>;</w:t>
            </w:r>
            <w:r w:rsidRPr="009619BA">
              <w:rPr>
                <w:rFonts w:ascii="Times New Roman" w:hAnsi="Times New Roman"/>
              </w:rPr>
              <w:t>10</w:t>
            </w:r>
            <w:r>
              <w:rPr>
                <w:rFonts w:ascii="Times New Roman" w:hAnsi="Times New Roman"/>
              </w:rPr>
              <w:t xml:space="preserve">}, nenorāda korekcijas, kas jau piemērotas saskaņā ar KPR </w:t>
            </w:r>
            <w:r w:rsidRPr="009619BA">
              <w:rPr>
                <w:rFonts w:ascii="Times New Roman" w:hAnsi="Times New Roman"/>
              </w:rPr>
              <w:t>111</w:t>
            </w:r>
            <w:r>
              <w:rPr>
                <w:rFonts w:ascii="Times New Roman" w:hAnsi="Times New Roman"/>
              </w:rPr>
              <w:t>. pantu, un nenorāda korekcijas, ar ko netiek atskaitīta konkrēta aktīva vērtība.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Tā kā šīs korekcijas samazina kopējo pašu kapitālu, tās norāda kā negatīvu skaitli.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085</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Atskaitītā aktīvu summa – no pašu kapitāla posteņiem – pārejas definīcija</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Tajā iekļauj pašu kapitāla posteņu regulatīvo korekciju summu, ar ko koriģē aktīva vērtību un kas ir paredzētas:</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32</w:t>
            </w:r>
            <w:r>
              <w:rPr>
                <w:rFonts w:ascii="Times New Roman" w:hAnsi="Times New Roman"/>
              </w:rPr>
              <w:t xml:space="preserve">. līdz </w:t>
            </w:r>
            <w:r w:rsidRPr="009619BA">
              <w:rPr>
                <w:rFonts w:ascii="Times New Roman" w:hAnsi="Times New Roman"/>
              </w:rPr>
              <w:t>35</w:t>
            </w:r>
            <w:r>
              <w:rPr>
                <w:rFonts w:ascii="Times New Roman" w:hAnsi="Times New Roman"/>
              </w:rPr>
              <w:t>. pantā, vai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36</w:t>
            </w:r>
            <w:r>
              <w:rPr>
                <w:rFonts w:ascii="Times New Roman" w:hAnsi="Times New Roman"/>
              </w:rPr>
              <w:t xml:space="preserve">. līdz </w:t>
            </w:r>
            <w:r w:rsidRPr="009619BA">
              <w:rPr>
                <w:rFonts w:ascii="Times New Roman" w:hAnsi="Times New Roman"/>
              </w:rPr>
              <w:t>47</w:t>
            </w:r>
            <w:r>
              <w:rPr>
                <w:rFonts w:ascii="Times New Roman" w:hAnsi="Times New Roman"/>
              </w:rPr>
              <w:t>. pantā, vai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56</w:t>
            </w:r>
            <w:r>
              <w:rPr>
                <w:rFonts w:ascii="Times New Roman" w:hAnsi="Times New Roman"/>
              </w:rPr>
              <w:t xml:space="preserve">. līdz </w:t>
            </w:r>
            <w:r w:rsidRPr="009619BA">
              <w:rPr>
                <w:rFonts w:ascii="Times New Roman" w:hAnsi="Times New Roman"/>
              </w:rPr>
              <w:t>60</w:t>
            </w:r>
            <w:r>
              <w:rPr>
                <w:rFonts w:ascii="Times New Roman" w:hAnsi="Times New Roman"/>
              </w:rPr>
              <w:t>. pantā, vai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KPR </w:t>
            </w:r>
            <w:r w:rsidRPr="009619BA">
              <w:rPr>
                <w:rFonts w:ascii="Times New Roman" w:hAnsi="Times New Roman"/>
              </w:rPr>
              <w:t>66</w:t>
            </w:r>
            <w:r>
              <w:rPr>
                <w:rFonts w:ascii="Times New Roman" w:hAnsi="Times New Roman"/>
              </w:rPr>
              <w:t xml:space="preserve">. līdz </w:t>
            </w:r>
            <w:r w:rsidRPr="009619BA">
              <w:rPr>
                <w:rFonts w:ascii="Times New Roman" w:hAnsi="Times New Roman"/>
              </w:rPr>
              <w:t>70</w:t>
            </w:r>
            <w:r>
              <w:rPr>
                <w:rFonts w:ascii="Times New Roman" w:hAnsi="Times New Roman"/>
              </w:rPr>
              <w:t>. pantā</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attiecīgos gadījumos.</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Iestādes ņem vērā KPR </w:t>
            </w:r>
            <w:r w:rsidRPr="009619BA">
              <w:rPr>
                <w:rFonts w:ascii="Times New Roman" w:hAnsi="Times New Roman"/>
              </w:rPr>
              <w:t>48</w:t>
            </w:r>
            <w:r>
              <w:rPr>
                <w:rFonts w:ascii="Times New Roman" w:hAnsi="Times New Roman"/>
              </w:rPr>
              <w:t xml:space="preserve">., </w:t>
            </w:r>
            <w:r w:rsidRPr="009619BA">
              <w:rPr>
                <w:rFonts w:ascii="Times New Roman" w:hAnsi="Times New Roman"/>
              </w:rPr>
              <w:t>49</w:t>
            </w:r>
            <w:r>
              <w:rPr>
                <w:rFonts w:ascii="Times New Roman" w:hAnsi="Times New Roman"/>
              </w:rPr>
              <w:t xml:space="preserve">. un </w:t>
            </w:r>
            <w:r w:rsidRPr="009619BA">
              <w:rPr>
                <w:rFonts w:ascii="Times New Roman" w:hAnsi="Times New Roman"/>
              </w:rPr>
              <w:t>79</w:t>
            </w:r>
            <w:r>
              <w:rPr>
                <w:rFonts w:ascii="Times New Roman" w:hAnsi="Times New Roman"/>
              </w:rPr>
              <w:t xml:space="preserve">. pantā minētos izņēmumus, alternatīvas un prasību nepiemērošanu šādiem atskaitījumiem papildus tam, ka ņem vērā KPR Desmitās daļas </w:t>
            </w:r>
            <w:r w:rsidRPr="009619BA">
              <w:rPr>
                <w:rFonts w:ascii="Times New Roman" w:hAnsi="Times New Roman"/>
              </w:rPr>
              <w:t>1</w:t>
            </w:r>
            <w:r>
              <w:rPr>
                <w:rFonts w:ascii="Times New Roman" w:hAnsi="Times New Roman"/>
              </w:rPr>
              <w:t xml:space="preserve">. un </w:t>
            </w:r>
            <w:r w:rsidRPr="009619BA">
              <w:rPr>
                <w:rFonts w:ascii="Times New Roman" w:hAnsi="Times New Roman"/>
              </w:rPr>
              <w:t>2</w:t>
            </w:r>
            <w:r>
              <w:rPr>
                <w:rFonts w:ascii="Times New Roman" w:hAnsi="Times New Roman"/>
              </w:rPr>
              <w:t>. nodaļā minēto atkāpi. Lai izvairītos no dubultas uzskaites, iestādes, aprēķinot riska darījuma vērtību {LRCalc;</w:t>
            </w:r>
            <w:r w:rsidRPr="009619BA">
              <w:rPr>
                <w:rFonts w:ascii="Times New Roman" w:hAnsi="Times New Roman"/>
              </w:rPr>
              <w:t>10</w:t>
            </w:r>
            <w:r>
              <w:rPr>
                <w:rFonts w:ascii="Times New Roman" w:hAnsi="Times New Roman"/>
              </w:rPr>
              <w:t>;</w:t>
            </w:r>
            <w:r w:rsidRPr="009619BA">
              <w:rPr>
                <w:rFonts w:ascii="Times New Roman" w:hAnsi="Times New Roman"/>
              </w:rPr>
              <w:t>10</w:t>
            </w:r>
            <w:r>
              <w:rPr>
                <w:rFonts w:ascii="Times New Roman" w:hAnsi="Times New Roman"/>
              </w:rPr>
              <w:t>} līdz {LRCalc;</w:t>
            </w:r>
            <w:r w:rsidRPr="009619BA">
              <w:rPr>
                <w:rFonts w:ascii="Times New Roman" w:hAnsi="Times New Roman"/>
              </w:rPr>
              <w:t>260</w:t>
            </w:r>
            <w:r>
              <w:rPr>
                <w:rFonts w:ascii="Times New Roman" w:hAnsi="Times New Roman"/>
              </w:rPr>
              <w:t>;</w:t>
            </w:r>
            <w:r w:rsidRPr="009619BA">
              <w:rPr>
                <w:rFonts w:ascii="Times New Roman" w:hAnsi="Times New Roman"/>
              </w:rPr>
              <w:t>10</w:t>
            </w:r>
            <w:r>
              <w:rPr>
                <w:rFonts w:ascii="Times New Roman" w:hAnsi="Times New Roman"/>
              </w:rPr>
              <w:t xml:space="preserve">}, nenorāda korekcijas, kas jau piemērotas saskaņā ar KPR </w:t>
            </w:r>
            <w:r w:rsidRPr="009619BA">
              <w:rPr>
                <w:rFonts w:ascii="Times New Roman" w:hAnsi="Times New Roman"/>
              </w:rPr>
              <w:t>111</w:t>
            </w:r>
            <w:r>
              <w:rPr>
                <w:rFonts w:ascii="Times New Roman" w:hAnsi="Times New Roman"/>
              </w:rPr>
              <w:t>. pantu, un nenorāda korekcijas, ar ko netiek atskaitīta konkrēta aktīva vērtība.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Tā kā šīs korekcijas samazina kopējo pašu kapitālu, tās norāda kā negatīvu skaitli.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17530"/>
      <w:r w:rsidRPr="009619BA">
        <w:rPr>
          <w:rFonts w:ascii="Times New Roman" w:hAnsi="Times New Roman"/>
          <w:b/>
        </w:rPr>
        <w:t>8</w:t>
      </w:r>
      <w:r>
        <w:rPr>
          <w:rFonts w:ascii="Times New Roman" w:hAnsi="Times New Roman"/>
          <w:b/>
        </w:rPr>
        <w:t>.</w:t>
      </w:r>
      <w:r>
        <w:tab/>
      </w:r>
      <w:r>
        <w:rPr>
          <w:rFonts w:ascii="Times New Roman" w:hAnsi="Times New Roman"/>
          <w:b/>
        </w:rPr>
        <w:t xml:space="preserve">C </w:t>
      </w:r>
      <w:r w:rsidRPr="009619BA">
        <w:rPr>
          <w:rFonts w:ascii="Times New Roman" w:hAnsi="Times New Roman"/>
          <w:b/>
        </w:rPr>
        <w:t>43</w:t>
      </w:r>
      <w:r>
        <w:rPr>
          <w:rFonts w:ascii="Times New Roman" w:hAnsi="Times New Roman"/>
          <w:b/>
        </w:rPr>
        <w:t>.</w:t>
      </w:r>
      <w:r w:rsidRPr="009619BA">
        <w:rPr>
          <w:rFonts w:ascii="Times New Roman" w:hAnsi="Times New Roman"/>
          <w:b/>
        </w:rPr>
        <w:t>00</w:t>
      </w:r>
      <w:r>
        <w:rPr>
          <w:rFonts w:ascii="Times New Roman" w:hAnsi="Times New Roman"/>
          <w:b/>
        </w:rPr>
        <w:t xml:space="preserve"> – Sviras rādītāja riska darījuma vērtības mēra komponentu alternatīvs dalījums</w:t>
      </w:r>
      <w:bookmarkEnd w:id="83"/>
      <w:bookmarkEnd w:id="85"/>
      <w:bookmarkEnd w:id="86"/>
      <w:r>
        <w:rPr>
          <w:rFonts w:ascii="Times New Roman" w:hAnsi="Times New Roman"/>
          <w:b/>
        </w:rPr>
        <w:t xml:space="preserve"> (LR</w:t>
      </w:r>
      <w:r w:rsidRPr="009619BA">
        <w:rPr>
          <w:rFonts w:ascii="Times New Roman" w:hAnsi="Times New Roman"/>
          <w:b/>
        </w:rPr>
        <w:t>4</w:t>
      </w:r>
      <w:r>
        <w:rPr>
          <w:rFonts w:ascii="Times New Roman" w:hAnsi="Times New Roman"/>
          <w:b/>
        </w:rPr>
        <w:t>)</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sidRPr="009619BA">
        <w:rPr>
          <w:rFonts w:ascii="Times New Roman" w:hAnsi="Times New Roman"/>
        </w:rPr>
        <w:t>28</w:t>
      </w:r>
      <w:r>
        <w:rPr>
          <w:rFonts w:ascii="Times New Roman" w:hAnsi="Times New Roman"/>
        </w:rPr>
        <w:t>.</w:t>
      </w:r>
      <w:r>
        <w:tab/>
      </w:r>
      <w:r>
        <w:rPr>
          <w:rFonts w:ascii="Times New Roman" w:hAnsi="Times New Roman"/>
        </w:rPr>
        <w:t>Iestādes norāda sviras rādītāja riska darījuma vērtības LR</w:t>
      </w:r>
      <w:r w:rsidRPr="009619BA">
        <w:rPr>
          <w:rFonts w:ascii="Times New Roman" w:hAnsi="Times New Roman"/>
        </w:rPr>
        <w:t>4</w:t>
      </w:r>
      <w:r>
        <w:rPr>
          <w:rFonts w:ascii="Times New Roman" w:hAnsi="Times New Roman"/>
        </w:rPr>
        <w:t xml:space="preserve"> veidnē pēc tam, kad attiecīgā gadījumā piemēroti izņēmumi, kas minēti šādās LRCalc šūnās: {</w:t>
      </w:r>
      <w:r w:rsidRPr="009619BA">
        <w:rPr>
          <w:rFonts w:ascii="Times New Roman" w:hAnsi="Times New Roman"/>
        </w:rPr>
        <w:t>050</w:t>
      </w:r>
      <w:r>
        <w:rPr>
          <w:rFonts w:ascii="Times New Roman" w:hAnsi="Times New Roman"/>
        </w:rPr>
        <w:t xml:space="preserve">; </w:t>
      </w:r>
      <w:r w:rsidRPr="009619BA">
        <w:rPr>
          <w:rFonts w:ascii="Times New Roman" w:hAnsi="Times New Roman"/>
        </w:rPr>
        <w:t>010</w:t>
      </w:r>
      <w:r>
        <w:rPr>
          <w:rFonts w:ascii="Times New Roman" w:hAnsi="Times New Roman"/>
        </w:rPr>
        <w:t>}, {</w:t>
      </w:r>
      <w:r w:rsidRPr="009619BA">
        <w:rPr>
          <w:rFonts w:ascii="Times New Roman" w:hAnsi="Times New Roman"/>
        </w:rPr>
        <w:t>080</w:t>
      </w:r>
      <w:r>
        <w:rPr>
          <w:rFonts w:ascii="Times New Roman" w:hAnsi="Times New Roman"/>
        </w:rPr>
        <w:t xml:space="preserve">; </w:t>
      </w:r>
      <w:r w:rsidRPr="009619BA">
        <w:rPr>
          <w:rFonts w:ascii="Times New Roman" w:hAnsi="Times New Roman"/>
        </w:rPr>
        <w:t>010</w:t>
      </w:r>
      <w:r>
        <w:rPr>
          <w:rFonts w:ascii="Times New Roman" w:hAnsi="Times New Roman"/>
        </w:rPr>
        <w:t>}, {</w:t>
      </w:r>
      <w:r w:rsidRPr="009619BA">
        <w:rPr>
          <w:rFonts w:ascii="Times New Roman" w:hAnsi="Times New Roman"/>
        </w:rPr>
        <w:t>100</w:t>
      </w:r>
      <w:r>
        <w:rPr>
          <w:rFonts w:ascii="Times New Roman" w:hAnsi="Times New Roman"/>
        </w:rPr>
        <w:t xml:space="preserve">; </w:t>
      </w:r>
      <w:r w:rsidRPr="009619BA">
        <w:rPr>
          <w:rFonts w:ascii="Times New Roman" w:hAnsi="Times New Roman"/>
        </w:rPr>
        <w:t>010</w:t>
      </w:r>
      <w:r>
        <w:rPr>
          <w:rFonts w:ascii="Times New Roman" w:hAnsi="Times New Roman"/>
        </w:rPr>
        <w:t>}, {</w:t>
      </w:r>
      <w:r w:rsidRPr="009619BA">
        <w:rPr>
          <w:rFonts w:ascii="Times New Roman" w:hAnsi="Times New Roman"/>
        </w:rPr>
        <w:t>120</w:t>
      </w:r>
      <w:r>
        <w:rPr>
          <w:rFonts w:ascii="Times New Roman" w:hAnsi="Times New Roman"/>
        </w:rPr>
        <w:t xml:space="preserve">; </w:t>
      </w:r>
      <w:r w:rsidRPr="009619BA">
        <w:rPr>
          <w:rFonts w:ascii="Times New Roman" w:hAnsi="Times New Roman"/>
        </w:rPr>
        <w:t>010</w:t>
      </w:r>
      <w:r>
        <w:rPr>
          <w:rFonts w:ascii="Times New Roman" w:hAnsi="Times New Roman"/>
        </w:rPr>
        <w:t>}, {</w:t>
      </w:r>
      <w:r w:rsidRPr="009619BA">
        <w:rPr>
          <w:rFonts w:ascii="Times New Roman" w:hAnsi="Times New Roman"/>
        </w:rPr>
        <w:t>220</w:t>
      </w:r>
      <w:r>
        <w:rPr>
          <w:rFonts w:ascii="Times New Roman" w:hAnsi="Times New Roman"/>
        </w:rPr>
        <w:t xml:space="preserve">; </w:t>
      </w:r>
      <w:r w:rsidRPr="009619BA">
        <w:rPr>
          <w:rFonts w:ascii="Times New Roman" w:hAnsi="Times New Roman"/>
        </w:rPr>
        <w:t>010</w:t>
      </w:r>
      <w:r>
        <w:rPr>
          <w:rFonts w:ascii="Times New Roman" w:hAnsi="Times New Roman"/>
        </w:rPr>
        <w:t>}, {</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29</w:t>
      </w:r>
      <w:r>
        <w:rPr>
          <w:rFonts w:ascii="Times New Roman" w:hAnsi="Times New Roman"/>
        </w:rPr>
        <w:t>.</w:t>
      </w:r>
      <w:r>
        <w:tab/>
      </w:r>
      <w:r>
        <w:rPr>
          <w:rFonts w:ascii="Times New Roman" w:hAnsi="Times New Roman"/>
        </w:rPr>
        <w:t xml:space="preserve">Lai izvairītos no dubultas uzskaites, iestādes ievēro vienādojumu, kas minēts nākamajā punktā.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30</w:t>
      </w:r>
      <w:r>
        <w:rPr>
          <w:rFonts w:ascii="Times New Roman" w:hAnsi="Times New Roman"/>
        </w:rPr>
        <w:t>.</w:t>
      </w:r>
      <w:r>
        <w:tab/>
      </w:r>
      <w:r>
        <w:rPr>
          <w:rFonts w:ascii="Times New Roman" w:hAnsi="Times New Roman"/>
        </w:rPr>
        <w:t xml:space="preserve">Vienādojums, kuru iestādes ievēro saskaņā ar </w:t>
      </w:r>
      <w:r w:rsidRPr="009619BA">
        <w:rPr>
          <w:rFonts w:ascii="Times New Roman" w:hAnsi="Times New Roman"/>
        </w:rPr>
        <w:t>29</w:t>
      </w:r>
      <w:r>
        <w:rPr>
          <w:rFonts w:ascii="Times New Roman" w:hAnsi="Times New Roman"/>
        </w:rPr>
        <w:t>. punktu, ir šāds: [{LRCalc;</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200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 {LRCalc;</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065</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020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290</w:t>
      </w:r>
      <w:r>
        <w:rPr>
          <w:rFonts w:ascii="Times New Roman" w:hAnsi="Times New Roman"/>
        </w:rPr>
        <w:t>;</w:t>
      </w:r>
      <w:r w:rsidRPr="009619BA">
        <w:rPr>
          <w:rFonts w:ascii="Times New Roman" w:hAnsi="Times New Roman"/>
        </w:rPr>
        <w:t>010</w:t>
      </w:r>
      <w:r>
        <w:rPr>
          <w:rFonts w:ascii="Times New Roman" w:hAnsi="Times New Roman"/>
        </w:rPr>
        <w:t>} + {LR</w:t>
      </w:r>
      <w:r w:rsidRPr="009619BA">
        <w:rPr>
          <w:rFonts w:ascii="Times New Roman" w:hAnsi="Times New Roman"/>
        </w:rPr>
        <w:t>4</w:t>
      </w:r>
      <w:r>
        <w:rPr>
          <w:rFonts w:ascii="Times New Roman" w:hAnsi="Times New Roman"/>
        </w:rPr>
        <w:t>;</w:t>
      </w:r>
      <w:r w:rsidRPr="009619BA">
        <w:rPr>
          <w:rFonts w:ascii="Times New Roman" w:hAnsi="Times New Roman"/>
        </w:rPr>
        <w:t>290</w:t>
      </w:r>
      <w:r>
        <w:rPr>
          <w:rFonts w:ascii="Times New Roman" w:hAnsi="Times New Roman"/>
        </w:rPr>
        <w:t>;</w:t>
      </w:r>
      <w:r w:rsidRPr="009619BA">
        <w:rPr>
          <w:rFonts w:ascii="Times New Roman" w:hAnsi="Times New Roman"/>
        </w:rPr>
        <w:t>020</w:t>
      </w:r>
      <w:r>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Rinda un sleja</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Atsauces uz tiesību aktiem un norādes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Ārpusbilances posteņi; no kā — sviras rādītāja riska darījuma vērtība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Sviras rādītāja riska darījuma vērtība, kas aprēķināta kā {LRCalc;</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 {LRCalc;</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 {LRCalc;</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 un {LRCalc;</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 xml:space="preserve">} summa, izņemot attiecīgos grupas iekšējos riska darījumus (solo līmenī), kas nav ietverti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7</w:t>
            </w:r>
            <w:r>
              <w:rPr>
                <w:rFonts w:ascii="Times New Roman" w:hAnsi="Times New Roman"/>
              </w:rPr>
              <w:t>. punktu.</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010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Ārpusbilances posteņi; no kā — RSA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Ārpusbilances posteņu riska darījuma riska svērtā vērtība – izņemot VFD un atvasinātos instrumentus – kā standartizētajā pieejā un IRB pieejā. Attiecībā uz riska darījumiem saskaņā ar standartizēto pieeju iestādes nosaka riska darījuma riska svērto vērtību saskaņā ar KPR Trešās daļas II sadaļas </w:t>
            </w:r>
            <w:r w:rsidRPr="009619BA">
              <w:rPr>
                <w:rFonts w:ascii="Times New Roman" w:hAnsi="Times New Roman"/>
              </w:rPr>
              <w:t>2</w:t>
            </w:r>
            <w:r>
              <w:rPr>
                <w:rFonts w:ascii="Times New Roman" w:hAnsi="Times New Roman"/>
              </w:rPr>
              <w:t xml:space="preserve">. nodaļu. Attiecībā uz riska darījumiem saskaņā ar IRB pieeju iestādes nosaka riska darījuma riska svērto vērtību saskaņā ar KPR Trešās daļas II sadaļas </w:t>
            </w:r>
            <w:r w:rsidRPr="009619BA">
              <w:rPr>
                <w:rFonts w:ascii="Times New Roman" w:hAnsi="Times New Roman"/>
              </w:rPr>
              <w:t>3</w:t>
            </w:r>
            <w:r>
              <w:rPr>
                <w:rFonts w:ascii="Times New Roman" w:hAnsi="Times New Roman"/>
              </w:rPr>
              <w:t>. nodaļu.</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Tirdzniecības finansējums; no kā — sviras rādītāja riska darījuma vērtība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 tirdzniecības finansējumu saistītu ārpusbilances posteņu sviras rādītāja riska darījuma vērtība. Pārskata sniegšanas vajadzībām LR</w:t>
            </w:r>
            <w:r w:rsidRPr="009619BA">
              <w:rPr>
                <w:rFonts w:ascii="Times New Roman" w:hAnsi="Times New Roman"/>
              </w:rPr>
              <w:t>4</w:t>
            </w:r>
            <w:r>
              <w:rPr>
                <w:rFonts w:ascii="Times New Roman" w:hAnsi="Times New Roman"/>
              </w:rPr>
              <w:t xml:space="preserve"> veidnē ārpusbilances posteņi saistībā ar tirdzniecības finansējumu attiecas uz izdotajām un apstiprinātajām importa un eksporta kredītvēstulēm, kas ir īstermiņa un pašlikvidējošas, un līdzīgiem darījumiem.</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Tirdzniecības finansējums; no kā — RSA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Ārpusbilances posteņu riska darījuma riska svērtā vērtība – izņemot VFD un atvasinātos instrumentus – saistībā ar tirdzniecības finansējumu. Pārskata sniegšanas vajadzībām LR</w:t>
            </w:r>
            <w:r w:rsidRPr="009619BA">
              <w:rPr>
                <w:rFonts w:ascii="Times New Roman" w:hAnsi="Times New Roman"/>
              </w:rPr>
              <w:t>4</w:t>
            </w:r>
            <w:r>
              <w:rPr>
                <w:rFonts w:ascii="Times New Roman" w:hAnsi="Times New Roman"/>
              </w:rPr>
              <w:t xml:space="preserve"> veidnē ārpusbilances posteņi saistībā ar tirdzniecības finansējumu attiecas uz izdotajām un apstiprinātajām importa un eksporta kredītvēstulēm, kas ir īstermiņa un pašlikvidējošas, un līdzīgiem darījumiem.</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sviras rādītāja riska darījuma vērtība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Ar tirdzniecības finansējumu saskaņā ar oficiālu eksporta kredītu apdrošināšanas shēmu saistītu ārpusbilances posteņu sviras rādītāja riska darījuma vērtība.</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030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RSA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Ārpusbilances posteņu riska darījuma riska svērtā vērtība – izņemot VFD un atvasinātos instrumentus – saistībā ar tirdzniecības finansējumu saskaņā ar oficiālu eksporta kredītu apdrošināšanas shēmu.</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un VFD, uz kuriem attiecas dažādu produktu savstarpējo prasījumu ieskaita līgums – sviras rādītāja riska darījuma vērtība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Atvasināto instrumentu un VFD sviras rādītāja riska darījuma vērtība, ja uz tiem attiecas dažādu produktu savstarpējo prasījumu ieskaita līgums, kas 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punktā.</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un VFD, uz kuriem attiecas dažādu produktu savstarpējo prasījumu ieskaita līgums – RSA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Atvasināto instrumentu un VFD, tostarp ārpusbilances, riska darījuma riska svērtās vērtības attiecībā uz kredītrisku un darījuma partnera kredītrisku, kas aprēķinātas saskaņā ar KPR Trešās daļas II sadaļu, ja uz tiem attiecas dažādu produktu savstarpējo prasījumu ieskaita līgums, kas </w:t>
            </w:r>
            <w:r>
              <w:rPr>
                <w:rFonts w:ascii="Times New Roman" w:hAnsi="Times New Roman"/>
              </w:rPr>
              <w:lastRenderedPageBreak/>
              <w:t xml:space="preserve">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punktā.</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w:t>
            </w:r>
            <w:r w:rsidRPr="009619BA">
              <w:rPr>
                <w:rFonts w:ascii="Times New Roman" w:hAnsi="Times New Roman"/>
              </w:rPr>
              <w:t>050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uz kuriem neattiecas dažādu produktu savstarpējo prasījumu ieskaita līgums – sviras rādītāja riska darījuma vērtība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Atvasināto instrumentu sviras rādītāja riska darījuma vērtība, ja uz tiem </w:t>
            </w:r>
            <w:r>
              <w:rPr>
                <w:rFonts w:ascii="Times New Roman" w:hAnsi="Times New Roman"/>
                <w:b/>
                <w:u w:val="single"/>
              </w:rPr>
              <w:t>neattiecas</w:t>
            </w:r>
            <w:r>
              <w:rPr>
                <w:rFonts w:ascii="Times New Roman" w:hAnsi="Times New Roman"/>
              </w:rPr>
              <w:t xml:space="preserve"> dažādu produktu savstarpējo prasījumu ieskaita līgums, kas 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punktā.</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050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Atvasinātie instrumenti, uz kuriem neattiecas dažādu produktu savstarpējo prasījumu ieskaita līgums – RSA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Atvasināto instrumentu, tostarp ārpusbilances, riska darījuma riska svērtās vērtības attiecībā uz kredītrisku un darījuma partnera kredītrisku, kas aprēķinātas saskaņā ar KPR Trešās daļas II sadaļu, ja uz tiem attiecas dažādu produktu savstarpējo prasījumu ieskaita līgums, kas 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xml:space="preserve">. punktā.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VFD, uz kuriem neattiecas dažādu produktu savstarpējo prasījumu ieskaita līgums – sviras rādītāja riska darījuma vērtība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VFD sviras rādītāja riska darījuma vērtība, ja uz tiem </w:t>
            </w:r>
            <w:r>
              <w:rPr>
                <w:rFonts w:ascii="Times New Roman" w:hAnsi="Times New Roman"/>
                <w:b/>
                <w:u w:val="single"/>
              </w:rPr>
              <w:t>neattiecas</w:t>
            </w:r>
            <w:r>
              <w:rPr>
                <w:rFonts w:ascii="Times New Roman" w:hAnsi="Times New Roman"/>
              </w:rPr>
              <w:t xml:space="preserve"> dažādu produktu savstarpējo prasījumu ieskaita līgums, kas 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punktā.</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060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VFD, uz kuriem neattiecas dažādu produktu savstarpējo prasījumu ieskaita līgums – RSA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VFD, tostarp ārpusbilances, riska darījuma riska svērtās vērtības attiecībā uz kredītrisku un darījuma partnera kredītrisku, kas aprēķinātas saskaņā ar KPR Trešās daļas II sadaļu, ja uz tiem </w:t>
            </w:r>
            <w:r>
              <w:rPr>
                <w:rFonts w:ascii="Times New Roman" w:hAnsi="Times New Roman"/>
                <w:b/>
                <w:u w:val="single"/>
              </w:rPr>
              <w:t>neattiecas</w:t>
            </w:r>
            <w:r>
              <w:rPr>
                <w:rFonts w:ascii="Times New Roman" w:hAnsi="Times New Roman"/>
              </w:rPr>
              <w:t xml:space="preserve"> dažādu produktu savstarpējo prasījumu ieskaita līgums, kas definēts KPR </w:t>
            </w:r>
            <w:r w:rsidRPr="009619BA">
              <w:rPr>
                <w:rFonts w:ascii="Times New Roman" w:hAnsi="Times New Roman"/>
              </w:rPr>
              <w:t>272</w:t>
            </w:r>
            <w:r>
              <w:rPr>
                <w:rFonts w:ascii="Times New Roman" w:hAnsi="Times New Roman"/>
              </w:rPr>
              <w:t xml:space="preserve">. panta </w:t>
            </w:r>
            <w:r w:rsidRPr="009619BA">
              <w:rPr>
                <w:rFonts w:ascii="Times New Roman" w:hAnsi="Times New Roman"/>
              </w:rPr>
              <w:t>25</w:t>
            </w:r>
            <w:r>
              <w:rPr>
                <w:rFonts w:ascii="Times New Roman" w:hAnsi="Times New Roman"/>
              </w:rPr>
              <w:t xml:space="preserve">. punktā.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w:t>
            </w:r>
            <w:r w:rsidRPr="009619BA">
              <w:rPr>
                <w:rFonts w:ascii="Times New Roman" w:hAnsi="Times New Roman"/>
              </w:rPr>
              <w:t>065</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Riska darījuma vērtības, kas izriet no papildu procedūras attiecībā pret kredītu atvasinātajiem instrumentiem – sviras rādītāja riska darījuma vērtība</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Šī šūna atbilst starpībai starp {LRCalc;</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 un {LRCalc;</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 xml:space="preserve">}, izņemot attiecīgos grupas iekšējos riska darījumus (solo līmenī), kas nav ietverti saskaņā ar KPR </w:t>
            </w:r>
            <w:r w:rsidRPr="009619BA">
              <w:rPr>
                <w:rFonts w:ascii="Times New Roman" w:hAnsi="Times New Roman"/>
              </w:rPr>
              <w:t>429</w:t>
            </w:r>
            <w:r>
              <w:rPr>
                <w:rFonts w:ascii="Times New Roman" w:hAnsi="Times New Roman"/>
              </w:rPr>
              <w:t xml:space="preserve">. panta </w:t>
            </w:r>
            <w:r w:rsidRPr="009619BA">
              <w:rPr>
                <w:rFonts w:ascii="Times New Roman" w:hAnsi="Times New Roman"/>
              </w:rPr>
              <w:t>7</w:t>
            </w:r>
            <w:r>
              <w:rPr>
                <w:rFonts w:ascii="Times New Roman" w:hAnsi="Times New Roman"/>
              </w:rPr>
              <w:t>. punktu.</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Citi aktīvi tirdzniecības portfelī – sviras rādītāja riska darījuma vērtība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To posteņu sviras rādītāja riska darījuma vērtība, kas norādīti {LRCalc;</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 izņemot netirdzniecības portfeļa posteņus.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w:t>
            </w:r>
            <w:r w:rsidRPr="009619BA">
              <w:rPr>
                <w:rFonts w:ascii="Times New Roman" w:hAnsi="Times New Roman"/>
              </w:rPr>
              <w:t>070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Citi aktīvi tirdzniecības portfelī – RSA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Pašu kapitāla prasības, kas reizinātas ar </w:t>
            </w:r>
            <w:r w:rsidRPr="009619BA">
              <w:rPr>
                <w:rFonts w:ascii="Times New Roman" w:hAnsi="Times New Roman"/>
              </w:rPr>
              <w:t>12</w:t>
            </w:r>
            <w:r>
              <w:rPr>
                <w:rFonts w:ascii="Times New Roman" w:hAnsi="Times New Roman"/>
              </w:rPr>
              <w:t>,</w:t>
            </w:r>
            <w:r w:rsidRPr="009619BA">
              <w:rPr>
                <w:rFonts w:ascii="Times New Roman" w:hAnsi="Times New Roman"/>
              </w:rPr>
              <w:t>5</w:t>
            </w:r>
            <w:r>
              <w:rPr>
                <w:rFonts w:ascii="Times New Roman" w:hAnsi="Times New Roman"/>
              </w:rPr>
              <w:t>, attiecībā uz posteņiem, uz kuriem attiecas KPR Trešās daļas IV sadaļa.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Segtās obligācijas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segto obligāciju veidā, kā definēts KPR </w:t>
            </w:r>
            <w:r w:rsidRPr="009619BA">
              <w:rPr>
                <w:rFonts w:ascii="Times New Roman" w:hAnsi="Times New Roman"/>
              </w:rPr>
              <w:t>129</w:t>
            </w:r>
            <w:r>
              <w:rPr>
                <w:rFonts w:ascii="Times New Roman" w:hAnsi="Times New Roman"/>
              </w:rPr>
              <w:t xml:space="preserve">. pantā.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Segtās obligācijas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segto obligāciju veidā, kā definēts KPR </w:t>
            </w:r>
            <w:r w:rsidRPr="009619BA">
              <w:rPr>
                <w:rFonts w:ascii="Times New Roman" w:hAnsi="Times New Roman"/>
              </w:rPr>
              <w:t>161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apakšpunktā.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080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Segtās obligācijas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segto obligāciju veidā, kā definēts KPR </w:t>
            </w:r>
            <w:r w:rsidRPr="009619BA">
              <w:rPr>
                <w:rFonts w:ascii="Times New Roman" w:hAnsi="Times New Roman"/>
              </w:rPr>
              <w:t>129</w:t>
            </w:r>
            <w:r>
              <w:rPr>
                <w:rFonts w:ascii="Times New Roman" w:hAnsi="Times New Roman"/>
              </w:rPr>
              <w:t xml:space="preserve">. pantā.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080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Segtās obligācijas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segto obligāciju veidā, kā definēts KPR </w:t>
            </w:r>
            <w:r w:rsidRPr="009619BA">
              <w:rPr>
                <w:rFonts w:ascii="Times New Roman" w:hAnsi="Times New Roman"/>
              </w:rPr>
              <w:t>161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apakšpunktā.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9619BA">
              <w:rPr>
                <w:rFonts w:ascii="Times New Roman" w:hAnsi="Times New Roman"/>
              </w:rPr>
              <w:t>090</w:t>
            </w:r>
            <w:r>
              <w:rPr>
                <w:rFonts w:ascii="Times New Roman" w:hAnsi="Times New Roman"/>
              </w:rPr>
              <w:t> </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kurus uzskata par riska darījumiem 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 līdz {</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 šūnas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kurus uzskata par riska darījumiem ar valsti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100</w:t>
            </w:r>
            <w:r>
              <w:rPr>
                <w:rFonts w:ascii="Times New Roman" w:hAnsi="Times New Roman"/>
              </w:rPr>
              <w:t> </w:t>
            </w:r>
            <w:r w:rsidRPr="009619BA">
              <w:rPr>
                <w:rFonts w:ascii="Times New Roman" w:hAnsi="Times New Roman"/>
              </w:rPr>
              <w:t>020</w:t>
            </w:r>
            <w:r>
              <w:rPr>
                <w:rFonts w:ascii="Times New Roman" w:hAnsi="Times New Roman"/>
              </w:rPr>
              <w:t>} līdz {</w:t>
            </w:r>
            <w:r w:rsidRPr="009619BA">
              <w:rPr>
                <w:rFonts w:ascii="Times New Roman" w:hAnsi="Times New Roman"/>
              </w:rPr>
              <w:t>130</w:t>
            </w:r>
            <w:r>
              <w:rPr>
                <w:rFonts w:ascii="Times New Roman" w:hAnsi="Times New Roman"/>
              </w:rPr>
              <w:t> </w:t>
            </w:r>
            <w:r w:rsidRPr="009619BA">
              <w:rPr>
                <w:rFonts w:ascii="Times New Roman" w:hAnsi="Times New Roman"/>
              </w:rPr>
              <w:t>020</w:t>
            </w:r>
            <w:r>
              <w:rPr>
                <w:rFonts w:ascii="Times New Roman" w:hAnsi="Times New Roman"/>
              </w:rPr>
              <w:t>} šūnas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kurus uzskata par riska darījumiem ar valsti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100</w:t>
            </w:r>
            <w:r>
              <w:rPr>
                <w:rFonts w:ascii="Times New Roman" w:hAnsi="Times New Roman"/>
              </w:rPr>
              <w:t> </w:t>
            </w:r>
            <w:r w:rsidRPr="009619BA">
              <w:rPr>
                <w:rFonts w:ascii="Times New Roman" w:hAnsi="Times New Roman"/>
              </w:rPr>
              <w:t>030</w:t>
            </w:r>
            <w:r>
              <w:rPr>
                <w:rFonts w:ascii="Times New Roman" w:hAnsi="Times New Roman"/>
              </w:rPr>
              <w:t>} līdz {</w:t>
            </w:r>
            <w:r w:rsidRPr="009619BA">
              <w:rPr>
                <w:rFonts w:ascii="Times New Roman" w:hAnsi="Times New Roman"/>
              </w:rPr>
              <w:t>130</w:t>
            </w:r>
            <w:r>
              <w:rPr>
                <w:rFonts w:ascii="Times New Roman" w:hAnsi="Times New Roman"/>
              </w:rPr>
              <w:t> </w:t>
            </w:r>
            <w:r w:rsidRPr="009619BA">
              <w:rPr>
                <w:rFonts w:ascii="Times New Roman" w:hAnsi="Times New Roman"/>
              </w:rPr>
              <w:t>030</w:t>
            </w:r>
            <w:r>
              <w:rPr>
                <w:rFonts w:ascii="Times New Roman" w:hAnsi="Times New Roman"/>
              </w:rPr>
              <w:t>} šūnas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090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kurus uzskata par riska darījumiem ar valsti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100</w:t>
            </w:r>
            <w:r>
              <w:rPr>
                <w:rFonts w:ascii="Times New Roman" w:hAnsi="Times New Roman"/>
              </w:rPr>
              <w:t> </w:t>
            </w:r>
            <w:r w:rsidRPr="009619BA">
              <w:rPr>
                <w:rFonts w:ascii="Times New Roman" w:hAnsi="Times New Roman"/>
              </w:rPr>
              <w:t>040</w:t>
            </w:r>
            <w:r>
              <w:rPr>
                <w:rFonts w:ascii="Times New Roman" w:hAnsi="Times New Roman"/>
              </w:rPr>
              <w:t>} līdz {</w:t>
            </w:r>
            <w:r w:rsidRPr="009619BA">
              <w:rPr>
                <w:rFonts w:ascii="Times New Roman" w:hAnsi="Times New Roman"/>
              </w:rPr>
              <w:t>130</w:t>
            </w:r>
            <w:r>
              <w:rPr>
                <w:rFonts w:ascii="Times New Roman" w:hAnsi="Times New Roman"/>
              </w:rPr>
              <w:t> </w:t>
            </w:r>
            <w:r w:rsidRPr="009619BA">
              <w:rPr>
                <w:rFonts w:ascii="Times New Roman" w:hAnsi="Times New Roman"/>
              </w:rPr>
              <w:t>040</w:t>
            </w:r>
            <w:r>
              <w:rPr>
                <w:rFonts w:ascii="Times New Roman" w:hAnsi="Times New Roman"/>
              </w:rPr>
              <w:t>} šūnas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100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Centrālās valdības un centrālās bankas</w:t>
            </w:r>
            <w:r>
              <w:rPr>
                <w:rFonts w:ascii="Times New Roman" w:hAnsi="Times New Roman"/>
              </w:rPr>
              <w:t xml:space="preserve"> </w:t>
            </w:r>
            <w:r>
              <w:rPr>
                <w:rFonts w:ascii="Times New Roman" w:hAnsi="Times New Roman"/>
                <w:b/>
              </w:rPr>
              <w:t>– sviras rādītāja riska darījuma vērtība – SP riska darījumi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centrālajām valdībām vai centrālajām bankām, kā definēts KPR </w:t>
            </w:r>
            <w:r w:rsidRPr="009619BA">
              <w:rPr>
                <w:rFonts w:ascii="Times New Roman" w:hAnsi="Times New Roman"/>
              </w:rPr>
              <w:t>114</w:t>
            </w:r>
            <w:r>
              <w:rPr>
                <w:rFonts w:ascii="Times New Roman" w:hAnsi="Times New Roman"/>
              </w:rPr>
              <w:t xml:space="preserve">. pantā.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100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Centrālās valdības un centrālās bankas – sviras rādītāja riska darījuma vērtība – IRB riska darījumi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centrālajām valdībām vai centrālajām bankām, kā definēts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a) apakšpunktā.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100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Centrālās valdības un centrālās bankas – RSA – SP riska darījumi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centrālajām valdībām vai centrālajām bankām, kā definēts KPR </w:t>
            </w:r>
            <w:r w:rsidRPr="009619BA">
              <w:rPr>
                <w:rFonts w:ascii="Times New Roman" w:hAnsi="Times New Roman"/>
              </w:rPr>
              <w:t>114</w:t>
            </w:r>
            <w:r>
              <w:rPr>
                <w:rFonts w:ascii="Times New Roman" w:hAnsi="Times New Roman"/>
              </w:rPr>
              <w:t xml:space="preserve">. pantā.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100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Centrālās valdības un centrālās bankas</w:t>
            </w:r>
            <w:r>
              <w:rPr>
                <w:rFonts w:ascii="Times New Roman" w:hAnsi="Times New Roman"/>
              </w:rPr>
              <w:t xml:space="preserve"> </w:t>
            </w:r>
            <w:r>
              <w:rPr>
                <w:rFonts w:ascii="Times New Roman" w:hAnsi="Times New Roman"/>
                <w:b/>
              </w:rPr>
              <w:t>– RSA – IRB riska darījumi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centrālajām valdībām vai centrālajām bankām, kā definēts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a) apakšpunktā.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Reģionālās pašvaldības un vietējās pašpārvaldes, kuras uzskata par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reģionālajām pašvaldībām un vietējām pašpārvaldēm, kuras uzskata par valsti, uz kuriem attiecas KPR </w:t>
            </w:r>
            <w:r w:rsidRPr="009619BA">
              <w:rPr>
                <w:rFonts w:ascii="Times New Roman" w:hAnsi="Times New Roman"/>
              </w:rPr>
              <w:t>115</w:t>
            </w:r>
            <w:r>
              <w:rPr>
                <w:rFonts w:ascii="Times New Roman" w:hAnsi="Times New Roman"/>
              </w:rPr>
              <w:t xml:space="preserve">. panta </w:t>
            </w:r>
            <w:r w:rsidRPr="009619BA">
              <w:rPr>
                <w:rFonts w:ascii="Times New Roman" w:hAnsi="Times New Roman"/>
              </w:rPr>
              <w:t>2</w:t>
            </w:r>
            <w:r>
              <w:rPr>
                <w:rFonts w:ascii="Times New Roman" w:hAnsi="Times New Roman"/>
              </w:rPr>
              <w:t xml:space="preserve">. un </w:t>
            </w:r>
            <w:r w:rsidRPr="009619BA">
              <w:rPr>
                <w:rFonts w:ascii="Times New Roman" w:hAnsi="Times New Roman"/>
              </w:rPr>
              <w:t>4</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Reģionālās pašvaldības un vietējās pašpārvaldes, kuras uzskata par valsti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reģionālajām pašvaldībām un vietējām pašpārvaldēm,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punkta a) apakšpunkts.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Reģionālās pašvaldības un vietējās pašpārvaldes, kuras uzskata par valsti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reģionālajām pašvaldībām un vietējām pašpārvaldēm, kuras uzskata par valsti, uz kuriem attiecas KPR </w:t>
            </w:r>
            <w:r w:rsidRPr="009619BA">
              <w:rPr>
                <w:rFonts w:ascii="Times New Roman" w:hAnsi="Times New Roman"/>
              </w:rPr>
              <w:t>115</w:t>
            </w:r>
            <w:r>
              <w:rPr>
                <w:rFonts w:ascii="Times New Roman" w:hAnsi="Times New Roman"/>
              </w:rPr>
              <w:t xml:space="preserve">. panta </w:t>
            </w:r>
            <w:r w:rsidRPr="009619BA">
              <w:rPr>
                <w:rFonts w:ascii="Times New Roman" w:hAnsi="Times New Roman"/>
              </w:rPr>
              <w:t>2</w:t>
            </w:r>
            <w:r>
              <w:rPr>
                <w:rFonts w:ascii="Times New Roman" w:hAnsi="Times New Roman"/>
              </w:rPr>
              <w:t xml:space="preserve">. un </w:t>
            </w:r>
            <w:r w:rsidRPr="009619BA">
              <w:rPr>
                <w:rFonts w:ascii="Times New Roman" w:hAnsi="Times New Roman"/>
              </w:rPr>
              <w:t>4</w:t>
            </w:r>
            <w:r>
              <w:rPr>
                <w:rFonts w:ascii="Times New Roman" w:hAnsi="Times New Roman"/>
              </w:rPr>
              <w:t>. punkts.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110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Reģionālās pašvaldības un vietējās pašpārvaldes, kuras uzskata par valsti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reģionālajām pašvaldībām un vietējām pašpārvaldēm,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punkta a) apakšpunkts.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120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DAB un starptautiskās organizācijas, kuras uzskata par valsti — sviras rādītāja riska darījuma vērtība — SP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daudzpusējām attīstības bankām un starptautiskām organizācijām, uz kuriem attiecas KPR </w:t>
            </w:r>
            <w:r w:rsidRPr="009619BA">
              <w:rPr>
                <w:rFonts w:ascii="Times New Roman" w:hAnsi="Times New Roman"/>
              </w:rPr>
              <w:t>117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punkts un </w:t>
            </w:r>
            <w:r w:rsidRPr="009619BA">
              <w:rPr>
                <w:rFonts w:ascii="Times New Roman" w:hAnsi="Times New Roman"/>
              </w:rPr>
              <w:t>118</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w:t>
            </w:r>
            <w:r w:rsidRPr="009619BA">
              <w:rPr>
                <w:rFonts w:ascii="Times New Roman" w:hAnsi="Times New Roman"/>
              </w:rPr>
              <w:t>120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DAB un starptautiskās organizācijas, kuras uzskata par valsti — sviras rādītāja riska darījuma vērtība — IRB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daudzpusējām attīstības bankām un starptautiskām organizācijām,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punkta b) un c) apakšpunkts.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120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DAB un starptautiskās organizācijas, kuras uzskata par valsti – RSA – SP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daudzpusējām attīstības bankām un starptautiskām organizācijām, uz kuriem attiecas KPR </w:t>
            </w:r>
            <w:r w:rsidRPr="009619BA">
              <w:rPr>
                <w:rFonts w:ascii="Times New Roman" w:hAnsi="Times New Roman"/>
              </w:rPr>
              <w:t>117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punkts un </w:t>
            </w:r>
            <w:r w:rsidRPr="009619BA">
              <w:rPr>
                <w:rFonts w:ascii="Times New Roman" w:hAnsi="Times New Roman"/>
              </w:rPr>
              <w:t>118</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w:t>
            </w:r>
            <w:r w:rsidRPr="009619BA">
              <w:rPr>
                <w:rFonts w:ascii="Times New Roman" w:hAnsi="Times New Roman"/>
              </w:rPr>
              <w:t>120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DAB un starptautiskās organizācijas, kuras uzskata par valsti – RSA – IRB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daudzpusējām attīstības bankām un starptautiskām organizācijām,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punkta b) un c) apakšpunkts.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130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PSS, kuras uzskata par valsti – sviras rādītāja riska darījuma vērtība – SP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publiskā sektora struktūrām, uz kuriem attiecas KPR </w:t>
            </w:r>
            <w:r w:rsidRPr="009619BA">
              <w:rPr>
                <w:rFonts w:ascii="Times New Roman" w:hAnsi="Times New Roman"/>
              </w:rPr>
              <w:t>116</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130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PSS, kuras uzskata par valsti – sviras rādītāja riska darījuma vērtība – IRB riska darījumi</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publiskā sektora struktūrām,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punkta a) apakšpunkts.</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130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PSS, kuras uzskata par valsti – RSA – SP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publiskā sektora struktūrām, uz kuriem attiecas KPR </w:t>
            </w:r>
            <w:r w:rsidRPr="009619BA">
              <w:rPr>
                <w:rFonts w:ascii="Times New Roman" w:hAnsi="Times New Roman"/>
              </w:rPr>
              <w:t>116</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130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PSS, kuras uzskata par valsti – RSA – IRB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publiskā sektora struktūrām,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3</w:t>
            </w:r>
            <w:r>
              <w:rPr>
                <w:rFonts w:ascii="Times New Roman" w:hAnsi="Times New Roman"/>
              </w:rPr>
              <w:t xml:space="preserve">. punkta a) apakšpunkts.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Riska darījumi ar reģionālajām pašvaldībām, DAB, starptautiskām organizācijām un PSS, kuras </w:t>
            </w:r>
            <w:r>
              <w:rPr>
                <w:rFonts w:ascii="Times New Roman" w:hAnsi="Times New Roman"/>
                <w:b/>
                <w:u w:val="single"/>
              </w:rPr>
              <w:t>neuzskata</w:t>
            </w:r>
            <w:r>
              <w:rPr>
                <w:rFonts w:ascii="Times New Roman" w:hAnsi="Times New Roman"/>
                <w:b/>
              </w:rPr>
              <w:t xml:space="preserve"> par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150</w:t>
            </w:r>
            <w:r>
              <w:rPr>
                <w:rFonts w:ascii="Times New Roman" w:hAnsi="Times New Roman"/>
              </w:rPr>
              <w:t> </w:t>
            </w:r>
            <w:r w:rsidRPr="009619BA">
              <w:rPr>
                <w:rFonts w:ascii="Times New Roman" w:hAnsi="Times New Roman"/>
              </w:rPr>
              <w:t>010</w:t>
            </w:r>
            <w:r>
              <w:rPr>
                <w:rFonts w:ascii="Times New Roman" w:hAnsi="Times New Roman"/>
              </w:rPr>
              <w:t>} līdz {</w:t>
            </w:r>
            <w:r w:rsidRPr="009619BA">
              <w:rPr>
                <w:rFonts w:ascii="Times New Roman" w:hAnsi="Times New Roman"/>
              </w:rPr>
              <w:t>170</w:t>
            </w:r>
            <w:r>
              <w:rPr>
                <w:rFonts w:ascii="Times New Roman" w:hAnsi="Times New Roman"/>
              </w:rPr>
              <w:t> </w:t>
            </w:r>
            <w:r w:rsidRPr="009619BA">
              <w:rPr>
                <w:rFonts w:ascii="Times New Roman" w:hAnsi="Times New Roman"/>
              </w:rPr>
              <w:t>010</w:t>
            </w:r>
            <w:r>
              <w:rPr>
                <w:rFonts w:ascii="Times New Roman" w:hAnsi="Times New Roman"/>
              </w:rPr>
              <w:t>} šūnas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140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Riska darījumi ar reģionālajām pašvaldībām, DAB, starptautiskām organizācijām un PSS, kuras </w:t>
            </w:r>
            <w:r>
              <w:rPr>
                <w:rFonts w:ascii="Times New Roman" w:hAnsi="Times New Roman"/>
                <w:b/>
                <w:u w:val="single"/>
              </w:rPr>
              <w:t>neuzskata</w:t>
            </w:r>
            <w:r>
              <w:rPr>
                <w:rFonts w:ascii="Times New Roman" w:hAnsi="Times New Roman"/>
                <w:b/>
              </w:rPr>
              <w:t xml:space="preserve"> par valsti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150</w:t>
            </w:r>
            <w:r>
              <w:rPr>
                <w:rFonts w:ascii="Times New Roman" w:hAnsi="Times New Roman"/>
              </w:rPr>
              <w:t> </w:t>
            </w:r>
            <w:r w:rsidRPr="009619BA">
              <w:rPr>
                <w:rFonts w:ascii="Times New Roman" w:hAnsi="Times New Roman"/>
              </w:rPr>
              <w:t>020</w:t>
            </w:r>
            <w:r>
              <w:rPr>
                <w:rFonts w:ascii="Times New Roman" w:hAnsi="Times New Roman"/>
              </w:rPr>
              <w:t>} līdz {</w:t>
            </w:r>
            <w:r w:rsidRPr="009619BA">
              <w:rPr>
                <w:rFonts w:ascii="Times New Roman" w:hAnsi="Times New Roman"/>
              </w:rPr>
              <w:t>170</w:t>
            </w:r>
            <w:r>
              <w:rPr>
                <w:rFonts w:ascii="Times New Roman" w:hAnsi="Times New Roman"/>
              </w:rPr>
              <w:t> </w:t>
            </w:r>
            <w:r w:rsidRPr="009619BA">
              <w:rPr>
                <w:rFonts w:ascii="Times New Roman" w:hAnsi="Times New Roman"/>
              </w:rPr>
              <w:t>020</w:t>
            </w:r>
            <w:r>
              <w:rPr>
                <w:rFonts w:ascii="Times New Roman" w:hAnsi="Times New Roman"/>
              </w:rPr>
              <w:t>} šūnas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Riska darījumi ar reģionālajām pašvaldībām, DAB, starptautiskām organizācijām un PSS, kuras </w:t>
            </w:r>
            <w:r>
              <w:rPr>
                <w:rFonts w:ascii="Times New Roman" w:hAnsi="Times New Roman"/>
                <w:b/>
                <w:u w:val="single"/>
              </w:rPr>
              <w:t>neuzskata</w:t>
            </w:r>
            <w:r>
              <w:rPr>
                <w:rFonts w:ascii="Times New Roman" w:hAnsi="Times New Roman"/>
                <w:b/>
              </w:rPr>
              <w:t xml:space="preserve"> par valsti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150</w:t>
            </w:r>
            <w:r>
              <w:rPr>
                <w:rFonts w:ascii="Times New Roman" w:hAnsi="Times New Roman"/>
              </w:rPr>
              <w:t> </w:t>
            </w:r>
            <w:r w:rsidRPr="009619BA">
              <w:rPr>
                <w:rFonts w:ascii="Times New Roman" w:hAnsi="Times New Roman"/>
              </w:rPr>
              <w:t>030</w:t>
            </w:r>
            <w:r>
              <w:rPr>
                <w:rFonts w:ascii="Times New Roman" w:hAnsi="Times New Roman"/>
              </w:rPr>
              <w:t>} līdz {</w:t>
            </w:r>
            <w:r w:rsidRPr="009619BA">
              <w:rPr>
                <w:rFonts w:ascii="Times New Roman" w:hAnsi="Times New Roman"/>
              </w:rPr>
              <w:t>170</w:t>
            </w:r>
            <w:r>
              <w:rPr>
                <w:rFonts w:ascii="Times New Roman" w:hAnsi="Times New Roman"/>
              </w:rPr>
              <w:t> </w:t>
            </w:r>
            <w:r w:rsidRPr="009619BA">
              <w:rPr>
                <w:rFonts w:ascii="Times New Roman" w:hAnsi="Times New Roman"/>
              </w:rPr>
              <w:t>030</w:t>
            </w:r>
            <w:r>
              <w:rPr>
                <w:rFonts w:ascii="Times New Roman" w:hAnsi="Times New Roman"/>
              </w:rPr>
              <w:t>} šūnas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140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Riska darījumi ar reģionālajām pašvaldībām, DAB, starptautiskām organizācijām un PSS, kuras </w:t>
            </w:r>
            <w:r>
              <w:rPr>
                <w:rFonts w:ascii="Times New Roman" w:hAnsi="Times New Roman"/>
                <w:b/>
                <w:u w:val="single"/>
              </w:rPr>
              <w:t>neuzskata</w:t>
            </w:r>
            <w:r>
              <w:rPr>
                <w:rFonts w:ascii="Times New Roman" w:hAnsi="Times New Roman"/>
                <w:b/>
              </w:rPr>
              <w:t xml:space="preserve"> par valsti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150</w:t>
            </w:r>
            <w:r>
              <w:rPr>
                <w:rFonts w:ascii="Times New Roman" w:hAnsi="Times New Roman"/>
              </w:rPr>
              <w:t> </w:t>
            </w:r>
            <w:r w:rsidRPr="009619BA">
              <w:rPr>
                <w:rFonts w:ascii="Times New Roman" w:hAnsi="Times New Roman"/>
              </w:rPr>
              <w:t>040</w:t>
            </w:r>
            <w:r>
              <w:rPr>
                <w:rFonts w:ascii="Times New Roman" w:hAnsi="Times New Roman"/>
              </w:rPr>
              <w:t>} līdz {</w:t>
            </w:r>
            <w:r w:rsidRPr="009619BA">
              <w:rPr>
                <w:rFonts w:ascii="Times New Roman" w:hAnsi="Times New Roman"/>
              </w:rPr>
              <w:t>170</w:t>
            </w:r>
            <w:r>
              <w:rPr>
                <w:rFonts w:ascii="Times New Roman" w:hAnsi="Times New Roman"/>
              </w:rPr>
              <w:t> </w:t>
            </w:r>
            <w:r w:rsidRPr="009619BA">
              <w:rPr>
                <w:rFonts w:ascii="Times New Roman" w:hAnsi="Times New Roman"/>
              </w:rPr>
              <w:t>040</w:t>
            </w:r>
            <w:r>
              <w:rPr>
                <w:rFonts w:ascii="Times New Roman" w:hAnsi="Times New Roman"/>
              </w:rPr>
              <w:t>} šūnas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Reģionālās pašvaldības un vietējās pašpārvaldes, kuras </w:t>
            </w:r>
            <w:r>
              <w:rPr>
                <w:rFonts w:ascii="Times New Roman" w:hAnsi="Times New Roman"/>
                <w:b/>
                <w:u w:val="single"/>
              </w:rPr>
              <w:t>neuzskata</w:t>
            </w:r>
            <w:r>
              <w:rPr>
                <w:rFonts w:ascii="Times New Roman" w:hAnsi="Times New Roman"/>
                <w:b/>
              </w:rPr>
              <w:t xml:space="preserve"> par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reģionālajām pašvaldībām un vietējām pašpārvaldēm, kuras neuzskata par valsti, uz kuriem attiecas KPR </w:t>
            </w:r>
            <w:r w:rsidRPr="009619BA">
              <w:rPr>
                <w:rFonts w:ascii="Times New Roman" w:hAnsi="Times New Roman"/>
              </w:rPr>
              <w:t>115</w:t>
            </w:r>
            <w:r>
              <w:rPr>
                <w:rFonts w:ascii="Times New Roman" w:hAnsi="Times New Roman"/>
              </w:rPr>
              <w:t xml:space="preserve">. panta </w:t>
            </w:r>
            <w:r w:rsidRPr="009619BA">
              <w:rPr>
                <w:rFonts w:ascii="Times New Roman" w:hAnsi="Times New Roman"/>
              </w:rPr>
              <w:t>1</w:t>
            </w:r>
            <w:r>
              <w:rPr>
                <w:rFonts w:ascii="Times New Roman" w:hAnsi="Times New Roman"/>
              </w:rPr>
              <w:t xml:space="preserve">., </w:t>
            </w:r>
            <w:r w:rsidRPr="009619BA">
              <w:rPr>
                <w:rFonts w:ascii="Times New Roman" w:hAnsi="Times New Roman"/>
              </w:rPr>
              <w:t>3</w:t>
            </w:r>
            <w:r>
              <w:rPr>
                <w:rFonts w:ascii="Times New Roman" w:hAnsi="Times New Roman"/>
              </w:rPr>
              <w:t xml:space="preserve">. un </w:t>
            </w:r>
            <w:r w:rsidRPr="009619BA">
              <w:rPr>
                <w:rFonts w:ascii="Times New Roman" w:hAnsi="Times New Roman"/>
              </w:rPr>
              <w:t>5</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Reģionālās pašvaldības un vietējās pašpārvaldes, kuras </w:t>
            </w:r>
            <w:r>
              <w:rPr>
                <w:rFonts w:ascii="Times New Roman" w:hAnsi="Times New Roman"/>
                <w:b/>
                <w:u w:val="single"/>
              </w:rPr>
              <w:t>neuzskata</w:t>
            </w:r>
            <w:r>
              <w:rPr>
                <w:rFonts w:ascii="Times New Roman" w:hAnsi="Times New Roman"/>
                <w:b/>
              </w:rPr>
              <w:t xml:space="preserve"> par valsti — sviras rādītāja riska darījuma vērtība — IRB riska darījumi</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reģionālajām pašvaldībām un vietējām pašpārvaldēm,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a) apakšpunkts.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Reģionālās pašvaldības un vietējās pašpārvaldes, kuras </w:t>
            </w:r>
            <w:r>
              <w:rPr>
                <w:rFonts w:ascii="Times New Roman" w:hAnsi="Times New Roman"/>
                <w:b/>
                <w:u w:val="single"/>
              </w:rPr>
              <w:t>neuzskata</w:t>
            </w:r>
            <w:r>
              <w:rPr>
                <w:rFonts w:ascii="Times New Roman" w:hAnsi="Times New Roman"/>
                <w:b/>
              </w:rPr>
              <w:t xml:space="preserve"> par valsti – RSA – SP riska darījumi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reģionālajām pašvaldībām un vietējām pašpārvaldēm, kuras neuzskata par valsti, uz kuriem attiecas KPR </w:t>
            </w:r>
            <w:r w:rsidRPr="009619BA">
              <w:rPr>
                <w:rFonts w:ascii="Times New Roman" w:hAnsi="Times New Roman"/>
              </w:rPr>
              <w:t>115</w:t>
            </w:r>
            <w:r>
              <w:rPr>
                <w:rFonts w:ascii="Times New Roman" w:hAnsi="Times New Roman"/>
              </w:rPr>
              <w:t xml:space="preserve">. panta </w:t>
            </w:r>
            <w:r w:rsidRPr="009619BA">
              <w:rPr>
                <w:rFonts w:ascii="Times New Roman" w:hAnsi="Times New Roman"/>
              </w:rPr>
              <w:t>1</w:t>
            </w:r>
            <w:r>
              <w:rPr>
                <w:rFonts w:ascii="Times New Roman" w:hAnsi="Times New Roman"/>
              </w:rPr>
              <w:t xml:space="preserve">., </w:t>
            </w:r>
            <w:r w:rsidRPr="009619BA">
              <w:rPr>
                <w:rFonts w:ascii="Times New Roman" w:hAnsi="Times New Roman"/>
              </w:rPr>
              <w:t>3</w:t>
            </w:r>
            <w:r>
              <w:rPr>
                <w:rFonts w:ascii="Times New Roman" w:hAnsi="Times New Roman"/>
              </w:rPr>
              <w:t xml:space="preserve">. un </w:t>
            </w:r>
            <w:r w:rsidRPr="009619BA">
              <w:rPr>
                <w:rFonts w:ascii="Times New Roman" w:hAnsi="Times New Roman"/>
              </w:rPr>
              <w:t>5</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150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Reģionālās pašvaldības un vietējās pašpārvaldes, kuras </w:t>
            </w:r>
            <w:r>
              <w:rPr>
                <w:rFonts w:ascii="Times New Roman" w:hAnsi="Times New Roman"/>
                <w:b/>
                <w:u w:val="single"/>
              </w:rPr>
              <w:t>neuzskata</w:t>
            </w:r>
            <w:r>
              <w:rPr>
                <w:rFonts w:ascii="Times New Roman" w:hAnsi="Times New Roman"/>
                <w:b/>
              </w:rPr>
              <w:t xml:space="preserve"> par valsti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reģionālajām pašvaldībām un vietējām pašpārvaldēm,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punkta a) apakšpunkts.</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160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DAB, kuras </w:t>
            </w:r>
            <w:r>
              <w:rPr>
                <w:rFonts w:ascii="Times New Roman" w:hAnsi="Times New Roman"/>
                <w:b/>
                <w:u w:val="single"/>
              </w:rPr>
              <w:t>neuzskata</w:t>
            </w:r>
            <w:r>
              <w:rPr>
                <w:rFonts w:ascii="Times New Roman" w:hAnsi="Times New Roman"/>
                <w:b/>
              </w:rPr>
              <w:t xml:space="preserve"> par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daudzpusējām attīstības bankām, uz kuriem attiecas KPR </w:t>
            </w:r>
            <w:r w:rsidRPr="009619BA">
              <w:rPr>
                <w:rFonts w:ascii="Times New Roman" w:hAnsi="Times New Roman"/>
              </w:rPr>
              <w:t>117</w:t>
            </w:r>
            <w:r>
              <w:rPr>
                <w:rFonts w:ascii="Times New Roman" w:hAnsi="Times New Roman"/>
              </w:rPr>
              <w:t xml:space="preserve">. panta </w:t>
            </w:r>
            <w:r w:rsidRPr="009619BA">
              <w:rPr>
                <w:rFonts w:ascii="Times New Roman" w:hAnsi="Times New Roman"/>
              </w:rPr>
              <w:t>1</w:t>
            </w:r>
            <w:r>
              <w:rPr>
                <w:rFonts w:ascii="Times New Roman" w:hAnsi="Times New Roman"/>
              </w:rPr>
              <w:t xml:space="preserve">. un </w:t>
            </w:r>
            <w:r w:rsidRPr="009619BA">
              <w:rPr>
                <w:rFonts w:ascii="Times New Roman" w:hAnsi="Times New Roman"/>
              </w:rPr>
              <w:t>3</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160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DAB, kuras </w:t>
            </w:r>
            <w:r>
              <w:rPr>
                <w:rFonts w:ascii="Times New Roman" w:hAnsi="Times New Roman"/>
                <w:b/>
                <w:u w:val="single"/>
              </w:rPr>
              <w:t>neuzskata</w:t>
            </w:r>
            <w:r>
              <w:rPr>
                <w:rFonts w:ascii="Times New Roman" w:hAnsi="Times New Roman"/>
                <w:b/>
              </w:rPr>
              <w:t xml:space="preserve"> par valsti – sviras rādītāja riska darījuma vērtība – IRB riska darījumi</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daudzpusējām attīstības bankām,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c) apakšpunkts.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160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DAB, kuras </w:t>
            </w:r>
            <w:r>
              <w:rPr>
                <w:rFonts w:ascii="Times New Roman" w:hAnsi="Times New Roman"/>
                <w:b/>
                <w:u w:val="single"/>
              </w:rPr>
              <w:t>neuzskata</w:t>
            </w:r>
            <w:r>
              <w:rPr>
                <w:rFonts w:ascii="Times New Roman" w:hAnsi="Times New Roman"/>
                <w:b/>
              </w:rPr>
              <w:t xml:space="preserve"> par valsti – RSA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daudzpusējām attīstības bankām, uz kuriem attiecas KPR </w:t>
            </w:r>
            <w:r w:rsidRPr="009619BA">
              <w:rPr>
                <w:rFonts w:ascii="Times New Roman" w:hAnsi="Times New Roman"/>
              </w:rPr>
              <w:t>117</w:t>
            </w:r>
            <w:r>
              <w:rPr>
                <w:rFonts w:ascii="Times New Roman" w:hAnsi="Times New Roman"/>
              </w:rPr>
              <w:t xml:space="preserve">. panta </w:t>
            </w:r>
            <w:r w:rsidRPr="009619BA">
              <w:rPr>
                <w:rFonts w:ascii="Times New Roman" w:hAnsi="Times New Roman"/>
              </w:rPr>
              <w:t>1</w:t>
            </w:r>
            <w:r>
              <w:rPr>
                <w:rFonts w:ascii="Times New Roman" w:hAnsi="Times New Roman"/>
              </w:rPr>
              <w:t xml:space="preserve">. un </w:t>
            </w:r>
            <w:r w:rsidRPr="009619BA">
              <w:rPr>
                <w:rFonts w:ascii="Times New Roman" w:hAnsi="Times New Roman"/>
              </w:rPr>
              <w:t>3</w:t>
            </w:r>
            <w:r>
              <w:rPr>
                <w:rFonts w:ascii="Times New Roman" w:hAnsi="Times New Roman"/>
              </w:rPr>
              <w:t>. punkts.</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160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DAB, kuras </w:t>
            </w:r>
            <w:r>
              <w:rPr>
                <w:rFonts w:ascii="Times New Roman" w:hAnsi="Times New Roman"/>
                <w:b/>
                <w:u w:val="single"/>
              </w:rPr>
              <w:t>neuzskata</w:t>
            </w:r>
            <w:r>
              <w:rPr>
                <w:rFonts w:ascii="Times New Roman" w:hAnsi="Times New Roman"/>
                <w:b/>
              </w:rPr>
              <w:t xml:space="preserve"> par valsti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daudzpusējām attīstības bankām,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c) apakšpunkts.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170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PSS, kuras </w:t>
            </w:r>
            <w:r>
              <w:rPr>
                <w:rFonts w:ascii="Times New Roman" w:hAnsi="Times New Roman"/>
                <w:b/>
                <w:u w:val="single"/>
              </w:rPr>
              <w:t>neuzskata</w:t>
            </w:r>
            <w:r>
              <w:rPr>
                <w:rFonts w:ascii="Times New Roman" w:hAnsi="Times New Roman"/>
                <w:b/>
              </w:rPr>
              <w:t xml:space="preserve"> par valsti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publiskā sektora struktūrām, uz kuriem attiecas KPR </w:t>
            </w:r>
            <w:r w:rsidRPr="009619BA">
              <w:rPr>
                <w:rFonts w:ascii="Times New Roman" w:hAnsi="Times New Roman"/>
              </w:rPr>
              <w:t>116</w:t>
            </w:r>
            <w:r>
              <w:rPr>
                <w:rFonts w:ascii="Times New Roman" w:hAnsi="Times New Roman"/>
              </w:rPr>
              <w:t xml:space="preserve">. panta </w:t>
            </w:r>
            <w:r w:rsidRPr="009619BA">
              <w:rPr>
                <w:rFonts w:ascii="Times New Roman" w:hAnsi="Times New Roman"/>
              </w:rPr>
              <w:t>1</w:t>
            </w:r>
            <w:r>
              <w:rPr>
                <w:rFonts w:ascii="Times New Roman" w:hAnsi="Times New Roman"/>
              </w:rPr>
              <w:t xml:space="preserve">., </w:t>
            </w:r>
            <w:r w:rsidRPr="009619BA">
              <w:rPr>
                <w:rFonts w:ascii="Times New Roman" w:hAnsi="Times New Roman"/>
              </w:rPr>
              <w:t>2</w:t>
            </w:r>
            <w:r>
              <w:rPr>
                <w:rFonts w:ascii="Times New Roman" w:hAnsi="Times New Roman"/>
              </w:rPr>
              <w:t xml:space="preserve">., </w:t>
            </w:r>
            <w:r w:rsidRPr="009619BA">
              <w:rPr>
                <w:rFonts w:ascii="Times New Roman" w:hAnsi="Times New Roman"/>
              </w:rPr>
              <w:t>3</w:t>
            </w:r>
            <w:r>
              <w:rPr>
                <w:rFonts w:ascii="Times New Roman" w:hAnsi="Times New Roman"/>
              </w:rPr>
              <w:t xml:space="preserve">. un </w:t>
            </w:r>
            <w:r w:rsidRPr="009619BA">
              <w:rPr>
                <w:rFonts w:ascii="Times New Roman" w:hAnsi="Times New Roman"/>
              </w:rPr>
              <w:t>5</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170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PSS, kuras </w:t>
            </w:r>
            <w:r>
              <w:rPr>
                <w:rFonts w:ascii="Times New Roman" w:hAnsi="Times New Roman"/>
                <w:b/>
                <w:u w:val="single"/>
              </w:rPr>
              <w:t>neuzskata</w:t>
            </w:r>
            <w:r>
              <w:rPr>
                <w:rFonts w:ascii="Times New Roman" w:hAnsi="Times New Roman"/>
                <w:b/>
              </w:rPr>
              <w:t xml:space="preserve"> par valsti – sviras rādītāja riska darījuma vērtība – IRB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publiskā sektora struktūrām,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b) apakšpunkts.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170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PSS, kuras </w:t>
            </w:r>
            <w:r>
              <w:rPr>
                <w:rFonts w:ascii="Times New Roman" w:hAnsi="Times New Roman"/>
                <w:b/>
                <w:u w:val="single"/>
              </w:rPr>
              <w:t>neuzskata</w:t>
            </w:r>
            <w:r>
              <w:rPr>
                <w:rFonts w:ascii="Times New Roman" w:hAnsi="Times New Roman"/>
                <w:b/>
              </w:rPr>
              <w:t xml:space="preserve"> par valsti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publiskā sektora struktūrām, uz kuriem attiecas KPR </w:t>
            </w:r>
            <w:r w:rsidRPr="009619BA">
              <w:rPr>
                <w:rFonts w:ascii="Times New Roman" w:hAnsi="Times New Roman"/>
              </w:rPr>
              <w:t>116</w:t>
            </w:r>
            <w:r>
              <w:rPr>
                <w:rFonts w:ascii="Times New Roman" w:hAnsi="Times New Roman"/>
              </w:rPr>
              <w:t xml:space="preserve">. panta </w:t>
            </w:r>
            <w:r w:rsidRPr="009619BA">
              <w:rPr>
                <w:rFonts w:ascii="Times New Roman" w:hAnsi="Times New Roman"/>
              </w:rPr>
              <w:t>1</w:t>
            </w:r>
            <w:r>
              <w:rPr>
                <w:rFonts w:ascii="Times New Roman" w:hAnsi="Times New Roman"/>
              </w:rPr>
              <w:t xml:space="preserve">., </w:t>
            </w:r>
            <w:r w:rsidRPr="009619BA">
              <w:rPr>
                <w:rFonts w:ascii="Times New Roman" w:hAnsi="Times New Roman"/>
              </w:rPr>
              <w:t>2</w:t>
            </w:r>
            <w:r>
              <w:rPr>
                <w:rFonts w:ascii="Times New Roman" w:hAnsi="Times New Roman"/>
              </w:rPr>
              <w:t xml:space="preserve">., </w:t>
            </w:r>
            <w:r w:rsidRPr="009619BA">
              <w:rPr>
                <w:rFonts w:ascii="Times New Roman" w:hAnsi="Times New Roman"/>
              </w:rPr>
              <w:t>3</w:t>
            </w:r>
            <w:r>
              <w:rPr>
                <w:rFonts w:ascii="Times New Roman" w:hAnsi="Times New Roman"/>
              </w:rPr>
              <w:t xml:space="preserve">. un </w:t>
            </w:r>
            <w:r w:rsidRPr="009619BA">
              <w:rPr>
                <w:rFonts w:ascii="Times New Roman" w:hAnsi="Times New Roman"/>
              </w:rPr>
              <w:t>5</w:t>
            </w:r>
            <w:r>
              <w:rPr>
                <w:rFonts w:ascii="Times New Roman" w:hAnsi="Times New Roman"/>
              </w:rPr>
              <w:t xml:space="preserve">.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170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PSS, kuras </w:t>
            </w:r>
            <w:r>
              <w:rPr>
                <w:rFonts w:ascii="Times New Roman" w:hAnsi="Times New Roman"/>
                <w:b/>
                <w:u w:val="single"/>
              </w:rPr>
              <w:t>neuzskata</w:t>
            </w:r>
            <w:r>
              <w:rPr>
                <w:rFonts w:ascii="Times New Roman" w:hAnsi="Times New Roman"/>
                <w:b/>
              </w:rPr>
              <w:t xml:space="preserve"> par valsti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publiskā sektora struktūrām, kuras neuzskata par valsti,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xml:space="preserve">. punkta b) apakšpunkts.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180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Iestādes – sviras rādītāja riska darījuma vērtība – SP riska darījumi</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iestādēm, uz kuriem attiecas KPR </w:t>
            </w:r>
            <w:r w:rsidRPr="009619BA">
              <w:rPr>
                <w:rFonts w:ascii="Times New Roman" w:hAnsi="Times New Roman"/>
              </w:rPr>
              <w:t>119</w:t>
            </w:r>
            <w:r>
              <w:rPr>
                <w:rFonts w:ascii="Times New Roman" w:hAnsi="Times New Roman"/>
              </w:rPr>
              <w:t xml:space="preserve">. līdz </w:t>
            </w:r>
            <w:r w:rsidRPr="009619BA">
              <w:rPr>
                <w:rFonts w:ascii="Times New Roman" w:hAnsi="Times New Roman"/>
              </w:rPr>
              <w:t>121</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Iestādes – sviras rādītāja riska darījuma vērtība – IRB riska darījumi</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iestādēm,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b) apakšpunkts, un kas </w:t>
            </w:r>
            <w:r>
              <w:rPr>
                <w:rFonts w:ascii="Times New Roman" w:hAnsi="Times New Roman"/>
                <w:b/>
                <w:u w:val="single"/>
              </w:rPr>
              <w:t>nav</w:t>
            </w:r>
            <w:r>
              <w:rPr>
                <w:rFonts w:ascii="Times New Roman" w:hAnsi="Times New Roman"/>
              </w:rPr>
              <w:t xml:space="preserve"> riska darījumi segto obligāciju veidā saskaņā ar KPR </w:t>
            </w:r>
            <w:r w:rsidRPr="009619BA">
              <w:rPr>
                <w:rFonts w:ascii="Times New Roman" w:hAnsi="Times New Roman"/>
              </w:rPr>
              <w:t>161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apakšpunktu, un uz kuriem </w:t>
            </w:r>
            <w:r>
              <w:rPr>
                <w:rFonts w:ascii="Times New Roman" w:hAnsi="Times New Roman"/>
                <w:b/>
                <w:u w:val="single"/>
              </w:rPr>
              <w:t>neattiecas</w:t>
            </w:r>
            <w:r>
              <w:rPr>
                <w:rFonts w:ascii="Times New Roman" w:hAnsi="Times New Roman"/>
              </w:rPr>
              <w:t xml:space="preserve">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punkta a) līdz c) apakšpunkts.</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Iestādes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iestādēm, uz kuriem attiecas KPR </w:t>
            </w:r>
            <w:r w:rsidRPr="009619BA">
              <w:rPr>
                <w:rFonts w:ascii="Times New Roman" w:hAnsi="Times New Roman"/>
              </w:rPr>
              <w:t>119</w:t>
            </w:r>
            <w:r>
              <w:rPr>
                <w:rFonts w:ascii="Times New Roman" w:hAnsi="Times New Roman"/>
              </w:rPr>
              <w:t xml:space="preserve">. līdz </w:t>
            </w:r>
            <w:r w:rsidRPr="009619BA">
              <w:rPr>
                <w:rFonts w:ascii="Times New Roman" w:hAnsi="Times New Roman"/>
              </w:rPr>
              <w:t>121</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180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Iestādes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iestādēm,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b) apakšpunkts, un kas </w:t>
            </w:r>
            <w:r>
              <w:rPr>
                <w:rFonts w:ascii="Times New Roman" w:hAnsi="Times New Roman"/>
                <w:b/>
                <w:u w:val="single"/>
              </w:rPr>
              <w:t>nav</w:t>
            </w:r>
            <w:r>
              <w:rPr>
                <w:rFonts w:ascii="Times New Roman" w:hAnsi="Times New Roman"/>
              </w:rPr>
              <w:t xml:space="preserve"> riska darījumi segto obligāciju veidā saskaņā ar KPR </w:t>
            </w:r>
            <w:r w:rsidRPr="009619BA">
              <w:rPr>
                <w:rFonts w:ascii="Times New Roman" w:hAnsi="Times New Roman"/>
              </w:rPr>
              <w:t>161</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d) apakšpunktu, un uz kuriem </w:t>
            </w:r>
            <w:r>
              <w:rPr>
                <w:rFonts w:ascii="Times New Roman" w:hAnsi="Times New Roman"/>
                <w:b/>
                <w:u w:val="single"/>
              </w:rPr>
              <w:t>neattiecas</w:t>
            </w:r>
            <w:r>
              <w:rPr>
                <w:rFonts w:ascii="Times New Roman" w:hAnsi="Times New Roman"/>
              </w:rPr>
              <w:t xml:space="preserve">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4</w:t>
            </w:r>
            <w:r>
              <w:rPr>
                <w:rFonts w:ascii="Times New Roman" w:hAnsi="Times New Roman"/>
              </w:rPr>
              <w:t>. punkta a) līdz c) apakšpunkts.</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nekustamā īpašuma hipotēku; no kā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kuri nodrošināti ar nekustamā īpašuma hipotēku un uz kuriem attiecas KPR </w:t>
            </w:r>
            <w:r w:rsidRPr="009619BA">
              <w:rPr>
                <w:rFonts w:ascii="Times New Roman" w:hAnsi="Times New Roman"/>
              </w:rPr>
              <w:t>124</w:t>
            </w:r>
            <w:r>
              <w:rPr>
                <w:rFonts w:ascii="Times New Roman" w:hAnsi="Times New Roman"/>
              </w:rPr>
              <w:t>. pants.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nekustamā īpašuma hipotēku; no kā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vai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190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nekustamā īpašuma hipotēku; no kā – RSA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kuri nodrošināti ar nekustamā īpašuma hipotēku un uz kuriem attiecas KPR </w:t>
            </w:r>
            <w:r w:rsidRPr="009619BA">
              <w:rPr>
                <w:rFonts w:ascii="Times New Roman" w:hAnsi="Times New Roman"/>
              </w:rPr>
              <w:t>124</w:t>
            </w:r>
            <w:r>
              <w:rPr>
                <w:rFonts w:ascii="Times New Roman" w:hAnsi="Times New Roman"/>
              </w:rPr>
              <w:t>. pants.</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190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Nodrošināti ar nekustamā īpašuma hipotēku; no kā – RSA – IRB riska darījumi</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vai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200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mājokļa īpašuma hipotēku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kuri ir pilnībā nodrošināti ar mājokļa īpašuma hipotēku un uz kuriem attiecas KPR </w:t>
            </w:r>
            <w:r w:rsidRPr="009619BA">
              <w:rPr>
                <w:rFonts w:ascii="Times New Roman" w:hAnsi="Times New Roman"/>
              </w:rPr>
              <w:t>125</w:t>
            </w:r>
            <w:r>
              <w:rPr>
                <w:rFonts w:ascii="Times New Roman" w:hAnsi="Times New Roman"/>
              </w:rPr>
              <w:t>. pants.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200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Nodrošināti ar mājokļa īpašuma hipotēku – sviras rādītāja riska darījuma vērtība – IRB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vai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nodrošināti ar mājokļa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Iestādes vērtību norāda, atņemot riska darījumus, kuros netiek pildītas saistības.</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200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mājokļa īpašuma hipotēku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kuri ir pilnībā nodrošināti ar mājokļa īpašuma hipotēku un uz kuriem attiecas KPR </w:t>
            </w:r>
            <w:r w:rsidRPr="009619BA">
              <w:rPr>
                <w:rFonts w:ascii="Times New Roman" w:hAnsi="Times New Roman"/>
              </w:rPr>
              <w:t>125</w:t>
            </w:r>
            <w:r>
              <w:rPr>
                <w:rFonts w:ascii="Times New Roman" w:hAnsi="Times New Roman"/>
              </w:rPr>
              <w:t>. pants.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200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Nodrošināti ar mājokļa īpašuma hipotēku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vai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nodrošināti ar mājokļa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Iestādes vērtību norāda, atņemot riska darījumus, kuros netiek pildītas saistības.</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Riska darījumi ar privātpersonām vai MVU; no kā — sviras rādītāja riska darījuma vērtība — SP riska darījumi</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privātpersonām vai MVU, uz kuriem attiecas KPR </w:t>
            </w:r>
            <w:r w:rsidRPr="009619BA">
              <w:rPr>
                <w:rFonts w:ascii="Times New Roman" w:hAnsi="Times New Roman"/>
              </w:rPr>
              <w:t>123</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privātpersonām vai MVU; no kā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210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Riska darījumi ar privātpersonām vai MVU; no kā – RSA – SP riska darījumi</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privātpersonām vai MVU, uz kuriem attiecas KPR </w:t>
            </w:r>
            <w:r w:rsidRPr="009619BA">
              <w:rPr>
                <w:rFonts w:ascii="Times New Roman" w:hAnsi="Times New Roman"/>
              </w:rPr>
              <w:t>123</w:t>
            </w:r>
            <w:r>
              <w:rPr>
                <w:rFonts w:ascii="Times New Roman" w:hAnsi="Times New Roman"/>
              </w:rPr>
              <w:t xml:space="preserve">. pants.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210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privātpersonām vai MVU; no kā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Riska darījumi ar MVU – sviras rādītāja riska darījuma vērtība – SP riska darījumi</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maziem un vidējiem uzņēmumiem, uz kuriem attiecas KPR </w:t>
            </w:r>
            <w:r w:rsidRPr="009619BA">
              <w:rPr>
                <w:rFonts w:ascii="Times New Roman" w:hAnsi="Times New Roman"/>
              </w:rPr>
              <w:t>123</w:t>
            </w:r>
            <w:r>
              <w:rPr>
                <w:rFonts w:ascii="Times New Roman" w:hAnsi="Times New Roman"/>
              </w:rPr>
              <w:t xml:space="preserve">. pants.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MVU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riska darījumi ar maziem un vidējiem uzņēmumiem un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Riska darījumi ar MVU – RSA – SP riska darījumi</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maziem un vidējiem uzņēmumiem, uz kuriem attiecas KPR </w:t>
            </w:r>
            <w:r w:rsidRPr="009619BA">
              <w:rPr>
                <w:rFonts w:ascii="Times New Roman" w:hAnsi="Times New Roman"/>
              </w:rPr>
              <w:t>123</w:t>
            </w:r>
            <w:r>
              <w:rPr>
                <w:rFonts w:ascii="Times New Roman" w:hAnsi="Times New Roman"/>
              </w:rPr>
              <w:t xml:space="preserve">. pants.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220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MVU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privātpersonām vai MVU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d) apakšpunktu, ja šie riska darījumi ir riska darījumi ar maziem un vidējiem uzņēmumiem un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230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Komercsabiedrības; no kā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Tā ir {</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 un {</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 summa.</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Komercsabiedrības; no kā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240</w:t>
            </w:r>
            <w:r>
              <w:rPr>
                <w:rFonts w:ascii="Times New Roman" w:hAnsi="Times New Roman"/>
              </w:rPr>
              <w:t> </w:t>
            </w:r>
            <w:r w:rsidRPr="009619BA">
              <w:rPr>
                <w:rFonts w:ascii="Times New Roman" w:hAnsi="Times New Roman"/>
              </w:rPr>
              <w:t>020</w:t>
            </w:r>
            <w:r>
              <w:rPr>
                <w:rFonts w:ascii="Times New Roman" w:hAnsi="Times New Roman"/>
              </w:rPr>
              <w:t>} un {</w:t>
            </w:r>
            <w:r w:rsidRPr="009619BA">
              <w:rPr>
                <w:rFonts w:ascii="Times New Roman" w:hAnsi="Times New Roman"/>
              </w:rPr>
              <w:t>250</w:t>
            </w:r>
            <w:r>
              <w:rPr>
                <w:rFonts w:ascii="Times New Roman" w:hAnsi="Times New Roman"/>
              </w:rPr>
              <w:t> </w:t>
            </w:r>
            <w:r w:rsidRPr="009619BA">
              <w:rPr>
                <w:rFonts w:ascii="Times New Roman" w:hAnsi="Times New Roman"/>
              </w:rPr>
              <w:t>020</w:t>
            </w:r>
            <w:r>
              <w:rPr>
                <w:rFonts w:ascii="Times New Roman" w:hAnsi="Times New Roman"/>
              </w:rPr>
              <w:t>}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Komercsabiedrības; no kā – RSA – SP riska darījumi</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240</w:t>
            </w:r>
            <w:r>
              <w:rPr>
                <w:rFonts w:ascii="Times New Roman" w:hAnsi="Times New Roman"/>
              </w:rPr>
              <w:t> </w:t>
            </w:r>
            <w:r w:rsidRPr="009619BA">
              <w:rPr>
                <w:rFonts w:ascii="Times New Roman" w:hAnsi="Times New Roman"/>
              </w:rPr>
              <w:t>030</w:t>
            </w:r>
            <w:r>
              <w:rPr>
                <w:rFonts w:ascii="Times New Roman" w:hAnsi="Times New Roman"/>
              </w:rPr>
              <w:t>} un {</w:t>
            </w:r>
            <w:r w:rsidRPr="009619BA">
              <w:rPr>
                <w:rFonts w:ascii="Times New Roman" w:hAnsi="Times New Roman"/>
              </w:rPr>
              <w:t>250</w:t>
            </w:r>
            <w:r>
              <w:rPr>
                <w:rFonts w:ascii="Times New Roman" w:hAnsi="Times New Roman"/>
              </w:rPr>
              <w:t> </w:t>
            </w:r>
            <w:r w:rsidRPr="009619BA">
              <w:rPr>
                <w:rFonts w:ascii="Times New Roman" w:hAnsi="Times New Roman"/>
              </w:rPr>
              <w:t>030</w:t>
            </w:r>
            <w:r>
              <w:rPr>
                <w:rFonts w:ascii="Times New Roman" w:hAnsi="Times New Roman"/>
              </w:rPr>
              <w:t>}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230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Komercsabiedrības; no kā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240</w:t>
            </w:r>
            <w:r>
              <w:rPr>
                <w:rFonts w:ascii="Times New Roman" w:hAnsi="Times New Roman"/>
              </w:rPr>
              <w:t> </w:t>
            </w:r>
            <w:r w:rsidRPr="009619BA">
              <w:rPr>
                <w:rFonts w:ascii="Times New Roman" w:hAnsi="Times New Roman"/>
              </w:rPr>
              <w:t>040</w:t>
            </w:r>
            <w:r>
              <w:rPr>
                <w:rFonts w:ascii="Times New Roman" w:hAnsi="Times New Roman"/>
              </w:rPr>
              <w:t>} un {</w:t>
            </w:r>
            <w:r w:rsidRPr="009619BA">
              <w:rPr>
                <w:rFonts w:ascii="Times New Roman" w:hAnsi="Times New Roman"/>
              </w:rPr>
              <w:t>250</w:t>
            </w:r>
            <w:r>
              <w:rPr>
                <w:rFonts w:ascii="Times New Roman" w:hAnsi="Times New Roman"/>
              </w:rPr>
              <w:t> </w:t>
            </w:r>
            <w:r w:rsidRPr="009619BA">
              <w:rPr>
                <w:rFonts w:ascii="Times New Roman" w:hAnsi="Times New Roman"/>
              </w:rPr>
              <w:t>040</w:t>
            </w:r>
            <w:r>
              <w:rPr>
                <w:rFonts w:ascii="Times New Roman" w:hAnsi="Times New Roman"/>
              </w:rPr>
              <w:t>}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240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Finanšu komercsabiedrības – sviras rādītāja riska darījuma vērtība – SP riska darījumi</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finanšu komercsabiedrībām, uz kuriem attiecas KPR </w:t>
            </w:r>
            <w:r w:rsidRPr="009619BA">
              <w:rPr>
                <w:rFonts w:ascii="Times New Roman" w:hAnsi="Times New Roman"/>
              </w:rPr>
              <w:t>122</w:t>
            </w:r>
            <w:r>
              <w:rPr>
                <w:rFonts w:ascii="Times New Roman" w:hAnsi="Times New Roman"/>
              </w:rPr>
              <w:t>. pants. Pārskata sniegšanas vajadzībām LR</w:t>
            </w:r>
            <w:r w:rsidRPr="009619BA">
              <w:rPr>
                <w:rFonts w:ascii="Times New Roman" w:hAnsi="Times New Roman"/>
              </w:rPr>
              <w:t>4</w:t>
            </w:r>
            <w:r>
              <w:rPr>
                <w:rFonts w:ascii="Times New Roman" w:hAnsi="Times New Roman"/>
              </w:rPr>
              <w:t xml:space="preserve"> veidnē finanšu komercsabiedrības ir tādas regulētas un neregulētas sabiedrības,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kuru galvenā uzņēmējdarbība ir līdzdalību iegāde vai vienas vai vairāku tādu darbību veikšana, kuras norādītas Direktīvas </w:t>
            </w:r>
            <w:r w:rsidRPr="009619BA">
              <w:rPr>
                <w:rFonts w:ascii="Times New Roman" w:hAnsi="Times New Roman"/>
              </w:rPr>
              <w:t>2013</w:t>
            </w:r>
            <w:r>
              <w:rPr>
                <w:rFonts w:ascii="Times New Roman" w:hAnsi="Times New Roman"/>
              </w:rPr>
              <w:t>/</w:t>
            </w:r>
            <w:r w:rsidRPr="009619BA">
              <w:rPr>
                <w:rFonts w:ascii="Times New Roman" w:hAnsi="Times New Roman"/>
              </w:rPr>
              <w:t>36</w:t>
            </w:r>
            <w:r>
              <w:rPr>
                <w:rFonts w:ascii="Times New Roman" w:hAnsi="Times New Roman"/>
              </w:rPr>
              <w:t xml:space="preserve">/ES I pielikumā, kā arī sabiedrības, kas definētas 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27</w:t>
            </w:r>
            <w:r>
              <w:rPr>
                <w:rFonts w:ascii="Times New Roman" w:hAnsi="Times New Roman"/>
              </w:rPr>
              <w:t>) apakšpunktā,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240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Finanšu komercsabiedrības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finanšu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 Pārskata sniegšanas vajadzībām LR</w:t>
            </w:r>
            <w:r w:rsidRPr="009619BA">
              <w:rPr>
                <w:rFonts w:ascii="Times New Roman" w:hAnsi="Times New Roman"/>
              </w:rPr>
              <w:t>4</w:t>
            </w:r>
            <w:r>
              <w:rPr>
                <w:rFonts w:ascii="Times New Roman" w:hAnsi="Times New Roman"/>
              </w:rPr>
              <w:t xml:space="preserve"> veidnē finanšu komercsabiedrības ir tādas regulētas un neregulētas sabiedrības,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kuru galvenā uzņēmējdarbība ir līdzdalību iegāde vai vienas vai vairāku tādu darbību veikšana, kuras norādītas Direktīvas </w:t>
            </w:r>
            <w:r w:rsidRPr="009619BA">
              <w:rPr>
                <w:rFonts w:ascii="Times New Roman" w:hAnsi="Times New Roman"/>
              </w:rPr>
              <w:t>2013</w:t>
            </w:r>
            <w:r>
              <w:rPr>
                <w:rFonts w:ascii="Times New Roman" w:hAnsi="Times New Roman"/>
              </w:rPr>
              <w:t>/</w:t>
            </w:r>
            <w:r w:rsidRPr="009619BA">
              <w:rPr>
                <w:rFonts w:ascii="Times New Roman" w:hAnsi="Times New Roman"/>
              </w:rPr>
              <w:t>36</w:t>
            </w:r>
            <w:r>
              <w:rPr>
                <w:rFonts w:ascii="Times New Roman" w:hAnsi="Times New Roman"/>
              </w:rPr>
              <w:t xml:space="preserve">/ES I pielikumā, kā arī sabiedrības, kas definētas 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27</w:t>
            </w:r>
            <w:r>
              <w:rPr>
                <w:rFonts w:ascii="Times New Roman" w:hAnsi="Times New Roman"/>
              </w:rPr>
              <w:t>) apakšpunktā,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240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Finanšu komercsabiedrības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darījumu riska svērtā vērtība, kas ir tādi riska darījumi ar finanšu komercsabiedrībām, uz kuriem attiecas KPR </w:t>
            </w:r>
            <w:r w:rsidRPr="009619BA">
              <w:rPr>
                <w:rFonts w:ascii="Times New Roman" w:hAnsi="Times New Roman"/>
              </w:rPr>
              <w:t>122</w:t>
            </w:r>
            <w:r>
              <w:rPr>
                <w:rFonts w:ascii="Times New Roman" w:hAnsi="Times New Roman"/>
              </w:rPr>
              <w:t>. pants. Pārskata sniegšanas vajadzībām LR</w:t>
            </w:r>
            <w:r w:rsidRPr="009619BA">
              <w:rPr>
                <w:rFonts w:ascii="Times New Roman" w:hAnsi="Times New Roman"/>
              </w:rPr>
              <w:t>4</w:t>
            </w:r>
            <w:r>
              <w:rPr>
                <w:rFonts w:ascii="Times New Roman" w:hAnsi="Times New Roman"/>
              </w:rPr>
              <w:t xml:space="preserve"> veidnē finanšu komercsabiedrības ir tādas regulētas un neregulētas sabiedrības,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kuru galvenā uzņēmējdarbība ir līdzdalību iegāde vai vienas vai vairāku tādu darbību veikšana, kuras norādītas Direktīvas </w:t>
            </w:r>
            <w:r w:rsidRPr="009619BA">
              <w:rPr>
                <w:rFonts w:ascii="Times New Roman" w:hAnsi="Times New Roman"/>
              </w:rPr>
              <w:t>2013</w:t>
            </w:r>
            <w:r>
              <w:rPr>
                <w:rFonts w:ascii="Times New Roman" w:hAnsi="Times New Roman"/>
              </w:rPr>
              <w:t>/</w:t>
            </w:r>
            <w:r w:rsidRPr="009619BA">
              <w:rPr>
                <w:rFonts w:ascii="Times New Roman" w:hAnsi="Times New Roman"/>
              </w:rPr>
              <w:t>36</w:t>
            </w:r>
            <w:r>
              <w:rPr>
                <w:rFonts w:ascii="Times New Roman" w:hAnsi="Times New Roman"/>
              </w:rPr>
              <w:t xml:space="preserve">/ES I pielikumā, kā arī sabiedrības, kas definētas 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27</w:t>
            </w:r>
            <w:r>
              <w:rPr>
                <w:rFonts w:ascii="Times New Roman" w:hAnsi="Times New Roman"/>
              </w:rPr>
              <w:t>) apakšpunktā,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240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Finanšu komercsabiedrības – RSA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finanšu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 Pārskata sniegšanas vajadzībām LR</w:t>
            </w:r>
            <w:r w:rsidRPr="009619BA">
              <w:rPr>
                <w:rFonts w:ascii="Times New Roman" w:hAnsi="Times New Roman"/>
              </w:rPr>
              <w:t>4</w:t>
            </w:r>
            <w:r>
              <w:rPr>
                <w:rFonts w:ascii="Times New Roman" w:hAnsi="Times New Roman"/>
              </w:rPr>
              <w:t xml:space="preserve"> veidnē finanšu komercsabiedrības ir tādas regulētas un neregulētas sabiedrības,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kuru galvenā uzņēmējdarbība ir līdzdalību iegāde vai vienas vai vairāku tādu darbību veikšana, kuras norādītas Direktīvas </w:t>
            </w:r>
            <w:r w:rsidRPr="009619BA">
              <w:rPr>
                <w:rFonts w:ascii="Times New Roman" w:hAnsi="Times New Roman"/>
              </w:rPr>
              <w:t>2013</w:t>
            </w:r>
            <w:r>
              <w:rPr>
                <w:rFonts w:ascii="Times New Roman" w:hAnsi="Times New Roman"/>
              </w:rPr>
              <w:t>/</w:t>
            </w:r>
            <w:r w:rsidRPr="009619BA">
              <w:rPr>
                <w:rFonts w:ascii="Times New Roman" w:hAnsi="Times New Roman"/>
              </w:rPr>
              <w:t>36</w:t>
            </w:r>
            <w:r>
              <w:rPr>
                <w:rFonts w:ascii="Times New Roman" w:hAnsi="Times New Roman"/>
              </w:rPr>
              <w:t xml:space="preserve">/ES I pielikumā, kā arī sabiedrības, kas definētas KPR </w:t>
            </w:r>
            <w:r w:rsidRPr="009619BA">
              <w:rPr>
                <w:rFonts w:ascii="Times New Roman" w:hAnsi="Times New Roman"/>
              </w:rPr>
              <w:t>4</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w:t>
            </w:r>
            <w:r w:rsidRPr="009619BA">
              <w:rPr>
                <w:rFonts w:ascii="Times New Roman" w:hAnsi="Times New Roman"/>
              </w:rPr>
              <w:t>27</w:t>
            </w:r>
            <w:r>
              <w:rPr>
                <w:rFonts w:ascii="Times New Roman" w:hAnsi="Times New Roman"/>
              </w:rPr>
              <w:t>) apakšpunktā, izņemot {</w:t>
            </w:r>
            <w:r w:rsidRPr="009619BA">
              <w:rPr>
                <w:rFonts w:ascii="Times New Roman" w:hAnsi="Times New Roman"/>
              </w:rPr>
              <w:t>180</w:t>
            </w:r>
            <w:r>
              <w:rPr>
                <w:rFonts w:ascii="Times New Roman" w:hAnsi="Times New Roman"/>
              </w:rPr>
              <w:t>;</w:t>
            </w:r>
            <w:r w:rsidRPr="009619BA">
              <w:rPr>
                <w:rFonts w:ascii="Times New Roman" w:hAnsi="Times New Roman"/>
              </w:rPr>
              <w:t>10</w:t>
            </w:r>
            <w:r>
              <w:rPr>
                <w:rFonts w:ascii="Times New Roman" w:hAnsi="Times New Roman"/>
              </w:rPr>
              <w:t xml:space="preserve">} minētās iestādes.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250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Nefinanšu; no kā — sviras rādītāja riska darījuma vērtība — SP riska darījumi</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w:t>
            </w:r>
            <w:r>
              <w:rPr>
                <w:rFonts w:ascii="Times New Roman" w:hAnsi="Times New Roman"/>
                <w:b/>
                <w:u w:val="single"/>
              </w:rPr>
              <w:t>nefinanšu</w:t>
            </w:r>
            <w:r>
              <w:rPr>
                <w:rFonts w:ascii="Times New Roman" w:hAnsi="Times New Roman"/>
              </w:rPr>
              <w:t xml:space="preserve"> komercsabiedrībām, uz kuriem attiecas KPR </w:t>
            </w:r>
            <w:r w:rsidRPr="009619BA">
              <w:rPr>
                <w:rFonts w:ascii="Times New Roman" w:hAnsi="Times New Roman"/>
              </w:rPr>
              <w:t>122</w:t>
            </w:r>
            <w:r>
              <w:rPr>
                <w:rFonts w:ascii="Times New Roman" w:hAnsi="Times New Roman"/>
              </w:rPr>
              <w:t xml:space="preserve">. pants.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260</w:t>
            </w:r>
            <w:r>
              <w:rPr>
                <w:rFonts w:ascii="Times New Roman" w:hAnsi="Times New Roman"/>
              </w:rPr>
              <w:t> </w:t>
            </w:r>
            <w:r w:rsidRPr="009619BA">
              <w:rPr>
                <w:rFonts w:ascii="Times New Roman" w:hAnsi="Times New Roman"/>
              </w:rPr>
              <w:t>010</w:t>
            </w:r>
            <w:r>
              <w:rPr>
                <w:rFonts w:ascii="Times New Roman" w:hAnsi="Times New Roman"/>
              </w:rPr>
              <w:t>} un {</w:t>
            </w:r>
            <w:r w:rsidRPr="009619BA">
              <w:rPr>
                <w:rFonts w:ascii="Times New Roman" w:hAnsi="Times New Roman"/>
              </w:rPr>
              <w:t>270</w:t>
            </w:r>
            <w:r>
              <w:rPr>
                <w:rFonts w:ascii="Times New Roman" w:hAnsi="Times New Roman"/>
              </w:rPr>
              <w:t> </w:t>
            </w:r>
            <w:r w:rsidRPr="009619BA">
              <w:rPr>
                <w:rFonts w:ascii="Times New Roman" w:hAnsi="Times New Roman"/>
              </w:rPr>
              <w:t>010</w:t>
            </w:r>
            <w:r>
              <w:rPr>
                <w:rFonts w:ascii="Times New Roman" w:hAnsi="Times New Roman"/>
              </w:rPr>
              <w:t>}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250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Nefinanšu; no kā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w:t>
            </w:r>
            <w:r>
              <w:rPr>
                <w:rFonts w:ascii="Times New Roman" w:hAnsi="Times New Roman"/>
                <w:b/>
                <w:u w:val="single"/>
              </w:rPr>
              <w:t>nefinanšu</w:t>
            </w:r>
            <w:r>
              <w:rPr>
                <w:rFonts w:ascii="Times New Roman" w:hAnsi="Times New Roman"/>
              </w:rPr>
              <w:t xml:space="preserve">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260</w:t>
            </w:r>
            <w:r>
              <w:rPr>
                <w:rFonts w:ascii="Times New Roman" w:hAnsi="Times New Roman"/>
              </w:rPr>
              <w:t> </w:t>
            </w:r>
            <w:r w:rsidRPr="009619BA">
              <w:rPr>
                <w:rFonts w:ascii="Times New Roman" w:hAnsi="Times New Roman"/>
              </w:rPr>
              <w:t>020</w:t>
            </w:r>
            <w:r>
              <w:rPr>
                <w:rFonts w:ascii="Times New Roman" w:hAnsi="Times New Roman"/>
              </w:rPr>
              <w:t>} un {</w:t>
            </w:r>
            <w:r w:rsidRPr="009619BA">
              <w:rPr>
                <w:rFonts w:ascii="Times New Roman" w:hAnsi="Times New Roman"/>
              </w:rPr>
              <w:t>270</w:t>
            </w:r>
            <w:r>
              <w:rPr>
                <w:rFonts w:ascii="Times New Roman" w:hAnsi="Times New Roman"/>
              </w:rPr>
              <w:t> </w:t>
            </w:r>
            <w:r w:rsidRPr="009619BA">
              <w:rPr>
                <w:rFonts w:ascii="Times New Roman" w:hAnsi="Times New Roman"/>
              </w:rPr>
              <w:t>020</w:t>
            </w:r>
            <w:r>
              <w:rPr>
                <w:rFonts w:ascii="Times New Roman" w:hAnsi="Times New Roman"/>
              </w:rPr>
              <w:t>} summa.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250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Nefinanšu; no kā – RSA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darījumu riska svērtā vērtība, kas ir tādi riska darījumi ar </w:t>
            </w:r>
            <w:r>
              <w:rPr>
                <w:rFonts w:ascii="Times New Roman" w:hAnsi="Times New Roman"/>
                <w:b/>
                <w:u w:val="single"/>
              </w:rPr>
              <w:t>nefinanšu</w:t>
            </w:r>
            <w:r>
              <w:rPr>
                <w:rFonts w:ascii="Times New Roman" w:hAnsi="Times New Roman"/>
              </w:rPr>
              <w:t xml:space="preserve"> komercsabiedrībām, uz kuriem attiecas KPR </w:t>
            </w:r>
            <w:r w:rsidRPr="009619BA">
              <w:rPr>
                <w:rFonts w:ascii="Times New Roman" w:hAnsi="Times New Roman"/>
              </w:rPr>
              <w:t>122</w:t>
            </w:r>
            <w:r>
              <w:rPr>
                <w:rFonts w:ascii="Times New Roman" w:hAnsi="Times New Roman"/>
              </w:rPr>
              <w:t xml:space="preserve">. pants.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260</w:t>
            </w:r>
            <w:r>
              <w:rPr>
                <w:rFonts w:ascii="Times New Roman" w:hAnsi="Times New Roman"/>
              </w:rPr>
              <w:t> </w:t>
            </w:r>
            <w:r w:rsidRPr="009619BA">
              <w:rPr>
                <w:rFonts w:ascii="Times New Roman" w:hAnsi="Times New Roman"/>
              </w:rPr>
              <w:t>030</w:t>
            </w:r>
            <w:r>
              <w:rPr>
                <w:rFonts w:ascii="Times New Roman" w:hAnsi="Times New Roman"/>
              </w:rPr>
              <w:t>} un {</w:t>
            </w:r>
            <w:r w:rsidRPr="009619BA">
              <w:rPr>
                <w:rFonts w:ascii="Times New Roman" w:hAnsi="Times New Roman"/>
              </w:rPr>
              <w:t>270</w:t>
            </w:r>
            <w:r>
              <w:rPr>
                <w:rFonts w:ascii="Times New Roman" w:hAnsi="Times New Roman"/>
              </w:rPr>
              <w:t> </w:t>
            </w:r>
            <w:r w:rsidRPr="009619BA">
              <w:rPr>
                <w:rFonts w:ascii="Times New Roman" w:hAnsi="Times New Roman"/>
              </w:rPr>
              <w:t>030</w:t>
            </w:r>
            <w:r>
              <w:rPr>
                <w:rFonts w:ascii="Times New Roman" w:hAnsi="Times New Roman"/>
              </w:rPr>
              <w:t>}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w:t>
            </w:r>
            <w:r w:rsidRPr="009619BA">
              <w:rPr>
                <w:rFonts w:ascii="Times New Roman" w:hAnsi="Times New Roman"/>
              </w:rPr>
              <w:t>250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Nefinanšu; no kā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w:t>
            </w:r>
            <w:r>
              <w:rPr>
                <w:rFonts w:ascii="Times New Roman" w:hAnsi="Times New Roman"/>
                <w:b/>
                <w:u w:val="single"/>
              </w:rPr>
              <w:t>nefinanšu</w:t>
            </w:r>
            <w:r>
              <w:rPr>
                <w:rFonts w:ascii="Times New Roman" w:hAnsi="Times New Roman"/>
              </w:rPr>
              <w:t xml:space="preserve">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Tā ir {</w:t>
            </w:r>
            <w:r w:rsidRPr="009619BA">
              <w:rPr>
                <w:rFonts w:ascii="Times New Roman" w:hAnsi="Times New Roman"/>
              </w:rPr>
              <w:t>260</w:t>
            </w:r>
            <w:r>
              <w:rPr>
                <w:rFonts w:ascii="Times New Roman" w:hAnsi="Times New Roman"/>
              </w:rPr>
              <w:t> </w:t>
            </w:r>
            <w:r w:rsidRPr="009619BA">
              <w:rPr>
                <w:rFonts w:ascii="Times New Roman" w:hAnsi="Times New Roman"/>
              </w:rPr>
              <w:t>040</w:t>
            </w:r>
            <w:r>
              <w:rPr>
                <w:rFonts w:ascii="Times New Roman" w:hAnsi="Times New Roman"/>
              </w:rPr>
              <w:t>} un {</w:t>
            </w:r>
            <w:r w:rsidRPr="009619BA">
              <w:rPr>
                <w:rFonts w:ascii="Times New Roman" w:hAnsi="Times New Roman"/>
              </w:rPr>
              <w:t>270</w:t>
            </w:r>
            <w:r>
              <w:rPr>
                <w:rFonts w:ascii="Times New Roman" w:hAnsi="Times New Roman"/>
              </w:rPr>
              <w:t> </w:t>
            </w:r>
            <w:r w:rsidRPr="009619BA">
              <w:rPr>
                <w:rFonts w:ascii="Times New Roman" w:hAnsi="Times New Roman"/>
              </w:rPr>
              <w:t>040</w:t>
            </w:r>
            <w:r>
              <w:rPr>
                <w:rFonts w:ascii="Times New Roman" w:hAnsi="Times New Roman"/>
              </w:rPr>
              <w:t>}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260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Riska darījumi ar MVU – sviras rādītāja riska darījuma vērtība – SP riska darījumi</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komercsabiedrībām kā maziem un vidējiem uzņēmumiem, uz kuriem attiecas KPR </w:t>
            </w:r>
            <w:r w:rsidRPr="009619BA">
              <w:rPr>
                <w:rFonts w:ascii="Times New Roman" w:hAnsi="Times New Roman"/>
              </w:rPr>
              <w:t>122</w:t>
            </w:r>
            <w:r>
              <w:rPr>
                <w:rFonts w:ascii="Times New Roman" w:hAnsi="Times New Roman"/>
              </w:rPr>
              <w:t xml:space="preserve">. pants.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9619BA">
              <w:rPr>
                <w:rFonts w:ascii="Times New Roman" w:hAnsi="Times New Roman"/>
              </w:rPr>
              <w:t>260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MVU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ir riska darījumi ar maziem un vidējiem uzņēmumiem un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260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MVU – RSA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komercsabiedrībām kā maziem un vidējiem uzņēmumiem, uz kuriem attiecas KPR </w:t>
            </w:r>
            <w:r w:rsidRPr="009619BA">
              <w:rPr>
                <w:rFonts w:ascii="Times New Roman" w:hAnsi="Times New Roman"/>
              </w:rPr>
              <w:t>122</w:t>
            </w:r>
            <w:r>
              <w:rPr>
                <w:rFonts w:ascii="Times New Roman" w:hAnsi="Times New Roman"/>
              </w:rPr>
              <w:t xml:space="preserve">. pants.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260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ar MVU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ir riska darījumi ar maziem un vidējiem uzņēmumiem un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xml:space="preserve">. punkta a) apakšpunktu.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Šīs šūnas vajadzībām terminu “mazais un vidējais uzņēmums” definē saskaņā ar KPR </w:t>
            </w:r>
            <w:r w:rsidRPr="009619BA">
              <w:rPr>
                <w:rFonts w:ascii="Times New Roman" w:hAnsi="Times New Roman"/>
              </w:rPr>
              <w:t>501</w:t>
            </w:r>
            <w:r>
              <w:rPr>
                <w:rFonts w:ascii="Times New Roman" w:hAnsi="Times New Roman"/>
              </w:rPr>
              <w:t xml:space="preserve">. panta </w:t>
            </w:r>
            <w:r w:rsidRPr="009619BA">
              <w:rPr>
                <w:rFonts w:ascii="Times New Roman" w:hAnsi="Times New Roman"/>
              </w:rPr>
              <w:t>2</w:t>
            </w:r>
            <w:r>
              <w:rPr>
                <w:rFonts w:ascii="Times New Roman" w:hAnsi="Times New Roman"/>
              </w:rPr>
              <w:t>. punkta b) apakšpunktu.</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270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Riska darījumi, izņemot riska darījumus ar MVU – sviras rādītāja riska darījuma vērtība – SP riska darījumi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tādi riska darījumi ar komercsabiedrībām, uz kuriem attiecas KPR </w:t>
            </w:r>
            <w:r w:rsidRPr="009619BA">
              <w:rPr>
                <w:rFonts w:ascii="Times New Roman" w:hAnsi="Times New Roman"/>
              </w:rPr>
              <w:t>122</w:t>
            </w:r>
            <w:r>
              <w:rPr>
                <w:rFonts w:ascii="Times New Roman" w:hAnsi="Times New Roman"/>
              </w:rPr>
              <w:t>. pants, un kas nav norādīti {</w:t>
            </w:r>
            <w:r w:rsidRPr="009619BA">
              <w:rPr>
                <w:rFonts w:ascii="Times New Roman" w:hAnsi="Times New Roman"/>
              </w:rPr>
              <w:t>230</w:t>
            </w:r>
            <w:r>
              <w:rPr>
                <w:rFonts w:ascii="Times New Roman" w:hAnsi="Times New Roman"/>
              </w:rPr>
              <w:t>;</w:t>
            </w:r>
            <w:r w:rsidRPr="009619BA">
              <w:rPr>
                <w:rFonts w:ascii="Times New Roman" w:hAnsi="Times New Roman"/>
              </w:rPr>
              <w:t>040</w:t>
            </w:r>
            <w:r>
              <w:rPr>
                <w:rFonts w:ascii="Times New Roman" w:hAnsi="Times New Roman"/>
              </w:rPr>
              <w:t>} un {</w:t>
            </w:r>
            <w:r w:rsidRPr="009619BA">
              <w:rPr>
                <w:rFonts w:ascii="Times New Roman" w:hAnsi="Times New Roman"/>
              </w:rPr>
              <w:t>250</w:t>
            </w:r>
            <w:r>
              <w:rPr>
                <w:rFonts w:ascii="Times New Roman" w:hAnsi="Times New Roman"/>
              </w:rPr>
              <w:t>;</w:t>
            </w:r>
            <w:r w:rsidRPr="009619BA">
              <w:rPr>
                <w:rFonts w:ascii="Times New Roman" w:hAnsi="Times New Roman"/>
              </w:rPr>
              <w:t>040</w:t>
            </w:r>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270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Riska darījumi, izņemot riska darījumus ar MVU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To aktīvu sviras rādītāja riska darījuma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 un kas nav norādīti {</w:t>
            </w:r>
            <w:r w:rsidRPr="009619BA">
              <w:rPr>
                <w:rFonts w:ascii="Times New Roman" w:hAnsi="Times New Roman"/>
              </w:rPr>
              <w:t>230</w:t>
            </w:r>
            <w:r>
              <w:rPr>
                <w:rFonts w:ascii="Times New Roman" w:hAnsi="Times New Roman"/>
              </w:rPr>
              <w:t>;</w:t>
            </w:r>
            <w:r w:rsidRPr="009619BA">
              <w:rPr>
                <w:rFonts w:ascii="Times New Roman" w:hAnsi="Times New Roman"/>
              </w:rPr>
              <w:t>040</w:t>
            </w:r>
            <w:r>
              <w:rPr>
                <w:rFonts w:ascii="Times New Roman" w:hAnsi="Times New Roman"/>
              </w:rPr>
              <w:t>} un {</w:t>
            </w:r>
            <w:r w:rsidRPr="009619BA">
              <w:rPr>
                <w:rFonts w:ascii="Times New Roman" w:hAnsi="Times New Roman"/>
              </w:rPr>
              <w:t>250</w:t>
            </w:r>
            <w:r>
              <w:rPr>
                <w:rFonts w:ascii="Times New Roman" w:hAnsi="Times New Roman"/>
              </w:rPr>
              <w:t>;</w:t>
            </w:r>
            <w:r w:rsidRPr="009619BA">
              <w:rPr>
                <w:rFonts w:ascii="Times New Roman" w:hAnsi="Times New Roman"/>
              </w:rPr>
              <w:t>040</w:t>
            </w:r>
            <w:r>
              <w:rPr>
                <w:rFonts w:ascii="Times New Roman" w:hAnsi="Times New Roman"/>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270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Riska darījumi, izņemot riska darījumus ar MVU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tādi riska darījumi ar komercsabiedrībām, uz kuriem attiecas KPR </w:t>
            </w:r>
            <w:r w:rsidRPr="009619BA">
              <w:rPr>
                <w:rFonts w:ascii="Times New Roman" w:hAnsi="Times New Roman"/>
              </w:rPr>
              <w:t>122</w:t>
            </w:r>
            <w:r>
              <w:rPr>
                <w:rFonts w:ascii="Times New Roman" w:hAnsi="Times New Roman"/>
              </w:rPr>
              <w:t>. pants, un kas nav norādīti {</w:t>
            </w:r>
            <w:r w:rsidRPr="009619BA">
              <w:rPr>
                <w:rFonts w:ascii="Times New Roman" w:hAnsi="Times New Roman"/>
              </w:rPr>
              <w:t>230</w:t>
            </w:r>
            <w:r>
              <w:rPr>
                <w:rFonts w:ascii="Times New Roman" w:hAnsi="Times New Roman"/>
              </w:rPr>
              <w:t>;</w:t>
            </w:r>
            <w:r w:rsidRPr="009619BA">
              <w:rPr>
                <w:rFonts w:ascii="Times New Roman" w:hAnsi="Times New Roman"/>
              </w:rPr>
              <w:t>040</w:t>
            </w:r>
            <w:r>
              <w:rPr>
                <w:rFonts w:ascii="Times New Roman" w:hAnsi="Times New Roman"/>
              </w:rPr>
              <w:t xml:space="preserve">} un </w:t>
            </w:r>
            <w:r w:rsidRPr="009619BA">
              <w:rPr>
                <w:rFonts w:ascii="Times New Roman" w:hAnsi="Times New Roman"/>
              </w:rPr>
              <w:t>250</w:t>
            </w:r>
            <w:r>
              <w:rPr>
                <w:rFonts w:ascii="Times New Roman" w:hAnsi="Times New Roman"/>
              </w:rPr>
              <w:t>;</w:t>
            </w:r>
            <w:r w:rsidRPr="009619BA">
              <w:rPr>
                <w:rFonts w:ascii="Times New Roman" w:hAnsi="Times New Roman"/>
              </w:rPr>
              <w:t>040</w:t>
            </w:r>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w:t>
            </w:r>
            <w:r w:rsidRPr="009619BA">
              <w:rPr>
                <w:rFonts w:ascii="Times New Roman" w:hAnsi="Times New Roman"/>
              </w:rPr>
              <w:t>270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Riska darījumi, izņemot riska darījumus ar MVU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ar komercsabiedrībām saskaņā ar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c) apakšpunktu, ja šie riska darījumi </w:t>
            </w:r>
            <w:r>
              <w:rPr>
                <w:rFonts w:ascii="Times New Roman" w:hAnsi="Times New Roman"/>
                <w:b/>
                <w:u w:val="single"/>
              </w:rPr>
              <w:t>nav</w:t>
            </w:r>
            <w:r>
              <w:rPr>
                <w:rFonts w:ascii="Times New Roman" w:hAnsi="Times New Roman"/>
              </w:rPr>
              <w:t xml:space="preserve"> nodrošināti ar nekustamā īpašuma hipotēku saskaņā ar KPR </w:t>
            </w:r>
            <w:r w:rsidRPr="009619BA">
              <w:rPr>
                <w:rFonts w:ascii="Times New Roman" w:hAnsi="Times New Roman"/>
              </w:rPr>
              <w:t>199</w:t>
            </w:r>
            <w:r>
              <w:rPr>
                <w:rFonts w:ascii="Times New Roman" w:hAnsi="Times New Roman"/>
              </w:rPr>
              <w:t xml:space="preserve">. panta </w:t>
            </w:r>
            <w:r w:rsidRPr="009619BA">
              <w:rPr>
                <w:rFonts w:ascii="Times New Roman" w:hAnsi="Times New Roman"/>
              </w:rPr>
              <w:t>1</w:t>
            </w:r>
            <w:r>
              <w:rPr>
                <w:rFonts w:ascii="Times New Roman" w:hAnsi="Times New Roman"/>
              </w:rPr>
              <w:t>. punkta a) apakšpunktu, un kas nav norādīti {</w:t>
            </w:r>
            <w:r w:rsidRPr="009619BA">
              <w:rPr>
                <w:rFonts w:ascii="Times New Roman" w:hAnsi="Times New Roman"/>
              </w:rPr>
              <w:t>230</w:t>
            </w:r>
            <w:r>
              <w:rPr>
                <w:rFonts w:ascii="Times New Roman" w:hAnsi="Times New Roman"/>
              </w:rPr>
              <w:t>;</w:t>
            </w:r>
            <w:r w:rsidRPr="009619BA">
              <w:rPr>
                <w:rFonts w:ascii="Times New Roman" w:hAnsi="Times New Roman"/>
              </w:rPr>
              <w:t>040</w:t>
            </w:r>
            <w:r>
              <w:rPr>
                <w:rFonts w:ascii="Times New Roman" w:hAnsi="Times New Roman"/>
              </w:rPr>
              <w:t>} un {</w:t>
            </w:r>
            <w:r w:rsidRPr="009619BA">
              <w:rPr>
                <w:rFonts w:ascii="Times New Roman" w:hAnsi="Times New Roman"/>
              </w:rPr>
              <w:t>250</w:t>
            </w:r>
            <w:r>
              <w:rPr>
                <w:rFonts w:ascii="Times New Roman" w:hAnsi="Times New Roman"/>
              </w:rPr>
              <w:t>;</w:t>
            </w:r>
            <w:r w:rsidRPr="009619BA">
              <w:rPr>
                <w:rFonts w:ascii="Times New Roman" w:hAnsi="Times New Roman"/>
              </w:rPr>
              <w:t>040</w:t>
            </w:r>
            <w:r>
              <w:rPr>
                <w:rFonts w:ascii="Times New Roman" w:hAnsi="Times New Roman"/>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kuros netiek pildītas saistības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riska darījumi, kuros netiek pildītas saistības, un tāpēc uz tiem attiecas KPR </w:t>
            </w:r>
            <w:r w:rsidRPr="009619BA">
              <w:rPr>
                <w:rFonts w:ascii="Times New Roman" w:hAnsi="Times New Roman"/>
              </w:rPr>
              <w:t>127</w:t>
            </w:r>
            <w:r>
              <w:rPr>
                <w:rFonts w:ascii="Times New Roman" w:hAnsi="Times New Roman"/>
              </w:rPr>
              <w:t xml:space="preserve">. pants.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kuros netiek pildītas saistības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klasificēti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punktā norādītajās riska darījumu kategorijās, ja ir notikusi saistību neizpilde saskaņā ar KPR </w:t>
            </w:r>
            <w:r w:rsidRPr="009619BA">
              <w:rPr>
                <w:rFonts w:ascii="Times New Roman" w:hAnsi="Times New Roman"/>
              </w:rPr>
              <w:t>178</w:t>
            </w:r>
            <w:r>
              <w:rPr>
                <w:rFonts w:ascii="Times New Roman" w:hAnsi="Times New Roman"/>
              </w:rPr>
              <w:t xml:space="preserve">. pantu.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Riska darījumi, kuros netiek pildītas saistības – RSA – SP riska darījumi</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riska darījumi, kuros netiek pildītas saistības, un tāpēc uz tiem attiecas KPR </w:t>
            </w:r>
            <w:r w:rsidRPr="009619BA">
              <w:rPr>
                <w:rFonts w:ascii="Times New Roman" w:hAnsi="Times New Roman"/>
              </w:rPr>
              <w:t>127</w:t>
            </w:r>
            <w:r>
              <w:rPr>
                <w:rFonts w:ascii="Times New Roman" w:hAnsi="Times New Roman"/>
              </w:rPr>
              <w:t xml:space="preserve">. pants.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280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Riska darījumi, kuros netiek pildītas saistības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klasificēti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punktā norādītajās riska darījumu kategorijās, ja ir notikusi saistību neizpilde saskaņā ar KPR </w:t>
            </w:r>
            <w:r w:rsidRPr="009619BA">
              <w:rPr>
                <w:rFonts w:ascii="Times New Roman" w:hAnsi="Times New Roman"/>
              </w:rPr>
              <w:t>178</w:t>
            </w:r>
            <w:r>
              <w:rPr>
                <w:rFonts w:ascii="Times New Roman" w:hAnsi="Times New Roman"/>
              </w:rPr>
              <w:t xml:space="preserve">. pantu.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9619BA">
              <w:rPr>
                <w:rFonts w:ascii="Times New Roman" w:hAnsi="Times New Roman"/>
              </w:rPr>
              <w:t>290</w:t>
            </w:r>
            <w:r>
              <w:rPr>
                <w:rFonts w:ascii="Times New Roman" w:hAnsi="Times New Roman"/>
              </w:rPr>
              <w:t>;</w:t>
            </w:r>
            <w:r w:rsidRPr="009619BA">
              <w:rPr>
                <w:rFonts w:ascii="Times New Roman" w:hAnsi="Times New Roman"/>
              </w:rPr>
              <w:t>010</w:t>
            </w:r>
            <w:r>
              <w:rPr>
                <w:rFonts w:ascii="Times New Roman" w:hAnsi="Times New Roman"/>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Citi riska darījumi; no kā — sviras rādītāja riska darījuma vērtība — SP riska darījumi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klasificēti riska darījumu kategorijās, kuras norādītas KPR </w:t>
            </w:r>
            <w:r w:rsidRPr="009619BA">
              <w:rPr>
                <w:rFonts w:ascii="Times New Roman" w:hAnsi="Times New Roman"/>
              </w:rPr>
              <w:t>112</w:t>
            </w:r>
            <w:r>
              <w:rPr>
                <w:rFonts w:ascii="Times New Roman" w:hAnsi="Times New Roman"/>
              </w:rPr>
              <w:t xml:space="preserve">. panta k), m), n), o), p) un q) punktā.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 xml:space="preserve">Iestādes norāda aktīvus, kuri atskaitīti no pašu kapitāla (piemēram, nemateriālie aktīvi) un kurus nevar kvalificēt citādi, pat ja šāda klasifikācija nav nepieciešama, lai noteiktu uz risku balstītas pašu kapitāla prasības slejā {*; </w:t>
            </w:r>
            <w:r w:rsidRPr="009619BA">
              <w:rPr>
                <w:rFonts w:ascii="Times New Roman" w:hAnsi="Times New Roman"/>
              </w:rPr>
              <w:t>030</w:t>
            </w:r>
            <w:r>
              <w:rPr>
                <w:rFonts w:ascii="Times New Roman" w:hAnsi="Times New Roman"/>
              </w:rPr>
              <w:t xml:space="preserve">} un {*; </w:t>
            </w:r>
            <w:r w:rsidRPr="009619BA">
              <w:rPr>
                <w:rFonts w:ascii="Times New Roman" w:hAnsi="Times New Roman"/>
              </w:rPr>
              <w:t>040</w:t>
            </w:r>
            <w:r>
              <w:rPr>
                <w:rFonts w:ascii="Times New Roman" w:hAnsi="Times New Roman"/>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290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Citi riska darījumi; no kā — sviras rādītāja riska darījuma vērtība — IRB riska darījumi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klasificēti riska darījumu kategorijās, kuras norādītas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e), f) un g) apakšpunktā.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 xml:space="preserve">Iestādes norāda aktīvus, kuri atskaitīti no pašu kapitāla (piemēram, nemateriālie aktīvi) un kurus nevar kvalificēt citādi, pat ja šāda klasifikācija nav nepieciešama, lai noteiktu uz risku balstītas pašu kapitāla prasības slejā {*; </w:t>
            </w:r>
            <w:r w:rsidRPr="009619BA">
              <w:rPr>
                <w:rFonts w:ascii="Times New Roman" w:hAnsi="Times New Roman"/>
              </w:rPr>
              <w:t>030</w:t>
            </w:r>
            <w:r>
              <w:rPr>
                <w:rFonts w:ascii="Times New Roman" w:hAnsi="Times New Roman"/>
              </w:rPr>
              <w:t xml:space="preserve">} un {*; </w:t>
            </w:r>
            <w:r w:rsidRPr="009619BA">
              <w:rPr>
                <w:rFonts w:ascii="Times New Roman" w:hAnsi="Times New Roman"/>
              </w:rPr>
              <w:t>040</w:t>
            </w:r>
            <w:r>
              <w:rPr>
                <w:rFonts w:ascii="Times New Roman" w:hAnsi="Times New Roman"/>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290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Citi riska darījumi; no kā</w:t>
            </w:r>
            <w:r>
              <w:rPr>
                <w:rFonts w:ascii="Times New Roman" w:hAnsi="Times New Roman"/>
              </w:rPr>
              <w:t xml:space="preserve"> </w:t>
            </w:r>
            <w:r>
              <w:rPr>
                <w:rFonts w:ascii="Times New Roman" w:hAnsi="Times New Roman"/>
                <w:b/>
              </w:rPr>
              <w:t>– RSA – SP riska darījumi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klasificēti riska darījumu kategorijās, kuras </w:t>
            </w:r>
            <w:r>
              <w:rPr>
                <w:rFonts w:ascii="Times New Roman" w:hAnsi="Times New Roman"/>
              </w:rPr>
              <w:lastRenderedPageBreak/>
              <w:t xml:space="preserve">norādītas KPR </w:t>
            </w:r>
            <w:r w:rsidRPr="009619BA">
              <w:rPr>
                <w:rFonts w:ascii="Times New Roman" w:hAnsi="Times New Roman"/>
              </w:rPr>
              <w:t>112</w:t>
            </w:r>
            <w:r>
              <w:rPr>
                <w:rFonts w:ascii="Times New Roman" w:hAnsi="Times New Roman"/>
              </w:rPr>
              <w:t>. panta k), m), n), o), p) un q) punktā.</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w:t>
            </w:r>
            <w:r w:rsidRPr="009619BA">
              <w:rPr>
                <w:rFonts w:ascii="Times New Roman" w:hAnsi="Times New Roman"/>
              </w:rPr>
              <w:t>290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Citi riska darījumi; no kā</w:t>
            </w:r>
            <w:r>
              <w:rPr>
                <w:rFonts w:ascii="Times New Roman" w:hAnsi="Times New Roman"/>
              </w:rPr>
              <w:t xml:space="preserve"> </w:t>
            </w:r>
            <w:r>
              <w:rPr>
                <w:rFonts w:ascii="Times New Roman" w:hAnsi="Times New Roman"/>
                <w:b/>
              </w:rPr>
              <w:t>– RSA – IRB riska darījumi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darījumu riska svērtā vērtība, kas klasificēti riska darījumu kategorijās, kuras norādītas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e), f) un g) apakšpunktā.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300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Vērtspapīrošanas riska darījumi – sviras rādītāja riska darījuma vērtība – SP riska darījumi</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vērtspapīrošanas riska darījumi, uz kuriem attiecas KPR </w:t>
            </w:r>
            <w:r w:rsidRPr="009619BA">
              <w:rPr>
                <w:rFonts w:ascii="Times New Roman" w:hAnsi="Times New Roman"/>
              </w:rPr>
              <w:t>112</w:t>
            </w:r>
            <w:r>
              <w:rPr>
                <w:rFonts w:ascii="Times New Roman" w:hAnsi="Times New Roman"/>
              </w:rPr>
              <w:t>. panta m) punkts.</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300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Vērtspapīrošanas riska darījumi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sviras rādītāja riska darījuma vērtība, kas ir vērtspapīrošanas riska darījumi un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f) apakšpunkts.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300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Vērtspapīrošanas riska darījumi – RSA – SP riska darījumi</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vērtspapīrošanas riska darījumi, uz kuriem attiecas KPR </w:t>
            </w:r>
            <w:r w:rsidRPr="009619BA">
              <w:rPr>
                <w:rFonts w:ascii="Times New Roman" w:hAnsi="Times New Roman"/>
              </w:rPr>
              <w:t>112</w:t>
            </w:r>
            <w:r>
              <w:rPr>
                <w:rFonts w:ascii="Times New Roman" w:hAnsi="Times New Roman"/>
              </w:rPr>
              <w:t xml:space="preserve">. panta m) punkts.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300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Vērtspapīrošanas riska darījumi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To aktīvu riska darījuma riska svērtā vērtība, kas ir vērtspapīrošanas riska darījumi un uz kuriem attiecas KPR </w:t>
            </w:r>
            <w:r w:rsidRPr="009619BA">
              <w:rPr>
                <w:rFonts w:ascii="Times New Roman" w:hAnsi="Times New Roman"/>
              </w:rPr>
              <w:t>147</w:t>
            </w:r>
            <w:r>
              <w:rPr>
                <w:rFonts w:ascii="Times New Roman" w:hAnsi="Times New Roman"/>
              </w:rPr>
              <w:t xml:space="preserve">. panta </w:t>
            </w:r>
            <w:r w:rsidRPr="009619BA">
              <w:rPr>
                <w:rFonts w:ascii="Times New Roman" w:hAnsi="Times New Roman"/>
              </w:rPr>
              <w:t>2</w:t>
            </w:r>
            <w:r>
              <w:rPr>
                <w:rFonts w:ascii="Times New Roman" w:hAnsi="Times New Roman"/>
              </w:rPr>
              <w:t xml:space="preserve">. punkta f) apakšpunkts.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9619BA">
              <w:rPr>
                <w:rFonts w:ascii="Times New Roman" w:hAnsi="Times New Roman"/>
              </w:rPr>
              <w:t>310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Tirdzniecības finansējums (izziņas postenis); no kā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 aizdevumiem preču vai pakalpojumu eksportētājam vai importētājam, izmantojot importa un eksporta kredītus un līdzīgus darījumus, saistītu bilances posteņu sviras rādītāja riska darījuma vērtība.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310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Tirdzniecības finansējums (izziņas postenis); no kā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Ar aizdevumiem preču vai pakalpojumu eksportētājam vai importētājam, izmantojot importa un eksporta kredītus un līdzīgus darījumus, saistītu bilances posteņu sviras rādītāja riska darījuma vērtība.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9619BA">
              <w:rPr>
                <w:rFonts w:ascii="Times New Roman" w:hAnsi="Times New Roman"/>
              </w:rPr>
              <w:t>310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Tirdzniecības finansējums (izziņas postenis); no kā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Ar aizdevumiem preču vai pakalpojumu eksportētājam vai importētājam, izmantojot importa un eksporta kredītus un līdzīgus darījumus, saistītu bilances posteņu riska darījuma riska svērtā vērtība.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310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Tirdzniecības finansējums (izziņas postenis); no kā – RSA – IRB riska darījumi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 aizdevumiem preču vai pakalpojumu eksportētājam vai importētājam, izmantojot importa un eksporta kredītus un līdzīgus darījumus, saistītu bilances posteņu riska darījumu riska svērtā vērtība.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Iestādes vērtību norāda, atņemot riska darījumus, kuros netiek pildītas saistības.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9619BA">
              <w:rPr>
                <w:rFonts w:ascii="Times New Roman" w:hAnsi="Times New Roman"/>
              </w:rPr>
              <w:t>320</w:t>
            </w:r>
            <w:r>
              <w:rPr>
                <w:rFonts w:ascii="Times New Roman" w:hAnsi="Times New Roman"/>
              </w:rPr>
              <w:t>;</w:t>
            </w:r>
            <w:r w:rsidRPr="009619B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sviras rādītāja riska darījuma vērtība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Ar tirdzniecības finansējumu saskaņā ar oficiālu eksporta kredītu apdrošināšanas shēmu saistītu bilances posteņu sviras rādītāja riska darījuma vērtība. 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9619BA">
              <w:rPr>
                <w:rFonts w:ascii="Times New Roman" w:hAnsi="Times New Roman"/>
              </w:rPr>
              <w:t>320</w:t>
            </w:r>
            <w:r>
              <w:rPr>
                <w:rFonts w:ascii="Times New Roman" w:hAnsi="Times New Roman"/>
              </w:rPr>
              <w:t>;</w:t>
            </w:r>
            <w:r w:rsidRPr="009619B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sviras rādītāja riska darījuma vērtība – IRB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Ar tirdzniecības finansējumu saskaņā ar oficiālu eksporta kredītu apdrošināšanas shēmu saistītu bilances posteņu sviras rādītāja riska darījuma vērtība. 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Iestādes vērtību norāda, atņemot riska darījumus, kuros netiek pildītas saistības.</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320</w:t>
            </w:r>
            <w:r>
              <w:rPr>
                <w:rFonts w:ascii="Times New Roman" w:hAnsi="Times New Roman"/>
              </w:rPr>
              <w:t>;</w:t>
            </w:r>
            <w:r w:rsidRPr="009619B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RSA – SP riska darījumi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Ar tirdzniecības finansējumu saskaņā ar oficiālu eksporta kredītu apdrošināšanas shēmu saistītu bilances posteņu riska darījuma riska svērtā vērtība. 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9619BA">
              <w:rPr>
                <w:rFonts w:ascii="Times New Roman" w:hAnsi="Times New Roman"/>
              </w:rPr>
              <w:t>320</w:t>
            </w:r>
            <w:r>
              <w:rPr>
                <w:rFonts w:ascii="Times New Roman" w:hAnsi="Times New Roman"/>
              </w:rPr>
              <w:t>;</w:t>
            </w:r>
            <w:r w:rsidRPr="009619B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Saskaņā ar oficiālu eksporta kredītu apdrošināšanas shēmu – RSA – IRB riska darījumi</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Ar tirdzniecības finansējumu saskaņā ar oficiālu eksporta kredītu apdrošināšanas shēmu saistītu bilances posteņu riska darījuma riska svērtā vērtība. Pārskata sniegšanas vajadzībām LR</w:t>
            </w:r>
            <w:r w:rsidRPr="009619BA">
              <w:rPr>
                <w:rFonts w:ascii="Times New Roman" w:hAnsi="Times New Roman"/>
              </w:rPr>
              <w:t>4</w:t>
            </w:r>
            <w:r>
              <w:rPr>
                <w:rFonts w:ascii="Times New Roman" w:hAnsi="Times New Roman"/>
              </w:rPr>
              <w:t xml:space="preserve"> veidnē oficiāla eksporta kredītu apdrošināšanas shēma attiecas uz oficiālo atbalstu, ko sniedz valdība vai </w:t>
            </w:r>
            <w:r>
              <w:rPr>
                <w:rFonts w:ascii="Times New Roman" w:hAnsi="Times New Roman"/>
              </w:rPr>
              <w:lastRenderedPageBreak/>
              <w:t xml:space="preserve">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Iestādes vērtību norāda, atņemot riska darījumus, kuros netiek pildītas saistības.</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lastRenderedPageBreak/>
        <w:br w:type="page"/>
      </w:r>
      <w:bookmarkStart w:id="89" w:name="_Toc351048511"/>
      <w:bookmarkStart w:id="90" w:name="_Toc359414290"/>
      <w:bookmarkStart w:id="91" w:name="_Toc423089075"/>
      <w:bookmarkStart w:id="92" w:name="_Toc523917531"/>
      <w:r w:rsidRPr="009619BA">
        <w:rPr>
          <w:rFonts w:ascii="Times New Roman" w:hAnsi="Times New Roman"/>
          <w:b/>
        </w:rPr>
        <w:lastRenderedPageBreak/>
        <w:t>9</w:t>
      </w:r>
      <w:r>
        <w:rPr>
          <w:rFonts w:ascii="Times New Roman" w:hAnsi="Times New Roman"/>
          <w:b/>
        </w:rPr>
        <w:t>.</w:t>
      </w:r>
      <w:r>
        <w:tab/>
      </w:r>
      <w:r>
        <w:rPr>
          <w:rFonts w:ascii="Times New Roman" w:hAnsi="Times New Roman"/>
          <w:b/>
        </w:rPr>
        <w:t xml:space="preserve">C </w:t>
      </w:r>
      <w:r w:rsidRPr="009619BA">
        <w:rPr>
          <w:rFonts w:ascii="Times New Roman" w:hAnsi="Times New Roman"/>
          <w:b/>
        </w:rPr>
        <w:t>44</w:t>
      </w:r>
      <w:r>
        <w:rPr>
          <w:rFonts w:ascii="Times New Roman" w:hAnsi="Times New Roman"/>
          <w:b/>
        </w:rPr>
        <w:t>.</w:t>
      </w:r>
      <w:r w:rsidRPr="009619BA">
        <w:rPr>
          <w:rFonts w:ascii="Times New Roman" w:hAnsi="Times New Roman"/>
          <w:b/>
        </w:rPr>
        <w:t>00</w:t>
      </w:r>
      <w:r>
        <w:rPr>
          <w:rFonts w:ascii="Times New Roman" w:hAnsi="Times New Roman"/>
          <w:b/>
        </w:rPr>
        <w:t xml:space="preserve"> – Vispārīga informācija</w:t>
      </w:r>
      <w:bookmarkEnd w:id="89"/>
      <w:bookmarkEnd w:id="90"/>
      <w:r>
        <w:rPr>
          <w:rFonts w:ascii="Times New Roman" w:hAnsi="Times New Roman"/>
          <w:b/>
        </w:rPr>
        <w:t xml:space="preserve"> (LR</w:t>
      </w:r>
      <w:r w:rsidRPr="009619BA">
        <w:rPr>
          <w:rFonts w:ascii="Times New Roman" w:hAnsi="Times New Roman"/>
          <w:b/>
        </w:rPr>
        <w:t>5</w:t>
      </w:r>
      <w:r>
        <w:rPr>
          <w:rFonts w:ascii="Times New Roman" w:hAnsi="Times New Roman"/>
          <w:b/>
        </w:rPr>
        <w:t>)</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9619BA">
        <w:rPr>
          <w:rFonts w:ascii="Times New Roman" w:hAnsi="Times New Roman"/>
        </w:rPr>
        <w:t>31</w:t>
      </w:r>
      <w:r>
        <w:rPr>
          <w:rFonts w:ascii="Times New Roman" w:hAnsi="Times New Roman"/>
        </w:rPr>
        <w:t>.</w:t>
      </w:r>
      <w:r>
        <w:tab/>
      </w:r>
      <w:r>
        <w:rPr>
          <w:rFonts w:ascii="Times New Roman" w:hAnsi="Times New Roman"/>
        </w:rPr>
        <w:t>Šeit tiek vākta papildu informācija, lai klasificētu iestādes darbības un iestādes izvēlētos regulatīvos risinājumus.</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Rinda </w:t>
            </w:r>
          </w:p>
          <w:p w:rsidR="00F4754B" w:rsidRPr="00FE002E" w:rsidRDefault="00F4754B" w:rsidP="00F4754B">
            <w:pPr>
              <w:pStyle w:val="BodyText1"/>
              <w:rPr>
                <w:rFonts w:ascii="Times New Roman" w:hAnsi="Times New Roman"/>
                <w:b/>
                <w:bCs/>
              </w:rPr>
            </w:pPr>
            <w:r>
              <w:rPr>
                <w:rFonts w:ascii="Times New Roman" w:hAnsi="Times New Roman"/>
                <w:b/>
              </w:rPr>
              <w:t>un sleja</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Norādes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9619BA">
              <w:rPr>
                <w:rFonts w:ascii="Times New Roman" w:hAnsi="Times New Roman"/>
              </w:rPr>
              <w:t>010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Iestādes uzņēmuma struktūra</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Iestāde klasificē savu uzņēmuma struktūru saskaņā ar šādām turpmāk norādītajām kategorijām:</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akciju sabiedrība;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savstarpēja/kooperatīva;</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cita sabiedrība, kas nav akciju sabiedrība.</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9619BA">
              <w:rPr>
                <w:rFonts w:ascii="Times New Roman" w:hAnsi="Times New Roman"/>
              </w:rPr>
              <w:t>020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Atvasinātajiem instrumentiem piemērotā procedūra</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Iestāde norāda atvasinātajiem instrumentiem piemēroto regulatīvo procedūru saskaņā ar šādām turpmāk norādītajām kategorijām:</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sākotnējās riska darījuma vērtības metode;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tirgus vērtības metode.</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9619BA">
              <w:rPr>
                <w:rFonts w:ascii="Times New Roman" w:hAnsi="Times New Roman"/>
              </w:rPr>
              <w:t>040</w:t>
            </w:r>
            <w:r>
              <w:rPr>
                <w:rFonts w:ascii="Times New Roman" w:hAnsi="Times New Roman"/>
              </w:rPr>
              <w:t>;</w:t>
            </w:r>
            <w:r w:rsidRPr="009619B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Iestādes veids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Iestāde klasificē savu iestādes veidu saskaņā ar šādām turpmāk norādītajām kategorijām:</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universālie banku pakalpojumi (privātpersonu vai MVU apkalpošana/korporatīvo klientu apkalpošana un ieguldījumu banku pakalpojumi);</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privātpersonu vai MVU apkalpošana/korporatīvo klientu apkalpošana;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ieguldījumu banku pakalpojumi;</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specializētais aizdevējs</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cits komercdarbības modelis</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31B" w:rsidRDefault="00DE231B">
      <w:r>
        <w:separator/>
      </w:r>
    </w:p>
  </w:endnote>
  <w:endnote w:type="continuationSeparator" w:id="0">
    <w:p w:rsidR="00DE231B" w:rsidRDefault="00DE231B">
      <w:r>
        <w:continuationSeparator/>
      </w:r>
    </w:p>
  </w:endnote>
  <w:endnote w:type="continuationNotice" w:id="1">
    <w:p w:rsidR="00DE231B" w:rsidRDefault="00DE2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1B" w:rsidRPr="00A772B4" w:rsidRDefault="00DE231B">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DE231B" w:rsidRDefault="00DE23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DE231B" w:rsidRDefault="00DE231B">
        <w:pPr>
          <w:pStyle w:val="Footer"/>
          <w:jc w:val="center"/>
        </w:pPr>
        <w:r>
          <w:fldChar w:fldCharType="begin"/>
        </w:r>
        <w:r>
          <w:instrText xml:space="preserve"> PAGE   \* MERGEFORMAT </w:instrText>
        </w:r>
        <w:r>
          <w:fldChar w:fldCharType="separate"/>
        </w:r>
        <w:r w:rsidR="00F27032">
          <w:rPr>
            <w:noProof/>
          </w:rPr>
          <w:t>1</w:t>
        </w:r>
        <w:r>
          <w:rPr>
            <w:noProof/>
          </w:rPr>
          <w:fldChar w:fldCharType="end"/>
        </w:r>
      </w:p>
    </w:sdtContent>
  </w:sdt>
  <w:p w:rsidR="00DE231B" w:rsidRDefault="00DE23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DE231B" w:rsidRPr="009A78F0" w:rsidRDefault="00DE231B"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F27032">
          <w:rPr>
            <w:rFonts w:ascii="Times New Roman" w:hAnsi="Times New Roman"/>
            <w:noProof/>
            <w:sz w:val="20"/>
          </w:rPr>
          <w:t>7</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DE231B" w:rsidRDefault="00DE231B">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DE231B" w:rsidRDefault="00DE23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31B" w:rsidRPr="004D223F" w:rsidRDefault="00DE231B" w:rsidP="00C7701D">
      <w:r>
        <w:continuationSeparator/>
      </w:r>
    </w:p>
  </w:footnote>
  <w:footnote w:type="continuationSeparator" w:id="0">
    <w:p w:rsidR="00DE231B" w:rsidRDefault="00DE231B">
      <w:r>
        <w:continuationSeparator/>
      </w:r>
    </w:p>
  </w:footnote>
  <w:footnote w:type="continuationNotice" w:id="1">
    <w:p w:rsidR="00DE231B" w:rsidRDefault="00DE231B"/>
  </w:footnote>
  <w:footnote w:id="2">
    <w:p w:rsidR="00DE231B" w:rsidRPr="00AD756F" w:rsidRDefault="00DE231B" w:rsidP="00F4754B">
      <w:pPr>
        <w:pStyle w:val="FootnoteText"/>
        <w:rPr>
          <w:sz w:val="12"/>
          <w:szCs w:val="12"/>
          <w:lang w:val="en-US"/>
        </w:rPr>
      </w:pPr>
      <w:r>
        <w:rPr>
          <w:rStyle w:val="FootnoteReference"/>
        </w:rPr>
        <w:footnoteRef/>
      </w:r>
      <w:r>
        <w:t xml:space="preserve"> </w:t>
      </w:r>
      <w:r>
        <w:rPr>
          <w:sz w:val="12"/>
        </w:rPr>
        <w:t>Tajā ietilpst vērtspapīrošanas un kapitāla vērtspapīru riska darījumi, uz ko attiecas kredītrisks.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1B" w:rsidRDefault="00DE231B">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1B" w:rsidRDefault="00DE231B">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DE231B" w:rsidRDefault="00DE231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782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1EBE"/>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2E4"/>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B0A"/>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25769"/>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19BA"/>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231B"/>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032"/>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lv-LV"/>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lv-LV"/>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lv-LV"/>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lv-LV"/>
    </w:rPr>
  </w:style>
  <w:style w:type="character" w:customStyle="1" w:styleId="Heading6Char">
    <w:name w:val="Heading 6 Char"/>
    <w:basedOn w:val="DefaultParagraphFont"/>
    <w:link w:val="Heading6"/>
    <w:rsid w:val="00F4754B"/>
    <w:rPr>
      <w:b/>
      <w:bCs/>
      <w:szCs w:val="22"/>
      <w:lang w:eastAsia="lv-LV"/>
    </w:rPr>
  </w:style>
  <w:style w:type="character" w:customStyle="1" w:styleId="Heading7Char">
    <w:name w:val="Heading 7 Char"/>
    <w:basedOn w:val="DefaultParagraphFont"/>
    <w:link w:val="Heading7"/>
    <w:rsid w:val="00F4754B"/>
    <w:rPr>
      <w:sz w:val="24"/>
      <w:szCs w:val="24"/>
      <w:lang w:eastAsia="lv-LV"/>
    </w:rPr>
  </w:style>
  <w:style w:type="character" w:customStyle="1" w:styleId="Heading8Char">
    <w:name w:val="Heading 8 Char"/>
    <w:basedOn w:val="DefaultParagraphFont"/>
    <w:link w:val="Heading8"/>
    <w:rsid w:val="00F4754B"/>
    <w:rPr>
      <w:i/>
      <w:iCs/>
      <w:sz w:val="24"/>
      <w:szCs w:val="24"/>
      <w:lang w:eastAsia="lv-LV"/>
    </w:rPr>
  </w:style>
  <w:style w:type="character" w:customStyle="1" w:styleId="Heading9Char">
    <w:name w:val="Heading 9 Char"/>
    <w:basedOn w:val="DefaultParagraphFont"/>
    <w:link w:val="Heading9"/>
    <w:rsid w:val="00F4754B"/>
    <w:rPr>
      <w:rFonts w:ascii="Verdana" w:hAnsi="Verdana" w:cs="Arial"/>
      <w:szCs w:val="22"/>
      <w:lang w:eastAsia="lv-LV"/>
    </w:rPr>
  </w:style>
  <w:style w:type="character" w:customStyle="1" w:styleId="Heading1Char">
    <w:name w:val="Heading 1 Char"/>
    <w:basedOn w:val="DefaultParagraphFont"/>
    <w:link w:val="Heading1"/>
    <w:rsid w:val="00F4754B"/>
    <w:rPr>
      <w:rFonts w:ascii="Arial" w:hAnsi="Arial"/>
      <w:color w:val="48748F" w:themeColor="accent1"/>
      <w:sz w:val="36"/>
      <w:lang w:eastAsia="lv-LV"/>
    </w:rPr>
  </w:style>
  <w:style w:type="character" w:customStyle="1" w:styleId="Heading2Char">
    <w:name w:val="Heading 2 Char"/>
    <w:basedOn w:val="DefaultParagraphFont"/>
    <w:link w:val="Heading2"/>
    <w:rsid w:val="00F4754B"/>
    <w:rPr>
      <w:rFonts w:ascii="Arial" w:hAnsi="Arial"/>
      <w:color w:val="48748F" w:themeColor="accent1"/>
      <w:sz w:val="24"/>
      <w:lang w:eastAsia="lv-LV"/>
    </w:rPr>
  </w:style>
  <w:style w:type="character" w:customStyle="1" w:styleId="Heading3Char">
    <w:name w:val="Heading 3 Char"/>
    <w:basedOn w:val="DefaultParagraphFont"/>
    <w:link w:val="Heading3"/>
    <w:rsid w:val="00F4754B"/>
    <w:rPr>
      <w:rFonts w:ascii="Arial" w:hAnsi="Arial"/>
      <w:b/>
      <w:color w:val="48748F" w:themeColor="accent1"/>
      <w:szCs w:val="22"/>
      <w:lang w:eastAsia="lv-LV"/>
    </w:rPr>
  </w:style>
  <w:style w:type="character" w:customStyle="1" w:styleId="Heading4Char">
    <w:name w:val="Heading 4 Char"/>
    <w:basedOn w:val="DefaultParagraphFont"/>
    <w:link w:val="Heading4"/>
    <w:rsid w:val="00F4754B"/>
    <w:rPr>
      <w:rFonts w:ascii="Arial" w:hAnsi="Arial"/>
      <w:color w:val="48748F" w:themeColor="accent1"/>
      <w:lang w:eastAsia="lv-LV"/>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lv-LV"/>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lv-LV"/>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lv-LV"/>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lv-LV"/>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lv-LV"/>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lv-LV"/>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lv-LV"/>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lv-LV"/>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lv-LV"/>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lv-LV" w:eastAsia="lv-LV"/>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lv-LV"/>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lv-LV" w:bidi="lv-LV"/>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lv-LV"/>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lv-LV"/>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lv-LV"/>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lv-LV"/>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lv-LV"/>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lv-LV"/>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lv-LV"/>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lv-LV"/>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lv-LV"/>
    </w:rPr>
  </w:style>
  <w:style w:type="character" w:customStyle="1" w:styleId="Heading6Char">
    <w:name w:val="Heading 6 Char"/>
    <w:basedOn w:val="DefaultParagraphFont"/>
    <w:link w:val="Heading6"/>
    <w:rsid w:val="00F4754B"/>
    <w:rPr>
      <w:b/>
      <w:bCs/>
      <w:szCs w:val="22"/>
      <w:lang w:eastAsia="lv-LV"/>
    </w:rPr>
  </w:style>
  <w:style w:type="character" w:customStyle="1" w:styleId="Heading7Char">
    <w:name w:val="Heading 7 Char"/>
    <w:basedOn w:val="DefaultParagraphFont"/>
    <w:link w:val="Heading7"/>
    <w:rsid w:val="00F4754B"/>
    <w:rPr>
      <w:sz w:val="24"/>
      <w:szCs w:val="24"/>
      <w:lang w:eastAsia="lv-LV"/>
    </w:rPr>
  </w:style>
  <w:style w:type="character" w:customStyle="1" w:styleId="Heading8Char">
    <w:name w:val="Heading 8 Char"/>
    <w:basedOn w:val="DefaultParagraphFont"/>
    <w:link w:val="Heading8"/>
    <w:rsid w:val="00F4754B"/>
    <w:rPr>
      <w:i/>
      <w:iCs/>
      <w:sz w:val="24"/>
      <w:szCs w:val="24"/>
      <w:lang w:eastAsia="lv-LV"/>
    </w:rPr>
  </w:style>
  <w:style w:type="character" w:customStyle="1" w:styleId="Heading9Char">
    <w:name w:val="Heading 9 Char"/>
    <w:basedOn w:val="DefaultParagraphFont"/>
    <w:link w:val="Heading9"/>
    <w:rsid w:val="00F4754B"/>
    <w:rPr>
      <w:rFonts w:ascii="Verdana" w:hAnsi="Verdana" w:cs="Arial"/>
      <w:szCs w:val="22"/>
      <w:lang w:eastAsia="lv-LV"/>
    </w:rPr>
  </w:style>
  <w:style w:type="character" w:customStyle="1" w:styleId="Heading1Char">
    <w:name w:val="Heading 1 Char"/>
    <w:basedOn w:val="DefaultParagraphFont"/>
    <w:link w:val="Heading1"/>
    <w:rsid w:val="00F4754B"/>
    <w:rPr>
      <w:rFonts w:ascii="Arial" w:hAnsi="Arial"/>
      <w:color w:val="48748F" w:themeColor="accent1"/>
      <w:sz w:val="36"/>
      <w:lang w:eastAsia="lv-LV"/>
    </w:rPr>
  </w:style>
  <w:style w:type="character" w:customStyle="1" w:styleId="Heading2Char">
    <w:name w:val="Heading 2 Char"/>
    <w:basedOn w:val="DefaultParagraphFont"/>
    <w:link w:val="Heading2"/>
    <w:rsid w:val="00F4754B"/>
    <w:rPr>
      <w:rFonts w:ascii="Arial" w:hAnsi="Arial"/>
      <w:color w:val="48748F" w:themeColor="accent1"/>
      <w:sz w:val="24"/>
      <w:lang w:eastAsia="lv-LV"/>
    </w:rPr>
  </w:style>
  <w:style w:type="character" w:customStyle="1" w:styleId="Heading3Char">
    <w:name w:val="Heading 3 Char"/>
    <w:basedOn w:val="DefaultParagraphFont"/>
    <w:link w:val="Heading3"/>
    <w:rsid w:val="00F4754B"/>
    <w:rPr>
      <w:rFonts w:ascii="Arial" w:hAnsi="Arial"/>
      <w:b/>
      <w:color w:val="48748F" w:themeColor="accent1"/>
      <w:szCs w:val="22"/>
      <w:lang w:eastAsia="lv-LV"/>
    </w:rPr>
  </w:style>
  <w:style w:type="character" w:customStyle="1" w:styleId="Heading4Char">
    <w:name w:val="Heading 4 Char"/>
    <w:basedOn w:val="DefaultParagraphFont"/>
    <w:link w:val="Heading4"/>
    <w:rsid w:val="00F4754B"/>
    <w:rPr>
      <w:rFonts w:ascii="Arial" w:hAnsi="Arial"/>
      <w:color w:val="48748F" w:themeColor="accent1"/>
      <w:lang w:eastAsia="lv-LV"/>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lv-LV"/>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lv-LV"/>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lv-LV"/>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lv-LV"/>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lv-LV"/>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lv-LV"/>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lv-LV"/>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lv-LV"/>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lv-LV"/>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lv-LV" w:eastAsia="lv-LV"/>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lv-LV"/>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lv-LV" w:bidi="lv-LV"/>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lv-LV"/>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lv-LV"/>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lv-LV"/>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lv-LV"/>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lv-LV"/>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73067-D3A7-4491-A248-A16FC14571DA}">
  <ds:schemaRefs>
    <ds:schemaRef ds:uri="http://schemas.openxmlformats.org/officeDocument/2006/bibliography"/>
  </ds:schemaRefs>
</ds:datastoreItem>
</file>

<file path=customXml/itemProps2.xml><?xml version="1.0" encoding="utf-8"?>
<ds:datastoreItem xmlns:ds="http://schemas.openxmlformats.org/officeDocument/2006/customXml" ds:itemID="{27FCADC8-5AC6-4589-920E-E636F436C627}">
  <ds:schemaRefs>
    <ds:schemaRef ds:uri="http://schemas.openxmlformats.org/officeDocument/2006/bibliography"/>
  </ds:schemaRefs>
</ds:datastoreItem>
</file>

<file path=customXml/itemProps3.xml><?xml version="1.0" encoding="utf-8"?>
<ds:datastoreItem xmlns:ds="http://schemas.openxmlformats.org/officeDocument/2006/customXml" ds:itemID="{9A757F57-BF5D-4BC3-867C-71305425B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45</Pages>
  <Words>15951</Words>
  <Characters>103438</Characters>
  <Application>Microsoft Office Word</Application>
  <DocSecurity>0</DocSecurity>
  <Lines>2955</Lines>
  <Paragraphs>1404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117985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SPROGE Valerija (DGT)</cp:lastModifiedBy>
  <cp:revision>6</cp:revision>
  <cp:lastPrinted>2015-04-10T08:05:00Z</cp:lastPrinted>
  <dcterms:created xsi:type="dcterms:W3CDTF">2018-09-05T10:28:00Z</dcterms:created>
  <dcterms:modified xsi:type="dcterms:W3CDTF">2018-09-05T12:21:00Z</dcterms:modified>
</cp:coreProperties>
</file>