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E83F90" w:rsidRDefault="00C33467"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PT</w:t>
      </w:r>
    </w:p>
    <w:p w:rsidR="00FF3ED5" w:rsidRDefault="00FF3ED5" w:rsidP="00A33695">
      <w:pPr>
        <w:jc w:val="center"/>
        <w:rPr>
          <w:rFonts w:ascii="Times New Roman" w:hAnsi="Times New Roman"/>
          <w:b/>
          <w:sz w:val="24"/>
        </w:rPr>
      </w:pPr>
      <w:r>
        <w:rPr>
          <w:rFonts w:ascii="Times New Roman" w:hAnsi="Times New Roman"/>
          <w:b/>
          <w:sz w:val="24"/>
        </w:rPr>
        <w:t>ANEXO IV</w:t>
      </w:r>
    </w:p>
    <w:p w:rsidR="008F53AF" w:rsidRPr="00E83F90" w:rsidRDefault="008F53AF" w:rsidP="00A33695">
      <w:pPr>
        <w:jc w:val="center"/>
        <w:rPr>
          <w:rFonts w:ascii="Times New Roman" w:hAnsi="Times New Roman"/>
          <w:b/>
          <w:sz w:val="24"/>
        </w:rPr>
      </w:pPr>
    </w:p>
    <w:p w:rsidR="00C87CEE" w:rsidRPr="00C81874" w:rsidRDefault="00530C90" w:rsidP="00A33695">
      <w:pPr>
        <w:jc w:val="center"/>
        <w:rPr>
          <w:rFonts w:ascii="Times New Roman" w:hAnsi="Times New Roman"/>
          <w:b/>
          <w:sz w:val="24"/>
          <w:u w:val="single"/>
        </w:rPr>
      </w:pPr>
      <w:r>
        <w:rPr>
          <w:rFonts w:ascii="Times New Roman" w:hAnsi="Times New Roman"/>
          <w:b/>
          <w:sz w:val="24"/>
          <w:u w:val="single"/>
        </w:rPr>
        <w:t>ANEXO IX</w:t>
      </w:r>
    </w:p>
    <w:p w:rsidR="00DD58A5" w:rsidRDefault="00F41B3A" w:rsidP="00C87CEE">
      <w:pPr>
        <w:jc w:val="center"/>
        <w:rPr>
          <w:rFonts w:ascii="Times New Roman" w:hAnsi="Times New Roman"/>
          <w:b/>
          <w:sz w:val="24"/>
        </w:rPr>
      </w:pPr>
      <w:r>
        <w:rPr>
          <w:rFonts w:ascii="Times New Roman" w:hAnsi="Times New Roman"/>
          <w:b/>
          <w:sz w:val="24"/>
        </w:rPr>
        <w:t xml:space="preserve">INSTRUÇÕES PARA O RELATO DOS GRANDES RISCOS E </w:t>
      </w:r>
    </w:p>
    <w:p w:rsidR="00C87CEE" w:rsidRPr="00EF13C2" w:rsidRDefault="00F41B3A" w:rsidP="00C87CEE">
      <w:pPr>
        <w:jc w:val="center"/>
        <w:rPr>
          <w:rFonts w:ascii="Times New Roman" w:hAnsi="Times New Roman"/>
          <w:b/>
          <w:sz w:val="24"/>
        </w:rPr>
      </w:pPr>
      <w:r>
        <w:rPr>
          <w:rFonts w:ascii="Times New Roman" w:hAnsi="Times New Roman"/>
          <w:b/>
          <w:sz w:val="24"/>
        </w:rPr>
        <w:t>DO RISCO DE CONCENTRAÇÃO</w:t>
      </w:r>
    </w:p>
    <w:p w:rsidR="00224E73" w:rsidRPr="00384ADB" w:rsidRDefault="00224E73" w:rsidP="00317768">
      <w:pPr>
        <w:pStyle w:val="Heading6"/>
        <w:rPr>
          <w:sz w:val="24"/>
          <w:szCs w:val="24"/>
        </w:rPr>
      </w:pPr>
    </w:p>
    <w:p w:rsidR="00224E73" w:rsidRPr="00384ADB" w:rsidRDefault="00224E73" w:rsidP="00317768">
      <w:pPr>
        <w:pStyle w:val="Heading6"/>
        <w:rPr>
          <w:sz w:val="24"/>
          <w:szCs w:val="24"/>
        </w:rPr>
      </w:pPr>
    </w:p>
    <w:p w:rsidR="001D23F1" w:rsidRPr="00384ADB" w:rsidRDefault="001D23F1" w:rsidP="001D23F1">
      <w:pPr>
        <w:rPr>
          <w:rFonts w:ascii="Times New Roman" w:hAnsi="Times New Roman"/>
          <w:sz w:val="24"/>
        </w:rPr>
      </w:pPr>
    </w:p>
    <w:p w:rsidR="00D64B66" w:rsidRPr="00384ADB" w:rsidRDefault="003105C6" w:rsidP="00317768">
      <w:pPr>
        <w:pStyle w:val="Heading6"/>
        <w:rPr>
          <w:sz w:val="24"/>
          <w:szCs w:val="24"/>
        </w:rPr>
      </w:pPr>
      <w:r>
        <w:rPr>
          <w:sz w:val="24"/>
        </w:rPr>
        <w:t>Índice</w:t>
      </w:r>
    </w:p>
    <w:p w:rsidR="00BE5967" w:rsidRDefault="00992C47">
      <w:pPr>
        <w:pStyle w:val="TOC2"/>
        <w:rPr>
          <w:rFonts w:asciiTheme="minorHAnsi" w:eastAsiaTheme="minorEastAsia" w:hAnsiTheme="minorHAnsi" w:cstheme="minorBidi"/>
          <w:b w:val="0"/>
          <w:smallCaps w:val="0"/>
          <w:sz w:val="22"/>
          <w:lang w:val="en-GB" w:eastAsia="en-GB" w:bidi="ar-SA"/>
        </w:rPr>
      </w:pPr>
      <w:r>
        <w:rPr>
          <w:rFonts w:ascii="Times New Roman" w:hAnsi="Times New Roman"/>
          <w:noProof w:val="0"/>
          <w:sz w:val="24"/>
          <w:szCs w:val="24"/>
        </w:rPr>
        <w:fldChar w:fldCharType="begin"/>
      </w:r>
      <w:r w:rsidR="00621F98">
        <w:rPr>
          <w:rFonts w:ascii="Times New Roman" w:hAnsi="Times New Roman"/>
          <w:noProof w:val="0"/>
          <w:sz w:val="24"/>
          <w:szCs w:val="24"/>
        </w:rPr>
        <w:instrText xml:space="preserve"> TOC \o "1-3" \h \z \u </w:instrText>
      </w:r>
      <w:r>
        <w:rPr>
          <w:rFonts w:ascii="Times New Roman" w:hAnsi="Times New Roman"/>
          <w:noProof w:val="0"/>
          <w:sz w:val="24"/>
          <w:szCs w:val="24"/>
        </w:rPr>
        <w:fldChar w:fldCharType="separate"/>
      </w:r>
      <w:hyperlink w:anchor="_Toc524097219" w:history="1">
        <w:r w:rsidR="00BE5967" w:rsidRPr="00174DE7">
          <w:rPr>
            <w:rStyle w:val="Hyperlink"/>
            <w:rFonts w:ascii="Times New Roman" w:hAnsi="Times New Roman"/>
          </w:rPr>
          <w:t>PARTE I: INSTRUÇÕES GERAIS</w:t>
        </w:r>
        <w:r w:rsidR="00BE5967">
          <w:rPr>
            <w:webHidden/>
          </w:rPr>
          <w:tab/>
        </w:r>
        <w:r w:rsidR="00BE5967">
          <w:rPr>
            <w:webHidden/>
          </w:rPr>
          <w:fldChar w:fldCharType="begin"/>
        </w:r>
        <w:r w:rsidR="00BE5967">
          <w:rPr>
            <w:webHidden/>
          </w:rPr>
          <w:instrText xml:space="preserve"> PAGEREF _Toc524097219 \h </w:instrText>
        </w:r>
        <w:r w:rsidR="00BE5967">
          <w:rPr>
            <w:webHidden/>
          </w:rPr>
        </w:r>
        <w:r w:rsidR="00BE5967">
          <w:rPr>
            <w:webHidden/>
          </w:rPr>
          <w:fldChar w:fldCharType="separate"/>
        </w:r>
        <w:r w:rsidR="003C7090">
          <w:rPr>
            <w:webHidden/>
          </w:rPr>
          <w:t>2</w:t>
        </w:r>
        <w:r w:rsidR="00BE5967">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20" w:history="1">
        <w:r w:rsidRPr="00174DE7">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Estrutura e convenções</w:t>
        </w:r>
        <w:r>
          <w:rPr>
            <w:webHidden/>
          </w:rPr>
          <w:tab/>
        </w:r>
        <w:r>
          <w:rPr>
            <w:webHidden/>
          </w:rPr>
          <w:fldChar w:fldCharType="begin"/>
        </w:r>
        <w:r>
          <w:rPr>
            <w:webHidden/>
          </w:rPr>
          <w:instrText xml:space="preserve"> PAGEREF _Toc524097220 \h </w:instrText>
        </w:r>
        <w:r>
          <w:rPr>
            <w:webHidden/>
          </w:rPr>
        </w:r>
        <w:r>
          <w:rPr>
            <w:webHidden/>
          </w:rPr>
          <w:fldChar w:fldCharType="separate"/>
        </w:r>
        <w:r w:rsidR="003C7090">
          <w:rPr>
            <w:webHidden/>
          </w:rPr>
          <w:t>2</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21" w:history="1">
        <w:r w:rsidRPr="00174DE7">
          <w:rPr>
            <w:rStyle w:val="Hyperlink"/>
          </w:rPr>
          <w:t>2.</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Abreviaturas</w:t>
        </w:r>
        <w:r>
          <w:rPr>
            <w:webHidden/>
          </w:rPr>
          <w:tab/>
        </w:r>
        <w:r>
          <w:rPr>
            <w:webHidden/>
          </w:rPr>
          <w:fldChar w:fldCharType="begin"/>
        </w:r>
        <w:r>
          <w:rPr>
            <w:webHidden/>
          </w:rPr>
          <w:instrText xml:space="preserve"> PAGEREF _Toc524097221 \h </w:instrText>
        </w:r>
        <w:r>
          <w:rPr>
            <w:webHidden/>
          </w:rPr>
        </w:r>
        <w:r>
          <w:rPr>
            <w:webHidden/>
          </w:rPr>
          <w:fldChar w:fldCharType="separate"/>
        </w:r>
        <w:r w:rsidR="003C7090">
          <w:rPr>
            <w:webHidden/>
          </w:rPr>
          <w:t>2</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22" w:history="1">
        <w:r w:rsidRPr="00174DE7">
          <w:rPr>
            <w:rStyle w:val="Hyperlink"/>
            <w:rFonts w:ascii="Times New Roman" w:hAnsi="Times New Roman"/>
          </w:rPr>
          <w:t>PARTE II: INSTRUÇÕES RESPEITANTES AOS MODELOS</w:t>
        </w:r>
        <w:r>
          <w:rPr>
            <w:webHidden/>
          </w:rPr>
          <w:tab/>
        </w:r>
        <w:r>
          <w:rPr>
            <w:webHidden/>
          </w:rPr>
          <w:fldChar w:fldCharType="begin"/>
        </w:r>
        <w:r>
          <w:rPr>
            <w:webHidden/>
          </w:rPr>
          <w:instrText xml:space="preserve"> PAGEREF _Toc524097222 \h </w:instrText>
        </w:r>
        <w:r>
          <w:rPr>
            <w:webHidden/>
          </w:rPr>
        </w:r>
        <w:r>
          <w:rPr>
            <w:webHidden/>
          </w:rPr>
          <w:fldChar w:fldCharType="separate"/>
        </w:r>
        <w:r w:rsidR="003C7090">
          <w:rPr>
            <w:webHidden/>
          </w:rPr>
          <w:t>3</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23" w:history="1">
        <w:r w:rsidRPr="00174DE7">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Âmbito e nível dos relatórios LE</w:t>
        </w:r>
        <w:r>
          <w:rPr>
            <w:webHidden/>
          </w:rPr>
          <w:tab/>
        </w:r>
        <w:r>
          <w:rPr>
            <w:webHidden/>
          </w:rPr>
          <w:fldChar w:fldCharType="begin"/>
        </w:r>
        <w:r>
          <w:rPr>
            <w:webHidden/>
          </w:rPr>
          <w:instrText xml:space="preserve"> PAGEREF _Toc524097223 \h </w:instrText>
        </w:r>
        <w:r>
          <w:rPr>
            <w:webHidden/>
          </w:rPr>
        </w:r>
        <w:r>
          <w:rPr>
            <w:webHidden/>
          </w:rPr>
          <w:fldChar w:fldCharType="separate"/>
        </w:r>
        <w:r w:rsidR="003C7090">
          <w:rPr>
            <w:webHidden/>
          </w:rPr>
          <w:t>3</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24" w:history="1">
        <w:r w:rsidRPr="00174DE7">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Estrutura do modelo LE</w:t>
        </w:r>
        <w:r>
          <w:rPr>
            <w:webHidden/>
          </w:rPr>
          <w:tab/>
        </w:r>
        <w:r>
          <w:rPr>
            <w:webHidden/>
          </w:rPr>
          <w:fldChar w:fldCharType="begin"/>
        </w:r>
        <w:r>
          <w:rPr>
            <w:webHidden/>
          </w:rPr>
          <w:instrText xml:space="preserve"> PAGEREF _Toc524097224 \h </w:instrText>
        </w:r>
        <w:r>
          <w:rPr>
            <w:webHidden/>
          </w:rPr>
        </w:r>
        <w:r>
          <w:rPr>
            <w:webHidden/>
          </w:rPr>
          <w:fldChar w:fldCharType="separate"/>
        </w:r>
        <w:r w:rsidR="003C7090">
          <w:rPr>
            <w:webHidden/>
          </w:rPr>
          <w:t>4</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25" w:history="1">
        <w:r w:rsidRPr="00174DE7">
          <w:rPr>
            <w:rStyle w:val="Hyperlink"/>
            <w:rFonts w:ascii="Times New Roman" w:eastAsia="Arial" w:hAnsi="Times New Roman"/>
          </w:rPr>
          <w:t>3.</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Definições e instruções gerais para efeitos do relato dos LE</w:t>
        </w:r>
        <w:r>
          <w:rPr>
            <w:webHidden/>
          </w:rPr>
          <w:tab/>
        </w:r>
        <w:r>
          <w:rPr>
            <w:webHidden/>
          </w:rPr>
          <w:fldChar w:fldCharType="begin"/>
        </w:r>
        <w:r>
          <w:rPr>
            <w:webHidden/>
          </w:rPr>
          <w:instrText xml:space="preserve"> PAGEREF _Toc524097225 \h </w:instrText>
        </w:r>
        <w:r>
          <w:rPr>
            <w:webHidden/>
          </w:rPr>
        </w:r>
        <w:r>
          <w:rPr>
            <w:webHidden/>
          </w:rPr>
          <w:fldChar w:fldCharType="separate"/>
        </w:r>
        <w:r w:rsidR="003C7090">
          <w:rPr>
            <w:webHidden/>
          </w:rPr>
          <w:t>4</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26" w:history="1">
        <w:r w:rsidRPr="00174DE7">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C 26.00 - Modelo de limites LE</w:t>
        </w:r>
        <w:r>
          <w:rPr>
            <w:webHidden/>
          </w:rPr>
          <w:tab/>
        </w:r>
        <w:r>
          <w:rPr>
            <w:webHidden/>
          </w:rPr>
          <w:fldChar w:fldCharType="begin"/>
        </w:r>
        <w:r>
          <w:rPr>
            <w:webHidden/>
          </w:rPr>
          <w:instrText xml:space="preserve"> PAGEREF _Toc524097226 \h </w:instrText>
        </w:r>
        <w:r>
          <w:rPr>
            <w:webHidden/>
          </w:rPr>
        </w:r>
        <w:r>
          <w:rPr>
            <w:webHidden/>
          </w:rPr>
          <w:fldChar w:fldCharType="separate"/>
        </w:r>
        <w:r w:rsidR="003C7090">
          <w:rPr>
            <w:webHidden/>
          </w:rPr>
          <w:t>5</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27" w:history="1">
        <w:r w:rsidRPr="00174DE7">
          <w:rPr>
            <w:rStyle w:val="Hyperlink"/>
            <w:rFonts w:ascii="Times New Roman" w:hAnsi="Times New Roman"/>
          </w:rPr>
          <w:t>4.1.</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Instruções sobre linhas específicas</w:t>
        </w:r>
        <w:r>
          <w:rPr>
            <w:webHidden/>
          </w:rPr>
          <w:tab/>
        </w:r>
        <w:r>
          <w:rPr>
            <w:webHidden/>
          </w:rPr>
          <w:fldChar w:fldCharType="begin"/>
        </w:r>
        <w:r>
          <w:rPr>
            <w:webHidden/>
          </w:rPr>
          <w:instrText xml:space="preserve"> PAGEREF _Toc524097227 \h </w:instrText>
        </w:r>
        <w:r>
          <w:rPr>
            <w:webHidden/>
          </w:rPr>
        </w:r>
        <w:r>
          <w:rPr>
            <w:webHidden/>
          </w:rPr>
          <w:fldChar w:fldCharType="separate"/>
        </w:r>
        <w:r w:rsidR="003C7090">
          <w:rPr>
            <w:webHidden/>
          </w:rPr>
          <w:t>5</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28" w:history="1">
        <w:r w:rsidRPr="00174DE7">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C 27.00 - Identificação da contraparte (modelo LE1)</w:t>
        </w:r>
        <w:r>
          <w:rPr>
            <w:webHidden/>
          </w:rPr>
          <w:tab/>
        </w:r>
        <w:r>
          <w:rPr>
            <w:webHidden/>
          </w:rPr>
          <w:fldChar w:fldCharType="begin"/>
        </w:r>
        <w:r>
          <w:rPr>
            <w:webHidden/>
          </w:rPr>
          <w:instrText xml:space="preserve"> PAGEREF _Toc524097228 \h </w:instrText>
        </w:r>
        <w:r>
          <w:rPr>
            <w:webHidden/>
          </w:rPr>
        </w:r>
        <w:r>
          <w:rPr>
            <w:webHidden/>
          </w:rPr>
          <w:fldChar w:fldCharType="separate"/>
        </w:r>
        <w:r w:rsidR="003C7090">
          <w:rPr>
            <w:webHidden/>
          </w:rPr>
          <w:t>7</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29" w:history="1">
        <w:r w:rsidRPr="00174DE7">
          <w:rPr>
            <w:rStyle w:val="Hyperlink"/>
            <w:rFonts w:ascii="Times New Roman" w:hAnsi="Times New Roman"/>
          </w:rPr>
          <w:t>5.1.</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_Toc524097229 \h </w:instrText>
        </w:r>
        <w:r>
          <w:rPr>
            <w:webHidden/>
          </w:rPr>
        </w:r>
        <w:r>
          <w:rPr>
            <w:webHidden/>
          </w:rPr>
          <w:fldChar w:fldCharType="separate"/>
        </w:r>
        <w:r w:rsidR="003C7090">
          <w:rPr>
            <w:webHidden/>
          </w:rPr>
          <w:t>7</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30" w:history="1">
        <w:r w:rsidRPr="00174DE7">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C 28.00 - Posições em risco extra carteira de negociação e na carteira de negociação (modelo LE2)</w:t>
        </w:r>
        <w:r>
          <w:rPr>
            <w:webHidden/>
          </w:rPr>
          <w:tab/>
        </w:r>
        <w:r>
          <w:rPr>
            <w:webHidden/>
          </w:rPr>
          <w:fldChar w:fldCharType="begin"/>
        </w:r>
        <w:r>
          <w:rPr>
            <w:webHidden/>
          </w:rPr>
          <w:instrText xml:space="preserve"> PAGEREF _Toc524097230 \h </w:instrText>
        </w:r>
        <w:r>
          <w:rPr>
            <w:webHidden/>
          </w:rPr>
        </w:r>
        <w:r>
          <w:rPr>
            <w:webHidden/>
          </w:rPr>
          <w:fldChar w:fldCharType="separate"/>
        </w:r>
        <w:r w:rsidR="003C7090">
          <w:rPr>
            <w:webHidden/>
          </w:rPr>
          <w:t>9</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31" w:history="1">
        <w:r w:rsidRPr="00174DE7">
          <w:rPr>
            <w:rStyle w:val="Hyperlink"/>
            <w:rFonts w:ascii="Times New Roman" w:hAnsi="Times New Roman"/>
          </w:rPr>
          <w:t>6.1.</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_Toc524097231 \h </w:instrText>
        </w:r>
        <w:r>
          <w:rPr>
            <w:webHidden/>
          </w:rPr>
        </w:r>
        <w:r>
          <w:rPr>
            <w:webHidden/>
          </w:rPr>
          <w:fldChar w:fldCharType="separate"/>
        </w:r>
        <w:r w:rsidR="003C7090">
          <w:rPr>
            <w:webHidden/>
          </w:rPr>
          <w:t>9</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32" w:history="1">
        <w:r w:rsidRPr="00174DE7">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C 29.00 - Informação pormenorizada sobre as posições em risco sobre clientes individuais que integram grupos de clientes ligados entre si (modelo LE3)</w:t>
        </w:r>
        <w:r>
          <w:rPr>
            <w:webHidden/>
          </w:rPr>
          <w:tab/>
        </w:r>
        <w:r>
          <w:rPr>
            <w:webHidden/>
          </w:rPr>
          <w:fldChar w:fldCharType="begin"/>
        </w:r>
        <w:r>
          <w:rPr>
            <w:webHidden/>
          </w:rPr>
          <w:instrText xml:space="preserve"> PAGEREF _Toc524097232 \h </w:instrText>
        </w:r>
        <w:r>
          <w:rPr>
            <w:webHidden/>
          </w:rPr>
        </w:r>
        <w:r>
          <w:rPr>
            <w:webHidden/>
          </w:rPr>
          <w:fldChar w:fldCharType="separate"/>
        </w:r>
        <w:r w:rsidR="003C7090">
          <w:rPr>
            <w:webHidden/>
          </w:rPr>
          <w:t>17</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33" w:history="1">
        <w:r w:rsidRPr="00174DE7">
          <w:rPr>
            <w:rStyle w:val="Hyperlink"/>
            <w:rFonts w:ascii="Times New Roman" w:hAnsi="Times New Roman"/>
          </w:rPr>
          <w:t>7.1.</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_Toc524097233 \h </w:instrText>
        </w:r>
        <w:r>
          <w:rPr>
            <w:webHidden/>
          </w:rPr>
        </w:r>
        <w:r>
          <w:rPr>
            <w:webHidden/>
          </w:rPr>
          <w:fldChar w:fldCharType="separate"/>
        </w:r>
        <w:r w:rsidR="003C7090">
          <w:rPr>
            <w:webHidden/>
          </w:rPr>
          <w:t>17</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34" w:history="1">
        <w:r w:rsidRPr="00174DE7">
          <w:rPr>
            <w:rStyle w:val="Hyperlink"/>
            <w:rFonts w:ascii="Times New Roman" w:hAnsi="Times New Roman"/>
          </w:rPr>
          <w:t>8.</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C 30.00 - Escalões de prazo de vencimento das 10 maiores posições em risco sobre instituições e das 10 maiores posições em risco sobre entidades financeiras não reguladas (modelo LE4)</w:t>
        </w:r>
        <w:r>
          <w:rPr>
            <w:webHidden/>
          </w:rPr>
          <w:tab/>
        </w:r>
        <w:r>
          <w:rPr>
            <w:webHidden/>
          </w:rPr>
          <w:fldChar w:fldCharType="begin"/>
        </w:r>
        <w:r>
          <w:rPr>
            <w:webHidden/>
          </w:rPr>
          <w:instrText xml:space="preserve"> PAGEREF _Toc524097234 \h </w:instrText>
        </w:r>
        <w:r>
          <w:rPr>
            <w:webHidden/>
          </w:rPr>
        </w:r>
        <w:r>
          <w:rPr>
            <w:webHidden/>
          </w:rPr>
          <w:fldChar w:fldCharType="separate"/>
        </w:r>
        <w:r w:rsidR="003C7090">
          <w:rPr>
            <w:webHidden/>
          </w:rPr>
          <w:t>18</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35" w:history="1">
        <w:r w:rsidRPr="00174DE7">
          <w:rPr>
            <w:rStyle w:val="Hyperlink"/>
            <w:rFonts w:ascii="Times New Roman" w:hAnsi="Times New Roman"/>
          </w:rPr>
          <w:t>8.1.</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_Toc524097235 \h </w:instrText>
        </w:r>
        <w:r>
          <w:rPr>
            <w:webHidden/>
          </w:rPr>
        </w:r>
        <w:r>
          <w:rPr>
            <w:webHidden/>
          </w:rPr>
          <w:fldChar w:fldCharType="separate"/>
        </w:r>
        <w:r w:rsidR="003C7090">
          <w:rPr>
            <w:webHidden/>
          </w:rPr>
          <w:t>18</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36" w:history="1">
        <w:r w:rsidRPr="00174DE7">
          <w:rPr>
            <w:rStyle w:val="Hyperlink"/>
            <w:rFonts w:ascii="Times New Roman" w:hAnsi="Times New Roman"/>
          </w:rPr>
          <w:t>9.</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C 31.00 - Escalões de prazo de vencimento das 10 maiores posições em risco sobre instituições e das 10 maiores posições em risco sobre entidades financeiras não reguladas: informação pormenorizada sobre as posições em risco sobre clientes individuais que integram grupos de clientes ligados entre si (modelo LE5)</w:t>
        </w:r>
        <w:r>
          <w:rPr>
            <w:webHidden/>
          </w:rPr>
          <w:tab/>
        </w:r>
        <w:r>
          <w:rPr>
            <w:webHidden/>
          </w:rPr>
          <w:fldChar w:fldCharType="begin"/>
        </w:r>
        <w:r>
          <w:rPr>
            <w:webHidden/>
          </w:rPr>
          <w:instrText xml:space="preserve"> PAGEREF _Toc524097236 \h </w:instrText>
        </w:r>
        <w:r>
          <w:rPr>
            <w:webHidden/>
          </w:rPr>
        </w:r>
        <w:r>
          <w:rPr>
            <w:webHidden/>
          </w:rPr>
          <w:fldChar w:fldCharType="separate"/>
        </w:r>
        <w:r w:rsidR="003C7090">
          <w:rPr>
            <w:webHidden/>
          </w:rPr>
          <w:t>19</w:t>
        </w:r>
        <w:r>
          <w:rPr>
            <w:webHidden/>
          </w:rPr>
          <w:fldChar w:fldCharType="end"/>
        </w:r>
      </w:hyperlink>
    </w:p>
    <w:p w:rsidR="00BE5967" w:rsidRDefault="00BE5967">
      <w:pPr>
        <w:pStyle w:val="TOC2"/>
        <w:rPr>
          <w:rFonts w:asciiTheme="minorHAnsi" w:eastAsiaTheme="minorEastAsia" w:hAnsiTheme="minorHAnsi" w:cstheme="minorBidi"/>
          <w:b w:val="0"/>
          <w:smallCaps w:val="0"/>
          <w:sz w:val="22"/>
          <w:lang w:val="en-GB" w:eastAsia="en-GB" w:bidi="ar-SA"/>
        </w:rPr>
      </w:pPr>
      <w:hyperlink w:anchor="_Toc524097237" w:history="1">
        <w:r w:rsidRPr="00174DE7">
          <w:rPr>
            <w:rStyle w:val="Hyperlink"/>
            <w:rFonts w:ascii="Times New Roman" w:hAnsi="Times New Roman"/>
          </w:rPr>
          <w:t>9.1.</w:t>
        </w:r>
        <w:r>
          <w:rPr>
            <w:rFonts w:asciiTheme="minorHAnsi" w:eastAsiaTheme="minorEastAsia" w:hAnsiTheme="minorHAnsi" w:cstheme="minorBidi"/>
            <w:b w:val="0"/>
            <w:smallCaps w:val="0"/>
            <w:sz w:val="22"/>
            <w:lang w:val="en-GB" w:eastAsia="en-GB" w:bidi="ar-SA"/>
          </w:rPr>
          <w:tab/>
        </w:r>
        <w:r w:rsidRPr="00174DE7">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_Toc524097237 \h </w:instrText>
        </w:r>
        <w:r>
          <w:rPr>
            <w:webHidden/>
          </w:rPr>
        </w:r>
        <w:r>
          <w:rPr>
            <w:webHidden/>
          </w:rPr>
          <w:fldChar w:fldCharType="separate"/>
        </w:r>
        <w:r w:rsidR="003C7090">
          <w:rPr>
            <w:webHidden/>
          </w:rPr>
          <w:t>19</w:t>
        </w:r>
        <w:r>
          <w:rPr>
            <w:webHidden/>
          </w:rPr>
          <w:fldChar w:fldCharType="end"/>
        </w:r>
      </w:hyperlink>
    </w:p>
    <w:p w:rsidR="00674619" w:rsidRDefault="00992C47">
      <w:pPr>
        <w:rPr>
          <w:rFonts w:ascii="Times New Roman" w:eastAsia="SimSun" w:hAnsi="Times New Roman"/>
          <w:sz w:val="24"/>
        </w:rPr>
        <w:sectPr w:rsidR="00674619"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9777FB" w:rsidRPr="009777FB" w:rsidRDefault="003105C6" w:rsidP="0093135A">
      <w:pPr>
        <w:pStyle w:val="Heading2"/>
        <w:rPr>
          <w:bCs/>
        </w:rPr>
      </w:pPr>
      <w:bookmarkStart w:id="3" w:name="_Toc264038394"/>
      <w:bookmarkStart w:id="4" w:name="_Toc393461951"/>
      <w:bookmarkStart w:id="5" w:name="_Toc524097219"/>
      <w:r>
        <w:rPr>
          <w:rFonts w:ascii="Times New Roman" w:hAnsi="Times New Roman"/>
        </w:rPr>
        <w:lastRenderedPageBreak/>
        <w:t>PARTE I:</w:t>
      </w:r>
      <w:bookmarkEnd w:id="3"/>
      <w:r>
        <w:rPr>
          <w:rFonts w:ascii="Times New Roman" w:hAnsi="Times New Roman"/>
        </w:rPr>
        <w:t xml:space="preserve"> INSTRUÇÕES GERAIS</w:t>
      </w:r>
      <w:bookmarkEnd w:id="4"/>
      <w:bookmarkEnd w:id="5"/>
    </w:p>
    <w:p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6" w:name="_Toc393461952"/>
      <w:bookmarkStart w:id="7" w:name="_Toc524097220"/>
      <w:r>
        <w:rPr>
          <w:rFonts w:ascii="Times New Roman" w:hAnsi="Times New Roman"/>
          <w:b/>
          <w:sz w:val="24"/>
          <w:u w:val="none"/>
        </w:rPr>
        <w:t>Estrutura e convenções</w:t>
      </w:r>
      <w:bookmarkEnd w:id="6"/>
      <w:bookmarkEnd w:id="7"/>
    </w:p>
    <w:p w:rsidR="00393539" w:rsidRPr="0039317F" w:rsidRDefault="00D40975" w:rsidP="0039317F">
      <w:pPr>
        <w:pStyle w:val="InstructionsText2"/>
      </w:pPr>
      <w:bookmarkStart w:id="8" w:name="_Toc264038399"/>
      <w:bookmarkStart w:id="9" w:name="_Toc294018834"/>
      <w:r>
        <w:t xml:space="preserve">O sistema de relato de grandes riscos </w:t>
      </w:r>
      <w:proofErr w:type="gramStart"/>
      <w:r>
        <w:t>(«LE</w:t>
      </w:r>
      <w:proofErr w:type="gramEnd"/>
      <w:r>
        <w:t>») é composto por seis modelos que incl</w:t>
      </w:r>
      <w:r>
        <w:t>u</w:t>
      </w:r>
      <w:r>
        <w:t>em as seguintes informações:</w:t>
      </w:r>
    </w:p>
    <w:p w:rsidR="00DA54E3" w:rsidRPr="0039317F" w:rsidRDefault="00CC2429" w:rsidP="0039317F">
      <w:pPr>
        <w:pStyle w:val="InstructionsText2"/>
        <w:numPr>
          <w:ilvl w:val="1"/>
          <w:numId w:val="15"/>
        </w:numPr>
        <w:rPr>
          <w:rFonts w:eastAsia="Arial"/>
        </w:rPr>
      </w:pPr>
      <w:r>
        <w:t>Limites para os grandes riscos;</w:t>
      </w:r>
    </w:p>
    <w:p w:rsidR="00DA54E3" w:rsidRPr="0039317F" w:rsidRDefault="00CC2429" w:rsidP="0039317F">
      <w:pPr>
        <w:pStyle w:val="InstructionsText2"/>
        <w:numPr>
          <w:ilvl w:val="1"/>
          <w:numId w:val="15"/>
        </w:numPr>
        <w:rPr>
          <w:rFonts w:eastAsia="Arial"/>
        </w:rPr>
      </w:pPr>
      <w:r>
        <w:t>Identificação da contraparte (modelo LE1);</w:t>
      </w:r>
    </w:p>
    <w:p w:rsidR="00393539" w:rsidRPr="0039317F" w:rsidRDefault="00CC2429" w:rsidP="0039317F">
      <w:pPr>
        <w:pStyle w:val="InstructionsText2"/>
        <w:numPr>
          <w:ilvl w:val="1"/>
          <w:numId w:val="15"/>
        </w:numPr>
        <w:rPr>
          <w:rFonts w:eastAsia="Arial"/>
        </w:rPr>
      </w:pPr>
      <w:r>
        <w:t xml:space="preserve">Posições em risco extra carteira de negociação e na carteira de negociação (modelo LE2) </w:t>
      </w:r>
    </w:p>
    <w:p w:rsidR="00393539" w:rsidRPr="0039317F" w:rsidRDefault="00CC2429" w:rsidP="0039317F">
      <w:pPr>
        <w:pStyle w:val="InstructionsText2"/>
        <w:numPr>
          <w:ilvl w:val="1"/>
          <w:numId w:val="15"/>
        </w:numPr>
        <w:rPr>
          <w:rFonts w:eastAsia="Arial"/>
        </w:rPr>
      </w:pPr>
      <w:r>
        <w:t>Informação pormenorizada sobre as posições em risco sobre clientes individ</w:t>
      </w:r>
      <w:r>
        <w:t>u</w:t>
      </w:r>
      <w:r>
        <w:t>ais que integram grupos de clientes ligados entre si (modelo LE3)</w:t>
      </w:r>
    </w:p>
    <w:p w:rsidR="00627430" w:rsidRPr="0039317F" w:rsidRDefault="00CC2429" w:rsidP="0039317F">
      <w:pPr>
        <w:pStyle w:val="InstructionsText2"/>
        <w:numPr>
          <w:ilvl w:val="1"/>
          <w:numId w:val="15"/>
        </w:numPr>
        <w:rPr>
          <w:rFonts w:eastAsia="Arial"/>
        </w:rPr>
      </w:pPr>
      <w:r>
        <w:t>Escalões de prazo de vencimento das 10 maiores posições em risco sobre inst</w:t>
      </w:r>
      <w:r>
        <w:t>i</w:t>
      </w:r>
      <w:r>
        <w:t>tuições e das 10 maiores posições em risco sobre entidades financeiras não reguladas (mod</w:t>
      </w:r>
      <w:r>
        <w:t>e</w:t>
      </w:r>
      <w:r>
        <w:t xml:space="preserve">lo LE4); </w:t>
      </w:r>
    </w:p>
    <w:p w:rsidR="00DA54E3" w:rsidRPr="0039317F" w:rsidRDefault="00CC2429" w:rsidP="0039317F">
      <w:pPr>
        <w:pStyle w:val="InstructionsText2"/>
        <w:numPr>
          <w:ilvl w:val="1"/>
          <w:numId w:val="15"/>
        </w:numPr>
        <w:rPr>
          <w:rFonts w:eastAsia="Arial"/>
        </w:rPr>
      </w:pPr>
      <w:r>
        <w:t>Escalões de prazo de vencimento das 10 maiores posições em risco sobre inst</w:t>
      </w:r>
      <w:r>
        <w:t>i</w:t>
      </w:r>
      <w:r>
        <w:t>tuições e das 10 maiores posições em risco sobre entidades financeiras não r</w:t>
      </w:r>
      <w:r>
        <w:t>e</w:t>
      </w:r>
      <w:r>
        <w:t>guladas: informação pormenorizada sobre as posições em risco sobre clientes individuais que int</w:t>
      </w:r>
      <w:r>
        <w:t>e</w:t>
      </w:r>
      <w:r>
        <w:t>gram grupos de clientes ligados entre si (modelo LE5).</w:t>
      </w:r>
    </w:p>
    <w:p w:rsidR="003D56DE" w:rsidRPr="0039317F" w:rsidRDefault="00756759" w:rsidP="0039317F">
      <w:pPr>
        <w:pStyle w:val="InstructionsText2"/>
      </w:pPr>
      <w:r>
        <w:t>As instruções incluem referências jurídicas, bem como informações pormenorizadas sobre os dados a relatar em cada modelo.</w:t>
      </w:r>
    </w:p>
    <w:p w:rsidR="00B0191A" w:rsidRPr="0039317F" w:rsidRDefault="003105C6" w:rsidP="0039317F">
      <w:pPr>
        <w:pStyle w:val="InstructionsText2"/>
      </w:pPr>
      <w:r>
        <w:t>No que se refere às colunas, às linhas e às células dos modelos, as instruções e as r</w:t>
      </w:r>
      <w:r>
        <w:t>e</w:t>
      </w:r>
      <w:r>
        <w:t xml:space="preserve">gras de validação seguem as convenções estabelecidas nos parágrafos seguintes. </w:t>
      </w:r>
    </w:p>
    <w:p w:rsidR="00B0191A" w:rsidRPr="0039317F" w:rsidRDefault="00F36707" w:rsidP="0039317F">
      <w:pPr>
        <w:pStyle w:val="InstructionsText2"/>
      </w:pPr>
      <w:r>
        <w:t>A seguinte convenção é geralmente utilizada nas instruções e nas regras de validação: {M</w:t>
      </w:r>
      <w:r>
        <w:t>o</w:t>
      </w:r>
      <w:r>
        <w:t>delo;Linha;Coluna}. Um sinal de asterisco indica que a validação é realizada para todas as linhas relatadas.</w:t>
      </w:r>
    </w:p>
    <w:p w:rsidR="00B0191A" w:rsidRPr="0039317F" w:rsidRDefault="003105C6" w:rsidP="0039317F">
      <w:pPr>
        <w:pStyle w:val="InstructionsText2"/>
        <w:rPr>
          <w:rFonts w:eastAsia="Arial"/>
        </w:rPr>
      </w:pPr>
      <w:r>
        <w:t>No caso das validações no interior de um modelo, nas quais são utilizados apenas os dados desse modelo, a notação não refere um modelo: {Linha;Coluna}.</w:t>
      </w:r>
    </w:p>
    <w:p w:rsidR="00B0191A" w:rsidRDefault="006217F1" w:rsidP="0039317F">
      <w:pPr>
        <w:pStyle w:val="InstructionsText2"/>
      </w:pPr>
      <w:r>
        <w:t xml:space="preserve">ABS(Valor): valor absoluto, sem sinal. </w:t>
      </w:r>
      <w:bookmarkEnd w:id="8"/>
      <w:bookmarkEnd w:id="9"/>
      <w:r>
        <w:t>Qualquer montante que aumente a exposição deve ser relatado como um valor positivo. Pelo contrário, qualquer montante que d</w:t>
      </w:r>
      <w:r>
        <w:t>i</w:t>
      </w:r>
      <w:r>
        <w:t xml:space="preserve">minua a exposição </w:t>
      </w:r>
      <w:r>
        <w:lastRenderedPageBreak/>
        <w:t>deve ser relatado como um valor negativo. Se a designação de um elemento for precedida de um sinal negativo (–), não se deve relatar qualquer valor positivo para esse elemento.</w:t>
      </w:r>
    </w:p>
    <w:p w:rsidR="0093135A" w:rsidRPr="0078562D" w:rsidRDefault="0078562D" w:rsidP="0078562D">
      <w:pPr>
        <w:pStyle w:val="Instructionsberschrift2"/>
        <w:numPr>
          <w:ilvl w:val="0"/>
          <w:numId w:val="20"/>
        </w:numPr>
        <w:rPr>
          <w:b/>
        </w:rPr>
      </w:pPr>
      <w:bookmarkStart w:id="10" w:name="_Toc524097221"/>
      <w:r>
        <w:rPr>
          <w:rFonts w:ascii="Times New Roman" w:hAnsi="Times New Roman"/>
          <w:b/>
          <w:sz w:val="24"/>
          <w:u w:val="none"/>
        </w:rPr>
        <w:t>Abreviaturas</w:t>
      </w:r>
      <w:bookmarkEnd w:id="10"/>
    </w:p>
    <w:p w:rsidR="0093135A" w:rsidRDefault="0093135A" w:rsidP="0093135A">
      <w:pPr>
        <w:pStyle w:val="InstructionsText2"/>
      </w:pPr>
      <w:r>
        <w:t>Para efeitos do presente anexo, o Regulamento (UE) n.º 575/2013 é designado por «CRR».</w:t>
      </w:r>
    </w:p>
    <w:p w:rsidR="0093135A" w:rsidRPr="0039317F" w:rsidRDefault="0093135A" w:rsidP="0078562D">
      <w:pPr>
        <w:pStyle w:val="InstructionsText2"/>
        <w:numPr>
          <w:ilvl w:val="0"/>
          <w:numId w:val="0"/>
        </w:numPr>
        <w:ind w:left="720" w:hanging="360"/>
      </w:pPr>
    </w:p>
    <w:p w:rsidR="00A801A9" w:rsidRPr="00384ADB" w:rsidRDefault="00A801A9" w:rsidP="00005FFC">
      <w:pPr>
        <w:rPr>
          <w:rFonts w:ascii="Times New Roman" w:hAnsi="Times New Roman"/>
          <w:sz w:val="24"/>
        </w:rPr>
        <w:sectPr w:rsidR="00A801A9" w:rsidRPr="00384ADB" w:rsidSect="00C41ABD">
          <w:endnotePr>
            <w:numFmt w:val="decimal"/>
          </w:endnotePr>
          <w:pgSz w:w="11906" w:h="16838"/>
          <w:pgMar w:top="1417" w:right="1417" w:bottom="1134" w:left="1417" w:header="708" w:footer="708" w:gutter="0"/>
          <w:pgNumType w:start="2"/>
          <w:cols w:space="708"/>
          <w:docGrid w:linePitch="360"/>
        </w:sectPr>
      </w:pPr>
      <w:bookmarkStart w:id="11" w:name="_Toc264033192"/>
      <w:bookmarkEnd w:id="11"/>
    </w:p>
    <w:p w:rsidR="00A801A9" w:rsidRPr="00F40CD9" w:rsidRDefault="003105C6" w:rsidP="00D64B66">
      <w:pPr>
        <w:pStyle w:val="Heading2"/>
        <w:rPr>
          <w:rFonts w:ascii="Times New Roman" w:hAnsi="Times New Roman"/>
        </w:rPr>
      </w:pPr>
      <w:bookmarkStart w:id="12" w:name="_Toc393461953"/>
      <w:bookmarkStart w:id="13" w:name="_Toc524097222"/>
      <w:r>
        <w:rPr>
          <w:rFonts w:ascii="Times New Roman" w:hAnsi="Times New Roman"/>
        </w:rPr>
        <w:t>PARTE II: INSTRUÇÕES RESPEITANTES AOS MODELOS</w:t>
      </w:r>
      <w:bookmarkEnd w:id="12"/>
      <w:bookmarkEnd w:id="13"/>
    </w:p>
    <w:p w:rsidR="00F41B3A" w:rsidRPr="00384ADB" w:rsidRDefault="00F41B3A" w:rsidP="00EA549E">
      <w:pPr>
        <w:rPr>
          <w:rFonts w:ascii="Times New Roman" w:hAnsi="Times New Roman"/>
          <w:sz w:val="24"/>
        </w:rPr>
      </w:pPr>
      <w:r>
        <w:rPr>
          <w:rFonts w:ascii="Times New Roman" w:hAnsi="Times New Roman"/>
          <w:sz w:val="24"/>
        </w:rPr>
        <w:t>No presente anexo, as instruções relativas ao relato dos grandes riscos são também aplicáveis ao relato das posições em risco significativas exigido pelos artigos 9.º e 11.º, de acordo com o âmbito de aplicação d</w:t>
      </w:r>
      <w:r>
        <w:rPr>
          <w:rFonts w:ascii="Times New Roman" w:hAnsi="Times New Roman"/>
          <w:sz w:val="24"/>
        </w:rPr>
        <w:t>e</w:t>
      </w:r>
      <w:r>
        <w:rPr>
          <w:rFonts w:ascii="Times New Roman" w:hAnsi="Times New Roman"/>
          <w:sz w:val="24"/>
        </w:rPr>
        <w:t>finido nos mesmos.</w:t>
      </w:r>
    </w:p>
    <w:p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4" w:name="_Toc393461954"/>
      <w:bookmarkStart w:id="15" w:name="_Toc524097223"/>
      <w:r>
        <w:rPr>
          <w:rFonts w:ascii="Times New Roman" w:hAnsi="Times New Roman"/>
          <w:b/>
          <w:sz w:val="24"/>
          <w:u w:val="none"/>
        </w:rPr>
        <w:t>Âmbito e nível dos relatórios LE</w:t>
      </w:r>
      <w:bookmarkEnd w:id="14"/>
      <w:bookmarkEnd w:id="15"/>
    </w:p>
    <w:p w:rsidR="000F13EA" w:rsidRPr="0039317F" w:rsidRDefault="000F13EA" w:rsidP="0039317F">
      <w:pPr>
        <w:pStyle w:val="InstructionsText2"/>
        <w:numPr>
          <w:ilvl w:val="0"/>
          <w:numId w:val="27"/>
        </w:numPr>
        <w:rPr>
          <w:rFonts w:eastAsia="Arial"/>
        </w:rPr>
      </w:pPr>
      <w:r>
        <w:t>A fim de relatar informações sobre os grandes riscos sobre clientes ou grupos de clie</w:t>
      </w:r>
      <w:r>
        <w:t>n</w:t>
      </w:r>
      <w:r>
        <w:t xml:space="preserve">tes ligados entre si de acordo com o artigo 394.º, n.º 1, do Regulamento (UE) n.º 575/2013 («CRR») em base individual, as instituições devem utilizar os modelos LE1, LE2 e LE3. </w:t>
      </w:r>
    </w:p>
    <w:p w:rsidR="00B0191A" w:rsidRPr="0039317F" w:rsidRDefault="000F13EA" w:rsidP="0039317F">
      <w:pPr>
        <w:pStyle w:val="InstructionsText2"/>
        <w:rPr>
          <w:rFonts w:eastAsia="Arial"/>
        </w:rPr>
      </w:pPr>
      <w:r>
        <w:t>A fim de relatar informações relativas a grandes riscos sobre clientes ou grupos de clientes ligados entre si de acordo com o artigo 394.º, n.º 1, do CRR em base consolid</w:t>
      </w:r>
      <w:r>
        <w:t>a</w:t>
      </w:r>
      <w:r>
        <w:t xml:space="preserve">da, as instituições-mãe num Estado-Membro devem utilizar os modelos LE1, LE2 e LE3. </w:t>
      </w:r>
    </w:p>
    <w:p w:rsidR="00B0191A" w:rsidRPr="0039317F" w:rsidRDefault="00A11FB0" w:rsidP="000F0ADE">
      <w:pPr>
        <w:pStyle w:val="InstructionsText2"/>
        <w:rPr>
          <w:rFonts w:eastAsia="Arial"/>
        </w:rPr>
      </w:pPr>
      <w:r>
        <w:t>Todos os grandes riscos definidos de acordo com o artigo 392.º do CRR devem ser r</w:t>
      </w:r>
      <w:r>
        <w:t>e</w:t>
      </w:r>
      <w:r>
        <w:t xml:space="preserve">latados, incluindo os grandes riscos que não devem ser tidos em conta para efeitos do cumprimento dos limites relativos aos grandes riscos previstos no artigo 395.º do CRR. </w:t>
      </w:r>
    </w:p>
    <w:p w:rsidR="00B0191A" w:rsidRPr="0039317F" w:rsidRDefault="001C7BF0" w:rsidP="000F0ADE">
      <w:pPr>
        <w:pStyle w:val="InstructionsText2"/>
        <w:rPr>
          <w:rFonts w:eastAsia="Arial"/>
        </w:rPr>
      </w:pPr>
      <w:r>
        <w:t>A fim de relatar informações sobre os 20 maiores riscos sobre clientes ou grupos de clientes ligados entre si de acordo com o artigo 394.º, n.º 1, última frase, do CRR, em base consolidada, as instituições-mãe num Estado-Membro sujeitas à parte III, título II, capítulo 3, do CRR devem utilizar os modelos LE1, LE2 e LE3. O valor da posição em risco resultante da subtração do montante da coluna 320 («Mo</w:t>
      </w:r>
      <w:r>
        <w:t>n</w:t>
      </w:r>
      <w:r>
        <w:t xml:space="preserve">tantes isentos») do modelo LE2 ao montante da coluna 210 («Total») do mesmo modelo é o montante a utilizar para a determinação dessas 20 maiores posições em risco. </w:t>
      </w:r>
    </w:p>
    <w:p w:rsidR="00B0191A" w:rsidRPr="0039317F" w:rsidRDefault="00C1644D">
      <w:pPr>
        <w:pStyle w:val="InstructionsText2"/>
        <w:rPr>
          <w:rFonts w:eastAsia="Arial"/>
        </w:rPr>
      </w:pPr>
      <w:r>
        <w:t>A fim de relatar informações sobre os 10 maiores riscos sobre instituições e os 10 maiores riscos sobre entidades financeiras não reguladas de acordo com o artigo 394.º, n.º 2, alíneas a) a d), do CRR em b</w:t>
      </w:r>
      <w:r>
        <w:t>a</w:t>
      </w:r>
      <w:r>
        <w:t>se consolidada, as instituições-mãe num Estado-Membro devem util</w:t>
      </w:r>
      <w:r>
        <w:t>i</w:t>
      </w:r>
      <w:r>
        <w:t>zar os modelos LE1, LE2 e LE3. No relato da estrutura de prazos de vencimento dessas pos</w:t>
      </w:r>
      <w:r>
        <w:t>i</w:t>
      </w:r>
      <w:r>
        <w:t>ções em risco de acordo com o artigo 394.º, n.º 2, alínea e), do CRR, as instituições-mãe num Estado-Membro devem utilizar os modelos LE4 e LE5. O valor da posição em risco calculado na coluna 210 («Total») do modelo LE2 é o montante a util</w:t>
      </w:r>
      <w:r>
        <w:t>i</w:t>
      </w:r>
      <w:r>
        <w:t>zar na determinação dessas 20 maiores posições em risco.</w:t>
      </w:r>
    </w:p>
    <w:p w:rsidR="00B0191A" w:rsidRPr="0039317F" w:rsidRDefault="001E0F83">
      <w:pPr>
        <w:pStyle w:val="InstructionsText2"/>
        <w:rPr>
          <w:rFonts w:eastAsia="Arial"/>
        </w:rPr>
      </w:pPr>
      <w:r>
        <w:t>Os dados sobre os grandes riscos e as maiores posições em risco relevantes sobre os grupos de clientes ligados entre si e sobre clientes individuais que não pertencem a um grupo de clientes ligados entre si são relatados no modelo LE2 (no qual um grupo de clientes ligados e</w:t>
      </w:r>
      <w:r>
        <w:t>n</w:t>
      </w:r>
      <w:r>
        <w:t xml:space="preserve">tre si deve ser relatado como uma única posição em risco). </w:t>
      </w:r>
    </w:p>
    <w:p w:rsidR="00B0191A" w:rsidRPr="0039317F" w:rsidRDefault="008A4511">
      <w:pPr>
        <w:pStyle w:val="InstructionsText2"/>
        <w:rPr>
          <w:rFonts w:eastAsia="Arial"/>
        </w:rPr>
      </w:pPr>
      <w:r>
        <w:t>As instituições devem relatar no modelo LE3 os dados relativos às posições em risco sobre clientes individuais pertencentes a grupos de clientes ligados entre si, relatados no modelo LE2. O relato de uma posição em risco sobre um cliente individual no m</w:t>
      </w:r>
      <w:r>
        <w:t>o</w:t>
      </w:r>
      <w:r>
        <w:t xml:space="preserve">delo LE2 não deve ser duplicado no modelo LE3. </w:t>
      </w:r>
    </w:p>
    <w:p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6" w:name="_Toc393461955"/>
      <w:bookmarkStart w:id="17" w:name="_Toc524097224"/>
      <w:r>
        <w:rPr>
          <w:rFonts w:ascii="Times New Roman" w:hAnsi="Times New Roman"/>
          <w:b/>
          <w:sz w:val="24"/>
          <w:u w:val="none"/>
        </w:rPr>
        <w:t>Estrutura do modelo LE</w:t>
      </w:r>
      <w:bookmarkEnd w:id="16"/>
      <w:bookmarkEnd w:id="17"/>
    </w:p>
    <w:p w:rsidR="00A11EC0" w:rsidRPr="0039317F" w:rsidRDefault="00B945FE" w:rsidP="0039317F">
      <w:pPr>
        <w:pStyle w:val="InstructionsText2"/>
        <w:rPr>
          <w:rFonts w:eastAsia="Arial"/>
        </w:rPr>
      </w:pPr>
      <w:r>
        <w:t>As colunas do modelo LE1 devem apresentar as informações relativas à identificação dos clientes individuais ou dos grupos de clientes ligados entre si relativamente aos quais uma instituição tem uma p</w:t>
      </w:r>
      <w:r>
        <w:t>o</w:t>
      </w:r>
      <w:r>
        <w:t>sição em risco.</w:t>
      </w:r>
    </w:p>
    <w:p w:rsidR="00B0191A" w:rsidRPr="0039317F" w:rsidRDefault="009362E7" w:rsidP="0039317F">
      <w:pPr>
        <w:pStyle w:val="InstructionsText2"/>
        <w:rPr>
          <w:rFonts w:eastAsia="Arial"/>
        </w:rPr>
      </w:pPr>
      <w:r>
        <w:t>As colunas dos modelos LE2 e LE3 devem apresentar os seguintes blocos de inform</w:t>
      </w:r>
      <w:r>
        <w:t>a</w:t>
      </w:r>
      <w:r>
        <w:t xml:space="preserve">ção:   </w:t>
      </w:r>
    </w:p>
    <w:p w:rsidR="00B0191A" w:rsidRPr="0039317F" w:rsidRDefault="001E0F83" w:rsidP="000F0ADE">
      <w:pPr>
        <w:pStyle w:val="InstructionsText2"/>
        <w:numPr>
          <w:ilvl w:val="1"/>
          <w:numId w:val="15"/>
        </w:numPr>
        <w:rPr>
          <w:rFonts w:eastAsia="Arial"/>
        </w:rPr>
      </w:pPr>
      <w:r>
        <w:t>Valor da posição em risco antes da aplicação das isenções e da consideração do efeito da redução do risco de crédito, incluindo as posições em risco diretas e indiretas e posições em risco adicionais decorrentes de transações que incluem posições em ri</w:t>
      </w:r>
      <w:r>
        <w:t>s</w:t>
      </w:r>
      <w:r>
        <w:t>co sobre ativos subjacentes;</w:t>
      </w:r>
    </w:p>
    <w:p w:rsidR="00B0191A" w:rsidRPr="0039317F" w:rsidRDefault="001E0F83" w:rsidP="000F0ADE">
      <w:pPr>
        <w:pStyle w:val="InstructionsText2"/>
        <w:numPr>
          <w:ilvl w:val="1"/>
          <w:numId w:val="15"/>
        </w:numPr>
        <w:rPr>
          <w:rFonts w:eastAsia="Arial"/>
        </w:rPr>
      </w:pPr>
      <w:r>
        <w:t>Efeito das isenções e das técnicas de redução do risco de crédito;</w:t>
      </w:r>
    </w:p>
    <w:p w:rsidR="00B0191A" w:rsidRPr="0039317F" w:rsidRDefault="001E0F83">
      <w:pPr>
        <w:pStyle w:val="InstructionsText2"/>
        <w:numPr>
          <w:ilvl w:val="1"/>
          <w:numId w:val="15"/>
        </w:numPr>
        <w:rPr>
          <w:rFonts w:eastAsia="Arial"/>
        </w:rPr>
      </w:pPr>
      <w:r>
        <w:t xml:space="preserve">Valor das posições em risco após aplicação das isenções e tendo em conta o efeito da redução do risco de crédito calculado para efeitos do artigo 395.º, n.º 1, do CRR. </w:t>
      </w:r>
    </w:p>
    <w:p w:rsidR="00B0191A" w:rsidRPr="0039317F" w:rsidRDefault="00B4530A" w:rsidP="0039317F">
      <w:pPr>
        <w:pStyle w:val="InstructionsText2"/>
        <w:rPr>
          <w:rFonts w:eastAsia="Arial"/>
        </w:rPr>
      </w:pPr>
      <w:r>
        <w:t>As colunas dos modelos LE4 e LE5 devem apresentar as informações sobre os esc</w:t>
      </w:r>
      <w:r>
        <w:t>a</w:t>
      </w:r>
      <w:r>
        <w:t>lões de prazo de vencimento aos quais devem ser afetados os montantes esperados no vencimento das 10 maiores posições em risco sobre instituições e das 10 maiores posições em risco s</w:t>
      </w:r>
      <w:r>
        <w:t>o</w:t>
      </w:r>
      <w:r>
        <w:t xml:space="preserve">bre entidades do setor financeiro não reguladas. </w:t>
      </w:r>
    </w:p>
    <w:p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8" w:name="_Toc393461956"/>
      <w:bookmarkStart w:id="19" w:name="_Toc524097225"/>
      <w:r>
        <w:rPr>
          <w:rFonts w:ascii="Times New Roman" w:hAnsi="Times New Roman"/>
          <w:b/>
          <w:sz w:val="24"/>
          <w:u w:val="none"/>
        </w:rPr>
        <w:t>Definições e instruções gerais para efeitos do relato dos LE</w:t>
      </w:r>
      <w:bookmarkEnd w:id="18"/>
      <w:bookmarkEnd w:id="19"/>
    </w:p>
    <w:p w:rsidR="001E0F83" w:rsidRPr="0039317F" w:rsidRDefault="00B945FE" w:rsidP="0039317F">
      <w:pPr>
        <w:pStyle w:val="InstructionsText2"/>
        <w:rPr>
          <w:rFonts w:eastAsia="Arial"/>
        </w:rPr>
      </w:pPr>
      <w:r>
        <w:t>«Grupo de clientes ligados entre si» é definido no artigo 4.º, n.º 1, ponto 39, do CRR.</w:t>
      </w:r>
    </w:p>
    <w:p w:rsidR="00B0191A" w:rsidRPr="0039317F" w:rsidRDefault="00915A9C" w:rsidP="0039317F">
      <w:pPr>
        <w:pStyle w:val="InstructionsText2"/>
        <w:rPr>
          <w:rFonts w:eastAsia="Arial"/>
        </w:rPr>
      </w:pPr>
      <w:r>
        <w:t xml:space="preserve">«Entidades do setor financeiro não reguladas» é definido no artigo 142.º, n.º 1, ponto 5, do CRR.  </w:t>
      </w:r>
    </w:p>
    <w:p w:rsidR="00B0191A" w:rsidRPr="0039317F" w:rsidRDefault="00D441A7" w:rsidP="0039317F">
      <w:pPr>
        <w:pStyle w:val="InstructionsText2"/>
        <w:rPr>
          <w:rFonts w:eastAsia="Arial"/>
        </w:rPr>
      </w:pPr>
      <w:r>
        <w:t xml:space="preserve">«Instituições» é definido no artigo 4.º, n.º 1, ponto 3, do CRR.  </w:t>
      </w:r>
    </w:p>
    <w:p w:rsidR="00B0191A" w:rsidRPr="0039317F" w:rsidRDefault="009B34D1" w:rsidP="0039317F">
      <w:pPr>
        <w:pStyle w:val="InstructionsText2"/>
        <w:rPr>
          <w:rFonts w:eastAsia="Arial"/>
        </w:rPr>
      </w:pPr>
      <w:r>
        <w:t>As posições em risco sobre «associações de direito civil» devem ser relatadas. Além disso, as instituições devem acrescentar os montantes de crédito das associações de d</w:t>
      </w:r>
      <w:r>
        <w:t>i</w:t>
      </w:r>
      <w:r>
        <w:t>reito civil ao endividamento de cada sócio. As posições em risco sobre associações de direito civil estruturadas por quotas devem ser divididas ou afetadas aos sócios de acordo com as suas respetivas quotas. Certas construções (por exemplo, contas co</w:t>
      </w:r>
      <w:r>
        <w:t>n</w:t>
      </w:r>
      <w:r>
        <w:t xml:space="preserve">juntas, comunidades de herdeiros, empréstimos com intervenção de testas-de-ferro) que operam efetivamente como associações de direito civil têm de ser relatadas como tal. </w:t>
      </w:r>
    </w:p>
    <w:p w:rsidR="00910E26" w:rsidRPr="0039317F" w:rsidRDefault="00D441A7" w:rsidP="0039317F">
      <w:pPr>
        <w:pStyle w:val="InstructionsText2"/>
        <w:rPr>
          <w:rFonts w:eastAsia="Arial"/>
        </w:rPr>
      </w:pPr>
      <w:r>
        <w:t>Os ativos e os elementos extrapatrimoniais devem ser utilizados sem aplicação de co</w:t>
      </w:r>
      <w:r>
        <w:t>e</w:t>
      </w:r>
      <w:r>
        <w:t>ficientes de ponderação ou graus de risco de acordo com o artigo 389.º do CRR. Co</w:t>
      </w:r>
      <w:r>
        <w:t>n</w:t>
      </w:r>
      <w:r>
        <w:t>cretamente, não devem ser aplicados fatores de conversão de crédito aos elementos e</w:t>
      </w:r>
      <w:r>
        <w:t>x</w:t>
      </w:r>
      <w:r>
        <w:t>trapatrimoniais.</w:t>
      </w:r>
    </w:p>
    <w:p w:rsidR="00B0191A" w:rsidRPr="0039317F" w:rsidRDefault="0039317F" w:rsidP="0039317F">
      <w:pPr>
        <w:pStyle w:val="InstructionsText2"/>
        <w:rPr>
          <w:rFonts w:eastAsia="Arial"/>
        </w:rPr>
      </w:pPr>
      <w:r>
        <w:t xml:space="preserve"> «Riscos» é definido no artigo 389.º do CRR. </w:t>
      </w:r>
    </w:p>
    <w:p w:rsidR="00B0191A" w:rsidRPr="0039317F" w:rsidRDefault="001243C8" w:rsidP="0039317F">
      <w:pPr>
        <w:pStyle w:val="InstructionsText2"/>
        <w:numPr>
          <w:ilvl w:val="1"/>
          <w:numId w:val="15"/>
        </w:numPr>
        <w:rPr>
          <w:rFonts w:eastAsia="Arial"/>
        </w:rPr>
      </w:pPr>
      <w:r>
        <w:t>Quaisquer ativos ou elementos extrapatrimoniais da carteira de negociação e extra carteira de negociação, incluindo os elementos referidos no artigo 400.º do CRR mas excluindo os elementos abrangidos pelo artigo 390.º, n.º 6, al</w:t>
      </w:r>
      <w:r>
        <w:t>í</w:t>
      </w:r>
      <w:r>
        <w:t xml:space="preserve">neas a) a d), do CRR. </w:t>
      </w:r>
    </w:p>
    <w:p w:rsidR="00B0191A" w:rsidRPr="0039317F" w:rsidRDefault="00AB5AE4" w:rsidP="000F0ADE">
      <w:pPr>
        <w:pStyle w:val="InstructionsText2"/>
        <w:numPr>
          <w:ilvl w:val="1"/>
          <w:numId w:val="15"/>
        </w:numPr>
        <w:rPr>
          <w:rFonts w:eastAsia="Arial"/>
        </w:rPr>
      </w:pPr>
      <w:r>
        <w:t xml:space="preserve">«Posições em risco indiretas» são as posições em risco afetadas ao garante ou ao emitente da garantia e não ao mutuário imediato de acordo com o artigo 403.º do CRR. </w:t>
      </w:r>
      <w:r>
        <w:rPr>
          <w:i/>
        </w:rPr>
        <w:t>As definições aqui previstas não podem, de forma alguma, diferir das defin</w:t>
      </w:r>
      <w:r>
        <w:rPr>
          <w:i/>
        </w:rPr>
        <w:t>i</w:t>
      </w:r>
      <w:r>
        <w:rPr>
          <w:i/>
        </w:rPr>
        <w:t>ções previstas no ato de base.</w:t>
      </w:r>
      <w:r>
        <w:t>]</w:t>
      </w:r>
    </w:p>
    <w:p w:rsidR="00B0191A" w:rsidRPr="0039317F" w:rsidRDefault="00F40CD9" w:rsidP="0039317F">
      <w:pPr>
        <w:pStyle w:val="InstructionsText2"/>
        <w:rPr>
          <w:rFonts w:eastAsia="Arial"/>
        </w:rPr>
      </w:pPr>
      <w:r>
        <w:t>As posições em risco sobre grupos de clientes ligados entre si são calculadas de aco</w:t>
      </w:r>
      <w:r>
        <w:t>r</w:t>
      </w:r>
      <w:r>
        <w:t>do com o artigo 390.º, n.º 5.</w:t>
      </w:r>
    </w:p>
    <w:p w:rsidR="0008722B" w:rsidRPr="0039317F" w:rsidRDefault="008645CF" w:rsidP="0039317F">
      <w:pPr>
        <w:pStyle w:val="InstructionsText2"/>
        <w:rPr>
          <w:rFonts w:eastAsia="Arial"/>
        </w:rPr>
      </w:pPr>
      <w:r>
        <w:t>É permitido que os «acordos de compensação» sejam considerados para efeitos do v</w:t>
      </w:r>
      <w:r>
        <w:t>a</w:t>
      </w:r>
      <w:r>
        <w:t>lor dos grandes riscos, como previsto no artigo 390.º, n.</w:t>
      </w:r>
      <w:r>
        <w:rPr>
          <w:vertAlign w:val="superscript"/>
        </w:rPr>
        <w:t>os</w:t>
      </w:r>
      <w:r>
        <w:t> 1, 2 e 3, do CRR. O valor da posição em risco de um instrumento derivado referido no anexo II do CRR deve ser determinado em conformidade com a parte III, título II, capítulo 6, sendo os efeitos dos contratos de novação e outros acordos de compensação considerados para efeitos desses métodos em conformidade com a parte III, título II, capítulo 6, do CRR. O valor da posição em risco de operações de recompra, contração ou concessão de empré</w:t>
      </w:r>
      <w:r>
        <w:t>s</w:t>
      </w:r>
      <w:r>
        <w:t>timos de valores mobiliários ou de mercadorias, operações de liquidação longa e op</w:t>
      </w:r>
      <w:r>
        <w:t>e</w:t>
      </w:r>
      <w:r>
        <w:t>rações de empréstimo com imposição de margens pode ser determinado em conform</w:t>
      </w:r>
      <w:r>
        <w:t>i</w:t>
      </w:r>
      <w:r>
        <w:t>dade com a parte III, título II, capítulo 4 ou capítulo 6 do CRR. De acordo com o art</w:t>
      </w:r>
      <w:r>
        <w:t>i</w:t>
      </w:r>
      <w:r>
        <w:t>go 296.º do CRR, o valor das posições em risco de uma obrigação jurídica única d</w:t>
      </w:r>
      <w:r>
        <w:t>e</w:t>
      </w:r>
      <w:r>
        <w:t>corrente de acordos cruzados de compensação contratual multiproduto com uma co</w:t>
      </w:r>
      <w:r>
        <w:t>n</w:t>
      </w:r>
      <w:r>
        <w:t>traparte da instituição que relata deve ser relatado como «outros compromissos» nos modelos LE.</w:t>
      </w:r>
    </w:p>
    <w:p w:rsidR="00AB28E2" w:rsidRPr="0039317F" w:rsidRDefault="001E0F83" w:rsidP="0039317F">
      <w:pPr>
        <w:pStyle w:val="InstructionsText2"/>
        <w:rPr>
          <w:rFonts w:eastAsia="Arial"/>
        </w:rPr>
      </w:pPr>
      <w:r>
        <w:t>O «Valor de uma posição em risco» deve ser calculado de acordo com o artigo 390.º do CRR.</w:t>
      </w:r>
    </w:p>
    <w:p w:rsidR="00B0191A" w:rsidRPr="0039317F" w:rsidRDefault="001E0F83" w:rsidP="0039317F">
      <w:pPr>
        <w:pStyle w:val="InstructionsText2"/>
        <w:rPr>
          <w:rFonts w:eastAsia="Arial"/>
        </w:rPr>
      </w:pPr>
      <w:r>
        <w:t xml:space="preserve">O efeito da aplicação total ou parcial das isenções e técnicas de redução do risco de crédito (CRM) elegíveis no cálculo dos riscos para efeitos do artigo 395.º, n.º 1, do CRR é descrito nos artigos 399.º a 403.º do mesmo CRR. </w:t>
      </w:r>
    </w:p>
    <w:p w:rsidR="00AB28E2" w:rsidRPr="0039317F" w:rsidRDefault="0017740A" w:rsidP="0039317F">
      <w:pPr>
        <w:pStyle w:val="InstructionsText2"/>
        <w:rPr>
          <w:rFonts w:eastAsia="Arial"/>
        </w:rPr>
      </w:pPr>
      <w:r>
        <w:t>As operações de compra com acordo de revenda abrangidas pelo relato dos grandes riscos devem ser relatadas de acordo com o artigo 402.º, n.º 3, do CRR. Se estiverem preenchidos os critérios do artigo 402.º, n.º 3, do CRR, a instituição deve relatar os grandes riscos sobre cada terceiro utilizando o montante do crédito que a contraparte na operação tem perante tal terceiro e não o montante da posição em risco perante a contraparte.</w:t>
      </w:r>
    </w:p>
    <w:p w:rsidR="00B0191A" w:rsidRPr="00384ADB" w:rsidRDefault="00B0191A" w:rsidP="00FD4656">
      <w:pPr>
        <w:rPr>
          <w:rFonts w:eastAsia="Arial"/>
        </w:rPr>
      </w:pPr>
    </w:p>
    <w:p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20" w:name="_Toc393461957"/>
      <w:bookmarkStart w:id="21" w:name="_Toc524097226"/>
      <w:r>
        <w:rPr>
          <w:rFonts w:ascii="Times New Roman" w:hAnsi="Times New Roman"/>
          <w:b/>
          <w:sz w:val="24"/>
          <w:u w:val="none"/>
        </w:rPr>
        <w:t>C 26.00 - Modelo de limites LE</w:t>
      </w:r>
      <w:bookmarkEnd w:id="20"/>
      <w:bookmarkEnd w:id="21"/>
    </w:p>
    <w:p w:rsidR="00C83135" w:rsidRPr="00384ADB" w:rsidRDefault="00C83135" w:rsidP="00C52CE2">
      <w:pPr>
        <w:pStyle w:val="Instructionsberschrift2"/>
        <w:numPr>
          <w:ilvl w:val="1"/>
          <w:numId w:val="22"/>
        </w:numPr>
        <w:rPr>
          <w:rFonts w:ascii="Times New Roman" w:hAnsi="Times New Roman" w:cs="Times New Roman"/>
          <w:sz w:val="24"/>
        </w:rPr>
      </w:pPr>
      <w:bookmarkStart w:id="22" w:name="_Toc393461958"/>
      <w:bookmarkStart w:id="23" w:name="_Toc524097227"/>
      <w:r>
        <w:rPr>
          <w:rFonts w:ascii="Times New Roman" w:hAnsi="Times New Roman"/>
          <w:sz w:val="24"/>
        </w:rPr>
        <w:t>Instruções sobre linhas específicas</w:t>
      </w:r>
      <w:bookmarkEnd w:id="22"/>
      <w:bookmarkEnd w:id="23"/>
    </w:p>
    <w:p w:rsidR="00C83135" w:rsidRPr="00384ADB"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rsidTr="00C83135">
        <w:tc>
          <w:tcPr>
            <w:tcW w:w="1418" w:type="dxa"/>
            <w:shd w:val="clear" w:color="auto" w:fill="D9D9D9"/>
          </w:tcPr>
          <w:p w:rsidR="00C83135" w:rsidRPr="00384ADB" w:rsidRDefault="00C8313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Linhas</w:t>
            </w:r>
          </w:p>
        </w:tc>
        <w:tc>
          <w:tcPr>
            <w:tcW w:w="7620" w:type="dxa"/>
            <w:shd w:val="clear" w:color="auto" w:fill="D9D9D9"/>
          </w:tcPr>
          <w:p w:rsidR="00B0191A" w:rsidRPr="00384ADB" w:rsidRDefault="00C8313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Referências jurídicas e instruções</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702E1B" w:rsidRPr="00384ADB" w:rsidRDefault="00702E1B"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Entidades que não são instituições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2F103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395.º, n.º 1, artigo 458.º, n.º 2, alínea d), subalínea ii), artigo 458.º, n.º 10, e artigo 459.º, alínea b), do CRR.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702E1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do limite aplicável a contrapartes que não sejam instituições deve ser relatado. Este montante é de 25 % dos fundos próprios elegíveis, rel</w:t>
            </w:r>
            <w:r>
              <w:rPr>
                <w:rStyle w:val="FormatvorlageInstructionsTabelleText"/>
                <w:rFonts w:ascii="Times New Roman" w:hAnsi="Times New Roman"/>
                <w:sz w:val="24"/>
              </w:rPr>
              <w:t>a</w:t>
            </w:r>
            <w:r>
              <w:rPr>
                <w:rStyle w:val="FormatvorlageInstructionsTabelleText"/>
                <w:rFonts w:ascii="Times New Roman" w:hAnsi="Times New Roman"/>
                <w:sz w:val="24"/>
              </w:rPr>
              <w:t>tados na linha 226 do modelo 4 do anexo I, a menos que se aplique uma pe</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centagem mais restritiva devido à aplicação de medidas nacionais de acordo com o artigo 458.º do CRR ou com atos delegados estabelecidos de acordo com o artigo 459.º, alínea b), do CRR. </w:t>
            </w:r>
          </w:p>
          <w:p w:rsidR="00B0191A" w:rsidRPr="00384ADB" w:rsidRDefault="002F4A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 </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C83135"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Instituições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395.º, n.º 1, artigo 458.º, n.º 2, alínea d), subalínea ii), artigo 458.º, n.º 10, e artigo 459.º, alínea b), do CRR.</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do limite aplicável às contrapartes que são instituições deve ser relatado. De acordo com o artigo 395.º, n.º 1, do CRR este montante deve ser: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se 25 % do capital elegível for maior do que 150 milhões de EUR (ou um limite inferior a 150 milhões de EUR estabelecido pela aut</w:t>
            </w:r>
            <w:r>
              <w:rPr>
                <w:rStyle w:val="FormatvorlageInstructionsTabelleText"/>
                <w:rFonts w:ascii="Times New Roman" w:hAnsi="Times New Roman"/>
                <w:sz w:val="24"/>
              </w:rPr>
              <w:t>o</w:t>
            </w:r>
            <w:r>
              <w:rPr>
                <w:rStyle w:val="FormatvorlageInstructionsTabelleText"/>
                <w:rFonts w:ascii="Times New Roman" w:hAnsi="Times New Roman"/>
                <w:sz w:val="24"/>
              </w:rPr>
              <w:t>ridade competente de acordo com o artigo 395.º, n.º 1, terceiro par</w:t>
            </w:r>
            <w:r>
              <w:rPr>
                <w:rStyle w:val="FormatvorlageInstructionsTabelleText"/>
                <w:rFonts w:ascii="Times New Roman" w:hAnsi="Times New Roman"/>
                <w:sz w:val="24"/>
              </w:rPr>
              <w:t>á</w:t>
            </w:r>
            <w:r>
              <w:rPr>
                <w:rStyle w:val="FormatvorlageInstructionsTabelleText"/>
                <w:rFonts w:ascii="Times New Roman" w:hAnsi="Times New Roman"/>
                <w:sz w:val="24"/>
              </w:rPr>
              <w:t>grafo, do CRR) deve ser relatado 25 % do capital elegível.</w:t>
            </w:r>
          </w:p>
          <w:p w:rsidR="00704405" w:rsidRPr="00384ADB" w:rsidRDefault="00704405">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se o valor de 150 milhões de EUR (ou um limite inferior estabelec</w:t>
            </w:r>
            <w:r>
              <w:rPr>
                <w:rStyle w:val="FormatvorlageInstructionsTabelleText"/>
                <w:rFonts w:ascii="Times New Roman" w:hAnsi="Times New Roman"/>
                <w:sz w:val="24"/>
              </w:rPr>
              <w:t>i</w:t>
            </w:r>
            <w:r>
              <w:rPr>
                <w:rStyle w:val="FormatvorlageInstructionsTabelleText"/>
                <w:rFonts w:ascii="Times New Roman" w:hAnsi="Times New Roman"/>
                <w:sz w:val="24"/>
              </w:rPr>
              <w:t>do pela autoridade competente de acordo com o artigo 395.º, n.º 1, te</w:t>
            </w:r>
            <w:r>
              <w:rPr>
                <w:rStyle w:val="FormatvorlageInstructionsTabelleText"/>
                <w:rFonts w:ascii="Times New Roman" w:hAnsi="Times New Roman"/>
                <w:sz w:val="24"/>
              </w:rPr>
              <w:t>r</w:t>
            </w:r>
            <w:r>
              <w:rPr>
                <w:rStyle w:val="FormatvorlageInstructionsTabelleText"/>
                <w:rFonts w:ascii="Times New Roman" w:hAnsi="Times New Roman"/>
                <w:sz w:val="24"/>
              </w:rPr>
              <w:t>ceiro parágrafo, do CRR) for maior do que 25 % do capital elegível da instituição, deve ser relatado o valor de 150 milhões de EUR (ou o limite inferior estabelecido pela autoridade competente). Se a inst</w:t>
            </w:r>
            <w:r>
              <w:rPr>
                <w:rStyle w:val="FormatvorlageInstructionsTabelleText"/>
                <w:rFonts w:ascii="Times New Roman" w:hAnsi="Times New Roman"/>
                <w:sz w:val="24"/>
              </w:rPr>
              <w:t>i</w:t>
            </w:r>
            <w:r>
              <w:rPr>
                <w:rStyle w:val="FormatvorlageInstructionsTabelleText"/>
                <w:rFonts w:ascii="Times New Roman" w:hAnsi="Times New Roman"/>
                <w:sz w:val="24"/>
              </w:rPr>
              <w:t>tuição tiver determinado um limite inferior em termos dos seus fu</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dos próprios elegíveis, requeridos pelo artigo 395.º, n.º 1, segundo parágrafo, do CRR, deve ser relatado esse limite inferior. </w:t>
            </w:r>
          </w:p>
          <w:p w:rsidR="007F3F93" w:rsidRPr="00384ADB" w:rsidRDefault="007F3F93">
            <w:pPr>
              <w:pStyle w:val="InstructionsText"/>
              <w:rPr>
                <w:rStyle w:val="FormatvorlageInstructionsTabelleText"/>
                <w:rFonts w:ascii="Times New Roman" w:hAnsi="Times New Roman"/>
                <w:sz w:val="24"/>
              </w:rPr>
            </w:pPr>
          </w:p>
          <w:p w:rsidR="007F3F93"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Estes limites podem ser mais estritos em caso de aplicação de medidas nac</w:t>
            </w:r>
            <w:r>
              <w:rPr>
                <w:rStyle w:val="FormatvorlageInstructionsTabelleText"/>
                <w:rFonts w:ascii="Times New Roman" w:hAnsi="Times New Roman"/>
                <w:sz w:val="24"/>
              </w:rPr>
              <w:t>i</w:t>
            </w:r>
            <w:r>
              <w:rPr>
                <w:rStyle w:val="FormatvorlageInstructionsTabelleText"/>
                <w:rFonts w:ascii="Times New Roman" w:hAnsi="Times New Roman"/>
                <w:sz w:val="24"/>
              </w:rPr>
              <w:t>onais de acordo com o artigo 395.º, n.º 6, do CRR, com o artigo 458.º do CRR ou com atos delegados estabelecidos em conformidade com o artigo 459.º, alínea b), do CRR.</w:t>
            </w:r>
          </w:p>
          <w:p w:rsidR="00B0191A" w:rsidRPr="00384ADB" w:rsidRDefault="00B0191A">
            <w:pPr>
              <w:pStyle w:val="InstructionsText"/>
              <w:rPr>
                <w:rStyle w:val="FormatvorlageInstructionsTabelleText"/>
                <w:rFonts w:ascii="Times New Roman" w:hAnsi="Times New Roman"/>
                <w:sz w:val="24"/>
              </w:rPr>
            </w:pP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702E1B"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Instituições em %</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395.º, n.º 1, e artigo 459.º, alínea a), do CRR.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586D8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é o limite absoluto (relatado na linha 020) expresso em percentagem dos fundos próprios elegíveis.</w:t>
            </w:r>
          </w:p>
          <w:p w:rsidR="00B0191A" w:rsidRPr="00384ADB" w:rsidRDefault="00B0191A">
            <w:pPr>
              <w:pStyle w:val="InstructionsText"/>
              <w:rPr>
                <w:rStyle w:val="FormatvorlageInstructionsTabelleText"/>
                <w:rFonts w:ascii="Times New Roman" w:hAnsi="Times New Roman"/>
                <w:b/>
                <w:sz w:val="24"/>
              </w:rPr>
            </w:pPr>
          </w:p>
        </w:tc>
      </w:tr>
    </w:tbl>
    <w:p w:rsidR="00C83135" w:rsidRPr="00384ADB" w:rsidRDefault="00C83135" w:rsidP="0039317F">
      <w:pPr>
        <w:pStyle w:val="InstructionsText"/>
      </w:pPr>
    </w:p>
    <w:p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24" w:name="_Toc393461959"/>
      <w:bookmarkStart w:id="25" w:name="_Toc524097228"/>
      <w:r>
        <w:rPr>
          <w:rFonts w:ascii="Times New Roman" w:hAnsi="Times New Roman"/>
          <w:b/>
          <w:sz w:val="24"/>
          <w:u w:val="none"/>
        </w:rPr>
        <w:t>C 27.00 - Identificação da contraparte (modelo LE1)</w:t>
      </w:r>
      <w:bookmarkEnd w:id="24"/>
      <w:bookmarkEnd w:id="25"/>
    </w:p>
    <w:p w:rsidR="00634B45" w:rsidRPr="00384ADB" w:rsidRDefault="00634B45" w:rsidP="00C52CE2">
      <w:pPr>
        <w:pStyle w:val="Instructionsberschrift2"/>
        <w:numPr>
          <w:ilvl w:val="1"/>
          <w:numId w:val="22"/>
        </w:numPr>
        <w:rPr>
          <w:rFonts w:ascii="Times New Roman" w:hAnsi="Times New Roman" w:cs="Times New Roman"/>
          <w:sz w:val="24"/>
        </w:rPr>
      </w:pPr>
      <w:bookmarkStart w:id="26" w:name="_Toc393461960"/>
      <w:bookmarkStart w:id="27" w:name="_Toc524097229"/>
      <w:r>
        <w:rPr>
          <w:rFonts w:ascii="Times New Roman" w:hAnsi="Times New Roman"/>
          <w:sz w:val="24"/>
        </w:rPr>
        <w:t>Instruções relativas a colunas específicas</w:t>
      </w:r>
      <w:bookmarkEnd w:id="26"/>
      <w:bookmarkEnd w:id="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rsidTr="00634B45">
        <w:tc>
          <w:tcPr>
            <w:tcW w:w="1418" w:type="dxa"/>
            <w:shd w:val="clear" w:color="auto" w:fill="D9D9D9"/>
          </w:tcPr>
          <w:p w:rsidR="00634B45" w:rsidRPr="00384ADB" w:rsidRDefault="00634B4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Coluna</w:t>
            </w:r>
          </w:p>
        </w:tc>
        <w:tc>
          <w:tcPr>
            <w:tcW w:w="7620" w:type="dxa"/>
            <w:shd w:val="clear" w:color="auto" w:fill="D9D9D9"/>
          </w:tcPr>
          <w:p w:rsidR="00634B45" w:rsidRPr="00384ADB" w:rsidRDefault="00634B4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Referências jurídicas e instruções</w:t>
            </w:r>
          </w:p>
        </w:tc>
      </w:tr>
      <w:tr w:rsidR="00634B45" w:rsidRPr="00384ADB" w:rsidTr="00634B45">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Identificação da contraparte:</w:t>
            </w:r>
          </w:p>
          <w:p w:rsidR="00B0191A" w:rsidRPr="0039317F" w:rsidRDefault="00B0191A" w:rsidP="0039317F">
            <w:pPr>
              <w:pStyle w:val="InstructionsText"/>
              <w:rPr>
                <w:rStyle w:val="FormatvorlageInstructionsTabelleText"/>
                <w:rFonts w:ascii="Times New Roman" w:hAnsi="Times New Roman"/>
                <w:b/>
                <w:sz w:val="24"/>
              </w:rPr>
            </w:pPr>
          </w:p>
          <w:p w:rsidR="00290EFB" w:rsidRPr="0039317F" w:rsidRDefault="0031054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instituições devem relatar a identificação de qualquer contraparte sobre a qual são comunicadas informações num dos modelos C 28.00 a C 31.00. A identificação de um grupo de clientes ligados entre si não constará do r</w:t>
            </w:r>
            <w:r>
              <w:rPr>
                <w:rStyle w:val="FormatvorlageInstructionsTabelleText"/>
                <w:rFonts w:ascii="Times New Roman" w:hAnsi="Times New Roman"/>
                <w:sz w:val="24"/>
              </w:rPr>
              <w:t>e</w:t>
            </w:r>
            <w:r>
              <w:rPr>
                <w:rStyle w:val="FormatvorlageInstructionsTabelleText"/>
                <w:rFonts w:ascii="Times New Roman" w:hAnsi="Times New Roman"/>
                <w:sz w:val="24"/>
              </w:rPr>
              <w:t>lato, salvo se o sistema nacional de relato estabelecer um código único para o grupo de clientes ligados entre si.</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acordo com o artigo 394.º, n.º 1, alínea a), do CRR, as instituições d</w:t>
            </w:r>
            <w:r>
              <w:rPr>
                <w:rStyle w:val="FormatvorlageInstructionsTabelleText"/>
                <w:rFonts w:ascii="Times New Roman" w:hAnsi="Times New Roman"/>
                <w:sz w:val="24"/>
              </w:rPr>
              <w:t>e</w:t>
            </w:r>
            <w:r>
              <w:rPr>
                <w:rStyle w:val="FormatvorlageInstructionsTabelleText"/>
                <w:rFonts w:ascii="Times New Roman" w:hAnsi="Times New Roman"/>
                <w:sz w:val="24"/>
              </w:rPr>
              <w:t>vem relatar a identificação das contrapartes em relação às qua</w:t>
            </w:r>
            <w:r>
              <w:t>is tenham um gra</w:t>
            </w:r>
            <w:r>
              <w:t>n</w:t>
            </w:r>
            <w:r>
              <w:t xml:space="preserve">de risco como definido no artigo 392.º do CRR. </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acordo com o artigo 394.º, n.º 2, alínea a), do CRR, as instituições d</w:t>
            </w:r>
            <w:r>
              <w:rPr>
                <w:rStyle w:val="FormatvorlageInstructionsTabelleText"/>
                <w:rFonts w:ascii="Times New Roman" w:hAnsi="Times New Roman"/>
                <w:sz w:val="24"/>
              </w:rPr>
              <w:t>e</w:t>
            </w:r>
            <w:r>
              <w:rPr>
                <w:rStyle w:val="FormatvorlageInstructionsTabelleText"/>
                <w:rFonts w:ascii="Times New Roman" w:hAnsi="Times New Roman"/>
                <w:sz w:val="24"/>
              </w:rPr>
              <w:t>vem relatar a identificação das contrapartes relativamente às quais têm as maiores posições em risco (nos casos em que as contrapartes sejam uma instituição ou uma entidade financeira não regulada).</w:t>
            </w:r>
          </w:p>
          <w:p w:rsidR="00B0191A" w:rsidRPr="00384ADB" w:rsidRDefault="00B0191A">
            <w:pPr>
              <w:pStyle w:val="InstructionsText"/>
              <w:rPr>
                <w:rStyle w:val="InstructionsTabelleberschrift"/>
                <w:rFonts w:ascii="Times New Roman" w:hAnsi="Times New Roman"/>
                <w:b w:val="0"/>
                <w:sz w:val="24"/>
                <w:u w:val="none"/>
              </w:rPr>
            </w:pPr>
          </w:p>
        </w:tc>
      </w:tr>
      <w:tr w:rsidR="00CA42A9" w:rsidRPr="00384ADB" w:rsidTr="00186D4E">
        <w:trPr>
          <w:trHeight w:val="992"/>
        </w:trPr>
        <w:tc>
          <w:tcPr>
            <w:tcW w:w="1418" w:type="dxa"/>
          </w:tcPr>
          <w:p w:rsidR="00CA42A9"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CA42A9" w:rsidRPr="00384ADB" w:rsidRDefault="00CA42A9"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rsidR="00B0191A" w:rsidRPr="00384ADB" w:rsidRDefault="00B0191A" w:rsidP="0039317F">
            <w:pPr>
              <w:pStyle w:val="InstructionsText"/>
              <w:rPr>
                <w:rStyle w:val="FormatvorlageInstructionsTabelleText"/>
                <w:rFonts w:ascii="Times New Roman" w:hAnsi="Times New Roman"/>
                <w:sz w:val="24"/>
              </w:rPr>
            </w:pPr>
          </w:p>
          <w:p w:rsidR="00296D72" w:rsidRPr="00384ADB" w:rsidRDefault="00296D72"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Este código identifica uma linha e deve ser único para cada linha da tabela.</w:t>
            </w:r>
          </w:p>
          <w:p w:rsidR="00296D72" w:rsidRDefault="00296D72">
            <w:pPr>
              <w:pStyle w:val="InstructionsText"/>
              <w:rPr>
                <w:rStyle w:val="FormatvorlageInstructionsTabelleText"/>
                <w:rFonts w:ascii="Times New Roman" w:hAnsi="Times New Roman"/>
                <w:sz w:val="24"/>
              </w:rPr>
            </w:pPr>
          </w:p>
          <w:p w:rsidR="00290EFB" w:rsidRPr="00384ADB" w:rsidRDefault="00290EF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código deve ser utilizado para identificar a contraparte individual. No entanto, o objetivo desta coluna é estabelecer a ligação entre os dados respe</w:t>
            </w:r>
            <w:r>
              <w:rPr>
                <w:rStyle w:val="FormatvorlageInstructionsTabelleText"/>
                <w:rFonts w:ascii="Times New Roman" w:hAnsi="Times New Roman"/>
                <w:sz w:val="24"/>
              </w:rPr>
              <w:t>i</w:t>
            </w:r>
            <w:r>
              <w:rPr>
                <w:rStyle w:val="FormatvorlageInstructionsTabelleText"/>
                <w:rFonts w:ascii="Times New Roman" w:hAnsi="Times New Roman"/>
                <w:sz w:val="24"/>
              </w:rPr>
              <w:t>tantes a uma contraparte no modelo C 27.00 e as posições em risco relat</w:t>
            </w:r>
            <w:r>
              <w:rPr>
                <w:rStyle w:val="FormatvorlageInstructionsTabelleText"/>
                <w:rFonts w:ascii="Times New Roman" w:hAnsi="Times New Roman"/>
                <w:sz w:val="24"/>
              </w:rPr>
              <w:t>a</w:t>
            </w:r>
            <w:r>
              <w:rPr>
                <w:rStyle w:val="FormatvorlageInstructionsTabelleText"/>
                <w:rFonts w:ascii="Times New Roman" w:hAnsi="Times New Roman"/>
                <w:sz w:val="24"/>
              </w:rPr>
              <w:t>das nos modelos C 28.00 – C 31.00. O código de um grupo de clientes ligados entre si não deve constar do relato, salvo se o sistema nacional de relato e</w:t>
            </w:r>
            <w:r>
              <w:rPr>
                <w:rStyle w:val="FormatvorlageInstructionsTabelleText"/>
                <w:rFonts w:ascii="Times New Roman" w:hAnsi="Times New Roman"/>
                <w:sz w:val="24"/>
              </w:rPr>
              <w:t>s</w:t>
            </w:r>
            <w:r>
              <w:rPr>
                <w:rStyle w:val="FormatvorlageInstructionsTabelleText"/>
                <w:rFonts w:ascii="Times New Roman" w:hAnsi="Times New Roman"/>
                <w:sz w:val="24"/>
              </w:rPr>
              <w:t>tabelecer um código único para o grupo de clientes ligados entre si. Este c</w:t>
            </w:r>
            <w:r>
              <w:rPr>
                <w:rStyle w:val="FormatvorlageInstructionsTabelleText"/>
                <w:rFonts w:ascii="Times New Roman" w:hAnsi="Times New Roman"/>
                <w:sz w:val="24"/>
              </w:rPr>
              <w:t>ó</w:t>
            </w:r>
            <w:r>
              <w:rPr>
                <w:rStyle w:val="FormatvorlageInstructionsTabelleText"/>
                <w:rFonts w:ascii="Times New Roman" w:hAnsi="Times New Roman"/>
                <w:sz w:val="24"/>
              </w:rPr>
              <w:t>digo deve ser utilizado de forma coerente ao longo do tempo.</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CA42A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composição do código depende do sistema de relato nacional, a menos que esteja disponível na União uma codificação uniforme.</w:t>
            </w:r>
          </w:p>
          <w:p w:rsidR="00264B52" w:rsidRPr="00384ADB" w:rsidRDefault="00264B52">
            <w:pPr>
              <w:pStyle w:val="InstructionsText"/>
              <w:rPr>
                <w:rStyle w:val="InstructionsTabelleberschrift"/>
                <w:rFonts w:ascii="Times New Roman" w:hAnsi="Times New Roman"/>
                <w:sz w:val="24"/>
              </w:rPr>
            </w:pPr>
          </w:p>
        </w:tc>
      </w:tr>
      <w:tr w:rsidR="00634B45" w:rsidRPr="00384ADB" w:rsidTr="0039317F">
        <w:trPr>
          <w:trHeight w:val="60"/>
        </w:trPr>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Nome</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634B45"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Sempre que o relato disser respeito a um grupo de clientes ligados entre si, o nome deve corresponder ao nome do grupo. Nos restantes casos, o nome d</w:t>
            </w:r>
            <w:r>
              <w:rPr>
                <w:rStyle w:val="FormatvorlageInstructionsTabelleText"/>
                <w:rFonts w:ascii="Times New Roman" w:hAnsi="Times New Roman"/>
                <w:sz w:val="24"/>
              </w:rPr>
              <w:t>e</w:t>
            </w:r>
            <w:r>
              <w:rPr>
                <w:rStyle w:val="FormatvorlageInstructionsTabelleText"/>
                <w:rFonts w:ascii="Times New Roman" w:hAnsi="Times New Roman"/>
                <w:sz w:val="24"/>
              </w:rPr>
              <w:t>ve corresponder à contraparte individual.</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 que se refere a um grupo de clientes ligados entre si, o nome a relatar é o nome da empresa-mãe ou, quando o grupo de clientes ligados entre si não tem uma empresa-mãe, o nome comercial do grupo.</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LEI</w:t>
            </w:r>
          </w:p>
          <w:p w:rsidR="00B0191A" w:rsidRPr="00384ADB" w:rsidRDefault="00B0191A" w:rsidP="0039317F">
            <w:pPr>
              <w:pStyle w:val="InstructionsText"/>
              <w:rPr>
                <w:rStyle w:val="InstructionsTabelleberschrif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Código identificador de entidade jurídica da contraparte. </w:t>
            </w:r>
          </w:p>
          <w:p w:rsidR="00B0191A" w:rsidRPr="00384ADB" w:rsidRDefault="00B0191A">
            <w:pPr>
              <w:pStyle w:val="InstructionsText"/>
              <w:rPr>
                <w:rStyle w:val="InstructionsTabelleberschrift"/>
                <w:rFonts w:ascii="Times New Roman" w:hAnsi="Times New Roman"/>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Residência da contraparte</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8927C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Deve utilizar-se o código ISO 3166-1-alfa-2 do país de constituição da contraparte (incluindo os códigos pseudo-ISO para organizações internaci</w:t>
            </w:r>
            <w:r>
              <w:rPr>
                <w:rStyle w:val="FormatvorlageInstructionsTabelleText"/>
                <w:rFonts w:ascii="Times New Roman" w:hAnsi="Times New Roman"/>
                <w:sz w:val="24"/>
              </w:rPr>
              <w:t>o</w:t>
            </w:r>
            <w:r>
              <w:rPr>
                <w:rStyle w:val="FormatvorlageInstructionsTabelleText"/>
                <w:rFonts w:ascii="Times New Roman" w:hAnsi="Times New Roman"/>
                <w:sz w:val="24"/>
              </w:rPr>
              <w:t>nais, disponíveis na última edição do «Vademecum da Balança de Pag</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mentos» do Eurostat).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 caso de grupos de clientes ligados entre si, não deve ser relatada a res</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dência. </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Setor da contraparte</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Deve ser atribuído um setor a cada contraparte, com base nos setores ec</w:t>
            </w:r>
            <w:r>
              <w:rPr>
                <w:rStyle w:val="FormatvorlageInstructionsTabelleText"/>
                <w:rFonts w:ascii="Times New Roman" w:hAnsi="Times New Roman"/>
                <w:sz w:val="24"/>
              </w:rPr>
              <w:t>o</w:t>
            </w:r>
            <w:r>
              <w:rPr>
                <w:rStyle w:val="FormatvorlageInstructionsTabelleText"/>
                <w:rFonts w:ascii="Times New Roman" w:hAnsi="Times New Roman"/>
                <w:sz w:val="24"/>
              </w:rPr>
              <w:t>nómicos FINREP:</w:t>
            </w:r>
          </w:p>
          <w:p w:rsidR="00B0191A" w:rsidRPr="00384ADB" w:rsidRDefault="00B0191A">
            <w:pPr>
              <w:pStyle w:val="InstructionsText"/>
              <w:rPr>
                <w:rStyle w:val="FormatvorlageInstructionsTabelleText"/>
                <w:rFonts w:ascii="Times New Roman" w:hAnsi="Times New Roman"/>
                <w:sz w:val="24"/>
              </w:rPr>
            </w:pP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bancos centrais,</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w:t>
            </w:r>
            <w:r>
              <w:tab/>
            </w:r>
            <w:r>
              <w:rPr>
                <w:rStyle w:val="FormatvorlageInstructionsTabelleText"/>
                <w:rFonts w:ascii="Times New Roman" w:hAnsi="Times New Roman"/>
                <w:sz w:val="24"/>
              </w:rPr>
              <w:t>administrações públicas,</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w:t>
            </w:r>
            <w:r>
              <w:tab/>
            </w:r>
            <w:r>
              <w:rPr>
                <w:rStyle w:val="FormatvorlageInstructionsTabelleText"/>
                <w:rFonts w:ascii="Times New Roman" w:hAnsi="Times New Roman"/>
                <w:sz w:val="24"/>
              </w:rPr>
              <w:t>instituições de crédito,</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empresas de investimento conforme definidas no artigo 4.º, n.º 1, po</w:t>
            </w:r>
            <w:r>
              <w:rPr>
                <w:rStyle w:val="FormatvorlageInstructionsTabelleText"/>
                <w:rFonts w:ascii="Times New Roman" w:hAnsi="Times New Roman"/>
                <w:sz w:val="24"/>
              </w:rPr>
              <w:t>n</w:t>
            </w:r>
            <w:r>
              <w:rPr>
                <w:rStyle w:val="FormatvorlageInstructionsTabelleText"/>
                <w:rFonts w:ascii="Times New Roman" w:hAnsi="Times New Roman"/>
                <w:sz w:val="24"/>
              </w:rPr>
              <w:t>to 2, do CRR,</w:t>
            </w:r>
          </w:p>
          <w:p w:rsidR="00470630" w:rsidRDefault="00470630"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outras sociedades financeiras (excluindo empresas de investimento),</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sociedades não financeiras,</w:t>
            </w:r>
          </w:p>
          <w:p w:rsidR="00B0191A" w:rsidRPr="00384ADB"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famílias. </w:t>
            </w:r>
          </w:p>
          <w:p w:rsidR="00B0191A"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No caso de grupos de clientes ligados entre si, não deve ser relatado o setor.</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NACE</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Relativamente ao setor económico, devem ser utilizados os códigos NACE (Nomenclatura Estatística das Atividades Económicas na UE).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Esta coluna só é aplicável às contrapartes que sejam «Outras sociedades financeiras» e «Sociedades não financeiras».  Devem ser utilizados os cód</w:t>
            </w:r>
            <w:r>
              <w:rPr>
                <w:rStyle w:val="FormatvorlageInstructionsTabelleText"/>
                <w:rFonts w:ascii="Times New Roman" w:hAnsi="Times New Roman"/>
                <w:sz w:val="24"/>
              </w:rPr>
              <w:t>i</w:t>
            </w:r>
            <w:r>
              <w:rPr>
                <w:rStyle w:val="FormatvorlageInstructionsTabelleText"/>
                <w:rFonts w:ascii="Times New Roman" w:hAnsi="Times New Roman"/>
                <w:sz w:val="24"/>
              </w:rPr>
              <w:t>gos NACE para as «Sociedades não financeiras» com um nível de detalhe (p. ex.: «F – Construção») e para as «Outras sociedades financeiras» com dois níveis de detalhe, o que permite informações específicas relativamente às atividades de seguros (p. ex.: «K65 - Seguros, resseguros e fundos de pe</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sões, exceto segurança social obrigatória»). «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setores económicos «Outras sociedades financeiras» e «Sociedades não financeiras» devem ser classificados com base na repartição FINREP das contrapartes.</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 caso de grupos de clientes ligados entre si, não deve ser relatado o cód</w:t>
            </w:r>
            <w:r>
              <w:rPr>
                <w:rStyle w:val="FormatvorlageInstructionsTabelleText"/>
                <w:rFonts w:ascii="Times New Roman" w:hAnsi="Times New Roman"/>
                <w:sz w:val="24"/>
              </w:rPr>
              <w:t>i</w:t>
            </w:r>
            <w:r>
              <w:rPr>
                <w:rStyle w:val="FormatvorlageInstructionsTabelleText"/>
                <w:rFonts w:ascii="Times New Roman" w:hAnsi="Times New Roman"/>
                <w:sz w:val="24"/>
              </w:rPr>
              <w:t>go NACE.</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Tipo de contraparte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Fonts w:eastAsia="Arial"/>
              </w:rPr>
            </w:pPr>
            <w:r>
              <w:t xml:space="preserve">Artigo 394.º, n.º 2, do CRR </w:t>
            </w:r>
            <w:r>
              <w:rPr>
                <w:i/>
              </w:rPr>
              <w:t xml:space="preserve"> </w:t>
            </w:r>
          </w:p>
          <w:p w:rsidR="00B0191A" w:rsidRPr="00384ADB" w:rsidRDefault="00B0191A">
            <w:pPr>
              <w:pStyle w:val="InstructionsText"/>
              <w:rPr>
                <w:rFonts w:eastAsia="Arial"/>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tipo de contraparte das 10 maiores posições em risco sobre instituições e das 10 maiores posições em risco sobre entidades financeiras não reguladas deve ser especificado utilizando «I» para as instituições ou «U» para as ent</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dades do setor financeiro não reguladas. </w:t>
            </w:r>
          </w:p>
          <w:p w:rsidR="00B0191A" w:rsidRPr="00384ADB" w:rsidRDefault="00B0191A">
            <w:pPr>
              <w:pStyle w:val="InstructionsText"/>
              <w:rPr>
                <w:rStyle w:val="InstructionsTabelleberschrift"/>
                <w:rFonts w:ascii="Times New Roman" w:hAnsi="Times New Roman"/>
                <w:sz w:val="24"/>
              </w:rPr>
            </w:pPr>
          </w:p>
        </w:tc>
      </w:tr>
    </w:tbl>
    <w:p w:rsidR="00634B45" w:rsidRPr="00384ADB" w:rsidRDefault="00634B45" w:rsidP="0039317F"/>
    <w:p w:rsidR="003105C6" w:rsidRPr="00384ADB" w:rsidRDefault="00296D72" w:rsidP="00C52CE2">
      <w:pPr>
        <w:pStyle w:val="Instructionsberschrift2"/>
        <w:numPr>
          <w:ilvl w:val="0"/>
          <w:numId w:val="22"/>
        </w:numPr>
        <w:rPr>
          <w:rFonts w:ascii="Times New Roman" w:hAnsi="Times New Roman" w:cs="Times New Roman"/>
          <w:sz w:val="24"/>
          <w:u w:val="none"/>
        </w:rPr>
      </w:pPr>
      <w:bookmarkStart w:id="28" w:name="_Toc393461961"/>
      <w:bookmarkStart w:id="29" w:name="_Toc524097230"/>
      <w:r>
        <w:rPr>
          <w:rFonts w:ascii="Times New Roman" w:hAnsi="Times New Roman"/>
          <w:b/>
          <w:sz w:val="24"/>
          <w:u w:val="none"/>
        </w:rPr>
        <w:t>C 28.00 - Posições em risco extra carteira de negociação e na carteira de negociação (modelo LE2)</w:t>
      </w:r>
      <w:bookmarkEnd w:id="28"/>
      <w:bookmarkEnd w:id="29"/>
    </w:p>
    <w:p w:rsidR="003105C6" w:rsidRPr="00384ADB" w:rsidRDefault="003105C6" w:rsidP="00C52CE2">
      <w:pPr>
        <w:pStyle w:val="Instructionsberschrift2"/>
        <w:numPr>
          <w:ilvl w:val="1"/>
          <w:numId w:val="22"/>
        </w:numPr>
        <w:rPr>
          <w:rFonts w:ascii="Times New Roman" w:hAnsi="Times New Roman" w:cs="Times New Roman"/>
          <w:sz w:val="24"/>
        </w:rPr>
      </w:pPr>
      <w:bookmarkStart w:id="30" w:name="_Toc308175821"/>
      <w:bookmarkStart w:id="31" w:name="_Toc310414968"/>
      <w:bookmarkStart w:id="32" w:name="_Toc393461962"/>
      <w:bookmarkStart w:id="33" w:name="_Toc524097231"/>
      <w:r>
        <w:rPr>
          <w:rFonts w:ascii="Times New Roman" w:hAnsi="Times New Roman"/>
          <w:sz w:val="24"/>
        </w:rPr>
        <w:t>Instruções relativas a colunas</w:t>
      </w:r>
      <w:bookmarkEnd w:id="30"/>
      <w:bookmarkEnd w:id="31"/>
      <w:r>
        <w:rPr>
          <w:rFonts w:ascii="Times New Roman" w:hAnsi="Times New Roman"/>
          <w:sz w:val="24"/>
        </w:rPr>
        <w:t xml:space="preserve"> específicas</w:t>
      </w:r>
      <w:bookmarkEnd w:id="32"/>
      <w:bookmarkEnd w:id="33"/>
    </w:p>
    <w:p w:rsidR="00D946DB" w:rsidRPr="00384ADB"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rsidTr="00E17043">
        <w:tc>
          <w:tcPr>
            <w:tcW w:w="1418" w:type="dxa"/>
            <w:shd w:val="clear" w:color="auto" w:fill="D9D9D9"/>
          </w:tcPr>
          <w:p w:rsidR="00D946DB" w:rsidRPr="00384ADB" w:rsidRDefault="005E7263"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Coluna</w:t>
            </w:r>
          </w:p>
        </w:tc>
        <w:tc>
          <w:tcPr>
            <w:tcW w:w="7620" w:type="dxa"/>
            <w:shd w:val="clear" w:color="auto" w:fill="D9D9D9"/>
          </w:tcPr>
          <w:p w:rsidR="00B0191A" w:rsidRPr="00384ADB" w:rsidRDefault="003105C6"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Referências jurídicas e instruções</w:t>
            </w:r>
          </w:p>
        </w:tc>
      </w:tr>
      <w:tr w:rsidR="00D946DB" w:rsidRPr="00384ADB" w:rsidTr="00E17043">
        <w:tc>
          <w:tcPr>
            <w:tcW w:w="1418" w:type="dxa"/>
          </w:tcPr>
          <w:p w:rsidR="00D946DB"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rsidR="00CA42A9" w:rsidRPr="00384ADB" w:rsidRDefault="00CA42A9" w:rsidP="0039317F">
            <w:pPr>
              <w:pStyle w:val="InstructionsText"/>
              <w:rPr>
                <w:rStyle w:val="FormatvorlageInstructionsTabelleText"/>
                <w:rFonts w:ascii="Times New Roman" w:hAnsi="Times New Roman"/>
                <w:b/>
                <w:sz w:val="24"/>
              </w:rPr>
            </w:pPr>
          </w:p>
        </w:tc>
        <w:tc>
          <w:tcPr>
            <w:tcW w:w="7620" w:type="dxa"/>
          </w:tcPr>
          <w:p w:rsidR="00B0191A" w:rsidRPr="00384ADB" w:rsidRDefault="00394753"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rsidR="00B0191A" w:rsidRPr="00384ADB" w:rsidRDefault="00B0191A" w:rsidP="000F0ADE">
            <w:pPr>
              <w:pStyle w:val="InstructionsText"/>
              <w:rPr>
                <w:rStyle w:val="FormatvorlageInstructionsTabelleText"/>
                <w:rFonts w:ascii="Times New Roman" w:hAnsi="Times New Roman"/>
                <w:b/>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um grupo de clientes ligados entre si, se existir a nível nacional um código único, deve ser esse o código a relatar para esse grupo de clientes lig</w:t>
            </w:r>
            <w:r>
              <w:rPr>
                <w:rStyle w:val="FormatvorlageInstructionsTabelleText"/>
                <w:rFonts w:ascii="Times New Roman" w:hAnsi="Times New Roman"/>
                <w:sz w:val="24"/>
              </w:rPr>
              <w:t>a</w:t>
            </w:r>
            <w:r>
              <w:rPr>
                <w:rStyle w:val="FormatvorlageInstructionsTabelleText"/>
                <w:rFonts w:ascii="Times New Roman" w:hAnsi="Times New Roman"/>
                <w:sz w:val="24"/>
              </w:rPr>
              <w:t>dos entre si. Se não existir um código único a nível nacional, o código a rel</w:t>
            </w:r>
            <w:r>
              <w:rPr>
                <w:rStyle w:val="FormatvorlageInstructionsTabelleText"/>
                <w:rFonts w:ascii="Times New Roman" w:hAnsi="Times New Roman"/>
                <w:sz w:val="24"/>
              </w:rPr>
              <w:t>a</w:t>
            </w:r>
            <w:r>
              <w:rPr>
                <w:rStyle w:val="FormatvorlageInstructionsTabelleText"/>
                <w:rFonts w:ascii="Times New Roman" w:hAnsi="Times New Roman"/>
                <w:sz w:val="24"/>
              </w:rPr>
              <w:t>tar deve ser o código da empresa-mãe no modelo C 27.00.</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Nos casos em que o grupo de clientes ligados entre si não tem uma empr</w:t>
            </w:r>
            <w:r>
              <w:rPr>
                <w:rStyle w:val="FormatvorlageInstructionsTabelleText"/>
                <w:rFonts w:ascii="Times New Roman" w:hAnsi="Times New Roman"/>
                <w:sz w:val="24"/>
              </w:rPr>
              <w:t>e</w:t>
            </w:r>
            <w:r>
              <w:rPr>
                <w:rStyle w:val="FormatvorlageInstructionsTabelleText"/>
                <w:rFonts w:ascii="Times New Roman" w:hAnsi="Times New Roman"/>
                <w:sz w:val="24"/>
              </w:rPr>
              <w:t>sa-mãe, o código a relatar é o código da entidade individual considerada pela instituição como mais significativa dentro do grupo de clientes ligados entre si. Nos restantes casos, o código deve corresponder à contraparte i</w:t>
            </w:r>
            <w:r>
              <w:rPr>
                <w:rStyle w:val="FormatvorlageInstructionsTabelleText"/>
                <w:rFonts w:ascii="Times New Roman" w:hAnsi="Times New Roman"/>
                <w:sz w:val="24"/>
              </w:rPr>
              <w:t>n</w:t>
            </w:r>
            <w:r>
              <w:rPr>
                <w:rStyle w:val="FormatvorlageInstructionsTabelleText"/>
                <w:rFonts w:ascii="Times New Roman" w:hAnsi="Times New Roman"/>
                <w:sz w:val="24"/>
              </w:rPr>
              <w:t>dividual.</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Este código deve ser utilizado de forma coerente ao longo do tempo. </w:t>
            </w:r>
          </w:p>
          <w:p w:rsidR="007449CB" w:rsidRPr="007449CB" w:rsidRDefault="007449CB">
            <w:pPr>
              <w:pStyle w:val="InstructionsText"/>
              <w:rPr>
                <w:rStyle w:val="FormatvorlageInstructionsTabelleText"/>
                <w:rFonts w:ascii="Times New Roman" w:hAnsi="Times New Roman"/>
                <w:sz w:val="24"/>
              </w:rPr>
            </w:pPr>
          </w:p>
          <w:p w:rsid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composição do código depende do sistema de relato nacional, a menos que esteja disponível na UE uma codificação uniforme.</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Grupo ou individual</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instituição deve relatar «1» para os riscos sobre clientes individuais ou «2» para os riscos sobre grupos de clientes ligados entre si.</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Operações em que existe uma posição em risco em relação aos ativos subjacentes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390.º, n.º 7, do CRR</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acordo com outras especificações técnicas impostas pelas autoridades nacionais competentes, quando a instituição está exposta a uma contraparte objeto de relato através de uma operação em que existe uma posição em ri</w:t>
            </w:r>
            <w:r>
              <w:rPr>
                <w:rStyle w:val="FormatvorlageInstructionsTabelleText"/>
                <w:rFonts w:ascii="Times New Roman" w:hAnsi="Times New Roman"/>
                <w:sz w:val="24"/>
              </w:rPr>
              <w:t>s</w:t>
            </w:r>
            <w:r>
              <w:rPr>
                <w:rStyle w:val="FormatvorlageInstructionsTabelleText"/>
                <w:rFonts w:ascii="Times New Roman" w:hAnsi="Times New Roman"/>
                <w:sz w:val="24"/>
              </w:rPr>
              <w:t xml:space="preserve">co em relação a ativos subjacentes, deve ser relatado o equivalente a «Sim»; caso contrário, deve ser relatado o equivalente a «Não». </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Posições em risco originais</w:t>
            </w:r>
          </w:p>
          <w:p w:rsidR="00B0191A" w:rsidRPr="00384ADB" w:rsidRDefault="00B0191A" w:rsidP="0039317F">
            <w:pPr>
              <w:pStyle w:val="InstructionsText"/>
              <w:rPr>
                <w:rStyle w:val="InstructionsTabelleberschrift"/>
                <w:rFonts w:ascii="Times New Roman" w:hAnsi="Times New Roman"/>
                <w:b w:val="0"/>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Artigos 24.º, 389.º, 390.º e 392.º do</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9317F" w:rsidRDefault="00C92E0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instituição deve relatar neste bloco de colunas as posições em risco orig</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nais relativas a posições em risco diretas, indiretas e a posições em risco ad</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cionais decorrentes de operações em que existe uma posição em risco em 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lação aos ativos subjacentes.</w:t>
            </w:r>
          </w:p>
          <w:p w:rsidR="00B0191A" w:rsidRPr="0039317F" w:rsidRDefault="00B0191A">
            <w:pPr>
              <w:pStyle w:val="InstructionsText"/>
              <w:rPr>
                <w:rStyle w:val="InstructionsTabelleberschrift"/>
                <w:rFonts w:ascii="Times New Roman" w:hAnsi="Times New Roman"/>
                <w:b w:val="0"/>
                <w:bCs w:val="0"/>
                <w:sz w:val="24"/>
                <w:u w:val="none"/>
              </w:rPr>
            </w:pPr>
          </w:p>
          <w:p w:rsidR="00B0191A" w:rsidRPr="0039317F" w:rsidRDefault="00BB3751" w:rsidP="0039317F">
            <w:pPr>
              <w:pStyle w:val="InstructionsText"/>
            </w:pPr>
            <w:r>
              <w:t xml:space="preserve">De acordo com o artigo 389.º do </w:t>
            </w:r>
            <w:r>
              <w:rPr>
                <w:rStyle w:val="FormatvorlageInstructionsTabelleText"/>
                <w:rFonts w:ascii="Times New Roman" w:hAnsi="Times New Roman"/>
                <w:sz w:val="24"/>
              </w:rPr>
              <w:t>CRR</w:t>
            </w:r>
            <w:r>
              <w:t>, os ativos e os elementos extrapatr</w:t>
            </w:r>
            <w:r>
              <w:t>i</w:t>
            </w:r>
            <w:r>
              <w:t>moniais devem ser utilizados sem aplicação da coeficientes de ponderação ou graus de risco. Concretamente, não devem ser aplicados fatores de co</w:t>
            </w:r>
            <w:r>
              <w:t>n</w:t>
            </w:r>
            <w:r>
              <w:t xml:space="preserve">versão de crédito aos elementos extrapatrimoniais.  </w:t>
            </w:r>
          </w:p>
          <w:p w:rsidR="00B0191A" w:rsidRPr="0039317F" w:rsidRDefault="00B0191A" w:rsidP="0039317F">
            <w:pPr>
              <w:pStyle w:val="InstructionsText"/>
            </w:pPr>
          </w:p>
          <w:p w:rsidR="00B0191A" w:rsidRPr="0039317F" w:rsidRDefault="00BB3751" w:rsidP="0039317F">
            <w:pPr>
              <w:pStyle w:val="InstructionsText"/>
            </w:pPr>
            <w:r>
              <w:t>Estas colunas devem conter a posição em risco original, ou seja, o valor da posição em risco sem levar em conta os ajustamentos de valor e as prov</w:t>
            </w:r>
            <w:r>
              <w:t>i</w:t>
            </w:r>
            <w:r>
              <w:t>sões, que devem ser deduzidos na coluna 210.</w:t>
            </w:r>
          </w:p>
          <w:p w:rsidR="00B0191A" w:rsidRPr="0039317F" w:rsidRDefault="00B0191A" w:rsidP="0039317F">
            <w:pPr>
              <w:pStyle w:val="InstructionsText"/>
            </w:pPr>
          </w:p>
          <w:p w:rsidR="00B0191A" w:rsidRPr="0039317F" w:rsidRDefault="00C92E09" w:rsidP="0039317F">
            <w:pPr>
              <w:pStyle w:val="InstructionsText"/>
            </w:pPr>
            <w:r>
              <w:t xml:space="preserve">A definição e cálculo do valor das posições em risco constam nos artigos 389.º e 390.º do </w:t>
            </w:r>
            <w:r>
              <w:rPr>
                <w:rStyle w:val="FormatvorlageInstructionsTabelleText"/>
                <w:rFonts w:ascii="Times New Roman" w:hAnsi="Times New Roman"/>
                <w:sz w:val="24"/>
              </w:rPr>
              <w:t>CRR</w:t>
            </w:r>
            <w:r>
              <w:t>. A avaliação dos ativos e elementos extrapatrimoniais deve ser efetuada em conformidade com o quadro contabilístico a que a in</w:t>
            </w:r>
            <w:r>
              <w:t>s</w:t>
            </w:r>
            <w:r>
              <w:t xml:space="preserve">tituição está sujeita, de acordo com o artigo 24.º do </w:t>
            </w:r>
            <w:r>
              <w:rPr>
                <w:rStyle w:val="FormatvorlageInstructionsTabelleText"/>
                <w:rFonts w:ascii="Times New Roman" w:hAnsi="Times New Roman"/>
                <w:sz w:val="24"/>
              </w:rPr>
              <w:t>CRR</w:t>
            </w:r>
            <w:r>
              <w:t>.</w:t>
            </w:r>
          </w:p>
          <w:p w:rsidR="00B0191A" w:rsidRPr="0039317F" w:rsidRDefault="00B0191A" w:rsidP="0039317F">
            <w:pPr>
              <w:pStyle w:val="InstructionsText"/>
            </w:pPr>
          </w:p>
          <w:p w:rsidR="00B0191A" w:rsidRPr="0039317F" w:rsidRDefault="00BB3751" w:rsidP="0039317F">
            <w:pPr>
              <w:pStyle w:val="InstructionsText"/>
            </w:pPr>
            <w:r>
              <w:t>As posições em risco deduzidas dos fundos próprios que não são posições em risco de acordo com o artigo 390.º, n.º 6, alínea e), devem ser incluídas nestas colunas. Estas posições em risco devem ser deduzidas na coluna 200.</w:t>
            </w:r>
          </w:p>
          <w:p w:rsidR="00B0191A" w:rsidRPr="0039317F" w:rsidRDefault="00B0191A" w:rsidP="0039317F">
            <w:pPr>
              <w:pStyle w:val="InstructionsText"/>
            </w:pPr>
          </w:p>
          <w:p w:rsidR="00B0191A" w:rsidRPr="0039317F" w:rsidRDefault="00BB3751" w:rsidP="0039317F">
            <w:pPr>
              <w:pStyle w:val="InstructionsText"/>
            </w:pPr>
            <w:r>
              <w:t xml:space="preserve">As posições em risco referidas no artigo 390.º, n.º 6, alíneas a) a d), do </w:t>
            </w:r>
            <w:r>
              <w:rPr>
                <w:rStyle w:val="FormatvorlageInstructionsTabelleText"/>
                <w:rFonts w:ascii="Times New Roman" w:hAnsi="Times New Roman"/>
                <w:sz w:val="24"/>
              </w:rPr>
              <w:t>CRR</w:t>
            </w:r>
            <w:r>
              <w:t xml:space="preserve"> não devem ser incluídas nestas colunas. </w:t>
            </w:r>
          </w:p>
          <w:p w:rsidR="00B0191A" w:rsidRPr="0039317F" w:rsidRDefault="00B0191A" w:rsidP="0039317F">
            <w:pPr>
              <w:pStyle w:val="InstructionsText"/>
            </w:pPr>
          </w:p>
          <w:p w:rsidR="00B0191A" w:rsidRPr="0039317F" w:rsidRDefault="00BB3751" w:rsidP="0039317F">
            <w:pPr>
              <w:pStyle w:val="InstructionsText"/>
              <w:rPr>
                <w:rFonts w:eastAsia="Arial"/>
              </w:rPr>
            </w:pPr>
            <w:r>
              <w:t xml:space="preserve">As posições em risco originais devem incluir qualquer ativo e quaisquer elementos extrapatrimoniais de acordo com o artigo 400.º do </w:t>
            </w:r>
            <w:r>
              <w:rPr>
                <w:rStyle w:val="FormatvorlageInstructionsTabelleText"/>
                <w:rFonts w:ascii="Times New Roman" w:hAnsi="Times New Roman"/>
                <w:sz w:val="24"/>
              </w:rPr>
              <w:t>CRR</w:t>
            </w:r>
            <w:r>
              <w:t>. As ise</w:t>
            </w:r>
            <w:r>
              <w:t>n</w:t>
            </w:r>
            <w:r>
              <w:t xml:space="preserve">ções devem ser deduzidas para efeitos do artigo 395.º, n.º 1, do </w:t>
            </w:r>
            <w:r>
              <w:rPr>
                <w:rStyle w:val="FormatvorlageInstructionsTabelleText"/>
                <w:rFonts w:ascii="Times New Roman" w:hAnsi="Times New Roman"/>
                <w:sz w:val="24"/>
              </w:rPr>
              <w:t>CRR</w:t>
            </w:r>
            <w:r>
              <w:t>, na c</w:t>
            </w:r>
            <w:r>
              <w:t>o</w:t>
            </w:r>
            <w:r>
              <w:t>luna 320.</w:t>
            </w:r>
          </w:p>
          <w:p w:rsidR="00B0191A" w:rsidRPr="00384ADB" w:rsidRDefault="00B0191A" w:rsidP="0039317F">
            <w:pPr>
              <w:pStyle w:val="InstructionsText"/>
              <w:rPr>
                <w:rFonts w:eastAsia="Arial"/>
              </w:rPr>
            </w:pPr>
          </w:p>
          <w:p w:rsidR="00B0191A" w:rsidRPr="00384ADB" w:rsidRDefault="00BB3751" w:rsidP="000F0ADE">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Devem ser incluídas as posições em risco extra carteira de negociação e da carteira de negociação.</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pPr>
            <w:r>
              <w:rPr>
                <w:rStyle w:val="InstructionsTabelleberschrift"/>
                <w:rFonts w:ascii="Times New Roman" w:hAnsi="Times New Roman"/>
                <w:b w:val="0"/>
                <w:sz w:val="24"/>
                <w:u w:val="none"/>
              </w:rPr>
              <w:t>Na repartição das posições em risco em instrumentos financeiros, se difere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tes posições em risco resultantes de acordos de compensação constituírem uma única posição em risco, esta deve ser afetada ao instrumento f</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nanceiro correspondente ao principal ativo incluído no acordo de compensação (ver também a introdução).</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das posições em risco originais</w:t>
            </w:r>
          </w:p>
          <w:p w:rsidR="00B0191A" w:rsidRPr="00384ADB" w:rsidRDefault="00B0191A" w:rsidP="0039317F">
            <w:pPr>
              <w:pStyle w:val="InstructionsText"/>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instituição deve relatar a soma das posições em risco diretas, das pos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ções em risco indiretas e das</w:t>
            </w:r>
            <w:r>
              <w:rPr>
                <w:rStyle w:val="FormatvorlageInstructionsTabelleText"/>
                <w:rFonts w:ascii="Times New Roman" w:hAnsi="Times New Roman"/>
                <w:sz w:val="24"/>
              </w:rPr>
              <w:t xml:space="preserve"> posições em risco adicionais que decorrem de operações em que existe uma posição em risco em relação aos ativos subjace</w:t>
            </w:r>
            <w:r>
              <w:rPr>
                <w:rStyle w:val="FormatvorlageInstructionsTabelleText"/>
                <w:rFonts w:ascii="Times New Roman" w:hAnsi="Times New Roman"/>
                <w:sz w:val="24"/>
              </w:rPr>
              <w:t>n</w:t>
            </w:r>
            <w:r>
              <w:rPr>
                <w:rStyle w:val="FormatvorlageInstructionsTabelleText"/>
                <w:rFonts w:ascii="Times New Roman" w:hAnsi="Times New Roman"/>
                <w:sz w:val="24"/>
              </w:rPr>
              <w:t>tes</w:t>
            </w:r>
            <w:r>
              <w:rPr>
                <w:rStyle w:val="InstructionsTabelleberschrift"/>
                <w:rFonts w:ascii="Times New Roman" w:hAnsi="Times New Roman"/>
                <w:b w:val="0"/>
                <w:sz w:val="24"/>
                <w:u w:val="none"/>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em situação de incumprimento</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178.º do CRR.</w:t>
            </w:r>
          </w:p>
          <w:p w:rsidR="00B0191A" w:rsidRPr="00384ADB" w:rsidRDefault="00B0191A">
            <w:pPr>
              <w:pStyle w:val="InstructionsText"/>
              <w:rPr>
                <w:rStyle w:val="FormatvorlageInstructionsTabelleText"/>
                <w:rFonts w:ascii="Times New Roman" w:hAnsi="Times New Roman"/>
                <w:b/>
                <w:sz w:val="24"/>
              </w:rPr>
            </w:pPr>
          </w:p>
          <w:p w:rsidR="00B0191A" w:rsidRPr="00384ADB" w:rsidRDefault="009B2EE9">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 instituição deve relatar </w:t>
            </w:r>
            <w:r>
              <w:rPr>
                <w:rStyle w:val="FormatvorlageInstructionsTabelleText"/>
                <w:rFonts w:ascii="Times New Roman" w:hAnsi="Times New Roman"/>
                <w:sz w:val="24"/>
              </w:rPr>
              <w:t xml:space="preserve">a parte do total das posições em risco originais correspondente a posições em risco em situação de incumprimento. </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Posições em risco diretas</w:t>
            </w:r>
          </w:p>
          <w:p w:rsidR="00B0191A" w:rsidRPr="00384ADB" w:rsidRDefault="00B0191A"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 posições em risco diretas entende-se as posições em risco em termos de «mutuário imediato».</w:t>
            </w:r>
          </w:p>
          <w:p w:rsidR="00B0191A" w:rsidRPr="00384ADB" w:rsidRDefault="00B0191A">
            <w:pPr>
              <w:pStyle w:val="InstructionsText"/>
              <w:rPr>
                <w:rStyle w:val="InstructionsTabelleberschrift"/>
                <w:rFonts w:ascii="Times New Roman" w:hAnsi="Times New Roman"/>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dívida</w:t>
            </w:r>
          </w:p>
          <w:p w:rsidR="00B0191A" w:rsidRPr="00384ADB" w:rsidRDefault="00B0191A" w:rsidP="0039317F">
            <w:pPr>
              <w:pStyle w:val="InstructionsText"/>
            </w:pPr>
          </w:p>
          <w:p w:rsidR="00B0191A" w:rsidRPr="0039317F" w:rsidRDefault="00193DDC" w:rsidP="0039317F">
            <w:pPr>
              <w:pStyle w:val="InstructionsText"/>
            </w:pPr>
            <w:r>
              <w:t>Regulamento (UE) n.º 1071/2013 («BCE/2013/33»), anexo II, parte 2, qu</w:t>
            </w:r>
            <w:r>
              <w:t>a</w:t>
            </w:r>
            <w:r>
              <w:t>dro, categorias 2 e 3.</w:t>
            </w:r>
          </w:p>
          <w:p w:rsidR="00B0191A" w:rsidRPr="0039317F" w:rsidRDefault="00B0191A" w:rsidP="0039317F">
            <w:pPr>
              <w:pStyle w:val="InstructionsText"/>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 instrumentos de dívida incluem os títulos de dívida e os empréstimos e adiantamentos. </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BB3751" w:rsidP="0039317F">
            <w:pPr>
              <w:pStyle w:val="InstructionsText"/>
            </w:pPr>
            <w:r>
              <w:rPr>
                <w:rStyle w:val="FormatvorlageInstructionsTabelleText"/>
                <w:rFonts w:ascii="Times New Roman" w:hAnsi="Times New Roman"/>
                <w:sz w:val="24"/>
              </w:rPr>
              <w:t>Os instrumentos incluídos nesta coluna devem ser os qualificados como</w:t>
            </w:r>
            <w:r>
              <w:t xml:space="preserve"> «Empréstimos com prazo de vencimento original igual ou inferior a um ano/superior a um ano e igual ou inferior a cinco anos/superior a cinco anos</w:t>
            </w:r>
            <w:r>
              <w:rPr>
                <w:rStyle w:val="FormatvorlageInstructionsTabelleText"/>
                <w:rFonts w:ascii="Times New Roman" w:hAnsi="Times New Roman"/>
                <w:sz w:val="24"/>
              </w:rPr>
              <w:t>», ou como «Títulos</w:t>
            </w:r>
            <w:r>
              <w:t xml:space="preserve"> de dívida</w:t>
            </w:r>
            <w:r>
              <w:rPr>
                <w:rStyle w:val="FormatvorlageInstructionsTabelleText"/>
                <w:rFonts w:ascii="Times New Roman" w:hAnsi="Times New Roman"/>
                <w:sz w:val="24"/>
              </w:rPr>
              <w:t>», de acordo com o</w:t>
            </w:r>
            <w:r>
              <w:t xml:space="preserve"> BCE/2013/33.</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D95A62"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w:t>
            </w:r>
            <w:r>
              <w:t>s operações de recompra, contração ou concessão de empréstimos de val</w:t>
            </w:r>
            <w:r>
              <w:t>o</w:t>
            </w:r>
            <w:r>
              <w:t>res mobiliários ou de mercadorias (operações de financiamento através de valores mobiliários) e operações de empréstimo com imposição de ma</w:t>
            </w:r>
            <w:r>
              <w:t>r</w:t>
            </w:r>
            <w:r>
              <w:t>gens devem ser incluídas nesta coluna.</w:t>
            </w:r>
          </w:p>
          <w:p w:rsidR="00B0191A" w:rsidRPr="00384ADB" w:rsidRDefault="00B0191A"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capital próprio</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DF008D" w:rsidP="0039317F">
            <w:pPr>
              <w:pStyle w:val="InstructionsText"/>
            </w:pPr>
            <w:r>
              <w:t>BCE/2013/33, anexo II, parte 2, quadro, categorias 4 e 5.</w:t>
            </w:r>
          </w:p>
          <w:p w:rsidR="00B0191A" w:rsidRPr="0039317F" w:rsidRDefault="00B0191A" w:rsidP="0039317F">
            <w:pPr>
              <w:pStyle w:val="InstructionsText"/>
            </w:pPr>
          </w:p>
          <w:p w:rsidR="00B0191A" w:rsidRPr="0039317F" w:rsidRDefault="00BB3751" w:rsidP="0039317F">
            <w:pPr>
              <w:pStyle w:val="InstructionsText"/>
            </w:pPr>
            <w:r>
              <w:rPr>
                <w:rStyle w:val="FormatvorlageInstructionsTabelleText"/>
                <w:rFonts w:ascii="Times New Roman" w:hAnsi="Times New Roman"/>
                <w:sz w:val="24"/>
              </w:rPr>
              <w:t>Os instrumentos incluídos nesta coluna devem ser os qualificados como «Ações» ou como «Ações/Unidades de participação em fundos de invest</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mento» de acordo com o </w:t>
            </w:r>
            <w:r>
              <w:t>BCE/2013/33.</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Derivados </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BB3751" w:rsidP="0039317F">
            <w:pPr>
              <w:pStyle w:val="InstructionsText"/>
              <w:rPr>
                <w:rStyle w:val="FormatvorlageInstructionsTabelleText"/>
                <w:rFonts w:ascii="Times New Roman" w:hAnsi="Times New Roman"/>
                <w:sz w:val="24"/>
              </w:rPr>
            </w:pPr>
            <w:r>
              <w:t xml:space="preserve">Artigo 272.º, n.º 2, e anexo II do </w:t>
            </w:r>
            <w:r>
              <w:rPr>
                <w:rStyle w:val="FormatvorlageInstructionsTabelleText"/>
                <w:rFonts w:ascii="Times New Roman" w:hAnsi="Times New Roman"/>
                <w:sz w:val="24"/>
              </w:rPr>
              <w:t>CRR</w:t>
            </w:r>
            <w:r>
              <w:t>.</w:t>
            </w:r>
          </w:p>
          <w:p w:rsidR="00B0191A" w:rsidRPr="0039317F" w:rsidRDefault="00B0191A" w:rsidP="000F0ADE">
            <w:pPr>
              <w:pStyle w:val="InstructionsText"/>
            </w:pPr>
          </w:p>
          <w:p w:rsidR="00B0191A" w:rsidRPr="0039317F" w:rsidRDefault="009E58B0">
            <w:pPr>
              <w:pStyle w:val="InstructionsText"/>
            </w:pPr>
            <w:r>
              <w:t>Os instrumentos a relatar nesta coluna devem incluir os derivados enumer</w:t>
            </w:r>
            <w:r>
              <w:t>a</w:t>
            </w:r>
            <w:r>
              <w:t xml:space="preserve">dos no anexo II do </w:t>
            </w:r>
            <w:r>
              <w:rPr>
                <w:rStyle w:val="FormatvorlageInstructionsTabelleText"/>
                <w:rFonts w:ascii="Times New Roman" w:hAnsi="Times New Roman"/>
                <w:sz w:val="24"/>
              </w:rPr>
              <w:t>CRR</w:t>
            </w:r>
            <w:r>
              <w:t xml:space="preserve"> e as operações de liquidação longa, conforme def</w:t>
            </w:r>
            <w:r>
              <w:t>i</w:t>
            </w:r>
            <w:r>
              <w:t xml:space="preserve">nidas no artigo 272.º, n.º 2 do </w:t>
            </w:r>
            <w:r>
              <w:rPr>
                <w:rStyle w:val="FormatvorlageInstructionsTabelleText"/>
                <w:rFonts w:ascii="Times New Roman" w:hAnsi="Times New Roman"/>
                <w:sz w:val="24"/>
              </w:rPr>
              <w:t>CRR</w:t>
            </w:r>
            <w:r>
              <w:t xml:space="preserve">. </w:t>
            </w:r>
          </w:p>
          <w:p w:rsidR="00B0191A" w:rsidRPr="0039317F" w:rsidRDefault="00B0191A">
            <w:pPr>
              <w:pStyle w:val="InstructionsText"/>
            </w:pPr>
          </w:p>
          <w:p w:rsidR="00B0191A" w:rsidRPr="0039317F" w:rsidRDefault="00BB3751">
            <w:pPr>
              <w:pStyle w:val="InstructionsText"/>
            </w:pPr>
            <w:r>
              <w:t>Os derivados de crédito sujeitos a risco de crédito de contraparte devem ser incluídos nesta coluna.</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Elementos extrapatrimoniais</w:t>
            </w:r>
          </w:p>
          <w:p w:rsidR="00BB3751" w:rsidRPr="00384ADB" w:rsidRDefault="00BB3751" w:rsidP="004675B7">
            <w:pPr>
              <w:spacing w:before="0" w:after="0"/>
              <w:rPr>
                <w:rFonts w:ascii="Times New Roman" w:hAnsi="Times New Roman"/>
                <w:b/>
                <w:bCs/>
                <w:sz w:val="24"/>
              </w:rPr>
            </w:pPr>
          </w:p>
          <w:p w:rsidR="00BB3751" w:rsidRPr="00384ADB" w:rsidRDefault="00BB3751" w:rsidP="004675B7">
            <w:pPr>
              <w:spacing w:before="0" w:after="0"/>
              <w:rPr>
                <w:rFonts w:ascii="Times New Roman" w:hAnsi="Times New Roman"/>
                <w:sz w:val="24"/>
              </w:rPr>
            </w:pPr>
            <w:r>
              <w:rPr>
                <w:rFonts w:ascii="Times New Roman" w:hAnsi="Times New Roman"/>
                <w:sz w:val="24"/>
              </w:rPr>
              <w:t xml:space="preserve">Anexo I do </w:t>
            </w:r>
            <w:r>
              <w:rPr>
                <w:rStyle w:val="FormatvorlageInstructionsTabelleText"/>
                <w:rFonts w:ascii="Times New Roman" w:hAnsi="Times New Roman"/>
                <w:sz w:val="24"/>
              </w:rPr>
              <w:t>CRR</w:t>
            </w:r>
            <w:r>
              <w:rPr>
                <w:rFonts w:ascii="Times New Roman" w:hAnsi="Times New Roman"/>
                <w:sz w:val="24"/>
              </w:rPr>
              <w:t>.</w:t>
            </w:r>
          </w:p>
          <w:p w:rsidR="00BB3751" w:rsidRPr="00384ADB" w:rsidRDefault="00BB3751" w:rsidP="004675B7">
            <w:pPr>
              <w:spacing w:before="0" w:after="0"/>
              <w:rPr>
                <w:rFonts w:ascii="Times New Roman" w:hAnsi="Times New Roman"/>
                <w:bCs/>
                <w:sz w:val="24"/>
              </w:rPr>
            </w:pPr>
          </w:p>
          <w:p w:rsidR="00BB3751" w:rsidRPr="00384ADB" w:rsidRDefault="00BB3751" w:rsidP="004675B7">
            <w:pPr>
              <w:spacing w:before="0" w:after="0"/>
              <w:rPr>
                <w:rFonts w:ascii="Times New Roman" w:hAnsi="Times New Roman"/>
                <w:bCs/>
                <w:sz w:val="24"/>
              </w:rPr>
            </w:pPr>
            <w:r>
              <w:rPr>
                <w:rFonts w:ascii="Times New Roman" w:hAnsi="Times New Roman"/>
                <w:sz w:val="24"/>
              </w:rPr>
              <w:t>O valor a relatar nestas colunas é o valor nominal antes de qualquer red</w:t>
            </w:r>
            <w:r>
              <w:rPr>
                <w:rFonts w:ascii="Times New Roman" w:hAnsi="Times New Roman"/>
                <w:sz w:val="24"/>
              </w:rPr>
              <w:t>u</w:t>
            </w:r>
            <w:r>
              <w:rPr>
                <w:rFonts w:ascii="Times New Roman" w:hAnsi="Times New Roman"/>
                <w:sz w:val="24"/>
              </w:rPr>
              <w:t>ção por conta de ajustamentos específicos para risco de crédito e sem apl</w:t>
            </w:r>
            <w:r>
              <w:rPr>
                <w:rFonts w:ascii="Times New Roman" w:hAnsi="Times New Roman"/>
                <w:sz w:val="24"/>
              </w:rPr>
              <w:t>i</w:t>
            </w:r>
            <w:r>
              <w:rPr>
                <w:rFonts w:ascii="Times New Roman" w:hAnsi="Times New Roman"/>
                <w:sz w:val="24"/>
              </w:rPr>
              <w:t>cação de fatores de conversão.</w:t>
            </w:r>
          </w:p>
          <w:p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Compromissos de empréstimo</w:t>
            </w:r>
          </w:p>
          <w:p w:rsidR="00BB3751" w:rsidRPr="00384ADB" w:rsidRDefault="00BB3751" w:rsidP="0039317F">
            <w:pPr>
              <w:pStyle w:val="InstructionsText"/>
              <w:rPr>
                <w:rStyle w:val="FormatvorlageInstructionsTabelleText"/>
                <w:rFonts w:ascii="Times New Roman" w:hAnsi="Times New Roman"/>
                <w:b/>
                <w:sz w:val="24"/>
              </w:rPr>
            </w:pPr>
          </w:p>
          <w:p w:rsidR="009A7666" w:rsidRPr="0039317F" w:rsidRDefault="0045752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Anexo I, ponto 1, alíneas c) e h), ponto 2, alínea b), subalínea ii), ponto 3, alínea b), subalínea i), e ponto 4, alínea a), do CRR. </w:t>
            </w:r>
          </w:p>
          <w:p w:rsidR="00B0191A" w:rsidRPr="0039317F" w:rsidRDefault="00B0191A">
            <w:pPr>
              <w:pStyle w:val="InstructionsText"/>
            </w:pPr>
          </w:p>
          <w:p w:rsidR="00B0191A" w:rsidRPr="0039317F" w:rsidRDefault="00BB3751">
            <w:pPr>
              <w:pStyle w:val="InstructionsText"/>
            </w:pPr>
            <w:r>
              <w:t>Os compromissos de empréstimo são compromissos firmes de concessão de crédito em condições e prazos predeterminados, exceto aqueles que são derivados porque podem ser liquidados em numerário ou entregando ou em</w:t>
            </w:r>
            <w:r>
              <w:t>i</w:t>
            </w:r>
            <w:r>
              <w:t xml:space="preserve">tindo outro instrumento financeiro. </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Garantias financeiras</w:t>
            </w:r>
          </w:p>
          <w:p w:rsidR="009A7666" w:rsidRPr="00384ADB" w:rsidRDefault="009A7666" w:rsidP="0039317F">
            <w:pPr>
              <w:pStyle w:val="InstructionsText"/>
              <w:rPr>
                <w:rStyle w:val="FormatvorlageInstructionsTabelleText"/>
                <w:rFonts w:ascii="Times New Roman" w:hAnsi="Times New Roman"/>
                <w:b/>
                <w:sz w:val="24"/>
              </w:rPr>
            </w:pPr>
          </w:p>
          <w:p w:rsidR="00BB3751" w:rsidRPr="00384ADB" w:rsidRDefault="00965D5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Anexo I, ponto 1, alíneas a), b) e f), do CRR.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garantias financeiras são contratos que exigem que o emitente efetue d</w:t>
            </w:r>
            <w:r>
              <w:rPr>
                <w:rStyle w:val="FormatvorlageInstructionsTabelleText"/>
                <w:rFonts w:ascii="Times New Roman" w:hAnsi="Times New Roman"/>
                <w:sz w:val="24"/>
              </w:rPr>
              <w:t>e</w:t>
            </w:r>
            <w:r>
              <w:rPr>
                <w:rStyle w:val="FormatvorlageInstructionsTabelleText"/>
                <w:rFonts w:ascii="Times New Roman" w:hAnsi="Times New Roman"/>
                <w:sz w:val="24"/>
              </w:rPr>
              <w:t>terminados pagamentos para reembolsar o detentor por uma perda em que este incorre devido ao facto de um determinado devedor não efetuar o pagamento no vencimento de acordo com as condições originais ou modific</w:t>
            </w:r>
            <w:r>
              <w:rPr>
                <w:rStyle w:val="FormatvorlageInstructionsTabelleText"/>
                <w:rFonts w:ascii="Times New Roman" w:hAnsi="Times New Roman"/>
                <w:sz w:val="24"/>
              </w:rPr>
              <w:t>a</w:t>
            </w:r>
            <w:r>
              <w:rPr>
                <w:rStyle w:val="FormatvorlageInstructionsTabelleText"/>
                <w:rFonts w:ascii="Times New Roman" w:hAnsi="Times New Roman"/>
                <w:sz w:val="24"/>
              </w:rPr>
              <w:t>das de um instrumento de dívida. Os derivados de crédito não incluídos na coluna «Derivados» devem ser relatados nesta coluna.</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Outros compromissos</w:t>
            </w:r>
          </w:p>
          <w:p w:rsidR="00B0191A" w:rsidRPr="00384ADB" w:rsidRDefault="00B0191A" w:rsidP="0039317F">
            <w:pPr>
              <w:pStyle w:val="InstructionsText"/>
              <w:rPr>
                <w:rStyle w:val="FormatvorlageInstructionsTabelleText"/>
                <w:rFonts w:ascii="Times New Roman" w:hAnsi="Times New Roman"/>
                <w:b/>
                <w:sz w:val="24"/>
              </w:rPr>
            </w:pPr>
          </w:p>
          <w:p w:rsidR="00BB3751" w:rsidRPr="00384ADB" w:rsidRDefault="00BB3751" w:rsidP="0070440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Os outros compromissos são os elementos constantes do anexo I do CRR não incluídos nas categorias anteriores. O</w:t>
            </w:r>
            <w:r>
              <w:rPr>
                <w:rFonts w:ascii="Times New Roman" w:hAnsi="Times New Roman"/>
                <w:sz w:val="24"/>
              </w:rPr>
              <w:t xml:space="preserve"> valor das posições em risco de uma obrigação jurídica única decorrente de acordos cruzados de compens</w:t>
            </w:r>
            <w:r>
              <w:rPr>
                <w:rFonts w:ascii="Times New Roman" w:hAnsi="Times New Roman"/>
                <w:sz w:val="24"/>
              </w:rPr>
              <w:t>a</w:t>
            </w:r>
            <w:r>
              <w:rPr>
                <w:rFonts w:ascii="Times New Roman" w:hAnsi="Times New Roman"/>
                <w:sz w:val="24"/>
              </w:rPr>
              <w:t>ção contratual multiproduto com uma contraparte da instituição deve ser r</w:t>
            </w:r>
            <w:r>
              <w:rPr>
                <w:rFonts w:ascii="Times New Roman" w:hAnsi="Times New Roman"/>
                <w:sz w:val="24"/>
              </w:rPr>
              <w:t>e</w:t>
            </w:r>
            <w:r>
              <w:rPr>
                <w:rFonts w:ascii="Times New Roman" w:hAnsi="Times New Roman"/>
                <w:sz w:val="24"/>
              </w:rPr>
              <w:t>latado nesta coluna.</w:t>
            </w:r>
            <w:r>
              <w:rPr>
                <w:rStyle w:val="InstructionsTabelleberschrift"/>
                <w:rFonts w:ascii="Times New Roman" w:hAnsi="Times New Roman"/>
                <w:b w:val="0"/>
                <w:sz w:val="24"/>
                <w:u w:val="none"/>
              </w:rPr>
              <w:t xml:space="preserve">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Posições em risco indiretas</w:t>
            </w:r>
          </w:p>
          <w:p w:rsidR="00BB3751" w:rsidRPr="00384ADB" w:rsidRDefault="00BB3751"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pPr>
            <w:r>
              <w:t xml:space="preserve">Artigo 403.º do </w:t>
            </w:r>
            <w:r>
              <w:rPr>
                <w:rStyle w:val="FormatvorlageInstructionsTabelleText"/>
                <w:rFonts w:ascii="Times New Roman" w:hAnsi="Times New Roman"/>
                <w:sz w:val="24"/>
              </w:rPr>
              <w:t>CRR</w:t>
            </w:r>
            <w:r>
              <w:t>.</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acordo com o artigo 403.º do</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uma instituição de crédito pode usar o método de substituição nos casos em que uma posição em risco sobre um cliente esteja garantida por um terceiro ou caucionada por títulos emitidos por um terceiro. </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instituição deve relatar neste bloco de colunas os montantes das posições em risco diretas reafetadas ao garante ou ao emitente das cauções prest</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das, desde que a este último fosse atribuída uma ponderação de risco igual ou inferior à ponderação que seria aplicada ao terceiro ao abrigo da parte III, tít</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lo II, capítulo 2, do Regulamento CRR. A posição em risco</w:t>
            </w:r>
            <w:r>
              <w:t xml:space="preserve"> </w:t>
            </w:r>
            <w:r>
              <w:rPr>
                <w:rStyle w:val="InstructionsTabelleberschrift"/>
                <w:rFonts w:ascii="Times New Roman" w:hAnsi="Times New Roman"/>
                <w:b w:val="0"/>
                <w:sz w:val="24"/>
                <w:u w:val="none"/>
              </w:rPr>
              <w:t>garantida orig</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nal de referência (posição em risco direta) deve ser deduzida à posição em risco sobre o mutuário original nas colunas «Técnicas de redução do risco de crédito elegíveis». A posição em risco indireta deve aumentar a posição em risco perante o garante ou o emitente da caução através do efeito de subst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tuição. O mesmo se aplica às garantias prestadas dentro de um grupo de cl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entes ligados entre si.</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instituição deve relatar o montante original das posições em risco indir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tas na coluna que corresponde ao tipo de posição em risco direta garantida ou caucionada, ou seja, por exemplo, quando a posição em risco direta garantida for um instrumento de dívida, o montante da «Posição em risco indireta» afetado ao garante deve ser relatado na coluna «Instrumentos de d</w:t>
            </w:r>
            <w:r>
              <w:rPr>
                <w:rStyle w:val="InstructionsTabelleberschrift"/>
                <w:rFonts w:ascii="Times New Roman" w:hAnsi="Times New Roman"/>
                <w:b w:val="0"/>
                <w:sz w:val="24"/>
                <w:u w:val="none"/>
              </w:rPr>
              <w:t>í</w:t>
            </w:r>
            <w:r>
              <w:rPr>
                <w:rStyle w:val="InstructionsTabelleberschrift"/>
                <w:rFonts w:ascii="Times New Roman" w:hAnsi="Times New Roman"/>
                <w:b w:val="0"/>
                <w:sz w:val="24"/>
                <w:u w:val="none"/>
              </w:rPr>
              <w:t>vida».</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Os riscos decorrentes dos títulos de dívida indexados a crédito devem ser também relatados neste bloco de colunas, em conformidade com o artigo 399.º do</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dívida</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a coluna 060.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AE2F75">
        <w:tc>
          <w:tcPr>
            <w:tcW w:w="1418" w:type="dxa"/>
            <w:shd w:val="clear" w:color="auto" w:fill="FFFFFF"/>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capital próprio</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Ver a coluna 070.</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a coluna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Elementos extrapatrimoniais</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O valor destas colunas deve ser o valor nominal antes da aplicação de qua</w:t>
            </w:r>
            <w:r>
              <w:rPr>
                <w:rFonts w:ascii="Times New Roman" w:hAnsi="Times New Roman"/>
                <w:sz w:val="24"/>
              </w:rPr>
              <w:t>l</w:t>
            </w:r>
            <w:r>
              <w:rPr>
                <w:rFonts w:ascii="Times New Roman" w:hAnsi="Times New Roman"/>
                <w:sz w:val="24"/>
              </w:rPr>
              <w:t>quer redução por conta de ajustamentos específicos para risco de crédito e de fatores de conversão específicos.</w:t>
            </w:r>
          </w:p>
          <w:p w:rsidR="00BB3751" w:rsidRPr="00384ADB" w:rsidRDefault="00BB3751" w:rsidP="0039317F">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Compromissos de empréstimo</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a coluna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Garantias financeiras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a coluna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Outros compromissos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a coluna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Posições em risco adicionais decorrentes de operações em que existe uma posição em risco em relação aos ativos subjacentes</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390.º, n.º 7, do CRR.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Posições em risco adicionais que decorrem de operações em que existe uma posição em risco em relação aos ativos subjacentes</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Ajustamentos de valor e provisões</w:t>
            </w:r>
          </w:p>
          <w:p w:rsidR="00BB3751" w:rsidRPr="00384ADB" w:rsidRDefault="00BB3751" w:rsidP="004675B7">
            <w:pPr>
              <w:pStyle w:val="Default"/>
              <w:jc w:val="both"/>
              <w:rPr>
                <w:rStyle w:val="FormatvorlageInstructionsTabelleText"/>
                <w:rFonts w:ascii="Times New Roman" w:eastAsia="Times New Roman" w:hAnsi="Times New Roman"/>
                <w:b/>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Artigos 34.º, 24.º, 110.º e 111.º do CRR.</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Ajustamentos de valor e provisões incluídos no quadro contabilístico corre</w:t>
            </w:r>
            <w:r>
              <w:rPr>
                <w:rStyle w:val="FormatvorlageInstructionsTabelleText"/>
                <w:rFonts w:ascii="Times New Roman" w:hAnsi="Times New Roman"/>
                <w:color w:val="auto"/>
                <w:sz w:val="24"/>
              </w:rPr>
              <w:t>s</w:t>
            </w:r>
            <w:r>
              <w:rPr>
                <w:rStyle w:val="FormatvorlageInstructionsTabelleText"/>
                <w:rFonts w:ascii="Times New Roman" w:hAnsi="Times New Roman"/>
                <w:color w:val="auto"/>
                <w:sz w:val="24"/>
              </w:rPr>
              <w:t xml:space="preserve">pondente (Diretiva 86/635/CEE ou Regulamento (CE) n.º 1606/2002) que afetam a avaliação das posições em risco de acordo com os artigos 24.º e 110.º do </w:t>
            </w:r>
            <w:r>
              <w:rPr>
                <w:rStyle w:val="FormatvorlageInstructionsTabelleText"/>
                <w:rFonts w:ascii="Times New Roman" w:hAnsi="Times New Roman"/>
                <w:sz w:val="24"/>
              </w:rPr>
              <w:t>CRR</w:t>
            </w:r>
            <w:r>
              <w:rPr>
                <w:rStyle w:val="FormatvorlageInstructionsTabelleText"/>
                <w:rFonts w:ascii="Times New Roman" w:hAnsi="Times New Roman"/>
                <w:color w:val="auto"/>
                <w:sz w:val="24"/>
              </w:rPr>
              <w:t>.</w:t>
            </w:r>
            <w:r>
              <w:rPr>
                <w:rFonts w:ascii="Times New Roman" w:hAnsi="Times New Roman"/>
              </w:rPr>
              <w:t xml:space="preserve"> </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Os ajustamentos de valor e as provisões associados à posição em risco br</w:t>
            </w:r>
            <w:r>
              <w:rPr>
                <w:rStyle w:val="FormatvorlageInstructionsTabelleText"/>
                <w:rFonts w:ascii="Times New Roman" w:hAnsi="Times New Roman"/>
                <w:color w:val="auto"/>
                <w:sz w:val="24"/>
              </w:rPr>
              <w:t>u</w:t>
            </w:r>
            <w:r>
              <w:rPr>
                <w:rStyle w:val="FormatvorlageInstructionsTabelleText"/>
                <w:rFonts w:ascii="Times New Roman" w:hAnsi="Times New Roman"/>
                <w:color w:val="auto"/>
                <w:sz w:val="24"/>
              </w:rPr>
              <w:t>ta da coluna 040 devem</w:t>
            </w:r>
            <w:r>
              <w:rPr>
                <w:rStyle w:val="FormatvorlageInstructionsTabelleText"/>
                <w:rFonts w:ascii="Times New Roman" w:hAnsi="Times New Roman"/>
                <w:sz w:val="24"/>
              </w:rPr>
              <w:t xml:space="preserve"> ser relatados nesta coluna. </w:t>
            </w:r>
          </w:p>
          <w:p w:rsidR="00BB3751" w:rsidRPr="00384ADB" w:rsidRDefault="00BB3751" w:rsidP="00751BC8">
            <w:pPr>
              <w:pStyle w:val="Default"/>
              <w:jc w:val="both"/>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Posições em risco deduzidas aos fundos próprios</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Artigo 390.º, n.º 6, alínea e), do</w:t>
            </w:r>
            <w:r>
              <w:t xml:space="preserve"> </w:t>
            </w:r>
            <w:r>
              <w:rPr>
                <w:rStyle w:val="FormatvorlageInstructionsTabelleText"/>
                <w:rFonts w:ascii="Times New Roman" w:hAnsi="Times New Roman"/>
                <w:sz w:val="24"/>
              </w:rPr>
              <w:t xml:space="preserve">CRR. </w:t>
            </w:r>
          </w:p>
          <w:p w:rsidR="00B0191A" w:rsidRPr="00384ADB" w:rsidRDefault="00B0191A">
            <w:pPr>
              <w:pStyle w:val="InstructionsText"/>
              <w:rPr>
                <w:rStyle w:val="FormatvorlageInstructionsTabelleText"/>
                <w:rFonts w:ascii="Times New Roman" w:eastAsia="Calibri" w:hAnsi="Times New Roman"/>
                <w:color w:val="000000"/>
                <w:sz w:val="24"/>
              </w:rPr>
            </w:pPr>
          </w:p>
          <w:p w:rsidR="00B0191A" w:rsidRPr="00384ADB" w:rsidRDefault="00BB3751">
            <w:pPr>
              <w:pStyle w:val="InstructionsText"/>
              <w:rPr>
                <w:rStyle w:val="FormatvorlageInstructionsTabelleText"/>
                <w:rFonts w:ascii="Times New Roman" w:eastAsia="Calibri" w:hAnsi="Times New Roman"/>
                <w:color w:val="000000"/>
                <w:sz w:val="24"/>
              </w:rPr>
            </w:pPr>
            <w:r>
              <w:rPr>
                <w:rStyle w:val="FormatvorlageInstructionsTabelleText"/>
                <w:rFonts w:ascii="Times New Roman" w:hAnsi="Times New Roman"/>
                <w:sz w:val="24"/>
              </w:rPr>
              <w:t xml:space="preserve">Devem ser relatadas as posições em risco deduzidas aos fundos próprios, a incluir nas diferentes colunas do total das posições em risco originais. </w:t>
            </w:r>
          </w:p>
          <w:p w:rsidR="00BB3751" w:rsidRPr="00F40CD9" w:rsidRDefault="00BB3751" w:rsidP="001E6FAF">
            <w:pPr>
              <w:pStyle w:val="Default"/>
              <w:jc w:val="both"/>
              <w:rPr>
                <w:rStyle w:val="FormatvorlageInstructionsTabelleText"/>
                <w:rFonts w:ascii="Times New Roman" w:hAnsi="Times New Roman"/>
                <w:b/>
                <w:sz w:val="24"/>
              </w:rPr>
            </w:pPr>
          </w:p>
        </w:tc>
      </w:tr>
      <w:tr w:rsidR="00BB3751" w:rsidRPr="00384ADB" w:rsidTr="00E17043">
        <w:tc>
          <w:tcPr>
            <w:tcW w:w="1418" w:type="dxa"/>
            <w:vAlign w:val="center"/>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 das posições em risco antes da aplicação das isenções e de técnicas de redução do risco de crédito</w:t>
            </w:r>
          </w:p>
          <w:p w:rsidR="00BB3751" w:rsidRPr="00384ADB" w:rsidRDefault="00BB3751" w:rsidP="005149C1">
            <w:pPr>
              <w:pStyle w:val="Default"/>
              <w:rPr>
                <w:rFonts w:ascii="Times New Roman" w:hAnsi="Times New Roman" w:cs="Times New Roman"/>
                <w:b/>
              </w:rPr>
            </w:pPr>
          </w:p>
          <w:p w:rsidR="00BB3751" w:rsidRPr="00384ADB" w:rsidRDefault="00BB3751" w:rsidP="0039317F">
            <w:pPr>
              <w:pStyle w:val="InstructionsText"/>
            </w:pPr>
            <w:r>
              <w:t xml:space="preserve">Artigo 394.º, n.º 1, alínea b), do </w:t>
            </w:r>
            <w:r>
              <w:rPr>
                <w:rStyle w:val="FormatvorlageInstructionsTabelleText"/>
                <w:rFonts w:ascii="Times New Roman" w:hAnsi="Times New Roman"/>
                <w:sz w:val="24"/>
              </w:rPr>
              <w:t>CRR</w:t>
            </w:r>
            <w:r>
              <w:t>.</w:t>
            </w:r>
          </w:p>
          <w:p w:rsidR="00BB3751" w:rsidRPr="00384ADB" w:rsidRDefault="00BB3751" w:rsidP="0039317F">
            <w:pPr>
              <w:pStyle w:val="InstructionsText"/>
            </w:pPr>
          </w:p>
          <w:p w:rsidR="00BB3751" w:rsidRPr="00384ADB" w:rsidRDefault="008A4511" w:rsidP="0039317F">
            <w:pPr>
              <w:pStyle w:val="InstructionsText"/>
            </w:pPr>
            <w:r>
              <w:t>As instituições devem relatar o valor da posição em risco antes da consid</w:t>
            </w:r>
            <w:r>
              <w:t>e</w:t>
            </w:r>
            <w:r>
              <w:t>ração do efeito da redução do risco de crédito, quando aplicável.</w:t>
            </w:r>
          </w:p>
          <w:p w:rsidR="00BB3751" w:rsidRPr="00384ADB" w:rsidRDefault="00BB3751"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w:t>
            </w:r>
          </w:p>
          <w:p w:rsidR="00BB3751" w:rsidRPr="0039317F" w:rsidRDefault="00BB3751" w:rsidP="0039317F">
            <w:pPr>
              <w:pStyle w:val="InstructionsText"/>
            </w:pPr>
          </w:p>
          <w:p w:rsidR="00BB3751" w:rsidRPr="0039317F" w:rsidRDefault="00BB3751" w:rsidP="0039317F">
            <w:pPr>
              <w:pStyle w:val="InstructionsText"/>
            </w:pPr>
            <w:r>
              <w:t>O valor das posições em risco a relatar nesta coluna deve ser o montante ut</w:t>
            </w:r>
            <w:r>
              <w:t>i</w:t>
            </w:r>
            <w:r>
              <w:t xml:space="preserve">lizado para determinar se uma posição em risco é um grande risco de acordo com a definição do artigo 392.º do </w:t>
            </w:r>
            <w:r>
              <w:rPr>
                <w:rStyle w:val="FormatvorlageInstructionsTabelleText"/>
                <w:rFonts w:ascii="Times New Roman" w:hAnsi="Times New Roman"/>
                <w:sz w:val="24"/>
              </w:rPr>
              <w:t>CRR</w:t>
            </w:r>
            <w:r>
              <w:t>.</w:t>
            </w:r>
          </w:p>
          <w:p w:rsidR="00B0191A" w:rsidRPr="0039317F" w:rsidRDefault="00B0191A" w:rsidP="000F0ADE">
            <w:pPr>
              <w:pStyle w:val="InstructionsText"/>
            </w:pPr>
          </w:p>
          <w:p w:rsidR="00B0191A" w:rsidRPr="0039317F" w:rsidRDefault="00BB3751">
            <w:pPr>
              <w:pStyle w:val="InstructionsText"/>
            </w:pPr>
            <w:r>
              <w:t>Esse montante inclui a posição em risco original após subtração dos ajust</w:t>
            </w:r>
            <w:r>
              <w:t>a</w:t>
            </w:r>
            <w:r>
              <w:t>mentos de valor, das provisões e do valor das posições em risco deduzidas aos fundos próprios.</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extra carteira de negociação</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Montante dos elementos extra carteira de negociação decorrente do total das posições em risco antes da aplicação de isenções e técnicas de redução do risco de crédito.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do capital elegível</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4.º, n.º 1, ponto 71, alínea b), e artigo 395.º do</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B3751" w:rsidRPr="00384ADB" w:rsidRDefault="00BB3751" w:rsidP="004675B7">
            <w:pPr>
              <w:spacing w:before="0" w:after="0"/>
              <w:rPr>
                <w:rStyle w:val="InstructionsTabelleberschrift"/>
                <w:rFonts w:ascii="Times New Roman" w:hAnsi="Times New Roman"/>
                <w:b w:val="0"/>
                <w:bCs w:val="0"/>
                <w:sz w:val="24"/>
                <w:u w:val="none"/>
              </w:rPr>
            </w:pPr>
          </w:p>
          <w:p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 montante a relatar é a percentagem do valor das posições em risco antes da aplicação das isenções e técnicas de redução do risco de crédito relaci</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nadas com os fundos próprios elegíveis da instituição, como definido no 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tigo 4.º, n.º 1, ponto 71, alínea b), do</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B3751" w:rsidRPr="00384ADB" w:rsidRDefault="00BB3751" w:rsidP="00151B6A">
            <w:pPr>
              <w:spacing w:before="0" w:after="0"/>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Técnicas de redução do risco de crédito (CRM) elegíveis</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Artigos 399.º e 401.º a 403.º do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«Técnicas CRM» como definidas no artigo 4.º, n.º 1, ponto 57, do CRR.</w:t>
            </w:r>
          </w:p>
          <w:p w:rsidR="00BB3751" w:rsidRPr="00384ADB" w:rsidRDefault="00BB3751" w:rsidP="004675B7">
            <w:pPr>
              <w:spacing w:before="0" w:after="0"/>
              <w:rPr>
                <w:rStyle w:val="FormatvorlageInstructionsTabelleText"/>
                <w:rFonts w:ascii="Times New Roman" w:hAnsi="Times New Roman"/>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Para efeitos do relato aqui referido, as técnicas CRM reconhecidas na parte III, título II, capítulos 3 e 4 do CRR devem ser utilizadas de acordo</w:t>
            </w:r>
            <w:r>
              <w:rPr>
                <w:rStyle w:val="InstructionsTabelleberschrift"/>
                <w:rFonts w:ascii="Times New Roman" w:hAnsi="Times New Roman"/>
                <w:b w:val="0"/>
                <w:sz w:val="24"/>
                <w:u w:val="none"/>
              </w:rPr>
              <w:t xml:space="preserve"> com os artigos 401.º a 403.º do</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w:t>
            </w:r>
          </w:p>
          <w:p w:rsidR="00BB3751" w:rsidRPr="00384ADB" w:rsidRDefault="00BB3751" w:rsidP="004675B7">
            <w:pPr>
              <w:spacing w:before="0" w:after="0"/>
              <w:rPr>
                <w:rStyle w:val="InstructionsTabelleberschrift"/>
                <w:rFonts w:ascii="Times New Roman" w:hAnsi="Times New Roman"/>
                <w:b w:val="0"/>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técnicas CRM podem produzir três efeitos diferentes no regime LE: efe</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to de substituição, proteção real de crédito com exceção do efeito de subst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tuição e tratamento do imobiliário.</w:t>
            </w:r>
          </w:p>
          <w:p w:rsidR="00BB3751" w:rsidRPr="00384ADB" w:rsidRDefault="00BB3751" w:rsidP="00E02226">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Efeito de substituição das técnicas de redução do risco de crédito el</w:t>
            </w:r>
            <w:r>
              <w:rPr>
                <w:rStyle w:val="InstructionsTabelleberschrift"/>
                <w:rFonts w:ascii="Times New Roman" w:hAnsi="Times New Roman"/>
                <w:sz w:val="24"/>
              </w:rPr>
              <w:t>e</w:t>
            </w:r>
            <w:r>
              <w:rPr>
                <w:rStyle w:val="InstructionsTabelleberschrift"/>
                <w:rFonts w:ascii="Times New Roman" w:hAnsi="Times New Roman"/>
                <w:sz w:val="24"/>
              </w:rPr>
              <w:t>gíveis</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9317F"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403.º do</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rsidR="00B0191A" w:rsidRPr="0039317F" w:rsidRDefault="00B0191A" w:rsidP="000F0ADE">
            <w:pPr>
              <w:pStyle w:val="InstructionsText"/>
              <w:rPr>
                <w:rStyle w:val="InstructionsTabelleberschrift"/>
                <w:rFonts w:ascii="Times New Roman" w:hAnsi="Times New Roman"/>
                <w:b w:val="0"/>
                <w:sz w:val="24"/>
                <w:u w:val="none"/>
              </w:rPr>
            </w:pPr>
          </w:p>
          <w:p w:rsidR="00B0191A" w:rsidRPr="0039317F" w:rsidRDefault="00BB3751" w:rsidP="000F0ADE">
            <w:pPr>
              <w:pStyle w:val="InstructionsText"/>
            </w:pPr>
            <w:r>
              <w:rPr>
                <w:rStyle w:val="InstructionsTabelleberschrift"/>
                <w:rFonts w:ascii="Times New Roman" w:hAnsi="Times New Roman"/>
                <w:b w:val="0"/>
                <w:sz w:val="24"/>
                <w:u w:val="none"/>
              </w:rPr>
              <w:t>O montante da proteção real de crédito e da proteção pessoal de crédito a 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latar nestas colunas deve corresponder às posições em risco garantidas por</w:t>
            </w:r>
            <w:r>
              <w:t xml:space="preserve"> um terceiro, ou caucionadas por títulos emitidos por terceiros, se a institu</w:t>
            </w:r>
            <w:r>
              <w:t>i</w:t>
            </w:r>
            <w:r>
              <w:t>ção decidir considerar o risco como incorrido perante o garante ou o emite</w:t>
            </w:r>
            <w:r>
              <w:t>n</w:t>
            </w:r>
            <w:r>
              <w:t>te da caução.</w:t>
            </w:r>
          </w:p>
          <w:p w:rsidR="00B0191A" w:rsidRPr="00384ADB" w:rsidRDefault="00B0191A">
            <w:pPr>
              <w:pStyle w:val="InstructionsText"/>
              <w:rPr>
                <w:rStyle w:val="InstructionsTabelleberschrift"/>
                <w:rFonts w:ascii="Times New Roman" w:hAnsi="Times New Roman"/>
                <w:b w:val="0"/>
                <w:bCs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Instrumentos de dívida</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a coluna 060.</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Instrumentos de capital próprio</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Ver a coluna 070.</w:t>
            </w:r>
          </w:p>
          <w:p w:rsidR="00B0191A" w:rsidRPr="00384ADB" w:rsidRDefault="00B0191A"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Derivados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a coluna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Elementos extrapatrimoniais</w:t>
            </w:r>
          </w:p>
          <w:p w:rsidR="00BB3751" w:rsidRPr="00384ADB" w:rsidRDefault="00BB3751" w:rsidP="0039317F">
            <w:pPr>
              <w:pStyle w:val="InstructionsText"/>
              <w:rPr>
                <w:rStyle w:val="InstructionsTabelleberschrift"/>
                <w:rFonts w:ascii="Times New Roman" w:hAnsi="Times New Roman"/>
                <w:b w:val="0"/>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O valor destas colunas não deve ser objeto de aplicação de fatores de co</w:t>
            </w:r>
            <w:r>
              <w:rPr>
                <w:rFonts w:ascii="Times New Roman" w:hAnsi="Times New Roman"/>
                <w:sz w:val="24"/>
              </w:rPr>
              <w:t>n</w:t>
            </w:r>
            <w:r>
              <w:rPr>
                <w:rFonts w:ascii="Times New Roman" w:hAnsi="Times New Roman"/>
                <w:sz w:val="24"/>
              </w:rPr>
              <w:t>versão.</w:t>
            </w:r>
          </w:p>
          <w:p w:rsidR="00BB3751" w:rsidRPr="00384ADB" w:rsidRDefault="00BB3751" w:rsidP="0039317F">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Compromissos de empréstimo</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a coluna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Garantias financeiras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a coluna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Outros compromissos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a coluna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Proteção real de crédito com exceção do efeito de substituição</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401.º do</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instituição deve relatar os montantes de proteção real de crédito, co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forme definida no artigo 4.º, n.º 1, ponto 58, do</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que são deduzidos ao valor das posições em risco devido à aplicação do artigo 401.º do</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Imobiliário</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402.º do</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instituição deve relatar os montantes deduzidos ao valor da posição em risco devido à aplicação do artigo 402.º do</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Montantes isentos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Artigo 400.º do</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B3751" w:rsidRPr="00384ADB" w:rsidRDefault="00BB3751" w:rsidP="00054652">
            <w:pPr>
              <w:spacing w:before="0" w:after="0"/>
              <w:rPr>
                <w:rStyle w:val="FormatvorlageInstructionsTabelleText"/>
                <w:rFonts w:ascii="Times New Roman" w:hAnsi="Times New Roman"/>
                <w:sz w:val="24"/>
              </w:rPr>
            </w:pPr>
          </w:p>
          <w:p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A instituição deve relatar os</w:t>
            </w:r>
            <w:r>
              <w:rPr>
                <w:rStyle w:val="FormatvorlageInstructionsTabelleText"/>
                <w:rFonts w:ascii="Times New Roman" w:hAnsi="Times New Roman"/>
                <w:sz w:val="24"/>
              </w:rPr>
              <w:t xml:space="preserve"> montantes isentos do regime LE.</w:t>
            </w:r>
          </w:p>
          <w:p w:rsidR="00BB3751" w:rsidRPr="00384ADB" w:rsidRDefault="00BB3751" w:rsidP="006344BC">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 da posição em risco após aplicação das isenções e técnicas CRM</w:t>
            </w:r>
          </w:p>
          <w:p w:rsidR="00BB3751" w:rsidRPr="0039317F" w:rsidRDefault="00BB3751" w:rsidP="0039317F">
            <w:pPr>
              <w:pStyle w:val="InstructionsText"/>
            </w:pPr>
          </w:p>
          <w:p w:rsidR="00BB3751" w:rsidRPr="0039317F" w:rsidRDefault="00BB3751" w:rsidP="0039317F">
            <w:pPr>
              <w:pStyle w:val="InstructionsText"/>
            </w:pPr>
            <w:r>
              <w:t xml:space="preserve">Artigo 394.º, n.º 1, alínea d), do </w:t>
            </w:r>
            <w:r>
              <w:rPr>
                <w:rStyle w:val="FormatvorlageInstructionsTabelleText"/>
                <w:rFonts w:ascii="Times New Roman" w:hAnsi="Times New Roman"/>
                <w:sz w:val="24"/>
              </w:rPr>
              <w:t>CRR</w:t>
            </w:r>
            <w:r>
              <w:t>.</w:t>
            </w:r>
          </w:p>
          <w:p w:rsidR="00B0191A" w:rsidRPr="0039317F" w:rsidRDefault="00B0191A" w:rsidP="000F0ADE">
            <w:pPr>
              <w:pStyle w:val="InstructionsText"/>
            </w:pPr>
          </w:p>
          <w:p w:rsidR="00B0191A" w:rsidRPr="0039317F" w:rsidRDefault="0054768B">
            <w:pPr>
              <w:pStyle w:val="InstructionsText"/>
            </w:pPr>
            <w:r>
              <w:t>A instituição deve relatar o valor da posição em risco tendo em conta o efe</w:t>
            </w:r>
            <w:r>
              <w:t>i</w:t>
            </w:r>
            <w:r>
              <w:t xml:space="preserve">to das isenções e da redução de risco de crédito calculados para efeitos do artigo 395.º, n.º 1, do </w:t>
            </w:r>
            <w:r>
              <w:rPr>
                <w:rStyle w:val="FormatvorlageInstructionsTabelleText"/>
                <w:rFonts w:ascii="Times New Roman" w:hAnsi="Times New Roman"/>
                <w:sz w:val="24"/>
              </w:rPr>
              <w:t>CRR</w:t>
            </w:r>
            <w:r>
              <w:t>.</w:t>
            </w:r>
          </w:p>
          <w:p w:rsidR="00B0191A" w:rsidRPr="00384ADB" w:rsidRDefault="00B0191A">
            <w:pPr>
              <w:pStyle w:val="InstructionsText"/>
              <w:rPr>
                <w:rStyle w:val="InstructionsTabelleberschrift"/>
                <w:rFonts w:ascii="Times New Roman" w:hAnsi="Times New Roman"/>
                <w:bCs w:val="0"/>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w:t>
            </w:r>
          </w:p>
          <w:p w:rsidR="00BB3751" w:rsidRPr="00384ADB" w:rsidRDefault="00BB3751" w:rsidP="0039317F">
            <w:pPr>
              <w:pStyle w:val="InstructionsText"/>
            </w:pPr>
          </w:p>
          <w:p w:rsidR="00BB3751" w:rsidRPr="0039317F" w:rsidRDefault="00BB3751" w:rsidP="000F0ADE">
            <w:pPr>
              <w:pStyle w:val="InstructionsText"/>
            </w:pPr>
            <w:r>
              <w:t>Esta coluna deve incluir o montante a tomar em conta para o cumprimento do limite para os grandes riscos previsto no artigo 395.º do CRR.</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extra carteira de negociação</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instituição deve relatar a posição total em risco após aplicação das isenções e tendo em conta o efeito das técnicas CRM no que se refere aos el</w:t>
            </w:r>
            <w:r>
              <w:rPr>
                <w:rStyle w:val="FormatvorlageInstructionsTabelleText"/>
                <w:rFonts w:ascii="Times New Roman" w:hAnsi="Times New Roman"/>
                <w:sz w:val="24"/>
              </w:rPr>
              <w:t>e</w:t>
            </w:r>
            <w:r>
              <w:rPr>
                <w:rStyle w:val="FormatvorlageInstructionsTabelleText"/>
                <w:rFonts w:ascii="Times New Roman" w:hAnsi="Times New Roman"/>
                <w:sz w:val="24"/>
              </w:rPr>
              <w:t>mentos extra carteira de negociação.</w:t>
            </w:r>
          </w:p>
          <w:p w:rsidR="00BB3751" w:rsidRPr="00384ADB" w:rsidRDefault="00BB3751">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do capital elegível</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BE2D91">
            <w:pPr>
              <w:spacing w:before="0" w:after="0"/>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 instituição deve relatar</w:t>
            </w:r>
            <w:r>
              <w:rPr>
                <w:rStyle w:val="InstructionsTabelleberschrift"/>
                <w:rFonts w:ascii="Times New Roman" w:hAnsi="Times New Roman"/>
                <w:b w:val="0"/>
                <w:sz w:val="24"/>
                <w:u w:val="none"/>
              </w:rPr>
              <w:t xml:space="preserve"> a percentagem do valor das posições em risco após a aplicação das isenções e técnicas de redução do risco de crédito relacion</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das com os fundos próprios elegíveis da instituição, como definidos no art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go 4.º, n.º 1, ponto 71, alínea b), do</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B3751" w:rsidRPr="00384ADB" w:rsidRDefault="00BB3751" w:rsidP="0039317F">
            <w:pPr>
              <w:pStyle w:val="InstructionsText"/>
              <w:rPr>
                <w:rStyle w:val="InstructionsTabelleberschrift"/>
                <w:rFonts w:ascii="Times New Roman" w:hAnsi="Times New Roman"/>
                <w:sz w:val="24"/>
              </w:rPr>
            </w:pPr>
          </w:p>
        </w:tc>
      </w:tr>
    </w:tbl>
    <w:p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34" w:name="_Toc358305157"/>
      <w:bookmarkStart w:id="35" w:name="_Toc393461963"/>
      <w:bookmarkStart w:id="36" w:name="_Toc524097232"/>
      <w:r>
        <w:rPr>
          <w:rFonts w:ascii="Times New Roman" w:hAnsi="Times New Roman"/>
          <w:b/>
          <w:sz w:val="24"/>
          <w:u w:val="none"/>
        </w:rPr>
        <w:t>C 29.00 - Informação pormenorizada sobre as posições em risco sobre clientes ind</w:t>
      </w:r>
      <w:r>
        <w:rPr>
          <w:rFonts w:ascii="Times New Roman" w:hAnsi="Times New Roman"/>
          <w:b/>
          <w:sz w:val="24"/>
          <w:u w:val="none"/>
        </w:rPr>
        <w:t>i</w:t>
      </w:r>
      <w:r>
        <w:rPr>
          <w:rFonts w:ascii="Times New Roman" w:hAnsi="Times New Roman"/>
          <w:b/>
          <w:sz w:val="24"/>
          <w:u w:val="none"/>
        </w:rPr>
        <w:t>viduais que integram grupos de clientes ligados entre si</w:t>
      </w:r>
      <w:bookmarkEnd w:id="34"/>
      <w:r>
        <w:rPr>
          <w:rFonts w:ascii="Times New Roman" w:hAnsi="Times New Roman"/>
          <w:b/>
          <w:sz w:val="24"/>
          <w:u w:val="none"/>
        </w:rPr>
        <w:t xml:space="preserve"> (modelo LE3)</w:t>
      </w:r>
      <w:bookmarkEnd w:id="35"/>
      <w:bookmarkEnd w:id="36"/>
    </w:p>
    <w:p w:rsidR="003105C6" w:rsidRPr="00384ADB" w:rsidRDefault="003105C6" w:rsidP="00C52CE2">
      <w:pPr>
        <w:pStyle w:val="Instructionsberschrift2"/>
        <w:numPr>
          <w:ilvl w:val="1"/>
          <w:numId w:val="22"/>
        </w:numPr>
        <w:rPr>
          <w:rFonts w:ascii="Times New Roman" w:hAnsi="Times New Roman" w:cs="Times New Roman"/>
          <w:sz w:val="24"/>
        </w:rPr>
      </w:pPr>
      <w:bookmarkStart w:id="37" w:name="_Toc308175824"/>
      <w:bookmarkStart w:id="38" w:name="_Toc310414970"/>
      <w:bookmarkStart w:id="39" w:name="_Toc358305158"/>
      <w:bookmarkStart w:id="40" w:name="_Toc393461964"/>
      <w:bookmarkStart w:id="41" w:name="_Toc524097233"/>
      <w:r>
        <w:rPr>
          <w:rFonts w:ascii="Times New Roman" w:hAnsi="Times New Roman"/>
          <w:sz w:val="24"/>
        </w:rPr>
        <w:t>Instruções relativas a colunas</w:t>
      </w:r>
      <w:bookmarkEnd w:id="37"/>
      <w:bookmarkEnd w:id="38"/>
      <w:r>
        <w:rPr>
          <w:rFonts w:ascii="Times New Roman" w:hAnsi="Times New Roman"/>
          <w:sz w:val="24"/>
        </w:rPr>
        <w:t xml:space="preserve"> específicas</w:t>
      </w:r>
      <w:bookmarkEnd w:id="39"/>
      <w:bookmarkEnd w:id="40"/>
      <w:bookmarkEnd w:id="4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rsidTr="00E17043">
        <w:tc>
          <w:tcPr>
            <w:tcW w:w="1418" w:type="dxa"/>
            <w:shd w:val="clear" w:color="auto" w:fill="D9D9D9"/>
          </w:tcPr>
          <w:p w:rsidR="005514AF" w:rsidRPr="00384ADB" w:rsidRDefault="005514AF"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Coluna</w:t>
            </w:r>
          </w:p>
        </w:tc>
        <w:tc>
          <w:tcPr>
            <w:tcW w:w="7620" w:type="dxa"/>
            <w:shd w:val="clear" w:color="auto" w:fill="D9D9D9"/>
          </w:tcPr>
          <w:p w:rsidR="005514AF" w:rsidRPr="00384ADB" w:rsidRDefault="005514AF"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Referências jurídicas e instruções</w:t>
            </w: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rsidR="00704405" w:rsidRPr="00384ADB" w:rsidRDefault="00704405" w:rsidP="0039317F">
            <w:pPr>
              <w:pStyle w:val="InstructionsText"/>
            </w:pPr>
          </w:p>
          <w:p w:rsidR="005514AF" w:rsidRPr="00384ADB" w:rsidRDefault="00BA7374" w:rsidP="0039317F">
            <w:pPr>
              <w:pStyle w:val="InstructionsText"/>
              <w:rPr>
                <w:rStyle w:val="FormatvorlageInstructionsTabelleText"/>
                <w:rFonts w:ascii="Times New Roman" w:hAnsi="Times New Roman"/>
                <w:sz w:val="24"/>
              </w:rPr>
            </w:pPr>
            <w:r>
              <w:t xml:space="preserve">A instituição deve relatar no modelo LE3 os dados dos clientes individuais pertencentes a grupos de clientes ligados entre si incluídos nas linhas do modelo LE2. </w:t>
            </w:r>
          </w:p>
          <w:p w:rsidR="009F75EC" w:rsidRPr="00384ADB" w:rsidRDefault="009F75EC" w:rsidP="000F0ADE">
            <w:pPr>
              <w:pStyle w:val="InstructionsText"/>
              <w:rPr>
                <w:rStyle w:val="InstructionsTabelleberschrift"/>
                <w:rFonts w:ascii="Times New Roman" w:hAnsi="Times New Roman"/>
                <w:b w:val="0"/>
                <w:sz w:val="24"/>
                <w:u w:val="none"/>
              </w:rPr>
            </w:pPr>
          </w:p>
        </w:tc>
      </w:tr>
      <w:tr w:rsidR="006E7C46" w:rsidRPr="00384ADB" w:rsidTr="00383747">
        <w:trPr>
          <w:trHeight w:val="1203"/>
        </w:trPr>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rsidR="006E7C46" w:rsidRPr="00384ADB" w:rsidRDefault="006E7C46" w:rsidP="0039317F">
            <w:pPr>
              <w:pStyle w:val="InstructionsText"/>
              <w:rPr>
                <w:rStyle w:val="InstructionsTabelleberschrift"/>
                <w:rFonts w:ascii="Times New Roman" w:hAnsi="Times New Roman"/>
                <w:b w:val="0"/>
                <w:sz w:val="24"/>
                <w:u w:val="none"/>
              </w:rPr>
            </w:pPr>
          </w:p>
          <w:p w:rsidR="00BD0674" w:rsidRPr="00384ADB"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colunas 010 e 020, em conjunto, identificam uma linha e devem, ta</w:t>
            </w:r>
            <w:r>
              <w:rPr>
                <w:rStyle w:val="InstructionsTabelleberschrift"/>
                <w:rFonts w:ascii="Times New Roman" w:hAnsi="Times New Roman"/>
                <w:b w:val="0"/>
                <w:sz w:val="24"/>
                <w:u w:val="none"/>
              </w:rPr>
              <w:t>m</w:t>
            </w:r>
            <w:r>
              <w:rPr>
                <w:rStyle w:val="InstructionsTabelleberschrift"/>
                <w:rFonts w:ascii="Times New Roman" w:hAnsi="Times New Roman"/>
                <w:b w:val="0"/>
                <w:sz w:val="24"/>
                <w:u w:val="none"/>
              </w:rPr>
              <w:t>bém em conjunto, ser únicas para cada linha da tabela.</w:t>
            </w:r>
          </w:p>
          <w:p w:rsidR="00C53963" w:rsidRPr="00384ADB"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Deve ser relatado o código de cada contraparte integrada no grupo de clie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tes ligados entre si.</w:t>
            </w:r>
          </w:p>
          <w:p w:rsidR="00C53963" w:rsidRPr="00384ADB" w:rsidRDefault="00C53963">
            <w:pPr>
              <w:pStyle w:val="InstructionsText"/>
              <w:rPr>
                <w:rStyle w:val="InstructionsTabelleberschrift"/>
                <w:rFonts w:ascii="Times New Roman" w:hAnsi="Times New Roman"/>
                <w:sz w:val="24"/>
              </w:rPr>
            </w:pPr>
          </w:p>
        </w:tc>
      </w:tr>
      <w:tr w:rsidR="00FC221F" w:rsidRPr="00384ADB" w:rsidTr="00383747">
        <w:trPr>
          <w:trHeight w:val="1203"/>
        </w:trPr>
        <w:tc>
          <w:tcPr>
            <w:tcW w:w="1418" w:type="dxa"/>
          </w:tcPr>
          <w:p w:rsidR="00FC221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FC221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de grupo</w:t>
            </w:r>
          </w:p>
          <w:p w:rsidR="00FC221F" w:rsidRPr="00384ADB" w:rsidRDefault="00FC221F" w:rsidP="0039317F">
            <w:pPr>
              <w:pStyle w:val="InstructionsText"/>
              <w:rPr>
                <w:rStyle w:val="InstructionsTabelleberschrift"/>
                <w:rFonts w:ascii="Times New Roman" w:hAnsi="Times New Roman"/>
                <w:sz w:val="24"/>
              </w:rPr>
            </w:pPr>
          </w:p>
          <w:p w:rsidR="00BD0674"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colunas 010 e 020, em conjunto, identificam uma linha e devem, ta</w:t>
            </w:r>
            <w:r>
              <w:rPr>
                <w:rStyle w:val="InstructionsTabelleberschrift"/>
                <w:rFonts w:ascii="Times New Roman" w:hAnsi="Times New Roman"/>
                <w:b w:val="0"/>
                <w:sz w:val="24"/>
                <w:u w:val="none"/>
              </w:rPr>
              <w:t>m</w:t>
            </w:r>
            <w:r>
              <w:rPr>
                <w:rStyle w:val="InstructionsTabelleberschrift"/>
                <w:rFonts w:ascii="Times New Roman" w:hAnsi="Times New Roman"/>
                <w:b w:val="0"/>
                <w:sz w:val="24"/>
                <w:u w:val="none"/>
              </w:rPr>
              <w:t>bém em conjunto, ser únicas para cada linha da tabela.</w:t>
            </w:r>
          </w:p>
          <w:p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existir a nível nacional um código único para um grupo de clientes ligados entre si, deve ser esse o código a relatar. Se não existir um código ún</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co a nível nacional, o código a relatar deve ser o código usado para o relato das posições em risco sobre o grupo de clientes ligados entre si no modelo C 28.00 (LE2).</w:t>
            </w:r>
          </w:p>
          <w:p w:rsidR="00B0191A" w:rsidRPr="00384ADB" w:rsidRDefault="00D46F08">
            <w:pPr>
              <w:pStyle w:val="InstructionsText"/>
              <w:rPr>
                <w:rStyle w:val="InstructionsTabelleberschrift"/>
                <w:rFonts w:ascii="Times New Roman" w:hAnsi="Times New Roman"/>
                <w:b w:val="0"/>
                <w:sz w:val="24"/>
                <w:u w:val="none"/>
              </w:rPr>
            </w:pPr>
            <w:r>
              <w:t>Quando um cliente pertence a vários grupos de clientes ligados entre si, d</w:t>
            </w:r>
            <w:r>
              <w:t>e</w:t>
            </w:r>
            <w:r>
              <w:t>ve ser relatado como membro de todos esses grupos de clientes ligados e</w:t>
            </w:r>
            <w:r>
              <w:t>n</w:t>
            </w:r>
            <w:r>
              <w:t>tre si.</w:t>
            </w:r>
            <w:r>
              <w:rPr>
                <w:rStyle w:val="InstructionsTabelleberschrift"/>
                <w:rFonts w:ascii="Times New Roman" w:hAnsi="Times New Roman"/>
                <w:b w:val="0"/>
                <w:sz w:val="24"/>
                <w:u w:val="none"/>
              </w:rPr>
              <w:t xml:space="preserve"> </w:t>
            </w:r>
          </w:p>
          <w:p w:rsidR="00B0191A" w:rsidRPr="00384ADB" w:rsidRDefault="00B0191A">
            <w:pPr>
              <w:pStyle w:val="InstructionsText"/>
              <w:rPr>
                <w:rStyle w:val="InstructionsTabelleberschrift"/>
                <w:rFonts w:ascii="Times New Roman" w:hAnsi="Times New Roman"/>
                <w:sz w:val="24"/>
              </w:rPr>
            </w:pPr>
          </w:p>
        </w:tc>
      </w:tr>
      <w:tr w:rsidR="006E7C46" w:rsidRPr="00384ADB" w:rsidTr="00E17043">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Operações em que existe uma posição em risco em relação aos ativos subjacentes </w:t>
            </w:r>
          </w:p>
          <w:p w:rsidR="006E7C46" w:rsidRPr="00384ADB" w:rsidRDefault="006E7C46" w:rsidP="0039317F">
            <w:pPr>
              <w:pStyle w:val="InstructionsText"/>
              <w:rPr>
                <w:rStyle w:val="FormatvorlageInstructionsTabelleText"/>
                <w:rFonts w:ascii="Times New Roman" w:hAnsi="Times New Roman"/>
                <w:sz w:val="24"/>
              </w:rPr>
            </w:pPr>
          </w:p>
          <w:p w:rsidR="003D3140" w:rsidRPr="00384ADB" w:rsidRDefault="003D3140"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a coluna 030 do modelo LE2.</w:t>
            </w:r>
          </w:p>
          <w:p w:rsidR="00B0191A" w:rsidRPr="00384ADB" w:rsidRDefault="00B0191A">
            <w:pPr>
              <w:pStyle w:val="InstructionsText"/>
              <w:rPr>
                <w:rStyle w:val="InstructionsTabelleberschrift"/>
                <w:rFonts w:ascii="Times New Roman" w:hAnsi="Times New Roman"/>
                <w:sz w:val="24"/>
              </w:rPr>
            </w:pP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5514A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Tipo de ligação</w:t>
            </w:r>
          </w:p>
          <w:p w:rsidR="005514AF" w:rsidRPr="00384ADB" w:rsidRDefault="005514AF" w:rsidP="0039317F">
            <w:pPr>
              <w:pStyle w:val="InstructionsText"/>
              <w:rPr>
                <w:rStyle w:val="FormatvorlageInstructionsTabelleText"/>
                <w:rFonts w:ascii="Times New Roman" w:hAnsi="Times New Roman"/>
                <w:b/>
                <w:sz w:val="24"/>
              </w:rPr>
            </w:pPr>
          </w:p>
          <w:p w:rsidR="00B05254" w:rsidRPr="00384ADB" w:rsidRDefault="00D46F08"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tipo de ligação entre a cada entidade e o grupo de clientes ligados entre si deve ser especificado utilizando:</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na aceção do artigo 4.º, n.º 1, ponto 39, alínea a), do CRR (controlo); ou</w:t>
            </w: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na aceção do artigo 4.º, n.º 1, ponto 39, alínea b), do CRR (interlig</w:t>
            </w:r>
            <w:r>
              <w:rPr>
                <w:rStyle w:val="FormatvorlageInstructionsTabelleText"/>
                <w:rFonts w:ascii="Times New Roman" w:hAnsi="Times New Roman"/>
                <w:sz w:val="24"/>
              </w:rPr>
              <w:t>a</w:t>
            </w:r>
            <w:r>
              <w:rPr>
                <w:rStyle w:val="FormatvorlageInstructionsTabelleText"/>
                <w:rFonts w:ascii="Times New Roman" w:hAnsi="Times New Roman"/>
                <w:sz w:val="24"/>
              </w:rPr>
              <w:t>ção).</w:t>
            </w:r>
          </w:p>
          <w:p w:rsidR="00B0191A" w:rsidRPr="00384ADB" w:rsidRDefault="00B0191A">
            <w:pPr>
              <w:pStyle w:val="InstructionsText"/>
              <w:rPr>
                <w:rStyle w:val="FormatvorlageInstructionsTabelleText"/>
                <w:rFonts w:ascii="Times New Roman" w:hAnsi="Times New Roman"/>
                <w:b/>
                <w:sz w:val="24"/>
              </w:rPr>
            </w:pPr>
          </w:p>
        </w:tc>
      </w:tr>
      <w:tr w:rsidR="009F75EC" w:rsidRPr="00384ADB" w:rsidTr="009F75EC">
        <w:tc>
          <w:tcPr>
            <w:tcW w:w="1418" w:type="dxa"/>
          </w:tcPr>
          <w:p w:rsidR="009F75E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rsidR="00464111" w:rsidRPr="00384ADB" w:rsidRDefault="00464111" w:rsidP="0039317F">
            <w:pPr>
              <w:pStyle w:val="InstructionsText"/>
              <w:rPr>
                <w:rStyle w:val="InstructionsTabelleberschrift"/>
                <w:rFonts w:ascii="Times New Roman" w:hAnsi="Times New Roman"/>
                <w:b w:val="0"/>
                <w:sz w:val="24"/>
                <w:u w:val="none"/>
              </w:rPr>
            </w:pPr>
          </w:p>
          <w:p w:rsidR="00464111" w:rsidRPr="00384ADB" w:rsidRDefault="0046411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forem disponibilizados à totalidade do grupo de clientes ligados entre si, os instrumentos financeiros do modelo LE2 devem ser afetados a cada contraparte no modelo LE3 de acordo com os critérios de negócio da institu</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ção. </w:t>
            </w:r>
          </w:p>
          <w:p w:rsidR="00667F2D" w:rsidRPr="00384ADB" w:rsidRDefault="00667F2D" w:rsidP="000F0ADE">
            <w:pPr>
              <w:pStyle w:val="InstructionsText"/>
              <w:rPr>
                <w:rStyle w:val="InstructionsTabelleberschrift"/>
                <w:rFonts w:ascii="Times New Roman" w:hAnsi="Times New Roman"/>
                <w:sz w:val="24"/>
              </w:rPr>
            </w:pPr>
          </w:p>
          <w:p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As restantes instruções são as mesmas que são aplicáveis ao modelo LE2.</w:t>
            </w:r>
          </w:p>
          <w:p w:rsidR="00B0191A" w:rsidRPr="00384ADB" w:rsidRDefault="00B0191A">
            <w:pPr>
              <w:pStyle w:val="InstructionsText"/>
              <w:rPr>
                <w:rStyle w:val="InstructionsTabelleberschrift"/>
                <w:rFonts w:ascii="Times New Roman" w:hAnsi="Times New Roman"/>
                <w:sz w:val="24"/>
              </w:rPr>
            </w:pPr>
          </w:p>
        </w:tc>
      </w:tr>
    </w:tbl>
    <w:p w:rsidR="00915A9C" w:rsidRPr="00384ADB" w:rsidRDefault="00BD0674" w:rsidP="00C52CE2">
      <w:pPr>
        <w:pStyle w:val="Instructionsberschrift2"/>
        <w:numPr>
          <w:ilvl w:val="0"/>
          <w:numId w:val="22"/>
        </w:numPr>
        <w:rPr>
          <w:rFonts w:ascii="Times New Roman" w:hAnsi="Times New Roman" w:cs="Times New Roman"/>
          <w:b/>
          <w:sz w:val="24"/>
          <w:u w:val="none"/>
        </w:rPr>
      </w:pPr>
      <w:bookmarkStart w:id="42" w:name="_Toc358305159"/>
      <w:bookmarkStart w:id="43" w:name="_Toc393461965"/>
      <w:bookmarkStart w:id="44" w:name="_Toc524097234"/>
      <w:bookmarkEnd w:id="0"/>
      <w:bookmarkEnd w:id="1"/>
      <w:r>
        <w:rPr>
          <w:rFonts w:ascii="Times New Roman" w:hAnsi="Times New Roman"/>
          <w:b/>
          <w:sz w:val="24"/>
          <w:u w:val="none"/>
        </w:rPr>
        <w:t>C 30.00 - Escalões de prazo de vencimento das 10 maiores posições em risco sobre instituições e das 10 maiores posições em risco sobre entidades financeiras não reg</w:t>
      </w:r>
      <w:r>
        <w:rPr>
          <w:rFonts w:ascii="Times New Roman" w:hAnsi="Times New Roman"/>
          <w:b/>
          <w:sz w:val="24"/>
          <w:u w:val="none"/>
        </w:rPr>
        <w:t>u</w:t>
      </w:r>
      <w:r>
        <w:rPr>
          <w:rFonts w:ascii="Times New Roman" w:hAnsi="Times New Roman"/>
          <w:b/>
          <w:sz w:val="24"/>
          <w:u w:val="none"/>
        </w:rPr>
        <w:t>ladas</w:t>
      </w:r>
      <w:bookmarkEnd w:id="42"/>
      <w:r>
        <w:rPr>
          <w:rFonts w:ascii="Times New Roman" w:hAnsi="Times New Roman"/>
          <w:b/>
          <w:sz w:val="24"/>
          <w:u w:val="none"/>
        </w:rPr>
        <w:t xml:space="preserve"> (modelo LE4)</w:t>
      </w:r>
      <w:bookmarkEnd w:id="43"/>
      <w:bookmarkEnd w:id="44"/>
    </w:p>
    <w:p w:rsidR="00915A9C" w:rsidRPr="00384ADB" w:rsidRDefault="00915A9C" w:rsidP="00C52CE2">
      <w:pPr>
        <w:pStyle w:val="Instructionsberschrift2"/>
        <w:numPr>
          <w:ilvl w:val="1"/>
          <w:numId w:val="22"/>
        </w:numPr>
        <w:rPr>
          <w:rFonts w:ascii="Times New Roman" w:hAnsi="Times New Roman" w:cs="Times New Roman"/>
          <w:sz w:val="24"/>
        </w:rPr>
      </w:pPr>
      <w:bookmarkStart w:id="45" w:name="_Toc358305160"/>
      <w:bookmarkStart w:id="46" w:name="_Toc393461966"/>
      <w:bookmarkStart w:id="47" w:name="_Toc524097235"/>
      <w:r>
        <w:rPr>
          <w:rFonts w:ascii="Times New Roman" w:hAnsi="Times New Roman"/>
          <w:sz w:val="24"/>
        </w:rPr>
        <w:t>Instruções relativas a colunas específicas</w:t>
      </w:r>
      <w:bookmarkEnd w:id="45"/>
      <w:bookmarkEnd w:id="46"/>
      <w:bookmarkEnd w:id="4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384ADB" w:rsidTr="00915A9C">
        <w:tc>
          <w:tcPr>
            <w:tcW w:w="1418" w:type="dxa"/>
            <w:shd w:val="clear" w:color="auto" w:fill="D9D9D9"/>
          </w:tcPr>
          <w:p w:rsidR="00915A9C" w:rsidRPr="00384ADB" w:rsidRDefault="00915A9C"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Coluna</w:t>
            </w:r>
          </w:p>
        </w:tc>
        <w:tc>
          <w:tcPr>
            <w:tcW w:w="7620" w:type="dxa"/>
            <w:shd w:val="clear" w:color="auto" w:fill="D9D9D9"/>
          </w:tcPr>
          <w:p w:rsidR="00915A9C" w:rsidRPr="00384ADB" w:rsidRDefault="00915A9C"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Referências jurídicas e instruções</w:t>
            </w: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rsidR="00915A9C" w:rsidRPr="00384ADB" w:rsidRDefault="00915A9C"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Este código identifica uma linha e deve ser único para cada linha da tabela.</w:t>
            </w:r>
          </w:p>
          <w:p w:rsidR="00B0191A" w:rsidRPr="00384ADB" w:rsidRDefault="00915A9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a coluna 010 do modelo LE1.</w:t>
            </w:r>
          </w:p>
          <w:p w:rsidR="00B0191A" w:rsidRPr="00384ADB" w:rsidRDefault="00B0191A">
            <w:pPr>
              <w:pStyle w:val="InstructionsText"/>
              <w:rPr>
                <w:rStyle w:val="FormatvorlageInstructionsTabelleText"/>
                <w:rFonts w:ascii="Times New Roman" w:hAnsi="Times New Roman"/>
                <w:b/>
                <w:sz w:val="24"/>
              </w:rPr>
            </w:pP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020-250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Escalões de prazo de vencimento da posição em risco</w:t>
            </w:r>
          </w:p>
          <w:p w:rsidR="00915A9C" w:rsidRPr="00384ADB" w:rsidRDefault="00915A9C" w:rsidP="0039317F">
            <w:pPr>
              <w:pStyle w:val="InstructionsText"/>
              <w:rPr>
                <w:rStyle w:val="InstructionsTabelleberschrift"/>
                <w:rFonts w:ascii="Times New Roman" w:hAnsi="Times New Roman"/>
                <w:sz w:val="24"/>
              </w:rPr>
            </w:pPr>
          </w:p>
          <w:p w:rsidR="00ED1EF3" w:rsidRPr="00384ADB" w:rsidRDefault="00915A9C"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394.º, n.º 2, alínea e), do</w:t>
            </w:r>
            <w:r>
              <w:t xml:space="preserve"> </w:t>
            </w:r>
            <w:r>
              <w:rPr>
                <w:rStyle w:val="FormatvorlageInstructionsTabelleText"/>
                <w:rFonts w:ascii="Times New Roman" w:hAnsi="Times New Roman"/>
                <w:sz w:val="24"/>
              </w:rPr>
              <w:t>CRR</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E6A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instituição deve relatar estas informações relativamente às 10 maiores 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sições em risco sobre instituições e às 10 maiores posições em risco sobre entidades do setor financeiro não reguladas.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ED1EF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escalões de prazo de vencimento são definidos com um intervalo me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sal até um ano, com um intervalo trimestral de um ano até três anos e com 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tervalos superiores a partir daí.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valor de cada posição em risco antes da aplicação das isenções e técnicas CRM (coluna 210 do modelo LE2) deve ser relatado pelo seu montante t</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tal pendente e no escalão de prazos de vencimento correspondente ao seu prazo residual previsto. Se existirem diversos relacionamentos separados que 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sultam numa posição em risco sobre um cliente, cada uma das partes dessa posição em risco deve ser relatada pelo seu montante total pendente e no escalão de prazos de vencimento correspondente ao seu prazo residual previ</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to.  Os instrumentos sem vencimento fixo, como as ações, devem ser inclu</w:t>
            </w:r>
            <w:r>
              <w:rPr>
                <w:rStyle w:val="InstructionsTabelleberschrift"/>
                <w:rFonts w:ascii="Times New Roman" w:hAnsi="Times New Roman"/>
                <w:b w:val="0"/>
                <w:sz w:val="24"/>
                <w:u w:val="none"/>
              </w:rPr>
              <w:t>í</w:t>
            </w:r>
            <w:r>
              <w:rPr>
                <w:rStyle w:val="InstructionsTabelleberschrift"/>
                <w:rFonts w:ascii="Times New Roman" w:hAnsi="Times New Roman"/>
                <w:b w:val="0"/>
                <w:sz w:val="24"/>
                <w:u w:val="none"/>
              </w:rPr>
              <w:t>dos na coluna «vencimento indefinido».</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vencimento esperado da posição em risco deve ser relatado tanto para as posições em risco diretas como para as posições em risco indiretas.</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caso das posições em risco diretas, para a afetação dos montantes esp</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rados dos instrumentos de dívida e dos derivados aos diferentes escalões de prazo de vencimento deste modelo, utilizam-se as instruções do modelo hierárquico de escalões de prazo de vencimento para medição adicional da 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quidez (ver anexo XXIII do presente regulamento). </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caso dos elementos extrapatrimoniais, deve ser utilizado o prazo de vencimento do risco subjacente na afetação dos montantes esperados aos esc</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lões de prazo de vencimento. Mais concretamente, no que se refere aos depósitos a prazo, tal significa a estrutura de prazos de vencimento do depós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to; no que se refere às garantias financeiras, a estrutura de prazos de venc</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mento do ativo financeiro subjacente; no que se refere às facilidades de cr</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dito não utilizadas relativas a compromissos de empréstimo, a estrutura de prazos de vencimento do empréstimo; e no que se refere a outros compr</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missos, a estrutura de prazos de vencimento do compromisso.</w:t>
            </w:r>
          </w:p>
          <w:p w:rsidR="00B0191A" w:rsidRPr="00384ADB" w:rsidRDefault="00B0191A">
            <w:pPr>
              <w:pStyle w:val="InstructionsText"/>
              <w:rPr>
                <w:rStyle w:val="InstructionsTabelleberschrift"/>
                <w:rFonts w:ascii="Times New Roman" w:hAnsi="Times New Roman"/>
                <w:b w:val="0"/>
                <w:sz w:val="24"/>
                <w:u w:val="none"/>
              </w:rPr>
            </w:pPr>
          </w:p>
          <w:p w:rsidR="00B0191A"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caso de posições em risco indiretas, a afetação a prazos de vencimento deve basear-se no prazo de vencimento das operações garantidas que geram a posição em risco direta.</w:t>
            </w:r>
          </w:p>
          <w:p w:rsidR="001D319A" w:rsidRPr="000448EA" w:rsidRDefault="001D319A">
            <w:pPr>
              <w:pStyle w:val="InstructionsText"/>
              <w:rPr>
                <w:rStyle w:val="InstructionsTabelleberschrift"/>
                <w:rFonts w:ascii="Times New Roman" w:hAnsi="Times New Roman"/>
                <w:b w:val="0"/>
                <w:sz w:val="24"/>
                <w:u w:val="none"/>
              </w:rPr>
            </w:pPr>
          </w:p>
          <w:p w:rsidR="001D319A" w:rsidRPr="000448EA" w:rsidRDefault="001D3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Nos casos em que uma posição em risco ou parte de uma posição em risco deva ser considerada como estando em incumprimento e seja comunicada como tal nos modelos C 28.00 (LE2, coluna 050) e C 29.00 (LE3, coluna 060), a redução esperada da posição em incumprimento deve ser afetada ao escalão de prazo de vencimento correspondente, da seguinte forma:</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Quando a entidade que relata dispuser, apesar do incumprimento, de um calendário claro dos reembolsos esperados sobre a posição em causa, deve afetar esses reembolsos ao escalão de prazo de venc</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mento correspondente de acordo com esse calendário.</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Quando a entidade que relata não dispuser de uma expectativa just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ficada quanto ao momento em que os montantes em incumprimento irão ser reembolsados (se o forem), deve afetar esses reembolsos ao escalão «vencimento indefinido».</w:t>
            </w:r>
          </w:p>
          <w:p w:rsidR="00B0191A" w:rsidRPr="00384ADB" w:rsidRDefault="00B0191A" w:rsidP="000F0ADE">
            <w:pPr>
              <w:pStyle w:val="InstructionsText"/>
              <w:rPr>
                <w:rStyle w:val="InstructionsTabelleberschrift"/>
                <w:rFonts w:ascii="Times New Roman" w:hAnsi="Times New Roman"/>
                <w:sz w:val="24"/>
              </w:rPr>
            </w:pPr>
          </w:p>
        </w:tc>
      </w:tr>
    </w:tbl>
    <w:p w:rsidR="00915A9C" w:rsidRPr="00384ADB" w:rsidRDefault="00915A9C" w:rsidP="009A77CD">
      <w:pPr>
        <w:spacing w:after="0"/>
        <w:rPr>
          <w:rFonts w:ascii="Times New Roman" w:hAnsi="Times New Roman"/>
          <w:b/>
          <w:sz w:val="24"/>
        </w:rPr>
      </w:pPr>
    </w:p>
    <w:p w:rsidR="003D3140" w:rsidRPr="00384ADB" w:rsidRDefault="00BD0674" w:rsidP="00C52CE2">
      <w:pPr>
        <w:pStyle w:val="Instructionsberschrift2"/>
        <w:numPr>
          <w:ilvl w:val="0"/>
          <w:numId w:val="22"/>
        </w:numPr>
        <w:rPr>
          <w:rFonts w:ascii="Times New Roman" w:hAnsi="Times New Roman" w:cs="Times New Roman"/>
          <w:b/>
          <w:sz w:val="24"/>
          <w:u w:val="none"/>
        </w:rPr>
      </w:pPr>
      <w:bookmarkStart w:id="48" w:name="_Toc393461967"/>
      <w:bookmarkStart w:id="49" w:name="_Toc524097236"/>
      <w:r>
        <w:rPr>
          <w:rFonts w:ascii="Times New Roman" w:hAnsi="Times New Roman"/>
          <w:b/>
          <w:sz w:val="24"/>
          <w:u w:val="none"/>
        </w:rPr>
        <w:t>C 31.00 - Escalões de prazo de vencimento das 10 maiores posições em risco sobre instituições e das 10 maiores posições em risco sobre entidades financeiras não reg</w:t>
      </w:r>
      <w:r>
        <w:rPr>
          <w:rFonts w:ascii="Times New Roman" w:hAnsi="Times New Roman"/>
          <w:b/>
          <w:sz w:val="24"/>
          <w:u w:val="none"/>
        </w:rPr>
        <w:t>u</w:t>
      </w:r>
      <w:r>
        <w:rPr>
          <w:rFonts w:ascii="Times New Roman" w:hAnsi="Times New Roman"/>
          <w:b/>
          <w:sz w:val="24"/>
          <w:u w:val="none"/>
        </w:rPr>
        <w:t>ladas: informação pormenorizada sobre as posições em risco sobre clientes individ</w:t>
      </w:r>
      <w:r>
        <w:rPr>
          <w:rFonts w:ascii="Times New Roman" w:hAnsi="Times New Roman"/>
          <w:b/>
          <w:sz w:val="24"/>
          <w:u w:val="none"/>
        </w:rPr>
        <w:t>u</w:t>
      </w:r>
      <w:r>
        <w:rPr>
          <w:rFonts w:ascii="Times New Roman" w:hAnsi="Times New Roman"/>
          <w:b/>
          <w:sz w:val="24"/>
          <w:u w:val="none"/>
        </w:rPr>
        <w:t>ais que integram grupos de clientes ligados entre si (modelo LE5)</w:t>
      </w:r>
      <w:bookmarkEnd w:id="48"/>
      <w:bookmarkEnd w:id="49"/>
    </w:p>
    <w:p w:rsidR="003D3140" w:rsidRPr="00384ADB"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4097237"/>
      <w:r>
        <w:rPr>
          <w:rFonts w:ascii="Times New Roman" w:hAnsi="Times New Roman"/>
          <w:sz w:val="24"/>
        </w:rPr>
        <w:t>Instruções relativas a colunas específicas</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384ADB" w:rsidTr="00AF0271">
        <w:tc>
          <w:tcPr>
            <w:tcW w:w="1418" w:type="dxa"/>
            <w:shd w:val="clear" w:color="auto" w:fill="D9D9D9"/>
          </w:tcPr>
          <w:p w:rsidR="003D3140" w:rsidRPr="00384ADB" w:rsidRDefault="003D3140"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Coluna</w:t>
            </w:r>
          </w:p>
        </w:tc>
        <w:tc>
          <w:tcPr>
            <w:tcW w:w="7620" w:type="dxa"/>
            <w:shd w:val="clear" w:color="auto" w:fill="D9D9D9"/>
          </w:tcPr>
          <w:p w:rsidR="003D3140" w:rsidRPr="00384ADB" w:rsidRDefault="003D3140"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Referências jurídicas e instruções</w:t>
            </w:r>
          </w:p>
        </w:tc>
      </w:tr>
      <w:tr w:rsidR="00B80B0E" w:rsidRPr="00384ADB" w:rsidTr="00AF0271">
        <w:tc>
          <w:tcPr>
            <w:tcW w:w="1418" w:type="dxa"/>
          </w:tcPr>
          <w:p w:rsidR="00B80B0E"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010-260</w:t>
            </w:r>
          </w:p>
        </w:tc>
        <w:tc>
          <w:tcPr>
            <w:tcW w:w="7620" w:type="dxa"/>
          </w:tcPr>
          <w:p w:rsidR="00B80B0E" w:rsidRPr="00384ADB" w:rsidRDefault="00B80B0E" w:rsidP="0039317F">
            <w:pPr>
              <w:pStyle w:val="InstructionsText"/>
            </w:pPr>
          </w:p>
          <w:p w:rsidR="00B80B0E" w:rsidRPr="00384ADB" w:rsidRDefault="00186D4E" w:rsidP="0039317F">
            <w:pPr>
              <w:pStyle w:val="InstructionsText"/>
            </w:pPr>
            <w:r>
              <w:t>A instituição deve relatar no modelo LE5 os dados de cada contraparte individual pertencentes aos grupos de clientes ligados entre si incluídos nas l</w:t>
            </w:r>
            <w:r>
              <w:t>i</w:t>
            </w:r>
            <w:r>
              <w:t>nhas do modelo LE4.</w:t>
            </w:r>
          </w:p>
          <w:p w:rsidR="00B80B0E" w:rsidRPr="00384ADB" w:rsidRDefault="00B80B0E" w:rsidP="000F0ADE">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rsidR="003D3140" w:rsidRPr="00384ADB" w:rsidRDefault="003D3140"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colunas 010 e 020, em conjunto, identificam uma linha e devem, ta</w:t>
            </w:r>
            <w:r>
              <w:rPr>
                <w:rStyle w:val="FormatvorlageInstructionsTabelleText"/>
                <w:rFonts w:ascii="Times New Roman" w:hAnsi="Times New Roman"/>
                <w:sz w:val="24"/>
              </w:rPr>
              <w:t>m</w:t>
            </w:r>
            <w:r>
              <w:rPr>
                <w:rStyle w:val="FormatvorlageInstructionsTabelleText"/>
                <w:rFonts w:ascii="Times New Roman" w:hAnsi="Times New Roman"/>
                <w:sz w:val="24"/>
              </w:rPr>
              <w:t>bém em conjunto, ser únicas para cada linha da tabela.</w:t>
            </w:r>
          </w:p>
          <w:p w:rsidR="003D3140" w:rsidRPr="00384ADB" w:rsidRDefault="003D314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a coluna 010 do modelo LE3.</w:t>
            </w:r>
          </w:p>
          <w:p w:rsidR="00B0191A" w:rsidRPr="00384ADB" w:rsidRDefault="00B0191A" w:rsidP="000F0ADE">
            <w:pPr>
              <w:pStyle w:val="InstructionsText"/>
              <w:rPr>
                <w:rStyle w:val="FormatvorlageInstructionsTabelleText"/>
                <w:rFonts w:ascii="Times New Roman" w:hAnsi="Times New Roman"/>
                <w:b/>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80B0E" w:rsidRPr="00384ADB" w:rsidRDefault="00B80B0E"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de grupo</w:t>
            </w:r>
          </w:p>
          <w:p w:rsidR="00BD0674" w:rsidRPr="00384ADB" w:rsidRDefault="00BD0674"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colunas 010 e 020, em conjunto, identificam uma linha e devem, ta</w:t>
            </w:r>
            <w:r>
              <w:rPr>
                <w:rStyle w:val="FormatvorlageInstructionsTabelleText"/>
                <w:rFonts w:ascii="Times New Roman" w:hAnsi="Times New Roman"/>
                <w:sz w:val="24"/>
              </w:rPr>
              <w:t>m</w:t>
            </w:r>
            <w:r>
              <w:rPr>
                <w:rStyle w:val="FormatvorlageInstructionsTabelleText"/>
                <w:rFonts w:ascii="Times New Roman" w:hAnsi="Times New Roman"/>
                <w:sz w:val="24"/>
              </w:rPr>
              <w:t>bém em conjunto, ser únicas para cada linha da tabela.</w:t>
            </w:r>
          </w:p>
          <w:p w:rsidR="00B80B0E" w:rsidRPr="00384ADB" w:rsidRDefault="00B80B0E" w:rsidP="000F0AD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Ver a coluna 020 do modelo LE3.</w:t>
            </w:r>
          </w:p>
          <w:p w:rsidR="00B0191A" w:rsidRPr="00384ADB" w:rsidRDefault="00B0191A">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030-260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Escalões de prazo de maturidade das posições em risco</w:t>
            </w:r>
          </w:p>
          <w:p w:rsidR="003D3140" w:rsidRPr="00384ADB" w:rsidRDefault="003D3140" w:rsidP="0039317F">
            <w:pPr>
              <w:pStyle w:val="InstructionsText"/>
              <w:rPr>
                <w:rStyle w:val="InstructionsTabelleberschrift"/>
                <w:rFonts w:ascii="Times New Roman" w:hAnsi="Times New Roman"/>
                <w:sz w:val="24"/>
              </w:rPr>
            </w:pPr>
          </w:p>
          <w:p w:rsidR="003D3140" w:rsidRPr="00384ADB" w:rsidRDefault="00B80B0E"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Ver as colunas 020-250 do modelo LE4.</w:t>
            </w:r>
          </w:p>
          <w:p w:rsidR="00264B52" w:rsidRPr="00384ADB" w:rsidRDefault="00264B52" w:rsidP="000F0ADE">
            <w:pPr>
              <w:pStyle w:val="InstructionsText"/>
              <w:rPr>
                <w:rStyle w:val="InstructionsTabelleberschrift"/>
                <w:rFonts w:ascii="Times New Roman" w:hAnsi="Times New Roman"/>
                <w:sz w:val="24"/>
              </w:rPr>
            </w:pPr>
          </w:p>
        </w:tc>
      </w:tr>
    </w:tbl>
    <w:p w:rsidR="003D3140" w:rsidRPr="00E83F90" w:rsidRDefault="003D3140" w:rsidP="0078562D">
      <w:pPr>
        <w:spacing w:after="0"/>
        <w:rPr>
          <w:rFonts w:ascii="Times New Roman" w:hAnsi="Times New Roman"/>
          <w:sz w:val="24"/>
        </w:rPr>
      </w:pPr>
    </w:p>
    <w:sectPr w:rsidR="003D3140" w:rsidRPr="00E83F90"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967" w:rsidRDefault="00BE5967" w:rsidP="00D946DB">
      <w:pPr>
        <w:spacing w:before="0" w:after="0"/>
      </w:pPr>
      <w:r>
        <w:separator/>
      </w:r>
    </w:p>
  </w:endnote>
  <w:endnote w:type="continuationSeparator" w:id="0">
    <w:p w:rsidR="00BE5967" w:rsidRDefault="00BE5967"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967" w:rsidRPr="00A772B4" w:rsidRDefault="00BE5967">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3C7090">
      <w:rPr>
        <w:rFonts w:ascii="Times New Roman" w:hAnsi="Times New Roman"/>
        <w:noProof/>
      </w:rPr>
      <w:t>2</w:t>
    </w:r>
    <w:r w:rsidRPr="00A772B4">
      <w:rPr>
        <w:rFonts w:ascii="Times New Roman" w:hAnsi="Times New Roman"/>
      </w:rPr>
      <w:fldChar w:fldCharType="end"/>
    </w:r>
  </w:p>
  <w:p w:rsidR="00BE5967" w:rsidRDefault="00BE59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967" w:rsidRDefault="00BE5967">
    <w:pPr>
      <w:pStyle w:val="Footer"/>
      <w:jc w:val="right"/>
    </w:pPr>
    <w:r>
      <w:fldChar w:fldCharType="begin"/>
    </w:r>
    <w:r>
      <w:instrText xml:space="preserve"> PAGE   \* MERGEFORMAT </w:instrText>
    </w:r>
    <w:r>
      <w:fldChar w:fldCharType="separate"/>
    </w:r>
    <w:r w:rsidR="003C7090">
      <w:rPr>
        <w:noProof/>
      </w:rPr>
      <w:t>1</w:t>
    </w:r>
    <w:r>
      <w:rPr>
        <w:noProof/>
      </w:rPr>
      <w:fldChar w:fldCharType="end"/>
    </w:r>
  </w:p>
  <w:p w:rsidR="00BE5967" w:rsidRDefault="00BE596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967" w:rsidRDefault="00BE5967">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5967" w:rsidRDefault="00BE5967">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967" w:rsidRPr="00A772B4" w:rsidRDefault="00BE5967">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3C7090">
      <w:rPr>
        <w:rFonts w:ascii="Times New Roman" w:hAnsi="Times New Roman"/>
        <w:noProof/>
      </w:rPr>
      <w:t>18</w:t>
    </w:r>
    <w:r w:rsidRPr="00A772B4">
      <w:rPr>
        <w:rFonts w:ascii="Times New Roman" w:hAnsi="Times New Roman"/>
      </w:rPr>
      <w:fldChar w:fldCharType="end"/>
    </w:r>
  </w:p>
  <w:p w:rsidR="00BE5967" w:rsidRPr="00A772B4" w:rsidRDefault="00BE5967"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967" w:rsidRDefault="00BE5967" w:rsidP="00D946DB">
      <w:pPr>
        <w:spacing w:before="0" w:after="0"/>
      </w:pPr>
      <w:r>
        <w:separator/>
      </w:r>
    </w:p>
  </w:footnote>
  <w:footnote w:type="continuationSeparator" w:id="0">
    <w:p w:rsidR="00BE5967" w:rsidRDefault="00BE5967"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967" w:rsidRDefault="00BE5967">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4D23"/>
    <w:rsid w:val="003C60B9"/>
    <w:rsid w:val="003C7090"/>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19"/>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2C4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271"/>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5967"/>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467"/>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4AD1"/>
    <w:rsid w:val="00F276A6"/>
    <w:rsid w:val="00F30076"/>
    <w:rsid w:val="00F3075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pt-PT" w:eastAsia="pt-PT" w:bidi="pt-P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pt-P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pt-PT"/>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pt-PT"/>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pt-PT"/>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pt-PT"/>
    </w:rPr>
  </w:style>
  <w:style w:type="character" w:customStyle="1" w:styleId="Heading3Char1">
    <w:name w:val="Heading 3 Char1"/>
    <w:link w:val="Heading3"/>
    <w:uiPriority w:val="99"/>
    <w:rsid w:val="001E5A75"/>
    <w:rPr>
      <w:rFonts w:ascii="Arial" w:hAnsi="Arial"/>
      <w:b/>
      <w:szCs w:val="20"/>
      <w:lang w:eastAsia="pt-PT"/>
    </w:rPr>
  </w:style>
  <w:style w:type="character" w:customStyle="1" w:styleId="Heading4Char">
    <w:name w:val="Heading 4 Char"/>
    <w:link w:val="Heading4"/>
    <w:uiPriority w:val="99"/>
    <w:rsid w:val="00DE0962"/>
    <w:rPr>
      <w:rFonts w:ascii="Verdana" w:eastAsia="Times New Roman" w:hAnsi="Verdana"/>
      <w:b/>
      <w:szCs w:val="24"/>
      <w:u w:val="single"/>
      <w:lang w:eastAsia="pt-PT"/>
    </w:rPr>
  </w:style>
  <w:style w:type="character" w:customStyle="1" w:styleId="Heading5Char">
    <w:name w:val="Heading 5 Char"/>
    <w:link w:val="Heading5"/>
    <w:uiPriority w:val="1"/>
    <w:rsid w:val="001E5A75"/>
    <w:rPr>
      <w:rFonts w:ascii="Arial" w:hAnsi="Arial"/>
      <w:b/>
      <w:i/>
      <w:szCs w:val="20"/>
      <w:lang w:eastAsia="pt-PT"/>
    </w:rPr>
  </w:style>
  <w:style w:type="character" w:customStyle="1" w:styleId="Heading6Char">
    <w:name w:val="Heading 6 Char"/>
    <w:link w:val="Heading6"/>
    <w:semiHidden/>
    <w:rsid w:val="001E5A75"/>
    <w:rPr>
      <w:rFonts w:ascii="Times New Roman" w:hAnsi="Times New Roman"/>
      <w:b/>
      <w:bCs/>
      <w:lang w:eastAsia="pt-PT"/>
    </w:rPr>
  </w:style>
  <w:style w:type="character" w:customStyle="1" w:styleId="Heading7Char">
    <w:name w:val="Heading 7 Char"/>
    <w:link w:val="Heading7"/>
    <w:semiHidden/>
    <w:rsid w:val="001E5A75"/>
    <w:rPr>
      <w:rFonts w:ascii="Times New Roman" w:hAnsi="Times New Roman"/>
      <w:sz w:val="24"/>
      <w:szCs w:val="20"/>
      <w:lang w:eastAsia="pt-PT"/>
    </w:rPr>
  </w:style>
  <w:style w:type="character" w:customStyle="1" w:styleId="Heading8Char">
    <w:name w:val="Heading 8 Char"/>
    <w:link w:val="Heading8"/>
    <w:semiHidden/>
    <w:rsid w:val="001E5A75"/>
    <w:rPr>
      <w:rFonts w:ascii="Times New Roman" w:hAnsi="Times New Roman"/>
      <w:i/>
      <w:iCs/>
      <w:sz w:val="24"/>
      <w:szCs w:val="20"/>
      <w:lang w:eastAsia="pt-PT"/>
    </w:rPr>
  </w:style>
  <w:style w:type="character" w:customStyle="1" w:styleId="Heading9Char">
    <w:name w:val="Heading 9 Char"/>
    <w:link w:val="Heading9"/>
    <w:semiHidden/>
    <w:rsid w:val="001E5A75"/>
    <w:rPr>
      <w:rFonts w:ascii="Arial" w:hAnsi="Arial" w:cs="Arial"/>
      <w:lang w:eastAsia="pt-PT"/>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pt-PT"/>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pt-PT"/>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pt-PT" w:eastAsia="pt-PT"/>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pt-PT"/>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pt-PT"/>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pt-PT"/>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pt-PT" w:eastAsia="pt-PT"/>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pt-PT"/>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pt-PT" w:eastAsia="pt-PT" w:bidi="pt-PT"/>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pt-PT"/>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pt-PT" w:eastAsia="pt-PT" w:bidi="pt-P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pt-P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pt-PT"/>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pt-PT"/>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pt-PT"/>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pt-PT"/>
    </w:rPr>
  </w:style>
  <w:style w:type="character" w:customStyle="1" w:styleId="Heading3Char1">
    <w:name w:val="Heading 3 Char1"/>
    <w:link w:val="Heading3"/>
    <w:uiPriority w:val="99"/>
    <w:rsid w:val="001E5A75"/>
    <w:rPr>
      <w:rFonts w:ascii="Arial" w:hAnsi="Arial"/>
      <w:b/>
      <w:szCs w:val="20"/>
      <w:lang w:eastAsia="pt-PT"/>
    </w:rPr>
  </w:style>
  <w:style w:type="character" w:customStyle="1" w:styleId="Heading4Char">
    <w:name w:val="Heading 4 Char"/>
    <w:link w:val="Heading4"/>
    <w:uiPriority w:val="99"/>
    <w:rsid w:val="00DE0962"/>
    <w:rPr>
      <w:rFonts w:ascii="Verdana" w:eastAsia="Times New Roman" w:hAnsi="Verdana"/>
      <w:b/>
      <w:szCs w:val="24"/>
      <w:u w:val="single"/>
      <w:lang w:eastAsia="pt-PT"/>
    </w:rPr>
  </w:style>
  <w:style w:type="character" w:customStyle="1" w:styleId="Heading5Char">
    <w:name w:val="Heading 5 Char"/>
    <w:link w:val="Heading5"/>
    <w:uiPriority w:val="1"/>
    <w:rsid w:val="001E5A75"/>
    <w:rPr>
      <w:rFonts w:ascii="Arial" w:hAnsi="Arial"/>
      <w:b/>
      <w:i/>
      <w:szCs w:val="20"/>
      <w:lang w:eastAsia="pt-PT"/>
    </w:rPr>
  </w:style>
  <w:style w:type="character" w:customStyle="1" w:styleId="Heading6Char">
    <w:name w:val="Heading 6 Char"/>
    <w:link w:val="Heading6"/>
    <w:semiHidden/>
    <w:rsid w:val="001E5A75"/>
    <w:rPr>
      <w:rFonts w:ascii="Times New Roman" w:hAnsi="Times New Roman"/>
      <w:b/>
      <w:bCs/>
      <w:lang w:eastAsia="pt-PT"/>
    </w:rPr>
  </w:style>
  <w:style w:type="character" w:customStyle="1" w:styleId="Heading7Char">
    <w:name w:val="Heading 7 Char"/>
    <w:link w:val="Heading7"/>
    <w:semiHidden/>
    <w:rsid w:val="001E5A75"/>
    <w:rPr>
      <w:rFonts w:ascii="Times New Roman" w:hAnsi="Times New Roman"/>
      <w:sz w:val="24"/>
      <w:szCs w:val="20"/>
      <w:lang w:eastAsia="pt-PT"/>
    </w:rPr>
  </w:style>
  <w:style w:type="character" w:customStyle="1" w:styleId="Heading8Char">
    <w:name w:val="Heading 8 Char"/>
    <w:link w:val="Heading8"/>
    <w:semiHidden/>
    <w:rsid w:val="001E5A75"/>
    <w:rPr>
      <w:rFonts w:ascii="Times New Roman" w:hAnsi="Times New Roman"/>
      <w:i/>
      <w:iCs/>
      <w:sz w:val="24"/>
      <w:szCs w:val="20"/>
      <w:lang w:eastAsia="pt-PT"/>
    </w:rPr>
  </w:style>
  <w:style w:type="character" w:customStyle="1" w:styleId="Heading9Char">
    <w:name w:val="Heading 9 Char"/>
    <w:link w:val="Heading9"/>
    <w:semiHidden/>
    <w:rsid w:val="001E5A75"/>
    <w:rPr>
      <w:rFonts w:ascii="Arial" w:hAnsi="Arial" w:cs="Arial"/>
      <w:lang w:eastAsia="pt-PT"/>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pt-PT"/>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pt-PT"/>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pt-PT" w:eastAsia="pt-PT"/>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pt-PT"/>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pt-PT"/>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pt-PT"/>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pt-PT" w:eastAsia="pt-PT"/>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pt-PT"/>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pt-PT" w:eastAsia="pt-PT" w:bidi="pt-PT"/>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pt-PT"/>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33E0B-04D7-4270-AE53-893C3ED60F21}">
  <ds:schemaRefs>
    <ds:schemaRef ds:uri="http://schemas.openxmlformats.org/officeDocument/2006/bibliography"/>
  </ds:schemaRefs>
</ds:datastoreItem>
</file>

<file path=customXml/itemProps2.xml><?xml version="1.0" encoding="utf-8"?>
<ds:datastoreItem xmlns:ds="http://schemas.openxmlformats.org/officeDocument/2006/customXml" ds:itemID="{BC207E61-61C6-4528-8B92-A654AC142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20</Pages>
  <Words>6415</Words>
  <Characters>32476</Characters>
  <Application>Microsoft Office Word</Application>
  <DocSecurity>0</DocSecurity>
  <Lines>961</Lines>
  <Paragraphs>382</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38577</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DE SA FERNANDES Isabel (DGT)</cp:lastModifiedBy>
  <cp:revision>6</cp:revision>
  <dcterms:created xsi:type="dcterms:W3CDTF">2018-06-13T13:34:00Z</dcterms:created>
  <dcterms:modified xsi:type="dcterms:W3CDTF">2018-09-07T13:38:00Z</dcterms:modified>
</cp:coreProperties>
</file>