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LT</w:t>
      </w:r>
    </w:p>
    <w:p w:rsidR="008934A4" w:rsidRDefault="008934A4" w:rsidP="00A15D28">
      <w:pPr>
        <w:jc w:val="center"/>
        <w:rPr>
          <w:rFonts w:ascii="Times New Roman" w:hAnsi="Times New Roman"/>
          <w:b/>
          <w:sz w:val="24"/>
          <w:szCs w:val="24"/>
        </w:rPr>
      </w:pPr>
      <w:r>
        <w:rPr>
          <w:rFonts w:ascii="Times New Roman" w:hAnsi="Times New Roman"/>
          <w:b/>
          <w:sz w:val="24"/>
        </w:rPr>
        <w:t>V PRIEDAS</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XI PRIEDAS</w:t>
      </w:r>
    </w:p>
    <w:p w:rsidR="00A15D28" w:rsidRPr="00E94154" w:rsidRDefault="00A15D28" w:rsidP="00A15D28">
      <w:pPr>
        <w:jc w:val="center"/>
        <w:rPr>
          <w:rFonts w:ascii="Times New Roman" w:hAnsi="Times New Roman"/>
        </w:rPr>
      </w:pPr>
      <w:r>
        <w:rPr>
          <w:rFonts w:ascii="Times New Roman" w:hAnsi="Times New Roman"/>
          <w:b/>
          <w:sz w:val="24"/>
        </w:rPr>
        <w:t>INFORMACIJOS APIE SVERTĄ TEIKIMAS</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0E7095" w:rsidRDefault="000E7095">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927174" w:history="1">
        <w:r w:rsidRPr="00F2104B">
          <w:rPr>
            <w:rStyle w:val="Hyperlink"/>
            <w:rFonts w:ascii="Times New Roman" w:hAnsi="Times New Roman"/>
            <w:b/>
          </w:rPr>
          <w:t>I DALIS. BENDRIEJI NURODYMAI</w:t>
        </w:r>
        <w:r>
          <w:rPr>
            <w:webHidden/>
          </w:rPr>
          <w:tab/>
        </w:r>
        <w:r>
          <w:rPr>
            <w:webHidden/>
          </w:rPr>
          <w:fldChar w:fldCharType="begin"/>
        </w:r>
        <w:r>
          <w:rPr>
            <w:webHidden/>
          </w:rPr>
          <w:instrText xml:space="preserve"> PAGEREF _Toc523927174 \h </w:instrText>
        </w:r>
        <w:r>
          <w:rPr>
            <w:webHidden/>
          </w:rPr>
        </w:r>
        <w:r>
          <w:rPr>
            <w:webHidden/>
          </w:rPr>
          <w:fldChar w:fldCharType="separate"/>
        </w:r>
        <w:r>
          <w:rPr>
            <w:webHidden/>
          </w:rPr>
          <w:t>2</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75" w:history="1">
        <w:r w:rsidRPr="00F2104B">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Formos žymėjimas ir su kitais aspektais susijusi tvarka</w:t>
        </w:r>
        <w:r>
          <w:rPr>
            <w:webHidden/>
          </w:rPr>
          <w:tab/>
        </w:r>
        <w:r>
          <w:rPr>
            <w:webHidden/>
          </w:rPr>
          <w:fldChar w:fldCharType="begin"/>
        </w:r>
        <w:r>
          <w:rPr>
            <w:webHidden/>
          </w:rPr>
          <w:instrText xml:space="preserve"> PAGEREF _Toc523927175 \h </w:instrText>
        </w:r>
        <w:r>
          <w:rPr>
            <w:webHidden/>
          </w:rPr>
        </w:r>
        <w:r>
          <w:rPr>
            <w:webHidden/>
          </w:rPr>
          <w:fldChar w:fldCharType="separate"/>
        </w:r>
        <w:r>
          <w:rPr>
            <w:webHidden/>
          </w:rPr>
          <w:t>2</w:t>
        </w:r>
        <w:r>
          <w:rPr>
            <w:webHidden/>
          </w:rPr>
          <w:fldChar w:fldCharType="end"/>
        </w:r>
      </w:hyperlink>
    </w:p>
    <w:p w:rsidR="000E7095" w:rsidRDefault="000E7095">
      <w:pPr>
        <w:pStyle w:val="TOC3"/>
        <w:rPr>
          <w:rFonts w:asciiTheme="minorHAnsi" w:eastAsiaTheme="minorEastAsia" w:hAnsiTheme="minorHAnsi" w:cstheme="minorBidi"/>
          <w:smallCaps w:val="0"/>
          <w:sz w:val="22"/>
          <w:szCs w:val="22"/>
          <w:lang w:val="en-GB" w:eastAsia="en-GB" w:bidi="ar-SA"/>
        </w:rPr>
      </w:pPr>
      <w:hyperlink w:anchor="_Toc523927176" w:history="1">
        <w:r w:rsidRPr="00F2104B">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F2104B">
          <w:rPr>
            <w:rStyle w:val="Hyperlink"/>
            <w:rFonts w:ascii="Times New Roman" w:hAnsi="Times New Roman"/>
            <w:b/>
          </w:rPr>
          <w:t>Formos žymėjimas</w:t>
        </w:r>
        <w:r>
          <w:rPr>
            <w:webHidden/>
          </w:rPr>
          <w:tab/>
        </w:r>
        <w:r>
          <w:rPr>
            <w:webHidden/>
          </w:rPr>
          <w:fldChar w:fldCharType="begin"/>
        </w:r>
        <w:r>
          <w:rPr>
            <w:webHidden/>
          </w:rPr>
          <w:instrText xml:space="preserve"> PAGEREF _Toc523927176 \h </w:instrText>
        </w:r>
        <w:r>
          <w:rPr>
            <w:webHidden/>
          </w:rPr>
        </w:r>
        <w:r>
          <w:rPr>
            <w:webHidden/>
          </w:rPr>
          <w:fldChar w:fldCharType="separate"/>
        </w:r>
        <w:r>
          <w:rPr>
            <w:webHidden/>
          </w:rPr>
          <w:t>2</w:t>
        </w:r>
        <w:r>
          <w:rPr>
            <w:webHidden/>
          </w:rPr>
          <w:fldChar w:fldCharType="end"/>
        </w:r>
      </w:hyperlink>
    </w:p>
    <w:p w:rsidR="000E7095" w:rsidRDefault="000E7095">
      <w:pPr>
        <w:pStyle w:val="TOC3"/>
        <w:rPr>
          <w:rFonts w:asciiTheme="minorHAnsi" w:eastAsiaTheme="minorEastAsia" w:hAnsiTheme="minorHAnsi" w:cstheme="minorBidi"/>
          <w:smallCaps w:val="0"/>
          <w:sz w:val="22"/>
          <w:szCs w:val="22"/>
          <w:lang w:val="en-GB" w:eastAsia="en-GB" w:bidi="ar-SA"/>
        </w:rPr>
      </w:pPr>
      <w:hyperlink w:anchor="_Toc523927177" w:history="1">
        <w:r w:rsidRPr="00F2104B">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F2104B">
          <w:rPr>
            <w:rStyle w:val="Hyperlink"/>
            <w:rFonts w:ascii="Times New Roman" w:hAnsi="Times New Roman"/>
            <w:b/>
          </w:rPr>
          <w:t>Numeravimo tvarka</w:t>
        </w:r>
        <w:r>
          <w:rPr>
            <w:webHidden/>
          </w:rPr>
          <w:tab/>
        </w:r>
        <w:r>
          <w:rPr>
            <w:webHidden/>
          </w:rPr>
          <w:fldChar w:fldCharType="begin"/>
        </w:r>
        <w:r>
          <w:rPr>
            <w:webHidden/>
          </w:rPr>
          <w:instrText xml:space="preserve"> PAGEREF _Toc523927177 \h </w:instrText>
        </w:r>
        <w:r>
          <w:rPr>
            <w:webHidden/>
          </w:rPr>
        </w:r>
        <w:r>
          <w:rPr>
            <w:webHidden/>
          </w:rPr>
          <w:fldChar w:fldCharType="separate"/>
        </w:r>
        <w:r>
          <w:rPr>
            <w:webHidden/>
          </w:rPr>
          <w:t>2</w:t>
        </w:r>
        <w:r>
          <w:rPr>
            <w:webHidden/>
          </w:rPr>
          <w:fldChar w:fldCharType="end"/>
        </w:r>
      </w:hyperlink>
    </w:p>
    <w:p w:rsidR="000E7095" w:rsidRDefault="000E7095">
      <w:pPr>
        <w:pStyle w:val="TOC3"/>
        <w:rPr>
          <w:rFonts w:asciiTheme="minorHAnsi" w:eastAsiaTheme="minorEastAsia" w:hAnsiTheme="minorHAnsi" w:cstheme="minorBidi"/>
          <w:smallCaps w:val="0"/>
          <w:sz w:val="22"/>
          <w:szCs w:val="22"/>
          <w:lang w:val="en-GB" w:eastAsia="en-GB" w:bidi="ar-SA"/>
        </w:rPr>
      </w:pPr>
      <w:hyperlink w:anchor="_Toc523927178" w:history="1">
        <w:r w:rsidRPr="00F2104B">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F2104B">
          <w:rPr>
            <w:rStyle w:val="Hyperlink"/>
            <w:rFonts w:ascii="Times New Roman" w:hAnsi="Times New Roman"/>
            <w:b/>
          </w:rPr>
          <w:t>Santrumpos</w:t>
        </w:r>
        <w:r>
          <w:rPr>
            <w:webHidden/>
          </w:rPr>
          <w:tab/>
        </w:r>
        <w:r>
          <w:rPr>
            <w:webHidden/>
          </w:rPr>
          <w:fldChar w:fldCharType="begin"/>
        </w:r>
        <w:r>
          <w:rPr>
            <w:webHidden/>
          </w:rPr>
          <w:instrText xml:space="preserve"> PAGEREF _Toc523927178 \h </w:instrText>
        </w:r>
        <w:r>
          <w:rPr>
            <w:webHidden/>
          </w:rPr>
        </w:r>
        <w:r>
          <w:rPr>
            <w:webHidden/>
          </w:rPr>
          <w:fldChar w:fldCharType="separate"/>
        </w:r>
        <w:r>
          <w:rPr>
            <w:webHidden/>
          </w:rPr>
          <w:t>2</w:t>
        </w:r>
        <w:r>
          <w:rPr>
            <w:webHidden/>
          </w:rPr>
          <w:fldChar w:fldCharType="end"/>
        </w:r>
      </w:hyperlink>
    </w:p>
    <w:p w:rsidR="000E7095" w:rsidRDefault="000E7095">
      <w:pPr>
        <w:pStyle w:val="TOC3"/>
        <w:rPr>
          <w:rFonts w:asciiTheme="minorHAnsi" w:eastAsiaTheme="minorEastAsia" w:hAnsiTheme="minorHAnsi" w:cstheme="minorBidi"/>
          <w:smallCaps w:val="0"/>
          <w:sz w:val="22"/>
          <w:szCs w:val="22"/>
          <w:lang w:val="en-GB" w:eastAsia="en-GB" w:bidi="ar-SA"/>
        </w:rPr>
      </w:pPr>
      <w:hyperlink w:anchor="_Toc523927179" w:history="1">
        <w:r w:rsidRPr="00F2104B">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F2104B">
          <w:rPr>
            <w:rStyle w:val="Hyperlink"/>
            <w:rFonts w:ascii="Times New Roman" w:hAnsi="Times New Roman"/>
            <w:b/>
          </w:rPr>
          <w:t>Ženklų tvarka</w:t>
        </w:r>
        <w:r>
          <w:rPr>
            <w:webHidden/>
          </w:rPr>
          <w:tab/>
        </w:r>
        <w:r>
          <w:rPr>
            <w:webHidden/>
          </w:rPr>
          <w:fldChar w:fldCharType="begin"/>
        </w:r>
        <w:r>
          <w:rPr>
            <w:webHidden/>
          </w:rPr>
          <w:instrText xml:space="preserve"> PAGEREF _Toc523927179 \h </w:instrText>
        </w:r>
        <w:r>
          <w:rPr>
            <w:webHidden/>
          </w:rPr>
        </w:r>
        <w:r>
          <w:rPr>
            <w:webHidden/>
          </w:rPr>
          <w:fldChar w:fldCharType="separate"/>
        </w:r>
        <w:r>
          <w:rPr>
            <w:webHidden/>
          </w:rPr>
          <w:t>3</w:t>
        </w:r>
        <w:r>
          <w:rPr>
            <w:webHidden/>
          </w:rPr>
          <w:fldChar w:fldCharType="end"/>
        </w:r>
      </w:hyperlink>
    </w:p>
    <w:p w:rsidR="000E7095" w:rsidRDefault="000E7095">
      <w:pPr>
        <w:pStyle w:val="TOC1"/>
        <w:rPr>
          <w:rFonts w:asciiTheme="minorHAnsi" w:eastAsiaTheme="minorEastAsia" w:hAnsiTheme="minorHAnsi" w:cstheme="minorBidi"/>
          <w:color w:val="auto"/>
          <w:sz w:val="22"/>
          <w:szCs w:val="22"/>
          <w:lang w:val="en-GB" w:eastAsia="en-GB" w:bidi="ar-SA"/>
        </w:rPr>
      </w:pPr>
      <w:hyperlink w:anchor="_Toc523927180" w:history="1">
        <w:r w:rsidRPr="00F2104B">
          <w:rPr>
            <w:rStyle w:val="Hyperlink"/>
            <w:rFonts w:ascii="Times New Roman" w:hAnsi="Times New Roman"/>
            <w:b/>
          </w:rPr>
          <w:t>II DALIS. SU FORMA SUSIJĘ NURODYMAI</w:t>
        </w:r>
        <w:r>
          <w:rPr>
            <w:webHidden/>
          </w:rPr>
          <w:tab/>
        </w:r>
        <w:r>
          <w:rPr>
            <w:webHidden/>
          </w:rPr>
          <w:fldChar w:fldCharType="begin"/>
        </w:r>
        <w:r>
          <w:rPr>
            <w:webHidden/>
          </w:rPr>
          <w:instrText xml:space="preserve"> PAGEREF _Toc523927180 \h </w:instrText>
        </w:r>
        <w:r>
          <w:rPr>
            <w:webHidden/>
          </w:rPr>
        </w:r>
        <w:r>
          <w:rPr>
            <w:webHidden/>
          </w:rPr>
          <w:fldChar w:fldCharType="separate"/>
        </w:r>
        <w:r>
          <w:rPr>
            <w:webHidden/>
          </w:rPr>
          <w:t>4</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1" w:history="1">
        <w:r w:rsidRPr="00F2104B">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Struktūra ir dažnumas</w:t>
        </w:r>
        <w:r>
          <w:rPr>
            <w:webHidden/>
          </w:rPr>
          <w:tab/>
        </w:r>
        <w:r>
          <w:rPr>
            <w:webHidden/>
          </w:rPr>
          <w:fldChar w:fldCharType="begin"/>
        </w:r>
        <w:r>
          <w:rPr>
            <w:webHidden/>
          </w:rPr>
          <w:instrText xml:space="preserve"> PAGEREF _Toc523927181 \h </w:instrText>
        </w:r>
        <w:r>
          <w:rPr>
            <w:webHidden/>
          </w:rPr>
        </w:r>
        <w:r>
          <w:rPr>
            <w:webHidden/>
          </w:rPr>
          <w:fldChar w:fldCharType="separate"/>
        </w:r>
        <w:r>
          <w:rPr>
            <w:webHidden/>
          </w:rPr>
          <w:t>4</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2" w:history="1">
        <w:r w:rsidRPr="00F2104B">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Sverto koeficiento apskaičiavimo formulės</w:t>
        </w:r>
        <w:r>
          <w:rPr>
            <w:webHidden/>
          </w:rPr>
          <w:tab/>
        </w:r>
        <w:r>
          <w:rPr>
            <w:webHidden/>
          </w:rPr>
          <w:fldChar w:fldCharType="begin"/>
        </w:r>
        <w:r>
          <w:rPr>
            <w:webHidden/>
          </w:rPr>
          <w:instrText xml:space="preserve"> PAGEREF _Toc523927182 \h </w:instrText>
        </w:r>
        <w:r>
          <w:rPr>
            <w:webHidden/>
          </w:rPr>
        </w:r>
        <w:r>
          <w:rPr>
            <w:webHidden/>
          </w:rPr>
          <w:fldChar w:fldCharType="separate"/>
        </w:r>
        <w:r>
          <w:rPr>
            <w:webHidden/>
          </w:rPr>
          <w:t>4</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3" w:history="1">
        <w:r w:rsidRPr="00F2104B">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Išvestinių finansinių priemonių reikšmingumo ribinės vertės</w:t>
        </w:r>
        <w:r>
          <w:rPr>
            <w:webHidden/>
          </w:rPr>
          <w:tab/>
        </w:r>
        <w:r>
          <w:rPr>
            <w:webHidden/>
          </w:rPr>
          <w:fldChar w:fldCharType="begin"/>
        </w:r>
        <w:r>
          <w:rPr>
            <w:webHidden/>
          </w:rPr>
          <w:instrText xml:space="preserve"> PAGEREF _Toc523927183 \h </w:instrText>
        </w:r>
        <w:r>
          <w:rPr>
            <w:webHidden/>
          </w:rPr>
        </w:r>
        <w:r>
          <w:rPr>
            <w:webHidden/>
          </w:rPr>
          <w:fldChar w:fldCharType="separate"/>
        </w:r>
        <w:r>
          <w:rPr>
            <w:webHidden/>
          </w:rPr>
          <w:t>4</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4" w:history="1">
        <w:r w:rsidRPr="00F2104B">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47.00. Sverto koeficiento apskaičiavimas (LRCalc)</w:t>
        </w:r>
        <w:r>
          <w:rPr>
            <w:webHidden/>
          </w:rPr>
          <w:tab/>
        </w:r>
        <w:r>
          <w:rPr>
            <w:webHidden/>
          </w:rPr>
          <w:fldChar w:fldCharType="begin"/>
        </w:r>
        <w:r>
          <w:rPr>
            <w:webHidden/>
          </w:rPr>
          <w:instrText xml:space="preserve"> PAGEREF _Toc523927184 \h </w:instrText>
        </w:r>
        <w:r>
          <w:rPr>
            <w:webHidden/>
          </w:rPr>
        </w:r>
        <w:r>
          <w:rPr>
            <w:webHidden/>
          </w:rPr>
          <w:fldChar w:fldCharType="separate"/>
        </w:r>
        <w:r>
          <w:rPr>
            <w:webHidden/>
          </w:rPr>
          <w:t>5</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5" w:history="1">
        <w:r w:rsidRPr="00F2104B">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40.00. Alternatyvus pozicijų mato vertinimas (LR1)</w:t>
        </w:r>
        <w:r>
          <w:rPr>
            <w:webHidden/>
          </w:rPr>
          <w:tab/>
        </w:r>
        <w:r>
          <w:rPr>
            <w:webHidden/>
          </w:rPr>
          <w:fldChar w:fldCharType="begin"/>
        </w:r>
        <w:r>
          <w:rPr>
            <w:webHidden/>
          </w:rPr>
          <w:instrText xml:space="preserve"> PAGEREF _Toc523927185 \h </w:instrText>
        </w:r>
        <w:r>
          <w:rPr>
            <w:webHidden/>
          </w:rPr>
        </w:r>
        <w:r>
          <w:rPr>
            <w:webHidden/>
          </w:rPr>
          <w:fldChar w:fldCharType="separate"/>
        </w:r>
        <w:r>
          <w:rPr>
            <w:webHidden/>
          </w:rPr>
          <w:t>14</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6" w:history="1">
        <w:r w:rsidRPr="00F2104B">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41.00. Balansiniai ir nebalansiniai straipsniai. Papildomas pozicijų suskirstymas (LR2)</w:t>
        </w:r>
        <w:r>
          <w:rPr>
            <w:webHidden/>
          </w:rPr>
          <w:tab/>
        </w:r>
        <w:r>
          <w:rPr>
            <w:webHidden/>
          </w:rPr>
          <w:fldChar w:fldCharType="begin"/>
        </w:r>
        <w:r>
          <w:rPr>
            <w:webHidden/>
          </w:rPr>
          <w:instrText xml:space="preserve"> PAGEREF _Toc523927186 \h </w:instrText>
        </w:r>
        <w:r>
          <w:rPr>
            <w:webHidden/>
          </w:rPr>
        </w:r>
        <w:r>
          <w:rPr>
            <w:webHidden/>
          </w:rPr>
          <w:fldChar w:fldCharType="separate"/>
        </w:r>
        <w:r>
          <w:rPr>
            <w:webHidden/>
          </w:rPr>
          <w:t>23</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7" w:history="1">
        <w:r w:rsidRPr="00F2104B">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42.00. Alternatyvi kapitalo apibrėžtis (LR3)</w:t>
        </w:r>
        <w:r>
          <w:rPr>
            <w:webHidden/>
          </w:rPr>
          <w:tab/>
        </w:r>
        <w:r>
          <w:rPr>
            <w:webHidden/>
          </w:rPr>
          <w:fldChar w:fldCharType="begin"/>
        </w:r>
        <w:r>
          <w:rPr>
            <w:webHidden/>
          </w:rPr>
          <w:instrText xml:space="preserve"> PAGEREF _Toc523927187 \h </w:instrText>
        </w:r>
        <w:r>
          <w:rPr>
            <w:webHidden/>
          </w:rPr>
        </w:r>
        <w:r>
          <w:rPr>
            <w:webHidden/>
          </w:rPr>
          <w:fldChar w:fldCharType="separate"/>
        </w:r>
        <w:r>
          <w:rPr>
            <w:webHidden/>
          </w:rPr>
          <w:t>25</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8" w:history="1">
        <w:r w:rsidRPr="00F2104B">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43.00. Alternatyvus sverto koeficiento pozicijų mato sudedamųjų dalių suskirstymas (LR4)</w:t>
        </w:r>
        <w:r>
          <w:rPr>
            <w:webHidden/>
          </w:rPr>
          <w:tab/>
        </w:r>
        <w:r>
          <w:rPr>
            <w:webHidden/>
          </w:rPr>
          <w:fldChar w:fldCharType="begin"/>
        </w:r>
        <w:r>
          <w:rPr>
            <w:webHidden/>
          </w:rPr>
          <w:instrText xml:space="preserve"> PAGEREF _Toc523927188 \h </w:instrText>
        </w:r>
        <w:r>
          <w:rPr>
            <w:webHidden/>
          </w:rPr>
        </w:r>
        <w:r>
          <w:rPr>
            <w:webHidden/>
          </w:rPr>
          <w:fldChar w:fldCharType="separate"/>
        </w:r>
        <w:r>
          <w:rPr>
            <w:webHidden/>
          </w:rPr>
          <w:t>27</w:t>
        </w:r>
        <w:r>
          <w:rPr>
            <w:webHidden/>
          </w:rPr>
          <w:fldChar w:fldCharType="end"/>
        </w:r>
      </w:hyperlink>
    </w:p>
    <w:p w:rsidR="000E7095" w:rsidRDefault="000E7095">
      <w:pPr>
        <w:pStyle w:val="TOC2"/>
        <w:rPr>
          <w:rFonts w:asciiTheme="minorHAnsi" w:eastAsiaTheme="minorEastAsia" w:hAnsiTheme="minorHAnsi" w:cstheme="minorBidi"/>
          <w:b w:val="0"/>
          <w:smallCaps w:val="0"/>
          <w:sz w:val="22"/>
          <w:lang w:val="en-GB" w:eastAsia="en-GB" w:bidi="ar-SA"/>
        </w:rPr>
      </w:pPr>
      <w:hyperlink w:anchor="_Toc523927189" w:history="1">
        <w:r w:rsidRPr="00F2104B">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F2104B">
          <w:rPr>
            <w:rStyle w:val="Hyperlink"/>
            <w:rFonts w:ascii="Times New Roman" w:hAnsi="Times New Roman"/>
          </w:rPr>
          <w:t>C 44.00. Bendroji informacija (LR5)</w:t>
        </w:r>
        <w:r>
          <w:rPr>
            <w:webHidden/>
          </w:rPr>
          <w:tab/>
        </w:r>
        <w:r>
          <w:rPr>
            <w:webHidden/>
          </w:rPr>
          <w:fldChar w:fldCharType="begin"/>
        </w:r>
        <w:r>
          <w:rPr>
            <w:webHidden/>
          </w:rPr>
          <w:instrText xml:space="preserve"> PAGEREF _Toc523927189 \h </w:instrText>
        </w:r>
        <w:r>
          <w:rPr>
            <w:webHidden/>
          </w:rPr>
        </w:r>
        <w:r>
          <w:rPr>
            <w:webHidden/>
          </w:rPr>
          <w:fldChar w:fldCharType="separate"/>
        </w:r>
        <w:r>
          <w:rPr>
            <w:webHidden/>
          </w:rPr>
          <w:t>45</w:t>
        </w:r>
        <w:r>
          <w:rPr>
            <w:webHidden/>
          </w:rPr>
          <w:fldChar w:fldCharType="end"/>
        </w:r>
      </w:hyperlink>
    </w:p>
    <w:p w:rsidR="00145E9A" w:rsidRDefault="000E7095">
      <w:pPr>
        <w:pStyle w:val="BodyText1"/>
        <w:rPr>
          <w:rFonts w:ascii="Times New Roman" w:eastAsiaTheme="minorEastAsia" w:hAnsi="Times New Roman"/>
          <w:color w:val="auto"/>
          <w:sz w:val="22"/>
          <w:szCs w:val="22"/>
        </w:rPr>
        <w:sectPr w:rsidR="00145E9A"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927174"/>
      <w:r>
        <w:rPr>
          <w:rFonts w:ascii="Times New Roman" w:hAnsi="Times New Roman"/>
          <w:b/>
          <w:sz w:val="24"/>
        </w:rPr>
        <w:t>I DALIS.</w:t>
      </w:r>
      <w:bookmarkEnd w:id="0"/>
      <w:r>
        <w:rPr>
          <w:rFonts w:ascii="Times New Roman" w:hAnsi="Times New Roman"/>
          <w:b/>
          <w:sz w:val="24"/>
        </w:rPr>
        <w:t xml:space="preserve"> BENDRIEJI NURODYMAI</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927175"/>
      <w:r>
        <w:rPr>
          <w:rFonts w:ascii="Times New Roman" w:hAnsi="Times New Roman"/>
          <w:b/>
        </w:rPr>
        <w:t>1.</w:t>
      </w:r>
      <w:r>
        <w:tab/>
      </w:r>
      <w:r>
        <w:rPr>
          <w:rFonts w:ascii="Times New Roman" w:hAnsi="Times New Roman"/>
          <w:b/>
        </w:rPr>
        <w:t>Formos žymėjimas ir su kitais aspektais susijusi tvar</w:t>
      </w:r>
      <w:bookmarkStart w:id="11" w:name="_GoBack"/>
      <w:bookmarkEnd w:id="11"/>
      <w:r>
        <w:rPr>
          <w:rFonts w:ascii="Times New Roman" w:hAnsi="Times New Roman"/>
          <w:b/>
        </w:rPr>
        <w:t>ka</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264038399"/>
      <w:bookmarkStart w:id="16" w:name="_Toc294018834"/>
      <w:bookmarkStart w:id="17" w:name="_Toc523927176"/>
      <w:r>
        <w:rPr>
          <w:rFonts w:ascii="Times New Roman" w:hAnsi="Times New Roman"/>
          <w:b/>
        </w:rPr>
        <w:t>1.1.</w:t>
      </w:r>
      <w:r>
        <w:tab/>
      </w:r>
      <w:r>
        <w:rPr>
          <w:rFonts w:ascii="Times New Roman" w:hAnsi="Times New Roman"/>
          <w:b/>
        </w:rPr>
        <w:t xml:space="preserve">Formos </w:t>
      </w:r>
      <w:bookmarkEnd w:id="12"/>
      <w:r>
        <w:rPr>
          <w:rFonts w:ascii="Times New Roman" w:hAnsi="Times New Roman"/>
          <w:b/>
        </w:rPr>
        <w:t>žymėjimas</w:t>
      </w:r>
      <w:bookmarkEnd w:id="13"/>
      <w:bookmarkEnd w:id="14"/>
      <w:bookmarkEnd w:id="17"/>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Šiame priede pateikti papildomi su šio reglamento X priede pateiktomis formomis (toliau – LR) susiję nurodymai.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Sistemą iš viso sudaro šešios formos: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Sverto koeficiento apskaičiavimas (LRCalc). Sverto koeficiento apskaičiavimas;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1 sverto koeficiento forma (LR1). Alternatyvus pozicijos mato vertinimas;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2 sverto koeficiento forma (LR2). Balansiniai ir nebalansiniai straipsniai. Papildomas pozicijų suskirstymas;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3 sverto koeficiento forma (LR3). Alternatyvi kapitalo apibrėžtis;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C43.00. 4 sverto koeficiento forma (LR4). Sverto koeficiento pozicijų mato sudedamųjų dalių suskirstymas ir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5 sverto koeficiento forma (LR5). Bendroji informacija.</w:t>
      </w:r>
    </w:p>
    <w:p w:rsidR="00F4754B" w:rsidRPr="00FE002E" w:rsidRDefault="00500508" w:rsidP="00500508">
      <w:pPr>
        <w:pStyle w:val="InstructionsText2"/>
        <w:numPr>
          <w:ilvl w:val="0"/>
          <w:numId w:val="0"/>
        </w:numPr>
        <w:ind w:left="720" w:hanging="360"/>
        <w:rPr>
          <w:rFonts w:eastAsia="Times New Roman"/>
          <w:bCs/>
          <w:szCs w:val="17"/>
        </w:rPr>
      </w:pPr>
      <w:r>
        <w:t>3.</w:t>
      </w:r>
      <w:r>
        <w:tab/>
        <w:t>Kiekvienos formos atveju pateikiamos nuorodos į teisės aktus, taip pat tolesnė išsami informacija apie bendresnius informacijos teikimo aspektus.</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3927177"/>
      <w:bookmarkEnd w:id="18"/>
      <w:r>
        <w:rPr>
          <w:rFonts w:ascii="Times New Roman" w:hAnsi="Times New Roman"/>
          <w:b/>
        </w:rPr>
        <w:t>1.2.</w:t>
      </w:r>
      <w:r>
        <w:tab/>
      </w:r>
      <w:r>
        <w:rPr>
          <w:rFonts w:ascii="Times New Roman" w:hAnsi="Times New Roman"/>
          <w:b/>
        </w:rPr>
        <w:t>Numeravimo tvarka</w:t>
      </w:r>
      <w:bookmarkEnd w:id="19"/>
      <w:bookmarkEnd w:id="20"/>
      <w:bookmarkEnd w:id="21"/>
      <w:bookmarkEnd w:id="22"/>
      <w:bookmarkEnd w:id="23"/>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Dokumente nurodant formų skiltis, eilutes ir laukelius taikoma tolesnėse dalyse nurodyta žymėjimo tvarka. Šie skaitiniai kodai plačiai naudojami patvirtinimo taisyklėse.</w:t>
      </w:r>
    </w:p>
    <w:p w:rsidR="00F4754B" w:rsidRPr="00FE002E" w:rsidRDefault="00500508" w:rsidP="00500508">
      <w:pPr>
        <w:pStyle w:val="InstructionsText2"/>
        <w:numPr>
          <w:ilvl w:val="0"/>
          <w:numId w:val="0"/>
        </w:numPr>
        <w:ind w:left="720" w:hanging="360"/>
        <w:rPr>
          <w:rFonts w:eastAsia="Times New Roman"/>
          <w:bCs/>
          <w:szCs w:val="17"/>
        </w:rPr>
      </w:pPr>
      <w:r>
        <w:t>5.</w:t>
      </w:r>
      <w:r>
        <w:tab/>
        <w:t>Nurodymuose laikomasi šios bendros žymėjimo tvarkos: {forma; eilutė; skiltis}. Norint nurodyti visą eilutę arba skiltį, naudojamas žvaigždutės ženklas.</w:t>
      </w:r>
    </w:p>
    <w:p w:rsidR="00F4754B" w:rsidRPr="00FE002E" w:rsidRDefault="00500508" w:rsidP="00500508">
      <w:pPr>
        <w:pStyle w:val="InstructionsText2"/>
        <w:numPr>
          <w:ilvl w:val="0"/>
          <w:numId w:val="0"/>
        </w:numPr>
        <w:ind w:left="720" w:hanging="360"/>
        <w:rPr>
          <w:rFonts w:eastAsia="Times New Roman"/>
          <w:bCs/>
          <w:szCs w:val="17"/>
        </w:rPr>
      </w:pPr>
      <w:r>
        <w:t>6.</w:t>
      </w:r>
      <w:r>
        <w:tab/>
        <w:t>Kai tvirtinimas atliekamas formoje ir naudojami tik tos formos duomenų vienetai, žymint forma nenurodoma: {eilutė; skiltis}.</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Teikiant informaciją apie svertą žodžių junginiu „iš kurių“ nurodomas aukštesnio lygio pozicijų kategorijos pogrupio straipsnis, o žodžių junginiu „papildomas straipsnis“ – atskiras straipsnis, kuris nėra pozicijų klasės pogrupis. Jei nenurodyta kitaip, informaciją privaloma pateikti abiejų tipų laukeliuose. </w:t>
      </w:r>
    </w:p>
    <w:p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523927178"/>
      <w:r>
        <w:rPr>
          <w:rFonts w:ascii="Times New Roman" w:hAnsi="Times New Roman"/>
          <w:b/>
        </w:rPr>
        <w:t>1.3.</w:t>
      </w:r>
      <w:r>
        <w:tab/>
      </w:r>
      <w:r>
        <w:rPr>
          <w:rFonts w:ascii="Times New Roman" w:hAnsi="Times New Roman"/>
          <w:b/>
        </w:rPr>
        <w:t>Santrumpos</w:t>
      </w:r>
      <w:bookmarkEnd w:id="24"/>
      <w:bookmarkEnd w:id="25"/>
    </w:p>
    <w:p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rsidR="00627E07" w:rsidRDefault="00500508" w:rsidP="00500508">
      <w:pPr>
        <w:pStyle w:val="InstructionsText2"/>
        <w:numPr>
          <w:ilvl w:val="0"/>
          <w:numId w:val="0"/>
        </w:numPr>
        <w:ind w:left="720" w:hanging="360"/>
        <w:rPr>
          <w:rFonts w:eastAsia="Times New Roman"/>
          <w:bCs/>
          <w:szCs w:val="17"/>
        </w:rPr>
      </w:pPr>
      <w:r>
        <w:t>8.</w:t>
      </w:r>
      <w:r>
        <w:tab/>
        <w:t>Šiame priede ir susijusiose formose naudojamos tokios santrumpos:</w:t>
      </w:r>
    </w:p>
    <w:p w:rsidR="00627E07" w:rsidRDefault="00500508" w:rsidP="00500508">
      <w:pPr>
        <w:pStyle w:val="InstructionsText2"/>
        <w:numPr>
          <w:ilvl w:val="0"/>
          <w:numId w:val="0"/>
        </w:numPr>
        <w:ind w:left="1440" w:hanging="360"/>
        <w:rPr>
          <w:rFonts w:eastAsia="Times New Roman"/>
          <w:bCs/>
          <w:szCs w:val="17"/>
        </w:rPr>
      </w:pPr>
      <w:r>
        <w:t>a.</w:t>
      </w:r>
      <w:r>
        <w:tab/>
        <w:t>KRR – Kapitalo reikalavimų reglamento, t. y. Reglamento (ES) Nr. 575/2013, santrumpa;</w:t>
      </w:r>
    </w:p>
    <w:p w:rsidR="00627E07" w:rsidRDefault="00500508" w:rsidP="00500508">
      <w:pPr>
        <w:pStyle w:val="InstructionsText2"/>
        <w:numPr>
          <w:ilvl w:val="0"/>
          <w:numId w:val="0"/>
        </w:numPr>
        <w:ind w:left="1440" w:hanging="360"/>
        <w:rPr>
          <w:rFonts w:eastAsia="Times New Roman"/>
          <w:bCs/>
          <w:szCs w:val="17"/>
        </w:rPr>
      </w:pPr>
      <w:r>
        <w:t>b.</w:t>
      </w:r>
      <w:r>
        <w:tab/>
        <w:t xml:space="preserve">VPĮFS – vertybinių popierių įsigijimo finansavimo sandorio santrumpa, kuri reiškia „atpirkimo sandorį, vertybinių popierių arba biržos prekių skolinimo ar skolinimosi sandorį, ilgalaikį </w:t>
      </w:r>
      <w:r>
        <w:lastRenderedPageBreak/>
        <w:t>atsiskaitymo sandorį ir garantinės įmokos skolinimo sandorį“, kaip nurodyta Reglamente (ES) Nr. 575/2013;</w:t>
      </w:r>
    </w:p>
    <w:p w:rsidR="008E7068" w:rsidRPr="00627E07" w:rsidRDefault="00500508" w:rsidP="00500508">
      <w:pPr>
        <w:pStyle w:val="InstructionsText2"/>
        <w:numPr>
          <w:ilvl w:val="0"/>
          <w:numId w:val="0"/>
        </w:numPr>
        <w:ind w:left="1440" w:hanging="360"/>
        <w:rPr>
          <w:rFonts w:eastAsia="Times New Roman"/>
          <w:bCs/>
          <w:szCs w:val="17"/>
        </w:rPr>
      </w:pPr>
      <w:r>
        <w:t>c.</w:t>
      </w:r>
      <w:r>
        <w:tab/>
        <w:t>KRM – kredito rizikos mažinimo santrumpa.</w:t>
      </w:r>
    </w:p>
    <w:p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523927179"/>
      <w:r>
        <w:rPr>
          <w:rFonts w:ascii="Times New Roman" w:hAnsi="Times New Roman"/>
          <w:b/>
        </w:rPr>
        <w:t>1.4.</w:t>
      </w:r>
      <w:r>
        <w:tab/>
      </w:r>
      <w:r>
        <w:rPr>
          <w:rFonts w:ascii="Times New Roman" w:hAnsi="Times New Roman"/>
          <w:b/>
        </w:rPr>
        <w:t>Ženklų tvarka</w:t>
      </w:r>
      <w:bookmarkEnd w:id="15"/>
      <w:bookmarkEnd w:id="16"/>
      <w:bookmarkEnd w:id="27"/>
      <w:bookmarkEnd w:id="28"/>
      <w:bookmarkEnd w:id="29"/>
      <w:bookmarkEnd w:id="30"/>
      <w:bookmarkEnd w:id="31"/>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2" w:name="_Toc322687869"/>
      <w:r>
        <w:t>9.</w:t>
      </w:r>
      <w:r>
        <w:tab/>
        <w:t>Visos sumos pateikiamos kaip teigiami skaičiai.</w:t>
      </w:r>
      <w:bookmarkStart w:id="33" w:name="_Toc264033192"/>
      <w:bookmarkEnd w:id="33"/>
      <w:r>
        <w:t xml:space="preserve"> Išimtis taikoma sumoms, nurodytoms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ir {LR3;085;010}. Taip pat pažymėtina, kad {LRCalc;050;010}, {LRCalc;070;010}, {LRCalc;080;010}, {LRCalc;100;010}, {LRCalc;120;010}, {LRCalc;140;010}, {LRCalc;210;010}, {LRCalc;220;010}, {LRCalc;240;010}, {LRCalc;250;010}, {LRCalc;260;010}, {LRCalc;270;010}, {LRCalc;280;010}, {LR3;055;010}, {LR3;065;010}, {LR3;075;010} ir {LR3;085;010} laukeliuose nurodomos tik neigiamos vertės. Kartu pažymėtina, kad, išskyrus kraštutinius atvejus, {LRCalc;310;010}, {LRCalc;320;010}, {LRCalc;330;010}, {LRCalc;340;010}, {LR3;010;010}, {LR3;020;010}, {LR3;030;010} ir {LR3;040;010} laukeliuose nurodomos tik teigiamos vertės.</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3927180"/>
      <w:r>
        <w:rPr>
          <w:rFonts w:ascii="Times New Roman" w:hAnsi="Times New Roman"/>
          <w:b/>
          <w:sz w:val="24"/>
        </w:rPr>
        <w:lastRenderedPageBreak/>
        <w:t>II DALIS. SU FORMA SUSIJĘ NURODYMAI</w:t>
      </w:r>
      <w:bookmarkEnd w:id="32"/>
      <w:bookmarkEnd w:id="34"/>
      <w:bookmarkEnd w:id="35"/>
      <w:bookmarkEnd w:id="36"/>
      <w:bookmarkEnd w:id="37"/>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322631544"/>
      <w:bookmarkStart w:id="41" w:name="_Toc322687870"/>
      <w:bookmarkStart w:id="42" w:name="_Toc523927181"/>
      <w:r>
        <w:rPr>
          <w:rFonts w:ascii="Times New Roman" w:hAnsi="Times New Roman"/>
          <w:b/>
        </w:rPr>
        <w:t>1.</w:t>
      </w:r>
      <w:r>
        <w:tab/>
      </w:r>
      <w:r>
        <w:rPr>
          <w:rFonts w:ascii="Times New Roman" w:hAnsi="Times New Roman"/>
          <w:b/>
        </w:rPr>
        <w:t>Struktūra ir dažnumas</w:t>
      </w:r>
      <w:bookmarkEnd w:id="38"/>
      <w:bookmarkEnd w:id="39"/>
      <w:bookmarkEnd w:id="42"/>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3" w:name="_Toc322533849"/>
      <w:r>
        <w:rPr>
          <w:rFonts w:ascii="Times New Roman" w:hAnsi="Times New Roman"/>
        </w:rPr>
        <w:t>1.</w:t>
      </w:r>
      <w:r>
        <w:tab/>
      </w:r>
      <w:r>
        <w:rPr>
          <w:rFonts w:ascii="Times New Roman" w:hAnsi="Times New Roman"/>
        </w:rPr>
        <w:t>Sverto koeficiento forma padalyta į dvi dalis. A dalis apima visus duomenų straipsnius, naudojamus apskaičiuojant sverto koeficientą, kuriuos įstaigos pateikia kompetentingoms institucijoms pagal KRR 430 straipsnio 1 dalies pirmą pastraipą, o B dalis – visus duomenų straipsnius, kuriuos įstaigos pateikia pagal KRR 430 straipsnio 1 dalies antrą pastraipą (t. y. KRR 511 straipsnyje nurodytos ataskaitos tikslais).</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Rinkdamos duomenis šiam techniniam įgyvendinimo standartui, įstaigos atsižvelgia į patikėto turto vertinimą pagal KRR 429 straipsnio 13 dalį.</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3927182"/>
      <w:r>
        <w:rPr>
          <w:rFonts w:ascii="Times New Roman" w:hAnsi="Times New Roman"/>
          <w:b/>
        </w:rPr>
        <w:t>2.</w:t>
      </w:r>
      <w:r>
        <w:tab/>
      </w:r>
      <w:r>
        <w:rPr>
          <w:rFonts w:ascii="Times New Roman" w:hAnsi="Times New Roman"/>
          <w:b/>
        </w:rPr>
        <w:t>Sverto koeficiento apskaičiavimo formulės</w:t>
      </w:r>
      <w:bookmarkEnd w:id="44"/>
      <w:bookmarkEnd w:id="45"/>
      <w:bookmarkEnd w:id="46"/>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Sverto koeficientas pagrįstas kapitalo matu ir bendru pozicijų matu, kuriuos galima apskaičiuoti taikant A dalies laukelius.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Sverto koeficientas – visiškai įdiegta apibrėžtis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Sverto koeficientas – pereinamojo laikotarpio apibrėžtis = {LRCalc;320;010} / {LRCalc;300;010}.</w:t>
      </w:r>
    </w:p>
    <w:p w:rsidR="00FC2664" w:rsidRPr="00FE002E" w:rsidRDefault="00FC2664" w:rsidP="007E2A41">
      <w:pPr>
        <w:pStyle w:val="BodyText1"/>
        <w:spacing w:line="240" w:lineRule="auto"/>
        <w:rPr>
          <w:rFonts w:ascii="Times New Roman" w:hAnsi="Times New Roman"/>
        </w:rPr>
      </w:pPr>
      <w:bookmarkStart w:id="47" w:name="_Toc322533852"/>
      <w:bookmarkEnd w:id="43"/>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3927183"/>
      <w:r>
        <w:rPr>
          <w:rFonts w:ascii="Times New Roman" w:hAnsi="Times New Roman"/>
          <w:b/>
        </w:rPr>
        <w:t>3.</w:t>
      </w:r>
      <w:r>
        <w:tab/>
      </w:r>
      <w:r>
        <w:rPr>
          <w:rFonts w:ascii="Times New Roman" w:hAnsi="Times New Roman"/>
          <w:b/>
        </w:rPr>
        <w:t>Išvestinių finansinių priemonių reikšmingumo ribinės vertės</w:t>
      </w:r>
      <w:bookmarkEnd w:id="48"/>
      <w:bookmarkEnd w:id="49"/>
      <w:bookmarkEnd w:id="5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Siekiant sumažinti nedideles išvestinių finansinių priemonių pozicijas turinčių įstaigų informacijos teikimo naštą, santykinei išvestinių finansinių priemonių pozicijų svarbai nustatyti atsižvelgiant į visą sverto koeficiento poziciją taikomi toliau nurodyti matai. Šiuos matus įstaigos apskaičiuoja taip</w:t>
      </w:r>
      <w:bookmarkStart w:id="51" w:name="_Toc322533853"/>
      <w:bookmarkEnd w:id="47"/>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2" w:name="_Toc322533854"/>
      <w:bookmarkEnd w:id="51"/>
      <w:r>
        <w:rPr>
          <w:rFonts w:ascii="Times New Roman" w:hAnsi="Times New Roman"/>
        </w:rPr>
        <w:t>7.</w:t>
      </w:r>
      <w:r>
        <w:tab/>
      </w:r>
      <w:r>
        <w:rPr>
          <w:rFonts w:ascii="Times New Roman" w:hAnsi="Times New Roman"/>
        </w:rPr>
        <w:t xml:space="preserve">Išvestinių finansinių priemonių dalis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Šioje formulėje bendras pozicijų matas yra lygus: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Bendra tariamoji vertė, kuria grindžiamos išvestinės finansinės priemonės = {LR1; 010;070}. Tai laukelis, kurį įstaigos visada turi nurodyti.</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Kredito išvestinių finansinių priemonių apimtis = {LR1;020;070} + {LR1;050;070}. Tai laukeliai, kuriuos įstaigos visada turi nurodyti.</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14 punkte nurodytų laukelių informaciją įstaigos turi pateikti per kitą ataskaitinį laikotarpį, jei tenkinama bet kuri iš šių sąlygų:</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du kartus iš eilės ataskaitinę datą išvestinių finansinių priemonių dalis, nurodyta 7 punkte, yra didesnė nei 1,5 %;</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7 punkte nurodyta išvestinių finansinių priemonių dalis viršija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12.</w:t>
      </w:r>
      <w:r>
        <w:tab/>
      </w:r>
      <w:r>
        <w:rPr>
          <w:rFonts w:ascii="Times New Roman" w:hAnsi="Times New Roman"/>
        </w:rPr>
        <w:t>Įstaigos, kurių atveju bendra tariamoji vertė, kuria grindžiamos išvestinės finansinės priemonės, kaip apibrėžta 9 punkte, viršija 10 mlrd. EUR, 14 punkte nurodytų laukelių informaciją turi pateikti, net jei jų išvestinių finansinių priemonių dalis neatitinka 11 punkte aprašytų sąlygų.</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13.</w:t>
      </w:r>
      <w:r>
        <w:tab/>
      </w:r>
      <w:r>
        <w:rPr>
          <w:rFonts w:ascii="Times New Roman" w:hAnsi="Times New Roman"/>
        </w:rPr>
        <w:t>15 punkte nurodytų laukelių informaciją įstaigos turi pateikti, jei tenkinama bet kuri iš šių sąlygų:</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du kartus iš eilės ataskaitinę datą kredito išvestinių finansinių priemonių apimtis, nurodyta 10 punkte, yra didesnė nei 300 mln. EUR;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10 punkte nurodyta kredito išvestinių finansinių priemonių apimtis viršija 500 mln.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Laukeliai, kurių informaciją įstaigos turi pateikti pagal 11 punktą: {LR1;010;010}, {LR1;010;020}, {LR1;010;050}, {LR1;020;010}, {LR1;020;020}, {LR1;020;050}, {LR1;030;050}, {LR1;030;070}, {LR1;040;050}, {LR1;040;070}, {LR1;050;010}, {LR1;050;020}, {LR1;050;050}, {LR1;060;010}, {LR1;060;020}, {LR1;060;050} ir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Laukeliai, kurių informaciją įstaigos turi pateikti pagal 13 punktą: {LR1;020;075}, {LR1;050;075} ir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27184"/>
      <w:r>
        <w:rPr>
          <w:rFonts w:ascii="Times New Roman" w:hAnsi="Times New Roman"/>
          <w:b/>
        </w:rPr>
        <w:t>4.</w:t>
      </w:r>
      <w:r>
        <w:tab/>
      </w:r>
      <w:r>
        <w:rPr>
          <w:rFonts w:ascii="Times New Roman" w:hAnsi="Times New Roman"/>
          <w:b/>
        </w:rPr>
        <w:t>C 47.00. Sverto koeficiento apskaičiavimas</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Šioje informacijos teikimo formos dalyje renkami duomenys, kurių reikia sverto koeficientui apskaičiuoti, kaip nustatyta KRR 429, 429a ir 429b straipsniuose.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Įstaigos informaciją apie sverto koeficientą teikia kas ketvirtį. Kiekvieną ketvirtį vertė „ataskaitinę datą“ atitinka atitinkamo ketvirčio trečiojo mėnesio paskutinės kalendorinės dienos vertę.</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Įstaigos nurodo {010;010}–{030;010}, {060;010}, {090;010}, {110;010} ir {150;010}–{190;010} taip, lyg {050;010}, {080;010}, {100;010}, {120;010} ir {220;010} nurodytos išimtys nebūtų taikomos.</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Įstaigos nurodo {010;010}–{240;010} taip, lyg {250;010} ir {260;010} nurodytos išimtys nebūtų taikomos.</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Bet kuri suma, dėl kurios nuosavos lėšos arba sverto koeficiento pozicija didėja, nurodoma teigiamu skaičiumi. Priešingai – bet kuri suma, dėl kurios bendra nuosavų lėšų suma arba sverto koeficiento pozicija mažėja, nurodoma neigiamu skaičiumi. Prieš straipsnio pavadinimą įrašytas minuso ženklas (–) reiškia prielaidą, kad tame straipsnyje teigiamas skaičius neturėtų būti rašomas.</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Nuorodos į teisės aktus ir nurodymai</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Eilutė ir skiltis</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Pozicijų vertės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VPĮFS. Pozicija pagal KRR 429 straipsnio 5 ir 8 dalis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 straipsnio 5 dalies d punktas ir 8 dalis</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VPĮFS pozicija, apskaičiuota pagal KRR 429 straipsnio 5 dalies d punktą ir 8 dalį.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Šiame laukelyje įstaigos nurodo sandorius pagal 429b straipsnio 6 dalies c punktą.</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Į šį laukelį įstaigos neįtraukia gautų pinigų arba garantijų, pateiktų sandorio šaliai pagal pirmiau minėtus sandorius ir nurodytų balanse (t. y. neįvykdyti pripažinimo nutraukimo apskaitos kriterijai). Šiuos straipsnius įstaigos įtraukia į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Įstaigos į šį laukelį neįtraukia tarpininkų VPĮFS, jeigu įstaiga klientui arba sandorio šaliai suteikia žalos atlyginimo draudimą arba garantiją, apribotą bet kokiu vertybinių popierių </w:t>
            </w:r>
            <w:r>
              <w:rPr>
                <w:rFonts w:ascii="Times New Roman" w:hAnsi="Times New Roman"/>
              </w:rPr>
              <w:lastRenderedPageBreak/>
              <w:t>arba pinigų, kuriuos klientas paskolino, vertės ir užtikrinimo priemonės, kurią suteikė skolininkas, vertės skirtumu pagal KRR 429b straipsnio 6 dalies a punktą.</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VPĮFS. Papildomas mokestis dėl sandorio šalies kredito rizikos</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429b straipsnio 1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Papildomas mokestis dėl VPĮFS (įskaitant į balansą neįtrauktus sandorius) sandorio šalies kredito rizikos, atitinkamai nustatytas pagal KRR 429b straipsnio 2 arba 3 dalį.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Šiame laukelyje įstaigos nurodo sandorius pagal 429b straipsnio 6 dalies c punktą.</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KRR 429b straipsnio 6 dalies a punktą. Šiuos straipsnius įstaigos įtraukia į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VPĮFS skirta nukrypti leidžianti nuostata. Papildomas mokestis pagal KRR 429b straipsnio 4 dalį ir 222 straipsnį</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429b straipsnio 4 dalis ir 222 straipsnis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VPĮFS (įskaitant į balansą neįtrauktus sandorius) pozicijos vertė, apskaičiuota pagal KRR 222 straipsnį, taikant 20 % apatinę ribą taikytinam rizikos koeficientui.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Šiame laukelyje įstaigos nurodo sandorius pagal KRR 429b straipsnio 6 dalies c punktą.</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Šiame laukelyje įstaigos nenurodo sandorių, kurių sverto koeficiento pozicijos vertės papildomo mokesčio dalis nustatoma pagal KRR 429b straipsnio 1 dalyje nurodytą metodą.</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VPĮFS tarpininkų sandorių sandorio šalies kredito rizika pagal KRR 429b straipsnio 6 dalį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429b straipsnio 6 dalies a punktas, 2 ir 3 dalys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Tarpininkų VPĮFS pozicijos vertė, jeigu įstaiga klientui arba sandorio šaliai suteikia žalos atlyginimo draudimą arba garantiją, apribotą bet kokiu vertybinių popierių arba pinigų, kuriuos klientas paskolino, vertės ir užtikrinimo priemonės, kurią suteikė skolininkas, vertės skirtumu pagal KRR 429b straipsnio 6 dalies a punktą, kurį sudaro tik papildomas mokestis, atitinkamai nustatytas pagal KRR 429b straipsnio 2 arba 3 dalį.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Į šį laukelį įstaigos neįtraukia sandorių pagal 429b straipsnio 6 dalies c punktą. Šiuos duomenis įstaigos atitinkamai įtraukia į {010;010} ir {020;010} arba {010;010} ir {030;010} laukelius.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Kliento VPĮFS pozicijų, kurių tarpuskaitą atlieka pagrindinė sandorio šalis, dalis, kuriai taikoma išimtis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11 dalis ir 306 straipsnio 1 dalies c punktas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Kliento VPĮFS prekybos pozicijų, kurių tarpuskaitą atlieka pagrindinė sandorio šalis, dalis, kuriai taikoma išimtis, jeigu tie straipsniai atitinka KRR 306 straipsnio 1 dalies c punkte nurodytas sąlygas.</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Kai pozicijų, kurių tarpuskaitą atlieka pagrindinė sandorio šalis, dalis, kuriai taikoma išimtis, yra garantija, ji nenurodoma šiame laukelyje, nebent tai yra dar kartą įkeista garantija, kuri pagal taikytiną apskaitos sistemą (t. y. pagal KRR 111 straipsnio 1 dalies pirmą sakinį) yra įtraukiama visa verte.</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Įstaigos taip pat įtraukia šiame laukelyje nurodytą sumą į {010;010}, {020;010} ir {030;010} laukelius taip, lyg išimtis nebūtų taikoma, o jei tenkinama pirmesnio sakinio antros dalies sąlyga – į {190;010} laukelį.</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Jeigu įstaiga suteikė pradinę garantinę įmoką už VPĮFS dalį, kuriai taikoma išimtis ir kuri nurodyta {190;010} laukelyje, bet nenurodyta {020;010} arba {030;010} laukelyje, tuomet įstaiga gali nurodyti minėtą garantinę įmoką šiame laukelyje.</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Išvestinės finansinės priemonės. Dabartinės pakeitimo išlaidos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429a, 274, 295, 296, 297 ir 298 straipsniai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274 straipsnio 1 dalyje nurodytos KRR II priede išvardytų sutarčių ir kredito išvestinių finansinių priemonių, įskaitant tas, kurios neįtrauktos į balansą, dabartinės pakeitimo išlaidos.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Kaip nustatyta KRR 429a straipsnio 1 dalyje, įstaigos pagal KRR 295 straipsnį gali atsižvelgti į novacijų sutarčių ir kitų užskaitos susitarimų poveikį. Kryžminė produktų užskaita netaikoma. Tačiau įstaigos KRR 272 straipsnio 25 punkto c papunktyje nurodytos kategorijos priemones ir kredito išvestines finansines priemones gali užskaityti, kai joms taikomas KRR 295 straipsnio c punkte nurodytas sutartinės kryžminės produktų užskaitos susitarimas.</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Į šį laukelį įstaigos neįtraukia sutarčių, įvertintų taikant pradinės pozicijos metodą pagal KRR 429a straipsnio 8 dalį ir 275 straipsnį.</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Tinkama gauta piniginė kintamoji garantinė įmoka, atimama iš išvestinių finansinių priemonių rinkos vertės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429a straipsnio 3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Iš sandorio šalies pinigais gauta kintamoji garantinė įmoka, kuria pagal KRR 429a straipsnio 3 dalį galima kompensuoti išvestinių finansinių priemonių pozicijos dabartinių pakeitimo išlaidų dalį.</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Bet kuri piniginė kintamoji garantinė įmoka, gauta už pagrindinės sandorio šalies pozicijos dalį, kuriai taikoma išimtis pagal KRR 429 straipsnio 11 dalį, nenurodoma.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Kliento prekybos pozicijų, kurių tarpuskaitą atlieka pagrindinė sandorio šalis, dalis, kuriai taikoma išimtis (pakeitimo išlaidos)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11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pakeitimo išlaidų dalis. Ši suma nurodoma neatėmus už šią dalį gautos piniginės kintamosios garantinės įmokos.</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Įstaigos taip pat įtraukia šiame laukelyje nurodytą sumą į {060;010} laukelį taip, lyg išimtis nebūtų taikoma.</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Išvestinės finansinės priemonės. Papildomas mokestis pagal rinkos vertės metodą</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429a, 274, 295, 296, 297, 298 straipsniai ir 299 straipsnio 2 dalis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Šiame laukelyje nurodomas papildomas mokestis už KRR II priede išvardytų sutarčių ir kredito išvestinių finansinių priemonių, įskaitant tas, kurios neįtrauktos į balansą, galimą </w:t>
            </w:r>
            <w:r>
              <w:rPr>
                <w:rFonts w:ascii="Times New Roman" w:hAnsi="Times New Roman"/>
              </w:rPr>
              <w:lastRenderedPageBreak/>
              <w:t xml:space="preserve">būsimą poziciją, apskaičiuotą pagal rinkos vertės metodą (KRR II priede išvardytoms sutartims taikomas KRR 274 straipsnis, o kredito išvestinėms finansinėms priemonėms – KRR 299 straipsnio 2 dalis) ir taikant užskaitos taisykles pagal KRR 429a straipsnio 1 dalį. Nustatydamos tų sutarčių pozicijų vertę, vadovaudamosi KRR 295 straipsniu įstaigos gali atsižvelgti į novacijų sutarčių ir kitų užskaitos susitarimų poveikį. Kryžminė produktų užskaita netaikoma. Tačiau įstaigos KRR 272 straipsnio 25 punkto c papunktyje nurodytos kategorijos priemones ir kredito išvestines finansines priemones gali užskaityti, kai joms taikomas KRR 295 straipsnio c punkte nurodytas sutartinės kryžminės produktų užskaitos susitarimas.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Pagal KRR 429a straipsnio 1 dalies antrą pastraipą nustatydamos kredito išvestinių finansinių priemonių galimą būsimą kredito poziciją, įstaigos KRR 299 straipsnio 2 dalies a punkte nustatytus principus taiko visoms savo kredito išvestinėms finansinėms priemonėms, ne vien toms, kurios priskirtos prekybos knygai.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Į šį laukelį įstaigos neįtraukia sutarčių, įvertintų taikant pradinės pozicijos metodą pagal KRR 429a straipsnio 8 dalį ir 275 straipsnį.</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Kliento prekybos pozicijų, kurių tarpuskaitą atlieka pagrindinė sandorio šalis, dalis, kuriai taikoma išimtis (galima būsima pozicija)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11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galima būsima pozicija.</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Įstaigos taip pat įtraukia šiame laukelyje nurodytą sumą į {090;010} laukelį taip, lyg išimtis nebūtų taikoma.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Išvestinėms finansinėms priemonėms skirta nukrypti leidžianti nuostata. Pradinės pozicijos metodas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429a straipsnio 8 dalis ir 275 straipsnis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Šiame laukelyje nurodomas KRR II priedo 1 ir 2 punktuose išvardytų sutarčių pozicijų matas, apskaičiuotas pagal pradinės pozicijos metodą, nurodytą KRR 275 straipsnyje.</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Pradinės pozicijos metodą taikančios įstaigos pozicijų mato nemažina pinigais gautos kintamosios garantinės įmokos suma pagal KRR 429a straipsnio 8 dalį.</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Pradinės pozicijos metodo netaikančios įstaigos šiame laukelyje informacijos nepateikia.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Šiame laukelyje įstaigos nenurodo sandorių, apskaičiuotų taikant KRR 429a straipsnio 1 dalyje ir 274 straipsnyje nurodytą rinkos vertės metodą.</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Kliento prekybos pozicijų, kurių tarpuskaitą atlieka pagrindinė sandorio šalis, dalis, kuriai taikoma išimtis (pradinės pozicijos metodas)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11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Kliento prekybos pozicijų, kurių tarpuskaitą atlieka pagrindinė sandorio šalis, dalis, kuriai taikoma išimtis, taikant KRR 275 straipsnyje nurodytą pradinės pozicijos metodą, jeigu tie elementai atitinka KRR 306 straipsnio 1 dalies c punkte nurodytas sąlygas.</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Įstaigos taip pat įtraukia šiame laukelyje nurodytą sumą į {110;010} laukelį taip, lyg išimtis nebūtų taikoma.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Pasirašytų kredito išvestinių finansinių priemonių apribota tariamoji suma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429a straipsnio 5–7 dalys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Pasirašytų kredito išvestinių finansinių priemonių apribota tariamoji vertė (t. y. kai įstaiga sandorio šaliai suteikia kredito užtikrinimą), nurodyta KRR 429a straipsnio 5–7 dalyse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Tinkamos įsigytos kredito išvestinės finansinės priemonės, atimamos iš pasirašytų kredito išvestinių finansinių priemonių</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429a straipsnio 5–7 dalys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Įsigytų kredito išvestinių finansinių priemonių (t. y. kai įstaiga perka kredito užtikrinimą iš sandorio šalies) tais pačiais referenciniais pavadinimais, kaip įstaigos išleistos kredito išvestinės finansinės priemonės, kai įsigyto užtikrinimo likęs terminas atitinka parduoto užtikrinimo likusį terminą arba yra už jį ilgesnis, apribota tariamoji vertė. Taigi kiekvieno referencinio pavadinimo atveju vertė neturi būti didesnė nei {130;010} įrašyta vertė.</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Nebalansiniai straipsniai, kuriems taikomas 10 % kredito perskaičiavimo koeficientas pagal KRR 429 straipsnio 10 dalį</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 straipsnio 10 dalis, 111 straipsnio 1 dalies d punktas ir 166 straipsnio 9 dalis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Mažos rizikos nebalansinių straipsnių, kuriems būtų pritaikytas 0 % kredito perskaičiavimo koeficientas, nurodytas KRR I priedo 4 punkto a–c papunkčiuose, pozicijos vertė pagal KRR 429 straipsnio 10 dalį ir 111 straipsnio 1 dalies d punktą (primenama, kad ši pozicijos vertė sudaro 10 % nominaliosios vertės). Tai yra įsipareigojimai, kuriuos įstaiga gali bet kuriuo metu besąlygiškai anuliuoti be išankstinio perspėjimo (UCC) arba kuriais veiksmingai numatomas automatinis atšaukimas dėl paskolos gavėjo kreditingumo pablogėjimo.</w:t>
            </w:r>
            <w:r>
              <w:t xml:space="preserve"> </w:t>
            </w:r>
            <w:r>
              <w:rPr>
                <w:rFonts w:ascii="Times New Roman" w:hAnsi="Times New Roman"/>
              </w:rPr>
              <w:t>Primenama, kad nominalioji vertė nesumažinama specifinės kredito rizikos koregavimais.</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Kai įsipareigojimu numatomas kito įsipareigojimo pratęsimas, pagal KRR 166 straipsnio 9 dalį naudojamas mažesnysis iš dviejų perskaičiavimo koeficientų, susijusių su atskiru įsipareigojimu.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Nebalansiniai straipsniai, kuriems taikomas 20 % kredito perskaičiavimo koeficientas pagal KRR 429 straipsnio 10 dalį</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 straipsnio 10 dalis, 111 straipsnio 1 dalies c punktas ir 166 straipsnio 9 dalis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Vidutinės / mažos rizikos nebalansinių straipsnių, kuriems būtų pritaikytas 20 % kredito perskaičiavimo koeficientas, nurodytas KRR I priedo 3 punkto a ir b papunkčiuose, pozicijos vertė pagal KRR 429 straipsnio 10 dalį ir 111 straipsnio 1 dalies c punktą (primenama, kad ši pozicijos vertė sudaro 20 % nominaliosios vertės).</w:t>
            </w:r>
            <w:r>
              <w:t xml:space="preserve"> </w:t>
            </w:r>
            <w:r>
              <w:rPr>
                <w:rFonts w:ascii="Times New Roman" w:hAnsi="Times New Roman"/>
              </w:rPr>
              <w:t>Primenama, kad nominalioji vertė nesumažinama specifinės kredito rizikos koregavimais.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Kai įsipareigojimu numatomas kito įsipareigojimo pratęsimas, pagal KRR 166 straipsnio 9 dalį naudojamas mažesnysis iš dviejų perskaičiavimo koeficientų, susijusių su atskiru įsipareigojimu.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Šiame laukelyje įstaigos nenurodo KRR II priede išvardytų sutarčių, kredito išvestinių finansinių priemonių ir VPĮFS pagal KRR 429 straipsnio 10 dalį.</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Nebalansiniai straipsniai, kuriems taikomas 50 % kredito perskaičiavimo koeficientas pagal KRR 429 straipsnio 10 dalį</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KRR 429 straipsnio 10 dalis, 111 straipsnio 1 dalies b punktas ir 166 straipsnio 9 dalis</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Vidutinės rizikos nebalansinių straipsnių, kuriems būtų pritaikytas 50 % kredito perskaičiavimo koeficientas pagal standartizuotą kredito rizikos metodą, nurodytą KRR I priedo 2 punkto a ir b papunkčiuose, pozicijos vertė pagal KRR 429 straipsnio 10 dalį ir 111 straipsnio 1 dalies b punktą (primenama, kad ši pozicijos vertė sudaro 50 % nominaliosios vertės). Primenama, kad nominalioji vertė nesumažinama specifinės kredito rizikos koregavimais.</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Šiame laukelyje nurodytos likvidumo priemonės ir kiti pakeitimo vertybiniais popieriais įsipareigojimai. Kitaip tariant, nepriklausomai nuo termino, visų likvidumo priemonių kredito perskaičiavimo koeficientas pagal KRR 255 straipsnį yra 50 %.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Kai įsipareigojimu numatomas kito įsipareigojimo pratęsimas, pagal KRR 166 straipsnio 9 dalį naudojamas mažesnysis iš dviejų perskaičiavimo koeficientų, susijusių su atskiru įsipareigojimu.</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Nebalansiniai straipsniai, kuriems taikomas 100 % kredito perskaičiavimo koeficientas pagal KRR 429 straipsnio 10 dalį</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 straipsnio 10 dalis, 111 straipsnio 1 dalies a punktas ir 166 straipsnio 9 dalis</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Didelės rizikos nebalansinių straipsnių, kuriems būtų pritaikytas 100 % kredito perskaičiavimo koeficientas, nurodytas KRR I priedo 1 punkto a–k papunkčiuose, pozicijos vertė pagal KRR 429 straipsnio 10 dalį ir 111 straipsnio 1 dalies a punktą (primenama, kad ši pozicijos vertė sudaro 100 % nominaliosios vertės). Primenama, kad nominalioji vertė nesumažinama specifinės kredito rizikos koregavimais.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Šiame laukelyje nurodytos likvidumo priemonės ir kiti pakeitimo vertybiniais popieriais įsipareigojimai.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Kai įsipareigojimu numatomas kito įsipareigojimo pratęsimas, pagal KRR 166 straipsnio 9 dalį naudojamas mažesnysis iš dviejų perskaičiavimo koeficientų, susijusių su atskiru įsipareigojimu.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Kitas turtas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KRR 429 straipsnio 5 dalis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Visas turtas, išskyrus KRR II priede išvardytas sutartis, kredito išvestines finansines priemones ir VPĮFS (pvz., kitą turtą, kurį reikia nurodyti šiame laukelyje, sudaro gautinos sumos už piniginę kintamąją garantinę įmoką, jei jos pripažįstamos pagal taikomą apskaitos sistemą, likvidusis turtas, apibrėžtas pagal padengimo likvidžiuoju turtu rodiklį, neįvykdyti ir neapmokėti sandoriai). Vertinimą įstaigos grindžia KRR 429 straipsnio 5 dalyje išdėstytais principais.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Į šį laukelį įstaigos įtraukia gautus pinigus arba garantijas, pateiktas sandorio šaliai pagal VPĮFS ir nurodytus balanse (t. y. neįvykdyti pripažinimo nutraukimo apskaitos kriterijai). Be to, įstaigos pripažįsta straipsnius, kurie yra atskaitomi iš bendro 1 lygio nuosavo kapitalo ir papildomų 1 lygio straipsnių (pvz., nematerialiojo turto, atidėtųjų mokesčių turto ir kt.).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Bendra pateiktų išvestinių finansinių priemonių užtikrinimo priemonių suma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429a straipsnio 2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Pateiktų išvestinių finansinių priemonių užtikrinimo priemonių suma, jei dėl tų užtikrinimo priemonių pateikimo turto suma sumažinama pagal taikytiną apskaitos sistemą, nurodytą KRR 429a straipsnio 2 dalyje.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Įstaigos į šį laukelį neįtraukia pradinės garantinės įmokos už kliento išvestinių finansinių priemonių sandorius, kurių tarpuskaitą atlieka reikalavimus atitinkanti pagrindinė sandorio šalis, arba tinkamos piniginės kintamosios įmokos, kaip apibrėžta KRR 429a straipsnio 3 dalyje.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Gautinos sumos už piniginę kintamąją garantinę įmoką, pateikiamą išvestinių finansinių priemonių sandoriuose</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KRR 429a straipsnio 3 dalies trečia pastraipa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Gautinos sumos už kintamąją garantinę įmoką, sumokėtą pinigais sandorio šaliai vykdant išvestinių finansinių priemonių sandorius, jeigu pagal taikytiną apskaitos sistemą įstaiga turi pripažinti šias gautinas sumas kaip turtą, jei tenkinamos KRR 429a straipsnio 3 dalies a–e punktuose nurodytos sąlygos.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Nurodyta suma taip pat turi būti įtraukta į kitą turtą, nurodytą {190, 010} laukelyje.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Kliento prekybos pozicijų, kurių tarpuskaitą atlieka pagrindinė sandorio šalis, dalis, kuriai taikoma išimtis (pradinė garantinė įmoka)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11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(suteiktos) pradinės garantinės įmokos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Nurodyta suma taip pat turi būti įtraukta į kitą turtą, nurodytą {190, 010} laukelyje.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VPĮFS pardavimo apskaitos sandorių koregavimas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429b straipsnio 5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Pagal atpirkimo sandorį paskolintų vertybinių popierių, kurių pripažinimas nutrauktas dėl pardavimo apskaitos sandorio pagal taikytiną apskaitos sistemą, vertė.</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Patikėtas turtas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KRR 429 straipsnio 13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Patikėto turto, kuris atitinka 39-ajame TAS nurodytus pripažinimo nutraukimo kriterijus ir atitinkamais atvejais 10-ajame TFAS nurodytus dekonsolidavimo kriterijus, vertė pagal KRR 429 straipsnio 13 dalį, neatsižvelgiant į apskaitinės užskaitos arba kito KRM būdo poveikį (t. y. panaikinamas bet koks apskaitinės užskaitos arba KRM poveikis apskaitinei vertei).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Nurodyta suma taip pat turi būti įtraukta į kitą turtą, nurodytą {190, 010} laukelyje.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Grupės vidaus pozicijos (individualiu pagrindu), kurioms taikoma išimtis pagal KRR 429 straipsnio 7 dalį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KRR 429 straipsnio 7 dalis ir 113 straipsnio 6 dalis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Pozicijos, kurios nebuvo konsoliduotos taikytinu konsolidavimo lygmeniu ir kurioms gali būti taikoma KRR 113 straipsnio 6 dalyje nustatyta tvarka, jeigu įvykdytos visos KRR 113 straipsnio 6 dalies a–e punktuose nustatytos sąlygos ir jeigu kompetentingos institucijos yra suteikusios leidimą.</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Nurodyta suma taip pat turi būti įtraukta į pirmiau pateiktus taikytinus laukelius taip, lyg išimtis nebūtų taikoma.</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lastRenderedPageBreak/>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Pozicijos, kurioms taikoma išimtis pagal KRR 429 straipsnio 14 dalį</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KRR 429 straipsnio 14 dalis</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Pozicijos, kurioms taikoma išimtis pagal KRR 429 straipsnio 14 dalį, jeigu įvykdytos toje dalyje nustatytos sąlygos ir jeigu kompetentingos institucijos yra suteikusios leidimą.</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Nurodyta suma taip pat turi būti įtraukta į pirmiau pateiktus taikytinus laukelius taip, lyg išimtis nebūtų taikoma.</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Atskaityta turto suma. 1 lygio kapitalas. Visiškai įdiegta apibrėžtis</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KRR 429 straipsnio 4 dalies a punktas ir 499 straipsnio 1 dalies a punktas</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Ji apima visus koregavimus, kurie yra susiję su turto verte ir kurių reikalaujama pagal toliau nurodytus straipsnius: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KRR 32–35 straipsnius arba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KRR 36–47 straipsnius, arba</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KRR 56–60 straipsnius,</w:t>
            </w:r>
          </w:p>
          <w:p w:rsidR="006D3F98" w:rsidRDefault="006D3F98" w:rsidP="002573FC">
            <w:pPr>
              <w:pStyle w:val="BodyText1"/>
              <w:spacing w:line="240" w:lineRule="auto"/>
              <w:rPr>
                <w:rFonts w:ascii="Times New Roman" w:hAnsi="Times New Roman"/>
                <w:bCs/>
              </w:rPr>
            </w:pPr>
            <w:r>
              <w:rPr>
                <w:rFonts w:ascii="Times New Roman" w:hAnsi="Times New Roman"/>
              </w:rPr>
              <w:t>kai taikoma.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Įstaigos atsižvelgia į tokių atskaitymų išimtis, alternatyvas ir netaikymo galimybes, nustatytas KRR 48, 49 ir 79 straipsniuose, neatsižvelgdamos į nukrypti leidžiančią nuostatą, nustatytą KRR dešimtos dalies I antraštinės dalies 1 ir 2 skyriuose. Kad išvengtų dvigubo skaičiavimo, įstaigos nenurodo koregavimų, jau taikytų pagal KRR 111 straipsnį apskaičiuojant pozicijos vertę {010;010}–{260;010} laukeliuose, ir nenurodo jokio koregavimo, kuris nėra konkretaus turto vertės atskaitymas.</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Kadangi šios sumos jau atskaitytos iš kapitalo priemonės, jos mažina sverto koeficiento poziciją ir turi būti nurodomos neigiamu skaičiumi.</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Atskaityta turto suma. 1 lygio kapitalas. Pereinamojo laikotarpio apibrėžtis</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KRR 429 straipsnio 4 dalies a punktas ir 499 straipsnio 1 dalies b punktas</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Ji apima visus koregavimus, kuriais koreguojama turto vertė ir kurių reikalaujama pagal toliau nurodytus straipsnius:</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KRR 32–35 straipsnius arba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KRR 36–47 straipsnius, arba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KRR 56–60 straipsnius,</w:t>
            </w:r>
          </w:p>
          <w:p w:rsidR="009264ED" w:rsidRDefault="00316050" w:rsidP="002573FC">
            <w:pPr>
              <w:pStyle w:val="BodyText1"/>
              <w:spacing w:line="240" w:lineRule="auto"/>
              <w:rPr>
                <w:rFonts w:ascii="Times New Roman" w:hAnsi="Times New Roman"/>
                <w:bCs/>
              </w:rPr>
            </w:pPr>
            <w:r>
              <w:rPr>
                <w:rFonts w:ascii="Times New Roman" w:hAnsi="Times New Roman"/>
              </w:rPr>
              <w:t>kai taikoma.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Įstaigos atsižvelgia į tokių atskaitymų išimtis, alternatyvas ir netaikymo galimybes, nustatytas KRR 48, 49 ir 79 straipsniuose, kartu atsižvelgdamos į nukrypti leidžiančią nuostatą, nustatytą KRR dešimtos dalies I antraštinės dalies 1 ir 2 skyriuose. Kad išvengtų dvigubo skaičiavimo, įstaigos nenurodo koregavimų, jau taikytų pagal KRR 111 straipsnį apskaičiuojant pozicijos vertę {010;010}–{260;010} laukeliuose, ir nenurodo jokio koregavimo, kuris nėra konkretaus turto vertės atskaitymas.</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lastRenderedPageBreak/>
              <w:t>Kadangi šios sumos jau atskaitytos iš kapitalo priemonės, jos mažina sverto koeficiento poziciją ir turi būti nurodomos neigiamu skaičiumi.</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Bendra sverto koeficiento pozicija taikant visiškai įdiegtą 1 lygio kapitalo apibrėžtį</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Įstaigos nurodo šią sumą:</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Bendra sverto koeficiento pozicija taikant pereinamojo laikotarpio 1 lygio kapitalo apibrėžtį</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Įstaigos nurodo šią sumą:</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Eilutė </w:t>
            </w:r>
          </w:p>
          <w:p w:rsidR="009264ED" w:rsidRPr="00FE002E" w:rsidRDefault="009264ED" w:rsidP="00FE0FF1">
            <w:pPr>
              <w:pStyle w:val="BodyText1"/>
              <w:rPr>
                <w:rFonts w:ascii="Times New Roman" w:hAnsi="Times New Roman"/>
                <w:b/>
                <w:bCs/>
              </w:rPr>
            </w:pPr>
            <w:r>
              <w:rPr>
                <w:rFonts w:ascii="Times New Roman" w:hAnsi="Times New Roman"/>
                <w:b/>
              </w:rPr>
              <w:t>ir skiltis</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Kapitalas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1 lygio kapitalas. Visiškai įdiegta apibrėžtis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KRR 429 straipsnio 3 dalis ir 499 straipsnio 1 dalis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Nurodoma pagal KRR 25 straipsnį apskaičiuota 1 lygio kapitalo suma, neatsižvelgiant į KRR dešimtos dalies I antraštinės dalies 1 ir 2 skyriuose nustatytą nukrypti leidžiančią nuostatą.</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1 lygio kapitalas. Pereinamojo laikotarpio apibrėžtis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KRR 429 straipsnio 3 dalis ir 499 straipsnio 1 dalis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Nurodoma pagal KRR 25 straipsnį apskaičiuota 1 lygio kapitalo suma, atsižvelgus į KRR dešimtos dalies I antraštinės dalies 1 ir 2 skyriuose nustatytą nukrypti leidžiančią nuostatą.</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Eilutė </w:t>
            </w:r>
          </w:p>
          <w:p w:rsidR="009264ED" w:rsidRPr="00FE002E" w:rsidRDefault="009264ED" w:rsidP="00FE0FF1">
            <w:pPr>
              <w:pStyle w:val="BodyText1"/>
              <w:rPr>
                <w:rFonts w:ascii="Times New Roman" w:hAnsi="Times New Roman"/>
                <w:b/>
                <w:bCs/>
              </w:rPr>
            </w:pPr>
            <w:r>
              <w:rPr>
                <w:rFonts w:ascii="Times New Roman" w:hAnsi="Times New Roman"/>
                <w:b/>
              </w:rPr>
              <w:t>ir skiltis</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Sverto koeficientas</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Sverto koeficientas taikant visiškai įdiegtą 1 lygio kapitalo apibrėžtį</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KRR 429 straipsnio 2 dalis ir 499 straipsnio 1 dalis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Nurodomas pagal šio priedo II dalies 4 dalį apskaičiuotas sverto koeficientas.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Sverto koeficientas taikant pereinamojo laikotarpio 1 lygio kapitalo apibrėžtį</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KRR 429 straipsnio 2 dalis ir 499 straipsnio 1 dalis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lastRenderedPageBreak/>
              <w:t>Nurodomas pagal šio priedo II dalies 5 dalį apskaičiuotas sverto koeficientas.</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27185"/>
      <w:r>
        <w:rPr>
          <w:rFonts w:ascii="Times New Roman" w:hAnsi="Times New Roman"/>
          <w:b/>
        </w:rPr>
        <w:t>5.</w:t>
      </w:r>
      <w:r>
        <w:tab/>
      </w:r>
      <w:r>
        <w:rPr>
          <w:rFonts w:ascii="Times New Roman" w:hAnsi="Times New Roman"/>
          <w:b/>
        </w:rPr>
        <w:t>C 40.00. Alternatyvus pozicijų mato vertinimas</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Šioje ataskaitos dalyje renkami duomenys apie alternatyvų išvestinių finansinių priemonių, VPĮFS ir nebalansinių straipsnių vertinimą.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Apskaitines balansines vertes LR1 formoje įstaigos nustato remdamosi KRR 4 straipsnio 1 dalies 77 punkte nurodyta taikytina apskaitos sistema. Žodžių junginiu „apskaitinė vertė netaikant užskaitos arba kito KRM būdo“ nurodoma, kad nustatant apskaitinę balansinę vertę neatsižvelgiama į užskaitos arba kito rizikos mažinimo būdo poveikį.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Išskyrus {250;120} ir {260;120}, įstaigos nurodo informaciją LR1 formoje taip, lyg išimtys, nurodytos {050;010}, {080;010}, {100;010}, {120;010}, {220;010}, {250;010} ir {260;010} LRCalc laukeliuose, nebūtų taikomos.</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Eilutė </w:t>
            </w:r>
          </w:p>
          <w:p w:rsidR="00F4754B" w:rsidRPr="00FE002E" w:rsidRDefault="00F4754B" w:rsidP="00F4754B">
            <w:pPr>
              <w:pStyle w:val="BodyText1"/>
              <w:rPr>
                <w:rFonts w:ascii="Times New Roman" w:hAnsi="Times New Roman"/>
                <w:b/>
              </w:rPr>
            </w:pPr>
            <w:r>
              <w:rPr>
                <w:rFonts w:ascii="Times New Roman" w:hAnsi="Times New Roman"/>
                <w:b/>
              </w:rPr>
              <w:t>ir skiltis</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Nuorodos į teisės aktus ir nurodymai</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Išvestinės finansinės priemonės. Apskaitinė balansinė vertė</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{020;010}, {050;010} ir {060;010} laukelių suma.</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Apskaitinė vertė netaikant užskaitos arba kito KRM būdo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{020;020}, {050;020} ir {060;020} laukelių suma.</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Papildomas mokestis pagal rinkos vertės metodą (netaikant užskaitos arba kito KRM būdo)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{020;050}, {050;050} ir {060;050} laukelių suma.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Tariamoji suma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{020;070}, {050;070} ir {060;070} laukelių suma.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Apskaitinė balansinė vertė</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KRR 4 straipsnio 1 dalies 77 punktas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Kredito išvestinių finansinių priemonių apskaitinė balansinė vertė pagal taikytiną apskaitos sistemą, kai įstaiga parduoda kredito užtikrinimą sandorio šaliai ir sutartis pripažįstama kaip į balansą įtrauktas turtas.</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Apskaitinė vertė netaikant užskaitos arba kito KRM būdo</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KRR 4 straipsnio 1 dalies 77 punktas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Kredito išvestinių finansinių priemonių apskaitinė balansinė vertė pagal taikytiną apskaitos sistemą, kai įstaiga parduoda kredito užtikrinimą sandorio šaliai ir sutartis pripažįstama kaip </w:t>
            </w:r>
            <w:r>
              <w:rPr>
                <w:rFonts w:ascii="Times New Roman" w:hAnsi="Times New Roman"/>
              </w:rPr>
              <w:lastRenderedPageBreak/>
              <w:t>į balansą įtrauktas turtas, neatsižvelgiant į rizikos ribojimo ar apskaitinės užskaitos arba kito KRM būdo poveikį (t. y. panaikinamas bet koks apskaitinės užskaitos arba KRM poveikis apskaitinei vertei).</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Papildomas mokestis pagal rinkos vertės metodą (netaikant užskaitos arba kito KRM būdo)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{030;050} ir {040;050} laukelių suma.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Tariamoji suma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{030;070} ir {040;070} laukelių suma.</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Kredito išvestinės finansinės priemonės (parduotas užtikrinimas). Apribota tariamoji suma</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Šiame laukelyje pateikiama tariamoji suma, kuria grindžiamos kredito išvestinės finansinės priemonės (parduotu užtikrinimu), kaip {020; 070} laukelyje, sumažinta bet kokių neigiamų tikrosios vertės pokyčių suma, įtraukta į 1 lygio kapitalą pasirašytų kredito išvestinių finansinių priemonių atžvilgiu.</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kurioms taikoma sandorių užbaigimo nuostata. Papildomas mokestis pagal rinkos vertės metodą (netaikant užskaitos arba kito KRM būdo)</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299 straipsnio 2 dalis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Šiame laukelyje nurodoma kredito išvestinių finansinių priemonių galima būsima pozicija, kai įstaiga parduoda kredito užtikrinimą sandorio šaliai su sąlyga, kad taikoma sandorių užbaigimo nuostata, netaikant užskaitos arba kito KRM būdo. Į šį laukelį įstaigos neįtraukia papildomo mokesčio už kredito išvestines finansines priemones, kai įstaiga parduoda kredito užtikrinimą sandorio šaliai, kuriai netaikoma sandorių užbaigimo nuostata. Šiuos duomenis įstaigos įtraukia į {LR1;040;050} laukelį.</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Įstaigos atsižvelgia į visas kredito išvestines finansines priemones, ne vien į tas, kurios priskirtos prekybos knygai.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kurioms taikoma sandorių užbaigimo nuostata. Tariamoji suma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Šiame laukelyje pateikiama tariamoji suma, kuria grindžiamos kredito išvestinės finansinės priemonės, kai įstaiga parduoda kredito užtikrinimą sandorio šaliai, kuriai taikoma sandorių užbaigimo nuostata.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Įstaigos atsižvelgia į visas kredito išvestines finansines priemones, ne vien į tas, kurios priskirtos prekybos knygai.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lastRenderedPageBreak/>
              <w:t xml:space="preserve">Kredito išvestinės finansinės priemonės (parduotas užtikrinimas), kurioms netaikoma sandorių užbaigimo nuostata. Papildomas mokestis pagal rinkos vertės metodą </w:t>
            </w:r>
            <w:r>
              <w:rPr>
                <w:rFonts w:ascii="Times New Roman" w:hAnsi="Times New Roman"/>
                <w:b/>
              </w:rPr>
              <w:lastRenderedPageBreak/>
              <w:t>(netaikant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299 straipsnio 2 dalis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Šiame laukelyje nurodoma kredito išvestinių finansinių priemonių galima būsima pozicija, kai įstaiga parduoda kredito užtikrinimą sandorio šaliai, kuriai </w:t>
            </w:r>
            <w:r>
              <w:rPr>
                <w:rFonts w:ascii="Times New Roman" w:hAnsi="Times New Roman"/>
                <w:b/>
                <w:u w:val="single"/>
              </w:rPr>
              <w:t>netaikoma</w:t>
            </w:r>
            <w:r>
              <w:rPr>
                <w:rFonts w:ascii="Times New Roman" w:hAnsi="Times New Roman"/>
              </w:rPr>
              <w:t xml:space="preserve"> sandorių užbaigimo nuostata, darant prielaidą, kad netaikoma užskaita arba kitas KRM būdas.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Įstaigos atsižvelgia į visas kredito išvestines finansines priemones, ne vien į tas, kurios priskirtos prekybos knygai.</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(parduotas užtikrinimas), kurioms netaikoma sandorių užbaigimo nuostata. Tariamoji suma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Šiame laukelyje pateikiama tariamoji suma, kuria grindžiamos kredito išvestinės finansinės priemonės, kai įstaiga parduoda kredito užtikrinimą sandorio šaliai, kuriai </w:t>
            </w:r>
            <w:r>
              <w:rPr>
                <w:rFonts w:ascii="Times New Roman" w:hAnsi="Times New Roman"/>
                <w:b/>
                <w:u w:val="single"/>
              </w:rPr>
              <w:t>netaikoma</w:t>
            </w:r>
            <w:r>
              <w:rPr>
                <w:rFonts w:ascii="Times New Roman" w:hAnsi="Times New Roman"/>
              </w:rPr>
              <w:t xml:space="preserve"> sandorių užbaigimo nuostata.</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Įstaigos atsižvelgia į visas kredito išvestines finansines priemones, ne vien į tas, kurios priskirtos prekybos knygai.</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(įsigytas užtikrinimas). Apskaitinė balansinė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Kredito išvestinių finansinių priemonių apskaitinė balansinė vertė pagal taikytiną apskaitos sistemą, kai įstaiga įsigyja kredito užtikrinimą iš sandorio šalies, o sutartis pripažįstama kaip į balansą įtrauktas turtas.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Įstaigos atsižvelgia į visas kredito išvestines finansines priemones, ne vien į tas, kurios priskirtos prekybos knygai.</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(įsigytas užtikrinimas). Apskaitinė vertė netaikant užskaitos arba kito KRM būdo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Kredito išvestinių finansinių priemonių apskaitinė balansinė vertė pagal taikytiną apskaitos sistemą, kai įstaiga įsigyja kredito užtikrinimą iš sandorio šalies, o sutartis pripažįstama kaip į balansą įtrauktas turtas, neatsižvelgiant į apskaitinės užskaitos arba kito KRM būdo poveikį (t. y. panaikinamas bet koks apskaitinės užskaitos arba KRM poveikis apskaitinei vertei).</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Įstaigos atsižvelgia į visas kredito išvestines finansines priemones, ne vien į tas, kurios priskirtos prekybos knygai.</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lastRenderedPageBreak/>
              <w:t>Kredito išvestinės finansinės priemonės (įsigytas užtikrinimas). Papildomas mokestis pagal rinkos vertės metodą (netaikant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299 straipsnio 2 dalis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nurodoma galima būsima kredito išvestinių finansinių priemonių pozicija, kai įstaiga įsigyja kredito užtikrinimą iš sandorio šalies, netaikant užskaitos arba kito KRM būdo.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Įstaigos atsižvelgia į visas kredito išvestines finansines priemones, ne vien į tas, kurios priskirtos prekybos knygai.</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(įsigytas užtikrinimas). Tariamoji suma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Šiame laukelyje pateikiama tariamoji suma, kuria grindžiamos kredito išvestinės finansinės priemonės, kai įstaiga įsigyja kredito užtikrinimą iš sandorio šalies.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Įstaigos atsižvelgia į visas kredito išvestines finansines priemones, ne vien į tas, kurios priskirtos prekybos knygai.</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Kredito išvestinės finansinės priemonės (įsigytas užtikrinimas). Apribota tariamoji suma</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Šiame laukelyje pateikiama tariamoji suma, kuria grindžiamos kredito išvestinės finansinės priemonės (įsigytu užtikrinimu), kaip {050;050} laukelyje, sumažinta bet kokių teigiamų tikrosios vertės pokyčių suma, įtraukta į 1 lygio kapitalą įsigytų kredito išvestinių finansinių priemonių atžvilgiu.</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Kredito išvestinės finansinės priemonės (įsigytas užtikrinimas). Apribota tariamoji suma (tie patys referenciniai pavadinimai)</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Tariamoji suma, kuria grindžiamos kredito išvestinės finansinės priemonės, kai įstaiga įsigyja kredito užtikrinimą tuo pačiu susijusiu referenciniu pavadinimu, kaip tos kredito išvestinės finansinės priemonės, kurias yra pasirašiusi informaciją teikianti įstaiga.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Nurodant šio laukelio vertę susiję referenciniai pavadinimai laikomi tapačiais, jei jais nurodomas tas pats juridinis asmuo ir tas pats prioritetas.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Referencinių subjektų grupės atžvilgiu įsigytas kredito užtikrinimas laikomas tapačiu, jei jis yra ekonomiškai lygiavertis užtikrinimui, įsigyjamam kiekvieno atskiro grupės subjekto atžvilgiu.</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Jei įstaiga įsigyja kredito užtikrinimą referencinių pavadinimų grupės atžvilgiu, šis kredito užtikrinimas laikomas tapačiu, tik jei įsigytas kredito užtikrinimas apima visus grupės, kurios pavadinimu parduotas kredito užtikrinimas, pogrupius. Kitaip tariant, tarpusavio užskaitymas gali būti pripažįstamas, tik jei sutampa abiejų sandorių referencinių subjektų grupė ir subordinacijos lygis.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Su kiekvienu referenciniu pavadinimu susijusios įsigyto kredito užtikrinimo tariamosios sumos, kurios nurodomos šiame laukelyje, negali viršyti {020;075} ir {050;075} laukeliuose nurodytų sumų.</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Išvestinės finansinės priemonės. Apskaitinė balansinė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II priede išvardytų sutarčių apskaitinė balansinė vertė pagal taikytiną apskaitos sistemą, kai sutartys pripažįstamos kaip į balansą įtrauktas turtas.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Išvestinės finansinės priemonės. Apskaitinė vertė netaikant užskaitos arba kito KRM būdo</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II priede išvardytų sutarčių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Išvestinės finansinės priemonės. Papildomas mokestis pagal rinkos vertės metodą (netaikant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274 straipsnis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nurodoma KRR II priede išvardytų sutarčių reguliuojamoji galima būsima pozicija netaikant užskaitos arba kito KRM būdo.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Išvestinės finansinės priemonės. Tariamoji suma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pateikiama tariamoji suma, kuria grindžiamos sutartys, išvardytos KRR II priede.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VPĮFS, kuriems taikomas pagrindinis užskaitos sandoris. Apskaitinė balansinė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 ir 206 straipsnis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VPĮFS, kuriems taikomas reikalavimus pagal KRR 206 straipsnį atitinkantis pagrindinis užskaitos sandoris, apskaitinė balansinė vertė pagal taikytiną apskaitos sistemą.</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Į šį laukelį įstaigos neįtraukia gautų pinigų arba garantijų, pateiktų sandorio šaliai pagal pirmiau minėtus sandorius ir nurodytų balanse (t. y. neįvykdyti pripažinimo nutraukimo apskaitos kriterijai). Šiuos duomenis įstaigos įtraukia į {090,010} laukelį.</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VPĮFS, kuriems taikomas pagrindinis užskaitos sandoris. Apskaitinė vertė netaikant užskaitos arba kito KRM būdo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77 dalis ir 206 straipsnis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VPĮFS, kuriems taikomas reikalavimus pagal KRR 206 straipsnį atitinkantis pagrindinis užskaitos sandoris,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 Be to, jeigu VPĮFS pagal taikytiną apskaitos sistemą apskaitoje tvarkomi kaip pardavimas, įstaigos panaikina visus su pardavimu susijusius apskaitos įrašus.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 šį laukelį įstaigos neįtraukia gautų pinigų arba garantijų, pateiktų sandorio šaliai pagal pirmiau minėtus sandorius ir nurodytų balanse (t. y. neįvykdyti pripažinimo nutraukimo apskaitos kriterijai). Šiuos duomenis įstaigos įtraukia į {090,020} laukelį.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Vertybinių popierių finansavimo sandoriai, kuriems taikomas pagrindinis užskaitos sandoris. VPĮFS taikomas papildomas mokestis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206 straipsnis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VPĮFS (įskaitant į balansą neįtrauktus sandorius), kuriems taikomas KRR 206 straipsnio reikalavimus atitinkantis užskaitos sandoris, atveju įstaigos sudaro užskaitos grupes. Įstaigos apskaičiuoja kiekvienos užskaitos grupės dabartinės sandorio šalies pozicijos (CCE) papildomą mokestį pagal šią formulę:</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kur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kiekvienas į užskaitos grupę įtrauktas sandoris,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 KRR 220 straipsnio 3 dalyje apibrėžta i sandorio E</w:t>
            </w:r>
            <w:r>
              <w:rPr>
                <w:rFonts w:ascii="Times New Roman" w:hAnsi="Times New Roman"/>
                <w:vertAlign w:val="subscript"/>
              </w:rPr>
              <w:t>i</w:t>
            </w:r>
            <w:r>
              <w:rPr>
                <w:rFonts w:ascii="Times New Roman" w:hAnsi="Times New Roman"/>
              </w:rPr>
              <w:t xml:space="preserve"> vertė,</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 KRR 220 straipsnio 3 dalyje apibrėžta i sandorio C</w:t>
            </w:r>
            <w:r>
              <w:rPr>
                <w:rFonts w:ascii="Times New Roman" w:hAnsi="Times New Roman"/>
                <w:vertAlign w:val="subscript"/>
              </w:rPr>
              <w:t>i</w:t>
            </w:r>
            <w:r>
              <w:rPr>
                <w:rFonts w:ascii="Times New Roman" w:hAnsi="Times New Roman"/>
              </w:rPr>
              <w:t xml:space="preserve">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Įstaigos sudeda pagal šią formulę apskaičiuotus visų užskaitos grupių rezultatus ir gautą rezultatą nurodo šiame laukelyje.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VPĮFS, kuriems netaikomas pagrindinis užskaitos sandoris. Apskaitinė balansinė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VPĮFS, kuriems </w:t>
            </w:r>
            <w:r>
              <w:rPr>
                <w:rFonts w:ascii="Times New Roman" w:hAnsi="Times New Roman"/>
                <w:b/>
                <w:u w:val="single"/>
              </w:rPr>
              <w:t>netaikomas</w:t>
            </w:r>
            <w:r>
              <w:rPr>
                <w:rFonts w:ascii="Times New Roman" w:hAnsi="Times New Roman"/>
              </w:rPr>
              <w:t xml:space="preserve"> reikalavimus pagal KRR 206 straipsnį atitinkantis pagrindinis užskaitos sandoris, apskaitinė balansinė vertė pagal taikytiną apskaitos sistemą, kai sutartys pripažįstamos kaip į balansą įtrauktas turtas.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 šį laukelį įstaigos neįtraukia gautų pinigų arba garantijų, pateiktų sandorio šaliai pagal pirmiau minėtus sandorius ir nurodytų balanse (t. y. neįvykdyti pripažinimo nutraukimo apskaitos kriterijai). Šiuos duomenis įstaigos įtraukia į {090,010} laukelį.</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VPĮFS, kuriems netaikomas pagrindinis užskaitos sandoris. Apskaitinė vertė netaikant užskaitos arba kito KRM būdo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VPĮFS, kuriems </w:t>
            </w:r>
            <w:r>
              <w:rPr>
                <w:rFonts w:ascii="Times New Roman" w:hAnsi="Times New Roman"/>
                <w:b/>
                <w:u w:val="single"/>
              </w:rPr>
              <w:t>netaikomas</w:t>
            </w:r>
            <w:r>
              <w:rPr>
                <w:rFonts w:ascii="Times New Roman" w:hAnsi="Times New Roman"/>
              </w:rPr>
              <w:t xml:space="preserve"> reikalavimus pagal KRR 206 straipsnį atitinkantis pagrindinis užskaitos sandoris,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 Be to, jeigu VPĮFS pagal taikytiną apskaitos sistemą apskaitoje tvarkomi kaip pardavimas, įstaigos panaikina visus su pardavimu susijusius apskaitos įrašus.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Į šį laukelį įstaigos neįtraukia gautų pinigų arba garantijų, pateiktų sandorio šaliai pagal pirmiau minėtus sandorius ir nurodytų balanse (t. y. neįvykdyti pripažinimo nutraukimo apskaitos kriterijai). Šiuos duomenis įstaigos įtraukia į {090,020} laukelį.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VPĮFS, kuriems netaikomas pagrindinis užskaitos sandoris. VPĮFS taikomas papildomas mokestis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206 straipsnis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VPĮFS (įskaitant į balansą neįtrauktus sandorius), kuriems </w:t>
            </w:r>
            <w:r>
              <w:rPr>
                <w:rFonts w:ascii="Times New Roman" w:hAnsi="Times New Roman"/>
                <w:b/>
                <w:u w:val="single"/>
              </w:rPr>
              <w:t>netaikomas</w:t>
            </w:r>
            <w:r>
              <w:rPr>
                <w:rFonts w:ascii="Times New Roman" w:hAnsi="Times New Roman"/>
              </w:rPr>
              <w:t xml:space="preserve"> reikalavimus pagal KRR 206 straipsnį atitinkantis pagrindinis užskaitos sandoris, atveju įstaigos sudaro grupes, kurias sudaro visas į sandorį įtrauktas turtas (t. y. kiekvienas VPĮFS sandoris vertinamas kaip atskira grupė), ir nustato papildomą kiekvienos grupės dabartinės sandorio šalies pozicijos (CCE) mokestį pagal šią formulę: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kur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KRR 220 straipsnio 3 dalyje apibrėžta E</w:t>
            </w:r>
            <w:r>
              <w:rPr>
                <w:rFonts w:ascii="Times New Roman" w:hAnsi="Times New Roman"/>
                <w:vertAlign w:val="subscript"/>
              </w:rPr>
              <w:t>i</w:t>
            </w:r>
            <w:r>
              <w:rPr>
                <w:rFonts w:ascii="Times New Roman" w:hAnsi="Times New Roman"/>
              </w:rPr>
              <w:t xml:space="preserve"> vertė,</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KRR 220 straipsnio 3 dalyje apibrėžta C</w:t>
            </w:r>
            <w:r>
              <w:rPr>
                <w:rFonts w:ascii="Times New Roman" w:hAnsi="Times New Roman"/>
                <w:vertAlign w:val="subscript"/>
              </w:rPr>
              <w:t>i</w:t>
            </w:r>
            <w:r>
              <w:rPr>
                <w:rFonts w:ascii="Times New Roman" w:hAnsi="Times New Roman"/>
              </w:rPr>
              <w:t xml:space="preserve"> vertė.</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Įstaigos sudeda pagal šią formulę apskaičiuotus visų pirmiau nurodytų grupių rezultatus ir gautą rezultatą nurodo šiame laukelyje.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Kitas turtas. Apskaitinė balansinė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Viso turto, išskyrus KRR II priede išvardytas sutartis, kredito išvestines finansines priemones ir VPĮFS, apskaitinė balansinė vertė pagal taikytiną apskaitos sistemą.</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Kitas turtas. Apskaitinė vertė netaikant užskaitos arba kito KRM būdo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4 straipsnio 1 dalies 77 punktas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Viso turto, išskyrus KRR II priede išvardytas sutartis, kredito išvestines finansines priemones ir VPĮFS, apskaitinė balansinė vertė pagal taikytiną apskaitos sistemą, neatsižvelgiant į apskaitinės užskaitos arba kito KRM būdo poveikį (t. y. panaikinamas bet koks apskaitinės užskaitos arba KRM poveikis apskaitinei vertei).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Mažos rizikos nebalansiniai straipsniai pagal RSA; iš kurių – nominalioji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Šiame laukelyje nurodoma nebalansinių straipsnių, kuriems pagal standartizuotą kredito rizikos metodą būtų pritaikytas 0 % kredito perskaičiavimo koeficientas, nominalioji vertė.</w:t>
            </w:r>
            <w:r>
              <w:t xml:space="preserve"> </w:t>
            </w:r>
            <w:r>
              <w:rPr>
                <w:rFonts w:ascii="Times New Roman" w:hAnsi="Times New Roman"/>
              </w:rPr>
              <w:t>Ši vertė nesumažinama specifinės kredito rizikos koregavimais.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Atnaujinamosios mažmeninės pozicijos; iš kurių –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 ir 154 straipsnio 4 dalis</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Šiame laukelyje nurodoma nominalioji nebalansinių reikalavimus atitinkančių atnaujinamųjų mažmeninių pozicijų, kurios atitinka KRR 154 straipsnio 4 dalies a–c punktuose nustatytas sąlygas, vertė. Ši vertė nesumažinama specifinės kredito rizikos koregavimais.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Šis laukelis apima visas pozicijas fizinių asmenų atžvilgiu, kurios yra atnaujinamosios ir besąlygiškai anuliuojamos, kaip aprašyta KRR 149 straipsnio b punkte, ir kurios iš viso apribotos 100 000 EUR vienam įsipareigojančiajam asmeniui.</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Besąlygiškai anuliuojami kredito kortelių įsipareigojimai. Nominalioji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 ir 154 straipsnio 4 dalis</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Šiame laukelyje nurodoma kredito kortelių įsipareigojimų, kuriuos įstaiga gali bet kuriuo metu besąlygiškai anuliuoti be išankstinio perspėjimo (UCC) ir kuriems pagal standartizuotą kredito rizikos metodą būtų pritaikytas 0 % kredito perskaičiavimo koeficientas, nominalioji vertė.</w:t>
            </w:r>
            <w:r>
              <w:t xml:space="preserve"> </w:t>
            </w:r>
            <w:r>
              <w:rPr>
                <w:rFonts w:ascii="Times New Roman" w:hAnsi="Times New Roman"/>
              </w:rPr>
              <w:t>Ši vertė nesumažinama specifinės kredito rizikos koregavimais.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Įstaigos į šį laukelį neįtraukia kredito įsipareigojimų, kuriais veiksmingai numatomas automatinis atšaukimas dėl paskolos gavėjo kreditingumo pablogėjimo, bet kurie negali būti besąlygiškai anuliuoti be išankstinio perspėjimo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Neatnaujinamieji besąlygiškai anuliuojami įsipareigojimai.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 ir 154 straipsnio 4 dalis</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Nurodoma nominalioji kitų įsipareigojimų, kuriuos įstaiga gali bet kuriuo metu besąlygiškai anuliuoti be išankstinio perspėjimo (UCC) ir kuriems pagal standartizuotą kredito rizikos metodą būtų pritaikytas 0 % kredito perskaičiavimo koeficientas, vertė. Ši vertė nesumažinama specifinės kredito rizikos koregavimais.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Įstaigos į šį laukelį neįtraukia kredito įsipareigojimų, kuriais veiksmingai numatomas automatinis atšaukimas dėl paskolos gavėjo kreditingumo pablogėjimo, bet kurie negali būti besąlygiškai anuliuoti be išankstinio perspėjimo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Vidutinės / mažos rizikos nebalansiniai straipsniai pagal RSA.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Šiame laukelyje nurodoma nebalansinių straipsnių, kuriems pagal standartizuotą kredito rizikos metodą būtų pritaikytas 20 % kredito perskaičiavimo koeficientas, nominalioji vertė.</w:t>
            </w:r>
            <w:r>
              <w:t xml:space="preserve"> </w:t>
            </w:r>
            <w:r>
              <w:rPr>
                <w:rFonts w:ascii="Times New Roman" w:hAnsi="Times New Roman"/>
              </w:rPr>
              <w:t>Ši vertė nesumažinama specifinės kredito rizikos koregavimais.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Vidutinės rizikos nebalansiniai straipsniai pagal RSA.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Šiame laukelyje nurodoma nebalansinių straipsnių, kuriems pagal standartizuotą kredito rizikos metodą būtų pritaikytas 50 % kredito perskaičiavimo koeficientas, nominalioji vertė.</w:t>
            </w:r>
            <w:r>
              <w:t xml:space="preserve"> </w:t>
            </w:r>
            <w:r>
              <w:rPr>
                <w:rFonts w:ascii="Times New Roman" w:hAnsi="Times New Roman"/>
              </w:rPr>
              <w:t>Ši vertė nesumažinama specifinės kredito rizikos koregavimais.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Didelės rizikos nebalansiniai straipsniai pagal RSA. Nominalioji vertė</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Šiame laukelyje nurodoma nebalansinių straipsnių, kuriems pagal standartizuotą kredito rizikos metodą būtų pritaikytas 100 % kredito perskaičiavimo koeficientas, nominalioji vertė. Ši vertė nesumažinama specifinės kredito rizikos koregavimais.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Šiame laukelyje įstaigos nenurodo KRR II priede išvardytų sutarčių, kredito išvestinių finansinių priemonių ir VPĮFS pagal KRR 429 straipsnio 10 dalį.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(Papildomas straipsnis) Panaudotos atnaujinamųjų mažmeninių pozicijų sumos.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154 straipsnio 4 dalis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nurodoma nominalioji panaudotų nebalansinių atnaujinamųjų mažmeninių pozicijų sumų vertė.</w:t>
            </w:r>
            <w:r>
              <w:t xml:space="preserve"> </w:t>
            </w:r>
            <w:r>
              <w:rPr>
                <w:rFonts w:ascii="Times New Roman" w:hAnsi="Times New Roman"/>
              </w:rPr>
              <w:t>Ši vertė nesumažinama specifinės kredito rizikos koregavimais.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(Papildomas straipsnis) Panaudotos besąlygiškai anuliuojamų kredito kortelių įsipareigojimų sumos.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 ir 154 straipsnio 4 dalis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nurodoma nominalioji besąlygiškai anuliuojamų kredito kortelių įsipareigojimų sumų vertė. Ši vertė nesumažinama specifinės kredito rizikos koregavimais.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(Papildomas straipsnis) Panaudotos neatnaujinamųjų besąlygiškai anuliuojamų įsipareigojimų sumos. Nominalioji vertė</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KRR 111 straipsnis ir 154 straipsnio 4 dalis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Šiame laukelyje nurodoma nominalioji panaudotų neatnaujinamųjų besąlygiškai anuliuojamų įsipareigojimų sumų vertė.</w:t>
            </w:r>
            <w:r>
              <w:t xml:space="preserve"> </w:t>
            </w:r>
            <w:r>
              <w:rPr>
                <w:rFonts w:ascii="Times New Roman" w:hAnsi="Times New Roman"/>
              </w:rPr>
              <w:t>Ši vertė nesumažinama specifinės kredito rizikos koregavimais.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Pagal išvestinių finansinių priemonių sandorius gautos piniginės užtikrinimo priemonės. Apskaitinė vertė 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Pagal išvestinių finansinių priemonių sandorius gautų piniginių užtikrinimo priemonių apskaitinė balansinė vertė pagal taikytiną apskaitos sistemą, neatsižvelgiant į apskaitinės užskaitos arba kito KRM būdo poveikį (t. y. panaikinamas bet koks apskaitinės užskaitos arba KRM poveikis apskaitinei vertei).</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Šiame laukelyje nurodomi grynieji pinigai – visa grynųjų pinigų, įskaitant monetas ir banknotus atitinkama valiuta, suma. Įtraukiama visa indėlių centriniuose bankuose suma, kurią susidarius nepalankiausioms sąlygoms galima atsiimti. Šiame laukelyje įstaigos nenurodo kitose įstaigose laikomų indėlių grynaisiais pinigais.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Sumos, gautinos už pinigines užtikrinimo priemones, suteiktas pagal išvestinių finansinių priemonių sandorius. Apskaitinė vertė 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Sumų, gautinų už pinigines užtikrinimo priemones, suteiktas pagal išvestinių finansinių priemonių sandorius, apskaitinė balansinė vertė pagal taikytiną apskaitos sistemą, neatsižvelgiant į apskaitinės užskaitos arba kito KRM būdo poveikį (t. y. panaikinamas bet koks apskaitinės užskaitos arba KRM poveikis apskaitinei vertei). Įstaigos, kurioms pagal taikytiną apskaitos sistemą leidžiama atskaityti sumas, gautinas už suteiktas pinigines užtikrinimo priemones, iš susijusių išvestinių finansinių priemonių įsipareigojimų (neigiama tikroji vertė) ir kurios nutaria tai daryti, atlieka atvirkštinę užskaitą ir nurodo grynąsias gautinas grynųjų pinigų sumas.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Pagal VPĮFS gauti vertybiniai popieriai, pripažinti kaip turtas. Apskaitinė vertė netaikant užskaitos arba kito KRM būdo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Pagal VPĮFS gautų vertybinių popierių, pripažintų kaip turtas, apskaitinė balansinė vertė pagal taikytiną apskaitos sistemą, neatsižvelgiant į apskaitinės užskaitos arba kito KRM būdo poveikį (t. y. panaikinamas bet koks apskaitinės užskaitos arba KRM poveikis apskaitinei vertei).</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Tarpininkaujamasis grynųjų pinigų skolinimas pagal VPĮFS (gautinos grynųjų pinigų sumos). Apskaitinė vertė netaikant užskaitos arba kito KRM būdo</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Pagal reikalavimus atitinkantį tarpininkaujamąjį grynųjų pinigų skolinimo sandorį (angl. </w:t>
            </w:r>
            <w:r>
              <w:rPr>
                <w:rFonts w:ascii="Times New Roman" w:hAnsi="Times New Roman"/>
                <w:i/>
              </w:rPr>
              <w:t>cash conduit lending</w:t>
            </w:r>
            <w:r>
              <w:rPr>
                <w:rFonts w:ascii="Times New Roman" w:hAnsi="Times New Roman"/>
              </w:rPr>
              <w:t>, CCLT) už vertybinių popierių savininkui perskolintus grynuosius pinigus gautinų grynųjų pinigų apskaitinė balansinė vertė pagal taikytiną apskaitos sistemą, neatsižvelgiant į apskaitinės užskaitos arba kito KRM būdo poveikį (t. y. panaikinamas bet koks apskaitinės užskaitos arba KRM poveikis apskaitinei vertei).</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Šiame laukelyje nurodomi grynieji pinigai – visa grynųjų pinigų, įskaitant monetas ir </w:t>
            </w:r>
            <w:r>
              <w:rPr>
                <w:rFonts w:ascii="Times New Roman" w:hAnsi="Times New Roman"/>
              </w:rPr>
              <w:lastRenderedPageBreak/>
              <w:t>banknotus atitinkama valiuta, suma. Įtraukiama visa indėlių centriniuose bankuose suma, kurią susidarius nepalankiausioms sąlygoms galima atsiimti. Šiame laukelyje įstaigos nenurodo kitose įstaigose laikomų indėlių grynaisiais pinigais.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CCLT – dviejų sandorių derinys, kai įstaiga pasiskolina vertybinių popierių iš jų savininkų ir juos perskolina vertybinių popierių gavėjui. Kartu įstaiga iš vertybinių popierių gavėjo gauna piniginę užtikrinimo priemonę ir gautus pinigus perskolina vertybinių popierių savininkui. Reikalavimus atitinkantis CCLT atitinka visas šias sąlygas: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abu atskiri sandoriai, apimantys reikalavimus atitinkantį CCLT, įvykdomi tą pačią prekybos dieną, o tarptautiniai sandoriai – artimiausiomis darbo dienomis;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kai CCLT sudarančiuose sandoriuose terminas nenurodytas, įstaiga turi teisės aktais užtikrintą teisę bet kuriuo metu be išankstinio pranešimo uždaryti bet kurią CCLT sandorio pusę, t. y. abu jį sudarančius sandorius;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kai CCLT sudarančiuose sandoriuose terminas nurodytas, dėl šio sandorio neatsiranda įstaigos terminų nesutapimų; įstaiga turi teisės aktais užtikrintą teisę bet kuriuo metu be išankstinio pranešimo uždaryti bet kurią CCLT sandorio pusę, t. y. abu jį sudarančius sandorius;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dėl jo neatsiranda jokių kitų papildomų pozicijų.</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lastRenderedPageBreak/>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Pozicijos, kurioms gali būti taikoma KRR 113 straipsnio 6 dalyje nustatyta tvarka. Sverto koeficiento pozicijos suma, kuriai taikoma hipotetinė išimtis</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Bendros sverto koeficiento pozicijos suma, kuriai būtų taikoma išimtis, jeigu kompetentingos institucijos suteiktų visapusišką leidimą taikyti išimtį pozicijoms, kurios atitinka visas KRR 113 straipsnio 6 dalies a–e punktuose nustatytas sąlygas ir kurioms suteiktas KRR 113 straipsnio 6 dalyje nurodytas leidimas. Jeigu kompetentinga institucija jau suteikia visapusišką leidimą, tuomet šiame laukelyje nurodoma vertė lygi {LRCalc;250;010} laukelyje nurodomai vertei.</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Pozicijos, kurios atitinka KRR 429 straipsnio 14 dalies a–c punktuose nustatytas sąlygas. Sverto koeficiento pozicijos suma, kuriai taikoma hipotetinė išimtis</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Bendros sverto koeficiento pozicijos suma, kuriai būtų taikoma išimtis, jeigu kompetentingos institucijos suteiktų visapusišką leidimą taikyti išimtį pozicijoms, kurios atitinka KRR 429 straipsnio 14 dalies a–c punktuose nustatytas sąlygas. Jeigu kompetentinga institucija jau suteikia visapusišką leidimą, tuomet šiame laukelyje nurodoma vertė lygi {LRCalc;260;010} laukelyje nurodomai vertei.</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27186"/>
      <w:bookmarkEnd w:id="64"/>
      <w:bookmarkEnd w:id="65"/>
      <w:bookmarkEnd w:id="66"/>
      <w:r>
        <w:rPr>
          <w:rFonts w:ascii="Times New Roman" w:hAnsi="Times New Roman"/>
          <w:b/>
        </w:rPr>
        <w:t>6.</w:t>
      </w:r>
      <w:r>
        <w:tab/>
      </w:r>
      <w:r>
        <w:rPr>
          <w:rFonts w:ascii="Times New Roman" w:hAnsi="Times New Roman"/>
          <w:b/>
        </w:rPr>
        <w:t>C 41.00. Balansiniai ir nebalansiniai straipsniai. Papildomas pozicijų suskirstymas</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LR2 formoje teikiama informacija apie papildomai suskirstytus visų ne prekybos knygos balansinių ir nebalansinių pozicijų</w:t>
      </w:r>
      <w:r>
        <w:rPr>
          <w:rFonts w:ascii="Times New Roman" w:hAnsi="Times New Roman"/>
          <w:vertAlign w:val="superscript"/>
        </w:rPr>
        <w:footnoteReference w:id="2"/>
      </w:r>
      <w:r>
        <w:rPr>
          <w:rFonts w:ascii="Times New Roman" w:hAnsi="Times New Roman"/>
        </w:rPr>
        <w:t xml:space="preserve"> ir visų prekybos knygos pozicijų, kurioms kyla sandorio šalies kredito rizika, straipsnius. Straipsniai skirstomi atsižvelgiant į rizikos koeficientus, taikomus pagal KRR kredito rizikos skirsnį. Informacija apie pozicijas, kurioms atitinkamai taikomas standartizuotas metodas ir IRB metodas, gaunama skirtingai.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Teikdamos informaciją apie pozicijas, pagrįstas KRM metodais, pagal kuriuos sandorio šalies rizikos koeficientas pakeičiamas garantijos rizikos koeficientu, įstaigos atsižvelgia į rizikos koeficientą po pakeitimo poveikio. Pagal IRB metodą įstaigos atlieka tokius skaičiavimus: kiekvieno rango įsipareigojantiesiems asmenims priklausančių pozicijų (išskyrus pozicijas, kurioms teisės aktuose </w:t>
      </w:r>
      <w:r>
        <w:rPr>
          <w:rFonts w:ascii="Times New Roman" w:hAnsi="Times New Roman"/>
        </w:rPr>
        <w:lastRenderedPageBreak/>
        <w:t>numatyti konkretūs rizikos koeficientai) rizikos koeficientas apskaičiuojamas pagal rizikos koeficiento arba priežiūrinę formulę (jos atitinkamai taikomos kredito rizikai ir pakeitimo vertybiniais popieriais pozicijoms) gautą ir pagal riziką įvertintą poziciją padalijus iš pozicijos vertės, atsižvelgus į taikant KRM metodus netenkamų ir gaunamų pinigų srautus ir pakeitimo poveikį pozicijai. Taikant IRB metodą, prie neįvykdytų pozicijų priskirtos pozicijos į {020;010}–{090;010} laukelius neįtraukiamos; jos įtraukiamos į {100;010} laukelį. Taikant standartizuotą metodą, pozicijos, kurioms taikomas KRR 112 straipsnio j punktas, į {020;020}–{090;020} laukelius neįtraukiamos; jos įtraukiamos į {100;020} laukelį.</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Pagal abu metodus įstaigos laiko, kad iš reguliuojamojo kapitalo atimtoms pozicijoms taikomas 1 250 % rizikos koeficientas.</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Eilutė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Nuorodos į teisės aktus ir nurodymai</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Visos į ne prekybos knygą įtrauktos balansinės ir nebalansinės pozicijos ir visos prekybos knygos pozicijos, kurioms kyla sandorio šalies kredito rizika (skirstoma pagal rizikos koeficientus):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{020:*}– {100;*} laukelių suma.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ir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0 %, bet ne didesnis nei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ir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Pozicijos, kurių rizikos koeficientas yra būtinai didesnis nei 12 %, bet ne didesnis nei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ir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20 %, bet ne didesnis nei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ir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50 %, bet ne didesnis nei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ir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75 %, bet ne didesnis nei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ir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100 %, bet ne didesnis nei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ir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Pozicijos, kurių rizikos koeficientas yra būtinai didesnis nei 425 %, bet ne didesnis nei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Neįvykdytos pozicijos</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Taikant standartizuotą metodą, į KRR 112 straipsnio j punkto taikymo sritį patenkančios </w:t>
            </w:r>
            <w:r>
              <w:rPr>
                <w:rFonts w:ascii="Times New Roman" w:hAnsi="Times New Roman"/>
              </w:rPr>
              <w:lastRenderedPageBreak/>
              <w:t>pozicijos.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Taikant IRB metodą, visos pozicijos, kurių įsipareigojimų neįvykdymo tikimybė yra 100 %, yra neįvykdytos pozicijos.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(Papildomas straipsnis) mažos rizikos nebalansiniai straipsniai arba nebalansiniai straipsniai, kuriems pagal mokumo koeficientą taikomas 0 % perskaičiavimo koeficientas</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Mažos rizikos nebalansiniai straipsniai pagal KRR 111 straipsnį ir nebalansiniai straipsniai, kuriems pagal KRR 166 straipsnį taikomas 0 % perskaičiavimo koeficientas.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Skiltis</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Nuorodos į teisės aktus ir nurodymai</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Balansinės ir nebalansinės pozicijos (SA pozicijos)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Pagal KRR trečios dalies II antraštinės dalies 2 skyrių apskaičiuotos balansinių ir nebalansinių pozicijų vertės atsižvelgus į vertės koregavimus, visus KRM būdus ir kredito perskaičiavimo koeficientus.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Balansinės ir nebalansinės pozicijos (IRB pozicijos)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Balansinių ir nebalansinių pozicijų vertės pagal KRR 166 straipsnį ir 230 straipsnio 1 dalies antros pastraipos pirmą sakinį, atsižvelgus į taikant KRM metodus netenkamų ir gaunamų pinigų srautus ir pakeitimo poveikį pozicijai.</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Nebalansiniams straipsniams įstaigos taiko KRR 166 straipsnio 8–10 dalyse apibrėžtus perskaičiavimo koeficientus.</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Nominalioji vertė</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KRR 111 ir 166 straipsniuose apibrėžtų nebalansinių straipsnių pozicijų vertės netaikant perskaičiavimo koeficientų.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3927187"/>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Alternatyvi kapitalo apibrėžtis</w:t>
      </w:r>
      <w:bookmarkEnd w:id="78"/>
      <w:bookmarkEnd w:id="79"/>
      <w:r>
        <w:rPr>
          <w:rFonts w:ascii="Times New Roman" w:hAnsi="Times New Roman"/>
          <w:b/>
        </w:rPr>
        <w:t xml:space="preserve"> (LR3)</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LR3 formoje pateikiama informacija apie kapitalo matus, kurių reikia atliekant KRR 511 straipsnyje numatytą peržiūrą.</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Eilutė </w:t>
            </w:r>
          </w:p>
          <w:p w:rsidR="00F4754B" w:rsidRPr="00FE002E" w:rsidRDefault="00F4754B" w:rsidP="00F4754B">
            <w:pPr>
              <w:pStyle w:val="BodyText1"/>
              <w:rPr>
                <w:rFonts w:ascii="Times New Roman" w:hAnsi="Times New Roman"/>
                <w:b/>
                <w:bCs/>
                <w:u w:val="single"/>
              </w:rPr>
            </w:pPr>
            <w:r>
              <w:rPr>
                <w:rFonts w:ascii="Times New Roman" w:hAnsi="Times New Roman"/>
                <w:b/>
              </w:rPr>
              <w:t>ir skiltis</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Nuorodos į teisės aktus ir nurodymai</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Bendras 1 lygio nuosavas kapitalas. Visiškai įdiegta apibrėžtis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KRR 50 straipsnis</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Nurodoma pagal KRR 50 straipsnį apibrėžta bendro 1 lygio nuosavo kapitalo suma neatsižvelgiant į KRR dešimtos dalies 1 ir 2 skyriuose nustatytą nukrypti leidžiančią nuostatą.</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Bendras 1 lygio nuosavas kapitalas. Pereinamojo laikotarpio apibrėžtis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KRR 50 straipsnis</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Nurodoma pagal KRR 50 straipsnį apskaičiuota bendro 1 lygio nuosavo kapitalo suma atsižvelgus į KRR dešimtos dalies 1 ir 2 skyriuose nustatytą nukrypti leidžiančią nuostatą.</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Bendros nuosavos lėšos. Visiškai įdiegta apibrėžtis</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KRR 72 straipsnis</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Nurodoma pagal KRR 72 straipsnį apibrėžta nuosavų lėšų suma neatsižvelgiant į KRR dešimtos dalies 1 ir 2 skyriuose nustatytą nukrypti leidžiančią nuostatą.</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Bendros nuosavos lėšos. Pereinamojo laikotarpio apibrėžtis</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KRR 72 straipsnis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Nurodoma pagal KRR 72 straipsnį apibrėžta nuosavų lėšų suma atsižvelgus į KRR dešimtos dalies 1 ir 2 skyriuose nustatytą nukrypti leidžiančią nuostatą.</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Iš bendro 1 lygio nuosavo kapitalo straipsnių atskaityta turto suma. Visiškai įdiegta apibrėžtis</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Ji apima bendro 1 lygio nuosavo kapitalo straipsnių reguliuojamąjį koregavimą, kuriuo koreguojama turto vertė ir kurio reikalaujama pagal toliau nurodytus straipsnius:</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32–35 straipsnius arba</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36–47 straipsnius,</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kai taikoma</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Įstaigos atsižvelgia į tokių atskaitymų išimtis, alternatyvas ir netaikymo galimybes, nustatytas KRR 48, 49 ir 79 straipsniuose, neatsižvelgdamos į nukrypti leidžiančią nuostatą, nustatytą KRR dešimtos dalies 1 ir 2 skyriuose. Kad išvengtų dvigubo skaičiavimo, įstaigos nenurodo koregavimų, jau taikytų pagal KRR 111 straipsnį apskaičiuojant pozicijos vertę {LRCalc;10;10}–{LRCalc;260;10} laukeliuose, ir nenurodo jokio koregavimo, kuris nėra konkretaus turto vertės atskaitymas.</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Kadangi dėl šių koregavimų sumažėja bendros nuosavos lėšos, jie nurodomi neigiamu skaičiumi.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Iš bendro 1 lygio nuosavo kapitalo straipsnių atskaityta turto suma. Pereinamojo laikotarpio apibrėžtis</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Ji apima bendro 1 lygio nuosavo kapitalo reguliuojamojo koregavimo, kuriuo koreguojama turto vertė ir kurio reikalaujama pagal toliau nurodytus straipsnius, sumą:</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32–35 straipsnius arba</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36–47 straipsnius,</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kai taikoma.</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Įstaigos atsižvelgia į tokių atskaitymų išimtis, alternatyvas ir netaikymo galimybes, nustatytas KRR 48, 49 ir 79 straipsniuose, taip pat atsižvelgdamos į nukrypti leidžiančią nuostatą, nustatytą KRR dešimtos dalies 1 ir 2 skyriuose. Kad išvengtų dvigubo skaičiavimo, įstaigos nenurodo koregavimų, jau taikytų pagal KRR 111 straipsnį apskaičiuojant pozicijos vertę {LRCalc;10;10}–{LRCalc;260;10} laukeliuose, ir nenurodo jokio koregavimo, kuris nėra konkretaus turto vertės atskaitymas.</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Kadangi dėl šių koregavimų sumažėja bendros nuosavos lėšos, jie nurodomi neigiamu skaičiumi.</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Iš nuosavų lėšų straipsnių atskaityta turto suma. Visiškai įdiegta apibrėžtis</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Ji apima nuosavų lėšų straipsnių reguliuojamojo koregavimo, kuriuo koreguojama turto vertė ir kurio reikalaujama pagal toliau nurodytus straipsnius, sumą:</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32–35 straipsnius arba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36–47 straipsnius, arba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56–60 straipsnius, arba</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66–70 straipsnius,</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kai taikoma.</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Įstaigos atsižvelgia į tokių atskaitymų išimtis, alternatyvas ir netaikymo galimybes, nustatytas KRR 48, 49 ir 79 straipsniuose, neatsižvelgdamos į nukrypti leidžiančią nuostatą, nustatytą KRR dešimtos dalies 1 ir 2 skyriuose. Kad išvengtų dvigubo skaičiavimo, įstaigos nenurodo koregavimų, jau taikytų pagal KRR 111 straipsnį apskaičiuojant pozicijos vertę {LRCalc;10;10}–{LRCalc;260;10} eilutėse, ir nenurodo jokio koregavimo, kuris nėra konkretaus turto vertės atskaitymas.</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Kadangi dėl šių koregavimų sumažėja bendros nuosavos lėšos, jie nurodomi neigiamu skaičiumi.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Iš nuosavų lėšų straipsnių atskaityta turto suma. Pereinamojo laikotarpio apibrėžtis</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Ji apima nuosavų lėšų straipsnių reguliuojamojo koregavimo, kuriuo koreguojama turto vertė ir kurio reikalaujama pagal toliau nurodytus straipsnius, sumą:</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32–35 straipsnius arba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36–47 straipsnius, arba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56–60 straipsnius, arba</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KRR 66–70 straipsnius,</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kai taikoma.</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Įstaigos atsižvelgia į tokių atskaitymų išimtis, alternatyvas ir netaikymo galimybes, nustatytas KRR 48, 49 ir 79 straipsniuose, taip pat atsižvelgdamos į nukrypti leidžiančią nuostatą, nustatytą KRR dešimtos dalies 1 ir 2 skyriuose. Kad išvengtų dvigubo skaičiavimo, įstaigos nenurodo koregavimų, jau taikytų pagal KRR 111 straipsnį apskaičiuojant pozicijos vertę {LRCalc;10;10}–{LRCalc;260;10} laukeliuose, ir nenurodo jokio koregavimo, kuris nėra konkretaus turto vertės atskaitymas.</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Kadangi dėl šių koregavimų sumažėja bendros nuosavos lėšos, jie nurodomi neigiamu skaičiumi.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27188"/>
      <w:r>
        <w:rPr>
          <w:rFonts w:ascii="Times New Roman" w:hAnsi="Times New Roman"/>
          <w:b/>
        </w:rPr>
        <w:t>8.</w:t>
      </w:r>
      <w:r>
        <w:tab/>
      </w:r>
      <w:r>
        <w:rPr>
          <w:rFonts w:ascii="Times New Roman" w:hAnsi="Times New Roman"/>
          <w:b/>
        </w:rPr>
        <w:t>C 43.00. Alternatyvus sverto koeficiento pozicijų mato sudedamųjų dalių suskirstymas</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Įstaigos nurodo sverto koeficiento pozicijų vertes LR4, atitinkamai pritaikiusios išimtis, nurodytas šiuose LRCalc laukeliuose: {050;010}, {080;010}, {100;010}, {120;010}, {220; 010}, {250;010} ir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Siekdamos išvengti dvigubo skaičiavimo, įstaigos išlaiko tolesnėje dalyje nurodytą lygybę.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Lygybė, kurią įstaigos išlaiko pagal 29 dalį, yra tokia: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Eilutė ir skiltis</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Nuorodos į teisės aktus ir nurodymai</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Nebalansiniai straipsniai; iš kurių – sverto koeficiento pozicijos vertė</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Sverto koeficiento pozicijos vertė, apskaičiuota kaip {LRCalc;150;010}, {LRCalc;160;010}, {LRCalc;170;010} ir {LRCalc;180;010} suma, išskyrus atitinkamas grupės vidaus pozicijas (individualiu pagrindu), kurioms taikoma išimtis pagal KRR 429 straipsnio 7 dalį.</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Nebalansiniai straipsniai; iš kurių – pagal riziką įvertintas turtas</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Nebalansinių straipsnių – išskyrus VPĮFS ir išvestines finansines priemones – pagal riziką įvertintų pozicijų suma taikant standartizuotą metodą ir IRB metodą. Teikdamos informaciją apie pozicijas, kurioms taikomas standartizuotas metodas, įstaigos pagal riziką įvertintų pozicijų sumą nustato pagal KRR trečios dalies II antraštinės dalies 2 skyrių. Teikdamos informaciją apie pozicijas, kurioms taikomas IRB metodas, įstaigos pagal riziką įvertintų pozicijų sumą nustato pagal KRR trečios dalies II antraštinės dalies 3 skyrių.</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Prekybos finansavimas; iš kurių – sverto koeficiento pozicijos vertė</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 prekybos finansavimu susijusių nebalansinių straipsnių sverto koeficiento pozicijos vertė. LR4 formoje nurodomi su prekybos finansavimu susiję nebalansiniai straipsniai turi būti susiję su išduotais ir patvirtintais trumpalaikiais ir savaime pasibaigiančiais importo ir eksporto akredityvais ir panašiais sandoriais.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Prekybos finansavimas; iš kurių – pagal riziką įvertintas turtas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 prekybos finansavimu susijusių nebalansinių straipsnių – išskyrus VPĮFS ir išvestines finansines priemones – pagal riziką įvertintų pozicijų vertė. LR4 formoje nurodomi su prekybos finansavimu susiję nebalansiniai straipsniai turi būti susiję su išduotais ir patvirtintais trumpalaikiais ir savaime pasibaigiančiais importo ir eksporto akredityvais ir panašiais sandoriais.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Sverto koeficiento pozicijos vertė</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Su prekybos finansavimu pagal oficialiai remiamo eksporto kredito draudimo sistemą susijusių nebalansinių straipsnių sverto koeficiento pozicijos vertė.</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Pagal riziką įvertintas turtas</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Su prekybos finansavimu pagal oficialiai remiamo eksporto kredito draudimo sistemą susijusių nebalansinių straipsnių – išskyrus VPĮFS ir išvestines finansines priemones – pagal riziką įvertintų pozicijų vertė.</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ir VPĮFS, kuriems taikomas kryžminės produktų užskaitos susitarimas. Sverto koeficiento pozicijos vertė</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Išvestinių finansinių priemonių ir VPĮFS sverto koeficiento pozicijos vertė, jei taikomas KRR 272 straipsnio 25 dalyje apibrėžtas kryžminės produktų užskaitos susitarimas.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ir VPĮFS, kuriems taikomas kryžminės produktų užskaitos susitarimas. Pagal riziką įvertintas turtas</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Taikant KRR trečios dalies II antraštinę dalį apskaičiuotos išvestinių finansinių priemonių ir VPĮFS, įskaitant tuos, kurie yra nebalansiniai straipsniai, kredito ir sandorio šalies kredito rizikos pagal riziką įvertintų pozicijų sumos, jei taikomas KRR 272 straipsnio 25 dalyje apibrėžtas kryžminės produktų užskaitos susitarimas.</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kurioms netaikomas kryžminės produktų užskaitos susitarimas. Sverto koeficiento pozicijos vertė</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Išvestinių finansinių priemonių sverto koeficiento pozicijos vertė, jei </w:t>
            </w:r>
            <w:r>
              <w:rPr>
                <w:rFonts w:ascii="Times New Roman" w:hAnsi="Times New Roman"/>
                <w:b/>
                <w:u w:val="single"/>
              </w:rPr>
              <w:t>netaikomas</w:t>
            </w:r>
            <w:r>
              <w:rPr>
                <w:rFonts w:ascii="Times New Roman" w:hAnsi="Times New Roman"/>
              </w:rPr>
              <w:t xml:space="preserve"> KRR 272 straipsnio 25 dalyje apibrėžtas kryžminės produktų užskaitos susitarimas.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Išvestinės finansinės priemonės, kurioms netaikomas kryžminės produktų užskaitos susitarimas. Pagal riziką įvertintas turtas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Taikant KRR trečios dalies II antraštinę dalį apskaičiuotos išvestinių finansinių priemonių, įskaitant tas, kurios yra nebalansiniai straipsniai, kredito ir sandorio šalies kredito rizikos pagal riziką įvertintų pozicijų sumos, jei netaikomas KRR 272 straipsnio 25 dalyje apibrėžtas kryžminės produktų užskaitos susitarimas.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VPĮFS, kuriems netaikomas kryžminės produktų užskaitos susitarimas. Sverto koeficiento pozicijos vertė</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VPĮFS pozicijų sverto koeficiento pozicijos vertė, jei </w:t>
            </w:r>
            <w:r>
              <w:rPr>
                <w:rFonts w:ascii="Times New Roman" w:hAnsi="Times New Roman"/>
                <w:b/>
                <w:u w:val="single"/>
              </w:rPr>
              <w:t>netaikomas</w:t>
            </w:r>
            <w:r>
              <w:rPr>
                <w:rFonts w:ascii="Times New Roman" w:hAnsi="Times New Roman"/>
              </w:rPr>
              <w:t xml:space="preserve"> KRR 272 straipsnio 25 dalyje apibrėžtas kryžminės produktų užskaitos susitarimas.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VPĮFS, kuriems netaikomas kryžminės produktų užskaitos susitarimas. Pagal riziką įvertintas turtas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Taikant KRR trečios dalies II antraštinę dalį apskaičiuotos VPĮFS, įskaitant tuos, kurie yra nebalansiniai straipsniai, kredito ir sandorio šalies kredito rizikos pagal riziką įvertintų pozicijų sumos, jei </w:t>
            </w:r>
            <w:r>
              <w:rPr>
                <w:rFonts w:ascii="Times New Roman" w:hAnsi="Times New Roman"/>
                <w:b/>
                <w:u w:val="single"/>
              </w:rPr>
              <w:t>netaikomas</w:t>
            </w:r>
            <w:r>
              <w:rPr>
                <w:rFonts w:ascii="Times New Roman" w:hAnsi="Times New Roman"/>
              </w:rPr>
              <w:t xml:space="preserve"> KRR 272 straipsnio 25 dalyje apibrėžtas kryžminės produktų užskaitos susitarimas.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Pozicijų sumos, atsirandančios dėl papildomo kredito išvestinių finansinių priemonių vertinimo. Sverto koeficiento pozicijos vertė</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Šiame laukelyje nurodomas {LRCalc;130;010} ir {LRCalc;140;010} skirtumas, išskyrus atitinkamas grupės vidaus pozicijas (individualiu pagrindu), kurioms taikoma išimtis pagal KRR 429 straipsnio 7 dalį.</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Kitas į prekybos knygą įtrauktas turtas. Sverto koeficiento pozicijos vertė</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{LRCalc;190;010} laukelyje nurodytų straipsnių sverto koeficiento pozicijos vertė, išskyrus ne prekybos knygos straipsnius.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Kitas į prekybos knygą įtrauktas turtas. Pagal riziką įvertintas turtas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Straipsnių, kuriems taikoma KRR trečios dalies IV antraštinė dalis, nuosavų lėšų reikalavimas, padaugintas iš 12,5.</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Padengtosios obligacijos.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KRR 129 straipsnyje apibrėžtos padengtųjų obligacijų pozicijos, sverto koeficiento pozicijos vertė.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lastRenderedPageBreak/>
              <w:t>Įstaigos nurodo duomenis atskaičiusios neįvykdytas pozicijas.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Padengtosios obligacijos.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Turto, kuris yra KRR 161 straipsnio 1 dalies d punkte apibrėžtos padengtųjų obligacijų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Padengtosios obligacijos.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KRR 129 straipsnyje apibrėžtos padengtųjų obligacijų pozicijos, pagal riziką įvertintų pozicijų suma.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Įstaigos nurodo duomenis atskaičiusios neįvykdytas pozicijas.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Padengtosios obligacijos.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KRR 161 straipsnio 1 dalies d punkte apibrėžtos padengtųjų obligacijų pozicijos, pagal riziką įvertintų pozicijų suma.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Pozicijos, vertinamos kaip centrinės valdžios pozicijos.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{100,010}–{130,010}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Pozicijos, vertinamos kaip centrinės valdžios pozicijos.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{100,020}–{130,020} laukelių suma.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Pozicijos, vertinamos kaip centrinės valdžios pozicijos.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{100,030}–{130,030}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Pozicijos, vertinamos kaip centrinės valdžios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{100,040}–{130,040} laukelių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Centrinės valdžios institucijos ir centriniai bankai.</w:t>
            </w:r>
            <w:r>
              <w:rPr>
                <w:rFonts w:ascii="Times New Roman" w:hAnsi="Times New Roman"/>
              </w:rPr>
              <w:t xml:space="preserve"> </w:t>
            </w:r>
            <w:r>
              <w:rPr>
                <w:rFonts w:ascii="Times New Roman" w:hAnsi="Times New Roman"/>
                <w:b/>
              </w:rPr>
              <w:t>Sverto koeficiento pozicijos vertė. SA pozicijos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KRR 114 straipsnyje apibrėžtos centrinės valdžios institucijų arba centrinių bankų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Centrinės valdžios institucijos ir centriniai bankai.</w:t>
            </w:r>
            <w:r>
              <w:rPr>
                <w:rFonts w:ascii="Times New Roman" w:hAnsi="Times New Roman"/>
              </w:rPr>
              <w:t xml:space="preserve"> </w:t>
            </w:r>
            <w:r>
              <w:rPr>
                <w:rFonts w:ascii="Times New Roman" w:hAnsi="Times New Roman"/>
                <w:b/>
              </w:rPr>
              <w:t>Sverto koeficiento pozicijos vertė. IRB pozicijos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KRR 147 straipsnio 2 dalies a punkte apibrėžtos centrinės valdžios institucijų arba centrinių bankų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Centrinės valdžios institucijos ir centriniai bankai.</w:t>
            </w:r>
            <w:r>
              <w:rPr>
                <w:rFonts w:ascii="Times New Roman" w:hAnsi="Times New Roman"/>
              </w:rPr>
              <w:t xml:space="preserve"> </w:t>
            </w:r>
            <w:r>
              <w:rPr>
                <w:rFonts w:ascii="Times New Roman" w:hAnsi="Times New Roman"/>
                <w:b/>
              </w:rPr>
              <w:t>Pagal riziką įvertintas turtas. SA pozicijos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KRR 114 straipsnyje apibrėžtos centrinės valdžios institucijų arba centrinių bankų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Centrinės valdžios institucijos ir centriniai bankai.</w:t>
            </w:r>
            <w:r>
              <w:rPr>
                <w:rFonts w:ascii="Times New Roman" w:hAnsi="Times New Roman"/>
              </w:rPr>
              <w:t xml:space="preserve"> </w:t>
            </w:r>
            <w:r>
              <w:rPr>
                <w:rFonts w:ascii="Times New Roman" w:hAnsi="Times New Roman"/>
                <w:b/>
              </w:rPr>
              <w:t>Pagal riziką įvertintas turtas. IRB pozicijos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KRR 147 straipsnio 2 dalies a punkte nurodytos centrinės valdžios institucijų arba centrinių bankų pozicijos, pagal riziką įvertintų pozicijų suma.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Regioninės ir vietos valdžios institucijos, vertinamos kaip centrinė valdžia.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115 straipsnio 2 ir 4 dalių taikymo sritį patenkančios kaip centrinė valdžia vertinamų regioninių ir vietos valdžios institucijų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Regioninės ir vietos valdžios institucijos, vertinamos kaip centrinė valdžia.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3 dalies a punkto taikymo sritį patenkančios regioninių ir vietos valdžios institucijų pozicijos, sverto koeficiento pozicijos vertė.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Regioninės ir vietos valdžios institucijos, vertinamos kaip centrinė valdžia.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115 straipsnio 2 ir 4 dalių taikymo sritį patenkančios kaip centrinė valdžia vertinamų regioninių ir vietos valdžios institucijų pozicijos, pagal riziką įvertintų pozicijų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Regioninės ir vietos valdžios institucijos, vertinamos kaip centrinė valdžia.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3 dalies a punkto taikymo sritį patenkančios regioninių ir vietos valdžios institucijų pozicijos, pagal riziką įvertintų pozicijų suma.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Daugiašaliai plėtros bankai ir tarptautinės organizacijos, vertinami kaip centrinė valdžia. </w:t>
            </w:r>
            <w:r>
              <w:rPr>
                <w:rFonts w:ascii="Times New Roman" w:hAnsi="Times New Roman"/>
                <w:b/>
              </w:rPr>
              <w:lastRenderedPageBreak/>
              <w:t>Sverto koeficiento pozicijos vertė. SA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117 straipsnio 2 dalies ir 118 straipsnio taikymo sritį patenkančios daugiašalių plėtros bankų ir tarptautinių organizacijų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Daugiašaliai plėtros bankai ir tarptautinės organizacijos, vertinami kaip centrinė valdžia. Sverto koeficiento pozicijos vertė. IRB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3 dalies b ir c punktų taikymo sritį patenkančios daugiašalių plėtros bankų ir tarptautinių organizacijų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Daugiašaliai plėtros bankai ir tarptautinės organizacijos, vertinami kaip centrinė valdžia. Pagal riziką įvertintas turtas. SA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117 straipsnio 2 dalies ir 118 straipsnio taikymo sritį patenkančios daugiašalių plėtros bankų ir tarptautinių organizacijų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Daugiašaliai plėtros bankai ir tarptautinės organizacijos, vertinami kaip centrinė valdžia. Pagal riziką įvertintas turtas. IRB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3 dalies b ir c punktų taikymo sritį patenkančios daugiašalių plėtros bankų ir tarptautinių organizacijų pozicijos, pagal riziką įvertintų pozicijų suma.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Viešojo sektoriaus subjektai, vertinami kaip centrinė valdžia. Sverto koeficiento pozicijos vertė. SA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116 straipsnio 4 dalies taikymo sritį patenkančios viešojo sektoriaus subjektų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Viešojo sektoriaus subjektai, vertinami kaip centrinė valdžia. Sverto koeficiento pozicijos vertė. IRB pozicijos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Turto, kuris yra į KRR 147 straipsnio 3 dalies a punkto taikymo sritį patenkančios viešojo sektoriaus subjektų pozicijos, sverto koeficiento pozicijos suma.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Viešojo sektoriaus subjektai, vertinami kaip centrinė valdžia. Pagal riziką įvertintas turtas. SA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116 straipsnio 4 dalies taikymo sritį patenkančios viešojo sektoriaus subjektų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Viešojo sektoriaus subjektai, vertinami kaip centrinė valdžia. Pagal riziką įvertintas turtas. IRB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Turto, kuris yra į KRR 147 straipsnio 3 dalies a punkto taikymo sritį patenkančios viešojo sektoriaus subjektų pozicijos, pagal riziką įvertintų pozicijų suma.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valdžios institucijų, daugiašalių plėtros bankų, tarptautinių organizacijų ir viešojo sektoriaus subjektų, </w:t>
            </w:r>
            <w:r>
              <w:rPr>
                <w:rFonts w:ascii="Times New Roman" w:hAnsi="Times New Roman"/>
                <w:b/>
                <w:u w:val="single"/>
              </w:rPr>
              <w:t>nevertinamų</w:t>
            </w:r>
            <w:r>
              <w:rPr>
                <w:rFonts w:ascii="Times New Roman" w:hAnsi="Times New Roman"/>
                <w:b/>
              </w:rPr>
              <w:t xml:space="preserve"> kaip centrinė valdžia, pozicijos.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{150,010}–{170,010}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valdžios institucijų, daugiašalių plėtros bankų, tarptautinių organizacijų ir viešojo sektoriaus subjektų, </w:t>
            </w:r>
            <w:r>
              <w:rPr>
                <w:rFonts w:ascii="Times New Roman" w:hAnsi="Times New Roman"/>
                <w:b/>
                <w:u w:val="single"/>
              </w:rPr>
              <w:t>nevertinamų</w:t>
            </w:r>
            <w:r>
              <w:rPr>
                <w:rFonts w:ascii="Times New Roman" w:hAnsi="Times New Roman"/>
                <w:b/>
              </w:rPr>
              <w:t xml:space="preserve"> kaip centrinė valdžia, pozicijos.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{150,020}–{170,020} laukelių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valdžios institucijų, daugiašalių plėtros bankų, tarptautinių organizacijų ir viešojo sektoriaus subjektų, </w:t>
            </w:r>
            <w:r>
              <w:rPr>
                <w:rFonts w:ascii="Times New Roman" w:hAnsi="Times New Roman"/>
                <w:b/>
                <w:u w:val="single"/>
              </w:rPr>
              <w:t>nevertinamų</w:t>
            </w:r>
            <w:r>
              <w:rPr>
                <w:rFonts w:ascii="Times New Roman" w:hAnsi="Times New Roman"/>
                <w:b/>
              </w:rPr>
              <w:t xml:space="preserve"> kaip centrinė valdžia, pozicijos.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{150,030}–{170,030}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valdžios institucijų, daugiašalių plėtros bankų, tarptautinių organizacijų ir viešojo sektoriaus subjektų, </w:t>
            </w:r>
            <w:r>
              <w:rPr>
                <w:rFonts w:ascii="Times New Roman" w:hAnsi="Times New Roman"/>
                <w:b/>
                <w:u w:val="single"/>
              </w:rPr>
              <w:t>nevertinamų</w:t>
            </w:r>
            <w:r>
              <w:rPr>
                <w:rFonts w:ascii="Times New Roman" w:hAnsi="Times New Roman"/>
                <w:b/>
              </w:rPr>
              <w:t xml:space="preserve"> kaip centrinė valdžia,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{150,040}–{170,040} laukelių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ir vietos valdžios institucijos, </w:t>
            </w:r>
            <w:r>
              <w:rPr>
                <w:rFonts w:ascii="Times New Roman" w:hAnsi="Times New Roman"/>
                <w:b/>
                <w:u w:val="single"/>
              </w:rPr>
              <w:t>nevertinamos</w:t>
            </w:r>
            <w:r>
              <w:rPr>
                <w:rFonts w:ascii="Times New Roman" w:hAnsi="Times New Roman"/>
                <w:b/>
              </w:rPr>
              <w:t xml:space="preserve"> kaip centrinė valdžia.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115 straipsnio 1, 3 ir 5 dalių taikymo sritį patenkančios ne kaip centrinė valdžia vertinamų regioninių ir vietos valdžios institucijų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ir vietos valdžios institucijos, </w:t>
            </w:r>
            <w:r>
              <w:rPr>
                <w:rFonts w:ascii="Times New Roman" w:hAnsi="Times New Roman"/>
                <w:b/>
                <w:u w:val="single"/>
              </w:rPr>
              <w:t>nevertinamos</w:t>
            </w:r>
            <w:r>
              <w:rPr>
                <w:rFonts w:ascii="Times New Roman" w:hAnsi="Times New Roman"/>
                <w:b/>
              </w:rPr>
              <w:t xml:space="preserve"> kaip centrinė valdžia. Sverto koeficiento pozicijos vertė. IRB pozicijos</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4 dalies a punkto taikymo sritį patenkančios ne kaip centrinė valdžia vertinamų regioninių ir vietos valdžios institucijų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ir vietos valdžios institucijos, </w:t>
            </w:r>
            <w:r>
              <w:rPr>
                <w:rFonts w:ascii="Times New Roman" w:hAnsi="Times New Roman"/>
                <w:b/>
                <w:u w:val="single"/>
              </w:rPr>
              <w:t>nevertinamos</w:t>
            </w:r>
            <w:r>
              <w:rPr>
                <w:rFonts w:ascii="Times New Roman" w:hAnsi="Times New Roman"/>
                <w:b/>
              </w:rPr>
              <w:t xml:space="preserve"> kaip centrinė valdžia. Pagal riziką įvertintas turtas. SA pozicijos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115 straipsnio 1, 3 ir 5 dalių taikymo sritį patenkančios ne kaip centrinė </w:t>
            </w:r>
            <w:r>
              <w:rPr>
                <w:rFonts w:ascii="Times New Roman" w:hAnsi="Times New Roman"/>
              </w:rPr>
              <w:lastRenderedPageBreak/>
              <w:t xml:space="preserve">valdžia vertinamų regioninių ir vietos valdžios institucijų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Regioninės ir vietos valdžios institucijos, </w:t>
            </w:r>
            <w:r>
              <w:rPr>
                <w:rFonts w:ascii="Times New Roman" w:hAnsi="Times New Roman"/>
                <w:b/>
                <w:u w:val="single"/>
              </w:rPr>
              <w:t>nevertinamos</w:t>
            </w:r>
            <w:r>
              <w:rPr>
                <w:rFonts w:ascii="Times New Roman" w:hAnsi="Times New Roman"/>
                <w:b/>
              </w:rPr>
              <w:t xml:space="preserve"> kaip centrinė valdžia.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147 straipsnio 4 dalies a punkto taikymo sritį patenkančios ne kaip centrinė valdžia vertinamų regioninių ir vietos valdžios institucijų pozicijos, pagal riziką įvertintų pozicijų suma.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Daugiašaliai plėtros bankai, </w:t>
            </w:r>
            <w:r>
              <w:rPr>
                <w:rFonts w:ascii="Times New Roman" w:hAnsi="Times New Roman"/>
                <w:b/>
                <w:u w:val="single"/>
              </w:rPr>
              <w:t>nevertinami</w:t>
            </w:r>
            <w:r>
              <w:rPr>
                <w:rFonts w:ascii="Times New Roman" w:hAnsi="Times New Roman"/>
                <w:b/>
              </w:rPr>
              <w:t xml:space="preserve"> kaip centrinė valdžia.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117 straipsnio 1 ir 3 dalių taikymo sritį patenkančios daugiašalių plėtros bankų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Daugiašaliai plėtros bankai, </w:t>
            </w:r>
            <w:r>
              <w:rPr>
                <w:rFonts w:ascii="Times New Roman" w:hAnsi="Times New Roman"/>
                <w:b/>
                <w:u w:val="single"/>
              </w:rPr>
              <w:t>nevertinami</w:t>
            </w:r>
            <w:r>
              <w:rPr>
                <w:rFonts w:ascii="Times New Roman" w:hAnsi="Times New Roman"/>
                <w:b/>
              </w:rPr>
              <w:t xml:space="preserve"> kaip centrinė valdžia. Sverto koeficiento pozicijos vertė. IRB pozicijos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4 dalies c punkto taikymo sritį patenkančios ne kaip centrinė valdžia vertinamų daugiašalių plėtros bankų pozicijos, sverto koeficiento pozicijos vertė.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Daugiašaliai plėtros bankai, </w:t>
            </w:r>
            <w:r>
              <w:rPr>
                <w:rFonts w:ascii="Times New Roman" w:hAnsi="Times New Roman"/>
                <w:b/>
                <w:u w:val="single"/>
              </w:rPr>
              <w:t>nevertinami</w:t>
            </w:r>
            <w:r>
              <w:rPr>
                <w:rFonts w:ascii="Times New Roman" w:hAnsi="Times New Roman"/>
                <w:b/>
              </w:rPr>
              <w:t xml:space="preserve"> kaip centrinė valdžia.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Turto, kuris yra į KRR 117 straipsnio 1 ir 3 dalių taikymo sritį patenkančios daugiašalių plėtros bankų pozicijos, pagal riziką įvertintų pozicijų suma.</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Daugiašaliai plėtros bankai, </w:t>
            </w:r>
            <w:r>
              <w:rPr>
                <w:rFonts w:ascii="Times New Roman" w:hAnsi="Times New Roman"/>
                <w:b/>
                <w:u w:val="single"/>
              </w:rPr>
              <w:t>nevertinami</w:t>
            </w:r>
            <w:r>
              <w:rPr>
                <w:rFonts w:ascii="Times New Roman" w:hAnsi="Times New Roman"/>
                <w:b/>
              </w:rPr>
              <w:t xml:space="preserve"> kaip centrinė valdžia.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4 dalies c punkto taikymo sritį patenkančios ne kaip centrinė valdžia vertinamų daugiašalių plėtros bankų pozicijos, pagal riziką įvertintų pozicijų suma.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Viešojo sektoriaus subjektai, </w:t>
            </w:r>
            <w:r>
              <w:rPr>
                <w:rFonts w:ascii="Times New Roman" w:hAnsi="Times New Roman"/>
                <w:b/>
                <w:u w:val="single"/>
              </w:rPr>
              <w:t>nevertinami</w:t>
            </w:r>
            <w:r>
              <w:rPr>
                <w:rFonts w:ascii="Times New Roman" w:hAnsi="Times New Roman"/>
                <w:b/>
              </w:rPr>
              <w:t xml:space="preserve"> kaip centrinė valdžia.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116 straipsnio 1, 2, 3 ir 5 dalių taikymo sritį patenkančios viešojo sektoriaus subjektų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Viešojo sektoriaus subjektai, </w:t>
            </w:r>
            <w:r>
              <w:rPr>
                <w:rFonts w:ascii="Times New Roman" w:hAnsi="Times New Roman"/>
                <w:b/>
                <w:u w:val="single"/>
              </w:rPr>
              <w:t>nevertinami</w:t>
            </w:r>
            <w:r>
              <w:rPr>
                <w:rFonts w:ascii="Times New Roman" w:hAnsi="Times New Roman"/>
                <w:b/>
              </w:rPr>
              <w:t xml:space="preserve"> kaip centrinė valdžia. Sverto koeficiento pozicijos vertė. IRB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4 dalies b punkto taikymo sritį patenkančios ne kaip centrinė valdžia vertinamų viešojo sektoriaus subjektų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Viešojo sektoriaus subjektai, </w:t>
            </w:r>
            <w:r>
              <w:rPr>
                <w:rFonts w:ascii="Times New Roman" w:hAnsi="Times New Roman"/>
                <w:b/>
                <w:u w:val="single"/>
              </w:rPr>
              <w:t>nevertinami</w:t>
            </w:r>
            <w:r>
              <w:rPr>
                <w:rFonts w:ascii="Times New Roman" w:hAnsi="Times New Roman"/>
                <w:b/>
              </w:rPr>
              <w:t xml:space="preserve"> kaip centrinė valdžia.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116 straipsnio 1, 2, 3 ir 5 dalių taikymo sritį patenkančios viešojo sektoriaus subjektų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Viešojo sektoriaus subjektai, </w:t>
            </w:r>
            <w:r>
              <w:rPr>
                <w:rFonts w:ascii="Times New Roman" w:hAnsi="Times New Roman"/>
                <w:b/>
                <w:u w:val="single"/>
              </w:rPr>
              <w:t>nevertinami</w:t>
            </w:r>
            <w:r>
              <w:rPr>
                <w:rFonts w:ascii="Times New Roman" w:hAnsi="Times New Roman"/>
                <w:b/>
              </w:rPr>
              <w:t xml:space="preserve"> kaip centrinė valdžia.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4 dalies b punkto taikymo sritį patenkančios ne kaip centrinė valdžia vertinamų viešojo sektoriaus subjektų pozicijos, pagal riziką įvertintų pozicijų suma.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Įstaigos. Sverto koeficiento pozicijos vertė. SA pozicijos</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119–121 straipsnių taikymo sritį patenkančios įstaigų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Įstaigos.</w:t>
            </w:r>
            <w:r>
              <w:rPr>
                <w:rFonts w:ascii="Times New Roman" w:hAnsi="Times New Roman"/>
              </w:rPr>
              <w:t xml:space="preserve"> </w:t>
            </w:r>
            <w:r>
              <w:rPr>
                <w:rFonts w:ascii="Times New Roman" w:hAnsi="Times New Roman"/>
                <w:b/>
              </w:rPr>
              <w:t>Sverto koeficiento pozicijos vertė. IRB pozicijos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2 dalies b punkto taikymo sritį patenkančios įstaigų pozicijos, bet kuris </w:t>
            </w:r>
            <w:r>
              <w:rPr>
                <w:rFonts w:ascii="Times New Roman" w:hAnsi="Times New Roman"/>
                <w:b/>
                <w:u w:val="single"/>
              </w:rPr>
              <w:t>nėra</w:t>
            </w:r>
            <w:r>
              <w:rPr>
                <w:rFonts w:ascii="Times New Roman" w:hAnsi="Times New Roman"/>
              </w:rPr>
              <w:t xml:space="preserve"> padengtųjų obligacijų pozicijos pagal KRR 161 straipsnio 1 dalies d punktą ir </w:t>
            </w:r>
            <w:r>
              <w:rPr>
                <w:rFonts w:ascii="Times New Roman" w:hAnsi="Times New Roman"/>
                <w:b/>
                <w:u w:val="single"/>
              </w:rPr>
              <w:t>nepatenka</w:t>
            </w:r>
            <w:r>
              <w:rPr>
                <w:rFonts w:ascii="Times New Roman" w:hAnsi="Times New Roman"/>
              </w:rPr>
              <w:t xml:space="preserve"> į KRR 147 straipsnio 4 dalies a–c punktų taikymo sritį, sverto koeficiento pozicijos vertė.</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Įstaigos.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119–121 straipsnių taikymo sritį patenkančios įstaigų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Įstaigos.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2 dalies b punkto taikymo sritį patenkančios įstaigų pozicijos, bet kuris </w:t>
            </w:r>
            <w:r>
              <w:rPr>
                <w:rFonts w:ascii="Times New Roman" w:hAnsi="Times New Roman"/>
                <w:b/>
                <w:u w:val="single"/>
              </w:rPr>
              <w:t>nėra</w:t>
            </w:r>
            <w:r>
              <w:rPr>
                <w:rFonts w:ascii="Times New Roman" w:hAnsi="Times New Roman"/>
              </w:rPr>
              <w:t xml:space="preserve"> padengtųjų obligacijų pozicijos pagal KRR 161 straipsnio 1 dalies d punktą ir </w:t>
            </w:r>
            <w:r>
              <w:rPr>
                <w:rFonts w:ascii="Times New Roman" w:hAnsi="Times New Roman"/>
                <w:b/>
                <w:u w:val="single"/>
              </w:rPr>
              <w:t>nepatenka</w:t>
            </w:r>
            <w:r>
              <w:rPr>
                <w:rFonts w:ascii="Times New Roman" w:hAnsi="Times New Roman"/>
              </w:rPr>
              <w:t xml:space="preserve"> į KRR 147 straipsnio 4 dalies a–c punktų taikymo sritį, pagal riziką įvertintų pozicijų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Nekilnojamojo turto hipoteka užtikrintos pozicijos, iš kurių –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124 straipsnio taikymo sritį patenkančios nekilnojamojo turto hipoteka užtikrintos pozicijos, sverto koeficiento pozicijos vertė.</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Nekilnojamojo turto hipoteka užtikrintos pozicijos, iš kurių –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Turto, kuris yra įmonių pozicijos pagal KRR 147 straipsnio 2 dalies c punktą arba mažmeninės pozicijos pagal 147 straipsnio 2 dalies d punktą, jei šios pozicijos užtikrintos nekilnojamojo turto hipoteka pagal KRR 199 straipsnio 1 dalies a punktą, sverto koeficiento pozicijos vertė.</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Nekilnojamojo turto hipoteka užtikrintos pozicijos, iš kurių –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Turto, kuris yra į KRR 124 straipsnio taikymo sritį patenkančios nekilnojamojo turto hipoteka užtikrintos pozicijos, pagal riziką įvertintų pozicijų suma.</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Nekilnojamojo turto hipoteka užtikrintos pozicijos, iš kurių – pagal riziką įvertintas turtas. IRB pozicijos</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Turto, kuris yra įmonių pozicijos pagal KRR 147 straipsnio 2 dalies c punktą arba mažmeninės pozicijos pagal 147 straipsnio 2 dalies d punktą, jei šios pozicijos užtikrintos nekilnojamojo turto hipoteka pagal KRR 199 straipsnio 1 dalies a punktą, pagal riziką įvertintų pozicijų suma.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Gyvenamosios paskirties nekilnojamojo turto hipoteka užtikrintos pozicijos.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125 straipsnio taikymo sritį patenkančios gyvenamosios paskirties nekilnojamojo turto hipoteka visapusiškai ir visiškai užtikrintos pozicijos, sverto koeficiento pozicijos vertė.</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Gyvenamosios paskirties nekilnojamojo turto hipoteka užtikrintos pozicijos. Sverto koeficiento pozicijos vertė. IRB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įmonių pozicijos pagal KRR 147 straipsnio 2 dalies c punktą arba mažmeninės pozicijos pagal 147 straipsnio 2 dalies d punktą, jei šios pozicijos užtikrintos gyvenamosios paskirties nekilnojamojo turto hipoteka pagal KRR 199 straipsnio 1 dalies a punktą, sverto koeficiento pozicijos vertė.</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Įstaigos nurodo duomenis atskaičiusios neįvykdytas pozicijas.</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Gyvenamosios paskirties nekilnojamojo turto hipoteka užtikrintos pozicijos.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125 straipsnio taikymo sritį patenkančios gyvenamosios paskirties nekilnojamojo turto hipoteka visapusiškai ir visiškai užtikrintos pozicijos, pagal riziką įvertintų pozicijų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Gyvenamosios paskirties nekilnojamojo turto hipoteka užtikrintos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įmonių pozicijos pagal KRR 147 straipsnio 2 dalies c punktą arba mažmeninės pozicijos pagal KRR 147 straipsnio 2 dalies d punktą, jei šios pozicijos užtikrintos gyvenamosios paskirties nekilnojamojo turto hipoteka pagal KRR 199 straipsnio 1 dalies a punktą, pagal riziką </w:t>
            </w:r>
            <w:r>
              <w:rPr>
                <w:rFonts w:ascii="Times New Roman" w:hAnsi="Times New Roman"/>
              </w:rPr>
              <w:lastRenderedPageBreak/>
              <w:t xml:space="preserve">įvertintų pozicijų suma.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Įstaigos nurodo duomenis atskaičiusios neįvykdytas pozicijas.</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Mažmeninės pozicijos, iš kurių – sverto koeficiento pozicijos vertė. SA pozicijos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123 straipsnio taikymo sritį patenkančios mažmeninės pozicijos,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Mažmeninės pozicijos, iš kurių –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Turto, kuris yra mažmeninės pozicijos pagal KRR 147 straipsnio 2 dalies d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sverto koeficiento pozicijos vertė.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Mažmeninės pozicijos, iš kurių – pagal riziką įvertintas turtas. SA pozicijos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123 straipsnio taikymo sritį patenkančios mažmeninės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Mažmeninės pozicijos, iš kurių –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mažmeninės pozicijos pagal KRR 147 straipsnio 2 dalies d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pagal riziką įvertintų pozicijų suma.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Mažmeninės pozicijos (MVĮ). Sverto koeficiento pozicijos vertė. SA pozicijos</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123 straipsnio taikymo sritį patenkančios mažųjų ir vidutinių įmonių mažmeninės pozicijos, sverto koeficiento pozicijos vertė.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Mažmeninės pozicijos (MVĮ). Sverto koeficiento pozicijos vertė. IRB pozicijos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Turto, kuris yra mažmeninės pozicijos pagal KRR 147 straipsnio 2 dalies d punktą, jei šios pozicijos yra mažųjų ir vidutinių įmonių pozicijos ir </w:t>
            </w:r>
            <w:r>
              <w:rPr>
                <w:rFonts w:ascii="Times New Roman" w:hAnsi="Times New Roman"/>
                <w:b/>
                <w:u w:val="single"/>
              </w:rPr>
              <w:t>nėra</w:t>
            </w:r>
            <w:r>
              <w:rPr>
                <w:rFonts w:ascii="Times New Roman" w:hAnsi="Times New Roman"/>
              </w:rPr>
              <w:t xml:space="preserve"> užtikrintos nekilnojamojo turto hipoteka pagal KRR 199 straipsnio 1 dalies a punktą, sverto koeficiento pozicijos vertė.</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Mažmeninės pozicijos (MVĮ). Pagal riziką įvertintas turtas. SA pozicijos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123 straipsnio taikymo sritį patenkančios mažųjų ir vidutinių įmonių mažmeninės pozicijos, pagal riziką įvertintų pozicijų suma.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lastRenderedPageBreak/>
              <w:t>Šiam laukeliui taikoma KRR 501 straipsnio 2 dalies b punkte nurodyta mažųjų ir vidutinių įmonių apibrėžtis.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Mažmeninės pozicijos (MVĮ).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mažmeninės pozicijos pagal KRR 147 straipsnio 2 dalies d punktą, jei šios pozicijos yra mažųjų ir vidutinių įmonių pozicijos ir </w:t>
            </w:r>
            <w:r>
              <w:rPr>
                <w:rFonts w:ascii="Times New Roman" w:hAnsi="Times New Roman"/>
                <w:b/>
                <w:u w:val="single"/>
              </w:rPr>
              <w:t>nėra</w:t>
            </w:r>
            <w:r>
              <w:rPr>
                <w:rFonts w:ascii="Times New Roman" w:hAnsi="Times New Roman"/>
              </w:rPr>
              <w:t xml:space="preserve"> užtikrintos nekilnojamojo turto hipoteka pagal KRR 199 straipsnio 1 dalies a punktą, pagal riziką įvertintų pozicijų suma.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Įmonių pozicijos, iš kurių –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Nurodoma {240,010} ir {250,010} laukelių suma.</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Įmonių pozicijos, iš kurių –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{240,020} ir {250,020} laukelių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Įmonių pozicijos, iš kurių – pagal riziką įvertintas turtas. SA pozicijos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{240,030} ir {250,030}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Įmonių pozicijos, iš kurių –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{240,040} ir {250,040} laukelių suma.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Finansų įmonės. Sverto koeficiento pozicijos vertė. SA pozicijos</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finansų įmonių pozicijos, sverto koeficiento pozicijos vertė. LR4 formoje nurodomos finansų įmonės – reguliuojamosios ir nereguliuojamosios įmonės, išskyrus {180;10} nurodytas įstaigas, kurių pagrindinė veikla yra įsigyti įmonių kapitalo dalis arba verstis vienos ar kelių rūšių veikla, nurodyta Direktyvos 2013/36/ES I priede, taip pat KRR 4 straipsnio 1 dalies 27 punkte išvardytos įmonės, išskyrus {180;10} nurodytas įstaigas.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Finansų įmonės.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finansų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sverto koeficiento pozicijos vertė. LR4 formoje nurodomos finansų įmonės – reguliuojamosios ir nereguliuojamosios įmonės, išskyrus {180;10} nurodytas įstaigas, kurių pagrindinė veikla yra įsigyti įmonių kapitalo dalis arba verstis vienos ar kelių rūšių veikla, nurodyta Direktyvos 2013/36/ES I priede, taip pat KRR 4 straipsnio 1 dalies 27 punkte išvardytos </w:t>
            </w:r>
            <w:r>
              <w:rPr>
                <w:rFonts w:ascii="Times New Roman" w:hAnsi="Times New Roman"/>
              </w:rPr>
              <w:lastRenderedPageBreak/>
              <w:t xml:space="preserve">įmonės, išskyrus {180;10} nurodytas įstaigas.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Finansų įmonės.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finansų įmonių pozicijos, pagal riziką įvertintų pozicijų suma. LR4 formoje nurodomos finansų įmonės – reguliuojamosios ir nereguliuojamosios įmonės, išskyrus {180;10} nurodytas įstaigas, kurių pagrindinė veikla yra įsigyti įmonių kapitalo dalis arba verstis vienos ar kelių rūšių veikla, nurodyta Direktyvos 2013/36/ES I priede, taip pat KRR 4 straipsnio 1 dalies 27 punkte išvardytos įmonės, išskyrus {180;10} nurodytas įstaigas.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Finansų įmonės.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finansų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pagal riziką įvertintų pozicijų suma. LR4 formoje nurodomos finansų įmonės – reguliuojamosios ir nereguliuojamosios įmonės, išskyrus {180;10} nurodytas įstaigas, kurių pagrindinė veikla yra įsigyti įmonių kapitalo dalis arba verstis vienos ar kelių rūšių veikla, nurodyta Direktyvos 2013/36/ES I priede, taip pat KRR 4 straipsnio 1 dalies 27 punkte išvardytos įmonės, išskyrus {180;10} nurodytas įstaigas.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Ne finansų įmonių pozicijos, iš kurių – sverto koeficiento pozicijos vertė. SA pozicijos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w:t>
            </w:r>
            <w:r>
              <w:rPr>
                <w:rFonts w:ascii="Times New Roman" w:hAnsi="Times New Roman"/>
                <w:b/>
              </w:rPr>
              <w:t xml:space="preserve">ne </w:t>
            </w:r>
            <w:r>
              <w:rPr>
                <w:rFonts w:ascii="Times New Roman" w:hAnsi="Times New Roman"/>
              </w:rPr>
              <w:t xml:space="preserve">finansų įmonių pozicijos, sverto koeficiento pozicijos vertė.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{260,010} ir {270,010}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 finansų įmonių pozicijos, iš kurių –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Turto, kuris yra </w:t>
            </w:r>
            <w:r>
              <w:rPr>
                <w:rFonts w:ascii="Times New Roman" w:hAnsi="Times New Roman"/>
                <w:b/>
              </w:rPr>
              <w:t>ne</w:t>
            </w:r>
            <w:r>
              <w:rPr>
                <w:rFonts w:ascii="Times New Roman" w:hAnsi="Times New Roman"/>
              </w:rPr>
              <w:t xml:space="preserve"> finansų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sverto koeficiento pozicijos vertė.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Nurodoma {260,020} ir {270,020} laukelių suma.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 finansų įmonių pozicijos, iš kurių –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w:t>
            </w:r>
            <w:r>
              <w:rPr>
                <w:rFonts w:ascii="Times New Roman" w:hAnsi="Times New Roman"/>
                <w:b/>
              </w:rPr>
              <w:t>ne</w:t>
            </w:r>
            <w:r>
              <w:rPr>
                <w:rFonts w:ascii="Times New Roman" w:hAnsi="Times New Roman"/>
              </w:rPr>
              <w:t xml:space="preserve"> finansų įmonių pozicijos, pagal riziką įvertintų pozicijų suma.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{260,030} ir {270,030} laukelių suma.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 finansų įmonių pozicijos, iš kurių –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w:t>
            </w:r>
            <w:r>
              <w:rPr>
                <w:rFonts w:ascii="Times New Roman" w:hAnsi="Times New Roman"/>
                <w:b/>
              </w:rPr>
              <w:t>ne</w:t>
            </w:r>
            <w:r>
              <w:rPr>
                <w:rFonts w:ascii="Times New Roman" w:hAnsi="Times New Roman"/>
              </w:rPr>
              <w:t xml:space="preserve"> finansų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w:t>
            </w:r>
            <w:r>
              <w:rPr>
                <w:rFonts w:ascii="Times New Roman" w:hAnsi="Times New Roman"/>
              </w:rPr>
              <w:lastRenderedPageBreak/>
              <w:t xml:space="preserve">a punktą, pagal riziką įvertintų pozicijų suma.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Nurodoma {260,040} ir {270,040} laukelių suma.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MVĮ pozicijos. Sverto koeficiento pozicijos vertė. SA pozicijos</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mažosioms ir vidutinėms įmonėms priskiriamų įmonių pozicijos, sverto koeficiento pozicijos vertė.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MVĮ pozicijos.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įmonių pozicijos pagal KRR 147 straipsnio 2 dalies c punktą, jei šios pozicijos yra mažųjų ir vidutinių įmonių pozicijos ir </w:t>
            </w:r>
            <w:r>
              <w:rPr>
                <w:rFonts w:ascii="Times New Roman" w:hAnsi="Times New Roman"/>
                <w:b/>
                <w:u w:val="single"/>
              </w:rPr>
              <w:t>nėra</w:t>
            </w:r>
            <w:r>
              <w:rPr>
                <w:rFonts w:ascii="Times New Roman" w:hAnsi="Times New Roman"/>
              </w:rPr>
              <w:t xml:space="preserve"> užtikrintos nekilnojamojo turto hipoteka pagal KRR 199 straipsnio 1 dalies a punktą, sverto koeficiento pozicijos vertė.</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Šiam laukeliui taikoma KRR 501 straipsnio 2 dalies b punkte nurodyta mažųjų ir vidutinių įmonių apibrėžtis.</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MVĮ pozicijos.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mažosioms ir vidutinėms įmonėms priskiriamų įmonių pozicijos, pagal riziką įvertintų pozicijų suma.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MVĮ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įmonių pozicijos pagal KRR 147 straipsnio 2 dalies c punktą, jei šios pozicijos yra mažųjų ir vidutinių įmonių pozicijos ir </w:t>
            </w:r>
            <w:r>
              <w:rPr>
                <w:rFonts w:ascii="Times New Roman" w:hAnsi="Times New Roman"/>
                <w:b/>
                <w:u w:val="single"/>
              </w:rPr>
              <w:t>nėra</w:t>
            </w:r>
            <w:r>
              <w:rPr>
                <w:rFonts w:ascii="Times New Roman" w:hAnsi="Times New Roman"/>
              </w:rPr>
              <w:t xml:space="preserve"> užtikrintos nekilnojamojo turto hipoteka pagal KRR 199 straipsnio 1 dalies a punktą, pagal riziką įvertintų pozicijų suma.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Šiam laukeliui taikoma KRR 501 straipsnio 2 dalies b punkte nurodyta mažųjų ir vidutinių įmonių apibrėžtis.</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Kitos pozicijos, išskyrus MVĮ pozicijas. Sverto koeficiento pozicijos vertė. SA pozicijos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įmonių pozicijos, apie kurias nepranešta {230;040} ir {250;040} laukeliuose, sverto koeficiento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Kitos pozicijos, išskyrus MVĮ pozicijas.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Turto, kuris yra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ir apie </w:t>
            </w:r>
            <w:r>
              <w:rPr>
                <w:rFonts w:ascii="Times New Roman" w:hAnsi="Times New Roman"/>
              </w:rPr>
              <w:lastRenderedPageBreak/>
              <w:t xml:space="preserve">jas nepranešta {230;040} ir {250;040} laukeliuose, sverto koeficiento pozicijos vertė.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Kitos pozicijos, išskyrus MVĮ pozicijas.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122 straipsnio taikymo sritį patenkančios įmonių pozicijos, apie kurias nepranešta{230;040} ir {250;040} laukeliuose,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Kitos pozicijos, išskyrus MVĮ pozicijas.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įmonių pozicijos pagal KRR 147 straipsnio 2 dalies c punktą, jei šios pozicijos </w:t>
            </w:r>
            <w:r>
              <w:rPr>
                <w:rFonts w:ascii="Times New Roman" w:hAnsi="Times New Roman"/>
                <w:b/>
                <w:u w:val="single"/>
              </w:rPr>
              <w:t>nėra</w:t>
            </w:r>
            <w:r>
              <w:rPr>
                <w:rFonts w:ascii="Times New Roman" w:hAnsi="Times New Roman"/>
              </w:rPr>
              <w:t xml:space="preserve"> užtikrintos nekilnojamojo turto hipoteka pagal KRR 199 straipsnio 1 dalies a punktą ir apie jas nepranešta {230;040} ir {250;040} laukeliuose, pagal riziką įvertintų pozicijų suma.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Neįvykdytos pozicijos.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neįvykdytos pozicijos ir todėl patenka į KRR 127 straipsnio taikymo sritį, sverto koeficiento pozicijos vertė.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Neįvykdytos pozicijos.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priskirto KRR 147 straipsnio 2 dalyje išvardytų pozicijų klasėms, jei, kaip nurodyta KRR 178 straipsnyje, neįvykdyti įsipareigojimai, sverto koeficiento pozicijos vertė.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Neįvykdytos pozicijos. Pagal riziką įvertintas turtas. SA pozicijos</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neįvykdytos pozicijos ir todėl patenka į KRR 127 straipsnio taikymo sritį, pagal riziką įvertintų pozicijų suma.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Neįvykdytos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priskirto KRR 147 straipsnio 2 dalyje išvardytoms pozicijų klasėms, jei, kaip nurodyta KRR 178 straipsnyje, neįvykdyti įsipareigojimai, pagal riziką įvertintų pozicijų suma.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Kitos pozicijos, iš kurių – sverto koeficiento pozicijos vertė. SA pozicijos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priskirto KRR 112 straipsnio k, m, n, o, p ir q punktuose išvardytoms pozicijų klasėms, sverto koeficiento pozicijos vertė.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Įstaigos nurodo iš nuosavų lėšų atskaitytą turtą (pvz., nematerialųjį turtą), kurio kitaip čia negalima priskirti, netgi jeigu taip skirstyti nereikalaujama, norint nustatyti rizika grindžiamų nuosavų lėšų reikalavimus {*; 030} ir {*; 040} laukeliuose.</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Kitos pozicijos, iš kurių – sverto koeficiento pozicijos vertė. IRB pozicijos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priskirto KRR 147 straipsnio 2 dalies e, f ir g punktuose išvardytoms pozicijų klasėms, sverto koeficiento pozicijos suma.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Įstaigos nurodo iš nuosavų lėšų atskaitytą turtą (pvz., nematerialųjį turtą), kurio kitaip čia negalima priskirti, netgi jeigu taip skirstyti nereikalaujama, norint nustatyti rizika grindžiamų nuosavų lėšų reikalavimus {*; 030} ir {*; 040} laukeliuose.</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Kitos pozicijos, iš kurių – pagal riziką įvertintas turtas. SA pozicijos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Turto, priskirto KRR 112 straipsnio k, m, n, o, p ir q punktuose išvardytoms pozicijų klasėms, pagal riziką įvertintų pozicijų vertė.</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Kitos pozicijos, iš kurių – pagal riziką įvertintas turtas. IRB pozicijos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priskirto KRR 147 straipsnio 2 dalies e, f ir g punktuose išvardytoms pozicijų klasėms, pagal riziką įvertintų pozicijų vertė.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Pakeitimo vertybiniais popieriais pozicijos. Sverto koeficiento pozicijos vertė. SA pozicijos</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Turto, kuris yra į KRR 112 straipsnio m punkto taikymo sritį patenkančios pakeitimo vertybiniais popieriais pozicijos, sverto koeficiento pozicijos vertė.</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Pakeitimo vertybiniais popieriais pozicijos.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2 dalies f punkto taikymo sritį patenkančios pakeitimo vertybiniais popieriais pozicijos, sverto koeficiento pozicijos vertė.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Pakeitimo vertybiniais popieriais pozicijos. Pagal riziką įvertintas turtas. SA pozicijos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Turto, kuris yra į KRR 112 straipsnio m punkto taikymo sritį patenkančios pakeitimo vertybiniais popieriais pozicijos, pagal riziką įvertintų pozicijų suma.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Pakeitimo vertybiniais popieriais pozicijos.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Turto, kuris yra į KRR 147 straipsnio 2 dalies f punkto taikymo sritį patenkančios pakeitimo vertybiniais popieriais pozicijos, pagal riziką įvertintų pozicijų suma.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Prekybos finansavimas (papildomas straipsnis), iš kurio –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Su skolinimu prekių arba paslaugų eksportuotojui arba importuotojui teikiant importo ir eksporto kreditus ir pagal panašius sandorius susijusių balansinių straipsnių sverto koeficiento pozicijos vertė.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Prekybos finansavimas (papildomas straipsnis), iš kurio – sverto koeficiento pozicijos vertė. IRB pozicijos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Su skolinimu prekių arba paslaugų eksportuotojui arba importuotojui teikiant importo ir eksporto </w:t>
            </w:r>
            <w:r>
              <w:rPr>
                <w:rFonts w:ascii="Times New Roman" w:hAnsi="Times New Roman"/>
              </w:rPr>
              <w:lastRenderedPageBreak/>
              <w:t xml:space="preserve">kreditus ir pagal panašius sandorius susijusių balansinių straipsnių sverto koeficiento pozicijų suma.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Prekybos finansavimas (papildomas straipsnis), iš kurio –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Su skolinimu prekių arba paslaugų eksportuotojui arba importuotojui teikiant importo ir eksporto kreditus ir pagal panašius sandorius susijusių balansinių straipsnių pagal riziką įvertintos pozicijos vertė.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Prekybos finansavimas (papildomas straipsnis), iš kurio – pagal riziką įvertintas turtas. IRB pozicijos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Su skolinimu prekių arba paslaugų eksportuotojui arba importuotojui teikiant importo ir eksporto kreditus ir pagal panašius sandorius susijusių balansinių straipsnių pagal riziką įvertintų pozicijų suma.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Įstaigos nurodo duomenis atskaičiusios neįvykdytas pozicijas.</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Sverto koeficiento pozicijos vertė.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Su prekybos finansavimu pagal oficialiai remiamo eksporto kredito draudimo sistemą susijusių balansinių straipsnių sverto koeficiento pozicijos vertė. 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Sverto koeficiento pozicijos vertė. IRB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Su prekybos finansavimu pagal oficialiai remiamo eksporto kredito draudimo sistemą susijusių balansinių straipsnių sverto koeficiento pozicijų suma. 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Įstaigos nurodo duomenis atskaičiusios neįvykdytas pozicijas.</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Pagal riziką įvertintas turtas. SA pozicijos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Su prekybos finansavimu pagal oficialiai remiamo eksporto kredito draudimo sistemą susijusių balansinių straipsnių pagal riziką įvertintos pozicijos vertė. 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Pagal oficialiai remiamo eksporto kredito draudimo sistemą. Pagal riziką įvertintas turtas. IRB pozicijos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Su prekybos finansavimu pagal oficialiai remiamo eksporto kredito draudimo sistemą susijusių balansinių straipsnių pagal riziką įvertintų pozicijų suma. 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Įstaigos nurodo duomenis atskaičiusios neįvykdytas pozicijas.</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927189"/>
      <w:r>
        <w:rPr>
          <w:rFonts w:ascii="Times New Roman" w:hAnsi="Times New Roman"/>
          <w:b/>
        </w:rPr>
        <w:lastRenderedPageBreak/>
        <w:t>9.</w:t>
      </w:r>
      <w:r>
        <w:tab/>
      </w:r>
      <w:r>
        <w:rPr>
          <w:rFonts w:ascii="Times New Roman" w:hAnsi="Times New Roman"/>
          <w:b/>
        </w:rPr>
        <w:t>C 44.00. Bendroji informacija</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Šioje formoje renkama informacija apie įstaigos veiklos kategorijas ir įstaigos pasirinktas teisės aktais nustatytas galimybes.</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Eilutė </w:t>
            </w:r>
          </w:p>
          <w:p w:rsidR="00F4754B" w:rsidRPr="00FE002E" w:rsidRDefault="00F4754B" w:rsidP="00F4754B">
            <w:pPr>
              <w:pStyle w:val="BodyText1"/>
              <w:rPr>
                <w:rFonts w:ascii="Times New Roman" w:hAnsi="Times New Roman"/>
                <w:b/>
                <w:bCs/>
              </w:rPr>
            </w:pPr>
            <w:r>
              <w:rPr>
                <w:rFonts w:ascii="Times New Roman" w:hAnsi="Times New Roman"/>
                <w:b/>
              </w:rPr>
              <w:t>ir skiltis</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Nurodymai</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Įstaigos bendrovės struktūra</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Įstaiga savo bendrovės struktūrą priskiria prie kurios nors iš šių kategorijų:</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akcinė bendrovė;</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savidraudos įmonė/kooperatinė bendrovė;</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kita neakcinė bendrovė.</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Išvestinių finansinių priemonių vertinimas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Įstaiga reguliuojamąjį išvestinių finansinių priemonių vertinimą priskiria prie kurios nors iš šių kategorijų:</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pradinės pozicijos metodas;</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rinkos vertės metodas.</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Įstaigos rūšis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Įstaiga savo įstaigos struktūrą priskiria prie kurios nors iš šių kategorijų:</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universalioji bankininkystė (mažmeninė / komercinė ir investicinė bankininkystė);</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mažmeninė / komercinė bankininkystė;</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investicinė bankininkystė;</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specializuotas skolinimas;</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kitas verslo modelis.</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0E7095">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0E7095">
          <w:rPr>
            <w:rFonts w:ascii="Times New Roman" w:hAnsi="Times New Roman"/>
            <w:noProof/>
            <w:sz w:val="20"/>
          </w:rPr>
          <w:t>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Tai taikoma pakeitimui vertybiniais popieriais ir nuosavybės pozicijoms, susijusiems su kredito rizika.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095"/>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5E9A"/>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lt-L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lt-L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lt-L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lt-LT"/>
    </w:rPr>
  </w:style>
  <w:style w:type="character" w:customStyle="1" w:styleId="Heading6Char">
    <w:name w:val="Heading 6 Char"/>
    <w:basedOn w:val="DefaultParagraphFont"/>
    <w:link w:val="Heading6"/>
    <w:rsid w:val="00F4754B"/>
    <w:rPr>
      <w:b/>
      <w:bCs/>
      <w:szCs w:val="22"/>
      <w:lang w:eastAsia="lt-LT"/>
    </w:rPr>
  </w:style>
  <w:style w:type="character" w:customStyle="1" w:styleId="Heading7Char">
    <w:name w:val="Heading 7 Char"/>
    <w:basedOn w:val="DefaultParagraphFont"/>
    <w:link w:val="Heading7"/>
    <w:rsid w:val="00F4754B"/>
    <w:rPr>
      <w:sz w:val="24"/>
      <w:szCs w:val="24"/>
      <w:lang w:eastAsia="lt-LT"/>
    </w:rPr>
  </w:style>
  <w:style w:type="character" w:customStyle="1" w:styleId="Heading8Char">
    <w:name w:val="Heading 8 Char"/>
    <w:basedOn w:val="DefaultParagraphFont"/>
    <w:link w:val="Heading8"/>
    <w:rsid w:val="00F4754B"/>
    <w:rPr>
      <w:i/>
      <w:iCs/>
      <w:sz w:val="24"/>
      <w:szCs w:val="24"/>
      <w:lang w:eastAsia="lt-LT"/>
    </w:rPr>
  </w:style>
  <w:style w:type="character" w:customStyle="1" w:styleId="Heading9Char">
    <w:name w:val="Heading 9 Char"/>
    <w:basedOn w:val="DefaultParagraphFont"/>
    <w:link w:val="Heading9"/>
    <w:rsid w:val="00F4754B"/>
    <w:rPr>
      <w:rFonts w:ascii="Verdana" w:hAnsi="Verdana" w:cs="Arial"/>
      <w:szCs w:val="22"/>
      <w:lang w:eastAsia="lt-LT"/>
    </w:rPr>
  </w:style>
  <w:style w:type="character" w:customStyle="1" w:styleId="Heading1Char">
    <w:name w:val="Heading 1 Char"/>
    <w:basedOn w:val="DefaultParagraphFont"/>
    <w:link w:val="Heading1"/>
    <w:rsid w:val="00F4754B"/>
    <w:rPr>
      <w:rFonts w:ascii="Arial" w:hAnsi="Arial"/>
      <w:color w:val="48748F" w:themeColor="accent1"/>
      <w:sz w:val="36"/>
      <w:lang w:eastAsia="lt-LT"/>
    </w:rPr>
  </w:style>
  <w:style w:type="character" w:customStyle="1" w:styleId="Heading2Char">
    <w:name w:val="Heading 2 Char"/>
    <w:basedOn w:val="DefaultParagraphFont"/>
    <w:link w:val="Heading2"/>
    <w:rsid w:val="00F4754B"/>
    <w:rPr>
      <w:rFonts w:ascii="Arial" w:hAnsi="Arial"/>
      <w:color w:val="48748F" w:themeColor="accent1"/>
      <w:sz w:val="24"/>
      <w:lang w:eastAsia="lt-LT"/>
    </w:rPr>
  </w:style>
  <w:style w:type="character" w:customStyle="1" w:styleId="Heading3Char">
    <w:name w:val="Heading 3 Char"/>
    <w:basedOn w:val="DefaultParagraphFont"/>
    <w:link w:val="Heading3"/>
    <w:rsid w:val="00F4754B"/>
    <w:rPr>
      <w:rFonts w:ascii="Arial" w:hAnsi="Arial"/>
      <w:b/>
      <w:color w:val="48748F" w:themeColor="accent1"/>
      <w:szCs w:val="22"/>
      <w:lang w:eastAsia="lt-LT"/>
    </w:rPr>
  </w:style>
  <w:style w:type="character" w:customStyle="1" w:styleId="Heading4Char">
    <w:name w:val="Heading 4 Char"/>
    <w:basedOn w:val="DefaultParagraphFont"/>
    <w:link w:val="Heading4"/>
    <w:rsid w:val="00F4754B"/>
    <w:rPr>
      <w:rFonts w:ascii="Arial" w:hAnsi="Arial"/>
      <w:color w:val="48748F" w:themeColor="accent1"/>
      <w:lang w:eastAsia="lt-L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lt-L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lt-L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lt-L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lt-L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lt-L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lt-L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lt-L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lt-L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lt-L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lt-LT" w:eastAsia="lt-L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lt-L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lt-LT" w:bidi="lt-L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lt-L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lt-L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lt-L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lt-L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lt-L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lt-L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lt-L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lt-L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lt-LT"/>
    </w:rPr>
  </w:style>
  <w:style w:type="character" w:customStyle="1" w:styleId="Heading6Char">
    <w:name w:val="Heading 6 Char"/>
    <w:basedOn w:val="DefaultParagraphFont"/>
    <w:link w:val="Heading6"/>
    <w:rsid w:val="00F4754B"/>
    <w:rPr>
      <w:b/>
      <w:bCs/>
      <w:szCs w:val="22"/>
      <w:lang w:eastAsia="lt-LT"/>
    </w:rPr>
  </w:style>
  <w:style w:type="character" w:customStyle="1" w:styleId="Heading7Char">
    <w:name w:val="Heading 7 Char"/>
    <w:basedOn w:val="DefaultParagraphFont"/>
    <w:link w:val="Heading7"/>
    <w:rsid w:val="00F4754B"/>
    <w:rPr>
      <w:sz w:val="24"/>
      <w:szCs w:val="24"/>
      <w:lang w:eastAsia="lt-LT"/>
    </w:rPr>
  </w:style>
  <w:style w:type="character" w:customStyle="1" w:styleId="Heading8Char">
    <w:name w:val="Heading 8 Char"/>
    <w:basedOn w:val="DefaultParagraphFont"/>
    <w:link w:val="Heading8"/>
    <w:rsid w:val="00F4754B"/>
    <w:rPr>
      <w:i/>
      <w:iCs/>
      <w:sz w:val="24"/>
      <w:szCs w:val="24"/>
      <w:lang w:eastAsia="lt-LT"/>
    </w:rPr>
  </w:style>
  <w:style w:type="character" w:customStyle="1" w:styleId="Heading9Char">
    <w:name w:val="Heading 9 Char"/>
    <w:basedOn w:val="DefaultParagraphFont"/>
    <w:link w:val="Heading9"/>
    <w:rsid w:val="00F4754B"/>
    <w:rPr>
      <w:rFonts w:ascii="Verdana" w:hAnsi="Verdana" w:cs="Arial"/>
      <w:szCs w:val="22"/>
      <w:lang w:eastAsia="lt-LT"/>
    </w:rPr>
  </w:style>
  <w:style w:type="character" w:customStyle="1" w:styleId="Heading1Char">
    <w:name w:val="Heading 1 Char"/>
    <w:basedOn w:val="DefaultParagraphFont"/>
    <w:link w:val="Heading1"/>
    <w:rsid w:val="00F4754B"/>
    <w:rPr>
      <w:rFonts w:ascii="Arial" w:hAnsi="Arial"/>
      <w:color w:val="48748F" w:themeColor="accent1"/>
      <w:sz w:val="36"/>
      <w:lang w:eastAsia="lt-LT"/>
    </w:rPr>
  </w:style>
  <w:style w:type="character" w:customStyle="1" w:styleId="Heading2Char">
    <w:name w:val="Heading 2 Char"/>
    <w:basedOn w:val="DefaultParagraphFont"/>
    <w:link w:val="Heading2"/>
    <w:rsid w:val="00F4754B"/>
    <w:rPr>
      <w:rFonts w:ascii="Arial" w:hAnsi="Arial"/>
      <w:color w:val="48748F" w:themeColor="accent1"/>
      <w:sz w:val="24"/>
      <w:lang w:eastAsia="lt-LT"/>
    </w:rPr>
  </w:style>
  <w:style w:type="character" w:customStyle="1" w:styleId="Heading3Char">
    <w:name w:val="Heading 3 Char"/>
    <w:basedOn w:val="DefaultParagraphFont"/>
    <w:link w:val="Heading3"/>
    <w:rsid w:val="00F4754B"/>
    <w:rPr>
      <w:rFonts w:ascii="Arial" w:hAnsi="Arial"/>
      <w:b/>
      <w:color w:val="48748F" w:themeColor="accent1"/>
      <w:szCs w:val="22"/>
      <w:lang w:eastAsia="lt-LT"/>
    </w:rPr>
  </w:style>
  <w:style w:type="character" w:customStyle="1" w:styleId="Heading4Char">
    <w:name w:val="Heading 4 Char"/>
    <w:basedOn w:val="DefaultParagraphFont"/>
    <w:link w:val="Heading4"/>
    <w:rsid w:val="00F4754B"/>
    <w:rPr>
      <w:rFonts w:ascii="Arial" w:hAnsi="Arial"/>
      <w:color w:val="48748F" w:themeColor="accent1"/>
      <w:lang w:eastAsia="lt-L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lt-L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lt-L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lt-L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lt-L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lt-L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lt-L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lt-L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lt-L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lt-L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lt-LT" w:eastAsia="lt-L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lt-L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lt-LT" w:bidi="lt-L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lt-L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lt-L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lt-L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lt-L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lt-L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8E50BDF6-6191-4B1B-9053-0086FBC020B1}">
  <ds:schemaRefs>
    <ds:schemaRef ds:uri="http://schemas.openxmlformats.org/officeDocument/2006/bibliography"/>
  </ds:schemaRefs>
</ds:datastoreItem>
</file>

<file path=customXml/itemProps3.xml><?xml version="1.0" encoding="utf-8"?>
<ds:datastoreItem xmlns:ds="http://schemas.openxmlformats.org/officeDocument/2006/customXml" ds:itemID="{6EEFAB3D-DAD8-47CA-B8FB-1765786C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45</Pages>
  <Words>14680</Words>
  <Characters>101655</Characters>
  <Application>Microsoft Office Word</Application>
  <DocSecurity>0</DocSecurity>
  <Lines>2717</Lines>
  <Paragraphs>1091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115394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TERLECKYTE Vanda (DGT)</cp:lastModifiedBy>
  <cp:revision>13</cp:revision>
  <cp:lastPrinted>2015-04-10T08:05:00Z</cp:lastPrinted>
  <dcterms:created xsi:type="dcterms:W3CDTF">2018-02-06T16:20:00Z</dcterms:created>
  <dcterms:modified xsi:type="dcterms:W3CDTF">2018-09-05T14:13:00Z</dcterms:modified>
</cp:coreProperties>
</file>