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34A4" w:rsidRPr="00AE79AC" w:rsidRDefault="008934A4" w:rsidP="00A15D28">
      <w:pPr>
        <w:jc w:val="center"/>
        <w:rPr>
          <w:rFonts w:ascii="Times New Roman" w:hAnsi="Times New Roman"/>
          <w:b/>
          <w:sz w:val="24"/>
          <w:szCs w:val="24"/>
        </w:rPr>
      </w:pPr>
      <w:r w:rsidRPr="00AE79AC">
        <w:rPr>
          <w:rFonts w:ascii="Times New Roman" w:hAnsi="Times New Roman"/>
          <w:b/>
          <w:sz w:val="24"/>
        </w:rPr>
        <w:t>PL</w:t>
      </w:r>
    </w:p>
    <w:p w:rsidR="008934A4" w:rsidRPr="00AE79AC" w:rsidRDefault="008934A4" w:rsidP="00A15D28">
      <w:pPr>
        <w:jc w:val="center"/>
        <w:rPr>
          <w:rFonts w:ascii="Times New Roman" w:hAnsi="Times New Roman"/>
          <w:b/>
          <w:sz w:val="24"/>
          <w:szCs w:val="24"/>
        </w:rPr>
      </w:pPr>
      <w:r w:rsidRPr="00AE79AC">
        <w:rPr>
          <w:rFonts w:ascii="Times New Roman" w:hAnsi="Times New Roman"/>
          <w:b/>
          <w:sz w:val="24"/>
        </w:rPr>
        <w:t>ZAŁĄCZNIK V</w:t>
      </w:r>
    </w:p>
    <w:p w:rsidR="001F0676" w:rsidRPr="00AE79AC" w:rsidRDefault="001F0676" w:rsidP="00A15D28">
      <w:pPr>
        <w:jc w:val="center"/>
        <w:rPr>
          <w:rFonts w:ascii="Times New Roman" w:hAnsi="Times New Roman"/>
          <w:sz w:val="24"/>
          <w:szCs w:val="24"/>
        </w:rPr>
      </w:pPr>
    </w:p>
    <w:p w:rsidR="00BB7DB0" w:rsidRPr="00AE79AC" w:rsidRDefault="00BB7DB0" w:rsidP="00A15D28">
      <w:pPr>
        <w:jc w:val="center"/>
        <w:rPr>
          <w:rFonts w:ascii="Times New Roman" w:hAnsi="Times New Roman"/>
          <w:sz w:val="24"/>
          <w:szCs w:val="24"/>
        </w:rPr>
      </w:pPr>
    </w:p>
    <w:p w:rsidR="001807E9" w:rsidRPr="00AE79AC" w:rsidRDefault="001807E9" w:rsidP="00A15D28">
      <w:pPr>
        <w:jc w:val="center"/>
        <w:rPr>
          <w:rFonts w:ascii="Times New Roman" w:hAnsi="Times New Roman"/>
          <w:sz w:val="24"/>
          <w:szCs w:val="24"/>
        </w:rPr>
      </w:pPr>
    </w:p>
    <w:p w:rsidR="00A15D28" w:rsidRPr="00AE79AC" w:rsidRDefault="00A15D28" w:rsidP="00A15D28">
      <w:pPr>
        <w:jc w:val="center"/>
        <w:rPr>
          <w:rFonts w:ascii="Times New Roman" w:hAnsi="Times New Roman"/>
          <w:sz w:val="28"/>
          <w:szCs w:val="28"/>
          <w:u w:val="single"/>
        </w:rPr>
      </w:pPr>
      <w:r w:rsidRPr="00AE79AC">
        <w:rPr>
          <w:rFonts w:ascii="Times New Roman" w:hAnsi="Times New Roman"/>
          <w:b/>
          <w:sz w:val="24"/>
          <w:u w:val="single"/>
        </w:rPr>
        <w:t>„ZAŁĄCZNIK XI</w:t>
      </w:r>
    </w:p>
    <w:p w:rsidR="00A15D28" w:rsidRPr="00AE79AC" w:rsidRDefault="00A15D28" w:rsidP="00A15D28">
      <w:pPr>
        <w:jc w:val="center"/>
        <w:rPr>
          <w:rFonts w:ascii="Times New Roman" w:hAnsi="Times New Roman"/>
        </w:rPr>
      </w:pPr>
      <w:r w:rsidRPr="00AE79AC">
        <w:rPr>
          <w:rFonts w:ascii="Times New Roman" w:hAnsi="Times New Roman"/>
          <w:b/>
          <w:sz w:val="24"/>
        </w:rPr>
        <w:t>SPRAWOZDAWCZOŚĆ W ZAKRESIE DŹWIGNI FINANSOWEJ</w:t>
      </w:r>
    </w:p>
    <w:p w:rsidR="00F4754B" w:rsidRPr="00AE79AC" w:rsidRDefault="00F4754B" w:rsidP="00F4754B">
      <w:pPr>
        <w:pStyle w:val="BodyText1"/>
        <w:rPr>
          <w:rFonts w:ascii="Times New Roman" w:hAnsi="Times New Roman"/>
        </w:rPr>
      </w:pPr>
    </w:p>
    <w:p w:rsidR="00A15D28" w:rsidRPr="00AE79AC" w:rsidRDefault="00A15D28" w:rsidP="00F4754B">
      <w:pPr>
        <w:pStyle w:val="BodyText1"/>
        <w:rPr>
          <w:rFonts w:ascii="Times New Roman" w:hAnsi="Times New Roman"/>
        </w:rPr>
      </w:pPr>
    </w:p>
    <w:p w:rsidR="00F4754B" w:rsidRPr="00AE79AC" w:rsidRDefault="00F4754B" w:rsidP="00F4754B">
      <w:pPr>
        <w:pStyle w:val="BodyText1"/>
        <w:rPr>
          <w:rFonts w:ascii="Times New Roman" w:hAnsi="Times New Roman"/>
        </w:rPr>
      </w:pPr>
    </w:p>
    <w:p w:rsidR="009112BB" w:rsidRPr="00AE79AC" w:rsidRDefault="009112BB" w:rsidP="009112BB">
      <w:pPr>
        <w:pStyle w:val="BodyText1"/>
        <w:ind w:left="720"/>
        <w:rPr>
          <w:rFonts w:ascii="Times New Roman" w:hAnsi="Times New Roman"/>
        </w:rPr>
      </w:pPr>
    </w:p>
    <w:p w:rsidR="00AE79AC" w:rsidRPr="00403043" w:rsidRDefault="00AE79AC">
      <w:pPr>
        <w:pStyle w:val="TOC1"/>
        <w:rPr>
          <w:rFonts w:ascii="Times New Roman" w:eastAsiaTheme="minorEastAsia" w:hAnsi="Times New Roman"/>
          <w:color w:val="auto"/>
          <w:sz w:val="22"/>
          <w:szCs w:val="22"/>
          <w:lang w:eastAsia="en-GB" w:bidi="ar-SA"/>
        </w:rPr>
      </w:pPr>
      <w:r w:rsidRPr="00403043">
        <w:rPr>
          <w:rFonts w:ascii="Times New Roman" w:hAnsi="Times New Roman"/>
          <w:b/>
        </w:rPr>
        <w:fldChar w:fldCharType="begin"/>
      </w:r>
      <w:r w:rsidR="00391EF9" w:rsidRPr="00403043">
        <w:rPr>
          <w:rFonts w:ascii="Times New Roman" w:hAnsi="Times New Roman"/>
          <w:b/>
        </w:rPr>
        <w:instrText xml:space="preserve"> TOC \o "1-3" \h \z \u </w:instrText>
      </w:r>
      <w:r w:rsidRPr="00403043">
        <w:rPr>
          <w:rFonts w:ascii="Times New Roman" w:hAnsi="Times New Roman"/>
          <w:b/>
        </w:rPr>
        <w:fldChar w:fldCharType="separate"/>
      </w:r>
      <w:hyperlink w:anchor="_Toc520369393" w:history="1">
        <w:r w:rsidRPr="00403043">
          <w:rPr>
            <w:rStyle w:val="Hyperlink"/>
            <w:rFonts w:ascii="Times New Roman" w:hAnsi="Times New Roman"/>
            <w:b/>
          </w:rPr>
          <w:t>CZĘŚĆ I: INSTRUKCJE OGÓLNE</w:t>
        </w:r>
        <w:r w:rsidRPr="00403043">
          <w:rPr>
            <w:rFonts w:ascii="Times New Roman" w:hAnsi="Times New Roman"/>
            <w:webHidden/>
          </w:rPr>
          <w:tab/>
        </w:r>
        <w:r w:rsidRPr="00403043">
          <w:rPr>
            <w:rFonts w:ascii="Times New Roman" w:hAnsi="Times New Roman"/>
            <w:webHidden/>
          </w:rPr>
          <w:fldChar w:fldCharType="begin"/>
        </w:r>
        <w:r w:rsidRPr="00403043">
          <w:rPr>
            <w:rFonts w:ascii="Times New Roman" w:hAnsi="Times New Roman"/>
            <w:webHidden/>
          </w:rPr>
          <w:instrText xml:space="preserve"> PAGEREF _Toc520369393 \h </w:instrText>
        </w:r>
        <w:r w:rsidRPr="00403043">
          <w:rPr>
            <w:rFonts w:ascii="Times New Roman" w:hAnsi="Times New Roman"/>
            <w:webHidden/>
          </w:rPr>
        </w:r>
        <w:r w:rsidRPr="00403043">
          <w:rPr>
            <w:rFonts w:ascii="Times New Roman" w:hAnsi="Times New Roman"/>
            <w:webHidden/>
          </w:rPr>
          <w:fldChar w:fldCharType="separate"/>
        </w:r>
        <w:r w:rsidRPr="00403043">
          <w:rPr>
            <w:rFonts w:ascii="Times New Roman" w:hAnsi="Times New Roman"/>
            <w:webHidden/>
          </w:rPr>
          <w:t>2</w:t>
        </w:r>
        <w:r w:rsidRPr="00403043">
          <w:rPr>
            <w:rFonts w:ascii="Times New Roman" w:hAnsi="Times New Roman"/>
            <w:webHidden/>
          </w:rPr>
          <w:fldChar w:fldCharType="end"/>
        </w:r>
      </w:hyperlink>
    </w:p>
    <w:p w:rsidR="00AE79AC" w:rsidRPr="00403043" w:rsidRDefault="00E17BAD">
      <w:pPr>
        <w:pStyle w:val="TOC2"/>
        <w:rPr>
          <w:rFonts w:ascii="Times New Roman" w:eastAsiaTheme="minorEastAsia" w:hAnsi="Times New Roman"/>
          <w:b w:val="0"/>
          <w:smallCaps w:val="0"/>
          <w:sz w:val="22"/>
          <w:lang w:eastAsia="en-GB" w:bidi="ar-SA"/>
        </w:rPr>
      </w:pPr>
      <w:hyperlink w:anchor="_Toc520369394" w:history="1">
        <w:r w:rsidR="00AE79AC" w:rsidRPr="00403043">
          <w:rPr>
            <w:rStyle w:val="Hyperlink"/>
            <w:rFonts w:ascii="Times New Roman" w:hAnsi="Times New Roman"/>
          </w:rPr>
          <w:t>1.</w:t>
        </w:r>
        <w:r w:rsidR="00AE79AC" w:rsidRPr="00403043">
          <w:rPr>
            <w:rFonts w:ascii="Times New Roman" w:eastAsiaTheme="minorEastAsia" w:hAnsi="Times New Roman"/>
            <w:b w:val="0"/>
            <w:smallCaps w:val="0"/>
            <w:sz w:val="22"/>
            <w:lang w:eastAsia="en-GB" w:bidi="ar-SA"/>
          </w:rPr>
          <w:tab/>
        </w:r>
        <w:r w:rsidR="00AE79AC" w:rsidRPr="00403043">
          <w:rPr>
            <w:rStyle w:val="Hyperlink"/>
            <w:rFonts w:ascii="Times New Roman" w:hAnsi="Times New Roman"/>
          </w:rPr>
          <w:t>Oznaczenia wzorów i inne konwencje</w:t>
        </w:r>
        <w:r w:rsidR="00AE79AC" w:rsidRPr="00403043">
          <w:rPr>
            <w:rFonts w:ascii="Times New Roman" w:hAnsi="Times New Roman"/>
            <w:webHidden/>
          </w:rPr>
          <w:tab/>
        </w:r>
        <w:r w:rsidR="00AE79AC" w:rsidRPr="00403043">
          <w:rPr>
            <w:rFonts w:ascii="Times New Roman" w:hAnsi="Times New Roman"/>
            <w:webHidden/>
          </w:rPr>
          <w:fldChar w:fldCharType="begin"/>
        </w:r>
        <w:r w:rsidR="00AE79AC" w:rsidRPr="00403043">
          <w:rPr>
            <w:rFonts w:ascii="Times New Roman" w:hAnsi="Times New Roman"/>
            <w:webHidden/>
          </w:rPr>
          <w:instrText xml:space="preserve"> PAGEREF _Toc520369394 \h </w:instrText>
        </w:r>
        <w:r w:rsidR="00AE79AC" w:rsidRPr="00403043">
          <w:rPr>
            <w:rFonts w:ascii="Times New Roman" w:hAnsi="Times New Roman"/>
            <w:webHidden/>
          </w:rPr>
        </w:r>
        <w:r w:rsidR="00AE79AC" w:rsidRPr="00403043">
          <w:rPr>
            <w:rFonts w:ascii="Times New Roman" w:hAnsi="Times New Roman"/>
            <w:webHidden/>
          </w:rPr>
          <w:fldChar w:fldCharType="separate"/>
        </w:r>
        <w:r w:rsidR="00AE79AC" w:rsidRPr="00403043">
          <w:rPr>
            <w:rFonts w:ascii="Times New Roman" w:hAnsi="Times New Roman"/>
            <w:webHidden/>
          </w:rPr>
          <w:t>2</w:t>
        </w:r>
        <w:r w:rsidR="00AE79AC" w:rsidRPr="00403043">
          <w:rPr>
            <w:rFonts w:ascii="Times New Roman" w:hAnsi="Times New Roman"/>
            <w:webHidden/>
          </w:rPr>
          <w:fldChar w:fldCharType="end"/>
        </w:r>
      </w:hyperlink>
    </w:p>
    <w:p w:rsidR="00AE79AC" w:rsidRPr="00403043" w:rsidRDefault="00E17BAD">
      <w:pPr>
        <w:pStyle w:val="TOC3"/>
        <w:rPr>
          <w:rFonts w:ascii="Times New Roman" w:eastAsiaTheme="minorEastAsia" w:hAnsi="Times New Roman"/>
          <w:smallCaps w:val="0"/>
          <w:sz w:val="22"/>
          <w:szCs w:val="22"/>
          <w:lang w:eastAsia="en-GB" w:bidi="ar-SA"/>
        </w:rPr>
      </w:pPr>
      <w:hyperlink w:anchor="_Toc520369395" w:history="1">
        <w:r w:rsidR="00AE79AC" w:rsidRPr="00403043">
          <w:rPr>
            <w:rStyle w:val="Hyperlink"/>
            <w:rFonts w:ascii="Times New Roman" w:hAnsi="Times New Roman"/>
            <w:b/>
          </w:rPr>
          <w:t>1.1.</w:t>
        </w:r>
        <w:r w:rsidR="00AE79AC" w:rsidRPr="00403043">
          <w:rPr>
            <w:rFonts w:ascii="Times New Roman" w:eastAsiaTheme="minorEastAsia" w:hAnsi="Times New Roman"/>
            <w:smallCaps w:val="0"/>
            <w:sz w:val="22"/>
            <w:szCs w:val="22"/>
            <w:lang w:eastAsia="en-GB" w:bidi="ar-SA"/>
          </w:rPr>
          <w:tab/>
        </w:r>
        <w:r w:rsidR="00AE79AC" w:rsidRPr="00403043">
          <w:rPr>
            <w:rStyle w:val="Hyperlink"/>
            <w:rFonts w:ascii="Times New Roman" w:hAnsi="Times New Roman"/>
            <w:b/>
          </w:rPr>
          <w:t>Oznaczenia wzorów</w:t>
        </w:r>
        <w:r w:rsidR="00AE79AC" w:rsidRPr="00403043">
          <w:rPr>
            <w:rFonts w:ascii="Times New Roman" w:hAnsi="Times New Roman"/>
            <w:webHidden/>
          </w:rPr>
          <w:tab/>
        </w:r>
        <w:r w:rsidR="00AE79AC" w:rsidRPr="00403043">
          <w:rPr>
            <w:rFonts w:ascii="Times New Roman" w:hAnsi="Times New Roman"/>
            <w:webHidden/>
          </w:rPr>
          <w:fldChar w:fldCharType="begin"/>
        </w:r>
        <w:r w:rsidR="00AE79AC" w:rsidRPr="00403043">
          <w:rPr>
            <w:rFonts w:ascii="Times New Roman" w:hAnsi="Times New Roman"/>
            <w:webHidden/>
          </w:rPr>
          <w:instrText xml:space="preserve"> PAGEREF _Toc520369395 \h </w:instrText>
        </w:r>
        <w:r w:rsidR="00AE79AC" w:rsidRPr="00403043">
          <w:rPr>
            <w:rFonts w:ascii="Times New Roman" w:hAnsi="Times New Roman"/>
            <w:webHidden/>
          </w:rPr>
        </w:r>
        <w:r w:rsidR="00AE79AC" w:rsidRPr="00403043">
          <w:rPr>
            <w:rFonts w:ascii="Times New Roman" w:hAnsi="Times New Roman"/>
            <w:webHidden/>
          </w:rPr>
          <w:fldChar w:fldCharType="separate"/>
        </w:r>
        <w:r w:rsidR="00AE79AC" w:rsidRPr="00403043">
          <w:rPr>
            <w:rFonts w:ascii="Times New Roman" w:hAnsi="Times New Roman"/>
            <w:webHidden/>
          </w:rPr>
          <w:t>2</w:t>
        </w:r>
        <w:r w:rsidR="00AE79AC" w:rsidRPr="00403043">
          <w:rPr>
            <w:rFonts w:ascii="Times New Roman" w:hAnsi="Times New Roman"/>
            <w:webHidden/>
          </w:rPr>
          <w:fldChar w:fldCharType="end"/>
        </w:r>
      </w:hyperlink>
    </w:p>
    <w:p w:rsidR="00AE79AC" w:rsidRPr="00403043" w:rsidRDefault="00E17BAD">
      <w:pPr>
        <w:pStyle w:val="TOC3"/>
        <w:rPr>
          <w:rFonts w:ascii="Times New Roman" w:eastAsiaTheme="minorEastAsia" w:hAnsi="Times New Roman"/>
          <w:smallCaps w:val="0"/>
          <w:sz w:val="22"/>
          <w:szCs w:val="22"/>
          <w:lang w:eastAsia="en-GB" w:bidi="ar-SA"/>
        </w:rPr>
      </w:pPr>
      <w:hyperlink w:anchor="_Toc520369396" w:history="1">
        <w:r w:rsidR="00AE79AC" w:rsidRPr="00403043">
          <w:rPr>
            <w:rStyle w:val="Hyperlink"/>
            <w:rFonts w:ascii="Times New Roman" w:hAnsi="Times New Roman"/>
            <w:b/>
          </w:rPr>
          <w:t>1.2.</w:t>
        </w:r>
        <w:r w:rsidR="00AE79AC" w:rsidRPr="00403043">
          <w:rPr>
            <w:rFonts w:ascii="Times New Roman" w:eastAsiaTheme="minorEastAsia" w:hAnsi="Times New Roman"/>
            <w:smallCaps w:val="0"/>
            <w:sz w:val="22"/>
            <w:szCs w:val="22"/>
            <w:lang w:eastAsia="en-GB" w:bidi="ar-SA"/>
          </w:rPr>
          <w:tab/>
        </w:r>
        <w:r w:rsidR="00AE79AC" w:rsidRPr="00403043">
          <w:rPr>
            <w:rStyle w:val="Hyperlink"/>
            <w:rFonts w:ascii="Times New Roman" w:hAnsi="Times New Roman"/>
            <w:b/>
          </w:rPr>
          <w:t>Konwencja numerowania</w:t>
        </w:r>
        <w:r w:rsidR="00AE79AC" w:rsidRPr="00403043">
          <w:rPr>
            <w:rFonts w:ascii="Times New Roman" w:hAnsi="Times New Roman"/>
            <w:webHidden/>
          </w:rPr>
          <w:tab/>
        </w:r>
        <w:r w:rsidR="00AE79AC" w:rsidRPr="00403043">
          <w:rPr>
            <w:rFonts w:ascii="Times New Roman" w:hAnsi="Times New Roman"/>
            <w:webHidden/>
          </w:rPr>
          <w:fldChar w:fldCharType="begin"/>
        </w:r>
        <w:r w:rsidR="00AE79AC" w:rsidRPr="00403043">
          <w:rPr>
            <w:rFonts w:ascii="Times New Roman" w:hAnsi="Times New Roman"/>
            <w:webHidden/>
          </w:rPr>
          <w:instrText xml:space="preserve"> PAGEREF _Toc520369396 \h </w:instrText>
        </w:r>
        <w:r w:rsidR="00AE79AC" w:rsidRPr="00403043">
          <w:rPr>
            <w:rFonts w:ascii="Times New Roman" w:hAnsi="Times New Roman"/>
            <w:webHidden/>
          </w:rPr>
        </w:r>
        <w:r w:rsidR="00AE79AC" w:rsidRPr="00403043">
          <w:rPr>
            <w:rFonts w:ascii="Times New Roman" w:hAnsi="Times New Roman"/>
            <w:webHidden/>
          </w:rPr>
          <w:fldChar w:fldCharType="separate"/>
        </w:r>
        <w:r w:rsidR="00AE79AC" w:rsidRPr="00403043">
          <w:rPr>
            <w:rFonts w:ascii="Times New Roman" w:hAnsi="Times New Roman"/>
            <w:webHidden/>
          </w:rPr>
          <w:t>2</w:t>
        </w:r>
        <w:r w:rsidR="00AE79AC" w:rsidRPr="00403043">
          <w:rPr>
            <w:rFonts w:ascii="Times New Roman" w:hAnsi="Times New Roman"/>
            <w:webHidden/>
          </w:rPr>
          <w:fldChar w:fldCharType="end"/>
        </w:r>
      </w:hyperlink>
    </w:p>
    <w:p w:rsidR="00AE79AC" w:rsidRPr="00403043" w:rsidRDefault="00E17BAD">
      <w:pPr>
        <w:pStyle w:val="TOC3"/>
        <w:rPr>
          <w:rFonts w:ascii="Times New Roman" w:eastAsiaTheme="minorEastAsia" w:hAnsi="Times New Roman"/>
          <w:smallCaps w:val="0"/>
          <w:sz w:val="22"/>
          <w:szCs w:val="22"/>
          <w:lang w:eastAsia="en-GB" w:bidi="ar-SA"/>
        </w:rPr>
      </w:pPr>
      <w:hyperlink w:anchor="_Toc520369397" w:history="1">
        <w:r w:rsidR="00AE79AC" w:rsidRPr="00403043">
          <w:rPr>
            <w:rStyle w:val="Hyperlink"/>
            <w:rFonts w:ascii="Times New Roman" w:hAnsi="Times New Roman"/>
            <w:b/>
          </w:rPr>
          <w:t>1.3.</w:t>
        </w:r>
        <w:r w:rsidR="00AE79AC" w:rsidRPr="00403043">
          <w:rPr>
            <w:rFonts w:ascii="Times New Roman" w:eastAsiaTheme="minorEastAsia" w:hAnsi="Times New Roman"/>
            <w:smallCaps w:val="0"/>
            <w:sz w:val="22"/>
            <w:szCs w:val="22"/>
            <w:lang w:eastAsia="en-GB" w:bidi="ar-SA"/>
          </w:rPr>
          <w:tab/>
        </w:r>
        <w:r w:rsidR="00AE79AC" w:rsidRPr="00403043">
          <w:rPr>
            <w:rStyle w:val="Hyperlink"/>
            <w:rFonts w:ascii="Times New Roman" w:hAnsi="Times New Roman"/>
            <w:b/>
          </w:rPr>
          <w:t>Skróty</w:t>
        </w:r>
        <w:r w:rsidR="00AE79AC" w:rsidRPr="00403043">
          <w:rPr>
            <w:rFonts w:ascii="Times New Roman" w:hAnsi="Times New Roman"/>
            <w:webHidden/>
          </w:rPr>
          <w:tab/>
        </w:r>
        <w:r w:rsidR="00AE79AC" w:rsidRPr="00403043">
          <w:rPr>
            <w:rFonts w:ascii="Times New Roman" w:hAnsi="Times New Roman"/>
            <w:webHidden/>
          </w:rPr>
          <w:fldChar w:fldCharType="begin"/>
        </w:r>
        <w:r w:rsidR="00AE79AC" w:rsidRPr="00403043">
          <w:rPr>
            <w:rFonts w:ascii="Times New Roman" w:hAnsi="Times New Roman"/>
            <w:webHidden/>
          </w:rPr>
          <w:instrText xml:space="preserve"> PAGEREF _Toc520369397 \h </w:instrText>
        </w:r>
        <w:r w:rsidR="00AE79AC" w:rsidRPr="00403043">
          <w:rPr>
            <w:rFonts w:ascii="Times New Roman" w:hAnsi="Times New Roman"/>
            <w:webHidden/>
          </w:rPr>
        </w:r>
        <w:r w:rsidR="00AE79AC" w:rsidRPr="00403043">
          <w:rPr>
            <w:rFonts w:ascii="Times New Roman" w:hAnsi="Times New Roman"/>
            <w:webHidden/>
          </w:rPr>
          <w:fldChar w:fldCharType="separate"/>
        </w:r>
        <w:r w:rsidR="00AE79AC" w:rsidRPr="00403043">
          <w:rPr>
            <w:rFonts w:ascii="Times New Roman" w:hAnsi="Times New Roman"/>
            <w:webHidden/>
          </w:rPr>
          <w:t>2</w:t>
        </w:r>
        <w:r w:rsidR="00AE79AC" w:rsidRPr="00403043">
          <w:rPr>
            <w:rFonts w:ascii="Times New Roman" w:hAnsi="Times New Roman"/>
            <w:webHidden/>
          </w:rPr>
          <w:fldChar w:fldCharType="end"/>
        </w:r>
      </w:hyperlink>
    </w:p>
    <w:p w:rsidR="00AE79AC" w:rsidRPr="00403043" w:rsidRDefault="00E17BAD">
      <w:pPr>
        <w:pStyle w:val="TOC3"/>
        <w:rPr>
          <w:rFonts w:ascii="Times New Roman" w:eastAsiaTheme="minorEastAsia" w:hAnsi="Times New Roman"/>
          <w:smallCaps w:val="0"/>
          <w:sz w:val="22"/>
          <w:szCs w:val="22"/>
          <w:lang w:eastAsia="en-GB" w:bidi="ar-SA"/>
        </w:rPr>
      </w:pPr>
      <w:hyperlink w:anchor="_Toc520369398" w:history="1">
        <w:r w:rsidR="00AE79AC" w:rsidRPr="00403043">
          <w:rPr>
            <w:rStyle w:val="Hyperlink"/>
            <w:rFonts w:ascii="Times New Roman" w:hAnsi="Times New Roman"/>
            <w:b/>
          </w:rPr>
          <w:t>1.4.</w:t>
        </w:r>
        <w:r w:rsidR="00AE79AC" w:rsidRPr="00403043">
          <w:rPr>
            <w:rFonts w:ascii="Times New Roman" w:eastAsiaTheme="minorEastAsia" w:hAnsi="Times New Roman"/>
            <w:smallCaps w:val="0"/>
            <w:sz w:val="22"/>
            <w:szCs w:val="22"/>
            <w:lang w:eastAsia="en-GB" w:bidi="ar-SA"/>
          </w:rPr>
          <w:tab/>
        </w:r>
        <w:r w:rsidR="00AE79AC" w:rsidRPr="00403043">
          <w:rPr>
            <w:rStyle w:val="Hyperlink"/>
            <w:rFonts w:ascii="Times New Roman" w:hAnsi="Times New Roman"/>
            <w:b/>
          </w:rPr>
          <w:t>Konwencja znaku</w:t>
        </w:r>
        <w:r w:rsidR="00AE79AC" w:rsidRPr="00403043">
          <w:rPr>
            <w:rFonts w:ascii="Times New Roman" w:hAnsi="Times New Roman"/>
            <w:webHidden/>
          </w:rPr>
          <w:tab/>
        </w:r>
        <w:r w:rsidR="00AE79AC" w:rsidRPr="00403043">
          <w:rPr>
            <w:rFonts w:ascii="Times New Roman" w:hAnsi="Times New Roman"/>
            <w:webHidden/>
          </w:rPr>
          <w:fldChar w:fldCharType="begin"/>
        </w:r>
        <w:r w:rsidR="00AE79AC" w:rsidRPr="00403043">
          <w:rPr>
            <w:rFonts w:ascii="Times New Roman" w:hAnsi="Times New Roman"/>
            <w:webHidden/>
          </w:rPr>
          <w:instrText xml:space="preserve"> PAGEREF _Toc520369398 \h </w:instrText>
        </w:r>
        <w:r w:rsidR="00AE79AC" w:rsidRPr="00403043">
          <w:rPr>
            <w:rFonts w:ascii="Times New Roman" w:hAnsi="Times New Roman"/>
            <w:webHidden/>
          </w:rPr>
        </w:r>
        <w:r w:rsidR="00AE79AC" w:rsidRPr="00403043">
          <w:rPr>
            <w:rFonts w:ascii="Times New Roman" w:hAnsi="Times New Roman"/>
            <w:webHidden/>
          </w:rPr>
          <w:fldChar w:fldCharType="separate"/>
        </w:r>
        <w:r w:rsidR="00AE79AC" w:rsidRPr="00403043">
          <w:rPr>
            <w:rFonts w:ascii="Times New Roman" w:hAnsi="Times New Roman"/>
            <w:webHidden/>
          </w:rPr>
          <w:t>3</w:t>
        </w:r>
        <w:r w:rsidR="00AE79AC" w:rsidRPr="00403043">
          <w:rPr>
            <w:rFonts w:ascii="Times New Roman" w:hAnsi="Times New Roman"/>
            <w:webHidden/>
          </w:rPr>
          <w:fldChar w:fldCharType="end"/>
        </w:r>
      </w:hyperlink>
    </w:p>
    <w:p w:rsidR="00AE79AC" w:rsidRPr="00403043" w:rsidRDefault="00E17BAD">
      <w:pPr>
        <w:pStyle w:val="TOC1"/>
        <w:rPr>
          <w:rFonts w:ascii="Times New Roman" w:eastAsiaTheme="minorEastAsia" w:hAnsi="Times New Roman"/>
          <w:color w:val="auto"/>
          <w:sz w:val="22"/>
          <w:szCs w:val="22"/>
          <w:lang w:eastAsia="en-GB" w:bidi="ar-SA"/>
        </w:rPr>
      </w:pPr>
      <w:hyperlink w:anchor="_Toc520369399" w:history="1">
        <w:r w:rsidR="00AE79AC" w:rsidRPr="00403043">
          <w:rPr>
            <w:rStyle w:val="Hyperlink"/>
            <w:rFonts w:ascii="Times New Roman" w:hAnsi="Times New Roman"/>
            <w:b/>
          </w:rPr>
          <w:t>CZĘŚĆ II: INSTRUKCJE DOTYCZĄCE WZORÓW</w:t>
        </w:r>
        <w:r w:rsidR="00AE79AC" w:rsidRPr="00403043">
          <w:rPr>
            <w:rFonts w:ascii="Times New Roman" w:hAnsi="Times New Roman"/>
            <w:webHidden/>
          </w:rPr>
          <w:tab/>
        </w:r>
        <w:r w:rsidR="00AE79AC" w:rsidRPr="00403043">
          <w:rPr>
            <w:rFonts w:ascii="Times New Roman" w:hAnsi="Times New Roman"/>
            <w:webHidden/>
          </w:rPr>
          <w:fldChar w:fldCharType="begin"/>
        </w:r>
        <w:r w:rsidR="00AE79AC" w:rsidRPr="00403043">
          <w:rPr>
            <w:rFonts w:ascii="Times New Roman" w:hAnsi="Times New Roman"/>
            <w:webHidden/>
          </w:rPr>
          <w:instrText xml:space="preserve"> PAGEREF _Toc520369399 \h </w:instrText>
        </w:r>
        <w:r w:rsidR="00AE79AC" w:rsidRPr="00403043">
          <w:rPr>
            <w:rFonts w:ascii="Times New Roman" w:hAnsi="Times New Roman"/>
            <w:webHidden/>
          </w:rPr>
        </w:r>
        <w:r w:rsidR="00AE79AC" w:rsidRPr="00403043">
          <w:rPr>
            <w:rFonts w:ascii="Times New Roman" w:hAnsi="Times New Roman"/>
            <w:webHidden/>
          </w:rPr>
          <w:fldChar w:fldCharType="separate"/>
        </w:r>
        <w:r w:rsidR="00AE79AC" w:rsidRPr="00403043">
          <w:rPr>
            <w:rFonts w:ascii="Times New Roman" w:hAnsi="Times New Roman"/>
            <w:webHidden/>
          </w:rPr>
          <w:t>4</w:t>
        </w:r>
        <w:r w:rsidR="00AE79AC" w:rsidRPr="00403043">
          <w:rPr>
            <w:rFonts w:ascii="Times New Roman" w:hAnsi="Times New Roman"/>
            <w:webHidden/>
          </w:rPr>
          <w:fldChar w:fldCharType="end"/>
        </w:r>
      </w:hyperlink>
    </w:p>
    <w:p w:rsidR="00AE79AC" w:rsidRPr="00403043" w:rsidRDefault="00E17BAD">
      <w:pPr>
        <w:pStyle w:val="TOC2"/>
        <w:rPr>
          <w:rFonts w:ascii="Times New Roman" w:eastAsiaTheme="minorEastAsia" w:hAnsi="Times New Roman"/>
          <w:b w:val="0"/>
          <w:smallCaps w:val="0"/>
          <w:sz w:val="22"/>
          <w:lang w:eastAsia="en-GB" w:bidi="ar-SA"/>
        </w:rPr>
      </w:pPr>
      <w:hyperlink w:anchor="_Toc520369400" w:history="1">
        <w:r w:rsidR="00AE79AC" w:rsidRPr="00403043">
          <w:rPr>
            <w:rStyle w:val="Hyperlink"/>
            <w:rFonts w:ascii="Times New Roman" w:hAnsi="Times New Roman"/>
          </w:rPr>
          <w:t>1.</w:t>
        </w:r>
        <w:r w:rsidR="00AE79AC" w:rsidRPr="00403043">
          <w:rPr>
            <w:rFonts w:ascii="Times New Roman" w:eastAsiaTheme="minorEastAsia" w:hAnsi="Times New Roman"/>
            <w:b w:val="0"/>
            <w:smallCaps w:val="0"/>
            <w:sz w:val="22"/>
            <w:lang w:eastAsia="en-GB" w:bidi="ar-SA"/>
          </w:rPr>
          <w:tab/>
        </w:r>
        <w:r w:rsidR="00AE79AC" w:rsidRPr="00403043">
          <w:rPr>
            <w:rStyle w:val="Hyperlink"/>
            <w:rFonts w:ascii="Times New Roman" w:hAnsi="Times New Roman"/>
          </w:rPr>
          <w:t>Struktura i częstotliwość</w:t>
        </w:r>
        <w:r w:rsidR="00AE79AC" w:rsidRPr="00403043">
          <w:rPr>
            <w:rFonts w:ascii="Times New Roman" w:hAnsi="Times New Roman"/>
            <w:webHidden/>
          </w:rPr>
          <w:tab/>
        </w:r>
        <w:r w:rsidR="00AE79AC" w:rsidRPr="00403043">
          <w:rPr>
            <w:rFonts w:ascii="Times New Roman" w:hAnsi="Times New Roman"/>
            <w:webHidden/>
          </w:rPr>
          <w:fldChar w:fldCharType="begin"/>
        </w:r>
        <w:r w:rsidR="00AE79AC" w:rsidRPr="00403043">
          <w:rPr>
            <w:rFonts w:ascii="Times New Roman" w:hAnsi="Times New Roman"/>
            <w:webHidden/>
          </w:rPr>
          <w:instrText xml:space="preserve"> PAGEREF _Toc520369400 \h </w:instrText>
        </w:r>
        <w:r w:rsidR="00AE79AC" w:rsidRPr="00403043">
          <w:rPr>
            <w:rFonts w:ascii="Times New Roman" w:hAnsi="Times New Roman"/>
            <w:webHidden/>
          </w:rPr>
        </w:r>
        <w:r w:rsidR="00AE79AC" w:rsidRPr="00403043">
          <w:rPr>
            <w:rFonts w:ascii="Times New Roman" w:hAnsi="Times New Roman"/>
            <w:webHidden/>
          </w:rPr>
          <w:fldChar w:fldCharType="separate"/>
        </w:r>
        <w:r w:rsidR="00AE79AC" w:rsidRPr="00403043">
          <w:rPr>
            <w:rFonts w:ascii="Times New Roman" w:hAnsi="Times New Roman"/>
            <w:webHidden/>
          </w:rPr>
          <w:t>4</w:t>
        </w:r>
        <w:r w:rsidR="00AE79AC" w:rsidRPr="00403043">
          <w:rPr>
            <w:rFonts w:ascii="Times New Roman" w:hAnsi="Times New Roman"/>
            <w:webHidden/>
          </w:rPr>
          <w:fldChar w:fldCharType="end"/>
        </w:r>
      </w:hyperlink>
    </w:p>
    <w:p w:rsidR="00AE79AC" w:rsidRPr="00403043" w:rsidRDefault="00E17BAD">
      <w:pPr>
        <w:pStyle w:val="TOC2"/>
        <w:rPr>
          <w:rFonts w:ascii="Times New Roman" w:eastAsiaTheme="minorEastAsia" w:hAnsi="Times New Roman"/>
          <w:b w:val="0"/>
          <w:smallCaps w:val="0"/>
          <w:sz w:val="22"/>
          <w:lang w:eastAsia="en-GB" w:bidi="ar-SA"/>
        </w:rPr>
      </w:pPr>
      <w:hyperlink w:anchor="_Toc520369401" w:history="1">
        <w:r w:rsidR="00AE79AC" w:rsidRPr="00403043">
          <w:rPr>
            <w:rStyle w:val="Hyperlink"/>
            <w:rFonts w:ascii="Times New Roman" w:hAnsi="Times New Roman"/>
          </w:rPr>
          <w:t>2.</w:t>
        </w:r>
        <w:r w:rsidR="00AE79AC" w:rsidRPr="00403043">
          <w:rPr>
            <w:rFonts w:ascii="Times New Roman" w:eastAsiaTheme="minorEastAsia" w:hAnsi="Times New Roman"/>
            <w:b w:val="0"/>
            <w:smallCaps w:val="0"/>
            <w:sz w:val="22"/>
            <w:lang w:eastAsia="en-GB" w:bidi="ar-SA"/>
          </w:rPr>
          <w:tab/>
        </w:r>
        <w:r w:rsidR="00AE79AC" w:rsidRPr="00403043">
          <w:rPr>
            <w:rStyle w:val="Hyperlink"/>
            <w:rFonts w:ascii="Times New Roman" w:hAnsi="Times New Roman"/>
          </w:rPr>
          <w:t>Wzory do obliczania wskaźnika dźwigni</w:t>
        </w:r>
        <w:r w:rsidR="00AE79AC" w:rsidRPr="00403043">
          <w:rPr>
            <w:rFonts w:ascii="Times New Roman" w:hAnsi="Times New Roman"/>
            <w:webHidden/>
          </w:rPr>
          <w:tab/>
        </w:r>
        <w:r w:rsidR="00AE79AC" w:rsidRPr="00403043">
          <w:rPr>
            <w:rFonts w:ascii="Times New Roman" w:hAnsi="Times New Roman"/>
            <w:webHidden/>
          </w:rPr>
          <w:fldChar w:fldCharType="begin"/>
        </w:r>
        <w:r w:rsidR="00AE79AC" w:rsidRPr="00403043">
          <w:rPr>
            <w:rFonts w:ascii="Times New Roman" w:hAnsi="Times New Roman"/>
            <w:webHidden/>
          </w:rPr>
          <w:instrText xml:space="preserve"> PAGEREF _Toc520369401 \h </w:instrText>
        </w:r>
        <w:r w:rsidR="00AE79AC" w:rsidRPr="00403043">
          <w:rPr>
            <w:rFonts w:ascii="Times New Roman" w:hAnsi="Times New Roman"/>
            <w:webHidden/>
          </w:rPr>
        </w:r>
        <w:r w:rsidR="00AE79AC" w:rsidRPr="00403043">
          <w:rPr>
            <w:rFonts w:ascii="Times New Roman" w:hAnsi="Times New Roman"/>
            <w:webHidden/>
          </w:rPr>
          <w:fldChar w:fldCharType="separate"/>
        </w:r>
        <w:r w:rsidR="00AE79AC" w:rsidRPr="00403043">
          <w:rPr>
            <w:rFonts w:ascii="Times New Roman" w:hAnsi="Times New Roman"/>
            <w:webHidden/>
          </w:rPr>
          <w:t>4</w:t>
        </w:r>
        <w:r w:rsidR="00AE79AC" w:rsidRPr="00403043">
          <w:rPr>
            <w:rFonts w:ascii="Times New Roman" w:hAnsi="Times New Roman"/>
            <w:webHidden/>
          </w:rPr>
          <w:fldChar w:fldCharType="end"/>
        </w:r>
      </w:hyperlink>
    </w:p>
    <w:p w:rsidR="00AE79AC" w:rsidRPr="00403043" w:rsidRDefault="00E17BAD">
      <w:pPr>
        <w:pStyle w:val="TOC2"/>
        <w:rPr>
          <w:rFonts w:ascii="Times New Roman" w:eastAsiaTheme="minorEastAsia" w:hAnsi="Times New Roman"/>
          <w:b w:val="0"/>
          <w:smallCaps w:val="0"/>
          <w:sz w:val="22"/>
          <w:lang w:eastAsia="en-GB" w:bidi="ar-SA"/>
        </w:rPr>
      </w:pPr>
      <w:hyperlink w:anchor="_Toc520369402" w:history="1">
        <w:r w:rsidR="00AE79AC" w:rsidRPr="00403043">
          <w:rPr>
            <w:rStyle w:val="Hyperlink"/>
            <w:rFonts w:ascii="Times New Roman" w:hAnsi="Times New Roman"/>
          </w:rPr>
          <w:t>3.</w:t>
        </w:r>
        <w:r w:rsidR="00AE79AC" w:rsidRPr="00403043">
          <w:rPr>
            <w:rFonts w:ascii="Times New Roman" w:eastAsiaTheme="minorEastAsia" w:hAnsi="Times New Roman"/>
            <w:b w:val="0"/>
            <w:smallCaps w:val="0"/>
            <w:sz w:val="22"/>
            <w:lang w:eastAsia="en-GB" w:bidi="ar-SA"/>
          </w:rPr>
          <w:tab/>
        </w:r>
        <w:r w:rsidR="00AE79AC" w:rsidRPr="00403043">
          <w:rPr>
            <w:rStyle w:val="Hyperlink"/>
            <w:rFonts w:ascii="Times New Roman" w:hAnsi="Times New Roman"/>
          </w:rPr>
          <w:t>Progi istotności dla instrumentów pochodnych</w:t>
        </w:r>
        <w:r w:rsidR="00AE79AC" w:rsidRPr="00403043">
          <w:rPr>
            <w:rFonts w:ascii="Times New Roman" w:hAnsi="Times New Roman"/>
            <w:webHidden/>
          </w:rPr>
          <w:tab/>
        </w:r>
        <w:r w:rsidR="00AE79AC" w:rsidRPr="00403043">
          <w:rPr>
            <w:rFonts w:ascii="Times New Roman" w:hAnsi="Times New Roman"/>
            <w:webHidden/>
          </w:rPr>
          <w:fldChar w:fldCharType="begin"/>
        </w:r>
        <w:r w:rsidR="00AE79AC" w:rsidRPr="00403043">
          <w:rPr>
            <w:rFonts w:ascii="Times New Roman" w:hAnsi="Times New Roman"/>
            <w:webHidden/>
          </w:rPr>
          <w:instrText xml:space="preserve"> PAGEREF _Toc520369402 \h </w:instrText>
        </w:r>
        <w:r w:rsidR="00AE79AC" w:rsidRPr="00403043">
          <w:rPr>
            <w:rFonts w:ascii="Times New Roman" w:hAnsi="Times New Roman"/>
            <w:webHidden/>
          </w:rPr>
        </w:r>
        <w:r w:rsidR="00AE79AC" w:rsidRPr="00403043">
          <w:rPr>
            <w:rFonts w:ascii="Times New Roman" w:hAnsi="Times New Roman"/>
            <w:webHidden/>
          </w:rPr>
          <w:fldChar w:fldCharType="separate"/>
        </w:r>
        <w:r w:rsidR="00AE79AC" w:rsidRPr="00403043">
          <w:rPr>
            <w:rFonts w:ascii="Times New Roman" w:hAnsi="Times New Roman"/>
            <w:webHidden/>
          </w:rPr>
          <w:t>4</w:t>
        </w:r>
        <w:r w:rsidR="00AE79AC" w:rsidRPr="00403043">
          <w:rPr>
            <w:rFonts w:ascii="Times New Roman" w:hAnsi="Times New Roman"/>
            <w:webHidden/>
          </w:rPr>
          <w:fldChar w:fldCharType="end"/>
        </w:r>
      </w:hyperlink>
    </w:p>
    <w:p w:rsidR="00AE79AC" w:rsidRPr="00403043" w:rsidRDefault="00E17BAD">
      <w:pPr>
        <w:pStyle w:val="TOC2"/>
        <w:rPr>
          <w:rFonts w:ascii="Times New Roman" w:eastAsiaTheme="minorEastAsia" w:hAnsi="Times New Roman"/>
          <w:b w:val="0"/>
          <w:smallCaps w:val="0"/>
          <w:sz w:val="22"/>
          <w:lang w:eastAsia="en-GB" w:bidi="ar-SA"/>
        </w:rPr>
      </w:pPr>
      <w:hyperlink w:anchor="_Toc520369403" w:history="1">
        <w:r w:rsidR="00AE79AC" w:rsidRPr="00403043">
          <w:rPr>
            <w:rStyle w:val="Hyperlink"/>
            <w:rFonts w:ascii="Times New Roman" w:hAnsi="Times New Roman"/>
          </w:rPr>
          <w:t>4.</w:t>
        </w:r>
        <w:r w:rsidR="00AE79AC" w:rsidRPr="00403043">
          <w:rPr>
            <w:rFonts w:ascii="Times New Roman" w:eastAsiaTheme="minorEastAsia" w:hAnsi="Times New Roman"/>
            <w:b w:val="0"/>
            <w:smallCaps w:val="0"/>
            <w:sz w:val="22"/>
            <w:lang w:eastAsia="en-GB" w:bidi="ar-SA"/>
          </w:rPr>
          <w:tab/>
        </w:r>
        <w:r w:rsidR="00AE79AC" w:rsidRPr="00403043">
          <w:rPr>
            <w:rStyle w:val="Hyperlink"/>
            <w:rFonts w:ascii="Times New Roman" w:hAnsi="Times New Roman"/>
          </w:rPr>
          <w:t>C 47.00 – Obliczanie wskaźnika dźwigni (LRCalc)</w:t>
        </w:r>
        <w:r w:rsidR="00AE79AC" w:rsidRPr="00403043">
          <w:rPr>
            <w:rFonts w:ascii="Times New Roman" w:hAnsi="Times New Roman"/>
            <w:webHidden/>
          </w:rPr>
          <w:tab/>
        </w:r>
        <w:r w:rsidR="00AE79AC" w:rsidRPr="00403043">
          <w:rPr>
            <w:rFonts w:ascii="Times New Roman" w:hAnsi="Times New Roman"/>
            <w:webHidden/>
          </w:rPr>
          <w:fldChar w:fldCharType="begin"/>
        </w:r>
        <w:r w:rsidR="00AE79AC" w:rsidRPr="00403043">
          <w:rPr>
            <w:rFonts w:ascii="Times New Roman" w:hAnsi="Times New Roman"/>
            <w:webHidden/>
          </w:rPr>
          <w:instrText xml:space="preserve"> PAGEREF _Toc520369403 \h </w:instrText>
        </w:r>
        <w:r w:rsidR="00AE79AC" w:rsidRPr="00403043">
          <w:rPr>
            <w:rFonts w:ascii="Times New Roman" w:hAnsi="Times New Roman"/>
            <w:webHidden/>
          </w:rPr>
        </w:r>
        <w:r w:rsidR="00AE79AC" w:rsidRPr="00403043">
          <w:rPr>
            <w:rFonts w:ascii="Times New Roman" w:hAnsi="Times New Roman"/>
            <w:webHidden/>
          </w:rPr>
          <w:fldChar w:fldCharType="separate"/>
        </w:r>
        <w:r w:rsidR="00AE79AC" w:rsidRPr="00403043">
          <w:rPr>
            <w:rFonts w:ascii="Times New Roman" w:hAnsi="Times New Roman"/>
            <w:webHidden/>
          </w:rPr>
          <w:t>5</w:t>
        </w:r>
        <w:r w:rsidR="00AE79AC" w:rsidRPr="00403043">
          <w:rPr>
            <w:rFonts w:ascii="Times New Roman" w:hAnsi="Times New Roman"/>
            <w:webHidden/>
          </w:rPr>
          <w:fldChar w:fldCharType="end"/>
        </w:r>
      </w:hyperlink>
    </w:p>
    <w:p w:rsidR="00AE79AC" w:rsidRPr="00403043" w:rsidRDefault="00E17BAD">
      <w:pPr>
        <w:pStyle w:val="TOC2"/>
        <w:rPr>
          <w:rFonts w:ascii="Times New Roman" w:eastAsiaTheme="minorEastAsia" w:hAnsi="Times New Roman"/>
          <w:b w:val="0"/>
          <w:smallCaps w:val="0"/>
          <w:sz w:val="22"/>
          <w:lang w:eastAsia="en-GB" w:bidi="ar-SA"/>
        </w:rPr>
      </w:pPr>
      <w:hyperlink w:anchor="_Toc520369404" w:history="1">
        <w:r w:rsidR="00AE79AC" w:rsidRPr="00403043">
          <w:rPr>
            <w:rStyle w:val="Hyperlink"/>
            <w:rFonts w:ascii="Times New Roman" w:hAnsi="Times New Roman"/>
          </w:rPr>
          <w:t>5.</w:t>
        </w:r>
        <w:r w:rsidR="00AE79AC" w:rsidRPr="00403043">
          <w:rPr>
            <w:rFonts w:ascii="Times New Roman" w:eastAsiaTheme="minorEastAsia" w:hAnsi="Times New Roman"/>
            <w:b w:val="0"/>
            <w:smallCaps w:val="0"/>
            <w:sz w:val="22"/>
            <w:lang w:eastAsia="en-GB" w:bidi="ar-SA"/>
          </w:rPr>
          <w:tab/>
        </w:r>
        <w:r w:rsidR="00AE79AC" w:rsidRPr="00403043">
          <w:rPr>
            <w:rStyle w:val="Hyperlink"/>
            <w:rFonts w:ascii="Times New Roman" w:hAnsi="Times New Roman"/>
          </w:rPr>
          <w:t>C 40.00 – Podejście alternatywne do miary ekspozycji (LR1)</w:t>
        </w:r>
        <w:r w:rsidR="00AE79AC" w:rsidRPr="00403043">
          <w:rPr>
            <w:rFonts w:ascii="Times New Roman" w:hAnsi="Times New Roman"/>
            <w:webHidden/>
          </w:rPr>
          <w:tab/>
        </w:r>
        <w:r w:rsidR="00AE79AC" w:rsidRPr="00403043">
          <w:rPr>
            <w:rFonts w:ascii="Times New Roman" w:hAnsi="Times New Roman"/>
            <w:webHidden/>
          </w:rPr>
          <w:fldChar w:fldCharType="begin"/>
        </w:r>
        <w:r w:rsidR="00AE79AC" w:rsidRPr="00403043">
          <w:rPr>
            <w:rFonts w:ascii="Times New Roman" w:hAnsi="Times New Roman"/>
            <w:webHidden/>
          </w:rPr>
          <w:instrText xml:space="preserve"> PAGEREF _Toc520369404 \h </w:instrText>
        </w:r>
        <w:r w:rsidR="00AE79AC" w:rsidRPr="00403043">
          <w:rPr>
            <w:rFonts w:ascii="Times New Roman" w:hAnsi="Times New Roman"/>
            <w:webHidden/>
          </w:rPr>
        </w:r>
        <w:r w:rsidR="00AE79AC" w:rsidRPr="00403043">
          <w:rPr>
            <w:rFonts w:ascii="Times New Roman" w:hAnsi="Times New Roman"/>
            <w:webHidden/>
          </w:rPr>
          <w:fldChar w:fldCharType="separate"/>
        </w:r>
        <w:r w:rsidR="00AE79AC" w:rsidRPr="00403043">
          <w:rPr>
            <w:rFonts w:ascii="Times New Roman" w:hAnsi="Times New Roman"/>
            <w:webHidden/>
          </w:rPr>
          <w:t>14</w:t>
        </w:r>
        <w:r w:rsidR="00AE79AC" w:rsidRPr="00403043">
          <w:rPr>
            <w:rFonts w:ascii="Times New Roman" w:hAnsi="Times New Roman"/>
            <w:webHidden/>
          </w:rPr>
          <w:fldChar w:fldCharType="end"/>
        </w:r>
      </w:hyperlink>
    </w:p>
    <w:p w:rsidR="00AE79AC" w:rsidRPr="00403043" w:rsidRDefault="00E17BAD">
      <w:pPr>
        <w:pStyle w:val="TOC2"/>
        <w:rPr>
          <w:rFonts w:ascii="Times New Roman" w:eastAsiaTheme="minorEastAsia" w:hAnsi="Times New Roman"/>
          <w:b w:val="0"/>
          <w:smallCaps w:val="0"/>
          <w:sz w:val="22"/>
          <w:lang w:eastAsia="en-GB" w:bidi="ar-SA"/>
        </w:rPr>
      </w:pPr>
      <w:hyperlink w:anchor="_Toc520369405" w:history="1">
        <w:r w:rsidR="00AE79AC" w:rsidRPr="00403043">
          <w:rPr>
            <w:rStyle w:val="Hyperlink"/>
            <w:rFonts w:ascii="Times New Roman" w:hAnsi="Times New Roman"/>
          </w:rPr>
          <w:t>6.</w:t>
        </w:r>
        <w:r w:rsidR="00AE79AC" w:rsidRPr="00403043">
          <w:rPr>
            <w:rFonts w:ascii="Times New Roman" w:eastAsiaTheme="minorEastAsia" w:hAnsi="Times New Roman"/>
            <w:b w:val="0"/>
            <w:smallCaps w:val="0"/>
            <w:sz w:val="22"/>
            <w:lang w:eastAsia="en-GB" w:bidi="ar-SA"/>
          </w:rPr>
          <w:tab/>
        </w:r>
        <w:r w:rsidR="00AE79AC" w:rsidRPr="00403043">
          <w:rPr>
            <w:rStyle w:val="Hyperlink"/>
            <w:rFonts w:ascii="Times New Roman" w:hAnsi="Times New Roman"/>
          </w:rPr>
          <w:t>C 41.00 – Pozycje bilansowe i pozabilansowe – dodatkowy podział ekspozycji (LR2)</w:t>
        </w:r>
        <w:r w:rsidR="00AE79AC" w:rsidRPr="00403043">
          <w:rPr>
            <w:rFonts w:ascii="Times New Roman" w:hAnsi="Times New Roman"/>
            <w:webHidden/>
          </w:rPr>
          <w:tab/>
        </w:r>
        <w:r w:rsidR="00AE79AC" w:rsidRPr="00403043">
          <w:rPr>
            <w:rFonts w:ascii="Times New Roman" w:hAnsi="Times New Roman"/>
            <w:webHidden/>
          </w:rPr>
          <w:fldChar w:fldCharType="begin"/>
        </w:r>
        <w:r w:rsidR="00AE79AC" w:rsidRPr="00403043">
          <w:rPr>
            <w:rFonts w:ascii="Times New Roman" w:hAnsi="Times New Roman"/>
            <w:webHidden/>
          </w:rPr>
          <w:instrText xml:space="preserve"> PAGEREF _Toc520369405 \h </w:instrText>
        </w:r>
        <w:r w:rsidR="00AE79AC" w:rsidRPr="00403043">
          <w:rPr>
            <w:rFonts w:ascii="Times New Roman" w:hAnsi="Times New Roman"/>
            <w:webHidden/>
          </w:rPr>
        </w:r>
        <w:r w:rsidR="00AE79AC" w:rsidRPr="00403043">
          <w:rPr>
            <w:rFonts w:ascii="Times New Roman" w:hAnsi="Times New Roman"/>
            <w:webHidden/>
          </w:rPr>
          <w:fldChar w:fldCharType="separate"/>
        </w:r>
        <w:r w:rsidR="00AE79AC" w:rsidRPr="00403043">
          <w:rPr>
            <w:rFonts w:ascii="Times New Roman" w:hAnsi="Times New Roman"/>
            <w:webHidden/>
          </w:rPr>
          <w:t>25</w:t>
        </w:r>
        <w:r w:rsidR="00AE79AC" w:rsidRPr="00403043">
          <w:rPr>
            <w:rFonts w:ascii="Times New Roman" w:hAnsi="Times New Roman"/>
            <w:webHidden/>
          </w:rPr>
          <w:fldChar w:fldCharType="end"/>
        </w:r>
      </w:hyperlink>
    </w:p>
    <w:p w:rsidR="00AE79AC" w:rsidRPr="00403043" w:rsidRDefault="00E17BAD">
      <w:pPr>
        <w:pStyle w:val="TOC2"/>
        <w:rPr>
          <w:rFonts w:ascii="Times New Roman" w:eastAsiaTheme="minorEastAsia" w:hAnsi="Times New Roman"/>
          <w:b w:val="0"/>
          <w:smallCaps w:val="0"/>
          <w:sz w:val="22"/>
          <w:lang w:eastAsia="en-GB" w:bidi="ar-SA"/>
        </w:rPr>
      </w:pPr>
      <w:hyperlink w:anchor="_Toc520369406" w:history="1">
        <w:r w:rsidR="00AE79AC" w:rsidRPr="00403043">
          <w:rPr>
            <w:rStyle w:val="Hyperlink"/>
            <w:rFonts w:ascii="Times New Roman" w:hAnsi="Times New Roman"/>
          </w:rPr>
          <w:t>7.</w:t>
        </w:r>
        <w:r w:rsidR="00AE79AC" w:rsidRPr="00403043">
          <w:rPr>
            <w:rFonts w:ascii="Times New Roman" w:eastAsiaTheme="minorEastAsia" w:hAnsi="Times New Roman"/>
            <w:b w:val="0"/>
            <w:smallCaps w:val="0"/>
            <w:sz w:val="22"/>
            <w:lang w:eastAsia="en-GB" w:bidi="ar-SA"/>
          </w:rPr>
          <w:tab/>
        </w:r>
        <w:r w:rsidR="00AE79AC" w:rsidRPr="00403043">
          <w:rPr>
            <w:rStyle w:val="Hyperlink"/>
            <w:rFonts w:ascii="Times New Roman" w:hAnsi="Times New Roman"/>
          </w:rPr>
          <w:t>C 42.00 – Alternatywna definicja kapitału (LR3)</w:t>
        </w:r>
        <w:r w:rsidR="00AE79AC" w:rsidRPr="00403043">
          <w:rPr>
            <w:rFonts w:ascii="Times New Roman" w:hAnsi="Times New Roman"/>
            <w:webHidden/>
          </w:rPr>
          <w:tab/>
        </w:r>
        <w:r w:rsidR="00AE79AC" w:rsidRPr="00403043">
          <w:rPr>
            <w:rFonts w:ascii="Times New Roman" w:hAnsi="Times New Roman"/>
            <w:webHidden/>
          </w:rPr>
          <w:fldChar w:fldCharType="begin"/>
        </w:r>
        <w:r w:rsidR="00AE79AC" w:rsidRPr="00403043">
          <w:rPr>
            <w:rFonts w:ascii="Times New Roman" w:hAnsi="Times New Roman"/>
            <w:webHidden/>
          </w:rPr>
          <w:instrText xml:space="preserve"> PAGEREF _Toc520369406 \h </w:instrText>
        </w:r>
        <w:r w:rsidR="00AE79AC" w:rsidRPr="00403043">
          <w:rPr>
            <w:rFonts w:ascii="Times New Roman" w:hAnsi="Times New Roman"/>
            <w:webHidden/>
          </w:rPr>
        </w:r>
        <w:r w:rsidR="00AE79AC" w:rsidRPr="00403043">
          <w:rPr>
            <w:rFonts w:ascii="Times New Roman" w:hAnsi="Times New Roman"/>
            <w:webHidden/>
          </w:rPr>
          <w:fldChar w:fldCharType="separate"/>
        </w:r>
        <w:r w:rsidR="00AE79AC" w:rsidRPr="00403043">
          <w:rPr>
            <w:rFonts w:ascii="Times New Roman" w:hAnsi="Times New Roman"/>
            <w:webHidden/>
          </w:rPr>
          <w:t>27</w:t>
        </w:r>
        <w:r w:rsidR="00AE79AC" w:rsidRPr="00403043">
          <w:rPr>
            <w:rFonts w:ascii="Times New Roman" w:hAnsi="Times New Roman"/>
            <w:webHidden/>
          </w:rPr>
          <w:fldChar w:fldCharType="end"/>
        </w:r>
      </w:hyperlink>
    </w:p>
    <w:p w:rsidR="00AE79AC" w:rsidRPr="00403043" w:rsidRDefault="00E17BAD">
      <w:pPr>
        <w:pStyle w:val="TOC2"/>
        <w:rPr>
          <w:rFonts w:ascii="Times New Roman" w:eastAsiaTheme="minorEastAsia" w:hAnsi="Times New Roman"/>
          <w:b w:val="0"/>
          <w:smallCaps w:val="0"/>
          <w:sz w:val="22"/>
          <w:lang w:eastAsia="en-GB" w:bidi="ar-SA"/>
        </w:rPr>
      </w:pPr>
      <w:hyperlink w:anchor="_Toc520369407" w:history="1">
        <w:r w:rsidR="00AE79AC" w:rsidRPr="00403043">
          <w:rPr>
            <w:rStyle w:val="Hyperlink"/>
            <w:rFonts w:ascii="Times New Roman" w:hAnsi="Times New Roman"/>
          </w:rPr>
          <w:t>8.</w:t>
        </w:r>
        <w:r w:rsidR="00AE79AC" w:rsidRPr="00403043">
          <w:rPr>
            <w:rFonts w:ascii="Times New Roman" w:eastAsiaTheme="minorEastAsia" w:hAnsi="Times New Roman"/>
            <w:b w:val="0"/>
            <w:smallCaps w:val="0"/>
            <w:sz w:val="22"/>
            <w:lang w:eastAsia="en-GB" w:bidi="ar-SA"/>
          </w:rPr>
          <w:tab/>
        </w:r>
        <w:r w:rsidR="00AE79AC" w:rsidRPr="00403043">
          <w:rPr>
            <w:rStyle w:val="Hyperlink"/>
            <w:rFonts w:ascii="Times New Roman" w:hAnsi="Times New Roman"/>
          </w:rPr>
          <w:t>C 43.00 – Alternatywny podział składników miary ekspozycji wskaźnika dźwigni (LR4)</w:t>
        </w:r>
        <w:r w:rsidR="00AE79AC" w:rsidRPr="00403043">
          <w:rPr>
            <w:rFonts w:ascii="Times New Roman" w:hAnsi="Times New Roman"/>
            <w:webHidden/>
          </w:rPr>
          <w:tab/>
        </w:r>
        <w:r w:rsidR="00AE79AC" w:rsidRPr="00403043">
          <w:rPr>
            <w:rFonts w:ascii="Times New Roman" w:hAnsi="Times New Roman"/>
            <w:webHidden/>
          </w:rPr>
          <w:fldChar w:fldCharType="begin"/>
        </w:r>
        <w:r w:rsidR="00AE79AC" w:rsidRPr="00403043">
          <w:rPr>
            <w:rFonts w:ascii="Times New Roman" w:hAnsi="Times New Roman"/>
            <w:webHidden/>
          </w:rPr>
          <w:instrText xml:space="preserve"> PAGEREF _Toc520369407 \h </w:instrText>
        </w:r>
        <w:r w:rsidR="00AE79AC" w:rsidRPr="00403043">
          <w:rPr>
            <w:rFonts w:ascii="Times New Roman" w:hAnsi="Times New Roman"/>
            <w:webHidden/>
          </w:rPr>
        </w:r>
        <w:r w:rsidR="00AE79AC" w:rsidRPr="00403043">
          <w:rPr>
            <w:rFonts w:ascii="Times New Roman" w:hAnsi="Times New Roman"/>
            <w:webHidden/>
          </w:rPr>
          <w:fldChar w:fldCharType="separate"/>
        </w:r>
        <w:r w:rsidR="00AE79AC" w:rsidRPr="00403043">
          <w:rPr>
            <w:rFonts w:ascii="Times New Roman" w:hAnsi="Times New Roman"/>
            <w:webHidden/>
          </w:rPr>
          <w:t>29</w:t>
        </w:r>
        <w:r w:rsidR="00AE79AC" w:rsidRPr="00403043">
          <w:rPr>
            <w:rFonts w:ascii="Times New Roman" w:hAnsi="Times New Roman"/>
            <w:webHidden/>
          </w:rPr>
          <w:fldChar w:fldCharType="end"/>
        </w:r>
      </w:hyperlink>
    </w:p>
    <w:p w:rsidR="00AE79AC" w:rsidRPr="00403043" w:rsidRDefault="00E17BAD">
      <w:pPr>
        <w:pStyle w:val="TOC2"/>
        <w:rPr>
          <w:rFonts w:ascii="Times New Roman" w:eastAsiaTheme="minorEastAsia" w:hAnsi="Times New Roman"/>
          <w:b w:val="0"/>
          <w:smallCaps w:val="0"/>
          <w:sz w:val="22"/>
          <w:lang w:eastAsia="en-GB" w:bidi="ar-SA"/>
        </w:rPr>
      </w:pPr>
      <w:hyperlink w:anchor="_Toc520369408" w:history="1">
        <w:r w:rsidR="00AE79AC" w:rsidRPr="00403043">
          <w:rPr>
            <w:rStyle w:val="Hyperlink"/>
            <w:rFonts w:ascii="Times New Roman" w:hAnsi="Times New Roman"/>
          </w:rPr>
          <w:t>9.</w:t>
        </w:r>
        <w:r w:rsidR="00AE79AC" w:rsidRPr="00403043">
          <w:rPr>
            <w:rFonts w:ascii="Times New Roman" w:eastAsiaTheme="minorEastAsia" w:hAnsi="Times New Roman"/>
            <w:b w:val="0"/>
            <w:smallCaps w:val="0"/>
            <w:sz w:val="22"/>
            <w:lang w:eastAsia="en-GB" w:bidi="ar-SA"/>
          </w:rPr>
          <w:tab/>
        </w:r>
        <w:r w:rsidR="00AE79AC" w:rsidRPr="00403043">
          <w:rPr>
            <w:rStyle w:val="Hyperlink"/>
            <w:rFonts w:ascii="Times New Roman" w:hAnsi="Times New Roman"/>
          </w:rPr>
          <w:t>C 44.00 – Informacje ogólne (LR5)</w:t>
        </w:r>
        <w:r w:rsidR="00AE79AC" w:rsidRPr="00403043">
          <w:rPr>
            <w:rFonts w:ascii="Times New Roman" w:hAnsi="Times New Roman"/>
            <w:webHidden/>
          </w:rPr>
          <w:tab/>
        </w:r>
        <w:r w:rsidR="00AE79AC" w:rsidRPr="00403043">
          <w:rPr>
            <w:rFonts w:ascii="Times New Roman" w:hAnsi="Times New Roman"/>
            <w:webHidden/>
          </w:rPr>
          <w:fldChar w:fldCharType="begin"/>
        </w:r>
        <w:r w:rsidR="00AE79AC" w:rsidRPr="00403043">
          <w:rPr>
            <w:rFonts w:ascii="Times New Roman" w:hAnsi="Times New Roman"/>
            <w:webHidden/>
          </w:rPr>
          <w:instrText xml:space="preserve"> PAGEREF _Toc520369408 \h </w:instrText>
        </w:r>
        <w:r w:rsidR="00AE79AC" w:rsidRPr="00403043">
          <w:rPr>
            <w:rFonts w:ascii="Times New Roman" w:hAnsi="Times New Roman"/>
            <w:webHidden/>
          </w:rPr>
        </w:r>
        <w:r w:rsidR="00AE79AC" w:rsidRPr="00403043">
          <w:rPr>
            <w:rFonts w:ascii="Times New Roman" w:hAnsi="Times New Roman"/>
            <w:webHidden/>
          </w:rPr>
          <w:fldChar w:fldCharType="separate"/>
        </w:r>
        <w:r w:rsidR="00AE79AC" w:rsidRPr="00403043">
          <w:rPr>
            <w:rFonts w:ascii="Times New Roman" w:hAnsi="Times New Roman"/>
            <w:webHidden/>
          </w:rPr>
          <w:t>48</w:t>
        </w:r>
        <w:r w:rsidR="00AE79AC" w:rsidRPr="00403043">
          <w:rPr>
            <w:rFonts w:ascii="Times New Roman" w:hAnsi="Times New Roman"/>
            <w:webHidden/>
          </w:rPr>
          <w:fldChar w:fldCharType="end"/>
        </w:r>
      </w:hyperlink>
    </w:p>
    <w:p w:rsidR="003E30FC" w:rsidRPr="00AE79AC" w:rsidRDefault="00AE79AC">
      <w:pPr>
        <w:pStyle w:val="BodyText1"/>
        <w:rPr>
          <w:rFonts w:ascii="Times New Roman" w:eastAsiaTheme="minorEastAsia" w:hAnsi="Times New Roman"/>
          <w:color w:val="auto"/>
          <w:sz w:val="22"/>
          <w:szCs w:val="22"/>
        </w:rPr>
        <w:sectPr w:rsidR="003E30FC" w:rsidRPr="00AE79AC" w:rsidSect="00DC2C28">
          <w:footerReference w:type="default" r:id="rId11"/>
          <w:footerReference w:type="first" r:id="rId12"/>
          <w:endnotePr>
            <w:numFmt w:val="decimal"/>
          </w:endnotePr>
          <w:pgSz w:w="11906" w:h="16838" w:code="9"/>
          <w:pgMar w:top="1417" w:right="1417" w:bottom="1134" w:left="1417" w:header="720" w:footer="720" w:gutter="0"/>
          <w:cols w:space="720"/>
          <w:titlePg/>
          <w:docGrid w:linePitch="360"/>
        </w:sectPr>
      </w:pPr>
      <w:r w:rsidRPr="00403043">
        <w:rPr>
          <w:rFonts w:ascii="Times New Roman" w:hAnsi="Times New Roman"/>
        </w:rPr>
        <w:fldChar w:fldCharType="end"/>
      </w:r>
    </w:p>
    <w:p w:rsidR="00F4754B" w:rsidRPr="00AE79AC" w:rsidRDefault="00F4754B" w:rsidP="00F4754B">
      <w:pPr>
        <w:pStyle w:val="BodyText1"/>
        <w:rPr>
          <w:rFonts w:ascii="Times New Roman" w:hAnsi="Times New Roman"/>
        </w:rPr>
      </w:pPr>
    </w:p>
    <w:p w:rsidR="00217D1F" w:rsidRPr="00AE79AC" w:rsidRDefault="00F4754B" w:rsidP="00217D1F">
      <w:pPr>
        <w:pStyle w:val="BodyText1"/>
        <w:outlineLvl w:val="0"/>
        <w:rPr>
          <w:rFonts w:ascii="Times New Roman" w:hAnsi="Times New Roman"/>
          <w:b/>
          <w:sz w:val="24"/>
          <w:szCs w:val="24"/>
        </w:rPr>
      </w:pPr>
      <w:bookmarkStart w:id="0" w:name="_Toc264038394"/>
      <w:bookmarkStart w:id="1" w:name="_Toc322687864"/>
      <w:bookmarkStart w:id="2" w:name="_Toc351048499"/>
      <w:bookmarkStart w:id="3" w:name="_Toc359414273"/>
      <w:bookmarkStart w:id="4" w:name="_Toc423089060"/>
      <w:bookmarkStart w:id="5" w:name="_Toc520369393"/>
      <w:r w:rsidRPr="00AE79AC">
        <w:rPr>
          <w:rFonts w:ascii="Times New Roman" w:hAnsi="Times New Roman"/>
          <w:b/>
          <w:sz w:val="24"/>
        </w:rPr>
        <w:t>CZĘŚĆ I:</w:t>
      </w:r>
      <w:bookmarkEnd w:id="0"/>
      <w:r w:rsidRPr="00AE79AC">
        <w:rPr>
          <w:rFonts w:ascii="Times New Roman" w:hAnsi="Times New Roman"/>
          <w:b/>
          <w:sz w:val="24"/>
        </w:rPr>
        <w:t xml:space="preserve"> INSTRUKCJE OGÓLNE</w:t>
      </w:r>
      <w:bookmarkEnd w:id="1"/>
      <w:bookmarkEnd w:id="2"/>
      <w:bookmarkEnd w:id="3"/>
      <w:bookmarkEnd w:id="4"/>
      <w:bookmarkEnd w:id="5"/>
    </w:p>
    <w:p w:rsidR="00FF2091" w:rsidRPr="00AE79AC" w:rsidRDefault="00FF2091" w:rsidP="00A860E1">
      <w:pPr>
        <w:pStyle w:val="BodyText1"/>
      </w:pPr>
      <w:bookmarkStart w:id="6" w:name="_Toc351048500"/>
    </w:p>
    <w:p w:rsidR="00217D1F" w:rsidRPr="00AE79AC" w:rsidRDefault="00500508" w:rsidP="00500508">
      <w:pPr>
        <w:pStyle w:val="BodyText1"/>
        <w:ind w:left="357" w:hanging="357"/>
        <w:outlineLvl w:val="1"/>
        <w:rPr>
          <w:rFonts w:ascii="Times New Roman" w:hAnsi="Times New Roman"/>
          <w:b/>
        </w:rPr>
      </w:pPr>
      <w:bookmarkStart w:id="7" w:name="_Toc322687865"/>
      <w:bookmarkStart w:id="8" w:name="_Toc359414274"/>
      <w:bookmarkStart w:id="9" w:name="_Toc423089061"/>
      <w:bookmarkStart w:id="10" w:name="_Toc520369394"/>
      <w:r w:rsidRPr="00AE79AC">
        <w:rPr>
          <w:rFonts w:ascii="Times New Roman" w:hAnsi="Times New Roman"/>
          <w:b/>
        </w:rPr>
        <w:t>1.</w:t>
      </w:r>
      <w:r w:rsidRPr="00AE79AC">
        <w:tab/>
      </w:r>
      <w:r w:rsidRPr="00AE79AC">
        <w:rPr>
          <w:rFonts w:ascii="Times New Roman" w:hAnsi="Times New Roman"/>
          <w:b/>
        </w:rPr>
        <w:t>Oznaczenia wzorów i inne konwencje</w:t>
      </w:r>
      <w:bookmarkEnd w:id="6"/>
      <w:bookmarkEnd w:id="7"/>
      <w:bookmarkEnd w:id="8"/>
      <w:bookmarkEnd w:id="9"/>
      <w:bookmarkEnd w:id="10"/>
    </w:p>
    <w:p w:rsidR="00FF2091" w:rsidRPr="00AE79AC" w:rsidRDefault="00FF2091" w:rsidP="00A860E1">
      <w:pPr>
        <w:pStyle w:val="BodyText1"/>
      </w:pPr>
    </w:p>
    <w:p w:rsidR="00217D1F" w:rsidRPr="00AE79AC" w:rsidRDefault="00500508" w:rsidP="00500508">
      <w:pPr>
        <w:pStyle w:val="BodyText1"/>
        <w:ind w:left="357" w:hanging="357"/>
        <w:outlineLvl w:val="2"/>
        <w:rPr>
          <w:rFonts w:ascii="Times New Roman" w:hAnsi="Times New Roman"/>
          <w:b/>
        </w:rPr>
      </w:pPr>
      <w:bookmarkStart w:id="11" w:name="_Toc322687866"/>
      <w:bookmarkStart w:id="12" w:name="_Toc359414275"/>
      <w:bookmarkStart w:id="13" w:name="_Toc423089062"/>
      <w:bookmarkStart w:id="14" w:name="_Toc520369395"/>
      <w:bookmarkStart w:id="15" w:name="_Toc264038399"/>
      <w:bookmarkStart w:id="16" w:name="_Toc294018834"/>
      <w:r w:rsidRPr="00AE79AC">
        <w:rPr>
          <w:rFonts w:ascii="Times New Roman" w:hAnsi="Times New Roman"/>
          <w:b/>
        </w:rPr>
        <w:t>1.1.</w:t>
      </w:r>
      <w:r w:rsidRPr="00AE79AC">
        <w:tab/>
      </w:r>
      <w:r w:rsidRPr="00AE79AC">
        <w:rPr>
          <w:rFonts w:ascii="Times New Roman" w:hAnsi="Times New Roman"/>
          <w:b/>
        </w:rPr>
        <w:t xml:space="preserve">Oznaczenia </w:t>
      </w:r>
      <w:bookmarkEnd w:id="11"/>
      <w:r w:rsidRPr="00AE79AC">
        <w:rPr>
          <w:rFonts w:ascii="Times New Roman" w:hAnsi="Times New Roman"/>
          <w:b/>
        </w:rPr>
        <w:t>wzorów</w:t>
      </w:r>
      <w:bookmarkEnd w:id="12"/>
      <w:bookmarkEnd w:id="13"/>
      <w:bookmarkEnd w:id="14"/>
    </w:p>
    <w:p w:rsidR="00FF2091" w:rsidRPr="00AE79AC" w:rsidRDefault="00FF2091" w:rsidP="00A860E1">
      <w:pPr>
        <w:pStyle w:val="BodyText1"/>
      </w:pPr>
    </w:p>
    <w:p w:rsidR="00E22856" w:rsidRPr="00AE79AC" w:rsidRDefault="00500508" w:rsidP="00500508">
      <w:pPr>
        <w:pStyle w:val="BodyText1"/>
        <w:ind w:left="720" w:hanging="360"/>
        <w:rPr>
          <w:rFonts w:ascii="Times New Roman" w:hAnsi="Times New Roman"/>
        </w:rPr>
      </w:pPr>
      <w:r w:rsidRPr="00AE79AC">
        <w:rPr>
          <w:rFonts w:ascii="Times New Roman" w:hAnsi="Times New Roman"/>
        </w:rPr>
        <w:t>1.</w:t>
      </w:r>
      <w:r w:rsidRPr="00AE79AC">
        <w:tab/>
      </w:r>
      <w:r w:rsidRPr="00AE79AC">
        <w:rPr>
          <w:rFonts w:ascii="Times New Roman" w:hAnsi="Times New Roman"/>
        </w:rPr>
        <w:t xml:space="preserve">Niniejszy załącznik zawiera dodatkowe instrukcje dotyczące wzorów (oznaczanych dalej „LR” – ang. </w:t>
      </w:r>
      <w:r w:rsidRPr="00AE79AC">
        <w:rPr>
          <w:rFonts w:ascii="Times New Roman" w:hAnsi="Times New Roman"/>
          <w:i/>
        </w:rPr>
        <w:t>leverage ratio</w:t>
      </w:r>
      <w:r w:rsidRPr="00AE79AC">
        <w:rPr>
          <w:rFonts w:ascii="Times New Roman" w:hAnsi="Times New Roman"/>
        </w:rPr>
        <w:t xml:space="preserve">) zawartych w załączniku X do niniejszego rozporządzenia. </w:t>
      </w:r>
    </w:p>
    <w:p w:rsidR="00E22856" w:rsidRPr="00AE79AC" w:rsidRDefault="00E22856" w:rsidP="00E22856">
      <w:pPr>
        <w:pStyle w:val="BodyText1"/>
        <w:ind w:left="720"/>
        <w:rPr>
          <w:rFonts w:ascii="Times New Roman" w:hAnsi="Times New Roman"/>
        </w:rPr>
      </w:pPr>
    </w:p>
    <w:p w:rsidR="00F4754B" w:rsidRPr="00AE79AC" w:rsidRDefault="00500508" w:rsidP="00500508">
      <w:pPr>
        <w:pStyle w:val="InstructionsText2"/>
        <w:numPr>
          <w:ilvl w:val="0"/>
          <w:numId w:val="0"/>
        </w:numPr>
        <w:ind w:left="720" w:hanging="360"/>
        <w:rPr>
          <w:rFonts w:eastAsia="Times New Roman"/>
          <w:bCs/>
          <w:szCs w:val="17"/>
        </w:rPr>
      </w:pPr>
      <w:r w:rsidRPr="00AE79AC">
        <w:t>2.</w:t>
      </w:r>
      <w:r w:rsidRPr="00AE79AC">
        <w:tab/>
        <w:t>Ramy sprawozdawczości w zakresie dźwigni finansowej obejmują łącznie sześć wzorów:</w:t>
      </w:r>
    </w:p>
    <w:p w:rsidR="00675587" w:rsidRPr="00AE79AC" w:rsidRDefault="00AC2930" w:rsidP="00500508">
      <w:pPr>
        <w:pStyle w:val="InstructionsText2"/>
        <w:numPr>
          <w:ilvl w:val="0"/>
          <w:numId w:val="0"/>
        </w:numPr>
        <w:ind w:left="1080" w:hanging="360"/>
        <w:rPr>
          <w:rFonts w:ascii="Symbol" w:eastAsia="Times New Roman" w:hAnsi="Symbol"/>
          <w:bCs/>
          <w:szCs w:val="17"/>
        </w:rPr>
      </w:pPr>
      <w:r w:rsidRPr="00FE002E">
        <w:rPr>
          <w:rFonts w:ascii="Symbol" w:eastAsia="Times New Roman" w:hAnsi="Symbol"/>
          <w:bCs/>
          <w:szCs w:val="17"/>
          <w:lang w:eastAsia="de-DE"/>
        </w:rPr>
        <w:t></w:t>
      </w:r>
      <w:r w:rsidRPr="00FE002E">
        <w:rPr>
          <w:rFonts w:ascii="Symbol" w:eastAsia="Times New Roman" w:hAnsi="Symbol"/>
          <w:bCs/>
          <w:szCs w:val="17"/>
          <w:lang w:eastAsia="de-DE"/>
        </w:rPr>
        <w:tab/>
      </w:r>
      <w:r w:rsidR="00500508" w:rsidRPr="00AE79AC">
        <w:t>C 47.00: Obliczanie wskaźnika dźwigni (</w:t>
      </w:r>
      <w:proofErr w:type="spellStart"/>
      <w:r w:rsidR="00500508" w:rsidRPr="00AE79AC">
        <w:t>LRCalc</w:t>
      </w:r>
      <w:proofErr w:type="spellEnd"/>
      <w:r w:rsidR="00500508" w:rsidRPr="00AE79AC">
        <w:t>): Obliczanie wskaźnika dźwigni;</w:t>
      </w:r>
    </w:p>
    <w:p w:rsidR="00675587" w:rsidRPr="00AE79AC" w:rsidRDefault="00AC2930" w:rsidP="00500508">
      <w:pPr>
        <w:pStyle w:val="InstructionsText2"/>
        <w:numPr>
          <w:ilvl w:val="0"/>
          <w:numId w:val="0"/>
        </w:numPr>
        <w:ind w:left="1080" w:hanging="360"/>
        <w:rPr>
          <w:rFonts w:ascii="Symbol" w:eastAsia="Times New Roman" w:hAnsi="Symbol"/>
          <w:bCs/>
          <w:szCs w:val="17"/>
        </w:rPr>
      </w:pPr>
      <w:r w:rsidRPr="00FE002E">
        <w:rPr>
          <w:rFonts w:ascii="Symbol" w:eastAsia="Times New Roman" w:hAnsi="Symbol"/>
          <w:bCs/>
          <w:szCs w:val="17"/>
          <w:lang w:eastAsia="de-DE"/>
        </w:rPr>
        <w:t></w:t>
      </w:r>
      <w:r w:rsidRPr="00FE002E">
        <w:rPr>
          <w:rFonts w:ascii="Symbol" w:eastAsia="Times New Roman" w:hAnsi="Symbol"/>
          <w:bCs/>
          <w:szCs w:val="17"/>
          <w:lang w:eastAsia="de-DE"/>
        </w:rPr>
        <w:tab/>
      </w:r>
      <w:r w:rsidR="00500508" w:rsidRPr="00AE79AC">
        <w:t>C 40.00: Wzór dotyczący wskaźnika dźwigni 1 (LR1): Podejście alternatywne do miary ekspozycji;</w:t>
      </w:r>
    </w:p>
    <w:p w:rsidR="00675587" w:rsidRPr="00AE79AC" w:rsidRDefault="00AC2930" w:rsidP="00500508">
      <w:pPr>
        <w:pStyle w:val="InstructionsText2"/>
        <w:numPr>
          <w:ilvl w:val="0"/>
          <w:numId w:val="0"/>
        </w:numPr>
        <w:ind w:left="1080" w:hanging="360"/>
        <w:rPr>
          <w:rFonts w:ascii="Symbol" w:eastAsia="Times New Roman" w:hAnsi="Symbol"/>
          <w:bCs/>
          <w:szCs w:val="17"/>
        </w:rPr>
      </w:pPr>
      <w:r w:rsidRPr="00FE002E">
        <w:rPr>
          <w:rFonts w:ascii="Symbol" w:eastAsia="Times New Roman" w:hAnsi="Symbol"/>
          <w:bCs/>
          <w:szCs w:val="17"/>
          <w:lang w:eastAsia="de-DE"/>
        </w:rPr>
        <w:t></w:t>
      </w:r>
      <w:r w:rsidRPr="00FE002E">
        <w:rPr>
          <w:rFonts w:ascii="Symbol" w:eastAsia="Times New Roman" w:hAnsi="Symbol"/>
          <w:bCs/>
          <w:szCs w:val="17"/>
          <w:lang w:eastAsia="de-DE"/>
        </w:rPr>
        <w:tab/>
      </w:r>
      <w:r w:rsidR="00500508" w:rsidRPr="00AE79AC">
        <w:t>C 41.00: Wzór dotyczący wskaźnika dźwigni 2 (LR2): Pozycje bilansowe i pozabilansowe – dodatkowy podział ekspozycji;</w:t>
      </w:r>
    </w:p>
    <w:p w:rsidR="00675587" w:rsidRPr="00AE79AC" w:rsidRDefault="00AC2930" w:rsidP="00500508">
      <w:pPr>
        <w:pStyle w:val="InstructionsText2"/>
        <w:numPr>
          <w:ilvl w:val="0"/>
          <w:numId w:val="0"/>
        </w:numPr>
        <w:ind w:left="1080" w:hanging="360"/>
        <w:rPr>
          <w:rFonts w:ascii="Symbol" w:eastAsia="Times New Roman" w:hAnsi="Symbol"/>
          <w:bCs/>
          <w:szCs w:val="17"/>
        </w:rPr>
      </w:pPr>
      <w:r w:rsidRPr="00FE002E">
        <w:rPr>
          <w:rFonts w:ascii="Symbol" w:eastAsia="Times New Roman" w:hAnsi="Symbol"/>
          <w:bCs/>
          <w:szCs w:val="17"/>
          <w:lang w:eastAsia="de-DE"/>
        </w:rPr>
        <w:t></w:t>
      </w:r>
      <w:r w:rsidRPr="00FE002E">
        <w:rPr>
          <w:rFonts w:ascii="Symbol" w:eastAsia="Times New Roman" w:hAnsi="Symbol"/>
          <w:bCs/>
          <w:szCs w:val="17"/>
          <w:lang w:eastAsia="de-DE"/>
        </w:rPr>
        <w:tab/>
      </w:r>
      <w:r w:rsidR="00500508" w:rsidRPr="00AE79AC">
        <w:t>C 42.00: Wzór dotyczący wskaźnika dźwigni 3 (LR3): Alternatywna definicja kapitału;</w:t>
      </w:r>
    </w:p>
    <w:p w:rsidR="00675587" w:rsidRPr="00AE79AC" w:rsidRDefault="00AC2930" w:rsidP="00500508">
      <w:pPr>
        <w:pStyle w:val="InstructionsText2"/>
        <w:numPr>
          <w:ilvl w:val="0"/>
          <w:numId w:val="0"/>
        </w:numPr>
        <w:ind w:left="1080" w:hanging="360"/>
        <w:rPr>
          <w:rFonts w:ascii="Symbol" w:eastAsia="Times New Roman" w:hAnsi="Symbol"/>
          <w:bCs/>
          <w:szCs w:val="17"/>
        </w:rPr>
      </w:pPr>
      <w:r w:rsidRPr="00FE002E">
        <w:rPr>
          <w:rFonts w:ascii="Symbol" w:eastAsia="Times New Roman" w:hAnsi="Symbol"/>
          <w:bCs/>
          <w:szCs w:val="17"/>
          <w:lang w:eastAsia="de-DE"/>
        </w:rPr>
        <w:t></w:t>
      </w:r>
      <w:r w:rsidRPr="00FE002E">
        <w:rPr>
          <w:rFonts w:ascii="Symbol" w:eastAsia="Times New Roman" w:hAnsi="Symbol"/>
          <w:bCs/>
          <w:szCs w:val="17"/>
          <w:lang w:eastAsia="de-DE"/>
        </w:rPr>
        <w:tab/>
      </w:r>
      <w:r w:rsidR="00500508" w:rsidRPr="00AE79AC">
        <w:t>C 43.00: Wzór dotyczący wskaźnika dźwigni 4 (LR4): Podział składników miary ekspozycji wskaźnika dźwigni; oraz</w:t>
      </w:r>
    </w:p>
    <w:p w:rsidR="00675587" w:rsidRPr="00AE79AC" w:rsidRDefault="00AC2930" w:rsidP="00500508">
      <w:pPr>
        <w:pStyle w:val="InstructionsText2"/>
        <w:numPr>
          <w:ilvl w:val="0"/>
          <w:numId w:val="0"/>
        </w:numPr>
        <w:ind w:left="1080" w:hanging="360"/>
        <w:rPr>
          <w:rFonts w:ascii="Symbol" w:eastAsia="Times New Roman" w:hAnsi="Symbol"/>
          <w:bCs/>
          <w:szCs w:val="17"/>
        </w:rPr>
      </w:pPr>
      <w:r w:rsidRPr="00FE002E">
        <w:rPr>
          <w:rFonts w:ascii="Symbol" w:eastAsia="Times New Roman" w:hAnsi="Symbol"/>
          <w:bCs/>
          <w:szCs w:val="17"/>
          <w:lang w:eastAsia="de-DE"/>
        </w:rPr>
        <w:t></w:t>
      </w:r>
      <w:r w:rsidRPr="00FE002E">
        <w:rPr>
          <w:rFonts w:ascii="Symbol" w:eastAsia="Times New Roman" w:hAnsi="Symbol"/>
          <w:bCs/>
          <w:szCs w:val="17"/>
          <w:lang w:eastAsia="de-DE"/>
        </w:rPr>
        <w:tab/>
      </w:r>
      <w:r w:rsidR="00500508" w:rsidRPr="00AE79AC">
        <w:t>C 44.00: Wzór dotyczący wskaźnika dźwigni 5 (LR5): Informacje ogólne.</w:t>
      </w:r>
    </w:p>
    <w:p w:rsidR="00F4754B" w:rsidRPr="00AE79AC" w:rsidRDefault="00500508" w:rsidP="00500508">
      <w:pPr>
        <w:pStyle w:val="InstructionsText2"/>
        <w:numPr>
          <w:ilvl w:val="0"/>
          <w:numId w:val="0"/>
        </w:numPr>
        <w:ind w:left="720" w:hanging="360"/>
        <w:rPr>
          <w:rFonts w:eastAsia="Times New Roman"/>
          <w:bCs/>
          <w:szCs w:val="17"/>
        </w:rPr>
      </w:pPr>
      <w:r w:rsidRPr="00AE79AC">
        <w:t>3.</w:t>
      </w:r>
      <w:r w:rsidRPr="00AE79AC">
        <w:tab/>
        <w:t>Dla każdego wzoru podano odniesienia prawne oraz dalsze informacje szczegółowe dotyczące bardziej ogólnych aspektów sprawozdawczości.</w:t>
      </w:r>
    </w:p>
    <w:p w:rsidR="00FC2664" w:rsidRPr="00AE79AC" w:rsidRDefault="00FC2664" w:rsidP="007E2A41">
      <w:pPr>
        <w:pStyle w:val="BodyText1"/>
        <w:spacing w:line="240" w:lineRule="auto"/>
        <w:ind w:left="720"/>
        <w:rPr>
          <w:rFonts w:ascii="Times New Roman" w:hAnsi="Times New Roman"/>
        </w:rPr>
      </w:pPr>
    </w:p>
    <w:p w:rsidR="00217D1F" w:rsidRPr="00AE79AC" w:rsidRDefault="00500508" w:rsidP="00500508">
      <w:pPr>
        <w:pStyle w:val="BodyText1"/>
        <w:ind w:left="357" w:hanging="357"/>
        <w:outlineLvl w:val="2"/>
        <w:rPr>
          <w:rFonts w:ascii="Times New Roman" w:hAnsi="Times New Roman"/>
          <w:b/>
        </w:rPr>
      </w:pPr>
      <w:bookmarkStart w:id="17" w:name="_Toc359414277"/>
      <w:bookmarkStart w:id="18" w:name="_Toc322687867"/>
      <w:bookmarkStart w:id="19" w:name="_Toc351048502"/>
      <w:bookmarkStart w:id="20" w:name="_Toc359414278"/>
      <w:bookmarkStart w:id="21" w:name="_Toc423089063"/>
      <w:bookmarkStart w:id="22" w:name="_Toc520369396"/>
      <w:bookmarkEnd w:id="17"/>
      <w:r w:rsidRPr="00AE79AC">
        <w:rPr>
          <w:rFonts w:ascii="Times New Roman" w:hAnsi="Times New Roman"/>
          <w:b/>
        </w:rPr>
        <w:t>1.2.</w:t>
      </w:r>
      <w:r w:rsidRPr="00AE79AC">
        <w:tab/>
      </w:r>
      <w:r w:rsidRPr="00AE79AC">
        <w:rPr>
          <w:rFonts w:ascii="Times New Roman" w:hAnsi="Times New Roman"/>
          <w:b/>
        </w:rPr>
        <w:t>Konwencja numerowania</w:t>
      </w:r>
      <w:bookmarkEnd w:id="18"/>
      <w:bookmarkEnd w:id="19"/>
      <w:bookmarkEnd w:id="20"/>
      <w:bookmarkEnd w:id="21"/>
      <w:bookmarkEnd w:id="22"/>
    </w:p>
    <w:p w:rsidR="007E2A41" w:rsidRPr="00AE79AC" w:rsidRDefault="007E2A41" w:rsidP="00217B44">
      <w:pPr>
        <w:pStyle w:val="BodyText1"/>
      </w:pPr>
    </w:p>
    <w:p w:rsidR="00F4754B" w:rsidRPr="00AE79AC" w:rsidRDefault="00500508" w:rsidP="00500508">
      <w:pPr>
        <w:pStyle w:val="InstructionsText2"/>
        <w:numPr>
          <w:ilvl w:val="0"/>
          <w:numId w:val="0"/>
        </w:numPr>
        <w:ind w:left="720" w:hanging="360"/>
        <w:rPr>
          <w:rFonts w:eastAsia="Times New Roman"/>
          <w:bCs/>
          <w:szCs w:val="17"/>
        </w:rPr>
      </w:pPr>
      <w:r w:rsidRPr="00AE79AC">
        <w:t>4.</w:t>
      </w:r>
      <w:r w:rsidRPr="00AE79AC">
        <w:tab/>
        <w:t>W przypadku odwołań do kolumn, wierszy i komórek przedmiotowych wzorów w niniejszym dokumencie stosowana jest konwencja numerowania wskazana w kolejnych punktach. Przedmiotowe kody numeryczne znajdują szerokie zastosowanie w zasadach przeprowadzania walidacji.</w:t>
      </w:r>
    </w:p>
    <w:p w:rsidR="00F4754B" w:rsidRPr="00AE79AC" w:rsidRDefault="00500508" w:rsidP="00500508">
      <w:pPr>
        <w:pStyle w:val="InstructionsText2"/>
        <w:numPr>
          <w:ilvl w:val="0"/>
          <w:numId w:val="0"/>
        </w:numPr>
        <w:ind w:left="720" w:hanging="360"/>
        <w:rPr>
          <w:rFonts w:eastAsia="Times New Roman"/>
          <w:bCs/>
          <w:szCs w:val="17"/>
        </w:rPr>
      </w:pPr>
      <w:r w:rsidRPr="00AE79AC">
        <w:t>5.</w:t>
      </w:r>
      <w:r w:rsidRPr="00AE79AC">
        <w:tab/>
        <w:t>W instrukcjach stosowany jest następujący ogólny zapis: {wzór;wiersz;kolumna}. Odniesienie do całego wiersza lub całej kolumny oznaczane będzie gwiazdką.</w:t>
      </w:r>
    </w:p>
    <w:p w:rsidR="00F4754B" w:rsidRPr="00AE79AC" w:rsidRDefault="00500508" w:rsidP="00500508">
      <w:pPr>
        <w:pStyle w:val="InstructionsText2"/>
        <w:numPr>
          <w:ilvl w:val="0"/>
          <w:numId w:val="0"/>
        </w:numPr>
        <w:ind w:left="720" w:hanging="360"/>
        <w:rPr>
          <w:rFonts w:eastAsia="Times New Roman"/>
          <w:bCs/>
          <w:szCs w:val="17"/>
        </w:rPr>
      </w:pPr>
      <w:r w:rsidRPr="00AE79AC">
        <w:t>6.</w:t>
      </w:r>
      <w:r w:rsidRPr="00AE79AC">
        <w:tab/>
        <w:t>W przypadku walidacji w obrębie wzoru, gdzie wykorzystane są jedynie punkty danych z tego wzoru, zapis nie będzie odnosił się do wzoru: {wiersz;kolumna}.</w:t>
      </w:r>
    </w:p>
    <w:p w:rsidR="00F4754B" w:rsidRPr="00AE79AC" w:rsidRDefault="00500508" w:rsidP="00500508">
      <w:pPr>
        <w:pStyle w:val="InstructionsText2"/>
        <w:numPr>
          <w:ilvl w:val="0"/>
          <w:numId w:val="0"/>
        </w:numPr>
        <w:ind w:left="720" w:hanging="360"/>
        <w:rPr>
          <w:rFonts w:eastAsia="Times New Roman"/>
          <w:bCs/>
          <w:szCs w:val="17"/>
        </w:rPr>
      </w:pPr>
      <w:r w:rsidRPr="00AE79AC">
        <w:t>7.</w:t>
      </w:r>
      <w:r w:rsidRPr="00AE79AC">
        <w:tab/>
        <w:t xml:space="preserve">Na potrzeby sprawozdawczości w zakresie dźwigni finansowej „w tym” odnosi się do pozycji, która jest podzbiorem kategorii ekspozycji wyższego rzędu, natomiast „pozycja uzupełniająca” odnosi się do osobnej pozycji, która nie jest podzbiorem klasy ekspozycji. Zgłoszenie obydwu rodzajów komórek jest obowiązkowe, o ile nie określono inaczej. </w:t>
      </w:r>
    </w:p>
    <w:p w:rsidR="001D6F2F" w:rsidRPr="00AE79AC" w:rsidRDefault="00500508" w:rsidP="00500508">
      <w:pPr>
        <w:pStyle w:val="BodyText1"/>
        <w:ind w:left="357" w:hanging="357"/>
        <w:outlineLvl w:val="2"/>
        <w:rPr>
          <w:rFonts w:ascii="Times New Roman" w:hAnsi="Times New Roman"/>
          <w:b/>
        </w:rPr>
      </w:pPr>
      <w:bookmarkStart w:id="23" w:name="_Toc423089064"/>
      <w:bookmarkStart w:id="24" w:name="_Toc520369397"/>
      <w:r w:rsidRPr="00AE79AC">
        <w:rPr>
          <w:rFonts w:ascii="Times New Roman" w:hAnsi="Times New Roman"/>
          <w:b/>
        </w:rPr>
        <w:t>1.3.</w:t>
      </w:r>
      <w:r w:rsidRPr="00AE79AC">
        <w:tab/>
      </w:r>
      <w:r w:rsidRPr="00AE79AC">
        <w:rPr>
          <w:rFonts w:ascii="Times New Roman" w:hAnsi="Times New Roman"/>
          <w:b/>
        </w:rPr>
        <w:t>Skróty</w:t>
      </w:r>
      <w:bookmarkEnd w:id="23"/>
      <w:bookmarkEnd w:id="24"/>
    </w:p>
    <w:p w:rsidR="001D6F2F" w:rsidRPr="00AE79AC" w:rsidRDefault="001D6F2F" w:rsidP="001D6F2F">
      <w:pPr>
        <w:pStyle w:val="BodyText1"/>
      </w:pPr>
      <w:bookmarkStart w:id="25" w:name="_Toc359414279"/>
      <w:bookmarkStart w:id="26" w:name="_Toc322687868"/>
      <w:bookmarkStart w:id="27" w:name="_Toc351048503"/>
      <w:bookmarkStart w:id="28" w:name="_Toc359414280"/>
      <w:bookmarkEnd w:id="25"/>
    </w:p>
    <w:p w:rsidR="00627E07" w:rsidRPr="00AE79AC" w:rsidRDefault="00500508" w:rsidP="00500508">
      <w:pPr>
        <w:pStyle w:val="InstructionsText2"/>
        <w:numPr>
          <w:ilvl w:val="0"/>
          <w:numId w:val="0"/>
        </w:numPr>
        <w:ind w:left="720" w:hanging="360"/>
        <w:rPr>
          <w:rFonts w:eastAsia="Times New Roman"/>
          <w:bCs/>
          <w:szCs w:val="17"/>
        </w:rPr>
      </w:pPr>
      <w:r w:rsidRPr="00AE79AC">
        <w:t>8.</w:t>
      </w:r>
      <w:r w:rsidRPr="00AE79AC">
        <w:tab/>
        <w:t>Do celów niniejszego załącznika oraz związanych z nim wzorów stosuje się następujące skróty:</w:t>
      </w:r>
    </w:p>
    <w:p w:rsidR="00627E07" w:rsidRPr="00AE79AC" w:rsidRDefault="00500508" w:rsidP="00500508">
      <w:pPr>
        <w:pStyle w:val="InstructionsText2"/>
        <w:numPr>
          <w:ilvl w:val="0"/>
          <w:numId w:val="0"/>
        </w:numPr>
        <w:ind w:left="1440" w:hanging="360"/>
        <w:rPr>
          <w:rFonts w:eastAsia="Times New Roman"/>
          <w:bCs/>
          <w:szCs w:val="17"/>
        </w:rPr>
      </w:pPr>
      <w:r w:rsidRPr="00AE79AC">
        <w:t>a.</w:t>
      </w:r>
      <w:r w:rsidRPr="00AE79AC">
        <w:tab/>
        <w:t xml:space="preserve">CRR to skrót nazwy </w:t>
      </w:r>
      <w:r w:rsidRPr="00AE79AC">
        <w:rPr>
          <w:i/>
        </w:rPr>
        <w:t>Capital Requirements Regulation</w:t>
      </w:r>
      <w:r w:rsidRPr="00AE79AC">
        <w:t xml:space="preserve"> (rozporządzenie w sprawie wymogów kapitałowych) i oznacza rozporządzenie (UE) </w:t>
      </w:r>
      <w:r w:rsidRPr="002341B6">
        <w:t>nr</w:t>
      </w:r>
      <w:r w:rsidR="002341B6" w:rsidRPr="002341B6">
        <w:t> </w:t>
      </w:r>
      <w:r w:rsidRPr="002341B6">
        <w:t>5</w:t>
      </w:r>
      <w:r w:rsidRPr="00AE79AC">
        <w:t>75/2013;</w:t>
      </w:r>
    </w:p>
    <w:p w:rsidR="00627E07" w:rsidRPr="00AE79AC" w:rsidRDefault="00500508" w:rsidP="00500508">
      <w:pPr>
        <w:pStyle w:val="InstructionsText2"/>
        <w:numPr>
          <w:ilvl w:val="0"/>
          <w:numId w:val="0"/>
        </w:numPr>
        <w:ind w:left="1440" w:hanging="360"/>
        <w:rPr>
          <w:rFonts w:eastAsia="Times New Roman"/>
          <w:bCs/>
          <w:szCs w:val="17"/>
        </w:rPr>
      </w:pPr>
      <w:r w:rsidRPr="00AE79AC">
        <w:lastRenderedPageBreak/>
        <w:t>b.</w:t>
      </w:r>
      <w:r w:rsidRPr="00AE79AC">
        <w:tab/>
        <w:t xml:space="preserve">SFT to skrót nazwy </w:t>
      </w:r>
      <w:r w:rsidRPr="00AE79AC">
        <w:rPr>
          <w:i/>
        </w:rPr>
        <w:t>Securities Financing Transaction</w:t>
      </w:r>
      <w:r w:rsidRPr="00AE79AC">
        <w:t xml:space="preserve"> (transakcja finansowana z użyciem papierów wartościowych) i oznacza „transakcję odkupu, transakcję udzielania lub zaciągania pożyczek papierów wartościowych lub towarów, transakcję z długim terminem rozliczenia i</w:t>
      </w:r>
      <w:r w:rsidR="009C44AA">
        <w:t> </w:t>
      </w:r>
      <w:r w:rsidRPr="00AE79AC">
        <w:t>transakcję z obowiązkiem uzupełnienia zabezpieczenia kredytowego”, o których mowa w</w:t>
      </w:r>
      <w:r w:rsidR="009C44AA">
        <w:t> </w:t>
      </w:r>
      <w:r w:rsidRPr="00AE79AC">
        <w:t xml:space="preserve">rozporządzeniu (UE) </w:t>
      </w:r>
      <w:r w:rsidRPr="002341B6">
        <w:t>nr</w:t>
      </w:r>
      <w:r w:rsidR="002341B6" w:rsidRPr="002341B6">
        <w:t> </w:t>
      </w:r>
      <w:r w:rsidRPr="002341B6">
        <w:t>5</w:t>
      </w:r>
      <w:r w:rsidRPr="00AE79AC">
        <w:t>75/2013;</w:t>
      </w:r>
    </w:p>
    <w:p w:rsidR="008E7068" w:rsidRPr="00AE79AC" w:rsidRDefault="00500508" w:rsidP="00500508">
      <w:pPr>
        <w:pStyle w:val="InstructionsText2"/>
        <w:numPr>
          <w:ilvl w:val="0"/>
          <w:numId w:val="0"/>
        </w:numPr>
        <w:ind w:left="1440" w:hanging="360"/>
        <w:rPr>
          <w:rFonts w:eastAsia="Times New Roman"/>
          <w:bCs/>
          <w:szCs w:val="17"/>
        </w:rPr>
      </w:pPr>
      <w:r w:rsidRPr="00AE79AC">
        <w:t>c.</w:t>
      </w:r>
      <w:r w:rsidRPr="00AE79AC">
        <w:tab/>
        <w:t xml:space="preserve"> CRM to skrót nazwy </w:t>
      </w:r>
      <w:r w:rsidRPr="00AE79AC">
        <w:rPr>
          <w:i/>
        </w:rPr>
        <w:t>Credit Risk Mitigation</w:t>
      </w:r>
      <w:r w:rsidRPr="00AE79AC">
        <w:t xml:space="preserve"> (ograniczenie ryzyka kredytowego).</w:t>
      </w:r>
    </w:p>
    <w:p w:rsidR="00217D1F" w:rsidRPr="00AE79AC" w:rsidRDefault="00500508" w:rsidP="00500508">
      <w:pPr>
        <w:pStyle w:val="BodyText1"/>
        <w:ind w:left="357" w:hanging="357"/>
        <w:outlineLvl w:val="2"/>
        <w:rPr>
          <w:rFonts w:ascii="Times New Roman" w:hAnsi="Times New Roman"/>
          <w:b/>
        </w:rPr>
      </w:pPr>
      <w:bookmarkStart w:id="29" w:name="_Toc423089065"/>
      <w:bookmarkStart w:id="30" w:name="_Toc520369398"/>
      <w:r w:rsidRPr="00AE79AC">
        <w:rPr>
          <w:rFonts w:ascii="Times New Roman" w:hAnsi="Times New Roman"/>
          <w:b/>
        </w:rPr>
        <w:t>1.4.</w:t>
      </w:r>
      <w:r w:rsidRPr="00AE79AC">
        <w:tab/>
      </w:r>
      <w:r w:rsidRPr="00AE79AC">
        <w:rPr>
          <w:rFonts w:ascii="Times New Roman" w:hAnsi="Times New Roman"/>
          <w:b/>
        </w:rPr>
        <w:t>Konwencja znaku</w:t>
      </w:r>
      <w:bookmarkEnd w:id="15"/>
      <w:bookmarkEnd w:id="16"/>
      <w:bookmarkEnd w:id="26"/>
      <w:bookmarkEnd w:id="27"/>
      <w:bookmarkEnd w:id="28"/>
      <w:bookmarkEnd w:id="29"/>
      <w:bookmarkEnd w:id="30"/>
    </w:p>
    <w:p w:rsidR="00FF2091" w:rsidRPr="00AE79AC" w:rsidRDefault="00FF2091" w:rsidP="007C2D57">
      <w:pPr>
        <w:pStyle w:val="BodyText1"/>
      </w:pPr>
    </w:p>
    <w:p w:rsidR="00B90CB5" w:rsidRPr="00AE79AC" w:rsidRDefault="00500508" w:rsidP="00500508">
      <w:pPr>
        <w:pStyle w:val="InstructionsText2"/>
        <w:numPr>
          <w:ilvl w:val="0"/>
          <w:numId w:val="0"/>
        </w:numPr>
        <w:ind w:left="720" w:hanging="360"/>
        <w:rPr>
          <w:rFonts w:eastAsia="Times New Roman"/>
          <w:bCs/>
          <w:szCs w:val="17"/>
        </w:rPr>
      </w:pPr>
      <w:bookmarkStart w:id="31" w:name="_Toc322687869"/>
      <w:r w:rsidRPr="00AE79AC">
        <w:t>9.</w:t>
      </w:r>
      <w:r w:rsidRPr="00AE79AC">
        <w:tab/>
        <w:t>Wszystkie kwoty są zgłaszane jako wartości dodatnie.</w:t>
      </w:r>
      <w:bookmarkStart w:id="32" w:name="_Toc264033192"/>
      <w:bookmarkEnd w:id="32"/>
      <w:r w:rsidRPr="00AE79AC">
        <w:t xml:space="preserve"> Wyjątki to kwoty zgłaszane w</w:t>
      </w:r>
      <w:r w:rsidR="009C44AA">
        <w:t> </w:t>
      </w:r>
      <w:r w:rsidRPr="00AE79AC">
        <w:t>{LRCalc;050;010}, {LRCalc;070;010}, {LRCalc;080;010}, {LRCalc;100;010}, {LRCalc;120;010}, {LRCalc;140;010}, {LRCalc;210;010}, {LRCalc;220;010}, {LRCalc;240;010}, {LRCalc;250;010}, {LRCalc;260;010}, {LRCalc;310;010}, {LRCalc;320;010}, {LRCalc;270;010}, {LRCalc;280;010}, {LRCalc;330;010}, {LRCalc;340;010}, {LR3;010;010}, {LR3;020;010}, {LR3;030;010}, {LR3;040;010}, {LR3;055;010}, {LR3;065;010}, {LR3;075;010} i {LR3;085;010}. Należy przy tym zauważyć, że {LRCalc;050;010}, {LRCalc;070;010}, {LRCalc;080;010}, {LRCalc;100;010}, {LRCalc;120;010}, {LRCalc;140;010}, {LRCalc;210;010}, {LRCalc;220;010}, {LRCalc;240;010}, {LRCalc;250;010}, {LRCalc;260;010}, {LRCalc;270;010}, {LRCalc;280;010}, {LR3;055;010}, {LR3;065;010}, {LR3;075;010} i {LR3;085;010} przyjmują wyłącznie wartość ujemną. Dodatkowo należy zauważyć, że z wyjątkiem przypadków skrajnych {LRCalc;310;010}, {LRCalc;320;010}, {LRCalc;330;010}, {LRCalc;340;010}, {LR3;010;010}, {LR3;020;010}, {LR3;030;010} i</w:t>
      </w:r>
      <w:r w:rsidR="009C44AA">
        <w:t> </w:t>
      </w:r>
      <w:r w:rsidRPr="00AE79AC">
        <w:t>{LR3;040;010} przyjmują wyłącznie wartość dodatnią.</w:t>
      </w:r>
    </w:p>
    <w:p w:rsidR="001F28C3" w:rsidRPr="00AE79AC" w:rsidRDefault="001F28C3" w:rsidP="00FD2C06">
      <w:pPr>
        <w:pStyle w:val="InstructionsText2"/>
        <w:numPr>
          <w:ilvl w:val="0"/>
          <w:numId w:val="0"/>
        </w:numPr>
        <w:ind w:left="720"/>
        <w:rPr>
          <w:rFonts w:eastAsia="Times New Roman"/>
          <w:bCs/>
          <w:szCs w:val="17"/>
        </w:rPr>
      </w:pPr>
    </w:p>
    <w:p w:rsidR="00217D1F" w:rsidRPr="00AE79AC" w:rsidRDefault="00F4754B" w:rsidP="00217D1F">
      <w:pPr>
        <w:pStyle w:val="BodyText1"/>
        <w:outlineLvl w:val="0"/>
        <w:rPr>
          <w:rFonts w:ascii="Times New Roman" w:hAnsi="Times New Roman"/>
          <w:b/>
          <w:sz w:val="24"/>
          <w:szCs w:val="24"/>
        </w:rPr>
      </w:pPr>
      <w:r w:rsidRPr="00AE79AC">
        <w:br w:type="page"/>
      </w:r>
      <w:bookmarkStart w:id="33" w:name="_Toc351048504"/>
      <w:bookmarkStart w:id="34" w:name="_Toc359414281"/>
      <w:bookmarkStart w:id="35" w:name="_Toc423089066"/>
      <w:bookmarkStart w:id="36" w:name="_Toc520369399"/>
      <w:r w:rsidRPr="00AE79AC">
        <w:rPr>
          <w:rFonts w:ascii="Times New Roman" w:hAnsi="Times New Roman"/>
          <w:b/>
          <w:sz w:val="24"/>
        </w:rPr>
        <w:t>CZĘŚĆ II: INSTRUKCJE DOTYCZĄCE WZORÓW</w:t>
      </w:r>
      <w:bookmarkEnd w:id="31"/>
      <w:bookmarkEnd w:id="33"/>
      <w:bookmarkEnd w:id="34"/>
      <w:bookmarkEnd w:id="35"/>
      <w:bookmarkEnd w:id="36"/>
    </w:p>
    <w:p w:rsidR="00D91BC3" w:rsidRPr="00AE79AC" w:rsidRDefault="00D91BC3" w:rsidP="00217B44">
      <w:pPr>
        <w:pStyle w:val="BodyText1"/>
      </w:pPr>
    </w:p>
    <w:p w:rsidR="00217D1F" w:rsidRPr="00AE79AC" w:rsidRDefault="00500508" w:rsidP="00500508">
      <w:pPr>
        <w:pStyle w:val="BodyText1"/>
        <w:ind w:left="357" w:hanging="357"/>
        <w:outlineLvl w:val="1"/>
        <w:rPr>
          <w:rFonts w:ascii="Times New Roman" w:hAnsi="Times New Roman"/>
          <w:b/>
        </w:rPr>
      </w:pPr>
      <w:bookmarkStart w:id="37" w:name="_Toc359414282"/>
      <w:bookmarkStart w:id="38" w:name="_Toc423089067"/>
      <w:bookmarkStart w:id="39" w:name="_Toc520369400"/>
      <w:bookmarkStart w:id="40" w:name="_Toc322631544"/>
      <w:bookmarkStart w:id="41" w:name="_Toc322687870"/>
      <w:r w:rsidRPr="00AE79AC">
        <w:rPr>
          <w:rFonts w:ascii="Times New Roman" w:hAnsi="Times New Roman"/>
          <w:b/>
        </w:rPr>
        <w:t>1.</w:t>
      </w:r>
      <w:r w:rsidRPr="00AE79AC">
        <w:tab/>
      </w:r>
      <w:r w:rsidRPr="00AE79AC">
        <w:rPr>
          <w:rFonts w:ascii="Times New Roman" w:hAnsi="Times New Roman"/>
          <w:b/>
        </w:rPr>
        <w:t>Struktura i częstotliwość</w:t>
      </w:r>
      <w:bookmarkEnd w:id="37"/>
      <w:bookmarkEnd w:id="38"/>
      <w:bookmarkEnd w:id="39"/>
      <w:r w:rsidRPr="00AE79AC">
        <w:rPr>
          <w:rFonts w:ascii="Times New Roman" w:hAnsi="Times New Roman"/>
          <w:b/>
        </w:rPr>
        <w:t xml:space="preserve"> </w:t>
      </w:r>
      <w:bookmarkEnd w:id="40"/>
      <w:bookmarkEnd w:id="41"/>
    </w:p>
    <w:p w:rsidR="00D91BC3" w:rsidRPr="00AE79AC" w:rsidRDefault="00D91BC3" w:rsidP="00217B44">
      <w:pPr>
        <w:pStyle w:val="BodyText1"/>
      </w:pPr>
    </w:p>
    <w:p w:rsidR="00F4754B" w:rsidRPr="00AE79AC" w:rsidRDefault="00500508" w:rsidP="00500508">
      <w:pPr>
        <w:pStyle w:val="BodyText1"/>
        <w:spacing w:line="240" w:lineRule="auto"/>
        <w:ind w:left="720" w:hanging="360"/>
        <w:rPr>
          <w:rFonts w:ascii="Times New Roman" w:hAnsi="Times New Roman"/>
        </w:rPr>
      </w:pPr>
      <w:bookmarkStart w:id="42" w:name="_Toc322533849"/>
      <w:r w:rsidRPr="00AE79AC">
        <w:rPr>
          <w:rFonts w:ascii="Times New Roman" w:hAnsi="Times New Roman"/>
        </w:rPr>
        <w:t>1.</w:t>
      </w:r>
      <w:r w:rsidRPr="00AE79AC">
        <w:tab/>
      </w:r>
      <w:r w:rsidRPr="00AE79AC">
        <w:rPr>
          <w:rFonts w:ascii="Times New Roman" w:hAnsi="Times New Roman"/>
        </w:rPr>
        <w:t>Wzór dotyczący wskaźnika dźwigni podzielony jest na dwie części. Część A obejmuje wszystkie dane wejściowe wykorzystywane do obliczania wskaźnika dźwigni, które instytucje mają obowiązek przedłożyć właściwym organom zgodnie z art. 430 ust. 1 akapit pierwszy CRR, podczas gdy część B obejmuje wszystkie dane, które instytucje mają obowiązek przedłożyć zgodnie z art. 430 ust. 1 akapit drugi CRR (tzn. na potrzeby sprawozdania, o którym mowa w art. 511 CRR).</w:t>
      </w:r>
    </w:p>
    <w:p w:rsidR="00FC2664" w:rsidRPr="00AE79AC" w:rsidRDefault="00FC2664" w:rsidP="00F4754B">
      <w:pPr>
        <w:pStyle w:val="BodyText1"/>
        <w:rPr>
          <w:rFonts w:ascii="Times New Roman" w:hAnsi="Times New Roman"/>
        </w:rPr>
      </w:pPr>
    </w:p>
    <w:p w:rsidR="00FF2091" w:rsidRPr="00AE79AC" w:rsidRDefault="00500508" w:rsidP="00500508">
      <w:pPr>
        <w:pStyle w:val="BodyText1"/>
        <w:spacing w:line="240" w:lineRule="auto"/>
        <w:ind w:left="720" w:hanging="360"/>
        <w:rPr>
          <w:rFonts w:ascii="Times New Roman" w:hAnsi="Times New Roman"/>
        </w:rPr>
      </w:pPr>
      <w:r w:rsidRPr="00AE79AC">
        <w:rPr>
          <w:rFonts w:ascii="Times New Roman" w:hAnsi="Times New Roman"/>
        </w:rPr>
        <w:t>2.</w:t>
      </w:r>
      <w:r w:rsidRPr="00AE79AC">
        <w:tab/>
      </w:r>
      <w:r w:rsidRPr="00AE79AC">
        <w:rPr>
          <w:rFonts w:ascii="Times New Roman" w:hAnsi="Times New Roman"/>
        </w:rPr>
        <w:t>Przy gromadzeniu danych na potrzeby niniejszego standardu instytucje biorą pod uwagę ujęcie aktywów powierniczych zgodnie z art. 429 ust. 13 CRR.</w:t>
      </w:r>
    </w:p>
    <w:p w:rsidR="00FC2664" w:rsidRPr="00AE79AC" w:rsidRDefault="00FC2664" w:rsidP="00F4754B">
      <w:pPr>
        <w:pStyle w:val="BodyText1"/>
        <w:rPr>
          <w:rFonts w:ascii="Times New Roman" w:hAnsi="Times New Roman"/>
        </w:rPr>
      </w:pPr>
    </w:p>
    <w:p w:rsidR="00505096" w:rsidRPr="00AE79AC" w:rsidRDefault="00500508" w:rsidP="00500508">
      <w:pPr>
        <w:pStyle w:val="BodyText1"/>
        <w:ind w:left="357" w:hanging="357"/>
        <w:outlineLvl w:val="1"/>
        <w:rPr>
          <w:rFonts w:ascii="Times New Roman" w:hAnsi="Times New Roman"/>
          <w:b/>
        </w:rPr>
      </w:pPr>
      <w:bookmarkStart w:id="43" w:name="_Toc359414283"/>
      <w:bookmarkStart w:id="44" w:name="_Toc423089068"/>
      <w:bookmarkStart w:id="45" w:name="_Toc520369401"/>
      <w:r w:rsidRPr="00AE79AC">
        <w:rPr>
          <w:rFonts w:ascii="Times New Roman" w:hAnsi="Times New Roman"/>
          <w:b/>
        </w:rPr>
        <w:t>2.</w:t>
      </w:r>
      <w:r w:rsidRPr="00AE79AC">
        <w:tab/>
      </w:r>
      <w:r w:rsidRPr="00AE79AC">
        <w:rPr>
          <w:rFonts w:ascii="Times New Roman" w:hAnsi="Times New Roman"/>
          <w:b/>
        </w:rPr>
        <w:t>Wzory do obliczania wskaźnika dźwigni</w:t>
      </w:r>
      <w:bookmarkEnd w:id="43"/>
      <w:bookmarkEnd w:id="44"/>
      <w:bookmarkEnd w:id="45"/>
    </w:p>
    <w:p w:rsidR="00B9185D" w:rsidRPr="00AE79AC" w:rsidRDefault="00B9185D" w:rsidP="00FF2091">
      <w:pPr>
        <w:pStyle w:val="BodyText1"/>
        <w:spacing w:line="240" w:lineRule="auto"/>
        <w:rPr>
          <w:rFonts w:ascii="Times New Roman" w:hAnsi="Times New Roman"/>
        </w:rPr>
      </w:pPr>
    </w:p>
    <w:p w:rsidR="00505096" w:rsidRPr="00AE79AC" w:rsidRDefault="00500508" w:rsidP="00500508">
      <w:pPr>
        <w:pStyle w:val="BodyText1"/>
        <w:spacing w:line="240" w:lineRule="auto"/>
        <w:ind w:left="720" w:hanging="360"/>
        <w:rPr>
          <w:rFonts w:ascii="Times New Roman" w:hAnsi="Times New Roman"/>
        </w:rPr>
      </w:pPr>
      <w:r w:rsidRPr="00AE79AC">
        <w:rPr>
          <w:rFonts w:ascii="Times New Roman" w:hAnsi="Times New Roman"/>
        </w:rPr>
        <w:t>3.</w:t>
      </w:r>
      <w:r w:rsidRPr="00AE79AC">
        <w:tab/>
      </w:r>
      <w:r w:rsidRPr="00AE79AC">
        <w:rPr>
          <w:rFonts w:ascii="Times New Roman" w:hAnsi="Times New Roman"/>
        </w:rPr>
        <w:t xml:space="preserve">Wskaźnik dźwigni oparty jest na mierze kapitału i mierze ekspozycji całkowitej, które można obliczyć na podstawie komórek w części A. </w:t>
      </w:r>
    </w:p>
    <w:p w:rsidR="00FC2664" w:rsidRPr="00AE79AC" w:rsidRDefault="00FC2664" w:rsidP="007E2A41">
      <w:pPr>
        <w:pStyle w:val="BodyText1"/>
        <w:spacing w:line="240" w:lineRule="auto"/>
        <w:rPr>
          <w:rFonts w:ascii="Times New Roman" w:hAnsi="Times New Roman"/>
        </w:rPr>
      </w:pPr>
    </w:p>
    <w:p w:rsidR="00F4754B" w:rsidRPr="00AE79AC" w:rsidRDefault="00500508" w:rsidP="00500508">
      <w:pPr>
        <w:pStyle w:val="BodyText1"/>
        <w:spacing w:line="240" w:lineRule="auto"/>
        <w:ind w:left="720" w:hanging="360"/>
        <w:rPr>
          <w:rFonts w:ascii="Times New Roman" w:hAnsi="Times New Roman"/>
        </w:rPr>
      </w:pPr>
      <w:r w:rsidRPr="00AE79AC">
        <w:rPr>
          <w:rFonts w:ascii="Times New Roman" w:hAnsi="Times New Roman"/>
        </w:rPr>
        <w:t>4.</w:t>
      </w:r>
      <w:r w:rsidRPr="00AE79AC">
        <w:tab/>
      </w:r>
      <w:r w:rsidRPr="00AE79AC">
        <w:rPr>
          <w:rFonts w:ascii="Times New Roman" w:hAnsi="Times New Roman"/>
        </w:rPr>
        <w:t>Wskaźnik dźwigni – w pełni wprowadzona definicja = {LRCalc; 310;010} / LRCalc;290;010}.</w:t>
      </w:r>
    </w:p>
    <w:p w:rsidR="00FC2664" w:rsidRPr="00AE79AC" w:rsidRDefault="00FC2664" w:rsidP="007E2A41">
      <w:pPr>
        <w:pStyle w:val="BodyText1"/>
        <w:spacing w:line="240" w:lineRule="auto"/>
        <w:rPr>
          <w:rFonts w:ascii="Times New Roman" w:hAnsi="Times New Roman"/>
        </w:rPr>
      </w:pPr>
    </w:p>
    <w:p w:rsidR="00F4754B" w:rsidRPr="00AE79AC" w:rsidRDefault="00500508" w:rsidP="00500508">
      <w:pPr>
        <w:pStyle w:val="BodyText1"/>
        <w:spacing w:line="240" w:lineRule="auto"/>
        <w:ind w:left="720" w:hanging="360"/>
        <w:rPr>
          <w:rFonts w:ascii="Times New Roman" w:hAnsi="Times New Roman"/>
        </w:rPr>
      </w:pPr>
      <w:r w:rsidRPr="00AE79AC">
        <w:rPr>
          <w:rFonts w:ascii="Times New Roman" w:hAnsi="Times New Roman"/>
        </w:rPr>
        <w:t>5.</w:t>
      </w:r>
      <w:r w:rsidRPr="00AE79AC">
        <w:tab/>
      </w:r>
      <w:r w:rsidRPr="00AE79AC">
        <w:rPr>
          <w:rFonts w:ascii="Times New Roman" w:hAnsi="Times New Roman"/>
        </w:rPr>
        <w:t>Wskaźnik dźwigni – definicja przejściowa = {LRCalc;320;010} / LRCalc;300;010}.</w:t>
      </w:r>
    </w:p>
    <w:p w:rsidR="00FC2664" w:rsidRPr="00AE79AC" w:rsidRDefault="00FC2664" w:rsidP="007E2A41">
      <w:pPr>
        <w:pStyle w:val="BodyText1"/>
        <w:spacing w:line="240" w:lineRule="auto"/>
        <w:rPr>
          <w:rFonts w:ascii="Times New Roman" w:hAnsi="Times New Roman"/>
        </w:rPr>
      </w:pPr>
      <w:bookmarkStart w:id="46" w:name="_Toc322533852"/>
      <w:bookmarkEnd w:id="42"/>
    </w:p>
    <w:p w:rsidR="00FC2664" w:rsidRPr="00AE79AC" w:rsidRDefault="00FC2664" w:rsidP="007E2A41">
      <w:pPr>
        <w:pStyle w:val="BodyText1"/>
        <w:spacing w:line="240" w:lineRule="auto"/>
        <w:rPr>
          <w:rFonts w:ascii="Times New Roman" w:hAnsi="Times New Roman"/>
        </w:rPr>
      </w:pPr>
    </w:p>
    <w:p w:rsidR="00505096" w:rsidRPr="00AE79AC" w:rsidRDefault="00500508" w:rsidP="00500508">
      <w:pPr>
        <w:pStyle w:val="BodyText1"/>
        <w:ind w:left="357" w:hanging="357"/>
        <w:outlineLvl w:val="1"/>
        <w:rPr>
          <w:rFonts w:ascii="Times New Roman" w:hAnsi="Times New Roman"/>
          <w:b/>
        </w:rPr>
      </w:pPr>
      <w:bookmarkStart w:id="47" w:name="_Toc359414284"/>
      <w:bookmarkStart w:id="48" w:name="_Toc423089069"/>
      <w:bookmarkStart w:id="49" w:name="_Toc520369402"/>
      <w:r w:rsidRPr="00AE79AC">
        <w:rPr>
          <w:rFonts w:ascii="Times New Roman" w:hAnsi="Times New Roman"/>
          <w:b/>
        </w:rPr>
        <w:t>3.</w:t>
      </w:r>
      <w:r w:rsidRPr="00AE79AC">
        <w:tab/>
      </w:r>
      <w:r w:rsidRPr="00AE79AC">
        <w:rPr>
          <w:rFonts w:ascii="Times New Roman" w:hAnsi="Times New Roman"/>
          <w:b/>
        </w:rPr>
        <w:t>Progi istotności dla instrumentów pochodnych</w:t>
      </w:r>
      <w:bookmarkEnd w:id="47"/>
      <w:bookmarkEnd w:id="48"/>
      <w:bookmarkEnd w:id="49"/>
    </w:p>
    <w:p w:rsidR="00505096" w:rsidRPr="00AE79AC" w:rsidRDefault="00505096" w:rsidP="007E2A41">
      <w:pPr>
        <w:pStyle w:val="BodyText1"/>
        <w:spacing w:line="240" w:lineRule="auto"/>
        <w:rPr>
          <w:rFonts w:ascii="Times New Roman" w:hAnsi="Times New Roman"/>
        </w:rPr>
      </w:pPr>
    </w:p>
    <w:p w:rsidR="00505096" w:rsidRPr="00AE79AC" w:rsidRDefault="00505096" w:rsidP="007E2A41">
      <w:pPr>
        <w:pStyle w:val="BodyText1"/>
        <w:spacing w:line="240" w:lineRule="auto"/>
        <w:rPr>
          <w:rFonts w:ascii="Times New Roman" w:hAnsi="Times New Roman"/>
        </w:rPr>
      </w:pPr>
    </w:p>
    <w:p w:rsidR="00F4754B" w:rsidRPr="00AE79AC" w:rsidRDefault="00500508" w:rsidP="00500508">
      <w:pPr>
        <w:pStyle w:val="BodyText1"/>
        <w:spacing w:line="240" w:lineRule="auto"/>
        <w:ind w:left="720" w:hanging="360"/>
        <w:rPr>
          <w:rFonts w:ascii="Times New Roman" w:hAnsi="Times New Roman"/>
        </w:rPr>
      </w:pPr>
      <w:r w:rsidRPr="00AE79AC">
        <w:rPr>
          <w:rFonts w:ascii="Times New Roman" w:hAnsi="Times New Roman"/>
        </w:rPr>
        <w:t>6.</w:t>
      </w:r>
      <w:r w:rsidRPr="00AE79AC">
        <w:tab/>
      </w:r>
      <w:r w:rsidRPr="00AE79AC">
        <w:rPr>
          <w:rFonts w:ascii="Times New Roman" w:hAnsi="Times New Roman"/>
        </w:rPr>
        <w:t>W celu zmniejszenia obciążenia obowiązkiem sprawozdawczym instytucji, które charakteryzują się ograniczoną ekspozycją z tytułu instrumentów pochodnych, do ustalenia względnej istotności ekspozycji z tytułu instrumentów pochodnych w odniesieniu do ekspozycji całkowitej wskaźnika dźwigni wykorzystuje się poniżej opisane miary. Instytucje obliczają te miary według następującego wzoru</w:t>
      </w:r>
      <w:bookmarkStart w:id="50" w:name="_Toc322533853"/>
      <w:bookmarkEnd w:id="46"/>
      <w:r w:rsidRPr="00AE79AC">
        <w:rPr>
          <w:rFonts w:ascii="Times New Roman" w:hAnsi="Times New Roman"/>
        </w:rPr>
        <w:t>:</w:t>
      </w:r>
    </w:p>
    <w:p w:rsidR="00A30899" w:rsidRPr="00AE79AC" w:rsidRDefault="00A30899" w:rsidP="007E2A41">
      <w:pPr>
        <w:pStyle w:val="ListParagraph"/>
        <w:rPr>
          <w:rFonts w:ascii="Times New Roman" w:hAnsi="Times New Roman"/>
          <w:szCs w:val="20"/>
        </w:rPr>
      </w:pPr>
    </w:p>
    <w:p w:rsidR="00A30899" w:rsidRPr="00AE79AC" w:rsidRDefault="00500508" w:rsidP="00500508">
      <w:pPr>
        <w:pStyle w:val="BodyText1"/>
        <w:spacing w:line="240" w:lineRule="auto"/>
        <w:ind w:left="720" w:hanging="360"/>
        <w:jc w:val="left"/>
        <w:rPr>
          <w:rFonts w:ascii="Times New Roman" w:hAnsi="Times New Roman"/>
        </w:rPr>
      </w:pPr>
      <w:bookmarkStart w:id="51" w:name="_Toc322533854"/>
      <w:bookmarkEnd w:id="50"/>
      <w:r w:rsidRPr="00AE79AC">
        <w:rPr>
          <w:rFonts w:ascii="Times New Roman" w:hAnsi="Times New Roman"/>
        </w:rPr>
        <w:t>7.</w:t>
      </w:r>
      <w:r w:rsidRPr="00AE79AC">
        <w:tab/>
      </w:r>
      <w:r w:rsidRPr="00AE79AC">
        <w:rPr>
          <w:rFonts w:ascii="Times New Roman" w:hAnsi="Times New Roman"/>
        </w:rPr>
        <w:t xml:space="preserve">Udział instrumentów pochodnych = </w:t>
      </w:r>
      <m:oMath>
        <m:f>
          <m:fPr>
            <m:ctrlPr>
              <w:rPr>
                <w:rFonts w:ascii="Cambria Math" w:hAnsi="Times New Roman"/>
              </w:rPr>
            </m:ctrlPr>
          </m:fPr>
          <m:num>
            <m:eqArr>
              <m:eqArrPr>
                <m:ctrlPr>
                  <w:rPr>
                    <w:rFonts w:ascii="Cambria Math" w:hAnsi="Times New Roman"/>
                  </w:rPr>
                </m:ctrlPr>
              </m:eqArrPr>
              <m:e>
                <m:r>
                  <m:rPr>
                    <m:sty m:val="p"/>
                  </m:rPr>
                  <w:rPr>
                    <w:rFonts w:ascii="Cambria Math" w:hAnsi="Times New Roman"/>
                  </w:rPr>
                  <m:t>[</m:t>
                </m:r>
                <m:d>
                  <m:dPr>
                    <m:begChr m:val="{"/>
                    <m:endChr m:val="}"/>
                    <m:ctrlPr>
                      <w:rPr>
                        <w:rFonts w:ascii="Cambria Math" w:hAnsi="Times New Roman"/>
                      </w:rPr>
                    </m:ctrlPr>
                  </m:dPr>
                  <m:e>
                    <m:r>
                      <m:rPr>
                        <m:sty m:val="p"/>
                      </m:rPr>
                      <w:rPr>
                        <w:rFonts w:ascii="Cambria Math" w:hAnsi="Times New Roman"/>
                      </w:rPr>
                      <m:t>LRCalc;060;010</m:t>
                    </m:r>
                  </m:e>
                </m:d>
                <m:r>
                  <m:rPr>
                    <m:sty m:val="p"/>
                  </m:rPr>
                  <w:rPr>
                    <w:rFonts w:ascii="Cambria Math" w:hAnsi="Times New Roman"/>
                  </w:rPr>
                  <m:t>+</m:t>
                </m:r>
                <m:d>
                  <m:dPr>
                    <m:begChr m:val="{"/>
                    <m:endChr m:val="}"/>
                    <m:ctrlPr>
                      <w:rPr>
                        <w:rFonts w:ascii="Cambria Math" w:hAnsi="Times New Roman"/>
                      </w:rPr>
                    </m:ctrlPr>
                  </m:dPr>
                  <m:e>
                    <m:r>
                      <m:rPr>
                        <m:sty m:val="p"/>
                      </m:rPr>
                      <w:rPr>
                        <w:rFonts w:ascii="Cambria Math" w:hAnsi="Times New Roman"/>
                      </w:rPr>
                      <m:t>LRCalc;070;010</m:t>
                    </m:r>
                  </m:e>
                </m:d>
                <m:r>
                  <m:rPr>
                    <m:sty m:val="p"/>
                  </m:rPr>
                  <w:rPr>
                    <w:rFonts w:ascii="Cambria Math" w:hAnsi="Times New Roman"/>
                  </w:rPr>
                  <m:t>+</m:t>
                </m:r>
                <m:d>
                  <m:dPr>
                    <m:begChr m:val="{"/>
                    <m:endChr m:val="}"/>
                    <m:ctrlPr>
                      <w:rPr>
                        <w:rFonts w:ascii="Cambria Math" w:hAnsi="Times New Roman"/>
                      </w:rPr>
                    </m:ctrlPr>
                  </m:dPr>
                  <m:e>
                    <m:r>
                      <m:rPr>
                        <m:sty m:val="p"/>
                      </m:rPr>
                      <w:rPr>
                        <w:rFonts w:ascii="Cambria Math" w:hAnsi="Times New Roman"/>
                      </w:rPr>
                      <m:t>LRCalc;080;010</m:t>
                    </m:r>
                  </m:e>
                </m:d>
                <m:r>
                  <w:rPr>
                    <w:rFonts w:ascii="Cambria Math" w:hAnsi="Times New Roman"/>
                  </w:rPr>
                  <m:t>+</m:t>
                </m:r>
                <m:d>
                  <m:dPr>
                    <m:begChr m:val="{"/>
                    <m:endChr m:val="}"/>
                    <m:ctrlPr>
                      <w:rPr>
                        <w:rFonts w:ascii="Cambria Math" w:hAnsi="Times New Roman"/>
                      </w:rPr>
                    </m:ctrlPr>
                  </m:dPr>
                  <m:e>
                    <m:r>
                      <m:rPr>
                        <m:sty m:val="p"/>
                      </m:rPr>
                      <w:rPr>
                        <w:rFonts w:ascii="Cambria Math" w:hAnsi="Times New Roman"/>
                      </w:rPr>
                      <m:t>LRCalc;090;010</m:t>
                    </m:r>
                  </m:e>
                </m:d>
                <m:r>
                  <w:rPr>
                    <w:rFonts w:ascii="Cambria Math" w:hAnsi="Times New Roman"/>
                  </w:rPr>
                  <m:t>+</m:t>
                </m:r>
                <m:d>
                  <m:dPr>
                    <m:begChr m:val="{"/>
                    <m:endChr m:val="}"/>
                    <m:ctrlPr>
                      <w:rPr>
                        <w:rFonts w:ascii="Cambria Math" w:hAnsi="Times New Roman"/>
                      </w:rPr>
                    </m:ctrlPr>
                  </m:dPr>
                  <m:e>
                    <m:r>
                      <m:rPr>
                        <m:sty m:val="p"/>
                      </m:rPr>
                      <w:rPr>
                        <w:rFonts w:ascii="Cambria Math" w:hAnsi="Times New Roman"/>
                      </w:rPr>
                      <m:t>LRCalc;100;010</m:t>
                    </m:r>
                  </m:e>
                </m:d>
                <m:ctrlPr>
                  <w:rPr>
                    <w:rFonts w:ascii="Cambria Math" w:eastAsia="Cambria Math" w:hAnsi="Cambria Math" w:cs="Cambria Math"/>
                  </w:rPr>
                </m:ctrlPr>
              </m:e>
              <m:e>
                <m:r>
                  <m:rPr>
                    <m:sty m:val="p"/>
                  </m:rPr>
                  <w:rPr>
                    <w:rFonts w:ascii="Cambria Math" w:hAnsi="Times New Roman"/>
                  </w:rPr>
                  <m:t>+</m:t>
                </m:r>
                <m:d>
                  <m:dPr>
                    <m:begChr m:val="{"/>
                    <m:endChr m:val="}"/>
                    <m:ctrlPr>
                      <w:rPr>
                        <w:rFonts w:ascii="Cambria Math" w:hAnsi="Times New Roman"/>
                      </w:rPr>
                    </m:ctrlPr>
                  </m:dPr>
                  <m:e>
                    <m:r>
                      <m:rPr>
                        <m:sty m:val="p"/>
                      </m:rPr>
                      <w:rPr>
                        <w:rFonts w:ascii="Cambria Math" w:hAnsi="Times New Roman"/>
                      </w:rPr>
                      <m:t>LRCalc;110;010</m:t>
                    </m:r>
                  </m:e>
                </m:d>
                <m:r>
                  <m:rPr>
                    <m:sty m:val="p"/>
                  </m:rPr>
                  <w:rPr>
                    <w:rFonts w:ascii="Cambria Math" w:hAnsi="Times New Roman"/>
                  </w:rPr>
                  <m:t xml:space="preserve">+ </m:t>
                </m:r>
                <m:d>
                  <m:dPr>
                    <m:begChr m:val="{"/>
                    <m:endChr m:val="}"/>
                    <m:ctrlPr>
                      <w:rPr>
                        <w:rFonts w:ascii="Cambria Math" w:hAnsi="Times New Roman"/>
                      </w:rPr>
                    </m:ctrlPr>
                  </m:dPr>
                  <m:e>
                    <m:r>
                      <m:rPr>
                        <m:sty m:val="p"/>
                      </m:rPr>
                      <w:rPr>
                        <w:rFonts w:ascii="Cambria Math" w:hAnsi="Times New Roman"/>
                      </w:rPr>
                      <m:t>LRCalc;120;010</m:t>
                    </m:r>
                  </m:e>
                </m:d>
                <m:r>
                  <m:rPr>
                    <m:sty m:val="p"/>
                  </m:rPr>
                  <w:rPr>
                    <w:rFonts w:ascii="Cambria Math" w:hAnsi="Times New Roman"/>
                  </w:rPr>
                  <m:t>+</m:t>
                </m:r>
                <m:d>
                  <m:dPr>
                    <m:begChr m:val="{"/>
                    <m:endChr m:val="}"/>
                    <m:ctrlPr>
                      <w:rPr>
                        <w:rFonts w:ascii="Cambria Math" w:hAnsi="Times New Roman"/>
                      </w:rPr>
                    </m:ctrlPr>
                  </m:dPr>
                  <m:e>
                    <m:r>
                      <m:rPr>
                        <m:sty m:val="p"/>
                      </m:rPr>
                      <w:rPr>
                        <w:rFonts w:ascii="Cambria Math" w:hAnsi="Times New Roman"/>
                      </w:rPr>
                      <m:t>LRCalc;130;010</m:t>
                    </m:r>
                  </m:e>
                </m:d>
                <m:r>
                  <m:rPr>
                    <m:sty m:val="p"/>
                  </m:rPr>
                  <w:rPr>
                    <w:rFonts w:ascii="Cambria Math" w:hAnsi="Times New Roman"/>
                  </w:rPr>
                  <m:t>+{LRCalc;140;010}]</m:t>
                </m:r>
              </m:e>
            </m:eqArr>
          </m:num>
          <m:den>
            <m:r>
              <m:rPr>
                <m:sty m:val="p"/>
              </m:rPr>
              <w:rPr>
                <w:rFonts w:ascii="Cambria Math" w:hAnsi="Times New Roman"/>
              </w:rPr>
              <m:t>Miara ekspozycji ca</m:t>
            </m:r>
            <m:r>
              <m:rPr>
                <m:sty m:val="p"/>
              </m:rPr>
              <w:rPr>
                <w:rFonts w:ascii="Cambria Math" w:hAnsi="Times New Roman"/>
              </w:rPr>
              <m:t>ł</m:t>
            </m:r>
            <m:r>
              <m:rPr>
                <m:sty m:val="p"/>
              </m:rPr>
              <w:rPr>
                <w:rFonts w:ascii="Cambria Math" w:hAnsi="Times New Roman"/>
              </w:rPr>
              <m:t>kowitej</m:t>
            </m:r>
          </m:den>
        </m:f>
      </m:oMath>
      <w:r w:rsidRPr="00AE79AC">
        <w:rPr>
          <w:rFonts w:ascii="Times New Roman" w:hAnsi="Times New Roman"/>
        </w:rPr>
        <w:t>.</w:t>
      </w:r>
    </w:p>
    <w:p w:rsidR="00FC2664" w:rsidRPr="00AE79AC" w:rsidRDefault="00FC2664" w:rsidP="007E2A41">
      <w:pPr>
        <w:pStyle w:val="BodyText1"/>
        <w:spacing w:line="240" w:lineRule="auto"/>
        <w:rPr>
          <w:rFonts w:ascii="Times New Roman" w:hAnsi="Times New Roman"/>
        </w:rPr>
      </w:pPr>
    </w:p>
    <w:p w:rsidR="00EB7F64" w:rsidRPr="00AE79AC" w:rsidRDefault="00500508" w:rsidP="00500508">
      <w:pPr>
        <w:pStyle w:val="BodyText1"/>
        <w:spacing w:line="240" w:lineRule="auto"/>
        <w:ind w:left="720" w:hanging="360"/>
        <w:rPr>
          <w:rFonts w:ascii="Times New Roman" w:hAnsi="Times New Roman"/>
        </w:rPr>
      </w:pPr>
      <w:r w:rsidRPr="00AE79AC">
        <w:rPr>
          <w:rFonts w:ascii="Times New Roman" w:hAnsi="Times New Roman"/>
        </w:rPr>
        <w:t>8.</w:t>
      </w:r>
      <w:r w:rsidRPr="00AE79AC">
        <w:tab/>
      </w:r>
      <w:r w:rsidRPr="00AE79AC">
        <w:rPr>
          <w:rFonts w:ascii="Times New Roman" w:hAnsi="Times New Roman"/>
        </w:rPr>
        <w:t>Gdzie miara ekspozycji całkowitej wynosi: {LRCalc;290;010}.</w:t>
      </w:r>
    </w:p>
    <w:p w:rsidR="00F4754B" w:rsidRPr="00AE79AC" w:rsidRDefault="00F4754B" w:rsidP="00E5591F">
      <w:pPr>
        <w:pStyle w:val="BodyText1"/>
        <w:spacing w:line="240" w:lineRule="auto"/>
        <w:ind w:left="720"/>
        <w:rPr>
          <w:rFonts w:ascii="Times New Roman" w:hAnsi="Times New Roman"/>
        </w:rPr>
      </w:pPr>
    </w:p>
    <w:p w:rsidR="00F4754B" w:rsidRPr="00AE79AC" w:rsidRDefault="00500508" w:rsidP="00500508">
      <w:pPr>
        <w:pStyle w:val="BodyText1"/>
        <w:spacing w:line="240" w:lineRule="auto"/>
        <w:ind w:left="720" w:hanging="360"/>
        <w:rPr>
          <w:rFonts w:ascii="Times New Roman" w:hAnsi="Times New Roman"/>
        </w:rPr>
      </w:pPr>
      <w:r w:rsidRPr="00AE79AC">
        <w:rPr>
          <w:rFonts w:ascii="Times New Roman" w:hAnsi="Times New Roman"/>
        </w:rPr>
        <w:t>9.</w:t>
      </w:r>
      <w:r w:rsidRPr="00AE79AC">
        <w:tab/>
      </w:r>
      <w:r w:rsidRPr="00AE79AC">
        <w:rPr>
          <w:rFonts w:ascii="Times New Roman" w:hAnsi="Times New Roman"/>
        </w:rPr>
        <w:t>Całkowita wartość nominalna instrumentów pochodnych = {LR1; 010;070}. Jest to komórka, której wartość instytucje zawsze zgłaszają.</w:t>
      </w:r>
    </w:p>
    <w:p w:rsidR="00FC2664" w:rsidRPr="00AE79AC" w:rsidRDefault="00FC2664" w:rsidP="007E2A41">
      <w:pPr>
        <w:pStyle w:val="BodyText1"/>
        <w:spacing w:line="240" w:lineRule="auto"/>
        <w:rPr>
          <w:rFonts w:ascii="Times New Roman" w:hAnsi="Times New Roman"/>
        </w:rPr>
      </w:pPr>
    </w:p>
    <w:p w:rsidR="00F4754B" w:rsidRPr="00AE79AC" w:rsidRDefault="00500508" w:rsidP="00500508">
      <w:pPr>
        <w:pStyle w:val="BodyText1"/>
        <w:spacing w:line="240" w:lineRule="auto"/>
        <w:ind w:left="720" w:hanging="360"/>
        <w:rPr>
          <w:rFonts w:ascii="Times New Roman" w:hAnsi="Times New Roman"/>
        </w:rPr>
      </w:pPr>
      <w:r w:rsidRPr="00AE79AC">
        <w:rPr>
          <w:rFonts w:ascii="Times New Roman" w:hAnsi="Times New Roman"/>
        </w:rPr>
        <w:t>10.</w:t>
      </w:r>
      <w:r w:rsidRPr="00AE79AC">
        <w:tab/>
      </w:r>
      <w:r w:rsidRPr="00AE79AC">
        <w:rPr>
          <w:rFonts w:ascii="Times New Roman" w:hAnsi="Times New Roman"/>
        </w:rPr>
        <w:t>Wolumen kredytowych instrumentów pochodnych = {LR1;020;070} + {LR1;050;070}. Są to komórki, których wartość instytucje zawsze zgłaszają.</w:t>
      </w:r>
    </w:p>
    <w:p w:rsidR="00FC2664" w:rsidRPr="00AE79AC" w:rsidRDefault="00FC2664" w:rsidP="007E2A41">
      <w:pPr>
        <w:pStyle w:val="BodyText1"/>
        <w:spacing w:line="240" w:lineRule="auto"/>
        <w:rPr>
          <w:rFonts w:ascii="Times New Roman" w:hAnsi="Times New Roman"/>
        </w:rPr>
      </w:pPr>
    </w:p>
    <w:p w:rsidR="00F4754B" w:rsidRPr="00AE79AC" w:rsidRDefault="00500508" w:rsidP="00500508">
      <w:pPr>
        <w:pStyle w:val="BodyText1"/>
        <w:spacing w:line="240" w:lineRule="auto"/>
        <w:ind w:left="720" w:hanging="360"/>
        <w:rPr>
          <w:rFonts w:ascii="Times New Roman" w:hAnsi="Times New Roman"/>
        </w:rPr>
      </w:pPr>
      <w:r w:rsidRPr="00AE79AC">
        <w:rPr>
          <w:rFonts w:ascii="Times New Roman" w:hAnsi="Times New Roman"/>
        </w:rPr>
        <w:t>11.</w:t>
      </w:r>
      <w:r w:rsidRPr="00AE79AC">
        <w:tab/>
      </w:r>
      <w:r w:rsidRPr="00AE79AC">
        <w:rPr>
          <w:rFonts w:ascii="Times New Roman" w:hAnsi="Times New Roman"/>
        </w:rPr>
        <w:t xml:space="preserve">Instytucje mają obowiązek zgłosić wartości komórek, o których mowa w </w:t>
      </w:r>
      <w:r w:rsidRPr="002341B6">
        <w:rPr>
          <w:rFonts w:ascii="Times New Roman" w:hAnsi="Times New Roman"/>
        </w:rPr>
        <w:t>pkt</w:t>
      </w:r>
      <w:r w:rsidR="002341B6" w:rsidRPr="002341B6">
        <w:rPr>
          <w:rFonts w:ascii="Times New Roman" w:hAnsi="Times New Roman"/>
        </w:rPr>
        <w:t> </w:t>
      </w:r>
      <w:r w:rsidRPr="002341B6">
        <w:rPr>
          <w:rFonts w:ascii="Times New Roman" w:hAnsi="Times New Roman"/>
        </w:rPr>
        <w:t>1</w:t>
      </w:r>
      <w:r w:rsidRPr="00AE79AC">
        <w:rPr>
          <w:rFonts w:ascii="Times New Roman" w:hAnsi="Times New Roman"/>
        </w:rPr>
        <w:t>4, w następnym okresie sprawozdawczym, jeśli spełniony zostanie którykolwiek z poniższych warunków:</w:t>
      </w:r>
    </w:p>
    <w:p w:rsidR="00607A1B" w:rsidRPr="00AE79AC" w:rsidRDefault="00607A1B" w:rsidP="00607A1B">
      <w:pPr>
        <w:pStyle w:val="BodyText1"/>
        <w:spacing w:line="240" w:lineRule="auto"/>
        <w:ind w:left="720"/>
        <w:rPr>
          <w:rFonts w:ascii="Times New Roman" w:hAnsi="Times New Roman"/>
        </w:rPr>
      </w:pPr>
    </w:p>
    <w:p w:rsidR="00F4754B" w:rsidRPr="00AE79AC" w:rsidRDefault="00500508" w:rsidP="00500508">
      <w:pPr>
        <w:pStyle w:val="InstructionsText2"/>
        <w:numPr>
          <w:ilvl w:val="0"/>
          <w:numId w:val="0"/>
        </w:numPr>
        <w:ind w:left="1080" w:hanging="360"/>
        <w:rPr>
          <w:rFonts w:ascii="Symbol" w:eastAsia="Times New Roman" w:hAnsi="Symbol"/>
          <w:bCs/>
          <w:szCs w:val="17"/>
        </w:rPr>
      </w:pPr>
      <w:r w:rsidRPr="00AE79AC">
        <w:tab/>
        <w:t xml:space="preserve">udział instrumentów pochodnych, o którym mowa w </w:t>
      </w:r>
      <w:r w:rsidRPr="002341B6">
        <w:t>pkt</w:t>
      </w:r>
      <w:r w:rsidR="002341B6" w:rsidRPr="002341B6">
        <w:t> </w:t>
      </w:r>
      <w:r w:rsidRPr="002341B6">
        <w:t>7</w:t>
      </w:r>
      <w:r w:rsidRPr="00AE79AC">
        <w:t>, wynosi więcej niż 1,5 % w przypadku dwóch kolejnych sprawozdawczych dni odniesienia;</w:t>
      </w:r>
    </w:p>
    <w:p w:rsidR="00675587" w:rsidRPr="00AE79AC" w:rsidRDefault="00500508" w:rsidP="00500508">
      <w:pPr>
        <w:pStyle w:val="InstructionsText2"/>
        <w:numPr>
          <w:ilvl w:val="0"/>
          <w:numId w:val="0"/>
        </w:numPr>
        <w:ind w:left="1080" w:hanging="360"/>
        <w:rPr>
          <w:rFonts w:ascii="Symbol" w:eastAsia="Times New Roman" w:hAnsi="Symbol"/>
          <w:bCs/>
          <w:szCs w:val="17"/>
        </w:rPr>
      </w:pPr>
      <w:r w:rsidRPr="00AE79AC">
        <w:tab/>
        <w:t xml:space="preserve">udział instrumentów pochodnych, o którym mowa w </w:t>
      </w:r>
      <w:r w:rsidRPr="002341B6">
        <w:t>pkt</w:t>
      </w:r>
      <w:r w:rsidR="002341B6" w:rsidRPr="002341B6">
        <w:t> </w:t>
      </w:r>
      <w:r w:rsidRPr="002341B6">
        <w:t>7</w:t>
      </w:r>
      <w:r w:rsidRPr="00AE79AC">
        <w:t>, przekracza 2,0 %.</w:t>
      </w:r>
    </w:p>
    <w:p w:rsidR="00F4754B" w:rsidRPr="00AE79AC" w:rsidRDefault="00F4754B" w:rsidP="007E2A41">
      <w:pPr>
        <w:pStyle w:val="BodyText1"/>
        <w:spacing w:line="240" w:lineRule="auto"/>
        <w:rPr>
          <w:rFonts w:ascii="Times New Roman" w:hAnsi="Times New Roman"/>
        </w:rPr>
      </w:pPr>
    </w:p>
    <w:p w:rsidR="00F4754B" w:rsidRPr="00AE79AC" w:rsidRDefault="00500508" w:rsidP="00500508">
      <w:pPr>
        <w:pStyle w:val="BodyText1"/>
        <w:spacing w:line="240" w:lineRule="auto"/>
        <w:ind w:left="720" w:hanging="360"/>
        <w:rPr>
          <w:rFonts w:ascii="Times New Roman" w:hAnsi="Times New Roman"/>
        </w:rPr>
      </w:pPr>
      <w:r w:rsidRPr="00AE79AC">
        <w:rPr>
          <w:rFonts w:ascii="Times New Roman" w:hAnsi="Times New Roman"/>
        </w:rPr>
        <w:t>12.</w:t>
      </w:r>
      <w:r w:rsidRPr="00AE79AC">
        <w:tab/>
      </w:r>
      <w:r w:rsidRPr="00AE79AC">
        <w:rPr>
          <w:rFonts w:ascii="Times New Roman" w:hAnsi="Times New Roman"/>
        </w:rPr>
        <w:t xml:space="preserve">Instytucje, w przypadku których całkowita wartość nominalna instrumentów pochodnych zdefiniowana w </w:t>
      </w:r>
      <w:r w:rsidRPr="002341B6">
        <w:rPr>
          <w:rFonts w:ascii="Times New Roman" w:hAnsi="Times New Roman"/>
        </w:rPr>
        <w:t>pkt</w:t>
      </w:r>
      <w:r w:rsidR="002341B6" w:rsidRPr="002341B6">
        <w:rPr>
          <w:rFonts w:ascii="Times New Roman" w:hAnsi="Times New Roman"/>
        </w:rPr>
        <w:t> </w:t>
      </w:r>
      <w:r w:rsidRPr="002341B6">
        <w:rPr>
          <w:rFonts w:ascii="Times New Roman" w:hAnsi="Times New Roman"/>
        </w:rPr>
        <w:t>9</w:t>
      </w:r>
      <w:r w:rsidRPr="00AE79AC">
        <w:rPr>
          <w:rFonts w:ascii="Times New Roman" w:hAnsi="Times New Roman"/>
        </w:rPr>
        <w:t xml:space="preserve"> przekracza kwotę 10 mld EUR, zgłaszają wartości komórek, o których mowa w </w:t>
      </w:r>
      <w:r w:rsidRPr="002341B6">
        <w:rPr>
          <w:rFonts w:ascii="Times New Roman" w:hAnsi="Times New Roman"/>
        </w:rPr>
        <w:t>pkt</w:t>
      </w:r>
      <w:r w:rsidR="002341B6" w:rsidRPr="002341B6">
        <w:rPr>
          <w:rFonts w:ascii="Times New Roman" w:hAnsi="Times New Roman"/>
        </w:rPr>
        <w:t> </w:t>
      </w:r>
      <w:r w:rsidRPr="002341B6">
        <w:rPr>
          <w:rFonts w:ascii="Times New Roman" w:hAnsi="Times New Roman"/>
        </w:rPr>
        <w:t>1</w:t>
      </w:r>
      <w:r w:rsidRPr="00AE79AC">
        <w:rPr>
          <w:rFonts w:ascii="Times New Roman" w:hAnsi="Times New Roman"/>
        </w:rPr>
        <w:t xml:space="preserve">4, nawet jeśli udział instrumentów pochodnych w ich przypadku nie spełnia warunków opisanych w </w:t>
      </w:r>
      <w:r w:rsidRPr="002341B6">
        <w:rPr>
          <w:rFonts w:ascii="Times New Roman" w:hAnsi="Times New Roman"/>
        </w:rPr>
        <w:t>pkt</w:t>
      </w:r>
      <w:r w:rsidR="002341B6" w:rsidRPr="002341B6">
        <w:rPr>
          <w:rFonts w:ascii="Times New Roman" w:hAnsi="Times New Roman"/>
        </w:rPr>
        <w:t> </w:t>
      </w:r>
      <w:r w:rsidRPr="002341B6">
        <w:rPr>
          <w:rFonts w:ascii="Times New Roman" w:hAnsi="Times New Roman"/>
        </w:rPr>
        <w:t>1</w:t>
      </w:r>
      <w:r w:rsidRPr="00AE79AC">
        <w:rPr>
          <w:rFonts w:ascii="Times New Roman" w:hAnsi="Times New Roman"/>
        </w:rPr>
        <w:t>1.</w:t>
      </w:r>
    </w:p>
    <w:p w:rsidR="00FC2664" w:rsidRPr="00AE79AC" w:rsidRDefault="00FC2664" w:rsidP="007E2A41">
      <w:pPr>
        <w:pStyle w:val="BodyText1"/>
        <w:spacing w:line="240" w:lineRule="auto"/>
        <w:rPr>
          <w:rFonts w:ascii="Times New Roman" w:hAnsi="Times New Roman"/>
        </w:rPr>
      </w:pPr>
    </w:p>
    <w:p w:rsidR="00F4754B" w:rsidRPr="00AE79AC" w:rsidRDefault="00500508" w:rsidP="00500508">
      <w:pPr>
        <w:pStyle w:val="BodyText1"/>
        <w:spacing w:line="240" w:lineRule="auto"/>
        <w:ind w:left="720" w:hanging="360"/>
        <w:rPr>
          <w:rFonts w:ascii="Times New Roman" w:hAnsi="Times New Roman"/>
        </w:rPr>
      </w:pPr>
      <w:r w:rsidRPr="00AE79AC">
        <w:rPr>
          <w:rFonts w:ascii="Times New Roman" w:hAnsi="Times New Roman"/>
        </w:rPr>
        <w:t>13.</w:t>
      </w:r>
      <w:r w:rsidRPr="00AE79AC">
        <w:tab/>
      </w:r>
      <w:r w:rsidRPr="00AE79AC">
        <w:rPr>
          <w:rFonts w:ascii="Times New Roman" w:hAnsi="Times New Roman"/>
        </w:rPr>
        <w:t xml:space="preserve">Instytucje mają obowiązek zgłosić wartość komórek, o których mowa w </w:t>
      </w:r>
      <w:r w:rsidRPr="002341B6">
        <w:rPr>
          <w:rFonts w:ascii="Times New Roman" w:hAnsi="Times New Roman"/>
        </w:rPr>
        <w:t>pkt</w:t>
      </w:r>
      <w:r w:rsidR="002341B6" w:rsidRPr="002341B6">
        <w:rPr>
          <w:rFonts w:ascii="Times New Roman" w:hAnsi="Times New Roman"/>
        </w:rPr>
        <w:t> </w:t>
      </w:r>
      <w:r w:rsidRPr="002341B6">
        <w:rPr>
          <w:rFonts w:ascii="Times New Roman" w:hAnsi="Times New Roman"/>
        </w:rPr>
        <w:t>1</w:t>
      </w:r>
      <w:r w:rsidRPr="00AE79AC">
        <w:rPr>
          <w:rFonts w:ascii="Times New Roman" w:hAnsi="Times New Roman"/>
        </w:rPr>
        <w:t>5, jeśli spełniony zostanie którykolwiek z poniższych warunków:</w:t>
      </w:r>
    </w:p>
    <w:p w:rsidR="00607A1B" w:rsidRPr="00AE79AC" w:rsidRDefault="00607A1B" w:rsidP="00607A1B">
      <w:pPr>
        <w:pStyle w:val="BodyText1"/>
        <w:spacing w:line="240" w:lineRule="auto"/>
        <w:rPr>
          <w:rFonts w:ascii="Times New Roman" w:hAnsi="Times New Roman"/>
        </w:rPr>
      </w:pPr>
    </w:p>
    <w:p w:rsidR="00F4754B" w:rsidRPr="00AE79AC" w:rsidRDefault="00500508" w:rsidP="00500508">
      <w:pPr>
        <w:pStyle w:val="InstructionsText2"/>
        <w:numPr>
          <w:ilvl w:val="0"/>
          <w:numId w:val="0"/>
        </w:numPr>
        <w:ind w:left="1080" w:hanging="360"/>
        <w:rPr>
          <w:rFonts w:ascii="Symbol" w:eastAsia="Times New Roman" w:hAnsi="Symbol"/>
          <w:bCs/>
          <w:szCs w:val="17"/>
        </w:rPr>
      </w:pPr>
      <w:r w:rsidRPr="00AE79AC">
        <w:tab/>
        <w:t xml:space="preserve">wolumen kredytowych instrumentów pochodnych, o którym mowa w </w:t>
      </w:r>
      <w:r w:rsidRPr="002341B6">
        <w:t>pkt</w:t>
      </w:r>
      <w:r w:rsidR="002341B6" w:rsidRPr="002341B6">
        <w:t> </w:t>
      </w:r>
      <w:r w:rsidRPr="002341B6">
        <w:t>1</w:t>
      </w:r>
      <w:r w:rsidRPr="00AE79AC">
        <w:t>0, wynosi ponad 300</w:t>
      </w:r>
      <w:r w:rsidR="007E1921">
        <w:t> </w:t>
      </w:r>
      <w:r w:rsidRPr="00AE79AC">
        <w:t>mln EUR w przypadku dwóch kolejnych sprawozdawczych dni odniesienia;</w:t>
      </w:r>
    </w:p>
    <w:p w:rsidR="00675587" w:rsidRPr="00AE79AC" w:rsidRDefault="00500508" w:rsidP="00500508">
      <w:pPr>
        <w:pStyle w:val="InstructionsText2"/>
        <w:numPr>
          <w:ilvl w:val="0"/>
          <w:numId w:val="0"/>
        </w:numPr>
        <w:ind w:left="1080" w:hanging="360"/>
        <w:rPr>
          <w:rFonts w:ascii="Symbol" w:eastAsia="Times New Roman" w:hAnsi="Symbol"/>
          <w:bCs/>
          <w:szCs w:val="17"/>
        </w:rPr>
      </w:pPr>
      <w:r w:rsidRPr="00AE79AC">
        <w:tab/>
        <w:t xml:space="preserve">wolumen kredytowych instrumentów pochodnych, o którym mowa w </w:t>
      </w:r>
      <w:r w:rsidRPr="002341B6">
        <w:t>pkt</w:t>
      </w:r>
      <w:r w:rsidR="002341B6" w:rsidRPr="002341B6">
        <w:t> </w:t>
      </w:r>
      <w:r w:rsidRPr="002341B6">
        <w:t>1</w:t>
      </w:r>
      <w:r w:rsidRPr="00AE79AC">
        <w:t>0, przekracza 500 mln EUR.</w:t>
      </w:r>
    </w:p>
    <w:p w:rsidR="00F4754B" w:rsidRPr="00AE79AC" w:rsidRDefault="00F4754B" w:rsidP="00E5591F">
      <w:pPr>
        <w:pStyle w:val="BodyText1"/>
        <w:spacing w:line="240" w:lineRule="auto"/>
        <w:jc w:val="left"/>
        <w:rPr>
          <w:rFonts w:ascii="Times New Roman" w:hAnsi="Times New Roman"/>
        </w:rPr>
      </w:pPr>
    </w:p>
    <w:p w:rsidR="00F4754B" w:rsidRPr="00AE79AC" w:rsidRDefault="00500508" w:rsidP="00500508">
      <w:pPr>
        <w:pStyle w:val="BodyText1"/>
        <w:spacing w:line="240" w:lineRule="auto"/>
        <w:ind w:left="720" w:hanging="360"/>
        <w:rPr>
          <w:rFonts w:ascii="Times New Roman" w:hAnsi="Times New Roman"/>
        </w:rPr>
      </w:pPr>
      <w:r w:rsidRPr="00AE79AC">
        <w:rPr>
          <w:rFonts w:ascii="Times New Roman" w:hAnsi="Times New Roman"/>
        </w:rPr>
        <w:t>14.</w:t>
      </w:r>
      <w:r w:rsidRPr="00AE79AC">
        <w:tab/>
      </w:r>
      <w:r w:rsidRPr="00AE79AC">
        <w:rPr>
          <w:rFonts w:ascii="Times New Roman" w:hAnsi="Times New Roman"/>
        </w:rPr>
        <w:t xml:space="preserve">Instytucje mają obowiązek, zgodnie z </w:t>
      </w:r>
      <w:r w:rsidRPr="002341B6">
        <w:rPr>
          <w:rFonts w:ascii="Times New Roman" w:hAnsi="Times New Roman"/>
        </w:rPr>
        <w:t>pkt</w:t>
      </w:r>
      <w:r w:rsidR="002341B6" w:rsidRPr="002341B6">
        <w:rPr>
          <w:rFonts w:ascii="Times New Roman" w:hAnsi="Times New Roman"/>
        </w:rPr>
        <w:t> </w:t>
      </w:r>
      <w:r w:rsidRPr="002341B6">
        <w:rPr>
          <w:rFonts w:ascii="Times New Roman" w:hAnsi="Times New Roman"/>
        </w:rPr>
        <w:t>1</w:t>
      </w:r>
      <w:r w:rsidRPr="00AE79AC">
        <w:rPr>
          <w:rFonts w:ascii="Times New Roman" w:hAnsi="Times New Roman"/>
        </w:rPr>
        <w:t>1, zgłosić wartość następujących komórek: {LR1;010;010}, {LR1;010;020}, {LR1;010;050}, {LR1;020;010}, {LR1;020;020}, {LR1;020;050}, {LR1;030;050}, {LR1;030;070}, {LR1;040;050}, {LR1;040;070}, {LR1;050;010}, {LR1;050;020}, {LR1;050;050}, {LR1;060;010}, {LR1;060;020}, {LR1;060;050} oraz {LR1;060;070}.</w:t>
      </w:r>
    </w:p>
    <w:p w:rsidR="00FC2664" w:rsidRPr="00AE79AC" w:rsidRDefault="00FC2664" w:rsidP="007E2A41">
      <w:pPr>
        <w:pStyle w:val="BodyText1"/>
        <w:spacing w:line="240" w:lineRule="auto"/>
        <w:rPr>
          <w:rFonts w:ascii="Times New Roman" w:hAnsi="Times New Roman"/>
        </w:rPr>
      </w:pPr>
    </w:p>
    <w:p w:rsidR="00F4754B" w:rsidRPr="00AE79AC" w:rsidRDefault="00500508" w:rsidP="00500508">
      <w:pPr>
        <w:pStyle w:val="BodyText1"/>
        <w:spacing w:line="240" w:lineRule="auto"/>
        <w:ind w:left="720" w:hanging="360"/>
        <w:rPr>
          <w:rFonts w:ascii="Times New Roman" w:hAnsi="Times New Roman"/>
        </w:rPr>
      </w:pPr>
      <w:r w:rsidRPr="00AE79AC">
        <w:rPr>
          <w:rFonts w:ascii="Times New Roman" w:hAnsi="Times New Roman"/>
        </w:rPr>
        <w:t>15.</w:t>
      </w:r>
      <w:r w:rsidRPr="00AE79AC">
        <w:tab/>
      </w:r>
      <w:r w:rsidRPr="00AE79AC">
        <w:rPr>
          <w:rFonts w:ascii="Times New Roman" w:hAnsi="Times New Roman"/>
        </w:rPr>
        <w:t xml:space="preserve">Instytucje mają obowiązek, zgodnie z </w:t>
      </w:r>
      <w:r w:rsidRPr="002341B6">
        <w:rPr>
          <w:rFonts w:ascii="Times New Roman" w:hAnsi="Times New Roman"/>
        </w:rPr>
        <w:t>pkt</w:t>
      </w:r>
      <w:r w:rsidR="002341B6" w:rsidRPr="002341B6">
        <w:rPr>
          <w:rFonts w:ascii="Times New Roman" w:hAnsi="Times New Roman"/>
        </w:rPr>
        <w:t> </w:t>
      </w:r>
      <w:r w:rsidRPr="002341B6">
        <w:rPr>
          <w:rFonts w:ascii="Times New Roman" w:hAnsi="Times New Roman"/>
        </w:rPr>
        <w:t>1</w:t>
      </w:r>
      <w:r w:rsidRPr="00AE79AC">
        <w:rPr>
          <w:rFonts w:ascii="Times New Roman" w:hAnsi="Times New Roman"/>
        </w:rPr>
        <w:t>3, zgłosić wartość następujących komórek: {LR1;020;075}, {LR1;050;075} oraz {LR1;050;085}.</w:t>
      </w:r>
    </w:p>
    <w:p w:rsidR="00FC2664" w:rsidRPr="00AE79AC" w:rsidRDefault="00FC2664" w:rsidP="007E2A41">
      <w:pPr>
        <w:pStyle w:val="BodyText1"/>
        <w:spacing w:line="240" w:lineRule="auto"/>
        <w:rPr>
          <w:rFonts w:ascii="Times New Roman" w:hAnsi="Times New Roman"/>
        </w:rPr>
      </w:pPr>
    </w:p>
    <w:p w:rsidR="00FC2664" w:rsidRPr="00AE79AC" w:rsidRDefault="00FC2664" w:rsidP="007E2A41">
      <w:pPr>
        <w:pStyle w:val="BodyText1"/>
        <w:spacing w:line="240" w:lineRule="auto"/>
        <w:rPr>
          <w:rFonts w:ascii="Times New Roman" w:hAnsi="Times New Roman"/>
          <w:b/>
        </w:rPr>
      </w:pPr>
      <w:bookmarkStart w:id="52" w:name="_Toc351048506"/>
      <w:bookmarkStart w:id="53" w:name="_Toc322687879"/>
      <w:bookmarkStart w:id="54" w:name="_Toc315961853"/>
      <w:bookmarkEnd w:id="51"/>
    </w:p>
    <w:p w:rsidR="00217D1F" w:rsidRPr="00AE79AC" w:rsidRDefault="00500508" w:rsidP="00500508">
      <w:pPr>
        <w:pStyle w:val="BodyText1"/>
        <w:ind w:left="357" w:hanging="357"/>
        <w:outlineLvl w:val="1"/>
        <w:rPr>
          <w:rFonts w:ascii="Times New Roman" w:hAnsi="Times New Roman"/>
          <w:b/>
        </w:rPr>
      </w:pPr>
      <w:bookmarkStart w:id="55" w:name="_Toc359414285"/>
      <w:bookmarkStart w:id="56" w:name="_Toc423089070"/>
      <w:bookmarkStart w:id="57" w:name="_Toc520369403"/>
      <w:r w:rsidRPr="00AE79AC">
        <w:rPr>
          <w:rFonts w:ascii="Times New Roman" w:hAnsi="Times New Roman"/>
          <w:b/>
        </w:rPr>
        <w:t>4.</w:t>
      </w:r>
      <w:r w:rsidRPr="00AE79AC">
        <w:tab/>
      </w:r>
      <w:r w:rsidRPr="00AE79AC">
        <w:rPr>
          <w:rFonts w:ascii="Times New Roman" w:hAnsi="Times New Roman"/>
          <w:b/>
        </w:rPr>
        <w:t>C 47.00 – Obliczanie wskaźnika dźwigni</w:t>
      </w:r>
      <w:bookmarkEnd w:id="52"/>
      <w:bookmarkEnd w:id="55"/>
      <w:r w:rsidRPr="00AE79AC">
        <w:rPr>
          <w:rFonts w:ascii="Times New Roman" w:hAnsi="Times New Roman"/>
          <w:b/>
        </w:rPr>
        <w:t xml:space="preserve"> (LRCalc)</w:t>
      </w:r>
      <w:bookmarkEnd w:id="56"/>
      <w:bookmarkEnd w:id="57"/>
    </w:p>
    <w:p w:rsidR="00F4754B" w:rsidRPr="00AE79AC" w:rsidRDefault="00F4754B" w:rsidP="00F4754B">
      <w:pPr>
        <w:pStyle w:val="BodyText1"/>
        <w:rPr>
          <w:rFonts w:ascii="Times New Roman" w:hAnsi="Times New Roman"/>
        </w:rPr>
      </w:pPr>
    </w:p>
    <w:p w:rsidR="00AE2798" w:rsidRPr="00AE79AC" w:rsidRDefault="00AE2798" w:rsidP="00AE2798">
      <w:pPr>
        <w:pStyle w:val="BodyText1"/>
        <w:spacing w:line="240" w:lineRule="auto"/>
        <w:rPr>
          <w:rFonts w:ascii="Times New Roman" w:hAnsi="Times New Roman"/>
        </w:rPr>
      </w:pPr>
    </w:p>
    <w:p w:rsidR="00AE2798" w:rsidRPr="00AE79AC" w:rsidRDefault="00500508" w:rsidP="00500508">
      <w:pPr>
        <w:pStyle w:val="BodyText1"/>
        <w:spacing w:line="240" w:lineRule="auto"/>
        <w:ind w:left="720" w:hanging="360"/>
        <w:rPr>
          <w:rFonts w:ascii="Times New Roman" w:hAnsi="Times New Roman"/>
        </w:rPr>
      </w:pPr>
      <w:r w:rsidRPr="00AE79AC">
        <w:rPr>
          <w:rFonts w:ascii="Times New Roman" w:hAnsi="Times New Roman"/>
        </w:rPr>
        <w:t>16.</w:t>
      </w:r>
      <w:r w:rsidRPr="00AE79AC">
        <w:tab/>
      </w:r>
      <w:r w:rsidRPr="00AE79AC">
        <w:rPr>
          <w:rFonts w:ascii="Times New Roman" w:hAnsi="Times New Roman"/>
        </w:rPr>
        <w:t xml:space="preserve">W niniejszej części wzoru na potrzeby sprawozdawczości zawarto dane, które potrzebne są do obliczenia wskaźnika dźwigni zdefiniowanego w art. 429, 429a oraz 429b CRR. </w:t>
      </w:r>
    </w:p>
    <w:p w:rsidR="00AE2798" w:rsidRPr="00AE79AC" w:rsidRDefault="00AE2798" w:rsidP="00AE2798">
      <w:pPr>
        <w:pStyle w:val="BodyText1"/>
        <w:spacing w:line="240" w:lineRule="auto"/>
        <w:rPr>
          <w:rFonts w:ascii="Times New Roman" w:hAnsi="Times New Roman"/>
        </w:rPr>
      </w:pPr>
    </w:p>
    <w:p w:rsidR="00AE2798" w:rsidRPr="00AE79AC" w:rsidRDefault="00500508" w:rsidP="00500508">
      <w:pPr>
        <w:pStyle w:val="BodyText1"/>
        <w:spacing w:line="240" w:lineRule="auto"/>
        <w:ind w:left="720" w:hanging="360"/>
        <w:rPr>
          <w:rFonts w:ascii="Times New Roman" w:hAnsi="Times New Roman"/>
        </w:rPr>
      </w:pPr>
      <w:r w:rsidRPr="00AE79AC">
        <w:rPr>
          <w:rFonts w:ascii="Times New Roman" w:hAnsi="Times New Roman"/>
        </w:rPr>
        <w:t>17.</w:t>
      </w:r>
      <w:r w:rsidRPr="00AE79AC">
        <w:tab/>
      </w:r>
      <w:r w:rsidRPr="00AE79AC">
        <w:rPr>
          <w:rFonts w:ascii="Times New Roman" w:hAnsi="Times New Roman"/>
        </w:rPr>
        <w:t>Instytucje przekazują sprawozdania na temat wskaźnika dźwigni co kwartał. W każdym kwartale wartość „na sprawozdawczy dzień odniesienia” oznacza wartość na ostatni kalendarzowy dzień trzeciego miesiąca danego kwartału.</w:t>
      </w:r>
    </w:p>
    <w:p w:rsidR="00C151ED" w:rsidRPr="00AE79AC" w:rsidRDefault="00C151ED" w:rsidP="00FD2C06">
      <w:pPr>
        <w:pStyle w:val="BodyText1"/>
        <w:spacing w:line="240" w:lineRule="auto"/>
        <w:ind w:left="720"/>
        <w:rPr>
          <w:rFonts w:ascii="Times New Roman" w:hAnsi="Times New Roman"/>
        </w:rPr>
      </w:pPr>
    </w:p>
    <w:p w:rsidR="00B011A0" w:rsidRPr="00AE79AC" w:rsidRDefault="00500508" w:rsidP="00500508">
      <w:pPr>
        <w:pStyle w:val="BodyText1"/>
        <w:spacing w:line="240" w:lineRule="auto"/>
        <w:ind w:left="720" w:hanging="360"/>
        <w:rPr>
          <w:rFonts w:ascii="Times New Roman" w:hAnsi="Times New Roman"/>
        </w:rPr>
      </w:pPr>
      <w:r w:rsidRPr="00AE79AC">
        <w:rPr>
          <w:rFonts w:ascii="Times New Roman" w:hAnsi="Times New Roman"/>
        </w:rPr>
        <w:t>18.</w:t>
      </w:r>
      <w:r w:rsidRPr="00AE79AC">
        <w:tab/>
      </w:r>
      <w:r w:rsidRPr="00AE79AC">
        <w:rPr>
          <w:rFonts w:ascii="Times New Roman" w:hAnsi="Times New Roman"/>
        </w:rPr>
        <w:t>Instytucje zgłaszają komórki od {010;010} do {030;010}, {060;010}, {090;010}, {110;010} oraz od {150;010} do {190;010}, jak gdyby nie miały zastosowania wyłączenia określone w komórkach {050;010}, {080;010}, {100;010}, {120;010} i {220;010}.</w:t>
      </w:r>
    </w:p>
    <w:p w:rsidR="00F36D5B" w:rsidRPr="00AE79AC" w:rsidRDefault="00F36D5B" w:rsidP="00FD2C06">
      <w:pPr>
        <w:pStyle w:val="BodyText1"/>
        <w:spacing w:line="240" w:lineRule="auto"/>
        <w:ind w:left="720"/>
        <w:rPr>
          <w:rFonts w:ascii="Times New Roman" w:hAnsi="Times New Roman"/>
        </w:rPr>
      </w:pPr>
    </w:p>
    <w:p w:rsidR="00F36D5B" w:rsidRPr="00AE79AC" w:rsidRDefault="00500508" w:rsidP="00500508">
      <w:pPr>
        <w:pStyle w:val="BodyText1"/>
        <w:spacing w:line="240" w:lineRule="auto"/>
        <w:ind w:left="720" w:hanging="360"/>
        <w:rPr>
          <w:rFonts w:ascii="Times New Roman" w:hAnsi="Times New Roman"/>
        </w:rPr>
      </w:pPr>
      <w:r w:rsidRPr="00AE79AC">
        <w:rPr>
          <w:rFonts w:ascii="Times New Roman" w:hAnsi="Times New Roman"/>
        </w:rPr>
        <w:t>19.</w:t>
      </w:r>
      <w:r w:rsidRPr="00AE79AC">
        <w:tab/>
      </w:r>
      <w:r w:rsidRPr="00AE79AC">
        <w:rPr>
          <w:rFonts w:ascii="Times New Roman" w:hAnsi="Times New Roman"/>
        </w:rPr>
        <w:t>Instytucje zgłaszają komórki od {010;010} do {240;010}, jak gdyby nie miały zastosowania wyłączenia określone w komórkach {250;010} i {260;010}.</w:t>
      </w:r>
    </w:p>
    <w:p w:rsidR="00720503" w:rsidRPr="00AE79AC" w:rsidRDefault="00720503" w:rsidP="00FD2C06">
      <w:pPr>
        <w:pStyle w:val="ListParagraph"/>
        <w:rPr>
          <w:rFonts w:ascii="Times New Roman" w:hAnsi="Times New Roman"/>
        </w:rPr>
      </w:pPr>
    </w:p>
    <w:p w:rsidR="00720503" w:rsidRPr="00AE79AC" w:rsidRDefault="00500508" w:rsidP="00500508">
      <w:pPr>
        <w:pStyle w:val="InstructionsText2"/>
        <w:numPr>
          <w:ilvl w:val="0"/>
          <w:numId w:val="0"/>
        </w:numPr>
        <w:ind w:left="720" w:hanging="360"/>
      </w:pPr>
      <w:r w:rsidRPr="00AE79AC">
        <w:t>20.</w:t>
      </w:r>
      <w:r w:rsidRPr="00AE79AC">
        <w:tab/>
        <w:t>Każdą kwotę, która zwiększa fundusze własne lub wartość ekspozycji wskaźnika dźwigni, zgłasza się jako wartość dodatnią. Każdą kwotę, która zmniejsza sumę funduszy własnych lub wartość ekspozycji wskaźnika dźwigni, zgłasza się natomiast jako wartość ujemną. Jeżeli przed oznaczeniem pozycji znajduje się znak ujemny (-), dla tej pozycji nie oczekuje się zgłoszenia wartości dodatniej.</w:t>
      </w:r>
    </w:p>
    <w:p w:rsidR="00720503" w:rsidRPr="00AE79AC" w:rsidRDefault="00720503" w:rsidP="00FD2C06">
      <w:pPr>
        <w:pStyle w:val="BodyText1"/>
        <w:spacing w:line="240" w:lineRule="auto"/>
        <w:ind w:left="720"/>
        <w:rPr>
          <w:rFonts w:ascii="Times New Roman" w:hAnsi="Times New Roman"/>
        </w:rPr>
      </w:pPr>
    </w:p>
    <w:p w:rsidR="00AE2798" w:rsidRPr="00AE79AC" w:rsidRDefault="00AE2798" w:rsidP="00AE2798">
      <w:pPr>
        <w:pStyle w:val="BodyText1"/>
        <w:rPr>
          <w:rFonts w:ascii="Times New Roman" w:hAnsi="Times New Roman"/>
        </w:rPr>
      </w:pPr>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AE2798" w:rsidRPr="00AE79AC" w:rsidTr="00FE0FF1">
        <w:trPr>
          <w:trHeight w:val="304"/>
        </w:trPr>
        <w:tc>
          <w:tcPr>
            <w:tcW w:w="1418" w:type="dxa"/>
            <w:shd w:val="clear" w:color="auto" w:fill="D9D9D9"/>
          </w:tcPr>
          <w:p w:rsidR="00AE2798" w:rsidRPr="00AE79AC" w:rsidRDefault="00AE2798" w:rsidP="00FE0FF1">
            <w:pPr>
              <w:pStyle w:val="BodyText1"/>
              <w:rPr>
                <w:rFonts w:ascii="Times New Roman" w:hAnsi="Times New Roman"/>
              </w:rPr>
            </w:pPr>
          </w:p>
        </w:tc>
        <w:tc>
          <w:tcPr>
            <w:tcW w:w="7590" w:type="dxa"/>
            <w:shd w:val="clear" w:color="auto" w:fill="D9D9D9"/>
          </w:tcPr>
          <w:p w:rsidR="00AE2798" w:rsidRPr="00AE79AC" w:rsidRDefault="00AE2798" w:rsidP="00FE0FF1">
            <w:pPr>
              <w:pStyle w:val="BodyText1"/>
              <w:rPr>
                <w:rFonts w:ascii="Times New Roman" w:hAnsi="Times New Roman"/>
                <w:bCs/>
                <w:u w:val="single"/>
              </w:rPr>
            </w:pPr>
            <w:r w:rsidRPr="00AE79AC">
              <w:rPr>
                <w:rFonts w:ascii="Times New Roman" w:hAnsi="Times New Roman"/>
              </w:rPr>
              <w:t>Odniesienia prawne i instrukcje</w:t>
            </w:r>
          </w:p>
        </w:tc>
      </w:tr>
      <w:tr w:rsidR="00AE2798" w:rsidRPr="00AE79AC" w:rsidTr="00FE0FF1">
        <w:trPr>
          <w:trHeight w:val="304"/>
        </w:trPr>
        <w:tc>
          <w:tcPr>
            <w:tcW w:w="1418" w:type="dxa"/>
            <w:shd w:val="clear" w:color="auto" w:fill="D9D9D9"/>
          </w:tcPr>
          <w:p w:rsidR="00AE2798" w:rsidRPr="00AE79AC" w:rsidRDefault="00AE2798" w:rsidP="00500508">
            <w:pPr>
              <w:pStyle w:val="BodyText1"/>
              <w:rPr>
                <w:rFonts w:ascii="Times New Roman" w:hAnsi="Times New Roman"/>
                <w:b/>
              </w:rPr>
            </w:pPr>
            <w:r w:rsidRPr="00AE79AC">
              <w:rPr>
                <w:rFonts w:ascii="Times New Roman" w:hAnsi="Times New Roman"/>
                <w:b/>
              </w:rPr>
              <w:t>Wiersz i kolumna</w:t>
            </w:r>
          </w:p>
        </w:tc>
        <w:tc>
          <w:tcPr>
            <w:tcW w:w="7590" w:type="dxa"/>
            <w:shd w:val="clear" w:color="auto" w:fill="D9D9D9"/>
          </w:tcPr>
          <w:p w:rsidR="00AE2798" w:rsidRPr="00AE79AC" w:rsidRDefault="00AE2798" w:rsidP="00FE0FF1">
            <w:pPr>
              <w:pStyle w:val="BodyText1"/>
              <w:rPr>
                <w:rFonts w:ascii="Times New Roman" w:hAnsi="Times New Roman"/>
                <w:b/>
                <w:bCs/>
              </w:rPr>
            </w:pPr>
            <w:r w:rsidRPr="00AE79AC">
              <w:rPr>
                <w:rFonts w:ascii="Times New Roman" w:hAnsi="Times New Roman"/>
                <w:b/>
              </w:rPr>
              <w:t>Wartości ekspozycji</w:t>
            </w:r>
          </w:p>
        </w:tc>
      </w:tr>
      <w:tr w:rsidR="00AE2798" w:rsidRPr="00AE79AC" w:rsidTr="00FE0FF1">
        <w:trPr>
          <w:trHeight w:val="304"/>
        </w:trPr>
        <w:tc>
          <w:tcPr>
            <w:tcW w:w="1418" w:type="dxa"/>
          </w:tcPr>
          <w:p w:rsidR="00AE2798" w:rsidRPr="00AE79AC" w:rsidRDefault="00AE2798" w:rsidP="00FE0FF1">
            <w:pPr>
              <w:pStyle w:val="BodyText1"/>
              <w:rPr>
                <w:rFonts w:ascii="Times New Roman" w:hAnsi="Times New Roman"/>
                <w:bCs/>
              </w:rPr>
            </w:pPr>
            <w:r w:rsidRPr="00AE79AC">
              <w:rPr>
                <w:rFonts w:ascii="Times New Roman" w:hAnsi="Times New Roman"/>
              </w:rPr>
              <w:t>{010;010}</w:t>
            </w:r>
          </w:p>
          <w:p w:rsidR="00AE2798" w:rsidRPr="00AE79AC" w:rsidRDefault="00AE2798" w:rsidP="00FE0FF1">
            <w:pPr>
              <w:pStyle w:val="BodyText1"/>
              <w:rPr>
                <w:rFonts w:ascii="Times New Roman" w:hAnsi="Times New Roman"/>
                <w:bCs/>
              </w:rPr>
            </w:pPr>
          </w:p>
        </w:tc>
        <w:tc>
          <w:tcPr>
            <w:tcW w:w="7590" w:type="dxa"/>
          </w:tcPr>
          <w:p w:rsidR="00AE2798" w:rsidRPr="00AE79AC" w:rsidRDefault="00AE2798" w:rsidP="00FE0FF1">
            <w:pPr>
              <w:pStyle w:val="BodyText1"/>
              <w:spacing w:line="240" w:lineRule="auto"/>
              <w:rPr>
                <w:rFonts w:ascii="Times New Roman" w:hAnsi="Times New Roman"/>
                <w:b/>
                <w:bCs/>
                <w:u w:val="single"/>
              </w:rPr>
            </w:pPr>
            <w:r w:rsidRPr="00AE79AC">
              <w:rPr>
                <w:rFonts w:ascii="Times New Roman" w:hAnsi="Times New Roman"/>
                <w:b/>
              </w:rPr>
              <w:t xml:space="preserve">SFT: Ekspozycje zgodnie z </w:t>
            </w:r>
            <w:r w:rsidRPr="002341B6">
              <w:rPr>
                <w:rFonts w:ascii="Times New Roman" w:hAnsi="Times New Roman"/>
                <w:b/>
              </w:rPr>
              <w:t>art.</w:t>
            </w:r>
            <w:r w:rsidR="002341B6" w:rsidRPr="002341B6">
              <w:rPr>
                <w:rFonts w:ascii="Times New Roman" w:hAnsi="Times New Roman"/>
                <w:b/>
              </w:rPr>
              <w:t> </w:t>
            </w:r>
            <w:r w:rsidRPr="002341B6">
              <w:rPr>
                <w:rFonts w:ascii="Times New Roman" w:hAnsi="Times New Roman"/>
                <w:b/>
              </w:rPr>
              <w:t>4</w:t>
            </w:r>
            <w:r w:rsidRPr="00AE79AC">
              <w:rPr>
                <w:rFonts w:ascii="Times New Roman" w:hAnsi="Times New Roman"/>
                <w:b/>
              </w:rPr>
              <w:t xml:space="preserve">29 </w:t>
            </w:r>
            <w:r w:rsidRPr="002341B6">
              <w:rPr>
                <w:rFonts w:ascii="Times New Roman" w:hAnsi="Times New Roman"/>
                <w:b/>
              </w:rPr>
              <w:t>ust.</w:t>
            </w:r>
            <w:r w:rsidR="002341B6" w:rsidRPr="002341B6">
              <w:rPr>
                <w:rFonts w:ascii="Times New Roman" w:hAnsi="Times New Roman"/>
                <w:b/>
              </w:rPr>
              <w:t> </w:t>
            </w:r>
            <w:r w:rsidRPr="002341B6">
              <w:rPr>
                <w:rFonts w:ascii="Times New Roman" w:hAnsi="Times New Roman"/>
                <w:b/>
              </w:rPr>
              <w:t>5</w:t>
            </w:r>
            <w:r w:rsidRPr="00AE79AC">
              <w:rPr>
                <w:rFonts w:ascii="Times New Roman" w:hAnsi="Times New Roman"/>
                <w:b/>
              </w:rPr>
              <w:t xml:space="preserve"> i </w:t>
            </w:r>
            <w:r w:rsidRPr="002341B6">
              <w:rPr>
                <w:rFonts w:ascii="Times New Roman" w:hAnsi="Times New Roman"/>
                <w:b/>
              </w:rPr>
              <w:t>art.</w:t>
            </w:r>
            <w:r w:rsidR="002341B6" w:rsidRPr="002341B6">
              <w:rPr>
                <w:rFonts w:ascii="Times New Roman" w:hAnsi="Times New Roman"/>
                <w:b/>
              </w:rPr>
              <w:t> </w:t>
            </w:r>
            <w:r w:rsidRPr="002341B6">
              <w:rPr>
                <w:rFonts w:ascii="Times New Roman" w:hAnsi="Times New Roman"/>
                <w:b/>
              </w:rPr>
              <w:t>4</w:t>
            </w:r>
            <w:r w:rsidRPr="00AE79AC">
              <w:rPr>
                <w:rFonts w:ascii="Times New Roman" w:hAnsi="Times New Roman"/>
                <w:b/>
              </w:rPr>
              <w:t xml:space="preserve">29 </w:t>
            </w:r>
            <w:r w:rsidRPr="002341B6">
              <w:rPr>
                <w:rFonts w:ascii="Times New Roman" w:hAnsi="Times New Roman"/>
                <w:b/>
              </w:rPr>
              <w:t>ust.</w:t>
            </w:r>
            <w:r w:rsidR="002341B6" w:rsidRPr="002341B6">
              <w:rPr>
                <w:rFonts w:ascii="Times New Roman" w:hAnsi="Times New Roman"/>
                <w:b/>
              </w:rPr>
              <w:t> </w:t>
            </w:r>
            <w:r w:rsidRPr="002341B6">
              <w:rPr>
                <w:rFonts w:ascii="Times New Roman" w:hAnsi="Times New Roman"/>
                <w:b/>
              </w:rPr>
              <w:t>8</w:t>
            </w:r>
            <w:r w:rsidRPr="00AE79AC">
              <w:rPr>
                <w:rFonts w:ascii="Times New Roman" w:hAnsi="Times New Roman"/>
                <w:b/>
              </w:rPr>
              <w:t xml:space="preserve"> CRR</w:t>
            </w:r>
          </w:p>
          <w:p w:rsidR="00AE2798" w:rsidRPr="00AE79AC" w:rsidRDefault="00AE2798" w:rsidP="00FE0FF1">
            <w:pPr>
              <w:pStyle w:val="BodyText1"/>
              <w:spacing w:line="240" w:lineRule="auto"/>
              <w:rPr>
                <w:rFonts w:ascii="Times New Roman" w:hAnsi="Times New Roman"/>
                <w:bCs/>
              </w:rPr>
            </w:pPr>
          </w:p>
          <w:p w:rsidR="00AE2798" w:rsidRPr="00AE79AC" w:rsidRDefault="00AE2798" w:rsidP="00FE0FF1">
            <w:pPr>
              <w:pStyle w:val="BodyText1"/>
              <w:spacing w:line="240" w:lineRule="auto"/>
              <w:rPr>
                <w:rFonts w:ascii="Times New Roman" w:hAnsi="Times New Roman"/>
                <w:bCs/>
              </w:rPr>
            </w:pPr>
            <w:r w:rsidRPr="00AE79AC">
              <w:rPr>
                <w:rFonts w:ascii="Times New Roman" w:hAnsi="Times New Roman"/>
              </w:rPr>
              <w:t>Art. 429 ust. 5 lit. d) i art. 429 ust. 8 CRR</w:t>
            </w:r>
          </w:p>
          <w:p w:rsidR="00AE2798" w:rsidRPr="00AE79AC" w:rsidRDefault="00AE2798" w:rsidP="00FE0FF1">
            <w:pPr>
              <w:pStyle w:val="BodyText1"/>
              <w:spacing w:line="240" w:lineRule="auto"/>
              <w:rPr>
                <w:rFonts w:ascii="Times New Roman" w:hAnsi="Times New Roman"/>
              </w:rPr>
            </w:pPr>
          </w:p>
          <w:p w:rsidR="00AE2798" w:rsidRPr="00AE79AC" w:rsidRDefault="00AE2798" w:rsidP="00FE0FF1">
            <w:pPr>
              <w:pStyle w:val="BodyText1"/>
              <w:spacing w:line="240" w:lineRule="auto"/>
              <w:rPr>
                <w:rFonts w:ascii="Times New Roman" w:hAnsi="Times New Roman"/>
                <w:bCs/>
              </w:rPr>
            </w:pPr>
            <w:r w:rsidRPr="00AE79AC">
              <w:rPr>
                <w:rFonts w:ascii="Times New Roman" w:hAnsi="Times New Roman"/>
              </w:rPr>
              <w:t xml:space="preserve">Ekspozycje z tytułu SFT zgodnie z art. 429 ust. 5 lit. d) i art. 429 ust. 8 CRR. </w:t>
            </w:r>
          </w:p>
          <w:p w:rsidR="00AE2798" w:rsidRPr="00AE79AC" w:rsidRDefault="00AE2798" w:rsidP="00FE0FF1">
            <w:pPr>
              <w:pStyle w:val="BodyText1"/>
              <w:spacing w:line="240" w:lineRule="auto"/>
              <w:rPr>
                <w:rFonts w:ascii="Times New Roman" w:hAnsi="Times New Roman"/>
                <w:bCs/>
              </w:rPr>
            </w:pPr>
          </w:p>
          <w:p w:rsidR="00AE2798" w:rsidRPr="00AE79AC" w:rsidRDefault="00AE2798" w:rsidP="00FE0FF1">
            <w:pPr>
              <w:pStyle w:val="BodyText1"/>
              <w:spacing w:line="240" w:lineRule="auto"/>
              <w:rPr>
                <w:rFonts w:ascii="Times New Roman" w:hAnsi="Times New Roman"/>
                <w:bCs/>
              </w:rPr>
            </w:pPr>
            <w:r w:rsidRPr="00AE79AC">
              <w:rPr>
                <w:rFonts w:ascii="Times New Roman" w:hAnsi="Times New Roman"/>
              </w:rPr>
              <w:t>W tej komórce instytucje uwzględniają transakcje zgodnie z art. 429b ust. 6 lit. c).</w:t>
            </w:r>
          </w:p>
          <w:p w:rsidR="00AE2798" w:rsidRPr="00AE79AC" w:rsidRDefault="00AE2798" w:rsidP="00FE0FF1">
            <w:pPr>
              <w:pStyle w:val="BodyText1"/>
              <w:spacing w:line="240" w:lineRule="auto"/>
              <w:rPr>
                <w:rFonts w:ascii="Times New Roman" w:hAnsi="Times New Roman"/>
                <w:bCs/>
              </w:rPr>
            </w:pPr>
          </w:p>
          <w:p w:rsidR="00AE2798" w:rsidRPr="00AE79AC" w:rsidRDefault="00AE2798" w:rsidP="00FE0FF1">
            <w:pPr>
              <w:pStyle w:val="BodyText1"/>
              <w:spacing w:line="240" w:lineRule="auto"/>
              <w:rPr>
                <w:rFonts w:ascii="Times New Roman" w:hAnsi="Times New Roman"/>
                <w:bCs/>
              </w:rPr>
            </w:pPr>
            <w:r w:rsidRPr="00AE79AC">
              <w:rPr>
                <w:rFonts w:ascii="Times New Roman" w:hAnsi="Times New Roman"/>
              </w:rPr>
              <w:t>W tej komórce instytucje nie uwzględniają otrzymanych środków pieniężnych ani żadnych papierów wartościowych przekazanych kontrahentowi w ramach wyżej wymienionych transakcji i zachowanych w bilansie (tj. nie zostały spełnione kryteria rachunkowe w</w:t>
            </w:r>
            <w:r w:rsidR="007E1921">
              <w:rPr>
                <w:rFonts w:ascii="Times New Roman" w:hAnsi="Times New Roman"/>
              </w:rPr>
              <w:t> </w:t>
            </w:r>
            <w:r w:rsidRPr="00AE79AC">
              <w:rPr>
                <w:rFonts w:ascii="Times New Roman" w:hAnsi="Times New Roman"/>
              </w:rPr>
              <w:t>zakresie usunięcia z bilansu). Instytucje podają natomiast te pozycje w komórce {190,010}.</w:t>
            </w:r>
          </w:p>
          <w:p w:rsidR="00AE2798" w:rsidRPr="00AE79AC" w:rsidRDefault="00AE2798" w:rsidP="00FE0FF1">
            <w:pPr>
              <w:pStyle w:val="BodyText1"/>
              <w:spacing w:line="240" w:lineRule="auto"/>
              <w:rPr>
                <w:rFonts w:ascii="Times New Roman" w:hAnsi="Times New Roman"/>
                <w:bCs/>
              </w:rPr>
            </w:pPr>
          </w:p>
          <w:p w:rsidR="00AE2798" w:rsidRPr="00AE79AC" w:rsidRDefault="00AE2798" w:rsidP="00FE0FF1">
            <w:pPr>
              <w:pStyle w:val="BodyText1"/>
              <w:spacing w:line="240" w:lineRule="auto"/>
              <w:rPr>
                <w:rFonts w:ascii="Times New Roman" w:hAnsi="Times New Roman"/>
                <w:bCs/>
              </w:rPr>
            </w:pPr>
            <w:r w:rsidRPr="00AE79AC">
              <w:rPr>
                <w:rFonts w:ascii="Times New Roman" w:hAnsi="Times New Roman"/>
              </w:rPr>
              <w:t>Instytucje nie uwzględniają w tej komórce SFT zawieranych przez pośrednika, jeżeli instytucja udziela klientowi lub kontrahentowi zabezpieczenia lub gwarancji, ograniczających się do różnicy między wartością papierów wartościowych lub środków pieniężnych pożyczonych przez klienta a wartością zabezpieczenia zapewnionego przez kredytobiorcę zgodnie z art. 429b ust. 6 lit. a) CRR.</w:t>
            </w:r>
          </w:p>
          <w:p w:rsidR="00AE2798" w:rsidRPr="00AE79AC" w:rsidRDefault="00AE2798" w:rsidP="00FE0FF1">
            <w:pPr>
              <w:pStyle w:val="BodyText1"/>
              <w:spacing w:line="240" w:lineRule="auto"/>
              <w:rPr>
                <w:rFonts w:ascii="Times New Roman" w:hAnsi="Times New Roman"/>
                <w:bCs/>
                <w:u w:val="single"/>
              </w:rPr>
            </w:pPr>
          </w:p>
        </w:tc>
      </w:tr>
      <w:tr w:rsidR="00AE2798" w:rsidRPr="00AE79AC" w:rsidTr="00FE0FF1">
        <w:trPr>
          <w:trHeight w:val="304"/>
        </w:trPr>
        <w:tc>
          <w:tcPr>
            <w:tcW w:w="1418" w:type="dxa"/>
          </w:tcPr>
          <w:p w:rsidR="00AE2798" w:rsidRPr="00AE79AC" w:rsidRDefault="00AE2798" w:rsidP="00F71081">
            <w:pPr>
              <w:pStyle w:val="BodyText1"/>
              <w:rPr>
                <w:rFonts w:ascii="Times New Roman" w:hAnsi="Times New Roman"/>
                <w:bCs/>
              </w:rPr>
            </w:pPr>
            <w:r w:rsidRPr="00AE79AC">
              <w:rPr>
                <w:rFonts w:ascii="Times New Roman" w:hAnsi="Times New Roman"/>
              </w:rPr>
              <w:t>{020;010}</w:t>
            </w:r>
          </w:p>
        </w:tc>
        <w:tc>
          <w:tcPr>
            <w:tcW w:w="7590" w:type="dxa"/>
          </w:tcPr>
          <w:p w:rsidR="00AE2798" w:rsidRPr="00AE79AC" w:rsidRDefault="00AE2798" w:rsidP="00FE0FF1">
            <w:pPr>
              <w:pStyle w:val="BodyText1"/>
              <w:spacing w:line="240" w:lineRule="auto"/>
              <w:rPr>
                <w:rFonts w:ascii="Times New Roman" w:hAnsi="Times New Roman"/>
                <w:b/>
                <w:bCs/>
              </w:rPr>
            </w:pPr>
            <w:r w:rsidRPr="00AE79AC">
              <w:rPr>
                <w:rFonts w:ascii="Times New Roman" w:hAnsi="Times New Roman"/>
                <w:b/>
              </w:rPr>
              <w:t>SFT: Narzut z tytułu ryzyka kredytowego kontrahenta</w:t>
            </w:r>
          </w:p>
          <w:p w:rsidR="00AE2798" w:rsidRPr="00AE79AC" w:rsidRDefault="00AE2798" w:rsidP="00FE0FF1">
            <w:pPr>
              <w:pStyle w:val="BodyText1"/>
              <w:spacing w:line="240" w:lineRule="auto"/>
              <w:rPr>
                <w:rFonts w:ascii="Times New Roman" w:hAnsi="Times New Roman"/>
                <w:bCs/>
              </w:rPr>
            </w:pPr>
          </w:p>
          <w:p w:rsidR="00AE2798" w:rsidRPr="00AE79AC" w:rsidRDefault="00AE2798" w:rsidP="00FE0FF1">
            <w:pPr>
              <w:pStyle w:val="BodyText1"/>
              <w:spacing w:line="240" w:lineRule="auto"/>
              <w:rPr>
                <w:rFonts w:ascii="Times New Roman" w:hAnsi="Times New Roman"/>
                <w:bCs/>
              </w:rPr>
            </w:pPr>
            <w:r w:rsidRPr="00AE79AC">
              <w:rPr>
                <w:rFonts w:ascii="Times New Roman" w:hAnsi="Times New Roman"/>
              </w:rPr>
              <w:t>Art. 429b ust. 1 CRR</w:t>
            </w:r>
          </w:p>
          <w:p w:rsidR="00AE2798" w:rsidRPr="00AE79AC" w:rsidRDefault="00AE2798" w:rsidP="00FE0FF1">
            <w:pPr>
              <w:pStyle w:val="BodyText1"/>
              <w:spacing w:line="240" w:lineRule="auto"/>
              <w:rPr>
                <w:rFonts w:ascii="Times New Roman" w:hAnsi="Times New Roman"/>
                <w:bCs/>
              </w:rPr>
            </w:pPr>
          </w:p>
          <w:p w:rsidR="00AE2798" w:rsidRPr="00AE79AC" w:rsidRDefault="00AE2798" w:rsidP="00FE0FF1">
            <w:pPr>
              <w:pStyle w:val="BodyText1"/>
              <w:spacing w:line="240" w:lineRule="auto"/>
              <w:rPr>
                <w:rFonts w:ascii="Times New Roman" w:hAnsi="Times New Roman"/>
                <w:bCs/>
              </w:rPr>
            </w:pPr>
            <w:r w:rsidRPr="00AE79AC">
              <w:rPr>
                <w:rFonts w:ascii="Times New Roman" w:hAnsi="Times New Roman"/>
              </w:rPr>
              <w:t>Narzut z tytułu ryzyka kredytowego kontrahenta w odniesieniu do SFT, w tym transakcji pozabilansowych, ustalony zgodnie z art. 429b ust. 2 i 3 CRR, stosownie do przypadku.</w:t>
            </w:r>
          </w:p>
          <w:p w:rsidR="00AE2798" w:rsidRPr="00AE79AC" w:rsidRDefault="00AE2798" w:rsidP="00FE0FF1">
            <w:pPr>
              <w:pStyle w:val="BodyText1"/>
              <w:spacing w:line="240" w:lineRule="auto"/>
              <w:rPr>
                <w:rFonts w:ascii="Times New Roman" w:hAnsi="Times New Roman"/>
                <w:bCs/>
              </w:rPr>
            </w:pPr>
          </w:p>
          <w:p w:rsidR="00AE2798" w:rsidRPr="00AE79AC" w:rsidRDefault="00AE2798" w:rsidP="00FE0FF1">
            <w:pPr>
              <w:pStyle w:val="BodyText1"/>
              <w:spacing w:line="240" w:lineRule="auto"/>
              <w:rPr>
                <w:rFonts w:ascii="Times New Roman" w:hAnsi="Times New Roman"/>
                <w:bCs/>
              </w:rPr>
            </w:pPr>
            <w:r w:rsidRPr="00AE79AC">
              <w:rPr>
                <w:rFonts w:ascii="Times New Roman" w:hAnsi="Times New Roman"/>
              </w:rPr>
              <w:t>W tej komórce instytucje uwzględniają transakcje zgodnie z art. 429b ust. 6 lit. c).</w:t>
            </w:r>
          </w:p>
          <w:p w:rsidR="00AE2798" w:rsidRPr="00AE79AC" w:rsidRDefault="00AE2798" w:rsidP="00FE0FF1">
            <w:pPr>
              <w:pStyle w:val="BodyText1"/>
              <w:spacing w:line="240" w:lineRule="auto"/>
              <w:rPr>
                <w:rFonts w:ascii="Times New Roman" w:hAnsi="Times New Roman"/>
                <w:bCs/>
              </w:rPr>
            </w:pPr>
          </w:p>
          <w:p w:rsidR="00AE2798" w:rsidRPr="00AE79AC" w:rsidRDefault="00AE2798" w:rsidP="00FE0FF1">
            <w:pPr>
              <w:pStyle w:val="BodyText1"/>
              <w:spacing w:line="240" w:lineRule="auto"/>
              <w:rPr>
                <w:rFonts w:ascii="Times New Roman" w:hAnsi="Times New Roman"/>
                <w:bCs/>
              </w:rPr>
            </w:pPr>
            <w:r w:rsidRPr="00AE79AC">
              <w:rPr>
                <w:rFonts w:ascii="Times New Roman" w:hAnsi="Times New Roman"/>
              </w:rPr>
              <w:t>Instytucje nie uwzględniają w tej komórce SFT zawieranych przez pośrednika, jeżeli instytucja udziela klientowi lub kontrahentowi zabezpieczenia lub gwarancji, ograniczających się do różnicy między wartością papierów wartościowych lub środków pieniężnych pożyczonych przez klienta a wartością zabezpieczenia zapewnionego przez kredytobiorcę zgodnie z art. 429b ust. 6 lit. a) CRR. Instytucje podają natomiast te pozycje w komórce {040;010}.</w:t>
            </w:r>
          </w:p>
          <w:p w:rsidR="00AE2798" w:rsidRPr="00AE79AC" w:rsidRDefault="00AE2798" w:rsidP="00FE0FF1">
            <w:pPr>
              <w:pStyle w:val="BodyText1"/>
              <w:spacing w:line="240" w:lineRule="auto"/>
              <w:rPr>
                <w:rFonts w:ascii="Times New Roman" w:hAnsi="Times New Roman"/>
                <w:bCs/>
              </w:rPr>
            </w:pPr>
          </w:p>
        </w:tc>
      </w:tr>
      <w:tr w:rsidR="00AE2798" w:rsidRPr="00AE79AC" w:rsidTr="00FE0FF1">
        <w:trPr>
          <w:trHeight w:val="304"/>
        </w:trPr>
        <w:tc>
          <w:tcPr>
            <w:tcW w:w="1418" w:type="dxa"/>
          </w:tcPr>
          <w:p w:rsidR="00AE2798" w:rsidRPr="00AE79AC" w:rsidRDefault="00AE2798" w:rsidP="00FE0FF1">
            <w:pPr>
              <w:pStyle w:val="BodyText1"/>
              <w:rPr>
                <w:rFonts w:ascii="Times New Roman" w:hAnsi="Times New Roman"/>
                <w:bCs/>
              </w:rPr>
            </w:pPr>
            <w:r w:rsidRPr="00AE79AC">
              <w:rPr>
                <w:rFonts w:ascii="Times New Roman" w:hAnsi="Times New Roman"/>
              </w:rPr>
              <w:t>{030;010}</w:t>
            </w:r>
          </w:p>
          <w:p w:rsidR="00AE2798" w:rsidRPr="00AE79AC" w:rsidRDefault="00AE2798" w:rsidP="00FE0FF1">
            <w:pPr>
              <w:pStyle w:val="BodyText1"/>
              <w:rPr>
                <w:rFonts w:ascii="Times New Roman" w:hAnsi="Times New Roman"/>
                <w:bCs/>
              </w:rPr>
            </w:pPr>
          </w:p>
        </w:tc>
        <w:tc>
          <w:tcPr>
            <w:tcW w:w="7590" w:type="dxa"/>
          </w:tcPr>
          <w:p w:rsidR="00AE2798" w:rsidRPr="00AE79AC" w:rsidRDefault="00AE2798" w:rsidP="00FE0FF1">
            <w:pPr>
              <w:pStyle w:val="BodyText1"/>
              <w:spacing w:line="240" w:lineRule="auto"/>
              <w:rPr>
                <w:rFonts w:ascii="Times New Roman" w:hAnsi="Times New Roman"/>
                <w:b/>
                <w:bCs/>
              </w:rPr>
            </w:pPr>
            <w:r w:rsidRPr="00AE79AC">
              <w:rPr>
                <w:rFonts w:ascii="Times New Roman" w:hAnsi="Times New Roman"/>
                <w:b/>
              </w:rPr>
              <w:t xml:space="preserve">Odstępstwo w odniesieniu do SFT: Narzut zgodnie z art. 429b ust. 4 i </w:t>
            </w:r>
            <w:r w:rsidRPr="002341B6">
              <w:rPr>
                <w:rFonts w:ascii="Times New Roman" w:hAnsi="Times New Roman"/>
                <w:b/>
              </w:rPr>
              <w:t>art.</w:t>
            </w:r>
            <w:r w:rsidR="002341B6" w:rsidRPr="002341B6">
              <w:rPr>
                <w:rFonts w:ascii="Times New Roman" w:hAnsi="Times New Roman"/>
                <w:b/>
              </w:rPr>
              <w:t> </w:t>
            </w:r>
            <w:r w:rsidRPr="002341B6">
              <w:rPr>
                <w:rFonts w:ascii="Times New Roman" w:hAnsi="Times New Roman"/>
                <w:b/>
              </w:rPr>
              <w:t>2</w:t>
            </w:r>
            <w:r w:rsidRPr="00AE79AC">
              <w:rPr>
                <w:rFonts w:ascii="Times New Roman" w:hAnsi="Times New Roman"/>
                <w:b/>
              </w:rPr>
              <w:t>22 CRR</w:t>
            </w:r>
          </w:p>
          <w:p w:rsidR="00AE2798" w:rsidRPr="00AE79AC" w:rsidRDefault="00AE2798" w:rsidP="00FE0FF1">
            <w:pPr>
              <w:pStyle w:val="BodyText1"/>
              <w:spacing w:line="240" w:lineRule="auto"/>
              <w:rPr>
                <w:rFonts w:ascii="Times New Roman" w:hAnsi="Times New Roman"/>
                <w:bCs/>
              </w:rPr>
            </w:pPr>
          </w:p>
          <w:p w:rsidR="00AE2798" w:rsidRPr="00AE79AC" w:rsidRDefault="00AE2798" w:rsidP="00FE0FF1">
            <w:pPr>
              <w:pStyle w:val="BodyText1"/>
              <w:spacing w:line="240" w:lineRule="auto"/>
              <w:rPr>
                <w:rFonts w:ascii="Times New Roman" w:hAnsi="Times New Roman"/>
                <w:bCs/>
              </w:rPr>
            </w:pPr>
            <w:r w:rsidRPr="00AE79AC">
              <w:rPr>
                <w:rFonts w:ascii="Times New Roman" w:hAnsi="Times New Roman"/>
              </w:rPr>
              <w:t>Art. 429b ust. 4 i art. 222 CRR</w:t>
            </w:r>
          </w:p>
          <w:p w:rsidR="00AE2798" w:rsidRPr="00AE79AC" w:rsidRDefault="00AE2798" w:rsidP="00FE0FF1">
            <w:pPr>
              <w:pStyle w:val="BodyText1"/>
              <w:spacing w:line="240" w:lineRule="auto"/>
              <w:rPr>
                <w:rFonts w:ascii="Times New Roman" w:hAnsi="Times New Roman"/>
                <w:bCs/>
              </w:rPr>
            </w:pPr>
          </w:p>
          <w:p w:rsidR="00AE2798" w:rsidRPr="00AE79AC" w:rsidRDefault="00AE2798" w:rsidP="00FE0FF1">
            <w:pPr>
              <w:pStyle w:val="BodyText1"/>
              <w:spacing w:line="240" w:lineRule="auto"/>
              <w:rPr>
                <w:rFonts w:ascii="Times New Roman" w:hAnsi="Times New Roman"/>
                <w:bCs/>
              </w:rPr>
            </w:pPr>
            <w:r w:rsidRPr="00AE79AC">
              <w:rPr>
                <w:rFonts w:ascii="Times New Roman" w:hAnsi="Times New Roman"/>
              </w:rPr>
              <w:t>Wartość ekspozycji z tytułu SFT, w tym transakcji pozabilansowych, obliczona zgodnie z</w:t>
            </w:r>
            <w:r w:rsidR="007E1921">
              <w:rPr>
                <w:rFonts w:ascii="Times New Roman" w:hAnsi="Times New Roman"/>
              </w:rPr>
              <w:t> </w:t>
            </w:r>
            <w:r w:rsidRPr="00AE79AC">
              <w:rPr>
                <w:rFonts w:ascii="Times New Roman" w:hAnsi="Times New Roman"/>
              </w:rPr>
              <w:t xml:space="preserve">art. 222 CRR, z zachowaniem pułapu na poziomie 20 % w odniesieniu do mającej zastosowanie wagi ryzyka. </w:t>
            </w:r>
          </w:p>
          <w:p w:rsidR="00AE2798" w:rsidRPr="00AE79AC" w:rsidRDefault="00AE2798" w:rsidP="00FE0FF1">
            <w:pPr>
              <w:pStyle w:val="BodyText1"/>
              <w:spacing w:line="240" w:lineRule="auto"/>
              <w:rPr>
                <w:rFonts w:ascii="Times New Roman" w:hAnsi="Times New Roman"/>
                <w:bCs/>
              </w:rPr>
            </w:pPr>
          </w:p>
          <w:p w:rsidR="00AE2798" w:rsidRPr="00AE79AC" w:rsidRDefault="00AE2798" w:rsidP="00FE0FF1">
            <w:pPr>
              <w:pStyle w:val="BodyText1"/>
              <w:spacing w:line="240" w:lineRule="auto"/>
              <w:rPr>
                <w:rFonts w:ascii="Times New Roman" w:hAnsi="Times New Roman"/>
                <w:bCs/>
              </w:rPr>
            </w:pPr>
            <w:r w:rsidRPr="00AE79AC">
              <w:rPr>
                <w:rFonts w:ascii="Times New Roman" w:hAnsi="Times New Roman"/>
              </w:rPr>
              <w:t>W tej komórce instytucje uwzględniają transakcje zgodnie z art. 429b ust. 6 lit. c) CRR.</w:t>
            </w:r>
          </w:p>
          <w:p w:rsidR="00AE2798" w:rsidRPr="00AE79AC" w:rsidRDefault="00AE2798" w:rsidP="00FE0FF1">
            <w:pPr>
              <w:pStyle w:val="BodyText1"/>
              <w:spacing w:line="240" w:lineRule="auto"/>
              <w:rPr>
                <w:rFonts w:ascii="Times New Roman" w:hAnsi="Times New Roman"/>
                <w:bCs/>
              </w:rPr>
            </w:pPr>
          </w:p>
          <w:p w:rsidR="00AE2798" w:rsidRPr="00AE79AC" w:rsidRDefault="00AE2798" w:rsidP="00FE0FF1">
            <w:pPr>
              <w:pStyle w:val="BodyText1"/>
              <w:spacing w:line="240" w:lineRule="auto"/>
              <w:rPr>
                <w:rFonts w:ascii="Times New Roman" w:hAnsi="Times New Roman"/>
                <w:bCs/>
              </w:rPr>
            </w:pPr>
            <w:r w:rsidRPr="00AE79AC">
              <w:rPr>
                <w:rFonts w:ascii="Times New Roman" w:hAnsi="Times New Roman"/>
              </w:rPr>
              <w:t>Instytucje nie uwzględniają w tej komórce transakcji, w odniesieniu do których wartość narzutu uwzględniona w wartości ekspozycji wskaźnika dźwigni ustalana jest zgodnie z</w:t>
            </w:r>
            <w:r w:rsidR="007E1921">
              <w:rPr>
                <w:rFonts w:ascii="Times New Roman" w:hAnsi="Times New Roman"/>
              </w:rPr>
              <w:t> </w:t>
            </w:r>
            <w:r w:rsidRPr="00AE79AC">
              <w:rPr>
                <w:rFonts w:ascii="Times New Roman" w:hAnsi="Times New Roman"/>
              </w:rPr>
              <w:t>metodą określoną w art. 429b ust. 1 CRR.</w:t>
            </w:r>
          </w:p>
          <w:p w:rsidR="00AE2798" w:rsidRPr="00AE79AC" w:rsidRDefault="00AE2798" w:rsidP="00FE0FF1">
            <w:pPr>
              <w:pStyle w:val="BodyText1"/>
              <w:spacing w:line="240" w:lineRule="auto"/>
              <w:rPr>
                <w:rFonts w:ascii="Times New Roman" w:hAnsi="Times New Roman"/>
                <w:bCs/>
              </w:rPr>
            </w:pPr>
          </w:p>
        </w:tc>
      </w:tr>
      <w:tr w:rsidR="00AE2798" w:rsidRPr="00AE79AC" w:rsidTr="00FE0FF1">
        <w:trPr>
          <w:trHeight w:val="304"/>
        </w:trPr>
        <w:tc>
          <w:tcPr>
            <w:tcW w:w="1418" w:type="dxa"/>
          </w:tcPr>
          <w:p w:rsidR="00AE2798" w:rsidRPr="00AE79AC" w:rsidRDefault="00AE2798" w:rsidP="00F71081">
            <w:pPr>
              <w:pStyle w:val="BodyText1"/>
              <w:rPr>
                <w:rFonts w:ascii="Times New Roman" w:hAnsi="Times New Roman"/>
                <w:bCs/>
              </w:rPr>
            </w:pPr>
            <w:r w:rsidRPr="00AE79AC">
              <w:rPr>
                <w:rFonts w:ascii="Times New Roman" w:hAnsi="Times New Roman"/>
              </w:rPr>
              <w:t>{040;010}</w:t>
            </w:r>
          </w:p>
        </w:tc>
        <w:tc>
          <w:tcPr>
            <w:tcW w:w="7590" w:type="dxa"/>
          </w:tcPr>
          <w:p w:rsidR="00AE2798" w:rsidRPr="00AE79AC" w:rsidRDefault="00AE2798" w:rsidP="00FE0FF1">
            <w:pPr>
              <w:pStyle w:val="BodyText1"/>
              <w:spacing w:line="240" w:lineRule="auto"/>
              <w:rPr>
                <w:rFonts w:ascii="Times New Roman" w:hAnsi="Times New Roman"/>
                <w:bCs/>
              </w:rPr>
            </w:pPr>
            <w:r w:rsidRPr="00AE79AC">
              <w:rPr>
                <w:rFonts w:ascii="Times New Roman" w:hAnsi="Times New Roman"/>
                <w:b/>
              </w:rPr>
              <w:t>Ryzyko kredytowe kontrahenta w odniesieniu do SFT zawieranych przez pośrednika zgodnie z art. 429b ust. 6 CRR</w:t>
            </w:r>
          </w:p>
          <w:p w:rsidR="00AE2798" w:rsidRPr="00AE79AC" w:rsidRDefault="00AE2798" w:rsidP="00FE0FF1">
            <w:pPr>
              <w:pStyle w:val="BodyText1"/>
              <w:spacing w:line="240" w:lineRule="auto"/>
              <w:rPr>
                <w:rFonts w:ascii="Times New Roman" w:hAnsi="Times New Roman"/>
                <w:bCs/>
              </w:rPr>
            </w:pPr>
          </w:p>
          <w:p w:rsidR="00AE2798" w:rsidRPr="00AE79AC" w:rsidRDefault="00AE2798" w:rsidP="00FE0FF1">
            <w:pPr>
              <w:pStyle w:val="BodyText1"/>
              <w:spacing w:line="240" w:lineRule="auto"/>
              <w:rPr>
                <w:rFonts w:ascii="Times New Roman" w:hAnsi="Times New Roman"/>
                <w:bCs/>
              </w:rPr>
            </w:pPr>
            <w:r w:rsidRPr="00AE79AC">
              <w:rPr>
                <w:rFonts w:ascii="Times New Roman" w:hAnsi="Times New Roman"/>
              </w:rPr>
              <w:t>Art. 429b ust. 6 lit. a), ust. 2 i 3 CRR</w:t>
            </w:r>
          </w:p>
          <w:p w:rsidR="00AE2798" w:rsidRPr="00AE79AC" w:rsidRDefault="00AE2798" w:rsidP="00FE0FF1">
            <w:pPr>
              <w:pStyle w:val="BodyText1"/>
              <w:spacing w:line="240" w:lineRule="auto"/>
              <w:rPr>
                <w:rFonts w:ascii="Times New Roman" w:hAnsi="Times New Roman"/>
                <w:bCs/>
              </w:rPr>
            </w:pPr>
          </w:p>
          <w:p w:rsidR="00AE2798" w:rsidRPr="00AE79AC" w:rsidRDefault="00AE2798" w:rsidP="00FE0FF1">
            <w:pPr>
              <w:pStyle w:val="BodyText1"/>
              <w:spacing w:line="240" w:lineRule="auto"/>
              <w:rPr>
                <w:rFonts w:ascii="Times New Roman" w:hAnsi="Times New Roman"/>
                <w:bCs/>
              </w:rPr>
            </w:pPr>
            <w:r w:rsidRPr="00AE79AC">
              <w:rPr>
                <w:rFonts w:ascii="Times New Roman" w:hAnsi="Times New Roman"/>
              </w:rPr>
              <w:t>Wartość ekspozycji w odniesieniu do SFT zawieranych przez pośrednika, jeżeli instytucja udziela klientowi lub kontrahentowi zabezpieczenia lub gwarancji, ograniczających się do różnicy między wartością papierów wartościowych lub środków pieniężnych pożyczonych przez klienta a wartością zabezpieczenia zapewnionego przez kredytobiorcę zgodnie z</w:t>
            </w:r>
            <w:r w:rsidR="00492EAF">
              <w:rPr>
                <w:rFonts w:ascii="Times New Roman" w:hAnsi="Times New Roman"/>
              </w:rPr>
              <w:t> </w:t>
            </w:r>
            <w:r w:rsidRPr="00AE79AC">
              <w:rPr>
                <w:rFonts w:ascii="Times New Roman" w:hAnsi="Times New Roman"/>
              </w:rPr>
              <w:t xml:space="preserve">art. 429b ust. 6 lit. a) CRR, obejmuje jedynie narzut ustalony zgodnie z art. 429b ust. 2 </w:t>
            </w:r>
            <w:r w:rsidRPr="002341B6">
              <w:rPr>
                <w:rFonts w:ascii="Times New Roman" w:hAnsi="Times New Roman"/>
              </w:rPr>
              <w:t>lub</w:t>
            </w:r>
            <w:r w:rsidR="002341B6" w:rsidRPr="002341B6">
              <w:rPr>
                <w:rFonts w:ascii="Times New Roman" w:hAnsi="Times New Roman"/>
              </w:rPr>
              <w:t> </w:t>
            </w:r>
            <w:r w:rsidRPr="002341B6">
              <w:rPr>
                <w:rFonts w:ascii="Times New Roman" w:hAnsi="Times New Roman"/>
              </w:rPr>
              <w:t>3</w:t>
            </w:r>
            <w:r w:rsidRPr="00AE79AC">
              <w:rPr>
                <w:rFonts w:ascii="Times New Roman" w:hAnsi="Times New Roman"/>
              </w:rPr>
              <w:t xml:space="preserve"> CRR, stosownie do przypadku.</w:t>
            </w:r>
          </w:p>
          <w:p w:rsidR="00AE2798" w:rsidRPr="00AE79AC" w:rsidRDefault="00AE2798" w:rsidP="00FE0FF1">
            <w:pPr>
              <w:pStyle w:val="BodyText1"/>
              <w:spacing w:line="240" w:lineRule="auto"/>
              <w:rPr>
                <w:rFonts w:ascii="Times New Roman" w:hAnsi="Times New Roman"/>
                <w:bCs/>
              </w:rPr>
            </w:pPr>
          </w:p>
          <w:p w:rsidR="00AE2798" w:rsidRPr="00AE79AC" w:rsidRDefault="00AE2798" w:rsidP="00FE0FF1">
            <w:pPr>
              <w:pStyle w:val="BodyText1"/>
              <w:spacing w:line="240" w:lineRule="auto"/>
              <w:rPr>
                <w:rFonts w:ascii="Times New Roman" w:hAnsi="Times New Roman"/>
                <w:bCs/>
              </w:rPr>
            </w:pPr>
            <w:r w:rsidRPr="00AE79AC">
              <w:rPr>
                <w:rFonts w:ascii="Times New Roman" w:hAnsi="Times New Roman"/>
              </w:rPr>
              <w:t>W tej komórce instytucje nie uwzględniają transakcji zgodnie z art. 429b ust. 6 lit. c). Instytucje podają te pozycje w komórkach {010;010} i{020;010} lub {010;010} i</w:t>
            </w:r>
            <w:r w:rsidR="00492EAF">
              <w:rPr>
                <w:rFonts w:ascii="Times New Roman" w:hAnsi="Times New Roman"/>
              </w:rPr>
              <w:t> </w:t>
            </w:r>
            <w:r w:rsidRPr="00AE79AC">
              <w:rPr>
                <w:rFonts w:ascii="Times New Roman" w:hAnsi="Times New Roman"/>
              </w:rPr>
              <w:t>{030;010}, stosownie do przypadku.</w:t>
            </w:r>
          </w:p>
          <w:p w:rsidR="00AE2798" w:rsidRPr="00AE79AC" w:rsidRDefault="00AE2798" w:rsidP="00FE0FF1">
            <w:pPr>
              <w:pStyle w:val="BodyText1"/>
              <w:spacing w:line="240" w:lineRule="auto"/>
              <w:rPr>
                <w:rFonts w:ascii="Times New Roman" w:hAnsi="Times New Roman"/>
                <w:bCs/>
              </w:rPr>
            </w:pPr>
          </w:p>
        </w:tc>
      </w:tr>
      <w:tr w:rsidR="00AE2798" w:rsidRPr="00AE79AC" w:rsidTr="00FE0FF1">
        <w:trPr>
          <w:trHeight w:val="304"/>
        </w:trPr>
        <w:tc>
          <w:tcPr>
            <w:tcW w:w="1418" w:type="dxa"/>
          </w:tcPr>
          <w:p w:rsidR="00AE2798" w:rsidRPr="00AE79AC" w:rsidRDefault="00AE2798" w:rsidP="00F71081">
            <w:pPr>
              <w:pStyle w:val="BodyText1"/>
              <w:rPr>
                <w:rFonts w:ascii="Times New Roman" w:hAnsi="Times New Roman"/>
                <w:bCs/>
              </w:rPr>
            </w:pPr>
            <w:r w:rsidRPr="00AE79AC">
              <w:rPr>
                <w:rFonts w:ascii="Times New Roman" w:hAnsi="Times New Roman"/>
              </w:rPr>
              <w:t>{050;010}</w:t>
            </w:r>
          </w:p>
        </w:tc>
        <w:tc>
          <w:tcPr>
            <w:tcW w:w="7590" w:type="dxa"/>
          </w:tcPr>
          <w:p w:rsidR="00AE2798" w:rsidRPr="00AE79AC" w:rsidRDefault="005556DC" w:rsidP="00FE0FF1">
            <w:pPr>
              <w:pStyle w:val="BodyText1"/>
              <w:spacing w:line="240" w:lineRule="auto"/>
              <w:rPr>
                <w:rFonts w:ascii="Times New Roman" w:hAnsi="Times New Roman"/>
                <w:bCs/>
              </w:rPr>
            </w:pPr>
            <w:r w:rsidRPr="00AE79AC">
              <w:rPr>
                <w:rFonts w:ascii="Times New Roman" w:hAnsi="Times New Roman"/>
                <w:b/>
              </w:rPr>
              <w:t>(-) Wyłączone ekspozycje z tytułu SFT rozliczanych za pośrednictwem klienta w</w:t>
            </w:r>
            <w:r w:rsidR="00C7635A">
              <w:rPr>
                <w:rFonts w:ascii="Times New Roman" w:hAnsi="Times New Roman"/>
                <w:b/>
              </w:rPr>
              <w:t> </w:t>
            </w:r>
            <w:r w:rsidRPr="00AE79AC">
              <w:rPr>
                <w:rFonts w:ascii="Times New Roman" w:hAnsi="Times New Roman"/>
                <w:b/>
              </w:rPr>
              <w:t>odniesieniu do składnika rozliczanego z kontrahentem centralnym</w:t>
            </w:r>
          </w:p>
          <w:p w:rsidR="00AE2798" w:rsidRPr="00AE79AC" w:rsidRDefault="00AE2798" w:rsidP="00FE0FF1">
            <w:pPr>
              <w:pStyle w:val="BodyText1"/>
              <w:spacing w:line="240" w:lineRule="auto"/>
              <w:rPr>
                <w:rFonts w:ascii="Times New Roman" w:hAnsi="Times New Roman"/>
                <w:bCs/>
              </w:rPr>
            </w:pPr>
          </w:p>
          <w:p w:rsidR="00AE2798" w:rsidRPr="00AE79AC" w:rsidRDefault="00AE2798" w:rsidP="00FE0FF1">
            <w:pPr>
              <w:pStyle w:val="BodyText1"/>
              <w:spacing w:line="240" w:lineRule="auto"/>
              <w:rPr>
                <w:rFonts w:ascii="Times New Roman" w:hAnsi="Times New Roman"/>
                <w:bCs/>
              </w:rPr>
            </w:pPr>
            <w:r w:rsidRPr="00AE79AC">
              <w:rPr>
                <w:rFonts w:ascii="Times New Roman" w:hAnsi="Times New Roman"/>
              </w:rPr>
              <w:t>Art. 429 ust. 11 i art. 306 ust. 1 lit. c) CRR</w:t>
            </w:r>
          </w:p>
          <w:p w:rsidR="00AE2798" w:rsidRPr="00AE79AC" w:rsidRDefault="00AE2798" w:rsidP="00FE0FF1">
            <w:pPr>
              <w:pStyle w:val="BodyText1"/>
              <w:spacing w:line="240" w:lineRule="auto"/>
              <w:rPr>
                <w:rFonts w:ascii="Times New Roman" w:hAnsi="Times New Roman"/>
                <w:bCs/>
              </w:rPr>
            </w:pPr>
          </w:p>
          <w:p w:rsidR="00AE2798" w:rsidRPr="00AE79AC" w:rsidRDefault="00AE2798" w:rsidP="00FE0FF1">
            <w:pPr>
              <w:pStyle w:val="BodyText1"/>
              <w:spacing w:line="240" w:lineRule="auto"/>
              <w:rPr>
                <w:rFonts w:ascii="Times New Roman" w:hAnsi="Times New Roman"/>
                <w:bCs/>
              </w:rPr>
            </w:pPr>
            <w:r w:rsidRPr="00AE79AC">
              <w:rPr>
                <w:rFonts w:ascii="Times New Roman" w:hAnsi="Times New Roman"/>
              </w:rPr>
              <w:t>Wyłączone ekspozycje z tytułu SFT rozliczanych za pośrednictwem klienta w odniesieniu do składnika rozliczanego z kontrahentem centralnym, pod warunkiem że pozycje te spełniają warunki określone w art. 306 ust. 1 lit. c) CRR.</w:t>
            </w:r>
          </w:p>
          <w:p w:rsidR="004052F0" w:rsidRPr="00AE79AC" w:rsidRDefault="004052F0" w:rsidP="00FE0FF1">
            <w:pPr>
              <w:pStyle w:val="BodyText1"/>
              <w:spacing w:line="240" w:lineRule="auto"/>
              <w:rPr>
                <w:rFonts w:ascii="Times New Roman" w:hAnsi="Times New Roman"/>
                <w:bCs/>
              </w:rPr>
            </w:pPr>
          </w:p>
          <w:p w:rsidR="004052F0" w:rsidRPr="00AE79AC" w:rsidRDefault="004052F0" w:rsidP="00FE0FF1">
            <w:pPr>
              <w:pStyle w:val="BodyText1"/>
              <w:spacing w:line="240" w:lineRule="auto"/>
              <w:rPr>
                <w:rFonts w:ascii="Times New Roman" w:hAnsi="Times New Roman"/>
                <w:bCs/>
              </w:rPr>
            </w:pPr>
            <w:r w:rsidRPr="00AE79AC">
              <w:rPr>
                <w:rFonts w:ascii="Times New Roman" w:hAnsi="Times New Roman"/>
              </w:rPr>
              <w:t>W przypadku gdy wyłączony składnik rozliczany z kontrahentem centralnym jest papierem wartościowym, nie zgłasza się go w tej komórce, chyba że jest to papier wartościowy obciążony innym zastawem, który zgodnie z mającymi zastosowanie standardami rachunkowości (tj. zgodnie z art. 111 ust. 1 zdanie pierwsze CRR) ujęto w pełnej wartości.</w:t>
            </w:r>
          </w:p>
          <w:p w:rsidR="004052F0" w:rsidRPr="00AE79AC" w:rsidRDefault="004052F0" w:rsidP="00FE0FF1">
            <w:pPr>
              <w:pStyle w:val="BodyText1"/>
              <w:spacing w:line="240" w:lineRule="auto"/>
              <w:rPr>
                <w:rFonts w:ascii="Times New Roman" w:hAnsi="Times New Roman"/>
                <w:bCs/>
              </w:rPr>
            </w:pPr>
          </w:p>
          <w:p w:rsidR="004052F0" w:rsidRPr="00AE79AC" w:rsidRDefault="004052F0" w:rsidP="00FD2C06">
            <w:pPr>
              <w:pStyle w:val="BodyText1"/>
              <w:spacing w:line="240" w:lineRule="auto"/>
              <w:rPr>
                <w:rFonts w:ascii="Times New Roman" w:hAnsi="Times New Roman"/>
                <w:bCs/>
              </w:rPr>
            </w:pPr>
            <w:r w:rsidRPr="00AE79AC">
              <w:rPr>
                <w:rFonts w:ascii="Times New Roman" w:hAnsi="Times New Roman"/>
              </w:rPr>
              <w:t>Kwotę zgłoszoną w tej komórce instytucje uwzględniają także, jak gdyby nie miały zastosowania żadne wyłączenia, w komórkach {010;010}, {020;010} i {030;010} oraz – jeżeli spełniony jest warunek określony w drugiej części poprzedniego zdania – w komórce {190;010}.</w:t>
            </w:r>
          </w:p>
          <w:p w:rsidR="00AF6C6D" w:rsidRPr="00AE79AC" w:rsidRDefault="00AF6C6D" w:rsidP="00FD2C06">
            <w:pPr>
              <w:pStyle w:val="BodyText1"/>
              <w:spacing w:line="240" w:lineRule="auto"/>
              <w:rPr>
                <w:rFonts w:ascii="Times New Roman" w:hAnsi="Times New Roman"/>
                <w:bCs/>
              </w:rPr>
            </w:pPr>
          </w:p>
          <w:p w:rsidR="00AF6C6D" w:rsidRPr="00AE79AC" w:rsidRDefault="00AF6C6D" w:rsidP="00FD2C06">
            <w:pPr>
              <w:pStyle w:val="BodyText1"/>
              <w:spacing w:line="240" w:lineRule="auto"/>
              <w:rPr>
                <w:rFonts w:ascii="Times New Roman" w:hAnsi="Times New Roman"/>
                <w:bCs/>
              </w:rPr>
            </w:pPr>
            <w:r w:rsidRPr="00AE79AC">
              <w:rPr>
                <w:rFonts w:ascii="Times New Roman" w:hAnsi="Times New Roman"/>
              </w:rPr>
              <w:t>W przypadku gdy instytucja wniosła początkowy depozyt zabezpieczający w odniesieniu do wyłączonego składnika SFT, który wykazuje się w komórce {190;010}, a nie wykazuje się w komórkach {020;010} lub {030;010}, wówczas instytucja może zgłosić to w tej komórce.</w:t>
            </w:r>
          </w:p>
          <w:p w:rsidR="00AE2798" w:rsidRPr="00AE79AC" w:rsidRDefault="00AE2798" w:rsidP="00C0429A">
            <w:pPr>
              <w:pStyle w:val="BodyText1"/>
              <w:spacing w:line="240" w:lineRule="auto"/>
              <w:rPr>
                <w:rFonts w:ascii="Times New Roman" w:hAnsi="Times New Roman"/>
                <w:bCs/>
              </w:rPr>
            </w:pPr>
          </w:p>
        </w:tc>
      </w:tr>
      <w:tr w:rsidR="00AE2798" w:rsidRPr="00AE79AC" w:rsidTr="00FE0FF1">
        <w:trPr>
          <w:trHeight w:val="304"/>
        </w:trPr>
        <w:tc>
          <w:tcPr>
            <w:tcW w:w="1418" w:type="dxa"/>
          </w:tcPr>
          <w:p w:rsidR="00AE2798" w:rsidRPr="00AE79AC" w:rsidRDefault="00AE2798" w:rsidP="00FE0FF1">
            <w:pPr>
              <w:pStyle w:val="BodyText1"/>
              <w:rPr>
                <w:rFonts w:ascii="Times New Roman" w:hAnsi="Times New Roman"/>
                <w:bCs/>
              </w:rPr>
            </w:pPr>
            <w:r w:rsidRPr="00AE79AC">
              <w:rPr>
                <w:rFonts w:ascii="Times New Roman" w:hAnsi="Times New Roman"/>
              </w:rPr>
              <w:t>{060;010}</w:t>
            </w:r>
          </w:p>
          <w:p w:rsidR="00AE2798" w:rsidRPr="00AE79AC" w:rsidRDefault="00AE2798" w:rsidP="00FE0FF1">
            <w:pPr>
              <w:pStyle w:val="BodyText1"/>
              <w:rPr>
                <w:rFonts w:ascii="Times New Roman" w:hAnsi="Times New Roman"/>
                <w:bCs/>
              </w:rPr>
            </w:pPr>
          </w:p>
        </w:tc>
        <w:tc>
          <w:tcPr>
            <w:tcW w:w="7590" w:type="dxa"/>
          </w:tcPr>
          <w:p w:rsidR="00AE2798" w:rsidRPr="00AE79AC" w:rsidRDefault="00AE2798" w:rsidP="00FE0FF1">
            <w:pPr>
              <w:pStyle w:val="BodyText1"/>
              <w:spacing w:line="240" w:lineRule="auto"/>
              <w:rPr>
                <w:rFonts w:ascii="Times New Roman" w:hAnsi="Times New Roman"/>
                <w:bCs/>
              </w:rPr>
            </w:pPr>
            <w:r w:rsidRPr="00AE79AC">
              <w:rPr>
                <w:rFonts w:ascii="Times New Roman" w:hAnsi="Times New Roman"/>
                <w:b/>
              </w:rPr>
              <w:t xml:space="preserve">Instrumenty pochodne: Aktualny koszt odtworzenia </w:t>
            </w:r>
          </w:p>
          <w:p w:rsidR="00AE2798" w:rsidRPr="00AE79AC" w:rsidRDefault="00AE2798" w:rsidP="00FE0FF1">
            <w:pPr>
              <w:pStyle w:val="BodyText1"/>
              <w:spacing w:line="240" w:lineRule="auto"/>
              <w:rPr>
                <w:rFonts w:ascii="Times New Roman" w:hAnsi="Times New Roman"/>
                <w:bCs/>
              </w:rPr>
            </w:pPr>
          </w:p>
          <w:p w:rsidR="00AE2798" w:rsidRPr="00AE79AC" w:rsidRDefault="00AE2798" w:rsidP="00FE0FF1">
            <w:pPr>
              <w:pStyle w:val="BodyText1"/>
              <w:spacing w:line="240" w:lineRule="auto"/>
              <w:rPr>
                <w:rFonts w:ascii="Times New Roman" w:hAnsi="Times New Roman"/>
                <w:bCs/>
              </w:rPr>
            </w:pPr>
            <w:r w:rsidRPr="00AE79AC">
              <w:rPr>
                <w:rFonts w:ascii="Times New Roman" w:hAnsi="Times New Roman"/>
              </w:rPr>
              <w:t>Art. 429a, 274, 295, 296, 297 i 298 CRR</w:t>
            </w:r>
          </w:p>
          <w:p w:rsidR="00AE2798" w:rsidRPr="00AE79AC" w:rsidRDefault="00AE2798" w:rsidP="00FE0FF1">
            <w:pPr>
              <w:pStyle w:val="BodyText1"/>
              <w:spacing w:line="240" w:lineRule="auto"/>
              <w:rPr>
                <w:rFonts w:ascii="Times New Roman" w:hAnsi="Times New Roman"/>
                <w:bCs/>
              </w:rPr>
            </w:pPr>
          </w:p>
          <w:p w:rsidR="00AE2798" w:rsidRPr="00AE79AC" w:rsidRDefault="00AE2798" w:rsidP="00FE0FF1">
            <w:pPr>
              <w:pStyle w:val="BodyText1"/>
              <w:spacing w:line="240" w:lineRule="auto"/>
              <w:rPr>
                <w:rFonts w:ascii="Times New Roman" w:hAnsi="Times New Roman"/>
                <w:bCs/>
              </w:rPr>
            </w:pPr>
            <w:r w:rsidRPr="00AE79AC">
              <w:rPr>
                <w:rFonts w:ascii="Times New Roman" w:hAnsi="Times New Roman"/>
              </w:rPr>
              <w:t>Określony w art. 274 ust. 1 CRR aktualny koszt odtworzenia umów wymienionych w</w:t>
            </w:r>
            <w:r w:rsidR="00C7635A">
              <w:rPr>
                <w:rFonts w:ascii="Times New Roman" w:hAnsi="Times New Roman"/>
              </w:rPr>
              <w:t> </w:t>
            </w:r>
            <w:r w:rsidRPr="00AE79AC">
              <w:rPr>
                <w:rFonts w:ascii="Times New Roman" w:hAnsi="Times New Roman"/>
              </w:rPr>
              <w:t>załączniku II do CRR i kredytowych instrumentów pochodnych, w tym instrumentów pozabilansowych, zgłaszany w wartości przed uwzględnieniem otrzymanego zmiennego depozytu zabezpieczającego.</w:t>
            </w:r>
          </w:p>
          <w:p w:rsidR="00AE2798" w:rsidRPr="00AE79AC" w:rsidRDefault="00AE2798" w:rsidP="00FE0FF1">
            <w:pPr>
              <w:pStyle w:val="BodyText1"/>
              <w:spacing w:line="240" w:lineRule="auto"/>
              <w:rPr>
                <w:rFonts w:ascii="Times New Roman" w:hAnsi="Times New Roman"/>
                <w:bCs/>
              </w:rPr>
            </w:pPr>
          </w:p>
          <w:p w:rsidR="00AE2798" w:rsidRPr="00AE79AC" w:rsidRDefault="00AE2798" w:rsidP="00FE0FF1">
            <w:pPr>
              <w:pStyle w:val="BodyText1"/>
              <w:spacing w:line="240" w:lineRule="auto"/>
              <w:rPr>
                <w:rFonts w:ascii="Times New Roman" w:hAnsi="Times New Roman"/>
                <w:bCs/>
              </w:rPr>
            </w:pPr>
            <w:r w:rsidRPr="00AE79AC">
              <w:rPr>
                <w:rFonts w:ascii="Times New Roman" w:hAnsi="Times New Roman"/>
              </w:rPr>
              <w:t xml:space="preserve">Jak określono w art. 429a ust. 1 CRR instytucje mogą brać pod uwagę skutki umów nowacji i innych umów o kompensowaniu zobowiązań, zgodnie z art. 295 CRR. Kompensowanie międzyproduktowe nie ma zastosowania. Instytucje mogą jednak dokonywać kompensacji w ramach danej kategorii produktu, o której mowa w art. 272 </w:t>
            </w:r>
            <w:r w:rsidRPr="002341B6">
              <w:rPr>
                <w:rFonts w:ascii="Times New Roman" w:hAnsi="Times New Roman"/>
              </w:rPr>
              <w:t>pkt</w:t>
            </w:r>
            <w:r w:rsidR="002341B6" w:rsidRPr="002341B6">
              <w:rPr>
                <w:rFonts w:ascii="Times New Roman" w:hAnsi="Times New Roman"/>
              </w:rPr>
              <w:t> </w:t>
            </w:r>
            <w:r w:rsidRPr="002341B6">
              <w:rPr>
                <w:rFonts w:ascii="Times New Roman" w:hAnsi="Times New Roman"/>
              </w:rPr>
              <w:t>2</w:t>
            </w:r>
            <w:r w:rsidRPr="00AE79AC">
              <w:rPr>
                <w:rFonts w:ascii="Times New Roman" w:hAnsi="Times New Roman"/>
              </w:rPr>
              <w:t>5 lit. c) CRR, i w ramach kredytowych instrumentów pochodnych, kiedy są związane umową o kompensowaniu międzyproduktowym, o której mowa w art. 295 lit. c) CRR.</w:t>
            </w:r>
          </w:p>
          <w:p w:rsidR="00AE2798" w:rsidRPr="00AE79AC" w:rsidRDefault="00AE2798" w:rsidP="00FE0FF1">
            <w:pPr>
              <w:pStyle w:val="BodyText1"/>
              <w:spacing w:line="240" w:lineRule="auto"/>
              <w:rPr>
                <w:rFonts w:ascii="Times New Roman" w:hAnsi="Times New Roman"/>
              </w:rPr>
            </w:pPr>
          </w:p>
          <w:p w:rsidR="00AE2798" w:rsidRPr="00AE79AC" w:rsidRDefault="00AE2798" w:rsidP="00FE0FF1">
            <w:pPr>
              <w:pStyle w:val="BodyText1"/>
              <w:spacing w:line="240" w:lineRule="auto"/>
              <w:rPr>
                <w:rFonts w:ascii="Times New Roman" w:hAnsi="Times New Roman"/>
              </w:rPr>
            </w:pPr>
            <w:r w:rsidRPr="00AE79AC">
              <w:rPr>
                <w:rFonts w:ascii="Times New Roman" w:hAnsi="Times New Roman"/>
              </w:rPr>
              <w:t>Instytucje nie uwzględniają w tej komórce umów wycenianych przy zastosowaniu metody wyceny pierwotnej ekspozycji zgodnie z art. 429a ust. 8 i art. 275 CRR.</w:t>
            </w:r>
          </w:p>
          <w:p w:rsidR="00AE2798" w:rsidRPr="00AE79AC" w:rsidRDefault="00AE2798" w:rsidP="00FE0FF1">
            <w:pPr>
              <w:pStyle w:val="BodyText1"/>
              <w:spacing w:line="240" w:lineRule="auto"/>
              <w:rPr>
                <w:rFonts w:ascii="Times New Roman" w:hAnsi="Times New Roman"/>
                <w:u w:val="single"/>
              </w:rPr>
            </w:pPr>
          </w:p>
        </w:tc>
      </w:tr>
      <w:tr w:rsidR="00AE2798" w:rsidRPr="00AE79AC" w:rsidTr="00FE0FF1">
        <w:trPr>
          <w:trHeight w:val="304"/>
        </w:trPr>
        <w:tc>
          <w:tcPr>
            <w:tcW w:w="1418" w:type="dxa"/>
            <w:tcBorders>
              <w:bottom w:val="single" w:sz="4" w:space="0" w:color="auto"/>
            </w:tcBorders>
          </w:tcPr>
          <w:p w:rsidR="00AE2798" w:rsidRPr="00AE79AC" w:rsidRDefault="00AE2798" w:rsidP="00F71081">
            <w:pPr>
              <w:pStyle w:val="BodyText1"/>
              <w:rPr>
                <w:rFonts w:ascii="Times New Roman" w:hAnsi="Times New Roman"/>
                <w:bCs/>
              </w:rPr>
            </w:pPr>
            <w:r w:rsidRPr="00AE79AC">
              <w:rPr>
                <w:rFonts w:ascii="Times New Roman" w:hAnsi="Times New Roman"/>
              </w:rPr>
              <w:t>{070;010}</w:t>
            </w:r>
          </w:p>
        </w:tc>
        <w:tc>
          <w:tcPr>
            <w:tcW w:w="7590" w:type="dxa"/>
            <w:tcBorders>
              <w:bottom w:val="single" w:sz="4" w:space="0" w:color="auto"/>
            </w:tcBorders>
          </w:tcPr>
          <w:p w:rsidR="00AE2798" w:rsidRPr="00AE79AC" w:rsidRDefault="005556DC" w:rsidP="00FE0FF1">
            <w:pPr>
              <w:pStyle w:val="BodyText1"/>
              <w:spacing w:line="240" w:lineRule="auto"/>
              <w:rPr>
                <w:rFonts w:ascii="Times New Roman" w:hAnsi="Times New Roman"/>
                <w:bCs/>
              </w:rPr>
            </w:pPr>
            <w:r w:rsidRPr="00AE79AC">
              <w:rPr>
                <w:rFonts w:ascii="Times New Roman" w:hAnsi="Times New Roman"/>
                <w:b/>
              </w:rPr>
              <w:t>(-) Kwalifikujący się zmienny depozyt zabezpieczający otrzymany w gotówce i</w:t>
            </w:r>
            <w:r w:rsidR="00C7635A">
              <w:rPr>
                <w:rFonts w:ascii="Times New Roman" w:hAnsi="Times New Roman"/>
                <w:b/>
              </w:rPr>
              <w:t> </w:t>
            </w:r>
            <w:r w:rsidRPr="00AE79AC">
              <w:rPr>
                <w:rFonts w:ascii="Times New Roman" w:hAnsi="Times New Roman"/>
                <w:b/>
              </w:rPr>
              <w:t>kompensowany wartością rynkową instrumentów pochodnych</w:t>
            </w:r>
          </w:p>
          <w:p w:rsidR="00AE2798" w:rsidRPr="00AE79AC" w:rsidRDefault="00AE2798" w:rsidP="00FE0FF1">
            <w:pPr>
              <w:pStyle w:val="BodyText1"/>
              <w:spacing w:line="240" w:lineRule="auto"/>
              <w:rPr>
                <w:rFonts w:ascii="Times New Roman" w:hAnsi="Times New Roman"/>
                <w:bCs/>
              </w:rPr>
            </w:pPr>
          </w:p>
          <w:p w:rsidR="00AE2798" w:rsidRPr="00AE79AC" w:rsidRDefault="00AE2798" w:rsidP="00FE0FF1">
            <w:pPr>
              <w:pStyle w:val="BodyText1"/>
              <w:spacing w:line="240" w:lineRule="auto"/>
              <w:rPr>
                <w:rFonts w:ascii="Times New Roman" w:hAnsi="Times New Roman"/>
                <w:bCs/>
              </w:rPr>
            </w:pPr>
            <w:r w:rsidRPr="00AE79AC">
              <w:rPr>
                <w:rFonts w:ascii="Times New Roman" w:hAnsi="Times New Roman"/>
              </w:rPr>
              <w:t>Art. 429a ust. 3 CRR</w:t>
            </w:r>
          </w:p>
          <w:p w:rsidR="00AE2798" w:rsidRPr="00AE79AC" w:rsidRDefault="00AE2798" w:rsidP="00FE0FF1">
            <w:pPr>
              <w:pStyle w:val="BodyText1"/>
              <w:spacing w:line="240" w:lineRule="auto"/>
              <w:rPr>
                <w:rFonts w:ascii="Times New Roman" w:hAnsi="Times New Roman"/>
                <w:bCs/>
              </w:rPr>
            </w:pPr>
          </w:p>
          <w:p w:rsidR="00AE2798" w:rsidRPr="00AE79AC" w:rsidRDefault="00AE2798" w:rsidP="00FE0FF1">
            <w:pPr>
              <w:pStyle w:val="BodyText1"/>
              <w:spacing w:line="240" w:lineRule="auto"/>
              <w:rPr>
                <w:rFonts w:ascii="Times New Roman" w:hAnsi="Times New Roman"/>
                <w:bCs/>
              </w:rPr>
            </w:pPr>
            <w:r w:rsidRPr="00AE79AC">
              <w:rPr>
                <w:rFonts w:ascii="Times New Roman" w:hAnsi="Times New Roman"/>
              </w:rPr>
              <w:t>Zmienny depozyt zabezpieczający otrzymywany w gotówce od kontrahenta i kwalifikujący się do skompensowania z częścią ekspozycji instrumentów pochodnych związaną z</w:t>
            </w:r>
            <w:r w:rsidR="00C7635A">
              <w:rPr>
                <w:rFonts w:ascii="Times New Roman" w:hAnsi="Times New Roman"/>
              </w:rPr>
              <w:t> </w:t>
            </w:r>
            <w:r w:rsidRPr="00AE79AC">
              <w:rPr>
                <w:rFonts w:ascii="Times New Roman" w:hAnsi="Times New Roman"/>
              </w:rPr>
              <w:t>kosztem odtworzenia zgodnie z art. 429a ust. 3 CRR.</w:t>
            </w:r>
          </w:p>
          <w:p w:rsidR="00291B93" w:rsidRPr="00AE79AC" w:rsidRDefault="00291B93" w:rsidP="00FE0FF1">
            <w:pPr>
              <w:pStyle w:val="BodyText1"/>
              <w:spacing w:line="240" w:lineRule="auto"/>
              <w:rPr>
                <w:rFonts w:ascii="Times New Roman" w:hAnsi="Times New Roman"/>
                <w:bCs/>
              </w:rPr>
            </w:pPr>
          </w:p>
          <w:p w:rsidR="00291B93" w:rsidRPr="00AE79AC" w:rsidRDefault="00291B93" w:rsidP="00FE0FF1">
            <w:pPr>
              <w:pStyle w:val="BodyText1"/>
              <w:spacing w:line="240" w:lineRule="auto"/>
              <w:rPr>
                <w:rFonts w:ascii="Times New Roman" w:hAnsi="Times New Roman"/>
                <w:bCs/>
              </w:rPr>
            </w:pPr>
            <w:r w:rsidRPr="00AE79AC">
              <w:rPr>
                <w:rFonts w:ascii="Times New Roman" w:hAnsi="Times New Roman"/>
              </w:rPr>
              <w:t>Nie zgłasza się żadnych zmiennych depozytów zabezpieczających otrzymanych w gotówce z tytułu wyłączonego składnika rozliczanego z kontrahentem centralnym zgodnie z art. 429 ust. 11 CRR.</w:t>
            </w:r>
          </w:p>
          <w:p w:rsidR="00AE2798" w:rsidRPr="00AE79AC" w:rsidRDefault="00AE2798" w:rsidP="00FE0FF1">
            <w:pPr>
              <w:pStyle w:val="BodyText1"/>
              <w:spacing w:line="240" w:lineRule="auto"/>
              <w:rPr>
                <w:rFonts w:ascii="Times New Roman" w:hAnsi="Times New Roman"/>
                <w:bCs/>
              </w:rPr>
            </w:pPr>
          </w:p>
        </w:tc>
      </w:tr>
      <w:tr w:rsidR="00AE2798" w:rsidRPr="00AE79AC" w:rsidTr="00FE0FF1">
        <w:trPr>
          <w:trHeight w:val="304"/>
        </w:trPr>
        <w:tc>
          <w:tcPr>
            <w:tcW w:w="1418" w:type="dxa"/>
            <w:tcBorders>
              <w:bottom w:val="single" w:sz="4" w:space="0" w:color="auto"/>
            </w:tcBorders>
          </w:tcPr>
          <w:p w:rsidR="00AE2798" w:rsidRPr="00AE79AC" w:rsidRDefault="00AE2798" w:rsidP="00F71081">
            <w:pPr>
              <w:pStyle w:val="BodyText1"/>
              <w:rPr>
                <w:rFonts w:ascii="Times New Roman" w:hAnsi="Times New Roman"/>
                <w:bCs/>
              </w:rPr>
            </w:pPr>
            <w:r w:rsidRPr="00AE79AC">
              <w:rPr>
                <w:rFonts w:ascii="Times New Roman" w:hAnsi="Times New Roman"/>
              </w:rPr>
              <w:t>{080;010}</w:t>
            </w:r>
          </w:p>
        </w:tc>
        <w:tc>
          <w:tcPr>
            <w:tcW w:w="7590" w:type="dxa"/>
            <w:tcBorders>
              <w:bottom w:val="single" w:sz="4" w:space="0" w:color="auto"/>
            </w:tcBorders>
          </w:tcPr>
          <w:p w:rsidR="00AE2798" w:rsidRPr="00AE79AC" w:rsidRDefault="005556DC" w:rsidP="00FE0FF1">
            <w:pPr>
              <w:pStyle w:val="BodyText1"/>
              <w:spacing w:line="240" w:lineRule="auto"/>
              <w:rPr>
                <w:rFonts w:ascii="Times New Roman" w:hAnsi="Times New Roman"/>
                <w:bCs/>
              </w:rPr>
            </w:pPr>
            <w:r w:rsidRPr="00AE79AC">
              <w:rPr>
                <w:rFonts w:ascii="Times New Roman" w:hAnsi="Times New Roman"/>
                <w:b/>
              </w:rPr>
              <w:t>(-) Wyłączone ekspozycje z tytułu transakcji rozliczanych za pośrednictwem klienta w</w:t>
            </w:r>
            <w:r w:rsidR="00C7635A">
              <w:rPr>
                <w:rFonts w:ascii="Times New Roman" w:hAnsi="Times New Roman"/>
                <w:b/>
              </w:rPr>
              <w:t> </w:t>
            </w:r>
            <w:r w:rsidRPr="00AE79AC">
              <w:rPr>
                <w:rFonts w:ascii="Times New Roman" w:hAnsi="Times New Roman"/>
                <w:b/>
              </w:rPr>
              <w:t>odniesieniu do składnika rozliczanego z kontrahentem centralnym (koszt odtworzenia)</w:t>
            </w:r>
          </w:p>
          <w:p w:rsidR="00AE2798" w:rsidRPr="00AE79AC" w:rsidRDefault="00AE2798" w:rsidP="00FE0FF1">
            <w:pPr>
              <w:pStyle w:val="BodyText1"/>
              <w:spacing w:line="240" w:lineRule="auto"/>
              <w:rPr>
                <w:rFonts w:ascii="Times New Roman" w:hAnsi="Times New Roman"/>
                <w:bCs/>
              </w:rPr>
            </w:pPr>
          </w:p>
          <w:p w:rsidR="00AE2798" w:rsidRPr="00AE79AC" w:rsidRDefault="00AE2798" w:rsidP="00FE0FF1">
            <w:pPr>
              <w:pStyle w:val="BodyText1"/>
              <w:spacing w:line="240" w:lineRule="auto"/>
              <w:rPr>
                <w:rFonts w:ascii="Times New Roman" w:hAnsi="Times New Roman"/>
                <w:bCs/>
              </w:rPr>
            </w:pPr>
            <w:r w:rsidRPr="00AE79AC">
              <w:rPr>
                <w:rFonts w:ascii="Times New Roman" w:hAnsi="Times New Roman"/>
              </w:rPr>
              <w:t xml:space="preserve">Art. 429 </w:t>
            </w:r>
            <w:r w:rsidRPr="002341B6">
              <w:rPr>
                <w:rFonts w:ascii="Times New Roman" w:hAnsi="Times New Roman"/>
              </w:rPr>
              <w:t>ust.</w:t>
            </w:r>
            <w:r w:rsidR="002341B6" w:rsidRPr="002341B6">
              <w:rPr>
                <w:rFonts w:ascii="Times New Roman" w:hAnsi="Times New Roman"/>
              </w:rPr>
              <w:t> </w:t>
            </w:r>
            <w:r w:rsidRPr="002341B6">
              <w:rPr>
                <w:rFonts w:ascii="Times New Roman" w:hAnsi="Times New Roman"/>
              </w:rPr>
              <w:t>1</w:t>
            </w:r>
            <w:r w:rsidRPr="00AE79AC">
              <w:rPr>
                <w:rFonts w:ascii="Times New Roman" w:hAnsi="Times New Roman"/>
              </w:rPr>
              <w:t>1 CRR</w:t>
            </w:r>
          </w:p>
          <w:p w:rsidR="00AE2798" w:rsidRPr="00AE79AC" w:rsidRDefault="00AE2798" w:rsidP="00FE0FF1">
            <w:pPr>
              <w:pStyle w:val="BodyText1"/>
              <w:spacing w:line="240" w:lineRule="auto"/>
              <w:rPr>
                <w:rFonts w:ascii="Times New Roman" w:hAnsi="Times New Roman"/>
                <w:bCs/>
              </w:rPr>
            </w:pPr>
          </w:p>
          <w:p w:rsidR="00AE2798" w:rsidRPr="00AE79AC" w:rsidRDefault="00AE2798" w:rsidP="00FE0FF1">
            <w:pPr>
              <w:pStyle w:val="BodyText1"/>
              <w:spacing w:line="240" w:lineRule="auto"/>
              <w:rPr>
                <w:rFonts w:ascii="Times New Roman" w:hAnsi="Times New Roman"/>
                <w:bCs/>
              </w:rPr>
            </w:pPr>
            <w:r w:rsidRPr="00AE79AC">
              <w:rPr>
                <w:rFonts w:ascii="Times New Roman" w:hAnsi="Times New Roman"/>
              </w:rPr>
              <w:t>Odpowiadająca kosztowi odtworzenia część wyłączonych ekspozycji wobec kwalifikującego się kontrahenta centralnego z tytułu rozliczanych za pośrednictwem klienta transakcji na instrumentach pochodnych, pod warunkiem że pozycje te spełniają warunki określone w art. 306 ust. 1 lit. c) CRR. Kwotę tę należy podać przed uwzględnieniem zmiennego depozytu zabezpieczającego otrzymanego w gotówce z tytułu tego składnika.</w:t>
            </w:r>
          </w:p>
          <w:p w:rsidR="00AE2798" w:rsidRPr="00AE79AC" w:rsidRDefault="00AE2798" w:rsidP="00FE0FF1">
            <w:pPr>
              <w:pStyle w:val="BodyText1"/>
              <w:spacing w:line="240" w:lineRule="auto"/>
              <w:rPr>
                <w:rFonts w:ascii="Times New Roman" w:hAnsi="Times New Roman"/>
                <w:bCs/>
              </w:rPr>
            </w:pPr>
          </w:p>
          <w:p w:rsidR="00184D76" w:rsidRPr="00AE79AC" w:rsidRDefault="00184D76" w:rsidP="00184D76">
            <w:pPr>
              <w:pStyle w:val="BodyText1"/>
              <w:spacing w:line="240" w:lineRule="auto"/>
              <w:rPr>
                <w:rFonts w:ascii="Times New Roman" w:hAnsi="Times New Roman"/>
                <w:bCs/>
              </w:rPr>
            </w:pPr>
            <w:r w:rsidRPr="00AE79AC">
              <w:rPr>
                <w:rFonts w:ascii="Times New Roman" w:hAnsi="Times New Roman"/>
              </w:rPr>
              <w:t>Kwotę zgłoszoną w tej komórce instytucje uwzględniają także w komórce {060;010}, jak gdyby nie miało zastosowania żadne wyłączenie.</w:t>
            </w:r>
          </w:p>
          <w:p w:rsidR="00184D76" w:rsidRPr="00AE79AC" w:rsidRDefault="00184D76" w:rsidP="00FE0FF1">
            <w:pPr>
              <w:pStyle w:val="BodyText1"/>
              <w:spacing w:line="240" w:lineRule="auto"/>
              <w:rPr>
                <w:rFonts w:ascii="Times New Roman" w:hAnsi="Times New Roman"/>
                <w:bCs/>
              </w:rPr>
            </w:pPr>
          </w:p>
        </w:tc>
      </w:tr>
      <w:tr w:rsidR="00AE2798" w:rsidRPr="00AE79AC" w:rsidTr="00FE0FF1">
        <w:trPr>
          <w:trHeight w:val="304"/>
        </w:trPr>
        <w:tc>
          <w:tcPr>
            <w:tcW w:w="1418" w:type="dxa"/>
            <w:tcBorders>
              <w:bottom w:val="single" w:sz="4" w:space="0" w:color="auto"/>
            </w:tcBorders>
          </w:tcPr>
          <w:p w:rsidR="00AE2798" w:rsidRPr="00AE79AC" w:rsidRDefault="00AE2798" w:rsidP="00FE0FF1">
            <w:pPr>
              <w:pStyle w:val="BodyText1"/>
              <w:rPr>
                <w:rFonts w:ascii="Times New Roman" w:hAnsi="Times New Roman"/>
                <w:bCs/>
              </w:rPr>
            </w:pPr>
            <w:r w:rsidRPr="00AE79AC">
              <w:rPr>
                <w:rFonts w:ascii="Times New Roman" w:hAnsi="Times New Roman"/>
              </w:rPr>
              <w:t>{090;010}</w:t>
            </w:r>
          </w:p>
          <w:p w:rsidR="00AE2798" w:rsidRPr="00AE79AC" w:rsidRDefault="00AE2798" w:rsidP="00FE0FF1">
            <w:pPr>
              <w:pStyle w:val="BodyText1"/>
              <w:rPr>
                <w:rFonts w:ascii="Times New Roman" w:hAnsi="Times New Roman"/>
                <w:bCs/>
              </w:rPr>
            </w:pPr>
          </w:p>
        </w:tc>
        <w:tc>
          <w:tcPr>
            <w:tcW w:w="7590" w:type="dxa"/>
            <w:tcBorders>
              <w:bottom w:val="single" w:sz="4" w:space="0" w:color="auto"/>
            </w:tcBorders>
          </w:tcPr>
          <w:p w:rsidR="00AE2798" w:rsidRPr="00AE79AC" w:rsidRDefault="00AE2798" w:rsidP="00FE0FF1">
            <w:pPr>
              <w:pStyle w:val="BodyText1"/>
              <w:spacing w:line="240" w:lineRule="auto"/>
              <w:rPr>
                <w:rFonts w:ascii="Times New Roman" w:hAnsi="Times New Roman"/>
                <w:bCs/>
              </w:rPr>
            </w:pPr>
            <w:r w:rsidRPr="00AE79AC">
              <w:rPr>
                <w:rFonts w:ascii="Times New Roman" w:hAnsi="Times New Roman"/>
                <w:b/>
              </w:rPr>
              <w:t>Instrumenty pochodne: Kwota narzutu obliczona metodą wyceny według wartości rynkowej</w:t>
            </w:r>
          </w:p>
          <w:p w:rsidR="00AE2798" w:rsidRPr="00AE79AC" w:rsidRDefault="00AE2798" w:rsidP="00FE0FF1">
            <w:pPr>
              <w:pStyle w:val="BodyText1"/>
              <w:spacing w:line="240" w:lineRule="auto"/>
              <w:rPr>
                <w:rFonts w:ascii="Times New Roman" w:hAnsi="Times New Roman"/>
                <w:bCs/>
              </w:rPr>
            </w:pPr>
          </w:p>
          <w:p w:rsidR="00AE2798" w:rsidRPr="00AE79AC" w:rsidRDefault="00AE2798" w:rsidP="00FE0FF1">
            <w:pPr>
              <w:pStyle w:val="BodyText1"/>
              <w:spacing w:line="240" w:lineRule="auto"/>
              <w:rPr>
                <w:rFonts w:ascii="Times New Roman" w:hAnsi="Times New Roman"/>
                <w:bCs/>
              </w:rPr>
            </w:pPr>
            <w:r w:rsidRPr="00AE79AC">
              <w:rPr>
                <w:rFonts w:ascii="Times New Roman" w:hAnsi="Times New Roman"/>
              </w:rPr>
              <w:t>Art. 429a, 274, 295, 296, 297, 298 i 299 ust. 2 CRR</w:t>
            </w:r>
          </w:p>
          <w:p w:rsidR="00AE2798" w:rsidRPr="00AE79AC" w:rsidRDefault="00AE2798" w:rsidP="00FE0FF1">
            <w:pPr>
              <w:pStyle w:val="BodyText1"/>
              <w:spacing w:line="240" w:lineRule="auto"/>
              <w:rPr>
                <w:rFonts w:ascii="Times New Roman" w:hAnsi="Times New Roman"/>
                <w:bCs/>
              </w:rPr>
            </w:pPr>
          </w:p>
          <w:p w:rsidR="00AE2798" w:rsidRPr="00AE79AC" w:rsidRDefault="00AE2798" w:rsidP="00FE0FF1">
            <w:pPr>
              <w:pStyle w:val="BodyText1"/>
              <w:spacing w:line="240" w:lineRule="auto"/>
              <w:rPr>
                <w:rFonts w:ascii="Times New Roman" w:hAnsi="Times New Roman"/>
                <w:bCs/>
              </w:rPr>
            </w:pPr>
            <w:r w:rsidRPr="00AE79AC">
              <w:rPr>
                <w:rFonts w:ascii="Times New Roman" w:hAnsi="Times New Roman"/>
              </w:rPr>
              <w:t>W tej komórce wykazuje się narzut w odniesieniu do potencjalnej przyszłej ekspozycji z</w:t>
            </w:r>
            <w:r w:rsidR="00D62B88">
              <w:rPr>
                <w:rFonts w:ascii="Times New Roman" w:hAnsi="Times New Roman"/>
              </w:rPr>
              <w:t> </w:t>
            </w:r>
            <w:r w:rsidRPr="00AE79AC">
              <w:rPr>
                <w:rFonts w:ascii="Times New Roman" w:hAnsi="Times New Roman"/>
              </w:rPr>
              <w:t>tytułu umów wymienionych w załączniku II do CRR oraz z tytułu kredytowych instrumentów pochodnych, w tym instrumentów pozabilansowych, obliczony zgodnie z</w:t>
            </w:r>
            <w:r w:rsidR="00D62B88">
              <w:rPr>
                <w:rFonts w:ascii="Times New Roman" w:hAnsi="Times New Roman"/>
              </w:rPr>
              <w:t> </w:t>
            </w:r>
            <w:r w:rsidRPr="00AE79AC">
              <w:rPr>
                <w:rFonts w:ascii="Times New Roman" w:hAnsi="Times New Roman"/>
              </w:rPr>
              <w:t>metodą wyceny według wartości rynkowej (art. 274 CRR w odniesieniu do umów wymienionych w załączniku II do CRR oraz art. 299 ust. 2 CRR w odniesieniu do kredytowych instrumentów pochodnych) z zastosowaniem zasad kompensowania zobowiązań zgodnie z art. 429a ust. 1 CRR. Przy określaniu wartości ekspozycji z tytułu tych umów instytucje mogą wziąć pod uwagę skutki umów nowacji i innych umów o</w:t>
            </w:r>
            <w:r w:rsidR="00D62B88">
              <w:rPr>
                <w:rFonts w:ascii="Times New Roman" w:hAnsi="Times New Roman"/>
              </w:rPr>
              <w:t> </w:t>
            </w:r>
            <w:r w:rsidRPr="00AE79AC">
              <w:rPr>
                <w:rFonts w:ascii="Times New Roman" w:hAnsi="Times New Roman"/>
              </w:rPr>
              <w:t xml:space="preserve">kompensowaniu zobowiązań zgodnie z art. 295 CRR. Kompensowanie międzyproduktowe nie ma zastosowania. Instytucje mogą jednak dokonywać kompensacji w ramach danej kategorii produktu, o której mowa w art. 272 </w:t>
            </w:r>
            <w:r w:rsidRPr="002341B6">
              <w:rPr>
                <w:rFonts w:ascii="Times New Roman" w:hAnsi="Times New Roman"/>
              </w:rPr>
              <w:t>pkt</w:t>
            </w:r>
            <w:r w:rsidR="002341B6" w:rsidRPr="002341B6">
              <w:rPr>
                <w:rFonts w:ascii="Times New Roman" w:hAnsi="Times New Roman"/>
              </w:rPr>
              <w:t> </w:t>
            </w:r>
            <w:r w:rsidRPr="002341B6">
              <w:rPr>
                <w:rFonts w:ascii="Times New Roman" w:hAnsi="Times New Roman"/>
              </w:rPr>
              <w:t>2</w:t>
            </w:r>
            <w:r w:rsidRPr="00AE79AC">
              <w:rPr>
                <w:rFonts w:ascii="Times New Roman" w:hAnsi="Times New Roman"/>
              </w:rPr>
              <w:t>5 lit. c) CRR, i</w:t>
            </w:r>
            <w:r w:rsidR="00D62B88">
              <w:rPr>
                <w:rFonts w:ascii="Times New Roman" w:hAnsi="Times New Roman"/>
              </w:rPr>
              <w:t> </w:t>
            </w:r>
            <w:r w:rsidRPr="00AE79AC">
              <w:rPr>
                <w:rFonts w:ascii="Times New Roman" w:hAnsi="Times New Roman"/>
              </w:rPr>
              <w:t>w</w:t>
            </w:r>
            <w:r w:rsidR="00D62B88">
              <w:rPr>
                <w:rFonts w:ascii="Times New Roman" w:hAnsi="Times New Roman"/>
              </w:rPr>
              <w:t> </w:t>
            </w:r>
            <w:r w:rsidRPr="00AE79AC">
              <w:rPr>
                <w:rFonts w:ascii="Times New Roman" w:hAnsi="Times New Roman"/>
              </w:rPr>
              <w:t>ramach kredytowych instrumentów pochodnych, kiedy są związane umową o</w:t>
            </w:r>
            <w:r w:rsidR="00D62B88">
              <w:rPr>
                <w:rFonts w:ascii="Times New Roman" w:hAnsi="Times New Roman"/>
              </w:rPr>
              <w:t> </w:t>
            </w:r>
            <w:r w:rsidRPr="00AE79AC">
              <w:rPr>
                <w:rFonts w:ascii="Times New Roman" w:hAnsi="Times New Roman"/>
              </w:rPr>
              <w:t xml:space="preserve">kompensowaniu międzyproduktowym, o której mowa w art. 295 lit. c) CRR. </w:t>
            </w:r>
          </w:p>
          <w:p w:rsidR="00AE2798" w:rsidRPr="00AE79AC" w:rsidRDefault="00AE2798" w:rsidP="00FE0FF1">
            <w:pPr>
              <w:pStyle w:val="BodyText1"/>
              <w:spacing w:line="240" w:lineRule="auto"/>
              <w:rPr>
                <w:rFonts w:ascii="Times New Roman" w:hAnsi="Times New Roman"/>
                <w:bCs/>
              </w:rPr>
            </w:pPr>
          </w:p>
          <w:p w:rsidR="00AE2798" w:rsidRPr="00AE79AC" w:rsidRDefault="00AE2798" w:rsidP="00FE0FF1">
            <w:pPr>
              <w:pStyle w:val="BodyText1"/>
              <w:spacing w:line="240" w:lineRule="auto"/>
              <w:rPr>
                <w:rFonts w:ascii="Times New Roman" w:hAnsi="Times New Roman"/>
                <w:bCs/>
              </w:rPr>
            </w:pPr>
            <w:r w:rsidRPr="00AE79AC">
              <w:rPr>
                <w:rFonts w:ascii="Times New Roman" w:hAnsi="Times New Roman"/>
              </w:rPr>
              <w:t xml:space="preserve">Zgodnie z art. 429a ust. 1 akapit drugi CRR, określając potencjalną przyszłą ekspozycję kredytową z tytułu kredytowych instrumentów pochodnych, instytucje stosują zasady określone w art. 299 ust. 2 lit. a) CRR w odniesieniu do wszystkich swoich kredytowych instrumentów pochodnych, nie tylko tych przypisanych do portfela handlowego. </w:t>
            </w:r>
          </w:p>
          <w:p w:rsidR="00AE2798" w:rsidRPr="00AE79AC" w:rsidRDefault="00AE2798" w:rsidP="00FE0FF1">
            <w:pPr>
              <w:pStyle w:val="BodyText1"/>
              <w:spacing w:line="240" w:lineRule="auto"/>
              <w:rPr>
                <w:rFonts w:ascii="Times New Roman" w:hAnsi="Times New Roman"/>
                <w:bCs/>
              </w:rPr>
            </w:pPr>
          </w:p>
          <w:p w:rsidR="00AE2798" w:rsidRPr="00AE79AC" w:rsidRDefault="00AE2798" w:rsidP="00FE0FF1">
            <w:pPr>
              <w:pStyle w:val="BodyText1"/>
              <w:spacing w:line="240" w:lineRule="auto"/>
              <w:rPr>
                <w:rFonts w:ascii="Times New Roman" w:hAnsi="Times New Roman"/>
              </w:rPr>
            </w:pPr>
            <w:r w:rsidRPr="00AE79AC">
              <w:rPr>
                <w:rFonts w:ascii="Times New Roman" w:hAnsi="Times New Roman"/>
              </w:rPr>
              <w:t>Instytucje nie uwzględniają w tej komórce umów wycenianych przy zastosowaniu metody wyceny pierwotnej ekspozycji zgodnie z art. 429a ust. 8 i art. 275 CRR.</w:t>
            </w:r>
          </w:p>
          <w:p w:rsidR="00AE2798" w:rsidRPr="00AE79AC" w:rsidRDefault="00AE2798" w:rsidP="00FE0FF1">
            <w:pPr>
              <w:pStyle w:val="BodyText1"/>
              <w:spacing w:line="240" w:lineRule="auto"/>
              <w:rPr>
                <w:rFonts w:ascii="Times New Roman" w:hAnsi="Times New Roman"/>
                <w:bCs/>
                <w:u w:val="single"/>
              </w:rPr>
            </w:pPr>
          </w:p>
        </w:tc>
      </w:tr>
      <w:tr w:rsidR="00AE2798" w:rsidRPr="00AE79AC" w:rsidTr="00FE0FF1">
        <w:trPr>
          <w:trHeight w:val="304"/>
        </w:trPr>
        <w:tc>
          <w:tcPr>
            <w:tcW w:w="1418" w:type="dxa"/>
          </w:tcPr>
          <w:p w:rsidR="00AE2798" w:rsidRPr="00AE79AC" w:rsidRDefault="00AE2798" w:rsidP="00F71081">
            <w:pPr>
              <w:pStyle w:val="BodyText1"/>
              <w:rPr>
                <w:rFonts w:ascii="Times New Roman" w:hAnsi="Times New Roman"/>
                <w:bCs/>
              </w:rPr>
            </w:pPr>
            <w:r w:rsidRPr="00AE79AC">
              <w:rPr>
                <w:rFonts w:ascii="Times New Roman" w:hAnsi="Times New Roman"/>
              </w:rPr>
              <w:t>{100;010}</w:t>
            </w:r>
          </w:p>
        </w:tc>
        <w:tc>
          <w:tcPr>
            <w:tcW w:w="7590" w:type="dxa"/>
          </w:tcPr>
          <w:p w:rsidR="00AE2798" w:rsidRPr="00AE79AC" w:rsidRDefault="005556DC" w:rsidP="00FE0FF1">
            <w:pPr>
              <w:pStyle w:val="BodyText1"/>
              <w:spacing w:line="240" w:lineRule="auto"/>
              <w:rPr>
                <w:rFonts w:ascii="Times New Roman" w:hAnsi="Times New Roman"/>
                <w:bCs/>
              </w:rPr>
            </w:pPr>
            <w:r w:rsidRPr="00AE79AC">
              <w:rPr>
                <w:rFonts w:ascii="Times New Roman" w:hAnsi="Times New Roman"/>
                <w:b/>
              </w:rPr>
              <w:t>(-) Wyłączone ekspozycje z tytułu transakcji rozliczanych za pośrednictwem klienta w</w:t>
            </w:r>
            <w:r w:rsidR="00D62B88">
              <w:rPr>
                <w:rFonts w:ascii="Times New Roman" w:hAnsi="Times New Roman"/>
                <w:b/>
              </w:rPr>
              <w:t> </w:t>
            </w:r>
            <w:r w:rsidRPr="00AE79AC">
              <w:rPr>
                <w:rFonts w:ascii="Times New Roman" w:hAnsi="Times New Roman"/>
                <w:b/>
              </w:rPr>
              <w:t>odniesieniu do składnika rozliczanego z kontrahentem centralnym (potencjalna przyszła ekspozycja)</w:t>
            </w:r>
          </w:p>
          <w:p w:rsidR="00AE2798" w:rsidRPr="00AE79AC" w:rsidRDefault="00AE2798" w:rsidP="00FE0FF1">
            <w:pPr>
              <w:pStyle w:val="BodyText1"/>
              <w:spacing w:line="240" w:lineRule="auto"/>
              <w:rPr>
                <w:rFonts w:ascii="Times New Roman" w:hAnsi="Times New Roman"/>
                <w:bCs/>
              </w:rPr>
            </w:pPr>
          </w:p>
          <w:p w:rsidR="00AE2798" w:rsidRPr="00AE79AC" w:rsidRDefault="00AE2798" w:rsidP="00FE0FF1">
            <w:pPr>
              <w:pStyle w:val="BodyText1"/>
              <w:spacing w:line="240" w:lineRule="auto"/>
              <w:rPr>
                <w:rFonts w:ascii="Times New Roman" w:hAnsi="Times New Roman"/>
                <w:bCs/>
              </w:rPr>
            </w:pPr>
            <w:r w:rsidRPr="00AE79AC">
              <w:rPr>
                <w:rFonts w:ascii="Times New Roman" w:hAnsi="Times New Roman"/>
              </w:rPr>
              <w:t xml:space="preserve">Art. 429 </w:t>
            </w:r>
            <w:r w:rsidRPr="002341B6">
              <w:rPr>
                <w:rFonts w:ascii="Times New Roman" w:hAnsi="Times New Roman"/>
              </w:rPr>
              <w:t>ust.</w:t>
            </w:r>
            <w:r w:rsidR="002341B6" w:rsidRPr="002341B6">
              <w:rPr>
                <w:rFonts w:ascii="Times New Roman" w:hAnsi="Times New Roman"/>
              </w:rPr>
              <w:t> </w:t>
            </w:r>
            <w:r w:rsidRPr="002341B6">
              <w:rPr>
                <w:rFonts w:ascii="Times New Roman" w:hAnsi="Times New Roman"/>
              </w:rPr>
              <w:t>1</w:t>
            </w:r>
            <w:r w:rsidRPr="00AE79AC">
              <w:rPr>
                <w:rFonts w:ascii="Times New Roman" w:hAnsi="Times New Roman"/>
              </w:rPr>
              <w:t>1 CRR</w:t>
            </w:r>
          </w:p>
          <w:p w:rsidR="00AE2798" w:rsidRPr="00AE79AC" w:rsidRDefault="00AE2798" w:rsidP="00FE0FF1">
            <w:pPr>
              <w:pStyle w:val="BodyText1"/>
              <w:spacing w:line="240" w:lineRule="auto"/>
              <w:rPr>
                <w:rFonts w:ascii="Times New Roman" w:hAnsi="Times New Roman"/>
                <w:bCs/>
              </w:rPr>
            </w:pPr>
          </w:p>
          <w:p w:rsidR="00AE2798" w:rsidRPr="00AE79AC" w:rsidRDefault="00AE2798" w:rsidP="00FE0FF1">
            <w:pPr>
              <w:pStyle w:val="BodyText1"/>
              <w:spacing w:line="240" w:lineRule="auto"/>
              <w:rPr>
                <w:rFonts w:ascii="Times New Roman" w:hAnsi="Times New Roman"/>
                <w:bCs/>
              </w:rPr>
            </w:pPr>
            <w:r w:rsidRPr="00AE79AC">
              <w:rPr>
                <w:rFonts w:ascii="Times New Roman" w:hAnsi="Times New Roman"/>
              </w:rPr>
              <w:t>Odpowiadająca potencjalnej przyszłej ekspozycji część wyłączonych ekspozycji wobec kwalifikującego się kontrahenta centralnego z tytułu rozliczanych za pośrednictwem klienta transakcji na instrumentach pochodnych, pod warunkiem że pozycje te spełniają warunki określone w art. 306 ust. 1 lit. c) CRR.</w:t>
            </w:r>
          </w:p>
          <w:p w:rsidR="001B3BF0" w:rsidRPr="00AE79AC" w:rsidRDefault="001B3BF0" w:rsidP="00FE0FF1">
            <w:pPr>
              <w:pStyle w:val="BodyText1"/>
              <w:spacing w:line="240" w:lineRule="auto"/>
              <w:rPr>
                <w:rFonts w:ascii="Times New Roman" w:hAnsi="Times New Roman"/>
                <w:bCs/>
              </w:rPr>
            </w:pPr>
          </w:p>
          <w:p w:rsidR="001B3BF0" w:rsidRPr="00AE79AC" w:rsidRDefault="001B3BF0" w:rsidP="00FE0FF1">
            <w:pPr>
              <w:pStyle w:val="BodyText1"/>
              <w:spacing w:line="240" w:lineRule="auto"/>
              <w:rPr>
                <w:rFonts w:ascii="Times New Roman" w:hAnsi="Times New Roman"/>
                <w:bCs/>
              </w:rPr>
            </w:pPr>
            <w:r w:rsidRPr="00AE79AC">
              <w:rPr>
                <w:rFonts w:ascii="Times New Roman" w:hAnsi="Times New Roman"/>
              </w:rPr>
              <w:t>Kwotę zgłoszoną w tej komórce instytucje uwzględniają także w komórce {090;010}, jak gdyby nie miało zastosowania żadne wyłączenie.</w:t>
            </w:r>
          </w:p>
          <w:p w:rsidR="00AE2798" w:rsidRPr="00AE79AC" w:rsidRDefault="00AE2798" w:rsidP="00FE0FF1">
            <w:pPr>
              <w:pStyle w:val="BodyText1"/>
              <w:spacing w:line="240" w:lineRule="auto"/>
              <w:rPr>
                <w:rFonts w:ascii="Times New Roman" w:hAnsi="Times New Roman"/>
                <w:bCs/>
              </w:rPr>
            </w:pPr>
          </w:p>
        </w:tc>
      </w:tr>
      <w:tr w:rsidR="00AE2798" w:rsidRPr="00AE79AC" w:rsidTr="00FE0FF1">
        <w:trPr>
          <w:trHeight w:val="304"/>
        </w:trPr>
        <w:tc>
          <w:tcPr>
            <w:tcW w:w="1418" w:type="dxa"/>
          </w:tcPr>
          <w:p w:rsidR="00AE2798" w:rsidRPr="00AE79AC" w:rsidRDefault="00AE2798" w:rsidP="00FE0FF1">
            <w:pPr>
              <w:pStyle w:val="BodyText1"/>
              <w:rPr>
                <w:rFonts w:ascii="Times New Roman" w:hAnsi="Times New Roman"/>
                <w:bCs/>
              </w:rPr>
            </w:pPr>
            <w:r w:rsidRPr="00AE79AC">
              <w:rPr>
                <w:rFonts w:ascii="Times New Roman" w:hAnsi="Times New Roman"/>
              </w:rPr>
              <w:t>{110;010}</w:t>
            </w:r>
          </w:p>
          <w:p w:rsidR="00AE2798" w:rsidRPr="00AE79AC" w:rsidRDefault="00AE2798" w:rsidP="00FE0FF1">
            <w:pPr>
              <w:pStyle w:val="BodyText1"/>
              <w:rPr>
                <w:rFonts w:ascii="Times New Roman" w:hAnsi="Times New Roman"/>
                <w:bCs/>
              </w:rPr>
            </w:pPr>
          </w:p>
        </w:tc>
        <w:tc>
          <w:tcPr>
            <w:tcW w:w="7590" w:type="dxa"/>
          </w:tcPr>
          <w:p w:rsidR="00AE2798" w:rsidRPr="00AE79AC" w:rsidRDefault="00AE2798" w:rsidP="00FE0FF1">
            <w:pPr>
              <w:pStyle w:val="BodyText1"/>
              <w:spacing w:line="240" w:lineRule="auto"/>
              <w:rPr>
                <w:rFonts w:ascii="Times New Roman" w:hAnsi="Times New Roman"/>
                <w:bCs/>
              </w:rPr>
            </w:pPr>
            <w:r w:rsidRPr="00AE79AC">
              <w:rPr>
                <w:rFonts w:ascii="Times New Roman" w:hAnsi="Times New Roman"/>
                <w:b/>
              </w:rPr>
              <w:t>Odstępstwo w odniesieniu do instrumentów pochodnych: metoda wyceny pierwotnej ekspozycji</w:t>
            </w:r>
          </w:p>
          <w:p w:rsidR="00AE2798" w:rsidRPr="00AE79AC" w:rsidRDefault="00AE2798" w:rsidP="00FE0FF1">
            <w:pPr>
              <w:pStyle w:val="BodyText1"/>
              <w:spacing w:line="240" w:lineRule="auto"/>
              <w:rPr>
                <w:rFonts w:ascii="Times New Roman" w:hAnsi="Times New Roman"/>
                <w:bCs/>
              </w:rPr>
            </w:pPr>
          </w:p>
          <w:p w:rsidR="00AE2798" w:rsidRPr="00AE79AC" w:rsidRDefault="00AE2798" w:rsidP="00FE0FF1">
            <w:pPr>
              <w:pStyle w:val="BodyText1"/>
              <w:spacing w:line="240" w:lineRule="auto"/>
              <w:rPr>
                <w:rFonts w:ascii="Times New Roman" w:hAnsi="Times New Roman"/>
                <w:bCs/>
              </w:rPr>
            </w:pPr>
            <w:r w:rsidRPr="00AE79AC">
              <w:rPr>
                <w:rFonts w:ascii="Times New Roman" w:hAnsi="Times New Roman"/>
              </w:rPr>
              <w:t>Art. 429a ust. 8 i art. 275 CRR</w:t>
            </w:r>
          </w:p>
          <w:p w:rsidR="00AE2798" w:rsidRPr="00AE79AC" w:rsidRDefault="00AE2798" w:rsidP="00FE0FF1">
            <w:pPr>
              <w:pStyle w:val="BodyText1"/>
              <w:spacing w:line="240" w:lineRule="auto"/>
              <w:rPr>
                <w:rFonts w:ascii="Times New Roman" w:hAnsi="Times New Roman"/>
                <w:bCs/>
              </w:rPr>
            </w:pPr>
          </w:p>
          <w:p w:rsidR="00AE2798" w:rsidRPr="00AE79AC" w:rsidRDefault="00AE2798" w:rsidP="00FE0FF1">
            <w:pPr>
              <w:pStyle w:val="BodyText1"/>
              <w:spacing w:line="240" w:lineRule="auto"/>
              <w:rPr>
                <w:rFonts w:ascii="Times New Roman" w:hAnsi="Times New Roman"/>
                <w:bCs/>
              </w:rPr>
            </w:pPr>
            <w:r w:rsidRPr="00AE79AC">
              <w:rPr>
                <w:rFonts w:ascii="Times New Roman" w:hAnsi="Times New Roman"/>
              </w:rPr>
              <w:t xml:space="preserve">Komórka ta przedstawia miarę ekspozycji z tytułu umów wymienionych w </w:t>
            </w:r>
            <w:r w:rsidRPr="002341B6">
              <w:rPr>
                <w:rFonts w:ascii="Times New Roman" w:hAnsi="Times New Roman"/>
              </w:rPr>
              <w:t>pkt</w:t>
            </w:r>
            <w:r w:rsidR="002341B6" w:rsidRPr="002341B6">
              <w:rPr>
                <w:rFonts w:ascii="Times New Roman" w:hAnsi="Times New Roman"/>
              </w:rPr>
              <w:t> </w:t>
            </w:r>
            <w:r w:rsidRPr="002341B6">
              <w:rPr>
                <w:rFonts w:ascii="Times New Roman" w:hAnsi="Times New Roman"/>
              </w:rPr>
              <w:t>1</w:t>
            </w:r>
            <w:r w:rsidRPr="00AE79AC">
              <w:rPr>
                <w:rFonts w:ascii="Times New Roman" w:hAnsi="Times New Roman"/>
              </w:rPr>
              <w:t xml:space="preserve"> i 2 załącznika II do CRR obliczoną zgodnie z metodą wyceny pierwotnej ekspozycji określoną w art. 275 CRR.</w:t>
            </w:r>
          </w:p>
          <w:p w:rsidR="00AE2798" w:rsidRPr="00AE79AC" w:rsidRDefault="00AE2798" w:rsidP="00FE0FF1">
            <w:pPr>
              <w:pStyle w:val="BodyText1"/>
              <w:spacing w:line="240" w:lineRule="auto"/>
              <w:rPr>
                <w:rFonts w:ascii="Times New Roman" w:hAnsi="Times New Roman"/>
                <w:bCs/>
              </w:rPr>
            </w:pPr>
          </w:p>
          <w:p w:rsidR="00AE2798" w:rsidRPr="00AE79AC" w:rsidRDefault="003F598C" w:rsidP="00FE0FF1">
            <w:pPr>
              <w:pStyle w:val="BodyText1"/>
              <w:spacing w:line="240" w:lineRule="auto"/>
              <w:rPr>
                <w:rFonts w:ascii="Times New Roman" w:hAnsi="Times New Roman"/>
                <w:bCs/>
              </w:rPr>
            </w:pPr>
            <w:r w:rsidRPr="00AE79AC">
              <w:rPr>
                <w:rFonts w:ascii="Times New Roman" w:hAnsi="Times New Roman"/>
              </w:rPr>
              <w:t>Instytucje, które stosują metodę wyceny pierwotnej ekspozycji, nie zmniejszają miary ekspozycji o kwotę zmiennego depozytu zabezpieczającego otrzymanego w gotówce zgodnie z art. 429a ust. 8 CRR.</w:t>
            </w:r>
          </w:p>
          <w:p w:rsidR="00AE2798" w:rsidRPr="00AE79AC" w:rsidRDefault="00AE2798" w:rsidP="00FE0FF1">
            <w:pPr>
              <w:pStyle w:val="BodyText1"/>
              <w:spacing w:line="240" w:lineRule="auto"/>
              <w:rPr>
                <w:rFonts w:ascii="Times New Roman" w:hAnsi="Times New Roman"/>
                <w:bCs/>
              </w:rPr>
            </w:pPr>
          </w:p>
          <w:p w:rsidR="00AE2798" w:rsidRPr="00AE79AC" w:rsidRDefault="00AE2798" w:rsidP="00FE0FF1">
            <w:pPr>
              <w:pStyle w:val="BodyText1"/>
              <w:spacing w:line="240" w:lineRule="auto"/>
              <w:rPr>
                <w:rFonts w:ascii="Times New Roman" w:hAnsi="Times New Roman"/>
                <w:bCs/>
              </w:rPr>
            </w:pPr>
            <w:r w:rsidRPr="00AE79AC">
              <w:rPr>
                <w:rFonts w:ascii="Times New Roman" w:hAnsi="Times New Roman"/>
              </w:rPr>
              <w:t>Instytucje, które nie stosują metody wyceny pierwotnej ekspozycji, nie zgłaszają tej komórki.</w:t>
            </w:r>
          </w:p>
          <w:p w:rsidR="00AE2798" w:rsidRPr="00AE79AC" w:rsidRDefault="00AE2798" w:rsidP="00FE0FF1">
            <w:pPr>
              <w:pStyle w:val="BodyText1"/>
              <w:spacing w:line="240" w:lineRule="auto"/>
              <w:rPr>
                <w:rFonts w:ascii="Times New Roman" w:hAnsi="Times New Roman"/>
                <w:bCs/>
              </w:rPr>
            </w:pPr>
          </w:p>
          <w:p w:rsidR="00AE2798" w:rsidRPr="00AE79AC" w:rsidRDefault="00AE2798" w:rsidP="00FE0FF1">
            <w:pPr>
              <w:pStyle w:val="BodyText1"/>
              <w:spacing w:line="240" w:lineRule="auto"/>
              <w:rPr>
                <w:rFonts w:ascii="Times New Roman" w:hAnsi="Times New Roman"/>
              </w:rPr>
            </w:pPr>
            <w:r w:rsidRPr="00AE79AC">
              <w:rPr>
                <w:rFonts w:ascii="Times New Roman" w:hAnsi="Times New Roman"/>
              </w:rPr>
              <w:t>Instytucje nie biorą pod uwagę w tej komórce umów wycenianych przy zastosowaniu metody wyceny według wartości rynkowej zgodnie z art. 429a ust. 1 i art. 274 CRR.</w:t>
            </w:r>
          </w:p>
          <w:p w:rsidR="00AE2798" w:rsidRPr="00AE79AC" w:rsidRDefault="00AE2798" w:rsidP="00FE0FF1">
            <w:pPr>
              <w:pStyle w:val="BodyText1"/>
              <w:spacing w:line="240" w:lineRule="auto"/>
              <w:rPr>
                <w:rFonts w:ascii="Times New Roman" w:hAnsi="Times New Roman"/>
                <w:bCs/>
                <w:u w:val="single"/>
              </w:rPr>
            </w:pPr>
          </w:p>
        </w:tc>
      </w:tr>
      <w:tr w:rsidR="00AE2798" w:rsidRPr="00AE79AC" w:rsidTr="00FE0FF1">
        <w:trPr>
          <w:trHeight w:val="304"/>
        </w:trPr>
        <w:tc>
          <w:tcPr>
            <w:tcW w:w="1418" w:type="dxa"/>
          </w:tcPr>
          <w:p w:rsidR="00AE2798" w:rsidRPr="00AE79AC" w:rsidRDefault="00AE2798" w:rsidP="00F71081">
            <w:pPr>
              <w:pStyle w:val="BodyText1"/>
              <w:rPr>
                <w:rFonts w:ascii="Times New Roman" w:hAnsi="Times New Roman"/>
                <w:bCs/>
              </w:rPr>
            </w:pPr>
            <w:r w:rsidRPr="00AE79AC">
              <w:rPr>
                <w:rFonts w:ascii="Times New Roman" w:hAnsi="Times New Roman"/>
              </w:rPr>
              <w:t>{120;010}</w:t>
            </w:r>
          </w:p>
        </w:tc>
        <w:tc>
          <w:tcPr>
            <w:tcW w:w="7590" w:type="dxa"/>
          </w:tcPr>
          <w:p w:rsidR="00AE2798" w:rsidRPr="00AE79AC" w:rsidRDefault="00422C76" w:rsidP="00FE0FF1">
            <w:pPr>
              <w:pStyle w:val="BodyText1"/>
              <w:spacing w:line="240" w:lineRule="auto"/>
              <w:rPr>
                <w:rFonts w:ascii="Times New Roman" w:hAnsi="Times New Roman"/>
                <w:bCs/>
              </w:rPr>
            </w:pPr>
            <w:r w:rsidRPr="00AE79AC">
              <w:rPr>
                <w:rFonts w:ascii="Times New Roman" w:hAnsi="Times New Roman"/>
                <w:b/>
              </w:rPr>
              <w:t>(-) Wyłączone ekspozycje z tytułu transakcji rozliczanych za pośrednictwem klienta w</w:t>
            </w:r>
            <w:r w:rsidR="00552B55">
              <w:rPr>
                <w:rFonts w:ascii="Times New Roman" w:hAnsi="Times New Roman"/>
                <w:b/>
              </w:rPr>
              <w:t> </w:t>
            </w:r>
            <w:r w:rsidRPr="00AE79AC">
              <w:rPr>
                <w:rFonts w:ascii="Times New Roman" w:hAnsi="Times New Roman"/>
                <w:b/>
              </w:rPr>
              <w:t>odniesieniu do składnika rozliczanego z kontrahentem centralnym (metoda wyceny pierwotnej ekspozycji)</w:t>
            </w:r>
          </w:p>
          <w:p w:rsidR="00AE2798" w:rsidRPr="00AE79AC" w:rsidRDefault="00AE2798" w:rsidP="00FE0FF1">
            <w:pPr>
              <w:pStyle w:val="BodyText1"/>
              <w:spacing w:line="240" w:lineRule="auto"/>
              <w:rPr>
                <w:rFonts w:ascii="Times New Roman" w:hAnsi="Times New Roman"/>
                <w:bCs/>
              </w:rPr>
            </w:pPr>
          </w:p>
          <w:p w:rsidR="00AE2798" w:rsidRPr="00AE79AC" w:rsidRDefault="00AE2798" w:rsidP="00FE0FF1">
            <w:pPr>
              <w:pStyle w:val="BodyText1"/>
              <w:spacing w:line="240" w:lineRule="auto"/>
              <w:rPr>
                <w:rFonts w:ascii="Times New Roman" w:hAnsi="Times New Roman"/>
                <w:bCs/>
              </w:rPr>
            </w:pPr>
            <w:r w:rsidRPr="00AE79AC">
              <w:rPr>
                <w:rFonts w:ascii="Times New Roman" w:hAnsi="Times New Roman"/>
              </w:rPr>
              <w:t xml:space="preserve">Art. 429 </w:t>
            </w:r>
            <w:r w:rsidRPr="002341B6">
              <w:rPr>
                <w:rFonts w:ascii="Times New Roman" w:hAnsi="Times New Roman"/>
              </w:rPr>
              <w:t>ust.</w:t>
            </w:r>
            <w:r w:rsidR="002341B6" w:rsidRPr="002341B6">
              <w:rPr>
                <w:rFonts w:ascii="Times New Roman" w:hAnsi="Times New Roman"/>
              </w:rPr>
              <w:t> </w:t>
            </w:r>
            <w:r w:rsidRPr="002341B6">
              <w:rPr>
                <w:rFonts w:ascii="Times New Roman" w:hAnsi="Times New Roman"/>
              </w:rPr>
              <w:t>1</w:t>
            </w:r>
            <w:r w:rsidRPr="00AE79AC">
              <w:rPr>
                <w:rFonts w:ascii="Times New Roman" w:hAnsi="Times New Roman"/>
              </w:rPr>
              <w:t>1 CRR</w:t>
            </w:r>
          </w:p>
          <w:p w:rsidR="00AE2798" w:rsidRPr="00AE79AC" w:rsidRDefault="00AE2798" w:rsidP="00FE0FF1">
            <w:pPr>
              <w:pStyle w:val="BodyText1"/>
              <w:spacing w:line="240" w:lineRule="auto"/>
              <w:rPr>
                <w:rFonts w:ascii="Times New Roman" w:hAnsi="Times New Roman"/>
                <w:bCs/>
              </w:rPr>
            </w:pPr>
          </w:p>
          <w:p w:rsidR="00AE2798" w:rsidRPr="00AE79AC" w:rsidRDefault="00AE2798" w:rsidP="00FE0FF1">
            <w:pPr>
              <w:pStyle w:val="BodyText1"/>
              <w:spacing w:line="240" w:lineRule="auto"/>
              <w:rPr>
                <w:rFonts w:ascii="Times New Roman" w:hAnsi="Times New Roman"/>
                <w:bCs/>
              </w:rPr>
            </w:pPr>
            <w:r w:rsidRPr="00AE79AC">
              <w:rPr>
                <w:rFonts w:ascii="Times New Roman" w:hAnsi="Times New Roman"/>
              </w:rPr>
              <w:t>Wyłączone ekspozycje z tytułu transakcji rozliczanych za pośrednictwem klienta w</w:t>
            </w:r>
            <w:r w:rsidR="00552B55">
              <w:rPr>
                <w:rFonts w:ascii="Times New Roman" w:hAnsi="Times New Roman"/>
              </w:rPr>
              <w:t> </w:t>
            </w:r>
            <w:r w:rsidRPr="00AE79AC">
              <w:rPr>
                <w:rFonts w:ascii="Times New Roman" w:hAnsi="Times New Roman"/>
              </w:rPr>
              <w:t>odniesieniu do składnika rozliczanego z kontrahentem centralnym przy zastosowaniu metody wyceny pierwotnej wartości ekspozycji określonej w art. 275 CRR, pod warunkiem że pozycje te spełniają warunki określone w art. 306 ust. 1 lit. c) CRR.</w:t>
            </w:r>
          </w:p>
          <w:p w:rsidR="001B3BF0" w:rsidRPr="00AE79AC" w:rsidRDefault="001B3BF0" w:rsidP="00FE0FF1">
            <w:pPr>
              <w:pStyle w:val="BodyText1"/>
              <w:spacing w:line="240" w:lineRule="auto"/>
              <w:rPr>
                <w:rFonts w:ascii="Times New Roman" w:hAnsi="Times New Roman"/>
                <w:bCs/>
              </w:rPr>
            </w:pPr>
          </w:p>
          <w:p w:rsidR="001B3BF0" w:rsidRPr="00AE79AC" w:rsidRDefault="001B3BF0" w:rsidP="00FE0FF1">
            <w:pPr>
              <w:pStyle w:val="BodyText1"/>
              <w:spacing w:line="240" w:lineRule="auto"/>
              <w:rPr>
                <w:rFonts w:ascii="Times New Roman" w:hAnsi="Times New Roman"/>
                <w:bCs/>
              </w:rPr>
            </w:pPr>
            <w:r w:rsidRPr="00AE79AC">
              <w:rPr>
                <w:rFonts w:ascii="Times New Roman" w:hAnsi="Times New Roman"/>
              </w:rPr>
              <w:t>Kwotę zgłoszoną w tej komórce instytucje uwzględniają także w komórce {110;010}, jak gdyby nie miało zastosowania żadne wyłączenie.</w:t>
            </w:r>
          </w:p>
          <w:p w:rsidR="00AE2798" w:rsidRPr="00AE79AC" w:rsidRDefault="00AE2798" w:rsidP="00FE0FF1">
            <w:pPr>
              <w:pStyle w:val="BodyText1"/>
              <w:spacing w:line="240" w:lineRule="auto"/>
              <w:rPr>
                <w:rFonts w:ascii="Times New Roman" w:hAnsi="Times New Roman"/>
                <w:bCs/>
              </w:rPr>
            </w:pPr>
          </w:p>
        </w:tc>
      </w:tr>
      <w:tr w:rsidR="00AE2798" w:rsidRPr="00AE79AC" w:rsidTr="00FE0FF1">
        <w:trPr>
          <w:trHeight w:val="304"/>
        </w:trPr>
        <w:tc>
          <w:tcPr>
            <w:tcW w:w="1418" w:type="dxa"/>
          </w:tcPr>
          <w:p w:rsidR="00AE2798" w:rsidRPr="00AE79AC" w:rsidRDefault="00AE2798" w:rsidP="00FE0FF1">
            <w:pPr>
              <w:pStyle w:val="BodyText1"/>
              <w:rPr>
                <w:rFonts w:ascii="Times New Roman" w:hAnsi="Times New Roman"/>
                <w:bCs/>
              </w:rPr>
            </w:pPr>
            <w:r w:rsidRPr="00AE79AC">
              <w:rPr>
                <w:rFonts w:ascii="Times New Roman" w:hAnsi="Times New Roman"/>
              </w:rPr>
              <w:t>{130;010}</w:t>
            </w:r>
          </w:p>
        </w:tc>
        <w:tc>
          <w:tcPr>
            <w:tcW w:w="7590" w:type="dxa"/>
          </w:tcPr>
          <w:p w:rsidR="00AE2798" w:rsidRPr="00AE79AC" w:rsidRDefault="00AE2798" w:rsidP="00FE0FF1">
            <w:pPr>
              <w:pStyle w:val="BodyText1"/>
              <w:spacing w:line="240" w:lineRule="auto"/>
              <w:rPr>
                <w:rFonts w:ascii="Times New Roman" w:hAnsi="Times New Roman"/>
                <w:bCs/>
              </w:rPr>
            </w:pPr>
            <w:r w:rsidRPr="00AE79AC">
              <w:rPr>
                <w:rFonts w:ascii="Times New Roman" w:hAnsi="Times New Roman"/>
                <w:b/>
              </w:rPr>
              <w:t>Kwota nominalna wystawionych kredytowych instrumentów pochodnych po zastosowaniu wyłączeń i odliczeń</w:t>
            </w:r>
          </w:p>
          <w:p w:rsidR="00AE2798" w:rsidRPr="00AE79AC" w:rsidRDefault="00AE2798" w:rsidP="00FE0FF1">
            <w:pPr>
              <w:pStyle w:val="BodyText1"/>
              <w:spacing w:line="240" w:lineRule="auto"/>
              <w:rPr>
                <w:rFonts w:ascii="Times New Roman" w:hAnsi="Times New Roman"/>
                <w:bCs/>
              </w:rPr>
            </w:pPr>
          </w:p>
          <w:p w:rsidR="00AE2798" w:rsidRPr="00AE79AC" w:rsidRDefault="00AE2798" w:rsidP="00FE0FF1">
            <w:pPr>
              <w:pStyle w:val="BodyText1"/>
              <w:spacing w:line="240" w:lineRule="auto"/>
              <w:rPr>
                <w:rFonts w:ascii="Times New Roman" w:hAnsi="Times New Roman"/>
                <w:bCs/>
              </w:rPr>
            </w:pPr>
            <w:r w:rsidRPr="00AE79AC">
              <w:rPr>
                <w:rFonts w:ascii="Times New Roman" w:hAnsi="Times New Roman"/>
              </w:rPr>
              <w:t>Art. 429a ust. 5–7 CRR</w:t>
            </w:r>
          </w:p>
          <w:p w:rsidR="00AE2798" w:rsidRPr="00AE79AC" w:rsidRDefault="00AE2798" w:rsidP="00FE0FF1">
            <w:pPr>
              <w:pStyle w:val="BodyText1"/>
              <w:spacing w:line="240" w:lineRule="auto"/>
              <w:rPr>
                <w:rFonts w:ascii="Times New Roman" w:hAnsi="Times New Roman"/>
                <w:bCs/>
              </w:rPr>
            </w:pPr>
          </w:p>
          <w:p w:rsidR="00AE2798" w:rsidRPr="00AE79AC" w:rsidRDefault="00AE2798" w:rsidP="00FE0FF1">
            <w:pPr>
              <w:pStyle w:val="BodyText1"/>
              <w:spacing w:line="240" w:lineRule="auto"/>
              <w:rPr>
                <w:rFonts w:ascii="Times New Roman" w:hAnsi="Times New Roman"/>
                <w:bCs/>
              </w:rPr>
            </w:pPr>
            <w:r w:rsidRPr="00AE79AC">
              <w:rPr>
                <w:rFonts w:ascii="Times New Roman" w:hAnsi="Times New Roman"/>
              </w:rPr>
              <w:t>Wartość nominalna wystawionych kredytowych instrumentów pochodnych po zastosowaniu wyłączeń i odliczeń (tj. w przypadku gdy instytucja zapewnia ochronę kredytową kontrahentowi) określona w art. 429a ust. 5–7 CRR.</w:t>
            </w:r>
          </w:p>
          <w:p w:rsidR="00AE2798" w:rsidRPr="00AE79AC" w:rsidRDefault="00AE2798" w:rsidP="00FE0FF1">
            <w:pPr>
              <w:pStyle w:val="BodyText1"/>
              <w:spacing w:line="240" w:lineRule="auto"/>
              <w:rPr>
                <w:rFonts w:ascii="Times New Roman" w:hAnsi="Times New Roman"/>
                <w:bCs/>
              </w:rPr>
            </w:pPr>
          </w:p>
        </w:tc>
      </w:tr>
      <w:tr w:rsidR="00AE2798" w:rsidRPr="00AE79AC" w:rsidTr="00FE0FF1">
        <w:trPr>
          <w:trHeight w:val="304"/>
        </w:trPr>
        <w:tc>
          <w:tcPr>
            <w:tcW w:w="1418" w:type="dxa"/>
          </w:tcPr>
          <w:p w:rsidR="00AE2798" w:rsidRPr="00AE79AC" w:rsidRDefault="00AE2798" w:rsidP="00FE0FF1">
            <w:pPr>
              <w:pStyle w:val="BodyText1"/>
              <w:rPr>
                <w:rFonts w:ascii="Times New Roman" w:hAnsi="Times New Roman"/>
                <w:bCs/>
              </w:rPr>
            </w:pPr>
            <w:r w:rsidRPr="00AE79AC">
              <w:rPr>
                <w:rFonts w:ascii="Times New Roman" w:hAnsi="Times New Roman"/>
              </w:rPr>
              <w:t>{140;010}</w:t>
            </w:r>
          </w:p>
        </w:tc>
        <w:tc>
          <w:tcPr>
            <w:tcW w:w="7590" w:type="dxa"/>
          </w:tcPr>
          <w:p w:rsidR="00AE2798" w:rsidRPr="00AE79AC" w:rsidRDefault="00422C76" w:rsidP="00FE0FF1">
            <w:pPr>
              <w:pStyle w:val="BodyText1"/>
              <w:spacing w:line="240" w:lineRule="auto"/>
              <w:rPr>
                <w:rFonts w:ascii="Times New Roman" w:hAnsi="Times New Roman"/>
                <w:bCs/>
              </w:rPr>
            </w:pPr>
            <w:r w:rsidRPr="00AE79AC">
              <w:rPr>
                <w:rFonts w:ascii="Times New Roman" w:hAnsi="Times New Roman"/>
                <w:b/>
              </w:rPr>
              <w:t>(-) Kwalifikujące się nabyte kredytowe instrumenty pochodne kompensowane wystawionymi kredytowymi instrumentami pochodnymi</w:t>
            </w:r>
          </w:p>
          <w:p w:rsidR="00AE2798" w:rsidRPr="00AE79AC" w:rsidRDefault="00AE2798" w:rsidP="00FE0FF1">
            <w:pPr>
              <w:pStyle w:val="BodyText1"/>
              <w:spacing w:line="240" w:lineRule="auto"/>
              <w:rPr>
                <w:rFonts w:ascii="Times New Roman" w:hAnsi="Times New Roman"/>
                <w:bCs/>
              </w:rPr>
            </w:pPr>
          </w:p>
          <w:p w:rsidR="00AE2798" w:rsidRPr="00AE79AC" w:rsidRDefault="00AE2798" w:rsidP="00FE0FF1">
            <w:pPr>
              <w:pStyle w:val="BodyText1"/>
              <w:spacing w:line="240" w:lineRule="auto"/>
              <w:rPr>
                <w:rFonts w:ascii="Times New Roman" w:hAnsi="Times New Roman"/>
                <w:bCs/>
              </w:rPr>
            </w:pPr>
            <w:r w:rsidRPr="00AE79AC">
              <w:rPr>
                <w:rFonts w:ascii="Times New Roman" w:hAnsi="Times New Roman"/>
              </w:rPr>
              <w:t>Art. 429a ust. 5–7 CRR</w:t>
            </w:r>
          </w:p>
          <w:p w:rsidR="00AE2798" w:rsidRPr="00AE79AC" w:rsidRDefault="00AE2798" w:rsidP="00FE0FF1">
            <w:pPr>
              <w:pStyle w:val="BodyText1"/>
              <w:spacing w:line="240" w:lineRule="auto"/>
              <w:rPr>
                <w:rFonts w:ascii="Times New Roman" w:hAnsi="Times New Roman"/>
                <w:bCs/>
              </w:rPr>
            </w:pPr>
          </w:p>
          <w:p w:rsidR="00AE2798" w:rsidRPr="00AE79AC" w:rsidRDefault="00AE2798" w:rsidP="00FE0FF1">
            <w:pPr>
              <w:pStyle w:val="BodyText1"/>
              <w:spacing w:line="240" w:lineRule="auto"/>
              <w:rPr>
                <w:rFonts w:ascii="Times New Roman" w:hAnsi="Times New Roman"/>
                <w:bCs/>
              </w:rPr>
            </w:pPr>
            <w:r w:rsidRPr="00AE79AC">
              <w:rPr>
                <w:rFonts w:ascii="Times New Roman" w:hAnsi="Times New Roman"/>
              </w:rPr>
              <w:t>Wartość nominalna kredytowych instrumentów pochodnych po zastosowaniu wyłączeń i</w:t>
            </w:r>
            <w:r w:rsidR="00552B55">
              <w:rPr>
                <w:rFonts w:ascii="Times New Roman" w:hAnsi="Times New Roman"/>
              </w:rPr>
              <w:t> </w:t>
            </w:r>
            <w:r w:rsidRPr="00AE79AC">
              <w:rPr>
                <w:rFonts w:ascii="Times New Roman" w:hAnsi="Times New Roman"/>
              </w:rPr>
              <w:t>odliczeń (tj. w przypadku gdy instytucja nabywa ochronę kredytową od kontrahenta) na taką samą nazwę referencyjną jak kredytowe instrumenty pochodne wystawione przez instytucję oraz jeżeli rezydualny termin zapadalności tej ochrony kredytowej jest taki sam jak rezydualny termin zapadalności sprzedanej ochrony lub jest od niego dłuższy. W</w:t>
            </w:r>
            <w:r w:rsidR="00552B55">
              <w:rPr>
                <w:rFonts w:ascii="Times New Roman" w:hAnsi="Times New Roman"/>
              </w:rPr>
              <w:t> </w:t>
            </w:r>
            <w:r w:rsidRPr="00AE79AC">
              <w:rPr>
                <w:rFonts w:ascii="Times New Roman" w:hAnsi="Times New Roman"/>
              </w:rPr>
              <w:t>związku z tym wartość ta nie może być większa niż wartość podana w komórce {130;010} dla każdej nazwy referencyjnej.</w:t>
            </w:r>
          </w:p>
          <w:p w:rsidR="00AE2798" w:rsidRPr="00AE79AC" w:rsidRDefault="00AE2798" w:rsidP="00FE0FF1">
            <w:pPr>
              <w:pStyle w:val="BodyText1"/>
              <w:spacing w:line="240" w:lineRule="auto"/>
              <w:rPr>
                <w:rFonts w:ascii="Times New Roman" w:hAnsi="Times New Roman"/>
                <w:bCs/>
              </w:rPr>
            </w:pPr>
          </w:p>
        </w:tc>
      </w:tr>
      <w:tr w:rsidR="00AE2798" w:rsidRPr="00AE79AC" w:rsidTr="006E259E">
        <w:trPr>
          <w:trHeight w:val="983"/>
        </w:trPr>
        <w:tc>
          <w:tcPr>
            <w:tcW w:w="1418" w:type="dxa"/>
          </w:tcPr>
          <w:p w:rsidR="00AE2798" w:rsidRPr="00AE79AC" w:rsidRDefault="00AE2798" w:rsidP="00FE0FF1">
            <w:pPr>
              <w:pStyle w:val="BodyText1"/>
              <w:rPr>
                <w:rFonts w:ascii="Times New Roman" w:hAnsi="Times New Roman"/>
                <w:bCs/>
              </w:rPr>
            </w:pPr>
            <w:r w:rsidRPr="00AE79AC">
              <w:rPr>
                <w:rFonts w:ascii="Times New Roman" w:hAnsi="Times New Roman"/>
              </w:rPr>
              <w:t>{150;010}</w:t>
            </w:r>
          </w:p>
          <w:p w:rsidR="00AE2798" w:rsidRPr="00AE79AC" w:rsidRDefault="00AE2798" w:rsidP="00FE0FF1">
            <w:pPr>
              <w:pStyle w:val="BodyText1"/>
              <w:rPr>
                <w:rFonts w:ascii="Times New Roman" w:hAnsi="Times New Roman"/>
                <w:bCs/>
              </w:rPr>
            </w:pPr>
          </w:p>
        </w:tc>
        <w:tc>
          <w:tcPr>
            <w:tcW w:w="7590" w:type="dxa"/>
          </w:tcPr>
          <w:p w:rsidR="00AE2798" w:rsidRPr="00AE79AC" w:rsidRDefault="00AE2798" w:rsidP="00FE0FF1">
            <w:pPr>
              <w:pStyle w:val="BodyText1"/>
              <w:spacing w:line="240" w:lineRule="auto"/>
              <w:rPr>
                <w:rFonts w:ascii="Times New Roman" w:hAnsi="Times New Roman"/>
                <w:bCs/>
              </w:rPr>
            </w:pPr>
            <w:r w:rsidRPr="00AE79AC">
              <w:rPr>
                <w:rFonts w:ascii="Times New Roman" w:hAnsi="Times New Roman"/>
                <w:b/>
              </w:rPr>
              <w:t>Pozycje pozabilansowe przy współczynniku konwersji 10 % zgodnie z art. 429 ust. 10 CRR</w:t>
            </w:r>
          </w:p>
          <w:p w:rsidR="00AE2798" w:rsidRPr="00AE79AC" w:rsidRDefault="00AE2798" w:rsidP="00FE0FF1">
            <w:pPr>
              <w:pStyle w:val="BodyText1"/>
              <w:spacing w:line="240" w:lineRule="auto"/>
              <w:rPr>
                <w:rFonts w:ascii="Times New Roman" w:hAnsi="Times New Roman"/>
                <w:bCs/>
              </w:rPr>
            </w:pPr>
          </w:p>
          <w:p w:rsidR="00AE2798" w:rsidRPr="00AE79AC" w:rsidRDefault="00AE2798" w:rsidP="00FE0FF1">
            <w:pPr>
              <w:pStyle w:val="BodyText1"/>
              <w:spacing w:line="240" w:lineRule="auto"/>
              <w:rPr>
                <w:rFonts w:ascii="Times New Roman" w:hAnsi="Times New Roman"/>
                <w:bCs/>
              </w:rPr>
            </w:pPr>
            <w:r w:rsidRPr="00AE79AC">
              <w:rPr>
                <w:rFonts w:ascii="Times New Roman" w:hAnsi="Times New Roman"/>
              </w:rPr>
              <w:t>Art. 429 ust. 10, art. 111 ust. 1 lit. d) i art. 166 ust. 9 CRR</w:t>
            </w:r>
          </w:p>
          <w:p w:rsidR="00AE2798" w:rsidRPr="00AE79AC" w:rsidRDefault="00AE2798" w:rsidP="00FE0FF1">
            <w:pPr>
              <w:pStyle w:val="BodyText1"/>
              <w:spacing w:line="240" w:lineRule="auto"/>
              <w:rPr>
                <w:rFonts w:ascii="Times New Roman" w:hAnsi="Times New Roman"/>
                <w:bCs/>
              </w:rPr>
            </w:pPr>
          </w:p>
          <w:p w:rsidR="00AE2798" w:rsidRPr="00AE79AC" w:rsidRDefault="00AE2798" w:rsidP="00FE0FF1">
            <w:pPr>
              <w:pStyle w:val="BodyText1"/>
              <w:spacing w:line="240" w:lineRule="auto"/>
              <w:rPr>
                <w:rFonts w:ascii="Times New Roman" w:hAnsi="Times New Roman"/>
                <w:bCs/>
              </w:rPr>
            </w:pPr>
            <w:r w:rsidRPr="00AE79AC">
              <w:rPr>
                <w:rFonts w:ascii="Times New Roman" w:hAnsi="Times New Roman"/>
              </w:rPr>
              <w:t xml:space="preserve">Wartość ekspozycji, zgodnie z art. 429 ust. 10 i art. 111 ust. 1 lit. d) CRR, z tytułu pozycji pozabilansowych niskiego ryzyka, którym przypisano by współczynnik konwersji kredytowej w wysokości 0 % i o których mowa w </w:t>
            </w:r>
            <w:r w:rsidRPr="002341B6">
              <w:rPr>
                <w:rFonts w:ascii="Times New Roman" w:hAnsi="Times New Roman"/>
              </w:rPr>
              <w:t>pkt</w:t>
            </w:r>
            <w:r w:rsidR="002341B6" w:rsidRPr="002341B6">
              <w:rPr>
                <w:rFonts w:ascii="Times New Roman" w:hAnsi="Times New Roman"/>
              </w:rPr>
              <w:t> </w:t>
            </w:r>
            <w:r w:rsidRPr="002341B6">
              <w:rPr>
                <w:rFonts w:ascii="Times New Roman" w:hAnsi="Times New Roman"/>
              </w:rPr>
              <w:t>4</w:t>
            </w:r>
            <w:r w:rsidRPr="00AE79AC">
              <w:rPr>
                <w:rFonts w:ascii="Times New Roman" w:hAnsi="Times New Roman"/>
              </w:rPr>
              <w:t xml:space="preserve"> lit. a)–c) załącznika I do CRR (należy pamiętać, że podawana tutaj wartość ekspozycji wynosi 10 % wartości nominalnej). Chodzi tu o zobowiązania, które można bezwarunkowo anulować w każdej chwili bez wypowiedzenia lub które umożliwiają w sposób rzeczywisty automatyczne anulowanie wskutek pogorszenia wiarygodności kredytowej kredytobiorcy.</w:t>
            </w:r>
            <w:r w:rsidRPr="00AE79AC">
              <w:t xml:space="preserve"> </w:t>
            </w:r>
            <w:r w:rsidRPr="00AE79AC">
              <w:rPr>
                <w:rFonts w:ascii="Times New Roman" w:hAnsi="Times New Roman"/>
              </w:rPr>
              <w:t>Należy przypomnieć, że wartości nominalnej nie zmniejsza się o korekty z tytułu szczególnego ryzyka kredytowego.</w:t>
            </w:r>
          </w:p>
          <w:p w:rsidR="00AE2798" w:rsidRPr="00AE79AC" w:rsidRDefault="00AE2798" w:rsidP="00FE0FF1">
            <w:pPr>
              <w:pStyle w:val="BodyText1"/>
              <w:spacing w:line="240" w:lineRule="auto"/>
              <w:rPr>
                <w:rFonts w:ascii="Times New Roman" w:hAnsi="Times New Roman"/>
                <w:bCs/>
              </w:rPr>
            </w:pPr>
          </w:p>
          <w:p w:rsidR="00AE2798" w:rsidRPr="00AE79AC" w:rsidRDefault="00AE2798" w:rsidP="00FE0FF1">
            <w:pPr>
              <w:pStyle w:val="BodyText1"/>
              <w:spacing w:line="240" w:lineRule="auto"/>
              <w:rPr>
                <w:rFonts w:ascii="Times New Roman" w:hAnsi="Times New Roman"/>
                <w:bCs/>
              </w:rPr>
            </w:pPr>
            <w:r w:rsidRPr="00AE79AC">
              <w:rPr>
                <w:rFonts w:ascii="Times New Roman" w:hAnsi="Times New Roman"/>
              </w:rPr>
              <w:t>Jeżeli dane zobowiązanie dotyczy przedłużenia innego zobowiązania, stosuje się niższy z</w:t>
            </w:r>
            <w:r w:rsidR="00552B55">
              <w:rPr>
                <w:rFonts w:ascii="Times New Roman" w:hAnsi="Times New Roman"/>
              </w:rPr>
              <w:t> </w:t>
            </w:r>
            <w:r w:rsidRPr="00AE79AC">
              <w:rPr>
                <w:rFonts w:ascii="Times New Roman" w:hAnsi="Times New Roman"/>
              </w:rPr>
              <w:t>dwóch odpowiadających im współczynników konwersji zgodnie z art. 166 ust. 9 CRR.</w:t>
            </w:r>
          </w:p>
          <w:p w:rsidR="00AE2798" w:rsidRPr="00AE79AC" w:rsidRDefault="00AE2798" w:rsidP="00FE0FF1">
            <w:pPr>
              <w:pStyle w:val="BodyText1"/>
              <w:spacing w:line="240" w:lineRule="auto"/>
              <w:rPr>
                <w:rFonts w:ascii="Times New Roman" w:hAnsi="Times New Roman"/>
                <w:bCs/>
              </w:rPr>
            </w:pPr>
          </w:p>
          <w:p w:rsidR="00AE2798" w:rsidRPr="00AE79AC" w:rsidRDefault="00AE2798" w:rsidP="00FE0FF1">
            <w:pPr>
              <w:pStyle w:val="BodyText1"/>
              <w:spacing w:line="240" w:lineRule="auto"/>
              <w:rPr>
                <w:rFonts w:ascii="Times New Roman" w:hAnsi="Times New Roman"/>
                <w:bCs/>
              </w:rPr>
            </w:pPr>
            <w:r w:rsidRPr="00AE79AC">
              <w:rPr>
                <w:rFonts w:ascii="Times New Roman" w:hAnsi="Times New Roman"/>
              </w:rPr>
              <w:t>W tej komórce instytucje nie uwzględniają umów wymienionych w załączniku II do CRR, kredytowych instrumentów pochodnych i SFT zgodnie z art. 429 ust. 10 CRR.</w:t>
            </w:r>
          </w:p>
          <w:p w:rsidR="00AE2798" w:rsidRPr="00AE79AC" w:rsidRDefault="00AE2798" w:rsidP="00FE0FF1">
            <w:pPr>
              <w:pStyle w:val="BodyText1"/>
              <w:spacing w:line="240" w:lineRule="auto"/>
              <w:rPr>
                <w:rFonts w:ascii="Times New Roman" w:hAnsi="Times New Roman"/>
                <w:bCs/>
                <w:u w:val="single"/>
              </w:rPr>
            </w:pPr>
          </w:p>
        </w:tc>
      </w:tr>
      <w:tr w:rsidR="00AE2798" w:rsidRPr="00AE79AC" w:rsidTr="00FD2C06">
        <w:trPr>
          <w:trHeight w:val="712"/>
        </w:trPr>
        <w:tc>
          <w:tcPr>
            <w:tcW w:w="1418" w:type="dxa"/>
          </w:tcPr>
          <w:p w:rsidR="00AE2798" w:rsidRPr="00AE79AC" w:rsidRDefault="00AE2798" w:rsidP="00FE0FF1">
            <w:pPr>
              <w:pStyle w:val="BodyText1"/>
              <w:rPr>
                <w:rFonts w:ascii="Times New Roman" w:hAnsi="Times New Roman"/>
                <w:bCs/>
              </w:rPr>
            </w:pPr>
            <w:r w:rsidRPr="00AE79AC">
              <w:rPr>
                <w:rFonts w:ascii="Times New Roman" w:hAnsi="Times New Roman"/>
              </w:rPr>
              <w:t>{160;010}</w:t>
            </w:r>
          </w:p>
        </w:tc>
        <w:tc>
          <w:tcPr>
            <w:tcW w:w="7590" w:type="dxa"/>
          </w:tcPr>
          <w:p w:rsidR="00AE2798" w:rsidRPr="00AE79AC" w:rsidRDefault="00AE2798" w:rsidP="00FE0FF1">
            <w:pPr>
              <w:pStyle w:val="BodyText1"/>
              <w:spacing w:line="240" w:lineRule="auto"/>
              <w:rPr>
                <w:rFonts w:ascii="Times New Roman" w:hAnsi="Times New Roman"/>
                <w:b/>
                <w:bCs/>
              </w:rPr>
            </w:pPr>
            <w:r w:rsidRPr="00AE79AC">
              <w:rPr>
                <w:rFonts w:ascii="Times New Roman" w:hAnsi="Times New Roman"/>
                <w:b/>
              </w:rPr>
              <w:t>Pozycje pozabilansowe przy współczynniku konwersji 20 % zgodnie z art. 429 ust. 10 CRR</w:t>
            </w:r>
          </w:p>
          <w:p w:rsidR="00AE2798" w:rsidRPr="00AE79AC" w:rsidRDefault="00AE2798" w:rsidP="00FE0FF1">
            <w:pPr>
              <w:pStyle w:val="BodyText1"/>
              <w:spacing w:line="240" w:lineRule="auto"/>
              <w:rPr>
                <w:rFonts w:ascii="Times New Roman" w:hAnsi="Times New Roman"/>
                <w:b/>
                <w:bCs/>
              </w:rPr>
            </w:pPr>
          </w:p>
          <w:p w:rsidR="00AE2798" w:rsidRPr="00AE79AC" w:rsidRDefault="00AE2798" w:rsidP="00FE0FF1">
            <w:pPr>
              <w:pStyle w:val="BodyText1"/>
              <w:spacing w:line="240" w:lineRule="auto"/>
              <w:rPr>
                <w:rFonts w:ascii="Times New Roman" w:hAnsi="Times New Roman"/>
                <w:bCs/>
              </w:rPr>
            </w:pPr>
            <w:r w:rsidRPr="00AE79AC">
              <w:rPr>
                <w:rFonts w:ascii="Times New Roman" w:hAnsi="Times New Roman"/>
              </w:rPr>
              <w:t>Art. 429 ust. 10, art. 111 ust. 1 lit. c) i art. 166 ust. 9 CRR</w:t>
            </w:r>
          </w:p>
          <w:p w:rsidR="00AE2798" w:rsidRPr="00AE79AC" w:rsidRDefault="00AE2798" w:rsidP="00FE0FF1">
            <w:pPr>
              <w:pStyle w:val="BodyText1"/>
              <w:spacing w:line="240" w:lineRule="auto"/>
              <w:rPr>
                <w:rFonts w:ascii="Times New Roman" w:hAnsi="Times New Roman"/>
                <w:bCs/>
              </w:rPr>
            </w:pPr>
          </w:p>
          <w:p w:rsidR="00AE2798" w:rsidRPr="00AE79AC" w:rsidRDefault="00AE2798" w:rsidP="00FE0FF1">
            <w:pPr>
              <w:pStyle w:val="BodyText1"/>
              <w:spacing w:line="240" w:lineRule="auto"/>
              <w:rPr>
                <w:rFonts w:ascii="Times New Roman" w:hAnsi="Times New Roman"/>
                <w:bCs/>
              </w:rPr>
            </w:pPr>
            <w:r w:rsidRPr="00AE79AC">
              <w:rPr>
                <w:rFonts w:ascii="Times New Roman" w:hAnsi="Times New Roman"/>
              </w:rPr>
              <w:t xml:space="preserve">Wartość ekspozycji, zgodnie z art. 429 ust. 10 i art. 111 ust. 1 lit. c) CRR, z tytułu pozycji pozabilansowych średniego/niskiego ryzyka, którym przypisano by współczynnik konwersji kredytowej w wysokości 20 % i o których mowa w </w:t>
            </w:r>
            <w:r w:rsidRPr="002341B6">
              <w:rPr>
                <w:rFonts w:ascii="Times New Roman" w:hAnsi="Times New Roman"/>
              </w:rPr>
              <w:t>pkt</w:t>
            </w:r>
            <w:r w:rsidR="002341B6" w:rsidRPr="002341B6">
              <w:rPr>
                <w:rFonts w:ascii="Times New Roman" w:hAnsi="Times New Roman"/>
              </w:rPr>
              <w:t> </w:t>
            </w:r>
            <w:r w:rsidRPr="002341B6">
              <w:rPr>
                <w:rFonts w:ascii="Times New Roman" w:hAnsi="Times New Roman"/>
              </w:rPr>
              <w:t>3</w:t>
            </w:r>
            <w:r w:rsidRPr="00AE79AC">
              <w:rPr>
                <w:rFonts w:ascii="Times New Roman" w:hAnsi="Times New Roman"/>
              </w:rPr>
              <w:t xml:space="preserve"> lit. a) i b) załącznika I do CRR (należy pamiętać, że podawana tutaj wartość ekspozycji wynosi 20 % wartości nominalnej).</w:t>
            </w:r>
            <w:r w:rsidRPr="00AE79AC">
              <w:t xml:space="preserve"> </w:t>
            </w:r>
            <w:r w:rsidRPr="00AE79AC">
              <w:rPr>
                <w:rFonts w:ascii="Times New Roman" w:hAnsi="Times New Roman"/>
              </w:rPr>
              <w:t>Należy przypomnieć, że wartości nominalnej nie zmniejsza się o korekty z</w:t>
            </w:r>
            <w:r w:rsidR="00552B55">
              <w:rPr>
                <w:rFonts w:ascii="Times New Roman" w:hAnsi="Times New Roman"/>
              </w:rPr>
              <w:t> </w:t>
            </w:r>
            <w:r w:rsidRPr="00AE79AC">
              <w:rPr>
                <w:rFonts w:ascii="Times New Roman" w:hAnsi="Times New Roman"/>
              </w:rPr>
              <w:t>tytułu szczególnego ryzyka kredytowego.</w:t>
            </w:r>
          </w:p>
          <w:p w:rsidR="00AE2798" w:rsidRPr="00AE79AC" w:rsidRDefault="00AE2798" w:rsidP="00FE0FF1">
            <w:pPr>
              <w:pStyle w:val="BodyText1"/>
              <w:spacing w:line="240" w:lineRule="auto"/>
              <w:rPr>
                <w:rFonts w:ascii="Times New Roman" w:hAnsi="Times New Roman"/>
                <w:bCs/>
              </w:rPr>
            </w:pPr>
          </w:p>
          <w:p w:rsidR="00AE2798" w:rsidRPr="00AE79AC" w:rsidRDefault="00AE2798" w:rsidP="00FE0FF1">
            <w:pPr>
              <w:pStyle w:val="BodyText1"/>
              <w:spacing w:line="240" w:lineRule="auto"/>
              <w:rPr>
                <w:rFonts w:ascii="Times New Roman" w:hAnsi="Times New Roman"/>
                <w:bCs/>
              </w:rPr>
            </w:pPr>
            <w:r w:rsidRPr="00AE79AC">
              <w:rPr>
                <w:rFonts w:ascii="Times New Roman" w:hAnsi="Times New Roman"/>
              </w:rPr>
              <w:t>Jeżeli dane zobowiązanie dotyczy przedłużenia innego zobowiązania, stosuje się niższy z</w:t>
            </w:r>
            <w:r w:rsidR="00552B55">
              <w:rPr>
                <w:rFonts w:ascii="Times New Roman" w:hAnsi="Times New Roman"/>
              </w:rPr>
              <w:t> </w:t>
            </w:r>
            <w:r w:rsidRPr="00AE79AC">
              <w:rPr>
                <w:rFonts w:ascii="Times New Roman" w:hAnsi="Times New Roman"/>
              </w:rPr>
              <w:t>dwóch odpowiadających im współczynników konwersji zgodnie z art. 166 ust. 9 CRR.</w:t>
            </w:r>
          </w:p>
          <w:p w:rsidR="00AE2798" w:rsidRPr="00AE79AC" w:rsidRDefault="00AE2798" w:rsidP="00FE0FF1">
            <w:pPr>
              <w:pStyle w:val="BodyText1"/>
              <w:spacing w:line="240" w:lineRule="auto"/>
              <w:rPr>
                <w:rFonts w:ascii="Times New Roman" w:hAnsi="Times New Roman"/>
                <w:bCs/>
              </w:rPr>
            </w:pPr>
          </w:p>
          <w:p w:rsidR="00AE2798" w:rsidRPr="00AE79AC" w:rsidRDefault="00AE2798" w:rsidP="00433E1A">
            <w:pPr>
              <w:pStyle w:val="BodyText1"/>
              <w:spacing w:line="240" w:lineRule="auto"/>
              <w:rPr>
                <w:rFonts w:ascii="Times New Roman" w:hAnsi="Times New Roman"/>
                <w:b/>
                <w:bCs/>
              </w:rPr>
            </w:pPr>
            <w:r w:rsidRPr="00AE79AC">
              <w:rPr>
                <w:rFonts w:ascii="Times New Roman" w:hAnsi="Times New Roman"/>
              </w:rPr>
              <w:t>W tej komórce instytucje nie uwzględniają umów wymienionych w załączniku II do CRR, kredytowych instrumentów pochodnych i SFT zgodnie z art. 429 ust. 10 CRR.</w:t>
            </w:r>
          </w:p>
        </w:tc>
      </w:tr>
      <w:tr w:rsidR="00AE2798" w:rsidRPr="00AE79AC" w:rsidTr="00FE0FF1">
        <w:trPr>
          <w:trHeight w:val="304"/>
        </w:trPr>
        <w:tc>
          <w:tcPr>
            <w:tcW w:w="1418" w:type="dxa"/>
          </w:tcPr>
          <w:p w:rsidR="00AE2798" w:rsidRPr="00AE79AC" w:rsidRDefault="00AE2798" w:rsidP="00FE0FF1">
            <w:pPr>
              <w:pStyle w:val="BodyText1"/>
              <w:rPr>
                <w:rFonts w:ascii="Times New Roman" w:hAnsi="Times New Roman"/>
                <w:bCs/>
              </w:rPr>
            </w:pPr>
            <w:r w:rsidRPr="00AE79AC">
              <w:rPr>
                <w:rFonts w:ascii="Times New Roman" w:hAnsi="Times New Roman"/>
              </w:rPr>
              <w:t>{170;010}</w:t>
            </w:r>
          </w:p>
          <w:p w:rsidR="00AE2798" w:rsidRPr="00AE79AC" w:rsidRDefault="00AE2798" w:rsidP="00FE0FF1">
            <w:pPr>
              <w:pStyle w:val="BodyText1"/>
              <w:rPr>
                <w:rFonts w:ascii="Times New Roman" w:hAnsi="Times New Roman"/>
                <w:bCs/>
              </w:rPr>
            </w:pPr>
          </w:p>
        </w:tc>
        <w:tc>
          <w:tcPr>
            <w:tcW w:w="7590" w:type="dxa"/>
          </w:tcPr>
          <w:p w:rsidR="00AE2798" w:rsidRPr="00AE79AC" w:rsidRDefault="00AE2798" w:rsidP="00FE0FF1">
            <w:pPr>
              <w:pStyle w:val="BodyText1"/>
              <w:spacing w:line="240" w:lineRule="auto"/>
              <w:rPr>
                <w:rFonts w:ascii="Times New Roman" w:hAnsi="Times New Roman"/>
                <w:b/>
                <w:bCs/>
              </w:rPr>
            </w:pPr>
            <w:r w:rsidRPr="00AE79AC">
              <w:rPr>
                <w:rFonts w:ascii="Times New Roman" w:hAnsi="Times New Roman"/>
                <w:b/>
              </w:rPr>
              <w:t>Pozycje pozabilansowe przy współczynniku konwersji 50 % zgodnie z art. 429 ust. 10 CRR</w:t>
            </w:r>
          </w:p>
          <w:p w:rsidR="00AE2798" w:rsidRPr="00AE79AC" w:rsidRDefault="00AE2798" w:rsidP="00FE0FF1">
            <w:pPr>
              <w:pStyle w:val="BodyText1"/>
              <w:spacing w:line="240" w:lineRule="auto"/>
              <w:rPr>
                <w:rFonts w:ascii="Times New Roman" w:hAnsi="Times New Roman"/>
                <w:b/>
                <w:bCs/>
              </w:rPr>
            </w:pPr>
          </w:p>
          <w:p w:rsidR="00AE2798" w:rsidRPr="00AE79AC" w:rsidRDefault="00AE2798" w:rsidP="00FE0FF1">
            <w:pPr>
              <w:pStyle w:val="BodyText1"/>
              <w:spacing w:line="240" w:lineRule="auto"/>
              <w:rPr>
                <w:rFonts w:ascii="Times New Roman" w:hAnsi="Times New Roman"/>
                <w:bCs/>
              </w:rPr>
            </w:pPr>
            <w:r w:rsidRPr="00AE79AC">
              <w:rPr>
                <w:rFonts w:ascii="Times New Roman" w:hAnsi="Times New Roman"/>
              </w:rPr>
              <w:t>Art. 429 ust. 10, art. 111 ust. 1 lit. b) i art. 166 ust. 9 CRR</w:t>
            </w:r>
          </w:p>
          <w:p w:rsidR="00AE2798" w:rsidRPr="00AE79AC" w:rsidRDefault="00AE2798" w:rsidP="00FE0FF1">
            <w:pPr>
              <w:pStyle w:val="BodyText1"/>
              <w:spacing w:line="240" w:lineRule="auto"/>
              <w:rPr>
                <w:rFonts w:ascii="Times New Roman" w:hAnsi="Times New Roman"/>
                <w:bCs/>
              </w:rPr>
            </w:pPr>
          </w:p>
          <w:p w:rsidR="008C7B98" w:rsidRPr="00AE79AC" w:rsidRDefault="00AE2798" w:rsidP="00FE0FF1">
            <w:pPr>
              <w:pStyle w:val="BodyText1"/>
              <w:spacing w:line="240" w:lineRule="auto"/>
              <w:rPr>
                <w:rFonts w:ascii="Times New Roman" w:hAnsi="Times New Roman"/>
                <w:bCs/>
              </w:rPr>
            </w:pPr>
            <w:r w:rsidRPr="00AE79AC">
              <w:rPr>
                <w:rFonts w:ascii="Times New Roman" w:hAnsi="Times New Roman"/>
              </w:rPr>
              <w:t xml:space="preserve">Wartość ekspozycji, zgodnie z art. 429 ust. 10 i art. 111 ust. 1 lit. b) CRR, z tytułu pozycji pozabilansowych średniego ryzyka, którym przypisano by współczynnik konwersji kredytowej w wysokości 50 % (jak określono w metodzie standardowej w odniesieniu do ryzyka kredytowego) i o których mowa w </w:t>
            </w:r>
            <w:r w:rsidRPr="002341B6">
              <w:rPr>
                <w:rFonts w:ascii="Times New Roman" w:hAnsi="Times New Roman"/>
              </w:rPr>
              <w:t>pkt</w:t>
            </w:r>
            <w:r w:rsidR="002341B6" w:rsidRPr="002341B6">
              <w:rPr>
                <w:rFonts w:ascii="Times New Roman" w:hAnsi="Times New Roman"/>
              </w:rPr>
              <w:t> </w:t>
            </w:r>
            <w:r w:rsidRPr="002341B6">
              <w:rPr>
                <w:rFonts w:ascii="Times New Roman" w:hAnsi="Times New Roman"/>
              </w:rPr>
              <w:t>2</w:t>
            </w:r>
            <w:r w:rsidRPr="00AE79AC">
              <w:rPr>
                <w:rFonts w:ascii="Times New Roman" w:hAnsi="Times New Roman"/>
              </w:rPr>
              <w:t xml:space="preserve"> lit. a) i b) załącznika I do CRR (należy pamiętać, że podawana tutaj wartość ekspozycji wynosi 50 % wartości nominalnej). Należy przypomnieć, że wartości nominalnej nie zmniejsza się o korekty z tytułu szczególnego ryzyka kredytowego.</w:t>
            </w:r>
          </w:p>
          <w:p w:rsidR="008C7B98" w:rsidRPr="00AE79AC" w:rsidRDefault="008C7B98" w:rsidP="00FE0FF1">
            <w:pPr>
              <w:pStyle w:val="BodyText1"/>
              <w:spacing w:line="240" w:lineRule="auto"/>
              <w:rPr>
                <w:rFonts w:ascii="Times New Roman" w:hAnsi="Times New Roman"/>
                <w:bCs/>
              </w:rPr>
            </w:pPr>
          </w:p>
          <w:p w:rsidR="00AE2798" w:rsidRPr="00AE79AC" w:rsidRDefault="00AE2798" w:rsidP="00FE0FF1">
            <w:pPr>
              <w:pStyle w:val="BodyText1"/>
              <w:spacing w:line="240" w:lineRule="auto"/>
              <w:rPr>
                <w:rFonts w:ascii="Times New Roman" w:hAnsi="Times New Roman"/>
                <w:bCs/>
              </w:rPr>
            </w:pPr>
            <w:r w:rsidRPr="00AE79AC">
              <w:rPr>
                <w:rFonts w:ascii="Times New Roman" w:hAnsi="Times New Roman"/>
              </w:rPr>
              <w:t xml:space="preserve">Komórka ta obejmuje instrumenty wsparcia płynności oraz inne zobowiązania z tytułu sekurytyzacji. Innymi słowy współczynnik konwersji kredytowej dla wszystkich instrumentów wsparcia płynności zgodnie z art. 255 CRR wynosi 50 % bez względu na termin zapadalności. </w:t>
            </w:r>
          </w:p>
          <w:p w:rsidR="00AE2798" w:rsidRPr="00AE79AC" w:rsidRDefault="00AE2798" w:rsidP="00FE0FF1">
            <w:pPr>
              <w:pStyle w:val="BodyText1"/>
              <w:spacing w:line="240" w:lineRule="auto"/>
              <w:rPr>
                <w:rFonts w:ascii="Times New Roman" w:hAnsi="Times New Roman"/>
                <w:bCs/>
              </w:rPr>
            </w:pPr>
          </w:p>
          <w:p w:rsidR="00AE2798" w:rsidRPr="00AE79AC" w:rsidRDefault="00AE2798" w:rsidP="00FE0FF1">
            <w:pPr>
              <w:pStyle w:val="BodyText1"/>
              <w:spacing w:line="240" w:lineRule="auto"/>
              <w:rPr>
                <w:rFonts w:ascii="Times New Roman" w:hAnsi="Times New Roman"/>
                <w:bCs/>
              </w:rPr>
            </w:pPr>
            <w:r w:rsidRPr="00AE79AC">
              <w:rPr>
                <w:rFonts w:ascii="Times New Roman" w:hAnsi="Times New Roman"/>
              </w:rPr>
              <w:t>Jeżeli dane zobowiązanie dotyczy przedłużenia innego zobowiązania, stosuje się niższy z</w:t>
            </w:r>
            <w:r w:rsidR="00552B55">
              <w:rPr>
                <w:rFonts w:ascii="Times New Roman" w:hAnsi="Times New Roman"/>
              </w:rPr>
              <w:t> </w:t>
            </w:r>
            <w:r w:rsidRPr="00AE79AC">
              <w:rPr>
                <w:rFonts w:ascii="Times New Roman" w:hAnsi="Times New Roman"/>
              </w:rPr>
              <w:t>dwóch odpowiadających im współczynników konwersji zgodnie z art. 166 ust. 9 CRR.</w:t>
            </w:r>
          </w:p>
          <w:p w:rsidR="00AE2798" w:rsidRPr="00AE79AC" w:rsidRDefault="00AE2798" w:rsidP="00FE0FF1">
            <w:pPr>
              <w:pStyle w:val="BodyText1"/>
              <w:spacing w:line="240" w:lineRule="auto"/>
              <w:rPr>
                <w:rFonts w:ascii="Times New Roman" w:hAnsi="Times New Roman"/>
                <w:bCs/>
              </w:rPr>
            </w:pPr>
          </w:p>
          <w:p w:rsidR="00AE2798" w:rsidRPr="00AE79AC" w:rsidRDefault="00AE2798" w:rsidP="00FE0FF1">
            <w:pPr>
              <w:pStyle w:val="BodyText1"/>
              <w:spacing w:line="240" w:lineRule="auto"/>
              <w:rPr>
                <w:rFonts w:ascii="Times New Roman" w:hAnsi="Times New Roman"/>
                <w:bCs/>
              </w:rPr>
            </w:pPr>
            <w:r w:rsidRPr="00AE79AC">
              <w:rPr>
                <w:rFonts w:ascii="Times New Roman" w:hAnsi="Times New Roman"/>
              </w:rPr>
              <w:t>W tej komórce instytucje nie uwzględniają umów wymienionych w załączniku II do CRR, kredytowych instrumentów pochodnych i SFT zgodnie z art. 429 ust. 10 CRR.</w:t>
            </w:r>
          </w:p>
          <w:p w:rsidR="00AE2798" w:rsidRPr="00AE79AC" w:rsidRDefault="00AE2798" w:rsidP="00FE0FF1">
            <w:pPr>
              <w:pStyle w:val="BodyText1"/>
              <w:spacing w:line="240" w:lineRule="auto"/>
              <w:rPr>
                <w:rFonts w:ascii="Times New Roman" w:hAnsi="Times New Roman"/>
                <w:b/>
                <w:bCs/>
              </w:rPr>
            </w:pPr>
          </w:p>
        </w:tc>
      </w:tr>
      <w:tr w:rsidR="00AE2798" w:rsidRPr="00AE79AC" w:rsidTr="00FE0FF1">
        <w:trPr>
          <w:trHeight w:val="304"/>
        </w:trPr>
        <w:tc>
          <w:tcPr>
            <w:tcW w:w="1418" w:type="dxa"/>
            <w:tcBorders>
              <w:bottom w:val="single" w:sz="4" w:space="0" w:color="auto"/>
            </w:tcBorders>
          </w:tcPr>
          <w:p w:rsidR="00AE2798" w:rsidRPr="00AE79AC" w:rsidRDefault="00AE2798" w:rsidP="00FE0FF1">
            <w:pPr>
              <w:pStyle w:val="BodyText1"/>
              <w:rPr>
                <w:rFonts w:ascii="Times New Roman" w:hAnsi="Times New Roman"/>
                <w:bCs/>
              </w:rPr>
            </w:pPr>
            <w:r w:rsidRPr="00AE79AC">
              <w:rPr>
                <w:rFonts w:ascii="Times New Roman" w:hAnsi="Times New Roman"/>
              </w:rPr>
              <w:t>{180;010}</w:t>
            </w:r>
          </w:p>
          <w:p w:rsidR="00AE2798" w:rsidRPr="00AE79AC" w:rsidRDefault="00AE2798" w:rsidP="00FE0FF1">
            <w:pPr>
              <w:pStyle w:val="BodyText1"/>
              <w:rPr>
                <w:rFonts w:ascii="Times New Roman" w:hAnsi="Times New Roman"/>
                <w:bCs/>
              </w:rPr>
            </w:pPr>
          </w:p>
        </w:tc>
        <w:tc>
          <w:tcPr>
            <w:tcW w:w="7590" w:type="dxa"/>
            <w:tcBorders>
              <w:bottom w:val="single" w:sz="4" w:space="0" w:color="auto"/>
            </w:tcBorders>
          </w:tcPr>
          <w:p w:rsidR="00AE2798" w:rsidRPr="00AE79AC" w:rsidRDefault="00AE2798" w:rsidP="00FE0FF1">
            <w:pPr>
              <w:pStyle w:val="BodyText1"/>
              <w:spacing w:line="240" w:lineRule="auto"/>
              <w:rPr>
                <w:rFonts w:ascii="Times New Roman" w:hAnsi="Times New Roman"/>
                <w:bCs/>
              </w:rPr>
            </w:pPr>
            <w:r w:rsidRPr="00AE79AC">
              <w:rPr>
                <w:rFonts w:ascii="Times New Roman" w:hAnsi="Times New Roman"/>
                <w:b/>
              </w:rPr>
              <w:t>Pozycje pozabilansowe przy współczynniku konwersji 100 % zgodnie z art. 429 ust. 10 CRR</w:t>
            </w:r>
          </w:p>
          <w:p w:rsidR="00AE2798" w:rsidRPr="00AE79AC" w:rsidRDefault="00AE2798" w:rsidP="00FE0FF1">
            <w:pPr>
              <w:pStyle w:val="BodyText1"/>
              <w:spacing w:line="240" w:lineRule="auto"/>
              <w:rPr>
                <w:rFonts w:ascii="Times New Roman" w:hAnsi="Times New Roman"/>
                <w:bCs/>
              </w:rPr>
            </w:pPr>
          </w:p>
          <w:p w:rsidR="00AE2798" w:rsidRPr="00AE79AC" w:rsidRDefault="00AE2798" w:rsidP="00FE0FF1">
            <w:pPr>
              <w:pStyle w:val="BodyText1"/>
              <w:spacing w:line="240" w:lineRule="auto"/>
              <w:rPr>
                <w:rFonts w:ascii="Times New Roman" w:hAnsi="Times New Roman"/>
                <w:bCs/>
              </w:rPr>
            </w:pPr>
            <w:r w:rsidRPr="00AE79AC">
              <w:rPr>
                <w:rFonts w:ascii="Times New Roman" w:hAnsi="Times New Roman"/>
              </w:rPr>
              <w:t>Art. 429 ust. 10, art. 111 ust. 1 lit. a) i art. 166 ust. 9 CRR</w:t>
            </w:r>
          </w:p>
          <w:p w:rsidR="00AE2798" w:rsidRPr="00AE79AC" w:rsidRDefault="00AE2798" w:rsidP="00FE0FF1">
            <w:pPr>
              <w:pStyle w:val="BodyText1"/>
              <w:spacing w:line="240" w:lineRule="auto"/>
              <w:rPr>
                <w:rFonts w:ascii="Times New Roman" w:hAnsi="Times New Roman"/>
                <w:bCs/>
              </w:rPr>
            </w:pPr>
          </w:p>
          <w:p w:rsidR="008C7B98" w:rsidRPr="00AE79AC" w:rsidRDefault="00AE2798" w:rsidP="00FE0FF1">
            <w:pPr>
              <w:pStyle w:val="BodyText1"/>
              <w:spacing w:line="240" w:lineRule="auto"/>
              <w:rPr>
                <w:rFonts w:ascii="Times New Roman" w:hAnsi="Times New Roman"/>
                <w:bCs/>
              </w:rPr>
            </w:pPr>
            <w:r w:rsidRPr="00AE79AC">
              <w:rPr>
                <w:rFonts w:ascii="Times New Roman" w:hAnsi="Times New Roman"/>
              </w:rPr>
              <w:t xml:space="preserve">Wartość ekspozycji, zgodnie z art. 429 ust. 10 i art. 111 ust. 1 lit. a) CRR, z tytułu pozycji pozabilansowych wysokiego ryzyka, którym przypisano by współczynnik konwersji kredytowej w wysokości 100 % i o których mowa w </w:t>
            </w:r>
            <w:r w:rsidRPr="002341B6">
              <w:rPr>
                <w:rFonts w:ascii="Times New Roman" w:hAnsi="Times New Roman"/>
              </w:rPr>
              <w:t>pkt</w:t>
            </w:r>
            <w:r w:rsidR="002341B6" w:rsidRPr="002341B6">
              <w:rPr>
                <w:rFonts w:ascii="Times New Roman" w:hAnsi="Times New Roman"/>
              </w:rPr>
              <w:t> </w:t>
            </w:r>
            <w:r w:rsidRPr="002341B6">
              <w:rPr>
                <w:rFonts w:ascii="Times New Roman" w:hAnsi="Times New Roman"/>
              </w:rPr>
              <w:t>1</w:t>
            </w:r>
            <w:r w:rsidRPr="00AE79AC">
              <w:rPr>
                <w:rFonts w:ascii="Times New Roman" w:hAnsi="Times New Roman"/>
              </w:rPr>
              <w:t xml:space="preserve"> lit. a)–k) załącznika I do CRR (należy pamiętać, że podawana tutaj wartość ekspozycji wynosi 100 % wartości nominalnej). Należy przypomnieć, że wartości nominalnej nie zmniejsza się o korekty z</w:t>
            </w:r>
            <w:r w:rsidR="00552B55">
              <w:rPr>
                <w:rFonts w:ascii="Times New Roman" w:hAnsi="Times New Roman"/>
              </w:rPr>
              <w:t> </w:t>
            </w:r>
            <w:r w:rsidRPr="00AE79AC">
              <w:rPr>
                <w:rFonts w:ascii="Times New Roman" w:hAnsi="Times New Roman"/>
              </w:rPr>
              <w:t xml:space="preserve">tytułu szczególnego ryzyka kredytowego. </w:t>
            </w:r>
          </w:p>
          <w:p w:rsidR="008C7B98" w:rsidRPr="00AE79AC" w:rsidRDefault="008C7B98" w:rsidP="00FE0FF1">
            <w:pPr>
              <w:pStyle w:val="BodyText1"/>
              <w:spacing w:line="240" w:lineRule="auto"/>
              <w:rPr>
                <w:rFonts w:ascii="Times New Roman" w:hAnsi="Times New Roman"/>
                <w:bCs/>
              </w:rPr>
            </w:pPr>
          </w:p>
          <w:p w:rsidR="00AE2798" w:rsidRPr="00AE79AC" w:rsidRDefault="00AE2798" w:rsidP="00FE0FF1">
            <w:pPr>
              <w:pStyle w:val="BodyText1"/>
              <w:spacing w:line="240" w:lineRule="auto"/>
              <w:rPr>
                <w:rFonts w:ascii="Times New Roman" w:hAnsi="Times New Roman"/>
                <w:bCs/>
              </w:rPr>
            </w:pPr>
            <w:r w:rsidRPr="00AE79AC">
              <w:rPr>
                <w:rFonts w:ascii="Times New Roman" w:hAnsi="Times New Roman"/>
              </w:rPr>
              <w:t xml:space="preserve">Komórka ta obejmuje instrumenty wsparcia płynności oraz inne zobowiązania z tytułu sekurytyzacji. </w:t>
            </w:r>
          </w:p>
          <w:p w:rsidR="00AE2798" w:rsidRPr="00AE79AC" w:rsidRDefault="00AE2798" w:rsidP="00FE0FF1">
            <w:pPr>
              <w:pStyle w:val="BodyText1"/>
              <w:spacing w:line="240" w:lineRule="auto"/>
              <w:rPr>
                <w:rFonts w:ascii="Times New Roman" w:hAnsi="Times New Roman"/>
                <w:bCs/>
              </w:rPr>
            </w:pPr>
          </w:p>
          <w:p w:rsidR="00AE2798" w:rsidRPr="00AE79AC" w:rsidRDefault="00AE2798" w:rsidP="00FE0FF1">
            <w:pPr>
              <w:pStyle w:val="BodyText1"/>
              <w:spacing w:line="240" w:lineRule="auto"/>
              <w:rPr>
                <w:rFonts w:ascii="Times New Roman" w:hAnsi="Times New Roman"/>
                <w:bCs/>
              </w:rPr>
            </w:pPr>
            <w:r w:rsidRPr="00AE79AC">
              <w:rPr>
                <w:rFonts w:ascii="Times New Roman" w:hAnsi="Times New Roman"/>
              </w:rPr>
              <w:t>Jeżeli dane zobowiązanie dotyczy przedłużenia innego zobowiązania, stosuje się niższy z</w:t>
            </w:r>
            <w:r w:rsidR="00552B55">
              <w:rPr>
                <w:rFonts w:ascii="Times New Roman" w:hAnsi="Times New Roman"/>
              </w:rPr>
              <w:t> </w:t>
            </w:r>
            <w:r w:rsidRPr="00AE79AC">
              <w:rPr>
                <w:rFonts w:ascii="Times New Roman" w:hAnsi="Times New Roman"/>
              </w:rPr>
              <w:t>dwóch odpowiadających im współczynników konwersji zgodnie z art. 166 ust. 9 CRR.</w:t>
            </w:r>
          </w:p>
          <w:p w:rsidR="00AE2798" w:rsidRPr="00AE79AC" w:rsidRDefault="00AE2798" w:rsidP="00FE0FF1">
            <w:pPr>
              <w:pStyle w:val="BodyText1"/>
              <w:spacing w:line="240" w:lineRule="auto"/>
              <w:rPr>
                <w:rFonts w:ascii="Times New Roman" w:hAnsi="Times New Roman"/>
                <w:bCs/>
              </w:rPr>
            </w:pPr>
          </w:p>
          <w:p w:rsidR="00AE2798" w:rsidRPr="00AE79AC" w:rsidRDefault="00AE2798" w:rsidP="00FE0FF1">
            <w:pPr>
              <w:pStyle w:val="BodyText1"/>
              <w:spacing w:line="240" w:lineRule="auto"/>
              <w:rPr>
                <w:rFonts w:ascii="Times New Roman" w:hAnsi="Times New Roman"/>
                <w:bCs/>
              </w:rPr>
            </w:pPr>
            <w:r w:rsidRPr="00AE79AC">
              <w:rPr>
                <w:rFonts w:ascii="Times New Roman" w:hAnsi="Times New Roman"/>
              </w:rPr>
              <w:t>W tej komórce instytucje nie uwzględniają umów wymienionych w załączniku II do CRR, kredytowych instrumentów pochodnych i SFT zgodnie z art. 429 ust. 10 CRR.</w:t>
            </w:r>
          </w:p>
          <w:p w:rsidR="00AE2798" w:rsidRPr="00AE79AC" w:rsidRDefault="00AE2798" w:rsidP="00FE0FF1">
            <w:pPr>
              <w:pStyle w:val="BodyText1"/>
              <w:spacing w:line="240" w:lineRule="auto"/>
              <w:rPr>
                <w:rFonts w:ascii="Times New Roman" w:hAnsi="Times New Roman"/>
                <w:bCs/>
                <w:u w:val="single"/>
              </w:rPr>
            </w:pPr>
          </w:p>
        </w:tc>
      </w:tr>
      <w:tr w:rsidR="00AE2798" w:rsidRPr="00AE79AC" w:rsidTr="00FE0FF1">
        <w:trPr>
          <w:trHeight w:val="304"/>
        </w:trPr>
        <w:tc>
          <w:tcPr>
            <w:tcW w:w="1418" w:type="dxa"/>
            <w:tcBorders>
              <w:bottom w:val="single" w:sz="4" w:space="0" w:color="auto"/>
            </w:tcBorders>
          </w:tcPr>
          <w:p w:rsidR="00AE2798" w:rsidRPr="00AE79AC" w:rsidRDefault="00AE2798" w:rsidP="00FE0FF1">
            <w:pPr>
              <w:pStyle w:val="BodyText1"/>
              <w:rPr>
                <w:rFonts w:ascii="Times New Roman" w:hAnsi="Times New Roman"/>
                <w:bCs/>
              </w:rPr>
            </w:pPr>
            <w:r w:rsidRPr="00AE79AC">
              <w:rPr>
                <w:rFonts w:ascii="Times New Roman" w:hAnsi="Times New Roman"/>
              </w:rPr>
              <w:t>{190;010}</w:t>
            </w:r>
          </w:p>
          <w:p w:rsidR="00AE2798" w:rsidRPr="00AE79AC" w:rsidRDefault="00AE2798" w:rsidP="00FE0FF1">
            <w:pPr>
              <w:pStyle w:val="BodyText1"/>
              <w:rPr>
                <w:rFonts w:ascii="Times New Roman" w:hAnsi="Times New Roman"/>
                <w:bCs/>
              </w:rPr>
            </w:pPr>
          </w:p>
        </w:tc>
        <w:tc>
          <w:tcPr>
            <w:tcW w:w="7590" w:type="dxa"/>
            <w:tcBorders>
              <w:bottom w:val="single" w:sz="4" w:space="0" w:color="auto"/>
            </w:tcBorders>
          </w:tcPr>
          <w:p w:rsidR="00AE2798" w:rsidRPr="00AE79AC" w:rsidRDefault="00AE2798" w:rsidP="00FE0FF1">
            <w:pPr>
              <w:pStyle w:val="BodyText1"/>
              <w:spacing w:line="240" w:lineRule="auto"/>
              <w:rPr>
                <w:rFonts w:ascii="Times New Roman" w:hAnsi="Times New Roman"/>
                <w:bCs/>
              </w:rPr>
            </w:pPr>
            <w:r w:rsidRPr="00AE79AC">
              <w:rPr>
                <w:rFonts w:ascii="Times New Roman" w:hAnsi="Times New Roman"/>
                <w:b/>
              </w:rPr>
              <w:t xml:space="preserve">Inne aktywa </w:t>
            </w:r>
          </w:p>
          <w:p w:rsidR="00AE2798" w:rsidRPr="00AE79AC" w:rsidRDefault="00AE2798" w:rsidP="00FE0FF1">
            <w:pPr>
              <w:pStyle w:val="BodyText1"/>
              <w:spacing w:line="240" w:lineRule="auto"/>
              <w:rPr>
                <w:rFonts w:ascii="Times New Roman" w:hAnsi="Times New Roman"/>
                <w:bCs/>
              </w:rPr>
            </w:pPr>
          </w:p>
          <w:p w:rsidR="00AE2798" w:rsidRPr="00AE79AC" w:rsidRDefault="00AE2798" w:rsidP="00FE0FF1">
            <w:pPr>
              <w:pStyle w:val="BodyText1"/>
              <w:spacing w:line="240" w:lineRule="auto"/>
              <w:rPr>
                <w:rFonts w:ascii="Times New Roman" w:hAnsi="Times New Roman"/>
                <w:bCs/>
              </w:rPr>
            </w:pPr>
            <w:r w:rsidRPr="00AE79AC">
              <w:rPr>
                <w:rFonts w:ascii="Times New Roman" w:hAnsi="Times New Roman"/>
              </w:rPr>
              <w:t xml:space="preserve">Art. 429 </w:t>
            </w:r>
            <w:r w:rsidRPr="002341B6">
              <w:rPr>
                <w:rFonts w:ascii="Times New Roman" w:hAnsi="Times New Roman"/>
              </w:rPr>
              <w:t>ust.</w:t>
            </w:r>
            <w:r w:rsidR="002341B6" w:rsidRPr="002341B6">
              <w:rPr>
                <w:rFonts w:ascii="Times New Roman" w:hAnsi="Times New Roman"/>
              </w:rPr>
              <w:t> </w:t>
            </w:r>
            <w:r w:rsidRPr="002341B6">
              <w:rPr>
                <w:rFonts w:ascii="Times New Roman" w:hAnsi="Times New Roman"/>
              </w:rPr>
              <w:t>5</w:t>
            </w:r>
            <w:r w:rsidRPr="00AE79AC">
              <w:rPr>
                <w:rFonts w:ascii="Times New Roman" w:hAnsi="Times New Roman"/>
              </w:rPr>
              <w:t xml:space="preserve"> CRR</w:t>
            </w:r>
          </w:p>
          <w:p w:rsidR="00AE2798" w:rsidRPr="00AE79AC" w:rsidRDefault="00AE2798" w:rsidP="00FE0FF1">
            <w:pPr>
              <w:pStyle w:val="BodyText1"/>
              <w:spacing w:line="240" w:lineRule="auto"/>
              <w:rPr>
                <w:rFonts w:ascii="Times New Roman" w:hAnsi="Times New Roman"/>
                <w:bCs/>
              </w:rPr>
            </w:pPr>
          </w:p>
          <w:p w:rsidR="00AE2798" w:rsidRPr="00AE79AC" w:rsidRDefault="00AE2798" w:rsidP="00FE0FF1">
            <w:pPr>
              <w:pStyle w:val="BodyText1"/>
              <w:spacing w:line="240" w:lineRule="auto"/>
              <w:rPr>
                <w:rFonts w:ascii="Times New Roman" w:hAnsi="Times New Roman"/>
                <w:bCs/>
              </w:rPr>
            </w:pPr>
            <w:r w:rsidRPr="00AE79AC">
              <w:rPr>
                <w:rFonts w:ascii="Times New Roman" w:hAnsi="Times New Roman"/>
              </w:rPr>
              <w:t>Wszystkie aktywa inne niż umowy wymienione w załączniku II do CRR, kredytowe instrumenty pochodne i SFT (np. aktywa, które należy zgłaszać w tej komórce to m.in. wierzytelności księgowe z tytułu zmiennego depozytu zabezpieczającego przekazanego w</w:t>
            </w:r>
            <w:r w:rsidR="00552B55">
              <w:rPr>
                <w:rFonts w:ascii="Times New Roman" w:hAnsi="Times New Roman"/>
              </w:rPr>
              <w:t> </w:t>
            </w:r>
            <w:r w:rsidRPr="00AE79AC">
              <w:rPr>
                <w:rFonts w:ascii="Times New Roman" w:hAnsi="Times New Roman"/>
              </w:rPr>
              <w:t>gotówce, pod warunkiem że zostały one ujęte zgodnie z obowiązującymi standardami rachunkowości, aktywa płynne wg definicji w ramach wskaźnika pokrycia wypływów netto, transakcje niezrealizowane i nierozliczone). Instytucje przeprowadzają wycenę w</w:t>
            </w:r>
            <w:r w:rsidR="00552B55">
              <w:rPr>
                <w:rFonts w:ascii="Times New Roman" w:hAnsi="Times New Roman"/>
              </w:rPr>
              <w:t> </w:t>
            </w:r>
            <w:r w:rsidRPr="00AE79AC">
              <w:rPr>
                <w:rFonts w:ascii="Times New Roman" w:hAnsi="Times New Roman"/>
              </w:rPr>
              <w:t>oparciu o zasady określone w art. 429 ust. 5 CRR.</w:t>
            </w:r>
          </w:p>
          <w:p w:rsidR="00AE2798" w:rsidRPr="00AE79AC" w:rsidRDefault="00AE2798" w:rsidP="00FE0FF1">
            <w:pPr>
              <w:pStyle w:val="BodyText1"/>
              <w:spacing w:line="240" w:lineRule="auto"/>
              <w:rPr>
                <w:rFonts w:ascii="Times New Roman" w:hAnsi="Times New Roman"/>
                <w:bCs/>
              </w:rPr>
            </w:pPr>
          </w:p>
          <w:p w:rsidR="00AE2798" w:rsidRPr="00AE79AC" w:rsidRDefault="00AE2798" w:rsidP="00FE0FF1">
            <w:pPr>
              <w:pStyle w:val="BodyText1"/>
              <w:spacing w:line="240" w:lineRule="auto"/>
              <w:rPr>
                <w:rFonts w:ascii="Times New Roman" w:hAnsi="Times New Roman"/>
                <w:bCs/>
              </w:rPr>
            </w:pPr>
            <w:r w:rsidRPr="00AE79AC">
              <w:rPr>
                <w:rFonts w:ascii="Times New Roman" w:hAnsi="Times New Roman"/>
              </w:rPr>
              <w:t xml:space="preserve">W tej komórce instytucje uwzględniają otrzymane środki pieniężne lub wszelkie papiery wartościowe przekazane kontrahentowi w ramach SFT i zachowane w bilansie (tj. nie zostały spełnione kryteria rachunkowe w zakresie usunięcia z bilansu). Ponadto instytucje ujmują tutaj pozycje, które odlicza się od kapitału podstawowego Tier I, pozycji kapitału dodatkowego Tier I (np. wartości niematerialne i prawne, aktywa z tytułu odroczonego podatku dochodowego itp.). </w:t>
            </w:r>
          </w:p>
          <w:p w:rsidR="00AE2798" w:rsidRPr="00AE79AC" w:rsidRDefault="00AE2798" w:rsidP="00FE0FF1">
            <w:pPr>
              <w:pStyle w:val="BodyText1"/>
              <w:spacing w:line="240" w:lineRule="auto"/>
              <w:rPr>
                <w:rFonts w:ascii="Times New Roman" w:hAnsi="Times New Roman"/>
                <w:bCs/>
                <w:u w:val="single"/>
              </w:rPr>
            </w:pPr>
          </w:p>
        </w:tc>
      </w:tr>
      <w:tr w:rsidR="00AE2798" w:rsidRPr="00AE79AC" w:rsidTr="00FE0FF1">
        <w:trPr>
          <w:trHeight w:val="304"/>
        </w:trPr>
        <w:tc>
          <w:tcPr>
            <w:tcW w:w="1418" w:type="dxa"/>
            <w:tcBorders>
              <w:bottom w:val="single" w:sz="4" w:space="0" w:color="auto"/>
            </w:tcBorders>
          </w:tcPr>
          <w:p w:rsidR="00AE2798" w:rsidRPr="00AE79AC" w:rsidRDefault="00AE2798" w:rsidP="00FE0FF1">
            <w:pPr>
              <w:pStyle w:val="BodyText1"/>
              <w:rPr>
                <w:rFonts w:ascii="Times New Roman" w:hAnsi="Times New Roman"/>
                <w:bCs/>
              </w:rPr>
            </w:pPr>
            <w:r w:rsidRPr="00AE79AC">
              <w:rPr>
                <w:rFonts w:ascii="Times New Roman" w:hAnsi="Times New Roman"/>
              </w:rPr>
              <w:t>{200;010}</w:t>
            </w:r>
          </w:p>
        </w:tc>
        <w:tc>
          <w:tcPr>
            <w:tcW w:w="7590" w:type="dxa"/>
            <w:tcBorders>
              <w:bottom w:val="single" w:sz="4" w:space="0" w:color="auto"/>
            </w:tcBorders>
          </w:tcPr>
          <w:p w:rsidR="00AE2798" w:rsidRPr="00AE79AC" w:rsidRDefault="00AE2798" w:rsidP="00FE0FF1">
            <w:pPr>
              <w:pStyle w:val="BodyText1"/>
              <w:spacing w:line="240" w:lineRule="auto"/>
              <w:rPr>
                <w:rFonts w:ascii="Times New Roman" w:hAnsi="Times New Roman"/>
                <w:bCs/>
              </w:rPr>
            </w:pPr>
            <w:r w:rsidRPr="00AE79AC">
              <w:rPr>
                <w:rFonts w:ascii="Times New Roman" w:hAnsi="Times New Roman"/>
                <w:b/>
              </w:rPr>
              <w:t>Ubruttowienie przekazanego zabezpieczenia instrumentów pochodnych</w:t>
            </w:r>
          </w:p>
          <w:p w:rsidR="00AE2798" w:rsidRPr="00AE79AC" w:rsidRDefault="00AE2798" w:rsidP="00FE0FF1">
            <w:pPr>
              <w:pStyle w:val="BodyText1"/>
              <w:spacing w:line="240" w:lineRule="auto"/>
              <w:rPr>
                <w:rFonts w:ascii="Times New Roman" w:hAnsi="Times New Roman"/>
                <w:bCs/>
              </w:rPr>
            </w:pPr>
          </w:p>
          <w:p w:rsidR="00AE2798" w:rsidRPr="00AE79AC" w:rsidRDefault="00AE2798" w:rsidP="00FE0FF1">
            <w:pPr>
              <w:pStyle w:val="BodyText1"/>
              <w:spacing w:line="240" w:lineRule="auto"/>
              <w:rPr>
                <w:rFonts w:ascii="Times New Roman" w:hAnsi="Times New Roman"/>
                <w:bCs/>
              </w:rPr>
            </w:pPr>
            <w:r w:rsidRPr="00AE79AC">
              <w:rPr>
                <w:rFonts w:ascii="Times New Roman" w:hAnsi="Times New Roman"/>
              </w:rPr>
              <w:t>Art. 429a ust. 2 CRR</w:t>
            </w:r>
          </w:p>
          <w:p w:rsidR="00AE2798" w:rsidRPr="00AE79AC" w:rsidRDefault="00AE2798" w:rsidP="00FE0FF1">
            <w:pPr>
              <w:pStyle w:val="BodyText1"/>
              <w:spacing w:line="240" w:lineRule="auto"/>
              <w:rPr>
                <w:rFonts w:ascii="Times New Roman" w:hAnsi="Times New Roman"/>
                <w:bCs/>
              </w:rPr>
            </w:pPr>
          </w:p>
          <w:p w:rsidR="00AE2798" w:rsidRPr="00AE79AC" w:rsidRDefault="00AE2798" w:rsidP="00FE0FF1">
            <w:pPr>
              <w:pStyle w:val="BodyText1"/>
              <w:spacing w:line="240" w:lineRule="auto"/>
              <w:rPr>
                <w:rFonts w:ascii="Times New Roman" w:hAnsi="Times New Roman"/>
                <w:bCs/>
              </w:rPr>
            </w:pPr>
            <w:r w:rsidRPr="00AE79AC">
              <w:rPr>
                <w:rFonts w:ascii="Times New Roman" w:hAnsi="Times New Roman"/>
              </w:rPr>
              <w:t>Kwota wszelkich zabezpieczeń instrumentów pochodnych, pod warunkiem że udzielenie takiego zabezpieczenia zmniejsza kwotę aktywów zgodnie z mającymi zastosowanie standardami rachunkowości, jak określono w art. 429a ust. 2 CRR.</w:t>
            </w:r>
          </w:p>
          <w:p w:rsidR="00AE2798" w:rsidRPr="00AE79AC" w:rsidRDefault="00AE2798" w:rsidP="00FE0FF1">
            <w:pPr>
              <w:pStyle w:val="BodyText1"/>
              <w:spacing w:line="240" w:lineRule="auto"/>
              <w:rPr>
                <w:rFonts w:ascii="Times New Roman" w:hAnsi="Times New Roman"/>
                <w:bCs/>
              </w:rPr>
            </w:pPr>
          </w:p>
          <w:p w:rsidR="00AE2798" w:rsidRPr="00AE79AC" w:rsidRDefault="00AE2798" w:rsidP="00FE0FF1">
            <w:pPr>
              <w:pStyle w:val="BodyText1"/>
              <w:spacing w:line="240" w:lineRule="auto"/>
              <w:rPr>
                <w:rFonts w:ascii="Times New Roman" w:hAnsi="Times New Roman"/>
                <w:bCs/>
              </w:rPr>
            </w:pPr>
            <w:r w:rsidRPr="00AE79AC">
              <w:rPr>
                <w:rFonts w:ascii="Times New Roman" w:hAnsi="Times New Roman"/>
              </w:rPr>
              <w:t>W tej komórce instytucje nie uwzględniają początkowego depozytu zabezpieczającego z</w:t>
            </w:r>
            <w:r w:rsidR="00552B55">
              <w:rPr>
                <w:rFonts w:ascii="Times New Roman" w:hAnsi="Times New Roman"/>
              </w:rPr>
              <w:t> </w:t>
            </w:r>
            <w:r w:rsidRPr="00AE79AC">
              <w:rPr>
                <w:rFonts w:ascii="Times New Roman" w:hAnsi="Times New Roman"/>
              </w:rPr>
              <w:t>tytułu rozliczanych za pośrednictwem klienta transakcji na instrumentach pochodnych zawieranych z kwalifikującym się kontrahentem centralnym ani kwalifikującego się zmiennego depozytu zabezpieczającego w gotówce, zgodnie z definicją zawartą w art. 429a ust. 3 CRR.</w:t>
            </w:r>
          </w:p>
          <w:p w:rsidR="00AE2798" w:rsidRPr="00AE79AC" w:rsidRDefault="00AE2798" w:rsidP="00FE0FF1">
            <w:pPr>
              <w:pStyle w:val="BodyText1"/>
              <w:spacing w:line="240" w:lineRule="auto"/>
              <w:rPr>
                <w:rFonts w:ascii="Times New Roman" w:hAnsi="Times New Roman"/>
                <w:bCs/>
              </w:rPr>
            </w:pPr>
          </w:p>
        </w:tc>
      </w:tr>
      <w:tr w:rsidR="00AE2798" w:rsidRPr="00AE79AC" w:rsidTr="00FE0FF1">
        <w:trPr>
          <w:trHeight w:val="304"/>
        </w:trPr>
        <w:tc>
          <w:tcPr>
            <w:tcW w:w="1418" w:type="dxa"/>
            <w:tcBorders>
              <w:bottom w:val="single" w:sz="4" w:space="0" w:color="auto"/>
            </w:tcBorders>
          </w:tcPr>
          <w:p w:rsidR="00AE2798" w:rsidRPr="00AE79AC" w:rsidRDefault="00AE2798" w:rsidP="00FE0FF1">
            <w:pPr>
              <w:pStyle w:val="BodyText1"/>
              <w:rPr>
                <w:rFonts w:ascii="Times New Roman" w:hAnsi="Times New Roman"/>
                <w:bCs/>
              </w:rPr>
            </w:pPr>
            <w:r w:rsidRPr="00AE79AC">
              <w:rPr>
                <w:rFonts w:ascii="Times New Roman" w:hAnsi="Times New Roman"/>
              </w:rPr>
              <w:t>{210;010}</w:t>
            </w:r>
          </w:p>
        </w:tc>
        <w:tc>
          <w:tcPr>
            <w:tcW w:w="7590" w:type="dxa"/>
            <w:tcBorders>
              <w:bottom w:val="single" w:sz="4" w:space="0" w:color="auto"/>
            </w:tcBorders>
          </w:tcPr>
          <w:p w:rsidR="00AE2798" w:rsidRPr="00AE79AC" w:rsidRDefault="00422C76" w:rsidP="00FE0FF1">
            <w:pPr>
              <w:pStyle w:val="BodyText1"/>
              <w:spacing w:line="240" w:lineRule="auto"/>
              <w:rPr>
                <w:rFonts w:ascii="Times New Roman" w:hAnsi="Times New Roman"/>
                <w:bCs/>
              </w:rPr>
            </w:pPr>
            <w:r w:rsidRPr="00AE79AC">
              <w:rPr>
                <w:rFonts w:ascii="Times New Roman" w:hAnsi="Times New Roman"/>
                <w:b/>
              </w:rPr>
              <w:t>(-) Wierzytelności z tytułu zmiennego depozytu zabezpieczającego przekazanego w</w:t>
            </w:r>
            <w:r w:rsidR="00552B55">
              <w:rPr>
                <w:rFonts w:ascii="Times New Roman" w:hAnsi="Times New Roman"/>
                <w:b/>
              </w:rPr>
              <w:t> </w:t>
            </w:r>
            <w:r w:rsidRPr="00AE79AC">
              <w:rPr>
                <w:rFonts w:ascii="Times New Roman" w:hAnsi="Times New Roman"/>
                <w:b/>
              </w:rPr>
              <w:t>gotówce w ramach transakcji na instrumentach pochodnych</w:t>
            </w:r>
          </w:p>
          <w:p w:rsidR="00AE2798" w:rsidRPr="00AE79AC" w:rsidRDefault="00AE2798" w:rsidP="00FE0FF1">
            <w:pPr>
              <w:pStyle w:val="BodyText1"/>
              <w:spacing w:line="240" w:lineRule="auto"/>
              <w:rPr>
                <w:rFonts w:ascii="Times New Roman" w:hAnsi="Times New Roman"/>
                <w:bCs/>
              </w:rPr>
            </w:pPr>
          </w:p>
          <w:p w:rsidR="00AE2798" w:rsidRPr="00AE79AC" w:rsidRDefault="006D3F98" w:rsidP="00FE0FF1">
            <w:pPr>
              <w:pStyle w:val="BodyText1"/>
              <w:spacing w:line="240" w:lineRule="auto"/>
              <w:rPr>
                <w:rFonts w:ascii="Times New Roman" w:hAnsi="Times New Roman"/>
                <w:bCs/>
              </w:rPr>
            </w:pPr>
            <w:r w:rsidRPr="00AE79AC">
              <w:rPr>
                <w:rFonts w:ascii="Times New Roman" w:hAnsi="Times New Roman"/>
              </w:rPr>
              <w:t>Art. 429a ust. 3 akapit trzeci CRR</w:t>
            </w:r>
          </w:p>
          <w:p w:rsidR="00AE2798" w:rsidRPr="00AE79AC" w:rsidRDefault="00AE2798" w:rsidP="00FE0FF1">
            <w:pPr>
              <w:pStyle w:val="BodyText1"/>
              <w:spacing w:line="240" w:lineRule="auto"/>
              <w:rPr>
                <w:rFonts w:ascii="Times New Roman" w:hAnsi="Times New Roman"/>
                <w:bCs/>
              </w:rPr>
            </w:pPr>
          </w:p>
          <w:p w:rsidR="00AE2798" w:rsidRPr="00AE79AC" w:rsidRDefault="00AE2798" w:rsidP="00FE0FF1">
            <w:pPr>
              <w:pStyle w:val="BodyText1"/>
              <w:spacing w:line="240" w:lineRule="auto"/>
              <w:rPr>
                <w:rFonts w:ascii="Times New Roman" w:hAnsi="Times New Roman"/>
                <w:bCs/>
              </w:rPr>
            </w:pPr>
            <w:r w:rsidRPr="00AE79AC">
              <w:rPr>
                <w:rFonts w:ascii="Times New Roman" w:hAnsi="Times New Roman"/>
              </w:rPr>
              <w:t>Wierzytelności z tytułu zmiennego depozytu zabezpieczającego wypłacane kontrahentowi w gotówce w ramach transakcji na instrumentach pochodnych, jeżeli instytucja jest zobowiązana, zgodnie z mającymi zastosowanie standardami rachunkowości, do ujęcia tych wierzytelności jako aktywa, pod warunkiem że spełnione zostały warunki określone w</w:t>
            </w:r>
            <w:r w:rsidR="00552B55">
              <w:rPr>
                <w:rFonts w:ascii="Times New Roman" w:hAnsi="Times New Roman"/>
              </w:rPr>
              <w:t> </w:t>
            </w:r>
            <w:r w:rsidRPr="00AE79AC">
              <w:rPr>
                <w:rFonts w:ascii="Times New Roman" w:hAnsi="Times New Roman"/>
              </w:rPr>
              <w:t>art. 429a ust. 3 lit. a)–e) CRR.</w:t>
            </w:r>
          </w:p>
          <w:p w:rsidR="00AE2798" w:rsidRPr="00AE79AC" w:rsidRDefault="00AE2798" w:rsidP="00FE0FF1">
            <w:pPr>
              <w:pStyle w:val="BodyText1"/>
              <w:spacing w:line="240" w:lineRule="auto"/>
              <w:rPr>
                <w:rFonts w:ascii="Times New Roman" w:hAnsi="Times New Roman"/>
                <w:bCs/>
              </w:rPr>
            </w:pPr>
          </w:p>
          <w:p w:rsidR="00AE2798" w:rsidRPr="00AE79AC" w:rsidRDefault="00AE2798" w:rsidP="00FE0FF1">
            <w:pPr>
              <w:pStyle w:val="BodyText1"/>
              <w:spacing w:line="240" w:lineRule="auto"/>
              <w:rPr>
                <w:rFonts w:ascii="Times New Roman" w:hAnsi="Times New Roman"/>
                <w:bCs/>
              </w:rPr>
            </w:pPr>
            <w:r w:rsidRPr="00AE79AC">
              <w:rPr>
                <w:rFonts w:ascii="Times New Roman" w:hAnsi="Times New Roman"/>
              </w:rPr>
              <w:t>Zgłoszoną kwotę należy także uwzględnić w pozostałych aktywach zgłoszonych w</w:t>
            </w:r>
            <w:r w:rsidR="00552B55">
              <w:rPr>
                <w:rFonts w:ascii="Times New Roman" w:hAnsi="Times New Roman"/>
              </w:rPr>
              <w:t> </w:t>
            </w:r>
            <w:r w:rsidRPr="00AE79AC">
              <w:rPr>
                <w:rFonts w:ascii="Times New Roman" w:hAnsi="Times New Roman"/>
              </w:rPr>
              <w:t>komórce {190, 010}.</w:t>
            </w:r>
          </w:p>
          <w:p w:rsidR="00AE2798" w:rsidRPr="00AE79AC" w:rsidRDefault="00AE2798" w:rsidP="00FE0FF1">
            <w:pPr>
              <w:pStyle w:val="BodyText1"/>
              <w:spacing w:line="240" w:lineRule="auto"/>
              <w:rPr>
                <w:rFonts w:ascii="Times New Roman" w:hAnsi="Times New Roman"/>
                <w:bCs/>
              </w:rPr>
            </w:pPr>
          </w:p>
        </w:tc>
      </w:tr>
      <w:tr w:rsidR="00AE2798" w:rsidRPr="00AE79AC" w:rsidTr="00FE0FF1">
        <w:trPr>
          <w:trHeight w:val="304"/>
        </w:trPr>
        <w:tc>
          <w:tcPr>
            <w:tcW w:w="1418" w:type="dxa"/>
            <w:tcBorders>
              <w:bottom w:val="single" w:sz="4" w:space="0" w:color="auto"/>
            </w:tcBorders>
          </w:tcPr>
          <w:p w:rsidR="00AE2798" w:rsidRPr="00AE79AC" w:rsidRDefault="00AE2798" w:rsidP="00FE0FF1">
            <w:pPr>
              <w:pStyle w:val="BodyText1"/>
              <w:rPr>
                <w:rFonts w:ascii="Times New Roman" w:hAnsi="Times New Roman"/>
                <w:bCs/>
              </w:rPr>
            </w:pPr>
            <w:r w:rsidRPr="00AE79AC">
              <w:rPr>
                <w:rFonts w:ascii="Times New Roman" w:hAnsi="Times New Roman"/>
              </w:rPr>
              <w:t>{220;010}</w:t>
            </w:r>
          </w:p>
        </w:tc>
        <w:tc>
          <w:tcPr>
            <w:tcW w:w="7590" w:type="dxa"/>
            <w:tcBorders>
              <w:bottom w:val="single" w:sz="4" w:space="0" w:color="auto"/>
            </w:tcBorders>
          </w:tcPr>
          <w:p w:rsidR="00AE2798" w:rsidRPr="00AE79AC" w:rsidRDefault="00422C76" w:rsidP="00FE0FF1">
            <w:pPr>
              <w:pStyle w:val="BodyText1"/>
              <w:spacing w:line="240" w:lineRule="auto"/>
              <w:rPr>
                <w:rFonts w:ascii="Times New Roman" w:hAnsi="Times New Roman"/>
                <w:bCs/>
              </w:rPr>
            </w:pPr>
            <w:r w:rsidRPr="00AE79AC">
              <w:rPr>
                <w:rFonts w:ascii="Times New Roman" w:hAnsi="Times New Roman"/>
                <w:b/>
              </w:rPr>
              <w:t>(-) Wyłączone ekspozycje z tytułu transakcji rozliczanych za pośrednictwem klienta w</w:t>
            </w:r>
            <w:r w:rsidR="00552B55">
              <w:rPr>
                <w:rFonts w:ascii="Times New Roman" w:hAnsi="Times New Roman"/>
                <w:b/>
              </w:rPr>
              <w:t> </w:t>
            </w:r>
            <w:r w:rsidRPr="00AE79AC">
              <w:rPr>
                <w:rFonts w:ascii="Times New Roman" w:hAnsi="Times New Roman"/>
                <w:b/>
              </w:rPr>
              <w:t>odniesieniu do składnika rozliczanego z kontrahentem centralnym (początkowy depozyt zabezpieczający)</w:t>
            </w:r>
          </w:p>
          <w:p w:rsidR="00AE2798" w:rsidRPr="00AE79AC" w:rsidRDefault="00AE2798" w:rsidP="00FE0FF1">
            <w:pPr>
              <w:pStyle w:val="BodyText1"/>
              <w:spacing w:line="240" w:lineRule="auto"/>
              <w:rPr>
                <w:rFonts w:ascii="Times New Roman" w:hAnsi="Times New Roman"/>
                <w:bCs/>
              </w:rPr>
            </w:pPr>
          </w:p>
          <w:p w:rsidR="00AE2798" w:rsidRPr="00AE79AC" w:rsidRDefault="00AE2798" w:rsidP="00FE0FF1">
            <w:pPr>
              <w:pStyle w:val="BodyText1"/>
              <w:spacing w:line="240" w:lineRule="auto"/>
              <w:rPr>
                <w:rFonts w:ascii="Times New Roman" w:hAnsi="Times New Roman"/>
                <w:bCs/>
              </w:rPr>
            </w:pPr>
            <w:r w:rsidRPr="00AE79AC">
              <w:rPr>
                <w:rFonts w:ascii="Times New Roman" w:hAnsi="Times New Roman"/>
              </w:rPr>
              <w:t xml:space="preserve">Art. 429 </w:t>
            </w:r>
            <w:r w:rsidRPr="002341B6">
              <w:rPr>
                <w:rFonts w:ascii="Times New Roman" w:hAnsi="Times New Roman"/>
              </w:rPr>
              <w:t>ust.</w:t>
            </w:r>
            <w:r w:rsidR="002341B6" w:rsidRPr="002341B6">
              <w:rPr>
                <w:rFonts w:ascii="Times New Roman" w:hAnsi="Times New Roman"/>
              </w:rPr>
              <w:t> </w:t>
            </w:r>
            <w:r w:rsidRPr="002341B6">
              <w:rPr>
                <w:rFonts w:ascii="Times New Roman" w:hAnsi="Times New Roman"/>
              </w:rPr>
              <w:t>1</w:t>
            </w:r>
            <w:r w:rsidRPr="00AE79AC">
              <w:rPr>
                <w:rFonts w:ascii="Times New Roman" w:hAnsi="Times New Roman"/>
              </w:rPr>
              <w:t>1 CRR</w:t>
            </w:r>
          </w:p>
          <w:p w:rsidR="00AE2798" w:rsidRPr="00AE79AC" w:rsidRDefault="00AE2798" w:rsidP="00FE0FF1">
            <w:pPr>
              <w:pStyle w:val="BodyText1"/>
              <w:spacing w:line="240" w:lineRule="auto"/>
              <w:rPr>
                <w:rFonts w:ascii="Times New Roman" w:hAnsi="Times New Roman"/>
                <w:bCs/>
              </w:rPr>
            </w:pPr>
          </w:p>
          <w:p w:rsidR="00AE2798" w:rsidRPr="00AE79AC" w:rsidRDefault="00AE2798" w:rsidP="00FE0FF1">
            <w:pPr>
              <w:pStyle w:val="BodyText1"/>
              <w:spacing w:line="240" w:lineRule="auto"/>
              <w:rPr>
                <w:rFonts w:ascii="Times New Roman" w:hAnsi="Times New Roman"/>
                <w:bCs/>
              </w:rPr>
            </w:pPr>
            <w:r w:rsidRPr="00AE79AC">
              <w:rPr>
                <w:rFonts w:ascii="Times New Roman" w:hAnsi="Times New Roman"/>
              </w:rPr>
              <w:t>Odpowiadająca (przekazanemu) początkowemu depozytowi zabezpieczającemu część wyłączonych ekspozycji wobec kwalifikującego się kontrahenta centralnego z tytułu rozliczanych za pośrednictwem klienta transakcji na instrumentach pochodnych, pod warunkiem że pozycje te spełniają warunki określone w art. 306 ust. 1 lit. c) CRR.</w:t>
            </w:r>
          </w:p>
          <w:p w:rsidR="00AE2798" w:rsidRPr="00AE79AC" w:rsidRDefault="00AE2798" w:rsidP="00FE0FF1">
            <w:pPr>
              <w:pStyle w:val="BodyText1"/>
              <w:spacing w:line="240" w:lineRule="auto"/>
              <w:rPr>
                <w:rFonts w:ascii="Times New Roman" w:hAnsi="Times New Roman"/>
                <w:bCs/>
              </w:rPr>
            </w:pPr>
          </w:p>
          <w:p w:rsidR="00AE2798" w:rsidRPr="00AE79AC" w:rsidRDefault="00AE2798" w:rsidP="00FE0FF1">
            <w:pPr>
              <w:pStyle w:val="BodyText1"/>
              <w:spacing w:line="240" w:lineRule="auto"/>
              <w:rPr>
                <w:rFonts w:ascii="Times New Roman" w:hAnsi="Times New Roman"/>
                <w:bCs/>
              </w:rPr>
            </w:pPr>
            <w:r w:rsidRPr="00AE79AC">
              <w:rPr>
                <w:rFonts w:ascii="Times New Roman" w:hAnsi="Times New Roman"/>
              </w:rPr>
              <w:t>Zgłoszoną kwotę należy także uwzględnić w pozostałych aktywach zgłoszonych w</w:t>
            </w:r>
            <w:r w:rsidR="00552B55">
              <w:rPr>
                <w:rFonts w:ascii="Times New Roman" w:hAnsi="Times New Roman"/>
              </w:rPr>
              <w:t> </w:t>
            </w:r>
            <w:r w:rsidRPr="00AE79AC">
              <w:rPr>
                <w:rFonts w:ascii="Times New Roman" w:hAnsi="Times New Roman"/>
              </w:rPr>
              <w:t>komórce {190, 010}.</w:t>
            </w:r>
          </w:p>
          <w:p w:rsidR="00AE2798" w:rsidRPr="00AE79AC" w:rsidRDefault="00AE2798" w:rsidP="00FE0FF1">
            <w:pPr>
              <w:pStyle w:val="BodyText1"/>
              <w:spacing w:line="240" w:lineRule="auto"/>
              <w:rPr>
                <w:rFonts w:ascii="Times New Roman" w:hAnsi="Times New Roman"/>
                <w:bCs/>
              </w:rPr>
            </w:pPr>
          </w:p>
        </w:tc>
      </w:tr>
      <w:tr w:rsidR="00AE2798" w:rsidRPr="00AE79AC" w:rsidTr="00FE0FF1">
        <w:trPr>
          <w:trHeight w:val="304"/>
        </w:trPr>
        <w:tc>
          <w:tcPr>
            <w:tcW w:w="1418" w:type="dxa"/>
            <w:tcBorders>
              <w:bottom w:val="single" w:sz="4" w:space="0" w:color="auto"/>
            </w:tcBorders>
          </w:tcPr>
          <w:p w:rsidR="00AE2798" w:rsidRPr="00AE79AC" w:rsidRDefault="00AE2798" w:rsidP="00FE0FF1">
            <w:pPr>
              <w:pStyle w:val="BodyText1"/>
              <w:rPr>
                <w:rFonts w:ascii="Times New Roman" w:hAnsi="Times New Roman"/>
                <w:bCs/>
              </w:rPr>
            </w:pPr>
            <w:r w:rsidRPr="00AE79AC">
              <w:rPr>
                <w:rFonts w:ascii="Times New Roman" w:hAnsi="Times New Roman"/>
              </w:rPr>
              <w:t>{230;010}</w:t>
            </w:r>
          </w:p>
        </w:tc>
        <w:tc>
          <w:tcPr>
            <w:tcW w:w="7590" w:type="dxa"/>
            <w:tcBorders>
              <w:bottom w:val="single" w:sz="4" w:space="0" w:color="auto"/>
            </w:tcBorders>
          </w:tcPr>
          <w:p w:rsidR="00AE2798" w:rsidRPr="00AE79AC" w:rsidRDefault="00AE2798" w:rsidP="00FE0FF1">
            <w:pPr>
              <w:pStyle w:val="BodyText1"/>
              <w:spacing w:line="240" w:lineRule="auto"/>
              <w:rPr>
                <w:rFonts w:ascii="Times New Roman" w:hAnsi="Times New Roman"/>
                <w:bCs/>
              </w:rPr>
            </w:pPr>
            <w:r w:rsidRPr="00AE79AC">
              <w:rPr>
                <w:rFonts w:ascii="Times New Roman" w:hAnsi="Times New Roman"/>
                <w:b/>
              </w:rPr>
              <w:t>Korekty z tytułu księgowych SFT dotyczących sprzedaży</w:t>
            </w:r>
          </w:p>
          <w:p w:rsidR="00AE2798" w:rsidRPr="00AE79AC" w:rsidRDefault="00AE2798" w:rsidP="00FE0FF1">
            <w:pPr>
              <w:pStyle w:val="BodyText1"/>
              <w:spacing w:line="240" w:lineRule="auto"/>
              <w:rPr>
                <w:rFonts w:ascii="Times New Roman" w:hAnsi="Times New Roman"/>
                <w:bCs/>
              </w:rPr>
            </w:pPr>
          </w:p>
          <w:p w:rsidR="00AE2798" w:rsidRPr="00AE79AC" w:rsidRDefault="00AE2798" w:rsidP="00FE0FF1">
            <w:pPr>
              <w:pStyle w:val="BodyText1"/>
              <w:spacing w:line="240" w:lineRule="auto"/>
              <w:rPr>
                <w:rFonts w:ascii="Times New Roman" w:hAnsi="Times New Roman"/>
                <w:bCs/>
              </w:rPr>
            </w:pPr>
            <w:r w:rsidRPr="00AE79AC">
              <w:rPr>
                <w:rFonts w:ascii="Times New Roman" w:hAnsi="Times New Roman"/>
              </w:rPr>
              <w:t>Art. 429b ust. 5 CRR</w:t>
            </w:r>
          </w:p>
          <w:p w:rsidR="00AE2798" w:rsidRPr="00AE79AC" w:rsidRDefault="00AE2798" w:rsidP="00FE0FF1">
            <w:pPr>
              <w:pStyle w:val="BodyText1"/>
              <w:spacing w:line="240" w:lineRule="auto"/>
              <w:rPr>
                <w:rFonts w:ascii="Times New Roman" w:hAnsi="Times New Roman"/>
                <w:bCs/>
              </w:rPr>
            </w:pPr>
          </w:p>
          <w:p w:rsidR="00AE2798" w:rsidRPr="00AE79AC" w:rsidRDefault="00AE2798" w:rsidP="00FE0FF1">
            <w:pPr>
              <w:pStyle w:val="BodyText1"/>
              <w:spacing w:line="240" w:lineRule="auto"/>
              <w:rPr>
                <w:rFonts w:ascii="Times New Roman" w:hAnsi="Times New Roman"/>
                <w:bCs/>
              </w:rPr>
            </w:pPr>
            <w:r w:rsidRPr="00AE79AC">
              <w:rPr>
                <w:rFonts w:ascii="Times New Roman" w:hAnsi="Times New Roman"/>
              </w:rPr>
              <w:t>Wartość papierów wartościowych pożyczonych w ramach transakcji odkupu, które usuwa się z bilansu w wyniku księgowych transakcji dotyczących sprzedaży zgodnie z mającymi zastosowanie standardami rachunkowości.</w:t>
            </w:r>
          </w:p>
          <w:p w:rsidR="00AE2798" w:rsidRPr="00AE79AC" w:rsidRDefault="00AE2798" w:rsidP="00FE0FF1">
            <w:pPr>
              <w:pStyle w:val="BodyText1"/>
              <w:spacing w:line="240" w:lineRule="auto"/>
              <w:rPr>
                <w:rFonts w:ascii="Times New Roman" w:hAnsi="Times New Roman"/>
                <w:bCs/>
              </w:rPr>
            </w:pPr>
          </w:p>
        </w:tc>
      </w:tr>
      <w:tr w:rsidR="00AE2798" w:rsidRPr="00AE79AC" w:rsidTr="00FE0FF1">
        <w:trPr>
          <w:trHeight w:val="304"/>
        </w:trPr>
        <w:tc>
          <w:tcPr>
            <w:tcW w:w="1418" w:type="dxa"/>
            <w:tcBorders>
              <w:bottom w:val="single" w:sz="4" w:space="0" w:color="auto"/>
            </w:tcBorders>
          </w:tcPr>
          <w:p w:rsidR="00AE2798" w:rsidRPr="00AE79AC" w:rsidRDefault="00AE2798" w:rsidP="00FE0FF1">
            <w:pPr>
              <w:pStyle w:val="BodyText1"/>
              <w:rPr>
                <w:rFonts w:ascii="Times New Roman" w:hAnsi="Times New Roman"/>
                <w:bCs/>
              </w:rPr>
            </w:pPr>
            <w:r w:rsidRPr="00AE79AC">
              <w:rPr>
                <w:rFonts w:ascii="Times New Roman" w:hAnsi="Times New Roman"/>
              </w:rPr>
              <w:t>{240;010}</w:t>
            </w:r>
          </w:p>
        </w:tc>
        <w:tc>
          <w:tcPr>
            <w:tcW w:w="7590" w:type="dxa"/>
            <w:tcBorders>
              <w:bottom w:val="single" w:sz="4" w:space="0" w:color="auto"/>
            </w:tcBorders>
          </w:tcPr>
          <w:p w:rsidR="00AE2798" w:rsidRPr="00AE79AC" w:rsidRDefault="00422C76" w:rsidP="00FE0FF1">
            <w:pPr>
              <w:pStyle w:val="BodyText1"/>
              <w:spacing w:line="240" w:lineRule="auto"/>
              <w:rPr>
                <w:rFonts w:ascii="Times New Roman" w:hAnsi="Times New Roman"/>
                <w:bCs/>
              </w:rPr>
            </w:pPr>
            <w:r w:rsidRPr="00AE79AC">
              <w:rPr>
                <w:rFonts w:ascii="Times New Roman" w:hAnsi="Times New Roman"/>
                <w:b/>
              </w:rPr>
              <w:t>(-) Aktywa powiernicze</w:t>
            </w:r>
          </w:p>
          <w:p w:rsidR="00AE2798" w:rsidRPr="00AE79AC" w:rsidRDefault="00AE2798" w:rsidP="00FE0FF1">
            <w:pPr>
              <w:pStyle w:val="BodyText1"/>
              <w:spacing w:line="240" w:lineRule="auto"/>
              <w:rPr>
                <w:rFonts w:ascii="Times New Roman" w:hAnsi="Times New Roman"/>
                <w:bCs/>
              </w:rPr>
            </w:pPr>
          </w:p>
          <w:p w:rsidR="00AE2798" w:rsidRPr="00AE79AC" w:rsidRDefault="00AE2798" w:rsidP="00FE0FF1">
            <w:pPr>
              <w:pStyle w:val="BodyText1"/>
              <w:spacing w:line="240" w:lineRule="auto"/>
              <w:rPr>
                <w:rFonts w:ascii="Times New Roman" w:hAnsi="Times New Roman"/>
                <w:bCs/>
              </w:rPr>
            </w:pPr>
            <w:r w:rsidRPr="00AE79AC">
              <w:rPr>
                <w:rFonts w:ascii="Times New Roman" w:hAnsi="Times New Roman"/>
              </w:rPr>
              <w:t xml:space="preserve">Art. 429 </w:t>
            </w:r>
            <w:r w:rsidRPr="002341B6">
              <w:rPr>
                <w:rFonts w:ascii="Times New Roman" w:hAnsi="Times New Roman"/>
              </w:rPr>
              <w:t>ust.</w:t>
            </w:r>
            <w:r w:rsidR="002341B6" w:rsidRPr="002341B6">
              <w:rPr>
                <w:rFonts w:ascii="Times New Roman" w:hAnsi="Times New Roman"/>
              </w:rPr>
              <w:t> </w:t>
            </w:r>
            <w:r w:rsidRPr="002341B6">
              <w:rPr>
                <w:rFonts w:ascii="Times New Roman" w:hAnsi="Times New Roman"/>
              </w:rPr>
              <w:t>1</w:t>
            </w:r>
            <w:r w:rsidRPr="00AE79AC">
              <w:rPr>
                <w:rFonts w:ascii="Times New Roman" w:hAnsi="Times New Roman"/>
              </w:rPr>
              <w:t>3 CRR</w:t>
            </w:r>
          </w:p>
          <w:p w:rsidR="00AE2798" w:rsidRPr="00AE79AC" w:rsidRDefault="00AE2798" w:rsidP="00FE0FF1">
            <w:pPr>
              <w:pStyle w:val="BodyText1"/>
              <w:spacing w:line="240" w:lineRule="auto"/>
              <w:rPr>
                <w:rFonts w:ascii="Times New Roman" w:hAnsi="Times New Roman"/>
                <w:bCs/>
              </w:rPr>
            </w:pPr>
          </w:p>
          <w:p w:rsidR="00AE2798" w:rsidRPr="00AE79AC" w:rsidRDefault="00AE2798" w:rsidP="00FE0FF1">
            <w:pPr>
              <w:pStyle w:val="BodyText1"/>
              <w:spacing w:line="240" w:lineRule="auto"/>
              <w:rPr>
                <w:rFonts w:ascii="Times New Roman" w:hAnsi="Times New Roman"/>
                <w:bCs/>
              </w:rPr>
            </w:pPr>
            <w:r w:rsidRPr="00AE79AC">
              <w:rPr>
                <w:rFonts w:ascii="Times New Roman" w:hAnsi="Times New Roman"/>
              </w:rPr>
              <w:t>Wartość aktywów powierniczych, które spełniają kryteria MSR 39 w odniesieniu do usunięcia z bilansu oraz – w stosownych przypadkach – MSSF 10 w odniesieniu do dekonsolidacji, zgodnie z art. 429 ust. 13 CRR, przy założeniu niestosowania kompensat księgowych ani innych efektów CRM (tj. należy rozwiązać wszelkie kwoty wynikające z</w:t>
            </w:r>
            <w:r w:rsidR="00552B55">
              <w:rPr>
                <w:rFonts w:ascii="Times New Roman" w:hAnsi="Times New Roman"/>
              </w:rPr>
              <w:t> </w:t>
            </w:r>
            <w:r w:rsidRPr="00AE79AC">
              <w:rPr>
                <w:rFonts w:ascii="Times New Roman" w:hAnsi="Times New Roman"/>
              </w:rPr>
              <w:t>kompensat księgowych lub CRM, które miały wpływ na wartość księgową).</w:t>
            </w:r>
          </w:p>
          <w:p w:rsidR="00AE2798" w:rsidRPr="00AE79AC" w:rsidRDefault="00AE2798" w:rsidP="00FE0FF1">
            <w:pPr>
              <w:pStyle w:val="BodyText1"/>
              <w:spacing w:line="240" w:lineRule="auto"/>
              <w:rPr>
                <w:rFonts w:ascii="Times New Roman" w:hAnsi="Times New Roman"/>
                <w:bCs/>
              </w:rPr>
            </w:pPr>
          </w:p>
          <w:p w:rsidR="00AE2798" w:rsidRPr="00AE79AC" w:rsidRDefault="00AE2798" w:rsidP="00FE0FF1">
            <w:pPr>
              <w:pStyle w:val="BodyText1"/>
              <w:spacing w:line="240" w:lineRule="auto"/>
              <w:rPr>
                <w:rFonts w:ascii="Times New Roman" w:hAnsi="Times New Roman"/>
                <w:bCs/>
              </w:rPr>
            </w:pPr>
            <w:r w:rsidRPr="00AE79AC">
              <w:rPr>
                <w:rFonts w:ascii="Times New Roman" w:hAnsi="Times New Roman"/>
              </w:rPr>
              <w:t>Zgłoszoną kwotę należy także uwzględnić w pozostałych aktywach zgłoszonych w</w:t>
            </w:r>
            <w:r w:rsidR="00552B55">
              <w:rPr>
                <w:rFonts w:ascii="Times New Roman" w:hAnsi="Times New Roman"/>
              </w:rPr>
              <w:t> </w:t>
            </w:r>
            <w:r w:rsidRPr="00AE79AC">
              <w:rPr>
                <w:rFonts w:ascii="Times New Roman" w:hAnsi="Times New Roman"/>
              </w:rPr>
              <w:t>komórce {190, 010}.</w:t>
            </w:r>
          </w:p>
          <w:p w:rsidR="00AE2798" w:rsidRPr="00AE79AC" w:rsidRDefault="00AE2798" w:rsidP="00FE0FF1">
            <w:pPr>
              <w:pStyle w:val="BodyText1"/>
              <w:spacing w:line="240" w:lineRule="auto"/>
              <w:rPr>
                <w:rFonts w:ascii="Times New Roman" w:hAnsi="Times New Roman"/>
                <w:bCs/>
              </w:rPr>
            </w:pPr>
          </w:p>
        </w:tc>
      </w:tr>
      <w:tr w:rsidR="00AE2798" w:rsidRPr="00AE79AC" w:rsidTr="00FE0FF1">
        <w:trPr>
          <w:trHeight w:val="304"/>
        </w:trPr>
        <w:tc>
          <w:tcPr>
            <w:tcW w:w="1418" w:type="dxa"/>
            <w:tcBorders>
              <w:bottom w:val="single" w:sz="4" w:space="0" w:color="auto"/>
            </w:tcBorders>
          </w:tcPr>
          <w:p w:rsidR="00AE2798" w:rsidRPr="00AE79AC" w:rsidRDefault="00AE2798" w:rsidP="00FE0FF1">
            <w:pPr>
              <w:pStyle w:val="BodyText1"/>
              <w:rPr>
                <w:rFonts w:ascii="Times New Roman" w:hAnsi="Times New Roman"/>
                <w:bCs/>
              </w:rPr>
            </w:pPr>
            <w:r w:rsidRPr="00AE79AC">
              <w:rPr>
                <w:rFonts w:ascii="Times New Roman" w:hAnsi="Times New Roman"/>
              </w:rPr>
              <w:t>{250;010}</w:t>
            </w:r>
          </w:p>
        </w:tc>
        <w:tc>
          <w:tcPr>
            <w:tcW w:w="7590" w:type="dxa"/>
            <w:tcBorders>
              <w:bottom w:val="single" w:sz="4" w:space="0" w:color="auto"/>
            </w:tcBorders>
          </w:tcPr>
          <w:p w:rsidR="00AE2798" w:rsidRPr="00AE79AC" w:rsidRDefault="00422C76" w:rsidP="00FE0FF1">
            <w:pPr>
              <w:pStyle w:val="BodyText1"/>
              <w:spacing w:line="240" w:lineRule="auto"/>
              <w:rPr>
                <w:rFonts w:ascii="Times New Roman" w:hAnsi="Times New Roman"/>
                <w:bCs/>
              </w:rPr>
            </w:pPr>
            <w:r w:rsidRPr="00AE79AC">
              <w:rPr>
                <w:rFonts w:ascii="Times New Roman" w:hAnsi="Times New Roman"/>
                <w:b/>
              </w:rPr>
              <w:t>(-) Ekspozycje wewnątrzgrupowe (na zasadzie nieskonsolidowanej) wyłączone zgodnie z art. 429 ust. 7 CRR</w:t>
            </w:r>
          </w:p>
          <w:p w:rsidR="00AE2798" w:rsidRPr="00AE79AC" w:rsidRDefault="00AE2798" w:rsidP="00FE0FF1">
            <w:pPr>
              <w:pStyle w:val="BodyText1"/>
              <w:spacing w:line="240" w:lineRule="auto"/>
              <w:rPr>
                <w:rFonts w:ascii="Times New Roman" w:hAnsi="Times New Roman"/>
                <w:bCs/>
              </w:rPr>
            </w:pPr>
          </w:p>
          <w:p w:rsidR="00AE2798" w:rsidRPr="00AE79AC" w:rsidRDefault="00AE2798" w:rsidP="00FE0FF1">
            <w:pPr>
              <w:pStyle w:val="BodyText1"/>
              <w:spacing w:line="240" w:lineRule="auto"/>
              <w:rPr>
                <w:rFonts w:ascii="Times New Roman" w:hAnsi="Times New Roman"/>
                <w:bCs/>
              </w:rPr>
            </w:pPr>
            <w:r w:rsidRPr="00AE79AC">
              <w:rPr>
                <w:rFonts w:ascii="Times New Roman" w:hAnsi="Times New Roman"/>
              </w:rPr>
              <w:t>Art. 429 ust. 7 i art. 113 ust. 6 CRR</w:t>
            </w:r>
          </w:p>
          <w:p w:rsidR="00AE2798" w:rsidRPr="00AE79AC" w:rsidRDefault="00AE2798" w:rsidP="00FE0FF1">
            <w:pPr>
              <w:pStyle w:val="BodyText1"/>
              <w:spacing w:line="240" w:lineRule="auto"/>
              <w:rPr>
                <w:rFonts w:ascii="Times New Roman" w:hAnsi="Times New Roman"/>
                <w:bCs/>
              </w:rPr>
            </w:pPr>
          </w:p>
          <w:p w:rsidR="00AE2798" w:rsidRPr="00AE79AC" w:rsidRDefault="00AE2798" w:rsidP="00FE0FF1">
            <w:pPr>
              <w:pStyle w:val="BodyText1"/>
              <w:spacing w:line="240" w:lineRule="auto"/>
              <w:rPr>
                <w:rFonts w:ascii="Times New Roman" w:hAnsi="Times New Roman"/>
                <w:bCs/>
              </w:rPr>
            </w:pPr>
            <w:r w:rsidRPr="00AE79AC">
              <w:rPr>
                <w:rFonts w:ascii="Times New Roman" w:hAnsi="Times New Roman"/>
              </w:rPr>
              <w:t>Ekspozycje, które nie zostały skonsolidowane na odpowiednim poziomie konsolidacji i</w:t>
            </w:r>
            <w:r w:rsidR="00552B55">
              <w:rPr>
                <w:rFonts w:ascii="Times New Roman" w:hAnsi="Times New Roman"/>
              </w:rPr>
              <w:t> </w:t>
            </w:r>
            <w:r w:rsidRPr="00AE79AC">
              <w:rPr>
                <w:rFonts w:ascii="Times New Roman" w:hAnsi="Times New Roman"/>
              </w:rPr>
              <w:t>które mogą być traktowane zgodnie z art. 113 ust. 6 CRR, pod warunkiem że spełnione zostały wszystkie warunki określone w art. 113 ust. 6 lit. a)–e) CRR oraz że właściwe organy wyraziły na to zgodę.</w:t>
            </w:r>
          </w:p>
          <w:p w:rsidR="00AE2798" w:rsidRPr="00AE79AC" w:rsidRDefault="00AE2798" w:rsidP="00FE0FF1">
            <w:pPr>
              <w:pStyle w:val="BodyText1"/>
              <w:spacing w:line="240" w:lineRule="auto"/>
              <w:rPr>
                <w:rFonts w:ascii="Times New Roman" w:hAnsi="Times New Roman"/>
                <w:bCs/>
              </w:rPr>
            </w:pPr>
          </w:p>
          <w:p w:rsidR="00AE2798" w:rsidRPr="00AE79AC" w:rsidRDefault="00AE2798" w:rsidP="00FE0FF1">
            <w:pPr>
              <w:pStyle w:val="BodyText1"/>
              <w:spacing w:line="240" w:lineRule="auto"/>
              <w:rPr>
                <w:rFonts w:ascii="Times New Roman" w:hAnsi="Times New Roman"/>
                <w:bCs/>
              </w:rPr>
            </w:pPr>
            <w:r w:rsidRPr="00AE79AC">
              <w:rPr>
                <w:rFonts w:ascii="Times New Roman" w:hAnsi="Times New Roman"/>
              </w:rPr>
              <w:t>Zgłoszoną kwotę należy także uwzględnić w odpowiednich komórkach powyżej, jak gdyby nie miało zastosowania żadne wyłączenie.</w:t>
            </w:r>
          </w:p>
          <w:p w:rsidR="00AE2798" w:rsidRPr="00AE79AC" w:rsidRDefault="00AE2798" w:rsidP="00FE0FF1">
            <w:pPr>
              <w:pStyle w:val="BodyText1"/>
              <w:spacing w:line="240" w:lineRule="auto"/>
              <w:rPr>
                <w:rFonts w:ascii="Times New Roman" w:hAnsi="Times New Roman"/>
                <w:bCs/>
              </w:rPr>
            </w:pPr>
          </w:p>
        </w:tc>
      </w:tr>
      <w:tr w:rsidR="004A1A27" w:rsidRPr="00AE79AC" w:rsidTr="00FE0FF1">
        <w:trPr>
          <w:trHeight w:val="304"/>
        </w:trPr>
        <w:tc>
          <w:tcPr>
            <w:tcW w:w="1418" w:type="dxa"/>
            <w:tcBorders>
              <w:bottom w:val="single" w:sz="4" w:space="0" w:color="auto"/>
            </w:tcBorders>
          </w:tcPr>
          <w:p w:rsidR="004A1A27" w:rsidRPr="00AE79AC" w:rsidRDefault="004A1A27" w:rsidP="00FE0FF1">
            <w:pPr>
              <w:pStyle w:val="BodyText1"/>
              <w:rPr>
                <w:rFonts w:ascii="Times New Roman" w:hAnsi="Times New Roman"/>
                <w:bCs/>
              </w:rPr>
            </w:pPr>
            <w:r w:rsidRPr="00AE79AC">
              <w:rPr>
                <w:rFonts w:ascii="Times New Roman" w:hAnsi="Times New Roman"/>
              </w:rPr>
              <w:t>{260;010}</w:t>
            </w:r>
          </w:p>
        </w:tc>
        <w:tc>
          <w:tcPr>
            <w:tcW w:w="7590" w:type="dxa"/>
            <w:tcBorders>
              <w:bottom w:val="single" w:sz="4" w:space="0" w:color="auto"/>
            </w:tcBorders>
          </w:tcPr>
          <w:p w:rsidR="004A1A27" w:rsidRPr="00AE79AC" w:rsidRDefault="00422C76" w:rsidP="003113EE">
            <w:pPr>
              <w:pStyle w:val="BodyText1"/>
              <w:spacing w:line="240" w:lineRule="auto"/>
              <w:rPr>
                <w:rFonts w:ascii="Times New Roman" w:hAnsi="Times New Roman"/>
                <w:bCs/>
              </w:rPr>
            </w:pPr>
            <w:r w:rsidRPr="00AE79AC">
              <w:rPr>
                <w:rFonts w:ascii="Times New Roman" w:hAnsi="Times New Roman"/>
                <w:b/>
              </w:rPr>
              <w:t>(-) Ekspozycje wyłączone zgodnie z art. 429 ust. 14 CRR</w:t>
            </w:r>
          </w:p>
          <w:p w:rsidR="004A1A27" w:rsidRPr="00AE79AC" w:rsidRDefault="004A1A27" w:rsidP="003113EE">
            <w:pPr>
              <w:pStyle w:val="BodyText1"/>
              <w:spacing w:line="240" w:lineRule="auto"/>
              <w:rPr>
                <w:rFonts w:ascii="Times New Roman" w:hAnsi="Times New Roman"/>
                <w:bCs/>
              </w:rPr>
            </w:pPr>
          </w:p>
          <w:p w:rsidR="004A1A27" w:rsidRPr="00AE79AC" w:rsidRDefault="004A1A27" w:rsidP="003113EE">
            <w:pPr>
              <w:pStyle w:val="BodyText1"/>
              <w:spacing w:line="240" w:lineRule="auto"/>
              <w:rPr>
                <w:rFonts w:ascii="Times New Roman" w:hAnsi="Times New Roman"/>
                <w:bCs/>
              </w:rPr>
            </w:pPr>
            <w:r w:rsidRPr="00AE79AC">
              <w:rPr>
                <w:rFonts w:ascii="Times New Roman" w:hAnsi="Times New Roman"/>
              </w:rPr>
              <w:t xml:space="preserve">Art. 429 </w:t>
            </w:r>
            <w:r w:rsidRPr="002341B6">
              <w:rPr>
                <w:rFonts w:ascii="Times New Roman" w:hAnsi="Times New Roman"/>
              </w:rPr>
              <w:t>ust.</w:t>
            </w:r>
            <w:r w:rsidR="002341B6" w:rsidRPr="002341B6">
              <w:rPr>
                <w:rFonts w:ascii="Times New Roman" w:hAnsi="Times New Roman"/>
              </w:rPr>
              <w:t> </w:t>
            </w:r>
            <w:r w:rsidRPr="002341B6">
              <w:rPr>
                <w:rFonts w:ascii="Times New Roman" w:hAnsi="Times New Roman"/>
              </w:rPr>
              <w:t>1</w:t>
            </w:r>
            <w:r w:rsidRPr="00AE79AC">
              <w:rPr>
                <w:rFonts w:ascii="Times New Roman" w:hAnsi="Times New Roman"/>
              </w:rPr>
              <w:t>4 CRR</w:t>
            </w:r>
          </w:p>
          <w:p w:rsidR="004A1A27" w:rsidRPr="00AE79AC" w:rsidRDefault="004A1A27" w:rsidP="003113EE">
            <w:pPr>
              <w:pStyle w:val="BodyText1"/>
              <w:spacing w:line="240" w:lineRule="auto"/>
              <w:rPr>
                <w:rFonts w:ascii="Times New Roman" w:hAnsi="Times New Roman"/>
                <w:bCs/>
              </w:rPr>
            </w:pPr>
          </w:p>
          <w:p w:rsidR="004A1A27" w:rsidRPr="00AE79AC" w:rsidRDefault="004A1A27" w:rsidP="003113EE">
            <w:pPr>
              <w:pStyle w:val="BodyText1"/>
              <w:spacing w:line="240" w:lineRule="auto"/>
              <w:rPr>
                <w:rFonts w:ascii="Times New Roman" w:hAnsi="Times New Roman"/>
                <w:bCs/>
              </w:rPr>
            </w:pPr>
            <w:r w:rsidRPr="00AE79AC">
              <w:rPr>
                <w:rFonts w:ascii="Times New Roman" w:hAnsi="Times New Roman"/>
              </w:rPr>
              <w:t>Ekspozycje wyłączone zgodnie z art. 429 ust. 14 CRR, pod warunkiem że spełnione zostały określone w tym ustępie warunki i że właściwe organy wyraziły na to zgodę.</w:t>
            </w:r>
          </w:p>
          <w:p w:rsidR="004A1A27" w:rsidRPr="00AE79AC" w:rsidRDefault="004A1A27" w:rsidP="003113EE">
            <w:pPr>
              <w:pStyle w:val="BodyText1"/>
              <w:spacing w:line="240" w:lineRule="auto"/>
              <w:rPr>
                <w:rFonts w:ascii="Times New Roman" w:hAnsi="Times New Roman"/>
                <w:bCs/>
              </w:rPr>
            </w:pPr>
          </w:p>
          <w:p w:rsidR="004A1A27" w:rsidRPr="00AE79AC" w:rsidRDefault="004A1A27" w:rsidP="003113EE">
            <w:pPr>
              <w:pStyle w:val="BodyText1"/>
              <w:spacing w:line="240" w:lineRule="auto"/>
              <w:rPr>
                <w:rFonts w:ascii="Times New Roman" w:hAnsi="Times New Roman"/>
                <w:bCs/>
              </w:rPr>
            </w:pPr>
            <w:r w:rsidRPr="00AE79AC">
              <w:rPr>
                <w:rFonts w:ascii="Times New Roman" w:hAnsi="Times New Roman"/>
              </w:rPr>
              <w:t>Zgłoszoną kwotę należy także uwzględnić w odpowiednich komórkach powyżej, jak gdyby nie miało zastosowania żadne wyłączenie.</w:t>
            </w:r>
          </w:p>
          <w:p w:rsidR="004A1A27" w:rsidRPr="00AE79AC" w:rsidRDefault="004A1A27" w:rsidP="00FE0FF1">
            <w:pPr>
              <w:pStyle w:val="BodyText1"/>
              <w:spacing w:line="240" w:lineRule="auto"/>
              <w:rPr>
                <w:rFonts w:ascii="Times New Roman" w:hAnsi="Times New Roman"/>
                <w:b/>
                <w:bCs/>
              </w:rPr>
            </w:pPr>
          </w:p>
        </w:tc>
      </w:tr>
      <w:tr w:rsidR="009264ED" w:rsidRPr="00AE79AC" w:rsidTr="00FE0FF1">
        <w:trPr>
          <w:trHeight w:val="304"/>
        </w:trPr>
        <w:tc>
          <w:tcPr>
            <w:tcW w:w="1418" w:type="dxa"/>
            <w:tcBorders>
              <w:bottom w:val="single" w:sz="4" w:space="0" w:color="auto"/>
            </w:tcBorders>
          </w:tcPr>
          <w:p w:rsidR="009264ED" w:rsidRPr="00AE79AC" w:rsidRDefault="009264ED" w:rsidP="009264ED">
            <w:pPr>
              <w:pStyle w:val="BodyText1"/>
              <w:rPr>
                <w:rFonts w:ascii="Times New Roman" w:hAnsi="Times New Roman"/>
                <w:bCs/>
              </w:rPr>
            </w:pPr>
            <w:r w:rsidRPr="00AE79AC">
              <w:rPr>
                <w:rFonts w:ascii="Times New Roman" w:hAnsi="Times New Roman"/>
              </w:rPr>
              <w:t>{270;010}</w:t>
            </w:r>
          </w:p>
          <w:p w:rsidR="009264ED" w:rsidRPr="00AE79AC" w:rsidRDefault="009264ED" w:rsidP="00FE0FF1">
            <w:pPr>
              <w:pStyle w:val="BodyText1"/>
              <w:rPr>
                <w:rFonts w:ascii="Times New Roman" w:hAnsi="Times New Roman"/>
                <w:bCs/>
              </w:rPr>
            </w:pPr>
          </w:p>
        </w:tc>
        <w:tc>
          <w:tcPr>
            <w:tcW w:w="7590" w:type="dxa"/>
            <w:tcBorders>
              <w:bottom w:val="single" w:sz="4" w:space="0" w:color="auto"/>
            </w:tcBorders>
          </w:tcPr>
          <w:p w:rsidR="009264ED" w:rsidRPr="00AE79AC" w:rsidRDefault="009264ED" w:rsidP="009264ED">
            <w:pPr>
              <w:pStyle w:val="BodyText1"/>
              <w:spacing w:line="240" w:lineRule="auto"/>
              <w:rPr>
                <w:rFonts w:ascii="Times New Roman" w:hAnsi="Times New Roman"/>
              </w:rPr>
            </w:pPr>
            <w:r w:rsidRPr="00AE79AC">
              <w:rPr>
                <w:rFonts w:ascii="Times New Roman" w:hAnsi="Times New Roman"/>
                <w:b/>
              </w:rPr>
              <w:t>(-) Odliczona kwota aktywów – kapitał Tier I – w pełni wprowadzona definicja</w:t>
            </w:r>
          </w:p>
          <w:p w:rsidR="009264ED" w:rsidRPr="00AE79AC" w:rsidRDefault="009264ED" w:rsidP="009264ED">
            <w:pPr>
              <w:pStyle w:val="BodyText1"/>
              <w:spacing w:line="240" w:lineRule="auto"/>
              <w:rPr>
                <w:rFonts w:ascii="Times New Roman" w:hAnsi="Times New Roman"/>
              </w:rPr>
            </w:pPr>
          </w:p>
          <w:p w:rsidR="009264ED" w:rsidRPr="00AE79AC" w:rsidRDefault="009264ED" w:rsidP="009264ED">
            <w:pPr>
              <w:pStyle w:val="BodyText1"/>
              <w:spacing w:line="240" w:lineRule="auto"/>
              <w:rPr>
                <w:rFonts w:ascii="Times New Roman" w:hAnsi="Times New Roman"/>
              </w:rPr>
            </w:pPr>
            <w:r w:rsidRPr="00AE79AC">
              <w:rPr>
                <w:rFonts w:ascii="Times New Roman" w:hAnsi="Times New Roman"/>
              </w:rPr>
              <w:t>Art. 429 ust. 4 lit. a) i art. 499 ust. 1 lit. a) CRR</w:t>
            </w:r>
          </w:p>
          <w:p w:rsidR="009264ED" w:rsidRPr="00AE79AC" w:rsidRDefault="009264ED" w:rsidP="009264ED">
            <w:pPr>
              <w:pStyle w:val="BodyText1"/>
              <w:spacing w:line="240" w:lineRule="auto"/>
              <w:rPr>
                <w:rFonts w:ascii="Times New Roman" w:hAnsi="Times New Roman"/>
              </w:rPr>
            </w:pPr>
          </w:p>
          <w:p w:rsidR="009264ED" w:rsidRPr="00AE79AC" w:rsidRDefault="009264ED" w:rsidP="009264ED">
            <w:pPr>
              <w:pStyle w:val="BodyText1"/>
              <w:spacing w:line="240" w:lineRule="auto"/>
              <w:rPr>
                <w:rFonts w:ascii="Times New Roman" w:hAnsi="Times New Roman"/>
                <w:bCs/>
              </w:rPr>
            </w:pPr>
            <w:r w:rsidRPr="00AE79AC">
              <w:rPr>
                <w:rFonts w:ascii="Times New Roman" w:hAnsi="Times New Roman"/>
              </w:rPr>
              <w:t>Obejmuje wszystkie korekty dotyczące wartości aktywów, które są wymagane na mocy następujących artykułów:</w:t>
            </w:r>
          </w:p>
          <w:p w:rsidR="009264ED" w:rsidRPr="00AE79AC" w:rsidRDefault="00500508" w:rsidP="00500508">
            <w:pPr>
              <w:pStyle w:val="BodyText1"/>
              <w:spacing w:line="240" w:lineRule="auto"/>
              <w:ind w:left="720" w:hanging="360"/>
              <w:rPr>
                <w:rFonts w:ascii="Times New Roman" w:hAnsi="Times New Roman"/>
                <w:bCs/>
              </w:rPr>
            </w:pPr>
            <w:r w:rsidRPr="00AE79AC">
              <w:rPr>
                <w:rFonts w:ascii="Times New Roman" w:hAnsi="Times New Roman"/>
              </w:rPr>
              <w:t>-</w:t>
            </w:r>
            <w:r w:rsidRPr="00AE79AC">
              <w:tab/>
            </w:r>
            <w:r w:rsidRPr="00AE79AC">
              <w:rPr>
                <w:rFonts w:ascii="Times New Roman" w:hAnsi="Times New Roman"/>
              </w:rPr>
              <w:t xml:space="preserve">art. 32–35 CRR, lub </w:t>
            </w:r>
          </w:p>
          <w:p w:rsidR="009264ED" w:rsidRPr="00AE79AC" w:rsidRDefault="00500508" w:rsidP="00500508">
            <w:pPr>
              <w:pStyle w:val="BodyText1"/>
              <w:spacing w:line="240" w:lineRule="auto"/>
              <w:ind w:left="720" w:hanging="360"/>
              <w:rPr>
                <w:rFonts w:ascii="Times New Roman" w:hAnsi="Times New Roman"/>
                <w:bCs/>
              </w:rPr>
            </w:pPr>
            <w:r w:rsidRPr="00AE79AC">
              <w:rPr>
                <w:rFonts w:ascii="Times New Roman" w:hAnsi="Times New Roman"/>
              </w:rPr>
              <w:t>-</w:t>
            </w:r>
            <w:r w:rsidRPr="00AE79AC">
              <w:tab/>
            </w:r>
            <w:r w:rsidRPr="00AE79AC">
              <w:rPr>
                <w:rFonts w:ascii="Times New Roman" w:hAnsi="Times New Roman"/>
              </w:rPr>
              <w:t>art. 36–47 CRR, lub</w:t>
            </w:r>
          </w:p>
          <w:p w:rsidR="009264ED" w:rsidRPr="00AE79AC" w:rsidRDefault="00500508" w:rsidP="00500508">
            <w:pPr>
              <w:pStyle w:val="BodyText1"/>
              <w:spacing w:line="240" w:lineRule="auto"/>
              <w:ind w:left="720" w:hanging="360"/>
              <w:rPr>
                <w:rFonts w:ascii="Times New Roman" w:hAnsi="Times New Roman"/>
                <w:bCs/>
              </w:rPr>
            </w:pPr>
            <w:r w:rsidRPr="00AE79AC">
              <w:rPr>
                <w:rFonts w:ascii="Times New Roman" w:hAnsi="Times New Roman"/>
              </w:rPr>
              <w:t>-</w:t>
            </w:r>
            <w:r w:rsidRPr="00AE79AC">
              <w:tab/>
            </w:r>
            <w:r w:rsidRPr="00AE79AC">
              <w:rPr>
                <w:rFonts w:ascii="Times New Roman" w:hAnsi="Times New Roman"/>
              </w:rPr>
              <w:t>art. 56–60 CRR,</w:t>
            </w:r>
          </w:p>
          <w:p w:rsidR="006D3F98" w:rsidRPr="00AE79AC" w:rsidRDefault="006D3F98" w:rsidP="002573FC">
            <w:pPr>
              <w:pStyle w:val="BodyText1"/>
              <w:spacing w:line="240" w:lineRule="auto"/>
              <w:rPr>
                <w:rFonts w:ascii="Times New Roman" w:hAnsi="Times New Roman"/>
                <w:bCs/>
              </w:rPr>
            </w:pPr>
            <w:r w:rsidRPr="00AE79AC">
              <w:rPr>
                <w:rFonts w:ascii="Times New Roman" w:hAnsi="Times New Roman"/>
              </w:rPr>
              <w:t>stosownie do przypadku.</w:t>
            </w:r>
          </w:p>
          <w:p w:rsidR="009264ED" w:rsidRPr="00AE79AC" w:rsidRDefault="009264ED" w:rsidP="009264ED">
            <w:pPr>
              <w:pStyle w:val="BodyText1"/>
              <w:spacing w:line="240" w:lineRule="auto"/>
              <w:rPr>
                <w:rFonts w:ascii="Times New Roman" w:hAnsi="Times New Roman"/>
                <w:bCs/>
              </w:rPr>
            </w:pPr>
          </w:p>
          <w:p w:rsidR="009264ED" w:rsidRPr="00AE79AC" w:rsidRDefault="009264ED" w:rsidP="009264ED">
            <w:pPr>
              <w:pStyle w:val="BodyText1"/>
              <w:spacing w:line="240" w:lineRule="auto"/>
              <w:rPr>
                <w:rFonts w:ascii="Times New Roman" w:hAnsi="Times New Roman"/>
                <w:bCs/>
              </w:rPr>
            </w:pPr>
            <w:r w:rsidRPr="00AE79AC">
              <w:rPr>
                <w:rFonts w:ascii="Times New Roman" w:hAnsi="Times New Roman"/>
              </w:rPr>
              <w:t>Instytucje uwzględniają wyłączenia, opcje alternatywne i odstępstwa w odniesieniu do takich odliczeń, określone w art. 48, 49 i 79 CRR, bez uwzględniania odstępstwa określonego w części dziesiątej tytuł I rozdział 1 i 2 CRR. W celu uniknięcia podwójnego liczenia instytucje nie zgłaszają korekt już zastosowanych zgodnie z art. 111 CRR podczas obliczania wartości ekspozycji w komórkach od {010;010} do {260;010}, ani korekt, które nie stanowią odliczenia wartości określonego składnika aktywów.</w:t>
            </w:r>
          </w:p>
          <w:p w:rsidR="009264ED" w:rsidRPr="00AE79AC" w:rsidRDefault="009264ED" w:rsidP="009264ED">
            <w:pPr>
              <w:pStyle w:val="BodyText1"/>
              <w:spacing w:line="240" w:lineRule="auto"/>
              <w:rPr>
                <w:rFonts w:ascii="Times New Roman" w:hAnsi="Times New Roman"/>
                <w:bCs/>
              </w:rPr>
            </w:pPr>
          </w:p>
          <w:p w:rsidR="009264ED" w:rsidRPr="00AE79AC" w:rsidRDefault="009264ED" w:rsidP="009264ED">
            <w:pPr>
              <w:pStyle w:val="BodyText1"/>
              <w:spacing w:line="240" w:lineRule="auto"/>
              <w:rPr>
                <w:rFonts w:ascii="Times New Roman" w:hAnsi="Times New Roman"/>
                <w:bCs/>
              </w:rPr>
            </w:pPr>
            <w:r w:rsidRPr="00AE79AC">
              <w:rPr>
                <w:rFonts w:ascii="Times New Roman" w:hAnsi="Times New Roman"/>
              </w:rPr>
              <w:t>Ponieważ kwoty te zostały już odliczone od miary kapitału, zmniejszają one wartość ekspozycji wskaźnika dźwigni i zgłasza się je jako wartość ujemną.</w:t>
            </w:r>
          </w:p>
          <w:p w:rsidR="009264ED" w:rsidRPr="00AE79AC" w:rsidRDefault="009264ED" w:rsidP="003113EE">
            <w:pPr>
              <w:pStyle w:val="BodyText1"/>
              <w:spacing w:line="240" w:lineRule="auto"/>
              <w:rPr>
                <w:rFonts w:ascii="Times New Roman" w:hAnsi="Times New Roman"/>
                <w:b/>
                <w:bCs/>
              </w:rPr>
            </w:pPr>
          </w:p>
        </w:tc>
      </w:tr>
      <w:tr w:rsidR="009264ED" w:rsidRPr="00AE79AC" w:rsidTr="00FE0FF1">
        <w:trPr>
          <w:trHeight w:val="304"/>
        </w:trPr>
        <w:tc>
          <w:tcPr>
            <w:tcW w:w="1418" w:type="dxa"/>
            <w:tcBorders>
              <w:bottom w:val="single" w:sz="4" w:space="0" w:color="auto"/>
            </w:tcBorders>
          </w:tcPr>
          <w:p w:rsidR="009264ED" w:rsidRPr="00AE79AC" w:rsidRDefault="009264ED" w:rsidP="009264ED">
            <w:pPr>
              <w:pStyle w:val="BodyText1"/>
              <w:rPr>
                <w:rFonts w:ascii="Times New Roman" w:hAnsi="Times New Roman"/>
                <w:bCs/>
              </w:rPr>
            </w:pPr>
            <w:r w:rsidRPr="00AE79AC">
              <w:rPr>
                <w:rFonts w:ascii="Times New Roman" w:hAnsi="Times New Roman"/>
              </w:rPr>
              <w:t>{280;010}</w:t>
            </w:r>
          </w:p>
          <w:p w:rsidR="009264ED" w:rsidRPr="00AE79AC" w:rsidRDefault="009264ED" w:rsidP="00FE0FF1">
            <w:pPr>
              <w:pStyle w:val="BodyText1"/>
              <w:rPr>
                <w:rFonts w:ascii="Times New Roman" w:hAnsi="Times New Roman"/>
                <w:bCs/>
              </w:rPr>
            </w:pPr>
          </w:p>
        </w:tc>
        <w:tc>
          <w:tcPr>
            <w:tcW w:w="7590" w:type="dxa"/>
            <w:tcBorders>
              <w:bottom w:val="single" w:sz="4" w:space="0" w:color="auto"/>
            </w:tcBorders>
          </w:tcPr>
          <w:p w:rsidR="009264ED" w:rsidRPr="00AE79AC" w:rsidRDefault="009264ED" w:rsidP="009264ED">
            <w:pPr>
              <w:pStyle w:val="BodyText1"/>
              <w:spacing w:line="240" w:lineRule="auto"/>
              <w:rPr>
                <w:rFonts w:ascii="Times New Roman" w:hAnsi="Times New Roman"/>
                <w:bCs/>
              </w:rPr>
            </w:pPr>
            <w:r w:rsidRPr="00AE79AC">
              <w:rPr>
                <w:rFonts w:ascii="Times New Roman" w:hAnsi="Times New Roman"/>
                <w:b/>
              </w:rPr>
              <w:t>(-) Odliczona kwota aktywów – kapitał Tier I – definicja przejściowa</w:t>
            </w:r>
          </w:p>
          <w:p w:rsidR="009264ED" w:rsidRPr="00AE79AC" w:rsidRDefault="009264ED" w:rsidP="009264ED">
            <w:pPr>
              <w:pStyle w:val="BodyText1"/>
              <w:spacing w:line="240" w:lineRule="auto"/>
              <w:rPr>
                <w:rFonts w:ascii="Times New Roman" w:hAnsi="Times New Roman"/>
                <w:bCs/>
              </w:rPr>
            </w:pPr>
          </w:p>
          <w:p w:rsidR="009264ED" w:rsidRPr="00AE79AC" w:rsidRDefault="009264ED" w:rsidP="009264ED">
            <w:pPr>
              <w:pStyle w:val="BodyText1"/>
              <w:spacing w:line="240" w:lineRule="auto"/>
              <w:rPr>
                <w:rFonts w:ascii="Times New Roman" w:hAnsi="Times New Roman"/>
                <w:bCs/>
              </w:rPr>
            </w:pPr>
            <w:r w:rsidRPr="00AE79AC">
              <w:rPr>
                <w:rFonts w:ascii="Times New Roman" w:hAnsi="Times New Roman"/>
              </w:rPr>
              <w:t>Art. 429 ust. 4 lit. a) i art. 499 ust. 1 lit. b) CRR</w:t>
            </w:r>
          </w:p>
          <w:p w:rsidR="009264ED" w:rsidRPr="00AE79AC" w:rsidRDefault="009264ED" w:rsidP="009264ED">
            <w:pPr>
              <w:pStyle w:val="BodyText1"/>
              <w:spacing w:line="240" w:lineRule="auto"/>
              <w:rPr>
                <w:rFonts w:ascii="Times New Roman" w:hAnsi="Times New Roman"/>
                <w:bCs/>
              </w:rPr>
            </w:pPr>
          </w:p>
          <w:p w:rsidR="009264ED" w:rsidRPr="00AE79AC" w:rsidRDefault="009264ED" w:rsidP="009264ED">
            <w:pPr>
              <w:pStyle w:val="BodyText1"/>
              <w:spacing w:line="240" w:lineRule="auto"/>
              <w:rPr>
                <w:rFonts w:ascii="Times New Roman" w:hAnsi="Times New Roman"/>
                <w:bCs/>
              </w:rPr>
            </w:pPr>
            <w:r w:rsidRPr="00AE79AC">
              <w:rPr>
                <w:rFonts w:ascii="Times New Roman" w:hAnsi="Times New Roman"/>
              </w:rPr>
              <w:t>Obejmuje wszystkie korekty, które korygują wartość składnika aktywów i które są wymagane na mocy następujących artykułów:</w:t>
            </w:r>
          </w:p>
          <w:p w:rsidR="009264ED" w:rsidRPr="00AE79AC" w:rsidRDefault="00500508" w:rsidP="00500508">
            <w:pPr>
              <w:pStyle w:val="BodyText1"/>
              <w:spacing w:line="240" w:lineRule="auto"/>
              <w:ind w:left="720" w:hanging="360"/>
              <w:rPr>
                <w:rFonts w:ascii="Times New Roman" w:hAnsi="Times New Roman"/>
                <w:bCs/>
              </w:rPr>
            </w:pPr>
            <w:r w:rsidRPr="00AE79AC">
              <w:rPr>
                <w:rFonts w:ascii="Times New Roman" w:hAnsi="Times New Roman"/>
              </w:rPr>
              <w:t>-</w:t>
            </w:r>
            <w:r w:rsidRPr="00AE79AC">
              <w:tab/>
            </w:r>
            <w:r w:rsidRPr="00AE79AC">
              <w:rPr>
                <w:rFonts w:ascii="Times New Roman" w:hAnsi="Times New Roman"/>
              </w:rPr>
              <w:t xml:space="preserve">art. 32–35 CRR, lub </w:t>
            </w:r>
          </w:p>
          <w:p w:rsidR="009264ED" w:rsidRPr="00AE79AC" w:rsidRDefault="00500508" w:rsidP="00500508">
            <w:pPr>
              <w:pStyle w:val="BodyText1"/>
              <w:spacing w:line="240" w:lineRule="auto"/>
              <w:ind w:left="720" w:hanging="360"/>
              <w:rPr>
                <w:rFonts w:ascii="Times New Roman" w:hAnsi="Times New Roman"/>
                <w:bCs/>
              </w:rPr>
            </w:pPr>
            <w:r w:rsidRPr="00AE79AC">
              <w:rPr>
                <w:rFonts w:ascii="Times New Roman" w:hAnsi="Times New Roman"/>
              </w:rPr>
              <w:t>-</w:t>
            </w:r>
            <w:r w:rsidRPr="00AE79AC">
              <w:tab/>
            </w:r>
            <w:r w:rsidRPr="00AE79AC">
              <w:rPr>
                <w:rFonts w:ascii="Times New Roman" w:hAnsi="Times New Roman"/>
              </w:rPr>
              <w:t xml:space="preserve">art. 36–47 CRR, lub </w:t>
            </w:r>
          </w:p>
          <w:p w:rsidR="00316050" w:rsidRPr="00AE79AC" w:rsidRDefault="00500508" w:rsidP="00500508">
            <w:pPr>
              <w:pStyle w:val="BodyText1"/>
              <w:spacing w:line="240" w:lineRule="auto"/>
              <w:ind w:left="720" w:hanging="360"/>
              <w:rPr>
                <w:rFonts w:ascii="Times New Roman" w:hAnsi="Times New Roman"/>
                <w:bCs/>
              </w:rPr>
            </w:pPr>
            <w:r w:rsidRPr="00AE79AC">
              <w:rPr>
                <w:rFonts w:ascii="Times New Roman" w:hAnsi="Times New Roman"/>
              </w:rPr>
              <w:t>-</w:t>
            </w:r>
            <w:r w:rsidRPr="00AE79AC">
              <w:tab/>
            </w:r>
            <w:r w:rsidRPr="00AE79AC">
              <w:rPr>
                <w:rFonts w:ascii="Times New Roman" w:hAnsi="Times New Roman"/>
              </w:rPr>
              <w:t>art. 56–60 CRR,</w:t>
            </w:r>
          </w:p>
          <w:p w:rsidR="009264ED" w:rsidRPr="00AE79AC" w:rsidRDefault="00316050" w:rsidP="002573FC">
            <w:pPr>
              <w:pStyle w:val="BodyText1"/>
              <w:spacing w:line="240" w:lineRule="auto"/>
              <w:rPr>
                <w:rFonts w:ascii="Times New Roman" w:hAnsi="Times New Roman"/>
                <w:bCs/>
              </w:rPr>
            </w:pPr>
            <w:r w:rsidRPr="00AE79AC">
              <w:rPr>
                <w:rFonts w:ascii="Times New Roman" w:hAnsi="Times New Roman"/>
              </w:rPr>
              <w:t>stosownie do przypadku.</w:t>
            </w:r>
          </w:p>
          <w:p w:rsidR="009264ED" w:rsidRPr="00AE79AC" w:rsidRDefault="009264ED" w:rsidP="009264ED">
            <w:pPr>
              <w:pStyle w:val="BodyText1"/>
              <w:spacing w:line="240" w:lineRule="auto"/>
              <w:rPr>
                <w:rFonts w:ascii="Times New Roman" w:hAnsi="Times New Roman"/>
                <w:bCs/>
              </w:rPr>
            </w:pPr>
          </w:p>
          <w:p w:rsidR="009264ED" w:rsidRPr="00AE79AC" w:rsidRDefault="009264ED" w:rsidP="009264ED">
            <w:pPr>
              <w:pStyle w:val="BodyText1"/>
              <w:spacing w:line="240" w:lineRule="auto"/>
              <w:rPr>
                <w:rFonts w:ascii="Times New Roman" w:hAnsi="Times New Roman"/>
                <w:bCs/>
              </w:rPr>
            </w:pPr>
            <w:r w:rsidRPr="00AE79AC">
              <w:rPr>
                <w:rFonts w:ascii="Times New Roman" w:hAnsi="Times New Roman"/>
              </w:rPr>
              <w:t>Instytucje uwzględniają wyłączenia, opcje alternatywne i odstępstwa w odniesieniu do takich odliczeń, określone w art. 48, 49 i 79 CRR, oprócz uwzględnienia odstępstw określonych w części dziesiątej tytuł I rozdział 1 i 2 CRR. W celu uniknięcia podwójnego liczenia instytucje nie zgłaszają korekt już zastosowanych zgodnie z art. 111 CRR podczas obliczania wartości ekspozycji w komórkach od {010;010} do {260;010}, ani korekt, które nie stanowią odliczenia wartości określonego składnika aktywów.</w:t>
            </w:r>
          </w:p>
          <w:p w:rsidR="009264ED" w:rsidRPr="00AE79AC" w:rsidRDefault="009264ED" w:rsidP="009264ED">
            <w:pPr>
              <w:pStyle w:val="BodyText1"/>
              <w:spacing w:line="240" w:lineRule="auto"/>
              <w:rPr>
                <w:rFonts w:ascii="Times New Roman" w:hAnsi="Times New Roman"/>
                <w:bCs/>
              </w:rPr>
            </w:pPr>
          </w:p>
          <w:p w:rsidR="00F2347A" w:rsidRPr="00AE79AC" w:rsidRDefault="00F2347A" w:rsidP="00F2347A">
            <w:pPr>
              <w:pStyle w:val="BodyText1"/>
              <w:spacing w:line="240" w:lineRule="auto"/>
              <w:rPr>
                <w:rFonts w:ascii="Times New Roman" w:hAnsi="Times New Roman"/>
                <w:bCs/>
              </w:rPr>
            </w:pPr>
            <w:r w:rsidRPr="00AE79AC">
              <w:rPr>
                <w:rFonts w:ascii="Times New Roman" w:hAnsi="Times New Roman"/>
              </w:rPr>
              <w:t>Ponieważ kwoty te zostały już odliczone od miary kapitału, zmniejszają one wartość ekspozycji wskaźnika dźwigni i zgłasza się je jako wartość ujemną.</w:t>
            </w:r>
          </w:p>
          <w:p w:rsidR="009264ED" w:rsidRPr="00AE79AC" w:rsidRDefault="009264ED" w:rsidP="003113EE">
            <w:pPr>
              <w:pStyle w:val="BodyText1"/>
              <w:spacing w:line="240" w:lineRule="auto"/>
              <w:rPr>
                <w:rFonts w:ascii="Times New Roman" w:hAnsi="Times New Roman"/>
                <w:b/>
                <w:bCs/>
              </w:rPr>
            </w:pPr>
          </w:p>
        </w:tc>
      </w:tr>
      <w:tr w:rsidR="009264ED" w:rsidRPr="00AE79AC" w:rsidTr="00FE0FF1">
        <w:trPr>
          <w:trHeight w:val="304"/>
        </w:trPr>
        <w:tc>
          <w:tcPr>
            <w:tcW w:w="1418" w:type="dxa"/>
            <w:tcBorders>
              <w:bottom w:val="single" w:sz="4" w:space="0" w:color="auto"/>
            </w:tcBorders>
          </w:tcPr>
          <w:p w:rsidR="009264ED" w:rsidRPr="00AE79AC" w:rsidRDefault="009264ED" w:rsidP="009264ED">
            <w:pPr>
              <w:pStyle w:val="BodyText1"/>
              <w:rPr>
                <w:rFonts w:ascii="Times New Roman" w:hAnsi="Times New Roman"/>
                <w:bCs/>
              </w:rPr>
            </w:pPr>
            <w:r w:rsidRPr="00AE79AC">
              <w:rPr>
                <w:rFonts w:ascii="Times New Roman" w:hAnsi="Times New Roman"/>
              </w:rPr>
              <w:t>{290;010}</w:t>
            </w:r>
          </w:p>
          <w:p w:rsidR="009264ED" w:rsidRPr="00AE79AC" w:rsidRDefault="009264ED" w:rsidP="009264ED">
            <w:pPr>
              <w:pStyle w:val="BodyText1"/>
              <w:rPr>
                <w:rFonts w:ascii="Times New Roman" w:hAnsi="Times New Roman"/>
                <w:bCs/>
              </w:rPr>
            </w:pPr>
          </w:p>
        </w:tc>
        <w:tc>
          <w:tcPr>
            <w:tcW w:w="7590" w:type="dxa"/>
            <w:tcBorders>
              <w:bottom w:val="single" w:sz="4" w:space="0" w:color="auto"/>
            </w:tcBorders>
          </w:tcPr>
          <w:p w:rsidR="009264ED" w:rsidRPr="00AE79AC" w:rsidRDefault="009264ED" w:rsidP="009264ED">
            <w:pPr>
              <w:pStyle w:val="BodyText1"/>
              <w:spacing w:line="240" w:lineRule="auto"/>
              <w:rPr>
                <w:rFonts w:ascii="Times New Roman" w:hAnsi="Times New Roman"/>
                <w:b/>
                <w:bCs/>
              </w:rPr>
            </w:pPr>
            <w:r w:rsidRPr="00AE79AC">
              <w:rPr>
                <w:rFonts w:ascii="Times New Roman" w:hAnsi="Times New Roman"/>
                <w:b/>
              </w:rPr>
              <w:t>Suma ekspozycji wskaźnika dźwigni – przy zastosowaniu w pełni wprowadzonej definicji kapitału Tier I</w:t>
            </w:r>
          </w:p>
          <w:p w:rsidR="009264ED" w:rsidRPr="00AE79AC" w:rsidRDefault="009264ED" w:rsidP="009264ED">
            <w:pPr>
              <w:pStyle w:val="BodyText1"/>
              <w:spacing w:line="240" w:lineRule="auto"/>
              <w:rPr>
                <w:rFonts w:ascii="Times New Roman" w:hAnsi="Times New Roman"/>
                <w:bCs/>
              </w:rPr>
            </w:pPr>
          </w:p>
          <w:p w:rsidR="009264ED" w:rsidRPr="00AE79AC" w:rsidRDefault="009264ED" w:rsidP="009264ED">
            <w:pPr>
              <w:pStyle w:val="BodyText1"/>
              <w:spacing w:line="240" w:lineRule="auto"/>
              <w:rPr>
                <w:rFonts w:ascii="Times New Roman" w:hAnsi="Times New Roman"/>
                <w:bCs/>
              </w:rPr>
            </w:pPr>
            <w:r w:rsidRPr="00AE79AC">
              <w:rPr>
                <w:rFonts w:ascii="Times New Roman" w:hAnsi="Times New Roman"/>
              </w:rPr>
              <w:t>Instytucje zgłaszają następujące kwoty:</w:t>
            </w:r>
          </w:p>
          <w:p w:rsidR="009264ED" w:rsidRPr="00AE79AC" w:rsidRDefault="009264ED" w:rsidP="009264ED">
            <w:pPr>
              <w:pStyle w:val="BodyText1"/>
              <w:spacing w:line="240" w:lineRule="auto"/>
              <w:rPr>
                <w:rFonts w:ascii="Times New Roman" w:hAnsi="Times New Roman"/>
                <w:bCs/>
              </w:rPr>
            </w:pPr>
          </w:p>
          <w:p w:rsidR="009264ED" w:rsidRPr="00AE79AC" w:rsidRDefault="009264ED" w:rsidP="009264ED">
            <w:pPr>
              <w:pStyle w:val="BodyText1"/>
              <w:spacing w:line="240" w:lineRule="auto"/>
              <w:rPr>
                <w:rFonts w:ascii="Times New Roman" w:hAnsi="Times New Roman"/>
                <w:bCs/>
              </w:rPr>
            </w:pPr>
            <w:r w:rsidRPr="00AE79AC">
              <w:rPr>
                <w:rFonts w:ascii="Times New Roman" w:hAnsi="Times New Roman"/>
              </w:rPr>
              <w:t>{LRCalc;010;010} + {LRCalc;020;010} + {LRCalc;030;010} + {LRCalc;040;010} + {LRCalc;050;010} + {LRCalc;060;010} + {LRCalc;070;010} + {LRCalc;080;010} + {LRCalc;090;010} + {LRCalc;100;010} + {LRCalc;110;010} + {LRCalc;120;010} + {LRCalc;130;010} + {LRCalc;140;010} + {LRCalc;150;010} + {LRCalc;160;010} + {LRCalc;170;010} + {LRCalc;180;010} + {LRCalc;190;010} + {LRCalc;200;010} + {LRCalc;210;010} + {LRCalc;220;010} + {LRCalc;230;010} + {LRCalc;240;010} + {LRCalc;250;010} + {LRCalc;260;010} + {LRCalc;270;010}.</w:t>
            </w:r>
          </w:p>
          <w:p w:rsidR="009264ED" w:rsidRPr="00AE79AC" w:rsidRDefault="009264ED" w:rsidP="009264ED">
            <w:pPr>
              <w:pStyle w:val="BodyText1"/>
              <w:spacing w:line="240" w:lineRule="auto"/>
              <w:rPr>
                <w:rFonts w:ascii="Times New Roman" w:hAnsi="Times New Roman"/>
                <w:b/>
                <w:bCs/>
              </w:rPr>
            </w:pPr>
          </w:p>
        </w:tc>
      </w:tr>
      <w:tr w:rsidR="009264ED" w:rsidRPr="00AE79AC" w:rsidTr="00FE0FF1">
        <w:trPr>
          <w:trHeight w:val="304"/>
        </w:trPr>
        <w:tc>
          <w:tcPr>
            <w:tcW w:w="1418" w:type="dxa"/>
            <w:tcBorders>
              <w:bottom w:val="single" w:sz="4" w:space="0" w:color="auto"/>
            </w:tcBorders>
          </w:tcPr>
          <w:p w:rsidR="009264ED" w:rsidRPr="00AE79AC" w:rsidRDefault="009264ED" w:rsidP="009264ED">
            <w:pPr>
              <w:pStyle w:val="BodyText1"/>
              <w:rPr>
                <w:rFonts w:ascii="Times New Roman" w:hAnsi="Times New Roman"/>
                <w:bCs/>
              </w:rPr>
            </w:pPr>
            <w:r w:rsidRPr="00AE79AC">
              <w:rPr>
                <w:rFonts w:ascii="Times New Roman" w:hAnsi="Times New Roman"/>
              </w:rPr>
              <w:t>{300;010}</w:t>
            </w:r>
          </w:p>
          <w:p w:rsidR="009264ED" w:rsidRPr="00AE79AC" w:rsidRDefault="009264ED" w:rsidP="009264ED">
            <w:pPr>
              <w:pStyle w:val="BodyText1"/>
              <w:rPr>
                <w:rFonts w:ascii="Times New Roman" w:hAnsi="Times New Roman"/>
                <w:bCs/>
              </w:rPr>
            </w:pPr>
          </w:p>
        </w:tc>
        <w:tc>
          <w:tcPr>
            <w:tcW w:w="7590" w:type="dxa"/>
            <w:tcBorders>
              <w:bottom w:val="single" w:sz="4" w:space="0" w:color="auto"/>
            </w:tcBorders>
          </w:tcPr>
          <w:p w:rsidR="009264ED" w:rsidRPr="00AE79AC" w:rsidRDefault="009264ED" w:rsidP="009264ED">
            <w:pPr>
              <w:pStyle w:val="BodyText1"/>
              <w:spacing w:line="240" w:lineRule="auto"/>
              <w:rPr>
                <w:rFonts w:ascii="Times New Roman" w:hAnsi="Times New Roman"/>
                <w:b/>
                <w:bCs/>
              </w:rPr>
            </w:pPr>
            <w:r w:rsidRPr="00AE79AC">
              <w:rPr>
                <w:rFonts w:ascii="Times New Roman" w:hAnsi="Times New Roman"/>
                <w:b/>
              </w:rPr>
              <w:t>Suma ekspozycji wskaźnika dźwigni – przy zastosowaniu definicji przejściowej kapitału Tier I</w:t>
            </w:r>
          </w:p>
          <w:p w:rsidR="009264ED" w:rsidRPr="00AE79AC" w:rsidRDefault="009264ED" w:rsidP="009264ED">
            <w:pPr>
              <w:pStyle w:val="BodyText1"/>
              <w:spacing w:line="240" w:lineRule="auto"/>
              <w:rPr>
                <w:rFonts w:ascii="Times New Roman" w:hAnsi="Times New Roman"/>
                <w:bCs/>
              </w:rPr>
            </w:pPr>
          </w:p>
          <w:p w:rsidR="009264ED" w:rsidRPr="00AE79AC" w:rsidRDefault="009264ED" w:rsidP="009264ED">
            <w:pPr>
              <w:pStyle w:val="BodyText1"/>
              <w:spacing w:line="240" w:lineRule="auto"/>
              <w:rPr>
                <w:rFonts w:ascii="Times New Roman" w:hAnsi="Times New Roman"/>
                <w:bCs/>
              </w:rPr>
            </w:pPr>
            <w:r w:rsidRPr="00AE79AC">
              <w:rPr>
                <w:rFonts w:ascii="Times New Roman" w:hAnsi="Times New Roman"/>
              </w:rPr>
              <w:t>Instytucje zgłaszają następujące kwoty:</w:t>
            </w:r>
          </w:p>
          <w:p w:rsidR="009264ED" w:rsidRPr="00AE79AC" w:rsidRDefault="009264ED" w:rsidP="009264ED">
            <w:pPr>
              <w:pStyle w:val="BodyText1"/>
              <w:spacing w:line="240" w:lineRule="auto"/>
              <w:rPr>
                <w:rFonts w:ascii="Times New Roman" w:hAnsi="Times New Roman"/>
                <w:bCs/>
              </w:rPr>
            </w:pPr>
          </w:p>
          <w:p w:rsidR="009264ED" w:rsidRPr="00AE79AC" w:rsidRDefault="009264ED" w:rsidP="009264ED">
            <w:pPr>
              <w:pStyle w:val="BodyText1"/>
              <w:spacing w:line="240" w:lineRule="auto"/>
              <w:rPr>
                <w:rFonts w:ascii="Times New Roman" w:hAnsi="Times New Roman"/>
                <w:bCs/>
              </w:rPr>
            </w:pPr>
            <w:r w:rsidRPr="00AE79AC">
              <w:rPr>
                <w:rFonts w:ascii="Times New Roman" w:hAnsi="Times New Roman"/>
              </w:rPr>
              <w:t>{LRCalc;010;010} + {LRCalc;020;010} + {LRCalc;030;010} + {LRCalc;040;010} + {LRCalc;050;010} + {LRCalc;060;010} + {LRCalc;070;010} + {LRCalc;080;010} + {LRCalc;090;010} + {LRCalc;100;010} + {LRCalc;110;010} + {LRCalc;120;010} + {LRCalc;130;010} - {LRCalc;140;010} + {LRCalc;150;010} + {LRCalc;160;010} + {LRCalc;170;010} + {LRCalc;180;010} + {LRCalc;190;010} + {LRCalc;200;010} + {LRCalc;210;010} + {LRCalc;220;010} + {LRCalc;230;010} + {LRCalc;240;010} + {LRCalc;250;010} + {LRCalc;260;010} + {LRCalc;280;010}.</w:t>
            </w:r>
          </w:p>
          <w:p w:rsidR="009264ED" w:rsidRPr="00AE79AC" w:rsidRDefault="009264ED" w:rsidP="009264ED">
            <w:pPr>
              <w:pStyle w:val="BodyText1"/>
              <w:spacing w:line="240" w:lineRule="auto"/>
              <w:rPr>
                <w:rFonts w:ascii="Times New Roman" w:hAnsi="Times New Roman"/>
                <w:b/>
                <w:bCs/>
              </w:rPr>
            </w:pPr>
          </w:p>
        </w:tc>
      </w:tr>
      <w:tr w:rsidR="009264ED" w:rsidRPr="00AE79AC" w:rsidTr="00FE0FF1">
        <w:trPr>
          <w:trHeight w:val="304"/>
        </w:trPr>
        <w:tc>
          <w:tcPr>
            <w:tcW w:w="1418" w:type="dxa"/>
            <w:shd w:val="pct25" w:color="auto" w:fill="auto"/>
          </w:tcPr>
          <w:p w:rsidR="009264ED" w:rsidRPr="00AE79AC" w:rsidRDefault="009264ED" w:rsidP="00FE0FF1">
            <w:pPr>
              <w:pStyle w:val="BodyText1"/>
              <w:rPr>
                <w:rFonts w:ascii="Times New Roman" w:hAnsi="Times New Roman"/>
                <w:b/>
              </w:rPr>
            </w:pPr>
            <w:r w:rsidRPr="00AE79AC">
              <w:rPr>
                <w:rFonts w:ascii="Times New Roman" w:hAnsi="Times New Roman"/>
                <w:b/>
              </w:rPr>
              <w:t xml:space="preserve">Wiersz </w:t>
            </w:r>
          </w:p>
          <w:p w:rsidR="009264ED" w:rsidRPr="00AE79AC" w:rsidRDefault="009264ED" w:rsidP="00FE0FF1">
            <w:pPr>
              <w:pStyle w:val="BodyText1"/>
              <w:rPr>
                <w:rFonts w:ascii="Times New Roman" w:hAnsi="Times New Roman"/>
                <w:b/>
                <w:bCs/>
              </w:rPr>
            </w:pPr>
            <w:r w:rsidRPr="00AE79AC">
              <w:rPr>
                <w:rFonts w:ascii="Times New Roman" w:hAnsi="Times New Roman"/>
                <w:b/>
              </w:rPr>
              <w:t>i kolumna</w:t>
            </w:r>
          </w:p>
        </w:tc>
        <w:tc>
          <w:tcPr>
            <w:tcW w:w="7590" w:type="dxa"/>
            <w:shd w:val="pct25" w:color="auto" w:fill="auto"/>
          </w:tcPr>
          <w:p w:rsidR="009264ED" w:rsidRPr="00AE79AC" w:rsidRDefault="009264ED" w:rsidP="00970A0D">
            <w:pPr>
              <w:pStyle w:val="BodyText1"/>
              <w:spacing w:line="240" w:lineRule="auto"/>
              <w:rPr>
                <w:rFonts w:ascii="Times New Roman" w:hAnsi="Times New Roman"/>
                <w:b/>
                <w:bCs/>
              </w:rPr>
            </w:pPr>
            <w:r w:rsidRPr="00AE79AC">
              <w:rPr>
                <w:rFonts w:ascii="Times New Roman" w:hAnsi="Times New Roman"/>
                <w:b/>
              </w:rPr>
              <w:t xml:space="preserve">Kapitał </w:t>
            </w:r>
          </w:p>
        </w:tc>
      </w:tr>
      <w:tr w:rsidR="009264ED" w:rsidRPr="00AE79AC" w:rsidTr="00FE0FF1">
        <w:trPr>
          <w:trHeight w:val="304"/>
        </w:trPr>
        <w:tc>
          <w:tcPr>
            <w:tcW w:w="1418" w:type="dxa"/>
          </w:tcPr>
          <w:p w:rsidR="009264ED" w:rsidRPr="00AE79AC" w:rsidRDefault="009264ED" w:rsidP="00FE0FF1">
            <w:pPr>
              <w:pStyle w:val="BodyText1"/>
              <w:rPr>
                <w:rFonts w:ascii="Times New Roman" w:hAnsi="Times New Roman"/>
                <w:bCs/>
              </w:rPr>
            </w:pPr>
            <w:r w:rsidRPr="00AE79AC">
              <w:rPr>
                <w:rFonts w:ascii="Times New Roman" w:hAnsi="Times New Roman"/>
              </w:rPr>
              <w:t>{310;010}</w:t>
            </w:r>
          </w:p>
          <w:p w:rsidR="009264ED" w:rsidRPr="00AE79AC" w:rsidRDefault="009264ED" w:rsidP="00FE0FF1">
            <w:pPr>
              <w:pStyle w:val="BodyText1"/>
              <w:rPr>
                <w:rFonts w:ascii="Times New Roman" w:hAnsi="Times New Roman"/>
                <w:bCs/>
              </w:rPr>
            </w:pPr>
          </w:p>
        </w:tc>
        <w:tc>
          <w:tcPr>
            <w:tcW w:w="7590" w:type="dxa"/>
          </w:tcPr>
          <w:p w:rsidR="009264ED" w:rsidRPr="00AE79AC" w:rsidRDefault="009264ED" w:rsidP="00FE0FF1">
            <w:pPr>
              <w:pStyle w:val="BodyText1"/>
              <w:spacing w:line="240" w:lineRule="auto"/>
              <w:rPr>
                <w:rFonts w:ascii="Times New Roman" w:hAnsi="Times New Roman"/>
                <w:bCs/>
              </w:rPr>
            </w:pPr>
            <w:r w:rsidRPr="00AE79AC">
              <w:rPr>
                <w:rFonts w:ascii="Times New Roman" w:hAnsi="Times New Roman"/>
                <w:b/>
              </w:rPr>
              <w:t>Kapitał Tier I – w pełni wprowadzona definicja</w:t>
            </w:r>
          </w:p>
          <w:p w:rsidR="009264ED" w:rsidRPr="00AE79AC" w:rsidRDefault="009264ED" w:rsidP="00FE0FF1">
            <w:pPr>
              <w:pStyle w:val="BodyText1"/>
              <w:spacing w:line="240" w:lineRule="auto"/>
              <w:rPr>
                <w:rFonts w:ascii="Times New Roman" w:hAnsi="Times New Roman"/>
                <w:bCs/>
              </w:rPr>
            </w:pPr>
          </w:p>
          <w:p w:rsidR="009264ED" w:rsidRPr="00AE79AC" w:rsidRDefault="009264ED" w:rsidP="00FE0FF1">
            <w:pPr>
              <w:pStyle w:val="BodyText1"/>
              <w:spacing w:line="240" w:lineRule="auto"/>
              <w:rPr>
                <w:rFonts w:ascii="Times New Roman" w:hAnsi="Times New Roman"/>
                <w:bCs/>
              </w:rPr>
            </w:pPr>
            <w:r w:rsidRPr="00AE79AC">
              <w:rPr>
                <w:rFonts w:ascii="Times New Roman" w:hAnsi="Times New Roman"/>
              </w:rPr>
              <w:t>Art. 429 ust. 3 i art. 499 ust. 1 CRR</w:t>
            </w:r>
          </w:p>
          <w:p w:rsidR="009264ED" w:rsidRPr="00AE79AC" w:rsidRDefault="009264ED" w:rsidP="00FE0FF1">
            <w:pPr>
              <w:pStyle w:val="BodyText1"/>
              <w:spacing w:line="240" w:lineRule="auto"/>
              <w:rPr>
                <w:rFonts w:ascii="Times New Roman" w:hAnsi="Times New Roman"/>
                <w:bCs/>
              </w:rPr>
            </w:pPr>
          </w:p>
          <w:p w:rsidR="009264ED" w:rsidRPr="00AE79AC" w:rsidRDefault="009264ED" w:rsidP="00FE0FF1">
            <w:pPr>
              <w:pStyle w:val="BodyText1"/>
              <w:spacing w:line="240" w:lineRule="auto"/>
              <w:rPr>
                <w:rFonts w:ascii="Times New Roman" w:hAnsi="Times New Roman"/>
                <w:bCs/>
              </w:rPr>
            </w:pPr>
            <w:r w:rsidRPr="00AE79AC">
              <w:rPr>
                <w:rFonts w:ascii="Times New Roman" w:hAnsi="Times New Roman"/>
              </w:rPr>
              <w:t>Jest to kwota kapitału Tier I obliczona zgodnie z art. 25 CRR, bez uwzględniania odstępstwa określonego w części dziesiątej tytuł I rozdział 1 i 2 CRR.</w:t>
            </w:r>
          </w:p>
          <w:p w:rsidR="009264ED" w:rsidRPr="00AE79AC" w:rsidRDefault="009264ED" w:rsidP="00FE0FF1">
            <w:pPr>
              <w:pStyle w:val="BodyText1"/>
              <w:spacing w:line="240" w:lineRule="auto"/>
              <w:rPr>
                <w:rFonts w:ascii="Times New Roman" w:hAnsi="Times New Roman"/>
                <w:bCs/>
              </w:rPr>
            </w:pPr>
          </w:p>
        </w:tc>
      </w:tr>
      <w:tr w:rsidR="009264ED" w:rsidRPr="00AE79AC" w:rsidTr="00FE0FF1">
        <w:trPr>
          <w:trHeight w:val="304"/>
        </w:trPr>
        <w:tc>
          <w:tcPr>
            <w:tcW w:w="1418" w:type="dxa"/>
          </w:tcPr>
          <w:p w:rsidR="009264ED" w:rsidRPr="00AE79AC" w:rsidRDefault="009264ED" w:rsidP="00FE0FF1">
            <w:pPr>
              <w:pStyle w:val="BodyText1"/>
              <w:rPr>
                <w:rFonts w:ascii="Times New Roman" w:hAnsi="Times New Roman"/>
                <w:bCs/>
              </w:rPr>
            </w:pPr>
            <w:r w:rsidRPr="00AE79AC">
              <w:rPr>
                <w:rFonts w:ascii="Times New Roman" w:hAnsi="Times New Roman"/>
              </w:rPr>
              <w:t>{320;010}</w:t>
            </w:r>
          </w:p>
          <w:p w:rsidR="009264ED" w:rsidRPr="00AE79AC" w:rsidRDefault="009264ED" w:rsidP="00FE0FF1">
            <w:pPr>
              <w:pStyle w:val="BodyText1"/>
              <w:rPr>
                <w:rFonts w:ascii="Times New Roman" w:hAnsi="Times New Roman"/>
                <w:bCs/>
              </w:rPr>
            </w:pPr>
          </w:p>
        </w:tc>
        <w:tc>
          <w:tcPr>
            <w:tcW w:w="7590" w:type="dxa"/>
          </w:tcPr>
          <w:p w:rsidR="009264ED" w:rsidRPr="00AE79AC" w:rsidRDefault="009264ED" w:rsidP="00FE0FF1">
            <w:pPr>
              <w:pStyle w:val="BodyText1"/>
              <w:spacing w:line="240" w:lineRule="auto"/>
              <w:rPr>
                <w:rFonts w:ascii="Times New Roman" w:hAnsi="Times New Roman"/>
                <w:b/>
                <w:bCs/>
              </w:rPr>
            </w:pPr>
            <w:r w:rsidRPr="00AE79AC">
              <w:rPr>
                <w:rFonts w:ascii="Times New Roman" w:hAnsi="Times New Roman"/>
                <w:b/>
              </w:rPr>
              <w:t>Kapitał Tier I – definicja przejściowa</w:t>
            </w:r>
          </w:p>
          <w:p w:rsidR="009264ED" w:rsidRPr="00AE79AC" w:rsidRDefault="009264ED" w:rsidP="00FE0FF1">
            <w:pPr>
              <w:pStyle w:val="BodyText1"/>
              <w:spacing w:line="240" w:lineRule="auto"/>
              <w:rPr>
                <w:rFonts w:ascii="Times New Roman" w:hAnsi="Times New Roman"/>
                <w:bCs/>
              </w:rPr>
            </w:pPr>
          </w:p>
          <w:p w:rsidR="009264ED" w:rsidRPr="00AE79AC" w:rsidRDefault="009264ED" w:rsidP="00FE0FF1">
            <w:pPr>
              <w:pStyle w:val="BodyText1"/>
              <w:spacing w:line="240" w:lineRule="auto"/>
              <w:rPr>
                <w:rFonts w:ascii="Times New Roman" w:hAnsi="Times New Roman"/>
                <w:bCs/>
              </w:rPr>
            </w:pPr>
            <w:r w:rsidRPr="00AE79AC">
              <w:rPr>
                <w:rFonts w:ascii="Times New Roman" w:hAnsi="Times New Roman"/>
              </w:rPr>
              <w:t>Art. 429 ust. 3 i art. 499 ust. 1 CRR</w:t>
            </w:r>
          </w:p>
          <w:p w:rsidR="009264ED" w:rsidRPr="00AE79AC" w:rsidRDefault="009264ED" w:rsidP="00FE0FF1">
            <w:pPr>
              <w:pStyle w:val="BodyText1"/>
              <w:spacing w:line="240" w:lineRule="auto"/>
              <w:rPr>
                <w:rFonts w:ascii="Times New Roman" w:hAnsi="Times New Roman"/>
                <w:bCs/>
              </w:rPr>
            </w:pPr>
          </w:p>
          <w:p w:rsidR="009264ED" w:rsidRPr="00AE79AC" w:rsidRDefault="009264ED" w:rsidP="00FE0FF1">
            <w:pPr>
              <w:pStyle w:val="BodyText1"/>
              <w:spacing w:line="240" w:lineRule="auto"/>
              <w:rPr>
                <w:rFonts w:ascii="Times New Roman" w:hAnsi="Times New Roman"/>
                <w:bCs/>
              </w:rPr>
            </w:pPr>
            <w:r w:rsidRPr="00AE79AC">
              <w:rPr>
                <w:rFonts w:ascii="Times New Roman" w:hAnsi="Times New Roman"/>
              </w:rPr>
              <w:t>Jest to kwota kapitału Tier I obliczona zgodnie z art. 25 CRR, po uwzględnieniu odstępstwa określonego w części dziesiątej tytuł I rozdział 1 i 2 CRR.</w:t>
            </w:r>
          </w:p>
          <w:p w:rsidR="009264ED" w:rsidRPr="00AE79AC" w:rsidRDefault="009264ED" w:rsidP="00FE0FF1">
            <w:pPr>
              <w:pStyle w:val="BodyText1"/>
              <w:spacing w:line="240" w:lineRule="auto"/>
              <w:rPr>
                <w:rFonts w:ascii="Times New Roman" w:hAnsi="Times New Roman"/>
                <w:bCs/>
              </w:rPr>
            </w:pPr>
          </w:p>
        </w:tc>
      </w:tr>
      <w:tr w:rsidR="009264ED" w:rsidRPr="00AE79AC" w:rsidTr="00FE0FF1">
        <w:trPr>
          <w:trHeight w:val="304"/>
        </w:trPr>
        <w:tc>
          <w:tcPr>
            <w:tcW w:w="1418" w:type="dxa"/>
            <w:shd w:val="clear" w:color="auto" w:fill="A6A6A6" w:themeFill="background1" w:themeFillShade="A6"/>
          </w:tcPr>
          <w:p w:rsidR="009264ED" w:rsidRPr="00AE79AC" w:rsidRDefault="009264ED" w:rsidP="00FE0FF1">
            <w:pPr>
              <w:pStyle w:val="BodyText1"/>
              <w:rPr>
                <w:rFonts w:ascii="Times New Roman" w:hAnsi="Times New Roman"/>
                <w:b/>
              </w:rPr>
            </w:pPr>
            <w:r w:rsidRPr="00AE79AC">
              <w:rPr>
                <w:rFonts w:ascii="Times New Roman" w:hAnsi="Times New Roman"/>
                <w:b/>
              </w:rPr>
              <w:t xml:space="preserve">Wiersz </w:t>
            </w:r>
          </w:p>
          <w:p w:rsidR="009264ED" w:rsidRPr="00AE79AC" w:rsidRDefault="009264ED" w:rsidP="00FE0FF1">
            <w:pPr>
              <w:pStyle w:val="BodyText1"/>
              <w:rPr>
                <w:rFonts w:ascii="Times New Roman" w:hAnsi="Times New Roman"/>
                <w:b/>
                <w:bCs/>
              </w:rPr>
            </w:pPr>
            <w:r w:rsidRPr="00AE79AC">
              <w:rPr>
                <w:rFonts w:ascii="Times New Roman" w:hAnsi="Times New Roman"/>
                <w:b/>
              </w:rPr>
              <w:t>i kolumna</w:t>
            </w:r>
          </w:p>
        </w:tc>
        <w:tc>
          <w:tcPr>
            <w:tcW w:w="7590" w:type="dxa"/>
            <w:shd w:val="clear" w:color="auto" w:fill="A6A6A6" w:themeFill="background1" w:themeFillShade="A6"/>
          </w:tcPr>
          <w:p w:rsidR="009264ED" w:rsidRPr="00AE79AC" w:rsidRDefault="009264ED" w:rsidP="00FE0FF1">
            <w:pPr>
              <w:pStyle w:val="BodyText1"/>
              <w:spacing w:line="240" w:lineRule="auto"/>
              <w:rPr>
                <w:rFonts w:ascii="Times New Roman" w:hAnsi="Times New Roman"/>
                <w:b/>
                <w:bCs/>
              </w:rPr>
            </w:pPr>
            <w:r w:rsidRPr="00AE79AC">
              <w:rPr>
                <w:rFonts w:ascii="Times New Roman" w:hAnsi="Times New Roman"/>
                <w:b/>
              </w:rPr>
              <w:t>Wskaźnik dźwigni</w:t>
            </w:r>
          </w:p>
        </w:tc>
      </w:tr>
      <w:tr w:rsidR="009264ED" w:rsidRPr="00AE79AC" w:rsidTr="00FE0FF1">
        <w:trPr>
          <w:trHeight w:val="304"/>
        </w:trPr>
        <w:tc>
          <w:tcPr>
            <w:tcW w:w="1418" w:type="dxa"/>
          </w:tcPr>
          <w:p w:rsidR="009264ED" w:rsidRPr="00AE79AC" w:rsidRDefault="009264ED" w:rsidP="00FF01D7">
            <w:pPr>
              <w:pStyle w:val="BodyText1"/>
              <w:rPr>
                <w:rFonts w:ascii="Times New Roman" w:hAnsi="Times New Roman"/>
                <w:bCs/>
              </w:rPr>
            </w:pPr>
            <w:r w:rsidRPr="00AE79AC">
              <w:rPr>
                <w:rFonts w:ascii="Times New Roman" w:hAnsi="Times New Roman"/>
              </w:rPr>
              <w:t>{330;010}</w:t>
            </w:r>
          </w:p>
        </w:tc>
        <w:tc>
          <w:tcPr>
            <w:tcW w:w="7590" w:type="dxa"/>
          </w:tcPr>
          <w:p w:rsidR="009264ED" w:rsidRPr="00AE79AC" w:rsidRDefault="009264ED" w:rsidP="00FE0FF1">
            <w:pPr>
              <w:pStyle w:val="BodyText1"/>
              <w:spacing w:line="240" w:lineRule="auto"/>
              <w:rPr>
                <w:rFonts w:ascii="Times New Roman" w:hAnsi="Times New Roman"/>
                <w:b/>
                <w:bCs/>
              </w:rPr>
            </w:pPr>
            <w:r w:rsidRPr="00AE79AC">
              <w:rPr>
                <w:rFonts w:ascii="Times New Roman" w:hAnsi="Times New Roman"/>
                <w:b/>
              </w:rPr>
              <w:t>Wskaźnik dźwigni – przy zastosowaniu w pełni wprowadzonej definicji kapitału Tier I</w:t>
            </w:r>
          </w:p>
          <w:p w:rsidR="009264ED" w:rsidRPr="00AE79AC" w:rsidRDefault="009264ED" w:rsidP="00FE0FF1">
            <w:pPr>
              <w:pStyle w:val="BodyText1"/>
              <w:spacing w:line="240" w:lineRule="auto"/>
              <w:rPr>
                <w:rFonts w:ascii="Times New Roman" w:hAnsi="Times New Roman"/>
                <w:bCs/>
              </w:rPr>
            </w:pPr>
          </w:p>
          <w:p w:rsidR="009264ED" w:rsidRPr="00AE79AC" w:rsidRDefault="009264ED" w:rsidP="00FE0FF1">
            <w:pPr>
              <w:pStyle w:val="BodyText1"/>
              <w:spacing w:line="240" w:lineRule="auto"/>
              <w:rPr>
                <w:rFonts w:ascii="Times New Roman" w:hAnsi="Times New Roman"/>
                <w:bCs/>
              </w:rPr>
            </w:pPr>
            <w:r w:rsidRPr="00AE79AC">
              <w:rPr>
                <w:rFonts w:ascii="Times New Roman" w:hAnsi="Times New Roman"/>
              </w:rPr>
              <w:t>Art. 429 ust. 2 i art. 499 ust. 1 CRR</w:t>
            </w:r>
          </w:p>
          <w:p w:rsidR="009264ED" w:rsidRPr="00AE79AC" w:rsidRDefault="009264ED" w:rsidP="00FE0FF1">
            <w:pPr>
              <w:pStyle w:val="BodyText1"/>
              <w:spacing w:line="240" w:lineRule="auto"/>
              <w:rPr>
                <w:rFonts w:ascii="Times New Roman" w:hAnsi="Times New Roman"/>
                <w:bCs/>
              </w:rPr>
            </w:pPr>
          </w:p>
          <w:p w:rsidR="009264ED" w:rsidRPr="00AE79AC" w:rsidRDefault="009264ED" w:rsidP="00FE0FF1">
            <w:pPr>
              <w:pStyle w:val="BodyText1"/>
              <w:spacing w:line="240" w:lineRule="auto"/>
              <w:rPr>
                <w:rFonts w:ascii="Times New Roman" w:hAnsi="Times New Roman"/>
                <w:bCs/>
              </w:rPr>
            </w:pPr>
            <w:r w:rsidRPr="00AE79AC">
              <w:rPr>
                <w:rFonts w:ascii="Times New Roman" w:hAnsi="Times New Roman"/>
              </w:rPr>
              <w:t xml:space="preserve">Jest to wskaźnik dźwigni obliczany zgodnie z niniejszym załącznikiem część II </w:t>
            </w:r>
            <w:r w:rsidRPr="002341B6">
              <w:rPr>
                <w:rFonts w:ascii="Times New Roman" w:hAnsi="Times New Roman"/>
              </w:rPr>
              <w:t>pkt</w:t>
            </w:r>
            <w:r w:rsidR="002341B6" w:rsidRPr="002341B6">
              <w:rPr>
                <w:rFonts w:ascii="Times New Roman" w:hAnsi="Times New Roman"/>
              </w:rPr>
              <w:t> </w:t>
            </w:r>
            <w:r w:rsidRPr="002341B6">
              <w:rPr>
                <w:rFonts w:ascii="Times New Roman" w:hAnsi="Times New Roman"/>
              </w:rPr>
              <w:t>4</w:t>
            </w:r>
            <w:r w:rsidRPr="00AE79AC">
              <w:rPr>
                <w:rFonts w:ascii="Times New Roman" w:hAnsi="Times New Roman"/>
              </w:rPr>
              <w:t xml:space="preserve">. </w:t>
            </w:r>
          </w:p>
          <w:p w:rsidR="009264ED" w:rsidRPr="00AE79AC" w:rsidRDefault="009264ED" w:rsidP="00FE0FF1">
            <w:pPr>
              <w:pStyle w:val="BodyText1"/>
              <w:spacing w:line="240" w:lineRule="auto"/>
              <w:rPr>
                <w:rFonts w:ascii="Times New Roman" w:hAnsi="Times New Roman"/>
                <w:b/>
                <w:bCs/>
              </w:rPr>
            </w:pPr>
          </w:p>
        </w:tc>
      </w:tr>
      <w:tr w:rsidR="009264ED" w:rsidRPr="00AE79AC" w:rsidTr="00FE0FF1">
        <w:trPr>
          <w:trHeight w:val="304"/>
        </w:trPr>
        <w:tc>
          <w:tcPr>
            <w:tcW w:w="1418" w:type="dxa"/>
          </w:tcPr>
          <w:p w:rsidR="009264ED" w:rsidRPr="00AE79AC" w:rsidRDefault="009264ED" w:rsidP="009264ED">
            <w:pPr>
              <w:pStyle w:val="BodyText1"/>
              <w:rPr>
                <w:rFonts w:ascii="Times New Roman" w:hAnsi="Times New Roman"/>
                <w:bCs/>
              </w:rPr>
            </w:pPr>
            <w:r w:rsidRPr="00AE79AC">
              <w:rPr>
                <w:rFonts w:ascii="Times New Roman" w:hAnsi="Times New Roman"/>
              </w:rPr>
              <w:t>{340;010}</w:t>
            </w:r>
          </w:p>
        </w:tc>
        <w:tc>
          <w:tcPr>
            <w:tcW w:w="7590" w:type="dxa"/>
          </w:tcPr>
          <w:p w:rsidR="009264ED" w:rsidRPr="00AE79AC" w:rsidRDefault="009264ED" w:rsidP="00FE0FF1">
            <w:pPr>
              <w:pStyle w:val="BodyText1"/>
              <w:spacing w:line="240" w:lineRule="auto"/>
              <w:rPr>
                <w:rFonts w:ascii="Times New Roman" w:hAnsi="Times New Roman"/>
                <w:b/>
                <w:bCs/>
              </w:rPr>
            </w:pPr>
            <w:r w:rsidRPr="00AE79AC">
              <w:rPr>
                <w:rFonts w:ascii="Times New Roman" w:hAnsi="Times New Roman"/>
                <w:b/>
              </w:rPr>
              <w:t>Wskaźnik dźwigni – przy zastosowaniu definicji przejściowej kapitału Tier I</w:t>
            </w:r>
          </w:p>
          <w:p w:rsidR="009264ED" w:rsidRPr="00AE79AC" w:rsidRDefault="009264ED" w:rsidP="00FE0FF1">
            <w:pPr>
              <w:pStyle w:val="BodyText1"/>
              <w:spacing w:line="240" w:lineRule="auto"/>
              <w:rPr>
                <w:rFonts w:ascii="Times New Roman" w:hAnsi="Times New Roman"/>
                <w:bCs/>
              </w:rPr>
            </w:pPr>
          </w:p>
          <w:p w:rsidR="009264ED" w:rsidRPr="00AE79AC" w:rsidRDefault="009264ED" w:rsidP="00FE0FF1">
            <w:pPr>
              <w:pStyle w:val="BodyText1"/>
              <w:spacing w:line="240" w:lineRule="auto"/>
              <w:rPr>
                <w:rFonts w:ascii="Times New Roman" w:hAnsi="Times New Roman"/>
                <w:bCs/>
              </w:rPr>
            </w:pPr>
            <w:r w:rsidRPr="00AE79AC">
              <w:rPr>
                <w:rFonts w:ascii="Times New Roman" w:hAnsi="Times New Roman"/>
              </w:rPr>
              <w:t>Art. 429 ust. 2 i art. 499 ust. 1 CRR</w:t>
            </w:r>
          </w:p>
          <w:p w:rsidR="009264ED" w:rsidRPr="00AE79AC" w:rsidRDefault="009264ED" w:rsidP="00FE0FF1">
            <w:pPr>
              <w:pStyle w:val="BodyText1"/>
              <w:spacing w:line="240" w:lineRule="auto"/>
              <w:rPr>
                <w:rFonts w:ascii="Times New Roman" w:hAnsi="Times New Roman"/>
                <w:bCs/>
              </w:rPr>
            </w:pPr>
          </w:p>
          <w:p w:rsidR="009264ED" w:rsidRPr="00AE79AC" w:rsidRDefault="009264ED" w:rsidP="00FE0FF1">
            <w:pPr>
              <w:pStyle w:val="BodyText1"/>
              <w:spacing w:line="240" w:lineRule="auto"/>
              <w:rPr>
                <w:rFonts w:ascii="Times New Roman" w:hAnsi="Times New Roman"/>
              </w:rPr>
            </w:pPr>
            <w:r w:rsidRPr="00AE79AC">
              <w:rPr>
                <w:rFonts w:ascii="Times New Roman" w:hAnsi="Times New Roman"/>
              </w:rPr>
              <w:t xml:space="preserve">Jest to wskaźnik dźwigni obliczany zgodnie z niniejszym załącznikiem część II </w:t>
            </w:r>
            <w:r w:rsidRPr="002341B6">
              <w:rPr>
                <w:rFonts w:ascii="Times New Roman" w:hAnsi="Times New Roman"/>
              </w:rPr>
              <w:t>pkt</w:t>
            </w:r>
            <w:r w:rsidR="002341B6" w:rsidRPr="002341B6">
              <w:rPr>
                <w:rFonts w:ascii="Times New Roman" w:hAnsi="Times New Roman"/>
              </w:rPr>
              <w:t> </w:t>
            </w:r>
            <w:r w:rsidRPr="002341B6">
              <w:rPr>
                <w:rFonts w:ascii="Times New Roman" w:hAnsi="Times New Roman"/>
              </w:rPr>
              <w:t>5</w:t>
            </w:r>
            <w:r w:rsidRPr="00AE79AC">
              <w:rPr>
                <w:rFonts w:ascii="Times New Roman" w:hAnsi="Times New Roman"/>
              </w:rPr>
              <w:t>.</w:t>
            </w:r>
          </w:p>
          <w:p w:rsidR="009264ED" w:rsidRPr="00AE79AC" w:rsidRDefault="009264ED" w:rsidP="00FE0FF1">
            <w:pPr>
              <w:pStyle w:val="BodyText1"/>
              <w:spacing w:line="240" w:lineRule="auto"/>
              <w:rPr>
                <w:rFonts w:ascii="Times New Roman" w:hAnsi="Times New Roman"/>
                <w:b/>
                <w:bCs/>
              </w:rPr>
            </w:pPr>
          </w:p>
        </w:tc>
      </w:tr>
    </w:tbl>
    <w:p w:rsidR="00AE2798" w:rsidRPr="00AE79AC" w:rsidRDefault="00AE2798" w:rsidP="00AE2798">
      <w:pPr>
        <w:pStyle w:val="BodyText1"/>
        <w:rPr>
          <w:rFonts w:ascii="Times New Roman" w:hAnsi="Times New Roman"/>
        </w:rPr>
      </w:pPr>
    </w:p>
    <w:p w:rsidR="00AE2798" w:rsidRPr="00AE79AC" w:rsidRDefault="00AE2798" w:rsidP="00F4754B">
      <w:pPr>
        <w:pStyle w:val="BodyText1"/>
        <w:rPr>
          <w:rFonts w:ascii="Times New Roman" w:hAnsi="Times New Roman"/>
        </w:rPr>
      </w:pPr>
    </w:p>
    <w:p w:rsidR="00AE2798" w:rsidRPr="00AE79AC" w:rsidRDefault="00AE2798" w:rsidP="00F4754B">
      <w:pPr>
        <w:pStyle w:val="BodyText1"/>
        <w:rPr>
          <w:rFonts w:ascii="Times New Roman" w:hAnsi="Times New Roman"/>
        </w:rPr>
      </w:pPr>
    </w:p>
    <w:p w:rsidR="00700DA6" w:rsidRPr="00AE79AC" w:rsidRDefault="00500508" w:rsidP="00500508">
      <w:pPr>
        <w:pStyle w:val="BodyText1"/>
        <w:ind w:left="357" w:hanging="357"/>
        <w:outlineLvl w:val="1"/>
        <w:rPr>
          <w:rFonts w:ascii="Times New Roman" w:hAnsi="Times New Roman"/>
          <w:b/>
        </w:rPr>
      </w:pPr>
      <w:bookmarkStart w:id="58" w:name="_Toc351048507"/>
      <w:bookmarkStart w:id="59" w:name="_Toc359414286"/>
      <w:bookmarkStart w:id="60" w:name="_Toc423089071"/>
      <w:bookmarkStart w:id="61" w:name="_Toc520369404"/>
      <w:r w:rsidRPr="00AE79AC">
        <w:rPr>
          <w:rFonts w:ascii="Times New Roman" w:hAnsi="Times New Roman"/>
          <w:b/>
        </w:rPr>
        <w:t>5.</w:t>
      </w:r>
      <w:r w:rsidRPr="00AE79AC">
        <w:tab/>
      </w:r>
      <w:r w:rsidRPr="00AE79AC">
        <w:rPr>
          <w:rFonts w:ascii="Times New Roman" w:hAnsi="Times New Roman"/>
          <w:b/>
        </w:rPr>
        <w:t>C 40.00 – Podejście alternatywne do miary ekspozycji</w:t>
      </w:r>
      <w:bookmarkEnd w:id="53"/>
      <w:bookmarkEnd w:id="58"/>
      <w:bookmarkEnd w:id="59"/>
      <w:r w:rsidRPr="00AE79AC">
        <w:rPr>
          <w:rFonts w:ascii="Times New Roman" w:hAnsi="Times New Roman"/>
          <w:b/>
        </w:rPr>
        <w:t xml:space="preserve"> (LR1)</w:t>
      </w:r>
      <w:bookmarkEnd w:id="60"/>
      <w:bookmarkEnd w:id="61"/>
    </w:p>
    <w:p w:rsidR="006033AB" w:rsidRPr="00AE79AC" w:rsidRDefault="006033AB" w:rsidP="006033AB">
      <w:pPr>
        <w:pStyle w:val="BodyText1"/>
        <w:spacing w:line="240" w:lineRule="auto"/>
        <w:ind w:left="720"/>
        <w:rPr>
          <w:rFonts w:ascii="Times New Roman" w:hAnsi="Times New Roman"/>
        </w:rPr>
      </w:pPr>
    </w:p>
    <w:p w:rsidR="00F4754B" w:rsidRPr="00AE79AC" w:rsidRDefault="00500508" w:rsidP="00500508">
      <w:pPr>
        <w:pStyle w:val="BodyText1"/>
        <w:spacing w:line="240" w:lineRule="auto"/>
        <w:ind w:left="720" w:hanging="360"/>
        <w:rPr>
          <w:rFonts w:ascii="Times New Roman" w:hAnsi="Times New Roman"/>
        </w:rPr>
      </w:pPr>
      <w:r w:rsidRPr="00AE79AC">
        <w:rPr>
          <w:rFonts w:ascii="Times New Roman" w:hAnsi="Times New Roman"/>
        </w:rPr>
        <w:t>21.</w:t>
      </w:r>
      <w:r w:rsidRPr="00AE79AC">
        <w:tab/>
      </w:r>
      <w:r w:rsidRPr="00AE79AC">
        <w:rPr>
          <w:rFonts w:ascii="Times New Roman" w:hAnsi="Times New Roman"/>
        </w:rPr>
        <w:t xml:space="preserve">W tej części zgłaszanych danych gromadzone są dane na temat alternatywnego ujmowania instrumentów pochodnych, SFT oraz pozycji pozabilansowych. </w:t>
      </w:r>
    </w:p>
    <w:p w:rsidR="00FC2664" w:rsidRPr="00AE79AC" w:rsidRDefault="00FC2664" w:rsidP="007E2A41">
      <w:pPr>
        <w:pStyle w:val="BodyText1"/>
        <w:spacing w:line="240" w:lineRule="auto"/>
        <w:rPr>
          <w:rFonts w:ascii="Times New Roman" w:hAnsi="Times New Roman"/>
        </w:rPr>
      </w:pPr>
    </w:p>
    <w:p w:rsidR="00F4754B" w:rsidRPr="00AE79AC" w:rsidRDefault="00500508" w:rsidP="00500508">
      <w:pPr>
        <w:pStyle w:val="BodyText1"/>
        <w:spacing w:line="240" w:lineRule="auto"/>
        <w:ind w:left="720" w:hanging="360"/>
        <w:rPr>
          <w:rFonts w:ascii="Times New Roman" w:hAnsi="Times New Roman"/>
        </w:rPr>
      </w:pPr>
      <w:r w:rsidRPr="00AE79AC">
        <w:rPr>
          <w:rFonts w:ascii="Times New Roman" w:hAnsi="Times New Roman"/>
        </w:rPr>
        <w:t>22.</w:t>
      </w:r>
      <w:r w:rsidRPr="00AE79AC">
        <w:tab/>
      </w:r>
      <w:r w:rsidRPr="00AE79AC">
        <w:rPr>
          <w:rFonts w:ascii="Times New Roman" w:hAnsi="Times New Roman"/>
        </w:rPr>
        <w:t xml:space="preserve">Instytucje określają „księgowe wartości bilansowe” w LR1 w oparciu o mające zastosowanie standardy rachunkowości zgodnie z art. 4 ust. 1 </w:t>
      </w:r>
      <w:r w:rsidRPr="002341B6">
        <w:rPr>
          <w:rFonts w:ascii="Times New Roman" w:hAnsi="Times New Roman"/>
        </w:rPr>
        <w:t>pkt</w:t>
      </w:r>
      <w:r w:rsidR="002341B6" w:rsidRPr="002341B6">
        <w:rPr>
          <w:rFonts w:ascii="Times New Roman" w:hAnsi="Times New Roman"/>
        </w:rPr>
        <w:t> </w:t>
      </w:r>
      <w:r w:rsidRPr="002341B6">
        <w:rPr>
          <w:rFonts w:ascii="Times New Roman" w:hAnsi="Times New Roman"/>
        </w:rPr>
        <w:t>7</w:t>
      </w:r>
      <w:r w:rsidRPr="00AE79AC">
        <w:rPr>
          <w:rFonts w:ascii="Times New Roman" w:hAnsi="Times New Roman"/>
        </w:rPr>
        <w:t xml:space="preserve">7 CRR. „Wartość księgowa przy założeniu niestosowania kompensat ani innego CRM” odnosi się do księgowej wartości bilansowej, która nie uwzględnia żadnych efektów kompensowania lub innego SFT. </w:t>
      </w:r>
    </w:p>
    <w:p w:rsidR="005556DC" w:rsidRPr="00AE79AC" w:rsidRDefault="005556DC" w:rsidP="00FD2C06">
      <w:pPr>
        <w:pStyle w:val="BodyText1"/>
        <w:spacing w:line="240" w:lineRule="auto"/>
        <w:rPr>
          <w:rFonts w:ascii="Times New Roman" w:hAnsi="Times New Roman"/>
        </w:rPr>
      </w:pPr>
    </w:p>
    <w:p w:rsidR="005556DC" w:rsidRPr="00AE79AC" w:rsidRDefault="00500508" w:rsidP="00500508">
      <w:pPr>
        <w:pStyle w:val="BodyText1"/>
        <w:spacing w:line="240" w:lineRule="auto"/>
        <w:ind w:left="720" w:hanging="360"/>
        <w:rPr>
          <w:rFonts w:ascii="Times New Roman" w:hAnsi="Times New Roman"/>
        </w:rPr>
      </w:pPr>
      <w:r w:rsidRPr="00AE79AC">
        <w:rPr>
          <w:rFonts w:ascii="Times New Roman" w:hAnsi="Times New Roman"/>
        </w:rPr>
        <w:t>23.</w:t>
      </w:r>
      <w:r w:rsidRPr="00AE79AC">
        <w:tab/>
      </w:r>
      <w:r w:rsidRPr="00AE79AC">
        <w:rPr>
          <w:rFonts w:ascii="Times New Roman" w:hAnsi="Times New Roman"/>
        </w:rPr>
        <w:t>Oprócz komórek {250;120} i {260;120} instytucje zgłaszają LR1 tak, jak gdyby zastosowania nie miały wyłączenia, o których mowa w komórkach LRCalc {050;010}, {080;010}, {100;010}, {120;010}, {220;010}, {250;010} i {260;010}.</w:t>
      </w:r>
    </w:p>
    <w:p w:rsidR="005556DC" w:rsidRPr="00AE79AC" w:rsidRDefault="005556DC" w:rsidP="005556DC">
      <w:pPr>
        <w:pStyle w:val="BodyText1"/>
        <w:spacing w:line="240" w:lineRule="auto"/>
        <w:ind w:left="720"/>
        <w:rPr>
          <w:rFonts w:ascii="Times New Roman" w:hAnsi="Times New Roman"/>
        </w:rPr>
      </w:pPr>
    </w:p>
    <w:p w:rsidR="00675587" w:rsidRPr="00AE79AC" w:rsidRDefault="00675587" w:rsidP="00675587">
      <w:pPr>
        <w:pStyle w:val="BodyText1"/>
        <w:rPr>
          <w:rFonts w:ascii="Times New Roman" w:hAnsi="Times New Roman"/>
        </w:rPr>
      </w:pPr>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F4754B" w:rsidRPr="00AE79AC" w:rsidTr="00FC2664">
        <w:tc>
          <w:tcPr>
            <w:tcW w:w="1418" w:type="dxa"/>
            <w:shd w:val="clear" w:color="auto" w:fill="D9D9D9"/>
          </w:tcPr>
          <w:p w:rsidR="00F4754B" w:rsidRPr="00AE79AC" w:rsidRDefault="00F4754B" w:rsidP="00F4754B">
            <w:pPr>
              <w:pStyle w:val="BodyText1"/>
              <w:rPr>
                <w:rFonts w:ascii="Times New Roman" w:hAnsi="Times New Roman"/>
                <w:b/>
              </w:rPr>
            </w:pPr>
            <w:r w:rsidRPr="00AE79AC">
              <w:rPr>
                <w:rFonts w:ascii="Times New Roman" w:hAnsi="Times New Roman"/>
                <w:b/>
              </w:rPr>
              <w:t xml:space="preserve">Wiersz </w:t>
            </w:r>
          </w:p>
          <w:p w:rsidR="00F4754B" w:rsidRPr="00AE79AC" w:rsidRDefault="00F4754B" w:rsidP="00F4754B">
            <w:pPr>
              <w:pStyle w:val="BodyText1"/>
              <w:rPr>
                <w:rFonts w:ascii="Times New Roman" w:hAnsi="Times New Roman"/>
                <w:b/>
              </w:rPr>
            </w:pPr>
            <w:r w:rsidRPr="00AE79AC">
              <w:rPr>
                <w:rFonts w:ascii="Times New Roman" w:hAnsi="Times New Roman"/>
                <w:b/>
              </w:rPr>
              <w:t>i kolumna</w:t>
            </w:r>
          </w:p>
        </w:tc>
        <w:tc>
          <w:tcPr>
            <w:tcW w:w="7620" w:type="dxa"/>
            <w:shd w:val="clear" w:color="auto" w:fill="D9D9D9"/>
          </w:tcPr>
          <w:p w:rsidR="00F4754B" w:rsidRPr="00AE79AC" w:rsidRDefault="00F4754B" w:rsidP="007E2A41">
            <w:pPr>
              <w:pStyle w:val="BodyText1"/>
              <w:spacing w:line="240" w:lineRule="auto"/>
              <w:rPr>
                <w:rFonts w:ascii="Times New Roman" w:hAnsi="Times New Roman"/>
                <w:b/>
                <w:bCs/>
              </w:rPr>
            </w:pPr>
            <w:r w:rsidRPr="00AE79AC">
              <w:rPr>
                <w:rFonts w:ascii="Times New Roman" w:hAnsi="Times New Roman"/>
                <w:b/>
              </w:rPr>
              <w:t>Odniesienia prawne i instrukcje</w:t>
            </w:r>
          </w:p>
        </w:tc>
      </w:tr>
      <w:tr w:rsidR="00F4754B" w:rsidRPr="00AE79AC" w:rsidTr="00FC2664">
        <w:tc>
          <w:tcPr>
            <w:tcW w:w="1418" w:type="dxa"/>
          </w:tcPr>
          <w:p w:rsidR="00F4754B" w:rsidRPr="00AE79AC" w:rsidRDefault="00F4754B" w:rsidP="00F4754B">
            <w:pPr>
              <w:pStyle w:val="BodyText1"/>
              <w:rPr>
                <w:rFonts w:ascii="Times New Roman" w:hAnsi="Times New Roman"/>
                <w:bCs/>
              </w:rPr>
            </w:pPr>
            <w:r w:rsidRPr="00AE79AC">
              <w:rPr>
                <w:rFonts w:ascii="Times New Roman" w:hAnsi="Times New Roman"/>
              </w:rPr>
              <w:t>{010;010}</w:t>
            </w:r>
          </w:p>
        </w:tc>
        <w:tc>
          <w:tcPr>
            <w:tcW w:w="7620" w:type="dxa"/>
          </w:tcPr>
          <w:p w:rsidR="00F4754B" w:rsidRPr="00AE79AC" w:rsidRDefault="00F4754B" w:rsidP="007E2A41">
            <w:pPr>
              <w:pStyle w:val="BodyText1"/>
              <w:spacing w:line="240" w:lineRule="auto"/>
              <w:rPr>
                <w:rFonts w:ascii="Times New Roman" w:hAnsi="Times New Roman"/>
                <w:bCs/>
                <w:u w:val="single"/>
              </w:rPr>
            </w:pPr>
            <w:r w:rsidRPr="00AE79AC">
              <w:rPr>
                <w:rFonts w:ascii="Times New Roman" w:hAnsi="Times New Roman"/>
                <w:b/>
              </w:rPr>
              <w:t>Instrumenty pochodne – księgowa wartość bilansowa</w:t>
            </w:r>
          </w:p>
          <w:p w:rsidR="00F4754B" w:rsidRPr="00AE79AC" w:rsidRDefault="00F4754B" w:rsidP="007E2A41">
            <w:pPr>
              <w:pStyle w:val="BodyText1"/>
              <w:spacing w:line="240" w:lineRule="auto"/>
              <w:rPr>
                <w:rFonts w:ascii="Times New Roman" w:hAnsi="Times New Roman"/>
                <w:b/>
                <w:bCs/>
              </w:rPr>
            </w:pPr>
          </w:p>
          <w:p w:rsidR="00F4754B" w:rsidRPr="00AE79AC" w:rsidRDefault="00F4754B" w:rsidP="007E2A41">
            <w:pPr>
              <w:pStyle w:val="BodyText1"/>
              <w:spacing w:line="240" w:lineRule="auto"/>
              <w:rPr>
                <w:rFonts w:ascii="Times New Roman" w:hAnsi="Times New Roman"/>
                <w:bCs/>
              </w:rPr>
            </w:pPr>
            <w:r w:rsidRPr="00AE79AC">
              <w:rPr>
                <w:rFonts w:ascii="Times New Roman" w:hAnsi="Times New Roman"/>
              </w:rPr>
              <w:t>Jest to suma komórek {020;010}, {050;010} i {060;010}.</w:t>
            </w:r>
          </w:p>
          <w:p w:rsidR="000A6437" w:rsidRPr="00AE79AC" w:rsidRDefault="000A6437" w:rsidP="007E2A41">
            <w:pPr>
              <w:pStyle w:val="BodyText1"/>
              <w:spacing w:line="240" w:lineRule="auto"/>
              <w:rPr>
                <w:rFonts w:ascii="Times New Roman" w:hAnsi="Times New Roman"/>
                <w:b/>
                <w:bCs/>
                <w:u w:val="single"/>
              </w:rPr>
            </w:pPr>
          </w:p>
        </w:tc>
      </w:tr>
      <w:tr w:rsidR="00F4754B" w:rsidRPr="00AE79AC" w:rsidTr="00FC2664">
        <w:tc>
          <w:tcPr>
            <w:tcW w:w="1418" w:type="dxa"/>
          </w:tcPr>
          <w:p w:rsidR="00F4754B" w:rsidRPr="00AE79AC" w:rsidRDefault="00F4754B" w:rsidP="00F4754B">
            <w:pPr>
              <w:pStyle w:val="BodyText1"/>
              <w:rPr>
                <w:rFonts w:ascii="Times New Roman" w:hAnsi="Times New Roman"/>
                <w:bCs/>
              </w:rPr>
            </w:pPr>
            <w:r w:rsidRPr="00AE79AC">
              <w:rPr>
                <w:rFonts w:ascii="Times New Roman" w:hAnsi="Times New Roman"/>
              </w:rPr>
              <w:t>{010;020}</w:t>
            </w:r>
          </w:p>
        </w:tc>
        <w:tc>
          <w:tcPr>
            <w:tcW w:w="7620" w:type="dxa"/>
          </w:tcPr>
          <w:p w:rsidR="00F4754B" w:rsidRPr="00AE79AC" w:rsidRDefault="00F4754B" w:rsidP="007E2A41">
            <w:pPr>
              <w:pStyle w:val="BodyText1"/>
              <w:spacing w:line="240" w:lineRule="auto"/>
              <w:rPr>
                <w:rFonts w:ascii="Times New Roman" w:hAnsi="Times New Roman"/>
                <w:b/>
                <w:bCs/>
              </w:rPr>
            </w:pPr>
            <w:r w:rsidRPr="00AE79AC">
              <w:rPr>
                <w:rFonts w:ascii="Times New Roman" w:hAnsi="Times New Roman"/>
                <w:b/>
              </w:rPr>
              <w:t>Instrumenty pochodne – wartość księgowa przy założeniu niestosowania kompensat ani innego CRM</w:t>
            </w:r>
          </w:p>
          <w:p w:rsidR="00F4754B" w:rsidRPr="00AE79AC" w:rsidRDefault="00F4754B" w:rsidP="007E2A41">
            <w:pPr>
              <w:pStyle w:val="BodyText1"/>
              <w:spacing w:line="240" w:lineRule="auto"/>
              <w:rPr>
                <w:rFonts w:ascii="Times New Roman" w:hAnsi="Times New Roman"/>
                <w:b/>
                <w:bCs/>
              </w:rPr>
            </w:pPr>
          </w:p>
          <w:p w:rsidR="00F4754B" w:rsidRPr="00AE79AC" w:rsidRDefault="00F4754B" w:rsidP="007E2A41">
            <w:pPr>
              <w:pStyle w:val="BodyText1"/>
              <w:spacing w:line="240" w:lineRule="auto"/>
              <w:rPr>
                <w:rFonts w:ascii="Times New Roman" w:hAnsi="Times New Roman"/>
                <w:bCs/>
              </w:rPr>
            </w:pPr>
            <w:r w:rsidRPr="00AE79AC">
              <w:rPr>
                <w:rFonts w:ascii="Times New Roman" w:hAnsi="Times New Roman"/>
              </w:rPr>
              <w:t>Jest to suma komórek {020;020}, {050;020} i {060;020}.</w:t>
            </w:r>
          </w:p>
          <w:p w:rsidR="00FF3AC1" w:rsidRPr="00AE79AC" w:rsidRDefault="00FF3AC1" w:rsidP="007E2A41">
            <w:pPr>
              <w:pStyle w:val="BodyText1"/>
              <w:spacing w:line="240" w:lineRule="auto"/>
              <w:rPr>
                <w:rFonts w:ascii="Times New Roman" w:hAnsi="Times New Roman"/>
                <w:b/>
                <w:bCs/>
                <w:u w:val="single"/>
              </w:rPr>
            </w:pPr>
          </w:p>
        </w:tc>
      </w:tr>
      <w:tr w:rsidR="00F4754B" w:rsidRPr="00AE79AC" w:rsidTr="00FC2664">
        <w:tc>
          <w:tcPr>
            <w:tcW w:w="1418" w:type="dxa"/>
          </w:tcPr>
          <w:p w:rsidR="00F4754B" w:rsidRPr="00AE79AC" w:rsidRDefault="00F4754B" w:rsidP="00F4754B">
            <w:pPr>
              <w:pStyle w:val="BodyText1"/>
              <w:rPr>
                <w:rFonts w:ascii="Times New Roman" w:hAnsi="Times New Roman"/>
                <w:bCs/>
              </w:rPr>
            </w:pPr>
            <w:r w:rsidRPr="00AE79AC">
              <w:rPr>
                <w:rFonts w:ascii="Times New Roman" w:hAnsi="Times New Roman"/>
              </w:rPr>
              <w:t>{010;050}</w:t>
            </w:r>
          </w:p>
          <w:p w:rsidR="00F4754B" w:rsidRPr="00AE79AC" w:rsidRDefault="00F4754B" w:rsidP="00F4754B">
            <w:pPr>
              <w:pStyle w:val="BodyText1"/>
              <w:rPr>
                <w:rFonts w:ascii="Times New Roman" w:hAnsi="Times New Roman"/>
                <w:bCs/>
              </w:rPr>
            </w:pPr>
          </w:p>
        </w:tc>
        <w:tc>
          <w:tcPr>
            <w:tcW w:w="7620" w:type="dxa"/>
          </w:tcPr>
          <w:p w:rsidR="00F4754B" w:rsidRPr="00AE79AC" w:rsidRDefault="00F4754B" w:rsidP="007E2A41">
            <w:pPr>
              <w:pStyle w:val="BodyText1"/>
              <w:spacing w:line="240" w:lineRule="auto"/>
              <w:rPr>
                <w:rFonts w:ascii="Times New Roman" w:hAnsi="Times New Roman"/>
                <w:b/>
                <w:bCs/>
              </w:rPr>
            </w:pPr>
            <w:r w:rsidRPr="00AE79AC">
              <w:rPr>
                <w:rFonts w:ascii="Times New Roman" w:hAnsi="Times New Roman"/>
                <w:b/>
              </w:rPr>
              <w:t>Instrumenty pochodne – narzut obliczony metodą wyceny według wartości rynkowej (przy założeniu niestosowania kompensat ani innego CRM)</w:t>
            </w:r>
          </w:p>
          <w:p w:rsidR="00F4754B" w:rsidRPr="00AE79AC" w:rsidRDefault="00F4754B" w:rsidP="007E2A41">
            <w:pPr>
              <w:pStyle w:val="BodyText1"/>
              <w:spacing w:line="240" w:lineRule="auto"/>
              <w:rPr>
                <w:rFonts w:ascii="Times New Roman" w:hAnsi="Times New Roman"/>
                <w:b/>
                <w:bCs/>
              </w:rPr>
            </w:pPr>
          </w:p>
          <w:p w:rsidR="00F4754B" w:rsidRPr="00AE79AC" w:rsidRDefault="00F4754B" w:rsidP="007E2A41">
            <w:pPr>
              <w:pStyle w:val="BodyText1"/>
              <w:spacing w:line="240" w:lineRule="auto"/>
              <w:rPr>
                <w:rFonts w:ascii="Times New Roman" w:hAnsi="Times New Roman"/>
                <w:bCs/>
              </w:rPr>
            </w:pPr>
            <w:r w:rsidRPr="00AE79AC">
              <w:rPr>
                <w:rFonts w:ascii="Times New Roman" w:hAnsi="Times New Roman"/>
              </w:rPr>
              <w:t>Jest to suma komórek {020;050}, {050;050} i {060;050}.</w:t>
            </w:r>
          </w:p>
          <w:p w:rsidR="00F4754B" w:rsidRPr="00AE79AC" w:rsidRDefault="00F4754B" w:rsidP="007E2A41">
            <w:pPr>
              <w:pStyle w:val="BodyText1"/>
              <w:spacing w:line="240" w:lineRule="auto"/>
              <w:rPr>
                <w:rFonts w:ascii="Times New Roman" w:hAnsi="Times New Roman"/>
                <w:b/>
                <w:bCs/>
                <w:u w:val="single"/>
              </w:rPr>
            </w:pPr>
          </w:p>
        </w:tc>
      </w:tr>
      <w:tr w:rsidR="00F4754B" w:rsidRPr="00AE79AC" w:rsidTr="00FC2664">
        <w:tc>
          <w:tcPr>
            <w:tcW w:w="1418" w:type="dxa"/>
          </w:tcPr>
          <w:p w:rsidR="00F4754B" w:rsidRPr="00AE79AC" w:rsidRDefault="00F4754B" w:rsidP="00F70A83">
            <w:pPr>
              <w:pStyle w:val="BodyText1"/>
              <w:rPr>
                <w:rFonts w:ascii="Times New Roman" w:hAnsi="Times New Roman"/>
                <w:bCs/>
              </w:rPr>
            </w:pPr>
            <w:r w:rsidRPr="00AE79AC">
              <w:rPr>
                <w:rFonts w:ascii="Times New Roman" w:hAnsi="Times New Roman"/>
              </w:rPr>
              <w:t>{010;070}</w:t>
            </w:r>
          </w:p>
        </w:tc>
        <w:tc>
          <w:tcPr>
            <w:tcW w:w="7620" w:type="dxa"/>
          </w:tcPr>
          <w:p w:rsidR="00F4754B" w:rsidRPr="00AE79AC" w:rsidRDefault="00F4754B" w:rsidP="007E2A41">
            <w:pPr>
              <w:pStyle w:val="BodyText1"/>
              <w:spacing w:line="240" w:lineRule="auto"/>
              <w:rPr>
                <w:rFonts w:ascii="Times New Roman" w:hAnsi="Times New Roman"/>
                <w:b/>
                <w:bCs/>
              </w:rPr>
            </w:pPr>
            <w:r w:rsidRPr="00AE79AC">
              <w:rPr>
                <w:rFonts w:ascii="Times New Roman" w:hAnsi="Times New Roman"/>
                <w:b/>
              </w:rPr>
              <w:t>Instrumenty pochodne – kwota nominalna</w:t>
            </w:r>
          </w:p>
          <w:p w:rsidR="00F4754B" w:rsidRPr="00AE79AC" w:rsidRDefault="00F4754B" w:rsidP="007E2A41">
            <w:pPr>
              <w:pStyle w:val="BodyText1"/>
              <w:spacing w:line="240" w:lineRule="auto"/>
              <w:rPr>
                <w:rFonts w:ascii="Times New Roman" w:hAnsi="Times New Roman"/>
                <w:b/>
                <w:bCs/>
              </w:rPr>
            </w:pPr>
          </w:p>
          <w:p w:rsidR="00F4754B" w:rsidRPr="00AE79AC" w:rsidRDefault="00F4754B" w:rsidP="007E2A41">
            <w:pPr>
              <w:pStyle w:val="BodyText1"/>
              <w:spacing w:line="240" w:lineRule="auto"/>
              <w:rPr>
                <w:rFonts w:ascii="Times New Roman" w:hAnsi="Times New Roman"/>
                <w:bCs/>
              </w:rPr>
            </w:pPr>
            <w:r w:rsidRPr="00AE79AC">
              <w:rPr>
                <w:rFonts w:ascii="Times New Roman" w:hAnsi="Times New Roman"/>
              </w:rPr>
              <w:t>Jest to suma komórek {020;070}, {050;070} i {060;070}.</w:t>
            </w:r>
          </w:p>
          <w:p w:rsidR="00F4754B" w:rsidRPr="00AE79AC" w:rsidRDefault="00F4754B" w:rsidP="007E2A41">
            <w:pPr>
              <w:pStyle w:val="BodyText1"/>
              <w:spacing w:line="240" w:lineRule="auto"/>
              <w:rPr>
                <w:rFonts w:ascii="Times New Roman" w:hAnsi="Times New Roman"/>
                <w:b/>
                <w:bCs/>
                <w:u w:val="single"/>
              </w:rPr>
            </w:pPr>
          </w:p>
        </w:tc>
      </w:tr>
      <w:tr w:rsidR="00F4754B" w:rsidRPr="00AE79AC" w:rsidTr="00FC2664">
        <w:tc>
          <w:tcPr>
            <w:tcW w:w="1418" w:type="dxa"/>
          </w:tcPr>
          <w:p w:rsidR="00F4754B" w:rsidRPr="00AE79AC" w:rsidRDefault="00F4754B" w:rsidP="00F4754B">
            <w:pPr>
              <w:pStyle w:val="BodyText1"/>
              <w:rPr>
                <w:rFonts w:ascii="Times New Roman" w:hAnsi="Times New Roman"/>
                <w:bCs/>
              </w:rPr>
            </w:pPr>
            <w:r w:rsidRPr="00AE79AC">
              <w:rPr>
                <w:rFonts w:ascii="Times New Roman" w:hAnsi="Times New Roman"/>
              </w:rPr>
              <w:t>{020;010}</w:t>
            </w:r>
          </w:p>
        </w:tc>
        <w:tc>
          <w:tcPr>
            <w:tcW w:w="7620" w:type="dxa"/>
          </w:tcPr>
          <w:p w:rsidR="00F4754B" w:rsidRPr="00AE79AC" w:rsidRDefault="00F4754B" w:rsidP="007E2A41">
            <w:pPr>
              <w:pStyle w:val="BodyText1"/>
              <w:spacing w:line="240" w:lineRule="auto"/>
              <w:rPr>
                <w:rFonts w:ascii="Times New Roman" w:hAnsi="Times New Roman"/>
                <w:b/>
                <w:bCs/>
              </w:rPr>
            </w:pPr>
            <w:r w:rsidRPr="00AE79AC">
              <w:rPr>
                <w:rFonts w:ascii="Times New Roman" w:hAnsi="Times New Roman"/>
                <w:b/>
              </w:rPr>
              <w:t>Kredytowe instrumenty pochodne (sprzedana ochrona) – księgowa wartość bilansowa</w:t>
            </w:r>
          </w:p>
          <w:p w:rsidR="00F4754B" w:rsidRPr="00AE79AC" w:rsidRDefault="00F4754B" w:rsidP="007E2A41">
            <w:pPr>
              <w:pStyle w:val="BodyText1"/>
              <w:spacing w:line="240" w:lineRule="auto"/>
              <w:rPr>
                <w:rFonts w:ascii="Times New Roman" w:hAnsi="Times New Roman"/>
                <w:bCs/>
              </w:rPr>
            </w:pPr>
          </w:p>
          <w:p w:rsidR="00F4754B" w:rsidRPr="00AE79AC" w:rsidRDefault="00F4754B" w:rsidP="007E2A41">
            <w:pPr>
              <w:pStyle w:val="BodyText1"/>
              <w:spacing w:line="240" w:lineRule="auto"/>
              <w:rPr>
                <w:rFonts w:ascii="Times New Roman" w:hAnsi="Times New Roman"/>
                <w:bCs/>
              </w:rPr>
            </w:pPr>
            <w:r w:rsidRPr="00AE79AC">
              <w:rPr>
                <w:rFonts w:ascii="Times New Roman" w:hAnsi="Times New Roman"/>
              </w:rPr>
              <w:t xml:space="preserve">Art. 4 ust. 1 </w:t>
            </w:r>
            <w:r w:rsidRPr="002341B6">
              <w:rPr>
                <w:rFonts w:ascii="Times New Roman" w:hAnsi="Times New Roman"/>
              </w:rPr>
              <w:t>pkt</w:t>
            </w:r>
            <w:r w:rsidR="002341B6" w:rsidRPr="002341B6">
              <w:rPr>
                <w:rFonts w:ascii="Times New Roman" w:hAnsi="Times New Roman"/>
              </w:rPr>
              <w:t> </w:t>
            </w:r>
            <w:r w:rsidRPr="002341B6">
              <w:rPr>
                <w:rFonts w:ascii="Times New Roman" w:hAnsi="Times New Roman"/>
              </w:rPr>
              <w:t>7</w:t>
            </w:r>
            <w:r w:rsidRPr="00AE79AC">
              <w:rPr>
                <w:rFonts w:ascii="Times New Roman" w:hAnsi="Times New Roman"/>
              </w:rPr>
              <w:t>7 CRR</w:t>
            </w:r>
          </w:p>
          <w:p w:rsidR="00F4754B" w:rsidRPr="00AE79AC" w:rsidRDefault="00F4754B" w:rsidP="007E2A41">
            <w:pPr>
              <w:pStyle w:val="BodyText1"/>
              <w:spacing w:line="240" w:lineRule="auto"/>
              <w:rPr>
                <w:rFonts w:ascii="Times New Roman" w:hAnsi="Times New Roman"/>
              </w:rPr>
            </w:pPr>
          </w:p>
          <w:p w:rsidR="00F4754B" w:rsidRPr="00AE79AC" w:rsidRDefault="00F4754B" w:rsidP="007E2A41">
            <w:pPr>
              <w:pStyle w:val="BodyText1"/>
              <w:spacing w:line="240" w:lineRule="auto"/>
              <w:rPr>
                <w:rFonts w:ascii="Times New Roman" w:hAnsi="Times New Roman"/>
                <w:bCs/>
              </w:rPr>
            </w:pPr>
            <w:r w:rsidRPr="00AE79AC">
              <w:rPr>
                <w:rFonts w:ascii="Times New Roman" w:hAnsi="Times New Roman"/>
              </w:rPr>
              <w:t>Księgowa wartość bilansowa zgodnie z mającymi zastosowanie standardami rachunkowości w odniesieniu do kredytowych instrumentów pochodnych, w przypadku których instytucja sprzedaje ochronę kredytową kontrahentowi, a umowę ujmuje się w bilansie jako składnik aktywów.</w:t>
            </w:r>
          </w:p>
          <w:p w:rsidR="00F4754B" w:rsidRPr="00AE79AC" w:rsidRDefault="00F4754B" w:rsidP="007E2A41">
            <w:pPr>
              <w:pStyle w:val="BodyText1"/>
              <w:spacing w:line="240" w:lineRule="auto"/>
              <w:rPr>
                <w:rFonts w:ascii="Times New Roman" w:hAnsi="Times New Roman"/>
                <w:b/>
                <w:bCs/>
                <w:u w:val="single"/>
              </w:rPr>
            </w:pPr>
          </w:p>
        </w:tc>
      </w:tr>
      <w:tr w:rsidR="00F4754B" w:rsidRPr="00AE79AC" w:rsidTr="00FC2664">
        <w:tc>
          <w:tcPr>
            <w:tcW w:w="1418" w:type="dxa"/>
          </w:tcPr>
          <w:p w:rsidR="00F4754B" w:rsidRPr="00AE79AC" w:rsidRDefault="00F4754B" w:rsidP="00F4754B">
            <w:pPr>
              <w:pStyle w:val="BodyText1"/>
              <w:rPr>
                <w:rFonts w:ascii="Times New Roman" w:hAnsi="Times New Roman"/>
                <w:bCs/>
              </w:rPr>
            </w:pPr>
            <w:r w:rsidRPr="00AE79AC">
              <w:rPr>
                <w:rFonts w:ascii="Times New Roman" w:hAnsi="Times New Roman"/>
              </w:rPr>
              <w:t>{020;020}</w:t>
            </w:r>
          </w:p>
        </w:tc>
        <w:tc>
          <w:tcPr>
            <w:tcW w:w="7620" w:type="dxa"/>
          </w:tcPr>
          <w:p w:rsidR="00F4754B" w:rsidRPr="00AE79AC" w:rsidRDefault="00F4754B" w:rsidP="007E2A41">
            <w:pPr>
              <w:pStyle w:val="BodyText1"/>
              <w:spacing w:line="240" w:lineRule="auto"/>
              <w:rPr>
                <w:rFonts w:ascii="Times New Roman" w:hAnsi="Times New Roman"/>
                <w:b/>
                <w:bCs/>
              </w:rPr>
            </w:pPr>
            <w:r w:rsidRPr="00AE79AC">
              <w:rPr>
                <w:rFonts w:ascii="Times New Roman" w:hAnsi="Times New Roman"/>
                <w:b/>
              </w:rPr>
              <w:t>Kredytowe instrumenty pochodne (sprzedana ochrona) – wartość księgowa przy założeniu niestosowania kompensat ani innego CRM</w:t>
            </w:r>
          </w:p>
          <w:p w:rsidR="00F4754B" w:rsidRPr="00AE79AC" w:rsidRDefault="00F4754B" w:rsidP="007E2A41">
            <w:pPr>
              <w:pStyle w:val="BodyText1"/>
              <w:spacing w:line="240" w:lineRule="auto"/>
              <w:rPr>
                <w:rFonts w:ascii="Times New Roman" w:hAnsi="Times New Roman"/>
                <w:bCs/>
              </w:rPr>
            </w:pPr>
          </w:p>
          <w:p w:rsidR="00F4754B" w:rsidRPr="00AE79AC" w:rsidRDefault="00F4754B" w:rsidP="007E2A41">
            <w:pPr>
              <w:pStyle w:val="BodyText1"/>
              <w:spacing w:line="240" w:lineRule="auto"/>
              <w:rPr>
                <w:rFonts w:ascii="Times New Roman" w:hAnsi="Times New Roman"/>
                <w:bCs/>
              </w:rPr>
            </w:pPr>
            <w:r w:rsidRPr="00AE79AC">
              <w:rPr>
                <w:rFonts w:ascii="Times New Roman" w:hAnsi="Times New Roman"/>
              </w:rPr>
              <w:t xml:space="preserve">Art. 4 ust. 1 </w:t>
            </w:r>
            <w:r w:rsidRPr="002341B6">
              <w:rPr>
                <w:rFonts w:ascii="Times New Roman" w:hAnsi="Times New Roman"/>
              </w:rPr>
              <w:t>pkt</w:t>
            </w:r>
            <w:r w:rsidR="002341B6" w:rsidRPr="002341B6">
              <w:rPr>
                <w:rFonts w:ascii="Times New Roman" w:hAnsi="Times New Roman"/>
              </w:rPr>
              <w:t> </w:t>
            </w:r>
            <w:r w:rsidRPr="002341B6">
              <w:rPr>
                <w:rFonts w:ascii="Times New Roman" w:hAnsi="Times New Roman"/>
              </w:rPr>
              <w:t>7</w:t>
            </w:r>
            <w:r w:rsidRPr="00AE79AC">
              <w:rPr>
                <w:rFonts w:ascii="Times New Roman" w:hAnsi="Times New Roman"/>
              </w:rPr>
              <w:t>7 CRR</w:t>
            </w:r>
          </w:p>
          <w:p w:rsidR="00F4754B" w:rsidRPr="00AE79AC" w:rsidRDefault="00F4754B" w:rsidP="007E2A41">
            <w:pPr>
              <w:pStyle w:val="BodyText1"/>
              <w:spacing w:line="240" w:lineRule="auto"/>
              <w:rPr>
                <w:rFonts w:ascii="Times New Roman" w:hAnsi="Times New Roman"/>
                <w:bCs/>
              </w:rPr>
            </w:pPr>
          </w:p>
          <w:p w:rsidR="00F4754B" w:rsidRPr="00AE79AC" w:rsidRDefault="00F4754B" w:rsidP="007E2A41">
            <w:pPr>
              <w:pStyle w:val="BodyText1"/>
              <w:spacing w:line="240" w:lineRule="auto"/>
              <w:rPr>
                <w:rFonts w:ascii="Times New Roman" w:hAnsi="Times New Roman"/>
                <w:bCs/>
              </w:rPr>
            </w:pPr>
            <w:r w:rsidRPr="00AE79AC">
              <w:rPr>
                <w:rFonts w:ascii="Times New Roman" w:hAnsi="Times New Roman"/>
              </w:rPr>
              <w:t>Księgowa wartość bilansowa zgodnie z mającymi zastosowanie standardami rachunkowości w odniesieniu do kredytowych instrumentów pochodnych, w przypadku gdy instytucja sprzedaje ochronę kredytową od kontrahenta, a umowę uznaje się jako składnik aktywów bilansowych przy założeniu niestosowania kompensat ostrożnościowych lub księgowych ani innych efektów CRM (tj. należy rozwiązać wszelkie kwoty wynikające z kompensat księgowych lub CRM, które miały wpływ na wartość księgową).</w:t>
            </w:r>
          </w:p>
          <w:p w:rsidR="00F4754B" w:rsidRPr="00AE79AC" w:rsidRDefault="00F4754B" w:rsidP="007E2A41">
            <w:pPr>
              <w:pStyle w:val="BodyText1"/>
              <w:spacing w:line="240" w:lineRule="auto"/>
              <w:rPr>
                <w:rFonts w:ascii="Times New Roman" w:hAnsi="Times New Roman"/>
                <w:b/>
                <w:bCs/>
                <w:u w:val="single"/>
              </w:rPr>
            </w:pPr>
          </w:p>
        </w:tc>
      </w:tr>
      <w:tr w:rsidR="00F4754B" w:rsidRPr="00AE79AC" w:rsidTr="00FC2664">
        <w:tc>
          <w:tcPr>
            <w:tcW w:w="1418" w:type="dxa"/>
          </w:tcPr>
          <w:p w:rsidR="00F4754B" w:rsidRPr="00AE79AC" w:rsidRDefault="00F4754B" w:rsidP="00F70A83">
            <w:pPr>
              <w:pStyle w:val="BodyText1"/>
              <w:rPr>
                <w:rFonts w:ascii="Times New Roman" w:hAnsi="Times New Roman"/>
                <w:bCs/>
              </w:rPr>
            </w:pPr>
            <w:r w:rsidRPr="00AE79AC">
              <w:rPr>
                <w:rFonts w:ascii="Times New Roman" w:hAnsi="Times New Roman"/>
              </w:rPr>
              <w:t>{020;050}</w:t>
            </w:r>
          </w:p>
        </w:tc>
        <w:tc>
          <w:tcPr>
            <w:tcW w:w="7620" w:type="dxa"/>
          </w:tcPr>
          <w:p w:rsidR="00F4754B" w:rsidRPr="00AE79AC" w:rsidRDefault="00F4754B" w:rsidP="007E2A41">
            <w:pPr>
              <w:pStyle w:val="BodyText1"/>
              <w:spacing w:line="240" w:lineRule="auto"/>
              <w:rPr>
                <w:rFonts w:ascii="Times New Roman" w:hAnsi="Times New Roman"/>
                <w:b/>
                <w:bCs/>
              </w:rPr>
            </w:pPr>
            <w:r w:rsidRPr="00AE79AC">
              <w:rPr>
                <w:rFonts w:ascii="Times New Roman" w:hAnsi="Times New Roman"/>
                <w:b/>
              </w:rPr>
              <w:t>Kredytowe instrumenty pochodne (sprzedana ochrona) – narzut obliczony metodą wyceny według wartości rynkowej (przy założeniu niestosowania kompensat ani innego CRM)</w:t>
            </w:r>
          </w:p>
          <w:p w:rsidR="00F4754B" w:rsidRPr="00AE79AC" w:rsidRDefault="00F4754B" w:rsidP="007E2A41">
            <w:pPr>
              <w:pStyle w:val="BodyText1"/>
              <w:spacing w:line="240" w:lineRule="auto"/>
              <w:rPr>
                <w:rFonts w:ascii="Times New Roman" w:hAnsi="Times New Roman"/>
                <w:b/>
                <w:bCs/>
              </w:rPr>
            </w:pPr>
          </w:p>
          <w:p w:rsidR="00F4754B" w:rsidRPr="00AE79AC" w:rsidRDefault="00F4754B" w:rsidP="007E2A41">
            <w:pPr>
              <w:pStyle w:val="BodyText1"/>
              <w:spacing w:line="240" w:lineRule="auto"/>
              <w:rPr>
                <w:rFonts w:ascii="Times New Roman" w:hAnsi="Times New Roman"/>
                <w:bCs/>
              </w:rPr>
            </w:pPr>
            <w:r w:rsidRPr="00AE79AC">
              <w:rPr>
                <w:rFonts w:ascii="Times New Roman" w:hAnsi="Times New Roman"/>
              </w:rPr>
              <w:t>Jest to suma komórek {030;050} i {040;050}.</w:t>
            </w:r>
          </w:p>
          <w:p w:rsidR="00F4754B" w:rsidRPr="00AE79AC" w:rsidRDefault="00F4754B" w:rsidP="007E2A41">
            <w:pPr>
              <w:pStyle w:val="BodyText1"/>
              <w:spacing w:line="240" w:lineRule="auto"/>
              <w:rPr>
                <w:rFonts w:ascii="Times New Roman" w:hAnsi="Times New Roman"/>
                <w:b/>
                <w:bCs/>
                <w:u w:val="single"/>
              </w:rPr>
            </w:pPr>
          </w:p>
        </w:tc>
      </w:tr>
      <w:tr w:rsidR="00F4754B" w:rsidRPr="00AE79AC" w:rsidTr="00FC2664">
        <w:tc>
          <w:tcPr>
            <w:tcW w:w="1418" w:type="dxa"/>
          </w:tcPr>
          <w:p w:rsidR="00F4754B" w:rsidRPr="00AE79AC" w:rsidRDefault="00F4754B" w:rsidP="00F70A83">
            <w:pPr>
              <w:pStyle w:val="BodyText1"/>
              <w:rPr>
                <w:rFonts w:ascii="Times New Roman" w:hAnsi="Times New Roman"/>
                <w:bCs/>
              </w:rPr>
            </w:pPr>
            <w:r w:rsidRPr="00AE79AC">
              <w:rPr>
                <w:rFonts w:ascii="Times New Roman" w:hAnsi="Times New Roman"/>
              </w:rPr>
              <w:t>{020;070}</w:t>
            </w:r>
          </w:p>
        </w:tc>
        <w:tc>
          <w:tcPr>
            <w:tcW w:w="7620" w:type="dxa"/>
          </w:tcPr>
          <w:p w:rsidR="00F4754B" w:rsidRPr="00AE79AC" w:rsidRDefault="00F4754B" w:rsidP="007E2A41">
            <w:pPr>
              <w:pStyle w:val="BodyText1"/>
              <w:spacing w:line="240" w:lineRule="auto"/>
              <w:rPr>
                <w:rFonts w:ascii="Times New Roman" w:hAnsi="Times New Roman"/>
                <w:b/>
                <w:bCs/>
              </w:rPr>
            </w:pPr>
            <w:r w:rsidRPr="00AE79AC">
              <w:rPr>
                <w:rFonts w:ascii="Times New Roman" w:hAnsi="Times New Roman"/>
                <w:b/>
              </w:rPr>
              <w:t>Kredytowe instrumenty pochodne (sprzedana ochrona) – kwota nominalna</w:t>
            </w:r>
          </w:p>
          <w:p w:rsidR="00F4754B" w:rsidRPr="00AE79AC" w:rsidRDefault="00F4754B" w:rsidP="007E2A41">
            <w:pPr>
              <w:pStyle w:val="BodyText1"/>
              <w:spacing w:line="240" w:lineRule="auto"/>
              <w:rPr>
                <w:rFonts w:ascii="Times New Roman" w:hAnsi="Times New Roman"/>
                <w:bCs/>
              </w:rPr>
            </w:pPr>
          </w:p>
          <w:p w:rsidR="00F4754B" w:rsidRPr="00AE79AC" w:rsidRDefault="00F4754B" w:rsidP="007E2A41">
            <w:pPr>
              <w:pStyle w:val="BodyText1"/>
              <w:spacing w:line="240" w:lineRule="auto"/>
              <w:rPr>
                <w:rFonts w:ascii="Times New Roman" w:hAnsi="Times New Roman"/>
                <w:bCs/>
              </w:rPr>
            </w:pPr>
            <w:r w:rsidRPr="00AE79AC">
              <w:rPr>
                <w:rFonts w:ascii="Times New Roman" w:hAnsi="Times New Roman"/>
              </w:rPr>
              <w:t>Jest to suma komórek {030;070} i {040;070}.</w:t>
            </w:r>
          </w:p>
          <w:p w:rsidR="00F4754B" w:rsidRPr="00AE79AC" w:rsidRDefault="00F4754B" w:rsidP="007E2A41">
            <w:pPr>
              <w:pStyle w:val="BodyText1"/>
              <w:spacing w:line="240" w:lineRule="auto"/>
              <w:rPr>
                <w:rFonts w:ascii="Times New Roman" w:hAnsi="Times New Roman"/>
                <w:b/>
                <w:bCs/>
                <w:u w:val="single"/>
              </w:rPr>
            </w:pPr>
          </w:p>
        </w:tc>
      </w:tr>
      <w:tr w:rsidR="00410E47" w:rsidRPr="00AE79AC" w:rsidTr="00FC2664">
        <w:tc>
          <w:tcPr>
            <w:tcW w:w="1418" w:type="dxa"/>
          </w:tcPr>
          <w:p w:rsidR="00410E47" w:rsidRPr="00AE79AC" w:rsidRDefault="00410E47" w:rsidP="00F71081">
            <w:pPr>
              <w:pStyle w:val="BodyText1"/>
              <w:rPr>
                <w:rFonts w:ascii="Times New Roman" w:hAnsi="Times New Roman"/>
                <w:bCs/>
              </w:rPr>
            </w:pPr>
            <w:r w:rsidRPr="00AE79AC">
              <w:rPr>
                <w:rFonts w:ascii="Times New Roman" w:hAnsi="Times New Roman"/>
              </w:rPr>
              <w:t>{020;075}</w:t>
            </w:r>
          </w:p>
        </w:tc>
        <w:tc>
          <w:tcPr>
            <w:tcW w:w="7620" w:type="dxa"/>
          </w:tcPr>
          <w:p w:rsidR="00410E47" w:rsidRPr="00AE79AC" w:rsidRDefault="00410E47" w:rsidP="006B5E42">
            <w:pPr>
              <w:pStyle w:val="BodyText1"/>
              <w:spacing w:line="240" w:lineRule="auto"/>
              <w:rPr>
                <w:rFonts w:ascii="Times New Roman" w:hAnsi="Times New Roman"/>
                <w:b/>
                <w:bCs/>
              </w:rPr>
            </w:pPr>
            <w:r w:rsidRPr="00AE79AC">
              <w:rPr>
                <w:rFonts w:ascii="Times New Roman" w:hAnsi="Times New Roman"/>
                <w:b/>
              </w:rPr>
              <w:t>Kredytowe instrumenty pochodne (sprzedana ochrona) – kwota nominalna po zastosowaniu wyłączeń i odliczeń</w:t>
            </w:r>
          </w:p>
          <w:p w:rsidR="00410E47" w:rsidRPr="00AE79AC" w:rsidRDefault="00410E47" w:rsidP="006B5E42">
            <w:pPr>
              <w:pStyle w:val="BodyText1"/>
              <w:spacing w:line="240" w:lineRule="auto"/>
              <w:rPr>
                <w:rFonts w:ascii="Times New Roman" w:hAnsi="Times New Roman"/>
                <w:bCs/>
              </w:rPr>
            </w:pPr>
          </w:p>
          <w:p w:rsidR="00410E47" w:rsidRPr="00AE79AC" w:rsidRDefault="00410E47" w:rsidP="006B5E42">
            <w:pPr>
              <w:pStyle w:val="BodyText1"/>
              <w:spacing w:line="240" w:lineRule="auto"/>
              <w:rPr>
                <w:rFonts w:ascii="Times New Roman" w:hAnsi="Times New Roman"/>
                <w:bCs/>
              </w:rPr>
            </w:pPr>
            <w:r w:rsidRPr="00AE79AC">
              <w:rPr>
                <w:rFonts w:ascii="Times New Roman" w:hAnsi="Times New Roman"/>
              </w:rPr>
              <w:t>W tej komórce podaje się kwotę nominalną kredytowych instrumentów pochodnych (sprzedana ochrona) jak w komórce {020; 070} po zmniejszeniu o wszelkie ujemne zmiany wartości godziwej, które wprowadzono do kapitału Tier I w odniesieniu do wystawionego kredytowego instrumentu pochodnego.</w:t>
            </w:r>
          </w:p>
          <w:p w:rsidR="00410E47" w:rsidRPr="00AE79AC" w:rsidRDefault="00410E47" w:rsidP="006B5E42">
            <w:pPr>
              <w:pStyle w:val="BodyText1"/>
              <w:spacing w:line="240" w:lineRule="auto"/>
              <w:rPr>
                <w:rFonts w:ascii="Times New Roman" w:hAnsi="Times New Roman"/>
                <w:b/>
                <w:bCs/>
                <w:u w:val="single"/>
              </w:rPr>
            </w:pPr>
          </w:p>
        </w:tc>
      </w:tr>
      <w:tr w:rsidR="00410E47" w:rsidRPr="00AE79AC" w:rsidTr="00FC2664">
        <w:tc>
          <w:tcPr>
            <w:tcW w:w="1418" w:type="dxa"/>
          </w:tcPr>
          <w:p w:rsidR="00410E47" w:rsidRPr="00AE79AC" w:rsidRDefault="00410E47" w:rsidP="00F70A83">
            <w:pPr>
              <w:pStyle w:val="BodyText1"/>
              <w:rPr>
                <w:rFonts w:ascii="Times New Roman" w:hAnsi="Times New Roman"/>
                <w:bCs/>
              </w:rPr>
            </w:pPr>
            <w:r w:rsidRPr="00AE79AC">
              <w:rPr>
                <w:rFonts w:ascii="Times New Roman" w:hAnsi="Times New Roman"/>
              </w:rPr>
              <w:t>{030;050}</w:t>
            </w:r>
          </w:p>
        </w:tc>
        <w:tc>
          <w:tcPr>
            <w:tcW w:w="7620" w:type="dxa"/>
          </w:tcPr>
          <w:p w:rsidR="00410E47" w:rsidRPr="00AE79AC" w:rsidRDefault="00410E47" w:rsidP="007E2A41">
            <w:pPr>
              <w:pStyle w:val="BodyText1"/>
              <w:spacing w:line="240" w:lineRule="auto"/>
              <w:rPr>
                <w:rFonts w:ascii="Times New Roman" w:hAnsi="Times New Roman"/>
                <w:b/>
                <w:bCs/>
              </w:rPr>
            </w:pPr>
            <w:r w:rsidRPr="00AE79AC">
              <w:rPr>
                <w:rFonts w:ascii="Times New Roman" w:hAnsi="Times New Roman"/>
                <w:b/>
              </w:rPr>
              <w:t>Kredytowe instrumenty pochodne (sprzedana ochrona), które podlegają klauzuli likwidacji – narzut obliczony metodą wyceny według wartości rynkowej (przy założeniu niestosowania kompensat ani innego CRM)</w:t>
            </w:r>
          </w:p>
          <w:p w:rsidR="00410E47" w:rsidRPr="00AE79AC" w:rsidRDefault="00410E47" w:rsidP="00406605">
            <w:pPr>
              <w:pStyle w:val="BodyText1"/>
              <w:spacing w:line="240" w:lineRule="auto"/>
              <w:jc w:val="center"/>
              <w:rPr>
                <w:rFonts w:ascii="Times New Roman" w:hAnsi="Times New Roman"/>
                <w:b/>
                <w:bCs/>
              </w:rPr>
            </w:pPr>
          </w:p>
          <w:p w:rsidR="00410E47" w:rsidRPr="00AE79AC" w:rsidRDefault="00410E47" w:rsidP="007E2A41">
            <w:pPr>
              <w:pStyle w:val="BodyText1"/>
              <w:spacing w:line="240" w:lineRule="auto"/>
              <w:rPr>
                <w:rFonts w:ascii="Times New Roman" w:hAnsi="Times New Roman"/>
                <w:bCs/>
              </w:rPr>
            </w:pPr>
            <w:r w:rsidRPr="00AE79AC">
              <w:rPr>
                <w:rFonts w:ascii="Times New Roman" w:hAnsi="Times New Roman"/>
              </w:rPr>
              <w:t xml:space="preserve">Art. 299 </w:t>
            </w:r>
            <w:r w:rsidRPr="002341B6">
              <w:rPr>
                <w:rFonts w:ascii="Times New Roman" w:hAnsi="Times New Roman"/>
              </w:rPr>
              <w:t>ust.</w:t>
            </w:r>
            <w:r w:rsidR="002341B6" w:rsidRPr="002341B6">
              <w:rPr>
                <w:rFonts w:ascii="Times New Roman" w:hAnsi="Times New Roman"/>
              </w:rPr>
              <w:t> </w:t>
            </w:r>
            <w:r w:rsidRPr="002341B6">
              <w:rPr>
                <w:rFonts w:ascii="Times New Roman" w:hAnsi="Times New Roman"/>
              </w:rPr>
              <w:t>2</w:t>
            </w:r>
            <w:r w:rsidRPr="00AE79AC">
              <w:rPr>
                <w:rFonts w:ascii="Times New Roman" w:hAnsi="Times New Roman"/>
              </w:rPr>
              <w:t xml:space="preserve"> CRR</w:t>
            </w:r>
          </w:p>
          <w:p w:rsidR="00410E47" w:rsidRPr="00AE79AC" w:rsidRDefault="00410E47" w:rsidP="007E2A41">
            <w:pPr>
              <w:pStyle w:val="BodyText1"/>
              <w:spacing w:line="240" w:lineRule="auto"/>
              <w:rPr>
                <w:rFonts w:ascii="Times New Roman" w:hAnsi="Times New Roman"/>
                <w:b/>
                <w:bCs/>
              </w:rPr>
            </w:pPr>
          </w:p>
          <w:p w:rsidR="00410E47" w:rsidRPr="00AE79AC" w:rsidRDefault="00410E47" w:rsidP="007E2A41">
            <w:pPr>
              <w:pStyle w:val="BodyText1"/>
              <w:spacing w:line="240" w:lineRule="auto"/>
              <w:rPr>
                <w:rFonts w:ascii="Times New Roman" w:hAnsi="Times New Roman"/>
                <w:bCs/>
              </w:rPr>
            </w:pPr>
            <w:r w:rsidRPr="00AE79AC">
              <w:rPr>
                <w:rFonts w:ascii="Times New Roman" w:hAnsi="Times New Roman"/>
              </w:rPr>
              <w:t>W tej komórce podaje się potencjalną przyszłą ekspozycję w przypadku kredytowych instrumentów pochodnych, gdy instytucja sprzedaje ochronę kredytową kontrahentowi podlegającemu klauzuli likwidacji, przy założeniu niestosowania kompensat ani innego CRM. Instytucje nie uwzględniają w tej komórce narzutu z tytułu kredytowych instrumentów pochodnych, w przypadku gdy instytucja sprzedaje ochronę kredytową kontrahentowi niepodlegającemu klauzuli likwidacji. Narzut ten instytucje uwzględniają natomiast w komórce {LR1;040;050}.</w:t>
            </w:r>
          </w:p>
          <w:p w:rsidR="00994DCE" w:rsidRPr="00AE79AC" w:rsidRDefault="00994DCE" w:rsidP="007E2A41">
            <w:pPr>
              <w:pStyle w:val="BodyText1"/>
              <w:spacing w:line="240" w:lineRule="auto"/>
              <w:rPr>
                <w:rFonts w:ascii="Times New Roman" w:hAnsi="Times New Roman"/>
                <w:bCs/>
              </w:rPr>
            </w:pPr>
          </w:p>
          <w:p w:rsidR="00410E47" w:rsidRPr="00AE79AC" w:rsidRDefault="00410E47" w:rsidP="007E2A41">
            <w:pPr>
              <w:pStyle w:val="BodyText1"/>
              <w:spacing w:line="240" w:lineRule="auto"/>
              <w:rPr>
                <w:rFonts w:ascii="Times New Roman" w:hAnsi="Times New Roman"/>
                <w:bCs/>
              </w:rPr>
            </w:pPr>
            <w:r w:rsidRPr="00AE79AC">
              <w:rPr>
                <w:rFonts w:ascii="Times New Roman" w:hAnsi="Times New Roman"/>
              </w:rPr>
              <w:t>Klauzulę likwidacji definiuje się jako klauzulę dającą stronie wypełniającej zobowiązania prawo do szybkiego zakończenia i rozliczenia wszystkich transakcji objętych umową, w</w:t>
            </w:r>
            <w:r w:rsidR="00552B55">
              <w:rPr>
                <w:rFonts w:ascii="Times New Roman" w:hAnsi="Times New Roman"/>
              </w:rPr>
              <w:t> </w:t>
            </w:r>
            <w:r w:rsidRPr="00AE79AC">
              <w:rPr>
                <w:rFonts w:ascii="Times New Roman" w:hAnsi="Times New Roman"/>
              </w:rPr>
              <w:t>przypadku gdy kontrahent nie wywiązuje się ze swoich zobowiązań, jak również w</w:t>
            </w:r>
            <w:r w:rsidR="00552B55">
              <w:rPr>
                <w:rFonts w:ascii="Times New Roman" w:hAnsi="Times New Roman"/>
              </w:rPr>
              <w:t> </w:t>
            </w:r>
            <w:r w:rsidRPr="00AE79AC">
              <w:rPr>
                <w:rFonts w:ascii="Times New Roman" w:hAnsi="Times New Roman"/>
              </w:rPr>
              <w:t>przypadku jego bankructwa lub niewypłacalności.</w:t>
            </w:r>
          </w:p>
          <w:p w:rsidR="00410E47" w:rsidRPr="00AE79AC" w:rsidRDefault="00410E47" w:rsidP="007E2A41">
            <w:pPr>
              <w:pStyle w:val="BodyText1"/>
              <w:spacing w:line="240" w:lineRule="auto"/>
              <w:rPr>
                <w:rFonts w:ascii="Times New Roman" w:hAnsi="Times New Roman"/>
                <w:bCs/>
              </w:rPr>
            </w:pPr>
          </w:p>
          <w:p w:rsidR="00410E47" w:rsidRPr="00AE79AC" w:rsidRDefault="00410E47" w:rsidP="007E2A41">
            <w:pPr>
              <w:pStyle w:val="BodyText1"/>
              <w:spacing w:line="240" w:lineRule="auto"/>
              <w:rPr>
                <w:rFonts w:ascii="Times New Roman" w:hAnsi="Times New Roman"/>
                <w:bCs/>
              </w:rPr>
            </w:pPr>
            <w:r w:rsidRPr="00AE79AC">
              <w:rPr>
                <w:rFonts w:ascii="Times New Roman" w:hAnsi="Times New Roman"/>
              </w:rPr>
              <w:t xml:space="preserve">Instytucje biorą pod uwagę wszystkie kredytowe instrumenty pochodne, nie tylko te przypisane do portfela handlowego. </w:t>
            </w:r>
          </w:p>
          <w:p w:rsidR="00410E47" w:rsidRPr="00AE79AC" w:rsidRDefault="00410E47" w:rsidP="007E2A41">
            <w:pPr>
              <w:pStyle w:val="BodyText1"/>
              <w:spacing w:line="240" w:lineRule="auto"/>
              <w:rPr>
                <w:rFonts w:ascii="Times New Roman" w:hAnsi="Times New Roman"/>
                <w:b/>
                <w:bCs/>
                <w:u w:val="single"/>
              </w:rPr>
            </w:pPr>
          </w:p>
        </w:tc>
      </w:tr>
      <w:tr w:rsidR="00410E47" w:rsidRPr="00AE79AC" w:rsidTr="00FC2664">
        <w:tc>
          <w:tcPr>
            <w:tcW w:w="1418" w:type="dxa"/>
          </w:tcPr>
          <w:p w:rsidR="00410E47" w:rsidRPr="00AE79AC" w:rsidRDefault="00410E47" w:rsidP="00F71081">
            <w:pPr>
              <w:pStyle w:val="BodyText1"/>
              <w:rPr>
                <w:rFonts w:ascii="Times New Roman" w:hAnsi="Times New Roman"/>
                <w:bCs/>
              </w:rPr>
            </w:pPr>
            <w:r w:rsidRPr="00AE79AC">
              <w:rPr>
                <w:rFonts w:ascii="Times New Roman" w:hAnsi="Times New Roman"/>
              </w:rPr>
              <w:t>{030;070}</w:t>
            </w:r>
          </w:p>
        </w:tc>
        <w:tc>
          <w:tcPr>
            <w:tcW w:w="7620" w:type="dxa"/>
          </w:tcPr>
          <w:p w:rsidR="00410E47" w:rsidRPr="00AE79AC" w:rsidRDefault="00410E47" w:rsidP="007E2A41">
            <w:pPr>
              <w:pStyle w:val="BodyText1"/>
              <w:spacing w:line="240" w:lineRule="auto"/>
              <w:rPr>
                <w:rFonts w:ascii="Times New Roman" w:hAnsi="Times New Roman"/>
                <w:b/>
                <w:bCs/>
              </w:rPr>
            </w:pPr>
            <w:r w:rsidRPr="00AE79AC">
              <w:rPr>
                <w:rFonts w:ascii="Times New Roman" w:hAnsi="Times New Roman"/>
                <w:b/>
              </w:rPr>
              <w:t>Kredytowe instrumenty pochodne (sprzedana ochrona), które nie podlegają klauzuli likwidacji — kwota nominalna</w:t>
            </w:r>
          </w:p>
          <w:p w:rsidR="00410E47" w:rsidRPr="00AE79AC" w:rsidRDefault="00410E47" w:rsidP="007E2A41">
            <w:pPr>
              <w:pStyle w:val="BodyText1"/>
              <w:spacing w:line="240" w:lineRule="auto"/>
              <w:rPr>
                <w:rFonts w:ascii="Times New Roman" w:hAnsi="Times New Roman"/>
                <w:b/>
                <w:bCs/>
              </w:rPr>
            </w:pPr>
          </w:p>
          <w:p w:rsidR="00410E47" w:rsidRPr="00AE79AC" w:rsidRDefault="00410E47" w:rsidP="007E2A41">
            <w:pPr>
              <w:pStyle w:val="BodyText1"/>
              <w:spacing w:line="240" w:lineRule="auto"/>
              <w:rPr>
                <w:rFonts w:ascii="Times New Roman" w:hAnsi="Times New Roman"/>
                <w:bCs/>
              </w:rPr>
            </w:pPr>
            <w:r w:rsidRPr="00AE79AC">
              <w:rPr>
                <w:rFonts w:ascii="Times New Roman" w:hAnsi="Times New Roman"/>
              </w:rPr>
              <w:t>W tej komórce podaje się kwotę nominalną kredytowych instrumentów pochodnych, w</w:t>
            </w:r>
            <w:r w:rsidR="00552B55">
              <w:rPr>
                <w:rFonts w:ascii="Times New Roman" w:hAnsi="Times New Roman"/>
              </w:rPr>
              <w:t> </w:t>
            </w:r>
            <w:r w:rsidRPr="00AE79AC">
              <w:rPr>
                <w:rFonts w:ascii="Times New Roman" w:hAnsi="Times New Roman"/>
              </w:rPr>
              <w:t xml:space="preserve">przypadku gdy instytucja sprzedaje ochronę kredytową kontrahentowi podlegającemu klauzuli likwidacji. </w:t>
            </w:r>
          </w:p>
          <w:p w:rsidR="00410E47" w:rsidRPr="00AE79AC" w:rsidRDefault="00410E47" w:rsidP="007E2A41">
            <w:pPr>
              <w:pStyle w:val="BodyText1"/>
              <w:spacing w:line="240" w:lineRule="auto"/>
              <w:rPr>
                <w:rFonts w:ascii="Times New Roman" w:hAnsi="Times New Roman"/>
                <w:bCs/>
              </w:rPr>
            </w:pPr>
          </w:p>
          <w:p w:rsidR="00410E47" w:rsidRPr="00AE79AC" w:rsidRDefault="00410E47" w:rsidP="007E2A41">
            <w:pPr>
              <w:pStyle w:val="BodyText1"/>
              <w:spacing w:line="240" w:lineRule="auto"/>
              <w:rPr>
                <w:rFonts w:ascii="Times New Roman" w:hAnsi="Times New Roman"/>
              </w:rPr>
            </w:pPr>
            <w:r w:rsidRPr="00AE79AC">
              <w:rPr>
                <w:rFonts w:ascii="Times New Roman" w:hAnsi="Times New Roman"/>
              </w:rPr>
              <w:t>Klauzulę likwidacji definiuje się jako klauzulę dającą stronie wypełniającej zobowiązania prawo do szybkiego zakończenia i rozliczenia wszystkich transakcji objętych umową, w</w:t>
            </w:r>
            <w:r w:rsidR="00552B55">
              <w:rPr>
                <w:rFonts w:ascii="Times New Roman" w:hAnsi="Times New Roman"/>
              </w:rPr>
              <w:t> </w:t>
            </w:r>
            <w:r w:rsidRPr="00AE79AC">
              <w:rPr>
                <w:rFonts w:ascii="Times New Roman" w:hAnsi="Times New Roman"/>
              </w:rPr>
              <w:t>przypadku gdy kontrahent nie wywiązuje się ze swoich zobowiązań, jak również w</w:t>
            </w:r>
            <w:r w:rsidR="00552B55">
              <w:rPr>
                <w:rFonts w:ascii="Times New Roman" w:hAnsi="Times New Roman"/>
              </w:rPr>
              <w:t> </w:t>
            </w:r>
            <w:r w:rsidRPr="00AE79AC">
              <w:rPr>
                <w:rFonts w:ascii="Times New Roman" w:hAnsi="Times New Roman"/>
              </w:rPr>
              <w:t>przypadku jego bankructwa lub niewypłacalności.</w:t>
            </w:r>
          </w:p>
          <w:p w:rsidR="00410E47" w:rsidRPr="00AE79AC" w:rsidRDefault="00410E47" w:rsidP="007E2A41">
            <w:pPr>
              <w:pStyle w:val="BodyText1"/>
              <w:spacing w:line="240" w:lineRule="auto"/>
              <w:rPr>
                <w:rFonts w:ascii="Times New Roman" w:hAnsi="Times New Roman"/>
                <w:bCs/>
              </w:rPr>
            </w:pPr>
          </w:p>
          <w:p w:rsidR="00410E47" w:rsidRPr="00AE79AC" w:rsidRDefault="00410E47" w:rsidP="007E2A41">
            <w:pPr>
              <w:pStyle w:val="BodyText1"/>
              <w:spacing w:line="240" w:lineRule="auto"/>
              <w:rPr>
                <w:rFonts w:ascii="Times New Roman" w:hAnsi="Times New Roman"/>
                <w:bCs/>
              </w:rPr>
            </w:pPr>
            <w:r w:rsidRPr="00AE79AC">
              <w:rPr>
                <w:rFonts w:ascii="Times New Roman" w:hAnsi="Times New Roman"/>
              </w:rPr>
              <w:t xml:space="preserve">Instytucje biorą pod uwagę wszystkie kredytowe instrumenty pochodne, nie tylko te przypisane do portfela handlowego. </w:t>
            </w:r>
          </w:p>
          <w:p w:rsidR="00410E47" w:rsidRPr="00AE79AC" w:rsidRDefault="00410E47" w:rsidP="007E2A41">
            <w:pPr>
              <w:pStyle w:val="BodyText1"/>
              <w:spacing w:line="240" w:lineRule="auto"/>
              <w:rPr>
                <w:rFonts w:ascii="Times New Roman" w:hAnsi="Times New Roman"/>
                <w:b/>
                <w:bCs/>
                <w:u w:val="single"/>
              </w:rPr>
            </w:pPr>
          </w:p>
        </w:tc>
      </w:tr>
      <w:tr w:rsidR="00410E47" w:rsidRPr="00AE79AC" w:rsidTr="00FC2664">
        <w:tc>
          <w:tcPr>
            <w:tcW w:w="1418" w:type="dxa"/>
          </w:tcPr>
          <w:p w:rsidR="00410E47" w:rsidRPr="00AE79AC" w:rsidRDefault="00410E47" w:rsidP="00F4754B">
            <w:pPr>
              <w:pStyle w:val="BodyText1"/>
              <w:rPr>
                <w:rFonts w:ascii="Times New Roman" w:hAnsi="Times New Roman"/>
                <w:bCs/>
              </w:rPr>
            </w:pPr>
            <w:r w:rsidRPr="00AE79AC">
              <w:rPr>
                <w:rFonts w:ascii="Times New Roman" w:hAnsi="Times New Roman"/>
              </w:rPr>
              <w:t>{040;050}</w:t>
            </w:r>
          </w:p>
          <w:p w:rsidR="00410E47" w:rsidRPr="00AE79AC" w:rsidRDefault="00410E47" w:rsidP="00F4754B">
            <w:pPr>
              <w:pStyle w:val="BodyText1"/>
              <w:rPr>
                <w:rFonts w:ascii="Times New Roman" w:hAnsi="Times New Roman"/>
                <w:bCs/>
              </w:rPr>
            </w:pPr>
          </w:p>
        </w:tc>
        <w:tc>
          <w:tcPr>
            <w:tcW w:w="7620" w:type="dxa"/>
          </w:tcPr>
          <w:p w:rsidR="00410E47" w:rsidRPr="00AE79AC" w:rsidRDefault="00410E47" w:rsidP="007E2A41">
            <w:pPr>
              <w:pStyle w:val="BodyText1"/>
              <w:spacing w:line="240" w:lineRule="auto"/>
              <w:rPr>
                <w:rFonts w:ascii="Times New Roman" w:hAnsi="Times New Roman"/>
                <w:b/>
                <w:bCs/>
              </w:rPr>
            </w:pPr>
            <w:r w:rsidRPr="00AE79AC">
              <w:rPr>
                <w:rFonts w:ascii="Times New Roman" w:hAnsi="Times New Roman"/>
                <w:b/>
              </w:rPr>
              <w:t>Kredytowe instrumenty pochodne (sprzedana ochrona), które nie podlegają klauzuli likwidacji – narzut obliczony metodą wyceny według wartości rynkowej (przy założeniu niestosowania kompensat ani innego CRM)</w:t>
            </w:r>
          </w:p>
          <w:p w:rsidR="00410E47" w:rsidRPr="00AE79AC" w:rsidRDefault="00410E47" w:rsidP="007E2A41">
            <w:pPr>
              <w:pStyle w:val="BodyText1"/>
              <w:spacing w:line="240" w:lineRule="auto"/>
              <w:rPr>
                <w:rFonts w:ascii="Times New Roman" w:hAnsi="Times New Roman"/>
                <w:b/>
                <w:bCs/>
              </w:rPr>
            </w:pPr>
          </w:p>
          <w:p w:rsidR="00410E47" w:rsidRPr="00AE79AC" w:rsidRDefault="00410E47" w:rsidP="007E2A41">
            <w:pPr>
              <w:pStyle w:val="BodyText1"/>
              <w:spacing w:line="240" w:lineRule="auto"/>
              <w:rPr>
                <w:rFonts w:ascii="Times New Roman" w:hAnsi="Times New Roman"/>
                <w:bCs/>
              </w:rPr>
            </w:pPr>
            <w:r w:rsidRPr="00AE79AC">
              <w:rPr>
                <w:rFonts w:ascii="Times New Roman" w:hAnsi="Times New Roman"/>
              </w:rPr>
              <w:t xml:space="preserve">Art. 299 </w:t>
            </w:r>
            <w:r w:rsidRPr="002341B6">
              <w:rPr>
                <w:rFonts w:ascii="Times New Roman" w:hAnsi="Times New Roman"/>
              </w:rPr>
              <w:t>ust.</w:t>
            </w:r>
            <w:r w:rsidR="002341B6" w:rsidRPr="002341B6">
              <w:rPr>
                <w:rFonts w:ascii="Times New Roman" w:hAnsi="Times New Roman"/>
              </w:rPr>
              <w:t> </w:t>
            </w:r>
            <w:r w:rsidRPr="002341B6">
              <w:rPr>
                <w:rFonts w:ascii="Times New Roman" w:hAnsi="Times New Roman"/>
              </w:rPr>
              <w:t>2</w:t>
            </w:r>
            <w:r w:rsidRPr="00AE79AC">
              <w:rPr>
                <w:rFonts w:ascii="Times New Roman" w:hAnsi="Times New Roman"/>
              </w:rPr>
              <w:t xml:space="preserve"> CRR</w:t>
            </w:r>
          </w:p>
          <w:p w:rsidR="00410E47" w:rsidRPr="00AE79AC" w:rsidRDefault="00410E47" w:rsidP="007E2A41">
            <w:pPr>
              <w:pStyle w:val="BodyText1"/>
              <w:spacing w:line="240" w:lineRule="auto"/>
              <w:rPr>
                <w:rFonts w:ascii="Times New Roman" w:hAnsi="Times New Roman"/>
                <w:b/>
                <w:bCs/>
              </w:rPr>
            </w:pPr>
          </w:p>
          <w:p w:rsidR="00410E47" w:rsidRPr="00AE79AC" w:rsidRDefault="00410E47" w:rsidP="007E2A41">
            <w:pPr>
              <w:pStyle w:val="BodyText1"/>
              <w:tabs>
                <w:tab w:val="center" w:pos="4153"/>
                <w:tab w:val="right" w:pos="8306"/>
              </w:tabs>
              <w:spacing w:line="240" w:lineRule="auto"/>
              <w:rPr>
                <w:rFonts w:ascii="Times New Roman" w:hAnsi="Times New Roman"/>
                <w:bCs/>
              </w:rPr>
            </w:pPr>
            <w:r w:rsidRPr="00AE79AC">
              <w:rPr>
                <w:rFonts w:ascii="Times New Roman" w:hAnsi="Times New Roman"/>
              </w:rPr>
              <w:t xml:space="preserve">W tej komórce podaje się potencjalną przyszłą ekspozycję w przypadku kredytowych instrumentów pochodnych, gdy instytucja sprzedaje ochronę kredytową kontrahentowi, który </w:t>
            </w:r>
            <w:r w:rsidRPr="00AE79AC">
              <w:rPr>
                <w:rFonts w:ascii="Times New Roman" w:hAnsi="Times New Roman"/>
                <w:b/>
                <w:u w:val="single"/>
              </w:rPr>
              <w:t>nie</w:t>
            </w:r>
            <w:r w:rsidRPr="00AE79AC">
              <w:rPr>
                <w:rFonts w:ascii="Times New Roman" w:hAnsi="Times New Roman"/>
              </w:rPr>
              <w:t xml:space="preserve"> podlega klauzuli likwidacji, przy założeniu niestosowania kompensacji ani innego CRM.</w:t>
            </w:r>
          </w:p>
          <w:p w:rsidR="00410E47" w:rsidRPr="00AE79AC" w:rsidRDefault="00410E47" w:rsidP="007E2A41">
            <w:pPr>
              <w:pStyle w:val="BodyText1"/>
              <w:spacing w:line="240" w:lineRule="auto"/>
              <w:rPr>
                <w:rFonts w:ascii="Times New Roman" w:hAnsi="Times New Roman"/>
                <w:bCs/>
              </w:rPr>
            </w:pPr>
          </w:p>
          <w:p w:rsidR="00410E47" w:rsidRPr="00AE79AC" w:rsidRDefault="00410E47" w:rsidP="007E2A41">
            <w:pPr>
              <w:pStyle w:val="BodyText1"/>
              <w:spacing w:line="240" w:lineRule="auto"/>
              <w:rPr>
                <w:rFonts w:ascii="Times New Roman" w:hAnsi="Times New Roman"/>
              </w:rPr>
            </w:pPr>
            <w:r w:rsidRPr="00AE79AC">
              <w:rPr>
                <w:rFonts w:ascii="Times New Roman" w:hAnsi="Times New Roman"/>
              </w:rPr>
              <w:t>Klauzulę likwidacji definiuje się jako klauzulę dającą stronie wypełniającej zobowiązania prawo do szybkiego zakończenia i rozliczenia wszystkich transakcji objętych umową, w</w:t>
            </w:r>
            <w:r w:rsidR="00552B55">
              <w:rPr>
                <w:rFonts w:ascii="Times New Roman" w:hAnsi="Times New Roman"/>
              </w:rPr>
              <w:t> </w:t>
            </w:r>
            <w:r w:rsidRPr="00AE79AC">
              <w:rPr>
                <w:rFonts w:ascii="Times New Roman" w:hAnsi="Times New Roman"/>
              </w:rPr>
              <w:t>przypadku gdy kontrahent nie wywiązuje się ze swoich zobowiązań, jak również w</w:t>
            </w:r>
            <w:r w:rsidR="00552B55">
              <w:rPr>
                <w:rFonts w:ascii="Times New Roman" w:hAnsi="Times New Roman"/>
              </w:rPr>
              <w:t> </w:t>
            </w:r>
            <w:r w:rsidRPr="00AE79AC">
              <w:rPr>
                <w:rFonts w:ascii="Times New Roman" w:hAnsi="Times New Roman"/>
              </w:rPr>
              <w:t>przypadku jego bankructwa lub niewypłacalności.</w:t>
            </w:r>
          </w:p>
          <w:p w:rsidR="00410E47" w:rsidRPr="00AE79AC" w:rsidRDefault="00410E47" w:rsidP="007E2A41">
            <w:pPr>
              <w:pStyle w:val="BodyText1"/>
              <w:spacing w:line="240" w:lineRule="auto"/>
              <w:rPr>
                <w:rFonts w:ascii="Times New Roman" w:hAnsi="Times New Roman"/>
                <w:b/>
                <w:bCs/>
              </w:rPr>
            </w:pPr>
          </w:p>
          <w:p w:rsidR="00410E47" w:rsidRPr="00AE79AC" w:rsidRDefault="00410E47" w:rsidP="007E2A41">
            <w:pPr>
              <w:pStyle w:val="BodyText1"/>
              <w:spacing w:line="240" w:lineRule="auto"/>
              <w:rPr>
                <w:rFonts w:ascii="Times New Roman" w:hAnsi="Times New Roman"/>
                <w:b/>
                <w:bCs/>
                <w:u w:val="single"/>
              </w:rPr>
            </w:pPr>
            <w:r w:rsidRPr="00AE79AC">
              <w:rPr>
                <w:rFonts w:ascii="Times New Roman" w:hAnsi="Times New Roman"/>
              </w:rPr>
              <w:t>Instytucje biorą pod uwagę wszystkie kredytowe instrumenty pochodne, nie tylko te przypisane do portfela handlowego.</w:t>
            </w:r>
            <w:r w:rsidRPr="00AE79AC">
              <w:rPr>
                <w:rFonts w:ascii="Times New Roman" w:hAnsi="Times New Roman"/>
                <w:b/>
                <w:u w:val="single"/>
              </w:rPr>
              <w:t xml:space="preserve"> </w:t>
            </w:r>
          </w:p>
          <w:p w:rsidR="00410E47" w:rsidRPr="00AE79AC" w:rsidRDefault="00410E47" w:rsidP="007E2A41">
            <w:pPr>
              <w:pStyle w:val="BodyText1"/>
              <w:spacing w:line="240" w:lineRule="auto"/>
              <w:rPr>
                <w:rFonts w:ascii="Times New Roman" w:hAnsi="Times New Roman"/>
                <w:b/>
                <w:bCs/>
                <w:u w:val="single"/>
              </w:rPr>
            </w:pPr>
          </w:p>
        </w:tc>
      </w:tr>
      <w:tr w:rsidR="00410E47" w:rsidRPr="00AE79AC" w:rsidTr="00FC2664">
        <w:tc>
          <w:tcPr>
            <w:tcW w:w="1418" w:type="dxa"/>
          </w:tcPr>
          <w:p w:rsidR="00410E47" w:rsidRPr="00AE79AC" w:rsidRDefault="00410E47" w:rsidP="00F70A83">
            <w:pPr>
              <w:pStyle w:val="BodyText1"/>
              <w:rPr>
                <w:rFonts w:ascii="Times New Roman" w:hAnsi="Times New Roman"/>
                <w:bCs/>
              </w:rPr>
            </w:pPr>
            <w:r w:rsidRPr="00AE79AC">
              <w:rPr>
                <w:rFonts w:ascii="Times New Roman" w:hAnsi="Times New Roman"/>
              </w:rPr>
              <w:t>{040;070}</w:t>
            </w:r>
          </w:p>
        </w:tc>
        <w:tc>
          <w:tcPr>
            <w:tcW w:w="7620" w:type="dxa"/>
          </w:tcPr>
          <w:p w:rsidR="00410E47" w:rsidRPr="00AE79AC" w:rsidRDefault="00410E47" w:rsidP="007E2A41">
            <w:pPr>
              <w:pStyle w:val="BodyText1"/>
              <w:spacing w:line="240" w:lineRule="auto"/>
              <w:rPr>
                <w:rFonts w:ascii="Times New Roman" w:hAnsi="Times New Roman"/>
                <w:b/>
                <w:bCs/>
              </w:rPr>
            </w:pPr>
            <w:r w:rsidRPr="00AE79AC">
              <w:rPr>
                <w:rFonts w:ascii="Times New Roman" w:hAnsi="Times New Roman"/>
                <w:b/>
              </w:rPr>
              <w:t>Kredytowe instrumenty pochodne (sprzedana ochrona), które nie podlegają klauzuli likwidacji – kwota nominalna</w:t>
            </w:r>
          </w:p>
          <w:p w:rsidR="00410E47" w:rsidRPr="00AE79AC" w:rsidRDefault="00410E47" w:rsidP="007E2A41">
            <w:pPr>
              <w:pStyle w:val="BodyText1"/>
              <w:spacing w:line="240" w:lineRule="auto"/>
              <w:rPr>
                <w:rFonts w:ascii="Times New Roman" w:hAnsi="Times New Roman"/>
                <w:b/>
                <w:bCs/>
              </w:rPr>
            </w:pPr>
          </w:p>
          <w:p w:rsidR="00410E47" w:rsidRPr="00AE79AC" w:rsidRDefault="00410E47" w:rsidP="007E2A41">
            <w:pPr>
              <w:pStyle w:val="BodyText1"/>
              <w:spacing w:line="240" w:lineRule="auto"/>
              <w:rPr>
                <w:rFonts w:ascii="Times New Roman" w:hAnsi="Times New Roman"/>
              </w:rPr>
            </w:pPr>
            <w:r w:rsidRPr="00AE79AC">
              <w:rPr>
                <w:rFonts w:ascii="Times New Roman" w:hAnsi="Times New Roman"/>
              </w:rPr>
              <w:t>W tej komórce podaje się kwotę nominalną kredytowych instrumentów pochodnych, w</w:t>
            </w:r>
            <w:r w:rsidR="00552B55">
              <w:rPr>
                <w:rFonts w:ascii="Times New Roman" w:hAnsi="Times New Roman"/>
              </w:rPr>
              <w:t> </w:t>
            </w:r>
            <w:r w:rsidRPr="00AE79AC">
              <w:rPr>
                <w:rFonts w:ascii="Times New Roman" w:hAnsi="Times New Roman"/>
              </w:rPr>
              <w:t xml:space="preserve">przypadku gdy instytucja sprzedaje ochronę kredytową kontrahentowi, który </w:t>
            </w:r>
            <w:r w:rsidRPr="00AE79AC">
              <w:rPr>
                <w:rFonts w:ascii="Times New Roman" w:hAnsi="Times New Roman"/>
                <w:b/>
                <w:u w:val="single"/>
              </w:rPr>
              <w:t>nie</w:t>
            </w:r>
            <w:r w:rsidRPr="00AE79AC">
              <w:rPr>
                <w:rFonts w:ascii="Times New Roman" w:hAnsi="Times New Roman"/>
              </w:rPr>
              <w:t xml:space="preserve"> podlega klauzuli likwidacji.</w:t>
            </w:r>
          </w:p>
          <w:p w:rsidR="00410E47" w:rsidRPr="00AE79AC" w:rsidRDefault="00410E47" w:rsidP="007E2A41">
            <w:pPr>
              <w:pStyle w:val="BodyText1"/>
              <w:spacing w:line="240" w:lineRule="auto"/>
              <w:rPr>
                <w:rFonts w:ascii="Times New Roman" w:hAnsi="Times New Roman"/>
              </w:rPr>
            </w:pPr>
          </w:p>
          <w:p w:rsidR="00410E47" w:rsidRPr="00AE79AC" w:rsidRDefault="00410E47" w:rsidP="007E2A41">
            <w:pPr>
              <w:pStyle w:val="BodyText1"/>
              <w:spacing w:line="240" w:lineRule="auto"/>
              <w:rPr>
                <w:rFonts w:ascii="Times New Roman" w:hAnsi="Times New Roman"/>
              </w:rPr>
            </w:pPr>
            <w:r w:rsidRPr="00AE79AC">
              <w:rPr>
                <w:rFonts w:ascii="Times New Roman" w:hAnsi="Times New Roman"/>
              </w:rPr>
              <w:t>Klauzulę likwidacji definiuje się jako klauzulę dającą stronie wypełniającej zobowiązania prawo do szybkiego zakończenia i rozliczenia wszystkich transakcji objętych umową, w</w:t>
            </w:r>
            <w:r w:rsidR="00552B55">
              <w:rPr>
                <w:rFonts w:ascii="Times New Roman" w:hAnsi="Times New Roman"/>
              </w:rPr>
              <w:t> </w:t>
            </w:r>
            <w:r w:rsidRPr="00AE79AC">
              <w:rPr>
                <w:rFonts w:ascii="Times New Roman" w:hAnsi="Times New Roman"/>
              </w:rPr>
              <w:t>przypadku gdy kontrahent nie wywiązuje się ze swoich zobowiązań, jak również w</w:t>
            </w:r>
            <w:r w:rsidR="00552B55">
              <w:rPr>
                <w:rFonts w:ascii="Times New Roman" w:hAnsi="Times New Roman"/>
              </w:rPr>
              <w:t> </w:t>
            </w:r>
            <w:r w:rsidRPr="00AE79AC">
              <w:rPr>
                <w:rFonts w:ascii="Times New Roman" w:hAnsi="Times New Roman"/>
              </w:rPr>
              <w:t>przypadku jego bankructwa lub niewypłacalności.</w:t>
            </w:r>
          </w:p>
          <w:p w:rsidR="00410E47" w:rsidRPr="00AE79AC" w:rsidRDefault="00410E47" w:rsidP="007E2A41">
            <w:pPr>
              <w:pStyle w:val="BodyText1"/>
              <w:spacing w:line="240" w:lineRule="auto"/>
              <w:rPr>
                <w:rFonts w:ascii="Times New Roman" w:hAnsi="Times New Roman"/>
              </w:rPr>
            </w:pPr>
          </w:p>
          <w:p w:rsidR="00410E47" w:rsidRPr="00AE79AC" w:rsidRDefault="00410E47" w:rsidP="007E2A41">
            <w:pPr>
              <w:pStyle w:val="BodyText1"/>
              <w:spacing w:line="240" w:lineRule="auto"/>
              <w:rPr>
                <w:rFonts w:ascii="Times New Roman" w:hAnsi="Times New Roman"/>
                <w:bCs/>
              </w:rPr>
            </w:pPr>
            <w:r w:rsidRPr="00AE79AC">
              <w:rPr>
                <w:rFonts w:ascii="Times New Roman" w:hAnsi="Times New Roman"/>
              </w:rPr>
              <w:t>Instytucje biorą pod uwagę wszystkie kredytowe instrumenty pochodne, nie tylko te przypisane do portfela handlowego.</w:t>
            </w:r>
          </w:p>
          <w:p w:rsidR="00410E47" w:rsidRPr="00AE79AC" w:rsidRDefault="00410E47" w:rsidP="007E2A41">
            <w:pPr>
              <w:pStyle w:val="BodyText1"/>
              <w:spacing w:line="240" w:lineRule="auto"/>
              <w:rPr>
                <w:rFonts w:ascii="Times New Roman" w:hAnsi="Times New Roman"/>
                <w:b/>
                <w:bCs/>
                <w:u w:val="single"/>
              </w:rPr>
            </w:pPr>
            <w:r w:rsidRPr="00AE79AC">
              <w:rPr>
                <w:rFonts w:ascii="Times New Roman" w:hAnsi="Times New Roman"/>
                <w:b/>
                <w:u w:val="single"/>
              </w:rPr>
              <w:t xml:space="preserve"> </w:t>
            </w:r>
          </w:p>
        </w:tc>
      </w:tr>
      <w:tr w:rsidR="00410E47" w:rsidRPr="00AE79AC" w:rsidTr="00FC2664">
        <w:tc>
          <w:tcPr>
            <w:tcW w:w="1418" w:type="dxa"/>
          </w:tcPr>
          <w:p w:rsidR="00410E47" w:rsidRPr="00AE79AC" w:rsidRDefault="00410E47" w:rsidP="00F4754B">
            <w:pPr>
              <w:pStyle w:val="BodyText1"/>
              <w:rPr>
                <w:rFonts w:ascii="Times New Roman" w:hAnsi="Times New Roman"/>
                <w:bCs/>
              </w:rPr>
            </w:pPr>
            <w:r w:rsidRPr="00AE79AC">
              <w:rPr>
                <w:rFonts w:ascii="Times New Roman" w:hAnsi="Times New Roman"/>
              </w:rPr>
              <w:t>{050;010}</w:t>
            </w:r>
          </w:p>
        </w:tc>
        <w:tc>
          <w:tcPr>
            <w:tcW w:w="7620" w:type="dxa"/>
          </w:tcPr>
          <w:p w:rsidR="00410E47" w:rsidRPr="00AE79AC" w:rsidRDefault="00410E47" w:rsidP="007E2A41">
            <w:pPr>
              <w:pStyle w:val="BodyText1"/>
              <w:spacing w:line="240" w:lineRule="auto"/>
              <w:rPr>
                <w:rFonts w:ascii="Times New Roman" w:hAnsi="Times New Roman"/>
                <w:b/>
                <w:bCs/>
              </w:rPr>
            </w:pPr>
            <w:r w:rsidRPr="00AE79AC">
              <w:rPr>
                <w:rFonts w:ascii="Times New Roman" w:hAnsi="Times New Roman"/>
                <w:b/>
              </w:rPr>
              <w:t>Kredytowe instrumenty pochodne (zakupiona ochrona) – księgowa wartość bilansowa</w:t>
            </w:r>
          </w:p>
          <w:p w:rsidR="00410E47" w:rsidRPr="00AE79AC" w:rsidRDefault="00410E47" w:rsidP="007E2A41">
            <w:pPr>
              <w:pStyle w:val="BodyText1"/>
              <w:spacing w:line="240" w:lineRule="auto"/>
              <w:rPr>
                <w:rFonts w:ascii="Times New Roman" w:hAnsi="Times New Roman"/>
                <w:bCs/>
              </w:rPr>
            </w:pPr>
          </w:p>
          <w:p w:rsidR="00410E47" w:rsidRPr="00AE79AC" w:rsidRDefault="00410E47" w:rsidP="007E2A41">
            <w:pPr>
              <w:pStyle w:val="BodyText1"/>
              <w:spacing w:line="240" w:lineRule="auto"/>
              <w:rPr>
                <w:rFonts w:ascii="Times New Roman" w:hAnsi="Times New Roman"/>
                <w:bCs/>
              </w:rPr>
            </w:pPr>
            <w:r w:rsidRPr="00AE79AC">
              <w:rPr>
                <w:rFonts w:ascii="Times New Roman" w:hAnsi="Times New Roman"/>
              </w:rPr>
              <w:t xml:space="preserve">Art. 4 ust. 1 </w:t>
            </w:r>
            <w:r w:rsidRPr="002341B6">
              <w:rPr>
                <w:rFonts w:ascii="Times New Roman" w:hAnsi="Times New Roman"/>
              </w:rPr>
              <w:t>pkt</w:t>
            </w:r>
            <w:r w:rsidR="002341B6" w:rsidRPr="002341B6">
              <w:rPr>
                <w:rFonts w:ascii="Times New Roman" w:hAnsi="Times New Roman"/>
              </w:rPr>
              <w:t> </w:t>
            </w:r>
            <w:r w:rsidRPr="002341B6">
              <w:rPr>
                <w:rFonts w:ascii="Times New Roman" w:hAnsi="Times New Roman"/>
              </w:rPr>
              <w:t>7</w:t>
            </w:r>
            <w:r w:rsidRPr="00AE79AC">
              <w:rPr>
                <w:rFonts w:ascii="Times New Roman" w:hAnsi="Times New Roman"/>
              </w:rPr>
              <w:t>7 CRR</w:t>
            </w:r>
          </w:p>
          <w:p w:rsidR="00410E47" w:rsidRPr="00AE79AC" w:rsidRDefault="00410E47" w:rsidP="007E2A41">
            <w:pPr>
              <w:pStyle w:val="BodyText1"/>
              <w:spacing w:line="240" w:lineRule="auto"/>
              <w:rPr>
                <w:rFonts w:ascii="Times New Roman" w:hAnsi="Times New Roman"/>
              </w:rPr>
            </w:pPr>
          </w:p>
          <w:p w:rsidR="00410E47" w:rsidRPr="00AE79AC" w:rsidRDefault="00410E47" w:rsidP="007E2A41">
            <w:pPr>
              <w:pStyle w:val="BodyText1"/>
              <w:spacing w:line="240" w:lineRule="auto"/>
              <w:rPr>
                <w:rFonts w:ascii="Times New Roman" w:hAnsi="Times New Roman"/>
                <w:bCs/>
              </w:rPr>
            </w:pPr>
            <w:r w:rsidRPr="00AE79AC">
              <w:rPr>
                <w:rFonts w:ascii="Times New Roman" w:hAnsi="Times New Roman"/>
              </w:rPr>
              <w:t>Księgowa wartość bilansowa zgodnie z mającymi zastosowanie standardami rachunkowości w odniesieniu do kredytowych instrumentów pochodnych, w przypadku gdy instytucja nabywa ochronę kredytową od kontrahenta, a umowę ujmuje się w bilansie jako składnik aktywów.</w:t>
            </w:r>
          </w:p>
          <w:p w:rsidR="00410E47" w:rsidRPr="00AE79AC" w:rsidRDefault="00410E47" w:rsidP="007E2A41">
            <w:pPr>
              <w:pStyle w:val="BodyText1"/>
              <w:spacing w:line="240" w:lineRule="auto"/>
              <w:rPr>
                <w:rFonts w:ascii="Times New Roman" w:hAnsi="Times New Roman"/>
                <w:bCs/>
              </w:rPr>
            </w:pPr>
          </w:p>
          <w:p w:rsidR="00410E47" w:rsidRPr="00AE79AC" w:rsidRDefault="00410E47" w:rsidP="007E2A41">
            <w:pPr>
              <w:pStyle w:val="BodyText1"/>
              <w:spacing w:line="240" w:lineRule="auto"/>
              <w:rPr>
                <w:rFonts w:ascii="Times New Roman" w:hAnsi="Times New Roman"/>
                <w:bCs/>
              </w:rPr>
            </w:pPr>
            <w:r w:rsidRPr="00AE79AC">
              <w:rPr>
                <w:rFonts w:ascii="Times New Roman" w:hAnsi="Times New Roman"/>
              </w:rPr>
              <w:t>Instytucje biorą pod uwagę wszystkie kredytowe instrumenty pochodne, nie tylko te przypisane do portfela handlowego.</w:t>
            </w:r>
          </w:p>
          <w:p w:rsidR="00410E47" w:rsidRPr="00AE79AC" w:rsidRDefault="00410E47" w:rsidP="007E2A41">
            <w:pPr>
              <w:pStyle w:val="BodyText1"/>
              <w:spacing w:line="240" w:lineRule="auto"/>
              <w:rPr>
                <w:rFonts w:ascii="Times New Roman" w:hAnsi="Times New Roman"/>
                <w:b/>
                <w:bCs/>
                <w:u w:val="single"/>
              </w:rPr>
            </w:pPr>
            <w:r w:rsidRPr="00AE79AC">
              <w:rPr>
                <w:rFonts w:ascii="Times New Roman" w:hAnsi="Times New Roman"/>
                <w:b/>
                <w:u w:val="single"/>
              </w:rPr>
              <w:t xml:space="preserve"> </w:t>
            </w:r>
          </w:p>
        </w:tc>
      </w:tr>
      <w:tr w:rsidR="00410E47" w:rsidRPr="00AE79AC" w:rsidTr="00FC2664">
        <w:tc>
          <w:tcPr>
            <w:tcW w:w="1418" w:type="dxa"/>
          </w:tcPr>
          <w:p w:rsidR="00410E47" w:rsidRPr="00AE79AC" w:rsidRDefault="00410E47" w:rsidP="00F4754B">
            <w:pPr>
              <w:pStyle w:val="BodyText1"/>
              <w:rPr>
                <w:rFonts w:ascii="Times New Roman" w:hAnsi="Times New Roman"/>
                <w:bCs/>
              </w:rPr>
            </w:pPr>
            <w:r w:rsidRPr="00AE79AC">
              <w:rPr>
                <w:rFonts w:ascii="Times New Roman" w:hAnsi="Times New Roman"/>
              </w:rPr>
              <w:t>{050;020}</w:t>
            </w:r>
          </w:p>
        </w:tc>
        <w:tc>
          <w:tcPr>
            <w:tcW w:w="7620" w:type="dxa"/>
          </w:tcPr>
          <w:p w:rsidR="00410E47" w:rsidRPr="00AE79AC" w:rsidRDefault="00410E47" w:rsidP="007E2A41">
            <w:pPr>
              <w:pStyle w:val="BodyText1"/>
              <w:spacing w:line="240" w:lineRule="auto"/>
              <w:rPr>
                <w:rFonts w:ascii="Times New Roman" w:hAnsi="Times New Roman"/>
                <w:b/>
                <w:bCs/>
              </w:rPr>
            </w:pPr>
            <w:r w:rsidRPr="00AE79AC">
              <w:rPr>
                <w:rFonts w:ascii="Times New Roman" w:hAnsi="Times New Roman"/>
                <w:b/>
              </w:rPr>
              <w:t>Kredytowe instrumenty pochodne (zakupiona ochrona) –wartość księgowa przy założeniu niestosowania kompensat ani innego CRM</w:t>
            </w:r>
          </w:p>
          <w:p w:rsidR="00410E47" w:rsidRPr="00AE79AC" w:rsidRDefault="00410E47" w:rsidP="007E2A41">
            <w:pPr>
              <w:pStyle w:val="BodyText1"/>
              <w:spacing w:line="240" w:lineRule="auto"/>
              <w:rPr>
                <w:rFonts w:ascii="Times New Roman" w:hAnsi="Times New Roman"/>
                <w:bCs/>
              </w:rPr>
            </w:pPr>
          </w:p>
          <w:p w:rsidR="00410E47" w:rsidRPr="00AE79AC" w:rsidRDefault="00410E47" w:rsidP="007E2A41">
            <w:pPr>
              <w:pStyle w:val="BodyText1"/>
              <w:spacing w:line="240" w:lineRule="auto"/>
              <w:rPr>
                <w:rFonts w:ascii="Times New Roman" w:hAnsi="Times New Roman"/>
                <w:bCs/>
              </w:rPr>
            </w:pPr>
            <w:r w:rsidRPr="00AE79AC">
              <w:rPr>
                <w:rFonts w:ascii="Times New Roman" w:hAnsi="Times New Roman"/>
              </w:rPr>
              <w:t xml:space="preserve">Art. 4 ust. 1 </w:t>
            </w:r>
            <w:r w:rsidRPr="002341B6">
              <w:rPr>
                <w:rFonts w:ascii="Times New Roman" w:hAnsi="Times New Roman"/>
              </w:rPr>
              <w:t>pkt</w:t>
            </w:r>
            <w:r w:rsidR="002341B6" w:rsidRPr="002341B6">
              <w:rPr>
                <w:rFonts w:ascii="Times New Roman" w:hAnsi="Times New Roman"/>
              </w:rPr>
              <w:t> </w:t>
            </w:r>
            <w:r w:rsidRPr="002341B6">
              <w:rPr>
                <w:rFonts w:ascii="Times New Roman" w:hAnsi="Times New Roman"/>
              </w:rPr>
              <w:t>7</w:t>
            </w:r>
            <w:r w:rsidRPr="00AE79AC">
              <w:rPr>
                <w:rFonts w:ascii="Times New Roman" w:hAnsi="Times New Roman"/>
              </w:rPr>
              <w:t>7 CRR</w:t>
            </w:r>
          </w:p>
          <w:p w:rsidR="00410E47" w:rsidRPr="00AE79AC" w:rsidRDefault="00410E47" w:rsidP="007E2A41">
            <w:pPr>
              <w:pStyle w:val="BodyText1"/>
              <w:spacing w:line="240" w:lineRule="auto"/>
              <w:rPr>
                <w:rFonts w:ascii="Times New Roman" w:hAnsi="Times New Roman"/>
                <w:bCs/>
              </w:rPr>
            </w:pPr>
          </w:p>
          <w:p w:rsidR="00410E47" w:rsidRPr="00AE79AC" w:rsidRDefault="00410E47" w:rsidP="007E2A41">
            <w:pPr>
              <w:pStyle w:val="BodyText1"/>
              <w:spacing w:line="240" w:lineRule="auto"/>
              <w:rPr>
                <w:rFonts w:ascii="Times New Roman" w:hAnsi="Times New Roman"/>
                <w:bCs/>
              </w:rPr>
            </w:pPr>
            <w:r w:rsidRPr="00AE79AC">
              <w:rPr>
                <w:rFonts w:ascii="Times New Roman" w:hAnsi="Times New Roman"/>
              </w:rPr>
              <w:t>Księgowa wartość bilansowa zgodnie z mającymi zastosowanie standardami rachunkowości w odniesieniu do kredytowych instrumentów pochodnych, w przypadku gdy instytucja nabywa ochronę kredytową od kontrahenta, a umowę ujmuje się w bilansie jako składnik aktywów przy założeniu niestosowania kompensat ostrożnościowych lub księgowych ani efektów CRM (tj. należy rozwiązać wszelkie kwoty wynikające z kompensat księgowych lub CRM, które miały wpływ na wartość księgową).</w:t>
            </w:r>
          </w:p>
          <w:p w:rsidR="00410E47" w:rsidRPr="00AE79AC" w:rsidRDefault="00410E47" w:rsidP="007E2A41">
            <w:pPr>
              <w:pStyle w:val="BodyText1"/>
              <w:spacing w:line="240" w:lineRule="auto"/>
              <w:rPr>
                <w:rFonts w:ascii="Times New Roman" w:hAnsi="Times New Roman"/>
                <w:bCs/>
              </w:rPr>
            </w:pPr>
          </w:p>
          <w:p w:rsidR="00410E47" w:rsidRPr="00AE79AC" w:rsidRDefault="00410E47" w:rsidP="007E2A41">
            <w:pPr>
              <w:pStyle w:val="BodyText1"/>
              <w:spacing w:line="240" w:lineRule="auto"/>
              <w:rPr>
                <w:rFonts w:ascii="Times New Roman" w:hAnsi="Times New Roman"/>
                <w:bCs/>
              </w:rPr>
            </w:pPr>
            <w:r w:rsidRPr="00AE79AC">
              <w:rPr>
                <w:rFonts w:ascii="Times New Roman" w:hAnsi="Times New Roman"/>
              </w:rPr>
              <w:t>Instytucje biorą pod uwagę wszystkie kredytowe instrumenty pochodne, nie tylko te przypisane do portfela handlowego.</w:t>
            </w:r>
          </w:p>
          <w:p w:rsidR="00410E47" w:rsidRPr="00AE79AC" w:rsidRDefault="00410E47" w:rsidP="007E2A41">
            <w:pPr>
              <w:pStyle w:val="BodyText1"/>
              <w:spacing w:line="240" w:lineRule="auto"/>
              <w:rPr>
                <w:rFonts w:ascii="Times New Roman" w:hAnsi="Times New Roman"/>
                <w:b/>
                <w:bCs/>
                <w:u w:val="single"/>
              </w:rPr>
            </w:pPr>
            <w:r w:rsidRPr="00AE79AC">
              <w:rPr>
                <w:rFonts w:ascii="Times New Roman" w:hAnsi="Times New Roman"/>
                <w:b/>
                <w:u w:val="single"/>
              </w:rPr>
              <w:t xml:space="preserve"> </w:t>
            </w:r>
          </w:p>
        </w:tc>
      </w:tr>
      <w:tr w:rsidR="00410E47" w:rsidRPr="00AE79AC" w:rsidTr="00FC2664">
        <w:tc>
          <w:tcPr>
            <w:tcW w:w="1418" w:type="dxa"/>
          </w:tcPr>
          <w:p w:rsidR="00410E47" w:rsidRPr="00AE79AC" w:rsidRDefault="00410E47" w:rsidP="00F4754B">
            <w:pPr>
              <w:pStyle w:val="BodyText1"/>
              <w:rPr>
                <w:rFonts w:ascii="Times New Roman" w:hAnsi="Times New Roman"/>
                <w:bCs/>
              </w:rPr>
            </w:pPr>
            <w:r w:rsidRPr="00AE79AC">
              <w:rPr>
                <w:rFonts w:ascii="Times New Roman" w:hAnsi="Times New Roman"/>
              </w:rPr>
              <w:t>{050;050}</w:t>
            </w:r>
          </w:p>
          <w:p w:rsidR="00410E47" w:rsidRPr="00AE79AC" w:rsidRDefault="00410E47" w:rsidP="00F4754B">
            <w:pPr>
              <w:pStyle w:val="BodyText1"/>
              <w:rPr>
                <w:rFonts w:ascii="Times New Roman" w:hAnsi="Times New Roman"/>
                <w:bCs/>
              </w:rPr>
            </w:pPr>
          </w:p>
        </w:tc>
        <w:tc>
          <w:tcPr>
            <w:tcW w:w="7620" w:type="dxa"/>
          </w:tcPr>
          <w:p w:rsidR="00410E47" w:rsidRPr="00AE79AC" w:rsidRDefault="00410E47" w:rsidP="007E2A41">
            <w:pPr>
              <w:pStyle w:val="BodyText1"/>
              <w:spacing w:line="240" w:lineRule="auto"/>
              <w:rPr>
                <w:rFonts w:ascii="Times New Roman" w:hAnsi="Times New Roman"/>
                <w:b/>
                <w:bCs/>
              </w:rPr>
            </w:pPr>
            <w:r w:rsidRPr="00AE79AC">
              <w:rPr>
                <w:rFonts w:ascii="Times New Roman" w:hAnsi="Times New Roman"/>
                <w:b/>
              </w:rPr>
              <w:t>Kredytowe instrumenty pochodne (zakupiona ochrona) – narzut obliczony metodą wyceny według wartości rynkowej (przy założeniu niestosowania kompensat ani innego CRM)</w:t>
            </w:r>
          </w:p>
          <w:p w:rsidR="00410E47" w:rsidRPr="00AE79AC" w:rsidRDefault="00410E47" w:rsidP="007E2A41">
            <w:pPr>
              <w:pStyle w:val="BodyText1"/>
              <w:spacing w:line="240" w:lineRule="auto"/>
              <w:rPr>
                <w:rFonts w:ascii="Times New Roman" w:hAnsi="Times New Roman"/>
                <w:b/>
                <w:bCs/>
              </w:rPr>
            </w:pPr>
          </w:p>
          <w:p w:rsidR="00410E47" w:rsidRPr="00AE79AC" w:rsidRDefault="00410E47" w:rsidP="007E2A41">
            <w:pPr>
              <w:pStyle w:val="BodyText1"/>
              <w:spacing w:line="240" w:lineRule="auto"/>
              <w:rPr>
                <w:rFonts w:ascii="Times New Roman" w:hAnsi="Times New Roman"/>
                <w:bCs/>
              </w:rPr>
            </w:pPr>
            <w:r w:rsidRPr="00AE79AC">
              <w:rPr>
                <w:rFonts w:ascii="Times New Roman" w:hAnsi="Times New Roman"/>
              </w:rPr>
              <w:t xml:space="preserve">Art. 299 </w:t>
            </w:r>
            <w:r w:rsidRPr="002341B6">
              <w:rPr>
                <w:rFonts w:ascii="Times New Roman" w:hAnsi="Times New Roman"/>
              </w:rPr>
              <w:t>ust.</w:t>
            </w:r>
            <w:r w:rsidR="002341B6" w:rsidRPr="002341B6">
              <w:rPr>
                <w:rFonts w:ascii="Times New Roman" w:hAnsi="Times New Roman"/>
              </w:rPr>
              <w:t> </w:t>
            </w:r>
            <w:r w:rsidRPr="002341B6">
              <w:rPr>
                <w:rFonts w:ascii="Times New Roman" w:hAnsi="Times New Roman"/>
              </w:rPr>
              <w:t>2</w:t>
            </w:r>
            <w:r w:rsidRPr="00AE79AC">
              <w:rPr>
                <w:rFonts w:ascii="Times New Roman" w:hAnsi="Times New Roman"/>
              </w:rPr>
              <w:t xml:space="preserve"> CRR</w:t>
            </w:r>
          </w:p>
          <w:p w:rsidR="00410E47" w:rsidRPr="00AE79AC" w:rsidRDefault="00410E47" w:rsidP="007E2A41">
            <w:pPr>
              <w:pStyle w:val="BodyText1"/>
              <w:spacing w:line="240" w:lineRule="auto"/>
              <w:rPr>
                <w:rFonts w:ascii="Times New Roman" w:hAnsi="Times New Roman"/>
                <w:b/>
                <w:bCs/>
              </w:rPr>
            </w:pPr>
          </w:p>
          <w:p w:rsidR="00410E47" w:rsidRPr="00AE79AC" w:rsidRDefault="00410E47" w:rsidP="007E2A41">
            <w:pPr>
              <w:pStyle w:val="BodyText1"/>
              <w:spacing w:line="240" w:lineRule="auto"/>
              <w:rPr>
                <w:rFonts w:ascii="Times New Roman" w:hAnsi="Times New Roman"/>
                <w:bCs/>
              </w:rPr>
            </w:pPr>
            <w:r w:rsidRPr="00AE79AC">
              <w:rPr>
                <w:rFonts w:ascii="Times New Roman" w:hAnsi="Times New Roman"/>
              </w:rPr>
              <w:t>W tej komórce podaje się potencjalną przyszłą ekspozycję z tytułu kredytowych instrumentów pochodnych, w przypadku których instytucja nabywa ochronę kredytową od kontrahenta, przy założeniu niestosowania kompensat ani CRM.</w:t>
            </w:r>
          </w:p>
          <w:p w:rsidR="00410E47" w:rsidRPr="00AE79AC" w:rsidRDefault="00410E47" w:rsidP="007E2A41">
            <w:pPr>
              <w:pStyle w:val="BodyText1"/>
              <w:spacing w:line="240" w:lineRule="auto"/>
              <w:rPr>
                <w:rFonts w:ascii="Times New Roman" w:hAnsi="Times New Roman"/>
                <w:bCs/>
              </w:rPr>
            </w:pPr>
          </w:p>
          <w:p w:rsidR="00410E47" w:rsidRPr="00AE79AC" w:rsidRDefault="00410E47" w:rsidP="007E2A41">
            <w:pPr>
              <w:pStyle w:val="BodyText1"/>
              <w:spacing w:line="240" w:lineRule="auto"/>
              <w:rPr>
                <w:rFonts w:ascii="Times New Roman" w:hAnsi="Times New Roman"/>
                <w:bCs/>
              </w:rPr>
            </w:pPr>
            <w:r w:rsidRPr="00AE79AC">
              <w:rPr>
                <w:rFonts w:ascii="Times New Roman" w:hAnsi="Times New Roman"/>
              </w:rPr>
              <w:t>Instytucje biorą pod uwagę wszystkie kredytowe instrumenty pochodne, nie tylko te przypisane do portfela handlowego.</w:t>
            </w:r>
          </w:p>
          <w:p w:rsidR="00410E47" w:rsidRPr="00AE79AC" w:rsidRDefault="00410E47" w:rsidP="007E2A41">
            <w:pPr>
              <w:pStyle w:val="BodyText1"/>
              <w:spacing w:line="240" w:lineRule="auto"/>
              <w:rPr>
                <w:rFonts w:ascii="Times New Roman" w:hAnsi="Times New Roman"/>
                <w:b/>
                <w:bCs/>
                <w:u w:val="single"/>
              </w:rPr>
            </w:pPr>
            <w:r w:rsidRPr="00AE79AC">
              <w:rPr>
                <w:rFonts w:ascii="Times New Roman" w:hAnsi="Times New Roman"/>
                <w:b/>
                <w:u w:val="single"/>
              </w:rPr>
              <w:t xml:space="preserve"> </w:t>
            </w:r>
          </w:p>
        </w:tc>
      </w:tr>
      <w:tr w:rsidR="00410E47" w:rsidRPr="00AE79AC" w:rsidTr="00FC2664">
        <w:tc>
          <w:tcPr>
            <w:tcW w:w="1418" w:type="dxa"/>
          </w:tcPr>
          <w:p w:rsidR="00410E47" w:rsidRPr="00AE79AC" w:rsidRDefault="00410E47" w:rsidP="00F4754B">
            <w:pPr>
              <w:pStyle w:val="BodyText1"/>
              <w:rPr>
                <w:rFonts w:ascii="Times New Roman" w:hAnsi="Times New Roman"/>
                <w:bCs/>
              </w:rPr>
            </w:pPr>
            <w:r w:rsidRPr="00AE79AC">
              <w:rPr>
                <w:rFonts w:ascii="Times New Roman" w:hAnsi="Times New Roman"/>
              </w:rPr>
              <w:t>{050;070}</w:t>
            </w:r>
          </w:p>
          <w:p w:rsidR="00410E47" w:rsidRPr="00AE79AC" w:rsidRDefault="00410E47" w:rsidP="00F4754B">
            <w:pPr>
              <w:pStyle w:val="BodyText1"/>
              <w:rPr>
                <w:rFonts w:ascii="Times New Roman" w:hAnsi="Times New Roman"/>
                <w:bCs/>
              </w:rPr>
            </w:pPr>
          </w:p>
        </w:tc>
        <w:tc>
          <w:tcPr>
            <w:tcW w:w="7620" w:type="dxa"/>
          </w:tcPr>
          <w:p w:rsidR="00410E47" w:rsidRPr="00AE79AC" w:rsidRDefault="00410E47" w:rsidP="007E2A41">
            <w:pPr>
              <w:pStyle w:val="BodyText1"/>
              <w:spacing w:line="240" w:lineRule="auto"/>
              <w:rPr>
                <w:rFonts w:ascii="Times New Roman" w:hAnsi="Times New Roman"/>
                <w:b/>
                <w:bCs/>
              </w:rPr>
            </w:pPr>
            <w:r w:rsidRPr="00AE79AC">
              <w:rPr>
                <w:rFonts w:ascii="Times New Roman" w:hAnsi="Times New Roman"/>
                <w:b/>
              </w:rPr>
              <w:t>Kredytowe instrumenty pochodne (zakupiona ochrona) – kwota nominalna</w:t>
            </w:r>
          </w:p>
          <w:p w:rsidR="00410E47" w:rsidRPr="00AE79AC" w:rsidRDefault="00410E47" w:rsidP="007E2A41">
            <w:pPr>
              <w:pStyle w:val="BodyText1"/>
              <w:spacing w:line="240" w:lineRule="auto"/>
              <w:rPr>
                <w:rFonts w:ascii="Times New Roman" w:hAnsi="Times New Roman"/>
                <w:b/>
                <w:bCs/>
              </w:rPr>
            </w:pPr>
          </w:p>
          <w:p w:rsidR="00410E47" w:rsidRPr="00AE79AC" w:rsidRDefault="00410E47" w:rsidP="007E2A41">
            <w:pPr>
              <w:pStyle w:val="BodyText1"/>
              <w:spacing w:line="240" w:lineRule="auto"/>
              <w:rPr>
                <w:rFonts w:ascii="Times New Roman" w:hAnsi="Times New Roman"/>
                <w:bCs/>
              </w:rPr>
            </w:pPr>
            <w:r w:rsidRPr="00AE79AC">
              <w:rPr>
                <w:rFonts w:ascii="Times New Roman" w:hAnsi="Times New Roman"/>
              </w:rPr>
              <w:t>W tej komórce podaje się kwotę nominalną kredytowych instrumentów pochodnych, w</w:t>
            </w:r>
            <w:r w:rsidR="00552B55">
              <w:rPr>
                <w:rFonts w:ascii="Times New Roman" w:hAnsi="Times New Roman"/>
              </w:rPr>
              <w:t> </w:t>
            </w:r>
            <w:r w:rsidRPr="00AE79AC">
              <w:rPr>
                <w:rFonts w:ascii="Times New Roman" w:hAnsi="Times New Roman"/>
              </w:rPr>
              <w:t xml:space="preserve">przypadku których instytucja nabywa ochronę kredytową od kontrahenta. </w:t>
            </w:r>
          </w:p>
          <w:p w:rsidR="00410E47" w:rsidRPr="00AE79AC" w:rsidRDefault="00410E47" w:rsidP="007E2A41">
            <w:pPr>
              <w:pStyle w:val="BodyText1"/>
              <w:spacing w:line="240" w:lineRule="auto"/>
              <w:rPr>
                <w:rFonts w:ascii="Times New Roman" w:hAnsi="Times New Roman"/>
                <w:bCs/>
              </w:rPr>
            </w:pPr>
          </w:p>
          <w:p w:rsidR="00410E47" w:rsidRPr="00AE79AC" w:rsidRDefault="00410E47" w:rsidP="007E2A41">
            <w:pPr>
              <w:pStyle w:val="BodyText1"/>
              <w:spacing w:line="240" w:lineRule="auto"/>
              <w:rPr>
                <w:rFonts w:ascii="Times New Roman" w:hAnsi="Times New Roman"/>
                <w:bCs/>
              </w:rPr>
            </w:pPr>
            <w:r w:rsidRPr="00AE79AC">
              <w:rPr>
                <w:rFonts w:ascii="Times New Roman" w:hAnsi="Times New Roman"/>
              </w:rPr>
              <w:t>Instytucje biorą pod uwagę wszystkie kredytowe instrumenty pochodne, nie tylko te przypisane do portfela handlowego.</w:t>
            </w:r>
          </w:p>
          <w:p w:rsidR="00410E47" w:rsidRPr="00AE79AC" w:rsidRDefault="00410E47" w:rsidP="007E2A41">
            <w:pPr>
              <w:pStyle w:val="BodyText1"/>
              <w:spacing w:line="240" w:lineRule="auto"/>
              <w:rPr>
                <w:rFonts w:ascii="Times New Roman" w:hAnsi="Times New Roman"/>
                <w:b/>
                <w:bCs/>
                <w:u w:val="single"/>
              </w:rPr>
            </w:pPr>
            <w:r w:rsidRPr="00AE79AC">
              <w:rPr>
                <w:rFonts w:ascii="Times New Roman" w:hAnsi="Times New Roman"/>
                <w:b/>
                <w:u w:val="single"/>
              </w:rPr>
              <w:t xml:space="preserve"> </w:t>
            </w:r>
          </w:p>
        </w:tc>
      </w:tr>
      <w:tr w:rsidR="00410E47" w:rsidRPr="00AE79AC" w:rsidTr="00FC2664">
        <w:tc>
          <w:tcPr>
            <w:tcW w:w="1418" w:type="dxa"/>
          </w:tcPr>
          <w:p w:rsidR="00410E47" w:rsidRPr="00AE79AC" w:rsidRDefault="00410E47" w:rsidP="00F71081">
            <w:pPr>
              <w:pStyle w:val="BodyText1"/>
              <w:rPr>
                <w:rFonts w:ascii="Times New Roman" w:hAnsi="Times New Roman"/>
                <w:bCs/>
              </w:rPr>
            </w:pPr>
            <w:r w:rsidRPr="00AE79AC">
              <w:rPr>
                <w:rFonts w:ascii="Times New Roman" w:hAnsi="Times New Roman"/>
              </w:rPr>
              <w:t>{050;075}</w:t>
            </w:r>
          </w:p>
        </w:tc>
        <w:tc>
          <w:tcPr>
            <w:tcW w:w="7620" w:type="dxa"/>
          </w:tcPr>
          <w:p w:rsidR="00410E47" w:rsidRPr="00AE79AC" w:rsidRDefault="00410E47" w:rsidP="007E2A41">
            <w:pPr>
              <w:pStyle w:val="BodyText1"/>
              <w:spacing w:line="240" w:lineRule="auto"/>
              <w:rPr>
                <w:rFonts w:ascii="Times New Roman" w:hAnsi="Times New Roman"/>
                <w:b/>
                <w:bCs/>
              </w:rPr>
            </w:pPr>
            <w:r w:rsidRPr="00AE79AC">
              <w:rPr>
                <w:rFonts w:ascii="Times New Roman" w:hAnsi="Times New Roman"/>
                <w:b/>
              </w:rPr>
              <w:t>Kredytowe instrumenty pochodne (zakupiona ochrona) – kwota nominalna po zastosowaniu wyłączeń i odliczeń</w:t>
            </w:r>
          </w:p>
          <w:p w:rsidR="00410E47" w:rsidRPr="00AE79AC" w:rsidRDefault="00410E47" w:rsidP="007E2A41">
            <w:pPr>
              <w:pStyle w:val="BodyText1"/>
              <w:spacing w:line="240" w:lineRule="auto"/>
              <w:rPr>
                <w:rFonts w:ascii="Times New Roman" w:hAnsi="Times New Roman"/>
                <w:b/>
                <w:bCs/>
              </w:rPr>
            </w:pPr>
          </w:p>
          <w:p w:rsidR="00410E47" w:rsidRPr="00AE79AC" w:rsidRDefault="00410E47" w:rsidP="00410E47">
            <w:pPr>
              <w:pStyle w:val="BodyText1"/>
              <w:spacing w:line="240" w:lineRule="auto"/>
              <w:rPr>
                <w:rFonts w:ascii="Times New Roman" w:hAnsi="Times New Roman"/>
                <w:bCs/>
              </w:rPr>
            </w:pPr>
            <w:r w:rsidRPr="00AE79AC">
              <w:rPr>
                <w:rFonts w:ascii="Times New Roman" w:hAnsi="Times New Roman"/>
              </w:rPr>
              <w:t>W tej komórce podaje się kwotę nominalną kredytowych instrumentów pochodnych (zakupiona ochrona) jak w komórce {050;050} po zmniejszeniu o wszelkie dodatnie zmiany wartości godziwej, które wprowadzono do kapitału Tier I w odniesieniu do zakupionego kredytowego instrumentu pochodnego.</w:t>
            </w:r>
          </w:p>
          <w:p w:rsidR="00410E47" w:rsidRPr="00AE79AC" w:rsidRDefault="00410E47" w:rsidP="007E2A41">
            <w:pPr>
              <w:pStyle w:val="BodyText1"/>
              <w:spacing w:line="240" w:lineRule="auto"/>
              <w:rPr>
                <w:rFonts w:ascii="Times New Roman" w:hAnsi="Times New Roman"/>
                <w:b/>
                <w:bCs/>
              </w:rPr>
            </w:pPr>
          </w:p>
        </w:tc>
      </w:tr>
      <w:tr w:rsidR="00410E47" w:rsidRPr="00AE79AC" w:rsidTr="00FC2664">
        <w:tc>
          <w:tcPr>
            <w:tcW w:w="1418" w:type="dxa"/>
          </w:tcPr>
          <w:p w:rsidR="00410E47" w:rsidRPr="00AE79AC" w:rsidRDefault="00410E47" w:rsidP="00F4754B">
            <w:pPr>
              <w:pStyle w:val="BodyText1"/>
              <w:rPr>
                <w:rFonts w:ascii="Times New Roman" w:hAnsi="Times New Roman"/>
                <w:bCs/>
              </w:rPr>
            </w:pPr>
            <w:r w:rsidRPr="00AE79AC">
              <w:rPr>
                <w:rFonts w:ascii="Times New Roman" w:hAnsi="Times New Roman"/>
              </w:rPr>
              <w:t>{050;085}</w:t>
            </w:r>
          </w:p>
          <w:p w:rsidR="00410E47" w:rsidRPr="00AE79AC" w:rsidRDefault="00410E47" w:rsidP="00F4754B">
            <w:pPr>
              <w:pStyle w:val="BodyText1"/>
              <w:rPr>
                <w:rFonts w:ascii="Times New Roman" w:hAnsi="Times New Roman"/>
                <w:bCs/>
              </w:rPr>
            </w:pPr>
          </w:p>
        </w:tc>
        <w:tc>
          <w:tcPr>
            <w:tcW w:w="7620" w:type="dxa"/>
          </w:tcPr>
          <w:p w:rsidR="00410E47" w:rsidRPr="00AE79AC" w:rsidRDefault="00ED7412" w:rsidP="007E2A41">
            <w:pPr>
              <w:pStyle w:val="BodyText1"/>
              <w:spacing w:line="240" w:lineRule="auto"/>
              <w:rPr>
                <w:rFonts w:ascii="Times New Roman" w:hAnsi="Times New Roman"/>
                <w:b/>
                <w:bCs/>
              </w:rPr>
            </w:pPr>
            <w:r w:rsidRPr="00AE79AC">
              <w:rPr>
                <w:rFonts w:ascii="Times New Roman" w:hAnsi="Times New Roman"/>
                <w:b/>
              </w:rPr>
              <w:t>Kredytowe instrumenty pochodne (zakupiona ochrona) – kwota nominalna po zastosowaniu wyłączeń i odliczeń (taka sama nazwa referencyjna)</w:t>
            </w:r>
          </w:p>
          <w:p w:rsidR="00410E47" w:rsidRPr="00AE79AC" w:rsidRDefault="00410E47" w:rsidP="007E2A41">
            <w:pPr>
              <w:pStyle w:val="BodyText1"/>
              <w:spacing w:line="240" w:lineRule="auto"/>
              <w:rPr>
                <w:rFonts w:ascii="Times New Roman" w:hAnsi="Times New Roman"/>
                <w:b/>
                <w:bCs/>
                <w:u w:val="single"/>
              </w:rPr>
            </w:pPr>
          </w:p>
          <w:p w:rsidR="00410E47" w:rsidRPr="00AE79AC" w:rsidRDefault="00410E47" w:rsidP="007E2A41">
            <w:pPr>
              <w:pStyle w:val="BodyText1"/>
              <w:spacing w:line="240" w:lineRule="auto"/>
              <w:rPr>
                <w:rFonts w:ascii="Times New Roman" w:hAnsi="Times New Roman"/>
                <w:bCs/>
              </w:rPr>
            </w:pPr>
            <w:r w:rsidRPr="00AE79AC">
              <w:rPr>
                <w:rFonts w:ascii="Times New Roman" w:hAnsi="Times New Roman"/>
              </w:rPr>
              <w:t>Kwota nominalna kredytowych instrumentów pochodnych, w przypadku gdy instytucja nabywa ochronę kredytową na taką samą nazwę referencyjną instrumentów bazowych jak kredytowe instrumenty pochodne wystawione przez instytucję zgłaszającą dane.</w:t>
            </w:r>
          </w:p>
          <w:p w:rsidR="00410E47" w:rsidRPr="00AE79AC" w:rsidRDefault="00410E47" w:rsidP="007E2A41">
            <w:pPr>
              <w:pStyle w:val="BodyText1"/>
              <w:spacing w:line="240" w:lineRule="auto"/>
              <w:rPr>
                <w:rFonts w:ascii="Times New Roman" w:hAnsi="Times New Roman"/>
                <w:bCs/>
              </w:rPr>
            </w:pPr>
          </w:p>
          <w:p w:rsidR="00410E47" w:rsidRPr="00AE79AC" w:rsidRDefault="00410E47" w:rsidP="007E2A41">
            <w:pPr>
              <w:pStyle w:val="BodyText1"/>
              <w:spacing w:line="240" w:lineRule="auto"/>
              <w:rPr>
                <w:rFonts w:ascii="Times New Roman" w:hAnsi="Times New Roman"/>
                <w:bCs/>
              </w:rPr>
            </w:pPr>
            <w:r w:rsidRPr="00AE79AC">
              <w:rPr>
                <w:rFonts w:ascii="Times New Roman" w:hAnsi="Times New Roman"/>
              </w:rPr>
              <w:t xml:space="preserve">Do celów zgłaszania wartości tej komórki, nazwy referencyjne instrumentów bazowych uznaje się za takie same, jeżeli odnoszą się do tego samego podmiotu prawnego i poziomu uprzywilejowania. </w:t>
            </w:r>
          </w:p>
          <w:p w:rsidR="00410E47" w:rsidRPr="00AE79AC" w:rsidRDefault="00410E47" w:rsidP="007E2A41">
            <w:pPr>
              <w:pStyle w:val="BodyText1"/>
              <w:spacing w:line="240" w:lineRule="auto"/>
              <w:rPr>
                <w:rFonts w:ascii="Times New Roman" w:hAnsi="Times New Roman"/>
                <w:bCs/>
              </w:rPr>
            </w:pPr>
          </w:p>
          <w:p w:rsidR="00410E47" w:rsidRPr="00AE79AC" w:rsidRDefault="00410E47" w:rsidP="007E2A41">
            <w:pPr>
              <w:pStyle w:val="BodyText1"/>
              <w:spacing w:line="240" w:lineRule="auto"/>
              <w:rPr>
                <w:rFonts w:ascii="Times New Roman" w:hAnsi="Times New Roman"/>
                <w:bCs/>
              </w:rPr>
            </w:pPr>
            <w:r w:rsidRPr="00AE79AC">
              <w:rPr>
                <w:rFonts w:ascii="Times New Roman" w:hAnsi="Times New Roman"/>
              </w:rPr>
              <w:t>Zakupioną ochronę kredytową dla grupy podmiotów referencyjnych uznaje się za taką samą, jeżeli ochrona ta odpowiada pod względem ekonomicznym nabyciu ochrony osobno dla każdej z poszczególnych nazw w grupie.</w:t>
            </w:r>
          </w:p>
          <w:p w:rsidR="00410E47" w:rsidRPr="00AE79AC" w:rsidRDefault="00410E47" w:rsidP="007E2A41">
            <w:pPr>
              <w:pStyle w:val="BodyText1"/>
              <w:spacing w:line="240" w:lineRule="auto"/>
              <w:rPr>
                <w:rFonts w:ascii="Times New Roman" w:hAnsi="Times New Roman"/>
                <w:bCs/>
              </w:rPr>
            </w:pPr>
          </w:p>
          <w:p w:rsidR="00410E47" w:rsidRPr="00AE79AC" w:rsidRDefault="00410E47" w:rsidP="007E2A41">
            <w:pPr>
              <w:pStyle w:val="BodyText1"/>
              <w:spacing w:line="240" w:lineRule="auto"/>
              <w:rPr>
                <w:rFonts w:ascii="Times New Roman" w:hAnsi="Times New Roman"/>
                <w:bCs/>
              </w:rPr>
            </w:pPr>
            <w:r w:rsidRPr="00AE79AC">
              <w:rPr>
                <w:rFonts w:ascii="Times New Roman" w:hAnsi="Times New Roman"/>
              </w:rPr>
              <w:t xml:space="preserve">Jeżeli instytucja nabywa ochronę kredytową dla grupy nazw referencyjnych, wówczas tę ochronę kredytową uznaje się za taką samą jedynie w przypadku, gdy zakupiona ochrona kredytowa obejmuje całość podzbiorów grupy, w odniesieniu do której sprzedano ochronę kredytową. Innymi słowy, kompensowanie można uznać jedynie, gdy grupa podmiotów referencyjnych i poziom podporządkowania w obu transakcjach są identyczne. </w:t>
            </w:r>
          </w:p>
          <w:p w:rsidR="006B3B83" w:rsidRPr="00AE79AC" w:rsidRDefault="006B3B83" w:rsidP="007E2A41">
            <w:pPr>
              <w:pStyle w:val="BodyText1"/>
              <w:spacing w:line="240" w:lineRule="auto"/>
              <w:rPr>
                <w:rFonts w:ascii="Times New Roman" w:hAnsi="Times New Roman"/>
                <w:bCs/>
              </w:rPr>
            </w:pPr>
          </w:p>
          <w:p w:rsidR="00410E47" w:rsidRPr="00AE79AC" w:rsidRDefault="00410E47" w:rsidP="007E2A41">
            <w:pPr>
              <w:pStyle w:val="BodyText1"/>
              <w:spacing w:line="240" w:lineRule="auto"/>
              <w:rPr>
                <w:rFonts w:ascii="Times New Roman" w:hAnsi="Times New Roman"/>
                <w:bCs/>
              </w:rPr>
            </w:pPr>
            <w:r w:rsidRPr="00AE79AC">
              <w:rPr>
                <w:rFonts w:ascii="Times New Roman" w:hAnsi="Times New Roman"/>
              </w:rPr>
              <w:t>W przypadku każdej nazwy referencyjnej kwoty nominalne zakupionej ochrony kredytowej, które uwzględnia się w tej komórce, nie mogą przekroczyć wartości zgłoszonych w {020;075} i {050;075}.</w:t>
            </w:r>
          </w:p>
          <w:p w:rsidR="00410E47" w:rsidRPr="00AE79AC" w:rsidRDefault="00410E47" w:rsidP="007E2A41">
            <w:pPr>
              <w:pStyle w:val="BodyText1"/>
              <w:spacing w:line="240" w:lineRule="auto"/>
              <w:rPr>
                <w:rFonts w:ascii="Times New Roman" w:hAnsi="Times New Roman"/>
                <w:b/>
                <w:bCs/>
                <w:u w:val="single"/>
              </w:rPr>
            </w:pPr>
          </w:p>
        </w:tc>
      </w:tr>
      <w:tr w:rsidR="00410E47" w:rsidRPr="00AE79AC" w:rsidTr="00FC2664">
        <w:tc>
          <w:tcPr>
            <w:tcW w:w="1418" w:type="dxa"/>
          </w:tcPr>
          <w:p w:rsidR="00410E47" w:rsidRPr="00AE79AC" w:rsidRDefault="00410E47" w:rsidP="00F4754B">
            <w:pPr>
              <w:pStyle w:val="BodyText1"/>
              <w:rPr>
                <w:rFonts w:ascii="Times New Roman" w:hAnsi="Times New Roman"/>
                <w:bCs/>
              </w:rPr>
            </w:pPr>
            <w:r w:rsidRPr="00AE79AC">
              <w:rPr>
                <w:rFonts w:ascii="Times New Roman" w:hAnsi="Times New Roman"/>
              </w:rPr>
              <w:t>{060;010}</w:t>
            </w:r>
          </w:p>
        </w:tc>
        <w:tc>
          <w:tcPr>
            <w:tcW w:w="7620" w:type="dxa"/>
          </w:tcPr>
          <w:p w:rsidR="00410E47" w:rsidRPr="00AE79AC" w:rsidRDefault="00410E47" w:rsidP="007E2A41">
            <w:pPr>
              <w:pStyle w:val="BodyText1"/>
              <w:spacing w:line="240" w:lineRule="auto"/>
              <w:rPr>
                <w:rFonts w:ascii="Times New Roman" w:hAnsi="Times New Roman"/>
                <w:b/>
                <w:bCs/>
              </w:rPr>
            </w:pPr>
            <w:r w:rsidRPr="00AE79AC">
              <w:rPr>
                <w:rFonts w:ascii="Times New Roman" w:hAnsi="Times New Roman"/>
                <w:b/>
              </w:rPr>
              <w:t>Pochodne instrumenty finansowe – księgowa wartość bilansowa</w:t>
            </w:r>
          </w:p>
          <w:p w:rsidR="00410E47" w:rsidRPr="00AE79AC" w:rsidRDefault="00410E47" w:rsidP="007E2A41">
            <w:pPr>
              <w:pStyle w:val="BodyText1"/>
              <w:spacing w:line="240" w:lineRule="auto"/>
              <w:rPr>
                <w:rFonts w:ascii="Times New Roman" w:hAnsi="Times New Roman"/>
                <w:bCs/>
              </w:rPr>
            </w:pPr>
          </w:p>
          <w:p w:rsidR="00410E47" w:rsidRPr="00AE79AC" w:rsidRDefault="00410E47" w:rsidP="007E2A41">
            <w:pPr>
              <w:pStyle w:val="BodyText1"/>
              <w:spacing w:line="240" w:lineRule="auto"/>
              <w:rPr>
                <w:rFonts w:ascii="Times New Roman" w:hAnsi="Times New Roman"/>
                <w:bCs/>
              </w:rPr>
            </w:pPr>
            <w:r w:rsidRPr="00AE79AC">
              <w:rPr>
                <w:rFonts w:ascii="Times New Roman" w:hAnsi="Times New Roman"/>
              </w:rPr>
              <w:t xml:space="preserve">Art. 4 ust. 1 </w:t>
            </w:r>
            <w:r w:rsidRPr="002341B6">
              <w:rPr>
                <w:rFonts w:ascii="Times New Roman" w:hAnsi="Times New Roman"/>
              </w:rPr>
              <w:t>pkt</w:t>
            </w:r>
            <w:r w:rsidR="002341B6" w:rsidRPr="002341B6">
              <w:rPr>
                <w:rFonts w:ascii="Times New Roman" w:hAnsi="Times New Roman"/>
              </w:rPr>
              <w:t> </w:t>
            </w:r>
            <w:r w:rsidRPr="002341B6">
              <w:rPr>
                <w:rFonts w:ascii="Times New Roman" w:hAnsi="Times New Roman"/>
              </w:rPr>
              <w:t>7</w:t>
            </w:r>
            <w:r w:rsidRPr="00AE79AC">
              <w:rPr>
                <w:rFonts w:ascii="Times New Roman" w:hAnsi="Times New Roman"/>
              </w:rPr>
              <w:t>7 CRR</w:t>
            </w:r>
          </w:p>
          <w:p w:rsidR="00410E47" w:rsidRPr="00AE79AC" w:rsidRDefault="00410E47" w:rsidP="007E2A41">
            <w:pPr>
              <w:pStyle w:val="BodyText1"/>
              <w:spacing w:line="240" w:lineRule="auto"/>
              <w:rPr>
                <w:rFonts w:ascii="Times New Roman" w:hAnsi="Times New Roman"/>
                <w:bCs/>
              </w:rPr>
            </w:pPr>
          </w:p>
          <w:p w:rsidR="00410E47" w:rsidRPr="00AE79AC" w:rsidRDefault="00410E47" w:rsidP="007E2A41">
            <w:pPr>
              <w:pStyle w:val="BodyText1"/>
              <w:spacing w:line="240" w:lineRule="auto"/>
              <w:rPr>
                <w:rFonts w:ascii="Times New Roman" w:hAnsi="Times New Roman"/>
                <w:bCs/>
              </w:rPr>
            </w:pPr>
            <w:r w:rsidRPr="00AE79AC">
              <w:rPr>
                <w:rFonts w:ascii="Times New Roman" w:hAnsi="Times New Roman"/>
              </w:rPr>
              <w:t>Księgowa wartość bilansowa zgodnie z mającymi zastosowanie standardami rachunkowości w odniesieniu do umów wymienionych w załączniku II do CRR, jeżeli umowy ujmuje się w</w:t>
            </w:r>
            <w:r w:rsidR="00552B55">
              <w:rPr>
                <w:rFonts w:ascii="Times New Roman" w:hAnsi="Times New Roman"/>
              </w:rPr>
              <w:t> </w:t>
            </w:r>
            <w:r w:rsidRPr="00AE79AC">
              <w:rPr>
                <w:rFonts w:ascii="Times New Roman" w:hAnsi="Times New Roman"/>
              </w:rPr>
              <w:t>bilansie jako składnik aktywów.</w:t>
            </w:r>
          </w:p>
          <w:p w:rsidR="00410E47" w:rsidRPr="00AE79AC" w:rsidRDefault="00410E47" w:rsidP="007E2A41">
            <w:pPr>
              <w:pStyle w:val="BodyText1"/>
              <w:spacing w:line="240" w:lineRule="auto"/>
              <w:rPr>
                <w:rFonts w:ascii="Times New Roman" w:hAnsi="Times New Roman"/>
                <w:b/>
                <w:bCs/>
                <w:u w:val="single"/>
              </w:rPr>
            </w:pPr>
          </w:p>
        </w:tc>
      </w:tr>
      <w:tr w:rsidR="00410E47" w:rsidRPr="00AE79AC" w:rsidTr="00FC2664">
        <w:tc>
          <w:tcPr>
            <w:tcW w:w="1418" w:type="dxa"/>
          </w:tcPr>
          <w:p w:rsidR="00410E47" w:rsidRPr="00AE79AC" w:rsidRDefault="00410E47" w:rsidP="00F4754B">
            <w:pPr>
              <w:pStyle w:val="BodyText1"/>
              <w:rPr>
                <w:rFonts w:ascii="Times New Roman" w:hAnsi="Times New Roman"/>
                <w:bCs/>
              </w:rPr>
            </w:pPr>
            <w:r w:rsidRPr="00AE79AC">
              <w:rPr>
                <w:rFonts w:ascii="Times New Roman" w:hAnsi="Times New Roman"/>
              </w:rPr>
              <w:t>{060;020}</w:t>
            </w:r>
          </w:p>
        </w:tc>
        <w:tc>
          <w:tcPr>
            <w:tcW w:w="7620" w:type="dxa"/>
          </w:tcPr>
          <w:p w:rsidR="00410E47" w:rsidRPr="00AE79AC" w:rsidRDefault="00410E47" w:rsidP="007E2A41">
            <w:pPr>
              <w:pStyle w:val="BodyText1"/>
              <w:spacing w:line="240" w:lineRule="auto"/>
              <w:rPr>
                <w:rFonts w:ascii="Times New Roman" w:hAnsi="Times New Roman"/>
                <w:b/>
                <w:bCs/>
              </w:rPr>
            </w:pPr>
            <w:r w:rsidRPr="00AE79AC">
              <w:rPr>
                <w:rFonts w:ascii="Times New Roman" w:hAnsi="Times New Roman"/>
                <w:b/>
              </w:rPr>
              <w:t>Pochodne instrumenty finansowe – wartość księgowa przy założeniu niestosowania kompensat ani innego CRM</w:t>
            </w:r>
          </w:p>
          <w:p w:rsidR="00410E47" w:rsidRPr="00AE79AC" w:rsidRDefault="00410E47" w:rsidP="006162F0">
            <w:pPr>
              <w:pStyle w:val="BodyText1"/>
              <w:spacing w:line="240" w:lineRule="auto"/>
              <w:ind w:firstLine="720"/>
              <w:rPr>
                <w:rFonts w:ascii="Times New Roman" w:hAnsi="Times New Roman"/>
                <w:bCs/>
              </w:rPr>
            </w:pPr>
          </w:p>
          <w:p w:rsidR="00410E47" w:rsidRPr="00AE79AC" w:rsidRDefault="00410E47" w:rsidP="007E2A41">
            <w:pPr>
              <w:pStyle w:val="BodyText1"/>
              <w:spacing w:line="240" w:lineRule="auto"/>
              <w:rPr>
                <w:rFonts w:ascii="Times New Roman" w:hAnsi="Times New Roman"/>
                <w:bCs/>
              </w:rPr>
            </w:pPr>
            <w:r w:rsidRPr="00AE79AC">
              <w:rPr>
                <w:rFonts w:ascii="Times New Roman" w:hAnsi="Times New Roman"/>
              </w:rPr>
              <w:t xml:space="preserve">Art. 4 ust. 1 </w:t>
            </w:r>
            <w:r w:rsidRPr="002341B6">
              <w:rPr>
                <w:rFonts w:ascii="Times New Roman" w:hAnsi="Times New Roman"/>
              </w:rPr>
              <w:t>pkt</w:t>
            </w:r>
            <w:r w:rsidR="002341B6" w:rsidRPr="002341B6">
              <w:rPr>
                <w:rFonts w:ascii="Times New Roman" w:hAnsi="Times New Roman"/>
              </w:rPr>
              <w:t> </w:t>
            </w:r>
            <w:r w:rsidRPr="002341B6">
              <w:rPr>
                <w:rFonts w:ascii="Times New Roman" w:hAnsi="Times New Roman"/>
              </w:rPr>
              <w:t>7</w:t>
            </w:r>
            <w:r w:rsidRPr="00AE79AC">
              <w:rPr>
                <w:rFonts w:ascii="Times New Roman" w:hAnsi="Times New Roman"/>
              </w:rPr>
              <w:t>7 CRR</w:t>
            </w:r>
          </w:p>
          <w:p w:rsidR="00410E47" w:rsidRPr="00AE79AC" w:rsidRDefault="00410E47" w:rsidP="007E2A41">
            <w:pPr>
              <w:pStyle w:val="BodyText1"/>
              <w:spacing w:line="240" w:lineRule="auto"/>
              <w:rPr>
                <w:rFonts w:ascii="Times New Roman" w:hAnsi="Times New Roman"/>
                <w:bCs/>
              </w:rPr>
            </w:pPr>
          </w:p>
          <w:p w:rsidR="00410E47" w:rsidRPr="00AE79AC" w:rsidRDefault="00410E47" w:rsidP="007E2A41">
            <w:pPr>
              <w:pStyle w:val="BodyText1"/>
              <w:spacing w:line="240" w:lineRule="auto"/>
              <w:rPr>
                <w:rFonts w:ascii="Times New Roman" w:hAnsi="Times New Roman"/>
                <w:bCs/>
              </w:rPr>
            </w:pPr>
            <w:r w:rsidRPr="00AE79AC">
              <w:rPr>
                <w:rFonts w:ascii="Times New Roman" w:hAnsi="Times New Roman"/>
              </w:rPr>
              <w:t>Księgowa wartość bilansowa zgodnie z mającymi zastosowanie standardami rachunkowości w odniesieniu do umów wymienionych w załączniku II do CRR, jeżeli umowy uznaje się jako składnik aktywów bilansowych, przy założeniu niestosowania kompensat ostrożnościowych lub księgowych ani innych efektów CRM (tj. należy rozwiązać wszelkie kwoty wynikające z kompensat księgowych lub CRM, które miały wpływ na wartość księgową).</w:t>
            </w:r>
          </w:p>
          <w:p w:rsidR="00410E47" w:rsidRPr="00AE79AC" w:rsidRDefault="00410E47" w:rsidP="007E2A41">
            <w:pPr>
              <w:pStyle w:val="BodyText1"/>
              <w:spacing w:line="240" w:lineRule="auto"/>
              <w:rPr>
                <w:rFonts w:ascii="Times New Roman" w:hAnsi="Times New Roman"/>
                <w:b/>
                <w:bCs/>
                <w:u w:val="single"/>
              </w:rPr>
            </w:pPr>
          </w:p>
        </w:tc>
      </w:tr>
      <w:tr w:rsidR="00410E47" w:rsidRPr="00AE79AC" w:rsidTr="00FC2664">
        <w:tc>
          <w:tcPr>
            <w:tcW w:w="1418" w:type="dxa"/>
          </w:tcPr>
          <w:p w:rsidR="00410E47" w:rsidRPr="00AE79AC" w:rsidRDefault="00410E47" w:rsidP="00F70A83">
            <w:pPr>
              <w:pStyle w:val="BodyText1"/>
              <w:rPr>
                <w:rFonts w:ascii="Times New Roman" w:hAnsi="Times New Roman"/>
                <w:bCs/>
              </w:rPr>
            </w:pPr>
            <w:r w:rsidRPr="00AE79AC">
              <w:rPr>
                <w:rFonts w:ascii="Times New Roman" w:hAnsi="Times New Roman"/>
              </w:rPr>
              <w:t>{060;050}</w:t>
            </w:r>
          </w:p>
        </w:tc>
        <w:tc>
          <w:tcPr>
            <w:tcW w:w="7620" w:type="dxa"/>
          </w:tcPr>
          <w:p w:rsidR="00410E47" w:rsidRPr="00AE79AC" w:rsidRDefault="00410E47" w:rsidP="007E2A41">
            <w:pPr>
              <w:pStyle w:val="BodyText1"/>
              <w:spacing w:line="240" w:lineRule="auto"/>
              <w:rPr>
                <w:rFonts w:ascii="Times New Roman" w:hAnsi="Times New Roman"/>
                <w:b/>
                <w:bCs/>
              </w:rPr>
            </w:pPr>
            <w:r w:rsidRPr="00AE79AC">
              <w:rPr>
                <w:rFonts w:ascii="Times New Roman" w:hAnsi="Times New Roman"/>
                <w:b/>
              </w:rPr>
              <w:t>Pochodne instrumenty finansowe – narzut obliczony metodą wyceny według wartości rynkowej (przy założeniu niestosowania kompensat ani innego CRM)</w:t>
            </w:r>
          </w:p>
          <w:p w:rsidR="00410E47" w:rsidRPr="00AE79AC" w:rsidRDefault="00410E47" w:rsidP="007E2A41">
            <w:pPr>
              <w:pStyle w:val="BodyText1"/>
              <w:spacing w:line="240" w:lineRule="auto"/>
              <w:rPr>
                <w:rFonts w:ascii="Times New Roman" w:hAnsi="Times New Roman"/>
                <w:b/>
                <w:bCs/>
              </w:rPr>
            </w:pPr>
          </w:p>
          <w:p w:rsidR="00410E47" w:rsidRPr="00AE79AC" w:rsidRDefault="00410E47" w:rsidP="007E2A41">
            <w:pPr>
              <w:pStyle w:val="BodyText1"/>
              <w:spacing w:line="240" w:lineRule="auto"/>
              <w:rPr>
                <w:rFonts w:ascii="Times New Roman" w:hAnsi="Times New Roman"/>
                <w:bCs/>
              </w:rPr>
            </w:pPr>
            <w:r w:rsidRPr="00AE79AC">
              <w:rPr>
                <w:rFonts w:ascii="Times New Roman" w:hAnsi="Times New Roman"/>
              </w:rPr>
              <w:t>Art. 274 CRR</w:t>
            </w:r>
          </w:p>
          <w:p w:rsidR="00410E47" w:rsidRPr="00AE79AC" w:rsidRDefault="00410E47" w:rsidP="007E2A41">
            <w:pPr>
              <w:pStyle w:val="BodyText1"/>
              <w:spacing w:line="240" w:lineRule="auto"/>
              <w:rPr>
                <w:rFonts w:ascii="Times New Roman" w:hAnsi="Times New Roman"/>
                <w:bCs/>
              </w:rPr>
            </w:pPr>
          </w:p>
          <w:p w:rsidR="00410E47" w:rsidRPr="00AE79AC" w:rsidRDefault="00410E47" w:rsidP="007E2A41">
            <w:pPr>
              <w:pStyle w:val="BodyText1"/>
              <w:spacing w:line="240" w:lineRule="auto"/>
              <w:rPr>
                <w:rFonts w:ascii="Times New Roman" w:hAnsi="Times New Roman"/>
                <w:bCs/>
              </w:rPr>
            </w:pPr>
            <w:r w:rsidRPr="00AE79AC">
              <w:rPr>
                <w:rFonts w:ascii="Times New Roman" w:hAnsi="Times New Roman"/>
              </w:rPr>
              <w:t>W tej komórce podaje się regulacyjną potencjalną przyszłą ekspozycję umów wymienionych w załączniku II do CRR, przy założeniu niestosowania kompensat ani innego CRM.</w:t>
            </w:r>
          </w:p>
          <w:p w:rsidR="00410E47" w:rsidRPr="00AE79AC" w:rsidRDefault="00410E47" w:rsidP="007E2A41">
            <w:pPr>
              <w:pStyle w:val="BodyText1"/>
              <w:spacing w:line="240" w:lineRule="auto"/>
              <w:rPr>
                <w:rFonts w:ascii="Times New Roman" w:hAnsi="Times New Roman"/>
                <w:b/>
                <w:bCs/>
                <w:u w:val="single"/>
              </w:rPr>
            </w:pPr>
          </w:p>
        </w:tc>
      </w:tr>
      <w:tr w:rsidR="00410E47" w:rsidRPr="00AE79AC" w:rsidTr="00FC2664">
        <w:tc>
          <w:tcPr>
            <w:tcW w:w="1418" w:type="dxa"/>
          </w:tcPr>
          <w:p w:rsidR="00410E47" w:rsidRPr="00AE79AC" w:rsidRDefault="00410E47" w:rsidP="00F71081">
            <w:pPr>
              <w:pStyle w:val="BodyText1"/>
              <w:rPr>
                <w:rFonts w:ascii="Times New Roman" w:hAnsi="Times New Roman"/>
                <w:bCs/>
              </w:rPr>
            </w:pPr>
            <w:r w:rsidRPr="00AE79AC">
              <w:rPr>
                <w:rFonts w:ascii="Times New Roman" w:hAnsi="Times New Roman"/>
              </w:rPr>
              <w:t>{060;070}</w:t>
            </w:r>
          </w:p>
        </w:tc>
        <w:tc>
          <w:tcPr>
            <w:tcW w:w="7620" w:type="dxa"/>
          </w:tcPr>
          <w:p w:rsidR="00410E47" w:rsidRPr="00AE79AC" w:rsidRDefault="00410E47" w:rsidP="007E2A41">
            <w:pPr>
              <w:pStyle w:val="BodyText1"/>
              <w:spacing w:line="240" w:lineRule="auto"/>
              <w:rPr>
                <w:rFonts w:ascii="Times New Roman" w:hAnsi="Times New Roman"/>
                <w:b/>
                <w:bCs/>
              </w:rPr>
            </w:pPr>
            <w:r w:rsidRPr="00AE79AC">
              <w:rPr>
                <w:rFonts w:ascii="Times New Roman" w:hAnsi="Times New Roman"/>
                <w:b/>
              </w:rPr>
              <w:t>Pochodne instrumenty finansowe – kwota nominalna</w:t>
            </w:r>
          </w:p>
          <w:p w:rsidR="00410E47" w:rsidRPr="00AE79AC" w:rsidRDefault="00410E47" w:rsidP="007E2A41">
            <w:pPr>
              <w:pStyle w:val="BodyText1"/>
              <w:spacing w:line="240" w:lineRule="auto"/>
              <w:rPr>
                <w:rFonts w:ascii="Times New Roman" w:hAnsi="Times New Roman"/>
                <w:bCs/>
              </w:rPr>
            </w:pPr>
          </w:p>
          <w:p w:rsidR="00410E47" w:rsidRPr="00AE79AC" w:rsidRDefault="00410E47" w:rsidP="007E2A41">
            <w:pPr>
              <w:pStyle w:val="BodyText1"/>
              <w:spacing w:line="240" w:lineRule="auto"/>
              <w:rPr>
                <w:rFonts w:ascii="Times New Roman" w:hAnsi="Times New Roman"/>
                <w:bCs/>
              </w:rPr>
            </w:pPr>
            <w:r w:rsidRPr="00AE79AC">
              <w:rPr>
                <w:rFonts w:ascii="Times New Roman" w:hAnsi="Times New Roman"/>
              </w:rPr>
              <w:t>W tej komórce uwzględnia się kwotę nominalną umów wymienionych w załączniku II do CRR.</w:t>
            </w:r>
          </w:p>
          <w:p w:rsidR="00410E47" w:rsidRPr="00AE79AC" w:rsidRDefault="00410E47" w:rsidP="007E2A41">
            <w:pPr>
              <w:pStyle w:val="BodyText1"/>
              <w:spacing w:line="240" w:lineRule="auto"/>
              <w:rPr>
                <w:rFonts w:ascii="Times New Roman" w:hAnsi="Times New Roman"/>
                <w:b/>
                <w:bCs/>
                <w:u w:val="single"/>
              </w:rPr>
            </w:pPr>
          </w:p>
        </w:tc>
      </w:tr>
      <w:tr w:rsidR="00410E47" w:rsidRPr="00AE79AC" w:rsidTr="00FC2664">
        <w:tc>
          <w:tcPr>
            <w:tcW w:w="1418" w:type="dxa"/>
          </w:tcPr>
          <w:p w:rsidR="00410E47" w:rsidRPr="00AE79AC" w:rsidRDefault="00410E47" w:rsidP="00F4754B">
            <w:pPr>
              <w:pStyle w:val="BodyText1"/>
              <w:rPr>
                <w:rFonts w:ascii="Times New Roman" w:hAnsi="Times New Roman"/>
                <w:bCs/>
              </w:rPr>
            </w:pPr>
            <w:r w:rsidRPr="00AE79AC">
              <w:rPr>
                <w:rFonts w:ascii="Times New Roman" w:hAnsi="Times New Roman"/>
              </w:rPr>
              <w:t>{070;010}</w:t>
            </w:r>
          </w:p>
        </w:tc>
        <w:tc>
          <w:tcPr>
            <w:tcW w:w="7620" w:type="dxa"/>
          </w:tcPr>
          <w:p w:rsidR="00410E47" w:rsidRPr="00AE79AC" w:rsidRDefault="00A36A43" w:rsidP="007E2A41">
            <w:pPr>
              <w:pStyle w:val="BodyText1"/>
              <w:spacing w:line="240" w:lineRule="auto"/>
              <w:rPr>
                <w:rFonts w:ascii="Times New Roman" w:hAnsi="Times New Roman"/>
                <w:b/>
                <w:bCs/>
              </w:rPr>
            </w:pPr>
            <w:r w:rsidRPr="00AE79AC">
              <w:rPr>
                <w:rFonts w:ascii="Times New Roman" w:hAnsi="Times New Roman"/>
                <w:b/>
              </w:rPr>
              <w:t>SFT objęte umową ramową o kompensowaniu zobowiązań – księgowa wartość bilansowa</w:t>
            </w:r>
          </w:p>
          <w:p w:rsidR="00410E47" w:rsidRPr="00AE79AC" w:rsidRDefault="00410E47" w:rsidP="007E2A41">
            <w:pPr>
              <w:pStyle w:val="BodyText1"/>
              <w:spacing w:line="240" w:lineRule="auto"/>
              <w:rPr>
                <w:rFonts w:ascii="Times New Roman" w:hAnsi="Times New Roman"/>
                <w:bCs/>
              </w:rPr>
            </w:pPr>
          </w:p>
          <w:p w:rsidR="00410E47" w:rsidRPr="00AE79AC" w:rsidRDefault="00410E47" w:rsidP="007E2A41">
            <w:pPr>
              <w:pStyle w:val="BodyText1"/>
              <w:spacing w:line="240" w:lineRule="auto"/>
              <w:rPr>
                <w:rFonts w:ascii="Times New Roman" w:hAnsi="Times New Roman"/>
                <w:bCs/>
              </w:rPr>
            </w:pPr>
            <w:r w:rsidRPr="00AE79AC">
              <w:rPr>
                <w:rFonts w:ascii="Times New Roman" w:hAnsi="Times New Roman"/>
              </w:rPr>
              <w:t xml:space="preserve">Art. 4 ust. 1 </w:t>
            </w:r>
            <w:r w:rsidRPr="002341B6">
              <w:rPr>
                <w:rFonts w:ascii="Times New Roman" w:hAnsi="Times New Roman"/>
              </w:rPr>
              <w:t>pkt</w:t>
            </w:r>
            <w:r w:rsidR="002341B6" w:rsidRPr="002341B6">
              <w:rPr>
                <w:rFonts w:ascii="Times New Roman" w:hAnsi="Times New Roman"/>
              </w:rPr>
              <w:t> </w:t>
            </w:r>
            <w:r w:rsidRPr="002341B6">
              <w:rPr>
                <w:rFonts w:ascii="Times New Roman" w:hAnsi="Times New Roman"/>
              </w:rPr>
              <w:t>7</w:t>
            </w:r>
            <w:r w:rsidRPr="00AE79AC">
              <w:rPr>
                <w:rFonts w:ascii="Times New Roman" w:hAnsi="Times New Roman"/>
              </w:rPr>
              <w:t>7 i art. 206 CRR</w:t>
            </w:r>
          </w:p>
          <w:p w:rsidR="00410E47" w:rsidRPr="00AE79AC" w:rsidRDefault="00410E47" w:rsidP="007E2A41">
            <w:pPr>
              <w:pStyle w:val="BodyText1"/>
              <w:spacing w:line="240" w:lineRule="auto"/>
              <w:rPr>
                <w:rFonts w:ascii="Times New Roman" w:hAnsi="Times New Roman"/>
                <w:bCs/>
              </w:rPr>
            </w:pPr>
          </w:p>
          <w:p w:rsidR="00410E47" w:rsidRPr="00AE79AC" w:rsidRDefault="00410E47" w:rsidP="007E2A41">
            <w:pPr>
              <w:pStyle w:val="BodyText1"/>
              <w:spacing w:line="240" w:lineRule="auto"/>
              <w:rPr>
                <w:rFonts w:ascii="Times New Roman" w:hAnsi="Times New Roman"/>
                <w:bCs/>
              </w:rPr>
            </w:pPr>
            <w:r w:rsidRPr="00AE79AC">
              <w:rPr>
                <w:rFonts w:ascii="Times New Roman" w:hAnsi="Times New Roman"/>
              </w:rPr>
              <w:t>Księgowa wartość bilansowa SFT zgodnie z mającymi zastosowanie standardami rachunkowości, które objęte są umową ramową o kompensowaniu zobowiązań kwalifikowalną na mocy art. 206 CRR.</w:t>
            </w:r>
          </w:p>
          <w:p w:rsidR="00410E47" w:rsidRPr="00AE79AC" w:rsidRDefault="00410E47" w:rsidP="007E2A41">
            <w:pPr>
              <w:pStyle w:val="BodyText1"/>
              <w:spacing w:line="240" w:lineRule="auto"/>
              <w:rPr>
                <w:rFonts w:ascii="Times New Roman" w:hAnsi="Times New Roman"/>
                <w:bCs/>
              </w:rPr>
            </w:pPr>
          </w:p>
          <w:p w:rsidR="00410E47" w:rsidRPr="00AE79AC" w:rsidRDefault="00410E47" w:rsidP="007E2A41">
            <w:pPr>
              <w:pStyle w:val="BodyText1"/>
              <w:spacing w:line="240" w:lineRule="auto"/>
              <w:rPr>
                <w:rFonts w:ascii="Times New Roman" w:hAnsi="Times New Roman"/>
                <w:b/>
                <w:bCs/>
                <w:u w:val="single"/>
              </w:rPr>
            </w:pPr>
            <w:r w:rsidRPr="00AE79AC">
              <w:rPr>
                <w:rFonts w:ascii="Times New Roman" w:hAnsi="Times New Roman"/>
              </w:rPr>
              <w:t>W tej komórce instytucje nie uwzględniają otrzymanych środków pieniężnych ani żadnych papierów wartościowych przekazanych kontrahentowi w ramach wyżej wymienionych transakcji i zachowanych w bilansie (tj. nie zostały spełnione kryteria rachunkowe w</w:t>
            </w:r>
            <w:r w:rsidR="00552B55">
              <w:rPr>
                <w:rFonts w:ascii="Times New Roman" w:hAnsi="Times New Roman"/>
              </w:rPr>
              <w:t> </w:t>
            </w:r>
            <w:r w:rsidRPr="00AE79AC">
              <w:rPr>
                <w:rFonts w:ascii="Times New Roman" w:hAnsi="Times New Roman"/>
              </w:rPr>
              <w:t>zakresie usunięcia z bilansu). Instytucje podają te pozycje w komórce {090,010}.</w:t>
            </w:r>
            <w:r w:rsidRPr="00AE79AC">
              <w:rPr>
                <w:rFonts w:ascii="Times New Roman" w:hAnsi="Times New Roman"/>
                <w:b/>
                <w:u w:val="single"/>
              </w:rPr>
              <w:t xml:space="preserve"> </w:t>
            </w:r>
          </w:p>
          <w:p w:rsidR="00410E47" w:rsidRPr="00AE79AC" w:rsidRDefault="00410E47" w:rsidP="007E2A41">
            <w:pPr>
              <w:pStyle w:val="BodyText1"/>
              <w:spacing w:line="240" w:lineRule="auto"/>
              <w:rPr>
                <w:rFonts w:ascii="Times New Roman" w:hAnsi="Times New Roman"/>
                <w:b/>
                <w:bCs/>
                <w:u w:val="single"/>
              </w:rPr>
            </w:pPr>
          </w:p>
        </w:tc>
      </w:tr>
      <w:tr w:rsidR="00410E47" w:rsidRPr="00AE79AC" w:rsidTr="00FC2664">
        <w:tc>
          <w:tcPr>
            <w:tcW w:w="1418" w:type="dxa"/>
          </w:tcPr>
          <w:p w:rsidR="00410E47" w:rsidRPr="00AE79AC" w:rsidRDefault="00410E47" w:rsidP="00F4754B">
            <w:pPr>
              <w:pStyle w:val="BodyText1"/>
              <w:rPr>
                <w:rFonts w:ascii="Times New Roman" w:hAnsi="Times New Roman"/>
                <w:bCs/>
              </w:rPr>
            </w:pPr>
            <w:r w:rsidRPr="00AE79AC">
              <w:rPr>
                <w:rFonts w:ascii="Times New Roman" w:hAnsi="Times New Roman"/>
              </w:rPr>
              <w:t>{070;020}</w:t>
            </w:r>
          </w:p>
        </w:tc>
        <w:tc>
          <w:tcPr>
            <w:tcW w:w="7620" w:type="dxa"/>
          </w:tcPr>
          <w:p w:rsidR="00410E47" w:rsidRPr="00AE79AC" w:rsidRDefault="00A36A43" w:rsidP="007E2A41">
            <w:pPr>
              <w:pStyle w:val="BodyText1"/>
              <w:spacing w:line="240" w:lineRule="auto"/>
              <w:rPr>
                <w:rFonts w:ascii="Times New Roman" w:hAnsi="Times New Roman"/>
                <w:b/>
                <w:bCs/>
              </w:rPr>
            </w:pPr>
            <w:r w:rsidRPr="00AE79AC">
              <w:rPr>
                <w:rFonts w:ascii="Times New Roman" w:hAnsi="Times New Roman"/>
                <w:b/>
              </w:rPr>
              <w:t>SFT objęte umową ramową o kompensowaniu zobowiązań – wartość księgowa przy założeniu niestosowania kompensat ani innego CRM</w:t>
            </w:r>
          </w:p>
          <w:p w:rsidR="00410E47" w:rsidRPr="00AE79AC" w:rsidRDefault="00410E47" w:rsidP="007E2A41">
            <w:pPr>
              <w:pStyle w:val="BodyText1"/>
              <w:spacing w:line="240" w:lineRule="auto"/>
              <w:rPr>
                <w:rFonts w:ascii="Times New Roman" w:hAnsi="Times New Roman"/>
                <w:bCs/>
              </w:rPr>
            </w:pPr>
          </w:p>
          <w:p w:rsidR="00410E47" w:rsidRPr="00AE79AC" w:rsidRDefault="00410E47" w:rsidP="007E2A41">
            <w:pPr>
              <w:pStyle w:val="BodyText1"/>
              <w:spacing w:line="240" w:lineRule="auto"/>
              <w:rPr>
                <w:rFonts w:ascii="Times New Roman" w:hAnsi="Times New Roman"/>
                <w:bCs/>
              </w:rPr>
            </w:pPr>
            <w:r w:rsidRPr="00AE79AC">
              <w:rPr>
                <w:rFonts w:ascii="Times New Roman" w:hAnsi="Times New Roman"/>
              </w:rPr>
              <w:t xml:space="preserve">Art. 4 ust. 1 </w:t>
            </w:r>
            <w:r w:rsidRPr="002341B6">
              <w:rPr>
                <w:rFonts w:ascii="Times New Roman" w:hAnsi="Times New Roman"/>
              </w:rPr>
              <w:t>pkt</w:t>
            </w:r>
            <w:r w:rsidR="002341B6" w:rsidRPr="002341B6">
              <w:rPr>
                <w:rFonts w:ascii="Times New Roman" w:hAnsi="Times New Roman"/>
              </w:rPr>
              <w:t> </w:t>
            </w:r>
            <w:r w:rsidRPr="002341B6">
              <w:rPr>
                <w:rFonts w:ascii="Times New Roman" w:hAnsi="Times New Roman"/>
              </w:rPr>
              <w:t>7</w:t>
            </w:r>
            <w:r w:rsidRPr="00AE79AC">
              <w:rPr>
                <w:rFonts w:ascii="Times New Roman" w:hAnsi="Times New Roman"/>
              </w:rPr>
              <w:t>7 i art. 206 CRR</w:t>
            </w:r>
          </w:p>
          <w:p w:rsidR="00410E47" w:rsidRPr="00AE79AC" w:rsidRDefault="00410E47" w:rsidP="007E2A41">
            <w:pPr>
              <w:pStyle w:val="BodyText1"/>
              <w:spacing w:line="240" w:lineRule="auto"/>
              <w:rPr>
                <w:rFonts w:ascii="Times New Roman" w:hAnsi="Times New Roman"/>
                <w:bCs/>
              </w:rPr>
            </w:pPr>
          </w:p>
          <w:p w:rsidR="00410E47" w:rsidRPr="00AE79AC" w:rsidRDefault="00410E47" w:rsidP="007E2A41">
            <w:pPr>
              <w:pStyle w:val="BodyText1"/>
              <w:spacing w:line="240" w:lineRule="auto"/>
              <w:rPr>
                <w:rFonts w:ascii="Times New Roman" w:hAnsi="Times New Roman"/>
                <w:bCs/>
              </w:rPr>
            </w:pPr>
            <w:r w:rsidRPr="00AE79AC">
              <w:rPr>
                <w:rFonts w:ascii="Times New Roman" w:hAnsi="Times New Roman"/>
              </w:rPr>
              <w:t>Księgowa wartość bilansowa zgodnie z mającymi zastosowanie standardami rachunkowości w odniesieniu do SFT, które objęte są umową ramową o kompensowaniu zobowiązań kwalifikowalną na mocy art. 206 CRR, jeżeli umowy uznaje się jako składnik aktywów bilansowych przy założeniu niestosowania kompensat ostrożnościowych lub księgowych ani innych efektów CRM (tj. należy rozwiązać wszelkie kwoty wynikające z kompensat księgowych lub CRM, które miały wpływ na wartość księgową). Ponadto jeżeli zaksięgowano sprzedaż w odniesieniu do SFT w ramach mających zastosowanie standardów rachunkowości, instytucje rozwiązują wszystkie zaksięgowane pozycje dotyczące sprzedaży.</w:t>
            </w:r>
          </w:p>
          <w:p w:rsidR="00410E47" w:rsidRPr="00AE79AC" w:rsidRDefault="00410E47" w:rsidP="007E2A41">
            <w:pPr>
              <w:pStyle w:val="BodyText1"/>
              <w:spacing w:line="240" w:lineRule="auto"/>
              <w:rPr>
                <w:rFonts w:ascii="Times New Roman" w:hAnsi="Times New Roman"/>
                <w:b/>
                <w:bCs/>
                <w:u w:val="single"/>
              </w:rPr>
            </w:pPr>
          </w:p>
          <w:p w:rsidR="00410E47" w:rsidRPr="00AE79AC" w:rsidRDefault="00410E47" w:rsidP="007E2A41">
            <w:pPr>
              <w:pStyle w:val="BodyText1"/>
              <w:spacing w:line="240" w:lineRule="auto"/>
              <w:rPr>
                <w:rFonts w:ascii="Times New Roman" w:hAnsi="Times New Roman"/>
                <w:bCs/>
              </w:rPr>
            </w:pPr>
            <w:r w:rsidRPr="00AE79AC">
              <w:rPr>
                <w:rFonts w:ascii="Times New Roman" w:hAnsi="Times New Roman"/>
              </w:rPr>
              <w:t>W tej komórce instytucje nie uwzględniają otrzymanych środków pieniężnych ani żadnych papierów wartościowych przekazanych kontrahentowi w ramach wyżej wymienionych transakcji i zachowanych w bilansie (tj. nie zostały spełnione kryteria rachunkowe w</w:t>
            </w:r>
            <w:r w:rsidR="00552B55">
              <w:rPr>
                <w:rFonts w:ascii="Times New Roman" w:hAnsi="Times New Roman"/>
              </w:rPr>
              <w:t> </w:t>
            </w:r>
            <w:r w:rsidRPr="00AE79AC">
              <w:rPr>
                <w:rFonts w:ascii="Times New Roman" w:hAnsi="Times New Roman"/>
              </w:rPr>
              <w:t>zakresie usunięcia z bilansu). Instytucje podają te pozycje w komórce {090,020}.</w:t>
            </w:r>
          </w:p>
          <w:p w:rsidR="00410E47" w:rsidRPr="00AE79AC" w:rsidRDefault="00410E47" w:rsidP="007E2A41">
            <w:pPr>
              <w:pStyle w:val="BodyText1"/>
              <w:spacing w:line="240" w:lineRule="auto"/>
              <w:rPr>
                <w:rFonts w:ascii="Times New Roman" w:hAnsi="Times New Roman"/>
                <w:b/>
                <w:bCs/>
                <w:u w:val="single"/>
              </w:rPr>
            </w:pPr>
          </w:p>
        </w:tc>
      </w:tr>
      <w:tr w:rsidR="00410E47" w:rsidRPr="00AE79AC" w:rsidTr="00FC2664">
        <w:tc>
          <w:tcPr>
            <w:tcW w:w="1418" w:type="dxa"/>
          </w:tcPr>
          <w:p w:rsidR="00410E47" w:rsidRPr="00AE79AC" w:rsidRDefault="00410E47" w:rsidP="00F71081">
            <w:pPr>
              <w:pStyle w:val="BodyText1"/>
              <w:rPr>
                <w:rFonts w:ascii="Times New Roman" w:hAnsi="Times New Roman"/>
                <w:bCs/>
              </w:rPr>
            </w:pPr>
            <w:r w:rsidRPr="00AE79AC">
              <w:rPr>
                <w:rFonts w:ascii="Times New Roman" w:hAnsi="Times New Roman"/>
              </w:rPr>
              <w:t>{070;040}</w:t>
            </w:r>
          </w:p>
        </w:tc>
        <w:tc>
          <w:tcPr>
            <w:tcW w:w="7620" w:type="dxa"/>
          </w:tcPr>
          <w:p w:rsidR="00410E47" w:rsidRPr="00AE79AC" w:rsidRDefault="00410E47" w:rsidP="007E2A41">
            <w:pPr>
              <w:pStyle w:val="BodyText1"/>
              <w:spacing w:line="240" w:lineRule="auto"/>
              <w:rPr>
                <w:rFonts w:ascii="Times New Roman" w:hAnsi="Times New Roman"/>
                <w:b/>
                <w:bCs/>
              </w:rPr>
            </w:pPr>
            <w:r w:rsidRPr="00AE79AC">
              <w:rPr>
                <w:rFonts w:ascii="Times New Roman" w:hAnsi="Times New Roman"/>
                <w:b/>
              </w:rPr>
              <w:t>SFT objęte umową ramową o kompensowaniu zobowiązań – narzut z tytułu SFT</w:t>
            </w:r>
          </w:p>
          <w:p w:rsidR="00410E47" w:rsidRPr="00AE79AC" w:rsidRDefault="00410E47" w:rsidP="007E2A41">
            <w:pPr>
              <w:pStyle w:val="BodyText1"/>
              <w:spacing w:line="240" w:lineRule="auto"/>
              <w:rPr>
                <w:rFonts w:ascii="Times New Roman" w:hAnsi="Times New Roman"/>
                <w:bCs/>
              </w:rPr>
            </w:pPr>
            <w:r w:rsidRPr="00AE79AC">
              <w:rPr>
                <w:rFonts w:ascii="Times New Roman" w:hAnsi="Times New Roman"/>
              </w:rPr>
              <w:t>Art. 206 CRR</w:t>
            </w:r>
          </w:p>
          <w:p w:rsidR="00410E47" w:rsidRPr="00AE79AC" w:rsidRDefault="00410E47" w:rsidP="007E2A41">
            <w:pPr>
              <w:pStyle w:val="BodyText1"/>
              <w:spacing w:line="240" w:lineRule="auto"/>
              <w:rPr>
                <w:rFonts w:ascii="Times New Roman" w:hAnsi="Times New Roman"/>
                <w:bCs/>
              </w:rPr>
            </w:pPr>
          </w:p>
          <w:p w:rsidR="00410E47" w:rsidRPr="00AE79AC" w:rsidRDefault="00410E47" w:rsidP="007E2A41">
            <w:pPr>
              <w:pStyle w:val="BodyText1"/>
              <w:spacing w:line="240" w:lineRule="auto"/>
              <w:rPr>
                <w:rFonts w:ascii="Times New Roman" w:hAnsi="Times New Roman"/>
                <w:b/>
                <w:bCs/>
              </w:rPr>
            </w:pPr>
            <w:r w:rsidRPr="00AE79AC">
              <w:rPr>
                <w:rFonts w:ascii="Times New Roman" w:hAnsi="Times New Roman"/>
              </w:rPr>
              <w:t>W przypadku SFT, w tym transakcji pozabilansowych, które objęte są umową ramową o</w:t>
            </w:r>
            <w:r w:rsidR="00552B55">
              <w:rPr>
                <w:rFonts w:ascii="Times New Roman" w:hAnsi="Times New Roman"/>
              </w:rPr>
              <w:t> </w:t>
            </w:r>
            <w:r w:rsidRPr="00AE79AC">
              <w:rPr>
                <w:rFonts w:ascii="Times New Roman" w:hAnsi="Times New Roman"/>
              </w:rPr>
              <w:t>kompensowaniu zobowiązań spełniającą wymogi zawarte w art. 206 CRR, instytucje tworzą pakiety kompensowania. W przypadku każdego pakietu kompensowania instytucje obliczają narzut w odniesieniu do bieżącej ekspozycji kontrahenta (CCE) zgodnie ze wzorem:</w:t>
            </w:r>
          </w:p>
          <w:p w:rsidR="00410E47" w:rsidRPr="00AE79AC" w:rsidRDefault="00410E47" w:rsidP="007E2A41">
            <w:pPr>
              <w:pStyle w:val="BodyText1"/>
              <w:spacing w:line="240" w:lineRule="auto"/>
              <w:rPr>
                <w:rFonts w:ascii="Times New Roman" w:hAnsi="Times New Roman"/>
                <w:bCs/>
              </w:rPr>
            </w:pPr>
          </w:p>
          <w:p w:rsidR="00410E47" w:rsidRPr="00AE79AC" w:rsidRDefault="00410E47" w:rsidP="007E2A41">
            <w:pPr>
              <w:pStyle w:val="BodyText1"/>
              <w:spacing w:line="240" w:lineRule="auto"/>
              <w:rPr>
                <w:rFonts w:ascii="Times New Roman" w:hAnsi="Times New Roman"/>
                <w:bCs/>
              </w:rPr>
            </w:pPr>
            <m:oMath>
              <m:r>
                <w:rPr>
                  <w:rFonts w:ascii="Cambria Math" w:hAnsi="Cambria Math"/>
                </w:rPr>
                <m:t>CCE</m:t>
              </m:r>
              <m:r>
                <w:rPr>
                  <w:rFonts w:ascii="Cambria Math" w:hAnsi="Times New Roman"/>
                </w:rPr>
                <m:t xml:space="preserve">= </m:t>
              </m:r>
              <m:r>
                <w:rPr>
                  <w:rFonts w:ascii="Cambria Math" w:hAnsi="Cambria Math"/>
                </w:rPr>
                <m:t>max</m:t>
              </m:r>
              <m:d>
                <m:dPr>
                  <m:begChr m:val="{"/>
                  <m:endChr m:val="}"/>
                  <m:ctrlPr>
                    <w:rPr>
                      <w:rFonts w:ascii="Cambria Math" w:hAnsi="Times New Roman"/>
                      <w:bCs/>
                      <w:i/>
                    </w:rPr>
                  </m:ctrlPr>
                </m:dPr>
                <m:e>
                  <m:d>
                    <m:dPr>
                      <m:ctrlPr>
                        <w:rPr>
                          <w:rFonts w:ascii="Cambria Math" w:hAnsi="Times New Roman"/>
                          <w:bCs/>
                          <w:i/>
                        </w:rPr>
                      </m:ctrlPr>
                    </m:dPr>
                    <m:e>
                      <m:nary>
                        <m:naryPr>
                          <m:chr m:val="∑"/>
                          <m:limLoc m:val="undOvr"/>
                          <m:supHide m:val="1"/>
                          <m:ctrlPr>
                            <w:rPr>
                              <w:rFonts w:ascii="Cambria Math" w:hAnsi="Times New Roman"/>
                              <w:bCs/>
                              <w:i/>
                            </w:rPr>
                          </m:ctrlPr>
                        </m:naryPr>
                        <m:sub>
                          <m:r>
                            <w:rPr>
                              <w:rFonts w:ascii="Cambria Math" w:hAnsi="Cambria Math"/>
                            </w:rPr>
                            <m:t>i</m:t>
                          </m:r>
                        </m:sub>
                        <m:sup/>
                        <m:e>
                          <m:sSub>
                            <m:sSubPr>
                              <m:ctrlPr>
                                <w:rPr>
                                  <w:rFonts w:ascii="Cambria Math" w:hAnsi="Times New Roman"/>
                                  <w:bCs/>
                                  <w:i/>
                                </w:rPr>
                              </m:ctrlPr>
                            </m:sSubPr>
                            <m:e>
                              <m:r>
                                <w:rPr>
                                  <w:rFonts w:ascii="Cambria Math" w:hAnsi="Cambria Math"/>
                                </w:rPr>
                                <m:t>E</m:t>
                              </m:r>
                            </m:e>
                            <m:sub>
                              <m:r>
                                <w:rPr>
                                  <w:rFonts w:ascii="Cambria Math" w:hAnsi="Cambria Math"/>
                                </w:rPr>
                                <m:t>i</m:t>
                              </m:r>
                            </m:sub>
                          </m:sSub>
                          <m:r>
                            <w:rPr>
                              <w:rFonts w:ascii="Times New Roman" w:hAnsi="Times New Roman"/>
                            </w:rPr>
                            <m:t>-</m:t>
                          </m:r>
                          <m:nary>
                            <m:naryPr>
                              <m:chr m:val="∑"/>
                              <m:limLoc m:val="undOvr"/>
                              <m:supHide m:val="1"/>
                              <m:ctrlPr>
                                <w:rPr>
                                  <w:rFonts w:ascii="Cambria Math" w:hAnsi="Times New Roman"/>
                                  <w:bCs/>
                                  <w:i/>
                                </w:rPr>
                              </m:ctrlPr>
                            </m:naryPr>
                            <m:sub>
                              <m:r>
                                <w:rPr>
                                  <w:rFonts w:ascii="Cambria Math" w:hAnsi="Cambria Math"/>
                                </w:rPr>
                                <m:t>i</m:t>
                              </m:r>
                            </m:sub>
                            <m:sup/>
                            <m:e>
                              <m:sSub>
                                <m:sSubPr>
                                  <m:ctrlPr>
                                    <w:rPr>
                                      <w:rFonts w:ascii="Cambria Math" w:hAnsi="Times New Roman"/>
                                      <w:bCs/>
                                      <w:i/>
                                    </w:rPr>
                                  </m:ctrlPr>
                                </m:sSubPr>
                                <m:e>
                                  <m:r>
                                    <w:rPr>
                                      <w:rFonts w:ascii="Cambria Math" w:hAnsi="Cambria Math"/>
                                    </w:rPr>
                                    <m:t>C</m:t>
                                  </m:r>
                                </m:e>
                                <m:sub>
                                  <m:r>
                                    <w:rPr>
                                      <w:rFonts w:ascii="Cambria Math" w:hAnsi="Cambria Math"/>
                                    </w:rPr>
                                    <m:t>i</m:t>
                                  </m:r>
                                </m:sub>
                              </m:sSub>
                            </m:e>
                          </m:nary>
                        </m:e>
                      </m:nary>
                    </m:e>
                  </m:d>
                  <m:r>
                    <w:rPr>
                      <w:rFonts w:ascii="Cambria Math" w:hAnsi="Times New Roman"/>
                    </w:rPr>
                    <m:t>;0</m:t>
                  </m:r>
                </m:e>
              </m:d>
            </m:oMath>
            <w:r w:rsidRPr="00AE79AC">
              <w:rPr>
                <w:rFonts w:ascii="Times New Roman" w:hAnsi="Times New Roman"/>
              </w:rPr>
              <w:t xml:space="preserve"> </w:t>
            </w:r>
          </w:p>
          <w:p w:rsidR="00410E47" w:rsidRPr="00AE79AC" w:rsidRDefault="00410E47" w:rsidP="007E2A41">
            <w:pPr>
              <w:pStyle w:val="BodyText1"/>
              <w:spacing w:line="240" w:lineRule="auto"/>
              <w:rPr>
                <w:rFonts w:ascii="Times New Roman" w:hAnsi="Times New Roman"/>
                <w:bCs/>
              </w:rPr>
            </w:pPr>
            <w:r w:rsidRPr="00AE79AC">
              <w:rPr>
                <w:rFonts w:ascii="Times New Roman" w:hAnsi="Times New Roman"/>
              </w:rPr>
              <w:t xml:space="preserve"> </w:t>
            </w:r>
          </w:p>
          <w:p w:rsidR="00410E47" w:rsidRPr="00AE79AC" w:rsidRDefault="00410E47" w:rsidP="007E2A41">
            <w:pPr>
              <w:pStyle w:val="BodyText1"/>
              <w:spacing w:line="240" w:lineRule="auto"/>
              <w:rPr>
                <w:rFonts w:ascii="Times New Roman" w:hAnsi="Times New Roman"/>
                <w:bCs/>
              </w:rPr>
            </w:pPr>
            <w:r w:rsidRPr="00AE79AC">
              <w:rPr>
                <w:rFonts w:ascii="Times New Roman" w:hAnsi="Times New Roman"/>
              </w:rPr>
              <w:t>gdzie:</w:t>
            </w:r>
          </w:p>
          <w:p w:rsidR="00410E47" w:rsidRPr="00AE79AC" w:rsidRDefault="00410E47" w:rsidP="007E2A41">
            <w:pPr>
              <w:pStyle w:val="BodyText1"/>
              <w:spacing w:line="240" w:lineRule="auto"/>
              <w:rPr>
                <w:rFonts w:ascii="Times New Roman" w:hAnsi="Times New Roman"/>
                <w:bCs/>
              </w:rPr>
            </w:pPr>
            <w:r w:rsidRPr="00AE79AC">
              <w:rPr>
                <w:rFonts w:ascii="Times New Roman" w:hAnsi="Times New Roman"/>
              </w:rPr>
              <w:t>i = każda transakcja włączona do pakietu kompensowania.</w:t>
            </w:r>
          </w:p>
          <w:p w:rsidR="00410E47" w:rsidRPr="00AE79AC" w:rsidRDefault="00410E47" w:rsidP="007E2A41">
            <w:pPr>
              <w:pStyle w:val="BodyText1"/>
              <w:spacing w:line="240" w:lineRule="auto"/>
              <w:rPr>
                <w:rFonts w:ascii="Times New Roman" w:hAnsi="Times New Roman"/>
                <w:bCs/>
              </w:rPr>
            </w:pPr>
            <w:r w:rsidRPr="00AE79AC">
              <w:rPr>
                <w:rFonts w:ascii="Times New Roman" w:hAnsi="Times New Roman"/>
              </w:rPr>
              <w:t>E</w:t>
            </w:r>
            <w:r w:rsidRPr="00AE79AC">
              <w:rPr>
                <w:rFonts w:ascii="Times New Roman" w:hAnsi="Times New Roman"/>
                <w:vertAlign w:val="subscript"/>
              </w:rPr>
              <w:t>i</w:t>
            </w:r>
            <w:r w:rsidRPr="00AE79AC">
              <w:rPr>
                <w:rFonts w:ascii="Times New Roman" w:hAnsi="Times New Roman"/>
              </w:rPr>
              <w:t xml:space="preserve"> = dla transakcji i, wartość </w:t>
            </w:r>
            <w:proofErr w:type="spellStart"/>
            <w:r w:rsidRPr="00AE79AC">
              <w:rPr>
                <w:rFonts w:ascii="Times New Roman" w:hAnsi="Times New Roman"/>
              </w:rPr>
              <w:t>E</w:t>
            </w:r>
            <w:r w:rsidRPr="00AE79AC">
              <w:rPr>
                <w:rFonts w:ascii="Times New Roman" w:hAnsi="Times New Roman"/>
                <w:vertAlign w:val="subscript"/>
              </w:rPr>
              <w:t>i</w:t>
            </w:r>
            <w:proofErr w:type="spellEnd"/>
            <w:r w:rsidRPr="00AE79AC">
              <w:rPr>
                <w:rFonts w:ascii="Times New Roman" w:hAnsi="Times New Roman"/>
              </w:rPr>
              <w:t xml:space="preserve"> określona w </w:t>
            </w:r>
            <w:r w:rsidRPr="002341B6">
              <w:rPr>
                <w:rFonts w:ascii="Times New Roman" w:hAnsi="Times New Roman"/>
              </w:rPr>
              <w:t>art.</w:t>
            </w:r>
            <w:r w:rsidR="002341B6" w:rsidRPr="002341B6">
              <w:rPr>
                <w:rFonts w:ascii="Times New Roman" w:hAnsi="Times New Roman"/>
              </w:rPr>
              <w:t> </w:t>
            </w:r>
            <w:r w:rsidRPr="002341B6">
              <w:rPr>
                <w:rFonts w:ascii="Times New Roman" w:hAnsi="Times New Roman"/>
              </w:rPr>
              <w:t>2</w:t>
            </w:r>
            <w:r w:rsidRPr="00AE79AC">
              <w:rPr>
                <w:rFonts w:ascii="Times New Roman" w:hAnsi="Times New Roman"/>
              </w:rPr>
              <w:t xml:space="preserve">20 </w:t>
            </w:r>
            <w:r w:rsidRPr="002341B6">
              <w:rPr>
                <w:rFonts w:ascii="Times New Roman" w:hAnsi="Times New Roman"/>
              </w:rPr>
              <w:t>ust.</w:t>
            </w:r>
            <w:r w:rsidR="002341B6" w:rsidRPr="002341B6">
              <w:rPr>
                <w:rFonts w:ascii="Times New Roman" w:hAnsi="Times New Roman"/>
              </w:rPr>
              <w:t> </w:t>
            </w:r>
            <w:r w:rsidRPr="002341B6">
              <w:rPr>
                <w:rFonts w:ascii="Times New Roman" w:hAnsi="Times New Roman"/>
              </w:rPr>
              <w:t>3</w:t>
            </w:r>
            <w:r w:rsidRPr="00AE79AC">
              <w:rPr>
                <w:rFonts w:ascii="Times New Roman" w:hAnsi="Times New Roman"/>
              </w:rPr>
              <w:t xml:space="preserve"> CRR.</w:t>
            </w:r>
          </w:p>
          <w:p w:rsidR="00410E47" w:rsidRPr="00AE79AC" w:rsidRDefault="00410E47" w:rsidP="007E2A41">
            <w:pPr>
              <w:pStyle w:val="BodyText1"/>
              <w:spacing w:line="240" w:lineRule="auto"/>
              <w:rPr>
                <w:rFonts w:ascii="Times New Roman" w:hAnsi="Times New Roman"/>
                <w:bCs/>
              </w:rPr>
            </w:pPr>
            <w:r w:rsidRPr="00AE79AC">
              <w:rPr>
                <w:rFonts w:ascii="Times New Roman" w:hAnsi="Times New Roman"/>
              </w:rPr>
              <w:t>C</w:t>
            </w:r>
            <w:r w:rsidRPr="00AE79AC">
              <w:rPr>
                <w:rFonts w:ascii="Times New Roman" w:hAnsi="Times New Roman"/>
                <w:vertAlign w:val="subscript"/>
              </w:rPr>
              <w:t>i</w:t>
            </w:r>
            <w:r w:rsidRPr="00AE79AC">
              <w:rPr>
                <w:rFonts w:ascii="Times New Roman" w:hAnsi="Times New Roman"/>
              </w:rPr>
              <w:t xml:space="preserve"> = dla transakcji i, wartość C</w:t>
            </w:r>
            <w:r w:rsidRPr="00AE79AC">
              <w:rPr>
                <w:rFonts w:ascii="Times New Roman" w:hAnsi="Times New Roman"/>
                <w:vertAlign w:val="subscript"/>
              </w:rPr>
              <w:t>i</w:t>
            </w:r>
            <w:r w:rsidRPr="00AE79AC">
              <w:rPr>
                <w:rFonts w:ascii="Times New Roman" w:hAnsi="Times New Roman"/>
              </w:rPr>
              <w:t xml:space="preserve"> określona w </w:t>
            </w:r>
            <w:r w:rsidRPr="002341B6">
              <w:rPr>
                <w:rFonts w:ascii="Times New Roman" w:hAnsi="Times New Roman"/>
              </w:rPr>
              <w:t>art.</w:t>
            </w:r>
            <w:r w:rsidR="002341B6" w:rsidRPr="002341B6">
              <w:rPr>
                <w:rFonts w:ascii="Times New Roman" w:hAnsi="Times New Roman"/>
              </w:rPr>
              <w:t> </w:t>
            </w:r>
            <w:r w:rsidRPr="002341B6">
              <w:rPr>
                <w:rFonts w:ascii="Times New Roman" w:hAnsi="Times New Roman"/>
              </w:rPr>
              <w:t>2</w:t>
            </w:r>
            <w:r w:rsidRPr="00AE79AC">
              <w:rPr>
                <w:rFonts w:ascii="Times New Roman" w:hAnsi="Times New Roman"/>
              </w:rPr>
              <w:t xml:space="preserve">20 </w:t>
            </w:r>
            <w:r w:rsidRPr="002341B6">
              <w:rPr>
                <w:rFonts w:ascii="Times New Roman" w:hAnsi="Times New Roman"/>
              </w:rPr>
              <w:t>ust.</w:t>
            </w:r>
            <w:r w:rsidR="002341B6" w:rsidRPr="002341B6">
              <w:rPr>
                <w:rFonts w:ascii="Times New Roman" w:hAnsi="Times New Roman"/>
              </w:rPr>
              <w:t> </w:t>
            </w:r>
            <w:r w:rsidRPr="002341B6">
              <w:rPr>
                <w:rFonts w:ascii="Times New Roman" w:hAnsi="Times New Roman"/>
              </w:rPr>
              <w:t>3</w:t>
            </w:r>
            <w:r w:rsidRPr="00AE79AC">
              <w:rPr>
                <w:rFonts w:ascii="Times New Roman" w:hAnsi="Times New Roman"/>
              </w:rPr>
              <w:t xml:space="preserve"> CRR.</w:t>
            </w:r>
          </w:p>
          <w:p w:rsidR="00410E47" w:rsidRPr="00AE79AC" w:rsidRDefault="00410E47" w:rsidP="007E2A41">
            <w:pPr>
              <w:pStyle w:val="BodyText1"/>
              <w:spacing w:line="240" w:lineRule="auto"/>
              <w:rPr>
                <w:rFonts w:ascii="Times New Roman" w:hAnsi="Times New Roman"/>
                <w:b/>
                <w:bCs/>
              </w:rPr>
            </w:pPr>
          </w:p>
          <w:p w:rsidR="00410E47" w:rsidRPr="00AE79AC" w:rsidRDefault="00410E47" w:rsidP="007E2A41">
            <w:pPr>
              <w:pStyle w:val="BodyText1"/>
              <w:spacing w:line="240" w:lineRule="auto"/>
              <w:rPr>
                <w:rFonts w:ascii="Times New Roman" w:hAnsi="Times New Roman"/>
                <w:b/>
                <w:bCs/>
              </w:rPr>
            </w:pPr>
            <w:r w:rsidRPr="00AE79AC">
              <w:rPr>
                <w:rFonts w:ascii="Times New Roman" w:hAnsi="Times New Roman"/>
              </w:rPr>
              <w:t>Instytucje sumują wyniki obliczeń wg przedmiotowego wzoru dla wszystkich pakietów kompensowania i uzyskany w ten sposób wynik zgłaszają w niniejszej komórce.</w:t>
            </w:r>
          </w:p>
          <w:p w:rsidR="00410E47" w:rsidRPr="00AE79AC" w:rsidRDefault="00410E47" w:rsidP="007E2A41">
            <w:pPr>
              <w:pStyle w:val="BodyText1"/>
              <w:spacing w:line="240" w:lineRule="auto"/>
              <w:rPr>
                <w:rFonts w:ascii="Times New Roman" w:hAnsi="Times New Roman"/>
                <w:b/>
                <w:bCs/>
              </w:rPr>
            </w:pPr>
          </w:p>
        </w:tc>
      </w:tr>
      <w:tr w:rsidR="00410E47" w:rsidRPr="00AE79AC" w:rsidTr="00FC2664">
        <w:tc>
          <w:tcPr>
            <w:tcW w:w="1418" w:type="dxa"/>
          </w:tcPr>
          <w:p w:rsidR="00410E47" w:rsidRPr="00AE79AC" w:rsidRDefault="00410E47" w:rsidP="00F4754B">
            <w:pPr>
              <w:pStyle w:val="BodyText1"/>
              <w:rPr>
                <w:rFonts w:ascii="Times New Roman" w:hAnsi="Times New Roman"/>
                <w:bCs/>
              </w:rPr>
            </w:pPr>
            <w:r w:rsidRPr="00AE79AC">
              <w:rPr>
                <w:rFonts w:ascii="Times New Roman" w:hAnsi="Times New Roman"/>
              </w:rPr>
              <w:t>{080;010}</w:t>
            </w:r>
          </w:p>
        </w:tc>
        <w:tc>
          <w:tcPr>
            <w:tcW w:w="7620" w:type="dxa"/>
          </w:tcPr>
          <w:p w:rsidR="00410E47" w:rsidRPr="00AE79AC" w:rsidRDefault="00CF66B5" w:rsidP="007E2A41">
            <w:pPr>
              <w:pStyle w:val="BodyText1"/>
              <w:spacing w:line="240" w:lineRule="auto"/>
              <w:rPr>
                <w:rFonts w:ascii="Times New Roman" w:hAnsi="Times New Roman"/>
                <w:b/>
                <w:bCs/>
              </w:rPr>
            </w:pPr>
            <w:r w:rsidRPr="00AE79AC">
              <w:rPr>
                <w:rFonts w:ascii="Times New Roman" w:hAnsi="Times New Roman"/>
                <w:b/>
              </w:rPr>
              <w:t>SFT nieobjęte umową ramową o kompensowaniu zobowiązań – księgowa wartość bilansowa</w:t>
            </w:r>
          </w:p>
          <w:p w:rsidR="00410E47" w:rsidRPr="00AE79AC" w:rsidRDefault="00410E47" w:rsidP="007E2A41">
            <w:pPr>
              <w:pStyle w:val="BodyText1"/>
              <w:spacing w:line="240" w:lineRule="auto"/>
              <w:rPr>
                <w:rFonts w:ascii="Times New Roman" w:hAnsi="Times New Roman"/>
                <w:bCs/>
              </w:rPr>
            </w:pPr>
          </w:p>
          <w:p w:rsidR="00410E47" w:rsidRPr="00AE79AC" w:rsidRDefault="00410E47" w:rsidP="007E2A41">
            <w:pPr>
              <w:pStyle w:val="BodyText1"/>
              <w:spacing w:line="240" w:lineRule="auto"/>
              <w:rPr>
                <w:rFonts w:ascii="Times New Roman" w:hAnsi="Times New Roman"/>
                <w:bCs/>
              </w:rPr>
            </w:pPr>
            <w:r w:rsidRPr="00AE79AC">
              <w:rPr>
                <w:rFonts w:ascii="Times New Roman" w:hAnsi="Times New Roman"/>
              </w:rPr>
              <w:t xml:space="preserve">Art. 4 ust. 1 </w:t>
            </w:r>
            <w:r w:rsidRPr="002341B6">
              <w:rPr>
                <w:rFonts w:ascii="Times New Roman" w:hAnsi="Times New Roman"/>
              </w:rPr>
              <w:t>pkt</w:t>
            </w:r>
            <w:r w:rsidR="002341B6" w:rsidRPr="002341B6">
              <w:rPr>
                <w:rFonts w:ascii="Times New Roman" w:hAnsi="Times New Roman"/>
              </w:rPr>
              <w:t> </w:t>
            </w:r>
            <w:r w:rsidRPr="002341B6">
              <w:rPr>
                <w:rFonts w:ascii="Times New Roman" w:hAnsi="Times New Roman"/>
              </w:rPr>
              <w:t>7</w:t>
            </w:r>
            <w:r w:rsidRPr="00AE79AC">
              <w:rPr>
                <w:rFonts w:ascii="Times New Roman" w:hAnsi="Times New Roman"/>
              </w:rPr>
              <w:t>7 CRR</w:t>
            </w:r>
          </w:p>
          <w:p w:rsidR="00410E47" w:rsidRPr="00AE79AC" w:rsidRDefault="00410E47" w:rsidP="007E2A41">
            <w:pPr>
              <w:pStyle w:val="BodyText1"/>
              <w:spacing w:line="240" w:lineRule="auto"/>
              <w:rPr>
                <w:rFonts w:ascii="Times New Roman" w:hAnsi="Times New Roman"/>
                <w:bCs/>
              </w:rPr>
            </w:pPr>
          </w:p>
          <w:p w:rsidR="00410E47" w:rsidRPr="00AE79AC" w:rsidRDefault="00410E47" w:rsidP="007E2A41">
            <w:pPr>
              <w:pStyle w:val="BodyText1"/>
              <w:spacing w:line="240" w:lineRule="auto"/>
              <w:rPr>
                <w:rFonts w:ascii="Times New Roman" w:hAnsi="Times New Roman"/>
                <w:bCs/>
              </w:rPr>
            </w:pPr>
            <w:r w:rsidRPr="00AE79AC">
              <w:rPr>
                <w:rFonts w:ascii="Times New Roman" w:hAnsi="Times New Roman"/>
              </w:rPr>
              <w:t xml:space="preserve">Księgowa wartość bilansowa zgodnie z mającymi zastosowanie standardami rachunkowości w odniesieniu do SFT, które </w:t>
            </w:r>
            <w:r w:rsidRPr="00AE79AC">
              <w:rPr>
                <w:rFonts w:ascii="Times New Roman" w:hAnsi="Times New Roman"/>
                <w:b/>
                <w:u w:val="single"/>
              </w:rPr>
              <w:t>nie</w:t>
            </w:r>
            <w:r w:rsidRPr="00AE79AC">
              <w:rPr>
                <w:rFonts w:ascii="Times New Roman" w:hAnsi="Times New Roman"/>
              </w:rPr>
              <w:t xml:space="preserve"> są objęte umową ramową o kompensowaniu zobowiązań kwalifikowalną na mocy art. 206 CRR, jeżeli umowy ujmuje się w bilansie jako składnik aktywów.</w:t>
            </w:r>
          </w:p>
          <w:p w:rsidR="00410E47" w:rsidRPr="00AE79AC" w:rsidRDefault="00410E47" w:rsidP="007E2A41">
            <w:pPr>
              <w:pStyle w:val="BodyText1"/>
              <w:spacing w:line="240" w:lineRule="auto"/>
              <w:rPr>
                <w:rFonts w:ascii="Times New Roman" w:hAnsi="Times New Roman"/>
                <w:bCs/>
              </w:rPr>
            </w:pPr>
          </w:p>
          <w:p w:rsidR="00410E47" w:rsidRPr="00AE79AC" w:rsidRDefault="00410E47" w:rsidP="007E2A41">
            <w:pPr>
              <w:pStyle w:val="BodyText1"/>
              <w:spacing w:line="240" w:lineRule="auto"/>
              <w:rPr>
                <w:rFonts w:ascii="Times New Roman" w:hAnsi="Times New Roman"/>
                <w:bCs/>
              </w:rPr>
            </w:pPr>
            <w:r w:rsidRPr="00AE79AC">
              <w:rPr>
                <w:rFonts w:ascii="Times New Roman" w:hAnsi="Times New Roman"/>
              </w:rPr>
              <w:t>W tej komórce instytucje nie uwzględniają otrzymanych środków pieniężnych ani żadnych papierów wartościowych przekazanych kontrahentowi w ramach wyżej wymienionych transakcji i zachowanych w bilansie (tj. nie zostały spełnione kryteria rachunkowe w</w:t>
            </w:r>
            <w:r w:rsidR="00552B55">
              <w:rPr>
                <w:rFonts w:ascii="Times New Roman" w:hAnsi="Times New Roman"/>
              </w:rPr>
              <w:t> </w:t>
            </w:r>
            <w:r w:rsidRPr="00AE79AC">
              <w:rPr>
                <w:rFonts w:ascii="Times New Roman" w:hAnsi="Times New Roman"/>
              </w:rPr>
              <w:t>zakresie usunięcia z bilansu). Instytucje podają te pozycje w komórce {090,010}.</w:t>
            </w:r>
            <w:r w:rsidRPr="00AE79AC">
              <w:rPr>
                <w:rFonts w:ascii="Times New Roman" w:hAnsi="Times New Roman"/>
                <w:b/>
                <w:u w:val="single"/>
              </w:rPr>
              <w:t xml:space="preserve"> </w:t>
            </w:r>
          </w:p>
          <w:p w:rsidR="00410E47" w:rsidRPr="00AE79AC" w:rsidRDefault="00410E47" w:rsidP="007E2A41">
            <w:pPr>
              <w:pStyle w:val="BodyText1"/>
              <w:spacing w:line="240" w:lineRule="auto"/>
              <w:rPr>
                <w:rFonts w:ascii="Times New Roman" w:hAnsi="Times New Roman"/>
                <w:b/>
                <w:bCs/>
                <w:u w:val="single"/>
              </w:rPr>
            </w:pPr>
          </w:p>
        </w:tc>
      </w:tr>
      <w:tr w:rsidR="00410E47" w:rsidRPr="00AE79AC" w:rsidTr="00FC2664">
        <w:tc>
          <w:tcPr>
            <w:tcW w:w="1418" w:type="dxa"/>
          </w:tcPr>
          <w:p w:rsidR="00410E47" w:rsidRPr="00AE79AC" w:rsidRDefault="00410E47" w:rsidP="00F4754B">
            <w:pPr>
              <w:pStyle w:val="BodyText1"/>
              <w:rPr>
                <w:rFonts w:ascii="Times New Roman" w:hAnsi="Times New Roman"/>
                <w:bCs/>
              </w:rPr>
            </w:pPr>
            <w:r w:rsidRPr="00AE79AC">
              <w:rPr>
                <w:rFonts w:ascii="Times New Roman" w:hAnsi="Times New Roman"/>
              </w:rPr>
              <w:t>{080;020}</w:t>
            </w:r>
          </w:p>
        </w:tc>
        <w:tc>
          <w:tcPr>
            <w:tcW w:w="7620" w:type="dxa"/>
          </w:tcPr>
          <w:p w:rsidR="00410E47" w:rsidRPr="00AE79AC" w:rsidRDefault="00CF66B5" w:rsidP="007E2A41">
            <w:pPr>
              <w:pStyle w:val="BodyText1"/>
              <w:spacing w:line="240" w:lineRule="auto"/>
              <w:rPr>
                <w:rFonts w:ascii="Times New Roman" w:hAnsi="Times New Roman"/>
                <w:b/>
                <w:bCs/>
              </w:rPr>
            </w:pPr>
            <w:r w:rsidRPr="00AE79AC">
              <w:rPr>
                <w:rFonts w:ascii="Times New Roman" w:hAnsi="Times New Roman"/>
                <w:b/>
              </w:rPr>
              <w:t>SFT nieobjęte umową ramową o kompensowaniu zobowiązań – wartość księgowa przy założeniu niestosowania kompensat ani innego CRM</w:t>
            </w:r>
          </w:p>
          <w:p w:rsidR="00410E47" w:rsidRPr="00AE79AC" w:rsidRDefault="00410E47" w:rsidP="007E2A41">
            <w:pPr>
              <w:pStyle w:val="BodyText1"/>
              <w:spacing w:line="240" w:lineRule="auto"/>
              <w:rPr>
                <w:rFonts w:ascii="Times New Roman" w:hAnsi="Times New Roman"/>
                <w:bCs/>
              </w:rPr>
            </w:pPr>
          </w:p>
          <w:p w:rsidR="00410E47" w:rsidRPr="00AE79AC" w:rsidRDefault="00410E47" w:rsidP="007E2A41">
            <w:pPr>
              <w:pStyle w:val="BodyText1"/>
              <w:spacing w:line="240" w:lineRule="auto"/>
              <w:rPr>
                <w:rFonts w:ascii="Times New Roman" w:hAnsi="Times New Roman"/>
                <w:bCs/>
              </w:rPr>
            </w:pPr>
            <w:r w:rsidRPr="00AE79AC">
              <w:rPr>
                <w:rFonts w:ascii="Times New Roman" w:hAnsi="Times New Roman"/>
              </w:rPr>
              <w:t xml:space="preserve">Art. 4 ust. 1 </w:t>
            </w:r>
            <w:r w:rsidRPr="002341B6">
              <w:rPr>
                <w:rFonts w:ascii="Times New Roman" w:hAnsi="Times New Roman"/>
              </w:rPr>
              <w:t>pkt</w:t>
            </w:r>
            <w:r w:rsidR="002341B6" w:rsidRPr="002341B6">
              <w:rPr>
                <w:rFonts w:ascii="Times New Roman" w:hAnsi="Times New Roman"/>
              </w:rPr>
              <w:t> </w:t>
            </w:r>
            <w:r w:rsidRPr="002341B6">
              <w:rPr>
                <w:rFonts w:ascii="Times New Roman" w:hAnsi="Times New Roman"/>
              </w:rPr>
              <w:t>7</w:t>
            </w:r>
            <w:r w:rsidRPr="00AE79AC">
              <w:rPr>
                <w:rFonts w:ascii="Times New Roman" w:hAnsi="Times New Roman"/>
              </w:rPr>
              <w:t>7 CRR</w:t>
            </w:r>
          </w:p>
          <w:p w:rsidR="00410E47" w:rsidRPr="00AE79AC" w:rsidRDefault="00410E47" w:rsidP="007E2A41">
            <w:pPr>
              <w:pStyle w:val="BodyText1"/>
              <w:spacing w:line="240" w:lineRule="auto"/>
              <w:rPr>
                <w:rFonts w:ascii="Times New Roman" w:hAnsi="Times New Roman"/>
                <w:bCs/>
              </w:rPr>
            </w:pPr>
          </w:p>
          <w:p w:rsidR="00410E47" w:rsidRPr="00AE79AC" w:rsidRDefault="00410E47" w:rsidP="007E2A41">
            <w:pPr>
              <w:pStyle w:val="BodyText1"/>
              <w:spacing w:line="240" w:lineRule="auto"/>
              <w:rPr>
                <w:rFonts w:ascii="Times New Roman" w:hAnsi="Times New Roman"/>
                <w:bCs/>
              </w:rPr>
            </w:pPr>
            <w:r w:rsidRPr="00AE79AC">
              <w:rPr>
                <w:rFonts w:ascii="Times New Roman" w:hAnsi="Times New Roman"/>
              </w:rPr>
              <w:t xml:space="preserve">Księgowa wartość bilansowa zgodnie z mającymi zastosowanie standardami rachunkowości w odniesieniu do SFT, które </w:t>
            </w:r>
            <w:r w:rsidRPr="00AE79AC">
              <w:rPr>
                <w:rFonts w:ascii="Times New Roman" w:hAnsi="Times New Roman"/>
                <w:b/>
                <w:u w:val="single"/>
              </w:rPr>
              <w:t>nie</w:t>
            </w:r>
            <w:r w:rsidRPr="00AE79AC">
              <w:rPr>
                <w:rFonts w:ascii="Times New Roman" w:hAnsi="Times New Roman"/>
              </w:rPr>
              <w:t xml:space="preserve"> są objęte umową ramową o kompensowaniu zobowiązań kwalifikowalną na mocy art. 206 CRR, jeżeli umowy ujmuje się w bilansie jako składnik aktywów przy założeniu niestosowania kompensat ostrożnościowych lub księgowych ani innych efektów CRM (tj. należy rozwiązać wszelkie kwoty wynikające z kompensat księgowych lub CRM, które miały wpływ na wartość księgową). Ponadto jeżeli zaksięgowano sprzedaż w odniesieniu do SFT w ramach mających zastosowanie standardów rachunkowości, instytucje rozwiązują wszystkie zaksięgowane pozycje dotyczące sprzedaży.</w:t>
            </w:r>
          </w:p>
          <w:p w:rsidR="00410E47" w:rsidRPr="00AE79AC" w:rsidRDefault="00410E47" w:rsidP="007E2A41">
            <w:pPr>
              <w:pStyle w:val="BodyText1"/>
              <w:spacing w:line="240" w:lineRule="auto"/>
              <w:rPr>
                <w:rFonts w:ascii="Times New Roman" w:hAnsi="Times New Roman"/>
                <w:bCs/>
              </w:rPr>
            </w:pPr>
          </w:p>
          <w:p w:rsidR="00410E47" w:rsidRPr="00AE79AC" w:rsidRDefault="00410E47" w:rsidP="007E2A41">
            <w:pPr>
              <w:pStyle w:val="BodyText1"/>
              <w:spacing w:line="240" w:lineRule="auto"/>
              <w:rPr>
                <w:rFonts w:ascii="Times New Roman" w:hAnsi="Times New Roman"/>
                <w:bCs/>
              </w:rPr>
            </w:pPr>
            <w:r w:rsidRPr="00AE79AC">
              <w:rPr>
                <w:rFonts w:ascii="Times New Roman" w:hAnsi="Times New Roman"/>
              </w:rPr>
              <w:t>W tej komórce instytucje nie uwzględniają otrzymanych środków pieniężnych ani żadnych papierów wartościowych przekazanych kontrahentowi w ramach wyżej wymienionych transakcji i zachowanych w bilansie (tj. nie zostały spełnione kryteria rachunkowe w</w:t>
            </w:r>
            <w:r w:rsidR="00552B55">
              <w:rPr>
                <w:rFonts w:ascii="Times New Roman" w:hAnsi="Times New Roman"/>
              </w:rPr>
              <w:t> </w:t>
            </w:r>
            <w:r w:rsidRPr="00AE79AC">
              <w:rPr>
                <w:rFonts w:ascii="Times New Roman" w:hAnsi="Times New Roman"/>
              </w:rPr>
              <w:t>zakresie usunięcia z bilansu). Instytucje podają te pozycje w komórce {090,020}.</w:t>
            </w:r>
          </w:p>
          <w:p w:rsidR="00410E47" w:rsidRPr="00AE79AC" w:rsidRDefault="00410E47" w:rsidP="007E2A41">
            <w:pPr>
              <w:pStyle w:val="BodyText1"/>
              <w:spacing w:line="240" w:lineRule="auto"/>
              <w:rPr>
                <w:rFonts w:ascii="Times New Roman" w:hAnsi="Times New Roman"/>
                <w:b/>
                <w:bCs/>
                <w:u w:val="single"/>
              </w:rPr>
            </w:pPr>
          </w:p>
        </w:tc>
      </w:tr>
      <w:tr w:rsidR="00410E47" w:rsidRPr="00AE79AC" w:rsidTr="00FC2664">
        <w:tc>
          <w:tcPr>
            <w:tcW w:w="1418" w:type="dxa"/>
          </w:tcPr>
          <w:p w:rsidR="00410E47" w:rsidRPr="00AE79AC" w:rsidRDefault="00410E47" w:rsidP="00F70A83">
            <w:pPr>
              <w:pStyle w:val="BodyText1"/>
              <w:rPr>
                <w:rFonts w:ascii="Times New Roman" w:hAnsi="Times New Roman"/>
                <w:bCs/>
              </w:rPr>
            </w:pPr>
            <w:r w:rsidRPr="00AE79AC">
              <w:rPr>
                <w:rFonts w:ascii="Times New Roman" w:hAnsi="Times New Roman"/>
              </w:rPr>
              <w:t>{080;040}</w:t>
            </w:r>
          </w:p>
        </w:tc>
        <w:tc>
          <w:tcPr>
            <w:tcW w:w="7620" w:type="dxa"/>
          </w:tcPr>
          <w:p w:rsidR="00410E47" w:rsidRPr="00AE79AC" w:rsidRDefault="00CF66B5" w:rsidP="007E2A41">
            <w:pPr>
              <w:pStyle w:val="BodyText1"/>
              <w:spacing w:line="240" w:lineRule="auto"/>
              <w:rPr>
                <w:rFonts w:ascii="Times New Roman" w:hAnsi="Times New Roman"/>
                <w:b/>
                <w:bCs/>
              </w:rPr>
            </w:pPr>
            <w:r w:rsidRPr="00AE79AC">
              <w:rPr>
                <w:rFonts w:ascii="Times New Roman" w:hAnsi="Times New Roman"/>
                <w:b/>
              </w:rPr>
              <w:t>SFT nieobjęte umową ramową o kompensowaniu zobowiązań – narzut z tytułu SFT</w:t>
            </w:r>
          </w:p>
          <w:p w:rsidR="00410E47" w:rsidRPr="00AE79AC" w:rsidRDefault="00410E47" w:rsidP="007E2A41">
            <w:pPr>
              <w:pStyle w:val="BodyText1"/>
              <w:spacing w:line="240" w:lineRule="auto"/>
              <w:rPr>
                <w:rFonts w:ascii="Times New Roman" w:hAnsi="Times New Roman"/>
                <w:b/>
                <w:bCs/>
              </w:rPr>
            </w:pPr>
          </w:p>
          <w:p w:rsidR="00410E47" w:rsidRPr="00AE79AC" w:rsidRDefault="00410E47" w:rsidP="007E2A41">
            <w:pPr>
              <w:pStyle w:val="BodyText1"/>
              <w:spacing w:line="240" w:lineRule="auto"/>
              <w:rPr>
                <w:rFonts w:ascii="Times New Roman" w:hAnsi="Times New Roman"/>
                <w:bCs/>
              </w:rPr>
            </w:pPr>
            <w:r w:rsidRPr="00AE79AC">
              <w:rPr>
                <w:rFonts w:ascii="Times New Roman" w:hAnsi="Times New Roman"/>
              </w:rPr>
              <w:t>Art. 206 CRR</w:t>
            </w:r>
          </w:p>
          <w:p w:rsidR="00410E47" w:rsidRPr="00AE79AC" w:rsidRDefault="00410E47" w:rsidP="007E2A41">
            <w:pPr>
              <w:pStyle w:val="BodyText1"/>
              <w:spacing w:line="240" w:lineRule="auto"/>
              <w:rPr>
                <w:rFonts w:ascii="Times New Roman" w:hAnsi="Times New Roman"/>
                <w:bCs/>
              </w:rPr>
            </w:pPr>
          </w:p>
          <w:p w:rsidR="00410E47" w:rsidRPr="00AE79AC" w:rsidRDefault="00410E47" w:rsidP="00217B44">
            <w:pPr>
              <w:pStyle w:val="BodyText1"/>
              <w:spacing w:line="240" w:lineRule="auto"/>
              <w:rPr>
                <w:color w:val="auto"/>
              </w:rPr>
            </w:pPr>
            <w:r w:rsidRPr="00AE79AC">
              <w:rPr>
                <w:rFonts w:ascii="Times New Roman" w:hAnsi="Times New Roman"/>
              </w:rPr>
              <w:t xml:space="preserve">W przypadku SFT, w tym transakcji pozabilansowych, które </w:t>
            </w:r>
            <w:r w:rsidRPr="00AE79AC">
              <w:rPr>
                <w:rFonts w:ascii="Times New Roman" w:hAnsi="Times New Roman"/>
                <w:b/>
                <w:u w:val="single"/>
              </w:rPr>
              <w:t>nie</w:t>
            </w:r>
            <w:r w:rsidRPr="00AE79AC">
              <w:rPr>
                <w:rFonts w:ascii="Times New Roman" w:hAnsi="Times New Roman"/>
              </w:rPr>
              <w:t xml:space="preserve"> są objęte umową ramową o</w:t>
            </w:r>
            <w:r w:rsidR="00552B55">
              <w:rPr>
                <w:rFonts w:ascii="Times New Roman" w:hAnsi="Times New Roman"/>
              </w:rPr>
              <w:t> </w:t>
            </w:r>
            <w:r w:rsidRPr="00AE79AC">
              <w:rPr>
                <w:rFonts w:ascii="Times New Roman" w:hAnsi="Times New Roman"/>
              </w:rPr>
              <w:t xml:space="preserve">kompensowaniu zobowiązań kwalifikującą się na mocy art. 206 CRR, instytucje tworzą pakiety obejmujące wszystkie składniki aktywów uwzględnione w transakcji (tj. każdą SFT traktuje się jako osobny pakiet) oraz określają w odniesieniu do każdego pakietu narzut dla bieżącej ekspozycji kontrahenta (CCE) zgodnie ze wzorem: </w:t>
            </w:r>
          </w:p>
          <w:p w:rsidR="00410E47" w:rsidRPr="00AE79AC" w:rsidRDefault="00410E47" w:rsidP="007E2A41">
            <w:pPr>
              <w:pStyle w:val="BodyText1"/>
              <w:spacing w:line="240" w:lineRule="auto"/>
              <w:rPr>
                <w:rFonts w:ascii="Times New Roman" w:hAnsi="Times New Roman"/>
                <w:bCs/>
              </w:rPr>
            </w:pPr>
          </w:p>
          <w:p w:rsidR="00410E47" w:rsidRPr="00AE79AC" w:rsidRDefault="00410E47" w:rsidP="007E2A41">
            <w:pPr>
              <w:pStyle w:val="BodyText1"/>
              <w:spacing w:line="240" w:lineRule="auto"/>
              <w:rPr>
                <w:rFonts w:ascii="Times New Roman" w:hAnsi="Times New Roman"/>
                <w:bCs/>
              </w:rPr>
            </w:pPr>
            <w:r w:rsidRPr="00AE79AC">
              <w:rPr>
                <w:rFonts w:ascii="Times New Roman" w:hAnsi="Times New Roman"/>
              </w:rPr>
              <w:t>CCE = max {(E – C); 0}</w:t>
            </w:r>
          </w:p>
          <w:p w:rsidR="00410E47" w:rsidRPr="00AE79AC" w:rsidRDefault="00410E47" w:rsidP="007E2A41">
            <w:pPr>
              <w:pStyle w:val="BodyText1"/>
              <w:spacing w:line="240" w:lineRule="auto"/>
              <w:rPr>
                <w:rFonts w:ascii="Times New Roman" w:hAnsi="Times New Roman"/>
                <w:bCs/>
              </w:rPr>
            </w:pPr>
          </w:p>
          <w:p w:rsidR="00410E47" w:rsidRPr="00AE79AC" w:rsidRDefault="00410E47" w:rsidP="007E2A41">
            <w:pPr>
              <w:pStyle w:val="BodyText1"/>
              <w:spacing w:line="240" w:lineRule="auto"/>
              <w:rPr>
                <w:rFonts w:ascii="Times New Roman" w:hAnsi="Times New Roman"/>
                <w:bCs/>
              </w:rPr>
            </w:pPr>
            <w:r w:rsidRPr="00AE79AC">
              <w:rPr>
                <w:rFonts w:ascii="Times New Roman" w:hAnsi="Times New Roman"/>
              </w:rPr>
              <w:t>gdzie:</w:t>
            </w:r>
          </w:p>
          <w:p w:rsidR="00410E47" w:rsidRPr="00AE79AC" w:rsidRDefault="00410E47" w:rsidP="007E2A41">
            <w:pPr>
              <w:pStyle w:val="BodyText1"/>
              <w:spacing w:line="240" w:lineRule="auto"/>
              <w:rPr>
                <w:rFonts w:ascii="Times New Roman" w:hAnsi="Times New Roman"/>
                <w:bCs/>
              </w:rPr>
            </w:pPr>
            <w:r w:rsidRPr="00AE79AC">
              <w:rPr>
                <w:rFonts w:ascii="Times New Roman" w:hAnsi="Times New Roman"/>
              </w:rPr>
              <w:t xml:space="preserve">E = wartość </w:t>
            </w:r>
            <w:proofErr w:type="spellStart"/>
            <w:r w:rsidRPr="00AE79AC">
              <w:rPr>
                <w:rFonts w:ascii="Times New Roman" w:hAnsi="Times New Roman"/>
              </w:rPr>
              <w:t>E</w:t>
            </w:r>
            <w:r w:rsidRPr="00AE79AC">
              <w:rPr>
                <w:rFonts w:ascii="Times New Roman" w:hAnsi="Times New Roman"/>
                <w:vertAlign w:val="subscript"/>
              </w:rPr>
              <w:t>i</w:t>
            </w:r>
            <w:proofErr w:type="spellEnd"/>
            <w:r w:rsidRPr="00AE79AC">
              <w:rPr>
                <w:rFonts w:ascii="Times New Roman" w:hAnsi="Times New Roman"/>
              </w:rPr>
              <w:t xml:space="preserve"> określona w </w:t>
            </w:r>
            <w:r w:rsidRPr="002341B6">
              <w:rPr>
                <w:rFonts w:ascii="Times New Roman" w:hAnsi="Times New Roman"/>
              </w:rPr>
              <w:t>art.</w:t>
            </w:r>
            <w:r w:rsidR="002341B6" w:rsidRPr="002341B6">
              <w:rPr>
                <w:rFonts w:ascii="Times New Roman" w:hAnsi="Times New Roman"/>
              </w:rPr>
              <w:t> </w:t>
            </w:r>
            <w:r w:rsidRPr="002341B6">
              <w:rPr>
                <w:rFonts w:ascii="Times New Roman" w:hAnsi="Times New Roman"/>
              </w:rPr>
              <w:t>2</w:t>
            </w:r>
            <w:r w:rsidRPr="00AE79AC">
              <w:rPr>
                <w:rFonts w:ascii="Times New Roman" w:hAnsi="Times New Roman"/>
              </w:rPr>
              <w:t xml:space="preserve">20 </w:t>
            </w:r>
            <w:r w:rsidRPr="002341B6">
              <w:rPr>
                <w:rFonts w:ascii="Times New Roman" w:hAnsi="Times New Roman"/>
              </w:rPr>
              <w:t>ust.</w:t>
            </w:r>
            <w:r w:rsidR="002341B6" w:rsidRPr="002341B6">
              <w:rPr>
                <w:rFonts w:ascii="Times New Roman" w:hAnsi="Times New Roman"/>
              </w:rPr>
              <w:t> </w:t>
            </w:r>
            <w:r w:rsidRPr="002341B6">
              <w:rPr>
                <w:rFonts w:ascii="Times New Roman" w:hAnsi="Times New Roman"/>
              </w:rPr>
              <w:t>3</w:t>
            </w:r>
            <w:r w:rsidRPr="00AE79AC">
              <w:rPr>
                <w:rFonts w:ascii="Times New Roman" w:hAnsi="Times New Roman"/>
              </w:rPr>
              <w:t xml:space="preserve"> CRR.</w:t>
            </w:r>
          </w:p>
          <w:p w:rsidR="00410E47" w:rsidRPr="00AE79AC" w:rsidRDefault="00410E47" w:rsidP="007E2A41">
            <w:pPr>
              <w:pStyle w:val="BodyText1"/>
              <w:spacing w:line="240" w:lineRule="auto"/>
              <w:rPr>
                <w:rFonts w:ascii="Times New Roman" w:hAnsi="Times New Roman"/>
                <w:bCs/>
              </w:rPr>
            </w:pPr>
            <w:r w:rsidRPr="00AE79AC">
              <w:rPr>
                <w:rFonts w:ascii="Times New Roman" w:hAnsi="Times New Roman"/>
              </w:rPr>
              <w:t>C = wartość C</w:t>
            </w:r>
            <w:r w:rsidRPr="00AE79AC">
              <w:rPr>
                <w:rFonts w:ascii="Times New Roman" w:hAnsi="Times New Roman"/>
                <w:vertAlign w:val="subscript"/>
              </w:rPr>
              <w:t>i</w:t>
            </w:r>
            <w:r w:rsidRPr="00AE79AC">
              <w:rPr>
                <w:rFonts w:ascii="Times New Roman" w:hAnsi="Times New Roman"/>
              </w:rPr>
              <w:t xml:space="preserve"> określona w </w:t>
            </w:r>
            <w:r w:rsidRPr="002341B6">
              <w:rPr>
                <w:rFonts w:ascii="Times New Roman" w:hAnsi="Times New Roman"/>
              </w:rPr>
              <w:t>art.</w:t>
            </w:r>
            <w:r w:rsidR="002341B6" w:rsidRPr="002341B6">
              <w:rPr>
                <w:rFonts w:ascii="Times New Roman" w:hAnsi="Times New Roman"/>
              </w:rPr>
              <w:t> </w:t>
            </w:r>
            <w:r w:rsidRPr="002341B6">
              <w:rPr>
                <w:rFonts w:ascii="Times New Roman" w:hAnsi="Times New Roman"/>
              </w:rPr>
              <w:t>2</w:t>
            </w:r>
            <w:r w:rsidRPr="00AE79AC">
              <w:rPr>
                <w:rFonts w:ascii="Times New Roman" w:hAnsi="Times New Roman"/>
              </w:rPr>
              <w:t xml:space="preserve">20 </w:t>
            </w:r>
            <w:r w:rsidRPr="002341B6">
              <w:rPr>
                <w:rFonts w:ascii="Times New Roman" w:hAnsi="Times New Roman"/>
              </w:rPr>
              <w:t>ust.</w:t>
            </w:r>
            <w:r w:rsidR="002341B6" w:rsidRPr="002341B6">
              <w:rPr>
                <w:rFonts w:ascii="Times New Roman" w:hAnsi="Times New Roman"/>
              </w:rPr>
              <w:t> </w:t>
            </w:r>
            <w:r w:rsidRPr="002341B6">
              <w:rPr>
                <w:rFonts w:ascii="Times New Roman" w:hAnsi="Times New Roman"/>
              </w:rPr>
              <w:t>3</w:t>
            </w:r>
            <w:r w:rsidRPr="00AE79AC">
              <w:rPr>
                <w:rFonts w:ascii="Times New Roman" w:hAnsi="Times New Roman"/>
              </w:rPr>
              <w:t xml:space="preserve"> CRR.</w:t>
            </w:r>
          </w:p>
          <w:p w:rsidR="00410E47" w:rsidRPr="00AE79AC" w:rsidRDefault="00410E47" w:rsidP="007E2A41">
            <w:pPr>
              <w:pStyle w:val="BodyText1"/>
              <w:spacing w:line="240" w:lineRule="auto"/>
              <w:rPr>
                <w:rFonts w:ascii="Times New Roman" w:hAnsi="Times New Roman"/>
                <w:b/>
                <w:bCs/>
                <w:u w:val="single"/>
              </w:rPr>
            </w:pPr>
          </w:p>
          <w:p w:rsidR="00410E47" w:rsidRPr="00AE79AC" w:rsidRDefault="00410E47" w:rsidP="007E2A41">
            <w:pPr>
              <w:pStyle w:val="BodyText1"/>
              <w:spacing w:line="240" w:lineRule="auto"/>
              <w:rPr>
                <w:rFonts w:ascii="Times New Roman" w:hAnsi="Times New Roman"/>
                <w:b/>
                <w:bCs/>
              </w:rPr>
            </w:pPr>
            <w:r w:rsidRPr="00AE79AC">
              <w:rPr>
                <w:rFonts w:ascii="Times New Roman" w:hAnsi="Times New Roman"/>
              </w:rPr>
              <w:t>Instytucje sumują wyniki zastosowania tego wzoru dla wszystkich wspomnianych pakietów i zgłaszają rezultat w tej komórce.</w:t>
            </w:r>
          </w:p>
          <w:p w:rsidR="00410E47" w:rsidRPr="00AE79AC" w:rsidRDefault="00410E47" w:rsidP="007E2A41">
            <w:pPr>
              <w:pStyle w:val="BodyText1"/>
              <w:spacing w:line="240" w:lineRule="auto"/>
              <w:rPr>
                <w:rFonts w:ascii="Times New Roman" w:hAnsi="Times New Roman"/>
                <w:b/>
                <w:bCs/>
                <w:u w:val="single"/>
              </w:rPr>
            </w:pPr>
          </w:p>
        </w:tc>
      </w:tr>
      <w:tr w:rsidR="00410E47" w:rsidRPr="00AE79AC" w:rsidTr="00FC2664">
        <w:tc>
          <w:tcPr>
            <w:tcW w:w="1418" w:type="dxa"/>
          </w:tcPr>
          <w:p w:rsidR="00410E47" w:rsidRPr="00AE79AC" w:rsidRDefault="00410E47" w:rsidP="00F4754B">
            <w:pPr>
              <w:pStyle w:val="BodyText1"/>
              <w:rPr>
                <w:rFonts w:ascii="Times New Roman" w:hAnsi="Times New Roman"/>
                <w:bCs/>
              </w:rPr>
            </w:pPr>
            <w:r w:rsidRPr="00AE79AC">
              <w:rPr>
                <w:rFonts w:ascii="Times New Roman" w:hAnsi="Times New Roman"/>
              </w:rPr>
              <w:t>{090;010}</w:t>
            </w:r>
          </w:p>
        </w:tc>
        <w:tc>
          <w:tcPr>
            <w:tcW w:w="7620" w:type="dxa"/>
          </w:tcPr>
          <w:p w:rsidR="00410E47" w:rsidRPr="00AE79AC" w:rsidRDefault="00410E47" w:rsidP="007E2A41">
            <w:pPr>
              <w:pStyle w:val="BodyText1"/>
              <w:spacing w:line="240" w:lineRule="auto"/>
              <w:rPr>
                <w:rFonts w:ascii="Times New Roman" w:hAnsi="Times New Roman"/>
                <w:b/>
                <w:bCs/>
              </w:rPr>
            </w:pPr>
            <w:r w:rsidRPr="00AE79AC">
              <w:rPr>
                <w:rFonts w:ascii="Times New Roman" w:hAnsi="Times New Roman"/>
                <w:b/>
              </w:rPr>
              <w:t>Inne aktywa – księgowa wartość bilansowa</w:t>
            </w:r>
          </w:p>
          <w:p w:rsidR="00410E47" w:rsidRPr="00AE79AC" w:rsidRDefault="00410E47" w:rsidP="007E2A41">
            <w:pPr>
              <w:pStyle w:val="BodyText1"/>
              <w:spacing w:line="240" w:lineRule="auto"/>
              <w:rPr>
                <w:rFonts w:ascii="Times New Roman" w:hAnsi="Times New Roman"/>
                <w:bCs/>
              </w:rPr>
            </w:pPr>
          </w:p>
          <w:p w:rsidR="00410E47" w:rsidRPr="00AE79AC" w:rsidRDefault="00410E47" w:rsidP="007E2A41">
            <w:pPr>
              <w:pStyle w:val="BodyText1"/>
              <w:spacing w:line="240" w:lineRule="auto"/>
              <w:rPr>
                <w:rFonts w:ascii="Times New Roman" w:hAnsi="Times New Roman"/>
                <w:bCs/>
              </w:rPr>
            </w:pPr>
            <w:r w:rsidRPr="00AE79AC">
              <w:rPr>
                <w:rFonts w:ascii="Times New Roman" w:hAnsi="Times New Roman"/>
              </w:rPr>
              <w:t xml:space="preserve">Art. 4 ust. 1 </w:t>
            </w:r>
            <w:r w:rsidRPr="002341B6">
              <w:rPr>
                <w:rFonts w:ascii="Times New Roman" w:hAnsi="Times New Roman"/>
              </w:rPr>
              <w:t>pkt</w:t>
            </w:r>
            <w:r w:rsidR="002341B6" w:rsidRPr="002341B6">
              <w:rPr>
                <w:rFonts w:ascii="Times New Roman" w:hAnsi="Times New Roman"/>
              </w:rPr>
              <w:t> </w:t>
            </w:r>
            <w:r w:rsidRPr="002341B6">
              <w:rPr>
                <w:rFonts w:ascii="Times New Roman" w:hAnsi="Times New Roman"/>
              </w:rPr>
              <w:t>7</w:t>
            </w:r>
            <w:r w:rsidRPr="00AE79AC">
              <w:rPr>
                <w:rFonts w:ascii="Times New Roman" w:hAnsi="Times New Roman"/>
              </w:rPr>
              <w:t>7 CRR</w:t>
            </w:r>
          </w:p>
          <w:p w:rsidR="00410E47" w:rsidRPr="00AE79AC" w:rsidRDefault="00410E47" w:rsidP="007E2A41">
            <w:pPr>
              <w:pStyle w:val="BodyText1"/>
              <w:spacing w:line="240" w:lineRule="auto"/>
              <w:rPr>
                <w:rFonts w:ascii="Times New Roman" w:hAnsi="Times New Roman"/>
                <w:bCs/>
              </w:rPr>
            </w:pPr>
          </w:p>
          <w:p w:rsidR="00410E47" w:rsidRPr="00AE79AC" w:rsidRDefault="00410E47" w:rsidP="007E2A41">
            <w:pPr>
              <w:pStyle w:val="BodyText1"/>
              <w:spacing w:line="240" w:lineRule="auto"/>
              <w:rPr>
                <w:rFonts w:ascii="Times New Roman" w:hAnsi="Times New Roman"/>
                <w:bCs/>
              </w:rPr>
            </w:pPr>
            <w:r w:rsidRPr="00AE79AC">
              <w:rPr>
                <w:rFonts w:ascii="Times New Roman" w:hAnsi="Times New Roman"/>
              </w:rPr>
              <w:t>Księgowa wartość bilansowa zgodnie z mającymi zastosowanie standardami rachunkowości w odniesieniu do wszystkich aktywów innych niż umowy wymienione w załączniku II do CRR, kredytowych instrumentów pochodnych oraz SFT.</w:t>
            </w:r>
          </w:p>
          <w:p w:rsidR="00410E47" w:rsidRPr="00AE79AC" w:rsidRDefault="00410E47" w:rsidP="007E2A41">
            <w:pPr>
              <w:pStyle w:val="BodyText1"/>
              <w:spacing w:line="240" w:lineRule="auto"/>
              <w:rPr>
                <w:rFonts w:ascii="Times New Roman" w:hAnsi="Times New Roman"/>
                <w:b/>
                <w:bCs/>
                <w:u w:val="single"/>
              </w:rPr>
            </w:pPr>
          </w:p>
        </w:tc>
      </w:tr>
      <w:tr w:rsidR="00410E47" w:rsidRPr="00AE79AC" w:rsidTr="00FC2664">
        <w:tc>
          <w:tcPr>
            <w:tcW w:w="1418" w:type="dxa"/>
          </w:tcPr>
          <w:p w:rsidR="00410E47" w:rsidRPr="00AE79AC" w:rsidRDefault="00410E47" w:rsidP="00F4754B">
            <w:pPr>
              <w:pStyle w:val="BodyText1"/>
              <w:rPr>
                <w:rFonts w:ascii="Times New Roman" w:hAnsi="Times New Roman"/>
                <w:bCs/>
              </w:rPr>
            </w:pPr>
            <w:r w:rsidRPr="00AE79AC">
              <w:rPr>
                <w:rFonts w:ascii="Times New Roman" w:hAnsi="Times New Roman"/>
              </w:rPr>
              <w:t>{090;020}</w:t>
            </w:r>
          </w:p>
        </w:tc>
        <w:tc>
          <w:tcPr>
            <w:tcW w:w="7620" w:type="dxa"/>
          </w:tcPr>
          <w:p w:rsidR="00410E47" w:rsidRPr="00AE79AC" w:rsidRDefault="00410E47" w:rsidP="007E2A41">
            <w:pPr>
              <w:pStyle w:val="BodyText1"/>
              <w:spacing w:line="240" w:lineRule="auto"/>
              <w:rPr>
                <w:rFonts w:ascii="Times New Roman" w:hAnsi="Times New Roman"/>
                <w:b/>
                <w:bCs/>
              </w:rPr>
            </w:pPr>
            <w:r w:rsidRPr="00AE79AC">
              <w:rPr>
                <w:rFonts w:ascii="Times New Roman" w:hAnsi="Times New Roman"/>
                <w:b/>
              </w:rPr>
              <w:t>Inne aktywa – wartość księgowa przy założeniu niestosowania kompensat ani innego CRM</w:t>
            </w:r>
          </w:p>
          <w:p w:rsidR="00410E47" w:rsidRPr="00AE79AC" w:rsidRDefault="00410E47" w:rsidP="007E2A41">
            <w:pPr>
              <w:pStyle w:val="BodyText1"/>
              <w:spacing w:line="240" w:lineRule="auto"/>
              <w:rPr>
                <w:rFonts w:ascii="Times New Roman" w:hAnsi="Times New Roman"/>
                <w:bCs/>
              </w:rPr>
            </w:pPr>
          </w:p>
          <w:p w:rsidR="00410E47" w:rsidRPr="00AE79AC" w:rsidRDefault="00410E47" w:rsidP="007E2A41">
            <w:pPr>
              <w:pStyle w:val="BodyText1"/>
              <w:spacing w:line="240" w:lineRule="auto"/>
              <w:rPr>
                <w:rFonts w:ascii="Times New Roman" w:hAnsi="Times New Roman"/>
                <w:bCs/>
              </w:rPr>
            </w:pPr>
            <w:r w:rsidRPr="00AE79AC">
              <w:rPr>
                <w:rFonts w:ascii="Times New Roman" w:hAnsi="Times New Roman"/>
              </w:rPr>
              <w:t xml:space="preserve">Art. 4 ust. 1 </w:t>
            </w:r>
            <w:r w:rsidRPr="002341B6">
              <w:rPr>
                <w:rFonts w:ascii="Times New Roman" w:hAnsi="Times New Roman"/>
              </w:rPr>
              <w:t>pkt</w:t>
            </w:r>
            <w:r w:rsidR="002341B6" w:rsidRPr="002341B6">
              <w:rPr>
                <w:rFonts w:ascii="Times New Roman" w:hAnsi="Times New Roman"/>
              </w:rPr>
              <w:t> </w:t>
            </w:r>
            <w:r w:rsidRPr="002341B6">
              <w:rPr>
                <w:rFonts w:ascii="Times New Roman" w:hAnsi="Times New Roman"/>
              </w:rPr>
              <w:t>7</w:t>
            </w:r>
            <w:r w:rsidRPr="00AE79AC">
              <w:rPr>
                <w:rFonts w:ascii="Times New Roman" w:hAnsi="Times New Roman"/>
              </w:rPr>
              <w:t>7 CRR</w:t>
            </w:r>
          </w:p>
          <w:p w:rsidR="00410E47" w:rsidRPr="00AE79AC" w:rsidRDefault="00410E47" w:rsidP="007E2A41">
            <w:pPr>
              <w:pStyle w:val="BodyText1"/>
              <w:spacing w:line="240" w:lineRule="auto"/>
              <w:rPr>
                <w:rFonts w:ascii="Times New Roman" w:hAnsi="Times New Roman"/>
                <w:bCs/>
              </w:rPr>
            </w:pPr>
          </w:p>
          <w:p w:rsidR="00410E47" w:rsidRPr="00AE79AC" w:rsidRDefault="00410E47" w:rsidP="007E2A41">
            <w:pPr>
              <w:pStyle w:val="BodyText1"/>
              <w:spacing w:line="240" w:lineRule="auto"/>
              <w:rPr>
                <w:rFonts w:ascii="Times New Roman" w:hAnsi="Times New Roman"/>
                <w:bCs/>
              </w:rPr>
            </w:pPr>
            <w:r w:rsidRPr="00AE79AC">
              <w:rPr>
                <w:rFonts w:ascii="Times New Roman" w:hAnsi="Times New Roman"/>
              </w:rPr>
              <w:t>Księgowa wartość bilansowa zgodnie z mającymi zastosowanie standardami rachunkowości w odniesieniu do wszystkich aktywów innych niż umowy wymienione w załączniku II do CRR, kredytowych instrumentów pochodnych oraz SFT, przy założeniu niestosowania efektów kompensat księgowych ani innych efektów CRM (tj. należy rozwiązać wszelkie kwoty wynikające z kompensat księgowych lub CRM, które miały wpływ na wartość księgową).</w:t>
            </w:r>
          </w:p>
          <w:p w:rsidR="00410E47" w:rsidRPr="00AE79AC" w:rsidRDefault="00410E47" w:rsidP="007E2A41">
            <w:pPr>
              <w:pStyle w:val="BodyText1"/>
              <w:spacing w:line="240" w:lineRule="auto"/>
              <w:rPr>
                <w:rFonts w:ascii="Times New Roman" w:hAnsi="Times New Roman"/>
                <w:b/>
                <w:bCs/>
                <w:u w:val="single"/>
              </w:rPr>
            </w:pPr>
          </w:p>
        </w:tc>
      </w:tr>
      <w:tr w:rsidR="00410E47" w:rsidRPr="00AE79AC" w:rsidTr="00FC2664">
        <w:tc>
          <w:tcPr>
            <w:tcW w:w="1418" w:type="dxa"/>
          </w:tcPr>
          <w:p w:rsidR="00410E47" w:rsidRPr="00AE79AC" w:rsidRDefault="00410E47" w:rsidP="00F70A83">
            <w:pPr>
              <w:pStyle w:val="BodyText1"/>
              <w:rPr>
                <w:rFonts w:ascii="Times New Roman" w:hAnsi="Times New Roman"/>
                <w:bCs/>
              </w:rPr>
            </w:pPr>
            <w:r w:rsidRPr="00AE79AC">
              <w:rPr>
                <w:rFonts w:ascii="Times New Roman" w:hAnsi="Times New Roman"/>
              </w:rPr>
              <w:t>{100;070}</w:t>
            </w:r>
          </w:p>
        </w:tc>
        <w:tc>
          <w:tcPr>
            <w:tcW w:w="7620" w:type="dxa"/>
          </w:tcPr>
          <w:p w:rsidR="00410E47" w:rsidRPr="00AE79AC" w:rsidRDefault="00410E47" w:rsidP="007E2A41">
            <w:pPr>
              <w:pStyle w:val="BodyText1"/>
              <w:spacing w:line="240" w:lineRule="auto"/>
              <w:rPr>
                <w:rFonts w:ascii="Times New Roman" w:hAnsi="Times New Roman"/>
                <w:b/>
                <w:bCs/>
              </w:rPr>
            </w:pPr>
            <w:r w:rsidRPr="00AE79AC">
              <w:rPr>
                <w:rFonts w:ascii="Times New Roman" w:hAnsi="Times New Roman"/>
                <w:b/>
              </w:rPr>
              <w:t>Pozycje pozabilansowe o niskim ryzyku w ramach metody standardowej, w tym – wartość nominalna</w:t>
            </w:r>
          </w:p>
          <w:p w:rsidR="00410E47" w:rsidRPr="00AE79AC" w:rsidRDefault="00410E47" w:rsidP="007E2A41">
            <w:pPr>
              <w:pStyle w:val="BodyText1"/>
              <w:spacing w:line="240" w:lineRule="auto"/>
              <w:rPr>
                <w:rFonts w:ascii="Times New Roman" w:hAnsi="Times New Roman"/>
                <w:bCs/>
              </w:rPr>
            </w:pPr>
          </w:p>
          <w:p w:rsidR="00410E47" w:rsidRPr="00AE79AC" w:rsidRDefault="00410E47" w:rsidP="007E2A41">
            <w:pPr>
              <w:pStyle w:val="BodyText1"/>
              <w:spacing w:line="240" w:lineRule="auto"/>
              <w:rPr>
                <w:rFonts w:ascii="Times New Roman" w:hAnsi="Times New Roman"/>
                <w:bCs/>
              </w:rPr>
            </w:pPr>
            <w:r w:rsidRPr="00AE79AC">
              <w:rPr>
                <w:rFonts w:ascii="Times New Roman" w:hAnsi="Times New Roman"/>
              </w:rPr>
              <w:t>Art. 111 CRR</w:t>
            </w:r>
          </w:p>
          <w:p w:rsidR="00410E47" w:rsidRPr="00AE79AC" w:rsidRDefault="00410E47" w:rsidP="007E2A41">
            <w:pPr>
              <w:pStyle w:val="BodyText1"/>
              <w:spacing w:line="240" w:lineRule="auto"/>
              <w:rPr>
                <w:rFonts w:ascii="Times New Roman" w:hAnsi="Times New Roman"/>
                <w:b/>
                <w:bCs/>
              </w:rPr>
            </w:pPr>
          </w:p>
          <w:p w:rsidR="00410E47" w:rsidRPr="00AE79AC" w:rsidRDefault="00410E47" w:rsidP="007E2A41">
            <w:pPr>
              <w:pStyle w:val="BodyText1"/>
              <w:spacing w:line="240" w:lineRule="auto"/>
              <w:rPr>
                <w:rFonts w:ascii="Times New Roman" w:hAnsi="Times New Roman"/>
                <w:bCs/>
              </w:rPr>
            </w:pPr>
            <w:r w:rsidRPr="00AE79AC">
              <w:rPr>
                <w:rFonts w:ascii="Times New Roman" w:hAnsi="Times New Roman"/>
              </w:rPr>
              <w:t>W tej komórce podaje się wartość nominalną pozycji pozabilansowych, którym w ramach metody standardowej przypisano by współczynnik konwersji kredytowej w wysokości 0 %.</w:t>
            </w:r>
            <w:r w:rsidRPr="00AE79AC">
              <w:t xml:space="preserve"> </w:t>
            </w:r>
            <w:r w:rsidRPr="00AE79AC">
              <w:rPr>
                <w:rFonts w:ascii="Times New Roman" w:hAnsi="Times New Roman"/>
              </w:rPr>
              <w:t>Wartości tej nie zmniejsza się o korekty z tytułu szczególnego ryzyka kredytowego.</w:t>
            </w:r>
          </w:p>
          <w:p w:rsidR="004D36F1" w:rsidRPr="00AE79AC" w:rsidRDefault="004D36F1" w:rsidP="007E2A41">
            <w:pPr>
              <w:pStyle w:val="BodyText1"/>
              <w:spacing w:line="240" w:lineRule="auto"/>
              <w:rPr>
                <w:rFonts w:ascii="Times New Roman" w:hAnsi="Times New Roman"/>
                <w:bCs/>
              </w:rPr>
            </w:pPr>
          </w:p>
          <w:p w:rsidR="004D36F1" w:rsidRPr="00AE79AC" w:rsidRDefault="004D36F1" w:rsidP="007E2A41">
            <w:pPr>
              <w:pStyle w:val="BodyText1"/>
              <w:spacing w:line="240" w:lineRule="auto"/>
              <w:rPr>
                <w:rFonts w:ascii="Times New Roman" w:hAnsi="Times New Roman"/>
                <w:bCs/>
              </w:rPr>
            </w:pPr>
            <w:r w:rsidRPr="00AE79AC">
              <w:rPr>
                <w:rFonts w:ascii="Times New Roman" w:hAnsi="Times New Roman"/>
              </w:rPr>
              <w:t>W tej komórce instytucje nie uwzględniają umów wymienionych w załączniku II do CRR, kredytowych instrumentów pochodnych i SFT zgodnie z art. 429 ust. 10 CRR.</w:t>
            </w:r>
          </w:p>
          <w:p w:rsidR="00410E47" w:rsidRPr="00AE79AC" w:rsidRDefault="00410E47" w:rsidP="007E2A41">
            <w:pPr>
              <w:pStyle w:val="BodyText1"/>
              <w:spacing w:line="240" w:lineRule="auto"/>
              <w:rPr>
                <w:rFonts w:ascii="Times New Roman" w:hAnsi="Times New Roman"/>
                <w:b/>
                <w:bCs/>
                <w:u w:val="single"/>
              </w:rPr>
            </w:pPr>
          </w:p>
        </w:tc>
      </w:tr>
      <w:tr w:rsidR="00410E47" w:rsidRPr="00AE79AC" w:rsidTr="00FC2664">
        <w:tc>
          <w:tcPr>
            <w:tcW w:w="1418" w:type="dxa"/>
          </w:tcPr>
          <w:p w:rsidR="00410E47" w:rsidRPr="00AE79AC" w:rsidRDefault="00410E47" w:rsidP="00F70A83">
            <w:pPr>
              <w:pStyle w:val="BodyText1"/>
              <w:rPr>
                <w:rFonts w:ascii="Times New Roman" w:hAnsi="Times New Roman"/>
                <w:bCs/>
              </w:rPr>
            </w:pPr>
            <w:r w:rsidRPr="00AE79AC">
              <w:rPr>
                <w:rFonts w:ascii="Times New Roman" w:hAnsi="Times New Roman"/>
              </w:rPr>
              <w:t>{110;070}</w:t>
            </w:r>
          </w:p>
        </w:tc>
        <w:tc>
          <w:tcPr>
            <w:tcW w:w="7620" w:type="dxa"/>
          </w:tcPr>
          <w:p w:rsidR="00410E47" w:rsidRPr="00AE79AC" w:rsidRDefault="00410E47" w:rsidP="007E2A41">
            <w:pPr>
              <w:pStyle w:val="BodyText1"/>
              <w:spacing w:line="240" w:lineRule="auto"/>
              <w:rPr>
                <w:rFonts w:ascii="Times New Roman" w:hAnsi="Times New Roman"/>
                <w:b/>
                <w:bCs/>
              </w:rPr>
            </w:pPr>
            <w:r w:rsidRPr="00AE79AC">
              <w:rPr>
                <w:rFonts w:ascii="Times New Roman" w:hAnsi="Times New Roman"/>
                <w:b/>
              </w:rPr>
              <w:t>Odnawialne ekspozycje detaliczne, w tym – wartość nominalna</w:t>
            </w:r>
          </w:p>
          <w:p w:rsidR="00410E47" w:rsidRPr="00AE79AC" w:rsidRDefault="00410E47" w:rsidP="007E2A41">
            <w:pPr>
              <w:pStyle w:val="BodyText1"/>
              <w:spacing w:line="240" w:lineRule="auto"/>
              <w:rPr>
                <w:rFonts w:ascii="Times New Roman" w:hAnsi="Times New Roman"/>
                <w:b/>
                <w:bCs/>
              </w:rPr>
            </w:pPr>
          </w:p>
          <w:p w:rsidR="00410E47" w:rsidRPr="00AE79AC" w:rsidRDefault="00410E47" w:rsidP="007E2A41">
            <w:pPr>
              <w:pStyle w:val="BodyText1"/>
              <w:spacing w:line="240" w:lineRule="auto"/>
              <w:rPr>
                <w:rFonts w:ascii="Times New Roman" w:hAnsi="Times New Roman"/>
                <w:bCs/>
              </w:rPr>
            </w:pPr>
            <w:r w:rsidRPr="00AE79AC">
              <w:rPr>
                <w:rFonts w:ascii="Times New Roman" w:hAnsi="Times New Roman"/>
              </w:rPr>
              <w:t>Art. 111 i art. 154 ust. 4 CRR</w:t>
            </w:r>
          </w:p>
          <w:p w:rsidR="00410E47" w:rsidRPr="00AE79AC" w:rsidRDefault="00410E47" w:rsidP="007E2A41">
            <w:pPr>
              <w:pStyle w:val="BodyText1"/>
              <w:spacing w:line="240" w:lineRule="auto"/>
              <w:rPr>
                <w:rFonts w:ascii="Times New Roman" w:hAnsi="Times New Roman"/>
                <w:bCs/>
              </w:rPr>
            </w:pPr>
          </w:p>
          <w:p w:rsidR="00CF66B5" w:rsidRPr="00AE79AC" w:rsidRDefault="00410E47" w:rsidP="007E2A41">
            <w:pPr>
              <w:pStyle w:val="BodyText1"/>
              <w:spacing w:line="240" w:lineRule="auto"/>
              <w:rPr>
                <w:rFonts w:ascii="Times New Roman" w:hAnsi="Times New Roman"/>
                <w:bCs/>
              </w:rPr>
            </w:pPr>
            <w:r w:rsidRPr="00AE79AC">
              <w:rPr>
                <w:rFonts w:ascii="Times New Roman" w:hAnsi="Times New Roman"/>
              </w:rPr>
              <w:t>W tej komórce podaje się wartość nominalną pozabilansowych kwalifikowanych odnawialnych ekspozycji detalicznych, które spełniają warunki określone w art. 154 ust. 4 lit. a)–c) CRR. Wartości tej nie zmniejsza się o korekty z tytułu szczególnego ryzyka kredytowego.</w:t>
            </w:r>
          </w:p>
          <w:p w:rsidR="00CF66B5" w:rsidRPr="00AE79AC" w:rsidRDefault="00CF66B5" w:rsidP="007E2A41">
            <w:pPr>
              <w:pStyle w:val="BodyText1"/>
              <w:spacing w:line="240" w:lineRule="auto"/>
              <w:rPr>
                <w:rFonts w:ascii="Times New Roman" w:hAnsi="Times New Roman"/>
                <w:bCs/>
              </w:rPr>
            </w:pPr>
          </w:p>
          <w:p w:rsidR="00410E47" w:rsidRPr="00AE79AC" w:rsidRDefault="00410E47" w:rsidP="007E2A41">
            <w:pPr>
              <w:pStyle w:val="BodyText1"/>
              <w:spacing w:line="240" w:lineRule="auto"/>
              <w:rPr>
                <w:rFonts w:ascii="Times New Roman" w:hAnsi="Times New Roman"/>
                <w:bCs/>
              </w:rPr>
            </w:pPr>
            <w:r w:rsidRPr="00AE79AC">
              <w:rPr>
                <w:rFonts w:ascii="Times New Roman" w:hAnsi="Times New Roman"/>
              </w:rPr>
              <w:t>Obejmuje ona wszystkie ekspozycje wobec osób fizycznych, które są odnawialne i</w:t>
            </w:r>
            <w:r w:rsidR="00552B55">
              <w:rPr>
                <w:rFonts w:ascii="Times New Roman" w:hAnsi="Times New Roman"/>
              </w:rPr>
              <w:t> </w:t>
            </w:r>
            <w:r w:rsidRPr="00AE79AC">
              <w:rPr>
                <w:rFonts w:ascii="Times New Roman" w:hAnsi="Times New Roman"/>
              </w:rPr>
              <w:t xml:space="preserve">bezwarunkowo odwoływalne zgodnie z art. 149 lit. b) CRR i są łącznie ograniczone </w:t>
            </w:r>
            <w:r w:rsidRPr="002341B6">
              <w:rPr>
                <w:rFonts w:ascii="Times New Roman" w:hAnsi="Times New Roman"/>
              </w:rPr>
              <w:t>do</w:t>
            </w:r>
            <w:r w:rsidR="002341B6" w:rsidRPr="002341B6">
              <w:rPr>
                <w:rFonts w:ascii="Times New Roman" w:hAnsi="Times New Roman"/>
              </w:rPr>
              <w:t> </w:t>
            </w:r>
            <w:r w:rsidRPr="002341B6">
              <w:rPr>
                <w:rFonts w:ascii="Times New Roman" w:hAnsi="Times New Roman"/>
              </w:rPr>
              <w:t>1</w:t>
            </w:r>
            <w:r w:rsidRPr="00AE79AC">
              <w:rPr>
                <w:rFonts w:ascii="Times New Roman" w:hAnsi="Times New Roman"/>
              </w:rPr>
              <w:t>00 000 EUR na dłużnika.</w:t>
            </w:r>
          </w:p>
          <w:p w:rsidR="004D36F1" w:rsidRPr="00AE79AC" w:rsidRDefault="004D36F1" w:rsidP="007E2A41">
            <w:pPr>
              <w:pStyle w:val="BodyText1"/>
              <w:spacing w:line="240" w:lineRule="auto"/>
              <w:rPr>
                <w:rFonts w:ascii="Times New Roman" w:hAnsi="Times New Roman"/>
                <w:bCs/>
              </w:rPr>
            </w:pPr>
          </w:p>
          <w:p w:rsidR="004D36F1" w:rsidRPr="00AE79AC" w:rsidRDefault="004D36F1" w:rsidP="007E2A41">
            <w:pPr>
              <w:pStyle w:val="BodyText1"/>
              <w:spacing w:line="240" w:lineRule="auto"/>
              <w:rPr>
                <w:rFonts w:ascii="Times New Roman" w:hAnsi="Times New Roman"/>
                <w:bCs/>
              </w:rPr>
            </w:pPr>
            <w:r w:rsidRPr="00AE79AC">
              <w:rPr>
                <w:rFonts w:ascii="Times New Roman" w:hAnsi="Times New Roman"/>
              </w:rPr>
              <w:t>W tej komórce instytucje nie uwzględniają umów wymienionych w załączniku II do CRR, kredytowych instrumentów pochodnych i SFT zgodnie z art. 429 ust. 10 CRR.</w:t>
            </w:r>
          </w:p>
          <w:p w:rsidR="00410E47" w:rsidRPr="00AE79AC" w:rsidRDefault="00410E47" w:rsidP="007E2A41">
            <w:pPr>
              <w:pStyle w:val="BodyText1"/>
              <w:spacing w:line="240" w:lineRule="auto"/>
              <w:rPr>
                <w:rFonts w:ascii="Times New Roman" w:hAnsi="Times New Roman"/>
                <w:b/>
                <w:bCs/>
                <w:u w:val="single"/>
              </w:rPr>
            </w:pPr>
          </w:p>
        </w:tc>
      </w:tr>
      <w:tr w:rsidR="00410E47" w:rsidRPr="00AE79AC" w:rsidTr="00FC2664">
        <w:tc>
          <w:tcPr>
            <w:tcW w:w="1418" w:type="dxa"/>
          </w:tcPr>
          <w:p w:rsidR="00410E47" w:rsidRPr="00AE79AC" w:rsidRDefault="00410E47" w:rsidP="00F70A83">
            <w:pPr>
              <w:pStyle w:val="BodyText1"/>
              <w:rPr>
                <w:rFonts w:ascii="Times New Roman" w:hAnsi="Times New Roman"/>
                <w:bCs/>
              </w:rPr>
            </w:pPr>
            <w:r w:rsidRPr="00AE79AC">
              <w:rPr>
                <w:rFonts w:ascii="Times New Roman" w:hAnsi="Times New Roman"/>
              </w:rPr>
              <w:t>{120;070}</w:t>
            </w:r>
          </w:p>
        </w:tc>
        <w:tc>
          <w:tcPr>
            <w:tcW w:w="7620" w:type="dxa"/>
          </w:tcPr>
          <w:p w:rsidR="00410E47" w:rsidRPr="00AE79AC" w:rsidRDefault="00410E47" w:rsidP="007E2A41">
            <w:pPr>
              <w:pStyle w:val="BodyText1"/>
              <w:spacing w:line="240" w:lineRule="auto"/>
              <w:rPr>
                <w:rFonts w:ascii="Times New Roman" w:hAnsi="Times New Roman"/>
                <w:b/>
                <w:bCs/>
              </w:rPr>
            </w:pPr>
            <w:r w:rsidRPr="00AE79AC">
              <w:rPr>
                <w:rFonts w:ascii="Times New Roman" w:hAnsi="Times New Roman"/>
                <w:b/>
              </w:rPr>
              <w:t>Bezwarunkowo odwoływalne zobowiązania z tytułu kart kredytowych – wartość nominalna</w:t>
            </w:r>
          </w:p>
          <w:p w:rsidR="00410E47" w:rsidRPr="00AE79AC" w:rsidRDefault="00410E47" w:rsidP="007E2A41">
            <w:pPr>
              <w:pStyle w:val="BodyText1"/>
              <w:spacing w:line="240" w:lineRule="auto"/>
              <w:rPr>
                <w:rFonts w:ascii="Times New Roman" w:hAnsi="Times New Roman"/>
                <w:bCs/>
              </w:rPr>
            </w:pPr>
          </w:p>
          <w:p w:rsidR="00410E47" w:rsidRPr="00AE79AC" w:rsidRDefault="00410E47" w:rsidP="007E2A41">
            <w:pPr>
              <w:pStyle w:val="BodyText1"/>
              <w:spacing w:line="240" w:lineRule="auto"/>
              <w:rPr>
                <w:rFonts w:ascii="Times New Roman" w:hAnsi="Times New Roman"/>
                <w:bCs/>
              </w:rPr>
            </w:pPr>
            <w:r w:rsidRPr="00AE79AC">
              <w:rPr>
                <w:rFonts w:ascii="Times New Roman" w:hAnsi="Times New Roman"/>
              </w:rPr>
              <w:t>Art. 111 i art. 154 ust. 4 CRR</w:t>
            </w:r>
          </w:p>
          <w:p w:rsidR="00410E47" w:rsidRPr="00AE79AC" w:rsidRDefault="00410E47" w:rsidP="007E2A41">
            <w:pPr>
              <w:pStyle w:val="BodyText1"/>
              <w:spacing w:line="240" w:lineRule="auto"/>
              <w:rPr>
                <w:rFonts w:ascii="Times New Roman" w:hAnsi="Times New Roman"/>
                <w:bCs/>
              </w:rPr>
            </w:pPr>
          </w:p>
          <w:p w:rsidR="00A51BD1" w:rsidRPr="00AE79AC" w:rsidRDefault="001005A7" w:rsidP="007E2A41">
            <w:pPr>
              <w:pStyle w:val="BodyText1"/>
              <w:spacing w:line="240" w:lineRule="auto"/>
              <w:rPr>
                <w:rFonts w:ascii="Times New Roman" w:hAnsi="Times New Roman"/>
                <w:bCs/>
              </w:rPr>
            </w:pPr>
            <w:r w:rsidRPr="00AE79AC">
              <w:rPr>
                <w:rFonts w:ascii="Times New Roman" w:hAnsi="Times New Roman"/>
              </w:rPr>
              <w:t>W tej komórce podaje się wartość nominalną zobowiązań z tytułu kart kredytowych, które podlegają bezwarunkowemu wypowiedzeniu przez instytucję w dowolnym momencie bez uprzedzenia, a które w ramach metody standardowej otrzymałyby współczynnik konwersji kredytowej w wysokości 0 %.</w:t>
            </w:r>
            <w:r w:rsidRPr="00AE79AC">
              <w:t xml:space="preserve"> </w:t>
            </w:r>
            <w:r w:rsidRPr="00AE79AC">
              <w:rPr>
                <w:rFonts w:ascii="Times New Roman" w:hAnsi="Times New Roman"/>
              </w:rPr>
              <w:t>Wartości tej nie zmniejsza się o korekty z tytułu szczególnego ryzyka kredytowego.</w:t>
            </w:r>
          </w:p>
          <w:p w:rsidR="00A51BD1" w:rsidRPr="00AE79AC" w:rsidRDefault="00A51BD1" w:rsidP="007E2A41">
            <w:pPr>
              <w:pStyle w:val="BodyText1"/>
              <w:spacing w:line="240" w:lineRule="auto"/>
              <w:rPr>
                <w:rFonts w:ascii="Times New Roman" w:hAnsi="Times New Roman"/>
                <w:bCs/>
              </w:rPr>
            </w:pPr>
          </w:p>
          <w:p w:rsidR="00410E47" w:rsidRPr="00AE79AC" w:rsidRDefault="00410E47" w:rsidP="007E2A41">
            <w:pPr>
              <w:pStyle w:val="BodyText1"/>
              <w:spacing w:line="240" w:lineRule="auto"/>
              <w:rPr>
                <w:rFonts w:ascii="Times New Roman" w:hAnsi="Times New Roman"/>
                <w:bCs/>
              </w:rPr>
            </w:pPr>
            <w:r w:rsidRPr="00AE79AC">
              <w:rPr>
                <w:rFonts w:ascii="Times New Roman" w:hAnsi="Times New Roman"/>
              </w:rPr>
              <w:t>W tej komórce instytucje nie uwzględniają zobowiązań kredytowych, które faktycznie przewidują możliwość automatycznego wypowiedzenia w przypadku pogorszenia się wiarygodności kredytowej kredytobiorcy, ale nie podlegają bezwarunkowemu wypowiedzeniu.</w:t>
            </w:r>
          </w:p>
          <w:p w:rsidR="004D36F1" w:rsidRPr="00AE79AC" w:rsidRDefault="004D36F1" w:rsidP="007E2A41">
            <w:pPr>
              <w:pStyle w:val="BodyText1"/>
              <w:spacing w:line="240" w:lineRule="auto"/>
              <w:rPr>
                <w:rFonts w:ascii="Times New Roman" w:hAnsi="Times New Roman"/>
                <w:bCs/>
              </w:rPr>
            </w:pPr>
          </w:p>
          <w:p w:rsidR="004D36F1" w:rsidRPr="00AE79AC" w:rsidRDefault="004D36F1" w:rsidP="007E2A41">
            <w:pPr>
              <w:pStyle w:val="BodyText1"/>
              <w:spacing w:line="240" w:lineRule="auto"/>
              <w:rPr>
                <w:rFonts w:ascii="Times New Roman" w:hAnsi="Times New Roman"/>
                <w:bCs/>
              </w:rPr>
            </w:pPr>
            <w:r w:rsidRPr="00AE79AC">
              <w:rPr>
                <w:rFonts w:ascii="Times New Roman" w:hAnsi="Times New Roman"/>
              </w:rPr>
              <w:t>W tej komórce instytucje nie uwzględniają umów wymienionych w załączniku II do CRR, kredytowych instrumentów pochodnych i SFT zgodnie z art. 429 ust. 10 CRR.</w:t>
            </w:r>
          </w:p>
          <w:p w:rsidR="00410E47" w:rsidRPr="00AE79AC" w:rsidRDefault="00410E47" w:rsidP="007E2A41">
            <w:pPr>
              <w:pStyle w:val="BodyText1"/>
              <w:spacing w:line="240" w:lineRule="auto"/>
              <w:rPr>
                <w:rFonts w:ascii="Times New Roman" w:hAnsi="Times New Roman"/>
                <w:b/>
                <w:bCs/>
                <w:u w:val="single"/>
              </w:rPr>
            </w:pPr>
          </w:p>
        </w:tc>
      </w:tr>
      <w:tr w:rsidR="00410E47" w:rsidRPr="00AE79AC" w:rsidTr="00FC2664">
        <w:tc>
          <w:tcPr>
            <w:tcW w:w="1418" w:type="dxa"/>
          </w:tcPr>
          <w:p w:rsidR="00410E47" w:rsidRPr="00AE79AC" w:rsidRDefault="00410E47" w:rsidP="00F70A83">
            <w:pPr>
              <w:pStyle w:val="BodyText1"/>
              <w:rPr>
                <w:rFonts w:ascii="Times New Roman" w:hAnsi="Times New Roman"/>
                <w:bCs/>
              </w:rPr>
            </w:pPr>
            <w:r w:rsidRPr="00AE79AC">
              <w:rPr>
                <w:rFonts w:ascii="Times New Roman" w:hAnsi="Times New Roman"/>
              </w:rPr>
              <w:t>{130;070}</w:t>
            </w:r>
          </w:p>
        </w:tc>
        <w:tc>
          <w:tcPr>
            <w:tcW w:w="7620" w:type="dxa"/>
          </w:tcPr>
          <w:p w:rsidR="00410E47" w:rsidRPr="00AE79AC" w:rsidRDefault="00410E47" w:rsidP="007E2A41">
            <w:pPr>
              <w:pStyle w:val="BodyText1"/>
              <w:spacing w:line="240" w:lineRule="auto"/>
              <w:rPr>
                <w:rFonts w:ascii="Times New Roman" w:hAnsi="Times New Roman"/>
                <w:b/>
                <w:bCs/>
              </w:rPr>
            </w:pPr>
            <w:r w:rsidRPr="00AE79AC">
              <w:rPr>
                <w:rFonts w:ascii="Times New Roman" w:hAnsi="Times New Roman"/>
                <w:b/>
              </w:rPr>
              <w:t>Nieodnawialne zobowiązania podlegające bezwarunkowemu wypowiedzeniu – wartość nominalna</w:t>
            </w:r>
          </w:p>
          <w:p w:rsidR="00410E47" w:rsidRPr="00AE79AC" w:rsidRDefault="00410E47" w:rsidP="007E2A41">
            <w:pPr>
              <w:pStyle w:val="BodyText1"/>
              <w:spacing w:line="240" w:lineRule="auto"/>
              <w:rPr>
                <w:rFonts w:ascii="Times New Roman" w:hAnsi="Times New Roman"/>
                <w:b/>
                <w:bCs/>
              </w:rPr>
            </w:pPr>
          </w:p>
          <w:p w:rsidR="00410E47" w:rsidRPr="00AE79AC" w:rsidRDefault="00410E47" w:rsidP="007E2A41">
            <w:pPr>
              <w:pStyle w:val="BodyText1"/>
              <w:spacing w:line="240" w:lineRule="auto"/>
              <w:rPr>
                <w:rFonts w:ascii="Times New Roman" w:hAnsi="Times New Roman"/>
                <w:bCs/>
              </w:rPr>
            </w:pPr>
            <w:r w:rsidRPr="00AE79AC">
              <w:rPr>
                <w:rFonts w:ascii="Times New Roman" w:hAnsi="Times New Roman"/>
              </w:rPr>
              <w:t>Art. 111 i art. 154 ust. 4 CRR</w:t>
            </w:r>
          </w:p>
          <w:p w:rsidR="00410E47" w:rsidRPr="00AE79AC" w:rsidRDefault="00410E47" w:rsidP="007E2A41">
            <w:pPr>
              <w:pStyle w:val="BodyText1"/>
              <w:spacing w:line="240" w:lineRule="auto"/>
              <w:rPr>
                <w:rFonts w:ascii="Times New Roman" w:hAnsi="Times New Roman"/>
                <w:b/>
                <w:bCs/>
              </w:rPr>
            </w:pPr>
          </w:p>
          <w:p w:rsidR="00A51BD1" w:rsidRPr="00AE79AC" w:rsidRDefault="00410E47" w:rsidP="007E2A41">
            <w:pPr>
              <w:pStyle w:val="BodyText1"/>
              <w:spacing w:line="240" w:lineRule="auto"/>
              <w:rPr>
                <w:rFonts w:ascii="Times New Roman" w:hAnsi="Times New Roman"/>
                <w:bCs/>
              </w:rPr>
            </w:pPr>
            <w:r w:rsidRPr="00AE79AC">
              <w:rPr>
                <w:rFonts w:ascii="Times New Roman" w:hAnsi="Times New Roman"/>
              </w:rPr>
              <w:t xml:space="preserve">W tym polu podaje się wartość nominalną innych zobowiązań, które podlegają bezwarunkowemu wypowiedzeniu przez instytucję w dowolnym momencie bez uprzedzenia, a które w ramach metody standardowej otrzymałyby współczynnik konwersji kredytowej w wysokości </w:t>
            </w:r>
            <w:r w:rsidRPr="002341B6">
              <w:rPr>
                <w:rFonts w:ascii="Times New Roman" w:hAnsi="Times New Roman"/>
              </w:rPr>
              <w:t>0</w:t>
            </w:r>
            <w:r w:rsidR="002341B6" w:rsidRPr="002341B6">
              <w:rPr>
                <w:rFonts w:ascii="Times New Roman" w:hAnsi="Times New Roman"/>
              </w:rPr>
              <w:t> </w:t>
            </w:r>
            <w:r w:rsidRPr="002341B6">
              <w:rPr>
                <w:rFonts w:ascii="Times New Roman" w:hAnsi="Times New Roman"/>
              </w:rPr>
              <w:t>%</w:t>
            </w:r>
            <w:r w:rsidRPr="00AE79AC">
              <w:rPr>
                <w:rFonts w:ascii="Times New Roman" w:hAnsi="Times New Roman"/>
              </w:rPr>
              <w:t>. Wartości tej nie zmniejsza się o korekty z tytułu szczególnego ryzyka kredytowego.</w:t>
            </w:r>
          </w:p>
          <w:p w:rsidR="00A51BD1" w:rsidRPr="00AE79AC" w:rsidRDefault="00A51BD1" w:rsidP="007E2A41">
            <w:pPr>
              <w:pStyle w:val="BodyText1"/>
              <w:spacing w:line="240" w:lineRule="auto"/>
              <w:rPr>
                <w:rFonts w:ascii="Times New Roman" w:hAnsi="Times New Roman"/>
                <w:bCs/>
              </w:rPr>
            </w:pPr>
          </w:p>
          <w:p w:rsidR="00410E47" w:rsidRPr="00AE79AC" w:rsidRDefault="00410E47" w:rsidP="007E2A41">
            <w:pPr>
              <w:pStyle w:val="BodyText1"/>
              <w:spacing w:line="240" w:lineRule="auto"/>
              <w:rPr>
                <w:rFonts w:ascii="Times New Roman" w:hAnsi="Times New Roman"/>
                <w:bCs/>
              </w:rPr>
            </w:pPr>
            <w:r w:rsidRPr="00AE79AC">
              <w:rPr>
                <w:rFonts w:ascii="Times New Roman" w:hAnsi="Times New Roman"/>
              </w:rPr>
              <w:t>W tej komórce instytucje nie uwzględniają zobowiązań kredytowych, które faktycznie przewidują możliwość automatycznego wypowiedzenia w przypadku pogorszenia się wiarygodności kredytowej kredytobiorcy, ale nie podlegają bezwarunkowemu wypowiedzeniu.</w:t>
            </w:r>
          </w:p>
          <w:p w:rsidR="004D36F1" w:rsidRPr="00AE79AC" w:rsidRDefault="004D36F1" w:rsidP="007E2A41">
            <w:pPr>
              <w:pStyle w:val="BodyText1"/>
              <w:spacing w:line="240" w:lineRule="auto"/>
              <w:rPr>
                <w:rFonts w:ascii="Times New Roman" w:hAnsi="Times New Roman"/>
                <w:bCs/>
              </w:rPr>
            </w:pPr>
          </w:p>
          <w:p w:rsidR="004D36F1" w:rsidRPr="00AE79AC" w:rsidRDefault="004D36F1" w:rsidP="007E2A41">
            <w:pPr>
              <w:pStyle w:val="BodyText1"/>
              <w:spacing w:line="240" w:lineRule="auto"/>
              <w:rPr>
                <w:rFonts w:ascii="Times New Roman" w:hAnsi="Times New Roman"/>
                <w:bCs/>
              </w:rPr>
            </w:pPr>
            <w:r w:rsidRPr="00AE79AC">
              <w:rPr>
                <w:rFonts w:ascii="Times New Roman" w:hAnsi="Times New Roman"/>
              </w:rPr>
              <w:t>W tej komórce instytucje nie uwzględniają umów wymienionych w załączniku II do CRR, kredytowych instrumentów pochodnych i SFT zgodnie z art. 429 ust. 10 CRR.</w:t>
            </w:r>
          </w:p>
          <w:p w:rsidR="00410E47" w:rsidRPr="00AE79AC" w:rsidRDefault="00410E47" w:rsidP="007E2A41">
            <w:pPr>
              <w:pStyle w:val="BodyText1"/>
              <w:spacing w:line="240" w:lineRule="auto"/>
              <w:rPr>
                <w:rFonts w:ascii="Times New Roman" w:hAnsi="Times New Roman"/>
                <w:b/>
                <w:bCs/>
                <w:u w:val="single"/>
              </w:rPr>
            </w:pPr>
          </w:p>
        </w:tc>
      </w:tr>
      <w:tr w:rsidR="00410E47" w:rsidRPr="00AE79AC" w:rsidTr="00FC2664">
        <w:tc>
          <w:tcPr>
            <w:tcW w:w="1418" w:type="dxa"/>
          </w:tcPr>
          <w:p w:rsidR="00410E47" w:rsidRPr="00AE79AC" w:rsidRDefault="00410E47" w:rsidP="00F70A83">
            <w:pPr>
              <w:pStyle w:val="BodyText1"/>
              <w:rPr>
                <w:rFonts w:ascii="Times New Roman" w:hAnsi="Times New Roman"/>
                <w:bCs/>
              </w:rPr>
            </w:pPr>
            <w:r w:rsidRPr="00AE79AC">
              <w:rPr>
                <w:rFonts w:ascii="Times New Roman" w:hAnsi="Times New Roman"/>
              </w:rPr>
              <w:t>{140;070}</w:t>
            </w:r>
          </w:p>
        </w:tc>
        <w:tc>
          <w:tcPr>
            <w:tcW w:w="7620" w:type="dxa"/>
          </w:tcPr>
          <w:p w:rsidR="00410E47" w:rsidRPr="00AE79AC" w:rsidRDefault="00410E47" w:rsidP="007E2A41">
            <w:pPr>
              <w:pStyle w:val="BodyText1"/>
              <w:spacing w:line="240" w:lineRule="auto"/>
              <w:rPr>
                <w:rFonts w:ascii="Times New Roman" w:hAnsi="Times New Roman"/>
                <w:b/>
                <w:bCs/>
              </w:rPr>
            </w:pPr>
            <w:r w:rsidRPr="00AE79AC">
              <w:rPr>
                <w:rFonts w:ascii="Times New Roman" w:hAnsi="Times New Roman"/>
                <w:b/>
              </w:rPr>
              <w:t>Pozycje pozabilansowe o średnim/niskim ryzyku w ramach metody standardowej – wartość nominalna</w:t>
            </w:r>
          </w:p>
          <w:p w:rsidR="00410E47" w:rsidRPr="00AE79AC" w:rsidRDefault="00410E47" w:rsidP="007E2A41">
            <w:pPr>
              <w:pStyle w:val="BodyText1"/>
              <w:spacing w:line="240" w:lineRule="auto"/>
              <w:rPr>
                <w:rFonts w:ascii="Times New Roman" w:hAnsi="Times New Roman"/>
                <w:b/>
                <w:bCs/>
              </w:rPr>
            </w:pPr>
          </w:p>
          <w:p w:rsidR="00410E47" w:rsidRPr="00AE79AC" w:rsidRDefault="00410E47" w:rsidP="007E2A41">
            <w:pPr>
              <w:pStyle w:val="BodyText1"/>
              <w:spacing w:line="240" w:lineRule="auto"/>
              <w:rPr>
                <w:rFonts w:ascii="Times New Roman" w:hAnsi="Times New Roman"/>
                <w:bCs/>
              </w:rPr>
            </w:pPr>
            <w:r w:rsidRPr="00AE79AC">
              <w:rPr>
                <w:rFonts w:ascii="Times New Roman" w:hAnsi="Times New Roman"/>
              </w:rPr>
              <w:t>Art. 111 CRR</w:t>
            </w:r>
          </w:p>
          <w:p w:rsidR="00410E47" w:rsidRPr="00AE79AC" w:rsidRDefault="00410E47" w:rsidP="007E2A41">
            <w:pPr>
              <w:pStyle w:val="BodyText1"/>
              <w:spacing w:line="240" w:lineRule="auto"/>
              <w:rPr>
                <w:rFonts w:ascii="Times New Roman" w:hAnsi="Times New Roman"/>
                <w:b/>
                <w:bCs/>
              </w:rPr>
            </w:pPr>
          </w:p>
          <w:p w:rsidR="00410E47" w:rsidRPr="00AE79AC" w:rsidRDefault="00410E47" w:rsidP="007E2A41">
            <w:pPr>
              <w:pStyle w:val="BodyText1"/>
              <w:spacing w:line="240" w:lineRule="auto"/>
              <w:rPr>
                <w:rFonts w:ascii="Times New Roman" w:hAnsi="Times New Roman"/>
                <w:bCs/>
              </w:rPr>
            </w:pPr>
            <w:r w:rsidRPr="00AE79AC">
              <w:rPr>
                <w:rFonts w:ascii="Times New Roman" w:hAnsi="Times New Roman"/>
              </w:rPr>
              <w:t>W tej komórce podaje się wartość nominalną pozycji pozabilansowych, którym w ramach metody standardowej przypisano by współczynnik konwersji kredytowej w wysokości 20 %.</w:t>
            </w:r>
            <w:r w:rsidRPr="00AE79AC">
              <w:t xml:space="preserve"> </w:t>
            </w:r>
            <w:r w:rsidRPr="00AE79AC">
              <w:rPr>
                <w:rFonts w:ascii="Times New Roman" w:hAnsi="Times New Roman"/>
              </w:rPr>
              <w:t>Wartości tej nie zmniejsza się o korekty z tytułu szczególnego ryzyka kredytowego.</w:t>
            </w:r>
          </w:p>
          <w:p w:rsidR="004D36F1" w:rsidRPr="00AE79AC" w:rsidRDefault="004D36F1" w:rsidP="007E2A41">
            <w:pPr>
              <w:pStyle w:val="BodyText1"/>
              <w:spacing w:line="240" w:lineRule="auto"/>
              <w:rPr>
                <w:rFonts w:ascii="Times New Roman" w:hAnsi="Times New Roman"/>
                <w:bCs/>
              </w:rPr>
            </w:pPr>
          </w:p>
          <w:p w:rsidR="004D36F1" w:rsidRPr="00AE79AC" w:rsidRDefault="004D36F1" w:rsidP="007E2A41">
            <w:pPr>
              <w:pStyle w:val="BodyText1"/>
              <w:spacing w:line="240" w:lineRule="auto"/>
              <w:rPr>
                <w:rFonts w:ascii="Times New Roman" w:hAnsi="Times New Roman"/>
                <w:bCs/>
              </w:rPr>
            </w:pPr>
            <w:r w:rsidRPr="00AE79AC">
              <w:rPr>
                <w:rFonts w:ascii="Times New Roman" w:hAnsi="Times New Roman"/>
              </w:rPr>
              <w:t>W tej komórce instytucje nie uwzględniają umów wymienionych w załączniku II do CRR, kredytowych instrumentów pochodnych i SFT zgodnie z art. 429 ust. 10 CRR.</w:t>
            </w:r>
          </w:p>
          <w:p w:rsidR="00410E47" w:rsidRPr="00AE79AC" w:rsidRDefault="00410E47" w:rsidP="007E2A41">
            <w:pPr>
              <w:pStyle w:val="BodyText1"/>
              <w:spacing w:line="240" w:lineRule="auto"/>
              <w:rPr>
                <w:rFonts w:ascii="Times New Roman" w:hAnsi="Times New Roman"/>
                <w:b/>
                <w:bCs/>
                <w:u w:val="single"/>
              </w:rPr>
            </w:pPr>
          </w:p>
        </w:tc>
      </w:tr>
      <w:tr w:rsidR="00410E47" w:rsidRPr="00AE79AC" w:rsidTr="00FC2664">
        <w:tc>
          <w:tcPr>
            <w:tcW w:w="1418" w:type="dxa"/>
          </w:tcPr>
          <w:p w:rsidR="00410E47" w:rsidRPr="00AE79AC" w:rsidRDefault="00410E47" w:rsidP="00F71081">
            <w:pPr>
              <w:pStyle w:val="BodyText1"/>
              <w:rPr>
                <w:rFonts w:ascii="Times New Roman" w:hAnsi="Times New Roman"/>
                <w:bCs/>
              </w:rPr>
            </w:pPr>
            <w:r w:rsidRPr="00AE79AC">
              <w:rPr>
                <w:rFonts w:ascii="Times New Roman" w:hAnsi="Times New Roman"/>
              </w:rPr>
              <w:t>{150;070}</w:t>
            </w:r>
          </w:p>
        </w:tc>
        <w:tc>
          <w:tcPr>
            <w:tcW w:w="7620" w:type="dxa"/>
          </w:tcPr>
          <w:p w:rsidR="00410E47" w:rsidRPr="00AE79AC" w:rsidRDefault="00410E47" w:rsidP="007E2A41">
            <w:pPr>
              <w:pStyle w:val="BodyText1"/>
              <w:spacing w:line="240" w:lineRule="auto"/>
              <w:rPr>
                <w:rFonts w:ascii="Times New Roman" w:hAnsi="Times New Roman"/>
                <w:b/>
                <w:bCs/>
              </w:rPr>
            </w:pPr>
            <w:r w:rsidRPr="00AE79AC">
              <w:rPr>
                <w:rFonts w:ascii="Times New Roman" w:hAnsi="Times New Roman"/>
                <w:b/>
              </w:rPr>
              <w:t>Pozycje pozabilansowe o średnim ryzyku w ramach metody standardowej – wartość nominalna</w:t>
            </w:r>
          </w:p>
          <w:p w:rsidR="00410E47" w:rsidRPr="00AE79AC" w:rsidRDefault="00410E47" w:rsidP="007E2A41">
            <w:pPr>
              <w:pStyle w:val="BodyText1"/>
              <w:spacing w:line="240" w:lineRule="auto"/>
              <w:rPr>
                <w:rFonts w:ascii="Times New Roman" w:hAnsi="Times New Roman"/>
                <w:b/>
                <w:bCs/>
              </w:rPr>
            </w:pPr>
          </w:p>
          <w:p w:rsidR="00410E47" w:rsidRPr="00AE79AC" w:rsidRDefault="00410E47" w:rsidP="007E2A41">
            <w:pPr>
              <w:pStyle w:val="BodyText1"/>
              <w:spacing w:line="240" w:lineRule="auto"/>
              <w:rPr>
                <w:rFonts w:ascii="Times New Roman" w:hAnsi="Times New Roman"/>
                <w:bCs/>
              </w:rPr>
            </w:pPr>
            <w:r w:rsidRPr="00AE79AC">
              <w:rPr>
                <w:rFonts w:ascii="Times New Roman" w:hAnsi="Times New Roman"/>
              </w:rPr>
              <w:t>Art. 111 CRR</w:t>
            </w:r>
          </w:p>
          <w:p w:rsidR="00410E47" w:rsidRPr="00AE79AC" w:rsidRDefault="00410E47" w:rsidP="007E2A41">
            <w:pPr>
              <w:pStyle w:val="BodyText1"/>
              <w:spacing w:line="240" w:lineRule="auto"/>
              <w:rPr>
                <w:rFonts w:ascii="Times New Roman" w:hAnsi="Times New Roman"/>
                <w:b/>
                <w:bCs/>
              </w:rPr>
            </w:pPr>
          </w:p>
          <w:p w:rsidR="00410E47" w:rsidRPr="00AE79AC" w:rsidRDefault="00410E47" w:rsidP="007E2A41">
            <w:pPr>
              <w:pStyle w:val="BodyText1"/>
              <w:spacing w:line="240" w:lineRule="auto"/>
              <w:rPr>
                <w:rFonts w:ascii="Times New Roman" w:hAnsi="Times New Roman"/>
                <w:bCs/>
              </w:rPr>
            </w:pPr>
            <w:r w:rsidRPr="00AE79AC">
              <w:rPr>
                <w:rFonts w:ascii="Times New Roman" w:hAnsi="Times New Roman"/>
              </w:rPr>
              <w:t>W tej komórce podaje się wartość nominalną pozycji pozabilansowych, którym w ramach metody standardowej przypisano by współczynnik konwersji kredytowej w wysokości 50 %.</w:t>
            </w:r>
            <w:r w:rsidRPr="00AE79AC">
              <w:t xml:space="preserve"> </w:t>
            </w:r>
            <w:r w:rsidRPr="00AE79AC">
              <w:rPr>
                <w:rFonts w:ascii="Times New Roman" w:hAnsi="Times New Roman"/>
              </w:rPr>
              <w:t>Wartości tej nie zmniejsza się o korekty z tytułu szczególnego ryzyka kredytowego.</w:t>
            </w:r>
          </w:p>
          <w:p w:rsidR="004D36F1" w:rsidRPr="00AE79AC" w:rsidRDefault="004D36F1" w:rsidP="007E2A41">
            <w:pPr>
              <w:pStyle w:val="BodyText1"/>
              <w:spacing w:line="240" w:lineRule="auto"/>
              <w:rPr>
                <w:rFonts w:ascii="Times New Roman" w:hAnsi="Times New Roman"/>
                <w:bCs/>
              </w:rPr>
            </w:pPr>
          </w:p>
          <w:p w:rsidR="004D36F1" w:rsidRPr="00AE79AC" w:rsidRDefault="004D36F1" w:rsidP="007E2A41">
            <w:pPr>
              <w:pStyle w:val="BodyText1"/>
              <w:spacing w:line="240" w:lineRule="auto"/>
              <w:rPr>
                <w:rFonts w:ascii="Times New Roman" w:hAnsi="Times New Roman"/>
                <w:bCs/>
              </w:rPr>
            </w:pPr>
            <w:r w:rsidRPr="00AE79AC">
              <w:rPr>
                <w:rFonts w:ascii="Times New Roman" w:hAnsi="Times New Roman"/>
              </w:rPr>
              <w:t>W tej komórce instytucje nie uwzględniają umów wymienionych w załączniku II do CRR, kredytowych instrumentów pochodnych i SFT zgodnie z art. 429 ust. 10 CRR.</w:t>
            </w:r>
          </w:p>
          <w:p w:rsidR="00410E47" w:rsidRPr="00AE79AC" w:rsidRDefault="00410E47" w:rsidP="007E2A41">
            <w:pPr>
              <w:pStyle w:val="BodyText1"/>
              <w:spacing w:line="240" w:lineRule="auto"/>
              <w:rPr>
                <w:rFonts w:ascii="Times New Roman" w:hAnsi="Times New Roman"/>
                <w:b/>
                <w:bCs/>
                <w:u w:val="single"/>
              </w:rPr>
            </w:pPr>
          </w:p>
        </w:tc>
      </w:tr>
      <w:tr w:rsidR="00410E47" w:rsidRPr="00AE79AC" w:rsidTr="00FC2664">
        <w:tc>
          <w:tcPr>
            <w:tcW w:w="1418" w:type="dxa"/>
          </w:tcPr>
          <w:p w:rsidR="00410E47" w:rsidRPr="00AE79AC" w:rsidRDefault="00410E47" w:rsidP="00F70A83">
            <w:pPr>
              <w:pStyle w:val="BodyText1"/>
              <w:rPr>
                <w:rFonts w:ascii="Times New Roman" w:hAnsi="Times New Roman"/>
                <w:bCs/>
              </w:rPr>
            </w:pPr>
            <w:r w:rsidRPr="00AE79AC">
              <w:rPr>
                <w:rFonts w:ascii="Times New Roman" w:hAnsi="Times New Roman"/>
              </w:rPr>
              <w:t>{160;070}</w:t>
            </w:r>
          </w:p>
        </w:tc>
        <w:tc>
          <w:tcPr>
            <w:tcW w:w="7620" w:type="dxa"/>
          </w:tcPr>
          <w:p w:rsidR="00410E47" w:rsidRPr="00AE79AC" w:rsidRDefault="00410E47" w:rsidP="007E2A41">
            <w:pPr>
              <w:pStyle w:val="BodyText1"/>
              <w:spacing w:line="240" w:lineRule="auto"/>
              <w:rPr>
                <w:rFonts w:ascii="Times New Roman" w:hAnsi="Times New Roman"/>
                <w:b/>
                <w:bCs/>
              </w:rPr>
            </w:pPr>
            <w:r w:rsidRPr="00AE79AC">
              <w:rPr>
                <w:rFonts w:ascii="Times New Roman" w:hAnsi="Times New Roman"/>
                <w:b/>
              </w:rPr>
              <w:t>Pozycje pozabilansowe o pełnym ryzyku w ramach metody standardowej – wartość nominalna</w:t>
            </w:r>
          </w:p>
          <w:p w:rsidR="00410E47" w:rsidRPr="00AE79AC" w:rsidRDefault="00410E47" w:rsidP="007E2A41">
            <w:pPr>
              <w:pStyle w:val="BodyText1"/>
              <w:spacing w:line="240" w:lineRule="auto"/>
              <w:rPr>
                <w:rFonts w:ascii="Times New Roman" w:hAnsi="Times New Roman"/>
                <w:bCs/>
              </w:rPr>
            </w:pPr>
          </w:p>
          <w:p w:rsidR="00410E47" w:rsidRPr="00AE79AC" w:rsidRDefault="00410E47" w:rsidP="007E2A41">
            <w:pPr>
              <w:pStyle w:val="BodyText1"/>
              <w:spacing w:line="240" w:lineRule="auto"/>
              <w:rPr>
                <w:rFonts w:ascii="Times New Roman" w:hAnsi="Times New Roman"/>
                <w:bCs/>
              </w:rPr>
            </w:pPr>
            <w:r w:rsidRPr="00AE79AC">
              <w:rPr>
                <w:rFonts w:ascii="Times New Roman" w:hAnsi="Times New Roman"/>
              </w:rPr>
              <w:t>Art. 111 CRR</w:t>
            </w:r>
          </w:p>
          <w:p w:rsidR="00410E47" w:rsidRPr="00AE79AC" w:rsidRDefault="00410E47" w:rsidP="007E2A41">
            <w:pPr>
              <w:pStyle w:val="BodyText1"/>
              <w:spacing w:line="240" w:lineRule="auto"/>
              <w:rPr>
                <w:rFonts w:ascii="Times New Roman" w:hAnsi="Times New Roman"/>
                <w:b/>
                <w:bCs/>
              </w:rPr>
            </w:pPr>
          </w:p>
          <w:p w:rsidR="00A51BD1" w:rsidRPr="00AE79AC" w:rsidRDefault="00410E47" w:rsidP="00A51BD1">
            <w:pPr>
              <w:pStyle w:val="BodyText1"/>
              <w:spacing w:line="240" w:lineRule="auto"/>
              <w:rPr>
                <w:rFonts w:ascii="Times New Roman" w:hAnsi="Times New Roman"/>
                <w:bCs/>
              </w:rPr>
            </w:pPr>
            <w:r w:rsidRPr="00AE79AC">
              <w:rPr>
                <w:rFonts w:ascii="Times New Roman" w:hAnsi="Times New Roman"/>
              </w:rPr>
              <w:t>W tej komórce podaje się wartość nominalną pozycji pozabilansowych, którym w ramach metody standardowej przypisano by współczynnik konwersji kredytowej w wysokości 100 %. Wartości tej nie zmniejsza się o korekty z tytułu szczególnego ryzyka kredytowego.</w:t>
            </w:r>
          </w:p>
          <w:p w:rsidR="00410E47" w:rsidRPr="00AE79AC" w:rsidRDefault="00410E47" w:rsidP="007E2A41">
            <w:pPr>
              <w:pStyle w:val="BodyText1"/>
              <w:spacing w:line="240" w:lineRule="auto"/>
              <w:rPr>
                <w:rFonts w:ascii="Times New Roman" w:hAnsi="Times New Roman"/>
                <w:bCs/>
              </w:rPr>
            </w:pPr>
          </w:p>
          <w:p w:rsidR="00410E47" w:rsidRPr="00AE79AC" w:rsidRDefault="0034348F" w:rsidP="007E2A41">
            <w:pPr>
              <w:pStyle w:val="BodyText1"/>
              <w:spacing w:line="240" w:lineRule="auto"/>
              <w:rPr>
                <w:rFonts w:ascii="Times New Roman" w:hAnsi="Times New Roman"/>
                <w:bCs/>
              </w:rPr>
            </w:pPr>
            <w:r w:rsidRPr="00AE79AC">
              <w:rPr>
                <w:rFonts w:ascii="Times New Roman" w:hAnsi="Times New Roman"/>
              </w:rPr>
              <w:t>W tej komórce instytucje nie uwzględniają umów wymienionych w załączniku II do CRR, kredytowych instrumentów pochodnych i SFT zgodnie z art. 429 ust. 10 CRR.</w:t>
            </w:r>
          </w:p>
          <w:p w:rsidR="00410E47" w:rsidRPr="00AE79AC" w:rsidRDefault="00410E47" w:rsidP="007E2A41">
            <w:pPr>
              <w:pStyle w:val="BodyText1"/>
              <w:spacing w:line="240" w:lineRule="auto"/>
              <w:rPr>
                <w:rFonts w:ascii="Times New Roman" w:hAnsi="Times New Roman"/>
                <w:b/>
                <w:bCs/>
                <w:u w:val="single"/>
              </w:rPr>
            </w:pPr>
          </w:p>
        </w:tc>
      </w:tr>
      <w:tr w:rsidR="00410E47" w:rsidRPr="00AE79AC" w:rsidTr="00FC2664">
        <w:tc>
          <w:tcPr>
            <w:tcW w:w="1418" w:type="dxa"/>
          </w:tcPr>
          <w:p w:rsidR="00410E47" w:rsidRPr="00AE79AC" w:rsidRDefault="00410E47" w:rsidP="00F70A83">
            <w:pPr>
              <w:pStyle w:val="BodyText1"/>
              <w:rPr>
                <w:rFonts w:ascii="Times New Roman" w:hAnsi="Times New Roman"/>
                <w:bCs/>
              </w:rPr>
            </w:pPr>
            <w:r w:rsidRPr="00AE79AC">
              <w:rPr>
                <w:rFonts w:ascii="Times New Roman" w:hAnsi="Times New Roman"/>
              </w:rPr>
              <w:t>{170;070}</w:t>
            </w:r>
          </w:p>
        </w:tc>
        <w:tc>
          <w:tcPr>
            <w:tcW w:w="7620" w:type="dxa"/>
          </w:tcPr>
          <w:p w:rsidR="00410E47" w:rsidRPr="00AE79AC" w:rsidRDefault="00410E47" w:rsidP="007E2A41">
            <w:pPr>
              <w:pStyle w:val="BodyText1"/>
              <w:spacing w:line="240" w:lineRule="auto"/>
              <w:rPr>
                <w:rFonts w:ascii="Times New Roman" w:hAnsi="Times New Roman"/>
                <w:b/>
                <w:bCs/>
              </w:rPr>
            </w:pPr>
            <w:r w:rsidRPr="00AE79AC">
              <w:rPr>
                <w:rFonts w:ascii="Times New Roman" w:hAnsi="Times New Roman"/>
                <w:b/>
              </w:rPr>
              <w:t>(Pozycja uzupełniająca) Kwoty wykorzystane na odnawialne ekspozycje detaliczne – wartość nominalna</w:t>
            </w:r>
          </w:p>
          <w:p w:rsidR="00410E47" w:rsidRPr="00AE79AC" w:rsidRDefault="00410E47" w:rsidP="007E2A41">
            <w:pPr>
              <w:pStyle w:val="BodyText1"/>
              <w:spacing w:line="240" w:lineRule="auto"/>
              <w:rPr>
                <w:rFonts w:ascii="Times New Roman" w:hAnsi="Times New Roman"/>
                <w:b/>
                <w:bCs/>
              </w:rPr>
            </w:pPr>
          </w:p>
          <w:p w:rsidR="00410E47" w:rsidRPr="00AE79AC" w:rsidRDefault="00410E47" w:rsidP="007E2A41">
            <w:pPr>
              <w:pStyle w:val="BodyText1"/>
              <w:spacing w:line="240" w:lineRule="auto"/>
              <w:rPr>
                <w:rFonts w:ascii="Times New Roman" w:hAnsi="Times New Roman"/>
                <w:bCs/>
              </w:rPr>
            </w:pPr>
            <w:r w:rsidRPr="00AE79AC">
              <w:rPr>
                <w:rFonts w:ascii="Times New Roman" w:hAnsi="Times New Roman"/>
              </w:rPr>
              <w:t xml:space="preserve">Art. 154 </w:t>
            </w:r>
            <w:r w:rsidRPr="002341B6">
              <w:rPr>
                <w:rFonts w:ascii="Times New Roman" w:hAnsi="Times New Roman"/>
              </w:rPr>
              <w:t>ust.</w:t>
            </w:r>
            <w:r w:rsidR="002341B6" w:rsidRPr="002341B6">
              <w:rPr>
                <w:rFonts w:ascii="Times New Roman" w:hAnsi="Times New Roman"/>
              </w:rPr>
              <w:t> </w:t>
            </w:r>
            <w:r w:rsidRPr="002341B6">
              <w:rPr>
                <w:rFonts w:ascii="Times New Roman" w:hAnsi="Times New Roman"/>
              </w:rPr>
              <w:t>4</w:t>
            </w:r>
            <w:r w:rsidRPr="00AE79AC">
              <w:rPr>
                <w:rFonts w:ascii="Times New Roman" w:hAnsi="Times New Roman"/>
              </w:rPr>
              <w:t xml:space="preserve"> CRR</w:t>
            </w:r>
          </w:p>
          <w:p w:rsidR="00410E47" w:rsidRPr="00AE79AC" w:rsidRDefault="00410E47" w:rsidP="007E2A41">
            <w:pPr>
              <w:pStyle w:val="BodyText1"/>
              <w:spacing w:line="240" w:lineRule="auto"/>
              <w:rPr>
                <w:rFonts w:ascii="Times New Roman" w:hAnsi="Times New Roman"/>
                <w:b/>
                <w:bCs/>
              </w:rPr>
            </w:pPr>
          </w:p>
          <w:p w:rsidR="00410E47" w:rsidRPr="00AE79AC" w:rsidRDefault="00410E47" w:rsidP="007E2A41">
            <w:pPr>
              <w:pStyle w:val="BodyText1"/>
              <w:spacing w:line="240" w:lineRule="auto"/>
              <w:rPr>
                <w:rFonts w:ascii="Times New Roman" w:hAnsi="Times New Roman"/>
                <w:bCs/>
              </w:rPr>
            </w:pPr>
            <w:r w:rsidRPr="00AE79AC">
              <w:rPr>
                <w:rFonts w:ascii="Times New Roman" w:hAnsi="Times New Roman"/>
              </w:rPr>
              <w:t>W tej komórce podaje się wartość nominalną kwot wykorzystanych na pozabilansowe odnawialne ekspozycje detaliczne.</w:t>
            </w:r>
            <w:r w:rsidRPr="00AE79AC">
              <w:t xml:space="preserve"> </w:t>
            </w:r>
            <w:r w:rsidRPr="00AE79AC">
              <w:rPr>
                <w:rFonts w:ascii="Times New Roman" w:hAnsi="Times New Roman"/>
              </w:rPr>
              <w:t>Wartości tej nie zmniejsza się o korekty z tytułu szczególnego ryzyka kredytowego.</w:t>
            </w:r>
          </w:p>
          <w:p w:rsidR="00410E47" w:rsidRPr="00AE79AC" w:rsidRDefault="00410E47" w:rsidP="007E2A41">
            <w:pPr>
              <w:pStyle w:val="BodyText1"/>
              <w:spacing w:line="240" w:lineRule="auto"/>
              <w:rPr>
                <w:rFonts w:ascii="Times New Roman" w:hAnsi="Times New Roman"/>
                <w:b/>
                <w:bCs/>
                <w:u w:val="single"/>
              </w:rPr>
            </w:pPr>
          </w:p>
        </w:tc>
      </w:tr>
      <w:tr w:rsidR="00410E47" w:rsidRPr="00AE79AC" w:rsidTr="00FC2664">
        <w:tc>
          <w:tcPr>
            <w:tcW w:w="1418" w:type="dxa"/>
          </w:tcPr>
          <w:p w:rsidR="00410E47" w:rsidRPr="00AE79AC" w:rsidRDefault="00410E47" w:rsidP="00F70A83">
            <w:pPr>
              <w:pStyle w:val="BodyText1"/>
              <w:rPr>
                <w:rFonts w:ascii="Times New Roman" w:hAnsi="Times New Roman"/>
                <w:bCs/>
              </w:rPr>
            </w:pPr>
            <w:r w:rsidRPr="00AE79AC">
              <w:rPr>
                <w:rFonts w:ascii="Times New Roman" w:hAnsi="Times New Roman"/>
              </w:rPr>
              <w:t>{180;070}</w:t>
            </w:r>
          </w:p>
        </w:tc>
        <w:tc>
          <w:tcPr>
            <w:tcW w:w="7620" w:type="dxa"/>
          </w:tcPr>
          <w:p w:rsidR="00410E47" w:rsidRPr="00AE79AC" w:rsidRDefault="00410E47" w:rsidP="007E2A41">
            <w:pPr>
              <w:pStyle w:val="BodyText1"/>
              <w:spacing w:line="240" w:lineRule="auto"/>
              <w:rPr>
                <w:rFonts w:ascii="Times New Roman" w:hAnsi="Times New Roman"/>
                <w:b/>
                <w:bCs/>
              </w:rPr>
            </w:pPr>
            <w:r w:rsidRPr="00AE79AC">
              <w:rPr>
                <w:rFonts w:ascii="Times New Roman" w:hAnsi="Times New Roman"/>
                <w:b/>
              </w:rPr>
              <w:t>(Pozycja uzupełniająca) Kwoty wykorzystane na zobowiązania z tytułu kart kredytowych podlegające bezwarunkowemu wypowiedzeniu – wartość nominalna</w:t>
            </w:r>
          </w:p>
          <w:p w:rsidR="00410E47" w:rsidRPr="00AE79AC" w:rsidRDefault="00410E47" w:rsidP="007E2A41">
            <w:pPr>
              <w:pStyle w:val="BodyText1"/>
              <w:spacing w:line="240" w:lineRule="auto"/>
              <w:rPr>
                <w:rFonts w:ascii="Times New Roman" w:hAnsi="Times New Roman"/>
                <w:b/>
                <w:bCs/>
              </w:rPr>
            </w:pPr>
          </w:p>
          <w:p w:rsidR="00410E47" w:rsidRPr="00AE79AC" w:rsidRDefault="00410E47" w:rsidP="007E2A41">
            <w:pPr>
              <w:pStyle w:val="BodyText1"/>
              <w:spacing w:line="240" w:lineRule="auto"/>
              <w:rPr>
                <w:rFonts w:ascii="Times New Roman" w:hAnsi="Times New Roman"/>
                <w:bCs/>
              </w:rPr>
            </w:pPr>
            <w:r w:rsidRPr="00AE79AC">
              <w:rPr>
                <w:rFonts w:ascii="Times New Roman" w:hAnsi="Times New Roman"/>
              </w:rPr>
              <w:t>Art. 111 i art. 154 ust. 4 CRR</w:t>
            </w:r>
          </w:p>
          <w:p w:rsidR="00410E47" w:rsidRPr="00AE79AC" w:rsidRDefault="00410E47" w:rsidP="007E2A41">
            <w:pPr>
              <w:pStyle w:val="BodyText1"/>
              <w:spacing w:line="240" w:lineRule="auto"/>
              <w:rPr>
                <w:rFonts w:ascii="Times New Roman" w:hAnsi="Times New Roman"/>
                <w:b/>
                <w:bCs/>
              </w:rPr>
            </w:pPr>
          </w:p>
          <w:p w:rsidR="00410E47" w:rsidRPr="00AE79AC" w:rsidRDefault="00410E47" w:rsidP="007E2A41">
            <w:pPr>
              <w:pStyle w:val="BodyText1"/>
              <w:spacing w:line="240" w:lineRule="auto"/>
              <w:rPr>
                <w:rFonts w:ascii="Times New Roman" w:hAnsi="Times New Roman"/>
                <w:bCs/>
              </w:rPr>
            </w:pPr>
            <w:r w:rsidRPr="00AE79AC">
              <w:rPr>
                <w:rFonts w:ascii="Times New Roman" w:hAnsi="Times New Roman"/>
              </w:rPr>
              <w:t>W tej komórce podaje się wartość nominalną kwot wykorzystanych na bezwarunkowo odwoływalne zobowiązania z tytułu kart kredytowych. Wartości tej nie zmniejsza się o</w:t>
            </w:r>
            <w:r w:rsidR="00552B55">
              <w:rPr>
                <w:rFonts w:ascii="Times New Roman" w:hAnsi="Times New Roman"/>
              </w:rPr>
              <w:t> </w:t>
            </w:r>
            <w:r w:rsidRPr="00AE79AC">
              <w:rPr>
                <w:rFonts w:ascii="Times New Roman" w:hAnsi="Times New Roman"/>
              </w:rPr>
              <w:t>korekty z tytułu szczególnego ryzyka kredytowego.</w:t>
            </w:r>
          </w:p>
          <w:p w:rsidR="00410E47" w:rsidRPr="00AE79AC" w:rsidRDefault="00410E47" w:rsidP="007E2A41">
            <w:pPr>
              <w:pStyle w:val="BodyText1"/>
              <w:spacing w:line="240" w:lineRule="auto"/>
              <w:rPr>
                <w:rFonts w:ascii="Times New Roman" w:hAnsi="Times New Roman"/>
                <w:b/>
                <w:bCs/>
                <w:u w:val="single"/>
              </w:rPr>
            </w:pPr>
          </w:p>
        </w:tc>
      </w:tr>
      <w:tr w:rsidR="00410E47" w:rsidRPr="00AE79AC" w:rsidTr="00FC2664">
        <w:tc>
          <w:tcPr>
            <w:tcW w:w="1418" w:type="dxa"/>
          </w:tcPr>
          <w:p w:rsidR="00410E47" w:rsidRPr="00AE79AC" w:rsidRDefault="00410E47" w:rsidP="00F70A83">
            <w:pPr>
              <w:pStyle w:val="BodyText1"/>
              <w:rPr>
                <w:rFonts w:ascii="Times New Roman" w:hAnsi="Times New Roman"/>
                <w:bCs/>
              </w:rPr>
            </w:pPr>
            <w:r w:rsidRPr="00AE79AC">
              <w:rPr>
                <w:rFonts w:ascii="Times New Roman" w:hAnsi="Times New Roman"/>
              </w:rPr>
              <w:t>{190;070}</w:t>
            </w:r>
          </w:p>
        </w:tc>
        <w:tc>
          <w:tcPr>
            <w:tcW w:w="7620" w:type="dxa"/>
          </w:tcPr>
          <w:p w:rsidR="00410E47" w:rsidRPr="00AE79AC" w:rsidRDefault="00410E47" w:rsidP="007E2A41">
            <w:pPr>
              <w:pStyle w:val="BodyText1"/>
              <w:spacing w:line="240" w:lineRule="auto"/>
              <w:rPr>
                <w:rFonts w:ascii="Times New Roman" w:hAnsi="Times New Roman"/>
                <w:b/>
                <w:bCs/>
              </w:rPr>
            </w:pPr>
            <w:r w:rsidRPr="00AE79AC">
              <w:rPr>
                <w:rFonts w:ascii="Times New Roman" w:hAnsi="Times New Roman"/>
                <w:b/>
              </w:rPr>
              <w:t>(Pozycja uzupełniająca) Kwoty wykorzystane na nieodnawialne zobowiązania podlegające bezwarunkowemu wypowiedzeniu – wartość nominalna</w:t>
            </w:r>
          </w:p>
          <w:p w:rsidR="00410E47" w:rsidRPr="00AE79AC" w:rsidRDefault="00410E47" w:rsidP="007E2A41">
            <w:pPr>
              <w:pStyle w:val="BodyText1"/>
              <w:spacing w:line="240" w:lineRule="auto"/>
              <w:rPr>
                <w:rFonts w:ascii="Times New Roman" w:hAnsi="Times New Roman"/>
                <w:b/>
                <w:bCs/>
              </w:rPr>
            </w:pPr>
          </w:p>
          <w:p w:rsidR="00410E47" w:rsidRPr="00AE79AC" w:rsidRDefault="00410E47" w:rsidP="007E2A41">
            <w:pPr>
              <w:pStyle w:val="BodyText1"/>
              <w:spacing w:line="240" w:lineRule="auto"/>
              <w:rPr>
                <w:rFonts w:ascii="Times New Roman" w:hAnsi="Times New Roman"/>
                <w:bCs/>
              </w:rPr>
            </w:pPr>
            <w:r w:rsidRPr="00AE79AC">
              <w:rPr>
                <w:rFonts w:ascii="Times New Roman" w:hAnsi="Times New Roman"/>
              </w:rPr>
              <w:t>Art. 111 i art. 154 ust. 4 CRR</w:t>
            </w:r>
          </w:p>
          <w:p w:rsidR="00410E47" w:rsidRPr="00AE79AC" w:rsidRDefault="00410E47" w:rsidP="007E2A41">
            <w:pPr>
              <w:pStyle w:val="BodyText1"/>
              <w:spacing w:line="240" w:lineRule="auto"/>
              <w:rPr>
                <w:rFonts w:ascii="Times New Roman" w:hAnsi="Times New Roman"/>
                <w:b/>
                <w:bCs/>
              </w:rPr>
            </w:pPr>
          </w:p>
          <w:p w:rsidR="00410E47" w:rsidRPr="00AE79AC" w:rsidRDefault="00410E47" w:rsidP="007E2A41">
            <w:pPr>
              <w:pStyle w:val="BodyText1"/>
              <w:spacing w:line="240" w:lineRule="auto"/>
              <w:rPr>
                <w:rFonts w:ascii="Times New Roman" w:hAnsi="Times New Roman"/>
                <w:bCs/>
              </w:rPr>
            </w:pPr>
            <w:r w:rsidRPr="00AE79AC">
              <w:rPr>
                <w:rFonts w:ascii="Times New Roman" w:hAnsi="Times New Roman"/>
              </w:rPr>
              <w:t>W tej komórce podaje się wartość nominalną kwot wykorzystanych na nieodnawialne zobowiązania podlegające bezwarunkowemu wypowiedzeniu.</w:t>
            </w:r>
            <w:r w:rsidRPr="00AE79AC">
              <w:t xml:space="preserve"> </w:t>
            </w:r>
            <w:r w:rsidRPr="00AE79AC">
              <w:rPr>
                <w:rFonts w:ascii="Times New Roman" w:hAnsi="Times New Roman"/>
              </w:rPr>
              <w:t>Wartości tej nie zmniejsza się o korekty z tytułu szczególnego ryzyka kredytowego.</w:t>
            </w:r>
          </w:p>
          <w:p w:rsidR="00410E47" w:rsidRPr="00AE79AC" w:rsidRDefault="00410E47" w:rsidP="007E2A41">
            <w:pPr>
              <w:pStyle w:val="BodyText1"/>
              <w:spacing w:line="240" w:lineRule="auto"/>
              <w:rPr>
                <w:rFonts w:ascii="Times New Roman" w:hAnsi="Times New Roman"/>
                <w:b/>
                <w:bCs/>
                <w:u w:val="single"/>
              </w:rPr>
            </w:pPr>
          </w:p>
        </w:tc>
      </w:tr>
      <w:tr w:rsidR="00410E47" w:rsidRPr="00AE79AC" w:rsidTr="00FC2664">
        <w:tc>
          <w:tcPr>
            <w:tcW w:w="1418" w:type="dxa"/>
          </w:tcPr>
          <w:p w:rsidR="00410E47" w:rsidRPr="00AE79AC" w:rsidRDefault="00410E47" w:rsidP="00F70A83">
            <w:pPr>
              <w:pStyle w:val="BodyText1"/>
              <w:rPr>
                <w:rFonts w:ascii="Times New Roman" w:hAnsi="Times New Roman"/>
                <w:bCs/>
              </w:rPr>
            </w:pPr>
            <w:r w:rsidRPr="00AE79AC">
              <w:rPr>
                <w:rFonts w:ascii="Times New Roman" w:hAnsi="Times New Roman"/>
              </w:rPr>
              <w:t>{210;020}</w:t>
            </w:r>
          </w:p>
        </w:tc>
        <w:tc>
          <w:tcPr>
            <w:tcW w:w="7620" w:type="dxa"/>
          </w:tcPr>
          <w:p w:rsidR="00410E47" w:rsidRPr="00AE79AC" w:rsidRDefault="00410E47" w:rsidP="007E2A41">
            <w:pPr>
              <w:pStyle w:val="BodyText1"/>
              <w:spacing w:line="240" w:lineRule="auto"/>
              <w:rPr>
                <w:rFonts w:ascii="Times New Roman" w:hAnsi="Times New Roman"/>
                <w:b/>
                <w:bCs/>
              </w:rPr>
            </w:pPr>
            <w:r w:rsidRPr="00AE79AC">
              <w:rPr>
                <w:rFonts w:ascii="Times New Roman" w:hAnsi="Times New Roman"/>
                <w:b/>
              </w:rPr>
              <w:t>Zabezpieczenie gotówkowe otrzymane w transakcjach na instrumentach pochodnych – wartość księgowa przy założeniu niestosowania kompensat ani innego CRM</w:t>
            </w:r>
          </w:p>
          <w:p w:rsidR="00410E47" w:rsidRPr="00AE79AC" w:rsidRDefault="00410E47" w:rsidP="007E2A41">
            <w:pPr>
              <w:pStyle w:val="BodyText1"/>
              <w:spacing w:line="240" w:lineRule="auto"/>
              <w:rPr>
                <w:rFonts w:ascii="Times New Roman" w:hAnsi="Times New Roman"/>
                <w:b/>
                <w:bCs/>
              </w:rPr>
            </w:pPr>
          </w:p>
          <w:p w:rsidR="00410E47" w:rsidRPr="00AE79AC" w:rsidRDefault="00410E47" w:rsidP="007E2A41">
            <w:pPr>
              <w:pStyle w:val="BodyText1"/>
              <w:spacing w:line="240" w:lineRule="auto"/>
              <w:rPr>
                <w:rFonts w:ascii="Times New Roman" w:hAnsi="Times New Roman"/>
                <w:bCs/>
              </w:rPr>
            </w:pPr>
            <w:r w:rsidRPr="00AE79AC">
              <w:rPr>
                <w:rFonts w:ascii="Times New Roman" w:hAnsi="Times New Roman"/>
              </w:rPr>
              <w:t>Księgowa wartość bilansowa zgodnie z mającymi zastosowanie standardami rachunkowości w odniesieniu do zabezpieczenia gotówkowego otrzymanego w transakcjach na instrumentach pochodnych, przy założeniu niestosowania kompensat księgowych ani innych efektów CRM (tj. należy rozwiązać wszelkie kwoty wynikające z kompensat księgowych lub CRM, które miały wpływ na wartość księgową).</w:t>
            </w:r>
          </w:p>
          <w:p w:rsidR="00410E47" w:rsidRPr="00AE79AC" w:rsidRDefault="00410E47" w:rsidP="007E2A41">
            <w:pPr>
              <w:pStyle w:val="BodyText1"/>
              <w:spacing w:line="240" w:lineRule="auto"/>
              <w:rPr>
                <w:rFonts w:ascii="Times New Roman" w:hAnsi="Times New Roman"/>
                <w:bCs/>
              </w:rPr>
            </w:pPr>
          </w:p>
          <w:p w:rsidR="00410E47" w:rsidRPr="00AE79AC" w:rsidRDefault="00410E47" w:rsidP="00217B44">
            <w:pPr>
              <w:pStyle w:val="BodyText1"/>
              <w:tabs>
                <w:tab w:val="left" w:pos="4755"/>
              </w:tabs>
              <w:spacing w:line="240" w:lineRule="auto"/>
              <w:rPr>
                <w:rFonts w:ascii="Times New Roman" w:hAnsi="Times New Roman"/>
                <w:b/>
                <w:bCs/>
              </w:rPr>
            </w:pPr>
            <w:r w:rsidRPr="00AE79AC">
              <w:rPr>
                <w:rFonts w:ascii="Times New Roman" w:hAnsi="Times New Roman"/>
              </w:rPr>
              <w:t>Do celów tej komórki środki pieniężne definiuje się jako łączną kwotę środków pieniężnych, w tym monet i banknotów w poszczególnych walutach. Łączną kwotę depozytów utrzymywanych w bankach centralnych uwzględnia się w zakresie, w jakim możliwe jest wycofanie tych depozytów w warunkach skrajnych. Instytucje nie zgłaszają w</w:t>
            </w:r>
            <w:r w:rsidR="00552B55">
              <w:rPr>
                <w:rFonts w:ascii="Times New Roman" w:hAnsi="Times New Roman"/>
              </w:rPr>
              <w:t> </w:t>
            </w:r>
            <w:r w:rsidRPr="00AE79AC">
              <w:rPr>
                <w:rFonts w:ascii="Times New Roman" w:hAnsi="Times New Roman"/>
              </w:rPr>
              <w:t>tej komórce środków pieniężnych zdeponowanych w innych instytucjach.</w:t>
            </w:r>
          </w:p>
          <w:p w:rsidR="00410E47" w:rsidRPr="00AE79AC" w:rsidRDefault="00410E47" w:rsidP="007E2A41">
            <w:pPr>
              <w:pStyle w:val="BodyText1"/>
              <w:spacing w:line="240" w:lineRule="auto"/>
              <w:rPr>
                <w:rFonts w:ascii="Times New Roman" w:hAnsi="Times New Roman"/>
                <w:b/>
                <w:bCs/>
              </w:rPr>
            </w:pPr>
          </w:p>
        </w:tc>
      </w:tr>
      <w:tr w:rsidR="00410E47" w:rsidRPr="00AE79AC" w:rsidTr="00FC2664">
        <w:tc>
          <w:tcPr>
            <w:tcW w:w="1418" w:type="dxa"/>
          </w:tcPr>
          <w:p w:rsidR="00410E47" w:rsidRPr="00AE79AC" w:rsidRDefault="00410E47" w:rsidP="00F70A83">
            <w:pPr>
              <w:pStyle w:val="BodyText1"/>
              <w:rPr>
                <w:rFonts w:ascii="Times New Roman" w:hAnsi="Times New Roman"/>
                <w:bCs/>
              </w:rPr>
            </w:pPr>
            <w:r w:rsidRPr="00AE79AC">
              <w:rPr>
                <w:rFonts w:ascii="Times New Roman" w:hAnsi="Times New Roman"/>
              </w:rPr>
              <w:t>{220;020}</w:t>
            </w:r>
          </w:p>
        </w:tc>
        <w:tc>
          <w:tcPr>
            <w:tcW w:w="7620" w:type="dxa"/>
          </w:tcPr>
          <w:p w:rsidR="00410E47" w:rsidRPr="00AE79AC" w:rsidRDefault="00410E47" w:rsidP="007E2A41">
            <w:pPr>
              <w:pStyle w:val="BodyText1"/>
              <w:spacing w:line="240" w:lineRule="auto"/>
              <w:rPr>
                <w:rFonts w:ascii="Times New Roman" w:hAnsi="Times New Roman"/>
                <w:b/>
                <w:bCs/>
              </w:rPr>
            </w:pPr>
            <w:r w:rsidRPr="00AE79AC">
              <w:rPr>
                <w:rFonts w:ascii="Times New Roman" w:hAnsi="Times New Roman"/>
                <w:b/>
              </w:rPr>
              <w:t>Wierzytelności z tytułu zabezpieczenia gotówkowego przekazanego w ramach transakcji na instrumentach pochodnych – wartość księgowa przy założeniu niestosowania kompensat ani innego CRM</w:t>
            </w:r>
          </w:p>
          <w:p w:rsidR="00410E47" w:rsidRPr="00AE79AC" w:rsidRDefault="00410E47" w:rsidP="007E2A41">
            <w:pPr>
              <w:pStyle w:val="BodyText1"/>
              <w:spacing w:line="240" w:lineRule="auto"/>
              <w:rPr>
                <w:rFonts w:ascii="Times New Roman" w:hAnsi="Times New Roman"/>
                <w:b/>
                <w:bCs/>
              </w:rPr>
            </w:pPr>
          </w:p>
          <w:p w:rsidR="00410E47" w:rsidRPr="00AE79AC" w:rsidRDefault="00410E47" w:rsidP="007E2A41">
            <w:pPr>
              <w:pStyle w:val="BodyText1"/>
              <w:spacing w:line="240" w:lineRule="auto"/>
              <w:rPr>
                <w:rFonts w:ascii="Times New Roman" w:hAnsi="Times New Roman"/>
                <w:b/>
                <w:bCs/>
              </w:rPr>
            </w:pPr>
            <w:r w:rsidRPr="00AE79AC">
              <w:rPr>
                <w:rFonts w:ascii="Times New Roman" w:hAnsi="Times New Roman"/>
              </w:rPr>
              <w:t>Księgowa wartość bilansowa zgodnie z mającymi zastosowanie standardami rachunkowości w odniesieniu do wierzytelności z tytułu zabezpieczenia gotówkowego przekazanego w</w:t>
            </w:r>
            <w:r w:rsidR="00552B55">
              <w:rPr>
                <w:rFonts w:ascii="Times New Roman" w:hAnsi="Times New Roman"/>
              </w:rPr>
              <w:t> </w:t>
            </w:r>
            <w:r w:rsidRPr="00AE79AC">
              <w:rPr>
                <w:rFonts w:ascii="Times New Roman" w:hAnsi="Times New Roman"/>
              </w:rPr>
              <w:t>ramach transakcji na instrumentach pochodnych, przy założeniu niestosowania kompensat księgowych ani innych efektów CRM (tj. należy rozwiązać wszelkie kwoty wynikające z kompensat księgowych lub CRM, które miały wpływ na wartość księgową). Instytucje, które zgodnie z mającymi zastosowanie standardami rachunkowości mogą dokonać kompensaty wierzytelności z tytułu złożonego zabezpieczenia gotówkowego z</w:t>
            </w:r>
            <w:r w:rsidR="00552B55">
              <w:rPr>
                <w:rFonts w:ascii="Times New Roman" w:hAnsi="Times New Roman"/>
              </w:rPr>
              <w:t> </w:t>
            </w:r>
            <w:r w:rsidRPr="00AE79AC">
              <w:rPr>
                <w:rFonts w:ascii="Times New Roman" w:hAnsi="Times New Roman"/>
              </w:rPr>
              <w:t>odnośnym zobowiązaniem będącym instrumentem pochodnym (ujemna wartość godziwa) i które decydują się tak postąpić, wycofują kompensatę i zgłaszają wierzytelność gotówkową netto.</w:t>
            </w:r>
          </w:p>
          <w:p w:rsidR="00410E47" w:rsidRPr="00AE79AC" w:rsidRDefault="00410E47" w:rsidP="007E2A41">
            <w:pPr>
              <w:pStyle w:val="BodyText1"/>
              <w:spacing w:line="240" w:lineRule="auto"/>
              <w:rPr>
                <w:rFonts w:ascii="Times New Roman" w:hAnsi="Times New Roman"/>
                <w:b/>
                <w:bCs/>
              </w:rPr>
            </w:pPr>
          </w:p>
        </w:tc>
      </w:tr>
      <w:tr w:rsidR="00410E47" w:rsidRPr="00AE79AC" w:rsidTr="00FC2664">
        <w:tc>
          <w:tcPr>
            <w:tcW w:w="1418" w:type="dxa"/>
          </w:tcPr>
          <w:p w:rsidR="00410E47" w:rsidRPr="00AE79AC" w:rsidRDefault="00410E47" w:rsidP="00F70A83">
            <w:pPr>
              <w:pStyle w:val="BodyText1"/>
              <w:rPr>
                <w:rFonts w:ascii="Times New Roman" w:hAnsi="Times New Roman"/>
                <w:bCs/>
              </w:rPr>
            </w:pPr>
            <w:r w:rsidRPr="00AE79AC">
              <w:rPr>
                <w:rFonts w:ascii="Times New Roman" w:hAnsi="Times New Roman"/>
              </w:rPr>
              <w:t>{230;020}</w:t>
            </w:r>
          </w:p>
        </w:tc>
        <w:tc>
          <w:tcPr>
            <w:tcW w:w="7620" w:type="dxa"/>
          </w:tcPr>
          <w:p w:rsidR="00410E47" w:rsidRPr="00AE79AC" w:rsidRDefault="00410E47" w:rsidP="007E2A41">
            <w:pPr>
              <w:pStyle w:val="BodyText1"/>
              <w:spacing w:line="240" w:lineRule="auto"/>
              <w:rPr>
                <w:rFonts w:ascii="Times New Roman" w:hAnsi="Times New Roman"/>
                <w:b/>
                <w:bCs/>
              </w:rPr>
            </w:pPr>
            <w:r w:rsidRPr="00AE79AC">
              <w:rPr>
                <w:rFonts w:ascii="Times New Roman" w:hAnsi="Times New Roman"/>
                <w:b/>
              </w:rPr>
              <w:t>Papiery wartościowe otrzymane w ramach transakcji i ujmowane jako aktywa – wartość księgowa przy założeniu niestosowania kompensat ani innego CRM</w:t>
            </w:r>
          </w:p>
          <w:p w:rsidR="00410E47" w:rsidRPr="00AE79AC" w:rsidRDefault="00410E47" w:rsidP="007E2A41">
            <w:pPr>
              <w:pStyle w:val="BodyText1"/>
              <w:spacing w:line="240" w:lineRule="auto"/>
              <w:rPr>
                <w:rFonts w:ascii="Times New Roman" w:hAnsi="Times New Roman"/>
                <w:b/>
                <w:bCs/>
              </w:rPr>
            </w:pPr>
          </w:p>
          <w:p w:rsidR="00410E47" w:rsidRPr="00AE79AC" w:rsidRDefault="00410E47" w:rsidP="007E2A41">
            <w:pPr>
              <w:pStyle w:val="BodyText1"/>
              <w:spacing w:line="240" w:lineRule="auto"/>
              <w:rPr>
                <w:rFonts w:ascii="Times New Roman" w:hAnsi="Times New Roman"/>
                <w:b/>
                <w:bCs/>
              </w:rPr>
            </w:pPr>
            <w:r w:rsidRPr="00AE79AC">
              <w:rPr>
                <w:rFonts w:ascii="Times New Roman" w:hAnsi="Times New Roman"/>
              </w:rPr>
              <w:t>Księgowa wartość bilansowa zgodnie z mającymi zastosowanie standardami rachunkowości w odniesieniu do papierów wartościowych otrzymanych w ramach SFT, które uznawane są jako aktywa w ramach mających zastosowanie standardów rachunkowości przy założeniu niestosowania kompensat księgowych ani innych efektów CRM (tj. należy rozwiązać wszelkie kwoty wynikające z kompensat księgowych lub CRM, które miały wpływ na wartość księgową).</w:t>
            </w:r>
          </w:p>
          <w:p w:rsidR="00410E47" w:rsidRPr="00AE79AC" w:rsidRDefault="00410E47" w:rsidP="007E2A41">
            <w:pPr>
              <w:pStyle w:val="BodyText1"/>
              <w:spacing w:line="240" w:lineRule="auto"/>
              <w:rPr>
                <w:rFonts w:ascii="Times New Roman" w:hAnsi="Times New Roman"/>
                <w:b/>
                <w:bCs/>
              </w:rPr>
            </w:pPr>
          </w:p>
        </w:tc>
      </w:tr>
      <w:tr w:rsidR="00410E47" w:rsidRPr="00AE79AC" w:rsidTr="00FC2664">
        <w:tc>
          <w:tcPr>
            <w:tcW w:w="1418" w:type="dxa"/>
          </w:tcPr>
          <w:p w:rsidR="00410E47" w:rsidRPr="00AE79AC" w:rsidRDefault="00410E47" w:rsidP="00F70A83">
            <w:pPr>
              <w:pStyle w:val="BodyText1"/>
              <w:rPr>
                <w:rFonts w:ascii="Times New Roman" w:hAnsi="Times New Roman"/>
                <w:bCs/>
              </w:rPr>
            </w:pPr>
            <w:r w:rsidRPr="00AE79AC">
              <w:rPr>
                <w:rFonts w:ascii="Times New Roman" w:hAnsi="Times New Roman"/>
              </w:rPr>
              <w:t>{240;020}</w:t>
            </w:r>
          </w:p>
        </w:tc>
        <w:tc>
          <w:tcPr>
            <w:tcW w:w="7620" w:type="dxa"/>
          </w:tcPr>
          <w:p w:rsidR="00410E47" w:rsidRPr="00AE79AC" w:rsidRDefault="00410E47" w:rsidP="007E2A41">
            <w:pPr>
              <w:pStyle w:val="BodyText1"/>
              <w:tabs>
                <w:tab w:val="left" w:pos="4755"/>
              </w:tabs>
              <w:spacing w:line="240" w:lineRule="auto"/>
              <w:rPr>
                <w:rFonts w:ascii="Times New Roman" w:hAnsi="Times New Roman"/>
                <w:b/>
                <w:bCs/>
              </w:rPr>
            </w:pPr>
            <w:r w:rsidRPr="00AE79AC">
              <w:rPr>
                <w:rFonts w:ascii="Times New Roman" w:hAnsi="Times New Roman"/>
                <w:b/>
              </w:rPr>
              <w:t>Udzielanie pożyczek gotówkowych przez spółkę pośredniczącą w ramach SFT (wierzytelności gotówkowe) – wartość księgowa przy założeniu niestosowania kompensat ani innego CRM</w:t>
            </w:r>
          </w:p>
          <w:p w:rsidR="00410E47" w:rsidRPr="00AE79AC" w:rsidRDefault="00410E47" w:rsidP="007E2A41">
            <w:pPr>
              <w:pStyle w:val="BodyText1"/>
              <w:tabs>
                <w:tab w:val="left" w:pos="4755"/>
              </w:tabs>
              <w:spacing w:line="240" w:lineRule="auto"/>
              <w:rPr>
                <w:rFonts w:ascii="Times New Roman" w:hAnsi="Times New Roman"/>
                <w:b/>
                <w:bCs/>
              </w:rPr>
            </w:pPr>
          </w:p>
          <w:p w:rsidR="00410E47" w:rsidRPr="00AE79AC" w:rsidRDefault="00410E47" w:rsidP="007E2A41">
            <w:pPr>
              <w:pStyle w:val="BodyText1"/>
              <w:tabs>
                <w:tab w:val="left" w:pos="4755"/>
              </w:tabs>
              <w:spacing w:line="240" w:lineRule="auto"/>
              <w:rPr>
                <w:rFonts w:ascii="Times New Roman" w:hAnsi="Times New Roman"/>
              </w:rPr>
            </w:pPr>
            <w:r w:rsidRPr="00AE79AC">
              <w:rPr>
                <w:rFonts w:ascii="Times New Roman" w:hAnsi="Times New Roman"/>
              </w:rPr>
              <w:t>Księgowa wartość bilansowa zgodnie z mającymi zastosowanie standardami rachunkowości w odniesieniu do wierzytelności gotówkowej z tytułu środków pieniężnych przekazanych właścicielowi papierów wartościowych w formie pożyczki w toku kwalifikującej transakcji udzielenia pożyczki gotówkowej przez spółkę pośredniczącą, przy założeniu niestosowania kompensat księgowych ani innych efektów CRM (tj. należy rozwiązać wszelkie kwoty wynikające z kompensat księgowych lub CRM, które miały wpływ na wartość księgową).</w:t>
            </w:r>
          </w:p>
          <w:p w:rsidR="00410E47" w:rsidRPr="00AE79AC" w:rsidRDefault="00410E47" w:rsidP="007E2A41">
            <w:pPr>
              <w:pStyle w:val="BodyText1"/>
              <w:tabs>
                <w:tab w:val="left" w:pos="4755"/>
              </w:tabs>
              <w:spacing w:line="240" w:lineRule="auto"/>
              <w:rPr>
                <w:rFonts w:ascii="Times New Roman" w:hAnsi="Times New Roman"/>
              </w:rPr>
            </w:pPr>
          </w:p>
          <w:p w:rsidR="00410E47" w:rsidRPr="00AE79AC" w:rsidRDefault="00410E47" w:rsidP="007E2A41">
            <w:pPr>
              <w:pStyle w:val="BodyText1"/>
              <w:tabs>
                <w:tab w:val="left" w:pos="4755"/>
              </w:tabs>
              <w:spacing w:line="240" w:lineRule="auto"/>
              <w:rPr>
                <w:rFonts w:ascii="Times New Roman" w:hAnsi="Times New Roman"/>
              </w:rPr>
            </w:pPr>
            <w:r w:rsidRPr="00AE79AC">
              <w:rPr>
                <w:rFonts w:ascii="Times New Roman" w:hAnsi="Times New Roman"/>
              </w:rPr>
              <w:t>Do celów tej komórki środki pieniężne definiuje się jako łączną kwotę środków pieniężnych, w tym monet i banknotów w poszczególnych walutach. Łączną kwotę depozytów utrzymywanych w bankach centralnych uwzględnia się w zakresie, w jakim możliwe jest wycofanie tych depozytów w warunkach skrajnych. Instytucje nie zgłaszają w</w:t>
            </w:r>
            <w:r w:rsidR="00552B55">
              <w:rPr>
                <w:rFonts w:ascii="Times New Roman" w:hAnsi="Times New Roman"/>
              </w:rPr>
              <w:t> </w:t>
            </w:r>
            <w:r w:rsidRPr="00AE79AC">
              <w:rPr>
                <w:rFonts w:ascii="Times New Roman" w:hAnsi="Times New Roman"/>
              </w:rPr>
              <w:t>tym polu środków pieniężnych zdeponowanych w innych instytucjach.</w:t>
            </w:r>
          </w:p>
          <w:p w:rsidR="00410E47" w:rsidRPr="00AE79AC" w:rsidRDefault="00410E47" w:rsidP="007E2A41">
            <w:pPr>
              <w:pStyle w:val="BodyText1"/>
              <w:tabs>
                <w:tab w:val="left" w:pos="4755"/>
              </w:tabs>
              <w:spacing w:line="240" w:lineRule="auto"/>
              <w:rPr>
                <w:rFonts w:ascii="Times New Roman" w:hAnsi="Times New Roman"/>
              </w:rPr>
            </w:pPr>
          </w:p>
          <w:p w:rsidR="00410E47" w:rsidRPr="00AE79AC" w:rsidRDefault="00410E47" w:rsidP="007E2A41">
            <w:pPr>
              <w:pStyle w:val="BodyText1"/>
              <w:tabs>
                <w:tab w:val="left" w:pos="4755"/>
              </w:tabs>
              <w:spacing w:line="240" w:lineRule="auto"/>
              <w:rPr>
                <w:rFonts w:ascii="Times New Roman" w:hAnsi="Times New Roman"/>
              </w:rPr>
            </w:pPr>
            <w:r w:rsidRPr="00AE79AC">
              <w:rPr>
                <w:rFonts w:ascii="Times New Roman" w:hAnsi="Times New Roman"/>
              </w:rPr>
              <w:t>Transakcję udzielania pożyczek gotówkowych przez spółkę pośredniczącą definiuje się jako połączenie dwóch rodzajów transakcji, w przypadku których instytucja pożycza papiery wartościowe od właściciela papierów wartościowych i w formie pożyczki przekazuje je pożyczkobiorcy papierów wartościowych. Instytucja równocześnie otrzymuje zabezpieczenie gotówkowe od pożyczkobiorcy papierów wartościowych i w formie pożyczki przekazuje otrzymane środki pieniężne właścicielowi papierów wartościowych. Kwalifikująca się transakcja udzielenia pożyczki gotówkowej przez spółkę pośredniczącą musi spełniać wszystkie następujące warunki:</w:t>
            </w:r>
          </w:p>
          <w:p w:rsidR="00410E47" w:rsidRPr="00AE79AC" w:rsidRDefault="00410E47" w:rsidP="007E2A41">
            <w:pPr>
              <w:pStyle w:val="BodyText1"/>
              <w:tabs>
                <w:tab w:val="left" w:pos="4755"/>
              </w:tabs>
              <w:spacing w:line="240" w:lineRule="auto"/>
              <w:rPr>
                <w:rFonts w:ascii="Times New Roman" w:hAnsi="Times New Roman"/>
              </w:rPr>
            </w:pPr>
          </w:p>
          <w:p w:rsidR="00410E47" w:rsidRPr="00AE79AC" w:rsidRDefault="00500508" w:rsidP="00500508">
            <w:pPr>
              <w:pStyle w:val="Paragraph"/>
              <w:ind w:left="794" w:hanging="794"/>
              <w:rPr>
                <w:rFonts w:ascii="Times New Roman" w:hAnsi="Times New Roman"/>
                <w:color w:val="000000"/>
              </w:rPr>
            </w:pPr>
            <w:r w:rsidRPr="00AE79AC">
              <w:rPr>
                <w:rFonts w:ascii="Times New Roman" w:hAnsi="Times New Roman"/>
                <w:color w:val="000000"/>
              </w:rPr>
              <w:t>a)</w:t>
            </w:r>
            <w:r w:rsidRPr="00AE79AC">
              <w:tab/>
            </w:r>
            <w:r w:rsidRPr="00AE79AC">
              <w:rPr>
                <w:rFonts w:ascii="Times New Roman" w:hAnsi="Times New Roman"/>
                <w:color w:val="000000"/>
              </w:rPr>
              <w:t>obie transakcje, z których składa się kwalifikująca transakcja udzielenia pożyczki gotówkowej przez spółkę pośredniczącą, przeprowadzane są w tym samym dniu zawarcia transakcji lub, w przypadku transakcji międzynarodowych, w</w:t>
            </w:r>
            <w:r w:rsidR="00552B55">
              <w:rPr>
                <w:rFonts w:ascii="Times New Roman" w:hAnsi="Times New Roman"/>
                <w:color w:val="000000"/>
              </w:rPr>
              <w:t> </w:t>
            </w:r>
            <w:r w:rsidRPr="00AE79AC">
              <w:rPr>
                <w:rFonts w:ascii="Times New Roman" w:hAnsi="Times New Roman"/>
                <w:color w:val="000000"/>
              </w:rPr>
              <w:t>następujących po sobie dniach roboczych;</w:t>
            </w:r>
          </w:p>
          <w:p w:rsidR="00410E47" w:rsidRPr="00AE79AC" w:rsidRDefault="00500508" w:rsidP="00500508">
            <w:pPr>
              <w:pStyle w:val="Paragraph"/>
              <w:ind w:left="794" w:hanging="794"/>
              <w:rPr>
                <w:rFonts w:ascii="Times New Roman" w:hAnsi="Times New Roman"/>
                <w:color w:val="000000"/>
              </w:rPr>
            </w:pPr>
            <w:r w:rsidRPr="00AE79AC">
              <w:rPr>
                <w:rFonts w:ascii="Times New Roman" w:hAnsi="Times New Roman"/>
                <w:color w:val="000000"/>
              </w:rPr>
              <w:t>b)</w:t>
            </w:r>
            <w:r w:rsidRPr="00AE79AC">
              <w:tab/>
            </w:r>
            <w:r w:rsidRPr="00AE79AC">
              <w:rPr>
                <w:rFonts w:ascii="Times New Roman" w:hAnsi="Times New Roman"/>
                <w:color w:val="000000"/>
              </w:rPr>
              <w:t>w przypadku gdy dane transakcje nie określają terminu zapadalności, instytucja posiada prawo do zamknięcia transakcji udzielenia pożyczki gotówkowej po obu stronach, czyli obu transakcji, które ją tworzą, w dowolnym momencie i bez uprzedzenia;</w:t>
            </w:r>
          </w:p>
          <w:p w:rsidR="00410E47" w:rsidRPr="00AE79AC" w:rsidRDefault="00500508" w:rsidP="00500508">
            <w:pPr>
              <w:pStyle w:val="Paragraph"/>
              <w:ind w:left="794" w:hanging="794"/>
              <w:rPr>
                <w:rFonts w:ascii="Times New Roman" w:hAnsi="Times New Roman"/>
                <w:color w:val="000000"/>
              </w:rPr>
            </w:pPr>
            <w:r w:rsidRPr="00AE79AC">
              <w:rPr>
                <w:rFonts w:ascii="Times New Roman" w:hAnsi="Times New Roman"/>
                <w:color w:val="000000"/>
              </w:rPr>
              <w:t>c)</w:t>
            </w:r>
            <w:r w:rsidRPr="00AE79AC">
              <w:tab/>
            </w:r>
            <w:r w:rsidRPr="00AE79AC">
              <w:rPr>
                <w:rFonts w:ascii="Times New Roman" w:hAnsi="Times New Roman"/>
                <w:color w:val="000000"/>
              </w:rPr>
              <w:t>w przypadku gdy dane transakcje określają termin zapadalności, transakcja udzielenia pożyczki gotówkowej nie prowadzi do niedopasowania terminów zapadalności po stronie instytucji; instytucja posiada prawo do zamknięcia transakcji udzielenia pożyczki gotówkowej po obu stronach, czyli obu transakcji, które ją tworzą, w dowolnym momencie i bez uprzedzenia;</w:t>
            </w:r>
          </w:p>
          <w:p w:rsidR="00410E47" w:rsidRPr="00AE79AC" w:rsidRDefault="00500508" w:rsidP="00500508">
            <w:pPr>
              <w:pStyle w:val="Paragraph"/>
              <w:ind w:left="794" w:hanging="794"/>
              <w:rPr>
                <w:rFonts w:ascii="Times New Roman" w:hAnsi="Times New Roman"/>
                <w:color w:val="000000"/>
              </w:rPr>
            </w:pPr>
            <w:r w:rsidRPr="00AE79AC">
              <w:rPr>
                <w:rFonts w:ascii="Times New Roman" w:hAnsi="Times New Roman"/>
                <w:color w:val="000000"/>
              </w:rPr>
              <w:t>d)</w:t>
            </w:r>
            <w:r w:rsidRPr="00AE79AC">
              <w:tab/>
            </w:r>
            <w:r w:rsidRPr="00AE79AC">
              <w:rPr>
                <w:rFonts w:ascii="Times New Roman" w:hAnsi="Times New Roman"/>
                <w:color w:val="000000"/>
              </w:rPr>
              <w:t>transakcja udzielenia pożyczki gotówkowej przez spółkę pośredniczącą nie prowadzi do żadnej innej dodatkowej ekspozycji.</w:t>
            </w:r>
          </w:p>
          <w:p w:rsidR="00410E47" w:rsidRPr="00AE79AC" w:rsidRDefault="00410E47" w:rsidP="007E2A41">
            <w:pPr>
              <w:pStyle w:val="BodyText1"/>
              <w:spacing w:line="240" w:lineRule="auto"/>
              <w:rPr>
                <w:rFonts w:ascii="Times New Roman" w:hAnsi="Times New Roman"/>
                <w:b/>
                <w:bCs/>
              </w:rPr>
            </w:pPr>
          </w:p>
        </w:tc>
      </w:tr>
      <w:tr w:rsidR="004B5877" w:rsidRPr="00AE79AC" w:rsidTr="004B5877">
        <w:tc>
          <w:tcPr>
            <w:tcW w:w="1418" w:type="dxa"/>
          </w:tcPr>
          <w:p w:rsidR="004B5877" w:rsidRPr="00AE79AC" w:rsidRDefault="004B5877" w:rsidP="004178C8">
            <w:pPr>
              <w:pStyle w:val="BodyText1"/>
              <w:rPr>
                <w:rFonts w:ascii="Times New Roman" w:hAnsi="Times New Roman"/>
                <w:bCs/>
              </w:rPr>
            </w:pPr>
            <w:bookmarkStart w:id="62" w:name="_Toc322687882"/>
            <w:bookmarkEnd w:id="54"/>
            <w:r w:rsidRPr="00AE79AC">
              <w:rPr>
                <w:rFonts w:ascii="Times New Roman" w:hAnsi="Times New Roman"/>
              </w:rPr>
              <w:t>{250;120}</w:t>
            </w:r>
          </w:p>
        </w:tc>
        <w:tc>
          <w:tcPr>
            <w:tcW w:w="7620" w:type="dxa"/>
          </w:tcPr>
          <w:p w:rsidR="004B5877" w:rsidRPr="00AE79AC" w:rsidRDefault="004B5877" w:rsidP="004B5877">
            <w:pPr>
              <w:pStyle w:val="BodyText1"/>
              <w:tabs>
                <w:tab w:val="left" w:pos="4755"/>
              </w:tabs>
              <w:spacing w:line="240" w:lineRule="auto"/>
              <w:rPr>
                <w:rFonts w:ascii="Times New Roman" w:hAnsi="Times New Roman"/>
                <w:bCs/>
              </w:rPr>
            </w:pPr>
            <w:r w:rsidRPr="00AE79AC">
              <w:rPr>
                <w:rFonts w:ascii="Times New Roman" w:hAnsi="Times New Roman"/>
                <w:b/>
              </w:rPr>
              <w:t>Ekspozycje, które mogą być traktowane zgodnie z art. 113 ust. 6 CRR – hipotetycznie wyłączona kwota ekspozycji wskaźnika dźwigni</w:t>
            </w:r>
          </w:p>
          <w:p w:rsidR="00A46F6B" w:rsidRPr="00AE79AC" w:rsidRDefault="00A46F6B" w:rsidP="004178C8">
            <w:pPr>
              <w:pStyle w:val="BodyText1"/>
              <w:tabs>
                <w:tab w:val="left" w:pos="4755"/>
              </w:tabs>
              <w:spacing w:line="240" w:lineRule="auto"/>
              <w:rPr>
                <w:rFonts w:ascii="Times New Roman" w:hAnsi="Times New Roman"/>
                <w:bCs/>
              </w:rPr>
            </w:pPr>
          </w:p>
          <w:p w:rsidR="004B5877" w:rsidRPr="00AE79AC" w:rsidRDefault="004B5877" w:rsidP="004178C8">
            <w:pPr>
              <w:pStyle w:val="BodyText1"/>
              <w:tabs>
                <w:tab w:val="left" w:pos="4755"/>
              </w:tabs>
              <w:spacing w:line="240" w:lineRule="auto"/>
              <w:rPr>
                <w:rFonts w:ascii="Times New Roman" w:hAnsi="Times New Roman"/>
                <w:bCs/>
              </w:rPr>
            </w:pPr>
            <w:r w:rsidRPr="00AE79AC">
              <w:rPr>
                <w:rFonts w:ascii="Times New Roman" w:hAnsi="Times New Roman"/>
              </w:rPr>
              <w:t>Łączna kwota ekspozycji wskaźnika dźwigni, która byłaby wyłączona, gdyby właściwe władze udzieliły w jak najszerszym zakresie pozwolenia na wyłączenie ekspozycji, w</w:t>
            </w:r>
            <w:r w:rsidR="00552B55">
              <w:rPr>
                <w:rFonts w:ascii="Times New Roman" w:hAnsi="Times New Roman"/>
              </w:rPr>
              <w:t> </w:t>
            </w:r>
            <w:r w:rsidRPr="00AE79AC">
              <w:rPr>
                <w:rFonts w:ascii="Times New Roman" w:hAnsi="Times New Roman"/>
              </w:rPr>
              <w:t>odniesieniu do których spełniono wszystkie warunki określone w art. 113 ust. 6 lit. a)–e) CRR i udzielono zgody określonej w art. 113 ust. 6 CRR. Jeżeli właściwy organ już udzielił zezwolenia w jak najszerszym zakresie, to wartość w tej komórce jest równa wartości w</w:t>
            </w:r>
            <w:r w:rsidR="00552B55">
              <w:rPr>
                <w:rFonts w:ascii="Times New Roman" w:hAnsi="Times New Roman"/>
              </w:rPr>
              <w:t> </w:t>
            </w:r>
            <w:r w:rsidRPr="00AE79AC">
              <w:rPr>
                <w:rFonts w:ascii="Times New Roman" w:hAnsi="Times New Roman"/>
              </w:rPr>
              <w:t>{</w:t>
            </w:r>
            <w:proofErr w:type="spellStart"/>
            <w:r w:rsidRPr="00AE79AC">
              <w:rPr>
                <w:rFonts w:ascii="Times New Roman" w:hAnsi="Times New Roman"/>
              </w:rPr>
              <w:t>LRCalc</w:t>
            </w:r>
            <w:proofErr w:type="spellEnd"/>
            <w:r w:rsidRPr="00AE79AC">
              <w:rPr>
                <w:rFonts w:ascii="Times New Roman" w:hAnsi="Times New Roman"/>
              </w:rPr>
              <w:t>; 250;010}.</w:t>
            </w:r>
          </w:p>
          <w:p w:rsidR="004B5877" w:rsidRPr="00AE79AC" w:rsidRDefault="004B5877" w:rsidP="006A32F5">
            <w:pPr>
              <w:pStyle w:val="Paragraph"/>
              <w:ind w:firstLine="0"/>
              <w:rPr>
                <w:rFonts w:ascii="Times New Roman" w:hAnsi="Times New Roman"/>
                <w:b/>
                <w:bCs/>
              </w:rPr>
            </w:pPr>
          </w:p>
        </w:tc>
      </w:tr>
      <w:tr w:rsidR="004B5877" w:rsidRPr="00AE79AC" w:rsidTr="004B5877">
        <w:tc>
          <w:tcPr>
            <w:tcW w:w="1418" w:type="dxa"/>
          </w:tcPr>
          <w:p w:rsidR="004B5877" w:rsidRPr="00AE79AC" w:rsidRDefault="004B5877" w:rsidP="004178C8">
            <w:pPr>
              <w:pStyle w:val="BodyText1"/>
              <w:rPr>
                <w:rFonts w:ascii="Times New Roman" w:hAnsi="Times New Roman"/>
                <w:bCs/>
              </w:rPr>
            </w:pPr>
            <w:r w:rsidRPr="00AE79AC">
              <w:rPr>
                <w:rFonts w:ascii="Times New Roman" w:hAnsi="Times New Roman"/>
              </w:rPr>
              <w:t>{260;120}</w:t>
            </w:r>
          </w:p>
        </w:tc>
        <w:tc>
          <w:tcPr>
            <w:tcW w:w="7620" w:type="dxa"/>
          </w:tcPr>
          <w:p w:rsidR="004B5877" w:rsidRPr="00AE79AC" w:rsidRDefault="004B5877" w:rsidP="004B5877">
            <w:pPr>
              <w:pStyle w:val="BodyText1"/>
              <w:tabs>
                <w:tab w:val="left" w:pos="4755"/>
              </w:tabs>
              <w:spacing w:line="240" w:lineRule="auto"/>
              <w:rPr>
                <w:rFonts w:ascii="Times New Roman" w:hAnsi="Times New Roman"/>
                <w:b/>
                <w:bCs/>
              </w:rPr>
            </w:pPr>
            <w:r w:rsidRPr="00AE79AC">
              <w:rPr>
                <w:rFonts w:ascii="Times New Roman" w:hAnsi="Times New Roman"/>
                <w:b/>
              </w:rPr>
              <w:t>Ekspozycje, które spełniają warunki określone w art. 429 ust. 14 lit. a)–c) CRR – hipotetycznie wyłączona kwota ekspozycji wskaźnika dźwigni</w:t>
            </w:r>
          </w:p>
          <w:p w:rsidR="004B5877" w:rsidRPr="00AE79AC" w:rsidRDefault="004B5877" w:rsidP="004B5877">
            <w:pPr>
              <w:pStyle w:val="BodyText1"/>
              <w:tabs>
                <w:tab w:val="left" w:pos="4755"/>
              </w:tabs>
              <w:spacing w:line="240" w:lineRule="auto"/>
              <w:rPr>
                <w:rFonts w:ascii="Times New Roman" w:hAnsi="Times New Roman"/>
                <w:bCs/>
              </w:rPr>
            </w:pPr>
          </w:p>
          <w:p w:rsidR="00214D62" w:rsidRPr="00AE79AC" w:rsidRDefault="00214D62" w:rsidP="004B5877">
            <w:pPr>
              <w:pStyle w:val="BodyText1"/>
              <w:tabs>
                <w:tab w:val="left" w:pos="4755"/>
              </w:tabs>
              <w:spacing w:line="240" w:lineRule="auto"/>
              <w:rPr>
                <w:rFonts w:ascii="Times New Roman" w:hAnsi="Times New Roman"/>
                <w:bCs/>
              </w:rPr>
            </w:pPr>
            <w:r w:rsidRPr="00AE79AC">
              <w:rPr>
                <w:rFonts w:ascii="Times New Roman" w:hAnsi="Times New Roman"/>
              </w:rPr>
              <w:t>Łączna kwota ekspozycji wskaźnika dźwigni, która byłaby wyłączona, gdyby właściwe władze udzieliły w jak najszerszym zakresie pozwolenia na wyłączenie ekspozycji, które spełniają warunki określone w art. 429 ust. 14 lit. a)–c) CRR. Jeżeli właściwy organ już udzielił zezwolenia w jak najszerszym zakresie, to wartość w tej komórce jest równa wartości w {LRCalc; 260;010}.</w:t>
            </w:r>
          </w:p>
          <w:p w:rsidR="004B5877" w:rsidRPr="00AE79AC" w:rsidRDefault="004B5877" w:rsidP="006A32F5">
            <w:pPr>
              <w:pStyle w:val="Paragraph"/>
              <w:ind w:left="794" w:firstLine="0"/>
              <w:rPr>
                <w:rFonts w:ascii="Times New Roman" w:hAnsi="Times New Roman"/>
                <w:b/>
                <w:bCs/>
              </w:rPr>
            </w:pPr>
          </w:p>
        </w:tc>
      </w:tr>
    </w:tbl>
    <w:p w:rsidR="00F4754B" w:rsidRPr="00AE79AC" w:rsidRDefault="00F4754B" w:rsidP="00F4754B">
      <w:pPr>
        <w:pStyle w:val="BodyText1"/>
        <w:rPr>
          <w:rFonts w:ascii="Times New Roman" w:hAnsi="Times New Roman"/>
          <w:b/>
        </w:rPr>
      </w:pPr>
    </w:p>
    <w:p w:rsidR="00217D1F" w:rsidRPr="00AE79AC" w:rsidRDefault="00500508" w:rsidP="00500508">
      <w:pPr>
        <w:pStyle w:val="BodyText1"/>
        <w:ind w:left="357" w:hanging="357"/>
        <w:outlineLvl w:val="1"/>
        <w:rPr>
          <w:rFonts w:ascii="Times New Roman" w:hAnsi="Times New Roman"/>
          <w:b/>
        </w:rPr>
      </w:pPr>
      <w:bookmarkStart w:id="63" w:name="_Toc338669914"/>
      <w:bookmarkStart w:id="64" w:name="_Toc338669915"/>
      <w:bookmarkStart w:id="65" w:name="_Toc338669918"/>
      <w:bookmarkStart w:id="66" w:name="_Toc351048508"/>
      <w:bookmarkStart w:id="67" w:name="_Toc359414287"/>
      <w:bookmarkStart w:id="68" w:name="_Toc423089072"/>
      <w:bookmarkStart w:id="69" w:name="_Toc520369405"/>
      <w:bookmarkEnd w:id="63"/>
      <w:bookmarkEnd w:id="64"/>
      <w:bookmarkEnd w:id="65"/>
      <w:r w:rsidRPr="00AE79AC">
        <w:rPr>
          <w:rFonts w:ascii="Times New Roman" w:hAnsi="Times New Roman"/>
          <w:b/>
        </w:rPr>
        <w:t>6.</w:t>
      </w:r>
      <w:r w:rsidRPr="00AE79AC">
        <w:tab/>
      </w:r>
      <w:r w:rsidRPr="00AE79AC">
        <w:rPr>
          <w:rFonts w:ascii="Times New Roman" w:hAnsi="Times New Roman"/>
          <w:b/>
        </w:rPr>
        <w:t>C 41.00 – Pozycje bilansowe i pozabilansowe – dodatkowy podział ekspozycji</w:t>
      </w:r>
      <w:bookmarkEnd w:id="66"/>
      <w:bookmarkEnd w:id="67"/>
      <w:r w:rsidRPr="00AE79AC">
        <w:rPr>
          <w:rFonts w:ascii="Times New Roman" w:hAnsi="Times New Roman"/>
          <w:b/>
        </w:rPr>
        <w:t xml:space="preserve"> (LR2)</w:t>
      </w:r>
      <w:bookmarkEnd w:id="68"/>
      <w:bookmarkEnd w:id="69"/>
    </w:p>
    <w:p w:rsidR="00675587" w:rsidRPr="00AE79AC" w:rsidRDefault="00675587" w:rsidP="007E2A41">
      <w:pPr>
        <w:pStyle w:val="BodyText1"/>
        <w:spacing w:line="240" w:lineRule="auto"/>
        <w:ind w:left="720"/>
        <w:rPr>
          <w:rFonts w:ascii="Times New Roman" w:hAnsi="Times New Roman"/>
          <w:bCs/>
        </w:rPr>
      </w:pPr>
    </w:p>
    <w:p w:rsidR="00F4754B" w:rsidRPr="00AE79AC" w:rsidRDefault="00500508" w:rsidP="00500508">
      <w:pPr>
        <w:pStyle w:val="BodyText1"/>
        <w:spacing w:line="240" w:lineRule="auto"/>
        <w:ind w:left="720" w:hanging="360"/>
        <w:rPr>
          <w:rFonts w:ascii="Times New Roman" w:hAnsi="Times New Roman"/>
          <w:bCs/>
        </w:rPr>
      </w:pPr>
      <w:r w:rsidRPr="00AE79AC">
        <w:rPr>
          <w:rFonts w:ascii="Times New Roman" w:hAnsi="Times New Roman"/>
        </w:rPr>
        <w:t>24.</w:t>
      </w:r>
      <w:r w:rsidRPr="00AE79AC">
        <w:tab/>
      </w:r>
      <w:r w:rsidRPr="00AE79AC">
        <w:rPr>
          <w:rFonts w:ascii="Times New Roman" w:hAnsi="Times New Roman"/>
        </w:rPr>
        <w:t>Wzór LR2 dostarcza informacji na temat pozycji dodatkowego podziału wszystkich bilansowych i</w:t>
      </w:r>
      <w:r w:rsidR="00552B55">
        <w:rPr>
          <w:rFonts w:ascii="Times New Roman" w:hAnsi="Times New Roman"/>
        </w:rPr>
        <w:t> </w:t>
      </w:r>
      <w:r w:rsidRPr="00AE79AC">
        <w:rPr>
          <w:rFonts w:ascii="Times New Roman" w:hAnsi="Times New Roman"/>
        </w:rPr>
        <w:t>pozabilansowych ekspozycji</w:t>
      </w:r>
      <w:r w:rsidRPr="00AE79AC">
        <w:rPr>
          <w:rFonts w:ascii="Times New Roman" w:hAnsi="Times New Roman"/>
          <w:vertAlign w:val="superscript"/>
        </w:rPr>
        <w:footnoteReference w:id="2"/>
      </w:r>
      <w:r w:rsidRPr="00AE79AC">
        <w:rPr>
          <w:rFonts w:ascii="Times New Roman" w:hAnsi="Times New Roman"/>
        </w:rPr>
        <w:t xml:space="preserve"> należących do portfela bankowego i wszystkich ekspozycji portfela handlowego podatnych na ryzyko kredytowe kontrahenta. Podział przeprowadza się zgodnie z wagami ryzyka stosowanymi w ramach sekcji CRR dotyczącej ryzyka kredytowego. Informacje otrzymuje się dla ekspozycji w różny sposób, przy zastosowaniu odpowiednio metody standardowej i metody IRB. </w:t>
      </w:r>
    </w:p>
    <w:p w:rsidR="00FC2664" w:rsidRPr="00AE79AC" w:rsidRDefault="00FC2664" w:rsidP="007E2A41">
      <w:pPr>
        <w:pStyle w:val="BodyText1"/>
        <w:spacing w:line="240" w:lineRule="auto"/>
        <w:rPr>
          <w:rFonts w:ascii="Times New Roman" w:hAnsi="Times New Roman"/>
        </w:rPr>
      </w:pPr>
    </w:p>
    <w:p w:rsidR="00F4754B" w:rsidRPr="00AE79AC" w:rsidRDefault="00500508" w:rsidP="00500508">
      <w:pPr>
        <w:pStyle w:val="BodyText1"/>
        <w:spacing w:line="240" w:lineRule="auto"/>
        <w:ind w:left="720" w:hanging="360"/>
        <w:rPr>
          <w:rFonts w:ascii="Times New Roman" w:hAnsi="Times New Roman"/>
        </w:rPr>
      </w:pPr>
      <w:r w:rsidRPr="00AE79AC">
        <w:rPr>
          <w:rFonts w:ascii="Times New Roman" w:hAnsi="Times New Roman"/>
        </w:rPr>
        <w:t>25.</w:t>
      </w:r>
      <w:r w:rsidRPr="00AE79AC">
        <w:tab/>
      </w:r>
      <w:r w:rsidRPr="00AE79AC">
        <w:rPr>
          <w:rFonts w:ascii="Times New Roman" w:hAnsi="Times New Roman"/>
        </w:rPr>
        <w:t xml:space="preserve">W przypadku ekspozycji wspieranych za pomocą technik CRM, które wiążą się z substytucją ważenia ryzyka po stronie kontrahenta przez ważenie ryzyka po stronie gwaranta, instytucje odnoszą się do wagi ryzyka po efekcie substytucyjnym. W ramach metody IRB instytucje dokonują następujących obliczeń: jeżeli chodzi o ekspozycje (inne niż te, dla których przewidziane są szczególne ustawowe wagi ryzyka) należące do wszystkich klas jakości dłużnika, wagę ryzyka określa się, dzieląc ekspozycję ważoną ryzykiem uzyskaną za pomocą wzoru na wagę ryzyka lub formuły nadzorczej (w odniesieniu do ekspozycji z tytułu, odpowiednio, ryzyka kredytowego i sekurytyzacji) przez wartość ekspozycji po uwzględnieniu wpływów i odpływów z uwagi na techniki CRM z efektem substytucyjnym na ekspozycję. W ramach metody IRB ekspozycje zaklasyfikowane jako ekspozycje, których dotyczy niewykonanie zobowiązania, usuwa się z komórek od {020;010} do {090;010} i umieszcza w komórce {100;010}. W ramach metody standardowej ekspozycje objęte zakresem </w:t>
      </w:r>
      <w:r w:rsidRPr="002341B6">
        <w:rPr>
          <w:rFonts w:ascii="Times New Roman" w:hAnsi="Times New Roman"/>
        </w:rPr>
        <w:t>art.</w:t>
      </w:r>
      <w:r w:rsidR="002341B6" w:rsidRPr="002341B6">
        <w:rPr>
          <w:rFonts w:ascii="Times New Roman" w:hAnsi="Times New Roman"/>
        </w:rPr>
        <w:t> </w:t>
      </w:r>
      <w:r w:rsidRPr="002341B6">
        <w:rPr>
          <w:rFonts w:ascii="Times New Roman" w:hAnsi="Times New Roman"/>
        </w:rPr>
        <w:t>1</w:t>
      </w:r>
      <w:r w:rsidRPr="00AE79AC">
        <w:rPr>
          <w:rFonts w:ascii="Times New Roman" w:hAnsi="Times New Roman"/>
        </w:rPr>
        <w:t xml:space="preserve">12 </w:t>
      </w:r>
      <w:r w:rsidRPr="002341B6">
        <w:rPr>
          <w:rFonts w:ascii="Times New Roman" w:hAnsi="Times New Roman"/>
        </w:rPr>
        <w:t>lit.</w:t>
      </w:r>
      <w:r w:rsidR="002341B6" w:rsidRPr="002341B6">
        <w:rPr>
          <w:rFonts w:ascii="Times New Roman" w:hAnsi="Times New Roman"/>
        </w:rPr>
        <w:t> </w:t>
      </w:r>
      <w:r w:rsidRPr="002341B6">
        <w:rPr>
          <w:rFonts w:ascii="Times New Roman" w:hAnsi="Times New Roman"/>
        </w:rPr>
        <w:t>j)</w:t>
      </w:r>
      <w:r w:rsidRPr="00AE79AC">
        <w:rPr>
          <w:rFonts w:ascii="Times New Roman" w:hAnsi="Times New Roman"/>
        </w:rPr>
        <w:t xml:space="preserve"> CRR, usuwa się z komórek od {020;020} do {090;020} i umieszcza w komórce{100;020}.</w:t>
      </w:r>
    </w:p>
    <w:p w:rsidR="00FC2664" w:rsidRPr="00AE79AC" w:rsidRDefault="00FC2664" w:rsidP="007E2A41">
      <w:pPr>
        <w:pStyle w:val="BodyText1"/>
        <w:spacing w:line="240" w:lineRule="auto"/>
        <w:rPr>
          <w:rFonts w:ascii="Times New Roman" w:hAnsi="Times New Roman"/>
        </w:rPr>
      </w:pPr>
    </w:p>
    <w:p w:rsidR="00F4754B" w:rsidRPr="00AE79AC" w:rsidRDefault="00500508" w:rsidP="00500508">
      <w:pPr>
        <w:pStyle w:val="BodyText1"/>
        <w:spacing w:line="240" w:lineRule="auto"/>
        <w:ind w:left="720" w:hanging="360"/>
        <w:rPr>
          <w:rFonts w:ascii="Times New Roman" w:hAnsi="Times New Roman"/>
        </w:rPr>
      </w:pPr>
      <w:r w:rsidRPr="00AE79AC">
        <w:rPr>
          <w:rFonts w:ascii="Times New Roman" w:hAnsi="Times New Roman"/>
        </w:rPr>
        <w:t>26.</w:t>
      </w:r>
      <w:r w:rsidRPr="00AE79AC">
        <w:tab/>
      </w:r>
      <w:r w:rsidRPr="00AE79AC">
        <w:rPr>
          <w:rFonts w:ascii="Times New Roman" w:hAnsi="Times New Roman"/>
        </w:rPr>
        <w:t>W ramach obu metod instytucje traktują ekspozycje odejmowane od kapitału regulacyjnego jako ekspozycje, którym przypisano wagę ryzyka w wysokości 125</w:t>
      </w:r>
      <w:r w:rsidRPr="002341B6">
        <w:rPr>
          <w:rFonts w:ascii="Times New Roman" w:hAnsi="Times New Roman"/>
        </w:rPr>
        <w:t>0</w:t>
      </w:r>
      <w:r w:rsidR="002341B6" w:rsidRPr="002341B6">
        <w:rPr>
          <w:rFonts w:ascii="Times New Roman" w:hAnsi="Times New Roman"/>
        </w:rPr>
        <w:t> </w:t>
      </w:r>
      <w:r w:rsidRPr="002341B6">
        <w:rPr>
          <w:rFonts w:ascii="Times New Roman" w:hAnsi="Times New Roman"/>
        </w:rPr>
        <w:t>%</w:t>
      </w:r>
      <w:r w:rsidRPr="00AE79AC">
        <w:rPr>
          <w:rFonts w:ascii="Times New Roman" w:hAnsi="Times New Roman"/>
        </w:rPr>
        <w:t>.</w:t>
      </w:r>
    </w:p>
    <w:p w:rsidR="00675587" w:rsidRPr="00AE79AC" w:rsidRDefault="00675587" w:rsidP="00675587">
      <w:pPr>
        <w:pStyle w:val="BodyText1"/>
        <w:rPr>
          <w:rFonts w:ascii="Times New Roman" w:hAnsi="Times New Roman"/>
        </w:rPr>
      </w:pPr>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F4754B" w:rsidRPr="00AE79AC" w:rsidTr="00FC2664">
        <w:tc>
          <w:tcPr>
            <w:tcW w:w="1418" w:type="dxa"/>
            <w:shd w:val="clear" w:color="auto" w:fill="D9D9D9"/>
          </w:tcPr>
          <w:p w:rsidR="00F4754B" w:rsidRPr="00AE79AC" w:rsidRDefault="00F4754B" w:rsidP="00F0756A">
            <w:pPr>
              <w:pStyle w:val="BodyText1"/>
              <w:spacing w:line="240" w:lineRule="auto"/>
              <w:rPr>
                <w:rFonts w:ascii="Times New Roman" w:hAnsi="Times New Roman"/>
                <w:b/>
              </w:rPr>
            </w:pPr>
            <w:r w:rsidRPr="00AE79AC">
              <w:rPr>
                <w:rFonts w:ascii="Times New Roman" w:hAnsi="Times New Roman"/>
                <w:b/>
              </w:rPr>
              <w:t xml:space="preserve">Wiersz </w:t>
            </w:r>
          </w:p>
          <w:p w:rsidR="00F4754B" w:rsidRPr="00AE79AC" w:rsidRDefault="00F4754B" w:rsidP="00F0756A">
            <w:pPr>
              <w:pStyle w:val="BodyText1"/>
              <w:spacing w:line="240" w:lineRule="auto"/>
              <w:rPr>
                <w:rFonts w:ascii="Times New Roman" w:hAnsi="Times New Roman"/>
                <w:b/>
                <w:bCs/>
              </w:rPr>
            </w:pPr>
          </w:p>
        </w:tc>
        <w:tc>
          <w:tcPr>
            <w:tcW w:w="7620" w:type="dxa"/>
            <w:shd w:val="clear" w:color="auto" w:fill="D9D9D9"/>
          </w:tcPr>
          <w:p w:rsidR="00F4754B" w:rsidRPr="00AE79AC" w:rsidRDefault="00F4754B" w:rsidP="00F0756A">
            <w:pPr>
              <w:pStyle w:val="BodyText1"/>
              <w:spacing w:line="240" w:lineRule="auto"/>
              <w:rPr>
                <w:rFonts w:ascii="Times New Roman" w:hAnsi="Times New Roman"/>
                <w:b/>
                <w:bCs/>
              </w:rPr>
            </w:pPr>
            <w:r w:rsidRPr="00AE79AC">
              <w:rPr>
                <w:rFonts w:ascii="Times New Roman" w:hAnsi="Times New Roman"/>
                <w:b/>
              </w:rPr>
              <w:t>Odniesienia prawne i instrukcje</w:t>
            </w:r>
          </w:p>
          <w:p w:rsidR="00F4754B" w:rsidRPr="00AE79AC" w:rsidRDefault="00F4754B" w:rsidP="00F0756A">
            <w:pPr>
              <w:pStyle w:val="BodyText1"/>
              <w:spacing w:line="240" w:lineRule="auto"/>
              <w:rPr>
                <w:rFonts w:ascii="Times New Roman" w:hAnsi="Times New Roman"/>
                <w:b/>
                <w:bCs/>
                <w:u w:val="single"/>
              </w:rPr>
            </w:pPr>
          </w:p>
        </w:tc>
      </w:tr>
      <w:tr w:rsidR="00F4754B" w:rsidRPr="00AE79AC" w:rsidTr="00FC2664">
        <w:tc>
          <w:tcPr>
            <w:tcW w:w="1418" w:type="dxa"/>
          </w:tcPr>
          <w:p w:rsidR="00F4754B" w:rsidRPr="00AE79AC" w:rsidRDefault="00F4754B" w:rsidP="00F4754B">
            <w:pPr>
              <w:pStyle w:val="BodyText1"/>
              <w:rPr>
                <w:rFonts w:ascii="Times New Roman" w:hAnsi="Times New Roman"/>
                <w:bCs/>
              </w:rPr>
            </w:pPr>
            <w:r w:rsidRPr="00AE79AC">
              <w:rPr>
                <w:rFonts w:ascii="Times New Roman" w:hAnsi="Times New Roman"/>
              </w:rPr>
              <w:t>010</w:t>
            </w:r>
          </w:p>
          <w:p w:rsidR="00F4754B" w:rsidRPr="00AE79AC" w:rsidRDefault="00F4754B" w:rsidP="00F4754B">
            <w:pPr>
              <w:pStyle w:val="BodyText1"/>
              <w:rPr>
                <w:rFonts w:ascii="Times New Roman" w:hAnsi="Times New Roman"/>
                <w:bCs/>
              </w:rPr>
            </w:pPr>
          </w:p>
        </w:tc>
        <w:tc>
          <w:tcPr>
            <w:tcW w:w="7620" w:type="dxa"/>
          </w:tcPr>
          <w:p w:rsidR="00F4754B" w:rsidRPr="00AE79AC" w:rsidRDefault="00F4754B" w:rsidP="007E2A41">
            <w:pPr>
              <w:pStyle w:val="BodyText1"/>
              <w:spacing w:line="240" w:lineRule="auto"/>
              <w:rPr>
                <w:rFonts w:ascii="Times New Roman" w:hAnsi="Times New Roman"/>
                <w:b/>
                <w:bCs/>
              </w:rPr>
            </w:pPr>
            <w:r w:rsidRPr="00AE79AC">
              <w:rPr>
                <w:rFonts w:ascii="Times New Roman" w:hAnsi="Times New Roman"/>
                <w:b/>
              </w:rPr>
              <w:t>Ekspozycje bilansowe i pozabilansowe należące do portfela bankowego razem oraz ekspozycje portfela handlowego podatne na ryzyko kredytowe kontrahenta (podział według wagi ryzyka):</w:t>
            </w:r>
          </w:p>
          <w:p w:rsidR="00F4754B" w:rsidRPr="00AE79AC" w:rsidRDefault="00F4754B" w:rsidP="007E2A41">
            <w:pPr>
              <w:pStyle w:val="BodyText1"/>
              <w:spacing w:line="240" w:lineRule="auto"/>
              <w:rPr>
                <w:rFonts w:ascii="Times New Roman" w:hAnsi="Times New Roman"/>
                <w:bCs/>
              </w:rPr>
            </w:pPr>
          </w:p>
          <w:p w:rsidR="00F4754B" w:rsidRPr="00AE79AC" w:rsidRDefault="00F4754B" w:rsidP="007E2A41">
            <w:pPr>
              <w:pStyle w:val="BodyText1"/>
              <w:spacing w:line="240" w:lineRule="auto"/>
              <w:rPr>
                <w:rFonts w:ascii="Times New Roman" w:hAnsi="Times New Roman"/>
                <w:bCs/>
              </w:rPr>
            </w:pPr>
            <w:r w:rsidRPr="00AE79AC">
              <w:rPr>
                <w:rFonts w:ascii="Times New Roman" w:hAnsi="Times New Roman"/>
              </w:rPr>
              <w:t>Jest to suma komórek od {020:*} do {100;*}.</w:t>
            </w:r>
          </w:p>
          <w:p w:rsidR="002509B1" w:rsidRPr="00AE79AC" w:rsidRDefault="002509B1" w:rsidP="007E2A41">
            <w:pPr>
              <w:pStyle w:val="BodyText1"/>
              <w:spacing w:line="240" w:lineRule="auto"/>
              <w:rPr>
                <w:rFonts w:ascii="Times New Roman" w:hAnsi="Times New Roman"/>
                <w:bCs/>
              </w:rPr>
            </w:pPr>
          </w:p>
        </w:tc>
      </w:tr>
      <w:tr w:rsidR="00F4754B" w:rsidRPr="00AE79AC" w:rsidTr="00FC2664">
        <w:tc>
          <w:tcPr>
            <w:tcW w:w="1418" w:type="dxa"/>
          </w:tcPr>
          <w:p w:rsidR="00F4754B" w:rsidRPr="00AE79AC" w:rsidRDefault="00F4754B" w:rsidP="00F4754B">
            <w:pPr>
              <w:pStyle w:val="BodyText1"/>
              <w:rPr>
                <w:rFonts w:ascii="Times New Roman" w:hAnsi="Times New Roman"/>
                <w:bCs/>
              </w:rPr>
            </w:pPr>
            <w:r w:rsidRPr="00AE79AC">
              <w:rPr>
                <w:rFonts w:ascii="Times New Roman" w:hAnsi="Times New Roman"/>
              </w:rPr>
              <w:t>020</w:t>
            </w:r>
          </w:p>
          <w:p w:rsidR="00F4754B" w:rsidRPr="00AE79AC" w:rsidRDefault="00F4754B" w:rsidP="00F4754B">
            <w:pPr>
              <w:pStyle w:val="BodyText1"/>
              <w:rPr>
                <w:rFonts w:ascii="Times New Roman" w:hAnsi="Times New Roman"/>
                <w:b/>
                <w:bCs/>
                <w:u w:val="single"/>
              </w:rPr>
            </w:pPr>
          </w:p>
        </w:tc>
        <w:tc>
          <w:tcPr>
            <w:tcW w:w="7620" w:type="dxa"/>
          </w:tcPr>
          <w:p w:rsidR="00F4754B" w:rsidRPr="00AE79AC" w:rsidRDefault="00F4754B" w:rsidP="007E2A41">
            <w:pPr>
              <w:pStyle w:val="BodyText1"/>
              <w:spacing w:line="240" w:lineRule="auto"/>
              <w:rPr>
                <w:rFonts w:ascii="Times New Roman" w:hAnsi="Times New Roman"/>
                <w:bCs/>
              </w:rPr>
            </w:pPr>
            <w:r w:rsidRPr="00AE79AC">
              <w:rPr>
                <w:rFonts w:ascii="Times New Roman" w:hAnsi="Times New Roman"/>
                <w:b/>
              </w:rPr>
              <w:t xml:space="preserve">= </w:t>
            </w:r>
            <w:r w:rsidRPr="002341B6">
              <w:rPr>
                <w:rFonts w:ascii="Times New Roman" w:hAnsi="Times New Roman"/>
                <w:b/>
              </w:rPr>
              <w:t>0</w:t>
            </w:r>
            <w:r w:rsidR="002341B6" w:rsidRPr="002341B6">
              <w:rPr>
                <w:rFonts w:ascii="Times New Roman" w:hAnsi="Times New Roman"/>
                <w:b/>
              </w:rPr>
              <w:t> </w:t>
            </w:r>
            <w:r w:rsidRPr="002341B6">
              <w:rPr>
                <w:rFonts w:ascii="Times New Roman" w:hAnsi="Times New Roman"/>
                <w:b/>
              </w:rPr>
              <w:t>%</w:t>
            </w:r>
          </w:p>
          <w:p w:rsidR="00F4754B" w:rsidRPr="00AE79AC" w:rsidRDefault="00F4754B" w:rsidP="007E2A41">
            <w:pPr>
              <w:pStyle w:val="BodyText1"/>
              <w:spacing w:line="240" w:lineRule="auto"/>
              <w:rPr>
                <w:rFonts w:ascii="Times New Roman" w:hAnsi="Times New Roman"/>
                <w:bCs/>
              </w:rPr>
            </w:pPr>
          </w:p>
          <w:p w:rsidR="00F4754B" w:rsidRPr="00AE79AC" w:rsidRDefault="00F4754B" w:rsidP="007E2A41">
            <w:pPr>
              <w:pStyle w:val="BodyText1"/>
              <w:spacing w:line="240" w:lineRule="auto"/>
              <w:rPr>
                <w:rFonts w:ascii="Times New Roman" w:hAnsi="Times New Roman"/>
                <w:bCs/>
              </w:rPr>
            </w:pPr>
            <w:r w:rsidRPr="00AE79AC">
              <w:rPr>
                <w:rFonts w:ascii="Times New Roman" w:hAnsi="Times New Roman"/>
              </w:rPr>
              <w:t xml:space="preserve">Ekspozycje o wadze ryzyka wynoszącej </w:t>
            </w:r>
            <w:r w:rsidRPr="002341B6">
              <w:rPr>
                <w:rFonts w:ascii="Times New Roman" w:hAnsi="Times New Roman"/>
              </w:rPr>
              <w:t>0</w:t>
            </w:r>
            <w:r w:rsidR="002341B6" w:rsidRPr="002341B6">
              <w:rPr>
                <w:rFonts w:ascii="Times New Roman" w:hAnsi="Times New Roman"/>
              </w:rPr>
              <w:t> </w:t>
            </w:r>
            <w:r w:rsidRPr="002341B6">
              <w:rPr>
                <w:rFonts w:ascii="Times New Roman" w:hAnsi="Times New Roman"/>
              </w:rPr>
              <w:t>%</w:t>
            </w:r>
            <w:r w:rsidRPr="00AE79AC">
              <w:rPr>
                <w:rFonts w:ascii="Times New Roman" w:hAnsi="Times New Roman"/>
              </w:rPr>
              <w:t>.</w:t>
            </w:r>
          </w:p>
          <w:p w:rsidR="002509B1" w:rsidRPr="00AE79AC" w:rsidRDefault="002509B1" w:rsidP="007E2A41">
            <w:pPr>
              <w:pStyle w:val="BodyText1"/>
              <w:spacing w:line="240" w:lineRule="auto"/>
              <w:rPr>
                <w:rFonts w:ascii="Times New Roman" w:hAnsi="Times New Roman"/>
                <w:bCs/>
              </w:rPr>
            </w:pPr>
          </w:p>
        </w:tc>
      </w:tr>
      <w:tr w:rsidR="00F4754B" w:rsidRPr="00AE79AC" w:rsidTr="00FC2664">
        <w:tc>
          <w:tcPr>
            <w:tcW w:w="1418" w:type="dxa"/>
          </w:tcPr>
          <w:p w:rsidR="00F4754B" w:rsidRPr="00AE79AC" w:rsidRDefault="00F4754B" w:rsidP="00F4754B">
            <w:pPr>
              <w:pStyle w:val="BodyText1"/>
              <w:rPr>
                <w:rFonts w:ascii="Times New Roman" w:hAnsi="Times New Roman"/>
                <w:bCs/>
              </w:rPr>
            </w:pPr>
            <w:r w:rsidRPr="00AE79AC">
              <w:rPr>
                <w:rFonts w:ascii="Times New Roman" w:hAnsi="Times New Roman"/>
              </w:rPr>
              <w:t>030</w:t>
            </w:r>
          </w:p>
        </w:tc>
        <w:tc>
          <w:tcPr>
            <w:tcW w:w="7620" w:type="dxa"/>
          </w:tcPr>
          <w:p w:rsidR="00F4754B" w:rsidRPr="00AE79AC" w:rsidRDefault="00F4754B" w:rsidP="007E2A41">
            <w:pPr>
              <w:pStyle w:val="BodyText1"/>
              <w:spacing w:line="240" w:lineRule="auto"/>
              <w:rPr>
                <w:rFonts w:ascii="Times New Roman" w:hAnsi="Times New Roman"/>
                <w:bCs/>
              </w:rPr>
            </w:pPr>
            <w:r w:rsidRPr="00AE79AC">
              <w:rPr>
                <w:rFonts w:ascii="Times New Roman" w:hAnsi="Times New Roman"/>
                <w:b/>
              </w:rPr>
              <w:t>&gt; 0 % i ≤ 12 %</w:t>
            </w:r>
          </w:p>
          <w:p w:rsidR="00F4754B" w:rsidRPr="00AE79AC" w:rsidRDefault="00F4754B" w:rsidP="007E2A41">
            <w:pPr>
              <w:pStyle w:val="BodyText1"/>
              <w:spacing w:line="240" w:lineRule="auto"/>
              <w:rPr>
                <w:rFonts w:ascii="Times New Roman" w:hAnsi="Times New Roman"/>
              </w:rPr>
            </w:pPr>
          </w:p>
          <w:p w:rsidR="00F4754B" w:rsidRPr="00AE79AC" w:rsidRDefault="00F4754B" w:rsidP="007E2A41">
            <w:pPr>
              <w:pStyle w:val="BodyText1"/>
              <w:spacing w:line="240" w:lineRule="auto"/>
              <w:rPr>
                <w:rFonts w:ascii="Times New Roman" w:hAnsi="Times New Roman"/>
                <w:bCs/>
              </w:rPr>
            </w:pPr>
            <w:r w:rsidRPr="00AE79AC">
              <w:rPr>
                <w:rFonts w:ascii="Times New Roman" w:hAnsi="Times New Roman"/>
              </w:rPr>
              <w:t>Ekspozycje o wadze ryzyka mieszczącej się w zakresie wag ryzyka większych niż 0 % i</w:t>
            </w:r>
            <w:r w:rsidR="00AA326F">
              <w:rPr>
                <w:rFonts w:ascii="Times New Roman" w:hAnsi="Times New Roman"/>
              </w:rPr>
              <w:t> </w:t>
            </w:r>
            <w:r w:rsidRPr="00AE79AC">
              <w:rPr>
                <w:rFonts w:ascii="Times New Roman" w:hAnsi="Times New Roman"/>
              </w:rPr>
              <w:t>mniejszych niż lub równych 12 %.</w:t>
            </w:r>
          </w:p>
          <w:p w:rsidR="002509B1" w:rsidRPr="00AE79AC" w:rsidRDefault="002509B1" w:rsidP="007E2A41">
            <w:pPr>
              <w:pStyle w:val="BodyText1"/>
              <w:spacing w:line="240" w:lineRule="auto"/>
              <w:rPr>
                <w:rFonts w:ascii="Times New Roman" w:hAnsi="Times New Roman"/>
              </w:rPr>
            </w:pPr>
          </w:p>
        </w:tc>
      </w:tr>
      <w:tr w:rsidR="00F4754B" w:rsidRPr="00AE79AC" w:rsidTr="00FC2664">
        <w:tc>
          <w:tcPr>
            <w:tcW w:w="1418" w:type="dxa"/>
            <w:tcBorders>
              <w:bottom w:val="single" w:sz="4" w:space="0" w:color="auto"/>
            </w:tcBorders>
          </w:tcPr>
          <w:p w:rsidR="00F4754B" w:rsidRPr="00AE79AC" w:rsidRDefault="00F4754B" w:rsidP="00F4754B">
            <w:pPr>
              <w:pStyle w:val="BodyText1"/>
              <w:rPr>
                <w:rFonts w:ascii="Times New Roman" w:hAnsi="Times New Roman"/>
                <w:bCs/>
              </w:rPr>
            </w:pPr>
            <w:r w:rsidRPr="00AE79AC">
              <w:rPr>
                <w:rFonts w:ascii="Times New Roman" w:hAnsi="Times New Roman"/>
              </w:rPr>
              <w:t>040</w:t>
            </w:r>
          </w:p>
        </w:tc>
        <w:tc>
          <w:tcPr>
            <w:tcW w:w="7620" w:type="dxa"/>
            <w:tcBorders>
              <w:bottom w:val="single" w:sz="4" w:space="0" w:color="auto"/>
            </w:tcBorders>
          </w:tcPr>
          <w:p w:rsidR="00F4754B" w:rsidRPr="00AE79AC" w:rsidRDefault="00F4754B" w:rsidP="007E2A41">
            <w:pPr>
              <w:pStyle w:val="BodyText1"/>
              <w:spacing w:line="240" w:lineRule="auto"/>
              <w:rPr>
                <w:rFonts w:ascii="Times New Roman" w:hAnsi="Times New Roman"/>
                <w:bCs/>
              </w:rPr>
            </w:pPr>
            <w:r w:rsidRPr="00AE79AC">
              <w:rPr>
                <w:rFonts w:ascii="Times New Roman" w:hAnsi="Times New Roman"/>
                <w:b/>
              </w:rPr>
              <w:t>&gt; 12 % i ≤ 20 %</w:t>
            </w:r>
          </w:p>
          <w:p w:rsidR="00F4754B" w:rsidRPr="00AE79AC" w:rsidRDefault="00F4754B" w:rsidP="007E2A41">
            <w:pPr>
              <w:pStyle w:val="BodyText1"/>
              <w:spacing w:line="240" w:lineRule="auto"/>
              <w:rPr>
                <w:rFonts w:ascii="Times New Roman" w:hAnsi="Times New Roman"/>
                <w:bCs/>
              </w:rPr>
            </w:pPr>
          </w:p>
          <w:p w:rsidR="00F4754B" w:rsidRPr="00AE79AC" w:rsidRDefault="00F4754B" w:rsidP="007E2A41">
            <w:pPr>
              <w:pStyle w:val="BodyText1"/>
              <w:spacing w:line="240" w:lineRule="auto"/>
              <w:rPr>
                <w:rFonts w:ascii="Times New Roman" w:hAnsi="Times New Roman"/>
                <w:bCs/>
              </w:rPr>
            </w:pPr>
            <w:r w:rsidRPr="00AE79AC">
              <w:rPr>
                <w:rFonts w:ascii="Times New Roman" w:hAnsi="Times New Roman"/>
              </w:rPr>
              <w:t>Ekspozycje o wadze ryzyka mieszczącej się w zakresie wag ryzyka większych niż 12 % i</w:t>
            </w:r>
            <w:r w:rsidR="00AA326F">
              <w:rPr>
                <w:rFonts w:ascii="Times New Roman" w:hAnsi="Times New Roman"/>
              </w:rPr>
              <w:t> </w:t>
            </w:r>
            <w:r w:rsidRPr="00AE79AC">
              <w:rPr>
                <w:rFonts w:ascii="Times New Roman" w:hAnsi="Times New Roman"/>
              </w:rPr>
              <w:t xml:space="preserve">mniejszych niż lub równych 20 %. </w:t>
            </w:r>
          </w:p>
          <w:p w:rsidR="002509B1" w:rsidRPr="00AE79AC" w:rsidRDefault="002509B1" w:rsidP="007E2A41">
            <w:pPr>
              <w:pStyle w:val="BodyText1"/>
              <w:spacing w:line="240" w:lineRule="auto"/>
              <w:rPr>
                <w:rFonts w:ascii="Times New Roman" w:hAnsi="Times New Roman"/>
                <w:bCs/>
              </w:rPr>
            </w:pPr>
          </w:p>
        </w:tc>
      </w:tr>
      <w:tr w:rsidR="00F4754B" w:rsidRPr="00AE79AC" w:rsidTr="00FC2664">
        <w:tc>
          <w:tcPr>
            <w:tcW w:w="1418" w:type="dxa"/>
          </w:tcPr>
          <w:p w:rsidR="00F4754B" w:rsidRPr="00AE79AC" w:rsidRDefault="00F4754B" w:rsidP="00F4754B">
            <w:pPr>
              <w:pStyle w:val="BodyText1"/>
              <w:rPr>
                <w:rFonts w:ascii="Times New Roman" w:hAnsi="Times New Roman"/>
                <w:bCs/>
              </w:rPr>
            </w:pPr>
            <w:r w:rsidRPr="00AE79AC">
              <w:rPr>
                <w:rFonts w:ascii="Times New Roman" w:hAnsi="Times New Roman"/>
              </w:rPr>
              <w:t>050</w:t>
            </w:r>
          </w:p>
        </w:tc>
        <w:tc>
          <w:tcPr>
            <w:tcW w:w="7620" w:type="dxa"/>
          </w:tcPr>
          <w:p w:rsidR="00F4754B" w:rsidRPr="00AE79AC" w:rsidRDefault="00F4754B" w:rsidP="007E2A41">
            <w:pPr>
              <w:pStyle w:val="BodyText1"/>
              <w:spacing w:line="240" w:lineRule="auto"/>
              <w:rPr>
                <w:rFonts w:ascii="Times New Roman" w:hAnsi="Times New Roman"/>
                <w:bCs/>
              </w:rPr>
            </w:pPr>
            <w:r w:rsidRPr="00AE79AC">
              <w:rPr>
                <w:rFonts w:ascii="Times New Roman" w:hAnsi="Times New Roman"/>
                <w:b/>
              </w:rPr>
              <w:t>&gt; 20 % i ≤ 50 %</w:t>
            </w:r>
          </w:p>
          <w:p w:rsidR="00F4754B" w:rsidRPr="00AE79AC" w:rsidRDefault="00F4754B" w:rsidP="007E2A41">
            <w:pPr>
              <w:pStyle w:val="BodyText1"/>
              <w:spacing w:line="240" w:lineRule="auto"/>
              <w:rPr>
                <w:rFonts w:ascii="Times New Roman" w:hAnsi="Times New Roman"/>
                <w:bCs/>
              </w:rPr>
            </w:pPr>
          </w:p>
          <w:p w:rsidR="00F4754B" w:rsidRPr="00AE79AC" w:rsidRDefault="00F4754B" w:rsidP="007E2A41">
            <w:pPr>
              <w:pStyle w:val="BodyText1"/>
              <w:spacing w:line="240" w:lineRule="auto"/>
              <w:rPr>
                <w:rFonts w:ascii="Times New Roman" w:hAnsi="Times New Roman"/>
                <w:bCs/>
              </w:rPr>
            </w:pPr>
            <w:r w:rsidRPr="00AE79AC">
              <w:rPr>
                <w:rFonts w:ascii="Times New Roman" w:hAnsi="Times New Roman"/>
              </w:rPr>
              <w:t>Ekspozycje o wadze ryzyka mieszczącej się w zakresie wag ryzyka większych niż 20 % i</w:t>
            </w:r>
            <w:r w:rsidR="00AA326F">
              <w:rPr>
                <w:rFonts w:ascii="Times New Roman" w:hAnsi="Times New Roman"/>
              </w:rPr>
              <w:t> </w:t>
            </w:r>
            <w:r w:rsidRPr="00AE79AC">
              <w:rPr>
                <w:rFonts w:ascii="Times New Roman" w:hAnsi="Times New Roman"/>
              </w:rPr>
              <w:t>mniejszych niż lub równych 50 %.</w:t>
            </w:r>
          </w:p>
          <w:p w:rsidR="002509B1" w:rsidRPr="00AE79AC" w:rsidRDefault="002509B1" w:rsidP="007E2A41">
            <w:pPr>
              <w:pStyle w:val="BodyText1"/>
              <w:spacing w:line="240" w:lineRule="auto"/>
              <w:rPr>
                <w:rFonts w:ascii="Times New Roman" w:hAnsi="Times New Roman"/>
                <w:bCs/>
              </w:rPr>
            </w:pPr>
          </w:p>
        </w:tc>
      </w:tr>
      <w:tr w:rsidR="00F4754B" w:rsidRPr="00AE79AC" w:rsidTr="00FC2664">
        <w:tc>
          <w:tcPr>
            <w:tcW w:w="1418" w:type="dxa"/>
          </w:tcPr>
          <w:p w:rsidR="00F4754B" w:rsidRPr="00AE79AC" w:rsidRDefault="00F4754B" w:rsidP="00F4754B">
            <w:pPr>
              <w:pStyle w:val="BodyText1"/>
              <w:rPr>
                <w:rFonts w:ascii="Times New Roman" w:hAnsi="Times New Roman"/>
                <w:bCs/>
              </w:rPr>
            </w:pPr>
            <w:r w:rsidRPr="00AE79AC">
              <w:rPr>
                <w:rFonts w:ascii="Times New Roman" w:hAnsi="Times New Roman"/>
              </w:rPr>
              <w:t>060</w:t>
            </w:r>
          </w:p>
          <w:p w:rsidR="00F4754B" w:rsidRPr="00AE79AC" w:rsidRDefault="00F4754B" w:rsidP="00F4754B">
            <w:pPr>
              <w:pStyle w:val="BodyText1"/>
              <w:rPr>
                <w:rFonts w:ascii="Times New Roman" w:hAnsi="Times New Roman"/>
                <w:bCs/>
              </w:rPr>
            </w:pPr>
          </w:p>
        </w:tc>
        <w:tc>
          <w:tcPr>
            <w:tcW w:w="7620" w:type="dxa"/>
          </w:tcPr>
          <w:p w:rsidR="00F4754B" w:rsidRPr="00AE79AC" w:rsidRDefault="00F4754B" w:rsidP="007E2A41">
            <w:pPr>
              <w:pStyle w:val="BodyText1"/>
              <w:spacing w:line="240" w:lineRule="auto"/>
              <w:rPr>
                <w:rFonts w:ascii="Times New Roman" w:hAnsi="Times New Roman"/>
                <w:bCs/>
              </w:rPr>
            </w:pPr>
            <w:r w:rsidRPr="00AE79AC">
              <w:rPr>
                <w:rFonts w:ascii="Times New Roman" w:hAnsi="Times New Roman"/>
                <w:b/>
              </w:rPr>
              <w:t>&gt; 50 % i ≤ 75 %</w:t>
            </w:r>
          </w:p>
          <w:p w:rsidR="00F4754B" w:rsidRPr="00AE79AC" w:rsidRDefault="00F4754B" w:rsidP="007E2A41">
            <w:pPr>
              <w:pStyle w:val="BodyText1"/>
              <w:spacing w:line="240" w:lineRule="auto"/>
              <w:rPr>
                <w:rFonts w:ascii="Times New Roman" w:hAnsi="Times New Roman"/>
                <w:bCs/>
              </w:rPr>
            </w:pPr>
            <w:r w:rsidRPr="00AE79AC">
              <w:rPr>
                <w:rFonts w:ascii="Times New Roman" w:hAnsi="Times New Roman"/>
              </w:rPr>
              <w:t xml:space="preserve"> </w:t>
            </w:r>
          </w:p>
          <w:p w:rsidR="00F4754B" w:rsidRPr="00AE79AC" w:rsidRDefault="00F4754B" w:rsidP="007E2A41">
            <w:pPr>
              <w:pStyle w:val="BodyText1"/>
              <w:spacing w:line="240" w:lineRule="auto"/>
              <w:rPr>
                <w:rFonts w:ascii="Times New Roman" w:hAnsi="Times New Roman"/>
                <w:bCs/>
              </w:rPr>
            </w:pPr>
            <w:r w:rsidRPr="00AE79AC">
              <w:rPr>
                <w:rFonts w:ascii="Times New Roman" w:hAnsi="Times New Roman"/>
              </w:rPr>
              <w:t>Ekspozycje o wadze ryzyka mieszczącej się w zakresie wag ryzyka większych niż 50 % i</w:t>
            </w:r>
            <w:r w:rsidR="00AA326F">
              <w:rPr>
                <w:rFonts w:ascii="Times New Roman" w:hAnsi="Times New Roman"/>
              </w:rPr>
              <w:t> </w:t>
            </w:r>
            <w:r w:rsidRPr="00AE79AC">
              <w:rPr>
                <w:rFonts w:ascii="Times New Roman" w:hAnsi="Times New Roman"/>
              </w:rPr>
              <w:t>mniejszych niż lub równych 75 %.</w:t>
            </w:r>
          </w:p>
          <w:p w:rsidR="002509B1" w:rsidRPr="00AE79AC" w:rsidRDefault="002509B1" w:rsidP="007E2A41">
            <w:pPr>
              <w:pStyle w:val="BodyText1"/>
              <w:spacing w:line="240" w:lineRule="auto"/>
              <w:rPr>
                <w:rFonts w:ascii="Times New Roman" w:hAnsi="Times New Roman"/>
                <w:bCs/>
              </w:rPr>
            </w:pPr>
          </w:p>
        </w:tc>
      </w:tr>
      <w:tr w:rsidR="00F4754B" w:rsidRPr="00AE79AC" w:rsidTr="00FC2664">
        <w:tc>
          <w:tcPr>
            <w:tcW w:w="1418" w:type="dxa"/>
          </w:tcPr>
          <w:p w:rsidR="00F4754B" w:rsidRPr="00AE79AC" w:rsidRDefault="00F4754B" w:rsidP="00F4754B">
            <w:pPr>
              <w:pStyle w:val="BodyText1"/>
              <w:rPr>
                <w:rFonts w:ascii="Times New Roman" w:hAnsi="Times New Roman"/>
                <w:bCs/>
              </w:rPr>
            </w:pPr>
            <w:r w:rsidRPr="00AE79AC">
              <w:rPr>
                <w:rFonts w:ascii="Times New Roman" w:hAnsi="Times New Roman"/>
              </w:rPr>
              <w:t>070</w:t>
            </w:r>
          </w:p>
          <w:p w:rsidR="00F4754B" w:rsidRPr="00AE79AC" w:rsidRDefault="00F4754B" w:rsidP="00F4754B">
            <w:pPr>
              <w:pStyle w:val="BodyText1"/>
              <w:rPr>
                <w:rFonts w:ascii="Times New Roman" w:hAnsi="Times New Roman"/>
                <w:bCs/>
              </w:rPr>
            </w:pPr>
          </w:p>
        </w:tc>
        <w:tc>
          <w:tcPr>
            <w:tcW w:w="7620" w:type="dxa"/>
          </w:tcPr>
          <w:p w:rsidR="00F4754B" w:rsidRPr="00AE79AC" w:rsidRDefault="00F4754B" w:rsidP="007E2A41">
            <w:pPr>
              <w:pStyle w:val="BodyText1"/>
              <w:spacing w:line="240" w:lineRule="auto"/>
              <w:rPr>
                <w:rFonts w:ascii="Times New Roman" w:hAnsi="Times New Roman"/>
                <w:bCs/>
              </w:rPr>
            </w:pPr>
            <w:r w:rsidRPr="00AE79AC">
              <w:rPr>
                <w:rFonts w:ascii="Times New Roman" w:hAnsi="Times New Roman"/>
                <w:b/>
              </w:rPr>
              <w:t>&gt; 75 % i ≤ 100 %</w:t>
            </w:r>
          </w:p>
          <w:p w:rsidR="00F4754B" w:rsidRPr="00AE79AC" w:rsidRDefault="00F4754B" w:rsidP="007E2A41">
            <w:pPr>
              <w:pStyle w:val="BodyText1"/>
              <w:spacing w:line="240" w:lineRule="auto"/>
              <w:rPr>
                <w:rFonts w:ascii="Times New Roman" w:hAnsi="Times New Roman"/>
                <w:bCs/>
              </w:rPr>
            </w:pPr>
            <w:r w:rsidRPr="00AE79AC">
              <w:rPr>
                <w:rFonts w:ascii="Times New Roman" w:hAnsi="Times New Roman"/>
              </w:rPr>
              <w:t xml:space="preserve"> </w:t>
            </w:r>
          </w:p>
          <w:p w:rsidR="00F4754B" w:rsidRPr="00AE79AC" w:rsidRDefault="00F4754B" w:rsidP="007E2A41">
            <w:pPr>
              <w:pStyle w:val="BodyText1"/>
              <w:spacing w:line="240" w:lineRule="auto"/>
              <w:rPr>
                <w:rFonts w:ascii="Times New Roman" w:hAnsi="Times New Roman"/>
                <w:bCs/>
              </w:rPr>
            </w:pPr>
            <w:r w:rsidRPr="00AE79AC">
              <w:rPr>
                <w:rFonts w:ascii="Times New Roman" w:hAnsi="Times New Roman"/>
              </w:rPr>
              <w:t>Ekspozycje o wadze ryzyka mieszczącej się w zakresie wag ryzyka większych niż 75 % i</w:t>
            </w:r>
            <w:r w:rsidR="00AA326F">
              <w:rPr>
                <w:rFonts w:ascii="Times New Roman" w:hAnsi="Times New Roman"/>
              </w:rPr>
              <w:t> </w:t>
            </w:r>
            <w:r w:rsidRPr="00AE79AC">
              <w:rPr>
                <w:rFonts w:ascii="Times New Roman" w:hAnsi="Times New Roman"/>
              </w:rPr>
              <w:t>mniejszych niż lub równych 100 %.</w:t>
            </w:r>
          </w:p>
          <w:p w:rsidR="002509B1" w:rsidRPr="00AE79AC" w:rsidRDefault="002509B1" w:rsidP="007E2A41">
            <w:pPr>
              <w:pStyle w:val="BodyText1"/>
              <w:spacing w:line="240" w:lineRule="auto"/>
              <w:rPr>
                <w:rFonts w:ascii="Times New Roman" w:hAnsi="Times New Roman"/>
                <w:bCs/>
              </w:rPr>
            </w:pPr>
          </w:p>
        </w:tc>
      </w:tr>
      <w:tr w:rsidR="00F4754B" w:rsidRPr="00AE79AC" w:rsidTr="00FC2664">
        <w:tc>
          <w:tcPr>
            <w:tcW w:w="1418" w:type="dxa"/>
          </w:tcPr>
          <w:p w:rsidR="00F4754B" w:rsidRPr="00AE79AC" w:rsidRDefault="00F4754B" w:rsidP="00F4754B">
            <w:pPr>
              <w:pStyle w:val="BodyText1"/>
              <w:rPr>
                <w:rFonts w:ascii="Times New Roman" w:hAnsi="Times New Roman"/>
                <w:bCs/>
              </w:rPr>
            </w:pPr>
            <w:r w:rsidRPr="00AE79AC">
              <w:rPr>
                <w:rFonts w:ascii="Times New Roman" w:hAnsi="Times New Roman"/>
              </w:rPr>
              <w:t>080</w:t>
            </w:r>
          </w:p>
          <w:p w:rsidR="00F4754B" w:rsidRPr="00AE79AC" w:rsidRDefault="00F4754B" w:rsidP="00F4754B">
            <w:pPr>
              <w:pStyle w:val="BodyText1"/>
              <w:rPr>
                <w:rFonts w:ascii="Times New Roman" w:hAnsi="Times New Roman"/>
                <w:bCs/>
              </w:rPr>
            </w:pPr>
          </w:p>
        </w:tc>
        <w:tc>
          <w:tcPr>
            <w:tcW w:w="7620" w:type="dxa"/>
          </w:tcPr>
          <w:p w:rsidR="00F4754B" w:rsidRPr="00AE79AC" w:rsidRDefault="00F4754B" w:rsidP="007E2A41">
            <w:pPr>
              <w:pStyle w:val="BodyText1"/>
              <w:spacing w:line="240" w:lineRule="auto"/>
              <w:rPr>
                <w:rFonts w:ascii="Times New Roman" w:hAnsi="Times New Roman"/>
                <w:bCs/>
              </w:rPr>
            </w:pPr>
            <w:r w:rsidRPr="00AE79AC">
              <w:rPr>
                <w:rFonts w:ascii="Times New Roman" w:hAnsi="Times New Roman"/>
                <w:b/>
              </w:rPr>
              <w:t>&gt; 100 % i ≤ 425 %</w:t>
            </w:r>
          </w:p>
          <w:p w:rsidR="00F4754B" w:rsidRPr="00AE79AC" w:rsidRDefault="00F4754B" w:rsidP="007E2A41">
            <w:pPr>
              <w:pStyle w:val="BodyText1"/>
              <w:spacing w:line="240" w:lineRule="auto"/>
              <w:rPr>
                <w:rFonts w:ascii="Times New Roman" w:hAnsi="Times New Roman"/>
              </w:rPr>
            </w:pPr>
          </w:p>
          <w:p w:rsidR="00F4754B" w:rsidRPr="00AE79AC" w:rsidRDefault="00F4754B" w:rsidP="007E2A41">
            <w:pPr>
              <w:pStyle w:val="BodyText1"/>
              <w:spacing w:line="240" w:lineRule="auto"/>
              <w:rPr>
                <w:rFonts w:ascii="Times New Roman" w:hAnsi="Times New Roman"/>
                <w:bCs/>
              </w:rPr>
            </w:pPr>
            <w:r w:rsidRPr="00AE79AC">
              <w:rPr>
                <w:rFonts w:ascii="Times New Roman" w:hAnsi="Times New Roman"/>
              </w:rPr>
              <w:t>Ekspozycje o wadze ryzyka mieszczącej się w zakresie wag ryzyka większych niż 100 % i</w:t>
            </w:r>
            <w:r w:rsidR="00AA326F">
              <w:rPr>
                <w:rFonts w:ascii="Times New Roman" w:hAnsi="Times New Roman"/>
              </w:rPr>
              <w:t> </w:t>
            </w:r>
            <w:r w:rsidRPr="00AE79AC">
              <w:rPr>
                <w:rFonts w:ascii="Times New Roman" w:hAnsi="Times New Roman"/>
              </w:rPr>
              <w:t>mniejszych niż lub równych 425 %.</w:t>
            </w:r>
          </w:p>
          <w:p w:rsidR="002509B1" w:rsidRPr="00AE79AC" w:rsidRDefault="002509B1" w:rsidP="007E2A41">
            <w:pPr>
              <w:pStyle w:val="BodyText1"/>
              <w:spacing w:line="240" w:lineRule="auto"/>
              <w:rPr>
                <w:rFonts w:ascii="Times New Roman" w:hAnsi="Times New Roman"/>
              </w:rPr>
            </w:pPr>
          </w:p>
        </w:tc>
      </w:tr>
      <w:tr w:rsidR="00F4754B" w:rsidRPr="00AE79AC" w:rsidTr="00FC2664">
        <w:tc>
          <w:tcPr>
            <w:tcW w:w="1418" w:type="dxa"/>
          </w:tcPr>
          <w:p w:rsidR="00F4754B" w:rsidRPr="00AE79AC" w:rsidRDefault="00F4754B" w:rsidP="00F4754B">
            <w:pPr>
              <w:pStyle w:val="BodyText1"/>
              <w:rPr>
                <w:rFonts w:ascii="Times New Roman" w:hAnsi="Times New Roman"/>
                <w:bCs/>
              </w:rPr>
            </w:pPr>
            <w:r w:rsidRPr="00AE79AC">
              <w:rPr>
                <w:rFonts w:ascii="Times New Roman" w:hAnsi="Times New Roman"/>
              </w:rPr>
              <w:t>090</w:t>
            </w:r>
          </w:p>
        </w:tc>
        <w:tc>
          <w:tcPr>
            <w:tcW w:w="7620" w:type="dxa"/>
          </w:tcPr>
          <w:p w:rsidR="00F4754B" w:rsidRPr="00AE79AC" w:rsidRDefault="00F4754B" w:rsidP="007E2A41">
            <w:pPr>
              <w:pStyle w:val="BodyText1"/>
              <w:spacing w:line="240" w:lineRule="auto"/>
              <w:rPr>
                <w:rFonts w:ascii="Times New Roman" w:hAnsi="Times New Roman"/>
                <w:bCs/>
              </w:rPr>
            </w:pPr>
            <w:r w:rsidRPr="00AE79AC">
              <w:rPr>
                <w:rFonts w:ascii="Times New Roman" w:hAnsi="Times New Roman"/>
                <w:b/>
              </w:rPr>
              <w:t>&gt; 425 % i ≤ 1250 %</w:t>
            </w:r>
          </w:p>
          <w:p w:rsidR="00F4754B" w:rsidRPr="00AE79AC" w:rsidRDefault="00F4754B" w:rsidP="007E2A41">
            <w:pPr>
              <w:pStyle w:val="BodyText1"/>
              <w:spacing w:line="240" w:lineRule="auto"/>
              <w:rPr>
                <w:rFonts w:ascii="Times New Roman" w:hAnsi="Times New Roman"/>
                <w:bCs/>
              </w:rPr>
            </w:pPr>
            <w:r w:rsidRPr="00AE79AC">
              <w:rPr>
                <w:rFonts w:ascii="Times New Roman" w:hAnsi="Times New Roman"/>
              </w:rPr>
              <w:t xml:space="preserve"> </w:t>
            </w:r>
          </w:p>
          <w:p w:rsidR="00F4754B" w:rsidRPr="00AE79AC" w:rsidRDefault="00F4754B" w:rsidP="007E2A41">
            <w:pPr>
              <w:pStyle w:val="BodyText1"/>
              <w:spacing w:line="240" w:lineRule="auto"/>
              <w:rPr>
                <w:rFonts w:ascii="Times New Roman" w:hAnsi="Times New Roman"/>
                <w:bCs/>
              </w:rPr>
            </w:pPr>
            <w:r w:rsidRPr="00AE79AC">
              <w:rPr>
                <w:rFonts w:ascii="Times New Roman" w:hAnsi="Times New Roman"/>
              </w:rPr>
              <w:t>Ekspozycje o wadze ryzyka mieszczącej się w zakresie wag ryzyka większych niż 425 % i</w:t>
            </w:r>
            <w:r w:rsidR="00AA326F">
              <w:rPr>
                <w:rFonts w:ascii="Times New Roman" w:hAnsi="Times New Roman"/>
              </w:rPr>
              <w:t> </w:t>
            </w:r>
            <w:r w:rsidRPr="00AE79AC">
              <w:rPr>
                <w:rFonts w:ascii="Times New Roman" w:hAnsi="Times New Roman"/>
              </w:rPr>
              <w:t>mniejszych niż lub równych 1250 %.</w:t>
            </w:r>
          </w:p>
          <w:p w:rsidR="002509B1" w:rsidRPr="00AE79AC" w:rsidRDefault="002509B1" w:rsidP="007E2A41">
            <w:pPr>
              <w:pStyle w:val="BodyText1"/>
              <w:spacing w:line="240" w:lineRule="auto"/>
              <w:rPr>
                <w:rFonts w:ascii="Times New Roman" w:hAnsi="Times New Roman"/>
              </w:rPr>
            </w:pPr>
          </w:p>
        </w:tc>
      </w:tr>
      <w:tr w:rsidR="00F4754B" w:rsidRPr="00AE79AC" w:rsidTr="00FC2664">
        <w:tc>
          <w:tcPr>
            <w:tcW w:w="1418" w:type="dxa"/>
            <w:tcBorders>
              <w:top w:val="single" w:sz="4" w:space="0" w:color="auto"/>
              <w:left w:val="single" w:sz="4" w:space="0" w:color="auto"/>
              <w:bottom w:val="single" w:sz="4" w:space="0" w:color="auto"/>
              <w:right w:val="single" w:sz="4" w:space="0" w:color="auto"/>
            </w:tcBorders>
          </w:tcPr>
          <w:p w:rsidR="00F4754B" w:rsidRPr="00AE79AC" w:rsidRDefault="00F4754B" w:rsidP="00F4754B">
            <w:pPr>
              <w:pStyle w:val="BodyText1"/>
              <w:rPr>
                <w:rFonts w:ascii="Times New Roman" w:hAnsi="Times New Roman"/>
                <w:bCs/>
              </w:rPr>
            </w:pPr>
            <w:r w:rsidRPr="00AE79AC">
              <w:rPr>
                <w:rFonts w:ascii="Times New Roman" w:hAnsi="Times New Roman"/>
              </w:rPr>
              <w:t>100</w:t>
            </w:r>
          </w:p>
        </w:tc>
        <w:tc>
          <w:tcPr>
            <w:tcW w:w="7620" w:type="dxa"/>
            <w:tcBorders>
              <w:top w:val="single" w:sz="4" w:space="0" w:color="auto"/>
              <w:left w:val="single" w:sz="4" w:space="0" w:color="auto"/>
              <w:bottom w:val="single" w:sz="4" w:space="0" w:color="auto"/>
              <w:right w:val="single" w:sz="4" w:space="0" w:color="auto"/>
            </w:tcBorders>
          </w:tcPr>
          <w:p w:rsidR="00F4754B" w:rsidRPr="00AE79AC" w:rsidRDefault="00F4754B" w:rsidP="007E2A41">
            <w:pPr>
              <w:pStyle w:val="BodyText1"/>
              <w:spacing w:line="240" w:lineRule="auto"/>
              <w:rPr>
                <w:rFonts w:ascii="Times New Roman" w:hAnsi="Times New Roman"/>
                <w:b/>
                <w:bCs/>
              </w:rPr>
            </w:pPr>
            <w:r w:rsidRPr="00AE79AC">
              <w:rPr>
                <w:rFonts w:ascii="Times New Roman" w:hAnsi="Times New Roman"/>
                <w:b/>
              </w:rPr>
              <w:t>Ekspozycje, których dotyczy niewykonanie zobowiązania</w:t>
            </w:r>
          </w:p>
          <w:p w:rsidR="00F4754B" w:rsidRPr="00AE79AC" w:rsidRDefault="00F4754B" w:rsidP="007E2A41">
            <w:pPr>
              <w:pStyle w:val="BodyText1"/>
              <w:spacing w:line="240" w:lineRule="auto"/>
              <w:rPr>
                <w:rFonts w:ascii="Times New Roman" w:hAnsi="Times New Roman"/>
                <w:b/>
                <w:bCs/>
                <w:u w:val="single"/>
              </w:rPr>
            </w:pPr>
          </w:p>
          <w:p w:rsidR="00F4754B" w:rsidRPr="00AE79AC" w:rsidRDefault="00F4754B" w:rsidP="007E2A41">
            <w:pPr>
              <w:pStyle w:val="BodyText1"/>
              <w:spacing w:line="240" w:lineRule="auto"/>
              <w:rPr>
                <w:rFonts w:ascii="Times New Roman" w:hAnsi="Times New Roman"/>
                <w:bCs/>
              </w:rPr>
            </w:pPr>
            <w:r w:rsidRPr="00AE79AC">
              <w:rPr>
                <w:rFonts w:ascii="Times New Roman" w:hAnsi="Times New Roman"/>
              </w:rPr>
              <w:t>Zgodnie z metodą standardową ekspozycje ujęte w art. 112 lit. j) CRR.</w:t>
            </w:r>
          </w:p>
          <w:p w:rsidR="00F4754B" w:rsidRPr="00AE79AC" w:rsidRDefault="00F4754B" w:rsidP="007E2A41">
            <w:pPr>
              <w:pStyle w:val="BodyText1"/>
              <w:spacing w:line="240" w:lineRule="auto"/>
              <w:rPr>
                <w:rFonts w:ascii="Times New Roman" w:hAnsi="Times New Roman"/>
                <w:bCs/>
              </w:rPr>
            </w:pPr>
          </w:p>
          <w:p w:rsidR="00F4754B" w:rsidRPr="00AE79AC" w:rsidRDefault="00F4754B" w:rsidP="007E2A41">
            <w:pPr>
              <w:pStyle w:val="BodyText1"/>
              <w:spacing w:line="240" w:lineRule="auto"/>
              <w:rPr>
                <w:rFonts w:ascii="Times New Roman" w:hAnsi="Times New Roman"/>
                <w:bCs/>
              </w:rPr>
            </w:pPr>
            <w:r w:rsidRPr="00AE79AC">
              <w:rPr>
                <w:rFonts w:ascii="Times New Roman" w:hAnsi="Times New Roman"/>
              </w:rPr>
              <w:t xml:space="preserve">Zgodnie z metodą IRB wszystkie ekspozycje z prawdopodobieństwem niewykonania zobowiązania wynoszącym 100 % są ekspozycjami, których dotyczy niewykonanie zobowiązania. </w:t>
            </w:r>
          </w:p>
          <w:p w:rsidR="00F4754B" w:rsidRPr="00AE79AC" w:rsidRDefault="00F4754B" w:rsidP="007E2A41">
            <w:pPr>
              <w:pStyle w:val="BodyText1"/>
              <w:spacing w:line="240" w:lineRule="auto"/>
              <w:rPr>
                <w:rFonts w:ascii="Times New Roman" w:hAnsi="Times New Roman"/>
                <w:bCs/>
                <w:u w:val="single"/>
              </w:rPr>
            </w:pPr>
          </w:p>
        </w:tc>
      </w:tr>
      <w:tr w:rsidR="00F4754B" w:rsidRPr="00AE79AC" w:rsidTr="00FC2664">
        <w:tc>
          <w:tcPr>
            <w:tcW w:w="1418" w:type="dxa"/>
            <w:tcBorders>
              <w:top w:val="single" w:sz="4" w:space="0" w:color="auto"/>
              <w:left w:val="single" w:sz="4" w:space="0" w:color="auto"/>
              <w:bottom w:val="single" w:sz="4" w:space="0" w:color="auto"/>
              <w:right w:val="single" w:sz="4" w:space="0" w:color="auto"/>
            </w:tcBorders>
          </w:tcPr>
          <w:p w:rsidR="00F4754B" w:rsidRPr="00AE79AC" w:rsidRDefault="00F4754B" w:rsidP="00F4754B">
            <w:pPr>
              <w:pStyle w:val="BodyText1"/>
              <w:rPr>
                <w:rFonts w:ascii="Times New Roman" w:hAnsi="Times New Roman"/>
                <w:bCs/>
              </w:rPr>
            </w:pPr>
            <w:r w:rsidRPr="00AE79AC">
              <w:rPr>
                <w:rFonts w:ascii="Times New Roman" w:hAnsi="Times New Roman"/>
              </w:rPr>
              <w:t>110</w:t>
            </w:r>
          </w:p>
        </w:tc>
        <w:tc>
          <w:tcPr>
            <w:tcW w:w="7620" w:type="dxa"/>
            <w:tcBorders>
              <w:top w:val="single" w:sz="4" w:space="0" w:color="auto"/>
              <w:left w:val="single" w:sz="4" w:space="0" w:color="auto"/>
              <w:bottom w:val="single" w:sz="4" w:space="0" w:color="auto"/>
              <w:right w:val="single" w:sz="4" w:space="0" w:color="auto"/>
            </w:tcBorders>
          </w:tcPr>
          <w:p w:rsidR="00F4754B" w:rsidRPr="00AE79AC" w:rsidRDefault="00F0756A" w:rsidP="007E2A41">
            <w:pPr>
              <w:pStyle w:val="BodyText1"/>
              <w:spacing w:line="240" w:lineRule="auto"/>
              <w:rPr>
                <w:rFonts w:ascii="Times New Roman" w:hAnsi="Times New Roman"/>
                <w:b/>
                <w:bCs/>
              </w:rPr>
            </w:pPr>
            <w:r w:rsidRPr="00AE79AC">
              <w:rPr>
                <w:rFonts w:ascii="Times New Roman" w:hAnsi="Times New Roman"/>
                <w:b/>
              </w:rPr>
              <w:t>(Pozycja uzupełniająca) Pozycje pozabilansowe niskiego ryzyka i pozycje pozabilansowe, które wiążą się ze współczynnikiem konwersji wynoszącym 0 % zgodnie ze wskaźnikiem wypłacalności</w:t>
            </w:r>
          </w:p>
          <w:p w:rsidR="00F4754B" w:rsidRPr="00AE79AC" w:rsidRDefault="00F4754B" w:rsidP="007E2A41">
            <w:pPr>
              <w:pStyle w:val="BodyText1"/>
              <w:spacing w:line="240" w:lineRule="auto"/>
              <w:rPr>
                <w:rFonts w:ascii="Times New Roman" w:hAnsi="Times New Roman"/>
                <w:b/>
                <w:bCs/>
                <w:u w:val="single"/>
              </w:rPr>
            </w:pPr>
          </w:p>
          <w:p w:rsidR="00F4754B" w:rsidRPr="00AE79AC" w:rsidRDefault="00F4754B" w:rsidP="007E2A41">
            <w:pPr>
              <w:pStyle w:val="BodyText1"/>
              <w:spacing w:line="240" w:lineRule="auto"/>
              <w:rPr>
                <w:rFonts w:ascii="Times New Roman" w:hAnsi="Times New Roman"/>
              </w:rPr>
            </w:pPr>
            <w:r w:rsidRPr="00AE79AC">
              <w:rPr>
                <w:rFonts w:ascii="Times New Roman" w:hAnsi="Times New Roman"/>
              </w:rPr>
              <w:t>Pozycje pozabilansowe niskiego ryzyka zgodnie z art. 111 CRR i pozycje pozabilansowe, które wiążą się ze współczynnikiem konwersji wynoszącym 0 % zgodnie z art. 166 CRR.</w:t>
            </w:r>
          </w:p>
          <w:p w:rsidR="002509B1" w:rsidRPr="00AE79AC" w:rsidRDefault="002509B1" w:rsidP="007E2A41">
            <w:pPr>
              <w:pStyle w:val="BodyText1"/>
              <w:spacing w:line="240" w:lineRule="auto"/>
              <w:rPr>
                <w:rFonts w:ascii="Times New Roman" w:hAnsi="Times New Roman"/>
                <w:b/>
                <w:bCs/>
                <w:u w:val="single"/>
              </w:rPr>
            </w:pPr>
          </w:p>
        </w:tc>
      </w:tr>
      <w:tr w:rsidR="00F4754B" w:rsidRPr="00AE79AC" w:rsidTr="006E259E">
        <w:tc>
          <w:tcPr>
            <w:tcW w:w="141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4754B" w:rsidRPr="00AE79AC" w:rsidRDefault="00F4754B" w:rsidP="00F0756A">
            <w:pPr>
              <w:pStyle w:val="BodyText1"/>
              <w:spacing w:line="240" w:lineRule="auto"/>
              <w:rPr>
                <w:rFonts w:ascii="Times New Roman" w:hAnsi="Times New Roman"/>
                <w:b/>
                <w:bCs/>
              </w:rPr>
            </w:pPr>
            <w:r w:rsidRPr="00AE79AC">
              <w:rPr>
                <w:rFonts w:ascii="Times New Roman" w:hAnsi="Times New Roman"/>
                <w:b/>
              </w:rPr>
              <w:t>Kolumna</w:t>
            </w:r>
          </w:p>
          <w:p w:rsidR="00F0756A" w:rsidRPr="00AE79AC" w:rsidDel="00C94DF9" w:rsidRDefault="00F0756A" w:rsidP="00F0756A">
            <w:pPr>
              <w:pStyle w:val="BodyText1"/>
              <w:spacing w:line="240" w:lineRule="auto"/>
              <w:rPr>
                <w:rFonts w:ascii="Times New Roman" w:hAnsi="Times New Roman"/>
                <w:b/>
                <w:bCs/>
              </w:rPr>
            </w:pPr>
          </w:p>
        </w:tc>
        <w:tc>
          <w:tcPr>
            <w:tcW w:w="762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4754B" w:rsidRPr="00AE79AC" w:rsidRDefault="00F4754B" w:rsidP="00F0756A">
            <w:pPr>
              <w:pStyle w:val="BodyText1"/>
              <w:spacing w:line="240" w:lineRule="auto"/>
              <w:rPr>
                <w:rFonts w:ascii="Times New Roman" w:hAnsi="Times New Roman"/>
                <w:b/>
                <w:bCs/>
              </w:rPr>
            </w:pPr>
            <w:r w:rsidRPr="00AE79AC">
              <w:rPr>
                <w:rFonts w:ascii="Times New Roman" w:hAnsi="Times New Roman"/>
                <w:b/>
              </w:rPr>
              <w:t>Odniesienia prawne i instrukcje</w:t>
            </w:r>
          </w:p>
          <w:p w:rsidR="002509B1" w:rsidRPr="00AE79AC" w:rsidRDefault="002509B1" w:rsidP="00BE6AC4">
            <w:pPr>
              <w:pStyle w:val="BodyText1"/>
              <w:spacing w:line="240" w:lineRule="auto"/>
              <w:rPr>
                <w:rFonts w:ascii="Times New Roman" w:hAnsi="Times New Roman"/>
                <w:b/>
                <w:bCs/>
              </w:rPr>
            </w:pPr>
          </w:p>
        </w:tc>
      </w:tr>
      <w:tr w:rsidR="00F4754B" w:rsidRPr="00AE79AC" w:rsidTr="00FC2664">
        <w:tc>
          <w:tcPr>
            <w:tcW w:w="1418" w:type="dxa"/>
            <w:tcBorders>
              <w:top w:val="single" w:sz="4" w:space="0" w:color="auto"/>
              <w:left w:val="single" w:sz="4" w:space="0" w:color="auto"/>
              <w:bottom w:val="single" w:sz="4" w:space="0" w:color="auto"/>
              <w:right w:val="single" w:sz="4" w:space="0" w:color="auto"/>
            </w:tcBorders>
          </w:tcPr>
          <w:p w:rsidR="00F4754B" w:rsidRPr="00AE79AC" w:rsidRDefault="00513244" w:rsidP="00F4754B">
            <w:pPr>
              <w:pStyle w:val="BodyText1"/>
              <w:rPr>
                <w:rFonts w:ascii="Times New Roman" w:hAnsi="Times New Roman"/>
                <w:bCs/>
              </w:rPr>
            </w:pPr>
            <w:r w:rsidRPr="00AE79AC">
              <w:rPr>
                <w:rFonts w:ascii="Times New Roman" w:hAnsi="Times New Roman"/>
              </w:rPr>
              <w:t>010</w:t>
            </w:r>
          </w:p>
        </w:tc>
        <w:tc>
          <w:tcPr>
            <w:tcW w:w="7620" w:type="dxa"/>
            <w:tcBorders>
              <w:top w:val="single" w:sz="4" w:space="0" w:color="auto"/>
              <w:left w:val="single" w:sz="4" w:space="0" w:color="auto"/>
              <w:bottom w:val="single" w:sz="4" w:space="0" w:color="auto"/>
              <w:right w:val="single" w:sz="4" w:space="0" w:color="auto"/>
            </w:tcBorders>
          </w:tcPr>
          <w:p w:rsidR="00F4754B" w:rsidRPr="00AE79AC" w:rsidRDefault="00F4754B" w:rsidP="007E2A41">
            <w:pPr>
              <w:pStyle w:val="BodyText1"/>
              <w:spacing w:line="240" w:lineRule="auto"/>
              <w:rPr>
                <w:rFonts w:ascii="Times New Roman" w:hAnsi="Times New Roman"/>
                <w:b/>
                <w:bCs/>
              </w:rPr>
            </w:pPr>
            <w:r w:rsidRPr="00AE79AC">
              <w:rPr>
                <w:rFonts w:ascii="Times New Roman" w:hAnsi="Times New Roman"/>
                <w:b/>
              </w:rPr>
              <w:t>Ekspozycje bilansowe i pozabilansowe (ekspozycje wg metody standardowej)</w:t>
            </w:r>
          </w:p>
          <w:p w:rsidR="00F4754B" w:rsidRPr="00AE79AC" w:rsidRDefault="00F4754B" w:rsidP="007E2A41">
            <w:pPr>
              <w:pStyle w:val="BodyText1"/>
              <w:spacing w:line="240" w:lineRule="auto"/>
              <w:rPr>
                <w:rFonts w:ascii="Times New Roman" w:hAnsi="Times New Roman"/>
                <w:b/>
                <w:bCs/>
              </w:rPr>
            </w:pPr>
          </w:p>
          <w:p w:rsidR="00F4754B" w:rsidRPr="00AE79AC" w:rsidRDefault="00F4754B" w:rsidP="007E2A41">
            <w:pPr>
              <w:pStyle w:val="BodyText1"/>
              <w:spacing w:line="240" w:lineRule="auto"/>
              <w:rPr>
                <w:rFonts w:ascii="Times New Roman" w:hAnsi="Times New Roman"/>
              </w:rPr>
            </w:pPr>
            <w:r w:rsidRPr="00AE79AC">
              <w:rPr>
                <w:rFonts w:ascii="Times New Roman" w:hAnsi="Times New Roman"/>
              </w:rPr>
              <w:t xml:space="preserve">Wartości ekspozycji bilansowych i pozabilansowych po uwzględnieniu korekt wartości, wszystkich czynników związanych z CRM i współczynników konwersji kredytowej obliczonych zgodnie z tytułem II rozdział 2 część trzecia CRR. </w:t>
            </w:r>
          </w:p>
          <w:p w:rsidR="002509B1" w:rsidRPr="00AE79AC" w:rsidRDefault="002509B1" w:rsidP="007E2A41">
            <w:pPr>
              <w:pStyle w:val="BodyText1"/>
              <w:spacing w:line="240" w:lineRule="auto"/>
              <w:rPr>
                <w:rFonts w:ascii="Times New Roman" w:hAnsi="Times New Roman"/>
              </w:rPr>
            </w:pPr>
          </w:p>
        </w:tc>
      </w:tr>
      <w:tr w:rsidR="00F4754B" w:rsidRPr="00AE79AC" w:rsidTr="00FC2664">
        <w:tc>
          <w:tcPr>
            <w:tcW w:w="1418" w:type="dxa"/>
            <w:tcBorders>
              <w:top w:val="single" w:sz="4" w:space="0" w:color="auto"/>
              <w:left w:val="single" w:sz="4" w:space="0" w:color="auto"/>
              <w:bottom w:val="single" w:sz="4" w:space="0" w:color="auto"/>
              <w:right w:val="single" w:sz="4" w:space="0" w:color="auto"/>
            </w:tcBorders>
          </w:tcPr>
          <w:p w:rsidR="00F4754B" w:rsidRPr="00AE79AC" w:rsidRDefault="00513244" w:rsidP="00F4754B">
            <w:pPr>
              <w:pStyle w:val="BodyText1"/>
              <w:rPr>
                <w:rFonts w:ascii="Times New Roman" w:hAnsi="Times New Roman"/>
                <w:bCs/>
              </w:rPr>
            </w:pPr>
            <w:r w:rsidRPr="00AE79AC">
              <w:rPr>
                <w:rFonts w:ascii="Times New Roman" w:hAnsi="Times New Roman"/>
              </w:rPr>
              <w:t>020</w:t>
            </w:r>
          </w:p>
        </w:tc>
        <w:tc>
          <w:tcPr>
            <w:tcW w:w="7620" w:type="dxa"/>
            <w:tcBorders>
              <w:top w:val="single" w:sz="4" w:space="0" w:color="auto"/>
              <w:left w:val="single" w:sz="4" w:space="0" w:color="auto"/>
              <w:bottom w:val="single" w:sz="4" w:space="0" w:color="auto"/>
              <w:right w:val="single" w:sz="4" w:space="0" w:color="auto"/>
            </w:tcBorders>
          </w:tcPr>
          <w:p w:rsidR="00F4754B" w:rsidRPr="00AE79AC" w:rsidRDefault="00F4754B" w:rsidP="007E2A41">
            <w:pPr>
              <w:pStyle w:val="BodyText1"/>
              <w:spacing w:line="240" w:lineRule="auto"/>
              <w:rPr>
                <w:rFonts w:ascii="Times New Roman" w:hAnsi="Times New Roman"/>
                <w:b/>
                <w:bCs/>
              </w:rPr>
            </w:pPr>
            <w:r w:rsidRPr="00AE79AC">
              <w:rPr>
                <w:rFonts w:ascii="Times New Roman" w:hAnsi="Times New Roman"/>
                <w:b/>
              </w:rPr>
              <w:t>Ekspozycje bilansowe i pozabilansowe (ekspozycje wg metody IRB)</w:t>
            </w:r>
          </w:p>
          <w:p w:rsidR="00F4754B" w:rsidRPr="00AE79AC" w:rsidRDefault="00F4754B" w:rsidP="007E2A41">
            <w:pPr>
              <w:pStyle w:val="BodyText1"/>
              <w:spacing w:line="240" w:lineRule="auto"/>
              <w:rPr>
                <w:rFonts w:ascii="Times New Roman" w:hAnsi="Times New Roman"/>
              </w:rPr>
            </w:pPr>
          </w:p>
          <w:p w:rsidR="00F4754B" w:rsidRPr="00AE79AC" w:rsidRDefault="00F4754B" w:rsidP="007E2A41">
            <w:pPr>
              <w:pStyle w:val="BodyText1"/>
              <w:spacing w:line="240" w:lineRule="auto"/>
              <w:rPr>
                <w:rFonts w:ascii="Times New Roman" w:hAnsi="Times New Roman"/>
              </w:rPr>
            </w:pPr>
            <w:r w:rsidRPr="00AE79AC">
              <w:rPr>
                <w:rFonts w:ascii="Times New Roman" w:hAnsi="Times New Roman"/>
              </w:rPr>
              <w:t>Wartości ekspozycji bilansowych i pozabilansowych zgodnie z art. 166 CRR i art. 230 ust. 1 akapit drugi zdanie pierwsze CRR, po uwzględnieniu odpływów i wpływów wynikających z technik CRM z efektem substytucyjnym dla ekspozycji.</w:t>
            </w:r>
          </w:p>
          <w:p w:rsidR="00F4754B" w:rsidRPr="00AE79AC" w:rsidRDefault="00F4754B" w:rsidP="007E2A41">
            <w:pPr>
              <w:pStyle w:val="BodyText1"/>
              <w:spacing w:line="240" w:lineRule="auto"/>
              <w:rPr>
                <w:rFonts w:ascii="Times New Roman" w:hAnsi="Times New Roman"/>
              </w:rPr>
            </w:pPr>
          </w:p>
          <w:p w:rsidR="00F4754B" w:rsidRPr="00AE79AC" w:rsidRDefault="00F4754B" w:rsidP="007E2A41">
            <w:pPr>
              <w:pStyle w:val="BodyText1"/>
              <w:spacing w:line="240" w:lineRule="auto"/>
              <w:rPr>
                <w:rFonts w:ascii="Times New Roman" w:hAnsi="Times New Roman"/>
              </w:rPr>
            </w:pPr>
            <w:r w:rsidRPr="00AE79AC">
              <w:rPr>
                <w:rFonts w:ascii="Times New Roman" w:hAnsi="Times New Roman"/>
              </w:rPr>
              <w:t xml:space="preserve">W przypadku pozycji pozabilansowych instytucje stosują współczynniki konwersji zdefiniowane w </w:t>
            </w:r>
            <w:r w:rsidRPr="002341B6">
              <w:rPr>
                <w:rFonts w:ascii="Times New Roman" w:hAnsi="Times New Roman"/>
              </w:rPr>
              <w:t>art.</w:t>
            </w:r>
            <w:r w:rsidR="002341B6" w:rsidRPr="002341B6">
              <w:rPr>
                <w:rFonts w:ascii="Times New Roman" w:hAnsi="Times New Roman"/>
              </w:rPr>
              <w:t> </w:t>
            </w:r>
            <w:r w:rsidRPr="002341B6">
              <w:rPr>
                <w:rFonts w:ascii="Times New Roman" w:hAnsi="Times New Roman"/>
              </w:rPr>
              <w:t>1</w:t>
            </w:r>
            <w:r w:rsidRPr="00AE79AC">
              <w:rPr>
                <w:rFonts w:ascii="Times New Roman" w:hAnsi="Times New Roman"/>
              </w:rPr>
              <w:t xml:space="preserve">66 </w:t>
            </w:r>
            <w:r w:rsidRPr="002341B6">
              <w:rPr>
                <w:rFonts w:ascii="Times New Roman" w:hAnsi="Times New Roman"/>
              </w:rPr>
              <w:t>ust.</w:t>
            </w:r>
            <w:r w:rsidR="002341B6" w:rsidRPr="002341B6">
              <w:rPr>
                <w:rFonts w:ascii="Times New Roman" w:hAnsi="Times New Roman"/>
              </w:rPr>
              <w:t> </w:t>
            </w:r>
            <w:r w:rsidRPr="002341B6">
              <w:rPr>
                <w:rFonts w:ascii="Times New Roman" w:hAnsi="Times New Roman"/>
              </w:rPr>
              <w:t>8</w:t>
            </w:r>
            <w:r w:rsidRPr="00AE79AC">
              <w:rPr>
                <w:rFonts w:ascii="Times New Roman" w:hAnsi="Times New Roman"/>
              </w:rPr>
              <w:t>–10 CRR.</w:t>
            </w:r>
          </w:p>
          <w:p w:rsidR="002509B1" w:rsidRPr="00AE79AC" w:rsidRDefault="002509B1" w:rsidP="007E2A41">
            <w:pPr>
              <w:pStyle w:val="BodyText1"/>
              <w:spacing w:line="240" w:lineRule="auto"/>
              <w:rPr>
                <w:rFonts w:ascii="Times New Roman" w:hAnsi="Times New Roman"/>
                <w:b/>
                <w:bCs/>
              </w:rPr>
            </w:pPr>
          </w:p>
        </w:tc>
      </w:tr>
      <w:tr w:rsidR="00F4754B" w:rsidRPr="00AE79AC" w:rsidTr="00FC2664">
        <w:tc>
          <w:tcPr>
            <w:tcW w:w="1418" w:type="dxa"/>
            <w:tcBorders>
              <w:top w:val="single" w:sz="4" w:space="0" w:color="auto"/>
              <w:left w:val="single" w:sz="4" w:space="0" w:color="auto"/>
              <w:bottom w:val="single" w:sz="4" w:space="0" w:color="auto"/>
              <w:right w:val="single" w:sz="4" w:space="0" w:color="auto"/>
            </w:tcBorders>
          </w:tcPr>
          <w:p w:rsidR="00F4754B" w:rsidRPr="00AE79AC" w:rsidRDefault="00513244" w:rsidP="00F4754B">
            <w:pPr>
              <w:pStyle w:val="BodyText1"/>
              <w:rPr>
                <w:rFonts w:ascii="Times New Roman" w:hAnsi="Times New Roman"/>
                <w:bCs/>
              </w:rPr>
            </w:pPr>
            <w:r w:rsidRPr="00AE79AC">
              <w:rPr>
                <w:rFonts w:ascii="Times New Roman" w:hAnsi="Times New Roman"/>
              </w:rPr>
              <w:t>030</w:t>
            </w:r>
          </w:p>
        </w:tc>
        <w:tc>
          <w:tcPr>
            <w:tcW w:w="7620" w:type="dxa"/>
            <w:tcBorders>
              <w:top w:val="single" w:sz="4" w:space="0" w:color="auto"/>
              <w:left w:val="single" w:sz="4" w:space="0" w:color="auto"/>
              <w:bottom w:val="single" w:sz="4" w:space="0" w:color="auto"/>
              <w:right w:val="single" w:sz="4" w:space="0" w:color="auto"/>
            </w:tcBorders>
          </w:tcPr>
          <w:p w:rsidR="00F4754B" w:rsidRPr="00AE79AC" w:rsidRDefault="00F4754B" w:rsidP="007E2A41">
            <w:pPr>
              <w:pStyle w:val="BodyText1"/>
              <w:spacing w:line="240" w:lineRule="auto"/>
              <w:rPr>
                <w:rFonts w:ascii="Times New Roman" w:hAnsi="Times New Roman"/>
                <w:b/>
                <w:bCs/>
              </w:rPr>
            </w:pPr>
            <w:r w:rsidRPr="00AE79AC">
              <w:rPr>
                <w:rFonts w:ascii="Times New Roman" w:hAnsi="Times New Roman"/>
                <w:b/>
              </w:rPr>
              <w:t>Wartość nominalna</w:t>
            </w:r>
          </w:p>
          <w:p w:rsidR="00F4754B" w:rsidRPr="00AE79AC" w:rsidRDefault="00F4754B" w:rsidP="007E2A41">
            <w:pPr>
              <w:pStyle w:val="BodyText1"/>
              <w:spacing w:line="240" w:lineRule="auto"/>
              <w:rPr>
                <w:rFonts w:ascii="Times New Roman" w:hAnsi="Times New Roman"/>
                <w:b/>
                <w:bCs/>
              </w:rPr>
            </w:pPr>
          </w:p>
          <w:p w:rsidR="00F4754B" w:rsidRPr="00AE79AC" w:rsidRDefault="00F4754B" w:rsidP="007E2A41">
            <w:pPr>
              <w:pStyle w:val="BodyText1"/>
              <w:spacing w:line="240" w:lineRule="auto"/>
              <w:rPr>
                <w:rFonts w:ascii="Times New Roman" w:hAnsi="Times New Roman"/>
                <w:bCs/>
              </w:rPr>
            </w:pPr>
            <w:r w:rsidRPr="00AE79AC">
              <w:rPr>
                <w:rFonts w:ascii="Times New Roman" w:hAnsi="Times New Roman"/>
              </w:rPr>
              <w:t xml:space="preserve">Wartości ekspozycji pozycji pozabilansowych zdefiniowane w </w:t>
            </w:r>
            <w:r w:rsidRPr="002341B6">
              <w:rPr>
                <w:rFonts w:ascii="Times New Roman" w:hAnsi="Times New Roman"/>
              </w:rPr>
              <w:t>art.</w:t>
            </w:r>
            <w:r w:rsidR="002341B6" w:rsidRPr="002341B6">
              <w:rPr>
                <w:rFonts w:ascii="Times New Roman" w:hAnsi="Times New Roman"/>
              </w:rPr>
              <w:t> </w:t>
            </w:r>
            <w:r w:rsidRPr="002341B6">
              <w:rPr>
                <w:rFonts w:ascii="Times New Roman" w:hAnsi="Times New Roman"/>
              </w:rPr>
              <w:t>1</w:t>
            </w:r>
            <w:r w:rsidRPr="00AE79AC">
              <w:rPr>
                <w:rFonts w:ascii="Times New Roman" w:hAnsi="Times New Roman"/>
              </w:rPr>
              <w:t xml:space="preserve">11 i 166 CRR bez stosowania współczynników konwersji. </w:t>
            </w:r>
          </w:p>
          <w:p w:rsidR="002509B1" w:rsidRPr="00AE79AC" w:rsidRDefault="002509B1" w:rsidP="007E2A41">
            <w:pPr>
              <w:pStyle w:val="BodyText1"/>
              <w:spacing w:line="240" w:lineRule="auto"/>
              <w:rPr>
                <w:rFonts w:ascii="Times New Roman" w:hAnsi="Times New Roman"/>
                <w:bCs/>
              </w:rPr>
            </w:pPr>
          </w:p>
        </w:tc>
      </w:tr>
    </w:tbl>
    <w:p w:rsidR="00F4754B" w:rsidRPr="00AE79AC" w:rsidRDefault="00F4754B" w:rsidP="00F4754B">
      <w:pPr>
        <w:pStyle w:val="BodyText1"/>
        <w:rPr>
          <w:rFonts w:ascii="Times New Roman" w:hAnsi="Times New Roman"/>
        </w:rPr>
      </w:pPr>
    </w:p>
    <w:p w:rsidR="00217D1F" w:rsidRPr="00AE79AC" w:rsidRDefault="00500508" w:rsidP="00500508">
      <w:pPr>
        <w:pStyle w:val="BodyText1"/>
        <w:ind w:left="357" w:hanging="357"/>
        <w:outlineLvl w:val="1"/>
        <w:rPr>
          <w:rFonts w:ascii="Times New Roman" w:hAnsi="Times New Roman"/>
          <w:b/>
        </w:rPr>
      </w:pPr>
      <w:bookmarkStart w:id="70" w:name="_Toc338669922"/>
      <w:bookmarkStart w:id="71" w:name="_Toc338669923"/>
      <w:bookmarkStart w:id="72" w:name="_Toc338669924"/>
      <w:bookmarkStart w:id="73" w:name="_Toc338669925"/>
      <w:bookmarkStart w:id="74" w:name="_Toc338669926"/>
      <w:bookmarkStart w:id="75" w:name="_Toc338669927"/>
      <w:bookmarkStart w:id="76" w:name="_Toc338669928"/>
      <w:bookmarkStart w:id="77" w:name="_Toc351048509"/>
      <w:bookmarkStart w:id="78" w:name="_Toc359414288"/>
      <w:bookmarkStart w:id="79" w:name="_Toc423089073"/>
      <w:bookmarkStart w:id="80" w:name="_Toc520369406"/>
      <w:bookmarkStart w:id="81" w:name="_Toc322687894"/>
      <w:bookmarkEnd w:id="62"/>
      <w:bookmarkEnd w:id="70"/>
      <w:bookmarkEnd w:id="71"/>
      <w:bookmarkEnd w:id="72"/>
      <w:bookmarkEnd w:id="73"/>
      <w:bookmarkEnd w:id="74"/>
      <w:bookmarkEnd w:id="75"/>
      <w:bookmarkEnd w:id="76"/>
      <w:r w:rsidRPr="00AE79AC">
        <w:rPr>
          <w:rFonts w:ascii="Times New Roman" w:hAnsi="Times New Roman"/>
          <w:b/>
        </w:rPr>
        <w:t>7.</w:t>
      </w:r>
      <w:r w:rsidRPr="00AE79AC">
        <w:tab/>
      </w:r>
      <w:r w:rsidRPr="00AE79AC">
        <w:rPr>
          <w:rFonts w:ascii="Times New Roman" w:hAnsi="Times New Roman"/>
          <w:b/>
        </w:rPr>
        <w:t>C 42.00 – Alternatywna definicja kapitału</w:t>
      </w:r>
      <w:bookmarkEnd w:id="77"/>
      <w:bookmarkEnd w:id="78"/>
      <w:r w:rsidRPr="00AE79AC">
        <w:rPr>
          <w:rFonts w:ascii="Times New Roman" w:hAnsi="Times New Roman"/>
          <w:b/>
        </w:rPr>
        <w:t xml:space="preserve"> (LR3)</w:t>
      </w:r>
      <w:bookmarkEnd w:id="79"/>
      <w:bookmarkEnd w:id="80"/>
      <w:r w:rsidRPr="00AE79AC">
        <w:rPr>
          <w:rFonts w:ascii="Times New Roman" w:hAnsi="Times New Roman"/>
          <w:b/>
        </w:rPr>
        <w:t xml:space="preserve"> </w:t>
      </w:r>
      <w:bookmarkEnd w:id="81"/>
    </w:p>
    <w:p w:rsidR="00675587" w:rsidRPr="00AE79AC" w:rsidRDefault="00675587" w:rsidP="00675587">
      <w:pPr>
        <w:pStyle w:val="BodyText1"/>
        <w:ind w:left="720"/>
        <w:rPr>
          <w:rFonts w:ascii="Times New Roman" w:hAnsi="Times New Roman"/>
        </w:rPr>
      </w:pPr>
    </w:p>
    <w:p w:rsidR="00675587" w:rsidRPr="00AE79AC" w:rsidRDefault="00500508" w:rsidP="00500508">
      <w:pPr>
        <w:pStyle w:val="BodyText1"/>
        <w:spacing w:line="240" w:lineRule="auto"/>
        <w:ind w:left="720" w:hanging="360"/>
        <w:rPr>
          <w:rFonts w:ascii="Times New Roman" w:hAnsi="Times New Roman"/>
        </w:rPr>
      </w:pPr>
      <w:r w:rsidRPr="00AE79AC">
        <w:rPr>
          <w:rFonts w:ascii="Times New Roman" w:hAnsi="Times New Roman"/>
        </w:rPr>
        <w:t>27.</w:t>
      </w:r>
      <w:r w:rsidRPr="00AE79AC">
        <w:tab/>
      </w:r>
      <w:r w:rsidRPr="00AE79AC">
        <w:rPr>
          <w:rFonts w:ascii="Times New Roman" w:hAnsi="Times New Roman"/>
        </w:rPr>
        <w:t>We wzorze LR3 podaje się informacje dotyczące miar kapitału niezbędne, aby dokonać przeglądu określonego w art. 511 CRR.</w:t>
      </w:r>
    </w:p>
    <w:p w:rsidR="00F4754B" w:rsidRPr="00AE79AC" w:rsidRDefault="00F4754B" w:rsidP="007E2A41">
      <w:pPr>
        <w:pStyle w:val="BodyText1"/>
        <w:spacing w:line="240" w:lineRule="auto"/>
        <w:ind w:left="720"/>
        <w:rPr>
          <w:rFonts w:ascii="Times New Roman" w:hAnsi="Times New Roman"/>
        </w:rPr>
      </w:pPr>
      <w:r w:rsidRPr="00AE79AC">
        <w:rPr>
          <w:rFonts w:ascii="Times New Roman" w:hAnsi="Times New Roman"/>
        </w:rPr>
        <w:t xml:space="preserve"> </w:t>
      </w:r>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F4754B" w:rsidRPr="00AE79AC" w:rsidTr="00FC2664">
        <w:tc>
          <w:tcPr>
            <w:tcW w:w="1418" w:type="dxa"/>
            <w:shd w:val="clear" w:color="auto" w:fill="D9D9D9"/>
          </w:tcPr>
          <w:p w:rsidR="00F4754B" w:rsidRPr="00AE79AC" w:rsidRDefault="00F4754B" w:rsidP="00F4754B">
            <w:pPr>
              <w:pStyle w:val="BodyText1"/>
              <w:rPr>
                <w:rFonts w:ascii="Times New Roman" w:hAnsi="Times New Roman"/>
                <w:b/>
              </w:rPr>
            </w:pPr>
            <w:r w:rsidRPr="00AE79AC">
              <w:rPr>
                <w:rFonts w:ascii="Times New Roman" w:hAnsi="Times New Roman"/>
                <w:b/>
              </w:rPr>
              <w:t xml:space="preserve">Wiersz </w:t>
            </w:r>
          </w:p>
          <w:p w:rsidR="00F4754B" w:rsidRPr="00AE79AC" w:rsidRDefault="00F4754B" w:rsidP="00F4754B">
            <w:pPr>
              <w:pStyle w:val="BodyText1"/>
              <w:rPr>
                <w:rFonts w:ascii="Times New Roman" w:hAnsi="Times New Roman"/>
                <w:b/>
                <w:bCs/>
                <w:u w:val="single"/>
              </w:rPr>
            </w:pPr>
            <w:r w:rsidRPr="00AE79AC">
              <w:rPr>
                <w:rFonts w:ascii="Times New Roman" w:hAnsi="Times New Roman"/>
                <w:b/>
              </w:rPr>
              <w:t>i kolumna</w:t>
            </w:r>
          </w:p>
        </w:tc>
        <w:tc>
          <w:tcPr>
            <w:tcW w:w="7620" w:type="dxa"/>
            <w:shd w:val="clear" w:color="auto" w:fill="D9D9D9"/>
          </w:tcPr>
          <w:p w:rsidR="00F4754B" w:rsidRPr="00AE79AC" w:rsidRDefault="00F4754B" w:rsidP="00F4754B">
            <w:pPr>
              <w:pStyle w:val="BodyText1"/>
              <w:rPr>
                <w:rFonts w:ascii="Times New Roman" w:hAnsi="Times New Roman"/>
                <w:b/>
                <w:bCs/>
                <w:u w:val="single"/>
              </w:rPr>
            </w:pPr>
            <w:r w:rsidRPr="00AE79AC">
              <w:rPr>
                <w:rFonts w:ascii="Times New Roman" w:hAnsi="Times New Roman"/>
                <w:b/>
              </w:rPr>
              <w:t>Odniesienia prawne i instrukcje</w:t>
            </w:r>
          </w:p>
        </w:tc>
      </w:tr>
      <w:tr w:rsidR="00F4754B" w:rsidRPr="00AE79AC" w:rsidTr="00FC2664">
        <w:trPr>
          <w:trHeight w:val="1561"/>
        </w:trPr>
        <w:tc>
          <w:tcPr>
            <w:tcW w:w="1418" w:type="dxa"/>
          </w:tcPr>
          <w:p w:rsidR="00F4754B" w:rsidRPr="00AE79AC" w:rsidRDefault="00F4754B" w:rsidP="00F4754B">
            <w:pPr>
              <w:pStyle w:val="BodyText1"/>
              <w:rPr>
                <w:rFonts w:ascii="Times New Roman" w:hAnsi="Times New Roman"/>
                <w:bCs/>
              </w:rPr>
            </w:pPr>
            <w:r w:rsidRPr="00AE79AC">
              <w:rPr>
                <w:rFonts w:ascii="Times New Roman" w:hAnsi="Times New Roman"/>
              </w:rPr>
              <w:t>{010;010}</w:t>
            </w:r>
          </w:p>
        </w:tc>
        <w:tc>
          <w:tcPr>
            <w:tcW w:w="7620" w:type="dxa"/>
          </w:tcPr>
          <w:p w:rsidR="00F4754B" w:rsidRPr="00AE79AC" w:rsidRDefault="00F4754B" w:rsidP="007E2A41">
            <w:pPr>
              <w:pStyle w:val="BodyText1"/>
              <w:spacing w:line="240" w:lineRule="auto"/>
              <w:rPr>
                <w:rFonts w:ascii="Times New Roman" w:hAnsi="Times New Roman"/>
                <w:b/>
                <w:bCs/>
              </w:rPr>
            </w:pPr>
            <w:r w:rsidRPr="00AE79AC">
              <w:rPr>
                <w:rFonts w:ascii="Times New Roman" w:hAnsi="Times New Roman"/>
                <w:b/>
              </w:rPr>
              <w:t xml:space="preserve">Kapitał podstawowy Tier I – w pełni wprowadzona definicja </w:t>
            </w:r>
          </w:p>
          <w:p w:rsidR="00F4754B" w:rsidRPr="00AE79AC" w:rsidRDefault="00F4754B" w:rsidP="007E2A41">
            <w:pPr>
              <w:pStyle w:val="BodyText1"/>
              <w:spacing w:line="240" w:lineRule="auto"/>
              <w:rPr>
                <w:rFonts w:ascii="Times New Roman" w:hAnsi="Times New Roman"/>
                <w:b/>
                <w:bCs/>
              </w:rPr>
            </w:pPr>
          </w:p>
          <w:p w:rsidR="00F4754B" w:rsidRPr="00AE79AC" w:rsidRDefault="00F4754B" w:rsidP="007E2A41">
            <w:pPr>
              <w:pStyle w:val="BodyText1"/>
              <w:spacing w:line="240" w:lineRule="auto"/>
              <w:rPr>
                <w:rFonts w:ascii="Times New Roman" w:hAnsi="Times New Roman"/>
                <w:bCs/>
              </w:rPr>
            </w:pPr>
            <w:r w:rsidRPr="00AE79AC">
              <w:rPr>
                <w:rFonts w:ascii="Times New Roman" w:hAnsi="Times New Roman"/>
              </w:rPr>
              <w:t>Art. 50 CRR</w:t>
            </w:r>
          </w:p>
          <w:p w:rsidR="00F4754B" w:rsidRPr="00AE79AC" w:rsidRDefault="00F4754B" w:rsidP="007E2A41">
            <w:pPr>
              <w:pStyle w:val="BodyText1"/>
              <w:spacing w:line="240" w:lineRule="auto"/>
              <w:rPr>
                <w:rFonts w:ascii="Times New Roman" w:hAnsi="Times New Roman"/>
              </w:rPr>
            </w:pPr>
          </w:p>
          <w:p w:rsidR="00F4754B" w:rsidRPr="00AE79AC" w:rsidRDefault="00F4754B" w:rsidP="007A0E3A">
            <w:pPr>
              <w:pStyle w:val="BodyText1"/>
              <w:spacing w:line="240" w:lineRule="auto"/>
              <w:rPr>
                <w:rFonts w:ascii="Times New Roman" w:hAnsi="Times New Roman"/>
                <w:bCs/>
                <w:i/>
              </w:rPr>
            </w:pPr>
            <w:r w:rsidRPr="00AE79AC">
              <w:rPr>
                <w:rFonts w:ascii="Times New Roman" w:hAnsi="Times New Roman"/>
              </w:rPr>
              <w:t>Jest to kwota kapitału podstawowego Tier I określona w art. 50 CRR bez uwzględniania odstępstwa określonego w części dziesiątej rozdział 1 i 2 CRR.</w:t>
            </w:r>
            <w:r w:rsidRPr="00AE79AC">
              <w:rPr>
                <w:rFonts w:ascii="Times New Roman" w:hAnsi="Times New Roman"/>
                <w:b/>
              </w:rPr>
              <w:t xml:space="preserve"> </w:t>
            </w:r>
          </w:p>
        </w:tc>
      </w:tr>
      <w:tr w:rsidR="00F4754B" w:rsidRPr="00AE79AC" w:rsidTr="00FC2664">
        <w:trPr>
          <w:trHeight w:val="1561"/>
        </w:trPr>
        <w:tc>
          <w:tcPr>
            <w:tcW w:w="1418" w:type="dxa"/>
          </w:tcPr>
          <w:p w:rsidR="00F4754B" w:rsidRPr="00AE79AC" w:rsidRDefault="00F4754B" w:rsidP="00F4754B">
            <w:pPr>
              <w:pStyle w:val="BodyText1"/>
              <w:rPr>
                <w:rFonts w:ascii="Times New Roman" w:hAnsi="Times New Roman"/>
                <w:bCs/>
              </w:rPr>
            </w:pPr>
            <w:r w:rsidRPr="00AE79AC">
              <w:rPr>
                <w:rFonts w:ascii="Times New Roman" w:hAnsi="Times New Roman"/>
              </w:rPr>
              <w:t>{020;010}</w:t>
            </w:r>
          </w:p>
        </w:tc>
        <w:tc>
          <w:tcPr>
            <w:tcW w:w="7620" w:type="dxa"/>
          </w:tcPr>
          <w:p w:rsidR="00F4754B" w:rsidRPr="00AE79AC" w:rsidRDefault="00F4754B" w:rsidP="007E2A41">
            <w:pPr>
              <w:pStyle w:val="BodyText1"/>
              <w:spacing w:line="240" w:lineRule="auto"/>
              <w:rPr>
                <w:rFonts w:ascii="Times New Roman" w:hAnsi="Times New Roman"/>
                <w:i/>
              </w:rPr>
            </w:pPr>
            <w:r w:rsidRPr="00AE79AC">
              <w:rPr>
                <w:rFonts w:ascii="Times New Roman" w:hAnsi="Times New Roman"/>
                <w:b/>
              </w:rPr>
              <w:t>Kapitał podstawowy Tier I – definicja przejściowa</w:t>
            </w:r>
          </w:p>
          <w:p w:rsidR="00F4754B" w:rsidRPr="00AE79AC" w:rsidRDefault="00F4754B" w:rsidP="007E2A41">
            <w:pPr>
              <w:pStyle w:val="BodyText1"/>
              <w:spacing w:line="240" w:lineRule="auto"/>
              <w:rPr>
                <w:rFonts w:ascii="Times New Roman" w:hAnsi="Times New Roman"/>
              </w:rPr>
            </w:pPr>
          </w:p>
          <w:p w:rsidR="00F4754B" w:rsidRPr="00AE79AC" w:rsidRDefault="00F4754B" w:rsidP="007E2A41">
            <w:pPr>
              <w:pStyle w:val="BodyText1"/>
              <w:spacing w:line="240" w:lineRule="auto"/>
              <w:rPr>
                <w:rFonts w:ascii="Times New Roman" w:hAnsi="Times New Roman"/>
              </w:rPr>
            </w:pPr>
            <w:r w:rsidRPr="00AE79AC">
              <w:rPr>
                <w:rFonts w:ascii="Times New Roman" w:hAnsi="Times New Roman"/>
              </w:rPr>
              <w:t>Art. 50 CRR</w:t>
            </w:r>
          </w:p>
          <w:p w:rsidR="00F4754B" w:rsidRPr="00AE79AC" w:rsidRDefault="00F4754B" w:rsidP="007E2A41">
            <w:pPr>
              <w:pStyle w:val="BodyText1"/>
              <w:spacing w:line="240" w:lineRule="auto"/>
              <w:rPr>
                <w:rFonts w:ascii="Times New Roman" w:hAnsi="Times New Roman"/>
              </w:rPr>
            </w:pPr>
          </w:p>
          <w:p w:rsidR="00F4754B" w:rsidRPr="00AE79AC" w:rsidRDefault="00F4754B" w:rsidP="007A0E3A">
            <w:pPr>
              <w:pStyle w:val="BodyText1"/>
              <w:spacing w:line="240" w:lineRule="auto"/>
              <w:rPr>
                <w:rFonts w:ascii="Times New Roman" w:hAnsi="Times New Roman"/>
              </w:rPr>
            </w:pPr>
            <w:r w:rsidRPr="00AE79AC">
              <w:rPr>
                <w:rFonts w:ascii="Times New Roman" w:hAnsi="Times New Roman"/>
              </w:rPr>
              <w:t>Jest to kwota kapitału podstawowego Tier I obliczona zgodnie z art. 50 CRR po uwzględnieniu odstępstwa określonego w części dziesiątej rozdział 1 i 2 CRR.</w:t>
            </w:r>
          </w:p>
        </w:tc>
      </w:tr>
      <w:tr w:rsidR="00F4754B" w:rsidRPr="00AE79AC" w:rsidTr="00FC2664">
        <w:tc>
          <w:tcPr>
            <w:tcW w:w="1418" w:type="dxa"/>
            <w:tcBorders>
              <w:bottom w:val="single" w:sz="4" w:space="0" w:color="auto"/>
            </w:tcBorders>
          </w:tcPr>
          <w:p w:rsidR="00F4754B" w:rsidRPr="00AE79AC" w:rsidRDefault="00F4754B" w:rsidP="00F4754B">
            <w:pPr>
              <w:pStyle w:val="BodyText1"/>
              <w:rPr>
                <w:rFonts w:ascii="Times New Roman" w:hAnsi="Times New Roman"/>
                <w:bCs/>
                <w:u w:val="single"/>
              </w:rPr>
            </w:pPr>
            <w:r w:rsidRPr="00AE79AC">
              <w:rPr>
                <w:rFonts w:ascii="Times New Roman" w:hAnsi="Times New Roman"/>
              </w:rPr>
              <w:t>{030;010}</w:t>
            </w:r>
          </w:p>
        </w:tc>
        <w:tc>
          <w:tcPr>
            <w:tcW w:w="7620" w:type="dxa"/>
            <w:tcBorders>
              <w:bottom w:val="single" w:sz="4" w:space="0" w:color="auto"/>
            </w:tcBorders>
          </w:tcPr>
          <w:p w:rsidR="00F4754B" w:rsidRPr="00AE79AC" w:rsidRDefault="00F4754B" w:rsidP="007E2A41">
            <w:pPr>
              <w:pStyle w:val="BodyText1"/>
              <w:spacing w:line="240" w:lineRule="auto"/>
              <w:rPr>
                <w:rFonts w:ascii="Times New Roman" w:hAnsi="Times New Roman"/>
                <w:i/>
              </w:rPr>
            </w:pPr>
            <w:r w:rsidRPr="00AE79AC">
              <w:rPr>
                <w:rFonts w:ascii="Times New Roman" w:hAnsi="Times New Roman"/>
                <w:b/>
              </w:rPr>
              <w:t>Suma funduszy własnych – w pełni wprowadzona definicja</w:t>
            </w:r>
          </w:p>
          <w:p w:rsidR="00F4754B" w:rsidRPr="00AE79AC" w:rsidRDefault="00F4754B" w:rsidP="007E2A41">
            <w:pPr>
              <w:pStyle w:val="BodyText1"/>
              <w:spacing w:line="240" w:lineRule="auto"/>
              <w:rPr>
                <w:rFonts w:ascii="Times New Roman" w:hAnsi="Times New Roman"/>
                <w:i/>
                <w:u w:val="single"/>
              </w:rPr>
            </w:pPr>
          </w:p>
          <w:p w:rsidR="00F4754B" w:rsidRPr="00AE79AC" w:rsidRDefault="00F4754B" w:rsidP="007E2A41">
            <w:pPr>
              <w:pStyle w:val="BodyText1"/>
              <w:spacing w:line="240" w:lineRule="auto"/>
              <w:rPr>
                <w:rFonts w:ascii="Times New Roman" w:hAnsi="Times New Roman"/>
                <w:i/>
              </w:rPr>
            </w:pPr>
            <w:r w:rsidRPr="00AE79AC">
              <w:rPr>
                <w:rFonts w:ascii="Times New Roman" w:hAnsi="Times New Roman"/>
              </w:rPr>
              <w:t>Art. 72 CRR</w:t>
            </w:r>
          </w:p>
          <w:p w:rsidR="00F4754B" w:rsidRPr="00AE79AC" w:rsidRDefault="00F4754B" w:rsidP="007E2A41">
            <w:pPr>
              <w:pStyle w:val="BodyText1"/>
              <w:spacing w:line="240" w:lineRule="auto"/>
              <w:rPr>
                <w:rFonts w:ascii="Times New Roman" w:hAnsi="Times New Roman"/>
                <w:i/>
                <w:u w:val="single"/>
              </w:rPr>
            </w:pPr>
          </w:p>
          <w:p w:rsidR="00F4754B" w:rsidRPr="00AE79AC" w:rsidRDefault="00F4754B" w:rsidP="007E2A41">
            <w:pPr>
              <w:pStyle w:val="BodyText1"/>
              <w:spacing w:line="240" w:lineRule="auto"/>
              <w:rPr>
                <w:rFonts w:ascii="Times New Roman" w:hAnsi="Times New Roman"/>
                <w:i/>
              </w:rPr>
            </w:pPr>
            <w:r w:rsidRPr="00AE79AC">
              <w:rPr>
                <w:rFonts w:ascii="Times New Roman" w:hAnsi="Times New Roman"/>
              </w:rPr>
              <w:t>Jest to kwota funduszy własnych określona w art. 72 CRR bez uwzględniania odstępstwa określonego w części dziesiątej rozdział 1 i 2 CRR.</w:t>
            </w:r>
          </w:p>
          <w:p w:rsidR="00F4754B" w:rsidRPr="00AE79AC" w:rsidRDefault="00F4754B" w:rsidP="007E2A41">
            <w:pPr>
              <w:pStyle w:val="BodyText1"/>
              <w:spacing w:line="240" w:lineRule="auto"/>
              <w:rPr>
                <w:rFonts w:ascii="Times New Roman" w:hAnsi="Times New Roman"/>
                <w:i/>
                <w:u w:val="single"/>
              </w:rPr>
            </w:pPr>
          </w:p>
        </w:tc>
      </w:tr>
      <w:tr w:rsidR="00F4754B" w:rsidRPr="00AE79AC" w:rsidTr="00FC2664">
        <w:tc>
          <w:tcPr>
            <w:tcW w:w="1418" w:type="dxa"/>
            <w:tcBorders>
              <w:bottom w:val="single" w:sz="4" w:space="0" w:color="auto"/>
            </w:tcBorders>
          </w:tcPr>
          <w:p w:rsidR="00F4754B" w:rsidRPr="00AE79AC" w:rsidRDefault="00F4754B" w:rsidP="00F4754B">
            <w:pPr>
              <w:pStyle w:val="BodyText1"/>
              <w:rPr>
                <w:rFonts w:ascii="Times New Roman" w:hAnsi="Times New Roman"/>
                <w:bCs/>
              </w:rPr>
            </w:pPr>
            <w:r w:rsidRPr="00AE79AC">
              <w:rPr>
                <w:rFonts w:ascii="Times New Roman" w:hAnsi="Times New Roman"/>
              </w:rPr>
              <w:t>{040;010}</w:t>
            </w:r>
          </w:p>
        </w:tc>
        <w:tc>
          <w:tcPr>
            <w:tcW w:w="7620" w:type="dxa"/>
            <w:tcBorders>
              <w:bottom w:val="single" w:sz="4" w:space="0" w:color="auto"/>
            </w:tcBorders>
          </w:tcPr>
          <w:p w:rsidR="00F4754B" w:rsidRPr="00AE79AC" w:rsidRDefault="00F4754B" w:rsidP="007E2A41">
            <w:pPr>
              <w:pStyle w:val="BodyText1"/>
              <w:spacing w:line="240" w:lineRule="auto"/>
              <w:rPr>
                <w:rFonts w:ascii="Times New Roman" w:hAnsi="Times New Roman"/>
                <w:bCs/>
              </w:rPr>
            </w:pPr>
            <w:r w:rsidRPr="00AE79AC">
              <w:rPr>
                <w:rFonts w:ascii="Times New Roman" w:hAnsi="Times New Roman"/>
                <w:b/>
              </w:rPr>
              <w:t>Suma funduszy własnych – definicja przejściowa</w:t>
            </w:r>
          </w:p>
          <w:p w:rsidR="00F4754B" w:rsidRPr="00AE79AC" w:rsidRDefault="00F4754B" w:rsidP="007E2A41">
            <w:pPr>
              <w:pStyle w:val="BodyText1"/>
              <w:spacing w:line="240" w:lineRule="auto"/>
              <w:rPr>
                <w:rFonts w:ascii="Times New Roman" w:hAnsi="Times New Roman"/>
                <w:bCs/>
                <w:u w:val="single"/>
              </w:rPr>
            </w:pPr>
          </w:p>
          <w:p w:rsidR="00F4754B" w:rsidRPr="00AE79AC" w:rsidRDefault="00F4754B" w:rsidP="007E2A41">
            <w:pPr>
              <w:pStyle w:val="BodyText1"/>
              <w:spacing w:line="240" w:lineRule="auto"/>
              <w:rPr>
                <w:rFonts w:ascii="Times New Roman" w:hAnsi="Times New Roman"/>
                <w:bCs/>
              </w:rPr>
            </w:pPr>
            <w:r w:rsidRPr="00AE79AC">
              <w:rPr>
                <w:rFonts w:ascii="Times New Roman" w:hAnsi="Times New Roman"/>
              </w:rPr>
              <w:t>Art. 72 CRR</w:t>
            </w:r>
          </w:p>
          <w:p w:rsidR="00F4754B" w:rsidRPr="00AE79AC" w:rsidRDefault="00F4754B" w:rsidP="007E2A41">
            <w:pPr>
              <w:pStyle w:val="BodyText1"/>
              <w:spacing w:line="240" w:lineRule="auto"/>
              <w:rPr>
                <w:rFonts w:ascii="Times New Roman" w:hAnsi="Times New Roman"/>
                <w:bCs/>
              </w:rPr>
            </w:pPr>
          </w:p>
          <w:p w:rsidR="00F4754B" w:rsidRPr="00AE79AC" w:rsidRDefault="00F4754B" w:rsidP="007E2A41">
            <w:pPr>
              <w:pStyle w:val="BodyText1"/>
              <w:spacing w:line="240" w:lineRule="auto"/>
              <w:rPr>
                <w:rFonts w:ascii="Times New Roman" w:hAnsi="Times New Roman"/>
              </w:rPr>
            </w:pPr>
            <w:r w:rsidRPr="00AE79AC">
              <w:rPr>
                <w:rFonts w:ascii="Times New Roman" w:hAnsi="Times New Roman"/>
              </w:rPr>
              <w:t>Jest to kwota funduszy własnych określona w art. 72 CRR po uwzględnieniu odstępstwa określonego w części dziesiątej rozdział 1 i 2 CRR.</w:t>
            </w:r>
          </w:p>
          <w:p w:rsidR="00F4754B" w:rsidRPr="00AE79AC" w:rsidRDefault="00F4754B" w:rsidP="007E2A41">
            <w:pPr>
              <w:pStyle w:val="BodyText1"/>
              <w:spacing w:line="240" w:lineRule="auto"/>
              <w:rPr>
                <w:rFonts w:ascii="Times New Roman" w:hAnsi="Times New Roman"/>
                <w:bCs/>
                <w:u w:val="single"/>
              </w:rPr>
            </w:pPr>
          </w:p>
        </w:tc>
      </w:tr>
      <w:tr w:rsidR="00F4754B" w:rsidRPr="00AE79AC" w:rsidTr="00FC2664">
        <w:tc>
          <w:tcPr>
            <w:tcW w:w="1418" w:type="dxa"/>
          </w:tcPr>
          <w:p w:rsidR="00F4754B" w:rsidRPr="00AE79AC" w:rsidRDefault="00F4754B" w:rsidP="00F70A83">
            <w:pPr>
              <w:pStyle w:val="BodyText1"/>
              <w:rPr>
                <w:rFonts w:ascii="Times New Roman" w:hAnsi="Times New Roman"/>
                <w:bCs/>
              </w:rPr>
            </w:pPr>
            <w:r w:rsidRPr="00AE79AC">
              <w:rPr>
                <w:rFonts w:ascii="Times New Roman" w:hAnsi="Times New Roman"/>
              </w:rPr>
              <w:t>{055;010}</w:t>
            </w:r>
          </w:p>
        </w:tc>
        <w:tc>
          <w:tcPr>
            <w:tcW w:w="7620" w:type="dxa"/>
          </w:tcPr>
          <w:p w:rsidR="00F4754B" w:rsidRPr="00AE79AC" w:rsidRDefault="00E818E9" w:rsidP="007E2A41">
            <w:pPr>
              <w:pStyle w:val="BodyText1"/>
              <w:spacing w:line="240" w:lineRule="auto"/>
              <w:rPr>
                <w:rFonts w:ascii="Times New Roman" w:hAnsi="Times New Roman"/>
                <w:b/>
                <w:bCs/>
              </w:rPr>
            </w:pPr>
            <w:r w:rsidRPr="00AE79AC">
              <w:rPr>
                <w:rFonts w:ascii="Times New Roman" w:hAnsi="Times New Roman"/>
                <w:b/>
              </w:rPr>
              <w:t>Kwota aktywów odliczona od pozycji kapitału podstawowego Tier 1 – w pełni wprowadzona definicja</w:t>
            </w:r>
          </w:p>
          <w:p w:rsidR="00F4754B" w:rsidRPr="00AE79AC" w:rsidRDefault="00F4754B" w:rsidP="007E2A41">
            <w:pPr>
              <w:pStyle w:val="BodyText1"/>
              <w:spacing w:line="240" w:lineRule="auto"/>
              <w:rPr>
                <w:rFonts w:ascii="Times New Roman" w:hAnsi="Times New Roman"/>
                <w:bCs/>
                <w:u w:val="single"/>
              </w:rPr>
            </w:pPr>
          </w:p>
          <w:p w:rsidR="00C81710" w:rsidRPr="00AE79AC" w:rsidRDefault="00F4754B" w:rsidP="007E2A41">
            <w:pPr>
              <w:pStyle w:val="BodyText1"/>
              <w:spacing w:line="240" w:lineRule="auto"/>
              <w:rPr>
                <w:rFonts w:ascii="Times New Roman" w:hAnsi="Times New Roman"/>
                <w:bCs/>
              </w:rPr>
            </w:pPr>
            <w:r w:rsidRPr="00AE79AC">
              <w:rPr>
                <w:rFonts w:ascii="Times New Roman" w:hAnsi="Times New Roman"/>
              </w:rPr>
              <w:t>Obejmuje kwotę korekt regulacyjnych pozycji kapitału podstawowego Tier 1, które korygują wartość składnika aktywów i które są wymagane na mocy następujących artykułów:</w:t>
            </w:r>
          </w:p>
          <w:p w:rsidR="00C81710" w:rsidRPr="00AE79AC" w:rsidRDefault="00500508" w:rsidP="00500508">
            <w:pPr>
              <w:pStyle w:val="BodyText1"/>
              <w:spacing w:line="240" w:lineRule="auto"/>
              <w:ind w:left="720" w:hanging="360"/>
              <w:rPr>
                <w:rFonts w:ascii="Times New Roman" w:hAnsi="Times New Roman"/>
                <w:b/>
                <w:bCs/>
              </w:rPr>
            </w:pPr>
            <w:r w:rsidRPr="00AE79AC">
              <w:rPr>
                <w:rFonts w:ascii="Times New Roman" w:hAnsi="Times New Roman"/>
              </w:rPr>
              <w:t>-</w:t>
            </w:r>
            <w:r w:rsidRPr="00AE79AC">
              <w:tab/>
            </w:r>
            <w:r w:rsidRPr="00AE79AC">
              <w:rPr>
                <w:rFonts w:ascii="Times New Roman" w:hAnsi="Times New Roman"/>
              </w:rPr>
              <w:t>art. 32–35 CRR, lub</w:t>
            </w:r>
          </w:p>
          <w:p w:rsidR="00C81710" w:rsidRPr="00AE79AC" w:rsidRDefault="00500508" w:rsidP="00500508">
            <w:pPr>
              <w:pStyle w:val="BodyText1"/>
              <w:spacing w:line="240" w:lineRule="auto"/>
              <w:ind w:left="720" w:hanging="360"/>
              <w:rPr>
                <w:rFonts w:ascii="Times New Roman" w:hAnsi="Times New Roman"/>
                <w:b/>
                <w:bCs/>
              </w:rPr>
            </w:pPr>
            <w:r w:rsidRPr="00AE79AC">
              <w:rPr>
                <w:rFonts w:ascii="Times New Roman" w:hAnsi="Times New Roman"/>
              </w:rPr>
              <w:t>-</w:t>
            </w:r>
            <w:r w:rsidRPr="00AE79AC">
              <w:tab/>
            </w:r>
            <w:r w:rsidRPr="00AE79AC">
              <w:rPr>
                <w:rFonts w:ascii="Times New Roman" w:hAnsi="Times New Roman"/>
              </w:rPr>
              <w:t>art. 36–47 CRR,</w:t>
            </w:r>
          </w:p>
          <w:p w:rsidR="007A0E3A" w:rsidRPr="00AE79AC" w:rsidRDefault="007A0E3A" w:rsidP="006914A2">
            <w:pPr>
              <w:pStyle w:val="BodyText1"/>
              <w:spacing w:line="240" w:lineRule="auto"/>
              <w:rPr>
                <w:rFonts w:ascii="Times New Roman" w:hAnsi="Times New Roman"/>
                <w:b/>
                <w:bCs/>
              </w:rPr>
            </w:pPr>
            <w:r w:rsidRPr="00AE79AC">
              <w:rPr>
                <w:rFonts w:ascii="Times New Roman" w:hAnsi="Times New Roman"/>
              </w:rPr>
              <w:t>stosownie do przypadku.</w:t>
            </w:r>
          </w:p>
          <w:p w:rsidR="00C81710" w:rsidRPr="00AE79AC" w:rsidRDefault="00C81710" w:rsidP="005556DC">
            <w:pPr>
              <w:pStyle w:val="BodyText1"/>
              <w:spacing w:line="240" w:lineRule="auto"/>
              <w:rPr>
                <w:rFonts w:ascii="Times New Roman" w:hAnsi="Times New Roman"/>
                <w:bCs/>
              </w:rPr>
            </w:pPr>
          </w:p>
          <w:p w:rsidR="00F4754B" w:rsidRPr="00AE79AC" w:rsidRDefault="00C81710" w:rsidP="00422C76">
            <w:pPr>
              <w:pStyle w:val="BodyText1"/>
              <w:spacing w:line="240" w:lineRule="auto"/>
              <w:rPr>
                <w:rFonts w:ascii="Times New Roman" w:hAnsi="Times New Roman"/>
                <w:b/>
                <w:bCs/>
              </w:rPr>
            </w:pPr>
            <w:r w:rsidRPr="00AE79AC">
              <w:rPr>
                <w:rFonts w:ascii="Times New Roman" w:hAnsi="Times New Roman"/>
              </w:rPr>
              <w:t xml:space="preserve">Instytucje uwzględniają wyłączenia, opcje alternatywne i odstępstwa w odniesieniu do takich odliczeń, określone w art. 48, 49 i 79 CRR, bez uwzględniania odstępstwa określonego w części dziesiątej rozdział 1 i 2 CRR. W celu uniknięcia podwójnego liczenia instytucje nie zgłaszają korekt już zastosowanych zgodnie z </w:t>
            </w:r>
            <w:r w:rsidRPr="002341B6">
              <w:rPr>
                <w:rFonts w:ascii="Times New Roman" w:hAnsi="Times New Roman"/>
              </w:rPr>
              <w:t>art.</w:t>
            </w:r>
            <w:r w:rsidR="002341B6" w:rsidRPr="002341B6">
              <w:rPr>
                <w:rFonts w:ascii="Times New Roman" w:hAnsi="Times New Roman"/>
              </w:rPr>
              <w:t> </w:t>
            </w:r>
            <w:r w:rsidRPr="002341B6">
              <w:rPr>
                <w:rFonts w:ascii="Times New Roman" w:hAnsi="Times New Roman"/>
              </w:rPr>
              <w:t>1</w:t>
            </w:r>
            <w:r w:rsidRPr="00AE79AC">
              <w:rPr>
                <w:rFonts w:ascii="Times New Roman" w:hAnsi="Times New Roman"/>
              </w:rPr>
              <w:t>11 CRR podczas obliczania wartości ekspozycji w komórkach od {LRCalc;10;10} do {LRCalc;260;10}, ani korekt, które nie stanowią odliczenia wartości określonego składnika aktywów.</w:t>
            </w:r>
            <w:r w:rsidRPr="00AE79AC">
              <w:rPr>
                <w:rFonts w:ascii="Times New Roman" w:hAnsi="Times New Roman"/>
                <w:b/>
              </w:rPr>
              <w:t xml:space="preserve"> </w:t>
            </w:r>
          </w:p>
          <w:p w:rsidR="00C81710" w:rsidRPr="00AE79AC" w:rsidRDefault="00C81710" w:rsidP="007E2A41">
            <w:pPr>
              <w:pStyle w:val="BodyText1"/>
              <w:spacing w:line="240" w:lineRule="auto"/>
              <w:rPr>
                <w:rFonts w:ascii="Times New Roman" w:hAnsi="Times New Roman"/>
                <w:b/>
                <w:bCs/>
              </w:rPr>
            </w:pPr>
          </w:p>
          <w:p w:rsidR="00C81710" w:rsidRPr="00AE79AC" w:rsidRDefault="00C81710" w:rsidP="00C81710">
            <w:pPr>
              <w:pStyle w:val="BodyText1"/>
              <w:spacing w:line="240" w:lineRule="auto"/>
              <w:rPr>
                <w:rFonts w:ascii="Times New Roman" w:hAnsi="Times New Roman"/>
                <w:bCs/>
              </w:rPr>
            </w:pPr>
            <w:r w:rsidRPr="00AE79AC">
              <w:rPr>
                <w:rFonts w:ascii="Times New Roman" w:hAnsi="Times New Roman"/>
              </w:rPr>
              <w:t xml:space="preserve">Ponieważ korekty te zmniejszają sumę funduszy własnych, zgłasza się je jako wartość ujemną. </w:t>
            </w:r>
          </w:p>
          <w:p w:rsidR="00F4754B" w:rsidRPr="00AE79AC" w:rsidRDefault="00F4754B" w:rsidP="007E2A41">
            <w:pPr>
              <w:pStyle w:val="BodyText1"/>
              <w:spacing w:line="240" w:lineRule="auto"/>
              <w:rPr>
                <w:rFonts w:ascii="Times New Roman" w:hAnsi="Times New Roman"/>
                <w:bCs/>
              </w:rPr>
            </w:pPr>
          </w:p>
        </w:tc>
      </w:tr>
      <w:tr w:rsidR="00F4754B" w:rsidRPr="00AE79AC" w:rsidTr="00FC2664">
        <w:tc>
          <w:tcPr>
            <w:tcW w:w="1418" w:type="dxa"/>
          </w:tcPr>
          <w:p w:rsidR="00F4754B" w:rsidRPr="00AE79AC" w:rsidRDefault="00F4754B" w:rsidP="00F70A83">
            <w:pPr>
              <w:pStyle w:val="BodyText1"/>
              <w:rPr>
                <w:rFonts w:ascii="Times New Roman" w:hAnsi="Times New Roman"/>
                <w:bCs/>
              </w:rPr>
            </w:pPr>
            <w:r w:rsidRPr="00AE79AC">
              <w:rPr>
                <w:rFonts w:ascii="Times New Roman" w:hAnsi="Times New Roman"/>
              </w:rPr>
              <w:t>{065;010}</w:t>
            </w:r>
          </w:p>
        </w:tc>
        <w:tc>
          <w:tcPr>
            <w:tcW w:w="7620" w:type="dxa"/>
          </w:tcPr>
          <w:p w:rsidR="00F4754B" w:rsidRPr="00AE79AC" w:rsidRDefault="00E818E9" w:rsidP="007E2A41">
            <w:pPr>
              <w:pStyle w:val="BodyText1"/>
              <w:spacing w:line="240" w:lineRule="auto"/>
              <w:rPr>
                <w:rFonts w:ascii="Times New Roman" w:hAnsi="Times New Roman"/>
                <w:bCs/>
              </w:rPr>
            </w:pPr>
            <w:r w:rsidRPr="00AE79AC">
              <w:rPr>
                <w:rFonts w:ascii="Times New Roman" w:hAnsi="Times New Roman"/>
                <w:b/>
              </w:rPr>
              <w:t>Kwota aktywów odliczona od pozycji kapitału podstawowego Tier 1 – definicja przejściowa</w:t>
            </w:r>
          </w:p>
          <w:p w:rsidR="00F4754B" w:rsidRPr="00AE79AC" w:rsidRDefault="00F4754B" w:rsidP="007E2A41">
            <w:pPr>
              <w:pStyle w:val="BodyText1"/>
              <w:spacing w:line="240" w:lineRule="auto"/>
              <w:rPr>
                <w:rFonts w:ascii="Times New Roman" w:hAnsi="Times New Roman"/>
                <w:bCs/>
              </w:rPr>
            </w:pPr>
          </w:p>
          <w:p w:rsidR="00C81710" w:rsidRPr="00AE79AC" w:rsidRDefault="00C81710" w:rsidP="00C81710">
            <w:pPr>
              <w:pStyle w:val="BodyText1"/>
              <w:spacing w:line="240" w:lineRule="auto"/>
              <w:rPr>
                <w:rFonts w:ascii="Times New Roman" w:hAnsi="Times New Roman"/>
                <w:bCs/>
              </w:rPr>
            </w:pPr>
            <w:r w:rsidRPr="00AE79AC">
              <w:rPr>
                <w:rFonts w:ascii="Times New Roman" w:hAnsi="Times New Roman"/>
              </w:rPr>
              <w:t>Obejmuje kwotę korekt regulacyjnych pozycji kapitału podstawowego Tier 1, które korygują wartość składnika aktywów i które są wymagane na mocy następujących artykułów:</w:t>
            </w:r>
          </w:p>
          <w:p w:rsidR="00C81710" w:rsidRPr="00AE79AC" w:rsidRDefault="00500508" w:rsidP="00500508">
            <w:pPr>
              <w:pStyle w:val="BodyText1"/>
              <w:spacing w:line="240" w:lineRule="auto"/>
              <w:ind w:left="720" w:hanging="360"/>
              <w:rPr>
                <w:rFonts w:ascii="Times New Roman" w:hAnsi="Times New Roman"/>
                <w:b/>
                <w:bCs/>
              </w:rPr>
            </w:pPr>
            <w:r w:rsidRPr="00AE79AC">
              <w:rPr>
                <w:rFonts w:ascii="Times New Roman" w:hAnsi="Times New Roman"/>
              </w:rPr>
              <w:t>-</w:t>
            </w:r>
            <w:r w:rsidRPr="00AE79AC">
              <w:tab/>
            </w:r>
            <w:r w:rsidRPr="00AE79AC">
              <w:rPr>
                <w:rFonts w:ascii="Times New Roman" w:hAnsi="Times New Roman"/>
              </w:rPr>
              <w:t>art. 32–35 CRR, lub</w:t>
            </w:r>
          </w:p>
          <w:p w:rsidR="00C81710" w:rsidRPr="00AE79AC" w:rsidRDefault="00500508" w:rsidP="00500508">
            <w:pPr>
              <w:pStyle w:val="BodyText1"/>
              <w:spacing w:line="240" w:lineRule="auto"/>
              <w:ind w:left="720" w:hanging="360"/>
              <w:rPr>
                <w:rFonts w:ascii="Times New Roman" w:hAnsi="Times New Roman"/>
                <w:b/>
                <w:bCs/>
              </w:rPr>
            </w:pPr>
            <w:r w:rsidRPr="00AE79AC">
              <w:rPr>
                <w:rFonts w:ascii="Times New Roman" w:hAnsi="Times New Roman"/>
              </w:rPr>
              <w:t>-</w:t>
            </w:r>
            <w:r w:rsidRPr="00AE79AC">
              <w:tab/>
            </w:r>
            <w:r w:rsidRPr="00AE79AC">
              <w:rPr>
                <w:rFonts w:ascii="Times New Roman" w:hAnsi="Times New Roman"/>
              </w:rPr>
              <w:t>art. 36–47 CRR,</w:t>
            </w:r>
          </w:p>
          <w:p w:rsidR="007A0E3A" w:rsidRPr="00AE79AC" w:rsidRDefault="007A0E3A" w:rsidP="006914A2">
            <w:pPr>
              <w:pStyle w:val="BodyText1"/>
              <w:spacing w:line="240" w:lineRule="auto"/>
              <w:rPr>
                <w:rFonts w:ascii="Times New Roman" w:hAnsi="Times New Roman"/>
                <w:b/>
                <w:bCs/>
              </w:rPr>
            </w:pPr>
            <w:r w:rsidRPr="00AE79AC">
              <w:rPr>
                <w:rFonts w:ascii="Times New Roman" w:hAnsi="Times New Roman"/>
              </w:rPr>
              <w:t>stosownie do przypadku.</w:t>
            </w:r>
          </w:p>
          <w:p w:rsidR="00C81710" w:rsidRPr="00AE79AC" w:rsidRDefault="00C81710" w:rsidP="007E2A41">
            <w:pPr>
              <w:pStyle w:val="BodyText1"/>
              <w:spacing w:line="240" w:lineRule="auto"/>
              <w:rPr>
                <w:rFonts w:ascii="Times New Roman" w:hAnsi="Times New Roman"/>
                <w:bCs/>
              </w:rPr>
            </w:pPr>
          </w:p>
          <w:p w:rsidR="00C81710" w:rsidRPr="00AE79AC" w:rsidRDefault="00C81710" w:rsidP="00C81710">
            <w:pPr>
              <w:pStyle w:val="BodyText1"/>
              <w:spacing w:line="240" w:lineRule="auto"/>
              <w:rPr>
                <w:rFonts w:ascii="Times New Roman" w:hAnsi="Times New Roman"/>
                <w:b/>
                <w:bCs/>
              </w:rPr>
            </w:pPr>
            <w:r w:rsidRPr="00AE79AC">
              <w:rPr>
                <w:rFonts w:ascii="Times New Roman" w:hAnsi="Times New Roman"/>
              </w:rPr>
              <w:t xml:space="preserve">Instytucje uwzględniają wyłączenia, opcje alternatywne i odstępstwa w odniesieniu do takich odliczeń, określone w art. 48, 49 i 79 CRR, po uwzględnieniu odstępstwa określonego w części dziesiątej rozdział 1 i 2 CRR. W celu uniknięcia podwójnego liczenia instytucje nie zgłaszają korekt już zastosowanych zgodnie z </w:t>
            </w:r>
            <w:r w:rsidRPr="002341B6">
              <w:rPr>
                <w:rFonts w:ascii="Times New Roman" w:hAnsi="Times New Roman"/>
              </w:rPr>
              <w:t>art.</w:t>
            </w:r>
            <w:r w:rsidR="002341B6" w:rsidRPr="002341B6">
              <w:rPr>
                <w:rFonts w:ascii="Times New Roman" w:hAnsi="Times New Roman"/>
              </w:rPr>
              <w:t> </w:t>
            </w:r>
            <w:r w:rsidRPr="002341B6">
              <w:rPr>
                <w:rFonts w:ascii="Times New Roman" w:hAnsi="Times New Roman"/>
              </w:rPr>
              <w:t>1</w:t>
            </w:r>
            <w:r w:rsidRPr="00AE79AC">
              <w:rPr>
                <w:rFonts w:ascii="Times New Roman" w:hAnsi="Times New Roman"/>
              </w:rPr>
              <w:t>11 CRR podczas obliczania wartości ekspozycji w komórkach od {LRCalc;10;10} do {LRCalc;260;10}, ani korekt, które nie stanowią odliczenia wartości określonego składnika aktywów.</w:t>
            </w:r>
            <w:r w:rsidRPr="00AE79AC">
              <w:rPr>
                <w:rFonts w:ascii="Times New Roman" w:hAnsi="Times New Roman"/>
                <w:b/>
              </w:rPr>
              <w:t xml:space="preserve"> </w:t>
            </w:r>
          </w:p>
          <w:p w:rsidR="00C81710" w:rsidRPr="00AE79AC" w:rsidRDefault="00C81710" w:rsidP="00C81710">
            <w:pPr>
              <w:pStyle w:val="BodyText1"/>
              <w:spacing w:line="240" w:lineRule="auto"/>
              <w:rPr>
                <w:rFonts w:ascii="Times New Roman" w:hAnsi="Times New Roman"/>
                <w:b/>
                <w:bCs/>
              </w:rPr>
            </w:pPr>
          </w:p>
          <w:p w:rsidR="00C81710" w:rsidRPr="00AE79AC" w:rsidRDefault="00C81710" w:rsidP="007E2A41">
            <w:pPr>
              <w:pStyle w:val="BodyText1"/>
              <w:spacing w:line="240" w:lineRule="auto"/>
              <w:rPr>
                <w:rFonts w:ascii="Times New Roman" w:hAnsi="Times New Roman"/>
                <w:bCs/>
                <w:u w:val="single"/>
              </w:rPr>
            </w:pPr>
            <w:r w:rsidRPr="00AE79AC">
              <w:rPr>
                <w:rFonts w:ascii="Times New Roman" w:hAnsi="Times New Roman"/>
              </w:rPr>
              <w:t>Ponieważ korekty te zmniejszają sumę funduszy własnych, zgłasza się je jako wartość ujemną.</w:t>
            </w:r>
          </w:p>
        </w:tc>
      </w:tr>
      <w:tr w:rsidR="00F4754B" w:rsidRPr="00AE79AC" w:rsidTr="00FC2664">
        <w:tc>
          <w:tcPr>
            <w:tcW w:w="1418" w:type="dxa"/>
          </w:tcPr>
          <w:p w:rsidR="00F4754B" w:rsidRPr="00AE79AC" w:rsidRDefault="00F4754B" w:rsidP="00F70A83">
            <w:pPr>
              <w:pStyle w:val="BodyText1"/>
              <w:rPr>
                <w:rFonts w:ascii="Times New Roman" w:hAnsi="Times New Roman"/>
                <w:bCs/>
              </w:rPr>
            </w:pPr>
            <w:r w:rsidRPr="00AE79AC">
              <w:rPr>
                <w:rFonts w:ascii="Times New Roman" w:hAnsi="Times New Roman"/>
              </w:rPr>
              <w:t>{075;010}</w:t>
            </w:r>
          </w:p>
        </w:tc>
        <w:tc>
          <w:tcPr>
            <w:tcW w:w="7620" w:type="dxa"/>
          </w:tcPr>
          <w:p w:rsidR="00F4754B" w:rsidRPr="00AE79AC" w:rsidRDefault="00E818E9" w:rsidP="007E2A41">
            <w:pPr>
              <w:pStyle w:val="BodyText1"/>
              <w:spacing w:line="240" w:lineRule="auto"/>
              <w:rPr>
                <w:rFonts w:ascii="Times New Roman" w:hAnsi="Times New Roman"/>
                <w:b/>
                <w:bCs/>
              </w:rPr>
            </w:pPr>
            <w:r w:rsidRPr="00AE79AC">
              <w:rPr>
                <w:rFonts w:ascii="Times New Roman" w:hAnsi="Times New Roman"/>
                <w:b/>
              </w:rPr>
              <w:t>Kwota aktywów odliczona od pozycji funduszy własnych – w pełni wprowadzona definicja</w:t>
            </w:r>
          </w:p>
          <w:p w:rsidR="00F4754B" w:rsidRPr="00AE79AC" w:rsidRDefault="00F4754B" w:rsidP="007E2A41">
            <w:pPr>
              <w:pStyle w:val="BodyText1"/>
              <w:spacing w:line="240" w:lineRule="auto"/>
              <w:rPr>
                <w:rFonts w:ascii="Times New Roman" w:hAnsi="Times New Roman"/>
                <w:bCs/>
              </w:rPr>
            </w:pPr>
          </w:p>
          <w:p w:rsidR="00C81710" w:rsidRPr="00AE79AC" w:rsidRDefault="00C81710" w:rsidP="00C81710">
            <w:pPr>
              <w:pStyle w:val="BodyText1"/>
              <w:spacing w:line="240" w:lineRule="auto"/>
              <w:rPr>
                <w:rFonts w:ascii="Times New Roman" w:hAnsi="Times New Roman"/>
                <w:bCs/>
              </w:rPr>
            </w:pPr>
            <w:r w:rsidRPr="00AE79AC">
              <w:rPr>
                <w:rFonts w:ascii="Times New Roman" w:hAnsi="Times New Roman"/>
              </w:rPr>
              <w:t>Obejmuje kwotę korekt regulacyjnych pozycji funduszy własnych, które korygują wartość składnika aktywów i które są wymagane na mocy następujących artykułów:</w:t>
            </w:r>
          </w:p>
          <w:p w:rsidR="00C81710" w:rsidRPr="00AE79AC" w:rsidRDefault="00500508" w:rsidP="00500508">
            <w:pPr>
              <w:pStyle w:val="BodyText1"/>
              <w:spacing w:line="240" w:lineRule="auto"/>
              <w:ind w:left="720" w:hanging="360"/>
              <w:rPr>
                <w:rFonts w:ascii="Times New Roman" w:hAnsi="Times New Roman"/>
                <w:b/>
                <w:bCs/>
              </w:rPr>
            </w:pPr>
            <w:r w:rsidRPr="00AE79AC">
              <w:rPr>
                <w:rFonts w:ascii="Times New Roman" w:hAnsi="Times New Roman"/>
              </w:rPr>
              <w:t>-</w:t>
            </w:r>
            <w:r w:rsidRPr="00AE79AC">
              <w:tab/>
            </w:r>
            <w:r w:rsidRPr="00AE79AC">
              <w:rPr>
                <w:rFonts w:ascii="Times New Roman" w:hAnsi="Times New Roman"/>
              </w:rPr>
              <w:t>art. 32–35 CRR, lub</w:t>
            </w:r>
          </w:p>
          <w:p w:rsidR="00C81710" w:rsidRPr="00AE79AC" w:rsidRDefault="00500508" w:rsidP="00500508">
            <w:pPr>
              <w:pStyle w:val="BodyText1"/>
              <w:spacing w:line="240" w:lineRule="auto"/>
              <w:ind w:left="720" w:hanging="360"/>
              <w:rPr>
                <w:rFonts w:ascii="Times New Roman" w:hAnsi="Times New Roman"/>
                <w:b/>
                <w:bCs/>
              </w:rPr>
            </w:pPr>
            <w:r w:rsidRPr="00AE79AC">
              <w:rPr>
                <w:rFonts w:ascii="Times New Roman" w:hAnsi="Times New Roman"/>
              </w:rPr>
              <w:t>-</w:t>
            </w:r>
            <w:r w:rsidRPr="00AE79AC">
              <w:tab/>
            </w:r>
            <w:r w:rsidRPr="00AE79AC">
              <w:rPr>
                <w:rFonts w:ascii="Times New Roman" w:hAnsi="Times New Roman"/>
              </w:rPr>
              <w:t>art. 36–47 CRR, lub</w:t>
            </w:r>
          </w:p>
          <w:p w:rsidR="00C81710" w:rsidRPr="00AE79AC" w:rsidRDefault="00500508" w:rsidP="00500508">
            <w:pPr>
              <w:pStyle w:val="BodyText1"/>
              <w:spacing w:line="240" w:lineRule="auto"/>
              <w:ind w:left="720" w:hanging="360"/>
              <w:rPr>
                <w:rFonts w:ascii="Times New Roman" w:hAnsi="Times New Roman"/>
                <w:b/>
                <w:bCs/>
              </w:rPr>
            </w:pPr>
            <w:r w:rsidRPr="00AE79AC">
              <w:rPr>
                <w:rFonts w:ascii="Times New Roman" w:hAnsi="Times New Roman"/>
              </w:rPr>
              <w:t>-</w:t>
            </w:r>
            <w:r w:rsidRPr="00AE79AC">
              <w:tab/>
            </w:r>
            <w:r w:rsidRPr="00AE79AC">
              <w:rPr>
                <w:rFonts w:ascii="Times New Roman" w:hAnsi="Times New Roman"/>
              </w:rPr>
              <w:t>art. 56–60 CRR, lub</w:t>
            </w:r>
          </w:p>
          <w:p w:rsidR="00C81710" w:rsidRPr="00AE79AC" w:rsidRDefault="00500508" w:rsidP="00500508">
            <w:pPr>
              <w:pStyle w:val="BodyText1"/>
              <w:spacing w:line="240" w:lineRule="auto"/>
              <w:ind w:left="720" w:hanging="360"/>
              <w:rPr>
                <w:rFonts w:ascii="Times New Roman" w:hAnsi="Times New Roman"/>
                <w:b/>
                <w:bCs/>
              </w:rPr>
            </w:pPr>
            <w:r w:rsidRPr="00AE79AC">
              <w:rPr>
                <w:rFonts w:ascii="Times New Roman" w:hAnsi="Times New Roman"/>
              </w:rPr>
              <w:t>-</w:t>
            </w:r>
            <w:r w:rsidRPr="00AE79AC">
              <w:tab/>
            </w:r>
            <w:r w:rsidRPr="00AE79AC">
              <w:rPr>
                <w:rFonts w:ascii="Times New Roman" w:hAnsi="Times New Roman"/>
              </w:rPr>
              <w:t>art. 66–70 CRR,</w:t>
            </w:r>
          </w:p>
          <w:p w:rsidR="007A0E3A" w:rsidRPr="00AE79AC" w:rsidRDefault="007A0E3A" w:rsidP="00877186">
            <w:pPr>
              <w:pStyle w:val="BodyText1"/>
              <w:spacing w:line="240" w:lineRule="auto"/>
              <w:rPr>
                <w:rFonts w:ascii="Times New Roman" w:hAnsi="Times New Roman"/>
                <w:b/>
                <w:bCs/>
              </w:rPr>
            </w:pPr>
            <w:r w:rsidRPr="00AE79AC">
              <w:rPr>
                <w:rFonts w:ascii="Times New Roman" w:hAnsi="Times New Roman"/>
              </w:rPr>
              <w:t>stosownie do przypadku.</w:t>
            </w:r>
          </w:p>
          <w:p w:rsidR="00C81710" w:rsidRPr="00AE79AC" w:rsidRDefault="00C81710" w:rsidP="00C81710">
            <w:pPr>
              <w:pStyle w:val="BodyText1"/>
              <w:spacing w:line="240" w:lineRule="auto"/>
              <w:rPr>
                <w:rFonts w:ascii="Times New Roman" w:hAnsi="Times New Roman"/>
                <w:bCs/>
              </w:rPr>
            </w:pPr>
          </w:p>
          <w:p w:rsidR="00C81710" w:rsidRPr="00AE79AC" w:rsidRDefault="00C81710" w:rsidP="00C81710">
            <w:pPr>
              <w:pStyle w:val="BodyText1"/>
              <w:spacing w:line="240" w:lineRule="auto"/>
              <w:rPr>
                <w:rFonts w:ascii="Times New Roman" w:hAnsi="Times New Roman"/>
                <w:b/>
                <w:bCs/>
              </w:rPr>
            </w:pPr>
            <w:r w:rsidRPr="00AE79AC">
              <w:rPr>
                <w:rFonts w:ascii="Times New Roman" w:hAnsi="Times New Roman"/>
              </w:rPr>
              <w:t xml:space="preserve">Instytucje uwzględniają wyłączenia, opcje alternatywne i odstępstwa w odniesieniu do takich odliczeń, określone w art. 48, 49 i 79 CRR, bez uwzględniania odstępstwa określonego w części dziesiątej rozdział 1 i 2 CRR. W celu uniknięcia podwójnego liczenia instytucje nie zgłaszają korekt już zastosowanych zgodnie z </w:t>
            </w:r>
            <w:r w:rsidRPr="002341B6">
              <w:rPr>
                <w:rFonts w:ascii="Times New Roman" w:hAnsi="Times New Roman"/>
              </w:rPr>
              <w:t>art.</w:t>
            </w:r>
            <w:r w:rsidR="002341B6" w:rsidRPr="002341B6">
              <w:rPr>
                <w:rFonts w:ascii="Times New Roman" w:hAnsi="Times New Roman"/>
              </w:rPr>
              <w:t> </w:t>
            </w:r>
            <w:r w:rsidRPr="002341B6">
              <w:rPr>
                <w:rFonts w:ascii="Times New Roman" w:hAnsi="Times New Roman"/>
              </w:rPr>
              <w:t>1</w:t>
            </w:r>
            <w:r w:rsidRPr="00AE79AC">
              <w:rPr>
                <w:rFonts w:ascii="Times New Roman" w:hAnsi="Times New Roman"/>
              </w:rPr>
              <w:t>11 CRR podczas obliczania wartości ekspozycji w wierszach od {LRCalc;10;10} do {LRCalc;260;10}, ani korekt, które nie stanowią odliczenia wartości określonego składnika aktywów.</w:t>
            </w:r>
            <w:r w:rsidRPr="00AE79AC">
              <w:rPr>
                <w:rFonts w:ascii="Times New Roman" w:hAnsi="Times New Roman"/>
                <w:b/>
              </w:rPr>
              <w:t xml:space="preserve"> </w:t>
            </w:r>
          </w:p>
          <w:p w:rsidR="00C81710" w:rsidRPr="00AE79AC" w:rsidRDefault="00C81710" w:rsidP="00C81710">
            <w:pPr>
              <w:pStyle w:val="BodyText1"/>
              <w:spacing w:line="240" w:lineRule="auto"/>
              <w:rPr>
                <w:rFonts w:ascii="Times New Roman" w:hAnsi="Times New Roman"/>
                <w:b/>
                <w:bCs/>
              </w:rPr>
            </w:pPr>
          </w:p>
          <w:p w:rsidR="00C81710" w:rsidRPr="00AE79AC" w:rsidRDefault="00C81710" w:rsidP="00C81710">
            <w:pPr>
              <w:pStyle w:val="BodyText1"/>
              <w:spacing w:line="240" w:lineRule="auto"/>
              <w:rPr>
                <w:rFonts w:ascii="Times New Roman" w:hAnsi="Times New Roman"/>
                <w:bCs/>
              </w:rPr>
            </w:pPr>
            <w:r w:rsidRPr="00AE79AC">
              <w:rPr>
                <w:rFonts w:ascii="Times New Roman" w:hAnsi="Times New Roman"/>
              </w:rPr>
              <w:t xml:space="preserve">Ponieważ korekty te zmniejszają sumę funduszy własnych, zgłasza się je jako wartość ujemną. </w:t>
            </w:r>
          </w:p>
          <w:p w:rsidR="00F4754B" w:rsidRPr="00AE79AC" w:rsidRDefault="00F4754B" w:rsidP="005556DC">
            <w:pPr>
              <w:pStyle w:val="BodyText1"/>
              <w:spacing w:line="240" w:lineRule="auto"/>
              <w:rPr>
                <w:rFonts w:ascii="Times New Roman" w:hAnsi="Times New Roman"/>
                <w:bCs/>
                <w:u w:val="single"/>
              </w:rPr>
            </w:pPr>
          </w:p>
        </w:tc>
      </w:tr>
      <w:tr w:rsidR="00F4754B" w:rsidRPr="00AE79AC" w:rsidTr="00FC2664">
        <w:tc>
          <w:tcPr>
            <w:tcW w:w="1418" w:type="dxa"/>
          </w:tcPr>
          <w:p w:rsidR="00F4754B" w:rsidRPr="00AE79AC" w:rsidRDefault="00F4754B" w:rsidP="00F70A83">
            <w:pPr>
              <w:pStyle w:val="BodyText1"/>
              <w:rPr>
                <w:rFonts w:ascii="Times New Roman" w:hAnsi="Times New Roman"/>
                <w:bCs/>
              </w:rPr>
            </w:pPr>
            <w:r w:rsidRPr="00AE79AC">
              <w:rPr>
                <w:rFonts w:ascii="Times New Roman" w:hAnsi="Times New Roman"/>
              </w:rPr>
              <w:t>{085;010}</w:t>
            </w:r>
          </w:p>
        </w:tc>
        <w:tc>
          <w:tcPr>
            <w:tcW w:w="7620" w:type="dxa"/>
          </w:tcPr>
          <w:p w:rsidR="00F4754B" w:rsidRPr="00AE79AC" w:rsidRDefault="00E818E9" w:rsidP="007E2A41">
            <w:pPr>
              <w:pStyle w:val="BodyText1"/>
              <w:spacing w:line="240" w:lineRule="auto"/>
              <w:rPr>
                <w:rFonts w:ascii="Times New Roman" w:hAnsi="Times New Roman"/>
                <w:bCs/>
              </w:rPr>
            </w:pPr>
            <w:r w:rsidRPr="00AE79AC">
              <w:rPr>
                <w:rFonts w:ascii="Times New Roman" w:hAnsi="Times New Roman"/>
                <w:b/>
              </w:rPr>
              <w:t>Kwota aktywów odliczona od pozycji funduszy własnych – definicja przejściowa</w:t>
            </w:r>
          </w:p>
          <w:p w:rsidR="00F4754B" w:rsidRPr="00AE79AC" w:rsidRDefault="00F4754B" w:rsidP="007E2A41">
            <w:pPr>
              <w:pStyle w:val="BodyText1"/>
              <w:spacing w:line="240" w:lineRule="auto"/>
              <w:rPr>
                <w:rFonts w:ascii="Times New Roman" w:hAnsi="Times New Roman"/>
                <w:bCs/>
              </w:rPr>
            </w:pPr>
          </w:p>
          <w:p w:rsidR="00C81710" w:rsidRPr="00AE79AC" w:rsidRDefault="00C81710" w:rsidP="00C81710">
            <w:pPr>
              <w:pStyle w:val="BodyText1"/>
              <w:spacing w:line="240" w:lineRule="auto"/>
              <w:rPr>
                <w:rFonts w:ascii="Times New Roman" w:hAnsi="Times New Roman"/>
                <w:bCs/>
              </w:rPr>
            </w:pPr>
            <w:r w:rsidRPr="00AE79AC">
              <w:rPr>
                <w:rFonts w:ascii="Times New Roman" w:hAnsi="Times New Roman"/>
              </w:rPr>
              <w:t>Obejmuje kwotę korekt regulacyjnych pozycji funduszy własnych, które korygują wartość składnika aktywów i które są wymagane na mocy następujących artykułów:</w:t>
            </w:r>
          </w:p>
          <w:p w:rsidR="00C81710" w:rsidRPr="00AE79AC" w:rsidRDefault="00500508" w:rsidP="00500508">
            <w:pPr>
              <w:pStyle w:val="BodyText1"/>
              <w:spacing w:line="240" w:lineRule="auto"/>
              <w:ind w:left="720" w:hanging="360"/>
              <w:rPr>
                <w:rFonts w:ascii="Times New Roman" w:hAnsi="Times New Roman"/>
                <w:b/>
                <w:bCs/>
              </w:rPr>
            </w:pPr>
            <w:r w:rsidRPr="00AE79AC">
              <w:rPr>
                <w:rFonts w:ascii="Times New Roman" w:hAnsi="Times New Roman"/>
              </w:rPr>
              <w:t>-</w:t>
            </w:r>
            <w:r w:rsidRPr="00AE79AC">
              <w:tab/>
            </w:r>
            <w:r w:rsidRPr="00AE79AC">
              <w:rPr>
                <w:rFonts w:ascii="Times New Roman" w:hAnsi="Times New Roman"/>
              </w:rPr>
              <w:t>art. 32–35 CRR, lub</w:t>
            </w:r>
          </w:p>
          <w:p w:rsidR="00C81710" w:rsidRPr="00AE79AC" w:rsidRDefault="00500508" w:rsidP="00500508">
            <w:pPr>
              <w:pStyle w:val="BodyText1"/>
              <w:spacing w:line="240" w:lineRule="auto"/>
              <w:ind w:left="720" w:hanging="360"/>
              <w:rPr>
                <w:rFonts w:ascii="Times New Roman" w:hAnsi="Times New Roman"/>
                <w:b/>
                <w:bCs/>
              </w:rPr>
            </w:pPr>
            <w:r w:rsidRPr="00AE79AC">
              <w:rPr>
                <w:rFonts w:ascii="Times New Roman" w:hAnsi="Times New Roman"/>
              </w:rPr>
              <w:t>-</w:t>
            </w:r>
            <w:r w:rsidRPr="00AE79AC">
              <w:tab/>
            </w:r>
            <w:r w:rsidRPr="00AE79AC">
              <w:rPr>
                <w:rFonts w:ascii="Times New Roman" w:hAnsi="Times New Roman"/>
              </w:rPr>
              <w:t>art. 36–47 CRR, lub</w:t>
            </w:r>
          </w:p>
          <w:p w:rsidR="00C81710" w:rsidRPr="00AE79AC" w:rsidRDefault="00500508" w:rsidP="00500508">
            <w:pPr>
              <w:pStyle w:val="BodyText1"/>
              <w:spacing w:line="240" w:lineRule="auto"/>
              <w:ind w:left="720" w:hanging="360"/>
              <w:rPr>
                <w:rFonts w:ascii="Times New Roman" w:hAnsi="Times New Roman"/>
                <w:b/>
                <w:bCs/>
              </w:rPr>
            </w:pPr>
            <w:r w:rsidRPr="00AE79AC">
              <w:rPr>
                <w:rFonts w:ascii="Times New Roman" w:hAnsi="Times New Roman"/>
              </w:rPr>
              <w:t>-</w:t>
            </w:r>
            <w:r w:rsidRPr="00AE79AC">
              <w:tab/>
            </w:r>
            <w:r w:rsidRPr="00AE79AC">
              <w:rPr>
                <w:rFonts w:ascii="Times New Roman" w:hAnsi="Times New Roman"/>
              </w:rPr>
              <w:t>art. 56–60 CRR, lub</w:t>
            </w:r>
          </w:p>
          <w:p w:rsidR="00C81710" w:rsidRPr="00AE79AC" w:rsidRDefault="00500508" w:rsidP="00500508">
            <w:pPr>
              <w:pStyle w:val="BodyText1"/>
              <w:spacing w:line="240" w:lineRule="auto"/>
              <w:ind w:left="720" w:hanging="360"/>
              <w:rPr>
                <w:rFonts w:ascii="Times New Roman" w:hAnsi="Times New Roman"/>
                <w:b/>
                <w:bCs/>
              </w:rPr>
            </w:pPr>
            <w:r w:rsidRPr="00AE79AC">
              <w:rPr>
                <w:rFonts w:ascii="Times New Roman" w:hAnsi="Times New Roman"/>
              </w:rPr>
              <w:t>-</w:t>
            </w:r>
            <w:r w:rsidRPr="00AE79AC">
              <w:tab/>
            </w:r>
            <w:r w:rsidRPr="00AE79AC">
              <w:rPr>
                <w:rFonts w:ascii="Times New Roman" w:hAnsi="Times New Roman"/>
              </w:rPr>
              <w:t>art. 66–70 CRR,</w:t>
            </w:r>
          </w:p>
          <w:p w:rsidR="007A0E3A" w:rsidRPr="00AE79AC" w:rsidRDefault="007A0E3A" w:rsidP="00877186">
            <w:pPr>
              <w:pStyle w:val="BodyText1"/>
              <w:spacing w:line="240" w:lineRule="auto"/>
              <w:rPr>
                <w:rFonts w:ascii="Times New Roman" w:hAnsi="Times New Roman"/>
                <w:b/>
                <w:bCs/>
              </w:rPr>
            </w:pPr>
            <w:r w:rsidRPr="00AE79AC">
              <w:rPr>
                <w:rFonts w:ascii="Times New Roman" w:hAnsi="Times New Roman"/>
              </w:rPr>
              <w:t>stosownie do przypadku.</w:t>
            </w:r>
          </w:p>
          <w:p w:rsidR="00C81710" w:rsidRPr="00AE79AC" w:rsidRDefault="00C81710" w:rsidP="00C81710">
            <w:pPr>
              <w:pStyle w:val="BodyText1"/>
              <w:spacing w:line="240" w:lineRule="auto"/>
              <w:rPr>
                <w:rFonts w:ascii="Times New Roman" w:hAnsi="Times New Roman"/>
                <w:bCs/>
              </w:rPr>
            </w:pPr>
          </w:p>
          <w:p w:rsidR="00C81710" w:rsidRPr="00AE79AC" w:rsidRDefault="00C81710" w:rsidP="00C81710">
            <w:pPr>
              <w:pStyle w:val="BodyText1"/>
              <w:spacing w:line="240" w:lineRule="auto"/>
              <w:rPr>
                <w:rFonts w:ascii="Times New Roman" w:hAnsi="Times New Roman"/>
                <w:b/>
                <w:bCs/>
              </w:rPr>
            </w:pPr>
            <w:r w:rsidRPr="00AE79AC">
              <w:rPr>
                <w:rFonts w:ascii="Times New Roman" w:hAnsi="Times New Roman"/>
              </w:rPr>
              <w:t xml:space="preserve">Instytucje uwzględniają wyłączenia, opcje alternatywne i odstępstwa w odniesieniu do takich odliczeń, określone w art. 48, 49 i 79 CRR, po uwzględnieniu odstępstwa określonego w części dziesiątej rozdział 1 i 2 CRR. W celu uniknięcia podwójnego liczenia instytucje nie zgłaszają korekt już zastosowanych zgodnie z </w:t>
            </w:r>
            <w:r w:rsidRPr="002341B6">
              <w:rPr>
                <w:rFonts w:ascii="Times New Roman" w:hAnsi="Times New Roman"/>
              </w:rPr>
              <w:t>art.</w:t>
            </w:r>
            <w:r w:rsidR="002341B6" w:rsidRPr="002341B6">
              <w:rPr>
                <w:rFonts w:ascii="Times New Roman" w:hAnsi="Times New Roman"/>
              </w:rPr>
              <w:t> </w:t>
            </w:r>
            <w:r w:rsidRPr="002341B6">
              <w:rPr>
                <w:rFonts w:ascii="Times New Roman" w:hAnsi="Times New Roman"/>
              </w:rPr>
              <w:t>1</w:t>
            </w:r>
            <w:r w:rsidRPr="00AE79AC">
              <w:rPr>
                <w:rFonts w:ascii="Times New Roman" w:hAnsi="Times New Roman"/>
              </w:rPr>
              <w:t>11 CRR podczas obliczania wartości ekspozycji w komórkach od {LRCalc;10;10} do {LRCalc;260;10}, ani korekt, które nie stanowią odliczenia wartości określonego składnika aktywów.</w:t>
            </w:r>
            <w:r w:rsidRPr="00AE79AC">
              <w:rPr>
                <w:rFonts w:ascii="Times New Roman" w:hAnsi="Times New Roman"/>
                <w:b/>
              </w:rPr>
              <w:t xml:space="preserve"> </w:t>
            </w:r>
          </w:p>
          <w:p w:rsidR="00C81710" w:rsidRPr="00AE79AC" w:rsidRDefault="00C81710" w:rsidP="00C81710">
            <w:pPr>
              <w:pStyle w:val="BodyText1"/>
              <w:spacing w:line="240" w:lineRule="auto"/>
              <w:rPr>
                <w:rFonts w:ascii="Times New Roman" w:hAnsi="Times New Roman"/>
                <w:b/>
                <w:bCs/>
              </w:rPr>
            </w:pPr>
          </w:p>
          <w:p w:rsidR="00C81710" w:rsidRPr="00AE79AC" w:rsidRDefault="00C81710" w:rsidP="00C81710">
            <w:pPr>
              <w:pStyle w:val="BodyText1"/>
              <w:spacing w:line="240" w:lineRule="auto"/>
              <w:rPr>
                <w:rFonts w:ascii="Times New Roman" w:hAnsi="Times New Roman"/>
                <w:bCs/>
              </w:rPr>
            </w:pPr>
            <w:r w:rsidRPr="00AE79AC">
              <w:rPr>
                <w:rFonts w:ascii="Times New Roman" w:hAnsi="Times New Roman"/>
              </w:rPr>
              <w:t xml:space="preserve">Ponieważ korekty te zmniejszają sumę funduszy własnych, zgłasza się je jako wartość ujemną. </w:t>
            </w:r>
          </w:p>
          <w:p w:rsidR="002509B1" w:rsidRPr="00AE79AC" w:rsidRDefault="002509B1" w:rsidP="005556DC">
            <w:pPr>
              <w:pStyle w:val="BodyText1"/>
              <w:spacing w:line="240" w:lineRule="auto"/>
              <w:rPr>
                <w:rFonts w:ascii="Times New Roman" w:hAnsi="Times New Roman"/>
                <w:bCs/>
              </w:rPr>
            </w:pPr>
          </w:p>
        </w:tc>
      </w:tr>
    </w:tbl>
    <w:p w:rsidR="00217D1F" w:rsidRPr="00AE79AC" w:rsidRDefault="00217D1F" w:rsidP="00217D1F">
      <w:pPr>
        <w:pStyle w:val="BodyText1"/>
        <w:ind w:left="567"/>
        <w:rPr>
          <w:rFonts w:ascii="Times New Roman" w:hAnsi="Times New Roman"/>
          <w:b/>
        </w:rPr>
      </w:pPr>
      <w:bookmarkStart w:id="82" w:name="_Toc322687900"/>
      <w:bookmarkStart w:id="83" w:name="_Toc322533879"/>
    </w:p>
    <w:p w:rsidR="00217D1F" w:rsidRPr="00AE79AC" w:rsidRDefault="00500508" w:rsidP="00500508">
      <w:pPr>
        <w:pStyle w:val="BodyText1"/>
        <w:ind w:left="357" w:hanging="357"/>
        <w:outlineLvl w:val="1"/>
        <w:rPr>
          <w:rFonts w:ascii="Times New Roman" w:hAnsi="Times New Roman"/>
          <w:b/>
        </w:rPr>
      </w:pPr>
      <w:bookmarkStart w:id="84" w:name="_Toc351048510"/>
      <w:bookmarkStart w:id="85" w:name="_Toc359414289"/>
      <w:bookmarkStart w:id="86" w:name="_Toc423089074"/>
      <w:bookmarkStart w:id="87" w:name="_Toc520369407"/>
      <w:r w:rsidRPr="00AE79AC">
        <w:rPr>
          <w:rFonts w:ascii="Times New Roman" w:hAnsi="Times New Roman"/>
          <w:b/>
        </w:rPr>
        <w:t>8.</w:t>
      </w:r>
      <w:r w:rsidRPr="00AE79AC">
        <w:tab/>
      </w:r>
      <w:r w:rsidRPr="00AE79AC">
        <w:rPr>
          <w:rFonts w:ascii="Times New Roman" w:hAnsi="Times New Roman"/>
          <w:b/>
        </w:rPr>
        <w:t>C 43.00 – Alternatywny podział składników miary ekspozycji wskaźnika dźwigni</w:t>
      </w:r>
      <w:bookmarkEnd w:id="82"/>
      <w:bookmarkEnd w:id="84"/>
      <w:bookmarkEnd w:id="85"/>
      <w:r w:rsidRPr="00AE79AC">
        <w:rPr>
          <w:rFonts w:ascii="Times New Roman" w:hAnsi="Times New Roman"/>
          <w:b/>
        </w:rPr>
        <w:t xml:space="preserve"> (LR4)</w:t>
      </w:r>
      <w:bookmarkEnd w:id="86"/>
      <w:bookmarkEnd w:id="87"/>
    </w:p>
    <w:p w:rsidR="00675587" w:rsidRPr="00AE79AC" w:rsidRDefault="00675587" w:rsidP="00675587">
      <w:pPr>
        <w:pStyle w:val="BodyText1"/>
        <w:ind w:left="720"/>
        <w:rPr>
          <w:rFonts w:ascii="Times New Roman" w:hAnsi="Times New Roman"/>
        </w:rPr>
      </w:pPr>
    </w:p>
    <w:p w:rsidR="004E437E" w:rsidRPr="00AE79AC" w:rsidRDefault="00500508" w:rsidP="00500508">
      <w:pPr>
        <w:pStyle w:val="BodyText1"/>
        <w:ind w:left="720" w:hanging="360"/>
        <w:rPr>
          <w:rFonts w:ascii="Times New Roman" w:hAnsi="Times New Roman"/>
        </w:rPr>
      </w:pPr>
      <w:r w:rsidRPr="00AE79AC">
        <w:rPr>
          <w:rFonts w:ascii="Times New Roman" w:hAnsi="Times New Roman"/>
        </w:rPr>
        <w:t>28.</w:t>
      </w:r>
      <w:r w:rsidRPr="00AE79AC">
        <w:tab/>
      </w:r>
      <w:r w:rsidRPr="00AE79AC">
        <w:rPr>
          <w:rFonts w:ascii="Times New Roman" w:hAnsi="Times New Roman"/>
        </w:rPr>
        <w:t>Instytucje zgłaszają wartość ekspozycji wskaźnika dźwigni we wzorze LR4 po zastosowaniu wyłączeń, stosownie do przypadku, o których mowa w następujących komórkach LRCalc: {050;010}, {080;010}, {100;010}, {120;010}, {220; 010}, {250;010} oraz {260;010}.</w:t>
      </w:r>
    </w:p>
    <w:p w:rsidR="004E437E" w:rsidRPr="00AE79AC" w:rsidRDefault="004E437E" w:rsidP="00FD2C06">
      <w:pPr>
        <w:pStyle w:val="BodyText1"/>
        <w:ind w:left="720"/>
        <w:rPr>
          <w:rFonts w:ascii="Times New Roman" w:hAnsi="Times New Roman"/>
        </w:rPr>
      </w:pPr>
    </w:p>
    <w:p w:rsidR="00F4754B" w:rsidRPr="00AE79AC" w:rsidRDefault="00500508" w:rsidP="00500508">
      <w:pPr>
        <w:pStyle w:val="BodyText1"/>
        <w:spacing w:line="240" w:lineRule="auto"/>
        <w:ind w:left="720" w:hanging="360"/>
        <w:rPr>
          <w:rFonts w:ascii="Times New Roman" w:hAnsi="Times New Roman"/>
        </w:rPr>
      </w:pPr>
      <w:r w:rsidRPr="00AE79AC">
        <w:rPr>
          <w:rFonts w:ascii="Times New Roman" w:hAnsi="Times New Roman"/>
        </w:rPr>
        <w:t>29.</w:t>
      </w:r>
      <w:r w:rsidRPr="00AE79AC">
        <w:tab/>
      </w:r>
      <w:r w:rsidRPr="00AE79AC">
        <w:rPr>
          <w:rFonts w:ascii="Times New Roman" w:hAnsi="Times New Roman"/>
        </w:rPr>
        <w:t xml:space="preserve">Aby uniknąć podwójnego liczenia, instytucje stosują równanie, o którym mowa w punkcie poniżej: </w:t>
      </w:r>
    </w:p>
    <w:p w:rsidR="00FC2664" w:rsidRPr="00AE79AC" w:rsidRDefault="00FC2664" w:rsidP="007E2A41">
      <w:pPr>
        <w:pStyle w:val="BodyText1"/>
        <w:spacing w:line="240" w:lineRule="auto"/>
        <w:rPr>
          <w:rFonts w:ascii="Times New Roman" w:hAnsi="Times New Roman"/>
        </w:rPr>
      </w:pPr>
    </w:p>
    <w:p w:rsidR="00F4754B" w:rsidRPr="00AE79AC" w:rsidRDefault="00500508" w:rsidP="00500508">
      <w:pPr>
        <w:pStyle w:val="BodyText1"/>
        <w:spacing w:line="240" w:lineRule="auto"/>
        <w:ind w:left="720" w:hanging="360"/>
        <w:rPr>
          <w:rFonts w:ascii="Times New Roman" w:hAnsi="Times New Roman"/>
        </w:rPr>
      </w:pPr>
      <w:r w:rsidRPr="00AE79AC">
        <w:rPr>
          <w:rFonts w:ascii="Times New Roman" w:hAnsi="Times New Roman"/>
        </w:rPr>
        <w:t>30.</w:t>
      </w:r>
      <w:r w:rsidRPr="00AE79AC">
        <w:tab/>
      </w:r>
      <w:r w:rsidRPr="00AE79AC">
        <w:rPr>
          <w:rFonts w:ascii="Times New Roman" w:hAnsi="Times New Roman"/>
        </w:rPr>
        <w:t xml:space="preserve">Równanie, które instytucje stosują zgodnie z </w:t>
      </w:r>
      <w:r w:rsidRPr="002341B6">
        <w:rPr>
          <w:rFonts w:ascii="Times New Roman" w:hAnsi="Times New Roman"/>
        </w:rPr>
        <w:t>pkt</w:t>
      </w:r>
      <w:r w:rsidR="002341B6" w:rsidRPr="002341B6">
        <w:rPr>
          <w:rFonts w:ascii="Times New Roman" w:hAnsi="Times New Roman"/>
        </w:rPr>
        <w:t> </w:t>
      </w:r>
      <w:r w:rsidRPr="002341B6">
        <w:rPr>
          <w:rFonts w:ascii="Times New Roman" w:hAnsi="Times New Roman"/>
        </w:rPr>
        <w:t>2</w:t>
      </w:r>
      <w:r w:rsidRPr="00AE79AC">
        <w:rPr>
          <w:rFonts w:ascii="Times New Roman" w:hAnsi="Times New Roman"/>
        </w:rPr>
        <w:t>9, to: [{LRCalc;010;010} + {LRCalc;020;010} + {LRCalc;030;010} + {LRCalc;040;010} + {LRCalc;050;010} + {LRCalc;060;010} + {LRCalc;070;010} + {LRCalc;080;010} + {LRCalc;090;010} + {LRCalc;100;010} + {LRCalc;110;010} + {LRCalc;120;010} + {LRCalc;130;010} + {LRCalc;140;010} + {LRCalc;150;010} + {LRCalc;160;010} + {LRCalc;170;010} + {LRCalc;180;010} + {LRCalc;190;010} + {LRCalc;200;010} + {LRCalc;210;010} + {LRCalc;220;010} + {LRCalc;230;010} + {LRCalc;240;010} + {LRCalc;250;010} + {LRCalc;260;010}] = [{LR4;010;010} + {LR4;040;010} + {LR4;050;010} + {LR4;060;010} + {LR4;065;010} + {LR4;070;010} + {LR4;080;010} + {LR4;080;020} + {LR4;090;010} + {LR4;090;020} + {LR4;140;010} + {LR4;140;020} + {LR4;180;010} + {LR4;180;020} + {LR4;190;010} + {LR4;190;020} + {LR4;210;010} + {LR4;210;020} + {LR4;230;010} + {LR4;230;020} + {LR4;280;010} + {LR4;280;020} + {LR4;290;010} + {LR4;290;020}].</w:t>
      </w:r>
    </w:p>
    <w:p w:rsidR="00675587" w:rsidRPr="00AE79AC" w:rsidRDefault="00675587" w:rsidP="00675587">
      <w:pPr>
        <w:pStyle w:val="BodyText1"/>
        <w:rPr>
          <w:rFonts w:ascii="Times New Roman" w:hAnsi="Times New Roman"/>
        </w:rPr>
      </w:pPr>
    </w:p>
    <w:tbl>
      <w:tblPr>
        <w:tblW w:w="92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1E0" w:firstRow="1" w:lastRow="1" w:firstColumn="1" w:lastColumn="1" w:noHBand="0" w:noVBand="0"/>
      </w:tblPr>
      <w:tblGrid>
        <w:gridCol w:w="1111"/>
        <w:gridCol w:w="8133"/>
      </w:tblGrid>
      <w:tr w:rsidR="00F4754B" w:rsidRPr="00AE79AC" w:rsidTr="0053335C">
        <w:trPr>
          <w:trHeight w:val="297"/>
        </w:trPr>
        <w:tc>
          <w:tcPr>
            <w:tcW w:w="1111" w:type="dxa"/>
            <w:shd w:val="clear" w:color="auto" w:fill="BFBFBF" w:themeFill="background1" w:themeFillShade="BF"/>
          </w:tcPr>
          <w:p w:rsidR="00F4754B" w:rsidRPr="00AE79AC" w:rsidRDefault="00F4754B" w:rsidP="00F4754B">
            <w:pPr>
              <w:pStyle w:val="BodyText1"/>
              <w:rPr>
                <w:rFonts w:ascii="Times New Roman" w:hAnsi="Times New Roman"/>
                <w:b/>
                <w:bCs/>
                <w:i/>
              </w:rPr>
            </w:pPr>
            <w:r w:rsidRPr="00AE79AC">
              <w:rPr>
                <w:rFonts w:ascii="Times New Roman" w:hAnsi="Times New Roman"/>
                <w:b/>
              </w:rPr>
              <w:t>Wiersz i kolumna</w:t>
            </w:r>
          </w:p>
        </w:tc>
        <w:tc>
          <w:tcPr>
            <w:tcW w:w="8133" w:type="dxa"/>
            <w:shd w:val="clear" w:color="auto" w:fill="BFBFBF" w:themeFill="background1" w:themeFillShade="BF"/>
          </w:tcPr>
          <w:p w:rsidR="00F4754B" w:rsidRPr="00AE79AC" w:rsidRDefault="00F4754B" w:rsidP="00F4754B">
            <w:pPr>
              <w:pStyle w:val="BodyText1"/>
              <w:rPr>
                <w:rFonts w:ascii="Times New Roman" w:hAnsi="Times New Roman"/>
                <w:b/>
                <w:bCs/>
                <w:i/>
              </w:rPr>
            </w:pPr>
            <w:r w:rsidRPr="00AE79AC">
              <w:rPr>
                <w:rFonts w:ascii="Times New Roman" w:hAnsi="Times New Roman"/>
                <w:b/>
              </w:rPr>
              <w:t>Odniesienia prawne i instrukcje</w:t>
            </w:r>
          </w:p>
        </w:tc>
      </w:tr>
      <w:tr w:rsidR="00F4754B" w:rsidRPr="00AE79AC" w:rsidTr="0053335C">
        <w:trPr>
          <w:trHeight w:val="445"/>
        </w:trPr>
        <w:tc>
          <w:tcPr>
            <w:tcW w:w="1111" w:type="dxa"/>
            <w:shd w:val="clear" w:color="auto" w:fill="FFFFFF"/>
          </w:tcPr>
          <w:p w:rsidR="00F4754B" w:rsidRPr="00AE79AC" w:rsidRDefault="00F4754B" w:rsidP="006423CC">
            <w:pPr>
              <w:pStyle w:val="BodyText1"/>
              <w:rPr>
                <w:rFonts w:ascii="Times New Roman" w:hAnsi="Times New Roman"/>
              </w:rPr>
            </w:pPr>
            <w:r w:rsidRPr="00AE79AC">
              <w:rPr>
                <w:rFonts w:ascii="Times New Roman" w:hAnsi="Times New Roman"/>
              </w:rPr>
              <w:t>{010;010}</w:t>
            </w:r>
          </w:p>
        </w:tc>
        <w:tc>
          <w:tcPr>
            <w:tcW w:w="8133" w:type="dxa"/>
            <w:shd w:val="clear" w:color="auto" w:fill="FFFFFF"/>
          </w:tcPr>
          <w:p w:rsidR="00F4754B" w:rsidRPr="00AE79AC" w:rsidRDefault="00F4754B" w:rsidP="007E2A41">
            <w:pPr>
              <w:pStyle w:val="BodyText1"/>
              <w:spacing w:line="240" w:lineRule="auto"/>
              <w:rPr>
                <w:rFonts w:ascii="Times New Roman" w:hAnsi="Times New Roman"/>
                <w:b/>
              </w:rPr>
            </w:pPr>
            <w:r w:rsidRPr="00AE79AC">
              <w:rPr>
                <w:rFonts w:ascii="Times New Roman" w:hAnsi="Times New Roman"/>
                <w:b/>
              </w:rPr>
              <w:t>Pozycje pozabilansowe, w tym – wartość ekspozycji wskaźnika dźwigni</w:t>
            </w:r>
          </w:p>
          <w:p w:rsidR="002509B1" w:rsidRPr="00AE79AC" w:rsidRDefault="002509B1" w:rsidP="007E2A41">
            <w:pPr>
              <w:pStyle w:val="BodyText1"/>
              <w:spacing w:line="240" w:lineRule="auto"/>
              <w:rPr>
                <w:rFonts w:ascii="Times New Roman" w:hAnsi="Times New Roman"/>
                <w:b/>
              </w:rPr>
            </w:pPr>
          </w:p>
          <w:p w:rsidR="00F4754B" w:rsidRPr="00AE79AC" w:rsidRDefault="00F4754B" w:rsidP="007E2A41">
            <w:pPr>
              <w:pStyle w:val="BodyText1"/>
              <w:spacing w:line="240" w:lineRule="auto"/>
              <w:rPr>
                <w:rFonts w:ascii="Times New Roman" w:hAnsi="Times New Roman"/>
                <w:bCs/>
              </w:rPr>
            </w:pPr>
            <w:r w:rsidRPr="00AE79AC">
              <w:rPr>
                <w:rFonts w:ascii="Times New Roman" w:hAnsi="Times New Roman"/>
              </w:rPr>
              <w:t>Wartość ekspozycji wskaźnika dźwigni obliczana jako suma {LRCalc;150;010}, {LRCalc;160;010}, {LRCalc;170;010} i {LRCalc;180;010}, z wyłączeniem odpowiednich ekspozycji wewnątrzgrupowych (na zasadzie nieskonsolidowanej) wyłączonych zgodnie z art. 429 ust. 7 CRR.</w:t>
            </w:r>
          </w:p>
          <w:p w:rsidR="002509B1" w:rsidRPr="00AE79AC" w:rsidRDefault="002509B1" w:rsidP="007E2A41">
            <w:pPr>
              <w:pStyle w:val="BodyText1"/>
              <w:spacing w:line="240" w:lineRule="auto"/>
              <w:rPr>
                <w:rFonts w:ascii="Times New Roman" w:hAnsi="Times New Roman"/>
                <w:bCs/>
              </w:rPr>
            </w:pPr>
          </w:p>
        </w:tc>
      </w:tr>
      <w:tr w:rsidR="00F4754B" w:rsidRPr="00AE79AC" w:rsidTr="0053335C">
        <w:trPr>
          <w:trHeight w:val="1179"/>
        </w:trPr>
        <w:tc>
          <w:tcPr>
            <w:tcW w:w="1111" w:type="dxa"/>
            <w:shd w:val="clear" w:color="auto" w:fill="FFFFFF"/>
          </w:tcPr>
          <w:p w:rsidR="00F4754B" w:rsidRPr="00AE79AC" w:rsidRDefault="00F4754B" w:rsidP="006423CC">
            <w:pPr>
              <w:pStyle w:val="BodyText1"/>
              <w:rPr>
                <w:rFonts w:ascii="Times New Roman" w:hAnsi="Times New Roman"/>
              </w:rPr>
            </w:pPr>
            <w:r w:rsidRPr="00AE79AC">
              <w:rPr>
                <w:rFonts w:ascii="Times New Roman" w:hAnsi="Times New Roman"/>
              </w:rPr>
              <w:t>{010;020}</w:t>
            </w:r>
          </w:p>
        </w:tc>
        <w:tc>
          <w:tcPr>
            <w:tcW w:w="8133" w:type="dxa"/>
            <w:shd w:val="clear" w:color="auto" w:fill="FFFFFF"/>
          </w:tcPr>
          <w:p w:rsidR="00F4754B" w:rsidRPr="00AE79AC" w:rsidRDefault="00F4754B" w:rsidP="007E2A41">
            <w:pPr>
              <w:pStyle w:val="BodyText1"/>
              <w:spacing w:line="240" w:lineRule="auto"/>
              <w:rPr>
                <w:rFonts w:ascii="Times New Roman" w:hAnsi="Times New Roman"/>
                <w:b/>
              </w:rPr>
            </w:pPr>
            <w:r w:rsidRPr="00AE79AC">
              <w:rPr>
                <w:rFonts w:ascii="Times New Roman" w:hAnsi="Times New Roman"/>
                <w:b/>
              </w:rPr>
              <w:t>Pozycje pozabilansowe, w tym – aktywa ważone ryzykiem</w:t>
            </w:r>
          </w:p>
          <w:p w:rsidR="002509B1" w:rsidRPr="00AE79AC" w:rsidRDefault="002509B1" w:rsidP="007E2A41">
            <w:pPr>
              <w:pStyle w:val="BodyText1"/>
              <w:spacing w:line="240" w:lineRule="auto"/>
              <w:rPr>
                <w:rFonts w:ascii="Times New Roman" w:hAnsi="Times New Roman"/>
                <w:b/>
              </w:rPr>
            </w:pPr>
          </w:p>
          <w:p w:rsidR="00F4754B" w:rsidRPr="00AE79AC" w:rsidRDefault="00F4754B" w:rsidP="007E2A41">
            <w:pPr>
              <w:pStyle w:val="BodyText1"/>
              <w:spacing w:line="240" w:lineRule="auto"/>
              <w:rPr>
                <w:rFonts w:ascii="Times New Roman" w:hAnsi="Times New Roman"/>
                <w:bCs/>
              </w:rPr>
            </w:pPr>
            <w:r w:rsidRPr="00AE79AC">
              <w:rPr>
                <w:rFonts w:ascii="Times New Roman" w:hAnsi="Times New Roman"/>
              </w:rPr>
              <w:t>Kwota ekspozycji ważonej ryzykiem dla pozycji pozabilansowych – z wyłączeniem SFT – zgodnie z metodą standardową i metodą IRB. W przypadku ekspozycji, w odniesieniu do których stosuje się metodę standardową, instytucje określają kwotę ekspozycji ważonej ryzykiem zgodnie z częścią trzecią tytuł II rozdział 2 CRR. W przypadku ekspozycji, w odniesieniu do których stosuje się metodę IRB, instytucje określają kwotę ekspozycji ważonej ryzykiem zgodnie z częścią trzecią tytuł II rozdział 3 CRR.</w:t>
            </w:r>
          </w:p>
          <w:p w:rsidR="002509B1" w:rsidRPr="00AE79AC" w:rsidRDefault="002509B1" w:rsidP="007E2A41">
            <w:pPr>
              <w:pStyle w:val="BodyText1"/>
              <w:spacing w:line="240" w:lineRule="auto"/>
              <w:rPr>
                <w:rFonts w:ascii="Times New Roman" w:hAnsi="Times New Roman"/>
                <w:b/>
                <w:bCs/>
                <w:u w:val="single"/>
              </w:rPr>
            </w:pPr>
          </w:p>
        </w:tc>
      </w:tr>
      <w:tr w:rsidR="00F4754B" w:rsidRPr="00AE79AC" w:rsidTr="0053335C">
        <w:trPr>
          <w:trHeight w:val="741"/>
        </w:trPr>
        <w:tc>
          <w:tcPr>
            <w:tcW w:w="1111" w:type="dxa"/>
            <w:shd w:val="clear" w:color="auto" w:fill="FFFFFF"/>
          </w:tcPr>
          <w:p w:rsidR="00F4754B" w:rsidRPr="00AE79AC" w:rsidRDefault="00F4754B" w:rsidP="006423CC">
            <w:pPr>
              <w:pStyle w:val="BodyText1"/>
              <w:rPr>
                <w:rFonts w:ascii="Times New Roman" w:hAnsi="Times New Roman"/>
              </w:rPr>
            </w:pPr>
            <w:r w:rsidRPr="00AE79AC">
              <w:rPr>
                <w:rFonts w:ascii="Times New Roman" w:hAnsi="Times New Roman"/>
              </w:rPr>
              <w:t>{020;010}</w:t>
            </w:r>
          </w:p>
        </w:tc>
        <w:tc>
          <w:tcPr>
            <w:tcW w:w="8133" w:type="dxa"/>
            <w:shd w:val="clear" w:color="auto" w:fill="FFFFFF"/>
          </w:tcPr>
          <w:p w:rsidR="00F4754B" w:rsidRPr="00AE79AC" w:rsidRDefault="00F4754B" w:rsidP="007E2A41">
            <w:pPr>
              <w:pStyle w:val="BodyText1"/>
              <w:spacing w:line="240" w:lineRule="auto"/>
              <w:rPr>
                <w:rFonts w:ascii="Times New Roman" w:hAnsi="Times New Roman"/>
                <w:b/>
                <w:bCs/>
              </w:rPr>
            </w:pPr>
            <w:r w:rsidRPr="00AE79AC">
              <w:rPr>
                <w:rFonts w:ascii="Times New Roman" w:hAnsi="Times New Roman"/>
                <w:b/>
              </w:rPr>
              <w:t>Finansowanie handlu, w tym – wartość ekspozycji wskaźnika dźwigni</w:t>
            </w:r>
          </w:p>
          <w:p w:rsidR="002509B1" w:rsidRPr="00AE79AC" w:rsidRDefault="002509B1" w:rsidP="007E2A41">
            <w:pPr>
              <w:pStyle w:val="BodyText1"/>
              <w:spacing w:line="240" w:lineRule="auto"/>
              <w:rPr>
                <w:rFonts w:ascii="Times New Roman" w:hAnsi="Times New Roman"/>
                <w:b/>
                <w:bCs/>
              </w:rPr>
            </w:pPr>
          </w:p>
          <w:p w:rsidR="00F4754B" w:rsidRPr="00AE79AC" w:rsidRDefault="00F4754B" w:rsidP="007E2A41">
            <w:pPr>
              <w:pStyle w:val="BodyText1"/>
              <w:spacing w:line="240" w:lineRule="auto"/>
              <w:rPr>
                <w:rFonts w:ascii="Times New Roman" w:hAnsi="Times New Roman"/>
                <w:bCs/>
              </w:rPr>
            </w:pPr>
            <w:r w:rsidRPr="00AE79AC">
              <w:rPr>
                <w:rFonts w:ascii="Times New Roman" w:hAnsi="Times New Roman"/>
              </w:rPr>
              <w:t>Wartość ekspozycji wskaźnika dźwigni dla pozycji pozabilansowych związanych z</w:t>
            </w:r>
            <w:r w:rsidR="00AA326F">
              <w:rPr>
                <w:rFonts w:ascii="Times New Roman" w:hAnsi="Times New Roman"/>
              </w:rPr>
              <w:t> </w:t>
            </w:r>
            <w:r w:rsidRPr="00AE79AC">
              <w:rPr>
                <w:rFonts w:ascii="Times New Roman" w:hAnsi="Times New Roman"/>
              </w:rPr>
              <w:t>finansowaniem handlu. Na potrzeby sprawozdawczości we wzorze LR4 pozycje pozabilansowe związane z finansowaniem handlu dotyczą otwartych i potwierdzonych importowych i</w:t>
            </w:r>
            <w:r w:rsidR="00AA326F">
              <w:rPr>
                <w:rFonts w:ascii="Times New Roman" w:hAnsi="Times New Roman"/>
              </w:rPr>
              <w:t> </w:t>
            </w:r>
            <w:r w:rsidRPr="00AE79AC">
              <w:rPr>
                <w:rFonts w:ascii="Times New Roman" w:hAnsi="Times New Roman"/>
              </w:rPr>
              <w:t>eksportowych akredytyw krótkoterminowych, wygasających z chwilą realizacji transakcji, a</w:t>
            </w:r>
            <w:r w:rsidR="00AA326F">
              <w:rPr>
                <w:rFonts w:ascii="Times New Roman" w:hAnsi="Times New Roman"/>
              </w:rPr>
              <w:t> </w:t>
            </w:r>
            <w:r w:rsidRPr="00AE79AC">
              <w:rPr>
                <w:rFonts w:ascii="Times New Roman" w:hAnsi="Times New Roman"/>
              </w:rPr>
              <w:t>także podobnych transakcji.</w:t>
            </w:r>
          </w:p>
          <w:p w:rsidR="002509B1" w:rsidRPr="00AE79AC" w:rsidRDefault="002509B1" w:rsidP="007E2A41">
            <w:pPr>
              <w:pStyle w:val="BodyText1"/>
              <w:spacing w:line="240" w:lineRule="auto"/>
              <w:rPr>
                <w:rFonts w:ascii="Times New Roman" w:hAnsi="Times New Roman"/>
                <w:bCs/>
              </w:rPr>
            </w:pPr>
          </w:p>
        </w:tc>
      </w:tr>
      <w:tr w:rsidR="00F4754B" w:rsidRPr="00AE79AC" w:rsidTr="0053335C">
        <w:trPr>
          <w:trHeight w:val="1038"/>
        </w:trPr>
        <w:tc>
          <w:tcPr>
            <w:tcW w:w="1111" w:type="dxa"/>
            <w:shd w:val="clear" w:color="auto" w:fill="FFFFFF"/>
          </w:tcPr>
          <w:p w:rsidR="00F4754B" w:rsidRPr="00AE79AC" w:rsidRDefault="00F4754B" w:rsidP="006423CC">
            <w:pPr>
              <w:pStyle w:val="BodyText1"/>
              <w:rPr>
                <w:rFonts w:ascii="Times New Roman" w:hAnsi="Times New Roman"/>
              </w:rPr>
            </w:pPr>
            <w:r w:rsidRPr="00AE79AC">
              <w:rPr>
                <w:rFonts w:ascii="Times New Roman" w:hAnsi="Times New Roman"/>
              </w:rPr>
              <w:t>{020;020}</w:t>
            </w:r>
          </w:p>
        </w:tc>
        <w:tc>
          <w:tcPr>
            <w:tcW w:w="8133" w:type="dxa"/>
            <w:shd w:val="clear" w:color="auto" w:fill="FFFFFF"/>
          </w:tcPr>
          <w:p w:rsidR="00F4754B" w:rsidRPr="00AE79AC" w:rsidRDefault="00F4754B" w:rsidP="007E2A41">
            <w:pPr>
              <w:pStyle w:val="BodyText1"/>
              <w:spacing w:line="240" w:lineRule="auto"/>
              <w:rPr>
                <w:rFonts w:ascii="Times New Roman" w:hAnsi="Times New Roman"/>
                <w:b/>
                <w:bCs/>
              </w:rPr>
            </w:pPr>
            <w:r w:rsidRPr="00AE79AC">
              <w:rPr>
                <w:rFonts w:ascii="Times New Roman" w:hAnsi="Times New Roman"/>
                <w:b/>
              </w:rPr>
              <w:t xml:space="preserve">Finansowanie handlu, w tym – aktywa ważone ryzykiem </w:t>
            </w:r>
          </w:p>
          <w:p w:rsidR="002509B1" w:rsidRPr="00AE79AC" w:rsidRDefault="002509B1" w:rsidP="007E2A41">
            <w:pPr>
              <w:pStyle w:val="BodyText1"/>
              <w:spacing w:line="240" w:lineRule="auto"/>
              <w:rPr>
                <w:rFonts w:ascii="Times New Roman" w:hAnsi="Times New Roman"/>
                <w:b/>
                <w:bCs/>
              </w:rPr>
            </w:pPr>
          </w:p>
          <w:p w:rsidR="00F4754B" w:rsidRPr="00AE79AC" w:rsidRDefault="00F4754B" w:rsidP="007E2A41">
            <w:pPr>
              <w:pStyle w:val="BodyText1"/>
              <w:spacing w:line="240" w:lineRule="auto"/>
              <w:rPr>
                <w:rFonts w:ascii="Times New Roman" w:hAnsi="Times New Roman"/>
                <w:bCs/>
              </w:rPr>
            </w:pPr>
            <w:r w:rsidRPr="00AE79AC">
              <w:rPr>
                <w:rFonts w:ascii="Times New Roman" w:hAnsi="Times New Roman"/>
              </w:rPr>
              <w:t>Wartość ekspozycji ważonej ryzykiem dla pozycji pozabilansowych – z wyłączeniem SFT i</w:t>
            </w:r>
            <w:r w:rsidR="00AA326F">
              <w:rPr>
                <w:rFonts w:ascii="Times New Roman" w:hAnsi="Times New Roman"/>
              </w:rPr>
              <w:t> </w:t>
            </w:r>
            <w:r w:rsidRPr="00AE79AC">
              <w:rPr>
                <w:rFonts w:ascii="Times New Roman" w:hAnsi="Times New Roman"/>
              </w:rPr>
              <w:t>instrumentów pochodnych – związanych z finansowaniem handlu. Na potrzeby sprawozdawczości we wzorze LR4 pozycje pozabilansowe związane z finansowaniem handlu dotyczą otwartych i potwierdzonych importowych i eksportowych akredytyw krótkoterminowych, wygasających z chwilą realizacji transakcji, a także podobnych transakcji.</w:t>
            </w:r>
          </w:p>
          <w:p w:rsidR="002509B1" w:rsidRPr="00AE79AC" w:rsidRDefault="002509B1" w:rsidP="007E2A41">
            <w:pPr>
              <w:pStyle w:val="BodyText1"/>
              <w:spacing w:line="240" w:lineRule="auto"/>
              <w:rPr>
                <w:rFonts w:ascii="Times New Roman" w:hAnsi="Times New Roman"/>
                <w:b/>
                <w:bCs/>
                <w:u w:val="single"/>
              </w:rPr>
            </w:pPr>
          </w:p>
        </w:tc>
      </w:tr>
      <w:tr w:rsidR="00F4754B" w:rsidRPr="00AE79AC" w:rsidTr="0053335C">
        <w:trPr>
          <w:trHeight w:val="1030"/>
        </w:trPr>
        <w:tc>
          <w:tcPr>
            <w:tcW w:w="1111" w:type="dxa"/>
            <w:shd w:val="clear" w:color="auto" w:fill="FFFFFF"/>
          </w:tcPr>
          <w:p w:rsidR="00F4754B" w:rsidRPr="00AE79AC" w:rsidRDefault="00F4754B" w:rsidP="00F4754B">
            <w:pPr>
              <w:pStyle w:val="BodyText1"/>
              <w:rPr>
                <w:rFonts w:ascii="Times New Roman" w:hAnsi="Times New Roman"/>
                <w:bCs/>
              </w:rPr>
            </w:pPr>
            <w:r w:rsidRPr="00AE79AC">
              <w:rPr>
                <w:rFonts w:ascii="Times New Roman" w:hAnsi="Times New Roman"/>
              </w:rPr>
              <w:t>{030;010}</w:t>
            </w:r>
          </w:p>
        </w:tc>
        <w:tc>
          <w:tcPr>
            <w:tcW w:w="8133" w:type="dxa"/>
            <w:shd w:val="clear" w:color="auto" w:fill="FFFFFF"/>
          </w:tcPr>
          <w:p w:rsidR="00F4754B" w:rsidRPr="00AE79AC" w:rsidRDefault="00F4754B" w:rsidP="007E2A41">
            <w:pPr>
              <w:pStyle w:val="BodyText1"/>
              <w:spacing w:line="240" w:lineRule="auto"/>
              <w:rPr>
                <w:rFonts w:ascii="Times New Roman" w:hAnsi="Times New Roman"/>
                <w:b/>
                <w:bCs/>
              </w:rPr>
            </w:pPr>
            <w:r w:rsidRPr="00AE79AC">
              <w:rPr>
                <w:rFonts w:ascii="Times New Roman" w:hAnsi="Times New Roman"/>
                <w:b/>
              </w:rPr>
              <w:t>W ramach urzędowego programu ubezpieczenia kredytów eksportowych – wartość ekspozycji wskaźnika dźwigni</w:t>
            </w:r>
          </w:p>
          <w:p w:rsidR="002509B1" w:rsidRPr="00AE79AC" w:rsidRDefault="002509B1" w:rsidP="007E2A41">
            <w:pPr>
              <w:pStyle w:val="BodyText1"/>
              <w:spacing w:line="240" w:lineRule="auto"/>
              <w:rPr>
                <w:rFonts w:ascii="Times New Roman" w:hAnsi="Times New Roman"/>
                <w:b/>
                <w:bCs/>
              </w:rPr>
            </w:pPr>
          </w:p>
          <w:p w:rsidR="001F28E7" w:rsidRPr="00AE79AC" w:rsidRDefault="00F4754B" w:rsidP="007E2A41">
            <w:pPr>
              <w:pStyle w:val="BodyText1"/>
              <w:spacing w:line="240" w:lineRule="auto"/>
              <w:rPr>
                <w:rFonts w:ascii="Times New Roman" w:hAnsi="Times New Roman"/>
              </w:rPr>
            </w:pPr>
            <w:r w:rsidRPr="00AE79AC">
              <w:rPr>
                <w:rFonts w:ascii="Times New Roman" w:hAnsi="Times New Roman"/>
              </w:rPr>
              <w:t>Wartość ekspozycji wskaźnika dźwigni dla pozycji pozabilansowych związanych z</w:t>
            </w:r>
            <w:r w:rsidR="00AA326F">
              <w:rPr>
                <w:rFonts w:ascii="Times New Roman" w:hAnsi="Times New Roman"/>
              </w:rPr>
              <w:t> </w:t>
            </w:r>
            <w:r w:rsidRPr="00AE79AC">
              <w:rPr>
                <w:rFonts w:ascii="Times New Roman" w:hAnsi="Times New Roman"/>
              </w:rPr>
              <w:t>finansowaniem handlu w ramach urzędowego programu ubezpieczenia kredytów eksportowych.</w:t>
            </w:r>
          </w:p>
          <w:p w:rsidR="001F28E7" w:rsidRPr="00AE79AC" w:rsidRDefault="001F28E7" w:rsidP="007E2A41">
            <w:pPr>
              <w:pStyle w:val="BodyText1"/>
              <w:spacing w:line="240" w:lineRule="auto"/>
              <w:rPr>
                <w:rFonts w:ascii="Times New Roman" w:hAnsi="Times New Roman"/>
              </w:rPr>
            </w:pPr>
          </w:p>
          <w:p w:rsidR="00F4754B" w:rsidRPr="00AE79AC" w:rsidRDefault="00F4754B" w:rsidP="007E2A41">
            <w:pPr>
              <w:pStyle w:val="BodyText1"/>
              <w:spacing w:line="240" w:lineRule="auto"/>
              <w:rPr>
                <w:rFonts w:ascii="Times New Roman" w:hAnsi="Times New Roman"/>
              </w:rPr>
            </w:pPr>
            <w:r w:rsidRPr="00AE79AC">
              <w:rPr>
                <w:rFonts w:ascii="Times New Roman" w:hAnsi="Times New Roman"/>
              </w:rPr>
              <w:t>Na potrzeby sprawozdawczości we wzorze LR4 urzędowy program ubezpieczenia kredytów eksportowych dotyczy oficjalnego wsparcia udzielanego przez rząd lub inny podmiot, taki jak agencja kredytów eksportowych, w postaci m.in. kredytów bezpośrednich/finansowania bezpośredniego, refinansowania, subsydiowania stopy procentowej (w przypadku którego gwarantuje się stałe oprocentowanie przez okres kredytu), finansowania pomocy (kredyty i</w:t>
            </w:r>
            <w:r w:rsidR="00AA326F">
              <w:rPr>
                <w:rFonts w:ascii="Times New Roman" w:hAnsi="Times New Roman"/>
              </w:rPr>
              <w:t> </w:t>
            </w:r>
            <w:r w:rsidRPr="00AE79AC">
              <w:rPr>
                <w:rFonts w:ascii="Times New Roman" w:hAnsi="Times New Roman"/>
              </w:rPr>
              <w:t xml:space="preserve">dotacje), ubezpieczenia i gwarancji kredytu eksportowego. </w:t>
            </w:r>
          </w:p>
          <w:p w:rsidR="002509B1" w:rsidRPr="00AE79AC" w:rsidRDefault="002509B1" w:rsidP="007E2A41">
            <w:pPr>
              <w:pStyle w:val="BodyText1"/>
              <w:spacing w:line="240" w:lineRule="auto"/>
              <w:rPr>
                <w:rFonts w:ascii="Times New Roman" w:hAnsi="Times New Roman"/>
                <w:b/>
                <w:bCs/>
                <w:u w:val="single"/>
              </w:rPr>
            </w:pPr>
          </w:p>
        </w:tc>
      </w:tr>
      <w:tr w:rsidR="00F4754B" w:rsidRPr="00AE79AC" w:rsidTr="0053335C">
        <w:trPr>
          <w:trHeight w:val="601"/>
        </w:trPr>
        <w:tc>
          <w:tcPr>
            <w:tcW w:w="1111" w:type="dxa"/>
            <w:shd w:val="clear" w:color="auto" w:fill="FFFFFF"/>
          </w:tcPr>
          <w:p w:rsidR="00F4754B" w:rsidRPr="00AE79AC" w:rsidRDefault="00F4754B" w:rsidP="00F4754B">
            <w:pPr>
              <w:pStyle w:val="BodyText1"/>
              <w:rPr>
                <w:rFonts w:ascii="Times New Roman" w:hAnsi="Times New Roman"/>
                <w:bCs/>
              </w:rPr>
            </w:pPr>
            <w:r w:rsidRPr="00AE79AC">
              <w:rPr>
                <w:rFonts w:ascii="Times New Roman" w:hAnsi="Times New Roman"/>
              </w:rPr>
              <w:t>{030;020}</w:t>
            </w:r>
          </w:p>
        </w:tc>
        <w:tc>
          <w:tcPr>
            <w:tcW w:w="8133" w:type="dxa"/>
            <w:shd w:val="clear" w:color="auto" w:fill="FFFFFF"/>
          </w:tcPr>
          <w:p w:rsidR="00F4754B" w:rsidRPr="00AE79AC" w:rsidRDefault="00F4754B" w:rsidP="007E2A41">
            <w:pPr>
              <w:pStyle w:val="BodyText1"/>
              <w:spacing w:line="240" w:lineRule="auto"/>
              <w:rPr>
                <w:rFonts w:ascii="Times New Roman" w:hAnsi="Times New Roman"/>
                <w:b/>
                <w:bCs/>
              </w:rPr>
            </w:pPr>
            <w:r w:rsidRPr="00AE79AC">
              <w:rPr>
                <w:rFonts w:ascii="Times New Roman" w:hAnsi="Times New Roman"/>
                <w:b/>
              </w:rPr>
              <w:t>W ramach urzędowego programu ubezpieczenia kredytów eksportowych – aktywa ważone ryzykiem</w:t>
            </w:r>
          </w:p>
          <w:p w:rsidR="002509B1" w:rsidRPr="00AE79AC" w:rsidRDefault="002509B1" w:rsidP="007E2A41">
            <w:pPr>
              <w:pStyle w:val="BodyText1"/>
              <w:spacing w:line="240" w:lineRule="auto"/>
              <w:rPr>
                <w:rFonts w:ascii="Times New Roman" w:hAnsi="Times New Roman"/>
                <w:b/>
                <w:bCs/>
              </w:rPr>
            </w:pPr>
          </w:p>
          <w:p w:rsidR="001F28E7" w:rsidRPr="00AE79AC" w:rsidRDefault="00F4754B" w:rsidP="007E2A41">
            <w:pPr>
              <w:pStyle w:val="BodyText1"/>
              <w:spacing w:line="240" w:lineRule="auto"/>
              <w:rPr>
                <w:rFonts w:ascii="Times New Roman" w:hAnsi="Times New Roman"/>
              </w:rPr>
            </w:pPr>
            <w:r w:rsidRPr="00AE79AC">
              <w:rPr>
                <w:rFonts w:ascii="Times New Roman" w:hAnsi="Times New Roman"/>
              </w:rPr>
              <w:t>Wartość ekspozycji ważonej ryzykiem dla pozycji pozabilansowych – z wyłączeniem SFT i</w:t>
            </w:r>
            <w:r w:rsidR="00AA326F">
              <w:rPr>
                <w:rFonts w:ascii="Times New Roman" w:hAnsi="Times New Roman"/>
              </w:rPr>
              <w:t> </w:t>
            </w:r>
            <w:r w:rsidRPr="00AE79AC">
              <w:rPr>
                <w:rFonts w:ascii="Times New Roman" w:hAnsi="Times New Roman"/>
              </w:rPr>
              <w:t>instrumentów pochodnych – związanych z finansowaniem handlu w ramach urzędowego programu ubezpieczenia kredytów eksportowych.</w:t>
            </w:r>
          </w:p>
          <w:p w:rsidR="001F28E7" w:rsidRPr="00AE79AC" w:rsidRDefault="001F28E7" w:rsidP="007E2A41">
            <w:pPr>
              <w:pStyle w:val="BodyText1"/>
              <w:spacing w:line="240" w:lineRule="auto"/>
              <w:rPr>
                <w:rFonts w:ascii="Times New Roman" w:hAnsi="Times New Roman"/>
              </w:rPr>
            </w:pPr>
          </w:p>
          <w:p w:rsidR="00F4754B" w:rsidRPr="00AE79AC" w:rsidRDefault="00F4754B" w:rsidP="007E2A41">
            <w:pPr>
              <w:pStyle w:val="BodyText1"/>
              <w:spacing w:line="240" w:lineRule="auto"/>
              <w:rPr>
                <w:rFonts w:ascii="Times New Roman" w:hAnsi="Times New Roman"/>
              </w:rPr>
            </w:pPr>
            <w:r w:rsidRPr="00AE79AC">
              <w:rPr>
                <w:rFonts w:ascii="Times New Roman" w:hAnsi="Times New Roman"/>
              </w:rPr>
              <w:t>Na potrzeby sprawozdawczości we wzorze LR4 urzędowy program ubezpieczenia kredytów eksportowych dotyczy oficjalnego wsparcia udzielanego przez rząd lub inny podmiot, taki jak agencja kredytów eksportowych, w postaci m.in. kredytów bezpośrednich/finansowania bezpośredniego, refinansowania, subsydiowania stopy procentowej (w przypadku którego gwarantuje się stałe oprocentowanie przez okres kredytu), finansowania pomocy (kredyty i</w:t>
            </w:r>
            <w:r w:rsidR="00AA326F">
              <w:rPr>
                <w:rFonts w:ascii="Times New Roman" w:hAnsi="Times New Roman"/>
              </w:rPr>
              <w:t> </w:t>
            </w:r>
            <w:r w:rsidRPr="00AE79AC">
              <w:rPr>
                <w:rFonts w:ascii="Times New Roman" w:hAnsi="Times New Roman"/>
              </w:rPr>
              <w:t xml:space="preserve">dotacje), ubezpieczenia i gwarancji kredytu eksportowego. </w:t>
            </w:r>
          </w:p>
          <w:p w:rsidR="002509B1" w:rsidRPr="00AE79AC" w:rsidRDefault="002509B1" w:rsidP="007E2A41">
            <w:pPr>
              <w:pStyle w:val="BodyText1"/>
              <w:spacing w:line="240" w:lineRule="auto"/>
              <w:rPr>
                <w:rFonts w:ascii="Times New Roman" w:hAnsi="Times New Roman"/>
                <w:b/>
                <w:bCs/>
                <w:u w:val="single"/>
              </w:rPr>
            </w:pPr>
          </w:p>
        </w:tc>
      </w:tr>
      <w:tr w:rsidR="00F4754B" w:rsidRPr="00AE79AC" w:rsidTr="0053335C">
        <w:trPr>
          <w:trHeight w:val="71"/>
        </w:trPr>
        <w:tc>
          <w:tcPr>
            <w:tcW w:w="1111" w:type="dxa"/>
            <w:shd w:val="clear" w:color="auto" w:fill="FFFFFF"/>
          </w:tcPr>
          <w:p w:rsidR="00F4754B" w:rsidRPr="00AE79AC" w:rsidRDefault="00F4754B" w:rsidP="006423CC">
            <w:pPr>
              <w:pStyle w:val="BodyText1"/>
              <w:rPr>
                <w:rFonts w:ascii="Times New Roman" w:hAnsi="Times New Roman"/>
              </w:rPr>
            </w:pPr>
            <w:r w:rsidRPr="00AE79AC">
              <w:rPr>
                <w:rFonts w:ascii="Times New Roman" w:hAnsi="Times New Roman"/>
              </w:rPr>
              <w:t>{040;010}</w:t>
            </w:r>
          </w:p>
        </w:tc>
        <w:tc>
          <w:tcPr>
            <w:tcW w:w="8133" w:type="dxa"/>
            <w:shd w:val="clear" w:color="auto" w:fill="FFFFFF"/>
          </w:tcPr>
          <w:p w:rsidR="00F4754B" w:rsidRPr="00AE79AC" w:rsidRDefault="00F4754B" w:rsidP="007E2A41">
            <w:pPr>
              <w:pStyle w:val="BodyText1"/>
              <w:spacing w:line="240" w:lineRule="auto"/>
              <w:rPr>
                <w:rFonts w:ascii="Times New Roman" w:hAnsi="Times New Roman"/>
                <w:b/>
                <w:bCs/>
              </w:rPr>
            </w:pPr>
            <w:r w:rsidRPr="00AE79AC">
              <w:rPr>
                <w:rFonts w:ascii="Times New Roman" w:hAnsi="Times New Roman"/>
                <w:b/>
              </w:rPr>
              <w:t>Instrumenty pochodne i SFT objęte umową o kompensowaniu międzyproduktowym – wartość ekspozycji wskaźnika dźwigni</w:t>
            </w:r>
          </w:p>
          <w:p w:rsidR="002509B1" w:rsidRPr="00AE79AC" w:rsidRDefault="002509B1" w:rsidP="007E2A41">
            <w:pPr>
              <w:pStyle w:val="BodyText1"/>
              <w:spacing w:line="240" w:lineRule="auto"/>
              <w:rPr>
                <w:rFonts w:ascii="Times New Roman" w:hAnsi="Times New Roman"/>
                <w:b/>
                <w:bCs/>
              </w:rPr>
            </w:pPr>
          </w:p>
          <w:p w:rsidR="00F4754B" w:rsidRPr="00AE79AC" w:rsidRDefault="00F4754B" w:rsidP="007E2A41">
            <w:pPr>
              <w:pStyle w:val="BodyText1"/>
              <w:spacing w:line="240" w:lineRule="auto"/>
              <w:rPr>
                <w:rFonts w:ascii="Times New Roman" w:hAnsi="Times New Roman"/>
                <w:bCs/>
              </w:rPr>
            </w:pPr>
            <w:r w:rsidRPr="00AE79AC">
              <w:rPr>
                <w:rFonts w:ascii="Times New Roman" w:hAnsi="Times New Roman"/>
              </w:rPr>
              <w:t xml:space="preserve">Wartość ekspozycji wskaźnika dźwigni dla instrumentów pochodnych i SFT, jeżeli są one objęte umową o kompensowaniu międzyproduktowym zdefiniowaną w art. 272 </w:t>
            </w:r>
            <w:r w:rsidRPr="002341B6">
              <w:rPr>
                <w:rFonts w:ascii="Times New Roman" w:hAnsi="Times New Roman"/>
              </w:rPr>
              <w:t>pkt</w:t>
            </w:r>
            <w:r w:rsidR="002341B6" w:rsidRPr="002341B6">
              <w:rPr>
                <w:rFonts w:ascii="Times New Roman" w:hAnsi="Times New Roman"/>
              </w:rPr>
              <w:t> </w:t>
            </w:r>
            <w:r w:rsidRPr="002341B6">
              <w:rPr>
                <w:rFonts w:ascii="Times New Roman" w:hAnsi="Times New Roman"/>
              </w:rPr>
              <w:t>2</w:t>
            </w:r>
            <w:r w:rsidRPr="00AE79AC">
              <w:rPr>
                <w:rFonts w:ascii="Times New Roman" w:hAnsi="Times New Roman"/>
              </w:rPr>
              <w:t>5 CRR.</w:t>
            </w:r>
          </w:p>
          <w:p w:rsidR="002509B1" w:rsidRPr="00AE79AC" w:rsidRDefault="002509B1" w:rsidP="007E2A41">
            <w:pPr>
              <w:pStyle w:val="BodyText1"/>
              <w:spacing w:line="240" w:lineRule="auto"/>
              <w:rPr>
                <w:rFonts w:ascii="Times New Roman" w:hAnsi="Times New Roman"/>
                <w:b/>
                <w:bCs/>
                <w:u w:val="single"/>
              </w:rPr>
            </w:pPr>
          </w:p>
        </w:tc>
      </w:tr>
      <w:tr w:rsidR="00F4754B" w:rsidRPr="00AE79AC" w:rsidTr="0053335C">
        <w:trPr>
          <w:trHeight w:val="71"/>
        </w:trPr>
        <w:tc>
          <w:tcPr>
            <w:tcW w:w="1111" w:type="dxa"/>
            <w:shd w:val="clear" w:color="auto" w:fill="FFFFFF"/>
          </w:tcPr>
          <w:p w:rsidR="00F4754B" w:rsidRPr="00AE79AC" w:rsidRDefault="00F4754B" w:rsidP="00F4754B">
            <w:pPr>
              <w:pStyle w:val="BodyText1"/>
              <w:rPr>
                <w:rFonts w:ascii="Times New Roman" w:hAnsi="Times New Roman"/>
              </w:rPr>
            </w:pPr>
            <w:r w:rsidRPr="00AE79AC">
              <w:rPr>
                <w:rFonts w:ascii="Times New Roman" w:hAnsi="Times New Roman"/>
              </w:rPr>
              <w:t>{040;020}</w:t>
            </w:r>
          </w:p>
        </w:tc>
        <w:tc>
          <w:tcPr>
            <w:tcW w:w="8133" w:type="dxa"/>
            <w:shd w:val="clear" w:color="auto" w:fill="FFFFFF"/>
          </w:tcPr>
          <w:p w:rsidR="00F4754B" w:rsidRPr="00AE79AC" w:rsidRDefault="00F4754B" w:rsidP="007E2A41">
            <w:pPr>
              <w:pStyle w:val="BodyText1"/>
              <w:spacing w:line="240" w:lineRule="auto"/>
              <w:rPr>
                <w:rFonts w:ascii="Times New Roman" w:hAnsi="Times New Roman"/>
                <w:b/>
                <w:bCs/>
              </w:rPr>
            </w:pPr>
            <w:r w:rsidRPr="00AE79AC">
              <w:rPr>
                <w:rFonts w:ascii="Times New Roman" w:hAnsi="Times New Roman"/>
                <w:b/>
              </w:rPr>
              <w:t>Instrumenty pochodne i SFT objęte umową o kompensowaniu międzyproduktowym – aktywa ważone ryzykiem</w:t>
            </w:r>
          </w:p>
          <w:p w:rsidR="002509B1" w:rsidRPr="00AE79AC" w:rsidRDefault="002509B1" w:rsidP="007E2A41">
            <w:pPr>
              <w:pStyle w:val="BodyText1"/>
              <w:spacing w:line="240" w:lineRule="auto"/>
              <w:rPr>
                <w:rFonts w:ascii="Times New Roman" w:hAnsi="Times New Roman"/>
                <w:b/>
                <w:bCs/>
              </w:rPr>
            </w:pPr>
          </w:p>
          <w:p w:rsidR="002509B1" w:rsidRPr="00AE79AC" w:rsidRDefault="00F4754B" w:rsidP="007E2A41">
            <w:pPr>
              <w:pStyle w:val="BodyText1"/>
              <w:spacing w:line="240" w:lineRule="auto"/>
              <w:rPr>
                <w:rFonts w:ascii="Times New Roman" w:hAnsi="Times New Roman"/>
                <w:bCs/>
              </w:rPr>
            </w:pPr>
            <w:r w:rsidRPr="00AE79AC">
              <w:rPr>
                <w:rFonts w:ascii="Times New Roman" w:hAnsi="Times New Roman"/>
              </w:rPr>
              <w:t>Kwoty ekspozycji ważonej ryzykiem w odniesieniu do ryzyka kredytowego i ryzyka kredytowego kontrahenta, obliczane zgodnie z częścią trzecią tytuł II CRR, z tytułu instrumentów pochodnych i</w:t>
            </w:r>
            <w:r w:rsidR="00AA326F">
              <w:rPr>
                <w:rFonts w:ascii="Times New Roman" w:hAnsi="Times New Roman"/>
              </w:rPr>
              <w:t> </w:t>
            </w:r>
            <w:r w:rsidRPr="00AE79AC">
              <w:rPr>
                <w:rFonts w:ascii="Times New Roman" w:hAnsi="Times New Roman"/>
              </w:rPr>
              <w:t>SFT, w tym kwoty ekspozycji pozycji pozabilansowych, jeżeli nie są one objęte umową o</w:t>
            </w:r>
            <w:r w:rsidR="00AA326F">
              <w:rPr>
                <w:rFonts w:ascii="Times New Roman" w:hAnsi="Times New Roman"/>
              </w:rPr>
              <w:t> </w:t>
            </w:r>
            <w:r w:rsidRPr="00AE79AC">
              <w:rPr>
                <w:rFonts w:ascii="Times New Roman" w:hAnsi="Times New Roman"/>
              </w:rPr>
              <w:t xml:space="preserve">kompensowaniu międzyproduktowym zdefiniowaną w art. 272 </w:t>
            </w:r>
            <w:r w:rsidRPr="002341B6">
              <w:rPr>
                <w:rFonts w:ascii="Times New Roman" w:hAnsi="Times New Roman"/>
              </w:rPr>
              <w:t>pkt</w:t>
            </w:r>
            <w:r w:rsidR="002341B6" w:rsidRPr="002341B6">
              <w:rPr>
                <w:rFonts w:ascii="Times New Roman" w:hAnsi="Times New Roman"/>
              </w:rPr>
              <w:t> </w:t>
            </w:r>
            <w:r w:rsidRPr="002341B6">
              <w:rPr>
                <w:rFonts w:ascii="Times New Roman" w:hAnsi="Times New Roman"/>
              </w:rPr>
              <w:t>2</w:t>
            </w:r>
            <w:r w:rsidRPr="00AE79AC">
              <w:rPr>
                <w:rFonts w:ascii="Times New Roman" w:hAnsi="Times New Roman"/>
              </w:rPr>
              <w:t>5 CRR.</w:t>
            </w:r>
          </w:p>
          <w:p w:rsidR="00F4754B" w:rsidRPr="00AE79AC" w:rsidRDefault="00F4754B" w:rsidP="007E2A41">
            <w:pPr>
              <w:pStyle w:val="BodyText1"/>
              <w:spacing w:line="240" w:lineRule="auto"/>
              <w:rPr>
                <w:rFonts w:ascii="Times New Roman" w:hAnsi="Times New Roman"/>
                <w:bCs/>
              </w:rPr>
            </w:pPr>
          </w:p>
        </w:tc>
      </w:tr>
      <w:tr w:rsidR="00F4754B" w:rsidRPr="00AE79AC" w:rsidTr="0053335C">
        <w:trPr>
          <w:trHeight w:val="71"/>
        </w:trPr>
        <w:tc>
          <w:tcPr>
            <w:tcW w:w="1111" w:type="dxa"/>
            <w:shd w:val="clear" w:color="auto" w:fill="FFFFFF"/>
          </w:tcPr>
          <w:p w:rsidR="00F4754B" w:rsidRPr="00AE79AC" w:rsidRDefault="00F4754B" w:rsidP="00F4754B">
            <w:pPr>
              <w:pStyle w:val="BodyText1"/>
              <w:rPr>
                <w:rFonts w:ascii="Times New Roman" w:hAnsi="Times New Roman"/>
              </w:rPr>
            </w:pPr>
            <w:r w:rsidRPr="00AE79AC">
              <w:rPr>
                <w:rFonts w:ascii="Times New Roman" w:hAnsi="Times New Roman"/>
              </w:rPr>
              <w:t>{050;010}</w:t>
            </w:r>
          </w:p>
        </w:tc>
        <w:tc>
          <w:tcPr>
            <w:tcW w:w="8133" w:type="dxa"/>
            <w:shd w:val="clear" w:color="auto" w:fill="FFFFFF"/>
          </w:tcPr>
          <w:p w:rsidR="00F4754B" w:rsidRPr="00AE79AC" w:rsidRDefault="00F4754B" w:rsidP="007E2A41">
            <w:pPr>
              <w:pStyle w:val="BodyText1"/>
              <w:spacing w:line="240" w:lineRule="auto"/>
              <w:rPr>
                <w:rFonts w:ascii="Times New Roman" w:hAnsi="Times New Roman"/>
                <w:b/>
                <w:bCs/>
              </w:rPr>
            </w:pPr>
            <w:r w:rsidRPr="00AE79AC">
              <w:rPr>
                <w:rFonts w:ascii="Times New Roman" w:hAnsi="Times New Roman"/>
                <w:b/>
              </w:rPr>
              <w:t>Instrumenty pochodne nieobjęte umową o kompensowaniu międzyproduktowym – wartość ekspozycji wskaźnika dźwigni</w:t>
            </w:r>
          </w:p>
          <w:p w:rsidR="002509B1" w:rsidRPr="00AE79AC" w:rsidRDefault="002509B1" w:rsidP="007E2A41">
            <w:pPr>
              <w:pStyle w:val="BodyText1"/>
              <w:spacing w:line="240" w:lineRule="auto"/>
              <w:rPr>
                <w:rFonts w:ascii="Times New Roman" w:hAnsi="Times New Roman"/>
                <w:b/>
                <w:bCs/>
              </w:rPr>
            </w:pPr>
          </w:p>
          <w:p w:rsidR="00F4754B" w:rsidRPr="00AE79AC" w:rsidRDefault="00F4754B" w:rsidP="007E2A41">
            <w:pPr>
              <w:pStyle w:val="BodyText1"/>
              <w:spacing w:line="240" w:lineRule="auto"/>
              <w:rPr>
                <w:rFonts w:ascii="Times New Roman" w:hAnsi="Times New Roman"/>
                <w:bCs/>
              </w:rPr>
            </w:pPr>
            <w:r w:rsidRPr="00AE79AC">
              <w:rPr>
                <w:rFonts w:ascii="Times New Roman" w:hAnsi="Times New Roman"/>
              </w:rPr>
              <w:t xml:space="preserve">Wartość ekspozycji wskaźnika dźwigni dla instrumentów pochodnych, jeżeli </w:t>
            </w:r>
            <w:r w:rsidRPr="00AE79AC">
              <w:rPr>
                <w:rFonts w:ascii="Times New Roman" w:hAnsi="Times New Roman"/>
                <w:b/>
                <w:u w:val="single"/>
              </w:rPr>
              <w:t>nie</w:t>
            </w:r>
            <w:r w:rsidRPr="00AE79AC">
              <w:rPr>
                <w:rFonts w:ascii="Times New Roman" w:hAnsi="Times New Roman"/>
              </w:rPr>
              <w:t xml:space="preserve"> są one objęte umową o kompensowaniu międzyproduktowym zdefiniowaną w art. 272 </w:t>
            </w:r>
            <w:r w:rsidRPr="002341B6">
              <w:rPr>
                <w:rFonts w:ascii="Times New Roman" w:hAnsi="Times New Roman"/>
              </w:rPr>
              <w:t>pkt</w:t>
            </w:r>
            <w:r w:rsidR="002341B6" w:rsidRPr="002341B6">
              <w:rPr>
                <w:rFonts w:ascii="Times New Roman" w:hAnsi="Times New Roman"/>
              </w:rPr>
              <w:t> </w:t>
            </w:r>
            <w:r w:rsidRPr="002341B6">
              <w:rPr>
                <w:rFonts w:ascii="Times New Roman" w:hAnsi="Times New Roman"/>
              </w:rPr>
              <w:t>2</w:t>
            </w:r>
            <w:r w:rsidRPr="00AE79AC">
              <w:rPr>
                <w:rFonts w:ascii="Times New Roman" w:hAnsi="Times New Roman"/>
              </w:rPr>
              <w:t>5 CRR.</w:t>
            </w:r>
          </w:p>
          <w:p w:rsidR="002509B1" w:rsidRPr="00AE79AC" w:rsidRDefault="002509B1" w:rsidP="007E2A41">
            <w:pPr>
              <w:pStyle w:val="BodyText1"/>
              <w:spacing w:line="240" w:lineRule="auto"/>
              <w:rPr>
                <w:rFonts w:ascii="Times New Roman" w:hAnsi="Times New Roman"/>
                <w:b/>
                <w:bCs/>
              </w:rPr>
            </w:pPr>
          </w:p>
        </w:tc>
      </w:tr>
      <w:tr w:rsidR="00F4754B" w:rsidRPr="00AE79AC" w:rsidTr="0053335C">
        <w:trPr>
          <w:trHeight w:val="71"/>
        </w:trPr>
        <w:tc>
          <w:tcPr>
            <w:tcW w:w="1111" w:type="dxa"/>
            <w:shd w:val="clear" w:color="auto" w:fill="FFFFFF"/>
          </w:tcPr>
          <w:p w:rsidR="00F4754B" w:rsidRPr="00AE79AC" w:rsidRDefault="00F4754B" w:rsidP="00F4754B">
            <w:pPr>
              <w:pStyle w:val="BodyText1"/>
              <w:rPr>
                <w:rFonts w:ascii="Times New Roman" w:hAnsi="Times New Roman"/>
              </w:rPr>
            </w:pPr>
            <w:r w:rsidRPr="00AE79AC">
              <w:rPr>
                <w:rFonts w:ascii="Times New Roman" w:hAnsi="Times New Roman"/>
              </w:rPr>
              <w:t>{050;020}</w:t>
            </w:r>
          </w:p>
        </w:tc>
        <w:tc>
          <w:tcPr>
            <w:tcW w:w="8133" w:type="dxa"/>
            <w:shd w:val="clear" w:color="auto" w:fill="FFFFFF"/>
          </w:tcPr>
          <w:p w:rsidR="00F4754B" w:rsidRPr="00AE79AC" w:rsidRDefault="00F4754B" w:rsidP="007E2A41">
            <w:pPr>
              <w:pStyle w:val="BodyText1"/>
              <w:spacing w:line="240" w:lineRule="auto"/>
              <w:rPr>
                <w:rFonts w:ascii="Times New Roman" w:hAnsi="Times New Roman"/>
                <w:b/>
                <w:bCs/>
              </w:rPr>
            </w:pPr>
            <w:r w:rsidRPr="00AE79AC">
              <w:rPr>
                <w:rFonts w:ascii="Times New Roman" w:hAnsi="Times New Roman"/>
                <w:b/>
              </w:rPr>
              <w:t>Instrumenty pochodne nieobjęte umową o kompensowaniu międzyproduktowym – aktywa ważone ryzykiem</w:t>
            </w:r>
          </w:p>
          <w:p w:rsidR="002509B1" w:rsidRPr="00AE79AC" w:rsidRDefault="002509B1" w:rsidP="007E2A41">
            <w:pPr>
              <w:pStyle w:val="BodyText1"/>
              <w:spacing w:line="240" w:lineRule="auto"/>
              <w:rPr>
                <w:rFonts w:ascii="Times New Roman" w:hAnsi="Times New Roman"/>
                <w:b/>
                <w:bCs/>
              </w:rPr>
            </w:pPr>
          </w:p>
          <w:p w:rsidR="00F4754B" w:rsidRPr="00AE79AC" w:rsidRDefault="00F4754B" w:rsidP="007E2A41">
            <w:pPr>
              <w:pStyle w:val="BodyText1"/>
              <w:spacing w:line="240" w:lineRule="auto"/>
              <w:rPr>
                <w:rFonts w:ascii="Times New Roman" w:hAnsi="Times New Roman"/>
                <w:bCs/>
              </w:rPr>
            </w:pPr>
            <w:r w:rsidRPr="00AE79AC">
              <w:rPr>
                <w:rFonts w:ascii="Times New Roman" w:hAnsi="Times New Roman"/>
              </w:rPr>
              <w:t>Kwoty ekspozycji ważonej ryzykiem w odniesieniu do ryzyka kredytowego i ryzyka kredytowego kontrahenta z tytułu instrumentów pochodnych, obliczane zgodnie z częścią trzecią tytuł II CRR, w tym kwoty ekspozycji pozycji pozabilansowych, jeżeli nie są one objęte umową o</w:t>
            </w:r>
            <w:r w:rsidR="00AA326F">
              <w:rPr>
                <w:rFonts w:ascii="Times New Roman" w:hAnsi="Times New Roman"/>
              </w:rPr>
              <w:t> </w:t>
            </w:r>
            <w:r w:rsidRPr="00AE79AC">
              <w:rPr>
                <w:rFonts w:ascii="Times New Roman" w:hAnsi="Times New Roman"/>
              </w:rPr>
              <w:t xml:space="preserve">kompensowaniu międzyproduktowym zdefiniowaną w art. 272 </w:t>
            </w:r>
            <w:r w:rsidRPr="002341B6">
              <w:rPr>
                <w:rFonts w:ascii="Times New Roman" w:hAnsi="Times New Roman"/>
              </w:rPr>
              <w:t>pkt</w:t>
            </w:r>
            <w:r w:rsidR="002341B6" w:rsidRPr="002341B6">
              <w:rPr>
                <w:rFonts w:ascii="Times New Roman" w:hAnsi="Times New Roman"/>
              </w:rPr>
              <w:t> </w:t>
            </w:r>
            <w:r w:rsidRPr="002341B6">
              <w:rPr>
                <w:rFonts w:ascii="Times New Roman" w:hAnsi="Times New Roman"/>
              </w:rPr>
              <w:t>2</w:t>
            </w:r>
            <w:r w:rsidRPr="00AE79AC">
              <w:rPr>
                <w:rFonts w:ascii="Times New Roman" w:hAnsi="Times New Roman"/>
              </w:rPr>
              <w:t xml:space="preserve">5 CRR. </w:t>
            </w:r>
          </w:p>
          <w:p w:rsidR="002509B1" w:rsidRPr="00AE79AC" w:rsidRDefault="002509B1" w:rsidP="007E2A41">
            <w:pPr>
              <w:pStyle w:val="BodyText1"/>
              <w:spacing w:line="240" w:lineRule="auto"/>
              <w:rPr>
                <w:rFonts w:ascii="Times New Roman" w:hAnsi="Times New Roman"/>
                <w:b/>
                <w:bCs/>
              </w:rPr>
            </w:pPr>
          </w:p>
        </w:tc>
      </w:tr>
      <w:tr w:rsidR="00F4754B" w:rsidRPr="00AE79AC" w:rsidTr="0053335C">
        <w:trPr>
          <w:trHeight w:val="71"/>
        </w:trPr>
        <w:tc>
          <w:tcPr>
            <w:tcW w:w="1111" w:type="dxa"/>
            <w:shd w:val="clear" w:color="auto" w:fill="FFFFFF"/>
          </w:tcPr>
          <w:p w:rsidR="00F4754B" w:rsidRPr="00AE79AC" w:rsidRDefault="00F4754B" w:rsidP="00F4754B">
            <w:pPr>
              <w:pStyle w:val="BodyText1"/>
              <w:rPr>
                <w:rFonts w:ascii="Times New Roman" w:hAnsi="Times New Roman"/>
              </w:rPr>
            </w:pPr>
            <w:r w:rsidRPr="00AE79AC">
              <w:rPr>
                <w:rFonts w:ascii="Times New Roman" w:hAnsi="Times New Roman"/>
              </w:rPr>
              <w:t>{060;010}</w:t>
            </w:r>
          </w:p>
        </w:tc>
        <w:tc>
          <w:tcPr>
            <w:tcW w:w="8133" w:type="dxa"/>
            <w:shd w:val="clear" w:color="auto" w:fill="FFFFFF"/>
          </w:tcPr>
          <w:p w:rsidR="00F4754B" w:rsidRPr="00AE79AC" w:rsidRDefault="00F4754B" w:rsidP="007E2A41">
            <w:pPr>
              <w:pStyle w:val="BodyText1"/>
              <w:spacing w:line="240" w:lineRule="auto"/>
              <w:rPr>
                <w:rFonts w:ascii="Times New Roman" w:hAnsi="Times New Roman"/>
                <w:b/>
                <w:bCs/>
              </w:rPr>
            </w:pPr>
            <w:r w:rsidRPr="00AE79AC">
              <w:rPr>
                <w:rFonts w:ascii="Times New Roman" w:hAnsi="Times New Roman"/>
                <w:b/>
              </w:rPr>
              <w:t>SFT nieobjęte umową o kompensowaniu międzyproduktowym – wartość ekspozycji wskaźnika dźwigni</w:t>
            </w:r>
          </w:p>
          <w:p w:rsidR="002509B1" w:rsidRPr="00AE79AC" w:rsidRDefault="002509B1" w:rsidP="007E2A41">
            <w:pPr>
              <w:pStyle w:val="BodyText1"/>
              <w:spacing w:line="240" w:lineRule="auto"/>
              <w:rPr>
                <w:rFonts w:ascii="Times New Roman" w:hAnsi="Times New Roman"/>
                <w:b/>
                <w:bCs/>
              </w:rPr>
            </w:pPr>
          </w:p>
          <w:p w:rsidR="00F4754B" w:rsidRPr="00AE79AC" w:rsidRDefault="00F4754B" w:rsidP="007E2A41">
            <w:pPr>
              <w:pStyle w:val="BodyText1"/>
              <w:spacing w:line="240" w:lineRule="auto"/>
              <w:rPr>
                <w:rFonts w:ascii="Times New Roman" w:hAnsi="Times New Roman"/>
                <w:bCs/>
              </w:rPr>
            </w:pPr>
            <w:r w:rsidRPr="00AE79AC">
              <w:rPr>
                <w:rFonts w:ascii="Times New Roman" w:hAnsi="Times New Roman"/>
              </w:rPr>
              <w:t xml:space="preserve">Wartość ekspozycji wskaźnika dźwigni dla ekspozycji z tytułu SFT, jeżeli </w:t>
            </w:r>
            <w:r w:rsidRPr="00AE79AC">
              <w:rPr>
                <w:rFonts w:ascii="Times New Roman" w:hAnsi="Times New Roman"/>
                <w:b/>
                <w:u w:val="single"/>
              </w:rPr>
              <w:t>nie</w:t>
            </w:r>
            <w:r w:rsidRPr="00AE79AC">
              <w:rPr>
                <w:rFonts w:ascii="Times New Roman" w:hAnsi="Times New Roman"/>
              </w:rPr>
              <w:t xml:space="preserve"> są one objęte umową o kompensowaniu międzyproduktowym zdefiniowaną w art. 272 </w:t>
            </w:r>
            <w:r w:rsidRPr="002341B6">
              <w:rPr>
                <w:rFonts w:ascii="Times New Roman" w:hAnsi="Times New Roman"/>
              </w:rPr>
              <w:t>pkt</w:t>
            </w:r>
            <w:r w:rsidR="002341B6" w:rsidRPr="002341B6">
              <w:rPr>
                <w:rFonts w:ascii="Times New Roman" w:hAnsi="Times New Roman"/>
              </w:rPr>
              <w:t> </w:t>
            </w:r>
            <w:r w:rsidRPr="002341B6">
              <w:rPr>
                <w:rFonts w:ascii="Times New Roman" w:hAnsi="Times New Roman"/>
              </w:rPr>
              <w:t>2</w:t>
            </w:r>
            <w:r w:rsidRPr="00AE79AC">
              <w:rPr>
                <w:rFonts w:ascii="Times New Roman" w:hAnsi="Times New Roman"/>
              </w:rPr>
              <w:t>5 CRR.</w:t>
            </w:r>
          </w:p>
          <w:p w:rsidR="002509B1" w:rsidRPr="00AE79AC" w:rsidRDefault="002509B1" w:rsidP="007E2A41">
            <w:pPr>
              <w:pStyle w:val="BodyText1"/>
              <w:spacing w:line="240" w:lineRule="auto"/>
              <w:rPr>
                <w:rFonts w:ascii="Times New Roman" w:hAnsi="Times New Roman"/>
                <w:b/>
                <w:bCs/>
              </w:rPr>
            </w:pPr>
          </w:p>
        </w:tc>
      </w:tr>
      <w:tr w:rsidR="00F4754B" w:rsidRPr="00AE79AC" w:rsidTr="0053335C">
        <w:trPr>
          <w:trHeight w:val="71"/>
        </w:trPr>
        <w:tc>
          <w:tcPr>
            <w:tcW w:w="1111" w:type="dxa"/>
            <w:shd w:val="clear" w:color="auto" w:fill="FFFFFF"/>
          </w:tcPr>
          <w:p w:rsidR="00F4754B" w:rsidRPr="00AE79AC" w:rsidRDefault="00F4754B" w:rsidP="00F4754B">
            <w:pPr>
              <w:pStyle w:val="BodyText1"/>
              <w:rPr>
                <w:rFonts w:ascii="Times New Roman" w:hAnsi="Times New Roman"/>
              </w:rPr>
            </w:pPr>
            <w:r w:rsidRPr="00AE79AC">
              <w:rPr>
                <w:rFonts w:ascii="Times New Roman" w:hAnsi="Times New Roman"/>
              </w:rPr>
              <w:t>{060;020}</w:t>
            </w:r>
          </w:p>
        </w:tc>
        <w:tc>
          <w:tcPr>
            <w:tcW w:w="8133" w:type="dxa"/>
            <w:shd w:val="clear" w:color="auto" w:fill="FFFFFF"/>
          </w:tcPr>
          <w:p w:rsidR="00F4754B" w:rsidRPr="00AE79AC" w:rsidRDefault="00F4754B" w:rsidP="007E2A41">
            <w:pPr>
              <w:pStyle w:val="BodyText1"/>
              <w:spacing w:line="240" w:lineRule="auto"/>
              <w:rPr>
                <w:rFonts w:ascii="Times New Roman" w:hAnsi="Times New Roman"/>
                <w:b/>
                <w:bCs/>
              </w:rPr>
            </w:pPr>
            <w:r w:rsidRPr="00AE79AC">
              <w:rPr>
                <w:rFonts w:ascii="Times New Roman" w:hAnsi="Times New Roman"/>
                <w:b/>
              </w:rPr>
              <w:t>SFT nieobjęte umową o kompensowaniu międzyproduktowym – aktywa ważone ryzykiem</w:t>
            </w:r>
          </w:p>
          <w:p w:rsidR="002509B1" w:rsidRPr="00AE79AC" w:rsidRDefault="002509B1" w:rsidP="007E2A41">
            <w:pPr>
              <w:pStyle w:val="BodyText1"/>
              <w:spacing w:line="240" w:lineRule="auto"/>
              <w:rPr>
                <w:rFonts w:ascii="Times New Roman" w:hAnsi="Times New Roman"/>
                <w:b/>
                <w:bCs/>
              </w:rPr>
            </w:pPr>
          </w:p>
          <w:p w:rsidR="00F4754B" w:rsidRPr="00AE79AC" w:rsidRDefault="00F4754B" w:rsidP="007E2A41">
            <w:pPr>
              <w:pStyle w:val="BodyText1"/>
              <w:spacing w:line="240" w:lineRule="auto"/>
              <w:rPr>
                <w:rFonts w:ascii="Times New Roman" w:hAnsi="Times New Roman"/>
                <w:bCs/>
              </w:rPr>
            </w:pPr>
            <w:r w:rsidRPr="00AE79AC">
              <w:rPr>
                <w:rFonts w:ascii="Times New Roman" w:hAnsi="Times New Roman"/>
              </w:rPr>
              <w:t xml:space="preserve">Kwoty ekspozycji ważonej ryzykiem w odniesieniu do ryzyka kredytowego i ryzyka kredytowego kontrahenta z tytułu SFT, obliczane zgodnie z częścią trzecią tytuł II CRR, w tym kwoty ekspozycji pozycji pozabilansowych, jeżeli </w:t>
            </w:r>
            <w:r w:rsidRPr="00AE79AC">
              <w:rPr>
                <w:rFonts w:ascii="Times New Roman" w:hAnsi="Times New Roman"/>
                <w:b/>
                <w:u w:val="single"/>
              </w:rPr>
              <w:t>nie</w:t>
            </w:r>
            <w:r w:rsidRPr="00AE79AC">
              <w:rPr>
                <w:rFonts w:ascii="Times New Roman" w:hAnsi="Times New Roman"/>
              </w:rPr>
              <w:t xml:space="preserve"> są one objęte umową o kompensowaniu międzyproduktowym zdefiniowaną w art. 272 </w:t>
            </w:r>
            <w:r w:rsidRPr="002341B6">
              <w:rPr>
                <w:rFonts w:ascii="Times New Roman" w:hAnsi="Times New Roman"/>
              </w:rPr>
              <w:t>pkt</w:t>
            </w:r>
            <w:r w:rsidR="002341B6" w:rsidRPr="002341B6">
              <w:rPr>
                <w:rFonts w:ascii="Times New Roman" w:hAnsi="Times New Roman"/>
              </w:rPr>
              <w:t> </w:t>
            </w:r>
            <w:r w:rsidRPr="002341B6">
              <w:rPr>
                <w:rFonts w:ascii="Times New Roman" w:hAnsi="Times New Roman"/>
              </w:rPr>
              <w:t>2</w:t>
            </w:r>
            <w:r w:rsidRPr="00AE79AC">
              <w:rPr>
                <w:rFonts w:ascii="Times New Roman" w:hAnsi="Times New Roman"/>
              </w:rPr>
              <w:t xml:space="preserve">5 CRR. </w:t>
            </w:r>
          </w:p>
          <w:p w:rsidR="002509B1" w:rsidRPr="00AE79AC" w:rsidRDefault="002509B1" w:rsidP="007E2A41">
            <w:pPr>
              <w:pStyle w:val="BodyText1"/>
              <w:spacing w:line="240" w:lineRule="auto"/>
              <w:rPr>
                <w:rFonts w:ascii="Times New Roman" w:hAnsi="Times New Roman"/>
                <w:b/>
                <w:bCs/>
              </w:rPr>
            </w:pPr>
          </w:p>
        </w:tc>
      </w:tr>
      <w:tr w:rsidR="00465521" w:rsidRPr="00AE79AC" w:rsidTr="0053335C">
        <w:trPr>
          <w:trHeight w:val="71"/>
        </w:trPr>
        <w:tc>
          <w:tcPr>
            <w:tcW w:w="1111" w:type="dxa"/>
            <w:shd w:val="clear" w:color="auto" w:fill="FFFFFF"/>
          </w:tcPr>
          <w:p w:rsidR="00465521" w:rsidRPr="00AE79AC" w:rsidRDefault="00465521" w:rsidP="00F70A83">
            <w:pPr>
              <w:pStyle w:val="BodyText1"/>
              <w:rPr>
                <w:rFonts w:ascii="Times New Roman" w:hAnsi="Times New Roman"/>
                <w:bCs/>
              </w:rPr>
            </w:pPr>
            <w:r w:rsidRPr="00AE79AC">
              <w:rPr>
                <w:rFonts w:ascii="Times New Roman" w:hAnsi="Times New Roman"/>
              </w:rPr>
              <w:t>{065;010}</w:t>
            </w:r>
          </w:p>
        </w:tc>
        <w:tc>
          <w:tcPr>
            <w:tcW w:w="8133" w:type="dxa"/>
            <w:shd w:val="clear" w:color="auto" w:fill="FFFFFF"/>
          </w:tcPr>
          <w:p w:rsidR="00465521" w:rsidRPr="00AE79AC" w:rsidRDefault="004968DF" w:rsidP="007E2A41">
            <w:pPr>
              <w:pStyle w:val="BodyText1"/>
              <w:spacing w:line="240" w:lineRule="auto"/>
              <w:rPr>
                <w:rFonts w:ascii="Times New Roman" w:hAnsi="Times New Roman"/>
                <w:b/>
                <w:bCs/>
              </w:rPr>
            </w:pPr>
            <w:r w:rsidRPr="00AE79AC">
              <w:rPr>
                <w:rFonts w:ascii="Times New Roman" w:hAnsi="Times New Roman"/>
                <w:b/>
              </w:rPr>
              <w:t>Kwoty ekspozycji wynikające z dodatkowego traktowania kredytowych instrumentów pochodnych – wartość ekspozycji wskaźnika dźwigni</w:t>
            </w:r>
          </w:p>
          <w:p w:rsidR="004968DF" w:rsidRPr="00AE79AC" w:rsidRDefault="004968DF" w:rsidP="007E2A41">
            <w:pPr>
              <w:pStyle w:val="BodyText1"/>
              <w:spacing w:line="240" w:lineRule="auto"/>
              <w:rPr>
                <w:rFonts w:ascii="Times New Roman" w:hAnsi="Times New Roman"/>
                <w:b/>
                <w:bCs/>
              </w:rPr>
            </w:pPr>
          </w:p>
          <w:p w:rsidR="004968DF" w:rsidRPr="00AE79AC" w:rsidRDefault="000D3973" w:rsidP="00DB61A5">
            <w:pPr>
              <w:pStyle w:val="BodyText1"/>
              <w:spacing w:line="240" w:lineRule="auto"/>
              <w:rPr>
                <w:rFonts w:ascii="Times New Roman" w:hAnsi="Times New Roman"/>
                <w:b/>
                <w:bCs/>
              </w:rPr>
            </w:pPr>
            <w:r w:rsidRPr="00AE79AC">
              <w:rPr>
                <w:rFonts w:ascii="Times New Roman" w:hAnsi="Times New Roman"/>
              </w:rPr>
              <w:t>Komórka ta jest równa różnicy między {LRCalc;130;010} i {LRCalc;140;010}, z wyłączeniem odpowiednich ekspozycji wewnątrzgrupowych (na zasadzie nieskonsolidowanej) wyłączonych zgodnie z art. 429 ust. 7 CRR.</w:t>
            </w:r>
            <w:r w:rsidRPr="00AE79AC">
              <w:rPr>
                <w:rFonts w:ascii="Times New Roman" w:hAnsi="Times New Roman"/>
                <w:b/>
              </w:rPr>
              <w:t xml:space="preserve"> </w:t>
            </w:r>
          </w:p>
          <w:p w:rsidR="00EC2C14" w:rsidRPr="00AE79AC" w:rsidRDefault="00EC2C14" w:rsidP="00DB61A5">
            <w:pPr>
              <w:pStyle w:val="BodyText1"/>
              <w:spacing w:line="240" w:lineRule="auto"/>
              <w:rPr>
                <w:rFonts w:ascii="Times New Roman" w:hAnsi="Times New Roman"/>
                <w:b/>
                <w:bCs/>
              </w:rPr>
            </w:pPr>
          </w:p>
        </w:tc>
      </w:tr>
      <w:tr w:rsidR="00F4754B" w:rsidRPr="00AE79AC" w:rsidTr="0053335C">
        <w:trPr>
          <w:trHeight w:val="71"/>
        </w:trPr>
        <w:tc>
          <w:tcPr>
            <w:tcW w:w="1111" w:type="dxa"/>
            <w:shd w:val="clear" w:color="auto" w:fill="FFFFFF"/>
          </w:tcPr>
          <w:p w:rsidR="00F4754B" w:rsidRPr="00AE79AC" w:rsidRDefault="00F4754B" w:rsidP="00F70A83">
            <w:pPr>
              <w:pStyle w:val="BodyText1"/>
              <w:rPr>
                <w:rFonts w:ascii="Times New Roman" w:hAnsi="Times New Roman"/>
              </w:rPr>
            </w:pPr>
            <w:r w:rsidRPr="00AE79AC">
              <w:rPr>
                <w:rFonts w:ascii="Times New Roman" w:hAnsi="Times New Roman"/>
              </w:rPr>
              <w:t>{070;010}</w:t>
            </w:r>
          </w:p>
        </w:tc>
        <w:tc>
          <w:tcPr>
            <w:tcW w:w="8133" w:type="dxa"/>
            <w:shd w:val="clear" w:color="auto" w:fill="FFFFFF"/>
          </w:tcPr>
          <w:p w:rsidR="00F4754B" w:rsidRPr="00AE79AC" w:rsidRDefault="00F4754B" w:rsidP="007E2A41">
            <w:pPr>
              <w:pStyle w:val="BodyText1"/>
              <w:spacing w:line="240" w:lineRule="auto"/>
              <w:rPr>
                <w:rFonts w:ascii="Times New Roman" w:hAnsi="Times New Roman"/>
                <w:b/>
                <w:bCs/>
              </w:rPr>
            </w:pPr>
            <w:r w:rsidRPr="00AE79AC">
              <w:rPr>
                <w:rFonts w:ascii="Times New Roman" w:hAnsi="Times New Roman"/>
                <w:b/>
              </w:rPr>
              <w:t>Inne aktywa należące do portfela handlowego – wartość ekspozycji wskaźnika dźwigni</w:t>
            </w:r>
          </w:p>
          <w:p w:rsidR="002509B1" w:rsidRPr="00AE79AC" w:rsidRDefault="002509B1" w:rsidP="007E2A41">
            <w:pPr>
              <w:pStyle w:val="BodyText1"/>
              <w:spacing w:line="240" w:lineRule="auto"/>
              <w:rPr>
                <w:rFonts w:ascii="Times New Roman" w:hAnsi="Times New Roman"/>
                <w:b/>
                <w:bCs/>
              </w:rPr>
            </w:pPr>
          </w:p>
          <w:p w:rsidR="00F4754B" w:rsidRPr="00AE79AC" w:rsidRDefault="00F4754B" w:rsidP="007E2A41">
            <w:pPr>
              <w:pStyle w:val="BodyText1"/>
              <w:spacing w:line="240" w:lineRule="auto"/>
              <w:rPr>
                <w:rFonts w:ascii="Times New Roman" w:hAnsi="Times New Roman"/>
                <w:bCs/>
              </w:rPr>
            </w:pPr>
            <w:r w:rsidRPr="00AE79AC">
              <w:rPr>
                <w:rFonts w:ascii="Times New Roman" w:hAnsi="Times New Roman"/>
              </w:rPr>
              <w:t>Wartość ekspozycji wskaźnika dźwigni dla pozycji zgłoszonych w komórce {LRCalc;190;010}, z</w:t>
            </w:r>
            <w:r w:rsidR="00AA326F">
              <w:rPr>
                <w:rFonts w:ascii="Times New Roman" w:hAnsi="Times New Roman"/>
              </w:rPr>
              <w:t> </w:t>
            </w:r>
            <w:r w:rsidRPr="00AE79AC">
              <w:rPr>
                <w:rFonts w:ascii="Times New Roman" w:hAnsi="Times New Roman"/>
              </w:rPr>
              <w:t>wyłączeniem pozycji z portfela bankowego.</w:t>
            </w:r>
          </w:p>
          <w:p w:rsidR="002509B1" w:rsidRPr="00AE79AC" w:rsidRDefault="002509B1" w:rsidP="007E2A41">
            <w:pPr>
              <w:pStyle w:val="BodyText1"/>
              <w:spacing w:line="240" w:lineRule="auto"/>
              <w:rPr>
                <w:rFonts w:ascii="Times New Roman" w:hAnsi="Times New Roman"/>
                <w:bCs/>
              </w:rPr>
            </w:pPr>
          </w:p>
        </w:tc>
      </w:tr>
      <w:tr w:rsidR="00F4754B" w:rsidRPr="00AE79AC" w:rsidTr="0053335C">
        <w:trPr>
          <w:trHeight w:val="71"/>
        </w:trPr>
        <w:tc>
          <w:tcPr>
            <w:tcW w:w="1111" w:type="dxa"/>
            <w:shd w:val="clear" w:color="auto" w:fill="FFFFFF"/>
          </w:tcPr>
          <w:p w:rsidR="00F4754B" w:rsidRPr="00AE79AC" w:rsidRDefault="00F4754B" w:rsidP="00465521">
            <w:pPr>
              <w:pStyle w:val="BodyText1"/>
              <w:rPr>
                <w:rFonts w:ascii="Times New Roman" w:hAnsi="Times New Roman"/>
                <w:bCs/>
              </w:rPr>
            </w:pPr>
            <w:r w:rsidRPr="00AE79AC">
              <w:rPr>
                <w:rFonts w:ascii="Times New Roman" w:hAnsi="Times New Roman"/>
              </w:rPr>
              <w:t>{070;020}</w:t>
            </w:r>
          </w:p>
        </w:tc>
        <w:tc>
          <w:tcPr>
            <w:tcW w:w="8133" w:type="dxa"/>
            <w:shd w:val="clear" w:color="auto" w:fill="FFFFFF"/>
          </w:tcPr>
          <w:p w:rsidR="00F4754B" w:rsidRPr="00AE79AC" w:rsidRDefault="00F4754B" w:rsidP="007E2A41">
            <w:pPr>
              <w:pStyle w:val="BodyText1"/>
              <w:spacing w:line="240" w:lineRule="auto"/>
              <w:rPr>
                <w:rFonts w:ascii="Times New Roman" w:hAnsi="Times New Roman"/>
                <w:b/>
                <w:bCs/>
              </w:rPr>
            </w:pPr>
            <w:r w:rsidRPr="00AE79AC">
              <w:rPr>
                <w:rFonts w:ascii="Times New Roman" w:hAnsi="Times New Roman"/>
                <w:b/>
              </w:rPr>
              <w:t>Inne aktywa z portfela handlowego – aktywa ważone ryzykiem</w:t>
            </w:r>
          </w:p>
          <w:p w:rsidR="002509B1" w:rsidRPr="00AE79AC" w:rsidRDefault="002509B1" w:rsidP="007E2A41">
            <w:pPr>
              <w:pStyle w:val="BodyText1"/>
              <w:spacing w:line="240" w:lineRule="auto"/>
              <w:rPr>
                <w:rFonts w:ascii="Times New Roman" w:hAnsi="Times New Roman"/>
                <w:b/>
                <w:bCs/>
              </w:rPr>
            </w:pPr>
          </w:p>
          <w:p w:rsidR="00F4754B" w:rsidRPr="00AE79AC" w:rsidRDefault="00F4754B" w:rsidP="007E2A41">
            <w:pPr>
              <w:pStyle w:val="BodyText1"/>
              <w:spacing w:line="240" w:lineRule="auto"/>
              <w:rPr>
                <w:rFonts w:ascii="Times New Roman" w:hAnsi="Times New Roman"/>
                <w:bCs/>
              </w:rPr>
            </w:pPr>
            <w:r w:rsidRPr="00AE79AC">
              <w:rPr>
                <w:rFonts w:ascii="Times New Roman" w:hAnsi="Times New Roman"/>
              </w:rPr>
              <w:t>Wymogi w zakresie funduszy własnych pomnożone przez 12,5 odniesione do pozycji objętych częścią trzecią tytuł IV CRR.</w:t>
            </w:r>
          </w:p>
          <w:p w:rsidR="002509B1" w:rsidRPr="00AE79AC" w:rsidRDefault="002509B1" w:rsidP="007E2A41">
            <w:pPr>
              <w:pStyle w:val="BodyText1"/>
              <w:spacing w:line="240" w:lineRule="auto"/>
              <w:rPr>
                <w:rFonts w:ascii="Times New Roman" w:hAnsi="Times New Roman"/>
                <w:b/>
                <w:bCs/>
                <w:u w:val="single"/>
              </w:rPr>
            </w:pPr>
          </w:p>
        </w:tc>
      </w:tr>
      <w:tr w:rsidR="00F4754B" w:rsidRPr="00AE79AC" w:rsidTr="0053335C">
        <w:trPr>
          <w:trHeight w:val="71"/>
        </w:trPr>
        <w:tc>
          <w:tcPr>
            <w:tcW w:w="1111" w:type="dxa"/>
            <w:shd w:val="clear" w:color="auto" w:fill="FFFFFF"/>
          </w:tcPr>
          <w:p w:rsidR="00F4754B" w:rsidRPr="00AE79AC" w:rsidRDefault="00F4754B" w:rsidP="00F4754B">
            <w:pPr>
              <w:pStyle w:val="BodyText1"/>
              <w:rPr>
                <w:rFonts w:ascii="Times New Roman" w:hAnsi="Times New Roman"/>
              </w:rPr>
            </w:pPr>
            <w:r w:rsidRPr="00AE79AC">
              <w:rPr>
                <w:rFonts w:ascii="Times New Roman" w:hAnsi="Times New Roman"/>
              </w:rPr>
              <w:t>{080;010}</w:t>
            </w:r>
          </w:p>
        </w:tc>
        <w:tc>
          <w:tcPr>
            <w:tcW w:w="8133" w:type="dxa"/>
            <w:shd w:val="clear" w:color="auto" w:fill="FFFFFF"/>
          </w:tcPr>
          <w:p w:rsidR="00F4754B" w:rsidRPr="00AE79AC" w:rsidRDefault="00F4754B" w:rsidP="007E2A41">
            <w:pPr>
              <w:pStyle w:val="BodyText1"/>
              <w:spacing w:line="240" w:lineRule="auto"/>
              <w:rPr>
                <w:rFonts w:ascii="Times New Roman" w:hAnsi="Times New Roman"/>
                <w:b/>
                <w:bCs/>
              </w:rPr>
            </w:pPr>
            <w:r w:rsidRPr="00AE79AC">
              <w:rPr>
                <w:rFonts w:ascii="Times New Roman" w:hAnsi="Times New Roman"/>
                <w:b/>
              </w:rPr>
              <w:t>Obligacje zabezpieczone – wartość ekspozycji wskaźnika dźwigni – ekspozycje według metody standardowej</w:t>
            </w:r>
          </w:p>
          <w:p w:rsidR="002509B1" w:rsidRPr="00AE79AC" w:rsidRDefault="002509B1" w:rsidP="007E2A41">
            <w:pPr>
              <w:pStyle w:val="BodyText1"/>
              <w:spacing w:line="240" w:lineRule="auto"/>
              <w:rPr>
                <w:rFonts w:ascii="Times New Roman" w:hAnsi="Times New Roman"/>
                <w:b/>
                <w:bCs/>
              </w:rPr>
            </w:pPr>
          </w:p>
          <w:p w:rsidR="00F4754B" w:rsidRPr="00AE79AC" w:rsidRDefault="00F4754B" w:rsidP="007E2A41">
            <w:pPr>
              <w:pStyle w:val="BodyText1"/>
              <w:spacing w:line="240" w:lineRule="auto"/>
              <w:rPr>
                <w:rFonts w:ascii="Times New Roman" w:hAnsi="Times New Roman"/>
                <w:bCs/>
              </w:rPr>
            </w:pPr>
            <w:r w:rsidRPr="00AE79AC">
              <w:rPr>
                <w:rFonts w:ascii="Times New Roman" w:hAnsi="Times New Roman"/>
              </w:rPr>
              <w:t xml:space="preserve">Wartość ekspozycji wskaźnika dźwigni dla aktywów stanowiących ekspozycje w postaci obligacji zabezpieczonych zdefiniowane w art. 129 CRR. </w:t>
            </w:r>
          </w:p>
          <w:p w:rsidR="002509B1" w:rsidRPr="00AE79AC" w:rsidRDefault="002509B1" w:rsidP="007E2A41">
            <w:pPr>
              <w:pStyle w:val="BodyText1"/>
              <w:spacing w:line="240" w:lineRule="auto"/>
              <w:rPr>
                <w:rFonts w:ascii="Times New Roman" w:hAnsi="Times New Roman"/>
                <w:bCs/>
              </w:rPr>
            </w:pPr>
          </w:p>
          <w:p w:rsidR="00086A8A" w:rsidRPr="00AE79AC" w:rsidRDefault="00086A8A" w:rsidP="007E2A41">
            <w:pPr>
              <w:pStyle w:val="BodyText1"/>
              <w:spacing w:line="240" w:lineRule="auto"/>
              <w:rPr>
                <w:rFonts w:ascii="Times New Roman" w:hAnsi="Times New Roman"/>
                <w:bCs/>
              </w:rPr>
            </w:pPr>
            <w:r w:rsidRPr="00AE79AC">
              <w:rPr>
                <w:rFonts w:ascii="Times New Roman" w:hAnsi="Times New Roman"/>
              </w:rPr>
              <w:t>Instytucje nie zgłaszają tu ekspozycji, których dotyczy niewykonanie zobowiązania.</w:t>
            </w:r>
          </w:p>
          <w:p w:rsidR="00086A8A" w:rsidRPr="00AE79AC" w:rsidRDefault="00086A8A" w:rsidP="007E2A41">
            <w:pPr>
              <w:pStyle w:val="BodyText1"/>
              <w:spacing w:line="240" w:lineRule="auto"/>
              <w:rPr>
                <w:rFonts w:ascii="Times New Roman" w:hAnsi="Times New Roman"/>
                <w:bCs/>
              </w:rPr>
            </w:pPr>
          </w:p>
        </w:tc>
      </w:tr>
      <w:tr w:rsidR="00F4754B" w:rsidRPr="00AE79AC" w:rsidTr="0053335C">
        <w:trPr>
          <w:trHeight w:val="71"/>
        </w:trPr>
        <w:tc>
          <w:tcPr>
            <w:tcW w:w="1111" w:type="dxa"/>
            <w:shd w:val="clear" w:color="auto" w:fill="FFFFFF"/>
          </w:tcPr>
          <w:p w:rsidR="00F4754B" w:rsidRPr="00AE79AC" w:rsidRDefault="00F4754B" w:rsidP="006423CC">
            <w:pPr>
              <w:pStyle w:val="BodyText1"/>
              <w:rPr>
                <w:rFonts w:ascii="Times New Roman" w:hAnsi="Times New Roman"/>
                <w:bCs/>
              </w:rPr>
            </w:pPr>
            <w:r w:rsidRPr="00AE79AC">
              <w:rPr>
                <w:rFonts w:ascii="Times New Roman" w:hAnsi="Times New Roman"/>
              </w:rPr>
              <w:t>{080;020}</w:t>
            </w:r>
          </w:p>
        </w:tc>
        <w:tc>
          <w:tcPr>
            <w:tcW w:w="8133" w:type="dxa"/>
            <w:shd w:val="clear" w:color="auto" w:fill="FFFFFF"/>
          </w:tcPr>
          <w:p w:rsidR="00F4754B" w:rsidRPr="00AE79AC" w:rsidRDefault="00F4754B" w:rsidP="007E2A41">
            <w:pPr>
              <w:pStyle w:val="BodyText1"/>
              <w:spacing w:line="240" w:lineRule="auto"/>
              <w:rPr>
                <w:rFonts w:ascii="Times New Roman" w:hAnsi="Times New Roman"/>
                <w:b/>
                <w:bCs/>
              </w:rPr>
            </w:pPr>
            <w:r w:rsidRPr="00AE79AC">
              <w:rPr>
                <w:rFonts w:ascii="Times New Roman" w:hAnsi="Times New Roman"/>
                <w:b/>
              </w:rPr>
              <w:t>Obligacje zabezpieczone – wartość ekspozycji wskaźnika dźwigni – ekspozycje według metody IRB</w:t>
            </w:r>
          </w:p>
          <w:p w:rsidR="002509B1" w:rsidRPr="00AE79AC" w:rsidRDefault="002509B1" w:rsidP="007E2A41">
            <w:pPr>
              <w:pStyle w:val="BodyText1"/>
              <w:spacing w:line="240" w:lineRule="auto"/>
              <w:rPr>
                <w:rFonts w:ascii="Times New Roman" w:hAnsi="Times New Roman"/>
                <w:b/>
                <w:bCs/>
              </w:rPr>
            </w:pPr>
          </w:p>
          <w:p w:rsidR="009C4E79" w:rsidRPr="00AE79AC" w:rsidRDefault="00F4754B" w:rsidP="007E2A41">
            <w:pPr>
              <w:pStyle w:val="BodyText1"/>
              <w:spacing w:line="240" w:lineRule="auto"/>
              <w:rPr>
                <w:rFonts w:ascii="Times New Roman" w:hAnsi="Times New Roman"/>
                <w:bCs/>
              </w:rPr>
            </w:pPr>
            <w:r w:rsidRPr="00AE79AC">
              <w:rPr>
                <w:rFonts w:ascii="Times New Roman" w:hAnsi="Times New Roman"/>
              </w:rPr>
              <w:t xml:space="preserve">Wartość ekspozycji wskaźnika dźwigni dla aktywów stanowiących ekspozycje w postaci obligacji zabezpieczonych zdefiniowanych w </w:t>
            </w:r>
            <w:r w:rsidRPr="002341B6">
              <w:rPr>
                <w:rFonts w:ascii="Times New Roman" w:hAnsi="Times New Roman"/>
              </w:rPr>
              <w:t>art.</w:t>
            </w:r>
            <w:r w:rsidR="002341B6" w:rsidRPr="002341B6">
              <w:rPr>
                <w:rFonts w:ascii="Times New Roman" w:hAnsi="Times New Roman"/>
              </w:rPr>
              <w:t> </w:t>
            </w:r>
            <w:r w:rsidRPr="002341B6">
              <w:rPr>
                <w:rFonts w:ascii="Times New Roman" w:hAnsi="Times New Roman"/>
              </w:rPr>
              <w:t>1</w:t>
            </w:r>
            <w:r w:rsidRPr="00AE79AC">
              <w:rPr>
                <w:rFonts w:ascii="Times New Roman" w:hAnsi="Times New Roman"/>
              </w:rPr>
              <w:t xml:space="preserve">61 </w:t>
            </w:r>
            <w:r w:rsidRPr="002341B6">
              <w:rPr>
                <w:rFonts w:ascii="Times New Roman" w:hAnsi="Times New Roman"/>
              </w:rPr>
              <w:t>ust.</w:t>
            </w:r>
            <w:r w:rsidR="002341B6" w:rsidRPr="002341B6">
              <w:rPr>
                <w:rFonts w:ascii="Times New Roman" w:hAnsi="Times New Roman"/>
              </w:rPr>
              <w:t> </w:t>
            </w:r>
            <w:r w:rsidRPr="002341B6">
              <w:rPr>
                <w:rFonts w:ascii="Times New Roman" w:hAnsi="Times New Roman"/>
              </w:rPr>
              <w:t>1</w:t>
            </w:r>
            <w:r w:rsidRPr="00AE79AC">
              <w:rPr>
                <w:rFonts w:ascii="Times New Roman" w:hAnsi="Times New Roman"/>
              </w:rPr>
              <w:t xml:space="preserve"> </w:t>
            </w:r>
            <w:r w:rsidRPr="002341B6">
              <w:rPr>
                <w:rFonts w:ascii="Times New Roman" w:hAnsi="Times New Roman"/>
              </w:rPr>
              <w:t>lit.</w:t>
            </w:r>
            <w:r w:rsidR="002341B6" w:rsidRPr="002341B6">
              <w:rPr>
                <w:rFonts w:ascii="Times New Roman" w:hAnsi="Times New Roman"/>
              </w:rPr>
              <w:t> </w:t>
            </w:r>
            <w:r w:rsidRPr="002341B6">
              <w:rPr>
                <w:rFonts w:ascii="Times New Roman" w:hAnsi="Times New Roman"/>
              </w:rPr>
              <w:t>d)</w:t>
            </w:r>
            <w:r w:rsidRPr="00AE79AC">
              <w:rPr>
                <w:rFonts w:ascii="Times New Roman" w:hAnsi="Times New Roman"/>
              </w:rPr>
              <w:t xml:space="preserve"> CRR. </w:t>
            </w:r>
          </w:p>
          <w:p w:rsidR="009C4E79" w:rsidRPr="00AE79AC" w:rsidRDefault="009C4E79" w:rsidP="007E2A41">
            <w:pPr>
              <w:pStyle w:val="BodyText1"/>
              <w:spacing w:line="240" w:lineRule="auto"/>
              <w:rPr>
                <w:rFonts w:ascii="Times New Roman" w:hAnsi="Times New Roman"/>
                <w:bCs/>
              </w:rPr>
            </w:pPr>
          </w:p>
          <w:p w:rsidR="009C4E79" w:rsidRPr="00AE79AC" w:rsidRDefault="009C4E79" w:rsidP="009C4E79">
            <w:pPr>
              <w:pStyle w:val="BodyText1"/>
              <w:spacing w:line="240" w:lineRule="auto"/>
              <w:rPr>
                <w:rFonts w:ascii="Times New Roman" w:hAnsi="Times New Roman"/>
                <w:bCs/>
              </w:rPr>
            </w:pPr>
            <w:r w:rsidRPr="00AE79AC">
              <w:rPr>
                <w:rFonts w:ascii="Times New Roman" w:hAnsi="Times New Roman"/>
              </w:rPr>
              <w:t>Instytucje nie zgłaszają tu ekspozycji, których dotyczy niewykonanie zobowiązania.</w:t>
            </w:r>
          </w:p>
          <w:p w:rsidR="002509B1" w:rsidRPr="00AE79AC" w:rsidRDefault="002509B1" w:rsidP="007E2A41">
            <w:pPr>
              <w:pStyle w:val="BodyText1"/>
              <w:spacing w:line="240" w:lineRule="auto"/>
              <w:rPr>
                <w:rFonts w:ascii="Times New Roman" w:hAnsi="Times New Roman"/>
                <w:bCs/>
              </w:rPr>
            </w:pPr>
          </w:p>
        </w:tc>
      </w:tr>
      <w:tr w:rsidR="00F4754B" w:rsidRPr="00AE79AC" w:rsidTr="0053335C">
        <w:trPr>
          <w:trHeight w:val="71"/>
        </w:trPr>
        <w:tc>
          <w:tcPr>
            <w:tcW w:w="1111" w:type="dxa"/>
            <w:shd w:val="clear" w:color="auto" w:fill="FFFFFF"/>
          </w:tcPr>
          <w:p w:rsidR="00F4754B" w:rsidRPr="00AE79AC" w:rsidRDefault="00F4754B" w:rsidP="006423CC">
            <w:pPr>
              <w:pStyle w:val="BodyText1"/>
              <w:rPr>
                <w:rFonts w:ascii="Times New Roman" w:hAnsi="Times New Roman"/>
                <w:bCs/>
              </w:rPr>
            </w:pPr>
            <w:r w:rsidRPr="00AE79AC">
              <w:rPr>
                <w:rFonts w:ascii="Times New Roman" w:hAnsi="Times New Roman"/>
              </w:rPr>
              <w:t>{080;030}</w:t>
            </w:r>
          </w:p>
        </w:tc>
        <w:tc>
          <w:tcPr>
            <w:tcW w:w="8133" w:type="dxa"/>
            <w:shd w:val="clear" w:color="auto" w:fill="FFFFFF"/>
          </w:tcPr>
          <w:p w:rsidR="00F4754B" w:rsidRPr="00AE79AC" w:rsidRDefault="00F4754B" w:rsidP="007E2A41">
            <w:pPr>
              <w:pStyle w:val="BodyText1"/>
              <w:spacing w:line="240" w:lineRule="auto"/>
              <w:rPr>
                <w:rFonts w:ascii="Times New Roman" w:hAnsi="Times New Roman"/>
                <w:b/>
                <w:bCs/>
              </w:rPr>
            </w:pPr>
            <w:r w:rsidRPr="00AE79AC">
              <w:rPr>
                <w:rFonts w:ascii="Times New Roman" w:hAnsi="Times New Roman"/>
                <w:b/>
              </w:rPr>
              <w:t>Obligacje zabezpieczone – aktywa ważone ryzykiem – ekspozycje według metody standardowej</w:t>
            </w:r>
          </w:p>
          <w:p w:rsidR="002509B1" w:rsidRPr="00AE79AC" w:rsidRDefault="002509B1" w:rsidP="007E2A41">
            <w:pPr>
              <w:pStyle w:val="BodyText1"/>
              <w:spacing w:line="240" w:lineRule="auto"/>
              <w:rPr>
                <w:rFonts w:ascii="Times New Roman" w:hAnsi="Times New Roman"/>
                <w:b/>
                <w:bCs/>
              </w:rPr>
            </w:pPr>
          </w:p>
          <w:p w:rsidR="00F4754B" w:rsidRPr="00AE79AC" w:rsidRDefault="00F4754B" w:rsidP="007E2A41">
            <w:pPr>
              <w:pStyle w:val="BodyText1"/>
              <w:spacing w:line="240" w:lineRule="auto"/>
              <w:rPr>
                <w:rFonts w:ascii="Times New Roman" w:hAnsi="Times New Roman"/>
                <w:bCs/>
              </w:rPr>
            </w:pPr>
            <w:r w:rsidRPr="00AE79AC">
              <w:rPr>
                <w:rFonts w:ascii="Times New Roman" w:hAnsi="Times New Roman"/>
              </w:rPr>
              <w:t xml:space="preserve">Kwota ekspozycji ważonej ryzykiem dla aktywów stanowiących ekspozycje w postaci obligacji zabezpieczonych zgodnie z art. 129 CRR. </w:t>
            </w:r>
          </w:p>
          <w:p w:rsidR="00086A8A" w:rsidRPr="00AE79AC" w:rsidRDefault="00086A8A" w:rsidP="007E2A41">
            <w:pPr>
              <w:pStyle w:val="BodyText1"/>
              <w:spacing w:line="240" w:lineRule="auto"/>
              <w:rPr>
                <w:rFonts w:ascii="Times New Roman" w:hAnsi="Times New Roman"/>
                <w:bCs/>
              </w:rPr>
            </w:pPr>
          </w:p>
          <w:p w:rsidR="002509B1" w:rsidRPr="00AE79AC" w:rsidRDefault="00086A8A" w:rsidP="007E2A41">
            <w:pPr>
              <w:pStyle w:val="BodyText1"/>
              <w:spacing w:line="240" w:lineRule="auto"/>
              <w:rPr>
                <w:rFonts w:ascii="Times New Roman" w:hAnsi="Times New Roman"/>
                <w:b/>
                <w:bCs/>
                <w:u w:val="single"/>
              </w:rPr>
            </w:pPr>
            <w:r w:rsidRPr="00AE79AC">
              <w:rPr>
                <w:rFonts w:ascii="Times New Roman" w:hAnsi="Times New Roman"/>
              </w:rPr>
              <w:t>Instytucje nie zgłaszają tu ekspozycji, których dotyczy niewykonanie zobowiązania.</w:t>
            </w:r>
          </w:p>
          <w:p w:rsidR="00086A8A" w:rsidRPr="00AE79AC" w:rsidRDefault="00086A8A" w:rsidP="007E2A41">
            <w:pPr>
              <w:pStyle w:val="BodyText1"/>
              <w:spacing w:line="240" w:lineRule="auto"/>
              <w:rPr>
                <w:rFonts w:ascii="Times New Roman" w:hAnsi="Times New Roman"/>
                <w:b/>
                <w:bCs/>
                <w:u w:val="single"/>
              </w:rPr>
            </w:pPr>
          </w:p>
        </w:tc>
      </w:tr>
      <w:tr w:rsidR="00F4754B" w:rsidRPr="00AE79AC" w:rsidTr="0053335C">
        <w:trPr>
          <w:trHeight w:val="71"/>
        </w:trPr>
        <w:tc>
          <w:tcPr>
            <w:tcW w:w="1111" w:type="dxa"/>
            <w:shd w:val="clear" w:color="auto" w:fill="FFFFFF"/>
          </w:tcPr>
          <w:p w:rsidR="00F4754B" w:rsidRPr="00AE79AC" w:rsidRDefault="00F4754B" w:rsidP="006423CC">
            <w:pPr>
              <w:pStyle w:val="BodyText1"/>
              <w:rPr>
                <w:rFonts w:ascii="Times New Roman" w:hAnsi="Times New Roman"/>
                <w:bCs/>
              </w:rPr>
            </w:pPr>
            <w:r w:rsidRPr="00AE79AC">
              <w:rPr>
                <w:rFonts w:ascii="Times New Roman" w:hAnsi="Times New Roman"/>
              </w:rPr>
              <w:t>{080;040}</w:t>
            </w:r>
          </w:p>
        </w:tc>
        <w:tc>
          <w:tcPr>
            <w:tcW w:w="8133" w:type="dxa"/>
            <w:shd w:val="clear" w:color="auto" w:fill="FFFFFF"/>
          </w:tcPr>
          <w:p w:rsidR="00F4754B" w:rsidRPr="00AE79AC" w:rsidRDefault="00F4754B" w:rsidP="007E2A41">
            <w:pPr>
              <w:pStyle w:val="BodyText1"/>
              <w:spacing w:line="240" w:lineRule="auto"/>
              <w:rPr>
                <w:rFonts w:ascii="Times New Roman" w:hAnsi="Times New Roman"/>
                <w:b/>
                <w:bCs/>
              </w:rPr>
            </w:pPr>
            <w:r w:rsidRPr="00AE79AC">
              <w:rPr>
                <w:rFonts w:ascii="Times New Roman" w:hAnsi="Times New Roman"/>
                <w:b/>
              </w:rPr>
              <w:t>Obligacje zabezpieczone – aktywa ważone ryzykiem – ekspozycje według metody IRB</w:t>
            </w:r>
          </w:p>
          <w:p w:rsidR="002509B1" w:rsidRPr="00AE79AC" w:rsidRDefault="002509B1" w:rsidP="007E2A41">
            <w:pPr>
              <w:pStyle w:val="BodyText1"/>
              <w:spacing w:line="240" w:lineRule="auto"/>
              <w:rPr>
                <w:rFonts w:ascii="Times New Roman" w:hAnsi="Times New Roman"/>
                <w:b/>
                <w:bCs/>
              </w:rPr>
            </w:pPr>
          </w:p>
          <w:p w:rsidR="00F4754B" w:rsidRPr="00AE79AC" w:rsidRDefault="00F4754B" w:rsidP="007E2A41">
            <w:pPr>
              <w:pStyle w:val="BodyText1"/>
              <w:spacing w:line="240" w:lineRule="auto"/>
              <w:rPr>
                <w:rFonts w:ascii="Times New Roman" w:hAnsi="Times New Roman"/>
                <w:bCs/>
              </w:rPr>
            </w:pPr>
            <w:r w:rsidRPr="00AE79AC">
              <w:rPr>
                <w:rFonts w:ascii="Times New Roman" w:hAnsi="Times New Roman"/>
              </w:rPr>
              <w:t xml:space="preserve">Kwota ekspozycji ważonej ryzykiem dla aktywów stanowiących ekspozycje w postaci obligacji zabezpieczonych zgodnie z art. 161 ust. 1 lit. d) CRR. </w:t>
            </w:r>
          </w:p>
          <w:p w:rsidR="002509B1" w:rsidRPr="00AE79AC" w:rsidRDefault="002509B1" w:rsidP="007E2A41">
            <w:pPr>
              <w:pStyle w:val="BodyText1"/>
              <w:spacing w:line="240" w:lineRule="auto"/>
              <w:rPr>
                <w:rFonts w:ascii="Times New Roman" w:hAnsi="Times New Roman"/>
                <w:bCs/>
              </w:rPr>
            </w:pPr>
          </w:p>
          <w:p w:rsidR="009C4E79" w:rsidRPr="00AE79AC" w:rsidRDefault="009C4E79" w:rsidP="009C4E79">
            <w:pPr>
              <w:pStyle w:val="BodyText1"/>
              <w:spacing w:line="240" w:lineRule="auto"/>
              <w:rPr>
                <w:rFonts w:ascii="Times New Roman" w:hAnsi="Times New Roman"/>
                <w:bCs/>
              </w:rPr>
            </w:pPr>
            <w:r w:rsidRPr="00AE79AC">
              <w:rPr>
                <w:rFonts w:ascii="Times New Roman" w:hAnsi="Times New Roman"/>
              </w:rPr>
              <w:t>Instytucje nie zgłaszają tu ekspozycji, których dotyczy niewykonanie zobowiązania.</w:t>
            </w:r>
          </w:p>
          <w:p w:rsidR="009C4E79" w:rsidRPr="00AE79AC" w:rsidRDefault="009C4E79" w:rsidP="007E2A41">
            <w:pPr>
              <w:pStyle w:val="BodyText1"/>
              <w:spacing w:line="240" w:lineRule="auto"/>
              <w:rPr>
                <w:rFonts w:ascii="Times New Roman" w:hAnsi="Times New Roman"/>
                <w:bCs/>
              </w:rPr>
            </w:pPr>
          </w:p>
        </w:tc>
      </w:tr>
      <w:tr w:rsidR="00F4754B" w:rsidRPr="00AE79AC" w:rsidTr="0053335C">
        <w:trPr>
          <w:trHeight w:val="71"/>
        </w:trPr>
        <w:tc>
          <w:tcPr>
            <w:tcW w:w="1111" w:type="dxa"/>
            <w:shd w:val="clear" w:color="auto" w:fill="FFFFFF"/>
          </w:tcPr>
          <w:p w:rsidR="00F4754B" w:rsidRPr="00AE79AC" w:rsidRDefault="00F4754B" w:rsidP="006423CC">
            <w:pPr>
              <w:pStyle w:val="BodyText1"/>
              <w:rPr>
                <w:rFonts w:ascii="Times New Roman" w:hAnsi="Times New Roman"/>
              </w:rPr>
            </w:pPr>
            <w:r w:rsidRPr="00AE79AC">
              <w:rPr>
                <w:rFonts w:ascii="Times New Roman" w:hAnsi="Times New Roman"/>
              </w:rPr>
              <w:t>{090,010}</w:t>
            </w:r>
          </w:p>
        </w:tc>
        <w:tc>
          <w:tcPr>
            <w:tcW w:w="8133" w:type="dxa"/>
            <w:shd w:val="clear" w:color="auto" w:fill="FFFFFF"/>
          </w:tcPr>
          <w:p w:rsidR="00F4754B" w:rsidRPr="00AE79AC" w:rsidRDefault="00F4754B" w:rsidP="007E2A41">
            <w:pPr>
              <w:pStyle w:val="BodyText1"/>
              <w:spacing w:line="240" w:lineRule="auto"/>
              <w:rPr>
                <w:rFonts w:ascii="Times New Roman" w:hAnsi="Times New Roman"/>
                <w:b/>
                <w:bCs/>
              </w:rPr>
            </w:pPr>
            <w:r w:rsidRPr="00AE79AC">
              <w:rPr>
                <w:rFonts w:ascii="Times New Roman" w:hAnsi="Times New Roman"/>
                <w:b/>
              </w:rPr>
              <w:t>Ekspozycje traktowane jako ekspozycje wobec państwa – wartość ekspozycji wskaźnika dźwigni – ekspozycje według metody standardowej</w:t>
            </w:r>
          </w:p>
          <w:p w:rsidR="002509B1" w:rsidRPr="00AE79AC" w:rsidRDefault="002509B1" w:rsidP="007E2A41">
            <w:pPr>
              <w:pStyle w:val="BodyText1"/>
              <w:spacing w:line="240" w:lineRule="auto"/>
              <w:rPr>
                <w:rFonts w:ascii="Times New Roman" w:hAnsi="Times New Roman"/>
                <w:b/>
                <w:bCs/>
              </w:rPr>
            </w:pPr>
          </w:p>
          <w:p w:rsidR="00F4754B" w:rsidRPr="00AE79AC" w:rsidRDefault="00F4754B" w:rsidP="007E2A41">
            <w:pPr>
              <w:pStyle w:val="BodyText1"/>
              <w:spacing w:line="240" w:lineRule="auto"/>
              <w:rPr>
                <w:rFonts w:ascii="Times New Roman" w:hAnsi="Times New Roman"/>
                <w:bCs/>
              </w:rPr>
            </w:pPr>
            <w:r w:rsidRPr="00AE79AC">
              <w:rPr>
                <w:rFonts w:ascii="Times New Roman" w:hAnsi="Times New Roman"/>
              </w:rPr>
              <w:t>Jest to suma komórek od {100,010} do {130,010}.</w:t>
            </w:r>
          </w:p>
          <w:p w:rsidR="00086A8A" w:rsidRPr="00AE79AC" w:rsidRDefault="00086A8A" w:rsidP="007E2A41">
            <w:pPr>
              <w:pStyle w:val="BodyText1"/>
              <w:spacing w:line="240" w:lineRule="auto"/>
              <w:rPr>
                <w:rFonts w:ascii="Times New Roman" w:hAnsi="Times New Roman"/>
                <w:bCs/>
              </w:rPr>
            </w:pPr>
          </w:p>
          <w:p w:rsidR="00086A8A" w:rsidRPr="00AE79AC" w:rsidRDefault="00086A8A" w:rsidP="007E2A41">
            <w:pPr>
              <w:pStyle w:val="BodyText1"/>
              <w:spacing w:line="240" w:lineRule="auto"/>
              <w:rPr>
                <w:rFonts w:ascii="Times New Roman" w:hAnsi="Times New Roman"/>
                <w:bCs/>
              </w:rPr>
            </w:pPr>
            <w:r w:rsidRPr="00AE79AC">
              <w:rPr>
                <w:rFonts w:ascii="Times New Roman" w:hAnsi="Times New Roman"/>
              </w:rPr>
              <w:t>Instytucje nie zgłaszają tu ekspozycji, których dotyczy niewykonanie zobowiązania.</w:t>
            </w:r>
          </w:p>
          <w:p w:rsidR="002509B1" w:rsidRPr="00AE79AC" w:rsidRDefault="002509B1" w:rsidP="007E2A41">
            <w:pPr>
              <w:pStyle w:val="BodyText1"/>
              <w:spacing w:line="240" w:lineRule="auto"/>
              <w:rPr>
                <w:rFonts w:ascii="Times New Roman" w:hAnsi="Times New Roman"/>
              </w:rPr>
            </w:pPr>
          </w:p>
        </w:tc>
      </w:tr>
      <w:tr w:rsidR="00F4754B" w:rsidRPr="00AE79AC" w:rsidTr="0053335C">
        <w:trPr>
          <w:trHeight w:val="71"/>
        </w:trPr>
        <w:tc>
          <w:tcPr>
            <w:tcW w:w="1111" w:type="dxa"/>
            <w:shd w:val="clear" w:color="auto" w:fill="FFFFFF"/>
          </w:tcPr>
          <w:p w:rsidR="00F4754B" w:rsidRPr="00AE79AC" w:rsidRDefault="00F4754B" w:rsidP="006423CC">
            <w:pPr>
              <w:pStyle w:val="BodyText1"/>
              <w:rPr>
                <w:rFonts w:ascii="Times New Roman" w:hAnsi="Times New Roman"/>
                <w:bCs/>
              </w:rPr>
            </w:pPr>
            <w:r w:rsidRPr="00AE79AC">
              <w:rPr>
                <w:rFonts w:ascii="Times New Roman" w:hAnsi="Times New Roman"/>
              </w:rPr>
              <w:t>{090;020}</w:t>
            </w:r>
          </w:p>
        </w:tc>
        <w:tc>
          <w:tcPr>
            <w:tcW w:w="8133" w:type="dxa"/>
            <w:shd w:val="clear" w:color="auto" w:fill="FFFFFF"/>
          </w:tcPr>
          <w:p w:rsidR="00F4754B" w:rsidRPr="00AE79AC" w:rsidRDefault="00F4754B" w:rsidP="007E2A41">
            <w:pPr>
              <w:pStyle w:val="BodyText1"/>
              <w:spacing w:line="240" w:lineRule="auto"/>
              <w:rPr>
                <w:rFonts w:ascii="Times New Roman" w:hAnsi="Times New Roman"/>
                <w:b/>
                <w:bCs/>
              </w:rPr>
            </w:pPr>
            <w:r w:rsidRPr="00AE79AC">
              <w:rPr>
                <w:rFonts w:ascii="Times New Roman" w:hAnsi="Times New Roman"/>
                <w:b/>
              </w:rPr>
              <w:t>Ekspozycje traktowane jako ekspozycje wobec państwa – wartość ekspozycji wskaźnika dźwigni – ekspozycje według metody IRB</w:t>
            </w:r>
          </w:p>
          <w:p w:rsidR="002509B1" w:rsidRPr="00AE79AC" w:rsidRDefault="002509B1" w:rsidP="007E2A41">
            <w:pPr>
              <w:pStyle w:val="BodyText1"/>
              <w:spacing w:line="240" w:lineRule="auto"/>
              <w:rPr>
                <w:rFonts w:ascii="Times New Roman" w:hAnsi="Times New Roman"/>
                <w:b/>
                <w:bCs/>
              </w:rPr>
            </w:pPr>
          </w:p>
          <w:p w:rsidR="00F4754B" w:rsidRPr="00AE79AC" w:rsidRDefault="00F4754B" w:rsidP="007E2A41">
            <w:pPr>
              <w:pStyle w:val="BodyText1"/>
              <w:spacing w:line="240" w:lineRule="auto"/>
              <w:rPr>
                <w:rFonts w:ascii="Times New Roman" w:hAnsi="Times New Roman"/>
                <w:bCs/>
              </w:rPr>
            </w:pPr>
            <w:r w:rsidRPr="00AE79AC">
              <w:rPr>
                <w:rFonts w:ascii="Times New Roman" w:hAnsi="Times New Roman"/>
              </w:rPr>
              <w:t>Jest to suma komórek od {100,020} do {130,020}.</w:t>
            </w:r>
          </w:p>
          <w:p w:rsidR="009C4E79" w:rsidRPr="00AE79AC" w:rsidRDefault="009C4E79" w:rsidP="007E2A41">
            <w:pPr>
              <w:pStyle w:val="BodyText1"/>
              <w:spacing w:line="240" w:lineRule="auto"/>
              <w:rPr>
                <w:rFonts w:ascii="Times New Roman" w:hAnsi="Times New Roman"/>
                <w:bCs/>
              </w:rPr>
            </w:pPr>
          </w:p>
          <w:p w:rsidR="009C4E79" w:rsidRPr="00AE79AC" w:rsidRDefault="009C4E79" w:rsidP="009C4E79">
            <w:pPr>
              <w:pStyle w:val="BodyText1"/>
              <w:spacing w:line="240" w:lineRule="auto"/>
              <w:rPr>
                <w:rFonts w:ascii="Times New Roman" w:hAnsi="Times New Roman"/>
                <w:bCs/>
              </w:rPr>
            </w:pPr>
            <w:r w:rsidRPr="00AE79AC">
              <w:rPr>
                <w:rFonts w:ascii="Times New Roman" w:hAnsi="Times New Roman"/>
              </w:rPr>
              <w:t>Instytucje nie zgłaszają tu ekspozycji, których dotyczy niewykonanie zobowiązania.</w:t>
            </w:r>
          </w:p>
          <w:p w:rsidR="002509B1" w:rsidRPr="00AE79AC" w:rsidRDefault="002509B1" w:rsidP="007E2A41">
            <w:pPr>
              <w:pStyle w:val="BodyText1"/>
              <w:spacing w:line="240" w:lineRule="auto"/>
              <w:rPr>
                <w:rFonts w:ascii="Times New Roman" w:hAnsi="Times New Roman"/>
                <w:b/>
                <w:bCs/>
                <w:u w:val="single"/>
              </w:rPr>
            </w:pPr>
          </w:p>
        </w:tc>
      </w:tr>
      <w:tr w:rsidR="00F4754B" w:rsidRPr="00AE79AC" w:rsidTr="0053335C">
        <w:trPr>
          <w:trHeight w:val="71"/>
        </w:trPr>
        <w:tc>
          <w:tcPr>
            <w:tcW w:w="1111" w:type="dxa"/>
            <w:shd w:val="clear" w:color="auto" w:fill="FFFFFF"/>
          </w:tcPr>
          <w:p w:rsidR="00F4754B" w:rsidRPr="00AE79AC" w:rsidRDefault="00F4754B" w:rsidP="006423CC">
            <w:pPr>
              <w:pStyle w:val="BodyText1"/>
              <w:rPr>
                <w:rFonts w:ascii="Times New Roman" w:hAnsi="Times New Roman"/>
                <w:bCs/>
              </w:rPr>
            </w:pPr>
            <w:r w:rsidRPr="00AE79AC">
              <w:rPr>
                <w:rFonts w:ascii="Times New Roman" w:hAnsi="Times New Roman"/>
              </w:rPr>
              <w:t>{090;030}</w:t>
            </w:r>
          </w:p>
        </w:tc>
        <w:tc>
          <w:tcPr>
            <w:tcW w:w="8133" w:type="dxa"/>
            <w:shd w:val="clear" w:color="auto" w:fill="FFFFFF"/>
          </w:tcPr>
          <w:p w:rsidR="00F4754B" w:rsidRPr="00AE79AC" w:rsidRDefault="00F4754B" w:rsidP="007E2A41">
            <w:pPr>
              <w:pStyle w:val="BodyText1"/>
              <w:spacing w:line="240" w:lineRule="auto"/>
              <w:rPr>
                <w:rFonts w:ascii="Times New Roman" w:hAnsi="Times New Roman"/>
                <w:b/>
                <w:bCs/>
              </w:rPr>
            </w:pPr>
            <w:r w:rsidRPr="00AE79AC">
              <w:rPr>
                <w:rFonts w:ascii="Times New Roman" w:hAnsi="Times New Roman"/>
                <w:b/>
              </w:rPr>
              <w:t>Ekspozycje traktowane jako ekspozycje wobec państwa – aktywa ważone ryzykiem – ekspozycje według metody standardowej</w:t>
            </w:r>
          </w:p>
          <w:p w:rsidR="002509B1" w:rsidRPr="00AE79AC" w:rsidRDefault="002509B1" w:rsidP="007E2A41">
            <w:pPr>
              <w:pStyle w:val="BodyText1"/>
              <w:spacing w:line="240" w:lineRule="auto"/>
              <w:rPr>
                <w:rFonts w:ascii="Times New Roman" w:hAnsi="Times New Roman"/>
                <w:b/>
                <w:bCs/>
              </w:rPr>
            </w:pPr>
          </w:p>
          <w:p w:rsidR="00F4754B" w:rsidRPr="00AE79AC" w:rsidRDefault="00F4754B" w:rsidP="007E2A41">
            <w:pPr>
              <w:pStyle w:val="BodyText1"/>
              <w:spacing w:line="240" w:lineRule="auto"/>
              <w:rPr>
                <w:rFonts w:ascii="Times New Roman" w:hAnsi="Times New Roman"/>
                <w:bCs/>
              </w:rPr>
            </w:pPr>
            <w:r w:rsidRPr="00AE79AC">
              <w:rPr>
                <w:rFonts w:ascii="Times New Roman" w:hAnsi="Times New Roman"/>
              </w:rPr>
              <w:t>Jest to suma komórek od {100,030} do {130,030}.</w:t>
            </w:r>
          </w:p>
          <w:p w:rsidR="00086A8A" w:rsidRPr="00AE79AC" w:rsidRDefault="00086A8A" w:rsidP="007E2A41">
            <w:pPr>
              <w:pStyle w:val="BodyText1"/>
              <w:spacing w:line="240" w:lineRule="auto"/>
              <w:rPr>
                <w:rFonts w:ascii="Times New Roman" w:hAnsi="Times New Roman"/>
                <w:bCs/>
              </w:rPr>
            </w:pPr>
          </w:p>
          <w:p w:rsidR="00086A8A" w:rsidRPr="00AE79AC" w:rsidRDefault="00086A8A" w:rsidP="007E2A41">
            <w:pPr>
              <w:pStyle w:val="BodyText1"/>
              <w:spacing w:line="240" w:lineRule="auto"/>
              <w:rPr>
                <w:rFonts w:ascii="Times New Roman" w:hAnsi="Times New Roman"/>
                <w:bCs/>
              </w:rPr>
            </w:pPr>
            <w:r w:rsidRPr="00AE79AC">
              <w:rPr>
                <w:rFonts w:ascii="Times New Roman" w:hAnsi="Times New Roman"/>
              </w:rPr>
              <w:t>Instytucje nie zgłaszają tu ekspozycji, których dotyczy niewykonanie zobowiązania.</w:t>
            </w:r>
          </w:p>
          <w:p w:rsidR="002509B1" w:rsidRPr="00AE79AC" w:rsidRDefault="002509B1" w:rsidP="007E2A41">
            <w:pPr>
              <w:pStyle w:val="BodyText1"/>
              <w:spacing w:line="240" w:lineRule="auto"/>
              <w:rPr>
                <w:rFonts w:ascii="Times New Roman" w:hAnsi="Times New Roman"/>
                <w:b/>
                <w:bCs/>
                <w:u w:val="single"/>
              </w:rPr>
            </w:pPr>
          </w:p>
        </w:tc>
      </w:tr>
      <w:tr w:rsidR="00F4754B" w:rsidRPr="00AE79AC" w:rsidTr="0053335C">
        <w:trPr>
          <w:trHeight w:val="71"/>
        </w:trPr>
        <w:tc>
          <w:tcPr>
            <w:tcW w:w="1111" w:type="dxa"/>
            <w:shd w:val="clear" w:color="auto" w:fill="FFFFFF"/>
          </w:tcPr>
          <w:p w:rsidR="00F4754B" w:rsidRPr="00AE79AC" w:rsidRDefault="00F4754B" w:rsidP="006423CC">
            <w:pPr>
              <w:pStyle w:val="BodyText1"/>
              <w:rPr>
                <w:rFonts w:ascii="Times New Roman" w:hAnsi="Times New Roman"/>
                <w:bCs/>
              </w:rPr>
            </w:pPr>
            <w:r w:rsidRPr="00AE79AC">
              <w:rPr>
                <w:rFonts w:ascii="Times New Roman" w:hAnsi="Times New Roman"/>
              </w:rPr>
              <w:t>{090;040}</w:t>
            </w:r>
          </w:p>
        </w:tc>
        <w:tc>
          <w:tcPr>
            <w:tcW w:w="8133" w:type="dxa"/>
            <w:shd w:val="clear" w:color="auto" w:fill="FFFFFF"/>
          </w:tcPr>
          <w:p w:rsidR="00F4754B" w:rsidRPr="00AE79AC" w:rsidRDefault="00F4754B" w:rsidP="007E2A41">
            <w:pPr>
              <w:pStyle w:val="BodyText1"/>
              <w:spacing w:line="240" w:lineRule="auto"/>
              <w:rPr>
                <w:rFonts w:ascii="Times New Roman" w:hAnsi="Times New Roman"/>
                <w:b/>
                <w:bCs/>
              </w:rPr>
            </w:pPr>
            <w:r w:rsidRPr="00AE79AC">
              <w:rPr>
                <w:rFonts w:ascii="Times New Roman" w:hAnsi="Times New Roman"/>
                <w:b/>
              </w:rPr>
              <w:t>Ekspozycje traktowane jako ekspozycje wobec państwa – aktywa ważone ryzykiem – ekspozycje według metody IRB</w:t>
            </w:r>
          </w:p>
          <w:p w:rsidR="002509B1" w:rsidRPr="00AE79AC" w:rsidRDefault="002509B1" w:rsidP="007E2A41">
            <w:pPr>
              <w:pStyle w:val="BodyText1"/>
              <w:spacing w:line="240" w:lineRule="auto"/>
              <w:rPr>
                <w:rFonts w:ascii="Times New Roman" w:hAnsi="Times New Roman"/>
                <w:b/>
                <w:bCs/>
              </w:rPr>
            </w:pPr>
          </w:p>
          <w:p w:rsidR="00F4754B" w:rsidRPr="00AE79AC" w:rsidRDefault="00F4754B" w:rsidP="007E2A41">
            <w:pPr>
              <w:pStyle w:val="BodyText1"/>
              <w:spacing w:line="240" w:lineRule="auto"/>
              <w:rPr>
                <w:rFonts w:ascii="Times New Roman" w:hAnsi="Times New Roman"/>
                <w:bCs/>
              </w:rPr>
            </w:pPr>
            <w:r w:rsidRPr="00AE79AC">
              <w:rPr>
                <w:rFonts w:ascii="Times New Roman" w:hAnsi="Times New Roman"/>
              </w:rPr>
              <w:t>Jest to suma komórek od {100,040} do {130,040}.</w:t>
            </w:r>
          </w:p>
          <w:p w:rsidR="009C4E79" w:rsidRPr="00AE79AC" w:rsidRDefault="009C4E79" w:rsidP="007E2A41">
            <w:pPr>
              <w:pStyle w:val="BodyText1"/>
              <w:spacing w:line="240" w:lineRule="auto"/>
              <w:rPr>
                <w:rFonts w:ascii="Times New Roman" w:hAnsi="Times New Roman"/>
                <w:bCs/>
              </w:rPr>
            </w:pPr>
          </w:p>
          <w:p w:rsidR="009C4E79" w:rsidRPr="00AE79AC" w:rsidRDefault="009C4E79" w:rsidP="007E2A41">
            <w:pPr>
              <w:pStyle w:val="BodyText1"/>
              <w:spacing w:line="240" w:lineRule="auto"/>
              <w:rPr>
                <w:rFonts w:ascii="Times New Roman" w:hAnsi="Times New Roman"/>
                <w:bCs/>
              </w:rPr>
            </w:pPr>
            <w:r w:rsidRPr="00AE79AC">
              <w:rPr>
                <w:rFonts w:ascii="Times New Roman" w:hAnsi="Times New Roman"/>
              </w:rPr>
              <w:t>Instytucje nie zgłaszają tu ekspozycji, których dotyczy niewykonanie zobowiązania.</w:t>
            </w:r>
          </w:p>
          <w:p w:rsidR="002509B1" w:rsidRPr="00AE79AC" w:rsidRDefault="002509B1" w:rsidP="007E2A41">
            <w:pPr>
              <w:pStyle w:val="BodyText1"/>
              <w:spacing w:line="240" w:lineRule="auto"/>
              <w:rPr>
                <w:rFonts w:ascii="Times New Roman" w:hAnsi="Times New Roman"/>
                <w:b/>
                <w:bCs/>
                <w:u w:val="single"/>
              </w:rPr>
            </w:pPr>
          </w:p>
        </w:tc>
      </w:tr>
      <w:tr w:rsidR="00F4754B" w:rsidRPr="00AE79AC" w:rsidTr="0053335C">
        <w:trPr>
          <w:trHeight w:val="71"/>
        </w:trPr>
        <w:tc>
          <w:tcPr>
            <w:tcW w:w="1111" w:type="dxa"/>
            <w:shd w:val="clear" w:color="auto" w:fill="FFFFFF"/>
          </w:tcPr>
          <w:p w:rsidR="00F4754B" w:rsidRPr="00AE79AC" w:rsidRDefault="00F4754B" w:rsidP="006423CC">
            <w:pPr>
              <w:pStyle w:val="BodyText1"/>
              <w:rPr>
                <w:rFonts w:ascii="Times New Roman" w:hAnsi="Times New Roman"/>
              </w:rPr>
            </w:pPr>
            <w:r w:rsidRPr="00AE79AC">
              <w:rPr>
                <w:rFonts w:ascii="Times New Roman" w:hAnsi="Times New Roman"/>
              </w:rPr>
              <w:t>{100;010}</w:t>
            </w:r>
          </w:p>
        </w:tc>
        <w:tc>
          <w:tcPr>
            <w:tcW w:w="8133" w:type="dxa"/>
            <w:shd w:val="clear" w:color="auto" w:fill="FFFFFF"/>
          </w:tcPr>
          <w:p w:rsidR="00F4754B" w:rsidRPr="00AE79AC" w:rsidRDefault="00F4754B" w:rsidP="007E2A41">
            <w:pPr>
              <w:pStyle w:val="BodyText1"/>
              <w:spacing w:line="240" w:lineRule="auto"/>
              <w:rPr>
                <w:rFonts w:ascii="Times New Roman" w:hAnsi="Times New Roman"/>
              </w:rPr>
            </w:pPr>
            <w:r w:rsidRPr="00AE79AC">
              <w:rPr>
                <w:rFonts w:ascii="Times New Roman" w:hAnsi="Times New Roman"/>
                <w:b/>
              </w:rPr>
              <w:t>Ekspozycje wobec rządów centralnych i banków centralnych – wartość ekspozycji wskaźnika dźwigni – ekspozycje według metody standardowej</w:t>
            </w:r>
          </w:p>
          <w:p w:rsidR="002509B1" w:rsidRPr="00AE79AC" w:rsidRDefault="002509B1" w:rsidP="007E2A41">
            <w:pPr>
              <w:pStyle w:val="BodyText1"/>
              <w:spacing w:line="240" w:lineRule="auto"/>
              <w:rPr>
                <w:rFonts w:ascii="Times New Roman" w:hAnsi="Times New Roman"/>
              </w:rPr>
            </w:pPr>
          </w:p>
          <w:p w:rsidR="00F4754B" w:rsidRPr="00AE79AC" w:rsidRDefault="00F4754B" w:rsidP="007E2A41">
            <w:pPr>
              <w:pStyle w:val="BodyText1"/>
              <w:spacing w:line="240" w:lineRule="auto"/>
              <w:rPr>
                <w:rFonts w:ascii="Times New Roman" w:hAnsi="Times New Roman"/>
                <w:bCs/>
              </w:rPr>
            </w:pPr>
            <w:r w:rsidRPr="00AE79AC">
              <w:rPr>
                <w:rFonts w:ascii="Times New Roman" w:hAnsi="Times New Roman"/>
              </w:rPr>
              <w:t xml:space="preserve">Wartość ekspozycji wskaźnika dźwigni dla aktywów stanowiących ekspozycje wobec rządów centralnych lub banków centralnych określone w art. 114 CRR. </w:t>
            </w:r>
          </w:p>
          <w:p w:rsidR="00086A8A" w:rsidRPr="00AE79AC" w:rsidRDefault="00086A8A" w:rsidP="007E2A41">
            <w:pPr>
              <w:pStyle w:val="BodyText1"/>
              <w:spacing w:line="240" w:lineRule="auto"/>
              <w:rPr>
                <w:rFonts w:ascii="Times New Roman" w:hAnsi="Times New Roman"/>
                <w:bCs/>
              </w:rPr>
            </w:pPr>
          </w:p>
          <w:p w:rsidR="00086A8A" w:rsidRPr="00AE79AC" w:rsidRDefault="00086A8A" w:rsidP="007E2A41">
            <w:pPr>
              <w:pStyle w:val="BodyText1"/>
              <w:spacing w:line="240" w:lineRule="auto"/>
              <w:rPr>
                <w:rFonts w:ascii="Times New Roman" w:hAnsi="Times New Roman"/>
                <w:bCs/>
              </w:rPr>
            </w:pPr>
            <w:r w:rsidRPr="00AE79AC">
              <w:rPr>
                <w:rFonts w:ascii="Times New Roman" w:hAnsi="Times New Roman"/>
              </w:rPr>
              <w:t>Instytucje nie zgłaszają tu ekspozycji, których dotyczy niewykonanie zobowiązania.</w:t>
            </w:r>
          </w:p>
          <w:p w:rsidR="002509B1" w:rsidRPr="00AE79AC" w:rsidRDefault="002509B1" w:rsidP="007E2A41">
            <w:pPr>
              <w:pStyle w:val="BodyText1"/>
              <w:spacing w:line="240" w:lineRule="auto"/>
              <w:rPr>
                <w:rFonts w:ascii="Times New Roman" w:hAnsi="Times New Roman"/>
                <w:b/>
                <w:bCs/>
                <w:u w:val="single"/>
              </w:rPr>
            </w:pPr>
          </w:p>
        </w:tc>
      </w:tr>
      <w:tr w:rsidR="00F4754B" w:rsidRPr="00AE79AC" w:rsidTr="0053335C">
        <w:trPr>
          <w:trHeight w:val="71"/>
        </w:trPr>
        <w:tc>
          <w:tcPr>
            <w:tcW w:w="1111" w:type="dxa"/>
            <w:shd w:val="clear" w:color="auto" w:fill="FFFFFF"/>
          </w:tcPr>
          <w:p w:rsidR="00F4754B" w:rsidRPr="00AE79AC" w:rsidRDefault="00F4754B" w:rsidP="006423CC">
            <w:pPr>
              <w:pStyle w:val="BodyText1"/>
              <w:rPr>
                <w:rFonts w:ascii="Times New Roman" w:hAnsi="Times New Roman"/>
                <w:bCs/>
              </w:rPr>
            </w:pPr>
            <w:r w:rsidRPr="00AE79AC">
              <w:rPr>
                <w:rFonts w:ascii="Times New Roman" w:hAnsi="Times New Roman"/>
              </w:rPr>
              <w:t>{100;020}</w:t>
            </w:r>
          </w:p>
        </w:tc>
        <w:tc>
          <w:tcPr>
            <w:tcW w:w="8133" w:type="dxa"/>
            <w:shd w:val="clear" w:color="auto" w:fill="FFFFFF"/>
          </w:tcPr>
          <w:p w:rsidR="00F4754B" w:rsidRPr="00AE79AC" w:rsidRDefault="00F4754B" w:rsidP="007E2A41">
            <w:pPr>
              <w:pStyle w:val="BodyText1"/>
              <w:spacing w:line="240" w:lineRule="auto"/>
              <w:rPr>
                <w:rFonts w:ascii="Times New Roman" w:hAnsi="Times New Roman"/>
              </w:rPr>
            </w:pPr>
            <w:r w:rsidRPr="00AE79AC">
              <w:rPr>
                <w:rFonts w:ascii="Times New Roman" w:hAnsi="Times New Roman"/>
                <w:b/>
              </w:rPr>
              <w:t>Ekspozycje wobec rządów centralnych i banków centralnych – wartość ekspozycji wskaźnika dźwigni – ekspozycje według metody IRB</w:t>
            </w:r>
          </w:p>
          <w:p w:rsidR="002509B1" w:rsidRPr="00AE79AC" w:rsidRDefault="002509B1" w:rsidP="007E2A41">
            <w:pPr>
              <w:pStyle w:val="BodyText1"/>
              <w:spacing w:line="240" w:lineRule="auto"/>
              <w:rPr>
                <w:rFonts w:ascii="Times New Roman" w:hAnsi="Times New Roman"/>
              </w:rPr>
            </w:pPr>
          </w:p>
          <w:p w:rsidR="00F4754B" w:rsidRPr="00AE79AC" w:rsidRDefault="00F4754B" w:rsidP="007E2A41">
            <w:pPr>
              <w:pStyle w:val="BodyText1"/>
              <w:spacing w:line="240" w:lineRule="auto"/>
              <w:rPr>
                <w:rFonts w:ascii="Times New Roman" w:hAnsi="Times New Roman"/>
                <w:bCs/>
              </w:rPr>
            </w:pPr>
            <w:r w:rsidRPr="00AE79AC">
              <w:rPr>
                <w:rFonts w:ascii="Times New Roman" w:hAnsi="Times New Roman"/>
              </w:rPr>
              <w:t xml:space="preserve">Wartość ekspozycji wskaźnika dźwigni dla aktywów stanowiących ekspozycje wobec rządów centralnych lub banków centralnych określone w art. 147 ust. 2 lit. a) CRR. </w:t>
            </w:r>
          </w:p>
          <w:p w:rsidR="009C4E79" w:rsidRPr="00AE79AC" w:rsidRDefault="009C4E79" w:rsidP="007E2A41">
            <w:pPr>
              <w:pStyle w:val="BodyText1"/>
              <w:spacing w:line="240" w:lineRule="auto"/>
              <w:rPr>
                <w:rFonts w:ascii="Times New Roman" w:hAnsi="Times New Roman"/>
                <w:bCs/>
              </w:rPr>
            </w:pPr>
          </w:p>
          <w:p w:rsidR="009C4E79" w:rsidRPr="00AE79AC" w:rsidRDefault="009C4E79" w:rsidP="007E2A41">
            <w:pPr>
              <w:pStyle w:val="BodyText1"/>
              <w:spacing w:line="240" w:lineRule="auto"/>
              <w:rPr>
                <w:rFonts w:ascii="Times New Roman" w:hAnsi="Times New Roman"/>
                <w:bCs/>
              </w:rPr>
            </w:pPr>
            <w:r w:rsidRPr="00AE79AC">
              <w:rPr>
                <w:rFonts w:ascii="Times New Roman" w:hAnsi="Times New Roman"/>
              </w:rPr>
              <w:t>Instytucje nie zgłaszają tu ekspozycji, których dotyczy niewykonanie zobowiązania.</w:t>
            </w:r>
          </w:p>
          <w:p w:rsidR="002509B1" w:rsidRPr="00AE79AC" w:rsidRDefault="002509B1" w:rsidP="007E2A41">
            <w:pPr>
              <w:pStyle w:val="BodyText1"/>
              <w:spacing w:line="240" w:lineRule="auto"/>
              <w:rPr>
                <w:rFonts w:ascii="Times New Roman" w:hAnsi="Times New Roman"/>
                <w:bCs/>
              </w:rPr>
            </w:pPr>
          </w:p>
        </w:tc>
      </w:tr>
      <w:tr w:rsidR="00F4754B" w:rsidRPr="00AE79AC" w:rsidTr="0053335C">
        <w:trPr>
          <w:trHeight w:val="71"/>
        </w:trPr>
        <w:tc>
          <w:tcPr>
            <w:tcW w:w="1111" w:type="dxa"/>
            <w:shd w:val="clear" w:color="auto" w:fill="FFFFFF"/>
          </w:tcPr>
          <w:p w:rsidR="00F4754B" w:rsidRPr="00AE79AC" w:rsidRDefault="00F4754B" w:rsidP="006423CC">
            <w:pPr>
              <w:pStyle w:val="BodyText1"/>
              <w:rPr>
                <w:rFonts w:ascii="Times New Roman" w:hAnsi="Times New Roman"/>
                <w:bCs/>
              </w:rPr>
            </w:pPr>
            <w:r w:rsidRPr="00AE79AC">
              <w:rPr>
                <w:rFonts w:ascii="Times New Roman" w:hAnsi="Times New Roman"/>
              </w:rPr>
              <w:t>{100;030}</w:t>
            </w:r>
          </w:p>
        </w:tc>
        <w:tc>
          <w:tcPr>
            <w:tcW w:w="8133" w:type="dxa"/>
            <w:shd w:val="clear" w:color="auto" w:fill="FFFFFF"/>
          </w:tcPr>
          <w:p w:rsidR="00F4754B" w:rsidRPr="00AE79AC" w:rsidRDefault="00F4754B" w:rsidP="007E2A41">
            <w:pPr>
              <w:pStyle w:val="BodyText1"/>
              <w:spacing w:line="240" w:lineRule="auto"/>
              <w:rPr>
                <w:rFonts w:ascii="Times New Roman" w:hAnsi="Times New Roman"/>
              </w:rPr>
            </w:pPr>
            <w:r w:rsidRPr="00AE79AC">
              <w:rPr>
                <w:rFonts w:ascii="Times New Roman" w:hAnsi="Times New Roman"/>
                <w:b/>
              </w:rPr>
              <w:t>Rządy centralne i banki centralne – aktywa ważone ryzykiem – ekspozycje według metody standardowej</w:t>
            </w:r>
          </w:p>
          <w:p w:rsidR="002509B1" w:rsidRPr="00AE79AC" w:rsidRDefault="002509B1" w:rsidP="007E2A41">
            <w:pPr>
              <w:pStyle w:val="BodyText1"/>
              <w:spacing w:line="240" w:lineRule="auto"/>
              <w:rPr>
                <w:rFonts w:ascii="Times New Roman" w:hAnsi="Times New Roman"/>
              </w:rPr>
            </w:pPr>
          </w:p>
          <w:p w:rsidR="00F4754B" w:rsidRPr="00AE79AC" w:rsidRDefault="00F4754B" w:rsidP="007E2A41">
            <w:pPr>
              <w:pStyle w:val="BodyText1"/>
              <w:spacing w:line="240" w:lineRule="auto"/>
              <w:rPr>
                <w:rFonts w:ascii="Times New Roman" w:hAnsi="Times New Roman"/>
                <w:bCs/>
              </w:rPr>
            </w:pPr>
            <w:r w:rsidRPr="00AE79AC">
              <w:rPr>
                <w:rFonts w:ascii="Times New Roman" w:hAnsi="Times New Roman"/>
              </w:rPr>
              <w:t xml:space="preserve">Kwota ekspozycji ważonej ryzykiem dla aktywów stanowiących ekspozycje wobec rządów centralnych lub banków centralnych określone w art. 114 CRR. </w:t>
            </w:r>
          </w:p>
          <w:p w:rsidR="00086A8A" w:rsidRPr="00AE79AC" w:rsidRDefault="00086A8A" w:rsidP="007E2A41">
            <w:pPr>
              <w:pStyle w:val="BodyText1"/>
              <w:spacing w:line="240" w:lineRule="auto"/>
              <w:rPr>
                <w:rFonts w:ascii="Times New Roman" w:hAnsi="Times New Roman"/>
                <w:bCs/>
              </w:rPr>
            </w:pPr>
          </w:p>
          <w:p w:rsidR="00086A8A" w:rsidRPr="00AE79AC" w:rsidRDefault="00086A8A" w:rsidP="007E2A41">
            <w:pPr>
              <w:pStyle w:val="BodyText1"/>
              <w:spacing w:line="240" w:lineRule="auto"/>
              <w:rPr>
                <w:rFonts w:ascii="Times New Roman" w:hAnsi="Times New Roman"/>
                <w:bCs/>
              </w:rPr>
            </w:pPr>
            <w:r w:rsidRPr="00AE79AC">
              <w:rPr>
                <w:rFonts w:ascii="Times New Roman" w:hAnsi="Times New Roman"/>
              </w:rPr>
              <w:t>Instytucje nie zgłaszają tu ekspozycji, których dotyczy niewykonanie zobowiązania.</w:t>
            </w:r>
          </w:p>
          <w:p w:rsidR="002509B1" w:rsidRPr="00AE79AC" w:rsidRDefault="002509B1" w:rsidP="007E2A41">
            <w:pPr>
              <w:pStyle w:val="BodyText1"/>
              <w:spacing w:line="240" w:lineRule="auto"/>
              <w:rPr>
                <w:rFonts w:ascii="Times New Roman" w:hAnsi="Times New Roman"/>
                <w:b/>
                <w:bCs/>
                <w:u w:val="single"/>
              </w:rPr>
            </w:pPr>
          </w:p>
        </w:tc>
      </w:tr>
      <w:tr w:rsidR="00F4754B" w:rsidRPr="00AE79AC" w:rsidTr="0053335C">
        <w:trPr>
          <w:trHeight w:val="71"/>
        </w:trPr>
        <w:tc>
          <w:tcPr>
            <w:tcW w:w="1111" w:type="dxa"/>
            <w:shd w:val="clear" w:color="auto" w:fill="FFFFFF"/>
          </w:tcPr>
          <w:p w:rsidR="00F4754B" w:rsidRPr="00AE79AC" w:rsidRDefault="00F4754B" w:rsidP="006423CC">
            <w:pPr>
              <w:pStyle w:val="BodyText1"/>
              <w:rPr>
                <w:rFonts w:ascii="Times New Roman" w:hAnsi="Times New Roman"/>
                <w:bCs/>
              </w:rPr>
            </w:pPr>
            <w:r w:rsidRPr="00AE79AC">
              <w:rPr>
                <w:rFonts w:ascii="Times New Roman" w:hAnsi="Times New Roman"/>
              </w:rPr>
              <w:t>{100;040}</w:t>
            </w:r>
          </w:p>
        </w:tc>
        <w:tc>
          <w:tcPr>
            <w:tcW w:w="8133" w:type="dxa"/>
            <w:shd w:val="clear" w:color="auto" w:fill="FFFFFF"/>
          </w:tcPr>
          <w:p w:rsidR="00F4754B" w:rsidRPr="00AE79AC" w:rsidRDefault="00F4754B" w:rsidP="007E2A41">
            <w:pPr>
              <w:pStyle w:val="BodyText1"/>
              <w:spacing w:line="240" w:lineRule="auto"/>
              <w:rPr>
                <w:rFonts w:ascii="Times New Roman" w:hAnsi="Times New Roman"/>
              </w:rPr>
            </w:pPr>
            <w:r w:rsidRPr="00AE79AC">
              <w:rPr>
                <w:rFonts w:ascii="Times New Roman" w:hAnsi="Times New Roman"/>
                <w:b/>
              </w:rPr>
              <w:t>Rządy centralne i banki centralne – aktywa ważone ryzykiem – ekspozycje według metody IRB</w:t>
            </w:r>
          </w:p>
          <w:p w:rsidR="002509B1" w:rsidRPr="00AE79AC" w:rsidRDefault="002509B1" w:rsidP="007E2A41">
            <w:pPr>
              <w:pStyle w:val="BodyText1"/>
              <w:spacing w:line="240" w:lineRule="auto"/>
              <w:rPr>
                <w:rFonts w:ascii="Times New Roman" w:hAnsi="Times New Roman"/>
              </w:rPr>
            </w:pPr>
          </w:p>
          <w:p w:rsidR="00F4754B" w:rsidRPr="00AE79AC" w:rsidRDefault="00F4754B" w:rsidP="007E2A41">
            <w:pPr>
              <w:pStyle w:val="BodyText1"/>
              <w:spacing w:line="240" w:lineRule="auto"/>
              <w:rPr>
                <w:rFonts w:ascii="Times New Roman" w:hAnsi="Times New Roman"/>
                <w:bCs/>
              </w:rPr>
            </w:pPr>
            <w:r w:rsidRPr="00AE79AC">
              <w:rPr>
                <w:rFonts w:ascii="Times New Roman" w:hAnsi="Times New Roman"/>
              </w:rPr>
              <w:t xml:space="preserve">Kwota ekspozycji ważonej ryzykiem dla aktywów stanowiących ekspozycje wobec rządów centralnych lub banków centralnych określone w art. 147 ust. 2 lit. a) CRR. </w:t>
            </w:r>
          </w:p>
          <w:p w:rsidR="009C4E79" w:rsidRPr="00AE79AC" w:rsidRDefault="009C4E79" w:rsidP="007E2A41">
            <w:pPr>
              <w:pStyle w:val="BodyText1"/>
              <w:spacing w:line="240" w:lineRule="auto"/>
              <w:rPr>
                <w:rFonts w:ascii="Times New Roman" w:hAnsi="Times New Roman"/>
                <w:bCs/>
              </w:rPr>
            </w:pPr>
          </w:p>
          <w:p w:rsidR="009C4E79" w:rsidRPr="00AE79AC" w:rsidRDefault="009C4E79" w:rsidP="007E2A41">
            <w:pPr>
              <w:pStyle w:val="BodyText1"/>
              <w:spacing w:line="240" w:lineRule="auto"/>
              <w:rPr>
                <w:rFonts w:ascii="Times New Roman" w:hAnsi="Times New Roman"/>
                <w:bCs/>
              </w:rPr>
            </w:pPr>
            <w:r w:rsidRPr="00AE79AC">
              <w:rPr>
                <w:rFonts w:ascii="Times New Roman" w:hAnsi="Times New Roman"/>
              </w:rPr>
              <w:t>Instytucje nie zgłaszają tu ekspozycji, których dotyczy niewykonanie zobowiązania.</w:t>
            </w:r>
          </w:p>
          <w:p w:rsidR="002509B1" w:rsidRPr="00AE79AC" w:rsidRDefault="002509B1" w:rsidP="007E2A41">
            <w:pPr>
              <w:pStyle w:val="BodyText1"/>
              <w:spacing w:line="240" w:lineRule="auto"/>
              <w:rPr>
                <w:rFonts w:ascii="Times New Roman" w:hAnsi="Times New Roman"/>
                <w:b/>
                <w:bCs/>
                <w:u w:val="single"/>
              </w:rPr>
            </w:pPr>
          </w:p>
        </w:tc>
      </w:tr>
      <w:tr w:rsidR="00F4754B" w:rsidRPr="00AE79AC" w:rsidTr="0053335C">
        <w:trPr>
          <w:trHeight w:val="71"/>
        </w:trPr>
        <w:tc>
          <w:tcPr>
            <w:tcW w:w="1111" w:type="dxa"/>
            <w:shd w:val="clear" w:color="auto" w:fill="FFFFFF"/>
          </w:tcPr>
          <w:p w:rsidR="00F4754B" w:rsidRPr="00AE79AC" w:rsidRDefault="00F4754B" w:rsidP="006423CC">
            <w:pPr>
              <w:pStyle w:val="BodyText1"/>
              <w:rPr>
                <w:rFonts w:ascii="Times New Roman" w:hAnsi="Times New Roman"/>
              </w:rPr>
            </w:pPr>
            <w:r w:rsidRPr="00AE79AC">
              <w:rPr>
                <w:rFonts w:ascii="Times New Roman" w:hAnsi="Times New Roman"/>
              </w:rPr>
              <w:t>{110;010}</w:t>
            </w:r>
          </w:p>
        </w:tc>
        <w:tc>
          <w:tcPr>
            <w:tcW w:w="8133" w:type="dxa"/>
            <w:shd w:val="clear" w:color="auto" w:fill="FFFFFF"/>
          </w:tcPr>
          <w:p w:rsidR="00F4754B" w:rsidRPr="00AE79AC" w:rsidRDefault="00F4754B" w:rsidP="007E2A41">
            <w:pPr>
              <w:pStyle w:val="BodyText1"/>
              <w:spacing w:line="240" w:lineRule="auto"/>
              <w:rPr>
                <w:rFonts w:ascii="Times New Roman" w:hAnsi="Times New Roman"/>
                <w:b/>
                <w:bCs/>
              </w:rPr>
            </w:pPr>
            <w:r w:rsidRPr="00AE79AC">
              <w:rPr>
                <w:rFonts w:ascii="Times New Roman" w:hAnsi="Times New Roman"/>
                <w:b/>
              </w:rPr>
              <w:t>Samorządy regionalne i władze lokalne traktowane jak państwa – wartość ekspozycji wskaźnika dźwigni – ekspozycje według metody standardowej</w:t>
            </w:r>
          </w:p>
          <w:p w:rsidR="002509B1" w:rsidRPr="00AE79AC" w:rsidRDefault="002509B1" w:rsidP="007E2A41">
            <w:pPr>
              <w:pStyle w:val="BodyText1"/>
              <w:spacing w:line="240" w:lineRule="auto"/>
              <w:rPr>
                <w:rFonts w:ascii="Times New Roman" w:hAnsi="Times New Roman"/>
                <w:b/>
                <w:bCs/>
              </w:rPr>
            </w:pPr>
          </w:p>
          <w:p w:rsidR="00F4754B" w:rsidRPr="00AE79AC" w:rsidRDefault="00F4754B" w:rsidP="007E2A41">
            <w:pPr>
              <w:pStyle w:val="BodyText1"/>
              <w:spacing w:line="240" w:lineRule="auto"/>
              <w:rPr>
                <w:rFonts w:ascii="Times New Roman" w:hAnsi="Times New Roman"/>
                <w:bCs/>
              </w:rPr>
            </w:pPr>
            <w:r w:rsidRPr="00AE79AC">
              <w:rPr>
                <w:rFonts w:ascii="Times New Roman" w:hAnsi="Times New Roman"/>
              </w:rPr>
              <w:t xml:space="preserve">Wartość ekspozycji wskaźnika dźwigni dla aktywów stanowiących ekspozycje wobec samorządów regionalnych i władz lokalnych traktowanych jak państwa, objęte art. 115 ust. 2 i 4 CRR. </w:t>
            </w:r>
          </w:p>
          <w:p w:rsidR="00086A8A" w:rsidRPr="00AE79AC" w:rsidRDefault="00086A8A" w:rsidP="007E2A41">
            <w:pPr>
              <w:pStyle w:val="BodyText1"/>
              <w:spacing w:line="240" w:lineRule="auto"/>
              <w:rPr>
                <w:rFonts w:ascii="Times New Roman" w:hAnsi="Times New Roman"/>
                <w:bCs/>
              </w:rPr>
            </w:pPr>
          </w:p>
          <w:p w:rsidR="00086A8A" w:rsidRPr="00AE79AC" w:rsidRDefault="00086A8A" w:rsidP="007E2A41">
            <w:pPr>
              <w:pStyle w:val="BodyText1"/>
              <w:spacing w:line="240" w:lineRule="auto"/>
              <w:rPr>
                <w:rFonts w:ascii="Times New Roman" w:hAnsi="Times New Roman"/>
                <w:bCs/>
              </w:rPr>
            </w:pPr>
            <w:r w:rsidRPr="00AE79AC">
              <w:rPr>
                <w:rFonts w:ascii="Times New Roman" w:hAnsi="Times New Roman"/>
              </w:rPr>
              <w:t>Instytucje nie zgłaszają tu ekspozycji, których dotyczy niewykonanie zobowiązania.</w:t>
            </w:r>
          </w:p>
          <w:p w:rsidR="002509B1" w:rsidRPr="00AE79AC" w:rsidRDefault="002509B1" w:rsidP="007E2A41">
            <w:pPr>
              <w:pStyle w:val="BodyText1"/>
              <w:spacing w:line="240" w:lineRule="auto"/>
              <w:rPr>
                <w:rFonts w:ascii="Times New Roman" w:hAnsi="Times New Roman"/>
              </w:rPr>
            </w:pPr>
          </w:p>
        </w:tc>
      </w:tr>
      <w:tr w:rsidR="00F4754B" w:rsidRPr="00AE79AC" w:rsidTr="0053335C">
        <w:trPr>
          <w:trHeight w:val="71"/>
        </w:trPr>
        <w:tc>
          <w:tcPr>
            <w:tcW w:w="1111" w:type="dxa"/>
            <w:shd w:val="clear" w:color="auto" w:fill="FFFFFF"/>
          </w:tcPr>
          <w:p w:rsidR="00F4754B" w:rsidRPr="00AE79AC" w:rsidRDefault="00F4754B" w:rsidP="006423CC">
            <w:pPr>
              <w:pStyle w:val="BodyText1"/>
              <w:rPr>
                <w:rFonts w:ascii="Times New Roman" w:hAnsi="Times New Roman"/>
                <w:bCs/>
              </w:rPr>
            </w:pPr>
            <w:r w:rsidRPr="00AE79AC">
              <w:rPr>
                <w:rFonts w:ascii="Times New Roman" w:hAnsi="Times New Roman"/>
              </w:rPr>
              <w:t>{110;020}</w:t>
            </w:r>
          </w:p>
        </w:tc>
        <w:tc>
          <w:tcPr>
            <w:tcW w:w="8133" w:type="dxa"/>
            <w:shd w:val="clear" w:color="auto" w:fill="FFFFFF"/>
          </w:tcPr>
          <w:p w:rsidR="00F4754B" w:rsidRPr="00AE79AC" w:rsidRDefault="00F4754B" w:rsidP="007E2A41">
            <w:pPr>
              <w:pStyle w:val="BodyText1"/>
              <w:spacing w:line="240" w:lineRule="auto"/>
              <w:rPr>
                <w:rFonts w:ascii="Times New Roman" w:hAnsi="Times New Roman"/>
                <w:b/>
                <w:bCs/>
              </w:rPr>
            </w:pPr>
            <w:r w:rsidRPr="00AE79AC">
              <w:rPr>
                <w:rFonts w:ascii="Times New Roman" w:hAnsi="Times New Roman"/>
                <w:b/>
              </w:rPr>
              <w:t>Samorządy regionalne i władze lokalne traktowane jak państwa – wartość ekspozycji wskaźnika dźwigni – ekspozycje według metody IRB</w:t>
            </w:r>
          </w:p>
          <w:p w:rsidR="002509B1" w:rsidRPr="00AE79AC" w:rsidRDefault="002509B1" w:rsidP="007E2A41">
            <w:pPr>
              <w:pStyle w:val="BodyText1"/>
              <w:spacing w:line="240" w:lineRule="auto"/>
              <w:rPr>
                <w:rFonts w:ascii="Times New Roman" w:hAnsi="Times New Roman"/>
                <w:b/>
                <w:bCs/>
              </w:rPr>
            </w:pPr>
          </w:p>
          <w:p w:rsidR="00F4754B" w:rsidRPr="00AE79AC" w:rsidRDefault="00F4754B" w:rsidP="007E2A41">
            <w:pPr>
              <w:pStyle w:val="BodyText1"/>
              <w:spacing w:line="240" w:lineRule="auto"/>
              <w:rPr>
                <w:rFonts w:ascii="Times New Roman" w:hAnsi="Times New Roman"/>
                <w:bCs/>
              </w:rPr>
            </w:pPr>
            <w:r w:rsidRPr="00AE79AC">
              <w:rPr>
                <w:rFonts w:ascii="Times New Roman" w:hAnsi="Times New Roman"/>
              </w:rPr>
              <w:t xml:space="preserve">Wartość ekspozycji wskaźnika dźwigni dla aktywów stanowiących ekspozycje wobec samorządów regionalnych i władz lokalnych objęte art. 147 ust. 3 lit. a) CRR. </w:t>
            </w:r>
          </w:p>
          <w:p w:rsidR="002509B1" w:rsidRPr="00AE79AC" w:rsidRDefault="002509B1" w:rsidP="007E2A41">
            <w:pPr>
              <w:pStyle w:val="BodyText1"/>
              <w:spacing w:line="240" w:lineRule="auto"/>
              <w:rPr>
                <w:rFonts w:ascii="Times New Roman" w:hAnsi="Times New Roman"/>
                <w:b/>
                <w:bCs/>
                <w:u w:val="single"/>
              </w:rPr>
            </w:pPr>
          </w:p>
          <w:p w:rsidR="009C4E79" w:rsidRPr="00AE79AC" w:rsidRDefault="009C4E79" w:rsidP="007E2A41">
            <w:pPr>
              <w:pStyle w:val="BodyText1"/>
              <w:spacing w:line="240" w:lineRule="auto"/>
              <w:rPr>
                <w:rFonts w:ascii="Times New Roman" w:hAnsi="Times New Roman"/>
                <w:b/>
                <w:bCs/>
                <w:u w:val="single"/>
              </w:rPr>
            </w:pPr>
            <w:r w:rsidRPr="00AE79AC">
              <w:rPr>
                <w:rFonts w:ascii="Times New Roman" w:hAnsi="Times New Roman"/>
              </w:rPr>
              <w:t>Instytucje nie zgłaszają tu ekspozycji, których dotyczy niewykonanie zobowiązania.</w:t>
            </w:r>
          </w:p>
          <w:p w:rsidR="009C4E79" w:rsidRPr="00AE79AC" w:rsidRDefault="009C4E79" w:rsidP="007E2A41">
            <w:pPr>
              <w:pStyle w:val="BodyText1"/>
              <w:spacing w:line="240" w:lineRule="auto"/>
              <w:rPr>
                <w:rFonts w:ascii="Times New Roman" w:hAnsi="Times New Roman"/>
                <w:b/>
                <w:bCs/>
                <w:u w:val="single"/>
              </w:rPr>
            </w:pPr>
          </w:p>
        </w:tc>
      </w:tr>
      <w:tr w:rsidR="00F4754B" w:rsidRPr="00AE79AC" w:rsidTr="0053335C">
        <w:trPr>
          <w:trHeight w:val="71"/>
        </w:trPr>
        <w:tc>
          <w:tcPr>
            <w:tcW w:w="1111" w:type="dxa"/>
            <w:shd w:val="clear" w:color="auto" w:fill="FFFFFF"/>
          </w:tcPr>
          <w:p w:rsidR="00F4754B" w:rsidRPr="00AE79AC" w:rsidRDefault="00F4754B" w:rsidP="006423CC">
            <w:pPr>
              <w:pStyle w:val="BodyText1"/>
              <w:rPr>
                <w:rFonts w:ascii="Times New Roman" w:hAnsi="Times New Roman"/>
                <w:bCs/>
              </w:rPr>
            </w:pPr>
            <w:r w:rsidRPr="00AE79AC">
              <w:rPr>
                <w:rFonts w:ascii="Times New Roman" w:hAnsi="Times New Roman"/>
              </w:rPr>
              <w:t>{110;030}</w:t>
            </w:r>
          </w:p>
        </w:tc>
        <w:tc>
          <w:tcPr>
            <w:tcW w:w="8133" w:type="dxa"/>
            <w:shd w:val="clear" w:color="auto" w:fill="FFFFFF"/>
          </w:tcPr>
          <w:p w:rsidR="00F4754B" w:rsidRPr="00AE79AC" w:rsidRDefault="00F4754B" w:rsidP="007E2A41">
            <w:pPr>
              <w:pStyle w:val="BodyText1"/>
              <w:spacing w:line="240" w:lineRule="auto"/>
              <w:rPr>
                <w:rFonts w:ascii="Times New Roman" w:hAnsi="Times New Roman"/>
                <w:b/>
                <w:bCs/>
              </w:rPr>
            </w:pPr>
            <w:r w:rsidRPr="00AE79AC">
              <w:rPr>
                <w:rFonts w:ascii="Times New Roman" w:hAnsi="Times New Roman"/>
                <w:b/>
              </w:rPr>
              <w:t>Samorządy regionalne i władze lokalne traktowane jak państwa – aktywa ważone ryzykiem – ekspozycje według metody standardowej</w:t>
            </w:r>
          </w:p>
          <w:p w:rsidR="002509B1" w:rsidRPr="00AE79AC" w:rsidRDefault="002509B1" w:rsidP="007E2A41">
            <w:pPr>
              <w:pStyle w:val="BodyText1"/>
              <w:spacing w:line="240" w:lineRule="auto"/>
              <w:rPr>
                <w:rFonts w:ascii="Times New Roman" w:hAnsi="Times New Roman"/>
                <w:b/>
                <w:bCs/>
              </w:rPr>
            </w:pPr>
          </w:p>
          <w:p w:rsidR="00F4754B" w:rsidRPr="00AE79AC" w:rsidRDefault="00F4754B" w:rsidP="007E2A41">
            <w:pPr>
              <w:pStyle w:val="BodyText1"/>
              <w:spacing w:line="240" w:lineRule="auto"/>
              <w:rPr>
                <w:rFonts w:ascii="Times New Roman" w:hAnsi="Times New Roman"/>
                <w:bCs/>
              </w:rPr>
            </w:pPr>
            <w:r w:rsidRPr="00AE79AC">
              <w:rPr>
                <w:rFonts w:ascii="Times New Roman" w:hAnsi="Times New Roman"/>
              </w:rPr>
              <w:t>Kwota ekspozycji ważonej ryzykiem dla aktywów stanowiących ekspozycje wobec samorządów regionalnych i władz lokalnych traktowanych jak państwa, objęte art. 115 ust. 2 i 4 CRR.</w:t>
            </w:r>
          </w:p>
          <w:p w:rsidR="00086A8A" w:rsidRPr="00AE79AC" w:rsidRDefault="00086A8A" w:rsidP="007E2A41">
            <w:pPr>
              <w:pStyle w:val="BodyText1"/>
              <w:spacing w:line="240" w:lineRule="auto"/>
              <w:rPr>
                <w:rFonts w:ascii="Times New Roman" w:hAnsi="Times New Roman"/>
                <w:bCs/>
              </w:rPr>
            </w:pPr>
          </w:p>
          <w:p w:rsidR="00086A8A" w:rsidRPr="00AE79AC" w:rsidRDefault="00086A8A" w:rsidP="007E2A41">
            <w:pPr>
              <w:pStyle w:val="BodyText1"/>
              <w:spacing w:line="240" w:lineRule="auto"/>
              <w:rPr>
                <w:rFonts w:ascii="Times New Roman" w:hAnsi="Times New Roman"/>
                <w:bCs/>
              </w:rPr>
            </w:pPr>
            <w:r w:rsidRPr="00AE79AC">
              <w:rPr>
                <w:rFonts w:ascii="Times New Roman" w:hAnsi="Times New Roman"/>
              </w:rPr>
              <w:t>Instytucje nie zgłaszają tu ekspozycji, których dotyczy niewykonanie zobowiązania.</w:t>
            </w:r>
          </w:p>
          <w:p w:rsidR="002509B1" w:rsidRPr="00AE79AC" w:rsidRDefault="002509B1" w:rsidP="007E2A41">
            <w:pPr>
              <w:pStyle w:val="BodyText1"/>
              <w:spacing w:line="240" w:lineRule="auto"/>
              <w:rPr>
                <w:rFonts w:ascii="Times New Roman" w:hAnsi="Times New Roman"/>
                <w:b/>
                <w:bCs/>
                <w:u w:val="single"/>
              </w:rPr>
            </w:pPr>
          </w:p>
        </w:tc>
      </w:tr>
      <w:tr w:rsidR="00F4754B" w:rsidRPr="00AE79AC" w:rsidTr="0053335C">
        <w:trPr>
          <w:trHeight w:val="71"/>
        </w:trPr>
        <w:tc>
          <w:tcPr>
            <w:tcW w:w="1111" w:type="dxa"/>
            <w:shd w:val="clear" w:color="auto" w:fill="FFFFFF"/>
          </w:tcPr>
          <w:p w:rsidR="00F4754B" w:rsidRPr="00AE79AC" w:rsidRDefault="00F4754B" w:rsidP="006423CC">
            <w:pPr>
              <w:pStyle w:val="BodyText1"/>
              <w:rPr>
                <w:rFonts w:ascii="Times New Roman" w:hAnsi="Times New Roman"/>
                <w:bCs/>
              </w:rPr>
            </w:pPr>
            <w:r w:rsidRPr="00AE79AC">
              <w:rPr>
                <w:rFonts w:ascii="Times New Roman" w:hAnsi="Times New Roman"/>
              </w:rPr>
              <w:t>{110;040}</w:t>
            </w:r>
          </w:p>
        </w:tc>
        <w:tc>
          <w:tcPr>
            <w:tcW w:w="8133" w:type="dxa"/>
            <w:shd w:val="clear" w:color="auto" w:fill="FFFFFF"/>
          </w:tcPr>
          <w:p w:rsidR="00F4754B" w:rsidRPr="00AE79AC" w:rsidRDefault="00F4754B" w:rsidP="007E2A41">
            <w:pPr>
              <w:pStyle w:val="BodyText1"/>
              <w:spacing w:line="240" w:lineRule="auto"/>
              <w:rPr>
                <w:rFonts w:ascii="Times New Roman" w:hAnsi="Times New Roman"/>
                <w:b/>
                <w:bCs/>
              </w:rPr>
            </w:pPr>
            <w:r w:rsidRPr="00AE79AC">
              <w:rPr>
                <w:rFonts w:ascii="Times New Roman" w:hAnsi="Times New Roman"/>
                <w:b/>
              </w:rPr>
              <w:t>Samorządy regionalne i władze lokalne traktowane jak państwa – aktywa ważone ryzykiem – ekspozycje według IRB</w:t>
            </w:r>
          </w:p>
          <w:p w:rsidR="002509B1" w:rsidRPr="00AE79AC" w:rsidRDefault="002509B1" w:rsidP="007E2A41">
            <w:pPr>
              <w:pStyle w:val="BodyText1"/>
              <w:spacing w:line="240" w:lineRule="auto"/>
              <w:rPr>
                <w:rFonts w:ascii="Times New Roman" w:hAnsi="Times New Roman"/>
                <w:b/>
                <w:bCs/>
              </w:rPr>
            </w:pPr>
          </w:p>
          <w:p w:rsidR="00F4754B" w:rsidRPr="00AE79AC" w:rsidRDefault="00F4754B" w:rsidP="007E2A41">
            <w:pPr>
              <w:pStyle w:val="BodyText1"/>
              <w:spacing w:line="240" w:lineRule="auto"/>
              <w:rPr>
                <w:rFonts w:ascii="Times New Roman" w:hAnsi="Times New Roman"/>
                <w:bCs/>
              </w:rPr>
            </w:pPr>
            <w:r w:rsidRPr="00AE79AC">
              <w:rPr>
                <w:rFonts w:ascii="Times New Roman" w:hAnsi="Times New Roman"/>
              </w:rPr>
              <w:t xml:space="preserve">Kwota ekspozycji ważonej ryzykiem dla aktywów stanowiących ekspozycje wobec samorządów regionalnych i władz lokalnych objęte art. 147 ust. 3 lit. a) CRR. </w:t>
            </w:r>
          </w:p>
          <w:p w:rsidR="009C4E79" w:rsidRPr="00AE79AC" w:rsidRDefault="009C4E79" w:rsidP="007E2A41">
            <w:pPr>
              <w:pStyle w:val="BodyText1"/>
              <w:spacing w:line="240" w:lineRule="auto"/>
              <w:rPr>
                <w:rFonts w:ascii="Times New Roman" w:hAnsi="Times New Roman"/>
                <w:bCs/>
              </w:rPr>
            </w:pPr>
          </w:p>
          <w:p w:rsidR="009C4E79" w:rsidRPr="00AE79AC" w:rsidRDefault="009C4E79" w:rsidP="009C4E79">
            <w:pPr>
              <w:pStyle w:val="BodyText1"/>
              <w:spacing w:line="240" w:lineRule="auto"/>
              <w:rPr>
                <w:rFonts w:ascii="Times New Roman" w:hAnsi="Times New Roman"/>
                <w:bCs/>
              </w:rPr>
            </w:pPr>
            <w:r w:rsidRPr="00AE79AC">
              <w:rPr>
                <w:rFonts w:ascii="Times New Roman" w:hAnsi="Times New Roman"/>
              </w:rPr>
              <w:t>Instytucje nie zgłaszają tu ekspozycji, których dotyczy niewykonanie zobowiązania.</w:t>
            </w:r>
          </w:p>
          <w:p w:rsidR="002509B1" w:rsidRPr="00AE79AC" w:rsidRDefault="002509B1" w:rsidP="007E2A41">
            <w:pPr>
              <w:pStyle w:val="BodyText1"/>
              <w:spacing w:line="240" w:lineRule="auto"/>
              <w:rPr>
                <w:rFonts w:ascii="Times New Roman" w:hAnsi="Times New Roman"/>
                <w:b/>
                <w:bCs/>
                <w:u w:val="single"/>
              </w:rPr>
            </w:pPr>
          </w:p>
        </w:tc>
      </w:tr>
      <w:tr w:rsidR="00F4754B" w:rsidRPr="00AE79AC" w:rsidTr="0053335C">
        <w:trPr>
          <w:trHeight w:val="71"/>
        </w:trPr>
        <w:tc>
          <w:tcPr>
            <w:tcW w:w="1111" w:type="dxa"/>
            <w:shd w:val="clear" w:color="auto" w:fill="FFFFFF"/>
          </w:tcPr>
          <w:p w:rsidR="00F4754B" w:rsidRPr="00AE79AC" w:rsidRDefault="00F4754B" w:rsidP="006423CC">
            <w:pPr>
              <w:pStyle w:val="BodyText1"/>
              <w:rPr>
                <w:rFonts w:ascii="Times New Roman" w:hAnsi="Times New Roman"/>
              </w:rPr>
            </w:pPr>
            <w:r w:rsidRPr="00AE79AC">
              <w:rPr>
                <w:rFonts w:ascii="Times New Roman" w:hAnsi="Times New Roman"/>
              </w:rPr>
              <w:t>{120;010}</w:t>
            </w:r>
          </w:p>
        </w:tc>
        <w:tc>
          <w:tcPr>
            <w:tcW w:w="8133" w:type="dxa"/>
            <w:shd w:val="clear" w:color="auto" w:fill="FFFFFF"/>
          </w:tcPr>
          <w:p w:rsidR="00F4754B" w:rsidRPr="00AE79AC" w:rsidRDefault="00F4754B" w:rsidP="007E2A41">
            <w:pPr>
              <w:pStyle w:val="BodyText1"/>
              <w:spacing w:line="240" w:lineRule="auto"/>
              <w:rPr>
                <w:rFonts w:ascii="Times New Roman" w:hAnsi="Times New Roman"/>
                <w:b/>
              </w:rPr>
            </w:pPr>
            <w:r w:rsidRPr="00AE79AC">
              <w:rPr>
                <w:rFonts w:ascii="Times New Roman" w:hAnsi="Times New Roman"/>
                <w:b/>
              </w:rPr>
              <w:t>Wielostronne banki rozwoju i organizacje międzynarodowe traktowane jak państwa – wartość ekspozycji wskaźnika dźwigni – ekspozycje według metody standardowej</w:t>
            </w:r>
          </w:p>
          <w:p w:rsidR="002509B1" w:rsidRPr="00AE79AC" w:rsidRDefault="002509B1" w:rsidP="007E2A41">
            <w:pPr>
              <w:pStyle w:val="BodyText1"/>
              <w:spacing w:line="240" w:lineRule="auto"/>
              <w:rPr>
                <w:rFonts w:ascii="Times New Roman" w:hAnsi="Times New Roman"/>
                <w:b/>
              </w:rPr>
            </w:pPr>
          </w:p>
          <w:p w:rsidR="00F4754B" w:rsidRPr="00AE79AC" w:rsidRDefault="00F4754B" w:rsidP="007E2A41">
            <w:pPr>
              <w:pStyle w:val="BodyText1"/>
              <w:spacing w:line="240" w:lineRule="auto"/>
              <w:rPr>
                <w:rFonts w:ascii="Times New Roman" w:hAnsi="Times New Roman"/>
                <w:bCs/>
              </w:rPr>
            </w:pPr>
            <w:r w:rsidRPr="00AE79AC">
              <w:rPr>
                <w:rFonts w:ascii="Times New Roman" w:hAnsi="Times New Roman"/>
              </w:rPr>
              <w:t xml:space="preserve">Wartość ekspozycji wskaźnika dźwigni dla aktywów stanowiących ekspozycje wobec wielostronnych banków rozwoju i organizacji międzynarodowych objęte art. 117 ust. 2 i art. 118 CRR. </w:t>
            </w:r>
          </w:p>
          <w:p w:rsidR="00086A8A" w:rsidRPr="00AE79AC" w:rsidRDefault="00086A8A" w:rsidP="007E2A41">
            <w:pPr>
              <w:pStyle w:val="BodyText1"/>
              <w:spacing w:line="240" w:lineRule="auto"/>
              <w:rPr>
                <w:rFonts w:ascii="Times New Roman" w:hAnsi="Times New Roman"/>
                <w:bCs/>
              </w:rPr>
            </w:pPr>
          </w:p>
          <w:p w:rsidR="00086A8A" w:rsidRPr="00AE79AC" w:rsidRDefault="00086A8A" w:rsidP="007E2A41">
            <w:pPr>
              <w:pStyle w:val="BodyText1"/>
              <w:spacing w:line="240" w:lineRule="auto"/>
              <w:rPr>
                <w:rFonts w:ascii="Times New Roman" w:hAnsi="Times New Roman"/>
                <w:bCs/>
              </w:rPr>
            </w:pPr>
            <w:r w:rsidRPr="00AE79AC">
              <w:rPr>
                <w:rFonts w:ascii="Times New Roman" w:hAnsi="Times New Roman"/>
              </w:rPr>
              <w:t>Instytucje nie zgłaszają tu ekspozycji, których dotyczy niewykonanie zobowiązania.</w:t>
            </w:r>
          </w:p>
          <w:p w:rsidR="002509B1" w:rsidRPr="00AE79AC" w:rsidRDefault="002509B1" w:rsidP="007E2A41">
            <w:pPr>
              <w:pStyle w:val="BodyText1"/>
              <w:spacing w:line="240" w:lineRule="auto"/>
              <w:rPr>
                <w:rFonts w:ascii="Times New Roman" w:hAnsi="Times New Roman"/>
                <w:bCs/>
              </w:rPr>
            </w:pPr>
          </w:p>
        </w:tc>
      </w:tr>
      <w:tr w:rsidR="00F4754B" w:rsidRPr="00AE79AC" w:rsidTr="0053335C">
        <w:trPr>
          <w:trHeight w:val="71"/>
        </w:trPr>
        <w:tc>
          <w:tcPr>
            <w:tcW w:w="1111" w:type="dxa"/>
            <w:shd w:val="clear" w:color="auto" w:fill="FFFFFF"/>
          </w:tcPr>
          <w:p w:rsidR="00F4754B" w:rsidRPr="00AE79AC" w:rsidRDefault="00F4754B" w:rsidP="00A60C43">
            <w:pPr>
              <w:pStyle w:val="BodyText1"/>
              <w:rPr>
                <w:rFonts w:ascii="Times New Roman" w:hAnsi="Times New Roman"/>
              </w:rPr>
            </w:pPr>
            <w:r w:rsidRPr="00AE79AC">
              <w:rPr>
                <w:rFonts w:ascii="Times New Roman" w:hAnsi="Times New Roman"/>
              </w:rPr>
              <w:t>{120;020}</w:t>
            </w:r>
          </w:p>
        </w:tc>
        <w:tc>
          <w:tcPr>
            <w:tcW w:w="8133" w:type="dxa"/>
            <w:shd w:val="clear" w:color="auto" w:fill="FFFFFF"/>
          </w:tcPr>
          <w:p w:rsidR="00F4754B" w:rsidRPr="00AE79AC" w:rsidRDefault="00F4754B" w:rsidP="007E2A41">
            <w:pPr>
              <w:pStyle w:val="BodyText1"/>
              <w:spacing w:line="240" w:lineRule="auto"/>
              <w:rPr>
                <w:rFonts w:ascii="Times New Roman" w:hAnsi="Times New Roman"/>
                <w:b/>
              </w:rPr>
            </w:pPr>
            <w:r w:rsidRPr="00AE79AC">
              <w:rPr>
                <w:rFonts w:ascii="Times New Roman" w:hAnsi="Times New Roman"/>
                <w:b/>
              </w:rPr>
              <w:t>Wielostronne banki rozwoju i organizacje międzynarodowe traktowane jak państwa – wartość ekspozycji wskaźnika dźwigni – ekspozycje według metody IRB</w:t>
            </w:r>
          </w:p>
          <w:p w:rsidR="002509B1" w:rsidRPr="00AE79AC" w:rsidRDefault="002509B1" w:rsidP="007E2A41">
            <w:pPr>
              <w:pStyle w:val="BodyText1"/>
              <w:spacing w:line="240" w:lineRule="auto"/>
              <w:rPr>
                <w:rFonts w:ascii="Times New Roman" w:hAnsi="Times New Roman"/>
                <w:b/>
              </w:rPr>
            </w:pPr>
          </w:p>
          <w:p w:rsidR="00F4754B" w:rsidRPr="00AE79AC" w:rsidRDefault="00F4754B" w:rsidP="007E2A41">
            <w:pPr>
              <w:pStyle w:val="BodyText1"/>
              <w:spacing w:line="240" w:lineRule="auto"/>
              <w:rPr>
                <w:rFonts w:ascii="Times New Roman" w:hAnsi="Times New Roman"/>
                <w:bCs/>
              </w:rPr>
            </w:pPr>
            <w:r w:rsidRPr="00AE79AC">
              <w:rPr>
                <w:rFonts w:ascii="Times New Roman" w:hAnsi="Times New Roman"/>
              </w:rPr>
              <w:t xml:space="preserve">Wartość ekspozycji wskaźnika dźwigni dla aktywów stanowiących ekspozycje wobec wielostronnych banków rozwoju i organizacji międzynarodowych, objęte </w:t>
            </w:r>
            <w:r w:rsidRPr="002341B6">
              <w:rPr>
                <w:rFonts w:ascii="Times New Roman" w:hAnsi="Times New Roman"/>
              </w:rPr>
              <w:t>art.</w:t>
            </w:r>
            <w:r w:rsidR="002341B6" w:rsidRPr="002341B6">
              <w:rPr>
                <w:rFonts w:ascii="Times New Roman" w:hAnsi="Times New Roman"/>
              </w:rPr>
              <w:t> </w:t>
            </w:r>
            <w:r w:rsidRPr="002341B6">
              <w:rPr>
                <w:rFonts w:ascii="Times New Roman" w:hAnsi="Times New Roman"/>
              </w:rPr>
              <w:t>1</w:t>
            </w:r>
            <w:r w:rsidRPr="00AE79AC">
              <w:rPr>
                <w:rFonts w:ascii="Times New Roman" w:hAnsi="Times New Roman"/>
              </w:rPr>
              <w:t xml:space="preserve">47 </w:t>
            </w:r>
            <w:r w:rsidRPr="002341B6">
              <w:rPr>
                <w:rFonts w:ascii="Times New Roman" w:hAnsi="Times New Roman"/>
              </w:rPr>
              <w:t>ust.</w:t>
            </w:r>
            <w:r w:rsidR="002341B6" w:rsidRPr="002341B6">
              <w:rPr>
                <w:rFonts w:ascii="Times New Roman" w:hAnsi="Times New Roman"/>
              </w:rPr>
              <w:t> </w:t>
            </w:r>
            <w:r w:rsidRPr="002341B6">
              <w:rPr>
                <w:rFonts w:ascii="Times New Roman" w:hAnsi="Times New Roman"/>
              </w:rPr>
              <w:t>3</w:t>
            </w:r>
            <w:r w:rsidRPr="00AE79AC">
              <w:rPr>
                <w:rFonts w:ascii="Times New Roman" w:hAnsi="Times New Roman"/>
              </w:rPr>
              <w:t xml:space="preserve"> </w:t>
            </w:r>
            <w:r w:rsidRPr="002341B6">
              <w:rPr>
                <w:rFonts w:ascii="Times New Roman" w:hAnsi="Times New Roman"/>
              </w:rPr>
              <w:t>lit.</w:t>
            </w:r>
            <w:r w:rsidR="002341B6" w:rsidRPr="002341B6">
              <w:rPr>
                <w:rFonts w:ascii="Times New Roman" w:hAnsi="Times New Roman"/>
              </w:rPr>
              <w:t> </w:t>
            </w:r>
            <w:r w:rsidRPr="002341B6">
              <w:rPr>
                <w:rFonts w:ascii="Times New Roman" w:hAnsi="Times New Roman"/>
              </w:rPr>
              <w:t>b)</w:t>
            </w:r>
            <w:r w:rsidRPr="00AE79AC">
              <w:rPr>
                <w:rFonts w:ascii="Times New Roman" w:hAnsi="Times New Roman"/>
              </w:rPr>
              <w:t xml:space="preserve"> i c) CRR. </w:t>
            </w:r>
          </w:p>
          <w:p w:rsidR="009C4E79" w:rsidRPr="00AE79AC" w:rsidRDefault="009C4E79" w:rsidP="007E2A41">
            <w:pPr>
              <w:pStyle w:val="BodyText1"/>
              <w:spacing w:line="240" w:lineRule="auto"/>
              <w:rPr>
                <w:rFonts w:ascii="Times New Roman" w:hAnsi="Times New Roman"/>
                <w:bCs/>
              </w:rPr>
            </w:pPr>
          </w:p>
          <w:p w:rsidR="009C4E79" w:rsidRPr="00AE79AC" w:rsidRDefault="009C4E79" w:rsidP="007E2A41">
            <w:pPr>
              <w:pStyle w:val="BodyText1"/>
              <w:spacing w:line="240" w:lineRule="auto"/>
              <w:rPr>
                <w:rFonts w:ascii="Times New Roman" w:hAnsi="Times New Roman"/>
                <w:bCs/>
              </w:rPr>
            </w:pPr>
            <w:r w:rsidRPr="00AE79AC">
              <w:rPr>
                <w:rFonts w:ascii="Times New Roman" w:hAnsi="Times New Roman"/>
              </w:rPr>
              <w:t>Instytucje nie zgłaszają tu ekspozycji, których dotyczy niewykonanie zobowiązania.</w:t>
            </w:r>
          </w:p>
          <w:p w:rsidR="002509B1" w:rsidRPr="00AE79AC" w:rsidRDefault="002509B1" w:rsidP="007E2A41">
            <w:pPr>
              <w:pStyle w:val="BodyText1"/>
              <w:spacing w:line="240" w:lineRule="auto"/>
              <w:rPr>
                <w:rFonts w:ascii="Times New Roman" w:hAnsi="Times New Roman"/>
                <w:bCs/>
              </w:rPr>
            </w:pPr>
          </w:p>
        </w:tc>
      </w:tr>
      <w:tr w:rsidR="00F4754B" w:rsidRPr="00AE79AC" w:rsidTr="0053335C">
        <w:trPr>
          <w:trHeight w:val="71"/>
        </w:trPr>
        <w:tc>
          <w:tcPr>
            <w:tcW w:w="1111" w:type="dxa"/>
            <w:shd w:val="clear" w:color="auto" w:fill="FFFFFF"/>
          </w:tcPr>
          <w:p w:rsidR="00F4754B" w:rsidRPr="00AE79AC" w:rsidRDefault="00F4754B" w:rsidP="006423CC">
            <w:pPr>
              <w:pStyle w:val="BodyText1"/>
              <w:rPr>
                <w:rFonts w:ascii="Times New Roman" w:hAnsi="Times New Roman"/>
              </w:rPr>
            </w:pPr>
            <w:r w:rsidRPr="00AE79AC">
              <w:rPr>
                <w:rFonts w:ascii="Times New Roman" w:hAnsi="Times New Roman"/>
              </w:rPr>
              <w:t>{120;030}</w:t>
            </w:r>
          </w:p>
        </w:tc>
        <w:tc>
          <w:tcPr>
            <w:tcW w:w="8133" w:type="dxa"/>
            <w:shd w:val="clear" w:color="auto" w:fill="FFFFFF"/>
          </w:tcPr>
          <w:p w:rsidR="00F4754B" w:rsidRPr="00AE79AC" w:rsidRDefault="00F4754B" w:rsidP="007E2A41">
            <w:pPr>
              <w:pStyle w:val="BodyText1"/>
              <w:spacing w:line="240" w:lineRule="auto"/>
              <w:rPr>
                <w:rFonts w:ascii="Times New Roman" w:hAnsi="Times New Roman"/>
                <w:b/>
              </w:rPr>
            </w:pPr>
            <w:r w:rsidRPr="00AE79AC">
              <w:rPr>
                <w:rFonts w:ascii="Times New Roman" w:hAnsi="Times New Roman"/>
                <w:b/>
              </w:rPr>
              <w:t>Wielostronne banki rozwoju i organizacje międzynarodowe traktowane jak państwa – aktywa ważone ryzykiem – ekspozycje według metody standardowej</w:t>
            </w:r>
          </w:p>
          <w:p w:rsidR="002509B1" w:rsidRPr="00AE79AC" w:rsidRDefault="002509B1" w:rsidP="007E2A41">
            <w:pPr>
              <w:pStyle w:val="BodyText1"/>
              <w:spacing w:line="240" w:lineRule="auto"/>
              <w:rPr>
                <w:rFonts w:ascii="Times New Roman" w:hAnsi="Times New Roman"/>
                <w:b/>
              </w:rPr>
            </w:pPr>
          </w:p>
          <w:p w:rsidR="00F4754B" w:rsidRPr="00AE79AC" w:rsidRDefault="00F4754B" w:rsidP="007E2A41">
            <w:pPr>
              <w:pStyle w:val="BodyText1"/>
              <w:spacing w:line="240" w:lineRule="auto"/>
              <w:rPr>
                <w:rFonts w:ascii="Times New Roman" w:hAnsi="Times New Roman"/>
                <w:bCs/>
              </w:rPr>
            </w:pPr>
            <w:r w:rsidRPr="00AE79AC">
              <w:rPr>
                <w:rFonts w:ascii="Times New Roman" w:hAnsi="Times New Roman"/>
              </w:rPr>
              <w:t xml:space="preserve">Kwota ekspozycji ważonej ryzykiem dla aktywów stanowiących ekspozycje wobec wielostronnych banków rozwoju i organizacji międzynarodowych, objęte art. 117 ust. 2 i art. 118 CRR. </w:t>
            </w:r>
          </w:p>
          <w:p w:rsidR="00086A8A" w:rsidRPr="00AE79AC" w:rsidRDefault="00086A8A" w:rsidP="007E2A41">
            <w:pPr>
              <w:pStyle w:val="BodyText1"/>
              <w:spacing w:line="240" w:lineRule="auto"/>
              <w:rPr>
                <w:rFonts w:ascii="Times New Roman" w:hAnsi="Times New Roman"/>
                <w:bCs/>
              </w:rPr>
            </w:pPr>
          </w:p>
          <w:p w:rsidR="00086A8A" w:rsidRPr="00AE79AC" w:rsidRDefault="00086A8A" w:rsidP="007E2A41">
            <w:pPr>
              <w:pStyle w:val="BodyText1"/>
              <w:spacing w:line="240" w:lineRule="auto"/>
              <w:rPr>
                <w:rFonts w:ascii="Times New Roman" w:hAnsi="Times New Roman"/>
                <w:bCs/>
              </w:rPr>
            </w:pPr>
            <w:r w:rsidRPr="00AE79AC">
              <w:rPr>
                <w:rFonts w:ascii="Times New Roman" w:hAnsi="Times New Roman"/>
              </w:rPr>
              <w:t>Instytucje nie zgłaszają tu ekspozycji, których dotyczy niewykonanie zobowiązania.</w:t>
            </w:r>
          </w:p>
          <w:p w:rsidR="002509B1" w:rsidRPr="00AE79AC" w:rsidRDefault="002509B1" w:rsidP="007E2A41">
            <w:pPr>
              <w:pStyle w:val="BodyText1"/>
              <w:spacing w:line="240" w:lineRule="auto"/>
              <w:rPr>
                <w:rFonts w:ascii="Times New Roman" w:hAnsi="Times New Roman"/>
                <w:b/>
                <w:bCs/>
                <w:u w:val="single"/>
              </w:rPr>
            </w:pPr>
          </w:p>
        </w:tc>
      </w:tr>
      <w:tr w:rsidR="00F4754B" w:rsidRPr="00AE79AC" w:rsidTr="0053335C">
        <w:trPr>
          <w:trHeight w:val="71"/>
        </w:trPr>
        <w:tc>
          <w:tcPr>
            <w:tcW w:w="1111" w:type="dxa"/>
            <w:shd w:val="clear" w:color="auto" w:fill="FFFFFF"/>
          </w:tcPr>
          <w:p w:rsidR="00F4754B" w:rsidRPr="00AE79AC" w:rsidRDefault="00F4754B" w:rsidP="00A60C43">
            <w:pPr>
              <w:pStyle w:val="BodyText1"/>
              <w:rPr>
                <w:rFonts w:ascii="Times New Roman" w:hAnsi="Times New Roman"/>
                <w:bCs/>
              </w:rPr>
            </w:pPr>
            <w:r w:rsidRPr="00AE79AC">
              <w:rPr>
                <w:rFonts w:ascii="Times New Roman" w:hAnsi="Times New Roman"/>
              </w:rPr>
              <w:t>{120;040}</w:t>
            </w:r>
          </w:p>
        </w:tc>
        <w:tc>
          <w:tcPr>
            <w:tcW w:w="8133" w:type="dxa"/>
            <w:shd w:val="clear" w:color="auto" w:fill="FFFFFF"/>
          </w:tcPr>
          <w:p w:rsidR="00F4754B" w:rsidRPr="00AE79AC" w:rsidRDefault="00F4754B" w:rsidP="007E2A41">
            <w:pPr>
              <w:pStyle w:val="BodyText1"/>
              <w:spacing w:line="240" w:lineRule="auto"/>
              <w:rPr>
                <w:rFonts w:ascii="Times New Roman" w:hAnsi="Times New Roman"/>
                <w:b/>
              </w:rPr>
            </w:pPr>
            <w:r w:rsidRPr="00AE79AC">
              <w:rPr>
                <w:rFonts w:ascii="Times New Roman" w:hAnsi="Times New Roman"/>
                <w:b/>
              </w:rPr>
              <w:t>Wielostronne banki rozwoju i organizacje międzynarodowe traktowane jak państwa – aktywa ważone ryzykiem – ekspozycje według metody IRB</w:t>
            </w:r>
          </w:p>
          <w:p w:rsidR="002509B1" w:rsidRPr="00AE79AC" w:rsidRDefault="002509B1" w:rsidP="007E2A41">
            <w:pPr>
              <w:pStyle w:val="BodyText1"/>
              <w:spacing w:line="240" w:lineRule="auto"/>
              <w:rPr>
                <w:rFonts w:ascii="Times New Roman" w:hAnsi="Times New Roman"/>
                <w:b/>
              </w:rPr>
            </w:pPr>
          </w:p>
          <w:p w:rsidR="00F4754B" w:rsidRPr="00AE79AC" w:rsidRDefault="00F4754B" w:rsidP="007E2A41">
            <w:pPr>
              <w:pStyle w:val="BodyText1"/>
              <w:spacing w:line="240" w:lineRule="auto"/>
              <w:rPr>
                <w:rFonts w:ascii="Times New Roman" w:hAnsi="Times New Roman"/>
                <w:bCs/>
              </w:rPr>
            </w:pPr>
            <w:r w:rsidRPr="00AE79AC">
              <w:rPr>
                <w:rFonts w:ascii="Times New Roman" w:hAnsi="Times New Roman"/>
              </w:rPr>
              <w:t xml:space="preserve">Kwota ekspozycji ważonej ryzykiem dla aktywów stanowiących ekspozycje wobec wielostronnych banków rozwoju i organizacji międzynarodowych, objęte </w:t>
            </w:r>
            <w:r w:rsidRPr="002341B6">
              <w:rPr>
                <w:rFonts w:ascii="Times New Roman" w:hAnsi="Times New Roman"/>
              </w:rPr>
              <w:t>art.</w:t>
            </w:r>
            <w:r w:rsidR="002341B6" w:rsidRPr="002341B6">
              <w:rPr>
                <w:rFonts w:ascii="Times New Roman" w:hAnsi="Times New Roman"/>
              </w:rPr>
              <w:t> </w:t>
            </w:r>
            <w:r w:rsidRPr="002341B6">
              <w:rPr>
                <w:rFonts w:ascii="Times New Roman" w:hAnsi="Times New Roman"/>
              </w:rPr>
              <w:t>1</w:t>
            </w:r>
            <w:r w:rsidRPr="00AE79AC">
              <w:rPr>
                <w:rFonts w:ascii="Times New Roman" w:hAnsi="Times New Roman"/>
              </w:rPr>
              <w:t xml:space="preserve">47 </w:t>
            </w:r>
            <w:r w:rsidRPr="002341B6">
              <w:rPr>
                <w:rFonts w:ascii="Times New Roman" w:hAnsi="Times New Roman"/>
              </w:rPr>
              <w:t>ust.</w:t>
            </w:r>
            <w:r w:rsidR="002341B6" w:rsidRPr="002341B6">
              <w:rPr>
                <w:rFonts w:ascii="Times New Roman" w:hAnsi="Times New Roman"/>
              </w:rPr>
              <w:t> </w:t>
            </w:r>
            <w:r w:rsidRPr="002341B6">
              <w:rPr>
                <w:rFonts w:ascii="Times New Roman" w:hAnsi="Times New Roman"/>
              </w:rPr>
              <w:t>3</w:t>
            </w:r>
            <w:r w:rsidRPr="00AE79AC">
              <w:rPr>
                <w:rFonts w:ascii="Times New Roman" w:hAnsi="Times New Roman"/>
              </w:rPr>
              <w:t xml:space="preserve"> </w:t>
            </w:r>
            <w:r w:rsidRPr="002341B6">
              <w:rPr>
                <w:rFonts w:ascii="Times New Roman" w:hAnsi="Times New Roman"/>
              </w:rPr>
              <w:t>lit.</w:t>
            </w:r>
            <w:r w:rsidR="002341B6" w:rsidRPr="002341B6">
              <w:rPr>
                <w:rFonts w:ascii="Times New Roman" w:hAnsi="Times New Roman"/>
              </w:rPr>
              <w:t> </w:t>
            </w:r>
            <w:r w:rsidRPr="002341B6">
              <w:rPr>
                <w:rFonts w:ascii="Times New Roman" w:hAnsi="Times New Roman"/>
              </w:rPr>
              <w:t>b)</w:t>
            </w:r>
            <w:r w:rsidRPr="00AE79AC">
              <w:rPr>
                <w:rFonts w:ascii="Times New Roman" w:hAnsi="Times New Roman"/>
              </w:rPr>
              <w:t xml:space="preserve"> i c) CRR. </w:t>
            </w:r>
          </w:p>
          <w:p w:rsidR="009C4E79" w:rsidRPr="00AE79AC" w:rsidRDefault="009C4E79" w:rsidP="007E2A41">
            <w:pPr>
              <w:pStyle w:val="BodyText1"/>
              <w:spacing w:line="240" w:lineRule="auto"/>
              <w:rPr>
                <w:rFonts w:ascii="Times New Roman" w:hAnsi="Times New Roman"/>
                <w:bCs/>
              </w:rPr>
            </w:pPr>
          </w:p>
          <w:p w:rsidR="009C4E79" w:rsidRPr="00AE79AC" w:rsidRDefault="009C4E79" w:rsidP="007E2A41">
            <w:pPr>
              <w:pStyle w:val="BodyText1"/>
              <w:spacing w:line="240" w:lineRule="auto"/>
              <w:rPr>
                <w:rFonts w:ascii="Times New Roman" w:hAnsi="Times New Roman"/>
                <w:bCs/>
              </w:rPr>
            </w:pPr>
            <w:r w:rsidRPr="00AE79AC">
              <w:rPr>
                <w:rFonts w:ascii="Times New Roman" w:hAnsi="Times New Roman"/>
              </w:rPr>
              <w:t>Instytucje nie zgłaszają tu ekspozycji, których dotyczy niewykonanie zobowiązania.</w:t>
            </w:r>
          </w:p>
          <w:p w:rsidR="002509B1" w:rsidRPr="00AE79AC" w:rsidRDefault="002509B1" w:rsidP="007E2A41">
            <w:pPr>
              <w:pStyle w:val="BodyText1"/>
              <w:spacing w:line="240" w:lineRule="auto"/>
              <w:rPr>
                <w:rFonts w:ascii="Times New Roman" w:hAnsi="Times New Roman"/>
                <w:b/>
                <w:bCs/>
              </w:rPr>
            </w:pPr>
          </w:p>
        </w:tc>
      </w:tr>
      <w:tr w:rsidR="00F4754B" w:rsidRPr="00AE79AC" w:rsidTr="0053335C">
        <w:trPr>
          <w:trHeight w:val="71"/>
        </w:trPr>
        <w:tc>
          <w:tcPr>
            <w:tcW w:w="1111" w:type="dxa"/>
            <w:shd w:val="clear" w:color="auto" w:fill="FFFFFF"/>
          </w:tcPr>
          <w:p w:rsidR="00F4754B" w:rsidRPr="00AE79AC" w:rsidRDefault="00F4754B" w:rsidP="00EA3F88">
            <w:pPr>
              <w:pStyle w:val="BodyText1"/>
              <w:rPr>
                <w:rFonts w:ascii="Times New Roman" w:hAnsi="Times New Roman"/>
              </w:rPr>
            </w:pPr>
            <w:r w:rsidRPr="00AE79AC">
              <w:rPr>
                <w:rFonts w:ascii="Times New Roman" w:hAnsi="Times New Roman"/>
              </w:rPr>
              <w:t>{130;010}</w:t>
            </w:r>
          </w:p>
        </w:tc>
        <w:tc>
          <w:tcPr>
            <w:tcW w:w="8133" w:type="dxa"/>
            <w:shd w:val="clear" w:color="auto" w:fill="FFFFFF"/>
          </w:tcPr>
          <w:p w:rsidR="00F4754B" w:rsidRPr="00AE79AC" w:rsidRDefault="00F4754B" w:rsidP="007E2A41">
            <w:pPr>
              <w:pStyle w:val="BodyText1"/>
              <w:spacing w:line="240" w:lineRule="auto"/>
              <w:rPr>
                <w:rFonts w:ascii="Times New Roman" w:hAnsi="Times New Roman"/>
                <w:b/>
                <w:bCs/>
              </w:rPr>
            </w:pPr>
            <w:r w:rsidRPr="00AE79AC">
              <w:rPr>
                <w:rFonts w:ascii="Times New Roman" w:hAnsi="Times New Roman"/>
                <w:b/>
              </w:rPr>
              <w:t>Podmioty sektora publicznego traktowane jak państwa – wartość ekspozycji wskaźnika dźwigni – ekspozycje według metody standardowej</w:t>
            </w:r>
          </w:p>
          <w:p w:rsidR="002509B1" w:rsidRPr="00AE79AC" w:rsidRDefault="002509B1" w:rsidP="007E2A41">
            <w:pPr>
              <w:pStyle w:val="BodyText1"/>
              <w:spacing w:line="240" w:lineRule="auto"/>
              <w:rPr>
                <w:rFonts w:ascii="Times New Roman" w:hAnsi="Times New Roman"/>
                <w:b/>
              </w:rPr>
            </w:pPr>
          </w:p>
          <w:p w:rsidR="00F4754B" w:rsidRPr="00AE79AC" w:rsidRDefault="00F4754B" w:rsidP="007E2A41">
            <w:pPr>
              <w:pStyle w:val="BodyText1"/>
              <w:spacing w:line="240" w:lineRule="auto"/>
              <w:rPr>
                <w:rFonts w:ascii="Times New Roman" w:hAnsi="Times New Roman"/>
                <w:bCs/>
              </w:rPr>
            </w:pPr>
            <w:r w:rsidRPr="00AE79AC">
              <w:rPr>
                <w:rFonts w:ascii="Times New Roman" w:hAnsi="Times New Roman"/>
              </w:rPr>
              <w:t xml:space="preserve">Wartość ekspozycji wskaźnika dźwigni dla aktywów stanowiących ekspozycje wobec podmiotów sektora publicznego, objęte art. 116 ust. 4 CRR. </w:t>
            </w:r>
          </w:p>
          <w:p w:rsidR="00086A8A" w:rsidRPr="00AE79AC" w:rsidRDefault="00086A8A" w:rsidP="007E2A41">
            <w:pPr>
              <w:pStyle w:val="BodyText1"/>
              <w:spacing w:line="240" w:lineRule="auto"/>
              <w:rPr>
                <w:rFonts w:ascii="Times New Roman" w:hAnsi="Times New Roman"/>
                <w:bCs/>
              </w:rPr>
            </w:pPr>
          </w:p>
          <w:p w:rsidR="00086A8A" w:rsidRPr="00AE79AC" w:rsidRDefault="00086A8A" w:rsidP="007E2A41">
            <w:pPr>
              <w:pStyle w:val="BodyText1"/>
              <w:spacing w:line="240" w:lineRule="auto"/>
              <w:rPr>
                <w:rFonts w:ascii="Times New Roman" w:hAnsi="Times New Roman"/>
                <w:bCs/>
              </w:rPr>
            </w:pPr>
            <w:r w:rsidRPr="00AE79AC">
              <w:rPr>
                <w:rFonts w:ascii="Times New Roman" w:hAnsi="Times New Roman"/>
              </w:rPr>
              <w:t>Instytucje nie zgłaszają tu ekspozycji, których dotyczy niewykonanie zobowiązania.</w:t>
            </w:r>
          </w:p>
          <w:p w:rsidR="002509B1" w:rsidRPr="00AE79AC" w:rsidRDefault="002509B1" w:rsidP="007E2A41">
            <w:pPr>
              <w:pStyle w:val="BodyText1"/>
              <w:spacing w:line="240" w:lineRule="auto"/>
              <w:rPr>
                <w:rFonts w:ascii="Times New Roman" w:hAnsi="Times New Roman"/>
                <w:b/>
                <w:bCs/>
              </w:rPr>
            </w:pPr>
          </w:p>
        </w:tc>
      </w:tr>
      <w:tr w:rsidR="00F4754B" w:rsidRPr="00AE79AC" w:rsidTr="0053335C">
        <w:trPr>
          <w:trHeight w:val="71"/>
        </w:trPr>
        <w:tc>
          <w:tcPr>
            <w:tcW w:w="1111" w:type="dxa"/>
            <w:shd w:val="clear" w:color="auto" w:fill="FFFFFF"/>
          </w:tcPr>
          <w:p w:rsidR="00F4754B" w:rsidRPr="00AE79AC" w:rsidRDefault="00F4754B" w:rsidP="00EA3F88">
            <w:pPr>
              <w:pStyle w:val="BodyText1"/>
              <w:rPr>
                <w:rFonts w:ascii="Times New Roman" w:hAnsi="Times New Roman"/>
              </w:rPr>
            </w:pPr>
            <w:r w:rsidRPr="00AE79AC">
              <w:rPr>
                <w:rFonts w:ascii="Times New Roman" w:hAnsi="Times New Roman"/>
              </w:rPr>
              <w:t>{130;020}</w:t>
            </w:r>
          </w:p>
        </w:tc>
        <w:tc>
          <w:tcPr>
            <w:tcW w:w="8133" w:type="dxa"/>
            <w:shd w:val="clear" w:color="auto" w:fill="FFFFFF"/>
          </w:tcPr>
          <w:p w:rsidR="00F4754B" w:rsidRPr="00AE79AC" w:rsidRDefault="00F4754B" w:rsidP="007E2A41">
            <w:pPr>
              <w:pStyle w:val="BodyText1"/>
              <w:spacing w:line="240" w:lineRule="auto"/>
              <w:rPr>
                <w:rFonts w:ascii="Times New Roman" w:hAnsi="Times New Roman"/>
                <w:b/>
              </w:rPr>
            </w:pPr>
            <w:r w:rsidRPr="00AE79AC">
              <w:rPr>
                <w:rFonts w:ascii="Times New Roman" w:hAnsi="Times New Roman"/>
                <w:b/>
              </w:rPr>
              <w:t>Podmioty sektora publicznego traktowane jak państwa – wartość ekspozycji wskaźnika dźwigni – ekspozycje według metody IRB</w:t>
            </w:r>
          </w:p>
          <w:p w:rsidR="002509B1" w:rsidRPr="00AE79AC" w:rsidRDefault="002509B1" w:rsidP="007E2A41">
            <w:pPr>
              <w:pStyle w:val="BodyText1"/>
              <w:spacing w:line="240" w:lineRule="auto"/>
              <w:rPr>
                <w:rFonts w:ascii="Times New Roman" w:hAnsi="Times New Roman"/>
                <w:b/>
              </w:rPr>
            </w:pPr>
          </w:p>
          <w:p w:rsidR="002509B1" w:rsidRPr="00AE79AC" w:rsidRDefault="00F4754B" w:rsidP="007E2A41">
            <w:pPr>
              <w:pStyle w:val="BodyText1"/>
              <w:spacing w:line="240" w:lineRule="auto"/>
              <w:rPr>
                <w:rFonts w:ascii="Times New Roman" w:hAnsi="Times New Roman"/>
                <w:bCs/>
              </w:rPr>
            </w:pPr>
            <w:r w:rsidRPr="00AE79AC">
              <w:rPr>
                <w:rFonts w:ascii="Times New Roman" w:hAnsi="Times New Roman"/>
              </w:rPr>
              <w:t>Kwota ekspozycji wskaźnika dźwigni dla aktywów stanowiących ekspozycje wobec podmiotów sektora publicznego, objęte art. 147 ust. 3 lit. a) CRR.</w:t>
            </w:r>
          </w:p>
          <w:p w:rsidR="009C4E79" w:rsidRPr="00AE79AC" w:rsidRDefault="009C4E79" w:rsidP="007E2A41">
            <w:pPr>
              <w:pStyle w:val="BodyText1"/>
              <w:spacing w:line="240" w:lineRule="auto"/>
              <w:rPr>
                <w:rFonts w:ascii="Times New Roman" w:hAnsi="Times New Roman"/>
                <w:bCs/>
              </w:rPr>
            </w:pPr>
          </w:p>
          <w:p w:rsidR="009C4E79" w:rsidRPr="00AE79AC" w:rsidRDefault="009C4E79" w:rsidP="009C4E79">
            <w:pPr>
              <w:pStyle w:val="BodyText1"/>
              <w:spacing w:line="240" w:lineRule="auto"/>
              <w:rPr>
                <w:rFonts w:ascii="Times New Roman" w:hAnsi="Times New Roman"/>
                <w:bCs/>
              </w:rPr>
            </w:pPr>
            <w:r w:rsidRPr="00AE79AC">
              <w:rPr>
                <w:rFonts w:ascii="Times New Roman" w:hAnsi="Times New Roman"/>
              </w:rPr>
              <w:t>Instytucje nie zgłaszają tu ekspozycji, których dotyczy niewykonanie zobowiązania.</w:t>
            </w:r>
          </w:p>
          <w:p w:rsidR="009C4E79" w:rsidRPr="00AE79AC" w:rsidRDefault="009C4E79" w:rsidP="007E2A41">
            <w:pPr>
              <w:pStyle w:val="BodyText1"/>
              <w:spacing w:line="240" w:lineRule="auto"/>
              <w:rPr>
                <w:rFonts w:ascii="Times New Roman" w:hAnsi="Times New Roman"/>
                <w:bCs/>
              </w:rPr>
            </w:pPr>
          </w:p>
        </w:tc>
      </w:tr>
      <w:tr w:rsidR="00F4754B" w:rsidRPr="00AE79AC" w:rsidTr="0053335C">
        <w:trPr>
          <w:trHeight w:val="71"/>
        </w:trPr>
        <w:tc>
          <w:tcPr>
            <w:tcW w:w="1111" w:type="dxa"/>
            <w:shd w:val="clear" w:color="auto" w:fill="FFFFFF"/>
          </w:tcPr>
          <w:p w:rsidR="00F4754B" w:rsidRPr="00AE79AC" w:rsidRDefault="00F4754B" w:rsidP="006423CC">
            <w:pPr>
              <w:pStyle w:val="BodyText1"/>
              <w:rPr>
                <w:rFonts w:ascii="Times New Roman" w:hAnsi="Times New Roman"/>
              </w:rPr>
            </w:pPr>
            <w:r w:rsidRPr="00AE79AC">
              <w:rPr>
                <w:rFonts w:ascii="Times New Roman" w:hAnsi="Times New Roman"/>
              </w:rPr>
              <w:t>{130;030}</w:t>
            </w:r>
          </w:p>
        </w:tc>
        <w:tc>
          <w:tcPr>
            <w:tcW w:w="8133" w:type="dxa"/>
            <w:shd w:val="clear" w:color="auto" w:fill="FFFFFF"/>
          </w:tcPr>
          <w:p w:rsidR="00F4754B" w:rsidRPr="00AE79AC" w:rsidRDefault="00F4754B" w:rsidP="007E2A41">
            <w:pPr>
              <w:pStyle w:val="BodyText1"/>
              <w:spacing w:line="240" w:lineRule="auto"/>
              <w:rPr>
                <w:rFonts w:ascii="Times New Roman" w:hAnsi="Times New Roman"/>
                <w:b/>
              </w:rPr>
            </w:pPr>
            <w:r w:rsidRPr="00AE79AC">
              <w:rPr>
                <w:rFonts w:ascii="Times New Roman" w:hAnsi="Times New Roman"/>
                <w:b/>
              </w:rPr>
              <w:t>Podmioty sektora publicznego traktowane jak państwa – aktywa ważone ryzykiem – ekspozycje według metody standardowej</w:t>
            </w:r>
          </w:p>
          <w:p w:rsidR="002509B1" w:rsidRPr="00AE79AC" w:rsidRDefault="002509B1" w:rsidP="007E2A41">
            <w:pPr>
              <w:pStyle w:val="BodyText1"/>
              <w:spacing w:line="240" w:lineRule="auto"/>
              <w:rPr>
                <w:rFonts w:ascii="Times New Roman" w:hAnsi="Times New Roman"/>
                <w:b/>
              </w:rPr>
            </w:pPr>
          </w:p>
          <w:p w:rsidR="00F4754B" w:rsidRPr="00AE79AC" w:rsidRDefault="00F4754B" w:rsidP="007E2A41">
            <w:pPr>
              <w:pStyle w:val="BodyText1"/>
              <w:spacing w:line="240" w:lineRule="auto"/>
              <w:rPr>
                <w:rFonts w:ascii="Times New Roman" w:hAnsi="Times New Roman"/>
                <w:bCs/>
              </w:rPr>
            </w:pPr>
            <w:r w:rsidRPr="00AE79AC">
              <w:rPr>
                <w:rFonts w:ascii="Times New Roman" w:hAnsi="Times New Roman"/>
              </w:rPr>
              <w:t xml:space="preserve">Kwota ekspozycji ważonej ryzykiem dla aktywów stanowiących ekspozycje wobec podmiotów sektora publicznego, objęte art. 116 ust. 4 CRR. </w:t>
            </w:r>
          </w:p>
          <w:p w:rsidR="00086A8A" w:rsidRPr="00AE79AC" w:rsidRDefault="00086A8A" w:rsidP="007E2A41">
            <w:pPr>
              <w:pStyle w:val="BodyText1"/>
              <w:spacing w:line="240" w:lineRule="auto"/>
              <w:rPr>
                <w:rFonts w:ascii="Times New Roman" w:hAnsi="Times New Roman"/>
                <w:bCs/>
              </w:rPr>
            </w:pPr>
          </w:p>
          <w:p w:rsidR="00086A8A" w:rsidRPr="00AE79AC" w:rsidRDefault="00086A8A" w:rsidP="007E2A41">
            <w:pPr>
              <w:pStyle w:val="BodyText1"/>
              <w:spacing w:line="240" w:lineRule="auto"/>
              <w:rPr>
                <w:rFonts w:ascii="Times New Roman" w:hAnsi="Times New Roman"/>
                <w:bCs/>
              </w:rPr>
            </w:pPr>
            <w:r w:rsidRPr="00AE79AC">
              <w:rPr>
                <w:rFonts w:ascii="Times New Roman" w:hAnsi="Times New Roman"/>
              </w:rPr>
              <w:t>Instytucje nie zgłaszają tu ekspozycji, których dotyczy niewykonanie zobowiązania.</w:t>
            </w:r>
          </w:p>
          <w:p w:rsidR="002509B1" w:rsidRPr="00AE79AC" w:rsidRDefault="002509B1" w:rsidP="007E2A41">
            <w:pPr>
              <w:pStyle w:val="BodyText1"/>
              <w:spacing w:line="240" w:lineRule="auto"/>
              <w:rPr>
                <w:rFonts w:ascii="Times New Roman" w:hAnsi="Times New Roman"/>
                <w:b/>
                <w:bCs/>
                <w:u w:val="single"/>
              </w:rPr>
            </w:pPr>
          </w:p>
        </w:tc>
      </w:tr>
      <w:tr w:rsidR="00F4754B" w:rsidRPr="00AE79AC" w:rsidTr="0053335C">
        <w:trPr>
          <w:trHeight w:val="71"/>
        </w:trPr>
        <w:tc>
          <w:tcPr>
            <w:tcW w:w="1111" w:type="dxa"/>
            <w:shd w:val="clear" w:color="auto" w:fill="FFFFFF"/>
          </w:tcPr>
          <w:p w:rsidR="00F4754B" w:rsidRPr="00AE79AC" w:rsidRDefault="00F4754B" w:rsidP="006423CC">
            <w:pPr>
              <w:pStyle w:val="BodyText1"/>
              <w:rPr>
                <w:rFonts w:ascii="Times New Roman" w:hAnsi="Times New Roman"/>
              </w:rPr>
            </w:pPr>
            <w:r w:rsidRPr="00AE79AC">
              <w:rPr>
                <w:rFonts w:ascii="Times New Roman" w:hAnsi="Times New Roman"/>
              </w:rPr>
              <w:t>{130;040}</w:t>
            </w:r>
          </w:p>
        </w:tc>
        <w:tc>
          <w:tcPr>
            <w:tcW w:w="8133" w:type="dxa"/>
            <w:shd w:val="clear" w:color="auto" w:fill="FFFFFF"/>
          </w:tcPr>
          <w:p w:rsidR="00F4754B" w:rsidRPr="00AE79AC" w:rsidRDefault="00F4754B" w:rsidP="007E2A41">
            <w:pPr>
              <w:pStyle w:val="BodyText1"/>
              <w:spacing w:line="240" w:lineRule="auto"/>
              <w:rPr>
                <w:rFonts w:ascii="Times New Roman" w:hAnsi="Times New Roman"/>
                <w:b/>
              </w:rPr>
            </w:pPr>
            <w:r w:rsidRPr="00AE79AC">
              <w:rPr>
                <w:rFonts w:ascii="Times New Roman" w:hAnsi="Times New Roman"/>
                <w:b/>
              </w:rPr>
              <w:t>Podmioty sektora publicznego traktowane jak państwa – aktywa ważone ryzykiem – ekspozycje według metody IRB</w:t>
            </w:r>
          </w:p>
          <w:p w:rsidR="002509B1" w:rsidRPr="00AE79AC" w:rsidRDefault="002509B1" w:rsidP="007E2A41">
            <w:pPr>
              <w:pStyle w:val="BodyText1"/>
              <w:spacing w:line="240" w:lineRule="auto"/>
              <w:rPr>
                <w:rFonts w:ascii="Times New Roman" w:hAnsi="Times New Roman"/>
                <w:b/>
              </w:rPr>
            </w:pPr>
          </w:p>
          <w:p w:rsidR="00F4754B" w:rsidRPr="00AE79AC" w:rsidRDefault="00F4754B" w:rsidP="007E2A41">
            <w:pPr>
              <w:pStyle w:val="BodyText1"/>
              <w:spacing w:line="240" w:lineRule="auto"/>
              <w:rPr>
                <w:rFonts w:ascii="Times New Roman" w:hAnsi="Times New Roman"/>
                <w:bCs/>
              </w:rPr>
            </w:pPr>
            <w:r w:rsidRPr="00AE79AC">
              <w:rPr>
                <w:rFonts w:ascii="Times New Roman" w:hAnsi="Times New Roman"/>
              </w:rPr>
              <w:t xml:space="preserve">Kwota ekspozycji ważonej ryzykiem dla aktywów stanowiących ekspozycje wobec podmiotów sektora publicznego, objęte art. 147 ust. 3 lit. a) CRR. </w:t>
            </w:r>
          </w:p>
          <w:p w:rsidR="009C4E79" w:rsidRPr="00AE79AC" w:rsidRDefault="009C4E79" w:rsidP="007E2A41">
            <w:pPr>
              <w:pStyle w:val="BodyText1"/>
              <w:spacing w:line="240" w:lineRule="auto"/>
              <w:rPr>
                <w:rFonts w:ascii="Times New Roman" w:hAnsi="Times New Roman"/>
                <w:bCs/>
              </w:rPr>
            </w:pPr>
          </w:p>
          <w:p w:rsidR="009C4E79" w:rsidRPr="00AE79AC" w:rsidRDefault="009C4E79" w:rsidP="007E2A41">
            <w:pPr>
              <w:pStyle w:val="BodyText1"/>
              <w:spacing w:line="240" w:lineRule="auto"/>
              <w:rPr>
                <w:rFonts w:ascii="Times New Roman" w:hAnsi="Times New Roman"/>
                <w:bCs/>
              </w:rPr>
            </w:pPr>
            <w:r w:rsidRPr="00AE79AC">
              <w:rPr>
                <w:rFonts w:ascii="Times New Roman" w:hAnsi="Times New Roman"/>
              </w:rPr>
              <w:t>Instytucje nie zgłaszają tu ekspozycji, których dotyczy niewykonanie zobowiązania.</w:t>
            </w:r>
          </w:p>
          <w:p w:rsidR="002509B1" w:rsidRPr="00AE79AC" w:rsidRDefault="002509B1" w:rsidP="007E2A41">
            <w:pPr>
              <w:pStyle w:val="BodyText1"/>
              <w:spacing w:line="240" w:lineRule="auto"/>
              <w:rPr>
                <w:rFonts w:ascii="Times New Roman" w:hAnsi="Times New Roman"/>
                <w:b/>
                <w:bCs/>
                <w:u w:val="single"/>
              </w:rPr>
            </w:pPr>
          </w:p>
        </w:tc>
      </w:tr>
      <w:tr w:rsidR="00F4754B" w:rsidRPr="00AE79AC" w:rsidTr="0053335C">
        <w:trPr>
          <w:trHeight w:val="71"/>
        </w:trPr>
        <w:tc>
          <w:tcPr>
            <w:tcW w:w="1111" w:type="dxa"/>
            <w:shd w:val="clear" w:color="auto" w:fill="FFFFFF"/>
          </w:tcPr>
          <w:p w:rsidR="00F4754B" w:rsidRPr="00AE79AC" w:rsidRDefault="00F4754B" w:rsidP="006423CC">
            <w:pPr>
              <w:pStyle w:val="BodyText1"/>
              <w:rPr>
                <w:rFonts w:ascii="Times New Roman" w:hAnsi="Times New Roman"/>
                <w:bCs/>
              </w:rPr>
            </w:pPr>
            <w:r w:rsidRPr="00AE79AC">
              <w:rPr>
                <w:rFonts w:ascii="Times New Roman" w:hAnsi="Times New Roman"/>
              </w:rPr>
              <w:t>{140;010}</w:t>
            </w:r>
          </w:p>
        </w:tc>
        <w:tc>
          <w:tcPr>
            <w:tcW w:w="8133" w:type="dxa"/>
            <w:shd w:val="clear" w:color="auto" w:fill="FFFFFF"/>
          </w:tcPr>
          <w:p w:rsidR="00F4754B" w:rsidRPr="00AE79AC" w:rsidRDefault="00F4754B" w:rsidP="007E2A41">
            <w:pPr>
              <w:pStyle w:val="BodyText1"/>
              <w:spacing w:line="240" w:lineRule="auto"/>
              <w:rPr>
                <w:rFonts w:ascii="Times New Roman" w:hAnsi="Times New Roman"/>
                <w:b/>
                <w:bCs/>
              </w:rPr>
            </w:pPr>
            <w:r w:rsidRPr="00AE79AC">
              <w:rPr>
                <w:rFonts w:ascii="Times New Roman" w:hAnsi="Times New Roman"/>
                <w:b/>
              </w:rPr>
              <w:t xml:space="preserve">Ekspozycje wobec samorządów regionalnych, wielostronnych banków rozwoju, organizacji międzynarodowych i podmiotów sektora publicznego, których </w:t>
            </w:r>
            <w:r w:rsidRPr="00AE79AC">
              <w:rPr>
                <w:rFonts w:ascii="Times New Roman" w:hAnsi="Times New Roman"/>
                <w:b/>
                <w:u w:val="single"/>
              </w:rPr>
              <w:t>nie</w:t>
            </w:r>
            <w:r w:rsidRPr="00AE79AC">
              <w:rPr>
                <w:rFonts w:ascii="Times New Roman" w:hAnsi="Times New Roman"/>
                <w:b/>
              </w:rPr>
              <w:t xml:space="preserve"> traktuje się jak państwa – wartość ekspozycji wskaźnika dźwigni – ekspozycje według metody standardowej</w:t>
            </w:r>
          </w:p>
          <w:p w:rsidR="002509B1" w:rsidRPr="00AE79AC" w:rsidRDefault="002509B1" w:rsidP="007E2A41">
            <w:pPr>
              <w:pStyle w:val="BodyText1"/>
              <w:spacing w:line="240" w:lineRule="auto"/>
              <w:rPr>
                <w:rFonts w:ascii="Times New Roman" w:hAnsi="Times New Roman"/>
                <w:b/>
                <w:bCs/>
              </w:rPr>
            </w:pPr>
          </w:p>
          <w:p w:rsidR="00F4754B" w:rsidRPr="00AE79AC" w:rsidRDefault="00F4754B" w:rsidP="007E2A41">
            <w:pPr>
              <w:pStyle w:val="BodyText1"/>
              <w:spacing w:line="240" w:lineRule="auto"/>
              <w:rPr>
                <w:rFonts w:ascii="Times New Roman" w:hAnsi="Times New Roman"/>
                <w:bCs/>
              </w:rPr>
            </w:pPr>
            <w:r w:rsidRPr="00AE79AC">
              <w:rPr>
                <w:rFonts w:ascii="Times New Roman" w:hAnsi="Times New Roman"/>
              </w:rPr>
              <w:t>Jest to suma komórek od {150,010} do {170,010}.</w:t>
            </w:r>
          </w:p>
          <w:p w:rsidR="00086A8A" w:rsidRPr="00AE79AC" w:rsidRDefault="00086A8A" w:rsidP="007E2A41">
            <w:pPr>
              <w:pStyle w:val="BodyText1"/>
              <w:spacing w:line="240" w:lineRule="auto"/>
              <w:rPr>
                <w:rFonts w:ascii="Times New Roman" w:hAnsi="Times New Roman"/>
                <w:bCs/>
              </w:rPr>
            </w:pPr>
          </w:p>
          <w:p w:rsidR="00086A8A" w:rsidRPr="00AE79AC" w:rsidRDefault="00086A8A" w:rsidP="007E2A41">
            <w:pPr>
              <w:pStyle w:val="BodyText1"/>
              <w:spacing w:line="240" w:lineRule="auto"/>
              <w:rPr>
                <w:rFonts w:ascii="Times New Roman" w:hAnsi="Times New Roman"/>
                <w:bCs/>
              </w:rPr>
            </w:pPr>
            <w:r w:rsidRPr="00AE79AC">
              <w:rPr>
                <w:rFonts w:ascii="Times New Roman" w:hAnsi="Times New Roman"/>
              </w:rPr>
              <w:t>Instytucje nie zgłaszają tu ekspozycji, których dotyczy niewykonanie zobowiązania.</w:t>
            </w:r>
          </w:p>
          <w:p w:rsidR="002509B1" w:rsidRPr="00AE79AC" w:rsidRDefault="002509B1" w:rsidP="007E2A41">
            <w:pPr>
              <w:pStyle w:val="BodyText1"/>
              <w:spacing w:line="240" w:lineRule="auto"/>
              <w:rPr>
                <w:rFonts w:ascii="Times New Roman" w:hAnsi="Times New Roman"/>
                <w:b/>
                <w:bCs/>
                <w:u w:val="single"/>
              </w:rPr>
            </w:pPr>
          </w:p>
        </w:tc>
      </w:tr>
      <w:tr w:rsidR="00F4754B" w:rsidRPr="00AE79AC" w:rsidTr="0053335C">
        <w:trPr>
          <w:trHeight w:val="71"/>
        </w:trPr>
        <w:tc>
          <w:tcPr>
            <w:tcW w:w="1111" w:type="dxa"/>
            <w:shd w:val="clear" w:color="auto" w:fill="FFFFFF"/>
          </w:tcPr>
          <w:p w:rsidR="00F4754B" w:rsidRPr="00AE79AC" w:rsidRDefault="00F4754B" w:rsidP="006423CC">
            <w:pPr>
              <w:pStyle w:val="BodyText1"/>
              <w:rPr>
                <w:rFonts w:ascii="Times New Roman" w:hAnsi="Times New Roman"/>
                <w:bCs/>
              </w:rPr>
            </w:pPr>
            <w:r w:rsidRPr="00AE79AC">
              <w:rPr>
                <w:rFonts w:ascii="Times New Roman" w:hAnsi="Times New Roman"/>
              </w:rPr>
              <w:t>{140;020}</w:t>
            </w:r>
          </w:p>
        </w:tc>
        <w:tc>
          <w:tcPr>
            <w:tcW w:w="8133" w:type="dxa"/>
            <w:shd w:val="clear" w:color="auto" w:fill="FFFFFF"/>
          </w:tcPr>
          <w:p w:rsidR="00F4754B" w:rsidRPr="00AE79AC" w:rsidRDefault="00F4754B" w:rsidP="007E2A41">
            <w:pPr>
              <w:pStyle w:val="BodyText1"/>
              <w:spacing w:line="240" w:lineRule="auto"/>
              <w:rPr>
                <w:rFonts w:ascii="Times New Roman" w:hAnsi="Times New Roman"/>
                <w:b/>
                <w:bCs/>
              </w:rPr>
            </w:pPr>
            <w:r w:rsidRPr="00AE79AC">
              <w:rPr>
                <w:rFonts w:ascii="Times New Roman" w:hAnsi="Times New Roman"/>
                <w:b/>
              </w:rPr>
              <w:t xml:space="preserve">Ekspozycje wobec samorządów regionalnych, wielostronnych banków rozwoju, organizacji międzynarodowych i podmiotów sektora publicznego, których </w:t>
            </w:r>
            <w:r w:rsidRPr="00AE79AC">
              <w:rPr>
                <w:rFonts w:ascii="Times New Roman" w:hAnsi="Times New Roman"/>
                <w:b/>
                <w:u w:val="single"/>
              </w:rPr>
              <w:t>nie</w:t>
            </w:r>
            <w:r w:rsidRPr="00AE79AC">
              <w:rPr>
                <w:rFonts w:ascii="Times New Roman" w:hAnsi="Times New Roman"/>
                <w:b/>
              </w:rPr>
              <w:t xml:space="preserve"> traktuje się jak państwa – wartość ekspozycji wskaźnika dźwigni – ekspozycje według metody IRB</w:t>
            </w:r>
          </w:p>
          <w:p w:rsidR="002509B1" w:rsidRPr="00AE79AC" w:rsidRDefault="002509B1" w:rsidP="007E2A41">
            <w:pPr>
              <w:pStyle w:val="BodyText1"/>
              <w:spacing w:line="240" w:lineRule="auto"/>
              <w:rPr>
                <w:rFonts w:ascii="Times New Roman" w:hAnsi="Times New Roman"/>
                <w:b/>
                <w:bCs/>
              </w:rPr>
            </w:pPr>
          </w:p>
          <w:p w:rsidR="00F4754B" w:rsidRPr="00AE79AC" w:rsidRDefault="00F4754B" w:rsidP="007E2A41">
            <w:pPr>
              <w:pStyle w:val="BodyText1"/>
              <w:spacing w:line="240" w:lineRule="auto"/>
              <w:rPr>
                <w:rFonts w:ascii="Times New Roman" w:hAnsi="Times New Roman"/>
                <w:bCs/>
              </w:rPr>
            </w:pPr>
            <w:r w:rsidRPr="00AE79AC">
              <w:rPr>
                <w:rFonts w:ascii="Times New Roman" w:hAnsi="Times New Roman"/>
              </w:rPr>
              <w:t>Jest to suma komórek od {150,020} do {170,020}.</w:t>
            </w:r>
          </w:p>
          <w:p w:rsidR="009C4E79" w:rsidRPr="00AE79AC" w:rsidRDefault="009C4E79" w:rsidP="007E2A41">
            <w:pPr>
              <w:pStyle w:val="BodyText1"/>
              <w:spacing w:line="240" w:lineRule="auto"/>
              <w:rPr>
                <w:rFonts w:ascii="Times New Roman" w:hAnsi="Times New Roman"/>
                <w:bCs/>
              </w:rPr>
            </w:pPr>
          </w:p>
          <w:p w:rsidR="009C4E79" w:rsidRPr="00AE79AC" w:rsidRDefault="009C4E79" w:rsidP="007E2A41">
            <w:pPr>
              <w:pStyle w:val="BodyText1"/>
              <w:spacing w:line="240" w:lineRule="auto"/>
              <w:rPr>
                <w:rFonts w:ascii="Times New Roman" w:hAnsi="Times New Roman"/>
                <w:bCs/>
              </w:rPr>
            </w:pPr>
            <w:r w:rsidRPr="00AE79AC">
              <w:rPr>
                <w:rFonts w:ascii="Times New Roman" w:hAnsi="Times New Roman"/>
              </w:rPr>
              <w:t>Instytucje nie zgłaszają tu ekspozycji, których dotyczy niewykonanie zobowiązania.</w:t>
            </w:r>
          </w:p>
          <w:p w:rsidR="002509B1" w:rsidRPr="00AE79AC" w:rsidRDefault="002509B1" w:rsidP="007E2A41">
            <w:pPr>
              <w:pStyle w:val="BodyText1"/>
              <w:spacing w:line="240" w:lineRule="auto"/>
              <w:rPr>
                <w:rFonts w:ascii="Times New Roman" w:hAnsi="Times New Roman"/>
                <w:b/>
                <w:bCs/>
                <w:u w:val="single"/>
              </w:rPr>
            </w:pPr>
          </w:p>
        </w:tc>
      </w:tr>
      <w:tr w:rsidR="00F4754B" w:rsidRPr="00AE79AC" w:rsidTr="0053335C">
        <w:trPr>
          <w:trHeight w:val="71"/>
        </w:trPr>
        <w:tc>
          <w:tcPr>
            <w:tcW w:w="1111" w:type="dxa"/>
            <w:shd w:val="clear" w:color="auto" w:fill="FFFFFF"/>
          </w:tcPr>
          <w:p w:rsidR="00F4754B" w:rsidRPr="00AE79AC" w:rsidRDefault="00F4754B" w:rsidP="006423CC">
            <w:pPr>
              <w:pStyle w:val="BodyText1"/>
              <w:rPr>
                <w:rFonts w:ascii="Times New Roman" w:hAnsi="Times New Roman"/>
              </w:rPr>
            </w:pPr>
            <w:r w:rsidRPr="00AE79AC">
              <w:rPr>
                <w:rFonts w:ascii="Times New Roman" w:hAnsi="Times New Roman"/>
              </w:rPr>
              <w:t>{140;030}</w:t>
            </w:r>
          </w:p>
        </w:tc>
        <w:tc>
          <w:tcPr>
            <w:tcW w:w="8133" w:type="dxa"/>
            <w:shd w:val="clear" w:color="auto" w:fill="FFFFFF"/>
          </w:tcPr>
          <w:p w:rsidR="00F4754B" w:rsidRPr="00AE79AC" w:rsidRDefault="00F4754B" w:rsidP="007E2A41">
            <w:pPr>
              <w:pStyle w:val="BodyText1"/>
              <w:spacing w:line="240" w:lineRule="auto"/>
              <w:rPr>
                <w:rFonts w:ascii="Times New Roman" w:hAnsi="Times New Roman"/>
                <w:b/>
                <w:bCs/>
              </w:rPr>
            </w:pPr>
            <w:r w:rsidRPr="00AE79AC">
              <w:rPr>
                <w:rFonts w:ascii="Times New Roman" w:hAnsi="Times New Roman"/>
                <w:b/>
              </w:rPr>
              <w:t xml:space="preserve">Ekspozycje wobec samorządów regionalnych, wielostronnych banków rozwoju, organizacji międzynarodowych i podmiotów sektora publicznego, których </w:t>
            </w:r>
            <w:r w:rsidRPr="00AE79AC">
              <w:rPr>
                <w:rFonts w:ascii="Times New Roman" w:hAnsi="Times New Roman"/>
                <w:b/>
                <w:u w:val="single"/>
              </w:rPr>
              <w:t>nie</w:t>
            </w:r>
            <w:r w:rsidRPr="00AE79AC">
              <w:rPr>
                <w:rFonts w:ascii="Times New Roman" w:hAnsi="Times New Roman"/>
                <w:b/>
              </w:rPr>
              <w:t xml:space="preserve"> traktuje się jak państwa – aktywa ważone ryzykiem – ekspozycje według metody standardowej</w:t>
            </w:r>
          </w:p>
          <w:p w:rsidR="002509B1" w:rsidRPr="00AE79AC" w:rsidRDefault="002509B1" w:rsidP="007E2A41">
            <w:pPr>
              <w:pStyle w:val="BodyText1"/>
              <w:spacing w:line="240" w:lineRule="auto"/>
              <w:rPr>
                <w:rFonts w:ascii="Times New Roman" w:hAnsi="Times New Roman"/>
                <w:b/>
                <w:bCs/>
              </w:rPr>
            </w:pPr>
          </w:p>
          <w:p w:rsidR="00F4754B" w:rsidRPr="00AE79AC" w:rsidRDefault="00F4754B" w:rsidP="007E2A41">
            <w:pPr>
              <w:pStyle w:val="BodyText1"/>
              <w:spacing w:line="240" w:lineRule="auto"/>
              <w:rPr>
                <w:rFonts w:ascii="Times New Roman" w:hAnsi="Times New Roman"/>
                <w:bCs/>
              </w:rPr>
            </w:pPr>
            <w:r w:rsidRPr="00AE79AC">
              <w:rPr>
                <w:rFonts w:ascii="Times New Roman" w:hAnsi="Times New Roman"/>
              </w:rPr>
              <w:t>Jest to suma komórek od {150,030} do {170,030}.</w:t>
            </w:r>
          </w:p>
          <w:p w:rsidR="00086A8A" w:rsidRPr="00AE79AC" w:rsidRDefault="00086A8A" w:rsidP="007E2A41">
            <w:pPr>
              <w:pStyle w:val="BodyText1"/>
              <w:spacing w:line="240" w:lineRule="auto"/>
              <w:rPr>
                <w:rFonts w:ascii="Times New Roman" w:hAnsi="Times New Roman"/>
                <w:bCs/>
              </w:rPr>
            </w:pPr>
          </w:p>
          <w:p w:rsidR="00086A8A" w:rsidRPr="00AE79AC" w:rsidRDefault="00086A8A" w:rsidP="007E2A41">
            <w:pPr>
              <w:pStyle w:val="BodyText1"/>
              <w:spacing w:line="240" w:lineRule="auto"/>
              <w:rPr>
                <w:rFonts w:ascii="Times New Roman" w:hAnsi="Times New Roman"/>
                <w:bCs/>
              </w:rPr>
            </w:pPr>
            <w:r w:rsidRPr="00AE79AC">
              <w:rPr>
                <w:rFonts w:ascii="Times New Roman" w:hAnsi="Times New Roman"/>
              </w:rPr>
              <w:t>Instytucje nie zgłaszają tu ekspozycji, których dotyczy niewykonanie zobowiązania.</w:t>
            </w:r>
          </w:p>
          <w:p w:rsidR="002509B1" w:rsidRPr="00AE79AC" w:rsidRDefault="002509B1" w:rsidP="007E2A41">
            <w:pPr>
              <w:pStyle w:val="BodyText1"/>
              <w:spacing w:line="240" w:lineRule="auto"/>
              <w:rPr>
                <w:rFonts w:ascii="Times New Roman" w:hAnsi="Times New Roman"/>
                <w:b/>
                <w:bCs/>
                <w:u w:val="single"/>
              </w:rPr>
            </w:pPr>
          </w:p>
        </w:tc>
      </w:tr>
      <w:tr w:rsidR="00F4754B" w:rsidRPr="00AE79AC" w:rsidTr="0053335C">
        <w:trPr>
          <w:trHeight w:val="71"/>
        </w:trPr>
        <w:tc>
          <w:tcPr>
            <w:tcW w:w="1111" w:type="dxa"/>
            <w:shd w:val="clear" w:color="auto" w:fill="FFFFFF"/>
          </w:tcPr>
          <w:p w:rsidR="00F4754B" w:rsidRPr="00AE79AC" w:rsidRDefault="00F4754B" w:rsidP="006423CC">
            <w:pPr>
              <w:pStyle w:val="BodyText1"/>
              <w:rPr>
                <w:rFonts w:ascii="Times New Roman" w:hAnsi="Times New Roman"/>
                <w:bCs/>
              </w:rPr>
            </w:pPr>
            <w:r w:rsidRPr="00AE79AC">
              <w:rPr>
                <w:rFonts w:ascii="Times New Roman" w:hAnsi="Times New Roman"/>
              </w:rPr>
              <w:t>{140;040}</w:t>
            </w:r>
          </w:p>
        </w:tc>
        <w:tc>
          <w:tcPr>
            <w:tcW w:w="8133" w:type="dxa"/>
            <w:shd w:val="clear" w:color="auto" w:fill="FFFFFF"/>
          </w:tcPr>
          <w:p w:rsidR="00F4754B" w:rsidRPr="00AE79AC" w:rsidRDefault="00F4754B" w:rsidP="007E2A41">
            <w:pPr>
              <w:pStyle w:val="BodyText1"/>
              <w:spacing w:line="240" w:lineRule="auto"/>
              <w:rPr>
                <w:rFonts w:ascii="Times New Roman" w:hAnsi="Times New Roman"/>
                <w:b/>
                <w:bCs/>
              </w:rPr>
            </w:pPr>
            <w:r w:rsidRPr="00AE79AC">
              <w:rPr>
                <w:rFonts w:ascii="Times New Roman" w:hAnsi="Times New Roman"/>
                <w:b/>
              </w:rPr>
              <w:t xml:space="preserve">Ekspozycje wobec samorządów regionalnych, wielostronnych banków rozwoju, organizacji międzynarodowych i podmiotów sektora publicznego, których </w:t>
            </w:r>
            <w:r w:rsidRPr="00AE79AC">
              <w:rPr>
                <w:rFonts w:ascii="Times New Roman" w:hAnsi="Times New Roman"/>
                <w:b/>
                <w:u w:val="single"/>
              </w:rPr>
              <w:t>nie</w:t>
            </w:r>
            <w:r w:rsidRPr="00AE79AC">
              <w:rPr>
                <w:rFonts w:ascii="Times New Roman" w:hAnsi="Times New Roman"/>
                <w:b/>
              </w:rPr>
              <w:t xml:space="preserve"> traktuje się jak państwa – aktywa ważone ryzykiem – ekspozycje według metody IRB</w:t>
            </w:r>
          </w:p>
          <w:p w:rsidR="002509B1" w:rsidRPr="00AE79AC" w:rsidRDefault="002509B1" w:rsidP="007E2A41">
            <w:pPr>
              <w:pStyle w:val="BodyText1"/>
              <w:spacing w:line="240" w:lineRule="auto"/>
              <w:rPr>
                <w:rFonts w:ascii="Times New Roman" w:hAnsi="Times New Roman"/>
                <w:b/>
                <w:bCs/>
              </w:rPr>
            </w:pPr>
          </w:p>
          <w:p w:rsidR="00F4754B" w:rsidRPr="00AE79AC" w:rsidRDefault="00F4754B" w:rsidP="007E2A41">
            <w:pPr>
              <w:pStyle w:val="BodyText1"/>
              <w:spacing w:line="240" w:lineRule="auto"/>
              <w:rPr>
                <w:rFonts w:ascii="Times New Roman" w:hAnsi="Times New Roman"/>
                <w:bCs/>
              </w:rPr>
            </w:pPr>
            <w:r w:rsidRPr="00AE79AC">
              <w:rPr>
                <w:rFonts w:ascii="Times New Roman" w:hAnsi="Times New Roman"/>
              </w:rPr>
              <w:t>Jest to suma komórek od {150,040} do {170,040}.</w:t>
            </w:r>
          </w:p>
          <w:p w:rsidR="009C4E79" w:rsidRPr="00AE79AC" w:rsidRDefault="009C4E79" w:rsidP="007E2A41">
            <w:pPr>
              <w:pStyle w:val="BodyText1"/>
              <w:spacing w:line="240" w:lineRule="auto"/>
              <w:rPr>
                <w:rFonts w:ascii="Times New Roman" w:hAnsi="Times New Roman"/>
                <w:bCs/>
              </w:rPr>
            </w:pPr>
          </w:p>
          <w:p w:rsidR="009C4E79" w:rsidRPr="00AE79AC" w:rsidRDefault="009C4E79" w:rsidP="007E2A41">
            <w:pPr>
              <w:pStyle w:val="BodyText1"/>
              <w:spacing w:line="240" w:lineRule="auto"/>
              <w:rPr>
                <w:rFonts w:ascii="Times New Roman" w:hAnsi="Times New Roman"/>
                <w:bCs/>
              </w:rPr>
            </w:pPr>
            <w:r w:rsidRPr="00AE79AC">
              <w:rPr>
                <w:rFonts w:ascii="Times New Roman" w:hAnsi="Times New Roman"/>
              </w:rPr>
              <w:t>Instytucje nie zgłaszają tu ekspozycji, których dotyczy niewykonanie zobowiązania.</w:t>
            </w:r>
          </w:p>
          <w:p w:rsidR="002509B1" w:rsidRPr="00AE79AC" w:rsidRDefault="002509B1" w:rsidP="007E2A41">
            <w:pPr>
              <w:pStyle w:val="BodyText1"/>
              <w:spacing w:line="240" w:lineRule="auto"/>
              <w:rPr>
                <w:rFonts w:ascii="Times New Roman" w:hAnsi="Times New Roman"/>
                <w:b/>
                <w:bCs/>
                <w:u w:val="single"/>
              </w:rPr>
            </w:pPr>
          </w:p>
        </w:tc>
      </w:tr>
      <w:tr w:rsidR="00F4754B" w:rsidRPr="00AE79AC" w:rsidTr="0053335C">
        <w:trPr>
          <w:trHeight w:val="71"/>
        </w:trPr>
        <w:tc>
          <w:tcPr>
            <w:tcW w:w="1111" w:type="dxa"/>
            <w:shd w:val="clear" w:color="auto" w:fill="FFFFFF"/>
          </w:tcPr>
          <w:p w:rsidR="00F4754B" w:rsidRPr="00AE79AC" w:rsidRDefault="00F4754B" w:rsidP="006423CC">
            <w:pPr>
              <w:pStyle w:val="BodyText1"/>
              <w:rPr>
                <w:rFonts w:ascii="Times New Roman" w:hAnsi="Times New Roman"/>
              </w:rPr>
            </w:pPr>
            <w:r w:rsidRPr="00AE79AC">
              <w:rPr>
                <w:rFonts w:ascii="Times New Roman" w:hAnsi="Times New Roman"/>
              </w:rPr>
              <w:t>{150;010}</w:t>
            </w:r>
          </w:p>
        </w:tc>
        <w:tc>
          <w:tcPr>
            <w:tcW w:w="8133" w:type="dxa"/>
            <w:shd w:val="clear" w:color="auto" w:fill="FFFFFF"/>
          </w:tcPr>
          <w:p w:rsidR="00F4754B" w:rsidRPr="00AE79AC" w:rsidRDefault="00F4754B" w:rsidP="007E2A41">
            <w:pPr>
              <w:pStyle w:val="BodyText1"/>
              <w:spacing w:line="240" w:lineRule="auto"/>
              <w:rPr>
                <w:rFonts w:ascii="Times New Roman" w:hAnsi="Times New Roman"/>
                <w:b/>
                <w:bCs/>
              </w:rPr>
            </w:pPr>
            <w:r w:rsidRPr="00AE79AC">
              <w:rPr>
                <w:rFonts w:ascii="Times New Roman" w:hAnsi="Times New Roman"/>
                <w:b/>
              </w:rPr>
              <w:t xml:space="preserve">Samorządy regionalne i władze lokalne, których </w:t>
            </w:r>
            <w:r w:rsidRPr="00AE79AC">
              <w:rPr>
                <w:rFonts w:ascii="Times New Roman" w:hAnsi="Times New Roman"/>
                <w:b/>
                <w:u w:val="single"/>
              </w:rPr>
              <w:t>nie</w:t>
            </w:r>
            <w:r w:rsidRPr="00AE79AC">
              <w:rPr>
                <w:rFonts w:ascii="Times New Roman" w:hAnsi="Times New Roman"/>
                <w:b/>
              </w:rPr>
              <w:t xml:space="preserve"> traktuje się jak państwa – wartość ekspozycji wskaźnika dźwigni – ekspozycje według metody standardowej</w:t>
            </w:r>
          </w:p>
          <w:p w:rsidR="002509B1" w:rsidRPr="00AE79AC" w:rsidRDefault="002509B1" w:rsidP="007E2A41">
            <w:pPr>
              <w:pStyle w:val="BodyText1"/>
              <w:spacing w:line="240" w:lineRule="auto"/>
              <w:rPr>
                <w:rFonts w:ascii="Times New Roman" w:hAnsi="Times New Roman"/>
                <w:b/>
                <w:bCs/>
              </w:rPr>
            </w:pPr>
          </w:p>
          <w:p w:rsidR="00F4754B" w:rsidRPr="00AE79AC" w:rsidRDefault="00F4754B" w:rsidP="007E2A41">
            <w:pPr>
              <w:pStyle w:val="BodyText1"/>
              <w:spacing w:line="240" w:lineRule="auto"/>
              <w:rPr>
                <w:rFonts w:ascii="Times New Roman" w:hAnsi="Times New Roman"/>
                <w:bCs/>
              </w:rPr>
            </w:pPr>
            <w:r w:rsidRPr="00AE79AC">
              <w:rPr>
                <w:rFonts w:ascii="Times New Roman" w:hAnsi="Times New Roman"/>
              </w:rPr>
              <w:t xml:space="preserve">Wartość ekspozycji wskaźnika dźwigni dla aktywów stanowiących ekspozycje wobec samorządów regionalnych i władz lokalnych, których nie traktuje się jak państwa, objęte art. 115 ust. 1, 3 i 5 CRR. </w:t>
            </w:r>
          </w:p>
          <w:p w:rsidR="00086A8A" w:rsidRPr="00AE79AC" w:rsidRDefault="00086A8A" w:rsidP="007E2A41">
            <w:pPr>
              <w:pStyle w:val="BodyText1"/>
              <w:spacing w:line="240" w:lineRule="auto"/>
              <w:rPr>
                <w:rFonts w:ascii="Times New Roman" w:hAnsi="Times New Roman"/>
                <w:bCs/>
              </w:rPr>
            </w:pPr>
          </w:p>
          <w:p w:rsidR="00086A8A" w:rsidRPr="00AE79AC" w:rsidRDefault="00086A8A" w:rsidP="007E2A41">
            <w:pPr>
              <w:pStyle w:val="BodyText1"/>
              <w:spacing w:line="240" w:lineRule="auto"/>
              <w:rPr>
                <w:rFonts w:ascii="Times New Roman" w:hAnsi="Times New Roman"/>
                <w:bCs/>
              </w:rPr>
            </w:pPr>
            <w:r w:rsidRPr="00AE79AC">
              <w:rPr>
                <w:rFonts w:ascii="Times New Roman" w:hAnsi="Times New Roman"/>
              </w:rPr>
              <w:t>Instytucje nie zgłaszają tu ekspozycji, których dotyczy niewykonanie zobowiązania.</w:t>
            </w:r>
          </w:p>
          <w:p w:rsidR="002509B1" w:rsidRPr="00AE79AC" w:rsidRDefault="002509B1" w:rsidP="007E2A41">
            <w:pPr>
              <w:pStyle w:val="BodyText1"/>
              <w:spacing w:line="240" w:lineRule="auto"/>
              <w:rPr>
                <w:rFonts w:ascii="Times New Roman" w:hAnsi="Times New Roman"/>
                <w:bCs/>
              </w:rPr>
            </w:pPr>
          </w:p>
        </w:tc>
      </w:tr>
      <w:tr w:rsidR="00F4754B" w:rsidRPr="00AE79AC" w:rsidTr="0053335C">
        <w:trPr>
          <w:trHeight w:val="71"/>
        </w:trPr>
        <w:tc>
          <w:tcPr>
            <w:tcW w:w="1111" w:type="dxa"/>
            <w:shd w:val="clear" w:color="auto" w:fill="FFFFFF"/>
          </w:tcPr>
          <w:p w:rsidR="00F4754B" w:rsidRPr="00AE79AC" w:rsidRDefault="00F4754B" w:rsidP="00A60C43">
            <w:pPr>
              <w:pStyle w:val="BodyText1"/>
              <w:rPr>
                <w:rFonts w:ascii="Times New Roman" w:hAnsi="Times New Roman"/>
              </w:rPr>
            </w:pPr>
            <w:r w:rsidRPr="00AE79AC">
              <w:rPr>
                <w:rFonts w:ascii="Times New Roman" w:hAnsi="Times New Roman"/>
              </w:rPr>
              <w:t>{150;020}</w:t>
            </w:r>
          </w:p>
        </w:tc>
        <w:tc>
          <w:tcPr>
            <w:tcW w:w="8133" w:type="dxa"/>
            <w:shd w:val="clear" w:color="auto" w:fill="FFFFFF"/>
          </w:tcPr>
          <w:p w:rsidR="002509B1" w:rsidRPr="00AE79AC" w:rsidRDefault="00F4754B" w:rsidP="007E2A41">
            <w:pPr>
              <w:pStyle w:val="BodyText1"/>
              <w:spacing w:line="240" w:lineRule="auto"/>
              <w:rPr>
                <w:rFonts w:ascii="Times New Roman" w:hAnsi="Times New Roman"/>
                <w:b/>
                <w:bCs/>
              </w:rPr>
            </w:pPr>
            <w:r w:rsidRPr="00AE79AC">
              <w:rPr>
                <w:rFonts w:ascii="Times New Roman" w:hAnsi="Times New Roman"/>
                <w:b/>
              </w:rPr>
              <w:t xml:space="preserve">Samorządy regionalne i władze lokalne, których </w:t>
            </w:r>
            <w:r w:rsidRPr="00AE79AC">
              <w:rPr>
                <w:rFonts w:ascii="Times New Roman" w:hAnsi="Times New Roman"/>
                <w:b/>
                <w:u w:val="single"/>
              </w:rPr>
              <w:t>nie</w:t>
            </w:r>
            <w:r w:rsidRPr="00AE79AC">
              <w:rPr>
                <w:rFonts w:ascii="Times New Roman" w:hAnsi="Times New Roman"/>
                <w:b/>
              </w:rPr>
              <w:t xml:space="preserve"> traktuje się jak państwa – wartość ekspozycji wskaźnika dźwigni – ekspozycje według metody IRB</w:t>
            </w:r>
          </w:p>
          <w:p w:rsidR="00F4754B" w:rsidRPr="00AE79AC" w:rsidRDefault="00F4754B" w:rsidP="007E2A41">
            <w:pPr>
              <w:pStyle w:val="BodyText1"/>
              <w:spacing w:line="240" w:lineRule="auto"/>
              <w:rPr>
                <w:rFonts w:ascii="Times New Roman" w:hAnsi="Times New Roman"/>
                <w:b/>
              </w:rPr>
            </w:pPr>
            <w:r w:rsidRPr="00AE79AC">
              <w:rPr>
                <w:rFonts w:ascii="Times New Roman" w:hAnsi="Times New Roman"/>
                <w:b/>
              </w:rPr>
              <w:t xml:space="preserve"> </w:t>
            </w:r>
          </w:p>
          <w:p w:rsidR="002509B1" w:rsidRPr="00AE79AC" w:rsidRDefault="00F4754B" w:rsidP="007E2A41">
            <w:pPr>
              <w:pStyle w:val="BodyText1"/>
              <w:spacing w:line="240" w:lineRule="auto"/>
              <w:rPr>
                <w:rFonts w:ascii="Times New Roman" w:hAnsi="Times New Roman"/>
                <w:bCs/>
              </w:rPr>
            </w:pPr>
            <w:r w:rsidRPr="00AE79AC">
              <w:rPr>
                <w:rFonts w:ascii="Times New Roman" w:hAnsi="Times New Roman"/>
              </w:rPr>
              <w:t xml:space="preserve">Wartość ekspozycji wskaźnika dźwigni dla aktywów stanowiących ekspozycje wobec samorządów regionalnych i władz lokalnych, których nie traktuje się jak państwa, objęte art. 147 ust. 4 lit. a) CRR. </w:t>
            </w:r>
          </w:p>
          <w:p w:rsidR="009C4E79" w:rsidRPr="00AE79AC" w:rsidRDefault="009C4E79" w:rsidP="007E2A41">
            <w:pPr>
              <w:pStyle w:val="BodyText1"/>
              <w:spacing w:line="240" w:lineRule="auto"/>
              <w:rPr>
                <w:rFonts w:ascii="Times New Roman" w:hAnsi="Times New Roman"/>
                <w:bCs/>
              </w:rPr>
            </w:pPr>
          </w:p>
          <w:p w:rsidR="009C4E79" w:rsidRPr="00AE79AC" w:rsidRDefault="009C4E79" w:rsidP="007E2A41">
            <w:pPr>
              <w:pStyle w:val="BodyText1"/>
              <w:spacing w:line="240" w:lineRule="auto"/>
              <w:rPr>
                <w:rFonts w:ascii="Times New Roman" w:hAnsi="Times New Roman"/>
                <w:bCs/>
              </w:rPr>
            </w:pPr>
            <w:r w:rsidRPr="00AE79AC">
              <w:rPr>
                <w:rFonts w:ascii="Times New Roman" w:hAnsi="Times New Roman"/>
              </w:rPr>
              <w:t>Instytucje nie zgłaszają tu ekspozycji, których dotyczy niewykonanie zobowiązania.</w:t>
            </w:r>
          </w:p>
          <w:p w:rsidR="00F4754B" w:rsidRPr="00AE79AC" w:rsidDel="00F559E6" w:rsidRDefault="00F4754B" w:rsidP="007E2A41">
            <w:pPr>
              <w:pStyle w:val="BodyText1"/>
              <w:spacing w:line="240" w:lineRule="auto"/>
              <w:rPr>
                <w:rFonts w:ascii="Times New Roman" w:hAnsi="Times New Roman"/>
                <w:b/>
                <w:bCs/>
                <w:u w:val="single"/>
              </w:rPr>
            </w:pPr>
            <w:r w:rsidRPr="00AE79AC">
              <w:rPr>
                <w:rFonts w:ascii="Times New Roman" w:hAnsi="Times New Roman"/>
              </w:rPr>
              <w:t xml:space="preserve"> </w:t>
            </w:r>
          </w:p>
        </w:tc>
      </w:tr>
      <w:tr w:rsidR="00F4754B" w:rsidRPr="00AE79AC" w:rsidTr="0053335C">
        <w:trPr>
          <w:trHeight w:val="71"/>
        </w:trPr>
        <w:tc>
          <w:tcPr>
            <w:tcW w:w="1111" w:type="dxa"/>
            <w:shd w:val="clear" w:color="auto" w:fill="FFFFFF"/>
          </w:tcPr>
          <w:p w:rsidR="00F4754B" w:rsidRPr="00AE79AC" w:rsidRDefault="00F4754B" w:rsidP="006423CC">
            <w:pPr>
              <w:pStyle w:val="BodyText1"/>
              <w:rPr>
                <w:rFonts w:ascii="Times New Roman" w:hAnsi="Times New Roman"/>
                <w:bCs/>
              </w:rPr>
            </w:pPr>
            <w:r w:rsidRPr="00AE79AC">
              <w:rPr>
                <w:rFonts w:ascii="Times New Roman" w:hAnsi="Times New Roman"/>
              </w:rPr>
              <w:t>{150;030}</w:t>
            </w:r>
          </w:p>
        </w:tc>
        <w:tc>
          <w:tcPr>
            <w:tcW w:w="8133" w:type="dxa"/>
            <w:shd w:val="clear" w:color="auto" w:fill="FFFFFF"/>
          </w:tcPr>
          <w:p w:rsidR="00F4754B" w:rsidRPr="00AE79AC" w:rsidRDefault="00F4754B" w:rsidP="007E2A41">
            <w:pPr>
              <w:pStyle w:val="BodyText1"/>
              <w:spacing w:line="240" w:lineRule="auto"/>
              <w:rPr>
                <w:rFonts w:ascii="Times New Roman" w:hAnsi="Times New Roman"/>
                <w:b/>
                <w:bCs/>
              </w:rPr>
            </w:pPr>
            <w:r w:rsidRPr="00AE79AC">
              <w:rPr>
                <w:rFonts w:ascii="Times New Roman" w:hAnsi="Times New Roman"/>
                <w:b/>
              </w:rPr>
              <w:t xml:space="preserve">Samorządy regionalne i władze lokalne, których </w:t>
            </w:r>
            <w:r w:rsidRPr="00AE79AC">
              <w:rPr>
                <w:rFonts w:ascii="Times New Roman" w:hAnsi="Times New Roman"/>
                <w:b/>
                <w:u w:val="single"/>
              </w:rPr>
              <w:t>nie</w:t>
            </w:r>
            <w:r w:rsidRPr="00AE79AC">
              <w:rPr>
                <w:rFonts w:ascii="Times New Roman" w:hAnsi="Times New Roman"/>
                <w:b/>
              </w:rPr>
              <w:t xml:space="preserve"> traktuje się jak państwa – aktywa ważone ryzykiem – ekspozycje według metody standardowej </w:t>
            </w:r>
          </w:p>
          <w:p w:rsidR="002509B1" w:rsidRPr="00AE79AC" w:rsidRDefault="002509B1" w:rsidP="007E2A41">
            <w:pPr>
              <w:pStyle w:val="BodyText1"/>
              <w:spacing w:line="240" w:lineRule="auto"/>
              <w:rPr>
                <w:rFonts w:ascii="Times New Roman" w:hAnsi="Times New Roman"/>
                <w:b/>
                <w:bCs/>
              </w:rPr>
            </w:pPr>
          </w:p>
          <w:p w:rsidR="00F4754B" w:rsidRPr="00AE79AC" w:rsidRDefault="00F4754B" w:rsidP="007E2A41">
            <w:pPr>
              <w:pStyle w:val="BodyText1"/>
              <w:spacing w:line="240" w:lineRule="auto"/>
              <w:rPr>
                <w:rFonts w:ascii="Times New Roman" w:hAnsi="Times New Roman"/>
                <w:bCs/>
              </w:rPr>
            </w:pPr>
            <w:r w:rsidRPr="00AE79AC">
              <w:rPr>
                <w:rFonts w:ascii="Times New Roman" w:hAnsi="Times New Roman"/>
              </w:rPr>
              <w:t xml:space="preserve">Kwota ekspozycji ważonej ryzykiem dla aktywów stanowiących ekspozycje wobec samorządów regionalnych i władz lokalnych, których nie traktuje się jak państwa, objęte art. 115 ust. 1, 3 i 5 CRR. </w:t>
            </w:r>
          </w:p>
          <w:p w:rsidR="00086A8A" w:rsidRPr="00AE79AC" w:rsidRDefault="00086A8A" w:rsidP="007E2A41">
            <w:pPr>
              <w:pStyle w:val="BodyText1"/>
              <w:spacing w:line="240" w:lineRule="auto"/>
              <w:rPr>
                <w:rFonts w:ascii="Times New Roman" w:hAnsi="Times New Roman"/>
                <w:bCs/>
              </w:rPr>
            </w:pPr>
          </w:p>
          <w:p w:rsidR="00086A8A" w:rsidRPr="00AE79AC" w:rsidRDefault="00086A8A" w:rsidP="007E2A41">
            <w:pPr>
              <w:pStyle w:val="BodyText1"/>
              <w:spacing w:line="240" w:lineRule="auto"/>
              <w:rPr>
                <w:rFonts w:ascii="Times New Roman" w:hAnsi="Times New Roman"/>
                <w:bCs/>
              </w:rPr>
            </w:pPr>
            <w:r w:rsidRPr="00AE79AC">
              <w:rPr>
                <w:rFonts w:ascii="Times New Roman" w:hAnsi="Times New Roman"/>
              </w:rPr>
              <w:t>Instytucje nie zgłaszają tu ekspozycji, których dotyczy niewykonanie zobowiązania.</w:t>
            </w:r>
          </w:p>
          <w:p w:rsidR="002509B1" w:rsidRPr="00AE79AC" w:rsidRDefault="002509B1" w:rsidP="007E2A41">
            <w:pPr>
              <w:pStyle w:val="BodyText1"/>
              <w:spacing w:line="240" w:lineRule="auto"/>
              <w:rPr>
                <w:rFonts w:ascii="Times New Roman" w:hAnsi="Times New Roman"/>
                <w:b/>
                <w:bCs/>
                <w:u w:val="single"/>
              </w:rPr>
            </w:pPr>
          </w:p>
        </w:tc>
      </w:tr>
      <w:tr w:rsidR="00F4754B" w:rsidRPr="00AE79AC" w:rsidTr="0053335C">
        <w:trPr>
          <w:trHeight w:val="71"/>
        </w:trPr>
        <w:tc>
          <w:tcPr>
            <w:tcW w:w="1111" w:type="dxa"/>
            <w:shd w:val="clear" w:color="auto" w:fill="FFFFFF"/>
          </w:tcPr>
          <w:p w:rsidR="00F4754B" w:rsidRPr="00AE79AC" w:rsidRDefault="00F4754B" w:rsidP="006423CC">
            <w:pPr>
              <w:pStyle w:val="BodyText1"/>
              <w:rPr>
                <w:rFonts w:ascii="Times New Roman" w:hAnsi="Times New Roman"/>
              </w:rPr>
            </w:pPr>
            <w:r w:rsidRPr="00AE79AC">
              <w:rPr>
                <w:rFonts w:ascii="Times New Roman" w:hAnsi="Times New Roman"/>
              </w:rPr>
              <w:t>{150;040}</w:t>
            </w:r>
          </w:p>
        </w:tc>
        <w:tc>
          <w:tcPr>
            <w:tcW w:w="8133" w:type="dxa"/>
            <w:shd w:val="clear" w:color="auto" w:fill="FFFFFF"/>
          </w:tcPr>
          <w:p w:rsidR="00F4754B" w:rsidRPr="00AE79AC" w:rsidRDefault="00F4754B" w:rsidP="007E2A41">
            <w:pPr>
              <w:pStyle w:val="BodyText1"/>
              <w:spacing w:line="240" w:lineRule="auto"/>
              <w:rPr>
                <w:rFonts w:ascii="Times New Roman" w:hAnsi="Times New Roman"/>
                <w:b/>
                <w:bCs/>
              </w:rPr>
            </w:pPr>
            <w:r w:rsidRPr="00AE79AC">
              <w:rPr>
                <w:rFonts w:ascii="Times New Roman" w:hAnsi="Times New Roman"/>
                <w:b/>
              </w:rPr>
              <w:t xml:space="preserve">Samorządy regionalne i władze lokalne, których </w:t>
            </w:r>
            <w:r w:rsidRPr="00AE79AC">
              <w:rPr>
                <w:rFonts w:ascii="Times New Roman" w:hAnsi="Times New Roman"/>
                <w:b/>
                <w:u w:val="single"/>
              </w:rPr>
              <w:t>nie</w:t>
            </w:r>
            <w:r w:rsidRPr="00AE79AC">
              <w:rPr>
                <w:rFonts w:ascii="Times New Roman" w:hAnsi="Times New Roman"/>
                <w:b/>
              </w:rPr>
              <w:t xml:space="preserve"> traktuje się jak państwa – aktywa ważone ryzykiem – ekspozycje według metody IRB</w:t>
            </w:r>
          </w:p>
          <w:p w:rsidR="002509B1" w:rsidRPr="00AE79AC" w:rsidRDefault="002509B1" w:rsidP="007E2A41">
            <w:pPr>
              <w:pStyle w:val="BodyText1"/>
              <w:spacing w:line="240" w:lineRule="auto"/>
              <w:rPr>
                <w:rFonts w:ascii="Times New Roman" w:hAnsi="Times New Roman"/>
                <w:b/>
                <w:bCs/>
              </w:rPr>
            </w:pPr>
          </w:p>
          <w:p w:rsidR="00F4754B" w:rsidRPr="00AE79AC" w:rsidRDefault="00F4754B" w:rsidP="007E2A41">
            <w:pPr>
              <w:pStyle w:val="BodyText1"/>
              <w:spacing w:line="240" w:lineRule="auto"/>
              <w:rPr>
                <w:rFonts w:ascii="Times New Roman" w:hAnsi="Times New Roman"/>
                <w:bCs/>
              </w:rPr>
            </w:pPr>
            <w:r w:rsidRPr="00AE79AC">
              <w:rPr>
                <w:rFonts w:ascii="Times New Roman" w:hAnsi="Times New Roman"/>
              </w:rPr>
              <w:t>Kwota ekspozycji ważonej ryzykiem dla aktywów stanowiących ekspozycje wobec samorządów regionalnych i władz lokalnych, których nie traktuje się jak państwa, objęte art. 147 ust. 4 lit. a) CRR.</w:t>
            </w:r>
          </w:p>
          <w:p w:rsidR="009C4E79" w:rsidRPr="00AE79AC" w:rsidRDefault="009C4E79" w:rsidP="007E2A41">
            <w:pPr>
              <w:pStyle w:val="BodyText1"/>
              <w:spacing w:line="240" w:lineRule="auto"/>
              <w:rPr>
                <w:rFonts w:ascii="Times New Roman" w:hAnsi="Times New Roman"/>
                <w:bCs/>
              </w:rPr>
            </w:pPr>
          </w:p>
          <w:p w:rsidR="009C4E79" w:rsidRPr="00AE79AC" w:rsidRDefault="009C4E79" w:rsidP="009C4E79">
            <w:pPr>
              <w:pStyle w:val="BodyText1"/>
              <w:spacing w:line="240" w:lineRule="auto"/>
              <w:rPr>
                <w:rFonts w:ascii="Times New Roman" w:hAnsi="Times New Roman"/>
                <w:bCs/>
              </w:rPr>
            </w:pPr>
            <w:r w:rsidRPr="00AE79AC">
              <w:rPr>
                <w:rFonts w:ascii="Times New Roman" w:hAnsi="Times New Roman"/>
              </w:rPr>
              <w:t>Instytucje nie zgłaszają tu ekspozycji, których dotyczy niewykonanie zobowiązania.</w:t>
            </w:r>
          </w:p>
          <w:p w:rsidR="002509B1" w:rsidRPr="00AE79AC" w:rsidRDefault="002509B1" w:rsidP="007E2A41">
            <w:pPr>
              <w:pStyle w:val="BodyText1"/>
              <w:spacing w:line="240" w:lineRule="auto"/>
              <w:rPr>
                <w:rFonts w:ascii="Times New Roman" w:hAnsi="Times New Roman"/>
                <w:b/>
                <w:bCs/>
                <w:u w:val="single"/>
              </w:rPr>
            </w:pPr>
          </w:p>
        </w:tc>
      </w:tr>
      <w:tr w:rsidR="00F4754B" w:rsidRPr="00AE79AC" w:rsidTr="0053335C">
        <w:trPr>
          <w:trHeight w:val="71"/>
        </w:trPr>
        <w:tc>
          <w:tcPr>
            <w:tcW w:w="1111" w:type="dxa"/>
            <w:shd w:val="clear" w:color="auto" w:fill="FFFFFF"/>
          </w:tcPr>
          <w:p w:rsidR="00F4754B" w:rsidRPr="00AE79AC" w:rsidRDefault="00F4754B" w:rsidP="006423CC">
            <w:pPr>
              <w:pStyle w:val="BodyText1"/>
              <w:rPr>
                <w:rFonts w:ascii="Times New Roman" w:hAnsi="Times New Roman"/>
              </w:rPr>
            </w:pPr>
            <w:r w:rsidRPr="00AE79AC">
              <w:rPr>
                <w:rFonts w:ascii="Times New Roman" w:hAnsi="Times New Roman"/>
              </w:rPr>
              <w:t>{160;010}</w:t>
            </w:r>
          </w:p>
        </w:tc>
        <w:tc>
          <w:tcPr>
            <w:tcW w:w="8133" w:type="dxa"/>
            <w:shd w:val="clear" w:color="auto" w:fill="FFFFFF"/>
          </w:tcPr>
          <w:p w:rsidR="00F4754B" w:rsidRPr="00AE79AC" w:rsidRDefault="00F4754B" w:rsidP="007E2A41">
            <w:pPr>
              <w:pStyle w:val="BodyText1"/>
              <w:spacing w:line="240" w:lineRule="auto"/>
              <w:rPr>
                <w:rFonts w:ascii="Times New Roman" w:hAnsi="Times New Roman"/>
                <w:b/>
                <w:bCs/>
              </w:rPr>
            </w:pPr>
            <w:r w:rsidRPr="00AE79AC">
              <w:rPr>
                <w:rFonts w:ascii="Times New Roman" w:hAnsi="Times New Roman"/>
                <w:b/>
              </w:rPr>
              <w:t xml:space="preserve">Wielostronne banki rozwoju, których </w:t>
            </w:r>
            <w:r w:rsidRPr="00AE79AC">
              <w:rPr>
                <w:rFonts w:ascii="Times New Roman" w:hAnsi="Times New Roman"/>
                <w:b/>
                <w:u w:val="single"/>
              </w:rPr>
              <w:t>nie</w:t>
            </w:r>
            <w:r w:rsidRPr="00AE79AC">
              <w:rPr>
                <w:rFonts w:ascii="Times New Roman" w:hAnsi="Times New Roman"/>
                <w:b/>
              </w:rPr>
              <w:t xml:space="preserve"> traktuje się jak państwa – wartość ekspozycji wskaźnika dźwigni – ekspozycje według metody standardowej</w:t>
            </w:r>
          </w:p>
          <w:p w:rsidR="002509B1" w:rsidRPr="00AE79AC" w:rsidRDefault="002509B1" w:rsidP="007E2A41">
            <w:pPr>
              <w:pStyle w:val="BodyText1"/>
              <w:spacing w:line="240" w:lineRule="auto"/>
              <w:rPr>
                <w:rFonts w:ascii="Times New Roman" w:hAnsi="Times New Roman"/>
                <w:b/>
                <w:bCs/>
              </w:rPr>
            </w:pPr>
          </w:p>
          <w:p w:rsidR="00F4754B" w:rsidRPr="00AE79AC" w:rsidRDefault="00F4754B" w:rsidP="007E2A41">
            <w:pPr>
              <w:pStyle w:val="BodyText1"/>
              <w:spacing w:line="240" w:lineRule="auto"/>
              <w:rPr>
                <w:rFonts w:ascii="Times New Roman" w:hAnsi="Times New Roman"/>
                <w:bCs/>
              </w:rPr>
            </w:pPr>
            <w:r w:rsidRPr="00AE79AC">
              <w:rPr>
                <w:rFonts w:ascii="Times New Roman" w:hAnsi="Times New Roman"/>
              </w:rPr>
              <w:t xml:space="preserve">Wartość ekspozycji wskaźnika dźwigni dla aktywów stanowiących ekspozycje wobec wielostronnych banków rozwoju objęte </w:t>
            </w:r>
            <w:r w:rsidRPr="002341B6">
              <w:rPr>
                <w:rFonts w:ascii="Times New Roman" w:hAnsi="Times New Roman"/>
              </w:rPr>
              <w:t>art.</w:t>
            </w:r>
            <w:r w:rsidR="002341B6" w:rsidRPr="002341B6">
              <w:rPr>
                <w:rFonts w:ascii="Times New Roman" w:hAnsi="Times New Roman"/>
              </w:rPr>
              <w:t> </w:t>
            </w:r>
            <w:r w:rsidRPr="002341B6">
              <w:rPr>
                <w:rFonts w:ascii="Times New Roman" w:hAnsi="Times New Roman"/>
              </w:rPr>
              <w:t>1</w:t>
            </w:r>
            <w:r w:rsidRPr="00AE79AC">
              <w:rPr>
                <w:rFonts w:ascii="Times New Roman" w:hAnsi="Times New Roman"/>
              </w:rPr>
              <w:t xml:space="preserve">17 </w:t>
            </w:r>
            <w:r w:rsidRPr="002341B6">
              <w:rPr>
                <w:rFonts w:ascii="Times New Roman" w:hAnsi="Times New Roman"/>
              </w:rPr>
              <w:t>ust.</w:t>
            </w:r>
            <w:r w:rsidR="002341B6" w:rsidRPr="002341B6">
              <w:rPr>
                <w:rFonts w:ascii="Times New Roman" w:hAnsi="Times New Roman"/>
              </w:rPr>
              <w:t> </w:t>
            </w:r>
            <w:r w:rsidRPr="002341B6">
              <w:rPr>
                <w:rFonts w:ascii="Times New Roman" w:hAnsi="Times New Roman"/>
              </w:rPr>
              <w:t>1</w:t>
            </w:r>
            <w:r w:rsidRPr="00AE79AC">
              <w:rPr>
                <w:rFonts w:ascii="Times New Roman" w:hAnsi="Times New Roman"/>
              </w:rPr>
              <w:t xml:space="preserve"> i 3 CRR. </w:t>
            </w:r>
          </w:p>
          <w:p w:rsidR="00086A8A" w:rsidRPr="00AE79AC" w:rsidRDefault="00086A8A" w:rsidP="007E2A41">
            <w:pPr>
              <w:pStyle w:val="BodyText1"/>
              <w:spacing w:line="240" w:lineRule="auto"/>
              <w:rPr>
                <w:rFonts w:ascii="Times New Roman" w:hAnsi="Times New Roman"/>
                <w:bCs/>
              </w:rPr>
            </w:pPr>
          </w:p>
          <w:p w:rsidR="00086A8A" w:rsidRPr="00AE79AC" w:rsidRDefault="00086A8A" w:rsidP="007E2A41">
            <w:pPr>
              <w:pStyle w:val="BodyText1"/>
              <w:spacing w:line="240" w:lineRule="auto"/>
              <w:rPr>
                <w:rFonts w:ascii="Times New Roman" w:hAnsi="Times New Roman"/>
                <w:bCs/>
              </w:rPr>
            </w:pPr>
            <w:r w:rsidRPr="00AE79AC">
              <w:rPr>
                <w:rFonts w:ascii="Times New Roman" w:hAnsi="Times New Roman"/>
              </w:rPr>
              <w:t>Instytucje nie zgłaszają tu ekspozycji, których dotyczy niewykonanie zobowiązania.</w:t>
            </w:r>
          </w:p>
          <w:p w:rsidR="002509B1" w:rsidRPr="00AE79AC" w:rsidRDefault="002509B1" w:rsidP="007E2A41">
            <w:pPr>
              <w:pStyle w:val="BodyText1"/>
              <w:spacing w:line="240" w:lineRule="auto"/>
              <w:rPr>
                <w:rFonts w:ascii="Times New Roman" w:hAnsi="Times New Roman"/>
                <w:bCs/>
              </w:rPr>
            </w:pPr>
          </w:p>
        </w:tc>
      </w:tr>
      <w:tr w:rsidR="00F4754B" w:rsidRPr="00AE79AC" w:rsidTr="0053335C">
        <w:trPr>
          <w:trHeight w:val="71"/>
        </w:trPr>
        <w:tc>
          <w:tcPr>
            <w:tcW w:w="1111" w:type="dxa"/>
            <w:shd w:val="clear" w:color="auto" w:fill="FFFFFF"/>
          </w:tcPr>
          <w:p w:rsidR="00F4754B" w:rsidRPr="00AE79AC" w:rsidRDefault="00F4754B" w:rsidP="006423CC">
            <w:pPr>
              <w:pStyle w:val="BodyText1"/>
              <w:rPr>
                <w:rFonts w:ascii="Times New Roman" w:hAnsi="Times New Roman"/>
                <w:bCs/>
              </w:rPr>
            </w:pPr>
            <w:r w:rsidRPr="00AE79AC">
              <w:rPr>
                <w:rFonts w:ascii="Times New Roman" w:hAnsi="Times New Roman"/>
              </w:rPr>
              <w:t>{160;020}</w:t>
            </w:r>
          </w:p>
        </w:tc>
        <w:tc>
          <w:tcPr>
            <w:tcW w:w="8133" w:type="dxa"/>
            <w:shd w:val="clear" w:color="auto" w:fill="FFFFFF"/>
          </w:tcPr>
          <w:p w:rsidR="00F4754B" w:rsidRPr="00AE79AC" w:rsidRDefault="00F4754B" w:rsidP="007E2A41">
            <w:pPr>
              <w:pStyle w:val="BodyText1"/>
              <w:spacing w:line="240" w:lineRule="auto"/>
              <w:rPr>
                <w:rFonts w:ascii="Times New Roman" w:hAnsi="Times New Roman"/>
                <w:b/>
              </w:rPr>
            </w:pPr>
            <w:r w:rsidRPr="00AE79AC">
              <w:rPr>
                <w:rFonts w:ascii="Times New Roman" w:hAnsi="Times New Roman"/>
                <w:b/>
              </w:rPr>
              <w:t xml:space="preserve">Wielostronne banki rozwoju, których </w:t>
            </w:r>
            <w:r w:rsidRPr="00AE79AC">
              <w:rPr>
                <w:rFonts w:ascii="Times New Roman" w:hAnsi="Times New Roman"/>
                <w:b/>
                <w:u w:val="single"/>
              </w:rPr>
              <w:t>nie</w:t>
            </w:r>
            <w:r w:rsidRPr="00AE79AC">
              <w:rPr>
                <w:rFonts w:ascii="Times New Roman" w:hAnsi="Times New Roman"/>
                <w:b/>
              </w:rPr>
              <w:t xml:space="preserve"> traktuje się jak państwa – wartość ekspozycji wskaźnika dźwigni – ekspozycje według metody IRB</w:t>
            </w:r>
          </w:p>
          <w:p w:rsidR="002509B1" w:rsidRPr="00AE79AC" w:rsidRDefault="002509B1" w:rsidP="007E2A41">
            <w:pPr>
              <w:pStyle w:val="BodyText1"/>
              <w:spacing w:line="240" w:lineRule="auto"/>
              <w:rPr>
                <w:rFonts w:ascii="Times New Roman" w:hAnsi="Times New Roman"/>
                <w:b/>
              </w:rPr>
            </w:pPr>
          </w:p>
          <w:p w:rsidR="002509B1" w:rsidRPr="00AE79AC" w:rsidRDefault="00F4754B" w:rsidP="007E2A41">
            <w:pPr>
              <w:pStyle w:val="BodyText1"/>
              <w:spacing w:line="240" w:lineRule="auto"/>
              <w:rPr>
                <w:rFonts w:ascii="Times New Roman" w:hAnsi="Times New Roman"/>
                <w:bCs/>
              </w:rPr>
            </w:pPr>
            <w:r w:rsidRPr="00AE79AC">
              <w:rPr>
                <w:rFonts w:ascii="Times New Roman" w:hAnsi="Times New Roman"/>
              </w:rPr>
              <w:t xml:space="preserve">Wartość ekspozycji wskaźnika dźwigni dla aktywów stanowiących ekspozycje wobec wielostronnych banków rozwoju, których nie traktuje się jak państwa, objęte art. 147 ust. 4 lit. c) CRR. </w:t>
            </w:r>
          </w:p>
          <w:p w:rsidR="00315160" w:rsidRPr="00AE79AC" w:rsidRDefault="00315160" w:rsidP="007E2A41">
            <w:pPr>
              <w:pStyle w:val="BodyText1"/>
              <w:spacing w:line="240" w:lineRule="auto"/>
              <w:rPr>
                <w:rFonts w:ascii="Times New Roman" w:hAnsi="Times New Roman"/>
                <w:b/>
                <w:bCs/>
                <w:u w:val="single"/>
              </w:rPr>
            </w:pPr>
          </w:p>
          <w:p w:rsidR="009C4E79" w:rsidRPr="00AE79AC" w:rsidRDefault="009C4E79" w:rsidP="009C4E79">
            <w:pPr>
              <w:pStyle w:val="BodyText1"/>
              <w:spacing w:line="240" w:lineRule="auto"/>
              <w:rPr>
                <w:rFonts w:ascii="Times New Roman" w:hAnsi="Times New Roman"/>
                <w:bCs/>
              </w:rPr>
            </w:pPr>
            <w:r w:rsidRPr="00AE79AC">
              <w:rPr>
                <w:rFonts w:ascii="Times New Roman" w:hAnsi="Times New Roman"/>
              </w:rPr>
              <w:t>Instytucje nie zgłaszają tu ekspozycji, których dotyczy niewykonanie zobowiązania.</w:t>
            </w:r>
          </w:p>
          <w:p w:rsidR="009C4E79" w:rsidRPr="00AE79AC" w:rsidDel="009A4B38" w:rsidRDefault="009C4E79" w:rsidP="007E2A41">
            <w:pPr>
              <w:pStyle w:val="BodyText1"/>
              <w:spacing w:line="240" w:lineRule="auto"/>
              <w:rPr>
                <w:rFonts w:ascii="Times New Roman" w:hAnsi="Times New Roman"/>
                <w:b/>
                <w:bCs/>
                <w:u w:val="single"/>
              </w:rPr>
            </w:pPr>
          </w:p>
        </w:tc>
      </w:tr>
      <w:tr w:rsidR="00F4754B" w:rsidRPr="00AE79AC" w:rsidTr="0053335C">
        <w:trPr>
          <w:trHeight w:val="71"/>
        </w:trPr>
        <w:tc>
          <w:tcPr>
            <w:tcW w:w="1111" w:type="dxa"/>
            <w:shd w:val="clear" w:color="auto" w:fill="FFFFFF"/>
          </w:tcPr>
          <w:p w:rsidR="00F4754B" w:rsidRPr="00AE79AC" w:rsidRDefault="00F4754B" w:rsidP="006423CC">
            <w:pPr>
              <w:pStyle w:val="BodyText1"/>
              <w:rPr>
                <w:rFonts w:ascii="Times New Roman" w:hAnsi="Times New Roman"/>
              </w:rPr>
            </w:pPr>
            <w:r w:rsidRPr="00AE79AC">
              <w:rPr>
                <w:rFonts w:ascii="Times New Roman" w:hAnsi="Times New Roman"/>
              </w:rPr>
              <w:t>{160;030}</w:t>
            </w:r>
          </w:p>
        </w:tc>
        <w:tc>
          <w:tcPr>
            <w:tcW w:w="8133" w:type="dxa"/>
            <w:shd w:val="clear" w:color="auto" w:fill="FFFFFF"/>
          </w:tcPr>
          <w:p w:rsidR="00F4754B" w:rsidRPr="00AE79AC" w:rsidRDefault="00F4754B" w:rsidP="007E2A41">
            <w:pPr>
              <w:pStyle w:val="BodyText1"/>
              <w:spacing w:line="240" w:lineRule="auto"/>
              <w:rPr>
                <w:rFonts w:ascii="Times New Roman" w:hAnsi="Times New Roman"/>
                <w:b/>
                <w:bCs/>
              </w:rPr>
            </w:pPr>
            <w:r w:rsidRPr="00AE79AC">
              <w:rPr>
                <w:rFonts w:ascii="Times New Roman" w:hAnsi="Times New Roman"/>
                <w:b/>
              </w:rPr>
              <w:t xml:space="preserve">Wielostronne banki rozwoju, których </w:t>
            </w:r>
            <w:r w:rsidRPr="00AE79AC">
              <w:rPr>
                <w:rFonts w:ascii="Times New Roman" w:hAnsi="Times New Roman"/>
                <w:b/>
                <w:u w:val="single"/>
              </w:rPr>
              <w:t>nie</w:t>
            </w:r>
            <w:r w:rsidRPr="00AE79AC">
              <w:rPr>
                <w:rFonts w:ascii="Times New Roman" w:hAnsi="Times New Roman"/>
                <w:b/>
              </w:rPr>
              <w:t xml:space="preserve"> traktuje się jak państwa – aktywa ważone ryzykiem – ekspozycje według metody standardowej</w:t>
            </w:r>
          </w:p>
          <w:p w:rsidR="002509B1" w:rsidRPr="00AE79AC" w:rsidRDefault="002509B1" w:rsidP="007E2A41">
            <w:pPr>
              <w:pStyle w:val="BodyText1"/>
              <w:spacing w:line="240" w:lineRule="auto"/>
              <w:rPr>
                <w:rFonts w:ascii="Times New Roman" w:hAnsi="Times New Roman"/>
                <w:b/>
                <w:bCs/>
              </w:rPr>
            </w:pPr>
          </w:p>
          <w:p w:rsidR="00F4754B" w:rsidRPr="00AE79AC" w:rsidRDefault="00F4754B" w:rsidP="007E2A41">
            <w:pPr>
              <w:pStyle w:val="BodyText1"/>
              <w:spacing w:line="240" w:lineRule="auto"/>
              <w:rPr>
                <w:rFonts w:ascii="Times New Roman" w:hAnsi="Times New Roman"/>
                <w:bCs/>
              </w:rPr>
            </w:pPr>
            <w:r w:rsidRPr="00AE79AC">
              <w:rPr>
                <w:rFonts w:ascii="Times New Roman" w:hAnsi="Times New Roman"/>
              </w:rPr>
              <w:t>Kwota ekspozycji ważonej ryzykiem dla aktywów stanowiących ekspozycje wobec wielostronnych banków rozwoju objęte art. 117 ust. 1 i 3 CRR.</w:t>
            </w:r>
          </w:p>
          <w:p w:rsidR="002509B1" w:rsidRPr="00AE79AC" w:rsidRDefault="002509B1" w:rsidP="007E2A41">
            <w:pPr>
              <w:pStyle w:val="BodyText1"/>
              <w:spacing w:line="240" w:lineRule="auto"/>
              <w:rPr>
                <w:rFonts w:ascii="Times New Roman" w:hAnsi="Times New Roman"/>
                <w:b/>
                <w:bCs/>
                <w:u w:val="single"/>
              </w:rPr>
            </w:pPr>
          </w:p>
          <w:p w:rsidR="00086A8A" w:rsidRPr="00AE79AC" w:rsidRDefault="00086A8A" w:rsidP="007E2A41">
            <w:pPr>
              <w:pStyle w:val="BodyText1"/>
              <w:spacing w:line="240" w:lineRule="auto"/>
              <w:rPr>
                <w:rFonts w:ascii="Times New Roman" w:hAnsi="Times New Roman"/>
                <w:bCs/>
              </w:rPr>
            </w:pPr>
            <w:r w:rsidRPr="00AE79AC">
              <w:rPr>
                <w:rFonts w:ascii="Times New Roman" w:hAnsi="Times New Roman"/>
              </w:rPr>
              <w:t>Instytucje nie zgłaszają tu ekspozycji, których dotyczy niewykonanie zobowiązania.</w:t>
            </w:r>
          </w:p>
          <w:p w:rsidR="00086A8A" w:rsidRPr="00AE79AC" w:rsidRDefault="00086A8A" w:rsidP="007E2A41">
            <w:pPr>
              <w:pStyle w:val="BodyText1"/>
              <w:spacing w:line="240" w:lineRule="auto"/>
              <w:rPr>
                <w:rFonts w:ascii="Times New Roman" w:hAnsi="Times New Roman"/>
                <w:b/>
                <w:bCs/>
                <w:u w:val="single"/>
              </w:rPr>
            </w:pPr>
          </w:p>
        </w:tc>
      </w:tr>
      <w:tr w:rsidR="00F4754B" w:rsidRPr="00AE79AC" w:rsidTr="0053335C">
        <w:trPr>
          <w:trHeight w:val="71"/>
        </w:trPr>
        <w:tc>
          <w:tcPr>
            <w:tcW w:w="1111" w:type="dxa"/>
            <w:shd w:val="clear" w:color="auto" w:fill="FFFFFF"/>
          </w:tcPr>
          <w:p w:rsidR="00F4754B" w:rsidRPr="00AE79AC" w:rsidRDefault="00F4754B" w:rsidP="006423CC">
            <w:pPr>
              <w:pStyle w:val="BodyText1"/>
              <w:rPr>
                <w:rFonts w:ascii="Times New Roman" w:hAnsi="Times New Roman"/>
              </w:rPr>
            </w:pPr>
            <w:r w:rsidRPr="00AE79AC">
              <w:rPr>
                <w:rFonts w:ascii="Times New Roman" w:hAnsi="Times New Roman"/>
              </w:rPr>
              <w:t>{160;040}</w:t>
            </w:r>
          </w:p>
        </w:tc>
        <w:tc>
          <w:tcPr>
            <w:tcW w:w="8133" w:type="dxa"/>
            <w:shd w:val="clear" w:color="auto" w:fill="FFFFFF"/>
          </w:tcPr>
          <w:p w:rsidR="00F4754B" w:rsidRPr="00AE79AC" w:rsidRDefault="00F4754B" w:rsidP="007E2A41">
            <w:pPr>
              <w:pStyle w:val="BodyText1"/>
              <w:spacing w:line="240" w:lineRule="auto"/>
              <w:rPr>
                <w:rFonts w:ascii="Times New Roman" w:hAnsi="Times New Roman"/>
                <w:b/>
                <w:bCs/>
              </w:rPr>
            </w:pPr>
            <w:r w:rsidRPr="00AE79AC">
              <w:rPr>
                <w:rFonts w:ascii="Times New Roman" w:hAnsi="Times New Roman"/>
                <w:b/>
              </w:rPr>
              <w:t xml:space="preserve">Wielostronne banki rozwoju, których </w:t>
            </w:r>
            <w:r w:rsidRPr="00AE79AC">
              <w:rPr>
                <w:rFonts w:ascii="Times New Roman" w:hAnsi="Times New Roman"/>
                <w:b/>
                <w:u w:val="single"/>
              </w:rPr>
              <w:t>nie</w:t>
            </w:r>
            <w:r w:rsidRPr="00AE79AC">
              <w:rPr>
                <w:rFonts w:ascii="Times New Roman" w:hAnsi="Times New Roman"/>
                <w:b/>
              </w:rPr>
              <w:t xml:space="preserve"> traktuje się jak państwa – aktywa ważone ryzykiem – ekspozycje według metody IRB</w:t>
            </w:r>
          </w:p>
          <w:p w:rsidR="002509B1" w:rsidRPr="00AE79AC" w:rsidRDefault="002509B1" w:rsidP="007E2A41">
            <w:pPr>
              <w:pStyle w:val="BodyText1"/>
              <w:spacing w:line="240" w:lineRule="auto"/>
              <w:rPr>
                <w:rFonts w:ascii="Times New Roman" w:hAnsi="Times New Roman"/>
                <w:b/>
                <w:bCs/>
              </w:rPr>
            </w:pPr>
          </w:p>
          <w:p w:rsidR="00F4754B" w:rsidRPr="00AE79AC" w:rsidRDefault="00F4754B" w:rsidP="007E2A41">
            <w:pPr>
              <w:pStyle w:val="BodyText1"/>
              <w:spacing w:line="240" w:lineRule="auto"/>
              <w:rPr>
                <w:rFonts w:ascii="Times New Roman" w:hAnsi="Times New Roman"/>
                <w:bCs/>
              </w:rPr>
            </w:pPr>
            <w:r w:rsidRPr="00AE79AC">
              <w:rPr>
                <w:rFonts w:ascii="Times New Roman" w:hAnsi="Times New Roman"/>
              </w:rPr>
              <w:t xml:space="preserve">Kwota ekspozycji ważonej ryzykiem dla aktywów stanowiących ekspozycje wobec wielostronnych banków rozwoju, których nie traktuje się jak państwa, objęte art. 147 ust. 4 lit. c) CRR. </w:t>
            </w:r>
          </w:p>
          <w:p w:rsidR="009C4E79" w:rsidRPr="00AE79AC" w:rsidRDefault="009C4E79" w:rsidP="007E2A41">
            <w:pPr>
              <w:pStyle w:val="BodyText1"/>
              <w:spacing w:line="240" w:lineRule="auto"/>
              <w:rPr>
                <w:rFonts w:ascii="Times New Roman" w:hAnsi="Times New Roman"/>
                <w:bCs/>
              </w:rPr>
            </w:pPr>
          </w:p>
          <w:p w:rsidR="009C4E79" w:rsidRPr="00AE79AC" w:rsidRDefault="009C4E79" w:rsidP="009C4E79">
            <w:pPr>
              <w:pStyle w:val="BodyText1"/>
              <w:spacing w:line="240" w:lineRule="auto"/>
              <w:rPr>
                <w:rFonts w:ascii="Times New Roman" w:hAnsi="Times New Roman"/>
                <w:bCs/>
              </w:rPr>
            </w:pPr>
            <w:r w:rsidRPr="00AE79AC">
              <w:rPr>
                <w:rFonts w:ascii="Times New Roman" w:hAnsi="Times New Roman"/>
              </w:rPr>
              <w:t>Instytucje nie zgłaszają tu ekspozycji, których dotyczy niewykonanie zobowiązania.</w:t>
            </w:r>
          </w:p>
          <w:p w:rsidR="002509B1" w:rsidRPr="00AE79AC" w:rsidRDefault="002509B1" w:rsidP="007E2A41">
            <w:pPr>
              <w:pStyle w:val="BodyText1"/>
              <w:spacing w:line="240" w:lineRule="auto"/>
              <w:rPr>
                <w:rFonts w:ascii="Times New Roman" w:hAnsi="Times New Roman"/>
                <w:b/>
                <w:bCs/>
                <w:u w:val="single"/>
              </w:rPr>
            </w:pPr>
          </w:p>
        </w:tc>
      </w:tr>
      <w:tr w:rsidR="00F4754B" w:rsidRPr="00AE79AC" w:rsidTr="0053335C">
        <w:trPr>
          <w:trHeight w:val="71"/>
        </w:trPr>
        <w:tc>
          <w:tcPr>
            <w:tcW w:w="1111" w:type="dxa"/>
            <w:shd w:val="clear" w:color="auto" w:fill="FFFFFF"/>
          </w:tcPr>
          <w:p w:rsidR="00F4754B" w:rsidRPr="00AE79AC" w:rsidRDefault="00F4754B" w:rsidP="00A60C43">
            <w:pPr>
              <w:pStyle w:val="BodyText1"/>
              <w:rPr>
                <w:rFonts w:ascii="Times New Roman" w:hAnsi="Times New Roman"/>
              </w:rPr>
            </w:pPr>
            <w:r w:rsidRPr="00AE79AC">
              <w:rPr>
                <w:rFonts w:ascii="Times New Roman" w:hAnsi="Times New Roman"/>
              </w:rPr>
              <w:t>{170;010}</w:t>
            </w:r>
          </w:p>
        </w:tc>
        <w:tc>
          <w:tcPr>
            <w:tcW w:w="8133" w:type="dxa"/>
            <w:shd w:val="clear" w:color="auto" w:fill="FFFFFF"/>
          </w:tcPr>
          <w:p w:rsidR="00F4754B" w:rsidRPr="00AE79AC" w:rsidRDefault="00F4754B" w:rsidP="007E2A41">
            <w:pPr>
              <w:pStyle w:val="BodyText1"/>
              <w:spacing w:line="240" w:lineRule="auto"/>
              <w:rPr>
                <w:rFonts w:ascii="Times New Roman" w:hAnsi="Times New Roman"/>
                <w:b/>
                <w:bCs/>
              </w:rPr>
            </w:pPr>
            <w:r w:rsidRPr="00AE79AC">
              <w:rPr>
                <w:rFonts w:ascii="Times New Roman" w:hAnsi="Times New Roman"/>
                <w:b/>
              </w:rPr>
              <w:t xml:space="preserve">Podmioty sektora publicznego, których </w:t>
            </w:r>
            <w:r w:rsidRPr="00AE79AC">
              <w:rPr>
                <w:rFonts w:ascii="Times New Roman" w:hAnsi="Times New Roman"/>
                <w:b/>
                <w:u w:val="single"/>
              </w:rPr>
              <w:t>nie</w:t>
            </w:r>
            <w:r w:rsidRPr="00AE79AC">
              <w:rPr>
                <w:rFonts w:ascii="Times New Roman" w:hAnsi="Times New Roman"/>
                <w:b/>
              </w:rPr>
              <w:t xml:space="preserve"> traktuje się jak państwa – wartość ekspozycji wskaźnika dźwigni – ekspozycje według metody standardowej</w:t>
            </w:r>
          </w:p>
          <w:p w:rsidR="002509B1" w:rsidRPr="00AE79AC" w:rsidRDefault="002509B1" w:rsidP="007E2A41">
            <w:pPr>
              <w:pStyle w:val="BodyText1"/>
              <w:spacing w:line="240" w:lineRule="auto"/>
              <w:rPr>
                <w:rFonts w:ascii="Times New Roman" w:hAnsi="Times New Roman"/>
                <w:b/>
                <w:bCs/>
              </w:rPr>
            </w:pPr>
          </w:p>
          <w:p w:rsidR="00F4754B" w:rsidRPr="00AE79AC" w:rsidRDefault="00F4754B" w:rsidP="007E2A41">
            <w:pPr>
              <w:pStyle w:val="BodyText1"/>
              <w:spacing w:line="240" w:lineRule="auto"/>
              <w:rPr>
                <w:rFonts w:ascii="Times New Roman" w:hAnsi="Times New Roman"/>
                <w:bCs/>
              </w:rPr>
            </w:pPr>
            <w:r w:rsidRPr="00AE79AC">
              <w:rPr>
                <w:rFonts w:ascii="Times New Roman" w:hAnsi="Times New Roman"/>
              </w:rPr>
              <w:t xml:space="preserve">Wartość ekspozycji wskaźnika dźwigni dla aktywów stanowiących ekspozycje wobec podmiotów sektora publicznego objęte </w:t>
            </w:r>
            <w:r w:rsidRPr="002341B6">
              <w:rPr>
                <w:rFonts w:ascii="Times New Roman" w:hAnsi="Times New Roman"/>
              </w:rPr>
              <w:t>art.</w:t>
            </w:r>
            <w:r w:rsidR="002341B6" w:rsidRPr="002341B6">
              <w:rPr>
                <w:rFonts w:ascii="Times New Roman" w:hAnsi="Times New Roman"/>
              </w:rPr>
              <w:t> </w:t>
            </w:r>
            <w:r w:rsidRPr="002341B6">
              <w:rPr>
                <w:rFonts w:ascii="Times New Roman" w:hAnsi="Times New Roman"/>
              </w:rPr>
              <w:t>1</w:t>
            </w:r>
            <w:r w:rsidRPr="00AE79AC">
              <w:rPr>
                <w:rFonts w:ascii="Times New Roman" w:hAnsi="Times New Roman"/>
              </w:rPr>
              <w:t xml:space="preserve">16 </w:t>
            </w:r>
            <w:r w:rsidRPr="002341B6">
              <w:rPr>
                <w:rFonts w:ascii="Times New Roman" w:hAnsi="Times New Roman"/>
              </w:rPr>
              <w:t>ust.</w:t>
            </w:r>
            <w:r w:rsidR="002341B6" w:rsidRPr="002341B6">
              <w:rPr>
                <w:rFonts w:ascii="Times New Roman" w:hAnsi="Times New Roman"/>
              </w:rPr>
              <w:t> </w:t>
            </w:r>
            <w:r w:rsidRPr="002341B6">
              <w:rPr>
                <w:rFonts w:ascii="Times New Roman" w:hAnsi="Times New Roman"/>
              </w:rPr>
              <w:t>1</w:t>
            </w:r>
            <w:r w:rsidRPr="00AE79AC">
              <w:rPr>
                <w:rFonts w:ascii="Times New Roman" w:hAnsi="Times New Roman"/>
              </w:rPr>
              <w:t xml:space="preserve">, 2, 3 i 5 CRR. </w:t>
            </w:r>
          </w:p>
          <w:p w:rsidR="00086A8A" w:rsidRPr="00AE79AC" w:rsidRDefault="00086A8A" w:rsidP="007E2A41">
            <w:pPr>
              <w:pStyle w:val="BodyText1"/>
              <w:spacing w:line="240" w:lineRule="auto"/>
              <w:rPr>
                <w:rFonts w:ascii="Times New Roman" w:hAnsi="Times New Roman"/>
                <w:bCs/>
              </w:rPr>
            </w:pPr>
          </w:p>
          <w:p w:rsidR="00086A8A" w:rsidRPr="00AE79AC" w:rsidRDefault="00086A8A" w:rsidP="007E2A41">
            <w:pPr>
              <w:pStyle w:val="BodyText1"/>
              <w:spacing w:line="240" w:lineRule="auto"/>
              <w:rPr>
                <w:rFonts w:ascii="Times New Roman" w:hAnsi="Times New Roman"/>
                <w:bCs/>
              </w:rPr>
            </w:pPr>
            <w:r w:rsidRPr="00AE79AC">
              <w:rPr>
                <w:rFonts w:ascii="Times New Roman" w:hAnsi="Times New Roman"/>
              </w:rPr>
              <w:t>Instytucje nie zgłaszają tu ekspozycji, których dotyczy niewykonanie zobowiązania.</w:t>
            </w:r>
          </w:p>
          <w:p w:rsidR="002509B1" w:rsidRPr="00AE79AC" w:rsidRDefault="002509B1" w:rsidP="007E2A41">
            <w:pPr>
              <w:pStyle w:val="BodyText1"/>
              <w:spacing w:line="240" w:lineRule="auto"/>
              <w:rPr>
                <w:rFonts w:ascii="Times New Roman" w:hAnsi="Times New Roman"/>
              </w:rPr>
            </w:pPr>
          </w:p>
        </w:tc>
      </w:tr>
      <w:tr w:rsidR="00F4754B" w:rsidRPr="00AE79AC" w:rsidTr="0053335C">
        <w:trPr>
          <w:trHeight w:val="71"/>
        </w:trPr>
        <w:tc>
          <w:tcPr>
            <w:tcW w:w="1111" w:type="dxa"/>
            <w:shd w:val="clear" w:color="auto" w:fill="FFFFFF"/>
          </w:tcPr>
          <w:p w:rsidR="00F4754B" w:rsidRPr="00AE79AC" w:rsidRDefault="00F4754B" w:rsidP="006423CC">
            <w:pPr>
              <w:pStyle w:val="BodyText1"/>
              <w:rPr>
                <w:rFonts w:ascii="Times New Roman" w:hAnsi="Times New Roman"/>
                <w:bCs/>
              </w:rPr>
            </w:pPr>
            <w:r w:rsidRPr="00AE79AC">
              <w:rPr>
                <w:rFonts w:ascii="Times New Roman" w:hAnsi="Times New Roman"/>
              </w:rPr>
              <w:t>{170;020}</w:t>
            </w:r>
          </w:p>
        </w:tc>
        <w:tc>
          <w:tcPr>
            <w:tcW w:w="8133" w:type="dxa"/>
            <w:shd w:val="clear" w:color="auto" w:fill="FFFFFF"/>
          </w:tcPr>
          <w:p w:rsidR="00F4754B" w:rsidRPr="00AE79AC" w:rsidRDefault="00F4754B" w:rsidP="007E2A41">
            <w:pPr>
              <w:pStyle w:val="BodyText1"/>
              <w:spacing w:line="240" w:lineRule="auto"/>
              <w:rPr>
                <w:rFonts w:ascii="Times New Roman" w:hAnsi="Times New Roman"/>
                <w:b/>
              </w:rPr>
            </w:pPr>
            <w:r w:rsidRPr="00AE79AC">
              <w:rPr>
                <w:rFonts w:ascii="Times New Roman" w:hAnsi="Times New Roman"/>
                <w:b/>
              </w:rPr>
              <w:t xml:space="preserve">Podmioty sektora publicznego, których </w:t>
            </w:r>
            <w:r w:rsidRPr="00AE79AC">
              <w:rPr>
                <w:rFonts w:ascii="Times New Roman" w:hAnsi="Times New Roman"/>
                <w:b/>
                <w:u w:val="single"/>
              </w:rPr>
              <w:t>nie</w:t>
            </w:r>
            <w:r w:rsidRPr="00AE79AC">
              <w:rPr>
                <w:rFonts w:ascii="Times New Roman" w:hAnsi="Times New Roman"/>
                <w:b/>
              </w:rPr>
              <w:t xml:space="preserve"> traktuje się jak państwa – wartość ekspozycji wskaźnika dźwigni – ekspozycje według metody IRB</w:t>
            </w:r>
          </w:p>
          <w:p w:rsidR="002509B1" w:rsidRPr="00AE79AC" w:rsidRDefault="002509B1" w:rsidP="007E2A41">
            <w:pPr>
              <w:pStyle w:val="BodyText1"/>
              <w:spacing w:line="240" w:lineRule="auto"/>
              <w:rPr>
                <w:rFonts w:ascii="Times New Roman" w:hAnsi="Times New Roman"/>
                <w:b/>
              </w:rPr>
            </w:pPr>
          </w:p>
          <w:p w:rsidR="00F4754B" w:rsidRPr="00AE79AC" w:rsidRDefault="00F4754B" w:rsidP="007E2A41">
            <w:pPr>
              <w:pStyle w:val="BodyText1"/>
              <w:spacing w:line="240" w:lineRule="auto"/>
              <w:rPr>
                <w:rFonts w:ascii="Times New Roman" w:hAnsi="Times New Roman"/>
                <w:bCs/>
              </w:rPr>
            </w:pPr>
            <w:r w:rsidRPr="00AE79AC">
              <w:rPr>
                <w:rFonts w:ascii="Times New Roman" w:hAnsi="Times New Roman"/>
              </w:rPr>
              <w:t xml:space="preserve">Wartość ekspozycji wskaźnika dźwigni dla aktywów stanowiących ekspozycje wobec podmiotów sektora publicznego, których nie traktuje się jak państwa, objęte art. 147 ust. 4 lit. b) CRR. </w:t>
            </w:r>
          </w:p>
          <w:p w:rsidR="009C4E79" w:rsidRPr="00AE79AC" w:rsidRDefault="009C4E79" w:rsidP="007E2A41">
            <w:pPr>
              <w:pStyle w:val="BodyText1"/>
              <w:spacing w:line="240" w:lineRule="auto"/>
              <w:rPr>
                <w:rFonts w:ascii="Times New Roman" w:hAnsi="Times New Roman"/>
                <w:bCs/>
              </w:rPr>
            </w:pPr>
          </w:p>
          <w:p w:rsidR="009C4E79" w:rsidRPr="00AE79AC" w:rsidRDefault="009C4E79" w:rsidP="009C4E79">
            <w:pPr>
              <w:pStyle w:val="BodyText1"/>
              <w:spacing w:line="240" w:lineRule="auto"/>
              <w:rPr>
                <w:rFonts w:ascii="Times New Roman" w:hAnsi="Times New Roman"/>
                <w:bCs/>
              </w:rPr>
            </w:pPr>
            <w:r w:rsidRPr="00AE79AC">
              <w:rPr>
                <w:rFonts w:ascii="Times New Roman" w:hAnsi="Times New Roman"/>
              </w:rPr>
              <w:t>Instytucje nie zgłaszają tu ekspozycji, których dotyczy niewykonanie zobowiązania.</w:t>
            </w:r>
          </w:p>
          <w:p w:rsidR="009C4E79" w:rsidRPr="00AE79AC" w:rsidDel="00973F19" w:rsidRDefault="009C4E79" w:rsidP="007E2A41">
            <w:pPr>
              <w:pStyle w:val="BodyText1"/>
              <w:spacing w:line="240" w:lineRule="auto"/>
              <w:rPr>
                <w:rFonts w:ascii="Times New Roman" w:hAnsi="Times New Roman"/>
                <w:b/>
                <w:bCs/>
                <w:u w:val="single"/>
              </w:rPr>
            </w:pPr>
          </w:p>
        </w:tc>
      </w:tr>
      <w:tr w:rsidR="00F4754B" w:rsidRPr="00AE79AC" w:rsidTr="0053335C">
        <w:trPr>
          <w:trHeight w:val="71"/>
        </w:trPr>
        <w:tc>
          <w:tcPr>
            <w:tcW w:w="1111" w:type="dxa"/>
            <w:shd w:val="clear" w:color="auto" w:fill="FFFFFF"/>
          </w:tcPr>
          <w:p w:rsidR="00F4754B" w:rsidRPr="00AE79AC" w:rsidRDefault="00F4754B" w:rsidP="006423CC">
            <w:pPr>
              <w:pStyle w:val="BodyText1"/>
              <w:rPr>
                <w:rFonts w:ascii="Times New Roman" w:hAnsi="Times New Roman"/>
              </w:rPr>
            </w:pPr>
            <w:r w:rsidRPr="00AE79AC">
              <w:rPr>
                <w:rFonts w:ascii="Times New Roman" w:hAnsi="Times New Roman"/>
              </w:rPr>
              <w:t>{170;030}</w:t>
            </w:r>
          </w:p>
        </w:tc>
        <w:tc>
          <w:tcPr>
            <w:tcW w:w="8133" w:type="dxa"/>
            <w:shd w:val="clear" w:color="auto" w:fill="FFFFFF"/>
          </w:tcPr>
          <w:p w:rsidR="00F4754B" w:rsidRPr="00AE79AC" w:rsidRDefault="00F4754B" w:rsidP="007E2A41">
            <w:pPr>
              <w:pStyle w:val="BodyText1"/>
              <w:spacing w:line="240" w:lineRule="auto"/>
              <w:rPr>
                <w:rFonts w:ascii="Times New Roman" w:hAnsi="Times New Roman"/>
                <w:b/>
                <w:bCs/>
              </w:rPr>
            </w:pPr>
            <w:r w:rsidRPr="00AE79AC">
              <w:rPr>
                <w:rFonts w:ascii="Times New Roman" w:hAnsi="Times New Roman"/>
                <w:b/>
              </w:rPr>
              <w:t xml:space="preserve">Podmioty sektora publicznego, których </w:t>
            </w:r>
            <w:r w:rsidRPr="00AE79AC">
              <w:rPr>
                <w:rFonts w:ascii="Times New Roman" w:hAnsi="Times New Roman"/>
                <w:b/>
                <w:u w:val="single"/>
              </w:rPr>
              <w:t>nie</w:t>
            </w:r>
            <w:r w:rsidRPr="00AE79AC">
              <w:rPr>
                <w:rFonts w:ascii="Times New Roman" w:hAnsi="Times New Roman"/>
                <w:b/>
              </w:rPr>
              <w:t xml:space="preserve"> traktuje się jak państwa – aktywa ważone ryzykiem – ekspozycje według metody standardowej</w:t>
            </w:r>
          </w:p>
          <w:p w:rsidR="002509B1" w:rsidRPr="00AE79AC" w:rsidRDefault="002509B1" w:rsidP="007E2A41">
            <w:pPr>
              <w:pStyle w:val="BodyText1"/>
              <w:spacing w:line="240" w:lineRule="auto"/>
              <w:rPr>
                <w:rFonts w:ascii="Times New Roman" w:hAnsi="Times New Roman"/>
                <w:b/>
                <w:bCs/>
              </w:rPr>
            </w:pPr>
          </w:p>
          <w:p w:rsidR="00F4754B" w:rsidRPr="00AE79AC" w:rsidRDefault="00F4754B" w:rsidP="007E2A41">
            <w:pPr>
              <w:pStyle w:val="BodyText1"/>
              <w:spacing w:line="240" w:lineRule="auto"/>
              <w:rPr>
                <w:rFonts w:ascii="Times New Roman" w:hAnsi="Times New Roman"/>
                <w:bCs/>
              </w:rPr>
            </w:pPr>
            <w:r w:rsidRPr="00AE79AC">
              <w:rPr>
                <w:rFonts w:ascii="Times New Roman" w:hAnsi="Times New Roman"/>
              </w:rPr>
              <w:t xml:space="preserve">Kwota ekspozycji ważonej ryzykiem dla aktywów stanowiących ekspozycje wobec podmiotów sektora publicznego objęte art. 116 ust. 1, 2, 3 i 5 CRR. </w:t>
            </w:r>
          </w:p>
          <w:p w:rsidR="00086A8A" w:rsidRPr="00AE79AC" w:rsidRDefault="00086A8A" w:rsidP="007E2A41">
            <w:pPr>
              <w:pStyle w:val="BodyText1"/>
              <w:spacing w:line="240" w:lineRule="auto"/>
              <w:rPr>
                <w:rFonts w:ascii="Times New Roman" w:hAnsi="Times New Roman"/>
                <w:bCs/>
              </w:rPr>
            </w:pPr>
          </w:p>
          <w:p w:rsidR="00086A8A" w:rsidRPr="00AE79AC" w:rsidRDefault="00086A8A" w:rsidP="007E2A41">
            <w:pPr>
              <w:pStyle w:val="BodyText1"/>
              <w:spacing w:line="240" w:lineRule="auto"/>
              <w:rPr>
                <w:rFonts w:ascii="Times New Roman" w:hAnsi="Times New Roman"/>
                <w:bCs/>
              </w:rPr>
            </w:pPr>
            <w:r w:rsidRPr="00AE79AC">
              <w:rPr>
                <w:rFonts w:ascii="Times New Roman" w:hAnsi="Times New Roman"/>
              </w:rPr>
              <w:t>Instytucje nie zgłaszają tu ekspozycji, których dotyczy niewykonanie zobowiązania.</w:t>
            </w:r>
          </w:p>
          <w:p w:rsidR="002509B1" w:rsidRPr="00AE79AC" w:rsidRDefault="002509B1" w:rsidP="007E2A41">
            <w:pPr>
              <w:pStyle w:val="BodyText1"/>
              <w:spacing w:line="240" w:lineRule="auto"/>
              <w:rPr>
                <w:rFonts w:ascii="Times New Roman" w:hAnsi="Times New Roman"/>
                <w:b/>
                <w:bCs/>
                <w:u w:val="single"/>
              </w:rPr>
            </w:pPr>
          </w:p>
        </w:tc>
      </w:tr>
      <w:tr w:rsidR="00F4754B" w:rsidRPr="00AE79AC" w:rsidTr="0053335C">
        <w:trPr>
          <w:trHeight w:val="71"/>
        </w:trPr>
        <w:tc>
          <w:tcPr>
            <w:tcW w:w="1111" w:type="dxa"/>
            <w:shd w:val="clear" w:color="auto" w:fill="FFFFFF"/>
          </w:tcPr>
          <w:p w:rsidR="00F4754B" w:rsidRPr="00AE79AC" w:rsidRDefault="00F4754B" w:rsidP="006423CC">
            <w:pPr>
              <w:pStyle w:val="BodyText1"/>
              <w:rPr>
                <w:rFonts w:ascii="Times New Roman" w:hAnsi="Times New Roman"/>
              </w:rPr>
            </w:pPr>
            <w:r w:rsidRPr="00AE79AC">
              <w:rPr>
                <w:rFonts w:ascii="Times New Roman" w:hAnsi="Times New Roman"/>
              </w:rPr>
              <w:t>{170;040}</w:t>
            </w:r>
          </w:p>
        </w:tc>
        <w:tc>
          <w:tcPr>
            <w:tcW w:w="8133" w:type="dxa"/>
            <w:shd w:val="clear" w:color="auto" w:fill="FFFFFF"/>
          </w:tcPr>
          <w:p w:rsidR="00F4754B" w:rsidRPr="00AE79AC" w:rsidRDefault="00F4754B" w:rsidP="007E2A41">
            <w:pPr>
              <w:pStyle w:val="BodyText1"/>
              <w:spacing w:line="240" w:lineRule="auto"/>
              <w:rPr>
                <w:rFonts w:ascii="Times New Roman" w:hAnsi="Times New Roman"/>
                <w:b/>
                <w:bCs/>
              </w:rPr>
            </w:pPr>
            <w:r w:rsidRPr="00AE79AC">
              <w:rPr>
                <w:rFonts w:ascii="Times New Roman" w:hAnsi="Times New Roman"/>
                <w:b/>
              </w:rPr>
              <w:t xml:space="preserve">Podmioty sektora publicznego, których </w:t>
            </w:r>
            <w:r w:rsidRPr="00AE79AC">
              <w:rPr>
                <w:rFonts w:ascii="Times New Roman" w:hAnsi="Times New Roman"/>
                <w:b/>
                <w:u w:val="single"/>
              </w:rPr>
              <w:t>nie</w:t>
            </w:r>
            <w:r w:rsidRPr="00AE79AC">
              <w:rPr>
                <w:rFonts w:ascii="Times New Roman" w:hAnsi="Times New Roman"/>
                <w:b/>
              </w:rPr>
              <w:t xml:space="preserve"> traktuje się jak państwa – aktywa ważone ryzykiem – ekspozycje według metody IRB</w:t>
            </w:r>
          </w:p>
          <w:p w:rsidR="002509B1" w:rsidRPr="00AE79AC" w:rsidRDefault="002509B1" w:rsidP="007E2A41">
            <w:pPr>
              <w:pStyle w:val="BodyText1"/>
              <w:spacing w:line="240" w:lineRule="auto"/>
              <w:rPr>
                <w:rFonts w:ascii="Times New Roman" w:hAnsi="Times New Roman"/>
                <w:b/>
                <w:bCs/>
              </w:rPr>
            </w:pPr>
          </w:p>
          <w:p w:rsidR="00F4754B" w:rsidRPr="00AE79AC" w:rsidRDefault="00F4754B" w:rsidP="007E2A41">
            <w:pPr>
              <w:pStyle w:val="BodyText1"/>
              <w:spacing w:line="240" w:lineRule="auto"/>
              <w:rPr>
                <w:rFonts w:ascii="Times New Roman" w:hAnsi="Times New Roman"/>
                <w:bCs/>
              </w:rPr>
            </w:pPr>
            <w:r w:rsidRPr="00AE79AC">
              <w:rPr>
                <w:rFonts w:ascii="Times New Roman" w:hAnsi="Times New Roman"/>
              </w:rPr>
              <w:t xml:space="preserve">Kwota ekspozycji ważonej ryzykiem dla aktywów stanowiących ekspozycje wobec podmiotów sektora publicznego, których nie traktuje się jak państwa, objęte art. 147 ust. 4 lit. b) CRR. </w:t>
            </w:r>
          </w:p>
          <w:p w:rsidR="009C4E79" w:rsidRPr="00AE79AC" w:rsidRDefault="009C4E79" w:rsidP="007E2A41">
            <w:pPr>
              <w:pStyle w:val="BodyText1"/>
              <w:spacing w:line="240" w:lineRule="auto"/>
              <w:rPr>
                <w:rFonts w:ascii="Times New Roman" w:hAnsi="Times New Roman"/>
                <w:b/>
                <w:bCs/>
                <w:u w:val="single"/>
              </w:rPr>
            </w:pPr>
          </w:p>
          <w:p w:rsidR="009C4E79" w:rsidRPr="00AE79AC" w:rsidRDefault="009C4E79" w:rsidP="009C4E79">
            <w:pPr>
              <w:pStyle w:val="BodyText1"/>
              <w:spacing w:line="240" w:lineRule="auto"/>
              <w:rPr>
                <w:rFonts w:ascii="Times New Roman" w:hAnsi="Times New Roman"/>
                <w:bCs/>
              </w:rPr>
            </w:pPr>
            <w:r w:rsidRPr="00AE79AC">
              <w:rPr>
                <w:rFonts w:ascii="Times New Roman" w:hAnsi="Times New Roman"/>
              </w:rPr>
              <w:t>Instytucje nie zgłaszają tu ekspozycji, których dotyczy niewykonanie zobowiązania.</w:t>
            </w:r>
          </w:p>
          <w:p w:rsidR="009C4E79" w:rsidRPr="00AE79AC" w:rsidRDefault="009C4E79" w:rsidP="007E2A41">
            <w:pPr>
              <w:pStyle w:val="BodyText1"/>
              <w:spacing w:line="240" w:lineRule="auto"/>
              <w:rPr>
                <w:rFonts w:ascii="Times New Roman" w:hAnsi="Times New Roman"/>
                <w:b/>
                <w:bCs/>
                <w:u w:val="single"/>
              </w:rPr>
            </w:pPr>
          </w:p>
        </w:tc>
      </w:tr>
      <w:tr w:rsidR="00F4754B" w:rsidRPr="00AE79AC" w:rsidTr="0053335C">
        <w:trPr>
          <w:trHeight w:val="71"/>
        </w:trPr>
        <w:tc>
          <w:tcPr>
            <w:tcW w:w="1111" w:type="dxa"/>
            <w:shd w:val="clear" w:color="auto" w:fill="FFFFFF"/>
          </w:tcPr>
          <w:p w:rsidR="00F4754B" w:rsidRPr="00AE79AC" w:rsidRDefault="00F4754B" w:rsidP="006423CC">
            <w:pPr>
              <w:pStyle w:val="BodyText1"/>
              <w:rPr>
                <w:rFonts w:ascii="Times New Roman" w:hAnsi="Times New Roman"/>
              </w:rPr>
            </w:pPr>
            <w:r w:rsidRPr="00AE79AC">
              <w:rPr>
                <w:rFonts w:ascii="Times New Roman" w:hAnsi="Times New Roman"/>
              </w:rPr>
              <w:t>{180;010}</w:t>
            </w:r>
          </w:p>
        </w:tc>
        <w:tc>
          <w:tcPr>
            <w:tcW w:w="8133" w:type="dxa"/>
            <w:shd w:val="clear" w:color="auto" w:fill="FFFFFF"/>
          </w:tcPr>
          <w:p w:rsidR="00F4754B" w:rsidRPr="00AE79AC" w:rsidRDefault="00F4754B" w:rsidP="007E2A41">
            <w:pPr>
              <w:pStyle w:val="BodyText1"/>
              <w:spacing w:line="240" w:lineRule="auto"/>
              <w:rPr>
                <w:rFonts w:ascii="Times New Roman" w:hAnsi="Times New Roman"/>
                <w:b/>
                <w:bCs/>
              </w:rPr>
            </w:pPr>
            <w:r w:rsidRPr="00AE79AC">
              <w:rPr>
                <w:rFonts w:ascii="Times New Roman" w:hAnsi="Times New Roman"/>
                <w:b/>
              </w:rPr>
              <w:t>Ekspozycje wobec instytucji – wartość ekspozycji wskaźnika dźwigni – ekspozycje według metody standardowej</w:t>
            </w:r>
          </w:p>
          <w:p w:rsidR="002509B1" w:rsidRPr="00AE79AC" w:rsidRDefault="002509B1" w:rsidP="007E2A41">
            <w:pPr>
              <w:pStyle w:val="BodyText1"/>
              <w:spacing w:line="240" w:lineRule="auto"/>
              <w:rPr>
                <w:rFonts w:ascii="Times New Roman" w:hAnsi="Times New Roman"/>
                <w:b/>
                <w:bCs/>
              </w:rPr>
            </w:pPr>
          </w:p>
          <w:p w:rsidR="00F4754B" w:rsidRPr="00AE79AC" w:rsidRDefault="00F4754B" w:rsidP="007E2A41">
            <w:pPr>
              <w:pStyle w:val="BodyText1"/>
              <w:spacing w:line="240" w:lineRule="auto"/>
              <w:rPr>
                <w:rFonts w:ascii="Times New Roman" w:hAnsi="Times New Roman"/>
                <w:bCs/>
              </w:rPr>
            </w:pPr>
            <w:r w:rsidRPr="00AE79AC">
              <w:rPr>
                <w:rFonts w:ascii="Times New Roman" w:hAnsi="Times New Roman"/>
              </w:rPr>
              <w:t xml:space="preserve">Wartość ekspozycji wskaźnika dźwigni dla aktywów stanowiących ekspozycje wobec instytucji objęte art. 119–121 CRR. </w:t>
            </w:r>
          </w:p>
          <w:p w:rsidR="00086A8A" w:rsidRPr="00AE79AC" w:rsidRDefault="00086A8A" w:rsidP="007E2A41">
            <w:pPr>
              <w:pStyle w:val="BodyText1"/>
              <w:spacing w:line="240" w:lineRule="auto"/>
              <w:rPr>
                <w:rFonts w:ascii="Times New Roman" w:hAnsi="Times New Roman"/>
                <w:bCs/>
              </w:rPr>
            </w:pPr>
          </w:p>
          <w:p w:rsidR="00086A8A" w:rsidRPr="00AE79AC" w:rsidRDefault="00086A8A" w:rsidP="007E2A41">
            <w:pPr>
              <w:pStyle w:val="BodyText1"/>
              <w:spacing w:line="240" w:lineRule="auto"/>
              <w:rPr>
                <w:rFonts w:ascii="Times New Roman" w:hAnsi="Times New Roman"/>
                <w:bCs/>
              </w:rPr>
            </w:pPr>
            <w:r w:rsidRPr="00AE79AC">
              <w:rPr>
                <w:rFonts w:ascii="Times New Roman" w:hAnsi="Times New Roman"/>
              </w:rPr>
              <w:t>Instytucje nie zgłaszają tu ekspozycji, których dotyczy niewykonanie zobowiązania.</w:t>
            </w:r>
          </w:p>
          <w:p w:rsidR="002509B1" w:rsidRPr="00AE79AC" w:rsidRDefault="002509B1" w:rsidP="007E2A41">
            <w:pPr>
              <w:pStyle w:val="BodyText1"/>
              <w:spacing w:line="240" w:lineRule="auto"/>
              <w:rPr>
                <w:rFonts w:ascii="Times New Roman" w:hAnsi="Times New Roman"/>
                <w:bCs/>
              </w:rPr>
            </w:pPr>
          </w:p>
        </w:tc>
      </w:tr>
      <w:tr w:rsidR="00F4754B" w:rsidRPr="00AE79AC" w:rsidTr="0053335C">
        <w:trPr>
          <w:trHeight w:val="71"/>
        </w:trPr>
        <w:tc>
          <w:tcPr>
            <w:tcW w:w="1111" w:type="dxa"/>
            <w:shd w:val="clear" w:color="auto" w:fill="FFFFFF"/>
          </w:tcPr>
          <w:p w:rsidR="00F4754B" w:rsidRPr="00AE79AC" w:rsidRDefault="00F4754B" w:rsidP="006423CC">
            <w:pPr>
              <w:pStyle w:val="BodyText1"/>
              <w:rPr>
                <w:rFonts w:ascii="Times New Roman" w:hAnsi="Times New Roman"/>
                <w:bCs/>
              </w:rPr>
            </w:pPr>
            <w:r w:rsidRPr="00AE79AC">
              <w:rPr>
                <w:rFonts w:ascii="Times New Roman" w:hAnsi="Times New Roman"/>
              </w:rPr>
              <w:t>{180;020}</w:t>
            </w:r>
          </w:p>
        </w:tc>
        <w:tc>
          <w:tcPr>
            <w:tcW w:w="8133" w:type="dxa"/>
            <w:shd w:val="clear" w:color="auto" w:fill="FFFFFF"/>
          </w:tcPr>
          <w:p w:rsidR="00F4754B" w:rsidRPr="00AE79AC" w:rsidRDefault="00F4754B" w:rsidP="007E2A41">
            <w:pPr>
              <w:pStyle w:val="BodyText1"/>
              <w:spacing w:line="240" w:lineRule="auto"/>
              <w:rPr>
                <w:rFonts w:ascii="Times New Roman" w:hAnsi="Times New Roman"/>
                <w:bCs/>
              </w:rPr>
            </w:pPr>
            <w:r w:rsidRPr="00AE79AC">
              <w:rPr>
                <w:rFonts w:ascii="Times New Roman" w:hAnsi="Times New Roman"/>
                <w:b/>
              </w:rPr>
              <w:t>Ekspozycje wobec instytucji – wartość ekspozycji wskaźnika dźwigni – ekspozycje według metody IRB</w:t>
            </w:r>
          </w:p>
          <w:p w:rsidR="002509B1" w:rsidRPr="00AE79AC" w:rsidRDefault="002509B1" w:rsidP="007E2A41">
            <w:pPr>
              <w:pStyle w:val="BodyText1"/>
              <w:spacing w:line="240" w:lineRule="auto"/>
              <w:rPr>
                <w:rFonts w:ascii="Times New Roman" w:hAnsi="Times New Roman"/>
                <w:bCs/>
              </w:rPr>
            </w:pPr>
          </w:p>
          <w:p w:rsidR="00F4754B" w:rsidRPr="00AE79AC" w:rsidRDefault="00F4754B" w:rsidP="007E2A41">
            <w:pPr>
              <w:pStyle w:val="BodyText1"/>
              <w:spacing w:line="240" w:lineRule="auto"/>
              <w:rPr>
                <w:rFonts w:ascii="Times New Roman" w:hAnsi="Times New Roman"/>
                <w:bCs/>
              </w:rPr>
            </w:pPr>
            <w:r w:rsidRPr="00AE79AC">
              <w:rPr>
                <w:rFonts w:ascii="Times New Roman" w:hAnsi="Times New Roman"/>
              </w:rPr>
              <w:t xml:space="preserve">Wartość ekspozycji wskaźnika dźwigni dla aktywów stanowiących ekspozycje wobec instytucji objęte art. 147 ust. 2 lit. b) CRR, które </w:t>
            </w:r>
            <w:r w:rsidRPr="00AE79AC">
              <w:rPr>
                <w:rFonts w:ascii="Times New Roman" w:hAnsi="Times New Roman"/>
                <w:b/>
                <w:u w:val="single"/>
              </w:rPr>
              <w:t>nie</w:t>
            </w:r>
            <w:r w:rsidRPr="00AE79AC">
              <w:rPr>
                <w:rFonts w:ascii="Times New Roman" w:hAnsi="Times New Roman"/>
              </w:rPr>
              <w:t xml:space="preserve"> stanowią ekspozycji w postaci obligacji zabezpieczonych na mocy art. 161 </w:t>
            </w:r>
            <w:r w:rsidRPr="002341B6">
              <w:rPr>
                <w:rFonts w:ascii="Times New Roman" w:hAnsi="Times New Roman"/>
              </w:rPr>
              <w:t>ust.</w:t>
            </w:r>
            <w:r w:rsidR="002341B6" w:rsidRPr="002341B6">
              <w:rPr>
                <w:rFonts w:ascii="Times New Roman" w:hAnsi="Times New Roman"/>
              </w:rPr>
              <w:t> </w:t>
            </w:r>
            <w:r w:rsidRPr="002341B6">
              <w:rPr>
                <w:rFonts w:ascii="Times New Roman" w:hAnsi="Times New Roman"/>
              </w:rPr>
              <w:t>1</w:t>
            </w:r>
            <w:r w:rsidRPr="00AE79AC">
              <w:rPr>
                <w:rFonts w:ascii="Times New Roman" w:hAnsi="Times New Roman"/>
              </w:rPr>
              <w:t xml:space="preserve"> lit. d) CRR i </w:t>
            </w:r>
            <w:r w:rsidRPr="00AE79AC">
              <w:rPr>
                <w:rFonts w:ascii="Times New Roman" w:hAnsi="Times New Roman"/>
                <w:b/>
                <w:u w:val="single"/>
              </w:rPr>
              <w:t>nie</w:t>
            </w:r>
            <w:r w:rsidRPr="00AE79AC">
              <w:rPr>
                <w:rFonts w:ascii="Times New Roman" w:hAnsi="Times New Roman"/>
              </w:rPr>
              <w:t xml:space="preserve"> są objęte art. 147 ust. 4 lit. a)–c) CRR.</w:t>
            </w:r>
          </w:p>
          <w:p w:rsidR="002509B1" w:rsidRPr="00AE79AC" w:rsidRDefault="002509B1" w:rsidP="007E2A41">
            <w:pPr>
              <w:pStyle w:val="BodyText1"/>
              <w:spacing w:line="240" w:lineRule="auto"/>
              <w:rPr>
                <w:rFonts w:ascii="Times New Roman" w:hAnsi="Times New Roman"/>
                <w:b/>
                <w:bCs/>
                <w:u w:val="single"/>
              </w:rPr>
            </w:pPr>
          </w:p>
          <w:p w:rsidR="009C4E79" w:rsidRPr="00AE79AC" w:rsidRDefault="009C4E79" w:rsidP="009C4E79">
            <w:pPr>
              <w:pStyle w:val="BodyText1"/>
              <w:spacing w:line="240" w:lineRule="auto"/>
              <w:rPr>
                <w:rFonts w:ascii="Times New Roman" w:hAnsi="Times New Roman"/>
                <w:bCs/>
              </w:rPr>
            </w:pPr>
            <w:r w:rsidRPr="00AE79AC">
              <w:rPr>
                <w:rFonts w:ascii="Times New Roman" w:hAnsi="Times New Roman"/>
              </w:rPr>
              <w:t>Instytucje nie zgłaszają tu ekspozycji, których dotyczy niewykonanie zobowiązania.</w:t>
            </w:r>
          </w:p>
          <w:p w:rsidR="009C4E79" w:rsidRPr="00AE79AC" w:rsidRDefault="009C4E79" w:rsidP="007E2A41">
            <w:pPr>
              <w:pStyle w:val="BodyText1"/>
              <w:spacing w:line="240" w:lineRule="auto"/>
              <w:rPr>
                <w:rFonts w:ascii="Times New Roman" w:hAnsi="Times New Roman"/>
                <w:b/>
                <w:bCs/>
                <w:u w:val="single"/>
              </w:rPr>
            </w:pPr>
          </w:p>
        </w:tc>
      </w:tr>
      <w:tr w:rsidR="00F4754B" w:rsidRPr="00AE79AC" w:rsidTr="0053335C">
        <w:trPr>
          <w:trHeight w:val="71"/>
        </w:trPr>
        <w:tc>
          <w:tcPr>
            <w:tcW w:w="1111" w:type="dxa"/>
            <w:shd w:val="clear" w:color="auto" w:fill="FFFFFF"/>
          </w:tcPr>
          <w:p w:rsidR="00F4754B" w:rsidRPr="00AE79AC" w:rsidRDefault="00F4754B" w:rsidP="006423CC">
            <w:pPr>
              <w:pStyle w:val="BodyText1"/>
              <w:rPr>
                <w:rFonts w:ascii="Times New Roman" w:hAnsi="Times New Roman"/>
              </w:rPr>
            </w:pPr>
            <w:r w:rsidRPr="00AE79AC">
              <w:rPr>
                <w:rFonts w:ascii="Times New Roman" w:hAnsi="Times New Roman"/>
              </w:rPr>
              <w:t>{180;030}</w:t>
            </w:r>
          </w:p>
        </w:tc>
        <w:tc>
          <w:tcPr>
            <w:tcW w:w="8133" w:type="dxa"/>
            <w:shd w:val="clear" w:color="auto" w:fill="FFFFFF"/>
          </w:tcPr>
          <w:p w:rsidR="00F4754B" w:rsidRPr="00AE79AC" w:rsidRDefault="00F4754B" w:rsidP="007E2A41">
            <w:pPr>
              <w:pStyle w:val="BodyText1"/>
              <w:spacing w:line="240" w:lineRule="auto"/>
              <w:rPr>
                <w:rFonts w:ascii="Times New Roman" w:hAnsi="Times New Roman"/>
                <w:b/>
                <w:bCs/>
              </w:rPr>
            </w:pPr>
            <w:r w:rsidRPr="00AE79AC">
              <w:rPr>
                <w:rFonts w:ascii="Times New Roman" w:hAnsi="Times New Roman"/>
                <w:b/>
              </w:rPr>
              <w:t>Ekspozycje wobec instytucji – aktywa ważone ryzykiem – ekspozycje według metody standardowej</w:t>
            </w:r>
          </w:p>
          <w:p w:rsidR="002509B1" w:rsidRPr="00AE79AC" w:rsidRDefault="002509B1" w:rsidP="007E2A41">
            <w:pPr>
              <w:pStyle w:val="BodyText1"/>
              <w:spacing w:line="240" w:lineRule="auto"/>
              <w:rPr>
                <w:rFonts w:ascii="Times New Roman" w:hAnsi="Times New Roman"/>
                <w:b/>
                <w:bCs/>
              </w:rPr>
            </w:pPr>
          </w:p>
          <w:p w:rsidR="00F4754B" w:rsidRPr="00AE79AC" w:rsidRDefault="00F4754B" w:rsidP="007E2A41">
            <w:pPr>
              <w:pStyle w:val="BodyText1"/>
              <w:spacing w:line="240" w:lineRule="auto"/>
              <w:rPr>
                <w:rFonts w:ascii="Times New Roman" w:hAnsi="Times New Roman"/>
                <w:bCs/>
              </w:rPr>
            </w:pPr>
            <w:r w:rsidRPr="00AE79AC">
              <w:rPr>
                <w:rFonts w:ascii="Times New Roman" w:hAnsi="Times New Roman"/>
              </w:rPr>
              <w:t xml:space="preserve">Kwota ekspozycji ważonej ryzykiem dla aktywów stanowiących ekspozycje wobec instytucji objęte art. 119–121 CRR. </w:t>
            </w:r>
          </w:p>
          <w:p w:rsidR="00086A8A" w:rsidRPr="00AE79AC" w:rsidRDefault="00086A8A" w:rsidP="007E2A41">
            <w:pPr>
              <w:pStyle w:val="BodyText1"/>
              <w:spacing w:line="240" w:lineRule="auto"/>
              <w:rPr>
                <w:rFonts w:ascii="Times New Roman" w:hAnsi="Times New Roman"/>
                <w:bCs/>
              </w:rPr>
            </w:pPr>
          </w:p>
          <w:p w:rsidR="00086A8A" w:rsidRPr="00AE79AC" w:rsidRDefault="00086A8A" w:rsidP="007E2A41">
            <w:pPr>
              <w:pStyle w:val="BodyText1"/>
              <w:spacing w:line="240" w:lineRule="auto"/>
              <w:rPr>
                <w:rFonts w:ascii="Times New Roman" w:hAnsi="Times New Roman"/>
                <w:bCs/>
              </w:rPr>
            </w:pPr>
            <w:r w:rsidRPr="00AE79AC">
              <w:rPr>
                <w:rFonts w:ascii="Times New Roman" w:hAnsi="Times New Roman"/>
              </w:rPr>
              <w:t>Instytucje nie zgłaszają tu ekspozycji, których dotyczy niewykonanie zobowiązania.</w:t>
            </w:r>
          </w:p>
          <w:p w:rsidR="002509B1" w:rsidRPr="00AE79AC" w:rsidRDefault="002509B1" w:rsidP="007E2A41">
            <w:pPr>
              <w:pStyle w:val="BodyText1"/>
              <w:spacing w:line="240" w:lineRule="auto"/>
              <w:rPr>
                <w:rFonts w:ascii="Times New Roman" w:hAnsi="Times New Roman"/>
                <w:b/>
                <w:bCs/>
                <w:u w:val="single"/>
              </w:rPr>
            </w:pPr>
          </w:p>
        </w:tc>
      </w:tr>
      <w:tr w:rsidR="00F4754B" w:rsidRPr="00AE79AC" w:rsidTr="0053335C">
        <w:trPr>
          <w:trHeight w:val="71"/>
        </w:trPr>
        <w:tc>
          <w:tcPr>
            <w:tcW w:w="1111" w:type="dxa"/>
            <w:shd w:val="clear" w:color="auto" w:fill="FFFFFF"/>
          </w:tcPr>
          <w:p w:rsidR="00F4754B" w:rsidRPr="00AE79AC" w:rsidRDefault="00F4754B" w:rsidP="006423CC">
            <w:pPr>
              <w:pStyle w:val="BodyText1"/>
              <w:rPr>
                <w:rFonts w:ascii="Times New Roman" w:hAnsi="Times New Roman"/>
              </w:rPr>
            </w:pPr>
            <w:r w:rsidRPr="00AE79AC">
              <w:rPr>
                <w:rFonts w:ascii="Times New Roman" w:hAnsi="Times New Roman"/>
              </w:rPr>
              <w:t>{180;040}</w:t>
            </w:r>
          </w:p>
        </w:tc>
        <w:tc>
          <w:tcPr>
            <w:tcW w:w="8133" w:type="dxa"/>
            <w:shd w:val="clear" w:color="auto" w:fill="FFFFFF"/>
          </w:tcPr>
          <w:p w:rsidR="00F4754B" w:rsidRPr="00AE79AC" w:rsidRDefault="00F4754B" w:rsidP="007E2A41">
            <w:pPr>
              <w:pStyle w:val="BodyText1"/>
              <w:spacing w:line="240" w:lineRule="auto"/>
              <w:rPr>
                <w:rFonts w:ascii="Times New Roman" w:hAnsi="Times New Roman"/>
                <w:b/>
                <w:bCs/>
              </w:rPr>
            </w:pPr>
            <w:r w:rsidRPr="00AE79AC">
              <w:rPr>
                <w:rFonts w:ascii="Times New Roman" w:hAnsi="Times New Roman"/>
                <w:b/>
              </w:rPr>
              <w:t>Ekspozycje wobec instytucji – aktywa ważone ryzykiem – ekspozycje według metody IRB</w:t>
            </w:r>
          </w:p>
          <w:p w:rsidR="002509B1" w:rsidRPr="00AE79AC" w:rsidRDefault="002509B1" w:rsidP="007E2A41">
            <w:pPr>
              <w:pStyle w:val="BodyText1"/>
              <w:spacing w:line="240" w:lineRule="auto"/>
              <w:rPr>
                <w:rFonts w:ascii="Times New Roman" w:hAnsi="Times New Roman"/>
                <w:b/>
                <w:bCs/>
              </w:rPr>
            </w:pPr>
          </w:p>
          <w:p w:rsidR="00F4754B" w:rsidRPr="00AE79AC" w:rsidRDefault="00F4754B" w:rsidP="007E2A41">
            <w:pPr>
              <w:pStyle w:val="BodyText1"/>
              <w:spacing w:line="240" w:lineRule="auto"/>
              <w:rPr>
                <w:rFonts w:ascii="Times New Roman" w:hAnsi="Times New Roman"/>
                <w:bCs/>
              </w:rPr>
            </w:pPr>
            <w:r w:rsidRPr="00AE79AC">
              <w:rPr>
                <w:rFonts w:ascii="Times New Roman" w:hAnsi="Times New Roman"/>
              </w:rPr>
              <w:t xml:space="preserve">Kwota ekspozycji ważonej ryzykiem dla aktywów stanowiących ekspozycje wobec instytucji objęte art. 147 ust. 2 lit. b) CRR, które </w:t>
            </w:r>
            <w:r w:rsidRPr="00AE79AC">
              <w:rPr>
                <w:rFonts w:ascii="Times New Roman" w:hAnsi="Times New Roman"/>
                <w:b/>
                <w:u w:val="single"/>
              </w:rPr>
              <w:t>nie</w:t>
            </w:r>
            <w:r w:rsidRPr="00AE79AC">
              <w:rPr>
                <w:rFonts w:ascii="Times New Roman" w:hAnsi="Times New Roman"/>
              </w:rPr>
              <w:t xml:space="preserve"> stanowią ekspozycji w postaci obligacji zabezpieczonych na mocy art. 161 </w:t>
            </w:r>
            <w:r w:rsidRPr="002341B6">
              <w:rPr>
                <w:rFonts w:ascii="Times New Roman" w:hAnsi="Times New Roman"/>
              </w:rPr>
              <w:t>ust.</w:t>
            </w:r>
            <w:r w:rsidR="002341B6" w:rsidRPr="002341B6">
              <w:rPr>
                <w:rFonts w:ascii="Times New Roman" w:hAnsi="Times New Roman"/>
              </w:rPr>
              <w:t> </w:t>
            </w:r>
            <w:r w:rsidRPr="002341B6">
              <w:rPr>
                <w:rFonts w:ascii="Times New Roman" w:hAnsi="Times New Roman"/>
              </w:rPr>
              <w:t>1</w:t>
            </w:r>
            <w:r w:rsidRPr="00AE79AC">
              <w:rPr>
                <w:rFonts w:ascii="Times New Roman" w:hAnsi="Times New Roman"/>
              </w:rPr>
              <w:t xml:space="preserve"> lit. d) CRR i </w:t>
            </w:r>
            <w:r w:rsidRPr="00AE79AC">
              <w:rPr>
                <w:rFonts w:ascii="Times New Roman" w:hAnsi="Times New Roman"/>
                <w:b/>
                <w:u w:val="single"/>
              </w:rPr>
              <w:t>nie</w:t>
            </w:r>
            <w:r w:rsidRPr="00AE79AC">
              <w:rPr>
                <w:rFonts w:ascii="Times New Roman" w:hAnsi="Times New Roman"/>
              </w:rPr>
              <w:t xml:space="preserve"> są objęte art. 147 ust. 4 lit. a)–c) CRR.</w:t>
            </w:r>
          </w:p>
          <w:p w:rsidR="009C4E79" w:rsidRPr="00AE79AC" w:rsidRDefault="009C4E79" w:rsidP="007E2A41">
            <w:pPr>
              <w:pStyle w:val="BodyText1"/>
              <w:spacing w:line="240" w:lineRule="auto"/>
              <w:rPr>
                <w:rFonts w:ascii="Times New Roman" w:hAnsi="Times New Roman"/>
                <w:bCs/>
              </w:rPr>
            </w:pPr>
          </w:p>
          <w:p w:rsidR="009C4E79" w:rsidRPr="00AE79AC" w:rsidRDefault="009C4E79" w:rsidP="007E2A41">
            <w:pPr>
              <w:pStyle w:val="BodyText1"/>
              <w:spacing w:line="240" w:lineRule="auto"/>
              <w:rPr>
                <w:rFonts w:ascii="Times New Roman" w:hAnsi="Times New Roman"/>
                <w:bCs/>
              </w:rPr>
            </w:pPr>
            <w:r w:rsidRPr="00AE79AC">
              <w:rPr>
                <w:rFonts w:ascii="Times New Roman" w:hAnsi="Times New Roman"/>
              </w:rPr>
              <w:t>Instytucje nie zgłaszają tu ekspozycji, których dotyczy niewykonanie zobowiązania.</w:t>
            </w:r>
          </w:p>
          <w:p w:rsidR="002509B1" w:rsidRPr="00AE79AC" w:rsidRDefault="002509B1" w:rsidP="007E2A41">
            <w:pPr>
              <w:pStyle w:val="BodyText1"/>
              <w:spacing w:line="240" w:lineRule="auto"/>
              <w:rPr>
                <w:rFonts w:ascii="Times New Roman" w:hAnsi="Times New Roman"/>
                <w:b/>
                <w:bCs/>
                <w:u w:val="single"/>
              </w:rPr>
            </w:pPr>
          </w:p>
        </w:tc>
      </w:tr>
      <w:tr w:rsidR="00F4754B" w:rsidRPr="00AE79AC" w:rsidTr="0053335C">
        <w:trPr>
          <w:trHeight w:val="71"/>
        </w:trPr>
        <w:tc>
          <w:tcPr>
            <w:tcW w:w="1111" w:type="dxa"/>
            <w:shd w:val="clear" w:color="auto" w:fill="FFFFFF"/>
          </w:tcPr>
          <w:p w:rsidR="00F4754B" w:rsidRPr="00AE79AC" w:rsidRDefault="00F4754B" w:rsidP="00A60C43">
            <w:pPr>
              <w:pStyle w:val="BodyText1"/>
              <w:rPr>
                <w:rFonts w:ascii="Times New Roman" w:hAnsi="Times New Roman"/>
              </w:rPr>
            </w:pPr>
            <w:r w:rsidRPr="00AE79AC">
              <w:rPr>
                <w:rFonts w:ascii="Times New Roman" w:hAnsi="Times New Roman"/>
              </w:rPr>
              <w:t>{190;010}</w:t>
            </w:r>
          </w:p>
        </w:tc>
        <w:tc>
          <w:tcPr>
            <w:tcW w:w="8133" w:type="dxa"/>
            <w:shd w:val="clear" w:color="auto" w:fill="FFFFFF"/>
          </w:tcPr>
          <w:p w:rsidR="00F4754B" w:rsidRPr="00AE79AC" w:rsidRDefault="00F4754B" w:rsidP="007E2A41">
            <w:pPr>
              <w:pStyle w:val="BodyText1"/>
              <w:spacing w:line="240" w:lineRule="auto"/>
              <w:rPr>
                <w:rFonts w:ascii="Times New Roman" w:hAnsi="Times New Roman"/>
                <w:b/>
                <w:bCs/>
              </w:rPr>
            </w:pPr>
            <w:r w:rsidRPr="00AE79AC">
              <w:rPr>
                <w:rFonts w:ascii="Times New Roman" w:hAnsi="Times New Roman"/>
                <w:b/>
              </w:rPr>
              <w:t>Zabezpieczone hipotekami na nieruchomościach, w tym – wartość ekspozycji wskaźnika dźwigni – ekspozycje według metody standardowej</w:t>
            </w:r>
          </w:p>
          <w:p w:rsidR="002509B1" w:rsidRPr="00AE79AC" w:rsidRDefault="002509B1" w:rsidP="007E2A41">
            <w:pPr>
              <w:pStyle w:val="BodyText1"/>
              <w:spacing w:line="240" w:lineRule="auto"/>
              <w:rPr>
                <w:rFonts w:ascii="Times New Roman" w:hAnsi="Times New Roman"/>
                <w:b/>
                <w:bCs/>
              </w:rPr>
            </w:pPr>
          </w:p>
          <w:p w:rsidR="00F4754B" w:rsidRPr="00AE79AC" w:rsidRDefault="00F4754B" w:rsidP="007E2A41">
            <w:pPr>
              <w:pStyle w:val="BodyText1"/>
              <w:spacing w:line="240" w:lineRule="auto"/>
              <w:rPr>
                <w:rFonts w:ascii="Times New Roman" w:hAnsi="Times New Roman"/>
                <w:bCs/>
              </w:rPr>
            </w:pPr>
            <w:r w:rsidRPr="00AE79AC">
              <w:rPr>
                <w:rFonts w:ascii="Times New Roman" w:hAnsi="Times New Roman"/>
              </w:rPr>
              <w:t>Wartość ekspozycji wskaźnika dźwigni dla aktywów stanowiących ekspozycje zabezpieczone hipotekami na nieruchomościach objęte art. 124 CRR.</w:t>
            </w:r>
          </w:p>
          <w:p w:rsidR="00086A8A" w:rsidRPr="00AE79AC" w:rsidRDefault="00086A8A" w:rsidP="007E2A41">
            <w:pPr>
              <w:pStyle w:val="BodyText1"/>
              <w:spacing w:line="240" w:lineRule="auto"/>
              <w:rPr>
                <w:rFonts w:ascii="Times New Roman" w:hAnsi="Times New Roman"/>
                <w:bCs/>
              </w:rPr>
            </w:pPr>
          </w:p>
          <w:p w:rsidR="00086A8A" w:rsidRPr="00AE79AC" w:rsidRDefault="00086A8A" w:rsidP="007E2A41">
            <w:pPr>
              <w:pStyle w:val="BodyText1"/>
              <w:spacing w:line="240" w:lineRule="auto"/>
              <w:rPr>
                <w:rFonts w:ascii="Times New Roman" w:hAnsi="Times New Roman"/>
                <w:bCs/>
              </w:rPr>
            </w:pPr>
            <w:r w:rsidRPr="00AE79AC">
              <w:rPr>
                <w:rFonts w:ascii="Times New Roman" w:hAnsi="Times New Roman"/>
              </w:rPr>
              <w:t>Instytucje nie zgłaszają tu ekspozycji, których dotyczy niewykonanie zobowiązania.</w:t>
            </w:r>
          </w:p>
          <w:p w:rsidR="002509B1" w:rsidRPr="00AE79AC" w:rsidRDefault="002509B1" w:rsidP="007E2A41">
            <w:pPr>
              <w:pStyle w:val="BodyText1"/>
              <w:spacing w:line="240" w:lineRule="auto"/>
              <w:rPr>
                <w:rFonts w:ascii="Times New Roman" w:hAnsi="Times New Roman"/>
                <w:b/>
                <w:bCs/>
                <w:u w:val="single"/>
              </w:rPr>
            </w:pPr>
          </w:p>
        </w:tc>
      </w:tr>
      <w:tr w:rsidR="00F4754B" w:rsidRPr="00AE79AC" w:rsidTr="0053335C">
        <w:trPr>
          <w:trHeight w:val="71"/>
        </w:trPr>
        <w:tc>
          <w:tcPr>
            <w:tcW w:w="1111" w:type="dxa"/>
            <w:shd w:val="clear" w:color="auto" w:fill="FFFFFF"/>
          </w:tcPr>
          <w:p w:rsidR="00F4754B" w:rsidRPr="00AE79AC" w:rsidRDefault="00F4754B" w:rsidP="006423CC">
            <w:pPr>
              <w:pStyle w:val="BodyText1"/>
              <w:rPr>
                <w:rFonts w:ascii="Times New Roman" w:hAnsi="Times New Roman"/>
                <w:bCs/>
              </w:rPr>
            </w:pPr>
            <w:r w:rsidRPr="00AE79AC">
              <w:rPr>
                <w:rFonts w:ascii="Times New Roman" w:hAnsi="Times New Roman"/>
              </w:rPr>
              <w:t>{190;020}</w:t>
            </w:r>
          </w:p>
        </w:tc>
        <w:tc>
          <w:tcPr>
            <w:tcW w:w="8133" w:type="dxa"/>
            <w:shd w:val="clear" w:color="auto" w:fill="FFFFFF"/>
          </w:tcPr>
          <w:p w:rsidR="00F4754B" w:rsidRPr="00AE79AC" w:rsidRDefault="00F4754B" w:rsidP="007E2A41">
            <w:pPr>
              <w:pStyle w:val="BodyText1"/>
              <w:spacing w:line="240" w:lineRule="auto"/>
              <w:rPr>
                <w:rFonts w:ascii="Times New Roman" w:hAnsi="Times New Roman"/>
                <w:b/>
                <w:bCs/>
              </w:rPr>
            </w:pPr>
            <w:r w:rsidRPr="00AE79AC">
              <w:rPr>
                <w:rFonts w:ascii="Times New Roman" w:hAnsi="Times New Roman"/>
                <w:b/>
              </w:rPr>
              <w:t>Zabezpieczone hipotekami na nieruchomościach, w tym – wartość ekspozycji wskaźnika dźwigni – ekspozycje według metody IRB</w:t>
            </w:r>
          </w:p>
          <w:p w:rsidR="002509B1" w:rsidRPr="00AE79AC" w:rsidRDefault="002509B1" w:rsidP="007E2A41">
            <w:pPr>
              <w:pStyle w:val="BodyText1"/>
              <w:spacing w:line="240" w:lineRule="auto"/>
              <w:rPr>
                <w:rFonts w:ascii="Times New Roman" w:hAnsi="Times New Roman"/>
                <w:b/>
                <w:bCs/>
              </w:rPr>
            </w:pPr>
          </w:p>
          <w:p w:rsidR="00F4754B" w:rsidRPr="00AE79AC" w:rsidRDefault="00F4754B" w:rsidP="007E2A41">
            <w:pPr>
              <w:pStyle w:val="BodyText1"/>
              <w:spacing w:line="240" w:lineRule="auto"/>
              <w:rPr>
                <w:rFonts w:ascii="Times New Roman" w:hAnsi="Times New Roman"/>
                <w:bCs/>
              </w:rPr>
            </w:pPr>
            <w:r w:rsidRPr="00AE79AC">
              <w:rPr>
                <w:rFonts w:ascii="Times New Roman" w:hAnsi="Times New Roman"/>
              </w:rPr>
              <w:t>Wartość ekspozycji wskaźnika dźwigni dla aktywów stanowiących ekspozycje wobec przedsiębiorstw na mocy art. 147 ust. 2 lit. c) lub ekspozycje detaliczne na mocy art. 147 ust. 2 lit. d) CRR, jeżeli takie ekspozycje są zabezpieczone hipotekami na nieruchomościach zgodnie z</w:t>
            </w:r>
            <w:r w:rsidR="00E17BAD">
              <w:rPr>
                <w:rFonts w:ascii="Times New Roman" w:hAnsi="Times New Roman"/>
              </w:rPr>
              <w:t> </w:t>
            </w:r>
            <w:r w:rsidRPr="00AE79AC">
              <w:rPr>
                <w:rFonts w:ascii="Times New Roman" w:hAnsi="Times New Roman"/>
              </w:rPr>
              <w:t>art. 199 ust. 1 lit. a) CRR.</w:t>
            </w:r>
          </w:p>
          <w:p w:rsidR="002509B1" w:rsidRPr="00AE79AC" w:rsidRDefault="002509B1" w:rsidP="007E2A41">
            <w:pPr>
              <w:pStyle w:val="BodyText1"/>
              <w:spacing w:line="240" w:lineRule="auto"/>
              <w:rPr>
                <w:rFonts w:ascii="Times New Roman" w:hAnsi="Times New Roman"/>
                <w:bCs/>
              </w:rPr>
            </w:pPr>
          </w:p>
          <w:p w:rsidR="009C4E79" w:rsidRPr="00AE79AC" w:rsidRDefault="009C4E79" w:rsidP="009C4E79">
            <w:pPr>
              <w:pStyle w:val="BodyText1"/>
              <w:spacing w:line="240" w:lineRule="auto"/>
              <w:rPr>
                <w:rFonts w:ascii="Times New Roman" w:hAnsi="Times New Roman"/>
                <w:bCs/>
              </w:rPr>
            </w:pPr>
            <w:r w:rsidRPr="00AE79AC">
              <w:rPr>
                <w:rFonts w:ascii="Times New Roman" w:hAnsi="Times New Roman"/>
              </w:rPr>
              <w:t>Instytucje nie zgłaszają tu ekspozycji, których dotyczy niewykonanie zobowiązania.</w:t>
            </w:r>
          </w:p>
          <w:p w:rsidR="009C4E79" w:rsidRPr="00AE79AC" w:rsidRDefault="009C4E79" w:rsidP="007E2A41">
            <w:pPr>
              <w:pStyle w:val="BodyText1"/>
              <w:spacing w:line="240" w:lineRule="auto"/>
              <w:rPr>
                <w:rFonts w:ascii="Times New Roman" w:hAnsi="Times New Roman"/>
                <w:bCs/>
              </w:rPr>
            </w:pPr>
          </w:p>
        </w:tc>
      </w:tr>
      <w:tr w:rsidR="00F4754B" w:rsidRPr="00AE79AC" w:rsidTr="0053335C">
        <w:trPr>
          <w:trHeight w:val="71"/>
        </w:trPr>
        <w:tc>
          <w:tcPr>
            <w:tcW w:w="1111" w:type="dxa"/>
            <w:shd w:val="clear" w:color="auto" w:fill="FFFFFF"/>
          </w:tcPr>
          <w:p w:rsidR="00F4754B" w:rsidRPr="00AE79AC" w:rsidRDefault="00F4754B" w:rsidP="006423CC">
            <w:pPr>
              <w:pStyle w:val="BodyText1"/>
              <w:rPr>
                <w:rFonts w:ascii="Times New Roman" w:hAnsi="Times New Roman"/>
              </w:rPr>
            </w:pPr>
            <w:r w:rsidRPr="00AE79AC">
              <w:rPr>
                <w:rFonts w:ascii="Times New Roman" w:hAnsi="Times New Roman"/>
              </w:rPr>
              <w:t>{190;030}</w:t>
            </w:r>
          </w:p>
        </w:tc>
        <w:tc>
          <w:tcPr>
            <w:tcW w:w="8133" w:type="dxa"/>
            <w:shd w:val="clear" w:color="auto" w:fill="FFFFFF"/>
          </w:tcPr>
          <w:p w:rsidR="00F4754B" w:rsidRPr="00AE79AC" w:rsidRDefault="00F4754B" w:rsidP="007E2A41">
            <w:pPr>
              <w:pStyle w:val="BodyText1"/>
              <w:spacing w:line="240" w:lineRule="auto"/>
              <w:rPr>
                <w:rFonts w:ascii="Times New Roman" w:hAnsi="Times New Roman"/>
                <w:b/>
                <w:bCs/>
              </w:rPr>
            </w:pPr>
            <w:r w:rsidRPr="00AE79AC">
              <w:rPr>
                <w:rFonts w:ascii="Times New Roman" w:hAnsi="Times New Roman"/>
                <w:b/>
              </w:rPr>
              <w:t>Zabezpieczone hipotekami na nieruchomościach, w tym – aktywa ważone ryzykiem – ekspozycje według metody standardowej</w:t>
            </w:r>
          </w:p>
          <w:p w:rsidR="002509B1" w:rsidRPr="00AE79AC" w:rsidRDefault="002509B1" w:rsidP="007E2A41">
            <w:pPr>
              <w:pStyle w:val="BodyText1"/>
              <w:spacing w:line="240" w:lineRule="auto"/>
              <w:rPr>
                <w:rFonts w:ascii="Times New Roman" w:hAnsi="Times New Roman"/>
                <w:b/>
                <w:bCs/>
              </w:rPr>
            </w:pPr>
          </w:p>
          <w:p w:rsidR="00F4754B" w:rsidRPr="00AE79AC" w:rsidRDefault="00F4754B" w:rsidP="007E2A41">
            <w:pPr>
              <w:pStyle w:val="BodyText1"/>
              <w:spacing w:line="240" w:lineRule="auto"/>
              <w:rPr>
                <w:rFonts w:ascii="Times New Roman" w:hAnsi="Times New Roman"/>
                <w:bCs/>
              </w:rPr>
            </w:pPr>
            <w:r w:rsidRPr="00AE79AC">
              <w:rPr>
                <w:rFonts w:ascii="Times New Roman" w:hAnsi="Times New Roman"/>
              </w:rPr>
              <w:t>Kwota ekspozycji ważonej ryzykiem dla aktywów stanowiących ekspozycje zabezpieczone hipotekami na nieruchomościach objęte art. 124 CRR.</w:t>
            </w:r>
          </w:p>
          <w:p w:rsidR="002509B1" w:rsidRPr="00AE79AC" w:rsidRDefault="002509B1" w:rsidP="007E2A41">
            <w:pPr>
              <w:pStyle w:val="BodyText1"/>
              <w:spacing w:line="240" w:lineRule="auto"/>
              <w:rPr>
                <w:rFonts w:ascii="Times New Roman" w:hAnsi="Times New Roman"/>
                <w:b/>
                <w:bCs/>
                <w:u w:val="single"/>
              </w:rPr>
            </w:pPr>
          </w:p>
          <w:p w:rsidR="00086A8A" w:rsidRPr="00AE79AC" w:rsidRDefault="00086A8A" w:rsidP="007E2A41">
            <w:pPr>
              <w:pStyle w:val="BodyText1"/>
              <w:spacing w:line="240" w:lineRule="auto"/>
              <w:rPr>
                <w:rFonts w:ascii="Times New Roman" w:hAnsi="Times New Roman"/>
                <w:bCs/>
              </w:rPr>
            </w:pPr>
            <w:r w:rsidRPr="00AE79AC">
              <w:rPr>
                <w:rFonts w:ascii="Times New Roman" w:hAnsi="Times New Roman"/>
              </w:rPr>
              <w:t>Instytucje nie zgłaszają tu ekspozycji, których dotyczy niewykonanie zobowiązania.</w:t>
            </w:r>
          </w:p>
          <w:p w:rsidR="00086A8A" w:rsidRPr="00AE79AC" w:rsidRDefault="00086A8A" w:rsidP="007E2A41">
            <w:pPr>
              <w:pStyle w:val="BodyText1"/>
              <w:spacing w:line="240" w:lineRule="auto"/>
              <w:rPr>
                <w:rFonts w:ascii="Times New Roman" w:hAnsi="Times New Roman"/>
                <w:b/>
                <w:bCs/>
                <w:u w:val="single"/>
              </w:rPr>
            </w:pPr>
          </w:p>
        </w:tc>
      </w:tr>
      <w:tr w:rsidR="00F4754B" w:rsidRPr="00AE79AC" w:rsidTr="0053335C">
        <w:trPr>
          <w:trHeight w:val="71"/>
        </w:trPr>
        <w:tc>
          <w:tcPr>
            <w:tcW w:w="1111" w:type="dxa"/>
            <w:shd w:val="clear" w:color="auto" w:fill="FFFFFF"/>
          </w:tcPr>
          <w:p w:rsidR="00F4754B" w:rsidRPr="00AE79AC" w:rsidRDefault="00F4754B" w:rsidP="006423CC">
            <w:pPr>
              <w:pStyle w:val="BodyText1"/>
              <w:rPr>
                <w:rFonts w:ascii="Times New Roman" w:hAnsi="Times New Roman"/>
              </w:rPr>
            </w:pPr>
            <w:r w:rsidRPr="00AE79AC">
              <w:rPr>
                <w:rFonts w:ascii="Times New Roman" w:hAnsi="Times New Roman"/>
              </w:rPr>
              <w:t>{190;040}</w:t>
            </w:r>
          </w:p>
        </w:tc>
        <w:tc>
          <w:tcPr>
            <w:tcW w:w="8133" w:type="dxa"/>
            <w:shd w:val="clear" w:color="auto" w:fill="FFFFFF"/>
          </w:tcPr>
          <w:p w:rsidR="00F4754B" w:rsidRPr="00AE79AC" w:rsidRDefault="00F4754B" w:rsidP="00706750">
            <w:pPr>
              <w:pStyle w:val="BodyText1"/>
              <w:tabs>
                <w:tab w:val="left" w:pos="6382"/>
              </w:tabs>
              <w:spacing w:line="240" w:lineRule="auto"/>
              <w:rPr>
                <w:rFonts w:ascii="Times New Roman" w:hAnsi="Times New Roman"/>
                <w:b/>
                <w:bCs/>
              </w:rPr>
            </w:pPr>
            <w:r w:rsidRPr="00AE79AC">
              <w:rPr>
                <w:rFonts w:ascii="Times New Roman" w:hAnsi="Times New Roman"/>
                <w:b/>
              </w:rPr>
              <w:t>Zabezpieczone hipotekami na nieruchomościach, w tym – aktywa ważone ryzykiem – ekspozycje według metody IRB</w:t>
            </w:r>
            <w:r w:rsidRPr="00AE79AC">
              <w:tab/>
            </w:r>
          </w:p>
          <w:p w:rsidR="002509B1" w:rsidRPr="00AE79AC" w:rsidRDefault="002509B1" w:rsidP="007E2A41">
            <w:pPr>
              <w:pStyle w:val="BodyText1"/>
              <w:spacing w:line="240" w:lineRule="auto"/>
              <w:rPr>
                <w:rFonts w:ascii="Times New Roman" w:hAnsi="Times New Roman"/>
                <w:b/>
                <w:bCs/>
              </w:rPr>
            </w:pPr>
          </w:p>
          <w:p w:rsidR="00F4754B" w:rsidRPr="00AE79AC" w:rsidRDefault="00F4754B" w:rsidP="007E2A41">
            <w:pPr>
              <w:pStyle w:val="BodyText1"/>
              <w:spacing w:line="240" w:lineRule="auto"/>
              <w:rPr>
                <w:rFonts w:ascii="Times New Roman" w:hAnsi="Times New Roman"/>
                <w:bCs/>
              </w:rPr>
            </w:pPr>
            <w:r w:rsidRPr="00AE79AC">
              <w:rPr>
                <w:rFonts w:ascii="Times New Roman" w:hAnsi="Times New Roman"/>
              </w:rPr>
              <w:t>Kwota ekspozycji ważonej ryzykiem dla aktywów stanowiących ekspozycje wobec przedsiębiorstw na mocy art. 147 ust. 2 lit. c) lub ekspozycje detaliczne na mocy art. 147 ust. 2 lit. d) CRR, jeżeli takie ekspozycje są zabezpieczone hipotekami na nieruchomościach zgodnie z</w:t>
            </w:r>
            <w:r w:rsidR="00E17BAD">
              <w:rPr>
                <w:rFonts w:ascii="Times New Roman" w:hAnsi="Times New Roman"/>
              </w:rPr>
              <w:t> </w:t>
            </w:r>
            <w:r w:rsidRPr="00AE79AC">
              <w:rPr>
                <w:rFonts w:ascii="Times New Roman" w:hAnsi="Times New Roman"/>
              </w:rPr>
              <w:t>art. 199 ust. 1 lit. a) CRR.</w:t>
            </w:r>
          </w:p>
          <w:p w:rsidR="002509B1" w:rsidRPr="00AE79AC" w:rsidRDefault="002509B1" w:rsidP="007E2A41">
            <w:pPr>
              <w:pStyle w:val="BodyText1"/>
              <w:spacing w:line="240" w:lineRule="auto"/>
              <w:rPr>
                <w:rFonts w:ascii="Times New Roman" w:hAnsi="Times New Roman"/>
                <w:b/>
                <w:bCs/>
                <w:u w:val="single"/>
              </w:rPr>
            </w:pPr>
          </w:p>
          <w:p w:rsidR="009C4E79" w:rsidRPr="00AE79AC" w:rsidRDefault="009C4E79" w:rsidP="009C4E79">
            <w:pPr>
              <w:pStyle w:val="BodyText1"/>
              <w:spacing w:line="240" w:lineRule="auto"/>
              <w:rPr>
                <w:rFonts w:ascii="Times New Roman" w:hAnsi="Times New Roman"/>
                <w:bCs/>
              </w:rPr>
            </w:pPr>
            <w:r w:rsidRPr="00AE79AC">
              <w:rPr>
                <w:rFonts w:ascii="Times New Roman" w:hAnsi="Times New Roman"/>
              </w:rPr>
              <w:t>Instytucje nie zgłaszają tu ekspozycji, których dotyczy niewykonanie zobowiązania.</w:t>
            </w:r>
          </w:p>
          <w:p w:rsidR="009C4E79" w:rsidRPr="00AE79AC" w:rsidRDefault="009C4E79" w:rsidP="007E2A41">
            <w:pPr>
              <w:pStyle w:val="BodyText1"/>
              <w:spacing w:line="240" w:lineRule="auto"/>
              <w:rPr>
                <w:rFonts w:ascii="Times New Roman" w:hAnsi="Times New Roman"/>
                <w:b/>
                <w:bCs/>
                <w:u w:val="single"/>
              </w:rPr>
            </w:pPr>
          </w:p>
        </w:tc>
      </w:tr>
      <w:tr w:rsidR="00F4754B" w:rsidRPr="00AE79AC" w:rsidTr="0053335C">
        <w:trPr>
          <w:trHeight w:val="71"/>
        </w:trPr>
        <w:tc>
          <w:tcPr>
            <w:tcW w:w="1111" w:type="dxa"/>
            <w:shd w:val="clear" w:color="auto" w:fill="FFFFFF"/>
          </w:tcPr>
          <w:p w:rsidR="00F4754B" w:rsidRPr="00AE79AC" w:rsidRDefault="00F4754B" w:rsidP="00EA3F88">
            <w:pPr>
              <w:pStyle w:val="BodyText1"/>
              <w:rPr>
                <w:rFonts w:ascii="Times New Roman" w:hAnsi="Times New Roman"/>
              </w:rPr>
            </w:pPr>
            <w:r w:rsidRPr="00AE79AC">
              <w:rPr>
                <w:rFonts w:ascii="Times New Roman" w:hAnsi="Times New Roman"/>
              </w:rPr>
              <w:t>{200;010}</w:t>
            </w:r>
          </w:p>
        </w:tc>
        <w:tc>
          <w:tcPr>
            <w:tcW w:w="8133" w:type="dxa"/>
            <w:shd w:val="clear" w:color="auto" w:fill="FFFFFF"/>
          </w:tcPr>
          <w:p w:rsidR="00F4754B" w:rsidRPr="00AE79AC" w:rsidRDefault="00F4754B" w:rsidP="007E2A41">
            <w:pPr>
              <w:pStyle w:val="BodyText1"/>
              <w:spacing w:line="240" w:lineRule="auto"/>
              <w:rPr>
                <w:rFonts w:ascii="Times New Roman" w:hAnsi="Times New Roman"/>
                <w:b/>
                <w:bCs/>
              </w:rPr>
            </w:pPr>
            <w:r w:rsidRPr="00AE79AC">
              <w:rPr>
                <w:rFonts w:ascii="Times New Roman" w:hAnsi="Times New Roman"/>
                <w:b/>
              </w:rPr>
              <w:t>Zabezpieczone hipotekami na nieruchomościach mieszkalnych – wartość ekspozycji wskaźnika dźwigni – ekspozycje według metody standardowej</w:t>
            </w:r>
          </w:p>
          <w:p w:rsidR="002509B1" w:rsidRPr="00AE79AC" w:rsidRDefault="002509B1" w:rsidP="007E2A41">
            <w:pPr>
              <w:pStyle w:val="BodyText1"/>
              <w:spacing w:line="240" w:lineRule="auto"/>
              <w:rPr>
                <w:rFonts w:ascii="Times New Roman" w:hAnsi="Times New Roman"/>
                <w:b/>
                <w:bCs/>
              </w:rPr>
            </w:pPr>
          </w:p>
          <w:p w:rsidR="00F4754B" w:rsidRPr="00AE79AC" w:rsidRDefault="00F4754B" w:rsidP="007E2A41">
            <w:pPr>
              <w:pStyle w:val="BodyText1"/>
              <w:spacing w:line="240" w:lineRule="auto"/>
              <w:rPr>
                <w:rFonts w:ascii="Times New Roman" w:hAnsi="Times New Roman"/>
                <w:bCs/>
              </w:rPr>
            </w:pPr>
            <w:r w:rsidRPr="00AE79AC">
              <w:rPr>
                <w:rFonts w:ascii="Times New Roman" w:hAnsi="Times New Roman"/>
              </w:rPr>
              <w:t>Wartość ekspozycji wskaźnika dźwigni dla aktywów stanowiących ekspozycje w pełni i</w:t>
            </w:r>
            <w:r w:rsidR="00E17BAD">
              <w:rPr>
                <w:rFonts w:ascii="Times New Roman" w:hAnsi="Times New Roman"/>
              </w:rPr>
              <w:t> </w:t>
            </w:r>
            <w:r w:rsidRPr="00AE79AC">
              <w:rPr>
                <w:rFonts w:ascii="Times New Roman" w:hAnsi="Times New Roman"/>
              </w:rPr>
              <w:t>całkowicie zabezpieczone hipotekami na nieruchomościach mieszkalnych objęte art. 125 CRR.</w:t>
            </w:r>
          </w:p>
          <w:p w:rsidR="00086A8A" w:rsidRPr="00AE79AC" w:rsidRDefault="00086A8A" w:rsidP="007E2A41">
            <w:pPr>
              <w:pStyle w:val="BodyText1"/>
              <w:spacing w:line="240" w:lineRule="auto"/>
              <w:rPr>
                <w:rFonts w:ascii="Times New Roman" w:hAnsi="Times New Roman"/>
                <w:bCs/>
              </w:rPr>
            </w:pPr>
          </w:p>
          <w:p w:rsidR="00086A8A" w:rsidRPr="00AE79AC" w:rsidRDefault="00086A8A" w:rsidP="007E2A41">
            <w:pPr>
              <w:pStyle w:val="BodyText1"/>
              <w:spacing w:line="240" w:lineRule="auto"/>
              <w:rPr>
                <w:rFonts w:ascii="Times New Roman" w:hAnsi="Times New Roman"/>
                <w:bCs/>
              </w:rPr>
            </w:pPr>
            <w:r w:rsidRPr="00AE79AC">
              <w:rPr>
                <w:rFonts w:ascii="Times New Roman" w:hAnsi="Times New Roman"/>
              </w:rPr>
              <w:t>Instytucje nie zgłaszają tu ekspozycji, których dotyczy niewykonanie zobowiązania.</w:t>
            </w:r>
          </w:p>
          <w:p w:rsidR="002509B1" w:rsidRPr="00AE79AC" w:rsidRDefault="002509B1" w:rsidP="007E2A41">
            <w:pPr>
              <w:pStyle w:val="BodyText1"/>
              <w:spacing w:line="240" w:lineRule="auto"/>
              <w:rPr>
                <w:rFonts w:ascii="Times New Roman" w:hAnsi="Times New Roman"/>
                <w:bCs/>
              </w:rPr>
            </w:pPr>
          </w:p>
        </w:tc>
      </w:tr>
      <w:tr w:rsidR="00F4754B" w:rsidRPr="00AE79AC" w:rsidTr="0053335C">
        <w:trPr>
          <w:trHeight w:val="71"/>
        </w:trPr>
        <w:tc>
          <w:tcPr>
            <w:tcW w:w="1111" w:type="dxa"/>
            <w:shd w:val="clear" w:color="auto" w:fill="FFFFFF"/>
          </w:tcPr>
          <w:p w:rsidR="00F4754B" w:rsidRPr="00AE79AC" w:rsidRDefault="00F4754B" w:rsidP="006423CC">
            <w:pPr>
              <w:pStyle w:val="BodyText1"/>
              <w:rPr>
                <w:rFonts w:ascii="Times New Roman" w:hAnsi="Times New Roman"/>
                <w:bCs/>
              </w:rPr>
            </w:pPr>
            <w:r w:rsidRPr="00AE79AC">
              <w:rPr>
                <w:rFonts w:ascii="Times New Roman" w:hAnsi="Times New Roman"/>
              </w:rPr>
              <w:t>{200;020}</w:t>
            </w:r>
          </w:p>
        </w:tc>
        <w:tc>
          <w:tcPr>
            <w:tcW w:w="8133" w:type="dxa"/>
            <w:shd w:val="clear" w:color="auto" w:fill="FFFFFF"/>
          </w:tcPr>
          <w:p w:rsidR="00F4754B" w:rsidRPr="00AE79AC" w:rsidRDefault="00F4754B" w:rsidP="007E2A41">
            <w:pPr>
              <w:pStyle w:val="BodyText1"/>
              <w:spacing w:line="240" w:lineRule="auto"/>
              <w:rPr>
                <w:rFonts w:ascii="Times New Roman" w:hAnsi="Times New Roman"/>
                <w:b/>
              </w:rPr>
            </w:pPr>
            <w:r w:rsidRPr="00AE79AC">
              <w:rPr>
                <w:rFonts w:ascii="Times New Roman" w:hAnsi="Times New Roman"/>
                <w:b/>
              </w:rPr>
              <w:t>Zabezpieczone hipotekami na nieruchomościach mieszkalnych – wartość ekspozycji wskaźnika dźwigni – ekspozycje według metody IRB</w:t>
            </w:r>
          </w:p>
          <w:p w:rsidR="002509B1" w:rsidRPr="00AE79AC" w:rsidRDefault="002509B1" w:rsidP="007E2A41">
            <w:pPr>
              <w:pStyle w:val="BodyText1"/>
              <w:spacing w:line="240" w:lineRule="auto"/>
              <w:rPr>
                <w:rFonts w:ascii="Times New Roman" w:hAnsi="Times New Roman"/>
                <w:b/>
              </w:rPr>
            </w:pPr>
          </w:p>
          <w:p w:rsidR="00F4754B" w:rsidRPr="00AE79AC" w:rsidRDefault="00F4754B" w:rsidP="007E2A41">
            <w:pPr>
              <w:pStyle w:val="BodyText1"/>
              <w:spacing w:line="240" w:lineRule="auto"/>
              <w:rPr>
                <w:rFonts w:ascii="Times New Roman" w:hAnsi="Times New Roman"/>
                <w:bCs/>
              </w:rPr>
            </w:pPr>
            <w:r w:rsidRPr="00AE79AC">
              <w:rPr>
                <w:rFonts w:ascii="Times New Roman" w:hAnsi="Times New Roman"/>
              </w:rPr>
              <w:t xml:space="preserve">Wartość ekspozycji wskaźnika dźwigni dla aktywów stanowiących ekspozycje wobec przedsiębiorstw na mocy </w:t>
            </w:r>
            <w:r w:rsidRPr="002341B6">
              <w:rPr>
                <w:rFonts w:ascii="Times New Roman" w:hAnsi="Times New Roman"/>
              </w:rPr>
              <w:t>art.</w:t>
            </w:r>
            <w:r w:rsidR="002341B6" w:rsidRPr="002341B6">
              <w:rPr>
                <w:rFonts w:ascii="Times New Roman" w:hAnsi="Times New Roman"/>
              </w:rPr>
              <w:t> </w:t>
            </w:r>
            <w:r w:rsidRPr="002341B6">
              <w:rPr>
                <w:rFonts w:ascii="Times New Roman" w:hAnsi="Times New Roman"/>
              </w:rPr>
              <w:t>1</w:t>
            </w:r>
            <w:r w:rsidRPr="00AE79AC">
              <w:rPr>
                <w:rFonts w:ascii="Times New Roman" w:hAnsi="Times New Roman"/>
              </w:rPr>
              <w:t xml:space="preserve">47 </w:t>
            </w:r>
            <w:r w:rsidRPr="002341B6">
              <w:rPr>
                <w:rFonts w:ascii="Times New Roman" w:hAnsi="Times New Roman"/>
              </w:rPr>
              <w:t>ust.</w:t>
            </w:r>
            <w:r w:rsidR="002341B6" w:rsidRPr="002341B6">
              <w:rPr>
                <w:rFonts w:ascii="Times New Roman" w:hAnsi="Times New Roman"/>
              </w:rPr>
              <w:t> </w:t>
            </w:r>
            <w:r w:rsidRPr="002341B6">
              <w:rPr>
                <w:rFonts w:ascii="Times New Roman" w:hAnsi="Times New Roman"/>
              </w:rPr>
              <w:t>2</w:t>
            </w:r>
            <w:r w:rsidRPr="00AE79AC">
              <w:rPr>
                <w:rFonts w:ascii="Times New Roman" w:hAnsi="Times New Roman"/>
              </w:rPr>
              <w:t xml:space="preserve"> </w:t>
            </w:r>
            <w:r w:rsidRPr="002341B6">
              <w:rPr>
                <w:rFonts w:ascii="Times New Roman" w:hAnsi="Times New Roman"/>
              </w:rPr>
              <w:t>lit.</w:t>
            </w:r>
            <w:r w:rsidR="002341B6" w:rsidRPr="002341B6">
              <w:rPr>
                <w:rFonts w:ascii="Times New Roman" w:hAnsi="Times New Roman"/>
              </w:rPr>
              <w:t> </w:t>
            </w:r>
            <w:r w:rsidRPr="002341B6">
              <w:rPr>
                <w:rFonts w:ascii="Times New Roman" w:hAnsi="Times New Roman"/>
              </w:rPr>
              <w:t>c)</w:t>
            </w:r>
            <w:r w:rsidRPr="00AE79AC">
              <w:rPr>
                <w:rFonts w:ascii="Times New Roman" w:hAnsi="Times New Roman"/>
              </w:rPr>
              <w:t xml:space="preserve"> lub ekspozycje detaliczne na mocy </w:t>
            </w:r>
            <w:r w:rsidRPr="002341B6">
              <w:rPr>
                <w:rFonts w:ascii="Times New Roman" w:hAnsi="Times New Roman"/>
              </w:rPr>
              <w:t>art.</w:t>
            </w:r>
            <w:r w:rsidR="002341B6" w:rsidRPr="002341B6">
              <w:rPr>
                <w:rFonts w:ascii="Times New Roman" w:hAnsi="Times New Roman"/>
              </w:rPr>
              <w:t> </w:t>
            </w:r>
            <w:r w:rsidRPr="002341B6">
              <w:rPr>
                <w:rFonts w:ascii="Times New Roman" w:hAnsi="Times New Roman"/>
              </w:rPr>
              <w:t>1</w:t>
            </w:r>
            <w:r w:rsidRPr="00AE79AC">
              <w:rPr>
                <w:rFonts w:ascii="Times New Roman" w:hAnsi="Times New Roman"/>
              </w:rPr>
              <w:t xml:space="preserve">47 </w:t>
            </w:r>
            <w:r w:rsidRPr="002341B6">
              <w:rPr>
                <w:rFonts w:ascii="Times New Roman" w:hAnsi="Times New Roman"/>
              </w:rPr>
              <w:t>ust.</w:t>
            </w:r>
            <w:r w:rsidR="002341B6" w:rsidRPr="002341B6">
              <w:rPr>
                <w:rFonts w:ascii="Times New Roman" w:hAnsi="Times New Roman"/>
              </w:rPr>
              <w:t> </w:t>
            </w:r>
            <w:r w:rsidRPr="002341B6">
              <w:rPr>
                <w:rFonts w:ascii="Times New Roman" w:hAnsi="Times New Roman"/>
              </w:rPr>
              <w:t>2</w:t>
            </w:r>
            <w:r w:rsidRPr="00AE79AC">
              <w:rPr>
                <w:rFonts w:ascii="Times New Roman" w:hAnsi="Times New Roman"/>
              </w:rPr>
              <w:t xml:space="preserve"> </w:t>
            </w:r>
            <w:r w:rsidRPr="002341B6">
              <w:rPr>
                <w:rFonts w:ascii="Times New Roman" w:hAnsi="Times New Roman"/>
              </w:rPr>
              <w:t>lit.</w:t>
            </w:r>
            <w:r w:rsidR="002341B6" w:rsidRPr="002341B6">
              <w:rPr>
                <w:rFonts w:ascii="Times New Roman" w:hAnsi="Times New Roman"/>
              </w:rPr>
              <w:t> </w:t>
            </w:r>
            <w:r w:rsidRPr="002341B6">
              <w:rPr>
                <w:rFonts w:ascii="Times New Roman" w:hAnsi="Times New Roman"/>
              </w:rPr>
              <w:t>d)</w:t>
            </w:r>
            <w:r w:rsidRPr="00AE79AC">
              <w:rPr>
                <w:rFonts w:ascii="Times New Roman" w:hAnsi="Times New Roman"/>
              </w:rPr>
              <w:t xml:space="preserve"> CRR, jeżeli takie ekspozycje są zabezpieczone hipotekami na nieruchomościach mieszkalnych zgodnie z </w:t>
            </w:r>
            <w:r w:rsidRPr="002341B6">
              <w:rPr>
                <w:rFonts w:ascii="Times New Roman" w:hAnsi="Times New Roman"/>
              </w:rPr>
              <w:t>art.</w:t>
            </w:r>
            <w:r w:rsidR="002341B6" w:rsidRPr="002341B6">
              <w:rPr>
                <w:rFonts w:ascii="Times New Roman" w:hAnsi="Times New Roman"/>
              </w:rPr>
              <w:t> </w:t>
            </w:r>
            <w:r w:rsidRPr="002341B6">
              <w:rPr>
                <w:rFonts w:ascii="Times New Roman" w:hAnsi="Times New Roman"/>
              </w:rPr>
              <w:t>1</w:t>
            </w:r>
            <w:r w:rsidRPr="00AE79AC">
              <w:rPr>
                <w:rFonts w:ascii="Times New Roman" w:hAnsi="Times New Roman"/>
              </w:rPr>
              <w:t xml:space="preserve">99 </w:t>
            </w:r>
            <w:r w:rsidRPr="002341B6">
              <w:rPr>
                <w:rFonts w:ascii="Times New Roman" w:hAnsi="Times New Roman"/>
              </w:rPr>
              <w:t>ust.</w:t>
            </w:r>
            <w:r w:rsidR="002341B6" w:rsidRPr="002341B6">
              <w:rPr>
                <w:rFonts w:ascii="Times New Roman" w:hAnsi="Times New Roman"/>
              </w:rPr>
              <w:t> </w:t>
            </w:r>
            <w:r w:rsidRPr="002341B6">
              <w:rPr>
                <w:rFonts w:ascii="Times New Roman" w:hAnsi="Times New Roman"/>
              </w:rPr>
              <w:t>1</w:t>
            </w:r>
            <w:r w:rsidRPr="00AE79AC">
              <w:rPr>
                <w:rFonts w:ascii="Times New Roman" w:hAnsi="Times New Roman"/>
              </w:rPr>
              <w:t xml:space="preserve"> </w:t>
            </w:r>
            <w:r w:rsidRPr="002341B6">
              <w:rPr>
                <w:rFonts w:ascii="Times New Roman" w:hAnsi="Times New Roman"/>
              </w:rPr>
              <w:t>lit.</w:t>
            </w:r>
            <w:r w:rsidR="002341B6" w:rsidRPr="002341B6">
              <w:rPr>
                <w:rFonts w:ascii="Times New Roman" w:hAnsi="Times New Roman"/>
              </w:rPr>
              <w:t> </w:t>
            </w:r>
            <w:r w:rsidRPr="002341B6">
              <w:rPr>
                <w:rFonts w:ascii="Times New Roman" w:hAnsi="Times New Roman"/>
              </w:rPr>
              <w:t>a)</w:t>
            </w:r>
            <w:r w:rsidRPr="00AE79AC">
              <w:rPr>
                <w:rFonts w:ascii="Times New Roman" w:hAnsi="Times New Roman"/>
              </w:rPr>
              <w:t xml:space="preserve"> CRR.</w:t>
            </w:r>
          </w:p>
          <w:p w:rsidR="009C4E79" w:rsidRPr="00AE79AC" w:rsidRDefault="009C4E79" w:rsidP="007E2A41">
            <w:pPr>
              <w:pStyle w:val="BodyText1"/>
              <w:spacing w:line="240" w:lineRule="auto"/>
              <w:rPr>
                <w:rFonts w:ascii="Times New Roman" w:hAnsi="Times New Roman"/>
                <w:bCs/>
              </w:rPr>
            </w:pPr>
          </w:p>
          <w:p w:rsidR="002509B1" w:rsidRPr="00AE79AC" w:rsidDel="003A59D6" w:rsidRDefault="009C4E79" w:rsidP="007E2A41">
            <w:pPr>
              <w:pStyle w:val="BodyText1"/>
              <w:spacing w:line="240" w:lineRule="auto"/>
              <w:rPr>
                <w:rFonts w:ascii="Times New Roman" w:hAnsi="Times New Roman"/>
                <w:b/>
                <w:bCs/>
                <w:u w:val="single"/>
              </w:rPr>
            </w:pPr>
            <w:r w:rsidRPr="00AE79AC">
              <w:rPr>
                <w:rFonts w:ascii="Times New Roman" w:hAnsi="Times New Roman"/>
              </w:rPr>
              <w:t>Instytucje nie zgłaszają tu ekspozycji, których dotyczy niewykonanie zobowiązania.</w:t>
            </w:r>
          </w:p>
        </w:tc>
      </w:tr>
      <w:tr w:rsidR="00F4754B" w:rsidRPr="00AE79AC" w:rsidTr="0053335C">
        <w:trPr>
          <w:trHeight w:val="71"/>
        </w:trPr>
        <w:tc>
          <w:tcPr>
            <w:tcW w:w="1111" w:type="dxa"/>
            <w:shd w:val="clear" w:color="auto" w:fill="FFFFFF"/>
          </w:tcPr>
          <w:p w:rsidR="00F4754B" w:rsidRPr="00AE79AC" w:rsidRDefault="00F4754B" w:rsidP="006423CC">
            <w:pPr>
              <w:pStyle w:val="BodyText1"/>
              <w:rPr>
                <w:rFonts w:ascii="Times New Roman" w:hAnsi="Times New Roman"/>
              </w:rPr>
            </w:pPr>
            <w:r w:rsidRPr="00AE79AC">
              <w:rPr>
                <w:rFonts w:ascii="Times New Roman" w:hAnsi="Times New Roman"/>
              </w:rPr>
              <w:t>{200;030}</w:t>
            </w:r>
          </w:p>
        </w:tc>
        <w:tc>
          <w:tcPr>
            <w:tcW w:w="8133" w:type="dxa"/>
            <w:shd w:val="clear" w:color="auto" w:fill="FFFFFF"/>
          </w:tcPr>
          <w:p w:rsidR="00F4754B" w:rsidRPr="00AE79AC" w:rsidRDefault="00F4754B" w:rsidP="007E2A41">
            <w:pPr>
              <w:pStyle w:val="BodyText1"/>
              <w:spacing w:line="240" w:lineRule="auto"/>
              <w:rPr>
                <w:rFonts w:ascii="Times New Roman" w:hAnsi="Times New Roman"/>
                <w:b/>
                <w:bCs/>
              </w:rPr>
            </w:pPr>
            <w:r w:rsidRPr="00AE79AC">
              <w:rPr>
                <w:rFonts w:ascii="Times New Roman" w:hAnsi="Times New Roman"/>
                <w:b/>
              </w:rPr>
              <w:t>Zabezpieczone hipotekami na nieruchomościach mieszkalnych – aktywa ważone ryzykiem – ekspozycje według metody standardowej</w:t>
            </w:r>
          </w:p>
          <w:p w:rsidR="002509B1" w:rsidRPr="00AE79AC" w:rsidRDefault="002509B1" w:rsidP="007E2A41">
            <w:pPr>
              <w:pStyle w:val="BodyText1"/>
              <w:spacing w:line="240" w:lineRule="auto"/>
              <w:rPr>
                <w:rFonts w:ascii="Times New Roman" w:hAnsi="Times New Roman"/>
                <w:b/>
                <w:bCs/>
              </w:rPr>
            </w:pPr>
          </w:p>
          <w:p w:rsidR="00F4754B" w:rsidRPr="00AE79AC" w:rsidRDefault="00F4754B" w:rsidP="007E2A41">
            <w:pPr>
              <w:pStyle w:val="BodyText1"/>
              <w:spacing w:line="240" w:lineRule="auto"/>
              <w:rPr>
                <w:rFonts w:ascii="Times New Roman" w:hAnsi="Times New Roman"/>
                <w:bCs/>
              </w:rPr>
            </w:pPr>
            <w:r w:rsidRPr="00AE79AC">
              <w:rPr>
                <w:rFonts w:ascii="Times New Roman" w:hAnsi="Times New Roman"/>
              </w:rPr>
              <w:t>Kwota ekspozycji ważonej ryzykiem dla aktywów stanowiących ekspozycje w pełni i całkowicie zabezpieczone hipotekami na nieruchomościach mieszkalnych objęte art. 125 CRR.</w:t>
            </w:r>
          </w:p>
          <w:p w:rsidR="00086A8A" w:rsidRPr="00AE79AC" w:rsidRDefault="00086A8A" w:rsidP="007E2A41">
            <w:pPr>
              <w:pStyle w:val="BodyText1"/>
              <w:spacing w:line="240" w:lineRule="auto"/>
              <w:rPr>
                <w:rFonts w:ascii="Times New Roman" w:hAnsi="Times New Roman"/>
                <w:bCs/>
              </w:rPr>
            </w:pPr>
          </w:p>
          <w:p w:rsidR="00086A8A" w:rsidRPr="00AE79AC" w:rsidRDefault="00086A8A" w:rsidP="007E2A41">
            <w:pPr>
              <w:pStyle w:val="BodyText1"/>
              <w:spacing w:line="240" w:lineRule="auto"/>
              <w:rPr>
                <w:rFonts w:ascii="Times New Roman" w:hAnsi="Times New Roman"/>
                <w:bCs/>
              </w:rPr>
            </w:pPr>
            <w:r w:rsidRPr="00AE79AC">
              <w:rPr>
                <w:rFonts w:ascii="Times New Roman" w:hAnsi="Times New Roman"/>
              </w:rPr>
              <w:t>Instytucje nie zgłaszają tu ekspozycji, których dotyczy niewykonanie zobowiązania.</w:t>
            </w:r>
          </w:p>
          <w:p w:rsidR="002509B1" w:rsidRPr="00AE79AC" w:rsidRDefault="002509B1" w:rsidP="007E2A41">
            <w:pPr>
              <w:pStyle w:val="BodyText1"/>
              <w:spacing w:line="240" w:lineRule="auto"/>
              <w:rPr>
                <w:rFonts w:ascii="Times New Roman" w:hAnsi="Times New Roman"/>
                <w:b/>
                <w:bCs/>
                <w:u w:val="single"/>
              </w:rPr>
            </w:pPr>
          </w:p>
        </w:tc>
      </w:tr>
      <w:tr w:rsidR="00F4754B" w:rsidRPr="00AE79AC" w:rsidTr="0053335C">
        <w:trPr>
          <w:trHeight w:val="71"/>
        </w:trPr>
        <w:tc>
          <w:tcPr>
            <w:tcW w:w="1111" w:type="dxa"/>
            <w:shd w:val="clear" w:color="auto" w:fill="FFFFFF"/>
          </w:tcPr>
          <w:p w:rsidR="00F4754B" w:rsidRPr="00AE79AC" w:rsidRDefault="00F4754B" w:rsidP="00F4754B">
            <w:pPr>
              <w:pStyle w:val="BodyText1"/>
              <w:rPr>
                <w:rFonts w:ascii="Times New Roman" w:hAnsi="Times New Roman"/>
              </w:rPr>
            </w:pPr>
            <w:r w:rsidRPr="00AE79AC">
              <w:rPr>
                <w:rFonts w:ascii="Times New Roman" w:hAnsi="Times New Roman"/>
              </w:rPr>
              <w:t>{200;040}</w:t>
            </w:r>
          </w:p>
        </w:tc>
        <w:tc>
          <w:tcPr>
            <w:tcW w:w="8133" w:type="dxa"/>
            <w:shd w:val="clear" w:color="auto" w:fill="FFFFFF"/>
          </w:tcPr>
          <w:p w:rsidR="00F4754B" w:rsidRPr="00AE79AC" w:rsidRDefault="00F4754B" w:rsidP="007E2A41">
            <w:pPr>
              <w:pStyle w:val="BodyText1"/>
              <w:spacing w:line="240" w:lineRule="auto"/>
              <w:rPr>
                <w:rFonts w:ascii="Times New Roman" w:hAnsi="Times New Roman"/>
                <w:b/>
                <w:bCs/>
              </w:rPr>
            </w:pPr>
            <w:r w:rsidRPr="00AE79AC">
              <w:rPr>
                <w:rFonts w:ascii="Times New Roman" w:hAnsi="Times New Roman"/>
                <w:b/>
              </w:rPr>
              <w:t>Zabezpieczone hipotekami na nieruchomościach mieszkalnych – aktywa ważone ryzykiem – ekspozycje według metody IRB</w:t>
            </w:r>
          </w:p>
          <w:p w:rsidR="002509B1" w:rsidRPr="00AE79AC" w:rsidRDefault="002509B1" w:rsidP="007E2A41">
            <w:pPr>
              <w:pStyle w:val="BodyText1"/>
              <w:spacing w:line="240" w:lineRule="auto"/>
              <w:rPr>
                <w:rFonts w:ascii="Times New Roman" w:hAnsi="Times New Roman"/>
                <w:b/>
                <w:bCs/>
              </w:rPr>
            </w:pPr>
          </w:p>
          <w:p w:rsidR="00F4754B" w:rsidRPr="00AE79AC" w:rsidRDefault="00F4754B" w:rsidP="007E2A41">
            <w:pPr>
              <w:pStyle w:val="BodyText1"/>
              <w:spacing w:line="240" w:lineRule="auto"/>
              <w:rPr>
                <w:rFonts w:ascii="Times New Roman" w:hAnsi="Times New Roman"/>
                <w:bCs/>
              </w:rPr>
            </w:pPr>
            <w:r w:rsidRPr="00AE79AC">
              <w:rPr>
                <w:rFonts w:ascii="Times New Roman" w:hAnsi="Times New Roman"/>
              </w:rPr>
              <w:t xml:space="preserve">Kwota ekspozycji ważonej ryzykiem dla aktywów stanowiących ekspozycje wobec przedsiębiorstw na mocy </w:t>
            </w:r>
            <w:r w:rsidRPr="002341B6">
              <w:rPr>
                <w:rFonts w:ascii="Times New Roman" w:hAnsi="Times New Roman"/>
              </w:rPr>
              <w:t>art.</w:t>
            </w:r>
            <w:r w:rsidR="002341B6" w:rsidRPr="002341B6">
              <w:rPr>
                <w:rFonts w:ascii="Times New Roman" w:hAnsi="Times New Roman"/>
              </w:rPr>
              <w:t> </w:t>
            </w:r>
            <w:r w:rsidRPr="002341B6">
              <w:rPr>
                <w:rFonts w:ascii="Times New Roman" w:hAnsi="Times New Roman"/>
              </w:rPr>
              <w:t>1</w:t>
            </w:r>
            <w:r w:rsidRPr="00AE79AC">
              <w:rPr>
                <w:rFonts w:ascii="Times New Roman" w:hAnsi="Times New Roman"/>
              </w:rPr>
              <w:t xml:space="preserve">47 </w:t>
            </w:r>
            <w:r w:rsidRPr="002341B6">
              <w:rPr>
                <w:rFonts w:ascii="Times New Roman" w:hAnsi="Times New Roman"/>
              </w:rPr>
              <w:t>ust.</w:t>
            </w:r>
            <w:r w:rsidR="002341B6" w:rsidRPr="002341B6">
              <w:rPr>
                <w:rFonts w:ascii="Times New Roman" w:hAnsi="Times New Roman"/>
              </w:rPr>
              <w:t> </w:t>
            </w:r>
            <w:r w:rsidRPr="002341B6">
              <w:rPr>
                <w:rFonts w:ascii="Times New Roman" w:hAnsi="Times New Roman"/>
              </w:rPr>
              <w:t>2</w:t>
            </w:r>
            <w:r w:rsidRPr="00AE79AC">
              <w:rPr>
                <w:rFonts w:ascii="Times New Roman" w:hAnsi="Times New Roman"/>
              </w:rPr>
              <w:t xml:space="preserve"> </w:t>
            </w:r>
            <w:r w:rsidRPr="002341B6">
              <w:rPr>
                <w:rFonts w:ascii="Times New Roman" w:hAnsi="Times New Roman"/>
              </w:rPr>
              <w:t>lit.</w:t>
            </w:r>
            <w:r w:rsidR="002341B6" w:rsidRPr="002341B6">
              <w:rPr>
                <w:rFonts w:ascii="Times New Roman" w:hAnsi="Times New Roman"/>
              </w:rPr>
              <w:t> </w:t>
            </w:r>
            <w:r w:rsidRPr="002341B6">
              <w:rPr>
                <w:rFonts w:ascii="Times New Roman" w:hAnsi="Times New Roman"/>
              </w:rPr>
              <w:t>c)</w:t>
            </w:r>
            <w:r w:rsidRPr="00AE79AC">
              <w:rPr>
                <w:rFonts w:ascii="Times New Roman" w:hAnsi="Times New Roman"/>
              </w:rPr>
              <w:t xml:space="preserve"> lub ekspozycje detaliczne na mocy </w:t>
            </w:r>
            <w:r w:rsidRPr="002341B6">
              <w:rPr>
                <w:rFonts w:ascii="Times New Roman" w:hAnsi="Times New Roman"/>
              </w:rPr>
              <w:t>art.</w:t>
            </w:r>
            <w:r w:rsidR="002341B6" w:rsidRPr="002341B6">
              <w:rPr>
                <w:rFonts w:ascii="Times New Roman" w:hAnsi="Times New Roman"/>
              </w:rPr>
              <w:t> </w:t>
            </w:r>
            <w:r w:rsidRPr="002341B6">
              <w:rPr>
                <w:rFonts w:ascii="Times New Roman" w:hAnsi="Times New Roman"/>
              </w:rPr>
              <w:t>1</w:t>
            </w:r>
            <w:r w:rsidRPr="00AE79AC">
              <w:rPr>
                <w:rFonts w:ascii="Times New Roman" w:hAnsi="Times New Roman"/>
              </w:rPr>
              <w:t xml:space="preserve">47 </w:t>
            </w:r>
            <w:r w:rsidRPr="002341B6">
              <w:rPr>
                <w:rFonts w:ascii="Times New Roman" w:hAnsi="Times New Roman"/>
              </w:rPr>
              <w:t>ust.</w:t>
            </w:r>
            <w:r w:rsidR="002341B6" w:rsidRPr="002341B6">
              <w:rPr>
                <w:rFonts w:ascii="Times New Roman" w:hAnsi="Times New Roman"/>
              </w:rPr>
              <w:t> </w:t>
            </w:r>
            <w:r w:rsidRPr="002341B6">
              <w:rPr>
                <w:rFonts w:ascii="Times New Roman" w:hAnsi="Times New Roman"/>
              </w:rPr>
              <w:t>2</w:t>
            </w:r>
            <w:r w:rsidRPr="00AE79AC">
              <w:rPr>
                <w:rFonts w:ascii="Times New Roman" w:hAnsi="Times New Roman"/>
              </w:rPr>
              <w:t xml:space="preserve"> </w:t>
            </w:r>
            <w:r w:rsidRPr="002341B6">
              <w:rPr>
                <w:rFonts w:ascii="Times New Roman" w:hAnsi="Times New Roman"/>
              </w:rPr>
              <w:t>lit.</w:t>
            </w:r>
            <w:r w:rsidR="002341B6" w:rsidRPr="002341B6">
              <w:rPr>
                <w:rFonts w:ascii="Times New Roman" w:hAnsi="Times New Roman"/>
              </w:rPr>
              <w:t> </w:t>
            </w:r>
            <w:r w:rsidRPr="002341B6">
              <w:rPr>
                <w:rFonts w:ascii="Times New Roman" w:hAnsi="Times New Roman"/>
              </w:rPr>
              <w:t>d)</w:t>
            </w:r>
            <w:r w:rsidRPr="00AE79AC">
              <w:rPr>
                <w:rFonts w:ascii="Times New Roman" w:hAnsi="Times New Roman"/>
              </w:rPr>
              <w:t xml:space="preserve"> CRR, jeżeli takie ekspozycje są zabezpieczone hipotekami na nieruchomościach mieszkalnych zgodnie z </w:t>
            </w:r>
            <w:r w:rsidRPr="002341B6">
              <w:rPr>
                <w:rFonts w:ascii="Times New Roman" w:hAnsi="Times New Roman"/>
              </w:rPr>
              <w:t>art.</w:t>
            </w:r>
            <w:r w:rsidR="002341B6" w:rsidRPr="002341B6">
              <w:rPr>
                <w:rFonts w:ascii="Times New Roman" w:hAnsi="Times New Roman"/>
              </w:rPr>
              <w:t> </w:t>
            </w:r>
            <w:r w:rsidRPr="002341B6">
              <w:rPr>
                <w:rFonts w:ascii="Times New Roman" w:hAnsi="Times New Roman"/>
              </w:rPr>
              <w:t>1</w:t>
            </w:r>
            <w:r w:rsidRPr="00AE79AC">
              <w:rPr>
                <w:rFonts w:ascii="Times New Roman" w:hAnsi="Times New Roman"/>
              </w:rPr>
              <w:t xml:space="preserve">99 </w:t>
            </w:r>
            <w:r w:rsidRPr="002341B6">
              <w:rPr>
                <w:rFonts w:ascii="Times New Roman" w:hAnsi="Times New Roman"/>
              </w:rPr>
              <w:t>ust.</w:t>
            </w:r>
            <w:r w:rsidR="002341B6" w:rsidRPr="002341B6">
              <w:rPr>
                <w:rFonts w:ascii="Times New Roman" w:hAnsi="Times New Roman"/>
              </w:rPr>
              <w:t> </w:t>
            </w:r>
            <w:r w:rsidRPr="002341B6">
              <w:rPr>
                <w:rFonts w:ascii="Times New Roman" w:hAnsi="Times New Roman"/>
              </w:rPr>
              <w:t>1</w:t>
            </w:r>
            <w:r w:rsidRPr="00AE79AC">
              <w:rPr>
                <w:rFonts w:ascii="Times New Roman" w:hAnsi="Times New Roman"/>
              </w:rPr>
              <w:t xml:space="preserve"> </w:t>
            </w:r>
            <w:r w:rsidRPr="002341B6">
              <w:rPr>
                <w:rFonts w:ascii="Times New Roman" w:hAnsi="Times New Roman"/>
              </w:rPr>
              <w:t>lit.</w:t>
            </w:r>
            <w:r w:rsidR="002341B6" w:rsidRPr="002341B6">
              <w:rPr>
                <w:rFonts w:ascii="Times New Roman" w:hAnsi="Times New Roman"/>
              </w:rPr>
              <w:t> </w:t>
            </w:r>
            <w:r w:rsidRPr="002341B6">
              <w:rPr>
                <w:rFonts w:ascii="Times New Roman" w:hAnsi="Times New Roman"/>
              </w:rPr>
              <w:t>a)</w:t>
            </w:r>
            <w:r w:rsidRPr="00AE79AC">
              <w:rPr>
                <w:rFonts w:ascii="Times New Roman" w:hAnsi="Times New Roman"/>
              </w:rPr>
              <w:t xml:space="preserve"> CRR. </w:t>
            </w:r>
          </w:p>
          <w:p w:rsidR="009C4E79" w:rsidRPr="00AE79AC" w:rsidRDefault="009C4E79" w:rsidP="007E2A41">
            <w:pPr>
              <w:pStyle w:val="BodyText1"/>
              <w:spacing w:line="240" w:lineRule="auto"/>
              <w:rPr>
                <w:rFonts w:ascii="Times New Roman" w:hAnsi="Times New Roman"/>
                <w:bCs/>
              </w:rPr>
            </w:pPr>
          </w:p>
          <w:p w:rsidR="002509B1" w:rsidRPr="00AE79AC" w:rsidRDefault="009C4E79" w:rsidP="007E2A41">
            <w:pPr>
              <w:pStyle w:val="BodyText1"/>
              <w:spacing w:line="240" w:lineRule="auto"/>
              <w:rPr>
                <w:rFonts w:ascii="Times New Roman" w:hAnsi="Times New Roman"/>
                <w:b/>
                <w:bCs/>
                <w:u w:val="single"/>
              </w:rPr>
            </w:pPr>
            <w:r w:rsidRPr="00AE79AC">
              <w:rPr>
                <w:rFonts w:ascii="Times New Roman" w:hAnsi="Times New Roman"/>
              </w:rPr>
              <w:t>Instytucje nie zgłaszają tu ekspozycji, których dotyczy niewykonanie zobowiązania.</w:t>
            </w:r>
          </w:p>
        </w:tc>
      </w:tr>
      <w:tr w:rsidR="00F4754B" w:rsidRPr="00AE79AC" w:rsidTr="0053335C">
        <w:trPr>
          <w:trHeight w:val="71"/>
        </w:trPr>
        <w:tc>
          <w:tcPr>
            <w:tcW w:w="1111" w:type="dxa"/>
            <w:shd w:val="clear" w:color="auto" w:fill="FFFFFF"/>
          </w:tcPr>
          <w:p w:rsidR="00F4754B" w:rsidRPr="00AE79AC" w:rsidRDefault="00F4754B" w:rsidP="006423CC">
            <w:pPr>
              <w:pStyle w:val="BodyText1"/>
              <w:rPr>
                <w:rFonts w:ascii="Times New Roman" w:hAnsi="Times New Roman"/>
              </w:rPr>
            </w:pPr>
            <w:r w:rsidRPr="00AE79AC">
              <w:rPr>
                <w:rFonts w:ascii="Times New Roman" w:hAnsi="Times New Roman"/>
              </w:rPr>
              <w:t>{210;010}</w:t>
            </w:r>
          </w:p>
        </w:tc>
        <w:tc>
          <w:tcPr>
            <w:tcW w:w="8133" w:type="dxa"/>
            <w:shd w:val="clear" w:color="auto" w:fill="FFFFFF"/>
          </w:tcPr>
          <w:p w:rsidR="00F4754B" w:rsidRPr="00AE79AC" w:rsidRDefault="00F4754B" w:rsidP="007E2A41">
            <w:pPr>
              <w:pStyle w:val="BodyText1"/>
              <w:spacing w:line="240" w:lineRule="auto"/>
              <w:rPr>
                <w:rFonts w:ascii="Times New Roman" w:hAnsi="Times New Roman"/>
                <w:b/>
                <w:bCs/>
              </w:rPr>
            </w:pPr>
            <w:r w:rsidRPr="00AE79AC">
              <w:rPr>
                <w:rFonts w:ascii="Times New Roman" w:hAnsi="Times New Roman"/>
                <w:b/>
              </w:rPr>
              <w:t>Ekspozycje detaliczne, w tym – wartość ekspozycji wskaźnika dźwigni – ekspozycje według metody standardowej</w:t>
            </w:r>
          </w:p>
          <w:p w:rsidR="002509B1" w:rsidRPr="00AE79AC" w:rsidRDefault="002509B1" w:rsidP="007E2A41">
            <w:pPr>
              <w:pStyle w:val="BodyText1"/>
              <w:spacing w:line="240" w:lineRule="auto"/>
              <w:rPr>
                <w:rFonts w:ascii="Times New Roman" w:hAnsi="Times New Roman"/>
                <w:b/>
                <w:bCs/>
              </w:rPr>
            </w:pPr>
          </w:p>
          <w:p w:rsidR="00F4754B" w:rsidRPr="00AE79AC" w:rsidRDefault="00F4754B" w:rsidP="007E2A41">
            <w:pPr>
              <w:pStyle w:val="BodyText1"/>
              <w:spacing w:line="240" w:lineRule="auto"/>
              <w:rPr>
                <w:rFonts w:ascii="Times New Roman" w:hAnsi="Times New Roman"/>
                <w:bCs/>
              </w:rPr>
            </w:pPr>
            <w:r w:rsidRPr="00AE79AC">
              <w:rPr>
                <w:rFonts w:ascii="Times New Roman" w:hAnsi="Times New Roman"/>
              </w:rPr>
              <w:t xml:space="preserve">Wartość ekspozycji wskaźnika dźwigni dla aktywów stanowiących ekspozycje detaliczne objęte art. 123 CRR. </w:t>
            </w:r>
          </w:p>
          <w:p w:rsidR="00086A8A" w:rsidRPr="00AE79AC" w:rsidRDefault="00086A8A" w:rsidP="007E2A41">
            <w:pPr>
              <w:pStyle w:val="BodyText1"/>
              <w:spacing w:line="240" w:lineRule="auto"/>
              <w:rPr>
                <w:rFonts w:ascii="Times New Roman" w:hAnsi="Times New Roman"/>
                <w:bCs/>
              </w:rPr>
            </w:pPr>
          </w:p>
          <w:p w:rsidR="00086A8A" w:rsidRPr="00AE79AC" w:rsidRDefault="00086A8A" w:rsidP="007E2A41">
            <w:pPr>
              <w:pStyle w:val="BodyText1"/>
              <w:spacing w:line="240" w:lineRule="auto"/>
              <w:rPr>
                <w:rFonts w:ascii="Times New Roman" w:hAnsi="Times New Roman"/>
                <w:bCs/>
              </w:rPr>
            </w:pPr>
            <w:r w:rsidRPr="00AE79AC">
              <w:rPr>
                <w:rFonts w:ascii="Times New Roman" w:hAnsi="Times New Roman"/>
              </w:rPr>
              <w:t>Instytucje nie zgłaszają tu ekspozycji, których dotyczy niewykonanie zobowiązania.</w:t>
            </w:r>
          </w:p>
          <w:p w:rsidR="002509B1" w:rsidRPr="00AE79AC" w:rsidRDefault="002509B1" w:rsidP="007E2A41">
            <w:pPr>
              <w:pStyle w:val="BodyText1"/>
              <w:spacing w:line="240" w:lineRule="auto"/>
              <w:rPr>
                <w:rFonts w:ascii="Times New Roman" w:hAnsi="Times New Roman"/>
                <w:bCs/>
              </w:rPr>
            </w:pPr>
          </w:p>
        </w:tc>
      </w:tr>
      <w:tr w:rsidR="00F4754B" w:rsidRPr="00AE79AC" w:rsidTr="0053335C">
        <w:trPr>
          <w:trHeight w:val="71"/>
        </w:trPr>
        <w:tc>
          <w:tcPr>
            <w:tcW w:w="1111" w:type="dxa"/>
            <w:shd w:val="clear" w:color="auto" w:fill="FFFFFF"/>
          </w:tcPr>
          <w:p w:rsidR="00F4754B" w:rsidRPr="00AE79AC" w:rsidRDefault="00F4754B" w:rsidP="006423CC">
            <w:pPr>
              <w:pStyle w:val="BodyText1"/>
              <w:rPr>
                <w:rFonts w:ascii="Times New Roman" w:hAnsi="Times New Roman"/>
                <w:bCs/>
              </w:rPr>
            </w:pPr>
            <w:r w:rsidRPr="00AE79AC">
              <w:rPr>
                <w:rFonts w:ascii="Times New Roman" w:hAnsi="Times New Roman"/>
              </w:rPr>
              <w:t>{210;020}</w:t>
            </w:r>
          </w:p>
        </w:tc>
        <w:tc>
          <w:tcPr>
            <w:tcW w:w="8133" w:type="dxa"/>
            <w:shd w:val="clear" w:color="auto" w:fill="FFFFFF"/>
          </w:tcPr>
          <w:p w:rsidR="00F4754B" w:rsidRPr="00AE79AC" w:rsidRDefault="00F4754B" w:rsidP="007E2A41">
            <w:pPr>
              <w:pStyle w:val="BodyText1"/>
              <w:spacing w:line="240" w:lineRule="auto"/>
              <w:rPr>
                <w:rFonts w:ascii="Times New Roman" w:hAnsi="Times New Roman"/>
                <w:b/>
                <w:bCs/>
              </w:rPr>
            </w:pPr>
            <w:r w:rsidRPr="00AE79AC">
              <w:rPr>
                <w:rFonts w:ascii="Times New Roman" w:hAnsi="Times New Roman"/>
                <w:b/>
              </w:rPr>
              <w:t>Ekspozycje detaliczne, w tym – wartość ekspozycji wskaźnika dźwigni – ekspozycje według metody IRB</w:t>
            </w:r>
          </w:p>
          <w:p w:rsidR="002509B1" w:rsidRPr="00AE79AC" w:rsidRDefault="002509B1" w:rsidP="007E2A41">
            <w:pPr>
              <w:pStyle w:val="BodyText1"/>
              <w:spacing w:line="240" w:lineRule="auto"/>
              <w:rPr>
                <w:rFonts w:ascii="Times New Roman" w:hAnsi="Times New Roman"/>
                <w:b/>
                <w:bCs/>
              </w:rPr>
            </w:pPr>
          </w:p>
          <w:p w:rsidR="00F4754B" w:rsidRPr="00AE79AC" w:rsidRDefault="00F4754B" w:rsidP="007E2A41">
            <w:pPr>
              <w:pStyle w:val="BodyText1"/>
              <w:spacing w:line="240" w:lineRule="auto"/>
              <w:rPr>
                <w:rFonts w:ascii="Times New Roman" w:hAnsi="Times New Roman"/>
                <w:bCs/>
              </w:rPr>
            </w:pPr>
            <w:r w:rsidRPr="00AE79AC">
              <w:rPr>
                <w:rFonts w:ascii="Times New Roman" w:hAnsi="Times New Roman"/>
              </w:rPr>
              <w:t xml:space="preserve">Wartość ekspozycji wskaźnika dźwigni dla aktywów stanowiących ekspozycje detaliczne na mocy art. 147 ust. 2 lit. d) CRR, jeżeli takie ekspozycje </w:t>
            </w:r>
            <w:r w:rsidRPr="00AE79AC">
              <w:rPr>
                <w:rFonts w:ascii="Times New Roman" w:hAnsi="Times New Roman"/>
                <w:b/>
                <w:u w:val="single"/>
              </w:rPr>
              <w:t>nie</w:t>
            </w:r>
            <w:r w:rsidRPr="00AE79AC">
              <w:rPr>
                <w:rFonts w:ascii="Times New Roman" w:hAnsi="Times New Roman"/>
              </w:rPr>
              <w:t xml:space="preserve"> są zabezpieczone hipotekami na nieruchomościach zgodnie z art. 199 ust. 1 lit. a) CRR. </w:t>
            </w:r>
          </w:p>
          <w:p w:rsidR="009C4E79" w:rsidRPr="00AE79AC" w:rsidRDefault="009C4E79" w:rsidP="007E2A41">
            <w:pPr>
              <w:pStyle w:val="BodyText1"/>
              <w:spacing w:line="240" w:lineRule="auto"/>
              <w:rPr>
                <w:rFonts w:ascii="Times New Roman" w:hAnsi="Times New Roman"/>
                <w:bCs/>
              </w:rPr>
            </w:pPr>
          </w:p>
          <w:p w:rsidR="00086A8A" w:rsidRPr="00AE79AC" w:rsidRDefault="009C4E79" w:rsidP="009C4E79">
            <w:pPr>
              <w:pStyle w:val="BodyText1"/>
              <w:spacing w:line="240" w:lineRule="auto"/>
              <w:rPr>
                <w:rFonts w:ascii="Times New Roman" w:hAnsi="Times New Roman"/>
                <w:bCs/>
              </w:rPr>
            </w:pPr>
            <w:r w:rsidRPr="00AE79AC">
              <w:rPr>
                <w:rFonts w:ascii="Times New Roman" w:hAnsi="Times New Roman"/>
              </w:rPr>
              <w:t>Instytucje nie zgłaszają tu ekspozycji, których dotyczy niewykonanie zobowiązania.</w:t>
            </w:r>
          </w:p>
          <w:p w:rsidR="002509B1" w:rsidRPr="00AE79AC" w:rsidRDefault="002509B1" w:rsidP="007E2A41">
            <w:pPr>
              <w:pStyle w:val="BodyText1"/>
              <w:spacing w:line="240" w:lineRule="auto"/>
              <w:rPr>
                <w:rFonts w:ascii="Times New Roman" w:hAnsi="Times New Roman"/>
                <w:bCs/>
              </w:rPr>
            </w:pPr>
          </w:p>
        </w:tc>
      </w:tr>
      <w:tr w:rsidR="00F4754B" w:rsidRPr="00AE79AC" w:rsidTr="0053335C">
        <w:trPr>
          <w:trHeight w:val="71"/>
        </w:trPr>
        <w:tc>
          <w:tcPr>
            <w:tcW w:w="1111" w:type="dxa"/>
            <w:shd w:val="clear" w:color="auto" w:fill="FFFFFF"/>
          </w:tcPr>
          <w:p w:rsidR="00F4754B" w:rsidRPr="00AE79AC" w:rsidRDefault="00F4754B" w:rsidP="006423CC">
            <w:pPr>
              <w:pStyle w:val="BodyText1"/>
              <w:rPr>
                <w:rFonts w:ascii="Times New Roman" w:hAnsi="Times New Roman"/>
              </w:rPr>
            </w:pPr>
            <w:r w:rsidRPr="00AE79AC">
              <w:rPr>
                <w:rFonts w:ascii="Times New Roman" w:hAnsi="Times New Roman"/>
              </w:rPr>
              <w:t>{210;030}</w:t>
            </w:r>
          </w:p>
        </w:tc>
        <w:tc>
          <w:tcPr>
            <w:tcW w:w="8133" w:type="dxa"/>
            <w:shd w:val="clear" w:color="auto" w:fill="FFFFFF"/>
          </w:tcPr>
          <w:p w:rsidR="00F4754B" w:rsidRPr="00AE79AC" w:rsidRDefault="00F4754B" w:rsidP="007E2A41">
            <w:pPr>
              <w:pStyle w:val="BodyText1"/>
              <w:spacing w:line="240" w:lineRule="auto"/>
              <w:rPr>
                <w:rFonts w:ascii="Times New Roman" w:hAnsi="Times New Roman"/>
                <w:b/>
                <w:bCs/>
              </w:rPr>
            </w:pPr>
            <w:r w:rsidRPr="00AE79AC">
              <w:rPr>
                <w:rFonts w:ascii="Times New Roman" w:hAnsi="Times New Roman"/>
                <w:b/>
              </w:rPr>
              <w:t>Ekspozycje detaliczne, w tym – aktywa ważone ryzykiem – ekspozycje według metody standardowej</w:t>
            </w:r>
          </w:p>
          <w:p w:rsidR="002509B1" w:rsidRPr="00AE79AC" w:rsidRDefault="002509B1" w:rsidP="007E2A41">
            <w:pPr>
              <w:pStyle w:val="BodyText1"/>
              <w:spacing w:line="240" w:lineRule="auto"/>
              <w:rPr>
                <w:rFonts w:ascii="Times New Roman" w:hAnsi="Times New Roman"/>
                <w:b/>
                <w:bCs/>
              </w:rPr>
            </w:pPr>
          </w:p>
          <w:p w:rsidR="00F4754B" w:rsidRPr="00AE79AC" w:rsidRDefault="00F4754B" w:rsidP="007E2A41">
            <w:pPr>
              <w:pStyle w:val="BodyText1"/>
              <w:spacing w:line="240" w:lineRule="auto"/>
              <w:rPr>
                <w:rFonts w:ascii="Times New Roman" w:hAnsi="Times New Roman"/>
                <w:bCs/>
              </w:rPr>
            </w:pPr>
            <w:r w:rsidRPr="00AE79AC">
              <w:rPr>
                <w:rFonts w:ascii="Times New Roman" w:hAnsi="Times New Roman"/>
              </w:rPr>
              <w:t xml:space="preserve">Kwota ekspozycji ważonej ryzykiem dla aktywów stanowiących ekspozycje detaliczne objęte </w:t>
            </w:r>
            <w:r w:rsidRPr="002341B6">
              <w:rPr>
                <w:rFonts w:ascii="Times New Roman" w:hAnsi="Times New Roman"/>
              </w:rPr>
              <w:t>art.</w:t>
            </w:r>
            <w:r w:rsidR="002341B6" w:rsidRPr="002341B6">
              <w:rPr>
                <w:rFonts w:ascii="Times New Roman" w:hAnsi="Times New Roman"/>
              </w:rPr>
              <w:t> </w:t>
            </w:r>
            <w:r w:rsidRPr="002341B6">
              <w:rPr>
                <w:rFonts w:ascii="Times New Roman" w:hAnsi="Times New Roman"/>
              </w:rPr>
              <w:t>1</w:t>
            </w:r>
            <w:r w:rsidRPr="00AE79AC">
              <w:rPr>
                <w:rFonts w:ascii="Times New Roman" w:hAnsi="Times New Roman"/>
              </w:rPr>
              <w:t xml:space="preserve">23 CRR. </w:t>
            </w:r>
          </w:p>
          <w:p w:rsidR="00086A8A" w:rsidRPr="00AE79AC" w:rsidRDefault="00086A8A" w:rsidP="007E2A41">
            <w:pPr>
              <w:pStyle w:val="BodyText1"/>
              <w:spacing w:line="240" w:lineRule="auto"/>
              <w:rPr>
                <w:rFonts w:ascii="Times New Roman" w:hAnsi="Times New Roman"/>
                <w:bCs/>
              </w:rPr>
            </w:pPr>
          </w:p>
          <w:p w:rsidR="00086A8A" w:rsidRPr="00AE79AC" w:rsidRDefault="00086A8A" w:rsidP="007E2A41">
            <w:pPr>
              <w:pStyle w:val="BodyText1"/>
              <w:spacing w:line="240" w:lineRule="auto"/>
              <w:rPr>
                <w:rFonts w:ascii="Times New Roman" w:hAnsi="Times New Roman"/>
                <w:bCs/>
              </w:rPr>
            </w:pPr>
            <w:r w:rsidRPr="00AE79AC">
              <w:rPr>
                <w:rFonts w:ascii="Times New Roman" w:hAnsi="Times New Roman"/>
              </w:rPr>
              <w:t>Instytucje nie zgłaszają tu ekspozycji, których dotyczy niewykonanie zobowiązania.</w:t>
            </w:r>
          </w:p>
          <w:p w:rsidR="002509B1" w:rsidRPr="00AE79AC" w:rsidRDefault="002509B1" w:rsidP="007E2A41">
            <w:pPr>
              <w:pStyle w:val="BodyText1"/>
              <w:spacing w:line="240" w:lineRule="auto"/>
              <w:rPr>
                <w:rFonts w:ascii="Times New Roman" w:hAnsi="Times New Roman"/>
                <w:b/>
                <w:bCs/>
                <w:u w:val="single"/>
              </w:rPr>
            </w:pPr>
          </w:p>
        </w:tc>
      </w:tr>
      <w:tr w:rsidR="00F4754B" w:rsidRPr="00AE79AC" w:rsidTr="0053335C">
        <w:trPr>
          <w:trHeight w:val="71"/>
        </w:trPr>
        <w:tc>
          <w:tcPr>
            <w:tcW w:w="1111" w:type="dxa"/>
            <w:shd w:val="clear" w:color="auto" w:fill="FFFFFF"/>
          </w:tcPr>
          <w:p w:rsidR="00F4754B" w:rsidRPr="00AE79AC" w:rsidRDefault="00F4754B" w:rsidP="00A60C43">
            <w:pPr>
              <w:pStyle w:val="BodyText1"/>
              <w:rPr>
                <w:rFonts w:ascii="Times New Roman" w:hAnsi="Times New Roman"/>
              </w:rPr>
            </w:pPr>
            <w:r w:rsidRPr="00AE79AC">
              <w:rPr>
                <w:rFonts w:ascii="Times New Roman" w:hAnsi="Times New Roman"/>
              </w:rPr>
              <w:t>{210;040}</w:t>
            </w:r>
          </w:p>
        </w:tc>
        <w:tc>
          <w:tcPr>
            <w:tcW w:w="8133" w:type="dxa"/>
            <w:shd w:val="clear" w:color="auto" w:fill="FFFFFF"/>
          </w:tcPr>
          <w:p w:rsidR="00F4754B" w:rsidRPr="00AE79AC" w:rsidRDefault="00F4754B" w:rsidP="007E2A41">
            <w:pPr>
              <w:pStyle w:val="BodyText1"/>
              <w:spacing w:line="240" w:lineRule="auto"/>
              <w:rPr>
                <w:rFonts w:ascii="Times New Roman" w:hAnsi="Times New Roman"/>
                <w:b/>
                <w:bCs/>
              </w:rPr>
            </w:pPr>
            <w:r w:rsidRPr="00AE79AC">
              <w:rPr>
                <w:rFonts w:ascii="Times New Roman" w:hAnsi="Times New Roman"/>
                <w:b/>
              </w:rPr>
              <w:t>Ekspozycje detaliczne, w tym – aktywa ważone ryzykiem – ekspozycje według metody IRB</w:t>
            </w:r>
          </w:p>
          <w:p w:rsidR="002509B1" w:rsidRPr="00AE79AC" w:rsidRDefault="002509B1" w:rsidP="007E2A41">
            <w:pPr>
              <w:pStyle w:val="BodyText1"/>
              <w:spacing w:line="240" w:lineRule="auto"/>
              <w:rPr>
                <w:rFonts w:ascii="Times New Roman" w:hAnsi="Times New Roman"/>
                <w:b/>
                <w:bCs/>
              </w:rPr>
            </w:pPr>
          </w:p>
          <w:p w:rsidR="00F4754B" w:rsidRPr="00AE79AC" w:rsidRDefault="00F4754B" w:rsidP="007E2A41">
            <w:pPr>
              <w:pStyle w:val="BodyText1"/>
              <w:spacing w:line="240" w:lineRule="auto"/>
              <w:rPr>
                <w:rFonts w:ascii="Times New Roman" w:hAnsi="Times New Roman"/>
                <w:bCs/>
              </w:rPr>
            </w:pPr>
            <w:r w:rsidRPr="00AE79AC">
              <w:rPr>
                <w:rFonts w:ascii="Times New Roman" w:hAnsi="Times New Roman"/>
              </w:rPr>
              <w:t xml:space="preserve">Kwota ekspozycji ważonej ryzykiem dla aktywów stanowiących ekspozycje detaliczne na mocy art. 147 ust. 2 lit. d) CRR, jeżeli takie ekspozycje </w:t>
            </w:r>
            <w:r w:rsidRPr="00AE79AC">
              <w:rPr>
                <w:rFonts w:ascii="Times New Roman" w:hAnsi="Times New Roman"/>
                <w:b/>
                <w:u w:val="single"/>
              </w:rPr>
              <w:t>nie</w:t>
            </w:r>
            <w:r w:rsidRPr="00AE79AC">
              <w:rPr>
                <w:rFonts w:ascii="Times New Roman" w:hAnsi="Times New Roman"/>
              </w:rPr>
              <w:t xml:space="preserve"> są zabezpieczone hipotekami na nieruchomościach zgodnie z art. 199 ust. 1 lit. a) CRR. </w:t>
            </w:r>
          </w:p>
          <w:p w:rsidR="002509B1" w:rsidRPr="00AE79AC" w:rsidRDefault="002509B1" w:rsidP="007E2A41">
            <w:pPr>
              <w:pStyle w:val="BodyText1"/>
              <w:spacing w:line="240" w:lineRule="auto"/>
              <w:rPr>
                <w:rFonts w:ascii="Times New Roman" w:hAnsi="Times New Roman"/>
                <w:b/>
                <w:bCs/>
                <w:u w:val="single"/>
              </w:rPr>
            </w:pPr>
          </w:p>
          <w:p w:rsidR="009C4E79" w:rsidRPr="00AE79AC" w:rsidRDefault="009C4E79" w:rsidP="009C4E79">
            <w:pPr>
              <w:pStyle w:val="BodyText1"/>
              <w:spacing w:line="240" w:lineRule="auto"/>
              <w:rPr>
                <w:rFonts w:ascii="Times New Roman" w:hAnsi="Times New Roman"/>
                <w:bCs/>
              </w:rPr>
            </w:pPr>
            <w:r w:rsidRPr="00AE79AC">
              <w:rPr>
                <w:rFonts w:ascii="Times New Roman" w:hAnsi="Times New Roman"/>
              </w:rPr>
              <w:t>Instytucje nie zgłaszają tu ekspozycji, których dotyczy niewykonanie zobowiązania.</w:t>
            </w:r>
          </w:p>
          <w:p w:rsidR="009C4E79" w:rsidRPr="00AE79AC" w:rsidRDefault="009C4E79" w:rsidP="007E2A41">
            <w:pPr>
              <w:pStyle w:val="BodyText1"/>
              <w:spacing w:line="240" w:lineRule="auto"/>
              <w:rPr>
                <w:rFonts w:ascii="Times New Roman" w:hAnsi="Times New Roman"/>
                <w:b/>
                <w:bCs/>
                <w:u w:val="single"/>
              </w:rPr>
            </w:pPr>
          </w:p>
        </w:tc>
      </w:tr>
      <w:tr w:rsidR="00F4754B" w:rsidRPr="00AE79AC" w:rsidTr="0053335C">
        <w:trPr>
          <w:trHeight w:val="71"/>
        </w:trPr>
        <w:tc>
          <w:tcPr>
            <w:tcW w:w="1111" w:type="dxa"/>
            <w:shd w:val="clear" w:color="auto" w:fill="FFFFFF"/>
          </w:tcPr>
          <w:p w:rsidR="00F4754B" w:rsidRPr="00AE79AC" w:rsidRDefault="00F4754B" w:rsidP="006423CC">
            <w:pPr>
              <w:pStyle w:val="BodyText1"/>
              <w:rPr>
                <w:rFonts w:ascii="Times New Roman" w:hAnsi="Times New Roman"/>
              </w:rPr>
            </w:pPr>
            <w:r w:rsidRPr="00AE79AC">
              <w:rPr>
                <w:rFonts w:ascii="Times New Roman" w:hAnsi="Times New Roman"/>
              </w:rPr>
              <w:t>{220;010}</w:t>
            </w:r>
          </w:p>
        </w:tc>
        <w:tc>
          <w:tcPr>
            <w:tcW w:w="8133" w:type="dxa"/>
            <w:shd w:val="clear" w:color="auto" w:fill="FFFFFF"/>
          </w:tcPr>
          <w:p w:rsidR="00F4754B" w:rsidRPr="00AE79AC" w:rsidRDefault="00F4754B" w:rsidP="007E2A41">
            <w:pPr>
              <w:pStyle w:val="BodyText1"/>
              <w:spacing w:line="240" w:lineRule="auto"/>
              <w:rPr>
                <w:rFonts w:ascii="Times New Roman" w:hAnsi="Times New Roman"/>
                <w:b/>
                <w:bCs/>
              </w:rPr>
            </w:pPr>
            <w:r w:rsidRPr="00AE79AC">
              <w:rPr>
                <w:rFonts w:ascii="Times New Roman" w:hAnsi="Times New Roman"/>
                <w:b/>
              </w:rPr>
              <w:t>Ekspozycje detaliczne wobec MŚP – wartość ekspozycji wskaźnika dźwigni – ekspozycje według metody standardowej</w:t>
            </w:r>
          </w:p>
          <w:p w:rsidR="002509B1" w:rsidRPr="00AE79AC" w:rsidRDefault="002509B1" w:rsidP="007E2A41">
            <w:pPr>
              <w:pStyle w:val="BodyText1"/>
              <w:spacing w:line="240" w:lineRule="auto"/>
              <w:rPr>
                <w:rFonts w:ascii="Times New Roman" w:hAnsi="Times New Roman"/>
                <w:b/>
                <w:bCs/>
              </w:rPr>
            </w:pPr>
          </w:p>
          <w:p w:rsidR="00F4754B" w:rsidRPr="00AE79AC" w:rsidRDefault="00F4754B" w:rsidP="007E2A41">
            <w:pPr>
              <w:pStyle w:val="BodyText1"/>
              <w:spacing w:line="240" w:lineRule="auto"/>
              <w:rPr>
                <w:rFonts w:ascii="Times New Roman" w:hAnsi="Times New Roman"/>
                <w:bCs/>
              </w:rPr>
            </w:pPr>
            <w:r w:rsidRPr="00AE79AC">
              <w:rPr>
                <w:rFonts w:ascii="Times New Roman" w:hAnsi="Times New Roman"/>
              </w:rPr>
              <w:t xml:space="preserve">Wartość ekspozycji wskaźnika dźwigni dla aktywów stanowiących ekspozycje detaliczne wobec małych i średnich przedsiębiorstw objęte art. 123 CRR. </w:t>
            </w:r>
          </w:p>
          <w:p w:rsidR="00BB5324" w:rsidRPr="00AE79AC" w:rsidRDefault="00BB5324" w:rsidP="007E2A41">
            <w:pPr>
              <w:pStyle w:val="BodyText1"/>
              <w:spacing w:line="240" w:lineRule="auto"/>
              <w:rPr>
                <w:rFonts w:ascii="Times New Roman" w:hAnsi="Times New Roman"/>
                <w:bCs/>
              </w:rPr>
            </w:pPr>
          </w:p>
          <w:p w:rsidR="004B653A" w:rsidRPr="00AE79AC" w:rsidRDefault="004B653A" w:rsidP="007E2A41">
            <w:pPr>
              <w:pStyle w:val="BodyText1"/>
              <w:spacing w:line="240" w:lineRule="auto"/>
              <w:rPr>
                <w:rFonts w:ascii="Times New Roman" w:hAnsi="Times New Roman"/>
                <w:bCs/>
              </w:rPr>
            </w:pPr>
            <w:r w:rsidRPr="00AE79AC">
              <w:rPr>
                <w:rFonts w:ascii="Times New Roman" w:hAnsi="Times New Roman"/>
              </w:rPr>
              <w:t>Do celów tej komórki „małe lub średnie przedsiębiorstwo” definiuje się zgodnie z art. 501 ust. 2 lit. b) CRR.</w:t>
            </w:r>
          </w:p>
          <w:p w:rsidR="00086A8A" w:rsidRPr="00AE79AC" w:rsidRDefault="00086A8A" w:rsidP="007E2A41">
            <w:pPr>
              <w:pStyle w:val="BodyText1"/>
              <w:spacing w:line="240" w:lineRule="auto"/>
              <w:rPr>
                <w:rFonts w:ascii="Times New Roman" w:hAnsi="Times New Roman"/>
                <w:bCs/>
              </w:rPr>
            </w:pPr>
          </w:p>
          <w:p w:rsidR="00086A8A" w:rsidRPr="00AE79AC" w:rsidRDefault="00086A8A" w:rsidP="007E2A41">
            <w:pPr>
              <w:pStyle w:val="BodyText1"/>
              <w:spacing w:line="240" w:lineRule="auto"/>
              <w:rPr>
                <w:rFonts w:ascii="Times New Roman" w:hAnsi="Times New Roman"/>
                <w:bCs/>
              </w:rPr>
            </w:pPr>
            <w:r w:rsidRPr="00AE79AC">
              <w:rPr>
                <w:rFonts w:ascii="Times New Roman" w:hAnsi="Times New Roman"/>
              </w:rPr>
              <w:t>Instytucje nie zgłaszają tu ekspozycji, których dotyczy niewykonanie zobowiązania.</w:t>
            </w:r>
          </w:p>
          <w:p w:rsidR="002509B1" w:rsidRPr="00AE79AC" w:rsidRDefault="002509B1" w:rsidP="007E2A41">
            <w:pPr>
              <w:pStyle w:val="BodyText1"/>
              <w:spacing w:line="240" w:lineRule="auto"/>
              <w:rPr>
                <w:rFonts w:ascii="Times New Roman" w:hAnsi="Times New Roman"/>
                <w:b/>
                <w:bCs/>
              </w:rPr>
            </w:pPr>
          </w:p>
        </w:tc>
      </w:tr>
      <w:tr w:rsidR="00F4754B" w:rsidRPr="00AE79AC" w:rsidTr="0053335C">
        <w:trPr>
          <w:trHeight w:val="71"/>
        </w:trPr>
        <w:tc>
          <w:tcPr>
            <w:tcW w:w="1111" w:type="dxa"/>
            <w:shd w:val="clear" w:color="auto" w:fill="FFFFFF"/>
          </w:tcPr>
          <w:p w:rsidR="00F4754B" w:rsidRPr="00AE79AC" w:rsidRDefault="00F4754B" w:rsidP="006423CC">
            <w:pPr>
              <w:pStyle w:val="BodyText1"/>
              <w:rPr>
                <w:rFonts w:ascii="Times New Roman" w:hAnsi="Times New Roman"/>
                <w:bCs/>
              </w:rPr>
            </w:pPr>
            <w:r w:rsidRPr="00AE79AC">
              <w:rPr>
                <w:rFonts w:ascii="Times New Roman" w:hAnsi="Times New Roman"/>
              </w:rPr>
              <w:t>{220;020}</w:t>
            </w:r>
          </w:p>
        </w:tc>
        <w:tc>
          <w:tcPr>
            <w:tcW w:w="8133" w:type="dxa"/>
            <w:shd w:val="clear" w:color="auto" w:fill="FFFFFF"/>
          </w:tcPr>
          <w:p w:rsidR="00F4754B" w:rsidRPr="00AE79AC" w:rsidRDefault="00F4754B" w:rsidP="007E2A41">
            <w:pPr>
              <w:pStyle w:val="BodyText1"/>
              <w:spacing w:line="240" w:lineRule="auto"/>
              <w:rPr>
                <w:rFonts w:ascii="Times New Roman" w:hAnsi="Times New Roman"/>
                <w:b/>
                <w:bCs/>
              </w:rPr>
            </w:pPr>
            <w:r w:rsidRPr="00AE79AC">
              <w:rPr>
                <w:rFonts w:ascii="Times New Roman" w:hAnsi="Times New Roman"/>
                <w:b/>
              </w:rPr>
              <w:t>Ekspozycje detaliczne wobec MŚP – wartość ekspozycji wskaźnika dźwigni – ekspozycje według metody IRB</w:t>
            </w:r>
          </w:p>
          <w:p w:rsidR="002509B1" w:rsidRPr="00AE79AC" w:rsidRDefault="002509B1" w:rsidP="007E2A41">
            <w:pPr>
              <w:pStyle w:val="BodyText1"/>
              <w:spacing w:line="240" w:lineRule="auto"/>
              <w:rPr>
                <w:rFonts w:ascii="Times New Roman" w:hAnsi="Times New Roman"/>
                <w:b/>
                <w:bCs/>
              </w:rPr>
            </w:pPr>
          </w:p>
          <w:p w:rsidR="00315160" w:rsidRPr="00AE79AC" w:rsidRDefault="00F4754B" w:rsidP="007E2A41">
            <w:pPr>
              <w:pStyle w:val="BodyText1"/>
              <w:spacing w:line="240" w:lineRule="auto"/>
              <w:rPr>
                <w:rFonts w:ascii="Times New Roman" w:hAnsi="Times New Roman"/>
                <w:bCs/>
              </w:rPr>
            </w:pPr>
            <w:r w:rsidRPr="00AE79AC">
              <w:rPr>
                <w:rFonts w:ascii="Times New Roman" w:hAnsi="Times New Roman"/>
              </w:rPr>
              <w:t xml:space="preserve">Wartość ekspozycji wskaźnika dźwigni dla aktywów stanowiących ekspozycje detaliczne na mocy art. 147 ust. 2 lit. d) CRR, jeżeli takie ekspozycje stanowią ekspozycje wobec małych i średnich przedsiębiorstw i </w:t>
            </w:r>
            <w:r w:rsidRPr="00AE79AC">
              <w:rPr>
                <w:rFonts w:ascii="Times New Roman" w:hAnsi="Times New Roman"/>
                <w:b/>
                <w:u w:val="single"/>
              </w:rPr>
              <w:t>nie</w:t>
            </w:r>
            <w:r w:rsidRPr="00AE79AC">
              <w:rPr>
                <w:rFonts w:ascii="Times New Roman" w:hAnsi="Times New Roman"/>
              </w:rPr>
              <w:t xml:space="preserve"> są zabezpieczone hipotekami na nieruchomościach zgodnie z art. 199 ust. 1 lit. a) CRR.</w:t>
            </w:r>
          </w:p>
          <w:p w:rsidR="00F4754B" w:rsidRPr="00AE79AC" w:rsidRDefault="00315160" w:rsidP="007E2A41">
            <w:pPr>
              <w:pStyle w:val="BodyText1"/>
              <w:spacing w:line="240" w:lineRule="auto"/>
              <w:rPr>
                <w:rFonts w:ascii="Times New Roman" w:hAnsi="Times New Roman"/>
                <w:bCs/>
              </w:rPr>
            </w:pPr>
            <w:r w:rsidRPr="00AE79AC">
              <w:rPr>
                <w:rFonts w:ascii="Times New Roman" w:hAnsi="Times New Roman"/>
              </w:rPr>
              <w:t xml:space="preserve"> </w:t>
            </w:r>
          </w:p>
          <w:p w:rsidR="004B653A" w:rsidRPr="00AE79AC" w:rsidRDefault="004B653A" w:rsidP="007E2A41">
            <w:pPr>
              <w:pStyle w:val="BodyText1"/>
              <w:spacing w:line="240" w:lineRule="auto"/>
              <w:rPr>
                <w:rFonts w:ascii="Times New Roman" w:hAnsi="Times New Roman"/>
                <w:bCs/>
              </w:rPr>
            </w:pPr>
            <w:r w:rsidRPr="00AE79AC">
              <w:rPr>
                <w:rFonts w:ascii="Times New Roman" w:hAnsi="Times New Roman"/>
              </w:rPr>
              <w:t>Do celów tej komórki „małe lub średnie przedsiębiorstwo” definiuje się zgodnie z art. 501 ust. 2 lit. b) CRR.</w:t>
            </w:r>
          </w:p>
          <w:p w:rsidR="009C4E79" w:rsidRPr="00AE79AC" w:rsidRDefault="009C4E79" w:rsidP="009C4E79">
            <w:pPr>
              <w:pStyle w:val="BodyText1"/>
              <w:spacing w:line="240" w:lineRule="auto"/>
              <w:rPr>
                <w:rFonts w:ascii="Times New Roman" w:hAnsi="Times New Roman"/>
                <w:bCs/>
              </w:rPr>
            </w:pPr>
          </w:p>
          <w:p w:rsidR="009C4E79" w:rsidRPr="00AE79AC" w:rsidRDefault="009C4E79" w:rsidP="009C4E79">
            <w:pPr>
              <w:pStyle w:val="BodyText1"/>
              <w:spacing w:line="240" w:lineRule="auto"/>
              <w:rPr>
                <w:rFonts w:ascii="Times New Roman" w:hAnsi="Times New Roman"/>
                <w:bCs/>
              </w:rPr>
            </w:pPr>
            <w:r w:rsidRPr="00AE79AC">
              <w:rPr>
                <w:rFonts w:ascii="Times New Roman" w:hAnsi="Times New Roman"/>
              </w:rPr>
              <w:t>Instytucje nie zgłaszają tu ekspozycji, których dotyczy niewykonanie zobowiązania.</w:t>
            </w:r>
          </w:p>
          <w:p w:rsidR="002509B1" w:rsidRPr="00AE79AC" w:rsidDel="00EC6E42" w:rsidRDefault="002509B1" w:rsidP="007E2A41">
            <w:pPr>
              <w:pStyle w:val="BodyText1"/>
              <w:spacing w:line="240" w:lineRule="auto"/>
              <w:rPr>
                <w:rFonts w:ascii="Times New Roman" w:hAnsi="Times New Roman"/>
                <w:b/>
                <w:bCs/>
                <w:u w:val="single"/>
              </w:rPr>
            </w:pPr>
          </w:p>
        </w:tc>
      </w:tr>
      <w:tr w:rsidR="00F4754B" w:rsidRPr="00AE79AC" w:rsidTr="0053335C">
        <w:trPr>
          <w:trHeight w:val="71"/>
        </w:trPr>
        <w:tc>
          <w:tcPr>
            <w:tcW w:w="1111" w:type="dxa"/>
            <w:shd w:val="clear" w:color="auto" w:fill="FFFFFF"/>
          </w:tcPr>
          <w:p w:rsidR="00F4754B" w:rsidRPr="00AE79AC" w:rsidRDefault="00F4754B" w:rsidP="006423CC">
            <w:pPr>
              <w:pStyle w:val="BodyText1"/>
              <w:rPr>
                <w:rFonts w:ascii="Times New Roman" w:hAnsi="Times New Roman"/>
              </w:rPr>
            </w:pPr>
            <w:r w:rsidRPr="00AE79AC">
              <w:rPr>
                <w:rFonts w:ascii="Times New Roman" w:hAnsi="Times New Roman"/>
              </w:rPr>
              <w:t>{220;030}</w:t>
            </w:r>
          </w:p>
        </w:tc>
        <w:tc>
          <w:tcPr>
            <w:tcW w:w="8133" w:type="dxa"/>
            <w:shd w:val="clear" w:color="auto" w:fill="FFFFFF"/>
          </w:tcPr>
          <w:p w:rsidR="00F4754B" w:rsidRPr="00AE79AC" w:rsidRDefault="00F4754B" w:rsidP="007E2A41">
            <w:pPr>
              <w:pStyle w:val="BodyText1"/>
              <w:spacing w:line="240" w:lineRule="auto"/>
              <w:rPr>
                <w:rFonts w:ascii="Times New Roman" w:hAnsi="Times New Roman"/>
                <w:b/>
                <w:bCs/>
              </w:rPr>
            </w:pPr>
            <w:r w:rsidRPr="00AE79AC">
              <w:rPr>
                <w:rFonts w:ascii="Times New Roman" w:hAnsi="Times New Roman"/>
                <w:b/>
              </w:rPr>
              <w:t>Ekspozycje detaliczne wobec MŚP – aktywa ważone ryzykiem – ekspozycje według metody standardowej</w:t>
            </w:r>
          </w:p>
          <w:p w:rsidR="002509B1" w:rsidRPr="00AE79AC" w:rsidRDefault="002509B1" w:rsidP="007E2A41">
            <w:pPr>
              <w:pStyle w:val="BodyText1"/>
              <w:spacing w:line="240" w:lineRule="auto"/>
              <w:rPr>
                <w:rFonts w:ascii="Times New Roman" w:hAnsi="Times New Roman"/>
                <w:b/>
                <w:bCs/>
              </w:rPr>
            </w:pPr>
          </w:p>
          <w:p w:rsidR="00F4754B" w:rsidRPr="00AE79AC" w:rsidRDefault="00F4754B" w:rsidP="007E2A41">
            <w:pPr>
              <w:pStyle w:val="BodyText1"/>
              <w:spacing w:line="240" w:lineRule="auto"/>
              <w:rPr>
                <w:rFonts w:ascii="Times New Roman" w:hAnsi="Times New Roman"/>
                <w:bCs/>
              </w:rPr>
            </w:pPr>
            <w:r w:rsidRPr="00AE79AC">
              <w:rPr>
                <w:rFonts w:ascii="Times New Roman" w:hAnsi="Times New Roman"/>
              </w:rPr>
              <w:t xml:space="preserve">Kwota ekspozycji ważonej ryzykiem dla aktywów stanowiących ekspozycje detaliczne wobec małych i średnich przedsiębiorstw objęte art. 123 CRR. </w:t>
            </w:r>
          </w:p>
          <w:p w:rsidR="00BB5324" w:rsidRPr="00AE79AC" w:rsidRDefault="00BB5324" w:rsidP="007E2A41">
            <w:pPr>
              <w:pStyle w:val="BodyText1"/>
              <w:spacing w:line="240" w:lineRule="auto"/>
              <w:rPr>
                <w:rFonts w:ascii="Times New Roman" w:hAnsi="Times New Roman"/>
                <w:bCs/>
              </w:rPr>
            </w:pPr>
          </w:p>
          <w:p w:rsidR="004B653A" w:rsidRPr="00AE79AC" w:rsidRDefault="004B653A" w:rsidP="007E2A41">
            <w:pPr>
              <w:pStyle w:val="BodyText1"/>
              <w:spacing w:line="240" w:lineRule="auto"/>
              <w:rPr>
                <w:rFonts w:ascii="Times New Roman" w:hAnsi="Times New Roman"/>
                <w:bCs/>
              </w:rPr>
            </w:pPr>
            <w:r w:rsidRPr="00AE79AC">
              <w:rPr>
                <w:rFonts w:ascii="Times New Roman" w:hAnsi="Times New Roman"/>
              </w:rPr>
              <w:t>Do celów tej komórki „małe lub średnie przedsiębiorstwo” definiuje się zgodnie z art. 501 ust. 2 lit. b) CRR.</w:t>
            </w:r>
          </w:p>
          <w:p w:rsidR="00086A8A" w:rsidRPr="00AE79AC" w:rsidRDefault="00086A8A" w:rsidP="007E2A41">
            <w:pPr>
              <w:pStyle w:val="BodyText1"/>
              <w:spacing w:line="240" w:lineRule="auto"/>
              <w:rPr>
                <w:rFonts w:ascii="Times New Roman" w:hAnsi="Times New Roman"/>
                <w:bCs/>
              </w:rPr>
            </w:pPr>
          </w:p>
          <w:p w:rsidR="00086A8A" w:rsidRPr="00AE79AC" w:rsidRDefault="00086A8A" w:rsidP="007E2A41">
            <w:pPr>
              <w:pStyle w:val="BodyText1"/>
              <w:spacing w:line="240" w:lineRule="auto"/>
              <w:rPr>
                <w:rFonts w:ascii="Times New Roman" w:hAnsi="Times New Roman"/>
                <w:bCs/>
              </w:rPr>
            </w:pPr>
            <w:r w:rsidRPr="00AE79AC">
              <w:rPr>
                <w:rFonts w:ascii="Times New Roman" w:hAnsi="Times New Roman"/>
              </w:rPr>
              <w:t>Instytucje nie zgłaszają tu ekspozycji, których dotyczy niewykonanie zobowiązania.</w:t>
            </w:r>
          </w:p>
          <w:p w:rsidR="002509B1" w:rsidRPr="00AE79AC" w:rsidRDefault="002509B1" w:rsidP="007E2A41">
            <w:pPr>
              <w:pStyle w:val="BodyText1"/>
              <w:spacing w:line="240" w:lineRule="auto"/>
              <w:rPr>
                <w:rFonts w:ascii="Times New Roman" w:hAnsi="Times New Roman"/>
                <w:b/>
                <w:bCs/>
                <w:u w:val="single"/>
              </w:rPr>
            </w:pPr>
          </w:p>
        </w:tc>
      </w:tr>
      <w:tr w:rsidR="00F4754B" w:rsidRPr="00AE79AC" w:rsidTr="0053335C">
        <w:trPr>
          <w:trHeight w:val="71"/>
        </w:trPr>
        <w:tc>
          <w:tcPr>
            <w:tcW w:w="1111" w:type="dxa"/>
            <w:shd w:val="clear" w:color="auto" w:fill="FFFFFF"/>
          </w:tcPr>
          <w:p w:rsidR="00F4754B" w:rsidRPr="00AE79AC" w:rsidRDefault="00F4754B" w:rsidP="006423CC">
            <w:pPr>
              <w:pStyle w:val="BodyText1"/>
              <w:rPr>
                <w:rFonts w:ascii="Times New Roman" w:hAnsi="Times New Roman"/>
              </w:rPr>
            </w:pPr>
            <w:r w:rsidRPr="00AE79AC">
              <w:rPr>
                <w:rFonts w:ascii="Times New Roman" w:hAnsi="Times New Roman"/>
              </w:rPr>
              <w:t>{220;040}</w:t>
            </w:r>
          </w:p>
        </w:tc>
        <w:tc>
          <w:tcPr>
            <w:tcW w:w="8133" w:type="dxa"/>
            <w:shd w:val="clear" w:color="auto" w:fill="FFFFFF"/>
          </w:tcPr>
          <w:p w:rsidR="00F4754B" w:rsidRPr="00AE79AC" w:rsidRDefault="00F4754B" w:rsidP="007E2A41">
            <w:pPr>
              <w:pStyle w:val="BodyText1"/>
              <w:spacing w:line="240" w:lineRule="auto"/>
              <w:rPr>
                <w:rFonts w:ascii="Times New Roman" w:hAnsi="Times New Roman"/>
                <w:b/>
                <w:bCs/>
              </w:rPr>
            </w:pPr>
            <w:r w:rsidRPr="00AE79AC">
              <w:rPr>
                <w:rFonts w:ascii="Times New Roman" w:hAnsi="Times New Roman"/>
                <w:b/>
              </w:rPr>
              <w:t>Ekspozycje detaliczne wobec MŚP – aktywa ważone ryzykiem – ekspozycje według metody IRB</w:t>
            </w:r>
          </w:p>
          <w:p w:rsidR="002509B1" w:rsidRPr="00AE79AC" w:rsidRDefault="002509B1" w:rsidP="007E2A41">
            <w:pPr>
              <w:pStyle w:val="BodyText1"/>
              <w:spacing w:line="240" w:lineRule="auto"/>
              <w:rPr>
                <w:rFonts w:ascii="Times New Roman" w:hAnsi="Times New Roman"/>
                <w:b/>
                <w:bCs/>
              </w:rPr>
            </w:pPr>
          </w:p>
          <w:p w:rsidR="00F4754B" w:rsidRPr="00AE79AC" w:rsidRDefault="00F4754B" w:rsidP="007E2A41">
            <w:pPr>
              <w:pStyle w:val="BodyText1"/>
              <w:spacing w:line="240" w:lineRule="auto"/>
              <w:rPr>
                <w:rFonts w:ascii="Times New Roman" w:hAnsi="Times New Roman"/>
                <w:bCs/>
              </w:rPr>
            </w:pPr>
            <w:r w:rsidRPr="00AE79AC">
              <w:rPr>
                <w:rFonts w:ascii="Times New Roman" w:hAnsi="Times New Roman"/>
              </w:rPr>
              <w:t xml:space="preserve">Kwota ekspozycji ważonej ryzykiem dla aktywów stanowiących ekspozycje detaliczne na mocy art. 147 ust. 2 lit. d) CRR, jeżeli takie ekspozycje stanowią ekspozycje wobec małych i średnich przedsiębiorstw i </w:t>
            </w:r>
            <w:r w:rsidRPr="00AE79AC">
              <w:rPr>
                <w:rFonts w:ascii="Times New Roman" w:hAnsi="Times New Roman"/>
                <w:b/>
                <w:u w:val="single"/>
              </w:rPr>
              <w:t>nie</w:t>
            </w:r>
            <w:r w:rsidRPr="00AE79AC">
              <w:rPr>
                <w:rFonts w:ascii="Times New Roman" w:hAnsi="Times New Roman"/>
              </w:rPr>
              <w:t xml:space="preserve"> są zabezpieczone hipotekami na nieruchomościach zgodnie z art. 199 ust. 1 lit. a) CRR. </w:t>
            </w:r>
          </w:p>
          <w:p w:rsidR="00BB5324" w:rsidRPr="00AE79AC" w:rsidRDefault="00BB5324" w:rsidP="007E2A41">
            <w:pPr>
              <w:pStyle w:val="BodyText1"/>
              <w:spacing w:line="240" w:lineRule="auto"/>
              <w:rPr>
                <w:rFonts w:ascii="Times New Roman" w:hAnsi="Times New Roman"/>
                <w:bCs/>
              </w:rPr>
            </w:pPr>
          </w:p>
          <w:p w:rsidR="004B653A" w:rsidRPr="00AE79AC" w:rsidRDefault="004B653A" w:rsidP="007E2A41">
            <w:pPr>
              <w:pStyle w:val="BodyText1"/>
              <w:spacing w:line="240" w:lineRule="auto"/>
              <w:rPr>
                <w:rFonts w:ascii="Times New Roman" w:hAnsi="Times New Roman"/>
                <w:bCs/>
              </w:rPr>
            </w:pPr>
            <w:r w:rsidRPr="00AE79AC">
              <w:rPr>
                <w:rFonts w:ascii="Times New Roman" w:hAnsi="Times New Roman"/>
              </w:rPr>
              <w:t>Do celów tej komórki „małe lub średnie przedsiębiorstwo” definiuje się zgodnie z art. 501 ust. 2 lit. b) CRR.</w:t>
            </w:r>
          </w:p>
          <w:p w:rsidR="009C4E79" w:rsidRPr="00AE79AC" w:rsidRDefault="009C4E79" w:rsidP="007E2A41">
            <w:pPr>
              <w:pStyle w:val="BodyText1"/>
              <w:spacing w:line="240" w:lineRule="auto"/>
              <w:rPr>
                <w:rFonts w:ascii="Times New Roman" w:hAnsi="Times New Roman"/>
                <w:b/>
                <w:bCs/>
                <w:u w:val="single"/>
              </w:rPr>
            </w:pPr>
          </w:p>
          <w:p w:rsidR="009C4E79" w:rsidRPr="00AE79AC" w:rsidRDefault="009C4E79" w:rsidP="009C4E79">
            <w:pPr>
              <w:pStyle w:val="BodyText1"/>
              <w:spacing w:line="240" w:lineRule="auto"/>
              <w:rPr>
                <w:rFonts w:ascii="Times New Roman" w:hAnsi="Times New Roman"/>
                <w:bCs/>
              </w:rPr>
            </w:pPr>
            <w:r w:rsidRPr="00AE79AC">
              <w:rPr>
                <w:rFonts w:ascii="Times New Roman" w:hAnsi="Times New Roman"/>
              </w:rPr>
              <w:t>Instytucje nie zgłaszają tu ekspozycji, których dotyczy niewykonanie zobowiązania.</w:t>
            </w:r>
          </w:p>
          <w:p w:rsidR="009C4E79" w:rsidRPr="00AE79AC" w:rsidRDefault="009C4E79" w:rsidP="007E2A41">
            <w:pPr>
              <w:pStyle w:val="BodyText1"/>
              <w:spacing w:line="240" w:lineRule="auto"/>
              <w:rPr>
                <w:rFonts w:ascii="Times New Roman" w:hAnsi="Times New Roman"/>
                <w:b/>
                <w:bCs/>
                <w:u w:val="single"/>
              </w:rPr>
            </w:pPr>
          </w:p>
        </w:tc>
      </w:tr>
      <w:tr w:rsidR="00F4754B" w:rsidRPr="00AE79AC" w:rsidTr="0053335C">
        <w:trPr>
          <w:trHeight w:val="71"/>
        </w:trPr>
        <w:tc>
          <w:tcPr>
            <w:tcW w:w="1111" w:type="dxa"/>
            <w:shd w:val="clear" w:color="auto" w:fill="FFFFFF"/>
          </w:tcPr>
          <w:p w:rsidR="00F4754B" w:rsidRPr="00AE79AC" w:rsidRDefault="00F4754B" w:rsidP="006423CC">
            <w:pPr>
              <w:pStyle w:val="BodyText1"/>
              <w:rPr>
                <w:rFonts w:ascii="Times New Roman" w:hAnsi="Times New Roman"/>
              </w:rPr>
            </w:pPr>
            <w:r w:rsidRPr="00AE79AC">
              <w:rPr>
                <w:rFonts w:ascii="Times New Roman" w:hAnsi="Times New Roman"/>
              </w:rPr>
              <w:t>{230;010}</w:t>
            </w:r>
          </w:p>
        </w:tc>
        <w:tc>
          <w:tcPr>
            <w:tcW w:w="8133" w:type="dxa"/>
            <w:shd w:val="clear" w:color="auto" w:fill="FFFFFF"/>
          </w:tcPr>
          <w:p w:rsidR="00F4754B" w:rsidRPr="00AE79AC" w:rsidRDefault="00F4754B" w:rsidP="007E2A41">
            <w:pPr>
              <w:pStyle w:val="BodyText1"/>
              <w:spacing w:line="240" w:lineRule="auto"/>
              <w:rPr>
                <w:rFonts w:ascii="Times New Roman" w:hAnsi="Times New Roman"/>
                <w:b/>
                <w:bCs/>
              </w:rPr>
            </w:pPr>
            <w:r w:rsidRPr="00AE79AC">
              <w:rPr>
                <w:rFonts w:ascii="Times New Roman" w:hAnsi="Times New Roman"/>
                <w:b/>
              </w:rPr>
              <w:t>Ekspozycje wobec przedsiębiorstw, w tym – wartość ekspozycji wskaźnika dźwigni – ekspozycje według metody standardowej</w:t>
            </w:r>
          </w:p>
          <w:p w:rsidR="002509B1" w:rsidRPr="00AE79AC" w:rsidRDefault="002509B1" w:rsidP="007E2A41">
            <w:pPr>
              <w:pStyle w:val="BodyText1"/>
              <w:spacing w:line="240" w:lineRule="auto"/>
              <w:rPr>
                <w:rFonts w:ascii="Times New Roman" w:hAnsi="Times New Roman"/>
                <w:b/>
                <w:bCs/>
              </w:rPr>
            </w:pPr>
          </w:p>
          <w:p w:rsidR="00F4754B" w:rsidRPr="00AE79AC" w:rsidRDefault="00F4754B" w:rsidP="007E2A41">
            <w:pPr>
              <w:pStyle w:val="BodyText1"/>
              <w:spacing w:line="240" w:lineRule="auto"/>
              <w:rPr>
                <w:rFonts w:ascii="Times New Roman" w:hAnsi="Times New Roman"/>
              </w:rPr>
            </w:pPr>
            <w:r w:rsidRPr="00AE79AC">
              <w:rPr>
                <w:rFonts w:ascii="Times New Roman" w:hAnsi="Times New Roman"/>
              </w:rPr>
              <w:t>Jest to suma komórek {240,010} i {250,010}.</w:t>
            </w:r>
          </w:p>
          <w:p w:rsidR="00086A8A" w:rsidRPr="00AE79AC" w:rsidRDefault="00086A8A" w:rsidP="007E2A41">
            <w:pPr>
              <w:pStyle w:val="BodyText1"/>
              <w:spacing w:line="240" w:lineRule="auto"/>
              <w:rPr>
                <w:rFonts w:ascii="Times New Roman" w:hAnsi="Times New Roman"/>
              </w:rPr>
            </w:pPr>
          </w:p>
          <w:p w:rsidR="00086A8A" w:rsidRPr="00AE79AC" w:rsidRDefault="00086A8A" w:rsidP="007E2A41">
            <w:pPr>
              <w:pStyle w:val="BodyText1"/>
              <w:spacing w:line="240" w:lineRule="auto"/>
              <w:rPr>
                <w:rFonts w:ascii="Times New Roman" w:hAnsi="Times New Roman"/>
              </w:rPr>
            </w:pPr>
            <w:r w:rsidRPr="00AE79AC">
              <w:rPr>
                <w:rFonts w:ascii="Times New Roman" w:hAnsi="Times New Roman"/>
              </w:rPr>
              <w:t>Instytucje nie zgłaszają tu ekspozycji, których dotyczy niewykonanie zobowiązania.</w:t>
            </w:r>
          </w:p>
          <w:p w:rsidR="002509B1" w:rsidRPr="00AE79AC" w:rsidRDefault="002509B1" w:rsidP="007E2A41">
            <w:pPr>
              <w:pStyle w:val="BodyText1"/>
              <w:spacing w:line="240" w:lineRule="auto"/>
              <w:rPr>
                <w:rFonts w:ascii="Times New Roman" w:hAnsi="Times New Roman"/>
                <w:b/>
                <w:bCs/>
                <w:u w:val="single"/>
              </w:rPr>
            </w:pPr>
          </w:p>
        </w:tc>
      </w:tr>
      <w:tr w:rsidR="00F4754B" w:rsidRPr="00AE79AC" w:rsidTr="0053335C">
        <w:trPr>
          <w:trHeight w:val="71"/>
        </w:trPr>
        <w:tc>
          <w:tcPr>
            <w:tcW w:w="1111" w:type="dxa"/>
            <w:shd w:val="clear" w:color="auto" w:fill="FFFFFF"/>
          </w:tcPr>
          <w:p w:rsidR="00F4754B" w:rsidRPr="00AE79AC" w:rsidRDefault="00F4754B" w:rsidP="006423CC">
            <w:pPr>
              <w:pStyle w:val="BodyText1"/>
              <w:rPr>
                <w:rFonts w:ascii="Times New Roman" w:hAnsi="Times New Roman"/>
                <w:bCs/>
              </w:rPr>
            </w:pPr>
            <w:r w:rsidRPr="00AE79AC">
              <w:rPr>
                <w:rFonts w:ascii="Times New Roman" w:hAnsi="Times New Roman"/>
              </w:rPr>
              <w:t>{230;020}</w:t>
            </w:r>
          </w:p>
        </w:tc>
        <w:tc>
          <w:tcPr>
            <w:tcW w:w="8133" w:type="dxa"/>
            <w:shd w:val="clear" w:color="auto" w:fill="FFFFFF"/>
          </w:tcPr>
          <w:p w:rsidR="00F4754B" w:rsidRPr="00AE79AC" w:rsidRDefault="00F4754B" w:rsidP="007E2A41">
            <w:pPr>
              <w:pStyle w:val="BodyText1"/>
              <w:spacing w:line="240" w:lineRule="auto"/>
              <w:rPr>
                <w:rFonts w:ascii="Times New Roman" w:hAnsi="Times New Roman"/>
                <w:b/>
                <w:bCs/>
              </w:rPr>
            </w:pPr>
            <w:r w:rsidRPr="00AE79AC">
              <w:rPr>
                <w:rFonts w:ascii="Times New Roman" w:hAnsi="Times New Roman"/>
                <w:b/>
              </w:rPr>
              <w:t>Ekspozycje wobec przedsiębiorstw, w tym – wartość ekspozycji wskaźnika dźwigni – ekspozycje według metody IRB</w:t>
            </w:r>
          </w:p>
          <w:p w:rsidR="002509B1" w:rsidRPr="00AE79AC" w:rsidRDefault="002509B1" w:rsidP="007E2A41">
            <w:pPr>
              <w:pStyle w:val="BodyText1"/>
              <w:spacing w:line="240" w:lineRule="auto"/>
              <w:rPr>
                <w:rFonts w:ascii="Times New Roman" w:hAnsi="Times New Roman"/>
                <w:b/>
                <w:bCs/>
              </w:rPr>
            </w:pPr>
          </w:p>
          <w:p w:rsidR="00F4754B" w:rsidRPr="00AE79AC" w:rsidRDefault="00F4754B" w:rsidP="007E2A41">
            <w:pPr>
              <w:pStyle w:val="BodyText1"/>
              <w:spacing w:line="240" w:lineRule="auto"/>
              <w:rPr>
                <w:rFonts w:ascii="Times New Roman" w:hAnsi="Times New Roman"/>
                <w:bCs/>
              </w:rPr>
            </w:pPr>
            <w:r w:rsidRPr="00AE79AC">
              <w:rPr>
                <w:rFonts w:ascii="Times New Roman" w:hAnsi="Times New Roman"/>
              </w:rPr>
              <w:t>Jest to suma komórek {240,020} i {250,020}.</w:t>
            </w:r>
          </w:p>
          <w:p w:rsidR="009C4E79" w:rsidRPr="00AE79AC" w:rsidRDefault="009C4E79" w:rsidP="007E2A41">
            <w:pPr>
              <w:pStyle w:val="BodyText1"/>
              <w:spacing w:line="240" w:lineRule="auto"/>
              <w:rPr>
                <w:rFonts w:ascii="Times New Roman" w:hAnsi="Times New Roman"/>
                <w:bCs/>
              </w:rPr>
            </w:pPr>
          </w:p>
          <w:p w:rsidR="009C4E79" w:rsidRPr="00AE79AC" w:rsidRDefault="009C4E79" w:rsidP="007E2A41">
            <w:pPr>
              <w:pStyle w:val="BodyText1"/>
              <w:spacing w:line="240" w:lineRule="auto"/>
              <w:rPr>
                <w:rFonts w:ascii="Times New Roman" w:hAnsi="Times New Roman"/>
                <w:bCs/>
              </w:rPr>
            </w:pPr>
            <w:r w:rsidRPr="00AE79AC">
              <w:rPr>
                <w:rFonts w:ascii="Times New Roman" w:hAnsi="Times New Roman"/>
              </w:rPr>
              <w:t>Instytucje nie zgłaszają tu ekspozycji, których dotyczy niewykonanie zobowiązania.</w:t>
            </w:r>
          </w:p>
          <w:p w:rsidR="002509B1" w:rsidRPr="00AE79AC" w:rsidRDefault="002509B1" w:rsidP="007E2A41">
            <w:pPr>
              <w:pStyle w:val="BodyText1"/>
              <w:spacing w:line="240" w:lineRule="auto"/>
              <w:rPr>
                <w:rFonts w:ascii="Times New Roman" w:hAnsi="Times New Roman"/>
                <w:b/>
                <w:bCs/>
                <w:u w:val="single"/>
              </w:rPr>
            </w:pPr>
          </w:p>
        </w:tc>
      </w:tr>
      <w:tr w:rsidR="00F4754B" w:rsidRPr="00AE79AC" w:rsidTr="0053335C">
        <w:trPr>
          <w:trHeight w:val="71"/>
        </w:trPr>
        <w:tc>
          <w:tcPr>
            <w:tcW w:w="1111" w:type="dxa"/>
            <w:shd w:val="clear" w:color="auto" w:fill="FFFFFF"/>
          </w:tcPr>
          <w:p w:rsidR="00F4754B" w:rsidRPr="00AE79AC" w:rsidRDefault="00F4754B" w:rsidP="006423CC">
            <w:pPr>
              <w:pStyle w:val="BodyText1"/>
              <w:rPr>
                <w:rFonts w:ascii="Times New Roman" w:hAnsi="Times New Roman"/>
              </w:rPr>
            </w:pPr>
            <w:r w:rsidRPr="00AE79AC">
              <w:rPr>
                <w:rFonts w:ascii="Times New Roman" w:hAnsi="Times New Roman"/>
              </w:rPr>
              <w:t>{230;030}</w:t>
            </w:r>
          </w:p>
        </w:tc>
        <w:tc>
          <w:tcPr>
            <w:tcW w:w="8133" w:type="dxa"/>
            <w:shd w:val="clear" w:color="auto" w:fill="FFFFFF"/>
          </w:tcPr>
          <w:p w:rsidR="00F4754B" w:rsidRPr="00AE79AC" w:rsidRDefault="00F4754B" w:rsidP="007E2A41">
            <w:pPr>
              <w:pStyle w:val="BodyText1"/>
              <w:spacing w:line="240" w:lineRule="auto"/>
              <w:rPr>
                <w:rFonts w:ascii="Times New Roman" w:hAnsi="Times New Roman"/>
                <w:b/>
                <w:bCs/>
              </w:rPr>
            </w:pPr>
            <w:r w:rsidRPr="00AE79AC">
              <w:rPr>
                <w:rFonts w:ascii="Times New Roman" w:hAnsi="Times New Roman"/>
                <w:b/>
              </w:rPr>
              <w:t>Ekspozycje wobec przedsiębiorstw, w tym – aktywa ważone ryzykiem – ekspozycje według metody standardowej</w:t>
            </w:r>
          </w:p>
          <w:p w:rsidR="002509B1" w:rsidRPr="00AE79AC" w:rsidRDefault="002509B1" w:rsidP="007E2A41">
            <w:pPr>
              <w:pStyle w:val="BodyText1"/>
              <w:spacing w:line="240" w:lineRule="auto"/>
              <w:rPr>
                <w:rFonts w:ascii="Times New Roman" w:hAnsi="Times New Roman"/>
                <w:b/>
                <w:bCs/>
              </w:rPr>
            </w:pPr>
          </w:p>
          <w:p w:rsidR="00F4754B" w:rsidRPr="00AE79AC" w:rsidRDefault="00F4754B" w:rsidP="007E2A41">
            <w:pPr>
              <w:pStyle w:val="BodyText1"/>
              <w:spacing w:line="240" w:lineRule="auto"/>
              <w:rPr>
                <w:rFonts w:ascii="Times New Roman" w:hAnsi="Times New Roman"/>
                <w:bCs/>
              </w:rPr>
            </w:pPr>
            <w:r w:rsidRPr="00AE79AC">
              <w:rPr>
                <w:rFonts w:ascii="Times New Roman" w:hAnsi="Times New Roman"/>
              </w:rPr>
              <w:t>Jest to suma komórek {240,030} i {250,030}.</w:t>
            </w:r>
          </w:p>
          <w:p w:rsidR="00086A8A" w:rsidRPr="00AE79AC" w:rsidRDefault="00086A8A" w:rsidP="007E2A41">
            <w:pPr>
              <w:pStyle w:val="BodyText1"/>
              <w:spacing w:line="240" w:lineRule="auto"/>
              <w:rPr>
                <w:rFonts w:ascii="Times New Roman" w:hAnsi="Times New Roman"/>
                <w:bCs/>
              </w:rPr>
            </w:pPr>
          </w:p>
          <w:p w:rsidR="00086A8A" w:rsidRPr="00AE79AC" w:rsidRDefault="00086A8A" w:rsidP="007E2A41">
            <w:pPr>
              <w:pStyle w:val="BodyText1"/>
              <w:spacing w:line="240" w:lineRule="auto"/>
              <w:rPr>
                <w:rFonts w:ascii="Times New Roman" w:hAnsi="Times New Roman"/>
                <w:bCs/>
              </w:rPr>
            </w:pPr>
            <w:r w:rsidRPr="00AE79AC">
              <w:rPr>
                <w:rFonts w:ascii="Times New Roman" w:hAnsi="Times New Roman"/>
              </w:rPr>
              <w:t>Instytucje nie zgłaszają tu ekspozycji, których dotyczy niewykonanie zobowiązania.</w:t>
            </w:r>
          </w:p>
          <w:p w:rsidR="002509B1" w:rsidRPr="00AE79AC" w:rsidRDefault="002509B1" w:rsidP="007E2A41">
            <w:pPr>
              <w:pStyle w:val="BodyText1"/>
              <w:spacing w:line="240" w:lineRule="auto"/>
              <w:rPr>
                <w:rFonts w:ascii="Times New Roman" w:hAnsi="Times New Roman"/>
                <w:b/>
                <w:bCs/>
                <w:u w:val="single"/>
              </w:rPr>
            </w:pPr>
          </w:p>
        </w:tc>
      </w:tr>
      <w:tr w:rsidR="00F4754B" w:rsidRPr="00AE79AC" w:rsidTr="0053335C">
        <w:trPr>
          <w:trHeight w:val="71"/>
        </w:trPr>
        <w:tc>
          <w:tcPr>
            <w:tcW w:w="1111" w:type="dxa"/>
            <w:shd w:val="clear" w:color="auto" w:fill="FFFFFF"/>
          </w:tcPr>
          <w:p w:rsidR="00F4754B" w:rsidRPr="00AE79AC" w:rsidRDefault="00F4754B" w:rsidP="006423CC">
            <w:pPr>
              <w:pStyle w:val="BodyText1"/>
              <w:rPr>
                <w:rFonts w:ascii="Times New Roman" w:hAnsi="Times New Roman"/>
              </w:rPr>
            </w:pPr>
            <w:r w:rsidRPr="00AE79AC">
              <w:rPr>
                <w:rFonts w:ascii="Times New Roman" w:hAnsi="Times New Roman"/>
              </w:rPr>
              <w:t>{230;040}</w:t>
            </w:r>
          </w:p>
        </w:tc>
        <w:tc>
          <w:tcPr>
            <w:tcW w:w="8133" w:type="dxa"/>
            <w:shd w:val="clear" w:color="auto" w:fill="FFFFFF"/>
          </w:tcPr>
          <w:p w:rsidR="00F4754B" w:rsidRPr="00AE79AC" w:rsidRDefault="00F4754B" w:rsidP="007E2A41">
            <w:pPr>
              <w:pStyle w:val="BodyText1"/>
              <w:spacing w:line="240" w:lineRule="auto"/>
              <w:rPr>
                <w:rFonts w:ascii="Times New Roman" w:hAnsi="Times New Roman"/>
                <w:b/>
                <w:bCs/>
              </w:rPr>
            </w:pPr>
            <w:r w:rsidRPr="00AE79AC">
              <w:rPr>
                <w:rFonts w:ascii="Times New Roman" w:hAnsi="Times New Roman"/>
                <w:b/>
              </w:rPr>
              <w:t>Ekspozycje wobec przedsiębiorstw, w tym – aktywa ważone ryzykiem – ekspozycje według metody IRB</w:t>
            </w:r>
          </w:p>
          <w:p w:rsidR="002509B1" w:rsidRPr="00AE79AC" w:rsidRDefault="002509B1" w:rsidP="007E2A41">
            <w:pPr>
              <w:pStyle w:val="BodyText1"/>
              <w:spacing w:line="240" w:lineRule="auto"/>
              <w:rPr>
                <w:rFonts w:ascii="Times New Roman" w:hAnsi="Times New Roman"/>
                <w:b/>
                <w:bCs/>
              </w:rPr>
            </w:pPr>
          </w:p>
          <w:p w:rsidR="00F4754B" w:rsidRPr="00AE79AC" w:rsidRDefault="00F4754B" w:rsidP="007E2A41">
            <w:pPr>
              <w:pStyle w:val="BodyText1"/>
              <w:spacing w:line="240" w:lineRule="auto"/>
              <w:rPr>
                <w:rFonts w:ascii="Times New Roman" w:hAnsi="Times New Roman"/>
                <w:bCs/>
              </w:rPr>
            </w:pPr>
            <w:r w:rsidRPr="00AE79AC">
              <w:rPr>
                <w:rFonts w:ascii="Times New Roman" w:hAnsi="Times New Roman"/>
              </w:rPr>
              <w:t>Jest to suma komórek {240,040} i {250,040}.</w:t>
            </w:r>
          </w:p>
          <w:p w:rsidR="009C4E79" w:rsidRPr="00AE79AC" w:rsidRDefault="009C4E79" w:rsidP="007E2A41">
            <w:pPr>
              <w:pStyle w:val="BodyText1"/>
              <w:spacing w:line="240" w:lineRule="auto"/>
              <w:rPr>
                <w:rFonts w:ascii="Times New Roman" w:hAnsi="Times New Roman"/>
                <w:bCs/>
              </w:rPr>
            </w:pPr>
          </w:p>
          <w:p w:rsidR="009C4E79" w:rsidRPr="00AE79AC" w:rsidRDefault="009C4E79" w:rsidP="007E2A41">
            <w:pPr>
              <w:pStyle w:val="BodyText1"/>
              <w:spacing w:line="240" w:lineRule="auto"/>
              <w:rPr>
                <w:rFonts w:ascii="Times New Roman" w:hAnsi="Times New Roman"/>
                <w:bCs/>
              </w:rPr>
            </w:pPr>
            <w:r w:rsidRPr="00AE79AC">
              <w:rPr>
                <w:rFonts w:ascii="Times New Roman" w:hAnsi="Times New Roman"/>
              </w:rPr>
              <w:t>Instytucje nie zgłaszają tu ekspozycji, których dotyczy niewykonanie zobowiązania.</w:t>
            </w:r>
          </w:p>
          <w:p w:rsidR="002509B1" w:rsidRPr="00AE79AC" w:rsidRDefault="002509B1" w:rsidP="007E2A41">
            <w:pPr>
              <w:pStyle w:val="BodyText1"/>
              <w:spacing w:line="240" w:lineRule="auto"/>
              <w:rPr>
                <w:rFonts w:ascii="Times New Roman" w:hAnsi="Times New Roman"/>
                <w:b/>
                <w:bCs/>
                <w:u w:val="single"/>
              </w:rPr>
            </w:pPr>
          </w:p>
        </w:tc>
      </w:tr>
      <w:tr w:rsidR="00F4754B" w:rsidRPr="00AE79AC" w:rsidTr="0053335C">
        <w:trPr>
          <w:trHeight w:val="71"/>
        </w:trPr>
        <w:tc>
          <w:tcPr>
            <w:tcW w:w="1111" w:type="dxa"/>
            <w:shd w:val="clear" w:color="auto" w:fill="FFFFFF"/>
          </w:tcPr>
          <w:p w:rsidR="00F4754B" w:rsidRPr="00AE79AC" w:rsidRDefault="00F4754B" w:rsidP="006423CC">
            <w:pPr>
              <w:pStyle w:val="BodyText1"/>
              <w:rPr>
                <w:rFonts w:ascii="Times New Roman" w:hAnsi="Times New Roman"/>
              </w:rPr>
            </w:pPr>
            <w:r w:rsidRPr="00AE79AC">
              <w:rPr>
                <w:rFonts w:ascii="Times New Roman" w:hAnsi="Times New Roman"/>
              </w:rPr>
              <w:t>{240;010}</w:t>
            </w:r>
          </w:p>
        </w:tc>
        <w:tc>
          <w:tcPr>
            <w:tcW w:w="8133" w:type="dxa"/>
            <w:shd w:val="clear" w:color="auto" w:fill="FFFFFF"/>
          </w:tcPr>
          <w:p w:rsidR="00F4754B" w:rsidRPr="00AE79AC" w:rsidRDefault="00F4754B" w:rsidP="007E2A41">
            <w:pPr>
              <w:pStyle w:val="BodyText1"/>
              <w:spacing w:line="240" w:lineRule="auto"/>
              <w:rPr>
                <w:rFonts w:ascii="Times New Roman" w:hAnsi="Times New Roman"/>
                <w:b/>
                <w:bCs/>
              </w:rPr>
            </w:pPr>
            <w:r w:rsidRPr="00AE79AC">
              <w:rPr>
                <w:rFonts w:ascii="Times New Roman" w:hAnsi="Times New Roman"/>
                <w:b/>
              </w:rPr>
              <w:t>Przedsiębiorstwa finansowe – wartość ekspozycji wskaźnika dźwigni – ekspozycje według metody standardowej</w:t>
            </w:r>
          </w:p>
          <w:p w:rsidR="002509B1" w:rsidRPr="00AE79AC" w:rsidRDefault="002509B1" w:rsidP="007E2A41">
            <w:pPr>
              <w:pStyle w:val="BodyText1"/>
              <w:spacing w:line="240" w:lineRule="auto"/>
              <w:rPr>
                <w:rFonts w:ascii="Times New Roman" w:hAnsi="Times New Roman"/>
                <w:b/>
                <w:bCs/>
              </w:rPr>
            </w:pPr>
          </w:p>
          <w:p w:rsidR="00F4754B" w:rsidRPr="00AE79AC" w:rsidRDefault="00F4754B" w:rsidP="007E2A41">
            <w:pPr>
              <w:pStyle w:val="BodyText1"/>
              <w:spacing w:line="240" w:lineRule="auto"/>
              <w:rPr>
                <w:rFonts w:ascii="Times New Roman" w:hAnsi="Times New Roman"/>
                <w:bCs/>
              </w:rPr>
            </w:pPr>
            <w:r w:rsidRPr="00AE79AC">
              <w:rPr>
                <w:rFonts w:ascii="Times New Roman" w:hAnsi="Times New Roman"/>
              </w:rPr>
              <w:t xml:space="preserve">Wartość ekspozycji wskaźnika dźwigni dla aktywów stanowiących ekspozycje wobec przedsiębiorstw finansowych objęte art. 122 CRR. Na potrzeby sprawozdawczości we wzorze LR4 przedsiębiorstwa finansowe oznaczają regulowane i nieregulowane przedsiębiorstwa inne niż instytucje, o których mowa w {180;10}, których podstawową działalnością jest nabywanie pakietów akcji lub wykonywanie co najmniej jednego spośród rodzajów działalności wymienionych w załączniku I do dyrektywy 2013/36/UE, a także przedsiębiorstwa zdefiniowane w art. 4 ust. 1 pkt 27 CRR, inne niż instytucje, o których mowa w {180;10} </w:t>
            </w:r>
          </w:p>
          <w:p w:rsidR="00086A8A" w:rsidRPr="00AE79AC" w:rsidRDefault="00BB5324" w:rsidP="007E2A41">
            <w:pPr>
              <w:pStyle w:val="BodyText1"/>
              <w:spacing w:line="240" w:lineRule="auto"/>
              <w:rPr>
                <w:rFonts w:ascii="Times New Roman" w:hAnsi="Times New Roman"/>
                <w:bCs/>
              </w:rPr>
            </w:pPr>
            <w:r w:rsidRPr="00AE79AC">
              <w:rPr>
                <w:rFonts w:ascii="Times New Roman" w:hAnsi="Times New Roman"/>
              </w:rPr>
              <w:t>.</w:t>
            </w:r>
          </w:p>
          <w:p w:rsidR="00086A8A" w:rsidRPr="00AE79AC" w:rsidRDefault="00086A8A" w:rsidP="007E2A41">
            <w:pPr>
              <w:pStyle w:val="BodyText1"/>
              <w:spacing w:line="240" w:lineRule="auto"/>
              <w:rPr>
                <w:rFonts w:ascii="Times New Roman" w:hAnsi="Times New Roman"/>
                <w:bCs/>
              </w:rPr>
            </w:pPr>
            <w:r w:rsidRPr="00AE79AC">
              <w:rPr>
                <w:rFonts w:ascii="Times New Roman" w:hAnsi="Times New Roman"/>
              </w:rPr>
              <w:t>Instytucje nie zgłaszają tu ekspozycji, których dotyczy niewykonanie zobowiązania.</w:t>
            </w:r>
          </w:p>
          <w:p w:rsidR="002509B1" w:rsidRPr="00AE79AC" w:rsidRDefault="002509B1" w:rsidP="007E2A41">
            <w:pPr>
              <w:pStyle w:val="BodyText1"/>
              <w:spacing w:line="240" w:lineRule="auto"/>
              <w:rPr>
                <w:rFonts w:ascii="Times New Roman" w:hAnsi="Times New Roman"/>
                <w:b/>
                <w:bCs/>
                <w:u w:val="single"/>
              </w:rPr>
            </w:pPr>
          </w:p>
        </w:tc>
      </w:tr>
      <w:tr w:rsidR="00F4754B" w:rsidRPr="00AE79AC" w:rsidTr="0053335C">
        <w:trPr>
          <w:trHeight w:val="71"/>
        </w:trPr>
        <w:tc>
          <w:tcPr>
            <w:tcW w:w="1111" w:type="dxa"/>
            <w:shd w:val="clear" w:color="auto" w:fill="FFFFFF"/>
          </w:tcPr>
          <w:p w:rsidR="00F4754B" w:rsidRPr="00AE79AC" w:rsidRDefault="00F4754B" w:rsidP="00EA3F88">
            <w:pPr>
              <w:pStyle w:val="BodyText1"/>
              <w:rPr>
                <w:rFonts w:ascii="Times New Roman" w:hAnsi="Times New Roman"/>
              </w:rPr>
            </w:pPr>
            <w:r w:rsidRPr="00AE79AC">
              <w:rPr>
                <w:rFonts w:ascii="Times New Roman" w:hAnsi="Times New Roman"/>
              </w:rPr>
              <w:t>{240;020}</w:t>
            </w:r>
          </w:p>
        </w:tc>
        <w:tc>
          <w:tcPr>
            <w:tcW w:w="8133" w:type="dxa"/>
            <w:shd w:val="clear" w:color="auto" w:fill="FFFFFF"/>
          </w:tcPr>
          <w:p w:rsidR="00F4754B" w:rsidRPr="00AE79AC" w:rsidRDefault="00F4754B" w:rsidP="007E2A41">
            <w:pPr>
              <w:pStyle w:val="BodyText1"/>
              <w:spacing w:line="240" w:lineRule="auto"/>
              <w:rPr>
                <w:rFonts w:ascii="Times New Roman" w:hAnsi="Times New Roman"/>
                <w:b/>
                <w:bCs/>
              </w:rPr>
            </w:pPr>
            <w:r w:rsidRPr="00AE79AC">
              <w:rPr>
                <w:rFonts w:ascii="Times New Roman" w:hAnsi="Times New Roman"/>
                <w:b/>
              </w:rPr>
              <w:t>Przedsiębiorstwa finansowe – wartość ekspozycji wskaźnika dźwigni – ekspozycje według metody IRB</w:t>
            </w:r>
          </w:p>
          <w:p w:rsidR="002509B1" w:rsidRPr="00AE79AC" w:rsidRDefault="002509B1" w:rsidP="007E2A41">
            <w:pPr>
              <w:pStyle w:val="BodyText1"/>
              <w:spacing w:line="240" w:lineRule="auto"/>
              <w:rPr>
                <w:rFonts w:ascii="Times New Roman" w:hAnsi="Times New Roman"/>
                <w:b/>
                <w:bCs/>
              </w:rPr>
            </w:pPr>
          </w:p>
          <w:p w:rsidR="00F4754B" w:rsidRPr="00AE79AC" w:rsidRDefault="00F4754B" w:rsidP="007E2A41">
            <w:pPr>
              <w:pStyle w:val="BodyText1"/>
              <w:spacing w:line="240" w:lineRule="auto"/>
              <w:rPr>
                <w:rFonts w:ascii="Times New Roman" w:hAnsi="Times New Roman"/>
                <w:bCs/>
              </w:rPr>
            </w:pPr>
            <w:r w:rsidRPr="00AE79AC">
              <w:rPr>
                <w:rFonts w:ascii="Times New Roman" w:hAnsi="Times New Roman"/>
              </w:rPr>
              <w:t xml:space="preserve">Wartość ekspozycji wskaźnika dźwigni dla aktywów stanowiących ekspozycje wobec przedsiębiorstw finansowych na mocy art. 147 ust. 2 lit. c) CRR, jeżeli takie ekspozycje </w:t>
            </w:r>
            <w:r w:rsidRPr="00AE79AC">
              <w:rPr>
                <w:rFonts w:ascii="Times New Roman" w:hAnsi="Times New Roman"/>
                <w:b/>
                <w:u w:val="single"/>
              </w:rPr>
              <w:t>nie</w:t>
            </w:r>
            <w:r w:rsidRPr="00AE79AC">
              <w:rPr>
                <w:rFonts w:ascii="Times New Roman" w:hAnsi="Times New Roman"/>
              </w:rPr>
              <w:t xml:space="preserve"> są zabezpieczone hipotekami na nieruchomościach zgodnie z art. 199 ust. 1 lit. a) CRR. Na potrzeby sprawozdawczości we wzorze LR4 przedsiębiorstwa finansowe oznaczają regulowane i</w:t>
            </w:r>
            <w:r w:rsidR="00E17BAD">
              <w:rPr>
                <w:rFonts w:ascii="Times New Roman" w:hAnsi="Times New Roman"/>
              </w:rPr>
              <w:t> </w:t>
            </w:r>
            <w:r w:rsidRPr="00AE79AC">
              <w:rPr>
                <w:rFonts w:ascii="Times New Roman" w:hAnsi="Times New Roman"/>
              </w:rPr>
              <w:t>nieregulowane przedsiębiorstwa inne niż instytucje, o których mowa w {180;10}, których podstawową działalnością jest nabywanie pakietów akcji lub wykonywanie co najmniej jednego spośród rodzajów działalności wymienionych w załączniku I do dyrektywy 2013/36/UE, a także przedsiębiorstwa zdefiniowane w art. 4 ust. 1 pkt 27 CRR, inne niż instytucje, o których mowa w</w:t>
            </w:r>
            <w:r w:rsidR="00E17BAD">
              <w:rPr>
                <w:rFonts w:ascii="Times New Roman" w:hAnsi="Times New Roman"/>
              </w:rPr>
              <w:t> </w:t>
            </w:r>
            <w:r w:rsidRPr="00AE79AC">
              <w:rPr>
                <w:rFonts w:ascii="Times New Roman" w:hAnsi="Times New Roman"/>
              </w:rPr>
              <w:t xml:space="preserve">{180;10} </w:t>
            </w:r>
          </w:p>
          <w:p w:rsidR="002509B1" w:rsidRPr="00AE79AC" w:rsidRDefault="002509B1" w:rsidP="007E2A41">
            <w:pPr>
              <w:pStyle w:val="BodyText1"/>
              <w:spacing w:line="240" w:lineRule="auto"/>
              <w:rPr>
                <w:rFonts w:ascii="Times New Roman" w:hAnsi="Times New Roman"/>
                <w:b/>
                <w:bCs/>
                <w:u w:val="single"/>
              </w:rPr>
            </w:pPr>
          </w:p>
          <w:p w:rsidR="009C4E79" w:rsidRPr="00AE79AC" w:rsidRDefault="009C4E79" w:rsidP="009C4E79">
            <w:pPr>
              <w:pStyle w:val="BodyText1"/>
              <w:spacing w:line="240" w:lineRule="auto"/>
              <w:rPr>
                <w:rFonts w:ascii="Times New Roman" w:hAnsi="Times New Roman"/>
                <w:bCs/>
              </w:rPr>
            </w:pPr>
            <w:r w:rsidRPr="00AE79AC">
              <w:rPr>
                <w:rFonts w:ascii="Times New Roman" w:hAnsi="Times New Roman"/>
              </w:rPr>
              <w:t>Instytucje nie zgłaszają tu ekspozycji, których dotyczy niewykonanie zobowiązania.</w:t>
            </w:r>
          </w:p>
          <w:p w:rsidR="009C4E79" w:rsidRPr="00AE79AC" w:rsidRDefault="009C4E79" w:rsidP="007E2A41">
            <w:pPr>
              <w:pStyle w:val="BodyText1"/>
              <w:spacing w:line="240" w:lineRule="auto"/>
              <w:rPr>
                <w:rFonts w:ascii="Times New Roman" w:hAnsi="Times New Roman"/>
                <w:b/>
                <w:bCs/>
                <w:u w:val="single"/>
              </w:rPr>
            </w:pPr>
          </w:p>
        </w:tc>
      </w:tr>
      <w:tr w:rsidR="00F4754B" w:rsidRPr="00AE79AC" w:rsidTr="0053335C">
        <w:trPr>
          <w:trHeight w:val="71"/>
        </w:trPr>
        <w:tc>
          <w:tcPr>
            <w:tcW w:w="1111" w:type="dxa"/>
            <w:shd w:val="clear" w:color="auto" w:fill="FFFFFF"/>
          </w:tcPr>
          <w:p w:rsidR="00F4754B" w:rsidRPr="00AE79AC" w:rsidRDefault="00F4754B" w:rsidP="006423CC">
            <w:pPr>
              <w:pStyle w:val="BodyText1"/>
              <w:rPr>
                <w:rFonts w:ascii="Times New Roman" w:hAnsi="Times New Roman"/>
              </w:rPr>
            </w:pPr>
            <w:r w:rsidRPr="00AE79AC">
              <w:rPr>
                <w:rFonts w:ascii="Times New Roman" w:hAnsi="Times New Roman"/>
              </w:rPr>
              <w:t>{240;030}</w:t>
            </w:r>
          </w:p>
        </w:tc>
        <w:tc>
          <w:tcPr>
            <w:tcW w:w="8133" w:type="dxa"/>
            <w:shd w:val="clear" w:color="auto" w:fill="FFFFFF"/>
          </w:tcPr>
          <w:p w:rsidR="00F4754B" w:rsidRPr="00AE79AC" w:rsidRDefault="00F4754B" w:rsidP="007E2A41">
            <w:pPr>
              <w:pStyle w:val="BodyText1"/>
              <w:spacing w:line="240" w:lineRule="auto"/>
              <w:rPr>
                <w:rFonts w:ascii="Times New Roman" w:hAnsi="Times New Roman"/>
                <w:b/>
                <w:bCs/>
              </w:rPr>
            </w:pPr>
            <w:r w:rsidRPr="00AE79AC">
              <w:rPr>
                <w:rFonts w:ascii="Times New Roman" w:hAnsi="Times New Roman"/>
                <w:b/>
              </w:rPr>
              <w:t>Przedsiębiorstwa finansowe – aktywa ważone ryzykiem – ekspozycje według metody standardowej</w:t>
            </w:r>
          </w:p>
          <w:p w:rsidR="002509B1" w:rsidRPr="00AE79AC" w:rsidRDefault="002509B1" w:rsidP="007E2A41">
            <w:pPr>
              <w:pStyle w:val="BodyText1"/>
              <w:spacing w:line="240" w:lineRule="auto"/>
              <w:rPr>
                <w:rFonts w:ascii="Times New Roman" w:hAnsi="Times New Roman"/>
                <w:b/>
                <w:bCs/>
              </w:rPr>
            </w:pPr>
          </w:p>
          <w:p w:rsidR="00F4754B" w:rsidRPr="00AE79AC" w:rsidRDefault="00F4754B" w:rsidP="007E2A41">
            <w:pPr>
              <w:pStyle w:val="BodyText1"/>
              <w:spacing w:line="240" w:lineRule="auto"/>
              <w:rPr>
                <w:rFonts w:ascii="Times New Roman" w:hAnsi="Times New Roman"/>
                <w:bCs/>
              </w:rPr>
            </w:pPr>
            <w:r w:rsidRPr="00AE79AC">
              <w:rPr>
                <w:rFonts w:ascii="Times New Roman" w:hAnsi="Times New Roman"/>
              </w:rPr>
              <w:t xml:space="preserve">Kwota ekspozycji ważonej ryzykiem dla aktywów stanowiących ekspozycje wobec przedsiębiorstw finansowych objęte </w:t>
            </w:r>
            <w:r w:rsidRPr="002341B6">
              <w:rPr>
                <w:rFonts w:ascii="Times New Roman" w:hAnsi="Times New Roman"/>
              </w:rPr>
              <w:t>art.</w:t>
            </w:r>
            <w:r w:rsidR="002341B6" w:rsidRPr="002341B6">
              <w:rPr>
                <w:rFonts w:ascii="Times New Roman" w:hAnsi="Times New Roman"/>
              </w:rPr>
              <w:t> </w:t>
            </w:r>
            <w:r w:rsidRPr="002341B6">
              <w:rPr>
                <w:rFonts w:ascii="Times New Roman" w:hAnsi="Times New Roman"/>
              </w:rPr>
              <w:t>1</w:t>
            </w:r>
            <w:r w:rsidRPr="00AE79AC">
              <w:rPr>
                <w:rFonts w:ascii="Times New Roman" w:hAnsi="Times New Roman"/>
              </w:rPr>
              <w:t xml:space="preserve">22 CRR. Na potrzeby sprawozdawczości we wzorze LR4 przedsiębiorstwa finansowe oznaczają regulowane i nieregulowane przedsiębiorstwa inne niż instytucje, o których mowa w {180;10}, których podstawową działalnością jest nabywanie pakietów akcji lub wykonywanie co najmniej jednego spośród rodzajów działalności wymienionych w załączniku I do dyrektywy 2013/36/UE, a także przedsiębiorstwa zdefiniowane w art. 4 ust. 1 pkt 27 CRR, inne niż instytucje, o których mowa w {180;10} </w:t>
            </w:r>
          </w:p>
          <w:p w:rsidR="00086A8A" w:rsidRPr="00AE79AC" w:rsidRDefault="00086A8A" w:rsidP="007E2A41">
            <w:pPr>
              <w:pStyle w:val="BodyText1"/>
              <w:spacing w:line="240" w:lineRule="auto"/>
              <w:rPr>
                <w:rFonts w:ascii="Times New Roman" w:hAnsi="Times New Roman"/>
                <w:bCs/>
              </w:rPr>
            </w:pPr>
          </w:p>
          <w:p w:rsidR="00086A8A" w:rsidRPr="00AE79AC" w:rsidRDefault="00086A8A" w:rsidP="007E2A41">
            <w:pPr>
              <w:pStyle w:val="BodyText1"/>
              <w:spacing w:line="240" w:lineRule="auto"/>
              <w:rPr>
                <w:rFonts w:ascii="Times New Roman" w:hAnsi="Times New Roman"/>
                <w:bCs/>
              </w:rPr>
            </w:pPr>
            <w:r w:rsidRPr="00AE79AC">
              <w:rPr>
                <w:rFonts w:ascii="Times New Roman" w:hAnsi="Times New Roman"/>
              </w:rPr>
              <w:t>Instytucje nie zgłaszają tu ekspozycji, których dotyczy niewykonanie zobowiązania.</w:t>
            </w:r>
          </w:p>
          <w:p w:rsidR="002509B1" w:rsidRPr="00AE79AC" w:rsidRDefault="002509B1" w:rsidP="007E2A41">
            <w:pPr>
              <w:pStyle w:val="BodyText1"/>
              <w:spacing w:line="240" w:lineRule="auto"/>
              <w:rPr>
                <w:rFonts w:ascii="Times New Roman" w:hAnsi="Times New Roman"/>
                <w:b/>
                <w:bCs/>
                <w:u w:val="single"/>
              </w:rPr>
            </w:pPr>
          </w:p>
        </w:tc>
      </w:tr>
      <w:tr w:rsidR="00F4754B" w:rsidRPr="00AE79AC" w:rsidTr="0053335C">
        <w:trPr>
          <w:trHeight w:val="71"/>
        </w:trPr>
        <w:tc>
          <w:tcPr>
            <w:tcW w:w="1111" w:type="dxa"/>
            <w:shd w:val="clear" w:color="auto" w:fill="FFFFFF"/>
          </w:tcPr>
          <w:p w:rsidR="00F4754B" w:rsidRPr="00AE79AC" w:rsidRDefault="00F4754B" w:rsidP="006423CC">
            <w:pPr>
              <w:pStyle w:val="BodyText1"/>
              <w:rPr>
                <w:rFonts w:ascii="Times New Roman" w:hAnsi="Times New Roman"/>
              </w:rPr>
            </w:pPr>
            <w:r w:rsidRPr="00AE79AC">
              <w:rPr>
                <w:rFonts w:ascii="Times New Roman" w:hAnsi="Times New Roman"/>
              </w:rPr>
              <w:t>{240;040}</w:t>
            </w:r>
          </w:p>
        </w:tc>
        <w:tc>
          <w:tcPr>
            <w:tcW w:w="8133" w:type="dxa"/>
            <w:shd w:val="clear" w:color="auto" w:fill="FFFFFF"/>
          </w:tcPr>
          <w:p w:rsidR="00F4754B" w:rsidRPr="00AE79AC" w:rsidRDefault="00F4754B" w:rsidP="007E2A41">
            <w:pPr>
              <w:pStyle w:val="BodyText1"/>
              <w:spacing w:line="240" w:lineRule="auto"/>
              <w:rPr>
                <w:rFonts w:ascii="Times New Roman" w:hAnsi="Times New Roman"/>
                <w:b/>
                <w:bCs/>
              </w:rPr>
            </w:pPr>
            <w:r w:rsidRPr="00AE79AC">
              <w:rPr>
                <w:rFonts w:ascii="Times New Roman" w:hAnsi="Times New Roman"/>
                <w:b/>
              </w:rPr>
              <w:t>Przedsiębiorstwa finansowe – aktywa ważone ryzykiem – ekspozycje według metody IRB</w:t>
            </w:r>
          </w:p>
          <w:p w:rsidR="002509B1" w:rsidRPr="00AE79AC" w:rsidRDefault="002509B1" w:rsidP="007E2A41">
            <w:pPr>
              <w:pStyle w:val="BodyText1"/>
              <w:spacing w:line="240" w:lineRule="auto"/>
              <w:rPr>
                <w:rFonts w:ascii="Times New Roman" w:hAnsi="Times New Roman"/>
                <w:b/>
                <w:bCs/>
              </w:rPr>
            </w:pPr>
          </w:p>
          <w:p w:rsidR="00F4754B" w:rsidRPr="00AE79AC" w:rsidRDefault="00F4754B" w:rsidP="007E2A41">
            <w:pPr>
              <w:pStyle w:val="BodyText1"/>
              <w:spacing w:line="240" w:lineRule="auto"/>
              <w:rPr>
                <w:rFonts w:ascii="Times New Roman" w:hAnsi="Times New Roman"/>
                <w:bCs/>
              </w:rPr>
            </w:pPr>
            <w:r w:rsidRPr="00AE79AC">
              <w:rPr>
                <w:rFonts w:ascii="Times New Roman" w:hAnsi="Times New Roman"/>
              </w:rPr>
              <w:t xml:space="preserve">Kwota ekspozycji ważonej ryzykiem dla aktywów stanowiących ekspozycje wobec przedsiębiorstw finansowych na mocy art. 147 ust. 2 lit. c) CRR, jeżeli takie ekspozycje </w:t>
            </w:r>
            <w:r w:rsidRPr="00AE79AC">
              <w:rPr>
                <w:rFonts w:ascii="Times New Roman" w:hAnsi="Times New Roman"/>
                <w:b/>
                <w:u w:val="single"/>
              </w:rPr>
              <w:t>nie</w:t>
            </w:r>
            <w:r w:rsidRPr="00AE79AC">
              <w:rPr>
                <w:rFonts w:ascii="Times New Roman" w:hAnsi="Times New Roman"/>
              </w:rPr>
              <w:t xml:space="preserve"> są zabezpieczone hipotekami na nieruchomościach zgodnie z art. 199 ust. 1 lit. a) CRR. Na potrzeby sprawozdawczości we wzorze LR4 przedsiębiorstwa finansowe oznaczają regulowane i</w:t>
            </w:r>
            <w:r w:rsidR="00E17BAD">
              <w:rPr>
                <w:rFonts w:ascii="Times New Roman" w:hAnsi="Times New Roman"/>
              </w:rPr>
              <w:t> </w:t>
            </w:r>
            <w:r w:rsidRPr="00AE79AC">
              <w:rPr>
                <w:rFonts w:ascii="Times New Roman" w:hAnsi="Times New Roman"/>
              </w:rPr>
              <w:t>nieregulowane przedsiębiorstwa inne niż instytucje, o których mowa w {180;10}, których podstawową działalnością jest nabywanie pakietów akcji lub wykonywanie co najmniej jednego spośród rodzajów działalności wymienionych w załączniku I do dyrektywy 2013/36/UE, a także przedsiębiorstwa zdefiniowane w art. 4 ust. 1 pkt 27 CRR, inne niż instytucje, o których mowa w</w:t>
            </w:r>
            <w:r w:rsidR="00E17BAD">
              <w:rPr>
                <w:rFonts w:ascii="Times New Roman" w:hAnsi="Times New Roman"/>
              </w:rPr>
              <w:t> </w:t>
            </w:r>
            <w:r w:rsidRPr="00AE79AC">
              <w:rPr>
                <w:rFonts w:ascii="Times New Roman" w:hAnsi="Times New Roman"/>
              </w:rPr>
              <w:t xml:space="preserve">{180;10} </w:t>
            </w:r>
          </w:p>
          <w:p w:rsidR="009C4E79" w:rsidRPr="00AE79AC" w:rsidRDefault="009C4E79" w:rsidP="007E2A41">
            <w:pPr>
              <w:pStyle w:val="BodyText1"/>
              <w:spacing w:line="240" w:lineRule="auto"/>
              <w:rPr>
                <w:rFonts w:ascii="Times New Roman" w:hAnsi="Times New Roman"/>
                <w:bCs/>
              </w:rPr>
            </w:pPr>
          </w:p>
          <w:p w:rsidR="009C4E79" w:rsidRPr="00AE79AC" w:rsidRDefault="009C4E79" w:rsidP="009C4E79">
            <w:pPr>
              <w:pStyle w:val="BodyText1"/>
              <w:spacing w:line="240" w:lineRule="auto"/>
              <w:rPr>
                <w:rFonts w:ascii="Times New Roman" w:hAnsi="Times New Roman"/>
                <w:bCs/>
              </w:rPr>
            </w:pPr>
            <w:r w:rsidRPr="00AE79AC">
              <w:rPr>
                <w:rFonts w:ascii="Times New Roman" w:hAnsi="Times New Roman"/>
              </w:rPr>
              <w:t>Instytucje nie zgłaszają tu ekspozycji, których dotyczy niewykonanie zobowiązania.</w:t>
            </w:r>
          </w:p>
          <w:p w:rsidR="002509B1" w:rsidRPr="00AE79AC" w:rsidRDefault="002509B1" w:rsidP="007E2A41">
            <w:pPr>
              <w:pStyle w:val="BodyText1"/>
              <w:spacing w:line="240" w:lineRule="auto"/>
              <w:rPr>
                <w:rFonts w:ascii="Times New Roman" w:hAnsi="Times New Roman"/>
                <w:b/>
                <w:bCs/>
                <w:u w:val="single"/>
              </w:rPr>
            </w:pPr>
          </w:p>
        </w:tc>
      </w:tr>
      <w:tr w:rsidR="00F4754B" w:rsidRPr="00AE79AC" w:rsidTr="0053335C">
        <w:trPr>
          <w:trHeight w:val="71"/>
        </w:trPr>
        <w:tc>
          <w:tcPr>
            <w:tcW w:w="1111" w:type="dxa"/>
            <w:shd w:val="clear" w:color="auto" w:fill="FFFFFF"/>
          </w:tcPr>
          <w:p w:rsidR="00F4754B" w:rsidRPr="00AE79AC" w:rsidRDefault="00F4754B" w:rsidP="006423CC">
            <w:pPr>
              <w:pStyle w:val="BodyText1"/>
              <w:rPr>
                <w:rFonts w:ascii="Times New Roman" w:hAnsi="Times New Roman"/>
              </w:rPr>
            </w:pPr>
            <w:r w:rsidRPr="00AE79AC">
              <w:rPr>
                <w:rFonts w:ascii="Times New Roman" w:hAnsi="Times New Roman"/>
              </w:rPr>
              <w:t>{250;010}</w:t>
            </w:r>
          </w:p>
        </w:tc>
        <w:tc>
          <w:tcPr>
            <w:tcW w:w="8133" w:type="dxa"/>
            <w:shd w:val="clear" w:color="auto" w:fill="FFFFFF"/>
          </w:tcPr>
          <w:p w:rsidR="00F4754B" w:rsidRPr="00AE79AC" w:rsidRDefault="00CD1DA1" w:rsidP="007E2A41">
            <w:pPr>
              <w:pStyle w:val="BodyText1"/>
              <w:spacing w:line="240" w:lineRule="auto"/>
              <w:rPr>
                <w:rFonts w:ascii="Times New Roman" w:hAnsi="Times New Roman"/>
                <w:b/>
                <w:bCs/>
              </w:rPr>
            </w:pPr>
            <w:r w:rsidRPr="00AE79AC">
              <w:rPr>
                <w:rFonts w:ascii="Times New Roman" w:hAnsi="Times New Roman"/>
                <w:b/>
              </w:rPr>
              <w:t>Przedsiębiorstwa niefinansowe, w tym – wartość ekspozycji wskaźnika dźwigni – ekspozycje według metody standardowej</w:t>
            </w:r>
          </w:p>
          <w:p w:rsidR="002509B1" w:rsidRPr="00AE79AC" w:rsidRDefault="002509B1" w:rsidP="007E2A41">
            <w:pPr>
              <w:pStyle w:val="BodyText1"/>
              <w:spacing w:line="240" w:lineRule="auto"/>
              <w:rPr>
                <w:rFonts w:ascii="Times New Roman" w:hAnsi="Times New Roman"/>
                <w:b/>
                <w:bCs/>
              </w:rPr>
            </w:pPr>
          </w:p>
          <w:p w:rsidR="00F4754B" w:rsidRPr="00AE79AC" w:rsidRDefault="00F4754B" w:rsidP="007E2A41">
            <w:pPr>
              <w:pStyle w:val="BodyText1"/>
              <w:spacing w:line="240" w:lineRule="auto"/>
              <w:rPr>
                <w:rFonts w:ascii="Times New Roman" w:hAnsi="Times New Roman"/>
                <w:bCs/>
              </w:rPr>
            </w:pPr>
            <w:r w:rsidRPr="00AE79AC">
              <w:rPr>
                <w:rFonts w:ascii="Times New Roman" w:hAnsi="Times New Roman"/>
              </w:rPr>
              <w:t xml:space="preserve">Wartość ekspozycji wskaźnika dźwigni dla aktywów stanowiących ekspozycje wobec przedsiębiorstw </w:t>
            </w:r>
            <w:r w:rsidRPr="00AE79AC">
              <w:rPr>
                <w:rFonts w:ascii="Times New Roman" w:hAnsi="Times New Roman"/>
                <w:b/>
              </w:rPr>
              <w:t>nie</w:t>
            </w:r>
            <w:r w:rsidRPr="00AE79AC">
              <w:rPr>
                <w:rFonts w:ascii="Times New Roman" w:hAnsi="Times New Roman"/>
              </w:rPr>
              <w:t xml:space="preserve">finansowych objęte art. 122 CRR. </w:t>
            </w:r>
          </w:p>
          <w:p w:rsidR="00FA71DB" w:rsidRPr="00AE79AC" w:rsidRDefault="00FA71DB" w:rsidP="007E2A41">
            <w:pPr>
              <w:pStyle w:val="BodyText1"/>
              <w:spacing w:line="240" w:lineRule="auto"/>
              <w:rPr>
                <w:rFonts w:ascii="Times New Roman" w:hAnsi="Times New Roman"/>
                <w:bCs/>
              </w:rPr>
            </w:pPr>
          </w:p>
          <w:p w:rsidR="00F4754B" w:rsidRPr="00AE79AC" w:rsidRDefault="00F4754B" w:rsidP="007E2A41">
            <w:pPr>
              <w:pStyle w:val="BodyText1"/>
              <w:spacing w:line="240" w:lineRule="auto"/>
              <w:rPr>
                <w:rFonts w:ascii="Times New Roman" w:hAnsi="Times New Roman"/>
                <w:bCs/>
              </w:rPr>
            </w:pPr>
            <w:r w:rsidRPr="00AE79AC">
              <w:rPr>
                <w:rFonts w:ascii="Times New Roman" w:hAnsi="Times New Roman"/>
              </w:rPr>
              <w:t>Jest to suma komórek {260,010} i {270,010}.</w:t>
            </w:r>
          </w:p>
          <w:p w:rsidR="00086A8A" w:rsidRPr="00AE79AC" w:rsidRDefault="00086A8A" w:rsidP="007E2A41">
            <w:pPr>
              <w:pStyle w:val="BodyText1"/>
              <w:spacing w:line="240" w:lineRule="auto"/>
              <w:rPr>
                <w:rFonts w:ascii="Times New Roman" w:hAnsi="Times New Roman"/>
                <w:bCs/>
              </w:rPr>
            </w:pPr>
          </w:p>
          <w:p w:rsidR="00086A8A" w:rsidRPr="00AE79AC" w:rsidRDefault="00086A8A" w:rsidP="007E2A41">
            <w:pPr>
              <w:pStyle w:val="BodyText1"/>
              <w:spacing w:line="240" w:lineRule="auto"/>
              <w:rPr>
                <w:rFonts w:ascii="Times New Roman" w:hAnsi="Times New Roman"/>
                <w:bCs/>
              </w:rPr>
            </w:pPr>
            <w:r w:rsidRPr="00AE79AC">
              <w:rPr>
                <w:rFonts w:ascii="Times New Roman" w:hAnsi="Times New Roman"/>
              </w:rPr>
              <w:t>Instytucje nie zgłaszają tu ekspozycji, których dotyczy niewykonanie zobowiązania.</w:t>
            </w:r>
          </w:p>
          <w:p w:rsidR="002509B1" w:rsidRPr="00AE79AC" w:rsidRDefault="002509B1" w:rsidP="007E2A41">
            <w:pPr>
              <w:pStyle w:val="BodyText1"/>
              <w:spacing w:line="240" w:lineRule="auto"/>
              <w:rPr>
                <w:rFonts w:ascii="Times New Roman" w:hAnsi="Times New Roman"/>
                <w:b/>
                <w:bCs/>
                <w:u w:val="single"/>
              </w:rPr>
            </w:pPr>
          </w:p>
        </w:tc>
      </w:tr>
      <w:tr w:rsidR="00F4754B" w:rsidRPr="00AE79AC" w:rsidTr="0053335C">
        <w:trPr>
          <w:trHeight w:val="71"/>
        </w:trPr>
        <w:tc>
          <w:tcPr>
            <w:tcW w:w="1111" w:type="dxa"/>
            <w:shd w:val="clear" w:color="auto" w:fill="FFFFFF"/>
          </w:tcPr>
          <w:p w:rsidR="00F4754B" w:rsidRPr="00AE79AC" w:rsidRDefault="00F4754B" w:rsidP="006423CC">
            <w:pPr>
              <w:pStyle w:val="BodyText1"/>
              <w:rPr>
                <w:rFonts w:ascii="Times New Roman" w:hAnsi="Times New Roman"/>
              </w:rPr>
            </w:pPr>
            <w:r w:rsidRPr="00AE79AC">
              <w:rPr>
                <w:rFonts w:ascii="Times New Roman" w:hAnsi="Times New Roman"/>
              </w:rPr>
              <w:t>{250;020}</w:t>
            </w:r>
          </w:p>
        </w:tc>
        <w:tc>
          <w:tcPr>
            <w:tcW w:w="8133" w:type="dxa"/>
            <w:shd w:val="clear" w:color="auto" w:fill="FFFFFF"/>
          </w:tcPr>
          <w:p w:rsidR="00F4754B" w:rsidRPr="00AE79AC" w:rsidRDefault="00CD1DA1" w:rsidP="007E2A41">
            <w:pPr>
              <w:pStyle w:val="BodyText1"/>
              <w:spacing w:line="240" w:lineRule="auto"/>
              <w:rPr>
                <w:rFonts w:ascii="Times New Roman" w:hAnsi="Times New Roman"/>
                <w:b/>
                <w:bCs/>
              </w:rPr>
            </w:pPr>
            <w:r w:rsidRPr="00AE79AC">
              <w:rPr>
                <w:rFonts w:ascii="Times New Roman" w:hAnsi="Times New Roman"/>
                <w:b/>
              </w:rPr>
              <w:t>Przedsiębiorstwa niefinansowe, w tym – wartość ekspozycji wskaźnika dźwigni – ekspozycje według metody IRB</w:t>
            </w:r>
          </w:p>
          <w:p w:rsidR="002509B1" w:rsidRPr="00AE79AC" w:rsidRDefault="002509B1" w:rsidP="007E2A41">
            <w:pPr>
              <w:pStyle w:val="BodyText1"/>
              <w:spacing w:line="240" w:lineRule="auto"/>
              <w:rPr>
                <w:rFonts w:ascii="Times New Roman" w:hAnsi="Times New Roman"/>
                <w:b/>
                <w:bCs/>
              </w:rPr>
            </w:pPr>
          </w:p>
          <w:p w:rsidR="00FA71DB" w:rsidRPr="00AE79AC" w:rsidRDefault="00F4754B" w:rsidP="007E2A41">
            <w:pPr>
              <w:pStyle w:val="BodyText1"/>
              <w:spacing w:line="240" w:lineRule="auto"/>
              <w:rPr>
                <w:rFonts w:ascii="Times New Roman" w:hAnsi="Times New Roman"/>
                <w:bCs/>
              </w:rPr>
            </w:pPr>
            <w:r w:rsidRPr="00AE79AC">
              <w:rPr>
                <w:rFonts w:ascii="Times New Roman" w:hAnsi="Times New Roman"/>
              </w:rPr>
              <w:t xml:space="preserve">Wartość ekspozycji wskaźnika dźwigni dla aktywów stanowiących ekspozycje wobec przedsiębiorstw </w:t>
            </w:r>
            <w:r w:rsidRPr="00AE79AC">
              <w:rPr>
                <w:rFonts w:ascii="Times New Roman" w:hAnsi="Times New Roman"/>
                <w:b/>
              </w:rPr>
              <w:t>nie</w:t>
            </w:r>
            <w:r w:rsidRPr="00AE79AC">
              <w:rPr>
                <w:rFonts w:ascii="Times New Roman" w:hAnsi="Times New Roman"/>
              </w:rPr>
              <w:t xml:space="preserve">finansowych na mocy art. 147 ust. 2 lit. c) CRR, jeżeli takie ekspozycje </w:t>
            </w:r>
            <w:r w:rsidRPr="00AE79AC">
              <w:rPr>
                <w:rFonts w:ascii="Times New Roman" w:hAnsi="Times New Roman"/>
                <w:b/>
                <w:u w:val="single"/>
              </w:rPr>
              <w:t>nie</w:t>
            </w:r>
            <w:r w:rsidRPr="00AE79AC">
              <w:rPr>
                <w:rFonts w:ascii="Times New Roman" w:hAnsi="Times New Roman"/>
              </w:rPr>
              <w:t xml:space="preserve"> są zabezpieczone hipotekami na nieruchomościach zgodnie z art. 199 ust. 1 lit. a) CRR. </w:t>
            </w:r>
          </w:p>
          <w:p w:rsidR="00BE6AC4" w:rsidRPr="00AE79AC" w:rsidRDefault="00BE6AC4" w:rsidP="007E2A41">
            <w:pPr>
              <w:pStyle w:val="BodyText1"/>
              <w:spacing w:line="240" w:lineRule="auto"/>
              <w:rPr>
                <w:rFonts w:ascii="Times New Roman" w:hAnsi="Times New Roman"/>
                <w:bCs/>
              </w:rPr>
            </w:pPr>
          </w:p>
          <w:p w:rsidR="00F4754B" w:rsidRPr="00AE79AC" w:rsidRDefault="00F4754B" w:rsidP="007E2A41">
            <w:pPr>
              <w:pStyle w:val="BodyText1"/>
              <w:spacing w:line="240" w:lineRule="auto"/>
              <w:rPr>
                <w:rFonts w:ascii="Times New Roman" w:hAnsi="Times New Roman"/>
                <w:bCs/>
              </w:rPr>
            </w:pPr>
            <w:r w:rsidRPr="00AE79AC">
              <w:rPr>
                <w:rFonts w:ascii="Times New Roman" w:hAnsi="Times New Roman"/>
              </w:rPr>
              <w:t>Jest to suma komórek {260,020} i {270,020}.</w:t>
            </w:r>
          </w:p>
          <w:p w:rsidR="002509B1" w:rsidRPr="00AE79AC" w:rsidRDefault="002509B1" w:rsidP="007E2A41">
            <w:pPr>
              <w:pStyle w:val="BodyText1"/>
              <w:spacing w:line="240" w:lineRule="auto"/>
              <w:rPr>
                <w:rFonts w:ascii="Times New Roman" w:hAnsi="Times New Roman"/>
                <w:b/>
                <w:bCs/>
                <w:u w:val="single"/>
              </w:rPr>
            </w:pPr>
          </w:p>
          <w:p w:rsidR="009C4E79" w:rsidRPr="00AE79AC" w:rsidRDefault="009C4E79" w:rsidP="009C4E79">
            <w:pPr>
              <w:pStyle w:val="BodyText1"/>
              <w:spacing w:line="240" w:lineRule="auto"/>
              <w:rPr>
                <w:rFonts w:ascii="Times New Roman" w:hAnsi="Times New Roman"/>
                <w:bCs/>
              </w:rPr>
            </w:pPr>
            <w:r w:rsidRPr="00AE79AC">
              <w:rPr>
                <w:rFonts w:ascii="Times New Roman" w:hAnsi="Times New Roman"/>
              </w:rPr>
              <w:t>Instytucje nie zgłaszają tu ekspozycji, których dotyczy niewykonanie zobowiązania.</w:t>
            </w:r>
          </w:p>
          <w:p w:rsidR="009C4E79" w:rsidRPr="00AE79AC" w:rsidRDefault="009C4E79" w:rsidP="007E2A41">
            <w:pPr>
              <w:pStyle w:val="BodyText1"/>
              <w:spacing w:line="240" w:lineRule="auto"/>
              <w:rPr>
                <w:rFonts w:ascii="Times New Roman" w:hAnsi="Times New Roman"/>
                <w:b/>
                <w:bCs/>
                <w:u w:val="single"/>
              </w:rPr>
            </w:pPr>
          </w:p>
        </w:tc>
      </w:tr>
      <w:tr w:rsidR="00F4754B" w:rsidRPr="00AE79AC" w:rsidTr="0053335C">
        <w:trPr>
          <w:trHeight w:val="71"/>
        </w:trPr>
        <w:tc>
          <w:tcPr>
            <w:tcW w:w="1111" w:type="dxa"/>
            <w:shd w:val="clear" w:color="auto" w:fill="FFFFFF"/>
          </w:tcPr>
          <w:p w:rsidR="00F4754B" w:rsidRPr="00AE79AC" w:rsidRDefault="00F4754B" w:rsidP="00A60C43">
            <w:pPr>
              <w:pStyle w:val="BodyText1"/>
              <w:rPr>
                <w:rFonts w:ascii="Times New Roman" w:hAnsi="Times New Roman"/>
              </w:rPr>
            </w:pPr>
            <w:r w:rsidRPr="00AE79AC">
              <w:rPr>
                <w:rFonts w:ascii="Times New Roman" w:hAnsi="Times New Roman"/>
              </w:rPr>
              <w:t>{250;030}</w:t>
            </w:r>
          </w:p>
        </w:tc>
        <w:tc>
          <w:tcPr>
            <w:tcW w:w="8133" w:type="dxa"/>
            <w:shd w:val="clear" w:color="auto" w:fill="FFFFFF"/>
          </w:tcPr>
          <w:p w:rsidR="00F4754B" w:rsidRPr="00AE79AC" w:rsidRDefault="00CD1DA1" w:rsidP="007E2A41">
            <w:pPr>
              <w:pStyle w:val="BodyText1"/>
              <w:spacing w:line="240" w:lineRule="auto"/>
              <w:rPr>
                <w:rFonts w:ascii="Times New Roman" w:hAnsi="Times New Roman"/>
                <w:b/>
                <w:bCs/>
              </w:rPr>
            </w:pPr>
            <w:r w:rsidRPr="00AE79AC">
              <w:rPr>
                <w:rFonts w:ascii="Times New Roman" w:hAnsi="Times New Roman"/>
                <w:b/>
              </w:rPr>
              <w:t>Przedsiębiorstwa niefinansowe, w tym – aktywa ważone ryzykiem – ekspozycje według metody standardowej</w:t>
            </w:r>
          </w:p>
          <w:p w:rsidR="002509B1" w:rsidRPr="00AE79AC" w:rsidRDefault="002509B1" w:rsidP="007E2A41">
            <w:pPr>
              <w:pStyle w:val="BodyText1"/>
              <w:spacing w:line="240" w:lineRule="auto"/>
              <w:rPr>
                <w:rFonts w:ascii="Times New Roman" w:hAnsi="Times New Roman"/>
                <w:b/>
                <w:bCs/>
              </w:rPr>
            </w:pPr>
          </w:p>
          <w:p w:rsidR="00F4754B" w:rsidRPr="00AE79AC" w:rsidRDefault="00F4754B" w:rsidP="007E2A41">
            <w:pPr>
              <w:pStyle w:val="BodyText1"/>
              <w:spacing w:line="240" w:lineRule="auto"/>
              <w:rPr>
                <w:rFonts w:ascii="Times New Roman" w:hAnsi="Times New Roman"/>
                <w:bCs/>
              </w:rPr>
            </w:pPr>
            <w:r w:rsidRPr="00AE79AC">
              <w:rPr>
                <w:rFonts w:ascii="Times New Roman" w:hAnsi="Times New Roman"/>
              </w:rPr>
              <w:t xml:space="preserve">Kwota ekspozycji ważonej ryzykiem dla aktywów stanowiących ekspozycje wobec przedsiębiorstw </w:t>
            </w:r>
            <w:r w:rsidRPr="00AE79AC">
              <w:rPr>
                <w:rFonts w:ascii="Times New Roman" w:hAnsi="Times New Roman"/>
                <w:b/>
              </w:rPr>
              <w:t>nie</w:t>
            </w:r>
            <w:r w:rsidRPr="00AE79AC">
              <w:rPr>
                <w:rFonts w:ascii="Times New Roman" w:hAnsi="Times New Roman"/>
              </w:rPr>
              <w:t xml:space="preserve">finansowych objęte art. 122 CRR. </w:t>
            </w:r>
          </w:p>
          <w:p w:rsidR="00FA71DB" w:rsidRPr="00AE79AC" w:rsidRDefault="00FA71DB" w:rsidP="007E2A41">
            <w:pPr>
              <w:pStyle w:val="BodyText1"/>
              <w:spacing w:line="240" w:lineRule="auto"/>
              <w:rPr>
                <w:rFonts w:ascii="Times New Roman" w:hAnsi="Times New Roman"/>
                <w:bCs/>
              </w:rPr>
            </w:pPr>
          </w:p>
          <w:p w:rsidR="00F4754B" w:rsidRPr="00AE79AC" w:rsidRDefault="00F4754B" w:rsidP="007E2A41">
            <w:pPr>
              <w:pStyle w:val="BodyText1"/>
              <w:spacing w:line="240" w:lineRule="auto"/>
              <w:rPr>
                <w:rFonts w:ascii="Times New Roman" w:hAnsi="Times New Roman"/>
                <w:bCs/>
              </w:rPr>
            </w:pPr>
            <w:r w:rsidRPr="00AE79AC">
              <w:rPr>
                <w:rFonts w:ascii="Times New Roman" w:hAnsi="Times New Roman"/>
              </w:rPr>
              <w:t>Jest to suma komórek {260,030} i {270,030}.</w:t>
            </w:r>
          </w:p>
          <w:p w:rsidR="00086A8A" w:rsidRPr="00AE79AC" w:rsidRDefault="00086A8A" w:rsidP="007E2A41">
            <w:pPr>
              <w:pStyle w:val="BodyText1"/>
              <w:spacing w:line="240" w:lineRule="auto"/>
              <w:rPr>
                <w:rFonts w:ascii="Times New Roman" w:hAnsi="Times New Roman"/>
                <w:bCs/>
              </w:rPr>
            </w:pPr>
          </w:p>
          <w:p w:rsidR="00086A8A" w:rsidRPr="00AE79AC" w:rsidRDefault="00086A8A" w:rsidP="007E2A41">
            <w:pPr>
              <w:pStyle w:val="BodyText1"/>
              <w:spacing w:line="240" w:lineRule="auto"/>
              <w:rPr>
                <w:rFonts w:ascii="Times New Roman" w:hAnsi="Times New Roman"/>
                <w:bCs/>
              </w:rPr>
            </w:pPr>
            <w:r w:rsidRPr="00AE79AC">
              <w:rPr>
                <w:rFonts w:ascii="Times New Roman" w:hAnsi="Times New Roman"/>
              </w:rPr>
              <w:t>Instytucje nie zgłaszają tu ekspozycji, których dotyczy niewykonanie zobowiązania.</w:t>
            </w:r>
          </w:p>
          <w:p w:rsidR="002509B1" w:rsidRPr="00AE79AC" w:rsidDel="00504CFF" w:rsidRDefault="002509B1" w:rsidP="007E2A41">
            <w:pPr>
              <w:pStyle w:val="BodyText1"/>
              <w:spacing w:line="240" w:lineRule="auto"/>
              <w:rPr>
                <w:rFonts w:ascii="Times New Roman" w:hAnsi="Times New Roman"/>
                <w:b/>
                <w:bCs/>
                <w:u w:val="single"/>
              </w:rPr>
            </w:pPr>
          </w:p>
        </w:tc>
      </w:tr>
      <w:tr w:rsidR="00F4754B" w:rsidRPr="00AE79AC" w:rsidTr="0053335C">
        <w:trPr>
          <w:trHeight w:val="71"/>
        </w:trPr>
        <w:tc>
          <w:tcPr>
            <w:tcW w:w="1111" w:type="dxa"/>
            <w:shd w:val="clear" w:color="auto" w:fill="FFFFFF"/>
          </w:tcPr>
          <w:p w:rsidR="00F4754B" w:rsidRPr="00AE79AC" w:rsidRDefault="00F4754B" w:rsidP="00EA3F88">
            <w:pPr>
              <w:pStyle w:val="BodyText1"/>
              <w:rPr>
                <w:rFonts w:ascii="Times New Roman" w:hAnsi="Times New Roman"/>
                <w:bCs/>
              </w:rPr>
            </w:pPr>
            <w:r w:rsidRPr="00AE79AC">
              <w:rPr>
                <w:rFonts w:ascii="Times New Roman" w:hAnsi="Times New Roman"/>
              </w:rPr>
              <w:t>{250;040}</w:t>
            </w:r>
          </w:p>
        </w:tc>
        <w:tc>
          <w:tcPr>
            <w:tcW w:w="8133" w:type="dxa"/>
            <w:shd w:val="clear" w:color="auto" w:fill="FFFFFF"/>
          </w:tcPr>
          <w:p w:rsidR="00F4754B" w:rsidRPr="00AE79AC" w:rsidRDefault="00CD1DA1" w:rsidP="007E2A41">
            <w:pPr>
              <w:pStyle w:val="BodyText1"/>
              <w:spacing w:line="240" w:lineRule="auto"/>
              <w:rPr>
                <w:rFonts w:ascii="Times New Roman" w:hAnsi="Times New Roman"/>
                <w:b/>
                <w:bCs/>
              </w:rPr>
            </w:pPr>
            <w:r w:rsidRPr="00AE79AC">
              <w:rPr>
                <w:rFonts w:ascii="Times New Roman" w:hAnsi="Times New Roman"/>
                <w:b/>
              </w:rPr>
              <w:t>Przedsiębiorstwa niefinansowe, w tym – aktywa ważone ryzykiem – ekspozycje według metody IRB</w:t>
            </w:r>
          </w:p>
          <w:p w:rsidR="002509B1" w:rsidRPr="00AE79AC" w:rsidRDefault="002509B1" w:rsidP="007E2A41">
            <w:pPr>
              <w:pStyle w:val="BodyText1"/>
              <w:spacing w:line="240" w:lineRule="auto"/>
              <w:rPr>
                <w:rFonts w:ascii="Times New Roman" w:hAnsi="Times New Roman"/>
                <w:b/>
                <w:bCs/>
              </w:rPr>
            </w:pPr>
          </w:p>
          <w:p w:rsidR="00F4754B" w:rsidRPr="00AE79AC" w:rsidRDefault="00F4754B" w:rsidP="007E2A41">
            <w:pPr>
              <w:pStyle w:val="BodyText1"/>
              <w:spacing w:line="240" w:lineRule="auto"/>
              <w:rPr>
                <w:rFonts w:ascii="Times New Roman" w:hAnsi="Times New Roman"/>
                <w:bCs/>
              </w:rPr>
            </w:pPr>
            <w:r w:rsidRPr="00AE79AC">
              <w:rPr>
                <w:rFonts w:ascii="Times New Roman" w:hAnsi="Times New Roman"/>
              </w:rPr>
              <w:t xml:space="preserve">Kwota ekspozycji ważonej ryzykiem dla aktywów stanowiących ekspozycje wobec przedsiębiorstw </w:t>
            </w:r>
            <w:r w:rsidRPr="00AE79AC">
              <w:rPr>
                <w:rFonts w:ascii="Times New Roman" w:hAnsi="Times New Roman"/>
                <w:b/>
              </w:rPr>
              <w:t>nie</w:t>
            </w:r>
            <w:r w:rsidRPr="00AE79AC">
              <w:rPr>
                <w:rFonts w:ascii="Times New Roman" w:hAnsi="Times New Roman"/>
              </w:rPr>
              <w:t xml:space="preserve">finansowych na mocy </w:t>
            </w:r>
            <w:r w:rsidRPr="002341B6">
              <w:rPr>
                <w:rFonts w:ascii="Times New Roman" w:hAnsi="Times New Roman"/>
              </w:rPr>
              <w:t>art.</w:t>
            </w:r>
            <w:r w:rsidR="002341B6" w:rsidRPr="002341B6">
              <w:rPr>
                <w:rFonts w:ascii="Times New Roman" w:hAnsi="Times New Roman"/>
              </w:rPr>
              <w:t> </w:t>
            </w:r>
            <w:r w:rsidRPr="002341B6">
              <w:rPr>
                <w:rFonts w:ascii="Times New Roman" w:hAnsi="Times New Roman"/>
              </w:rPr>
              <w:t>1</w:t>
            </w:r>
            <w:r w:rsidRPr="00AE79AC">
              <w:rPr>
                <w:rFonts w:ascii="Times New Roman" w:hAnsi="Times New Roman"/>
              </w:rPr>
              <w:t xml:space="preserve">47 </w:t>
            </w:r>
            <w:r w:rsidRPr="002341B6">
              <w:rPr>
                <w:rFonts w:ascii="Times New Roman" w:hAnsi="Times New Roman"/>
              </w:rPr>
              <w:t>ust.</w:t>
            </w:r>
            <w:r w:rsidR="002341B6" w:rsidRPr="002341B6">
              <w:rPr>
                <w:rFonts w:ascii="Times New Roman" w:hAnsi="Times New Roman"/>
              </w:rPr>
              <w:t> </w:t>
            </w:r>
            <w:r w:rsidRPr="002341B6">
              <w:rPr>
                <w:rFonts w:ascii="Times New Roman" w:hAnsi="Times New Roman"/>
              </w:rPr>
              <w:t>2</w:t>
            </w:r>
            <w:r w:rsidRPr="00AE79AC">
              <w:rPr>
                <w:rFonts w:ascii="Times New Roman" w:hAnsi="Times New Roman"/>
              </w:rPr>
              <w:t xml:space="preserve"> </w:t>
            </w:r>
            <w:r w:rsidRPr="002341B6">
              <w:rPr>
                <w:rFonts w:ascii="Times New Roman" w:hAnsi="Times New Roman"/>
              </w:rPr>
              <w:t>lit.</w:t>
            </w:r>
            <w:r w:rsidR="002341B6" w:rsidRPr="002341B6">
              <w:rPr>
                <w:rFonts w:ascii="Times New Roman" w:hAnsi="Times New Roman"/>
              </w:rPr>
              <w:t> </w:t>
            </w:r>
            <w:r w:rsidRPr="002341B6">
              <w:rPr>
                <w:rFonts w:ascii="Times New Roman" w:hAnsi="Times New Roman"/>
              </w:rPr>
              <w:t>c)</w:t>
            </w:r>
            <w:r w:rsidRPr="00AE79AC">
              <w:rPr>
                <w:rFonts w:ascii="Times New Roman" w:hAnsi="Times New Roman"/>
              </w:rPr>
              <w:t xml:space="preserve"> CRR, jeżeli takie ekspozycje </w:t>
            </w:r>
            <w:r w:rsidRPr="00AE79AC">
              <w:rPr>
                <w:rFonts w:ascii="Times New Roman" w:hAnsi="Times New Roman"/>
                <w:b/>
                <w:u w:val="single"/>
              </w:rPr>
              <w:t>nie</w:t>
            </w:r>
            <w:r w:rsidRPr="00AE79AC">
              <w:rPr>
                <w:rFonts w:ascii="Times New Roman" w:hAnsi="Times New Roman"/>
              </w:rPr>
              <w:t xml:space="preserve"> są zabezpieczone hipotekami na nieruchomościach zgodnie z </w:t>
            </w:r>
            <w:r w:rsidRPr="002341B6">
              <w:rPr>
                <w:rFonts w:ascii="Times New Roman" w:hAnsi="Times New Roman"/>
              </w:rPr>
              <w:t>art.</w:t>
            </w:r>
            <w:r w:rsidR="002341B6" w:rsidRPr="002341B6">
              <w:rPr>
                <w:rFonts w:ascii="Times New Roman" w:hAnsi="Times New Roman"/>
              </w:rPr>
              <w:t> </w:t>
            </w:r>
            <w:r w:rsidRPr="002341B6">
              <w:rPr>
                <w:rFonts w:ascii="Times New Roman" w:hAnsi="Times New Roman"/>
              </w:rPr>
              <w:t>1</w:t>
            </w:r>
            <w:r w:rsidRPr="00AE79AC">
              <w:rPr>
                <w:rFonts w:ascii="Times New Roman" w:hAnsi="Times New Roman"/>
              </w:rPr>
              <w:t xml:space="preserve">99 </w:t>
            </w:r>
            <w:r w:rsidRPr="002341B6">
              <w:rPr>
                <w:rFonts w:ascii="Times New Roman" w:hAnsi="Times New Roman"/>
              </w:rPr>
              <w:t>ust.</w:t>
            </w:r>
            <w:r w:rsidR="002341B6" w:rsidRPr="002341B6">
              <w:rPr>
                <w:rFonts w:ascii="Times New Roman" w:hAnsi="Times New Roman"/>
              </w:rPr>
              <w:t> </w:t>
            </w:r>
            <w:r w:rsidRPr="002341B6">
              <w:rPr>
                <w:rFonts w:ascii="Times New Roman" w:hAnsi="Times New Roman"/>
              </w:rPr>
              <w:t>1</w:t>
            </w:r>
            <w:r w:rsidRPr="00AE79AC">
              <w:rPr>
                <w:rFonts w:ascii="Times New Roman" w:hAnsi="Times New Roman"/>
              </w:rPr>
              <w:t xml:space="preserve"> </w:t>
            </w:r>
            <w:r w:rsidRPr="002341B6">
              <w:rPr>
                <w:rFonts w:ascii="Times New Roman" w:hAnsi="Times New Roman"/>
              </w:rPr>
              <w:t>lit.</w:t>
            </w:r>
            <w:r w:rsidR="002341B6" w:rsidRPr="002341B6">
              <w:rPr>
                <w:rFonts w:ascii="Times New Roman" w:hAnsi="Times New Roman"/>
              </w:rPr>
              <w:t> </w:t>
            </w:r>
            <w:r w:rsidRPr="002341B6">
              <w:rPr>
                <w:rFonts w:ascii="Times New Roman" w:hAnsi="Times New Roman"/>
              </w:rPr>
              <w:t>a)</w:t>
            </w:r>
            <w:r w:rsidRPr="00AE79AC">
              <w:rPr>
                <w:rFonts w:ascii="Times New Roman" w:hAnsi="Times New Roman"/>
              </w:rPr>
              <w:t xml:space="preserve"> CRR. </w:t>
            </w:r>
          </w:p>
          <w:p w:rsidR="00FA71DB" w:rsidRPr="00AE79AC" w:rsidRDefault="00FA71DB" w:rsidP="007E2A41">
            <w:pPr>
              <w:pStyle w:val="BodyText1"/>
              <w:spacing w:line="240" w:lineRule="auto"/>
              <w:rPr>
                <w:rFonts w:ascii="Times New Roman" w:hAnsi="Times New Roman"/>
                <w:bCs/>
              </w:rPr>
            </w:pPr>
          </w:p>
          <w:p w:rsidR="00F4754B" w:rsidRPr="00AE79AC" w:rsidRDefault="00F4754B" w:rsidP="007E2A41">
            <w:pPr>
              <w:pStyle w:val="BodyText1"/>
              <w:spacing w:line="240" w:lineRule="auto"/>
              <w:rPr>
                <w:rFonts w:ascii="Times New Roman" w:hAnsi="Times New Roman"/>
                <w:bCs/>
              </w:rPr>
            </w:pPr>
            <w:r w:rsidRPr="00AE79AC">
              <w:rPr>
                <w:rFonts w:ascii="Times New Roman" w:hAnsi="Times New Roman"/>
              </w:rPr>
              <w:t>Jest to suma komórek {260,040} i {270,040}.</w:t>
            </w:r>
          </w:p>
          <w:p w:rsidR="009C4E79" w:rsidRPr="00AE79AC" w:rsidRDefault="009C4E79" w:rsidP="007E2A41">
            <w:pPr>
              <w:pStyle w:val="BodyText1"/>
              <w:spacing w:line="240" w:lineRule="auto"/>
              <w:rPr>
                <w:rFonts w:ascii="Times New Roman" w:hAnsi="Times New Roman"/>
                <w:bCs/>
              </w:rPr>
            </w:pPr>
          </w:p>
          <w:p w:rsidR="009C4E79" w:rsidRPr="00AE79AC" w:rsidRDefault="009C4E79" w:rsidP="009C4E79">
            <w:pPr>
              <w:pStyle w:val="BodyText1"/>
              <w:spacing w:line="240" w:lineRule="auto"/>
              <w:rPr>
                <w:rFonts w:ascii="Times New Roman" w:hAnsi="Times New Roman"/>
                <w:bCs/>
              </w:rPr>
            </w:pPr>
            <w:r w:rsidRPr="00AE79AC">
              <w:rPr>
                <w:rFonts w:ascii="Times New Roman" w:hAnsi="Times New Roman"/>
              </w:rPr>
              <w:t>Instytucje nie zgłaszają tu ekspozycji, których dotyczy niewykonanie zobowiązania.</w:t>
            </w:r>
          </w:p>
          <w:p w:rsidR="002509B1" w:rsidRPr="00AE79AC" w:rsidDel="00504CFF" w:rsidRDefault="002509B1" w:rsidP="007E2A41">
            <w:pPr>
              <w:pStyle w:val="BodyText1"/>
              <w:spacing w:line="240" w:lineRule="auto"/>
              <w:rPr>
                <w:rFonts w:ascii="Times New Roman" w:hAnsi="Times New Roman"/>
                <w:b/>
                <w:bCs/>
                <w:u w:val="single"/>
              </w:rPr>
            </w:pPr>
          </w:p>
        </w:tc>
      </w:tr>
      <w:tr w:rsidR="00F4754B" w:rsidRPr="00AE79AC" w:rsidTr="0053335C">
        <w:trPr>
          <w:trHeight w:val="71"/>
        </w:trPr>
        <w:tc>
          <w:tcPr>
            <w:tcW w:w="1111" w:type="dxa"/>
            <w:shd w:val="clear" w:color="auto" w:fill="FFFFFF"/>
          </w:tcPr>
          <w:p w:rsidR="00F4754B" w:rsidRPr="00AE79AC" w:rsidRDefault="00F4754B" w:rsidP="006423CC">
            <w:pPr>
              <w:pStyle w:val="BodyText1"/>
              <w:rPr>
                <w:rFonts w:ascii="Times New Roman" w:hAnsi="Times New Roman"/>
              </w:rPr>
            </w:pPr>
            <w:r w:rsidRPr="00AE79AC">
              <w:rPr>
                <w:rFonts w:ascii="Times New Roman" w:hAnsi="Times New Roman"/>
              </w:rPr>
              <w:t>{260;010}</w:t>
            </w:r>
          </w:p>
        </w:tc>
        <w:tc>
          <w:tcPr>
            <w:tcW w:w="8133" w:type="dxa"/>
            <w:shd w:val="clear" w:color="auto" w:fill="FFFFFF"/>
          </w:tcPr>
          <w:p w:rsidR="00F4754B" w:rsidRPr="00AE79AC" w:rsidRDefault="00F4754B" w:rsidP="007E2A41">
            <w:pPr>
              <w:pStyle w:val="BodyText1"/>
              <w:spacing w:line="240" w:lineRule="auto"/>
              <w:rPr>
                <w:rFonts w:ascii="Times New Roman" w:hAnsi="Times New Roman"/>
                <w:b/>
                <w:bCs/>
              </w:rPr>
            </w:pPr>
            <w:r w:rsidRPr="00AE79AC">
              <w:rPr>
                <w:rFonts w:ascii="Times New Roman" w:hAnsi="Times New Roman"/>
                <w:b/>
              </w:rPr>
              <w:t>Ekspozycje wobec MŚP – wartość ekspozycji wskaźnika dźwigni – ekspozycje według metody standardowej</w:t>
            </w:r>
          </w:p>
          <w:p w:rsidR="002509B1" w:rsidRPr="00AE79AC" w:rsidRDefault="002509B1" w:rsidP="007E2A41">
            <w:pPr>
              <w:pStyle w:val="BodyText1"/>
              <w:spacing w:line="240" w:lineRule="auto"/>
              <w:rPr>
                <w:rFonts w:ascii="Times New Roman" w:hAnsi="Times New Roman"/>
                <w:b/>
                <w:bCs/>
              </w:rPr>
            </w:pPr>
          </w:p>
          <w:p w:rsidR="00F4754B" w:rsidRPr="00AE79AC" w:rsidRDefault="00F4754B" w:rsidP="007E2A41">
            <w:pPr>
              <w:pStyle w:val="BodyText1"/>
              <w:spacing w:line="240" w:lineRule="auto"/>
              <w:rPr>
                <w:rFonts w:ascii="Times New Roman" w:hAnsi="Times New Roman"/>
                <w:bCs/>
              </w:rPr>
            </w:pPr>
            <w:r w:rsidRPr="00AE79AC">
              <w:rPr>
                <w:rFonts w:ascii="Times New Roman" w:hAnsi="Times New Roman"/>
              </w:rPr>
              <w:t xml:space="preserve">Wartość ekspozycji wskaźnika dźwigni dla aktywów stanowiących ekspozycje wobec przedsiębiorstw będących małymi i średnimi przedsiębiorstwami objęte art. 122 CRR. </w:t>
            </w:r>
          </w:p>
          <w:p w:rsidR="00FA71DB" w:rsidRPr="00AE79AC" w:rsidRDefault="00FA71DB" w:rsidP="007E2A41">
            <w:pPr>
              <w:pStyle w:val="BodyText1"/>
              <w:spacing w:line="240" w:lineRule="auto"/>
              <w:rPr>
                <w:rFonts w:ascii="Times New Roman" w:hAnsi="Times New Roman"/>
                <w:bCs/>
              </w:rPr>
            </w:pPr>
          </w:p>
          <w:p w:rsidR="004F39F5" w:rsidRPr="00AE79AC" w:rsidRDefault="004F39F5" w:rsidP="007E2A41">
            <w:pPr>
              <w:pStyle w:val="BodyText1"/>
              <w:spacing w:line="240" w:lineRule="auto"/>
              <w:rPr>
                <w:rFonts w:ascii="Times New Roman" w:hAnsi="Times New Roman"/>
                <w:bCs/>
              </w:rPr>
            </w:pPr>
            <w:r w:rsidRPr="00AE79AC">
              <w:rPr>
                <w:rFonts w:ascii="Times New Roman" w:hAnsi="Times New Roman"/>
              </w:rPr>
              <w:t>Do celów tej komórki „małe lub średnie przedsiębiorstwo” definiuje się zgodnie z art. 501 ust. 2 lit. b) CRR.</w:t>
            </w:r>
          </w:p>
          <w:p w:rsidR="00086A8A" w:rsidRPr="00AE79AC" w:rsidRDefault="00086A8A" w:rsidP="007E2A41">
            <w:pPr>
              <w:pStyle w:val="BodyText1"/>
              <w:spacing w:line="240" w:lineRule="auto"/>
              <w:rPr>
                <w:rFonts w:ascii="Times New Roman" w:hAnsi="Times New Roman"/>
                <w:bCs/>
              </w:rPr>
            </w:pPr>
          </w:p>
          <w:p w:rsidR="00086A8A" w:rsidRPr="00AE79AC" w:rsidRDefault="00086A8A" w:rsidP="007E2A41">
            <w:pPr>
              <w:pStyle w:val="BodyText1"/>
              <w:spacing w:line="240" w:lineRule="auto"/>
              <w:rPr>
                <w:rFonts w:ascii="Times New Roman" w:hAnsi="Times New Roman"/>
                <w:bCs/>
              </w:rPr>
            </w:pPr>
            <w:r w:rsidRPr="00AE79AC">
              <w:rPr>
                <w:rFonts w:ascii="Times New Roman" w:hAnsi="Times New Roman"/>
              </w:rPr>
              <w:t>Instytucje nie zgłaszają tu ekspozycji, których dotyczy niewykonanie zobowiązania.</w:t>
            </w:r>
          </w:p>
          <w:p w:rsidR="002509B1" w:rsidRPr="00AE79AC" w:rsidRDefault="002509B1" w:rsidP="007E2A41">
            <w:pPr>
              <w:pStyle w:val="BodyText1"/>
              <w:spacing w:line="240" w:lineRule="auto"/>
              <w:rPr>
                <w:rFonts w:ascii="Times New Roman" w:hAnsi="Times New Roman"/>
                <w:bCs/>
              </w:rPr>
            </w:pPr>
          </w:p>
        </w:tc>
      </w:tr>
      <w:tr w:rsidR="00F4754B" w:rsidRPr="00AE79AC" w:rsidTr="0053335C">
        <w:trPr>
          <w:trHeight w:val="71"/>
        </w:trPr>
        <w:tc>
          <w:tcPr>
            <w:tcW w:w="1111" w:type="dxa"/>
            <w:shd w:val="clear" w:color="auto" w:fill="FFFFFF"/>
          </w:tcPr>
          <w:p w:rsidR="00F4754B" w:rsidRPr="00AE79AC" w:rsidRDefault="00F4754B" w:rsidP="006423CC">
            <w:pPr>
              <w:pStyle w:val="BodyText1"/>
              <w:rPr>
                <w:rFonts w:ascii="Times New Roman" w:hAnsi="Times New Roman"/>
                <w:bCs/>
              </w:rPr>
            </w:pPr>
            <w:r w:rsidRPr="00AE79AC">
              <w:rPr>
                <w:rFonts w:ascii="Times New Roman" w:hAnsi="Times New Roman"/>
              </w:rPr>
              <w:t>{260;020}</w:t>
            </w:r>
          </w:p>
        </w:tc>
        <w:tc>
          <w:tcPr>
            <w:tcW w:w="8133" w:type="dxa"/>
            <w:shd w:val="clear" w:color="auto" w:fill="FFFFFF"/>
          </w:tcPr>
          <w:p w:rsidR="00F4754B" w:rsidRPr="00AE79AC" w:rsidRDefault="00F4754B" w:rsidP="007E2A41">
            <w:pPr>
              <w:pStyle w:val="BodyText1"/>
              <w:spacing w:line="240" w:lineRule="auto"/>
              <w:rPr>
                <w:rFonts w:ascii="Times New Roman" w:hAnsi="Times New Roman"/>
                <w:b/>
                <w:bCs/>
              </w:rPr>
            </w:pPr>
            <w:r w:rsidRPr="00AE79AC">
              <w:rPr>
                <w:rFonts w:ascii="Times New Roman" w:hAnsi="Times New Roman"/>
                <w:b/>
              </w:rPr>
              <w:t>Ekspozycje wobec MŚP – wartość ekspozycji wskaźnika dźwigni – ekspozycje według metody IRB</w:t>
            </w:r>
          </w:p>
          <w:p w:rsidR="002509B1" w:rsidRPr="00AE79AC" w:rsidRDefault="002509B1" w:rsidP="007E2A41">
            <w:pPr>
              <w:pStyle w:val="BodyText1"/>
              <w:spacing w:line="240" w:lineRule="auto"/>
              <w:rPr>
                <w:rFonts w:ascii="Times New Roman" w:hAnsi="Times New Roman"/>
                <w:b/>
                <w:bCs/>
              </w:rPr>
            </w:pPr>
          </w:p>
          <w:p w:rsidR="00F4754B" w:rsidRPr="00AE79AC" w:rsidRDefault="00F4754B" w:rsidP="007E2A41">
            <w:pPr>
              <w:pStyle w:val="BodyText1"/>
              <w:spacing w:line="240" w:lineRule="auto"/>
              <w:rPr>
                <w:rFonts w:ascii="Times New Roman" w:hAnsi="Times New Roman"/>
                <w:bCs/>
              </w:rPr>
            </w:pPr>
            <w:r w:rsidRPr="00AE79AC">
              <w:rPr>
                <w:rFonts w:ascii="Times New Roman" w:hAnsi="Times New Roman"/>
              </w:rPr>
              <w:t xml:space="preserve">Wartość ekspozycji wskaźnika dźwigni dla aktywów stanowiących ekspozycje wobec przedsiębiorstw na mocy art. 147 ust. 2 lit. c) CRR, jeżeli takie ekspozycje stanowią ekspozycje wobec małych i średnich przedsiębiorstw i </w:t>
            </w:r>
            <w:r w:rsidRPr="00AE79AC">
              <w:rPr>
                <w:rFonts w:ascii="Times New Roman" w:hAnsi="Times New Roman"/>
                <w:b/>
                <w:u w:val="single"/>
              </w:rPr>
              <w:t>nie</w:t>
            </w:r>
            <w:r w:rsidRPr="00AE79AC">
              <w:rPr>
                <w:rFonts w:ascii="Times New Roman" w:hAnsi="Times New Roman"/>
              </w:rPr>
              <w:t xml:space="preserve"> są zabezpieczone hipotekami na nieruchomości zgodnie z art. 199 ust. 1 lit. a) CRR.</w:t>
            </w:r>
          </w:p>
          <w:p w:rsidR="00FA71DB" w:rsidRPr="00AE79AC" w:rsidRDefault="00FA71DB" w:rsidP="007E2A41">
            <w:pPr>
              <w:pStyle w:val="BodyText1"/>
              <w:spacing w:line="240" w:lineRule="auto"/>
              <w:rPr>
                <w:rFonts w:ascii="Times New Roman" w:hAnsi="Times New Roman"/>
                <w:bCs/>
              </w:rPr>
            </w:pPr>
          </w:p>
          <w:p w:rsidR="002509B1" w:rsidRPr="00AE79AC" w:rsidRDefault="004F39F5" w:rsidP="007E2A41">
            <w:pPr>
              <w:pStyle w:val="BodyText1"/>
              <w:spacing w:line="240" w:lineRule="auto"/>
              <w:rPr>
                <w:rFonts w:ascii="Times New Roman" w:hAnsi="Times New Roman"/>
                <w:b/>
                <w:bCs/>
                <w:u w:val="single"/>
              </w:rPr>
            </w:pPr>
            <w:r w:rsidRPr="00AE79AC">
              <w:rPr>
                <w:rFonts w:ascii="Times New Roman" w:hAnsi="Times New Roman"/>
              </w:rPr>
              <w:t>Do celów tej komórki „małe lub średnie przedsiębiorstwo” definiuje się zgodnie z art. 501 ust. 2 lit. b) CRR.</w:t>
            </w:r>
          </w:p>
          <w:p w:rsidR="009C4E79" w:rsidRPr="00AE79AC" w:rsidRDefault="009C4E79" w:rsidP="007E2A41">
            <w:pPr>
              <w:pStyle w:val="BodyText1"/>
              <w:spacing w:line="240" w:lineRule="auto"/>
              <w:rPr>
                <w:rFonts w:ascii="Times New Roman" w:hAnsi="Times New Roman"/>
                <w:b/>
                <w:bCs/>
                <w:u w:val="single"/>
              </w:rPr>
            </w:pPr>
          </w:p>
          <w:p w:rsidR="009C4E79" w:rsidRPr="00AE79AC" w:rsidRDefault="009C4E79" w:rsidP="009C4E79">
            <w:pPr>
              <w:pStyle w:val="BodyText1"/>
              <w:spacing w:line="240" w:lineRule="auto"/>
              <w:rPr>
                <w:rFonts w:ascii="Times New Roman" w:hAnsi="Times New Roman"/>
                <w:bCs/>
              </w:rPr>
            </w:pPr>
            <w:r w:rsidRPr="00AE79AC">
              <w:rPr>
                <w:rFonts w:ascii="Times New Roman" w:hAnsi="Times New Roman"/>
              </w:rPr>
              <w:t>Instytucje nie zgłaszają tu ekspozycji, których dotyczy niewykonanie zobowiązania.</w:t>
            </w:r>
          </w:p>
          <w:p w:rsidR="009C4E79" w:rsidRPr="00AE79AC" w:rsidDel="00504CFF" w:rsidRDefault="009C4E79" w:rsidP="007E2A41">
            <w:pPr>
              <w:pStyle w:val="BodyText1"/>
              <w:spacing w:line="240" w:lineRule="auto"/>
              <w:rPr>
                <w:rFonts w:ascii="Times New Roman" w:hAnsi="Times New Roman"/>
                <w:b/>
                <w:bCs/>
                <w:u w:val="single"/>
              </w:rPr>
            </w:pPr>
          </w:p>
        </w:tc>
      </w:tr>
      <w:tr w:rsidR="00F4754B" w:rsidRPr="00AE79AC" w:rsidTr="0053335C">
        <w:trPr>
          <w:trHeight w:val="71"/>
        </w:trPr>
        <w:tc>
          <w:tcPr>
            <w:tcW w:w="1111" w:type="dxa"/>
            <w:shd w:val="clear" w:color="auto" w:fill="FFFFFF"/>
          </w:tcPr>
          <w:p w:rsidR="00F4754B" w:rsidRPr="00AE79AC" w:rsidRDefault="00F4754B" w:rsidP="006423CC">
            <w:pPr>
              <w:pStyle w:val="BodyText1"/>
              <w:rPr>
                <w:rFonts w:ascii="Times New Roman" w:hAnsi="Times New Roman"/>
              </w:rPr>
            </w:pPr>
            <w:r w:rsidRPr="00AE79AC">
              <w:rPr>
                <w:rFonts w:ascii="Times New Roman" w:hAnsi="Times New Roman"/>
              </w:rPr>
              <w:t>{260;030}</w:t>
            </w:r>
          </w:p>
        </w:tc>
        <w:tc>
          <w:tcPr>
            <w:tcW w:w="8133" w:type="dxa"/>
            <w:shd w:val="clear" w:color="auto" w:fill="FFFFFF"/>
          </w:tcPr>
          <w:p w:rsidR="00F4754B" w:rsidRPr="00AE79AC" w:rsidRDefault="00F4754B" w:rsidP="007E2A41">
            <w:pPr>
              <w:pStyle w:val="BodyText1"/>
              <w:spacing w:line="240" w:lineRule="auto"/>
              <w:rPr>
                <w:rFonts w:ascii="Times New Roman" w:hAnsi="Times New Roman"/>
                <w:b/>
                <w:bCs/>
              </w:rPr>
            </w:pPr>
            <w:r w:rsidRPr="00AE79AC">
              <w:rPr>
                <w:rFonts w:ascii="Times New Roman" w:hAnsi="Times New Roman"/>
                <w:b/>
              </w:rPr>
              <w:t>Ekspozycje wobec MŚP – aktywa ważone ryzykiem – ekspozycje według metody standardowej</w:t>
            </w:r>
          </w:p>
          <w:p w:rsidR="002509B1" w:rsidRPr="00AE79AC" w:rsidRDefault="002509B1" w:rsidP="007E2A41">
            <w:pPr>
              <w:pStyle w:val="BodyText1"/>
              <w:spacing w:line="240" w:lineRule="auto"/>
              <w:rPr>
                <w:rFonts w:ascii="Times New Roman" w:hAnsi="Times New Roman"/>
                <w:b/>
                <w:bCs/>
              </w:rPr>
            </w:pPr>
          </w:p>
          <w:p w:rsidR="00F4754B" w:rsidRPr="00AE79AC" w:rsidRDefault="00F4754B" w:rsidP="007E2A41">
            <w:pPr>
              <w:pStyle w:val="BodyText1"/>
              <w:spacing w:line="240" w:lineRule="auto"/>
              <w:rPr>
                <w:rFonts w:ascii="Times New Roman" w:hAnsi="Times New Roman"/>
                <w:bCs/>
              </w:rPr>
            </w:pPr>
            <w:r w:rsidRPr="00AE79AC">
              <w:rPr>
                <w:rFonts w:ascii="Times New Roman" w:hAnsi="Times New Roman"/>
              </w:rPr>
              <w:t xml:space="preserve">Kwota ekspozycji ważonej ryzykiem dla aktywów stanowiących ekspozycje wobec przedsiębiorstw będących małymi i średnimi przedsiębiorstwami objęte art. 122 CRR. </w:t>
            </w:r>
          </w:p>
          <w:p w:rsidR="00FA71DB" w:rsidRPr="00AE79AC" w:rsidRDefault="00FA71DB" w:rsidP="007E2A41">
            <w:pPr>
              <w:pStyle w:val="BodyText1"/>
              <w:spacing w:line="240" w:lineRule="auto"/>
              <w:rPr>
                <w:rFonts w:ascii="Times New Roman" w:hAnsi="Times New Roman"/>
                <w:bCs/>
              </w:rPr>
            </w:pPr>
          </w:p>
          <w:p w:rsidR="004F39F5" w:rsidRPr="00AE79AC" w:rsidRDefault="004F39F5" w:rsidP="007E2A41">
            <w:pPr>
              <w:pStyle w:val="BodyText1"/>
              <w:spacing w:line="240" w:lineRule="auto"/>
              <w:rPr>
                <w:rFonts w:ascii="Times New Roman" w:hAnsi="Times New Roman"/>
                <w:bCs/>
              </w:rPr>
            </w:pPr>
            <w:r w:rsidRPr="00AE79AC">
              <w:rPr>
                <w:rFonts w:ascii="Times New Roman" w:hAnsi="Times New Roman"/>
              </w:rPr>
              <w:t>Do celów tej komórki „małe lub średnie przedsiębiorstwo” definiuje się zgodnie z art. 501 ust. 2 lit. b) CRR.</w:t>
            </w:r>
          </w:p>
          <w:p w:rsidR="00086A8A" w:rsidRPr="00AE79AC" w:rsidRDefault="00086A8A" w:rsidP="007E2A41">
            <w:pPr>
              <w:pStyle w:val="BodyText1"/>
              <w:spacing w:line="240" w:lineRule="auto"/>
              <w:rPr>
                <w:rFonts w:ascii="Times New Roman" w:hAnsi="Times New Roman"/>
                <w:bCs/>
              </w:rPr>
            </w:pPr>
          </w:p>
          <w:p w:rsidR="00086A8A" w:rsidRPr="00AE79AC" w:rsidRDefault="00086A8A" w:rsidP="007E2A41">
            <w:pPr>
              <w:pStyle w:val="BodyText1"/>
              <w:spacing w:line="240" w:lineRule="auto"/>
              <w:rPr>
                <w:rFonts w:ascii="Times New Roman" w:hAnsi="Times New Roman"/>
                <w:bCs/>
              </w:rPr>
            </w:pPr>
            <w:r w:rsidRPr="00AE79AC">
              <w:rPr>
                <w:rFonts w:ascii="Times New Roman" w:hAnsi="Times New Roman"/>
              </w:rPr>
              <w:t>Instytucje nie zgłaszają tu ekspozycji, których dotyczy niewykonanie zobowiązania.</w:t>
            </w:r>
          </w:p>
          <w:p w:rsidR="002509B1" w:rsidRPr="00AE79AC" w:rsidRDefault="002509B1" w:rsidP="007E2A41">
            <w:pPr>
              <w:pStyle w:val="BodyText1"/>
              <w:spacing w:line="240" w:lineRule="auto"/>
              <w:rPr>
                <w:rFonts w:ascii="Times New Roman" w:hAnsi="Times New Roman"/>
                <w:b/>
                <w:bCs/>
                <w:u w:val="single"/>
              </w:rPr>
            </w:pPr>
          </w:p>
        </w:tc>
      </w:tr>
      <w:tr w:rsidR="00F4754B" w:rsidRPr="00AE79AC" w:rsidTr="0053335C">
        <w:trPr>
          <w:trHeight w:val="71"/>
        </w:trPr>
        <w:tc>
          <w:tcPr>
            <w:tcW w:w="1111" w:type="dxa"/>
            <w:shd w:val="clear" w:color="auto" w:fill="FFFFFF"/>
          </w:tcPr>
          <w:p w:rsidR="00F4754B" w:rsidRPr="00AE79AC" w:rsidRDefault="00F4754B" w:rsidP="006423CC">
            <w:pPr>
              <w:pStyle w:val="BodyText1"/>
              <w:rPr>
                <w:rFonts w:ascii="Times New Roman" w:hAnsi="Times New Roman"/>
              </w:rPr>
            </w:pPr>
            <w:r w:rsidRPr="00AE79AC">
              <w:rPr>
                <w:rFonts w:ascii="Times New Roman" w:hAnsi="Times New Roman"/>
              </w:rPr>
              <w:t>{260;040}</w:t>
            </w:r>
          </w:p>
        </w:tc>
        <w:tc>
          <w:tcPr>
            <w:tcW w:w="8133" w:type="dxa"/>
            <w:shd w:val="clear" w:color="auto" w:fill="FFFFFF"/>
          </w:tcPr>
          <w:p w:rsidR="00F4754B" w:rsidRPr="00AE79AC" w:rsidRDefault="00F4754B" w:rsidP="007E2A41">
            <w:pPr>
              <w:pStyle w:val="BodyText1"/>
              <w:spacing w:line="240" w:lineRule="auto"/>
              <w:rPr>
                <w:rFonts w:ascii="Times New Roman" w:hAnsi="Times New Roman"/>
                <w:b/>
                <w:bCs/>
              </w:rPr>
            </w:pPr>
            <w:r w:rsidRPr="00AE79AC">
              <w:rPr>
                <w:rFonts w:ascii="Times New Roman" w:hAnsi="Times New Roman"/>
                <w:b/>
              </w:rPr>
              <w:t>Ekspozycje wobec MŚP – aktywa ważone ryzykiem – ekspozycje według metody IRB</w:t>
            </w:r>
          </w:p>
          <w:p w:rsidR="002509B1" w:rsidRPr="00AE79AC" w:rsidRDefault="002509B1" w:rsidP="007E2A41">
            <w:pPr>
              <w:pStyle w:val="BodyText1"/>
              <w:spacing w:line="240" w:lineRule="auto"/>
              <w:rPr>
                <w:rFonts w:ascii="Times New Roman" w:hAnsi="Times New Roman"/>
                <w:b/>
                <w:bCs/>
              </w:rPr>
            </w:pPr>
          </w:p>
          <w:p w:rsidR="00F4754B" w:rsidRPr="00AE79AC" w:rsidRDefault="00F4754B" w:rsidP="007E2A41">
            <w:pPr>
              <w:pStyle w:val="BodyText1"/>
              <w:spacing w:line="240" w:lineRule="auto"/>
              <w:rPr>
                <w:rFonts w:ascii="Times New Roman" w:hAnsi="Times New Roman"/>
                <w:bCs/>
              </w:rPr>
            </w:pPr>
            <w:r w:rsidRPr="00AE79AC">
              <w:rPr>
                <w:rFonts w:ascii="Times New Roman" w:hAnsi="Times New Roman"/>
              </w:rPr>
              <w:t xml:space="preserve">Kwota ekspozycji ważonej ryzykiem dla aktywów stanowiących ekspozycje wobec przedsiębiorstw na mocy art. 147 ust. 2 lit. c) CRR, jeżeli takie ekspozycje stanowią ekspozycje wobec małych i średnich przedsiębiorstw i </w:t>
            </w:r>
            <w:r w:rsidRPr="00AE79AC">
              <w:rPr>
                <w:rFonts w:ascii="Times New Roman" w:hAnsi="Times New Roman"/>
                <w:b/>
                <w:u w:val="single"/>
              </w:rPr>
              <w:t>nie</w:t>
            </w:r>
            <w:r w:rsidRPr="00AE79AC">
              <w:rPr>
                <w:rFonts w:ascii="Times New Roman" w:hAnsi="Times New Roman"/>
              </w:rPr>
              <w:t xml:space="preserve"> są zabezpieczone hipotekami na nieruchomościach zgodnie z art. 199 ust. 1 lit. a) CRR. </w:t>
            </w:r>
          </w:p>
          <w:p w:rsidR="00FA71DB" w:rsidRPr="00AE79AC" w:rsidRDefault="00FA71DB" w:rsidP="007E2A41">
            <w:pPr>
              <w:pStyle w:val="BodyText1"/>
              <w:spacing w:line="240" w:lineRule="auto"/>
              <w:rPr>
                <w:rFonts w:ascii="Times New Roman" w:hAnsi="Times New Roman"/>
                <w:bCs/>
              </w:rPr>
            </w:pPr>
          </w:p>
          <w:p w:rsidR="004F39F5" w:rsidRPr="00AE79AC" w:rsidRDefault="004F39F5" w:rsidP="007E2A41">
            <w:pPr>
              <w:pStyle w:val="BodyText1"/>
              <w:spacing w:line="240" w:lineRule="auto"/>
              <w:rPr>
                <w:rFonts w:ascii="Times New Roman" w:hAnsi="Times New Roman"/>
                <w:bCs/>
              </w:rPr>
            </w:pPr>
            <w:r w:rsidRPr="00AE79AC">
              <w:rPr>
                <w:rFonts w:ascii="Times New Roman" w:hAnsi="Times New Roman"/>
              </w:rPr>
              <w:t>Do celów tej komórki „małe lub średnie przedsiębiorstwo” definiuje się zgodnie z art. 501 ust. 2 lit. b) CRR.</w:t>
            </w:r>
          </w:p>
          <w:p w:rsidR="009C4E79" w:rsidRPr="00AE79AC" w:rsidRDefault="009C4E79" w:rsidP="007E2A41">
            <w:pPr>
              <w:pStyle w:val="BodyText1"/>
              <w:spacing w:line="240" w:lineRule="auto"/>
              <w:rPr>
                <w:rFonts w:ascii="Times New Roman" w:hAnsi="Times New Roman"/>
                <w:bCs/>
              </w:rPr>
            </w:pPr>
          </w:p>
          <w:p w:rsidR="009C4E79" w:rsidRPr="00AE79AC" w:rsidRDefault="009C4E79" w:rsidP="009C4E79">
            <w:pPr>
              <w:pStyle w:val="BodyText1"/>
              <w:spacing w:line="240" w:lineRule="auto"/>
              <w:rPr>
                <w:rFonts w:ascii="Times New Roman" w:hAnsi="Times New Roman"/>
                <w:bCs/>
              </w:rPr>
            </w:pPr>
            <w:r w:rsidRPr="00AE79AC">
              <w:rPr>
                <w:rFonts w:ascii="Times New Roman" w:hAnsi="Times New Roman"/>
              </w:rPr>
              <w:t>Instytucje nie zgłaszają tu ekspozycji, których dotyczy niewykonanie zobowiązania.</w:t>
            </w:r>
          </w:p>
          <w:p w:rsidR="002509B1" w:rsidRPr="00AE79AC" w:rsidRDefault="002509B1" w:rsidP="007E2A41">
            <w:pPr>
              <w:pStyle w:val="BodyText1"/>
              <w:spacing w:line="240" w:lineRule="auto"/>
              <w:rPr>
                <w:rFonts w:ascii="Times New Roman" w:hAnsi="Times New Roman"/>
                <w:b/>
                <w:bCs/>
                <w:u w:val="single"/>
              </w:rPr>
            </w:pPr>
          </w:p>
        </w:tc>
      </w:tr>
      <w:tr w:rsidR="00F4754B" w:rsidRPr="00AE79AC" w:rsidTr="0053335C">
        <w:trPr>
          <w:trHeight w:val="71"/>
        </w:trPr>
        <w:tc>
          <w:tcPr>
            <w:tcW w:w="1111" w:type="dxa"/>
            <w:shd w:val="clear" w:color="auto" w:fill="FFFFFF"/>
          </w:tcPr>
          <w:p w:rsidR="00F4754B" w:rsidRPr="00AE79AC" w:rsidRDefault="00F4754B" w:rsidP="006423CC">
            <w:pPr>
              <w:pStyle w:val="BodyText1"/>
              <w:rPr>
                <w:rFonts w:ascii="Times New Roman" w:hAnsi="Times New Roman"/>
              </w:rPr>
            </w:pPr>
            <w:r w:rsidRPr="00AE79AC">
              <w:rPr>
                <w:rFonts w:ascii="Times New Roman" w:hAnsi="Times New Roman"/>
              </w:rPr>
              <w:t>{270;010}</w:t>
            </w:r>
          </w:p>
        </w:tc>
        <w:tc>
          <w:tcPr>
            <w:tcW w:w="8133" w:type="dxa"/>
            <w:shd w:val="clear" w:color="auto" w:fill="FFFFFF"/>
          </w:tcPr>
          <w:p w:rsidR="00F4754B" w:rsidRPr="00AE79AC" w:rsidRDefault="00BE6AC4" w:rsidP="007E2A41">
            <w:pPr>
              <w:pStyle w:val="BodyText1"/>
              <w:spacing w:line="240" w:lineRule="auto"/>
              <w:rPr>
                <w:rFonts w:ascii="Times New Roman" w:hAnsi="Times New Roman"/>
                <w:b/>
              </w:rPr>
            </w:pPr>
            <w:r w:rsidRPr="00AE79AC">
              <w:rPr>
                <w:rFonts w:ascii="Times New Roman" w:hAnsi="Times New Roman"/>
                <w:b/>
              </w:rPr>
              <w:t>Ekspozycje inne niż ekspozycje wobec MŚP – wartość ekspozycji wskaźnika dźwigni – ekspozycje według metody standardowej</w:t>
            </w:r>
          </w:p>
          <w:p w:rsidR="002509B1" w:rsidRPr="00AE79AC" w:rsidRDefault="002509B1" w:rsidP="007E2A41">
            <w:pPr>
              <w:pStyle w:val="BodyText1"/>
              <w:spacing w:line="240" w:lineRule="auto"/>
              <w:rPr>
                <w:rFonts w:ascii="Times New Roman" w:hAnsi="Times New Roman"/>
                <w:b/>
              </w:rPr>
            </w:pPr>
          </w:p>
          <w:p w:rsidR="00F4754B" w:rsidRPr="00AE79AC" w:rsidRDefault="00F4754B" w:rsidP="007E2A41">
            <w:pPr>
              <w:pStyle w:val="BodyText1"/>
              <w:spacing w:line="240" w:lineRule="auto"/>
              <w:rPr>
                <w:rFonts w:ascii="Times New Roman" w:hAnsi="Times New Roman"/>
                <w:bCs/>
              </w:rPr>
            </w:pPr>
            <w:r w:rsidRPr="00AE79AC">
              <w:rPr>
                <w:rFonts w:ascii="Times New Roman" w:hAnsi="Times New Roman"/>
              </w:rPr>
              <w:t xml:space="preserve">Wartość ekspozycji wskaźnika dźwigni dla aktywów stanowiących ekspozycje wobec przedsiębiorstw objęte art. 122 CRR i niezgłaszane w komórkach {230;040} i {250;040}. </w:t>
            </w:r>
          </w:p>
          <w:p w:rsidR="00086A8A" w:rsidRPr="00AE79AC" w:rsidRDefault="00086A8A" w:rsidP="007E2A41">
            <w:pPr>
              <w:pStyle w:val="BodyText1"/>
              <w:spacing w:line="240" w:lineRule="auto"/>
              <w:rPr>
                <w:rFonts w:ascii="Times New Roman" w:hAnsi="Times New Roman"/>
                <w:bCs/>
              </w:rPr>
            </w:pPr>
          </w:p>
          <w:p w:rsidR="00086A8A" w:rsidRPr="00AE79AC" w:rsidRDefault="00086A8A" w:rsidP="007E2A41">
            <w:pPr>
              <w:pStyle w:val="BodyText1"/>
              <w:spacing w:line="240" w:lineRule="auto"/>
              <w:rPr>
                <w:rFonts w:ascii="Times New Roman" w:hAnsi="Times New Roman"/>
                <w:bCs/>
              </w:rPr>
            </w:pPr>
            <w:r w:rsidRPr="00AE79AC">
              <w:rPr>
                <w:rFonts w:ascii="Times New Roman" w:hAnsi="Times New Roman"/>
              </w:rPr>
              <w:t>Instytucje nie zgłaszają tu ekspozycji, których dotyczy niewykonanie zobowiązania.</w:t>
            </w:r>
          </w:p>
          <w:p w:rsidR="002509B1" w:rsidRPr="00AE79AC" w:rsidRDefault="002509B1" w:rsidP="007E2A41">
            <w:pPr>
              <w:pStyle w:val="BodyText1"/>
              <w:spacing w:line="240" w:lineRule="auto"/>
              <w:rPr>
                <w:rFonts w:ascii="Times New Roman" w:hAnsi="Times New Roman"/>
                <w:b/>
                <w:bCs/>
                <w:u w:val="single"/>
              </w:rPr>
            </w:pPr>
          </w:p>
        </w:tc>
      </w:tr>
      <w:tr w:rsidR="00F4754B" w:rsidRPr="00AE79AC" w:rsidTr="0053335C">
        <w:trPr>
          <w:trHeight w:val="71"/>
        </w:trPr>
        <w:tc>
          <w:tcPr>
            <w:tcW w:w="1111" w:type="dxa"/>
            <w:shd w:val="clear" w:color="auto" w:fill="FFFFFF"/>
          </w:tcPr>
          <w:p w:rsidR="00F4754B" w:rsidRPr="00AE79AC" w:rsidRDefault="00F4754B" w:rsidP="006423CC">
            <w:pPr>
              <w:pStyle w:val="BodyText1"/>
              <w:rPr>
                <w:rFonts w:ascii="Times New Roman" w:hAnsi="Times New Roman"/>
              </w:rPr>
            </w:pPr>
            <w:r w:rsidRPr="00AE79AC">
              <w:rPr>
                <w:rFonts w:ascii="Times New Roman" w:hAnsi="Times New Roman"/>
              </w:rPr>
              <w:t>{270;020}</w:t>
            </w:r>
          </w:p>
        </w:tc>
        <w:tc>
          <w:tcPr>
            <w:tcW w:w="8133" w:type="dxa"/>
            <w:shd w:val="clear" w:color="auto" w:fill="FFFFFF"/>
          </w:tcPr>
          <w:p w:rsidR="00F4754B" w:rsidRPr="00AE79AC" w:rsidRDefault="00BE6AC4" w:rsidP="007E2A41">
            <w:pPr>
              <w:pStyle w:val="BodyText1"/>
              <w:spacing w:line="240" w:lineRule="auto"/>
              <w:rPr>
                <w:rFonts w:ascii="Times New Roman" w:hAnsi="Times New Roman"/>
                <w:b/>
                <w:bCs/>
              </w:rPr>
            </w:pPr>
            <w:r w:rsidRPr="00AE79AC">
              <w:rPr>
                <w:rFonts w:ascii="Times New Roman" w:hAnsi="Times New Roman"/>
                <w:b/>
              </w:rPr>
              <w:t>Ekspozycje inne niż ekspozycje wobec MŚP – wartość ekspozycji wskaźnika dźwigni – ekspozycje według metody IRB</w:t>
            </w:r>
          </w:p>
          <w:p w:rsidR="002509B1" w:rsidRPr="00AE79AC" w:rsidRDefault="002509B1" w:rsidP="007E2A41">
            <w:pPr>
              <w:pStyle w:val="BodyText1"/>
              <w:spacing w:line="240" w:lineRule="auto"/>
              <w:rPr>
                <w:rFonts w:ascii="Times New Roman" w:hAnsi="Times New Roman"/>
                <w:b/>
                <w:bCs/>
              </w:rPr>
            </w:pPr>
          </w:p>
          <w:p w:rsidR="002509B1" w:rsidRPr="00AE79AC" w:rsidRDefault="00F4754B" w:rsidP="007E2A41">
            <w:pPr>
              <w:pStyle w:val="BodyText1"/>
              <w:spacing w:line="240" w:lineRule="auto"/>
              <w:rPr>
                <w:rFonts w:ascii="Times New Roman" w:hAnsi="Times New Roman"/>
                <w:b/>
                <w:bCs/>
                <w:u w:val="single"/>
              </w:rPr>
            </w:pPr>
            <w:r w:rsidRPr="00AE79AC">
              <w:rPr>
                <w:rFonts w:ascii="Times New Roman" w:hAnsi="Times New Roman"/>
              </w:rPr>
              <w:t xml:space="preserve">Wartość ekspozycji wskaźnika dźwigni dla aktywów stanowiących ekspozycje wobec przedsiębiorstw na mocy art. 147 ust. 2 lit. c) CRR, jeżeli takie ekspozycje </w:t>
            </w:r>
            <w:r w:rsidRPr="00AE79AC">
              <w:rPr>
                <w:rFonts w:ascii="Times New Roman" w:hAnsi="Times New Roman"/>
                <w:b/>
                <w:u w:val="single"/>
              </w:rPr>
              <w:t>nie</w:t>
            </w:r>
            <w:r w:rsidRPr="00AE79AC">
              <w:rPr>
                <w:rFonts w:ascii="Times New Roman" w:hAnsi="Times New Roman"/>
              </w:rPr>
              <w:t xml:space="preserve"> są zabezpieczone hipotekami na nieruchomości zgodnie z art. 199 ust. 1 lit. a) CRR i nie są zgłaszane w komórkach {230;040} i {250;040}. </w:t>
            </w:r>
          </w:p>
          <w:p w:rsidR="009C4E79" w:rsidRPr="00AE79AC" w:rsidRDefault="009C4E79" w:rsidP="007E2A41">
            <w:pPr>
              <w:pStyle w:val="BodyText1"/>
              <w:spacing w:line="240" w:lineRule="auto"/>
              <w:rPr>
                <w:rFonts w:ascii="Times New Roman" w:hAnsi="Times New Roman"/>
                <w:b/>
                <w:bCs/>
                <w:u w:val="single"/>
              </w:rPr>
            </w:pPr>
          </w:p>
          <w:p w:rsidR="009C4E79" w:rsidRPr="00AE79AC" w:rsidRDefault="009C4E79" w:rsidP="009C4E79">
            <w:pPr>
              <w:pStyle w:val="BodyText1"/>
              <w:spacing w:line="240" w:lineRule="auto"/>
              <w:rPr>
                <w:rFonts w:ascii="Times New Roman" w:hAnsi="Times New Roman"/>
                <w:bCs/>
              </w:rPr>
            </w:pPr>
            <w:r w:rsidRPr="00AE79AC">
              <w:rPr>
                <w:rFonts w:ascii="Times New Roman" w:hAnsi="Times New Roman"/>
              </w:rPr>
              <w:t>Instytucje nie zgłaszają tu ekspozycji, których dotyczy niewykonanie zobowiązania.</w:t>
            </w:r>
          </w:p>
          <w:p w:rsidR="009C4E79" w:rsidRPr="00AE79AC" w:rsidRDefault="009C4E79" w:rsidP="007E2A41">
            <w:pPr>
              <w:pStyle w:val="BodyText1"/>
              <w:spacing w:line="240" w:lineRule="auto"/>
              <w:rPr>
                <w:rFonts w:ascii="Times New Roman" w:hAnsi="Times New Roman"/>
                <w:b/>
                <w:bCs/>
                <w:u w:val="single"/>
              </w:rPr>
            </w:pPr>
          </w:p>
        </w:tc>
      </w:tr>
      <w:tr w:rsidR="00F4754B" w:rsidRPr="00AE79AC" w:rsidTr="0053335C">
        <w:trPr>
          <w:trHeight w:val="71"/>
        </w:trPr>
        <w:tc>
          <w:tcPr>
            <w:tcW w:w="1111" w:type="dxa"/>
            <w:shd w:val="clear" w:color="auto" w:fill="FFFFFF"/>
          </w:tcPr>
          <w:p w:rsidR="00F4754B" w:rsidRPr="00AE79AC" w:rsidRDefault="00F4754B" w:rsidP="006423CC">
            <w:pPr>
              <w:pStyle w:val="BodyText1"/>
              <w:rPr>
                <w:rFonts w:ascii="Times New Roman" w:hAnsi="Times New Roman"/>
              </w:rPr>
            </w:pPr>
            <w:r w:rsidRPr="00AE79AC">
              <w:rPr>
                <w:rFonts w:ascii="Times New Roman" w:hAnsi="Times New Roman"/>
              </w:rPr>
              <w:t>{270;030}</w:t>
            </w:r>
          </w:p>
        </w:tc>
        <w:tc>
          <w:tcPr>
            <w:tcW w:w="8133" w:type="dxa"/>
            <w:shd w:val="clear" w:color="auto" w:fill="FFFFFF"/>
          </w:tcPr>
          <w:p w:rsidR="00F4754B" w:rsidRPr="00AE79AC" w:rsidRDefault="00BE6AC4" w:rsidP="007E2A41">
            <w:pPr>
              <w:pStyle w:val="BodyText1"/>
              <w:spacing w:line="240" w:lineRule="auto"/>
              <w:rPr>
                <w:rFonts w:ascii="Times New Roman" w:hAnsi="Times New Roman"/>
                <w:b/>
                <w:bCs/>
              </w:rPr>
            </w:pPr>
            <w:r w:rsidRPr="00AE79AC">
              <w:rPr>
                <w:rFonts w:ascii="Times New Roman" w:hAnsi="Times New Roman"/>
                <w:b/>
              </w:rPr>
              <w:t>Ekspozycje inne niż ekspozycje wobec MŚP – aktywa ważone ryzykiem – ekspozycje według metody standardowej</w:t>
            </w:r>
          </w:p>
          <w:p w:rsidR="002509B1" w:rsidRPr="00AE79AC" w:rsidRDefault="002509B1" w:rsidP="007E2A41">
            <w:pPr>
              <w:pStyle w:val="BodyText1"/>
              <w:spacing w:line="240" w:lineRule="auto"/>
              <w:rPr>
                <w:rFonts w:ascii="Times New Roman" w:hAnsi="Times New Roman"/>
                <w:b/>
                <w:bCs/>
              </w:rPr>
            </w:pPr>
          </w:p>
          <w:p w:rsidR="00F4754B" w:rsidRPr="00AE79AC" w:rsidRDefault="00F4754B" w:rsidP="007E2A41">
            <w:pPr>
              <w:pStyle w:val="BodyText1"/>
              <w:spacing w:line="240" w:lineRule="auto"/>
              <w:rPr>
                <w:rFonts w:ascii="Times New Roman" w:hAnsi="Times New Roman"/>
                <w:bCs/>
              </w:rPr>
            </w:pPr>
            <w:r w:rsidRPr="00AE79AC">
              <w:rPr>
                <w:rFonts w:ascii="Times New Roman" w:hAnsi="Times New Roman"/>
              </w:rPr>
              <w:t xml:space="preserve">Kwota ekspozycji ważonej ryzykiem dla aktywów stanowiących ekspozycje wobec przedsiębiorstw objęte </w:t>
            </w:r>
            <w:r w:rsidRPr="002341B6">
              <w:rPr>
                <w:rFonts w:ascii="Times New Roman" w:hAnsi="Times New Roman"/>
              </w:rPr>
              <w:t>art.</w:t>
            </w:r>
            <w:r w:rsidR="002341B6" w:rsidRPr="002341B6">
              <w:rPr>
                <w:rFonts w:ascii="Times New Roman" w:hAnsi="Times New Roman"/>
              </w:rPr>
              <w:t> </w:t>
            </w:r>
            <w:r w:rsidRPr="002341B6">
              <w:rPr>
                <w:rFonts w:ascii="Times New Roman" w:hAnsi="Times New Roman"/>
              </w:rPr>
              <w:t>1</w:t>
            </w:r>
            <w:r w:rsidRPr="00AE79AC">
              <w:rPr>
                <w:rFonts w:ascii="Times New Roman" w:hAnsi="Times New Roman"/>
              </w:rPr>
              <w:t xml:space="preserve">22 CRR i niezgłaszane w komórkach {230;040} i {250;040}. </w:t>
            </w:r>
          </w:p>
          <w:p w:rsidR="00086A8A" w:rsidRPr="00AE79AC" w:rsidRDefault="00086A8A" w:rsidP="007E2A41">
            <w:pPr>
              <w:pStyle w:val="BodyText1"/>
              <w:spacing w:line="240" w:lineRule="auto"/>
              <w:rPr>
                <w:rFonts w:ascii="Times New Roman" w:hAnsi="Times New Roman"/>
                <w:bCs/>
              </w:rPr>
            </w:pPr>
          </w:p>
          <w:p w:rsidR="00086A8A" w:rsidRPr="00AE79AC" w:rsidRDefault="00086A8A" w:rsidP="007E2A41">
            <w:pPr>
              <w:pStyle w:val="BodyText1"/>
              <w:spacing w:line="240" w:lineRule="auto"/>
              <w:rPr>
                <w:rFonts w:ascii="Times New Roman" w:hAnsi="Times New Roman"/>
                <w:bCs/>
              </w:rPr>
            </w:pPr>
            <w:r w:rsidRPr="00AE79AC">
              <w:rPr>
                <w:rFonts w:ascii="Times New Roman" w:hAnsi="Times New Roman"/>
              </w:rPr>
              <w:t>Instytucje nie zgłaszają tu ekspozycji, których dotyczy niewykonanie zobowiązania.</w:t>
            </w:r>
          </w:p>
          <w:p w:rsidR="002509B1" w:rsidRPr="00AE79AC" w:rsidRDefault="002509B1" w:rsidP="007E2A41">
            <w:pPr>
              <w:pStyle w:val="BodyText1"/>
              <w:spacing w:line="240" w:lineRule="auto"/>
              <w:rPr>
                <w:rFonts w:ascii="Times New Roman" w:hAnsi="Times New Roman"/>
                <w:b/>
                <w:bCs/>
                <w:u w:val="single"/>
              </w:rPr>
            </w:pPr>
          </w:p>
        </w:tc>
      </w:tr>
      <w:tr w:rsidR="00F4754B" w:rsidRPr="00AE79AC" w:rsidTr="0053335C">
        <w:trPr>
          <w:trHeight w:val="71"/>
        </w:trPr>
        <w:tc>
          <w:tcPr>
            <w:tcW w:w="1111" w:type="dxa"/>
            <w:shd w:val="clear" w:color="auto" w:fill="FFFFFF"/>
          </w:tcPr>
          <w:p w:rsidR="00F4754B" w:rsidRPr="00AE79AC" w:rsidRDefault="00F4754B" w:rsidP="00A60C43">
            <w:pPr>
              <w:pStyle w:val="BodyText1"/>
              <w:rPr>
                <w:rFonts w:ascii="Times New Roman" w:hAnsi="Times New Roman"/>
              </w:rPr>
            </w:pPr>
            <w:r w:rsidRPr="00AE79AC">
              <w:rPr>
                <w:rFonts w:ascii="Times New Roman" w:hAnsi="Times New Roman"/>
              </w:rPr>
              <w:t>{270;040}</w:t>
            </w:r>
          </w:p>
        </w:tc>
        <w:tc>
          <w:tcPr>
            <w:tcW w:w="8133" w:type="dxa"/>
            <w:shd w:val="clear" w:color="auto" w:fill="FFFFFF"/>
          </w:tcPr>
          <w:p w:rsidR="00F4754B" w:rsidRPr="00AE79AC" w:rsidRDefault="00BE6AC4" w:rsidP="007E2A41">
            <w:pPr>
              <w:pStyle w:val="BodyText1"/>
              <w:spacing w:line="240" w:lineRule="auto"/>
              <w:rPr>
                <w:rFonts w:ascii="Times New Roman" w:hAnsi="Times New Roman"/>
                <w:b/>
                <w:bCs/>
              </w:rPr>
            </w:pPr>
            <w:r w:rsidRPr="00AE79AC">
              <w:rPr>
                <w:rFonts w:ascii="Times New Roman" w:hAnsi="Times New Roman"/>
                <w:b/>
              </w:rPr>
              <w:t>Ekspozycje inne niż ekspozycje wobec MŚP – aktywa ważone ryzykiem – ekspozycje według metody IRB</w:t>
            </w:r>
          </w:p>
          <w:p w:rsidR="002509B1" w:rsidRPr="00AE79AC" w:rsidRDefault="002509B1" w:rsidP="007E2A41">
            <w:pPr>
              <w:pStyle w:val="BodyText1"/>
              <w:spacing w:line="240" w:lineRule="auto"/>
              <w:rPr>
                <w:rFonts w:ascii="Times New Roman" w:hAnsi="Times New Roman"/>
                <w:b/>
                <w:bCs/>
              </w:rPr>
            </w:pPr>
          </w:p>
          <w:p w:rsidR="00F4754B" w:rsidRPr="00AE79AC" w:rsidRDefault="00F4754B" w:rsidP="007E2A41">
            <w:pPr>
              <w:pStyle w:val="BodyText1"/>
              <w:spacing w:line="240" w:lineRule="auto"/>
              <w:rPr>
                <w:rFonts w:ascii="Times New Roman" w:hAnsi="Times New Roman"/>
                <w:bCs/>
              </w:rPr>
            </w:pPr>
            <w:r w:rsidRPr="00AE79AC">
              <w:rPr>
                <w:rFonts w:ascii="Times New Roman" w:hAnsi="Times New Roman"/>
              </w:rPr>
              <w:t xml:space="preserve">Kwota ekspozycji ważonej ryzykiem dla aktywów stanowiących ekspozycje wobec przedsiębiorstw na mocy art. 147 ust. 2 lit. c) CRR, jeżeli takie ekspozycje </w:t>
            </w:r>
            <w:r w:rsidRPr="00AE79AC">
              <w:rPr>
                <w:rFonts w:ascii="Times New Roman" w:hAnsi="Times New Roman"/>
                <w:b/>
                <w:u w:val="single"/>
              </w:rPr>
              <w:t>nie</w:t>
            </w:r>
            <w:r w:rsidRPr="00AE79AC">
              <w:rPr>
                <w:rFonts w:ascii="Times New Roman" w:hAnsi="Times New Roman"/>
              </w:rPr>
              <w:t xml:space="preserve"> są zabezpieczone hipotekami na nieruchomości zgodnie z art. 199 ust. 1 lit. a) CRR i nie są zgłaszane w {230;040} i</w:t>
            </w:r>
            <w:r w:rsidR="00E17BAD">
              <w:rPr>
                <w:rFonts w:ascii="Times New Roman" w:hAnsi="Times New Roman"/>
              </w:rPr>
              <w:t> </w:t>
            </w:r>
            <w:r w:rsidRPr="00AE79AC">
              <w:rPr>
                <w:rFonts w:ascii="Times New Roman" w:hAnsi="Times New Roman"/>
              </w:rPr>
              <w:t xml:space="preserve">{250;040}. </w:t>
            </w:r>
          </w:p>
          <w:p w:rsidR="002509B1" w:rsidRPr="00AE79AC" w:rsidRDefault="002509B1" w:rsidP="007E2A41">
            <w:pPr>
              <w:pStyle w:val="BodyText1"/>
              <w:spacing w:line="240" w:lineRule="auto"/>
              <w:rPr>
                <w:rFonts w:ascii="Times New Roman" w:hAnsi="Times New Roman"/>
                <w:b/>
                <w:bCs/>
                <w:u w:val="single"/>
              </w:rPr>
            </w:pPr>
          </w:p>
          <w:p w:rsidR="009C4E79" w:rsidRPr="00AE79AC" w:rsidRDefault="009C4E79" w:rsidP="009C4E79">
            <w:pPr>
              <w:pStyle w:val="BodyText1"/>
              <w:spacing w:line="240" w:lineRule="auto"/>
              <w:rPr>
                <w:rFonts w:ascii="Times New Roman" w:hAnsi="Times New Roman"/>
                <w:bCs/>
              </w:rPr>
            </w:pPr>
            <w:r w:rsidRPr="00AE79AC">
              <w:rPr>
                <w:rFonts w:ascii="Times New Roman" w:hAnsi="Times New Roman"/>
              </w:rPr>
              <w:t>Instytucje nie zgłaszają tu ekspozycji, których dotyczy niewykonanie zobowiązania.</w:t>
            </w:r>
          </w:p>
          <w:p w:rsidR="009C4E79" w:rsidRPr="00AE79AC" w:rsidRDefault="009C4E79" w:rsidP="007E2A41">
            <w:pPr>
              <w:pStyle w:val="BodyText1"/>
              <w:spacing w:line="240" w:lineRule="auto"/>
              <w:rPr>
                <w:rFonts w:ascii="Times New Roman" w:hAnsi="Times New Roman"/>
                <w:b/>
                <w:bCs/>
                <w:u w:val="single"/>
              </w:rPr>
            </w:pPr>
          </w:p>
        </w:tc>
      </w:tr>
      <w:tr w:rsidR="00F4754B" w:rsidRPr="00AE79AC" w:rsidTr="0053335C">
        <w:trPr>
          <w:trHeight w:val="71"/>
        </w:trPr>
        <w:tc>
          <w:tcPr>
            <w:tcW w:w="1111" w:type="dxa"/>
            <w:shd w:val="clear" w:color="auto" w:fill="FFFFFF"/>
          </w:tcPr>
          <w:p w:rsidR="00F4754B" w:rsidRPr="00AE79AC" w:rsidRDefault="00F4754B" w:rsidP="00EA3F88">
            <w:pPr>
              <w:pStyle w:val="BodyText1"/>
              <w:rPr>
                <w:rFonts w:ascii="Times New Roman" w:hAnsi="Times New Roman"/>
              </w:rPr>
            </w:pPr>
            <w:r w:rsidRPr="00AE79AC">
              <w:rPr>
                <w:rFonts w:ascii="Times New Roman" w:hAnsi="Times New Roman"/>
              </w:rPr>
              <w:t>{280;010}</w:t>
            </w:r>
          </w:p>
        </w:tc>
        <w:tc>
          <w:tcPr>
            <w:tcW w:w="8133" w:type="dxa"/>
            <w:shd w:val="clear" w:color="auto" w:fill="FFFFFF"/>
          </w:tcPr>
          <w:p w:rsidR="00F4754B" w:rsidRPr="00AE79AC" w:rsidRDefault="00F4754B" w:rsidP="007E2A41">
            <w:pPr>
              <w:pStyle w:val="BodyText1"/>
              <w:spacing w:line="240" w:lineRule="auto"/>
              <w:rPr>
                <w:rFonts w:ascii="Times New Roman" w:hAnsi="Times New Roman"/>
                <w:b/>
                <w:bCs/>
              </w:rPr>
            </w:pPr>
            <w:r w:rsidRPr="00AE79AC">
              <w:rPr>
                <w:rFonts w:ascii="Times New Roman" w:hAnsi="Times New Roman"/>
                <w:b/>
              </w:rPr>
              <w:t>Ekspozycje, których dotyczy niewykonanie zobowiązania – wartość ekspozycji wskaźnika dźwigni – ekspozycje według metody standardowej</w:t>
            </w:r>
          </w:p>
          <w:p w:rsidR="002509B1" w:rsidRPr="00AE79AC" w:rsidRDefault="002509B1" w:rsidP="007E2A41">
            <w:pPr>
              <w:pStyle w:val="BodyText1"/>
              <w:spacing w:line="240" w:lineRule="auto"/>
              <w:rPr>
                <w:rFonts w:ascii="Times New Roman" w:hAnsi="Times New Roman"/>
                <w:b/>
                <w:bCs/>
              </w:rPr>
            </w:pPr>
          </w:p>
          <w:p w:rsidR="00F4754B" w:rsidRPr="00AE79AC" w:rsidRDefault="00F4754B" w:rsidP="007E2A41">
            <w:pPr>
              <w:pStyle w:val="BodyText1"/>
              <w:spacing w:line="240" w:lineRule="auto"/>
              <w:rPr>
                <w:rFonts w:ascii="Times New Roman" w:hAnsi="Times New Roman"/>
                <w:bCs/>
              </w:rPr>
            </w:pPr>
            <w:r w:rsidRPr="00AE79AC">
              <w:rPr>
                <w:rFonts w:ascii="Times New Roman" w:hAnsi="Times New Roman"/>
              </w:rPr>
              <w:t xml:space="preserve">Wartość ekspozycji wskaźnika dźwigni dla aktywów stanowiących ekspozycje, których dotyczy niewykonanie zobowiązania, objęte art. 127 CRR. </w:t>
            </w:r>
          </w:p>
          <w:p w:rsidR="002509B1" w:rsidRPr="00AE79AC" w:rsidRDefault="002509B1" w:rsidP="007E2A41">
            <w:pPr>
              <w:pStyle w:val="BodyText1"/>
              <w:spacing w:line="240" w:lineRule="auto"/>
              <w:rPr>
                <w:rFonts w:ascii="Times New Roman" w:hAnsi="Times New Roman"/>
                <w:bCs/>
              </w:rPr>
            </w:pPr>
          </w:p>
        </w:tc>
      </w:tr>
      <w:tr w:rsidR="00F4754B" w:rsidRPr="00AE79AC" w:rsidTr="0053335C">
        <w:trPr>
          <w:trHeight w:val="71"/>
        </w:trPr>
        <w:tc>
          <w:tcPr>
            <w:tcW w:w="1111" w:type="dxa"/>
            <w:shd w:val="clear" w:color="auto" w:fill="FFFFFF"/>
          </w:tcPr>
          <w:p w:rsidR="00F4754B" w:rsidRPr="00AE79AC" w:rsidRDefault="00F4754B" w:rsidP="006423CC">
            <w:pPr>
              <w:pStyle w:val="BodyText1"/>
              <w:rPr>
                <w:rFonts w:ascii="Times New Roman" w:hAnsi="Times New Roman"/>
                <w:bCs/>
              </w:rPr>
            </w:pPr>
            <w:r w:rsidRPr="00AE79AC">
              <w:rPr>
                <w:rFonts w:ascii="Times New Roman" w:hAnsi="Times New Roman"/>
              </w:rPr>
              <w:t>{280;020}</w:t>
            </w:r>
          </w:p>
        </w:tc>
        <w:tc>
          <w:tcPr>
            <w:tcW w:w="8133" w:type="dxa"/>
            <w:shd w:val="clear" w:color="auto" w:fill="FFFFFF"/>
          </w:tcPr>
          <w:p w:rsidR="00F4754B" w:rsidRPr="00AE79AC" w:rsidRDefault="00F4754B" w:rsidP="007E2A41">
            <w:pPr>
              <w:pStyle w:val="BodyText1"/>
              <w:spacing w:line="240" w:lineRule="auto"/>
              <w:rPr>
                <w:rFonts w:ascii="Times New Roman" w:hAnsi="Times New Roman"/>
                <w:b/>
                <w:bCs/>
              </w:rPr>
            </w:pPr>
            <w:r w:rsidRPr="00AE79AC">
              <w:rPr>
                <w:rFonts w:ascii="Times New Roman" w:hAnsi="Times New Roman"/>
                <w:b/>
              </w:rPr>
              <w:t>Ekspozycje, których dotyczy niewykonanie zobowiązania – wartość ekspozycji wskaźnika dźwigni – ekspozycje według metody IRB</w:t>
            </w:r>
          </w:p>
          <w:p w:rsidR="002509B1" w:rsidRPr="00AE79AC" w:rsidRDefault="002509B1" w:rsidP="007E2A41">
            <w:pPr>
              <w:pStyle w:val="BodyText1"/>
              <w:spacing w:line="240" w:lineRule="auto"/>
              <w:rPr>
                <w:rFonts w:ascii="Times New Roman" w:hAnsi="Times New Roman"/>
                <w:b/>
                <w:bCs/>
              </w:rPr>
            </w:pPr>
          </w:p>
          <w:p w:rsidR="00F4754B" w:rsidRPr="00AE79AC" w:rsidRDefault="00F4754B" w:rsidP="007E2A41">
            <w:pPr>
              <w:pStyle w:val="BodyText1"/>
              <w:spacing w:line="240" w:lineRule="auto"/>
              <w:rPr>
                <w:rFonts w:ascii="Times New Roman" w:hAnsi="Times New Roman"/>
                <w:bCs/>
              </w:rPr>
            </w:pPr>
            <w:r w:rsidRPr="00AE79AC">
              <w:rPr>
                <w:rFonts w:ascii="Times New Roman" w:hAnsi="Times New Roman"/>
              </w:rPr>
              <w:t xml:space="preserve">Wartość ekspozycji wskaźnika dźwigni dla aktywów zaliczonych do kategorii ekspozycji wymienionych w art. 147 ust. 2 CRR w przypadku niewykonania zobowiązania zgodnie z art. 178 CRR. </w:t>
            </w:r>
          </w:p>
          <w:p w:rsidR="002509B1" w:rsidRPr="00AE79AC" w:rsidRDefault="002509B1" w:rsidP="007E2A41">
            <w:pPr>
              <w:pStyle w:val="BodyText1"/>
              <w:spacing w:line="240" w:lineRule="auto"/>
              <w:rPr>
                <w:rFonts w:ascii="Times New Roman" w:hAnsi="Times New Roman"/>
                <w:bCs/>
              </w:rPr>
            </w:pPr>
          </w:p>
        </w:tc>
      </w:tr>
      <w:tr w:rsidR="00F4754B" w:rsidRPr="00AE79AC" w:rsidTr="0053335C">
        <w:trPr>
          <w:trHeight w:val="71"/>
        </w:trPr>
        <w:tc>
          <w:tcPr>
            <w:tcW w:w="1111" w:type="dxa"/>
            <w:shd w:val="clear" w:color="auto" w:fill="FFFFFF"/>
          </w:tcPr>
          <w:p w:rsidR="00F4754B" w:rsidRPr="00AE79AC" w:rsidRDefault="00F4754B" w:rsidP="006423CC">
            <w:pPr>
              <w:pStyle w:val="BodyText1"/>
              <w:rPr>
                <w:rFonts w:ascii="Times New Roman" w:hAnsi="Times New Roman"/>
              </w:rPr>
            </w:pPr>
            <w:r w:rsidRPr="00AE79AC">
              <w:rPr>
                <w:rFonts w:ascii="Times New Roman" w:hAnsi="Times New Roman"/>
              </w:rPr>
              <w:t>{280;030}</w:t>
            </w:r>
          </w:p>
        </w:tc>
        <w:tc>
          <w:tcPr>
            <w:tcW w:w="8133" w:type="dxa"/>
            <w:shd w:val="clear" w:color="auto" w:fill="FFFFFF"/>
          </w:tcPr>
          <w:p w:rsidR="00F4754B" w:rsidRPr="00AE79AC" w:rsidRDefault="00F4754B" w:rsidP="007E2A41">
            <w:pPr>
              <w:pStyle w:val="BodyText1"/>
              <w:spacing w:line="240" w:lineRule="auto"/>
              <w:rPr>
                <w:rFonts w:ascii="Times New Roman" w:hAnsi="Times New Roman"/>
                <w:b/>
                <w:bCs/>
              </w:rPr>
            </w:pPr>
            <w:r w:rsidRPr="00AE79AC">
              <w:rPr>
                <w:rFonts w:ascii="Times New Roman" w:hAnsi="Times New Roman"/>
                <w:b/>
              </w:rPr>
              <w:t>Ekspozycje, których dotyczy niewykonanie zobowiązania – aktywa ważone ryzykiem – ekspozycje według metody standardowej</w:t>
            </w:r>
          </w:p>
          <w:p w:rsidR="002509B1" w:rsidRPr="00AE79AC" w:rsidRDefault="002509B1" w:rsidP="007E2A41">
            <w:pPr>
              <w:pStyle w:val="BodyText1"/>
              <w:spacing w:line="240" w:lineRule="auto"/>
              <w:rPr>
                <w:rFonts w:ascii="Times New Roman" w:hAnsi="Times New Roman"/>
                <w:b/>
                <w:bCs/>
              </w:rPr>
            </w:pPr>
          </w:p>
          <w:p w:rsidR="00F4754B" w:rsidRPr="00AE79AC" w:rsidRDefault="00F4754B" w:rsidP="007E2A41">
            <w:pPr>
              <w:pStyle w:val="BodyText1"/>
              <w:spacing w:line="240" w:lineRule="auto"/>
              <w:rPr>
                <w:rFonts w:ascii="Times New Roman" w:hAnsi="Times New Roman"/>
                <w:bCs/>
              </w:rPr>
            </w:pPr>
            <w:r w:rsidRPr="00AE79AC">
              <w:rPr>
                <w:rFonts w:ascii="Times New Roman" w:hAnsi="Times New Roman"/>
              </w:rPr>
              <w:t xml:space="preserve">Kwota ekspozycji ważonej ryzykiem dla aktywów stanowiących ekspozycje, których dotyczy niewykonanie zobowiązania, a zatem są objęte art. 127 CRR. </w:t>
            </w:r>
          </w:p>
          <w:p w:rsidR="002509B1" w:rsidRPr="00AE79AC" w:rsidRDefault="002509B1" w:rsidP="007E2A41">
            <w:pPr>
              <w:pStyle w:val="BodyText1"/>
              <w:spacing w:line="240" w:lineRule="auto"/>
              <w:rPr>
                <w:rFonts w:ascii="Times New Roman" w:hAnsi="Times New Roman"/>
                <w:b/>
                <w:bCs/>
                <w:u w:val="single"/>
              </w:rPr>
            </w:pPr>
          </w:p>
        </w:tc>
      </w:tr>
      <w:tr w:rsidR="00F4754B" w:rsidRPr="00AE79AC" w:rsidTr="0053335C">
        <w:trPr>
          <w:trHeight w:val="71"/>
        </w:trPr>
        <w:tc>
          <w:tcPr>
            <w:tcW w:w="1111" w:type="dxa"/>
            <w:shd w:val="clear" w:color="auto" w:fill="FFFFFF"/>
          </w:tcPr>
          <w:p w:rsidR="00F4754B" w:rsidRPr="00AE79AC" w:rsidRDefault="00F4754B" w:rsidP="006423CC">
            <w:pPr>
              <w:pStyle w:val="BodyText1"/>
              <w:rPr>
                <w:rFonts w:ascii="Times New Roman" w:hAnsi="Times New Roman"/>
              </w:rPr>
            </w:pPr>
            <w:r w:rsidRPr="00AE79AC">
              <w:rPr>
                <w:rFonts w:ascii="Times New Roman" w:hAnsi="Times New Roman"/>
              </w:rPr>
              <w:t>{280;040}</w:t>
            </w:r>
          </w:p>
        </w:tc>
        <w:tc>
          <w:tcPr>
            <w:tcW w:w="8133" w:type="dxa"/>
            <w:shd w:val="clear" w:color="auto" w:fill="FFFFFF"/>
          </w:tcPr>
          <w:p w:rsidR="00F4754B" w:rsidRPr="00AE79AC" w:rsidRDefault="00F4754B" w:rsidP="007E2A41">
            <w:pPr>
              <w:pStyle w:val="BodyText1"/>
              <w:spacing w:line="240" w:lineRule="auto"/>
              <w:rPr>
                <w:rFonts w:ascii="Times New Roman" w:hAnsi="Times New Roman"/>
                <w:b/>
                <w:bCs/>
              </w:rPr>
            </w:pPr>
            <w:r w:rsidRPr="00AE79AC">
              <w:rPr>
                <w:rFonts w:ascii="Times New Roman" w:hAnsi="Times New Roman"/>
                <w:b/>
              </w:rPr>
              <w:t>Ekspozycje, których dotyczy niewykonanie zobowiązania – aktywa ważone ryzykiem – ekspozycje według metody IRB</w:t>
            </w:r>
          </w:p>
          <w:p w:rsidR="002509B1" w:rsidRPr="00AE79AC" w:rsidRDefault="002509B1" w:rsidP="007E2A41">
            <w:pPr>
              <w:pStyle w:val="BodyText1"/>
              <w:spacing w:line="240" w:lineRule="auto"/>
              <w:rPr>
                <w:rFonts w:ascii="Times New Roman" w:hAnsi="Times New Roman"/>
                <w:b/>
                <w:bCs/>
              </w:rPr>
            </w:pPr>
          </w:p>
          <w:p w:rsidR="00F4754B" w:rsidRPr="00AE79AC" w:rsidRDefault="00F4754B" w:rsidP="007E2A41">
            <w:pPr>
              <w:pStyle w:val="BodyText1"/>
              <w:spacing w:line="240" w:lineRule="auto"/>
              <w:rPr>
                <w:rFonts w:ascii="Times New Roman" w:hAnsi="Times New Roman"/>
                <w:bCs/>
              </w:rPr>
            </w:pPr>
            <w:r w:rsidRPr="00AE79AC">
              <w:rPr>
                <w:rFonts w:ascii="Times New Roman" w:hAnsi="Times New Roman"/>
              </w:rPr>
              <w:t xml:space="preserve">Kwota ekspozycji ważonej ryzykiem dla aktywów zaliczonych do kategorii ekspozycji wymienionych w art. 147 ust. 2 CRR w przypadku niewykonania zobowiązania zgodnie z art. 178 CRR. </w:t>
            </w:r>
          </w:p>
          <w:p w:rsidR="002509B1" w:rsidRPr="00AE79AC" w:rsidRDefault="002509B1" w:rsidP="007E2A41">
            <w:pPr>
              <w:pStyle w:val="BodyText1"/>
              <w:spacing w:line="240" w:lineRule="auto"/>
              <w:rPr>
                <w:rFonts w:ascii="Times New Roman" w:hAnsi="Times New Roman"/>
                <w:b/>
                <w:bCs/>
                <w:u w:val="single"/>
              </w:rPr>
            </w:pPr>
          </w:p>
        </w:tc>
      </w:tr>
      <w:tr w:rsidR="00F4754B" w:rsidRPr="00AE79AC" w:rsidTr="0053335C">
        <w:trPr>
          <w:trHeight w:val="71"/>
        </w:trPr>
        <w:tc>
          <w:tcPr>
            <w:tcW w:w="1111" w:type="dxa"/>
            <w:shd w:val="clear" w:color="auto" w:fill="FFFFFF"/>
          </w:tcPr>
          <w:p w:rsidR="00F4754B" w:rsidRPr="00AE79AC" w:rsidRDefault="00F4754B" w:rsidP="00F4754B">
            <w:pPr>
              <w:pStyle w:val="BodyText1"/>
              <w:rPr>
                <w:rFonts w:ascii="Times New Roman" w:hAnsi="Times New Roman"/>
              </w:rPr>
            </w:pPr>
            <w:r w:rsidRPr="00AE79AC">
              <w:rPr>
                <w:rFonts w:ascii="Times New Roman" w:hAnsi="Times New Roman"/>
              </w:rPr>
              <w:t>{290;010}</w:t>
            </w:r>
          </w:p>
          <w:p w:rsidR="00F4754B" w:rsidRPr="00AE79AC" w:rsidRDefault="00F4754B" w:rsidP="00F4754B">
            <w:pPr>
              <w:pStyle w:val="BodyText1"/>
              <w:rPr>
                <w:rFonts w:ascii="Times New Roman" w:hAnsi="Times New Roman"/>
              </w:rPr>
            </w:pPr>
          </w:p>
        </w:tc>
        <w:tc>
          <w:tcPr>
            <w:tcW w:w="8133" w:type="dxa"/>
            <w:shd w:val="clear" w:color="auto" w:fill="FFFFFF"/>
          </w:tcPr>
          <w:p w:rsidR="00F4754B" w:rsidRPr="00AE79AC" w:rsidRDefault="00F4754B" w:rsidP="007E2A41">
            <w:pPr>
              <w:pStyle w:val="BodyText1"/>
              <w:spacing w:line="240" w:lineRule="auto"/>
              <w:rPr>
                <w:rFonts w:ascii="Times New Roman" w:hAnsi="Times New Roman"/>
                <w:b/>
                <w:bCs/>
              </w:rPr>
            </w:pPr>
            <w:r w:rsidRPr="00AE79AC">
              <w:rPr>
                <w:rFonts w:ascii="Times New Roman" w:hAnsi="Times New Roman"/>
                <w:b/>
              </w:rPr>
              <w:t>Inne ekspozycje, w tym – wartość ekspozycji wskaźnika dźwigni – ekspozycje według metody standardowej</w:t>
            </w:r>
          </w:p>
          <w:p w:rsidR="002509B1" w:rsidRPr="00AE79AC" w:rsidRDefault="002509B1" w:rsidP="007E2A41">
            <w:pPr>
              <w:pStyle w:val="BodyText1"/>
              <w:spacing w:line="240" w:lineRule="auto"/>
              <w:rPr>
                <w:rFonts w:ascii="Times New Roman" w:hAnsi="Times New Roman"/>
                <w:bCs/>
              </w:rPr>
            </w:pPr>
          </w:p>
          <w:p w:rsidR="00F4754B" w:rsidRPr="00AE79AC" w:rsidRDefault="00F4754B" w:rsidP="007E2A41">
            <w:pPr>
              <w:pStyle w:val="BodyText1"/>
              <w:spacing w:line="240" w:lineRule="auto"/>
              <w:rPr>
                <w:rFonts w:ascii="Times New Roman" w:hAnsi="Times New Roman"/>
                <w:bCs/>
              </w:rPr>
            </w:pPr>
            <w:r w:rsidRPr="00AE79AC">
              <w:rPr>
                <w:rFonts w:ascii="Times New Roman" w:hAnsi="Times New Roman"/>
              </w:rPr>
              <w:t xml:space="preserve">Wartość ekspozycji wskaźnika dźwigni dla aktywów zaliczonych do kategorii ekspozycji wymienionych w art. 112 lit. k), m), n), o), p) i q) CRR. </w:t>
            </w:r>
          </w:p>
          <w:p w:rsidR="00482670" w:rsidRPr="00AE79AC" w:rsidRDefault="00482670" w:rsidP="007E2A41">
            <w:pPr>
              <w:pStyle w:val="BodyText1"/>
              <w:spacing w:line="240" w:lineRule="auto"/>
              <w:rPr>
                <w:rFonts w:ascii="Times New Roman" w:hAnsi="Times New Roman"/>
                <w:bCs/>
              </w:rPr>
            </w:pPr>
          </w:p>
          <w:p w:rsidR="00482670" w:rsidRPr="00AE79AC" w:rsidRDefault="00482670" w:rsidP="007E2A41">
            <w:pPr>
              <w:pStyle w:val="BodyText1"/>
              <w:spacing w:line="240" w:lineRule="auto"/>
              <w:rPr>
                <w:rFonts w:ascii="Times New Roman" w:hAnsi="Times New Roman"/>
                <w:bCs/>
              </w:rPr>
            </w:pPr>
            <w:r w:rsidRPr="00AE79AC">
              <w:rPr>
                <w:rFonts w:ascii="Times New Roman" w:hAnsi="Times New Roman"/>
              </w:rPr>
              <w:t>Instytucje zgłaszają aktywa, które są odliczane od sumy funduszy własnych (np. wartości niematerialne i prawne), ale w innym przypadku nie mogą być zaklasyfikowane tutaj, nawet jeśli taka klasyfikacja nie jest wymagana do określenia wymogów w zakresie funduszy w oparciu o ryzyko w kolumnach {*; 030} i {*; 040}.</w:t>
            </w:r>
          </w:p>
          <w:p w:rsidR="002509B1" w:rsidRPr="00AE79AC" w:rsidRDefault="002509B1" w:rsidP="007E2A41">
            <w:pPr>
              <w:pStyle w:val="BodyText1"/>
              <w:spacing w:line="240" w:lineRule="auto"/>
              <w:rPr>
                <w:rFonts w:ascii="Times New Roman" w:hAnsi="Times New Roman"/>
                <w:bCs/>
              </w:rPr>
            </w:pPr>
          </w:p>
          <w:p w:rsidR="00086A8A" w:rsidRPr="00AE79AC" w:rsidRDefault="00086A8A" w:rsidP="007E2A41">
            <w:pPr>
              <w:pStyle w:val="BodyText1"/>
              <w:spacing w:line="240" w:lineRule="auto"/>
              <w:rPr>
                <w:rFonts w:ascii="Times New Roman" w:hAnsi="Times New Roman"/>
                <w:bCs/>
              </w:rPr>
            </w:pPr>
            <w:r w:rsidRPr="00AE79AC">
              <w:rPr>
                <w:rFonts w:ascii="Times New Roman" w:hAnsi="Times New Roman"/>
              </w:rPr>
              <w:t>Instytucje nie zgłaszają tu ekspozycji, których dotyczy niewykonanie zobowiązania.</w:t>
            </w:r>
          </w:p>
          <w:p w:rsidR="00086A8A" w:rsidRPr="00AE79AC" w:rsidRDefault="00086A8A" w:rsidP="007E2A41">
            <w:pPr>
              <w:pStyle w:val="BodyText1"/>
              <w:spacing w:line="240" w:lineRule="auto"/>
              <w:rPr>
                <w:rFonts w:ascii="Times New Roman" w:hAnsi="Times New Roman"/>
                <w:bCs/>
              </w:rPr>
            </w:pPr>
          </w:p>
        </w:tc>
      </w:tr>
      <w:tr w:rsidR="00F4754B" w:rsidRPr="00AE79AC" w:rsidTr="0053335C">
        <w:trPr>
          <w:trHeight w:val="71"/>
        </w:trPr>
        <w:tc>
          <w:tcPr>
            <w:tcW w:w="1111" w:type="dxa"/>
            <w:shd w:val="clear" w:color="auto" w:fill="FFFFFF"/>
          </w:tcPr>
          <w:p w:rsidR="00F4754B" w:rsidRPr="00AE79AC" w:rsidRDefault="00F4754B" w:rsidP="006423CC">
            <w:pPr>
              <w:pStyle w:val="BodyText1"/>
              <w:rPr>
                <w:rFonts w:ascii="Times New Roman" w:hAnsi="Times New Roman"/>
              </w:rPr>
            </w:pPr>
            <w:r w:rsidRPr="00AE79AC">
              <w:rPr>
                <w:rFonts w:ascii="Times New Roman" w:hAnsi="Times New Roman"/>
              </w:rPr>
              <w:t>{290;020}</w:t>
            </w:r>
          </w:p>
        </w:tc>
        <w:tc>
          <w:tcPr>
            <w:tcW w:w="8133" w:type="dxa"/>
            <w:shd w:val="clear" w:color="auto" w:fill="FFFFFF"/>
          </w:tcPr>
          <w:p w:rsidR="00F4754B" w:rsidRPr="00AE79AC" w:rsidRDefault="00F4754B" w:rsidP="007E2A41">
            <w:pPr>
              <w:pStyle w:val="BodyText1"/>
              <w:spacing w:line="240" w:lineRule="auto"/>
              <w:rPr>
                <w:rFonts w:ascii="Times New Roman" w:hAnsi="Times New Roman"/>
                <w:b/>
                <w:bCs/>
              </w:rPr>
            </w:pPr>
            <w:r w:rsidRPr="00AE79AC">
              <w:rPr>
                <w:rFonts w:ascii="Times New Roman" w:hAnsi="Times New Roman"/>
                <w:b/>
              </w:rPr>
              <w:t>Inne ekspozycje, w tym – wartość ekspozycji wskaźnika dźwigni – ekspozycje według metody IRB</w:t>
            </w:r>
          </w:p>
          <w:p w:rsidR="002509B1" w:rsidRPr="00AE79AC" w:rsidRDefault="002509B1" w:rsidP="007E2A41">
            <w:pPr>
              <w:pStyle w:val="BodyText1"/>
              <w:spacing w:line="240" w:lineRule="auto"/>
              <w:rPr>
                <w:rFonts w:ascii="Times New Roman" w:hAnsi="Times New Roman"/>
                <w:bCs/>
              </w:rPr>
            </w:pPr>
          </w:p>
          <w:p w:rsidR="00F4754B" w:rsidRPr="00AE79AC" w:rsidRDefault="00F4754B" w:rsidP="007E2A41">
            <w:pPr>
              <w:pStyle w:val="BodyText1"/>
              <w:spacing w:line="240" w:lineRule="auto"/>
              <w:rPr>
                <w:rFonts w:ascii="Times New Roman" w:hAnsi="Times New Roman"/>
                <w:bCs/>
              </w:rPr>
            </w:pPr>
            <w:r w:rsidRPr="00AE79AC">
              <w:rPr>
                <w:rFonts w:ascii="Times New Roman" w:hAnsi="Times New Roman"/>
              </w:rPr>
              <w:t xml:space="preserve">Kwota ekspozycji wskaźnika dźwigni dla aktywów zaliczonych do kategorii ekspozycji wymienionych w art. 147 ust. 2 lit. e), f) i g) CRR. </w:t>
            </w:r>
          </w:p>
          <w:p w:rsidR="00482670" w:rsidRPr="00AE79AC" w:rsidRDefault="00482670" w:rsidP="007E2A41">
            <w:pPr>
              <w:pStyle w:val="BodyText1"/>
              <w:spacing w:line="240" w:lineRule="auto"/>
              <w:rPr>
                <w:rFonts w:ascii="Times New Roman" w:hAnsi="Times New Roman"/>
                <w:bCs/>
              </w:rPr>
            </w:pPr>
          </w:p>
          <w:p w:rsidR="00482670" w:rsidRPr="00AE79AC" w:rsidRDefault="00482670" w:rsidP="007E2A41">
            <w:pPr>
              <w:pStyle w:val="BodyText1"/>
              <w:spacing w:line="240" w:lineRule="auto"/>
              <w:rPr>
                <w:rFonts w:ascii="Times New Roman" w:hAnsi="Times New Roman"/>
                <w:bCs/>
              </w:rPr>
            </w:pPr>
            <w:r w:rsidRPr="00AE79AC">
              <w:rPr>
                <w:rFonts w:ascii="Times New Roman" w:hAnsi="Times New Roman"/>
              </w:rPr>
              <w:t>Instytucje zgłaszają aktywa, które są odliczane od sumy funduszy własnych (np. wartości niematerialne i prawne), ale w innym przypadku nie mogą być zaklasyfikowane tutaj, nawet jeśli taka klasyfikacja nie jest wymagana do określenia wymogów w zakresie funduszy w oparciu o</w:t>
            </w:r>
            <w:r w:rsidR="00E17BAD">
              <w:rPr>
                <w:rFonts w:ascii="Times New Roman" w:hAnsi="Times New Roman"/>
              </w:rPr>
              <w:t> </w:t>
            </w:r>
            <w:r w:rsidRPr="00AE79AC">
              <w:rPr>
                <w:rFonts w:ascii="Times New Roman" w:hAnsi="Times New Roman"/>
              </w:rPr>
              <w:t>ryzyko w kolumnach {*; 030} i {*; 040}.</w:t>
            </w:r>
          </w:p>
          <w:p w:rsidR="00BB388D" w:rsidRPr="00AE79AC" w:rsidRDefault="00BB388D" w:rsidP="007E2A41">
            <w:pPr>
              <w:pStyle w:val="BodyText1"/>
              <w:spacing w:line="240" w:lineRule="auto"/>
              <w:rPr>
                <w:rFonts w:ascii="Times New Roman" w:hAnsi="Times New Roman"/>
                <w:bCs/>
              </w:rPr>
            </w:pPr>
          </w:p>
          <w:p w:rsidR="00BB388D" w:rsidRPr="00AE79AC" w:rsidRDefault="00BB388D" w:rsidP="007E2A41">
            <w:pPr>
              <w:pStyle w:val="BodyText1"/>
              <w:spacing w:line="240" w:lineRule="auto"/>
              <w:rPr>
                <w:rFonts w:ascii="Times New Roman" w:hAnsi="Times New Roman"/>
                <w:bCs/>
              </w:rPr>
            </w:pPr>
            <w:r w:rsidRPr="00AE79AC">
              <w:rPr>
                <w:rFonts w:ascii="Times New Roman" w:hAnsi="Times New Roman"/>
              </w:rPr>
              <w:t>Instytucje nie zgłaszają tu ekspozycji, których dotyczy niewykonanie zobowiązania.</w:t>
            </w:r>
          </w:p>
          <w:p w:rsidR="002509B1" w:rsidRPr="00AE79AC" w:rsidRDefault="002509B1" w:rsidP="007E2A41">
            <w:pPr>
              <w:pStyle w:val="BodyText1"/>
              <w:spacing w:line="240" w:lineRule="auto"/>
              <w:rPr>
                <w:rFonts w:ascii="Times New Roman" w:hAnsi="Times New Roman"/>
                <w:b/>
                <w:bCs/>
                <w:u w:val="single"/>
              </w:rPr>
            </w:pPr>
          </w:p>
        </w:tc>
      </w:tr>
      <w:tr w:rsidR="00F4754B" w:rsidRPr="00AE79AC" w:rsidTr="0053335C">
        <w:trPr>
          <w:trHeight w:val="71"/>
        </w:trPr>
        <w:tc>
          <w:tcPr>
            <w:tcW w:w="1111" w:type="dxa"/>
            <w:shd w:val="clear" w:color="auto" w:fill="FFFFFF"/>
          </w:tcPr>
          <w:p w:rsidR="00F4754B" w:rsidRPr="00AE79AC" w:rsidRDefault="00F4754B" w:rsidP="006423CC">
            <w:pPr>
              <w:pStyle w:val="BodyText1"/>
              <w:rPr>
                <w:rFonts w:ascii="Times New Roman" w:hAnsi="Times New Roman"/>
              </w:rPr>
            </w:pPr>
            <w:r w:rsidRPr="00AE79AC">
              <w:rPr>
                <w:rFonts w:ascii="Times New Roman" w:hAnsi="Times New Roman"/>
              </w:rPr>
              <w:t>{290;030}</w:t>
            </w:r>
          </w:p>
        </w:tc>
        <w:tc>
          <w:tcPr>
            <w:tcW w:w="8133" w:type="dxa"/>
            <w:shd w:val="clear" w:color="auto" w:fill="FFFFFF"/>
          </w:tcPr>
          <w:p w:rsidR="00F4754B" w:rsidRPr="00AE79AC" w:rsidRDefault="00F4754B" w:rsidP="007E2A41">
            <w:pPr>
              <w:pStyle w:val="BodyText1"/>
              <w:spacing w:line="240" w:lineRule="auto"/>
              <w:rPr>
                <w:rFonts w:ascii="Times New Roman" w:hAnsi="Times New Roman"/>
                <w:bCs/>
              </w:rPr>
            </w:pPr>
            <w:r w:rsidRPr="00AE79AC">
              <w:rPr>
                <w:rFonts w:ascii="Times New Roman" w:hAnsi="Times New Roman"/>
                <w:b/>
              </w:rPr>
              <w:t>Inne ekspozycje, w tym – aktywa ważone ryzykiem – ekspozycje według metody standardowej</w:t>
            </w:r>
          </w:p>
          <w:p w:rsidR="002509B1" w:rsidRPr="00AE79AC" w:rsidRDefault="002509B1" w:rsidP="007E2A41">
            <w:pPr>
              <w:pStyle w:val="BodyText1"/>
              <w:spacing w:line="240" w:lineRule="auto"/>
              <w:rPr>
                <w:rFonts w:ascii="Times New Roman" w:hAnsi="Times New Roman"/>
                <w:bCs/>
              </w:rPr>
            </w:pPr>
          </w:p>
          <w:p w:rsidR="00F4754B" w:rsidRPr="00AE79AC" w:rsidRDefault="00F4754B" w:rsidP="007E2A41">
            <w:pPr>
              <w:pStyle w:val="BodyText1"/>
              <w:spacing w:line="240" w:lineRule="auto"/>
              <w:rPr>
                <w:rFonts w:ascii="Times New Roman" w:hAnsi="Times New Roman"/>
                <w:bCs/>
              </w:rPr>
            </w:pPr>
            <w:r w:rsidRPr="00AE79AC">
              <w:rPr>
                <w:rFonts w:ascii="Times New Roman" w:hAnsi="Times New Roman"/>
              </w:rPr>
              <w:t>Wartość ekspozycji ważonej ryzykiem dla aktywów zaliczonych do kategorii ekspozycji wymienionych w art. 112 lit. k), m), n), o), p) i q) CRR.</w:t>
            </w:r>
          </w:p>
          <w:p w:rsidR="00086A8A" w:rsidRPr="00AE79AC" w:rsidRDefault="00086A8A" w:rsidP="007E2A41">
            <w:pPr>
              <w:pStyle w:val="BodyText1"/>
              <w:spacing w:line="240" w:lineRule="auto"/>
              <w:rPr>
                <w:rFonts w:ascii="Times New Roman" w:hAnsi="Times New Roman"/>
                <w:bCs/>
              </w:rPr>
            </w:pPr>
          </w:p>
          <w:p w:rsidR="00086A8A" w:rsidRPr="00AE79AC" w:rsidRDefault="00086A8A" w:rsidP="007E2A41">
            <w:pPr>
              <w:pStyle w:val="BodyText1"/>
              <w:spacing w:line="240" w:lineRule="auto"/>
              <w:rPr>
                <w:rFonts w:ascii="Times New Roman" w:hAnsi="Times New Roman"/>
                <w:bCs/>
              </w:rPr>
            </w:pPr>
            <w:r w:rsidRPr="00AE79AC">
              <w:rPr>
                <w:rFonts w:ascii="Times New Roman" w:hAnsi="Times New Roman"/>
              </w:rPr>
              <w:t>Instytucje nie zgłaszają tu ekspozycji, których dotyczy niewykonanie zobowiązania.</w:t>
            </w:r>
          </w:p>
          <w:p w:rsidR="002509B1" w:rsidRPr="00AE79AC" w:rsidRDefault="002509B1" w:rsidP="007E2A41">
            <w:pPr>
              <w:pStyle w:val="BodyText1"/>
              <w:spacing w:line="240" w:lineRule="auto"/>
              <w:rPr>
                <w:rFonts w:ascii="Times New Roman" w:hAnsi="Times New Roman"/>
                <w:b/>
                <w:bCs/>
                <w:u w:val="single"/>
              </w:rPr>
            </w:pPr>
          </w:p>
        </w:tc>
      </w:tr>
      <w:tr w:rsidR="00F4754B" w:rsidRPr="00AE79AC" w:rsidTr="0053335C">
        <w:trPr>
          <w:trHeight w:val="71"/>
        </w:trPr>
        <w:tc>
          <w:tcPr>
            <w:tcW w:w="1111" w:type="dxa"/>
            <w:shd w:val="clear" w:color="auto" w:fill="FFFFFF"/>
          </w:tcPr>
          <w:p w:rsidR="00F4754B" w:rsidRPr="00AE79AC" w:rsidRDefault="00F4754B" w:rsidP="00EA3F88">
            <w:pPr>
              <w:pStyle w:val="BodyText1"/>
              <w:rPr>
                <w:rFonts w:ascii="Times New Roman" w:hAnsi="Times New Roman"/>
              </w:rPr>
            </w:pPr>
            <w:r w:rsidRPr="00AE79AC">
              <w:rPr>
                <w:rFonts w:ascii="Times New Roman" w:hAnsi="Times New Roman"/>
              </w:rPr>
              <w:t>{290;040}</w:t>
            </w:r>
          </w:p>
        </w:tc>
        <w:tc>
          <w:tcPr>
            <w:tcW w:w="8133" w:type="dxa"/>
            <w:shd w:val="clear" w:color="auto" w:fill="FFFFFF"/>
          </w:tcPr>
          <w:p w:rsidR="00F4754B" w:rsidRPr="00AE79AC" w:rsidRDefault="00F4754B" w:rsidP="007E2A41">
            <w:pPr>
              <w:pStyle w:val="BodyText1"/>
              <w:spacing w:line="240" w:lineRule="auto"/>
              <w:rPr>
                <w:rFonts w:ascii="Times New Roman" w:hAnsi="Times New Roman"/>
                <w:bCs/>
              </w:rPr>
            </w:pPr>
            <w:r w:rsidRPr="00AE79AC">
              <w:rPr>
                <w:rFonts w:ascii="Times New Roman" w:hAnsi="Times New Roman"/>
                <w:b/>
              </w:rPr>
              <w:t>Inne ekspozycje, w tym – aktywa ważone ryzykiem – ekspozycje według metody IRB</w:t>
            </w:r>
          </w:p>
          <w:p w:rsidR="002509B1" w:rsidRPr="00AE79AC" w:rsidRDefault="002509B1" w:rsidP="007E2A41">
            <w:pPr>
              <w:pStyle w:val="BodyText1"/>
              <w:spacing w:line="240" w:lineRule="auto"/>
              <w:rPr>
                <w:rFonts w:ascii="Times New Roman" w:hAnsi="Times New Roman"/>
                <w:bCs/>
              </w:rPr>
            </w:pPr>
          </w:p>
          <w:p w:rsidR="00F4754B" w:rsidRPr="00AE79AC" w:rsidRDefault="00F4754B" w:rsidP="007E2A41">
            <w:pPr>
              <w:pStyle w:val="BodyText1"/>
              <w:spacing w:line="240" w:lineRule="auto"/>
              <w:rPr>
                <w:rFonts w:ascii="Times New Roman" w:hAnsi="Times New Roman"/>
                <w:bCs/>
              </w:rPr>
            </w:pPr>
            <w:r w:rsidRPr="00AE79AC">
              <w:rPr>
                <w:rFonts w:ascii="Times New Roman" w:hAnsi="Times New Roman"/>
              </w:rPr>
              <w:t xml:space="preserve">Wartość ekspozycji ważonej ryzykiem dla aktywów zaliczonych do kategorii ekspozycji wymienionych w art. 147 ust. 2 lit. e), f) i g) CRR. </w:t>
            </w:r>
          </w:p>
          <w:p w:rsidR="00BB388D" w:rsidRPr="00AE79AC" w:rsidRDefault="00BB388D" w:rsidP="007E2A41">
            <w:pPr>
              <w:pStyle w:val="BodyText1"/>
              <w:spacing w:line="240" w:lineRule="auto"/>
              <w:rPr>
                <w:rFonts w:ascii="Times New Roman" w:hAnsi="Times New Roman"/>
                <w:bCs/>
              </w:rPr>
            </w:pPr>
          </w:p>
          <w:p w:rsidR="00BB388D" w:rsidRPr="00AE79AC" w:rsidRDefault="00BB388D" w:rsidP="007E2A41">
            <w:pPr>
              <w:pStyle w:val="BodyText1"/>
              <w:spacing w:line="240" w:lineRule="auto"/>
              <w:rPr>
                <w:rFonts w:ascii="Times New Roman" w:hAnsi="Times New Roman"/>
                <w:bCs/>
              </w:rPr>
            </w:pPr>
            <w:r w:rsidRPr="00AE79AC">
              <w:rPr>
                <w:rFonts w:ascii="Times New Roman" w:hAnsi="Times New Roman"/>
              </w:rPr>
              <w:t>Instytucje nie zgłaszają tu ekspozycji, których dotyczy niewykonanie zobowiązania.</w:t>
            </w:r>
          </w:p>
          <w:p w:rsidR="002509B1" w:rsidRPr="00AE79AC" w:rsidRDefault="002509B1" w:rsidP="007E2A41">
            <w:pPr>
              <w:pStyle w:val="BodyText1"/>
              <w:spacing w:line="240" w:lineRule="auto"/>
              <w:rPr>
                <w:rFonts w:ascii="Times New Roman" w:hAnsi="Times New Roman"/>
                <w:b/>
                <w:bCs/>
                <w:u w:val="single"/>
              </w:rPr>
            </w:pPr>
          </w:p>
        </w:tc>
      </w:tr>
      <w:tr w:rsidR="00F4754B" w:rsidRPr="00AE79AC" w:rsidTr="0053335C">
        <w:trPr>
          <w:trHeight w:val="71"/>
        </w:trPr>
        <w:tc>
          <w:tcPr>
            <w:tcW w:w="1111" w:type="dxa"/>
            <w:shd w:val="clear" w:color="auto" w:fill="FFFFFF"/>
          </w:tcPr>
          <w:p w:rsidR="00F4754B" w:rsidRPr="00AE79AC" w:rsidRDefault="00F4754B" w:rsidP="006423CC">
            <w:pPr>
              <w:pStyle w:val="BodyText1"/>
              <w:rPr>
                <w:rFonts w:ascii="Times New Roman" w:hAnsi="Times New Roman"/>
              </w:rPr>
            </w:pPr>
            <w:r w:rsidRPr="00AE79AC">
              <w:rPr>
                <w:rFonts w:ascii="Times New Roman" w:hAnsi="Times New Roman"/>
              </w:rPr>
              <w:t>{300;010}</w:t>
            </w:r>
          </w:p>
        </w:tc>
        <w:tc>
          <w:tcPr>
            <w:tcW w:w="8133" w:type="dxa"/>
            <w:shd w:val="clear" w:color="auto" w:fill="FFFFFF"/>
          </w:tcPr>
          <w:p w:rsidR="00F4754B" w:rsidRPr="00AE79AC" w:rsidRDefault="00F4754B" w:rsidP="007E2A41">
            <w:pPr>
              <w:pStyle w:val="BodyText1"/>
              <w:spacing w:line="240" w:lineRule="auto"/>
              <w:rPr>
                <w:rFonts w:ascii="Times New Roman" w:hAnsi="Times New Roman"/>
                <w:b/>
                <w:bCs/>
              </w:rPr>
            </w:pPr>
            <w:r w:rsidRPr="00AE79AC">
              <w:rPr>
                <w:rFonts w:ascii="Times New Roman" w:hAnsi="Times New Roman"/>
                <w:b/>
              </w:rPr>
              <w:t>Ekspozycje sekurytyzacyjne – wartość ekspozycji wskaźnika dźwigni – ekspozycje według metody standardowej</w:t>
            </w:r>
          </w:p>
          <w:p w:rsidR="002509B1" w:rsidRPr="00AE79AC" w:rsidRDefault="002509B1" w:rsidP="007E2A41">
            <w:pPr>
              <w:pStyle w:val="BodyText1"/>
              <w:spacing w:line="240" w:lineRule="auto"/>
              <w:rPr>
                <w:rFonts w:ascii="Times New Roman" w:hAnsi="Times New Roman"/>
                <w:b/>
                <w:bCs/>
              </w:rPr>
            </w:pPr>
          </w:p>
          <w:p w:rsidR="00F4754B" w:rsidRPr="00AE79AC" w:rsidRDefault="00F4754B" w:rsidP="007E2A41">
            <w:pPr>
              <w:pStyle w:val="BodyText1"/>
              <w:spacing w:line="240" w:lineRule="auto"/>
              <w:rPr>
                <w:rFonts w:ascii="Times New Roman" w:hAnsi="Times New Roman"/>
                <w:bCs/>
              </w:rPr>
            </w:pPr>
            <w:r w:rsidRPr="00AE79AC">
              <w:rPr>
                <w:rFonts w:ascii="Times New Roman" w:hAnsi="Times New Roman"/>
              </w:rPr>
              <w:t>Wartość ekspozycji wskaźnika dźwigni dla aktywów stanowiących ekspozycje sekurytyzacyjne objęte art. 112 lit. m) CRR.</w:t>
            </w:r>
          </w:p>
          <w:p w:rsidR="00086A8A" w:rsidRPr="00AE79AC" w:rsidRDefault="00086A8A" w:rsidP="007E2A41">
            <w:pPr>
              <w:pStyle w:val="BodyText1"/>
              <w:spacing w:line="240" w:lineRule="auto"/>
              <w:rPr>
                <w:rFonts w:ascii="Times New Roman" w:hAnsi="Times New Roman"/>
                <w:bCs/>
              </w:rPr>
            </w:pPr>
          </w:p>
          <w:p w:rsidR="002509B1" w:rsidRPr="00AE79AC" w:rsidRDefault="00086A8A" w:rsidP="007E2A41">
            <w:pPr>
              <w:pStyle w:val="BodyText1"/>
              <w:spacing w:line="240" w:lineRule="auto"/>
              <w:rPr>
                <w:rFonts w:ascii="Times New Roman" w:hAnsi="Times New Roman"/>
                <w:bCs/>
              </w:rPr>
            </w:pPr>
            <w:r w:rsidRPr="00AE79AC">
              <w:rPr>
                <w:rFonts w:ascii="Times New Roman" w:hAnsi="Times New Roman"/>
              </w:rPr>
              <w:t>Instytucje nie zgłaszają tu ekspozycji, których dotyczy niewykonanie zobowiązania.</w:t>
            </w:r>
          </w:p>
          <w:p w:rsidR="009C4E79" w:rsidRPr="00AE79AC" w:rsidRDefault="009C4E79" w:rsidP="007E2A41">
            <w:pPr>
              <w:pStyle w:val="BodyText1"/>
              <w:spacing w:line="240" w:lineRule="auto"/>
              <w:rPr>
                <w:rFonts w:ascii="Times New Roman" w:hAnsi="Times New Roman"/>
                <w:bCs/>
              </w:rPr>
            </w:pPr>
          </w:p>
        </w:tc>
      </w:tr>
      <w:tr w:rsidR="00F4754B" w:rsidRPr="00AE79AC" w:rsidTr="0053335C">
        <w:trPr>
          <w:trHeight w:val="71"/>
        </w:trPr>
        <w:tc>
          <w:tcPr>
            <w:tcW w:w="1111" w:type="dxa"/>
            <w:shd w:val="clear" w:color="auto" w:fill="FFFFFF"/>
          </w:tcPr>
          <w:p w:rsidR="00F4754B" w:rsidRPr="00AE79AC" w:rsidRDefault="00F4754B" w:rsidP="006423CC">
            <w:pPr>
              <w:pStyle w:val="BodyText1"/>
              <w:rPr>
                <w:rFonts w:ascii="Times New Roman" w:hAnsi="Times New Roman"/>
                <w:bCs/>
              </w:rPr>
            </w:pPr>
            <w:r w:rsidRPr="00AE79AC">
              <w:rPr>
                <w:rFonts w:ascii="Times New Roman" w:hAnsi="Times New Roman"/>
              </w:rPr>
              <w:t>{300;020}</w:t>
            </w:r>
          </w:p>
        </w:tc>
        <w:tc>
          <w:tcPr>
            <w:tcW w:w="8133" w:type="dxa"/>
            <w:shd w:val="clear" w:color="auto" w:fill="FFFFFF"/>
          </w:tcPr>
          <w:p w:rsidR="00F4754B" w:rsidRPr="00AE79AC" w:rsidRDefault="00F4754B" w:rsidP="007E2A41">
            <w:pPr>
              <w:pStyle w:val="BodyText1"/>
              <w:spacing w:line="240" w:lineRule="auto"/>
              <w:rPr>
                <w:rFonts w:ascii="Times New Roman" w:hAnsi="Times New Roman"/>
                <w:b/>
                <w:bCs/>
              </w:rPr>
            </w:pPr>
            <w:r w:rsidRPr="00AE79AC">
              <w:rPr>
                <w:rFonts w:ascii="Times New Roman" w:hAnsi="Times New Roman"/>
                <w:b/>
              </w:rPr>
              <w:t>Ekspozycje sekurytyzacyjne – wartość ekspozycji wskaźnika dźwigni – ekspozycje według metody IRB</w:t>
            </w:r>
          </w:p>
          <w:p w:rsidR="002509B1" w:rsidRPr="00AE79AC" w:rsidRDefault="002509B1" w:rsidP="007E2A41">
            <w:pPr>
              <w:pStyle w:val="BodyText1"/>
              <w:spacing w:line="240" w:lineRule="auto"/>
              <w:rPr>
                <w:rFonts w:ascii="Times New Roman" w:hAnsi="Times New Roman"/>
                <w:b/>
                <w:bCs/>
              </w:rPr>
            </w:pPr>
          </w:p>
          <w:p w:rsidR="00F4754B" w:rsidRPr="00AE79AC" w:rsidRDefault="00F4754B" w:rsidP="007E2A41">
            <w:pPr>
              <w:pStyle w:val="BodyText1"/>
              <w:spacing w:line="240" w:lineRule="auto"/>
              <w:rPr>
                <w:rFonts w:ascii="Times New Roman" w:hAnsi="Times New Roman"/>
                <w:bCs/>
              </w:rPr>
            </w:pPr>
            <w:r w:rsidRPr="00AE79AC">
              <w:rPr>
                <w:rFonts w:ascii="Times New Roman" w:hAnsi="Times New Roman"/>
              </w:rPr>
              <w:t xml:space="preserve">Wartość ekspozycji wskaźnika dźwigni dla aktywów stanowiących ekspozycje sekurytyzacyjne objęte art. 147 ust. 2 lit. f) CRR. </w:t>
            </w:r>
          </w:p>
          <w:p w:rsidR="009C4E79" w:rsidRPr="00AE79AC" w:rsidRDefault="009C4E79" w:rsidP="007E2A41">
            <w:pPr>
              <w:pStyle w:val="BodyText1"/>
              <w:spacing w:line="240" w:lineRule="auto"/>
              <w:rPr>
                <w:rFonts w:ascii="Times New Roman" w:hAnsi="Times New Roman"/>
                <w:bCs/>
              </w:rPr>
            </w:pPr>
          </w:p>
          <w:p w:rsidR="009C4E79" w:rsidRPr="00AE79AC" w:rsidRDefault="009C4E79" w:rsidP="007E2A41">
            <w:pPr>
              <w:pStyle w:val="BodyText1"/>
              <w:spacing w:line="240" w:lineRule="auto"/>
              <w:rPr>
                <w:rFonts w:ascii="Times New Roman" w:hAnsi="Times New Roman"/>
                <w:bCs/>
              </w:rPr>
            </w:pPr>
            <w:r w:rsidRPr="00AE79AC">
              <w:rPr>
                <w:rFonts w:ascii="Times New Roman" w:hAnsi="Times New Roman"/>
              </w:rPr>
              <w:t>Instytucje nie zgłaszają tu ekspozycji, których dotyczy niewykonanie zobowiązania.</w:t>
            </w:r>
          </w:p>
          <w:p w:rsidR="002509B1" w:rsidRPr="00AE79AC" w:rsidDel="00B9734C" w:rsidRDefault="002509B1" w:rsidP="007E2A41">
            <w:pPr>
              <w:pStyle w:val="BodyText1"/>
              <w:spacing w:line="240" w:lineRule="auto"/>
              <w:rPr>
                <w:rFonts w:ascii="Times New Roman" w:hAnsi="Times New Roman"/>
                <w:bCs/>
              </w:rPr>
            </w:pPr>
          </w:p>
        </w:tc>
      </w:tr>
      <w:tr w:rsidR="00F4754B" w:rsidRPr="00AE79AC" w:rsidTr="0053335C">
        <w:trPr>
          <w:trHeight w:val="71"/>
        </w:trPr>
        <w:tc>
          <w:tcPr>
            <w:tcW w:w="1111" w:type="dxa"/>
            <w:shd w:val="clear" w:color="auto" w:fill="FFFFFF"/>
          </w:tcPr>
          <w:p w:rsidR="00F4754B" w:rsidRPr="00AE79AC" w:rsidRDefault="00F4754B" w:rsidP="006423CC">
            <w:pPr>
              <w:pStyle w:val="BodyText1"/>
              <w:rPr>
                <w:rFonts w:ascii="Times New Roman" w:hAnsi="Times New Roman"/>
              </w:rPr>
            </w:pPr>
            <w:r w:rsidRPr="00AE79AC">
              <w:rPr>
                <w:rFonts w:ascii="Times New Roman" w:hAnsi="Times New Roman"/>
              </w:rPr>
              <w:t>{300;030}</w:t>
            </w:r>
          </w:p>
        </w:tc>
        <w:tc>
          <w:tcPr>
            <w:tcW w:w="8133" w:type="dxa"/>
            <w:shd w:val="clear" w:color="auto" w:fill="FFFFFF"/>
          </w:tcPr>
          <w:p w:rsidR="00F4754B" w:rsidRPr="00AE79AC" w:rsidRDefault="00F4754B" w:rsidP="007E2A41">
            <w:pPr>
              <w:pStyle w:val="BodyText1"/>
              <w:spacing w:line="240" w:lineRule="auto"/>
              <w:rPr>
                <w:rFonts w:ascii="Times New Roman" w:hAnsi="Times New Roman"/>
                <w:b/>
                <w:bCs/>
              </w:rPr>
            </w:pPr>
            <w:r w:rsidRPr="00AE79AC">
              <w:rPr>
                <w:rFonts w:ascii="Times New Roman" w:hAnsi="Times New Roman"/>
                <w:b/>
              </w:rPr>
              <w:t>Ekspozycje sekurytyzacyjne – aktywa ważone ryzykiem – ekspozycje według metody standardowej</w:t>
            </w:r>
          </w:p>
          <w:p w:rsidR="002509B1" w:rsidRPr="00AE79AC" w:rsidRDefault="002509B1" w:rsidP="007E2A41">
            <w:pPr>
              <w:pStyle w:val="BodyText1"/>
              <w:spacing w:line="240" w:lineRule="auto"/>
              <w:rPr>
                <w:rFonts w:ascii="Times New Roman" w:hAnsi="Times New Roman"/>
                <w:b/>
                <w:bCs/>
              </w:rPr>
            </w:pPr>
          </w:p>
          <w:p w:rsidR="00F4754B" w:rsidRPr="00AE79AC" w:rsidRDefault="00F4754B" w:rsidP="007E2A41">
            <w:pPr>
              <w:pStyle w:val="BodyText1"/>
              <w:spacing w:line="240" w:lineRule="auto"/>
              <w:rPr>
                <w:rFonts w:ascii="Times New Roman" w:hAnsi="Times New Roman"/>
                <w:bCs/>
              </w:rPr>
            </w:pPr>
            <w:r w:rsidRPr="00AE79AC">
              <w:rPr>
                <w:rFonts w:ascii="Times New Roman" w:hAnsi="Times New Roman"/>
              </w:rPr>
              <w:t xml:space="preserve">Kwota ekspozycji ważonej ryzykiem dla aktywów stanowiących ekspozycje sekurytyzacyjne objęte art. 112 lit. m) CRR. </w:t>
            </w:r>
          </w:p>
          <w:p w:rsidR="00086A8A" w:rsidRPr="00AE79AC" w:rsidRDefault="00086A8A" w:rsidP="007E2A41">
            <w:pPr>
              <w:pStyle w:val="BodyText1"/>
              <w:spacing w:line="240" w:lineRule="auto"/>
              <w:rPr>
                <w:rFonts w:ascii="Times New Roman" w:hAnsi="Times New Roman"/>
                <w:bCs/>
              </w:rPr>
            </w:pPr>
          </w:p>
          <w:p w:rsidR="00086A8A" w:rsidRPr="00AE79AC" w:rsidRDefault="00086A8A" w:rsidP="007E2A41">
            <w:pPr>
              <w:pStyle w:val="BodyText1"/>
              <w:spacing w:line="240" w:lineRule="auto"/>
              <w:rPr>
                <w:rFonts w:ascii="Times New Roman" w:hAnsi="Times New Roman"/>
                <w:bCs/>
              </w:rPr>
            </w:pPr>
            <w:r w:rsidRPr="00AE79AC">
              <w:rPr>
                <w:rFonts w:ascii="Times New Roman" w:hAnsi="Times New Roman"/>
              </w:rPr>
              <w:t>Instytucje nie zgłaszają tu ekspozycji, których dotyczy niewykonanie zobowiązania.</w:t>
            </w:r>
          </w:p>
          <w:p w:rsidR="002509B1" w:rsidRPr="00AE79AC" w:rsidRDefault="002509B1" w:rsidP="007E2A41">
            <w:pPr>
              <w:pStyle w:val="BodyText1"/>
              <w:spacing w:line="240" w:lineRule="auto"/>
              <w:rPr>
                <w:rFonts w:ascii="Times New Roman" w:hAnsi="Times New Roman"/>
                <w:b/>
                <w:bCs/>
                <w:u w:val="single"/>
              </w:rPr>
            </w:pPr>
          </w:p>
        </w:tc>
      </w:tr>
      <w:tr w:rsidR="00F4754B" w:rsidRPr="00AE79AC" w:rsidTr="0053335C">
        <w:trPr>
          <w:trHeight w:val="71"/>
        </w:trPr>
        <w:tc>
          <w:tcPr>
            <w:tcW w:w="1111" w:type="dxa"/>
            <w:shd w:val="clear" w:color="auto" w:fill="FFFFFF"/>
          </w:tcPr>
          <w:p w:rsidR="00F4754B" w:rsidRPr="00AE79AC" w:rsidRDefault="00F4754B" w:rsidP="006423CC">
            <w:pPr>
              <w:pStyle w:val="BodyText1"/>
              <w:rPr>
                <w:rFonts w:ascii="Times New Roman" w:hAnsi="Times New Roman"/>
              </w:rPr>
            </w:pPr>
            <w:r w:rsidRPr="00AE79AC">
              <w:rPr>
                <w:rFonts w:ascii="Times New Roman" w:hAnsi="Times New Roman"/>
              </w:rPr>
              <w:t>{300;040}</w:t>
            </w:r>
          </w:p>
        </w:tc>
        <w:tc>
          <w:tcPr>
            <w:tcW w:w="8133" w:type="dxa"/>
            <w:shd w:val="clear" w:color="auto" w:fill="FFFFFF"/>
          </w:tcPr>
          <w:p w:rsidR="00F4754B" w:rsidRPr="00AE79AC" w:rsidRDefault="00F4754B" w:rsidP="007E2A41">
            <w:pPr>
              <w:pStyle w:val="BodyText1"/>
              <w:spacing w:line="240" w:lineRule="auto"/>
              <w:rPr>
                <w:rFonts w:ascii="Times New Roman" w:hAnsi="Times New Roman"/>
                <w:b/>
                <w:bCs/>
              </w:rPr>
            </w:pPr>
            <w:r w:rsidRPr="00AE79AC">
              <w:rPr>
                <w:rFonts w:ascii="Times New Roman" w:hAnsi="Times New Roman"/>
                <w:b/>
              </w:rPr>
              <w:t>Ekspozycje sekurytyzacyjne – aktywa ważone ryzykiem – ekspozycje według metody IRB</w:t>
            </w:r>
          </w:p>
          <w:p w:rsidR="002509B1" w:rsidRPr="00AE79AC" w:rsidRDefault="002509B1" w:rsidP="007E2A41">
            <w:pPr>
              <w:pStyle w:val="BodyText1"/>
              <w:spacing w:line="240" w:lineRule="auto"/>
              <w:rPr>
                <w:rFonts w:ascii="Times New Roman" w:hAnsi="Times New Roman"/>
                <w:b/>
                <w:bCs/>
              </w:rPr>
            </w:pPr>
          </w:p>
          <w:p w:rsidR="00F4754B" w:rsidRPr="00AE79AC" w:rsidRDefault="00F4754B" w:rsidP="007E2A41">
            <w:pPr>
              <w:pStyle w:val="BodyText1"/>
              <w:spacing w:line="240" w:lineRule="auto"/>
              <w:rPr>
                <w:rFonts w:ascii="Times New Roman" w:hAnsi="Times New Roman"/>
                <w:bCs/>
              </w:rPr>
            </w:pPr>
            <w:r w:rsidRPr="00AE79AC">
              <w:rPr>
                <w:rFonts w:ascii="Times New Roman" w:hAnsi="Times New Roman"/>
              </w:rPr>
              <w:t xml:space="preserve">Kwota ekspozycji ważonej ryzykiem dla aktywów stanowiących ekspozycje sekurytyzacyjne objęte art. 147 ust. 2 lit. f) CRR. </w:t>
            </w:r>
          </w:p>
          <w:p w:rsidR="002509B1" w:rsidRPr="00AE79AC" w:rsidRDefault="002509B1" w:rsidP="007E2A41">
            <w:pPr>
              <w:pStyle w:val="BodyText1"/>
              <w:spacing w:line="240" w:lineRule="auto"/>
              <w:rPr>
                <w:rFonts w:ascii="Times New Roman" w:hAnsi="Times New Roman"/>
                <w:b/>
                <w:bCs/>
                <w:u w:val="single"/>
              </w:rPr>
            </w:pPr>
          </w:p>
          <w:p w:rsidR="009C4E79" w:rsidRPr="00AE79AC" w:rsidRDefault="009C4E79" w:rsidP="009C4E79">
            <w:pPr>
              <w:pStyle w:val="BodyText1"/>
              <w:spacing w:line="240" w:lineRule="auto"/>
              <w:rPr>
                <w:rFonts w:ascii="Times New Roman" w:hAnsi="Times New Roman"/>
                <w:bCs/>
              </w:rPr>
            </w:pPr>
            <w:r w:rsidRPr="00AE79AC">
              <w:rPr>
                <w:rFonts w:ascii="Times New Roman" w:hAnsi="Times New Roman"/>
              </w:rPr>
              <w:t>Instytucje nie zgłaszają tu ekspozycji, których dotyczy niewykonanie zobowiązania.</w:t>
            </w:r>
          </w:p>
          <w:p w:rsidR="009C4E79" w:rsidRPr="00AE79AC" w:rsidRDefault="009C4E79" w:rsidP="007E2A41">
            <w:pPr>
              <w:pStyle w:val="BodyText1"/>
              <w:spacing w:line="240" w:lineRule="auto"/>
              <w:rPr>
                <w:rFonts w:ascii="Times New Roman" w:hAnsi="Times New Roman"/>
                <w:b/>
                <w:bCs/>
                <w:u w:val="single"/>
              </w:rPr>
            </w:pPr>
          </w:p>
        </w:tc>
      </w:tr>
      <w:tr w:rsidR="00F4754B" w:rsidRPr="00AE79AC" w:rsidTr="0053335C">
        <w:trPr>
          <w:trHeight w:val="71"/>
        </w:trPr>
        <w:tc>
          <w:tcPr>
            <w:tcW w:w="1111" w:type="dxa"/>
            <w:shd w:val="clear" w:color="auto" w:fill="FFFFFF"/>
          </w:tcPr>
          <w:p w:rsidR="00F4754B" w:rsidRPr="00AE79AC" w:rsidRDefault="00F4754B" w:rsidP="00EA3F88">
            <w:pPr>
              <w:pStyle w:val="BodyText1"/>
              <w:rPr>
                <w:rFonts w:ascii="Times New Roman" w:hAnsi="Times New Roman"/>
              </w:rPr>
            </w:pPr>
            <w:r w:rsidRPr="00AE79AC">
              <w:rPr>
                <w:rFonts w:ascii="Times New Roman" w:hAnsi="Times New Roman"/>
              </w:rPr>
              <w:t>{310;010}</w:t>
            </w:r>
          </w:p>
        </w:tc>
        <w:tc>
          <w:tcPr>
            <w:tcW w:w="8133" w:type="dxa"/>
            <w:shd w:val="clear" w:color="auto" w:fill="FFFFFF"/>
          </w:tcPr>
          <w:p w:rsidR="00F4754B" w:rsidRPr="00AE79AC" w:rsidRDefault="00F4754B" w:rsidP="007E2A41">
            <w:pPr>
              <w:pStyle w:val="BodyText1"/>
              <w:spacing w:line="240" w:lineRule="auto"/>
              <w:rPr>
                <w:rFonts w:ascii="Times New Roman" w:hAnsi="Times New Roman"/>
                <w:b/>
                <w:bCs/>
              </w:rPr>
            </w:pPr>
            <w:r w:rsidRPr="00AE79AC">
              <w:rPr>
                <w:rFonts w:ascii="Times New Roman" w:hAnsi="Times New Roman"/>
                <w:b/>
              </w:rPr>
              <w:t>Finansowanie handlu (pozycja uzupełniająca), w tym – wartość ekspozycji wskaźnika dźwigni – ekspozycje według metody standardowej</w:t>
            </w:r>
          </w:p>
          <w:p w:rsidR="002509B1" w:rsidRPr="00AE79AC" w:rsidRDefault="002509B1" w:rsidP="007E2A41">
            <w:pPr>
              <w:pStyle w:val="BodyText1"/>
              <w:spacing w:line="240" w:lineRule="auto"/>
              <w:rPr>
                <w:rFonts w:ascii="Times New Roman" w:hAnsi="Times New Roman"/>
                <w:b/>
                <w:bCs/>
              </w:rPr>
            </w:pPr>
          </w:p>
          <w:p w:rsidR="00F4754B" w:rsidRPr="00AE79AC" w:rsidRDefault="00F4754B" w:rsidP="007E2A41">
            <w:pPr>
              <w:pStyle w:val="BodyText1"/>
              <w:spacing w:line="240" w:lineRule="auto"/>
              <w:rPr>
                <w:rFonts w:ascii="Times New Roman" w:hAnsi="Times New Roman"/>
                <w:bCs/>
              </w:rPr>
            </w:pPr>
            <w:r w:rsidRPr="00AE79AC">
              <w:rPr>
                <w:rFonts w:ascii="Times New Roman" w:hAnsi="Times New Roman"/>
              </w:rPr>
              <w:t>Wartość ekspozycji wskaźnika dźwigni dla pozycji bilansowych związanych z udzielaniem kredytów eksporterowi lub importerowi towarów lub usług w ramach kredytów importowych i</w:t>
            </w:r>
            <w:r w:rsidR="00E17BAD">
              <w:rPr>
                <w:rFonts w:ascii="Times New Roman" w:hAnsi="Times New Roman"/>
              </w:rPr>
              <w:t> </w:t>
            </w:r>
            <w:r w:rsidRPr="00AE79AC">
              <w:rPr>
                <w:rFonts w:ascii="Times New Roman" w:hAnsi="Times New Roman"/>
              </w:rPr>
              <w:t xml:space="preserve">eksportowych i podobnych transakcji. </w:t>
            </w:r>
          </w:p>
          <w:p w:rsidR="002509B1" w:rsidRPr="00AE79AC" w:rsidRDefault="002509B1" w:rsidP="007E2A41">
            <w:pPr>
              <w:pStyle w:val="BodyText1"/>
              <w:spacing w:line="240" w:lineRule="auto"/>
              <w:rPr>
                <w:rFonts w:ascii="Times New Roman" w:hAnsi="Times New Roman"/>
                <w:bCs/>
              </w:rPr>
            </w:pPr>
          </w:p>
          <w:p w:rsidR="00086A8A" w:rsidRPr="00AE79AC" w:rsidRDefault="00086A8A" w:rsidP="007E2A41">
            <w:pPr>
              <w:pStyle w:val="BodyText1"/>
              <w:spacing w:line="240" w:lineRule="auto"/>
              <w:rPr>
                <w:rFonts w:ascii="Times New Roman" w:hAnsi="Times New Roman"/>
                <w:bCs/>
              </w:rPr>
            </w:pPr>
            <w:r w:rsidRPr="00AE79AC">
              <w:rPr>
                <w:rFonts w:ascii="Times New Roman" w:hAnsi="Times New Roman"/>
              </w:rPr>
              <w:t>Instytucje nie zgłaszają tu ekspozycji, których dotyczy niewykonanie zobowiązania.</w:t>
            </w:r>
          </w:p>
          <w:p w:rsidR="00086A8A" w:rsidRPr="00AE79AC" w:rsidRDefault="00086A8A" w:rsidP="007E2A41">
            <w:pPr>
              <w:pStyle w:val="BodyText1"/>
              <w:spacing w:line="240" w:lineRule="auto"/>
              <w:rPr>
                <w:rFonts w:ascii="Times New Roman" w:hAnsi="Times New Roman"/>
                <w:bCs/>
              </w:rPr>
            </w:pPr>
          </w:p>
        </w:tc>
      </w:tr>
      <w:tr w:rsidR="00F4754B" w:rsidRPr="00AE79AC" w:rsidTr="0053335C">
        <w:trPr>
          <w:trHeight w:val="71"/>
        </w:trPr>
        <w:tc>
          <w:tcPr>
            <w:tcW w:w="1111" w:type="dxa"/>
            <w:shd w:val="clear" w:color="auto" w:fill="FFFFFF"/>
          </w:tcPr>
          <w:p w:rsidR="00F4754B" w:rsidRPr="00AE79AC" w:rsidRDefault="00F4754B" w:rsidP="006423CC">
            <w:pPr>
              <w:pStyle w:val="BodyText1"/>
              <w:rPr>
                <w:rFonts w:ascii="Times New Roman" w:hAnsi="Times New Roman"/>
                <w:bCs/>
              </w:rPr>
            </w:pPr>
            <w:r w:rsidRPr="00AE79AC">
              <w:rPr>
                <w:rFonts w:ascii="Times New Roman" w:hAnsi="Times New Roman"/>
              </w:rPr>
              <w:t>{310;020}</w:t>
            </w:r>
          </w:p>
        </w:tc>
        <w:tc>
          <w:tcPr>
            <w:tcW w:w="8133" w:type="dxa"/>
            <w:shd w:val="clear" w:color="auto" w:fill="FFFFFF"/>
          </w:tcPr>
          <w:p w:rsidR="00F4754B" w:rsidRPr="00AE79AC" w:rsidRDefault="00F4754B" w:rsidP="007E2A41">
            <w:pPr>
              <w:pStyle w:val="BodyText1"/>
              <w:spacing w:line="240" w:lineRule="auto"/>
              <w:rPr>
                <w:rFonts w:ascii="Times New Roman" w:hAnsi="Times New Roman"/>
                <w:b/>
                <w:bCs/>
              </w:rPr>
            </w:pPr>
            <w:r w:rsidRPr="00AE79AC">
              <w:rPr>
                <w:rFonts w:ascii="Times New Roman" w:hAnsi="Times New Roman"/>
                <w:b/>
              </w:rPr>
              <w:t>Finansowanie handlu (pozycja uzupełniająca), w tym – wartość ekspozycji wskaźnika dźwigni – ekspozycje według metody IRB</w:t>
            </w:r>
          </w:p>
          <w:p w:rsidR="002509B1" w:rsidRPr="00AE79AC" w:rsidRDefault="002509B1" w:rsidP="007E2A41">
            <w:pPr>
              <w:pStyle w:val="BodyText1"/>
              <w:spacing w:line="240" w:lineRule="auto"/>
              <w:rPr>
                <w:rFonts w:ascii="Times New Roman" w:hAnsi="Times New Roman"/>
                <w:b/>
                <w:bCs/>
              </w:rPr>
            </w:pPr>
          </w:p>
          <w:p w:rsidR="002509B1" w:rsidRPr="00AE79AC" w:rsidRDefault="00F4754B" w:rsidP="007E2A41">
            <w:pPr>
              <w:pStyle w:val="BodyText1"/>
              <w:spacing w:line="240" w:lineRule="auto"/>
              <w:rPr>
                <w:rFonts w:ascii="Times New Roman" w:hAnsi="Times New Roman"/>
                <w:b/>
                <w:bCs/>
                <w:u w:val="single"/>
              </w:rPr>
            </w:pPr>
            <w:r w:rsidRPr="00AE79AC">
              <w:rPr>
                <w:rFonts w:ascii="Times New Roman" w:hAnsi="Times New Roman"/>
              </w:rPr>
              <w:t>Kwota ekspozycji wskaźnika dźwigni dla pozycji bilansowych związanych z udzielaniem kredytów eksporterowi lub importerowi towarów lub usług w ramach kredytów importowych i</w:t>
            </w:r>
            <w:r w:rsidR="00E17BAD">
              <w:rPr>
                <w:rFonts w:ascii="Times New Roman" w:hAnsi="Times New Roman"/>
              </w:rPr>
              <w:t> </w:t>
            </w:r>
            <w:r w:rsidRPr="00AE79AC">
              <w:rPr>
                <w:rFonts w:ascii="Times New Roman" w:hAnsi="Times New Roman"/>
              </w:rPr>
              <w:t xml:space="preserve">eksportowych i podobnych transakcji. </w:t>
            </w:r>
          </w:p>
          <w:p w:rsidR="00BE6AC4" w:rsidRPr="00AE79AC" w:rsidRDefault="00BE6AC4" w:rsidP="009C4E79">
            <w:pPr>
              <w:pStyle w:val="BodyText1"/>
              <w:spacing w:line="240" w:lineRule="auto"/>
              <w:rPr>
                <w:rFonts w:ascii="Times New Roman" w:hAnsi="Times New Roman"/>
                <w:bCs/>
              </w:rPr>
            </w:pPr>
          </w:p>
          <w:p w:rsidR="009C4E79" w:rsidRPr="00AE79AC" w:rsidRDefault="009C4E79" w:rsidP="009C4E79">
            <w:pPr>
              <w:pStyle w:val="BodyText1"/>
              <w:spacing w:line="240" w:lineRule="auto"/>
              <w:rPr>
                <w:rFonts w:ascii="Times New Roman" w:hAnsi="Times New Roman"/>
                <w:bCs/>
              </w:rPr>
            </w:pPr>
            <w:r w:rsidRPr="00AE79AC">
              <w:rPr>
                <w:rFonts w:ascii="Times New Roman" w:hAnsi="Times New Roman"/>
              </w:rPr>
              <w:t>Instytucje nie zgłaszają tu ekspozycji, których dotyczy niewykonanie zobowiązania.</w:t>
            </w:r>
          </w:p>
          <w:p w:rsidR="009C4E79" w:rsidRPr="00AE79AC" w:rsidRDefault="009C4E79" w:rsidP="007E2A41">
            <w:pPr>
              <w:pStyle w:val="BodyText1"/>
              <w:spacing w:line="240" w:lineRule="auto"/>
              <w:rPr>
                <w:rFonts w:ascii="Times New Roman" w:hAnsi="Times New Roman"/>
                <w:b/>
                <w:bCs/>
                <w:u w:val="single"/>
              </w:rPr>
            </w:pPr>
          </w:p>
        </w:tc>
      </w:tr>
      <w:tr w:rsidR="00F4754B" w:rsidRPr="00AE79AC" w:rsidTr="0053335C">
        <w:trPr>
          <w:trHeight w:val="71"/>
        </w:trPr>
        <w:tc>
          <w:tcPr>
            <w:tcW w:w="1111" w:type="dxa"/>
            <w:shd w:val="clear" w:color="auto" w:fill="FFFFFF"/>
          </w:tcPr>
          <w:p w:rsidR="00F4754B" w:rsidRPr="00AE79AC" w:rsidRDefault="00F4754B" w:rsidP="006423CC">
            <w:pPr>
              <w:pStyle w:val="BodyText1"/>
              <w:rPr>
                <w:rFonts w:ascii="Times New Roman" w:hAnsi="Times New Roman"/>
              </w:rPr>
            </w:pPr>
            <w:r w:rsidRPr="00AE79AC">
              <w:rPr>
                <w:rFonts w:ascii="Times New Roman" w:hAnsi="Times New Roman"/>
              </w:rPr>
              <w:t>{310;030}</w:t>
            </w:r>
          </w:p>
        </w:tc>
        <w:tc>
          <w:tcPr>
            <w:tcW w:w="8133" w:type="dxa"/>
            <w:shd w:val="clear" w:color="auto" w:fill="FFFFFF"/>
          </w:tcPr>
          <w:p w:rsidR="00F4754B" w:rsidRPr="00AE79AC" w:rsidRDefault="00F4754B" w:rsidP="007E2A41">
            <w:pPr>
              <w:pStyle w:val="BodyText1"/>
              <w:spacing w:line="240" w:lineRule="auto"/>
              <w:rPr>
                <w:rFonts w:ascii="Times New Roman" w:hAnsi="Times New Roman"/>
                <w:b/>
                <w:bCs/>
              </w:rPr>
            </w:pPr>
            <w:r w:rsidRPr="00AE79AC">
              <w:rPr>
                <w:rFonts w:ascii="Times New Roman" w:hAnsi="Times New Roman"/>
                <w:b/>
              </w:rPr>
              <w:t>Finansowanie handlu (pozycja uzupełniająca), w tym – aktywa ważone ryzykiem – ekspozycje według metody standardowej</w:t>
            </w:r>
          </w:p>
          <w:p w:rsidR="002509B1" w:rsidRPr="00AE79AC" w:rsidRDefault="002509B1" w:rsidP="007E2A41">
            <w:pPr>
              <w:pStyle w:val="BodyText1"/>
              <w:spacing w:line="240" w:lineRule="auto"/>
              <w:rPr>
                <w:rFonts w:ascii="Times New Roman" w:hAnsi="Times New Roman"/>
                <w:b/>
                <w:bCs/>
              </w:rPr>
            </w:pPr>
          </w:p>
          <w:p w:rsidR="00F4754B" w:rsidRPr="00AE79AC" w:rsidRDefault="00F4754B" w:rsidP="007E2A41">
            <w:pPr>
              <w:pStyle w:val="BodyText1"/>
              <w:spacing w:line="240" w:lineRule="auto"/>
              <w:rPr>
                <w:rFonts w:ascii="Times New Roman" w:hAnsi="Times New Roman"/>
                <w:bCs/>
              </w:rPr>
            </w:pPr>
            <w:r w:rsidRPr="00AE79AC">
              <w:rPr>
                <w:rFonts w:ascii="Times New Roman" w:hAnsi="Times New Roman"/>
              </w:rPr>
              <w:t>Wartość ekspozycji ważonej ryzykiem dla pozycji bilansowych związanych z udzielaniem kredytów eksporterowi lub importerowi towarów lub usług w ramach kredytów importowych i</w:t>
            </w:r>
            <w:r w:rsidR="00E17BAD">
              <w:rPr>
                <w:rFonts w:ascii="Times New Roman" w:hAnsi="Times New Roman"/>
              </w:rPr>
              <w:t> </w:t>
            </w:r>
            <w:r w:rsidRPr="00AE79AC">
              <w:rPr>
                <w:rFonts w:ascii="Times New Roman" w:hAnsi="Times New Roman"/>
              </w:rPr>
              <w:t xml:space="preserve">eksportowych i podobnych transakcji. </w:t>
            </w:r>
          </w:p>
          <w:p w:rsidR="00086A8A" w:rsidRPr="00AE79AC" w:rsidRDefault="00086A8A" w:rsidP="007E2A41">
            <w:pPr>
              <w:pStyle w:val="BodyText1"/>
              <w:spacing w:line="240" w:lineRule="auto"/>
              <w:rPr>
                <w:rFonts w:ascii="Times New Roman" w:hAnsi="Times New Roman"/>
                <w:bCs/>
              </w:rPr>
            </w:pPr>
          </w:p>
          <w:p w:rsidR="00086A8A" w:rsidRPr="00AE79AC" w:rsidRDefault="00086A8A" w:rsidP="007E2A41">
            <w:pPr>
              <w:pStyle w:val="BodyText1"/>
              <w:spacing w:line="240" w:lineRule="auto"/>
              <w:rPr>
                <w:rFonts w:ascii="Times New Roman" w:hAnsi="Times New Roman"/>
                <w:bCs/>
              </w:rPr>
            </w:pPr>
            <w:r w:rsidRPr="00AE79AC">
              <w:rPr>
                <w:rFonts w:ascii="Times New Roman" w:hAnsi="Times New Roman"/>
              </w:rPr>
              <w:t>Instytucje nie zgłaszają tu ekspozycji, których dotyczy niewykonanie zobowiązania.</w:t>
            </w:r>
          </w:p>
          <w:p w:rsidR="002509B1" w:rsidRPr="00AE79AC" w:rsidRDefault="002509B1" w:rsidP="007E2A41">
            <w:pPr>
              <w:pStyle w:val="BodyText1"/>
              <w:spacing w:line="240" w:lineRule="auto"/>
              <w:rPr>
                <w:rFonts w:ascii="Times New Roman" w:hAnsi="Times New Roman"/>
                <w:b/>
                <w:bCs/>
                <w:u w:val="single"/>
              </w:rPr>
            </w:pPr>
          </w:p>
        </w:tc>
      </w:tr>
      <w:tr w:rsidR="00F4754B" w:rsidRPr="00AE79AC" w:rsidTr="0053335C">
        <w:trPr>
          <w:trHeight w:val="71"/>
        </w:trPr>
        <w:tc>
          <w:tcPr>
            <w:tcW w:w="1111" w:type="dxa"/>
            <w:shd w:val="clear" w:color="auto" w:fill="FFFFFF"/>
          </w:tcPr>
          <w:p w:rsidR="00F4754B" w:rsidRPr="00AE79AC" w:rsidRDefault="00F4754B" w:rsidP="006423CC">
            <w:pPr>
              <w:pStyle w:val="BodyText1"/>
              <w:rPr>
                <w:rFonts w:ascii="Times New Roman" w:hAnsi="Times New Roman"/>
              </w:rPr>
            </w:pPr>
            <w:r w:rsidRPr="00AE79AC">
              <w:rPr>
                <w:rFonts w:ascii="Times New Roman" w:hAnsi="Times New Roman"/>
              </w:rPr>
              <w:t>{310;040}</w:t>
            </w:r>
          </w:p>
        </w:tc>
        <w:tc>
          <w:tcPr>
            <w:tcW w:w="8133" w:type="dxa"/>
            <w:shd w:val="clear" w:color="auto" w:fill="FFFFFF"/>
          </w:tcPr>
          <w:p w:rsidR="00F4754B" w:rsidRPr="00AE79AC" w:rsidRDefault="00F4754B" w:rsidP="007E2A41">
            <w:pPr>
              <w:pStyle w:val="BodyText1"/>
              <w:spacing w:line="240" w:lineRule="auto"/>
              <w:rPr>
                <w:rFonts w:ascii="Times New Roman" w:hAnsi="Times New Roman"/>
                <w:b/>
                <w:bCs/>
              </w:rPr>
            </w:pPr>
            <w:r w:rsidRPr="00AE79AC">
              <w:rPr>
                <w:rFonts w:ascii="Times New Roman" w:hAnsi="Times New Roman"/>
                <w:b/>
              </w:rPr>
              <w:t>Finansowanie handlu (pozycja uzupełniająca), w tym – aktywa ważone ryzykiem – ekspozycje według metody IRB</w:t>
            </w:r>
          </w:p>
          <w:p w:rsidR="002509B1" w:rsidRPr="00AE79AC" w:rsidRDefault="002509B1" w:rsidP="007E2A41">
            <w:pPr>
              <w:pStyle w:val="BodyText1"/>
              <w:spacing w:line="240" w:lineRule="auto"/>
              <w:rPr>
                <w:rFonts w:ascii="Times New Roman" w:hAnsi="Times New Roman"/>
                <w:b/>
                <w:bCs/>
              </w:rPr>
            </w:pPr>
          </w:p>
          <w:p w:rsidR="00F4754B" w:rsidRPr="00AE79AC" w:rsidRDefault="00F4754B" w:rsidP="007E2A41">
            <w:pPr>
              <w:pStyle w:val="BodyText1"/>
              <w:spacing w:line="240" w:lineRule="auto"/>
              <w:rPr>
                <w:rFonts w:ascii="Times New Roman" w:hAnsi="Times New Roman"/>
                <w:bCs/>
              </w:rPr>
            </w:pPr>
            <w:r w:rsidRPr="00AE79AC">
              <w:rPr>
                <w:rFonts w:ascii="Times New Roman" w:hAnsi="Times New Roman"/>
              </w:rPr>
              <w:t>Kwota ekspozycji ważonej ryzykiem dla pozycji bilansowych związanych z udzielaniem kredytów eksporterowi lub importerowi towarów lub usług w ramach kredytów importowych i</w:t>
            </w:r>
            <w:r w:rsidR="00E17BAD">
              <w:rPr>
                <w:rFonts w:ascii="Times New Roman" w:hAnsi="Times New Roman"/>
              </w:rPr>
              <w:t> </w:t>
            </w:r>
            <w:r w:rsidRPr="00AE79AC">
              <w:rPr>
                <w:rFonts w:ascii="Times New Roman" w:hAnsi="Times New Roman"/>
              </w:rPr>
              <w:t xml:space="preserve">eksportowych i podobnych transakcji. </w:t>
            </w:r>
          </w:p>
          <w:p w:rsidR="002509B1" w:rsidRPr="00AE79AC" w:rsidRDefault="002509B1" w:rsidP="007E2A41">
            <w:pPr>
              <w:pStyle w:val="BodyText1"/>
              <w:spacing w:line="240" w:lineRule="auto"/>
              <w:rPr>
                <w:rFonts w:ascii="Times New Roman" w:hAnsi="Times New Roman"/>
                <w:b/>
                <w:bCs/>
                <w:u w:val="single"/>
              </w:rPr>
            </w:pPr>
          </w:p>
          <w:p w:rsidR="009C4E79" w:rsidRPr="00AE79AC" w:rsidRDefault="009C4E79" w:rsidP="009C4E79">
            <w:pPr>
              <w:pStyle w:val="BodyText1"/>
              <w:spacing w:line="240" w:lineRule="auto"/>
              <w:rPr>
                <w:rFonts w:ascii="Times New Roman" w:hAnsi="Times New Roman"/>
                <w:bCs/>
              </w:rPr>
            </w:pPr>
            <w:r w:rsidRPr="00AE79AC">
              <w:rPr>
                <w:rFonts w:ascii="Times New Roman" w:hAnsi="Times New Roman"/>
              </w:rPr>
              <w:t>Instytucje nie zgłaszają tu ekspozycji, których dotyczy niewykonanie zobowiązania.</w:t>
            </w:r>
          </w:p>
          <w:p w:rsidR="009C4E79" w:rsidRPr="00AE79AC" w:rsidRDefault="009C4E79" w:rsidP="007E2A41">
            <w:pPr>
              <w:pStyle w:val="BodyText1"/>
              <w:spacing w:line="240" w:lineRule="auto"/>
              <w:rPr>
                <w:rFonts w:ascii="Times New Roman" w:hAnsi="Times New Roman"/>
                <w:b/>
                <w:bCs/>
                <w:u w:val="single"/>
              </w:rPr>
            </w:pPr>
          </w:p>
        </w:tc>
      </w:tr>
      <w:tr w:rsidR="00F4754B" w:rsidRPr="00AE79AC" w:rsidTr="0053335C">
        <w:trPr>
          <w:trHeight w:val="71"/>
        </w:trPr>
        <w:tc>
          <w:tcPr>
            <w:tcW w:w="1111" w:type="dxa"/>
            <w:shd w:val="clear" w:color="auto" w:fill="FFFFFF"/>
          </w:tcPr>
          <w:p w:rsidR="00F4754B" w:rsidRPr="00AE79AC" w:rsidRDefault="00F4754B" w:rsidP="00A60C43">
            <w:pPr>
              <w:pStyle w:val="BodyText1"/>
              <w:rPr>
                <w:rFonts w:ascii="Times New Roman" w:hAnsi="Times New Roman"/>
              </w:rPr>
            </w:pPr>
            <w:r w:rsidRPr="00AE79AC">
              <w:rPr>
                <w:rFonts w:ascii="Times New Roman" w:hAnsi="Times New Roman"/>
              </w:rPr>
              <w:t>{320;010}</w:t>
            </w:r>
          </w:p>
        </w:tc>
        <w:tc>
          <w:tcPr>
            <w:tcW w:w="8133" w:type="dxa"/>
            <w:shd w:val="clear" w:color="auto" w:fill="FFFFFF"/>
          </w:tcPr>
          <w:p w:rsidR="00F4754B" w:rsidRPr="00AE79AC" w:rsidRDefault="00F4754B" w:rsidP="007E2A41">
            <w:pPr>
              <w:pStyle w:val="BodyText1"/>
              <w:spacing w:line="240" w:lineRule="auto"/>
              <w:rPr>
                <w:rFonts w:ascii="Times New Roman" w:hAnsi="Times New Roman"/>
                <w:b/>
                <w:bCs/>
              </w:rPr>
            </w:pPr>
            <w:r w:rsidRPr="00AE79AC">
              <w:rPr>
                <w:rFonts w:ascii="Times New Roman" w:hAnsi="Times New Roman"/>
                <w:b/>
              </w:rPr>
              <w:t>W ramach urzędowego programu ubezpieczenia kredytów eksportowych – wartość ekspozycji wskaźnika dźwigni – ekspozycje według metody standardowej</w:t>
            </w:r>
          </w:p>
          <w:p w:rsidR="002509B1" w:rsidRPr="00AE79AC" w:rsidRDefault="002509B1" w:rsidP="007E2A41">
            <w:pPr>
              <w:pStyle w:val="BodyText1"/>
              <w:spacing w:line="240" w:lineRule="auto"/>
              <w:rPr>
                <w:rFonts w:ascii="Times New Roman" w:hAnsi="Times New Roman"/>
                <w:b/>
                <w:bCs/>
              </w:rPr>
            </w:pPr>
          </w:p>
          <w:p w:rsidR="00F4754B" w:rsidRPr="00AE79AC" w:rsidRDefault="00F4754B" w:rsidP="007E2A41">
            <w:pPr>
              <w:pStyle w:val="BodyText1"/>
              <w:spacing w:line="240" w:lineRule="auto"/>
              <w:rPr>
                <w:rFonts w:ascii="Times New Roman" w:hAnsi="Times New Roman"/>
              </w:rPr>
            </w:pPr>
            <w:r w:rsidRPr="00AE79AC">
              <w:rPr>
                <w:rFonts w:ascii="Times New Roman" w:hAnsi="Times New Roman"/>
              </w:rPr>
              <w:t>Wartość ekspozycji wskaźnika dźwigni dla pozycji bilansowych związanych z finansowaniem handlu w ramach urzędowego programu ubezpieczenia kredytów eksportowych. Na potrzeby sprawozdawczości we wzorze LR4 urzędowy program ubezpieczenia kredytów eksportowych dotyczy oficjalnego wsparcia udzielanego przez rząd lub inny podmiot, taki jak agencja kredytów eksportowych, w postaci m.in. kredytów bezpośrednich/finansowania bezpośredniego, refinansowania, subsydiowania stopy procentowej (w przypadku którego gwarantuje się stałe oprocentowanie przez okres kredytu), finansowania pomocy (kredyty i dotacje), ubezpieczenia i</w:t>
            </w:r>
            <w:r w:rsidR="00E17BAD">
              <w:rPr>
                <w:rFonts w:ascii="Times New Roman" w:hAnsi="Times New Roman"/>
              </w:rPr>
              <w:t> </w:t>
            </w:r>
            <w:r w:rsidRPr="00AE79AC">
              <w:rPr>
                <w:rFonts w:ascii="Times New Roman" w:hAnsi="Times New Roman"/>
              </w:rPr>
              <w:t xml:space="preserve">gwarancji kredytu eksportowego. </w:t>
            </w:r>
          </w:p>
          <w:p w:rsidR="00086A8A" w:rsidRPr="00AE79AC" w:rsidRDefault="00086A8A" w:rsidP="007E2A41">
            <w:pPr>
              <w:pStyle w:val="BodyText1"/>
              <w:spacing w:line="240" w:lineRule="auto"/>
              <w:rPr>
                <w:rFonts w:ascii="Times New Roman" w:hAnsi="Times New Roman"/>
              </w:rPr>
            </w:pPr>
          </w:p>
          <w:p w:rsidR="00086A8A" w:rsidRPr="00AE79AC" w:rsidRDefault="00086A8A" w:rsidP="007E2A41">
            <w:pPr>
              <w:pStyle w:val="BodyText1"/>
              <w:spacing w:line="240" w:lineRule="auto"/>
              <w:rPr>
                <w:rFonts w:ascii="Times New Roman" w:hAnsi="Times New Roman"/>
              </w:rPr>
            </w:pPr>
            <w:r w:rsidRPr="00AE79AC">
              <w:rPr>
                <w:rFonts w:ascii="Times New Roman" w:hAnsi="Times New Roman"/>
              </w:rPr>
              <w:t>Instytucje nie zgłaszają tu ekspozycji, których dotyczy niewykonanie zobowiązania.</w:t>
            </w:r>
          </w:p>
          <w:p w:rsidR="002509B1" w:rsidRPr="00AE79AC" w:rsidRDefault="002509B1" w:rsidP="007E2A41">
            <w:pPr>
              <w:pStyle w:val="BodyText1"/>
              <w:spacing w:line="240" w:lineRule="auto"/>
              <w:rPr>
                <w:rFonts w:ascii="Times New Roman" w:hAnsi="Times New Roman"/>
                <w:bCs/>
              </w:rPr>
            </w:pPr>
          </w:p>
        </w:tc>
      </w:tr>
      <w:tr w:rsidR="00F4754B" w:rsidRPr="00AE79AC" w:rsidTr="0053335C">
        <w:trPr>
          <w:trHeight w:val="71"/>
        </w:trPr>
        <w:tc>
          <w:tcPr>
            <w:tcW w:w="1111" w:type="dxa"/>
            <w:shd w:val="clear" w:color="auto" w:fill="FFFFFF"/>
          </w:tcPr>
          <w:p w:rsidR="00F4754B" w:rsidRPr="00AE79AC" w:rsidRDefault="00F4754B" w:rsidP="006423CC">
            <w:pPr>
              <w:pStyle w:val="BodyText1"/>
              <w:rPr>
                <w:rFonts w:ascii="Times New Roman" w:hAnsi="Times New Roman"/>
                <w:bCs/>
              </w:rPr>
            </w:pPr>
            <w:r w:rsidRPr="00AE79AC">
              <w:rPr>
                <w:rFonts w:ascii="Times New Roman" w:hAnsi="Times New Roman"/>
              </w:rPr>
              <w:t>{320;020}</w:t>
            </w:r>
          </w:p>
        </w:tc>
        <w:tc>
          <w:tcPr>
            <w:tcW w:w="8133" w:type="dxa"/>
            <w:shd w:val="clear" w:color="auto" w:fill="FFFFFF"/>
          </w:tcPr>
          <w:p w:rsidR="00F4754B" w:rsidRPr="00AE79AC" w:rsidRDefault="00F4754B" w:rsidP="007E2A41">
            <w:pPr>
              <w:pStyle w:val="BodyText1"/>
              <w:spacing w:line="240" w:lineRule="auto"/>
              <w:rPr>
                <w:rFonts w:ascii="Times New Roman" w:hAnsi="Times New Roman"/>
                <w:b/>
                <w:bCs/>
              </w:rPr>
            </w:pPr>
            <w:r w:rsidRPr="00AE79AC">
              <w:rPr>
                <w:rFonts w:ascii="Times New Roman" w:hAnsi="Times New Roman"/>
                <w:b/>
              </w:rPr>
              <w:t>W ramach urzędowego programu ubezpieczenia kredytów eksportowych – wartość ekspozycji wskaźnika dźwigni – ekspozycje według metody IRB</w:t>
            </w:r>
          </w:p>
          <w:p w:rsidR="002509B1" w:rsidRPr="00AE79AC" w:rsidRDefault="002509B1" w:rsidP="007E2A41">
            <w:pPr>
              <w:pStyle w:val="BodyText1"/>
              <w:spacing w:line="240" w:lineRule="auto"/>
              <w:rPr>
                <w:rFonts w:ascii="Times New Roman" w:hAnsi="Times New Roman"/>
                <w:b/>
                <w:bCs/>
              </w:rPr>
            </w:pPr>
          </w:p>
          <w:p w:rsidR="00F4754B" w:rsidRPr="00AE79AC" w:rsidRDefault="00F4754B" w:rsidP="007E2A41">
            <w:pPr>
              <w:pStyle w:val="BodyText1"/>
              <w:spacing w:line="240" w:lineRule="auto"/>
              <w:rPr>
                <w:rFonts w:ascii="Times New Roman" w:hAnsi="Times New Roman"/>
              </w:rPr>
            </w:pPr>
            <w:r w:rsidRPr="00AE79AC">
              <w:rPr>
                <w:rFonts w:ascii="Times New Roman" w:hAnsi="Times New Roman"/>
              </w:rPr>
              <w:t>Kwota ekspozycji wskaźnika dźwigni dla pozycji bilansowych związanych z finansowaniem handlu w ramach urzędowego programu ubezpieczenia kredytów eksportowych. Na potrzeby sprawozdawczości we wzorze LR4 urzędowy program ubezpieczenia kredytów eksportowych dotyczy oficjalnego wsparcia udzielanego przez rząd lub inny podmiot, taki jak agencja kredytów eksportowych, w postaci m.in. kredytów bezpośrednich/finansowania bezpośredniego, refinansowania, subsydiowania stopy procentowej (w przypadku którego gwarantuje się stałe oprocentowanie przez okres kredytu), finansowania pomocy (kredyty i dotacje), ubezpieczenia i</w:t>
            </w:r>
            <w:r w:rsidR="00E17BAD">
              <w:rPr>
                <w:rFonts w:ascii="Times New Roman" w:hAnsi="Times New Roman"/>
              </w:rPr>
              <w:t> </w:t>
            </w:r>
            <w:r w:rsidRPr="00AE79AC">
              <w:rPr>
                <w:rFonts w:ascii="Times New Roman" w:hAnsi="Times New Roman"/>
              </w:rPr>
              <w:t xml:space="preserve">gwarancji kredytu eksportowego. </w:t>
            </w:r>
          </w:p>
          <w:p w:rsidR="009C4E79" w:rsidRPr="00AE79AC" w:rsidRDefault="009C4E79" w:rsidP="007E2A41">
            <w:pPr>
              <w:pStyle w:val="BodyText1"/>
              <w:spacing w:line="240" w:lineRule="auto"/>
              <w:rPr>
                <w:rFonts w:ascii="Times New Roman" w:hAnsi="Times New Roman"/>
              </w:rPr>
            </w:pPr>
          </w:p>
          <w:p w:rsidR="009C4E79" w:rsidRPr="00AE79AC" w:rsidRDefault="009C4E79" w:rsidP="007E2A41">
            <w:pPr>
              <w:pStyle w:val="BodyText1"/>
              <w:spacing w:line="240" w:lineRule="auto"/>
              <w:rPr>
                <w:rFonts w:ascii="Times New Roman" w:hAnsi="Times New Roman"/>
              </w:rPr>
            </w:pPr>
            <w:r w:rsidRPr="00AE79AC">
              <w:rPr>
                <w:rFonts w:ascii="Times New Roman" w:hAnsi="Times New Roman"/>
              </w:rPr>
              <w:t>Instytucje nie zgłaszają tu ekspozycji, których dotyczy niewykonanie zobowiązania.</w:t>
            </w:r>
          </w:p>
          <w:p w:rsidR="002509B1" w:rsidRPr="00AE79AC" w:rsidDel="00600AB1" w:rsidRDefault="002509B1" w:rsidP="007E2A41">
            <w:pPr>
              <w:pStyle w:val="BodyText1"/>
              <w:spacing w:line="240" w:lineRule="auto"/>
              <w:rPr>
                <w:rFonts w:ascii="Times New Roman" w:hAnsi="Times New Roman"/>
                <w:b/>
                <w:bCs/>
                <w:u w:val="single"/>
              </w:rPr>
            </w:pPr>
          </w:p>
        </w:tc>
      </w:tr>
      <w:tr w:rsidR="00F4754B" w:rsidRPr="00AE79AC" w:rsidTr="0053335C">
        <w:trPr>
          <w:trHeight w:val="71"/>
        </w:trPr>
        <w:tc>
          <w:tcPr>
            <w:tcW w:w="1111" w:type="dxa"/>
            <w:shd w:val="clear" w:color="auto" w:fill="FFFFFF"/>
          </w:tcPr>
          <w:p w:rsidR="00F4754B" w:rsidRPr="00AE79AC" w:rsidRDefault="00F4754B" w:rsidP="006423CC">
            <w:pPr>
              <w:pStyle w:val="BodyText1"/>
              <w:rPr>
                <w:rFonts w:ascii="Times New Roman" w:hAnsi="Times New Roman"/>
              </w:rPr>
            </w:pPr>
            <w:r w:rsidRPr="00AE79AC">
              <w:rPr>
                <w:rFonts w:ascii="Times New Roman" w:hAnsi="Times New Roman"/>
              </w:rPr>
              <w:t>{320;030}</w:t>
            </w:r>
          </w:p>
        </w:tc>
        <w:tc>
          <w:tcPr>
            <w:tcW w:w="8133" w:type="dxa"/>
            <w:shd w:val="clear" w:color="auto" w:fill="FFFFFF"/>
          </w:tcPr>
          <w:p w:rsidR="00F4754B" w:rsidRPr="00AE79AC" w:rsidRDefault="00F4754B" w:rsidP="007E2A41">
            <w:pPr>
              <w:pStyle w:val="BodyText1"/>
              <w:spacing w:line="240" w:lineRule="auto"/>
              <w:rPr>
                <w:rFonts w:ascii="Times New Roman" w:hAnsi="Times New Roman"/>
                <w:b/>
                <w:bCs/>
              </w:rPr>
            </w:pPr>
            <w:r w:rsidRPr="00AE79AC">
              <w:rPr>
                <w:rFonts w:ascii="Times New Roman" w:hAnsi="Times New Roman"/>
                <w:b/>
              </w:rPr>
              <w:t>W ramach urzędowego programu ubezpieczenia kredytów eksportowych – aktywa ważone ryzykiem – ekspozycje według metody standardowej</w:t>
            </w:r>
          </w:p>
          <w:p w:rsidR="002509B1" w:rsidRPr="00AE79AC" w:rsidRDefault="002509B1" w:rsidP="007E2A41">
            <w:pPr>
              <w:pStyle w:val="BodyText1"/>
              <w:spacing w:line="240" w:lineRule="auto"/>
              <w:rPr>
                <w:rFonts w:ascii="Times New Roman" w:hAnsi="Times New Roman"/>
                <w:b/>
                <w:bCs/>
              </w:rPr>
            </w:pPr>
          </w:p>
          <w:p w:rsidR="00F4754B" w:rsidRPr="00AE79AC" w:rsidRDefault="00F4754B" w:rsidP="007E2A41">
            <w:pPr>
              <w:pStyle w:val="BodyText1"/>
              <w:spacing w:line="240" w:lineRule="auto"/>
              <w:rPr>
                <w:rFonts w:ascii="Times New Roman" w:hAnsi="Times New Roman"/>
              </w:rPr>
            </w:pPr>
            <w:r w:rsidRPr="00AE79AC">
              <w:rPr>
                <w:rFonts w:ascii="Times New Roman" w:hAnsi="Times New Roman"/>
              </w:rPr>
              <w:t>Wartość ekspozycji ważonej ryzykiem dla pozycji bilansowych związanych z finansowaniem handlu w ramach urzędowego programu ubezpieczenia kredytów eksportowych. Na potrzeby sprawozdawczości we wzorze LR4 urzędowy program ubezpieczenia kredytów eksportowych dotyczy oficjalnego wsparcia udzielanego przez rząd lub inny podmiot, taki jak agencja kredytów eksportowych, w postaci m.in. kredytów bezpośrednich/finansowania bezpośredniego, refinansowania, subsydiowania stopy procentowej (w przypadku którego gwarantuje się stałe oprocentowanie przez okres kredytu), finansowania pomocy (kredyty i dotacje), ubezpieczenia i</w:t>
            </w:r>
            <w:r w:rsidR="00E17BAD">
              <w:rPr>
                <w:rFonts w:ascii="Times New Roman" w:hAnsi="Times New Roman"/>
              </w:rPr>
              <w:t> </w:t>
            </w:r>
            <w:r w:rsidRPr="00AE79AC">
              <w:rPr>
                <w:rFonts w:ascii="Times New Roman" w:hAnsi="Times New Roman"/>
              </w:rPr>
              <w:t xml:space="preserve">gwarancji kredytu eksportowego. </w:t>
            </w:r>
          </w:p>
          <w:p w:rsidR="00086A8A" w:rsidRPr="00AE79AC" w:rsidRDefault="00086A8A" w:rsidP="007E2A41">
            <w:pPr>
              <w:pStyle w:val="BodyText1"/>
              <w:spacing w:line="240" w:lineRule="auto"/>
              <w:rPr>
                <w:rFonts w:ascii="Times New Roman" w:hAnsi="Times New Roman"/>
              </w:rPr>
            </w:pPr>
          </w:p>
          <w:p w:rsidR="00086A8A" w:rsidRPr="00AE79AC" w:rsidRDefault="00086A8A" w:rsidP="007E2A41">
            <w:pPr>
              <w:pStyle w:val="BodyText1"/>
              <w:spacing w:line="240" w:lineRule="auto"/>
              <w:rPr>
                <w:rFonts w:ascii="Times New Roman" w:hAnsi="Times New Roman"/>
              </w:rPr>
            </w:pPr>
            <w:r w:rsidRPr="00AE79AC">
              <w:rPr>
                <w:rFonts w:ascii="Times New Roman" w:hAnsi="Times New Roman"/>
              </w:rPr>
              <w:t>Instytucje nie zgłaszają tu ekspozycji, których dotyczy niewykonanie zobowiązania.</w:t>
            </w:r>
          </w:p>
          <w:p w:rsidR="002509B1" w:rsidRPr="00AE79AC" w:rsidRDefault="002509B1" w:rsidP="007E2A41">
            <w:pPr>
              <w:pStyle w:val="BodyText1"/>
              <w:spacing w:line="240" w:lineRule="auto"/>
              <w:rPr>
                <w:rFonts w:ascii="Times New Roman" w:hAnsi="Times New Roman"/>
                <w:b/>
                <w:bCs/>
                <w:u w:val="single"/>
              </w:rPr>
            </w:pPr>
          </w:p>
        </w:tc>
      </w:tr>
      <w:tr w:rsidR="00F4754B" w:rsidRPr="00AE79AC" w:rsidTr="0053335C">
        <w:trPr>
          <w:trHeight w:val="71"/>
        </w:trPr>
        <w:tc>
          <w:tcPr>
            <w:tcW w:w="1111" w:type="dxa"/>
            <w:shd w:val="clear" w:color="auto" w:fill="FFFFFF"/>
          </w:tcPr>
          <w:p w:rsidR="00F4754B" w:rsidRPr="00AE79AC" w:rsidRDefault="00F4754B" w:rsidP="006423CC">
            <w:pPr>
              <w:pStyle w:val="BodyText1"/>
              <w:rPr>
                <w:rFonts w:ascii="Times New Roman" w:hAnsi="Times New Roman"/>
              </w:rPr>
            </w:pPr>
            <w:r w:rsidRPr="00AE79AC">
              <w:rPr>
                <w:rFonts w:ascii="Times New Roman" w:hAnsi="Times New Roman"/>
              </w:rPr>
              <w:t>{320;040}</w:t>
            </w:r>
          </w:p>
        </w:tc>
        <w:tc>
          <w:tcPr>
            <w:tcW w:w="8133" w:type="dxa"/>
            <w:shd w:val="clear" w:color="auto" w:fill="FFFFFF"/>
          </w:tcPr>
          <w:p w:rsidR="00F4754B" w:rsidRPr="00AE79AC" w:rsidRDefault="00F4754B" w:rsidP="007E2A41">
            <w:pPr>
              <w:pStyle w:val="BodyText1"/>
              <w:spacing w:line="240" w:lineRule="auto"/>
              <w:rPr>
                <w:rFonts w:ascii="Times New Roman" w:hAnsi="Times New Roman"/>
                <w:b/>
                <w:bCs/>
              </w:rPr>
            </w:pPr>
            <w:r w:rsidRPr="00AE79AC">
              <w:rPr>
                <w:rFonts w:ascii="Times New Roman" w:hAnsi="Times New Roman"/>
                <w:b/>
              </w:rPr>
              <w:t>W ramach urzędowego programu ubezpieczenia kredytów eksportowych – aktywa ważone ryzykiem – ekspozycje według metody IRB</w:t>
            </w:r>
          </w:p>
          <w:p w:rsidR="002509B1" w:rsidRPr="00AE79AC" w:rsidRDefault="002509B1" w:rsidP="007E2A41">
            <w:pPr>
              <w:pStyle w:val="BodyText1"/>
              <w:spacing w:line="240" w:lineRule="auto"/>
              <w:rPr>
                <w:rFonts w:ascii="Times New Roman" w:hAnsi="Times New Roman"/>
                <w:b/>
                <w:bCs/>
              </w:rPr>
            </w:pPr>
          </w:p>
          <w:p w:rsidR="009C4E79" w:rsidRPr="00AE79AC" w:rsidRDefault="00F4754B" w:rsidP="007E2A41">
            <w:pPr>
              <w:pStyle w:val="BodyText1"/>
              <w:spacing w:line="240" w:lineRule="auto"/>
              <w:rPr>
                <w:rFonts w:ascii="Times New Roman" w:hAnsi="Times New Roman"/>
              </w:rPr>
            </w:pPr>
            <w:r w:rsidRPr="00AE79AC">
              <w:rPr>
                <w:rFonts w:ascii="Times New Roman" w:hAnsi="Times New Roman"/>
              </w:rPr>
              <w:t>Kwota ekspozycji ważonej ryzykiem dla pozycji bilansowych związanych z finansowaniem handlu w ramach urzędowego programu ubezpieczenia kredytów eksportowych. Na potrzeby sprawozdawczości we wzorze LR4 urzędowy program ubezpieczenia kredytów eksportowych dotyczy oficjalnego wsparcia udzielanego przez rząd lub inny podmiot, taki jak agencja kredytów eksportowych, w postaci m.in. kredytów bezpośrednich/finansowania bezpośredniego, refinansowania, subsydiowania stopy procentowej (w przypadku którego gwarantuje się stałe oprocentowanie przez okres kredytu), finansowania pomocy (kredyty i dotacje), ubezpieczenia i</w:t>
            </w:r>
            <w:r w:rsidR="00E17BAD">
              <w:rPr>
                <w:rFonts w:ascii="Times New Roman" w:hAnsi="Times New Roman"/>
              </w:rPr>
              <w:t> </w:t>
            </w:r>
            <w:r w:rsidRPr="00AE79AC">
              <w:rPr>
                <w:rFonts w:ascii="Times New Roman" w:hAnsi="Times New Roman"/>
              </w:rPr>
              <w:t xml:space="preserve">gwarancji kredytu eksportowego. </w:t>
            </w:r>
          </w:p>
          <w:p w:rsidR="009C4E79" w:rsidRPr="00AE79AC" w:rsidRDefault="009C4E79" w:rsidP="007E2A41">
            <w:pPr>
              <w:pStyle w:val="BodyText1"/>
              <w:spacing w:line="240" w:lineRule="auto"/>
              <w:rPr>
                <w:rFonts w:ascii="Times New Roman" w:hAnsi="Times New Roman"/>
              </w:rPr>
            </w:pPr>
          </w:p>
          <w:p w:rsidR="00F4754B" w:rsidRPr="00AE79AC" w:rsidRDefault="009C4E79" w:rsidP="007E2A41">
            <w:pPr>
              <w:pStyle w:val="BodyText1"/>
              <w:spacing w:line="240" w:lineRule="auto"/>
              <w:rPr>
                <w:rFonts w:ascii="Times New Roman" w:hAnsi="Times New Roman"/>
              </w:rPr>
            </w:pPr>
            <w:r w:rsidRPr="00AE79AC">
              <w:rPr>
                <w:rFonts w:ascii="Times New Roman" w:hAnsi="Times New Roman"/>
              </w:rPr>
              <w:t>Instytucje nie zgłaszają tu ekspozycji, których dotyczy niewykonanie zobowiązania.</w:t>
            </w:r>
          </w:p>
          <w:p w:rsidR="002509B1" w:rsidRPr="00AE79AC" w:rsidRDefault="002509B1" w:rsidP="007E2A41">
            <w:pPr>
              <w:pStyle w:val="BodyText1"/>
              <w:spacing w:line="240" w:lineRule="auto"/>
              <w:rPr>
                <w:rFonts w:ascii="Times New Roman" w:hAnsi="Times New Roman"/>
                <w:b/>
                <w:bCs/>
                <w:u w:val="single"/>
              </w:rPr>
            </w:pPr>
          </w:p>
        </w:tc>
      </w:tr>
      <w:bookmarkEnd w:id="83"/>
    </w:tbl>
    <w:p w:rsidR="00217D1F" w:rsidRPr="00AE79AC" w:rsidRDefault="00F4754B" w:rsidP="00500508">
      <w:pPr>
        <w:pStyle w:val="BodyText1"/>
        <w:ind w:left="357" w:hanging="357"/>
        <w:outlineLvl w:val="1"/>
        <w:rPr>
          <w:rFonts w:ascii="Times New Roman" w:hAnsi="Times New Roman"/>
          <w:b/>
        </w:rPr>
      </w:pPr>
      <w:r w:rsidRPr="00AE79AC">
        <w:br w:type="page"/>
      </w:r>
      <w:bookmarkStart w:id="88" w:name="_Toc351048511"/>
      <w:bookmarkStart w:id="89" w:name="_Toc359414290"/>
      <w:bookmarkStart w:id="90" w:name="_Toc423089075"/>
      <w:bookmarkStart w:id="91" w:name="_Toc520369408"/>
      <w:r w:rsidRPr="00AE79AC">
        <w:rPr>
          <w:rFonts w:ascii="Times New Roman" w:hAnsi="Times New Roman"/>
          <w:b/>
        </w:rPr>
        <w:t>9.</w:t>
      </w:r>
      <w:r w:rsidRPr="00AE79AC">
        <w:tab/>
      </w:r>
      <w:r w:rsidRPr="00AE79AC">
        <w:rPr>
          <w:rFonts w:ascii="Times New Roman" w:hAnsi="Times New Roman"/>
          <w:b/>
        </w:rPr>
        <w:t>C 44.00 – Informacje ogólne</w:t>
      </w:r>
      <w:bookmarkEnd w:id="88"/>
      <w:bookmarkEnd w:id="89"/>
      <w:r w:rsidRPr="00AE79AC">
        <w:rPr>
          <w:rFonts w:ascii="Times New Roman" w:hAnsi="Times New Roman"/>
          <w:b/>
        </w:rPr>
        <w:t xml:space="preserve"> (LR5)</w:t>
      </w:r>
      <w:bookmarkEnd w:id="90"/>
      <w:bookmarkEnd w:id="91"/>
    </w:p>
    <w:p w:rsidR="00675587" w:rsidRPr="00AE79AC" w:rsidRDefault="00675587" w:rsidP="00675587">
      <w:pPr>
        <w:pStyle w:val="BodyText1"/>
        <w:ind w:left="720"/>
        <w:rPr>
          <w:rFonts w:ascii="Times New Roman" w:hAnsi="Times New Roman"/>
        </w:rPr>
      </w:pPr>
    </w:p>
    <w:p w:rsidR="00F4754B" w:rsidRPr="00AE79AC" w:rsidRDefault="00500508" w:rsidP="00500508">
      <w:pPr>
        <w:pStyle w:val="BodyText1"/>
        <w:spacing w:line="240" w:lineRule="auto"/>
        <w:ind w:left="720" w:hanging="360"/>
        <w:rPr>
          <w:rFonts w:ascii="Times New Roman" w:hAnsi="Times New Roman"/>
        </w:rPr>
      </w:pPr>
      <w:r w:rsidRPr="00AE79AC">
        <w:rPr>
          <w:rFonts w:ascii="Times New Roman" w:hAnsi="Times New Roman"/>
        </w:rPr>
        <w:t>31.</w:t>
      </w:r>
      <w:r w:rsidRPr="00AE79AC">
        <w:tab/>
      </w:r>
      <w:r w:rsidRPr="00AE79AC">
        <w:rPr>
          <w:rFonts w:ascii="Times New Roman" w:hAnsi="Times New Roman"/>
        </w:rPr>
        <w:t>W tym wzorze gromadzone są dodatkowe informacje do celów kategoryzacji rodzajów działalności instytucji i wariantów regulacyjnych wybieranych przez instytucje.</w:t>
      </w:r>
    </w:p>
    <w:p w:rsidR="00675587" w:rsidRPr="00AE79AC" w:rsidRDefault="00675587" w:rsidP="00675587">
      <w:pPr>
        <w:pStyle w:val="BodyText1"/>
        <w:ind w:left="720"/>
        <w:rPr>
          <w:rFonts w:ascii="Times New Roman" w:hAnsi="Times New Roman"/>
        </w:rPr>
      </w:pPr>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F4754B" w:rsidRPr="00AE79AC" w:rsidTr="00FC2664">
        <w:tc>
          <w:tcPr>
            <w:tcW w:w="1418" w:type="dxa"/>
            <w:shd w:val="clear" w:color="auto" w:fill="D9D9D9"/>
          </w:tcPr>
          <w:p w:rsidR="00F4754B" w:rsidRPr="00AE79AC" w:rsidRDefault="00F4754B" w:rsidP="00F4754B">
            <w:pPr>
              <w:pStyle w:val="BodyText1"/>
              <w:rPr>
                <w:rFonts w:ascii="Times New Roman" w:hAnsi="Times New Roman"/>
                <w:b/>
              </w:rPr>
            </w:pPr>
            <w:r w:rsidRPr="00AE79AC">
              <w:rPr>
                <w:rFonts w:ascii="Times New Roman" w:hAnsi="Times New Roman"/>
                <w:b/>
              </w:rPr>
              <w:t xml:space="preserve">Wiersz </w:t>
            </w:r>
          </w:p>
          <w:p w:rsidR="00F4754B" w:rsidRPr="00AE79AC" w:rsidRDefault="00F4754B" w:rsidP="00F4754B">
            <w:pPr>
              <w:pStyle w:val="BodyText1"/>
              <w:rPr>
                <w:rFonts w:ascii="Times New Roman" w:hAnsi="Times New Roman"/>
                <w:b/>
                <w:bCs/>
              </w:rPr>
            </w:pPr>
            <w:r w:rsidRPr="00AE79AC">
              <w:rPr>
                <w:rFonts w:ascii="Times New Roman" w:hAnsi="Times New Roman"/>
                <w:b/>
              </w:rPr>
              <w:t>i kolumna</w:t>
            </w:r>
          </w:p>
        </w:tc>
        <w:tc>
          <w:tcPr>
            <w:tcW w:w="7620" w:type="dxa"/>
            <w:shd w:val="clear" w:color="auto" w:fill="D9D9D9"/>
          </w:tcPr>
          <w:p w:rsidR="00F4754B" w:rsidRPr="00AE79AC" w:rsidRDefault="00F4754B" w:rsidP="00F4754B">
            <w:pPr>
              <w:pStyle w:val="BodyText1"/>
              <w:rPr>
                <w:rFonts w:ascii="Times New Roman" w:hAnsi="Times New Roman"/>
                <w:b/>
                <w:bCs/>
              </w:rPr>
            </w:pPr>
            <w:r w:rsidRPr="00AE79AC">
              <w:rPr>
                <w:rFonts w:ascii="Times New Roman" w:hAnsi="Times New Roman"/>
                <w:b/>
              </w:rPr>
              <w:t>Instrukcje</w:t>
            </w:r>
          </w:p>
        </w:tc>
      </w:tr>
      <w:tr w:rsidR="00F4754B" w:rsidRPr="00AE79AC" w:rsidTr="00FC2664">
        <w:tc>
          <w:tcPr>
            <w:tcW w:w="1418" w:type="dxa"/>
          </w:tcPr>
          <w:p w:rsidR="00F4754B" w:rsidRPr="00AE79AC" w:rsidRDefault="00F4754B" w:rsidP="00F4754B">
            <w:pPr>
              <w:pStyle w:val="BodyText1"/>
              <w:rPr>
                <w:rFonts w:ascii="Times New Roman" w:hAnsi="Times New Roman"/>
                <w:bCs/>
              </w:rPr>
            </w:pPr>
            <w:r w:rsidRPr="00AE79AC">
              <w:rPr>
                <w:rFonts w:ascii="Times New Roman" w:hAnsi="Times New Roman"/>
              </w:rPr>
              <w:t>{010;010}</w:t>
            </w:r>
          </w:p>
        </w:tc>
        <w:tc>
          <w:tcPr>
            <w:tcW w:w="7620" w:type="dxa"/>
          </w:tcPr>
          <w:p w:rsidR="00F4754B" w:rsidRPr="00AE79AC" w:rsidRDefault="00F4754B" w:rsidP="002509B1">
            <w:pPr>
              <w:pStyle w:val="BodyText1"/>
              <w:spacing w:line="240" w:lineRule="auto"/>
              <w:rPr>
                <w:rFonts w:ascii="Times New Roman" w:hAnsi="Times New Roman"/>
                <w:b/>
                <w:bCs/>
              </w:rPr>
            </w:pPr>
            <w:r w:rsidRPr="00AE79AC">
              <w:rPr>
                <w:rFonts w:ascii="Times New Roman" w:hAnsi="Times New Roman"/>
                <w:b/>
              </w:rPr>
              <w:t>Struktura przedsiębiorstwa instytucji</w:t>
            </w:r>
          </w:p>
          <w:p w:rsidR="00F4754B" w:rsidRPr="00AE79AC" w:rsidRDefault="00F4754B" w:rsidP="002509B1">
            <w:pPr>
              <w:pStyle w:val="BodyText1"/>
              <w:spacing w:line="240" w:lineRule="auto"/>
              <w:rPr>
                <w:rFonts w:ascii="Times New Roman" w:hAnsi="Times New Roman"/>
                <w:bCs/>
              </w:rPr>
            </w:pPr>
          </w:p>
          <w:p w:rsidR="00F4754B" w:rsidRPr="00AE79AC" w:rsidRDefault="00F4754B" w:rsidP="002509B1">
            <w:pPr>
              <w:pStyle w:val="BodyText1"/>
              <w:spacing w:line="240" w:lineRule="auto"/>
              <w:rPr>
                <w:rFonts w:ascii="Times New Roman" w:hAnsi="Times New Roman"/>
                <w:bCs/>
              </w:rPr>
            </w:pPr>
            <w:r w:rsidRPr="00AE79AC">
              <w:rPr>
                <w:rFonts w:ascii="Times New Roman" w:hAnsi="Times New Roman"/>
              </w:rPr>
              <w:t>Instytucja klasyfikuje swoją strukturę przedsiębiorstwa zgodnie z poniższymi kategoriami:</w:t>
            </w:r>
          </w:p>
          <w:p w:rsidR="00F4754B" w:rsidRPr="00AE79AC" w:rsidRDefault="00500508" w:rsidP="0077269C">
            <w:pPr>
              <w:pStyle w:val="BodyText1"/>
              <w:spacing w:line="240" w:lineRule="auto"/>
              <w:ind w:left="360" w:hanging="360"/>
              <w:rPr>
                <w:rFonts w:ascii="Times New Roman" w:hAnsi="Times New Roman"/>
                <w:bCs/>
              </w:rPr>
            </w:pPr>
            <w:r w:rsidRPr="00AE79AC">
              <w:rPr>
                <w:rFonts w:ascii="Times New Roman" w:hAnsi="Times New Roman"/>
              </w:rPr>
              <w:t>-</w:t>
            </w:r>
            <w:r w:rsidRPr="00AE79AC">
              <w:tab/>
            </w:r>
            <w:r w:rsidRPr="00AE79AC">
              <w:rPr>
                <w:rFonts w:ascii="Times New Roman" w:hAnsi="Times New Roman"/>
              </w:rPr>
              <w:t>spółka akcyjna;</w:t>
            </w:r>
          </w:p>
          <w:p w:rsidR="00F4754B" w:rsidRPr="00AE79AC" w:rsidRDefault="00500508" w:rsidP="0077269C">
            <w:pPr>
              <w:pStyle w:val="BodyText1"/>
              <w:spacing w:line="240" w:lineRule="auto"/>
              <w:ind w:left="360" w:hanging="360"/>
              <w:rPr>
                <w:rFonts w:ascii="Times New Roman" w:hAnsi="Times New Roman"/>
                <w:bCs/>
              </w:rPr>
            </w:pPr>
            <w:r w:rsidRPr="00AE79AC">
              <w:rPr>
                <w:rFonts w:ascii="Times New Roman" w:hAnsi="Times New Roman"/>
              </w:rPr>
              <w:t>-</w:t>
            </w:r>
            <w:r w:rsidRPr="00AE79AC">
              <w:tab/>
            </w:r>
            <w:r w:rsidRPr="00AE79AC">
              <w:rPr>
                <w:rFonts w:ascii="Times New Roman" w:hAnsi="Times New Roman"/>
              </w:rPr>
              <w:t>towarzystwo ubezpieczeń wzajemnych/spółdzielnia;</w:t>
            </w:r>
          </w:p>
          <w:p w:rsidR="00F4754B" w:rsidRPr="00AE79AC" w:rsidRDefault="00500508" w:rsidP="0077269C">
            <w:pPr>
              <w:pStyle w:val="BodyText1"/>
              <w:spacing w:line="240" w:lineRule="auto"/>
              <w:ind w:left="360" w:hanging="360"/>
              <w:rPr>
                <w:rFonts w:ascii="Times New Roman" w:hAnsi="Times New Roman"/>
                <w:bCs/>
              </w:rPr>
            </w:pPr>
            <w:r w:rsidRPr="00AE79AC">
              <w:rPr>
                <w:rFonts w:ascii="Times New Roman" w:hAnsi="Times New Roman"/>
              </w:rPr>
              <w:t>-</w:t>
            </w:r>
            <w:r w:rsidRPr="00AE79AC">
              <w:tab/>
            </w:r>
            <w:r w:rsidRPr="00AE79AC">
              <w:rPr>
                <w:rFonts w:ascii="Times New Roman" w:hAnsi="Times New Roman"/>
              </w:rPr>
              <w:t>inne przedsiębiorstwo niebędące spółką akcyjną.</w:t>
            </w:r>
          </w:p>
          <w:p w:rsidR="00BE6AC4" w:rsidRPr="00AE79AC" w:rsidRDefault="00BE6AC4" w:rsidP="00BE6AC4">
            <w:pPr>
              <w:pStyle w:val="BodyText1"/>
              <w:spacing w:line="240" w:lineRule="auto"/>
              <w:rPr>
                <w:rFonts w:ascii="Times New Roman" w:hAnsi="Times New Roman"/>
                <w:bCs/>
              </w:rPr>
            </w:pPr>
          </w:p>
        </w:tc>
      </w:tr>
      <w:tr w:rsidR="00F4754B" w:rsidRPr="00AE79AC" w:rsidTr="00FC2664">
        <w:tc>
          <w:tcPr>
            <w:tcW w:w="1418" w:type="dxa"/>
          </w:tcPr>
          <w:p w:rsidR="00F4754B" w:rsidRPr="00AE79AC" w:rsidRDefault="00F4754B" w:rsidP="00FA1A9C">
            <w:pPr>
              <w:pStyle w:val="BodyText1"/>
              <w:rPr>
                <w:rFonts w:ascii="Times New Roman" w:hAnsi="Times New Roman"/>
                <w:bCs/>
              </w:rPr>
            </w:pPr>
            <w:r w:rsidRPr="00AE79AC">
              <w:rPr>
                <w:rFonts w:ascii="Times New Roman" w:hAnsi="Times New Roman"/>
              </w:rPr>
              <w:t>{020;010}</w:t>
            </w:r>
          </w:p>
        </w:tc>
        <w:tc>
          <w:tcPr>
            <w:tcW w:w="7620" w:type="dxa"/>
          </w:tcPr>
          <w:p w:rsidR="00F4754B" w:rsidRPr="00AE79AC" w:rsidRDefault="00F4754B" w:rsidP="002509B1">
            <w:pPr>
              <w:pStyle w:val="BodyText1"/>
              <w:spacing w:line="240" w:lineRule="auto"/>
              <w:rPr>
                <w:rFonts w:ascii="Times New Roman" w:hAnsi="Times New Roman"/>
                <w:b/>
                <w:bCs/>
              </w:rPr>
            </w:pPr>
            <w:r w:rsidRPr="00AE79AC">
              <w:rPr>
                <w:rFonts w:ascii="Times New Roman" w:hAnsi="Times New Roman"/>
                <w:b/>
              </w:rPr>
              <w:t>Ujmowanie instrumentów pochodnych</w:t>
            </w:r>
          </w:p>
          <w:p w:rsidR="00F4754B" w:rsidRPr="00AE79AC" w:rsidRDefault="00F4754B" w:rsidP="002509B1">
            <w:pPr>
              <w:pStyle w:val="BodyText1"/>
              <w:spacing w:line="240" w:lineRule="auto"/>
              <w:rPr>
                <w:rFonts w:ascii="Times New Roman" w:hAnsi="Times New Roman"/>
                <w:bCs/>
              </w:rPr>
            </w:pPr>
          </w:p>
          <w:p w:rsidR="00F4754B" w:rsidRPr="00AE79AC" w:rsidRDefault="00F4754B" w:rsidP="002509B1">
            <w:pPr>
              <w:pStyle w:val="BodyText1"/>
              <w:spacing w:line="240" w:lineRule="auto"/>
              <w:rPr>
                <w:rFonts w:ascii="Times New Roman" w:hAnsi="Times New Roman"/>
                <w:bCs/>
              </w:rPr>
            </w:pPr>
            <w:r w:rsidRPr="00AE79AC">
              <w:rPr>
                <w:rFonts w:ascii="Times New Roman" w:hAnsi="Times New Roman"/>
              </w:rPr>
              <w:t>Instytucja określa regulacje w zakresie ujmowania instrumentów pochodnych zgodnie z</w:t>
            </w:r>
            <w:r w:rsidR="00E17BAD">
              <w:rPr>
                <w:rFonts w:ascii="Times New Roman" w:hAnsi="Times New Roman"/>
              </w:rPr>
              <w:t> </w:t>
            </w:r>
            <w:bookmarkStart w:id="92" w:name="_GoBack"/>
            <w:bookmarkEnd w:id="92"/>
            <w:r w:rsidRPr="00AE79AC">
              <w:rPr>
                <w:rFonts w:ascii="Times New Roman" w:hAnsi="Times New Roman"/>
              </w:rPr>
              <w:t>poniższymi kategoriami:</w:t>
            </w:r>
          </w:p>
          <w:p w:rsidR="00F4754B" w:rsidRPr="00AE79AC" w:rsidRDefault="00500508" w:rsidP="0077269C">
            <w:pPr>
              <w:pStyle w:val="BodyText1"/>
              <w:spacing w:line="240" w:lineRule="auto"/>
              <w:ind w:left="360" w:hanging="360"/>
              <w:rPr>
                <w:rFonts w:ascii="Times New Roman" w:hAnsi="Times New Roman"/>
                <w:bCs/>
              </w:rPr>
            </w:pPr>
            <w:r w:rsidRPr="00AE79AC">
              <w:rPr>
                <w:rFonts w:ascii="Times New Roman" w:hAnsi="Times New Roman"/>
              </w:rPr>
              <w:t>-</w:t>
            </w:r>
            <w:r w:rsidRPr="00AE79AC">
              <w:tab/>
            </w:r>
            <w:r w:rsidRPr="00AE79AC">
              <w:rPr>
                <w:rFonts w:ascii="Times New Roman" w:hAnsi="Times New Roman"/>
              </w:rPr>
              <w:t>metoda wyceny pierwotnej ekspozycji;</w:t>
            </w:r>
          </w:p>
          <w:p w:rsidR="00F4754B" w:rsidRPr="00AE79AC" w:rsidRDefault="00500508" w:rsidP="0077269C">
            <w:pPr>
              <w:pStyle w:val="BodyText1"/>
              <w:spacing w:line="240" w:lineRule="auto"/>
              <w:ind w:left="360" w:hanging="360"/>
              <w:rPr>
                <w:rFonts w:ascii="Times New Roman" w:hAnsi="Times New Roman"/>
                <w:bCs/>
              </w:rPr>
            </w:pPr>
            <w:r w:rsidRPr="00AE79AC">
              <w:rPr>
                <w:rFonts w:ascii="Times New Roman" w:hAnsi="Times New Roman"/>
              </w:rPr>
              <w:t>-</w:t>
            </w:r>
            <w:r w:rsidRPr="00AE79AC">
              <w:tab/>
            </w:r>
            <w:r w:rsidRPr="00AE79AC">
              <w:rPr>
                <w:rFonts w:ascii="Times New Roman" w:hAnsi="Times New Roman"/>
              </w:rPr>
              <w:t>metoda wyceny rynkowej.</w:t>
            </w:r>
          </w:p>
          <w:p w:rsidR="00BE6AC4" w:rsidRPr="00AE79AC" w:rsidRDefault="00BE6AC4" w:rsidP="00BE6AC4">
            <w:pPr>
              <w:pStyle w:val="BodyText1"/>
              <w:spacing w:line="240" w:lineRule="auto"/>
              <w:rPr>
                <w:rFonts w:ascii="Times New Roman" w:hAnsi="Times New Roman"/>
                <w:bCs/>
              </w:rPr>
            </w:pPr>
          </w:p>
        </w:tc>
      </w:tr>
      <w:tr w:rsidR="00F4754B" w:rsidRPr="00AE79AC" w:rsidTr="00FC2664">
        <w:tc>
          <w:tcPr>
            <w:tcW w:w="1418" w:type="dxa"/>
          </w:tcPr>
          <w:p w:rsidR="00F4754B" w:rsidRPr="00AE79AC" w:rsidRDefault="00F4754B" w:rsidP="00FA1A9C">
            <w:pPr>
              <w:pStyle w:val="BodyText1"/>
              <w:rPr>
                <w:rFonts w:ascii="Times New Roman" w:hAnsi="Times New Roman"/>
                <w:bCs/>
              </w:rPr>
            </w:pPr>
            <w:r w:rsidRPr="00AE79AC">
              <w:rPr>
                <w:rFonts w:ascii="Times New Roman" w:hAnsi="Times New Roman"/>
              </w:rPr>
              <w:t>{040;010}</w:t>
            </w:r>
          </w:p>
        </w:tc>
        <w:tc>
          <w:tcPr>
            <w:tcW w:w="7620" w:type="dxa"/>
          </w:tcPr>
          <w:p w:rsidR="00F4754B" w:rsidRPr="00AE79AC" w:rsidRDefault="00F4754B" w:rsidP="002509B1">
            <w:pPr>
              <w:pStyle w:val="BodyText1"/>
              <w:spacing w:line="240" w:lineRule="auto"/>
              <w:rPr>
                <w:rFonts w:ascii="Times New Roman" w:hAnsi="Times New Roman"/>
                <w:b/>
                <w:bCs/>
              </w:rPr>
            </w:pPr>
            <w:r w:rsidRPr="00AE79AC">
              <w:rPr>
                <w:rFonts w:ascii="Times New Roman" w:hAnsi="Times New Roman"/>
                <w:b/>
              </w:rPr>
              <w:t>Rodzaj instytucji</w:t>
            </w:r>
          </w:p>
          <w:p w:rsidR="00F4754B" w:rsidRPr="00AE79AC" w:rsidRDefault="00F4754B" w:rsidP="002509B1">
            <w:pPr>
              <w:pStyle w:val="BodyText1"/>
              <w:spacing w:line="240" w:lineRule="auto"/>
              <w:rPr>
                <w:rFonts w:ascii="Times New Roman" w:hAnsi="Times New Roman"/>
                <w:bCs/>
              </w:rPr>
            </w:pPr>
          </w:p>
          <w:p w:rsidR="00F4754B" w:rsidRPr="00AE79AC" w:rsidRDefault="00F4754B" w:rsidP="002509B1">
            <w:pPr>
              <w:pStyle w:val="BodyText1"/>
              <w:spacing w:line="240" w:lineRule="auto"/>
              <w:rPr>
                <w:rFonts w:ascii="Times New Roman" w:hAnsi="Times New Roman"/>
                <w:bCs/>
              </w:rPr>
            </w:pPr>
            <w:r w:rsidRPr="00AE79AC">
              <w:rPr>
                <w:rFonts w:ascii="Times New Roman" w:hAnsi="Times New Roman"/>
              </w:rPr>
              <w:t>Instytucja klasyfikuje swój rodzaj instytucji zgodnie z poniższymi kategoriami:</w:t>
            </w:r>
          </w:p>
          <w:p w:rsidR="00F4754B" w:rsidRPr="00AE79AC" w:rsidRDefault="00500508" w:rsidP="0077269C">
            <w:pPr>
              <w:pStyle w:val="BodyText1"/>
              <w:spacing w:line="240" w:lineRule="auto"/>
              <w:ind w:left="360" w:hanging="360"/>
              <w:rPr>
                <w:rFonts w:ascii="Times New Roman" w:hAnsi="Times New Roman"/>
                <w:bCs/>
              </w:rPr>
            </w:pPr>
            <w:r w:rsidRPr="00AE79AC">
              <w:rPr>
                <w:rFonts w:ascii="Times New Roman" w:hAnsi="Times New Roman"/>
              </w:rPr>
              <w:t>-</w:t>
            </w:r>
            <w:r w:rsidRPr="00AE79AC">
              <w:tab/>
            </w:r>
            <w:r w:rsidRPr="00AE79AC">
              <w:rPr>
                <w:rFonts w:ascii="Times New Roman" w:hAnsi="Times New Roman"/>
              </w:rPr>
              <w:t>bankowość uniwersalna (bankowość detaliczna/komercyjna i inwestycyjna);</w:t>
            </w:r>
          </w:p>
          <w:p w:rsidR="00F4754B" w:rsidRPr="00AE79AC" w:rsidRDefault="00500508" w:rsidP="0077269C">
            <w:pPr>
              <w:pStyle w:val="BodyText1"/>
              <w:spacing w:line="240" w:lineRule="auto"/>
              <w:ind w:left="360" w:hanging="360"/>
              <w:rPr>
                <w:rFonts w:ascii="Times New Roman" w:hAnsi="Times New Roman"/>
                <w:bCs/>
              </w:rPr>
            </w:pPr>
            <w:r w:rsidRPr="00AE79AC">
              <w:rPr>
                <w:rFonts w:ascii="Times New Roman" w:hAnsi="Times New Roman"/>
              </w:rPr>
              <w:t>-</w:t>
            </w:r>
            <w:r w:rsidRPr="00AE79AC">
              <w:tab/>
            </w:r>
            <w:r w:rsidRPr="00AE79AC">
              <w:rPr>
                <w:rFonts w:ascii="Times New Roman" w:hAnsi="Times New Roman"/>
              </w:rPr>
              <w:t>bankowość detaliczna/komercyjna;</w:t>
            </w:r>
          </w:p>
          <w:p w:rsidR="00F4754B" w:rsidRPr="00AE79AC" w:rsidRDefault="00500508" w:rsidP="0077269C">
            <w:pPr>
              <w:pStyle w:val="BodyText1"/>
              <w:spacing w:line="240" w:lineRule="auto"/>
              <w:ind w:left="360" w:hanging="360"/>
              <w:rPr>
                <w:rFonts w:ascii="Times New Roman" w:hAnsi="Times New Roman"/>
                <w:bCs/>
              </w:rPr>
            </w:pPr>
            <w:r w:rsidRPr="00AE79AC">
              <w:rPr>
                <w:rFonts w:ascii="Times New Roman" w:hAnsi="Times New Roman"/>
              </w:rPr>
              <w:t>-</w:t>
            </w:r>
            <w:r w:rsidRPr="00AE79AC">
              <w:tab/>
            </w:r>
            <w:r w:rsidRPr="00AE79AC">
              <w:rPr>
                <w:rFonts w:ascii="Times New Roman" w:hAnsi="Times New Roman"/>
              </w:rPr>
              <w:t>bankowość inwestycyjna;</w:t>
            </w:r>
          </w:p>
          <w:p w:rsidR="00875832" w:rsidRPr="00AE79AC" w:rsidRDefault="00500508" w:rsidP="0077269C">
            <w:pPr>
              <w:pStyle w:val="BodyText1"/>
              <w:spacing w:line="240" w:lineRule="auto"/>
              <w:ind w:left="360" w:hanging="360"/>
              <w:rPr>
                <w:rFonts w:ascii="Times New Roman" w:hAnsi="Times New Roman"/>
                <w:bCs/>
              </w:rPr>
            </w:pPr>
            <w:r w:rsidRPr="00AE79AC">
              <w:rPr>
                <w:rFonts w:ascii="Times New Roman" w:hAnsi="Times New Roman"/>
              </w:rPr>
              <w:t>-</w:t>
            </w:r>
            <w:r w:rsidRPr="00AE79AC">
              <w:tab/>
            </w:r>
            <w:r w:rsidRPr="00AE79AC">
              <w:rPr>
                <w:rFonts w:ascii="Times New Roman" w:hAnsi="Times New Roman"/>
              </w:rPr>
              <w:t>kredytowanie specjalistyczne.</w:t>
            </w:r>
          </w:p>
          <w:p w:rsidR="00F4754B" w:rsidRPr="00AE79AC" w:rsidRDefault="00875832" w:rsidP="0077269C">
            <w:pPr>
              <w:pStyle w:val="BodyText1"/>
              <w:spacing w:line="240" w:lineRule="auto"/>
              <w:ind w:left="360" w:hanging="360"/>
              <w:rPr>
                <w:rFonts w:ascii="Times New Roman" w:hAnsi="Times New Roman"/>
                <w:bCs/>
              </w:rPr>
            </w:pPr>
            <w:r w:rsidRPr="00AE79AC">
              <w:rPr>
                <w:rFonts w:ascii="Times New Roman" w:hAnsi="Times New Roman"/>
              </w:rPr>
              <w:t>-</w:t>
            </w:r>
            <w:r w:rsidRPr="00AE79AC">
              <w:tab/>
            </w:r>
            <w:r w:rsidRPr="00AE79AC">
              <w:rPr>
                <w:rFonts w:ascii="Times New Roman" w:hAnsi="Times New Roman"/>
              </w:rPr>
              <w:t>inny model działalności gospodarczej.</w:t>
            </w:r>
          </w:p>
          <w:p w:rsidR="00BE6AC4" w:rsidRPr="00AE79AC" w:rsidRDefault="00BE6AC4" w:rsidP="00BE6AC4">
            <w:pPr>
              <w:pStyle w:val="BodyText1"/>
              <w:spacing w:line="240" w:lineRule="auto"/>
              <w:rPr>
                <w:rFonts w:ascii="Times New Roman" w:hAnsi="Times New Roman"/>
                <w:bCs/>
              </w:rPr>
            </w:pPr>
          </w:p>
        </w:tc>
      </w:tr>
    </w:tbl>
    <w:p w:rsidR="00565261" w:rsidRPr="00AE79AC" w:rsidRDefault="006D1C09" w:rsidP="008717E3">
      <w:pPr>
        <w:pStyle w:val="BodyText1"/>
        <w:ind w:left="567"/>
        <w:rPr>
          <w:rFonts w:ascii="Times New Roman" w:hAnsi="Times New Roman"/>
        </w:rPr>
      </w:pPr>
      <w:r w:rsidRPr="00AE79AC">
        <w:rPr>
          <w:rFonts w:ascii="Times New Roman" w:hAnsi="Times New Roman"/>
          <w:sz w:val="24"/>
        </w:rPr>
        <w:t>”</w:t>
      </w:r>
    </w:p>
    <w:sectPr w:rsidR="00565261" w:rsidRPr="00AE79AC" w:rsidSect="005315D3">
      <w:headerReference w:type="default" r:id="rId13"/>
      <w:footerReference w:type="default" r:id="rId14"/>
      <w:headerReference w:type="first" r:id="rId15"/>
      <w:footerReference w:type="first" r:id="rId16"/>
      <w:pgSz w:w="11906" w:h="16838" w:code="9"/>
      <w:pgMar w:top="1522" w:right="1418" w:bottom="1560" w:left="1418" w:header="851" w:footer="141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6AC4" w:rsidRDefault="00BE6AC4">
      <w:r>
        <w:separator/>
      </w:r>
    </w:p>
  </w:endnote>
  <w:endnote w:type="continuationSeparator" w:id="0">
    <w:p w:rsidR="00BE6AC4" w:rsidRDefault="00BE6AC4">
      <w:r>
        <w:continuationSeparator/>
      </w:r>
    </w:p>
  </w:endnote>
  <w:endnote w:type="continuationNotice" w:id="1">
    <w:p w:rsidR="00BE6AC4" w:rsidRDefault="00BE6AC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EUAlbertina">
    <w:altName w:val="EU Albertina"/>
    <w:panose1 w:val="00000000000000000000"/>
    <w:charset w:val="CC"/>
    <w:family w:val="auto"/>
    <w:notTrueType/>
    <w:pitch w:val="default"/>
    <w:sig w:usb0="00000001" w:usb1="00000000" w:usb2="00000000" w:usb3="00000000" w:csb0="00000005" w:csb1="00000000"/>
  </w:font>
  <w:font w:name="Mangal">
    <w:panose1 w:val="02040503050203030202"/>
    <w:charset w:val="00"/>
    <w:family w:val="roman"/>
    <w:pitch w:val="variable"/>
    <w:sig w:usb0="00008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2FF" w:usb1="420024FF" w:usb2="00000000" w:usb3="00000000" w:csb0="0000019F" w:csb1="00000000"/>
  </w:font>
  <w:font w:name="SimHei">
    <w:altName w:val="黑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6AC4" w:rsidRPr="00A772B4" w:rsidRDefault="00BE6AC4">
    <w:pPr>
      <w:pStyle w:val="Footer"/>
      <w:jc w:val="right"/>
      <w:rPr>
        <w:rFonts w:ascii="Times New Roman" w:hAnsi="Times New Roman"/>
      </w:rPr>
    </w:pPr>
    <w:r w:rsidRPr="00A772B4">
      <w:rPr>
        <w:rFonts w:ascii="Times New Roman" w:hAnsi="Times New Roman"/>
      </w:rPr>
      <w:fldChar w:fldCharType="begin"/>
    </w:r>
    <w:r w:rsidRPr="00A772B4">
      <w:rPr>
        <w:rFonts w:ascii="Times New Roman" w:hAnsi="Times New Roman"/>
      </w:rPr>
      <w:instrText xml:space="preserve"> PAGE   \* MERGEFORMAT </w:instrText>
    </w:r>
    <w:r w:rsidRPr="00A772B4">
      <w:rPr>
        <w:rFonts w:ascii="Times New Roman" w:hAnsi="Times New Roman"/>
      </w:rPr>
      <w:fldChar w:fldCharType="separate"/>
    </w:r>
    <w:r>
      <w:rPr>
        <w:rFonts w:ascii="Times New Roman" w:hAnsi="Times New Roman"/>
        <w:noProof/>
      </w:rPr>
      <w:t>44</w:t>
    </w:r>
    <w:r w:rsidRPr="00A772B4">
      <w:rPr>
        <w:rFonts w:ascii="Times New Roman" w:hAnsi="Times New Roman"/>
      </w:rPr>
      <w:fldChar w:fldCharType="end"/>
    </w:r>
  </w:p>
  <w:p w:rsidR="00BE6AC4" w:rsidRDefault="00BE6AC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48305317"/>
      <w:docPartObj>
        <w:docPartGallery w:val="Page Numbers (Bottom of Page)"/>
        <w:docPartUnique/>
      </w:docPartObj>
    </w:sdtPr>
    <w:sdtEndPr>
      <w:rPr>
        <w:noProof/>
      </w:rPr>
    </w:sdtEndPr>
    <w:sdtContent>
      <w:p w:rsidR="00665BBB" w:rsidRDefault="00665BBB">
        <w:pPr>
          <w:pStyle w:val="Footer"/>
          <w:jc w:val="center"/>
        </w:pPr>
        <w:r>
          <w:fldChar w:fldCharType="begin"/>
        </w:r>
        <w:r>
          <w:instrText xml:space="preserve"> PAGE   \* MERGEFORMAT </w:instrText>
        </w:r>
        <w:r>
          <w:fldChar w:fldCharType="separate"/>
        </w:r>
        <w:r w:rsidR="009C44AA">
          <w:rPr>
            <w:noProof/>
          </w:rPr>
          <w:t>1</w:t>
        </w:r>
        <w:r>
          <w:rPr>
            <w:noProof/>
          </w:rPr>
          <w:fldChar w:fldCharType="end"/>
        </w:r>
      </w:p>
    </w:sdtContent>
  </w:sdt>
  <w:p w:rsidR="00665BBB" w:rsidRDefault="00665BB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sz w:val="20"/>
      </w:rPr>
      <w:id w:val="17201704"/>
      <w:docPartObj>
        <w:docPartGallery w:val="Page Numbers (Bottom of Page)"/>
        <w:docPartUnique/>
      </w:docPartObj>
    </w:sdtPr>
    <w:sdtEndPr/>
    <w:sdtContent>
      <w:p w:rsidR="00BE6AC4" w:rsidRPr="009A78F0" w:rsidRDefault="00BE6AC4" w:rsidP="009A78F0">
        <w:pPr>
          <w:pStyle w:val="Footer"/>
          <w:spacing w:line="240" w:lineRule="auto"/>
          <w:jc w:val="center"/>
          <w:rPr>
            <w:rFonts w:ascii="Times New Roman" w:hAnsi="Times New Roman"/>
            <w:sz w:val="20"/>
          </w:rPr>
        </w:pPr>
        <w:r w:rsidRPr="009A78F0">
          <w:rPr>
            <w:rFonts w:ascii="Times New Roman" w:hAnsi="Times New Roman"/>
            <w:sz w:val="20"/>
          </w:rPr>
          <w:fldChar w:fldCharType="begin"/>
        </w:r>
        <w:r w:rsidRPr="009A78F0">
          <w:rPr>
            <w:rFonts w:ascii="Times New Roman" w:hAnsi="Times New Roman"/>
            <w:sz w:val="20"/>
          </w:rPr>
          <w:instrText xml:space="preserve"> PAGE   \* MERGEFORMAT </w:instrText>
        </w:r>
        <w:r w:rsidRPr="009A78F0">
          <w:rPr>
            <w:rFonts w:ascii="Times New Roman" w:hAnsi="Times New Roman"/>
            <w:sz w:val="20"/>
          </w:rPr>
          <w:fldChar w:fldCharType="separate"/>
        </w:r>
        <w:r w:rsidR="00E17BAD">
          <w:rPr>
            <w:rFonts w:ascii="Times New Roman" w:hAnsi="Times New Roman"/>
            <w:noProof/>
            <w:sz w:val="20"/>
          </w:rPr>
          <w:t>48</w:t>
        </w:r>
        <w:r w:rsidRPr="009A78F0">
          <w:rPr>
            <w:rFonts w:ascii="Times New Roman" w:hAnsi="Times New Roman"/>
            <w:noProof/>
            <w:sz w:val="20"/>
          </w:rPr>
          <w:fldChar w:fldCharType="end"/>
        </w: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201700"/>
      <w:docPartObj>
        <w:docPartGallery w:val="Page Numbers (Bottom of Page)"/>
        <w:docPartUnique/>
      </w:docPartObj>
    </w:sdtPr>
    <w:sdtEndPr/>
    <w:sdtContent>
      <w:p w:rsidR="00BE6AC4" w:rsidRDefault="00BE6AC4">
        <w:pPr>
          <w:pStyle w:val="Footer"/>
          <w:jc w:val="right"/>
        </w:pPr>
        <w:r>
          <w:fldChar w:fldCharType="begin"/>
        </w:r>
        <w:r>
          <w:instrText xml:space="preserve"> PAGE   \* MERGEFORMAT </w:instrText>
        </w:r>
        <w:r>
          <w:fldChar w:fldCharType="separate"/>
        </w:r>
        <w:r>
          <w:rPr>
            <w:noProof/>
          </w:rPr>
          <w:t>44</w:t>
        </w:r>
        <w:r>
          <w:rPr>
            <w:noProof/>
          </w:rPr>
          <w:fldChar w:fldCharType="end"/>
        </w:r>
      </w:p>
    </w:sdtContent>
  </w:sdt>
  <w:p w:rsidR="00BE6AC4" w:rsidRDefault="00BE6AC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6AC4" w:rsidRPr="004D223F" w:rsidRDefault="00BE6AC4" w:rsidP="00C7701D">
      <w:r>
        <w:continuationSeparator/>
      </w:r>
    </w:p>
  </w:footnote>
  <w:footnote w:type="continuationSeparator" w:id="0">
    <w:p w:rsidR="00BE6AC4" w:rsidRDefault="00BE6AC4">
      <w:r>
        <w:continuationSeparator/>
      </w:r>
    </w:p>
  </w:footnote>
  <w:footnote w:type="continuationNotice" w:id="1">
    <w:p w:rsidR="00BE6AC4" w:rsidRDefault="00BE6AC4"/>
  </w:footnote>
  <w:footnote w:id="2">
    <w:p w:rsidR="00BE6AC4" w:rsidRPr="00AE79AC" w:rsidRDefault="00BE6AC4" w:rsidP="00F4754B">
      <w:pPr>
        <w:pStyle w:val="FootnoteText"/>
        <w:rPr>
          <w:sz w:val="12"/>
          <w:szCs w:val="12"/>
        </w:rPr>
      </w:pPr>
      <w:r>
        <w:rPr>
          <w:rStyle w:val="FootnoteReference"/>
        </w:rPr>
        <w:footnoteRef/>
      </w:r>
      <w:r>
        <w:t xml:space="preserve"> </w:t>
      </w:r>
      <w:r>
        <w:rPr>
          <w:sz w:val="12"/>
        </w:rPr>
        <w:t>Obejmuje to ekspozycje sekurytyzacyjne</w:t>
      </w:r>
      <w:r w:rsidR="002341B6">
        <w:rPr>
          <w:sz w:val="12"/>
        </w:rPr>
        <w:t xml:space="preserve"> i eks</w:t>
      </w:r>
      <w:r>
        <w:rPr>
          <w:sz w:val="12"/>
        </w:rPr>
        <w:t>pozycje kapitałowe podlegające ryzyku kredytowemu.</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6AC4" w:rsidRDefault="00BE6AC4">
    <w:pPr>
      <w:pStyle w:val="Header"/>
    </w:pPr>
    <w:r>
      <w:rPr>
        <w:noProof/>
        <w:lang w:val="en-GB" w:eastAsia="en-GB" w:bidi="ar-SA"/>
      </w:rPr>
      <mc:AlternateContent>
        <mc:Choice Requires="wps">
          <w:drawing>
            <wp:anchor distT="4294967294" distB="4294967294" distL="114300" distR="114300" simplePos="0" relativeHeight="251688448" behindDoc="0" locked="0" layoutInCell="1" allowOverlap="1" wp14:anchorId="0D41E113" wp14:editId="33644602">
              <wp:simplePos x="0" y="0"/>
              <wp:positionH relativeFrom="column">
                <wp:posOffset>-14605</wp:posOffset>
              </wp:positionH>
              <wp:positionV relativeFrom="paragraph">
                <wp:posOffset>2539</wp:posOffset>
              </wp:positionV>
              <wp:extent cx="5760085" cy="0"/>
              <wp:effectExtent l="0" t="0" r="12065" b="19050"/>
              <wp:wrapNone/>
              <wp:docPr id="4" name="AutoShap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60085" cy="0"/>
                      </a:xfrm>
                      <a:prstGeom prst="straightConnector1">
                        <a:avLst/>
                      </a:prstGeom>
                      <a:noFill/>
                      <a:ln w="9525">
                        <a:solidFill>
                          <a:schemeClr val="accent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type xmlns:o="urn:schemas-microsoft-com:office:office" xmlns:w14="http://schemas.microsoft.com/office/word/2010/wordml" xmlns:v="urn:schemas-microsoft-com:vml" w14:anchorId="4042D745" id="_x0000_t32" coordsize="21600,21600" o:spt="32" o:oned="t" path="m,l21600,21600e" filled="f">
              <v:path arrowok="t" fillok="f" o:connecttype="none"/>
              <o:lock v:ext="edit" shapetype="t"/>
            </v:shapetype>
            <v:shape xmlns:o="urn:schemas-microsoft-com:office:office" xmlns:v="urn:schemas-microsoft-com:vml" id="AutoShape 23" o:spid="_x0000_s1026" type="#_x0000_t32" style="position:absolute;margin-left:-1.15pt;margin-top:.2pt;width:453.55pt;height:0;flip:x;z-index:25168844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" strokecolor="#48748f [3204]"/>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6AC4" w:rsidRDefault="00BE6AC4">
    <w:pPr>
      <w:pStyle w:val="Header"/>
      <w:tabs>
        <w:tab w:val="clear" w:pos="8306"/>
        <w:tab w:val="right" w:pos="9072"/>
      </w:tabs>
      <w:jc w:val="right"/>
      <w:rPr>
        <w:noProof/>
      </w:rPr>
    </w:pPr>
    <w:r>
      <w:rPr>
        <w:noProof/>
        <w:lang w:val="en-GB" w:eastAsia="en-GB" w:bidi="ar-SA"/>
      </w:rPr>
      <mc:AlternateContent>
        <mc:Choice Requires="wps">
          <w:drawing>
            <wp:anchor distT="4294967294" distB="4294967294" distL="114300" distR="114300" simplePos="0" relativeHeight="251695616" behindDoc="1" locked="1" layoutInCell="0" allowOverlap="1" wp14:anchorId="28DE85BB" wp14:editId="7BBD29F3">
              <wp:simplePos x="0" y="0"/>
              <wp:positionH relativeFrom="page">
                <wp:posOffset>896620</wp:posOffset>
              </wp:positionH>
              <wp:positionV relativeFrom="page">
                <wp:posOffset>542289</wp:posOffset>
              </wp:positionV>
              <wp:extent cx="5760085" cy="0"/>
              <wp:effectExtent l="0" t="0" r="12065" b="19050"/>
              <wp:wrapNone/>
              <wp:docPr id="1" name="AutoShap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60085" cy="0"/>
                      </a:xfrm>
                      <a:prstGeom prst="straightConnector1">
                        <a:avLst/>
                      </a:prstGeom>
                      <a:noFill/>
                      <a:ln w="9525">
                        <a:solidFill>
                          <a:schemeClr val="accent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type xmlns:o="urn:schemas-microsoft-com:office:office" xmlns:w14="http://schemas.microsoft.com/office/word/2010/wordml" xmlns:v="urn:schemas-microsoft-com:vml" w14:anchorId="28BB0DC1" id="_x0000_t32" coordsize="21600,21600" o:spt="32" o:oned="t" path="m,l21600,21600e" filled="f">
              <v:path arrowok="t" fillok="f" o:connecttype="none"/>
              <o:lock v:ext="edit" shapetype="t"/>
            </v:shapetype>
            <v:shape xmlns:o="urn:schemas-microsoft-com:office:office" xmlns:v="urn:schemas-microsoft-com:vml" id="AutoShape 29" o:spid="_x0000_s1026" type="#_x0000_t32" style="position:absolute;margin-left:70.6pt;margin-top:42.7pt;width:453.55pt;height:0;flip:x;z-index:-251620864;visibility:visible;mso-wrap-style:square;mso-width-percent:0;mso-height-percent:0;mso-wrap-distance-left:9pt;mso-wrap-distance-top:-6e-5mm;mso-wrap-distance-right:9pt;mso-wrap-distance-bottom:-6e-5mm;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" o:allowincell="f" strokecolor="#48748f [3204]">
              <w10:wrap xmlns:w10="urn:schemas-microsoft-com:office:word" anchorx="page" anchory="page"/>
              <w10:anchorlock xmlns:w10="urn:schemas-microsoft-com:office:word"/>
            </v:shape>
          </w:pict>
        </mc:Fallback>
      </mc:AlternateContent>
    </w:r>
  </w:p>
  <w:p w:rsidR="00BE6AC4" w:rsidRDefault="00BE6AC4">
    <w:pPr>
      <w:pStyle w:val="Header"/>
      <w:tabs>
        <w:tab w:val="clear" w:pos="8306"/>
        <w:tab w:val="right" w:pos="9072"/>
      </w:tabs>
      <w:jc w:val="right"/>
      <w:rPr>
        <w:rFonts w:ascii="Verdana" w:hAnsi="Verdana"/>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52CE6"/>
    <w:multiLevelType w:val="hybridMultilevel"/>
    <w:tmpl w:val="3CFA92B4"/>
    <w:lvl w:ilvl="0" w:tplc="98C2D1E8">
      <w:start w:val="1"/>
      <w:numFmt w:val="decimal"/>
      <w:pStyle w:val="Numberedparagraphs"/>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2">
    <w:nsid w:val="08FA148C"/>
    <w:multiLevelType w:val="hybridMultilevel"/>
    <w:tmpl w:val="471C8442"/>
    <w:lvl w:ilvl="0" w:tplc="5B788052">
      <w:start w:val="1"/>
      <w:numFmt w:val="bullet"/>
      <w:pStyle w:val="ListBullet"/>
      <w:lvlText w:val=""/>
      <w:lvlJc w:val="left"/>
      <w:pPr>
        <w:ind w:left="4904" w:hanging="360"/>
      </w:pPr>
      <w:rPr>
        <w:rFonts w:ascii="Symbol" w:hAnsi="Symbol" w:hint="default"/>
        <w:b w:val="0"/>
        <w:i w:val="0"/>
        <w:caps w:val="0"/>
        <w:strike w:val="0"/>
        <w:dstrike w:val="0"/>
        <w:vanish w:val="0"/>
        <w:color w:val="48748F" w:themeColor="accent1"/>
        <w:sz w:val="26"/>
        <w:vertAlign w:val="baseline"/>
      </w:rPr>
    </w:lvl>
    <w:lvl w:ilvl="1" w:tplc="A6848682">
      <w:start w:val="1"/>
      <w:numFmt w:val="bullet"/>
      <w:lvlText w:val="–"/>
      <w:lvlJc w:val="left"/>
      <w:pPr>
        <w:tabs>
          <w:tab w:val="num" w:pos="8819"/>
        </w:tabs>
        <w:ind w:left="8771" w:hanging="312"/>
      </w:pPr>
      <w:rPr>
        <w:rFonts w:hint="default"/>
      </w:rPr>
    </w:lvl>
    <w:lvl w:ilvl="2" w:tplc="993055DA">
      <w:start w:val="1"/>
      <w:numFmt w:val="bullet"/>
      <w:lvlText w:val=""/>
      <w:lvlJc w:val="left"/>
      <w:pPr>
        <w:tabs>
          <w:tab w:val="num" w:pos="9539"/>
        </w:tabs>
        <w:ind w:left="9539" w:hanging="360"/>
      </w:pPr>
      <w:rPr>
        <w:rFonts w:ascii="Wingdings" w:hAnsi="Wingdings" w:hint="default"/>
      </w:rPr>
    </w:lvl>
    <w:lvl w:ilvl="3" w:tplc="22C2BE88">
      <w:start w:val="1"/>
      <w:numFmt w:val="bullet"/>
      <w:lvlText w:val=""/>
      <w:lvlJc w:val="left"/>
      <w:pPr>
        <w:tabs>
          <w:tab w:val="num" w:pos="10259"/>
        </w:tabs>
        <w:ind w:left="10259" w:hanging="360"/>
      </w:pPr>
      <w:rPr>
        <w:rFonts w:ascii="Symbol" w:hAnsi="Symbol" w:hint="default"/>
      </w:rPr>
    </w:lvl>
    <w:lvl w:ilvl="4" w:tplc="FD0073C0">
      <w:start w:val="1"/>
      <w:numFmt w:val="bullet"/>
      <w:lvlText w:val="o"/>
      <w:lvlJc w:val="left"/>
      <w:pPr>
        <w:tabs>
          <w:tab w:val="num" w:pos="10979"/>
        </w:tabs>
        <w:ind w:left="10979" w:hanging="360"/>
      </w:pPr>
      <w:rPr>
        <w:rFonts w:ascii="Courier New" w:hAnsi="Courier New" w:hint="default"/>
      </w:rPr>
    </w:lvl>
    <w:lvl w:ilvl="5" w:tplc="FBD6D0BE">
      <w:start w:val="1"/>
      <w:numFmt w:val="bullet"/>
      <w:lvlText w:val=""/>
      <w:lvlJc w:val="left"/>
      <w:pPr>
        <w:tabs>
          <w:tab w:val="num" w:pos="11699"/>
        </w:tabs>
        <w:ind w:left="11699" w:hanging="360"/>
      </w:pPr>
      <w:rPr>
        <w:rFonts w:ascii="Wingdings" w:hAnsi="Wingdings" w:hint="default"/>
      </w:rPr>
    </w:lvl>
    <w:lvl w:ilvl="6" w:tplc="C00E4D52">
      <w:start w:val="1"/>
      <w:numFmt w:val="bullet"/>
      <w:lvlText w:val=""/>
      <w:lvlJc w:val="left"/>
      <w:pPr>
        <w:tabs>
          <w:tab w:val="num" w:pos="12419"/>
        </w:tabs>
        <w:ind w:left="12419" w:hanging="360"/>
      </w:pPr>
      <w:rPr>
        <w:rFonts w:ascii="Symbol" w:hAnsi="Symbol" w:hint="default"/>
      </w:rPr>
    </w:lvl>
    <w:lvl w:ilvl="7" w:tplc="CE60E00E">
      <w:start w:val="1"/>
      <w:numFmt w:val="bullet"/>
      <w:lvlText w:val="o"/>
      <w:lvlJc w:val="left"/>
      <w:pPr>
        <w:tabs>
          <w:tab w:val="num" w:pos="13139"/>
        </w:tabs>
        <w:ind w:left="13139" w:hanging="360"/>
      </w:pPr>
      <w:rPr>
        <w:rFonts w:ascii="Courier New" w:hAnsi="Courier New" w:hint="default"/>
      </w:rPr>
    </w:lvl>
    <w:lvl w:ilvl="8" w:tplc="FA3C6548" w:tentative="1">
      <w:start w:val="1"/>
      <w:numFmt w:val="bullet"/>
      <w:lvlText w:val=""/>
      <w:lvlJc w:val="left"/>
      <w:pPr>
        <w:tabs>
          <w:tab w:val="num" w:pos="13859"/>
        </w:tabs>
        <w:ind w:left="13859" w:hanging="360"/>
      </w:pPr>
      <w:rPr>
        <w:rFonts w:ascii="Wingdings" w:hAnsi="Wingdings" w:hint="default"/>
      </w:rPr>
    </w:lvl>
  </w:abstractNum>
  <w:abstractNum w:abstractNumId="3">
    <w:nsid w:val="0F69728D"/>
    <w:multiLevelType w:val="hybridMultilevel"/>
    <w:tmpl w:val="CE6A6630"/>
    <w:lvl w:ilvl="0" w:tplc="F3F0C370">
      <w:start w:val="12"/>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5">
    <w:nsid w:val="15A47C61"/>
    <w:multiLevelType w:val="hybridMultilevel"/>
    <w:tmpl w:val="32DA3AF4"/>
    <w:lvl w:ilvl="0" w:tplc="E834CCAA">
      <w:start w:val="429"/>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7">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8748F"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8748F"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8748F"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8">
    <w:nsid w:val="21E507AF"/>
    <w:multiLevelType w:val="hybridMultilevel"/>
    <w:tmpl w:val="A4CA4E0C"/>
    <w:lvl w:ilvl="0" w:tplc="8DD6C53E">
      <w:start w:val="1"/>
      <w:numFmt w:val="bullet"/>
      <w:pStyle w:val="Bullet2"/>
      <w:lvlText w:val="■"/>
      <w:lvlJc w:val="left"/>
      <w:pPr>
        <w:ind w:left="947" w:hanging="360"/>
      </w:pPr>
      <w:rPr>
        <w:rFonts w:ascii="Arial" w:hAnsi="Arial" w:hint="default"/>
        <w:b w:val="0"/>
        <w:i w:val="0"/>
        <w:caps w:val="0"/>
        <w:strike w:val="0"/>
        <w:dstrike w:val="0"/>
        <w:vanish w:val="0"/>
        <w:color w:val="48748F" w:themeColor="accent1"/>
        <w:sz w:val="20"/>
        <w:vertAlign w:val="baseline"/>
      </w:rPr>
    </w:lvl>
    <w:lvl w:ilvl="1" w:tplc="08090003" w:tentative="1">
      <w:start w:val="1"/>
      <w:numFmt w:val="bullet"/>
      <w:lvlText w:val="o"/>
      <w:lvlJc w:val="left"/>
      <w:pPr>
        <w:ind w:left="1667" w:hanging="360"/>
      </w:pPr>
      <w:rPr>
        <w:rFonts w:ascii="Courier New" w:hAnsi="Courier New" w:cs="Courier New" w:hint="default"/>
      </w:rPr>
    </w:lvl>
    <w:lvl w:ilvl="2" w:tplc="08090005" w:tentative="1">
      <w:start w:val="1"/>
      <w:numFmt w:val="bullet"/>
      <w:lvlText w:val=""/>
      <w:lvlJc w:val="left"/>
      <w:pPr>
        <w:ind w:left="2387" w:hanging="360"/>
      </w:pPr>
      <w:rPr>
        <w:rFonts w:ascii="Wingdings" w:hAnsi="Wingdings" w:hint="default"/>
      </w:rPr>
    </w:lvl>
    <w:lvl w:ilvl="3" w:tplc="08090001" w:tentative="1">
      <w:start w:val="1"/>
      <w:numFmt w:val="bullet"/>
      <w:lvlText w:val=""/>
      <w:lvlJc w:val="left"/>
      <w:pPr>
        <w:ind w:left="3107" w:hanging="360"/>
      </w:pPr>
      <w:rPr>
        <w:rFonts w:ascii="Symbol" w:hAnsi="Symbol" w:hint="default"/>
      </w:rPr>
    </w:lvl>
    <w:lvl w:ilvl="4" w:tplc="08090003" w:tentative="1">
      <w:start w:val="1"/>
      <w:numFmt w:val="bullet"/>
      <w:lvlText w:val="o"/>
      <w:lvlJc w:val="left"/>
      <w:pPr>
        <w:ind w:left="3827" w:hanging="360"/>
      </w:pPr>
      <w:rPr>
        <w:rFonts w:ascii="Courier New" w:hAnsi="Courier New" w:cs="Courier New" w:hint="default"/>
      </w:rPr>
    </w:lvl>
    <w:lvl w:ilvl="5" w:tplc="08090005" w:tentative="1">
      <w:start w:val="1"/>
      <w:numFmt w:val="bullet"/>
      <w:lvlText w:val=""/>
      <w:lvlJc w:val="left"/>
      <w:pPr>
        <w:ind w:left="4547" w:hanging="360"/>
      </w:pPr>
      <w:rPr>
        <w:rFonts w:ascii="Wingdings" w:hAnsi="Wingdings" w:hint="default"/>
      </w:rPr>
    </w:lvl>
    <w:lvl w:ilvl="6" w:tplc="08090001" w:tentative="1">
      <w:start w:val="1"/>
      <w:numFmt w:val="bullet"/>
      <w:lvlText w:val=""/>
      <w:lvlJc w:val="left"/>
      <w:pPr>
        <w:ind w:left="5267" w:hanging="360"/>
      </w:pPr>
      <w:rPr>
        <w:rFonts w:ascii="Symbol" w:hAnsi="Symbol" w:hint="default"/>
      </w:rPr>
    </w:lvl>
    <w:lvl w:ilvl="7" w:tplc="08090003" w:tentative="1">
      <w:start w:val="1"/>
      <w:numFmt w:val="bullet"/>
      <w:lvlText w:val="o"/>
      <w:lvlJc w:val="left"/>
      <w:pPr>
        <w:ind w:left="5987" w:hanging="360"/>
      </w:pPr>
      <w:rPr>
        <w:rFonts w:ascii="Courier New" w:hAnsi="Courier New" w:cs="Courier New" w:hint="default"/>
      </w:rPr>
    </w:lvl>
    <w:lvl w:ilvl="8" w:tplc="08090005" w:tentative="1">
      <w:start w:val="1"/>
      <w:numFmt w:val="bullet"/>
      <w:lvlText w:val=""/>
      <w:lvlJc w:val="left"/>
      <w:pPr>
        <w:ind w:left="6707" w:hanging="360"/>
      </w:pPr>
      <w:rPr>
        <w:rFonts w:ascii="Wingdings" w:hAnsi="Wingdings" w:hint="default"/>
      </w:rPr>
    </w:lvl>
  </w:abstractNum>
  <w:abstractNum w:abstractNumId="9">
    <w:nsid w:val="27AC3B14"/>
    <w:multiLevelType w:val="hybridMultilevel"/>
    <w:tmpl w:val="AB0C774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27FF0EEA"/>
    <w:multiLevelType w:val="hybridMultilevel"/>
    <w:tmpl w:val="859EA912"/>
    <w:lvl w:ilvl="0" w:tplc="144021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
    <w:nsid w:val="33057CB8"/>
    <w:multiLevelType w:val="hybridMultilevel"/>
    <w:tmpl w:val="2698E4A4"/>
    <w:lvl w:ilvl="0" w:tplc="8FD0AD34">
      <w:start w:val="1"/>
      <w:numFmt w:val="decimal"/>
      <w:pStyle w:val="InstructionsText2"/>
      <w:lvlText w:val="%1."/>
      <w:lvlJc w:val="left"/>
      <w:pPr>
        <w:ind w:left="786" w:hanging="360"/>
      </w:pPr>
      <w:rPr>
        <w:rFonts w:ascii="Times New Roman" w:hAnsi="Times New Roman" w:cs="Times New Roman" w:hint="default"/>
        <w:b w:val="0"/>
      </w:rPr>
    </w:lvl>
    <w:lvl w:ilvl="1" w:tplc="1FC8A872">
      <w:start w:val="1"/>
      <w:numFmt w:val="lowerLetter"/>
      <w:lvlText w:val="%2."/>
      <w:lvlJc w:val="left"/>
      <w:pPr>
        <w:ind w:left="1440" w:hanging="360"/>
      </w:pPr>
    </w:lvl>
    <w:lvl w:ilvl="2" w:tplc="CBAE5A34" w:tentative="1">
      <w:start w:val="1"/>
      <w:numFmt w:val="lowerRoman"/>
      <w:lvlText w:val="%3."/>
      <w:lvlJc w:val="right"/>
      <w:pPr>
        <w:ind w:left="2160" w:hanging="180"/>
      </w:pPr>
    </w:lvl>
    <w:lvl w:ilvl="3" w:tplc="D8527F4E" w:tentative="1">
      <w:start w:val="1"/>
      <w:numFmt w:val="decimal"/>
      <w:lvlText w:val="%4."/>
      <w:lvlJc w:val="left"/>
      <w:pPr>
        <w:ind w:left="2880" w:hanging="360"/>
      </w:pPr>
    </w:lvl>
    <w:lvl w:ilvl="4" w:tplc="43D01870" w:tentative="1">
      <w:start w:val="1"/>
      <w:numFmt w:val="lowerLetter"/>
      <w:lvlText w:val="%5."/>
      <w:lvlJc w:val="left"/>
      <w:pPr>
        <w:ind w:left="3600" w:hanging="360"/>
      </w:pPr>
    </w:lvl>
    <w:lvl w:ilvl="5" w:tplc="CF708E5C" w:tentative="1">
      <w:start w:val="1"/>
      <w:numFmt w:val="lowerRoman"/>
      <w:lvlText w:val="%6."/>
      <w:lvlJc w:val="right"/>
      <w:pPr>
        <w:ind w:left="4320" w:hanging="180"/>
      </w:pPr>
    </w:lvl>
    <w:lvl w:ilvl="6" w:tplc="F6940D82" w:tentative="1">
      <w:start w:val="1"/>
      <w:numFmt w:val="decimal"/>
      <w:lvlText w:val="%7."/>
      <w:lvlJc w:val="left"/>
      <w:pPr>
        <w:ind w:left="5040" w:hanging="360"/>
      </w:pPr>
    </w:lvl>
    <w:lvl w:ilvl="7" w:tplc="AD2C2584" w:tentative="1">
      <w:start w:val="1"/>
      <w:numFmt w:val="lowerLetter"/>
      <w:lvlText w:val="%8."/>
      <w:lvlJc w:val="left"/>
      <w:pPr>
        <w:ind w:left="5760" w:hanging="360"/>
      </w:pPr>
    </w:lvl>
    <w:lvl w:ilvl="8" w:tplc="A1220B0E" w:tentative="1">
      <w:start w:val="1"/>
      <w:numFmt w:val="lowerRoman"/>
      <w:lvlText w:val="%9."/>
      <w:lvlJc w:val="right"/>
      <w:pPr>
        <w:ind w:left="6480" w:hanging="180"/>
      </w:pPr>
    </w:lvl>
  </w:abstractNum>
  <w:abstractNum w:abstractNumId="13">
    <w:nsid w:val="37226525"/>
    <w:multiLevelType w:val="hybridMultilevel"/>
    <w:tmpl w:val="9872E646"/>
    <w:lvl w:ilvl="0" w:tplc="117C22E0">
      <w:start w:val="1"/>
      <w:numFmt w:val="decimal"/>
      <w:pStyle w:val="Nummerierungsart2"/>
      <w:lvlText w:val="%1)"/>
      <w:lvlJc w:val="left"/>
      <w:pPr>
        <w:tabs>
          <w:tab w:val="num" w:pos="360"/>
        </w:tabs>
        <w:ind w:left="360" w:hanging="360"/>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14">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5">
    <w:nsid w:val="43AE248D"/>
    <w:multiLevelType w:val="hybridMultilevel"/>
    <w:tmpl w:val="5A70F4BE"/>
    <w:lvl w:ilvl="0" w:tplc="13C852F8">
      <w:start w:val="1"/>
      <w:numFmt w:val="bullet"/>
      <w:pStyle w:val="Bullet3"/>
      <w:lvlText w:val="►"/>
      <w:lvlJc w:val="left"/>
      <w:pPr>
        <w:ind w:left="814" w:hanging="360"/>
      </w:pPr>
      <w:rPr>
        <w:rFonts w:ascii="Arial" w:hAnsi="Arial" w:hint="default"/>
        <w:b w:val="0"/>
        <w:i w:val="0"/>
        <w:caps w:val="0"/>
        <w:strike w:val="0"/>
        <w:dstrike w:val="0"/>
        <w:vanish w:val="0"/>
        <w:color w:val="48748F" w:themeColor="accent1"/>
        <w:sz w:val="16"/>
        <w:vertAlign w:val="baseline"/>
      </w:rPr>
    </w:lvl>
    <w:lvl w:ilvl="1" w:tplc="88025A62" w:tentative="1">
      <w:start w:val="1"/>
      <w:numFmt w:val="bullet"/>
      <w:lvlText w:val="o"/>
      <w:lvlJc w:val="left"/>
      <w:pPr>
        <w:ind w:left="2121" w:hanging="360"/>
      </w:pPr>
      <w:rPr>
        <w:rFonts w:ascii="Courier New" w:hAnsi="Courier New" w:cs="Courier New" w:hint="default"/>
      </w:rPr>
    </w:lvl>
    <w:lvl w:ilvl="2" w:tplc="C5DABC22" w:tentative="1">
      <w:start w:val="1"/>
      <w:numFmt w:val="bullet"/>
      <w:lvlText w:val=""/>
      <w:lvlJc w:val="left"/>
      <w:pPr>
        <w:ind w:left="2841" w:hanging="360"/>
      </w:pPr>
      <w:rPr>
        <w:rFonts w:ascii="Wingdings" w:hAnsi="Wingdings" w:hint="default"/>
      </w:rPr>
    </w:lvl>
    <w:lvl w:ilvl="3" w:tplc="0D56E730" w:tentative="1">
      <w:start w:val="1"/>
      <w:numFmt w:val="bullet"/>
      <w:lvlText w:val=""/>
      <w:lvlJc w:val="left"/>
      <w:pPr>
        <w:ind w:left="3561" w:hanging="360"/>
      </w:pPr>
      <w:rPr>
        <w:rFonts w:ascii="Symbol" w:hAnsi="Symbol" w:hint="default"/>
      </w:rPr>
    </w:lvl>
    <w:lvl w:ilvl="4" w:tplc="A970B672" w:tentative="1">
      <w:start w:val="1"/>
      <w:numFmt w:val="bullet"/>
      <w:lvlText w:val="o"/>
      <w:lvlJc w:val="left"/>
      <w:pPr>
        <w:ind w:left="4281" w:hanging="360"/>
      </w:pPr>
      <w:rPr>
        <w:rFonts w:ascii="Courier New" w:hAnsi="Courier New" w:cs="Courier New" w:hint="default"/>
      </w:rPr>
    </w:lvl>
    <w:lvl w:ilvl="5" w:tplc="B6D459CC" w:tentative="1">
      <w:start w:val="1"/>
      <w:numFmt w:val="bullet"/>
      <w:lvlText w:val=""/>
      <w:lvlJc w:val="left"/>
      <w:pPr>
        <w:ind w:left="5001" w:hanging="360"/>
      </w:pPr>
      <w:rPr>
        <w:rFonts w:ascii="Wingdings" w:hAnsi="Wingdings" w:hint="default"/>
      </w:rPr>
    </w:lvl>
    <w:lvl w:ilvl="6" w:tplc="837C8C1A" w:tentative="1">
      <w:start w:val="1"/>
      <w:numFmt w:val="bullet"/>
      <w:lvlText w:val=""/>
      <w:lvlJc w:val="left"/>
      <w:pPr>
        <w:ind w:left="5721" w:hanging="360"/>
      </w:pPr>
      <w:rPr>
        <w:rFonts w:ascii="Symbol" w:hAnsi="Symbol" w:hint="default"/>
      </w:rPr>
    </w:lvl>
    <w:lvl w:ilvl="7" w:tplc="474802D2" w:tentative="1">
      <w:start w:val="1"/>
      <w:numFmt w:val="bullet"/>
      <w:lvlText w:val="o"/>
      <w:lvlJc w:val="left"/>
      <w:pPr>
        <w:ind w:left="6441" w:hanging="360"/>
      </w:pPr>
      <w:rPr>
        <w:rFonts w:ascii="Courier New" w:hAnsi="Courier New" w:cs="Courier New" w:hint="default"/>
      </w:rPr>
    </w:lvl>
    <w:lvl w:ilvl="8" w:tplc="B38C7C80" w:tentative="1">
      <w:start w:val="1"/>
      <w:numFmt w:val="bullet"/>
      <w:lvlText w:val=""/>
      <w:lvlJc w:val="left"/>
      <w:pPr>
        <w:ind w:left="7161" w:hanging="360"/>
      </w:pPr>
      <w:rPr>
        <w:rFonts w:ascii="Wingdings" w:hAnsi="Wingdings" w:hint="default"/>
      </w:rPr>
    </w:lvl>
  </w:abstractNum>
  <w:abstractNum w:abstractNumId="16">
    <w:nsid w:val="49772236"/>
    <w:multiLevelType w:val="hybridMultilevel"/>
    <w:tmpl w:val="E974A63C"/>
    <w:lvl w:ilvl="0" w:tplc="C10A2D7C">
      <w:start w:val="1"/>
      <w:numFmt w:val="bullet"/>
      <w:pStyle w:val="Aufzhlungszeichen4"/>
      <w:lvlText w:val=""/>
      <w:lvlJc w:val="left"/>
      <w:pPr>
        <w:tabs>
          <w:tab w:val="num" w:pos="357"/>
        </w:tabs>
        <w:ind w:left="357" w:hanging="357"/>
      </w:pPr>
      <w:rPr>
        <w:rFonts w:ascii="Wingdings" w:hAnsi="Wingdings" w:hint="default"/>
        <w:sz w:val="28"/>
        <w:szCs w:val="28"/>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nsid w:val="4A6957BB"/>
    <w:multiLevelType w:val="hybridMultilevel"/>
    <w:tmpl w:val="D674AD14"/>
    <w:lvl w:ilvl="0" w:tplc="0809000F">
      <w:start w:val="1"/>
      <w:numFmt w:val="decimal"/>
      <w:lvlText w:val="%1."/>
      <w:lvlJc w:val="left"/>
      <w:pPr>
        <w:ind w:left="1077" w:hanging="360"/>
      </w:pPr>
    </w:lvl>
    <w:lvl w:ilvl="1" w:tplc="08090019" w:tentative="1">
      <w:start w:val="1"/>
      <w:numFmt w:val="lowerLetter"/>
      <w:lvlText w:val="%2."/>
      <w:lvlJc w:val="left"/>
      <w:pPr>
        <w:ind w:left="1797" w:hanging="360"/>
      </w:pPr>
    </w:lvl>
    <w:lvl w:ilvl="2" w:tplc="0809001B" w:tentative="1">
      <w:start w:val="1"/>
      <w:numFmt w:val="lowerRoman"/>
      <w:lvlText w:val="%3."/>
      <w:lvlJc w:val="right"/>
      <w:pPr>
        <w:ind w:left="2517" w:hanging="180"/>
      </w:pPr>
    </w:lvl>
    <w:lvl w:ilvl="3" w:tplc="0809000F" w:tentative="1">
      <w:start w:val="1"/>
      <w:numFmt w:val="decimal"/>
      <w:lvlText w:val="%4."/>
      <w:lvlJc w:val="left"/>
      <w:pPr>
        <w:ind w:left="3237" w:hanging="360"/>
      </w:pPr>
    </w:lvl>
    <w:lvl w:ilvl="4" w:tplc="08090019" w:tentative="1">
      <w:start w:val="1"/>
      <w:numFmt w:val="lowerLetter"/>
      <w:lvlText w:val="%5."/>
      <w:lvlJc w:val="left"/>
      <w:pPr>
        <w:ind w:left="3957" w:hanging="360"/>
      </w:pPr>
    </w:lvl>
    <w:lvl w:ilvl="5" w:tplc="0809001B" w:tentative="1">
      <w:start w:val="1"/>
      <w:numFmt w:val="lowerRoman"/>
      <w:lvlText w:val="%6."/>
      <w:lvlJc w:val="right"/>
      <w:pPr>
        <w:ind w:left="4677" w:hanging="180"/>
      </w:pPr>
    </w:lvl>
    <w:lvl w:ilvl="6" w:tplc="0809000F" w:tentative="1">
      <w:start w:val="1"/>
      <w:numFmt w:val="decimal"/>
      <w:lvlText w:val="%7."/>
      <w:lvlJc w:val="left"/>
      <w:pPr>
        <w:ind w:left="5397" w:hanging="360"/>
      </w:pPr>
    </w:lvl>
    <w:lvl w:ilvl="7" w:tplc="08090019" w:tentative="1">
      <w:start w:val="1"/>
      <w:numFmt w:val="lowerLetter"/>
      <w:lvlText w:val="%8."/>
      <w:lvlJc w:val="left"/>
      <w:pPr>
        <w:ind w:left="6117" w:hanging="360"/>
      </w:pPr>
    </w:lvl>
    <w:lvl w:ilvl="8" w:tplc="0809001B" w:tentative="1">
      <w:start w:val="1"/>
      <w:numFmt w:val="lowerRoman"/>
      <w:lvlText w:val="%9."/>
      <w:lvlJc w:val="right"/>
      <w:pPr>
        <w:ind w:left="6837" w:hanging="180"/>
      </w:pPr>
    </w:lvl>
  </w:abstractNum>
  <w:abstractNum w:abstractNumId="18">
    <w:nsid w:val="4BF419D5"/>
    <w:multiLevelType w:val="hybridMultilevel"/>
    <w:tmpl w:val="4A8A11B2"/>
    <w:lvl w:ilvl="0" w:tplc="DD48D1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4E0E3E7F"/>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0">
    <w:nsid w:val="4EB95802"/>
    <w:multiLevelType w:val="multilevel"/>
    <w:tmpl w:val="0407001D"/>
    <w:styleLink w:val="Formatvorlage3"/>
    <w:lvl w:ilvl="0">
      <w:start w:val="1"/>
      <w:numFmt w:val="none"/>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nsid w:val="4EF30DF1"/>
    <w:multiLevelType w:val="hybridMultilevel"/>
    <w:tmpl w:val="95BE37A4"/>
    <w:lvl w:ilvl="0" w:tplc="DEB4209E">
      <w:start w:val="1"/>
      <w:numFmt w:val="upperRoman"/>
      <w:pStyle w:val="Nummerierungsart3"/>
      <w:lvlText w:val="%1."/>
      <w:lvlJc w:val="left"/>
      <w:pPr>
        <w:tabs>
          <w:tab w:val="num" w:pos="357"/>
        </w:tabs>
        <w:ind w:left="357" w:hanging="357"/>
      </w:pPr>
      <w:rPr>
        <w:rFonts w:hint="default"/>
      </w:rPr>
    </w:lvl>
    <w:lvl w:ilvl="1" w:tplc="B494082A" w:tentative="1">
      <w:start w:val="1"/>
      <w:numFmt w:val="lowerLetter"/>
      <w:lvlText w:val="%2."/>
      <w:lvlJc w:val="left"/>
      <w:pPr>
        <w:tabs>
          <w:tab w:val="num" w:pos="1440"/>
        </w:tabs>
        <w:ind w:left="1440" w:hanging="360"/>
      </w:pPr>
    </w:lvl>
    <w:lvl w:ilvl="2" w:tplc="8CF07C0E" w:tentative="1">
      <w:start w:val="1"/>
      <w:numFmt w:val="lowerRoman"/>
      <w:lvlText w:val="%3."/>
      <w:lvlJc w:val="right"/>
      <w:pPr>
        <w:tabs>
          <w:tab w:val="num" w:pos="2160"/>
        </w:tabs>
        <w:ind w:left="2160" w:hanging="180"/>
      </w:pPr>
    </w:lvl>
    <w:lvl w:ilvl="3" w:tplc="8918E6F8" w:tentative="1">
      <w:start w:val="1"/>
      <w:numFmt w:val="decimal"/>
      <w:lvlText w:val="%4."/>
      <w:lvlJc w:val="left"/>
      <w:pPr>
        <w:tabs>
          <w:tab w:val="num" w:pos="2880"/>
        </w:tabs>
        <w:ind w:left="2880" w:hanging="360"/>
      </w:pPr>
    </w:lvl>
    <w:lvl w:ilvl="4" w:tplc="51743DC4" w:tentative="1">
      <w:start w:val="1"/>
      <w:numFmt w:val="lowerLetter"/>
      <w:lvlText w:val="%5."/>
      <w:lvlJc w:val="left"/>
      <w:pPr>
        <w:tabs>
          <w:tab w:val="num" w:pos="3600"/>
        </w:tabs>
        <w:ind w:left="3600" w:hanging="360"/>
      </w:pPr>
    </w:lvl>
    <w:lvl w:ilvl="5" w:tplc="FD4A9F12" w:tentative="1">
      <w:start w:val="1"/>
      <w:numFmt w:val="lowerRoman"/>
      <w:lvlText w:val="%6."/>
      <w:lvlJc w:val="right"/>
      <w:pPr>
        <w:tabs>
          <w:tab w:val="num" w:pos="4320"/>
        </w:tabs>
        <w:ind w:left="4320" w:hanging="180"/>
      </w:pPr>
    </w:lvl>
    <w:lvl w:ilvl="6" w:tplc="DD78F7AC" w:tentative="1">
      <w:start w:val="1"/>
      <w:numFmt w:val="decimal"/>
      <w:lvlText w:val="%7."/>
      <w:lvlJc w:val="left"/>
      <w:pPr>
        <w:tabs>
          <w:tab w:val="num" w:pos="5040"/>
        </w:tabs>
        <w:ind w:left="5040" w:hanging="360"/>
      </w:pPr>
    </w:lvl>
    <w:lvl w:ilvl="7" w:tplc="233C3CF6" w:tentative="1">
      <w:start w:val="1"/>
      <w:numFmt w:val="lowerLetter"/>
      <w:lvlText w:val="%8."/>
      <w:lvlJc w:val="left"/>
      <w:pPr>
        <w:tabs>
          <w:tab w:val="num" w:pos="5760"/>
        </w:tabs>
        <w:ind w:left="5760" w:hanging="360"/>
      </w:pPr>
    </w:lvl>
    <w:lvl w:ilvl="8" w:tplc="1B20F0A2" w:tentative="1">
      <w:start w:val="1"/>
      <w:numFmt w:val="lowerRoman"/>
      <w:lvlText w:val="%9."/>
      <w:lvlJc w:val="right"/>
      <w:pPr>
        <w:tabs>
          <w:tab w:val="num" w:pos="6480"/>
        </w:tabs>
        <w:ind w:left="6480" w:hanging="180"/>
      </w:pPr>
    </w:lvl>
  </w:abstractNum>
  <w:abstractNum w:abstractNumId="22">
    <w:nsid w:val="57AD5AF7"/>
    <w:multiLevelType w:val="hybridMultilevel"/>
    <w:tmpl w:val="9844D93E"/>
    <w:lvl w:ilvl="0" w:tplc="479A68CA">
      <w:start w:val="429"/>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5BA1738F"/>
    <w:multiLevelType w:val="hybridMultilevel"/>
    <w:tmpl w:val="2FE2799E"/>
    <w:lvl w:ilvl="0" w:tplc="B2366634">
      <w:start w:val="1"/>
      <w:numFmt w:val="decimal"/>
      <w:pStyle w:val="Instructionsberschrift3"/>
      <w:lvlText w:val="%1.1.1"/>
      <w:lvlJc w:val="left"/>
      <w:pPr>
        <w:ind w:left="720" w:hanging="360"/>
      </w:pPr>
      <w:rPr>
        <w:rFonts w:hint="default"/>
      </w:rPr>
    </w:lvl>
    <w:lvl w:ilvl="1" w:tplc="04070003" w:tentative="1">
      <w:start w:val="1"/>
      <w:numFmt w:val="lowerLetter"/>
      <w:lvlText w:val="%2."/>
      <w:lvlJc w:val="left"/>
      <w:pPr>
        <w:ind w:left="1440" w:hanging="360"/>
      </w:pPr>
    </w:lvl>
    <w:lvl w:ilvl="2" w:tplc="04070005">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24">
    <w:nsid w:val="5C951B61"/>
    <w:multiLevelType w:val="hybridMultilevel"/>
    <w:tmpl w:val="121C0A42"/>
    <w:lvl w:ilvl="0" w:tplc="04090003">
      <w:start w:val="1"/>
      <w:numFmt w:val="bullet"/>
      <w:pStyle w:val="Aufzhlungszeichen2"/>
      <w:lvlText w:val=""/>
      <w:lvlJc w:val="left"/>
      <w:pPr>
        <w:tabs>
          <w:tab w:val="num" w:pos="357"/>
        </w:tabs>
        <w:ind w:left="357" w:hanging="357"/>
      </w:pPr>
      <w:rPr>
        <w:rFonts w:ascii="Wingdings" w:hAnsi="Wingdings" w:hint="default"/>
        <w:sz w:val="32"/>
        <w:szCs w:val="32"/>
      </w:rPr>
    </w:lvl>
    <w:lvl w:ilvl="1" w:tplc="04090005"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647057A3"/>
    <w:multiLevelType w:val="hybridMultilevel"/>
    <w:tmpl w:val="13420D26"/>
    <w:lvl w:ilvl="0" w:tplc="754A118C">
      <w:start w:val="1"/>
      <w:numFmt w:val="decimal"/>
      <w:pStyle w:val="Nummerierungsart1"/>
      <w:lvlText w:val="%1."/>
      <w:lvlJc w:val="left"/>
      <w:pPr>
        <w:tabs>
          <w:tab w:val="num" w:pos="357"/>
        </w:tabs>
        <w:ind w:left="357" w:hanging="357"/>
      </w:pPr>
      <w:rPr>
        <w:rFonts w:hint="default"/>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26">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7">
    <w:nsid w:val="651475E2"/>
    <w:multiLevelType w:val="hybridMultilevel"/>
    <w:tmpl w:val="70CA8CA4"/>
    <w:lvl w:ilvl="0" w:tplc="F53C89C4">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nsid w:val="66CA2C8C"/>
    <w:multiLevelType w:val="hybridMultilevel"/>
    <w:tmpl w:val="06380258"/>
    <w:lvl w:ilvl="0" w:tplc="91F28F2A">
      <w:start w:val="1"/>
      <w:numFmt w:val="decimal"/>
      <w:pStyle w:val="Instructionsberschrift2"/>
      <w:lvlText w:val="%1."/>
      <w:lvlJc w:val="left"/>
      <w:pPr>
        <w:ind w:left="720" w:hanging="360"/>
      </w:pPr>
      <w:rPr>
        <w:rFonts w:ascii="Times New Roman" w:eastAsia="Times New Roman" w:hAnsi="Times New Roman" w:cs="Times New Roman"/>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nsid w:val="67A9067D"/>
    <w:multiLevelType w:val="hybridMultilevel"/>
    <w:tmpl w:val="DE807ED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1">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2">
    <w:nsid w:val="6B3C3166"/>
    <w:multiLevelType w:val="hybridMultilevel"/>
    <w:tmpl w:val="E0A0E978"/>
    <w:lvl w:ilvl="0" w:tplc="0809000F">
      <w:start w:val="4"/>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nsid w:val="6CB76DF5"/>
    <w:multiLevelType w:val="hybridMultilevel"/>
    <w:tmpl w:val="0128A69C"/>
    <w:lvl w:ilvl="0" w:tplc="144021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5">
    <w:nsid w:val="72377034"/>
    <w:multiLevelType w:val="hybridMultilevel"/>
    <w:tmpl w:val="D348E89A"/>
    <w:lvl w:ilvl="0" w:tplc="55E6AEF8">
      <w:start w:val="1"/>
      <w:numFmt w:val="bullet"/>
      <w:pStyle w:val="Aufzhlungszeichen3"/>
      <w:lvlText w:val=""/>
      <w:lvlJc w:val="left"/>
      <w:pPr>
        <w:tabs>
          <w:tab w:val="num" w:pos="357"/>
        </w:tabs>
        <w:ind w:left="357" w:hanging="357"/>
      </w:pPr>
      <w:rPr>
        <w:rFonts w:ascii="Wingdings" w:hAnsi="Wingdings" w:hint="default"/>
        <w:sz w:val="22"/>
        <w:szCs w:val="22"/>
      </w:rPr>
    </w:lvl>
    <w:lvl w:ilvl="1" w:tplc="FA564310" w:tentative="1">
      <w:start w:val="1"/>
      <w:numFmt w:val="bullet"/>
      <w:lvlText w:val="o"/>
      <w:lvlJc w:val="left"/>
      <w:pPr>
        <w:tabs>
          <w:tab w:val="num" w:pos="1440"/>
        </w:tabs>
        <w:ind w:left="1440" w:hanging="360"/>
      </w:pPr>
      <w:rPr>
        <w:rFonts w:ascii="Courier New" w:hAnsi="Courier New" w:cs="Courier New" w:hint="default"/>
      </w:rPr>
    </w:lvl>
    <w:lvl w:ilvl="2" w:tplc="3C4C9E3E" w:tentative="1">
      <w:start w:val="1"/>
      <w:numFmt w:val="bullet"/>
      <w:lvlText w:val=""/>
      <w:lvlJc w:val="left"/>
      <w:pPr>
        <w:tabs>
          <w:tab w:val="num" w:pos="2160"/>
        </w:tabs>
        <w:ind w:left="2160" w:hanging="360"/>
      </w:pPr>
      <w:rPr>
        <w:rFonts w:ascii="Wingdings" w:hAnsi="Wingdings" w:hint="default"/>
      </w:rPr>
    </w:lvl>
    <w:lvl w:ilvl="3" w:tplc="2550B94C" w:tentative="1">
      <w:start w:val="1"/>
      <w:numFmt w:val="bullet"/>
      <w:lvlText w:val=""/>
      <w:lvlJc w:val="left"/>
      <w:pPr>
        <w:tabs>
          <w:tab w:val="num" w:pos="2880"/>
        </w:tabs>
        <w:ind w:left="2880" w:hanging="360"/>
      </w:pPr>
      <w:rPr>
        <w:rFonts w:ascii="Symbol" w:hAnsi="Symbol" w:hint="default"/>
      </w:rPr>
    </w:lvl>
    <w:lvl w:ilvl="4" w:tplc="2EAE39BE" w:tentative="1">
      <w:start w:val="1"/>
      <w:numFmt w:val="bullet"/>
      <w:lvlText w:val="o"/>
      <w:lvlJc w:val="left"/>
      <w:pPr>
        <w:tabs>
          <w:tab w:val="num" w:pos="3600"/>
        </w:tabs>
        <w:ind w:left="3600" w:hanging="360"/>
      </w:pPr>
      <w:rPr>
        <w:rFonts w:ascii="Courier New" w:hAnsi="Courier New" w:cs="Courier New" w:hint="default"/>
      </w:rPr>
    </w:lvl>
    <w:lvl w:ilvl="5" w:tplc="847E5BB6" w:tentative="1">
      <w:start w:val="1"/>
      <w:numFmt w:val="bullet"/>
      <w:lvlText w:val=""/>
      <w:lvlJc w:val="left"/>
      <w:pPr>
        <w:tabs>
          <w:tab w:val="num" w:pos="4320"/>
        </w:tabs>
        <w:ind w:left="4320" w:hanging="360"/>
      </w:pPr>
      <w:rPr>
        <w:rFonts w:ascii="Wingdings" w:hAnsi="Wingdings" w:hint="default"/>
      </w:rPr>
    </w:lvl>
    <w:lvl w:ilvl="6" w:tplc="D9541758" w:tentative="1">
      <w:start w:val="1"/>
      <w:numFmt w:val="bullet"/>
      <w:lvlText w:val=""/>
      <w:lvlJc w:val="left"/>
      <w:pPr>
        <w:tabs>
          <w:tab w:val="num" w:pos="5040"/>
        </w:tabs>
        <w:ind w:left="5040" w:hanging="360"/>
      </w:pPr>
      <w:rPr>
        <w:rFonts w:ascii="Symbol" w:hAnsi="Symbol" w:hint="default"/>
      </w:rPr>
    </w:lvl>
    <w:lvl w:ilvl="7" w:tplc="D16E1988" w:tentative="1">
      <w:start w:val="1"/>
      <w:numFmt w:val="bullet"/>
      <w:lvlText w:val="o"/>
      <w:lvlJc w:val="left"/>
      <w:pPr>
        <w:tabs>
          <w:tab w:val="num" w:pos="5760"/>
        </w:tabs>
        <w:ind w:left="5760" w:hanging="360"/>
      </w:pPr>
      <w:rPr>
        <w:rFonts w:ascii="Courier New" w:hAnsi="Courier New" w:cs="Courier New" w:hint="default"/>
      </w:rPr>
    </w:lvl>
    <w:lvl w:ilvl="8" w:tplc="B5FE466C" w:tentative="1">
      <w:start w:val="1"/>
      <w:numFmt w:val="bullet"/>
      <w:lvlText w:val=""/>
      <w:lvlJc w:val="left"/>
      <w:pPr>
        <w:tabs>
          <w:tab w:val="num" w:pos="6480"/>
        </w:tabs>
        <w:ind w:left="6480" w:hanging="360"/>
      </w:pPr>
      <w:rPr>
        <w:rFonts w:ascii="Wingdings" w:hAnsi="Wingdings" w:hint="default"/>
      </w:rPr>
    </w:lvl>
  </w:abstractNum>
  <w:abstractNum w:abstractNumId="36">
    <w:nsid w:val="79B32577"/>
    <w:multiLevelType w:val="hybridMultilevel"/>
    <w:tmpl w:val="D8B63E3E"/>
    <w:lvl w:ilvl="0" w:tplc="2E82B0BA">
      <w:start w:val="1"/>
      <w:numFmt w:val="bullet"/>
      <w:pStyle w:val="Bullet1"/>
      <w:lvlText w:val=""/>
      <w:lvlJc w:val="left"/>
      <w:pPr>
        <w:ind w:left="5264" w:hanging="360"/>
      </w:pPr>
      <w:rPr>
        <w:rFonts w:ascii="Symbol" w:hAnsi="Symbol" w:hint="default"/>
        <w:b w:val="0"/>
        <w:i w:val="0"/>
        <w:caps w:val="0"/>
        <w:strike w:val="0"/>
        <w:dstrike w:val="0"/>
        <w:vanish w:val="0"/>
        <w:color w:val="48748F" w:themeColor="accent1"/>
        <w:sz w:val="26"/>
        <w:vertAlign w:val="baseline"/>
      </w:rPr>
    </w:lvl>
    <w:lvl w:ilvl="1" w:tplc="61F42530" w:tentative="1">
      <w:start w:val="1"/>
      <w:numFmt w:val="bullet"/>
      <w:lvlText w:val="o"/>
      <w:lvlJc w:val="left"/>
      <w:pPr>
        <w:ind w:left="5984" w:hanging="360"/>
      </w:pPr>
      <w:rPr>
        <w:rFonts w:ascii="Courier New" w:hAnsi="Courier New" w:cs="Courier New" w:hint="default"/>
      </w:rPr>
    </w:lvl>
    <w:lvl w:ilvl="2" w:tplc="E45425D8" w:tentative="1">
      <w:start w:val="1"/>
      <w:numFmt w:val="bullet"/>
      <w:lvlText w:val=""/>
      <w:lvlJc w:val="left"/>
      <w:pPr>
        <w:ind w:left="6704" w:hanging="360"/>
      </w:pPr>
      <w:rPr>
        <w:rFonts w:ascii="Wingdings" w:hAnsi="Wingdings" w:hint="default"/>
      </w:rPr>
    </w:lvl>
    <w:lvl w:ilvl="3" w:tplc="32C03EB4" w:tentative="1">
      <w:start w:val="1"/>
      <w:numFmt w:val="bullet"/>
      <w:lvlText w:val=""/>
      <w:lvlJc w:val="left"/>
      <w:pPr>
        <w:ind w:left="7424" w:hanging="360"/>
      </w:pPr>
      <w:rPr>
        <w:rFonts w:ascii="Symbol" w:hAnsi="Symbol" w:hint="default"/>
      </w:rPr>
    </w:lvl>
    <w:lvl w:ilvl="4" w:tplc="E5441FBE" w:tentative="1">
      <w:start w:val="1"/>
      <w:numFmt w:val="bullet"/>
      <w:lvlText w:val="o"/>
      <w:lvlJc w:val="left"/>
      <w:pPr>
        <w:ind w:left="8144" w:hanging="360"/>
      </w:pPr>
      <w:rPr>
        <w:rFonts w:ascii="Courier New" w:hAnsi="Courier New" w:cs="Courier New" w:hint="default"/>
      </w:rPr>
    </w:lvl>
    <w:lvl w:ilvl="5" w:tplc="32D6823A" w:tentative="1">
      <w:start w:val="1"/>
      <w:numFmt w:val="bullet"/>
      <w:lvlText w:val=""/>
      <w:lvlJc w:val="left"/>
      <w:pPr>
        <w:ind w:left="8864" w:hanging="360"/>
      </w:pPr>
      <w:rPr>
        <w:rFonts w:ascii="Wingdings" w:hAnsi="Wingdings" w:hint="default"/>
      </w:rPr>
    </w:lvl>
    <w:lvl w:ilvl="6" w:tplc="86D2AC18" w:tentative="1">
      <w:start w:val="1"/>
      <w:numFmt w:val="bullet"/>
      <w:lvlText w:val=""/>
      <w:lvlJc w:val="left"/>
      <w:pPr>
        <w:ind w:left="9584" w:hanging="360"/>
      </w:pPr>
      <w:rPr>
        <w:rFonts w:ascii="Symbol" w:hAnsi="Symbol" w:hint="default"/>
      </w:rPr>
    </w:lvl>
    <w:lvl w:ilvl="7" w:tplc="A2A4E956" w:tentative="1">
      <w:start w:val="1"/>
      <w:numFmt w:val="bullet"/>
      <w:lvlText w:val="o"/>
      <w:lvlJc w:val="left"/>
      <w:pPr>
        <w:ind w:left="10304" w:hanging="360"/>
      </w:pPr>
      <w:rPr>
        <w:rFonts w:ascii="Courier New" w:hAnsi="Courier New" w:cs="Courier New" w:hint="default"/>
      </w:rPr>
    </w:lvl>
    <w:lvl w:ilvl="8" w:tplc="153A9FE2" w:tentative="1">
      <w:start w:val="1"/>
      <w:numFmt w:val="bullet"/>
      <w:lvlText w:val=""/>
      <w:lvlJc w:val="left"/>
      <w:pPr>
        <w:ind w:left="11024" w:hanging="360"/>
      </w:pPr>
      <w:rPr>
        <w:rFonts w:ascii="Wingdings" w:hAnsi="Wingdings" w:hint="default"/>
      </w:rPr>
    </w:lvl>
  </w:abstractNum>
  <w:abstractNum w:abstractNumId="37">
    <w:nsid w:val="7ED61C3B"/>
    <w:multiLevelType w:val="multilevel"/>
    <w:tmpl w:val="5EF2CF40"/>
    <w:lvl w:ilvl="0">
      <w:numFmt w:val="bullet"/>
      <w:lvlText w:val="-"/>
      <w:lvlJc w:val="left"/>
      <w:pPr>
        <w:ind w:left="357" w:hanging="357"/>
      </w:pPr>
      <w:rPr>
        <w:rFonts w:ascii="Times New Roman" w:eastAsiaTheme="minorHAnsi" w:hAnsi="Times New Roman" w:cs="Times New Roman" w:hint="default"/>
      </w:rPr>
    </w:lvl>
    <w:lvl w:ilvl="1">
      <w:start w:val="1"/>
      <w:numFmt w:val="decimal"/>
      <w:lvlText w:val="%1.%2."/>
      <w:lvlJc w:val="left"/>
      <w:pPr>
        <w:ind w:left="641"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8">
    <w:nsid w:val="7FA52C83"/>
    <w:multiLevelType w:val="hybridMultilevel"/>
    <w:tmpl w:val="BAD28968"/>
    <w:lvl w:ilvl="0" w:tplc="08090001">
      <w:start w:val="1"/>
      <w:numFmt w:val="bullet"/>
      <w:lvlText w:val=""/>
      <w:lvlJc w:val="left"/>
      <w:pPr>
        <w:ind w:left="1080" w:hanging="360"/>
      </w:pPr>
      <w:rPr>
        <w:rFonts w:ascii="Symbol" w:hAnsi="Symbol"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0"/>
  </w:num>
  <w:num w:numId="2">
    <w:abstractNumId w:val="8"/>
  </w:num>
  <w:num w:numId="3">
    <w:abstractNumId w:val="15"/>
  </w:num>
  <w:num w:numId="4">
    <w:abstractNumId w:val="7"/>
  </w:num>
  <w:num w:numId="5">
    <w:abstractNumId w:val="2"/>
  </w:num>
  <w:num w:numId="6">
    <w:abstractNumId w:val="36"/>
  </w:num>
  <w:num w:numId="7">
    <w:abstractNumId w:val="1"/>
  </w:num>
  <w:num w:numId="8">
    <w:abstractNumId w:val="24"/>
  </w:num>
  <w:num w:numId="9">
    <w:abstractNumId w:val="35"/>
  </w:num>
  <w:num w:numId="10">
    <w:abstractNumId w:val="16"/>
  </w:num>
  <w:num w:numId="11">
    <w:abstractNumId w:val="30"/>
  </w:num>
  <w:num w:numId="12">
    <w:abstractNumId w:val="14"/>
  </w:num>
  <w:num w:numId="13">
    <w:abstractNumId w:val="34"/>
  </w:num>
  <w:num w:numId="14">
    <w:abstractNumId w:val="6"/>
  </w:num>
  <w:num w:numId="15">
    <w:abstractNumId w:val="25"/>
  </w:num>
  <w:num w:numId="16">
    <w:abstractNumId w:val="13"/>
  </w:num>
  <w:num w:numId="17">
    <w:abstractNumId w:val="21"/>
  </w:num>
  <w:num w:numId="18">
    <w:abstractNumId w:val="11"/>
  </w:num>
  <w:num w:numId="19">
    <w:abstractNumId w:val="28"/>
  </w:num>
  <w:num w:numId="20">
    <w:abstractNumId w:val="23"/>
  </w:num>
  <w:num w:numId="21">
    <w:abstractNumId w:val="12"/>
  </w:num>
  <w:num w:numId="22">
    <w:abstractNumId w:val="20"/>
  </w:num>
  <w:num w:numId="23">
    <w:abstractNumId w:val="31"/>
  </w:num>
  <w:num w:numId="24">
    <w:abstractNumId w:val="4"/>
  </w:num>
  <w:num w:numId="25">
    <w:abstractNumId w:val="26"/>
  </w:num>
  <w:num w:numId="26">
    <w:abstractNumId w:val="37"/>
  </w:num>
  <w:num w:numId="27">
    <w:abstractNumId w:val="29"/>
  </w:num>
  <w:num w:numId="28">
    <w:abstractNumId w:val="18"/>
  </w:num>
  <w:num w:numId="29">
    <w:abstractNumId w:val="27"/>
  </w:num>
  <w:num w:numId="30">
    <w:abstractNumId w:val="38"/>
  </w:num>
  <w:num w:numId="31">
    <w:abstractNumId w:val="10"/>
  </w:num>
  <w:num w:numId="32">
    <w:abstractNumId w:val="19"/>
  </w:num>
  <w:num w:numId="33">
    <w:abstractNumId w:val="12"/>
  </w:num>
  <w:num w:numId="34">
    <w:abstractNumId w:val="12"/>
  </w:num>
  <w:num w:numId="35">
    <w:abstractNumId w:val="12"/>
  </w:num>
  <w:num w:numId="36">
    <w:abstractNumId w:val="33"/>
  </w:num>
  <w:num w:numId="37">
    <w:abstractNumId w:val="12"/>
  </w:num>
  <w:num w:numId="38">
    <w:abstractNumId w:val="32"/>
  </w:num>
  <w:num w:numId="39">
    <w:abstractNumId w:val="17"/>
  </w:num>
  <w:num w:numId="40">
    <w:abstractNumId w:val="9"/>
  </w:num>
  <w:num w:numId="41">
    <w:abstractNumId w:val="12"/>
  </w:num>
  <w:num w:numId="42">
    <w:abstractNumId w:val="12"/>
  </w:num>
  <w:num w:numId="43">
    <w:abstractNumId w:val="3"/>
  </w:num>
  <w:num w:numId="44">
    <w:abstractNumId w:val="22"/>
  </w:num>
  <w:num w:numId="45">
    <w:abstractNumId w:val="5"/>
  </w:num>
  <w:num w:numId="46">
    <w:abstractNumId w:val="12"/>
  </w:num>
  <w:numIdMacAtCleanup w:val="32"/>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GRIKSAS Gintaras (FISMA)">
    <w15:presenceInfo w15:providerId="None" w15:userId="GRIKSAS Gintaras (FISM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hyphenationZone w:val="425"/>
  <w:drawingGridHorizontalSpacing w:val="90"/>
  <w:drawingGridVerticalSpacing w:val="181"/>
  <w:displayHorizontalDrawingGridEvery w:val="2"/>
  <w:noPunctuationKerning/>
  <w:characterSpacingControl w:val="doNotCompress"/>
  <w:hdrShapeDefaults>
    <o:shapedefaults v:ext="edit" spidmax="75777" fill="f" fillcolor="white" stroke="f">
      <v:fill color="white" on="f"/>
      <v:stroke on="f"/>
      <v:textbox inset="0,0,0,0"/>
    </o:shapedefaults>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F4754B"/>
    <w:rsid w:val="000008C5"/>
    <w:rsid w:val="00000F21"/>
    <w:rsid w:val="00001954"/>
    <w:rsid w:val="00002206"/>
    <w:rsid w:val="00002D30"/>
    <w:rsid w:val="00003BBA"/>
    <w:rsid w:val="0000611B"/>
    <w:rsid w:val="00006CEB"/>
    <w:rsid w:val="0001009B"/>
    <w:rsid w:val="00011618"/>
    <w:rsid w:val="0001167D"/>
    <w:rsid w:val="000163CB"/>
    <w:rsid w:val="00016AFB"/>
    <w:rsid w:val="00017C5E"/>
    <w:rsid w:val="00022D49"/>
    <w:rsid w:val="000236FF"/>
    <w:rsid w:val="00030988"/>
    <w:rsid w:val="00030A95"/>
    <w:rsid w:val="00031FAA"/>
    <w:rsid w:val="00032DC0"/>
    <w:rsid w:val="0003735D"/>
    <w:rsid w:val="00037947"/>
    <w:rsid w:val="0004746E"/>
    <w:rsid w:val="00047A5F"/>
    <w:rsid w:val="000515A8"/>
    <w:rsid w:val="00053DFD"/>
    <w:rsid w:val="00060AEF"/>
    <w:rsid w:val="00060D86"/>
    <w:rsid w:val="00061696"/>
    <w:rsid w:val="00061FBE"/>
    <w:rsid w:val="0006345F"/>
    <w:rsid w:val="00064698"/>
    <w:rsid w:val="0007729E"/>
    <w:rsid w:val="00080B5B"/>
    <w:rsid w:val="00086A8A"/>
    <w:rsid w:val="00087C56"/>
    <w:rsid w:val="00090312"/>
    <w:rsid w:val="00092348"/>
    <w:rsid w:val="000A14BE"/>
    <w:rsid w:val="000A1DC4"/>
    <w:rsid w:val="000A2489"/>
    <w:rsid w:val="000A32B5"/>
    <w:rsid w:val="000A4658"/>
    <w:rsid w:val="000A6437"/>
    <w:rsid w:val="000A6584"/>
    <w:rsid w:val="000A715B"/>
    <w:rsid w:val="000A7286"/>
    <w:rsid w:val="000A78A1"/>
    <w:rsid w:val="000A7B45"/>
    <w:rsid w:val="000B108D"/>
    <w:rsid w:val="000B2DD8"/>
    <w:rsid w:val="000B5761"/>
    <w:rsid w:val="000B74A7"/>
    <w:rsid w:val="000C04BB"/>
    <w:rsid w:val="000C216B"/>
    <w:rsid w:val="000C3F11"/>
    <w:rsid w:val="000C6AAC"/>
    <w:rsid w:val="000D1636"/>
    <w:rsid w:val="000D1827"/>
    <w:rsid w:val="000D3973"/>
    <w:rsid w:val="000D5823"/>
    <w:rsid w:val="000D6138"/>
    <w:rsid w:val="000D64CA"/>
    <w:rsid w:val="000D6823"/>
    <w:rsid w:val="000E083F"/>
    <w:rsid w:val="000E2D94"/>
    <w:rsid w:val="000E4A3F"/>
    <w:rsid w:val="000E4B8D"/>
    <w:rsid w:val="000E5AAE"/>
    <w:rsid w:val="000E62A7"/>
    <w:rsid w:val="000E6617"/>
    <w:rsid w:val="000E715A"/>
    <w:rsid w:val="000F26EF"/>
    <w:rsid w:val="000F4B74"/>
    <w:rsid w:val="000F5F49"/>
    <w:rsid w:val="000F74E8"/>
    <w:rsid w:val="000F7613"/>
    <w:rsid w:val="001005A7"/>
    <w:rsid w:val="00110BC7"/>
    <w:rsid w:val="001133CE"/>
    <w:rsid w:val="00114345"/>
    <w:rsid w:val="0011649C"/>
    <w:rsid w:val="00124715"/>
    <w:rsid w:val="00125BAF"/>
    <w:rsid w:val="00125CA1"/>
    <w:rsid w:val="00127AC7"/>
    <w:rsid w:val="001305CF"/>
    <w:rsid w:val="00130EEF"/>
    <w:rsid w:val="00131057"/>
    <w:rsid w:val="00132069"/>
    <w:rsid w:val="00132855"/>
    <w:rsid w:val="00132A0E"/>
    <w:rsid w:val="00141FF2"/>
    <w:rsid w:val="00142ED4"/>
    <w:rsid w:val="00143338"/>
    <w:rsid w:val="00146CA4"/>
    <w:rsid w:val="00151462"/>
    <w:rsid w:val="00151D33"/>
    <w:rsid w:val="00154FCE"/>
    <w:rsid w:val="001572C1"/>
    <w:rsid w:val="00162ABC"/>
    <w:rsid w:val="00164A3E"/>
    <w:rsid w:val="00166C41"/>
    <w:rsid w:val="00167041"/>
    <w:rsid w:val="00171C3F"/>
    <w:rsid w:val="00171C76"/>
    <w:rsid w:val="001721BF"/>
    <w:rsid w:val="00173FAA"/>
    <w:rsid w:val="0017558C"/>
    <w:rsid w:val="00175A51"/>
    <w:rsid w:val="00180521"/>
    <w:rsid w:val="001807E9"/>
    <w:rsid w:val="00180FB9"/>
    <w:rsid w:val="00181A8D"/>
    <w:rsid w:val="001849BA"/>
    <w:rsid w:val="00184D76"/>
    <w:rsid w:val="00186774"/>
    <w:rsid w:val="00187E4B"/>
    <w:rsid w:val="00193A99"/>
    <w:rsid w:val="00197F19"/>
    <w:rsid w:val="001A2ABA"/>
    <w:rsid w:val="001A46E4"/>
    <w:rsid w:val="001B1458"/>
    <w:rsid w:val="001B2410"/>
    <w:rsid w:val="001B2D84"/>
    <w:rsid w:val="001B34D0"/>
    <w:rsid w:val="001B3BF0"/>
    <w:rsid w:val="001C123F"/>
    <w:rsid w:val="001C2254"/>
    <w:rsid w:val="001C27BF"/>
    <w:rsid w:val="001C50A4"/>
    <w:rsid w:val="001C597D"/>
    <w:rsid w:val="001D1678"/>
    <w:rsid w:val="001D386D"/>
    <w:rsid w:val="001D4A4A"/>
    <w:rsid w:val="001D4EC2"/>
    <w:rsid w:val="001D5CFB"/>
    <w:rsid w:val="001D629F"/>
    <w:rsid w:val="001D6F2F"/>
    <w:rsid w:val="001E4BA5"/>
    <w:rsid w:val="001E58D0"/>
    <w:rsid w:val="001E5F9C"/>
    <w:rsid w:val="001F0676"/>
    <w:rsid w:val="001F0ECD"/>
    <w:rsid w:val="001F28C3"/>
    <w:rsid w:val="001F28E7"/>
    <w:rsid w:val="001F3810"/>
    <w:rsid w:val="001F4281"/>
    <w:rsid w:val="001F7C68"/>
    <w:rsid w:val="001F7D7C"/>
    <w:rsid w:val="002143BB"/>
    <w:rsid w:val="00214915"/>
    <w:rsid w:val="002149E4"/>
    <w:rsid w:val="00214D62"/>
    <w:rsid w:val="002161E2"/>
    <w:rsid w:val="00217B44"/>
    <w:rsid w:val="00217D1F"/>
    <w:rsid w:val="0022597B"/>
    <w:rsid w:val="002262E5"/>
    <w:rsid w:val="002323A0"/>
    <w:rsid w:val="00233A74"/>
    <w:rsid w:val="002341B6"/>
    <w:rsid w:val="00235FBA"/>
    <w:rsid w:val="0023791C"/>
    <w:rsid w:val="00237DD1"/>
    <w:rsid w:val="0024092A"/>
    <w:rsid w:val="0024434F"/>
    <w:rsid w:val="0024511B"/>
    <w:rsid w:val="00245CB1"/>
    <w:rsid w:val="002509B1"/>
    <w:rsid w:val="00252F75"/>
    <w:rsid w:val="00253D80"/>
    <w:rsid w:val="00254983"/>
    <w:rsid w:val="00255202"/>
    <w:rsid w:val="002573FC"/>
    <w:rsid w:val="00260D4F"/>
    <w:rsid w:val="00270DBA"/>
    <w:rsid w:val="0027305C"/>
    <w:rsid w:val="0027308B"/>
    <w:rsid w:val="002736E3"/>
    <w:rsid w:val="00275435"/>
    <w:rsid w:val="0027548E"/>
    <w:rsid w:val="00286279"/>
    <w:rsid w:val="00291B93"/>
    <w:rsid w:val="00292FC3"/>
    <w:rsid w:val="0029415C"/>
    <w:rsid w:val="00294990"/>
    <w:rsid w:val="002A07A2"/>
    <w:rsid w:val="002B0879"/>
    <w:rsid w:val="002B34A4"/>
    <w:rsid w:val="002B3FF4"/>
    <w:rsid w:val="002C1F24"/>
    <w:rsid w:val="002C4B54"/>
    <w:rsid w:val="002C5729"/>
    <w:rsid w:val="002C5782"/>
    <w:rsid w:val="002C6479"/>
    <w:rsid w:val="002D2944"/>
    <w:rsid w:val="002E1083"/>
    <w:rsid w:val="002E3728"/>
    <w:rsid w:val="002E3FD6"/>
    <w:rsid w:val="002E6BDF"/>
    <w:rsid w:val="002E6BEF"/>
    <w:rsid w:val="002F2179"/>
    <w:rsid w:val="00300E22"/>
    <w:rsid w:val="0030136E"/>
    <w:rsid w:val="003027FE"/>
    <w:rsid w:val="00302FB6"/>
    <w:rsid w:val="003032DF"/>
    <w:rsid w:val="0030524E"/>
    <w:rsid w:val="003113EE"/>
    <w:rsid w:val="00315160"/>
    <w:rsid w:val="00316050"/>
    <w:rsid w:val="003167BD"/>
    <w:rsid w:val="00316905"/>
    <w:rsid w:val="00317861"/>
    <w:rsid w:val="00321B6C"/>
    <w:rsid w:val="003231FC"/>
    <w:rsid w:val="00324840"/>
    <w:rsid w:val="003260D7"/>
    <w:rsid w:val="003264FC"/>
    <w:rsid w:val="003335A9"/>
    <w:rsid w:val="0033504B"/>
    <w:rsid w:val="003353A9"/>
    <w:rsid w:val="003355CE"/>
    <w:rsid w:val="003358B6"/>
    <w:rsid w:val="003371AF"/>
    <w:rsid w:val="003411F8"/>
    <w:rsid w:val="003418AD"/>
    <w:rsid w:val="0034348F"/>
    <w:rsid w:val="00345499"/>
    <w:rsid w:val="003475AF"/>
    <w:rsid w:val="00352D4B"/>
    <w:rsid w:val="0036007F"/>
    <w:rsid w:val="00360553"/>
    <w:rsid w:val="00361101"/>
    <w:rsid w:val="00373CFA"/>
    <w:rsid w:val="0037735D"/>
    <w:rsid w:val="00384D30"/>
    <w:rsid w:val="00385061"/>
    <w:rsid w:val="00386CDA"/>
    <w:rsid w:val="00387DC5"/>
    <w:rsid w:val="00390B7F"/>
    <w:rsid w:val="00391EF9"/>
    <w:rsid w:val="00392036"/>
    <w:rsid w:val="00393D7A"/>
    <w:rsid w:val="00394D11"/>
    <w:rsid w:val="00395FEB"/>
    <w:rsid w:val="003A3804"/>
    <w:rsid w:val="003A5995"/>
    <w:rsid w:val="003A5B2A"/>
    <w:rsid w:val="003A6DAC"/>
    <w:rsid w:val="003B0909"/>
    <w:rsid w:val="003B09C0"/>
    <w:rsid w:val="003B1279"/>
    <w:rsid w:val="003B2DDA"/>
    <w:rsid w:val="003B3015"/>
    <w:rsid w:val="003B4192"/>
    <w:rsid w:val="003B472A"/>
    <w:rsid w:val="003B555D"/>
    <w:rsid w:val="003B5CD9"/>
    <w:rsid w:val="003C4CC8"/>
    <w:rsid w:val="003C6064"/>
    <w:rsid w:val="003C66FA"/>
    <w:rsid w:val="003C6829"/>
    <w:rsid w:val="003C7E9B"/>
    <w:rsid w:val="003D0536"/>
    <w:rsid w:val="003D118F"/>
    <w:rsid w:val="003E12AE"/>
    <w:rsid w:val="003E1D33"/>
    <w:rsid w:val="003E23B1"/>
    <w:rsid w:val="003E30FC"/>
    <w:rsid w:val="003E4F6D"/>
    <w:rsid w:val="003F1BF6"/>
    <w:rsid w:val="003F37CB"/>
    <w:rsid w:val="003F598C"/>
    <w:rsid w:val="003F6C06"/>
    <w:rsid w:val="00401A21"/>
    <w:rsid w:val="00403043"/>
    <w:rsid w:val="00404AA3"/>
    <w:rsid w:val="004052F0"/>
    <w:rsid w:val="00406605"/>
    <w:rsid w:val="00407A0F"/>
    <w:rsid w:val="00410E47"/>
    <w:rsid w:val="00413A7F"/>
    <w:rsid w:val="00414EB6"/>
    <w:rsid w:val="004178C8"/>
    <w:rsid w:val="00422C76"/>
    <w:rsid w:val="0042419F"/>
    <w:rsid w:val="00424A0A"/>
    <w:rsid w:val="00424BB8"/>
    <w:rsid w:val="00430CAC"/>
    <w:rsid w:val="00433529"/>
    <w:rsid w:val="00433E1A"/>
    <w:rsid w:val="00434439"/>
    <w:rsid w:val="00436233"/>
    <w:rsid w:val="004379F7"/>
    <w:rsid w:val="0044777F"/>
    <w:rsid w:val="0045378E"/>
    <w:rsid w:val="00453BD6"/>
    <w:rsid w:val="004573B6"/>
    <w:rsid w:val="00460502"/>
    <w:rsid w:val="004612B9"/>
    <w:rsid w:val="004618EC"/>
    <w:rsid w:val="00462168"/>
    <w:rsid w:val="0046231D"/>
    <w:rsid w:val="00463240"/>
    <w:rsid w:val="00465521"/>
    <w:rsid w:val="00467C7D"/>
    <w:rsid w:val="00467F98"/>
    <w:rsid w:val="00470082"/>
    <w:rsid w:val="00470C9E"/>
    <w:rsid w:val="00471639"/>
    <w:rsid w:val="00472209"/>
    <w:rsid w:val="00472EC7"/>
    <w:rsid w:val="00473173"/>
    <w:rsid w:val="00481854"/>
    <w:rsid w:val="00482670"/>
    <w:rsid w:val="004835BD"/>
    <w:rsid w:val="00484555"/>
    <w:rsid w:val="0048526F"/>
    <w:rsid w:val="00492435"/>
    <w:rsid w:val="00492EAF"/>
    <w:rsid w:val="004968DF"/>
    <w:rsid w:val="004A15F0"/>
    <w:rsid w:val="004A1A27"/>
    <w:rsid w:val="004A296A"/>
    <w:rsid w:val="004A3009"/>
    <w:rsid w:val="004A347E"/>
    <w:rsid w:val="004A4633"/>
    <w:rsid w:val="004A4C19"/>
    <w:rsid w:val="004A5220"/>
    <w:rsid w:val="004A61B4"/>
    <w:rsid w:val="004B331D"/>
    <w:rsid w:val="004B44F1"/>
    <w:rsid w:val="004B5877"/>
    <w:rsid w:val="004B653A"/>
    <w:rsid w:val="004C2CFB"/>
    <w:rsid w:val="004C3560"/>
    <w:rsid w:val="004C587B"/>
    <w:rsid w:val="004C6361"/>
    <w:rsid w:val="004D12DC"/>
    <w:rsid w:val="004D14B5"/>
    <w:rsid w:val="004D223F"/>
    <w:rsid w:val="004D2325"/>
    <w:rsid w:val="004D36F1"/>
    <w:rsid w:val="004D7C73"/>
    <w:rsid w:val="004E100C"/>
    <w:rsid w:val="004E437E"/>
    <w:rsid w:val="004F0C5D"/>
    <w:rsid w:val="004F39F5"/>
    <w:rsid w:val="004F4B70"/>
    <w:rsid w:val="00500508"/>
    <w:rsid w:val="00505096"/>
    <w:rsid w:val="00505AEE"/>
    <w:rsid w:val="00505D21"/>
    <w:rsid w:val="0050602F"/>
    <w:rsid w:val="00510FE5"/>
    <w:rsid w:val="00512342"/>
    <w:rsid w:val="00512B5A"/>
    <w:rsid w:val="00513244"/>
    <w:rsid w:val="00514EAE"/>
    <w:rsid w:val="005170CA"/>
    <w:rsid w:val="00520804"/>
    <w:rsid w:val="005254CB"/>
    <w:rsid w:val="0053018F"/>
    <w:rsid w:val="00530472"/>
    <w:rsid w:val="00530B7F"/>
    <w:rsid w:val="005315D3"/>
    <w:rsid w:val="00531A77"/>
    <w:rsid w:val="0053335C"/>
    <w:rsid w:val="005334AA"/>
    <w:rsid w:val="00534FED"/>
    <w:rsid w:val="00540765"/>
    <w:rsid w:val="00542741"/>
    <w:rsid w:val="005441C9"/>
    <w:rsid w:val="00544664"/>
    <w:rsid w:val="00552B55"/>
    <w:rsid w:val="00553B13"/>
    <w:rsid w:val="0055482B"/>
    <w:rsid w:val="005550ED"/>
    <w:rsid w:val="005556DC"/>
    <w:rsid w:val="00556C46"/>
    <w:rsid w:val="00557776"/>
    <w:rsid w:val="005637C9"/>
    <w:rsid w:val="00564147"/>
    <w:rsid w:val="00564469"/>
    <w:rsid w:val="00565261"/>
    <w:rsid w:val="005706FB"/>
    <w:rsid w:val="00572698"/>
    <w:rsid w:val="0057423E"/>
    <w:rsid w:val="00574827"/>
    <w:rsid w:val="0057624C"/>
    <w:rsid w:val="0057643F"/>
    <w:rsid w:val="00576B1D"/>
    <w:rsid w:val="00580256"/>
    <w:rsid w:val="00583DD0"/>
    <w:rsid w:val="00590FFA"/>
    <w:rsid w:val="00592197"/>
    <w:rsid w:val="0059457E"/>
    <w:rsid w:val="00595A81"/>
    <w:rsid w:val="005A0FE7"/>
    <w:rsid w:val="005A1569"/>
    <w:rsid w:val="005A23B9"/>
    <w:rsid w:val="005A28BE"/>
    <w:rsid w:val="005A5B50"/>
    <w:rsid w:val="005B1C10"/>
    <w:rsid w:val="005C09F7"/>
    <w:rsid w:val="005C1136"/>
    <w:rsid w:val="005C3639"/>
    <w:rsid w:val="005C5A30"/>
    <w:rsid w:val="005C5E78"/>
    <w:rsid w:val="005C6F27"/>
    <w:rsid w:val="005D0068"/>
    <w:rsid w:val="005D5E9E"/>
    <w:rsid w:val="005D7EDA"/>
    <w:rsid w:val="005E11D1"/>
    <w:rsid w:val="005E1C85"/>
    <w:rsid w:val="005E2F5D"/>
    <w:rsid w:val="005E5BB9"/>
    <w:rsid w:val="005E73EB"/>
    <w:rsid w:val="005F2987"/>
    <w:rsid w:val="005F3AC8"/>
    <w:rsid w:val="005F557E"/>
    <w:rsid w:val="005F704F"/>
    <w:rsid w:val="006033AB"/>
    <w:rsid w:val="00603F44"/>
    <w:rsid w:val="00603F66"/>
    <w:rsid w:val="00605108"/>
    <w:rsid w:val="0060766D"/>
    <w:rsid w:val="00607A1B"/>
    <w:rsid w:val="0061104D"/>
    <w:rsid w:val="0061109E"/>
    <w:rsid w:val="006162F0"/>
    <w:rsid w:val="006171B4"/>
    <w:rsid w:val="0062069D"/>
    <w:rsid w:val="00621B0F"/>
    <w:rsid w:val="00625DC4"/>
    <w:rsid w:val="0062777A"/>
    <w:rsid w:val="00627E07"/>
    <w:rsid w:val="00633D3F"/>
    <w:rsid w:val="00634086"/>
    <w:rsid w:val="00634337"/>
    <w:rsid w:val="00637945"/>
    <w:rsid w:val="0064027F"/>
    <w:rsid w:val="00642285"/>
    <w:rsid w:val="006423CC"/>
    <w:rsid w:val="006470A6"/>
    <w:rsid w:val="00650723"/>
    <w:rsid w:val="00652361"/>
    <w:rsid w:val="006537BB"/>
    <w:rsid w:val="00655C0D"/>
    <w:rsid w:val="00657F8D"/>
    <w:rsid w:val="006604D8"/>
    <w:rsid w:val="00661667"/>
    <w:rsid w:val="006622A7"/>
    <w:rsid w:val="00664684"/>
    <w:rsid w:val="006646F1"/>
    <w:rsid w:val="00665BBB"/>
    <w:rsid w:val="0067137A"/>
    <w:rsid w:val="00673A97"/>
    <w:rsid w:val="00675587"/>
    <w:rsid w:val="00675B54"/>
    <w:rsid w:val="00676811"/>
    <w:rsid w:val="00677250"/>
    <w:rsid w:val="0068073E"/>
    <w:rsid w:val="00684A92"/>
    <w:rsid w:val="00687851"/>
    <w:rsid w:val="006914A2"/>
    <w:rsid w:val="00691A5C"/>
    <w:rsid w:val="00691DAA"/>
    <w:rsid w:val="0069203D"/>
    <w:rsid w:val="006944D1"/>
    <w:rsid w:val="00697252"/>
    <w:rsid w:val="006A0010"/>
    <w:rsid w:val="006A0DFB"/>
    <w:rsid w:val="006A2D2A"/>
    <w:rsid w:val="006A32F5"/>
    <w:rsid w:val="006A5A49"/>
    <w:rsid w:val="006A70F4"/>
    <w:rsid w:val="006A79D4"/>
    <w:rsid w:val="006B0C51"/>
    <w:rsid w:val="006B3B83"/>
    <w:rsid w:val="006B3F16"/>
    <w:rsid w:val="006B5730"/>
    <w:rsid w:val="006B5E42"/>
    <w:rsid w:val="006B5EBA"/>
    <w:rsid w:val="006C030C"/>
    <w:rsid w:val="006C0659"/>
    <w:rsid w:val="006C07C1"/>
    <w:rsid w:val="006C0C0A"/>
    <w:rsid w:val="006C1A7F"/>
    <w:rsid w:val="006C69BD"/>
    <w:rsid w:val="006D1BFE"/>
    <w:rsid w:val="006D1C09"/>
    <w:rsid w:val="006D3F98"/>
    <w:rsid w:val="006D7886"/>
    <w:rsid w:val="006D7B47"/>
    <w:rsid w:val="006E1E69"/>
    <w:rsid w:val="006E259E"/>
    <w:rsid w:val="006E2997"/>
    <w:rsid w:val="006E657C"/>
    <w:rsid w:val="006E7944"/>
    <w:rsid w:val="006F0266"/>
    <w:rsid w:val="006F112E"/>
    <w:rsid w:val="006F3775"/>
    <w:rsid w:val="006F4457"/>
    <w:rsid w:val="006F4788"/>
    <w:rsid w:val="006F63EA"/>
    <w:rsid w:val="006F6CC7"/>
    <w:rsid w:val="006F6EA7"/>
    <w:rsid w:val="006F7AAD"/>
    <w:rsid w:val="00700DA6"/>
    <w:rsid w:val="007022DC"/>
    <w:rsid w:val="0070279B"/>
    <w:rsid w:val="00703D5A"/>
    <w:rsid w:val="00706750"/>
    <w:rsid w:val="007100CC"/>
    <w:rsid w:val="007129B2"/>
    <w:rsid w:val="00713ABC"/>
    <w:rsid w:val="00714306"/>
    <w:rsid w:val="007157C8"/>
    <w:rsid w:val="007161DB"/>
    <w:rsid w:val="00716F26"/>
    <w:rsid w:val="00720503"/>
    <w:rsid w:val="00720943"/>
    <w:rsid w:val="00723994"/>
    <w:rsid w:val="00731216"/>
    <w:rsid w:val="00731C96"/>
    <w:rsid w:val="00732A34"/>
    <w:rsid w:val="00732A8A"/>
    <w:rsid w:val="00732FC0"/>
    <w:rsid w:val="007348B9"/>
    <w:rsid w:val="00735D76"/>
    <w:rsid w:val="0074473F"/>
    <w:rsid w:val="007449D7"/>
    <w:rsid w:val="00746D86"/>
    <w:rsid w:val="00750C66"/>
    <w:rsid w:val="00751DEF"/>
    <w:rsid w:val="00754D85"/>
    <w:rsid w:val="007611CF"/>
    <w:rsid w:val="007625FE"/>
    <w:rsid w:val="00765E8F"/>
    <w:rsid w:val="0077078C"/>
    <w:rsid w:val="0077269C"/>
    <w:rsid w:val="00772B95"/>
    <w:rsid w:val="007737A3"/>
    <w:rsid w:val="00773BB8"/>
    <w:rsid w:val="007748A3"/>
    <w:rsid w:val="007749D9"/>
    <w:rsid w:val="0077517E"/>
    <w:rsid w:val="0077565E"/>
    <w:rsid w:val="007772F8"/>
    <w:rsid w:val="0077762D"/>
    <w:rsid w:val="00777EDA"/>
    <w:rsid w:val="0078115E"/>
    <w:rsid w:val="0078134B"/>
    <w:rsid w:val="00781E1E"/>
    <w:rsid w:val="00783CC3"/>
    <w:rsid w:val="00791FF9"/>
    <w:rsid w:val="007934F7"/>
    <w:rsid w:val="00793EE3"/>
    <w:rsid w:val="00794935"/>
    <w:rsid w:val="007A001B"/>
    <w:rsid w:val="007A0B0D"/>
    <w:rsid w:val="007A0E3A"/>
    <w:rsid w:val="007A1271"/>
    <w:rsid w:val="007A4D96"/>
    <w:rsid w:val="007B0654"/>
    <w:rsid w:val="007B37F0"/>
    <w:rsid w:val="007B65AA"/>
    <w:rsid w:val="007B7393"/>
    <w:rsid w:val="007C0838"/>
    <w:rsid w:val="007C09C7"/>
    <w:rsid w:val="007C178B"/>
    <w:rsid w:val="007C27EF"/>
    <w:rsid w:val="007C2D57"/>
    <w:rsid w:val="007C3DF7"/>
    <w:rsid w:val="007C68B3"/>
    <w:rsid w:val="007D227C"/>
    <w:rsid w:val="007D264E"/>
    <w:rsid w:val="007D2D5E"/>
    <w:rsid w:val="007D4B43"/>
    <w:rsid w:val="007D6824"/>
    <w:rsid w:val="007E15B2"/>
    <w:rsid w:val="007E1921"/>
    <w:rsid w:val="007E1F46"/>
    <w:rsid w:val="007E2A41"/>
    <w:rsid w:val="007E3631"/>
    <w:rsid w:val="007E52B2"/>
    <w:rsid w:val="007E64C7"/>
    <w:rsid w:val="007E65E8"/>
    <w:rsid w:val="007F3CC5"/>
    <w:rsid w:val="007F4863"/>
    <w:rsid w:val="007F4D50"/>
    <w:rsid w:val="007F58C1"/>
    <w:rsid w:val="007F5C5C"/>
    <w:rsid w:val="007F617B"/>
    <w:rsid w:val="007F737A"/>
    <w:rsid w:val="007F789D"/>
    <w:rsid w:val="007F7E5F"/>
    <w:rsid w:val="00800FD8"/>
    <w:rsid w:val="00801179"/>
    <w:rsid w:val="008011A3"/>
    <w:rsid w:val="008043B3"/>
    <w:rsid w:val="00805DD8"/>
    <w:rsid w:val="00806216"/>
    <w:rsid w:val="00810EDB"/>
    <w:rsid w:val="00811D20"/>
    <w:rsid w:val="008153CE"/>
    <w:rsid w:val="0082289C"/>
    <w:rsid w:val="00823913"/>
    <w:rsid w:val="0082401E"/>
    <w:rsid w:val="0082480F"/>
    <w:rsid w:val="008252BC"/>
    <w:rsid w:val="00825376"/>
    <w:rsid w:val="00826E34"/>
    <w:rsid w:val="00830E69"/>
    <w:rsid w:val="0083234B"/>
    <w:rsid w:val="008345C8"/>
    <w:rsid w:val="0083515B"/>
    <w:rsid w:val="00835E98"/>
    <w:rsid w:val="00836521"/>
    <w:rsid w:val="0083687A"/>
    <w:rsid w:val="00837EA8"/>
    <w:rsid w:val="00837F1A"/>
    <w:rsid w:val="0084062C"/>
    <w:rsid w:val="00840C29"/>
    <w:rsid w:val="008416A0"/>
    <w:rsid w:val="008434F0"/>
    <w:rsid w:val="00844A35"/>
    <w:rsid w:val="0084699F"/>
    <w:rsid w:val="00846CCB"/>
    <w:rsid w:val="00847EDD"/>
    <w:rsid w:val="0085372E"/>
    <w:rsid w:val="00854D51"/>
    <w:rsid w:val="008552F5"/>
    <w:rsid w:val="00855566"/>
    <w:rsid w:val="008646BB"/>
    <w:rsid w:val="0086471C"/>
    <w:rsid w:val="00865326"/>
    <w:rsid w:val="008717E3"/>
    <w:rsid w:val="008725D5"/>
    <w:rsid w:val="00873845"/>
    <w:rsid w:val="00875832"/>
    <w:rsid w:val="00877186"/>
    <w:rsid w:val="00882BCA"/>
    <w:rsid w:val="008838D5"/>
    <w:rsid w:val="00883C1E"/>
    <w:rsid w:val="00884D28"/>
    <w:rsid w:val="008934A4"/>
    <w:rsid w:val="008934D6"/>
    <w:rsid w:val="00897B7D"/>
    <w:rsid w:val="008A0524"/>
    <w:rsid w:val="008A6888"/>
    <w:rsid w:val="008B0457"/>
    <w:rsid w:val="008B54AB"/>
    <w:rsid w:val="008C2320"/>
    <w:rsid w:val="008C4E32"/>
    <w:rsid w:val="008C5950"/>
    <w:rsid w:val="008C5D3D"/>
    <w:rsid w:val="008C7B98"/>
    <w:rsid w:val="008D076A"/>
    <w:rsid w:val="008D5977"/>
    <w:rsid w:val="008D70E9"/>
    <w:rsid w:val="008E267D"/>
    <w:rsid w:val="008E57C0"/>
    <w:rsid w:val="008E5E14"/>
    <w:rsid w:val="008E5EFD"/>
    <w:rsid w:val="008E7068"/>
    <w:rsid w:val="008F4A14"/>
    <w:rsid w:val="008F5AFD"/>
    <w:rsid w:val="008F6658"/>
    <w:rsid w:val="008F79EC"/>
    <w:rsid w:val="00902868"/>
    <w:rsid w:val="0090360B"/>
    <w:rsid w:val="009112BB"/>
    <w:rsid w:val="00913141"/>
    <w:rsid w:val="009140DC"/>
    <w:rsid w:val="0091485A"/>
    <w:rsid w:val="00916C6C"/>
    <w:rsid w:val="009201F5"/>
    <w:rsid w:val="00920B86"/>
    <w:rsid w:val="00922F82"/>
    <w:rsid w:val="009235D8"/>
    <w:rsid w:val="00924DD1"/>
    <w:rsid w:val="009264ED"/>
    <w:rsid w:val="009310D6"/>
    <w:rsid w:val="00932CC4"/>
    <w:rsid w:val="009370D9"/>
    <w:rsid w:val="00943D4A"/>
    <w:rsid w:val="00943EEE"/>
    <w:rsid w:val="00945030"/>
    <w:rsid w:val="009479A1"/>
    <w:rsid w:val="0095041F"/>
    <w:rsid w:val="00950BE9"/>
    <w:rsid w:val="00952538"/>
    <w:rsid w:val="00955105"/>
    <w:rsid w:val="009564BF"/>
    <w:rsid w:val="009622D7"/>
    <w:rsid w:val="00962BDA"/>
    <w:rsid w:val="00967213"/>
    <w:rsid w:val="00970990"/>
    <w:rsid w:val="00970A0D"/>
    <w:rsid w:val="009751DA"/>
    <w:rsid w:val="00976466"/>
    <w:rsid w:val="00976643"/>
    <w:rsid w:val="009832C9"/>
    <w:rsid w:val="009837F5"/>
    <w:rsid w:val="00984DE4"/>
    <w:rsid w:val="009865E6"/>
    <w:rsid w:val="0099040F"/>
    <w:rsid w:val="0099406F"/>
    <w:rsid w:val="00994DCE"/>
    <w:rsid w:val="009958C0"/>
    <w:rsid w:val="009A1D61"/>
    <w:rsid w:val="009A298D"/>
    <w:rsid w:val="009A3377"/>
    <w:rsid w:val="009A78F0"/>
    <w:rsid w:val="009B2324"/>
    <w:rsid w:val="009B7D2C"/>
    <w:rsid w:val="009C086F"/>
    <w:rsid w:val="009C44AA"/>
    <w:rsid w:val="009C4D9B"/>
    <w:rsid w:val="009C4E79"/>
    <w:rsid w:val="009D1E48"/>
    <w:rsid w:val="009D7791"/>
    <w:rsid w:val="009E077F"/>
    <w:rsid w:val="009E3A9F"/>
    <w:rsid w:val="009E6F32"/>
    <w:rsid w:val="009F40E2"/>
    <w:rsid w:val="009F54CD"/>
    <w:rsid w:val="00A007CB"/>
    <w:rsid w:val="00A04558"/>
    <w:rsid w:val="00A057A8"/>
    <w:rsid w:val="00A05B9C"/>
    <w:rsid w:val="00A12EA5"/>
    <w:rsid w:val="00A13791"/>
    <w:rsid w:val="00A13F81"/>
    <w:rsid w:val="00A141DB"/>
    <w:rsid w:val="00A14C6C"/>
    <w:rsid w:val="00A15D28"/>
    <w:rsid w:val="00A177F0"/>
    <w:rsid w:val="00A2267A"/>
    <w:rsid w:val="00A276D6"/>
    <w:rsid w:val="00A30899"/>
    <w:rsid w:val="00A32213"/>
    <w:rsid w:val="00A332EF"/>
    <w:rsid w:val="00A340C7"/>
    <w:rsid w:val="00A352C2"/>
    <w:rsid w:val="00A36A43"/>
    <w:rsid w:val="00A40786"/>
    <w:rsid w:val="00A442D0"/>
    <w:rsid w:val="00A446E2"/>
    <w:rsid w:val="00A45762"/>
    <w:rsid w:val="00A45B87"/>
    <w:rsid w:val="00A46F6B"/>
    <w:rsid w:val="00A5038E"/>
    <w:rsid w:val="00A50489"/>
    <w:rsid w:val="00A51BD1"/>
    <w:rsid w:val="00A52AE9"/>
    <w:rsid w:val="00A5375E"/>
    <w:rsid w:val="00A5467D"/>
    <w:rsid w:val="00A55C01"/>
    <w:rsid w:val="00A57D1B"/>
    <w:rsid w:val="00A60C43"/>
    <w:rsid w:val="00A60C77"/>
    <w:rsid w:val="00A615BA"/>
    <w:rsid w:val="00A64697"/>
    <w:rsid w:val="00A6512A"/>
    <w:rsid w:val="00A663D7"/>
    <w:rsid w:val="00A67C2D"/>
    <w:rsid w:val="00A743BD"/>
    <w:rsid w:val="00A753F2"/>
    <w:rsid w:val="00A7572B"/>
    <w:rsid w:val="00A759BF"/>
    <w:rsid w:val="00A80007"/>
    <w:rsid w:val="00A8295E"/>
    <w:rsid w:val="00A83AF9"/>
    <w:rsid w:val="00A8587C"/>
    <w:rsid w:val="00A860E1"/>
    <w:rsid w:val="00A867EB"/>
    <w:rsid w:val="00A901E0"/>
    <w:rsid w:val="00A930B0"/>
    <w:rsid w:val="00A97A21"/>
    <w:rsid w:val="00AA005C"/>
    <w:rsid w:val="00AA2D36"/>
    <w:rsid w:val="00AA326F"/>
    <w:rsid w:val="00AA395E"/>
    <w:rsid w:val="00AA4004"/>
    <w:rsid w:val="00AA44E1"/>
    <w:rsid w:val="00AA473C"/>
    <w:rsid w:val="00AA64ED"/>
    <w:rsid w:val="00AA6D35"/>
    <w:rsid w:val="00AA709C"/>
    <w:rsid w:val="00AA7A07"/>
    <w:rsid w:val="00AB1695"/>
    <w:rsid w:val="00AB2BDD"/>
    <w:rsid w:val="00AB4BC0"/>
    <w:rsid w:val="00AB5052"/>
    <w:rsid w:val="00AB52F3"/>
    <w:rsid w:val="00AB69EE"/>
    <w:rsid w:val="00AC1954"/>
    <w:rsid w:val="00AC2930"/>
    <w:rsid w:val="00AC2CA3"/>
    <w:rsid w:val="00AC406C"/>
    <w:rsid w:val="00AC7D2C"/>
    <w:rsid w:val="00AD0941"/>
    <w:rsid w:val="00AD319D"/>
    <w:rsid w:val="00AE10DE"/>
    <w:rsid w:val="00AE2798"/>
    <w:rsid w:val="00AE3214"/>
    <w:rsid w:val="00AE424D"/>
    <w:rsid w:val="00AE70B4"/>
    <w:rsid w:val="00AE79AC"/>
    <w:rsid w:val="00AF007D"/>
    <w:rsid w:val="00AF11F1"/>
    <w:rsid w:val="00AF6C6D"/>
    <w:rsid w:val="00AF70A5"/>
    <w:rsid w:val="00AF7A0B"/>
    <w:rsid w:val="00B011A0"/>
    <w:rsid w:val="00B02080"/>
    <w:rsid w:val="00B04987"/>
    <w:rsid w:val="00B07F02"/>
    <w:rsid w:val="00B14A33"/>
    <w:rsid w:val="00B14E1C"/>
    <w:rsid w:val="00B16CF0"/>
    <w:rsid w:val="00B25881"/>
    <w:rsid w:val="00B266E8"/>
    <w:rsid w:val="00B33C3B"/>
    <w:rsid w:val="00B33D65"/>
    <w:rsid w:val="00B34328"/>
    <w:rsid w:val="00B36FA6"/>
    <w:rsid w:val="00B416F0"/>
    <w:rsid w:val="00B41FD3"/>
    <w:rsid w:val="00B43466"/>
    <w:rsid w:val="00B572B5"/>
    <w:rsid w:val="00B60E64"/>
    <w:rsid w:val="00B617F9"/>
    <w:rsid w:val="00B64C27"/>
    <w:rsid w:val="00B73746"/>
    <w:rsid w:val="00B80594"/>
    <w:rsid w:val="00B83F3F"/>
    <w:rsid w:val="00B86FAE"/>
    <w:rsid w:val="00B90346"/>
    <w:rsid w:val="00B90CB5"/>
    <w:rsid w:val="00B9185D"/>
    <w:rsid w:val="00B92777"/>
    <w:rsid w:val="00B92BB0"/>
    <w:rsid w:val="00B95087"/>
    <w:rsid w:val="00B9736E"/>
    <w:rsid w:val="00BA422E"/>
    <w:rsid w:val="00BA59EB"/>
    <w:rsid w:val="00BB31BD"/>
    <w:rsid w:val="00BB388D"/>
    <w:rsid w:val="00BB3FA1"/>
    <w:rsid w:val="00BB4B8A"/>
    <w:rsid w:val="00BB4F8E"/>
    <w:rsid w:val="00BB5324"/>
    <w:rsid w:val="00BB71B3"/>
    <w:rsid w:val="00BB7DB0"/>
    <w:rsid w:val="00BC107F"/>
    <w:rsid w:val="00BC1513"/>
    <w:rsid w:val="00BC2711"/>
    <w:rsid w:val="00BC49E8"/>
    <w:rsid w:val="00BD1CFF"/>
    <w:rsid w:val="00BD24F1"/>
    <w:rsid w:val="00BD608A"/>
    <w:rsid w:val="00BD793A"/>
    <w:rsid w:val="00BD7A36"/>
    <w:rsid w:val="00BE6AC4"/>
    <w:rsid w:val="00BE6E00"/>
    <w:rsid w:val="00BF0C32"/>
    <w:rsid w:val="00BF230D"/>
    <w:rsid w:val="00BF2CB9"/>
    <w:rsid w:val="00BF30BD"/>
    <w:rsid w:val="00BF5AE5"/>
    <w:rsid w:val="00BF6F73"/>
    <w:rsid w:val="00C03080"/>
    <w:rsid w:val="00C0429A"/>
    <w:rsid w:val="00C048A0"/>
    <w:rsid w:val="00C04E9D"/>
    <w:rsid w:val="00C0500B"/>
    <w:rsid w:val="00C06D24"/>
    <w:rsid w:val="00C07EA0"/>
    <w:rsid w:val="00C13FE9"/>
    <w:rsid w:val="00C14323"/>
    <w:rsid w:val="00C150A9"/>
    <w:rsid w:val="00C151ED"/>
    <w:rsid w:val="00C156F7"/>
    <w:rsid w:val="00C1708E"/>
    <w:rsid w:val="00C170A1"/>
    <w:rsid w:val="00C17BEA"/>
    <w:rsid w:val="00C21642"/>
    <w:rsid w:val="00C21DB4"/>
    <w:rsid w:val="00C22792"/>
    <w:rsid w:val="00C23186"/>
    <w:rsid w:val="00C23F6D"/>
    <w:rsid w:val="00C24459"/>
    <w:rsid w:val="00C263AA"/>
    <w:rsid w:val="00C30164"/>
    <w:rsid w:val="00C3241C"/>
    <w:rsid w:val="00C33245"/>
    <w:rsid w:val="00C3404B"/>
    <w:rsid w:val="00C368B6"/>
    <w:rsid w:val="00C368E3"/>
    <w:rsid w:val="00C41835"/>
    <w:rsid w:val="00C44497"/>
    <w:rsid w:val="00C51C1B"/>
    <w:rsid w:val="00C53D72"/>
    <w:rsid w:val="00C54069"/>
    <w:rsid w:val="00C57A31"/>
    <w:rsid w:val="00C60D60"/>
    <w:rsid w:val="00C613F3"/>
    <w:rsid w:val="00C61779"/>
    <w:rsid w:val="00C62E9A"/>
    <w:rsid w:val="00C700A2"/>
    <w:rsid w:val="00C702BB"/>
    <w:rsid w:val="00C71C58"/>
    <w:rsid w:val="00C7343B"/>
    <w:rsid w:val="00C743F2"/>
    <w:rsid w:val="00C7635A"/>
    <w:rsid w:val="00C7701D"/>
    <w:rsid w:val="00C80164"/>
    <w:rsid w:val="00C80D86"/>
    <w:rsid w:val="00C81710"/>
    <w:rsid w:val="00C817CB"/>
    <w:rsid w:val="00C8493C"/>
    <w:rsid w:val="00C86D33"/>
    <w:rsid w:val="00C90B14"/>
    <w:rsid w:val="00C97698"/>
    <w:rsid w:val="00CA1693"/>
    <w:rsid w:val="00CA3196"/>
    <w:rsid w:val="00CA3F4F"/>
    <w:rsid w:val="00CA50C7"/>
    <w:rsid w:val="00CA5142"/>
    <w:rsid w:val="00CA5546"/>
    <w:rsid w:val="00CA6A32"/>
    <w:rsid w:val="00CA6BB3"/>
    <w:rsid w:val="00CB1B74"/>
    <w:rsid w:val="00CB2F77"/>
    <w:rsid w:val="00CB32B5"/>
    <w:rsid w:val="00CB35C1"/>
    <w:rsid w:val="00CB7EB1"/>
    <w:rsid w:val="00CC02D6"/>
    <w:rsid w:val="00CC11CA"/>
    <w:rsid w:val="00CC1CDF"/>
    <w:rsid w:val="00CC39E9"/>
    <w:rsid w:val="00CC4C32"/>
    <w:rsid w:val="00CC60E6"/>
    <w:rsid w:val="00CC73FC"/>
    <w:rsid w:val="00CD0CA5"/>
    <w:rsid w:val="00CD183A"/>
    <w:rsid w:val="00CD1DA1"/>
    <w:rsid w:val="00CD3444"/>
    <w:rsid w:val="00CD3CAD"/>
    <w:rsid w:val="00CD6982"/>
    <w:rsid w:val="00CD7C54"/>
    <w:rsid w:val="00CE2E03"/>
    <w:rsid w:val="00CE32D9"/>
    <w:rsid w:val="00CE3FB5"/>
    <w:rsid w:val="00CE4259"/>
    <w:rsid w:val="00CE4DFD"/>
    <w:rsid w:val="00CE594E"/>
    <w:rsid w:val="00CF306A"/>
    <w:rsid w:val="00CF3C75"/>
    <w:rsid w:val="00CF4BD1"/>
    <w:rsid w:val="00CF66B5"/>
    <w:rsid w:val="00D00B5A"/>
    <w:rsid w:val="00D01084"/>
    <w:rsid w:val="00D01712"/>
    <w:rsid w:val="00D06A7C"/>
    <w:rsid w:val="00D07F77"/>
    <w:rsid w:val="00D121CF"/>
    <w:rsid w:val="00D12AD3"/>
    <w:rsid w:val="00D12DAF"/>
    <w:rsid w:val="00D1314A"/>
    <w:rsid w:val="00D15CF3"/>
    <w:rsid w:val="00D162AB"/>
    <w:rsid w:val="00D2098D"/>
    <w:rsid w:val="00D23044"/>
    <w:rsid w:val="00D23658"/>
    <w:rsid w:val="00D25AB2"/>
    <w:rsid w:val="00D26C77"/>
    <w:rsid w:val="00D27261"/>
    <w:rsid w:val="00D27375"/>
    <w:rsid w:val="00D32471"/>
    <w:rsid w:val="00D34DD6"/>
    <w:rsid w:val="00D34E3B"/>
    <w:rsid w:val="00D37876"/>
    <w:rsid w:val="00D37F32"/>
    <w:rsid w:val="00D41D29"/>
    <w:rsid w:val="00D43C67"/>
    <w:rsid w:val="00D453EB"/>
    <w:rsid w:val="00D4622E"/>
    <w:rsid w:val="00D50683"/>
    <w:rsid w:val="00D50BF9"/>
    <w:rsid w:val="00D52702"/>
    <w:rsid w:val="00D53A53"/>
    <w:rsid w:val="00D55DF4"/>
    <w:rsid w:val="00D6096D"/>
    <w:rsid w:val="00D62B88"/>
    <w:rsid w:val="00D63B0D"/>
    <w:rsid w:val="00D648F5"/>
    <w:rsid w:val="00D6607E"/>
    <w:rsid w:val="00D66A5D"/>
    <w:rsid w:val="00D700FC"/>
    <w:rsid w:val="00D70263"/>
    <w:rsid w:val="00D8468F"/>
    <w:rsid w:val="00D84B96"/>
    <w:rsid w:val="00D85101"/>
    <w:rsid w:val="00D85B72"/>
    <w:rsid w:val="00D86A70"/>
    <w:rsid w:val="00D878CB"/>
    <w:rsid w:val="00D87F26"/>
    <w:rsid w:val="00D905E0"/>
    <w:rsid w:val="00D91BC3"/>
    <w:rsid w:val="00D94D86"/>
    <w:rsid w:val="00D97C06"/>
    <w:rsid w:val="00DA2D19"/>
    <w:rsid w:val="00DA48CE"/>
    <w:rsid w:val="00DB01EC"/>
    <w:rsid w:val="00DB033A"/>
    <w:rsid w:val="00DB38A5"/>
    <w:rsid w:val="00DB61A5"/>
    <w:rsid w:val="00DB7DDB"/>
    <w:rsid w:val="00DC235A"/>
    <w:rsid w:val="00DC2C28"/>
    <w:rsid w:val="00DC423C"/>
    <w:rsid w:val="00DD0B71"/>
    <w:rsid w:val="00DD0B97"/>
    <w:rsid w:val="00DD6D69"/>
    <w:rsid w:val="00DE0D29"/>
    <w:rsid w:val="00DE0F90"/>
    <w:rsid w:val="00DE182E"/>
    <w:rsid w:val="00DE1CC9"/>
    <w:rsid w:val="00DE1EB5"/>
    <w:rsid w:val="00DE3017"/>
    <w:rsid w:val="00DE3B51"/>
    <w:rsid w:val="00DE4426"/>
    <w:rsid w:val="00DE522A"/>
    <w:rsid w:val="00DE586C"/>
    <w:rsid w:val="00DE60C3"/>
    <w:rsid w:val="00DE64B2"/>
    <w:rsid w:val="00DE7D0C"/>
    <w:rsid w:val="00DF0DF3"/>
    <w:rsid w:val="00DF20D1"/>
    <w:rsid w:val="00DF379D"/>
    <w:rsid w:val="00DF58DD"/>
    <w:rsid w:val="00DF5A86"/>
    <w:rsid w:val="00DF6990"/>
    <w:rsid w:val="00DF7A39"/>
    <w:rsid w:val="00E01821"/>
    <w:rsid w:val="00E03538"/>
    <w:rsid w:val="00E03C20"/>
    <w:rsid w:val="00E0409F"/>
    <w:rsid w:val="00E04821"/>
    <w:rsid w:val="00E052C6"/>
    <w:rsid w:val="00E10A87"/>
    <w:rsid w:val="00E153DB"/>
    <w:rsid w:val="00E17BAD"/>
    <w:rsid w:val="00E227A1"/>
    <w:rsid w:val="00E22856"/>
    <w:rsid w:val="00E234C7"/>
    <w:rsid w:val="00E24E43"/>
    <w:rsid w:val="00E31D0D"/>
    <w:rsid w:val="00E32E4A"/>
    <w:rsid w:val="00E3420D"/>
    <w:rsid w:val="00E34F87"/>
    <w:rsid w:val="00E41CDC"/>
    <w:rsid w:val="00E43085"/>
    <w:rsid w:val="00E44ED7"/>
    <w:rsid w:val="00E45650"/>
    <w:rsid w:val="00E46E7D"/>
    <w:rsid w:val="00E47748"/>
    <w:rsid w:val="00E5248C"/>
    <w:rsid w:val="00E53091"/>
    <w:rsid w:val="00E5591F"/>
    <w:rsid w:val="00E56D4B"/>
    <w:rsid w:val="00E611A7"/>
    <w:rsid w:val="00E61562"/>
    <w:rsid w:val="00E62134"/>
    <w:rsid w:val="00E66F02"/>
    <w:rsid w:val="00E677C7"/>
    <w:rsid w:val="00E761A1"/>
    <w:rsid w:val="00E77D62"/>
    <w:rsid w:val="00E80DEB"/>
    <w:rsid w:val="00E818E9"/>
    <w:rsid w:val="00E8206D"/>
    <w:rsid w:val="00E82218"/>
    <w:rsid w:val="00E830AC"/>
    <w:rsid w:val="00E86315"/>
    <w:rsid w:val="00E86340"/>
    <w:rsid w:val="00E9143E"/>
    <w:rsid w:val="00E91D94"/>
    <w:rsid w:val="00E940DF"/>
    <w:rsid w:val="00E94154"/>
    <w:rsid w:val="00EA2EE1"/>
    <w:rsid w:val="00EA3F88"/>
    <w:rsid w:val="00EA630C"/>
    <w:rsid w:val="00EA6568"/>
    <w:rsid w:val="00EB0C28"/>
    <w:rsid w:val="00EB6A20"/>
    <w:rsid w:val="00EB7F64"/>
    <w:rsid w:val="00EC2827"/>
    <w:rsid w:val="00EC2C14"/>
    <w:rsid w:val="00EC4D93"/>
    <w:rsid w:val="00EC4E6F"/>
    <w:rsid w:val="00EC6544"/>
    <w:rsid w:val="00ED09F6"/>
    <w:rsid w:val="00ED1F3E"/>
    <w:rsid w:val="00ED6FE2"/>
    <w:rsid w:val="00ED7412"/>
    <w:rsid w:val="00ED76D2"/>
    <w:rsid w:val="00EE00B8"/>
    <w:rsid w:val="00EE6CA0"/>
    <w:rsid w:val="00EE771E"/>
    <w:rsid w:val="00EF2098"/>
    <w:rsid w:val="00EF7B4B"/>
    <w:rsid w:val="00F0756A"/>
    <w:rsid w:val="00F124B4"/>
    <w:rsid w:val="00F1460A"/>
    <w:rsid w:val="00F1797F"/>
    <w:rsid w:val="00F21015"/>
    <w:rsid w:val="00F2347A"/>
    <w:rsid w:val="00F2424E"/>
    <w:rsid w:val="00F25D8A"/>
    <w:rsid w:val="00F27448"/>
    <w:rsid w:val="00F350C0"/>
    <w:rsid w:val="00F35FA2"/>
    <w:rsid w:val="00F36D5B"/>
    <w:rsid w:val="00F413E1"/>
    <w:rsid w:val="00F45CD9"/>
    <w:rsid w:val="00F46A1B"/>
    <w:rsid w:val="00F4754B"/>
    <w:rsid w:val="00F50AD6"/>
    <w:rsid w:val="00F57807"/>
    <w:rsid w:val="00F624B0"/>
    <w:rsid w:val="00F62568"/>
    <w:rsid w:val="00F67941"/>
    <w:rsid w:val="00F67A47"/>
    <w:rsid w:val="00F70A83"/>
    <w:rsid w:val="00F71081"/>
    <w:rsid w:val="00F71479"/>
    <w:rsid w:val="00F82D6D"/>
    <w:rsid w:val="00F878FF"/>
    <w:rsid w:val="00F90BC8"/>
    <w:rsid w:val="00F93012"/>
    <w:rsid w:val="00FA1A9C"/>
    <w:rsid w:val="00FA2520"/>
    <w:rsid w:val="00FA578F"/>
    <w:rsid w:val="00FA71DB"/>
    <w:rsid w:val="00FB0537"/>
    <w:rsid w:val="00FB45D7"/>
    <w:rsid w:val="00FC11C1"/>
    <w:rsid w:val="00FC2664"/>
    <w:rsid w:val="00FC2E96"/>
    <w:rsid w:val="00FC35B5"/>
    <w:rsid w:val="00FC43EA"/>
    <w:rsid w:val="00FC5FB0"/>
    <w:rsid w:val="00FC7AB0"/>
    <w:rsid w:val="00FD16FC"/>
    <w:rsid w:val="00FD1C7A"/>
    <w:rsid w:val="00FD2C06"/>
    <w:rsid w:val="00FD350F"/>
    <w:rsid w:val="00FD5C02"/>
    <w:rsid w:val="00FE002E"/>
    <w:rsid w:val="00FE04FF"/>
    <w:rsid w:val="00FE0FF1"/>
    <w:rsid w:val="00FE476F"/>
    <w:rsid w:val="00FF01D7"/>
    <w:rsid w:val="00FF2091"/>
    <w:rsid w:val="00FF27C2"/>
    <w:rsid w:val="00FF3AC1"/>
    <w:rsid w:val="00FF3D86"/>
    <w:rsid w:val="00FF5788"/>
    <w:rsid w:val="00FF6F5A"/>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5777" fill="f" fillcolor="white" stroke="f">
      <v:fill color="white" on="f"/>
      <v:stroke on="f"/>
      <v:textbox inset="0,0,0,0"/>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pl-PL"/>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uiPriority="0" w:qFormat="1"/>
    <w:lsdException w:name="heading 5" w:uiPriority="0" w:unhideWhenUsed="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able of figures" w:uiPriority="0"/>
    <w:lsdException w:name="footnote reference" w:uiPriority="0" w:qFormat="1"/>
    <w:lsdException w:name="endnote reference" w:uiPriority="1"/>
    <w:lsdException w:name="endnote text" w:uiPriority="1"/>
    <w:lsdException w:name="List Bullet" w:semiHidden="0" w:uiPriority="0" w:unhideWhenUsed="0" w:qFormat="1"/>
    <w:lsdException w:name="Title" w:semiHidden="0" w:uiPriority="10" w:unhideWhenUsed="0" w:qFormat="1"/>
    <w:lsdException w:name="Default Paragraph Font" w:uiPriority="1"/>
    <w:lsdException w:name="Body Text" w:uiPriority="0"/>
    <w:lsdException w:name="Subtitle" w:uiPriority="11"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semiHidden/>
    <w:qFormat/>
    <w:rsid w:val="00825376"/>
    <w:rPr>
      <w:rFonts w:ascii="Arial" w:hAnsi="Arial"/>
      <w:color w:val="000000"/>
      <w:sz w:val="18"/>
    </w:rPr>
  </w:style>
  <w:style w:type="paragraph" w:styleId="Heading1">
    <w:name w:val="heading 1"/>
    <w:basedOn w:val="Normal"/>
    <w:next w:val="BodyText1"/>
    <w:link w:val="Heading1Char"/>
    <w:qFormat/>
    <w:rsid w:val="009310D6"/>
    <w:pPr>
      <w:spacing w:before="960" w:after="360"/>
      <w:outlineLvl w:val="0"/>
    </w:pPr>
    <w:rPr>
      <w:color w:val="48748F" w:themeColor="accent1"/>
      <w:sz w:val="36"/>
    </w:rPr>
  </w:style>
  <w:style w:type="paragraph" w:styleId="Heading2">
    <w:name w:val="heading 2"/>
    <w:basedOn w:val="Normal"/>
    <w:next w:val="BodyText1"/>
    <w:link w:val="Heading2Char"/>
    <w:qFormat/>
    <w:rsid w:val="009310D6"/>
    <w:pPr>
      <w:spacing w:before="360" w:after="240"/>
      <w:contextualSpacing/>
      <w:outlineLvl w:val="1"/>
    </w:pPr>
    <w:rPr>
      <w:color w:val="48748F" w:themeColor="accent1"/>
      <w:sz w:val="24"/>
    </w:rPr>
  </w:style>
  <w:style w:type="paragraph" w:styleId="Heading3">
    <w:name w:val="heading 3"/>
    <w:basedOn w:val="Normal"/>
    <w:next w:val="BodyText1"/>
    <w:link w:val="Heading3Char"/>
    <w:qFormat/>
    <w:rsid w:val="009310D6"/>
    <w:pPr>
      <w:spacing w:before="240" w:after="240"/>
      <w:outlineLvl w:val="2"/>
    </w:pPr>
    <w:rPr>
      <w:b/>
      <w:color w:val="48748F" w:themeColor="accent1"/>
      <w:sz w:val="20"/>
      <w:szCs w:val="22"/>
    </w:rPr>
  </w:style>
  <w:style w:type="paragraph" w:styleId="Heading4">
    <w:name w:val="heading 4"/>
    <w:basedOn w:val="Normal"/>
    <w:next w:val="BodyText1"/>
    <w:link w:val="Heading4Char"/>
    <w:qFormat/>
    <w:rsid w:val="009310D6"/>
    <w:pPr>
      <w:spacing w:before="240"/>
      <w:contextualSpacing/>
      <w:outlineLvl w:val="3"/>
    </w:pPr>
    <w:rPr>
      <w:color w:val="48748F" w:themeColor="accent1"/>
      <w:sz w:val="20"/>
    </w:rPr>
  </w:style>
  <w:style w:type="paragraph" w:styleId="Heading5">
    <w:name w:val="heading 5"/>
    <w:basedOn w:val="Normal"/>
    <w:next w:val="Normal"/>
    <w:link w:val="Heading5Char"/>
    <w:autoRedefine/>
    <w:qFormat/>
    <w:rsid w:val="00F4754B"/>
    <w:pPr>
      <w:keepNext/>
      <w:spacing w:before="140" w:after="120"/>
      <w:jc w:val="both"/>
      <w:outlineLvl w:val="4"/>
    </w:pPr>
    <w:rPr>
      <w:rFonts w:ascii="Verdana" w:hAnsi="Verdana"/>
      <w:b/>
      <w:i/>
      <w:color w:val="auto"/>
      <w:sz w:val="20"/>
      <w:szCs w:val="24"/>
    </w:rPr>
  </w:style>
  <w:style w:type="paragraph" w:styleId="Heading6">
    <w:name w:val="heading 6"/>
    <w:basedOn w:val="Normal"/>
    <w:next w:val="Normal"/>
    <w:link w:val="Heading6Char"/>
    <w:qFormat/>
    <w:rsid w:val="00F4754B"/>
    <w:pPr>
      <w:spacing w:before="240" w:after="60"/>
      <w:jc w:val="both"/>
      <w:outlineLvl w:val="5"/>
    </w:pPr>
    <w:rPr>
      <w:rFonts w:ascii="Times New Roman" w:hAnsi="Times New Roman"/>
      <w:b/>
      <w:bCs/>
      <w:color w:val="auto"/>
      <w:sz w:val="20"/>
      <w:szCs w:val="22"/>
    </w:rPr>
  </w:style>
  <w:style w:type="paragraph" w:styleId="Heading7">
    <w:name w:val="heading 7"/>
    <w:basedOn w:val="Normal"/>
    <w:next w:val="Normal"/>
    <w:link w:val="Heading7Char"/>
    <w:qFormat/>
    <w:rsid w:val="00F4754B"/>
    <w:pPr>
      <w:spacing w:before="240" w:after="60"/>
      <w:jc w:val="both"/>
      <w:outlineLvl w:val="6"/>
    </w:pPr>
    <w:rPr>
      <w:rFonts w:ascii="Times New Roman" w:hAnsi="Times New Roman"/>
      <w:color w:val="auto"/>
      <w:sz w:val="24"/>
      <w:szCs w:val="24"/>
    </w:rPr>
  </w:style>
  <w:style w:type="paragraph" w:styleId="Heading8">
    <w:name w:val="heading 8"/>
    <w:basedOn w:val="Normal"/>
    <w:next w:val="Normal"/>
    <w:link w:val="Heading8Char"/>
    <w:qFormat/>
    <w:rsid w:val="00F4754B"/>
    <w:pPr>
      <w:spacing w:before="240" w:after="60"/>
      <w:jc w:val="both"/>
      <w:outlineLvl w:val="7"/>
    </w:pPr>
    <w:rPr>
      <w:rFonts w:ascii="Times New Roman" w:hAnsi="Times New Roman"/>
      <w:i/>
      <w:iCs/>
      <w:color w:val="auto"/>
      <w:sz w:val="24"/>
      <w:szCs w:val="24"/>
    </w:rPr>
  </w:style>
  <w:style w:type="paragraph" w:styleId="Heading9">
    <w:name w:val="heading 9"/>
    <w:basedOn w:val="Normal"/>
    <w:next w:val="Normal"/>
    <w:link w:val="Heading9Char"/>
    <w:qFormat/>
    <w:rsid w:val="00F4754B"/>
    <w:pPr>
      <w:spacing w:before="240" w:after="60"/>
      <w:jc w:val="both"/>
      <w:outlineLvl w:val="8"/>
    </w:pPr>
    <w:rPr>
      <w:rFonts w:ascii="Verdana" w:hAnsi="Verdana" w:cs="Arial"/>
      <w:color w:val="auto"/>
      <w:sz w:val="2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basedOn w:val="Normal"/>
    <w:qFormat/>
    <w:rsid w:val="009310D6"/>
    <w:pPr>
      <w:tabs>
        <w:tab w:val="left" w:pos="0"/>
      </w:tabs>
      <w:spacing w:line="300" w:lineRule="exact"/>
      <w:jc w:val="both"/>
    </w:pPr>
    <w:rPr>
      <w:sz w:val="20"/>
    </w:rPr>
  </w:style>
  <w:style w:type="paragraph" w:styleId="BalloonText">
    <w:name w:val="Balloon Text"/>
    <w:basedOn w:val="Normal"/>
    <w:link w:val="BalloonTextChar"/>
    <w:uiPriority w:val="99"/>
    <w:unhideWhenUsed/>
    <w:rsid w:val="009310D6"/>
    <w:rPr>
      <w:rFonts w:ascii="Tahoma" w:hAnsi="Tahoma" w:cs="Tahoma"/>
      <w:sz w:val="16"/>
      <w:szCs w:val="16"/>
    </w:rPr>
  </w:style>
  <w:style w:type="character" w:customStyle="1" w:styleId="BalloonTextChar">
    <w:name w:val="Balloon Text Char"/>
    <w:basedOn w:val="DefaultParagraphFont"/>
    <w:link w:val="BalloonText"/>
    <w:uiPriority w:val="99"/>
    <w:rsid w:val="009310D6"/>
    <w:rPr>
      <w:rFonts w:ascii="Tahoma" w:hAnsi="Tahoma" w:cs="Tahoma"/>
      <w:color w:val="000000"/>
      <w:sz w:val="16"/>
      <w:szCs w:val="16"/>
      <w:lang w:eastAsia="pl-PL"/>
    </w:rPr>
  </w:style>
  <w:style w:type="paragraph" w:styleId="Header">
    <w:name w:val="header"/>
    <w:basedOn w:val="Normal"/>
    <w:link w:val="HeaderChar"/>
    <w:uiPriority w:val="99"/>
    <w:rsid w:val="009310D6"/>
    <w:pPr>
      <w:tabs>
        <w:tab w:val="center" w:pos="4153"/>
        <w:tab w:val="right" w:pos="8306"/>
      </w:tabs>
      <w:spacing w:line="300" w:lineRule="exact"/>
      <w:jc w:val="both"/>
    </w:pPr>
  </w:style>
  <w:style w:type="paragraph" w:customStyle="1" w:styleId="Page00of00">
    <w:name w:val="Page 00 of 00"/>
    <w:basedOn w:val="Normal"/>
    <w:semiHidden/>
    <w:rsid w:val="009310D6"/>
    <w:pPr>
      <w:spacing w:line="300" w:lineRule="exact"/>
      <w:jc w:val="both"/>
    </w:pPr>
    <w:rPr>
      <w:sz w:val="14"/>
    </w:rPr>
  </w:style>
  <w:style w:type="paragraph" w:customStyle="1" w:styleId="ReferenceText">
    <w:name w:val="Reference Text"/>
    <w:basedOn w:val="Header"/>
    <w:qFormat/>
    <w:rsid w:val="009310D6"/>
    <w:pPr>
      <w:framePr w:w="3976" w:h="1381" w:wrap="notBeside" w:vAnchor="page" w:hAnchor="page" w:x="6526" w:y="946" w:anchorLock="1"/>
      <w:tabs>
        <w:tab w:val="clear" w:pos="8306"/>
        <w:tab w:val="right" w:pos="9072"/>
      </w:tabs>
      <w:jc w:val="right"/>
    </w:pPr>
    <w:rPr>
      <w:rFonts w:asciiTheme="minorHAnsi" w:hAnsiTheme="minorHAnsi"/>
      <w:color w:val="807F83" w:themeColor="accent2"/>
      <w:sz w:val="20"/>
    </w:rPr>
  </w:style>
  <w:style w:type="paragraph" w:styleId="Footer">
    <w:name w:val="footer"/>
    <w:basedOn w:val="Normal"/>
    <w:link w:val="FooterChar"/>
    <w:uiPriority w:val="99"/>
    <w:rsid w:val="009310D6"/>
    <w:pPr>
      <w:tabs>
        <w:tab w:val="center" w:pos="4153"/>
        <w:tab w:val="right" w:pos="8306"/>
      </w:tabs>
      <w:spacing w:line="300" w:lineRule="exact"/>
      <w:jc w:val="both"/>
    </w:pPr>
  </w:style>
  <w:style w:type="character" w:styleId="PageNumber">
    <w:name w:val="page number"/>
    <w:basedOn w:val="DefaultParagraphFont"/>
    <w:uiPriority w:val="99"/>
    <w:rsid w:val="009310D6"/>
  </w:style>
  <w:style w:type="character" w:styleId="Hyperlink">
    <w:name w:val="Hyperlink"/>
    <w:basedOn w:val="DefaultParagraphFont"/>
    <w:uiPriority w:val="99"/>
    <w:rsid w:val="009310D6"/>
    <w:rPr>
      <w:color w:val="48748F" w:themeColor="accent1"/>
    </w:rPr>
  </w:style>
  <w:style w:type="paragraph" w:customStyle="1" w:styleId="Numberedparagraphs">
    <w:name w:val="Numbered paragraphs"/>
    <w:basedOn w:val="BodyText1"/>
    <w:qFormat/>
    <w:rsid w:val="005C1136"/>
    <w:pPr>
      <w:numPr>
        <w:numId w:val="1"/>
      </w:numPr>
      <w:tabs>
        <w:tab w:val="clear" w:pos="0"/>
        <w:tab w:val="left" w:pos="284"/>
      </w:tabs>
      <w:spacing w:after="300"/>
      <w:ind w:left="284" w:hanging="284"/>
    </w:pPr>
  </w:style>
  <w:style w:type="paragraph" w:customStyle="1" w:styleId="Bullet1">
    <w:name w:val="Bullet 1"/>
    <w:basedOn w:val="Normal"/>
    <w:qFormat/>
    <w:rsid w:val="00D1314A"/>
    <w:pPr>
      <w:numPr>
        <w:numId w:val="6"/>
      </w:numPr>
      <w:tabs>
        <w:tab w:val="left" w:pos="284"/>
      </w:tabs>
      <w:spacing w:after="260" w:line="260" w:lineRule="exact"/>
      <w:ind w:left="284" w:hanging="284"/>
      <w:jc w:val="both"/>
    </w:pPr>
    <w:rPr>
      <w:sz w:val="20"/>
    </w:rPr>
  </w:style>
  <w:style w:type="paragraph" w:customStyle="1" w:styleId="Bullet2">
    <w:name w:val="Bullet 2"/>
    <w:basedOn w:val="Normal"/>
    <w:qFormat/>
    <w:rsid w:val="0027308B"/>
    <w:pPr>
      <w:numPr>
        <w:numId w:val="2"/>
      </w:numPr>
      <w:tabs>
        <w:tab w:val="left" w:pos="567"/>
      </w:tabs>
      <w:spacing w:after="260" w:line="260" w:lineRule="exact"/>
      <w:ind w:left="567" w:hanging="283"/>
      <w:jc w:val="both"/>
    </w:pPr>
    <w:rPr>
      <w:sz w:val="20"/>
    </w:rPr>
  </w:style>
  <w:style w:type="paragraph" w:customStyle="1" w:styleId="Bullet3">
    <w:name w:val="Bullet 3"/>
    <w:basedOn w:val="Normal"/>
    <w:qFormat/>
    <w:rsid w:val="0027308B"/>
    <w:pPr>
      <w:numPr>
        <w:numId w:val="3"/>
      </w:numPr>
      <w:tabs>
        <w:tab w:val="left" w:pos="851"/>
      </w:tabs>
      <w:spacing w:after="260" w:line="260" w:lineRule="exact"/>
      <w:ind w:left="851" w:hanging="284"/>
      <w:jc w:val="both"/>
    </w:pPr>
    <w:rPr>
      <w:sz w:val="20"/>
    </w:rPr>
  </w:style>
  <w:style w:type="character" w:styleId="FootnoteReference">
    <w:name w:val="footnote reference"/>
    <w:basedOn w:val="DefaultParagraphFont"/>
    <w:qFormat/>
    <w:rsid w:val="009310D6"/>
    <w:rPr>
      <w:rFonts w:ascii="Arial" w:hAnsi="Arial"/>
      <w:color w:val="auto"/>
      <w:sz w:val="16"/>
      <w:vertAlign w:val="superscript"/>
    </w:rPr>
  </w:style>
  <w:style w:type="paragraph" w:styleId="FootnoteText">
    <w:name w:val="footnote text"/>
    <w:aliases w:val="Fußnote, Char"/>
    <w:basedOn w:val="Normal"/>
    <w:link w:val="FootnoteTextChar"/>
    <w:rsid w:val="0095041F"/>
    <w:pPr>
      <w:tabs>
        <w:tab w:val="left" w:pos="284"/>
      </w:tabs>
      <w:ind w:left="284" w:hanging="284"/>
    </w:pPr>
  </w:style>
  <w:style w:type="character" w:customStyle="1" w:styleId="FootnoteTextChar">
    <w:name w:val="Footnote Text Char"/>
    <w:aliases w:val="Fußnote Char, Char Char"/>
    <w:basedOn w:val="DefaultParagraphFont"/>
    <w:link w:val="FootnoteText"/>
    <w:rsid w:val="0095041F"/>
    <w:rPr>
      <w:rFonts w:ascii="Arial" w:hAnsi="Arial"/>
      <w:color w:val="000000"/>
      <w:sz w:val="18"/>
      <w:lang w:eastAsia="pl-PL"/>
    </w:rPr>
  </w:style>
  <w:style w:type="paragraph" w:customStyle="1" w:styleId="Numberedheadinglevel1">
    <w:name w:val="Numbered heading level 1"/>
    <w:basedOn w:val="BodyText1"/>
    <w:next w:val="BodyText1"/>
    <w:qFormat/>
    <w:rsid w:val="009310D6"/>
    <w:pPr>
      <w:numPr>
        <w:numId w:val="4"/>
      </w:numPr>
      <w:spacing w:before="360" w:after="360" w:line="240" w:lineRule="auto"/>
    </w:pPr>
    <w:rPr>
      <w:color w:val="48748F" w:themeColor="accent1"/>
      <w:sz w:val="28"/>
      <w:szCs w:val="28"/>
    </w:rPr>
  </w:style>
  <w:style w:type="paragraph" w:customStyle="1" w:styleId="Numberedheadinglevel2">
    <w:name w:val="Numbered heading level 2"/>
    <w:basedOn w:val="BodyText1"/>
    <w:next w:val="BodyText1"/>
    <w:qFormat/>
    <w:rsid w:val="009310D6"/>
    <w:pPr>
      <w:numPr>
        <w:ilvl w:val="1"/>
        <w:numId w:val="4"/>
      </w:numPr>
      <w:tabs>
        <w:tab w:val="clear" w:pos="0"/>
        <w:tab w:val="left" w:pos="567"/>
      </w:tabs>
      <w:spacing w:before="360" w:after="240" w:line="240" w:lineRule="auto"/>
    </w:pPr>
    <w:rPr>
      <w:color w:val="48748F" w:themeColor="accent1"/>
      <w:sz w:val="24"/>
      <w:szCs w:val="24"/>
    </w:rPr>
  </w:style>
  <w:style w:type="paragraph" w:customStyle="1" w:styleId="Numberedheadinglevel3">
    <w:name w:val="Numbered heading level 3"/>
    <w:basedOn w:val="BodyText1"/>
    <w:next w:val="BodyText1"/>
    <w:qFormat/>
    <w:rsid w:val="009310D6"/>
    <w:pPr>
      <w:numPr>
        <w:ilvl w:val="2"/>
        <w:numId w:val="4"/>
      </w:numPr>
      <w:tabs>
        <w:tab w:val="clear" w:pos="0"/>
        <w:tab w:val="left" w:pos="567"/>
      </w:tabs>
      <w:spacing w:before="240" w:after="120" w:line="240" w:lineRule="auto"/>
    </w:pPr>
    <w:rPr>
      <w:color w:val="48748F" w:themeColor="accent1"/>
    </w:rPr>
  </w:style>
  <w:style w:type="paragraph" w:styleId="DocumentMap">
    <w:name w:val="Document Map"/>
    <w:basedOn w:val="Normal"/>
    <w:link w:val="DocumentMapChar"/>
    <w:uiPriority w:val="99"/>
    <w:semiHidden/>
    <w:unhideWhenUsed/>
    <w:rsid w:val="00E86340"/>
    <w:rPr>
      <w:rFonts w:ascii="Tahoma" w:hAnsi="Tahoma" w:cs="Tahoma"/>
      <w:sz w:val="16"/>
      <w:szCs w:val="16"/>
    </w:rPr>
  </w:style>
  <w:style w:type="character" w:customStyle="1" w:styleId="DocumentMapChar">
    <w:name w:val="Document Map Char"/>
    <w:basedOn w:val="DefaultParagraphFont"/>
    <w:link w:val="DocumentMap"/>
    <w:uiPriority w:val="99"/>
    <w:semiHidden/>
    <w:rsid w:val="00E86340"/>
    <w:rPr>
      <w:rFonts w:ascii="Tahoma" w:hAnsi="Tahoma" w:cs="Tahoma"/>
      <w:color w:val="000000"/>
      <w:sz w:val="16"/>
      <w:szCs w:val="16"/>
      <w:lang w:eastAsia="pl-PL"/>
    </w:rPr>
  </w:style>
  <w:style w:type="paragraph" w:styleId="ListBullet">
    <w:name w:val="List Bullet"/>
    <w:basedOn w:val="Bullet1"/>
    <w:qFormat/>
    <w:rsid w:val="000F74E8"/>
    <w:pPr>
      <w:numPr>
        <w:numId w:val="5"/>
      </w:numPr>
      <w:spacing w:after="0"/>
      <w:ind w:left="284" w:hanging="284"/>
    </w:pPr>
  </w:style>
  <w:style w:type="paragraph" w:customStyle="1" w:styleId="DocTitle">
    <w:name w:val="Doc Title"/>
    <w:basedOn w:val="Normal"/>
    <w:rsid w:val="000F74E8"/>
    <w:pPr>
      <w:spacing w:before="3280" w:after="480"/>
    </w:pPr>
    <w:rPr>
      <w:color w:val="48748F" w:themeColor="accent1"/>
      <w:sz w:val="40"/>
      <w:szCs w:val="40"/>
    </w:rPr>
  </w:style>
  <w:style w:type="paragraph" w:customStyle="1" w:styleId="Figuretitle">
    <w:name w:val="Figure title"/>
    <w:basedOn w:val="Normal"/>
    <w:next w:val="BodyText1"/>
    <w:rsid w:val="000F74E8"/>
    <w:pPr>
      <w:keepNext/>
      <w:spacing w:before="240" w:after="240"/>
      <w:jc w:val="both"/>
    </w:pPr>
    <w:rPr>
      <w:bCs/>
      <w:color w:val="48748F" w:themeColor="accent1"/>
      <w:sz w:val="20"/>
    </w:rPr>
  </w:style>
  <w:style w:type="paragraph" w:customStyle="1" w:styleId="FigureTOC">
    <w:name w:val="Figure TOC"/>
    <w:basedOn w:val="TableofFigures"/>
    <w:rsid w:val="000F74E8"/>
    <w:pPr>
      <w:tabs>
        <w:tab w:val="right" w:pos="10194"/>
      </w:tabs>
      <w:spacing w:after="120"/>
    </w:pPr>
    <w:rPr>
      <w:noProof/>
      <w:sz w:val="20"/>
    </w:rPr>
  </w:style>
  <w:style w:type="paragraph" w:styleId="TableofFigures">
    <w:name w:val="table of figures"/>
    <w:basedOn w:val="Normal"/>
    <w:next w:val="Normal"/>
    <w:semiHidden/>
    <w:unhideWhenUsed/>
    <w:rsid w:val="000F74E8"/>
  </w:style>
  <w:style w:type="paragraph" w:customStyle="1" w:styleId="SubTitle">
    <w:name w:val="Sub Title"/>
    <w:basedOn w:val="Heading2"/>
    <w:rsid w:val="000F74E8"/>
    <w:pPr>
      <w:spacing w:before="120" w:after="0"/>
    </w:pPr>
  </w:style>
  <w:style w:type="paragraph" w:customStyle="1" w:styleId="Tabledata">
    <w:name w:val="Table data"/>
    <w:basedOn w:val="Normal"/>
    <w:rsid w:val="000F74E8"/>
    <w:pPr>
      <w:autoSpaceDE w:val="0"/>
      <w:autoSpaceDN w:val="0"/>
      <w:adjustRightInd w:val="0"/>
      <w:spacing w:before="60" w:after="60" w:line="260" w:lineRule="exact"/>
      <w:jc w:val="center"/>
    </w:pPr>
    <w:rPr>
      <w:rFonts w:asciiTheme="minorHAnsi" w:hAnsiTheme="minorHAnsi" w:cstheme="minorHAnsi"/>
      <w:color w:val="auto"/>
      <w:sz w:val="20"/>
    </w:rPr>
  </w:style>
  <w:style w:type="paragraph" w:customStyle="1" w:styleId="Tablefootnotetext">
    <w:name w:val="Table footnote text"/>
    <w:basedOn w:val="Normal"/>
    <w:rsid w:val="000F74E8"/>
    <w:pPr>
      <w:tabs>
        <w:tab w:val="right" w:pos="284"/>
        <w:tab w:val="left" w:pos="426"/>
      </w:tabs>
      <w:autoSpaceDE w:val="0"/>
      <w:autoSpaceDN w:val="0"/>
      <w:adjustRightInd w:val="0"/>
      <w:spacing w:before="60" w:after="60" w:line="260" w:lineRule="exact"/>
    </w:pPr>
    <w:rPr>
      <w:rFonts w:asciiTheme="minorHAnsi" w:hAnsiTheme="minorHAnsi" w:cstheme="minorHAnsi"/>
      <w:color w:val="auto"/>
      <w:sz w:val="14"/>
      <w:szCs w:val="14"/>
    </w:rPr>
  </w:style>
  <w:style w:type="table" w:styleId="TableGrid">
    <w:name w:val="Table Grid"/>
    <w:aliases w:val="Tabla CUADROS"/>
    <w:basedOn w:val="TableNormal"/>
    <w:uiPriority w:val="59"/>
    <w:rsid w:val="000F74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text">
    <w:name w:val="Table heading text"/>
    <w:basedOn w:val="BodyText1"/>
    <w:rsid w:val="000F74E8"/>
    <w:pPr>
      <w:spacing w:before="60" w:after="60" w:line="260" w:lineRule="exact"/>
      <w:jc w:val="center"/>
    </w:pPr>
    <w:rPr>
      <w:b/>
      <w:color w:val="48748F" w:themeColor="accent1"/>
    </w:rPr>
  </w:style>
  <w:style w:type="paragraph" w:customStyle="1" w:styleId="Tableofcontents">
    <w:name w:val="Table of contents"/>
    <w:basedOn w:val="Heading2"/>
    <w:rsid w:val="000F74E8"/>
  </w:style>
  <w:style w:type="paragraph" w:customStyle="1" w:styleId="Tabletext">
    <w:name w:val="Table text"/>
    <w:basedOn w:val="Normal"/>
    <w:rsid w:val="000F74E8"/>
    <w:pPr>
      <w:autoSpaceDE w:val="0"/>
      <w:autoSpaceDN w:val="0"/>
      <w:adjustRightInd w:val="0"/>
      <w:spacing w:before="60" w:after="60" w:line="260" w:lineRule="exact"/>
    </w:pPr>
    <w:rPr>
      <w:rFonts w:asciiTheme="minorHAnsi" w:hAnsiTheme="minorHAnsi" w:cstheme="minorHAnsi"/>
      <w:color w:val="auto"/>
      <w:sz w:val="20"/>
    </w:rPr>
  </w:style>
  <w:style w:type="paragraph" w:styleId="TOC1">
    <w:name w:val="toc 1"/>
    <w:basedOn w:val="Normal"/>
    <w:next w:val="Normal"/>
    <w:autoRedefine/>
    <w:uiPriority w:val="39"/>
    <w:unhideWhenUsed/>
    <w:qFormat/>
    <w:rsid w:val="000F74E8"/>
    <w:pPr>
      <w:tabs>
        <w:tab w:val="left" w:pos="567"/>
        <w:tab w:val="right" w:pos="7371"/>
      </w:tabs>
      <w:spacing w:after="100"/>
      <w:ind w:left="567" w:right="2833" w:hanging="567"/>
    </w:pPr>
    <w:rPr>
      <w:noProof/>
      <w:sz w:val="20"/>
    </w:rPr>
  </w:style>
  <w:style w:type="character" w:customStyle="1" w:styleId="Heading5Char">
    <w:name w:val="Heading 5 Char"/>
    <w:basedOn w:val="DefaultParagraphFont"/>
    <w:link w:val="Heading5"/>
    <w:rsid w:val="00F4754B"/>
    <w:rPr>
      <w:rFonts w:ascii="Verdana" w:hAnsi="Verdana"/>
      <w:b/>
      <w:i/>
      <w:szCs w:val="24"/>
      <w:lang w:eastAsia="pl-PL"/>
    </w:rPr>
  </w:style>
  <w:style w:type="character" w:customStyle="1" w:styleId="Heading6Char">
    <w:name w:val="Heading 6 Char"/>
    <w:basedOn w:val="DefaultParagraphFont"/>
    <w:link w:val="Heading6"/>
    <w:rsid w:val="00F4754B"/>
    <w:rPr>
      <w:b/>
      <w:bCs/>
      <w:szCs w:val="22"/>
      <w:lang w:eastAsia="pl-PL"/>
    </w:rPr>
  </w:style>
  <w:style w:type="character" w:customStyle="1" w:styleId="Heading7Char">
    <w:name w:val="Heading 7 Char"/>
    <w:basedOn w:val="DefaultParagraphFont"/>
    <w:link w:val="Heading7"/>
    <w:rsid w:val="00F4754B"/>
    <w:rPr>
      <w:sz w:val="24"/>
      <w:szCs w:val="24"/>
      <w:lang w:eastAsia="pl-PL"/>
    </w:rPr>
  </w:style>
  <w:style w:type="character" w:customStyle="1" w:styleId="Heading8Char">
    <w:name w:val="Heading 8 Char"/>
    <w:basedOn w:val="DefaultParagraphFont"/>
    <w:link w:val="Heading8"/>
    <w:rsid w:val="00F4754B"/>
    <w:rPr>
      <w:i/>
      <w:iCs/>
      <w:sz w:val="24"/>
      <w:szCs w:val="24"/>
      <w:lang w:eastAsia="pl-PL"/>
    </w:rPr>
  </w:style>
  <w:style w:type="character" w:customStyle="1" w:styleId="Heading9Char">
    <w:name w:val="Heading 9 Char"/>
    <w:basedOn w:val="DefaultParagraphFont"/>
    <w:link w:val="Heading9"/>
    <w:rsid w:val="00F4754B"/>
    <w:rPr>
      <w:rFonts w:ascii="Verdana" w:hAnsi="Verdana" w:cs="Arial"/>
      <w:szCs w:val="22"/>
      <w:lang w:eastAsia="pl-PL"/>
    </w:rPr>
  </w:style>
  <w:style w:type="character" w:customStyle="1" w:styleId="Heading1Char">
    <w:name w:val="Heading 1 Char"/>
    <w:basedOn w:val="DefaultParagraphFont"/>
    <w:link w:val="Heading1"/>
    <w:rsid w:val="00F4754B"/>
    <w:rPr>
      <w:rFonts w:ascii="Arial" w:hAnsi="Arial"/>
      <w:color w:val="48748F" w:themeColor="accent1"/>
      <w:sz w:val="36"/>
      <w:lang w:eastAsia="pl-PL"/>
    </w:rPr>
  </w:style>
  <w:style w:type="character" w:customStyle="1" w:styleId="Heading2Char">
    <w:name w:val="Heading 2 Char"/>
    <w:basedOn w:val="DefaultParagraphFont"/>
    <w:link w:val="Heading2"/>
    <w:rsid w:val="00F4754B"/>
    <w:rPr>
      <w:rFonts w:ascii="Arial" w:hAnsi="Arial"/>
      <w:color w:val="48748F" w:themeColor="accent1"/>
      <w:sz w:val="24"/>
      <w:lang w:eastAsia="pl-PL"/>
    </w:rPr>
  </w:style>
  <w:style w:type="character" w:customStyle="1" w:styleId="Heading3Char">
    <w:name w:val="Heading 3 Char"/>
    <w:basedOn w:val="DefaultParagraphFont"/>
    <w:link w:val="Heading3"/>
    <w:rsid w:val="00F4754B"/>
    <w:rPr>
      <w:rFonts w:ascii="Arial" w:hAnsi="Arial"/>
      <w:b/>
      <w:color w:val="48748F" w:themeColor="accent1"/>
      <w:szCs w:val="22"/>
      <w:lang w:eastAsia="pl-PL"/>
    </w:rPr>
  </w:style>
  <w:style w:type="character" w:customStyle="1" w:styleId="Heading4Char">
    <w:name w:val="Heading 4 Char"/>
    <w:basedOn w:val="DefaultParagraphFont"/>
    <w:link w:val="Heading4"/>
    <w:rsid w:val="00F4754B"/>
    <w:rPr>
      <w:rFonts w:ascii="Arial" w:hAnsi="Arial"/>
      <w:color w:val="48748F" w:themeColor="accent1"/>
      <w:lang w:eastAsia="pl-PL"/>
    </w:rPr>
  </w:style>
  <w:style w:type="paragraph" w:customStyle="1" w:styleId="Aufzhlungszeichen1">
    <w:name w:val="Aufzählungszeichen1"/>
    <w:basedOn w:val="Normal"/>
    <w:uiPriority w:val="1"/>
    <w:qFormat/>
    <w:rsid w:val="00F4754B"/>
    <w:pPr>
      <w:numPr>
        <w:numId w:val="7"/>
      </w:numPr>
      <w:spacing w:before="120" w:after="120" w:line="240" w:lineRule="exact"/>
      <w:jc w:val="both"/>
    </w:pPr>
    <w:rPr>
      <w:rFonts w:ascii="Verdana" w:hAnsi="Verdana"/>
      <w:color w:val="auto"/>
      <w:sz w:val="20"/>
      <w:szCs w:val="24"/>
    </w:rPr>
  </w:style>
  <w:style w:type="paragraph" w:customStyle="1" w:styleId="Aufzhlungszeichen2">
    <w:name w:val="Aufzählungszeichen2"/>
    <w:basedOn w:val="Normal"/>
    <w:uiPriority w:val="1"/>
    <w:qFormat/>
    <w:rsid w:val="00F4754B"/>
    <w:pPr>
      <w:numPr>
        <w:numId w:val="8"/>
      </w:numPr>
      <w:spacing w:before="120" w:after="120" w:line="240" w:lineRule="exact"/>
      <w:jc w:val="both"/>
    </w:pPr>
    <w:rPr>
      <w:rFonts w:ascii="Verdana" w:hAnsi="Verdana"/>
      <w:color w:val="auto"/>
      <w:sz w:val="20"/>
      <w:szCs w:val="24"/>
    </w:rPr>
  </w:style>
  <w:style w:type="paragraph" w:customStyle="1" w:styleId="Aufzhlungszeichen3">
    <w:name w:val="Aufzählungszeichen3"/>
    <w:basedOn w:val="Normal"/>
    <w:uiPriority w:val="1"/>
    <w:qFormat/>
    <w:rsid w:val="00F4754B"/>
    <w:pPr>
      <w:numPr>
        <w:numId w:val="9"/>
      </w:numPr>
      <w:spacing w:before="120" w:after="120" w:line="240" w:lineRule="exact"/>
      <w:jc w:val="both"/>
    </w:pPr>
    <w:rPr>
      <w:rFonts w:ascii="Verdana" w:hAnsi="Verdana"/>
      <w:color w:val="auto"/>
      <w:sz w:val="20"/>
      <w:szCs w:val="24"/>
    </w:rPr>
  </w:style>
  <w:style w:type="paragraph" w:customStyle="1" w:styleId="Aufzhlungszeichen4">
    <w:name w:val="Aufzählungszeichen4"/>
    <w:basedOn w:val="Normal"/>
    <w:uiPriority w:val="1"/>
    <w:qFormat/>
    <w:rsid w:val="00F4754B"/>
    <w:pPr>
      <w:numPr>
        <w:numId w:val="10"/>
      </w:numPr>
      <w:spacing w:before="120" w:after="120" w:line="240" w:lineRule="exact"/>
      <w:jc w:val="both"/>
    </w:pPr>
    <w:rPr>
      <w:rFonts w:ascii="Verdana" w:hAnsi="Verdana"/>
      <w:color w:val="auto"/>
      <w:sz w:val="20"/>
      <w:szCs w:val="24"/>
    </w:rPr>
  </w:style>
  <w:style w:type="numbering" w:customStyle="1" w:styleId="Formatvorlage1">
    <w:name w:val="Formatvorlage1"/>
    <w:uiPriority w:val="99"/>
    <w:rsid w:val="00F4754B"/>
    <w:pPr>
      <w:numPr>
        <w:numId w:val="11"/>
      </w:numPr>
    </w:pPr>
  </w:style>
  <w:style w:type="numbering" w:customStyle="1" w:styleId="Formatvorlage2">
    <w:name w:val="Formatvorlage2"/>
    <w:uiPriority w:val="99"/>
    <w:rsid w:val="00F4754B"/>
    <w:pPr>
      <w:numPr>
        <w:numId w:val="12"/>
      </w:numPr>
    </w:pPr>
  </w:style>
  <w:style w:type="character" w:customStyle="1" w:styleId="FooterChar">
    <w:name w:val="Footer Char"/>
    <w:basedOn w:val="DefaultParagraphFont"/>
    <w:link w:val="Footer"/>
    <w:uiPriority w:val="99"/>
    <w:rsid w:val="00F4754B"/>
    <w:rPr>
      <w:rFonts w:ascii="Arial" w:hAnsi="Arial"/>
      <w:color w:val="000000"/>
      <w:sz w:val="18"/>
      <w:lang w:eastAsia="pl-PL"/>
    </w:rPr>
  </w:style>
  <w:style w:type="paragraph" w:customStyle="1" w:styleId="GliederungmitAufzhlung">
    <w:name w:val="Gliederung mit Aufzählung"/>
    <w:basedOn w:val="Normal"/>
    <w:uiPriority w:val="1"/>
    <w:qFormat/>
    <w:rsid w:val="00F4754B"/>
    <w:pPr>
      <w:numPr>
        <w:numId w:val="13"/>
      </w:numPr>
      <w:spacing w:before="120" w:after="120" w:line="312" w:lineRule="auto"/>
      <w:jc w:val="both"/>
    </w:pPr>
    <w:rPr>
      <w:rFonts w:ascii="Verdana" w:hAnsi="Verdana"/>
      <w:color w:val="auto"/>
      <w:sz w:val="20"/>
      <w:szCs w:val="24"/>
    </w:rPr>
  </w:style>
  <w:style w:type="paragraph" w:customStyle="1" w:styleId="GliederungmitNummerierung">
    <w:name w:val="Gliederung mit Nummerierung"/>
    <w:basedOn w:val="Normal"/>
    <w:uiPriority w:val="1"/>
    <w:qFormat/>
    <w:rsid w:val="00F4754B"/>
    <w:pPr>
      <w:numPr>
        <w:numId w:val="14"/>
      </w:numPr>
      <w:spacing w:before="120" w:after="120" w:line="312" w:lineRule="auto"/>
      <w:jc w:val="both"/>
    </w:pPr>
    <w:rPr>
      <w:rFonts w:ascii="Verdana" w:hAnsi="Verdana"/>
      <w:color w:val="auto"/>
      <w:sz w:val="20"/>
      <w:szCs w:val="24"/>
    </w:rPr>
  </w:style>
  <w:style w:type="paragraph" w:customStyle="1" w:styleId="HngEinrckung1">
    <w:name w:val="Häng. Einrückung1"/>
    <w:basedOn w:val="Normal"/>
    <w:uiPriority w:val="1"/>
    <w:qFormat/>
    <w:rsid w:val="00F4754B"/>
    <w:pPr>
      <w:spacing w:before="120" w:after="120" w:line="312" w:lineRule="auto"/>
      <w:ind w:left="567" w:hanging="567"/>
      <w:jc w:val="both"/>
    </w:pPr>
    <w:rPr>
      <w:rFonts w:ascii="Verdana" w:hAnsi="Verdana"/>
      <w:color w:val="auto"/>
      <w:sz w:val="20"/>
      <w:szCs w:val="24"/>
    </w:rPr>
  </w:style>
  <w:style w:type="paragraph" w:customStyle="1" w:styleId="HngEinrckung2">
    <w:name w:val="Häng. Einrückung2"/>
    <w:basedOn w:val="Normal"/>
    <w:uiPriority w:val="1"/>
    <w:qFormat/>
    <w:rsid w:val="00F4754B"/>
    <w:pPr>
      <w:spacing w:before="120" w:after="120" w:line="312" w:lineRule="auto"/>
      <w:ind w:left="1134" w:hanging="567"/>
      <w:jc w:val="both"/>
    </w:pPr>
    <w:rPr>
      <w:rFonts w:ascii="Verdana" w:hAnsi="Verdana"/>
      <w:color w:val="auto"/>
      <w:sz w:val="20"/>
      <w:szCs w:val="24"/>
    </w:rPr>
  </w:style>
  <w:style w:type="paragraph" w:customStyle="1" w:styleId="HngEinrckung3">
    <w:name w:val="Häng. Einrückung3"/>
    <w:basedOn w:val="Normal"/>
    <w:uiPriority w:val="1"/>
    <w:qFormat/>
    <w:rsid w:val="00F4754B"/>
    <w:pPr>
      <w:spacing w:before="120" w:after="120" w:line="312" w:lineRule="auto"/>
      <w:ind w:left="1701" w:hanging="567"/>
      <w:jc w:val="both"/>
    </w:pPr>
    <w:rPr>
      <w:rFonts w:ascii="Verdana" w:hAnsi="Verdana"/>
      <w:color w:val="auto"/>
      <w:sz w:val="20"/>
      <w:szCs w:val="24"/>
    </w:rPr>
  </w:style>
  <w:style w:type="character" w:customStyle="1" w:styleId="HeaderChar">
    <w:name w:val="Header Char"/>
    <w:basedOn w:val="DefaultParagraphFont"/>
    <w:link w:val="Header"/>
    <w:uiPriority w:val="99"/>
    <w:rsid w:val="00F4754B"/>
    <w:rPr>
      <w:rFonts w:ascii="Arial" w:hAnsi="Arial"/>
      <w:color w:val="000000"/>
      <w:sz w:val="18"/>
      <w:lang w:eastAsia="pl-PL"/>
    </w:rPr>
  </w:style>
  <w:style w:type="paragraph" w:customStyle="1" w:styleId="Marginalspalte">
    <w:name w:val="Marginalspalte"/>
    <w:basedOn w:val="Normal"/>
    <w:uiPriority w:val="1"/>
    <w:qFormat/>
    <w:rsid w:val="00F4754B"/>
    <w:pPr>
      <w:framePr w:w="851" w:h="851" w:hSpace="284" w:wrap="around" w:vAnchor="text" w:hAnchor="page" w:y="1"/>
      <w:spacing w:before="120" w:after="120"/>
      <w:jc w:val="both"/>
    </w:pPr>
    <w:rPr>
      <w:rFonts w:ascii="Verdana" w:hAnsi="Verdana"/>
      <w:i/>
      <w:color w:val="auto"/>
      <w:sz w:val="20"/>
      <w:szCs w:val="22"/>
    </w:rPr>
  </w:style>
  <w:style w:type="paragraph" w:customStyle="1" w:styleId="Nummerierungsart1">
    <w:name w:val="Nummerierungsart1"/>
    <w:basedOn w:val="Normal"/>
    <w:uiPriority w:val="1"/>
    <w:qFormat/>
    <w:rsid w:val="00F4754B"/>
    <w:pPr>
      <w:numPr>
        <w:numId w:val="15"/>
      </w:numPr>
      <w:spacing w:before="120" w:after="120"/>
      <w:jc w:val="both"/>
    </w:pPr>
    <w:rPr>
      <w:rFonts w:ascii="Verdana" w:hAnsi="Verdana"/>
      <w:color w:val="auto"/>
      <w:sz w:val="20"/>
      <w:szCs w:val="24"/>
    </w:rPr>
  </w:style>
  <w:style w:type="paragraph" w:customStyle="1" w:styleId="Nummerierungsart2">
    <w:name w:val="Nummerierungsart2"/>
    <w:basedOn w:val="Normal"/>
    <w:uiPriority w:val="1"/>
    <w:qFormat/>
    <w:rsid w:val="00F4754B"/>
    <w:pPr>
      <w:numPr>
        <w:numId w:val="16"/>
      </w:numPr>
      <w:spacing w:before="120" w:after="120"/>
      <w:jc w:val="both"/>
    </w:pPr>
    <w:rPr>
      <w:rFonts w:ascii="Verdana" w:hAnsi="Verdana"/>
      <w:color w:val="auto"/>
      <w:sz w:val="20"/>
      <w:szCs w:val="24"/>
    </w:rPr>
  </w:style>
  <w:style w:type="paragraph" w:customStyle="1" w:styleId="Nummerierungsart3">
    <w:name w:val="Nummerierungsart3"/>
    <w:basedOn w:val="Normal"/>
    <w:uiPriority w:val="1"/>
    <w:qFormat/>
    <w:rsid w:val="00F4754B"/>
    <w:pPr>
      <w:numPr>
        <w:numId w:val="17"/>
      </w:numPr>
      <w:spacing w:before="120" w:after="120"/>
      <w:jc w:val="both"/>
    </w:pPr>
    <w:rPr>
      <w:rFonts w:ascii="Verdana" w:hAnsi="Verdana"/>
      <w:color w:val="auto"/>
      <w:sz w:val="20"/>
      <w:szCs w:val="24"/>
    </w:rPr>
  </w:style>
  <w:style w:type="paragraph" w:customStyle="1" w:styleId="Nummerierungsart4">
    <w:name w:val="Nummerierungsart4"/>
    <w:basedOn w:val="Normal"/>
    <w:uiPriority w:val="1"/>
    <w:qFormat/>
    <w:rsid w:val="00F4754B"/>
    <w:pPr>
      <w:numPr>
        <w:numId w:val="18"/>
      </w:numPr>
      <w:spacing w:before="120" w:after="120"/>
      <w:jc w:val="both"/>
    </w:pPr>
    <w:rPr>
      <w:rFonts w:ascii="Verdana" w:hAnsi="Verdana"/>
      <w:color w:val="auto"/>
      <w:sz w:val="20"/>
      <w:szCs w:val="24"/>
    </w:rPr>
  </w:style>
  <w:style w:type="character" w:customStyle="1" w:styleId="Heading3Char1">
    <w:name w:val="Heading 3 Char1"/>
    <w:basedOn w:val="DefaultParagraphFont"/>
    <w:rsid w:val="00F4754B"/>
    <w:rPr>
      <w:rFonts w:ascii="Verdana" w:eastAsia="Times New Roman" w:hAnsi="Verdana" w:cs="Times New Roman"/>
      <w:b/>
      <w:sz w:val="20"/>
      <w:szCs w:val="24"/>
    </w:rPr>
  </w:style>
  <w:style w:type="paragraph" w:styleId="TOC2">
    <w:name w:val="toc 2"/>
    <w:basedOn w:val="Normal"/>
    <w:next w:val="Normal"/>
    <w:autoRedefine/>
    <w:uiPriority w:val="39"/>
    <w:qFormat/>
    <w:rsid w:val="00F4754B"/>
    <w:pPr>
      <w:tabs>
        <w:tab w:val="left" w:pos="794"/>
        <w:tab w:val="right" w:leader="dot" w:pos="9071"/>
      </w:tabs>
      <w:spacing w:before="120" w:after="60"/>
      <w:ind w:left="794" w:hanging="794"/>
      <w:jc w:val="both"/>
    </w:pPr>
    <w:rPr>
      <w:rFonts w:ascii="Verdana" w:hAnsi="Verdana"/>
      <w:b/>
      <w:smallCaps/>
      <w:noProof/>
      <w:color w:val="auto"/>
      <w:sz w:val="20"/>
      <w:szCs w:val="22"/>
    </w:rPr>
  </w:style>
  <w:style w:type="paragraph" w:styleId="TOC3">
    <w:name w:val="toc 3"/>
    <w:basedOn w:val="Normal"/>
    <w:next w:val="Normal"/>
    <w:autoRedefine/>
    <w:uiPriority w:val="39"/>
    <w:qFormat/>
    <w:rsid w:val="00F4754B"/>
    <w:pPr>
      <w:tabs>
        <w:tab w:val="left" w:pos="794"/>
        <w:tab w:val="right" w:leader="dot" w:pos="9072"/>
      </w:tabs>
      <w:spacing w:before="120" w:after="60"/>
      <w:ind w:left="794" w:hanging="794"/>
      <w:jc w:val="both"/>
    </w:pPr>
    <w:rPr>
      <w:rFonts w:ascii="Verdana" w:hAnsi="Verdana"/>
      <w:smallCaps/>
      <w:noProof/>
      <w:color w:val="auto"/>
      <w:sz w:val="20"/>
      <w:szCs w:val="24"/>
    </w:rPr>
  </w:style>
  <w:style w:type="paragraph" w:styleId="TOC4">
    <w:name w:val="toc 4"/>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snapToGrid w:val="0"/>
      <w:color w:val="auto"/>
      <w:szCs w:val="18"/>
    </w:rPr>
  </w:style>
  <w:style w:type="paragraph" w:styleId="TOC5">
    <w:name w:val="toc 5"/>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color w:val="auto"/>
      <w:szCs w:val="18"/>
    </w:rPr>
  </w:style>
  <w:style w:type="paragraph" w:styleId="TOC6">
    <w:name w:val="toc 6"/>
    <w:basedOn w:val="Normal"/>
    <w:next w:val="Normal"/>
    <w:autoRedefine/>
    <w:uiPriority w:val="39"/>
    <w:rsid w:val="00F4754B"/>
    <w:pPr>
      <w:tabs>
        <w:tab w:val="left" w:pos="2058"/>
        <w:tab w:val="right" w:leader="dot" w:pos="9071"/>
      </w:tabs>
      <w:spacing w:before="120" w:after="120"/>
      <w:ind w:left="1134" w:hanging="1134"/>
      <w:jc w:val="both"/>
    </w:pPr>
    <w:rPr>
      <w:rFonts w:ascii="Verdana" w:hAnsi="Verdana"/>
      <w:noProof/>
      <w:color w:val="auto"/>
      <w:sz w:val="16"/>
      <w:szCs w:val="24"/>
    </w:rPr>
  </w:style>
  <w:style w:type="paragraph" w:styleId="TOC7">
    <w:name w:val="toc 7"/>
    <w:basedOn w:val="Normal"/>
    <w:next w:val="Normal"/>
    <w:autoRedefine/>
    <w:uiPriority w:val="39"/>
    <w:rsid w:val="00F4754B"/>
    <w:pPr>
      <w:tabs>
        <w:tab w:val="right" w:leader="dot" w:pos="9071"/>
      </w:tabs>
      <w:spacing w:before="120" w:after="120"/>
      <w:ind w:left="1134" w:hanging="1134"/>
      <w:jc w:val="both"/>
    </w:pPr>
    <w:rPr>
      <w:rFonts w:ascii="Verdana" w:hAnsi="Verdana"/>
      <w:color w:val="auto"/>
      <w:sz w:val="16"/>
      <w:szCs w:val="24"/>
    </w:rPr>
  </w:style>
  <w:style w:type="paragraph" w:styleId="TOC8">
    <w:name w:val="toc 8"/>
    <w:basedOn w:val="Normal"/>
    <w:next w:val="Normal"/>
    <w:autoRedefine/>
    <w:uiPriority w:val="39"/>
    <w:rsid w:val="00F4754B"/>
    <w:pPr>
      <w:tabs>
        <w:tab w:val="left" w:pos="2758"/>
        <w:tab w:val="right" w:leader="dot" w:pos="9071"/>
      </w:tabs>
      <w:spacing w:before="120" w:after="120"/>
      <w:ind w:left="1361" w:hanging="1361"/>
      <w:jc w:val="both"/>
    </w:pPr>
    <w:rPr>
      <w:rFonts w:ascii="Verdana" w:hAnsi="Verdana"/>
      <w:noProof/>
      <w:color w:val="auto"/>
      <w:sz w:val="16"/>
      <w:szCs w:val="24"/>
    </w:rPr>
  </w:style>
  <w:style w:type="paragraph" w:styleId="TOC9">
    <w:name w:val="toc 9"/>
    <w:basedOn w:val="Normal"/>
    <w:next w:val="Normal"/>
    <w:autoRedefine/>
    <w:uiPriority w:val="39"/>
    <w:rsid w:val="00F4754B"/>
    <w:pPr>
      <w:tabs>
        <w:tab w:val="right" w:leader="dot" w:pos="9071"/>
      </w:tabs>
      <w:spacing w:before="120" w:after="120"/>
      <w:ind w:left="1361" w:hanging="1361"/>
      <w:jc w:val="both"/>
    </w:pPr>
    <w:rPr>
      <w:rFonts w:ascii="Verdana" w:hAnsi="Verdana"/>
      <w:color w:val="auto"/>
      <w:sz w:val="16"/>
      <w:szCs w:val="24"/>
    </w:rPr>
  </w:style>
  <w:style w:type="paragraph" w:customStyle="1" w:styleId="Quote1">
    <w:name w:val="Quote1"/>
    <w:basedOn w:val="Normal"/>
    <w:next w:val="Normal"/>
    <w:link w:val="QuoteChar"/>
    <w:uiPriority w:val="29"/>
    <w:semiHidden/>
    <w:rsid w:val="00F4754B"/>
    <w:pPr>
      <w:spacing w:before="120" w:after="120"/>
      <w:jc w:val="both"/>
    </w:pPr>
    <w:rPr>
      <w:rFonts w:ascii="Verdana" w:hAnsi="Verdana"/>
      <w:i/>
      <w:iCs/>
      <w:sz w:val="20"/>
      <w:szCs w:val="24"/>
    </w:rPr>
  </w:style>
  <w:style w:type="character" w:customStyle="1" w:styleId="QuoteChar">
    <w:name w:val="Quote Char"/>
    <w:basedOn w:val="DefaultParagraphFont"/>
    <w:link w:val="Quote1"/>
    <w:uiPriority w:val="29"/>
    <w:semiHidden/>
    <w:rsid w:val="00F4754B"/>
    <w:rPr>
      <w:rFonts w:ascii="Verdana" w:hAnsi="Verdana"/>
      <w:i/>
      <w:iCs/>
      <w:color w:val="000000"/>
      <w:szCs w:val="24"/>
      <w:lang w:eastAsia="pl-PL"/>
    </w:rPr>
  </w:style>
  <w:style w:type="paragraph" w:customStyle="1" w:styleId="TOCHeading1">
    <w:name w:val="TOC Heading1"/>
    <w:basedOn w:val="Heading1"/>
    <w:next w:val="Normal"/>
    <w:uiPriority w:val="39"/>
    <w:semiHidden/>
    <w:unhideWhenUsed/>
    <w:qFormat/>
    <w:rsid w:val="00F4754B"/>
    <w:pPr>
      <w:keepNext/>
      <w:keepLines/>
      <w:autoSpaceDE w:val="0"/>
      <w:autoSpaceDN w:val="0"/>
      <w:adjustRightInd w:val="0"/>
      <w:spacing w:before="480" w:after="0" w:line="311" w:lineRule="auto"/>
      <w:outlineLvl w:val="9"/>
    </w:pPr>
    <w:rPr>
      <w:b/>
      <w:bCs/>
      <w:color w:val="4B67A3"/>
      <w:sz w:val="20"/>
      <w:szCs w:val="28"/>
      <w:u w:val="single"/>
    </w:rPr>
  </w:style>
  <w:style w:type="paragraph" w:styleId="EndnoteText">
    <w:name w:val="endnote text"/>
    <w:basedOn w:val="Normal"/>
    <w:link w:val="EndnoteTextChar"/>
    <w:uiPriority w:val="1"/>
    <w:rsid w:val="00F4754B"/>
    <w:pPr>
      <w:spacing w:before="120" w:after="120" w:line="180" w:lineRule="exact"/>
      <w:ind w:left="142" w:hanging="142"/>
      <w:jc w:val="both"/>
    </w:pPr>
    <w:rPr>
      <w:rFonts w:ascii="Verdana" w:hAnsi="Verdana"/>
      <w:color w:val="auto"/>
      <w:sz w:val="16"/>
      <w:szCs w:val="24"/>
    </w:rPr>
  </w:style>
  <w:style w:type="character" w:customStyle="1" w:styleId="EndnoteTextChar">
    <w:name w:val="Endnote Text Char"/>
    <w:basedOn w:val="DefaultParagraphFont"/>
    <w:link w:val="EndnoteText"/>
    <w:uiPriority w:val="1"/>
    <w:rsid w:val="00F4754B"/>
    <w:rPr>
      <w:rFonts w:ascii="Verdana" w:hAnsi="Verdana"/>
      <w:sz w:val="16"/>
      <w:szCs w:val="24"/>
      <w:lang w:eastAsia="pl-PL"/>
    </w:rPr>
  </w:style>
  <w:style w:type="character" w:styleId="EndnoteReference">
    <w:name w:val="endnote reference"/>
    <w:basedOn w:val="DefaultParagraphFont"/>
    <w:uiPriority w:val="1"/>
    <w:rsid w:val="00F4754B"/>
    <w:rPr>
      <w:rFonts w:ascii="Arial" w:hAnsi="Arial"/>
      <w:color w:val="auto"/>
      <w:position w:val="4"/>
      <w:sz w:val="12"/>
      <w:vertAlign w:val="baseline"/>
    </w:rPr>
  </w:style>
  <w:style w:type="paragraph" w:customStyle="1" w:styleId="Ballontekst1">
    <w:name w:val="Ballontekst1"/>
    <w:basedOn w:val="Normal"/>
    <w:uiPriority w:val="99"/>
    <w:semiHidden/>
    <w:rsid w:val="00F4754B"/>
    <w:pPr>
      <w:spacing w:before="120" w:after="120"/>
      <w:jc w:val="both"/>
    </w:pPr>
    <w:rPr>
      <w:rFonts w:ascii="Tahoma" w:hAnsi="Tahoma" w:cs="Tahoma"/>
      <w:color w:val="auto"/>
      <w:sz w:val="16"/>
      <w:szCs w:val="16"/>
    </w:rPr>
  </w:style>
  <w:style w:type="character" w:styleId="CommentReference">
    <w:name w:val="annotation reference"/>
    <w:basedOn w:val="DefaultParagraphFont"/>
    <w:uiPriority w:val="99"/>
    <w:rsid w:val="00F4754B"/>
    <w:rPr>
      <w:rFonts w:cs="Times New Roman"/>
      <w:sz w:val="16"/>
      <w:szCs w:val="16"/>
    </w:rPr>
  </w:style>
  <w:style w:type="paragraph" w:styleId="CommentText">
    <w:name w:val="annotation text"/>
    <w:basedOn w:val="Normal"/>
    <w:link w:val="CommentTextChar"/>
    <w:uiPriority w:val="99"/>
    <w:rsid w:val="00F4754B"/>
    <w:pPr>
      <w:spacing w:before="120" w:after="120"/>
      <w:jc w:val="both"/>
    </w:pPr>
    <w:rPr>
      <w:rFonts w:ascii="Verdana" w:hAnsi="Verdana"/>
      <w:color w:val="auto"/>
      <w:sz w:val="20"/>
    </w:rPr>
  </w:style>
  <w:style w:type="character" w:customStyle="1" w:styleId="CommentTextChar">
    <w:name w:val="Comment Text Char"/>
    <w:basedOn w:val="DefaultParagraphFont"/>
    <w:link w:val="CommentText"/>
    <w:uiPriority w:val="99"/>
    <w:rsid w:val="00F4754B"/>
    <w:rPr>
      <w:rFonts w:ascii="Verdana" w:hAnsi="Verdana"/>
      <w:lang w:eastAsia="pl-PL"/>
    </w:rPr>
  </w:style>
  <w:style w:type="paragraph" w:customStyle="1" w:styleId="Onderwerpvanopmerking1">
    <w:name w:val="Onderwerp van opmerking1"/>
    <w:basedOn w:val="CommentText"/>
    <w:next w:val="CommentText"/>
    <w:uiPriority w:val="99"/>
    <w:semiHidden/>
    <w:rsid w:val="00F4754B"/>
    <w:rPr>
      <w:b/>
      <w:bCs/>
    </w:rPr>
  </w:style>
  <w:style w:type="character" w:styleId="FollowedHyperlink">
    <w:name w:val="FollowedHyperlink"/>
    <w:basedOn w:val="DefaultParagraphFont"/>
    <w:uiPriority w:val="99"/>
    <w:rsid w:val="00F4754B"/>
    <w:rPr>
      <w:rFonts w:cs="Times New Roman"/>
      <w:color w:val="606420"/>
      <w:u w:val="single"/>
    </w:rPr>
  </w:style>
  <w:style w:type="paragraph" w:styleId="CommentSubject">
    <w:name w:val="annotation subject"/>
    <w:basedOn w:val="CommentText"/>
    <w:next w:val="CommentText"/>
    <w:link w:val="CommentSubjectChar"/>
    <w:uiPriority w:val="99"/>
    <w:rsid w:val="00F4754B"/>
    <w:rPr>
      <w:b/>
      <w:bCs/>
    </w:rPr>
  </w:style>
  <w:style w:type="character" w:customStyle="1" w:styleId="CommentSubjectChar">
    <w:name w:val="Comment Subject Char"/>
    <w:basedOn w:val="CommentTextChar"/>
    <w:link w:val="CommentSubject"/>
    <w:uiPriority w:val="99"/>
    <w:rsid w:val="00F4754B"/>
    <w:rPr>
      <w:rFonts w:ascii="Verdana" w:hAnsi="Verdana"/>
      <w:b/>
      <w:bCs/>
      <w:lang w:eastAsia="pl-PL"/>
    </w:rPr>
  </w:style>
  <w:style w:type="paragraph" w:customStyle="1" w:styleId="Formatvorlageberschrift4">
    <w:name w:val="Formatvorlage Überschrift 4"/>
    <w:basedOn w:val="Heading4"/>
    <w:link w:val="Formatvorlageberschrift4Char"/>
    <w:uiPriority w:val="99"/>
    <w:rsid w:val="00F4754B"/>
    <w:pPr>
      <w:keepNext/>
      <w:spacing w:after="60"/>
      <w:ind w:left="360" w:hanging="360"/>
      <w:contextualSpacing w:val="0"/>
      <w:jc w:val="both"/>
    </w:pPr>
    <w:rPr>
      <w:rFonts w:ascii="Verdana" w:hAnsi="Verdana"/>
      <w:b/>
      <w:iCs/>
      <w:color w:val="auto"/>
      <w:szCs w:val="28"/>
      <w:u w:val="single"/>
    </w:rPr>
  </w:style>
  <w:style w:type="character" w:customStyle="1" w:styleId="Formatvorlageberschrift4Char">
    <w:name w:val="Formatvorlage Überschrift 4 Char"/>
    <w:basedOn w:val="Heading4Char"/>
    <w:link w:val="Formatvorlageberschrift4"/>
    <w:uiPriority w:val="99"/>
    <w:locked/>
    <w:rsid w:val="00F4754B"/>
    <w:rPr>
      <w:rFonts w:ascii="Verdana" w:hAnsi="Verdana"/>
      <w:b/>
      <w:iCs/>
      <w:color w:val="48748F" w:themeColor="accent1"/>
      <w:szCs w:val="28"/>
      <w:u w:val="single"/>
      <w:lang w:eastAsia="pl-PL"/>
    </w:rPr>
  </w:style>
  <w:style w:type="paragraph" w:customStyle="1" w:styleId="Instructionsberschrift1">
    <w:name w:val="Instructions Überschrift 1"/>
    <w:basedOn w:val="Heading1"/>
    <w:rsid w:val="00F4754B"/>
    <w:pPr>
      <w:keepNext/>
      <w:tabs>
        <w:tab w:val="num" w:pos="540"/>
      </w:tabs>
      <w:autoSpaceDE w:val="0"/>
      <w:autoSpaceDN w:val="0"/>
      <w:adjustRightInd w:val="0"/>
      <w:spacing w:before="240" w:after="0"/>
      <w:ind w:left="540" w:hanging="540"/>
    </w:pPr>
    <w:rPr>
      <w:rFonts w:ascii="Verdana" w:hAnsi="Verdana"/>
      <w:color w:val="auto"/>
      <w:kern w:val="32"/>
      <w:sz w:val="20"/>
      <w:u w:val="single"/>
    </w:rPr>
  </w:style>
  <w:style w:type="paragraph" w:customStyle="1" w:styleId="Instructionsberschrift2">
    <w:name w:val="Instructions Überschrift 2"/>
    <w:basedOn w:val="Heading2"/>
    <w:link w:val="Instructionsberschrift2Char"/>
    <w:rsid w:val="00F4754B"/>
    <w:pPr>
      <w:keepNext/>
      <w:numPr>
        <w:numId w:val="19"/>
      </w:numPr>
      <w:spacing w:before="240"/>
      <w:contextualSpacing w:val="0"/>
      <w:jc w:val="both"/>
    </w:pPr>
    <w:rPr>
      <w:rFonts w:ascii="Times New Roman" w:hAnsi="Times New Roman" w:cs="Arial"/>
      <w:color w:val="auto"/>
      <w:sz w:val="20"/>
      <w:szCs w:val="24"/>
      <w:u w:val="single"/>
    </w:rPr>
  </w:style>
  <w:style w:type="paragraph" w:customStyle="1" w:styleId="Instructionsberschrift3">
    <w:name w:val="Instructions Überschrift 3"/>
    <w:basedOn w:val="Heading3"/>
    <w:link w:val="Instructionsberschrift3Zchn"/>
    <w:rsid w:val="00F4754B"/>
    <w:pPr>
      <w:keepNext/>
      <w:numPr>
        <w:numId w:val="20"/>
      </w:numPr>
      <w:spacing w:after="60" w:line="360" w:lineRule="auto"/>
      <w:jc w:val="both"/>
    </w:pPr>
    <w:rPr>
      <w:rFonts w:ascii="Verdana" w:hAnsi="Verdana" w:cs="Arial"/>
      <w:b w:val="0"/>
      <w:color w:val="auto"/>
      <w:szCs w:val="26"/>
      <w:u w:val="single"/>
    </w:rPr>
  </w:style>
  <w:style w:type="character" w:customStyle="1" w:styleId="Instructionsberschrift3Zchn">
    <w:name w:val="Instructions Überschrift 3 Zchn"/>
    <w:basedOn w:val="Heading3Char1"/>
    <w:link w:val="Instructionsberschrift3"/>
    <w:locked/>
    <w:rsid w:val="00F4754B"/>
    <w:rPr>
      <w:rFonts w:ascii="Verdana" w:eastAsia="Times New Roman" w:hAnsi="Verdana" w:cs="Arial"/>
      <w:b/>
      <w:sz w:val="20"/>
      <w:szCs w:val="26"/>
      <w:u w:val="single"/>
      <w:lang w:eastAsia="pl-PL"/>
    </w:rPr>
  </w:style>
  <w:style w:type="paragraph" w:customStyle="1" w:styleId="Instructionsberschrift4">
    <w:name w:val="Instructions Überschrift 4"/>
    <w:basedOn w:val="Heading4"/>
    <w:next w:val="InstructionsText"/>
    <w:link w:val="Instructionsberschrift4Char"/>
    <w:uiPriority w:val="99"/>
    <w:rsid w:val="00F4754B"/>
    <w:pPr>
      <w:keepNext/>
      <w:tabs>
        <w:tab w:val="left" w:pos="1520"/>
      </w:tabs>
      <w:autoSpaceDE w:val="0"/>
      <w:autoSpaceDN w:val="0"/>
      <w:adjustRightInd w:val="0"/>
      <w:spacing w:after="240"/>
      <w:ind w:left="970" w:hanging="970"/>
      <w:contextualSpacing w:val="0"/>
      <w:jc w:val="both"/>
    </w:pPr>
    <w:rPr>
      <w:rFonts w:ascii="Verdana" w:hAnsi="Verdana"/>
      <w:b/>
      <w:bCs/>
      <w:color w:val="auto"/>
      <w:szCs w:val="24"/>
      <w:u w:val="single"/>
    </w:rPr>
  </w:style>
  <w:style w:type="paragraph" w:customStyle="1" w:styleId="InstructionsText">
    <w:name w:val="Instructions Text"/>
    <w:basedOn w:val="Normal"/>
    <w:link w:val="InstructionsTextChar"/>
    <w:autoRedefine/>
    <w:rsid w:val="00F4754B"/>
    <w:pPr>
      <w:ind w:left="33" w:hanging="33"/>
      <w:jc w:val="both"/>
    </w:pPr>
    <w:rPr>
      <w:rFonts w:ascii="Times New Roman" w:eastAsiaTheme="minorHAnsi" w:hAnsi="Times New Roman"/>
      <w:color w:val="auto"/>
      <w:sz w:val="20"/>
      <w:szCs w:val="24"/>
    </w:rPr>
  </w:style>
  <w:style w:type="character" w:customStyle="1" w:styleId="Instructionsberschrift4Char">
    <w:name w:val="Instructions Überschrift 4 Char"/>
    <w:basedOn w:val="Heading4Char"/>
    <w:link w:val="Instructionsberschrift4"/>
    <w:uiPriority w:val="99"/>
    <w:locked/>
    <w:rsid w:val="00F4754B"/>
    <w:rPr>
      <w:rFonts w:ascii="Verdana" w:hAnsi="Verdana"/>
      <w:b/>
      <w:bCs/>
      <w:color w:val="48748F" w:themeColor="accent1"/>
      <w:szCs w:val="24"/>
      <w:u w:val="single"/>
      <w:lang w:eastAsia="pl-PL"/>
    </w:rPr>
  </w:style>
  <w:style w:type="character" w:customStyle="1" w:styleId="InstructionsTabelleberschrift">
    <w:name w:val="Instructions Tabelle Überschrift"/>
    <w:basedOn w:val="DefaultParagraphFont"/>
    <w:qFormat/>
    <w:rsid w:val="00F4754B"/>
    <w:rPr>
      <w:rFonts w:ascii="Verdana" w:hAnsi="Verdana" w:cs="Times New Roman"/>
      <w:b/>
      <w:bCs/>
      <w:sz w:val="20"/>
      <w:u w:val="single"/>
    </w:rPr>
  </w:style>
  <w:style w:type="character" w:customStyle="1" w:styleId="InstructionsTabelleText">
    <w:name w:val="Instructions Tabelle Text"/>
    <w:basedOn w:val="DefaultParagraphFont"/>
    <w:uiPriority w:val="99"/>
    <w:rsid w:val="00F4754B"/>
    <w:rPr>
      <w:rFonts w:ascii="Verdana" w:hAnsi="Verdana" w:cs="Times New Roman"/>
      <w:sz w:val="20"/>
    </w:rPr>
  </w:style>
  <w:style w:type="character" w:customStyle="1" w:styleId="FormatvorlageInstructionsTabelleText">
    <w:name w:val="Formatvorlage Instructions Tabelle Text"/>
    <w:basedOn w:val="DefaultParagraphFont"/>
    <w:uiPriority w:val="99"/>
    <w:qFormat/>
    <w:rsid w:val="00F4754B"/>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F4754B"/>
    <w:pPr>
      <w:ind w:left="0" w:firstLine="0"/>
    </w:pPr>
    <w:rPr>
      <w:rFonts w:cs="Times New Roman"/>
      <w:szCs w:val="20"/>
    </w:rPr>
  </w:style>
  <w:style w:type="paragraph" w:customStyle="1" w:styleId="Texte2">
    <w:name w:val="Texte 2"/>
    <w:basedOn w:val="Normal"/>
    <w:uiPriority w:val="99"/>
    <w:rsid w:val="00F4754B"/>
    <w:pPr>
      <w:spacing w:before="120"/>
      <w:ind w:left="567"/>
      <w:jc w:val="both"/>
    </w:pPr>
    <w:rPr>
      <w:rFonts w:ascii="Verdana" w:hAnsi="Verdana"/>
      <w:color w:val="auto"/>
      <w:sz w:val="22"/>
    </w:rPr>
  </w:style>
  <w:style w:type="paragraph" w:customStyle="1" w:styleId="Prrafodelista1">
    <w:name w:val="Párrafo de lista1"/>
    <w:basedOn w:val="Normal"/>
    <w:uiPriority w:val="99"/>
    <w:rsid w:val="00F4754B"/>
    <w:pPr>
      <w:spacing w:before="120" w:after="120"/>
      <w:ind w:left="720"/>
      <w:jc w:val="both"/>
    </w:pPr>
    <w:rPr>
      <w:rFonts w:ascii="Verdana" w:hAnsi="Verdana"/>
      <w:color w:val="auto"/>
      <w:sz w:val="20"/>
      <w:szCs w:val="24"/>
    </w:rPr>
  </w:style>
  <w:style w:type="paragraph" w:customStyle="1" w:styleId="Prrafodelista2">
    <w:name w:val="Párrafo de lista2"/>
    <w:basedOn w:val="Normal"/>
    <w:uiPriority w:val="99"/>
    <w:rsid w:val="00F4754B"/>
    <w:pPr>
      <w:spacing w:before="120" w:after="120"/>
      <w:ind w:left="708"/>
      <w:jc w:val="both"/>
    </w:pPr>
    <w:rPr>
      <w:rFonts w:ascii="Verdana" w:hAnsi="Verdana"/>
      <w:color w:val="auto"/>
      <w:sz w:val="20"/>
      <w:szCs w:val="24"/>
    </w:rPr>
  </w:style>
  <w:style w:type="paragraph" w:styleId="PlainText">
    <w:name w:val="Plain Text"/>
    <w:basedOn w:val="Normal"/>
    <w:link w:val="PlainTextChar"/>
    <w:uiPriority w:val="99"/>
    <w:rsid w:val="00F4754B"/>
    <w:rPr>
      <w:rFonts w:ascii="Verdana" w:hAnsi="Verdana"/>
      <w:color w:val="auto"/>
      <w:sz w:val="20"/>
    </w:rPr>
  </w:style>
  <w:style w:type="character" w:customStyle="1" w:styleId="PlainTextChar">
    <w:name w:val="Plain Text Char"/>
    <w:basedOn w:val="DefaultParagraphFont"/>
    <w:link w:val="PlainText"/>
    <w:uiPriority w:val="99"/>
    <w:rsid w:val="00F4754B"/>
    <w:rPr>
      <w:rFonts w:ascii="Verdana" w:hAnsi="Verdana"/>
      <w:lang w:val="pl-PL" w:eastAsia="pl-PL"/>
    </w:rPr>
  </w:style>
  <w:style w:type="paragraph" w:customStyle="1" w:styleId="Listenabsatz1">
    <w:name w:val="Listenabsatz1"/>
    <w:basedOn w:val="Normal"/>
    <w:uiPriority w:val="99"/>
    <w:rsid w:val="00F4754B"/>
    <w:pPr>
      <w:spacing w:before="120" w:after="120"/>
      <w:ind w:left="708"/>
      <w:jc w:val="both"/>
    </w:pPr>
    <w:rPr>
      <w:rFonts w:ascii="Verdana" w:hAnsi="Verdana"/>
      <w:color w:val="auto"/>
      <w:sz w:val="20"/>
      <w:szCs w:val="24"/>
    </w:rPr>
  </w:style>
  <w:style w:type="character" w:customStyle="1" w:styleId="InstructionsTextChar">
    <w:name w:val="Instructions Text Char"/>
    <w:basedOn w:val="DefaultParagraphFont"/>
    <w:link w:val="InstructionsText"/>
    <w:locked/>
    <w:rsid w:val="00F4754B"/>
    <w:rPr>
      <w:rFonts w:eastAsiaTheme="minorHAnsi"/>
      <w:szCs w:val="24"/>
      <w:lang w:eastAsia="pl-PL"/>
    </w:rPr>
  </w:style>
  <w:style w:type="paragraph" w:customStyle="1" w:styleId="Revision1">
    <w:name w:val="Revision1"/>
    <w:hidden/>
    <w:uiPriority w:val="99"/>
    <w:semiHidden/>
    <w:rsid w:val="00F4754B"/>
    <w:rPr>
      <w:rFonts w:ascii="Verdana" w:hAnsi="Verdana"/>
      <w:szCs w:val="24"/>
    </w:rPr>
  </w:style>
  <w:style w:type="paragraph" w:customStyle="1" w:styleId="ListParagraph1">
    <w:name w:val="List Paragraph1"/>
    <w:basedOn w:val="Normal"/>
    <w:uiPriority w:val="34"/>
    <w:qFormat/>
    <w:rsid w:val="00F4754B"/>
    <w:pPr>
      <w:spacing w:before="120" w:after="120"/>
      <w:ind w:left="708"/>
      <w:jc w:val="both"/>
    </w:pPr>
    <w:rPr>
      <w:rFonts w:ascii="Verdana" w:hAnsi="Verdana"/>
      <w:color w:val="auto"/>
      <w:sz w:val="20"/>
      <w:szCs w:val="24"/>
    </w:rPr>
  </w:style>
  <w:style w:type="character" w:customStyle="1" w:styleId="PlaceholderText1">
    <w:name w:val="Placeholder Text1"/>
    <w:basedOn w:val="DefaultParagraphFont"/>
    <w:uiPriority w:val="99"/>
    <w:semiHidden/>
    <w:rsid w:val="00F4754B"/>
    <w:rPr>
      <w:color w:val="808080"/>
    </w:rPr>
  </w:style>
  <w:style w:type="paragraph" w:customStyle="1" w:styleId="InstructionsText2">
    <w:name w:val="Instructions Text 2"/>
    <w:basedOn w:val="InstructionsText"/>
    <w:qFormat/>
    <w:rsid w:val="00F4754B"/>
    <w:pPr>
      <w:numPr>
        <w:numId w:val="21"/>
      </w:numPr>
      <w:spacing w:after="240"/>
    </w:pPr>
  </w:style>
  <w:style w:type="character" w:customStyle="1" w:styleId="Instructionsberschrift3Char">
    <w:name w:val="Instructions Überschrift 3 Char"/>
    <w:basedOn w:val="Heading3Char1"/>
    <w:locked/>
    <w:rsid w:val="00F4754B"/>
    <w:rPr>
      <w:rFonts w:ascii="Verdana" w:eastAsia="Times New Roman" w:hAnsi="Verdana" w:cs="Arial"/>
      <w:b/>
      <w:bCs/>
      <w:sz w:val="20"/>
      <w:szCs w:val="26"/>
      <w:u w:val="single"/>
      <w:lang w:val="pl-PL" w:eastAsia="pl-PL" w:bidi="pl-PL"/>
    </w:rPr>
  </w:style>
  <w:style w:type="paragraph" w:customStyle="1" w:styleId="CM4">
    <w:name w:val="CM4"/>
    <w:basedOn w:val="Normal"/>
    <w:next w:val="Normal"/>
    <w:uiPriority w:val="99"/>
    <w:rsid w:val="00F4754B"/>
    <w:pPr>
      <w:autoSpaceDE w:val="0"/>
      <w:autoSpaceDN w:val="0"/>
      <w:adjustRightInd w:val="0"/>
    </w:pPr>
    <w:rPr>
      <w:rFonts w:ascii="Times New Roman" w:eastAsia="Arial" w:hAnsi="Times New Roman"/>
      <w:color w:val="auto"/>
      <w:sz w:val="24"/>
      <w:szCs w:val="24"/>
    </w:rPr>
  </w:style>
  <w:style w:type="numbering" w:customStyle="1" w:styleId="Formatvorlage3">
    <w:name w:val="Formatvorlage3"/>
    <w:uiPriority w:val="99"/>
    <w:rsid w:val="00F4754B"/>
    <w:pPr>
      <w:numPr>
        <w:numId w:val="22"/>
      </w:numPr>
    </w:pPr>
  </w:style>
  <w:style w:type="numbering" w:customStyle="1" w:styleId="Formatvorlage4">
    <w:name w:val="Formatvorlage4"/>
    <w:uiPriority w:val="99"/>
    <w:rsid w:val="00F4754B"/>
    <w:pPr>
      <w:numPr>
        <w:numId w:val="23"/>
      </w:numPr>
    </w:pPr>
  </w:style>
  <w:style w:type="paragraph" w:customStyle="1" w:styleId="Titrearticle">
    <w:name w:val="Titre article"/>
    <w:basedOn w:val="Normal"/>
    <w:next w:val="Normal"/>
    <w:link w:val="TitrearticleChar"/>
    <w:rsid w:val="00F4754B"/>
    <w:pPr>
      <w:keepNext/>
      <w:spacing w:before="360" w:after="120"/>
      <w:jc w:val="center"/>
    </w:pPr>
    <w:rPr>
      <w:rFonts w:ascii="Times New Roman" w:hAnsi="Times New Roman"/>
      <w:i/>
      <w:color w:val="auto"/>
      <w:sz w:val="24"/>
      <w:szCs w:val="24"/>
    </w:rPr>
  </w:style>
  <w:style w:type="paragraph" w:customStyle="1" w:styleId="Baseparagraphnumbered">
    <w:name w:val="Base paragraph numbered"/>
    <w:basedOn w:val="Normal"/>
    <w:link w:val="BaseparagraphnumberedChar"/>
    <w:qFormat/>
    <w:rsid w:val="00F4754B"/>
    <w:pPr>
      <w:numPr>
        <w:numId w:val="24"/>
      </w:numPr>
      <w:spacing w:after="240"/>
      <w:jc w:val="both"/>
    </w:pPr>
    <w:rPr>
      <w:rFonts w:ascii="Times New Roman" w:hAnsi="Times New Roman"/>
      <w:color w:val="auto"/>
      <w:sz w:val="24"/>
      <w:szCs w:val="24"/>
    </w:rPr>
  </w:style>
  <w:style w:type="character" w:customStyle="1" w:styleId="BaseparagraphnumberedChar">
    <w:name w:val="Base paragraph numbered Char"/>
    <w:link w:val="Baseparagraphnumbered"/>
    <w:rsid w:val="00F4754B"/>
    <w:rPr>
      <w:sz w:val="24"/>
      <w:szCs w:val="24"/>
      <w:lang w:eastAsia="pl-PL"/>
    </w:rPr>
  </w:style>
  <w:style w:type="character" w:customStyle="1" w:styleId="style461">
    <w:name w:val="style461"/>
    <w:basedOn w:val="DefaultParagraphFont"/>
    <w:rsid w:val="00F4754B"/>
    <w:rPr>
      <w:color w:val="FF5A00"/>
    </w:rPr>
  </w:style>
  <w:style w:type="paragraph" w:customStyle="1" w:styleId="Default">
    <w:name w:val="Default"/>
    <w:rsid w:val="00F4754B"/>
    <w:pPr>
      <w:autoSpaceDE w:val="0"/>
      <w:autoSpaceDN w:val="0"/>
      <w:adjustRightInd w:val="0"/>
    </w:pPr>
    <w:rPr>
      <w:rFonts w:ascii="Verdana" w:eastAsia="Calibri" w:hAnsi="Verdana" w:cs="Verdana"/>
      <w:color w:val="000000"/>
      <w:sz w:val="24"/>
      <w:szCs w:val="24"/>
    </w:rPr>
  </w:style>
  <w:style w:type="character" w:customStyle="1" w:styleId="TitrearticleChar">
    <w:name w:val="Titre article Char"/>
    <w:basedOn w:val="DefaultParagraphFont"/>
    <w:link w:val="Titrearticle"/>
    <w:rsid w:val="00F4754B"/>
    <w:rPr>
      <w:i/>
      <w:sz w:val="24"/>
      <w:szCs w:val="24"/>
      <w:lang w:eastAsia="pl-PL"/>
    </w:rPr>
  </w:style>
  <w:style w:type="paragraph" w:customStyle="1" w:styleId="Point0number">
    <w:name w:val="Point 0 (number)"/>
    <w:basedOn w:val="Normal"/>
    <w:rsid w:val="00F4754B"/>
    <w:pPr>
      <w:tabs>
        <w:tab w:val="num" w:pos="360"/>
      </w:tabs>
      <w:spacing w:before="120" w:after="120"/>
      <w:ind w:left="850" w:hanging="850"/>
      <w:jc w:val="both"/>
    </w:pPr>
    <w:rPr>
      <w:rFonts w:ascii="Times New Roman" w:hAnsi="Times New Roman"/>
      <w:color w:val="auto"/>
      <w:sz w:val="24"/>
      <w:szCs w:val="24"/>
    </w:rPr>
  </w:style>
  <w:style w:type="paragraph" w:customStyle="1" w:styleId="Style1">
    <w:name w:val="Style1"/>
    <w:basedOn w:val="Instructionsberschrift2"/>
    <w:link w:val="Style1Char"/>
    <w:qFormat/>
    <w:rsid w:val="00F4754B"/>
    <w:pPr>
      <w:numPr>
        <w:numId w:val="0"/>
      </w:numPr>
      <w:pBdr>
        <w:top w:val="single" w:sz="4" w:space="1" w:color="auto"/>
        <w:left w:val="single" w:sz="4" w:space="4" w:color="auto"/>
        <w:bottom w:val="single" w:sz="4" w:space="0" w:color="auto"/>
        <w:right w:val="single" w:sz="4" w:space="4" w:color="auto"/>
      </w:pBdr>
      <w:ind w:left="717"/>
      <w:jc w:val="left"/>
    </w:pPr>
    <w:rPr>
      <w:b/>
      <w:szCs w:val="17"/>
      <w:u w:val="none"/>
    </w:rPr>
  </w:style>
  <w:style w:type="character" w:customStyle="1" w:styleId="Instructionsberschrift2Char">
    <w:name w:val="Instructions Überschrift 2 Char"/>
    <w:basedOn w:val="Heading2Char"/>
    <w:link w:val="Instructionsberschrift2"/>
    <w:rsid w:val="00F4754B"/>
    <w:rPr>
      <w:rFonts w:ascii="Arial" w:hAnsi="Arial" w:cs="Arial"/>
      <w:color w:val="48748F" w:themeColor="accent1"/>
      <w:sz w:val="24"/>
      <w:szCs w:val="24"/>
      <w:u w:val="single"/>
      <w:lang w:eastAsia="pl-PL"/>
    </w:rPr>
  </w:style>
  <w:style w:type="character" w:customStyle="1" w:styleId="Style1Char">
    <w:name w:val="Style1 Char"/>
    <w:basedOn w:val="Instructionsberschrift2Char"/>
    <w:link w:val="Style1"/>
    <w:rsid w:val="00F4754B"/>
    <w:rPr>
      <w:rFonts w:ascii="Arial" w:hAnsi="Arial" w:cs="Arial"/>
      <w:b/>
      <w:color w:val="48748F" w:themeColor="accent1"/>
      <w:sz w:val="24"/>
      <w:szCs w:val="17"/>
      <w:u w:val="single"/>
      <w:lang w:eastAsia="pl-PL"/>
    </w:rPr>
  </w:style>
  <w:style w:type="paragraph" w:customStyle="1" w:styleId="PointTriple1">
    <w:name w:val="PointTriple 1"/>
    <w:basedOn w:val="Normal"/>
    <w:rsid w:val="00F4754B"/>
    <w:pPr>
      <w:tabs>
        <w:tab w:val="left" w:pos="1417"/>
        <w:tab w:val="left" w:pos="1984"/>
      </w:tabs>
      <w:spacing w:before="120" w:after="120"/>
      <w:ind w:left="2551" w:hanging="1701"/>
      <w:jc w:val="both"/>
    </w:pPr>
    <w:rPr>
      <w:rFonts w:ascii="Times New Roman" w:hAnsi="Times New Roman"/>
      <w:color w:val="auto"/>
      <w:sz w:val="24"/>
      <w:szCs w:val="24"/>
    </w:rPr>
  </w:style>
  <w:style w:type="paragraph" w:styleId="ListParagraph">
    <w:name w:val="List Paragraph"/>
    <w:basedOn w:val="Normal"/>
    <w:uiPriority w:val="34"/>
    <w:qFormat/>
    <w:rsid w:val="00F4754B"/>
    <w:pPr>
      <w:spacing w:before="120" w:after="120"/>
      <w:ind w:left="720"/>
      <w:contextualSpacing/>
      <w:jc w:val="both"/>
    </w:pPr>
    <w:rPr>
      <w:rFonts w:ascii="Verdana" w:hAnsi="Verdana"/>
      <w:color w:val="auto"/>
      <w:sz w:val="20"/>
      <w:szCs w:val="24"/>
    </w:rPr>
  </w:style>
  <w:style w:type="paragraph" w:styleId="NormalWeb">
    <w:name w:val="Normal (Web)"/>
    <w:basedOn w:val="Normal"/>
    <w:uiPriority w:val="99"/>
    <w:semiHidden/>
    <w:unhideWhenUsed/>
    <w:rsid w:val="00F4754B"/>
    <w:pPr>
      <w:spacing w:before="100" w:beforeAutospacing="1" w:after="100" w:afterAutospacing="1"/>
    </w:pPr>
    <w:rPr>
      <w:rFonts w:ascii="Times New Roman" w:hAnsi="Times New Roman"/>
      <w:color w:val="auto"/>
      <w:sz w:val="24"/>
      <w:szCs w:val="24"/>
    </w:rPr>
  </w:style>
  <w:style w:type="character" w:styleId="Strong">
    <w:name w:val="Strong"/>
    <w:basedOn w:val="DefaultParagraphFont"/>
    <w:uiPriority w:val="22"/>
    <w:qFormat/>
    <w:rsid w:val="00F4754B"/>
    <w:rPr>
      <w:b/>
      <w:bCs/>
    </w:rPr>
  </w:style>
  <w:style w:type="paragraph" w:customStyle="1" w:styleId="CM1">
    <w:name w:val="CM1"/>
    <w:basedOn w:val="Default"/>
    <w:next w:val="Default"/>
    <w:uiPriority w:val="99"/>
    <w:rsid w:val="00F4754B"/>
    <w:rPr>
      <w:rFonts w:ascii="EUAlbertina" w:eastAsiaTheme="minorHAnsi" w:hAnsi="EUAlbertina" w:cstheme="minorBidi"/>
      <w:color w:val="auto"/>
    </w:rPr>
  </w:style>
  <w:style w:type="paragraph" w:customStyle="1" w:styleId="CM3">
    <w:name w:val="CM3"/>
    <w:basedOn w:val="Default"/>
    <w:next w:val="Default"/>
    <w:uiPriority w:val="99"/>
    <w:rsid w:val="00F4754B"/>
    <w:rPr>
      <w:rFonts w:ascii="EUAlbertina" w:eastAsiaTheme="minorHAnsi" w:hAnsi="EUAlbertina" w:cstheme="minorBidi"/>
      <w:color w:val="auto"/>
    </w:rPr>
  </w:style>
  <w:style w:type="paragraph" w:customStyle="1" w:styleId="Paragraph">
    <w:name w:val="Paragraph"/>
    <w:basedOn w:val="Normal"/>
    <w:link w:val="ParagraphChar"/>
    <w:qFormat/>
    <w:rsid w:val="00FA2520"/>
    <w:pPr>
      <w:tabs>
        <w:tab w:val="left" w:pos="794"/>
      </w:tabs>
      <w:spacing w:after="120"/>
      <w:ind w:firstLine="794"/>
      <w:jc w:val="both"/>
    </w:pPr>
    <w:rPr>
      <w:rFonts w:ascii="Segoe UI" w:hAnsi="Segoe UI"/>
      <w:color w:val="auto"/>
      <w:sz w:val="20"/>
    </w:rPr>
  </w:style>
  <w:style w:type="character" w:customStyle="1" w:styleId="ParagraphChar">
    <w:name w:val="Paragraph Char"/>
    <w:link w:val="Paragraph"/>
    <w:locked/>
    <w:rsid w:val="00FA2520"/>
    <w:rPr>
      <w:rFonts w:ascii="Segoe UI" w:hAnsi="Segoe UI"/>
      <w:lang w:eastAsia="pl-PL"/>
    </w:rPr>
  </w:style>
  <w:style w:type="paragraph" w:customStyle="1" w:styleId="FirstParagraph">
    <w:name w:val="FirstParagraph"/>
    <w:basedOn w:val="Paragraph"/>
    <w:next w:val="Paragraph"/>
    <w:qFormat/>
    <w:rsid w:val="00FD5C02"/>
    <w:pPr>
      <w:spacing w:before="120"/>
      <w:ind w:firstLine="0"/>
    </w:pPr>
  </w:style>
  <w:style w:type="paragraph" w:customStyle="1" w:styleId="TableText0">
    <w:name w:val="TableText"/>
    <w:basedOn w:val="Normal"/>
    <w:rsid w:val="00FD5C02"/>
    <w:pPr>
      <w:spacing w:before="40" w:after="40"/>
    </w:pPr>
    <w:rPr>
      <w:rFonts w:ascii="Segoe UI" w:hAnsi="Segoe UI"/>
      <w:color w:val="auto"/>
      <w:sz w:val="17"/>
    </w:rPr>
  </w:style>
  <w:style w:type="character" w:customStyle="1" w:styleId="DeltaViewInsertion">
    <w:name w:val="DeltaView Insertion"/>
    <w:rsid w:val="00772B95"/>
    <w:rPr>
      <w:color w:val="0000FF"/>
      <w:spacing w:val="0"/>
      <w:u w:val="double"/>
    </w:rPr>
  </w:style>
  <w:style w:type="character" w:styleId="PlaceholderText">
    <w:name w:val="Placeholder Text"/>
    <w:basedOn w:val="DefaultParagraphFont"/>
    <w:uiPriority w:val="99"/>
    <w:semiHidden/>
    <w:rsid w:val="00B64C27"/>
    <w:rPr>
      <w:color w:val="808080"/>
    </w:rPr>
  </w:style>
  <w:style w:type="paragraph" w:styleId="Revision">
    <w:name w:val="Revision"/>
    <w:hidden/>
    <w:uiPriority w:val="99"/>
    <w:semiHidden/>
    <w:rsid w:val="005C5A30"/>
    <w:rPr>
      <w:rFonts w:ascii="Arial" w:hAnsi="Arial"/>
      <w:color w:val="000000"/>
      <w:sz w:val="18"/>
    </w:rPr>
  </w:style>
  <w:style w:type="paragraph" w:customStyle="1" w:styleId="Car2">
    <w:name w:val="Car2"/>
    <w:basedOn w:val="Normal"/>
    <w:rsid w:val="0090360B"/>
    <w:pPr>
      <w:spacing w:after="160" w:line="240" w:lineRule="exact"/>
    </w:pPr>
    <w:rPr>
      <w:rFonts w:ascii="Tahoma" w:hAnsi="Tahoma"/>
      <w:color w:val="auto"/>
      <w:sz w:val="20"/>
    </w:rPr>
  </w:style>
  <w:style w:type="paragraph" w:styleId="NoSpacing">
    <w:name w:val="No Spacing"/>
    <w:link w:val="NoSpacingChar"/>
    <w:uiPriority w:val="1"/>
    <w:qFormat/>
    <w:rsid w:val="003C4CC8"/>
    <w:rPr>
      <w:rFonts w:asciiTheme="minorHAnsi" w:eastAsiaTheme="minorEastAsia" w:hAnsiTheme="minorHAnsi" w:cstheme="minorBidi"/>
      <w:sz w:val="22"/>
      <w:szCs w:val="22"/>
    </w:rPr>
  </w:style>
  <w:style w:type="character" w:customStyle="1" w:styleId="NoSpacingChar">
    <w:name w:val="No Spacing Char"/>
    <w:basedOn w:val="DefaultParagraphFont"/>
    <w:link w:val="NoSpacing"/>
    <w:uiPriority w:val="1"/>
    <w:rsid w:val="003C4CC8"/>
    <w:rPr>
      <w:rFonts w:asciiTheme="minorHAnsi" w:eastAsiaTheme="minorEastAsia" w:hAnsiTheme="minorHAnsi" w:cstheme="minorBidi"/>
      <w:sz w:val="22"/>
      <w:szCs w:val="22"/>
      <w:lang w:val="pl-PL"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pl-PL"/>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uiPriority="0" w:qFormat="1"/>
    <w:lsdException w:name="heading 5" w:uiPriority="0" w:unhideWhenUsed="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able of figures" w:uiPriority="0"/>
    <w:lsdException w:name="footnote reference" w:uiPriority="0" w:qFormat="1"/>
    <w:lsdException w:name="endnote reference" w:uiPriority="1"/>
    <w:lsdException w:name="endnote text" w:uiPriority="1"/>
    <w:lsdException w:name="List Bullet" w:semiHidden="0" w:uiPriority="0" w:unhideWhenUsed="0" w:qFormat="1"/>
    <w:lsdException w:name="Title" w:semiHidden="0" w:uiPriority="10" w:unhideWhenUsed="0" w:qFormat="1"/>
    <w:lsdException w:name="Default Paragraph Font" w:uiPriority="1"/>
    <w:lsdException w:name="Body Text" w:uiPriority="0"/>
    <w:lsdException w:name="Subtitle" w:uiPriority="11"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semiHidden/>
    <w:qFormat/>
    <w:rsid w:val="00825376"/>
    <w:rPr>
      <w:rFonts w:ascii="Arial" w:hAnsi="Arial"/>
      <w:color w:val="000000"/>
      <w:sz w:val="18"/>
    </w:rPr>
  </w:style>
  <w:style w:type="paragraph" w:styleId="Heading1">
    <w:name w:val="heading 1"/>
    <w:basedOn w:val="Normal"/>
    <w:next w:val="BodyText1"/>
    <w:link w:val="Heading1Char"/>
    <w:qFormat/>
    <w:rsid w:val="009310D6"/>
    <w:pPr>
      <w:spacing w:before="960" w:after="360"/>
      <w:outlineLvl w:val="0"/>
    </w:pPr>
    <w:rPr>
      <w:color w:val="48748F" w:themeColor="accent1"/>
      <w:sz w:val="36"/>
    </w:rPr>
  </w:style>
  <w:style w:type="paragraph" w:styleId="Heading2">
    <w:name w:val="heading 2"/>
    <w:basedOn w:val="Normal"/>
    <w:next w:val="BodyText1"/>
    <w:link w:val="Heading2Char"/>
    <w:qFormat/>
    <w:rsid w:val="009310D6"/>
    <w:pPr>
      <w:spacing w:before="360" w:after="240"/>
      <w:contextualSpacing/>
      <w:outlineLvl w:val="1"/>
    </w:pPr>
    <w:rPr>
      <w:color w:val="48748F" w:themeColor="accent1"/>
      <w:sz w:val="24"/>
    </w:rPr>
  </w:style>
  <w:style w:type="paragraph" w:styleId="Heading3">
    <w:name w:val="heading 3"/>
    <w:basedOn w:val="Normal"/>
    <w:next w:val="BodyText1"/>
    <w:link w:val="Heading3Char"/>
    <w:qFormat/>
    <w:rsid w:val="009310D6"/>
    <w:pPr>
      <w:spacing w:before="240" w:after="240"/>
      <w:outlineLvl w:val="2"/>
    </w:pPr>
    <w:rPr>
      <w:b/>
      <w:color w:val="48748F" w:themeColor="accent1"/>
      <w:sz w:val="20"/>
      <w:szCs w:val="22"/>
    </w:rPr>
  </w:style>
  <w:style w:type="paragraph" w:styleId="Heading4">
    <w:name w:val="heading 4"/>
    <w:basedOn w:val="Normal"/>
    <w:next w:val="BodyText1"/>
    <w:link w:val="Heading4Char"/>
    <w:qFormat/>
    <w:rsid w:val="009310D6"/>
    <w:pPr>
      <w:spacing w:before="240"/>
      <w:contextualSpacing/>
      <w:outlineLvl w:val="3"/>
    </w:pPr>
    <w:rPr>
      <w:color w:val="48748F" w:themeColor="accent1"/>
      <w:sz w:val="20"/>
    </w:rPr>
  </w:style>
  <w:style w:type="paragraph" w:styleId="Heading5">
    <w:name w:val="heading 5"/>
    <w:basedOn w:val="Normal"/>
    <w:next w:val="Normal"/>
    <w:link w:val="Heading5Char"/>
    <w:autoRedefine/>
    <w:qFormat/>
    <w:rsid w:val="00F4754B"/>
    <w:pPr>
      <w:keepNext/>
      <w:spacing w:before="140" w:after="120"/>
      <w:jc w:val="both"/>
      <w:outlineLvl w:val="4"/>
    </w:pPr>
    <w:rPr>
      <w:rFonts w:ascii="Verdana" w:hAnsi="Verdana"/>
      <w:b/>
      <w:i/>
      <w:color w:val="auto"/>
      <w:sz w:val="20"/>
      <w:szCs w:val="24"/>
    </w:rPr>
  </w:style>
  <w:style w:type="paragraph" w:styleId="Heading6">
    <w:name w:val="heading 6"/>
    <w:basedOn w:val="Normal"/>
    <w:next w:val="Normal"/>
    <w:link w:val="Heading6Char"/>
    <w:qFormat/>
    <w:rsid w:val="00F4754B"/>
    <w:pPr>
      <w:spacing w:before="240" w:after="60"/>
      <w:jc w:val="both"/>
      <w:outlineLvl w:val="5"/>
    </w:pPr>
    <w:rPr>
      <w:rFonts w:ascii="Times New Roman" w:hAnsi="Times New Roman"/>
      <w:b/>
      <w:bCs/>
      <w:color w:val="auto"/>
      <w:sz w:val="20"/>
      <w:szCs w:val="22"/>
    </w:rPr>
  </w:style>
  <w:style w:type="paragraph" w:styleId="Heading7">
    <w:name w:val="heading 7"/>
    <w:basedOn w:val="Normal"/>
    <w:next w:val="Normal"/>
    <w:link w:val="Heading7Char"/>
    <w:qFormat/>
    <w:rsid w:val="00F4754B"/>
    <w:pPr>
      <w:spacing w:before="240" w:after="60"/>
      <w:jc w:val="both"/>
      <w:outlineLvl w:val="6"/>
    </w:pPr>
    <w:rPr>
      <w:rFonts w:ascii="Times New Roman" w:hAnsi="Times New Roman"/>
      <w:color w:val="auto"/>
      <w:sz w:val="24"/>
      <w:szCs w:val="24"/>
    </w:rPr>
  </w:style>
  <w:style w:type="paragraph" w:styleId="Heading8">
    <w:name w:val="heading 8"/>
    <w:basedOn w:val="Normal"/>
    <w:next w:val="Normal"/>
    <w:link w:val="Heading8Char"/>
    <w:qFormat/>
    <w:rsid w:val="00F4754B"/>
    <w:pPr>
      <w:spacing w:before="240" w:after="60"/>
      <w:jc w:val="both"/>
      <w:outlineLvl w:val="7"/>
    </w:pPr>
    <w:rPr>
      <w:rFonts w:ascii="Times New Roman" w:hAnsi="Times New Roman"/>
      <w:i/>
      <w:iCs/>
      <w:color w:val="auto"/>
      <w:sz w:val="24"/>
      <w:szCs w:val="24"/>
    </w:rPr>
  </w:style>
  <w:style w:type="paragraph" w:styleId="Heading9">
    <w:name w:val="heading 9"/>
    <w:basedOn w:val="Normal"/>
    <w:next w:val="Normal"/>
    <w:link w:val="Heading9Char"/>
    <w:qFormat/>
    <w:rsid w:val="00F4754B"/>
    <w:pPr>
      <w:spacing w:before="240" w:after="60"/>
      <w:jc w:val="both"/>
      <w:outlineLvl w:val="8"/>
    </w:pPr>
    <w:rPr>
      <w:rFonts w:ascii="Verdana" w:hAnsi="Verdana" w:cs="Arial"/>
      <w:color w:val="auto"/>
      <w:sz w:val="2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basedOn w:val="Normal"/>
    <w:qFormat/>
    <w:rsid w:val="009310D6"/>
    <w:pPr>
      <w:tabs>
        <w:tab w:val="left" w:pos="0"/>
      </w:tabs>
      <w:spacing w:line="300" w:lineRule="exact"/>
      <w:jc w:val="both"/>
    </w:pPr>
    <w:rPr>
      <w:sz w:val="20"/>
    </w:rPr>
  </w:style>
  <w:style w:type="paragraph" w:styleId="BalloonText">
    <w:name w:val="Balloon Text"/>
    <w:basedOn w:val="Normal"/>
    <w:link w:val="BalloonTextChar"/>
    <w:uiPriority w:val="99"/>
    <w:unhideWhenUsed/>
    <w:rsid w:val="009310D6"/>
    <w:rPr>
      <w:rFonts w:ascii="Tahoma" w:hAnsi="Tahoma" w:cs="Tahoma"/>
      <w:sz w:val="16"/>
      <w:szCs w:val="16"/>
    </w:rPr>
  </w:style>
  <w:style w:type="character" w:customStyle="1" w:styleId="BalloonTextChar">
    <w:name w:val="Balloon Text Char"/>
    <w:basedOn w:val="DefaultParagraphFont"/>
    <w:link w:val="BalloonText"/>
    <w:uiPriority w:val="99"/>
    <w:rsid w:val="009310D6"/>
    <w:rPr>
      <w:rFonts w:ascii="Tahoma" w:hAnsi="Tahoma" w:cs="Tahoma"/>
      <w:color w:val="000000"/>
      <w:sz w:val="16"/>
      <w:szCs w:val="16"/>
      <w:lang w:eastAsia="pl-PL"/>
    </w:rPr>
  </w:style>
  <w:style w:type="paragraph" w:styleId="Header">
    <w:name w:val="header"/>
    <w:basedOn w:val="Normal"/>
    <w:link w:val="HeaderChar"/>
    <w:uiPriority w:val="99"/>
    <w:rsid w:val="009310D6"/>
    <w:pPr>
      <w:tabs>
        <w:tab w:val="center" w:pos="4153"/>
        <w:tab w:val="right" w:pos="8306"/>
      </w:tabs>
      <w:spacing w:line="300" w:lineRule="exact"/>
      <w:jc w:val="both"/>
    </w:pPr>
  </w:style>
  <w:style w:type="paragraph" w:customStyle="1" w:styleId="Page00of00">
    <w:name w:val="Page 00 of 00"/>
    <w:basedOn w:val="Normal"/>
    <w:semiHidden/>
    <w:rsid w:val="009310D6"/>
    <w:pPr>
      <w:spacing w:line="300" w:lineRule="exact"/>
      <w:jc w:val="both"/>
    </w:pPr>
    <w:rPr>
      <w:sz w:val="14"/>
    </w:rPr>
  </w:style>
  <w:style w:type="paragraph" w:customStyle="1" w:styleId="ReferenceText">
    <w:name w:val="Reference Text"/>
    <w:basedOn w:val="Header"/>
    <w:qFormat/>
    <w:rsid w:val="009310D6"/>
    <w:pPr>
      <w:framePr w:w="3976" w:h="1381" w:wrap="notBeside" w:vAnchor="page" w:hAnchor="page" w:x="6526" w:y="946" w:anchorLock="1"/>
      <w:tabs>
        <w:tab w:val="clear" w:pos="8306"/>
        <w:tab w:val="right" w:pos="9072"/>
      </w:tabs>
      <w:jc w:val="right"/>
    </w:pPr>
    <w:rPr>
      <w:rFonts w:asciiTheme="minorHAnsi" w:hAnsiTheme="minorHAnsi"/>
      <w:color w:val="807F83" w:themeColor="accent2"/>
      <w:sz w:val="20"/>
    </w:rPr>
  </w:style>
  <w:style w:type="paragraph" w:styleId="Footer">
    <w:name w:val="footer"/>
    <w:basedOn w:val="Normal"/>
    <w:link w:val="FooterChar"/>
    <w:uiPriority w:val="99"/>
    <w:rsid w:val="009310D6"/>
    <w:pPr>
      <w:tabs>
        <w:tab w:val="center" w:pos="4153"/>
        <w:tab w:val="right" w:pos="8306"/>
      </w:tabs>
      <w:spacing w:line="300" w:lineRule="exact"/>
      <w:jc w:val="both"/>
    </w:pPr>
  </w:style>
  <w:style w:type="character" w:styleId="PageNumber">
    <w:name w:val="page number"/>
    <w:basedOn w:val="DefaultParagraphFont"/>
    <w:uiPriority w:val="99"/>
    <w:rsid w:val="009310D6"/>
  </w:style>
  <w:style w:type="character" w:styleId="Hyperlink">
    <w:name w:val="Hyperlink"/>
    <w:basedOn w:val="DefaultParagraphFont"/>
    <w:uiPriority w:val="99"/>
    <w:rsid w:val="009310D6"/>
    <w:rPr>
      <w:color w:val="48748F" w:themeColor="accent1"/>
    </w:rPr>
  </w:style>
  <w:style w:type="paragraph" w:customStyle="1" w:styleId="Numberedparagraphs">
    <w:name w:val="Numbered paragraphs"/>
    <w:basedOn w:val="BodyText1"/>
    <w:qFormat/>
    <w:rsid w:val="005C1136"/>
    <w:pPr>
      <w:numPr>
        <w:numId w:val="1"/>
      </w:numPr>
      <w:tabs>
        <w:tab w:val="clear" w:pos="0"/>
        <w:tab w:val="left" w:pos="284"/>
      </w:tabs>
      <w:spacing w:after="300"/>
      <w:ind w:left="284" w:hanging="284"/>
    </w:pPr>
  </w:style>
  <w:style w:type="paragraph" w:customStyle="1" w:styleId="Bullet1">
    <w:name w:val="Bullet 1"/>
    <w:basedOn w:val="Normal"/>
    <w:qFormat/>
    <w:rsid w:val="00D1314A"/>
    <w:pPr>
      <w:numPr>
        <w:numId w:val="6"/>
      </w:numPr>
      <w:tabs>
        <w:tab w:val="left" w:pos="284"/>
      </w:tabs>
      <w:spacing w:after="260" w:line="260" w:lineRule="exact"/>
      <w:ind w:left="284" w:hanging="284"/>
      <w:jc w:val="both"/>
    </w:pPr>
    <w:rPr>
      <w:sz w:val="20"/>
    </w:rPr>
  </w:style>
  <w:style w:type="paragraph" w:customStyle="1" w:styleId="Bullet2">
    <w:name w:val="Bullet 2"/>
    <w:basedOn w:val="Normal"/>
    <w:qFormat/>
    <w:rsid w:val="0027308B"/>
    <w:pPr>
      <w:numPr>
        <w:numId w:val="2"/>
      </w:numPr>
      <w:tabs>
        <w:tab w:val="left" w:pos="567"/>
      </w:tabs>
      <w:spacing w:after="260" w:line="260" w:lineRule="exact"/>
      <w:ind w:left="567" w:hanging="283"/>
      <w:jc w:val="both"/>
    </w:pPr>
    <w:rPr>
      <w:sz w:val="20"/>
    </w:rPr>
  </w:style>
  <w:style w:type="paragraph" w:customStyle="1" w:styleId="Bullet3">
    <w:name w:val="Bullet 3"/>
    <w:basedOn w:val="Normal"/>
    <w:qFormat/>
    <w:rsid w:val="0027308B"/>
    <w:pPr>
      <w:numPr>
        <w:numId w:val="3"/>
      </w:numPr>
      <w:tabs>
        <w:tab w:val="left" w:pos="851"/>
      </w:tabs>
      <w:spacing w:after="260" w:line="260" w:lineRule="exact"/>
      <w:ind w:left="851" w:hanging="284"/>
      <w:jc w:val="both"/>
    </w:pPr>
    <w:rPr>
      <w:sz w:val="20"/>
    </w:rPr>
  </w:style>
  <w:style w:type="character" w:styleId="FootnoteReference">
    <w:name w:val="footnote reference"/>
    <w:basedOn w:val="DefaultParagraphFont"/>
    <w:qFormat/>
    <w:rsid w:val="009310D6"/>
    <w:rPr>
      <w:rFonts w:ascii="Arial" w:hAnsi="Arial"/>
      <w:color w:val="auto"/>
      <w:sz w:val="16"/>
      <w:vertAlign w:val="superscript"/>
    </w:rPr>
  </w:style>
  <w:style w:type="paragraph" w:styleId="FootnoteText">
    <w:name w:val="footnote text"/>
    <w:aliases w:val="Fußnote, Char"/>
    <w:basedOn w:val="Normal"/>
    <w:link w:val="FootnoteTextChar"/>
    <w:rsid w:val="0095041F"/>
    <w:pPr>
      <w:tabs>
        <w:tab w:val="left" w:pos="284"/>
      </w:tabs>
      <w:ind w:left="284" w:hanging="284"/>
    </w:pPr>
  </w:style>
  <w:style w:type="character" w:customStyle="1" w:styleId="FootnoteTextChar">
    <w:name w:val="Footnote Text Char"/>
    <w:aliases w:val="Fußnote Char, Char Char"/>
    <w:basedOn w:val="DefaultParagraphFont"/>
    <w:link w:val="FootnoteText"/>
    <w:rsid w:val="0095041F"/>
    <w:rPr>
      <w:rFonts w:ascii="Arial" w:hAnsi="Arial"/>
      <w:color w:val="000000"/>
      <w:sz w:val="18"/>
      <w:lang w:eastAsia="pl-PL"/>
    </w:rPr>
  </w:style>
  <w:style w:type="paragraph" w:customStyle="1" w:styleId="Numberedheadinglevel1">
    <w:name w:val="Numbered heading level 1"/>
    <w:basedOn w:val="BodyText1"/>
    <w:next w:val="BodyText1"/>
    <w:qFormat/>
    <w:rsid w:val="009310D6"/>
    <w:pPr>
      <w:numPr>
        <w:numId w:val="4"/>
      </w:numPr>
      <w:spacing w:before="360" w:after="360" w:line="240" w:lineRule="auto"/>
    </w:pPr>
    <w:rPr>
      <w:color w:val="48748F" w:themeColor="accent1"/>
      <w:sz w:val="28"/>
      <w:szCs w:val="28"/>
    </w:rPr>
  </w:style>
  <w:style w:type="paragraph" w:customStyle="1" w:styleId="Numberedheadinglevel2">
    <w:name w:val="Numbered heading level 2"/>
    <w:basedOn w:val="BodyText1"/>
    <w:next w:val="BodyText1"/>
    <w:qFormat/>
    <w:rsid w:val="009310D6"/>
    <w:pPr>
      <w:numPr>
        <w:ilvl w:val="1"/>
        <w:numId w:val="4"/>
      </w:numPr>
      <w:tabs>
        <w:tab w:val="clear" w:pos="0"/>
        <w:tab w:val="left" w:pos="567"/>
      </w:tabs>
      <w:spacing w:before="360" w:after="240" w:line="240" w:lineRule="auto"/>
    </w:pPr>
    <w:rPr>
      <w:color w:val="48748F" w:themeColor="accent1"/>
      <w:sz w:val="24"/>
      <w:szCs w:val="24"/>
    </w:rPr>
  </w:style>
  <w:style w:type="paragraph" w:customStyle="1" w:styleId="Numberedheadinglevel3">
    <w:name w:val="Numbered heading level 3"/>
    <w:basedOn w:val="BodyText1"/>
    <w:next w:val="BodyText1"/>
    <w:qFormat/>
    <w:rsid w:val="009310D6"/>
    <w:pPr>
      <w:numPr>
        <w:ilvl w:val="2"/>
        <w:numId w:val="4"/>
      </w:numPr>
      <w:tabs>
        <w:tab w:val="clear" w:pos="0"/>
        <w:tab w:val="left" w:pos="567"/>
      </w:tabs>
      <w:spacing w:before="240" w:after="120" w:line="240" w:lineRule="auto"/>
    </w:pPr>
    <w:rPr>
      <w:color w:val="48748F" w:themeColor="accent1"/>
    </w:rPr>
  </w:style>
  <w:style w:type="paragraph" w:styleId="DocumentMap">
    <w:name w:val="Document Map"/>
    <w:basedOn w:val="Normal"/>
    <w:link w:val="DocumentMapChar"/>
    <w:uiPriority w:val="99"/>
    <w:semiHidden/>
    <w:unhideWhenUsed/>
    <w:rsid w:val="00E86340"/>
    <w:rPr>
      <w:rFonts w:ascii="Tahoma" w:hAnsi="Tahoma" w:cs="Tahoma"/>
      <w:sz w:val="16"/>
      <w:szCs w:val="16"/>
    </w:rPr>
  </w:style>
  <w:style w:type="character" w:customStyle="1" w:styleId="DocumentMapChar">
    <w:name w:val="Document Map Char"/>
    <w:basedOn w:val="DefaultParagraphFont"/>
    <w:link w:val="DocumentMap"/>
    <w:uiPriority w:val="99"/>
    <w:semiHidden/>
    <w:rsid w:val="00E86340"/>
    <w:rPr>
      <w:rFonts w:ascii="Tahoma" w:hAnsi="Tahoma" w:cs="Tahoma"/>
      <w:color w:val="000000"/>
      <w:sz w:val="16"/>
      <w:szCs w:val="16"/>
      <w:lang w:eastAsia="pl-PL"/>
    </w:rPr>
  </w:style>
  <w:style w:type="paragraph" w:styleId="ListBullet">
    <w:name w:val="List Bullet"/>
    <w:basedOn w:val="Bullet1"/>
    <w:qFormat/>
    <w:rsid w:val="000F74E8"/>
    <w:pPr>
      <w:numPr>
        <w:numId w:val="5"/>
      </w:numPr>
      <w:spacing w:after="0"/>
      <w:ind w:left="284" w:hanging="284"/>
    </w:pPr>
  </w:style>
  <w:style w:type="paragraph" w:customStyle="1" w:styleId="DocTitle">
    <w:name w:val="Doc Title"/>
    <w:basedOn w:val="Normal"/>
    <w:rsid w:val="000F74E8"/>
    <w:pPr>
      <w:spacing w:before="3280" w:after="480"/>
    </w:pPr>
    <w:rPr>
      <w:color w:val="48748F" w:themeColor="accent1"/>
      <w:sz w:val="40"/>
      <w:szCs w:val="40"/>
    </w:rPr>
  </w:style>
  <w:style w:type="paragraph" w:customStyle="1" w:styleId="Figuretitle">
    <w:name w:val="Figure title"/>
    <w:basedOn w:val="Normal"/>
    <w:next w:val="BodyText1"/>
    <w:rsid w:val="000F74E8"/>
    <w:pPr>
      <w:keepNext/>
      <w:spacing w:before="240" w:after="240"/>
      <w:jc w:val="both"/>
    </w:pPr>
    <w:rPr>
      <w:bCs/>
      <w:color w:val="48748F" w:themeColor="accent1"/>
      <w:sz w:val="20"/>
    </w:rPr>
  </w:style>
  <w:style w:type="paragraph" w:customStyle="1" w:styleId="FigureTOC">
    <w:name w:val="Figure TOC"/>
    <w:basedOn w:val="TableofFigures"/>
    <w:rsid w:val="000F74E8"/>
    <w:pPr>
      <w:tabs>
        <w:tab w:val="right" w:pos="10194"/>
      </w:tabs>
      <w:spacing w:after="120"/>
    </w:pPr>
    <w:rPr>
      <w:noProof/>
      <w:sz w:val="20"/>
    </w:rPr>
  </w:style>
  <w:style w:type="paragraph" w:styleId="TableofFigures">
    <w:name w:val="table of figures"/>
    <w:basedOn w:val="Normal"/>
    <w:next w:val="Normal"/>
    <w:semiHidden/>
    <w:unhideWhenUsed/>
    <w:rsid w:val="000F74E8"/>
  </w:style>
  <w:style w:type="paragraph" w:customStyle="1" w:styleId="SubTitle">
    <w:name w:val="Sub Title"/>
    <w:basedOn w:val="Heading2"/>
    <w:rsid w:val="000F74E8"/>
    <w:pPr>
      <w:spacing w:before="120" w:after="0"/>
    </w:pPr>
  </w:style>
  <w:style w:type="paragraph" w:customStyle="1" w:styleId="Tabledata">
    <w:name w:val="Table data"/>
    <w:basedOn w:val="Normal"/>
    <w:rsid w:val="000F74E8"/>
    <w:pPr>
      <w:autoSpaceDE w:val="0"/>
      <w:autoSpaceDN w:val="0"/>
      <w:adjustRightInd w:val="0"/>
      <w:spacing w:before="60" w:after="60" w:line="260" w:lineRule="exact"/>
      <w:jc w:val="center"/>
    </w:pPr>
    <w:rPr>
      <w:rFonts w:asciiTheme="minorHAnsi" w:hAnsiTheme="minorHAnsi" w:cstheme="minorHAnsi"/>
      <w:color w:val="auto"/>
      <w:sz w:val="20"/>
    </w:rPr>
  </w:style>
  <w:style w:type="paragraph" w:customStyle="1" w:styleId="Tablefootnotetext">
    <w:name w:val="Table footnote text"/>
    <w:basedOn w:val="Normal"/>
    <w:rsid w:val="000F74E8"/>
    <w:pPr>
      <w:tabs>
        <w:tab w:val="right" w:pos="284"/>
        <w:tab w:val="left" w:pos="426"/>
      </w:tabs>
      <w:autoSpaceDE w:val="0"/>
      <w:autoSpaceDN w:val="0"/>
      <w:adjustRightInd w:val="0"/>
      <w:spacing w:before="60" w:after="60" w:line="260" w:lineRule="exact"/>
    </w:pPr>
    <w:rPr>
      <w:rFonts w:asciiTheme="minorHAnsi" w:hAnsiTheme="minorHAnsi" w:cstheme="minorHAnsi"/>
      <w:color w:val="auto"/>
      <w:sz w:val="14"/>
      <w:szCs w:val="14"/>
    </w:rPr>
  </w:style>
  <w:style w:type="table" w:styleId="TableGrid">
    <w:name w:val="Table Grid"/>
    <w:aliases w:val="Tabla CUADROS"/>
    <w:basedOn w:val="TableNormal"/>
    <w:uiPriority w:val="59"/>
    <w:rsid w:val="000F74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text">
    <w:name w:val="Table heading text"/>
    <w:basedOn w:val="BodyText1"/>
    <w:rsid w:val="000F74E8"/>
    <w:pPr>
      <w:spacing w:before="60" w:after="60" w:line="260" w:lineRule="exact"/>
      <w:jc w:val="center"/>
    </w:pPr>
    <w:rPr>
      <w:b/>
      <w:color w:val="48748F" w:themeColor="accent1"/>
    </w:rPr>
  </w:style>
  <w:style w:type="paragraph" w:customStyle="1" w:styleId="Tableofcontents">
    <w:name w:val="Table of contents"/>
    <w:basedOn w:val="Heading2"/>
    <w:rsid w:val="000F74E8"/>
  </w:style>
  <w:style w:type="paragraph" w:customStyle="1" w:styleId="Tabletext">
    <w:name w:val="Table text"/>
    <w:basedOn w:val="Normal"/>
    <w:rsid w:val="000F74E8"/>
    <w:pPr>
      <w:autoSpaceDE w:val="0"/>
      <w:autoSpaceDN w:val="0"/>
      <w:adjustRightInd w:val="0"/>
      <w:spacing w:before="60" w:after="60" w:line="260" w:lineRule="exact"/>
    </w:pPr>
    <w:rPr>
      <w:rFonts w:asciiTheme="minorHAnsi" w:hAnsiTheme="minorHAnsi" w:cstheme="minorHAnsi"/>
      <w:color w:val="auto"/>
      <w:sz w:val="20"/>
    </w:rPr>
  </w:style>
  <w:style w:type="paragraph" w:styleId="TOC1">
    <w:name w:val="toc 1"/>
    <w:basedOn w:val="Normal"/>
    <w:next w:val="Normal"/>
    <w:autoRedefine/>
    <w:uiPriority w:val="39"/>
    <w:unhideWhenUsed/>
    <w:qFormat/>
    <w:rsid w:val="000F74E8"/>
    <w:pPr>
      <w:tabs>
        <w:tab w:val="left" w:pos="567"/>
        <w:tab w:val="right" w:pos="7371"/>
      </w:tabs>
      <w:spacing w:after="100"/>
      <w:ind w:left="567" w:right="2833" w:hanging="567"/>
    </w:pPr>
    <w:rPr>
      <w:noProof/>
      <w:sz w:val="20"/>
    </w:rPr>
  </w:style>
  <w:style w:type="character" w:customStyle="1" w:styleId="Heading5Char">
    <w:name w:val="Heading 5 Char"/>
    <w:basedOn w:val="DefaultParagraphFont"/>
    <w:link w:val="Heading5"/>
    <w:rsid w:val="00F4754B"/>
    <w:rPr>
      <w:rFonts w:ascii="Verdana" w:hAnsi="Verdana"/>
      <w:b/>
      <w:i/>
      <w:szCs w:val="24"/>
      <w:lang w:eastAsia="pl-PL"/>
    </w:rPr>
  </w:style>
  <w:style w:type="character" w:customStyle="1" w:styleId="Heading6Char">
    <w:name w:val="Heading 6 Char"/>
    <w:basedOn w:val="DefaultParagraphFont"/>
    <w:link w:val="Heading6"/>
    <w:rsid w:val="00F4754B"/>
    <w:rPr>
      <w:b/>
      <w:bCs/>
      <w:szCs w:val="22"/>
      <w:lang w:eastAsia="pl-PL"/>
    </w:rPr>
  </w:style>
  <w:style w:type="character" w:customStyle="1" w:styleId="Heading7Char">
    <w:name w:val="Heading 7 Char"/>
    <w:basedOn w:val="DefaultParagraphFont"/>
    <w:link w:val="Heading7"/>
    <w:rsid w:val="00F4754B"/>
    <w:rPr>
      <w:sz w:val="24"/>
      <w:szCs w:val="24"/>
      <w:lang w:eastAsia="pl-PL"/>
    </w:rPr>
  </w:style>
  <w:style w:type="character" w:customStyle="1" w:styleId="Heading8Char">
    <w:name w:val="Heading 8 Char"/>
    <w:basedOn w:val="DefaultParagraphFont"/>
    <w:link w:val="Heading8"/>
    <w:rsid w:val="00F4754B"/>
    <w:rPr>
      <w:i/>
      <w:iCs/>
      <w:sz w:val="24"/>
      <w:szCs w:val="24"/>
      <w:lang w:eastAsia="pl-PL"/>
    </w:rPr>
  </w:style>
  <w:style w:type="character" w:customStyle="1" w:styleId="Heading9Char">
    <w:name w:val="Heading 9 Char"/>
    <w:basedOn w:val="DefaultParagraphFont"/>
    <w:link w:val="Heading9"/>
    <w:rsid w:val="00F4754B"/>
    <w:rPr>
      <w:rFonts w:ascii="Verdana" w:hAnsi="Verdana" w:cs="Arial"/>
      <w:szCs w:val="22"/>
      <w:lang w:eastAsia="pl-PL"/>
    </w:rPr>
  </w:style>
  <w:style w:type="character" w:customStyle="1" w:styleId="Heading1Char">
    <w:name w:val="Heading 1 Char"/>
    <w:basedOn w:val="DefaultParagraphFont"/>
    <w:link w:val="Heading1"/>
    <w:rsid w:val="00F4754B"/>
    <w:rPr>
      <w:rFonts w:ascii="Arial" w:hAnsi="Arial"/>
      <w:color w:val="48748F" w:themeColor="accent1"/>
      <w:sz w:val="36"/>
      <w:lang w:eastAsia="pl-PL"/>
    </w:rPr>
  </w:style>
  <w:style w:type="character" w:customStyle="1" w:styleId="Heading2Char">
    <w:name w:val="Heading 2 Char"/>
    <w:basedOn w:val="DefaultParagraphFont"/>
    <w:link w:val="Heading2"/>
    <w:rsid w:val="00F4754B"/>
    <w:rPr>
      <w:rFonts w:ascii="Arial" w:hAnsi="Arial"/>
      <w:color w:val="48748F" w:themeColor="accent1"/>
      <w:sz w:val="24"/>
      <w:lang w:eastAsia="pl-PL"/>
    </w:rPr>
  </w:style>
  <w:style w:type="character" w:customStyle="1" w:styleId="Heading3Char">
    <w:name w:val="Heading 3 Char"/>
    <w:basedOn w:val="DefaultParagraphFont"/>
    <w:link w:val="Heading3"/>
    <w:rsid w:val="00F4754B"/>
    <w:rPr>
      <w:rFonts w:ascii="Arial" w:hAnsi="Arial"/>
      <w:b/>
      <w:color w:val="48748F" w:themeColor="accent1"/>
      <w:szCs w:val="22"/>
      <w:lang w:eastAsia="pl-PL"/>
    </w:rPr>
  </w:style>
  <w:style w:type="character" w:customStyle="1" w:styleId="Heading4Char">
    <w:name w:val="Heading 4 Char"/>
    <w:basedOn w:val="DefaultParagraphFont"/>
    <w:link w:val="Heading4"/>
    <w:rsid w:val="00F4754B"/>
    <w:rPr>
      <w:rFonts w:ascii="Arial" w:hAnsi="Arial"/>
      <w:color w:val="48748F" w:themeColor="accent1"/>
      <w:lang w:eastAsia="pl-PL"/>
    </w:rPr>
  </w:style>
  <w:style w:type="paragraph" w:customStyle="1" w:styleId="Aufzhlungszeichen1">
    <w:name w:val="Aufzählungszeichen1"/>
    <w:basedOn w:val="Normal"/>
    <w:uiPriority w:val="1"/>
    <w:qFormat/>
    <w:rsid w:val="00F4754B"/>
    <w:pPr>
      <w:numPr>
        <w:numId w:val="7"/>
      </w:numPr>
      <w:spacing w:before="120" w:after="120" w:line="240" w:lineRule="exact"/>
      <w:jc w:val="both"/>
    </w:pPr>
    <w:rPr>
      <w:rFonts w:ascii="Verdana" w:hAnsi="Verdana"/>
      <w:color w:val="auto"/>
      <w:sz w:val="20"/>
      <w:szCs w:val="24"/>
    </w:rPr>
  </w:style>
  <w:style w:type="paragraph" w:customStyle="1" w:styleId="Aufzhlungszeichen2">
    <w:name w:val="Aufzählungszeichen2"/>
    <w:basedOn w:val="Normal"/>
    <w:uiPriority w:val="1"/>
    <w:qFormat/>
    <w:rsid w:val="00F4754B"/>
    <w:pPr>
      <w:numPr>
        <w:numId w:val="8"/>
      </w:numPr>
      <w:spacing w:before="120" w:after="120" w:line="240" w:lineRule="exact"/>
      <w:jc w:val="both"/>
    </w:pPr>
    <w:rPr>
      <w:rFonts w:ascii="Verdana" w:hAnsi="Verdana"/>
      <w:color w:val="auto"/>
      <w:sz w:val="20"/>
      <w:szCs w:val="24"/>
    </w:rPr>
  </w:style>
  <w:style w:type="paragraph" w:customStyle="1" w:styleId="Aufzhlungszeichen3">
    <w:name w:val="Aufzählungszeichen3"/>
    <w:basedOn w:val="Normal"/>
    <w:uiPriority w:val="1"/>
    <w:qFormat/>
    <w:rsid w:val="00F4754B"/>
    <w:pPr>
      <w:numPr>
        <w:numId w:val="9"/>
      </w:numPr>
      <w:spacing w:before="120" w:after="120" w:line="240" w:lineRule="exact"/>
      <w:jc w:val="both"/>
    </w:pPr>
    <w:rPr>
      <w:rFonts w:ascii="Verdana" w:hAnsi="Verdana"/>
      <w:color w:val="auto"/>
      <w:sz w:val="20"/>
      <w:szCs w:val="24"/>
    </w:rPr>
  </w:style>
  <w:style w:type="paragraph" w:customStyle="1" w:styleId="Aufzhlungszeichen4">
    <w:name w:val="Aufzählungszeichen4"/>
    <w:basedOn w:val="Normal"/>
    <w:uiPriority w:val="1"/>
    <w:qFormat/>
    <w:rsid w:val="00F4754B"/>
    <w:pPr>
      <w:numPr>
        <w:numId w:val="10"/>
      </w:numPr>
      <w:spacing w:before="120" w:after="120" w:line="240" w:lineRule="exact"/>
      <w:jc w:val="both"/>
    </w:pPr>
    <w:rPr>
      <w:rFonts w:ascii="Verdana" w:hAnsi="Verdana"/>
      <w:color w:val="auto"/>
      <w:sz w:val="20"/>
      <w:szCs w:val="24"/>
    </w:rPr>
  </w:style>
  <w:style w:type="numbering" w:customStyle="1" w:styleId="Formatvorlage1">
    <w:name w:val="Formatvorlage1"/>
    <w:uiPriority w:val="99"/>
    <w:rsid w:val="00F4754B"/>
    <w:pPr>
      <w:numPr>
        <w:numId w:val="11"/>
      </w:numPr>
    </w:pPr>
  </w:style>
  <w:style w:type="numbering" w:customStyle="1" w:styleId="Formatvorlage2">
    <w:name w:val="Formatvorlage2"/>
    <w:uiPriority w:val="99"/>
    <w:rsid w:val="00F4754B"/>
    <w:pPr>
      <w:numPr>
        <w:numId w:val="12"/>
      </w:numPr>
    </w:pPr>
  </w:style>
  <w:style w:type="character" w:customStyle="1" w:styleId="FooterChar">
    <w:name w:val="Footer Char"/>
    <w:basedOn w:val="DefaultParagraphFont"/>
    <w:link w:val="Footer"/>
    <w:uiPriority w:val="99"/>
    <w:rsid w:val="00F4754B"/>
    <w:rPr>
      <w:rFonts w:ascii="Arial" w:hAnsi="Arial"/>
      <w:color w:val="000000"/>
      <w:sz w:val="18"/>
      <w:lang w:eastAsia="pl-PL"/>
    </w:rPr>
  </w:style>
  <w:style w:type="paragraph" w:customStyle="1" w:styleId="GliederungmitAufzhlung">
    <w:name w:val="Gliederung mit Aufzählung"/>
    <w:basedOn w:val="Normal"/>
    <w:uiPriority w:val="1"/>
    <w:qFormat/>
    <w:rsid w:val="00F4754B"/>
    <w:pPr>
      <w:numPr>
        <w:numId w:val="13"/>
      </w:numPr>
      <w:spacing w:before="120" w:after="120" w:line="312" w:lineRule="auto"/>
      <w:jc w:val="both"/>
    </w:pPr>
    <w:rPr>
      <w:rFonts w:ascii="Verdana" w:hAnsi="Verdana"/>
      <w:color w:val="auto"/>
      <w:sz w:val="20"/>
      <w:szCs w:val="24"/>
    </w:rPr>
  </w:style>
  <w:style w:type="paragraph" w:customStyle="1" w:styleId="GliederungmitNummerierung">
    <w:name w:val="Gliederung mit Nummerierung"/>
    <w:basedOn w:val="Normal"/>
    <w:uiPriority w:val="1"/>
    <w:qFormat/>
    <w:rsid w:val="00F4754B"/>
    <w:pPr>
      <w:numPr>
        <w:numId w:val="14"/>
      </w:numPr>
      <w:spacing w:before="120" w:after="120" w:line="312" w:lineRule="auto"/>
      <w:jc w:val="both"/>
    </w:pPr>
    <w:rPr>
      <w:rFonts w:ascii="Verdana" w:hAnsi="Verdana"/>
      <w:color w:val="auto"/>
      <w:sz w:val="20"/>
      <w:szCs w:val="24"/>
    </w:rPr>
  </w:style>
  <w:style w:type="paragraph" w:customStyle="1" w:styleId="HngEinrckung1">
    <w:name w:val="Häng. Einrückung1"/>
    <w:basedOn w:val="Normal"/>
    <w:uiPriority w:val="1"/>
    <w:qFormat/>
    <w:rsid w:val="00F4754B"/>
    <w:pPr>
      <w:spacing w:before="120" w:after="120" w:line="312" w:lineRule="auto"/>
      <w:ind w:left="567" w:hanging="567"/>
      <w:jc w:val="both"/>
    </w:pPr>
    <w:rPr>
      <w:rFonts w:ascii="Verdana" w:hAnsi="Verdana"/>
      <w:color w:val="auto"/>
      <w:sz w:val="20"/>
      <w:szCs w:val="24"/>
    </w:rPr>
  </w:style>
  <w:style w:type="paragraph" w:customStyle="1" w:styleId="HngEinrckung2">
    <w:name w:val="Häng. Einrückung2"/>
    <w:basedOn w:val="Normal"/>
    <w:uiPriority w:val="1"/>
    <w:qFormat/>
    <w:rsid w:val="00F4754B"/>
    <w:pPr>
      <w:spacing w:before="120" w:after="120" w:line="312" w:lineRule="auto"/>
      <w:ind w:left="1134" w:hanging="567"/>
      <w:jc w:val="both"/>
    </w:pPr>
    <w:rPr>
      <w:rFonts w:ascii="Verdana" w:hAnsi="Verdana"/>
      <w:color w:val="auto"/>
      <w:sz w:val="20"/>
      <w:szCs w:val="24"/>
    </w:rPr>
  </w:style>
  <w:style w:type="paragraph" w:customStyle="1" w:styleId="HngEinrckung3">
    <w:name w:val="Häng. Einrückung3"/>
    <w:basedOn w:val="Normal"/>
    <w:uiPriority w:val="1"/>
    <w:qFormat/>
    <w:rsid w:val="00F4754B"/>
    <w:pPr>
      <w:spacing w:before="120" w:after="120" w:line="312" w:lineRule="auto"/>
      <w:ind w:left="1701" w:hanging="567"/>
      <w:jc w:val="both"/>
    </w:pPr>
    <w:rPr>
      <w:rFonts w:ascii="Verdana" w:hAnsi="Verdana"/>
      <w:color w:val="auto"/>
      <w:sz w:val="20"/>
      <w:szCs w:val="24"/>
    </w:rPr>
  </w:style>
  <w:style w:type="character" w:customStyle="1" w:styleId="HeaderChar">
    <w:name w:val="Header Char"/>
    <w:basedOn w:val="DefaultParagraphFont"/>
    <w:link w:val="Header"/>
    <w:uiPriority w:val="99"/>
    <w:rsid w:val="00F4754B"/>
    <w:rPr>
      <w:rFonts w:ascii="Arial" w:hAnsi="Arial"/>
      <w:color w:val="000000"/>
      <w:sz w:val="18"/>
      <w:lang w:eastAsia="pl-PL"/>
    </w:rPr>
  </w:style>
  <w:style w:type="paragraph" w:customStyle="1" w:styleId="Marginalspalte">
    <w:name w:val="Marginalspalte"/>
    <w:basedOn w:val="Normal"/>
    <w:uiPriority w:val="1"/>
    <w:qFormat/>
    <w:rsid w:val="00F4754B"/>
    <w:pPr>
      <w:framePr w:w="851" w:h="851" w:hSpace="284" w:wrap="around" w:vAnchor="text" w:hAnchor="page" w:y="1"/>
      <w:spacing w:before="120" w:after="120"/>
      <w:jc w:val="both"/>
    </w:pPr>
    <w:rPr>
      <w:rFonts w:ascii="Verdana" w:hAnsi="Verdana"/>
      <w:i/>
      <w:color w:val="auto"/>
      <w:sz w:val="20"/>
      <w:szCs w:val="22"/>
    </w:rPr>
  </w:style>
  <w:style w:type="paragraph" w:customStyle="1" w:styleId="Nummerierungsart1">
    <w:name w:val="Nummerierungsart1"/>
    <w:basedOn w:val="Normal"/>
    <w:uiPriority w:val="1"/>
    <w:qFormat/>
    <w:rsid w:val="00F4754B"/>
    <w:pPr>
      <w:numPr>
        <w:numId w:val="15"/>
      </w:numPr>
      <w:spacing w:before="120" w:after="120"/>
      <w:jc w:val="both"/>
    </w:pPr>
    <w:rPr>
      <w:rFonts w:ascii="Verdana" w:hAnsi="Verdana"/>
      <w:color w:val="auto"/>
      <w:sz w:val="20"/>
      <w:szCs w:val="24"/>
    </w:rPr>
  </w:style>
  <w:style w:type="paragraph" w:customStyle="1" w:styleId="Nummerierungsart2">
    <w:name w:val="Nummerierungsart2"/>
    <w:basedOn w:val="Normal"/>
    <w:uiPriority w:val="1"/>
    <w:qFormat/>
    <w:rsid w:val="00F4754B"/>
    <w:pPr>
      <w:numPr>
        <w:numId w:val="16"/>
      </w:numPr>
      <w:spacing w:before="120" w:after="120"/>
      <w:jc w:val="both"/>
    </w:pPr>
    <w:rPr>
      <w:rFonts w:ascii="Verdana" w:hAnsi="Verdana"/>
      <w:color w:val="auto"/>
      <w:sz w:val="20"/>
      <w:szCs w:val="24"/>
    </w:rPr>
  </w:style>
  <w:style w:type="paragraph" w:customStyle="1" w:styleId="Nummerierungsart3">
    <w:name w:val="Nummerierungsart3"/>
    <w:basedOn w:val="Normal"/>
    <w:uiPriority w:val="1"/>
    <w:qFormat/>
    <w:rsid w:val="00F4754B"/>
    <w:pPr>
      <w:numPr>
        <w:numId w:val="17"/>
      </w:numPr>
      <w:spacing w:before="120" w:after="120"/>
      <w:jc w:val="both"/>
    </w:pPr>
    <w:rPr>
      <w:rFonts w:ascii="Verdana" w:hAnsi="Verdana"/>
      <w:color w:val="auto"/>
      <w:sz w:val="20"/>
      <w:szCs w:val="24"/>
    </w:rPr>
  </w:style>
  <w:style w:type="paragraph" w:customStyle="1" w:styleId="Nummerierungsart4">
    <w:name w:val="Nummerierungsart4"/>
    <w:basedOn w:val="Normal"/>
    <w:uiPriority w:val="1"/>
    <w:qFormat/>
    <w:rsid w:val="00F4754B"/>
    <w:pPr>
      <w:numPr>
        <w:numId w:val="18"/>
      </w:numPr>
      <w:spacing w:before="120" w:after="120"/>
      <w:jc w:val="both"/>
    </w:pPr>
    <w:rPr>
      <w:rFonts w:ascii="Verdana" w:hAnsi="Verdana"/>
      <w:color w:val="auto"/>
      <w:sz w:val="20"/>
      <w:szCs w:val="24"/>
    </w:rPr>
  </w:style>
  <w:style w:type="character" w:customStyle="1" w:styleId="Heading3Char1">
    <w:name w:val="Heading 3 Char1"/>
    <w:basedOn w:val="DefaultParagraphFont"/>
    <w:rsid w:val="00F4754B"/>
    <w:rPr>
      <w:rFonts w:ascii="Verdana" w:eastAsia="Times New Roman" w:hAnsi="Verdana" w:cs="Times New Roman"/>
      <w:b/>
      <w:sz w:val="20"/>
      <w:szCs w:val="24"/>
    </w:rPr>
  </w:style>
  <w:style w:type="paragraph" w:styleId="TOC2">
    <w:name w:val="toc 2"/>
    <w:basedOn w:val="Normal"/>
    <w:next w:val="Normal"/>
    <w:autoRedefine/>
    <w:uiPriority w:val="39"/>
    <w:qFormat/>
    <w:rsid w:val="00F4754B"/>
    <w:pPr>
      <w:tabs>
        <w:tab w:val="left" w:pos="794"/>
        <w:tab w:val="right" w:leader="dot" w:pos="9071"/>
      </w:tabs>
      <w:spacing w:before="120" w:after="60"/>
      <w:ind w:left="794" w:hanging="794"/>
      <w:jc w:val="both"/>
    </w:pPr>
    <w:rPr>
      <w:rFonts w:ascii="Verdana" w:hAnsi="Verdana"/>
      <w:b/>
      <w:smallCaps/>
      <w:noProof/>
      <w:color w:val="auto"/>
      <w:sz w:val="20"/>
      <w:szCs w:val="22"/>
    </w:rPr>
  </w:style>
  <w:style w:type="paragraph" w:styleId="TOC3">
    <w:name w:val="toc 3"/>
    <w:basedOn w:val="Normal"/>
    <w:next w:val="Normal"/>
    <w:autoRedefine/>
    <w:uiPriority w:val="39"/>
    <w:qFormat/>
    <w:rsid w:val="00F4754B"/>
    <w:pPr>
      <w:tabs>
        <w:tab w:val="left" w:pos="794"/>
        <w:tab w:val="right" w:leader="dot" w:pos="9072"/>
      </w:tabs>
      <w:spacing w:before="120" w:after="60"/>
      <w:ind w:left="794" w:hanging="794"/>
      <w:jc w:val="both"/>
    </w:pPr>
    <w:rPr>
      <w:rFonts w:ascii="Verdana" w:hAnsi="Verdana"/>
      <w:smallCaps/>
      <w:noProof/>
      <w:color w:val="auto"/>
      <w:sz w:val="20"/>
      <w:szCs w:val="24"/>
    </w:rPr>
  </w:style>
  <w:style w:type="paragraph" w:styleId="TOC4">
    <w:name w:val="toc 4"/>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snapToGrid w:val="0"/>
      <w:color w:val="auto"/>
      <w:szCs w:val="18"/>
    </w:rPr>
  </w:style>
  <w:style w:type="paragraph" w:styleId="TOC5">
    <w:name w:val="toc 5"/>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color w:val="auto"/>
      <w:szCs w:val="18"/>
    </w:rPr>
  </w:style>
  <w:style w:type="paragraph" w:styleId="TOC6">
    <w:name w:val="toc 6"/>
    <w:basedOn w:val="Normal"/>
    <w:next w:val="Normal"/>
    <w:autoRedefine/>
    <w:uiPriority w:val="39"/>
    <w:rsid w:val="00F4754B"/>
    <w:pPr>
      <w:tabs>
        <w:tab w:val="left" w:pos="2058"/>
        <w:tab w:val="right" w:leader="dot" w:pos="9071"/>
      </w:tabs>
      <w:spacing w:before="120" w:after="120"/>
      <w:ind w:left="1134" w:hanging="1134"/>
      <w:jc w:val="both"/>
    </w:pPr>
    <w:rPr>
      <w:rFonts w:ascii="Verdana" w:hAnsi="Verdana"/>
      <w:noProof/>
      <w:color w:val="auto"/>
      <w:sz w:val="16"/>
      <w:szCs w:val="24"/>
    </w:rPr>
  </w:style>
  <w:style w:type="paragraph" w:styleId="TOC7">
    <w:name w:val="toc 7"/>
    <w:basedOn w:val="Normal"/>
    <w:next w:val="Normal"/>
    <w:autoRedefine/>
    <w:uiPriority w:val="39"/>
    <w:rsid w:val="00F4754B"/>
    <w:pPr>
      <w:tabs>
        <w:tab w:val="right" w:leader="dot" w:pos="9071"/>
      </w:tabs>
      <w:spacing w:before="120" w:after="120"/>
      <w:ind w:left="1134" w:hanging="1134"/>
      <w:jc w:val="both"/>
    </w:pPr>
    <w:rPr>
      <w:rFonts w:ascii="Verdana" w:hAnsi="Verdana"/>
      <w:color w:val="auto"/>
      <w:sz w:val="16"/>
      <w:szCs w:val="24"/>
    </w:rPr>
  </w:style>
  <w:style w:type="paragraph" w:styleId="TOC8">
    <w:name w:val="toc 8"/>
    <w:basedOn w:val="Normal"/>
    <w:next w:val="Normal"/>
    <w:autoRedefine/>
    <w:uiPriority w:val="39"/>
    <w:rsid w:val="00F4754B"/>
    <w:pPr>
      <w:tabs>
        <w:tab w:val="left" w:pos="2758"/>
        <w:tab w:val="right" w:leader="dot" w:pos="9071"/>
      </w:tabs>
      <w:spacing w:before="120" w:after="120"/>
      <w:ind w:left="1361" w:hanging="1361"/>
      <w:jc w:val="both"/>
    </w:pPr>
    <w:rPr>
      <w:rFonts w:ascii="Verdana" w:hAnsi="Verdana"/>
      <w:noProof/>
      <w:color w:val="auto"/>
      <w:sz w:val="16"/>
      <w:szCs w:val="24"/>
    </w:rPr>
  </w:style>
  <w:style w:type="paragraph" w:styleId="TOC9">
    <w:name w:val="toc 9"/>
    <w:basedOn w:val="Normal"/>
    <w:next w:val="Normal"/>
    <w:autoRedefine/>
    <w:uiPriority w:val="39"/>
    <w:rsid w:val="00F4754B"/>
    <w:pPr>
      <w:tabs>
        <w:tab w:val="right" w:leader="dot" w:pos="9071"/>
      </w:tabs>
      <w:spacing w:before="120" w:after="120"/>
      <w:ind w:left="1361" w:hanging="1361"/>
      <w:jc w:val="both"/>
    </w:pPr>
    <w:rPr>
      <w:rFonts w:ascii="Verdana" w:hAnsi="Verdana"/>
      <w:color w:val="auto"/>
      <w:sz w:val="16"/>
      <w:szCs w:val="24"/>
    </w:rPr>
  </w:style>
  <w:style w:type="paragraph" w:customStyle="1" w:styleId="Quote1">
    <w:name w:val="Quote1"/>
    <w:basedOn w:val="Normal"/>
    <w:next w:val="Normal"/>
    <w:link w:val="QuoteChar"/>
    <w:uiPriority w:val="29"/>
    <w:semiHidden/>
    <w:rsid w:val="00F4754B"/>
    <w:pPr>
      <w:spacing w:before="120" w:after="120"/>
      <w:jc w:val="both"/>
    </w:pPr>
    <w:rPr>
      <w:rFonts w:ascii="Verdana" w:hAnsi="Verdana"/>
      <w:i/>
      <w:iCs/>
      <w:sz w:val="20"/>
      <w:szCs w:val="24"/>
    </w:rPr>
  </w:style>
  <w:style w:type="character" w:customStyle="1" w:styleId="QuoteChar">
    <w:name w:val="Quote Char"/>
    <w:basedOn w:val="DefaultParagraphFont"/>
    <w:link w:val="Quote1"/>
    <w:uiPriority w:val="29"/>
    <w:semiHidden/>
    <w:rsid w:val="00F4754B"/>
    <w:rPr>
      <w:rFonts w:ascii="Verdana" w:hAnsi="Verdana"/>
      <w:i/>
      <w:iCs/>
      <w:color w:val="000000"/>
      <w:szCs w:val="24"/>
      <w:lang w:eastAsia="pl-PL"/>
    </w:rPr>
  </w:style>
  <w:style w:type="paragraph" w:customStyle="1" w:styleId="TOCHeading1">
    <w:name w:val="TOC Heading1"/>
    <w:basedOn w:val="Heading1"/>
    <w:next w:val="Normal"/>
    <w:uiPriority w:val="39"/>
    <w:semiHidden/>
    <w:unhideWhenUsed/>
    <w:qFormat/>
    <w:rsid w:val="00F4754B"/>
    <w:pPr>
      <w:keepNext/>
      <w:keepLines/>
      <w:autoSpaceDE w:val="0"/>
      <w:autoSpaceDN w:val="0"/>
      <w:adjustRightInd w:val="0"/>
      <w:spacing w:before="480" w:after="0" w:line="311" w:lineRule="auto"/>
      <w:outlineLvl w:val="9"/>
    </w:pPr>
    <w:rPr>
      <w:b/>
      <w:bCs/>
      <w:color w:val="4B67A3"/>
      <w:sz w:val="20"/>
      <w:szCs w:val="28"/>
      <w:u w:val="single"/>
    </w:rPr>
  </w:style>
  <w:style w:type="paragraph" w:styleId="EndnoteText">
    <w:name w:val="endnote text"/>
    <w:basedOn w:val="Normal"/>
    <w:link w:val="EndnoteTextChar"/>
    <w:uiPriority w:val="1"/>
    <w:rsid w:val="00F4754B"/>
    <w:pPr>
      <w:spacing w:before="120" w:after="120" w:line="180" w:lineRule="exact"/>
      <w:ind w:left="142" w:hanging="142"/>
      <w:jc w:val="both"/>
    </w:pPr>
    <w:rPr>
      <w:rFonts w:ascii="Verdana" w:hAnsi="Verdana"/>
      <w:color w:val="auto"/>
      <w:sz w:val="16"/>
      <w:szCs w:val="24"/>
    </w:rPr>
  </w:style>
  <w:style w:type="character" w:customStyle="1" w:styleId="EndnoteTextChar">
    <w:name w:val="Endnote Text Char"/>
    <w:basedOn w:val="DefaultParagraphFont"/>
    <w:link w:val="EndnoteText"/>
    <w:uiPriority w:val="1"/>
    <w:rsid w:val="00F4754B"/>
    <w:rPr>
      <w:rFonts w:ascii="Verdana" w:hAnsi="Verdana"/>
      <w:sz w:val="16"/>
      <w:szCs w:val="24"/>
      <w:lang w:eastAsia="pl-PL"/>
    </w:rPr>
  </w:style>
  <w:style w:type="character" w:styleId="EndnoteReference">
    <w:name w:val="endnote reference"/>
    <w:basedOn w:val="DefaultParagraphFont"/>
    <w:uiPriority w:val="1"/>
    <w:rsid w:val="00F4754B"/>
    <w:rPr>
      <w:rFonts w:ascii="Arial" w:hAnsi="Arial"/>
      <w:color w:val="auto"/>
      <w:position w:val="4"/>
      <w:sz w:val="12"/>
      <w:vertAlign w:val="baseline"/>
    </w:rPr>
  </w:style>
  <w:style w:type="paragraph" w:customStyle="1" w:styleId="Ballontekst1">
    <w:name w:val="Ballontekst1"/>
    <w:basedOn w:val="Normal"/>
    <w:uiPriority w:val="99"/>
    <w:semiHidden/>
    <w:rsid w:val="00F4754B"/>
    <w:pPr>
      <w:spacing w:before="120" w:after="120"/>
      <w:jc w:val="both"/>
    </w:pPr>
    <w:rPr>
      <w:rFonts w:ascii="Tahoma" w:hAnsi="Tahoma" w:cs="Tahoma"/>
      <w:color w:val="auto"/>
      <w:sz w:val="16"/>
      <w:szCs w:val="16"/>
    </w:rPr>
  </w:style>
  <w:style w:type="character" w:styleId="CommentReference">
    <w:name w:val="annotation reference"/>
    <w:basedOn w:val="DefaultParagraphFont"/>
    <w:uiPriority w:val="99"/>
    <w:rsid w:val="00F4754B"/>
    <w:rPr>
      <w:rFonts w:cs="Times New Roman"/>
      <w:sz w:val="16"/>
      <w:szCs w:val="16"/>
    </w:rPr>
  </w:style>
  <w:style w:type="paragraph" w:styleId="CommentText">
    <w:name w:val="annotation text"/>
    <w:basedOn w:val="Normal"/>
    <w:link w:val="CommentTextChar"/>
    <w:uiPriority w:val="99"/>
    <w:rsid w:val="00F4754B"/>
    <w:pPr>
      <w:spacing w:before="120" w:after="120"/>
      <w:jc w:val="both"/>
    </w:pPr>
    <w:rPr>
      <w:rFonts w:ascii="Verdana" w:hAnsi="Verdana"/>
      <w:color w:val="auto"/>
      <w:sz w:val="20"/>
    </w:rPr>
  </w:style>
  <w:style w:type="character" w:customStyle="1" w:styleId="CommentTextChar">
    <w:name w:val="Comment Text Char"/>
    <w:basedOn w:val="DefaultParagraphFont"/>
    <w:link w:val="CommentText"/>
    <w:uiPriority w:val="99"/>
    <w:rsid w:val="00F4754B"/>
    <w:rPr>
      <w:rFonts w:ascii="Verdana" w:hAnsi="Verdana"/>
      <w:lang w:eastAsia="pl-PL"/>
    </w:rPr>
  </w:style>
  <w:style w:type="paragraph" w:customStyle="1" w:styleId="Onderwerpvanopmerking1">
    <w:name w:val="Onderwerp van opmerking1"/>
    <w:basedOn w:val="CommentText"/>
    <w:next w:val="CommentText"/>
    <w:uiPriority w:val="99"/>
    <w:semiHidden/>
    <w:rsid w:val="00F4754B"/>
    <w:rPr>
      <w:b/>
      <w:bCs/>
    </w:rPr>
  </w:style>
  <w:style w:type="character" w:styleId="FollowedHyperlink">
    <w:name w:val="FollowedHyperlink"/>
    <w:basedOn w:val="DefaultParagraphFont"/>
    <w:uiPriority w:val="99"/>
    <w:rsid w:val="00F4754B"/>
    <w:rPr>
      <w:rFonts w:cs="Times New Roman"/>
      <w:color w:val="606420"/>
      <w:u w:val="single"/>
    </w:rPr>
  </w:style>
  <w:style w:type="paragraph" w:styleId="CommentSubject">
    <w:name w:val="annotation subject"/>
    <w:basedOn w:val="CommentText"/>
    <w:next w:val="CommentText"/>
    <w:link w:val="CommentSubjectChar"/>
    <w:uiPriority w:val="99"/>
    <w:rsid w:val="00F4754B"/>
    <w:rPr>
      <w:b/>
      <w:bCs/>
    </w:rPr>
  </w:style>
  <w:style w:type="character" w:customStyle="1" w:styleId="CommentSubjectChar">
    <w:name w:val="Comment Subject Char"/>
    <w:basedOn w:val="CommentTextChar"/>
    <w:link w:val="CommentSubject"/>
    <w:uiPriority w:val="99"/>
    <w:rsid w:val="00F4754B"/>
    <w:rPr>
      <w:rFonts w:ascii="Verdana" w:hAnsi="Verdana"/>
      <w:b/>
      <w:bCs/>
      <w:lang w:eastAsia="pl-PL"/>
    </w:rPr>
  </w:style>
  <w:style w:type="paragraph" w:customStyle="1" w:styleId="Formatvorlageberschrift4">
    <w:name w:val="Formatvorlage Überschrift 4"/>
    <w:basedOn w:val="Heading4"/>
    <w:link w:val="Formatvorlageberschrift4Char"/>
    <w:uiPriority w:val="99"/>
    <w:rsid w:val="00F4754B"/>
    <w:pPr>
      <w:keepNext/>
      <w:spacing w:after="60"/>
      <w:ind w:left="360" w:hanging="360"/>
      <w:contextualSpacing w:val="0"/>
      <w:jc w:val="both"/>
    </w:pPr>
    <w:rPr>
      <w:rFonts w:ascii="Verdana" w:hAnsi="Verdana"/>
      <w:b/>
      <w:iCs/>
      <w:color w:val="auto"/>
      <w:szCs w:val="28"/>
      <w:u w:val="single"/>
    </w:rPr>
  </w:style>
  <w:style w:type="character" w:customStyle="1" w:styleId="Formatvorlageberschrift4Char">
    <w:name w:val="Formatvorlage Überschrift 4 Char"/>
    <w:basedOn w:val="Heading4Char"/>
    <w:link w:val="Formatvorlageberschrift4"/>
    <w:uiPriority w:val="99"/>
    <w:locked/>
    <w:rsid w:val="00F4754B"/>
    <w:rPr>
      <w:rFonts w:ascii="Verdana" w:hAnsi="Verdana"/>
      <w:b/>
      <w:iCs/>
      <w:color w:val="48748F" w:themeColor="accent1"/>
      <w:szCs w:val="28"/>
      <w:u w:val="single"/>
      <w:lang w:eastAsia="pl-PL"/>
    </w:rPr>
  </w:style>
  <w:style w:type="paragraph" w:customStyle="1" w:styleId="Instructionsberschrift1">
    <w:name w:val="Instructions Überschrift 1"/>
    <w:basedOn w:val="Heading1"/>
    <w:rsid w:val="00F4754B"/>
    <w:pPr>
      <w:keepNext/>
      <w:tabs>
        <w:tab w:val="num" w:pos="540"/>
      </w:tabs>
      <w:autoSpaceDE w:val="0"/>
      <w:autoSpaceDN w:val="0"/>
      <w:adjustRightInd w:val="0"/>
      <w:spacing w:before="240" w:after="0"/>
      <w:ind w:left="540" w:hanging="540"/>
    </w:pPr>
    <w:rPr>
      <w:rFonts w:ascii="Verdana" w:hAnsi="Verdana"/>
      <w:color w:val="auto"/>
      <w:kern w:val="32"/>
      <w:sz w:val="20"/>
      <w:u w:val="single"/>
    </w:rPr>
  </w:style>
  <w:style w:type="paragraph" w:customStyle="1" w:styleId="Instructionsberschrift2">
    <w:name w:val="Instructions Überschrift 2"/>
    <w:basedOn w:val="Heading2"/>
    <w:link w:val="Instructionsberschrift2Char"/>
    <w:rsid w:val="00F4754B"/>
    <w:pPr>
      <w:keepNext/>
      <w:numPr>
        <w:numId w:val="19"/>
      </w:numPr>
      <w:spacing w:before="240"/>
      <w:contextualSpacing w:val="0"/>
      <w:jc w:val="both"/>
    </w:pPr>
    <w:rPr>
      <w:rFonts w:ascii="Times New Roman" w:hAnsi="Times New Roman" w:cs="Arial"/>
      <w:color w:val="auto"/>
      <w:sz w:val="20"/>
      <w:szCs w:val="24"/>
      <w:u w:val="single"/>
    </w:rPr>
  </w:style>
  <w:style w:type="paragraph" w:customStyle="1" w:styleId="Instructionsberschrift3">
    <w:name w:val="Instructions Überschrift 3"/>
    <w:basedOn w:val="Heading3"/>
    <w:link w:val="Instructionsberschrift3Zchn"/>
    <w:rsid w:val="00F4754B"/>
    <w:pPr>
      <w:keepNext/>
      <w:numPr>
        <w:numId w:val="20"/>
      </w:numPr>
      <w:spacing w:after="60" w:line="360" w:lineRule="auto"/>
      <w:jc w:val="both"/>
    </w:pPr>
    <w:rPr>
      <w:rFonts w:ascii="Verdana" w:hAnsi="Verdana" w:cs="Arial"/>
      <w:b w:val="0"/>
      <w:color w:val="auto"/>
      <w:szCs w:val="26"/>
      <w:u w:val="single"/>
    </w:rPr>
  </w:style>
  <w:style w:type="character" w:customStyle="1" w:styleId="Instructionsberschrift3Zchn">
    <w:name w:val="Instructions Überschrift 3 Zchn"/>
    <w:basedOn w:val="Heading3Char1"/>
    <w:link w:val="Instructionsberschrift3"/>
    <w:locked/>
    <w:rsid w:val="00F4754B"/>
    <w:rPr>
      <w:rFonts w:ascii="Verdana" w:eastAsia="Times New Roman" w:hAnsi="Verdana" w:cs="Arial"/>
      <w:b/>
      <w:sz w:val="20"/>
      <w:szCs w:val="26"/>
      <w:u w:val="single"/>
      <w:lang w:eastAsia="pl-PL"/>
    </w:rPr>
  </w:style>
  <w:style w:type="paragraph" w:customStyle="1" w:styleId="Instructionsberschrift4">
    <w:name w:val="Instructions Überschrift 4"/>
    <w:basedOn w:val="Heading4"/>
    <w:next w:val="InstructionsText"/>
    <w:link w:val="Instructionsberschrift4Char"/>
    <w:uiPriority w:val="99"/>
    <w:rsid w:val="00F4754B"/>
    <w:pPr>
      <w:keepNext/>
      <w:tabs>
        <w:tab w:val="left" w:pos="1520"/>
      </w:tabs>
      <w:autoSpaceDE w:val="0"/>
      <w:autoSpaceDN w:val="0"/>
      <w:adjustRightInd w:val="0"/>
      <w:spacing w:after="240"/>
      <w:ind w:left="970" w:hanging="970"/>
      <w:contextualSpacing w:val="0"/>
      <w:jc w:val="both"/>
    </w:pPr>
    <w:rPr>
      <w:rFonts w:ascii="Verdana" w:hAnsi="Verdana"/>
      <w:b/>
      <w:bCs/>
      <w:color w:val="auto"/>
      <w:szCs w:val="24"/>
      <w:u w:val="single"/>
    </w:rPr>
  </w:style>
  <w:style w:type="paragraph" w:customStyle="1" w:styleId="InstructionsText">
    <w:name w:val="Instructions Text"/>
    <w:basedOn w:val="Normal"/>
    <w:link w:val="InstructionsTextChar"/>
    <w:autoRedefine/>
    <w:rsid w:val="00F4754B"/>
    <w:pPr>
      <w:ind w:left="33" w:hanging="33"/>
      <w:jc w:val="both"/>
    </w:pPr>
    <w:rPr>
      <w:rFonts w:ascii="Times New Roman" w:eastAsiaTheme="minorHAnsi" w:hAnsi="Times New Roman"/>
      <w:color w:val="auto"/>
      <w:sz w:val="20"/>
      <w:szCs w:val="24"/>
    </w:rPr>
  </w:style>
  <w:style w:type="character" w:customStyle="1" w:styleId="Instructionsberschrift4Char">
    <w:name w:val="Instructions Überschrift 4 Char"/>
    <w:basedOn w:val="Heading4Char"/>
    <w:link w:val="Instructionsberschrift4"/>
    <w:uiPriority w:val="99"/>
    <w:locked/>
    <w:rsid w:val="00F4754B"/>
    <w:rPr>
      <w:rFonts w:ascii="Verdana" w:hAnsi="Verdana"/>
      <w:b/>
      <w:bCs/>
      <w:color w:val="48748F" w:themeColor="accent1"/>
      <w:szCs w:val="24"/>
      <w:u w:val="single"/>
      <w:lang w:eastAsia="pl-PL"/>
    </w:rPr>
  </w:style>
  <w:style w:type="character" w:customStyle="1" w:styleId="InstructionsTabelleberschrift">
    <w:name w:val="Instructions Tabelle Überschrift"/>
    <w:basedOn w:val="DefaultParagraphFont"/>
    <w:qFormat/>
    <w:rsid w:val="00F4754B"/>
    <w:rPr>
      <w:rFonts w:ascii="Verdana" w:hAnsi="Verdana" w:cs="Times New Roman"/>
      <w:b/>
      <w:bCs/>
      <w:sz w:val="20"/>
      <w:u w:val="single"/>
    </w:rPr>
  </w:style>
  <w:style w:type="character" w:customStyle="1" w:styleId="InstructionsTabelleText">
    <w:name w:val="Instructions Tabelle Text"/>
    <w:basedOn w:val="DefaultParagraphFont"/>
    <w:uiPriority w:val="99"/>
    <w:rsid w:val="00F4754B"/>
    <w:rPr>
      <w:rFonts w:ascii="Verdana" w:hAnsi="Verdana" w:cs="Times New Roman"/>
      <w:sz w:val="20"/>
    </w:rPr>
  </w:style>
  <w:style w:type="character" w:customStyle="1" w:styleId="FormatvorlageInstructionsTabelleText">
    <w:name w:val="Formatvorlage Instructions Tabelle Text"/>
    <w:basedOn w:val="DefaultParagraphFont"/>
    <w:uiPriority w:val="99"/>
    <w:qFormat/>
    <w:rsid w:val="00F4754B"/>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F4754B"/>
    <w:pPr>
      <w:ind w:left="0" w:firstLine="0"/>
    </w:pPr>
    <w:rPr>
      <w:rFonts w:cs="Times New Roman"/>
      <w:szCs w:val="20"/>
    </w:rPr>
  </w:style>
  <w:style w:type="paragraph" w:customStyle="1" w:styleId="Texte2">
    <w:name w:val="Texte 2"/>
    <w:basedOn w:val="Normal"/>
    <w:uiPriority w:val="99"/>
    <w:rsid w:val="00F4754B"/>
    <w:pPr>
      <w:spacing w:before="120"/>
      <w:ind w:left="567"/>
      <w:jc w:val="both"/>
    </w:pPr>
    <w:rPr>
      <w:rFonts w:ascii="Verdana" w:hAnsi="Verdana"/>
      <w:color w:val="auto"/>
      <w:sz w:val="22"/>
    </w:rPr>
  </w:style>
  <w:style w:type="paragraph" w:customStyle="1" w:styleId="Prrafodelista1">
    <w:name w:val="Párrafo de lista1"/>
    <w:basedOn w:val="Normal"/>
    <w:uiPriority w:val="99"/>
    <w:rsid w:val="00F4754B"/>
    <w:pPr>
      <w:spacing w:before="120" w:after="120"/>
      <w:ind w:left="720"/>
      <w:jc w:val="both"/>
    </w:pPr>
    <w:rPr>
      <w:rFonts w:ascii="Verdana" w:hAnsi="Verdana"/>
      <w:color w:val="auto"/>
      <w:sz w:val="20"/>
      <w:szCs w:val="24"/>
    </w:rPr>
  </w:style>
  <w:style w:type="paragraph" w:customStyle="1" w:styleId="Prrafodelista2">
    <w:name w:val="Párrafo de lista2"/>
    <w:basedOn w:val="Normal"/>
    <w:uiPriority w:val="99"/>
    <w:rsid w:val="00F4754B"/>
    <w:pPr>
      <w:spacing w:before="120" w:after="120"/>
      <w:ind w:left="708"/>
      <w:jc w:val="both"/>
    </w:pPr>
    <w:rPr>
      <w:rFonts w:ascii="Verdana" w:hAnsi="Verdana"/>
      <w:color w:val="auto"/>
      <w:sz w:val="20"/>
      <w:szCs w:val="24"/>
    </w:rPr>
  </w:style>
  <w:style w:type="paragraph" w:styleId="PlainText">
    <w:name w:val="Plain Text"/>
    <w:basedOn w:val="Normal"/>
    <w:link w:val="PlainTextChar"/>
    <w:uiPriority w:val="99"/>
    <w:rsid w:val="00F4754B"/>
    <w:rPr>
      <w:rFonts w:ascii="Verdana" w:hAnsi="Verdana"/>
      <w:color w:val="auto"/>
      <w:sz w:val="20"/>
    </w:rPr>
  </w:style>
  <w:style w:type="character" w:customStyle="1" w:styleId="PlainTextChar">
    <w:name w:val="Plain Text Char"/>
    <w:basedOn w:val="DefaultParagraphFont"/>
    <w:link w:val="PlainText"/>
    <w:uiPriority w:val="99"/>
    <w:rsid w:val="00F4754B"/>
    <w:rPr>
      <w:rFonts w:ascii="Verdana" w:hAnsi="Verdana"/>
      <w:lang w:val="pl-PL" w:eastAsia="pl-PL"/>
    </w:rPr>
  </w:style>
  <w:style w:type="paragraph" w:customStyle="1" w:styleId="Listenabsatz1">
    <w:name w:val="Listenabsatz1"/>
    <w:basedOn w:val="Normal"/>
    <w:uiPriority w:val="99"/>
    <w:rsid w:val="00F4754B"/>
    <w:pPr>
      <w:spacing w:before="120" w:after="120"/>
      <w:ind w:left="708"/>
      <w:jc w:val="both"/>
    </w:pPr>
    <w:rPr>
      <w:rFonts w:ascii="Verdana" w:hAnsi="Verdana"/>
      <w:color w:val="auto"/>
      <w:sz w:val="20"/>
      <w:szCs w:val="24"/>
    </w:rPr>
  </w:style>
  <w:style w:type="character" w:customStyle="1" w:styleId="InstructionsTextChar">
    <w:name w:val="Instructions Text Char"/>
    <w:basedOn w:val="DefaultParagraphFont"/>
    <w:link w:val="InstructionsText"/>
    <w:locked/>
    <w:rsid w:val="00F4754B"/>
    <w:rPr>
      <w:rFonts w:eastAsiaTheme="minorHAnsi"/>
      <w:szCs w:val="24"/>
      <w:lang w:eastAsia="pl-PL"/>
    </w:rPr>
  </w:style>
  <w:style w:type="paragraph" w:customStyle="1" w:styleId="Revision1">
    <w:name w:val="Revision1"/>
    <w:hidden/>
    <w:uiPriority w:val="99"/>
    <w:semiHidden/>
    <w:rsid w:val="00F4754B"/>
    <w:rPr>
      <w:rFonts w:ascii="Verdana" w:hAnsi="Verdana"/>
      <w:szCs w:val="24"/>
    </w:rPr>
  </w:style>
  <w:style w:type="paragraph" w:customStyle="1" w:styleId="ListParagraph1">
    <w:name w:val="List Paragraph1"/>
    <w:basedOn w:val="Normal"/>
    <w:uiPriority w:val="34"/>
    <w:qFormat/>
    <w:rsid w:val="00F4754B"/>
    <w:pPr>
      <w:spacing w:before="120" w:after="120"/>
      <w:ind w:left="708"/>
      <w:jc w:val="both"/>
    </w:pPr>
    <w:rPr>
      <w:rFonts w:ascii="Verdana" w:hAnsi="Verdana"/>
      <w:color w:val="auto"/>
      <w:sz w:val="20"/>
      <w:szCs w:val="24"/>
    </w:rPr>
  </w:style>
  <w:style w:type="character" w:customStyle="1" w:styleId="PlaceholderText1">
    <w:name w:val="Placeholder Text1"/>
    <w:basedOn w:val="DefaultParagraphFont"/>
    <w:uiPriority w:val="99"/>
    <w:semiHidden/>
    <w:rsid w:val="00F4754B"/>
    <w:rPr>
      <w:color w:val="808080"/>
    </w:rPr>
  </w:style>
  <w:style w:type="paragraph" w:customStyle="1" w:styleId="InstructionsText2">
    <w:name w:val="Instructions Text 2"/>
    <w:basedOn w:val="InstructionsText"/>
    <w:qFormat/>
    <w:rsid w:val="00F4754B"/>
    <w:pPr>
      <w:numPr>
        <w:numId w:val="21"/>
      </w:numPr>
      <w:spacing w:after="240"/>
    </w:pPr>
  </w:style>
  <w:style w:type="character" w:customStyle="1" w:styleId="Instructionsberschrift3Char">
    <w:name w:val="Instructions Überschrift 3 Char"/>
    <w:basedOn w:val="Heading3Char1"/>
    <w:locked/>
    <w:rsid w:val="00F4754B"/>
    <w:rPr>
      <w:rFonts w:ascii="Verdana" w:eastAsia="Times New Roman" w:hAnsi="Verdana" w:cs="Arial"/>
      <w:b/>
      <w:bCs/>
      <w:sz w:val="20"/>
      <w:szCs w:val="26"/>
      <w:u w:val="single"/>
      <w:lang w:val="pl-PL" w:eastAsia="pl-PL" w:bidi="pl-PL"/>
    </w:rPr>
  </w:style>
  <w:style w:type="paragraph" w:customStyle="1" w:styleId="CM4">
    <w:name w:val="CM4"/>
    <w:basedOn w:val="Normal"/>
    <w:next w:val="Normal"/>
    <w:uiPriority w:val="99"/>
    <w:rsid w:val="00F4754B"/>
    <w:pPr>
      <w:autoSpaceDE w:val="0"/>
      <w:autoSpaceDN w:val="0"/>
      <w:adjustRightInd w:val="0"/>
    </w:pPr>
    <w:rPr>
      <w:rFonts w:ascii="Times New Roman" w:eastAsia="Arial" w:hAnsi="Times New Roman"/>
      <w:color w:val="auto"/>
      <w:sz w:val="24"/>
      <w:szCs w:val="24"/>
    </w:rPr>
  </w:style>
  <w:style w:type="numbering" w:customStyle="1" w:styleId="Formatvorlage3">
    <w:name w:val="Formatvorlage3"/>
    <w:uiPriority w:val="99"/>
    <w:rsid w:val="00F4754B"/>
    <w:pPr>
      <w:numPr>
        <w:numId w:val="22"/>
      </w:numPr>
    </w:pPr>
  </w:style>
  <w:style w:type="numbering" w:customStyle="1" w:styleId="Formatvorlage4">
    <w:name w:val="Formatvorlage4"/>
    <w:uiPriority w:val="99"/>
    <w:rsid w:val="00F4754B"/>
    <w:pPr>
      <w:numPr>
        <w:numId w:val="23"/>
      </w:numPr>
    </w:pPr>
  </w:style>
  <w:style w:type="paragraph" w:customStyle="1" w:styleId="Titrearticle">
    <w:name w:val="Titre article"/>
    <w:basedOn w:val="Normal"/>
    <w:next w:val="Normal"/>
    <w:link w:val="TitrearticleChar"/>
    <w:rsid w:val="00F4754B"/>
    <w:pPr>
      <w:keepNext/>
      <w:spacing w:before="360" w:after="120"/>
      <w:jc w:val="center"/>
    </w:pPr>
    <w:rPr>
      <w:rFonts w:ascii="Times New Roman" w:hAnsi="Times New Roman"/>
      <w:i/>
      <w:color w:val="auto"/>
      <w:sz w:val="24"/>
      <w:szCs w:val="24"/>
    </w:rPr>
  </w:style>
  <w:style w:type="paragraph" w:customStyle="1" w:styleId="Baseparagraphnumbered">
    <w:name w:val="Base paragraph numbered"/>
    <w:basedOn w:val="Normal"/>
    <w:link w:val="BaseparagraphnumberedChar"/>
    <w:qFormat/>
    <w:rsid w:val="00F4754B"/>
    <w:pPr>
      <w:numPr>
        <w:numId w:val="24"/>
      </w:numPr>
      <w:spacing w:after="240"/>
      <w:jc w:val="both"/>
    </w:pPr>
    <w:rPr>
      <w:rFonts w:ascii="Times New Roman" w:hAnsi="Times New Roman"/>
      <w:color w:val="auto"/>
      <w:sz w:val="24"/>
      <w:szCs w:val="24"/>
    </w:rPr>
  </w:style>
  <w:style w:type="character" w:customStyle="1" w:styleId="BaseparagraphnumberedChar">
    <w:name w:val="Base paragraph numbered Char"/>
    <w:link w:val="Baseparagraphnumbered"/>
    <w:rsid w:val="00F4754B"/>
    <w:rPr>
      <w:sz w:val="24"/>
      <w:szCs w:val="24"/>
      <w:lang w:eastAsia="pl-PL"/>
    </w:rPr>
  </w:style>
  <w:style w:type="character" w:customStyle="1" w:styleId="style461">
    <w:name w:val="style461"/>
    <w:basedOn w:val="DefaultParagraphFont"/>
    <w:rsid w:val="00F4754B"/>
    <w:rPr>
      <w:color w:val="FF5A00"/>
    </w:rPr>
  </w:style>
  <w:style w:type="paragraph" w:customStyle="1" w:styleId="Default">
    <w:name w:val="Default"/>
    <w:rsid w:val="00F4754B"/>
    <w:pPr>
      <w:autoSpaceDE w:val="0"/>
      <w:autoSpaceDN w:val="0"/>
      <w:adjustRightInd w:val="0"/>
    </w:pPr>
    <w:rPr>
      <w:rFonts w:ascii="Verdana" w:eastAsia="Calibri" w:hAnsi="Verdana" w:cs="Verdana"/>
      <w:color w:val="000000"/>
      <w:sz w:val="24"/>
      <w:szCs w:val="24"/>
    </w:rPr>
  </w:style>
  <w:style w:type="character" w:customStyle="1" w:styleId="TitrearticleChar">
    <w:name w:val="Titre article Char"/>
    <w:basedOn w:val="DefaultParagraphFont"/>
    <w:link w:val="Titrearticle"/>
    <w:rsid w:val="00F4754B"/>
    <w:rPr>
      <w:i/>
      <w:sz w:val="24"/>
      <w:szCs w:val="24"/>
      <w:lang w:eastAsia="pl-PL"/>
    </w:rPr>
  </w:style>
  <w:style w:type="paragraph" w:customStyle="1" w:styleId="Point0number">
    <w:name w:val="Point 0 (number)"/>
    <w:basedOn w:val="Normal"/>
    <w:rsid w:val="00F4754B"/>
    <w:pPr>
      <w:tabs>
        <w:tab w:val="num" w:pos="360"/>
      </w:tabs>
      <w:spacing w:before="120" w:after="120"/>
      <w:ind w:left="850" w:hanging="850"/>
      <w:jc w:val="both"/>
    </w:pPr>
    <w:rPr>
      <w:rFonts w:ascii="Times New Roman" w:hAnsi="Times New Roman"/>
      <w:color w:val="auto"/>
      <w:sz w:val="24"/>
      <w:szCs w:val="24"/>
    </w:rPr>
  </w:style>
  <w:style w:type="paragraph" w:customStyle="1" w:styleId="Style1">
    <w:name w:val="Style1"/>
    <w:basedOn w:val="Instructionsberschrift2"/>
    <w:link w:val="Style1Char"/>
    <w:qFormat/>
    <w:rsid w:val="00F4754B"/>
    <w:pPr>
      <w:numPr>
        <w:numId w:val="0"/>
      </w:numPr>
      <w:pBdr>
        <w:top w:val="single" w:sz="4" w:space="1" w:color="auto"/>
        <w:left w:val="single" w:sz="4" w:space="4" w:color="auto"/>
        <w:bottom w:val="single" w:sz="4" w:space="0" w:color="auto"/>
        <w:right w:val="single" w:sz="4" w:space="4" w:color="auto"/>
      </w:pBdr>
      <w:ind w:left="717"/>
      <w:jc w:val="left"/>
    </w:pPr>
    <w:rPr>
      <w:b/>
      <w:szCs w:val="17"/>
      <w:u w:val="none"/>
    </w:rPr>
  </w:style>
  <w:style w:type="character" w:customStyle="1" w:styleId="Instructionsberschrift2Char">
    <w:name w:val="Instructions Überschrift 2 Char"/>
    <w:basedOn w:val="Heading2Char"/>
    <w:link w:val="Instructionsberschrift2"/>
    <w:rsid w:val="00F4754B"/>
    <w:rPr>
      <w:rFonts w:ascii="Arial" w:hAnsi="Arial" w:cs="Arial"/>
      <w:color w:val="48748F" w:themeColor="accent1"/>
      <w:sz w:val="24"/>
      <w:szCs w:val="24"/>
      <w:u w:val="single"/>
      <w:lang w:eastAsia="pl-PL"/>
    </w:rPr>
  </w:style>
  <w:style w:type="character" w:customStyle="1" w:styleId="Style1Char">
    <w:name w:val="Style1 Char"/>
    <w:basedOn w:val="Instructionsberschrift2Char"/>
    <w:link w:val="Style1"/>
    <w:rsid w:val="00F4754B"/>
    <w:rPr>
      <w:rFonts w:ascii="Arial" w:hAnsi="Arial" w:cs="Arial"/>
      <w:b/>
      <w:color w:val="48748F" w:themeColor="accent1"/>
      <w:sz w:val="24"/>
      <w:szCs w:val="17"/>
      <w:u w:val="single"/>
      <w:lang w:eastAsia="pl-PL"/>
    </w:rPr>
  </w:style>
  <w:style w:type="paragraph" w:customStyle="1" w:styleId="PointTriple1">
    <w:name w:val="PointTriple 1"/>
    <w:basedOn w:val="Normal"/>
    <w:rsid w:val="00F4754B"/>
    <w:pPr>
      <w:tabs>
        <w:tab w:val="left" w:pos="1417"/>
        <w:tab w:val="left" w:pos="1984"/>
      </w:tabs>
      <w:spacing w:before="120" w:after="120"/>
      <w:ind w:left="2551" w:hanging="1701"/>
      <w:jc w:val="both"/>
    </w:pPr>
    <w:rPr>
      <w:rFonts w:ascii="Times New Roman" w:hAnsi="Times New Roman"/>
      <w:color w:val="auto"/>
      <w:sz w:val="24"/>
      <w:szCs w:val="24"/>
    </w:rPr>
  </w:style>
  <w:style w:type="paragraph" w:styleId="ListParagraph">
    <w:name w:val="List Paragraph"/>
    <w:basedOn w:val="Normal"/>
    <w:uiPriority w:val="34"/>
    <w:qFormat/>
    <w:rsid w:val="00F4754B"/>
    <w:pPr>
      <w:spacing w:before="120" w:after="120"/>
      <w:ind w:left="720"/>
      <w:contextualSpacing/>
      <w:jc w:val="both"/>
    </w:pPr>
    <w:rPr>
      <w:rFonts w:ascii="Verdana" w:hAnsi="Verdana"/>
      <w:color w:val="auto"/>
      <w:sz w:val="20"/>
      <w:szCs w:val="24"/>
    </w:rPr>
  </w:style>
  <w:style w:type="paragraph" w:styleId="NormalWeb">
    <w:name w:val="Normal (Web)"/>
    <w:basedOn w:val="Normal"/>
    <w:uiPriority w:val="99"/>
    <w:semiHidden/>
    <w:unhideWhenUsed/>
    <w:rsid w:val="00F4754B"/>
    <w:pPr>
      <w:spacing w:before="100" w:beforeAutospacing="1" w:after="100" w:afterAutospacing="1"/>
    </w:pPr>
    <w:rPr>
      <w:rFonts w:ascii="Times New Roman" w:hAnsi="Times New Roman"/>
      <w:color w:val="auto"/>
      <w:sz w:val="24"/>
      <w:szCs w:val="24"/>
    </w:rPr>
  </w:style>
  <w:style w:type="character" w:styleId="Strong">
    <w:name w:val="Strong"/>
    <w:basedOn w:val="DefaultParagraphFont"/>
    <w:uiPriority w:val="22"/>
    <w:qFormat/>
    <w:rsid w:val="00F4754B"/>
    <w:rPr>
      <w:b/>
      <w:bCs/>
    </w:rPr>
  </w:style>
  <w:style w:type="paragraph" w:customStyle="1" w:styleId="CM1">
    <w:name w:val="CM1"/>
    <w:basedOn w:val="Default"/>
    <w:next w:val="Default"/>
    <w:uiPriority w:val="99"/>
    <w:rsid w:val="00F4754B"/>
    <w:rPr>
      <w:rFonts w:ascii="EUAlbertina" w:eastAsiaTheme="minorHAnsi" w:hAnsi="EUAlbertina" w:cstheme="minorBidi"/>
      <w:color w:val="auto"/>
    </w:rPr>
  </w:style>
  <w:style w:type="paragraph" w:customStyle="1" w:styleId="CM3">
    <w:name w:val="CM3"/>
    <w:basedOn w:val="Default"/>
    <w:next w:val="Default"/>
    <w:uiPriority w:val="99"/>
    <w:rsid w:val="00F4754B"/>
    <w:rPr>
      <w:rFonts w:ascii="EUAlbertina" w:eastAsiaTheme="minorHAnsi" w:hAnsi="EUAlbertina" w:cstheme="minorBidi"/>
      <w:color w:val="auto"/>
    </w:rPr>
  </w:style>
  <w:style w:type="paragraph" w:customStyle="1" w:styleId="Paragraph">
    <w:name w:val="Paragraph"/>
    <w:basedOn w:val="Normal"/>
    <w:link w:val="ParagraphChar"/>
    <w:qFormat/>
    <w:rsid w:val="00FA2520"/>
    <w:pPr>
      <w:tabs>
        <w:tab w:val="left" w:pos="794"/>
      </w:tabs>
      <w:spacing w:after="120"/>
      <w:ind w:firstLine="794"/>
      <w:jc w:val="both"/>
    </w:pPr>
    <w:rPr>
      <w:rFonts w:ascii="Segoe UI" w:hAnsi="Segoe UI"/>
      <w:color w:val="auto"/>
      <w:sz w:val="20"/>
    </w:rPr>
  </w:style>
  <w:style w:type="character" w:customStyle="1" w:styleId="ParagraphChar">
    <w:name w:val="Paragraph Char"/>
    <w:link w:val="Paragraph"/>
    <w:locked/>
    <w:rsid w:val="00FA2520"/>
    <w:rPr>
      <w:rFonts w:ascii="Segoe UI" w:hAnsi="Segoe UI"/>
      <w:lang w:eastAsia="pl-PL"/>
    </w:rPr>
  </w:style>
  <w:style w:type="paragraph" w:customStyle="1" w:styleId="FirstParagraph">
    <w:name w:val="FirstParagraph"/>
    <w:basedOn w:val="Paragraph"/>
    <w:next w:val="Paragraph"/>
    <w:qFormat/>
    <w:rsid w:val="00FD5C02"/>
    <w:pPr>
      <w:spacing w:before="120"/>
      <w:ind w:firstLine="0"/>
    </w:pPr>
  </w:style>
  <w:style w:type="paragraph" w:customStyle="1" w:styleId="TableText0">
    <w:name w:val="TableText"/>
    <w:basedOn w:val="Normal"/>
    <w:rsid w:val="00FD5C02"/>
    <w:pPr>
      <w:spacing w:before="40" w:after="40"/>
    </w:pPr>
    <w:rPr>
      <w:rFonts w:ascii="Segoe UI" w:hAnsi="Segoe UI"/>
      <w:color w:val="auto"/>
      <w:sz w:val="17"/>
    </w:rPr>
  </w:style>
  <w:style w:type="character" w:customStyle="1" w:styleId="DeltaViewInsertion">
    <w:name w:val="DeltaView Insertion"/>
    <w:rsid w:val="00772B95"/>
    <w:rPr>
      <w:color w:val="0000FF"/>
      <w:spacing w:val="0"/>
      <w:u w:val="double"/>
    </w:rPr>
  </w:style>
  <w:style w:type="character" w:styleId="PlaceholderText">
    <w:name w:val="Placeholder Text"/>
    <w:basedOn w:val="DefaultParagraphFont"/>
    <w:uiPriority w:val="99"/>
    <w:semiHidden/>
    <w:rsid w:val="00B64C27"/>
    <w:rPr>
      <w:color w:val="808080"/>
    </w:rPr>
  </w:style>
  <w:style w:type="paragraph" w:styleId="Revision">
    <w:name w:val="Revision"/>
    <w:hidden/>
    <w:uiPriority w:val="99"/>
    <w:semiHidden/>
    <w:rsid w:val="005C5A30"/>
    <w:rPr>
      <w:rFonts w:ascii="Arial" w:hAnsi="Arial"/>
      <w:color w:val="000000"/>
      <w:sz w:val="18"/>
    </w:rPr>
  </w:style>
  <w:style w:type="paragraph" w:customStyle="1" w:styleId="Car2">
    <w:name w:val="Car2"/>
    <w:basedOn w:val="Normal"/>
    <w:rsid w:val="0090360B"/>
    <w:pPr>
      <w:spacing w:after="160" w:line="240" w:lineRule="exact"/>
    </w:pPr>
    <w:rPr>
      <w:rFonts w:ascii="Tahoma" w:hAnsi="Tahoma"/>
      <w:color w:val="auto"/>
      <w:sz w:val="20"/>
    </w:rPr>
  </w:style>
  <w:style w:type="paragraph" w:styleId="NoSpacing">
    <w:name w:val="No Spacing"/>
    <w:link w:val="NoSpacingChar"/>
    <w:uiPriority w:val="1"/>
    <w:qFormat/>
    <w:rsid w:val="003C4CC8"/>
    <w:rPr>
      <w:rFonts w:asciiTheme="minorHAnsi" w:eastAsiaTheme="minorEastAsia" w:hAnsiTheme="minorHAnsi" w:cstheme="minorBidi"/>
      <w:sz w:val="22"/>
      <w:szCs w:val="22"/>
    </w:rPr>
  </w:style>
  <w:style w:type="character" w:customStyle="1" w:styleId="NoSpacingChar">
    <w:name w:val="No Spacing Char"/>
    <w:basedOn w:val="DefaultParagraphFont"/>
    <w:link w:val="NoSpacing"/>
    <w:uiPriority w:val="1"/>
    <w:rsid w:val="003C4CC8"/>
    <w:rPr>
      <w:rFonts w:asciiTheme="minorHAnsi" w:eastAsiaTheme="minorEastAsia" w:hAnsiTheme="minorHAnsi" w:cstheme="minorBidi"/>
      <w:sz w:val="22"/>
      <w:szCs w:val="22"/>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8566848">
      <w:bodyDiv w:val="1"/>
      <w:marLeft w:val="0"/>
      <w:marRight w:val="0"/>
      <w:marTop w:val="0"/>
      <w:marBottom w:val="0"/>
      <w:divBdr>
        <w:top w:val="none" w:sz="0" w:space="0" w:color="auto"/>
        <w:left w:val="none" w:sz="0" w:space="0" w:color="auto"/>
        <w:bottom w:val="none" w:sz="0" w:space="0" w:color="auto"/>
        <w:right w:val="none" w:sz="0" w:space="0" w:color="auto"/>
      </w:divBdr>
    </w:div>
    <w:div w:id="853229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4.xml"/><Relationship Id="rId20" Type="http://schemas.microsoft.com/office/2011/relationships/people" Target="people.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footer" Target="footer3.xml"/></Relationships>
</file>

<file path=word/theme/theme1.xml><?xml version="1.0" encoding="utf-8"?>
<a:theme xmlns:a="http://schemas.openxmlformats.org/drawingml/2006/main" name="EBA">
  <a:themeElements>
    <a:clrScheme name="EBA">
      <a:dk1>
        <a:sysClr val="windowText" lastClr="000000"/>
      </a:dk1>
      <a:lt1>
        <a:sysClr val="window" lastClr="FFFFFF"/>
      </a:lt1>
      <a:dk2>
        <a:srgbClr val="005596"/>
      </a:dk2>
      <a:lt2>
        <a:srgbClr val="00AEEF"/>
      </a:lt2>
      <a:accent1>
        <a:srgbClr val="48748F"/>
      </a:accent1>
      <a:accent2>
        <a:srgbClr val="807F83"/>
      </a:accent2>
      <a:accent3>
        <a:srgbClr val="A30134"/>
      </a:accent3>
      <a:accent4>
        <a:srgbClr val="D9531E"/>
      </a:accent4>
      <a:accent5>
        <a:srgbClr val="439539"/>
      </a:accent5>
      <a:accent6>
        <a:srgbClr val="7C2B83"/>
      </a:accent6>
      <a:hlink>
        <a:srgbClr val="005596"/>
      </a:hlink>
      <a:folHlink>
        <a:srgbClr val="00AEEF"/>
      </a:folHlink>
    </a:clrScheme>
    <a:fontScheme name="EBA">
      <a:majorFont>
        <a:latin typeface="Verdan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custClrLst>
    <a:custClr name="Black">
      <a:srgbClr val="000000"/>
    </a:custClr>
    <a:custClr name="Mid Grey">
      <a:srgbClr val="BEC0C2"/>
    </a:custClr>
    <a:custClr name="Light Grey">
      <a:srgbClr val="E6E7E8"/>
    </a:custClr>
    <a:custClr name="Gold">
      <a:srgbClr val="F99D3E"/>
    </a:custClr>
    <a:custClr name="Pale Gold">
      <a:srgbClr val="FEE3C7"/>
    </a:custClr>
    <a:custClr name="Yellow">
      <a:srgbClr val="FFD200"/>
    </a:custClr>
    <a:custClr name="Mid Green">
      <a:srgbClr val="8CA829"/>
    </a:custClr>
    <a:custClr name="Pale Green">
      <a:srgbClr val="A0CA9C"/>
    </a:custClr>
    <a:custClr name="Mid Grey-Blue">
      <a:srgbClr val="96ACBF"/>
    </a:custClr>
    <a:custClr name="Pale Blue">
      <a:srgbClr val="7FD6F7"/>
    </a:custClr>
    <a:custClr name="Mid Purple">
      <a:srgbClr val="9D60A2"/>
    </a:custClr>
    <a:custClr name="Pale Purple">
      <a:srgbClr val="D18099"/>
    </a:custClr>
  </a:custClr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0E31E96-BD1C-43CD-94CD-93D39DD7A537}">
  <ds:schemaRefs>
    <ds:schemaRef ds:uri="http://schemas.openxmlformats.org/officeDocument/2006/bibliography"/>
  </ds:schemaRefs>
</ds:datastoreItem>
</file>

<file path=customXml/itemProps2.xml><?xml version="1.0" encoding="utf-8"?>
<ds:datastoreItem xmlns:ds="http://schemas.openxmlformats.org/officeDocument/2006/customXml" ds:itemID="{05FCF48D-27E8-4FEC-ADDF-AD46188C9B84}">
  <ds:schemaRefs>
    <ds:schemaRef ds:uri="http://schemas.openxmlformats.org/officeDocument/2006/bibliography"/>
  </ds:schemaRefs>
</ds:datastoreItem>
</file>

<file path=customXml/itemProps3.xml><?xml version="1.0" encoding="utf-8"?>
<ds:datastoreItem xmlns:ds="http://schemas.openxmlformats.org/officeDocument/2006/customXml" ds:itemID="{B8339934-ED0C-4695-8CDB-E95E2387E8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48</Pages>
  <Words>16597</Words>
  <Characters>111326</Characters>
  <Application>Microsoft Office Word</Application>
  <DocSecurity>0</DocSecurity>
  <Lines>3008</Lines>
  <Paragraphs>1279</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EBA Short Report</vt:lpstr>
      <vt:lpstr>EBA Short Report</vt:lpstr>
      <vt:lpstr>EBA Short Report</vt:lpstr>
    </vt:vector>
  </TitlesOfParts>
  <Company>Microsoft</Company>
  <LinksUpToDate>false</LinksUpToDate>
  <CharactersWithSpaces>126644</CharactersWithSpaces>
  <SharedDoc>false</SharedDoc>
  <HLinks>
    <vt:vector size="12" baseType="variant">
      <vt:variant>
        <vt:i4>2687087</vt:i4>
      </vt:variant>
      <vt:variant>
        <vt:i4>-1</vt:i4>
      </vt:variant>
      <vt:variant>
        <vt:i4>2054</vt:i4>
      </vt:variant>
      <vt:variant>
        <vt:i4>1</vt:i4>
      </vt:variant>
      <vt:variant>
        <vt:lpwstr>Clients Q-T:Sloane Robinson:logo AW:SR_LOGO_PMS-2768.bmp</vt:lpwstr>
      </vt:variant>
      <vt:variant>
        <vt:lpwstr/>
      </vt:variant>
      <vt:variant>
        <vt:i4>2687087</vt:i4>
      </vt:variant>
      <vt:variant>
        <vt:i4>-1</vt:i4>
      </vt:variant>
      <vt:variant>
        <vt:i4>2055</vt:i4>
      </vt:variant>
      <vt:variant>
        <vt:i4>1</vt:i4>
      </vt:variant>
      <vt:variant>
        <vt:lpwstr>Clients Q-T:Sloane Robinson:logo AW:SR_LOGO_PMS-2768.bmp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EBA Short Report</dc:title>
  <dc:creator>dchatzimanoli</dc:creator>
  <cp:lastModifiedBy>WOLSAN Tomasz (DGT)</cp:lastModifiedBy>
  <cp:revision>24</cp:revision>
  <cp:lastPrinted>2015-04-10T08:05:00Z</cp:lastPrinted>
  <dcterms:created xsi:type="dcterms:W3CDTF">2018-02-06T16:20:00Z</dcterms:created>
  <dcterms:modified xsi:type="dcterms:W3CDTF">2018-08-22T07:08:00Z</dcterms:modified>
</cp:coreProperties>
</file>