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68A62A47" w:rsidR="001B7C2B" w:rsidRDefault="002D14AF" w:rsidP="001B7C2B">
      <w:pPr>
        <w:jc w:val="center"/>
        <w:rPr>
          <w:rFonts w:ascii="Times New Roman" w:hAnsi="Times New Roman"/>
          <w:b/>
          <w:sz w:val="24"/>
        </w:rPr>
      </w:pPr>
      <w:bookmarkStart w:id="0" w:name="_GoBack"/>
      <w:bookmarkEnd w:id="0"/>
      <w:r>
        <w:rPr>
          <w:rFonts w:ascii="Times New Roman" w:hAnsi="Times New Roman"/>
          <w:b/>
          <w:sz w:val="24"/>
        </w:rPr>
        <w:t>FR</w:t>
      </w:r>
      <w:r w:rsidR="001B7C2B">
        <w:rPr>
          <w:rFonts w:ascii="Times New Roman" w:hAnsi="Times New Roman"/>
          <w:b/>
          <w:sz w:val="24"/>
        </w:rPr>
        <w:br/>
        <w:t>ANNEXE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«ANNEXE XIX</w:t>
      </w:r>
    </w:p>
    <w:p w14:paraId="1796FE74" w14:textId="29CC78AB" w:rsidR="007F5684" w:rsidRPr="00F30436" w:rsidRDefault="007F5684" w:rsidP="00F30436">
      <w:pPr>
        <w:jc w:val="center"/>
        <w:rPr>
          <w:b/>
          <w:szCs w:val="20"/>
        </w:rPr>
      </w:pPr>
      <w:r>
        <w:rPr>
          <w:b/>
        </w:rPr>
        <w:t>INSTRUCTIONS D’UTILISATION DES MODÈLES POUR LES OUTILS DE SUIVI SUPPLÉMENTAIRES FIGURANT À L’ANNEXE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Outils de suivi supplémentaires</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Pr>
          <w:rFonts w:ascii="Times New Roman" w:hAnsi="Times New Roman"/>
        </w:rPr>
        <w:t xml:space="preserve">Remarques générales </w:t>
      </w:r>
      <w:bookmarkEnd w:id="1"/>
      <w:bookmarkEnd w:id="2"/>
    </w:p>
    <w:p w14:paraId="28146638" w14:textId="3B48FC46" w:rsidR="00A344AA" w:rsidRDefault="004D4244" w:rsidP="008A3AEA">
      <w:pPr>
        <w:pStyle w:val="InstructionsText2"/>
        <w:numPr>
          <w:ilvl w:val="0"/>
          <w:numId w:val="4"/>
        </w:numPr>
        <w:rPr>
          <w:szCs w:val="20"/>
          <w:u w:val="none"/>
        </w:rPr>
      </w:pPr>
      <w:r>
        <w:rPr>
          <w:u w:val="none"/>
        </w:rPr>
        <w:t>Afin d’assurer le suivi du risque de liquidité d’un établissement qui ne relève pas des rapports sur la couverture des besoins de liquidité et le financement stable, les établissements remplissent le modèle figurant à l’annexe XVIII, conformément aux instructions de la présente annexe.</w:t>
      </w:r>
    </w:p>
    <w:p w14:paraId="39998106" w14:textId="1169C0B2" w:rsidR="00A344AA" w:rsidRPr="007F5684" w:rsidRDefault="00A344AA" w:rsidP="004D4244">
      <w:pPr>
        <w:pStyle w:val="InstructionsText2"/>
        <w:numPr>
          <w:ilvl w:val="0"/>
          <w:numId w:val="4"/>
        </w:numPr>
        <w:rPr>
          <w:szCs w:val="20"/>
          <w:u w:val="none"/>
        </w:rPr>
      </w:pPr>
      <w:r>
        <w:rPr>
          <w:u w:val="none"/>
        </w:rPr>
        <w:t>Le financement total inclut tous les passifs financiers autres que les dérivés et les positions courtes.</w:t>
      </w:r>
    </w:p>
    <w:p w14:paraId="50F797C6" w14:textId="2BEA0B9F" w:rsidR="00A344AA" w:rsidRPr="005C26CD" w:rsidRDefault="00A344AA" w:rsidP="004D4244">
      <w:pPr>
        <w:pStyle w:val="InstructionsText2"/>
        <w:numPr>
          <w:ilvl w:val="0"/>
          <w:numId w:val="4"/>
        </w:numPr>
        <w:rPr>
          <w:szCs w:val="20"/>
          <w:u w:val="none"/>
        </w:rPr>
      </w:pPr>
      <w:r>
        <w:rPr>
          <w:u w:val="none"/>
        </w:rPr>
        <w:t xml:space="preserve">Les financements à échéance ouverte, y compris les dépôts à vue, sont considérés comme étant à échéance journalière. </w:t>
      </w:r>
    </w:p>
    <w:p w14:paraId="4586638B" w14:textId="7526809A" w:rsidR="00A344AA" w:rsidRPr="005C26CD" w:rsidRDefault="00A344AA" w:rsidP="004D4244">
      <w:pPr>
        <w:pStyle w:val="InstructionsText2"/>
        <w:numPr>
          <w:ilvl w:val="0"/>
          <w:numId w:val="4"/>
        </w:numPr>
        <w:rPr>
          <w:szCs w:val="20"/>
          <w:u w:val="none"/>
        </w:rPr>
      </w:pPr>
      <w:r>
        <w:rPr>
          <w:u w:val="none"/>
        </w:rPr>
        <w:t>L’échéance initiale correspond au délai qui sépare la date d’initiation de la date d’échéance du financement. La date d’échéance du financement est déterminée conformément au point </w:t>
      </w:r>
      <w:r w:rsidRPr="00DE5DBB">
        <w:rPr>
          <w:u w:val="none"/>
        </w:rPr>
        <w:t>12</w:t>
      </w:r>
      <w:r>
        <w:rPr>
          <w:u w:val="none"/>
        </w:rPr>
        <w:t xml:space="preserve"> de l’annexe XXIII. Cela signifie que, lorsque des options existent, comme dans le cas du point </w:t>
      </w:r>
      <w:r w:rsidRPr="00DE5DBB">
        <w:rPr>
          <w:u w:val="none"/>
        </w:rPr>
        <w:t>12</w:t>
      </w:r>
      <w:r>
        <w:rPr>
          <w:u w:val="none"/>
        </w:rPr>
        <w:t xml:space="preserve"> de l’annexe XXIII, l’échéance initiale d’un élément de financement peut être plus courte que le temps écoulé depuis son initiation. </w:t>
      </w:r>
    </w:p>
    <w:p w14:paraId="4FA59274" w14:textId="20DE3BF0" w:rsidR="00A344AA" w:rsidRPr="004D4244" w:rsidRDefault="00A344AA" w:rsidP="004D4244">
      <w:pPr>
        <w:pStyle w:val="InstructionsText2"/>
        <w:numPr>
          <w:ilvl w:val="0"/>
          <w:numId w:val="4"/>
        </w:numPr>
        <w:rPr>
          <w:szCs w:val="20"/>
          <w:u w:val="none"/>
        </w:rPr>
      </w:pPr>
      <w:r>
        <w:rPr>
          <w:u w:val="none"/>
        </w:rPr>
        <w:t>L’échéance résiduelle est l’intervalle de temps entre la fin de la période de déclaration et la date d’échéance du financement. La date d’échéance du financement est déterminée conformément au point </w:t>
      </w:r>
      <w:r w:rsidRPr="00DE5DBB">
        <w:rPr>
          <w:u w:val="none"/>
        </w:rPr>
        <w:t>12</w:t>
      </w:r>
      <w:r>
        <w:rPr>
          <w:u w:val="none"/>
        </w:rPr>
        <w:t xml:space="preserve"> de l’annexe XXIII.</w:t>
      </w:r>
    </w:p>
    <w:p w14:paraId="1DF04682" w14:textId="0F5CD7EB" w:rsidR="007462FE" w:rsidRPr="004D4244" w:rsidRDefault="007462FE" w:rsidP="004D4244">
      <w:pPr>
        <w:pStyle w:val="InstructionsText2"/>
        <w:numPr>
          <w:ilvl w:val="0"/>
          <w:numId w:val="4"/>
        </w:numPr>
        <w:rPr>
          <w:szCs w:val="20"/>
          <w:u w:val="none"/>
        </w:rPr>
      </w:pPr>
      <w:r>
        <w:rPr>
          <w:u w:val="none"/>
        </w:rPr>
        <w:t>Aux fins du calcul de l’échéance initiale ou résiduelle moyenne pondérée, les dépôts à échéance journalière sont considérés comme ayant une échéance d’un jour.</w:t>
      </w:r>
    </w:p>
    <w:p w14:paraId="25CD9EF4" w14:textId="173EC59C" w:rsidR="007462FE" w:rsidRPr="005C26CD" w:rsidRDefault="007462FE" w:rsidP="004D4244">
      <w:pPr>
        <w:pStyle w:val="InstructionsText2"/>
        <w:numPr>
          <w:ilvl w:val="0"/>
          <w:numId w:val="4"/>
        </w:numPr>
        <w:rPr>
          <w:szCs w:val="20"/>
          <w:u w:val="none"/>
        </w:rPr>
      </w:pPr>
      <w:r>
        <w:rPr>
          <w:u w:val="none"/>
        </w:rPr>
        <w:t>Aux fins du calcul de l’échéance initiale et de l’échéance résiduelle, lorsqu’un financement est assorti d’un délai de préavis ou d’une clause d’annulation ou de retrait anticipé pour la contrepartie de l’établissement, l’hypothèse retenue est celle d’un retrait à la première date possible.</w:t>
      </w:r>
    </w:p>
    <w:p w14:paraId="2B81E2EC" w14:textId="77D4003A" w:rsidR="00A344AA" w:rsidRPr="005C26CD" w:rsidRDefault="00A344AA" w:rsidP="004D4244">
      <w:pPr>
        <w:pStyle w:val="InstructionsText2"/>
        <w:numPr>
          <w:ilvl w:val="0"/>
          <w:numId w:val="4"/>
        </w:numPr>
        <w:rPr>
          <w:szCs w:val="20"/>
          <w:u w:val="none"/>
        </w:rPr>
      </w:pPr>
      <w:r>
        <w:rPr>
          <w:u w:val="none"/>
        </w:rPr>
        <w:t>Dans le cas des passifs perpétuels, sauf s’il existe des options comme indiqué au point </w:t>
      </w:r>
      <w:r w:rsidRPr="00DE5DBB">
        <w:rPr>
          <w:u w:val="none"/>
        </w:rPr>
        <w:t>12</w:t>
      </w:r>
      <w:r>
        <w:rPr>
          <w:u w:val="none"/>
        </w:rPr>
        <w:t xml:space="preserve"> de l’annexe XXIII, une échéance initiale et résiduelle fixe de vingt ans est supposée.</w:t>
      </w:r>
    </w:p>
    <w:p w14:paraId="30EB5133" w14:textId="46DCEFBD" w:rsidR="00A344AA" w:rsidRDefault="00A344AA" w:rsidP="004D4244">
      <w:pPr>
        <w:pStyle w:val="InstructionsText2"/>
        <w:numPr>
          <w:ilvl w:val="0"/>
          <w:numId w:val="4"/>
        </w:numPr>
        <w:rPr>
          <w:szCs w:val="20"/>
          <w:u w:val="none"/>
        </w:rPr>
      </w:pPr>
      <w:r>
        <w:rPr>
          <w:u w:val="none"/>
        </w:rPr>
        <w:t xml:space="preserve">Pour le calcul du seuil par monnaie importante conformément aux modèles de déclaration C </w:t>
      </w:r>
      <w:r w:rsidRPr="00DE5DBB">
        <w:rPr>
          <w:u w:val="none"/>
        </w:rPr>
        <w:t>67</w:t>
      </w:r>
      <w:r>
        <w:rPr>
          <w:u w:val="none"/>
        </w:rPr>
        <w:t>.</w:t>
      </w:r>
      <w:r w:rsidRPr="00DE5DBB">
        <w:rPr>
          <w:u w:val="none"/>
        </w:rPr>
        <w:t>00</w:t>
      </w:r>
      <w:r>
        <w:rPr>
          <w:u w:val="none"/>
        </w:rPr>
        <w:t xml:space="preserve"> et C </w:t>
      </w:r>
      <w:r w:rsidRPr="00DE5DBB">
        <w:rPr>
          <w:u w:val="none"/>
        </w:rPr>
        <w:t>68</w:t>
      </w:r>
      <w:r>
        <w:rPr>
          <w:u w:val="none"/>
        </w:rPr>
        <w:t>.</w:t>
      </w:r>
      <w:r w:rsidRPr="00DE5DBB">
        <w:rPr>
          <w:u w:val="none"/>
        </w:rPr>
        <w:t>00</w:t>
      </w:r>
      <w:r>
        <w:rPr>
          <w:u w:val="none"/>
        </w:rPr>
        <w:t xml:space="preserve">, les établissements utilisent un seuil de </w:t>
      </w:r>
      <w:r w:rsidRPr="00DE5DBB">
        <w:rPr>
          <w:u w:val="none"/>
        </w:rPr>
        <w:t>1</w:t>
      </w:r>
      <w:r>
        <w:rPr>
          <w:u w:val="none"/>
        </w:rPr>
        <w:t> % du total des passifs libellés dans toutes les monnaies.</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Concentration des financements par contrepartie (C </w:t>
      </w:r>
      <w:r w:rsidRPr="00DE5DBB">
        <w:rPr>
          <w:rFonts w:ascii="Times New Roman" w:hAnsi="Times New Roman"/>
        </w:rPr>
        <w:t>67</w:t>
      </w:r>
      <w:r>
        <w:rPr>
          <w:rFonts w:ascii="Times New Roman" w:hAnsi="Times New Roman"/>
        </w:rPr>
        <w:t>.</w:t>
      </w:r>
      <w:r w:rsidRPr="00DE5DBB">
        <w:rPr>
          <w:rFonts w:ascii="Times New Roman" w:hAnsi="Times New Roman"/>
        </w:rPr>
        <w:t>00</w:t>
      </w:r>
      <w:r>
        <w:rPr>
          <w:rFonts w:ascii="Times New Roman" w:hAnsi="Times New Roman"/>
        </w:rPr>
        <w:t>)</w:t>
      </w:r>
    </w:p>
    <w:p w14:paraId="322C1A75" w14:textId="525ED095" w:rsidR="00A344AA" w:rsidRPr="007F5684" w:rsidRDefault="00490B62" w:rsidP="00432D9F">
      <w:pPr>
        <w:pStyle w:val="InstructionsText2"/>
        <w:numPr>
          <w:ilvl w:val="0"/>
          <w:numId w:val="6"/>
        </w:numPr>
        <w:rPr>
          <w:szCs w:val="20"/>
          <w:u w:val="none"/>
        </w:rPr>
      </w:pPr>
      <w:r>
        <w:rPr>
          <w:u w:val="none"/>
        </w:rPr>
        <w:t xml:space="preserve">Pour permettre la collecte d’informations sur la concentration des financements des établissements déclarants par contrepartie dans le modèle C </w:t>
      </w:r>
      <w:r w:rsidRPr="00DE5DBB">
        <w:rPr>
          <w:u w:val="none"/>
        </w:rPr>
        <w:t>67</w:t>
      </w:r>
      <w:r>
        <w:rPr>
          <w:u w:val="none"/>
        </w:rPr>
        <w:t>.</w:t>
      </w:r>
      <w:r w:rsidRPr="00DE5DBB">
        <w:rPr>
          <w:u w:val="none"/>
        </w:rPr>
        <w:t>00</w:t>
      </w:r>
      <w:r>
        <w:rPr>
          <w:u w:val="none"/>
        </w:rPr>
        <w:t>, les établissements doivent appliquer les instructions contenues dans la présente section.</w:t>
      </w:r>
    </w:p>
    <w:p w14:paraId="52091F90" w14:textId="16D35E11" w:rsidR="00A344AA" w:rsidRPr="00422131" w:rsidRDefault="00A344AA" w:rsidP="00E067B1">
      <w:pPr>
        <w:pStyle w:val="InstructionsText2"/>
        <w:numPr>
          <w:ilvl w:val="0"/>
          <w:numId w:val="6"/>
        </w:numPr>
        <w:rPr>
          <w:szCs w:val="20"/>
          <w:u w:val="none"/>
        </w:rPr>
      </w:pPr>
      <w:r>
        <w:rPr>
          <w:u w:val="none"/>
        </w:rPr>
        <w:t xml:space="preserve">Les établissements déclarent dans les sous-lignes de la section </w:t>
      </w:r>
      <w:r w:rsidRPr="00DE5DBB">
        <w:rPr>
          <w:u w:val="none"/>
        </w:rPr>
        <w:t>1</w:t>
      </w:r>
      <w:r>
        <w:rPr>
          <w:u w:val="none"/>
        </w:rPr>
        <w:t xml:space="preserve"> du modèle les dix principales contreparties ou principaux groupes de clients liés, au sens de l’article </w:t>
      </w:r>
      <w:r w:rsidRPr="00DE5DBB">
        <w:rPr>
          <w:u w:val="none"/>
        </w:rPr>
        <w:t>4</w:t>
      </w:r>
      <w:r>
        <w:rPr>
          <w:u w:val="none"/>
        </w:rPr>
        <w:t>, point </w:t>
      </w:r>
      <w:r w:rsidRPr="00DE5DBB">
        <w:rPr>
          <w:u w:val="none"/>
        </w:rPr>
        <w:t>39</w:t>
      </w:r>
      <w:r>
        <w:rPr>
          <w:u w:val="none"/>
        </w:rPr>
        <w:t>), du règlement (CE) no </w:t>
      </w:r>
      <w:r w:rsidRPr="00DE5DBB">
        <w:rPr>
          <w:u w:val="none"/>
        </w:rPr>
        <w:t>575</w:t>
      </w:r>
      <w:r>
        <w:rPr>
          <w:u w:val="none"/>
        </w:rPr>
        <w:t>/</w:t>
      </w:r>
      <w:r w:rsidRPr="00DE5DBB">
        <w:rPr>
          <w:u w:val="none"/>
        </w:rPr>
        <w:t>2013</w:t>
      </w:r>
      <w:r>
        <w:rPr>
          <w:u w:val="none"/>
        </w:rPr>
        <w:t xml:space="preserve">, qui leur fournissent chacun un financement dépassant </w:t>
      </w:r>
      <w:r w:rsidRPr="00DE5DBB">
        <w:rPr>
          <w:u w:val="none"/>
        </w:rPr>
        <w:t>1</w:t>
      </w:r>
      <w:r>
        <w:rPr>
          <w:u w:val="none"/>
        </w:rPr>
        <w:t> % du total des passifs. La contrepartie déclarée au point </w:t>
      </w:r>
      <w:r w:rsidRPr="00DE5DBB">
        <w:rPr>
          <w:u w:val="none"/>
        </w:rPr>
        <w:t>1</w:t>
      </w:r>
      <w:r>
        <w:rPr>
          <w:u w:val="none"/>
        </w:rPr>
        <w:t>.</w:t>
      </w:r>
      <w:r w:rsidRPr="00DE5DBB">
        <w:rPr>
          <w:u w:val="none"/>
        </w:rPr>
        <w:t>01</w:t>
      </w:r>
      <w:r>
        <w:rPr>
          <w:u w:val="none"/>
        </w:rPr>
        <w:t xml:space="preserve"> est donc la contrepartie ou le groupe </w:t>
      </w:r>
      <w:r>
        <w:rPr>
          <w:u w:val="none"/>
        </w:rPr>
        <w:lastRenderedPageBreak/>
        <w:t xml:space="preserve">de clients liés qui, à la date de déclaration, fournit le financement le plus élevé au-dessus du seuil de </w:t>
      </w:r>
      <w:r w:rsidRPr="00DE5DBB">
        <w:rPr>
          <w:u w:val="none"/>
        </w:rPr>
        <w:t>1</w:t>
      </w:r>
      <w:r>
        <w:rPr>
          <w:u w:val="none"/>
        </w:rPr>
        <w:t> %, celle déclarée au point </w:t>
      </w:r>
      <w:r w:rsidRPr="00DE5DBB">
        <w:rPr>
          <w:u w:val="none"/>
        </w:rPr>
        <w:t>1</w:t>
      </w:r>
      <w:r>
        <w:rPr>
          <w:u w:val="none"/>
        </w:rPr>
        <w:t>.</w:t>
      </w:r>
      <w:r w:rsidRPr="00DE5DBB">
        <w:rPr>
          <w:u w:val="none"/>
        </w:rPr>
        <w:t>02</w:t>
      </w:r>
      <w:r>
        <w:rPr>
          <w:u w:val="none"/>
        </w:rPr>
        <w:t xml:space="preserve"> est la contrepartie ou le groupe de clients liés qui fournit le deuxième financement le plus élevé au-dessus du seuil de </w:t>
      </w:r>
      <w:r w:rsidRPr="00DE5DBB">
        <w:rPr>
          <w:u w:val="none"/>
        </w:rPr>
        <w:t>1</w:t>
      </w:r>
      <w:r>
        <w:rPr>
          <w:u w:val="none"/>
        </w:rPr>
        <w:t> %, et ainsi de suite avec les autres points.</w:t>
      </w:r>
    </w:p>
    <w:p w14:paraId="430CAED4" w14:textId="505B6732" w:rsidR="00A344AA" w:rsidRPr="00422131" w:rsidRDefault="00A344AA" w:rsidP="00490B62">
      <w:pPr>
        <w:pStyle w:val="InstructionsText2"/>
        <w:numPr>
          <w:ilvl w:val="0"/>
          <w:numId w:val="6"/>
        </w:numPr>
        <w:rPr>
          <w:szCs w:val="20"/>
          <w:u w:val="none"/>
        </w:rPr>
      </w:pPr>
      <w:r>
        <w:rPr>
          <w:u w:val="none"/>
        </w:rPr>
        <w:t xml:space="preserve">Lorsqu’une contrepartie appartient à plusieurs groupes de clients liés, elle n’est déclarée qu’une seule fois dans celui qui fournit le financement le plus élevé. </w:t>
      </w:r>
    </w:p>
    <w:p w14:paraId="589BDAD9" w14:textId="67079620" w:rsidR="00A344AA" w:rsidRPr="00422131" w:rsidRDefault="00A344AA" w:rsidP="00490B62">
      <w:pPr>
        <w:pStyle w:val="InstructionsText2"/>
        <w:numPr>
          <w:ilvl w:val="0"/>
          <w:numId w:val="6"/>
        </w:numPr>
        <w:rPr>
          <w:szCs w:val="20"/>
          <w:u w:val="none"/>
        </w:rPr>
      </w:pPr>
      <w:r>
        <w:rPr>
          <w:u w:val="none"/>
        </w:rPr>
        <w:t xml:space="preserve">Les établissements déclarent le montant total de tous les financements restants à la section </w:t>
      </w:r>
      <w:r w:rsidRPr="00DE5DBB">
        <w:rPr>
          <w:u w:val="none"/>
        </w:rPr>
        <w:t>2</w:t>
      </w:r>
      <w:r>
        <w:rPr>
          <w:u w:val="none"/>
        </w:rPr>
        <w:t>;</w:t>
      </w:r>
    </w:p>
    <w:p w14:paraId="6E279CE2" w14:textId="29172BB5" w:rsidR="00A344AA" w:rsidRPr="00422131" w:rsidRDefault="00A344AA" w:rsidP="00490B62">
      <w:pPr>
        <w:pStyle w:val="InstructionsText2"/>
        <w:numPr>
          <w:ilvl w:val="0"/>
          <w:numId w:val="6"/>
        </w:numPr>
        <w:rPr>
          <w:szCs w:val="20"/>
          <w:u w:val="none"/>
        </w:rPr>
      </w:pPr>
      <w:r>
        <w:rPr>
          <w:u w:val="none"/>
        </w:rPr>
        <w:t xml:space="preserve">Le total des sections </w:t>
      </w:r>
      <w:r w:rsidRPr="00DE5DBB">
        <w:rPr>
          <w:u w:val="none"/>
        </w:rPr>
        <w:t>1</w:t>
      </w:r>
      <w:r>
        <w:rPr>
          <w:u w:val="none"/>
        </w:rPr>
        <w:t xml:space="preserve"> et </w:t>
      </w:r>
      <w:r w:rsidRPr="00DE5DBB">
        <w:rPr>
          <w:u w:val="none"/>
        </w:rPr>
        <w:t>2</w:t>
      </w:r>
      <w:r>
        <w:rPr>
          <w:u w:val="none"/>
        </w:rPr>
        <w:t xml:space="preserve"> est égal au total du financement de l’établissement selon son bilan déclaré conformément au cadre de déclaration financière (FINREP).</w:t>
      </w:r>
    </w:p>
    <w:p w14:paraId="00BA7315" w14:textId="71355B4D" w:rsidR="00A344AA" w:rsidRPr="007F5684" w:rsidRDefault="00A344AA" w:rsidP="00AF270F">
      <w:pPr>
        <w:pStyle w:val="InstructionsText2"/>
        <w:numPr>
          <w:ilvl w:val="0"/>
          <w:numId w:val="6"/>
        </w:numPr>
        <w:rPr>
          <w:szCs w:val="20"/>
          <w:u w:val="none"/>
        </w:rPr>
      </w:pPr>
      <w:r>
        <w:rPr>
          <w:u w:val="none"/>
        </w:rPr>
        <w:t xml:space="preserve">Pour chaque contrepartie, les établissements remplissent l’ensemble des colonnes </w:t>
      </w:r>
      <w:r w:rsidRPr="00DE5DBB">
        <w:rPr>
          <w:u w:val="none"/>
        </w:rPr>
        <w:t>010</w:t>
      </w:r>
      <w:r>
        <w:rPr>
          <w:u w:val="none"/>
        </w:rPr>
        <w:t xml:space="preserve"> à </w:t>
      </w:r>
      <w:r w:rsidRPr="00DE5DBB">
        <w:rPr>
          <w:u w:val="none"/>
        </w:rPr>
        <w:t>080</w:t>
      </w:r>
      <w:r>
        <w:rPr>
          <w:u w:val="none"/>
        </w:rPr>
        <w:t>.</w:t>
      </w:r>
    </w:p>
    <w:p w14:paraId="3425ECF0" w14:textId="65ED6564" w:rsidR="00A344AA" w:rsidRPr="0005060D" w:rsidRDefault="00A344AA" w:rsidP="00B90134">
      <w:pPr>
        <w:pStyle w:val="InstructionsText2"/>
        <w:numPr>
          <w:ilvl w:val="0"/>
          <w:numId w:val="6"/>
        </w:numPr>
        <w:rPr>
          <w:szCs w:val="20"/>
          <w:u w:val="none"/>
        </w:rPr>
      </w:pPr>
      <w:r>
        <w:rPr>
          <w:u w:val="none"/>
        </w:rPr>
        <w:t>Lorsque le financement correspond à plusieurs types de produits, le type de produit à déclarer est celui représentant la plus grande partie du financement. L’identification du détenteur sous-jacent des titres n’est soumise qu’à une obligation de moyen («best effort»). Lorsqu’un établissement dispose d’informations sur le détenteur des titres en raison de son rôle de banque dépositaire, il tient compte du montant correspondant aux fins de la déclaration de la concentration des contreparties. Lorsque l’information sur le détenteur des titres n’est pas disponible, le montant correspondant n’a pas à être déclaré.</w:t>
      </w:r>
    </w:p>
    <w:p w14:paraId="2DFF75CD" w14:textId="77777777" w:rsidR="00A344AA" w:rsidRPr="007F5684" w:rsidRDefault="00A344AA" w:rsidP="009032C6">
      <w:pPr>
        <w:pStyle w:val="InstructionsText2"/>
        <w:numPr>
          <w:ilvl w:val="0"/>
          <w:numId w:val="6"/>
        </w:numPr>
        <w:rPr>
          <w:szCs w:val="20"/>
          <w:u w:val="none"/>
        </w:rPr>
      </w:pPr>
      <w:r>
        <w:rPr>
          <w:u w:val="none"/>
        </w:rPr>
        <w:t>Instructions concernant les différentes colonnes: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Colonne</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Références légales et instructions</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sidRPr="00DE5DBB">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Nom de la contrepartie</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 xml:space="preserve">Le nom de chaque contrepartie ayant fourni un financement représentant plus de </w:t>
            </w:r>
            <w:r w:rsidRPr="00DE5DBB">
              <w:rPr>
                <w:rFonts w:ascii="Times New Roman" w:hAnsi="Times New Roman"/>
              </w:rPr>
              <w:t>1</w:t>
            </w:r>
            <w:r>
              <w:rPr>
                <w:rFonts w:ascii="Times New Roman" w:hAnsi="Times New Roman"/>
              </w:rPr>
              <w:t xml:space="preserve"> % du total des passifs doit être déclaré dans la colonne </w:t>
            </w:r>
            <w:r w:rsidRPr="00DE5DBB">
              <w:rPr>
                <w:rFonts w:ascii="Times New Roman" w:hAnsi="Times New Roman"/>
              </w:rPr>
              <w:t>010</w:t>
            </w:r>
            <w:r>
              <w:rPr>
                <w:rFonts w:ascii="Times New Roman" w:hAnsi="Times New Roman"/>
              </w:rPr>
              <w:t xml:space="preserve"> par ordre décroissant d’importance des financements obtenus.</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Déclarer le nom de la contrepartie, qu’il s’agisse d’une entité juridique ou d’une personne physique. Lorsque la contrepartie est une entité juridique, le nom de la contrepartie à déclarer est le nom complet de l’entité juridique dont provient le financement, y compris toute référence au type de société conformément au droit national des sociétés concerné.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sidRPr="00DE5DBB">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Code LEI</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Il s’agit de l’identifiant d’entité juridique de la contrepartie.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sidRPr="00DE5DBB">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Secteur de la contrepartie</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Un secteur sera attribué à chaque contrepartie, sur la base des secteurs économiques définis dans le FINREP:</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banques centrales; ii) administrations publiques; iii) établissements de crédit; iv) autres entreprises financières; v) entreprises non financières; vi) ménages.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Pour les groupes de clients liés, il n’y a pas lieu d’indiquer de secteur</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sidRPr="00DE5DBB">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Lieu de résidence de la contrepartie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Utiliser le code ISO </w:t>
            </w:r>
            <w:r w:rsidRPr="00DE5DBB">
              <w:rPr>
                <w:rStyle w:val="FormatvorlageInstructionsTabelleText"/>
                <w:rFonts w:ascii="Times New Roman" w:hAnsi="Times New Roman"/>
              </w:rPr>
              <w:t>3166</w:t>
            </w:r>
            <w:r>
              <w:rPr>
                <w:rStyle w:val="FormatvorlageInstructionsTabelleText"/>
                <w:rFonts w:ascii="Times New Roman" w:hAnsi="Times New Roman"/>
              </w:rPr>
              <w:t>-</w:t>
            </w:r>
            <w:r w:rsidRPr="00DE5DBB">
              <w:rPr>
                <w:rStyle w:val="FormatvorlageInstructionsTabelleText"/>
                <w:rFonts w:ascii="Times New Roman" w:hAnsi="Times New Roman"/>
              </w:rPr>
              <w:t>1</w:t>
            </w:r>
            <w:r>
              <w:rPr>
                <w:rStyle w:val="FormatvorlageInstructionsTabelleText"/>
                <w:rFonts w:ascii="Times New Roman" w:hAnsi="Times New Roman"/>
              </w:rPr>
              <w:t>-alpha-</w:t>
            </w:r>
            <w:r w:rsidRPr="00DE5DBB">
              <w:rPr>
                <w:rStyle w:val="FormatvorlageInstructionsTabelleText"/>
                <w:rFonts w:ascii="Times New Roman" w:hAnsi="Times New Roman"/>
              </w:rPr>
              <w:t>2</w:t>
            </w:r>
            <w:r>
              <w:rPr>
                <w:rStyle w:val="FormatvorlageInstructionsTabelleText"/>
                <w:rFonts w:ascii="Times New Roman" w:hAnsi="Times New Roman"/>
              </w:rPr>
              <w:t xml:space="preserve"> du pays dans lequel la contrepartie est constituée (y compris les pseudo-codes ISO pour les organisations internationales,</w:t>
            </w:r>
            <w:r>
              <w:t xml:space="preserve"> </w:t>
            </w:r>
            <w:r>
              <w:rPr>
                <w:u w:val="none"/>
              </w:rPr>
              <w:t>disponibles dans la dernière édition du «Vademecum de la balance des paiements» d’Eurostat)</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lastRenderedPageBreak/>
              <w:t xml:space="preserve">Pour les groupes de clients liés, aucun pays n’est à indiquer.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sidRPr="00DE5DBB">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Type de produit</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 xml:space="preserve">Le type de produit à assigner aux contreparties déclarées dans la colonne </w:t>
            </w:r>
            <w:r w:rsidRPr="00DE5DBB">
              <w:rPr>
                <w:rFonts w:ascii="Times New Roman" w:hAnsi="Times New Roman"/>
              </w:rPr>
              <w:t>010</w:t>
            </w:r>
            <w:r>
              <w:rPr>
                <w:rFonts w:ascii="Times New Roman" w:hAnsi="Times New Roman"/>
              </w:rPr>
              <w:t xml:space="preserve"> est celui qui correspond au produit émis au moyen duquel le financement (ou, s’il y a plusieurs types de produits, la plus grande partie du financement) a été reçu, en utilisant les codes suivants indiqués en caractères gras:</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t xml:space="preserve"> </w:t>
            </w:r>
            <w:r>
              <w:rPr>
                <w:rFonts w:ascii="Times New Roman" w:hAnsi="Times New Roman"/>
                <w:color w:val="000000"/>
              </w:rPr>
              <w:t>(financements de gros non garantis obtenus auprès de clients financiers, y compris marché interbancaire)</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t xml:space="preserve"> </w:t>
            </w:r>
            <w:r>
              <w:rPr>
                <w:rFonts w:ascii="Times New Roman" w:hAnsi="Times New Roman"/>
                <w:color w:val="000000"/>
              </w:rPr>
              <w:t>(financements de gros non garantis obtenus auprès de clients non financiers)</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t xml:space="preserve"> </w:t>
            </w:r>
            <w:r>
              <w:rPr>
                <w:rFonts w:ascii="Times New Roman" w:hAnsi="Times New Roman"/>
                <w:color w:val="000000"/>
              </w:rPr>
              <w:t>(financements obtenus par des mises en pension au sens de l’article </w:t>
            </w:r>
            <w:r w:rsidRPr="00DE5DBB">
              <w:rPr>
                <w:rFonts w:ascii="Times New Roman" w:hAnsi="Times New Roman"/>
                <w:color w:val="000000"/>
              </w:rPr>
              <w:t>4</w:t>
            </w:r>
            <w:r>
              <w:rPr>
                <w:rFonts w:ascii="Times New Roman" w:hAnsi="Times New Roman"/>
                <w:color w:val="000000"/>
              </w:rPr>
              <w:t>, paragraphe </w:t>
            </w:r>
            <w:r w:rsidRPr="00DE5DBB">
              <w:rPr>
                <w:rFonts w:ascii="Times New Roman" w:hAnsi="Times New Roman"/>
                <w:color w:val="000000"/>
              </w:rPr>
              <w:t>1</w:t>
            </w:r>
            <w:r>
              <w:rPr>
                <w:rFonts w:ascii="Times New Roman" w:hAnsi="Times New Roman"/>
                <w:color w:val="000000"/>
              </w:rPr>
              <w:t>, point </w:t>
            </w:r>
            <w:r w:rsidRPr="00DE5DBB">
              <w:rPr>
                <w:rFonts w:ascii="Times New Roman" w:hAnsi="Times New Roman"/>
                <w:color w:val="000000"/>
              </w:rPr>
              <w:t>82</w:t>
            </w:r>
            <w:r>
              <w:rPr>
                <w:rFonts w:ascii="Times New Roman" w:hAnsi="Times New Roman"/>
                <w:color w:val="000000"/>
              </w:rPr>
              <w:t>), du règlement (UE) n° </w:t>
            </w:r>
            <w:r w:rsidRPr="00DE5DBB">
              <w:rPr>
                <w:rFonts w:ascii="Times New Roman" w:hAnsi="Times New Roman"/>
                <w:color w:val="000000"/>
              </w:rPr>
              <w:t>575</w:t>
            </w:r>
            <w:r>
              <w:rPr>
                <w:rFonts w:ascii="Times New Roman" w:hAnsi="Times New Roman"/>
                <w:color w:val="000000"/>
              </w:rPr>
              <w:t>/</w:t>
            </w:r>
            <w:r w:rsidRPr="00DE5DBB">
              <w:rPr>
                <w:rFonts w:ascii="Times New Roman" w:hAnsi="Times New Roman"/>
                <w:color w:val="000000"/>
              </w:rPr>
              <w:t>2013</w:t>
            </w:r>
            <w:r>
              <w:rPr>
                <w:rFonts w:ascii="Times New Roman" w:hAnsi="Times New Roman"/>
                <w:color w:val="000000"/>
              </w:rPr>
              <w:t>)</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t xml:space="preserve"> </w:t>
            </w:r>
            <w:r>
              <w:rPr>
                <w:rFonts w:ascii="Times New Roman" w:hAnsi="Times New Roman"/>
                <w:color w:val="000000"/>
              </w:rPr>
              <w:t>(financements obtenus par l’émission d’obligations garanties au sens de l’article </w:t>
            </w:r>
            <w:r w:rsidRPr="00DE5DBB">
              <w:rPr>
                <w:rFonts w:ascii="Times New Roman" w:hAnsi="Times New Roman"/>
                <w:color w:val="000000"/>
              </w:rPr>
              <w:t>129</w:t>
            </w:r>
            <w:r>
              <w:rPr>
                <w:rFonts w:ascii="Times New Roman" w:hAnsi="Times New Roman"/>
                <w:color w:val="000000"/>
              </w:rPr>
              <w:t>, paragraphe </w:t>
            </w:r>
            <w:r w:rsidRPr="00DE5DBB">
              <w:rPr>
                <w:rFonts w:ascii="Times New Roman" w:hAnsi="Times New Roman"/>
                <w:color w:val="000000"/>
              </w:rPr>
              <w:t>4</w:t>
            </w:r>
            <w:r>
              <w:rPr>
                <w:rFonts w:ascii="Times New Roman" w:hAnsi="Times New Roman"/>
                <w:color w:val="000000"/>
              </w:rPr>
              <w:t xml:space="preserve"> ou </w:t>
            </w:r>
            <w:r w:rsidRPr="00DE5DBB">
              <w:rPr>
                <w:rFonts w:ascii="Times New Roman" w:hAnsi="Times New Roman"/>
                <w:color w:val="000000"/>
              </w:rPr>
              <w:t>5</w:t>
            </w:r>
            <w:r>
              <w:rPr>
                <w:rFonts w:ascii="Times New Roman" w:hAnsi="Times New Roman"/>
                <w:color w:val="000000"/>
              </w:rPr>
              <w:t>, du règlement (UE) n° </w:t>
            </w:r>
            <w:r w:rsidRPr="00DE5DBB">
              <w:rPr>
                <w:rFonts w:ascii="Times New Roman" w:hAnsi="Times New Roman"/>
                <w:color w:val="000000"/>
              </w:rPr>
              <w:t>575</w:t>
            </w:r>
            <w:r>
              <w:rPr>
                <w:rFonts w:ascii="Times New Roman" w:hAnsi="Times New Roman"/>
                <w:color w:val="000000"/>
              </w:rPr>
              <w:t>/</w:t>
            </w:r>
            <w:r w:rsidRPr="00DE5DBB">
              <w:rPr>
                <w:rFonts w:ascii="Times New Roman" w:hAnsi="Times New Roman"/>
                <w:color w:val="000000"/>
              </w:rPr>
              <w:t>2013</w:t>
            </w:r>
            <w:r>
              <w:rPr>
                <w:rFonts w:ascii="Times New Roman" w:hAnsi="Times New Roman"/>
                <w:color w:val="000000"/>
              </w:rPr>
              <w:t xml:space="preserve"> ou de l’article </w:t>
            </w:r>
            <w:r w:rsidRPr="00DE5DBB">
              <w:rPr>
                <w:rFonts w:ascii="Times New Roman" w:hAnsi="Times New Roman"/>
                <w:color w:val="000000"/>
              </w:rPr>
              <w:t>52</w:t>
            </w:r>
            <w:r>
              <w:rPr>
                <w:rFonts w:ascii="Times New Roman" w:hAnsi="Times New Roman"/>
                <w:color w:val="000000"/>
              </w:rPr>
              <w:t>, paragraphe </w:t>
            </w:r>
            <w:r w:rsidRPr="00DE5DBB">
              <w:rPr>
                <w:rFonts w:ascii="Times New Roman" w:hAnsi="Times New Roman"/>
                <w:color w:val="000000"/>
              </w:rPr>
              <w:t>4</w:t>
            </w:r>
            <w:r>
              <w:rPr>
                <w:rFonts w:ascii="Times New Roman" w:hAnsi="Times New Roman"/>
                <w:color w:val="000000"/>
              </w:rPr>
              <w:t xml:space="preserve">, de la directive </w:t>
            </w:r>
            <w:r w:rsidRPr="00DE5DBB">
              <w:rPr>
                <w:rFonts w:ascii="Times New Roman" w:hAnsi="Times New Roman"/>
                <w:color w:val="000000"/>
              </w:rPr>
              <w:t>2009</w:t>
            </w:r>
            <w:r>
              <w:rPr>
                <w:rFonts w:ascii="Times New Roman" w:hAnsi="Times New Roman"/>
                <w:color w:val="000000"/>
              </w:rPr>
              <w:t>/</w:t>
            </w:r>
            <w:r w:rsidRPr="00DE5DBB">
              <w:rPr>
                <w:rFonts w:ascii="Times New Roman" w:hAnsi="Times New Roman"/>
                <w:color w:val="000000"/>
              </w:rPr>
              <w:t>65</w:t>
            </w:r>
            <w:r>
              <w:rPr>
                <w:rFonts w:ascii="Times New Roman" w:hAnsi="Times New Roman"/>
                <w:color w:val="000000"/>
              </w:rPr>
              <w:t>/CE)</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t xml:space="preserve"> </w:t>
            </w:r>
            <w:r>
              <w:rPr>
                <w:rFonts w:ascii="Times New Roman" w:hAnsi="Times New Roman"/>
                <w:color w:val="000000"/>
              </w:rPr>
              <w:t>(financements obtenus par l’émission de titres adossés à des actifs, y compris le papier commercial adossé à des actifs)</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t xml:space="preserve"> </w:t>
            </w:r>
            <w:r>
              <w:rPr>
                <w:rFonts w:ascii="Times New Roman" w:hAnsi="Times New Roman"/>
                <w:color w:val="000000"/>
              </w:rPr>
              <w:t>(financements obtenus auprès de contreparties intragroupe)</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t xml:space="preserve"> </w:t>
            </w:r>
            <w:r>
              <w:rPr>
                <w:rFonts w:ascii="Times New Roman" w:hAnsi="Times New Roman"/>
                <w:color w:val="000000"/>
              </w:rPr>
              <w:t>(autres financements de gros garantis)</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t xml:space="preserve"> </w:t>
            </w:r>
            <w:r>
              <w:rPr>
                <w:rFonts w:ascii="Times New Roman" w:hAnsi="Times New Roman"/>
                <w:color w:val="000000"/>
              </w:rPr>
              <w:t>(autres produits de financement, par exemple financement de détail)</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sidRPr="00DE5DBB">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Montants reçus</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Le montant total des financements reçus de la part des contreparties déclarées dans la colonne </w:t>
            </w:r>
            <w:r w:rsidRPr="00DE5DBB">
              <w:rPr>
                <w:rFonts w:ascii="Times New Roman" w:hAnsi="Times New Roman"/>
              </w:rPr>
              <w:t>010</w:t>
            </w:r>
            <w:r>
              <w:rPr>
                <w:rFonts w:ascii="Times New Roman" w:hAnsi="Times New Roman"/>
              </w:rPr>
              <w:t xml:space="preserve"> est inscrit dans la colonne </w:t>
            </w:r>
            <w:r w:rsidRPr="00DE5DBB">
              <w:rPr>
                <w:rFonts w:ascii="Times New Roman" w:hAnsi="Times New Roman"/>
              </w:rPr>
              <w:t>060</w:t>
            </w:r>
            <w:r>
              <w:rPr>
                <w:rFonts w:ascii="Times New Roman" w:hAnsi="Times New Roman"/>
              </w:rPr>
              <w:t xml:space="preserve"> et les établissements y déclarent les valeurs comptables.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sidRPr="00DE5DBB">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Échéance initiale moyenne pondérée</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 xml:space="preserve">Pour le montant de financement déclaré dans la colonne </w:t>
            </w:r>
            <w:r w:rsidRPr="00DE5DBB">
              <w:rPr>
                <w:rFonts w:ascii="Times New Roman" w:hAnsi="Times New Roman"/>
              </w:rPr>
              <w:t>060</w:t>
            </w:r>
            <w:r>
              <w:rPr>
                <w:rFonts w:ascii="Times New Roman" w:hAnsi="Times New Roman"/>
              </w:rPr>
              <w:t xml:space="preserve">, reçu de la contrepartie indiquée dans la colonne </w:t>
            </w:r>
            <w:r w:rsidRPr="00DE5DBB">
              <w:rPr>
                <w:rFonts w:ascii="Times New Roman" w:hAnsi="Times New Roman"/>
              </w:rPr>
              <w:t>010</w:t>
            </w:r>
            <w:r>
              <w:rPr>
                <w:rFonts w:ascii="Times New Roman" w:hAnsi="Times New Roman"/>
              </w:rPr>
              <w:t xml:space="preserve">, une échéance initiale moyenne pondérée (en jours) est inscrite dans la colonne </w:t>
            </w:r>
            <w:r w:rsidRPr="00DE5DBB">
              <w:rPr>
                <w:rFonts w:ascii="Times New Roman" w:hAnsi="Times New Roman"/>
              </w:rPr>
              <w:t>070</w:t>
            </w:r>
            <w:r>
              <w:rPr>
                <w:rFonts w:ascii="Times New Roman" w:hAnsi="Times New Roman"/>
              </w:rPr>
              <w:t>.</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Cette échéance initiale moyenne pondérée est calculée comme étant l’échéance initiale moyenne, en jours, des financements reçus de cette contrepartie. Cette moyenne est pondérée en fonction de la taille des différents montants de financement reçus en proportion du total des financements provenant de cette contrepartie.</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sidRPr="00DE5DBB">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Échéance résiduelle moyenne pondérée</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 xml:space="preserve">Pour le montant de financement déclaré dans la colonne </w:t>
            </w:r>
            <w:r w:rsidRPr="00DE5DBB">
              <w:rPr>
                <w:rFonts w:ascii="Times New Roman" w:hAnsi="Times New Roman"/>
              </w:rPr>
              <w:t>060</w:t>
            </w:r>
            <w:r>
              <w:rPr>
                <w:rFonts w:ascii="Times New Roman" w:hAnsi="Times New Roman"/>
              </w:rPr>
              <w:t xml:space="preserve">, reçu de la contrepartie indiquée dans la colonne </w:t>
            </w:r>
            <w:r w:rsidRPr="00DE5DBB">
              <w:rPr>
                <w:rFonts w:ascii="Times New Roman" w:hAnsi="Times New Roman"/>
              </w:rPr>
              <w:t>010</w:t>
            </w:r>
            <w:r>
              <w:rPr>
                <w:rFonts w:ascii="Times New Roman" w:hAnsi="Times New Roman"/>
              </w:rPr>
              <w:t xml:space="preserve">, une échéance résiduelle moyenne pondérée, en jours, est inscrite dans la colonne </w:t>
            </w:r>
            <w:r w:rsidRPr="00DE5DBB">
              <w:rPr>
                <w:rFonts w:ascii="Times New Roman" w:hAnsi="Times New Roman"/>
              </w:rPr>
              <w:t>080</w:t>
            </w:r>
            <w:r>
              <w:rPr>
                <w:rFonts w:ascii="Times New Roman" w:hAnsi="Times New Roman"/>
              </w:rPr>
              <w:t>.</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 xml:space="preserve">Cette échéance résiduelle moyenne pondérée est calculée comme étant l’échéance moyenne, en jours restants, des financements reçus de cette contrepartie. Cette moyenne est pondérée en fonction de la taille des différents montants de financement reçus en </w:t>
            </w:r>
            <w:r>
              <w:rPr>
                <w:rFonts w:ascii="Times New Roman" w:hAnsi="Times New Roman"/>
              </w:rPr>
              <w:lastRenderedPageBreak/>
              <w:t>proportion du total des financements provenant de cette contrepartie.</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 xml:space="preserve">Concentration des financements par type de produit (C </w:t>
      </w:r>
      <w:r w:rsidRPr="00DE5DBB">
        <w:rPr>
          <w:rFonts w:ascii="Times New Roman" w:hAnsi="Times New Roman"/>
        </w:rPr>
        <w:t>68</w:t>
      </w:r>
      <w:r>
        <w:rPr>
          <w:rFonts w:ascii="Times New Roman" w:hAnsi="Times New Roman"/>
        </w:rPr>
        <w:t>.</w:t>
      </w:r>
      <w:r w:rsidRPr="00DE5DBB">
        <w:rPr>
          <w:rFonts w:ascii="Times New Roman" w:hAnsi="Times New Roman"/>
        </w:rPr>
        <w:t>00</w:t>
      </w:r>
      <w:r>
        <w:rPr>
          <w:rFonts w:ascii="Times New Roman" w:hAnsi="Times New Roman"/>
        </w:rPr>
        <w:t>)</w:t>
      </w:r>
    </w:p>
    <w:p w14:paraId="5B6DFC15" w14:textId="095CCDBC" w:rsidR="00A344AA" w:rsidRDefault="00A344AA" w:rsidP="00DE2988">
      <w:pPr>
        <w:pStyle w:val="InstructionsText2"/>
        <w:numPr>
          <w:ilvl w:val="0"/>
          <w:numId w:val="13"/>
        </w:numPr>
        <w:rPr>
          <w:szCs w:val="20"/>
          <w:u w:val="none"/>
        </w:rPr>
      </w:pPr>
      <w:r>
        <w:rPr>
          <w:u w:val="none"/>
        </w:rPr>
        <w:t>Ce modèle vise à recueillir des informations sur la concentration du financement des établissements déclarants par type de produits, ventilée en fonction des types de financement conformément aux instructions ci-après concernant les lignes: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Ligne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Références légales et instructions</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sidRPr="00DE5DBB">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tab/>
            </w:r>
            <w:r>
              <w:rPr>
                <w:rFonts w:ascii="Times New Roman" w:hAnsi="Times New Roman"/>
                <w:b/>
                <w:u w:val="single"/>
              </w:rPr>
              <w:t>Financement de détail</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Les dépôts de la clientèle de détail, tels que définis à l’article </w:t>
            </w:r>
            <w:r w:rsidRPr="00DE5DBB">
              <w:rPr>
                <w:rFonts w:ascii="Times New Roman" w:hAnsi="Times New Roman"/>
              </w:rPr>
              <w:t>3</w:t>
            </w:r>
            <w:r>
              <w:rPr>
                <w:rFonts w:ascii="Times New Roman" w:hAnsi="Times New Roman"/>
              </w:rPr>
              <w:t>, point </w:t>
            </w:r>
            <w:r w:rsidRPr="00DE5DBB">
              <w:rPr>
                <w:rFonts w:ascii="Times New Roman" w:hAnsi="Times New Roman"/>
              </w:rPr>
              <w:t>8</w:t>
            </w:r>
            <w:r>
              <w:rPr>
                <w:rFonts w:ascii="Times New Roman" w:hAnsi="Times New Roman"/>
              </w:rPr>
              <w:t xml:space="preserve">), du règlement délégué (UE) </w:t>
            </w:r>
            <w:r w:rsidRPr="00DE5DBB">
              <w:rPr>
                <w:rFonts w:ascii="Times New Roman" w:hAnsi="Times New Roman"/>
              </w:rPr>
              <w:t>2015</w:t>
            </w:r>
            <w:r>
              <w:rPr>
                <w:rFonts w:ascii="Times New Roman" w:hAnsi="Times New Roman"/>
              </w:rPr>
              <w:t>/</w:t>
            </w:r>
            <w:r w:rsidRPr="00DE5DBB">
              <w:rPr>
                <w:rFonts w:ascii="Times New Roman" w:hAnsi="Times New Roman"/>
              </w:rPr>
              <w:t>61</w:t>
            </w:r>
            <w:r>
              <w:rPr>
                <w:rFonts w:ascii="Times New Roman" w:hAnsi="Times New Roman"/>
              </w:rPr>
              <w:t>.</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sidRPr="00DE5DBB">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1</w:t>
            </w:r>
            <w:r>
              <w:tab/>
            </w:r>
            <w:r>
              <w:rPr>
                <w:rFonts w:ascii="Times New Roman" w:hAnsi="Times New Roman"/>
                <w:b/>
                <w:u w:val="single"/>
              </w:rPr>
              <w:t>dont dépôts à vue;</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 xml:space="preserve">Les financements de détail de la ligne </w:t>
            </w:r>
            <w:r w:rsidRPr="00DE5DBB">
              <w:rPr>
                <w:rFonts w:ascii="Times New Roman" w:hAnsi="Times New Roman"/>
              </w:rPr>
              <w:t>010</w:t>
            </w:r>
            <w:r>
              <w:rPr>
                <w:rFonts w:ascii="Times New Roman" w:hAnsi="Times New Roman"/>
              </w:rPr>
              <w:t xml:space="preserve"> qui sont des dépôts à vue.</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sidRPr="00DE5DBB">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2</w:t>
            </w:r>
            <w:r>
              <w:tab/>
            </w:r>
            <w:r>
              <w:rPr>
                <w:rFonts w:ascii="Times New Roman" w:hAnsi="Times New Roman"/>
                <w:b/>
                <w:u w:val="single"/>
              </w:rPr>
              <w:t xml:space="preserve">dont dépôts à terme non retirables dans les </w:t>
            </w:r>
            <w:r w:rsidRPr="00DE5DBB">
              <w:rPr>
                <w:rFonts w:ascii="Times New Roman" w:hAnsi="Times New Roman"/>
                <w:b/>
                <w:u w:val="single"/>
              </w:rPr>
              <w:t>30</w:t>
            </w:r>
            <w:r>
              <w:rPr>
                <w:rFonts w:ascii="Times New Roman" w:hAnsi="Times New Roman"/>
                <w:b/>
                <w:u w:val="single"/>
              </w:rPr>
              <w:t xml:space="preserve"> jours suivants;</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 xml:space="preserve">Les financements de détail de la ligne </w:t>
            </w:r>
            <w:r w:rsidRPr="00DE5DBB">
              <w:rPr>
                <w:rFonts w:ascii="Times New Roman" w:hAnsi="Times New Roman"/>
              </w:rPr>
              <w:t>010</w:t>
            </w:r>
            <w:r>
              <w:rPr>
                <w:rFonts w:ascii="Times New Roman" w:hAnsi="Times New Roman"/>
              </w:rPr>
              <w:t xml:space="preserve"> qui sont des dépôts à terme non retirables dans les </w:t>
            </w:r>
            <w:r w:rsidRPr="00DE5DBB">
              <w:rPr>
                <w:rFonts w:ascii="Times New Roman" w:hAnsi="Times New Roman"/>
              </w:rPr>
              <w:t>30</w:t>
            </w:r>
            <w:r>
              <w:rPr>
                <w:rFonts w:ascii="Times New Roman" w:hAnsi="Times New Roman"/>
              </w:rPr>
              <w:t xml:space="preserve"> jours suivants</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sidRPr="00DE5DBB">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3</w:t>
            </w:r>
            <w:r>
              <w:tab/>
            </w:r>
            <w:r>
              <w:rPr>
                <w:rFonts w:ascii="Times New Roman" w:hAnsi="Times New Roman"/>
                <w:b/>
                <w:u w:val="single"/>
              </w:rPr>
              <w:t xml:space="preserve">dont dépôts à terme retirables dans les </w:t>
            </w:r>
            <w:r w:rsidRPr="00DE5DBB">
              <w:rPr>
                <w:rFonts w:ascii="Times New Roman" w:hAnsi="Times New Roman"/>
                <w:b/>
                <w:u w:val="single"/>
              </w:rPr>
              <w:t>30</w:t>
            </w:r>
            <w:r>
              <w:rPr>
                <w:rFonts w:ascii="Times New Roman" w:hAnsi="Times New Roman"/>
                <w:b/>
                <w:u w:val="single"/>
              </w:rPr>
              <w:t xml:space="preserve"> jours suivants;</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 xml:space="preserve">Les financements de détail de la ligne </w:t>
            </w:r>
            <w:r w:rsidRPr="00DE5DBB">
              <w:rPr>
                <w:rFonts w:ascii="Times New Roman" w:hAnsi="Times New Roman"/>
              </w:rPr>
              <w:t>010</w:t>
            </w:r>
            <w:r>
              <w:rPr>
                <w:rFonts w:ascii="Times New Roman" w:hAnsi="Times New Roman"/>
              </w:rPr>
              <w:t xml:space="preserve"> qui sont des dépôts à terme retirables dans les </w:t>
            </w:r>
            <w:r w:rsidRPr="00DE5DBB">
              <w:rPr>
                <w:rFonts w:ascii="Times New Roman" w:hAnsi="Times New Roman"/>
              </w:rPr>
              <w:t>30</w:t>
            </w:r>
            <w:r>
              <w:rPr>
                <w:rFonts w:ascii="Times New Roman" w:hAnsi="Times New Roman"/>
              </w:rPr>
              <w:t> jours suivants</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sidRPr="00DE5DBB">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4</w:t>
            </w:r>
            <w:r>
              <w:tab/>
            </w:r>
            <w:r>
              <w:rPr>
                <w:rFonts w:ascii="Times New Roman" w:hAnsi="Times New Roman"/>
                <w:b/>
                <w:u w:val="single"/>
              </w:rPr>
              <w:t>dont les comptes d’épargne possédant l’une des caractéristiques suivantes:</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 xml:space="preserve">Les financements de détail de la ligne </w:t>
            </w:r>
            <w:r w:rsidRPr="00DE5DBB">
              <w:rPr>
                <w:rFonts w:ascii="Times New Roman" w:hAnsi="Times New Roman"/>
              </w:rPr>
              <w:t>010</w:t>
            </w:r>
            <w:r>
              <w:rPr>
                <w:rFonts w:ascii="Times New Roman" w:hAnsi="Times New Roman"/>
              </w:rPr>
              <w:t xml:space="preserve"> qui sont des comptes d’épargne possédant l’une des caractéristiques suivantes:</w:t>
            </w:r>
          </w:p>
          <w:p w14:paraId="7001BAD2" w14:textId="2A97E8F3" w:rsidR="003439C5" w:rsidRDefault="00F40FD4" w:rsidP="00E87A50">
            <w:pPr>
              <w:spacing w:before="0" w:after="0"/>
              <w:rPr>
                <w:rFonts w:ascii="Times New Roman" w:hAnsi="Times New Roman"/>
                <w:szCs w:val="20"/>
              </w:rPr>
            </w:pPr>
            <w:r>
              <w:rPr>
                <w:rFonts w:ascii="Times New Roman" w:hAnsi="Times New Roman"/>
              </w:rPr>
              <w:t xml:space="preserve">- avec préavis de retrait supérieur à </w:t>
            </w:r>
            <w:r w:rsidRPr="00DE5DBB">
              <w:rPr>
                <w:rFonts w:ascii="Times New Roman" w:hAnsi="Times New Roman"/>
              </w:rPr>
              <w:t>30</w:t>
            </w:r>
            <w:r>
              <w:rPr>
                <w:rFonts w:ascii="Times New Roman" w:hAnsi="Times New Roman"/>
              </w:rPr>
              <w:t xml:space="preserve"> jours</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sans préavis de retrait supérieur à </w:t>
            </w:r>
            <w:r w:rsidRPr="00DE5DBB">
              <w:rPr>
                <w:rFonts w:ascii="Times New Roman" w:hAnsi="Times New Roman"/>
              </w:rPr>
              <w:t>30</w:t>
            </w:r>
            <w:r>
              <w:rPr>
                <w:rFonts w:ascii="Times New Roman" w:hAnsi="Times New Roman"/>
              </w:rPr>
              <w:t xml:space="preserve"> jours;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Cette ligne ne sera pas remplie.</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sidRPr="00DE5DBB">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4</w:t>
            </w:r>
            <w:r>
              <w:rPr>
                <w:rFonts w:ascii="Times New Roman" w:hAnsi="Times New Roman"/>
                <w:b/>
                <w:u w:val="single"/>
              </w:rPr>
              <w:t>.</w:t>
            </w:r>
            <w:r w:rsidRPr="00DE5DBB">
              <w:rPr>
                <w:rFonts w:ascii="Times New Roman" w:hAnsi="Times New Roman"/>
                <w:b/>
                <w:u w:val="single"/>
              </w:rPr>
              <w:t>1</w:t>
            </w:r>
            <w:r>
              <w:rPr>
                <w:rFonts w:ascii="Times New Roman" w:hAnsi="Times New Roman"/>
                <w:b/>
                <w:u w:val="single"/>
              </w:rPr>
              <w:t xml:space="preserve"> </w:t>
            </w:r>
            <w:r>
              <w:tab/>
            </w:r>
            <w:r>
              <w:rPr>
                <w:rFonts w:ascii="Times New Roman" w:hAnsi="Times New Roman"/>
                <w:b/>
                <w:u w:val="single"/>
              </w:rPr>
              <w:t xml:space="preserve">avec préavis de retrait supérieur à </w:t>
            </w:r>
            <w:r w:rsidRPr="00DE5DBB">
              <w:rPr>
                <w:rFonts w:ascii="Times New Roman" w:hAnsi="Times New Roman"/>
                <w:b/>
                <w:u w:val="single"/>
              </w:rPr>
              <w:t>30</w:t>
            </w:r>
            <w:r>
              <w:rPr>
                <w:rFonts w:ascii="Times New Roman" w:hAnsi="Times New Roman"/>
                <w:b/>
                <w:u w:val="single"/>
              </w:rPr>
              <w:t xml:space="preserve"> jours;</w:t>
            </w:r>
          </w:p>
          <w:p w14:paraId="2CB5668A" w14:textId="468A8913" w:rsidR="00F40FD4" w:rsidRDefault="00F40FD4" w:rsidP="00F40FD4">
            <w:pPr>
              <w:spacing w:before="0" w:after="0"/>
              <w:rPr>
                <w:rFonts w:ascii="Times New Roman" w:hAnsi="Times New Roman"/>
                <w:szCs w:val="20"/>
              </w:rPr>
            </w:pPr>
            <w:r>
              <w:rPr>
                <w:rFonts w:ascii="Times New Roman" w:hAnsi="Times New Roman"/>
              </w:rPr>
              <w:t xml:space="preserve">Les financements de détail de la ligne </w:t>
            </w:r>
            <w:r w:rsidRPr="00DE5DBB">
              <w:rPr>
                <w:rFonts w:ascii="Times New Roman" w:hAnsi="Times New Roman"/>
              </w:rPr>
              <w:t>010</w:t>
            </w:r>
            <w:r>
              <w:rPr>
                <w:rFonts w:ascii="Times New Roman" w:hAnsi="Times New Roman"/>
              </w:rPr>
              <w:t xml:space="preserve"> qui sont des comptes d’épargne assortis d’un préavis de retrait supérieur à </w:t>
            </w:r>
            <w:r w:rsidRPr="00DE5DBB">
              <w:rPr>
                <w:rFonts w:ascii="Times New Roman" w:hAnsi="Times New Roman"/>
              </w:rPr>
              <w:t>30</w:t>
            </w:r>
            <w:r>
              <w:rPr>
                <w:rFonts w:ascii="Times New Roman" w:hAnsi="Times New Roman"/>
              </w:rPr>
              <w:t xml:space="preserve"> jours</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sidRPr="00DE5DBB">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4</w:t>
            </w:r>
            <w:r>
              <w:rPr>
                <w:rFonts w:ascii="Times New Roman" w:hAnsi="Times New Roman"/>
                <w:b/>
                <w:u w:val="single"/>
              </w:rPr>
              <w:t>.</w:t>
            </w:r>
            <w:r w:rsidRPr="00DE5DBB">
              <w:rPr>
                <w:rFonts w:ascii="Times New Roman" w:hAnsi="Times New Roman"/>
                <w:b/>
                <w:u w:val="single"/>
              </w:rPr>
              <w:t>2</w:t>
            </w:r>
            <w:r>
              <w:rPr>
                <w:rFonts w:ascii="Times New Roman" w:hAnsi="Times New Roman"/>
                <w:b/>
                <w:u w:val="single"/>
              </w:rPr>
              <w:t xml:space="preserve"> </w:t>
            </w:r>
            <w:r>
              <w:tab/>
            </w:r>
            <w:r>
              <w:rPr>
                <w:rFonts w:ascii="Times New Roman" w:hAnsi="Times New Roman"/>
                <w:b/>
                <w:u w:val="single"/>
              </w:rPr>
              <w:t xml:space="preserve">sans préavis de retrait supérieur à </w:t>
            </w:r>
            <w:r w:rsidRPr="00DE5DBB">
              <w:rPr>
                <w:rFonts w:ascii="Times New Roman" w:hAnsi="Times New Roman"/>
                <w:b/>
                <w:u w:val="single"/>
              </w:rPr>
              <w:t>30</w:t>
            </w:r>
            <w:r>
              <w:rPr>
                <w:rFonts w:ascii="Times New Roman" w:hAnsi="Times New Roman"/>
                <w:b/>
                <w:u w:val="single"/>
              </w:rPr>
              <w:t xml:space="preserve"> jours;</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 xml:space="preserve">Les financements de détail de la ligne </w:t>
            </w:r>
            <w:r w:rsidRPr="00DE5DBB">
              <w:rPr>
                <w:rFonts w:ascii="Times New Roman" w:hAnsi="Times New Roman"/>
              </w:rPr>
              <w:t>010</w:t>
            </w:r>
            <w:r>
              <w:rPr>
                <w:rFonts w:ascii="Times New Roman" w:hAnsi="Times New Roman"/>
              </w:rPr>
              <w:t xml:space="preserve"> qui sont des comptes d’épargne sans préavis de retrait supérieur à </w:t>
            </w:r>
            <w:r w:rsidRPr="00DE5DBB">
              <w:rPr>
                <w:rFonts w:ascii="Times New Roman" w:hAnsi="Times New Roman"/>
              </w:rPr>
              <w:t>30</w:t>
            </w:r>
            <w:r>
              <w:rPr>
                <w:rFonts w:ascii="Times New Roman" w:hAnsi="Times New Roman"/>
              </w:rPr>
              <w:t xml:space="preserve"> jours</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sidRPr="00DE5DBB">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tab/>
            </w:r>
            <w:r>
              <w:rPr>
                <w:rFonts w:ascii="Times New Roman" w:hAnsi="Times New Roman"/>
                <w:b/>
                <w:u w:val="single"/>
              </w:rPr>
              <w:t>Le financement de gros est considéré comme se composant de l’un ou plusieurs des éléments suivants:</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Toutes les contreparties autres que celles des dépôts de la clientèle de détail tels que définis à l’article </w:t>
            </w:r>
            <w:r w:rsidRPr="00DE5DBB">
              <w:rPr>
                <w:rFonts w:ascii="Times New Roman" w:hAnsi="Times New Roman"/>
              </w:rPr>
              <w:t>3</w:t>
            </w:r>
            <w:r>
              <w:rPr>
                <w:rFonts w:ascii="Times New Roman" w:hAnsi="Times New Roman"/>
              </w:rPr>
              <w:t>, point </w:t>
            </w:r>
            <w:r w:rsidRPr="00DE5DBB">
              <w:rPr>
                <w:rFonts w:ascii="Times New Roman" w:hAnsi="Times New Roman"/>
              </w:rPr>
              <w:t>8</w:t>
            </w:r>
            <w:r>
              <w:rPr>
                <w:rFonts w:ascii="Times New Roman" w:hAnsi="Times New Roman"/>
              </w:rPr>
              <w:t xml:space="preserve">), du règlement délégué (UE) </w:t>
            </w:r>
            <w:r w:rsidRPr="00DE5DBB">
              <w:rPr>
                <w:rFonts w:ascii="Times New Roman" w:hAnsi="Times New Roman"/>
              </w:rPr>
              <w:t>2015</w:t>
            </w:r>
            <w:r>
              <w:rPr>
                <w:rFonts w:ascii="Times New Roman" w:hAnsi="Times New Roman"/>
              </w:rPr>
              <w:t>/</w:t>
            </w:r>
            <w:r w:rsidRPr="00DE5DBB">
              <w:rPr>
                <w:rFonts w:ascii="Times New Roman" w:hAnsi="Times New Roman"/>
              </w:rPr>
              <w:t>61</w:t>
            </w:r>
            <w:r>
              <w:rPr>
                <w:rFonts w:ascii="Times New Roman" w:hAnsi="Times New Roman"/>
              </w:rPr>
              <w:t xml:space="preserve">.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Cette ligne ne sera pas remplie.</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sidRPr="00DE5DBB">
              <w:rPr>
                <w:rFonts w:ascii="Times New Roman" w:hAnsi="Times New Roman"/>
                <w:color w:val="000000"/>
              </w:rPr>
              <w:lastRenderedPageBreak/>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1</w:t>
            </w:r>
            <w:r>
              <w:tab/>
            </w:r>
            <w:r>
              <w:rPr>
                <w:rFonts w:ascii="Times New Roman" w:hAnsi="Times New Roman"/>
                <w:b/>
                <w:u w:val="single"/>
              </w:rPr>
              <w:t>Financements de gros non garantis;</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Toutes les contreparties autres que celles des dépôts de la clientèle de détail tels que définis à l’article </w:t>
            </w:r>
            <w:r w:rsidRPr="00DE5DBB">
              <w:rPr>
                <w:rFonts w:ascii="Times New Roman" w:hAnsi="Times New Roman"/>
              </w:rPr>
              <w:t>3</w:t>
            </w:r>
            <w:r>
              <w:rPr>
                <w:rFonts w:ascii="Times New Roman" w:hAnsi="Times New Roman"/>
              </w:rPr>
              <w:t>, point </w:t>
            </w:r>
            <w:r w:rsidRPr="00DE5DBB">
              <w:rPr>
                <w:rFonts w:ascii="Times New Roman" w:hAnsi="Times New Roman"/>
              </w:rPr>
              <w:t>8</w:t>
            </w:r>
            <w:r>
              <w:rPr>
                <w:rFonts w:ascii="Times New Roman" w:hAnsi="Times New Roman"/>
              </w:rPr>
              <w:t xml:space="preserve">), du règlement délégué (UE) </w:t>
            </w:r>
            <w:r w:rsidRPr="00DE5DBB">
              <w:rPr>
                <w:rFonts w:ascii="Times New Roman" w:hAnsi="Times New Roman"/>
              </w:rPr>
              <w:t>2015</w:t>
            </w:r>
            <w:r>
              <w:rPr>
                <w:rFonts w:ascii="Times New Roman" w:hAnsi="Times New Roman"/>
              </w:rPr>
              <w:t>/</w:t>
            </w:r>
            <w:r w:rsidRPr="00DE5DBB">
              <w:rPr>
                <w:rFonts w:ascii="Times New Roman" w:hAnsi="Times New Roman"/>
              </w:rPr>
              <w:t>61</w:t>
            </w:r>
            <w:r>
              <w:rPr>
                <w:rFonts w:ascii="Times New Roman" w:hAnsi="Times New Roman"/>
              </w:rPr>
              <w:t xml:space="preserve"> et qui ne sont pas garantis.</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sidRPr="00DE5DBB">
              <w:rPr>
                <w:rFonts w:ascii="Times New Roman" w:hAnsi="Times New Roman"/>
                <w:color w:val="000000"/>
              </w:rPr>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1</w:t>
            </w:r>
            <w:r>
              <w:tab/>
            </w:r>
            <w:r>
              <w:rPr>
                <w:rFonts w:ascii="Times New Roman" w:hAnsi="Times New Roman"/>
                <w:b/>
                <w:u w:val="single"/>
              </w:rPr>
              <w:t>dont prêts et dépôts de clients financiers;</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 xml:space="preserve">Les financements de la ligne </w:t>
            </w:r>
            <w:r w:rsidRPr="00DE5DBB">
              <w:rPr>
                <w:rFonts w:ascii="Times New Roman" w:hAnsi="Times New Roman"/>
              </w:rPr>
              <w:t>110</w:t>
            </w:r>
            <w:r>
              <w:rPr>
                <w:rFonts w:ascii="Times New Roman" w:hAnsi="Times New Roman"/>
              </w:rPr>
              <w:t xml:space="preserve"> qui consistent en prêts et en dépôts de clients financiers.</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Les financements émanant des banques centrales sont exclus de cette ligne.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sidRPr="00DE5DBB">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2</w:t>
            </w:r>
            <w:r>
              <w:tab/>
            </w:r>
            <w:r>
              <w:rPr>
                <w:rFonts w:ascii="Times New Roman" w:hAnsi="Times New Roman"/>
                <w:b/>
                <w:u w:val="single"/>
              </w:rPr>
              <w:t>dont prêts et dépôts de clients non financiers;</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 xml:space="preserve">Les financements de la ligne </w:t>
            </w:r>
            <w:r w:rsidRPr="00DE5DBB">
              <w:rPr>
                <w:rFonts w:ascii="Times New Roman" w:hAnsi="Times New Roman"/>
              </w:rPr>
              <w:t>110</w:t>
            </w:r>
            <w:r>
              <w:rPr>
                <w:rFonts w:ascii="Times New Roman" w:hAnsi="Times New Roman"/>
              </w:rPr>
              <w:t xml:space="preserve"> qui consistent en prêts et en dépôts de clients non financiers.</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Les financements émanant des banques centrales sont exclus de cette ligne.</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sidRPr="00DE5DBB">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3</w:t>
            </w:r>
            <w:r>
              <w:tab/>
            </w:r>
            <w:r>
              <w:rPr>
                <w:rFonts w:ascii="Times New Roman" w:hAnsi="Times New Roman"/>
                <w:b/>
                <w:u w:val="single"/>
              </w:rPr>
              <w:t>dont prêts et dépôts d’entités intragroupe;</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 xml:space="preserve">Les financements de la ligne </w:t>
            </w:r>
            <w:r w:rsidRPr="00DE5DBB">
              <w:rPr>
                <w:rFonts w:ascii="Times New Roman" w:hAnsi="Times New Roman"/>
              </w:rPr>
              <w:t>110</w:t>
            </w:r>
            <w:r>
              <w:rPr>
                <w:rFonts w:ascii="Times New Roman" w:hAnsi="Times New Roman"/>
              </w:rPr>
              <w:t xml:space="preserve"> qui consistent en prêts et en dépôts d’entités intragroupe.</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Les financements de gros provenant d’entités intragroupe sont uniquement déclarés sur une base individuelle ou sous-consolidée.</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sidRPr="00DE5DBB">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2</w:t>
            </w:r>
            <w:r>
              <w:tab/>
            </w:r>
            <w:r>
              <w:rPr>
                <w:rFonts w:ascii="Times New Roman" w:hAnsi="Times New Roman"/>
                <w:b/>
                <w:u w:val="single"/>
              </w:rPr>
              <w:t xml:space="preserve">Financements de gros garantis;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Toutes les contreparties autres que celles des dépôts de la clientèle de détail tels que définis à l’article </w:t>
            </w:r>
            <w:r w:rsidRPr="00DE5DBB">
              <w:rPr>
                <w:rFonts w:ascii="Times New Roman" w:hAnsi="Times New Roman"/>
              </w:rPr>
              <w:t>3</w:t>
            </w:r>
            <w:r>
              <w:rPr>
                <w:rFonts w:ascii="Times New Roman" w:hAnsi="Times New Roman"/>
              </w:rPr>
              <w:t>, point </w:t>
            </w:r>
            <w:r w:rsidRPr="00DE5DBB">
              <w:rPr>
                <w:rFonts w:ascii="Times New Roman" w:hAnsi="Times New Roman"/>
              </w:rPr>
              <w:t>8</w:t>
            </w:r>
            <w:r>
              <w:rPr>
                <w:rFonts w:ascii="Times New Roman" w:hAnsi="Times New Roman"/>
              </w:rPr>
              <w:t xml:space="preserve">), du règlement délégué (UE) </w:t>
            </w:r>
            <w:r w:rsidRPr="00DE5DBB">
              <w:rPr>
                <w:rFonts w:ascii="Times New Roman" w:hAnsi="Times New Roman"/>
              </w:rPr>
              <w:t>2015</w:t>
            </w:r>
            <w:r>
              <w:rPr>
                <w:rFonts w:ascii="Times New Roman" w:hAnsi="Times New Roman"/>
              </w:rPr>
              <w:t>/</w:t>
            </w:r>
            <w:r w:rsidRPr="00DE5DBB">
              <w:rPr>
                <w:rFonts w:ascii="Times New Roman" w:hAnsi="Times New Roman"/>
              </w:rPr>
              <w:t>61</w:t>
            </w:r>
            <w:r>
              <w:rPr>
                <w:rFonts w:ascii="Times New Roman" w:hAnsi="Times New Roman"/>
              </w:rPr>
              <w:t xml:space="preserve"> et qui sont garantis.</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sidRPr="00DE5DBB">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1</w:t>
            </w:r>
            <w:r>
              <w:tab/>
            </w:r>
            <w:r>
              <w:rPr>
                <w:rFonts w:ascii="Times New Roman" w:hAnsi="Times New Roman"/>
                <w:b/>
                <w:u w:val="single"/>
              </w:rPr>
              <w:t>dont opérations de financement sur titres;</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 xml:space="preserve">Les financements de la ligne </w:t>
            </w:r>
            <w:r w:rsidRPr="00DE5DBB">
              <w:rPr>
                <w:rFonts w:ascii="Times New Roman" w:hAnsi="Times New Roman"/>
              </w:rPr>
              <w:t>150</w:t>
            </w:r>
            <w:r>
              <w:rPr>
                <w:rFonts w:ascii="Times New Roman" w:hAnsi="Times New Roman"/>
              </w:rPr>
              <w:t xml:space="preserve"> qui proviennent d’accords de mise en pension au sens de l’article </w:t>
            </w:r>
            <w:r w:rsidRPr="00DE5DBB">
              <w:rPr>
                <w:rFonts w:ascii="Times New Roman" w:hAnsi="Times New Roman"/>
              </w:rPr>
              <w:t>4</w:t>
            </w:r>
            <w:r>
              <w:rPr>
                <w:rFonts w:ascii="Times New Roman" w:hAnsi="Times New Roman"/>
              </w:rPr>
              <w:t>, paragraphe </w:t>
            </w:r>
            <w:r w:rsidRPr="00DE5DBB">
              <w:rPr>
                <w:rFonts w:ascii="Times New Roman" w:hAnsi="Times New Roman"/>
              </w:rPr>
              <w:t>1</w:t>
            </w:r>
            <w:r>
              <w:rPr>
                <w:rFonts w:ascii="Times New Roman" w:hAnsi="Times New Roman"/>
              </w:rPr>
              <w:t>, point </w:t>
            </w:r>
            <w:r w:rsidRPr="00DE5DBB">
              <w:rPr>
                <w:rFonts w:ascii="Times New Roman" w:hAnsi="Times New Roman"/>
              </w:rPr>
              <w:t>82</w:t>
            </w:r>
            <w:r>
              <w:rPr>
                <w:rFonts w:ascii="Times New Roman" w:hAnsi="Times New Roman"/>
              </w:rPr>
              <w:t>), du règlement (UE) n° </w:t>
            </w:r>
            <w:r w:rsidRPr="00DE5DBB">
              <w:rPr>
                <w:rFonts w:ascii="Times New Roman" w:hAnsi="Times New Roman"/>
              </w:rPr>
              <w:t>575</w:t>
            </w:r>
            <w:r>
              <w:rPr>
                <w:rFonts w:ascii="Times New Roman" w:hAnsi="Times New Roman"/>
              </w:rPr>
              <w:t>/</w:t>
            </w:r>
            <w:r w:rsidRPr="00DE5DBB">
              <w:rPr>
                <w:rFonts w:ascii="Times New Roman" w:hAnsi="Times New Roman"/>
              </w:rPr>
              <w:t>2013</w:t>
            </w:r>
            <w:r>
              <w:rPr>
                <w:rFonts w:ascii="Times New Roman" w:hAnsi="Times New Roman"/>
              </w:rPr>
              <w:t>.</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sidRPr="00DE5DBB">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2</w:t>
            </w:r>
            <w:r>
              <w:tab/>
            </w:r>
            <w:r>
              <w:rPr>
                <w:rFonts w:ascii="Times New Roman" w:hAnsi="Times New Roman"/>
                <w:b/>
                <w:u w:val="single"/>
              </w:rPr>
              <w:t>dont émissions d’obligations garanties;</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Les financements de la ligne </w:t>
            </w:r>
            <w:r w:rsidRPr="00DE5DBB">
              <w:rPr>
                <w:rFonts w:ascii="Times New Roman" w:hAnsi="Times New Roman"/>
              </w:rPr>
              <w:t>150</w:t>
            </w:r>
            <w:r>
              <w:rPr>
                <w:rFonts w:ascii="Times New Roman" w:hAnsi="Times New Roman"/>
              </w:rPr>
              <w:t xml:space="preserve"> qui proviennent d’émissions d’obligations garanties au sens de l’article </w:t>
            </w:r>
            <w:r w:rsidRPr="00DE5DBB">
              <w:rPr>
                <w:rFonts w:ascii="Times New Roman" w:hAnsi="Times New Roman"/>
              </w:rPr>
              <w:t>129</w:t>
            </w:r>
            <w:r>
              <w:rPr>
                <w:rFonts w:ascii="Times New Roman" w:hAnsi="Times New Roman"/>
              </w:rPr>
              <w:t>, paragraphe </w:t>
            </w:r>
            <w:r w:rsidRPr="00DE5DBB">
              <w:rPr>
                <w:rFonts w:ascii="Times New Roman" w:hAnsi="Times New Roman"/>
              </w:rPr>
              <w:t>4</w:t>
            </w:r>
            <w:r>
              <w:rPr>
                <w:rFonts w:ascii="Times New Roman" w:hAnsi="Times New Roman"/>
              </w:rPr>
              <w:t xml:space="preserve"> ou </w:t>
            </w:r>
            <w:r w:rsidRPr="00DE5DBB">
              <w:rPr>
                <w:rFonts w:ascii="Times New Roman" w:hAnsi="Times New Roman"/>
              </w:rPr>
              <w:t>5</w:t>
            </w:r>
            <w:r>
              <w:rPr>
                <w:rFonts w:ascii="Times New Roman" w:hAnsi="Times New Roman"/>
              </w:rPr>
              <w:t>, du règlement (UE) n° </w:t>
            </w:r>
            <w:r w:rsidRPr="00DE5DBB">
              <w:rPr>
                <w:rFonts w:ascii="Times New Roman" w:hAnsi="Times New Roman"/>
              </w:rPr>
              <w:t>575</w:t>
            </w:r>
            <w:r>
              <w:rPr>
                <w:rFonts w:ascii="Times New Roman" w:hAnsi="Times New Roman"/>
              </w:rPr>
              <w:t>/</w:t>
            </w:r>
            <w:r w:rsidRPr="00DE5DBB">
              <w:rPr>
                <w:rFonts w:ascii="Times New Roman" w:hAnsi="Times New Roman"/>
              </w:rPr>
              <w:t>2013</w:t>
            </w:r>
            <w:r>
              <w:rPr>
                <w:rFonts w:ascii="Times New Roman" w:hAnsi="Times New Roman"/>
              </w:rPr>
              <w:t>, ou de l’article </w:t>
            </w:r>
            <w:r w:rsidRPr="00DE5DBB">
              <w:rPr>
                <w:rFonts w:ascii="Times New Roman" w:hAnsi="Times New Roman"/>
              </w:rPr>
              <w:t>52</w:t>
            </w:r>
            <w:r>
              <w:rPr>
                <w:rFonts w:ascii="Times New Roman" w:hAnsi="Times New Roman"/>
              </w:rPr>
              <w:t>, paragraphe </w:t>
            </w:r>
            <w:r w:rsidRPr="00DE5DBB">
              <w:rPr>
                <w:rFonts w:ascii="Times New Roman" w:hAnsi="Times New Roman"/>
              </w:rPr>
              <w:t>4</w:t>
            </w:r>
            <w:r>
              <w:rPr>
                <w:rFonts w:ascii="Times New Roman" w:hAnsi="Times New Roman"/>
              </w:rPr>
              <w:t xml:space="preserve">, de la directive </w:t>
            </w:r>
            <w:r w:rsidRPr="00DE5DBB">
              <w:rPr>
                <w:rFonts w:ascii="Times New Roman" w:hAnsi="Times New Roman"/>
              </w:rPr>
              <w:t>2009</w:t>
            </w:r>
            <w:r>
              <w:rPr>
                <w:rFonts w:ascii="Times New Roman" w:hAnsi="Times New Roman"/>
              </w:rPr>
              <w:t>/</w:t>
            </w:r>
            <w:r w:rsidRPr="00DE5DBB">
              <w:rPr>
                <w:rFonts w:ascii="Times New Roman" w:hAnsi="Times New Roman"/>
              </w:rPr>
              <w:t>65</w:t>
            </w:r>
            <w:r>
              <w:rPr>
                <w:rFonts w:ascii="Times New Roman" w:hAnsi="Times New Roman"/>
              </w:rPr>
              <w:t>/CE.</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sidRPr="00DE5DBB">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3</w:t>
            </w:r>
            <w:r>
              <w:tab/>
            </w:r>
            <w:r>
              <w:rPr>
                <w:rFonts w:ascii="Times New Roman" w:hAnsi="Times New Roman"/>
                <w:b/>
                <w:u w:val="single"/>
              </w:rPr>
              <w:t>dont émissions de titres adossés à des actifs;</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Les financements de la ligne </w:t>
            </w:r>
            <w:r w:rsidRPr="00DE5DBB">
              <w:rPr>
                <w:rFonts w:ascii="Times New Roman" w:hAnsi="Times New Roman"/>
              </w:rPr>
              <w:t>150</w:t>
            </w:r>
            <w:r>
              <w:rPr>
                <w:rFonts w:ascii="Times New Roman" w:hAnsi="Times New Roman"/>
              </w:rPr>
              <w:t xml:space="preserve"> qui proviennent d’émissions de titres adossés à des actifs, y compris le papier commercial adossé à des actifs</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sidRPr="00DE5DBB">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2</w:t>
            </w:r>
            <w:r>
              <w:rPr>
                <w:rFonts w:ascii="Times New Roman" w:hAnsi="Times New Roman"/>
                <w:b/>
                <w:u w:val="single"/>
              </w:rPr>
              <w:t>.</w:t>
            </w:r>
            <w:r w:rsidRPr="00DE5DBB">
              <w:rPr>
                <w:rFonts w:ascii="Times New Roman" w:hAnsi="Times New Roman"/>
                <w:b/>
                <w:u w:val="single"/>
              </w:rPr>
              <w:t>4</w:t>
            </w:r>
            <w:r>
              <w:tab/>
            </w:r>
            <w:r>
              <w:rPr>
                <w:rFonts w:ascii="Times New Roman" w:hAnsi="Times New Roman"/>
                <w:b/>
                <w:u w:val="single"/>
              </w:rPr>
              <w:t>dont prêts et dépôts d’entités intragroupe.</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 xml:space="preserve">Les financements de la ligne </w:t>
            </w:r>
            <w:r w:rsidRPr="00DE5DBB">
              <w:rPr>
                <w:rFonts w:ascii="Times New Roman" w:hAnsi="Times New Roman"/>
              </w:rPr>
              <w:t>150</w:t>
            </w:r>
            <w:r>
              <w:rPr>
                <w:rFonts w:ascii="Times New Roman" w:hAnsi="Times New Roman"/>
              </w:rPr>
              <w:t xml:space="preserve"> qui proviennent d’entités intragroupe.</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Les financements de gros provenant d’entités intragroupe sont uniquement déclarés sur une base individuelle ou sous-consolidée.</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Pour compléter ce modèle, les établissements déclarent, pour chaque type de produits, le montant total des financements reçus qui dépasse le seuil de </w:t>
      </w:r>
      <w:r w:rsidRPr="00DE5DBB">
        <w:rPr>
          <w:u w:val="none"/>
        </w:rPr>
        <w:t>1</w:t>
      </w:r>
      <w:r>
        <w:rPr>
          <w:u w:val="none"/>
        </w:rPr>
        <w:t xml:space="preserve"> % du total des passifs. </w:t>
      </w:r>
    </w:p>
    <w:p w14:paraId="4C97EC73" w14:textId="5A096FC4" w:rsidR="00A344AA" w:rsidRPr="007F5684" w:rsidRDefault="00A344AA" w:rsidP="00476C32">
      <w:pPr>
        <w:pStyle w:val="InstructionsText2"/>
        <w:numPr>
          <w:ilvl w:val="0"/>
          <w:numId w:val="13"/>
        </w:numPr>
        <w:rPr>
          <w:szCs w:val="20"/>
          <w:u w:val="none"/>
        </w:rPr>
      </w:pPr>
      <w:r>
        <w:rPr>
          <w:u w:val="none"/>
        </w:rPr>
        <w:lastRenderedPageBreak/>
        <w:t xml:space="preserve">Pour chaque type de produit, les établissements remplissent l’ensemble des colonnes </w:t>
      </w:r>
      <w:r w:rsidRPr="00DE5DBB">
        <w:rPr>
          <w:u w:val="none"/>
        </w:rPr>
        <w:t>010</w:t>
      </w:r>
      <w:r>
        <w:rPr>
          <w:u w:val="none"/>
        </w:rPr>
        <w:t xml:space="preserve"> à </w:t>
      </w:r>
      <w:r w:rsidRPr="00DE5DBB">
        <w:rPr>
          <w:u w:val="none"/>
        </w:rPr>
        <w:t>050</w:t>
      </w:r>
      <w:r>
        <w:rPr>
          <w:u w:val="none"/>
        </w:rPr>
        <w:t>.</w:t>
      </w:r>
    </w:p>
    <w:p w14:paraId="2BCBF128" w14:textId="4AA518CD" w:rsidR="00EF0ADB" w:rsidRDefault="00A344AA" w:rsidP="00EB2AD3">
      <w:pPr>
        <w:pStyle w:val="InstructionsText2"/>
        <w:numPr>
          <w:ilvl w:val="0"/>
          <w:numId w:val="13"/>
        </w:numPr>
        <w:rPr>
          <w:szCs w:val="20"/>
          <w:u w:val="none"/>
        </w:rPr>
      </w:pPr>
      <w:r>
        <w:rPr>
          <w:u w:val="none"/>
        </w:rPr>
        <w:t xml:space="preserve">Le seuil de </w:t>
      </w:r>
      <w:r w:rsidRPr="00DE5DBB">
        <w:rPr>
          <w:u w:val="none"/>
        </w:rPr>
        <w:t>1</w:t>
      </w:r>
      <w:r>
        <w:rPr>
          <w:u w:val="none"/>
        </w:rPr>
        <w:t> % du total des passifs doit être utilisé pour déterminer les types de produits au moyen desquels un financement a été obtenu, conformément aux dispositions suivantes:</w:t>
      </w:r>
    </w:p>
    <w:p w14:paraId="3AF457D4" w14:textId="2BCBD01F" w:rsidR="00A344AA" w:rsidRPr="00C13077" w:rsidRDefault="00EF0ADB" w:rsidP="00684947">
      <w:pPr>
        <w:pStyle w:val="InstructionsText2"/>
        <w:numPr>
          <w:ilvl w:val="0"/>
          <w:numId w:val="0"/>
        </w:numPr>
        <w:ind w:left="714"/>
        <w:rPr>
          <w:szCs w:val="20"/>
          <w:u w:val="none"/>
        </w:rPr>
      </w:pPr>
      <w:r>
        <w:rPr>
          <w:u w:val="none"/>
        </w:rPr>
        <w:t xml:space="preserve">a) le seuil de </w:t>
      </w:r>
      <w:r w:rsidRPr="00DE5DBB">
        <w:rPr>
          <w:u w:val="none"/>
        </w:rPr>
        <w:t>1</w:t>
      </w:r>
      <w:r>
        <w:rPr>
          <w:u w:val="none"/>
        </w:rPr>
        <w:t xml:space="preserve"> % du total des passifs est appliqué aux types de produits visés aux lignes suivantes: </w:t>
      </w:r>
      <w:r w:rsidRPr="00DE5DBB">
        <w:rPr>
          <w:u w:val="none"/>
        </w:rPr>
        <w:t>1</w:t>
      </w:r>
      <w:r>
        <w:rPr>
          <w:u w:val="none"/>
        </w:rPr>
        <w:t>.</w:t>
      </w:r>
      <w:r w:rsidRPr="00DE5DBB">
        <w:rPr>
          <w:u w:val="none"/>
        </w:rPr>
        <w:t>1</w:t>
      </w:r>
      <w:r>
        <w:rPr>
          <w:u w:val="none"/>
        </w:rPr>
        <w:t xml:space="preserve"> «Dépôts à vue»; </w:t>
      </w:r>
      <w:r w:rsidRPr="00DE5DBB">
        <w:rPr>
          <w:u w:val="none"/>
        </w:rPr>
        <w:t>1</w:t>
      </w:r>
      <w:r>
        <w:rPr>
          <w:u w:val="none"/>
        </w:rPr>
        <w:t>.</w:t>
      </w:r>
      <w:r w:rsidRPr="00DE5DBB">
        <w:rPr>
          <w:u w:val="none"/>
        </w:rPr>
        <w:t>2</w:t>
      </w:r>
      <w:r>
        <w:rPr>
          <w:u w:val="none"/>
        </w:rPr>
        <w:t xml:space="preserve"> «Dépôts à terme non retirables dans les </w:t>
      </w:r>
      <w:r w:rsidRPr="00DE5DBB">
        <w:rPr>
          <w:u w:val="none"/>
        </w:rPr>
        <w:t>30</w:t>
      </w:r>
      <w:r>
        <w:rPr>
          <w:u w:val="none"/>
        </w:rPr>
        <w:t xml:space="preserve"> jours suivants»; </w:t>
      </w:r>
      <w:r w:rsidRPr="00DE5DBB">
        <w:rPr>
          <w:u w:val="none"/>
        </w:rPr>
        <w:t>1</w:t>
      </w:r>
      <w:r>
        <w:rPr>
          <w:u w:val="none"/>
        </w:rPr>
        <w:t>.</w:t>
      </w:r>
      <w:r w:rsidRPr="00DE5DBB">
        <w:rPr>
          <w:u w:val="none"/>
        </w:rPr>
        <w:t>3</w:t>
      </w:r>
      <w:r>
        <w:rPr>
          <w:u w:val="none"/>
        </w:rPr>
        <w:t xml:space="preserve"> «Dépôts à terme retirables dans les </w:t>
      </w:r>
      <w:r w:rsidRPr="00DE5DBB">
        <w:rPr>
          <w:u w:val="none"/>
        </w:rPr>
        <w:t>30</w:t>
      </w:r>
      <w:r>
        <w:rPr>
          <w:u w:val="none"/>
        </w:rPr>
        <w:t xml:space="preserve"> jours suivants»; </w:t>
      </w:r>
      <w:r w:rsidRPr="00DE5DBB">
        <w:rPr>
          <w:u w:val="none"/>
        </w:rPr>
        <w:t>1</w:t>
      </w:r>
      <w:r>
        <w:rPr>
          <w:u w:val="none"/>
        </w:rPr>
        <w:t>.</w:t>
      </w:r>
      <w:r w:rsidRPr="00DE5DBB">
        <w:rPr>
          <w:u w:val="none"/>
        </w:rPr>
        <w:t>4</w:t>
      </w:r>
      <w:r>
        <w:rPr>
          <w:u w:val="none"/>
        </w:rPr>
        <w:t xml:space="preserve"> «Comptes d’épargne»;  </w:t>
      </w:r>
      <w:r w:rsidRPr="00DE5DBB">
        <w:rPr>
          <w:u w:val="none"/>
        </w:rPr>
        <w:t>2</w:t>
      </w:r>
      <w:r>
        <w:rPr>
          <w:u w:val="none"/>
        </w:rPr>
        <w:t>.</w:t>
      </w:r>
      <w:r w:rsidRPr="00DE5DBB">
        <w:rPr>
          <w:u w:val="none"/>
        </w:rPr>
        <w:t>1</w:t>
      </w:r>
      <w:r>
        <w:rPr>
          <w:u w:val="none"/>
        </w:rPr>
        <w:t xml:space="preserve"> «Financements de gros non garantis»; </w:t>
      </w:r>
      <w:r w:rsidRPr="00DE5DBB">
        <w:rPr>
          <w:u w:val="none"/>
        </w:rPr>
        <w:t>2</w:t>
      </w:r>
      <w:r>
        <w:rPr>
          <w:u w:val="none"/>
        </w:rPr>
        <w:t>.</w:t>
      </w:r>
      <w:r w:rsidRPr="00DE5DBB">
        <w:rPr>
          <w:u w:val="none"/>
        </w:rPr>
        <w:t>2</w:t>
      </w:r>
      <w:r>
        <w:rPr>
          <w:u w:val="none"/>
        </w:rPr>
        <w:t xml:space="preserve"> «Financements de gros garantis»; </w:t>
      </w:r>
    </w:p>
    <w:p w14:paraId="7CD07C23" w14:textId="3CF106E1" w:rsidR="00EF0ADB" w:rsidRDefault="00EF0ADB" w:rsidP="00684947">
      <w:pPr>
        <w:pStyle w:val="InstructionsText2"/>
        <w:numPr>
          <w:ilvl w:val="0"/>
          <w:numId w:val="0"/>
        </w:numPr>
        <w:ind w:left="714"/>
        <w:rPr>
          <w:szCs w:val="20"/>
          <w:u w:val="none"/>
        </w:rPr>
      </w:pPr>
      <w:r>
        <w:rPr>
          <w:u w:val="none"/>
        </w:rPr>
        <w:t xml:space="preserve">b) en ce qui concerne le calcul du seuil de </w:t>
      </w:r>
      <w:r w:rsidRPr="00DE5DBB">
        <w:rPr>
          <w:u w:val="none"/>
        </w:rPr>
        <w:t>1</w:t>
      </w:r>
      <w:r>
        <w:rPr>
          <w:u w:val="none"/>
        </w:rPr>
        <w:t xml:space="preserve"> % du total des passifs pour la ligne </w:t>
      </w:r>
      <w:r w:rsidRPr="00DE5DBB">
        <w:rPr>
          <w:u w:val="none"/>
        </w:rPr>
        <w:t>1</w:t>
      </w:r>
      <w:r>
        <w:rPr>
          <w:u w:val="none"/>
        </w:rPr>
        <w:t>.</w:t>
      </w:r>
      <w:r w:rsidRPr="00DE5DBB">
        <w:rPr>
          <w:u w:val="none"/>
        </w:rPr>
        <w:t>4</w:t>
      </w:r>
      <w:r>
        <w:rPr>
          <w:u w:val="none"/>
        </w:rPr>
        <w:t xml:space="preserve"> «Comptes d’épargne», ce seuil s’applique à la somme des lignes </w:t>
      </w:r>
      <w:r w:rsidRPr="00DE5DBB">
        <w:rPr>
          <w:u w:val="none"/>
        </w:rPr>
        <w:t>1</w:t>
      </w:r>
      <w:r>
        <w:rPr>
          <w:u w:val="none"/>
        </w:rPr>
        <w:t>.</w:t>
      </w:r>
      <w:r w:rsidRPr="00DE5DBB">
        <w:rPr>
          <w:u w:val="none"/>
        </w:rPr>
        <w:t>4</w:t>
      </w:r>
      <w:r>
        <w:rPr>
          <w:u w:val="none"/>
        </w:rPr>
        <w:t>.</w:t>
      </w:r>
      <w:r w:rsidRPr="00DE5DBB">
        <w:rPr>
          <w:u w:val="none"/>
        </w:rPr>
        <w:t>1</w:t>
      </w:r>
      <w:r>
        <w:rPr>
          <w:u w:val="none"/>
        </w:rPr>
        <w:t xml:space="preserve"> et </w:t>
      </w:r>
      <w:r w:rsidRPr="00DE5DBB">
        <w:rPr>
          <w:u w:val="none"/>
        </w:rPr>
        <w:t>1</w:t>
      </w:r>
      <w:r>
        <w:rPr>
          <w:u w:val="none"/>
        </w:rPr>
        <w:t>.</w:t>
      </w:r>
      <w:r w:rsidRPr="00DE5DBB">
        <w:rPr>
          <w:u w:val="none"/>
        </w:rPr>
        <w:t>4</w:t>
      </w:r>
      <w:r>
        <w:rPr>
          <w:u w:val="none"/>
        </w:rPr>
        <w:t>.</w:t>
      </w:r>
      <w:r w:rsidRPr="00DE5DBB">
        <w:rPr>
          <w:u w:val="none"/>
        </w:rPr>
        <w:t>2</w:t>
      </w:r>
      <w:r>
        <w:rPr>
          <w:u w:val="none"/>
        </w:rPr>
        <w:t>;</w:t>
      </w:r>
    </w:p>
    <w:p w14:paraId="636F886A" w14:textId="2E150A7D" w:rsidR="00AE0498" w:rsidRDefault="00AE0498" w:rsidP="00684947">
      <w:pPr>
        <w:pStyle w:val="InstructionsText2"/>
        <w:numPr>
          <w:ilvl w:val="0"/>
          <w:numId w:val="0"/>
        </w:numPr>
        <w:ind w:left="714"/>
        <w:rPr>
          <w:szCs w:val="20"/>
          <w:u w:val="none"/>
        </w:rPr>
      </w:pPr>
      <w:r>
        <w:rPr>
          <w:u w:val="none"/>
        </w:rPr>
        <w:t xml:space="preserve">c) pour les lignes </w:t>
      </w:r>
      <w:r w:rsidRPr="00DE5DBB">
        <w:rPr>
          <w:u w:val="none"/>
        </w:rPr>
        <w:t>1</w:t>
      </w:r>
      <w:r>
        <w:rPr>
          <w:u w:val="none"/>
        </w:rPr>
        <w:t xml:space="preserve">. «Financements de détail» et </w:t>
      </w:r>
      <w:r w:rsidRPr="00DE5DBB">
        <w:rPr>
          <w:u w:val="none"/>
        </w:rPr>
        <w:t>2</w:t>
      </w:r>
      <w:r>
        <w:rPr>
          <w:u w:val="none"/>
        </w:rPr>
        <w:t xml:space="preserve">. «Financements de gros», le seuil de </w:t>
      </w:r>
      <w:r w:rsidRPr="00DE5DBB">
        <w:rPr>
          <w:u w:val="none"/>
        </w:rPr>
        <w:t>1</w:t>
      </w:r>
      <w:r>
        <w:rPr>
          <w:u w:val="none"/>
        </w:rPr>
        <w:t> % du total des passifs s’applique au niveau agrégé uniquement.</w:t>
      </w:r>
    </w:p>
    <w:p w14:paraId="2935E76B" w14:textId="65226D7D" w:rsidR="00792E65" w:rsidRDefault="00792E65" w:rsidP="00DE2988">
      <w:pPr>
        <w:pStyle w:val="InstructionsText2"/>
        <w:numPr>
          <w:ilvl w:val="0"/>
          <w:numId w:val="13"/>
        </w:numPr>
        <w:rPr>
          <w:szCs w:val="20"/>
          <w:u w:val="none"/>
        </w:rPr>
      </w:pPr>
      <w:r>
        <w:rPr>
          <w:u w:val="none"/>
        </w:rPr>
        <w:t xml:space="preserve">Les montants déclarés aux lignes </w:t>
      </w:r>
      <w:r w:rsidRPr="00DE5DBB">
        <w:rPr>
          <w:u w:val="none"/>
        </w:rPr>
        <w:t>1</w:t>
      </w:r>
      <w:r>
        <w:rPr>
          <w:u w:val="none"/>
        </w:rPr>
        <w:t xml:space="preserve">. «Financement de détail», </w:t>
      </w:r>
      <w:r w:rsidRPr="00DE5DBB">
        <w:rPr>
          <w:u w:val="none"/>
        </w:rPr>
        <w:t>2</w:t>
      </w:r>
      <w:r>
        <w:rPr>
          <w:u w:val="none"/>
        </w:rPr>
        <w:t>.</w:t>
      </w:r>
      <w:r w:rsidRPr="00DE5DBB">
        <w:rPr>
          <w:u w:val="none"/>
        </w:rPr>
        <w:t>1</w:t>
      </w:r>
      <w:r>
        <w:rPr>
          <w:u w:val="none"/>
        </w:rPr>
        <w:t xml:space="preserve"> «Financements de gros non garantis» et </w:t>
      </w:r>
      <w:r w:rsidRPr="00DE5DBB">
        <w:rPr>
          <w:u w:val="none"/>
        </w:rPr>
        <w:t>2</w:t>
      </w:r>
      <w:r>
        <w:rPr>
          <w:u w:val="none"/>
        </w:rPr>
        <w:t>.</w:t>
      </w:r>
      <w:r w:rsidRPr="00DE5DBB">
        <w:rPr>
          <w:u w:val="none"/>
        </w:rPr>
        <w:t>2</w:t>
      </w:r>
      <w:r>
        <w:rPr>
          <w:u w:val="none"/>
        </w:rPr>
        <w:t xml:space="preserve"> «Financements de gros garantis» peuvent inclure une variété de produits plus large que la liste des éléments indiqués.  </w:t>
      </w:r>
    </w:p>
    <w:p w14:paraId="2FED639D" w14:textId="77777777" w:rsidR="00A344AA" w:rsidRPr="007F5684" w:rsidRDefault="00A344AA" w:rsidP="00DE2988">
      <w:pPr>
        <w:pStyle w:val="InstructionsText2"/>
        <w:numPr>
          <w:ilvl w:val="0"/>
          <w:numId w:val="13"/>
        </w:numPr>
        <w:rPr>
          <w:szCs w:val="20"/>
          <w:u w:val="none"/>
        </w:rPr>
      </w:pPr>
      <w:r>
        <w:rPr>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Références légales et instructions</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sidRPr="00DE5DBB">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Valeur comptable des financements reçus</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La valeur comptable des financements reçus pour chacune des catégories de produits indiquées dans la colonne «Nom du produit» est déclarée dans la colonne </w:t>
            </w:r>
            <w:r w:rsidRPr="00DE5DBB">
              <w:rPr>
                <w:rFonts w:ascii="Times New Roman" w:hAnsi="Times New Roman"/>
              </w:rPr>
              <w:t>010</w:t>
            </w:r>
            <w:r>
              <w:rPr>
                <w:rFonts w:ascii="Times New Roman" w:hAnsi="Times New Roman"/>
              </w:rPr>
              <w:t xml:space="preserve"> du modèle.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sidRPr="00DE5DBB">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Montant couvert par un système de garantie des dépôts conformément à la directive </w:t>
            </w:r>
            <w:r w:rsidRPr="00DE5DBB">
              <w:rPr>
                <w:rFonts w:ascii="Times New Roman" w:hAnsi="Times New Roman"/>
                <w:b/>
                <w:u w:val="single"/>
              </w:rPr>
              <w:t>2014</w:t>
            </w:r>
            <w:r>
              <w:rPr>
                <w:rFonts w:ascii="Times New Roman" w:hAnsi="Times New Roman"/>
                <w:b/>
                <w:u w:val="single"/>
              </w:rPr>
              <w:t>/</w:t>
            </w:r>
            <w:r w:rsidRPr="00DE5DBB">
              <w:rPr>
                <w:rFonts w:ascii="Times New Roman" w:hAnsi="Times New Roman"/>
                <w:b/>
                <w:u w:val="single"/>
              </w:rPr>
              <w:t>49</w:t>
            </w:r>
            <w:r>
              <w:rPr>
                <w:rFonts w:ascii="Times New Roman" w:hAnsi="Times New Roman"/>
                <w:b/>
                <w:u w:val="single"/>
              </w:rPr>
              <w:t>/UE ou par un système de garantie des dépôts équivalent d’un pays tiers</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Il s’agit, pour chacune des catégories de produits indiquées dans la colonne «Nom du produit», de la part du montant total de financements reçus déclaré dans la colonne </w:t>
            </w:r>
            <w:r w:rsidRPr="00DE5DBB">
              <w:rPr>
                <w:rFonts w:ascii="Times New Roman" w:hAnsi="Times New Roman"/>
              </w:rPr>
              <w:t>010</w:t>
            </w:r>
            <w:r>
              <w:rPr>
                <w:rFonts w:ascii="Times New Roman" w:hAnsi="Times New Roman"/>
              </w:rPr>
              <w:t xml:space="preserve"> qui est couverte par un système de garantie des dépôts conformément à la directive </w:t>
            </w:r>
            <w:r w:rsidRPr="00DE5DBB">
              <w:rPr>
                <w:rFonts w:ascii="Times New Roman" w:hAnsi="Times New Roman"/>
              </w:rPr>
              <w:t>2014</w:t>
            </w:r>
            <w:r>
              <w:rPr>
                <w:rFonts w:ascii="Times New Roman" w:hAnsi="Times New Roman"/>
              </w:rPr>
              <w:t>/</w:t>
            </w:r>
            <w:r w:rsidRPr="00DE5DBB">
              <w:rPr>
                <w:rFonts w:ascii="Times New Roman" w:hAnsi="Times New Roman"/>
              </w:rPr>
              <w:t>49</w:t>
            </w:r>
            <w:r>
              <w:rPr>
                <w:rFonts w:ascii="Times New Roman" w:hAnsi="Times New Roman"/>
              </w:rPr>
              <w:t xml:space="preserve">/UE ou par un système de garantie des dépôts équivalent d’un pays tiers.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 xml:space="preserve">Remarque: pour chacune des catégories de produits indiquées dans la colonne «Nom du produit», les montants déclarés dans les colonnes </w:t>
            </w:r>
            <w:r w:rsidRPr="00DE5DBB">
              <w:rPr>
                <w:rFonts w:ascii="Times New Roman" w:hAnsi="Times New Roman"/>
              </w:rPr>
              <w:t>020</w:t>
            </w:r>
            <w:r>
              <w:rPr>
                <w:rFonts w:ascii="Times New Roman" w:hAnsi="Times New Roman"/>
              </w:rPr>
              <w:t xml:space="preserve"> et </w:t>
            </w:r>
            <w:r w:rsidRPr="00DE5DBB">
              <w:rPr>
                <w:rFonts w:ascii="Times New Roman" w:hAnsi="Times New Roman"/>
              </w:rPr>
              <w:t>030</w:t>
            </w:r>
            <w:r>
              <w:rPr>
                <w:rFonts w:ascii="Times New Roman" w:hAnsi="Times New Roman"/>
              </w:rPr>
              <w:t xml:space="preserve"> sont égaux au montant total reçu déclaré dans la colonne </w:t>
            </w:r>
            <w:r w:rsidRPr="00DE5DBB">
              <w:rPr>
                <w:rFonts w:ascii="Times New Roman" w:hAnsi="Times New Roman"/>
              </w:rPr>
              <w:t>010</w:t>
            </w:r>
            <w:r>
              <w:rPr>
                <w:rFonts w:ascii="Times New Roman" w:hAnsi="Times New Roman"/>
              </w:rPr>
              <w:t>.</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sidRPr="00DE5DBB">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Montant non couvert par un système de garantie des dépôts conformément à la directive </w:t>
            </w:r>
            <w:r w:rsidRPr="00DE5DBB">
              <w:rPr>
                <w:rFonts w:ascii="Times New Roman" w:hAnsi="Times New Roman"/>
                <w:b/>
                <w:u w:val="single"/>
              </w:rPr>
              <w:t>2014</w:t>
            </w:r>
            <w:r>
              <w:rPr>
                <w:rFonts w:ascii="Times New Roman" w:hAnsi="Times New Roman"/>
                <w:b/>
                <w:u w:val="single"/>
              </w:rPr>
              <w:t>/</w:t>
            </w:r>
            <w:r w:rsidRPr="00DE5DBB">
              <w:rPr>
                <w:rFonts w:ascii="Times New Roman" w:hAnsi="Times New Roman"/>
                <w:b/>
                <w:u w:val="single"/>
              </w:rPr>
              <w:t>49</w:t>
            </w:r>
            <w:r>
              <w:rPr>
                <w:rFonts w:ascii="Times New Roman" w:hAnsi="Times New Roman"/>
                <w:b/>
                <w:u w:val="single"/>
              </w:rPr>
              <w:t>/CE ou par un système de garantie des dépôts équivalent d’un pays tiers</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Il s’agit, pour chacune des catégories de produits indiquées dans la colonne «Nom du produit», de la part du montant total de financements reçus déclaré dans la colonne </w:t>
            </w:r>
            <w:r w:rsidRPr="00DE5DBB">
              <w:rPr>
                <w:rFonts w:ascii="Times New Roman" w:hAnsi="Times New Roman"/>
              </w:rPr>
              <w:t>010</w:t>
            </w:r>
            <w:r>
              <w:rPr>
                <w:rFonts w:ascii="Times New Roman" w:hAnsi="Times New Roman"/>
              </w:rPr>
              <w:t xml:space="preserve">, qui n’est </w:t>
            </w:r>
            <w:r>
              <w:rPr>
                <w:rFonts w:ascii="Times New Roman" w:hAnsi="Times New Roman"/>
                <w:u w:val="single"/>
              </w:rPr>
              <w:t>pas</w:t>
            </w:r>
            <w:r>
              <w:rPr>
                <w:rFonts w:ascii="Times New Roman" w:hAnsi="Times New Roman"/>
              </w:rPr>
              <w:t xml:space="preserve"> couverte par un système de garantie des dépôts conformément à la directive </w:t>
            </w:r>
            <w:r w:rsidRPr="00DE5DBB">
              <w:rPr>
                <w:rFonts w:ascii="Times New Roman" w:hAnsi="Times New Roman"/>
              </w:rPr>
              <w:t>2014</w:t>
            </w:r>
            <w:r>
              <w:rPr>
                <w:rFonts w:ascii="Times New Roman" w:hAnsi="Times New Roman"/>
              </w:rPr>
              <w:t>/</w:t>
            </w:r>
            <w:r w:rsidRPr="00DE5DBB">
              <w:rPr>
                <w:rFonts w:ascii="Times New Roman" w:hAnsi="Times New Roman"/>
              </w:rPr>
              <w:t>49</w:t>
            </w:r>
            <w:r>
              <w:rPr>
                <w:rFonts w:ascii="Times New Roman" w:hAnsi="Times New Roman"/>
              </w:rPr>
              <w:t xml:space="preserve">/UE ou par un système de garantie des dépôts équivalent d’un pays tiers.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 xml:space="preserve">Remarque: pour chacune des catégories de produits indiquées dans la colonne «Nom du produit», les montants déclarés dans les colonnes </w:t>
            </w:r>
            <w:r w:rsidRPr="00DE5DBB">
              <w:rPr>
                <w:rFonts w:ascii="Times New Roman" w:hAnsi="Times New Roman"/>
              </w:rPr>
              <w:t>020</w:t>
            </w:r>
            <w:r>
              <w:rPr>
                <w:rFonts w:ascii="Times New Roman" w:hAnsi="Times New Roman"/>
              </w:rPr>
              <w:t xml:space="preserve"> et </w:t>
            </w:r>
            <w:r w:rsidRPr="00DE5DBB">
              <w:rPr>
                <w:rFonts w:ascii="Times New Roman" w:hAnsi="Times New Roman"/>
              </w:rPr>
              <w:t>030</w:t>
            </w:r>
            <w:r>
              <w:rPr>
                <w:rFonts w:ascii="Times New Roman" w:hAnsi="Times New Roman"/>
              </w:rPr>
              <w:t xml:space="preserve"> sont égaux au montant total reçu déclaré dans la colonne </w:t>
            </w:r>
            <w:r w:rsidRPr="00DE5DBB">
              <w:rPr>
                <w:rFonts w:ascii="Times New Roman" w:hAnsi="Times New Roman"/>
              </w:rPr>
              <w:t>010</w:t>
            </w:r>
            <w:r>
              <w:rPr>
                <w:rFonts w:ascii="Times New Roman" w:hAnsi="Times New Roman"/>
              </w:rPr>
              <w:t>.</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sidRPr="00DE5DBB">
              <w:rPr>
                <w:rFonts w:ascii="Times New Roman" w:hAnsi="Times New Roman"/>
                <w:color w:val="000000"/>
              </w:rPr>
              <w:lastRenderedPageBreak/>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Échéance initiale moyenne pondérée</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 xml:space="preserve">Pour chacune des catégories de produits indiquée dans la colonne «Nom du produit» est inscrite dans la colonne </w:t>
            </w:r>
            <w:r w:rsidRPr="00DE5DBB">
              <w:rPr>
                <w:rFonts w:ascii="Times New Roman" w:hAnsi="Times New Roman"/>
              </w:rPr>
              <w:t>040</w:t>
            </w:r>
            <w:r>
              <w:rPr>
                <w:rFonts w:ascii="Times New Roman" w:hAnsi="Times New Roman"/>
              </w:rPr>
              <w:t xml:space="preserve"> l’échéance initiale moyenne pondérée, en jours, du financement reçu dont le montant est déclaré dans la colonne </w:t>
            </w:r>
            <w:r w:rsidRPr="00DE5DBB">
              <w:rPr>
                <w:rFonts w:ascii="Times New Roman" w:hAnsi="Times New Roman"/>
              </w:rPr>
              <w:t>010</w:t>
            </w:r>
            <w:r>
              <w:rPr>
                <w:rFonts w:ascii="Times New Roman" w:hAnsi="Times New Roman"/>
              </w:rPr>
              <w:t>.</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Cette échéance initiale moyenne pondérée est calculée comme étant l’échéance initiale moyenne, en jours, des financements provenant de ce type de produit. Cette moyenne est pondérée en fonction de la taille des différents montants de financement reçus en proportion du total des financements provenant de toutes les émissions de ce type de produit.</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sidRPr="00DE5DBB">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Échéance résiduelle moyenne pondérée</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 xml:space="preserve">Pour chacune des catégories de produits indiquée dans la colonne «Nom du produit» est inscrite dans la colonne </w:t>
            </w:r>
            <w:r w:rsidRPr="00DE5DBB">
              <w:rPr>
                <w:rFonts w:ascii="Times New Roman" w:hAnsi="Times New Roman"/>
              </w:rPr>
              <w:t>050</w:t>
            </w:r>
            <w:r>
              <w:rPr>
                <w:rFonts w:ascii="Times New Roman" w:hAnsi="Times New Roman"/>
              </w:rPr>
              <w:t xml:space="preserve"> l’échéance résiduelle moyenne pondérée, en jours, du financement reçu dont le montant est déclaré dans la colonne </w:t>
            </w:r>
            <w:r w:rsidRPr="00DE5DBB">
              <w:rPr>
                <w:rFonts w:ascii="Times New Roman" w:hAnsi="Times New Roman"/>
              </w:rPr>
              <w:t>010</w:t>
            </w:r>
            <w:r>
              <w:rPr>
                <w:rFonts w:ascii="Times New Roman" w:hAnsi="Times New Roman"/>
              </w:rPr>
              <w:t>.</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Cette échéance résiduelle moyenne pondérée est calculée comme étant l’échéance résiduelle moyenne, en jours, des financements provenant de ce type de produit. Cette moyenne est pondérée en fonction de la taille des différents montants de financement reçus en proportion du total des financements provenant de toutes les émissions de ce type de produit.</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Prix pour les différentes durées de financement (C </w:t>
      </w:r>
      <w:r w:rsidRPr="00DE5DBB">
        <w:rPr>
          <w:rFonts w:ascii="Times New Roman" w:hAnsi="Times New Roman"/>
        </w:rPr>
        <w:t>69</w:t>
      </w:r>
      <w:r>
        <w:rPr>
          <w:rFonts w:ascii="Times New Roman" w:hAnsi="Times New Roman"/>
        </w:rPr>
        <w:t>.</w:t>
      </w:r>
      <w:r w:rsidRPr="00DE5DBB">
        <w:rPr>
          <w:rFonts w:ascii="Times New Roman" w:hAnsi="Times New Roman"/>
        </w:rPr>
        <w:t>00</w:t>
      </w:r>
      <w:r>
        <w:rPr>
          <w:rFonts w:ascii="Times New Roman" w:hAnsi="Times New Roman"/>
        </w:rPr>
        <w:t>)</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Les établissements déclarent comme suit, à l’aide du modèle C </w:t>
      </w:r>
      <w:r w:rsidRPr="00DE5DBB">
        <w:rPr>
          <w:u w:val="none"/>
        </w:rPr>
        <w:t>69</w:t>
      </w:r>
      <w:r>
        <w:rPr>
          <w:u w:val="none"/>
        </w:rPr>
        <w:t>.</w:t>
      </w:r>
      <w:r w:rsidRPr="00DE5DBB">
        <w:rPr>
          <w:u w:val="none"/>
        </w:rPr>
        <w:t>00</w:t>
      </w:r>
      <w:r>
        <w:rPr>
          <w:u w:val="none"/>
        </w:rPr>
        <w:t xml:space="preserve">, les informations relatives au volume des transactions et aux prix moyens payés par les établissements pour les financements obtenus durant la période de référence et encore présents à la fin de cette période, conformément aux échéances initiales suivantes: </w:t>
      </w:r>
    </w:p>
    <w:p w14:paraId="43E76F50" w14:textId="57D72AF1" w:rsidR="0019013A" w:rsidRPr="007F5684" w:rsidRDefault="00C13077" w:rsidP="00DE2988">
      <w:pPr>
        <w:pStyle w:val="InstructionsText2"/>
        <w:numPr>
          <w:ilvl w:val="1"/>
          <w:numId w:val="13"/>
        </w:numPr>
        <w:ind w:left="993" w:hanging="284"/>
        <w:rPr>
          <w:szCs w:val="20"/>
          <w:u w:val="none"/>
        </w:rPr>
      </w:pPr>
      <w:r>
        <w:tab/>
      </w:r>
      <w:r w:rsidRPr="00DE5DBB">
        <w:rPr>
          <w:u w:val="none"/>
        </w:rPr>
        <w:t>1</w:t>
      </w:r>
      <w:r>
        <w:rPr>
          <w:u w:val="none"/>
        </w:rPr>
        <w:t xml:space="preserve"> jour, dans les colonnes </w:t>
      </w:r>
      <w:r w:rsidRPr="00DE5DBB">
        <w:rPr>
          <w:u w:val="none"/>
        </w:rPr>
        <w:t>010</w:t>
      </w:r>
      <w:r>
        <w:rPr>
          <w:u w:val="none"/>
        </w:rPr>
        <w:t xml:space="preserve"> et </w:t>
      </w:r>
      <w:r w:rsidRPr="00DE5DBB">
        <w:rPr>
          <w:u w:val="none"/>
        </w:rPr>
        <w:t>020</w:t>
      </w:r>
      <w:r>
        <w:rPr>
          <w:u w:val="none"/>
        </w:rPr>
        <w:t>;</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tab/>
      </w:r>
      <w:r>
        <w:rPr>
          <w:u w:val="none"/>
        </w:rPr>
        <w:t xml:space="preserve">supérieure à </w:t>
      </w:r>
      <w:r w:rsidRPr="00DE5DBB">
        <w:rPr>
          <w:u w:val="none"/>
        </w:rPr>
        <w:t>1</w:t>
      </w:r>
      <w:r>
        <w:rPr>
          <w:u w:val="none"/>
        </w:rPr>
        <w:t xml:space="preserve"> jour et inférieure ou égale à </w:t>
      </w:r>
      <w:r w:rsidRPr="00DE5DBB">
        <w:rPr>
          <w:u w:val="none"/>
        </w:rPr>
        <w:t>1</w:t>
      </w:r>
      <w:r>
        <w:rPr>
          <w:u w:val="none"/>
        </w:rPr>
        <w:t xml:space="preserve"> semaine, dans les colonnes </w:t>
      </w:r>
      <w:r w:rsidRPr="00DE5DBB">
        <w:rPr>
          <w:u w:val="none"/>
        </w:rPr>
        <w:t>030</w:t>
      </w:r>
      <w:r>
        <w:rPr>
          <w:u w:val="none"/>
        </w:rPr>
        <w:t xml:space="preserve"> et </w:t>
      </w:r>
      <w:r w:rsidRPr="00DE5DBB">
        <w:rPr>
          <w:u w:val="none"/>
        </w:rPr>
        <w:t>040</w:t>
      </w:r>
      <w:r>
        <w:rPr>
          <w:u w:val="none"/>
        </w:rPr>
        <w:t>;</w:t>
      </w:r>
    </w:p>
    <w:p w14:paraId="23995DF6" w14:textId="6B8F5FD2" w:rsidR="0019013A" w:rsidRPr="007F5684" w:rsidRDefault="00325582" w:rsidP="00325582">
      <w:pPr>
        <w:pStyle w:val="InstructionsText2"/>
        <w:numPr>
          <w:ilvl w:val="0"/>
          <w:numId w:val="0"/>
        </w:numPr>
        <w:ind w:left="714"/>
        <w:rPr>
          <w:szCs w:val="20"/>
          <w:u w:val="none"/>
        </w:rPr>
      </w:pPr>
      <w:r>
        <w:rPr>
          <w:u w:val="none"/>
        </w:rPr>
        <w:t>c)</w:t>
      </w:r>
      <w:r>
        <w:tab/>
      </w:r>
      <w:r>
        <w:rPr>
          <w:u w:val="none"/>
        </w:rPr>
        <w:t xml:space="preserve">supérieure à </w:t>
      </w:r>
      <w:r w:rsidRPr="00DE5DBB">
        <w:rPr>
          <w:u w:val="none"/>
        </w:rPr>
        <w:t>1</w:t>
      </w:r>
      <w:r>
        <w:rPr>
          <w:u w:val="none"/>
        </w:rPr>
        <w:t xml:space="preserve"> semaine et inférieure ou égale à </w:t>
      </w:r>
      <w:r w:rsidRPr="00DE5DBB">
        <w:rPr>
          <w:u w:val="none"/>
        </w:rPr>
        <w:t>1</w:t>
      </w:r>
      <w:r>
        <w:rPr>
          <w:u w:val="none"/>
        </w:rPr>
        <w:t xml:space="preserve"> mois, dans les colonnes </w:t>
      </w:r>
      <w:r w:rsidRPr="00DE5DBB">
        <w:rPr>
          <w:u w:val="none"/>
        </w:rPr>
        <w:t>050</w:t>
      </w:r>
      <w:r>
        <w:rPr>
          <w:u w:val="none"/>
        </w:rPr>
        <w:t xml:space="preserve"> et </w:t>
      </w:r>
      <w:r w:rsidRPr="00DE5DBB">
        <w:rPr>
          <w:u w:val="none"/>
        </w:rPr>
        <w:t>060</w:t>
      </w:r>
      <w:r>
        <w:rPr>
          <w:u w:val="none"/>
        </w:rPr>
        <w:t>;</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tab/>
      </w:r>
      <w:r>
        <w:rPr>
          <w:u w:val="none"/>
        </w:rPr>
        <w:t xml:space="preserve">supérieure à </w:t>
      </w:r>
      <w:r w:rsidRPr="00DE5DBB">
        <w:rPr>
          <w:u w:val="none"/>
        </w:rPr>
        <w:t>1</w:t>
      </w:r>
      <w:r>
        <w:rPr>
          <w:u w:val="none"/>
        </w:rPr>
        <w:t xml:space="preserve"> mois et inférieure ou égale à </w:t>
      </w:r>
      <w:r w:rsidRPr="00DE5DBB">
        <w:rPr>
          <w:u w:val="none"/>
        </w:rPr>
        <w:t>3</w:t>
      </w:r>
      <w:r>
        <w:rPr>
          <w:u w:val="none"/>
        </w:rPr>
        <w:t xml:space="preserve"> mois, dans les colonnes </w:t>
      </w:r>
      <w:r w:rsidRPr="00DE5DBB">
        <w:rPr>
          <w:u w:val="none"/>
        </w:rPr>
        <w:t>070</w:t>
      </w:r>
      <w:r>
        <w:rPr>
          <w:u w:val="none"/>
        </w:rPr>
        <w:t xml:space="preserve"> et </w:t>
      </w:r>
      <w:r w:rsidRPr="00DE5DBB">
        <w:rPr>
          <w:u w:val="none"/>
        </w:rPr>
        <w:t>080</w:t>
      </w:r>
      <w:r>
        <w:rPr>
          <w:u w:val="none"/>
        </w:rPr>
        <w:t>;</w:t>
      </w:r>
    </w:p>
    <w:p w14:paraId="68B85898" w14:textId="1C69E6E6" w:rsidR="0019013A" w:rsidRPr="007F5684" w:rsidRDefault="00325582" w:rsidP="00325582">
      <w:pPr>
        <w:pStyle w:val="InstructionsText2"/>
        <w:numPr>
          <w:ilvl w:val="0"/>
          <w:numId w:val="0"/>
        </w:numPr>
        <w:ind w:left="714"/>
        <w:rPr>
          <w:szCs w:val="20"/>
          <w:u w:val="none"/>
        </w:rPr>
      </w:pPr>
      <w:r>
        <w:rPr>
          <w:u w:val="none"/>
        </w:rPr>
        <w:t>e)</w:t>
      </w:r>
      <w:r>
        <w:tab/>
      </w:r>
      <w:r>
        <w:rPr>
          <w:u w:val="none"/>
        </w:rPr>
        <w:t xml:space="preserve">supérieure à </w:t>
      </w:r>
      <w:r w:rsidRPr="00DE5DBB">
        <w:rPr>
          <w:u w:val="none"/>
        </w:rPr>
        <w:t>3</w:t>
      </w:r>
      <w:r>
        <w:rPr>
          <w:u w:val="none"/>
        </w:rPr>
        <w:t xml:space="preserve"> mois et inférieure ou égale à </w:t>
      </w:r>
      <w:r w:rsidRPr="00DE5DBB">
        <w:rPr>
          <w:u w:val="none"/>
        </w:rPr>
        <w:t>6</w:t>
      </w:r>
      <w:r>
        <w:rPr>
          <w:u w:val="none"/>
        </w:rPr>
        <w:t xml:space="preserve"> mois, dans les colonnes </w:t>
      </w:r>
      <w:r w:rsidRPr="00DE5DBB">
        <w:rPr>
          <w:u w:val="none"/>
        </w:rPr>
        <w:t>090</w:t>
      </w:r>
      <w:r>
        <w:rPr>
          <w:u w:val="none"/>
        </w:rPr>
        <w:t xml:space="preserve"> et </w:t>
      </w:r>
      <w:r w:rsidRPr="00DE5DBB">
        <w:rPr>
          <w:u w:val="none"/>
        </w:rPr>
        <w:t>100</w:t>
      </w:r>
      <w:r>
        <w:rPr>
          <w:u w:val="none"/>
        </w:rPr>
        <w:t>;</w:t>
      </w:r>
    </w:p>
    <w:p w14:paraId="032BAEDE" w14:textId="15A2A145" w:rsidR="00172727" w:rsidRPr="007F5684" w:rsidRDefault="00325582" w:rsidP="00325582">
      <w:pPr>
        <w:pStyle w:val="InstructionsText2"/>
        <w:numPr>
          <w:ilvl w:val="0"/>
          <w:numId w:val="0"/>
        </w:numPr>
        <w:ind w:left="714"/>
        <w:rPr>
          <w:szCs w:val="20"/>
          <w:u w:val="none"/>
        </w:rPr>
      </w:pPr>
      <w:r>
        <w:rPr>
          <w:u w:val="none"/>
        </w:rPr>
        <w:t>f)</w:t>
      </w:r>
      <w:r>
        <w:tab/>
      </w:r>
      <w:r>
        <w:rPr>
          <w:u w:val="none"/>
        </w:rPr>
        <w:t xml:space="preserve">supérieure à </w:t>
      </w:r>
      <w:r w:rsidRPr="00DE5DBB">
        <w:rPr>
          <w:u w:val="none"/>
        </w:rPr>
        <w:t>6</w:t>
      </w:r>
      <w:r>
        <w:rPr>
          <w:u w:val="none"/>
        </w:rPr>
        <w:t xml:space="preserve"> mois et inférieure ou égale à </w:t>
      </w:r>
      <w:r w:rsidRPr="00DE5DBB">
        <w:rPr>
          <w:u w:val="none"/>
        </w:rPr>
        <w:t>1</w:t>
      </w:r>
      <w:r>
        <w:rPr>
          <w:u w:val="none"/>
        </w:rPr>
        <w:t xml:space="preserve"> an, dans les colonnes </w:t>
      </w:r>
      <w:r w:rsidRPr="00DE5DBB">
        <w:rPr>
          <w:u w:val="none"/>
        </w:rPr>
        <w:t>110</w:t>
      </w:r>
      <w:r>
        <w:rPr>
          <w:u w:val="none"/>
        </w:rPr>
        <w:t xml:space="preserve"> et </w:t>
      </w:r>
      <w:r w:rsidRPr="00DE5DBB">
        <w:rPr>
          <w:u w:val="none"/>
        </w:rPr>
        <w:t>120</w:t>
      </w:r>
      <w:r>
        <w:rPr>
          <w:u w:val="none"/>
        </w:rPr>
        <w:t>;</w:t>
      </w:r>
    </w:p>
    <w:p w14:paraId="3DE0207D" w14:textId="0958FEE1" w:rsidR="0019013A" w:rsidRPr="007F5684" w:rsidRDefault="00325582" w:rsidP="00325582">
      <w:pPr>
        <w:pStyle w:val="InstructionsText2"/>
        <w:numPr>
          <w:ilvl w:val="0"/>
          <w:numId w:val="0"/>
        </w:numPr>
        <w:ind w:left="714"/>
        <w:rPr>
          <w:szCs w:val="20"/>
          <w:u w:val="none"/>
        </w:rPr>
      </w:pPr>
      <w:r>
        <w:rPr>
          <w:u w:val="none"/>
        </w:rPr>
        <w:t>g)</w:t>
      </w:r>
      <w:r>
        <w:tab/>
      </w:r>
      <w:r>
        <w:rPr>
          <w:u w:val="none"/>
        </w:rPr>
        <w:t xml:space="preserve">supérieure à </w:t>
      </w:r>
      <w:r w:rsidRPr="00DE5DBB">
        <w:rPr>
          <w:u w:val="none"/>
        </w:rPr>
        <w:t>1</w:t>
      </w:r>
      <w:r>
        <w:rPr>
          <w:u w:val="none"/>
        </w:rPr>
        <w:t xml:space="preserve"> an et inférieure ou égale à </w:t>
      </w:r>
      <w:r w:rsidRPr="00DE5DBB">
        <w:rPr>
          <w:u w:val="none"/>
        </w:rPr>
        <w:t>2</w:t>
      </w:r>
      <w:r>
        <w:rPr>
          <w:u w:val="none"/>
        </w:rPr>
        <w:t xml:space="preserve"> ans, dans les colonnes </w:t>
      </w:r>
      <w:r w:rsidRPr="00DE5DBB">
        <w:rPr>
          <w:u w:val="none"/>
        </w:rPr>
        <w:t>130</w:t>
      </w:r>
      <w:r>
        <w:rPr>
          <w:u w:val="none"/>
        </w:rPr>
        <w:t xml:space="preserve"> et </w:t>
      </w:r>
      <w:r w:rsidRPr="00DE5DBB">
        <w:rPr>
          <w:u w:val="none"/>
        </w:rPr>
        <w:t>140</w:t>
      </w:r>
      <w:r>
        <w:rPr>
          <w:u w:val="none"/>
        </w:rPr>
        <w:t>;</w:t>
      </w:r>
    </w:p>
    <w:p w14:paraId="5A4B2AD6" w14:textId="6D6143D2" w:rsidR="0019013A" w:rsidRPr="007F5684" w:rsidRDefault="00325582" w:rsidP="00325582">
      <w:pPr>
        <w:pStyle w:val="InstructionsText2"/>
        <w:numPr>
          <w:ilvl w:val="0"/>
          <w:numId w:val="0"/>
        </w:numPr>
        <w:ind w:left="714"/>
        <w:rPr>
          <w:szCs w:val="20"/>
          <w:u w:val="none"/>
        </w:rPr>
      </w:pPr>
      <w:r>
        <w:rPr>
          <w:u w:val="none"/>
        </w:rPr>
        <w:t>h)</w:t>
      </w:r>
      <w:r>
        <w:tab/>
      </w:r>
      <w:r>
        <w:rPr>
          <w:u w:val="none"/>
        </w:rPr>
        <w:t xml:space="preserve">supérieure à </w:t>
      </w:r>
      <w:r w:rsidRPr="00DE5DBB">
        <w:rPr>
          <w:u w:val="none"/>
        </w:rPr>
        <w:t>2</w:t>
      </w:r>
      <w:r>
        <w:rPr>
          <w:u w:val="none"/>
        </w:rPr>
        <w:t xml:space="preserve"> ans et inférieure ou égale à </w:t>
      </w:r>
      <w:r w:rsidRPr="00DE5DBB">
        <w:rPr>
          <w:u w:val="none"/>
        </w:rPr>
        <w:t>5</w:t>
      </w:r>
      <w:r>
        <w:rPr>
          <w:u w:val="none"/>
        </w:rPr>
        <w:t xml:space="preserve"> ans, dans les colonnes </w:t>
      </w:r>
      <w:r w:rsidRPr="00DE5DBB">
        <w:rPr>
          <w:u w:val="none"/>
        </w:rPr>
        <w:t>150</w:t>
      </w:r>
      <w:r>
        <w:rPr>
          <w:u w:val="none"/>
        </w:rPr>
        <w:t xml:space="preserve"> et </w:t>
      </w:r>
      <w:r w:rsidRPr="00DE5DBB">
        <w:rPr>
          <w:u w:val="none"/>
        </w:rPr>
        <w:t>160</w:t>
      </w:r>
      <w:r>
        <w:rPr>
          <w:u w:val="none"/>
        </w:rPr>
        <w:t>;</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tab/>
      </w:r>
      <w:r>
        <w:rPr>
          <w:u w:val="none"/>
        </w:rPr>
        <w:t xml:space="preserve">supérieure à </w:t>
      </w:r>
      <w:r w:rsidRPr="00DE5DBB">
        <w:rPr>
          <w:u w:val="none"/>
        </w:rPr>
        <w:t>5</w:t>
      </w:r>
      <w:r>
        <w:rPr>
          <w:u w:val="none"/>
        </w:rPr>
        <w:t xml:space="preserve"> ans et inférieure ou égale à </w:t>
      </w:r>
      <w:r w:rsidRPr="00DE5DBB">
        <w:rPr>
          <w:u w:val="none"/>
        </w:rPr>
        <w:t>10</w:t>
      </w:r>
      <w:r>
        <w:rPr>
          <w:u w:val="none"/>
        </w:rPr>
        <w:t xml:space="preserve"> ans, dans les colonnes </w:t>
      </w:r>
      <w:r w:rsidRPr="00DE5DBB">
        <w:rPr>
          <w:u w:val="none"/>
        </w:rPr>
        <w:t>170</w:t>
      </w:r>
      <w:r>
        <w:rPr>
          <w:u w:val="none"/>
        </w:rPr>
        <w:t xml:space="preserve"> et </w:t>
      </w:r>
      <w:r w:rsidRPr="00DE5DBB">
        <w:rPr>
          <w:u w:val="none"/>
        </w:rPr>
        <w:t>180</w:t>
      </w:r>
      <w:r>
        <w:rPr>
          <w:u w:val="none"/>
        </w:rPr>
        <w:t>.</w:t>
      </w:r>
    </w:p>
    <w:p w14:paraId="5F28959E" w14:textId="1A5C591C" w:rsidR="0019013A" w:rsidRPr="007F5684" w:rsidRDefault="0019013A" w:rsidP="00DE2988">
      <w:pPr>
        <w:pStyle w:val="InstructionsText2"/>
        <w:numPr>
          <w:ilvl w:val="0"/>
          <w:numId w:val="20"/>
        </w:numPr>
        <w:rPr>
          <w:szCs w:val="20"/>
          <w:u w:val="none"/>
        </w:rPr>
      </w:pPr>
      <w:r>
        <w:rPr>
          <w:u w:val="none"/>
        </w:rPr>
        <w:t>Pour déterminer l’échéance des financements obtenus, les établissements ne tiennent pas compte du délai entre la date de transaction et la date de règlement. Ainsi, un passif à échéance à trois mois dont le règlement doit avoir lieu dans deux semaines est déclaré dans les colonnes «</w:t>
      </w:r>
      <w:r w:rsidRPr="00DE5DBB">
        <w:rPr>
          <w:u w:val="none"/>
        </w:rPr>
        <w:t>3</w:t>
      </w:r>
      <w:r>
        <w:rPr>
          <w:u w:val="none"/>
        </w:rPr>
        <w:t xml:space="preserve"> mois» (colonnes </w:t>
      </w:r>
      <w:r w:rsidRPr="00DE5DBB">
        <w:rPr>
          <w:u w:val="none"/>
        </w:rPr>
        <w:t>070</w:t>
      </w:r>
      <w:r>
        <w:rPr>
          <w:u w:val="none"/>
        </w:rPr>
        <w:t xml:space="preserve"> et </w:t>
      </w:r>
      <w:r w:rsidRPr="00DE5DBB">
        <w:rPr>
          <w:u w:val="none"/>
        </w:rPr>
        <w:t>080</w:t>
      </w:r>
      <w:r>
        <w:rPr>
          <w:u w:val="none"/>
        </w:rPr>
        <w:t>).</w:t>
      </w:r>
    </w:p>
    <w:p w14:paraId="3300B61A" w14:textId="77777777" w:rsidR="00A211F3" w:rsidRPr="007F5684" w:rsidRDefault="002C154A" w:rsidP="00DE2988">
      <w:pPr>
        <w:pStyle w:val="InstructionsText2"/>
        <w:numPr>
          <w:ilvl w:val="0"/>
          <w:numId w:val="20"/>
        </w:numPr>
        <w:rPr>
          <w:szCs w:val="20"/>
          <w:u w:val="none"/>
        </w:rPr>
      </w:pPr>
      <w:r>
        <w:rPr>
          <w:u w:val="none"/>
        </w:rPr>
        <w:lastRenderedPageBreak/>
        <w:t>Le spread déclaré dans la colonne de gauche de chaque catégorie d’échéances est:</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soit le spread à payer par l’établissement pour des passifs à un an ou moins dans le cas d’un échange avec l’indice de référence au jour le jour (overnight index) pour la monnaie correspondante au plus tard à la clôture du jour où a eu lieu la transaction; </w:t>
      </w:r>
    </w:p>
    <w:p w14:paraId="44F3338B" w14:textId="4D0D0648" w:rsidR="0050708F" w:rsidRDefault="0050708F" w:rsidP="00DE2988">
      <w:pPr>
        <w:pStyle w:val="InstructionsText2"/>
        <w:numPr>
          <w:ilvl w:val="1"/>
          <w:numId w:val="20"/>
        </w:numPr>
        <w:ind w:left="993" w:hanging="284"/>
        <w:rPr>
          <w:szCs w:val="20"/>
          <w:u w:val="none"/>
        </w:rPr>
      </w:pPr>
      <w:r>
        <w:rPr>
          <w:u w:val="none"/>
        </w:rPr>
        <w:t xml:space="preserve">soit le spread à payer par l’établissement à l’émission pour des passifs à échéance initiale de plus d’un an dans le cas d’un échange avec l’indice de référence pertinent pour la monnaie correspondante (Euribor </w:t>
      </w:r>
      <w:r w:rsidRPr="00DE5DBB">
        <w:rPr>
          <w:u w:val="none"/>
        </w:rPr>
        <w:t>3</w:t>
      </w:r>
      <w:r>
        <w:rPr>
          <w:u w:val="none"/>
        </w:rPr>
        <w:t xml:space="preserve"> mois pour l’EUR ou Libor </w:t>
      </w:r>
      <w:r w:rsidRPr="00DE5DBB">
        <w:rPr>
          <w:u w:val="none"/>
        </w:rPr>
        <w:t>3</w:t>
      </w:r>
      <w:r>
        <w:rPr>
          <w:u w:val="none"/>
        </w:rPr>
        <w:t xml:space="preserve"> mois pour la GBP et l’USD) au plus tard à la clôture du jour où a eu lieu la transaction.</w:t>
      </w:r>
    </w:p>
    <w:p w14:paraId="0C9A9801" w14:textId="3ADD5BDC" w:rsidR="006661EC" w:rsidRPr="007F5684" w:rsidRDefault="006661EC" w:rsidP="00723CCD">
      <w:pPr>
        <w:pStyle w:val="InstructionsText2"/>
        <w:numPr>
          <w:ilvl w:val="0"/>
          <w:numId w:val="0"/>
        </w:numPr>
        <w:ind w:left="993"/>
        <w:rPr>
          <w:szCs w:val="20"/>
          <w:u w:val="none"/>
        </w:rPr>
      </w:pPr>
      <w:r>
        <w:rPr>
          <w:u w:val="none"/>
        </w:rPr>
        <w:t>Aux seules fins du calcul du spread au titre des points a) et b) ci-dessus, l’établissement peut, sur la base des données historiques, déterminer l’échéance initiale, en tenant compte ou non de l’existence d’options, le cas échéant.</w:t>
      </w:r>
    </w:p>
    <w:p w14:paraId="5EBCC42F" w14:textId="0D3FAA90" w:rsidR="00A211F3" w:rsidRPr="007F5684" w:rsidRDefault="0019013A" w:rsidP="009406E9">
      <w:pPr>
        <w:pStyle w:val="InstructionsText2"/>
        <w:numPr>
          <w:ilvl w:val="0"/>
          <w:numId w:val="20"/>
        </w:numPr>
        <w:rPr>
          <w:szCs w:val="20"/>
          <w:u w:val="none"/>
        </w:rPr>
      </w:pPr>
      <w:r>
        <w:rPr>
          <w:u w:val="none"/>
        </w:rPr>
        <w:t xml:space="preserve">Les spreads sont déclarés en points de base, et portent un signe négatif si le nouveau financement est moins cher que le taux de référence pertinent. Ils sont calculés sur la base d’une moyenne pondérée. </w:t>
      </w:r>
    </w:p>
    <w:p w14:paraId="0ABF1B64" w14:textId="5E7F2177" w:rsidR="0050708F" w:rsidRPr="00144FB8" w:rsidRDefault="0050708F" w:rsidP="00144FB8">
      <w:pPr>
        <w:pStyle w:val="InstructionsText2"/>
        <w:numPr>
          <w:ilvl w:val="0"/>
          <w:numId w:val="20"/>
        </w:numPr>
        <w:rPr>
          <w:szCs w:val="20"/>
          <w:u w:val="none"/>
        </w:rPr>
      </w:pPr>
      <w:r>
        <w:rPr>
          <w:u w:val="none"/>
        </w:rPr>
        <w:t>Aux fins du calcul du spread moyen à payer sur plusieurs émissions/dépôts/prêts, les établissements calculent le coût total dans la monnaie d’émission sans tenir compte d’aucun swap de change, mais en incluant toute prime ou décote et toute commission à recevoir ou à payer, en prenant pour base l’échéance de tout swap de taux d’intérêt réel ou théorique correspondant à l’échéance du passif. Le spread est la différence entre le taux du passif et le taux du swap.</w:t>
      </w:r>
    </w:p>
    <w:p w14:paraId="608A7669" w14:textId="7761DC23" w:rsidR="00DD5897" w:rsidRDefault="0019013A" w:rsidP="00DE2988">
      <w:pPr>
        <w:pStyle w:val="InstructionsText2"/>
        <w:numPr>
          <w:ilvl w:val="0"/>
          <w:numId w:val="20"/>
        </w:numPr>
        <w:rPr>
          <w:szCs w:val="20"/>
          <w:u w:val="none"/>
        </w:rPr>
      </w:pPr>
      <w:r>
        <w:rPr>
          <w:u w:val="none"/>
        </w:rPr>
        <w:t xml:space="preserve">Le montant des financements obtenus pour les catégories de financements indiquées dans la colonne «Élément» est déclaré dans la colonne «Volume» de la catégorie d’échéances applicable. </w:t>
      </w:r>
    </w:p>
    <w:p w14:paraId="3AED84FE" w14:textId="0FDF0268" w:rsidR="004B3AC2" w:rsidRDefault="004B3AC2" w:rsidP="00DE2988">
      <w:pPr>
        <w:pStyle w:val="InstructionsText2"/>
        <w:numPr>
          <w:ilvl w:val="0"/>
          <w:numId w:val="20"/>
        </w:numPr>
        <w:rPr>
          <w:szCs w:val="20"/>
          <w:u w:val="none"/>
        </w:rPr>
      </w:pPr>
      <w:r>
        <w:rPr>
          <w:u w:val="none"/>
        </w:rPr>
        <w:t>Dans la colonne «Volume», les établissements déclarent les montants représentant la valeur comptable des nouveaux financements obtenus dans la catégorie d’échéances applicable en fonction de l’échéance initiale.</w:t>
      </w:r>
    </w:p>
    <w:p w14:paraId="4513DEDD" w14:textId="4B15A911" w:rsidR="004B3AC2" w:rsidRDefault="00144FB8" w:rsidP="00DE2988">
      <w:pPr>
        <w:pStyle w:val="InstructionsText2"/>
        <w:numPr>
          <w:ilvl w:val="0"/>
          <w:numId w:val="20"/>
        </w:numPr>
        <w:rPr>
          <w:szCs w:val="20"/>
          <w:u w:val="none"/>
        </w:rPr>
      </w:pPr>
      <w:r>
        <w:rPr>
          <w:u w:val="none"/>
        </w:rPr>
        <w:t>Comme pour tous les autres éléments, en ce qui concerne les engagements hors bilan aussi, les établissements ne déclarent que les montants liés inscrits au bilan. Un engagement hors bilan fourni à l’établissement n’est déclaré dans le modèle C</w:t>
      </w:r>
      <w:r w:rsidRPr="00DE5DBB">
        <w:rPr>
          <w:u w:val="none"/>
        </w:rPr>
        <w:t>69</w:t>
      </w:r>
      <w:r>
        <w:rPr>
          <w:u w:val="none"/>
        </w:rPr>
        <w:t>.</w:t>
      </w:r>
      <w:r w:rsidRPr="00DE5DBB">
        <w:rPr>
          <w:u w:val="none"/>
        </w:rPr>
        <w:t>00</w:t>
      </w:r>
      <w:r>
        <w:rPr>
          <w:u w:val="none"/>
        </w:rPr>
        <w:t xml:space="preserve"> que s’il a donné lieu à un tirage. Dans le cas d’un tirage, le volume et le spread à déclarer sont le montant tiré et le spread applicable à la fin de la période de déclaration. Lorsque le tirage ne peut être renouvelé à la discrétion de l’établissement, l’échéance effective du tirage doit être indiquée. Lorsque l’établissement a déjà effectué des tirages sur la facilité de crédit à la fin de la période de déclaration précédente et qu’il augmente par la suite son utilisation de la facilité, seul le montant supplémentaire tiré doit être indiqué. </w:t>
      </w:r>
    </w:p>
    <w:p w14:paraId="26598EEA" w14:textId="77777777" w:rsidR="00473407" w:rsidRDefault="00473407" w:rsidP="00DE2988">
      <w:pPr>
        <w:pStyle w:val="InstructionsText2"/>
        <w:numPr>
          <w:ilvl w:val="0"/>
          <w:numId w:val="20"/>
        </w:numPr>
        <w:rPr>
          <w:szCs w:val="20"/>
          <w:u w:val="none"/>
        </w:rPr>
      </w:pPr>
      <w:r>
        <w:rPr>
          <w:u w:val="none"/>
        </w:rPr>
        <w:t>Les dépôts effectués par la clientèle de détail sont les dépôts au sens de l’article </w:t>
      </w:r>
      <w:r w:rsidRPr="00DE5DBB">
        <w:rPr>
          <w:u w:val="none"/>
        </w:rPr>
        <w:t>3</w:t>
      </w:r>
      <w:r>
        <w:rPr>
          <w:u w:val="none"/>
        </w:rPr>
        <w:t>, point </w:t>
      </w:r>
      <w:r w:rsidRPr="00DE5DBB">
        <w:rPr>
          <w:u w:val="none"/>
        </w:rPr>
        <w:t>8</w:t>
      </w:r>
      <w:r>
        <w:rPr>
          <w:u w:val="none"/>
        </w:rPr>
        <w:t xml:space="preserve">), du règlement délégué (UE) </w:t>
      </w:r>
      <w:r w:rsidRPr="00DE5DBB">
        <w:rPr>
          <w:u w:val="none"/>
        </w:rPr>
        <w:t>2015</w:t>
      </w:r>
      <w:r>
        <w:rPr>
          <w:u w:val="none"/>
        </w:rPr>
        <w:t>/</w:t>
      </w:r>
      <w:r w:rsidRPr="00DE5DBB">
        <w:rPr>
          <w:u w:val="none"/>
        </w:rPr>
        <w:t>61</w:t>
      </w:r>
      <w:r>
        <w:rPr>
          <w:u w:val="none"/>
        </w:rPr>
        <w:t>.</w:t>
      </w:r>
    </w:p>
    <w:p w14:paraId="54CC7D8D" w14:textId="5C6E191B" w:rsidR="00B96CA8" w:rsidRPr="00473407" w:rsidRDefault="00287BD7" w:rsidP="00DE2988">
      <w:pPr>
        <w:pStyle w:val="InstructionsText2"/>
        <w:numPr>
          <w:ilvl w:val="0"/>
          <w:numId w:val="20"/>
        </w:numPr>
        <w:rPr>
          <w:szCs w:val="20"/>
          <w:u w:val="none"/>
        </w:rPr>
      </w:pPr>
      <w:r>
        <w:rPr>
          <w:u w:val="none"/>
        </w:rPr>
        <w:t>Pour les financements qui sont renouvelés pendant la période de déclaration et qui sont toujours en cours à la fin de ladite période, le spread à déclarer est la moyenne des spreads qui s’appliquaient à cette date-là (c’est-à-dire à la fin de la période de déclaration). Aux fins du modèle C</w:t>
      </w:r>
      <w:r w:rsidRPr="00DE5DBB">
        <w:rPr>
          <w:u w:val="none"/>
        </w:rPr>
        <w:t>69</w:t>
      </w:r>
      <w:r>
        <w:rPr>
          <w:u w:val="none"/>
        </w:rPr>
        <w:t>.</w:t>
      </w:r>
      <w:r w:rsidRPr="00DE5DBB">
        <w:rPr>
          <w:u w:val="none"/>
        </w:rPr>
        <w:t>00</w:t>
      </w:r>
      <w:r>
        <w:rPr>
          <w:u w:val="none"/>
        </w:rPr>
        <w:t>, un financement qui a été renouvelé et qui est toujours en cours à la fin de la période de déclaration est réputé constituer un nouveau financement.</w:t>
      </w:r>
    </w:p>
    <w:p w14:paraId="43F95C32" w14:textId="05666D10" w:rsidR="00BB3757" w:rsidRDefault="00CD20D9" w:rsidP="00DE2988">
      <w:pPr>
        <w:pStyle w:val="InstructionsText2"/>
        <w:numPr>
          <w:ilvl w:val="0"/>
          <w:numId w:val="20"/>
        </w:numPr>
        <w:rPr>
          <w:szCs w:val="20"/>
          <w:u w:val="none"/>
        </w:rPr>
      </w:pPr>
      <w:r>
        <w:rPr>
          <w:u w:val="none"/>
        </w:rPr>
        <w:t xml:space="preserve">Par dérogation au reste de la section </w:t>
      </w:r>
      <w:r w:rsidRPr="00DE5DBB">
        <w:rPr>
          <w:u w:val="none"/>
        </w:rPr>
        <w:t>1</w:t>
      </w:r>
      <w:r>
        <w:rPr>
          <w:u w:val="none"/>
        </w:rPr>
        <w:t>.</w:t>
      </w:r>
      <w:r w:rsidRPr="00DE5DBB">
        <w:rPr>
          <w:u w:val="none"/>
        </w:rPr>
        <w:t>4</w:t>
      </w:r>
      <w:r>
        <w:rPr>
          <w:u w:val="none"/>
        </w:rPr>
        <w:t xml:space="preserve">, le volume et le spread des dépôts à vue ne sont déclarés que si le déposant n’avait pas de dépôt à vue durant la période de déclaration précédente, ou si le montant du dépôt a augmenté par rapport à la date de référence précédente, auquel cas ladite augmentation est considérée comme un nouveau financement. Le spread est celui qui s’appliquait à la fin de la période. </w:t>
      </w:r>
    </w:p>
    <w:p w14:paraId="10927EEB" w14:textId="776A1E6F" w:rsidR="00270986" w:rsidRPr="007F5684" w:rsidRDefault="00270986" w:rsidP="00DE2988">
      <w:pPr>
        <w:pStyle w:val="InstructionsText2"/>
        <w:numPr>
          <w:ilvl w:val="0"/>
          <w:numId w:val="20"/>
        </w:numPr>
        <w:rPr>
          <w:szCs w:val="20"/>
          <w:u w:val="none"/>
        </w:rPr>
      </w:pPr>
      <w:r>
        <w:rPr>
          <w:u w:val="none"/>
        </w:rPr>
        <w:t>Lorsqu’il n’y a rien à déclarer, la colonne «Spread» est laissée vide.</w:t>
      </w:r>
    </w:p>
    <w:p w14:paraId="5F1BCA9F" w14:textId="77777777" w:rsidR="002C154A" w:rsidRPr="007F5684" w:rsidRDefault="002C154A" w:rsidP="00DE2988">
      <w:pPr>
        <w:pStyle w:val="InstructionsText2"/>
        <w:numPr>
          <w:ilvl w:val="0"/>
          <w:numId w:val="20"/>
        </w:numPr>
        <w:rPr>
          <w:szCs w:val="20"/>
          <w:u w:val="none"/>
        </w:rPr>
      </w:pPr>
      <w:r>
        <w:rPr>
          <w:u w:val="none"/>
        </w:rPr>
        <w:lastRenderedPageBreak/>
        <w:t>Instructions concernant les différentes lignes: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Ligne</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Références légales et instructions</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sidRPr="00DE5DBB">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 xml:space="preserve"> Total des financements</w:t>
            </w:r>
          </w:p>
          <w:p w14:paraId="25D6D292" w14:textId="5B9BFF82" w:rsidR="002C154A" w:rsidRPr="007F5684" w:rsidRDefault="00E42487" w:rsidP="008E1558">
            <w:pPr>
              <w:rPr>
                <w:rFonts w:ascii="Times New Roman" w:hAnsi="Times New Roman"/>
                <w:szCs w:val="20"/>
              </w:rPr>
            </w:pPr>
            <w:r>
              <w:rPr>
                <w:rFonts w:ascii="Times New Roman" w:hAnsi="Times New Roman"/>
              </w:rPr>
              <w:t>Le volume total et le spread moyen pondéré de l’ensemble des financements sont calculés comme suit, pour toutes les durées suivantes:</w:t>
            </w:r>
          </w:p>
          <w:p w14:paraId="3D5903C1" w14:textId="2E3AE74B" w:rsidR="007778A0" w:rsidRPr="007F5684" w:rsidRDefault="00CD20D9" w:rsidP="00763448">
            <w:pPr>
              <w:pStyle w:val="InstructionsText2"/>
              <w:numPr>
                <w:ilvl w:val="1"/>
                <w:numId w:val="12"/>
              </w:numPr>
              <w:rPr>
                <w:szCs w:val="20"/>
                <w:u w:val="none"/>
              </w:rPr>
            </w:pPr>
            <w:r w:rsidRPr="00DE5DBB">
              <w:rPr>
                <w:u w:val="none"/>
              </w:rPr>
              <w:t>1</w:t>
            </w:r>
            <w:r>
              <w:rPr>
                <w:u w:val="none"/>
              </w:rPr>
              <w:t xml:space="preserve"> jour, dans les colonnes </w:t>
            </w:r>
            <w:r w:rsidRPr="00DE5DBB">
              <w:rPr>
                <w:u w:val="none"/>
              </w:rPr>
              <w:t>010</w:t>
            </w:r>
            <w:r>
              <w:rPr>
                <w:u w:val="none"/>
              </w:rPr>
              <w:t xml:space="preserve"> et </w:t>
            </w:r>
            <w:r w:rsidRPr="00DE5DBB">
              <w:rPr>
                <w:u w:val="none"/>
              </w:rPr>
              <w:t>020</w:t>
            </w:r>
            <w:r>
              <w:rPr>
                <w:u w:val="none"/>
              </w:rPr>
              <w:t>;</w:t>
            </w:r>
          </w:p>
          <w:p w14:paraId="1AF1DF5A" w14:textId="2735E0FA" w:rsidR="007778A0" w:rsidRPr="007F5684" w:rsidRDefault="00CD20D9" w:rsidP="00490B62">
            <w:pPr>
              <w:pStyle w:val="InstructionsText2"/>
              <w:numPr>
                <w:ilvl w:val="1"/>
                <w:numId w:val="12"/>
              </w:numPr>
              <w:rPr>
                <w:szCs w:val="20"/>
                <w:u w:val="none"/>
              </w:rPr>
            </w:pPr>
            <w:r>
              <w:rPr>
                <w:u w:val="none"/>
              </w:rPr>
              <w:t xml:space="preserve">supérieure à </w:t>
            </w:r>
            <w:r w:rsidRPr="00DE5DBB">
              <w:rPr>
                <w:u w:val="none"/>
              </w:rPr>
              <w:t>1</w:t>
            </w:r>
            <w:r>
              <w:rPr>
                <w:u w:val="none"/>
              </w:rPr>
              <w:t xml:space="preserve"> jour et inférieure ou égale à </w:t>
            </w:r>
            <w:r w:rsidRPr="00DE5DBB">
              <w:rPr>
                <w:u w:val="none"/>
              </w:rPr>
              <w:t>1</w:t>
            </w:r>
            <w:r>
              <w:rPr>
                <w:u w:val="none"/>
              </w:rPr>
              <w:t xml:space="preserve"> semaine, dans les colonnes </w:t>
            </w:r>
            <w:r w:rsidRPr="00DE5DBB">
              <w:rPr>
                <w:u w:val="none"/>
              </w:rPr>
              <w:t>030</w:t>
            </w:r>
            <w:r>
              <w:rPr>
                <w:u w:val="none"/>
              </w:rPr>
              <w:t xml:space="preserve"> et </w:t>
            </w:r>
            <w:r w:rsidRPr="00DE5DBB">
              <w:rPr>
                <w:u w:val="none"/>
              </w:rPr>
              <w:t>040</w:t>
            </w:r>
            <w:r>
              <w:rPr>
                <w:u w:val="none"/>
              </w:rPr>
              <w:t>;</w:t>
            </w:r>
          </w:p>
          <w:p w14:paraId="4C124A2C" w14:textId="2261E76F" w:rsidR="007778A0" w:rsidRPr="007F5684" w:rsidRDefault="00CD20D9" w:rsidP="00490B62">
            <w:pPr>
              <w:pStyle w:val="InstructionsText2"/>
              <w:numPr>
                <w:ilvl w:val="1"/>
                <w:numId w:val="12"/>
              </w:numPr>
              <w:rPr>
                <w:szCs w:val="20"/>
                <w:u w:val="none"/>
              </w:rPr>
            </w:pPr>
            <w:r>
              <w:rPr>
                <w:u w:val="none"/>
              </w:rPr>
              <w:t xml:space="preserve">supérieure à </w:t>
            </w:r>
            <w:r w:rsidRPr="00DE5DBB">
              <w:rPr>
                <w:u w:val="none"/>
              </w:rPr>
              <w:t>1</w:t>
            </w:r>
            <w:r>
              <w:rPr>
                <w:u w:val="none"/>
              </w:rPr>
              <w:t xml:space="preserve"> semaine et inférieure ou égale à </w:t>
            </w:r>
            <w:r w:rsidRPr="00DE5DBB">
              <w:rPr>
                <w:u w:val="none"/>
              </w:rPr>
              <w:t>1</w:t>
            </w:r>
            <w:r>
              <w:rPr>
                <w:u w:val="none"/>
              </w:rPr>
              <w:t xml:space="preserve"> mois, dans les colonnes </w:t>
            </w:r>
            <w:r w:rsidRPr="00DE5DBB">
              <w:rPr>
                <w:u w:val="none"/>
              </w:rPr>
              <w:t>050</w:t>
            </w:r>
            <w:r>
              <w:rPr>
                <w:u w:val="none"/>
              </w:rPr>
              <w:t xml:space="preserve"> et </w:t>
            </w:r>
            <w:r w:rsidRPr="00DE5DBB">
              <w:rPr>
                <w:u w:val="none"/>
              </w:rPr>
              <w:t>060</w:t>
            </w:r>
            <w:r>
              <w:rPr>
                <w:u w:val="none"/>
              </w:rPr>
              <w:t>;</w:t>
            </w:r>
          </w:p>
          <w:p w14:paraId="74B468F3" w14:textId="703F3A1B" w:rsidR="007778A0" w:rsidRPr="007F5684" w:rsidRDefault="00CD20D9" w:rsidP="00FA63BD">
            <w:pPr>
              <w:pStyle w:val="InstructionsText2"/>
              <w:numPr>
                <w:ilvl w:val="1"/>
                <w:numId w:val="12"/>
              </w:numPr>
              <w:rPr>
                <w:szCs w:val="20"/>
                <w:u w:val="none"/>
              </w:rPr>
            </w:pPr>
            <w:r>
              <w:rPr>
                <w:u w:val="none"/>
              </w:rPr>
              <w:t xml:space="preserve">supérieure à </w:t>
            </w:r>
            <w:r w:rsidRPr="00DE5DBB">
              <w:rPr>
                <w:u w:val="none"/>
              </w:rPr>
              <w:t>1</w:t>
            </w:r>
            <w:r>
              <w:rPr>
                <w:u w:val="none"/>
              </w:rPr>
              <w:t xml:space="preserve"> mois et inférieure ou égale à </w:t>
            </w:r>
            <w:r w:rsidRPr="00DE5DBB">
              <w:rPr>
                <w:u w:val="none"/>
              </w:rPr>
              <w:t>3</w:t>
            </w:r>
            <w:r>
              <w:rPr>
                <w:u w:val="none"/>
              </w:rPr>
              <w:t xml:space="preserve"> mois, dans les colonnes </w:t>
            </w:r>
            <w:r w:rsidRPr="00DE5DBB">
              <w:rPr>
                <w:u w:val="none"/>
              </w:rPr>
              <w:t>070</w:t>
            </w:r>
            <w:r>
              <w:rPr>
                <w:u w:val="none"/>
              </w:rPr>
              <w:t xml:space="preserve"> et </w:t>
            </w:r>
            <w:r w:rsidRPr="00DE5DBB">
              <w:rPr>
                <w:u w:val="none"/>
              </w:rPr>
              <w:t>080</w:t>
            </w:r>
            <w:r>
              <w:rPr>
                <w:u w:val="none"/>
              </w:rPr>
              <w:t>;</w:t>
            </w:r>
          </w:p>
          <w:p w14:paraId="482B32DB" w14:textId="0B9480D3" w:rsidR="007778A0" w:rsidRPr="007F5684" w:rsidRDefault="00CD20D9" w:rsidP="00FA63BD">
            <w:pPr>
              <w:pStyle w:val="InstructionsText2"/>
              <w:numPr>
                <w:ilvl w:val="1"/>
                <w:numId w:val="12"/>
              </w:numPr>
              <w:rPr>
                <w:szCs w:val="20"/>
                <w:u w:val="none"/>
              </w:rPr>
            </w:pPr>
            <w:r>
              <w:rPr>
                <w:u w:val="none"/>
              </w:rPr>
              <w:t xml:space="preserve">supérieure à </w:t>
            </w:r>
            <w:r w:rsidRPr="00DE5DBB">
              <w:rPr>
                <w:u w:val="none"/>
              </w:rPr>
              <w:t>3</w:t>
            </w:r>
            <w:r>
              <w:rPr>
                <w:u w:val="none"/>
              </w:rPr>
              <w:t xml:space="preserve"> mois et inférieure ou égale à </w:t>
            </w:r>
            <w:r w:rsidRPr="00DE5DBB">
              <w:rPr>
                <w:u w:val="none"/>
              </w:rPr>
              <w:t>6</w:t>
            </w:r>
            <w:r>
              <w:rPr>
                <w:u w:val="none"/>
              </w:rPr>
              <w:t xml:space="preserve"> mois, dans les colonnes </w:t>
            </w:r>
            <w:r w:rsidRPr="00DE5DBB">
              <w:rPr>
                <w:u w:val="none"/>
              </w:rPr>
              <w:t>090</w:t>
            </w:r>
            <w:r>
              <w:rPr>
                <w:u w:val="none"/>
              </w:rPr>
              <w:t xml:space="preserve"> et </w:t>
            </w:r>
            <w:r w:rsidRPr="00DE5DBB">
              <w:rPr>
                <w:u w:val="none"/>
              </w:rPr>
              <w:t>100</w:t>
            </w:r>
            <w:r>
              <w:rPr>
                <w:u w:val="none"/>
              </w:rPr>
              <w:t>;</w:t>
            </w:r>
          </w:p>
          <w:p w14:paraId="3C4AC9B6" w14:textId="4AEB5114" w:rsidR="007778A0" w:rsidRPr="007F5684" w:rsidRDefault="00CD20D9" w:rsidP="00FA63BD">
            <w:pPr>
              <w:pStyle w:val="InstructionsText2"/>
              <w:numPr>
                <w:ilvl w:val="1"/>
                <w:numId w:val="12"/>
              </w:numPr>
              <w:rPr>
                <w:szCs w:val="20"/>
                <w:u w:val="none"/>
              </w:rPr>
            </w:pPr>
            <w:r>
              <w:rPr>
                <w:u w:val="none"/>
              </w:rPr>
              <w:t xml:space="preserve">supérieure à </w:t>
            </w:r>
            <w:r w:rsidRPr="00DE5DBB">
              <w:rPr>
                <w:u w:val="none"/>
              </w:rPr>
              <w:t>6</w:t>
            </w:r>
            <w:r>
              <w:rPr>
                <w:u w:val="none"/>
              </w:rPr>
              <w:t xml:space="preserve"> mois et inférieure ou égale à </w:t>
            </w:r>
            <w:r w:rsidRPr="00DE5DBB">
              <w:rPr>
                <w:u w:val="none"/>
              </w:rPr>
              <w:t>1</w:t>
            </w:r>
            <w:r>
              <w:rPr>
                <w:u w:val="none"/>
              </w:rPr>
              <w:t xml:space="preserve"> an, dans les colonnes </w:t>
            </w:r>
            <w:r w:rsidRPr="00DE5DBB">
              <w:rPr>
                <w:u w:val="none"/>
              </w:rPr>
              <w:t>110</w:t>
            </w:r>
            <w:r>
              <w:rPr>
                <w:u w:val="none"/>
              </w:rPr>
              <w:t xml:space="preserve"> et </w:t>
            </w:r>
            <w:r w:rsidRPr="00DE5DBB">
              <w:rPr>
                <w:u w:val="none"/>
              </w:rPr>
              <w:t>120</w:t>
            </w:r>
            <w:r>
              <w:rPr>
                <w:u w:val="none"/>
              </w:rPr>
              <w:t>;</w:t>
            </w:r>
          </w:p>
          <w:p w14:paraId="1C290FE7" w14:textId="48055B0E" w:rsidR="007778A0" w:rsidRPr="007F5684" w:rsidRDefault="00CD20D9" w:rsidP="00FA63BD">
            <w:pPr>
              <w:pStyle w:val="InstructionsText2"/>
              <w:numPr>
                <w:ilvl w:val="1"/>
                <w:numId w:val="12"/>
              </w:numPr>
              <w:rPr>
                <w:szCs w:val="20"/>
                <w:u w:val="none"/>
              </w:rPr>
            </w:pPr>
            <w:r>
              <w:rPr>
                <w:u w:val="none"/>
              </w:rPr>
              <w:t xml:space="preserve">supérieure à </w:t>
            </w:r>
            <w:r w:rsidRPr="00DE5DBB">
              <w:rPr>
                <w:u w:val="none"/>
              </w:rPr>
              <w:t>1</w:t>
            </w:r>
            <w:r>
              <w:rPr>
                <w:u w:val="none"/>
              </w:rPr>
              <w:t xml:space="preserve"> an et inférieure ou égale à </w:t>
            </w:r>
            <w:r w:rsidRPr="00DE5DBB">
              <w:rPr>
                <w:u w:val="none"/>
              </w:rPr>
              <w:t>2</w:t>
            </w:r>
            <w:r>
              <w:rPr>
                <w:u w:val="none"/>
              </w:rPr>
              <w:t xml:space="preserve"> ans, dans les colonnes </w:t>
            </w:r>
            <w:r w:rsidRPr="00DE5DBB">
              <w:rPr>
                <w:u w:val="none"/>
              </w:rPr>
              <w:t>130</w:t>
            </w:r>
            <w:r>
              <w:rPr>
                <w:u w:val="none"/>
              </w:rPr>
              <w:t xml:space="preserve"> et </w:t>
            </w:r>
            <w:r w:rsidRPr="00DE5DBB">
              <w:rPr>
                <w:u w:val="none"/>
              </w:rPr>
              <w:t>140</w:t>
            </w:r>
            <w:r>
              <w:rPr>
                <w:u w:val="none"/>
              </w:rPr>
              <w:t>;</w:t>
            </w:r>
          </w:p>
          <w:p w14:paraId="6E53E104" w14:textId="0EEA7BE2" w:rsidR="007778A0" w:rsidRPr="007F5684" w:rsidRDefault="00CD20D9" w:rsidP="00FA63BD">
            <w:pPr>
              <w:pStyle w:val="InstructionsText2"/>
              <w:numPr>
                <w:ilvl w:val="1"/>
                <w:numId w:val="12"/>
              </w:numPr>
              <w:rPr>
                <w:szCs w:val="20"/>
                <w:u w:val="none"/>
              </w:rPr>
            </w:pPr>
            <w:r>
              <w:rPr>
                <w:u w:val="none"/>
              </w:rPr>
              <w:t xml:space="preserve">supérieure à </w:t>
            </w:r>
            <w:r w:rsidRPr="00DE5DBB">
              <w:rPr>
                <w:u w:val="none"/>
              </w:rPr>
              <w:t>2</w:t>
            </w:r>
            <w:r>
              <w:rPr>
                <w:u w:val="none"/>
              </w:rPr>
              <w:t xml:space="preserve"> ans et inférieure ou égale à </w:t>
            </w:r>
            <w:r w:rsidRPr="00DE5DBB">
              <w:rPr>
                <w:u w:val="none"/>
              </w:rPr>
              <w:t>5</w:t>
            </w:r>
            <w:r>
              <w:rPr>
                <w:u w:val="none"/>
              </w:rPr>
              <w:t xml:space="preserve"> ans, dans les colonnes </w:t>
            </w:r>
            <w:r w:rsidRPr="00DE5DBB">
              <w:rPr>
                <w:u w:val="none"/>
              </w:rPr>
              <w:t>150</w:t>
            </w:r>
            <w:r>
              <w:rPr>
                <w:u w:val="none"/>
              </w:rPr>
              <w:t xml:space="preserve"> et </w:t>
            </w:r>
            <w:r w:rsidRPr="00DE5DBB">
              <w:rPr>
                <w:u w:val="none"/>
              </w:rPr>
              <w:t>160</w:t>
            </w:r>
            <w:r>
              <w:rPr>
                <w:u w:val="none"/>
              </w:rPr>
              <w:t>;</w:t>
            </w:r>
          </w:p>
          <w:p w14:paraId="22EC36F6" w14:textId="7C57E11E" w:rsidR="00CE333E" w:rsidRPr="007F5684" w:rsidRDefault="00CD20D9" w:rsidP="00237D15">
            <w:pPr>
              <w:pStyle w:val="InstructionsText2"/>
              <w:numPr>
                <w:ilvl w:val="1"/>
                <w:numId w:val="12"/>
              </w:numPr>
              <w:rPr>
                <w:szCs w:val="20"/>
                <w:u w:val="none"/>
              </w:rPr>
            </w:pPr>
            <w:r>
              <w:rPr>
                <w:u w:val="none"/>
              </w:rPr>
              <w:t xml:space="preserve">supérieure à </w:t>
            </w:r>
            <w:r w:rsidRPr="00DE5DBB">
              <w:rPr>
                <w:u w:val="none"/>
              </w:rPr>
              <w:t>5</w:t>
            </w:r>
            <w:r>
              <w:rPr>
                <w:u w:val="none"/>
              </w:rPr>
              <w:t xml:space="preserve"> ans et inférieure ou égale à </w:t>
            </w:r>
            <w:r w:rsidRPr="00DE5DBB">
              <w:rPr>
                <w:u w:val="none"/>
              </w:rPr>
              <w:t>10</w:t>
            </w:r>
            <w:r>
              <w:rPr>
                <w:u w:val="none"/>
              </w:rPr>
              <w:t xml:space="preserve"> ans, dans les colonnes </w:t>
            </w:r>
            <w:r w:rsidRPr="00DE5DBB">
              <w:rPr>
                <w:u w:val="none"/>
              </w:rPr>
              <w:t>170</w:t>
            </w:r>
            <w:r>
              <w:rPr>
                <w:u w:val="none"/>
              </w:rPr>
              <w:t xml:space="preserve"> et </w:t>
            </w:r>
            <w:r w:rsidRPr="00DE5DBB">
              <w:rPr>
                <w:u w:val="none"/>
              </w:rPr>
              <w:t>180</w:t>
            </w:r>
            <w:r>
              <w:rPr>
                <w:u w:val="none"/>
              </w:rPr>
              <w:t>.</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sidRPr="00DE5DBB">
              <w:rPr>
                <w:rFonts w:ascii="Times New Roman" w:hAnsi="Times New Roman"/>
              </w:rPr>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1</w:t>
            </w:r>
            <w:r>
              <w:rPr>
                <w:rFonts w:ascii="Times New Roman" w:hAnsi="Times New Roman"/>
                <w:b/>
                <w:u w:val="single"/>
              </w:rPr>
              <w:t xml:space="preserve"> dont: Financement de détail</w:t>
            </w:r>
          </w:p>
          <w:p w14:paraId="2F60C8D8" w14:textId="2FA8A3BB" w:rsidR="002C154A" w:rsidRPr="007F5684" w:rsidRDefault="00CE333E" w:rsidP="001C1BA1">
            <w:pPr>
              <w:rPr>
                <w:rFonts w:ascii="Times New Roman" w:hAnsi="Times New Roman"/>
                <w:szCs w:val="20"/>
              </w:rPr>
            </w:pPr>
            <w:r>
              <w:rPr>
                <w:rFonts w:ascii="Times New Roman" w:hAnsi="Times New Roman"/>
              </w:rPr>
              <w:t xml:space="preserve">Indiquer, sur le total des financements déclaré en </w:t>
            </w:r>
            <w:r w:rsidRPr="00DE5DBB">
              <w:rPr>
                <w:rFonts w:ascii="Times New Roman" w:hAnsi="Times New Roman"/>
              </w:rPr>
              <w:t>1</w:t>
            </w:r>
            <w:r>
              <w:rPr>
                <w:rFonts w:ascii="Times New Roman" w:hAnsi="Times New Roman"/>
              </w:rPr>
              <w:t>, le volume total et le spread moyen pondéré correspondant aux financements de détail obtenus.</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sidRPr="00DE5DBB">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2</w:t>
            </w:r>
            <w:r>
              <w:rPr>
                <w:rFonts w:ascii="Times New Roman" w:hAnsi="Times New Roman"/>
                <w:b/>
                <w:u w:val="single"/>
              </w:rPr>
              <w:t xml:space="preserve"> dont: Financements de gros non garantis</w:t>
            </w:r>
          </w:p>
          <w:p w14:paraId="49C52367" w14:textId="79C0122B" w:rsidR="00AF1439" w:rsidRPr="00ED28A5" w:rsidRDefault="00AF1439" w:rsidP="001C1BA1">
            <w:pPr>
              <w:rPr>
                <w:rFonts w:ascii="Times New Roman" w:hAnsi="Times New Roman"/>
                <w:szCs w:val="20"/>
              </w:rPr>
            </w:pPr>
            <w:r>
              <w:rPr>
                <w:rFonts w:ascii="Times New Roman" w:hAnsi="Times New Roman"/>
              </w:rPr>
              <w:t xml:space="preserve">Indiquer, sur le total des financements déclaré en </w:t>
            </w:r>
            <w:r w:rsidRPr="00DE5DBB">
              <w:rPr>
                <w:rFonts w:ascii="Times New Roman" w:hAnsi="Times New Roman"/>
              </w:rPr>
              <w:t>1</w:t>
            </w:r>
            <w:r>
              <w:rPr>
                <w:rFonts w:ascii="Times New Roman" w:hAnsi="Times New Roman"/>
              </w:rPr>
              <w:t>, le volume total et le spread moyen pondéré correspondant aux financements de gros non garantis obtenus.</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sidRPr="00DE5DBB">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3</w:t>
            </w:r>
            <w:r>
              <w:rPr>
                <w:rFonts w:ascii="Times New Roman" w:hAnsi="Times New Roman"/>
                <w:b/>
                <w:u w:val="single"/>
              </w:rPr>
              <w:t xml:space="preserve"> dont: Financements garantis</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 xml:space="preserve">Indiquer, sur le total des financements déclaré en </w:t>
            </w:r>
            <w:r w:rsidRPr="00DE5DBB">
              <w:rPr>
                <w:rFonts w:ascii="Times New Roman" w:hAnsi="Times New Roman"/>
              </w:rPr>
              <w:t>1</w:t>
            </w:r>
            <w:r>
              <w:rPr>
                <w:rFonts w:ascii="Times New Roman" w:hAnsi="Times New Roman"/>
              </w:rPr>
              <w:t>, le volume total et le spread moyen pondéré correspondant aux financements garantis obtenus.</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sidRPr="00DE5DBB">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4</w:t>
            </w:r>
            <w:r>
              <w:rPr>
                <w:rFonts w:ascii="Times New Roman" w:hAnsi="Times New Roman"/>
                <w:b/>
                <w:u w:val="single"/>
              </w:rPr>
              <w:t xml:space="preserve"> dont: Titres de premier rang non garantis</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 xml:space="preserve">Indiquer, sur le total des financements déclaré en </w:t>
            </w:r>
            <w:r w:rsidRPr="00DE5DBB">
              <w:rPr>
                <w:rFonts w:ascii="Times New Roman" w:hAnsi="Times New Roman"/>
              </w:rPr>
              <w:t>1</w:t>
            </w:r>
            <w:r>
              <w:rPr>
                <w:rFonts w:ascii="Times New Roman" w:hAnsi="Times New Roman"/>
              </w:rPr>
              <w:t>, le volume total et le spread moyen pondéré correspondant aux titres de premier rang non garantis obtenus.</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sidRPr="00DE5DBB">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5</w:t>
            </w:r>
            <w:r>
              <w:rPr>
                <w:rFonts w:ascii="Times New Roman" w:hAnsi="Times New Roman"/>
                <w:b/>
                <w:u w:val="single"/>
              </w:rPr>
              <w:t xml:space="preserve"> dont: Obligations garanties</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 xml:space="preserve">Indiquer, sur le total des financements déclaré en </w:t>
            </w:r>
            <w:r w:rsidRPr="00DE5DBB">
              <w:rPr>
                <w:rFonts w:ascii="Times New Roman" w:hAnsi="Times New Roman"/>
              </w:rPr>
              <w:t>1</w:t>
            </w:r>
            <w:r>
              <w:rPr>
                <w:rFonts w:ascii="Times New Roman" w:hAnsi="Times New Roman"/>
              </w:rPr>
              <w:t>, le volume total et le spread moyen pondéré correspondant à l’ensemble des émissions d’obligations garanties grevant les fonds propres de l’établissement.</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sidRPr="00DE5DBB">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w:t>
            </w:r>
            <w:r w:rsidRPr="00DE5DBB">
              <w:rPr>
                <w:rFonts w:ascii="Times New Roman" w:hAnsi="Times New Roman"/>
                <w:b/>
                <w:u w:val="single"/>
              </w:rPr>
              <w:t>6</w:t>
            </w:r>
            <w:r>
              <w:rPr>
                <w:rFonts w:ascii="Times New Roman" w:hAnsi="Times New Roman"/>
                <w:b/>
                <w:u w:val="single"/>
              </w:rPr>
              <w:t xml:space="preserve"> dont: Titres adossés à des actifs, y compris ABCP</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 xml:space="preserve">Indiquer, sur le total des financements déclaré en </w:t>
            </w:r>
            <w:r w:rsidRPr="00DE5DBB">
              <w:rPr>
                <w:rFonts w:ascii="Times New Roman" w:hAnsi="Times New Roman"/>
              </w:rPr>
              <w:t>1</w:t>
            </w:r>
            <w:r>
              <w:rPr>
                <w:rFonts w:ascii="Times New Roman" w:hAnsi="Times New Roman"/>
              </w:rPr>
              <w:t>, le volume total et le spread moyen pondéré correspondant aux émissions de titres adossés à des actifs, y compris le papier commercial adossé à des actifs.</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 xml:space="preserve">Renouvellement de financements (C </w:t>
      </w:r>
      <w:r w:rsidRPr="00DE5DBB">
        <w:rPr>
          <w:rFonts w:ascii="Times New Roman" w:hAnsi="Times New Roman"/>
        </w:rPr>
        <w:t>70</w:t>
      </w:r>
      <w:r>
        <w:rPr>
          <w:rFonts w:ascii="Times New Roman" w:hAnsi="Times New Roman"/>
        </w:rPr>
        <w:t>.</w:t>
      </w:r>
      <w:r w:rsidRPr="00DE5DBB">
        <w:rPr>
          <w:rFonts w:ascii="Times New Roman" w:hAnsi="Times New Roman"/>
        </w:rPr>
        <w:t>00</w:t>
      </w:r>
      <w:r>
        <w:rPr>
          <w:rFonts w:ascii="Times New Roman" w:hAnsi="Times New Roman"/>
        </w:rPr>
        <w:t>)</w:t>
      </w:r>
    </w:p>
    <w:p w14:paraId="5ACA258A" w14:textId="276B9622"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Ce modèle vise à recueillir des informations sur le volume des financements venant à échéance et des nouveaux financements obtenus, autrement dit le «renouvellement de financements», sur une base quotidienne pendant le mois précédant la date de déclaration.</w:t>
      </w:r>
    </w:p>
    <w:p w14:paraId="180EF408" w14:textId="5A266611" w:rsidR="00DB3C37" w:rsidRPr="007F5684" w:rsidRDefault="00DB3C37" w:rsidP="00DD5897">
      <w:pPr>
        <w:pStyle w:val="InstructionsText2"/>
        <w:numPr>
          <w:ilvl w:val="0"/>
          <w:numId w:val="8"/>
        </w:numPr>
        <w:rPr>
          <w:szCs w:val="20"/>
          <w:u w:val="none"/>
        </w:rPr>
      </w:pPr>
      <w:r>
        <w:rPr>
          <w:u w:val="none"/>
        </w:rPr>
        <w:t>Les établissements déclarent, en jours calendaires, leurs financements arrivant à échéance dans toutes les catégories d’échéance suivantes en fonction des échéances initiales:</w:t>
      </w:r>
    </w:p>
    <w:p w14:paraId="10B482AB" w14:textId="6285BE75" w:rsidR="00DB3C37" w:rsidRPr="007F5684" w:rsidRDefault="00237D15" w:rsidP="0094416B">
      <w:pPr>
        <w:pStyle w:val="InstructionsText2"/>
        <w:numPr>
          <w:ilvl w:val="1"/>
          <w:numId w:val="5"/>
        </w:numPr>
        <w:ind w:left="1276" w:hanging="283"/>
        <w:rPr>
          <w:szCs w:val="20"/>
          <w:u w:val="none"/>
        </w:rPr>
      </w:pPr>
      <w:r w:rsidRPr="00DE5DBB">
        <w:rPr>
          <w:u w:val="none"/>
        </w:rPr>
        <w:t>1</w:t>
      </w:r>
      <w:r>
        <w:rPr>
          <w:u w:val="none"/>
        </w:rPr>
        <w:t xml:space="preserve"> jour (colonnes </w:t>
      </w:r>
      <w:r w:rsidRPr="00DE5DBB">
        <w:rPr>
          <w:u w:val="none"/>
        </w:rPr>
        <w:t>010</w:t>
      </w:r>
      <w:r>
        <w:rPr>
          <w:u w:val="none"/>
        </w:rPr>
        <w:t xml:space="preserve"> à </w:t>
      </w:r>
      <w:r w:rsidRPr="00DE5DBB">
        <w:rPr>
          <w:u w:val="none"/>
        </w:rPr>
        <w:t>040</w:t>
      </w:r>
      <w:r>
        <w:rPr>
          <w:u w:val="none"/>
        </w:rPr>
        <w:t>);</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 xml:space="preserve">entre </w:t>
      </w:r>
      <w:r w:rsidRPr="00DE5DBB">
        <w:rPr>
          <w:u w:val="none"/>
        </w:rPr>
        <w:t>1</w:t>
      </w:r>
      <w:r>
        <w:rPr>
          <w:u w:val="none"/>
        </w:rPr>
        <w:t xml:space="preserve"> jour et </w:t>
      </w:r>
      <w:r w:rsidRPr="00DE5DBB">
        <w:rPr>
          <w:u w:val="none"/>
        </w:rPr>
        <w:t>7</w:t>
      </w:r>
      <w:r>
        <w:rPr>
          <w:u w:val="none"/>
        </w:rPr>
        <w:t xml:space="preserve"> jours (colonnes </w:t>
      </w:r>
      <w:r w:rsidRPr="00DE5DBB">
        <w:rPr>
          <w:u w:val="none"/>
        </w:rPr>
        <w:t>050</w:t>
      </w:r>
      <w:r>
        <w:rPr>
          <w:u w:val="none"/>
        </w:rPr>
        <w:t xml:space="preserve"> à </w:t>
      </w:r>
      <w:r w:rsidRPr="00DE5DBB">
        <w:rPr>
          <w:u w:val="none"/>
        </w:rPr>
        <w:t>080</w:t>
      </w:r>
      <w:r>
        <w:rPr>
          <w:u w:val="none"/>
        </w:rPr>
        <w:t>);</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 xml:space="preserve">entre </w:t>
      </w:r>
      <w:r w:rsidRPr="00DE5DBB">
        <w:rPr>
          <w:u w:val="none"/>
        </w:rPr>
        <w:t>7</w:t>
      </w:r>
      <w:r>
        <w:rPr>
          <w:u w:val="none"/>
        </w:rPr>
        <w:t xml:space="preserve"> jours et </w:t>
      </w:r>
      <w:r w:rsidRPr="00DE5DBB">
        <w:rPr>
          <w:u w:val="none"/>
        </w:rPr>
        <w:t>14</w:t>
      </w:r>
      <w:r>
        <w:rPr>
          <w:u w:val="none"/>
        </w:rPr>
        <w:t xml:space="preserve"> jours (colonnes </w:t>
      </w:r>
      <w:r w:rsidRPr="00DE5DBB">
        <w:rPr>
          <w:u w:val="none"/>
        </w:rPr>
        <w:t>090</w:t>
      </w:r>
      <w:r>
        <w:rPr>
          <w:u w:val="none"/>
        </w:rPr>
        <w:t xml:space="preserve"> à </w:t>
      </w:r>
      <w:r w:rsidRPr="00DE5DBB">
        <w:rPr>
          <w:u w:val="none"/>
        </w:rPr>
        <w:t>120</w:t>
      </w:r>
      <w:r>
        <w:rPr>
          <w:u w:val="none"/>
        </w:rPr>
        <w:t>);</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 xml:space="preserve">entre </w:t>
      </w:r>
      <w:r w:rsidRPr="00DE5DBB">
        <w:rPr>
          <w:u w:val="none"/>
        </w:rPr>
        <w:t>14</w:t>
      </w:r>
      <w:r>
        <w:rPr>
          <w:u w:val="none"/>
        </w:rPr>
        <w:t xml:space="preserve"> jours et </w:t>
      </w:r>
      <w:r w:rsidRPr="00DE5DBB">
        <w:rPr>
          <w:u w:val="none"/>
        </w:rPr>
        <w:t>1</w:t>
      </w:r>
      <w:r>
        <w:rPr>
          <w:u w:val="none"/>
        </w:rPr>
        <w:t xml:space="preserve"> mois (colonnes </w:t>
      </w:r>
      <w:r w:rsidRPr="00DE5DBB">
        <w:rPr>
          <w:u w:val="none"/>
        </w:rPr>
        <w:t>130</w:t>
      </w:r>
      <w:r>
        <w:rPr>
          <w:u w:val="none"/>
        </w:rPr>
        <w:t xml:space="preserve"> à </w:t>
      </w:r>
      <w:r w:rsidRPr="00DE5DBB">
        <w:rPr>
          <w:u w:val="none"/>
        </w:rPr>
        <w:t>160</w:t>
      </w:r>
      <w:r>
        <w:rPr>
          <w:u w:val="none"/>
        </w:rPr>
        <w:t>);</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 xml:space="preserve">entre </w:t>
      </w:r>
      <w:r w:rsidRPr="00DE5DBB">
        <w:rPr>
          <w:u w:val="none"/>
        </w:rPr>
        <w:t>1</w:t>
      </w:r>
      <w:r>
        <w:rPr>
          <w:u w:val="none"/>
        </w:rPr>
        <w:t xml:space="preserve"> mois et </w:t>
      </w:r>
      <w:r w:rsidRPr="00DE5DBB">
        <w:rPr>
          <w:u w:val="none"/>
        </w:rPr>
        <w:t>3</w:t>
      </w:r>
      <w:r>
        <w:rPr>
          <w:u w:val="none"/>
        </w:rPr>
        <w:t xml:space="preserve"> mois (colonnes </w:t>
      </w:r>
      <w:r w:rsidRPr="00DE5DBB">
        <w:rPr>
          <w:u w:val="none"/>
        </w:rPr>
        <w:t>170</w:t>
      </w:r>
      <w:r>
        <w:rPr>
          <w:u w:val="none"/>
        </w:rPr>
        <w:t xml:space="preserve"> à </w:t>
      </w:r>
      <w:r w:rsidRPr="00DE5DBB">
        <w:rPr>
          <w:u w:val="none"/>
        </w:rPr>
        <w:t>200</w:t>
      </w:r>
      <w:r>
        <w:rPr>
          <w:u w:val="none"/>
        </w:rPr>
        <w:t>);</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 xml:space="preserve">entre </w:t>
      </w:r>
      <w:r w:rsidRPr="00DE5DBB">
        <w:rPr>
          <w:u w:val="none"/>
        </w:rPr>
        <w:t>3</w:t>
      </w:r>
      <w:r>
        <w:rPr>
          <w:u w:val="none"/>
        </w:rPr>
        <w:t xml:space="preserve"> mois et </w:t>
      </w:r>
      <w:r w:rsidRPr="00DE5DBB">
        <w:rPr>
          <w:u w:val="none"/>
        </w:rPr>
        <w:t>6</w:t>
      </w:r>
      <w:r>
        <w:rPr>
          <w:u w:val="none"/>
        </w:rPr>
        <w:t xml:space="preserve"> mois (colonnes </w:t>
      </w:r>
      <w:r w:rsidRPr="00DE5DBB">
        <w:rPr>
          <w:u w:val="none"/>
        </w:rPr>
        <w:t>210</w:t>
      </w:r>
      <w:r>
        <w:rPr>
          <w:u w:val="none"/>
        </w:rPr>
        <w:t xml:space="preserve"> à </w:t>
      </w:r>
      <w:r w:rsidRPr="00DE5DBB">
        <w:rPr>
          <w:u w:val="none"/>
        </w:rPr>
        <w:t>240</w:t>
      </w:r>
      <w:r>
        <w:rPr>
          <w:u w:val="none"/>
        </w:rPr>
        <w:t>);</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 xml:space="preserve">supérieure à </w:t>
      </w:r>
      <w:r w:rsidRPr="00DE5DBB">
        <w:rPr>
          <w:u w:val="none"/>
        </w:rPr>
        <w:t>6</w:t>
      </w:r>
      <w:r>
        <w:rPr>
          <w:u w:val="none"/>
        </w:rPr>
        <w:t xml:space="preserve"> mois (colonnes </w:t>
      </w:r>
      <w:r w:rsidRPr="00DE5DBB">
        <w:rPr>
          <w:u w:val="none"/>
        </w:rPr>
        <w:t>250</w:t>
      </w:r>
      <w:r>
        <w:rPr>
          <w:u w:val="none"/>
        </w:rPr>
        <w:t xml:space="preserve"> à </w:t>
      </w:r>
      <w:r w:rsidRPr="00DE5DBB">
        <w:rPr>
          <w:u w:val="none"/>
        </w:rPr>
        <w:t>280</w:t>
      </w:r>
      <w:r>
        <w:rPr>
          <w:u w:val="none"/>
        </w:rPr>
        <w:t>).</w:t>
      </w:r>
    </w:p>
    <w:p w14:paraId="1F25325E" w14:textId="0E268387" w:rsidR="00DB3C37" w:rsidRPr="007F5684" w:rsidRDefault="00DB3C37" w:rsidP="00ED41A4">
      <w:pPr>
        <w:pStyle w:val="InstructionsText2"/>
        <w:numPr>
          <w:ilvl w:val="0"/>
          <w:numId w:val="8"/>
        </w:numPr>
        <w:rPr>
          <w:szCs w:val="20"/>
          <w:u w:val="none"/>
        </w:rPr>
      </w:pPr>
      <w:r>
        <w:rPr>
          <w:u w:val="none"/>
        </w:rPr>
        <w:t>Pour chaque catégorie d’échéances décrite au point </w:t>
      </w:r>
      <w:r w:rsidRPr="00DE5DBB">
        <w:rPr>
          <w:u w:val="none"/>
        </w:rPr>
        <w:t>2</w:t>
      </w:r>
      <w:r>
        <w:rPr>
          <w:u w:val="none"/>
        </w:rPr>
        <w:t xml:space="preserve"> ci-dessus, le montant arrivant à échéance est déclaré dans la colonne de gauche, le montant des financements renouvelés dans la colonne «Renouvelé», les nouveaux fonds obtenus dans la colonne «Nouveaux financements», et la différence nette entre les nouveaux financements, d’une part, et les financements renouvelés moins les financements arrivant à échéance, d’autre part, dans la colonne de droite.</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 xml:space="preserve">Les flux de trésorerie nets totaux sont déclarés dans la colonne </w:t>
      </w:r>
      <w:r w:rsidRPr="00DE5DBB">
        <w:rPr>
          <w:u w:val="none"/>
        </w:rPr>
        <w:t>290</w:t>
      </w:r>
      <w:r>
        <w:rPr>
          <w:u w:val="none"/>
        </w:rPr>
        <w:t xml:space="preserve">. Ils sont égaux à la somme de toutes les colonnes «Net» numérotées </w:t>
      </w:r>
      <w:r w:rsidRPr="00DE5DBB">
        <w:rPr>
          <w:u w:val="none"/>
        </w:rPr>
        <w:t>040</w:t>
      </w:r>
      <w:r>
        <w:rPr>
          <w:u w:val="none"/>
        </w:rPr>
        <w:t xml:space="preserve">, </w:t>
      </w:r>
      <w:r w:rsidRPr="00DE5DBB">
        <w:rPr>
          <w:u w:val="none"/>
        </w:rPr>
        <w:t>080</w:t>
      </w:r>
      <w:r>
        <w:rPr>
          <w:u w:val="none"/>
        </w:rPr>
        <w:t xml:space="preserve">, </w:t>
      </w:r>
      <w:r w:rsidRPr="00DE5DBB">
        <w:rPr>
          <w:u w:val="none"/>
        </w:rPr>
        <w:t>120</w:t>
      </w:r>
      <w:r>
        <w:rPr>
          <w:u w:val="none"/>
        </w:rPr>
        <w:t xml:space="preserve">, </w:t>
      </w:r>
      <w:r w:rsidRPr="00DE5DBB">
        <w:rPr>
          <w:u w:val="none"/>
        </w:rPr>
        <w:t>160</w:t>
      </w:r>
      <w:r>
        <w:rPr>
          <w:u w:val="none"/>
        </w:rPr>
        <w:t xml:space="preserve">, </w:t>
      </w:r>
      <w:r w:rsidRPr="00DE5DBB">
        <w:rPr>
          <w:u w:val="none"/>
        </w:rPr>
        <w:t>200</w:t>
      </w:r>
      <w:r>
        <w:rPr>
          <w:u w:val="none"/>
        </w:rPr>
        <w:t xml:space="preserve">, </w:t>
      </w:r>
      <w:r w:rsidRPr="00DE5DBB">
        <w:rPr>
          <w:u w:val="none"/>
        </w:rPr>
        <w:t>240</w:t>
      </w:r>
      <w:r>
        <w:rPr>
          <w:u w:val="none"/>
        </w:rPr>
        <w:t xml:space="preserve"> et </w:t>
      </w:r>
      <w:r w:rsidRPr="00DE5DBB">
        <w:rPr>
          <w:u w:val="none"/>
        </w:rPr>
        <w:t>280</w:t>
      </w:r>
      <w:r>
        <w:rPr>
          <w:u w:val="none"/>
        </w:rPr>
        <w:t>.</w:t>
      </w:r>
    </w:p>
    <w:p w14:paraId="28B9B16F" w14:textId="51F3D036" w:rsidR="00BD24C1" w:rsidRDefault="00DB3C37" w:rsidP="00397ABE">
      <w:pPr>
        <w:pStyle w:val="InstructionsText2"/>
        <w:numPr>
          <w:ilvl w:val="0"/>
          <w:numId w:val="8"/>
        </w:numPr>
        <w:rPr>
          <w:szCs w:val="20"/>
          <w:u w:val="none"/>
        </w:rPr>
      </w:pPr>
      <w:r>
        <w:rPr>
          <w:u w:val="none"/>
        </w:rPr>
        <w:t xml:space="preserve">L’échéance moyenne, en jours, des financements arrivant à échéance est déclarée dans la colonne </w:t>
      </w:r>
      <w:r w:rsidRPr="00DE5DBB">
        <w:rPr>
          <w:u w:val="none"/>
        </w:rPr>
        <w:t>300</w:t>
      </w:r>
      <w:r>
        <w:rPr>
          <w:u w:val="none"/>
        </w:rPr>
        <w:t>.</w:t>
      </w:r>
    </w:p>
    <w:p w14:paraId="76D8AD49" w14:textId="16CEB38F" w:rsidR="003E371A" w:rsidRPr="00397ABE" w:rsidRDefault="003E371A" w:rsidP="00397ABE">
      <w:pPr>
        <w:pStyle w:val="InstructionsText2"/>
        <w:numPr>
          <w:ilvl w:val="0"/>
          <w:numId w:val="8"/>
        </w:numPr>
        <w:rPr>
          <w:szCs w:val="20"/>
          <w:u w:val="none"/>
        </w:rPr>
      </w:pPr>
      <w:r>
        <w:rPr>
          <w:u w:val="none"/>
        </w:rPr>
        <w:t xml:space="preserve">L’échéance moyenne, en jours, des financements renouvelés est déclarée dans la colonne </w:t>
      </w:r>
      <w:r w:rsidRPr="00DE5DBB">
        <w:rPr>
          <w:u w:val="none"/>
        </w:rPr>
        <w:t>310</w:t>
      </w:r>
      <w:r>
        <w:rPr>
          <w:u w:val="none"/>
        </w:rPr>
        <w:t>.</w:t>
      </w:r>
    </w:p>
    <w:p w14:paraId="717CD209" w14:textId="16BDF091" w:rsidR="00BD24C1" w:rsidRDefault="00DB3C37" w:rsidP="00397ABE">
      <w:pPr>
        <w:pStyle w:val="InstructionsText2"/>
        <w:numPr>
          <w:ilvl w:val="0"/>
          <w:numId w:val="8"/>
        </w:numPr>
        <w:rPr>
          <w:szCs w:val="20"/>
          <w:u w:val="none"/>
        </w:rPr>
      </w:pPr>
      <w:r>
        <w:rPr>
          <w:u w:val="none"/>
        </w:rPr>
        <w:t xml:space="preserve"> L’échéance moyenne, en jours, des nouveaux financements est déclarée dans la colonne </w:t>
      </w:r>
      <w:r w:rsidRPr="00DE5DBB">
        <w:rPr>
          <w:u w:val="none"/>
        </w:rPr>
        <w:t>320</w:t>
      </w:r>
      <w:r>
        <w:rPr>
          <w:u w:val="none"/>
        </w:rPr>
        <w:t>.</w:t>
      </w:r>
    </w:p>
    <w:p w14:paraId="5C92A186" w14:textId="6F4BC0FE" w:rsidR="00A7751A" w:rsidRPr="00AC205E" w:rsidRDefault="00A7751A" w:rsidP="00A7751A">
      <w:pPr>
        <w:pStyle w:val="InstructionsText2"/>
        <w:numPr>
          <w:ilvl w:val="0"/>
          <w:numId w:val="8"/>
        </w:numPr>
        <w:rPr>
          <w:szCs w:val="20"/>
          <w:u w:val="none"/>
        </w:rPr>
      </w:pPr>
      <w:r>
        <w:rPr>
          <w:u w:val="none"/>
        </w:rPr>
        <w:t>Le montant «à échéance» comprend tous les financements que leur fournisseur était en droit contractuellement de retirer ou qui étaient dus à la date concernée durant la période de référence. Il doit être indiqué dans tous les cas avec un signe positif.</w:t>
      </w:r>
    </w:p>
    <w:p w14:paraId="004B6E12" w14:textId="0B826D76" w:rsidR="00A7751A" w:rsidRPr="00AC205E" w:rsidRDefault="00A7751A" w:rsidP="00850B28">
      <w:pPr>
        <w:pStyle w:val="InstructionsText2"/>
        <w:numPr>
          <w:ilvl w:val="0"/>
          <w:numId w:val="8"/>
        </w:numPr>
        <w:rPr>
          <w:szCs w:val="20"/>
          <w:u w:val="none"/>
        </w:rPr>
      </w:pPr>
      <w:r>
        <w:rPr>
          <w:u w:val="none"/>
        </w:rPr>
        <w:t>Le montant «renouvelé» est le montant arrivant à échéance tel que défini aux points </w:t>
      </w:r>
      <w:r w:rsidRPr="00DE5DBB">
        <w:rPr>
          <w:u w:val="none"/>
        </w:rPr>
        <w:t>2</w:t>
      </w:r>
      <w:r>
        <w:rPr>
          <w:u w:val="none"/>
        </w:rPr>
        <w:t xml:space="preserve"> et </w:t>
      </w:r>
      <w:r w:rsidRPr="00DE5DBB">
        <w:rPr>
          <w:u w:val="none"/>
        </w:rPr>
        <w:t>3</w:t>
      </w:r>
      <w:r>
        <w:rPr>
          <w:u w:val="none"/>
        </w:rPr>
        <w:t xml:space="preserve"> qui demeure à disposition de l’établissement à la date concernée de la période de déclaration. Il doit être indiqué dans tous les cas avec un signe positif. Lorsque l’échéance du financement a été modifiée en raison d’un renouvellement, le montant du financement «renouvelé» est déclaré dans la catégorie d’échéances correspondant à la nouvelle échéance.</w:t>
      </w:r>
    </w:p>
    <w:p w14:paraId="68CA5A97" w14:textId="694BA31F" w:rsidR="00A7751A" w:rsidRPr="00AC205E" w:rsidRDefault="00A7751A" w:rsidP="00850B28">
      <w:pPr>
        <w:pStyle w:val="InstructionsText2"/>
        <w:numPr>
          <w:ilvl w:val="0"/>
          <w:numId w:val="8"/>
        </w:numPr>
        <w:rPr>
          <w:szCs w:val="20"/>
          <w:u w:val="none"/>
        </w:rPr>
      </w:pPr>
      <w:r>
        <w:rPr>
          <w:u w:val="none"/>
        </w:rPr>
        <w:t>Le montant des «nouveaux financements» est le montant des entrées effectives de financements à la date concernée de la période de référence. Il doit être indiqué dans tous les cas avec un signe positif.</w:t>
      </w:r>
    </w:p>
    <w:p w14:paraId="36023996" w14:textId="52F7601E" w:rsidR="00A7751A" w:rsidRPr="00AC205E" w:rsidRDefault="00A7751A" w:rsidP="00850B28">
      <w:pPr>
        <w:pStyle w:val="InstructionsText2"/>
        <w:numPr>
          <w:ilvl w:val="0"/>
          <w:numId w:val="8"/>
        </w:numPr>
        <w:rPr>
          <w:szCs w:val="20"/>
          <w:u w:val="none"/>
        </w:rPr>
      </w:pPr>
      <w:r>
        <w:rPr>
          <w:u w:val="none"/>
        </w:rPr>
        <w:t xml:space="preserve">Le montant inscrit dans la colonne «Net» représente la variation du financement à l’intérieur d’une fourchette d’échéance initiale particulière à la date concernée de la période de déclaration, et il est calculé en faisant la somme des nouveaux financements et des financements renouvelés dont on retranche les financements arrivant à échéance.  </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lastRenderedPageBreak/>
              <w:t>Colonne</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Références légales et instructions</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sidRPr="00DE5DBB">
              <w:rPr>
                <w:rFonts w:ascii="Times New Roman" w:hAnsi="Times New Roman"/>
                <w:color w:val="000000"/>
              </w:rPr>
              <w:t>010</w:t>
            </w:r>
            <w:r>
              <w:rPr>
                <w:rFonts w:ascii="Times New Roman" w:hAnsi="Times New Roman"/>
                <w:color w:val="000000"/>
              </w:rPr>
              <w:t xml:space="preserve"> à </w:t>
            </w:r>
            <w:r w:rsidRPr="00DE5DBB">
              <w:rPr>
                <w:rFonts w:ascii="Times New Roman" w:hAnsi="Times New Roman"/>
                <w:color w:val="000000"/>
              </w:rPr>
              <w:t>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sidRPr="00DE5DBB">
              <w:rPr>
                <w:rFonts w:ascii="Times New Roman" w:hAnsi="Times New Roman"/>
                <w:b/>
                <w:u w:val="single"/>
              </w:rPr>
              <w:t>1</w:t>
            </w:r>
            <w:r>
              <w:rPr>
                <w:rFonts w:ascii="Times New Roman" w:hAnsi="Times New Roman"/>
                <w:b/>
                <w:u w:val="single"/>
              </w:rPr>
              <w:t xml:space="preserve"> jour</w:t>
            </w:r>
          </w:p>
          <w:p w14:paraId="0D011271" w14:textId="3E284E08" w:rsidR="00B83BF9" w:rsidRDefault="00ED41A4" w:rsidP="00193B6D">
            <w:pPr>
              <w:rPr>
                <w:rFonts w:ascii="Times New Roman" w:hAnsi="Times New Roman"/>
                <w:szCs w:val="20"/>
              </w:rPr>
            </w:pPr>
            <w:r>
              <w:rPr>
                <w:rFonts w:ascii="Times New Roman" w:hAnsi="Times New Roman"/>
              </w:rPr>
              <w:t xml:space="preserve">Le montant total des financements arrivant à échéance à la date concernée de la période de déclaration dont l’échéance initiale est égale à un jour est déclaré en colonne </w:t>
            </w:r>
            <w:r w:rsidRPr="00DE5DBB">
              <w:rPr>
                <w:rFonts w:ascii="Times New Roman" w:hAnsi="Times New Roman"/>
              </w:rPr>
              <w:t>010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 xml:space="preserve">. Pour les mois comptant moins de </w:t>
            </w:r>
            <w:r w:rsidRPr="00DE5DBB">
              <w:rPr>
                <w:rFonts w:ascii="Times New Roman" w:hAnsi="Times New Roman"/>
              </w:rPr>
              <w:t>31</w:t>
            </w:r>
            <w:r>
              <w:rPr>
                <w:rFonts w:ascii="Times New Roman" w:hAnsi="Times New Roman"/>
              </w:rPr>
              <w:t xml:space="preserve"> jours ainsi que les week-ends, les lignes sans objet doivent être laissées vides.</w:t>
            </w:r>
          </w:p>
          <w:p w14:paraId="7D2D26D4" w14:textId="2B464E25" w:rsidR="003E371A" w:rsidRPr="007F5684" w:rsidRDefault="003E371A" w:rsidP="00193B6D">
            <w:pPr>
              <w:rPr>
                <w:rFonts w:ascii="Times New Roman" w:hAnsi="Times New Roman"/>
                <w:szCs w:val="20"/>
              </w:rPr>
            </w:pPr>
            <w:r>
              <w:rPr>
                <w:rFonts w:ascii="Times New Roman" w:hAnsi="Times New Roman"/>
              </w:rPr>
              <w:t xml:space="preserve">Le montant total des financements renouvelés à la date concernée de la période de déclaration dont l’échéance initiale est égale à un jour est déclaré en colonne </w:t>
            </w:r>
            <w:r w:rsidRPr="00DE5DBB">
              <w:rPr>
                <w:rFonts w:ascii="Times New Roman" w:hAnsi="Times New Roman"/>
              </w:rPr>
              <w:t>020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4837928B" w14:textId="43309A16" w:rsidR="00ED41A4" w:rsidRPr="007F5684" w:rsidRDefault="00ED41A4" w:rsidP="00193B6D">
            <w:pPr>
              <w:rPr>
                <w:rFonts w:ascii="Times New Roman" w:hAnsi="Times New Roman"/>
                <w:szCs w:val="20"/>
              </w:rPr>
            </w:pPr>
            <w:r>
              <w:rPr>
                <w:rFonts w:ascii="Times New Roman" w:hAnsi="Times New Roman"/>
              </w:rPr>
              <w:t xml:space="preserve">Le montant total des nouveaux financements obtenus à la date concernée de la période de déclaration dont l’échéance initiale est égale à un jour est déclaré en colonne </w:t>
            </w:r>
            <w:r w:rsidRPr="00DE5DBB">
              <w:rPr>
                <w:rFonts w:ascii="Times New Roman" w:hAnsi="Times New Roman"/>
              </w:rPr>
              <w:t>030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16FDBE2F" w14:textId="3BEB2550" w:rsidR="00ED41A4" w:rsidRPr="007F5684" w:rsidRDefault="00ED41A4" w:rsidP="00193B6D">
            <w:pPr>
              <w:rPr>
                <w:rFonts w:ascii="Times New Roman" w:hAnsi="Times New Roman"/>
                <w:szCs w:val="20"/>
              </w:rPr>
            </w:pPr>
            <w:r>
              <w:rPr>
                <w:rFonts w:ascii="Times New Roman" w:hAnsi="Times New Roman"/>
              </w:rPr>
              <w:t xml:space="preserve">La différence nette entre, d’une part, les financements à un jour arrivant à échéance et, d’autre part, la somme des financements renouvelés et des nouveaux financements à un jour obtenus est déclarée en colonne </w:t>
            </w:r>
            <w:r w:rsidRPr="00DE5DBB">
              <w:rPr>
                <w:rFonts w:ascii="Times New Roman" w:hAnsi="Times New Roman"/>
              </w:rPr>
              <w:t>040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sidRPr="00DE5DBB">
              <w:rPr>
                <w:rFonts w:ascii="Times New Roman" w:hAnsi="Times New Roman"/>
                <w:color w:val="000000"/>
              </w:rPr>
              <w:t>050</w:t>
            </w:r>
            <w:r>
              <w:rPr>
                <w:rFonts w:ascii="Times New Roman" w:hAnsi="Times New Roman"/>
                <w:color w:val="000000"/>
              </w:rPr>
              <w:t xml:space="preserve"> à </w:t>
            </w:r>
            <w:r w:rsidRPr="00DE5DBB">
              <w:rPr>
                <w:rFonts w:ascii="Times New Roman" w:hAnsi="Times New Roman"/>
                <w:color w:val="000000"/>
              </w:rPr>
              <w:t>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DE5DBB">
              <w:rPr>
                <w:rFonts w:ascii="Times New Roman" w:hAnsi="Times New Roman"/>
                <w:b/>
                <w:u w:val="single"/>
              </w:rPr>
              <w:t>1</w:t>
            </w:r>
            <w:r>
              <w:rPr>
                <w:rFonts w:ascii="Times New Roman" w:hAnsi="Times New Roman"/>
                <w:b/>
                <w:u w:val="single"/>
              </w:rPr>
              <w:t xml:space="preserve"> jour ≤ </w:t>
            </w:r>
            <w:r w:rsidRPr="00DE5DBB">
              <w:rPr>
                <w:rFonts w:ascii="Times New Roman" w:hAnsi="Times New Roman"/>
                <w:b/>
                <w:u w:val="single"/>
              </w:rPr>
              <w:t>7</w:t>
            </w:r>
            <w:r>
              <w:rPr>
                <w:rFonts w:ascii="Times New Roman" w:hAnsi="Times New Roman"/>
                <w:b/>
                <w:u w:val="single"/>
              </w:rPr>
              <w:t xml:space="preserve"> jours</w:t>
            </w:r>
          </w:p>
          <w:p w14:paraId="456405B1" w14:textId="23DE58B7" w:rsidR="00ED41A4" w:rsidRDefault="00ED41A4" w:rsidP="00193B6D">
            <w:pPr>
              <w:rPr>
                <w:rFonts w:ascii="Times New Roman" w:hAnsi="Times New Roman"/>
                <w:szCs w:val="20"/>
              </w:rPr>
            </w:pPr>
            <w:r>
              <w:rPr>
                <w:rFonts w:ascii="Times New Roman" w:hAnsi="Times New Roman"/>
              </w:rPr>
              <w:t xml:space="preserve">Le montant total des financements arrivant à échéance à la date concernée de la période de déclaration dont l’échéance initiale est comprise entre un jour et une semaine est déclaré en colonne </w:t>
            </w:r>
            <w:r w:rsidRPr="00DE5DBB">
              <w:rPr>
                <w:rFonts w:ascii="Times New Roman" w:hAnsi="Times New Roman"/>
              </w:rPr>
              <w:t>050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 xml:space="preserve">. Pour les mois comptant moins de </w:t>
            </w:r>
            <w:r w:rsidRPr="00DE5DBB">
              <w:rPr>
                <w:rFonts w:ascii="Times New Roman" w:hAnsi="Times New Roman"/>
              </w:rPr>
              <w:t>31</w:t>
            </w:r>
            <w:r>
              <w:rPr>
                <w:rFonts w:ascii="Times New Roman" w:hAnsi="Times New Roman"/>
              </w:rPr>
              <w:t xml:space="preserve"> jours ainsi que les week-ends, les lignes sans objet doivent être laissées vides.</w:t>
            </w:r>
          </w:p>
          <w:p w14:paraId="293B2767" w14:textId="3A94241F" w:rsidR="003E371A" w:rsidRPr="007F5684" w:rsidRDefault="003E371A" w:rsidP="00193B6D">
            <w:pPr>
              <w:rPr>
                <w:rFonts w:ascii="Times New Roman" w:hAnsi="Times New Roman"/>
                <w:szCs w:val="20"/>
              </w:rPr>
            </w:pPr>
            <w:r>
              <w:rPr>
                <w:rFonts w:ascii="Times New Roman" w:hAnsi="Times New Roman"/>
              </w:rPr>
              <w:t xml:space="preserve">Le montant total des financements renouvelés à la date concernée de la période de déclaration dont l’échéance initiale est comprise entre un jour et une semaine est déclaré en colonne </w:t>
            </w:r>
            <w:r w:rsidRPr="00DE5DBB">
              <w:rPr>
                <w:rFonts w:ascii="Times New Roman" w:hAnsi="Times New Roman"/>
              </w:rPr>
              <w:t>060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5D635490" w14:textId="3FBA5A2E" w:rsidR="00ED41A4" w:rsidRPr="007F5684" w:rsidRDefault="00ED41A4" w:rsidP="00193B6D">
            <w:pPr>
              <w:rPr>
                <w:rFonts w:ascii="Times New Roman" w:hAnsi="Times New Roman"/>
                <w:szCs w:val="20"/>
              </w:rPr>
            </w:pPr>
            <w:r>
              <w:rPr>
                <w:rFonts w:ascii="Times New Roman" w:hAnsi="Times New Roman"/>
              </w:rPr>
              <w:t xml:space="preserve">Le montant total des nouveaux financements obtenus à la date concernée de la période de déclaration dont l’échéance initiale est comprise entre un jour et une semaine est déclaré en colonne </w:t>
            </w:r>
            <w:r w:rsidRPr="00DE5DBB">
              <w:rPr>
                <w:rFonts w:ascii="Times New Roman" w:hAnsi="Times New Roman"/>
              </w:rPr>
              <w:t>70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 xml:space="preserve">La différence nette entre, d’une part, les financements arrivant à échéance et, d’autre part, la somme des financements renouvelés et des nouveaux financements obtenus est déclarée en colonne </w:t>
            </w:r>
            <w:r w:rsidRPr="00DE5DBB">
              <w:rPr>
                <w:rFonts w:ascii="Times New Roman" w:hAnsi="Times New Roman"/>
              </w:rPr>
              <w:t>080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sidRPr="00DE5DBB">
              <w:rPr>
                <w:rFonts w:ascii="Times New Roman" w:hAnsi="Times New Roman"/>
                <w:color w:val="000000"/>
              </w:rPr>
              <w:t>090</w:t>
            </w:r>
            <w:r>
              <w:rPr>
                <w:rFonts w:ascii="Times New Roman" w:hAnsi="Times New Roman"/>
                <w:color w:val="000000"/>
              </w:rPr>
              <w:t xml:space="preserve"> à </w:t>
            </w:r>
            <w:r w:rsidRPr="00DE5DBB">
              <w:rPr>
                <w:rFonts w:ascii="Times New Roman" w:hAnsi="Times New Roman"/>
                <w:color w:val="000000"/>
              </w:rPr>
              <w:t>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w:t>
            </w:r>
            <w:r w:rsidRPr="00DE5DBB">
              <w:rPr>
                <w:rFonts w:ascii="Times New Roman" w:hAnsi="Times New Roman"/>
                <w:b/>
                <w:u w:val="single"/>
              </w:rPr>
              <w:t>7</w:t>
            </w:r>
            <w:r>
              <w:rPr>
                <w:rFonts w:ascii="Times New Roman" w:hAnsi="Times New Roman"/>
                <w:b/>
                <w:u w:val="single"/>
              </w:rPr>
              <w:t xml:space="preserve"> jours ≤ </w:t>
            </w:r>
            <w:r w:rsidRPr="00DE5DBB">
              <w:rPr>
                <w:rFonts w:ascii="Times New Roman" w:hAnsi="Times New Roman"/>
                <w:b/>
                <w:u w:val="single"/>
              </w:rPr>
              <w:t>14</w:t>
            </w:r>
            <w:r>
              <w:rPr>
                <w:rFonts w:ascii="Times New Roman" w:hAnsi="Times New Roman"/>
                <w:b/>
                <w:u w:val="single"/>
              </w:rPr>
              <w:t xml:space="preserve"> jours</w:t>
            </w:r>
          </w:p>
          <w:p w14:paraId="01B280B0" w14:textId="290C8E5F" w:rsidR="007C6B89" w:rsidRDefault="007C6B89" w:rsidP="00193B6D">
            <w:pPr>
              <w:rPr>
                <w:rFonts w:ascii="Times New Roman" w:hAnsi="Times New Roman"/>
                <w:szCs w:val="20"/>
              </w:rPr>
            </w:pPr>
            <w:r>
              <w:rPr>
                <w:rFonts w:ascii="Times New Roman" w:hAnsi="Times New Roman"/>
              </w:rPr>
              <w:t xml:space="preserve">Le montant total des financements arrivant à échéance à la date concernée de la période de déclaration dont l’échéance initiale est comprise entre une semaine et deux semaines est déclaré en colonne </w:t>
            </w:r>
            <w:r w:rsidRPr="00DE5DBB">
              <w:rPr>
                <w:rFonts w:ascii="Times New Roman" w:hAnsi="Times New Roman"/>
              </w:rPr>
              <w:t>090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 xml:space="preserve">. Pour les mois comptant moins de </w:t>
            </w:r>
            <w:r w:rsidRPr="00DE5DBB">
              <w:rPr>
                <w:rFonts w:ascii="Times New Roman" w:hAnsi="Times New Roman"/>
              </w:rPr>
              <w:t>31</w:t>
            </w:r>
            <w:r>
              <w:rPr>
                <w:rFonts w:ascii="Times New Roman" w:hAnsi="Times New Roman"/>
              </w:rPr>
              <w:t xml:space="preserve"> jours ainsi que les week-ends, les lignes sans objet doivent être laissées vides.</w:t>
            </w:r>
          </w:p>
          <w:p w14:paraId="37FF815B" w14:textId="6B227C03" w:rsidR="003E371A" w:rsidRPr="007F5684" w:rsidRDefault="003E371A" w:rsidP="00193B6D">
            <w:pPr>
              <w:rPr>
                <w:rFonts w:ascii="Times New Roman" w:hAnsi="Times New Roman"/>
                <w:szCs w:val="20"/>
              </w:rPr>
            </w:pPr>
            <w:r>
              <w:rPr>
                <w:rFonts w:ascii="Times New Roman" w:hAnsi="Times New Roman"/>
              </w:rPr>
              <w:t xml:space="preserve">Le montant total des financements renouvelés à la date concernée de la période de déclaration dont l’échéance initiale est comprise entre une semaine et deux semaines est déclaré en colonne </w:t>
            </w:r>
            <w:r w:rsidRPr="00DE5DBB">
              <w:rPr>
                <w:rFonts w:ascii="Times New Roman" w:hAnsi="Times New Roman"/>
              </w:rPr>
              <w:t>100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60125A59" w14:textId="24FC6F1C" w:rsidR="007C6B89" w:rsidRPr="007F5684" w:rsidRDefault="007C6B89" w:rsidP="00193B6D">
            <w:pPr>
              <w:rPr>
                <w:rFonts w:ascii="Times New Roman" w:hAnsi="Times New Roman"/>
                <w:szCs w:val="20"/>
              </w:rPr>
            </w:pPr>
            <w:r>
              <w:rPr>
                <w:rFonts w:ascii="Times New Roman" w:hAnsi="Times New Roman"/>
              </w:rPr>
              <w:t xml:space="preserve">Le montant total des nouveaux financements obtenus à la date concernée de la période de déclaration dont l’échéance initiale est comprise entre une semaine et deux semaines est déclaré en colonne </w:t>
            </w:r>
            <w:r w:rsidRPr="00DE5DBB">
              <w:rPr>
                <w:rFonts w:ascii="Times New Roman" w:hAnsi="Times New Roman"/>
              </w:rPr>
              <w:t>110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 xml:space="preserve">La différence nette entre, d’une part, les financements arrivant à échéance et, d’autre part, la somme des financements renouvelés et des nouveaux financements obtenus est déclarée en colonne </w:t>
            </w:r>
            <w:r w:rsidRPr="00DE5DBB">
              <w:rPr>
                <w:rFonts w:ascii="Times New Roman" w:hAnsi="Times New Roman"/>
              </w:rPr>
              <w:t>120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sidRPr="00DE5DBB">
              <w:rPr>
                <w:rFonts w:ascii="Times New Roman" w:hAnsi="Times New Roman"/>
                <w:color w:val="000000"/>
              </w:rPr>
              <w:t>130</w:t>
            </w:r>
            <w:r>
              <w:rPr>
                <w:rFonts w:ascii="Times New Roman" w:hAnsi="Times New Roman"/>
                <w:color w:val="000000"/>
              </w:rPr>
              <w:t xml:space="preserve"> à </w:t>
            </w:r>
            <w:r w:rsidRPr="00DE5DBB">
              <w:rPr>
                <w:rFonts w:ascii="Times New Roman" w:hAnsi="Times New Roman"/>
                <w:color w:val="000000"/>
              </w:rPr>
              <w:t>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DE5DBB">
              <w:rPr>
                <w:rFonts w:ascii="Times New Roman" w:hAnsi="Times New Roman"/>
                <w:b/>
                <w:u w:val="single"/>
              </w:rPr>
              <w:t>14</w:t>
            </w:r>
            <w:r>
              <w:rPr>
                <w:rFonts w:ascii="Times New Roman" w:hAnsi="Times New Roman"/>
                <w:b/>
                <w:u w:val="single"/>
              </w:rPr>
              <w:t xml:space="preserve"> jours ≤ </w:t>
            </w:r>
            <w:r w:rsidRPr="00DE5DBB">
              <w:rPr>
                <w:rFonts w:ascii="Times New Roman" w:hAnsi="Times New Roman"/>
                <w:b/>
                <w:u w:val="single"/>
              </w:rPr>
              <w:t>1</w:t>
            </w:r>
            <w:r>
              <w:rPr>
                <w:rFonts w:ascii="Times New Roman" w:hAnsi="Times New Roman"/>
                <w:b/>
                <w:u w:val="single"/>
              </w:rPr>
              <w:t xml:space="preserve"> mois</w:t>
            </w:r>
          </w:p>
          <w:p w14:paraId="6DFCCE86" w14:textId="56D7C337" w:rsidR="007C6B89" w:rsidRDefault="007C6B89" w:rsidP="00193B6D">
            <w:pPr>
              <w:rPr>
                <w:rFonts w:ascii="Times New Roman" w:hAnsi="Times New Roman"/>
                <w:szCs w:val="20"/>
              </w:rPr>
            </w:pPr>
            <w:r>
              <w:rPr>
                <w:rFonts w:ascii="Times New Roman" w:hAnsi="Times New Roman"/>
              </w:rPr>
              <w:t xml:space="preserve">Le montant total des financements arrivant à échéance à la date concernée de la période de déclaration dont l’échéance initiale est comprise entre deux semaines et un mois est déclaré en colonne </w:t>
            </w:r>
            <w:r w:rsidRPr="00DE5DBB">
              <w:rPr>
                <w:rFonts w:ascii="Times New Roman" w:hAnsi="Times New Roman"/>
              </w:rPr>
              <w:t>130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 xml:space="preserve">. Pour les mois comptant moins de </w:t>
            </w:r>
            <w:r w:rsidRPr="00DE5DBB">
              <w:rPr>
                <w:rFonts w:ascii="Times New Roman" w:hAnsi="Times New Roman"/>
              </w:rPr>
              <w:t>31</w:t>
            </w:r>
            <w:r>
              <w:rPr>
                <w:rFonts w:ascii="Times New Roman" w:hAnsi="Times New Roman"/>
              </w:rPr>
              <w:t xml:space="preserve"> jours ainsi que les week-ends, les lignes sans objet doivent être laissées vides.</w:t>
            </w:r>
          </w:p>
          <w:p w14:paraId="168BD6CE" w14:textId="033F4DEE" w:rsidR="003E371A" w:rsidRPr="007F5684" w:rsidRDefault="003E371A" w:rsidP="00193B6D">
            <w:pPr>
              <w:rPr>
                <w:rFonts w:ascii="Times New Roman" w:hAnsi="Times New Roman"/>
                <w:szCs w:val="20"/>
              </w:rPr>
            </w:pPr>
            <w:r>
              <w:rPr>
                <w:rFonts w:ascii="Times New Roman" w:hAnsi="Times New Roman"/>
              </w:rPr>
              <w:lastRenderedPageBreak/>
              <w:t>Le montant total des financements renouvelés à la date concernée de la période de déclaration dont l’échéance initiale est comprise entre deux semaines et un mois est déclaré en colonne </w:t>
            </w:r>
            <w:r w:rsidRPr="00DE5DBB">
              <w:rPr>
                <w:rFonts w:ascii="Times New Roman" w:hAnsi="Times New Roman"/>
              </w:rPr>
              <w:t>140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0DBC5483" w14:textId="2E9D6540" w:rsidR="007C6B89" w:rsidRPr="007F5684" w:rsidRDefault="007C6B89" w:rsidP="00193B6D">
            <w:pPr>
              <w:rPr>
                <w:rFonts w:ascii="Times New Roman" w:hAnsi="Times New Roman"/>
                <w:szCs w:val="20"/>
              </w:rPr>
            </w:pPr>
            <w:r>
              <w:rPr>
                <w:rFonts w:ascii="Times New Roman" w:hAnsi="Times New Roman"/>
              </w:rPr>
              <w:t xml:space="preserve">Le montant total des nouveaux financements obtenus à la date concernée de la période de déclaration dont l’échéance initiale est comprise entre deux semaines et un mois est déclaré en colonne </w:t>
            </w:r>
            <w:r w:rsidRPr="00DE5DBB">
              <w:rPr>
                <w:rFonts w:ascii="Times New Roman" w:hAnsi="Times New Roman"/>
              </w:rPr>
              <w:t>150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 xml:space="preserve">La différence nette entre, d’une part, les financements arrivant à échéance et, d’autre part, la somme des financements renouvelés et des nouveaux financements obtenus est déclarée en colonne </w:t>
            </w:r>
            <w:r w:rsidRPr="00DE5DBB">
              <w:rPr>
                <w:rFonts w:ascii="Times New Roman" w:hAnsi="Times New Roman"/>
              </w:rPr>
              <w:t>160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sidRPr="00DE5DBB">
              <w:rPr>
                <w:rFonts w:ascii="Times New Roman" w:hAnsi="Times New Roman"/>
                <w:color w:val="000000"/>
              </w:rPr>
              <w:lastRenderedPageBreak/>
              <w:t>170</w:t>
            </w:r>
            <w:r>
              <w:rPr>
                <w:rFonts w:ascii="Times New Roman" w:hAnsi="Times New Roman"/>
                <w:color w:val="000000"/>
              </w:rPr>
              <w:t xml:space="preserve"> à </w:t>
            </w:r>
            <w:r w:rsidRPr="00DE5DBB">
              <w:rPr>
                <w:rFonts w:ascii="Times New Roman" w:hAnsi="Times New Roman"/>
                <w:color w:val="000000"/>
              </w:rPr>
              <w:t>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DE5DBB">
              <w:rPr>
                <w:rFonts w:ascii="Times New Roman" w:hAnsi="Times New Roman"/>
                <w:b/>
                <w:u w:val="single"/>
              </w:rPr>
              <w:t>1</w:t>
            </w:r>
            <w:r>
              <w:rPr>
                <w:rFonts w:ascii="Times New Roman" w:hAnsi="Times New Roman"/>
                <w:b/>
                <w:u w:val="single"/>
              </w:rPr>
              <w:t xml:space="preserve"> mois ≤ </w:t>
            </w:r>
            <w:r w:rsidRPr="00DE5DBB">
              <w:rPr>
                <w:rFonts w:ascii="Times New Roman" w:hAnsi="Times New Roman"/>
                <w:b/>
                <w:u w:val="single"/>
              </w:rPr>
              <w:t>3</w:t>
            </w:r>
            <w:r>
              <w:rPr>
                <w:rFonts w:ascii="Times New Roman" w:hAnsi="Times New Roman"/>
                <w:b/>
                <w:u w:val="single"/>
              </w:rPr>
              <w:t xml:space="preserve"> mois</w:t>
            </w:r>
          </w:p>
          <w:p w14:paraId="1C6BB1D5" w14:textId="18A59A44" w:rsidR="007C6B89" w:rsidRDefault="007C6B89" w:rsidP="00193B6D">
            <w:pPr>
              <w:rPr>
                <w:rFonts w:ascii="Times New Roman" w:hAnsi="Times New Roman"/>
                <w:szCs w:val="20"/>
              </w:rPr>
            </w:pPr>
            <w:r>
              <w:rPr>
                <w:rFonts w:ascii="Times New Roman" w:hAnsi="Times New Roman"/>
              </w:rPr>
              <w:t xml:space="preserve">Le montant total des financements arrivant à échéance à la date concernée de la période de déclaration dont l’échéance initiale est comprise entre un mois et trois mois est déclaré en colonne </w:t>
            </w:r>
            <w:r w:rsidRPr="00DE5DBB">
              <w:rPr>
                <w:rFonts w:ascii="Times New Roman" w:hAnsi="Times New Roman"/>
              </w:rPr>
              <w:t>170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 xml:space="preserve">. Pour les mois comptant moins de </w:t>
            </w:r>
            <w:r w:rsidRPr="00DE5DBB">
              <w:rPr>
                <w:rFonts w:ascii="Times New Roman" w:hAnsi="Times New Roman"/>
              </w:rPr>
              <w:t>31</w:t>
            </w:r>
            <w:r>
              <w:rPr>
                <w:rFonts w:ascii="Times New Roman" w:hAnsi="Times New Roman"/>
              </w:rPr>
              <w:t xml:space="preserve"> jours ainsi que les week-ends, les lignes sans objet doivent être laissées vides.</w:t>
            </w:r>
          </w:p>
          <w:p w14:paraId="6A91E8B5" w14:textId="67420E29" w:rsidR="003E371A" w:rsidRPr="007F5684" w:rsidRDefault="003E371A" w:rsidP="00193B6D">
            <w:pPr>
              <w:rPr>
                <w:rFonts w:ascii="Times New Roman" w:hAnsi="Times New Roman"/>
                <w:szCs w:val="20"/>
              </w:rPr>
            </w:pPr>
            <w:r>
              <w:rPr>
                <w:rFonts w:ascii="Times New Roman" w:hAnsi="Times New Roman"/>
              </w:rPr>
              <w:t xml:space="preserve">Le montant total des financements renouvelés à la date concernée de la période de déclaration dont l’échéance initiale est comprise entre un mois et trois mois est déclaré en colonne </w:t>
            </w:r>
            <w:r w:rsidRPr="00DE5DBB">
              <w:rPr>
                <w:rFonts w:ascii="Times New Roman" w:hAnsi="Times New Roman"/>
              </w:rPr>
              <w:t>180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7A9947A9" w14:textId="6C26176E" w:rsidR="007C6B89" w:rsidRPr="007F5684" w:rsidRDefault="007C6B89" w:rsidP="00193B6D">
            <w:pPr>
              <w:rPr>
                <w:rFonts w:ascii="Times New Roman" w:hAnsi="Times New Roman"/>
                <w:szCs w:val="20"/>
              </w:rPr>
            </w:pPr>
            <w:r>
              <w:rPr>
                <w:rFonts w:ascii="Times New Roman" w:hAnsi="Times New Roman"/>
              </w:rPr>
              <w:t xml:space="preserve">Le montant total des nouveaux financements obtenus à la date concernée de la période de déclaration dont l’échéance initiale est comprise entre un mois et trois mois est déclaré en colonne </w:t>
            </w:r>
            <w:r w:rsidRPr="00DE5DBB">
              <w:rPr>
                <w:rFonts w:ascii="Times New Roman" w:hAnsi="Times New Roman"/>
              </w:rPr>
              <w:t>190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 xml:space="preserve">La différence nette entre, d’une part, les financements arrivant à échéance et, d’autre part, la somme des financements renouvelés et des nouveaux financements obtenus est déclarée en colonne </w:t>
            </w:r>
            <w:r w:rsidRPr="00DE5DBB">
              <w:rPr>
                <w:rFonts w:ascii="Times New Roman" w:hAnsi="Times New Roman"/>
              </w:rPr>
              <w:t>200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sidRPr="00DE5DBB">
              <w:rPr>
                <w:rFonts w:ascii="Times New Roman" w:hAnsi="Times New Roman"/>
                <w:color w:val="000000"/>
              </w:rPr>
              <w:t>210</w:t>
            </w:r>
            <w:r>
              <w:rPr>
                <w:rFonts w:ascii="Times New Roman" w:hAnsi="Times New Roman"/>
                <w:color w:val="000000"/>
              </w:rPr>
              <w:t xml:space="preserve"> à </w:t>
            </w:r>
            <w:r w:rsidRPr="00DE5DBB">
              <w:rPr>
                <w:rFonts w:ascii="Times New Roman" w:hAnsi="Times New Roman"/>
                <w:color w:val="000000"/>
              </w:rPr>
              <w:t>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 xml:space="preserve">&gt; </w:t>
            </w:r>
            <w:r w:rsidRPr="00DE5DBB">
              <w:rPr>
                <w:rFonts w:ascii="Times New Roman" w:hAnsi="Times New Roman"/>
                <w:b/>
                <w:u w:val="single"/>
              </w:rPr>
              <w:t>3</w:t>
            </w:r>
            <w:r>
              <w:rPr>
                <w:rFonts w:ascii="Times New Roman" w:hAnsi="Times New Roman"/>
                <w:b/>
                <w:u w:val="single"/>
              </w:rPr>
              <w:t xml:space="preserve"> mois ≤ </w:t>
            </w:r>
            <w:r w:rsidRPr="00DE5DBB">
              <w:rPr>
                <w:rFonts w:ascii="Times New Roman" w:hAnsi="Times New Roman"/>
                <w:b/>
                <w:u w:val="single"/>
              </w:rPr>
              <w:t>6</w:t>
            </w:r>
            <w:r>
              <w:rPr>
                <w:rFonts w:ascii="Times New Roman" w:hAnsi="Times New Roman"/>
                <w:b/>
                <w:u w:val="single"/>
              </w:rPr>
              <w:t xml:space="preserve"> mois</w:t>
            </w:r>
          </w:p>
          <w:p w14:paraId="0260CA5A" w14:textId="10CDCA93" w:rsidR="006044FF" w:rsidRDefault="005A40BE" w:rsidP="00193B6D">
            <w:pPr>
              <w:rPr>
                <w:rFonts w:ascii="Times New Roman" w:hAnsi="Times New Roman"/>
                <w:szCs w:val="20"/>
              </w:rPr>
            </w:pPr>
            <w:r>
              <w:rPr>
                <w:rFonts w:ascii="Times New Roman" w:hAnsi="Times New Roman"/>
              </w:rPr>
              <w:t xml:space="preserve">Le montant total des financements arrivant à échéance à la date concernée de la période de déclaration dont l’échéance initiale est comprise entre trois mois et six mois est déclaré en colonne </w:t>
            </w:r>
            <w:r w:rsidRPr="00DE5DBB">
              <w:rPr>
                <w:rFonts w:ascii="Times New Roman" w:hAnsi="Times New Roman"/>
              </w:rPr>
              <w:t>210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 xml:space="preserve">. Pour les mois comptant moins de </w:t>
            </w:r>
            <w:r w:rsidRPr="00DE5DBB">
              <w:rPr>
                <w:rFonts w:ascii="Times New Roman" w:hAnsi="Times New Roman"/>
              </w:rPr>
              <w:t>31</w:t>
            </w:r>
            <w:r>
              <w:rPr>
                <w:rFonts w:ascii="Times New Roman" w:hAnsi="Times New Roman"/>
              </w:rPr>
              <w:t xml:space="preserve"> jours ainsi que les week-ends, les lignes sans objet doivent être laissées vides.</w:t>
            </w:r>
          </w:p>
          <w:p w14:paraId="563F93F8" w14:textId="56788554" w:rsidR="003E371A" w:rsidRPr="00331993" w:rsidRDefault="003E371A" w:rsidP="00193B6D">
            <w:pPr>
              <w:rPr>
                <w:rFonts w:ascii="Times New Roman" w:hAnsi="Times New Roman"/>
                <w:szCs w:val="20"/>
              </w:rPr>
            </w:pPr>
            <w:r>
              <w:rPr>
                <w:rFonts w:ascii="Times New Roman" w:hAnsi="Times New Roman"/>
              </w:rPr>
              <w:t xml:space="preserve">Le montant total des financements renouvelés à la date concernée de la période de déclaration dont l’échéance initiale est comprise entre trois mois et six mois est déclaré en colonne </w:t>
            </w:r>
            <w:r w:rsidRPr="00DE5DBB">
              <w:rPr>
                <w:rFonts w:ascii="Times New Roman" w:hAnsi="Times New Roman"/>
              </w:rPr>
              <w:t>220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601C708E" w14:textId="41E12978" w:rsidR="005A40BE" w:rsidRPr="007F5684" w:rsidRDefault="005A40BE" w:rsidP="00193B6D">
            <w:pPr>
              <w:rPr>
                <w:rFonts w:ascii="Times New Roman" w:hAnsi="Times New Roman"/>
                <w:szCs w:val="20"/>
              </w:rPr>
            </w:pPr>
            <w:r>
              <w:rPr>
                <w:rFonts w:ascii="Times New Roman" w:hAnsi="Times New Roman"/>
              </w:rPr>
              <w:t xml:space="preserve">Le montant total des nouveaux financements obtenus à la date concernée de la période de déclaration dont l’échéance initiale est comprise entre trois mois et six mois est déclaré en colonne </w:t>
            </w:r>
            <w:r w:rsidRPr="00DE5DBB">
              <w:rPr>
                <w:rFonts w:ascii="Times New Roman" w:hAnsi="Times New Roman"/>
              </w:rPr>
              <w:t>230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 xml:space="preserve">La différence nette entre, d’une part, les financements arrivant à échéance et, d’autre part, la somme des financements renouvelés et des nouveaux financements obtenus est déclarée en colonne </w:t>
            </w:r>
            <w:r w:rsidRPr="00DE5DBB">
              <w:rPr>
                <w:rFonts w:ascii="Times New Roman" w:hAnsi="Times New Roman"/>
              </w:rPr>
              <w:t>240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sidRPr="00DE5DBB">
              <w:rPr>
                <w:rFonts w:ascii="Times New Roman" w:hAnsi="Times New Roman"/>
                <w:color w:val="000000"/>
              </w:rPr>
              <w:t>250</w:t>
            </w:r>
            <w:r>
              <w:rPr>
                <w:rFonts w:ascii="Times New Roman" w:hAnsi="Times New Roman"/>
                <w:color w:val="000000"/>
              </w:rPr>
              <w:t xml:space="preserve"> à </w:t>
            </w:r>
            <w:r w:rsidRPr="00DE5DBB">
              <w:rPr>
                <w:rFonts w:ascii="Times New Roman" w:hAnsi="Times New Roman"/>
                <w:color w:val="000000"/>
              </w:rPr>
              <w:t>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 xml:space="preserve">&gt; </w:t>
            </w:r>
            <w:r w:rsidRPr="00DE5DBB">
              <w:rPr>
                <w:rFonts w:ascii="Times New Roman" w:hAnsi="Times New Roman"/>
                <w:b/>
                <w:u w:val="single"/>
              </w:rPr>
              <w:t>6</w:t>
            </w:r>
            <w:r>
              <w:rPr>
                <w:rFonts w:ascii="Times New Roman" w:hAnsi="Times New Roman"/>
                <w:b/>
                <w:u w:val="single"/>
              </w:rPr>
              <w:t xml:space="preserve"> mois</w:t>
            </w:r>
          </w:p>
          <w:p w14:paraId="3C7C589B" w14:textId="6F0EC1DA" w:rsidR="007C6B89" w:rsidRDefault="007C6B89" w:rsidP="00193B6D">
            <w:pPr>
              <w:rPr>
                <w:rFonts w:ascii="Times New Roman" w:hAnsi="Times New Roman"/>
                <w:szCs w:val="20"/>
              </w:rPr>
            </w:pPr>
            <w:r>
              <w:rPr>
                <w:rFonts w:ascii="Times New Roman" w:hAnsi="Times New Roman"/>
              </w:rPr>
              <w:t xml:space="preserve">Le montant total des financements arrivant à échéance à la date concernée de la période de déclaration dont l’échéance initiale est supérieure à six mois est déclaré en colonne </w:t>
            </w:r>
            <w:r w:rsidRPr="00DE5DBB">
              <w:rPr>
                <w:rFonts w:ascii="Times New Roman" w:hAnsi="Times New Roman"/>
              </w:rPr>
              <w:t>250</w:t>
            </w:r>
            <w:r>
              <w:rPr>
                <w:rFonts w:ascii="Times New Roman" w:hAnsi="Times New Roman"/>
              </w:rPr>
              <w:t>,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 xml:space="preserve">. Pour les mois comptant moins de </w:t>
            </w:r>
            <w:r w:rsidRPr="00DE5DBB">
              <w:rPr>
                <w:rFonts w:ascii="Times New Roman" w:hAnsi="Times New Roman"/>
              </w:rPr>
              <w:t>31</w:t>
            </w:r>
            <w:r>
              <w:rPr>
                <w:rFonts w:ascii="Times New Roman" w:hAnsi="Times New Roman"/>
              </w:rPr>
              <w:t xml:space="preserve"> jours ainsi que les week-ends, les lignes sans objet doivent être laissées vides.</w:t>
            </w:r>
          </w:p>
          <w:p w14:paraId="09601152" w14:textId="7600B6AF" w:rsidR="003E371A" w:rsidRPr="007F5684" w:rsidRDefault="003E371A" w:rsidP="00193B6D">
            <w:pPr>
              <w:rPr>
                <w:rFonts w:ascii="Times New Roman" w:hAnsi="Times New Roman"/>
                <w:szCs w:val="20"/>
              </w:rPr>
            </w:pPr>
            <w:r>
              <w:rPr>
                <w:rFonts w:ascii="Times New Roman" w:hAnsi="Times New Roman"/>
              </w:rPr>
              <w:t xml:space="preserve">Le montant total des financements renouvelés à la date concernée de la période de déclaration dont l’échéance initiale est supérieure à six mois est déclaré en colonne </w:t>
            </w:r>
            <w:r w:rsidRPr="00DE5DBB">
              <w:rPr>
                <w:rFonts w:ascii="Times New Roman" w:hAnsi="Times New Roman"/>
              </w:rPr>
              <w:t>260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4585368E" w14:textId="146D4C77" w:rsidR="007C6B89" w:rsidRPr="007F5684" w:rsidRDefault="007C6B89" w:rsidP="00193B6D">
            <w:pPr>
              <w:rPr>
                <w:rFonts w:ascii="Times New Roman" w:hAnsi="Times New Roman"/>
                <w:szCs w:val="20"/>
              </w:rPr>
            </w:pPr>
            <w:r>
              <w:rPr>
                <w:rFonts w:ascii="Times New Roman" w:hAnsi="Times New Roman"/>
              </w:rPr>
              <w:t xml:space="preserve">Le montant total des nouveaux financements obtenus à la date concernée de la période de déclaration dont l’échéance initiale est supérieure à six mois est déclaré en colonne </w:t>
            </w:r>
            <w:r w:rsidRPr="00DE5DBB">
              <w:rPr>
                <w:rFonts w:ascii="Times New Roman" w:hAnsi="Times New Roman"/>
              </w:rPr>
              <w:t>270</w:t>
            </w:r>
            <w:r>
              <w:rPr>
                <w:rFonts w:ascii="Times New Roman" w:hAnsi="Times New Roman"/>
              </w:rPr>
              <w:t>,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 xml:space="preserve">La différence nette entre, d’une part, les financements arrivant à échéance et, d’autre part, la somme des financements renouvelés et des nouveaux financements obtenus est </w:t>
            </w:r>
            <w:r>
              <w:rPr>
                <w:rFonts w:ascii="Times New Roman" w:hAnsi="Times New Roman"/>
              </w:rPr>
              <w:lastRenderedPageBreak/>
              <w:t xml:space="preserve">déclarée en colonne </w:t>
            </w:r>
            <w:r w:rsidRPr="00DE5DBB">
              <w:rPr>
                <w:rFonts w:ascii="Times New Roman" w:hAnsi="Times New Roman"/>
              </w:rPr>
              <w:t>280</w:t>
            </w:r>
            <w:r>
              <w:rPr>
                <w:rFonts w:ascii="Times New Roman" w:hAnsi="Times New Roman"/>
              </w:rPr>
              <w:t xml:space="preserve">, lignes </w:t>
            </w:r>
            <w:r w:rsidRPr="00DE5DBB">
              <w:rPr>
                <w:rFonts w:ascii="Times New Roman" w:hAnsi="Times New Roman"/>
              </w:rPr>
              <w:t>1</w:t>
            </w:r>
            <w:r>
              <w:rPr>
                <w:rFonts w:ascii="Times New Roman" w:hAnsi="Times New Roman"/>
              </w:rPr>
              <w:t>.</w:t>
            </w:r>
            <w:r w:rsidRPr="00DE5DBB">
              <w:rPr>
                <w:rFonts w:ascii="Times New Roman" w:hAnsi="Times New Roman"/>
              </w:rPr>
              <w:t>1</w:t>
            </w:r>
            <w:r>
              <w:rPr>
                <w:rFonts w:ascii="Times New Roman" w:hAnsi="Times New Roman"/>
              </w:rPr>
              <w:t xml:space="preserve"> à </w:t>
            </w:r>
            <w:r w:rsidRPr="00DE5DBB">
              <w:rPr>
                <w:rFonts w:ascii="Times New Roman" w:hAnsi="Times New Roman"/>
              </w:rPr>
              <w:t>1</w:t>
            </w:r>
            <w:r>
              <w:rPr>
                <w:rFonts w:ascii="Times New Roman" w:hAnsi="Times New Roman"/>
              </w:rPr>
              <w:t>.</w:t>
            </w:r>
            <w:r w:rsidRPr="00DE5DBB">
              <w:rPr>
                <w:rFonts w:ascii="Times New Roman" w:hAnsi="Times New Roman"/>
              </w:rPr>
              <w:t>31</w:t>
            </w:r>
            <w:r>
              <w:rPr>
                <w:rFonts w:ascii="Times New Roman" w:hAnsi="Times New Roman"/>
              </w:rPr>
              <w:t>.</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sidRPr="00DE5DBB">
              <w:rPr>
                <w:rFonts w:ascii="Times New Roman" w:hAnsi="Times New Roman"/>
                <w:color w:val="000000"/>
              </w:rPr>
              <w:lastRenderedPageBreak/>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Flux de trésorerie nets totaux</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 xml:space="preserve">Les flux de trésorerie nets totaux, qui sont égaux à la somme de toutes les colonnes «Net» numérotées </w:t>
            </w:r>
            <w:r w:rsidRPr="00DE5DBB">
              <w:rPr>
                <w:rFonts w:ascii="Times New Roman" w:hAnsi="Times New Roman"/>
              </w:rPr>
              <w:t>040</w:t>
            </w:r>
            <w:r>
              <w:rPr>
                <w:rFonts w:ascii="Times New Roman" w:hAnsi="Times New Roman"/>
              </w:rPr>
              <w:t xml:space="preserve">, </w:t>
            </w:r>
            <w:r w:rsidRPr="00DE5DBB">
              <w:rPr>
                <w:rFonts w:ascii="Times New Roman" w:hAnsi="Times New Roman"/>
              </w:rPr>
              <w:t>080</w:t>
            </w:r>
            <w:r>
              <w:rPr>
                <w:rFonts w:ascii="Times New Roman" w:hAnsi="Times New Roman"/>
              </w:rPr>
              <w:t xml:space="preserve">, </w:t>
            </w:r>
            <w:r w:rsidRPr="00DE5DBB">
              <w:rPr>
                <w:rFonts w:ascii="Times New Roman" w:hAnsi="Times New Roman"/>
              </w:rPr>
              <w:t>120</w:t>
            </w:r>
            <w:r>
              <w:rPr>
                <w:rFonts w:ascii="Times New Roman" w:hAnsi="Times New Roman"/>
              </w:rPr>
              <w:t xml:space="preserve">, </w:t>
            </w:r>
            <w:r w:rsidRPr="00DE5DBB">
              <w:rPr>
                <w:rFonts w:ascii="Times New Roman" w:hAnsi="Times New Roman"/>
              </w:rPr>
              <w:t>160</w:t>
            </w:r>
            <w:r>
              <w:rPr>
                <w:rFonts w:ascii="Times New Roman" w:hAnsi="Times New Roman"/>
              </w:rPr>
              <w:t xml:space="preserve">, </w:t>
            </w:r>
            <w:r w:rsidRPr="00DE5DBB">
              <w:rPr>
                <w:rFonts w:ascii="Times New Roman" w:hAnsi="Times New Roman"/>
              </w:rPr>
              <w:t>200</w:t>
            </w:r>
            <w:r>
              <w:rPr>
                <w:rFonts w:ascii="Times New Roman" w:hAnsi="Times New Roman"/>
              </w:rPr>
              <w:t xml:space="preserve">, </w:t>
            </w:r>
            <w:r w:rsidRPr="00DE5DBB">
              <w:rPr>
                <w:rFonts w:ascii="Times New Roman" w:hAnsi="Times New Roman"/>
              </w:rPr>
              <w:t>240</w:t>
            </w:r>
            <w:r>
              <w:rPr>
                <w:rFonts w:ascii="Times New Roman" w:hAnsi="Times New Roman"/>
              </w:rPr>
              <w:t xml:space="preserve"> et </w:t>
            </w:r>
            <w:r w:rsidRPr="00DE5DBB">
              <w:rPr>
                <w:rFonts w:ascii="Times New Roman" w:hAnsi="Times New Roman"/>
              </w:rPr>
              <w:t>280</w:t>
            </w:r>
            <w:r>
              <w:rPr>
                <w:rFonts w:ascii="Times New Roman" w:hAnsi="Times New Roman"/>
              </w:rPr>
              <w:t xml:space="preserve">, sont déclarés en colonne </w:t>
            </w:r>
            <w:r w:rsidRPr="00DE5DBB">
              <w:rPr>
                <w:rFonts w:ascii="Times New Roman" w:hAnsi="Times New Roman"/>
              </w:rPr>
              <w:t>290</w:t>
            </w:r>
            <w:r>
              <w:rPr>
                <w:rFonts w:ascii="Times New Roman" w:hAnsi="Times New Roman"/>
              </w:rPr>
              <w:t>.</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sidRPr="00DE5DBB">
              <w:rPr>
                <w:rFonts w:ascii="Times New Roman" w:hAnsi="Times New Roman"/>
                <w:color w:val="000000"/>
              </w:rPr>
              <w:t>300</w:t>
            </w:r>
            <w:r>
              <w:rPr>
                <w:rFonts w:ascii="Times New Roman" w:hAnsi="Times New Roman"/>
                <w:color w:val="000000"/>
              </w:rPr>
              <w:t xml:space="preserve"> à </w:t>
            </w:r>
            <w:r w:rsidRPr="00DE5DBB">
              <w:rPr>
                <w:rFonts w:ascii="Times New Roman" w:hAnsi="Times New Roman"/>
                <w:color w:val="000000"/>
              </w:rPr>
              <w:t>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Échéance moyenne (en jours)</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 xml:space="preserve">L’échéance moyenne pondérée, en jours, de tous les financements arrivant à échéance est déclarée dans la colonne </w:t>
            </w:r>
            <w:r w:rsidRPr="00DE5DBB">
              <w:rPr>
                <w:rFonts w:ascii="Times New Roman" w:hAnsi="Times New Roman"/>
              </w:rPr>
              <w:t>300</w:t>
            </w:r>
            <w:r>
              <w:rPr>
                <w:rFonts w:ascii="Times New Roman" w:hAnsi="Times New Roman"/>
              </w:rPr>
              <w:t xml:space="preserve">. L’échéance moyenne pondérée, en jours, de tous les financements renouvelés est déclarée en colonne </w:t>
            </w:r>
            <w:r w:rsidRPr="00DE5DBB">
              <w:rPr>
                <w:rFonts w:ascii="Times New Roman" w:hAnsi="Times New Roman"/>
              </w:rPr>
              <w:t>310</w:t>
            </w:r>
            <w:r>
              <w:rPr>
                <w:rFonts w:ascii="Times New Roman" w:hAnsi="Times New Roman"/>
              </w:rPr>
              <w:t xml:space="preserve">, et celle de tous les nouveaux financements, en colonne </w:t>
            </w:r>
            <w:r w:rsidRPr="00DE5DBB">
              <w:rPr>
                <w:rFonts w:ascii="Times New Roman" w:hAnsi="Times New Roman"/>
              </w:rPr>
              <w:t>320</w:t>
            </w:r>
            <w:r>
              <w:rPr>
                <w:rFonts w:ascii="Times New Roman" w:hAnsi="Times New Roman"/>
              </w:rPr>
              <w:t>.»</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DE5DBB">
          <w:rPr>
            <w:noProof/>
          </w:rPr>
          <w:t>13</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DE5DBB">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14AF"/>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5DBB"/>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r-FR" w:eastAsia="fr-FR" w:bidi="fr-FR"/>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r-FR" w:eastAsia="fr-FR" w:bidi="fr-FR"/>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fr-FR" w:eastAsia="fr-FR" w:bidi="fr-FR"/>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r-FR" w:eastAsia="fr-FR" w:bidi="fr-FR"/>
    </w:rPr>
  </w:style>
  <w:style w:type="character" w:customStyle="1" w:styleId="FunoteChar">
    <w:name w:val="Fußnote Char"/>
    <w:aliases w:val=" Char Char Char"/>
    <w:semiHidden/>
    <w:rsid w:val="009D253B"/>
    <w:rPr>
      <w:rFonts w:ascii="Arial" w:hAnsi="Arial"/>
      <w:sz w:val="18"/>
      <w:lang w:val="fr-FR" w:eastAsia="fr-FR" w:bidi="fr-FR"/>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fr-FR" w:eastAsia="fr-FR" w:bidi="fr-FR"/>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r-FR" w:eastAsia="fr-FR"/>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r-FR" w:eastAsia="fr-FR"/>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r-FR" w:eastAsia="fr-FR"/>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fr-FR" w:eastAsia="fr-FR"/>
    </w:rPr>
  </w:style>
  <w:style w:type="character" w:customStyle="1" w:styleId="BalloonTextChar">
    <w:name w:val="Balloon Text Char"/>
    <w:link w:val="BalloonText"/>
    <w:semiHidden/>
    <w:rsid w:val="00167536"/>
    <w:rPr>
      <w:rFonts w:ascii="Tahoma" w:hAnsi="Tahoma" w:cs="Tahoma"/>
      <w:sz w:val="16"/>
      <w:szCs w:val="16"/>
      <w:lang w:val="fr-FR" w:eastAsia="fr-FR"/>
    </w:rPr>
  </w:style>
  <w:style w:type="character" w:customStyle="1" w:styleId="PlainTextChar">
    <w:name w:val="Plain Text Char"/>
    <w:link w:val="PlainText"/>
    <w:semiHidden/>
    <w:rsid w:val="00167536"/>
    <w:rPr>
      <w:rFonts w:ascii="Consolas" w:hAnsi="Consolas"/>
      <w:sz w:val="21"/>
      <w:szCs w:val="21"/>
      <w:lang w:val="fr-FR" w:eastAsia="fr-FR"/>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r-FR" w:eastAsia="fr-FR"/>
    </w:rPr>
  </w:style>
  <w:style w:type="character" w:customStyle="1" w:styleId="FooterCoverPageChar">
    <w:name w:val="Footer Cover Page Char"/>
    <w:link w:val="FooterCoverPage"/>
    <w:rsid w:val="00167536"/>
    <w:rPr>
      <w:color w:val="4F81BD"/>
      <w:sz w:val="24"/>
      <w:szCs w:val="24"/>
      <w:lang w:val="fr-FR" w:eastAsia="fr-FR"/>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r-FR" w:eastAsia="fr-FR" w:bidi="fr-FR"/>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r-FR" w:eastAsia="fr-FR" w:bidi="fr-FR"/>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fr-FR" w:eastAsia="fr-FR" w:bidi="fr-FR"/>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r-FR" w:eastAsia="fr-FR" w:bidi="fr-FR"/>
    </w:rPr>
  </w:style>
  <w:style w:type="character" w:customStyle="1" w:styleId="FunoteChar">
    <w:name w:val="Fußnote Char"/>
    <w:aliases w:val=" Char Char Char"/>
    <w:semiHidden/>
    <w:rsid w:val="009D253B"/>
    <w:rPr>
      <w:rFonts w:ascii="Arial" w:hAnsi="Arial"/>
      <w:sz w:val="18"/>
      <w:lang w:val="fr-FR" w:eastAsia="fr-FR" w:bidi="fr-FR"/>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fr-FR" w:eastAsia="fr-FR" w:bidi="fr-FR"/>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r-FR" w:eastAsia="fr-FR"/>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r-FR" w:eastAsia="fr-FR"/>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r-FR" w:eastAsia="fr-FR"/>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fr-FR" w:eastAsia="fr-FR"/>
    </w:rPr>
  </w:style>
  <w:style w:type="character" w:customStyle="1" w:styleId="BalloonTextChar">
    <w:name w:val="Balloon Text Char"/>
    <w:link w:val="BalloonText"/>
    <w:semiHidden/>
    <w:rsid w:val="00167536"/>
    <w:rPr>
      <w:rFonts w:ascii="Tahoma" w:hAnsi="Tahoma" w:cs="Tahoma"/>
      <w:sz w:val="16"/>
      <w:szCs w:val="16"/>
      <w:lang w:val="fr-FR" w:eastAsia="fr-FR"/>
    </w:rPr>
  </w:style>
  <w:style w:type="character" w:customStyle="1" w:styleId="PlainTextChar">
    <w:name w:val="Plain Text Char"/>
    <w:link w:val="PlainText"/>
    <w:semiHidden/>
    <w:rsid w:val="00167536"/>
    <w:rPr>
      <w:rFonts w:ascii="Consolas" w:hAnsi="Consolas"/>
      <w:sz w:val="21"/>
      <w:szCs w:val="21"/>
      <w:lang w:val="fr-FR" w:eastAsia="fr-FR"/>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r-FR" w:eastAsia="fr-FR"/>
    </w:rPr>
  </w:style>
  <w:style w:type="character" w:customStyle="1" w:styleId="FooterCoverPageChar">
    <w:name w:val="Footer Cover Page Char"/>
    <w:link w:val="FooterCoverPage"/>
    <w:rsid w:val="00167536"/>
    <w:rPr>
      <w:color w:val="4F81BD"/>
      <w:sz w:val="24"/>
      <w:szCs w:val="24"/>
      <w:lang w:val="fr-FR" w:eastAsia="fr-FR"/>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B9F7ED-F133-46FA-A276-E939072ED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5843</Words>
  <Characters>28924</Characters>
  <Application>Microsoft Office Word</Application>
  <DocSecurity>0</DocSecurity>
  <Lines>672</Lines>
  <Paragraphs>369</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34398</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LWCR</cp:lastModifiedBy>
  <cp:revision>14</cp:revision>
  <cp:lastPrinted>2014-06-12T08:34:00Z</cp:lastPrinted>
  <dcterms:created xsi:type="dcterms:W3CDTF">2018-02-06T16:20:00Z</dcterms:created>
  <dcterms:modified xsi:type="dcterms:W3CDTF">2018-09-06T10:13:00Z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