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E27924" w:rsidRDefault="00FD3BB4" w:rsidP="000D38F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766E352-EA31-40FA-91E6-D34A1D6C72A8" style="width:450.75pt;height:381.75pt">
            <v:imagedata r:id="rId8" o:title=""/>
          </v:shape>
        </w:pict>
      </w:r>
    </w:p>
    <w:p w:rsidR="00075C77" w:rsidRPr="00E27924" w:rsidRDefault="00075C77">
      <w:pPr>
        <w:sectPr w:rsidR="00075C77" w:rsidRPr="00E27924" w:rsidSect="00832AD8">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075C77" w:rsidRPr="00E27924" w:rsidRDefault="000D38FC" w:rsidP="000D38FC">
      <w:pPr>
        <w:pStyle w:val="Typedudocument"/>
      </w:pPr>
      <w:r w:rsidRPr="000D38FC">
        <w:t>KOMMISSIONENS GENNEMFØRELSESFORORDNING (EU) …/…</w:t>
      </w:r>
    </w:p>
    <w:p w:rsidR="00075C77" w:rsidRPr="00E27924" w:rsidRDefault="000D38FC" w:rsidP="000D38FC">
      <w:pPr>
        <w:pStyle w:val="Datedadoption"/>
      </w:pPr>
      <w:r w:rsidRPr="000D38FC">
        <w:t xml:space="preserve">af </w:t>
      </w:r>
      <w:r w:rsidRPr="000D38FC">
        <w:rPr>
          <w:rStyle w:val="Marker2"/>
        </w:rPr>
        <w:t>XXX</w:t>
      </w:r>
    </w:p>
    <w:p w:rsidR="00075C77" w:rsidRPr="00E27924" w:rsidRDefault="000D38FC" w:rsidP="000D38FC">
      <w:pPr>
        <w:pStyle w:val="Titreobjet"/>
      </w:pPr>
      <w:r w:rsidRPr="000D38FC">
        <w:t>om ændring af gennemførelsesforordning (EU) nr. 680/2014 for så vidt angår forsigtighedsbaseret værdiansættelse ved indberetning med henblik på tilsyn</w:t>
      </w:r>
    </w:p>
    <w:p w:rsidR="000D38FC" w:rsidRDefault="000D38FC" w:rsidP="000D38FC">
      <w:pPr>
        <w:pStyle w:val="IntrtEEE"/>
      </w:pPr>
      <w:r w:rsidRPr="000D38FC">
        <w:t>(EØS-relevant tekst)</w:t>
      </w:r>
    </w:p>
    <w:p w:rsidR="00075C77" w:rsidRPr="00E27924" w:rsidRDefault="00075C77" w:rsidP="004E1EF9">
      <w:pPr>
        <w:pStyle w:val="Institutionquiagit"/>
      </w:pPr>
      <w:r w:rsidRPr="00E27924">
        <w:t>EUROPA-KOMMISSIONEN HAR —</w:t>
      </w:r>
    </w:p>
    <w:p w:rsidR="00075C77" w:rsidRPr="00E27924" w:rsidRDefault="00075C77" w:rsidP="004E1EF9">
      <w:r w:rsidRPr="00E27924">
        <w:t>under henvisning til traktaten om Den Europæiske Unions funktionsmåde,</w:t>
      </w:r>
    </w:p>
    <w:p w:rsidR="00075C77" w:rsidRPr="00E27924" w:rsidRDefault="00075C77" w:rsidP="004E1EF9">
      <w:r w:rsidRPr="00E27924">
        <w:t>under henvisning til Europa-Parlamentets og Rådets forordning (EU) nr.</w:t>
      </w:r>
      <w:r w:rsidR="00E27924">
        <w:t xml:space="preserve"> </w:t>
      </w:r>
      <w:r w:rsidRPr="00E27924">
        <w:t>575/2013 af</w:t>
      </w:r>
      <w:r w:rsidR="00E27924">
        <w:t xml:space="preserve"> </w:t>
      </w:r>
      <w:r w:rsidRPr="00E27924">
        <w:t>26. juni 2013 om tilsynsmæssige krav til kreditinstitutter og investeringsselskaber og om ændring af forordning (EU) nr.</w:t>
      </w:r>
      <w:r w:rsidR="00E27924">
        <w:t xml:space="preserve"> </w:t>
      </w:r>
      <w:r w:rsidRPr="00E27924">
        <w:t>648/2012</w:t>
      </w:r>
      <w:r w:rsidRPr="00E27924">
        <w:rPr>
          <w:rStyle w:val="FootnoteReference"/>
        </w:rPr>
        <w:footnoteReference w:id="2"/>
      </w:r>
      <w:r w:rsidRPr="00E27924">
        <w:t>, særlig artikel 99, stk.</w:t>
      </w:r>
      <w:r w:rsidR="00E27924">
        <w:t xml:space="preserve"> </w:t>
      </w:r>
      <w:r w:rsidRPr="00E27924">
        <w:t>5, fjerde afsnit, artikel 99, stk.</w:t>
      </w:r>
      <w:r w:rsidR="00E27924">
        <w:t xml:space="preserve"> </w:t>
      </w:r>
      <w:r w:rsidRPr="00E27924">
        <w:t>6, fjerde afsnit, artikel 394, stk.</w:t>
      </w:r>
      <w:r w:rsidR="00E27924">
        <w:t xml:space="preserve"> </w:t>
      </w:r>
      <w:r w:rsidRPr="00E27924">
        <w:t>4, tredje afsnit, artikel 415, stk.</w:t>
      </w:r>
      <w:r w:rsidR="00E27924">
        <w:t xml:space="preserve"> </w:t>
      </w:r>
      <w:r w:rsidRPr="00E27924">
        <w:t>3, fjerde afsnit, og artikel 430, stk.</w:t>
      </w:r>
      <w:r w:rsidR="00E27924">
        <w:t xml:space="preserve"> </w:t>
      </w:r>
      <w:r w:rsidRPr="00E27924">
        <w:t>2, tredje afsnit, og</w:t>
      </w:r>
    </w:p>
    <w:p w:rsidR="00075C77" w:rsidRPr="00E27924" w:rsidRDefault="00075C77" w:rsidP="004E1EF9">
      <w:r w:rsidRPr="00E27924">
        <w:t>ud fra følgende betragtninger:</w:t>
      </w:r>
    </w:p>
    <w:p w:rsidR="00075C77" w:rsidRPr="00E27924" w:rsidRDefault="00075C77" w:rsidP="003C1FB8">
      <w:pPr>
        <w:pStyle w:val="Considrant"/>
        <w:numPr>
          <w:ilvl w:val="0"/>
          <w:numId w:val="1"/>
        </w:numPr>
        <w:rPr>
          <w:noProof/>
          <w:color w:val="000000"/>
        </w:rPr>
      </w:pPr>
      <w:r w:rsidRPr="00E27924">
        <w:rPr>
          <w:noProof/>
          <w:color w:val="000000"/>
        </w:rPr>
        <w:t>I Kommissionens gennemførelsesforordning (EU) nr.</w:t>
      </w:r>
      <w:r w:rsidR="00E27924">
        <w:rPr>
          <w:noProof/>
          <w:color w:val="000000"/>
        </w:rPr>
        <w:t xml:space="preserve"> </w:t>
      </w:r>
      <w:r w:rsidRPr="00E27924">
        <w:rPr>
          <w:noProof/>
          <w:color w:val="000000"/>
        </w:rPr>
        <w:t>680/2014</w:t>
      </w:r>
      <w:r w:rsidRPr="00E27924">
        <w:rPr>
          <w:rStyle w:val="FootnoteReference"/>
          <w:noProof/>
          <w:color w:val="000000"/>
        </w:rPr>
        <w:footnoteReference w:id="3"/>
      </w:r>
      <w:r w:rsidRPr="00E27924">
        <w:rPr>
          <w:noProof/>
          <w:color w:val="000000"/>
        </w:rPr>
        <w:t xml:space="preserve"> fastsættes de regler,</w:t>
      </w:r>
      <w:r w:rsidR="00E27924" w:rsidRPr="00E27924">
        <w:rPr>
          <w:noProof/>
          <w:color w:val="000000"/>
        </w:rPr>
        <w:t xml:space="preserve"> i</w:t>
      </w:r>
      <w:r w:rsidR="00E27924">
        <w:rPr>
          <w:noProof/>
          <w:color w:val="000000"/>
        </w:rPr>
        <w:t xml:space="preserve"> </w:t>
      </w:r>
      <w:r w:rsidR="00E27924" w:rsidRPr="00E27924">
        <w:rPr>
          <w:noProof/>
          <w:color w:val="000000"/>
        </w:rPr>
        <w:t>ove</w:t>
      </w:r>
      <w:r w:rsidRPr="00E27924">
        <w:rPr>
          <w:noProof/>
          <w:color w:val="000000"/>
        </w:rPr>
        <w:t>rensstemmelse med hvilke institutter skal indberette oplysninger om deres overholdelse af forordning (EU) nr.</w:t>
      </w:r>
      <w:r w:rsidR="00E27924">
        <w:rPr>
          <w:noProof/>
          <w:color w:val="000000"/>
        </w:rPr>
        <w:t xml:space="preserve"> </w:t>
      </w:r>
      <w:r w:rsidRPr="00E27924">
        <w:rPr>
          <w:noProof/>
          <w:color w:val="000000"/>
        </w:rPr>
        <w:t>575/2013. De ikkevæsentlige bestemmelser</w:t>
      </w:r>
      <w:r w:rsidR="00E27924" w:rsidRPr="00E27924">
        <w:rPr>
          <w:noProof/>
          <w:color w:val="000000"/>
        </w:rPr>
        <w:t xml:space="preserve"> i</w:t>
      </w:r>
      <w:r w:rsidR="00E27924">
        <w:rPr>
          <w:noProof/>
          <w:color w:val="000000"/>
        </w:rPr>
        <w:t xml:space="preserve"> </w:t>
      </w:r>
      <w:r w:rsidR="00E27924" w:rsidRPr="00E27924">
        <w:rPr>
          <w:noProof/>
          <w:color w:val="000000"/>
        </w:rPr>
        <w:t>det</w:t>
      </w:r>
      <w:r w:rsidRPr="00E27924">
        <w:rPr>
          <w:noProof/>
          <w:color w:val="000000"/>
        </w:rPr>
        <w:t xml:space="preserve"> regelsæt, der er fastsat ved forordning (EU) nr.</w:t>
      </w:r>
      <w:r w:rsidR="00E27924">
        <w:rPr>
          <w:noProof/>
          <w:color w:val="000000"/>
        </w:rPr>
        <w:t xml:space="preserve"> </w:t>
      </w:r>
      <w:r w:rsidRPr="00E27924">
        <w:rPr>
          <w:noProof/>
          <w:color w:val="000000"/>
        </w:rPr>
        <w:t>575/2013, suppleres og ændres gradvis gennem vedtagelse af yderligere reguleringsmæssige tekniske standarder. Det er nødvendigt at ajourføre gennemførelsesforordning (EU) nr.</w:t>
      </w:r>
      <w:r w:rsidR="00E27924">
        <w:rPr>
          <w:noProof/>
          <w:color w:val="000000"/>
        </w:rPr>
        <w:t xml:space="preserve"> </w:t>
      </w:r>
      <w:r w:rsidRPr="00E27924">
        <w:rPr>
          <w:noProof/>
          <w:color w:val="000000"/>
        </w:rPr>
        <w:t>680/2014, så den afspejler disse ændringer.</w:t>
      </w:r>
    </w:p>
    <w:p w:rsidR="00075C77" w:rsidRPr="00E27924" w:rsidRDefault="00075C77" w:rsidP="00075C77">
      <w:pPr>
        <w:pStyle w:val="Considrant"/>
        <w:rPr>
          <w:color w:val="000000"/>
        </w:rPr>
      </w:pPr>
      <w:r w:rsidRPr="00E27924">
        <w:rPr>
          <w:color w:val="000000"/>
        </w:rPr>
        <w:t>Forordning (EU) nr.</w:t>
      </w:r>
      <w:r w:rsidR="00E27924">
        <w:rPr>
          <w:color w:val="000000"/>
        </w:rPr>
        <w:t xml:space="preserve"> </w:t>
      </w:r>
      <w:r w:rsidRPr="00E27924">
        <w:rPr>
          <w:color w:val="000000"/>
        </w:rPr>
        <w:t>575/2013 er suppleret ved vedtagelsen af Kommissionens delegerede forordning (EU) 2016/101</w:t>
      </w:r>
      <w:r w:rsidRPr="00E27924">
        <w:rPr>
          <w:rStyle w:val="FootnoteReference"/>
          <w:color w:val="000000"/>
        </w:rPr>
        <w:footnoteReference w:id="4"/>
      </w:r>
      <w:r w:rsidRPr="00E27924">
        <w:rPr>
          <w:color w:val="000000"/>
        </w:rPr>
        <w:t xml:space="preserve"> for så vidt angår forsigtig værdiansættelse og af Europa-Parlamentets og Rådets forordning (EU) 2017/2401</w:t>
      </w:r>
      <w:r w:rsidRPr="00E27924">
        <w:rPr>
          <w:rStyle w:val="FootnoteReference"/>
          <w:color w:val="000000"/>
        </w:rPr>
        <w:footnoteReference w:id="5"/>
      </w:r>
      <w:r w:rsidRPr="00E27924">
        <w:rPr>
          <w:color w:val="000000"/>
        </w:rPr>
        <w:t xml:space="preserve"> for så vidt angår securitisering. Gennemførelsesforordning (EU) nr.</w:t>
      </w:r>
      <w:r w:rsidR="00E27924">
        <w:rPr>
          <w:color w:val="000000"/>
        </w:rPr>
        <w:t xml:space="preserve"> </w:t>
      </w:r>
      <w:r w:rsidRPr="00E27924">
        <w:rPr>
          <w:color w:val="000000"/>
        </w:rPr>
        <w:t>680/2014 bør ajourføres for at afspejle disse ændringer og for at præcisere de instrukser og definitioner, der anvendes ved institutternes indberetning med henblik på tilsyn. Ved anvendelsen af gennemførelsesforordning (EU) nr.</w:t>
      </w:r>
      <w:r w:rsidR="00E27924">
        <w:rPr>
          <w:color w:val="000000"/>
        </w:rPr>
        <w:t xml:space="preserve"> </w:t>
      </w:r>
      <w:r w:rsidRPr="00E27924">
        <w:rPr>
          <w:color w:val="000000"/>
        </w:rPr>
        <w:t>680/2014 er visse fejlagtige henvisninger og formateringsfejl blevet opdaget, og disse bør også rettes.</w:t>
      </w:r>
    </w:p>
    <w:p w:rsidR="00075C77" w:rsidRPr="00E27924" w:rsidRDefault="00195568" w:rsidP="00075C77">
      <w:pPr>
        <w:pStyle w:val="Considrant"/>
        <w:rPr>
          <w:noProof/>
          <w:color w:val="000000"/>
        </w:rPr>
      </w:pPr>
      <w:r w:rsidRPr="00E27924">
        <w:rPr>
          <w:noProof/>
          <w:color w:val="000000"/>
        </w:rPr>
        <w:t>Ved Kommissionens delegerede forordning (EU) 2016/101 fastsættes der krav</w:t>
      </w:r>
      <w:r w:rsidR="00E27924" w:rsidRPr="00E27924">
        <w:rPr>
          <w:noProof/>
          <w:color w:val="000000"/>
        </w:rPr>
        <w:t xml:space="preserve"> i</w:t>
      </w:r>
      <w:r w:rsidR="00E27924">
        <w:rPr>
          <w:noProof/>
          <w:color w:val="000000"/>
        </w:rPr>
        <w:t xml:space="preserve"> </w:t>
      </w:r>
      <w:r w:rsidR="00E27924" w:rsidRPr="00E27924">
        <w:rPr>
          <w:noProof/>
          <w:color w:val="000000"/>
        </w:rPr>
        <w:t>for</w:t>
      </w:r>
      <w:r w:rsidRPr="00E27924">
        <w:rPr>
          <w:noProof/>
          <w:color w:val="000000"/>
        </w:rPr>
        <w:t>bindelse med forsigtige værdijusteringer af positioner til dagsværdi. Den fastsætter to metoder til implementeringen af kravene om forsigtig værdiansættelse: en kernemetode og en forenklet metode. For at overvåge instituttermes opfyldelse af kravene og for at vurdere forordningens virkninger for værdijusteringer er yderligere indberetning vedrørende kravene om forsigtig værdiansættelse nødvendig.</w:t>
      </w:r>
    </w:p>
    <w:p w:rsidR="00075C77" w:rsidRPr="00E27924" w:rsidRDefault="00075C77" w:rsidP="00075C77">
      <w:pPr>
        <w:pStyle w:val="Considrant"/>
        <w:rPr>
          <w:noProof/>
          <w:color w:val="000000"/>
        </w:rPr>
      </w:pPr>
      <w:r w:rsidRPr="00E27924">
        <w:rPr>
          <w:color w:val="000000"/>
        </w:rPr>
        <w:t>Forordning (EU) 2017/2401 ændrer forordning (EU) nr.</w:t>
      </w:r>
      <w:r w:rsidR="00E27924">
        <w:rPr>
          <w:color w:val="000000"/>
        </w:rPr>
        <w:t xml:space="preserve"> </w:t>
      </w:r>
      <w:r w:rsidRPr="00E27924">
        <w:rPr>
          <w:color w:val="000000"/>
        </w:rPr>
        <w:t>575/2013 for at gøre kapitalbehandling af securitiseringer mere risikofølsom og bedre</w:t>
      </w:r>
      <w:r w:rsidR="00E27924" w:rsidRPr="00E27924">
        <w:rPr>
          <w:color w:val="000000"/>
        </w:rPr>
        <w:t xml:space="preserve"> i</w:t>
      </w:r>
      <w:r w:rsidR="00E27924">
        <w:rPr>
          <w:color w:val="000000"/>
        </w:rPr>
        <w:t xml:space="preserve"> </w:t>
      </w:r>
      <w:r w:rsidR="00E27924" w:rsidRPr="00E27924">
        <w:rPr>
          <w:color w:val="000000"/>
        </w:rPr>
        <w:t>sta</w:t>
      </w:r>
      <w:r w:rsidRPr="00E27924">
        <w:rPr>
          <w:color w:val="000000"/>
        </w:rPr>
        <w:t>nd til på passende vis at afspejle de særlige karakteristika ved simple, transparente og standardiserede securitiseringer. Gennemførelsesforordning (EU) nr.</w:t>
      </w:r>
      <w:r w:rsidR="00E27924">
        <w:rPr>
          <w:color w:val="000000"/>
        </w:rPr>
        <w:t xml:space="preserve"> </w:t>
      </w:r>
      <w:r w:rsidRPr="00E27924">
        <w:rPr>
          <w:color w:val="000000"/>
        </w:rPr>
        <w:t>680/2014 skal ændres for at tage højde for indberetningen af securitiseringspositioner, som er omfattet af denne reviderede securitiseringsramme.</w:t>
      </w:r>
    </w:p>
    <w:p w:rsidR="00075C77" w:rsidRPr="00E27924" w:rsidRDefault="00075C77" w:rsidP="00075C77">
      <w:pPr>
        <w:pStyle w:val="Considrant"/>
        <w:rPr>
          <w:noProof/>
          <w:color w:val="000000"/>
        </w:rPr>
      </w:pPr>
      <w:r w:rsidRPr="00E27924">
        <w:rPr>
          <w:noProof/>
          <w:color w:val="000000"/>
        </w:rPr>
        <w:t>Det er også nødvendigt at ændre gennemførelsesforordning (EU) nr.</w:t>
      </w:r>
      <w:r w:rsidR="00E27924">
        <w:rPr>
          <w:noProof/>
          <w:color w:val="000000"/>
        </w:rPr>
        <w:t xml:space="preserve"> </w:t>
      </w:r>
      <w:r w:rsidRPr="00E27924">
        <w:rPr>
          <w:noProof/>
          <w:color w:val="000000"/>
        </w:rPr>
        <w:t>680/2014 for at forbedre de kompetente myndigheders evne til effektivt at overvåge og vurdere institutternes risikoprofil og danne sig et overblik over de risici for den finansielle sektor, som kræver mindre ændringer</w:t>
      </w:r>
      <w:r w:rsidR="00E27924" w:rsidRPr="00E27924">
        <w:rPr>
          <w:noProof/>
          <w:color w:val="000000"/>
        </w:rPr>
        <w:t xml:space="preserve"> i</w:t>
      </w:r>
      <w:r w:rsidR="00E27924">
        <w:rPr>
          <w:noProof/>
          <w:color w:val="000000"/>
        </w:rPr>
        <w:t xml:space="preserve"> </w:t>
      </w:r>
      <w:r w:rsidR="00E27924" w:rsidRPr="00E27924">
        <w:rPr>
          <w:noProof/>
          <w:color w:val="000000"/>
        </w:rPr>
        <w:t>ind</w:t>
      </w:r>
      <w:r w:rsidRPr="00E27924">
        <w:rPr>
          <w:noProof/>
          <w:color w:val="000000"/>
        </w:rPr>
        <w:t>beretningskravene vedrørende den geografiske fordeling af eksponeringer.</w:t>
      </w:r>
    </w:p>
    <w:p w:rsidR="00075C77" w:rsidRPr="00E27924" w:rsidRDefault="00075C77" w:rsidP="00075C77">
      <w:pPr>
        <w:pStyle w:val="Considrant"/>
        <w:rPr>
          <w:noProof/>
        </w:rPr>
      </w:pPr>
      <w:r w:rsidRPr="00E27924">
        <w:t xml:space="preserve">Denne forordning er baseret på det udkast til gennemførelsesmæssige tekniske standarder, som Den Europæiske Banktilsynsmyndighed (EBA) har forelagt Kommissionen. </w:t>
      </w:r>
    </w:p>
    <w:p w:rsidR="00075C77" w:rsidRPr="00E27924" w:rsidRDefault="00075C77" w:rsidP="00075C77">
      <w:pPr>
        <w:pStyle w:val="Considrant"/>
        <w:rPr>
          <w:noProof/>
        </w:rPr>
      </w:pPr>
      <w:r w:rsidRPr="00E27924">
        <w:t>EBA har gennemført åbne offentlige høringer om det udkast til gennemførelsesmæssige tekniske standarder, som ligger til grund for denne forordning, og som vedrører forsigtig værdiansættelse og den samlede geografiske fordeling, analyseret de potentielle omkostninger og fordele samt anmodet interessentgruppen for banker, som er nedsat</w:t>
      </w:r>
      <w:r w:rsidR="00E27924" w:rsidRPr="00E27924">
        <w:t xml:space="preserve"> i</w:t>
      </w:r>
      <w:r w:rsidR="00E27924">
        <w:t xml:space="preserve"> </w:t>
      </w:r>
      <w:r w:rsidR="00E27924" w:rsidRPr="00E27924">
        <w:t>hen</w:t>
      </w:r>
      <w:r w:rsidRPr="00E27924">
        <w:t>hold artikel 37</w:t>
      </w:r>
      <w:r w:rsidR="00E27924" w:rsidRPr="00E27924">
        <w:t xml:space="preserve"> i</w:t>
      </w:r>
      <w:r w:rsidR="00E27924">
        <w:t xml:space="preserve"> </w:t>
      </w:r>
      <w:r w:rsidR="00E27924" w:rsidRPr="00E27924">
        <w:t>Eur</w:t>
      </w:r>
      <w:r w:rsidRPr="00E27924">
        <w:t>opa-Parlamentets og Rådets forordning (EU) nr.</w:t>
      </w:r>
      <w:r w:rsidR="00E27924">
        <w:t xml:space="preserve"> </w:t>
      </w:r>
      <w:r w:rsidRPr="00E27924">
        <w:t>1093/2010</w:t>
      </w:r>
      <w:r w:rsidRPr="00E27924">
        <w:rPr>
          <w:rStyle w:val="FootnoteReference"/>
          <w:noProof/>
        </w:rPr>
        <w:footnoteReference w:id="6"/>
      </w:r>
      <w:r w:rsidRPr="00E27924">
        <w:t>, om en udtalelse derom</w:t>
      </w:r>
      <w:r w:rsidR="00E27924" w:rsidRPr="00E27924">
        <w:t>. I</w:t>
      </w:r>
      <w:r w:rsidR="00E27924">
        <w:t xml:space="preserve"> </w:t>
      </w:r>
      <w:r w:rsidR="00E27924" w:rsidRPr="00E27924">
        <w:t>ove</w:t>
      </w:r>
      <w:r w:rsidRPr="00E27924">
        <w:t>rensstemmelse med nævnte forordnings artikel 15, stk.</w:t>
      </w:r>
      <w:r w:rsidR="00E27924">
        <w:t xml:space="preserve"> </w:t>
      </w:r>
      <w:r w:rsidRPr="00E27924">
        <w:t>1, andet afsnit, har EBA ikke gennemført åbne offentlige høringer af de dele af udkastet til gennemførelsesmæssige tekniske standarder, som nærværende forordning er baseret på, og som enten er af redaktionel art eller kun indfører et begrænset antal poster i de tilsynsmæssige indberetningsrammer, da sådanne høringer ikke ville stå</w:t>
      </w:r>
      <w:r w:rsidR="00E27924" w:rsidRPr="00E27924">
        <w:t xml:space="preserve"> i</w:t>
      </w:r>
      <w:r w:rsidR="00E27924">
        <w:t xml:space="preserve"> </w:t>
      </w:r>
      <w:r w:rsidR="00E27924" w:rsidRPr="00E27924">
        <w:t>for</w:t>
      </w:r>
      <w:r w:rsidRPr="00E27924">
        <w:t>hold til omfanget og virkningen af det pågældende udkast til gennemførelsesmæssige tekniske standarder.</w:t>
      </w:r>
    </w:p>
    <w:p w:rsidR="00075C77" w:rsidRPr="00E27924" w:rsidRDefault="00075C77" w:rsidP="00075C77">
      <w:pPr>
        <w:pStyle w:val="Considrant"/>
      </w:pPr>
      <w:r w:rsidRPr="00E27924">
        <w:t>Gennemførelsesforordning (EU) nr.</w:t>
      </w:r>
      <w:r w:rsidR="00E27924">
        <w:t xml:space="preserve"> </w:t>
      </w:r>
      <w:r w:rsidRPr="00E27924">
        <w:t>680/2014 bør derfor ændres —</w:t>
      </w:r>
    </w:p>
    <w:p w:rsidR="00075C77" w:rsidRPr="00E27924" w:rsidRDefault="00075C77" w:rsidP="004E1EF9">
      <w:pPr>
        <w:pStyle w:val="Formuledadoption"/>
      </w:pPr>
      <w:r w:rsidRPr="00E27924">
        <w:t>VEDTAGET DENNE FORORDNING:</w:t>
      </w:r>
    </w:p>
    <w:p w:rsidR="00075C77" w:rsidRPr="00E27924" w:rsidRDefault="00075C77" w:rsidP="004E1EF9">
      <w:pPr>
        <w:pStyle w:val="Titrearticle"/>
      </w:pPr>
      <w:r w:rsidRPr="00E27924">
        <w:t>Artikel 1</w:t>
      </w:r>
    </w:p>
    <w:p w:rsidR="00075C77" w:rsidRPr="00E27924" w:rsidRDefault="00075C77" w:rsidP="00075C77">
      <w:pPr>
        <w:rPr>
          <w:noProof/>
        </w:rPr>
      </w:pPr>
      <w:r w:rsidRPr="00E27924">
        <w:t>I gennemførelsesforordning (EU) nr.</w:t>
      </w:r>
      <w:r w:rsidR="00E27924">
        <w:t xml:space="preserve"> </w:t>
      </w:r>
      <w:r w:rsidRPr="00E27924">
        <w:t>680/2014 foretages følgende ændringer:</w:t>
      </w:r>
    </w:p>
    <w:p w:rsidR="00591517" w:rsidRPr="00E27924" w:rsidRDefault="00E27B67" w:rsidP="00E27B67">
      <w:pPr>
        <w:pStyle w:val="Point0"/>
        <w:rPr>
          <w:noProof/>
        </w:rPr>
      </w:pPr>
      <w:r w:rsidRPr="00E27B67">
        <w:t>1)</w:t>
      </w:r>
      <w:r w:rsidRPr="00E27B67">
        <w:tab/>
      </w:r>
      <w:r w:rsidR="00591517" w:rsidRPr="00E27924">
        <w:t>Artikel 5 ændres således:</w:t>
      </w:r>
    </w:p>
    <w:p w:rsidR="00591517" w:rsidRPr="00E27924" w:rsidRDefault="00E27B67" w:rsidP="00E27B67">
      <w:pPr>
        <w:pStyle w:val="Point1"/>
      </w:pPr>
      <w:r w:rsidRPr="00E27B67">
        <w:t>a)</w:t>
      </w:r>
      <w:r w:rsidRPr="00E27B67">
        <w:tab/>
      </w:r>
      <w:r w:rsidR="00591517" w:rsidRPr="00E27924">
        <w:t>Litra a) ændres således:</w:t>
      </w:r>
    </w:p>
    <w:p w:rsidR="00075C77" w:rsidRPr="00E27924" w:rsidRDefault="008F3946" w:rsidP="00E27B67">
      <w:pPr>
        <w:pStyle w:val="Point1"/>
      </w:pPr>
      <w:r w:rsidRPr="00E27B67">
        <w:t xml:space="preserve">i) </w:t>
      </w:r>
      <w:r w:rsidRPr="00E27B67">
        <w:tab/>
      </w:r>
      <w:r w:rsidRPr="00E27924">
        <w:t>Nr. 4) affattes således:</w:t>
      </w:r>
    </w:p>
    <w:p w:rsidR="00075C77" w:rsidRPr="00E27924" w:rsidRDefault="00EA38CD" w:rsidP="00C34F30">
      <w:pPr>
        <w:pStyle w:val="Text2"/>
        <w:rPr>
          <w:noProof/>
        </w:rPr>
      </w:pPr>
      <w:r w:rsidRPr="00E27924">
        <w:t>"4)</w:t>
      </w:r>
      <w:r w:rsidRPr="00E27924">
        <w:tab/>
        <w:t>oplysninger om den geografiske fordeling af eksponeringer efter land samt aggregeret på samlet niveau som anført</w:t>
      </w:r>
      <w:r w:rsidR="00E27924" w:rsidRPr="00E27924">
        <w:t xml:space="preserve"> i</w:t>
      </w:r>
      <w:r w:rsidR="00E27924">
        <w:t xml:space="preserve"> </w:t>
      </w:r>
      <w:r w:rsidR="00E27924" w:rsidRPr="00E27924">
        <w:t>ske</w:t>
      </w:r>
      <w:r w:rsidRPr="00E27924">
        <w:t>ma 9</w:t>
      </w:r>
      <w:r w:rsidR="00E27924" w:rsidRPr="00E27924">
        <w:t xml:space="preserve"> i</w:t>
      </w:r>
      <w:r w:rsidR="00E27924">
        <w:t xml:space="preserve"> </w:t>
      </w:r>
      <w:r w:rsidR="00E27924" w:rsidRPr="00E27924">
        <w:t>bil</w:t>
      </w:r>
      <w:r w:rsidRPr="00E27924">
        <w:t>ag I</w:t>
      </w:r>
      <w:r w:rsidR="00E27924" w:rsidRPr="00E27924">
        <w:t xml:space="preserve"> i</w:t>
      </w:r>
      <w:r w:rsidR="00E27924">
        <w:t xml:space="preserve"> </w:t>
      </w:r>
      <w:r w:rsidR="00E27924" w:rsidRPr="00E27924">
        <w:t>ove</w:t>
      </w:r>
      <w:r w:rsidRPr="00E27924">
        <w:t>rensstemmelse med instrukserne</w:t>
      </w:r>
      <w:r w:rsidR="00E27924" w:rsidRPr="00E27924">
        <w:t xml:space="preserve"> i</w:t>
      </w:r>
      <w:r w:rsidR="00E27924">
        <w:t xml:space="preserve"> </w:t>
      </w:r>
      <w:r w:rsidR="00E27924" w:rsidRPr="00E27924">
        <w:t>del</w:t>
      </w:r>
      <w:r w:rsidRPr="00E27924">
        <w:t xml:space="preserve"> II, punkt 3.4,</w:t>
      </w:r>
      <w:r w:rsidR="00E27924" w:rsidRPr="00E27924">
        <w:t xml:space="preserve"> i</w:t>
      </w:r>
      <w:r w:rsidR="00E27924">
        <w:t xml:space="preserve"> </w:t>
      </w:r>
      <w:r w:rsidR="00E27924" w:rsidRPr="00E27924">
        <w:t>bil</w:t>
      </w:r>
      <w:r w:rsidRPr="00E27924">
        <w:t>ag II. Hvad angår oplysningerne navnlig</w:t>
      </w:r>
      <w:r w:rsidR="00E27924" w:rsidRPr="00E27924">
        <w:t xml:space="preserve"> i</w:t>
      </w:r>
      <w:r w:rsidR="00E27924">
        <w:t xml:space="preserve"> </w:t>
      </w:r>
      <w:r w:rsidR="00E27924" w:rsidRPr="00E27924">
        <w:t>ske</w:t>
      </w:r>
      <w:r w:rsidRPr="00E27924">
        <w:t>ma 9.1 og</w:t>
      </w:r>
      <w:r w:rsidR="00E27924">
        <w:t xml:space="preserve"> </w:t>
      </w:r>
      <w:r w:rsidRPr="00E27924">
        <w:t>9.2 skal oplysninger om den geografiske fordeling efter land indberettes, hvor ikkeindenlandske oprindelige eksponeringer</w:t>
      </w:r>
      <w:r w:rsidR="00E27924" w:rsidRPr="00E27924">
        <w:t xml:space="preserve"> i</w:t>
      </w:r>
      <w:r w:rsidR="00E27924">
        <w:t xml:space="preserve"> </w:t>
      </w:r>
      <w:r w:rsidR="00E27924" w:rsidRPr="00E27924">
        <w:t>all</w:t>
      </w:r>
      <w:r w:rsidRPr="00E27924">
        <w:t>e "ikkeindenlandske" lande</w:t>
      </w:r>
      <w:r w:rsidR="00E27924" w:rsidRPr="00E27924">
        <w:t xml:space="preserve"> i</w:t>
      </w:r>
      <w:r w:rsidR="00E27924">
        <w:t xml:space="preserve"> </w:t>
      </w:r>
      <w:r w:rsidR="00E27924" w:rsidRPr="00E27924">
        <w:t>all</w:t>
      </w:r>
      <w:r w:rsidRPr="00E27924">
        <w:t>e eksponeringsklasser som indberettet i række 850</w:t>
      </w:r>
      <w:r w:rsidR="00E27924" w:rsidRPr="00E27924">
        <w:t xml:space="preserve"> i</w:t>
      </w:r>
      <w:r w:rsidR="00E27924">
        <w:t xml:space="preserve"> </w:t>
      </w:r>
      <w:r w:rsidR="00E27924" w:rsidRPr="00E27924">
        <w:t>ske</w:t>
      </w:r>
      <w:r w:rsidRPr="00E27924">
        <w:t>ma 4</w:t>
      </w:r>
      <w:r w:rsidR="00E27924" w:rsidRPr="00E27924">
        <w:t xml:space="preserve"> i</w:t>
      </w:r>
      <w:r w:rsidR="00E27924">
        <w:t xml:space="preserve"> </w:t>
      </w:r>
      <w:r w:rsidR="00E27924" w:rsidRPr="00E27924">
        <w:t>bil</w:t>
      </w:r>
      <w:r w:rsidRPr="00E27924">
        <w:t>ag I mindst udgør 10</w:t>
      </w:r>
      <w:r w:rsidR="00E27924">
        <w:t xml:space="preserve"> </w:t>
      </w:r>
      <w:r w:rsidRPr="00E27924">
        <w:t>% af de samlede indenlandske og ikkeindenlandske oprindelige eksponeringer som indberettet i række 860</w:t>
      </w:r>
      <w:r w:rsidR="00E27924" w:rsidRPr="00E27924">
        <w:t xml:space="preserve"> i</w:t>
      </w:r>
      <w:r w:rsidR="00E27924">
        <w:t xml:space="preserve"> </w:t>
      </w:r>
      <w:r w:rsidR="00E27924" w:rsidRPr="00E27924">
        <w:t>ske</w:t>
      </w:r>
      <w:r w:rsidRPr="00E27924">
        <w:t>ma 4</w:t>
      </w:r>
      <w:r w:rsidR="00E27924" w:rsidRPr="00E27924">
        <w:t xml:space="preserve"> i</w:t>
      </w:r>
      <w:r w:rsidR="00E27924">
        <w:t xml:space="preserve"> </w:t>
      </w:r>
      <w:r w:rsidR="00E27924" w:rsidRPr="00E27924">
        <w:t>bil</w:t>
      </w:r>
      <w:r w:rsidRPr="00E27924">
        <w:t>ag I. Til det formål betegnes eksponeringer som indenlandske, når de er eksponeringer mod modparter med hjemsted</w:t>
      </w:r>
      <w:r w:rsidR="00E27924" w:rsidRPr="00E27924">
        <w:t xml:space="preserve"> i</w:t>
      </w:r>
      <w:r w:rsidR="00E27924">
        <w:t xml:space="preserve"> </w:t>
      </w:r>
      <w:r w:rsidR="00E27924" w:rsidRPr="00E27924">
        <w:t>den</w:t>
      </w:r>
      <w:r w:rsidRPr="00E27924">
        <w:t xml:space="preserve"> medlemsstat, hvor instituttet er beliggende. Entry- og exitkriterierne</w:t>
      </w:r>
      <w:r w:rsidR="00E27924" w:rsidRPr="00E27924">
        <w:t xml:space="preserve"> i</w:t>
      </w:r>
      <w:r w:rsidR="00E27924">
        <w:t xml:space="preserve"> </w:t>
      </w:r>
      <w:r w:rsidR="00E27924" w:rsidRPr="00E27924">
        <w:t>art</w:t>
      </w:r>
      <w:r w:rsidRPr="00E27924">
        <w:t>ikel 4 finder anvendelse".</w:t>
      </w:r>
    </w:p>
    <w:p w:rsidR="00075C77" w:rsidRPr="00E27924" w:rsidRDefault="008F3946" w:rsidP="00E27B67">
      <w:pPr>
        <w:pStyle w:val="Point1"/>
        <w:rPr>
          <w:noProof/>
        </w:rPr>
      </w:pPr>
      <w:r w:rsidRPr="00E27B67">
        <w:t xml:space="preserve">ii) </w:t>
      </w:r>
      <w:r w:rsidRPr="00E27B67">
        <w:tab/>
      </w:r>
      <w:r w:rsidRPr="00E27924">
        <w:t>Følgende indsættes som nr.</w:t>
      </w:r>
      <w:r w:rsidR="00E27924">
        <w:t xml:space="preserve"> </w:t>
      </w:r>
      <w:r w:rsidRPr="00E27924">
        <w:t>12):</w:t>
      </w:r>
    </w:p>
    <w:p w:rsidR="00075C77" w:rsidRPr="00E27924" w:rsidRDefault="00EA38CD" w:rsidP="00C34F30">
      <w:pPr>
        <w:pStyle w:val="Text2"/>
        <w:rPr>
          <w:noProof/>
        </w:rPr>
      </w:pPr>
      <w:r w:rsidRPr="00E27924">
        <w:t>"12)</w:t>
      </w:r>
      <w:r w:rsidRPr="00E27924">
        <w:tab/>
        <w:t>oplysningerne om forsigtig værdiansættelse omhandlet</w:t>
      </w:r>
      <w:r w:rsidR="00E27924" w:rsidRPr="00E27924">
        <w:t xml:space="preserve"> i</w:t>
      </w:r>
      <w:r w:rsidR="00E27924">
        <w:t xml:space="preserve"> </w:t>
      </w:r>
      <w:r w:rsidR="00E27924" w:rsidRPr="00E27924">
        <w:t>ske</w:t>
      </w:r>
      <w:r w:rsidRPr="00E27924">
        <w:t>ma 32</w:t>
      </w:r>
      <w:r w:rsidR="00E27924" w:rsidRPr="00E27924">
        <w:t xml:space="preserve"> i</w:t>
      </w:r>
      <w:r w:rsidR="00E27924">
        <w:t xml:space="preserve"> </w:t>
      </w:r>
      <w:r w:rsidR="00E27924" w:rsidRPr="00E27924">
        <w:t>bil</w:t>
      </w:r>
      <w:r w:rsidRPr="00E27924">
        <w:t>ag I</w:t>
      </w:r>
      <w:r w:rsidR="00E27924" w:rsidRPr="00E27924">
        <w:t xml:space="preserve"> i</w:t>
      </w:r>
      <w:r w:rsidR="00E27924">
        <w:t xml:space="preserve"> </w:t>
      </w:r>
      <w:r w:rsidR="00E27924" w:rsidRPr="00E27924">
        <w:t>ove</w:t>
      </w:r>
      <w:r w:rsidRPr="00E27924">
        <w:t>rensstemmelse med instrukserne</w:t>
      </w:r>
      <w:r w:rsidR="00E27924" w:rsidRPr="00E27924">
        <w:t xml:space="preserve"> i</w:t>
      </w:r>
      <w:r w:rsidR="00E27924">
        <w:t xml:space="preserve"> </w:t>
      </w:r>
      <w:r w:rsidR="00E27924" w:rsidRPr="00E27924">
        <w:t>del</w:t>
      </w:r>
      <w:r w:rsidRPr="00E27924">
        <w:t xml:space="preserve"> II, punkt 6,</w:t>
      </w:r>
      <w:r w:rsidR="00E27924" w:rsidRPr="00E27924">
        <w:t xml:space="preserve"> i</w:t>
      </w:r>
      <w:r w:rsidR="00E27924">
        <w:t xml:space="preserve"> </w:t>
      </w:r>
      <w:r w:rsidR="00E27924" w:rsidRPr="00E27924">
        <w:t>bil</w:t>
      </w:r>
      <w:r w:rsidRPr="00E27924">
        <w:t>ag II, som følger:</w:t>
      </w:r>
    </w:p>
    <w:p w:rsidR="00075C77" w:rsidRPr="00E27924" w:rsidRDefault="008D3748" w:rsidP="00BC47EF">
      <w:pPr>
        <w:pStyle w:val="Text4"/>
        <w:rPr>
          <w:noProof/>
        </w:rPr>
      </w:pPr>
      <w:r w:rsidRPr="00E27924">
        <w:t>i) alle institutter indberetter de oplysninger, der er omhandlet</w:t>
      </w:r>
      <w:r w:rsidR="00E27924" w:rsidRPr="00E27924">
        <w:t xml:space="preserve"> i</w:t>
      </w:r>
      <w:r w:rsidR="00E27924">
        <w:t xml:space="preserve"> </w:t>
      </w:r>
      <w:r w:rsidR="00E27924" w:rsidRPr="00E27924">
        <w:t>ske</w:t>
      </w:r>
      <w:r w:rsidRPr="00E27924">
        <w:t>ma 32.1</w:t>
      </w:r>
      <w:r w:rsidR="00E27924" w:rsidRPr="00E27924">
        <w:t xml:space="preserve"> i</w:t>
      </w:r>
      <w:r w:rsidR="00E27924">
        <w:t xml:space="preserve"> </w:t>
      </w:r>
      <w:r w:rsidR="00E27924" w:rsidRPr="00E27924">
        <w:t>bil</w:t>
      </w:r>
      <w:r w:rsidRPr="00E27924">
        <w:t>ag I,</w:t>
      </w:r>
      <w:r w:rsidR="00E27924" w:rsidRPr="00E27924">
        <w:t xml:space="preserve"> i</w:t>
      </w:r>
      <w:r w:rsidR="00E27924">
        <w:t xml:space="preserve"> </w:t>
      </w:r>
      <w:r w:rsidR="00E27924" w:rsidRPr="00E27924">
        <w:t>ove</w:t>
      </w:r>
      <w:r w:rsidRPr="00E27924">
        <w:t>rensstemmelse med instrukserne</w:t>
      </w:r>
      <w:r w:rsidR="00E27924" w:rsidRPr="00E27924">
        <w:t xml:space="preserve"> i</w:t>
      </w:r>
      <w:r w:rsidR="00E27924">
        <w:t xml:space="preserve"> </w:t>
      </w:r>
      <w:r w:rsidR="00E27924" w:rsidRPr="00E27924">
        <w:t>del</w:t>
      </w:r>
      <w:r w:rsidRPr="00E27924">
        <w:t xml:space="preserve"> II, punkt 6,</w:t>
      </w:r>
      <w:r w:rsidR="00E27924" w:rsidRPr="00E27924">
        <w:t xml:space="preserve"> i</w:t>
      </w:r>
      <w:r w:rsidR="00E27924">
        <w:t xml:space="preserve"> </w:t>
      </w:r>
      <w:r w:rsidR="00E27924" w:rsidRPr="00E27924">
        <w:t>bil</w:t>
      </w:r>
      <w:r w:rsidRPr="00E27924">
        <w:t>ag II</w:t>
      </w:r>
    </w:p>
    <w:p w:rsidR="00075C77" w:rsidRPr="00E27924" w:rsidRDefault="008D3748" w:rsidP="00BC47EF">
      <w:pPr>
        <w:pStyle w:val="Text4"/>
        <w:rPr>
          <w:noProof/>
        </w:rPr>
      </w:pPr>
      <w:r w:rsidRPr="00E27924">
        <w:t>ii) ud over den</w:t>
      </w:r>
      <w:r w:rsidR="00E27924" w:rsidRPr="00E27924">
        <w:t xml:space="preserve"> i</w:t>
      </w:r>
      <w:r w:rsidR="00E27924">
        <w:t xml:space="preserve"> </w:t>
      </w:r>
      <w:r w:rsidR="00450CC6">
        <w:t>nr. i)</w:t>
      </w:r>
      <w:r w:rsidRPr="00E27924">
        <w:t xml:space="preserve"> omhandlede indberetning skal institutter, der anvender kernemetoden</w:t>
      </w:r>
      <w:r w:rsidR="00E27924" w:rsidRPr="00E27924">
        <w:t xml:space="preserve"> i</w:t>
      </w:r>
      <w:r w:rsidR="00E27924">
        <w:t xml:space="preserve"> </w:t>
      </w:r>
      <w:r w:rsidR="00E27924" w:rsidRPr="00E27924">
        <w:t>for</w:t>
      </w:r>
      <w:r w:rsidRPr="00E27924">
        <w:t>ordning (EU) 2016/101, også indberette de oplysninger, der er omhandlet</w:t>
      </w:r>
      <w:r w:rsidR="00E27924" w:rsidRPr="00E27924">
        <w:t xml:space="preserve"> i</w:t>
      </w:r>
      <w:r w:rsidR="00E27924">
        <w:t xml:space="preserve"> </w:t>
      </w:r>
      <w:r w:rsidR="00E27924" w:rsidRPr="00E27924">
        <w:t>ske</w:t>
      </w:r>
      <w:r w:rsidRPr="00E27924">
        <w:t>ma 32.2</w:t>
      </w:r>
      <w:r w:rsidR="00E27924" w:rsidRPr="00E27924">
        <w:t xml:space="preserve"> i</w:t>
      </w:r>
      <w:r w:rsidR="00E27924">
        <w:t xml:space="preserve"> </w:t>
      </w:r>
      <w:r w:rsidR="00E27924" w:rsidRPr="00E27924">
        <w:t>bil</w:t>
      </w:r>
      <w:r w:rsidRPr="00E27924">
        <w:t>ag I</w:t>
      </w:r>
      <w:r w:rsidR="00E27924" w:rsidRPr="00E27924">
        <w:t xml:space="preserve"> i</w:t>
      </w:r>
      <w:r w:rsidR="00E27924">
        <w:t xml:space="preserve"> </w:t>
      </w:r>
      <w:r w:rsidR="00E27924" w:rsidRPr="00E27924">
        <w:t>ove</w:t>
      </w:r>
      <w:r w:rsidRPr="00E27924">
        <w:t>rensstemmelse med instrukserne</w:t>
      </w:r>
      <w:r w:rsidR="00E27924" w:rsidRPr="00E27924">
        <w:t xml:space="preserve"> i</w:t>
      </w:r>
      <w:r w:rsidR="00E27924">
        <w:t xml:space="preserve"> </w:t>
      </w:r>
      <w:r w:rsidR="00E27924" w:rsidRPr="00E27924">
        <w:t>del</w:t>
      </w:r>
      <w:r w:rsidRPr="00E27924">
        <w:t xml:space="preserve"> II, punkt 6,</w:t>
      </w:r>
      <w:r w:rsidR="00E27924" w:rsidRPr="00E27924">
        <w:t xml:space="preserve"> i</w:t>
      </w:r>
      <w:r w:rsidR="00E27924">
        <w:t xml:space="preserve"> </w:t>
      </w:r>
      <w:r w:rsidR="00E27924" w:rsidRPr="00E27924">
        <w:t>bil</w:t>
      </w:r>
      <w:r w:rsidRPr="00E27924">
        <w:t>ag II</w:t>
      </w:r>
    </w:p>
    <w:p w:rsidR="00075C77" w:rsidRPr="00E27924" w:rsidRDefault="008D3748" w:rsidP="00BC47EF">
      <w:pPr>
        <w:pStyle w:val="Text4"/>
        <w:rPr>
          <w:noProof/>
        </w:rPr>
      </w:pPr>
      <w:r w:rsidRPr="00E27924">
        <w:t>iii) ud over kravene</w:t>
      </w:r>
      <w:r w:rsidR="00E27924" w:rsidRPr="00E27924">
        <w:t xml:space="preserve"> i</w:t>
      </w:r>
      <w:r w:rsidR="00E27924">
        <w:t xml:space="preserve"> </w:t>
      </w:r>
      <w:r w:rsidR="00450CC6">
        <w:t>nr. i) og ii)</w:t>
      </w:r>
      <w:r w:rsidRPr="00E27924">
        <w:t xml:space="preserve"> skal institutter, der anvender kernemetoden</w:t>
      </w:r>
      <w:r w:rsidR="00E27924" w:rsidRPr="00E27924">
        <w:t xml:space="preserve"> i</w:t>
      </w:r>
      <w:r w:rsidR="00E27924">
        <w:t xml:space="preserve"> </w:t>
      </w:r>
      <w:r w:rsidR="00E27924" w:rsidRPr="00E27924">
        <w:t>for</w:t>
      </w:r>
      <w:r w:rsidRPr="00E27924">
        <w:t>ordning (EU) 2016/101, og som overskrider den</w:t>
      </w:r>
      <w:r w:rsidR="00E27924" w:rsidRPr="00E27924">
        <w:t xml:space="preserve"> i</w:t>
      </w:r>
      <w:r w:rsidR="00E27924">
        <w:t xml:space="preserve"> </w:t>
      </w:r>
      <w:r w:rsidR="00E27924" w:rsidRPr="00E27924">
        <w:t>sam</w:t>
      </w:r>
      <w:r w:rsidRPr="00E27924">
        <w:t>me forordnings artikel 4, stk.</w:t>
      </w:r>
      <w:r w:rsidR="00E27924">
        <w:t xml:space="preserve"> </w:t>
      </w:r>
      <w:r w:rsidRPr="00E27924">
        <w:t>1, omhandlede tærskel på deres respektive indberetningsniveau, også indberette de oplysninger, der er omhandlet</w:t>
      </w:r>
      <w:r w:rsidR="00E27924" w:rsidRPr="00E27924">
        <w:t xml:space="preserve"> i</w:t>
      </w:r>
      <w:r w:rsidR="00E27924">
        <w:t xml:space="preserve"> </w:t>
      </w:r>
      <w:r w:rsidR="00E27924" w:rsidRPr="00E27924">
        <w:t>ske</w:t>
      </w:r>
      <w:r w:rsidRPr="00E27924">
        <w:t>ma 32.3 og</w:t>
      </w:r>
      <w:r w:rsidR="00E27924">
        <w:t xml:space="preserve"> </w:t>
      </w:r>
      <w:r w:rsidRPr="00E27924">
        <w:t>32.4</w:t>
      </w:r>
      <w:r w:rsidR="00E27924" w:rsidRPr="00E27924">
        <w:t xml:space="preserve"> i</w:t>
      </w:r>
      <w:r w:rsidR="00E27924">
        <w:t xml:space="preserve"> </w:t>
      </w:r>
      <w:r w:rsidR="00E27924" w:rsidRPr="00E27924">
        <w:t>bil</w:t>
      </w:r>
      <w:r w:rsidRPr="00E27924">
        <w:t>ag I</w:t>
      </w:r>
      <w:r w:rsidR="00E27924" w:rsidRPr="00E27924">
        <w:t xml:space="preserve"> i</w:t>
      </w:r>
      <w:r w:rsidR="00E27924">
        <w:t xml:space="preserve"> </w:t>
      </w:r>
      <w:r w:rsidR="00E27924" w:rsidRPr="00E27924">
        <w:t>ove</w:t>
      </w:r>
      <w:r w:rsidRPr="00E27924">
        <w:t>rensstemmelse med instrukserne</w:t>
      </w:r>
      <w:r w:rsidR="00E27924" w:rsidRPr="00E27924">
        <w:t xml:space="preserve"> i</w:t>
      </w:r>
      <w:r w:rsidR="00E27924">
        <w:t xml:space="preserve"> </w:t>
      </w:r>
      <w:r w:rsidR="00E27924" w:rsidRPr="00E27924">
        <w:t>del</w:t>
      </w:r>
      <w:r w:rsidRPr="00E27924">
        <w:t xml:space="preserve"> II, punkt 6,</w:t>
      </w:r>
      <w:r w:rsidR="00E27924" w:rsidRPr="00E27924">
        <w:t xml:space="preserve"> i</w:t>
      </w:r>
      <w:r w:rsidR="00E27924">
        <w:t xml:space="preserve"> </w:t>
      </w:r>
      <w:r w:rsidR="00E27924" w:rsidRPr="00E27924">
        <w:t>bil</w:t>
      </w:r>
      <w:r w:rsidRPr="00E27924">
        <w:t>ag II</w:t>
      </w:r>
    </w:p>
    <w:p w:rsidR="00075C77" w:rsidRPr="00E27924" w:rsidRDefault="00591517" w:rsidP="00703993">
      <w:pPr>
        <w:pStyle w:val="Text2"/>
        <w:rPr>
          <w:noProof/>
        </w:rPr>
      </w:pPr>
      <w:r w:rsidRPr="00E27924">
        <w:t>I forbindelse med litra a), nr.</w:t>
      </w:r>
      <w:r w:rsidR="00E27924">
        <w:t xml:space="preserve"> </w:t>
      </w:r>
      <w:r w:rsidRPr="00E27924">
        <w:t>12), finder entry- og exitkriterierne</w:t>
      </w:r>
      <w:r w:rsidR="00E27924" w:rsidRPr="00E27924">
        <w:t xml:space="preserve"> i</w:t>
      </w:r>
      <w:r w:rsidR="00E27924">
        <w:t xml:space="preserve"> </w:t>
      </w:r>
      <w:r w:rsidR="00E27924" w:rsidRPr="00E27924">
        <w:t>art</w:t>
      </w:r>
      <w:r w:rsidRPr="00E27924">
        <w:t>ikel 4 ikke anvendelse."</w:t>
      </w:r>
    </w:p>
    <w:p w:rsidR="00591517" w:rsidRPr="00E27924" w:rsidRDefault="00E27B67" w:rsidP="00E27B67">
      <w:pPr>
        <w:pStyle w:val="Point1"/>
        <w:rPr>
          <w:noProof/>
        </w:rPr>
      </w:pPr>
      <w:r w:rsidRPr="00E27B67">
        <w:t>b)</w:t>
      </w:r>
      <w:r w:rsidRPr="00E27B67">
        <w:tab/>
      </w:r>
      <w:r w:rsidR="00591517" w:rsidRPr="00E27924">
        <w:t>Litra b) ændres således:</w:t>
      </w:r>
    </w:p>
    <w:p w:rsidR="00075C77" w:rsidRPr="00E27924" w:rsidRDefault="00075C77" w:rsidP="00BC47EF">
      <w:pPr>
        <w:pStyle w:val="Text1"/>
        <w:rPr>
          <w:noProof/>
        </w:rPr>
      </w:pPr>
      <w:r w:rsidRPr="00E27924">
        <w:t>I nr.</w:t>
      </w:r>
      <w:r w:rsidR="00E27924">
        <w:t xml:space="preserve"> </w:t>
      </w:r>
      <w:r w:rsidRPr="00E27924">
        <w:t>3), litra a), b) og c), erstattes ordene "bilag II, del II, punkt 6" af ordene "bilag II, del II, punkt 7".</w:t>
      </w:r>
    </w:p>
    <w:p w:rsidR="00075C77" w:rsidRPr="00E27924" w:rsidRDefault="00E27B67" w:rsidP="00E27B67">
      <w:pPr>
        <w:pStyle w:val="Point0"/>
        <w:rPr>
          <w:noProof/>
        </w:rPr>
      </w:pPr>
      <w:r w:rsidRPr="00E27B67">
        <w:t>2)</w:t>
      </w:r>
      <w:r w:rsidRPr="00E27B67">
        <w:tab/>
      </w:r>
      <w:r w:rsidR="00FA5963" w:rsidRPr="00E27924">
        <w:t>Artikel 9, stk.</w:t>
      </w:r>
      <w:r w:rsidR="00E27924">
        <w:t xml:space="preserve"> </w:t>
      </w:r>
      <w:r w:rsidR="00FA5963" w:rsidRPr="00E27924">
        <w:t>2, litra d), affattes således:</w:t>
      </w:r>
    </w:p>
    <w:p w:rsidR="00075C77" w:rsidRPr="00E27924" w:rsidRDefault="00EA38CD" w:rsidP="00C34F30">
      <w:pPr>
        <w:pStyle w:val="Text1"/>
        <w:rPr>
          <w:noProof/>
        </w:rPr>
      </w:pPr>
      <w:r w:rsidRPr="00E27924">
        <w:t>"d)</w:t>
      </w:r>
      <w:r w:rsidRPr="00E27924">
        <w:tab/>
        <w:t>de oplysninger, der er anført</w:t>
      </w:r>
      <w:r w:rsidR="00E27924" w:rsidRPr="00E27924">
        <w:t xml:space="preserve"> i</w:t>
      </w:r>
      <w:r w:rsidR="00E27924">
        <w:t xml:space="preserve"> </w:t>
      </w:r>
      <w:r w:rsidR="00E27924" w:rsidRPr="00E27924">
        <w:t>ske</w:t>
      </w:r>
      <w:r w:rsidRPr="00E27924">
        <w:t>ma 20</w:t>
      </w:r>
      <w:r w:rsidR="00E27924" w:rsidRPr="00E27924">
        <w:t xml:space="preserve"> i</w:t>
      </w:r>
      <w:r w:rsidR="00E27924">
        <w:t xml:space="preserve"> </w:t>
      </w:r>
      <w:r w:rsidR="00E27924" w:rsidRPr="00E27924">
        <w:t>del</w:t>
      </w:r>
      <w:r w:rsidR="00E27924">
        <w:t xml:space="preserve"> </w:t>
      </w:r>
      <w:r w:rsidRPr="00E27924">
        <w:t>2</w:t>
      </w:r>
      <w:r w:rsidR="00E27924" w:rsidRPr="00E27924">
        <w:t xml:space="preserve"> i</w:t>
      </w:r>
      <w:r w:rsidR="00E27924">
        <w:t xml:space="preserve"> </w:t>
      </w:r>
      <w:r w:rsidR="00E27924" w:rsidRPr="00E27924">
        <w:t>bil</w:t>
      </w:r>
      <w:r w:rsidRPr="00E27924">
        <w:t>ag III, indsendes kvartalsvis, når instituttet overskrider den tærskel, der er fastsat</w:t>
      </w:r>
      <w:r w:rsidR="00E27924" w:rsidRPr="00E27924">
        <w:t xml:space="preserve"> i</w:t>
      </w:r>
      <w:r w:rsidR="00E27924">
        <w:t xml:space="preserve"> </w:t>
      </w:r>
      <w:r w:rsidR="00E27924" w:rsidRPr="00E27924">
        <w:t>art</w:t>
      </w:r>
      <w:r w:rsidRPr="00E27924">
        <w:t>ikel 5, litra a), nr.</w:t>
      </w:r>
      <w:r w:rsidR="00E27924">
        <w:t xml:space="preserve"> </w:t>
      </w:r>
      <w:r w:rsidRPr="00E27924">
        <w:t>4). Entry- og exitkriterierne</w:t>
      </w:r>
      <w:r w:rsidR="00E27924" w:rsidRPr="00E27924">
        <w:t xml:space="preserve"> i</w:t>
      </w:r>
      <w:r w:rsidR="00E27924">
        <w:t xml:space="preserve"> </w:t>
      </w:r>
      <w:r w:rsidR="00E27924" w:rsidRPr="00E27924">
        <w:t>art</w:t>
      </w:r>
      <w:r w:rsidRPr="00E27924">
        <w:t>ikel 4 finder anvendelse."</w:t>
      </w:r>
    </w:p>
    <w:p w:rsidR="00075C77" w:rsidRPr="00E27924" w:rsidRDefault="00E27B67" w:rsidP="00E27B67">
      <w:pPr>
        <w:pStyle w:val="Point0"/>
        <w:rPr>
          <w:noProof/>
        </w:rPr>
      </w:pPr>
      <w:r w:rsidRPr="00E27B67">
        <w:t>3)</w:t>
      </w:r>
      <w:r w:rsidRPr="00E27B67">
        <w:tab/>
      </w:r>
      <w:r w:rsidR="00075C77" w:rsidRPr="00E27924">
        <w:t>Bilag 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 xml:space="preserve">ag I til nærværende forordning. </w:t>
      </w:r>
    </w:p>
    <w:p w:rsidR="00075C77" w:rsidRPr="00E27924" w:rsidRDefault="00E27B67" w:rsidP="00E27B67">
      <w:pPr>
        <w:pStyle w:val="Point0"/>
        <w:rPr>
          <w:noProof/>
        </w:rPr>
      </w:pPr>
      <w:r w:rsidRPr="00E27B67">
        <w:t>4)</w:t>
      </w:r>
      <w:r w:rsidRPr="00E27B67">
        <w:tab/>
      </w:r>
      <w:r w:rsidR="00075C77" w:rsidRPr="00E27924">
        <w:t>Bilag II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 xml:space="preserve">ag II til nærværende forordning. </w:t>
      </w:r>
    </w:p>
    <w:p w:rsidR="00075C77" w:rsidRPr="00E27924" w:rsidRDefault="00E27B67" w:rsidP="00E27B67">
      <w:pPr>
        <w:pStyle w:val="Point0"/>
        <w:rPr>
          <w:noProof/>
        </w:rPr>
      </w:pPr>
      <w:r w:rsidRPr="00E27B67">
        <w:t>5)</w:t>
      </w:r>
      <w:r w:rsidRPr="00E27B67">
        <w:tab/>
      </w:r>
      <w:r w:rsidR="00075C77" w:rsidRPr="00E27924">
        <w:t>Bilag V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III til nærværende forordning.</w:t>
      </w:r>
    </w:p>
    <w:p w:rsidR="00075C77" w:rsidRPr="00E27924" w:rsidRDefault="00E27B67" w:rsidP="00E27B67">
      <w:pPr>
        <w:pStyle w:val="Point0"/>
        <w:rPr>
          <w:noProof/>
        </w:rPr>
      </w:pPr>
      <w:r w:rsidRPr="00E27B67">
        <w:t>6)</w:t>
      </w:r>
      <w:r w:rsidRPr="00E27B67">
        <w:tab/>
      </w:r>
      <w:r w:rsidR="00075C77" w:rsidRPr="00E27924">
        <w:t>Bilag IX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IV til nærværende forordning.</w:t>
      </w:r>
    </w:p>
    <w:p w:rsidR="00075C77" w:rsidRPr="00E27924" w:rsidRDefault="00E27B67" w:rsidP="00E27B67">
      <w:pPr>
        <w:pStyle w:val="Point0"/>
        <w:rPr>
          <w:noProof/>
        </w:rPr>
      </w:pPr>
      <w:r w:rsidRPr="00E27B67">
        <w:t>7)</w:t>
      </w:r>
      <w:r w:rsidRPr="00E27B67">
        <w:tab/>
      </w:r>
      <w:r w:rsidR="00075C77" w:rsidRPr="00E27924">
        <w:t>Bilag XI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V til denne forordning.</w:t>
      </w:r>
    </w:p>
    <w:p w:rsidR="00075C77" w:rsidRPr="00E27924" w:rsidRDefault="00E27B67" w:rsidP="00E27B67">
      <w:pPr>
        <w:pStyle w:val="Point0"/>
        <w:rPr>
          <w:noProof/>
        </w:rPr>
      </w:pPr>
      <w:r w:rsidRPr="00E27B67">
        <w:t>8)</w:t>
      </w:r>
      <w:r w:rsidRPr="00E27B67">
        <w:tab/>
      </w:r>
      <w:r w:rsidR="00075C77" w:rsidRPr="00E27924">
        <w:t>Bilag XVI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VI til nærværende forordning.</w:t>
      </w:r>
    </w:p>
    <w:p w:rsidR="00075C77" w:rsidRPr="00E27924" w:rsidRDefault="00E27B67" w:rsidP="00E27B67">
      <w:pPr>
        <w:pStyle w:val="Point0"/>
        <w:rPr>
          <w:noProof/>
        </w:rPr>
      </w:pPr>
      <w:r w:rsidRPr="00E27B67">
        <w:t>9)</w:t>
      </w:r>
      <w:r w:rsidRPr="00E27B67">
        <w:tab/>
      </w:r>
      <w:r w:rsidR="00075C77" w:rsidRPr="00E27924">
        <w:t>Bilag XIX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VII til nærværende forordning.</w:t>
      </w:r>
    </w:p>
    <w:p w:rsidR="00075C77" w:rsidRPr="00E27924" w:rsidRDefault="00E27B67" w:rsidP="00E27B67">
      <w:pPr>
        <w:pStyle w:val="Point0"/>
        <w:rPr>
          <w:noProof/>
        </w:rPr>
      </w:pPr>
      <w:r w:rsidRPr="00E27B67">
        <w:t>10)</w:t>
      </w:r>
      <w:r w:rsidRPr="00E27B67">
        <w:tab/>
      </w:r>
      <w:r w:rsidR="00075C77" w:rsidRPr="00E27924">
        <w:t>Bilag XXI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VIII til nærværende forordning.</w:t>
      </w:r>
    </w:p>
    <w:p w:rsidR="00075C77" w:rsidRPr="00E27924" w:rsidRDefault="00E27B67" w:rsidP="00E27B67">
      <w:pPr>
        <w:pStyle w:val="Point0"/>
        <w:rPr>
          <w:noProof/>
        </w:rPr>
      </w:pPr>
      <w:r w:rsidRPr="00E27B67">
        <w:t>11)</w:t>
      </w:r>
      <w:r w:rsidRPr="00E27B67">
        <w:tab/>
      </w:r>
      <w:r w:rsidR="00075C77" w:rsidRPr="00E27924">
        <w:t>Bilag XXII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IX til nærværende forordning.</w:t>
      </w:r>
    </w:p>
    <w:p w:rsidR="00075C77" w:rsidRPr="00E27924" w:rsidRDefault="00E27B67" w:rsidP="00E27B67">
      <w:pPr>
        <w:pStyle w:val="Point0"/>
      </w:pPr>
      <w:r w:rsidRPr="00E27B67">
        <w:t>12)</w:t>
      </w:r>
      <w:r w:rsidRPr="00E27B67">
        <w:tab/>
      </w:r>
      <w:r w:rsidR="00075C77" w:rsidRPr="00E27924">
        <w:t>Bilag XXIII til gennemførelsesforordning (EU) nr.</w:t>
      </w:r>
      <w:r w:rsidR="00E27924">
        <w:t xml:space="preserve"> </w:t>
      </w:r>
      <w:r w:rsidR="00075C77" w:rsidRPr="00E27924">
        <w:t>680/2014 erstattes af teksten</w:t>
      </w:r>
      <w:r w:rsidR="00E27924" w:rsidRPr="00E27924">
        <w:t xml:space="preserve"> i</w:t>
      </w:r>
      <w:r w:rsidR="00E27924">
        <w:t xml:space="preserve"> </w:t>
      </w:r>
      <w:r w:rsidR="00E27924" w:rsidRPr="00E27924">
        <w:t>bil</w:t>
      </w:r>
      <w:r w:rsidR="00075C77" w:rsidRPr="00E27924">
        <w:t>ag X til nærværende forordning.</w:t>
      </w:r>
    </w:p>
    <w:p w:rsidR="00075C77" w:rsidRPr="00E27924" w:rsidRDefault="00075C77" w:rsidP="004E1EF9">
      <w:pPr>
        <w:pStyle w:val="Titrearticle"/>
      </w:pPr>
      <w:r w:rsidRPr="00E27924">
        <w:t>Artikel 2</w:t>
      </w:r>
    </w:p>
    <w:p w:rsidR="00075C77" w:rsidRPr="00E27924" w:rsidRDefault="00075C77" w:rsidP="004E1EF9">
      <w:r w:rsidRPr="00E27924">
        <w:t>Denne forordning træder</w:t>
      </w:r>
      <w:r w:rsidR="00E27924" w:rsidRPr="00E27924">
        <w:t xml:space="preserve"> i</w:t>
      </w:r>
      <w:r w:rsidR="00E27924">
        <w:t xml:space="preserve"> </w:t>
      </w:r>
      <w:r w:rsidR="00E27924" w:rsidRPr="00E27924">
        <w:t>kra</w:t>
      </w:r>
      <w:r w:rsidRPr="00E27924">
        <w:t>ft på tyvendedagen efter offentliggørelsen</w:t>
      </w:r>
      <w:r w:rsidR="00E27924" w:rsidRPr="00E27924">
        <w:t xml:space="preserve"> i</w:t>
      </w:r>
      <w:r w:rsidR="00E27924">
        <w:t xml:space="preserve"> </w:t>
      </w:r>
      <w:r w:rsidR="00E27924" w:rsidRPr="00E27924">
        <w:rPr>
          <w:i/>
        </w:rPr>
        <w:t>Den</w:t>
      </w:r>
      <w:r w:rsidRPr="00E27924">
        <w:rPr>
          <w:i/>
        </w:rPr>
        <w:t xml:space="preserve"> Europæiske Unions Tidende</w:t>
      </w:r>
      <w:r w:rsidRPr="00E27924">
        <w:t>.</w:t>
      </w:r>
    </w:p>
    <w:p w:rsidR="00075C77" w:rsidRPr="00E27924" w:rsidRDefault="00075C77" w:rsidP="004E1EF9">
      <w:r w:rsidRPr="00E27924">
        <w:t>Den anvendes fra den</w:t>
      </w:r>
      <w:r w:rsidR="00E27924">
        <w:t xml:space="preserve"> </w:t>
      </w:r>
      <w:r w:rsidRPr="00E27924">
        <w:t>1. december 2018.</w:t>
      </w:r>
    </w:p>
    <w:p w:rsidR="00075C77" w:rsidRPr="00E27924" w:rsidRDefault="00075C77" w:rsidP="004E1EF9">
      <w:pPr>
        <w:pStyle w:val="Applicationdirecte"/>
      </w:pPr>
      <w:r w:rsidRPr="00E27924">
        <w:t>Denne forordning er bindende</w:t>
      </w:r>
      <w:r w:rsidR="00E27924" w:rsidRPr="00E27924">
        <w:t xml:space="preserve"> i</w:t>
      </w:r>
      <w:r w:rsidR="00E27924">
        <w:t xml:space="preserve"> </w:t>
      </w:r>
      <w:r w:rsidR="00E27924" w:rsidRPr="00E27924">
        <w:t>all</w:t>
      </w:r>
      <w:r w:rsidRPr="00E27924">
        <w:t>e enkeltheder og gælder umiddelbart</w:t>
      </w:r>
      <w:r w:rsidR="00E27924" w:rsidRPr="00E27924">
        <w:t xml:space="preserve"> i</w:t>
      </w:r>
      <w:r w:rsidR="00E27924">
        <w:t xml:space="preserve"> </w:t>
      </w:r>
      <w:r w:rsidR="00E27924" w:rsidRPr="00E27924">
        <w:t>hve</w:t>
      </w:r>
      <w:r w:rsidRPr="00E27924">
        <w:t>r medlemsstat.</w:t>
      </w:r>
    </w:p>
    <w:p w:rsidR="00075C77" w:rsidRPr="00E27924" w:rsidRDefault="000D38FC" w:rsidP="000D38FC">
      <w:pPr>
        <w:pStyle w:val="Fait"/>
      </w:pPr>
      <w:r w:rsidRPr="000D38FC">
        <w:t xml:space="preserve">Udfærdiget i Bruxelles, den </w:t>
      </w:r>
      <w:r w:rsidRPr="000D38FC">
        <w:rPr>
          <w:rStyle w:val="Marker"/>
        </w:rPr>
        <w:t>[…]</w:t>
      </w:r>
      <w:r w:rsidRPr="000D38FC">
        <w:t>.</w:t>
      </w:r>
    </w:p>
    <w:p w:rsidR="00C52F7E" w:rsidRPr="00E27924" w:rsidRDefault="00075C77" w:rsidP="00C52F7E">
      <w:pPr>
        <w:pStyle w:val="Institutionquisigne"/>
      </w:pPr>
      <w:r w:rsidRPr="00E27924">
        <w:tab/>
        <w:t>På Kommissionens vegne</w:t>
      </w:r>
    </w:p>
    <w:p w:rsidR="00C52F7E" w:rsidRPr="00E27924" w:rsidRDefault="00C52F7E" w:rsidP="00B44BBC">
      <w:pPr>
        <w:pStyle w:val="Personnequisigne"/>
      </w:pPr>
      <w:r w:rsidRPr="00E27924">
        <w:tab/>
        <w:t>Jean-Claude JUNCKER</w:t>
      </w:r>
    </w:p>
    <w:p w:rsidR="00075C77" w:rsidRPr="00E27924" w:rsidRDefault="00C52F7E" w:rsidP="00B44BBC">
      <w:pPr>
        <w:pStyle w:val="Personnequisigne"/>
      </w:pPr>
      <w:r w:rsidRPr="00E27924">
        <w:tab/>
        <w:t>Formand</w:t>
      </w:r>
      <w:r w:rsidRPr="00E27924">
        <w:tab/>
      </w:r>
      <w:r w:rsidRPr="00E27924">
        <w:br/>
      </w:r>
      <w:r w:rsidRPr="00E27924">
        <w:tab/>
      </w:r>
      <w:r w:rsidRPr="00E27924">
        <w:br/>
      </w:r>
    </w:p>
    <w:sectPr w:rsidR="00075C77" w:rsidRPr="00E27924" w:rsidSect="00832AD8">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68" w:rsidRDefault="00322268" w:rsidP="00075C77">
      <w:pPr>
        <w:spacing w:before="0" w:after="0"/>
      </w:pPr>
      <w:r>
        <w:separator/>
      </w:r>
    </w:p>
  </w:endnote>
  <w:endnote w:type="continuationSeparator" w:id="0">
    <w:p w:rsidR="00322268" w:rsidRDefault="00322268" w:rsidP="00075C77">
      <w:pPr>
        <w:spacing w:before="0" w:after="0"/>
      </w:pPr>
      <w:r>
        <w:continuationSeparator/>
      </w:r>
    </w:p>
  </w:endnote>
  <w:endnote w:type="continuationNotice" w:id="1">
    <w:p w:rsidR="00322268" w:rsidRDefault="003222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FC" w:rsidRPr="00832AD8" w:rsidRDefault="000D38FC" w:rsidP="00832A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FB7" w:rsidRPr="00832AD8" w:rsidRDefault="00832AD8" w:rsidP="00832AD8">
    <w:pPr>
      <w:pStyle w:val="Footer"/>
      <w:rPr>
        <w:rFonts w:ascii="Arial" w:hAnsi="Arial" w:cs="Arial"/>
        <w:b/>
        <w:sz w:val="48"/>
      </w:rPr>
    </w:pPr>
    <w:r w:rsidRPr="00832AD8">
      <w:rPr>
        <w:rFonts w:ascii="Arial" w:hAnsi="Arial" w:cs="Arial"/>
        <w:b/>
        <w:sz w:val="48"/>
      </w:rPr>
      <w:t>DA</w:t>
    </w:r>
    <w:r w:rsidRPr="00832AD8">
      <w:rPr>
        <w:rFonts w:ascii="Arial" w:hAnsi="Arial" w:cs="Arial"/>
        <w:b/>
        <w:sz w:val="48"/>
      </w:rPr>
      <w:tab/>
    </w:r>
    <w:r w:rsidRPr="00832AD8">
      <w:rPr>
        <w:rFonts w:ascii="Arial" w:hAnsi="Arial" w:cs="Arial"/>
        <w:b/>
        <w:sz w:val="48"/>
      </w:rPr>
      <w:tab/>
    </w:r>
    <w:r w:rsidRPr="00832AD8">
      <w:tab/>
    </w:r>
    <w:r w:rsidRPr="00832AD8">
      <w:rPr>
        <w:rFonts w:ascii="Arial" w:hAnsi="Arial" w:cs="Arial"/>
        <w:b/>
        <w:sz w:val="48"/>
      </w:rPr>
      <w:t>DA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FC" w:rsidRPr="00832AD8" w:rsidRDefault="000D38FC" w:rsidP="00832A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AD8" w:rsidRPr="00832AD8" w:rsidRDefault="00832AD8" w:rsidP="00832AD8">
    <w:pPr>
      <w:pStyle w:val="Footer"/>
      <w:rPr>
        <w:rFonts w:ascii="Arial" w:hAnsi="Arial" w:cs="Arial"/>
        <w:b/>
        <w:sz w:val="48"/>
      </w:rPr>
    </w:pPr>
    <w:r w:rsidRPr="00832AD8">
      <w:rPr>
        <w:rFonts w:ascii="Arial" w:hAnsi="Arial" w:cs="Arial"/>
        <w:b/>
        <w:sz w:val="48"/>
      </w:rPr>
      <w:t>DA</w:t>
    </w:r>
    <w:r w:rsidRPr="00832AD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32AD8">
      <w:tab/>
    </w:r>
    <w:r w:rsidRPr="00832AD8">
      <w:rPr>
        <w:rFonts w:ascii="Arial" w:hAnsi="Arial" w:cs="Arial"/>
        <w:b/>
        <w:sz w:val="48"/>
      </w:rPr>
      <w:t>DA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AD8" w:rsidRPr="00832AD8" w:rsidRDefault="00832AD8" w:rsidP="00832A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68" w:rsidRDefault="00322268" w:rsidP="00075C77">
      <w:pPr>
        <w:spacing w:before="0" w:after="0"/>
      </w:pPr>
      <w:r>
        <w:separator/>
      </w:r>
    </w:p>
  </w:footnote>
  <w:footnote w:type="continuationSeparator" w:id="0">
    <w:p w:rsidR="00322268" w:rsidRDefault="00322268" w:rsidP="00075C77">
      <w:pPr>
        <w:spacing w:before="0" w:after="0"/>
      </w:pPr>
      <w:r>
        <w:continuationSeparator/>
      </w:r>
    </w:p>
  </w:footnote>
  <w:footnote w:type="continuationNotice" w:id="1">
    <w:p w:rsidR="00322268" w:rsidRDefault="00322268">
      <w:pPr>
        <w:spacing w:before="0" w:after="0"/>
      </w:pPr>
    </w:p>
  </w:footnote>
  <w:footnote w:id="2">
    <w:p w:rsidR="00075C77" w:rsidRPr="00E27924" w:rsidRDefault="00075C77" w:rsidP="00075C77">
      <w:pPr>
        <w:pStyle w:val="FootnoteText"/>
      </w:pPr>
      <w:r>
        <w:rPr>
          <w:rStyle w:val="FootnoteReference"/>
        </w:rPr>
        <w:footnoteRef/>
      </w:r>
      <w:r w:rsidRPr="00E27924">
        <w:tab/>
        <w:t>EUT L 176 af</w:t>
      </w:r>
      <w:r w:rsidR="00E27924">
        <w:t xml:space="preserve"> </w:t>
      </w:r>
      <w:r w:rsidRPr="00E27924">
        <w:t>27.6.2013, s. 1.</w:t>
      </w:r>
    </w:p>
  </w:footnote>
  <w:footnote w:id="3">
    <w:p w:rsidR="00075C77" w:rsidRPr="00E27924" w:rsidRDefault="00075C77" w:rsidP="00075C77">
      <w:pPr>
        <w:pStyle w:val="FootnoteText"/>
      </w:pPr>
      <w:r>
        <w:rPr>
          <w:rStyle w:val="FootnoteReference"/>
        </w:rPr>
        <w:footnoteRef/>
      </w:r>
      <w:r w:rsidRPr="00E27924">
        <w:tab/>
        <w:t>Kommissionens gennemførelsesforordning (EU) nr.</w:t>
      </w:r>
      <w:r w:rsidR="00E27924">
        <w:t xml:space="preserve"> </w:t>
      </w:r>
      <w:r w:rsidRPr="00E27924">
        <w:t>680/2014 om gennemførelsesmæssige tekniske standarder for institutters indberetning med henblik på tilsyn</w:t>
      </w:r>
      <w:r w:rsidR="00E27924" w:rsidRPr="00E27924">
        <w:t xml:space="preserve"> i</w:t>
      </w:r>
      <w:r w:rsidR="00E27924">
        <w:t xml:space="preserve"> </w:t>
      </w:r>
      <w:r w:rsidR="00E27924" w:rsidRPr="00E27924">
        <w:t>med</w:t>
      </w:r>
      <w:r w:rsidRPr="00E27924">
        <w:t>før af Europa-Parlamentets og Rådets forordning (EU) nr.</w:t>
      </w:r>
      <w:r w:rsidR="00E27924">
        <w:t xml:space="preserve"> </w:t>
      </w:r>
      <w:r w:rsidRPr="00E27924">
        <w:t>575/2013 (EUT L 191 af</w:t>
      </w:r>
      <w:r w:rsidR="00E27924">
        <w:t xml:space="preserve"> </w:t>
      </w:r>
      <w:r w:rsidRPr="00E27924">
        <w:t>28.6.2014, s. 1).</w:t>
      </w:r>
    </w:p>
  </w:footnote>
  <w:footnote w:id="4">
    <w:p w:rsidR="00075C77" w:rsidRPr="00E27924" w:rsidRDefault="00075C77" w:rsidP="00075C77">
      <w:pPr>
        <w:pStyle w:val="FootnoteText"/>
      </w:pPr>
      <w:r>
        <w:rPr>
          <w:rStyle w:val="FootnoteReference"/>
        </w:rPr>
        <w:footnoteRef/>
      </w:r>
      <w:r w:rsidRPr="00E27924">
        <w:tab/>
        <w:t>Kommissionens delegerede forordning (EU) 2016/101 af</w:t>
      </w:r>
      <w:r w:rsidR="00E27924">
        <w:t xml:space="preserve"> </w:t>
      </w:r>
      <w:r w:rsidRPr="00E27924">
        <w:t>26. oktober 2015 om supplerende regler til Europa-Parlamentets og Rådets forordning (EU) nr.</w:t>
      </w:r>
      <w:r w:rsidR="00E27924">
        <w:t xml:space="preserve"> </w:t>
      </w:r>
      <w:r w:rsidRPr="00E27924">
        <w:t>575/2013 for så vidt angår reguleringsmæssige tekniske standarder for forsigtig værdiansættelse</w:t>
      </w:r>
      <w:r w:rsidR="00E27924" w:rsidRPr="00E27924">
        <w:t xml:space="preserve"> i</w:t>
      </w:r>
      <w:r w:rsidR="00E27924">
        <w:t xml:space="preserve"> </w:t>
      </w:r>
      <w:r w:rsidR="00E27924" w:rsidRPr="00E27924">
        <w:t>hen</w:t>
      </w:r>
      <w:r w:rsidRPr="00E27924">
        <w:t>hold til artikel 105, stk.</w:t>
      </w:r>
      <w:r w:rsidR="00E27924">
        <w:t xml:space="preserve"> </w:t>
      </w:r>
      <w:r w:rsidRPr="00E27924">
        <w:t>14 (EUT L 21 af</w:t>
      </w:r>
      <w:r w:rsidR="00E27924">
        <w:t xml:space="preserve"> </w:t>
      </w:r>
      <w:r w:rsidRPr="00E27924">
        <w:t>28.1.2016, s. 54).</w:t>
      </w:r>
    </w:p>
  </w:footnote>
  <w:footnote w:id="5">
    <w:p w:rsidR="00075C77" w:rsidRPr="00E27924" w:rsidRDefault="00075C77" w:rsidP="00075C77">
      <w:pPr>
        <w:pStyle w:val="FootnoteText"/>
      </w:pPr>
      <w:r>
        <w:rPr>
          <w:rStyle w:val="FootnoteReference"/>
        </w:rPr>
        <w:footnoteRef/>
      </w:r>
      <w:r w:rsidRPr="00E27924">
        <w:tab/>
        <w:t>Europa-Parlamentets og Rådets forordning (EU) 2017/2401 af</w:t>
      </w:r>
      <w:r w:rsidR="00E27924">
        <w:t xml:space="preserve"> </w:t>
      </w:r>
      <w:r w:rsidRPr="00E27924">
        <w:t>12. december 2017 om ændring af forordning (EU) nr.</w:t>
      </w:r>
      <w:r w:rsidR="00E27924">
        <w:t xml:space="preserve"> </w:t>
      </w:r>
      <w:r w:rsidRPr="00E27924">
        <w:t>575/2013 om tilsynsmæssige krav til kreditinstitutter og investeringsselskaber (EUT L 347 af</w:t>
      </w:r>
      <w:r w:rsidR="00E27924">
        <w:t xml:space="preserve"> </w:t>
      </w:r>
      <w:r w:rsidRPr="00E27924">
        <w:t>28.12.2017, s. 1).</w:t>
      </w:r>
    </w:p>
  </w:footnote>
  <w:footnote w:id="6">
    <w:p w:rsidR="00075C77" w:rsidRPr="00E27924" w:rsidRDefault="00075C77" w:rsidP="00075C77">
      <w:pPr>
        <w:pStyle w:val="FootnoteText"/>
      </w:pPr>
      <w:r>
        <w:rPr>
          <w:rStyle w:val="FootnoteReference"/>
        </w:rPr>
        <w:footnoteRef/>
      </w:r>
      <w:r w:rsidRPr="00E27924">
        <w:tab/>
        <w:t>Europa-Parlamentets og Rådets forordning (EU) nr.</w:t>
      </w:r>
      <w:r w:rsidR="00E27924">
        <w:t xml:space="preserve"> </w:t>
      </w:r>
      <w:r w:rsidRPr="00E27924">
        <w:t>1093/2010 af</w:t>
      </w:r>
      <w:r w:rsidR="00E27924">
        <w:t xml:space="preserve"> </w:t>
      </w:r>
      <w:r w:rsidRPr="00E27924">
        <w:t>24. november 2010 om oprettelse af en europæisk tilsynsmyndighed (Den Europæiske Banktilsynsmyndighed), om ændring af afgørelse nr.</w:t>
      </w:r>
      <w:r w:rsidR="00E27924">
        <w:t xml:space="preserve"> </w:t>
      </w:r>
      <w:r w:rsidRPr="00E27924">
        <w:t>716/2009/EF og om ophævelse af Kommissionens afgørelse 2009/78/EF (EUT L 331 af</w:t>
      </w:r>
      <w:r w:rsidR="00E27924">
        <w:t xml:space="preserve"> </w:t>
      </w:r>
      <w:r w:rsidRPr="00E27924">
        <w:t>15.12.2010, s.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FC" w:rsidRPr="00832AD8" w:rsidRDefault="000D38FC" w:rsidP="00832A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FC" w:rsidRPr="00832AD8" w:rsidRDefault="000D38FC" w:rsidP="00832A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FC" w:rsidRPr="00832AD8" w:rsidRDefault="000D38FC" w:rsidP="00832A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E3F24104"/>
    <w:lvl w:ilvl="0">
      <w:start w:val="1"/>
      <w:numFmt w:val="decimal"/>
      <w:pStyle w:val="ListNumber3"/>
      <w:lvlText w:val="%1."/>
      <w:lvlJc w:val="left"/>
      <w:pPr>
        <w:tabs>
          <w:tab w:val="num" w:pos="926"/>
        </w:tabs>
        <w:ind w:left="926" w:hanging="360"/>
      </w:pPr>
    </w:lvl>
  </w:abstractNum>
  <w:abstractNum w:abstractNumId="2">
    <w:nsid w:val="FFFFFF7F"/>
    <w:multiLevelType w:val="singleLevel"/>
    <w:tmpl w:val="02C6A416"/>
    <w:lvl w:ilvl="0">
      <w:start w:val="1"/>
      <w:numFmt w:val="decimal"/>
      <w:pStyle w:val="ListNumber2"/>
      <w:lvlText w:val="%1."/>
      <w:lvlJc w:val="left"/>
      <w:pPr>
        <w:tabs>
          <w:tab w:val="num" w:pos="643"/>
        </w:tabs>
        <w:ind w:left="643" w:hanging="360"/>
      </w:pPr>
    </w:lvl>
  </w:abstractNum>
  <w:abstractNum w:abstractNumId="3">
    <w:nsid w:val="FFFFFF81"/>
    <w:multiLevelType w:val="singleLevel"/>
    <w:tmpl w:val="723AA59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3356B93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D445FA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E1868426"/>
    <w:lvl w:ilvl="0">
      <w:start w:val="1"/>
      <w:numFmt w:val="decimal"/>
      <w:pStyle w:val="ListNumber"/>
      <w:lvlText w:val="%1."/>
      <w:lvlJc w:val="left"/>
      <w:pPr>
        <w:tabs>
          <w:tab w:val="num" w:pos="360"/>
        </w:tabs>
        <w:ind w:left="360" w:hanging="360"/>
      </w:pPr>
    </w:lvl>
  </w:abstractNum>
  <w:abstractNum w:abstractNumId="7">
    <w:nsid w:val="FFFFFF89"/>
    <w:multiLevelType w:val="singleLevel"/>
    <w:tmpl w:val="2C1EE99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0"/>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19 15:42:05"/>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1766E352-EA31-40FA-91E6-D34A1D6C72A8"/>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lt;EMPTY&gt;"/>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ændring af gennemførelsesforordning (EU) nr. 680/2014 for så vidt angår forsigtighedsbaseret værdiansættelse ved indberetning med henblik på tilsyn"/>
    <w:docVar w:name="LW_TYPE.DOC.CP" w:val="KOMMISSIONENS GENNEMFØRELSESFORORDNING (EU) \u8230?/\u8230?"/>
  </w:docVars>
  <w:rsids>
    <w:rsidRoot w:val="00075C77"/>
    <w:rsid w:val="000040D4"/>
    <w:rsid w:val="000057D4"/>
    <w:rsid w:val="000059F6"/>
    <w:rsid w:val="00022E09"/>
    <w:rsid w:val="00050818"/>
    <w:rsid w:val="00075C77"/>
    <w:rsid w:val="000A3E09"/>
    <w:rsid w:val="000B1896"/>
    <w:rsid w:val="000B3B07"/>
    <w:rsid w:val="000B6375"/>
    <w:rsid w:val="000D38FC"/>
    <w:rsid w:val="000E01B6"/>
    <w:rsid w:val="00114009"/>
    <w:rsid w:val="0011702C"/>
    <w:rsid w:val="00153178"/>
    <w:rsid w:val="0018055B"/>
    <w:rsid w:val="00183733"/>
    <w:rsid w:val="00187556"/>
    <w:rsid w:val="00195568"/>
    <w:rsid w:val="001B4957"/>
    <w:rsid w:val="001B7B9B"/>
    <w:rsid w:val="001D5ED6"/>
    <w:rsid w:val="002174BB"/>
    <w:rsid w:val="002368E9"/>
    <w:rsid w:val="00245E42"/>
    <w:rsid w:val="00254390"/>
    <w:rsid w:val="00270069"/>
    <w:rsid w:val="002A2E53"/>
    <w:rsid w:val="002B2B93"/>
    <w:rsid w:val="002B7A5C"/>
    <w:rsid w:val="002C0C3E"/>
    <w:rsid w:val="002E30FD"/>
    <w:rsid w:val="002E476B"/>
    <w:rsid w:val="002F2F88"/>
    <w:rsid w:val="00316051"/>
    <w:rsid w:val="00322268"/>
    <w:rsid w:val="00337032"/>
    <w:rsid w:val="00345BFD"/>
    <w:rsid w:val="00352527"/>
    <w:rsid w:val="00365869"/>
    <w:rsid w:val="003805E1"/>
    <w:rsid w:val="003C1D39"/>
    <w:rsid w:val="003C1FB8"/>
    <w:rsid w:val="003C4B9E"/>
    <w:rsid w:val="003C4FB7"/>
    <w:rsid w:val="003D0541"/>
    <w:rsid w:val="003D2AE0"/>
    <w:rsid w:val="003E1023"/>
    <w:rsid w:val="00417FA1"/>
    <w:rsid w:val="00450CC6"/>
    <w:rsid w:val="004A2CE3"/>
    <w:rsid w:val="004B24D6"/>
    <w:rsid w:val="004D6264"/>
    <w:rsid w:val="004D64A2"/>
    <w:rsid w:val="004D69DD"/>
    <w:rsid w:val="004F6673"/>
    <w:rsid w:val="00537A55"/>
    <w:rsid w:val="00550B8C"/>
    <w:rsid w:val="00556044"/>
    <w:rsid w:val="00591426"/>
    <w:rsid w:val="00591517"/>
    <w:rsid w:val="005B7DF8"/>
    <w:rsid w:val="006063E0"/>
    <w:rsid w:val="00611636"/>
    <w:rsid w:val="00635D8A"/>
    <w:rsid w:val="00644EC4"/>
    <w:rsid w:val="006572EF"/>
    <w:rsid w:val="00683624"/>
    <w:rsid w:val="00686C9B"/>
    <w:rsid w:val="00693969"/>
    <w:rsid w:val="006B0779"/>
    <w:rsid w:val="006C1BB8"/>
    <w:rsid w:val="006C3766"/>
    <w:rsid w:val="006D0D9C"/>
    <w:rsid w:val="006D4BD3"/>
    <w:rsid w:val="006E6DF9"/>
    <w:rsid w:val="00703993"/>
    <w:rsid w:val="007137E5"/>
    <w:rsid w:val="007517D0"/>
    <w:rsid w:val="0079753D"/>
    <w:rsid w:val="007A5482"/>
    <w:rsid w:val="007D178B"/>
    <w:rsid w:val="007E3D3C"/>
    <w:rsid w:val="007F22F0"/>
    <w:rsid w:val="007F7024"/>
    <w:rsid w:val="00832AD8"/>
    <w:rsid w:val="00832BE2"/>
    <w:rsid w:val="008548F9"/>
    <w:rsid w:val="00856A5A"/>
    <w:rsid w:val="00861E33"/>
    <w:rsid w:val="00876EF2"/>
    <w:rsid w:val="00877878"/>
    <w:rsid w:val="008831F5"/>
    <w:rsid w:val="00886F23"/>
    <w:rsid w:val="00894D1D"/>
    <w:rsid w:val="00896C0C"/>
    <w:rsid w:val="008A4D11"/>
    <w:rsid w:val="008B38C4"/>
    <w:rsid w:val="008D3748"/>
    <w:rsid w:val="008E1A11"/>
    <w:rsid w:val="008F190E"/>
    <w:rsid w:val="008F3946"/>
    <w:rsid w:val="00907ADD"/>
    <w:rsid w:val="00926443"/>
    <w:rsid w:val="00930743"/>
    <w:rsid w:val="009643A7"/>
    <w:rsid w:val="00982BB4"/>
    <w:rsid w:val="009848BD"/>
    <w:rsid w:val="009856E0"/>
    <w:rsid w:val="00986530"/>
    <w:rsid w:val="009A0F50"/>
    <w:rsid w:val="009A41B1"/>
    <w:rsid w:val="009A5117"/>
    <w:rsid w:val="009D1315"/>
    <w:rsid w:val="009D2666"/>
    <w:rsid w:val="00A011C2"/>
    <w:rsid w:val="00A44BB4"/>
    <w:rsid w:val="00A729A6"/>
    <w:rsid w:val="00A931D3"/>
    <w:rsid w:val="00AB57B6"/>
    <w:rsid w:val="00AB7C3D"/>
    <w:rsid w:val="00AE410E"/>
    <w:rsid w:val="00AF5D3B"/>
    <w:rsid w:val="00B04E38"/>
    <w:rsid w:val="00B356A6"/>
    <w:rsid w:val="00B37490"/>
    <w:rsid w:val="00B4358B"/>
    <w:rsid w:val="00B44BBC"/>
    <w:rsid w:val="00B6250D"/>
    <w:rsid w:val="00B8279F"/>
    <w:rsid w:val="00BB074E"/>
    <w:rsid w:val="00BC47EF"/>
    <w:rsid w:val="00BC5893"/>
    <w:rsid w:val="00BD6B06"/>
    <w:rsid w:val="00BD7EE1"/>
    <w:rsid w:val="00C34F30"/>
    <w:rsid w:val="00C3699D"/>
    <w:rsid w:val="00C36E0D"/>
    <w:rsid w:val="00C52F7E"/>
    <w:rsid w:val="00C96B0B"/>
    <w:rsid w:val="00CA44DF"/>
    <w:rsid w:val="00CC32BB"/>
    <w:rsid w:val="00CC5469"/>
    <w:rsid w:val="00CD2EE2"/>
    <w:rsid w:val="00CE607F"/>
    <w:rsid w:val="00D0288C"/>
    <w:rsid w:val="00D07548"/>
    <w:rsid w:val="00D262BE"/>
    <w:rsid w:val="00D31F24"/>
    <w:rsid w:val="00D34F59"/>
    <w:rsid w:val="00D4733C"/>
    <w:rsid w:val="00D73215"/>
    <w:rsid w:val="00D826FC"/>
    <w:rsid w:val="00D87087"/>
    <w:rsid w:val="00DA1A91"/>
    <w:rsid w:val="00DA432F"/>
    <w:rsid w:val="00DB10A0"/>
    <w:rsid w:val="00DB10E3"/>
    <w:rsid w:val="00DD2DC1"/>
    <w:rsid w:val="00DE2170"/>
    <w:rsid w:val="00DE7ABB"/>
    <w:rsid w:val="00DF3CD5"/>
    <w:rsid w:val="00DF7E7B"/>
    <w:rsid w:val="00E16CC1"/>
    <w:rsid w:val="00E27924"/>
    <w:rsid w:val="00E27B67"/>
    <w:rsid w:val="00E412F8"/>
    <w:rsid w:val="00E47203"/>
    <w:rsid w:val="00E76A1A"/>
    <w:rsid w:val="00E85657"/>
    <w:rsid w:val="00EA38CD"/>
    <w:rsid w:val="00EA666D"/>
    <w:rsid w:val="00EC3C0C"/>
    <w:rsid w:val="00F1082F"/>
    <w:rsid w:val="00F17515"/>
    <w:rsid w:val="00F2304B"/>
    <w:rsid w:val="00F351E1"/>
    <w:rsid w:val="00F4523F"/>
    <w:rsid w:val="00F673EC"/>
    <w:rsid w:val="00F76AFA"/>
    <w:rsid w:val="00F847AC"/>
    <w:rsid w:val="00FA4EBB"/>
    <w:rsid w:val="00FA5963"/>
    <w:rsid w:val="00FB319D"/>
    <w:rsid w:val="00FC4E75"/>
    <w:rsid w:val="00FD3BB4"/>
    <w:rsid w:val="00FE50BF"/>
    <w:rsid w:val="00FE5C4A"/>
    <w:rsid w:val="00FE5CC0"/>
    <w:rsid w:val="00FF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3"/>
      </w:numPr>
      <w:contextualSpacing/>
    </w:pPr>
  </w:style>
  <w:style w:type="paragraph" w:styleId="ListBullet2">
    <w:name w:val="List Bullet 2"/>
    <w:basedOn w:val="Normal"/>
    <w:uiPriority w:val="99"/>
    <w:semiHidden/>
    <w:unhideWhenUsed/>
    <w:rsid w:val="00CE607F"/>
    <w:pPr>
      <w:numPr>
        <w:numId w:val="4"/>
      </w:numPr>
      <w:contextualSpacing/>
    </w:pPr>
  </w:style>
  <w:style w:type="paragraph" w:styleId="ListBullet3">
    <w:name w:val="List Bullet 3"/>
    <w:basedOn w:val="Normal"/>
    <w:uiPriority w:val="99"/>
    <w:semiHidden/>
    <w:unhideWhenUsed/>
    <w:rsid w:val="00CE607F"/>
    <w:pPr>
      <w:numPr>
        <w:numId w:val="5"/>
      </w:numPr>
      <w:contextualSpacing/>
    </w:pPr>
  </w:style>
  <w:style w:type="paragraph" w:styleId="ListBullet4">
    <w:name w:val="List Bullet 4"/>
    <w:basedOn w:val="Normal"/>
    <w:uiPriority w:val="99"/>
    <w:semiHidden/>
    <w:unhideWhenUsed/>
    <w:rsid w:val="00CE607F"/>
    <w:pPr>
      <w:numPr>
        <w:numId w:val="6"/>
      </w:numPr>
      <w:contextualSpacing/>
    </w:pPr>
  </w:style>
  <w:style w:type="paragraph" w:styleId="ListNumber">
    <w:name w:val="List Number"/>
    <w:basedOn w:val="Normal"/>
    <w:uiPriority w:val="99"/>
    <w:semiHidden/>
    <w:unhideWhenUsed/>
    <w:rsid w:val="00CE607F"/>
    <w:pPr>
      <w:numPr>
        <w:numId w:val="7"/>
      </w:numPr>
      <w:contextualSpacing/>
    </w:pPr>
  </w:style>
  <w:style w:type="paragraph" w:styleId="ListNumber2">
    <w:name w:val="List Number 2"/>
    <w:basedOn w:val="Normal"/>
    <w:uiPriority w:val="99"/>
    <w:semiHidden/>
    <w:unhideWhenUsed/>
    <w:rsid w:val="00CE607F"/>
    <w:pPr>
      <w:numPr>
        <w:numId w:val="8"/>
      </w:numPr>
      <w:contextualSpacing/>
    </w:pPr>
  </w:style>
  <w:style w:type="paragraph" w:styleId="ListNumber3">
    <w:name w:val="List Number 3"/>
    <w:basedOn w:val="Normal"/>
    <w:uiPriority w:val="99"/>
    <w:semiHidden/>
    <w:unhideWhenUsed/>
    <w:rsid w:val="00CE607F"/>
    <w:pPr>
      <w:numPr>
        <w:numId w:val="9"/>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da-DK"/>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4">
    <w:name w:val="List Number 4"/>
    <w:basedOn w:val="Normal"/>
    <w:rsid w:val="00075C77"/>
    <w:pPr>
      <w:numPr>
        <w:numId w:val="2"/>
      </w:numPr>
    </w:pPr>
    <w:rPr>
      <w:rFonts w:eastAsia="Times New Roman"/>
      <w:szCs w:val="20"/>
    </w:rPr>
  </w:style>
  <w:style w:type="paragraph" w:styleId="Caption">
    <w:name w:val="caption"/>
    <w:basedOn w:val="Normal"/>
    <w:next w:val="Normal"/>
    <w:uiPriority w:val="35"/>
    <w:semiHidden/>
    <w:unhideWhenUsed/>
    <w:qFormat/>
    <w:rsid w:val="00CE607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E607F"/>
    <w:pPr>
      <w:spacing w:after="0"/>
    </w:pPr>
  </w:style>
  <w:style w:type="paragraph" w:styleId="ListBullet">
    <w:name w:val="List Bullet"/>
    <w:basedOn w:val="Normal"/>
    <w:uiPriority w:val="99"/>
    <w:semiHidden/>
    <w:unhideWhenUsed/>
    <w:rsid w:val="00CE607F"/>
    <w:pPr>
      <w:numPr>
        <w:numId w:val="3"/>
      </w:numPr>
      <w:contextualSpacing/>
    </w:pPr>
  </w:style>
  <w:style w:type="paragraph" w:styleId="ListBullet2">
    <w:name w:val="List Bullet 2"/>
    <w:basedOn w:val="Normal"/>
    <w:uiPriority w:val="99"/>
    <w:semiHidden/>
    <w:unhideWhenUsed/>
    <w:rsid w:val="00CE607F"/>
    <w:pPr>
      <w:numPr>
        <w:numId w:val="4"/>
      </w:numPr>
      <w:contextualSpacing/>
    </w:pPr>
  </w:style>
  <w:style w:type="paragraph" w:styleId="ListBullet3">
    <w:name w:val="List Bullet 3"/>
    <w:basedOn w:val="Normal"/>
    <w:uiPriority w:val="99"/>
    <w:semiHidden/>
    <w:unhideWhenUsed/>
    <w:rsid w:val="00CE607F"/>
    <w:pPr>
      <w:numPr>
        <w:numId w:val="5"/>
      </w:numPr>
      <w:contextualSpacing/>
    </w:pPr>
  </w:style>
  <w:style w:type="paragraph" w:styleId="ListBullet4">
    <w:name w:val="List Bullet 4"/>
    <w:basedOn w:val="Normal"/>
    <w:uiPriority w:val="99"/>
    <w:semiHidden/>
    <w:unhideWhenUsed/>
    <w:rsid w:val="00CE607F"/>
    <w:pPr>
      <w:numPr>
        <w:numId w:val="6"/>
      </w:numPr>
      <w:contextualSpacing/>
    </w:pPr>
  </w:style>
  <w:style w:type="paragraph" w:styleId="ListNumber">
    <w:name w:val="List Number"/>
    <w:basedOn w:val="Normal"/>
    <w:uiPriority w:val="99"/>
    <w:semiHidden/>
    <w:unhideWhenUsed/>
    <w:rsid w:val="00CE607F"/>
    <w:pPr>
      <w:numPr>
        <w:numId w:val="7"/>
      </w:numPr>
      <w:contextualSpacing/>
    </w:pPr>
  </w:style>
  <w:style w:type="paragraph" w:styleId="ListNumber2">
    <w:name w:val="List Number 2"/>
    <w:basedOn w:val="Normal"/>
    <w:uiPriority w:val="99"/>
    <w:semiHidden/>
    <w:unhideWhenUsed/>
    <w:rsid w:val="00CE607F"/>
    <w:pPr>
      <w:numPr>
        <w:numId w:val="8"/>
      </w:numPr>
      <w:contextualSpacing/>
    </w:pPr>
  </w:style>
  <w:style w:type="paragraph" w:styleId="ListNumber3">
    <w:name w:val="List Number 3"/>
    <w:basedOn w:val="Normal"/>
    <w:uiPriority w:val="99"/>
    <w:semiHidden/>
    <w:unhideWhenUsed/>
    <w:rsid w:val="00CE607F"/>
    <w:pPr>
      <w:numPr>
        <w:numId w:val="9"/>
      </w:numPr>
      <w:contextualSpacing/>
    </w:pPr>
  </w:style>
  <w:style w:type="character" w:styleId="CommentReference">
    <w:name w:val="annotation reference"/>
    <w:basedOn w:val="DefaultParagraphFont"/>
    <w:uiPriority w:val="99"/>
    <w:semiHidden/>
    <w:unhideWhenUsed/>
    <w:rsid w:val="004A2CE3"/>
    <w:rPr>
      <w:sz w:val="16"/>
      <w:szCs w:val="16"/>
    </w:rPr>
  </w:style>
  <w:style w:type="paragraph" w:styleId="CommentText">
    <w:name w:val="annotation text"/>
    <w:basedOn w:val="Normal"/>
    <w:link w:val="CommentTextChar"/>
    <w:uiPriority w:val="99"/>
    <w:semiHidden/>
    <w:unhideWhenUsed/>
    <w:rsid w:val="004A2CE3"/>
    <w:rPr>
      <w:sz w:val="20"/>
      <w:szCs w:val="20"/>
    </w:rPr>
  </w:style>
  <w:style w:type="character" w:customStyle="1" w:styleId="CommentTextChar">
    <w:name w:val="Comment Text Char"/>
    <w:basedOn w:val="DefaultParagraphFont"/>
    <w:link w:val="CommentText"/>
    <w:uiPriority w:val="99"/>
    <w:semiHidden/>
    <w:rsid w:val="004A2CE3"/>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4A2CE3"/>
    <w:rPr>
      <w:b/>
      <w:bCs/>
    </w:rPr>
  </w:style>
  <w:style w:type="character" w:customStyle="1" w:styleId="CommentSubjectChar">
    <w:name w:val="Comment Subject Char"/>
    <w:basedOn w:val="CommentTextChar"/>
    <w:link w:val="CommentSubject"/>
    <w:uiPriority w:val="99"/>
    <w:semiHidden/>
    <w:rsid w:val="004A2CE3"/>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4A2C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CE3"/>
    <w:rPr>
      <w:rFonts w:ascii="Segoe UI" w:hAnsi="Segoe UI" w:cs="Segoe UI"/>
      <w:sz w:val="18"/>
      <w:szCs w:val="18"/>
      <w:lang w:val="da-DK"/>
    </w:rPr>
  </w:style>
  <w:style w:type="character" w:styleId="Hyperlink">
    <w:name w:val="Hyperlink"/>
    <w:basedOn w:val="DefaultParagraphFont"/>
    <w:uiPriority w:val="99"/>
    <w:unhideWhenUsed/>
    <w:rsid w:val="004A2CE3"/>
    <w:rPr>
      <w:color w:val="0000FF" w:themeColor="hyperlink"/>
      <w:u w:val="single"/>
    </w:rPr>
  </w:style>
  <w:style w:type="paragraph" w:styleId="Revision">
    <w:name w:val="Revision"/>
    <w:hidden/>
    <w:uiPriority w:val="99"/>
    <w:semiHidden/>
    <w:rsid w:val="00686C9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Pages>
  <Words>1211</Words>
  <Characters>7231</Characters>
  <Application>Microsoft Office Word</Application>
  <DocSecurity>0</DocSecurity>
  <Lines>138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GRIKSAS Gintaras (FISMA)</dc:creator>
  <cp:keywords/>
  <dc:description/>
  <cp:lastModifiedBy>BUNDGAARD KOCK Benthe Vase (DGT)</cp:lastModifiedBy>
  <cp:revision>3</cp:revision>
  <cp:lastPrinted>2018-06-12T12:37:00Z</cp:lastPrinted>
  <dcterms:created xsi:type="dcterms:W3CDTF">2018-09-19T13:41:00Z</dcterms:created>
  <dcterms:modified xsi:type="dcterms:W3CDTF">2018-09-19T13:42:00Z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6.0.1, Build 20180503</vt:lpwstr>
  </property>
  <property fmtid="{D5CDD505-2E9C-101B-9397-08002B2CF9AE}" pid="3" name="Category">
    <vt:lpwstr>COM/AA</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Version">
    <vt:lpwstr>6.0.1.0</vt:lpwstr>
  </property>
  <property fmtid="{D5CDD505-2E9C-101B-9397-08002B2CF9AE}" pid="9" name="Created using">
    <vt:lpwstr>LW 6.0, Build 20171009</vt:lpwstr>
  </property>
  <property fmtid="{D5CDD505-2E9C-101B-9397-08002B2CF9AE}" pid="10" name="DQCStatus">
    <vt:lpwstr>Green (DQC version 03)</vt:lpwstr>
  </property>
</Properties>
</file>