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0DB20592" w:rsidR="001B7C2B" w:rsidRDefault="001B7C2B" w:rsidP="001B7C2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HR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b/>
          <w:sz w:val="24"/>
        </w:rPr>
        <w:t>PRILOG VII.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2104D4D" w14:textId="77777777" w:rsidR="006339CC" w:rsidRPr="008B5E16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6339CC" w:rsidRDefault="007F5684" w:rsidP="001B7C2B">
      <w:pPr>
        <w:jc w:val="center"/>
        <w:rPr>
          <w:b/>
          <w:szCs w:val="20"/>
          <w:u w:val="single"/>
        </w:rPr>
      </w:pPr>
      <w:r>
        <w:rPr>
          <w:b/>
          <w:u w:val="single"/>
        </w:rPr>
        <w:t>PRILOG XIX.</w:t>
      </w:r>
    </w:p>
    <w:p w14:paraId="1796FE74" w14:textId="29CC78AB" w:rsidR="007F5684" w:rsidRPr="00F30436" w:rsidRDefault="007F5684" w:rsidP="00F30436">
      <w:pPr>
        <w:jc w:val="center"/>
        <w:rPr>
          <w:b/>
          <w:szCs w:val="20"/>
        </w:rPr>
      </w:pPr>
      <w:r>
        <w:rPr>
          <w:b/>
        </w:rPr>
        <w:t>UPUTE ZA POPUNJAVANJE OBRASCA O DODATNIM NADZORNIM INSTRUMENTIMA IZ PRILOGA XVIII.</w:t>
      </w:r>
    </w:p>
    <w:p w14:paraId="16AC5CE5" w14:textId="77777777"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Dodatni nadzorni instrumenti</w:t>
      </w:r>
    </w:p>
    <w:p w14:paraId="6D74775F" w14:textId="243E01B4"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>
        <w:rPr>
          <w:rFonts w:ascii="Times New Roman" w:hAnsi="Times New Roman"/>
        </w:rPr>
        <w:t xml:space="preserve">Općenito </w:t>
      </w:r>
      <w:bookmarkEnd w:id="0"/>
      <w:bookmarkEnd w:id="1"/>
    </w:p>
    <w:p w14:paraId="28146638" w14:textId="3B48FC46" w:rsidR="00A344AA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Za potrebe praćenja likvidnosnog rizika institucije koji nije obuhvaćen izvješćima o likvidnosnoj pokrivenosti i stabilnim izvorima financiranja, institucije popunjavaju obrazac u Prilogu XVIII. u skladu s uputama iz ovog Priloga.</w:t>
      </w:r>
    </w:p>
    <w:p w14:paraId="39998106" w14:textId="1169C0B2" w:rsidR="00A344AA" w:rsidRPr="007F568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Ukupni izvori financiranja jesu sve financijske obveze osim izvedenica i kratkih pozicija;</w:t>
      </w:r>
    </w:p>
    <w:p w14:paraId="50F797C6" w14:textId="2BEA0B9F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 xml:space="preserve">Smatra se da izvori financiranja s otvorenim dospijećem uključujući depozite po viđenju dospijevaju prekonoćno. </w:t>
      </w:r>
    </w:p>
    <w:p w14:paraId="4586638B" w14:textId="7526809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 xml:space="preserve">Izvorno dospijeće odgovara razdoblju od datuma početka do datuma dospijeća izvora financiranja. </w:t>
      </w:r>
      <w:r>
        <w:rPr>
          <w:u w:val="none"/>
        </w:rPr>
        <w:t xml:space="preserve">Datum dospijeća izvora financiranja utvrđuje su u skladu s točkom 12. Priloga XXIII. </w:t>
      </w:r>
      <w:r>
        <w:rPr>
          <w:u w:val="none"/>
        </w:rPr>
        <w:t xml:space="preserve">To znači da u slučaju ugrađene opcije kao npr. u slučaju točke 12. Priloga XXIII. izvorno dospijeće stavke izvora financiranja može biti kraće od razdoblja koje je proteklo od njegova početka. </w:t>
      </w:r>
    </w:p>
    <w:p w14:paraId="4FA59274" w14:textId="20DE3BF0" w:rsidR="00A344AA" w:rsidRPr="004D424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 xml:space="preserve">Preostali rok do dospijeća odgovara razdoblju od kraja izvještajnog razdoblja do datuma dospijeća izvora financiranja. </w:t>
      </w:r>
      <w:r>
        <w:rPr>
          <w:u w:val="none"/>
        </w:rPr>
        <w:t>Datum dospijeća izvora financiranja utvrđuje su u skladu s točkom 12. Priloga XXIII.</w:t>
      </w:r>
    </w:p>
    <w:p w14:paraId="1DF04682" w14:textId="0F5CD7EB" w:rsidR="007462FE" w:rsidRPr="004D4244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Za potrebe izračuna izvornog ili preostalog ponderiranog prosječnog dospijeća smatra se da depoziti koji dospijevaju prekonoćno imaju dospijeće od jednog dana.</w:t>
      </w:r>
    </w:p>
    <w:p w14:paraId="25CD9EF4" w14:textId="173EC59C" w:rsidR="007462FE" w:rsidRPr="005C26C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Za potrebe izračuna izvornog i preostalog dospijeća, ako izvor financiranja ima klauzulu o otkaznom roku ili raskidu ili prijevremenom povlačenju za drugu ugovornu stranu institucije, uzima se u obzir povlačenje na prvi mogući datum.</w:t>
      </w:r>
    </w:p>
    <w:p w14:paraId="2B81E2EC" w14:textId="77D4003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Za obveze bez dospijeća, osim ako postoji ugrađena opcija iz točke 12. Priloga XXIII., uzima se u obzir fiksni izvorni i preostali rok do dospijeća od dvadeset godina.</w:t>
      </w:r>
    </w:p>
    <w:p w14:paraId="30EB5133" w14:textId="46DCEFBD" w:rsidR="00A344AA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u w:val="none"/>
        </w:rPr>
        <w:t>Za izračun praga u skladu s izvještajnim obrascima C 67.00 i C 68.00 po značajnoj valuti, institucije upotrebljavaju prag od 1 % ukupnih obveza u svim valutama.</w:t>
      </w:r>
    </w:p>
    <w:p w14:paraId="0E1E0ED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Koncentracija izvora financiranja po drugoj ugovornoj strani (C 67.00)</w:t>
      </w:r>
    </w:p>
    <w:p w14:paraId="322C1A75" w14:textId="525ED095" w:rsidR="00A344AA" w:rsidRPr="007F5684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Kako bi se prikupile informacije o koncentraciji izvora financiranja institucija koje izvješćuju po drugoj ugovornoj strani u obrascu C 67.00, institucije primjenjuju upute iz ovog odjeljka.</w:t>
      </w:r>
    </w:p>
    <w:p w14:paraId="52091F90" w14:textId="16D35E11" w:rsidR="00A344AA" w:rsidRPr="00422131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 xml:space="preserve">Institucije izvješćuju o deset najvećih drugih ugovornih strana ili grupi povezanih osoba u skladu s člankom 4. točkom 39. Uredbe (EU) 575/2013, ako izvori financiranja dobiveni od svake druge ugovorne strane ili grupe povezanih osoba premašuju prag od 1 % ukupnih obveza u podredcima odjeljka 1. obrasca. </w:t>
      </w:r>
      <w:r>
        <w:rPr>
          <w:u w:val="none"/>
        </w:rPr>
        <w:t xml:space="preserve">Druga ugovorna strana koja se iskazuje u stavci 1.01 jest ona druga ugovorna strana ili grupa povezanih osoba od koje je na izvještajni datum dobiven najveći iznos izvora financiranja koji premašuje prag od 1 %; u stavci 1.02 druga ugovorna strana ili grupa povezanih osoba od koje je dobiven drugi najveći iznos koji premašuje prag od 1 %; i tako dalje u preostalim stavkama.  </w:t>
      </w:r>
    </w:p>
    <w:p w14:paraId="430CAED4" w14:textId="505B6732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 xml:space="preserve">Ako druga ugovorna strana pripada u više grupa povezanih osoba, iskazuje se samo jednom u grupi s najvećim iznosom izvora financiranja. </w:t>
      </w:r>
    </w:p>
    <w:p w14:paraId="589BDAD9" w14:textId="67079620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Institucije iskazuju ukupni iznos svih preostalih izvora financiranja u odjeljku 2.</w:t>
      </w:r>
    </w:p>
    <w:p w14:paraId="6E279CE2" w14:textId="29172BB5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Ukupni iznosi u odjeljcima 1. i 2. moraju biti jednaki ukupnim izvorima financiranja institucije iskazanima u njezinoj bilanci iskazanoj u okviru financijskog izvješćivanja (FINREP).</w:t>
      </w:r>
    </w:p>
    <w:p w14:paraId="00BA7315" w14:textId="71355B4D" w:rsidR="00A344AA" w:rsidRPr="007F5684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Za svaku drugu ugovornu stranu, institucije iskazuju sve stupce od 010 do 080.</w:t>
      </w:r>
    </w:p>
    <w:p w14:paraId="3425ECF0" w14:textId="65ED6564" w:rsidR="00A344AA" w:rsidRPr="000506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 xml:space="preserve">Ako se izvori financiranja dobivaju u više od jedne vrste proizvoda, iskazuje se vrsta u kojoj je dobiven najveći udjel izvora financiranja. </w:t>
      </w:r>
      <w:r>
        <w:rPr>
          <w:u w:val="none"/>
        </w:rPr>
        <w:t xml:space="preserve">Nastojat će se, u okviru mogućnosti, identificirati odnosnog imatelja vrijednosnih papira. </w:t>
      </w:r>
      <w:r>
        <w:rPr>
          <w:u w:val="none"/>
        </w:rPr>
        <w:t xml:space="preserve">Ako institucija raspolaže informacijama o imatelju vrijednosnih papira zbog njegove uloge skrbničke banke, taj se iznos uzima u obzir za izvješćivanje o koncentraciji drugih ugovornih strana. </w:t>
      </w:r>
      <w:r>
        <w:rPr>
          <w:u w:val="none"/>
        </w:rPr>
        <w:t>Ako o imatelju vrijednosnih papira nema dostupnih informacija, odgovarajući se iznos ne mora iskazati.</w:t>
      </w:r>
    </w:p>
    <w:p w14:paraId="2DFF75CD" w14:textId="77777777" w:rsidR="00A344AA" w:rsidRPr="007F5684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u w:val="none"/>
        </w:rPr>
        <w:t>Upute za specifične stupce: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Stupac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>
              <w:rPr>
                <w:rStyle w:val="InstructionsTabelleText"/>
                <w:rFonts w:ascii="Times New Roman" w:hAnsi="Times New Roman"/>
              </w:rPr>
              <w:t>Pravna osnova i upute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Naziv druge ugovorne strane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Naziv svake druge ugovorne strane od koje su dobiveni izvori financiranja koji premašuju 1 % ukupnih obveza navodi se u stupcu 010 padajućim slijedom, odnosno u skladu s visinom iznosa dobivenih izvora financiranja.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5DA69516" w14:textId="05AEBC96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Navodi se naziv druge ugovorne strane, bilo da je riječ o pravnoj ili fizičkoj osobi. </w:t>
            </w:r>
            <w:r>
              <w:rPr>
                <w:rFonts w:ascii="Times New Roman" w:hAnsi="Times New Roman"/>
              </w:rPr>
              <w:t xml:space="preserve">Ako je druga ugovorna strana pravna osoba, navedeni naziv druge ugovorne strane puni je naziv pravnog subjekta od kojeg je dobiven izvor financiranja, uključujući svako upućivanje na vrstu društva u skladu s nacionalnim pravom trgovačkih društava.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Oznaka LEI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6F19060" w14:textId="77777777" w:rsidR="00A344AA" w:rsidRPr="007F5684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Identifikacijska oznaka pravnog subjekta druge ugovorne strane.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432471" w14:textId="77777777" w:rsidR="00A344AA" w:rsidRPr="007F5684" w:rsidRDefault="00A344AA" w:rsidP="00A862BD">
            <w:pPr>
              <w:pStyle w:val="InstructionsText"/>
              <w:rPr>
                <w:b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Sektor druge ugovorne strane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E43DAFB" w14:textId="2C4B739F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Svakoj drugoj ugovornoj strani dodjeljuje se jedan sektor na temelju kategorija gospodarskih sektora u skladu s FINREP-om: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C349277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i. središnje banke;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ii. opće države;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iii. kreditne institucije;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iv. ostala financijska društva;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v. nefinancijska društva;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vi. kućanstva.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A62F92" w14:textId="77777777" w:rsidR="00A344AA" w:rsidRPr="007F5684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/>
              </w:rPr>
            </w:pPr>
          </w:p>
          <w:p w14:paraId="1E7BCB8F" w14:textId="77777777" w:rsidR="00A344AA" w:rsidRPr="007F5684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Za grupe povezanih osoba sektor se ne iskazuje.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E3CE66C" w14:textId="77777777" w:rsidR="00A344AA" w:rsidRPr="007F5684" w:rsidRDefault="00A344AA" w:rsidP="006339CC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  <w:rPr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Boravište druge ugovorne strane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B6B035" w14:textId="77777777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Upotrebljava se oznaka ISO 3166-1-alfa-2 zemlje u kojoj je druga ugovorna strana osnovana, uključujući pseudo oznake ISO za međunarodne organizacije iz posljednjeg izdanja Eurostatova „Priručnika za platne bilance”.</w:t>
            </w:r>
            <w:r>
              <w:rPr>
                <w:u w:val="none"/>
              </w:rPr>
              <w:t xml:space="preserve">,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13A8F3E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Za grupe povezanih osoba zemlja se ne iskazuje. 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Vrsta proizvoda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Za druge ugovorne strane iskazane u stupcu 010 iskazuje se vrsta proizvoda koja odgovara izdanom proizvodu u kojem je dobiven izvor financiranja ili u kojem je, u slučaju mješovitih vrsta proizvoda, dobiven najveći udjel izvora financiranja, s pomoću sljedećih oznaka navedenih podebljanim slovima: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UWF</w:t>
            </w:r>
            <w:r>
              <w:rPr>
                <w:rFonts w:ascii="Times New Roman" w:hAnsi="Times New Roman"/>
                <w:color w:val="000000"/>
              </w:rPr>
              <w:t xml:space="preserve"> (neosigurani veliki izvori financiranja dobiveni od financijskih klijenata, uključujući međubankovna novčana sredstva)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UWNF</w:t>
            </w:r>
            <w:r>
              <w:rPr>
                <w:rFonts w:ascii="Times New Roman" w:hAnsi="Times New Roman"/>
                <w:color w:val="000000"/>
              </w:rPr>
              <w:t xml:space="preserve">  (neosigurani veliki izvori financiranja dobiveni od nefinancijskih klijenata)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SFT</w:t>
            </w:r>
            <w:r>
              <w:rPr>
                <w:rFonts w:ascii="Times New Roman" w:hAnsi="Times New Roman"/>
                <w:color w:val="000000"/>
              </w:rPr>
              <w:t xml:space="preserve"> (izvori financiranja dobiveni iz repo ugovora kako su definirani u članku 4. stavku 1. točki 82. Uredbe (EU) br. 575/2013)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CB</w:t>
            </w:r>
            <w:r>
              <w:rPr>
                <w:rFonts w:ascii="Times New Roman" w:hAnsi="Times New Roman"/>
                <w:color w:val="000000"/>
              </w:rPr>
              <w:t xml:space="preserve"> (izvori financiranja dobiveni izdavanjem pokrivenih obveznica kako je definirano u članku 129. stavku 4. ili stavku 5. Uredbe (EU) br. 575/2013 ili članku 52. stavku 4. Direktive 2009/65/EZ)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ABS </w:t>
            </w:r>
            <w:r>
              <w:rPr>
                <w:rFonts w:ascii="Times New Roman" w:hAnsi="Times New Roman"/>
                <w:color w:val="000000"/>
              </w:rPr>
              <w:t>(izvori financiranja dobiveni izdavanjem vrijednosnih papira osiguranih imovinom, uključujući komercijalne zapise osigurane imovinom)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IGCP</w:t>
            </w:r>
            <w:r>
              <w:rPr>
                <w:rFonts w:ascii="Times New Roman" w:hAnsi="Times New Roman"/>
                <w:color w:val="000000"/>
              </w:rPr>
              <w:t xml:space="preserve"> (izvori financiranja dobiveni od drugih ugovornih strana unutar grupe)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OSWF</w:t>
            </w:r>
            <w:r>
              <w:rPr>
                <w:rFonts w:ascii="Times New Roman" w:hAnsi="Times New Roman"/>
                <w:color w:val="000000"/>
              </w:rPr>
              <w:t xml:space="preserve"> (ostali osigurani veliki izvori financiranja)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b/>
                <w:color w:val="000000"/>
              </w:rPr>
              <w:t>OFP</w:t>
            </w:r>
            <w:r>
              <w:rPr>
                <w:rFonts w:ascii="Times New Roman" w:hAnsi="Times New Roman"/>
                <w:color w:val="000000"/>
              </w:rPr>
              <w:t xml:space="preserve"> (ostali proizvodi izvora financiranja, npr. izvori financiranja od stanovništva)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Primljeni iznos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Ukupni iznos izvora financiranja dobivenih od drugih ugovornih strana navedenih u stupcu 010 iskazuje se u stupcu 060 i institucije u njemu iskazuju knjigovodstvene vrijednosti.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Ponderirano prosječno izvorno dospijeće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Za iznos izvora financiranja iskazan u stupcu 060, dobiven od druge ugovorne strane navedene u stupcu 010, u stupcu 070 iskazuje se ponderirano prosječno izvorno dospijeće (u danima) za taj izvor financiranja.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Ponderirano prosječno izvorno dospijeće izračunava se kao prosječno izvorno dospijeće (u danima) izvora financiranja dobivenog od te druge ugovorne strane. </w:t>
            </w:r>
            <w:r>
              <w:rPr>
                <w:rFonts w:ascii="Times New Roman" w:hAnsi="Times New Roman"/>
              </w:rPr>
              <w:t>Prosjek se ponderira prema visini, na temelju visine različitih dobivenih izvora financiranja u odnosu na ukupne izvore financiranja dobivene od te druge ugovorne strane.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Ponderirani prosjek preostalog roka do dospijeća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Za iznos izvora financiranja iskazan u stupcu 060, dobiven od druge ugovorne strane navedene u stupcu 010, u stupcu 080 iskazuje se ponderirani prosjek preostalog roka do dospijeća, u danima, za taj izvor financiranja.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Ponderirani prosjek preostalog roka do dospijeća izračunava se kao prosječno dospijeće, u preostalim danima, izvora financiranja dobivenog od te druge ugovorne strane. </w:t>
            </w:r>
            <w:r>
              <w:rPr>
                <w:rFonts w:ascii="Times New Roman" w:hAnsi="Times New Roman"/>
              </w:rPr>
              <w:t>Prosjek se ponderira prema visini, na temelju visine različitih dobivenih izvora financiranja u odnosu na ukupne izvore financiranja dobivene od te druge ugovorne strane.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</w:tbl>
    <w:p w14:paraId="0520EE9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Koncentracija izvora financiranja po vrsti proizvoda (C 68.00)</w:t>
      </w:r>
    </w:p>
    <w:p w14:paraId="5B6DFC15" w14:textId="095CCDBC" w:rsidR="00A344AA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U ovom obrascu prikupljaju se informacije o koncentraciji izvora financiranja institucija koje izvješćuju po vrsti proizvoda, raščlanjeno na vrste izvora financiranja kako je navedeno u sljedećim uputama za retke: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Redak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Pravna osnova i upute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Izvori financiranja od stanovništva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Depoziti stanovništva kako su definirani u članku 3. stavku 8. Delegirane uredbe br. 2015/61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depoziti po viđenju;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Izvori financiranja od stanovništva iz retka 010 koji su depoziti po viđenju.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031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oročeni depoziti koji se ne mogu povući u roku od sljedećih 30 dana;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Izvori financiranja od stanovništva iz retka 010 koji su oročeni depoziti koji se ne mogu povući u roku od sljedećih 30 dana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041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oročeni depoziti koji se mogu povući u roku od sljedećih 30 dana;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stanovništva iz retka 010 koji su oročeni depoziti koji se mogu povući u roku od sljedećih 30 dana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1.4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štedni računi koji imaju jednu od sljedećih karakteristika;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od stanovništva iz retka 010 koji su štedni računi koji imaju jednu od sljedećih karakteristika: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- uz otkazni rok za povlačenje dulji od 30 dana</w:t>
            </w:r>
          </w:p>
          <w:p w14:paraId="471376E8" w14:textId="6B5CE87D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- bez otkaznog roka za povlačenje duljeg od 30 dana.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Ovaj se redak ne iskazuje.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1.4.1 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uz otkazni rok za povlačenje dulji od 30 dana;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od stanovništva iz retka 010 koji su štedni računi uz otkazni rok za povlačenje dulji od 30 dana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090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1.4.2 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bez otkaznog roka za povlačenje duljeg od 30 dana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1B1078F3" w14:textId="218E6A80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od stanovništva iz retka 010 koji su štedni računi bez otkaznog roka za povlačenje duljeg od 30 dana.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Smatra se da se veliki izvori financiranja sastoje od jednog ili više sljedećih elemenata: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Svi drugi izvori financiranja osim onih depozita stanovništva kako su definirani u članku 3. stavku 8. Delegirane uredbe br. 2015/61. 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Ovaj se redak ne iskazuje.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neosigurani veliki izvori financiranja;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Svi drugi izvori financiranja osim depozita stanovništva kako su definirani u članku 3. stavku 8. Delegirane uredbe br. 2015/61 kada izvori financiranja nisu osigurani.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krediti i depoziti od financijskih klijenata;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iz retka 110 koji se sastoje od kredita i depozita od financijskih klijenata.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Izvori financiranja od središnjih banaka nisu uključeni u ovaj redak.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krediti i depoziti od nefinancijskih klijenata;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iz retka 110 koji se sastoje od kredita i depozita od nefinancijskih klijenata.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od središnjih banaka nisu uključeni u ovaj redak.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2.1.3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krediti i depoziti od subjekata unutar grupe;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iz retka 110 koji se sastoje od kredita i depozita od subjekata unutar grupe.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Veliki izvori financiranja od subjekata unutar grupe iskazuju se samo na pojedinačnoj ili potkonsolidiranoj osnovi.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osigurani veliki izvori financiranja;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Svi drugi izvori financiranja osim depozita stanovništva kako su definirani u članku 3. stavku 8. Delegirane uredbe br. 2015/61 kada su izvori financiranja osigurani.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transakcije financiranja vrijednosnim papirima;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Izvori financiranja iz retka 150 koji su izvori financiranja dobiveni iz repo ugovora kako su definirani u članku 4. stavku 1. točki 82. Uredbe (EU) br. 575/2013.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izdanja pokrivenih obveznica;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Izvori financiranja iz retka 150 koji su izvori financiranja dobiveni izdavanjem pokrivenih obveznica kako je definirano u članku 129. stavku 4. ili stavku 5. Uredbe (EU) br. 575/2013 ili članku 52. stavku 4. Direktive 2009/65/EZ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izdanja vrijednosnih papira osiguranih imovinom;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</w:rPr>
              <w:t>Izvori financiranja iz retka 150 koji su izvori financiranja dobiveni izdavanjem vrijednosnih papira osiguranih imovinom uključujući komercijalne zapise osigurane imovinom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190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2.2.4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od čega krediti i depoziti od subjekata unutar grupe.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Izvori financiranja iz retka 150 koji su izvori financiranja dobiveni od subjekata unutar grupe.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Veliki izvori financiranja od subjekata unutar grupe iskazuju se samo na pojedinačnoj ili potkonsolidiranoj osnovi.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D6D2F2B" w14:textId="77777777" w:rsidR="003439C5" w:rsidRPr="007F5684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6D82C3A1" w14:textId="6F9861A6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 xml:space="preserve">Za potrebe popunjavanja ovog obrasca, institucije iskazuju ukupni iznos izvora financiranja dobiven iz svake vrste proizvoda koji premašuje prag od 1 % ukupnih obveza. </w:t>
      </w:r>
    </w:p>
    <w:p w14:paraId="4C97EC73" w14:textId="5A096FC4" w:rsidR="00A344AA" w:rsidRPr="007F5684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Za svaku vrstu proizvoda institucije iskazuju sve stupce od 010 do 050.</w:t>
      </w:r>
    </w:p>
    <w:p w14:paraId="2BCBF128" w14:textId="4AA518CD" w:rsidR="00EF0ADB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Prag od 1 % ukupnih obveza upotrebljava se za utvrđivanje onih vrsta proizvoda od kojih je izvor financiranja dobiven u skladu sa sljedećim:</w:t>
      </w:r>
    </w:p>
    <w:p w14:paraId="3AF457D4" w14:textId="2BCBD01F" w:rsidR="00A344AA" w:rsidRPr="00C13077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 xml:space="preserve">(a) prag od 1 % ukupnih obveza primjenjuje se na vrste proizvoda iz svih sljedećih redaka:  </w:t>
      </w:r>
      <w:r>
        <w:rPr>
          <w:u w:val="none"/>
        </w:rPr>
        <w:t xml:space="preserve">1.1 „Depoziti po viđenju”; </w:t>
      </w:r>
      <w:r>
        <w:rPr>
          <w:u w:val="none"/>
        </w:rPr>
        <w:t xml:space="preserve">1.2 „Oročeni depoziti koji se ne mogu povući u roku od sljedećih 30 dana”; </w:t>
      </w:r>
      <w:r>
        <w:rPr>
          <w:u w:val="none"/>
        </w:rPr>
        <w:t xml:space="preserve">1.3 „Oročeni depoziti koji se mogu povući u roku od sljedećih 30 dana”; </w:t>
      </w:r>
      <w:r>
        <w:rPr>
          <w:u w:val="none"/>
        </w:rPr>
        <w:t xml:space="preserve">1.4 „Štedni računi”;  </w:t>
      </w:r>
      <w:r>
        <w:rPr>
          <w:u w:val="none"/>
        </w:rPr>
        <w:t xml:space="preserve">2.1 „Neosigurani veliki izvori financiranja”; </w:t>
      </w:r>
      <w:r>
        <w:rPr>
          <w:u w:val="none"/>
        </w:rPr>
        <w:t xml:space="preserve">2.2 „Osigurani veliki izvori financiranja”; </w:t>
      </w:r>
    </w:p>
    <w:p w14:paraId="7CD07C23" w14:textId="3CF106E1" w:rsidR="00EF0ADB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(b) u pogledu izračuna praga od 1 % ukupnih obveza za redak 1.4. „Štedni računi”, prag se primjenjuje na zbroj redaka 1.4.1. i 1.4.2.;</w:t>
      </w:r>
    </w:p>
    <w:p w14:paraId="636F886A" w14:textId="2E150A7D" w:rsidR="00AE0498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 xml:space="preserve">(c) za retke 1. </w:t>
      </w:r>
      <w:r>
        <w:rPr>
          <w:u w:val="none"/>
        </w:rPr>
        <w:t xml:space="preserve">„Izvori financiranja od stanovništva” i 2. </w:t>
      </w:r>
      <w:r>
        <w:rPr>
          <w:u w:val="none"/>
        </w:rPr>
        <w:t>„Veliki izvori financiranja”, prag od 1 % ukupnih obveza primjenjuje se samo na ukupnoj razini.</w:t>
      </w:r>
    </w:p>
    <w:p w14:paraId="2935E76B" w14:textId="65226D7D" w:rsidR="00792E65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 xml:space="preserve">Vrijednosti iskazane u redcima 1. </w:t>
      </w:r>
      <w:r>
        <w:rPr>
          <w:u w:val="none"/>
        </w:rPr>
        <w:t xml:space="preserve">„Izvori financiranja od stanovništva”, 2.1 „Neosigurani veliki izvori financiranja”, 2.2 „Osigurani veliki izvori financiranja” mogu uključivati više vrsta proizvoda od onih navedenih u odnosnim stavkama „od čega”.  </w:t>
      </w:r>
    </w:p>
    <w:p w14:paraId="2FED639D" w14:textId="77777777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u w:val="none"/>
        </w:rPr>
        <w:t>Upute za specifične stupce: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Stupac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Pravna osnova i upute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Primljena knjigovodstvena vrijednost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Ukupna dobivena knjigovodstvena vrijednost izvora financiranja za svaku kategoriju proizvoda navedenu u stupcu „Naziv proizvoda” iskazuje se u stupcu 010 obrasca </w:t>
            </w:r>
            <w:r>
              <w:t xml:space="preserve">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Iznos obuhvaćen sustavom osiguranja depozita u skladu s Direktivom 2014/49/EU ili istovrijednim sustavom osiguranja depozita u trećoj zemlji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Od ukupnog dobivenog iznosa izvora financiranja za svaku kategoriju proizvoda navedenu u stupcu „Naziv proizvoda”, iskazanog u stupcu 010, iznos koji je obuhvaćen sustavom osiguranja depozita u skladu s Direktivom 2014/49/EU ili istovjetnim sustavom osiguranja depozita u trećoj zemlji.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Napomena: </w:t>
            </w:r>
            <w:r>
              <w:rPr>
                <w:rFonts w:ascii="Times New Roman" w:hAnsi="Times New Roman"/>
              </w:rPr>
              <w:t>iznosi iskazani u stupcima 020 i 030 za svaku kategoriju proizvoda navedenu u stupcu „Naziv proizvoda” jednaki su ukupnom primljenom iznosu iskazanom u stupcu 010.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Iznos koji nije obuhvaćen sustavom osiguranja depozita u skladu s Direktivom 2014/49/EU ili istovrijednim sustavom osiguranja depozita u trećoj zemlji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Od ukupnog dobivenog iznosa izvora financiranja za svaku kategoriju proizvoda navedenu u stupcu „Naziv proizvoda”, iskazanog u stupcu 010, iznos koji </w:t>
            </w:r>
            <w:r>
              <w:rPr>
                <w:rFonts w:ascii="Times New Roman" w:hAnsi="Times New Roman"/>
                <w:u w:val="single"/>
              </w:rPr>
              <w:t>nije</w:t>
            </w:r>
            <w:r>
              <w:rPr>
                <w:rFonts w:ascii="Times New Roman" w:hAnsi="Times New Roman"/>
              </w:rPr>
              <w:t xml:space="preserve"> obuhvaćen sustavom osiguranja depozita u skladu s Direktivom 2014/49/EU ili istovjetnim sustavom osiguranja depozita u trećoj zemlji. 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Napomena: </w:t>
            </w:r>
            <w:r>
              <w:rPr>
                <w:rFonts w:ascii="Times New Roman" w:hAnsi="Times New Roman"/>
              </w:rPr>
              <w:t>iznosi iskazani u stupcima 020 i 030 za svaku kategoriju proizvoda navedenu u stupcu „Naziv proizvoda” jednaki su ukupnom primljenom iznosu iskazanom u stupcu 010.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Ponderirano prosječno izvorno dospijeće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Za iznos dobivenih izvora financiranja iskazan u stupcu 010 od kategorija proizvoda iskazanih u stupcu „Naziv proizvoda”, u stupcu 040 evidentira se ponderirano prosječno izvorno dospijeće (u danima) za taj izvor financiranja.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Ponderirano prosječno izvorno dospijeće izračunava se kao prosječno izvorno dospijeće (u danima) izvora financiranja dobivenog za tu vrstu proizvoda. </w:t>
            </w:r>
            <w:r>
              <w:rPr>
                <w:rFonts w:ascii="Times New Roman" w:hAnsi="Times New Roman"/>
              </w:rPr>
              <w:t>Prosjek se ponderira prema visini, na temelju visine različitih dobivenih iznosa izvora financiranja u odnosu na ukupne izvore financiranja dobivene od svih izdanja te vrste proizvoda.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050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  <w:r>
              <w:rPr>
                <w:rFonts w:ascii="Times New Roman" w:hAnsi="Times New Roman"/>
                <w:b/>
                <w:u w:val="single"/>
              </w:rPr>
              <w:t>Ponderirani prosjek preostalog roka do dospijeća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Za iznos dobivenih izvora financiranja iskazan u stupcu 010, od kategorija proizvoda iskazanih u stupcu „Naziv proizvoda”, u stupcu 050 navodi se ponderirani prosjek preostalog roka do dospijeća (u danima) za taj izvor financiranja.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 xml:space="preserve">Ponderirani prosjek preostalog roka do dospijeća izračunava se kao prosječno izvorno dospijeće (u danima) izvora financiranja dobivenog za tu vrstu proizvoda. </w:t>
            </w:r>
            <w:r>
              <w:rPr>
                <w:rFonts w:ascii="Times New Roman" w:hAnsi="Times New Roman"/>
              </w:rPr>
              <w:t>Prosjek se ponderira prema visini, na temelju visine različitih dobivenih iznosa izvora financiranja u odnosu na ukupne izvore financiranja dobivene od svih izdanja te vrste proizvoda.</w:t>
            </w:r>
          </w:p>
      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/>
              </w:rPr>
            </w:pP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19B1D10" w14:textId="77777777" w:rsidR="00A344AA" w:rsidRPr="007F5684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6B6DB4F" w14:textId="77777777" w:rsidR="00A344AA" w:rsidRDefault="00A344AA">
      <w:pPr/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0084023" w14:textId="77777777"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Cijene za različito trajanje izvora financiranja (C 69.00)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F60A159" w14:textId="77777777"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82EF00F" w:rsidR="002C154A" w:rsidRPr="007F5684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>
        <w:rPr>
          <w:u w:val="none"/>
        </w:rPr>
        <w:t xml:space="preserve">Institucije u obrascu C 69.00 iskazuju informacije o volumenu transakcija i cijenama koje su institucije platile za izvore financiranja dobivene tijekom izvještajnog razdoblja koji su još uvijek prisutni na kraju izvještajnog razdoblja, u skladu sa sljedećim izvornim dospijećima: </w:t>
      </w:r>
    </w:p>
    <w:p w14:paraId="43E76F50" w14:textId="57D72AF1" w:rsidR="0019013A" w:rsidRPr="007F5684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>
        <w:tab/>
      </w:r>
      <w:r>
        <w:rPr>
          <w:u w:val="none"/>
        </w:rPr>
        <w:t>prekonoćno, u stupcima 010 i 020;</w:t>
      </w:r>
    </w:p>
    <w:p w14:paraId="20A63704" w14:textId="5F2A315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(b)</w:t>
      </w:r>
      <w:r>
        <w:tab/>
      </w:r>
      <w:r>
        <w:rPr>
          <w:u w:val="none"/>
        </w:rPr>
        <w:t>duljim od prekonoćnog i kraćim od ili jednakim 1 tjednu, u stupcima 030 i 040;</w:t>
      </w:r>
    </w:p>
    <w:p w14:paraId="23995DF6" w14:textId="6B8F5F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(c)</w:t>
      </w:r>
      <w:r>
        <w:tab/>
      </w:r>
      <w:r>
        <w:rPr>
          <w:u w:val="none"/>
        </w:rPr>
        <w:t>duljim od 1 tjedna i kraćim od ili jednakim 1 mjesecu, u stupcima 050 i 060;</w:t>
      </w:r>
    </w:p>
    <w:p w14:paraId="4DB6611C" w14:textId="4078B1C8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(d)</w:t>
      </w:r>
      <w:r>
        <w:tab/>
      </w:r>
      <w:r>
        <w:rPr>
          <w:u w:val="none"/>
        </w:rPr>
        <w:t>duljim od 1 mjeseca i kraćim od ili jednakim 3 mjeseca, u stupcima 070 i 080;</w:t>
      </w:r>
    </w:p>
    <w:p w14:paraId="68B85898" w14:textId="1C69E6E6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(e)</w:t>
      </w:r>
      <w:r>
        <w:tab/>
      </w:r>
      <w:r>
        <w:rPr>
          <w:u w:val="none"/>
        </w:rPr>
        <w:t>duljim od 3 mjeseca i kraćim od 6 ili jednakim 6 mjeseci, u stupcima 090 i 100;</w:t>
      </w:r>
    </w:p>
    <w:p w14:paraId="032BAEDE" w14:textId="15A2A145" w:rsidR="00172727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(f)</w:t>
      </w:r>
      <w:r>
        <w:tab/>
      </w:r>
      <w:r>
        <w:rPr>
          <w:u w:val="none"/>
        </w:rPr>
        <w:t>duljim od 6 mjeseci i kraćim od 1 ili jednakim 1 godinu, u stupcima 110 i 120;</w:t>
      </w:r>
    </w:p>
    <w:p w14:paraId="3DE0207D" w14:textId="0958FEE1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(g)</w:t>
      </w:r>
      <w:r>
        <w:tab/>
      </w:r>
      <w:r>
        <w:rPr>
          <w:u w:val="none"/>
        </w:rPr>
        <w:t>duljim od 1 godine i kraćim od ili jednakim 2 godine, u stupcima 130 i 140;</w:t>
      </w:r>
    </w:p>
    <w:p w14:paraId="5A4B2AD6" w14:textId="6D6143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(h)</w:t>
      </w:r>
      <w:r>
        <w:tab/>
      </w:r>
      <w:r>
        <w:rPr>
          <w:u w:val="none"/>
        </w:rPr>
        <w:t>duljim od 2 godine i kraćim od ili jednakim 5 godina, u stupcima 150 i 160;</w:t>
      </w:r>
    </w:p>
    <w:p w14:paraId="10B732E8" w14:textId="3D42D0AE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u w:val="none"/>
        </w:rPr>
        <w:t>(i)</w:t>
      </w:r>
      <w:r>
        <w:tab/>
      </w:r>
      <w:r>
        <w:rPr>
          <w:u w:val="none"/>
        </w:rPr>
        <w:t>duljim od 5 godina i kraćim od ili jednakim 10 godina, u stupcima 170 i 180;</w:t>
      </w:r>
    </w:p>
    <w:p w14:paraId="5F28959E" w14:textId="1A5C591C" w:rsidR="0019013A" w:rsidRPr="007F5684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U svrhu određivanja dospijeća dobivenog izvora financiranja, institucije zanemaruju razdoblje od datuma transakcije do datuma namire, npr. tromjesečna obveza koja će biti namirena za dva tjedna iskazuje se s rokom dospijeća od 3 mjeseca (stupci 070 i 080).</w:t>
      </w:r>
    </w:p>
    <w:p w14:paraId="3300B61A" w14:textId="77777777" w:rsidR="00A211F3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U lijevom se stupcu za svako razdoblje iskazuje jedna od sljedećih marži:</w:t>
      </w:r>
    </w:p>
    <w:p w14:paraId="3D56C5E8" w14:textId="5BBC2BEA" w:rsidR="0050708F" w:rsidRPr="007F5684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>
        <w:rPr>
          <w:u w:val="none"/>
        </w:rPr>
        <w:t xml:space="preserve">marža koju institucija plaća za obveze s rokom dospijeća od jedne godine ili kraćim, ako su one trebale biti predmet ugovora o razmjeni za referentnu vrijednost prekonoćnog indeksa za odgovarajuću valutu najkasnije na kraju radnog vremena na dan transakcije; </w:t>
      </w:r>
    </w:p>
    <w:p w14:paraId="44F3338B" w14:textId="4D0D0648" w:rsidR="0050708F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>
        <w:rPr>
          <w:u w:val="none"/>
        </w:rPr>
        <w:t>marža koju društvo plaća pri izdavanju obveza s izvornim rokom dospijeća duljim od godinu dana, ako su one trebale biti predmet ugovora o razmjeni za relevantnu referentnu vrijednost indeksa za odgovarajuću valutu koji je tromjesečni EURIBOR za EUR ili LIBOR za GBP i USD, najkasnije na kraju radnog vremena na dan transakcije.</w:t>
      </w:r>
    </w:p>
    <w:p w14:paraId="0C9A9801" w14:textId="3ADD5BDC" w:rsidR="006661EC" w:rsidRPr="007F5684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>
        <w:rPr>
          <w:u w:val="none"/>
        </w:rPr>
        <w:t>Isključivo za potrebe izračuna marže u okviru prethodno navedenih točaka (a) i (b), na temelju ranijeg iskustva, institucija može odrediti izvorno dospijeće uzimajući u obzir ugrađene opcije, ili ne uzimajući ih u obzir, prema potrebi.</w:t>
      </w:r>
    </w:p>
    <w:p w14:paraId="5EBCC42F" w14:textId="0D3FAA90" w:rsidR="00A211F3" w:rsidRPr="007F5684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Marže se iskazuju u baznim bodovima i s negativnim predznakom ako je novi izvor financiranja jeftiniji nego od relevantne referentne stope. </w:t>
      </w:r>
      <w:r>
        <w:rPr>
          <w:u w:val="none"/>
        </w:rPr>
        <w:t xml:space="preserve">Izračunavaju se na osnovi ponderiranog prosjeka. </w:t>
      </w:r>
    </w:p>
    <w:p w14:paraId="0ABF1B64" w14:textId="5E7F2177" w:rsidR="0050708F" w:rsidRPr="00144FB8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Za potrebe izračuna prosječne marže koju treba platiti za višestruka izdanja/depozite/kredite, institucije izračunavaju ukupan trošak u valuti izdanja, ne uzimajući u obzir valutne ugovore o razmjeni, ali uključujući sve premije ili diskonte i naknade koji se plaćaju ili potražuju, uzimajući kao osnovu dospijeće teoretskog ili stvarnog kamatnog ugovora o razmjeni koji odgovara roku dospijeća obveze. </w:t>
      </w:r>
      <w:r>
        <w:rPr>
          <w:u w:val="none"/>
        </w:rPr>
        <w:t>Marža je razlika između kamatne stope za obveze i kamatne stope iz ugovora o razmjeni.</w:t>
      </w:r>
    </w:p>
    <w:p w14:paraId="608A7669" w14:textId="7761DC23" w:rsidR="00DD5897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Dobiveni iznos izvora financiranja za kategorije izvora financiranja navedene u stupcu „Stavka” iskazuje se u stupcu „volumen” za primjenjiva razdoblja. </w:t>
      </w:r>
    </w:p>
    <w:p w14:paraId="3AED84FE" w14:textId="0FDF0268" w:rsidR="004B3AC2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U stupcu „volumen” institucije navode iznose koji odgovaraju knjigovodstvenoj vrijednosti novog izvora financiranja dobivenog u primjenjivom razdoblju u skladu s izvornim dospijećem.</w:t>
      </w:r>
    </w:p>
    <w:p w14:paraId="4513DEDD" w14:textId="4B15A911" w:rsidR="004B3AC2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Kao i za sve stavke, i za izvanbilančne obveze institucije iskazuju samo povezane iznose iskazane u bilanci. </w:t>
      </w:r>
      <w:r>
        <w:rPr>
          <w:u w:val="none"/>
        </w:rPr>
        <w:t xml:space="preserve">Izvanbilančna obveza pružena instituciji iskazuje se u obrascu C69.00 samo nakon povlačenja. </w:t>
      </w:r>
      <w:r>
        <w:rPr>
          <w:u w:val="none"/>
        </w:rPr>
        <w:t xml:space="preserve">U slučaju povlačenja, volumen i marža koji se trebaju iskazati jesu povučeni iznos i primjenjiva marža na kraju izvještajnog razdoblja. </w:t>
      </w:r>
      <w:r>
        <w:rPr>
          <w:u w:val="none"/>
        </w:rPr>
        <w:t xml:space="preserve">Ako se povlačenje ne može obnoviti prema diskrecijskom pravu institucije, iskazuje se stvarno dospijeće povlačenja. </w:t>
      </w:r>
      <w:r>
        <w:rPr>
          <w:u w:val="none"/>
        </w:rPr>
        <w:t xml:space="preserve">Ako je institucija već povukla obvezujuću kreditnu liniju na kraju prethodnog izvještajnog razdoblja i ako institucija naknadno poveća upotrebu linije, iskazuje se samo dodatni povučeni iznos. </w:t>
      </w:r>
    </w:p>
    <w:p w14:paraId="26598EEA" w14:textId="77777777" w:rsidR="00473407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Depoziti fizičkih osoba i malih i srednjih poduzetnika sastoje se od depozita kako su definirani člankom 3. stavkom 8. Delegirane uredbe br. 2015/61.</w:t>
      </w:r>
    </w:p>
    <w:p w14:paraId="54CC7D8D" w14:textId="5C6E191B" w:rsidR="00B96CA8" w:rsidRPr="00473407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Za izvore financiranja koji su obnovljeni tijekom izvještajnog razdoblja koji još nisu dospjeli na kraju izvještajnog razdoblja, iskazuje se prosjek marži koje su se tada primjenjivale (tj. na kraju izvještajnog razdoblja). </w:t>
      </w:r>
      <w:r>
        <w:rPr>
          <w:u w:val="none"/>
        </w:rPr>
        <w:t>Za potrebe obrasca C69.00 izvor financiranja koji je obnovljen i koji još uvijek postoji na kraju izvještajnog razdoblja smatra se novim izvorom financiranja.</w:t>
      </w:r>
    </w:p>
    <w:p w14:paraId="43F95C32" w14:textId="05666D10" w:rsidR="00BB3757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 xml:space="preserve">Odstupanjem od ostatka odjeljka 1.4, volumen i marža depozita po viđenju iskazuju se samo ako deponent nije imao depozit po viđenju u prethodnom izvještajnom razdoblju ili ako postoji povećanje iznosa depozita u odnosu na prethodni izvještajni datum, u tom se slučaju povećanje tretira kao novi izvor financiranja. </w:t>
      </w:r>
      <w:r>
        <w:rPr>
          <w:u w:val="none"/>
        </w:rPr>
        <w:t xml:space="preserve">Marža je jednaka marži na kraju razdoblja. </w:t>
      </w:r>
    </w:p>
    <w:p w14:paraId="10927EEB" w14:textId="776A1E6F" w:rsidR="00270986" w:rsidRPr="007F5684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Ako se nema o čemu izvijestiti, ne popunjavaju se rubrike koje se odnose na marže.</w:t>
      </w:r>
    </w:p>
    <w:p w14:paraId="5F1BCA9F" w14:textId="77777777" w:rsidR="002C154A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u w:val="none"/>
        </w:rPr>
        <w:t>Upute za specifične retke: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</w:rPr>
              <w:t>Redak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</w:rPr>
              <w:t>Pravna osnova i upute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010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 Ukupni izvori financiranja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volumen i ponderirani prosjek marže svih izvora financiranja dobiva se za sva sljedeća razdoblja u skladu sa sljedećim trajanjem:</w:t>
            </w:r>
          </w:p>
          <w:p w14:paraId="3D5903C1" w14:textId="2E3AE74B" w:rsidR="007778A0" w:rsidRPr="007F5684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prekonoćno, u stupcima 010 i 020;</w:t>
            </w:r>
          </w:p>
          <w:p w14:paraId="1AF1DF5A" w14:textId="2735E0FA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prekonoćnog i kraćim od ili jednakim 1 tjednu, u stupcima 030 i 040;</w:t>
            </w:r>
          </w:p>
          <w:p w14:paraId="4C124A2C" w14:textId="2261E76F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1 tjedna i kraćim od ili jednakim 1 mjesecu, u stupcima 050 i 060;</w:t>
            </w:r>
          </w:p>
          <w:p w14:paraId="74B468F3" w14:textId="703F3A1B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1 mjeseca i kraćim od ili jednakim 3 mjeseca, u stupcima 070 i 080;</w:t>
            </w:r>
          </w:p>
          <w:p w14:paraId="482B32DB" w14:textId="0B9480D3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3 mjeseca i kraćim od 6 ili jednakim 6 mjeseci, u stupcima 090 i 100;</w:t>
            </w:r>
          </w:p>
          <w:p w14:paraId="3C4AC9B6" w14:textId="4AEB5114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6 mjeseci i kraćim od 1 ili jednakim 1 godinu, u stupcima 110 i 120;</w:t>
            </w:r>
          </w:p>
          <w:p w14:paraId="1C290FE7" w14:textId="48055B0E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1 godine i kraćim od ili jednakim 2 godine, u stupcima 130 i 140;</w:t>
            </w:r>
          </w:p>
          <w:p w14:paraId="6E53E104" w14:textId="0EEA7BE2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/>
              </w:rPr>
            </w:pPr>
            <w:r>
              <w:rPr>
                <w:u w:val="none"/>
              </w:rPr>
              <w:t>duljim od 2 godine i kraćim od ili jednakim 5 godina, u stupcima 150 i 160;</w:t>
            </w:r>
          </w:p>
          <w:p w14:paraId="22EC36F6" w14:textId="7C57E11E" w:rsidR="00CE333E" w:rsidRPr="007F5684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>
              <w:rPr>
                <w:u w:val="none"/>
              </w:rPr>
              <w:t>duljim od 5 godina i kraćim od ili jednakim 10 godina, u stupcima 170 i 180;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1.1 od čega: </w:t>
            </w:r>
            <w:r>
              <w:rPr>
                <w:rFonts w:ascii="Times New Roman" w:hAnsi="Times New Roman"/>
                <w:b/>
                <w:u w:val="single"/>
              </w:rPr>
              <w:t>izvori financiranja od stanovništva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Od ukupnih izvora financiranja iskazanih u stavci 1, ukupni volumen i ponderirani prosjek marže za dobivene izvore financiranja od stanovništva.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030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1.2 od čega: </w:t>
            </w:r>
            <w:r>
              <w:rPr>
                <w:rFonts w:ascii="Times New Roman" w:hAnsi="Times New Roman"/>
                <w:b/>
                <w:u w:val="single"/>
              </w:rPr>
              <w:t>neosigurani veliki izvori financiranja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Od ukupnih izvora financiranja u stavci 1, ukupni volumen i ponderirani prosjek marže za dobivene neosigurane velike izvore financiranja.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1.3 od čega: </w:t>
            </w:r>
            <w:r>
              <w:rPr>
                <w:rFonts w:ascii="Times New Roman" w:hAnsi="Times New Roman"/>
                <w:b/>
                <w:u w:val="single"/>
              </w:rPr>
              <w:t>osigurani izvori financiranja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Od ukupnih izvora financiranja iskazanih u stavci 1, ukupni volumen i ponderirani prosjek marže za dobivene osigurane izvore financiranja.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050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 od čega: </w:t>
            </w:r>
            <w:r>
              <w:rPr>
                <w:rFonts w:ascii="Times New Roman" w:hAnsi="Times New Roman"/>
                <w:b/>
                <w:u w:val="single"/>
              </w:rPr>
              <w:t>nadređeni neosigurani vrijednosni papiri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Od ukupnih izvora financiranja iskazanih u stavci 1, ukupni volumen i ponderirani prosjek marže za dobivene nadređene neosigurane vrijednosne papire.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1.5 od čega: </w:t>
            </w:r>
            <w:r>
              <w:rPr>
                <w:rFonts w:ascii="Times New Roman" w:hAnsi="Times New Roman"/>
                <w:b/>
                <w:u w:val="single"/>
              </w:rPr>
              <w:t>pokrivene obveznice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Od ukupnih izvora financiranja iskazanih u stavci 1, ukupni volumen i ponderirani prosjek marže za sva izdanja pokrivenih obveznica koje opterećuju vlastitu imovinu institucija.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</w:rPr>
              <w:t>070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1.6 od čega: </w:t>
            </w:r>
            <w:r>
              <w:rPr>
                <w:rFonts w:ascii="Times New Roman" w:hAnsi="Times New Roman"/>
                <w:b/>
                <w:u w:val="single"/>
              </w:rPr>
              <w:t>vrijednosni papiri osigurani imovinom, uključujući komercijalne zapise osigurane imovinom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Od ukupnih izvora financiranja iskazanih u stavci 1, ukupni volumen i ponderirani prosjek marže za vrijednosne papire osigurane imovinom, uključujući i komercijalne zapise osigurane imovinom.</w:t>
            </w: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029EEE5" w14:textId="77777777" w:rsidR="00953ED6" w:rsidRPr="000343B1" w:rsidRDefault="00953ED6" w:rsidP="000343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Obnavljanje izvora financiranja (C 70.00)</w:t>
      </w:r>
    </w:p>
    <w:p w14:paraId="5ACA258A" w14:textId="276B9622"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2" w:name="_Toc308175821"/>
      <w:bookmarkStart w:id="3" w:name="_Toc310414968"/>
      <w:r>
        <w:rPr>
          <w:u w:val="none"/>
        </w:rPr>
        <w:t>U ovom se obrascu prikupljaju informacije o volumenu izvora financiranja koji dospijevaju i novih dobivenih izvora financiranja, odnosno „obnavljanju izvora financiranja”, na dnevnoj osnovi tijekom mjeseca koji prethodi izvještajnom datumu.</w:t>
      </w:r>
    </w:p>
    <w:p w14:paraId="180EF408" w14:textId="5A266611"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Institucije u kalendarskim danima iskazuju izvore financiranja koji dospijevaju u skladu sa sljedećim razdobljima prema izvornom dospijeću:</w:t>
      </w:r>
    </w:p>
    <w:p w14:paraId="10B482AB" w14:textId="6285BE75" w:rsidR="00DB3C37" w:rsidRPr="007F5684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prekonoćno, u stupcima od 010 i 040;</w:t>
      </w:r>
    </w:p>
    <w:p w14:paraId="78059097" w14:textId="4572B97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od 1 dana do 7 dana u stupcima od 050 do 080;</w:t>
      </w:r>
    </w:p>
    <w:p w14:paraId="0888F316" w14:textId="5C20E07A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od 7 dana do 14 dana u stupcima od 090 do 120;</w:t>
      </w:r>
    </w:p>
    <w:p w14:paraId="08E23AA2" w14:textId="53446689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od 14 dana do 1 mjeseca u stupcima od 130 do 160;</w:t>
      </w:r>
    </w:p>
    <w:p w14:paraId="69F00FB2" w14:textId="021E729C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od 1 mjeseca do 3 mjeseca u stupcima od 170 do 200;</w:t>
      </w:r>
    </w:p>
    <w:p w14:paraId="39971E5E" w14:textId="651F802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od 3 mjeseca do 6 mjeseci u stupcima od 210 do 240;</w:t>
      </w:r>
    </w:p>
    <w:p w14:paraId="7574DBE7" w14:textId="7977E8C2" w:rsidR="009A329A" w:rsidRPr="007F5684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u w:val="none"/>
        </w:rPr>
        <w:t>dulje od 6 mjeseci u stupcima od 250 do 280.</w:t>
      </w:r>
    </w:p>
    <w:p w14:paraId="1F25325E" w14:textId="0E268387"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Za svako razdoblje opisano u točki 2. iznos koji dospijeva iskazuje se u lijevom stupcu, iznos obnovljenih sredstava iskazuje se u stupcu „Obnavljanje”, novodobiveni izvori financiranja iskazuju se u stupcu „Novi izvori financiranja”, a neto razlika između novih izvora financiranja, s jedne strane, i obnovljenih sredstava umanjenih za izvore financiranja koji dospijevaju, s druge strane, iskazuje se u desnom stupcu.</w:t>
      </w:r>
      <w:r>
        <w:rPr>
          <w:rFonts w:ascii="Verdana" w:hAnsi="Verdana"/>
          <w:u w:val="none"/>
        </w:rPr>
        <w:t xml:space="preserve"> </w:t>
      </w:r>
    </w:p>
    <w:p w14:paraId="710A06F4" w14:textId="219179A7"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Ukupni neto novčani tokovi iskazuju se u stupcu 290 i moraju biti jednaki zbroju svih stupaca „Neto” pod brojevima 040, 080, 120, 160, 200, 240 i 280.</w:t>
      </w:r>
    </w:p>
    <w:p w14:paraId="28B9B16F" w14:textId="51F3D036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Prosječan rok dospijeća izvora financiranja, u danima, za izvore financiranja koji dospijevaju iskazuje se u stupcu 300.</w:t>
      </w:r>
    </w:p>
    <w:p w14:paraId="76D8AD49" w14:textId="16CEB38F"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Prosječan rok dospijeća izvora financiranja, u danima, za obnovljene izvore financiranja iskazuje se u stupcu 310.</w:t>
      </w:r>
    </w:p>
    <w:p w14:paraId="717CD209" w14:textId="16BDF091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 </w:t>
      </w:r>
      <w:r>
        <w:rPr>
          <w:u w:val="none"/>
        </w:rPr>
        <w:t>Prosječan rok dospijeća izvora financiranja, u danima, za nove izvore financiranja koji dospijevaju iskazuje se u stupcu 320.</w:t>
      </w:r>
    </w:p>
    <w:p w14:paraId="5C92A186" w14:textId="6F4BC0FE" w:rsidR="00A7751A" w:rsidRPr="00AC205E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Iznos „koji dospijeva” sadržava sve obveze koje je pružatelj izvora financiranja mogao ugovorno povući ili koje dospijevaju na relevantni dan izvještajnog razdoblja. </w:t>
      </w:r>
      <w:r>
        <w:rPr>
          <w:u w:val="none"/>
        </w:rPr>
        <w:t>Uvijek se iskazuje s pozitivnim predznakom.</w:t>
      </w:r>
    </w:p>
    <w:p w14:paraId="004B6E12" w14:textId="0B826D76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Iznos „obnavljanje” sadržava iznos koji dospijeva kako je definirano u točkama 2. i 3. koji ostaje kod institucije na relevantni dan izvještajnog razdoblja. </w:t>
      </w:r>
      <w:r>
        <w:rPr>
          <w:u w:val="none"/>
        </w:rPr>
        <w:t>Uvijek se iskazuje s pozitivnim predznakom. Ako se dospijeće izvora financiranja promijenilo zbog događaja obnavljanja, iznos „obnavljanje” iskazuje se u razdoblju u skladu s novim dospijećem.</w:t>
      </w:r>
    </w:p>
    <w:p w14:paraId="68CA5A97" w14:textId="694BA31F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Iznos „Novi izvori financiranja” sadržava stvarne priljeve izvora financiranja na relevantni dan u izvještajnom razdoblju. </w:t>
      </w:r>
      <w:r>
        <w:rPr>
          <w:u w:val="none"/>
        </w:rPr>
        <w:t>Uvijek se iskazuje s pozitivnim predznakom.</w:t>
      </w:r>
    </w:p>
    <w:p w14:paraId="36023996" w14:textId="52F7601E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 xml:space="preserve">Iznos koji se iskazuje u stupcu „neto” smatra se promjenom izvora financiranja unutar određenog vremenskog raspona izvornog dospijeća na relevantni dan izvještajnog razdoblja i izračunava se dodavanjem novih izvora financiranja i obnovljenih izvora financiranja umanjeno za izvore financiranja koji dospijevaju.  </w:t>
      </w:r>
    </w:p>
    <w:bookmarkEnd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id="2"/>
    <w:bookmarkEnd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id="3"/>
    <w:p w14:paraId="0E67F27B" w14:textId="64F4C758" w:rsidR="00ED41A4" w:rsidRPr="007F5684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u w:val="none"/>
        </w:rPr>
        <w:t>Upute za specifične stupce:</w:t>
      </w:r>
    </w:p>
    <w:tbl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Stupac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/>
              </w:rPr>
            </w:pPr>
            <w:r>
              <w:rPr>
                <w:rStyle w:val="InstructionsTabelleText"/>
                <w:rFonts w:ascii="Times New Roman" w:hAnsi="Times New Roman"/>
              </w:rPr>
              <w:t>Pravna osnova i upute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010 do 040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Prekonoćno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koji dospijevaju na relevantni dan izvještajnog razdoblja s prekonoćnim izvornim dospijećem iskazuje se u stupcu 010 stavki 1.1-1.31.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prekonoćnim izvornim dospijećem iskazuje se u stupcu 020 stavki 1.1 – 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novih izvora financiranja dobivenih na relevantni dan izvještajnog razdoblja s prekonoćnim izvornim dospijećem iskazuje se u stupcu 030 stavki 1.1 – 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Neto razlika između dnevnih izvora financiranja koji dospijevaju, s jedne strane, i obnovljenih izvora financiranja i novih dnevnih dobivenih izvora financiranja, s druge strane, iskazuje se u stupcu 040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050 do 080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1 dan ≤ 7 dana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koji dospijevaju na relevantni dan izvještajnog razdoblja s izvornim dospijećem od jednog dana do jednog tjedna iskazuje se u stupcu 050 stavki 1.1 – 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izvornim dospijećem od jednog dana do jednog tjedna iskazuje se u stupcu 060 stavki 1.1 – 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novih izvora financiranja dobivenih na relevantni dan izvještajnog razdoblja s izvornim dospijećem od jednog dana do tjedan dana iskazuje se u stupcu 70 stavki 1.1 – 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Neto razlika između izvora financiranja koji dospijevaju, s jedne strane, i obnovljenih izvora financiranja i novih dobivenih izvora financiranja s druge strane, iskazuje se u stupcu 080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090 do 120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7 dana ≤ 14 dana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na relevantni dan izvještajnog razdoblja s izvornim dospijećem od tjedan dana do dva tjedna iskazuje se u stupcu 090 stavki 1.1 – 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izvornim dospijećem od tjedan dana do dva tjedna iskazuje se u stupcu 100 stavki 1.1 – 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novih izvora financiranja dobivenih na relevantni dan izvještajnog razdoblja s izvornim dospijećem od tjedan dana do dva tjedna iskazuje se u stupcu 110 stavki 1.1 – 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Neto razlika između izvora financiranja koji dospijevaju, s jedne strane, i obnovljenih izvora financiranja i novih dobivenih izvora financiranja s druge strane, iskazuje se u stupcu 120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130 do 160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&gt;14 dana ≤ 1 mjesec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koji dospijevaju na relevantni dan izvještajnog razdoblja s izvornim dospijećem od dva tjedna do mjesec dana iskazuje se u stupcu 130 stavki 1.1 – 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izvornim dospijećem od dva tjedna do jednog mjeseca iskazuje se u stupcu 140 stavki 1.1 – 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novih izvora financiranja dobivenih na relevantni dan izvještajnog razdoblja s izvornim dospijećem od dva tjedna do jednog mjeseca iskazuje se u stupcu 150 stavki 1.1 – 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Neto razlika između izvora financiranja koji dospijevaju, s jedne strane, i obnovljenih izvora financiranja i novih dobivenih izvora financiranja s druge strane, iskazuje se u stupcu 160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170 do 200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&gt;1 mjesec ≤ 3 mjeseca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koji dospijevaju na relevantni dan izvještajnog razdoblja s izvornim dospijećem od jednog mjeseca do tri mjeseca iskazuje se u stupcu 170 stavki 1.1 – 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izvornim dospijećem od jednog mjeseca do tri mjeseca iskazuje se u stupcu 180 stavki 1.1 – 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dobivenih na relevantni dan izvještajnog razdoblja s izvornim dospijećem od jednog mjeseca do tri mjeseca iskazuje se u stupcu 190 stavki 1.1 – 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Neto razlika između izvora financiranja koji dospijevaju, s jedne strane, i obnovljenih izvora financiranja i novih dobivenih izvora financiranja s druge strane, iskazuje se u stupcu 200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210 do 240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&gt;3 mjeseca ≤ 6 mjeseci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koji dospijevaju na relevantni dan izvještajnog razdoblja s izvornim dospijećem od tri mjeseca do šest mjeseci iskazuje se u stupcu 210 stavki 1.1 – 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izvornim dospijećem od tri mjeseca do šest mjeseci iskazuje se u stupcu 220 stavki 1.1 – 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novih izvora financiranja dobivenih na relevantni dan izvještajnog razdoblja s izvornim dospijećem od tri mjeseca do šest mjeseci iskazuje se u stupcu 230 stavki 1.1 – 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Neto razlika između izvora financiranja koji dospijevaju, s jedne strane, i obnovljenih izvora financiranja i novih dobivenih izvora financiranja s druge strane, iskazuje se u stupcu 240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250 do 280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&gt;6 mjeseci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Ukupni iznos izvora financiranja koji dospijevaju na relevantni dan izvještajnog razdoblja s izvornim dospijećem duljim od šest mjeseci iskazuje se u stupcu 250 stavki 1.1 – 1.31. </w:t>
            </w:r>
            <w:r>
              <w:rPr>
                <w:rFonts w:ascii="Times New Roman" w:hAnsi="Times New Roman"/>
              </w:rPr>
              <w:t>U mjesecima koji imaju manje od 31 dan te za vikende, ne popunjavaju se retci koji nisu relevantni.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izvora financiranja obnovljenih na relevantni dan izvještajnog razdoblja s izvornim dospijećem duljim od šest mjeseci iskazuje se u stupcu 260 stavki 1.1 – 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Ukupni iznos novih izvora financiranja dobivenih na relevantni dan izvještajnog razdoblja s izvornim dospijećem duljim od šest mjeseci iskazuje se u stupcu 270 stavki 1.1 – 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Neto razlika između izvora financiranja koji dospijevaju, s jedne strane, i obnovljenih izvora financiranja i novih dobivenih izvora financiranja s druge strane, iskazuje se u stupcu 280 stavki 1.1 – 1.31.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Ukupni neto novčani tokovi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Ukupni neto novčani tokovi jednaki zbroju svih stupaca „Neto” pod brojevima 040, 080, 120, 160, 200, 240, 280 iskazuju se u stupcu 290.</w:t>
            </w:r>
          </w:p>
        </w:tc>
      </w:tr>
      <w: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</w:rPr>
              <w:t>od 300 do 320</w:t>
            </w:r>
          </w:p>
        </w:tc>
        <w:tc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Prosječni rok dospijeća (u danima)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Ponderirani prosjek roka dospijeća, u danima, svih izvora financiranja koji dospijevaju iskazuje se u stupcu 300. </w:t>
            </w:r>
            <w:r>
              <w:rPr>
                <w:rFonts w:ascii="Times New Roman" w:hAnsi="Times New Roman"/>
              </w:rPr>
              <w:t>Ponderirani prosjek roka dospijeća, u danima, svih obnovljenih izvora financiranja iskazuje se u stupcu 310, ponderirani prosjek roka dospijeća, u danima, svih novih izvora financiranja iskazuje se u stupcu 320.</w:t>
            </w:r>
          </w:p>
        </w:tc>
      </w:tr>
    </w:tbl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471D337" w14:textId="10BFFF7C" w:rsidR="00ED41A4" w:rsidRPr="003A1E85" w:rsidRDefault="00ED41A4" w:rsidP="005E07FE">
      <w:pPr>
        <w:pStyle w:val="InstructionsText2"/>
        <w:numPr>
          <w:ilvl w:val="0"/>
          <w:numId w:val="0"/>
        </w:numPr>
        <w:rPr>
          <w:u w:val="none"/>
        </w:rPr>
      </w:pPr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ED41A4" w:rsidRPr="003A1E85" w:rsidSect="00EA0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14:paraId="3B35845F" w14:textId="77777777" w:rsidR="00167536" w:rsidRDefault="00167536">
      <w:pPr/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14:paraId="7485B22D" w14:textId="77777777" w:rsidR="00167536" w:rsidRDefault="00167536">
      <w:pPr/>
      <w:r>
        <w:continuation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C7975E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D75317D" w14:textId="77777777" w:rsidR="003E009D" w:rsidRDefault="003E009D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GoBack" w:displacedByCustomXml="next"/>
  <w:bookmarkEnd w:id="4" w:displacedByCustomXml="next"/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0220D67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0D79854" w14:textId="77777777" w:rsidR="00F04F6C" w:rsidRDefault="00F04F6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14:paraId="7263CF24" w14:textId="77777777" w:rsidR="00167536" w:rsidRDefault="00167536">
      <w:pPr/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14:paraId="19B8F927" w14:textId="77777777" w:rsidR="00167536" w:rsidRDefault="00167536">
      <w:pPr/>
      <w:r>
        <w:continuation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D7F646A"/>
  <w15:docId w15:val="{6EB022DD-903F-4409-BCB4-DA3BAE1DD0D1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xmlns:w15="http://schemas.microsoft.com/office/word/2012/wordml" xmlns:w16se="http://schemas.microsoft.com/office/word/2015/wordml/symex"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hr-HR" w:eastAsia="hr-HR"/>
    </w:rPr>
  </w:style>
  <w:style xmlns:w15="http://schemas.microsoft.com/office/word/2012/wordml" xmlns:w16se="http://schemas.microsoft.com/office/word/2015/wordml/symex"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hr-HR"/>
    </w:rPr>
  </w:style>
  <w:style xmlns:w15="http://schemas.microsoft.com/office/word/2012/wordml" xmlns:w16se="http://schemas.microsoft.com/office/word/2015/wordml/symex"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xmlns:w15="http://schemas.microsoft.com/office/word/2012/wordml" xmlns:w16se="http://schemas.microsoft.com/office/word/2015/wordml/symex"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hr-HR"/>
    </w:rPr>
  </w:style>
  <w:style xmlns:w15="http://schemas.microsoft.com/office/word/2012/wordml" xmlns:w16se="http://schemas.microsoft.com/office/word/2015/wordml/symex"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hr-HR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hr-HR" w:eastAsia="hr-HR" w:bidi="hr-HR"/>
    </w:rPr>
  </w:style>
  <w:style xmlns:w15="http://schemas.microsoft.com/office/word/2012/wordml" xmlns:w16se="http://schemas.microsoft.com/office/word/2015/wordml/symex"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xmlns:w15="http://schemas.microsoft.com/office/word/2012/wordml" xmlns:w16se="http://schemas.microsoft.com/office/word/2015/wordml/symex"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hr-HR" w:eastAsia="hr-HR" w:bidi="hr-HR"/>
    </w:rPr>
  </w:style>
  <w:style xmlns:w15="http://schemas.microsoft.com/office/word/2012/wordml" xmlns:w16se="http://schemas.microsoft.com/office/word/2015/wordml/symex"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xmlns:w15="http://schemas.microsoft.com/office/word/2012/wordml" xmlns:w16se="http://schemas.microsoft.com/office/word/2015/wordml/symex"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xmlns:w15="http://schemas.microsoft.com/office/word/2012/wordml" xmlns:w16se="http://schemas.microsoft.com/office/word/2015/wordml/symex"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hr-HR"/>
    </w:rPr>
  </w:style>
  <w:style xmlns:w15="http://schemas.microsoft.com/office/word/2012/wordml" xmlns:w16se="http://schemas.microsoft.com/office/word/2015/wordml/symex"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hr-HR" w:eastAsia="hr-HR" w:bidi="hr-HR"/>
    </w:rPr>
  </w:style>
  <w:style xmlns:w15="http://schemas.microsoft.com/office/word/2012/wordml" xmlns:w16se="http://schemas.microsoft.com/office/word/2015/wordml/symex"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xmlns:w15="http://schemas.microsoft.com/office/word/2012/wordml" xmlns:w16se="http://schemas.microsoft.com/office/word/2015/wordml/symex"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xmlns:w15="http://schemas.microsoft.com/office/word/2012/wordml" xmlns:w16se="http://schemas.microsoft.com/office/word/2015/wordml/symex"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xmlns:w15="http://schemas.microsoft.com/office/word/2012/wordml" xmlns:w16se="http://schemas.microsoft.com/office/word/2015/wordml/symex"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xmlns:w15="http://schemas.microsoft.com/office/word/2012/wordml" xmlns:w16se="http://schemas.microsoft.com/office/word/2015/wordml/symex"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xmlns:w15="http://schemas.microsoft.com/office/word/2012/wordml" xmlns:w16se="http://schemas.microsoft.com/office/word/2015/wordml/symex" w:type="character" w:customStyle="1" w:styleId="ParagraphChar">
    <w:name w:val="Paragraph Char"/>
    <w:link w:val="Paragraph"/>
    <w:rsid w:val="009D253B"/>
    <w:rPr>
      <w:rFonts w:ascii="Arial" w:hAnsi="Arial"/>
      <w:sz w:val="22"/>
      <w:lang w:val="hr-HR" w:eastAsia="hr-HR" w:bidi="hr-HR"/>
    </w:rPr>
  </w:style>
  <w:style xmlns:w15="http://schemas.microsoft.com/office/word/2012/wordml" xmlns:w16se="http://schemas.microsoft.com/office/word/2015/wordml/symex"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hr-HR" w:eastAsia="hr-HR" w:bidi="hr-HR"/>
    </w:rPr>
  </w:style>
  <w:style xmlns:w15="http://schemas.microsoft.com/office/word/2012/wordml" xmlns:w16se="http://schemas.microsoft.com/office/word/2015/wordml/symex"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hr-HR"/>
    </w:rPr>
  </w:style>
  <w:style xmlns:w15="http://schemas.microsoft.com/office/word/2012/wordml" xmlns:w16se="http://schemas.microsoft.com/office/word/2015/wordml/symex"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hr-HR" w:eastAsia="hr-HR" w:bidi="hr-HR"/>
    </w:rPr>
  </w:style>
  <w:style xmlns:w15="http://schemas.microsoft.com/office/word/2012/wordml" xmlns:w16se="http://schemas.microsoft.com/office/word/2015/wordml/symex"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xmlns:w15="http://schemas.microsoft.com/office/word/2012/wordml" xmlns:w16se="http://schemas.microsoft.com/office/word/2015/wordml/symex"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xmlns:w15="http://schemas.microsoft.com/office/word/2012/wordml" xmlns:w16se="http://schemas.microsoft.com/office/word/2015/wordml/symex" w:type="character" w:styleId="CommentReference">
    <w:name w:val="annotation reference"/>
    <w:uiPriority w:val="99"/>
    <w:rsid w:val="001128AA"/>
    <w:rPr>
      <w:sz w:val="16"/>
      <w:szCs w:val="16"/>
    </w:rPr>
  </w:style>
  <w:style xmlns:w15="http://schemas.microsoft.com/office/word/2012/wordml" xmlns:w16se="http://schemas.microsoft.com/office/word/2015/wordml/symex"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xmlns:w15="http://schemas.microsoft.com/office/word/2012/wordml" xmlns:w16se="http://schemas.microsoft.com/office/word/2015/wordml/symex"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hr-HR" w:eastAsia="hr-HR"/>
    </w:rPr>
  </w:style>
  <w:style xmlns:w15="http://schemas.microsoft.com/office/word/2012/wordml" xmlns:w16se="http://schemas.microsoft.com/office/word/2015/wordml/symex"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xmlns:w15="http://schemas.microsoft.com/office/word/2012/wordml" xmlns:w16se="http://schemas.microsoft.com/office/word/2015/wordml/symex"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hr-HR" w:eastAsia="hr-HR"/>
    </w:rPr>
  </w:style>
  <w:style xmlns:w15="http://schemas.microsoft.com/office/word/2012/wordml" xmlns:w16se="http://schemas.microsoft.com/office/word/2015/wordml/symex"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hr-HR" w:eastAsia="hr-HR"/>
    </w:rPr>
  </w:style>
  <w:style xmlns:w15="http://schemas.microsoft.com/office/word/2012/wordml" xmlns:w16se="http://schemas.microsoft.com/office/word/2015/wordml/symex"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xmlns:w15="http://schemas.microsoft.com/office/word/2012/wordml" xmlns:w16se="http://schemas.microsoft.com/office/word/2015/wordml/symex"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xmlns:w15="http://schemas.microsoft.com/office/word/2012/wordml" xmlns:w16se="http://schemas.microsoft.com/office/word/2015/wordml/symex"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xmlns:w15="http://schemas.microsoft.com/office/word/2012/wordml" xmlns:w16se="http://schemas.microsoft.com/office/word/2015/wordml/symex"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xmlns:w15="http://schemas.microsoft.com/office/word/2012/wordml" xmlns:w16se="http://schemas.microsoft.com/office/word/2015/wordml/symex"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xmlns:w15="http://schemas.microsoft.com/office/word/2012/wordml" xmlns:w16se="http://schemas.microsoft.com/office/word/2015/wordml/symex"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xmlns:w15="http://schemas.microsoft.com/office/word/2012/wordml" xmlns:w16se="http://schemas.microsoft.com/office/word/2015/wordml/symex"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xmlns:w15="http://schemas.microsoft.com/office/word/2012/wordml" xmlns:w16se="http://schemas.microsoft.com/office/word/2015/wordml/symex"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xmlns:w15="http://schemas.microsoft.com/office/word/2012/wordml" xmlns:w16se="http://schemas.microsoft.com/office/word/2015/wordml/symex"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xmlns:w15="http://schemas.microsoft.com/office/word/2012/wordml" xmlns:w16se="http://schemas.microsoft.com/office/word/2015/wordml/symex"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xmlns:w15="http://schemas.microsoft.com/office/word/2012/wordml" xmlns:w16se="http://schemas.microsoft.com/office/word/2015/wordml/symex"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xmlns:w15="http://schemas.microsoft.com/office/word/2012/wordml" xmlns:w16se="http://schemas.microsoft.com/office/word/2015/wordml/symex"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hr-HR" w:eastAsia="hr-HR"/>
    </w:rPr>
  </w:style>
  <w:style xmlns:w15="http://schemas.microsoft.com/office/word/2012/wordml" xmlns:w16se="http://schemas.microsoft.com/office/word/2015/wordml/symex"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hr-HR" w:eastAsia="hr-HR"/>
    </w:r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hr-HR" w:eastAsia="hr-HR"/>
    </w:rPr>
  </w:style>
  <w:style xmlns:w15="http://schemas.microsoft.com/office/word/2012/wordml" xmlns:w16se="http://schemas.microsoft.com/office/word/2015/wordml/symex"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hr-HR" w:eastAsia="hr-HR"/>
    </w:rPr>
  </w:style>
  <w:style xmlns:w15="http://schemas.microsoft.com/office/word/2012/wordml" xmlns:w16se="http://schemas.microsoft.com/office/word/2015/wordml/symex"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hr-HR" w:eastAsia="hr-HR"/>
    </w:rPr>
  </w:style>
  <w:style xmlns:w15="http://schemas.microsoft.com/office/word/2012/wordml" xmlns:w16se="http://schemas.microsoft.com/office/word/2015/wordml/symex" w:type="character" w:customStyle="1" w:styleId="Marker">
    <w:name w:val="Marker"/>
    <w:rsid w:val="00167536"/>
    <w:rPr>
      <w:color w:val="0000FF"/>
      <w:shd w:val="clear" w:color="auto" w:fill="auto"/>
    </w:rPr>
  </w:style>
  <w:style xmlns:w15="http://schemas.microsoft.com/office/word/2012/wordml" xmlns:w16se="http://schemas.microsoft.com/office/word/2015/wordml/symex"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xmlns:w15="http://schemas.microsoft.com/office/word/2012/wordml" xmlns:w16se="http://schemas.microsoft.com/office/word/2015/wordml/symex"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xmlns:w15="http://schemas.microsoft.com/office/word/2012/wordml" xmlns:w16se="http://schemas.microsoft.com/office/word/2015/wordml/symex"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hr-HR" w:eastAsia="hr-HR"/>
    </w:rPr>
  </w:style>
  <w:style xmlns:w15="http://schemas.microsoft.com/office/word/2012/wordml" xmlns:w16se="http://schemas.microsoft.com/office/word/2015/wordml/symex"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hr-HR" w:eastAsia="hr-HR"/>
    </w:rPr>
  </w:style>
  <w:style xmlns:w15="http://schemas.microsoft.com/office/word/2012/wordml" xmlns:w16se="http://schemas.microsoft.com/office/word/2015/wordml/symex"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xmlns:w15="http://schemas.microsoft.com/office/word/2012/wordml" xmlns:w16se="http://schemas.microsoft.com/office/word/2015/wordml/symex"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D0F33-4C1A-4A95-B673-5C0A0C7B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5313</Words>
  <Characters>26303</Characters>
  <Application>Microsoft Office Word</Application>
  <DocSecurity>0</DocSecurity>
  <Lines>611</Lines>
  <Paragraphs>336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31280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VIDA Agnes (FISMA)</cp:lastModifiedBy>
  <cp:revision>12</cp:revision>
  <cp:lastPrinted>2014-06-12T08:34:00Z</cp:lastPrinted>
  <dcterms:created xsi:type="dcterms:W3CDTF">2018-02-06T16:20:00Z</dcterms:created>
  <dcterms:modified xsi:type="dcterms:W3CDTF">2018-07-02T09:19:00Z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