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EL</w:t>
      </w:r>
    </w:p>
    <w:p w:rsidR="00453999" w:rsidRDefault="00453999" w:rsidP="00A33695">
      <w:pPr>
        <w:jc w:val="center"/>
        <w:rPr>
          <w:rFonts w:ascii="Times New Roman" w:hAnsi="Times New Roman"/>
          <w:b/>
          <w:sz w:val="24"/>
        </w:rPr>
      </w:pPr>
      <w:r>
        <w:rPr>
          <w:rFonts w:ascii="Times New Roman" w:hAnsi="Times New Roman"/>
          <w:b/>
          <w:sz w:val="24"/>
        </w:rPr>
        <w:t>ΠΑΡΑΡΤΗΜΑ ΙI</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363459" w:rsidP="00A33695">
      <w:pPr>
        <w:jc w:val="center"/>
        <w:rPr>
          <w:rFonts w:ascii="Times New Roman" w:hAnsi="Times New Roman"/>
          <w:b/>
          <w:sz w:val="24"/>
          <w:u w:val="single"/>
        </w:rPr>
      </w:pPr>
      <w:r>
        <w:rPr>
          <w:rFonts w:ascii="Times New Roman" w:hAnsi="Times New Roman"/>
          <w:b/>
          <w:sz w:val="24"/>
          <w:u w:val="single"/>
        </w:rPr>
        <w:t>«</w:t>
      </w:r>
      <w:r w:rsidR="002648B0">
        <w:rPr>
          <w:rFonts w:ascii="Times New Roman" w:hAnsi="Times New Roman"/>
          <w:b/>
          <w:sz w:val="24"/>
          <w:u w:val="single"/>
        </w:rPr>
        <w:t>ΠΑΡΑΡΤΗΜΑ ΙI</w:t>
      </w:r>
    </w:p>
    <w:p w:rsidR="002648B0" w:rsidRPr="00392FFD" w:rsidRDefault="002648B0" w:rsidP="00C87CEE">
      <w:pPr>
        <w:jc w:val="center"/>
        <w:rPr>
          <w:rFonts w:ascii="Times New Roman" w:hAnsi="Times New Roman"/>
          <w:b/>
          <w:sz w:val="24"/>
        </w:rPr>
      </w:pPr>
      <w:r>
        <w:rPr>
          <w:rFonts w:ascii="Times New Roman" w:hAnsi="Times New Roman"/>
          <w:b/>
          <w:sz w:val="24"/>
        </w:rPr>
        <w:t>ΥΠΟΒΟΛΗ ΑΝΑΦΟΡΩΝ ΣΧΕΤΙΚΑ ΜΕ ΤΑ ΙΔΙΑ ΚΕΦΑΛΑΙΑ ΚΑΙ ΤΙΣ ΑΠΑΙΤ</w:t>
      </w:r>
      <w:r>
        <w:rPr>
          <w:rFonts w:ascii="Times New Roman" w:hAnsi="Times New Roman"/>
          <w:b/>
          <w:sz w:val="24"/>
        </w:rPr>
        <w:t>Η</w:t>
      </w:r>
      <w:r>
        <w:rPr>
          <w:rFonts w:ascii="Times New Roman" w:hAnsi="Times New Roman"/>
          <w:b/>
          <w:sz w:val="24"/>
        </w:rPr>
        <w:t>ΣΕΙΣ ΙΔΙΩΝ ΚΕΦΑΛΑΙΩΝ</w:t>
      </w:r>
    </w:p>
    <w:p w:rsidR="00436204" w:rsidRPr="00392FFD" w:rsidRDefault="00436204" w:rsidP="00C87CEE">
      <w:pPr>
        <w:jc w:val="center"/>
        <w:rPr>
          <w:rFonts w:ascii="Times New Roman" w:hAnsi="Times New Roman"/>
          <w:b/>
          <w:sz w:val="24"/>
        </w:rPr>
      </w:pPr>
    </w:p>
    <w:p w:rsidR="00783881" w:rsidRPr="00392FFD" w:rsidRDefault="002648B0" w:rsidP="00FD239F">
      <w:pPr>
        <w:pStyle w:val="InstructionsText"/>
      </w:pPr>
      <w:r>
        <w:t>Πίνακας περιεχομένων</w:t>
      </w:r>
    </w:p>
    <w:p w:rsidR="00850C75" w:rsidRDefault="00363459">
      <w:pPr>
        <w:pStyle w:val="TOC2"/>
        <w:rPr>
          <w:rFonts w:asciiTheme="minorHAnsi" w:eastAsiaTheme="minorEastAsia" w:hAnsiTheme="minorHAnsi" w:cstheme="minorBidi"/>
          <w:b w:val="0"/>
          <w:smallCaps w:val="0"/>
          <w:sz w:val="22"/>
        </w:rPr>
      </w:pPr>
      <w:r>
        <w:rPr>
          <w:rFonts w:ascii="Times New Roman" w:hAnsi="Times New Roman"/>
          <w:sz w:val="24"/>
          <w:szCs w:val="24"/>
        </w:rPr>
        <w:fldChar w:fldCharType="begin"/>
      </w:r>
      <w:r w:rsidR="00745369">
        <w:rPr>
          <w:rFonts w:ascii="Times New Roman" w:hAnsi="Times New Roman"/>
          <w:sz w:val="24"/>
          <w:szCs w:val="24"/>
        </w:rPr>
        <w:instrText xml:space="preserve"> TOC \o "1-3" \h \z \u </w:instrText>
      </w:r>
      <w:r>
        <w:rPr>
          <w:rFonts w:ascii="Times New Roman" w:hAnsi="Times New Roman"/>
          <w:sz w:val="24"/>
          <w:szCs w:val="24"/>
        </w:rPr>
        <w:fldChar w:fldCharType="separate"/>
      </w:r>
    </w:p>
    <w:p w:rsidR="00B84B79" w:rsidRDefault="00363459">
      <w:pPr>
        <w:rPr>
          <w:rFonts w:asciiTheme="minorHAnsi" w:eastAsiaTheme="minorEastAsia" w:hAnsiTheme="minorHAnsi" w:cstheme="minorBidi"/>
          <w:sz w:val="22"/>
        </w:rPr>
        <w:sectPr w:rsidR="00B84B79" w:rsidSect="004D4419">
          <w:headerReference w:type="default" r:id="rId9"/>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t>TOC</w:t>
      </w:r>
      <w:r>
        <w:rPr>
          <w:rFonts w:ascii="Times New Roman" w:hAnsi="Times New Roman"/>
          <w:sz w:val="24"/>
        </w:rPr>
        <w:fldChar w:fldCharType="end"/>
      </w:r>
    </w:p>
    <w:p w:rsidR="007B4FD3" w:rsidRPr="00392FFD" w:rsidRDefault="007B4FD3" w:rsidP="00EC5046">
      <w:pPr>
        <w:rPr>
          <w:rFonts w:ascii="Times New Roman" w:hAnsi="Times New Roman"/>
          <w:sz w:val="24"/>
        </w:rPr>
      </w:pPr>
    </w:p>
    <w:p w:rsidR="002648B0" w:rsidRPr="00392FFD" w:rsidRDefault="002648B0" w:rsidP="00D64B66">
      <w:pPr>
        <w:pStyle w:val="Heading2"/>
        <w:rPr>
          <w:rFonts w:ascii="Times New Roman" w:hAnsi="Times New Roman"/>
        </w:rPr>
      </w:pPr>
      <w:bookmarkStart w:id="2" w:name="_Toc264038394"/>
      <w:bookmarkStart w:id="3" w:name="_Toc360188317"/>
      <w:bookmarkStart w:id="4" w:name="_Toc516210599"/>
      <w:bookmarkStart w:id="5" w:name="_Toc473560865"/>
      <w:r>
        <w:rPr>
          <w:rFonts w:ascii="Times New Roman" w:hAnsi="Times New Roman"/>
        </w:rPr>
        <w:t>ΜΕΡΟΣ I:</w:t>
      </w:r>
      <w:bookmarkEnd w:id="2"/>
      <w:r>
        <w:rPr>
          <w:rFonts w:ascii="Times New Roman" w:hAnsi="Times New Roman"/>
        </w:rPr>
        <w:t xml:space="preserve"> ΓΕΝΙΚΕΣ ΟΔΗΓΙΕΣ</w:t>
      </w:r>
      <w:bookmarkEnd w:id="3"/>
      <w:bookmarkEnd w:id="4"/>
      <w:bookmarkEnd w:id="5"/>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516210600"/>
      <w:bookmarkStart w:id="8" w:name="_Toc473560866"/>
      <w:r>
        <w:rPr>
          <w:rFonts w:ascii="Times New Roman" w:hAnsi="Times New Roman"/>
          <w:sz w:val="24"/>
          <w:u w:val="none"/>
        </w:rPr>
        <w:t>1.</w:t>
      </w:r>
      <w:r>
        <w:tab/>
      </w:r>
      <w:r>
        <w:rPr>
          <w:rFonts w:ascii="Times New Roman" w:hAnsi="Times New Roman"/>
          <w:sz w:val="24"/>
          <w:u w:val="none"/>
        </w:rPr>
        <w:t>Δομή και συμβάσεις</w:t>
      </w:r>
      <w:bookmarkEnd w:id="6"/>
      <w:bookmarkEnd w:id="7"/>
      <w:bookmarkEnd w:id="8"/>
    </w:p>
    <w:p w:rsidR="002648B0" w:rsidRPr="00392FFD"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516210601"/>
      <w:bookmarkStart w:id="11" w:name="_Toc473560867"/>
      <w:bookmarkStart w:id="12" w:name="_Toc264038399"/>
      <w:bookmarkStart w:id="13" w:name="_Toc294018834"/>
      <w:r>
        <w:rPr>
          <w:rFonts w:ascii="Times New Roman" w:hAnsi="Times New Roman"/>
          <w:sz w:val="24"/>
          <w:u w:val="none"/>
        </w:rPr>
        <w:t>1.1.</w:t>
      </w:r>
      <w:r>
        <w:tab/>
      </w:r>
      <w:r>
        <w:rPr>
          <w:rFonts w:ascii="Times New Roman" w:hAnsi="Times New Roman"/>
          <w:sz w:val="24"/>
          <w:u w:val="none"/>
        </w:rPr>
        <w:t>Δομή</w:t>
      </w:r>
      <w:bookmarkEnd w:id="9"/>
      <w:bookmarkEnd w:id="10"/>
      <w:bookmarkEnd w:id="11"/>
    </w:p>
    <w:p w:rsidR="002648B0" w:rsidRPr="00392FFD" w:rsidRDefault="00125707" w:rsidP="00C37B29">
      <w:pPr>
        <w:pStyle w:val="InstructionsText2"/>
        <w:numPr>
          <w:ilvl w:val="0"/>
          <w:numId w:val="0"/>
        </w:numPr>
        <w:ind w:left="993"/>
      </w:pPr>
      <w:r>
        <w:t>1.</w:t>
      </w:r>
      <w:r>
        <w:tab/>
        <w:t>Συνολικά, το πλαίσιο αποτελείται από πέντε δέσμες υποδειγμάτων:</w:t>
      </w:r>
    </w:p>
    <w:p w:rsidR="002648B0" w:rsidRPr="00392FFD" w:rsidRDefault="00125707" w:rsidP="00C37B29">
      <w:pPr>
        <w:pStyle w:val="InstructionsText2"/>
        <w:numPr>
          <w:ilvl w:val="0"/>
          <w:numId w:val="0"/>
        </w:numPr>
        <w:ind w:left="993"/>
      </w:pPr>
      <w:r>
        <w:t>α)</w:t>
      </w:r>
      <w:r>
        <w:tab/>
        <w:t>κεφαλαιακή επάρκεια, επισκόπηση του εποπτικού κεφαλαίου, συνολικό ποσό ανοίγματος σε κίνδυνο·</w:t>
      </w:r>
    </w:p>
    <w:p w:rsidR="00436204" w:rsidRPr="00392FFD" w:rsidRDefault="00125707" w:rsidP="00C37B29">
      <w:pPr>
        <w:pStyle w:val="InstructionsText2"/>
        <w:numPr>
          <w:ilvl w:val="0"/>
          <w:numId w:val="0"/>
        </w:numPr>
        <w:ind w:left="993"/>
      </w:pPr>
      <w:r>
        <w:t>β)</w:t>
      </w:r>
      <w:r>
        <w:tab/>
        <w:t>φερεγγυότητα ομίλου, επισκόπηση της εκπλήρωσης των απαιτήσεων φερε</w:t>
      </w:r>
      <w:r>
        <w:t>γ</w:t>
      </w:r>
      <w:r>
        <w:t>γυότητας από όλες τις οντότητες που περιλαμβάνονται στο πεδίο εφαρμογής της ενοποίησης της αναφέρουσας οντότητας·</w:t>
      </w:r>
    </w:p>
    <w:p w:rsidR="002648B0" w:rsidRPr="00392FFD" w:rsidRDefault="00125707" w:rsidP="00C37B29">
      <w:pPr>
        <w:pStyle w:val="InstructionsText2"/>
        <w:numPr>
          <w:ilvl w:val="0"/>
          <w:numId w:val="0"/>
        </w:numPr>
        <w:ind w:left="993"/>
      </w:pPr>
      <w:r>
        <w:t>γ)</w:t>
      </w:r>
      <w:r>
        <w:tab/>
        <w:t>πιστωτικός κίνδυνος (συμπεριλαμβανομένων των κινδύνων αντισυμβαλλομ</w:t>
      </w:r>
      <w:r>
        <w:t>έ</w:t>
      </w:r>
      <w:r>
        <w:t>νου, απομείωσης της αξίας εισπρακτέων και διακανονισμού)·</w:t>
      </w:r>
    </w:p>
    <w:p w:rsidR="002648B0" w:rsidRPr="00392FFD" w:rsidRDefault="00125707" w:rsidP="00C37B29">
      <w:pPr>
        <w:pStyle w:val="InstructionsText2"/>
        <w:numPr>
          <w:ilvl w:val="0"/>
          <w:numId w:val="0"/>
        </w:numPr>
        <w:ind w:left="993"/>
      </w:pPr>
      <w:r>
        <w:t>δ)</w:t>
      </w:r>
      <w:r>
        <w:tab/>
        <w:t>κίνδυνος αγοράς (συμπεριλαμβανομένου του κινδύνου θέσης στο χαρτοφυλ</w:t>
      </w:r>
      <w:r>
        <w:t>ά</w:t>
      </w:r>
      <w:r>
        <w:t>κιο συναλλαγών, του κινδύνου συναλλάγματος, του κινδύνου βασικού εμπορεύμ</w:t>
      </w:r>
      <w:r>
        <w:t>α</w:t>
      </w:r>
      <w:r>
        <w:t>τος και του κινδύνου προσαρμογής πιστωτικής αποτίμησης)·</w:t>
      </w:r>
    </w:p>
    <w:p w:rsidR="002648B0" w:rsidRPr="00392FFD" w:rsidRDefault="00125707" w:rsidP="00C37B29">
      <w:pPr>
        <w:pStyle w:val="InstructionsText2"/>
        <w:numPr>
          <w:ilvl w:val="0"/>
          <w:numId w:val="0"/>
        </w:numPr>
        <w:ind w:left="993"/>
      </w:pPr>
      <w:r>
        <w:t>ε)</w:t>
      </w:r>
      <w:r>
        <w:tab/>
        <w:t>λειτουργικός κίνδυνος.</w:t>
      </w:r>
    </w:p>
    <w:p w:rsidR="002648B0" w:rsidRPr="00392FFD" w:rsidRDefault="00125707" w:rsidP="00C37B29">
      <w:pPr>
        <w:pStyle w:val="InstructionsText2"/>
        <w:numPr>
          <w:ilvl w:val="0"/>
          <w:numId w:val="0"/>
        </w:numPr>
        <w:ind w:left="993"/>
      </w:pPr>
      <w:r>
        <w:t>2.</w:t>
      </w:r>
      <w:r>
        <w:tab/>
        <w:t>Για κάθε υπόδειγμα υπάρχουν παραπομπές σε νομικά κείμενα αναφοράς. Στο παρόν μέρος του εκτελεστικού τεχνικού προτύπου περιλαμβάνονται αναλυτικότ</w:t>
      </w:r>
      <w:r>
        <w:t>ε</w:t>
      </w:r>
      <w:r>
        <w:t>ρες πληροφορίες σχετικά με γενικότερες πτυχές της υποβολής αναφορών για κάθε δέσμη υποδειγμάτων, οδηγίες σχετικά με συγκεκριμένες θέσεις, καθώς και κανόνες επικύρωσης.</w:t>
      </w:r>
    </w:p>
    <w:p w:rsidR="005643EA" w:rsidRPr="00392FFD" w:rsidRDefault="00125707" w:rsidP="00C37B29">
      <w:pPr>
        <w:pStyle w:val="InstructionsText2"/>
        <w:numPr>
          <w:ilvl w:val="0"/>
          <w:numId w:val="0"/>
        </w:numPr>
        <w:ind w:left="993"/>
      </w:pPr>
      <w:r>
        <w:t>3.</w:t>
      </w:r>
      <w:r>
        <w:tab/>
        <w:t xml:space="preserve">Τα ιδρύματα υποβάλλουν αναφορές μόνο για τα σχετικά υποδείγματα ανάλογα με την προσέγγιση που χρησιμοποιείται για τον προσδιορισμό των απαιτήσεων </w:t>
      </w:r>
      <w:r>
        <w:t>ι</w:t>
      </w:r>
      <w:r>
        <w:t>δίων κεφαλαίων.</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516210602"/>
      <w:bookmarkStart w:id="16" w:name="_Toc473560868"/>
      <w:r>
        <w:rPr>
          <w:rFonts w:ascii="Times New Roman" w:hAnsi="Times New Roman"/>
          <w:sz w:val="24"/>
          <w:u w:val="none"/>
        </w:rPr>
        <w:t>1.2.</w:t>
      </w:r>
      <w:r>
        <w:tab/>
      </w:r>
      <w:r>
        <w:rPr>
          <w:rFonts w:ascii="Times New Roman" w:hAnsi="Times New Roman"/>
          <w:sz w:val="24"/>
          <w:u w:val="none"/>
        </w:rPr>
        <w:t>Κανόνες αρίθμησης</w:t>
      </w:r>
      <w:bookmarkEnd w:id="14"/>
      <w:bookmarkEnd w:id="15"/>
      <w:bookmarkEnd w:id="16"/>
    </w:p>
    <w:p w:rsidR="002648B0" w:rsidRPr="00392FFD" w:rsidRDefault="00125707" w:rsidP="00C37B29">
      <w:pPr>
        <w:pStyle w:val="InstructionsText2"/>
        <w:numPr>
          <w:ilvl w:val="0"/>
          <w:numId w:val="0"/>
        </w:numPr>
        <w:ind w:left="993"/>
      </w:pPr>
      <w:r>
        <w:t>4.</w:t>
      </w:r>
      <w:r>
        <w:tab/>
        <w:t>Το έγγραφο ακολουθεί τους κανόνες σήμανσης που ορίζονται στον ακόλουθο πίνακα, όταν γίνεται παραπομπή στις στήλες, τις γραμμές και τα κελιά των υπ</w:t>
      </w:r>
      <w:r>
        <w:t>ο</w:t>
      </w:r>
      <w:r>
        <w:t>δειγμάτων. Οι συγκεκριμένοι αριθμητικοί κωδικοί χρησιμοποιούνται εκτεταμένα στους κανόνες επικύρωσης.</w:t>
      </w:r>
    </w:p>
    <w:p w:rsidR="005643EA" w:rsidRPr="00392FFD" w:rsidRDefault="00125707" w:rsidP="00C37B29">
      <w:pPr>
        <w:pStyle w:val="InstructionsText2"/>
        <w:numPr>
          <w:ilvl w:val="0"/>
          <w:numId w:val="0"/>
        </w:numPr>
        <w:ind w:left="993"/>
      </w:pPr>
      <w:r>
        <w:t>5.</w:t>
      </w:r>
      <w:r>
        <w:tab/>
        <w:t>Στις οδηγίες χρησιμοποιείται το ακόλουθο γενικό σύμβολο: {Υπόδειγμα, Γραμμή, Στήλη}.</w:t>
      </w:r>
    </w:p>
    <w:p w:rsidR="002648B0" w:rsidRPr="00392FFD" w:rsidRDefault="00125707" w:rsidP="00C37B29">
      <w:pPr>
        <w:pStyle w:val="InstructionsText2"/>
        <w:numPr>
          <w:ilvl w:val="0"/>
          <w:numId w:val="0"/>
        </w:numPr>
        <w:ind w:left="993"/>
      </w:pPr>
      <w:r>
        <w:t>6.</w:t>
      </w:r>
      <w:r>
        <w:tab/>
        <w:t>Στην περίπτωση επικυρώσεων εντός ενός υποδείγματος, στο οποίο χρησιμ</w:t>
      </w:r>
      <w:r>
        <w:t>ο</w:t>
      </w:r>
      <w:r>
        <w:t>ποιούνται μόνο τα σημεία δεδομένων του συγκεκριμένου υποδείγματος, τα σύμβ</w:t>
      </w:r>
      <w:r>
        <w:t>ο</w:t>
      </w:r>
      <w:r>
        <w:t>λα δεν αναφέρονται σε υπόδειγμα: {Γραμμή, Στήλη}.</w:t>
      </w:r>
    </w:p>
    <w:p w:rsidR="005643EA" w:rsidRPr="00392FFD" w:rsidRDefault="00125707" w:rsidP="00C37B29">
      <w:pPr>
        <w:pStyle w:val="InstructionsText2"/>
        <w:numPr>
          <w:ilvl w:val="0"/>
          <w:numId w:val="0"/>
        </w:numPr>
        <w:ind w:left="993"/>
      </w:pPr>
      <w:r>
        <w:t>7.</w:t>
      </w:r>
      <w:r>
        <w:tab/>
        <w:t>Στην περίπτωση υποδειγμάτων με μόνο μία στήλη, αναφέρονται μόνον οι γραμμές: {Υπόδειγμα, Γραμμή}.</w:t>
      </w:r>
    </w:p>
    <w:p w:rsidR="002648B0" w:rsidRPr="00392FFD" w:rsidRDefault="00125707" w:rsidP="00C37B29">
      <w:pPr>
        <w:pStyle w:val="InstructionsText2"/>
        <w:numPr>
          <w:ilvl w:val="0"/>
          <w:numId w:val="0"/>
        </w:numPr>
        <w:ind w:left="993"/>
      </w:pPr>
      <w:r>
        <w:lastRenderedPageBreak/>
        <w:t>8.</w:t>
      </w:r>
      <w:r>
        <w:tab/>
        <w:t>Ο αστερίσκος χρησιμοποιείται για να εκφράσει την επικύρωση γραμμών ή στηλών που έχουν προσδιοριστεί προηγουμένως.</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516210603"/>
      <w:bookmarkStart w:id="19" w:name="_Toc473560869"/>
      <w:r>
        <w:rPr>
          <w:rFonts w:ascii="Times New Roman" w:hAnsi="Times New Roman"/>
          <w:sz w:val="24"/>
          <w:u w:val="none"/>
        </w:rPr>
        <w:t>1.3.</w:t>
      </w:r>
      <w:r>
        <w:tab/>
      </w:r>
      <w:r>
        <w:rPr>
          <w:rFonts w:ascii="Times New Roman" w:hAnsi="Times New Roman"/>
          <w:sz w:val="24"/>
          <w:u w:val="none"/>
        </w:rPr>
        <w:t>Κανόνες χρήσης προσήμου</w:t>
      </w:r>
      <w:bookmarkEnd w:id="12"/>
      <w:bookmarkEnd w:id="13"/>
      <w:bookmarkEnd w:id="17"/>
      <w:bookmarkEnd w:id="18"/>
      <w:bookmarkEnd w:id="19"/>
    </w:p>
    <w:p w:rsidR="002648B0" w:rsidRDefault="00125707" w:rsidP="00C37B29">
      <w:pPr>
        <w:pStyle w:val="InstructionsText2"/>
        <w:numPr>
          <w:ilvl w:val="0"/>
          <w:numId w:val="0"/>
        </w:numPr>
        <w:ind w:left="993"/>
      </w:pPr>
      <w:r>
        <w:t>9.</w:t>
      </w:r>
      <w:r>
        <w:tab/>
        <w:t xml:space="preserve">Οποιοδήποτε ποσό αυξάνει τα ίδια κεφάλαια ή τις κεφαλαιακές απαιτήσεις </w:t>
      </w:r>
      <w:r>
        <w:t>α</w:t>
      </w:r>
      <w:r>
        <w:t>ναφέρεται ως θετικό. Αντιθέτως, οποιοδήποτε ποσό μειώνει τα συνολικά ίδια κ</w:t>
      </w:r>
      <w:r>
        <w:t>ε</w:t>
      </w:r>
      <w:r>
        <w:t>φάλαια ή τις κεφαλαιακές απαιτήσεις αναφέρεται ως αρνητικό. Όπου υπάρχει α</w:t>
      </w:r>
      <w:r>
        <w:t>ρ</w:t>
      </w:r>
      <w:r>
        <w:t>νητικό πρόσημο (-) πριν από τον τίτλο ενός στοιχείου, δεν αναμένεται να αναφε</w:t>
      </w:r>
      <w:r>
        <w:t>ρ</w:t>
      </w:r>
      <w:r>
        <w:t>θεί θετική τιμή για το στοιχείο αυτό.</w:t>
      </w:r>
    </w:p>
    <w:p w:rsidR="00304CA5" w:rsidRPr="00392FFD" w:rsidRDefault="00304CA5" w:rsidP="00304CA5">
      <w:pPr>
        <w:pStyle w:val="Instructionsberschrift2"/>
        <w:numPr>
          <w:ilvl w:val="0"/>
          <w:numId w:val="0"/>
        </w:numPr>
        <w:ind w:left="357" w:hanging="357"/>
        <w:rPr>
          <w:rFonts w:ascii="Times New Roman" w:hAnsi="Times New Roman" w:cs="Times New Roman"/>
          <w:sz w:val="24"/>
          <w:u w:val="none"/>
        </w:rPr>
      </w:pPr>
      <w:bookmarkStart w:id="20" w:name="_Toc516210604"/>
      <w:r>
        <w:rPr>
          <w:rFonts w:ascii="Times New Roman" w:hAnsi="Times New Roman"/>
          <w:sz w:val="24"/>
          <w:u w:val="none"/>
        </w:rPr>
        <w:t>1.4.</w:t>
      </w:r>
      <w:r>
        <w:tab/>
      </w:r>
      <w:r>
        <w:rPr>
          <w:rFonts w:ascii="Times New Roman" w:hAnsi="Times New Roman"/>
          <w:sz w:val="24"/>
          <w:u w:val="none"/>
        </w:rPr>
        <w:t>Συντομογραφίες</w:t>
      </w:r>
      <w:bookmarkEnd w:id="20"/>
    </w:p>
    <w:p w:rsidR="00304CA5" w:rsidRPr="001F2830" w:rsidRDefault="00304CA5" w:rsidP="00C37B29">
      <w:pPr>
        <w:pStyle w:val="InstructionsText2"/>
        <w:numPr>
          <w:ilvl w:val="0"/>
          <w:numId w:val="0"/>
        </w:numPr>
        <w:ind w:left="993"/>
      </w:pPr>
      <w:r>
        <w:t xml:space="preserve">9α. Για τους σκοπούς του παρόντος παραρτήματος, ο κανονισμός (ΕΕ) αριθ. 575/2013 αναφέρεται ως «ΚΚΑ», </w:t>
      </w:r>
      <w:r>
        <w:rPr>
          <w:rStyle w:val="FormatvorlageInstructionsTabelleText"/>
          <w:rFonts w:ascii="Times New Roman" w:hAnsi="Times New Roman"/>
          <w:sz w:val="24"/>
        </w:rPr>
        <w:t>και</w:t>
      </w:r>
      <w:r>
        <w:t xml:space="preserve"> η οδηγία 2013/36/ΕΕ του Ευρωπαϊκού Κο</w:t>
      </w:r>
      <w:r>
        <w:t>ι</w:t>
      </w:r>
      <w:r>
        <w:t>νοβουλίου και του Συμβουλίου αναφέρεται ως «ΟΚΑ».</w:t>
      </w:r>
    </w:p>
    <w:p w:rsidR="00304CA5" w:rsidRPr="00392FFD" w:rsidRDefault="00304CA5" w:rsidP="00C37B29">
      <w:pPr>
        <w:pStyle w:val="InstructionsText2"/>
        <w:numPr>
          <w:ilvl w:val="0"/>
          <w:numId w:val="0"/>
        </w:numPr>
        <w:ind w:left="993"/>
      </w:pPr>
    </w:p>
    <w:p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22" w:name="_Toc360188322"/>
      <w:bookmarkStart w:id="23" w:name="_Toc516210605"/>
      <w:bookmarkStart w:id="24" w:name="_Toc473560870"/>
      <w:r>
        <w:rPr>
          <w:rFonts w:ascii="Times New Roman" w:hAnsi="Times New Roman"/>
        </w:rPr>
        <w:t>ΜΕΡΟΣ ΙΙ: ΟΔΗΓΙΕΣ ΣΧΕΤΙΚΑ ΜΕ ΤΑ ΥΠΟΔΕΙΓΜΑΤΑ</w:t>
      </w:r>
      <w:bookmarkEnd w:id="22"/>
      <w:bookmarkEnd w:id="23"/>
      <w:bookmarkEnd w:id="24"/>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360188323"/>
      <w:bookmarkStart w:id="26" w:name="_Toc516210606"/>
      <w:bookmarkStart w:id="27" w:name="_Toc473560871"/>
      <w:r>
        <w:rPr>
          <w:rFonts w:ascii="Times New Roman" w:hAnsi="Times New Roman"/>
          <w:sz w:val="24"/>
          <w:u w:val="none"/>
        </w:rPr>
        <w:t>1.</w:t>
      </w:r>
      <w:r>
        <w:tab/>
      </w:r>
      <w:r>
        <w:rPr>
          <w:rFonts w:ascii="Times New Roman" w:hAnsi="Times New Roman"/>
          <w:sz w:val="24"/>
          <w:u w:val="none"/>
        </w:rPr>
        <w:t>Επισκόπηση κεφαλαιακής επάρκειας</w:t>
      </w:r>
      <w:bookmarkEnd w:id="25"/>
      <w:r>
        <w:rPr>
          <w:rFonts w:ascii="Times New Roman" w:hAnsi="Times New Roman"/>
          <w:sz w:val="24"/>
          <w:u w:val="none"/>
        </w:rPr>
        <w:t xml:space="preserve"> (CA)</w:t>
      </w:r>
      <w:bookmarkEnd w:id="26"/>
      <w:bookmarkEnd w:id="27"/>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516210607"/>
      <w:bookmarkStart w:id="31" w:name="_Toc473560872"/>
      <w:r>
        <w:rPr>
          <w:rFonts w:ascii="Times New Roman" w:hAnsi="Times New Roman"/>
          <w:sz w:val="24"/>
          <w:u w:val="none"/>
        </w:rPr>
        <w:t>1.1.</w:t>
      </w:r>
      <w:r>
        <w:tab/>
      </w:r>
      <w:r>
        <w:rPr>
          <w:rFonts w:ascii="Times New Roman" w:hAnsi="Times New Roman"/>
          <w:sz w:val="24"/>
          <w:u w:val="none"/>
        </w:rPr>
        <w:t>Γενικές παρατηρήσεις</w:t>
      </w:r>
      <w:bookmarkEnd w:id="28"/>
      <w:bookmarkEnd w:id="29"/>
      <w:bookmarkEnd w:id="30"/>
      <w:bookmarkEnd w:id="31"/>
    </w:p>
    <w:p w:rsidR="002648B0" w:rsidRPr="00392FFD" w:rsidRDefault="00125707" w:rsidP="00C37B29">
      <w:pPr>
        <w:pStyle w:val="InstructionsText2"/>
        <w:numPr>
          <w:ilvl w:val="0"/>
          <w:numId w:val="0"/>
        </w:numPr>
        <w:ind w:left="993"/>
      </w:pPr>
      <w:r>
        <w:t>10.</w:t>
      </w:r>
      <w:r>
        <w:tab/>
        <w:t xml:space="preserve">Τα υποδείγματα CA περιέχουν πληροφορίες σχετικά με τους αριθμητές του πυλώνα Ι (ίδια κεφάλαια, κατηγορία 1, κεφάλαιο κοινών μετοχών κατηγορίας 1), τον παρονομαστή (απαιτήσεις ιδίων κεφαλαίων) και τις μεταβατικές διατάξεις, και είναι διαρθρωμένα σε πέντε υποδείγματα: </w:t>
      </w:r>
    </w:p>
    <w:p w:rsidR="005643EA" w:rsidRPr="00392FFD" w:rsidRDefault="00125707" w:rsidP="00C37B29">
      <w:pPr>
        <w:pStyle w:val="InstructionsText2"/>
        <w:numPr>
          <w:ilvl w:val="0"/>
          <w:numId w:val="0"/>
        </w:numPr>
        <w:ind w:left="993"/>
      </w:pPr>
      <w:r>
        <w:t>α)</w:t>
      </w:r>
      <w:r>
        <w:tab/>
        <w:t>Το υπόδειγμα CA1 περιέχει το ποσό των ιδίων κεφαλαίων των ιδρυμάτων, δ</w:t>
      </w:r>
      <w:r>
        <w:t>ι</w:t>
      </w:r>
      <w:r>
        <w:t>αχωρισμένο στα στοιχεία που απαιτούνται για τη συγκέντρωση του ποσού αυτού. Το λαμβανόμενο ποσό ιδίων κεφαλαίων περιλαμβάνει το συσσωρευτικό αποτέλ</w:t>
      </w:r>
      <w:r>
        <w:t>ε</w:t>
      </w:r>
      <w:r>
        <w:t>σμα των μεταβατικών διατάξεων ανά τύπο κεφαλαίου.</w:t>
      </w:r>
    </w:p>
    <w:p w:rsidR="005643EA" w:rsidRPr="00392FFD" w:rsidRDefault="00125707" w:rsidP="00C37B29">
      <w:pPr>
        <w:pStyle w:val="InstructionsText2"/>
        <w:numPr>
          <w:ilvl w:val="0"/>
          <w:numId w:val="0"/>
        </w:numPr>
        <w:ind w:left="993"/>
      </w:pPr>
      <w:r>
        <w:t>β)</w:t>
      </w:r>
      <w:r>
        <w:tab/>
        <w:t>Στο υπόδειγμα CA2 συνοψίζονται τα συνολικά ποσά ανοιγμάτων στον κίνδ</w:t>
      </w:r>
      <w:r>
        <w:t>υ</w:t>
      </w:r>
      <w:r>
        <w:t>νο, όπως ορίζονται στο άρθρο 92 παράγραφος 3 του «KKA».</w:t>
      </w:r>
    </w:p>
    <w:p w:rsidR="005643EA" w:rsidRPr="00392FFD" w:rsidRDefault="00125707" w:rsidP="00C37B29">
      <w:pPr>
        <w:pStyle w:val="InstructionsText2"/>
        <w:numPr>
          <w:ilvl w:val="0"/>
          <w:numId w:val="0"/>
        </w:numPr>
        <w:ind w:left="993"/>
      </w:pPr>
      <w:r>
        <w:t>γ)</w:t>
      </w:r>
      <w:r>
        <w:tab/>
        <w:t>Το υπόδειγμα CA3 περιέχει τους δείκτες για τους οποίους προσδιορίζεται ελ</w:t>
      </w:r>
      <w:r>
        <w:t>ά</w:t>
      </w:r>
      <w:r>
        <w:t>χιστο επίπεδο στον KKA, και ορισμένα άλλα σχετικά δεδομένα.</w:t>
      </w:r>
    </w:p>
    <w:p w:rsidR="005643EA" w:rsidRPr="00392FFD" w:rsidRDefault="00125707" w:rsidP="00C37B29">
      <w:pPr>
        <w:pStyle w:val="InstructionsText2"/>
        <w:numPr>
          <w:ilvl w:val="0"/>
          <w:numId w:val="0"/>
        </w:numPr>
        <w:ind w:left="993"/>
      </w:pPr>
      <w:r>
        <w:t>δ)</w:t>
      </w:r>
      <w:r>
        <w:tab/>
        <w:t xml:space="preserve">Το υπόδειγμα CA4 περιλαμβάνει υπομνηματικά στοιχεία που απαιτούνται για τον υπολογισμό των στοιχείων του υποδείγματος CA1, καθώς και πληροφορίες για τα κεφαλαιακά αποθέματα ασφαλείας της οδηγίας σχετικά με τις κεφαλαιακές </w:t>
      </w:r>
      <w:r>
        <w:t>α</w:t>
      </w:r>
      <w:r>
        <w:t xml:space="preserve">παιτήσεις (OKA). </w:t>
      </w:r>
    </w:p>
    <w:p w:rsidR="005643EA" w:rsidRPr="00392FFD" w:rsidRDefault="00125707" w:rsidP="00C37B29">
      <w:pPr>
        <w:pStyle w:val="InstructionsText2"/>
        <w:numPr>
          <w:ilvl w:val="0"/>
          <w:numId w:val="0"/>
        </w:numPr>
        <w:ind w:left="993"/>
      </w:pPr>
      <w:r>
        <w:t>ε)</w:t>
      </w:r>
      <w:r>
        <w:tab/>
        <w:t>Το υπόδειγμα CA5 περιέχει τα δεδομένα που απαιτούνται για τον υπολογισμό της επίπτωσης των μεταβατικών διατάξεων στα ίδια κεφάλαια. Το υπόδειγμα CA5 θα παύσει να υφίσταται μετά τη λήξη της ισχύος των μεταβατικών διατάξεων.</w:t>
      </w:r>
    </w:p>
    <w:p w:rsidR="00783881" w:rsidRPr="00392FFD" w:rsidRDefault="00125707" w:rsidP="00C37B29">
      <w:pPr>
        <w:pStyle w:val="InstructionsText2"/>
        <w:numPr>
          <w:ilvl w:val="0"/>
          <w:numId w:val="0"/>
        </w:numPr>
        <w:ind w:left="993"/>
      </w:pPr>
      <w:r>
        <w:t>11.</w:t>
      </w:r>
      <w:r>
        <w:tab/>
        <w:t>Τα υποδείγματα εφαρμόζονται για όλες τις οντότητες που υποβάλλουν αναφ</w:t>
      </w:r>
      <w:r>
        <w:t>ο</w:t>
      </w:r>
      <w:r>
        <w:t>ρά, ανεξαρτήτως των λογιστικών προτύπων που εφαρμόζονται, παρόλο που ορ</w:t>
      </w:r>
      <w:r>
        <w:t>ι</w:t>
      </w:r>
      <w:r>
        <w:t>σμένα στοιχεία στον αριθμητή αφορούν συγκεκριμένα οντότητες που εφαρμόζουν κανόνες αποτίμησης βάσει των ΔΛΠ/ΔΠΧΑ. Γενικά, οι πληροφορίες του παρον</w:t>
      </w:r>
      <w:r>
        <w:t>ο</w:t>
      </w:r>
      <w:r>
        <w:t>μαστή συνδέονται με τα τελικά αποτελέσματα που αναφέρονται στα αντίστοιχα υποδείγματα για τον υπολογισμό του συνολικού ποσού ανοίγματος σε κίνδυνο.</w:t>
      </w:r>
    </w:p>
    <w:p w:rsidR="005643EA" w:rsidRPr="00392FFD" w:rsidRDefault="00125707" w:rsidP="00C37B29">
      <w:pPr>
        <w:pStyle w:val="InstructionsText2"/>
        <w:numPr>
          <w:ilvl w:val="0"/>
          <w:numId w:val="0"/>
        </w:numPr>
        <w:ind w:left="993"/>
      </w:pPr>
      <w:r>
        <w:t>12.</w:t>
      </w:r>
      <w:r>
        <w:tab/>
        <w:t xml:space="preserve">Τα συνολικά ίδια κεφάλαια αποτελούνται από διαφορετικά είδη κεφαλαίων: Το κεφάλαιο της κατηγορίας 1 (Τ1), που είναι το άθροισμα του κεφαλαίου κοινών μετοχών της κατηγορίας 1 (CET1) και του πρόσθετου κεφαλαίου της κατηγορίας 1 (ΑΤ1), καθώς και το κεφάλαιο της κατηγορίας 2 (Τ2). </w:t>
      </w:r>
    </w:p>
    <w:p w:rsidR="00783881" w:rsidRPr="00392FFD" w:rsidRDefault="00125707" w:rsidP="00C37B29">
      <w:pPr>
        <w:pStyle w:val="InstructionsText2"/>
        <w:numPr>
          <w:ilvl w:val="0"/>
          <w:numId w:val="0"/>
        </w:numPr>
        <w:ind w:left="993"/>
      </w:pPr>
      <w:r>
        <w:t>13.</w:t>
      </w:r>
      <w:r>
        <w:tab/>
        <w:t>Οι μεταβατικές διατάξεις αντιμετωπίζονται ως εξής στα υποδείγματα CA:</w:t>
      </w:r>
    </w:p>
    <w:p w:rsidR="00783881" w:rsidRPr="00392FFD" w:rsidRDefault="00125707" w:rsidP="00C37B29">
      <w:pPr>
        <w:pStyle w:val="InstructionsText2"/>
        <w:numPr>
          <w:ilvl w:val="0"/>
          <w:numId w:val="0"/>
        </w:numPr>
        <w:ind w:left="993"/>
      </w:pPr>
      <w:r>
        <w:t>α)</w:t>
      </w:r>
      <w:r>
        <w:tab/>
        <w:t>Τα στοιχεία στο υπόδειγμα CA1 περιλαμβάνουν γενικά μεταβατικές προσα</w:t>
      </w:r>
      <w:r>
        <w:t>ρ</w:t>
      </w:r>
      <w:r>
        <w:t>μογές. Αυτό σημαίνει ότι τα ποσά στα στοιχεία του υποδείγματος CA1 υπολογίζ</w:t>
      </w:r>
      <w:r>
        <w:t>ο</w:t>
      </w:r>
      <w:r>
        <w:t>νται σύμφωνα με τις τελικές διατάξεις (δηλαδή, ως εάν να μην υπήρχαν μεταβατ</w:t>
      </w:r>
      <w:r>
        <w:t>ι</w:t>
      </w:r>
      <w:r>
        <w:t xml:space="preserve">κές διατάξεις), με την εξαίρεση των στοιχείων που συνοψίζουν την επίδραση των μεταβατικών διατάξεων. Για κάθε τύπο κεφαλαίου (δηλαδή, CET1, AT1 και Τ2) </w:t>
      </w:r>
      <w:r>
        <w:lastRenderedPageBreak/>
        <w:t>υπάρχουν τρία διαφορετικά στοιχεία στα οποία περιλαμβάνονται όλες οι προσα</w:t>
      </w:r>
      <w:r>
        <w:t>ρ</w:t>
      </w:r>
      <w:r>
        <w:t>μογές λόγω των μεταβατικών διατάξεων.</w:t>
      </w:r>
    </w:p>
    <w:p w:rsidR="00113EA5" w:rsidRPr="00392FFD" w:rsidRDefault="00125707" w:rsidP="00C37B29">
      <w:pPr>
        <w:pStyle w:val="InstructionsText2"/>
        <w:numPr>
          <w:ilvl w:val="0"/>
          <w:numId w:val="0"/>
        </w:numPr>
        <w:ind w:left="993"/>
      </w:pPr>
      <w:r>
        <w:t>β)</w:t>
      </w:r>
      <w:r>
        <w:tab/>
        <w:t>Οι μεταβατικές διατάξεις ενδέχεται να επηρεάζουν επίσης την υστέρηση του ΑΤ1 και του Τ2 (δηλαδή, το υπερβάλλον ποσό αφαίρεσης από το ΑΤ1 ή το Τ2, όπως προσδιορίζεται στο άρθρο 36 παράγραφος 1 στοιχείο ι) και στο άρθρο 56 στοιχείο ε) του KKA, αντιστοίχως) και, επομένως, τα στοιχεία που περιέχουν τις υστερήσεις αυτές ενδέχεται να αντανακλούν εμμέσως το αποτέλεσμα των μεταβ</w:t>
      </w:r>
      <w:r>
        <w:t>α</w:t>
      </w:r>
      <w:r>
        <w:t>τικών διατάξεων.</w:t>
      </w:r>
    </w:p>
    <w:p w:rsidR="005643EA" w:rsidRPr="00392FFD" w:rsidRDefault="00125707" w:rsidP="00C37B29">
      <w:pPr>
        <w:pStyle w:val="InstructionsText2"/>
        <w:numPr>
          <w:ilvl w:val="0"/>
          <w:numId w:val="0"/>
        </w:numPr>
        <w:ind w:left="993"/>
      </w:pPr>
      <w:r>
        <w:t>γ)</w:t>
      </w:r>
      <w:r>
        <w:tab/>
        <w:t>Το υπόδειγμα CA5 χρησιμοποιείται αποκλειστικά για την αναφορά των μετ</w:t>
      </w:r>
      <w:r>
        <w:t>α</w:t>
      </w:r>
      <w:r>
        <w:t xml:space="preserve">βατικών διατάξεων. </w:t>
      </w:r>
    </w:p>
    <w:p w:rsidR="00783881" w:rsidRPr="00392FFD" w:rsidRDefault="00125707" w:rsidP="00C37B29">
      <w:pPr>
        <w:pStyle w:val="InstructionsText2"/>
        <w:numPr>
          <w:ilvl w:val="0"/>
          <w:numId w:val="0"/>
        </w:numPr>
        <w:ind w:left="993"/>
      </w:pPr>
      <w:r>
        <w:t>14.</w:t>
      </w:r>
      <w:r>
        <w:tab/>
        <w:t>Η αντιμετώπιση των απαιτήσεων του πυλώνα II δύναται διαφέρει εντός της ΕΕ (το άρθρο 104 παράγραφος 2 της OKA IV πρέπει να ενσωματωθεί στην εθνική ν</w:t>
      </w:r>
      <w:r>
        <w:t>ο</w:t>
      </w:r>
      <w:r>
        <w:t>μοθεσία). Μόνον οι επιπτώσεις των απαιτήσεων του πυλώνα II στον συντελεστή φερεγγυότητας ή τον συντελεστή στόχο περιλαμβάνονται στην αναφορά φερεγγυ</w:t>
      </w:r>
      <w:r>
        <w:t>ό</w:t>
      </w:r>
      <w:r>
        <w:t>τητας του KKA. Αναλυτική αναφορά των απαιτήσεων του πυλώνα II δεν προβλ</w:t>
      </w:r>
      <w:r>
        <w:t>έ</w:t>
      </w:r>
      <w:r>
        <w:t xml:space="preserve">πεται στο άρθρο 99 του KKA. </w:t>
      </w:r>
    </w:p>
    <w:p w:rsidR="005643EA" w:rsidRPr="00392FFD" w:rsidRDefault="00125707" w:rsidP="00C37B29">
      <w:pPr>
        <w:pStyle w:val="InstructionsText2"/>
        <w:numPr>
          <w:ilvl w:val="0"/>
          <w:numId w:val="0"/>
        </w:numPr>
        <w:ind w:left="993"/>
      </w:pPr>
      <w:r>
        <w:t>α)</w:t>
      </w:r>
      <w:r>
        <w:tab/>
        <w:t>Τα υποδείγματα CA1, CA2 ή CA5 περιέχουν μόνο δεδομένα σχετικά με ζητ</w:t>
      </w:r>
      <w:r>
        <w:t>ή</w:t>
      </w:r>
      <w:r>
        <w:t>ματα του πυλώνα Ι.</w:t>
      </w:r>
    </w:p>
    <w:p w:rsidR="005643EA" w:rsidRPr="00392FFD" w:rsidRDefault="00125707" w:rsidP="00C37B29">
      <w:pPr>
        <w:pStyle w:val="InstructionsText2"/>
        <w:numPr>
          <w:ilvl w:val="0"/>
          <w:numId w:val="0"/>
        </w:numPr>
        <w:ind w:left="993"/>
      </w:pPr>
      <w:r>
        <w:t>β)</w:t>
      </w:r>
      <w:r>
        <w:tab/>
        <w:t xml:space="preserve">Το υπόδειγμα CA3 περιέχει τις επιπτώσεις των πρόσθετων απαιτήσεων του πυλώνα II στον συντελεστή φερεγγυότητας σε σωρευτική βάση. Η μία δέσμη </w:t>
      </w:r>
      <w:r>
        <w:t>ε</w:t>
      </w:r>
      <w:r>
        <w:t>στιάζεται στον αντίκτυπο των ποσών στους συντελεστές, ενώ η άλλη δέσμη εστι</w:t>
      </w:r>
      <w:r>
        <w:t>ά</w:t>
      </w:r>
      <w:r>
        <w:t>ζεται στον ίδιο τον συντελεστή. Καμία από τις δέσμες των συντελεστών δεν συνδ</w:t>
      </w:r>
      <w:r>
        <w:t>έ</w:t>
      </w:r>
      <w:r>
        <w:t xml:space="preserve">εται περαιτέρω με τα υποδείγματα CA1, CA2 ή CA5. </w:t>
      </w:r>
    </w:p>
    <w:p w:rsidR="005643EA" w:rsidRPr="00392FFD" w:rsidRDefault="00125707" w:rsidP="00C37B29">
      <w:pPr>
        <w:pStyle w:val="InstructionsText2"/>
        <w:numPr>
          <w:ilvl w:val="0"/>
          <w:numId w:val="0"/>
        </w:numPr>
        <w:ind w:left="993"/>
      </w:pPr>
      <w:r>
        <w:t>γ)</w:t>
      </w:r>
      <w:r>
        <w:tab/>
        <w:t>Το υπόδειγμα CA4 περιέχει ένα κελί για τις πρόσθετες απαιτήσεις ιδίων κεφ</w:t>
      </w:r>
      <w:r>
        <w:t>α</w:t>
      </w:r>
      <w:r>
        <w:t xml:space="preserve">λαίων αναφορικά με τον πυλώνα ΙΙ. Το κελί αυτό δεν συνδέεται μέσω κανόνων </w:t>
      </w:r>
      <w:r>
        <w:t>ε</w:t>
      </w:r>
      <w:r>
        <w:t>πικύρωσης με τους δείκτες κεφαλαίου του υποδείγματος CA3 και αντανακλά το άρθρο 104 παράγραφος 2 της OKA, το οποίο αναφέρει ρητώς τις συμπληρωματ</w:t>
      </w:r>
      <w:r>
        <w:t>ι</w:t>
      </w:r>
      <w:r>
        <w:t>κές απαιτήσεις ιδίων κεφαλαίων ως μία πιθανότητα για τη λήψη αποφάσεων του πυλώνα ΙΙ.</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32" w:name="_Toc516210608"/>
      <w:bookmarkStart w:id="33" w:name="_Toc473560873"/>
      <w:bookmarkStart w:id="34" w:name="_Toc308175820"/>
      <w:bookmarkStart w:id="35" w:name="_Toc360188325"/>
      <w:r>
        <w:rPr>
          <w:rFonts w:ascii="Times New Roman" w:hAnsi="Times New Roman"/>
          <w:sz w:val="24"/>
          <w:u w:val="none"/>
        </w:rPr>
        <w:t>1.2.</w:t>
      </w:r>
      <w:r>
        <w:tab/>
      </w:r>
      <w:r>
        <w:rPr>
          <w:rFonts w:ascii="Times New Roman" w:hAnsi="Times New Roman"/>
          <w:sz w:val="24"/>
        </w:rPr>
        <w:t>C 01.00 – ΙΔΙΑ ΚΕΦΑΛΑΙΑ (CA1)</w:t>
      </w:r>
      <w:bookmarkEnd w:id="32"/>
      <w:bookmarkEnd w:id="33"/>
      <w:r>
        <w:rPr>
          <w:rFonts w:ascii="Times New Roman" w:hAnsi="Times New Roman"/>
          <w:sz w:val="24"/>
        </w:rPr>
        <w:t xml:space="preserve"> </w:t>
      </w:r>
      <w:bookmarkEnd w:id="34"/>
      <w:bookmarkEnd w:id="3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36" w:name="_Toc308175821"/>
      <w:bookmarkStart w:id="37" w:name="_Toc310414968"/>
      <w:bookmarkStart w:id="38" w:name="_Toc360188326"/>
      <w:bookmarkStart w:id="39" w:name="_Toc516210609"/>
      <w:bookmarkStart w:id="40" w:name="_Toc473560874"/>
      <w:r>
        <w:rPr>
          <w:rFonts w:ascii="Times New Roman" w:hAnsi="Times New Roman"/>
          <w:sz w:val="24"/>
          <w:u w:val="none"/>
        </w:rPr>
        <w:t>1.2.1.</w:t>
      </w:r>
      <w:r>
        <w:tab/>
      </w:r>
      <w:r>
        <w:rPr>
          <w:rFonts w:ascii="Times New Roman" w:hAnsi="Times New Roman"/>
          <w:sz w:val="24"/>
        </w:rPr>
        <w:t xml:space="preserve">Οδηγίες για συγκεκριμένες </w:t>
      </w:r>
      <w:bookmarkEnd w:id="36"/>
      <w:bookmarkEnd w:id="37"/>
      <w:r>
        <w:rPr>
          <w:rFonts w:ascii="Times New Roman" w:hAnsi="Times New Roman"/>
          <w:sz w:val="24"/>
        </w:rPr>
        <w:t>θέσεις</w:t>
      </w:r>
      <w:bookmarkEnd w:id="38"/>
      <w:bookmarkEnd w:id="39"/>
      <w:bookmarkEnd w:id="40"/>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Γραμμή</w:t>
            </w:r>
          </w:p>
        </w:tc>
        <w:tc>
          <w:tcPr>
            <w:tcW w:w="7620"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rsidR="00D7242F"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Ίδια κεφάλαια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118) και άρθρο 72 του ΚΚΑ</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Τα ίδια κεφάλαια ενός ιδρύματος απαρτίζονται από το άθροισμα του κεφ</w:t>
            </w:r>
            <w:r>
              <w:rPr>
                <w:rStyle w:val="FormatvorlageInstructionsTabelleText"/>
                <w:rFonts w:ascii="Times New Roman" w:hAnsi="Times New Roman"/>
                <w:sz w:val="24"/>
              </w:rPr>
              <w:t>α</w:t>
            </w:r>
            <w:r>
              <w:rPr>
                <w:rStyle w:val="FormatvorlageInstructionsTabelleText"/>
                <w:rFonts w:ascii="Times New Roman" w:hAnsi="Times New Roman"/>
                <w:sz w:val="24"/>
              </w:rPr>
              <w:t>λαίου της κατηγορίας 1 και του κεφαλαίου της κατηγορίας 2.</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Κεφάλαιο της κατηγορίας 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25 του ΚΚΑ</w:t>
            </w:r>
          </w:p>
          <w:p w:rsidR="005643EA" w:rsidRPr="00392FFD" w:rsidRDefault="00666996"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Το κεφάλαιο της κατηγορίας 1 είναι το άθροισμα του κεφαλαίου κοινών μ</w:t>
            </w:r>
            <w:r>
              <w:rPr>
                <w:rStyle w:val="FormatvorlageInstructionsTabelleText"/>
                <w:rFonts w:ascii="Times New Roman" w:hAnsi="Times New Roman"/>
                <w:sz w:val="24"/>
              </w:rPr>
              <w:t>ε</w:t>
            </w:r>
            <w:r>
              <w:rPr>
                <w:rStyle w:val="FormatvorlageInstructionsTabelleText"/>
                <w:rFonts w:ascii="Times New Roman" w:hAnsi="Times New Roman"/>
                <w:sz w:val="24"/>
              </w:rPr>
              <w:t xml:space="preserve">τοχών της κατηγορίας 1 και του πρόσθετου κεφαλαίου της κατηγορίας 1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Κεφάλαιο κοινών μετοχών της κατηγορίας 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50 του ΚΚΑ</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w:t>
            </w:r>
          </w:p>
        </w:tc>
        <w:tc>
          <w:tcPr>
            <w:tcW w:w="7620" w:type="dxa"/>
          </w:tcPr>
          <w:p w:rsidR="005643EA" w:rsidRPr="0023700C" w:rsidRDefault="000120E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Κεφαλαιακά μέσα που είναι επιλέξιμα ως κεφάλαιο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26 παράγραφος 1 στοιχεία α) και β), άρθρα 27 έως 30, άρθρο 36 π</w:t>
            </w:r>
            <w:r>
              <w:rPr>
                <w:rStyle w:val="FormatvorlageInstructionsTabelleText"/>
                <w:rFonts w:ascii="Times New Roman" w:hAnsi="Times New Roman"/>
                <w:sz w:val="24"/>
              </w:rPr>
              <w:t>α</w:t>
            </w:r>
            <w:r>
              <w:rPr>
                <w:rStyle w:val="FormatvorlageInstructionsTabelleText"/>
                <w:rFonts w:ascii="Times New Roman" w:hAnsi="Times New Roman"/>
                <w:sz w:val="24"/>
              </w:rPr>
              <w:t>ράγραφος 1 στοιχείο στ) και άρθρο 42 του ΚΚΑ</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Καταβεβλημένα κεφαλαιακά μέσα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26 παράγραφος 1 στοιχείο α) και άρθρα 27 έως 31 του ΚΚΑ</w:t>
            </w:r>
          </w:p>
          <w:p w:rsidR="00FE3BD8"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Περιλαμβάνονται κεφαλαιακά μέσα αλληλασφαλιστικών ενώσεων, συν</w:t>
            </w:r>
            <w:r>
              <w:rPr>
                <w:rStyle w:val="FormatvorlageInstructionsTabelleText"/>
                <w:rFonts w:ascii="Times New Roman" w:hAnsi="Times New Roman"/>
                <w:sz w:val="24"/>
              </w:rPr>
              <w:t>ε</w:t>
            </w:r>
            <w:r>
              <w:rPr>
                <w:rStyle w:val="FormatvorlageInstructionsTabelleText"/>
                <w:rFonts w:ascii="Times New Roman" w:hAnsi="Times New Roman"/>
                <w:sz w:val="24"/>
              </w:rPr>
              <w:t>ταιριστικών εταιρειών ή παρόμοιων ιδρυμάτων (άρθρα 27 και 29 του ΚΚΑ).</w:t>
            </w:r>
          </w:p>
          <w:p w:rsidR="00FE3BD8"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Δεν περιλαμβάνεται η διαφορά από την έκδοση μετοχών υπέρ το άρτιο που αφορά τα μέσα.</w:t>
            </w:r>
          </w:p>
          <w:p w:rsidR="005643EA"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Κεφαλαιακά μέσα που αναλαμβάνονται από δημόσιες αρχές σε καταστάσεις έκτακτης ανάγκης περιλαμβάνονται εάν συντρέχουν όλες οι προϋποθέσεις του άρθρου 31 του ΚΚΑ.</w:t>
            </w:r>
          </w:p>
        </w:tc>
      </w:tr>
      <w:tr w:rsidR="00216D67" w:rsidRPr="00392FFD" w:rsidTr="00672D2A">
        <w:tc>
          <w:tcPr>
            <w:tcW w:w="1129" w:type="dxa"/>
          </w:tcPr>
          <w:p w:rsidR="00216D67" w:rsidRPr="00392FFD" w:rsidRDefault="00216D67"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w:t>
            </w:r>
          </w:p>
        </w:tc>
        <w:tc>
          <w:tcPr>
            <w:tcW w:w="7620" w:type="dxa"/>
          </w:tcPr>
          <w:p w:rsidR="00216D67" w:rsidRPr="00295225" w:rsidRDefault="00DD2C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Εκ των οποίων: Κεφαλαιακά μέσα που αναλαμβάνονται από δημόσιες αρχές σε καταστάσεις έκτακτης ανάγκης</w:t>
            </w:r>
          </w:p>
          <w:p w:rsidR="00216D67" w:rsidRPr="00392FFD" w:rsidRDefault="00216D67"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31 του ΚΚΑ</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Τα κεφαλαιακά μέσα που αναλαμβάνονται από δημόσιες αρχές σε καταστ</w:t>
            </w:r>
            <w:r>
              <w:rPr>
                <w:rStyle w:val="InstructionsTabelleberschrift"/>
                <w:rFonts w:ascii="Times New Roman" w:hAnsi="Times New Roman"/>
                <w:b w:val="0"/>
                <w:sz w:val="24"/>
                <w:u w:val="none"/>
              </w:rPr>
              <w:t>ά</w:t>
            </w:r>
            <w:r>
              <w:rPr>
                <w:rStyle w:val="InstructionsTabelleberschrift"/>
                <w:rFonts w:ascii="Times New Roman" w:hAnsi="Times New Roman"/>
                <w:b w:val="0"/>
                <w:sz w:val="24"/>
                <w:u w:val="none"/>
              </w:rPr>
              <w:t>σεις έκτακτης ανάγκης περιλαμβάνονται στο κεφάλαιο CET1 εάν συντρ</w:t>
            </w:r>
            <w:r>
              <w:rPr>
                <w:rStyle w:val="InstructionsTabelleberschrift"/>
                <w:rFonts w:ascii="Times New Roman" w:hAnsi="Times New Roman"/>
                <w:b w:val="0"/>
                <w:sz w:val="24"/>
                <w:u w:val="none"/>
              </w:rPr>
              <w:t>έ</w:t>
            </w:r>
            <w:r>
              <w:rPr>
                <w:rStyle w:val="InstructionsTabelleberschrift"/>
                <w:rFonts w:ascii="Times New Roman" w:hAnsi="Times New Roman"/>
                <w:b w:val="0"/>
                <w:sz w:val="24"/>
                <w:u w:val="none"/>
              </w:rPr>
              <w:t>χουν όλες οι προϋποθέσεις του άρθρου 31 του ΚΚΑ.</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Υπομνηματικό στοιχείο: Κεφαλαιακά μέσα που δεν είναι επιλέξιμα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28 παράγραφος 1 στοιχεία β), ιβ) και ιγ)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προϋποθέσεις στα συγκεκριμένα σημεία αντανακλούν διαφορετικές κ</w:t>
            </w:r>
            <w:r>
              <w:rPr>
                <w:rStyle w:val="FormatvorlageInstructionsTabelleText"/>
                <w:rFonts w:ascii="Times New Roman" w:hAnsi="Times New Roman"/>
                <w:sz w:val="24"/>
              </w:rPr>
              <w:t>α</w:t>
            </w:r>
            <w:r>
              <w:rPr>
                <w:rStyle w:val="FormatvorlageInstructionsTabelleText"/>
                <w:rFonts w:ascii="Times New Roman" w:hAnsi="Times New Roman"/>
                <w:sz w:val="24"/>
              </w:rPr>
              <w:t>ταστάσεις του κεφαλαίου που είναι αναστρέψιμες και, επομένως, το αναφ</w:t>
            </w:r>
            <w:r>
              <w:rPr>
                <w:rStyle w:val="FormatvorlageInstructionsTabelleText"/>
                <w:rFonts w:ascii="Times New Roman" w:hAnsi="Times New Roman"/>
                <w:sz w:val="24"/>
              </w:rPr>
              <w:t>ε</w:t>
            </w:r>
            <w:r>
              <w:rPr>
                <w:rStyle w:val="FormatvorlageInstructionsTabelleText"/>
                <w:rFonts w:ascii="Times New Roman" w:hAnsi="Times New Roman"/>
                <w:sz w:val="24"/>
              </w:rPr>
              <w:t>ρόμενο ποσό στο συγκεκριμένο σημείο μπορεί να είναι επιλέξιμο σε επόμ</w:t>
            </w:r>
            <w:r>
              <w:rPr>
                <w:rStyle w:val="FormatvorlageInstructionsTabelleText"/>
                <w:rFonts w:ascii="Times New Roman" w:hAnsi="Times New Roman"/>
                <w:sz w:val="24"/>
              </w:rPr>
              <w:t>ε</w:t>
            </w:r>
            <w:r>
              <w:rPr>
                <w:rStyle w:val="FormatvorlageInstructionsTabelleText"/>
                <w:rFonts w:ascii="Times New Roman" w:hAnsi="Times New Roman"/>
                <w:sz w:val="24"/>
              </w:rPr>
              <w:t>νες περιόδους.</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τη διαφορά από την έκδοση μετ</w:t>
            </w:r>
            <w:r>
              <w:rPr>
                <w:rStyle w:val="FormatvorlageInstructionsTabelleText"/>
                <w:rFonts w:ascii="Times New Roman" w:hAnsi="Times New Roman"/>
                <w:sz w:val="24"/>
              </w:rPr>
              <w:t>ο</w:t>
            </w:r>
            <w:r>
              <w:rPr>
                <w:rStyle w:val="FormatvorlageInstructionsTabelleText"/>
                <w:rFonts w:ascii="Times New Roman" w:hAnsi="Times New Roman"/>
                <w:sz w:val="24"/>
              </w:rPr>
              <w:t>χών υπέρ το άρτιο που αφορά τα μέσα.</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Διαφορά από την έκδοση μετοχών υπέρ το άρτιο</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124), άρθρο 26 παράγραφος 1 στοιχείο β)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 όρος «διαφορά από την έκδοση μετοχών υπέρ το άρτιο» έχει την ίδια έ</w:t>
            </w:r>
            <w:r>
              <w:rPr>
                <w:rStyle w:val="FormatvorlageInstructionsTabelleText"/>
                <w:rFonts w:ascii="Times New Roman" w:hAnsi="Times New Roman"/>
                <w:sz w:val="24"/>
              </w:rPr>
              <w:t>ν</w:t>
            </w:r>
            <w:r>
              <w:rPr>
                <w:rStyle w:val="FormatvorlageInstructionsTabelleText"/>
                <w:rFonts w:ascii="Times New Roman" w:hAnsi="Times New Roman"/>
                <w:sz w:val="24"/>
              </w:rPr>
              <w:t xml:space="preserve">νοια με αυτήν του εφαρμοστέου λογιστικού προτύπου.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στο συγκεκριμένο στοιχείο είναι το μέρος που σχ</w:t>
            </w:r>
            <w:r>
              <w:rPr>
                <w:rStyle w:val="FormatvorlageInstructionsTabelleText"/>
                <w:rFonts w:ascii="Times New Roman" w:hAnsi="Times New Roman"/>
                <w:sz w:val="24"/>
              </w:rPr>
              <w:t>ε</w:t>
            </w:r>
            <w:r>
              <w:rPr>
                <w:rStyle w:val="FormatvorlageInstructionsTabelleText"/>
                <w:rFonts w:ascii="Times New Roman" w:hAnsi="Times New Roman"/>
                <w:sz w:val="24"/>
              </w:rPr>
              <w:t xml:space="preserve">τίζεται με τα «καταβεβλημένα κεφαλαιακά μέσα».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Ίδια μέσα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στ) και άρθρο 42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Ίδια μέσα CET1 που βρίσκονται στην κατοχή του αναφέροντος ιδρύματος ή ομίλου κατά την ημερομηνία αναφοράς. Με την επιφύλαξη των εξαιρέσεων του άρθρου 42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τοποθετήσεις σε μετοχές που περιλαμβάνονται στα «Κεφαλαιακά μέσα που δεν είναι επιλέξιμα» δεν αναφέρονται στη συγκεκριμένη γραμμή.</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περιλαμβάνει τη διαφορά από την έκδοση μετοχών υπέρ το άρτιο που αφορά τις ίδιες μετοχές.</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στοιχεία 1.1.1.1.4 έως 1.1.1.1.4.3 δεν περιλαμβάνουν πραγματικές ή ε</w:t>
            </w:r>
            <w:r>
              <w:rPr>
                <w:rStyle w:val="FormatvorlageInstructionsTabelleText"/>
                <w:rFonts w:ascii="Times New Roman" w:hAnsi="Times New Roman"/>
                <w:sz w:val="24"/>
              </w:rPr>
              <w:t>ν</w:t>
            </w:r>
            <w:r>
              <w:rPr>
                <w:rStyle w:val="FormatvorlageInstructionsTabelleText"/>
                <w:rFonts w:ascii="Times New Roman" w:hAnsi="Times New Roman"/>
                <w:sz w:val="24"/>
              </w:rPr>
              <w:t>δεχόμενες υποχρεώσεις για την αγορά ιδίων μέσων CET1. Οι πραγματικές ή ενδεχόμενες υποχρεώσεις για την αγορά ιδίων μέσων CET1 αναφέρονται χωριστά στο στοιχείο 1.1.1.1.5.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Άμεσες συμμετοχές σε μέσα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στ) και άρθρο 42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Μέσα κεφαλαίου κοινών μετοχών της κατηγορίας 1 που περιλαμβάνονται στο στοιχείο 1.1.1.1 και βρίσκονται στην κατοχή των ιδρυμάτων του εν</w:t>
            </w:r>
            <w:r>
              <w:rPr>
                <w:rStyle w:val="FormatvorlageInstructionsTabelleText"/>
                <w:rFonts w:ascii="Times New Roman" w:hAnsi="Times New Roman"/>
                <w:sz w:val="24"/>
              </w:rPr>
              <w:t>ο</w:t>
            </w:r>
            <w:r>
              <w:rPr>
                <w:rStyle w:val="FormatvorlageInstructionsTabelleText"/>
                <w:rFonts w:ascii="Times New Roman" w:hAnsi="Times New Roman"/>
                <w:sz w:val="24"/>
              </w:rPr>
              <w:t xml:space="preserve">ποιημένου ομίλου.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περιλαμβάνει συμμετοχές στο χαρτοφυλάκιο σ</w:t>
            </w:r>
            <w:r>
              <w:rPr>
                <w:rStyle w:val="FormatvorlageInstructionsTabelleText"/>
                <w:rFonts w:ascii="Times New Roman" w:hAnsi="Times New Roman"/>
                <w:sz w:val="24"/>
              </w:rPr>
              <w:t>υ</w:t>
            </w:r>
            <w:r>
              <w:rPr>
                <w:rStyle w:val="FormatvorlageInstructionsTabelleText"/>
                <w:rFonts w:ascii="Times New Roman" w:hAnsi="Times New Roman"/>
                <w:sz w:val="24"/>
              </w:rPr>
              <w:t>ναλλαγών υπολογιζόμενες βάσει της καθαρής θετικής θέσης, όπως αναφ</w:t>
            </w:r>
            <w:r>
              <w:rPr>
                <w:rStyle w:val="FormatvorlageInstructionsTabelleText"/>
                <w:rFonts w:ascii="Times New Roman" w:hAnsi="Times New Roman"/>
                <w:sz w:val="24"/>
              </w:rPr>
              <w:t>έ</w:t>
            </w:r>
            <w:r>
              <w:rPr>
                <w:rStyle w:val="FormatvorlageInstructionsTabelleText"/>
                <w:rFonts w:ascii="Times New Roman" w:hAnsi="Times New Roman"/>
                <w:sz w:val="24"/>
              </w:rPr>
              <w:t>ρεται στο άρθρο 42 στοιχείο α) του ΚΚΑ.</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Έμμεσες συμμετοχές σε μέσα CET1</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114), άρθρο 36 παράγραφος 1 στοιχείο στ) και άρθρο 42 του ΚΚΑ</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Σύνθετες συμμετοχές σε μέσα CET1</w:t>
            </w:r>
          </w:p>
          <w:p w:rsidR="005643EA" w:rsidRPr="00295225"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Άρθρο 4 παράγραφος 1 σημείο 126), άρθρο 36 παράγραφος 1 στοιχείο στ) και άρθρο 42 του ΚΚΑ</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Πραγματικές ή ενδεχόμενες υποχρεώσεις για την αγορά ιδίων μέσων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στ) και άρθρο 42 του ΚΚΑ</w:t>
            </w:r>
          </w:p>
          <w:p w:rsidR="005643EA" w:rsidRPr="00295225"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Σύμφωνα με το άρθρο 36 παράγραφος 1 στοιχείο στ) του ΚΚΑ,</w:t>
            </w:r>
            <w:r>
              <w:t xml:space="preserve"> αφαιρο</w:t>
            </w:r>
            <w:r>
              <w:t>ύ</w:t>
            </w:r>
            <w:r>
              <w:t>νται τα ίδια μέσα κεφαλαίου κοινών μετοχών της κατηγορίας 1 «που υπ</w:t>
            </w:r>
            <w:r>
              <w:t>ο</w:t>
            </w:r>
            <w:r>
              <w:t>χρεούται να αγοράσει επί του παρόντος ή μελλοντικά ένα ίδρυμα βάσει υφ</w:t>
            </w:r>
            <w:r>
              <w:t>ι</w:t>
            </w:r>
            <w:r>
              <w:t>στάμενης συμβατικής υποχρέωσης».</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Κέρδη εις νέον</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26 παράγραφος 1 στοιχείο γ) και άρθρο 26 παράγραφος 2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κέρδη εις νέον περιλαμβάνουν τα κέρδη εις νέον από προηγούμενα έτη συν τα επιλέξιμα ενδιάμεσα κέρδη περιόδου ή κέρδη τέλους χρήσεως.</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Κέρδη εις νέον από προηγούμενα έτη</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123) και άρθρο 26 παράγραφος 1 στοιχείο γ)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άρθρο 4 παράγραφος 1 σημείο 123) του ΚΚΑ ορίζει ως κέρδη εις νέον «τα αποτελέσματα που μεταφέρονται στην επόμενη περίοδο κατόπιν της τ</w:t>
            </w:r>
            <w:r>
              <w:rPr>
                <w:rStyle w:val="FormatvorlageInstructionsTabelleText"/>
                <w:rFonts w:ascii="Times New Roman" w:hAnsi="Times New Roman"/>
                <w:sz w:val="24"/>
              </w:rPr>
              <w:t>ε</w:t>
            </w:r>
            <w:r>
              <w:rPr>
                <w:rStyle w:val="FormatvorlageInstructionsTabelleText"/>
                <w:rFonts w:ascii="Times New Roman" w:hAnsi="Times New Roman"/>
                <w:sz w:val="24"/>
              </w:rPr>
              <w:lastRenderedPageBreak/>
              <w:t>λικής εφαρμογής των αποτελεσμάτων δυνάμει του ισχύοντος λογιστικού πλαισίου».</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Επιλέξιμο κέρδος ή ζημία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121), άρθρο 26 παράγραφος 2 και άρθρο 36 παράγραφος 1 στοιχείο α)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Σύμφωνα με το άρθρο 26 παράγραφος 2 του ΚΚΑ, τα ενδιάμεσα κέρδη π</w:t>
            </w:r>
            <w:r>
              <w:rPr>
                <w:rStyle w:val="FormatvorlageInstructionsTabelleText"/>
                <w:rFonts w:ascii="Times New Roman" w:hAnsi="Times New Roman"/>
                <w:sz w:val="24"/>
              </w:rPr>
              <w:t>ε</w:t>
            </w:r>
            <w:r>
              <w:rPr>
                <w:rStyle w:val="FormatvorlageInstructionsTabelleText"/>
                <w:rFonts w:ascii="Times New Roman" w:hAnsi="Times New Roman"/>
                <w:sz w:val="24"/>
              </w:rPr>
              <w:t xml:space="preserve">ριόδου ή κέρδη τέλους χρήσεως δύναται να συμπεριληφθούν στα κέρδη εις νέον, με την προηγούμενη έγκριση της αρμόδιας αρχής, εφόσον πληρούνται ορισμένες προϋποθέσεις.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Από την άλλη πλευρά, οι ζημίες αφαιρούνται από το κεφάλαιο CET1, όπως αναφέρεται στο άρθρο 36 παράγραφος 1 στοιχείο α) του ΚΚΑ.</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Κέρδος ή ζημία που αναλογεί στους ιδιοκτήτες της μητρ</w:t>
            </w:r>
            <w:r>
              <w:rPr>
                <w:rStyle w:val="InstructionsTabelleberschrift"/>
                <w:rFonts w:ascii="Times New Roman" w:hAnsi="Times New Roman"/>
                <w:sz w:val="24"/>
              </w:rPr>
              <w:t>ι</w:t>
            </w:r>
            <w:r>
              <w:rPr>
                <w:rStyle w:val="InstructionsTabelleberschrift"/>
                <w:rFonts w:ascii="Times New Roman" w:hAnsi="Times New Roman"/>
                <w:sz w:val="24"/>
              </w:rPr>
              <w:t>κής</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26 παράγραφος 2 και άρθρο 36 παράγραφος 1 στοιχείο α)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είναι τα κέρδη ή οι ζημίες που αναφέρονται στον λογαριασμό αποτελεσμάτων.</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Τμήμα μη επιλέξιμου ενδιάμεσου κέρδους περιόδου ή κέρδους τέλους χρήσεως</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26 παράγραφος 2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Η συγκεκριμένη γραμμή δεν περιέχει αριθμητική τιμή, εάν το ίδρυμα έχει δηλώσει ζημίες για την περίοδο αναφοράς. Αυτό οφείλεται στο γεγονός ότι οι ζημίες αφαιρούνται εντελώς από το κεφάλαιο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Εάν το ίδρυμα δηλώσει κέρδη, αναφέρεται το τμήμα που δεν είναι επιλέξιμο σύμφωνα με το άρθρο 26 παράγραφος 2 του ΚΚΑ (δηλαδή, μη ελεγμένα κέρδη και προβλέψιμες επιβαρύνσεις ή πρόβλεψη για μερίσματα).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Να σημειωθεί ότι, στην περίπτωση κερδών, το προς αφαίρεση ποσό είναι, τουλάχιστον, τα ενδιάμεσα μερίσματα.</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Συσσωρευμένα λοιπά συνολικά έσοδα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100) και άρθρο 26 παράγραφος 1 στοιχείο δ)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προς αναφορά ποσό δεν περιλαμβάνει προβλεπόμενες φορολογικές </w:t>
            </w:r>
            <w:r>
              <w:rPr>
                <w:rStyle w:val="FormatvorlageInstructionsTabelleText"/>
                <w:rFonts w:ascii="Times New Roman" w:hAnsi="Times New Roman"/>
                <w:sz w:val="24"/>
              </w:rPr>
              <w:t>ο</w:t>
            </w:r>
            <w:r>
              <w:rPr>
                <w:rStyle w:val="FormatvorlageInstructionsTabelleText"/>
                <w:rFonts w:ascii="Times New Roman" w:hAnsi="Times New Roman"/>
                <w:sz w:val="24"/>
              </w:rPr>
              <w:t xml:space="preserve">φειλές κατά τη στιγμή του υπολογισμού, και υπολογίζεται πριν από την </w:t>
            </w:r>
            <w:r>
              <w:rPr>
                <w:rStyle w:val="FormatvorlageInstructionsTabelleText"/>
                <w:rFonts w:ascii="Times New Roman" w:hAnsi="Times New Roman"/>
                <w:sz w:val="24"/>
              </w:rPr>
              <w:t>ε</w:t>
            </w:r>
            <w:r>
              <w:rPr>
                <w:rStyle w:val="FormatvorlageInstructionsTabelleText"/>
                <w:rFonts w:ascii="Times New Roman" w:hAnsi="Times New Roman"/>
                <w:sz w:val="24"/>
              </w:rPr>
              <w:t>φαρμογή εποπτικών προσαρμογών. Το προς αναφορά ποσό προσδιορίζεται σύμφωνα με το άρθρο 13 παράγραφος 4 του κατ’ εξουσιοδότηση κανον</w:t>
            </w:r>
            <w:r>
              <w:rPr>
                <w:rStyle w:val="FormatvorlageInstructionsTabelleText"/>
                <w:rFonts w:ascii="Times New Roman" w:hAnsi="Times New Roman"/>
                <w:sz w:val="24"/>
              </w:rPr>
              <w:t>ι</w:t>
            </w:r>
            <w:r>
              <w:rPr>
                <w:rStyle w:val="FormatvorlageInstructionsTabelleText"/>
                <w:rFonts w:ascii="Times New Roman" w:hAnsi="Times New Roman"/>
                <w:sz w:val="24"/>
              </w:rPr>
              <w:t xml:space="preserve">σμού (ΕΕ) αριθ. 241/2014.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Λοιπά αποθεματικά</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117) και άρθρο 26 παράγραφος 1 στοιχείο ε)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Ως λοιπά αποθεματικά ορίζονται στον ΚΚΑ «τα αποθεματικά κατά την έ</w:t>
            </w:r>
            <w:r>
              <w:rPr>
                <w:rStyle w:val="FormatvorlageInstructionsTabelleText"/>
                <w:rFonts w:ascii="Times New Roman" w:hAnsi="Times New Roman"/>
                <w:sz w:val="24"/>
              </w:rPr>
              <w:t>ν</w:t>
            </w:r>
            <w:r>
              <w:rPr>
                <w:rStyle w:val="FormatvorlageInstructionsTabelleText"/>
                <w:rFonts w:ascii="Times New Roman" w:hAnsi="Times New Roman"/>
                <w:sz w:val="24"/>
              </w:rPr>
              <w:t xml:space="preserve">νοια του ισχύοντος λογιστικού πλαισίου, τα οποία πρέπει να κοινοποιούνται δυνάμει του ισχύοντος λογιστικού προτύπου, εξαιρουμένων τυχόν ποσών που περιλαμβάνονται ήδη στο λοιπό συνολικό συσσωρευμένο εισόδημα ή </w:t>
            </w:r>
            <w:r>
              <w:rPr>
                <w:rStyle w:val="FormatvorlageInstructionsTabelleText"/>
                <w:rFonts w:ascii="Times New Roman" w:hAnsi="Times New Roman"/>
                <w:sz w:val="24"/>
              </w:rPr>
              <w:lastRenderedPageBreak/>
              <w:t>στα αδιανέμητα κέρδη».</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προς αναφορά ποσό δεν περιλαμβάνει προβλεπόμενες φορολογικές </w:t>
            </w:r>
            <w:r>
              <w:rPr>
                <w:rStyle w:val="FormatvorlageInstructionsTabelleText"/>
                <w:rFonts w:ascii="Times New Roman" w:hAnsi="Times New Roman"/>
                <w:sz w:val="24"/>
              </w:rPr>
              <w:t>ο</w:t>
            </w:r>
            <w:r>
              <w:rPr>
                <w:rStyle w:val="FormatvorlageInstructionsTabelleText"/>
                <w:rFonts w:ascii="Times New Roman" w:hAnsi="Times New Roman"/>
                <w:sz w:val="24"/>
              </w:rPr>
              <w:t>φειλές κατά τη στιγμή του υπολογισμού.</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210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Κεφάλαια για γενικούς τραπεζικούς κινδύνους</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112) και άρθρο 26 παράγραφος 1 στοιχείο στ)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κεφάλαια για γενικούς τραπεζικούς κινδύνους ορίζονται στο άρθρο 38 της οδηγίας 86/635/ΕΟΚ ως «τα ποσά που το πιστωτικό ίδρυμα αποφασίζει να διαθέσει για την κάλυψη τέτοιων κινδύνων, όταν λόγοι συνέσεως το επ</w:t>
            </w:r>
            <w:r>
              <w:rPr>
                <w:rStyle w:val="FormatvorlageInstructionsTabelleText"/>
                <w:rFonts w:ascii="Times New Roman" w:hAnsi="Times New Roman"/>
                <w:sz w:val="24"/>
              </w:rPr>
              <w:t>ι</w:t>
            </w:r>
            <w:r>
              <w:rPr>
                <w:rStyle w:val="FormatvorlageInstructionsTabelleText"/>
                <w:rFonts w:ascii="Times New Roman" w:hAnsi="Times New Roman"/>
                <w:sz w:val="24"/>
              </w:rPr>
              <w:t>βάλλουν, λόγω των ιδιαιτέρων κινδύνων που είναι εγγενείς στις τραπεζικές εργασίες».</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προς αναφορά ποσό δεν περιλαμβάνει προβλεπόμενες φορολογικές </w:t>
            </w:r>
            <w:r>
              <w:rPr>
                <w:rStyle w:val="FormatvorlageInstructionsTabelleText"/>
                <w:rFonts w:ascii="Times New Roman" w:hAnsi="Times New Roman"/>
                <w:sz w:val="24"/>
              </w:rPr>
              <w:t>ο</w:t>
            </w:r>
            <w:r>
              <w:rPr>
                <w:rStyle w:val="FormatvorlageInstructionsTabelleText"/>
                <w:rFonts w:ascii="Times New Roman" w:hAnsi="Times New Roman"/>
                <w:sz w:val="24"/>
              </w:rPr>
              <w:t>φειλές κατά τη στιγμή του υπολογισμού.</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Μεταβατικές προσαρμογές λόγω προϋφιστάμενων κεφαλαιακών μέσων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483 παράγραφοι 1 έως 3 και άρθρα 484 έως 487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Ποσό κεφαλαιακών μέσων που προϋφίστανται σε μεταβατική βάση ως CΕΤ1. Το προς αναφορά ποσό λαμβάνεται απευθείας από το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Δικαιώματα μειοψηφίας που αναγνωρίστηκαν ως κεφάλαια CET1</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σημείο 120) και άρθρο 84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Άθροισμα του συνόλου των ποσών των δικαιωμάτων μειοψηφίας θυγατρ</w:t>
            </w:r>
            <w:r>
              <w:rPr>
                <w:rStyle w:val="FormatvorlageInstructionsTabelleText"/>
                <w:rFonts w:ascii="Times New Roman" w:hAnsi="Times New Roman"/>
                <w:sz w:val="24"/>
              </w:rPr>
              <w:t>ι</w:t>
            </w:r>
            <w:r>
              <w:rPr>
                <w:rStyle w:val="FormatvorlageInstructionsTabelleText"/>
                <w:rFonts w:ascii="Times New Roman" w:hAnsi="Times New Roman"/>
                <w:sz w:val="24"/>
              </w:rPr>
              <w:t>κών που περιλαμβάνεται στα ενοποιημένα κεφάλαια CET1.</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Μεταβατικές προσαρμογές λόγω πρόσθετων δικαιωμάτων μει</w:t>
            </w:r>
            <w:r>
              <w:rPr>
                <w:rStyle w:val="InstructionsTabelleberschrift"/>
                <w:rFonts w:ascii="Times New Roman" w:hAnsi="Times New Roman"/>
                <w:sz w:val="24"/>
              </w:rPr>
              <w:t>ο</w:t>
            </w:r>
            <w:r>
              <w:rPr>
                <w:rStyle w:val="InstructionsTabelleberschrift"/>
                <w:rFonts w:ascii="Times New Roman" w:hAnsi="Times New Roman"/>
                <w:sz w:val="24"/>
              </w:rPr>
              <w:t>ψηφίας</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479 και 480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στα δικαιώματα μειοψηφίας λόγω μεταβατικών διατάξεων. Το στοιχείο αυτό λαμβάνεται απευθείας από το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Προσαρμογές στο CET1 λόγω εποπτικών προσαρμογών</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Άρθρα 32 έως 35 του ΚΚΑ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Αυξήσεις μετοχικού κεφαλαίου από τιτλοποιημένα στοιχεία ενεργητικού</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32 παράγραφος 1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είναι η αύξηση του μετοχικού κεφαλαίου του ιδρ</w:t>
            </w:r>
            <w:r>
              <w:rPr>
                <w:rStyle w:val="FormatvorlageInstructionsTabelleText"/>
                <w:rFonts w:ascii="Times New Roman" w:hAnsi="Times New Roman"/>
                <w:sz w:val="24"/>
              </w:rPr>
              <w:t>ύ</w:t>
            </w:r>
            <w:r>
              <w:rPr>
                <w:rStyle w:val="FormatvorlageInstructionsTabelleText"/>
                <w:rFonts w:ascii="Times New Roman" w:hAnsi="Times New Roman"/>
                <w:sz w:val="24"/>
              </w:rPr>
              <w:t>ματος από τιτλοποιημένα στοιχεία ενεργητικού, σύμφωνα με το ισχύον λ</w:t>
            </w:r>
            <w:r>
              <w:rPr>
                <w:rStyle w:val="FormatvorlageInstructionsTabelleText"/>
                <w:rFonts w:ascii="Times New Roman" w:hAnsi="Times New Roman"/>
                <w:sz w:val="24"/>
              </w:rPr>
              <w:t>ο</w:t>
            </w:r>
            <w:r>
              <w:rPr>
                <w:rStyle w:val="FormatvorlageInstructionsTabelleText"/>
                <w:rFonts w:ascii="Times New Roman" w:hAnsi="Times New Roman"/>
                <w:sz w:val="24"/>
              </w:rPr>
              <w:t>γιστικό πρότυπο.</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Παραδείγματος χάριν, το στοιχείο αυτό περιλαμβάνει το μελλοντικό περ</w:t>
            </w:r>
            <w:r>
              <w:rPr>
                <w:rStyle w:val="FormatvorlageInstructionsTabelleText"/>
                <w:rFonts w:ascii="Times New Roman" w:hAnsi="Times New Roman"/>
                <w:sz w:val="24"/>
              </w:rPr>
              <w:t>ι</w:t>
            </w:r>
            <w:r>
              <w:rPr>
                <w:rStyle w:val="FormatvorlageInstructionsTabelleText"/>
                <w:rFonts w:ascii="Times New Roman" w:hAnsi="Times New Roman"/>
                <w:sz w:val="24"/>
              </w:rPr>
              <w:t>θώριο εσόδων που έχει ως αποτέλεσμα κέρδος από πωλήσεις για το ίδρυμα ή, στην περίπτωση μεταβιβάζουσας οντότητας, τα καθαρά κέρδη από την κεφαλαιοποίηση μελλοντικών εσόδων από τα τιτλοποιημένα στοιχεία ενε</w:t>
            </w:r>
            <w:r>
              <w:rPr>
                <w:rStyle w:val="FormatvorlageInstructionsTabelleText"/>
                <w:rFonts w:ascii="Times New Roman" w:hAnsi="Times New Roman"/>
                <w:sz w:val="24"/>
              </w:rPr>
              <w:t>ρ</w:t>
            </w:r>
            <w:r>
              <w:rPr>
                <w:rStyle w:val="FormatvorlageInstructionsTabelleText"/>
                <w:rFonts w:ascii="Times New Roman" w:hAnsi="Times New Roman"/>
                <w:sz w:val="24"/>
              </w:rPr>
              <w:t>γητικού, τα οποία παρέχουν πιστωτική ενίσχυση στις θέσεις σε τιτλοποίηση.</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270</w:t>
            </w:r>
          </w:p>
        </w:tc>
        <w:tc>
          <w:tcPr>
            <w:tcW w:w="762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Αποθεματικό αντιστάθμισης ταμειακών ροών</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33 παράγραφος 1 στοιχείο α)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μπορεί να είναι είτε θετικό είτε αρνητικό. Είναι θ</w:t>
            </w:r>
            <w:r>
              <w:rPr>
                <w:rStyle w:val="FormatvorlageInstructionsTabelleText"/>
                <w:rFonts w:ascii="Times New Roman" w:hAnsi="Times New Roman"/>
                <w:sz w:val="24"/>
              </w:rPr>
              <w:t>ε</w:t>
            </w:r>
            <w:r>
              <w:rPr>
                <w:rStyle w:val="FormatvorlageInstructionsTabelleText"/>
                <w:rFonts w:ascii="Times New Roman" w:hAnsi="Times New Roman"/>
                <w:sz w:val="24"/>
              </w:rPr>
              <w:t>τικό εάν οι αντισταθμίσεις ταμειακών ροών έχουν ως αποτέλεσμα ζημία (δηλαδή, εάν μειώνουν τα λογιστικά ίδια κεφάλαια) και αντιστρόφως. Επ</w:t>
            </w:r>
            <w:r>
              <w:rPr>
                <w:rStyle w:val="FormatvorlageInstructionsTabelleText"/>
                <w:rFonts w:ascii="Times New Roman" w:hAnsi="Times New Roman"/>
                <w:sz w:val="24"/>
              </w:rPr>
              <w:t>ο</w:t>
            </w:r>
            <w:r>
              <w:rPr>
                <w:rStyle w:val="FormatvorlageInstructionsTabelleText"/>
                <w:rFonts w:ascii="Times New Roman" w:hAnsi="Times New Roman"/>
                <w:sz w:val="24"/>
              </w:rPr>
              <w:t>μένως, το πρόσημο είναι αντίθετο του προσήμου που χρησιμοποιείται στις λογιστικές καταστάσεις.</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ποσό δεν περιλαμβάνει προβλεπόμενες φορολογικές οφειλές κατά τη στιγμή του υπολογισμού.</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Συσσωρευμένα κέρδη και ζημίες λόγω αλλαγών στον ίδιο πιστωτικό κίνδυνο για υποχρεώσεις που αποτιμώνται στην εύλογη αξία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33 παράγραφος 1 στοιχείο β) του ΚΚΑ</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μπορεί να είναι είτε θετικό είτε αρνητικό. Είναι θ</w:t>
            </w:r>
            <w:r>
              <w:rPr>
                <w:rStyle w:val="FormatvorlageInstructionsTabelleText"/>
                <w:rFonts w:ascii="Times New Roman" w:hAnsi="Times New Roman"/>
                <w:sz w:val="24"/>
              </w:rPr>
              <w:t>ε</w:t>
            </w:r>
            <w:r>
              <w:rPr>
                <w:rStyle w:val="FormatvorlageInstructionsTabelleText"/>
                <w:rFonts w:ascii="Times New Roman" w:hAnsi="Times New Roman"/>
                <w:sz w:val="24"/>
              </w:rPr>
              <w:t>τικό εάν προκύπτει ζημία λόγω αλλαγών στον ίδιο πιστωτικό κίνδυνο (δ</w:t>
            </w:r>
            <w:r>
              <w:rPr>
                <w:rStyle w:val="FormatvorlageInstructionsTabelleText"/>
                <w:rFonts w:ascii="Times New Roman" w:hAnsi="Times New Roman"/>
                <w:sz w:val="24"/>
              </w:rPr>
              <w:t>η</w:t>
            </w:r>
            <w:r>
              <w:rPr>
                <w:rStyle w:val="FormatvorlageInstructionsTabelleText"/>
                <w:rFonts w:ascii="Times New Roman" w:hAnsi="Times New Roman"/>
                <w:sz w:val="24"/>
              </w:rPr>
              <w:t>λαδή, εάν μειώνει τα λογιστικά ίδια κεφάλαια) και αντιστρόφως. Επομένως, το πρόσημο είναι αντίθετο του προσήμου που χρησιμοποιείται στις λογιστ</w:t>
            </w:r>
            <w:r>
              <w:rPr>
                <w:rStyle w:val="FormatvorlageInstructionsTabelleText"/>
                <w:rFonts w:ascii="Times New Roman" w:hAnsi="Times New Roman"/>
                <w:sz w:val="24"/>
              </w:rPr>
              <w:t>ι</w:t>
            </w:r>
            <w:r>
              <w:rPr>
                <w:rStyle w:val="FormatvorlageInstructionsTabelleText"/>
                <w:rFonts w:ascii="Times New Roman" w:hAnsi="Times New Roman"/>
                <w:sz w:val="24"/>
              </w:rPr>
              <w:t>κές καταστάσεις.</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μη ελεγμένα κέρδη δεν περιλαμβάνονται στο συγκεκριμένο στοιχείο.</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285</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Κέρδη και ζημίες εύλογης αξίας που προκύπτουν από τον ίδιο πιστωτικό κίνδυνο του ιδρύματος και αφορούν υποχρεώσεις από παράγωγα</w:t>
            </w:r>
          </w:p>
          <w:p w:rsidR="005643EA" w:rsidRPr="00392FFD" w:rsidRDefault="00855D5F"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33 παράγραφος 1 στοιχείο γ) και άρθρο 33 παράγραφος 2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μπορεί να είναι είτε θετικό είτε αρνητικό. Είναι θ</w:t>
            </w:r>
            <w:r>
              <w:rPr>
                <w:rStyle w:val="FormatvorlageInstructionsTabelleText"/>
                <w:rFonts w:ascii="Times New Roman" w:hAnsi="Times New Roman"/>
                <w:sz w:val="24"/>
              </w:rPr>
              <w:t>ε</w:t>
            </w:r>
            <w:r>
              <w:rPr>
                <w:rStyle w:val="FormatvorlageInstructionsTabelleText"/>
                <w:rFonts w:ascii="Times New Roman" w:hAnsi="Times New Roman"/>
                <w:sz w:val="24"/>
              </w:rPr>
              <w:t>τικό, εάν προκύπτει ζημία λόγω αλλαγών στον ίδιο πιστωτικό κίνδυνο, και αντιστρόφως. Επομένως, το πρόσημο είναι αντίθετο του προσήμου που χρησιμοποιείται στις λογιστικές καταστάσεις.</w:t>
            </w:r>
          </w:p>
          <w:p w:rsidR="005643EA" w:rsidRPr="00295225"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Τα μη ελεγμένα κέρδη δεν περιλαμβάνονται στο συγκεκριμένο στοιχείο.</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xml:space="preserve">(-) Προσαρμογές αξίας λόγω των απαιτήσεων συνετής </w:t>
            </w:r>
            <w:r>
              <w:rPr>
                <w:rStyle w:val="InstructionsTabelleberschrift"/>
                <w:rFonts w:ascii="Times New Roman" w:hAnsi="Times New Roman"/>
                <w:sz w:val="24"/>
              </w:rPr>
              <w:t>α</w:t>
            </w:r>
            <w:r>
              <w:rPr>
                <w:rStyle w:val="InstructionsTabelleberschrift"/>
                <w:rFonts w:ascii="Times New Roman" w:hAnsi="Times New Roman"/>
                <w:sz w:val="24"/>
              </w:rPr>
              <w:t>ποτίμησης</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34 και 105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στην εύλογη αξία ανοιγμάτων εντός ή εκτός του χαρτοφυλ</w:t>
            </w:r>
            <w:r>
              <w:rPr>
                <w:rStyle w:val="FormatvorlageInstructionsTabelleText"/>
                <w:rFonts w:ascii="Times New Roman" w:hAnsi="Times New Roman"/>
                <w:sz w:val="24"/>
              </w:rPr>
              <w:t>α</w:t>
            </w:r>
            <w:r>
              <w:rPr>
                <w:rStyle w:val="FormatvorlageInstructionsTabelleText"/>
                <w:rFonts w:ascii="Times New Roman" w:hAnsi="Times New Roman"/>
                <w:sz w:val="24"/>
              </w:rPr>
              <w:t>κίου συναλλαγών λόγω των αυστηρότερων προτύπων συνετής αποτίμησης που καθορίζονται στο άρθρο 105 του ΚΚΑ.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Υπεραξία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113), άρθρο 36 παράγραφος 1 στοιχείο β) και άρθρο 37 του ΚΚΑ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Υπεραξία που λογίζεται ως άυλο στοιχείο ενεργητικού</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113) και άρθρο 36 παράγραφος 1 στοιχείο β)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 όρος «υπεραξία» έχει την ίδια έννοια με αυτήν του ισχύοντος λογιστικού προτύπου.</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Το προς αναφορά ποσό στο συγκεκριμένο σημείο είναι το ίδιο με το ποσό που αναφέρεται στον ισολογισμό.</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320</w:t>
            </w:r>
          </w:p>
        </w:tc>
        <w:tc>
          <w:tcPr>
            <w:tcW w:w="7620" w:type="dxa"/>
          </w:tcPr>
          <w:p w:rsidR="005643EA" w:rsidRPr="00392FFD" w:rsidRDefault="00855D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Υπεραξία που περιλαμβάνεται στην αποτίμηση σημ</w:t>
            </w:r>
            <w:r>
              <w:rPr>
                <w:rStyle w:val="InstructionsTabelleberschrift"/>
                <w:rFonts w:ascii="Times New Roman" w:hAnsi="Times New Roman"/>
                <w:sz w:val="24"/>
              </w:rPr>
              <w:t>α</w:t>
            </w:r>
            <w:r>
              <w:rPr>
                <w:rStyle w:val="InstructionsTabelleberschrift"/>
                <w:rFonts w:ascii="Times New Roman" w:hAnsi="Times New Roman"/>
                <w:sz w:val="24"/>
              </w:rPr>
              <w:t>ντικών επενδύσεων</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37 στοιχείο β) και άρθρο 43 του ΚΚΑ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620" w:type="dxa"/>
          </w:tcPr>
          <w:p w:rsidR="005643EA" w:rsidRPr="00295225"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Αναβαλλόμενες φορολογικές υποχρεώσεις που σχετίζονται με την υπεραξία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37 στοιχείο α)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Ποσό αναβαλλόμενων φορολογικών υποχρεώσεων που θα εξαλείφονταν, εάν η υπεραξία </w:t>
            </w:r>
            <w:proofErr w:type="spellStart"/>
            <w:r>
              <w:rPr>
                <w:rStyle w:val="FormatvorlageInstructionsTabelleText"/>
                <w:rFonts w:ascii="Times New Roman" w:hAnsi="Times New Roman"/>
                <w:sz w:val="24"/>
              </w:rPr>
              <w:t>απομειωνόταν</w:t>
            </w:r>
            <w:proofErr w:type="spellEnd"/>
            <w:r>
              <w:rPr>
                <w:rStyle w:val="FormatvorlageInstructionsTabelleText"/>
                <w:rFonts w:ascii="Times New Roman" w:hAnsi="Times New Roman"/>
                <w:sz w:val="24"/>
              </w:rPr>
              <w:t xml:space="preserve"> ή </w:t>
            </w:r>
            <w:proofErr w:type="spellStart"/>
            <w:r>
              <w:rPr>
                <w:rStyle w:val="FormatvorlageInstructionsTabelleText"/>
                <w:rFonts w:ascii="Times New Roman" w:hAnsi="Times New Roman"/>
                <w:sz w:val="24"/>
              </w:rPr>
              <w:t>αποαναγνωριζόταν</w:t>
            </w:r>
            <w:proofErr w:type="spellEnd"/>
            <w:r>
              <w:rPr>
                <w:rStyle w:val="FormatvorlageInstructionsTabelleText"/>
                <w:rFonts w:ascii="Times New Roman" w:hAnsi="Times New Roman"/>
                <w:sz w:val="24"/>
              </w:rPr>
              <w:t xml:space="preserve"> δυνάμει του σχετικού λογιστικού προτύπου.</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Λοιπά άυλα στοιχεία ενεργητικού</w:t>
            </w:r>
          </w:p>
          <w:p w:rsidR="009339C1"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115), άρθρο 36 παράγραφος 1 στοιχείο β) και άρθρο 37 στοιχείο α) του ΚΚΑ</w:t>
            </w:r>
          </w:p>
          <w:p w:rsidR="005643EA" w:rsidRPr="00392FFD"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λοιπά άυλα στοιχεία ενεργητικού είναι τα άυλα στοιχεία ενεργητικού δ</w:t>
            </w:r>
            <w:r>
              <w:rPr>
                <w:rStyle w:val="FormatvorlageInstructionsTabelleText"/>
                <w:rFonts w:ascii="Times New Roman" w:hAnsi="Times New Roman"/>
                <w:sz w:val="24"/>
              </w:rPr>
              <w:t>υ</w:t>
            </w:r>
            <w:r>
              <w:rPr>
                <w:rStyle w:val="FormatvorlageInstructionsTabelleText"/>
                <w:rFonts w:ascii="Times New Roman" w:hAnsi="Times New Roman"/>
                <w:sz w:val="24"/>
              </w:rPr>
              <w:t>νάμει του ισχύοντος λογιστικού προτύπου, πλην της υπεραξίας, επίσης σύ</w:t>
            </w:r>
            <w:r>
              <w:rPr>
                <w:rStyle w:val="FormatvorlageInstructionsTabelleText"/>
                <w:rFonts w:ascii="Times New Roman" w:hAnsi="Times New Roman"/>
                <w:sz w:val="24"/>
              </w:rPr>
              <w:t>μ</w:t>
            </w:r>
            <w:r>
              <w:rPr>
                <w:rStyle w:val="FormatvorlageInstructionsTabelleText"/>
                <w:rFonts w:ascii="Times New Roman" w:hAnsi="Times New Roman"/>
                <w:sz w:val="24"/>
              </w:rPr>
              <w:t>φωνα με το ισχύον λογιστικό πρότυπο.</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Λοιπά άυλα στοιχεία ενεργητικού προ της αφαίρεσης των αναβαλλόμενων φορολογικών υποχρεώσεων</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115) και άρθρο 36 παράγραφος 1 στοιχείο β)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λοιπά άυλα στοιχεία ενεργητικού είναι τα άυλα στοιχεία ενεργητικού δ</w:t>
            </w:r>
            <w:r>
              <w:rPr>
                <w:rStyle w:val="FormatvorlageInstructionsTabelleText"/>
                <w:rFonts w:ascii="Times New Roman" w:hAnsi="Times New Roman"/>
                <w:sz w:val="24"/>
              </w:rPr>
              <w:t>υ</w:t>
            </w:r>
            <w:r>
              <w:rPr>
                <w:rStyle w:val="FormatvorlageInstructionsTabelleText"/>
                <w:rFonts w:ascii="Times New Roman" w:hAnsi="Times New Roman"/>
                <w:sz w:val="24"/>
              </w:rPr>
              <w:t>νάμει του ισχύοντος λογιστικού προτύπου, πλην της υπεραξίας, επίσης σύ</w:t>
            </w:r>
            <w:r>
              <w:rPr>
                <w:rStyle w:val="FormatvorlageInstructionsTabelleText"/>
                <w:rFonts w:ascii="Times New Roman" w:hAnsi="Times New Roman"/>
                <w:sz w:val="24"/>
              </w:rPr>
              <w:t>μ</w:t>
            </w:r>
            <w:r>
              <w:rPr>
                <w:rStyle w:val="FormatvorlageInstructionsTabelleText"/>
                <w:rFonts w:ascii="Times New Roman" w:hAnsi="Times New Roman"/>
                <w:sz w:val="24"/>
              </w:rPr>
              <w:t>φωνα με το ισχύον λογιστικό πρότυπο.</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στο συγκεκριμένο σημείο αντιστοιχεί στο ποσό που αναφέρεται στον ισολογισμό για τα άυλα στοιχεία ενεργητικού, πλην της υπεραξίας.</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620" w:type="dxa"/>
          </w:tcPr>
          <w:p w:rsidR="005643EA" w:rsidRPr="00392FFD" w:rsidRDefault="00AD70F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Αναβαλλόμενες φορολογικές υποχρεώσεις που σχετίζονται με λοιπά άυλα στοιχεία ενεργητικού</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37 στοιχείο α)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Ποσό αναβαλλόμενων φορολογικών υποχρεώσεων που θα εξαλείφονταν, εάν τα άυλα στοιχεία ενεργητικού πλην της υπεραξίας </w:t>
            </w:r>
            <w:proofErr w:type="spellStart"/>
            <w:r>
              <w:rPr>
                <w:rStyle w:val="FormatvorlageInstructionsTabelleText"/>
                <w:rFonts w:ascii="Times New Roman" w:hAnsi="Times New Roman"/>
                <w:sz w:val="24"/>
              </w:rPr>
              <w:t>απομειώνονταν</w:t>
            </w:r>
            <w:proofErr w:type="spellEnd"/>
            <w:r>
              <w:rPr>
                <w:rStyle w:val="FormatvorlageInstructionsTabelleText"/>
                <w:rFonts w:ascii="Times New Roman" w:hAnsi="Times New Roman"/>
                <w:sz w:val="24"/>
              </w:rPr>
              <w:t xml:space="preserve"> ή </w:t>
            </w:r>
            <w:proofErr w:type="spellStart"/>
            <w:r>
              <w:rPr>
                <w:rStyle w:val="FormatvorlageInstructionsTabelleText"/>
                <w:rFonts w:ascii="Times New Roman" w:hAnsi="Times New Roman"/>
                <w:sz w:val="24"/>
              </w:rPr>
              <w:t>α</w:t>
            </w:r>
            <w:r>
              <w:rPr>
                <w:rStyle w:val="FormatvorlageInstructionsTabelleText"/>
                <w:rFonts w:ascii="Times New Roman" w:hAnsi="Times New Roman"/>
                <w:sz w:val="24"/>
              </w:rPr>
              <w:t>ποαναγνωρίζονταν</w:t>
            </w:r>
            <w:proofErr w:type="spellEnd"/>
            <w:r>
              <w:rPr>
                <w:rStyle w:val="FormatvorlageInstructionsTabelleText"/>
                <w:rFonts w:ascii="Times New Roman" w:hAnsi="Times New Roman"/>
                <w:sz w:val="24"/>
              </w:rPr>
              <w:t xml:space="preserve"> δυνάμει του σχετικού λογιστικού προτύπου.</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Αναβαλλόμενες φορολογικές απαιτήσεις που βασίζ</w:t>
            </w:r>
            <w:r>
              <w:rPr>
                <w:rStyle w:val="InstructionsTabelleberschrift"/>
                <w:rFonts w:ascii="Times New Roman" w:hAnsi="Times New Roman"/>
                <w:sz w:val="24"/>
              </w:rPr>
              <w:t>ο</w:t>
            </w:r>
            <w:r>
              <w:rPr>
                <w:rStyle w:val="InstructionsTabelleberschrift"/>
                <w:rFonts w:ascii="Times New Roman" w:hAnsi="Times New Roman"/>
                <w:sz w:val="24"/>
              </w:rPr>
              <w:t>νται σε μελλοντική κερδοφορία και δεν προκύπτουν από προσωρινές δ</w:t>
            </w:r>
            <w:r>
              <w:rPr>
                <w:rStyle w:val="InstructionsTabelleberschrift"/>
                <w:rFonts w:ascii="Times New Roman" w:hAnsi="Times New Roman"/>
                <w:sz w:val="24"/>
              </w:rPr>
              <w:t>ι</w:t>
            </w:r>
            <w:r>
              <w:rPr>
                <w:rStyle w:val="InstructionsTabelleberschrift"/>
                <w:rFonts w:ascii="Times New Roman" w:hAnsi="Times New Roman"/>
                <w:sz w:val="24"/>
              </w:rPr>
              <w:t>αφορές πλην των σχετικών φορολογικών υποχρεώσεων</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γ) και άρθρο 38 του ΚΚΑ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Υστέρηση IRB των προσαρμογών πιστωτικού κινδ</w:t>
            </w:r>
            <w:r>
              <w:rPr>
                <w:rStyle w:val="InstructionsTabelleberschrift"/>
                <w:rFonts w:ascii="Times New Roman" w:hAnsi="Times New Roman"/>
                <w:sz w:val="24"/>
              </w:rPr>
              <w:t>ύ</w:t>
            </w:r>
            <w:r>
              <w:rPr>
                <w:rStyle w:val="InstructionsTabelleberschrift"/>
                <w:rFonts w:ascii="Times New Roman" w:hAnsi="Times New Roman"/>
                <w:sz w:val="24"/>
              </w:rPr>
              <w:t>νου για αναμενόμενες ζημίες</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δ), άρθρα 40, 158 και 159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προς αναφορά ποσό δεν μειώνεται από την αύξηση του επιπέδου των </w:t>
            </w:r>
            <w:r>
              <w:rPr>
                <w:rStyle w:val="FormatvorlageInstructionsTabelleText"/>
                <w:rFonts w:ascii="Times New Roman" w:hAnsi="Times New Roman"/>
                <w:sz w:val="24"/>
              </w:rPr>
              <w:lastRenderedPageBreak/>
              <w:t>αναβαλλόμενων φορολογικών απαιτήσεων που βασίζονται σε μελλοντική κερδοφορία, ή από άλλη πρόσθετη επίπτωση του φόρου, που θα μπορούσε να προκύψει αν οι προβλέψεις ανέρχονταν στο επίπεδο των αναμενόμενων ζημιών (Άρθρο 40 του ΚΚΑ).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390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Περιουσιακά στοιχεία συνταξιοδοτικών ταμείων πρ</w:t>
            </w:r>
            <w:r>
              <w:rPr>
                <w:rStyle w:val="InstructionsTabelleberschrift"/>
                <w:rFonts w:ascii="Times New Roman" w:hAnsi="Times New Roman"/>
                <w:sz w:val="24"/>
              </w:rPr>
              <w:t>ο</w:t>
            </w:r>
            <w:r>
              <w:rPr>
                <w:rStyle w:val="InstructionsTabelleberschrift"/>
                <w:rFonts w:ascii="Times New Roman" w:hAnsi="Times New Roman"/>
                <w:sz w:val="24"/>
              </w:rPr>
              <w:t>καθορισμένων παροχών</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109), άρθρο 36 παράγραφος 1 στοιχείο ε) και άρθρο 41 του ΚΚΑ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Περιουσιακά στοιχεία συνταξιοδοτικών ταμείων πρ</w:t>
            </w:r>
            <w:r>
              <w:rPr>
                <w:rStyle w:val="InstructionsTabelleberschrift"/>
                <w:rFonts w:ascii="Times New Roman" w:hAnsi="Times New Roman"/>
                <w:sz w:val="24"/>
              </w:rPr>
              <w:t>ο</w:t>
            </w:r>
            <w:r>
              <w:rPr>
                <w:rStyle w:val="InstructionsTabelleberschrift"/>
                <w:rFonts w:ascii="Times New Roman" w:hAnsi="Times New Roman"/>
                <w:sz w:val="24"/>
              </w:rPr>
              <w:t xml:space="preserve">καθορισμένων παροχών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109) και άρθρο 36 παράγραφος 1 στοιχείο ε)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Ως περιουσιακά στοιχεία συνταξιοδοτικού ταμείου προκαθορισμένων παρ</w:t>
            </w:r>
            <w:r>
              <w:rPr>
                <w:rStyle w:val="FormatvorlageInstructionsTabelleText"/>
                <w:rFonts w:ascii="Times New Roman" w:hAnsi="Times New Roman"/>
                <w:sz w:val="24"/>
              </w:rPr>
              <w:t>ο</w:t>
            </w:r>
            <w:r>
              <w:rPr>
                <w:rStyle w:val="FormatvorlageInstructionsTabelleText"/>
                <w:rFonts w:ascii="Times New Roman" w:hAnsi="Times New Roman"/>
                <w:sz w:val="24"/>
              </w:rPr>
              <w:t xml:space="preserve">χών ορίζονται «τα περιουσιακά στοιχεία ενός συνταξιοδοτικού ταμείου ή συνταξιοδοτικού προγράμματος προκαθορισμένων παροχών, ανάλογα με την περίπτωση, υπολογισμένα μετά την αφαίρεση των υποχρεώσεων του </w:t>
            </w:r>
            <w:r>
              <w:rPr>
                <w:rStyle w:val="FormatvorlageInstructionsTabelleText"/>
                <w:rFonts w:ascii="Times New Roman" w:hAnsi="Times New Roman"/>
                <w:sz w:val="24"/>
              </w:rPr>
              <w:t>ί</w:t>
            </w:r>
            <w:r>
              <w:rPr>
                <w:rStyle w:val="FormatvorlageInstructionsTabelleText"/>
                <w:rFonts w:ascii="Times New Roman" w:hAnsi="Times New Roman"/>
                <w:sz w:val="24"/>
              </w:rPr>
              <w:t>διου ταμείου ή προγράμματος».</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στο συγκεκριμένο σημείο αντιστοιχεί στο ποσό που αναφέρεται στον ισολογισμό (εάν αναφέρεται χωριστά).</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Αναβαλλόμενες φορολογικές υποχρεώσεις που σχετίζονται με περιουσιακά στοιχεία συνταξιοδοτικών ταμείων προκαθορισμένων παροχών</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σημεία 108) και 109) και άρθρο 41 παράγραφος 1 στοιχείο α)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Ποσό αναβαλλόμενων φορολογικών υποχρεώσεων που θα εξαλείφονταν, εάν τα περιουσιακά στοιχεία συνταξιοδοτικών ταμείων προκαθορισμένων παροχών </w:t>
            </w:r>
            <w:proofErr w:type="spellStart"/>
            <w:r>
              <w:rPr>
                <w:rStyle w:val="FormatvorlageInstructionsTabelleText"/>
                <w:rFonts w:ascii="Times New Roman" w:hAnsi="Times New Roman"/>
                <w:sz w:val="24"/>
              </w:rPr>
              <w:t>απομειώνονταν</w:t>
            </w:r>
            <w:proofErr w:type="spellEnd"/>
            <w:r>
              <w:rPr>
                <w:rStyle w:val="FormatvorlageInstructionsTabelleText"/>
                <w:rFonts w:ascii="Times New Roman" w:hAnsi="Times New Roman"/>
                <w:sz w:val="24"/>
              </w:rPr>
              <w:t xml:space="preserve"> ή </w:t>
            </w:r>
            <w:proofErr w:type="spellStart"/>
            <w:r>
              <w:rPr>
                <w:rStyle w:val="FormatvorlageInstructionsTabelleText"/>
                <w:rFonts w:ascii="Times New Roman" w:hAnsi="Times New Roman"/>
                <w:sz w:val="24"/>
              </w:rPr>
              <w:t>αποαναγνωρίζονταν</w:t>
            </w:r>
            <w:proofErr w:type="spellEnd"/>
            <w:r>
              <w:rPr>
                <w:rStyle w:val="FormatvorlageInstructionsTabelleText"/>
                <w:rFonts w:ascii="Times New Roman" w:hAnsi="Times New Roman"/>
                <w:sz w:val="24"/>
              </w:rPr>
              <w:t xml:space="preserve"> δυνάμει του σχετικού λογ</w:t>
            </w:r>
            <w:r>
              <w:rPr>
                <w:rStyle w:val="FormatvorlageInstructionsTabelleText"/>
                <w:rFonts w:ascii="Times New Roman" w:hAnsi="Times New Roman"/>
                <w:sz w:val="24"/>
              </w:rPr>
              <w:t>ι</w:t>
            </w:r>
            <w:r>
              <w:rPr>
                <w:rStyle w:val="FormatvorlageInstructionsTabelleText"/>
                <w:rFonts w:ascii="Times New Roman" w:hAnsi="Times New Roman"/>
                <w:sz w:val="24"/>
              </w:rPr>
              <w:t>στικού προτύπου.</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Περιουσιακά στοιχεία συνταξιοδοτικών ταμείων προκ</w:t>
            </w:r>
            <w:r>
              <w:rPr>
                <w:rStyle w:val="InstructionsTabelleberschrift"/>
                <w:rFonts w:ascii="Times New Roman" w:hAnsi="Times New Roman"/>
                <w:sz w:val="24"/>
              </w:rPr>
              <w:t>α</w:t>
            </w:r>
            <w:r>
              <w:rPr>
                <w:rStyle w:val="InstructionsTabelleberschrift"/>
                <w:rFonts w:ascii="Times New Roman" w:hAnsi="Times New Roman"/>
                <w:sz w:val="24"/>
              </w:rPr>
              <w:t>θορισμένων παροχών που το ίδρυμα δύναται να χρησιμοποιεί απεριόρ</w:t>
            </w:r>
            <w:r>
              <w:rPr>
                <w:rStyle w:val="InstructionsTabelleberschrift"/>
                <w:rFonts w:ascii="Times New Roman" w:hAnsi="Times New Roman"/>
                <w:sz w:val="24"/>
              </w:rPr>
              <w:t>ι</w:t>
            </w:r>
            <w:r>
              <w:rPr>
                <w:rStyle w:val="InstructionsTabelleberschrift"/>
                <w:rFonts w:ascii="Times New Roman" w:hAnsi="Times New Roman"/>
                <w:sz w:val="24"/>
              </w:rPr>
              <w:t>στα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109) και άρθρο 41 παράγραφος 1 στοιχείο β)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παρόν στοιχείο εμφανίζει ποσό μόνο κατόπιν προηγούμενης συναίνεσης της αρμόδιας αρχής για τη μείωση του ποσού των περιουσιακών στοιχείων συνταξιοδοτικών ταμείων προκαθορισμένων παροχών τα οποία θα αφαιρ</w:t>
            </w:r>
            <w:r>
              <w:rPr>
                <w:rStyle w:val="FormatvorlageInstructionsTabelleText"/>
                <w:rFonts w:ascii="Times New Roman" w:hAnsi="Times New Roman"/>
                <w:sz w:val="24"/>
              </w:rPr>
              <w:t>ε</w:t>
            </w:r>
            <w:r>
              <w:rPr>
                <w:rStyle w:val="FormatvorlageInstructionsTabelleText"/>
                <w:rFonts w:ascii="Times New Roman" w:hAnsi="Times New Roman"/>
                <w:sz w:val="24"/>
              </w:rPr>
              <w:t>θούν.</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περιουσιακά στοιχεία που περιλαμβάνονται στη συγκεκριμένη γραμμή υπόκεινται σε συντελεστή στάθμισης κινδύνου για τις απαιτήσεις πιστωτ</w:t>
            </w:r>
            <w:r>
              <w:rPr>
                <w:rStyle w:val="FormatvorlageInstructionsTabelleText"/>
                <w:rFonts w:ascii="Times New Roman" w:hAnsi="Times New Roman"/>
                <w:sz w:val="24"/>
              </w:rPr>
              <w:t>ι</w:t>
            </w:r>
            <w:r>
              <w:rPr>
                <w:rStyle w:val="FormatvorlageInstructionsTabelleText"/>
                <w:rFonts w:ascii="Times New Roman" w:hAnsi="Times New Roman"/>
                <w:sz w:val="24"/>
              </w:rPr>
              <w:t>κού κινδύνου.</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Αμοιβαίες συμμετοχές σε κεφάλαιο CET1</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122), άρθρο 36 παράγραφος 1 στοιχείο ζ) και άρθρο 44 του ΚΚΑ</w:t>
            </w:r>
          </w:p>
          <w:p w:rsid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Συμμετοχές σε μέσα CET1 οντοτήτων του χρηματοπιστωτικού τομέα (όπως ορίζονται στο άρθρο 4 σημείο 27) του ΚΚΑ) στην περίπτωση που υπάρχει αμοιβαία συμμετοχή με στόχο, κατά τη γνώμη των αρμόδιων αρχών, την τ</w:t>
            </w:r>
            <w:r>
              <w:rPr>
                <w:rStyle w:val="FormatvorlageInstructionsTabelleText"/>
                <w:rFonts w:ascii="Times New Roman" w:hAnsi="Times New Roman"/>
                <w:sz w:val="24"/>
              </w:rPr>
              <w:t>ε</w:t>
            </w:r>
            <w:r>
              <w:rPr>
                <w:rStyle w:val="FormatvorlageInstructionsTabelleText"/>
                <w:rFonts w:ascii="Times New Roman" w:hAnsi="Times New Roman"/>
                <w:sz w:val="24"/>
              </w:rPr>
              <w:t>χνητή διόγκωση των ιδίων κεφαλαίων του ιδρύματος.</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υπολογίζεται βάσει των μικτών θετικών θέσεων και περιλαμβάνει ασφαλιστικά στοιχεία ιδίων κεφαλαίων της κατηγορίας 1.</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Υπερβάλλον ποσό αφαίρεσης από στοιχεία AT1 επί κ</w:t>
            </w:r>
            <w:r>
              <w:rPr>
                <w:rStyle w:val="InstructionsTabelleberschrift"/>
                <w:rFonts w:ascii="Times New Roman" w:hAnsi="Times New Roman"/>
                <w:sz w:val="24"/>
              </w:rPr>
              <w:t>ε</w:t>
            </w:r>
            <w:r>
              <w:rPr>
                <w:rStyle w:val="InstructionsTabelleberschrift"/>
                <w:rFonts w:ascii="Times New Roman" w:hAnsi="Times New Roman"/>
                <w:sz w:val="24"/>
              </w:rPr>
              <w:t xml:space="preserve">φαλαίου AT1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ι)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λαμβάνεται απευθείας από το στοιχείο CA1 «Υπε</w:t>
            </w:r>
            <w:r>
              <w:rPr>
                <w:rStyle w:val="FormatvorlageInstructionsTabelleText"/>
                <w:rFonts w:ascii="Times New Roman" w:hAnsi="Times New Roman"/>
                <w:sz w:val="24"/>
              </w:rPr>
              <w:t>ρ</w:t>
            </w:r>
            <w:r>
              <w:rPr>
                <w:rStyle w:val="FormatvorlageInstructionsTabelleText"/>
                <w:rFonts w:ascii="Times New Roman" w:hAnsi="Times New Roman"/>
                <w:sz w:val="24"/>
              </w:rPr>
              <w:t>βάλλον ποσό αφαίρεσης από στοιχεία ΑΤ1 επί κεφαλαίου ΑΤ1». Το ποσό πρέπει να αφαιρείται από το κεφάλαιο CET1.</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Ειδικές συμμετοχές εκτός του χρηματοπιστωτικού τ</w:t>
            </w:r>
            <w:r>
              <w:rPr>
                <w:rStyle w:val="InstructionsTabelleberschrift"/>
                <w:rFonts w:ascii="Times New Roman" w:hAnsi="Times New Roman"/>
                <w:sz w:val="24"/>
              </w:rPr>
              <w:t>ο</w:t>
            </w:r>
            <w:r>
              <w:rPr>
                <w:rStyle w:val="InstructionsTabelleberschrift"/>
                <w:rFonts w:ascii="Times New Roman" w:hAnsi="Times New Roman"/>
                <w:sz w:val="24"/>
              </w:rPr>
              <w:t>μέα στις οποίες μπορεί, εναλλακτικά, να εφαρμοστεί συντελεστής στά</w:t>
            </w:r>
            <w:r>
              <w:rPr>
                <w:rStyle w:val="InstructionsTabelleberschrift"/>
                <w:rFonts w:ascii="Times New Roman" w:hAnsi="Times New Roman"/>
                <w:sz w:val="24"/>
              </w:rPr>
              <w:t>θ</w:t>
            </w:r>
            <w:r>
              <w:rPr>
                <w:rStyle w:val="InstructionsTabelleberschrift"/>
                <w:rFonts w:ascii="Times New Roman" w:hAnsi="Times New Roman"/>
                <w:sz w:val="24"/>
              </w:rPr>
              <w:t>μισης κινδύνου 1 250 %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36), άρθρο 36 παράγραφος 1 στοιχείο ια) σημείο i) και άρθρα 89 έως 91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Ως ειδική συμμετοχή νοείται «η άμεση ή έμμεση συμμετοχή σε μια επιχε</w:t>
            </w:r>
            <w:r>
              <w:rPr>
                <w:rStyle w:val="FormatvorlageInstructionsTabelleText"/>
                <w:rFonts w:ascii="Times New Roman" w:hAnsi="Times New Roman"/>
                <w:sz w:val="24"/>
              </w:rPr>
              <w:t>ί</w:t>
            </w:r>
            <w:r>
              <w:rPr>
                <w:rStyle w:val="FormatvorlageInstructionsTabelleText"/>
                <w:rFonts w:ascii="Times New Roman" w:hAnsi="Times New Roman"/>
                <w:sz w:val="24"/>
              </w:rPr>
              <w:t>ρηση, που αντιπροσωπεύει τουλάχιστον 10 % του κεφαλαίου ή των δικαι</w:t>
            </w:r>
            <w:r>
              <w:rPr>
                <w:rStyle w:val="FormatvorlageInstructionsTabelleText"/>
                <w:rFonts w:ascii="Times New Roman" w:hAnsi="Times New Roman"/>
                <w:sz w:val="24"/>
              </w:rPr>
              <w:t>ω</w:t>
            </w:r>
            <w:r>
              <w:rPr>
                <w:rStyle w:val="FormatvorlageInstructionsTabelleText"/>
                <w:rFonts w:ascii="Times New Roman" w:hAnsi="Times New Roman"/>
                <w:sz w:val="24"/>
              </w:rPr>
              <w:t>μάτων ψήφου ή που καθιστά δυνατή την άσκηση ουσιώδους επιρροής στη διαχείριση της επιχείρησης αυτής».</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Σύμφωνα με το άρθρο 36 παράγραφος 1 στοιχείο ια) σημείο i) του ΚΚΑ, μπορούν, εναλλακτικά, να αφαιρούνται από το κεφάλαιο CET1 (με τη χρ</w:t>
            </w:r>
            <w:r>
              <w:rPr>
                <w:rStyle w:val="FormatvorlageInstructionsTabelleText"/>
                <w:rFonts w:ascii="Times New Roman" w:hAnsi="Times New Roman"/>
                <w:sz w:val="24"/>
              </w:rPr>
              <w:t>ή</w:t>
            </w:r>
            <w:r>
              <w:rPr>
                <w:rStyle w:val="FormatvorlageInstructionsTabelleText"/>
                <w:rFonts w:ascii="Times New Roman" w:hAnsi="Times New Roman"/>
                <w:sz w:val="24"/>
              </w:rPr>
              <w:t>ση του συγκεκριμένου στοιχείου) ή να υπόκεινται σε συντελεστή στάθμισης κινδύνου 1 250 %.</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Θέσεις τιτλοποίησης στις οποίες μπορεί, εναλλακτικά, να εφαρμοστεί συντελεστής στάθμισης κινδύνου 1 250 %</w:t>
            </w:r>
          </w:p>
          <w:p w:rsidR="005643EA" w:rsidRPr="008343B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ια) σημείο ii), άρθρο 243 παράγραφος 1 στοιχείο β), άρθρο 244 παράγραφος 1 στοιχείο β), άρθρο 258 και άρθρο 266 παράγραφος 3 του ΚΚΑ, στην έκδοση σε ισχύ την 31η Δεκεμβρίου 2018, ή άρθρο 244 παράγραφος 1 στοιχείο β), άρθρο 245 παράγραφος 1 στοιχείο β), άρθρο 253 παράγραφος 1 και άρθρο 268 παράγραφος 4 του ΚΚΑ, κατά π</w:t>
            </w:r>
            <w:r>
              <w:rPr>
                <w:rStyle w:val="FormatvorlageInstructionsTabelleText"/>
                <w:rFonts w:ascii="Times New Roman" w:hAnsi="Times New Roman"/>
                <w:sz w:val="24"/>
              </w:rPr>
              <w:t>ε</w:t>
            </w:r>
            <w:r>
              <w:rPr>
                <w:rStyle w:val="FormatvorlageInstructionsTabelleText"/>
                <w:rFonts w:ascii="Times New Roman" w:hAnsi="Times New Roman"/>
                <w:sz w:val="24"/>
              </w:rPr>
              <w:t xml:space="preserve">ρίπτωση. </w:t>
            </w:r>
          </w:p>
          <w:p w:rsidR="005643EA" w:rsidRPr="00392FFD" w:rsidRDefault="00666996" w:rsidP="00B04D2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Στο συγκεκριμένο στοιχείο αναφέρονται θέσεις τιτλοποίησης στις οποίες μπορεί να εφαρμοστεί συντελεστής στάθμισης κινδύνου 1250 %, αλλά οι οποίες, εναλλακτικά, επιτρέπεται να αφαιρεθούν από το κεφάλαιο CET1 (άρθρο 36 παράγραφος 1 στοιχείο ια) σημείο ii) του ΚΚΑ).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Ατελείς συναλλαγές στις οποίες μπορεί, εναλλακτικά, να εφαρμοστεί συντελεστής στάθμισης κινδύνου 1 250 %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ια) σημείο iii) και άρθρο 379 παράγραφος 3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Στις ατελείς συναλλαγές εφαρμόζεται συντελεστής στάθμισης κινδύνου 1 250 %, 5 ημέρες μετά τη δεύτερη συμβατική πληρωμή ή παράδοση και έως τη λήξη της συναλλαγής, σύμφωνα με τις απαιτήσεις ιδίων κεφαλαίων </w:t>
            </w:r>
            <w:r>
              <w:rPr>
                <w:rStyle w:val="FormatvorlageInstructionsTabelleText"/>
                <w:rFonts w:ascii="Times New Roman" w:hAnsi="Times New Roman"/>
                <w:sz w:val="24"/>
              </w:rPr>
              <w:lastRenderedPageBreak/>
              <w:t>για τον κίνδυνο διακανονισμού. Εναλλακτικά, επιτρέπεται να αφαιρούνται από το κεφάλαιο CET1 (άρθρο 36 παράγραφος 1 στοιχείο ια) σημείο iii) του ΚΚΑ). Στη δεύτερη περίπτωση, αναφέρονται στο στοιχείο αυτό.</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471</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Θέσεις ενός καλαθιού για τις οποίες το ίδρυμα δεν μπορεί να προσδιορίσει τον συντελεστή στάθμισης κινδύνου δυνάμει της προσέγγισης IRB, και στις οποίες μπορεί, εναλλακτικά, να εφαρμ</w:t>
            </w:r>
            <w:r>
              <w:rPr>
                <w:rStyle w:val="InstructionsTabelleberschrift"/>
                <w:rFonts w:ascii="Times New Roman" w:hAnsi="Times New Roman"/>
                <w:sz w:val="24"/>
              </w:rPr>
              <w:t>ο</w:t>
            </w:r>
            <w:r>
              <w:rPr>
                <w:rStyle w:val="InstructionsTabelleberschrift"/>
                <w:rFonts w:ascii="Times New Roman" w:hAnsi="Times New Roman"/>
                <w:sz w:val="24"/>
              </w:rPr>
              <w:t>στεί συντελεστής στάθμισης κινδύνου 1 250 %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36 παράγραφος 1 στοιχείο ια) σημείο iv) και άρθρο 153 παράγραφος 8 του ΚΚΑ</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Σύμφωνα με το άρθρο 36 παράγραφος 1 στοιχείο ια) σημείο iv) του ΚΚΑ, μπορούν, εναλλακτικά, να αφαιρούνται από το κεφάλαιο CET1 (με τη χρ</w:t>
            </w:r>
            <w:r>
              <w:rPr>
                <w:rStyle w:val="FormatvorlageInstructionsTabelleText"/>
                <w:rFonts w:ascii="Times New Roman" w:hAnsi="Times New Roman"/>
                <w:sz w:val="24"/>
              </w:rPr>
              <w:t>ή</w:t>
            </w:r>
            <w:r>
              <w:rPr>
                <w:rStyle w:val="FormatvorlageInstructionsTabelleText"/>
                <w:rFonts w:ascii="Times New Roman" w:hAnsi="Times New Roman"/>
                <w:sz w:val="24"/>
              </w:rPr>
              <w:t>ση του συγκεκριμένου στοιχείου) ή να υπόκεινται σε συντελεστή στάθμισης κινδύνου 1 250 %.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472</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Ανοίγματα σε μετοχές βάσει της προσέγγισης εσωτερ</w:t>
            </w:r>
            <w:r>
              <w:rPr>
                <w:rStyle w:val="InstructionsTabelleberschrift"/>
                <w:rFonts w:ascii="Times New Roman" w:hAnsi="Times New Roman"/>
                <w:sz w:val="24"/>
              </w:rPr>
              <w:t>ι</w:t>
            </w:r>
            <w:r>
              <w:rPr>
                <w:rStyle w:val="InstructionsTabelleberschrift"/>
                <w:rFonts w:ascii="Times New Roman" w:hAnsi="Times New Roman"/>
                <w:sz w:val="24"/>
              </w:rPr>
              <w:t>κών υποδειγμάτων στα οποία μπορεί, εναλλακτικά, να εφαρμοστεί σ</w:t>
            </w:r>
            <w:r>
              <w:rPr>
                <w:rStyle w:val="InstructionsTabelleberschrift"/>
                <w:rFonts w:ascii="Times New Roman" w:hAnsi="Times New Roman"/>
                <w:sz w:val="24"/>
              </w:rPr>
              <w:t>υ</w:t>
            </w:r>
            <w:r>
              <w:rPr>
                <w:rStyle w:val="InstructionsTabelleberschrift"/>
                <w:rFonts w:ascii="Times New Roman" w:hAnsi="Times New Roman"/>
                <w:sz w:val="24"/>
              </w:rPr>
              <w:t>ντελεστής στάθμισης κινδύνου 1 250 %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36 παράγραφος 1 στοιχείο ια) σημείο v) και άρθρο 155 παράγραφος 4 του ΚΚΑ</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Σύμφωνα με το άρθρο 36 παράγραφος 1 στοιχείο ια) σημείο v) του ΚΚΑ, μπορούν, εναλλακτικά, να αφαιρούνται από το κεφάλαιο CET1 (με τη χρ</w:t>
            </w:r>
            <w:r>
              <w:rPr>
                <w:rStyle w:val="FormatvorlageInstructionsTabelleText"/>
                <w:rFonts w:ascii="Times New Roman" w:hAnsi="Times New Roman"/>
                <w:sz w:val="24"/>
              </w:rPr>
              <w:t>ή</w:t>
            </w:r>
            <w:r>
              <w:rPr>
                <w:rStyle w:val="FormatvorlageInstructionsTabelleText"/>
                <w:rFonts w:ascii="Times New Roman" w:hAnsi="Times New Roman"/>
                <w:sz w:val="24"/>
              </w:rPr>
              <w:t>ση του συγκεκριμένου στοιχείου) ή να υπόκεινται σε συντελεστή στάθμισης κινδύνου 1 250 %.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Μέσα CET1 οντοτήτων του χρηματοπιστωτικού τομέα όπου το ίδρυμα δεν έχει σημαντική επένδυση</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27) και άρθρο 36 παράγραφος 1 στοιχείο η)· άρθρα 43 έως 46, άρθρο 49 παράγραφοι 2 και 3· και άρθρο 79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Μέρος των συμμετοχών του ιδρύματος σε μέσα οντοτήτων του χρηματοπ</w:t>
            </w:r>
            <w:r>
              <w:rPr>
                <w:rStyle w:val="FormatvorlageInstructionsTabelleText"/>
                <w:rFonts w:ascii="Times New Roman" w:hAnsi="Times New Roman"/>
                <w:sz w:val="24"/>
              </w:rPr>
              <w:t>ι</w:t>
            </w:r>
            <w:r>
              <w:rPr>
                <w:rStyle w:val="FormatvorlageInstructionsTabelleText"/>
                <w:rFonts w:ascii="Times New Roman" w:hAnsi="Times New Roman"/>
                <w:sz w:val="24"/>
              </w:rPr>
              <w:t>στωτικού τομέα (όπως ορίζονται στο άρθρο 4 παράγραφος 1 σημείο 27) του ΚΚΑ), όπου το ίδρυμα δεν έχει σημαντική επένδυση που πρέπει να αφαιρ</w:t>
            </w:r>
            <w:r>
              <w:rPr>
                <w:rStyle w:val="FormatvorlageInstructionsTabelleText"/>
                <w:rFonts w:ascii="Times New Roman" w:hAnsi="Times New Roman"/>
                <w:sz w:val="24"/>
              </w:rPr>
              <w:t>ε</w:t>
            </w:r>
            <w:r>
              <w:rPr>
                <w:rStyle w:val="FormatvorlageInstructionsTabelleText"/>
                <w:rFonts w:ascii="Times New Roman" w:hAnsi="Times New Roman"/>
                <w:sz w:val="24"/>
              </w:rPr>
              <w:t>θεί από το κεφάλαιο CET1.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επιλογές εναλλακτικές της αφαίρεσης, όταν εφαρμόζεται ενοποίηση (άρθρο 49 παράγραφοι 2 και 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Εκπεστέες αναβαλλόμενες φορολογικές απαιτήσεις που βασίζονται σε μελλοντική κερδοφορία και προκύπτουν από προσωρινές διαφορές</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γ)· άρθρο 38 και άρθρο 48 παράγραφος 1 στοιχείο α)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Μέρος των αναβαλλόμενων φορολογικών απαιτήσεων που βασίζονται σε μελλοντική κερδοφορία και προκύπτουν από προσωρινές διαφορές (πλην του μέρους των σχετικών αναβαλλόμενων φορολογικών υποχρεώσεων που κατανέμονται σε αναβαλλόμενες φορολογικές απαιτήσεις που προκύπτουν από προσωρινές διαφορές, σύμφωνα με το άρθρο 38 παράγραφος 5 στοιχε</w:t>
            </w:r>
            <w:r>
              <w:rPr>
                <w:rStyle w:val="FormatvorlageInstructionsTabelleText"/>
                <w:rFonts w:ascii="Times New Roman" w:hAnsi="Times New Roman"/>
                <w:sz w:val="24"/>
              </w:rPr>
              <w:t>ί</w:t>
            </w:r>
            <w:r>
              <w:rPr>
                <w:rStyle w:val="FormatvorlageInstructionsTabelleText"/>
                <w:rFonts w:ascii="Times New Roman" w:hAnsi="Times New Roman"/>
                <w:sz w:val="24"/>
              </w:rPr>
              <w:t>ο β) του ΚΚΑ), το οποίο πρέπει να αφαιρείται, εφαρμόζοντας το κατώτατο όριο 10 % του άρθρου 48 παράγραφος 1 στοιχείο α) του ΚΚΑ.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500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Μέσα CET1 οντοτήτων του χρηματοπιστωτικού τομέα όπου το ίδρυμα έχει σημαντική επένδυση</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27)· άρθρο 36 παράγραφος 1 στοιχείο θ)· άρθρα 43, 45· άρθρο 47· άρθρο 48 παράγραφος 1 στοιχείο β)· άρθρο 49 π</w:t>
            </w:r>
            <w:r>
              <w:rPr>
                <w:rStyle w:val="FormatvorlageInstructionsTabelleText"/>
                <w:rFonts w:ascii="Times New Roman" w:hAnsi="Times New Roman"/>
                <w:sz w:val="24"/>
              </w:rPr>
              <w:t>α</w:t>
            </w:r>
            <w:r>
              <w:rPr>
                <w:rStyle w:val="FormatvorlageInstructionsTabelleText"/>
                <w:rFonts w:ascii="Times New Roman" w:hAnsi="Times New Roman"/>
                <w:sz w:val="24"/>
              </w:rPr>
              <w:t>ράγραφοι 1 έως 3 και άρθρο 79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Μέρος των συμμετοχών του ιδρύματος σε μέσα CET1 οντοτήτων του χρ</w:t>
            </w:r>
            <w:r>
              <w:rPr>
                <w:rStyle w:val="FormatvorlageInstructionsTabelleText"/>
                <w:rFonts w:ascii="Times New Roman" w:hAnsi="Times New Roman"/>
                <w:sz w:val="24"/>
              </w:rPr>
              <w:t>η</w:t>
            </w:r>
            <w:r>
              <w:rPr>
                <w:rStyle w:val="FormatvorlageInstructionsTabelleText"/>
                <w:rFonts w:ascii="Times New Roman" w:hAnsi="Times New Roman"/>
                <w:sz w:val="24"/>
              </w:rPr>
              <w:t>ματοπιστωτικού τομέα (όπως ορίζονται στο άρθρο 4 παράγραφος 1 σημε</w:t>
            </w:r>
            <w:r>
              <w:rPr>
                <w:rStyle w:val="FormatvorlageInstructionsTabelleText"/>
                <w:rFonts w:ascii="Times New Roman" w:hAnsi="Times New Roman"/>
                <w:sz w:val="24"/>
              </w:rPr>
              <w:t>ί</w:t>
            </w:r>
            <w:r>
              <w:rPr>
                <w:rStyle w:val="FormatvorlageInstructionsTabelleText"/>
                <w:rFonts w:ascii="Times New Roman" w:hAnsi="Times New Roman"/>
                <w:sz w:val="24"/>
              </w:rPr>
              <w:t>ο 27) του ΚΚΑ) όπου το ίδρυμα έχει σημαντική επένδυση που πρέπει να αφαιρεθεί, εφαρμόζοντας το κατώτατο όριο 10 % του άρθρου 48 παράγρ</w:t>
            </w:r>
            <w:r>
              <w:rPr>
                <w:rStyle w:val="FormatvorlageInstructionsTabelleText"/>
                <w:rFonts w:ascii="Times New Roman" w:hAnsi="Times New Roman"/>
                <w:sz w:val="24"/>
              </w:rPr>
              <w:t>α</w:t>
            </w:r>
            <w:r>
              <w:rPr>
                <w:rStyle w:val="FormatvorlageInstructionsTabelleText"/>
                <w:rFonts w:ascii="Times New Roman" w:hAnsi="Times New Roman"/>
                <w:sz w:val="24"/>
              </w:rPr>
              <w:t>φος 1 στοιχείο β)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επιλογές εναλλακτικές της αφαίρεσης, όταν εφαρμόζεται ενοποίηση (άρθρο 49 παράγραφοι 1, 2 και 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Ποσό που υπερβαίνει το κατώτατο όριο του 17,65 %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48 παράγραφος 1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Μέρος των αναβαλλόμενων φορολογικών απαιτήσεων που βασίζονται σε μελλοντική κερδοφορία και προκύπτουν από προσωρινές διαφορές και άμ</w:t>
            </w:r>
            <w:r>
              <w:rPr>
                <w:rStyle w:val="FormatvorlageInstructionsTabelleText"/>
                <w:rFonts w:ascii="Times New Roman" w:hAnsi="Times New Roman"/>
                <w:sz w:val="24"/>
              </w:rPr>
              <w:t>ε</w:t>
            </w:r>
            <w:r>
              <w:rPr>
                <w:rStyle w:val="FormatvorlageInstructionsTabelleText"/>
                <w:rFonts w:ascii="Times New Roman" w:hAnsi="Times New Roman"/>
                <w:sz w:val="24"/>
              </w:rPr>
              <w:t>σες και έμμεσες συμμετοχές του ιδρύματος σε μέσα CET1 οντοτήτων του χρηματοπιστωτικού τομέα (όπως ορίζονται στο άρθρο 4 παράγραφος 1 σ</w:t>
            </w:r>
            <w:r>
              <w:rPr>
                <w:rStyle w:val="FormatvorlageInstructionsTabelleText"/>
                <w:rFonts w:ascii="Times New Roman" w:hAnsi="Times New Roman"/>
                <w:sz w:val="24"/>
              </w:rPr>
              <w:t>η</w:t>
            </w:r>
            <w:r>
              <w:rPr>
                <w:rStyle w:val="FormatvorlageInstructionsTabelleText"/>
                <w:rFonts w:ascii="Times New Roman" w:hAnsi="Times New Roman"/>
                <w:sz w:val="24"/>
              </w:rPr>
              <w:t>μείο 27) του ΚΚΑ), όπου το ίδρυμα έχει σημαντική επένδυση που πρέπει να αφαιρεθεί, εφαρμόζοντας το κατώτατο όριο 17,65 % του άρθρου 48 παρ</w:t>
            </w:r>
            <w:r>
              <w:rPr>
                <w:rStyle w:val="FormatvorlageInstructionsTabelleText"/>
                <w:rFonts w:ascii="Times New Roman" w:hAnsi="Times New Roman"/>
                <w:sz w:val="24"/>
              </w:rPr>
              <w:t>ά</w:t>
            </w:r>
            <w:r>
              <w:rPr>
                <w:rStyle w:val="FormatvorlageInstructionsTabelleText"/>
                <w:rFonts w:ascii="Times New Roman" w:hAnsi="Times New Roman"/>
                <w:sz w:val="24"/>
              </w:rPr>
              <w:t>γραφος 1 του ΚΚΑ.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Άλλες μεταβατικές προσαρμογές στο κεφάλαιο CET1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469 έως 472, άρθρο 478 και άρθρο 481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στις αφαιρέσεις λόγω μεταβατικών διατάξεων. Το προς αν</w:t>
            </w:r>
            <w:r>
              <w:rPr>
                <w:rStyle w:val="FormatvorlageInstructionsTabelleText"/>
                <w:rFonts w:ascii="Times New Roman" w:hAnsi="Times New Roman"/>
                <w:sz w:val="24"/>
              </w:rPr>
              <w:t>α</w:t>
            </w:r>
            <w:r>
              <w:rPr>
                <w:rStyle w:val="FormatvorlageInstructionsTabelleText"/>
                <w:rFonts w:ascii="Times New Roman" w:hAnsi="Times New Roman"/>
                <w:sz w:val="24"/>
              </w:rPr>
              <w:t>φορά ποσό λαμβάνεται απευθείας από το CA5.</w:t>
            </w:r>
          </w:p>
        </w:tc>
      </w:tr>
      <w:tr w:rsidR="00A232F8"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Πρόσθετες αφαιρέσεις του κεφαλαίου CET1 λόγω του άρθρου 3 του KKA</w:t>
            </w:r>
          </w:p>
          <w:p w:rsidR="005643EA" w:rsidRPr="00392FFD" w:rsidRDefault="00A232F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3 του ΚΚΑ</w:t>
            </w:r>
          </w:p>
        </w:tc>
      </w:tr>
      <w:tr w:rsidR="00666996" w:rsidRPr="00392FFD" w:rsidTr="00672D2A">
        <w:tc>
          <w:tcPr>
            <w:tcW w:w="1129" w:type="dxa"/>
          </w:tcPr>
          <w:p w:rsidR="005643EA" w:rsidRPr="00392FFD" w:rsidRDefault="00A232F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529</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Στοιχεία ή αφαιρέσεις κεφαλαίου CET1 – άλλα</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συγκεκριμένη γραμμή δημιουργήθηκε για να παρέχει ευελιξία αποκλε</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στικά για σκοπούς υποβολής αναφορών. Περιέχει αριθμητικά στοιχεία μόνο στις σπάνιες περιπτώσεις όπου δεν υπάρχει τελική απόφαση για την αναφ</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ρά συγκεκριμένων στοιχείων/αφαιρέσεων κεφαλαίου στο τρέχον υπόδειγμα CA1. Κατά συνέπεια, η συγκεκριμένη γραμμή περιέχει αριθμητικά στοιχεία μόνον εάν ένα στοιχείο του κεφαλαίου CET1, ή αντιστοίχως αφαίρεση στο</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 xml:space="preserve">χείου CET1, δεν μπορεί να αναφερθεί σε μία από τις γραμμές 020 έως 524. </w:t>
            </w:r>
          </w:p>
          <w:p w:rsidR="005643EA" w:rsidRPr="007E39E6" w:rsidRDefault="00666996"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κελί αυτό δεν χρησιμοποιείται για τον καταλογισμό στοιχε</w:t>
            </w:r>
            <w:r>
              <w:rPr>
                <w:rStyle w:val="InstructionsTabelleberschrift"/>
                <w:rFonts w:ascii="Times New Roman" w:hAnsi="Times New Roman"/>
                <w:b w:val="0"/>
                <w:sz w:val="24"/>
                <w:u w:val="none"/>
              </w:rPr>
              <w:t>ί</w:t>
            </w:r>
            <w:r>
              <w:rPr>
                <w:rStyle w:val="InstructionsTabelleberschrift"/>
                <w:rFonts w:ascii="Times New Roman" w:hAnsi="Times New Roman"/>
                <w:b w:val="0"/>
                <w:sz w:val="24"/>
                <w:u w:val="none"/>
              </w:rPr>
              <w:t>ων/αφαιρέσεων κεφαλαίου που δεν καλύπτονται από τον ΚΚΑ στον υπολ</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γισμό των συντελεστών φερεγγυότητας (π.χ. καταλογισμός εθνικών στο</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χείων/αφαιρέσεων κεφαλαίου που δεν περιλαμβάνονται στο πεδίο εφαρμ</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γής του ΚΚΑ).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ΠΡΟΣΘΕΤΟ ΚΕΦΑΛΑΙΟ ΤΗΣ ΚΑΤΗΓΟΡΙΑΣ 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Άρθρο 61 του ΚΚΑ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Κεφαλαιακά μέσα που είναι επιλέξιμα ως κεφάλαιο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51 στοιχείο α), άρθρα 52 έως 54, άρθρο 56 στοιχείο α) και άρθρο 57 του ΚΚΑ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Καταβεβλημένα κεφαλαιακά μέσα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51 στοιχείο α) και άρθρα 52 έως 54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τη διαφορά από την έκδοση μετ</w:t>
            </w:r>
            <w:r>
              <w:rPr>
                <w:rStyle w:val="FormatvorlageInstructionsTabelleText"/>
                <w:rFonts w:ascii="Times New Roman" w:hAnsi="Times New Roman"/>
                <w:sz w:val="24"/>
              </w:rPr>
              <w:t>ο</w:t>
            </w:r>
            <w:r>
              <w:rPr>
                <w:rStyle w:val="FormatvorlageInstructionsTabelleText"/>
                <w:rFonts w:ascii="Times New Roman" w:hAnsi="Times New Roman"/>
                <w:sz w:val="24"/>
              </w:rPr>
              <w:t>χών υπέρ το άρτιο που αφορά τα μέσα.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Υπομνηματικό στοιχείο: Κεφαλαιακά μέσα που δεν είναι επιλέξιμα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52 παράγραφος 1) στοιχεία γ), ε) και στ)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προϋποθέσεις στα συγκεκριμένα σημεία αντανακλούν διαφορετικές κ</w:t>
            </w:r>
            <w:r>
              <w:rPr>
                <w:rStyle w:val="FormatvorlageInstructionsTabelleText"/>
                <w:rFonts w:ascii="Times New Roman" w:hAnsi="Times New Roman"/>
                <w:sz w:val="24"/>
              </w:rPr>
              <w:t>α</w:t>
            </w:r>
            <w:r>
              <w:rPr>
                <w:rStyle w:val="FormatvorlageInstructionsTabelleText"/>
                <w:rFonts w:ascii="Times New Roman" w:hAnsi="Times New Roman"/>
                <w:sz w:val="24"/>
              </w:rPr>
              <w:t>ταστάσεις του κεφαλαίου που είναι αναστρέψιμες και, επομένως, το αναφ</w:t>
            </w:r>
            <w:r>
              <w:rPr>
                <w:rStyle w:val="FormatvorlageInstructionsTabelleText"/>
                <w:rFonts w:ascii="Times New Roman" w:hAnsi="Times New Roman"/>
                <w:sz w:val="24"/>
              </w:rPr>
              <w:t>ε</w:t>
            </w:r>
            <w:r>
              <w:rPr>
                <w:rStyle w:val="FormatvorlageInstructionsTabelleText"/>
                <w:rFonts w:ascii="Times New Roman" w:hAnsi="Times New Roman"/>
                <w:sz w:val="24"/>
              </w:rPr>
              <w:t>ρόμενο ποσό στο συγκεκριμένο σημείο μπορεί να είναι επιλέξιμο σε επόμ</w:t>
            </w:r>
            <w:r>
              <w:rPr>
                <w:rStyle w:val="FormatvorlageInstructionsTabelleText"/>
                <w:rFonts w:ascii="Times New Roman" w:hAnsi="Times New Roman"/>
                <w:sz w:val="24"/>
              </w:rPr>
              <w:t>ε</w:t>
            </w:r>
            <w:r>
              <w:rPr>
                <w:rStyle w:val="FormatvorlageInstructionsTabelleText"/>
                <w:rFonts w:ascii="Times New Roman" w:hAnsi="Times New Roman"/>
                <w:sz w:val="24"/>
              </w:rPr>
              <w:t>νες περιόδους.</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τη διαφορά από την έκδοση μετ</w:t>
            </w:r>
            <w:r>
              <w:rPr>
                <w:rStyle w:val="FormatvorlageInstructionsTabelleText"/>
                <w:rFonts w:ascii="Times New Roman" w:hAnsi="Times New Roman"/>
                <w:sz w:val="24"/>
              </w:rPr>
              <w:t>ο</w:t>
            </w:r>
            <w:r>
              <w:rPr>
                <w:rStyle w:val="FormatvorlageInstructionsTabelleText"/>
                <w:rFonts w:ascii="Times New Roman" w:hAnsi="Times New Roman"/>
                <w:sz w:val="24"/>
              </w:rPr>
              <w:t>χών υπέρ το άρτιο που αφορά τα μέσα.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Διαφορά από την έκδοση μετοχών υπέρ το άρτιο</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51 στοιχείο β)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 όρος «διαφορά από την έκδοση μετοχών υπέρ το άρτιο» έχει την ίδια έ</w:t>
            </w:r>
            <w:r>
              <w:rPr>
                <w:rStyle w:val="FormatvorlageInstructionsTabelleText"/>
                <w:rFonts w:ascii="Times New Roman" w:hAnsi="Times New Roman"/>
                <w:sz w:val="24"/>
              </w:rPr>
              <w:t>ν</w:t>
            </w:r>
            <w:r>
              <w:rPr>
                <w:rStyle w:val="FormatvorlageInstructionsTabelleText"/>
                <w:rFonts w:ascii="Times New Roman" w:hAnsi="Times New Roman"/>
                <w:sz w:val="24"/>
              </w:rPr>
              <w:t xml:space="preserve">νοια με αυτήν του εφαρμοστέου λογιστικού προτύπου.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στο συγκεκριμένο στοιχείο είναι το μέρος που σχ</w:t>
            </w:r>
            <w:r>
              <w:rPr>
                <w:rStyle w:val="FormatvorlageInstructionsTabelleText"/>
                <w:rFonts w:ascii="Times New Roman" w:hAnsi="Times New Roman"/>
                <w:sz w:val="24"/>
              </w:rPr>
              <w:t>ε</w:t>
            </w:r>
            <w:r>
              <w:rPr>
                <w:rStyle w:val="FormatvorlageInstructionsTabelleText"/>
                <w:rFonts w:ascii="Times New Roman" w:hAnsi="Times New Roman"/>
                <w:sz w:val="24"/>
              </w:rPr>
              <w:t>τίζεται με τα «καταβεβλημένα κεφαλαιακά μέσα».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Ίδια μέσα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52 παράγραφος 1 στοιχείο β), άρθρο 56 στοιχείο α) και άρθρο 57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Ίδια μέσα AT1 που βρίσκονται στην κατοχή του αναφέροντος ιδρύματος ή ομίλου κατά την ημερομηνία υποβολής αναφοράς. Με την επιφύλαξη των εξαιρέσεων του άρθρου 57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τοποθετήσεις σε μετοχές που περιλαμβάνονται στα «Κεφαλαιακά μέσα που δεν είναι επιλέξιμα» δεν αναφέρονται στη συγκεκριμένη γραμμή.</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περιλαμβάνει τη διαφορά από την έκδοση μετοχών υπέρ το άρτιο που αφορά τις ίδιες μετοχές.</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στοιχεία 1.1.2.1.4 έως 1.1.2.1.4.3 δεν περιλαμβάνουν πραγματικές ή ε</w:t>
            </w:r>
            <w:r>
              <w:rPr>
                <w:rStyle w:val="FormatvorlageInstructionsTabelleText"/>
                <w:rFonts w:ascii="Times New Roman" w:hAnsi="Times New Roman"/>
                <w:sz w:val="24"/>
              </w:rPr>
              <w:t>ν</w:t>
            </w:r>
            <w:r>
              <w:rPr>
                <w:rStyle w:val="FormatvorlageInstructionsTabelleText"/>
                <w:rFonts w:ascii="Times New Roman" w:hAnsi="Times New Roman"/>
                <w:sz w:val="24"/>
              </w:rPr>
              <w:t>δεχόμενες υποχρεώσεις για την αγορά ιδίων μέσων CET1. Οι πραγματικές ή ενδεχόμενες υποχρεώσεις για την αγορά ιδίων μέσων AT1 αναφέρονται χ</w:t>
            </w:r>
            <w:r>
              <w:rPr>
                <w:rStyle w:val="FormatvorlageInstructionsTabelleText"/>
                <w:rFonts w:ascii="Times New Roman" w:hAnsi="Times New Roman"/>
                <w:sz w:val="24"/>
              </w:rPr>
              <w:t>ω</w:t>
            </w:r>
            <w:r>
              <w:rPr>
                <w:rStyle w:val="FormatvorlageInstructionsTabelleText"/>
                <w:rFonts w:ascii="Times New Roman" w:hAnsi="Times New Roman"/>
                <w:sz w:val="24"/>
              </w:rPr>
              <w:t>ριστά στο στοιχείο 1.1.2.1.5.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Άμεσες συμμετοχές σε μέσα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114), άρθρο 52 παράγραφος 1 στοιχείο β), άρθρο 56 στοιχείο α) και άρθρο 57 του ΚΚΑ</w:t>
            </w:r>
          </w:p>
          <w:p w:rsidR="005643EA" w:rsidRP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Πρόσθετα μέσα της κατηγορίας 1 που περιλαμβάνονται στο στοιχείο 1.1.2.1.1 και βρίσκονται στην κατοχή των ιδρυμάτων του ενοποιημένου </w:t>
            </w:r>
            <w:r>
              <w:rPr>
                <w:rStyle w:val="FormatvorlageInstructionsTabelleText"/>
                <w:rFonts w:ascii="Times New Roman" w:hAnsi="Times New Roman"/>
                <w:sz w:val="24"/>
              </w:rPr>
              <w:t>ο</w:t>
            </w:r>
            <w:r>
              <w:rPr>
                <w:rStyle w:val="FormatvorlageInstructionsTabelleText"/>
                <w:rFonts w:ascii="Times New Roman" w:hAnsi="Times New Roman"/>
                <w:sz w:val="24"/>
              </w:rPr>
              <w:t xml:space="preserve">μίλου.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620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Έμμεσες συμμετοχές σε μέσα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52 παράγραφος 1 στοιχείο β) σημείο ii), άρθρο 56 στοιχείο α) και άρθρο 57 του ΚΚΑ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621</w:t>
            </w:r>
          </w:p>
        </w:tc>
        <w:tc>
          <w:tcPr>
            <w:tcW w:w="7620" w:type="dxa"/>
          </w:tcPr>
          <w:p w:rsidR="005643EA" w:rsidRPr="007E39E6" w:rsidRDefault="006455B0" w:rsidP="00FD239F">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Σύνθετες συμμετοχές σε μέσα AT1</w:t>
            </w:r>
          </w:p>
          <w:p w:rsidR="005643EA" w:rsidRPr="007E39E6" w:rsidRDefault="00805255" w:rsidP="00FD239F">
            <w:pPr>
              <w:pStyle w:val="InstructionsText"/>
              <w:rPr>
                <w:rStyle w:val="InstructionsTabelleberschrift"/>
                <w:rFonts w:ascii="Times New Roman" w:hAnsi="Times New Roman"/>
                <w:b w:val="0"/>
                <w:bCs w:val="0"/>
                <w:sz w:val="24"/>
                <w:u w:val="none"/>
              </w:rPr>
            </w:pPr>
            <w:r>
              <w:t>Άρθρο 4 παράγραφος 1 σημείο 126), άρθρο 52 παράγραφος 1 στοιχείο β), άρθρο 56 στοιχείο α) και άρθρο 57 του ΚΚΑ</w:t>
            </w:r>
          </w:p>
        </w:tc>
      </w:tr>
      <w:tr w:rsidR="00666996"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Πραγματικές ή ενδεχόμενες υποχρεώσεις για την αγορά ιδίων μέσων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56 στοιχείο α) και άρθρο 57 του ΚΚΑ</w:t>
            </w:r>
          </w:p>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Σύμφωνα με το άρθρο 56 στοιχείο α) του ΚΚΑ,</w:t>
            </w:r>
            <w:r>
              <w:t xml:space="preserve"> αφαιρούνται τα «ίδια πρ</w:t>
            </w:r>
            <w:r>
              <w:t>ό</w:t>
            </w:r>
            <w:r>
              <w:t>σθετα μέσα της κατηγορίας 1 που μπορεί να υποχρεούται να αγοράσει ένα ίδρυμα ως αποτέλεσμα υφιστάμενων συμβατικών υποχρεώσεων».</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Μεταβατικές προσαρμογές λόγω προϋφιστάμενων κεφαλαιακών μέσων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483 παράγραφοι 4 και 5, άρθρα 484 έως 487, άρθρα 489 και 491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Ποσό κεφαλαιακών μέσων που προϋφίστανται σε μεταβατική βάση ως ΑΤ1. Το προς αναφορά ποσό λαμβάνεται απευθείας από το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Μέσα που εκδίδονται από θυγατρικές που αναγνωρίστηκαν ως κεφάλαιο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83, 85 και 86 του ΚΚΑ</w:t>
            </w:r>
          </w:p>
          <w:p w:rsidR="00477CB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Άθροισμα του συνόλου των ποσών του επιλέξιμου κεφαλαίου Τ1 θυγατρ</w:t>
            </w:r>
            <w:r>
              <w:rPr>
                <w:rStyle w:val="FormatvorlageInstructionsTabelleText"/>
                <w:rFonts w:ascii="Times New Roman" w:hAnsi="Times New Roman"/>
                <w:sz w:val="24"/>
              </w:rPr>
              <w:t>ι</w:t>
            </w:r>
            <w:r>
              <w:rPr>
                <w:rStyle w:val="FormatvorlageInstructionsTabelleText"/>
                <w:rFonts w:ascii="Times New Roman" w:hAnsi="Times New Roman"/>
                <w:sz w:val="24"/>
              </w:rPr>
              <w:t>κών που περιλαμβάνεται στα ενοποιημένα κεφάλαια AT1.</w:t>
            </w:r>
          </w:p>
          <w:p w:rsidR="00106FC5" w:rsidRPr="00392FFD"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Περιλαμβάνεται επιλέξιμο κεφάλαιο AT1 που εκδίδεται από οντότητα ειδ</w:t>
            </w:r>
            <w:r>
              <w:rPr>
                <w:rStyle w:val="FormatvorlageInstructionsTabelleText"/>
                <w:rFonts w:ascii="Times New Roman" w:hAnsi="Times New Roman"/>
                <w:sz w:val="24"/>
              </w:rPr>
              <w:t>ι</w:t>
            </w:r>
            <w:r>
              <w:rPr>
                <w:rStyle w:val="FormatvorlageInstructionsTabelleText"/>
                <w:rFonts w:ascii="Times New Roman" w:hAnsi="Times New Roman"/>
                <w:sz w:val="24"/>
              </w:rPr>
              <w:t>κού σκοπού (άρθρο 83 του ΚΚΑ).</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680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Μεταβατικές προσαρμογές λόγω πρόσθετης αναγνώρισης στο κεφάλαιο AT1 μέσων που εκδίδονται από θυγατρικές</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480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στο επιλέξιμο κεφάλαιο Τ1 που περιλαμβάνεται στα ενοποι</w:t>
            </w:r>
            <w:r>
              <w:rPr>
                <w:rStyle w:val="FormatvorlageInstructionsTabelleText"/>
                <w:rFonts w:ascii="Times New Roman" w:hAnsi="Times New Roman"/>
                <w:sz w:val="24"/>
              </w:rPr>
              <w:t>η</w:t>
            </w:r>
            <w:r>
              <w:rPr>
                <w:rStyle w:val="FormatvorlageInstructionsTabelleText"/>
                <w:rFonts w:ascii="Times New Roman" w:hAnsi="Times New Roman"/>
                <w:sz w:val="24"/>
              </w:rPr>
              <w:t>μένα κεφάλαια ΑΤ1 λόγω μεταβατικών διατάξεων. Το στοιχείο αυτό λα</w:t>
            </w:r>
            <w:r>
              <w:rPr>
                <w:rStyle w:val="FormatvorlageInstructionsTabelleText"/>
                <w:rFonts w:ascii="Times New Roman" w:hAnsi="Times New Roman"/>
                <w:sz w:val="24"/>
              </w:rPr>
              <w:t>μ</w:t>
            </w:r>
            <w:r>
              <w:rPr>
                <w:rStyle w:val="FormatvorlageInstructionsTabelleText"/>
                <w:rFonts w:ascii="Times New Roman" w:hAnsi="Times New Roman"/>
                <w:sz w:val="24"/>
              </w:rPr>
              <w:t>βάνεται απευθείας από το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Αμοιβαίες συμμετοχές σε κεφάλαιο AT1</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122), άρθρο 56 στοιχείο β) και άρθρο 58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Συμμετοχές σε μέσα AT1 οντοτήτων του χρηματοπιστωτικού τομέα (όπως ορίζονται στο άρθρο 4 παράγραφος 1 σημείο 27) του ΚΚΑ), στην περίπτ</w:t>
            </w:r>
            <w:r>
              <w:rPr>
                <w:rStyle w:val="FormatvorlageInstructionsTabelleText"/>
                <w:rFonts w:ascii="Times New Roman" w:hAnsi="Times New Roman"/>
                <w:sz w:val="24"/>
              </w:rPr>
              <w:t>ω</w:t>
            </w:r>
            <w:r>
              <w:rPr>
                <w:rStyle w:val="FormatvorlageInstructionsTabelleText"/>
                <w:rFonts w:ascii="Times New Roman" w:hAnsi="Times New Roman"/>
                <w:sz w:val="24"/>
              </w:rPr>
              <w:t>ση που υπάρχει αμοιβαία συμμετοχή με στόχο, κατά τη γνώμη των αρμόδ</w:t>
            </w:r>
            <w:r>
              <w:rPr>
                <w:rStyle w:val="FormatvorlageInstructionsTabelleText"/>
                <w:rFonts w:ascii="Times New Roman" w:hAnsi="Times New Roman"/>
                <w:sz w:val="24"/>
              </w:rPr>
              <w:t>ι</w:t>
            </w:r>
            <w:r>
              <w:rPr>
                <w:rStyle w:val="FormatvorlageInstructionsTabelleText"/>
                <w:rFonts w:ascii="Times New Roman" w:hAnsi="Times New Roman"/>
                <w:sz w:val="24"/>
              </w:rPr>
              <w:t>ων αρχών, την τεχνητή διόγκωση των ιδίων κεφαλαίων του ιδρύματος.</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Το προς αναφορά ποσό υπολογίζεται βάσει των μικτών θετικών θέσεων και περιλαμβάνει ασφαλιστικά στοιχεία πρόσθετων ιδίων κεφαλαίων της κατ</w:t>
            </w:r>
            <w:r>
              <w:rPr>
                <w:rStyle w:val="FormatvorlageInstructionsTabelleText"/>
                <w:rFonts w:ascii="Times New Roman" w:hAnsi="Times New Roman"/>
                <w:sz w:val="24"/>
              </w:rPr>
              <w:t>η</w:t>
            </w:r>
            <w:r>
              <w:rPr>
                <w:rStyle w:val="FormatvorlageInstructionsTabelleText"/>
                <w:rFonts w:ascii="Times New Roman" w:hAnsi="Times New Roman"/>
                <w:sz w:val="24"/>
              </w:rPr>
              <w:t>γορίας 1.</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Μέσα AT1 οντοτήτων του χρηματοπιστωτικού τομέα όπου το ίδρυμα δεν έχει σημαντική επένδυση</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27) και άρθρο 56 στοιχείο γ)· άρθρα 59, 60 και 79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Μέρος των συμμετοχών του ιδρύματος σε μέσα οντοτήτων του χρηματοπ</w:t>
            </w:r>
            <w:r>
              <w:rPr>
                <w:rStyle w:val="FormatvorlageInstructionsTabelleText"/>
                <w:rFonts w:ascii="Times New Roman" w:hAnsi="Times New Roman"/>
                <w:sz w:val="24"/>
              </w:rPr>
              <w:t>ι</w:t>
            </w:r>
            <w:r>
              <w:rPr>
                <w:rStyle w:val="FormatvorlageInstructionsTabelleText"/>
                <w:rFonts w:ascii="Times New Roman" w:hAnsi="Times New Roman"/>
                <w:sz w:val="24"/>
              </w:rPr>
              <w:t>στωτικού τομέα (όπως ορίζονται στο άρθρο 4 παράγραφος 1 σημείο 27) του ΚΚΑ), όπου το ίδρυμα δεν έχει σημαντική επένδυση που πρέπει να αφαιρ</w:t>
            </w:r>
            <w:r>
              <w:rPr>
                <w:rStyle w:val="FormatvorlageInstructionsTabelleText"/>
                <w:rFonts w:ascii="Times New Roman" w:hAnsi="Times New Roman"/>
                <w:sz w:val="24"/>
              </w:rPr>
              <w:t>ε</w:t>
            </w:r>
            <w:r>
              <w:rPr>
                <w:rStyle w:val="FormatvorlageInstructionsTabelleText"/>
                <w:rFonts w:ascii="Times New Roman" w:hAnsi="Times New Roman"/>
                <w:sz w:val="24"/>
              </w:rPr>
              <w:t>θεί από το κεφάλαιο AT1.</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Μέσα AT1 οντοτήτων του χρηματοπιστωτικού τομέα όπου το ίδρυμα έχει σημαντική επένδυση</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27), άρθρο 56 στοιχείο δ), άρθρα 59 και 79 του ΚΚΑ</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συμμετοχές του ιδρύματος σε μέσα ΑΤ1 οντοτήτων του χρηματοπιστ</w:t>
            </w:r>
            <w:r>
              <w:rPr>
                <w:rStyle w:val="FormatvorlageInstructionsTabelleText"/>
                <w:rFonts w:ascii="Times New Roman" w:hAnsi="Times New Roman"/>
                <w:sz w:val="24"/>
              </w:rPr>
              <w:t>ω</w:t>
            </w:r>
            <w:r>
              <w:rPr>
                <w:rStyle w:val="FormatvorlageInstructionsTabelleText"/>
                <w:rFonts w:ascii="Times New Roman" w:hAnsi="Times New Roman"/>
                <w:sz w:val="24"/>
              </w:rPr>
              <w:t>τικού τομέα (όπως ορίζονται στο άρθρο 4 παράγραφος 1 σημείο 27) του ΚΚΑ) όπου το ίδρυμα έχει σημαντική επένδυση αφαιρούνται εντελώς.</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Υπερβάλλον ποσό αφαίρεσης από στοιχεία T2 επί κεφαλαίου T2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56 στοιχείο ε) του ΚΚΑ</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λαμβάνεται απευθείας από το στοιχείο CA1 «Υπε</w:t>
            </w:r>
            <w:r>
              <w:rPr>
                <w:rStyle w:val="FormatvorlageInstructionsTabelleText"/>
                <w:rFonts w:ascii="Times New Roman" w:hAnsi="Times New Roman"/>
                <w:sz w:val="24"/>
              </w:rPr>
              <w:t>ρ</w:t>
            </w:r>
            <w:r>
              <w:rPr>
                <w:rStyle w:val="FormatvorlageInstructionsTabelleText"/>
                <w:rFonts w:ascii="Times New Roman" w:hAnsi="Times New Roman"/>
                <w:sz w:val="24"/>
              </w:rPr>
              <w:t>βάλλον ποσό αφαίρεσης από στοιχεία Τ2 επί κεφαλαίου Τ2» (αφαιρούμενο από το ΑΤ1).</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Άλλες μεταβατικές προσαρμογές στο κεφάλαιο AT1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474, 475, 478 και 481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λόγω μεταβατικών διατάξεων. Το προς αναφορά ποσό λα</w:t>
            </w:r>
            <w:r>
              <w:rPr>
                <w:rStyle w:val="FormatvorlageInstructionsTabelleText"/>
                <w:rFonts w:ascii="Times New Roman" w:hAnsi="Times New Roman"/>
                <w:sz w:val="24"/>
              </w:rPr>
              <w:t>μ</w:t>
            </w:r>
            <w:r>
              <w:rPr>
                <w:rStyle w:val="FormatvorlageInstructionsTabelleText"/>
                <w:rFonts w:ascii="Times New Roman" w:hAnsi="Times New Roman"/>
                <w:sz w:val="24"/>
              </w:rPr>
              <w:t>βάνεται απευθείας από το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Υπερβάλλον ποσό αφαίρεσης από στοιχεία AT1 επί κεφ</w:t>
            </w:r>
            <w:r>
              <w:rPr>
                <w:rStyle w:val="InstructionsTabelleberschrift"/>
                <w:rFonts w:ascii="Times New Roman" w:hAnsi="Times New Roman"/>
                <w:sz w:val="24"/>
              </w:rPr>
              <w:t>α</w:t>
            </w:r>
            <w:r>
              <w:rPr>
                <w:rStyle w:val="InstructionsTabelleberschrift"/>
                <w:rFonts w:ascii="Times New Roman" w:hAnsi="Times New Roman"/>
                <w:sz w:val="24"/>
              </w:rPr>
              <w:t>λαίου AT1 (αφαιρούμενο από το CET1)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ι) του ΚΚΑ</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πρόσθετο κεφάλαιο κατηγορίας 1 δεν μπορεί να είναι αρνητικό, αλλά ε</w:t>
            </w:r>
            <w:r>
              <w:rPr>
                <w:rStyle w:val="FormatvorlageInstructionsTabelleText"/>
                <w:rFonts w:ascii="Times New Roman" w:hAnsi="Times New Roman"/>
                <w:sz w:val="24"/>
              </w:rPr>
              <w:t>ί</w:t>
            </w:r>
            <w:r>
              <w:rPr>
                <w:rStyle w:val="FormatvorlageInstructionsTabelleText"/>
                <w:rFonts w:ascii="Times New Roman" w:hAnsi="Times New Roman"/>
                <w:sz w:val="24"/>
              </w:rPr>
              <w:t>ναι πιθανόν οι αφαιρέσεις από το ΑΤ1 να είναι μεγαλύτερες του κεφαλαίου ΑΤ1 συν τη σχετική διαφορά από την έκδοση μετοχών υπέρ το άρτιο. Όταν συμβαίνει αυτό, το ΑΤ1 πρέπει να ισούται με το μηδέν, και το υπερβάλλον ποσό της αφαίρεσης από το ΑΤ1 πρέπει να αφαιρείται από το CET1.</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Με το στοιχείο αυτό εξασφαλίζεται ότι το άθροισμα των στοιχείων 1.1.2.1 έως 1.1.2.12 δεν είναι ποτέ χαμηλότερο του μηδενός. Εν συνεχεία, εάν το συγκεκριμένο στοιχείο εμφανίζει θετική τιμή, το στοιχείο 1.1.1.16 είναι το αντίστροφο της εν λόγω τιμής.</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744</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Πρόσθετες αφαιρέσεις του κεφαλαίου AT1 λόγω του άρθρου 3 του KKA</w:t>
            </w:r>
          </w:p>
          <w:p w:rsidR="005643EA" w:rsidRPr="007E39E6"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Άρθρο 3 του ΚΚΑ</w:t>
            </w:r>
          </w:p>
        </w:tc>
      </w:tr>
      <w:tr w:rsidR="00A86EB4" w:rsidRPr="00392FFD" w:rsidTr="00672D2A">
        <w:tc>
          <w:tcPr>
            <w:tcW w:w="1129" w:type="dxa"/>
          </w:tcPr>
          <w:p w:rsidR="00A86EB4" w:rsidRPr="00392FFD" w:rsidRDefault="008F5B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748</w:t>
            </w:r>
          </w:p>
        </w:tc>
        <w:tc>
          <w:tcPr>
            <w:tcW w:w="7620" w:type="dxa"/>
          </w:tcPr>
          <w:p w:rsidR="005643EA" w:rsidRPr="007E39E6" w:rsidRDefault="008F5BFE"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Στοιχεία ή αφαιρέσεις κεφαλαίου AT1 – άλλα</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συγκεκριμένη γραμμή δημιουργήθηκε για να παρέχει ευελιξία αποκλε</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στικά για σκοπούς υποβολής αναφορών. Περιέχει αριθμητικά στοιχεία μόνο στις σπάνιες περιπτώσεις όπου δεν υπάρχει τελική απόφαση για την αναφ</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ρά συγκεκριμένων στοιχείων/αφαιρέσεων κεφαλαίου στο τρέχον υπόδειγμα CA1. Κατά συνέπεια, η συγκεκριμένη γραμμή περιέχει αριθμητικά στοιχεία μόνον εάν ένα στοιχείο του κεφαλαίου AT1, ή αντιστοίχως αφαίρεση στο</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 xml:space="preserve">χείου AT1, δεν μπορεί να αναφερθεί σε μία από τις γραμμές 530 έως 744.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κελί αυτό δεν χρησιμοποιείται για τον καταλογισμό στοιχε</w:t>
            </w:r>
            <w:r>
              <w:rPr>
                <w:rStyle w:val="InstructionsTabelleberschrift"/>
                <w:rFonts w:ascii="Times New Roman" w:hAnsi="Times New Roman"/>
                <w:b w:val="0"/>
                <w:sz w:val="24"/>
                <w:u w:val="none"/>
              </w:rPr>
              <w:t>ί</w:t>
            </w:r>
            <w:r>
              <w:rPr>
                <w:rStyle w:val="InstructionsTabelleberschrift"/>
                <w:rFonts w:ascii="Times New Roman" w:hAnsi="Times New Roman"/>
                <w:b w:val="0"/>
                <w:sz w:val="24"/>
                <w:u w:val="none"/>
              </w:rPr>
              <w:t>ων/αφαιρέσεων κεφαλαίου που δεν καλύπτονται από τον ΚΚΑ στον υπολ</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γισμό των συντελεστών φερεγγυότητας (π.χ. καταλογισμός εθνικών στο</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χείων/αφαιρέσεων κεφαλαίου που δεν περιλαμβάνονται στο πεδίο εφαρμ</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γής του ΚΚΑ).</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ΚΕΦΑΛΑΙΟ ΚΑΤΗΓΟΡΙΑΣ 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71 του ΚΚΑ</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Κεφαλαιακά μέσα και δάνεια μειωμένης εξασφάλισης που είναι επιλέξιμα ως κεφάλαιο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62 στοιχείο α), άρθρα 63 έως 65, άρθρο 66 στοιχείο α) και άρθρο 67 του ΚΚΑ</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Καταβεβλημένα κεφαλαιακά μέσα και δάνεια μειωμένης εξ</w:t>
            </w:r>
            <w:r>
              <w:rPr>
                <w:rStyle w:val="InstructionsTabelleberschrift"/>
                <w:rFonts w:ascii="Times New Roman" w:hAnsi="Times New Roman"/>
                <w:sz w:val="24"/>
              </w:rPr>
              <w:t>α</w:t>
            </w:r>
            <w:r>
              <w:rPr>
                <w:rStyle w:val="InstructionsTabelleberschrift"/>
                <w:rFonts w:ascii="Times New Roman" w:hAnsi="Times New Roman"/>
                <w:sz w:val="24"/>
              </w:rPr>
              <w:t>σφάλισης</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62 στοιχείο α), άρθρα 63 και 65 του ΚΚΑ</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τη διαφορά από την έκδοση μετ</w:t>
            </w:r>
            <w:r>
              <w:rPr>
                <w:rStyle w:val="FormatvorlageInstructionsTabelleText"/>
                <w:rFonts w:ascii="Times New Roman" w:hAnsi="Times New Roman"/>
                <w:sz w:val="24"/>
              </w:rPr>
              <w:t>ο</w:t>
            </w:r>
            <w:r>
              <w:rPr>
                <w:rStyle w:val="FormatvorlageInstructionsTabelleText"/>
                <w:rFonts w:ascii="Times New Roman" w:hAnsi="Times New Roman"/>
                <w:sz w:val="24"/>
              </w:rPr>
              <w:t>χών υπέρ το άρτιο που αφορά τα μέσα.</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Υπομνηματικό στοιχείο: Κεφαλαιακά μέσα και δάνεια μειωμένης εξασφάλισης που δεν είναι επιλέξιμα</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63 στοιχεία γ), ε) και στ)· και άρθρο 64 του ΚΚΑ</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προϋποθέσεις στα συγκεκριμένα σημεία αντανακλούν διαφορετικές κ</w:t>
            </w:r>
            <w:r>
              <w:rPr>
                <w:rStyle w:val="FormatvorlageInstructionsTabelleText"/>
                <w:rFonts w:ascii="Times New Roman" w:hAnsi="Times New Roman"/>
                <w:sz w:val="24"/>
              </w:rPr>
              <w:t>α</w:t>
            </w:r>
            <w:r>
              <w:rPr>
                <w:rStyle w:val="FormatvorlageInstructionsTabelleText"/>
                <w:rFonts w:ascii="Times New Roman" w:hAnsi="Times New Roman"/>
                <w:sz w:val="24"/>
              </w:rPr>
              <w:t>ταστάσεις του κεφαλαίου που είναι αναστρέψιμες και, επομένως, το αναφ</w:t>
            </w:r>
            <w:r>
              <w:rPr>
                <w:rStyle w:val="FormatvorlageInstructionsTabelleText"/>
                <w:rFonts w:ascii="Times New Roman" w:hAnsi="Times New Roman"/>
                <w:sz w:val="24"/>
              </w:rPr>
              <w:t>ε</w:t>
            </w:r>
            <w:r>
              <w:rPr>
                <w:rStyle w:val="FormatvorlageInstructionsTabelleText"/>
                <w:rFonts w:ascii="Times New Roman" w:hAnsi="Times New Roman"/>
                <w:sz w:val="24"/>
              </w:rPr>
              <w:t>ρόμενο ποσό στο συγκεκριμένο σημείο μπορεί να είναι επιλέξιμο σε επόμ</w:t>
            </w:r>
            <w:r>
              <w:rPr>
                <w:rStyle w:val="FormatvorlageInstructionsTabelleText"/>
                <w:rFonts w:ascii="Times New Roman" w:hAnsi="Times New Roman"/>
                <w:sz w:val="24"/>
              </w:rPr>
              <w:t>ε</w:t>
            </w:r>
            <w:r>
              <w:rPr>
                <w:rStyle w:val="FormatvorlageInstructionsTabelleText"/>
                <w:rFonts w:ascii="Times New Roman" w:hAnsi="Times New Roman"/>
                <w:sz w:val="24"/>
              </w:rPr>
              <w:t>νες περιόδους.</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τη διαφορά από την έκδοση μετ</w:t>
            </w:r>
            <w:r>
              <w:rPr>
                <w:rStyle w:val="FormatvorlageInstructionsTabelleText"/>
                <w:rFonts w:ascii="Times New Roman" w:hAnsi="Times New Roman"/>
                <w:sz w:val="24"/>
              </w:rPr>
              <w:t>ο</w:t>
            </w:r>
            <w:r>
              <w:rPr>
                <w:rStyle w:val="FormatvorlageInstructionsTabelleText"/>
                <w:rFonts w:ascii="Times New Roman" w:hAnsi="Times New Roman"/>
                <w:sz w:val="24"/>
              </w:rPr>
              <w:t>χών υπέρ το άρτιο που αφορά τα μέσα.</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Διαφορά από την έκδοση μετοχών υπέρ το άρτιο</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62 στοιχείο β) και άρθρο 65 του ΚΚΑ</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 όρος «διαφορά από την έκδοση μετοχών υπέρ το άρτιο» έχει την ίδια έ</w:t>
            </w:r>
            <w:r>
              <w:rPr>
                <w:rStyle w:val="FormatvorlageInstructionsTabelleText"/>
                <w:rFonts w:ascii="Times New Roman" w:hAnsi="Times New Roman"/>
                <w:sz w:val="24"/>
              </w:rPr>
              <w:t>ν</w:t>
            </w:r>
            <w:r>
              <w:rPr>
                <w:rStyle w:val="FormatvorlageInstructionsTabelleText"/>
                <w:rFonts w:ascii="Times New Roman" w:hAnsi="Times New Roman"/>
                <w:sz w:val="24"/>
              </w:rPr>
              <w:t xml:space="preserve">νοια με αυτήν του εφαρμοστέου λογιστικού προτύπου. </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στο συγκεκριμένο στοιχείο είναι το μέρος που σχ</w:t>
            </w:r>
            <w:r>
              <w:rPr>
                <w:rStyle w:val="FormatvorlageInstructionsTabelleText"/>
                <w:rFonts w:ascii="Times New Roman" w:hAnsi="Times New Roman"/>
                <w:sz w:val="24"/>
              </w:rPr>
              <w:t>ε</w:t>
            </w:r>
            <w:r>
              <w:rPr>
                <w:rStyle w:val="FormatvorlageInstructionsTabelleText"/>
                <w:rFonts w:ascii="Times New Roman" w:hAnsi="Times New Roman"/>
                <w:sz w:val="24"/>
              </w:rPr>
              <w:t>τίζεται με τα «καταβεβλημένα κεφαλαιακά μέσα».</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Ίδια μέσα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Άρθρο 63 στοιχείο β) σημείο i), άρθρο 66 στοιχείο α) και άρθρο 67 του ΚΚΑ</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Ίδια μέσα T2 που βρίσκονται στην κατοχή του αναφέροντος ιδρύματος ή ομίλου κατά την ημερομηνία υποβολής αναφοράς. Με την επιφύλαξη των εξαιρέσεων του άρθρου 67 του ΚΚΑ.</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τοποθετήσεις σε μετοχές που περιλαμβάνονται στα «Κεφαλαιακά μέσα που δεν είναι επιλέξιμα» δεν αναφέρονται στη συγκεκριμένη γραμμή.</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περιλαμβάνει τη διαφορά από την έκδοση μετοχών υπέρ το άρτιο που αφορά τις ίδιες μετοχές.</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στοιχεία 1.2.1.4 έως 1.2.1.4.3 δεν περιλαμβάνουν πραγματικές ή ενδεχ</w:t>
            </w:r>
            <w:r>
              <w:rPr>
                <w:rStyle w:val="FormatvorlageInstructionsTabelleText"/>
                <w:rFonts w:ascii="Times New Roman" w:hAnsi="Times New Roman"/>
                <w:sz w:val="24"/>
              </w:rPr>
              <w:t>ό</w:t>
            </w:r>
            <w:r>
              <w:rPr>
                <w:rStyle w:val="FormatvorlageInstructionsTabelleText"/>
                <w:rFonts w:ascii="Times New Roman" w:hAnsi="Times New Roman"/>
                <w:sz w:val="24"/>
              </w:rPr>
              <w:t>μενες υποχρεώσεις για την αγορά ιδίων μέσων T2. Οι πραγματικές ή ενδ</w:t>
            </w:r>
            <w:r>
              <w:rPr>
                <w:rStyle w:val="FormatvorlageInstructionsTabelleText"/>
                <w:rFonts w:ascii="Times New Roman" w:hAnsi="Times New Roman"/>
                <w:sz w:val="24"/>
              </w:rPr>
              <w:t>ε</w:t>
            </w:r>
            <w:r>
              <w:rPr>
                <w:rStyle w:val="FormatvorlageInstructionsTabelleText"/>
                <w:rFonts w:ascii="Times New Roman" w:hAnsi="Times New Roman"/>
                <w:sz w:val="24"/>
              </w:rPr>
              <w:t xml:space="preserve">χόμενες υποχρεώσεις για την αγορά ιδίων </w:t>
            </w:r>
            <w:r>
              <w:rPr>
                <w:rStyle w:val="FormatvorlageInstructionsTabelleText"/>
                <w:rFonts w:ascii="Times New Roman" w:hAnsi="Times New Roman"/>
                <w:sz w:val="24"/>
              </w:rPr>
              <w:br/>
              <w:t>μέσων T2 αναφέρονται χωριστά στο στοιχείο 1.2.1.5.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Άμεσες συμμετοχές σε μέσα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63 στοιχείο β), άρθρο 66 στοιχείο α) και άρθρο 67 του ΚΚΑ</w:t>
            </w:r>
          </w:p>
          <w:p w:rsidR="005643EA" w:rsidRPr="007E39E6"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Μέσα της κατηγορίας 2 που περιλαμβάνονται στο στοιχείο 1.2.1.1 και βρ</w:t>
            </w:r>
            <w:r>
              <w:rPr>
                <w:rStyle w:val="FormatvorlageInstructionsTabelleText"/>
                <w:rFonts w:ascii="Times New Roman" w:hAnsi="Times New Roman"/>
                <w:sz w:val="24"/>
              </w:rPr>
              <w:t>ί</w:t>
            </w:r>
            <w:r>
              <w:rPr>
                <w:rStyle w:val="FormatvorlageInstructionsTabelleText"/>
                <w:rFonts w:ascii="Times New Roman" w:hAnsi="Times New Roman"/>
                <w:sz w:val="24"/>
              </w:rPr>
              <w:t xml:space="preserve">σκονται στην κατοχή των ιδρυμάτων του ενοποιημένου ομίλου. </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Έμμεσες συμμετοχές σε μέσα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114), άρθρο 63 στοιχείο β), άρθρο 66 στο</w:t>
            </w:r>
            <w:r>
              <w:rPr>
                <w:rStyle w:val="FormatvorlageInstructionsTabelleText"/>
                <w:rFonts w:ascii="Times New Roman" w:hAnsi="Times New Roman"/>
                <w:sz w:val="24"/>
              </w:rPr>
              <w:t>ι</w:t>
            </w:r>
            <w:r>
              <w:rPr>
                <w:rStyle w:val="FormatvorlageInstructionsTabelleText"/>
                <w:rFonts w:ascii="Times New Roman" w:hAnsi="Times New Roman"/>
                <w:sz w:val="24"/>
              </w:rPr>
              <w:t>χείο α) και άρθρο 67 του ΚΚΑ</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841</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Σύνθετες συμμετοχές σε μέσα T2</w:t>
            </w:r>
          </w:p>
          <w:p w:rsidR="005643EA" w:rsidRPr="007E39E6"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Άρθρο 4 παράγραφος 1 σημείο 126), άρθρο 63 στοιχείο β), άρθρο 66 στο</w:t>
            </w:r>
            <w:r>
              <w:rPr>
                <w:rStyle w:val="FormatvorlageInstructionsTabelleText"/>
                <w:rFonts w:ascii="Times New Roman" w:hAnsi="Times New Roman"/>
                <w:sz w:val="24"/>
              </w:rPr>
              <w:t>ι</w:t>
            </w:r>
            <w:r>
              <w:rPr>
                <w:rStyle w:val="FormatvorlageInstructionsTabelleText"/>
                <w:rFonts w:ascii="Times New Roman" w:hAnsi="Times New Roman"/>
                <w:sz w:val="24"/>
              </w:rPr>
              <w:t>χείο α) και άρθρο 67 του ΚΚΑ</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842</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Πραγματικές ή ενδεχόμενες υποχρεώσεις για την αγορά ιδίων μέσων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66 στοιχείο α) και άρθρο 67 του ΚΚΑ</w:t>
            </w:r>
          </w:p>
          <w:p w:rsidR="005643EA" w:rsidRPr="007E39E6" w:rsidRDefault="00A86EB4"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Σύμφωνα με το άρθρο 66 στοιχείο α) του ΚΚΑ,</w:t>
            </w:r>
            <w:r>
              <w:t xml:space="preserve"> αφαιρούνται τα «ίδια μέσα της κατηγορίας 2 που μπορεί να υποχρεούται να αγοράσει ένα ίδρυμα ως αποτέλεσμα υφιστάμενων συμβατικών υποχρεώσεων».</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Μεταβατικές προσαρμογές λόγω προϋφιστάμενων κεφαλαιακών μέσων T2 και δανείων μειωμένης εξασφάλισης</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483 παράγραφοι 6 και 7, άρθρα 484, 486, 488, 490 και 491 του ΚΚΑ</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Ποσό κεφαλαιακών μέσων που προϋφίστανται σε μεταβατική βάση ως Τ2. Το προς αναφορά ποσό λαμβάνεται απευθείας από το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Μέσα που εκδίδονται από θυγατρικές που αναγνωρίστηκαν ως κεφάλαιο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83, 87 και 88 του ΚΚΑ</w:t>
            </w:r>
          </w:p>
          <w:p w:rsidR="00477CB6"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Άθροισμα του συνόλου των ποσών των αποδεκτών ιδίων κεφαλαίων θυγ</w:t>
            </w:r>
            <w:r>
              <w:rPr>
                <w:rStyle w:val="FormatvorlageInstructionsTabelleText"/>
                <w:rFonts w:ascii="Times New Roman" w:hAnsi="Times New Roman"/>
                <w:sz w:val="24"/>
              </w:rPr>
              <w:t>α</w:t>
            </w:r>
            <w:r>
              <w:rPr>
                <w:rStyle w:val="FormatvorlageInstructionsTabelleText"/>
                <w:rFonts w:ascii="Times New Roman" w:hAnsi="Times New Roman"/>
                <w:sz w:val="24"/>
              </w:rPr>
              <w:t>τρικών που περιλαμβάνεται στα ενοποιημένα κεφάλαια T2.</w:t>
            </w:r>
          </w:p>
          <w:p w:rsidR="00543DBD"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Περιλαμβάνεται επιλέξιμο κεφάλαιο T2 που εκδίδεται από οντότητα ειδικού </w:t>
            </w:r>
            <w:r>
              <w:rPr>
                <w:rStyle w:val="FormatvorlageInstructionsTabelleText"/>
                <w:rFonts w:ascii="Times New Roman" w:hAnsi="Times New Roman"/>
                <w:sz w:val="24"/>
              </w:rPr>
              <w:lastRenderedPageBreak/>
              <w:t>σκοπού (άρθρο 83 του ΚΚΑ).</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Μεταβατικές προσαρμογές λόγω πρόσθετης αναγνώρισης στο κεφάλαιο T2 μέσων που εκδίδονται από θυγατρικές</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480 του ΚΚΑ</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στα αποδεκτά ίδια κεφάλαια που περιλαμβάνονται στα εν</w:t>
            </w:r>
            <w:r>
              <w:rPr>
                <w:rStyle w:val="FormatvorlageInstructionsTabelleText"/>
                <w:rFonts w:ascii="Times New Roman" w:hAnsi="Times New Roman"/>
                <w:sz w:val="24"/>
              </w:rPr>
              <w:t>ο</w:t>
            </w:r>
            <w:r>
              <w:rPr>
                <w:rStyle w:val="FormatvorlageInstructionsTabelleText"/>
                <w:rFonts w:ascii="Times New Roman" w:hAnsi="Times New Roman"/>
                <w:sz w:val="24"/>
              </w:rPr>
              <w:t>ποιημένα κεφάλαια Τ2 λόγω μεταβατικών διατάξεων. Το στοιχείο αυτό λαμβάνεται απευθείας από το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Υπερβάλλον ποσό προβλέψεων IRB σε σχέση με τις επιλέξιμες προβλεπόμενες ζημίες</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62 στοιχείο δ) του ΚΚΑ</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Για τα ιδρύματα που υπολογίζουν τα σταθμισμένα ως προς τον κίνδυνο π</w:t>
            </w:r>
            <w:r>
              <w:rPr>
                <w:rStyle w:val="FormatvorlageInstructionsTabelleText"/>
                <w:rFonts w:ascii="Times New Roman" w:hAnsi="Times New Roman"/>
                <w:sz w:val="24"/>
              </w:rPr>
              <w:t>ο</w:t>
            </w:r>
            <w:r>
              <w:rPr>
                <w:rStyle w:val="FormatvorlageInstructionsTabelleText"/>
                <w:rFonts w:ascii="Times New Roman" w:hAnsi="Times New Roman"/>
                <w:sz w:val="24"/>
              </w:rPr>
              <w:t>σά ανοίγματος με την προσέγγιση IRB, το στοιχείο αυτό περιέχει τα θετικά ποσά που προκύπτουν από τη σύγκριση των προβλέψεων και των αναμεν</w:t>
            </w:r>
            <w:r>
              <w:rPr>
                <w:rStyle w:val="FormatvorlageInstructionsTabelleText"/>
                <w:rFonts w:ascii="Times New Roman" w:hAnsi="Times New Roman"/>
                <w:sz w:val="24"/>
              </w:rPr>
              <w:t>ό</w:t>
            </w:r>
            <w:r>
              <w:rPr>
                <w:rStyle w:val="FormatvorlageInstructionsTabelleText"/>
                <w:rFonts w:ascii="Times New Roman" w:hAnsi="Times New Roman"/>
                <w:sz w:val="24"/>
              </w:rPr>
              <w:t>μενων ζημιών που είναι επιλέξιμες ως κεφάλαιο Τ2.</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Γενικές προσαρμογές πιστωτικού κινδύνου σύμφωνα με την τ</w:t>
            </w:r>
            <w:r>
              <w:rPr>
                <w:rStyle w:val="InstructionsTabelleberschrift"/>
                <w:rFonts w:ascii="Times New Roman" w:hAnsi="Times New Roman"/>
                <w:sz w:val="24"/>
              </w:rPr>
              <w:t>υ</w:t>
            </w:r>
            <w:r>
              <w:rPr>
                <w:rStyle w:val="InstructionsTabelleberschrift"/>
                <w:rFonts w:ascii="Times New Roman" w:hAnsi="Times New Roman"/>
                <w:sz w:val="24"/>
              </w:rPr>
              <w:t>ποποιημένη προσέγγιση (SA)</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62 στοιχείο γ) του ΚΚΑ</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Για τα ιδρύματα που υπολογίζουν τα σταθμισμένα ως προς τον κίνδυνο π</w:t>
            </w:r>
            <w:r>
              <w:rPr>
                <w:rStyle w:val="FormatvorlageInstructionsTabelleText"/>
                <w:rFonts w:ascii="Times New Roman" w:hAnsi="Times New Roman"/>
                <w:sz w:val="24"/>
              </w:rPr>
              <w:t>ο</w:t>
            </w:r>
            <w:r>
              <w:rPr>
                <w:rStyle w:val="FormatvorlageInstructionsTabelleText"/>
                <w:rFonts w:ascii="Times New Roman" w:hAnsi="Times New Roman"/>
                <w:sz w:val="24"/>
              </w:rPr>
              <w:t>σά ανοίγματος σύμφωνα με την τυποποιημένη προσέγγιση, το στοιχείο αυτό περιέχει τις γενικές προσαρμογές πιστωτικού κινδύνου που είναι επιλέξιμες ως κεφάλαιο Τ2.</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Αμοιβαίες συμμετοχές σε κεφάλαιο T2</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122), άρθρο 66 στοιχείο β) και άρθρο 68 του ΚΚΑ</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Συμμετοχές σε μέσα T2 οντοτήτων του χρηματοπιστωτικού τομέα (όπως </w:t>
            </w:r>
            <w:r>
              <w:rPr>
                <w:rStyle w:val="FormatvorlageInstructionsTabelleText"/>
                <w:rFonts w:ascii="Times New Roman" w:hAnsi="Times New Roman"/>
                <w:sz w:val="24"/>
              </w:rPr>
              <w:t>ο</w:t>
            </w:r>
            <w:r>
              <w:rPr>
                <w:rStyle w:val="FormatvorlageInstructionsTabelleText"/>
                <w:rFonts w:ascii="Times New Roman" w:hAnsi="Times New Roman"/>
                <w:sz w:val="24"/>
              </w:rPr>
              <w:t>ρίζονται στο άρθρο 4 παράγραφος 1 σημείο 27) του ΚΚΑ), στην περίπτωση που υπάρχει αμοιβαία συμμετοχή με στόχο, κατά τη γνώμη των αρμόδιων αρχών, την τεχνητή διόγκωση των ιδίων κεφαλαίων του ιδρύματος.</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υπολογίζεται βάσει των μικτών θετικών θέσεων και περιλαμβάνει ασφαλιστικά στοιχεία ιδίων κεφαλαίων της κατηγορίας 2 και της κατηγορίας 3.</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Μέσα T2 οντοτήτων του χρηματοπιστωτικού τομέα όπου το ίδρυμα δεν έχει σημαντική επένδυση</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27), άρθρο 66 στοιχείο γ), άρθρα 68 έως 70 και άρθρο 79 του ΚΚΑ</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Μέρος των συμμετοχών του ιδρύματος σε μέσα οντοτήτων του χρηματοπ</w:t>
            </w:r>
            <w:r>
              <w:rPr>
                <w:rStyle w:val="FormatvorlageInstructionsTabelleText"/>
                <w:rFonts w:ascii="Times New Roman" w:hAnsi="Times New Roman"/>
                <w:sz w:val="24"/>
              </w:rPr>
              <w:t>ι</w:t>
            </w:r>
            <w:r>
              <w:rPr>
                <w:rStyle w:val="FormatvorlageInstructionsTabelleText"/>
                <w:rFonts w:ascii="Times New Roman" w:hAnsi="Times New Roman"/>
                <w:sz w:val="24"/>
              </w:rPr>
              <w:t>στωτικού τομέα (όπως ορίζονται στο άρθρο 4 παράγραφος 1 σημείο 27) του ΚΚΑ), όπου το ίδρυμα δεν έχει σημαντική επένδυση που πρέπει να αφαιρ</w:t>
            </w:r>
            <w:r>
              <w:rPr>
                <w:rStyle w:val="FormatvorlageInstructionsTabelleText"/>
                <w:rFonts w:ascii="Times New Roman" w:hAnsi="Times New Roman"/>
                <w:sz w:val="24"/>
              </w:rPr>
              <w:t>ε</w:t>
            </w:r>
            <w:r>
              <w:rPr>
                <w:rStyle w:val="FormatvorlageInstructionsTabelleText"/>
                <w:rFonts w:ascii="Times New Roman" w:hAnsi="Times New Roman"/>
                <w:sz w:val="24"/>
              </w:rPr>
              <w:t>θεί από το κεφάλαιο T2.</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Μέσα T2 οντοτήτων του χρηματοπιστωτικού τομέα όπου το ίδρυμα έχει σημαντική επένδυση</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 παράγραφος 1 σημείο 27), άρθρο 66 στοιχείο δ), άρθρα 68, 69 και </w:t>
            </w:r>
            <w:r>
              <w:rPr>
                <w:rStyle w:val="FormatvorlageInstructionsTabelleText"/>
                <w:rFonts w:ascii="Times New Roman" w:hAnsi="Times New Roman"/>
                <w:sz w:val="24"/>
              </w:rPr>
              <w:lastRenderedPageBreak/>
              <w:t>79 του ΚΚΑ</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συμμετοχές του ιδρύματος σε μέσα Τ2 οντοτήτων του χρηματοπιστωτ</w:t>
            </w:r>
            <w:r>
              <w:rPr>
                <w:rStyle w:val="FormatvorlageInstructionsTabelleText"/>
                <w:rFonts w:ascii="Times New Roman" w:hAnsi="Times New Roman"/>
                <w:sz w:val="24"/>
              </w:rPr>
              <w:t>ι</w:t>
            </w:r>
            <w:r>
              <w:rPr>
                <w:rStyle w:val="FormatvorlageInstructionsTabelleText"/>
                <w:rFonts w:ascii="Times New Roman" w:hAnsi="Times New Roman"/>
                <w:sz w:val="24"/>
              </w:rPr>
              <w:t xml:space="preserve">κού τομέα (όπως ορίζονται στο άρθρο 4 παράγραφος 1 σημείο 27) του </w:t>
            </w:r>
            <w:r>
              <w:rPr>
                <w:rStyle w:val="FormatvorlageInstructionsTabelleText"/>
                <w:rFonts w:ascii="Times New Roman" w:hAnsi="Times New Roman"/>
                <w:sz w:val="24"/>
              </w:rPr>
              <w:t>Κ</w:t>
            </w:r>
            <w:r>
              <w:rPr>
                <w:rStyle w:val="FormatvorlageInstructionsTabelleText"/>
                <w:rFonts w:ascii="Times New Roman" w:hAnsi="Times New Roman"/>
                <w:sz w:val="24"/>
              </w:rPr>
              <w:t>ΚΑ) όπου το ίδρυμα έχει σημαντική επένδυση αφαιρούνται εντελώς.</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Άλλες μεταβατικές προσαρμογές στο κεφάλαιο T2</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476 έως 478 και άρθρο 481 του ΚΚΑ</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λόγω μεταβατικών διατάξεων. Το προς αναφορά ποσό λα</w:t>
            </w:r>
            <w:r>
              <w:rPr>
                <w:rStyle w:val="FormatvorlageInstructionsTabelleText"/>
                <w:rFonts w:ascii="Times New Roman" w:hAnsi="Times New Roman"/>
                <w:sz w:val="24"/>
              </w:rPr>
              <w:t>μ</w:t>
            </w:r>
            <w:r>
              <w:rPr>
                <w:rStyle w:val="FormatvorlageInstructionsTabelleText"/>
                <w:rFonts w:ascii="Times New Roman" w:hAnsi="Times New Roman"/>
                <w:sz w:val="24"/>
              </w:rPr>
              <w:t>βάνεται απευθείας από το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Υπερβάλλον ποσό αφαίρεσης από στοιχεία T2 επί κεφαλαίου T2 (αφαιρούμενο από το AT1)</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56 στοιχείο ε) του ΚΚΑ</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κεφάλαιο κατηγορίας 2 δεν μπορεί να είναι αρνητικό, αλλά είναι πιθανόν οι αφαιρέσεις από το Τ2 να είναι μεγαλύτερες του κεφαλαίου Τ2 συν τη σχετική διαφορά από την έκδοση μετοχών υπέρ το άρτιο. Όταν συμβαίνει αυτό, το Τ2 ισούται με το μηδέν, και το υπερβάλλον ποσό της αφαίρεσης από το Τ2 πρέπει να αφαιρείται από το AT1.</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Με το στοιχείο αυτό, το άθροισμα των στοιχείων 1.2.1 έως 1.2.13 δεν είναι ποτέ χαμηλότερο του μηδενός. Εάν το συγκεκριμένο στοιχείο εμφανίζει θ</w:t>
            </w:r>
            <w:r>
              <w:rPr>
                <w:rStyle w:val="FormatvorlageInstructionsTabelleText"/>
                <w:rFonts w:ascii="Times New Roman" w:hAnsi="Times New Roman"/>
                <w:sz w:val="24"/>
              </w:rPr>
              <w:t>ε</w:t>
            </w:r>
            <w:r>
              <w:rPr>
                <w:rStyle w:val="FormatvorlageInstructionsTabelleText"/>
                <w:rFonts w:ascii="Times New Roman" w:hAnsi="Times New Roman"/>
                <w:sz w:val="24"/>
              </w:rPr>
              <w:t>τική τιμή, το στοιχείο 1.1.2.8 είναι το αντίστροφο της εν λόγω τιμής.</w:t>
            </w:r>
          </w:p>
        </w:tc>
      </w:tr>
      <w:tr w:rsidR="00BD687C" w:rsidRPr="00392FFD" w:rsidTr="00672D2A">
        <w:tc>
          <w:tcPr>
            <w:tcW w:w="1129" w:type="dxa"/>
          </w:tcPr>
          <w:p w:rsidR="00BD687C" w:rsidRPr="00392FFD" w:rsidDel="00BD687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974</w:t>
            </w:r>
          </w:p>
        </w:tc>
        <w:tc>
          <w:tcPr>
            <w:tcW w:w="7620" w:type="dxa"/>
          </w:tcPr>
          <w:p w:rsidR="005643EA" w:rsidRPr="00392FFD" w:rsidRDefault="00BD68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Πρόσθετες αφαιρέσεις του κεφαλαίου T2 λόγω του άρθρου 3 του KKA</w:t>
            </w:r>
          </w:p>
          <w:p w:rsidR="005643EA" w:rsidRPr="007E39E6" w:rsidRDefault="00BD68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3 του ΚΚΑ</w:t>
            </w:r>
          </w:p>
        </w:tc>
      </w:tr>
      <w:tr w:rsidR="00A86EB4" w:rsidRPr="00392FFD" w:rsidTr="00672D2A">
        <w:tc>
          <w:tcPr>
            <w:tcW w:w="1129" w:type="dxa"/>
          </w:tcPr>
          <w:p w:rsidR="00A86EB4" w:rsidRPr="00392FFD"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978</w:t>
            </w:r>
          </w:p>
        </w:tc>
        <w:tc>
          <w:tcPr>
            <w:tcW w:w="7620" w:type="dxa"/>
          </w:tcPr>
          <w:p w:rsidR="005643EA" w:rsidRPr="007E39E6"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Στοιχεία ή αφαιρέσεις κεφαλαίου T2 – άλλα </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συγκεκριμένη γραμμή δημιουργήθηκε για να παρέχει ευελιξία αποκλε</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στικά για σκοπούς υποβολής αναφορών. Περιέχει αριθμητικά στοιχεία μόνο στις σπάνιες περιπτώσεις όπου δεν υπάρχει τελική απόφαση για την αναφ</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ρά συγκεκριμένων στοιχείων/αφαιρέσεων κεφαλαίου στο τρέχον υπόδειγμα CA1. Κατά συνέπεια, η συγκεκριμένη γραμμή περιέχει αριθμητικά στοιχεία μόνον εάν ένα στοιχείο του κεφαλαίου T2, ή αντιστοίχως αφαίρεση στοιχε</w:t>
            </w:r>
            <w:r>
              <w:rPr>
                <w:rStyle w:val="InstructionsTabelleberschrift"/>
                <w:rFonts w:ascii="Times New Roman" w:hAnsi="Times New Roman"/>
                <w:b w:val="0"/>
                <w:sz w:val="24"/>
                <w:u w:val="none"/>
              </w:rPr>
              <w:t>ί</w:t>
            </w:r>
            <w:r>
              <w:rPr>
                <w:rStyle w:val="InstructionsTabelleberschrift"/>
                <w:rFonts w:ascii="Times New Roman" w:hAnsi="Times New Roman"/>
                <w:b w:val="0"/>
                <w:sz w:val="24"/>
                <w:u w:val="none"/>
              </w:rPr>
              <w:t xml:space="preserve">ου T2, δεν μπορεί να αναφερθεί σε μία από τις γραμμές 750 έως 974.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κελί αυτό δεν χρησιμοποιείται για τον καταλογισμό στοιχε</w:t>
            </w:r>
            <w:r>
              <w:rPr>
                <w:rStyle w:val="InstructionsTabelleberschrift"/>
                <w:rFonts w:ascii="Times New Roman" w:hAnsi="Times New Roman"/>
                <w:b w:val="0"/>
                <w:sz w:val="24"/>
                <w:u w:val="none"/>
              </w:rPr>
              <w:t>ί</w:t>
            </w:r>
            <w:r>
              <w:rPr>
                <w:rStyle w:val="InstructionsTabelleberschrift"/>
                <w:rFonts w:ascii="Times New Roman" w:hAnsi="Times New Roman"/>
                <w:b w:val="0"/>
                <w:sz w:val="24"/>
                <w:u w:val="none"/>
              </w:rPr>
              <w:t>ων/αφαιρέσεων κεφαλαίου που δεν καλύπτονται από τον ΚΚΑ στον υπολ</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γισμό των συντελεστών φερεγγυότητας (π.χ. καταλογισμός εθνικών στο</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χείων/αφαιρέσεων κεφαλαίου που δεν περιλαμβάνονται στο πεδίο εφαρμ</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γής του ΚΚΑ).</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1" w:name="_Toc516210610"/>
      <w:bookmarkStart w:id="42" w:name="_Toc473560875"/>
      <w:bookmarkStart w:id="43" w:name="_Toc308175823"/>
      <w:bookmarkStart w:id="44" w:name="_Toc360188327"/>
      <w:r>
        <w:rPr>
          <w:rFonts w:ascii="Times New Roman" w:hAnsi="Times New Roman"/>
          <w:sz w:val="24"/>
          <w:u w:val="none"/>
        </w:rPr>
        <w:t>1.3.</w:t>
      </w:r>
      <w:r>
        <w:tab/>
      </w:r>
      <w:r>
        <w:rPr>
          <w:rFonts w:ascii="Times New Roman" w:hAnsi="Times New Roman"/>
          <w:sz w:val="24"/>
        </w:rPr>
        <w:t>C 02.00 – ΑΠΑΙΤΗΣΕΙΣ ΙΔΙΩΝ ΚΕΦΑΛΑΙΩΝ (CA2)</w:t>
      </w:r>
      <w:bookmarkEnd w:id="41"/>
      <w:bookmarkEnd w:id="42"/>
      <w:r>
        <w:rPr>
          <w:rFonts w:ascii="Times New Roman" w:hAnsi="Times New Roman"/>
          <w:sz w:val="24"/>
        </w:rPr>
        <w:t xml:space="preserve"> </w:t>
      </w:r>
      <w:bookmarkEnd w:id="43"/>
      <w:bookmarkEnd w:id="44"/>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5" w:name="_Toc308175824"/>
      <w:bookmarkStart w:id="46" w:name="_Toc310414970"/>
      <w:bookmarkStart w:id="47" w:name="_Toc360188328"/>
      <w:bookmarkStart w:id="48" w:name="_Toc516210611"/>
      <w:bookmarkStart w:id="49" w:name="_Toc473560876"/>
      <w:r>
        <w:rPr>
          <w:rFonts w:ascii="Times New Roman" w:hAnsi="Times New Roman"/>
          <w:sz w:val="24"/>
          <w:u w:val="none"/>
        </w:rPr>
        <w:t>1.3.1.</w:t>
      </w:r>
      <w:r>
        <w:tab/>
      </w:r>
      <w:r>
        <w:rPr>
          <w:rFonts w:ascii="Times New Roman" w:hAnsi="Times New Roman"/>
          <w:sz w:val="24"/>
        </w:rPr>
        <w:t xml:space="preserve">Οδηγίες για συγκεκριμένες </w:t>
      </w:r>
      <w:bookmarkEnd w:id="45"/>
      <w:bookmarkEnd w:id="46"/>
      <w:r>
        <w:rPr>
          <w:rFonts w:ascii="Times New Roman" w:hAnsi="Times New Roman"/>
          <w:sz w:val="24"/>
        </w:rPr>
        <w:t>θέσεις</w:t>
      </w:r>
      <w:bookmarkEnd w:id="47"/>
      <w:bookmarkEnd w:id="48"/>
      <w:bookmarkEnd w:id="49"/>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FD239F">
            <w:pPr>
              <w:pStyle w:val="InstructionsText"/>
            </w:pPr>
            <w:r>
              <w:t>Γραμμή</w:t>
            </w:r>
          </w:p>
        </w:tc>
        <w:tc>
          <w:tcPr>
            <w:tcW w:w="7274" w:type="dxa"/>
            <w:shd w:val="clear" w:color="auto" w:fill="D9D9D9"/>
          </w:tcPr>
          <w:p w:rsidR="005643EA" w:rsidRPr="00392FFD" w:rsidRDefault="002648B0" w:rsidP="00FD239F">
            <w:pPr>
              <w:pStyle w:val="InstructionsText"/>
            </w:pPr>
            <w:r>
              <w:t>Νομικά κείμενα αναφοράς και οδηγίες</w:t>
            </w:r>
          </w:p>
        </w:tc>
      </w:tr>
      <w:tr w:rsidR="002648B0" w:rsidRPr="00392FFD" w:rsidTr="00672D2A">
        <w:tc>
          <w:tcPr>
            <w:tcW w:w="1591" w:type="dxa"/>
          </w:tcPr>
          <w:p w:rsidR="002648B0" w:rsidRPr="00392FFD" w:rsidRDefault="002648B0" w:rsidP="00FD239F">
            <w:pPr>
              <w:pStyle w:val="InstructionsText"/>
            </w:pPr>
            <w:r>
              <w:lastRenderedPageBreak/>
              <w:t>010</w:t>
            </w:r>
          </w:p>
        </w:tc>
        <w:tc>
          <w:tcPr>
            <w:tcW w:w="7274" w:type="dxa"/>
          </w:tcPr>
          <w:p w:rsidR="005643EA" w:rsidRPr="007E39E6" w:rsidRDefault="00C66473"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ΣΥΝΟΛΙΚΟ ΠΟΣΟ ΑΝΟΙΓΜΑΤΟΣ ΣΕ ΚΙΝΔΥΝΟ</w:t>
            </w:r>
          </w:p>
          <w:p w:rsidR="002648B0" w:rsidRPr="00392FFD" w:rsidRDefault="002648B0" w:rsidP="00FD239F">
            <w:pPr>
              <w:pStyle w:val="InstructionsText"/>
            </w:pPr>
            <w:r>
              <w:t>Άρθρο 92 παράγραφος 3, άρθρα 95, 96 και 98 του ΚΚΑ</w:t>
            </w:r>
          </w:p>
        </w:tc>
      </w:tr>
      <w:tr w:rsidR="002648B0" w:rsidRPr="00392FFD" w:rsidTr="00672D2A">
        <w:tc>
          <w:tcPr>
            <w:tcW w:w="1591" w:type="dxa"/>
          </w:tcPr>
          <w:p w:rsidR="002648B0" w:rsidRPr="00392FFD" w:rsidRDefault="002648B0" w:rsidP="00FD239F">
            <w:pPr>
              <w:pStyle w:val="InstructionsText"/>
            </w:pPr>
            <w:r>
              <w:t>020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Εκ των οποίων: Επιχειρήσεις επενδύσεων σύμφωνα με το ά</w:t>
            </w:r>
            <w:r>
              <w:rPr>
                <w:rStyle w:val="InstructionsTabelleberschrift"/>
                <w:rFonts w:ascii="Times New Roman" w:hAnsi="Times New Roman"/>
                <w:sz w:val="24"/>
              </w:rPr>
              <w:t>ρ</w:t>
            </w:r>
            <w:r>
              <w:rPr>
                <w:rStyle w:val="InstructionsTabelleberschrift"/>
                <w:rFonts w:ascii="Times New Roman" w:hAnsi="Times New Roman"/>
                <w:sz w:val="24"/>
              </w:rPr>
              <w:t>θρο 95 παράγραφος 2 και το άρθρο 98 του ΚΚΑ</w:t>
            </w:r>
          </w:p>
          <w:p w:rsidR="005643EA" w:rsidRPr="00392FFD" w:rsidRDefault="002648B0" w:rsidP="00FD239F">
            <w:pPr>
              <w:pStyle w:val="InstructionsText"/>
            </w:pPr>
            <w:r>
              <w:t xml:space="preserve">Για επιχειρήσεις επενδύσεων σύμφωνα με το άρθρο 95 παράγραφος </w:t>
            </w:r>
            <w:r>
              <w:rPr>
                <w:rStyle w:val="FormatvorlageInstructionsTabelleText"/>
                <w:rFonts w:ascii="Times New Roman" w:hAnsi="Times New Roman"/>
                <w:sz w:val="24"/>
              </w:rPr>
              <w:t>2</w:t>
            </w:r>
            <w:r>
              <w:t xml:space="preserve"> και το άρθρο 98 του ΚΚΑ</w:t>
            </w:r>
          </w:p>
        </w:tc>
      </w:tr>
      <w:tr w:rsidR="002648B0" w:rsidRPr="00392FFD" w:rsidTr="00672D2A">
        <w:tc>
          <w:tcPr>
            <w:tcW w:w="1591" w:type="dxa"/>
          </w:tcPr>
          <w:p w:rsidR="002648B0" w:rsidRPr="00392FFD" w:rsidRDefault="002648B0" w:rsidP="00FD239F">
            <w:pPr>
              <w:pStyle w:val="InstructionsText"/>
            </w:pPr>
            <w:r>
              <w:t>030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Εκ των οποίων: Επιχειρήσεις επενδύσεων σύμφωνα με το ά</w:t>
            </w:r>
            <w:r>
              <w:rPr>
                <w:rStyle w:val="InstructionsTabelleberschrift"/>
                <w:rFonts w:ascii="Times New Roman" w:hAnsi="Times New Roman"/>
                <w:sz w:val="24"/>
              </w:rPr>
              <w:t>ρ</w:t>
            </w:r>
            <w:r>
              <w:rPr>
                <w:rStyle w:val="InstructionsTabelleberschrift"/>
                <w:rFonts w:ascii="Times New Roman" w:hAnsi="Times New Roman"/>
                <w:sz w:val="24"/>
              </w:rPr>
              <w:t>θρο 96 παράγραφος 2 και το άρθρο 97 του ΚΚΑ</w:t>
            </w:r>
          </w:p>
          <w:p w:rsidR="005643EA" w:rsidRPr="00392FFD" w:rsidRDefault="002648B0" w:rsidP="00FD239F">
            <w:pPr>
              <w:pStyle w:val="InstructionsText"/>
            </w:pPr>
            <w:r>
              <w:t xml:space="preserve">Για επιχειρήσεις επενδύσεων σύμφωνα με το άρθρο 96 παράγραφος </w:t>
            </w:r>
            <w:r>
              <w:rPr>
                <w:rStyle w:val="FormatvorlageInstructionsTabelleText"/>
                <w:rFonts w:ascii="Times New Roman" w:hAnsi="Times New Roman"/>
                <w:sz w:val="24"/>
              </w:rPr>
              <w:t>2</w:t>
            </w:r>
            <w:r>
              <w:t xml:space="preserve"> και το άρθρο 97 του ΚΚΑ</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ΠΟΣΑ ΑΝΟΙΓΜΑΤΟΣ ΣΤΑΘΜΙΣΜΕΝΑ ΩΣ ΠΡΟΣ ΤΟΝ ΚΙΝΔΥΝΟ ΟΣΟΝ ΑΦΟΡΑ ΤΟΝ ΠΙΣΤΩΤΙΚΟ ΚΙΝΔΥΝΟ, ΤΟΝ ΠΙΣΤΩΤΙΚΟ ΚΙΝΔΥΝΟ ΑΝΤΙΣΥΜΒΑΛΛΟΜΕΝΟΥ ΚΑΙ ΤΟΝ ΚΙΝΔΥΝΟ ΑΠΟΜΕΙΩΣΗΣ ΤΗΣ ΑΞΙΑΣ ΕΙΣΠΡΑΚΤΕΩΝ ΚΑΙ ΤΙΣ ΑΤΕΛΕΙΣ ΣΥΝΑΛΛΑΓΕΣ</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92 παράγραφος 3 στοιχεία α) και στ) του ΚΚΑ</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Τυποποιημένη προσέγγιση (SA)</w:t>
            </w:r>
          </w:p>
          <w:p w:rsidR="002648B0"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Υποδείγματα CR SA και SEC SA στο επίπεδο των συνολικών ανοιγμ</w:t>
            </w:r>
            <w:r>
              <w:rPr>
                <w:rStyle w:val="InstructionsTabelleberschrift"/>
                <w:rFonts w:ascii="Times New Roman" w:hAnsi="Times New Roman"/>
                <w:b w:val="0"/>
                <w:sz w:val="24"/>
                <w:u w:val="none"/>
              </w:rPr>
              <w:t>ά</w:t>
            </w:r>
            <w:r>
              <w:rPr>
                <w:rStyle w:val="InstructionsTabelleberschrift"/>
                <w:rFonts w:ascii="Times New Roman" w:hAnsi="Times New Roman"/>
                <w:b w:val="0"/>
                <w:sz w:val="24"/>
                <w:u w:val="none"/>
              </w:rPr>
              <w:t>των.</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274" w:type="dxa"/>
          </w:tcPr>
          <w:p w:rsidR="005643EA" w:rsidRPr="001C5CA8"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Κατηγορίες ανοιγμάτων SA εκτός από θέσεις τιτλοποίησης</w:t>
            </w:r>
          </w:p>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Υπόδειγμα CR SA στο επίπεδο των συνολικών ανοιγμάτων. Οι κατηγ</w:t>
            </w:r>
            <w:r>
              <w:rPr>
                <w:rStyle w:val="FormatvorlageInstructionsTabelleText"/>
                <w:rFonts w:ascii="Times New Roman" w:hAnsi="Times New Roman"/>
                <w:sz w:val="24"/>
              </w:rPr>
              <w:t>ο</w:t>
            </w:r>
            <w:r>
              <w:rPr>
                <w:rStyle w:val="FormatvorlageInstructionsTabelleText"/>
                <w:rFonts w:ascii="Times New Roman" w:hAnsi="Times New Roman"/>
                <w:sz w:val="24"/>
              </w:rPr>
              <w:t>ρίες ανοιγμάτων SA είναι οι κατηγορίες</w:t>
            </w:r>
            <w:r>
              <w:rPr>
                <w:rStyle w:val="InstructionsTabelleberschrift"/>
                <w:rFonts w:ascii="Times New Roman" w:hAnsi="Times New Roman"/>
                <w:b w:val="0"/>
                <w:sz w:val="24"/>
                <w:u w:val="none"/>
              </w:rPr>
              <w:t xml:space="preserve"> που αναφέρονται</w:t>
            </w:r>
            <w:r>
              <w:rPr>
                <w:rStyle w:val="FormatvorlageInstructionsTabelleText"/>
                <w:rFonts w:ascii="Times New Roman" w:hAnsi="Times New Roman"/>
                <w:sz w:val="24"/>
              </w:rPr>
              <w:t xml:space="preserve"> στο άρθρο 112 του ΚΚΑ, εκτός από τις θέσεις τιτλοποίησης.</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Κεντρικές κυβερνήσεις ή κεντρικές τράπεζες</w:t>
            </w:r>
          </w:p>
          <w:p w:rsidR="00496C53" w:rsidRPr="00392FFD" w:rsidRDefault="00D212F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Βλέπε υπόδειγμα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Περιφερειακές κυβερνήσεις ή τοπικές αρχές</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Οντότητες του δημοσίου τομέα</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Πολυμερείς τράπεζες ανάπτυξης</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Βλέπε υπόδειγμα CR SA </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rsidR="005643EA" w:rsidRPr="0023700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Διεθνείς Οργανισμοί</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rsidR="005643EA" w:rsidRPr="0023700C" w:rsidRDefault="0078388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Ιδρύματα</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Επιχειρήσεις</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Λιανική τραπεζική</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Βλέπε υπόδειγμα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Που εξασφαλίζονται με υποθήκες επί ακίνητης περ</w:t>
            </w:r>
            <w:r>
              <w:rPr>
                <w:rStyle w:val="InstructionsTabelleberschrift"/>
                <w:rFonts w:ascii="Times New Roman" w:hAnsi="Times New Roman"/>
                <w:sz w:val="24"/>
              </w:rPr>
              <w:t>ι</w:t>
            </w:r>
            <w:r>
              <w:rPr>
                <w:rStyle w:val="InstructionsTabelleberschrift"/>
                <w:rFonts w:ascii="Times New Roman" w:hAnsi="Times New Roman"/>
                <w:sz w:val="24"/>
              </w:rPr>
              <w:t>ουσίας</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Ανοίγματα σε αθέτηση</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274" w:type="dxa"/>
          </w:tcPr>
          <w:p w:rsidR="00783881"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Στοιχεία που σχετίζονται με ιδιαίτερα υψηλούς κινδ</w:t>
            </w:r>
            <w:r>
              <w:rPr>
                <w:rStyle w:val="InstructionsTabelleberschrift"/>
                <w:rFonts w:ascii="Times New Roman" w:hAnsi="Times New Roman"/>
                <w:sz w:val="24"/>
              </w:rPr>
              <w:t>ύ</w:t>
            </w:r>
            <w:r>
              <w:rPr>
                <w:rStyle w:val="InstructionsTabelleberschrift"/>
                <w:rFonts w:ascii="Times New Roman" w:hAnsi="Times New Roman"/>
                <w:sz w:val="24"/>
              </w:rPr>
              <w:t>νους·</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Καλυμμένα ομόλογα</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Απαιτήσεις έναντι ιδρυμάτων και επιχειρήσεων με βραχυπρόθεσμη πιστοληπτική αξιολόγηση</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rsidR="005643EA" w:rsidRPr="00392FFD"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Οργανισμοί συλλογικών επενδύσεων (ΟΣΕ)</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Μετοχές</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211</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Άλλα στοιχεία</w:t>
            </w:r>
          </w:p>
          <w:p w:rsidR="005643EA" w:rsidRPr="00392FFD" w:rsidRDefault="00D212FE" w:rsidP="00FD239F">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Βλέπε υπόδειγμα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tab/>
            </w:r>
            <w:r>
              <w:rPr>
                <w:rStyle w:val="InstructionsTabelleberschrift"/>
                <w:rFonts w:ascii="Times New Roman" w:hAnsi="Times New Roman"/>
                <w:sz w:val="24"/>
              </w:rPr>
              <w:t xml:space="preserve">Θέσεις τιτλοποίησης SA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Υπόδειγμα CR SEC SA στο επίπεδο του συνόλου των ειδών τιτλοποί</w:t>
            </w:r>
            <w:r>
              <w:rPr>
                <w:rStyle w:val="FormatvorlageInstructionsTabelleText"/>
                <w:rFonts w:ascii="Times New Roman" w:hAnsi="Times New Roman"/>
                <w:sz w:val="24"/>
              </w:rPr>
              <w:t>η</w:t>
            </w:r>
            <w:r>
              <w:rPr>
                <w:rStyle w:val="FormatvorlageInstructionsTabelleText"/>
                <w:rFonts w:ascii="Times New Roman" w:hAnsi="Times New Roman"/>
                <w:sz w:val="24"/>
              </w:rPr>
              <w:t>σης</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tab/>
            </w:r>
            <w:r>
              <w:rPr>
                <w:rStyle w:val="InstructionsTabelleberschrift"/>
                <w:rFonts w:ascii="Times New Roman" w:hAnsi="Times New Roman"/>
                <w:sz w:val="24"/>
              </w:rPr>
              <w:t xml:space="preserve">Εκ των οποίων: επανατιτλοποίηση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Υπόδειγμα CR SEC SA στο επίπεδο του συνόλου των ειδών τιτλοποί</w:t>
            </w:r>
            <w:r>
              <w:rPr>
                <w:rStyle w:val="FormatvorlageInstructionsTabelleText"/>
                <w:rFonts w:ascii="Times New Roman" w:hAnsi="Times New Roman"/>
                <w:sz w:val="24"/>
              </w:rPr>
              <w:t>η</w:t>
            </w:r>
            <w:r>
              <w:rPr>
                <w:rStyle w:val="FormatvorlageInstructionsTabelleText"/>
                <w:rFonts w:ascii="Times New Roman" w:hAnsi="Times New Roman"/>
                <w:sz w:val="24"/>
              </w:rPr>
              <w:t>σης</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rsidR="005643EA"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Προσέγγιση των εσωτερικών διαβαθμίσεων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 xml:space="preserve">Προσεγγίσεις IRB όταν δεν χρησιμοποιούνται εσωτερικές </w:t>
            </w:r>
            <w:r>
              <w:rPr>
                <w:rStyle w:val="InstructionsTabelleberschrift"/>
                <w:rFonts w:ascii="Times New Roman" w:hAnsi="Times New Roman"/>
                <w:sz w:val="24"/>
              </w:rPr>
              <w:t>ε</w:t>
            </w:r>
            <w:r>
              <w:rPr>
                <w:rStyle w:val="InstructionsTabelleberschrift"/>
                <w:rFonts w:ascii="Times New Roman" w:hAnsi="Times New Roman"/>
                <w:sz w:val="24"/>
              </w:rPr>
              <w:t>κτιμήσεις ούτε της ζημίας λόγω αθέτησης (LGD) ούτε των συντελ</w:t>
            </w:r>
            <w:r>
              <w:rPr>
                <w:rStyle w:val="InstructionsTabelleberschrift"/>
                <w:rFonts w:ascii="Times New Roman" w:hAnsi="Times New Roman"/>
                <w:sz w:val="24"/>
              </w:rPr>
              <w:t>ε</w:t>
            </w:r>
            <w:r>
              <w:rPr>
                <w:rStyle w:val="InstructionsTabelleberschrift"/>
                <w:rFonts w:ascii="Times New Roman" w:hAnsi="Times New Roman"/>
                <w:sz w:val="24"/>
              </w:rPr>
              <w:t>στών μετατροπής</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Υπόδειγμα CR IRB στο επίπεδο των συνολικών ανοιγμάτων (όταν δεν χρησιμοποιούνται εσωτερικές εκτιμήσεις της ζημίας λόγω αθέτησης (LGD) και/ή των συντελεστών μετατροπής)</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Κεντρικές κυβερνήσεις και κεντρικές τράπεζες</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Ιδρύματα</w:t>
            </w:r>
          </w:p>
          <w:p w:rsidR="002648B0" w:rsidRPr="00392FFD" w:rsidRDefault="00D212FE" w:rsidP="002F19B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Επιχειρήσεις – ΜΜΕ</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Επιχειρήσεις – ειδική δανειοδότηση</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Βλέπε υπόδειγμα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Επιχειρήσεις – Άλλα</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Προσεγγίσεις IRB όταν χρησιμοποιούνται εσωτερικές εκτ</w:t>
            </w:r>
            <w:r>
              <w:rPr>
                <w:rStyle w:val="InstructionsTabelleberschrift"/>
                <w:rFonts w:ascii="Times New Roman" w:hAnsi="Times New Roman"/>
                <w:sz w:val="24"/>
              </w:rPr>
              <w:t>ι</w:t>
            </w:r>
            <w:r>
              <w:rPr>
                <w:rStyle w:val="InstructionsTabelleberschrift"/>
                <w:rFonts w:ascii="Times New Roman" w:hAnsi="Times New Roman"/>
                <w:sz w:val="24"/>
              </w:rPr>
              <w:t>μήσεις της ζημίας λόγω αθέτησης (LGD) και/ή των συντελεστών μ</w:t>
            </w:r>
            <w:r>
              <w:rPr>
                <w:rStyle w:val="InstructionsTabelleberschrift"/>
                <w:rFonts w:ascii="Times New Roman" w:hAnsi="Times New Roman"/>
                <w:sz w:val="24"/>
              </w:rPr>
              <w:t>ε</w:t>
            </w:r>
            <w:r>
              <w:rPr>
                <w:rStyle w:val="InstructionsTabelleberschrift"/>
                <w:rFonts w:ascii="Times New Roman" w:hAnsi="Times New Roman"/>
                <w:sz w:val="24"/>
              </w:rPr>
              <w:t>τατροπής</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Υπόδειγμα CR IRB στο επίπεδο των συνολικών ανοιγμάτων (όταν χρ</w:t>
            </w:r>
            <w:r>
              <w:rPr>
                <w:rStyle w:val="FormatvorlageInstructionsTabelleText"/>
                <w:rFonts w:ascii="Times New Roman" w:hAnsi="Times New Roman"/>
                <w:sz w:val="24"/>
              </w:rPr>
              <w:t>η</w:t>
            </w:r>
            <w:r>
              <w:rPr>
                <w:rStyle w:val="FormatvorlageInstructionsTabelleText"/>
                <w:rFonts w:ascii="Times New Roman" w:hAnsi="Times New Roman"/>
                <w:sz w:val="24"/>
              </w:rPr>
              <w:t>σιμοποιούνται εσωτερικές εκτιμήσεις της ζημίας λόγω αθέτησης (LGD) και/ή των συντελεστών μετατροπής)</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Κεντρικές κυβερνήσεις και κεντρικές τράπεζες</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Ιδρύματα</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Βλέπε υπόδειγμα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Επιχειρήσεις – ΜΜΕ</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Επιχειρήσεις – ειδική δανειοδότηση</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Επιχειρήσεις – Άλλα</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Λιανική τραπεζική – εξασφάλιση με ακίνητη περιο</w:t>
            </w:r>
            <w:r>
              <w:rPr>
                <w:rStyle w:val="InstructionsTabelleberschrift"/>
                <w:rFonts w:ascii="Times New Roman" w:hAnsi="Times New Roman"/>
                <w:sz w:val="24"/>
              </w:rPr>
              <w:t>υ</w:t>
            </w:r>
            <w:r>
              <w:rPr>
                <w:rStyle w:val="InstructionsTabelleberschrift"/>
                <w:rFonts w:ascii="Times New Roman" w:hAnsi="Times New Roman"/>
                <w:sz w:val="24"/>
              </w:rPr>
              <w:t>σία ΜΜΕ</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Λιανική τραπεζική – εξασφάλιση με ακίνητη περιο</w:t>
            </w:r>
            <w:r>
              <w:rPr>
                <w:rStyle w:val="InstructionsTabelleberschrift"/>
                <w:rFonts w:ascii="Times New Roman" w:hAnsi="Times New Roman"/>
                <w:sz w:val="24"/>
              </w:rPr>
              <w:t>υ</w:t>
            </w:r>
            <w:r>
              <w:rPr>
                <w:rStyle w:val="InstructionsTabelleberschrift"/>
                <w:rFonts w:ascii="Times New Roman" w:hAnsi="Times New Roman"/>
                <w:sz w:val="24"/>
              </w:rPr>
              <w:t>σία μη ΜΜΕ</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Λιανική τραπεζική – Αποδεκτά ανακυκλούμενα</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Λιανική τραπεζική – Άλλα ΜΜΕ</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Λιανική τραπεζική – άλλα μη ΜΜΕ</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Μετοχικό κεφάλαιο IRB</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EQU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tab/>
            </w:r>
            <w:r>
              <w:rPr>
                <w:rStyle w:val="InstructionsTabelleberschrift"/>
                <w:rFonts w:ascii="Times New Roman" w:hAnsi="Times New Roman"/>
                <w:sz w:val="24"/>
              </w:rPr>
              <w:t>Θέσεις τιτλοποίησης IRB</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Υπόδειγμα CR SEC IRB στο επίπεδο του συνόλου των ειδών τιτλοποί</w:t>
            </w:r>
            <w:r>
              <w:rPr>
                <w:rStyle w:val="FormatvorlageInstructionsTabelleText"/>
                <w:rFonts w:ascii="Times New Roman" w:hAnsi="Times New Roman"/>
                <w:sz w:val="24"/>
              </w:rPr>
              <w:t>η</w:t>
            </w:r>
            <w:r>
              <w:rPr>
                <w:rStyle w:val="FormatvorlageInstructionsTabelleText"/>
                <w:rFonts w:ascii="Times New Roman" w:hAnsi="Times New Roman"/>
                <w:sz w:val="24"/>
              </w:rPr>
              <w:t>σης</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tab/>
            </w:r>
            <w:r>
              <w:rPr>
                <w:rStyle w:val="InstructionsTabelleberschrift"/>
                <w:rFonts w:ascii="Times New Roman" w:hAnsi="Times New Roman"/>
                <w:sz w:val="24"/>
              </w:rPr>
              <w:t>Εκ των οποίων: επανατιτλοποίηση</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Υπόδειγμα CR SEC IRB στο επίπεδο του συνόλου των ειδών τιτλοποί</w:t>
            </w:r>
            <w:r>
              <w:rPr>
                <w:rStyle w:val="FormatvorlageInstructionsTabelleText"/>
                <w:rFonts w:ascii="Times New Roman" w:hAnsi="Times New Roman"/>
                <w:sz w:val="24"/>
              </w:rPr>
              <w:t>η</w:t>
            </w:r>
            <w:r>
              <w:rPr>
                <w:rStyle w:val="FormatvorlageInstructionsTabelleText"/>
                <w:rFonts w:ascii="Times New Roman" w:hAnsi="Times New Roman"/>
                <w:sz w:val="24"/>
              </w:rPr>
              <w:t>σης</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 xml:space="preserve">Άλλα στοιχεία ενεργητικού που δεν συνιστούν πιστωτικές </w:t>
            </w:r>
            <w:r>
              <w:rPr>
                <w:rStyle w:val="InstructionsTabelleberschrift"/>
                <w:rFonts w:ascii="Times New Roman" w:hAnsi="Times New Roman"/>
                <w:sz w:val="24"/>
              </w:rPr>
              <w:t>υ</w:t>
            </w:r>
            <w:r>
              <w:rPr>
                <w:rStyle w:val="InstructionsTabelleberschrift"/>
                <w:rFonts w:ascii="Times New Roman" w:hAnsi="Times New Roman"/>
                <w:sz w:val="24"/>
              </w:rPr>
              <w:t>ποχρεώσεις</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Το προς αναφορά ποσό αποτελεί το ποσό ανοίγματος σταθμισμένο ως προς τον κίνδυνο, όπως υπολογίζεται σύμφωνα με το άρθρο 156 του ΚΚΑ. </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274" w:type="dxa"/>
          </w:tcPr>
          <w:p w:rsidR="005643EA" w:rsidRPr="00392FFD" w:rsidRDefault="0078388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Ποσό ανοίγματος σε κίνδυνο για τις συνεισφορές στο κεφ</w:t>
            </w:r>
            <w:r>
              <w:rPr>
                <w:rStyle w:val="InstructionsTabelleberschrift"/>
                <w:rFonts w:ascii="Times New Roman" w:hAnsi="Times New Roman"/>
                <w:sz w:val="24"/>
              </w:rPr>
              <w:t>ά</w:t>
            </w:r>
            <w:r>
              <w:rPr>
                <w:rStyle w:val="InstructionsTabelleberschrift"/>
                <w:rFonts w:ascii="Times New Roman" w:hAnsi="Times New Roman"/>
                <w:sz w:val="24"/>
              </w:rPr>
              <w:t>λαιο εκκαθάρισης κεντρικού αντισυμβαλλομένου</w:t>
            </w:r>
          </w:p>
          <w:p w:rsidR="002648B0" w:rsidRPr="00392FFD" w:rsidRDefault="00CD7D5B" w:rsidP="007106FB">
            <w:pPr>
              <w:rPr>
                <w:rStyle w:val="FormatvorlageInstructionsTabelleText"/>
                <w:rFonts w:ascii="Times New Roman" w:hAnsi="Times New Roman"/>
                <w:sz w:val="24"/>
              </w:rPr>
            </w:pPr>
            <w:r>
              <w:rPr>
                <w:rStyle w:val="FormatvorlageInstructionsTabelleText"/>
                <w:rFonts w:ascii="Times New Roman" w:hAnsi="Times New Roman"/>
                <w:sz w:val="24"/>
              </w:rPr>
              <w:t>Άρθρα 307 έως 309 του ΚΚΑ</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274" w:type="dxa"/>
          </w:tcPr>
          <w:p w:rsidR="005643EA" w:rsidRPr="00392FFD" w:rsidRDefault="002648B0" w:rsidP="00FD239F">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ΣΥΝΟΛΙΚΟ ΠΟΣΟ ΑΝΟΙΓΜΑΤΟΣ ΣΕ ΚΙΝΔΥΝΟ ΔΙ</w:t>
            </w:r>
            <w:r>
              <w:rPr>
                <w:rStyle w:val="InstructionsTabelleberschrift"/>
                <w:rFonts w:ascii="Times New Roman" w:hAnsi="Times New Roman"/>
                <w:sz w:val="24"/>
              </w:rPr>
              <w:t>Α</w:t>
            </w:r>
            <w:r>
              <w:rPr>
                <w:rStyle w:val="InstructionsTabelleberschrift"/>
                <w:rFonts w:ascii="Times New Roman" w:hAnsi="Times New Roman"/>
                <w:sz w:val="24"/>
              </w:rPr>
              <w:t>ΚΑΝΟΝΙΣΜΟΥ/ΠΑΡΑΔΟΣΗΣ</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Άρθρο 92 παράγραφος 3 στοιχείο γ) σημείο ii) και άρθρο 92 παράγρ</w:t>
            </w:r>
            <w:r>
              <w:rPr>
                <w:rStyle w:val="FormatvorlageInstructionsTabelleText"/>
                <w:rFonts w:ascii="Times New Roman" w:hAnsi="Times New Roman"/>
                <w:sz w:val="24"/>
              </w:rPr>
              <w:t>α</w:t>
            </w:r>
            <w:r>
              <w:rPr>
                <w:rStyle w:val="FormatvorlageInstructionsTabelleText"/>
                <w:rFonts w:ascii="Times New Roman" w:hAnsi="Times New Roman"/>
                <w:sz w:val="24"/>
              </w:rPr>
              <w:t>φος 4 στοιχείο β) του ΚΚΑ</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Κίνδυνος διακανονισμού/παράδοσης εκτός χαρτοφυλακίου συναλλαγών</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Κίνδυνος διακανονισμού/παράδοσης εντός χαρτοφυλακίου συναλλαγών</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ΣΥΝΟΛΙΚΟ ΠΟΣΟ ΑΝΟΙΓΜΑΤΟΣ ΣΕ ΚΙΝΔΥΝΟ ΓΙΑ ΤΟΥΣ ΚΙΝΔΥΝΟΥΣ ΘΕΣΗΣ, ΣΥΝΑΛΛΑΓΜΑΤΟΣ ΚΑΙ ΒΑΣ</w:t>
            </w:r>
            <w:r>
              <w:rPr>
                <w:rStyle w:val="InstructionsTabelleberschrift"/>
                <w:rFonts w:ascii="Times New Roman" w:hAnsi="Times New Roman"/>
                <w:sz w:val="24"/>
              </w:rPr>
              <w:t>Ι</w:t>
            </w:r>
            <w:r>
              <w:rPr>
                <w:rStyle w:val="InstructionsTabelleberschrift"/>
                <w:rFonts w:ascii="Times New Roman" w:hAnsi="Times New Roman"/>
                <w:sz w:val="24"/>
              </w:rPr>
              <w:t xml:space="preserve">ΚΟΥ ΕΜΠΟΡΕΥΜΑΤΟΣ </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Άρθρο 92 παράγραφος 3 στοιχείο β) σημείο i) και στοιχείο γ) σημεία i) και iii) και άρθρο 92 παράγραφος 4 στοιχείο β) του ΚΚΑ</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Ποσό ανοίγματος σε κίνδυνο για τους κινδύνους θέσης, σ</w:t>
            </w:r>
            <w:r>
              <w:rPr>
                <w:rStyle w:val="InstructionsTabelleberschrift"/>
                <w:rFonts w:ascii="Times New Roman" w:hAnsi="Times New Roman"/>
                <w:sz w:val="24"/>
              </w:rPr>
              <w:t>υ</w:t>
            </w:r>
            <w:r>
              <w:rPr>
                <w:rStyle w:val="InstructionsTabelleberschrift"/>
                <w:rFonts w:ascii="Times New Roman" w:hAnsi="Times New Roman"/>
                <w:sz w:val="24"/>
              </w:rPr>
              <w:t>ναλλάγματος και βασικού εμπορεύματος βάσει τυποποιημένων πρ</w:t>
            </w:r>
            <w:r>
              <w:rPr>
                <w:rStyle w:val="InstructionsTabelleberschrift"/>
                <w:rFonts w:ascii="Times New Roman" w:hAnsi="Times New Roman"/>
                <w:sz w:val="24"/>
              </w:rPr>
              <w:t>ο</w:t>
            </w:r>
            <w:r>
              <w:rPr>
                <w:rStyle w:val="InstructionsTabelleberschrift"/>
                <w:rFonts w:ascii="Times New Roman" w:hAnsi="Times New Roman"/>
                <w:sz w:val="24"/>
              </w:rPr>
              <w:t>σεγγίσεων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Διαπραγματεύσιμοι χρεωστικοί τίτλοι</w:t>
            </w:r>
          </w:p>
          <w:p w:rsidR="002648B0" w:rsidRPr="007E39E6"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Υπόδειγμα MKR SA TDI στο επίπεδο συνολικών θέσεων σε νομίσματα</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Μετοχές</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Υπόδειγμα MKR SA EQU στο επίπεδο του συνόλου των εθνικών αγ</w:t>
            </w:r>
            <w:r>
              <w:rPr>
                <w:rStyle w:val="FormatvorlageInstructionsTabelleText"/>
                <w:rFonts w:ascii="Times New Roman" w:hAnsi="Times New Roman"/>
                <w:sz w:val="24"/>
              </w:rPr>
              <w:t>ο</w:t>
            </w:r>
            <w:r>
              <w:rPr>
                <w:rStyle w:val="FormatvorlageInstructionsTabelleText"/>
                <w:rFonts w:ascii="Times New Roman" w:hAnsi="Times New Roman"/>
                <w:sz w:val="24"/>
              </w:rPr>
              <w:t xml:space="preserve">ρών </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555</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Ειδική προσέγγιση για τον κίνδυνο θέσης σε ΟΣΕ</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Άρθρο 348 παράγραφος 1, άρθρο 350 παράγραφος 3 στοιχείο γ) και ά</w:t>
            </w:r>
            <w:r>
              <w:rPr>
                <w:rStyle w:val="FormatvorlageInstructionsTabelleText"/>
                <w:rFonts w:ascii="Times New Roman" w:hAnsi="Times New Roman"/>
                <w:sz w:val="24"/>
              </w:rPr>
              <w:t>ρ</w:t>
            </w:r>
            <w:r>
              <w:rPr>
                <w:rStyle w:val="FormatvorlageInstructionsTabelleText"/>
                <w:rFonts w:ascii="Times New Roman" w:hAnsi="Times New Roman"/>
                <w:sz w:val="24"/>
              </w:rPr>
              <w:t>θρο 364 παράγραφος 2 στοιχείο α) του ΚΚΑ</w:t>
            </w:r>
          </w:p>
          <w:p w:rsidR="00A76381"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Συνολικό ποσό ανοίγματος σε κίνδυνο για θέσεις σε ΟΣΕ, εάν οι κεφ</w:t>
            </w:r>
            <w:r>
              <w:rPr>
                <w:rStyle w:val="FormatvorlageInstructionsTabelleText"/>
                <w:rFonts w:ascii="Times New Roman" w:hAnsi="Times New Roman"/>
                <w:sz w:val="24"/>
              </w:rPr>
              <w:t>α</w:t>
            </w:r>
            <w:r>
              <w:rPr>
                <w:rStyle w:val="FormatvorlageInstructionsTabelleText"/>
                <w:rFonts w:ascii="Times New Roman" w:hAnsi="Times New Roman"/>
                <w:sz w:val="24"/>
              </w:rPr>
              <w:t>λαιακές απαιτήσεις υπολογίζονται σύμφωνα με το άρθρο 348 παράγρ</w:t>
            </w:r>
            <w:r>
              <w:rPr>
                <w:rStyle w:val="FormatvorlageInstructionsTabelleText"/>
                <w:rFonts w:ascii="Times New Roman" w:hAnsi="Times New Roman"/>
                <w:sz w:val="24"/>
              </w:rPr>
              <w:t>α</w:t>
            </w:r>
            <w:r>
              <w:rPr>
                <w:rStyle w:val="FormatvorlageInstructionsTabelleText"/>
                <w:rFonts w:ascii="Times New Roman" w:hAnsi="Times New Roman"/>
                <w:sz w:val="24"/>
              </w:rPr>
              <w:t>φος 1 του ΚΚΑ είτε αμέσως είτε ως συνέπεια του ανώτατου ορίου που ορίζεται στο άρθρο 350 παράγραφος 3 στοιχείο γ) του ΚΚΑ. Βάσει του ΚΚΑ, οι συγκεκριμένες θέσεις δεν ταξινομούνται ρητώς στον κίνδυνο επιτοκίου ή στον κίνδυνο μετοχικών τίτλων.</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Εάν εφαρμόζεται η ειδική προσέγγιση σύμφωνα με το άρθρο 348 παρ</w:t>
            </w:r>
            <w:r>
              <w:rPr>
                <w:rStyle w:val="FormatvorlageInstructionsTabelleText"/>
                <w:rFonts w:ascii="Times New Roman" w:hAnsi="Times New Roman"/>
                <w:sz w:val="24"/>
              </w:rPr>
              <w:t>ά</w:t>
            </w:r>
            <w:r>
              <w:rPr>
                <w:rStyle w:val="FormatvorlageInstructionsTabelleText"/>
                <w:rFonts w:ascii="Times New Roman" w:hAnsi="Times New Roman"/>
                <w:sz w:val="24"/>
              </w:rPr>
              <w:t>γραφος 1 πρώτη περίοδος του ΚΚΑ, το προς αναφορά ποσό ισούται με το 32 % της καθαρής θέσης του εν λόγω ανοίγματος σε ΟΣΕ, πολλ</w:t>
            </w:r>
            <w:r>
              <w:rPr>
                <w:rStyle w:val="FormatvorlageInstructionsTabelleText"/>
                <w:rFonts w:ascii="Times New Roman" w:hAnsi="Times New Roman"/>
                <w:sz w:val="24"/>
              </w:rPr>
              <w:t>α</w:t>
            </w:r>
            <w:r>
              <w:rPr>
                <w:rStyle w:val="FormatvorlageInstructionsTabelleText"/>
                <w:rFonts w:ascii="Times New Roman" w:hAnsi="Times New Roman"/>
                <w:sz w:val="24"/>
              </w:rPr>
              <w:t xml:space="preserve">πλασιασμένο επί 12,5. </w:t>
            </w:r>
          </w:p>
          <w:p w:rsidR="00B97F1B"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Εάν εφαρμόζεται η ειδική προσέγγιση σύμφωνα με το άρθρο 348 παρ</w:t>
            </w:r>
            <w:r>
              <w:rPr>
                <w:rStyle w:val="FormatvorlageInstructionsTabelleText"/>
                <w:rFonts w:ascii="Times New Roman" w:hAnsi="Times New Roman"/>
                <w:sz w:val="24"/>
              </w:rPr>
              <w:t>ά</w:t>
            </w:r>
            <w:r>
              <w:rPr>
                <w:rStyle w:val="FormatvorlageInstructionsTabelleText"/>
                <w:rFonts w:ascii="Times New Roman" w:hAnsi="Times New Roman"/>
                <w:sz w:val="24"/>
              </w:rPr>
              <w:t>γραφος 1 δεύτερη περίοδος του ΚΚΑ, το προς αναφορά ποσό είναι είτε το 32 % της καθαρής θέσης του σχετικού ανοίγματος σε ΟΣΕ είτε η δι</w:t>
            </w:r>
            <w:r>
              <w:rPr>
                <w:rStyle w:val="FormatvorlageInstructionsTabelleText"/>
                <w:rFonts w:ascii="Times New Roman" w:hAnsi="Times New Roman"/>
                <w:sz w:val="24"/>
              </w:rPr>
              <w:t>α</w:t>
            </w:r>
            <w:r>
              <w:rPr>
                <w:rStyle w:val="FormatvorlageInstructionsTabelleText"/>
                <w:rFonts w:ascii="Times New Roman" w:hAnsi="Times New Roman"/>
                <w:sz w:val="24"/>
              </w:rPr>
              <w:t>φορά μεταξύ του 40 % της συγκεκριμένης καθαρής θέσης και των απα</w:t>
            </w:r>
            <w:r>
              <w:rPr>
                <w:rStyle w:val="FormatvorlageInstructionsTabelleText"/>
                <w:rFonts w:ascii="Times New Roman" w:hAnsi="Times New Roman"/>
                <w:sz w:val="24"/>
              </w:rPr>
              <w:t>ι</w:t>
            </w:r>
            <w:r>
              <w:rPr>
                <w:rStyle w:val="FormatvorlageInstructionsTabelleText"/>
                <w:rFonts w:ascii="Times New Roman" w:hAnsi="Times New Roman"/>
                <w:sz w:val="24"/>
              </w:rPr>
              <w:t>τήσεων ιδίων κεφαλαίων που προκύπτουν από τον κίνδυνο συναλλάγμ</w:t>
            </w:r>
            <w:r>
              <w:rPr>
                <w:rStyle w:val="FormatvorlageInstructionsTabelleText"/>
                <w:rFonts w:ascii="Times New Roman" w:hAnsi="Times New Roman"/>
                <w:sz w:val="24"/>
              </w:rPr>
              <w:t>α</w:t>
            </w:r>
            <w:r>
              <w:rPr>
                <w:rStyle w:val="FormatvorlageInstructionsTabelleText"/>
                <w:rFonts w:ascii="Times New Roman" w:hAnsi="Times New Roman"/>
                <w:sz w:val="24"/>
              </w:rPr>
              <w:t xml:space="preserve">τος που σχετίζεται με το συγκεκριμένο άνοιγμα σε ΟΣΕ, ανάλογα με το ποιο από τα δύο ποσά είναι μικρότερο, πολλαπλασιασμένο επί 12,5 </w:t>
            </w:r>
            <w:r>
              <w:rPr>
                <w:rStyle w:val="FormatvorlageInstructionsTabelleText"/>
                <w:rFonts w:ascii="Times New Roman" w:hAnsi="Times New Roman"/>
                <w:sz w:val="24"/>
              </w:rPr>
              <w:t>α</w:t>
            </w:r>
            <w:r>
              <w:rPr>
                <w:rStyle w:val="FormatvorlageInstructionsTabelleText"/>
                <w:rFonts w:ascii="Times New Roman" w:hAnsi="Times New Roman"/>
                <w:sz w:val="24"/>
              </w:rPr>
              <w:t>ντίστοιχα.</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556</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Υπομνηματικό στοιχείο: ΟΣΕ που επενδύουν αποκλε</w:t>
            </w:r>
            <w:r>
              <w:rPr>
                <w:rStyle w:val="InstructionsTabelleberschrift"/>
                <w:rFonts w:ascii="Times New Roman" w:hAnsi="Times New Roman"/>
                <w:sz w:val="24"/>
              </w:rPr>
              <w:t>ι</w:t>
            </w:r>
            <w:r>
              <w:rPr>
                <w:rStyle w:val="InstructionsTabelleberschrift"/>
                <w:rFonts w:ascii="Times New Roman" w:hAnsi="Times New Roman"/>
                <w:sz w:val="24"/>
              </w:rPr>
              <w:t>στικά σε διαπραγματεύσιμους χρεωστικούς τίτλους</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Συνολικό ποσό ανοίγματος σε κίνδυνο για θέσεις σε ΟΣΕ, εφόσον ο ΟΣΕ επενδύει αποκλειστικά σε μέσα που υπόκεινται σε κίνδυνο επιτοκ</w:t>
            </w:r>
            <w:r>
              <w:rPr>
                <w:rStyle w:val="FormatvorlageInstructionsTabelleText"/>
                <w:rFonts w:ascii="Times New Roman" w:hAnsi="Times New Roman"/>
                <w:sz w:val="24"/>
              </w:rPr>
              <w:t>ί</w:t>
            </w:r>
            <w:r>
              <w:rPr>
                <w:rStyle w:val="FormatvorlageInstructionsTabelleText"/>
                <w:rFonts w:ascii="Times New Roman" w:hAnsi="Times New Roman"/>
                <w:sz w:val="24"/>
              </w:rPr>
              <w:t>ου.</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557</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ΟΣΕ που επενδύουν αποκλειστικά σε μέσα μετοχικού κεφαλαίου ή σε μικτά μέσα</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Συνολικό ποσό ανοίγματος σε κίνδυνο για θέσεις σε ΟΣΕ, εφόσον ο ΟΣΕ επενδύει είτε αποκλειστικά σε μέσα που υπόκεινται σε κίνδυνο μ</w:t>
            </w:r>
            <w:r>
              <w:rPr>
                <w:rStyle w:val="FormatvorlageInstructionsTabelleText"/>
                <w:rFonts w:ascii="Times New Roman" w:hAnsi="Times New Roman"/>
                <w:sz w:val="24"/>
              </w:rPr>
              <w:t>ε</w:t>
            </w:r>
            <w:r>
              <w:rPr>
                <w:rStyle w:val="FormatvorlageInstructionsTabelleText"/>
                <w:rFonts w:ascii="Times New Roman" w:hAnsi="Times New Roman"/>
                <w:sz w:val="24"/>
              </w:rPr>
              <w:t>τοχικών τίτλων είτε σε μικτά μέσα, ή εφόσον οι συνιστώσες του ΟΣΕ ε</w:t>
            </w:r>
            <w:r>
              <w:rPr>
                <w:rStyle w:val="FormatvorlageInstructionsTabelleText"/>
                <w:rFonts w:ascii="Times New Roman" w:hAnsi="Times New Roman"/>
                <w:sz w:val="24"/>
              </w:rPr>
              <w:t>ί</w:t>
            </w:r>
            <w:r>
              <w:rPr>
                <w:rStyle w:val="FormatvorlageInstructionsTabelleText"/>
                <w:rFonts w:ascii="Times New Roman" w:hAnsi="Times New Roman"/>
                <w:sz w:val="24"/>
              </w:rPr>
              <w:t>ναι άγνωστες.</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Συνάλλαγμα</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MKR SA FX</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Βασικά εμπορεύματα</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MKR SA COM</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580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Ποσό ανοίγματος σε κίνδυνο για κινδύνους θέσης, συναλλά</w:t>
            </w:r>
            <w:r>
              <w:rPr>
                <w:rStyle w:val="InstructionsTabelleberschrift"/>
                <w:rFonts w:ascii="Times New Roman" w:hAnsi="Times New Roman"/>
                <w:sz w:val="24"/>
              </w:rPr>
              <w:t>γ</w:t>
            </w:r>
            <w:r>
              <w:rPr>
                <w:rStyle w:val="InstructionsTabelleberschrift"/>
                <w:rFonts w:ascii="Times New Roman" w:hAnsi="Times New Roman"/>
                <w:sz w:val="24"/>
              </w:rPr>
              <w:t>ματος και βασικού εμπορεύματος βάσει εσωτερικών υποδειγμάτων (ΙΜ)</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MKR IM</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ΣΥΝΟΛΙΚΟ ΠΟΣΟ ΑΝΟΙΓΜΑΤΟΣ ΣΕ ΛΕΙΤΟΥΡΓΙΚΟ ΚΙΝΔΥΝΟ (</w:t>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Άρθρο 92 παράγραφος 3 στοιχείο ε) και άρθρο 92 παράγραφος 4 στο</w:t>
            </w:r>
            <w:r>
              <w:rPr>
                <w:rStyle w:val="FormatvorlageInstructionsTabelleText"/>
                <w:rFonts w:ascii="Times New Roman" w:hAnsi="Times New Roman"/>
                <w:sz w:val="24"/>
              </w:rPr>
              <w:t>ι</w:t>
            </w:r>
            <w:r>
              <w:rPr>
                <w:rStyle w:val="FormatvorlageInstructionsTabelleText"/>
                <w:rFonts w:ascii="Times New Roman" w:hAnsi="Times New Roman"/>
                <w:sz w:val="24"/>
              </w:rPr>
              <w:t>χείο β) του ΚΚΑ</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Για τις επιχειρήσεις επενδύσεων σύμφωνα με το άρθρο 95 παράγρ</w:t>
            </w:r>
            <w:r>
              <w:rPr>
                <w:rStyle w:val="FormatvorlageInstructionsTabelleText"/>
                <w:rFonts w:ascii="Times New Roman" w:hAnsi="Times New Roman"/>
                <w:sz w:val="24"/>
              </w:rPr>
              <w:t>α</w:t>
            </w:r>
            <w:r>
              <w:rPr>
                <w:rStyle w:val="FormatvorlageInstructionsTabelleText"/>
                <w:rFonts w:ascii="Times New Roman" w:hAnsi="Times New Roman"/>
                <w:sz w:val="24"/>
              </w:rPr>
              <w:t>φος 2, το άρθρο 96 παράγραφος 2 και το άρθρο 98, το στοιχείο αυτό ε</w:t>
            </w:r>
            <w:r>
              <w:rPr>
                <w:rStyle w:val="FormatvorlageInstructionsTabelleText"/>
                <w:rFonts w:ascii="Times New Roman" w:hAnsi="Times New Roman"/>
                <w:sz w:val="24"/>
              </w:rPr>
              <w:t>ί</w:t>
            </w:r>
            <w:r>
              <w:rPr>
                <w:rStyle w:val="FormatvorlageInstructionsTabelleText"/>
                <w:rFonts w:ascii="Times New Roman" w:hAnsi="Times New Roman"/>
                <w:sz w:val="24"/>
              </w:rPr>
              <w:lastRenderedPageBreak/>
              <w:t>ναι μηδέν.</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600</w:t>
            </w: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 xml:space="preserve"> Προσέγγιση βασικού δείκτη (BIA)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 xml:space="preserve"> Τυποποιημένη προσέγγιση (TSA) / Εναλλακτική τυπ</w:t>
            </w:r>
            <w:r>
              <w:rPr>
                <w:rStyle w:val="InstructionsTabelleberschrift"/>
                <w:rFonts w:ascii="Times New Roman" w:hAnsi="Times New Roman"/>
                <w:sz w:val="24"/>
              </w:rPr>
              <w:t>ο</w:t>
            </w:r>
            <w:r>
              <w:rPr>
                <w:rStyle w:val="InstructionsTabelleberschrift"/>
                <w:rFonts w:ascii="Times New Roman" w:hAnsi="Times New Roman"/>
                <w:sz w:val="24"/>
              </w:rPr>
              <w:t>ποιημένη προσέγγιση (ASA)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 xml:space="preserve"> Εξελιγμένες προσεγγίσεις επιμέτρησης (AMA)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ΠΡΟΣΘΕΤΟ ΠΟΣΟ ΑΝΟΙΓΜΑΤΟΣ ΣΕ ΚΙΝΔΥΝΟ ΛΟΓΩ ΠΑΓΙΩΝ ΕΞΟΔΩΝ</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Άρθρο 95 παράγραφος 2, άρθρο 96 παράγραφος 2, άρθρο 97 και άρθρο 98 παράγραφος 1 στοιχείο α) του ΚΚΑ</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Μόνο για επιχειρήσεις επενδύσεων σύμφωνα με το άρθρο 95 παράγρ</w:t>
            </w:r>
            <w:r>
              <w:rPr>
                <w:rStyle w:val="FormatvorlageInstructionsTabelleText"/>
                <w:rFonts w:ascii="Times New Roman" w:hAnsi="Times New Roman"/>
                <w:sz w:val="24"/>
              </w:rPr>
              <w:t>α</w:t>
            </w:r>
            <w:r>
              <w:rPr>
                <w:rStyle w:val="FormatvorlageInstructionsTabelleText"/>
                <w:rFonts w:ascii="Times New Roman" w:hAnsi="Times New Roman"/>
                <w:sz w:val="24"/>
              </w:rPr>
              <w:t>φος 2, το άρθρο 96 παράγραφος 2 και το άρθρο 98 του ΚΚΑ. Βλέπε επ</w:t>
            </w:r>
            <w:r>
              <w:rPr>
                <w:rStyle w:val="FormatvorlageInstructionsTabelleText"/>
                <w:rFonts w:ascii="Times New Roman" w:hAnsi="Times New Roman"/>
                <w:sz w:val="24"/>
              </w:rPr>
              <w:t>ί</w:t>
            </w:r>
            <w:r>
              <w:rPr>
                <w:rStyle w:val="FormatvorlageInstructionsTabelleText"/>
                <w:rFonts w:ascii="Times New Roman" w:hAnsi="Times New Roman"/>
                <w:sz w:val="24"/>
              </w:rPr>
              <w:t xml:space="preserve">σης άρθρο 97 του ΚΚΑ.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Οι επιχειρήσεις επενδύσεων σύμφωνα με το άρθρο 96 του ΚΚΑ αναφ</w:t>
            </w:r>
            <w:r>
              <w:rPr>
                <w:rStyle w:val="FormatvorlageInstructionsTabelleText"/>
                <w:rFonts w:ascii="Times New Roman" w:hAnsi="Times New Roman"/>
                <w:sz w:val="24"/>
              </w:rPr>
              <w:t>έ</w:t>
            </w:r>
            <w:r>
              <w:rPr>
                <w:rStyle w:val="FormatvorlageInstructionsTabelleText"/>
                <w:rFonts w:ascii="Times New Roman" w:hAnsi="Times New Roman"/>
                <w:sz w:val="24"/>
              </w:rPr>
              <w:t>ρουν το ποσό που προβλέπεται στο άρθρο 97, πολλαπλασιασμένο επί 12,5.</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Οι επιχειρήσεις επενδύσεων σύμφωνα με το άρθρο 95 του ΚΚΑ αναφ</w:t>
            </w:r>
            <w:r>
              <w:rPr>
                <w:rStyle w:val="FormatvorlageInstructionsTabelleText"/>
                <w:rFonts w:ascii="Times New Roman" w:hAnsi="Times New Roman"/>
                <w:sz w:val="24"/>
              </w:rPr>
              <w:t>έ</w:t>
            </w:r>
            <w:r>
              <w:rPr>
                <w:rStyle w:val="FormatvorlageInstructionsTabelleText"/>
                <w:rFonts w:ascii="Times New Roman" w:hAnsi="Times New Roman"/>
                <w:sz w:val="24"/>
              </w:rPr>
              <w:t>ρουν τα εξής:</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Εάν το</w:t>
            </w:r>
            <w:r>
              <w:t xml:space="preserve"> ποσό</w:t>
            </w:r>
            <w:r>
              <w:rPr>
                <w:rStyle w:val="FormatvorlageInstructionsTabelleText"/>
                <w:rFonts w:ascii="Times New Roman" w:hAnsi="Times New Roman"/>
                <w:sz w:val="24"/>
              </w:rPr>
              <w:t xml:space="preserve"> που αναφέρεται στο άρθρο 95 παράγραφος 2 στο</w:t>
            </w:r>
            <w:r>
              <w:rPr>
                <w:rStyle w:val="FormatvorlageInstructionsTabelleText"/>
                <w:rFonts w:ascii="Times New Roman" w:hAnsi="Times New Roman"/>
                <w:sz w:val="24"/>
              </w:rPr>
              <w:t>ι</w:t>
            </w:r>
            <w:r>
              <w:rPr>
                <w:rStyle w:val="FormatvorlageInstructionsTabelleText"/>
                <w:rFonts w:ascii="Times New Roman" w:hAnsi="Times New Roman"/>
                <w:sz w:val="24"/>
              </w:rPr>
              <w:t>χείο α) του ΚΚΑ είναι μεγαλύτερο του ποσού που αναφέρεται στο ά</w:t>
            </w:r>
            <w:r>
              <w:rPr>
                <w:rStyle w:val="FormatvorlageInstructionsTabelleText"/>
                <w:rFonts w:ascii="Times New Roman" w:hAnsi="Times New Roman"/>
                <w:sz w:val="24"/>
              </w:rPr>
              <w:t>ρ</w:t>
            </w:r>
            <w:r>
              <w:rPr>
                <w:rStyle w:val="FormatvorlageInstructionsTabelleText"/>
                <w:rFonts w:ascii="Times New Roman" w:hAnsi="Times New Roman"/>
                <w:sz w:val="24"/>
              </w:rPr>
              <w:t>θρο 95 παράγραφος 2 στοιχείο β) του ΚΚΑ, το προς αναφορά ποσό είναι μηδενικό.</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Εάν το</w:t>
            </w:r>
            <w:r>
              <w:t xml:space="preserve"> ποσό</w:t>
            </w:r>
            <w:r>
              <w:rPr>
                <w:rStyle w:val="FormatvorlageInstructionsTabelleText"/>
                <w:rFonts w:ascii="Times New Roman" w:hAnsi="Times New Roman"/>
                <w:sz w:val="24"/>
              </w:rPr>
              <w:t xml:space="preserve"> που αναφέρεται στο άρθρο 95 παράγραφος 2 στο</w:t>
            </w:r>
            <w:r>
              <w:rPr>
                <w:rStyle w:val="FormatvorlageInstructionsTabelleText"/>
                <w:rFonts w:ascii="Times New Roman" w:hAnsi="Times New Roman"/>
                <w:sz w:val="24"/>
              </w:rPr>
              <w:t>ι</w:t>
            </w:r>
            <w:r>
              <w:rPr>
                <w:rStyle w:val="FormatvorlageInstructionsTabelleText"/>
                <w:rFonts w:ascii="Times New Roman" w:hAnsi="Times New Roman"/>
                <w:sz w:val="24"/>
              </w:rPr>
              <w:t>χείο β) του ΚΚΑ είναι μεγαλύτερο του ποσού που αναφέρεται στο ά</w:t>
            </w:r>
            <w:r>
              <w:rPr>
                <w:rStyle w:val="FormatvorlageInstructionsTabelleText"/>
                <w:rFonts w:ascii="Times New Roman" w:hAnsi="Times New Roman"/>
                <w:sz w:val="24"/>
              </w:rPr>
              <w:t>ρ</w:t>
            </w:r>
            <w:r>
              <w:rPr>
                <w:rStyle w:val="FormatvorlageInstructionsTabelleText"/>
                <w:rFonts w:ascii="Times New Roman" w:hAnsi="Times New Roman"/>
                <w:sz w:val="24"/>
              </w:rPr>
              <w:t xml:space="preserve">θρο 95 παράγραφος 2 στοιχείο α) του ΚΚΑ, το προς αναφορά ποσό προκύπτει από την αφαίρεση του δεύτερου ποσού από το πρώτο.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ΣΥΝΟΛΙΚΟ ΠΟΣΟ ΑΝΟΙΓΜΑΤΟΣ ΣΕ ΚΙΝΔΥΝΟ ΓΙΑ ΤΗΝ ΠΡΟΣΑΡΜΟΓΗ ΠΙΣΤΩΤΙΚΗΣ ΑΠΟΤΙΜΗΣΗΣ</w:t>
            </w:r>
          </w:p>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Άρθρο 92 παράγραφος 3 στοιχείο δ) του ΚΚΑ. Βλέπε υπόδειγμα CVA.</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650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Εξελιγμένη μέθοδος</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Απαιτήσεις ιδίων κεφαλαίων για τον κίνδυνο προσαρμογής πιστωτικής αποτίμησης, σύμφωνα με το άρθρο 383 του ΚΚΑ. Βλέπε υπόδειγμα CVA.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Τυποποιημένη μέθοδος</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Απαιτήσεις ιδίων κεφαλαίων για τον κίνδυνο προσαρμογής πιστωτικής αποτίμησης, σύμφωνα με το άρθρο 384 του ΚΚΑ. Βλέπε υπόδειγμα CVA.</w:t>
            </w:r>
          </w:p>
        </w:tc>
      </w:tr>
      <w:tr w:rsidR="00836845" w:rsidRPr="00392FFD" w:rsidTr="00672D2A">
        <w:tc>
          <w:tcPr>
            <w:tcW w:w="1591" w:type="dxa"/>
          </w:tcPr>
          <w:p w:rsidR="00836845"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rsidR="005643EA" w:rsidRPr="00392FFD" w:rsidRDefault="00D33AA1"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Με βάση τη μέθοδο αρχικού ανοίγματος (ΟΕΜ)</w:t>
            </w:r>
          </w:p>
          <w:p w:rsidR="00783881" w:rsidRPr="007E39E6" w:rsidRDefault="00D33AA1" w:rsidP="00FD239F">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Απαιτήσεις ιδίων κεφαλαίων για τον κίνδυνο προσαρμογής πιστωτικής </w:t>
            </w:r>
            <w:r>
              <w:rPr>
                <w:rStyle w:val="FormatvorlageInstructionsTabelleText"/>
                <w:rFonts w:ascii="Times New Roman" w:hAnsi="Times New Roman"/>
                <w:sz w:val="24"/>
              </w:rPr>
              <w:lastRenderedPageBreak/>
              <w:t>αποτίμησης, σύμφωνα με το άρθρο 385 του ΚΚΑ. Βλέπε υπόδειγμα CVA.</w:t>
            </w:r>
          </w:p>
        </w:tc>
      </w:tr>
      <w:tr w:rsidR="002648B0" w:rsidRPr="00392FFD" w:rsidTr="00672D2A">
        <w:tc>
          <w:tcPr>
            <w:tcW w:w="1591" w:type="dxa"/>
          </w:tcPr>
          <w:p w:rsidR="00783881" w:rsidRPr="00392FFD" w:rsidRDefault="00D33AA1"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680</w:t>
            </w:r>
          </w:p>
        </w:tc>
        <w:tc>
          <w:tcPr>
            <w:tcW w:w="7274" w:type="dxa"/>
          </w:tcPr>
          <w:p w:rsidR="00783881"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ΣΥΝΟΛΙΚΟ ΠΟΣΟ ΑΝΟΙΓΜΑΤΟΣ ΣΕ ΚΙΝΔΥΝΟ ΠΟΥ ΣΧΕΤΙΖΕΤΑΙ ΜΕ ΜΕΓΑΛΑ ΑΝΟΙΓΜΑΤΑ ΣΤΟ ΧΑΡΤΟΦΥΛ</w:t>
            </w:r>
            <w:r>
              <w:rPr>
                <w:rStyle w:val="InstructionsTabelleberschrift"/>
                <w:rFonts w:ascii="Times New Roman" w:hAnsi="Times New Roman"/>
                <w:sz w:val="24"/>
              </w:rPr>
              <w:t>Α</w:t>
            </w:r>
            <w:r>
              <w:rPr>
                <w:rStyle w:val="InstructionsTabelleberschrift"/>
                <w:rFonts w:ascii="Times New Roman" w:hAnsi="Times New Roman"/>
                <w:sz w:val="24"/>
              </w:rPr>
              <w:t>ΚΙΟ ΣΥΝΑΛΛΑΓΩΝ</w:t>
            </w:r>
          </w:p>
          <w:p w:rsidR="00783881"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Άρθρο 92 παράγραφος 3 στοιχείο β) σημείο ii) και άρθρα 395 έως 401 του ΚΚΑ</w:t>
            </w:r>
          </w:p>
        </w:tc>
      </w:tr>
      <w:tr w:rsidR="002648B0" w:rsidRPr="00392FFD" w:rsidTr="00672D2A">
        <w:tc>
          <w:tcPr>
            <w:tcW w:w="1591" w:type="dxa"/>
          </w:tcPr>
          <w:p w:rsidR="002648B0"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ΑΛΛΑ ΠΟΣΑ ΑΝΟΙΓΜΑΤΟΣ ΣΕ ΚΙΝΔΥΝΟ</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Άρθρα 3, 458 και 459 του ΚΚΑ και ποσά ανοίγματος σε κίνδυνο που δεν μπορούν να καταλογιστούν σε κάποιο από τα στοιχεία 1.1 έως 1.7. </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Τα ιδρύματα αναφέρουν τα ποσά που απαιτούνται για τη συμμόρφωση με τα ακόλουθα:</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Αυστηρότερες απαιτήσεις προληπτικής εποπτείας επιβαλλόμενες από την Επιτροπή, σύμφωνα με τα άρθρα 458 και 459 του ΚΚΑ </w:t>
            </w:r>
          </w:p>
          <w:p w:rsidR="00783881" w:rsidRPr="00392FFD" w:rsidRDefault="00DA4727"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Πρόσθετα ποσά ανοίγματος σε κίνδυνο λόγω του άρθρου 3 του ΚΚΑ</w:t>
            </w:r>
          </w:p>
          <w:p w:rsidR="005643EA" w:rsidRPr="007E39E6" w:rsidRDefault="00DA4727" w:rsidP="00FD239F">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Το στοιχείο αυτό δεν συνδέεται με κάποιο λεπτομερές υπόδειγμα.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Εκ των οποίων: Πρόσθετες αυστηρότερες απαιτήσεις προλ</w:t>
            </w:r>
            <w:r>
              <w:rPr>
                <w:rStyle w:val="InstructionsTabelleberschrift"/>
                <w:rFonts w:ascii="Times New Roman" w:hAnsi="Times New Roman"/>
                <w:sz w:val="24"/>
              </w:rPr>
              <w:t>η</w:t>
            </w:r>
            <w:r>
              <w:rPr>
                <w:rStyle w:val="InstructionsTabelleberschrift"/>
                <w:rFonts w:ascii="Times New Roman" w:hAnsi="Times New Roman"/>
                <w:sz w:val="24"/>
              </w:rPr>
              <w:t>πτικής εποπτείας βάσει του άρθρου 458</w:t>
            </w:r>
          </w:p>
          <w:p w:rsidR="005643EA" w:rsidRPr="007E39E6" w:rsidRDefault="002648B0"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Άρθρο 458 του ΚΚΑ</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Εκ των οποίων: απαιτήσεις για μεγάλα ανοίγματα</w:t>
            </w:r>
          </w:p>
          <w:p w:rsidR="005643EA" w:rsidRPr="00392FFD" w:rsidRDefault="002648B0" w:rsidP="00FD239F">
            <w:pPr>
              <w:pStyle w:val="InstructionsText"/>
              <w:rPr>
                <w:rStyle w:val="InstructionsTabelleberschrift"/>
                <w:rFonts w:ascii="Times New Roman" w:hAnsi="Times New Roman"/>
                <w:sz w:val="24"/>
              </w:rPr>
            </w:pPr>
            <w:r>
              <w:t>Άρθρο 458 του ΚΚΑ</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Εκ των οποίων: λόγω των τροποποιημένων συντελ</w:t>
            </w:r>
            <w:r>
              <w:rPr>
                <w:rStyle w:val="InstructionsTabelleberschrift"/>
                <w:rFonts w:ascii="Times New Roman" w:hAnsi="Times New Roman"/>
                <w:sz w:val="24"/>
              </w:rPr>
              <w:t>ε</w:t>
            </w:r>
            <w:r>
              <w:rPr>
                <w:rStyle w:val="InstructionsTabelleberschrift"/>
                <w:rFonts w:ascii="Times New Roman" w:hAnsi="Times New Roman"/>
                <w:sz w:val="24"/>
              </w:rPr>
              <w:t>στών στάθμισης κινδύνου με στόχο τις φούσκες κερδοσκοπίας στον τομέα των ακινήτων κατοικίας και των εμπορικών ακινήτων</w:t>
            </w:r>
          </w:p>
          <w:p w:rsidR="005643EA" w:rsidRPr="00392FFD" w:rsidRDefault="002648B0" w:rsidP="00FD239F">
            <w:pPr>
              <w:pStyle w:val="InstructionsText"/>
              <w:rPr>
                <w:rStyle w:val="InstructionsTabelleberschrift"/>
                <w:rFonts w:ascii="Times New Roman" w:hAnsi="Times New Roman"/>
                <w:sz w:val="24"/>
              </w:rPr>
            </w:pPr>
            <w:r>
              <w:t>Άρθρο 458 του ΚΚΑ</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Εκ των οποίων: λόγω ανοιγμάτων εντός του χρηματ</w:t>
            </w:r>
            <w:r>
              <w:rPr>
                <w:rStyle w:val="InstructionsTabelleberschrift"/>
                <w:rFonts w:ascii="Times New Roman" w:hAnsi="Times New Roman"/>
                <w:sz w:val="24"/>
              </w:rPr>
              <w:t>ο</w:t>
            </w:r>
            <w:r>
              <w:rPr>
                <w:rStyle w:val="InstructionsTabelleberschrift"/>
                <w:rFonts w:ascii="Times New Roman" w:hAnsi="Times New Roman"/>
                <w:sz w:val="24"/>
              </w:rPr>
              <w:t>πιστωτικού τομέα</w:t>
            </w:r>
          </w:p>
          <w:p w:rsidR="005643EA" w:rsidRPr="00392FFD" w:rsidRDefault="002648B0" w:rsidP="00FD239F">
            <w:pPr>
              <w:pStyle w:val="InstructionsText"/>
              <w:rPr>
                <w:rStyle w:val="InstructionsTabelleberschrift"/>
                <w:rFonts w:ascii="Times New Roman" w:hAnsi="Times New Roman"/>
                <w:sz w:val="24"/>
              </w:rPr>
            </w:pPr>
            <w:r>
              <w:t>Άρθρο 458 του ΚΚΑ</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Εκ των οποίων: Πρόσθετες αυστηρότερες απαιτήσεις προλ</w:t>
            </w:r>
            <w:r>
              <w:rPr>
                <w:rStyle w:val="InstructionsTabelleberschrift"/>
                <w:rFonts w:ascii="Times New Roman" w:hAnsi="Times New Roman"/>
                <w:sz w:val="24"/>
              </w:rPr>
              <w:t>η</w:t>
            </w:r>
            <w:r>
              <w:rPr>
                <w:rStyle w:val="InstructionsTabelleberschrift"/>
                <w:rFonts w:ascii="Times New Roman" w:hAnsi="Times New Roman"/>
                <w:sz w:val="24"/>
              </w:rPr>
              <w:t>πτικής εποπτείας βάσει του άρθρου 459</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459 του ΚΚΑ</w:t>
            </w:r>
          </w:p>
        </w:tc>
      </w:tr>
      <w:tr w:rsidR="00523DD6" w:rsidRPr="00392FFD" w:rsidTr="00672D2A">
        <w:tc>
          <w:tcPr>
            <w:tcW w:w="1591" w:type="dxa"/>
            <w:shd w:val="clear" w:color="auto" w:fill="auto"/>
          </w:tcPr>
          <w:p w:rsidR="00523DD6"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274" w:type="dxa"/>
          </w:tcPr>
          <w:p w:rsidR="005643EA" w:rsidRPr="00392FFD" w:rsidRDefault="00523DD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Εκ των οποίων: Πρόσθετα ποσά ανοίγματος σε κίνδυνο λόγω του άρθρου 3 του ΚΚΑ</w:t>
            </w:r>
          </w:p>
          <w:p w:rsidR="005643EA"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 του ΚΚΑ</w:t>
            </w:r>
          </w:p>
          <w:p w:rsidR="005643EA" w:rsidRPr="00392FFD" w:rsidRDefault="00523DD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πρόσθετο ποσό ανοίγματος σε κίνδυνο πρέπει να αναφέρεται. Περ</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 xml:space="preserve">λαμβάνει μόνο τα πρόσθετα ποσά (π.χ. εάν ένα άνοιγμα της τάξης του 100 έχει σταθμιστεί βάσει κινδύνου με συντελεστή 20 % και το ίδρυμα εφαρμόζει συντελεστή στάθμισης κινδύνου 50 % σύμφωνα με το άρθρο 3 του ΚΚΑ, το προς αναφορά ποσό είναι 30).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FD239F">
            <w:pPr>
              <w:pStyle w:val="InstructionsText"/>
              <w:rPr>
                <w:rStyle w:val="FormatvorlageInstructionsTabelleText"/>
                <w:rFonts w:ascii="Times New Roman" w:hAnsi="Times New Roman"/>
                <w:bCs w:val="0"/>
                <w:sz w:val="24"/>
              </w:rPr>
            </w:pPr>
            <w:bookmarkStart w:id="50" w:name="_Toc473560877"/>
            <w:bookmarkStart w:id="51" w:name="_Toc308175826"/>
            <w:bookmarkStart w:id="52" w:name="_Toc360188329"/>
            <w:r>
              <w:rPr>
                <w:rStyle w:val="FormatvorlageInstructionsTabelleText"/>
                <w:rFonts w:ascii="Times New Roman" w:hAnsi="Times New Roman"/>
                <w:sz w:val="24"/>
              </w:rPr>
              <w:lastRenderedPageBreak/>
              <w:t>770 – 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394410" w:rsidP="00FE699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 Εκ των οποίων: Σταθμισμένα ως προς τον κίνδυνο ποσά ανοι</w:t>
            </w:r>
            <w:r>
              <w:rPr>
                <w:rStyle w:val="InstructionsTabelleberschrift"/>
                <w:rFonts w:ascii="Times New Roman" w:hAnsi="Times New Roman"/>
                <w:sz w:val="24"/>
              </w:rPr>
              <w:t>γ</w:t>
            </w:r>
            <w:r>
              <w:rPr>
                <w:rStyle w:val="InstructionsTabelleberschrift"/>
                <w:rFonts w:ascii="Times New Roman" w:hAnsi="Times New Roman"/>
                <w:sz w:val="24"/>
              </w:rPr>
              <w:t>μάτων για πιστωτικό κίνδυνο: θέσεις τιτλοποίησης (αναθεωρημένο πλαίσιο τιτλοποίησης)</w:t>
            </w:r>
          </w:p>
          <w:p w:rsidR="00FE6995" w:rsidRDefault="00FE6995" w:rsidP="00FE699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συμπληρώνουν πληροφορίες στις γραμμές</w:t>
            </w:r>
            <w:r>
              <w:t xml:space="preserve"> 770 – 900 κατά τις ημερομηνίες αναφοράς για υποβολή αναφορών που είναι μεταγεν</w:t>
            </w:r>
            <w:r>
              <w:t>έ</w:t>
            </w:r>
            <w:r>
              <w:t>στερες της 1ης Ιανουαρίου 2019.</w:t>
            </w:r>
          </w:p>
          <w:p w:rsidR="00FE6995" w:rsidRPr="0085692D" w:rsidRDefault="00FE6995" w:rsidP="00FE6995">
            <w:pPr>
              <w:pStyle w:val="InstructionsText"/>
            </w:pPr>
            <w:r>
              <w:rPr>
                <w:rStyle w:val="InstructionsTabelleberschrift"/>
                <w:rFonts w:ascii="Times New Roman" w:hAnsi="Times New Roman"/>
                <w:b w:val="0"/>
                <w:sz w:val="24"/>
                <w:u w:val="none"/>
              </w:rPr>
              <w:t>Σ</w:t>
            </w:r>
            <w:r>
              <w:t>τις γραμμές 770 – 900 παρουσιάζονται τα σταθμισμένα ως προς τον κίνδυνο ποσά ανοιγμάτων όσον αφορά τον πιστωτικό κίνδυνο για τις εν λόγω θέσεις τιτλοποίησης, των οποίων το σταθμισμένο ως προς τον κί</w:t>
            </w:r>
            <w:r>
              <w:t>ν</w:t>
            </w:r>
            <w:r>
              <w:t>δυνο ποσό ανοίγματος υπολογίζεται σύμφωνα με τις διατάξεις του ΚΚΑ.</w:t>
            </w:r>
          </w:p>
          <w:p w:rsidR="00FE6995" w:rsidRPr="00672D2A" w:rsidRDefault="00FE6995" w:rsidP="00FE6995">
            <w:pPr>
              <w:pStyle w:val="InstructionsText"/>
              <w:rPr>
                <w:rStyle w:val="InstructionsTabelleberschrift"/>
                <w:rFonts w:ascii="Times New Roman" w:hAnsi="Times New Roman"/>
                <w:sz w:val="24"/>
              </w:rPr>
            </w:pPr>
            <w:r>
              <w:t>Τα αναφερόμενα ποσά αντιστοιχούν στο συνολικό ποσό ανοίγματος σταθμισμένο ως προς τον κίνδυνο, υπολογιζόμενο σύμφωνα με το τρίτο μέρος τίτλος II κεφάλαιο 5 του ΚΚΑ, λαμβάνοντας υπόψη τον συνολικό συντελεστή στάθμισης κινδύνου που επιβάλλεται σύμφωνα με το άρθρο 247 παράγραφος 6 του ΚΚΑ και τα ανώτατα όρια που αναφέρονται στο τρίτο μέρος τίτλος II κεφάλαιο 5 τμήμα 3 ενότητα 4 του ΚΚΑ.</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tab/>
            </w:r>
            <w:r>
              <w:rPr>
                <w:rStyle w:val="InstructionsTabelleberschrift"/>
                <w:rFonts w:ascii="Times New Roman" w:hAnsi="Times New Roman"/>
                <w:sz w:val="24"/>
              </w:rPr>
              <w:t xml:space="preserve">Εκ των οποίων: Σταθμισμένα ως προς τον κίνδυνο ποσά </w:t>
            </w:r>
            <w:r>
              <w:rPr>
                <w:rStyle w:val="InstructionsTabelleberschrift"/>
                <w:rFonts w:ascii="Times New Roman" w:hAnsi="Times New Roman"/>
                <w:sz w:val="24"/>
              </w:rPr>
              <w:t>α</w:t>
            </w:r>
            <w:r>
              <w:rPr>
                <w:rStyle w:val="InstructionsTabelleberschrift"/>
                <w:rFonts w:ascii="Times New Roman" w:hAnsi="Times New Roman"/>
                <w:sz w:val="24"/>
              </w:rPr>
              <w:t>νοιγμάτων για πιστωτικό κίνδυνο: θέσεις τιτλοποίησης (αναθεωρ</w:t>
            </w:r>
            <w:r>
              <w:rPr>
                <w:rStyle w:val="InstructionsTabelleberschrift"/>
                <w:rFonts w:ascii="Times New Roman" w:hAnsi="Times New Roman"/>
                <w:sz w:val="24"/>
              </w:rPr>
              <w:t>η</w:t>
            </w:r>
            <w:r>
              <w:rPr>
                <w:rStyle w:val="InstructionsTabelleberschrift"/>
                <w:rFonts w:ascii="Times New Roman" w:hAnsi="Times New Roman"/>
                <w:sz w:val="24"/>
              </w:rPr>
              <w:t>μένο πλαίσιο τιτλοποίησης)</w:t>
            </w:r>
          </w:p>
          <w:p w:rsidR="009B591B" w:rsidRPr="00241190" w:rsidRDefault="009B591B" w:rsidP="003B20D7">
            <w:pPr>
              <w:pStyle w:val="InstructionsText"/>
              <w:rPr>
                <w:rStyle w:val="InstructionsTabelleberschrift"/>
                <w:rFonts w:ascii="Times New Roman" w:hAnsi="Times New Roman"/>
                <w:bCs w:val="0"/>
                <w:sz w:val="24"/>
              </w:rPr>
            </w:pPr>
            <w:r>
              <w:t xml:space="preserve">Άρθρο 92 παράγραφος 3) στοιχείο α) και τρίτο μέρος τίτλος II κεφάλαιο 5 του ΚΚΑ </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w:t>
            </w:r>
            <w:r>
              <w:tab/>
            </w:r>
            <w:r>
              <w:rPr>
                <w:rStyle w:val="InstructionsTabelleberschrift"/>
                <w:rFonts w:ascii="Times New Roman" w:hAnsi="Times New Roman"/>
                <w:sz w:val="24"/>
              </w:rPr>
              <w:t xml:space="preserve"> Προσέγγιση των εσωτερικών διαβαθμίσεων (SEC-IRBA)</w:t>
            </w:r>
          </w:p>
          <w:p w:rsidR="00BD661B" w:rsidRPr="0085692D" w:rsidRDefault="00BD661B" w:rsidP="00FD239F">
            <w:pPr>
              <w:pStyle w:val="InstructionsText"/>
              <w:rPr>
                <w:rStyle w:val="InstructionsTabelleberschrift"/>
                <w:rFonts w:ascii="Times New Roman" w:hAnsi="Times New Roman"/>
                <w:b w:val="0"/>
                <w:bCs w:val="0"/>
                <w:sz w:val="24"/>
                <w:u w:val="none"/>
              </w:rPr>
            </w:pPr>
            <w:r>
              <w:t>Άρθρο 254 παράγραφος 1 στοιχείο α), άρθρα 259 και 260 του ΚΚΑ</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1.8.5.1.1</w:t>
            </w:r>
            <w:r>
              <w:tab/>
            </w:r>
            <w:r>
              <w:rPr>
                <w:rStyle w:val="InstructionsTabelleberschrift"/>
                <w:rFonts w:ascii="Times New Roman" w:hAnsi="Times New Roman"/>
                <w:sz w:val="24"/>
              </w:rPr>
              <w:t>Τιτλοποιήσεις που δεν πληρούν τις προϋποθέσεις για διαφοροποιημένη κεφαλαιακή αντιμετώπιση</w:t>
            </w:r>
          </w:p>
          <w:p w:rsidR="003D7822" w:rsidRPr="0085692D" w:rsidRDefault="00924FE7" w:rsidP="003B20D7">
            <w:pPr>
              <w:pStyle w:val="InstructionsText"/>
              <w:rPr>
                <w:rStyle w:val="InstructionsTabelleberschrift"/>
                <w:rFonts w:ascii="Times New Roman" w:hAnsi="Times New Roman"/>
                <w:b w:val="0"/>
                <w:sz w:val="24"/>
              </w:rPr>
            </w:pPr>
            <w:r>
              <w:t>Άρθρο 254 παράγραφος 1 στοιχείο α), άρθρο 259 του ΚΚΑ</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1.8.5.1.2</w:t>
            </w:r>
            <w:r>
              <w:tab/>
            </w:r>
            <w:r>
              <w:rPr>
                <w:rStyle w:val="InstructionsTabelleberschrift"/>
                <w:rFonts w:ascii="Times New Roman" w:hAnsi="Times New Roman"/>
                <w:sz w:val="24"/>
              </w:rPr>
              <w:t>Τιτλοποιήσεις STS που πληρούν τις προϋποθέσεις για διαφοροποιημένη κεφαλαιακή αντιμετώπιση</w:t>
            </w:r>
          </w:p>
          <w:p w:rsidR="00924FE7" w:rsidRPr="0085692D" w:rsidRDefault="00602FA5" w:rsidP="00FD239F">
            <w:pPr>
              <w:pStyle w:val="InstructionsText"/>
            </w:pPr>
            <w:r>
              <w:t>Άρθρο 254 παράγραφος 1 στοιχείο α), άρθρα 259 και 260 του ΚΚΑ</w:t>
            </w:r>
          </w:p>
          <w:p w:rsidR="008B1A0F" w:rsidRPr="00241190" w:rsidRDefault="00366794" w:rsidP="003B20D7">
            <w:pPr>
              <w:pStyle w:val="InstructionsText"/>
              <w:rPr>
                <w:rStyle w:val="InstructionsTabelleberschrift"/>
                <w:rFonts w:ascii="Times New Roman" w:hAnsi="Times New Roman"/>
                <w:sz w:val="24"/>
              </w:rPr>
            </w:pPr>
            <w:r>
              <w:t>Στη γραμμή αυτή αναφέρονται τόσο τιτλοποιήσεις STS που πληρούν τις προϋποθέσεις για διαφοροποιημένη κεφαλαιακή αντιμετώπιση, σύμφ</w:t>
            </w:r>
            <w:r>
              <w:t>ω</w:t>
            </w:r>
            <w:r>
              <w:t>να με το άρθρο 243 του ΚΚΑ, όσο και θέσεις με ανώτερη εξοφλητική προτεραιότητα σε τιτλοποιήσεις ΜΜΕ που πληρούν τις προϋποθέσεις για τη διαφοροποιημένη κεφαλαιακή αντιμετώπιση, σύμφωνα με το ά</w:t>
            </w:r>
            <w:r>
              <w:t>ρ</w:t>
            </w:r>
            <w:r>
              <w:t>θρο 270 του ΚΚΑ.</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 Τυποποιημένη προσέγγιση (SEC-SA)</w:t>
            </w:r>
          </w:p>
          <w:p w:rsidR="002625C0" w:rsidRPr="00241190" w:rsidRDefault="002625C0"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254 παράγραφος 1 στοιχείο β) και παράγραφος 6, άρθρα 261, 262 και 269</w:t>
            </w:r>
            <w:r>
              <w:t xml:space="preserve"> του </w:t>
            </w:r>
            <w:r>
              <w:rPr>
                <w:rStyle w:val="FormatvorlageInstructionsTabelleText"/>
                <w:rFonts w:ascii="Times New Roman" w:hAnsi="Times New Roman"/>
                <w:sz w:val="24"/>
              </w:rPr>
              <w:t>ΚΚΑ</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1.8.5.2.1</w:t>
            </w:r>
            <w:r>
              <w:tab/>
            </w:r>
            <w:r>
              <w:rPr>
                <w:rStyle w:val="InstructionsTabelleberschrift"/>
                <w:rFonts w:ascii="Times New Roman" w:hAnsi="Times New Roman"/>
                <w:sz w:val="24"/>
              </w:rPr>
              <w:t>Τιτλοποιήσεις που δεν πληρούν τις προϋποθέσεις για διαφοροποιημένη κεφαλαιακή αντιμετώπιση</w:t>
            </w:r>
          </w:p>
          <w:p w:rsidR="004E6D5F" w:rsidRPr="00241190" w:rsidRDefault="004E6D5F"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254 παράγραφος 1 στοιχείο β) και παράγραφος 6, άρθρα 261 και 269</w:t>
            </w:r>
            <w:r>
              <w:t xml:space="preserve"> του </w:t>
            </w:r>
            <w:r>
              <w:rPr>
                <w:rStyle w:val="FormatvorlageInstructionsTabelleText"/>
                <w:rFonts w:ascii="Times New Roman" w:hAnsi="Times New Roman"/>
                <w:sz w:val="24"/>
              </w:rPr>
              <w:t>ΚΚΑ</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1.8.5.2.2</w:t>
            </w:r>
            <w:r>
              <w:tab/>
            </w:r>
            <w:r>
              <w:rPr>
                <w:rStyle w:val="InstructionsTabelleberschrift"/>
                <w:rFonts w:ascii="Times New Roman" w:hAnsi="Times New Roman"/>
                <w:sz w:val="24"/>
              </w:rPr>
              <w:t>Τιτλοποιήσεις STS που πληρούν τις προϋποθέσεις για διαφοροποιημένη κεφαλαιακή αντιμετώπιση</w:t>
            </w:r>
          </w:p>
          <w:p w:rsidR="004E6D5F" w:rsidRPr="00220265" w:rsidRDefault="004E6D5F" w:rsidP="00FD239F">
            <w:pPr>
              <w:pStyle w:val="InstructionsText"/>
            </w:pPr>
            <w:r>
              <w:t>Άρθρο 254 παράγραφος 1 στοιχείο β), άρθρα 261 και 262 του ΚΚΑ</w:t>
            </w:r>
          </w:p>
          <w:p w:rsidR="008B1A0F" w:rsidRPr="00241190" w:rsidRDefault="00366794" w:rsidP="003B20D7">
            <w:pPr>
              <w:pStyle w:val="InstructionsText"/>
              <w:rPr>
                <w:rStyle w:val="InstructionsTabelleberschrift"/>
                <w:rFonts w:ascii="Times New Roman" w:hAnsi="Times New Roman"/>
                <w:sz w:val="24"/>
              </w:rPr>
            </w:pPr>
            <w:r>
              <w:t>Στη γραμμή αυτή αναφέρονται τόσο τιτλοποιήσεις STS που πληρούν τις προϋποθέσεις για διαφοροποιημένη κεφαλαιακή αντιμετώπιση, σύμφ</w:t>
            </w:r>
            <w:r>
              <w:t>ω</w:t>
            </w:r>
            <w:r>
              <w:t>να με το άρθρο 243 του ΚΚΑ, όσο και θέσεις με ανώτερη εξοφλητική προτεραιότητα σε τιτλοποιήσεις ΜΜΕ που πληρούν τις προϋποθέσεις για τη διαφοροποιημένη κεφαλαιακή αντιμετώπιση, σύμφωνα με το ά</w:t>
            </w:r>
            <w:r>
              <w:t>ρ</w:t>
            </w:r>
            <w:r>
              <w:t>θρο 270 του ΚΚΑ.</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w:t>
            </w:r>
            <w:r>
              <w:tab/>
            </w:r>
            <w:r>
              <w:rPr>
                <w:rStyle w:val="InstructionsTabelleberschrift"/>
                <w:rFonts w:ascii="Times New Roman" w:hAnsi="Times New Roman"/>
                <w:sz w:val="24"/>
              </w:rPr>
              <w:t xml:space="preserve"> Προσέγγιση των εξωτερικών διαβαθμίσεων (SEC-ERBA)</w:t>
            </w:r>
          </w:p>
          <w:p w:rsidR="009B591B" w:rsidRPr="00241190" w:rsidRDefault="009B591B" w:rsidP="003B20D7">
            <w:pPr>
              <w:pStyle w:val="InstructionsText"/>
              <w:rPr>
                <w:rStyle w:val="InstructionsTabelleberschrift"/>
                <w:rFonts w:ascii="Times New Roman" w:hAnsi="Times New Roman"/>
                <w:sz w:val="24"/>
              </w:rPr>
            </w:pPr>
            <w:r>
              <w:t>Άρθρο 254 παράγραφος 1 στοιχείο γ) και παράγραφοι 2, 3, 4, άρθρα 263 και 264 του ΚΚΑ</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1.8.5.3.1</w:t>
            </w:r>
            <w:r>
              <w:tab/>
            </w:r>
            <w:r>
              <w:rPr>
                <w:rStyle w:val="InstructionsTabelleberschrift"/>
                <w:rFonts w:ascii="Times New Roman" w:hAnsi="Times New Roman"/>
                <w:sz w:val="24"/>
              </w:rPr>
              <w:t>Τιτλοποιήσεις που δεν πληρούν τις προϋποθέσεις για διαφοροποιημένη κεφαλαιακή αντιμετώπιση</w:t>
            </w:r>
          </w:p>
          <w:p w:rsidR="009B591B" w:rsidRPr="00241190" w:rsidRDefault="009B591B" w:rsidP="003B20D7">
            <w:pPr>
              <w:pStyle w:val="InstructionsText"/>
              <w:rPr>
                <w:rStyle w:val="InstructionsTabelleberschrift"/>
                <w:rFonts w:ascii="Times New Roman" w:hAnsi="Times New Roman"/>
                <w:sz w:val="24"/>
              </w:rPr>
            </w:pPr>
            <w:r>
              <w:t>Άρθρο 254 παράγραφος 1 στοιχείο γ) και παράγραφοι 2, 3, 4 και άρθρο 263 του ΚΚΑ</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1.8.5.3.2</w:t>
            </w:r>
            <w:r>
              <w:tab/>
            </w:r>
            <w:r>
              <w:rPr>
                <w:rStyle w:val="InstructionsTabelleberschrift"/>
                <w:rFonts w:ascii="Times New Roman" w:hAnsi="Times New Roman"/>
                <w:sz w:val="24"/>
              </w:rPr>
              <w:t>Τιτλοποιήσεις STS που πληρούν τις προϋποθέσεις για διαφοροποιημένη κεφαλαιακή αντιμετώπιση</w:t>
            </w:r>
          </w:p>
          <w:p w:rsidR="009B591B" w:rsidRPr="00220265" w:rsidRDefault="009B591B" w:rsidP="00FD239F">
            <w:pPr>
              <w:pStyle w:val="InstructionsText"/>
            </w:pPr>
            <w:r>
              <w:t>Άρθρο 254 παράγραφος 1 στοιχείο γ) και παράγραφοι 2, 3, 4, άρθρα 263 και 264 του ΚΚΑ</w:t>
            </w:r>
          </w:p>
          <w:p w:rsidR="009B591B" w:rsidRPr="00241190" w:rsidRDefault="009B591B" w:rsidP="003B20D7">
            <w:pPr>
              <w:pStyle w:val="InstructionsText"/>
              <w:rPr>
                <w:rStyle w:val="InstructionsTabelleberschrift"/>
                <w:rFonts w:ascii="Times New Roman" w:hAnsi="Times New Roman"/>
                <w:sz w:val="24"/>
              </w:rPr>
            </w:pPr>
            <w:r>
              <w:t>Στη γραμμή αυτή αναφέρονται τόσο τιτλοποιήσεις STS που πληρούν τις προϋποθέσεις για διαφοροποιημένη κεφαλαιακή αντιμετώπιση, σύμφ</w:t>
            </w:r>
            <w:r>
              <w:t>ω</w:t>
            </w:r>
            <w:r>
              <w:t>να με το άρθρο 243 του ΚΚΑ, όσο και θέσεις με ανώτερη εξοφλητική προτεραιότητα σε τιτλοποιήσεις ΜΜΕ που πληρούν τις προϋποθέσεις για τη διαφοροποιημένη κεφαλαιακή αντιμετώπιση, σύμφωνα με το ά</w:t>
            </w:r>
            <w:r>
              <w:t>ρ</w:t>
            </w:r>
            <w:r>
              <w:t>θρο 270 του ΚΚΑ.</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w:t>
            </w:r>
            <w:r>
              <w:tab/>
            </w:r>
            <w:r>
              <w:rPr>
                <w:rStyle w:val="InstructionsTabelleberschrift"/>
                <w:rFonts w:ascii="Times New Roman" w:hAnsi="Times New Roman"/>
                <w:sz w:val="24"/>
              </w:rPr>
              <w:t xml:space="preserve"> Προσέγγιση εσωτερικής αξιολόγησης (IAA)</w:t>
            </w:r>
          </w:p>
          <w:p w:rsidR="009B591B" w:rsidRPr="00241190" w:rsidRDefault="009B591B" w:rsidP="003B20D7">
            <w:pPr>
              <w:pStyle w:val="InstructionsText"/>
              <w:rPr>
                <w:rStyle w:val="InstructionsTabelleberschrift"/>
                <w:rFonts w:ascii="Times New Roman" w:hAnsi="Times New Roman"/>
                <w:sz w:val="24"/>
              </w:rPr>
            </w:pPr>
            <w:r>
              <w:t>Άρθρο 254 παράγραφος 5, άρθρα 265 και 266 του ΚΚΑ</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1.8.5.4.1</w:t>
            </w:r>
            <w:r>
              <w:tab/>
            </w:r>
            <w:r>
              <w:rPr>
                <w:rStyle w:val="InstructionsTabelleberschrift"/>
                <w:rFonts w:ascii="Times New Roman" w:hAnsi="Times New Roman"/>
                <w:sz w:val="24"/>
              </w:rPr>
              <w:t>Τιτλοποιήσεις που δεν πληρούν τις προϋποθέσεις για διαφοροποιημένη κεφαλαιακή αντιμετώπιση</w:t>
            </w:r>
          </w:p>
          <w:p w:rsidR="009B591B" w:rsidRPr="00220265" w:rsidRDefault="009B591B" w:rsidP="003B20D7">
            <w:pPr>
              <w:pStyle w:val="InstructionsText"/>
              <w:rPr>
                <w:rStyle w:val="InstructionsTabelleberschrift"/>
                <w:rFonts w:ascii="Times New Roman" w:hAnsi="Times New Roman"/>
                <w:b w:val="0"/>
                <w:sz w:val="24"/>
                <w:u w:val="none"/>
              </w:rPr>
            </w:pPr>
            <w:r>
              <w:t>Άρθρο 254 παράγραφος 5, άρθρα 265 και 266 του ΚΚΑ</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1.8.5.4.2</w:t>
            </w:r>
            <w:r>
              <w:tab/>
            </w:r>
            <w:r>
              <w:rPr>
                <w:rStyle w:val="InstructionsTabelleberschrift"/>
                <w:rFonts w:ascii="Times New Roman" w:hAnsi="Times New Roman"/>
                <w:sz w:val="24"/>
              </w:rPr>
              <w:t>Τιτλοποιήσεις STS που πληρούν τις προϋποθέσεις για διαφοροποιημένη κεφαλαιακή αντιμετώπιση</w:t>
            </w:r>
          </w:p>
          <w:p w:rsidR="009B591B" w:rsidRPr="00220265" w:rsidRDefault="009B591B" w:rsidP="00FD239F">
            <w:pPr>
              <w:pStyle w:val="InstructionsText"/>
            </w:pPr>
            <w:r>
              <w:t>Άρθρο 254 παράγραφος 5, άρθρα 265 και 266 του ΚΚΑ</w:t>
            </w:r>
          </w:p>
          <w:p w:rsidR="009B591B" w:rsidRPr="00241190" w:rsidRDefault="009B591B" w:rsidP="003B20D7">
            <w:pPr>
              <w:pStyle w:val="InstructionsText"/>
              <w:rPr>
                <w:rStyle w:val="InstructionsTabelleberschrift"/>
                <w:rFonts w:ascii="Times New Roman" w:hAnsi="Times New Roman"/>
                <w:sz w:val="24"/>
              </w:rPr>
            </w:pPr>
            <w:r>
              <w:t>Στη γραμμή αυτή αναφέρονται τόσο τιτλοποιήσεις STS που πληρούν τις προϋποθέσεις για διαφοροποιημένη κεφαλαιακή αντιμετώπιση, σύμφ</w:t>
            </w:r>
            <w:r>
              <w:t>ω</w:t>
            </w:r>
            <w:r>
              <w:t>να με το άρθρο 243 του ΚΚΑ, όσο και θέσεις με ανώτερη εξοφλητική προτεραιότητα σε τιτλοποιήσεις ΜΜΕ που πληρούν τις προϋποθέσεις για τη διαφοροποιημένη κεφαλαιακή αντιμετώπιση, σύμφωνα με το ά</w:t>
            </w:r>
            <w:r>
              <w:t>ρ</w:t>
            </w:r>
            <w:r>
              <w:t>θρο 270 του ΚΚΑ.</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1.8.5.5</w:t>
            </w:r>
            <w:r>
              <w:tab/>
            </w:r>
            <w:r>
              <w:rPr>
                <w:rStyle w:val="InstructionsTabelleberschrift"/>
                <w:rFonts w:ascii="Times New Roman" w:hAnsi="Times New Roman"/>
                <w:sz w:val="24"/>
              </w:rPr>
              <w:t xml:space="preserve"> Άλλα (RW = 1 250%)</w:t>
            </w:r>
          </w:p>
          <w:p w:rsidR="009B591B" w:rsidRPr="00241190" w:rsidRDefault="009B591B" w:rsidP="003B20D7">
            <w:pPr>
              <w:pStyle w:val="InstructionsText"/>
              <w:rPr>
                <w:rStyle w:val="InstructionsTabelleberschrift"/>
                <w:rFonts w:ascii="Times New Roman" w:hAnsi="Times New Roman"/>
                <w:sz w:val="24"/>
              </w:rPr>
            </w:pPr>
            <w:r>
              <w:t>Άρθρο 254 παράγραφος 7 του ΚΚΑ</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910 – 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 Εκ των οποίων: Συνολικό ποσό ανοίγματος σε κίνδυνο θέσης: Διαπραγματεύσιμοι χρεωστικοί τίτλοι – ειδικός κίνδυνος μέσων τι</w:t>
            </w:r>
            <w:r>
              <w:rPr>
                <w:rStyle w:val="InstructionsTabelleberschrift"/>
                <w:rFonts w:ascii="Times New Roman" w:hAnsi="Times New Roman"/>
                <w:sz w:val="24"/>
              </w:rPr>
              <w:t>τ</w:t>
            </w:r>
            <w:r>
              <w:rPr>
                <w:rStyle w:val="InstructionsTabelleberschrift"/>
                <w:rFonts w:ascii="Times New Roman" w:hAnsi="Times New Roman"/>
                <w:sz w:val="24"/>
              </w:rPr>
              <w:t>λοποίησης (αναθεωρημένο πλαίσιο τιτλοποίησης)</w:t>
            </w:r>
          </w:p>
          <w:p w:rsidR="002A6913" w:rsidRPr="002A6913" w:rsidRDefault="002A6913" w:rsidP="00FD239F">
            <w:pPr>
              <w:pStyle w:val="InstructionsText"/>
              <w:rPr>
                <w:bCs/>
              </w:rPr>
            </w:pPr>
            <w:r>
              <w:rPr>
                <w:rStyle w:val="InstructionsTabelleberschrift"/>
                <w:rFonts w:ascii="Times New Roman" w:hAnsi="Times New Roman"/>
                <w:b w:val="0"/>
                <w:sz w:val="24"/>
                <w:u w:val="none"/>
              </w:rPr>
              <w:t>Τα ιδρύματα συμπληρώνουν πληροφορίες στις γραμμές</w:t>
            </w:r>
            <w:r>
              <w:t xml:space="preserve"> 910 – 1040 κατά τις ημερομηνίες αναφοράς για υποβολή αναφορών που είναι μεταγεν</w:t>
            </w:r>
            <w:r>
              <w:t>έ</w:t>
            </w:r>
            <w:r>
              <w:t>στερες της 1ης Ιανουαρίου 2019.</w:t>
            </w:r>
          </w:p>
          <w:p w:rsidR="004E2BE7" w:rsidRPr="00220265" w:rsidRDefault="004E2BE7" w:rsidP="00FD239F">
            <w:pPr>
              <w:pStyle w:val="InstructionsText"/>
            </w:pPr>
            <w:r>
              <w:t>Στις γραμμές 910 – 1040 παρουσιάζονται τα σταθμισμένα ως προς τον κίνδυνο ποσά ανοιγμάτων για τις εν λόγω θέσεις τιτλοποίησης στο χα</w:t>
            </w:r>
            <w:r>
              <w:t>ρ</w:t>
            </w:r>
            <w:r>
              <w:t>τοφυλάκιο συναλλαγών, των οποίων τα συνολικά ποσά ανοίγματος σε κίνδυνο υπολογίζονται σύμφωνα με τις διατάξεις του ΚΚΑ. Ωστόσο, οι θέσεις τιτλοποίησης που υπόκεινται σε απαιτήσεις ιδίων κεφαλαίων για το χαρτοφυλάκιο διαπραγμάτευσης συσχετίσεων, σύμφωνα με το άρθρο 338 του τροποποιημένου ΚΚΑ, δεν αναφέρονται σε αυτές τις γραμμές, αλλά στο υπόδειγμα MKR SA CTP.</w:t>
            </w:r>
          </w:p>
          <w:p w:rsidR="004E2BE7" w:rsidRPr="00220265" w:rsidRDefault="004E2BE7" w:rsidP="00FD239F">
            <w:pPr>
              <w:pStyle w:val="InstructionsText"/>
            </w:pPr>
            <w:r>
              <w:t>Τα αναφερόμενα ποσά αντιστοιχούν στο συνολικό ποσό ανοίγματος σε κίνδυνο, το οποίο είναι το αποτέλεσμα του πολλαπλασιασμού των απα</w:t>
            </w:r>
            <w:r>
              <w:t>ι</w:t>
            </w:r>
            <w:r>
              <w:t>τήσεων ιδίων κεφαλαίων, που υπολογίζονται σύμφωνα με το άρθρο 337 του ΚΚΑ, επί 12,5.   Στο αναφερόμενο ποσό λαμβάνεται υπόψη ο εφα</w:t>
            </w:r>
            <w:r>
              <w:t>ρ</w:t>
            </w:r>
            <w:r>
              <w:t>μοστέος συνολικός συντελεστής στάθμισης κινδύνου, σύμφωνα με το άρθρο 337 παράγραφος 3 του ΚΚΑ, καθώς και το ανώτατο όριο της κ</w:t>
            </w:r>
            <w:r>
              <w:t>ε</w:t>
            </w:r>
            <w:r>
              <w:t>φαλαιακής απαίτησης για μια καθαρή θέση, σύμφωνα με το άρθρο 337 παράγραφος 4 του ΚΚΑ.</w:t>
            </w:r>
          </w:p>
          <w:p w:rsidR="007A1E2E" w:rsidRPr="00241190" w:rsidRDefault="007A1E2E" w:rsidP="002A6913">
            <w:pPr>
              <w:pStyle w:val="InstructionsText"/>
              <w:rPr>
                <w:rStyle w:val="InstructionsTabelleberschrift"/>
                <w:rFonts w:ascii="Times New Roman" w:hAnsi="Times New Roman"/>
                <w:bCs w:val="0"/>
                <w:sz w:val="24"/>
              </w:rPr>
            </w:pPr>
            <w:r>
              <w:t>Σύμφωνα με τον προσδιορισμό των συντελεστών στάθμισης κινδύνου, κατά το άρθρο 337 του ΚΚΑ, η προσέγγιση που εφαρμόζεται για τον υπολογισμό των κεφαλαιακών απαιτήσεων για μέσα στο χαρτοφυλάκιο συναλλαγών τα οποία είναι θέσεις τιτλοποίησης προσδιορίζεται όπως η προσέγγιση την οποία θα εφάρμοζε το ίδρυμα στη θέση στο τραπεζικό χαρτοφυλάκιό του.</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tab/>
            </w:r>
            <w:r>
              <w:rPr>
                <w:rStyle w:val="InstructionsTabelleberschrift"/>
                <w:rFonts w:ascii="Times New Roman" w:hAnsi="Times New Roman"/>
                <w:sz w:val="24"/>
              </w:rPr>
              <w:t>Εκ των οποίων: Συνολικό ποσό ανοίγματος σε κίνδυνο θέσης: Διαπραγματεύσιμοι χρεωστικοί τίτλοι – ειδικός κίνδυνος μέσων τι</w:t>
            </w:r>
            <w:r>
              <w:rPr>
                <w:rStyle w:val="InstructionsTabelleberschrift"/>
                <w:rFonts w:ascii="Times New Roman" w:hAnsi="Times New Roman"/>
                <w:sz w:val="24"/>
              </w:rPr>
              <w:t>τ</w:t>
            </w:r>
            <w:r>
              <w:rPr>
                <w:rStyle w:val="InstructionsTabelleberschrift"/>
                <w:rFonts w:ascii="Times New Roman" w:hAnsi="Times New Roman"/>
                <w:sz w:val="24"/>
              </w:rPr>
              <w:t>λοποίησης (αναθεωρημένο πλαίσιο τιτλοποίησης)</w:t>
            </w:r>
          </w:p>
          <w:p w:rsidR="00BB3CBE" w:rsidRPr="00241190" w:rsidRDefault="00BB3CBE" w:rsidP="002A6913">
            <w:pPr>
              <w:pStyle w:val="InstructionsText"/>
              <w:rPr>
                <w:rStyle w:val="InstructionsTabelleberschrift"/>
                <w:rFonts w:ascii="Times New Roman" w:hAnsi="Times New Roman"/>
                <w:sz w:val="24"/>
              </w:rPr>
            </w:pPr>
            <w:r>
              <w:t>Άρθρο 92 παράγραφος 3 στοιχείο β) σημείο i) και παράγραφος 4, άρθρα 335 και 337 του ΚΚΑ</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w:t>
            </w:r>
            <w:r>
              <w:tab/>
            </w:r>
            <w:r>
              <w:rPr>
                <w:rStyle w:val="InstructionsTabelleberschrift"/>
                <w:rFonts w:ascii="Times New Roman" w:hAnsi="Times New Roman"/>
                <w:sz w:val="24"/>
              </w:rPr>
              <w:t xml:space="preserve"> Προσέγγιση των εσωτερικών διαβαθμίσεων (SEC-IRBA)</w:t>
            </w:r>
          </w:p>
          <w:p w:rsidR="007A1E2E" w:rsidRPr="00241190" w:rsidRDefault="007A1E2E" w:rsidP="002A6913">
            <w:pPr>
              <w:pStyle w:val="InstructionsText"/>
              <w:rPr>
                <w:rStyle w:val="InstructionsTabelleberschrift"/>
                <w:rFonts w:ascii="Times New Roman" w:hAnsi="Times New Roman"/>
                <w:sz w:val="24"/>
              </w:rPr>
            </w:pPr>
            <w:r>
              <w:t>Άρθρο 254 παράγραφος 1 στοιχείο α), άρθρα 259, 260 και 337 του ΚΚΑ</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1.8.6.1.1</w:t>
            </w:r>
            <w:r>
              <w:tab/>
            </w:r>
            <w:r>
              <w:rPr>
                <w:rStyle w:val="InstructionsTabelleberschrift"/>
                <w:rFonts w:ascii="Times New Roman" w:hAnsi="Times New Roman"/>
                <w:sz w:val="24"/>
              </w:rPr>
              <w:t>Τιτλοποιήσεις που δεν πληρούν τις προϋποθέσεις για διαφοροποιημένη κεφαλαιακή αντιμετώπιση</w:t>
            </w:r>
          </w:p>
          <w:p w:rsidR="007A1E2E" w:rsidRPr="00241190" w:rsidRDefault="007A1E2E" w:rsidP="002A6913">
            <w:pPr>
              <w:pStyle w:val="InstructionsText"/>
              <w:rPr>
                <w:rStyle w:val="InstructionsTabelleberschrift"/>
                <w:rFonts w:ascii="Times New Roman" w:hAnsi="Times New Roman"/>
                <w:sz w:val="24"/>
              </w:rPr>
            </w:pPr>
            <w:r>
              <w:t>Άρθρο 254 παράγραφος 1 στοιχείο α), άρθρα 259 και 337 του ΚΚΑ</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1.8.6.1.2</w:t>
            </w:r>
            <w:r>
              <w:tab/>
            </w:r>
            <w:r>
              <w:rPr>
                <w:rStyle w:val="InstructionsTabelleberschrift"/>
                <w:rFonts w:ascii="Times New Roman" w:hAnsi="Times New Roman"/>
                <w:sz w:val="24"/>
              </w:rPr>
              <w:t>Τιτλοποιήσεις STS που πληρούν τις προϋποθέσεις για διαφοροποιημένη κεφαλαιακή αντιμετώπιση</w:t>
            </w:r>
          </w:p>
          <w:p w:rsidR="007A1E2E" w:rsidRPr="00220265" w:rsidRDefault="007A1E2E" w:rsidP="00FD239F">
            <w:pPr>
              <w:pStyle w:val="InstructionsText"/>
            </w:pPr>
            <w:r>
              <w:t>Άρθρο 254 παράγραφος 1 στοιχείο α), άρθρα 259, 260 και 337 του ΚΚΑ</w:t>
            </w:r>
          </w:p>
          <w:p w:rsidR="007A1E2E" w:rsidRPr="00241190" w:rsidRDefault="007A1E2E" w:rsidP="00FD239F">
            <w:pPr>
              <w:pStyle w:val="InstructionsText"/>
              <w:rPr>
                <w:rStyle w:val="InstructionsTabelleberschrift"/>
                <w:rFonts w:ascii="Times New Roman" w:hAnsi="Times New Roman"/>
                <w:sz w:val="24"/>
              </w:rPr>
            </w:pPr>
            <w:r>
              <w:t>Στη γραμμή αυτή αναφέρονται τόσο τιτλοποιήσεις STS που πληρούν τις προϋποθέσεις για διαφοροποιημένη κεφαλαιακή αντιμετώπιση, σύμφ</w:t>
            </w:r>
            <w:r>
              <w:t>ω</w:t>
            </w:r>
            <w:r>
              <w:t xml:space="preserve">να με το άρθρο 243 του ΚΚΑ, όσο και θέσεις με ανώτερη εξοφλητική </w:t>
            </w:r>
            <w:r>
              <w:lastRenderedPageBreak/>
              <w:t>προτεραιότητα σε τιτλοποιήσεις ΜΜΕ που πληρούν τις προϋποθέσεις για τη διαφοροποιημένη κεφαλαιακή αντιμετώπιση, σύμφωνα με το ά</w:t>
            </w:r>
            <w:r>
              <w:t>ρ</w:t>
            </w:r>
            <w:r>
              <w:t>θρο 270 του ΚΚΑ.</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w:t>
            </w:r>
            <w:r>
              <w:tab/>
            </w:r>
            <w:r>
              <w:rPr>
                <w:rStyle w:val="InstructionsTabelleberschrift"/>
                <w:rFonts w:ascii="Times New Roman" w:hAnsi="Times New Roman"/>
                <w:sz w:val="24"/>
              </w:rPr>
              <w:t>Τυποποιημένη προσέγγιση (SEC-SA)</w:t>
            </w:r>
          </w:p>
          <w:p w:rsidR="007A1E2E" w:rsidRPr="00241190" w:rsidRDefault="007A1E2E" w:rsidP="002A6913">
            <w:pPr>
              <w:pStyle w:val="InstructionsText"/>
              <w:rPr>
                <w:rStyle w:val="InstructionsTabelleberschrift"/>
                <w:rFonts w:ascii="Times New Roman" w:hAnsi="Times New Roman"/>
                <w:sz w:val="24"/>
              </w:rPr>
            </w:pPr>
            <w:r>
              <w:t>Άρθρο 254 παράγραφος 1 στοιχείο β) και παράγραφος 6, άρθρα 261, 262, 269 και 337 του ΚΚΑ</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1.8.6.2.1</w:t>
            </w:r>
            <w:r>
              <w:tab/>
            </w:r>
            <w:r>
              <w:rPr>
                <w:rStyle w:val="InstructionsTabelleberschrift"/>
                <w:rFonts w:ascii="Times New Roman" w:hAnsi="Times New Roman"/>
                <w:sz w:val="24"/>
              </w:rPr>
              <w:t>Τιτλοποιήσεις που δεν πληρούν τις προϋποθέσεις για διαφοροποιημένη κεφαλαιακή αντιμετώπιση</w:t>
            </w:r>
          </w:p>
          <w:p w:rsidR="007A1E2E" w:rsidRPr="00241190" w:rsidRDefault="007A1E2E" w:rsidP="002A6913">
            <w:pPr>
              <w:pStyle w:val="InstructionsText"/>
              <w:rPr>
                <w:rStyle w:val="InstructionsTabelleberschrift"/>
                <w:rFonts w:ascii="Times New Roman" w:hAnsi="Times New Roman"/>
                <w:sz w:val="24"/>
              </w:rPr>
            </w:pPr>
            <w:r>
              <w:t>Άρθρο 254 παράγραφος 1 στοιχείο β) και παράγραφος 6, άρθρα 261, 269 και 337 του ΚΚΑ</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1.8.6.2.2</w:t>
            </w:r>
            <w:r>
              <w:tab/>
            </w:r>
            <w:r>
              <w:rPr>
                <w:rStyle w:val="InstructionsTabelleberschrift"/>
                <w:rFonts w:ascii="Times New Roman" w:hAnsi="Times New Roman"/>
                <w:sz w:val="24"/>
              </w:rPr>
              <w:t>Τιτλοποιήσεις STS που πληρούν τις προϋποθέσεις για διαφοροποιημένη κεφαλαιακή αντιμετώπιση</w:t>
            </w:r>
          </w:p>
          <w:p w:rsidR="007A1E2E" w:rsidRPr="00220265" w:rsidRDefault="007A1E2E" w:rsidP="00FD239F">
            <w:pPr>
              <w:pStyle w:val="InstructionsText"/>
            </w:pPr>
            <w:r>
              <w:t>Άρθρο 254 παράγραφος 1 στοιχείο β), άρθρα 261, 262 και 337 του ΚΚΑ</w:t>
            </w:r>
          </w:p>
          <w:p w:rsidR="007A1E2E" w:rsidRPr="00241190" w:rsidRDefault="007A1E2E" w:rsidP="00FD239F">
            <w:pPr>
              <w:pStyle w:val="InstructionsText"/>
              <w:rPr>
                <w:rStyle w:val="InstructionsTabelleberschrift"/>
                <w:rFonts w:ascii="Times New Roman" w:hAnsi="Times New Roman"/>
                <w:sz w:val="24"/>
              </w:rPr>
            </w:pPr>
            <w:r>
              <w:t>Στη γραμμή αυτή αναφέρονται τόσο τιτλοποιήσεις STS που πληρούν τις προϋποθέσεις για διαφοροποιημένη κεφαλαιακή αντιμετώπιση, σύμφ</w:t>
            </w:r>
            <w:r>
              <w:t>ω</w:t>
            </w:r>
            <w:r>
              <w:t>να με το άρθρο 243 του ΚΚΑ, όσο και θέσεις με ανώτερη εξοφλητική προτεραιότητα σε τιτλοποιήσεις ΜΜΕ που πληρούν τις προϋποθέσεις για τη διαφοροποιημένη κεφαλαιακή αντιμετώπιση, σύμφωνα με το ά</w:t>
            </w:r>
            <w:r>
              <w:t>ρ</w:t>
            </w:r>
            <w:r>
              <w:t>θρο 270 του ΚΚΑ.</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w:t>
            </w:r>
            <w:r>
              <w:tab/>
            </w:r>
            <w:r>
              <w:rPr>
                <w:rStyle w:val="InstructionsTabelleberschrift"/>
                <w:rFonts w:ascii="Times New Roman" w:hAnsi="Times New Roman"/>
                <w:sz w:val="24"/>
              </w:rPr>
              <w:t xml:space="preserve"> Προσέγγιση των εξωτερικών διαβαθμίσεων (SEC-ERBA)</w:t>
            </w:r>
          </w:p>
          <w:p w:rsidR="007A1E2E" w:rsidRPr="00241190" w:rsidRDefault="007A1E2E" w:rsidP="002A6913">
            <w:pPr>
              <w:pStyle w:val="InstructionsText"/>
              <w:rPr>
                <w:rStyle w:val="InstructionsTabelleberschrift"/>
                <w:rFonts w:ascii="Times New Roman" w:hAnsi="Times New Roman"/>
                <w:sz w:val="24"/>
              </w:rPr>
            </w:pPr>
            <w:r>
              <w:t>Άρθρο 254 παράγραφος 1 στοιχείο γ) και παράγραφοι 2, 3, 4, άρθρα 263, 264 και 337 του ΚΚΑ</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1.8.6.3.1</w:t>
            </w:r>
            <w:r>
              <w:tab/>
            </w:r>
            <w:r>
              <w:rPr>
                <w:rStyle w:val="InstructionsTabelleberschrift"/>
                <w:rFonts w:ascii="Times New Roman" w:hAnsi="Times New Roman"/>
                <w:sz w:val="24"/>
              </w:rPr>
              <w:t>Τιτλοποιήσεις που δεν πληρούν τις προϋποθέσεις για διαφοροποιημένη κεφαλαιακή αντιμετώπιση</w:t>
            </w:r>
          </w:p>
          <w:p w:rsidR="007A1E2E" w:rsidRPr="00241190" w:rsidRDefault="007A1E2E" w:rsidP="002A6913">
            <w:pPr>
              <w:pStyle w:val="InstructionsText"/>
              <w:rPr>
                <w:rStyle w:val="InstructionsTabelleberschrift"/>
                <w:rFonts w:ascii="Times New Roman" w:hAnsi="Times New Roman"/>
                <w:sz w:val="24"/>
              </w:rPr>
            </w:pPr>
            <w:r>
              <w:t>Άρθρο 254 παράγραφος 1 στοιχείο γ) και παράγραφοι 2, 3, 4, άρθρα 263 και 337 του ΚΚΑ</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1.8.6.3.2</w:t>
            </w:r>
            <w:r>
              <w:tab/>
            </w:r>
            <w:r>
              <w:rPr>
                <w:rStyle w:val="InstructionsTabelleberschrift"/>
                <w:rFonts w:ascii="Times New Roman" w:hAnsi="Times New Roman"/>
                <w:sz w:val="24"/>
              </w:rPr>
              <w:t>Τιτλοποιήσεις STS που πληρούν τις προϋποθέσεις για διαφοροποιημένη κεφαλαιακή αντιμετώπιση</w:t>
            </w:r>
          </w:p>
          <w:p w:rsidR="007A1E2E" w:rsidRPr="00220265" w:rsidRDefault="007A1E2E" w:rsidP="00FD239F">
            <w:pPr>
              <w:pStyle w:val="InstructionsText"/>
            </w:pPr>
            <w:r>
              <w:t>Άρθρο 254 παράγραφος 1 στοιχείο γ) και παράγραφοι 2, 3, 4, άρθρα 263, 264 και 337 του ΚΚΑ</w:t>
            </w:r>
          </w:p>
          <w:p w:rsidR="007A1E2E" w:rsidRPr="00241190" w:rsidRDefault="007A1E2E" w:rsidP="002A6913">
            <w:pPr>
              <w:pStyle w:val="InstructionsText"/>
              <w:rPr>
                <w:rStyle w:val="InstructionsTabelleberschrift"/>
                <w:rFonts w:ascii="Times New Roman" w:hAnsi="Times New Roman"/>
                <w:sz w:val="24"/>
              </w:rPr>
            </w:pPr>
            <w:r>
              <w:t>Στη γραμμή αυτή αναφέρονται τόσο τιτλοποιήσεις STS που πληρούν τις προϋποθέσεις για διαφοροποιημένη κεφαλαιακή αντιμετώπιση, σύμφ</w:t>
            </w:r>
            <w:r>
              <w:t>ω</w:t>
            </w:r>
            <w:r>
              <w:t>να με το άρθρο 243 του ΚΚΑ, όσο και θέσεις με ανώτερη εξοφλητική προτεραιότητα σε τιτλοποιήσεις ΜΜΕ που πληρούν τις προϋποθέσεις για τη διαφοροποιημένη κεφαλαιακή αντιμετώπιση, σύμφωνα με το ά</w:t>
            </w:r>
            <w:r>
              <w:t>ρ</w:t>
            </w:r>
            <w:r>
              <w:t>θρο 270 του ΚΚΑ.</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w:t>
            </w:r>
            <w:r>
              <w:tab/>
            </w:r>
            <w:r>
              <w:rPr>
                <w:rStyle w:val="InstructionsTabelleberschrift"/>
                <w:rFonts w:ascii="Times New Roman" w:hAnsi="Times New Roman"/>
                <w:sz w:val="24"/>
              </w:rPr>
              <w:t>Προσέγγιση εσωτερικής αξιολόγησης (IAA)</w:t>
            </w:r>
          </w:p>
          <w:p w:rsidR="007A1E2E" w:rsidRPr="00241190" w:rsidRDefault="007A1E2E" w:rsidP="002A6913">
            <w:pPr>
              <w:pStyle w:val="InstructionsText"/>
              <w:rPr>
                <w:rStyle w:val="InstructionsTabelleberschrift"/>
                <w:rFonts w:ascii="Times New Roman" w:hAnsi="Times New Roman"/>
                <w:sz w:val="24"/>
              </w:rPr>
            </w:pPr>
            <w:r>
              <w:t>Άρθρο 254 παράγραφος 5, άρθρα 265, 266 και 337 του ΚΚΑ</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1.8.6.4.1</w:t>
            </w:r>
            <w:r>
              <w:tab/>
            </w:r>
            <w:r>
              <w:rPr>
                <w:rStyle w:val="InstructionsTabelleberschrift"/>
                <w:rFonts w:ascii="Times New Roman" w:hAnsi="Times New Roman"/>
                <w:sz w:val="24"/>
              </w:rPr>
              <w:t>Τιτλοποιήσεις που δεν πληρούν τις προϋποθέσεις για διαφοροποιημένη κεφαλαιακή αντιμετώπιση</w:t>
            </w:r>
          </w:p>
          <w:p w:rsidR="007A1E2E" w:rsidRPr="00241190" w:rsidRDefault="007A1E2E" w:rsidP="002A6913">
            <w:pPr>
              <w:pStyle w:val="InstructionsText"/>
              <w:rPr>
                <w:rStyle w:val="InstructionsTabelleberschrift"/>
                <w:rFonts w:ascii="Times New Roman" w:hAnsi="Times New Roman"/>
                <w:sz w:val="24"/>
              </w:rPr>
            </w:pPr>
            <w:r>
              <w:t>Άρθρο 254 παράγραφος 5, άρθρα 265, 266 και 337 του ΚΚΑ</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1.8.6.4.2</w:t>
            </w:r>
            <w:r>
              <w:tab/>
            </w:r>
            <w:r>
              <w:rPr>
                <w:rStyle w:val="InstructionsTabelleberschrift"/>
                <w:rFonts w:ascii="Times New Roman" w:hAnsi="Times New Roman"/>
                <w:sz w:val="24"/>
              </w:rPr>
              <w:t>Τιτλοποιήσεις STS που πληρούν τις προϋποθέσεις για διαφοροποιημένη κεφαλαιακή αντιμετώπιση</w:t>
            </w:r>
          </w:p>
          <w:p w:rsidR="007A1E2E" w:rsidRPr="00220265" w:rsidRDefault="007A1E2E" w:rsidP="00FD239F">
            <w:pPr>
              <w:pStyle w:val="InstructionsText"/>
            </w:pPr>
            <w:r>
              <w:t>Άρθρο 254 παράγραφος 5, άρθρα 265, 266 και 337 του ΚΚΑ</w:t>
            </w:r>
          </w:p>
          <w:p w:rsidR="007A1E2E" w:rsidRPr="00241190" w:rsidRDefault="007A1E2E" w:rsidP="002A6913">
            <w:pPr>
              <w:pStyle w:val="InstructionsText"/>
              <w:rPr>
                <w:rStyle w:val="InstructionsTabelleberschrift"/>
                <w:rFonts w:ascii="Times New Roman" w:hAnsi="Times New Roman"/>
                <w:sz w:val="24"/>
              </w:rPr>
            </w:pPr>
            <w:r>
              <w:t>Στη γραμμή αυτή αναφέρονται τόσο τιτλοποιήσεις STS που πληρούν τις προϋποθέσεις για διαφοροποιημένη κεφαλαιακή αντιμετώπιση, σύμφ</w:t>
            </w:r>
            <w:r>
              <w:t>ω</w:t>
            </w:r>
            <w:r>
              <w:t>να με το άρθρο 243 του ΚΚΑ, όσο και θέσεις με ανώτερη εξοφλητική προτεραιότητα σε τιτλοποιήσεις ΜΜΕ που πληρούν τις προϋποθέσεις για τη διαφοροποιημένη κεφαλαιακή αντιμετώπιση, σύμφωνα με το ά</w:t>
            </w:r>
            <w:r>
              <w:t>ρ</w:t>
            </w:r>
            <w:r>
              <w:t>θρο 270 του ΚΚΑ.</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1.8.6.5</w:t>
            </w:r>
            <w:r>
              <w:tab/>
            </w:r>
            <w:r>
              <w:rPr>
                <w:rStyle w:val="InstructionsTabelleberschrift"/>
                <w:rFonts w:ascii="Times New Roman" w:hAnsi="Times New Roman"/>
                <w:sz w:val="24"/>
              </w:rPr>
              <w:t xml:space="preserve"> Άλλα (RW = 1 250%)</w:t>
            </w:r>
          </w:p>
          <w:p w:rsidR="007A1E2E" w:rsidRPr="00241190" w:rsidRDefault="007A1E2E" w:rsidP="002A6913">
            <w:pPr>
              <w:pStyle w:val="InstructionsText"/>
              <w:rPr>
                <w:rStyle w:val="InstructionsTabelleberschrift"/>
                <w:rFonts w:ascii="Times New Roman" w:hAnsi="Times New Roman"/>
                <w:sz w:val="24"/>
              </w:rPr>
            </w:pPr>
            <w:r>
              <w:t>Άρθρο 254 παράγραφος 7, άρθρο 337 του ΚΚΑ</w:t>
            </w:r>
          </w:p>
        </w:tc>
      </w:tr>
    </w:tbl>
    <w:p w:rsidR="002648B0" w:rsidRPr="0023700C" w:rsidRDefault="00936DD1" w:rsidP="0023700C">
      <w:pPr>
        <w:pStyle w:val="Instructionsberschrift2"/>
        <w:numPr>
          <w:ilvl w:val="0"/>
          <w:numId w:val="0"/>
        </w:numPr>
        <w:ind w:left="357" w:hanging="357"/>
        <w:rPr>
          <w:rFonts w:ascii="Times New Roman" w:hAnsi="Times New Roman" w:cs="Times New Roman"/>
          <w:sz w:val="24"/>
          <w:u w:val="none"/>
        </w:rPr>
      </w:pPr>
      <w:bookmarkStart w:id="53" w:name="_Toc516210612"/>
      <w:r>
        <w:rPr>
          <w:rFonts w:ascii="Times New Roman" w:hAnsi="Times New Roman"/>
          <w:sz w:val="24"/>
          <w:u w:val="none"/>
        </w:rPr>
        <w:t>1.4</w:t>
      </w:r>
      <w:r>
        <w:tab/>
      </w:r>
      <w:r>
        <w:rPr>
          <w:rFonts w:ascii="Times New Roman" w:hAnsi="Times New Roman"/>
          <w:sz w:val="24"/>
          <w:u w:val="none"/>
        </w:rPr>
        <w:t>C 03.00 – ΔΕΙΚΤΕΣ ΚΕΦΑΛΑΙΟΥ ΚΑΙ ΕΠΙΠΕΔΑ ΚΕΦΑΛΑΙΟΥ (CA3)</w:t>
      </w:r>
      <w:bookmarkEnd w:id="53"/>
      <w:bookmarkEnd w:id="50"/>
      <w:r>
        <w:rPr>
          <w:rFonts w:ascii="Times New Roman" w:hAnsi="Times New Roman"/>
          <w:sz w:val="24"/>
          <w:u w:val="none"/>
        </w:rPr>
        <w:t xml:space="preserve"> </w:t>
      </w:r>
      <w:bookmarkEnd w:id="51"/>
      <w:bookmarkEnd w:id="52"/>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4" w:name="_Toc308175827"/>
      <w:bookmarkStart w:id="55" w:name="_Toc310414972"/>
      <w:bookmarkStart w:id="56" w:name="_Toc360188330"/>
      <w:bookmarkStart w:id="57" w:name="_Toc516210613"/>
      <w:bookmarkStart w:id="58" w:name="_Toc473560878"/>
      <w:r>
        <w:rPr>
          <w:rFonts w:ascii="Times New Roman" w:hAnsi="Times New Roman"/>
          <w:sz w:val="24"/>
          <w:u w:val="none"/>
        </w:rPr>
        <w:t>1.4.1.</w:t>
      </w:r>
      <w:r>
        <w:tab/>
      </w:r>
      <w:r>
        <w:rPr>
          <w:rFonts w:ascii="Times New Roman" w:hAnsi="Times New Roman"/>
          <w:sz w:val="24"/>
        </w:rPr>
        <w:t xml:space="preserve">Οδηγίες για συγκεκριμένες </w:t>
      </w:r>
      <w:bookmarkEnd w:id="54"/>
      <w:bookmarkEnd w:id="55"/>
      <w:r>
        <w:rPr>
          <w:rFonts w:ascii="Times New Roman" w:hAnsi="Times New Roman"/>
          <w:sz w:val="24"/>
        </w:rPr>
        <w:t>θέσεις</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FD239F">
            <w:pPr>
              <w:pStyle w:val="InstructionsText"/>
            </w:pPr>
            <w:r>
              <w:t>Γραμμές</w:t>
            </w:r>
          </w:p>
        </w:tc>
      </w:tr>
      <w:tr w:rsidR="002648B0" w:rsidRPr="00392FFD" w:rsidTr="00672D2A">
        <w:tc>
          <w:tcPr>
            <w:tcW w:w="703" w:type="dxa"/>
          </w:tcPr>
          <w:p w:rsidR="002648B0" w:rsidRPr="00392FFD" w:rsidRDefault="002648B0" w:rsidP="00FD239F">
            <w:pPr>
              <w:pStyle w:val="InstructionsText"/>
            </w:pPr>
            <w:r>
              <w:t>010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Δείκτης κεφαλαίου CET1</w:t>
            </w:r>
          </w:p>
          <w:p w:rsidR="005643EA" w:rsidRPr="00392FFD" w:rsidRDefault="002648B0" w:rsidP="00FD239F">
            <w:pPr>
              <w:pStyle w:val="InstructionsText"/>
            </w:pPr>
            <w:r>
              <w:t>Άρθρο 92 παράγραφος 2 στοιχείο α) του ΚΚΑ</w:t>
            </w:r>
          </w:p>
          <w:p w:rsidR="005643EA" w:rsidRPr="00392FFD" w:rsidRDefault="002648B0" w:rsidP="00FD239F">
            <w:pPr>
              <w:pStyle w:val="InstructionsText"/>
            </w:pPr>
            <w:r>
              <w:t>Ο δείκτης κεφαλαίου CET1 είναι το κεφάλαιο CET1 του ιδρύματος εκφρασμένο ως ποσοστό του συνολικού ποσού ανοίγματος σε κίνδυνο.</w:t>
            </w:r>
          </w:p>
        </w:tc>
      </w:tr>
      <w:tr w:rsidR="002648B0" w:rsidRPr="00392FFD" w:rsidTr="00672D2A">
        <w:tc>
          <w:tcPr>
            <w:tcW w:w="703" w:type="dxa"/>
          </w:tcPr>
          <w:p w:rsidR="002648B0" w:rsidRPr="00392FFD" w:rsidRDefault="002648B0" w:rsidP="00FD239F">
            <w:pPr>
              <w:pStyle w:val="InstructionsText"/>
            </w:pPr>
            <w:r>
              <w:t>020</w:t>
            </w:r>
          </w:p>
        </w:tc>
        <w:tc>
          <w:tcPr>
            <w:tcW w:w="808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Πλεόνασμα (+)/Έλλειμμα (-) κεφαλαίου CET1</w:t>
            </w:r>
          </w:p>
          <w:p w:rsidR="005643EA" w:rsidRPr="00392FFD" w:rsidRDefault="002648B0" w:rsidP="00FD239F">
            <w:pPr>
              <w:pStyle w:val="InstructionsText"/>
            </w:pPr>
            <w:r>
              <w:t>Το στοιχείο αυτό δείχνει, σε απόλυτους αριθμούς, το ποσό του πλεονάσματος ή του ελλείμματος κεφαλαίου CET1 που αφορά την απαίτηση του άρθρου 92 π</w:t>
            </w:r>
            <w:r>
              <w:t>α</w:t>
            </w:r>
            <w:r>
              <w:t>ράγραφος 1 στοιχείο α) του ΚΚΑ (4,5 %), δηλαδή χωρίς να λαμβάνονται υπόψη στον δείκτη τα κεφαλαιακά αποθέματα ασφαλείας και οι μεταβατικές διατάξεις.</w:t>
            </w:r>
          </w:p>
        </w:tc>
      </w:tr>
      <w:tr w:rsidR="002648B0" w:rsidRPr="00392FFD" w:rsidTr="00672D2A">
        <w:tc>
          <w:tcPr>
            <w:tcW w:w="703" w:type="dxa"/>
          </w:tcPr>
          <w:p w:rsidR="002648B0" w:rsidRPr="00392FFD" w:rsidRDefault="002648B0" w:rsidP="00FD239F">
            <w:pPr>
              <w:pStyle w:val="InstructionsText"/>
            </w:pPr>
            <w:r>
              <w:t>030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Δείκτης κεφαλαίου T1</w:t>
            </w:r>
          </w:p>
          <w:p w:rsidR="005643EA" w:rsidRPr="00392FFD" w:rsidRDefault="002648B0" w:rsidP="00FD239F">
            <w:pPr>
              <w:pStyle w:val="InstructionsText"/>
            </w:pPr>
            <w:r>
              <w:t>Άρθρο 92 παράγραφος 2 στοιχείο β) του ΚΚΑ</w:t>
            </w:r>
          </w:p>
          <w:p w:rsidR="005643EA" w:rsidRPr="00392FFD" w:rsidRDefault="002648B0" w:rsidP="00FD239F">
            <w:pPr>
              <w:pStyle w:val="InstructionsText"/>
            </w:pPr>
            <w:r>
              <w:t>Ο δείκτης κεφαλαίου T1 είναι το κεφάλαιο T1 του ιδρύματος εκφρασμένο ως ποσοστό του συνολικού ποσού ανοίγματος σε κίνδυνο.</w:t>
            </w:r>
          </w:p>
        </w:tc>
      </w:tr>
      <w:tr w:rsidR="002648B0" w:rsidRPr="00392FFD" w:rsidTr="00672D2A">
        <w:tc>
          <w:tcPr>
            <w:tcW w:w="703" w:type="dxa"/>
          </w:tcPr>
          <w:p w:rsidR="002648B0" w:rsidRPr="00392FFD" w:rsidRDefault="002648B0" w:rsidP="00FD239F">
            <w:pPr>
              <w:pStyle w:val="InstructionsText"/>
            </w:pPr>
            <w:r>
              <w:t>040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Πλεόνασμα (+)/Έλλειμμα (-) κεφαλαίου T1</w:t>
            </w:r>
          </w:p>
          <w:p w:rsidR="005643EA" w:rsidRPr="00392FFD" w:rsidRDefault="002648B0" w:rsidP="00FD239F">
            <w:pPr>
              <w:pStyle w:val="InstructionsText"/>
            </w:pPr>
            <w:r>
              <w:t>Το στοιχείο αυτό δείχνει, σε απόλυτους αριθμούς, το ποσό του πλεονάσματος ή του ελλείμματος του κεφαλαίου T1 που αφορά την απαίτηση του άρθρου 92 π</w:t>
            </w:r>
            <w:r>
              <w:t>α</w:t>
            </w:r>
            <w:r>
              <w:t>ράγραφος 1 στοιχείο β) του ΚΚΑ (6 %), δηλαδή, χωρίς να λαμβάνονται υπόψη στον δείκτη τα κεφαλαιακά αποθέματα και οι μεταβατικές διατάξεις.</w:t>
            </w:r>
          </w:p>
        </w:tc>
      </w:tr>
      <w:tr w:rsidR="002648B0" w:rsidRPr="00392FFD" w:rsidTr="00672D2A">
        <w:tc>
          <w:tcPr>
            <w:tcW w:w="703" w:type="dxa"/>
          </w:tcPr>
          <w:p w:rsidR="002648B0" w:rsidRPr="00392FFD" w:rsidRDefault="002648B0" w:rsidP="00FD239F">
            <w:pPr>
              <w:pStyle w:val="InstructionsText"/>
            </w:pPr>
            <w:r>
              <w:t>050</w:t>
            </w:r>
          </w:p>
        </w:tc>
        <w:tc>
          <w:tcPr>
            <w:tcW w:w="8080" w:type="dxa"/>
          </w:tcPr>
          <w:p w:rsidR="005643EA" w:rsidRPr="00392FFD" w:rsidRDefault="002648B0" w:rsidP="00FD239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Συνολικός δείκτης κεφαλαίου</w:t>
            </w:r>
          </w:p>
          <w:p w:rsidR="005643EA" w:rsidRPr="00392FFD" w:rsidRDefault="002648B0" w:rsidP="00FD239F">
            <w:pPr>
              <w:pStyle w:val="InstructionsText"/>
            </w:pPr>
            <w:r>
              <w:t>Άρθρο 92 παράγραφος 2 στοιχείο γ) του ΚΚΑ</w:t>
            </w:r>
          </w:p>
          <w:p w:rsidR="005643EA" w:rsidRPr="00392FFD" w:rsidRDefault="002648B0" w:rsidP="00FD239F">
            <w:pPr>
              <w:pStyle w:val="InstructionsText"/>
            </w:pPr>
            <w:r>
              <w:t>Ο συνολικός δείκτης κεφαλαίου είναι τα ίδια κεφάλαια του ιδρύματος εκφρ</w:t>
            </w:r>
            <w:r>
              <w:t>α</w:t>
            </w:r>
            <w:r>
              <w:t>σμένα ως ποσοστό του συνολικού ποσού ανοίγματος σε κίνδυνο.</w:t>
            </w:r>
          </w:p>
        </w:tc>
      </w:tr>
      <w:tr w:rsidR="002648B0" w:rsidRPr="00392FFD" w:rsidTr="00672D2A">
        <w:tc>
          <w:tcPr>
            <w:tcW w:w="703" w:type="dxa"/>
          </w:tcPr>
          <w:p w:rsidR="002648B0" w:rsidRPr="00392FFD" w:rsidRDefault="002648B0" w:rsidP="00FD239F">
            <w:pPr>
              <w:pStyle w:val="InstructionsText"/>
            </w:pPr>
            <w:r>
              <w:t>060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Πλεόνασμα (+) / Έλλειμμα (-) του συνολικού κεφαλαίου</w:t>
            </w:r>
          </w:p>
          <w:p w:rsidR="005643EA" w:rsidRPr="00392FFD" w:rsidRDefault="002648B0" w:rsidP="00FD239F">
            <w:pPr>
              <w:pStyle w:val="InstructionsText"/>
            </w:pPr>
            <w:r>
              <w:t xml:space="preserve">Το στοιχείο αυτό δείχνει, σε απόλυτους αριθμούς, το ποσό του πλεονάσματος ή </w:t>
            </w:r>
            <w:r>
              <w:lastRenderedPageBreak/>
              <w:t>του ελλείμματος των ιδίων κεφαλαίων που αφορά την απαίτηση του άρθρου 92 παράγραφος 1 στοιχείο γ) του ΚΚΑ (8 %), δηλαδή, χωρίς να λαμβάνονται υπόψη στον δείκτη τα κεφαλαιακά αποθέματα και οι μεταβατικές διατάξεις.</w:t>
            </w:r>
          </w:p>
        </w:tc>
      </w:tr>
      <w:tr w:rsidR="009C083D" w:rsidRPr="00392FFD" w:rsidTr="00672D2A">
        <w:tc>
          <w:tcPr>
            <w:tcW w:w="703" w:type="dxa"/>
          </w:tcPr>
          <w:p w:rsidR="009C083D" w:rsidRDefault="009C083D" w:rsidP="00FD239F">
            <w:pPr>
              <w:pStyle w:val="InstructionsText"/>
            </w:pPr>
            <w:r>
              <w:lastRenderedPageBreak/>
              <w:t>130</w:t>
            </w:r>
          </w:p>
          <w:p w:rsidR="009C083D" w:rsidRPr="00392FFD" w:rsidRDefault="009C083D" w:rsidP="00FD239F">
            <w:pPr>
              <w:pStyle w:val="InstructionsText"/>
            </w:pPr>
          </w:p>
        </w:tc>
        <w:tc>
          <w:tcPr>
            <w:tcW w:w="8080" w:type="dxa"/>
          </w:tcPr>
          <w:p w:rsidR="009C083D" w:rsidRPr="009E5DCC" w:rsidRDefault="009C083D"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Δείκτης συνολικής κεφαλαιακής απαίτησης βάσει της SREP (ΔΕΕΑ)  (TSCR)</w:t>
            </w:r>
          </w:p>
          <w:p w:rsidR="009C083D" w:rsidRDefault="009C083D" w:rsidP="00FD239F">
            <w:pPr>
              <w:pStyle w:val="InstructionsText"/>
            </w:pPr>
            <w:r>
              <w:t>Το άθροισμα των σημείων i) και ii) ως εξής:</w:t>
            </w:r>
          </w:p>
          <w:p w:rsidR="009C083D" w:rsidRDefault="009C083D" w:rsidP="00FD239F">
            <w:pPr>
              <w:pStyle w:val="InstructionsText"/>
              <w:numPr>
                <w:ilvl w:val="0"/>
                <w:numId w:val="20"/>
              </w:numPr>
            </w:pPr>
            <w:r>
              <w:t>του συνολικού δείκτη κεφαλαίου (8 %), όπως ορίζεται στο άρθρο 92 π</w:t>
            </w:r>
            <w:r>
              <w:t>α</w:t>
            </w:r>
            <w:r>
              <w:t xml:space="preserve">ράγραφος 1 στοιχείο γ) του ΚΚΑ· </w:t>
            </w:r>
          </w:p>
          <w:p w:rsidR="009C083D" w:rsidRDefault="009C083D" w:rsidP="00FD239F">
            <w:pPr>
              <w:pStyle w:val="InstructionsText"/>
              <w:numPr>
                <w:ilvl w:val="0"/>
                <w:numId w:val="20"/>
              </w:numPr>
            </w:pPr>
            <w:r>
              <w:t>του δείκτη πρόσθετων απαιτήσεων ιδίων κεφαλαίων (απαιτήσεις 2ου π</w:t>
            </w:r>
            <w:r>
              <w:t>υ</w:t>
            </w:r>
            <w:r>
              <w:t>λώνα – P2R), που προσδιορίζεται σύμφωνα με τα κριτήρια που καθορ</w:t>
            </w:r>
            <w:r>
              <w:t>ί</w:t>
            </w:r>
            <w:r>
              <w:t xml:space="preserve">ζονται στις </w:t>
            </w:r>
            <w:r>
              <w:rPr>
                <w:i/>
              </w:rPr>
              <w:t>Κατευθυντήριες γραμμές της ΕΑΤ σχετικά με τις κοινές διαδ</w:t>
            </w:r>
            <w:r>
              <w:rPr>
                <w:i/>
              </w:rPr>
              <w:t>ι</w:t>
            </w:r>
            <w:r>
              <w:rPr>
                <w:i/>
              </w:rPr>
              <w:t>κασίες και μεθοδολογίες για τη διαδικασία εποπτικής εξέτασης και αξιολ</w:t>
            </w:r>
            <w:r>
              <w:rPr>
                <w:i/>
              </w:rPr>
              <w:t>ό</w:t>
            </w:r>
            <w:r>
              <w:rPr>
                <w:i/>
              </w:rPr>
              <w:t>γησης και τις εποπτικές προσομοιώσεις ακραίων καταστάσεων</w:t>
            </w:r>
            <w:r>
              <w:t xml:space="preserve"> (EBA SREP GL).</w:t>
            </w:r>
          </w:p>
          <w:p w:rsidR="009C083D" w:rsidRDefault="009C083D" w:rsidP="00FD239F">
            <w:pPr>
              <w:pStyle w:val="InstructionsText"/>
            </w:pPr>
            <w:r>
              <w:t>Το στοιχείο αυτό αντικατοπτρίζει τον δείκτη συνολικής κεφαλαιακής απαίτησης SREP (TSCR), όπως κοινοποιείται στο ίδρυμα από την αρμόδια αρχή. Ο TSCR ορίζεται στο τμήμα 1.2 των κατευθυντήριων γραμμών της ΕΑΤ για τη ΔΕΕΑ (EBA SREP GL).</w:t>
            </w:r>
          </w:p>
          <w:p w:rsidR="00C9673B" w:rsidRPr="00201704" w:rsidRDefault="00236E33" w:rsidP="00FD239F">
            <w:pPr>
              <w:pStyle w:val="InstructionsText"/>
              <w:rPr>
                <w:rStyle w:val="InstructionsTabelleberschrift"/>
                <w:rFonts w:ascii="Times New Roman" w:hAnsi="Times New Roman"/>
                <w:b w:val="0"/>
                <w:bCs w:val="0"/>
                <w:sz w:val="24"/>
                <w:u w:val="none"/>
              </w:rPr>
            </w:pPr>
            <w:r>
              <w:t>Σε περίπτωση που δεν έχουν κοινοποιηθεί πρόσθετες απαιτήσεις ιδίων κεφαλα</w:t>
            </w:r>
            <w:r>
              <w:t>ί</w:t>
            </w:r>
            <w:r>
              <w:t xml:space="preserve">ων από την αρμόδια αρχή, τότε αναφέρεται μόνο το σημείο i). </w:t>
            </w:r>
          </w:p>
        </w:tc>
      </w:tr>
      <w:tr w:rsidR="009C083D" w:rsidRPr="00392FFD" w:rsidTr="00672D2A">
        <w:tc>
          <w:tcPr>
            <w:tcW w:w="703" w:type="dxa"/>
          </w:tcPr>
          <w:p w:rsidR="009C083D" w:rsidRDefault="009C083D" w:rsidP="00FD239F">
            <w:pPr>
              <w:pStyle w:val="InstructionsText"/>
            </w:pPr>
            <w:r>
              <w:t>140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πρέπει να αποτελείται από κεφάλαιο CET1 </w:t>
            </w:r>
          </w:p>
          <w:p w:rsidR="009C083D" w:rsidRDefault="009C083D" w:rsidP="00FD239F">
            <w:pPr>
              <w:pStyle w:val="InstructionsText"/>
            </w:pPr>
            <w:r>
              <w:t>Το άθροισμα των σημείων i) και ii) ως εξής:</w:t>
            </w:r>
          </w:p>
          <w:p w:rsidR="009C083D" w:rsidRDefault="009C083D" w:rsidP="00FD239F">
            <w:pPr>
              <w:pStyle w:val="InstructionsText"/>
              <w:numPr>
                <w:ilvl w:val="0"/>
                <w:numId w:val="21"/>
              </w:numPr>
            </w:pPr>
            <w:r>
              <w:t>του δείκτη κεφαλαίου CET1 (4,5 %), όπως ορίζεται στο άρθρο 92 παρ</w:t>
            </w:r>
            <w:r>
              <w:t>ά</w:t>
            </w:r>
            <w:r>
              <w:t>γραφος 1 στοιχείο α) του ΚΚΑ·</w:t>
            </w:r>
          </w:p>
          <w:p w:rsidR="0002157C" w:rsidRPr="009068C9" w:rsidRDefault="009C083D" w:rsidP="00FD239F">
            <w:pPr>
              <w:pStyle w:val="InstructionsText"/>
              <w:numPr>
                <w:ilvl w:val="0"/>
                <w:numId w:val="21"/>
              </w:numPr>
              <w:rPr>
                <w:b/>
                <w:bCs/>
                <w:u w:val="single"/>
              </w:rPr>
            </w:pPr>
            <w:r>
              <w:t>του μέρους του δείκτη P2R, που αναφέρεται στο σημείο ii) της γραμμής 130, που απαιτείται από την αρμόδια αρχή να κατέχεται υπό μορφή κ</w:t>
            </w:r>
            <w:r>
              <w:t>ε</w:t>
            </w:r>
            <w:r>
              <w:t>φαλαίου CET1.</w:t>
            </w:r>
          </w:p>
          <w:p w:rsidR="009C083D" w:rsidRPr="00392FFD" w:rsidRDefault="005B54BB" w:rsidP="009068C9">
            <w:pPr>
              <w:pStyle w:val="InstructionsText"/>
              <w:rPr>
                <w:rStyle w:val="InstructionsTabelleberschrift"/>
                <w:rFonts w:ascii="Times New Roman" w:hAnsi="Times New Roman"/>
                <w:sz w:val="24"/>
              </w:rPr>
            </w:pPr>
            <w:r>
              <w:t xml:space="preserve">Σε περίπτωση που δεν έχουν κοινοποιηθεί από την αρμόδια αρχή πρόσθετες </w:t>
            </w:r>
            <w:r>
              <w:t>α</w:t>
            </w:r>
            <w:r>
              <w:t>παιτήσεις ιδίων κεφαλαίων, που πρέπει να κατέχονται υπό μορφή κεφαλαίου CET1, τότε αναφέρεται μόνο το σημείο i).</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Default="009C083D" w:rsidP="00FD239F">
            <w:pPr>
              <w:pStyle w:val="InstructionsText"/>
            </w:pPr>
            <w:r>
              <w:t>150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πρέπει να αποτελείται από κεφάλαιο κατηγορίας 1</w:t>
            </w:r>
          </w:p>
          <w:p w:rsidR="009C083D" w:rsidRDefault="009C083D" w:rsidP="00FD239F">
            <w:pPr>
              <w:pStyle w:val="InstructionsText"/>
            </w:pPr>
            <w:r>
              <w:t>Το άθροισμα των σημείων i) και ii) ως εξής:</w:t>
            </w:r>
          </w:p>
          <w:p w:rsidR="009C083D" w:rsidRDefault="009C083D" w:rsidP="00FD239F">
            <w:pPr>
              <w:pStyle w:val="InstructionsText"/>
              <w:numPr>
                <w:ilvl w:val="0"/>
                <w:numId w:val="22"/>
              </w:numPr>
            </w:pPr>
            <w:r>
              <w:t>του δείκτη κεφαλαίου της κατηγορίας 1 (6 %), όπως ορίζεται στο άρθρο 92 παράγραφος 1 στοιχείο β) του ΚΚΑ·</w:t>
            </w:r>
          </w:p>
          <w:p w:rsidR="009C083D" w:rsidRPr="009068C9" w:rsidRDefault="009C083D" w:rsidP="00FD239F">
            <w:pPr>
              <w:pStyle w:val="InstructionsText"/>
              <w:numPr>
                <w:ilvl w:val="0"/>
                <w:numId w:val="22"/>
              </w:numPr>
              <w:rPr>
                <w:bCs/>
                <w:u w:val="single"/>
              </w:rPr>
            </w:pPr>
            <w:r>
              <w:t>του μέρους του δείκτη P2R, που αναφέρεται στο σημείο ii) της γραμμής 130, που απαιτείται από την αρμόδια αρχή να κατέχεται υπό μορφή κ</w:t>
            </w:r>
            <w:r>
              <w:t>ε</w:t>
            </w:r>
            <w:r>
              <w:t>φαλαίου της κατηγορίας 1.</w:t>
            </w:r>
          </w:p>
          <w:p w:rsidR="00DA6CB8" w:rsidRPr="007615A8" w:rsidRDefault="005B54BB" w:rsidP="009068C9">
            <w:pPr>
              <w:pStyle w:val="InstructionsText"/>
              <w:rPr>
                <w:rStyle w:val="InstructionsTabelleberschrift"/>
                <w:rFonts w:ascii="Times New Roman" w:hAnsi="Times New Roman"/>
                <w:b w:val="0"/>
                <w:sz w:val="24"/>
              </w:rPr>
            </w:pPr>
            <w:r>
              <w:t xml:space="preserve">Σε περίπτωση που δεν έχουν κοινοποιηθεί από την αρμόδια αρχή πρόσθετες </w:t>
            </w:r>
            <w:r>
              <w:t>α</w:t>
            </w:r>
            <w:r>
              <w:t>παιτήσεις ιδίων κεφαλαίων, που πρέπει να κατέχονται υπό μορφή κεφαλαίου της κατηγορίας 1, τότε αναφέρεται μόνο το σημείο i).</w:t>
            </w:r>
          </w:p>
        </w:tc>
      </w:tr>
      <w:tr w:rsidR="009C083D" w:rsidRPr="00392FFD" w:rsidTr="00672D2A">
        <w:tc>
          <w:tcPr>
            <w:tcW w:w="703" w:type="dxa"/>
          </w:tcPr>
          <w:p w:rsidR="009C083D" w:rsidRPr="00392FFD" w:rsidRDefault="009C083D" w:rsidP="00FD239F">
            <w:pPr>
              <w:pStyle w:val="InstructionsText"/>
            </w:pPr>
            <w:r>
              <w:t>160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Δείκτης συνολικής κεφαλαιακής απαίτησης (OCR)</w:t>
            </w:r>
          </w:p>
          <w:p w:rsidR="009C083D" w:rsidRDefault="009C083D" w:rsidP="00FD239F">
            <w:pPr>
              <w:pStyle w:val="InstructionsText"/>
            </w:pPr>
            <w:r>
              <w:t>Το άθροισμα των σημείων i) και ii) ως εξής:</w:t>
            </w:r>
          </w:p>
          <w:p w:rsidR="009C083D" w:rsidRDefault="009C083D" w:rsidP="00FD239F">
            <w:pPr>
              <w:pStyle w:val="InstructionsText"/>
              <w:numPr>
                <w:ilvl w:val="0"/>
                <w:numId w:val="23"/>
              </w:numPr>
            </w:pPr>
            <w:r>
              <w:lastRenderedPageBreak/>
              <w:t>του δείκτη TSCR που αναφέρεται στη γραμμή 130·</w:t>
            </w:r>
          </w:p>
          <w:p w:rsidR="009C083D" w:rsidRDefault="009C083D" w:rsidP="00FD239F">
            <w:pPr>
              <w:pStyle w:val="InstructionsText"/>
              <w:numPr>
                <w:ilvl w:val="0"/>
                <w:numId w:val="23"/>
              </w:numPr>
            </w:pPr>
            <w:r>
              <w:t>στον βαθμό που εφαρμόζεται βάσει της νομοθεσίας, του δείκτη της συ</w:t>
            </w:r>
            <w:r>
              <w:t>ν</w:t>
            </w:r>
            <w:r>
              <w:t>δυασμένης απαίτησης αποθέματος ασφαλείας, που αναφέρεται στο ά</w:t>
            </w:r>
            <w:r>
              <w:t>ρ</w:t>
            </w:r>
            <w:r>
              <w:t>θρο 128 σημείο 6) της ΟΚΑ.</w:t>
            </w:r>
          </w:p>
          <w:p w:rsidR="005B54BB" w:rsidRDefault="009C083D" w:rsidP="00FD239F">
            <w:pPr>
              <w:pStyle w:val="InstructionsText"/>
            </w:pPr>
            <w:r>
              <w:t>Το στοιχείο αυτό αντικατοπτρίζει τον δείκτη συνολικής κεφαλαιακής απαίτησης (OCR), όπως ορίζεται στο τμήμα 1.2 των κατευθυντήριων γραμμών της ΕΑΤ για τη ΔΕΕΑ (EBA SREP GL).</w:t>
            </w:r>
          </w:p>
          <w:p w:rsidR="00645573" w:rsidRPr="00392FFD" w:rsidRDefault="007260DA" w:rsidP="00FD239F">
            <w:pPr>
              <w:pStyle w:val="InstructionsText"/>
              <w:rPr>
                <w:rStyle w:val="InstructionsTabelleberschrift"/>
                <w:rFonts w:ascii="Times New Roman" w:hAnsi="Times New Roman"/>
                <w:sz w:val="24"/>
              </w:rPr>
            </w:pPr>
            <w:r>
              <w:t>Σε περίπτωση που δεν εφαρμόζεται απαίτηση αποθέματος ασφαλείας, αναφέρ</w:t>
            </w:r>
            <w:r>
              <w:t>ε</w:t>
            </w:r>
            <w:r>
              <w:t>ται μόνο το σημείο i).</w:t>
            </w:r>
          </w:p>
        </w:tc>
      </w:tr>
      <w:tr w:rsidR="009C083D" w:rsidRPr="00392FFD" w:rsidTr="00672D2A">
        <w:tc>
          <w:tcPr>
            <w:tcW w:w="703" w:type="dxa"/>
          </w:tcPr>
          <w:p w:rsidR="009C083D" w:rsidRPr="00392FFD" w:rsidRDefault="009C083D" w:rsidP="00FD239F">
            <w:pPr>
              <w:pStyle w:val="InstructionsText"/>
            </w:pPr>
            <w:r>
              <w:lastRenderedPageBreak/>
              <w:t>170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πρέπει να αποτελείται από κεφάλαιο CET1 </w:t>
            </w:r>
          </w:p>
          <w:p w:rsidR="009C083D" w:rsidRDefault="009C083D" w:rsidP="00FD239F">
            <w:pPr>
              <w:pStyle w:val="InstructionsText"/>
            </w:pPr>
            <w:r>
              <w:t>Το άθροισμα των σημείων i) και ii) ως εξής:</w:t>
            </w:r>
          </w:p>
          <w:p w:rsidR="009C083D" w:rsidRDefault="009C083D" w:rsidP="00FD239F">
            <w:pPr>
              <w:pStyle w:val="InstructionsText"/>
              <w:numPr>
                <w:ilvl w:val="0"/>
                <w:numId w:val="24"/>
              </w:numPr>
            </w:pPr>
            <w:r>
              <w:t>του δείκτη TSCR που πρέπει να αποτελείται από το κεφάλαιο CET1, ο οποίος αναφέρεται στη γραμμή 140·</w:t>
            </w:r>
          </w:p>
          <w:p w:rsidR="009C083D" w:rsidRPr="009068C9" w:rsidRDefault="009C083D" w:rsidP="00FD239F">
            <w:pPr>
              <w:pStyle w:val="InstructionsText"/>
              <w:numPr>
                <w:ilvl w:val="0"/>
                <w:numId w:val="24"/>
              </w:numPr>
              <w:rPr>
                <w:bCs/>
                <w:u w:val="single"/>
              </w:rPr>
            </w:pPr>
            <w:r>
              <w:t>στον βαθμό που εφαρμόζεται βάσει της νομοθεσίας, του δείκτη της συ</w:t>
            </w:r>
            <w:r>
              <w:t>ν</w:t>
            </w:r>
            <w:r>
              <w:t>δυασμένης απαίτησης αποθέματος ασφαλείας, που αναφέρεται στο ά</w:t>
            </w:r>
            <w:r>
              <w:t>ρ</w:t>
            </w:r>
            <w:r>
              <w:t>θρο 128 σημείο 6) της ΟΚΑ.</w:t>
            </w:r>
          </w:p>
          <w:p w:rsidR="00BA325A" w:rsidRPr="007615A8" w:rsidRDefault="00087E1A" w:rsidP="009068C9">
            <w:pPr>
              <w:pStyle w:val="InstructionsText"/>
              <w:rPr>
                <w:rStyle w:val="InstructionsTabelleberschrift"/>
                <w:rFonts w:ascii="Times New Roman" w:hAnsi="Times New Roman"/>
                <w:b w:val="0"/>
                <w:sz w:val="24"/>
              </w:rPr>
            </w:pPr>
            <w:r>
              <w:t>Σε περίπτωση που δεν εφαρμόζεται απαίτηση αποθέματος ασφαλείας, αναφέρ</w:t>
            </w:r>
            <w:r>
              <w:t>ε</w:t>
            </w:r>
            <w:r>
              <w:t>ται μόνο το σημείο i).</w:t>
            </w:r>
          </w:p>
        </w:tc>
      </w:tr>
      <w:tr w:rsidR="009C083D" w:rsidRPr="00392FFD" w:rsidTr="00672D2A">
        <w:tc>
          <w:tcPr>
            <w:tcW w:w="703" w:type="dxa"/>
          </w:tcPr>
          <w:p w:rsidR="009C083D" w:rsidRPr="00392FFD" w:rsidRDefault="009C083D" w:rsidP="00FD239F">
            <w:pPr>
              <w:pStyle w:val="InstructionsText"/>
            </w:pPr>
            <w:r>
              <w:t>180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πρέπει να αποτελείται από κεφάλαιο κατηγορίας 1</w:t>
            </w:r>
          </w:p>
          <w:p w:rsidR="009C083D" w:rsidRDefault="009C083D" w:rsidP="00FD239F">
            <w:pPr>
              <w:pStyle w:val="InstructionsText"/>
            </w:pPr>
            <w:r>
              <w:t>Το άθροισμα των σημείων i) και ii) ως εξής:</w:t>
            </w:r>
          </w:p>
          <w:p w:rsidR="009C083D" w:rsidRDefault="009C083D" w:rsidP="00FD239F">
            <w:pPr>
              <w:pStyle w:val="InstructionsText"/>
              <w:numPr>
                <w:ilvl w:val="0"/>
                <w:numId w:val="25"/>
              </w:numPr>
            </w:pPr>
            <w:r>
              <w:t>του δείκτη TSCR που πρέπει να αποτελείται από το κεφάλαιο της κατ</w:t>
            </w:r>
            <w:r>
              <w:t>η</w:t>
            </w:r>
            <w:r>
              <w:t>γορίας 1, ο οποίος αναφέρεται στη γραμμή 150·</w:t>
            </w:r>
          </w:p>
          <w:p w:rsidR="009C083D" w:rsidRPr="009068C9" w:rsidRDefault="009C083D" w:rsidP="00FD239F">
            <w:pPr>
              <w:pStyle w:val="InstructionsText"/>
              <w:numPr>
                <w:ilvl w:val="0"/>
                <w:numId w:val="25"/>
              </w:numPr>
              <w:rPr>
                <w:bCs/>
                <w:u w:val="single"/>
              </w:rPr>
            </w:pPr>
            <w:r>
              <w:t>στον βαθμό που εφαρμόζεται βάσει της νομοθεσίας, του δείκτη της συ</w:t>
            </w:r>
            <w:r>
              <w:t>ν</w:t>
            </w:r>
            <w:r>
              <w:t>δυασμένης απαίτησης αποθέματος ασφαλείας, που αναφέρεται στο ά</w:t>
            </w:r>
            <w:r>
              <w:t>ρ</w:t>
            </w:r>
            <w:r>
              <w:t>θρο 128 σημείο 6) της ΟΚΑ.</w:t>
            </w:r>
          </w:p>
          <w:p w:rsidR="00BA325A" w:rsidRPr="007615A8" w:rsidRDefault="00087E1A" w:rsidP="009068C9">
            <w:pPr>
              <w:pStyle w:val="InstructionsText"/>
              <w:rPr>
                <w:rStyle w:val="InstructionsTabelleberschrift"/>
                <w:rFonts w:ascii="Times New Roman" w:hAnsi="Times New Roman"/>
                <w:b w:val="0"/>
                <w:sz w:val="24"/>
              </w:rPr>
            </w:pPr>
            <w:r>
              <w:t>Σε περίπτωση που δεν εφαρμόζεται απαίτηση αποθέματος ασφαλείας, αναφέρ</w:t>
            </w:r>
            <w:r>
              <w:t>ε</w:t>
            </w:r>
            <w:r>
              <w:t>ται μόνο το σημείο i).</w:t>
            </w:r>
          </w:p>
        </w:tc>
      </w:tr>
      <w:tr w:rsidR="009C083D" w:rsidRPr="00392FFD" w:rsidTr="00672D2A">
        <w:tc>
          <w:tcPr>
            <w:tcW w:w="703" w:type="dxa"/>
          </w:tcPr>
          <w:p w:rsidR="009C083D" w:rsidRPr="00392FFD" w:rsidRDefault="009C083D" w:rsidP="00FD239F">
            <w:pPr>
              <w:pStyle w:val="InstructionsText"/>
            </w:pPr>
            <w:r>
              <w:t>190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Δείκτης συνολικής κεφαλαιακής απαίτησης (OCR) και κατευθύνσ</w:t>
            </w:r>
            <w:r>
              <w:rPr>
                <w:rStyle w:val="InstructionsTabelleberschrift"/>
                <w:rFonts w:ascii="Times New Roman" w:hAnsi="Times New Roman"/>
                <w:sz w:val="24"/>
              </w:rPr>
              <w:t>ε</w:t>
            </w:r>
            <w:r>
              <w:rPr>
                <w:rStyle w:val="InstructionsTabelleberschrift"/>
                <w:rFonts w:ascii="Times New Roman" w:hAnsi="Times New Roman"/>
                <w:sz w:val="24"/>
              </w:rPr>
              <w:t>ων 2ου πυλώνα (P2G)</w:t>
            </w:r>
          </w:p>
          <w:p w:rsidR="009C083D" w:rsidRDefault="009C083D" w:rsidP="00FD239F">
            <w:pPr>
              <w:pStyle w:val="InstructionsText"/>
            </w:pPr>
            <w:r>
              <w:t>Το άθροισμα των σημείων i) και ii) ως εξής:</w:t>
            </w:r>
          </w:p>
          <w:p w:rsidR="009C083D" w:rsidRDefault="009C083D" w:rsidP="00FD239F">
            <w:pPr>
              <w:pStyle w:val="InstructionsText"/>
              <w:numPr>
                <w:ilvl w:val="0"/>
                <w:numId w:val="26"/>
              </w:numPr>
            </w:pPr>
            <w:r>
              <w:t>του δείκτη OCR που αναφέρεται στη γραμμή 160·</w:t>
            </w:r>
          </w:p>
          <w:p w:rsidR="009C083D" w:rsidRPr="009068C9" w:rsidRDefault="009C083D" w:rsidP="00FD239F">
            <w:pPr>
              <w:pStyle w:val="InstructionsText"/>
              <w:numPr>
                <w:ilvl w:val="0"/>
                <w:numId w:val="26"/>
              </w:numPr>
              <w:rPr>
                <w:bCs/>
                <w:u w:val="single"/>
              </w:rPr>
            </w:pPr>
            <w:r>
              <w:t>ανάλογα με την περίπτωση, των κατευθύνσεων του 2ου πυλώνα (P2G), όπως ορίζονται στις κατευθυντήριες γραμμές της ΕΑΤ για τη ΔΕΕΑ (EBA SREP GL). Οι P2G περιλαμβάνονται μόνον εάν έχουν κοινοποι</w:t>
            </w:r>
            <w:r>
              <w:t>η</w:t>
            </w:r>
            <w:r>
              <w:t>θεί στο ίδρυμα από την αρμόδια αρχή.</w:t>
            </w:r>
          </w:p>
          <w:p w:rsidR="0047693D" w:rsidRPr="007615A8" w:rsidRDefault="005B54BB" w:rsidP="009068C9">
            <w:pPr>
              <w:pStyle w:val="InstructionsText"/>
              <w:rPr>
                <w:rStyle w:val="InstructionsTabelleberschrift"/>
                <w:rFonts w:ascii="Times New Roman" w:hAnsi="Times New Roman"/>
                <w:b w:val="0"/>
                <w:sz w:val="24"/>
              </w:rPr>
            </w:pPr>
            <w:r>
              <w:t xml:space="preserve">Σε περίπτωση που δεν έχουν κοινοποιηθεί P2G από την αρμόδια αρχή, τότε θα πρέπει να αναφέρεται μόνο το σημείο i). </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Pr="00392FFD" w:rsidRDefault="009C083D" w:rsidP="00FD239F">
            <w:pPr>
              <w:pStyle w:val="InstructionsText"/>
            </w:pPr>
            <w:r>
              <w:t>200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και P2G: πρέπει να αποτελείται από κεφάλαιο CET1 </w:t>
            </w:r>
          </w:p>
          <w:p w:rsidR="009C083D" w:rsidRDefault="009C083D" w:rsidP="00FD239F">
            <w:pPr>
              <w:pStyle w:val="InstructionsText"/>
            </w:pPr>
            <w:r>
              <w:t>Το άθροισμα των σημείων i) και ii) ως εξής:</w:t>
            </w:r>
          </w:p>
          <w:p w:rsidR="009C083D" w:rsidRDefault="009C083D" w:rsidP="00FD239F">
            <w:pPr>
              <w:pStyle w:val="InstructionsText"/>
              <w:numPr>
                <w:ilvl w:val="0"/>
                <w:numId w:val="27"/>
              </w:numPr>
            </w:pPr>
            <w:r>
              <w:t xml:space="preserve">του δείκτη OCR που πρέπει να αποτελείται από το κεφάλαιο CET1, ο </w:t>
            </w:r>
            <w:r>
              <w:lastRenderedPageBreak/>
              <w:t>οποίος αναφέρεται στη γραμμή 170·</w:t>
            </w:r>
          </w:p>
          <w:p w:rsidR="009C083D" w:rsidRPr="009068C9" w:rsidRDefault="009C083D" w:rsidP="00FD239F">
            <w:pPr>
              <w:pStyle w:val="InstructionsText"/>
              <w:numPr>
                <w:ilvl w:val="0"/>
                <w:numId w:val="27"/>
              </w:numPr>
              <w:rPr>
                <w:bCs/>
                <w:u w:val="single"/>
              </w:rPr>
            </w:pPr>
            <w:r>
              <w:t>ανάλογα με την περίπτωση, του μέρους των P2G, που αναφέρεται στο σημείο ii) της γραμμής 190, που απαιτείται από την αρμόδια αρχή να κ</w:t>
            </w:r>
            <w:r>
              <w:t>α</w:t>
            </w:r>
            <w:r>
              <w:t>τέχεται υπό μορφή κεφαλαίου CET1. Οι P2G περιλαμβάνονται μόνον εάν έχουν κοινοποιηθεί στο ίδρυμα από την αρμόδια αρχή.</w:t>
            </w:r>
          </w:p>
          <w:p w:rsidR="0047693D" w:rsidRPr="007615A8" w:rsidRDefault="005B54BB" w:rsidP="009068C9">
            <w:pPr>
              <w:pStyle w:val="InstructionsText"/>
              <w:rPr>
                <w:rStyle w:val="InstructionsTabelleberschrift"/>
                <w:rFonts w:ascii="Times New Roman" w:hAnsi="Times New Roman"/>
                <w:b w:val="0"/>
                <w:sz w:val="24"/>
              </w:rPr>
            </w:pPr>
            <w:r>
              <w:t>Σε περίπτωση που δεν έχουν κοινοποιηθεί P2G από την αρμόδια αρχή, τότε θα πρέπει να αναφέρεται μόνο το σημείο i).</w:t>
            </w:r>
          </w:p>
        </w:tc>
      </w:tr>
      <w:tr w:rsidR="009C083D" w:rsidRPr="00392FFD" w:rsidTr="00672D2A">
        <w:tc>
          <w:tcPr>
            <w:tcW w:w="703" w:type="dxa"/>
          </w:tcPr>
          <w:p w:rsidR="009C083D" w:rsidRPr="00392FFD" w:rsidRDefault="009C083D" w:rsidP="00FD239F">
            <w:pPr>
              <w:pStyle w:val="InstructionsText"/>
            </w:pPr>
            <w:r>
              <w:lastRenderedPageBreak/>
              <w:t>210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και P2G: πρέπει να αποτελείται από κεφάλαιο κατηγορίας 1 </w:t>
            </w:r>
          </w:p>
          <w:p w:rsidR="009C083D" w:rsidRDefault="009C083D" w:rsidP="00FD239F">
            <w:pPr>
              <w:pStyle w:val="InstructionsText"/>
            </w:pPr>
            <w:r>
              <w:t>Το άθροισμα των σημείων i) και ii) ως εξής:</w:t>
            </w:r>
          </w:p>
          <w:p w:rsidR="009C083D" w:rsidRDefault="009C083D" w:rsidP="00FD239F">
            <w:pPr>
              <w:pStyle w:val="InstructionsText"/>
              <w:numPr>
                <w:ilvl w:val="0"/>
                <w:numId w:val="28"/>
              </w:numPr>
            </w:pPr>
            <w:r>
              <w:t>του δείκτη OCR που πρέπει να αποτελείται από το κεφάλαιο της κατηγ</w:t>
            </w:r>
            <w:r>
              <w:t>ο</w:t>
            </w:r>
            <w:r>
              <w:t>ρίας 1, ο οποίος αναφέρεται στη γραμμή 180·</w:t>
            </w:r>
          </w:p>
          <w:p w:rsidR="009C083D" w:rsidRDefault="009C083D" w:rsidP="00FD239F">
            <w:pPr>
              <w:pStyle w:val="InstructionsText"/>
              <w:numPr>
                <w:ilvl w:val="0"/>
                <w:numId w:val="28"/>
              </w:numPr>
            </w:pPr>
            <w:r>
              <w:t>ανάλογα με την περίπτωση, του μέρους των P2G, που αναφέρεται στο σημείο ii) της γραμμής 190, που απαιτείται από την αρμόδια αρχή να κ</w:t>
            </w:r>
            <w:r>
              <w:t>α</w:t>
            </w:r>
            <w:r>
              <w:t>τέχεται υπό μορφή κεφαλαίου της κατηγορίας 1. Οι P2G περιλαμβάν</w:t>
            </w:r>
            <w:r>
              <w:t>ο</w:t>
            </w:r>
            <w:r>
              <w:t>νται μόνον εάν έχουν κοινοποιηθεί στο ίδρυμα από την αρμόδια αρχή.</w:t>
            </w:r>
          </w:p>
          <w:p w:rsidR="0047693D" w:rsidRPr="007615A8" w:rsidRDefault="005B54BB" w:rsidP="009068C9">
            <w:pPr>
              <w:pStyle w:val="InstructionsText"/>
              <w:rPr>
                <w:rStyle w:val="InstructionsTabelleberschrift"/>
                <w:rFonts w:ascii="Times New Roman" w:hAnsi="Times New Roman"/>
                <w:b w:val="0"/>
                <w:bCs w:val="0"/>
                <w:sz w:val="24"/>
                <w:u w:val="none"/>
              </w:rPr>
            </w:pPr>
            <w:r>
              <w:t>Σε περίπτωση που δεν έχουν κοινοποιηθεί P2G από την αρμόδια αρχή, τότε θα πρέπει να αναφέρεται μόνο το σημείο i).</w:t>
            </w:r>
            <w:r>
              <w:rPr>
                <w:rStyle w:val="InstructionsTabelleberschrift"/>
                <w:rFonts w:ascii="Times New Roman" w:hAnsi="Times New Roman"/>
                <w:b w:val="0"/>
                <w:sz w:val="24"/>
              </w:rPr>
              <w:t xml:space="preserve"> </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9" w:name="_Toc516210614"/>
      <w:bookmarkStart w:id="60" w:name="_Toc473560879"/>
      <w:bookmarkStart w:id="61" w:name="_Toc308175830"/>
      <w:bookmarkStart w:id="62" w:name="_Toc360188331"/>
      <w:r>
        <w:rPr>
          <w:rFonts w:ascii="Times New Roman" w:hAnsi="Times New Roman"/>
          <w:sz w:val="24"/>
          <w:u w:val="none"/>
        </w:rPr>
        <w:t>1.5.</w:t>
      </w:r>
      <w:r>
        <w:tab/>
      </w:r>
      <w:r>
        <w:rPr>
          <w:rFonts w:ascii="Times New Roman" w:hAnsi="Times New Roman"/>
          <w:sz w:val="24"/>
        </w:rPr>
        <w:t>C 04.00 – ΥΠΟΜΝΗΜΑΤΙΚΑ ΣΤΟΙΧΕΙΑ (CA4)</w:t>
      </w:r>
      <w:bookmarkEnd w:id="59"/>
      <w:bookmarkEnd w:id="60"/>
      <w:r>
        <w:rPr>
          <w:rFonts w:ascii="Times New Roman" w:hAnsi="Times New Roman"/>
          <w:sz w:val="24"/>
        </w:rPr>
        <w:t xml:space="preserve"> </w:t>
      </w:r>
      <w:bookmarkEnd w:id="61"/>
      <w:bookmarkEnd w:id="62"/>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63" w:name="_Toc308175831"/>
      <w:bookmarkStart w:id="64" w:name="_Toc310414974"/>
      <w:bookmarkStart w:id="65" w:name="_Toc360188332"/>
      <w:bookmarkStart w:id="66" w:name="_Toc516210615"/>
      <w:bookmarkStart w:id="67" w:name="_Toc473560880"/>
      <w:r>
        <w:rPr>
          <w:rFonts w:ascii="Times New Roman" w:hAnsi="Times New Roman"/>
          <w:sz w:val="24"/>
          <w:u w:val="none"/>
        </w:rPr>
        <w:t>1.5.1.</w:t>
      </w:r>
      <w:r>
        <w:tab/>
      </w:r>
      <w:r>
        <w:rPr>
          <w:rFonts w:ascii="Times New Roman" w:hAnsi="Times New Roman"/>
          <w:sz w:val="24"/>
        </w:rPr>
        <w:t xml:space="preserve">Οδηγίες για συγκεκριμένες </w:t>
      </w:r>
      <w:bookmarkEnd w:id="63"/>
      <w:bookmarkEnd w:id="64"/>
      <w:r>
        <w:rPr>
          <w:rFonts w:ascii="Times New Roman" w:hAnsi="Times New Roman"/>
          <w:sz w:val="24"/>
        </w:rPr>
        <w:t>θέσεις</w:t>
      </w:r>
      <w:bookmarkEnd w:id="65"/>
      <w:bookmarkEnd w:id="66"/>
      <w:bookmarkEnd w:id="67"/>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FD239F">
            <w:pPr>
              <w:pStyle w:val="InstructionsText"/>
            </w:pPr>
            <w:r>
              <w:t>Γραμμές</w:t>
            </w:r>
          </w:p>
        </w:tc>
      </w:tr>
      <w:tr w:rsidR="002648B0" w:rsidRPr="00392FFD" w:rsidTr="00672D2A">
        <w:tc>
          <w:tcPr>
            <w:tcW w:w="1506" w:type="dxa"/>
          </w:tcPr>
          <w:p w:rsidR="002648B0" w:rsidRPr="00392FFD" w:rsidRDefault="002648B0" w:rsidP="00FD239F">
            <w:pPr>
              <w:pStyle w:val="InstructionsText"/>
            </w:pPr>
            <w:r>
              <w:t>010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Σύνολο αναβαλλόμενων φορολογικών απαιτήσεων</w:t>
            </w:r>
          </w:p>
          <w:p w:rsidR="005643EA" w:rsidRPr="00392FFD" w:rsidRDefault="002648B0" w:rsidP="00FD239F">
            <w:pPr>
              <w:pStyle w:val="InstructionsText"/>
            </w:pPr>
            <w:r>
              <w:t>Το ποσό που αναφέρεται στο συγκεκριμένο στοιχείο ισούται με το ποσό που αναφέρεται στον πιο πρόσφατο επαληθευμένο/ελεγμένο ισολογ</w:t>
            </w:r>
            <w:r>
              <w:t>ι</w:t>
            </w:r>
            <w:r>
              <w:t>σμό.</w:t>
            </w:r>
          </w:p>
        </w:tc>
      </w:tr>
      <w:tr w:rsidR="002648B0" w:rsidRPr="00392FFD" w:rsidTr="00672D2A">
        <w:tc>
          <w:tcPr>
            <w:tcW w:w="1506" w:type="dxa"/>
          </w:tcPr>
          <w:p w:rsidR="002648B0" w:rsidRPr="00392FFD" w:rsidRDefault="002648B0" w:rsidP="00FD239F">
            <w:pPr>
              <w:pStyle w:val="InstructionsText"/>
            </w:pPr>
            <w:r>
              <w:t>020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Αναβαλλόμενες φορολογικές απαιτήσεις που δεν βασίζονται σε μελλοντική κερδοφορία</w:t>
            </w:r>
          </w:p>
          <w:p w:rsidR="005643EA" w:rsidRPr="00392FFD" w:rsidRDefault="002648B0" w:rsidP="00FD239F">
            <w:pPr>
              <w:pStyle w:val="InstructionsText"/>
            </w:pPr>
            <w:r>
              <w:t>Άρθρο 39 παράγραφος 2 του ΚΚΑ</w:t>
            </w:r>
          </w:p>
          <w:p w:rsidR="005643EA" w:rsidRPr="00392FFD" w:rsidRDefault="002648B0" w:rsidP="00FD239F">
            <w:pPr>
              <w:pStyle w:val="InstructionsText"/>
            </w:pPr>
            <w:r>
              <w:t>Αναβαλλόμενες φορολογικές απαιτήσεις που δεν βασίζονται σε μελλ</w:t>
            </w:r>
            <w:r>
              <w:t>ο</w:t>
            </w:r>
            <w:r>
              <w:t>ντική κερδοφορία και υπόκεινται, επομένως, σε εφαρμογή συντελεστή στάθμισης κινδύνου.</w:t>
            </w:r>
          </w:p>
        </w:tc>
      </w:tr>
      <w:tr w:rsidR="002648B0" w:rsidRPr="00392FFD" w:rsidTr="00672D2A">
        <w:tc>
          <w:tcPr>
            <w:tcW w:w="1506" w:type="dxa"/>
          </w:tcPr>
          <w:p w:rsidR="002648B0" w:rsidRPr="00392FFD" w:rsidRDefault="002648B0" w:rsidP="00FD239F">
            <w:pPr>
              <w:pStyle w:val="InstructionsText"/>
            </w:pPr>
            <w:r>
              <w:t>030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Αναβαλλόμενες φορολογικές απαιτήσεις που βασίζονται σε μελλοντική κερδοφορία και δεν προκύπτουν από προσωρινές διαφ</w:t>
            </w:r>
            <w:r>
              <w:rPr>
                <w:rStyle w:val="InstructionsTabelleberschrift"/>
                <w:rFonts w:ascii="Times New Roman" w:hAnsi="Times New Roman"/>
                <w:sz w:val="24"/>
              </w:rPr>
              <w:t>ο</w:t>
            </w:r>
            <w:r>
              <w:rPr>
                <w:rStyle w:val="InstructionsTabelleberschrift"/>
                <w:rFonts w:ascii="Times New Roman" w:hAnsi="Times New Roman"/>
                <w:sz w:val="24"/>
              </w:rPr>
              <w:t>ρές</w:t>
            </w:r>
          </w:p>
          <w:p w:rsidR="005643EA" w:rsidRPr="00392FFD" w:rsidRDefault="002648B0" w:rsidP="00FD239F">
            <w:pPr>
              <w:pStyle w:val="InstructionsText"/>
            </w:pPr>
            <w:r>
              <w:t>Άρθρο 36 παράγραφος 1 στοιχείο γ) και άρθρο 38 του ΚΚΑ</w:t>
            </w:r>
          </w:p>
          <w:p w:rsidR="005643EA" w:rsidRPr="00392FFD" w:rsidRDefault="002648B0" w:rsidP="00FD239F">
            <w:pPr>
              <w:pStyle w:val="InstructionsText"/>
            </w:pPr>
            <w:r>
              <w:t>Αναβαλλόμενες φορολογικές απαιτήσεις που βασίζονται σε μελλοντική κερδοφορία, αλλά δεν προκύπτουν από προσωρινές διαφορές και, επ</w:t>
            </w:r>
            <w:r>
              <w:t>ο</w:t>
            </w:r>
            <w:r>
              <w:t>μένως, δεν υπόκεινται σε οποιοδήποτε κατώτατο όριο (δηλαδή, αφα</w:t>
            </w:r>
            <w:r>
              <w:t>ι</w:t>
            </w:r>
            <w:r>
              <w:lastRenderedPageBreak/>
              <w:t>ρούνται εντελώς από το CET1).</w:t>
            </w:r>
          </w:p>
        </w:tc>
      </w:tr>
      <w:tr w:rsidR="002648B0" w:rsidRPr="00392FFD" w:rsidTr="00672D2A">
        <w:tc>
          <w:tcPr>
            <w:tcW w:w="1506" w:type="dxa"/>
          </w:tcPr>
          <w:p w:rsidR="002648B0" w:rsidRPr="00392FFD" w:rsidRDefault="002648B0" w:rsidP="00FD239F">
            <w:pPr>
              <w:pStyle w:val="InstructionsText"/>
            </w:pPr>
            <w:r>
              <w:lastRenderedPageBreak/>
              <w:t>040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Αναβαλλόμενες φορολογικές απαιτήσεις που βασίζονται σε μελλοντική κερδοφορία και προκύπτουν από προσωρινές διαφορές</w:t>
            </w:r>
          </w:p>
          <w:p w:rsidR="005643EA" w:rsidRPr="00392FFD" w:rsidRDefault="002648B0" w:rsidP="00FD239F">
            <w:pPr>
              <w:pStyle w:val="InstructionsText"/>
            </w:pPr>
            <w:r>
              <w:t>Άρθρο 36 παράγραφος 1 στοιχείο γ)· άρθρο 38 και άρθρο 48 παράγρ</w:t>
            </w:r>
            <w:r>
              <w:t>α</w:t>
            </w:r>
            <w:r>
              <w:t>φος 1 στοιχείο α) του ΚΚΑ</w:t>
            </w:r>
          </w:p>
          <w:p w:rsidR="005643EA" w:rsidRPr="00392FFD" w:rsidRDefault="002648B0" w:rsidP="00FD239F">
            <w:pPr>
              <w:pStyle w:val="InstructionsText"/>
            </w:pPr>
            <w:r>
              <w:t>Αναβαλλόμενες φορολογικές απαιτήσεις που βασίζονται σε μελλοντική κερδοφορία και προκύπτουν από προσωρινές διαφορές και, επομένως, η αφαίρεσή τους από το CET1 υπόκειται στα κατώτατα όρια 10 % και 17,65 % του άρθρου 48 του ΚΚΑ.</w:t>
            </w:r>
          </w:p>
        </w:tc>
      </w:tr>
      <w:tr w:rsidR="002648B0" w:rsidRPr="00392FFD" w:rsidTr="00672D2A">
        <w:tc>
          <w:tcPr>
            <w:tcW w:w="1506" w:type="dxa"/>
          </w:tcPr>
          <w:p w:rsidR="002648B0" w:rsidRPr="00392FFD" w:rsidRDefault="002648B0" w:rsidP="00FD239F">
            <w:pPr>
              <w:pStyle w:val="InstructionsText"/>
            </w:pPr>
            <w:r>
              <w:t>050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 Σύνολο αναβαλλόμενων φορολογικών υποχρεώσεων</w:t>
            </w:r>
          </w:p>
          <w:p w:rsidR="005643EA" w:rsidRPr="00392FFD" w:rsidRDefault="002648B0" w:rsidP="00FD239F">
            <w:pPr>
              <w:pStyle w:val="InstructionsText"/>
            </w:pPr>
            <w:r>
              <w:t>Το ποσό που αναφέρεται στο συγκεκριμένο στοιχείο ισούται με το ποσό που αναφέρεται στον πιο πρόσφατο επαληθευμένο/ελεγμένο ισολογ</w:t>
            </w:r>
            <w:r>
              <w:t>ι</w:t>
            </w:r>
            <w:r>
              <w:t>σμό.</w:t>
            </w:r>
          </w:p>
        </w:tc>
      </w:tr>
      <w:tr w:rsidR="002648B0" w:rsidRPr="00392FFD" w:rsidTr="00672D2A">
        <w:tc>
          <w:tcPr>
            <w:tcW w:w="1506" w:type="dxa"/>
          </w:tcPr>
          <w:p w:rsidR="002648B0" w:rsidRPr="00392FFD" w:rsidRDefault="002648B0" w:rsidP="00FD239F">
            <w:pPr>
              <w:pStyle w:val="InstructionsText"/>
            </w:pPr>
            <w:r>
              <w:t>060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Αναβαλλόμενες φορολογικές υποχρεώσεις μη αφαιρούμενες από αναβαλλόμενες φορολογικές απαιτήσεις που βασίζονται σε με</w:t>
            </w:r>
            <w:r>
              <w:rPr>
                <w:rStyle w:val="InstructionsTabelleberschrift"/>
                <w:rFonts w:ascii="Times New Roman" w:hAnsi="Times New Roman"/>
                <w:sz w:val="24"/>
              </w:rPr>
              <w:t>λ</w:t>
            </w:r>
            <w:r>
              <w:rPr>
                <w:rStyle w:val="InstructionsTabelleberschrift"/>
                <w:rFonts w:ascii="Times New Roman" w:hAnsi="Times New Roman"/>
                <w:sz w:val="24"/>
              </w:rPr>
              <w:t>λοντική κερδοφορία</w:t>
            </w:r>
          </w:p>
          <w:p w:rsidR="005643EA" w:rsidRPr="00392FFD" w:rsidRDefault="002648B0" w:rsidP="00FD239F">
            <w:pPr>
              <w:pStyle w:val="InstructionsText"/>
            </w:pPr>
            <w:r>
              <w:t>Άρθρο 38 παράγραφοι 3 και 4 του ΚΚΑ</w:t>
            </w:r>
          </w:p>
          <w:p w:rsidR="005643EA" w:rsidRPr="00392FFD" w:rsidRDefault="002648B0" w:rsidP="00FD239F">
            <w:pPr>
              <w:pStyle w:val="InstructionsText"/>
            </w:pPr>
            <w:r>
              <w:t>Αναβαλλόμενες φορολογικές υποχρεώσεις για τις οποίες δεν πληρο</w:t>
            </w:r>
            <w:r>
              <w:t>ύ</w:t>
            </w:r>
            <w:r>
              <w:t>νται οι όροι του άρθρου 38 παράγραφοι 3 και 4 του ΚΑΑ. Επομένως, το συγκεκριμένο στοιχείο περιλαμβάνει τις αναβαλλόμενες φορολογικές υποχρεώσεις που μειώνουν το ποσό της υπεραξίας, λοιπά άυλα στοιχεία ενεργητικού ή περιουσιακά στοιχεία συνταξιοδοτικών ταμείων προκ</w:t>
            </w:r>
            <w:r>
              <w:t>α</w:t>
            </w:r>
            <w:r>
              <w:t>θορισμένων παροχών που πρέπει να αφαιρεθούν, τα οποία αναφέρονται, αντιστοίχως, στα στοιχεία 1.1.1.10.3, 1.1.1.11.2 και 1.1.1.14.2 του υπ</w:t>
            </w:r>
            <w:r>
              <w:t>ο</w:t>
            </w:r>
            <w:r>
              <w:t>δείγματος CA1.</w:t>
            </w:r>
          </w:p>
        </w:tc>
      </w:tr>
      <w:tr w:rsidR="002648B0" w:rsidRPr="00392FFD" w:rsidTr="00672D2A">
        <w:tc>
          <w:tcPr>
            <w:tcW w:w="1506" w:type="dxa"/>
          </w:tcPr>
          <w:p w:rsidR="002648B0" w:rsidRPr="00392FFD" w:rsidRDefault="002648B0" w:rsidP="00FD239F">
            <w:pPr>
              <w:pStyle w:val="InstructionsText"/>
            </w:pPr>
            <w:r>
              <w:t>070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Αναβαλλόμενες φορολογικές υποχρεώσεις αφαιρούμενες από αναβαλλόμενες φορολογικές απαιτήσεις που βασίζονται σε μελλ</w:t>
            </w:r>
            <w:r>
              <w:rPr>
                <w:rStyle w:val="InstructionsTabelleberschrift"/>
                <w:rFonts w:ascii="Times New Roman" w:hAnsi="Times New Roman"/>
                <w:sz w:val="24"/>
              </w:rPr>
              <w:t>ο</w:t>
            </w:r>
            <w:r>
              <w:rPr>
                <w:rStyle w:val="InstructionsTabelleberschrift"/>
                <w:rFonts w:ascii="Times New Roman" w:hAnsi="Times New Roman"/>
                <w:sz w:val="24"/>
              </w:rPr>
              <w:t>ντική κερδοφορία</w:t>
            </w:r>
          </w:p>
          <w:p w:rsidR="005643EA" w:rsidRPr="00392FFD" w:rsidRDefault="002648B0" w:rsidP="00FD239F">
            <w:pPr>
              <w:pStyle w:val="InstructionsText"/>
            </w:pPr>
            <w:r>
              <w:t>Άρθρο 38 του ΚΚΑ</w:t>
            </w:r>
          </w:p>
        </w:tc>
      </w:tr>
      <w:tr w:rsidR="002648B0" w:rsidRPr="00392FFD" w:rsidTr="00672D2A">
        <w:tc>
          <w:tcPr>
            <w:tcW w:w="1506" w:type="dxa"/>
          </w:tcPr>
          <w:p w:rsidR="002648B0" w:rsidRPr="00392FFD" w:rsidRDefault="002648B0" w:rsidP="00FD239F">
            <w:pPr>
              <w:pStyle w:val="InstructionsText"/>
            </w:pPr>
            <w:r>
              <w:t>080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Αφαιρούμενες αναβαλλόμενες φορολογικές υποχρεώσεις που σχετίζονται με αναβαλλόμενες φορολογικές απαιτήσεις που βασίζ</w:t>
            </w:r>
            <w:r>
              <w:rPr>
                <w:rStyle w:val="InstructionsTabelleberschrift"/>
                <w:rFonts w:ascii="Times New Roman" w:hAnsi="Times New Roman"/>
                <w:sz w:val="24"/>
              </w:rPr>
              <w:t>ο</w:t>
            </w:r>
            <w:r>
              <w:rPr>
                <w:rStyle w:val="InstructionsTabelleberschrift"/>
                <w:rFonts w:ascii="Times New Roman" w:hAnsi="Times New Roman"/>
                <w:sz w:val="24"/>
              </w:rPr>
              <w:t>νται σε μελλοντική κερδοφορία και δεν προκύπτουν από προσωρινές διαφορές</w:t>
            </w:r>
          </w:p>
          <w:p w:rsidR="005643EA" w:rsidRPr="00392FFD" w:rsidRDefault="002648B0" w:rsidP="00FD239F">
            <w:pPr>
              <w:pStyle w:val="InstructionsText"/>
            </w:pPr>
            <w:r>
              <w:t>Άρθρο 38 παράγραφοι 3, 4 και 5 του ΚΚΑ</w:t>
            </w:r>
          </w:p>
          <w:p w:rsidR="005643EA" w:rsidRPr="00392FFD" w:rsidRDefault="002648B0" w:rsidP="00FD239F">
            <w:pPr>
              <w:pStyle w:val="InstructionsText"/>
            </w:pPr>
            <w:r>
              <w:t>Αναβαλλόμενες φορολογικές υποχρεώσεις που δύναται να μειώνουν το ποσό των αναβαλλόμενων φορολογικών απαιτήσεων που βασίζονται σε μελλοντική κερδοφορία, σύμφωνα με το άρθρο 38 παράγραφοι 3 και 4 του ΚΚΑ, και δεν κατανέμονται στις αναβαλλόμενες φορολογικές απα</w:t>
            </w:r>
            <w:r>
              <w:t>ι</w:t>
            </w:r>
            <w:r>
              <w:t>τήσεις που βασίζονται σε μελλοντική κερδοφορία και προκύπτουν από προσωρινές διαφορές, σύμφωνα με το άρθρο 38 παράγραφος 5 του ΚΚΑ.</w:t>
            </w:r>
          </w:p>
        </w:tc>
      </w:tr>
      <w:tr w:rsidR="002648B0" w:rsidRPr="00392FFD" w:rsidTr="00672D2A">
        <w:tc>
          <w:tcPr>
            <w:tcW w:w="1506" w:type="dxa"/>
          </w:tcPr>
          <w:p w:rsidR="002648B0" w:rsidRPr="00392FFD" w:rsidRDefault="002648B0" w:rsidP="00FD239F">
            <w:pPr>
              <w:pStyle w:val="InstructionsText"/>
            </w:pPr>
            <w:r>
              <w:t>090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Αφαιρούμενες αναβαλλόμενες φορολογικές υποχρεώσεις που σχετίζονται με αναβαλλόμενες φορολογικές απαιτήσεις που βασίζ</w:t>
            </w:r>
            <w:r>
              <w:rPr>
                <w:rStyle w:val="InstructionsTabelleberschrift"/>
                <w:rFonts w:ascii="Times New Roman" w:hAnsi="Times New Roman"/>
                <w:sz w:val="24"/>
              </w:rPr>
              <w:t>ο</w:t>
            </w:r>
            <w:r>
              <w:rPr>
                <w:rStyle w:val="InstructionsTabelleberschrift"/>
                <w:rFonts w:ascii="Times New Roman" w:hAnsi="Times New Roman"/>
                <w:sz w:val="24"/>
              </w:rPr>
              <w:t>νται σε μελλοντική κερδοφορία και προκύπτουν από προσωρινές δ</w:t>
            </w:r>
            <w:r>
              <w:rPr>
                <w:rStyle w:val="InstructionsTabelleberschrift"/>
                <w:rFonts w:ascii="Times New Roman" w:hAnsi="Times New Roman"/>
                <w:sz w:val="24"/>
              </w:rPr>
              <w:t>ι</w:t>
            </w:r>
            <w:r>
              <w:rPr>
                <w:rStyle w:val="InstructionsTabelleberschrift"/>
                <w:rFonts w:ascii="Times New Roman" w:hAnsi="Times New Roman"/>
                <w:sz w:val="24"/>
              </w:rPr>
              <w:lastRenderedPageBreak/>
              <w:t>αφορές</w:t>
            </w:r>
          </w:p>
          <w:p w:rsidR="005643EA" w:rsidRPr="00392FFD" w:rsidRDefault="002648B0" w:rsidP="00FD239F">
            <w:pPr>
              <w:pStyle w:val="InstructionsText"/>
            </w:pPr>
            <w:r>
              <w:t>Άρθρο 38 παράγραφοι 3, 4 και 5 του ΚΚΑ</w:t>
            </w:r>
          </w:p>
          <w:p w:rsidR="005643EA" w:rsidRPr="00392FFD" w:rsidRDefault="002648B0" w:rsidP="00FD239F">
            <w:pPr>
              <w:pStyle w:val="InstructionsText"/>
            </w:pPr>
            <w:r>
              <w:t>Αναβαλλόμενες φορολογικές υποχρεώσεις που δύναται να μειώνουν το ποσό των αναβαλλόμενων φορολογικών απαιτήσεων που βασίζονται σε μελλοντική κερδοφορία, σύμφωνα με το άρθρο 38 παράγραφοι 3 και 4 του ΚΚΑ, και κατανέμονται στις αναβαλλόμενες φορολογικές απαιτ</w:t>
            </w:r>
            <w:r>
              <w:t>ή</w:t>
            </w:r>
            <w:r>
              <w:t>σεις που βασίζονται σε μελλοντική κερδοφορία και προκύπτουν από προσωρινές διαφορές, σύμφωνα με το άρθρο 38 παράγραφος 5 του ΚΚΑ.</w:t>
            </w:r>
          </w:p>
        </w:tc>
      </w:tr>
      <w:tr w:rsidR="00550113" w:rsidRPr="00392FFD" w:rsidTr="00672D2A">
        <w:tc>
          <w:tcPr>
            <w:tcW w:w="1506" w:type="dxa"/>
          </w:tcPr>
          <w:p w:rsidR="00550113" w:rsidRPr="00392FFD" w:rsidRDefault="00550113" w:rsidP="00FD239F">
            <w:pPr>
              <w:pStyle w:val="InstructionsText"/>
            </w:pPr>
            <w:r>
              <w:lastRenderedPageBreak/>
              <w:t>093</w:t>
            </w:r>
          </w:p>
        </w:tc>
        <w:tc>
          <w:tcPr>
            <w:tcW w:w="7243" w:type="dxa"/>
          </w:tcPr>
          <w:p w:rsidR="00550113" w:rsidRPr="00201704" w:rsidRDefault="00550113" w:rsidP="00FD239F">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Επιπλέον καταβληθείς φόρος και μεταφορές φορολογικών ζημιών</w:t>
            </w:r>
          </w:p>
          <w:p w:rsidR="00550113" w:rsidRPr="00392FFD" w:rsidRDefault="00201704" w:rsidP="00FD239F">
            <w:pPr>
              <w:pStyle w:val="InstructionsText"/>
            </w:pPr>
            <w:r>
              <w:t>Άρθρο 39 παράγραφος 1 του ΚΚΑ</w:t>
            </w:r>
          </w:p>
          <w:p w:rsidR="00550113" w:rsidRPr="00392FFD" w:rsidRDefault="00550113" w:rsidP="00FD239F">
            <w:pPr>
              <w:pStyle w:val="InstructionsText"/>
              <w:rPr>
                <w:rStyle w:val="InstructionsTabelleberschrift"/>
                <w:rFonts w:ascii="Times New Roman" w:hAnsi="Times New Roman"/>
                <w:b w:val="0"/>
                <w:bCs w:val="0"/>
                <w:sz w:val="24"/>
                <w:u w:val="none"/>
              </w:rPr>
            </w:pPr>
            <w:r>
              <w:t>Το ποσό του επιπλέον καταβληθέντος φόρου και οι μεταφορές φορολ</w:t>
            </w:r>
            <w:r>
              <w:t>ο</w:t>
            </w:r>
            <w:r>
              <w:t>γικών ζημιών που δεν αφαιρούνται από τα ίδια κεφάλαια, σύμφωνα με το άρθρο 39 παράγραφος 1 του ΚΚΑ· το ποσό που αναφέρεται είναι το ποσό πριν από την εφαρμογή των συντελεστών στάθμισης κινδύνου.</w:t>
            </w:r>
          </w:p>
        </w:tc>
      </w:tr>
      <w:tr w:rsidR="00DF65DF" w:rsidRPr="00392FFD" w:rsidTr="00672D2A">
        <w:tc>
          <w:tcPr>
            <w:tcW w:w="1506" w:type="dxa"/>
          </w:tcPr>
          <w:p w:rsidR="00DF65DF" w:rsidRPr="00392FFD" w:rsidRDefault="00DF65DF" w:rsidP="00FD239F">
            <w:pPr>
              <w:pStyle w:val="InstructionsText"/>
            </w:pPr>
            <w:r>
              <w:t>096</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Αναβαλλόμενες φορολογικές απαιτήσεις που υπόκεινται σε συντελεστή στάθμισης κινδύνου 250 %</w:t>
            </w:r>
          </w:p>
          <w:p w:rsidR="00DF65DF" w:rsidRPr="00392FFD" w:rsidRDefault="00201704" w:rsidP="00FD239F">
            <w:pPr>
              <w:pStyle w:val="InstructionsText"/>
            </w:pPr>
            <w:r>
              <w:t>Άρθρο 48 παράγραφος 4 του ΚΚΑ</w:t>
            </w:r>
          </w:p>
          <w:p w:rsidR="00DF65DF" w:rsidRPr="00201704" w:rsidRDefault="00DF65DF" w:rsidP="00FD239F">
            <w:pPr>
              <w:pStyle w:val="InstructionsText"/>
              <w:rPr>
                <w:rStyle w:val="InstructionsTabelleberschrift"/>
                <w:rFonts w:ascii="Times New Roman" w:hAnsi="Times New Roman"/>
                <w:b w:val="0"/>
                <w:bCs w:val="0"/>
                <w:sz w:val="24"/>
                <w:u w:val="none"/>
              </w:rPr>
            </w:pPr>
            <w:r>
              <w:t>Το ποσό των αναβαλλόμενων φορολογικών απαιτήσεων που εξαρτώνται από τη μελλοντική κερδοφορία και προκύπτουν από προσωρινές διαφ</w:t>
            </w:r>
            <w:r>
              <w:t>ο</w:t>
            </w:r>
            <w:r>
              <w:t>ρές, οι οποίες δεν αφαιρούνται δυνάμει του άρθρου 48 παράγραφος 1 του ΚΚΑ, αλλά υπόκεινται σε συντελεστή στάθμισης κινδύνου 250 % σύμφωνα με το άρθρο 48 παράγραφος 4 του ΚΚΑ, λαμβάνοντας υπόψη την επίδραση του άρθρου 470 του ΚΚΑ. Το ποσό που αναφέρεται είναι το ποσό των αναβαλλόμενων φορολογικών απαιτήσεων, πριν από την εφαρμογή των συντελεστών στάθμισης κινδύνου.</w:t>
            </w:r>
          </w:p>
        </w:tc>
      </w:tr>
      <w:tr w:rsidR="00DF65DF" w:rsidRPr="00392FFD" w:rsidTr="00672D2A">
        <w:tc>
          <w:tcPr>
            <w:tcW w:w="1506" w:type="dxa"/>
          </w:tcPr>
          <w:p w:rsidR="00DF65DF" w:rsidRPr="00392FFD" w:rsidRDefault="00DF65DF" w:rsidP="00FD239F">
            <w:pPr>
              <w:pStyle w:val="InstructionsText"/>
            </w:pPr>
            <w:r>
              <w:t>097</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2Γ</w:t>
            </w:r>
            <w:r>
              <w:tab/>
            </w:r>
            <w:r>
              <w:rPr>
                <w:rStyle w:val="InstructionsTabelleberschrift"/>
                <w:rFonts w:ascii="Times New Roman" w:hAnsi="Times New Roman"/>
                <w:sz w:val="24"/>
              </w:rPr>
              <w:t>Αναβαλλόμενες φορολογικές απαιτήσεις που υπόκεινται σε συντελεστή στάθμισης κινδύνου 0 %</w:t>
            </w:r>
          </w:p>
          <w:p w:rsidR="00DF65DF" w:rsidRPr="00392FFD" w:rsidRDefault="00DF65DF" w:rsidP="00FD239F">
            <w:pPr>
              <w:pStyle w:val="InstructionsText"/>
            </w:pPr>
            <w:r>
              <w:t>Άρθρο 469 παράγραφος 1 στοιχείο δ), άρθρο 470, άρθρο 472 παράγρ</w:t>
            </w:r>
            <w:r>
              <w:t>α</w:t>
            </w:r>
            <w:r>
              <w:t>φος 5 και άρθρο 478 του ΚΚΑ</w:t>
            </w:r>
          </w:p>
          <w:p w:rsidR="00DF65DF" w:rsidRPr="00201704" w:rsidRDefault="00DF65DF" w:rsidP="00FD239F">
            <w:pPr>
              <w:pStyle w:val="InstructionsText"/>
              <w:rPr>
                <w:rStyle w:val="InstructionsTabelleberschrift"/>
                <w:rFonts w:ascii="Times New Roman" w:hAnsi="Times New Roman"/>
                <w:b w:val="0"/>
                <w:bCs w:val="0"/>
                <w:sz w:val="24"/>
                <w:u w:val="none"/>
              </w:rPr>
            </w:pPr>
            <w:r>
              <w:t>Το ποσό των αναβαλλόμενων φορολογικών απαιτήσεων που εξαρτώνται από τη μελλοντική κερδοφορία και προκύπτουν από προσωρινές διαφ</w:t>
            </w:r>
            <w:r>
              <w:t>ο</w:t>
            </w:r>
            <w:r>
              <w:t>ρές, οι οποίες δεν αφαιρούνται δυνάμει του άρθρου 469 παράγραφος 1 στοιχείο δ) και του άρθρου 470 του ΚΚΑ, αλλά υπόκεινται σε συντελ</w:t>
            </w:r>
            <w:r>
              <w:t>ε</w:t>
            </w:r>
            <w:r>
              <w:t>στή στάθμισης κινδύνου 0 % σύμφωνα με το άρθρο 472 παράγραφος 5 του ΚΚΑ. Το ποσό που αναφέρεται είναι το ποσό των αναβαλλόμενων φορολογικών απαιτήσεων, πριν από την εφαρμογή των συντελεστών στάθμισης κινδύνου.</w:t>
            </w:r>
          </w:p>
        </w:tc>
      </w:tr>
      <w:tr w:rsidR="002648B0" w:rsidRPr="00392FFD" w:rsidTr="00672D2A">
        <w:tc>
          <w:tcPr>
            <w:tcW w:w="1506" w:type="dxa"/>
          </w:tcPr>
          <w:p w:rsidR="002648B0" w:rsidRPr="00392FFD" w:rsidRDefault="002648B0" w:rsidP="00FD239F">
            <w:pPr>
              <w:pStyle w:val="InstructionsText"/>
            </w:pPr>
            <w:r>
              <w:t>100</w:t>
            </w:r>
          </w:p>
        </w:tc>
        <w:tc>
          <w:tcPr>
            <w:tcW w:w="7243" w:type="dxa"/>
          </w:tcPr>
          <w:p w:rsidR="005643EA" w:rsidRPr="00201704"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Υπερβάλλον ποσό (+) ή υστέρηση (-) IRB των προσαρμογών πιστωτικού κινδύνου, των πρόσθετων προσαρμογών αξίας και ά</w:t>
            </w:r>
            <w:r>
              <w:rPr>
                <w:rStyle w:val="InstructionsTabelleberschrift"/>
                <w:rFonts w:ascii="Times New Roman" w:hAnsi="Times New Roman"/>
                <w:sz w:val="24"/>
              </w:rPr>
              <w:t>λ</w:t>
            </w:r>
            <w:r>
              <w:rPr>
                <w:rStyle w:val="InstructionsTabelleberschrift"/>
                <w:rFonts w:ascii="Times New Roman" w:hAnsi="Times New Roman"/>
                <w:sz w:val="24"/>
              </w:rPr>
              <w:t>λων μειώσεων ιδίων κεφαλαίων για αναμενόμενες ζημίες από ανοί</w:t>
            </w:r>
            <w:r>
              <w:rPr>
                <w:rStyle w:val="InstructionsTabelleberschrift"/>
                <w:rFonts w:ascii="Times New Roman" w:hAnsi="Times New Roman"/>
                <w:sz w:val="24"/>
              </w:rPr>
              <w:t>γ</w:t>
            </w:r>
            <w:r>
              <w:rPr>
                <w:rStyle w:val="InstructionsTabelleberschrift"/>
                <w:rFonts w:ascii="Times New Roman" w:hAnsi="Times New Roman"/>
                <w:sz w:val="24"/>
              </w:rPr>
              <w:t>ματα χωρίς αθέτηση</w:t>
            </w:r>
          </w:p>
          <w:p w:rsidR="005643EA" w:rsidRPr="00392FFD" w:rsidRDefault="002648B0" w:rsidP="00FD239F">
            <w:pPr>
              <w:pStyle w:val="InstructionsText"/>
            </w:pPr>
            <w:r>
              <w:t xml:space="preserve">Άρθρο 36 παράγραφος 1 στοιχείο δ), άρθρο 62 στοιχείο δ), άρθρα 158 </w:t>
            </w:r>
            <w:r>
              <w:lastRenderedPageBreak/>
              <w:t>και 159 του ΚΚΑ</w:t>
            </w:r>
          </w:p>
          <w:p w:rsidR="005643EA" w:rsidRPr="00392FFD" w:rsidRDefault="002648B0" w:rsidP="00FD239F">
            <w:pPr>
              <w:pStyle w:val="InstructionsText"/>
            </w:pPr>
            <w:r>
              <w:t>Το στοιχείο αυτό αναφέρεται μόνο από ιδρύματα IRB.</w:t>
            </w:r>
          </w:p>
        </w:tc>
      </w:tr>
      <w:tr w:rsidR="002648B0" w:rsidRPr="00392FFD" w:rsidTr="00672D2A">
        <w:tc>
          <w:tcPr>
            <w:tcW w:w="1506" w:type="dxa"/>
          </w:tcPr>
          <w:p w:rsidR="002648B0" w:rsidRPr="00392FFD" w:rsidRDefault="002648B0" w:rsidP="00FD239F">
            <w:pPr>
              <w:pStyle w:val="InstructionsText"/>
            </w:pPr>
            <w:r>
              <w:lastRenderedPageBreak/>
              <w:t>110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Σύνολο προσαρμογών πιστωτικού κινδύνου, πρόσθετων πρ</w:t>
            </w:r>
            <w:r>
              <w:rPr>
                <w:rStyle w:val="InstructionsTabelleberschrift"/>
                <w:rFonts w:ascii="Times New Roman" w:hAnsi="Times New Roman"/>
                <w:sz w:val="24"/>
              </w:rPr>
              <w:t>ο</w:t>
            </w:r>
            <w:r>
              <w:rPr>
                <w:rStyle w:val="InstructionsTabelleberschrift"/>
                <w:rFonts w:ascii="Times New Roman" w:hAnsi="Times New Roman"/>
                <w:sz w:val="24"/>
              </w:rPr>
              <w:t>σαρμογών αξίας και άλλων μειώσεων ιδίων κεφαλαίων επιλέξιμων για να συμπεριληφθούν στον υπολογισμό του ποσού αναμενόμενης ζημίας</w:t>
            </w:r>
          </w:p>
          <w:p w:rsidR="005643EA" w:rsidRPr="00392FFD" w:rsidRDefault="002648B0" w:rsidP="00FD239F">
            <w:pPr>
              <w:pStyle w:val="InstructionsText"/>
            </w:pPr>
            <w:r>
              <w:t>Άρθρο 159 του ΚΚΑ</w:t>
            </w:r>
          </w:p>
          <w:p w:rsidR="005643EA" w:rsidRPr="00392FFD" w:rsidRDefault="002648B0" w:rsidP="00FD239F">
            <w:pPr>
              <w:pStyle w:val="InstructionsText"/>
            </w:pPr>
            <w:r>
              <w:t>Το στοιχείο αυτό αναφέρεται μόνο από ιδρύματα IRB.</w:t>
            </w:r>
          </w:p>
        </w:tc>
      </w:tr>
      <w:tr w:rsidR="002648B0" w:rsidRPr="00392FFD" w:rsidTr="00672D2A">
        <w:tc>
          <w:tcPr>
            <w:tcW w:w="1506" w:type="dxa"/>
          </w:tcPr>
          <w:p w:rsidR="002648B0" w:rsidRPr="00392FFD" w:rsidRDefault="002648B0" w:rsidP="00FD239F">
            <w:pPr>
              <w:pStyle w:val="InstructionsText"/>
            </w:pPr>
            <w:r>
              <w:t>120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Γενικές προσαρμογές πιστωτικού κινδύνου</w:t>
            </w:r>
          </w:p>
          <w:p w:rsidR="005643EA" w:rsidRPr="00392FFD" w:rsidRDefault="002648B0" w:rsidP="00FD239F">
            <w:pPr>
              <w:pStyle w:val="InstructionsText"/>
            </w:pPr>
            <w:r>
              <w:t>Άρθρο 159 του ΚΚΑ</w:t>
            </w:r>
          </w:p>
          <w:p w:rsidR="005643EA" w:rsidRPr="00392FFD" w:rsidRDefault="002648B0" w:rsidP="00FD239F">
            <w:pPr>
              <w:pStyle w:val="InstructionsText"/>
            </w:pPr>
            <w:r>
              <w:t>Το στοιχείο αυτό αναφέρεται μόνο από ιδρύματα IRB.</w:t>
            </w:r>
          </w:p>
        </w:tc>
      </w:tr>
      <w:tr w:rsidR="002648B0" w:rsidRPr="00392FFD" w:rsidTr="00672D2A">
        <w:tc>
          <w:tcPr>
            <w:tcW w:w="1506" w:type="dxa"/>
          </w:tcPr>
          <w:p w:rsidR="002648B0" w:rsidRPr="00392FFD" w:rsidRDefault="002648B0" w:rsidP="00FD239F">
            <w:pPr>
              <w:pStyle w:val="InstructionsText"/>
            </w:pPr>
            <w:r>
              <w:t>130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Ειδικές προσαρμογές πιστωτικού κινδύνου</w:t>
            </w:r>
          </w:p>
          <w:p w:rsidR="005643EA" w:rsidRPr="00392FFD" w:rsidRDefault="002648B0" w:rsidP="00FD239F">
            <w:pPr>
              <w:pStyle w:val="InstructionsText"/>
            </w:pPr>
            <w:r>
              <w:t>Άρθρο 159 του ΚΚΑ</w:t>
            </w:r>
          </w:p>
          <w:p w:rsidR="005643EA" w:rsidRPr="00392FFD" w:rsidRDefault="002648B0" w:rsidP="00FD239F">
            <w:pPr>
              <w:pStyle w:val="InstructionsText"/>
            </w:pPr>
            <w:r>
              <w:t>Το στοιχείο αυτό αναφέρεται μόνο από ιδρύματα IRB.</w:t>
            </w:r>
          </w:p>
        </w:tc>
      </w:tr>
      <w:tr w:rsidR="002648B0" w:rsidRPr="00392FFD" w:rsidTr="00672D2A">
        <w:tc>
          <w:tcPr>
            <w:tcW w:w="1506" w:type="dxa"/>
          </w:tcPr>
          <w:p w:rsidR="002648B0" w:rsidRPr="00392FFD" w:rsidRDefault="002648B0" w:rsidP="00FD239F">
            <w:pPr>
              <w:pStyle w:val="InstructionsText"/>
            </w:pPr>
            <w:r>
              <w:t>131</w:t>
            </w:r>
          </w:p>
          <w:p w:rsidR="005643EA" w:rsidRPr="00392FFD" w:rsidRDefault="005643EA" w:rsidP="00FD239F">
            <w:pPr>
              <w:pStyle w:val="InstructionsText"/>
            </w:pP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Πρόσθετες προσαρμογές αξίας και άλλες μειώσεις ιδίων κ</w:t>
            </w:r>
            <w:r>
              <w:rPr>
                <w:rStyle w:val="InstructionsTabelleberschrift"/>
                <w:rFonts w:ascii="Times New Roman" w:hAnsi="Times New Roman"/>
                <w:sz w:val="24"/>
              </w:rPr>
              <w:t>ε</w:t>
            </w:r>
            <w:r>
              <w:rPr>
                <w:rStyle w:val="InstructionsTabelleberschrift"/>
                <w:rFonts w:ascii="Times New Roman" w:hAnsi="Times New Roman"/>
                <w:sz w:val="24"/>
              </w:rPr>
              <w:t>φαλαίων</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Άρθρα 34, 110 και 159 του ΚΚΑ</w:t>
            </w:r>
          </w:p>
          <w:p w:rsidR="005643EA" w:rsidRPr="00201704" w:rsidRDefault="002648B0" w:rsidP="00FD239F">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w:t>
            </w:r>
          </w:p>
        </w:tc>
      </w:tr>
      <w:tr w:rsidR="002648B0" w:rsidRPr="00392FFD" w:rsidTr="00672D2A">
        <w:tc>
          <w:tcPr>
            <w:tcW w:w="1506" w:type="dxa"/>
          </w:tcPr>
          <w:p w:rsidR="002648B0" w:rsidRPr="00392FFD" w:rsidRDefault="002648B0" w:rsidP="00FD239F">
            <w:pPr>
              <w:pStyle w:val="InstructionsText"/>
            </w:pPr>
            <w:r>
              <w:t>140</w:t>
            </w:r>
          </w:p>
        </w:tc>
        <w:tc>
          <w:tcPr>
            <w:tcW w:w="7243" w:type="dxa"/>
          </w:tcPr>
          <w:p w:rsidR="005643EA" w:rsidRPr="00392FFD" w:rsidRDefault="002648B0" w:rsidP="00FD239F">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Συνολικές επιλέξιμες αναμενόμενες ζημίες </w:t>
            </w:r>
          </w:p>
          <w:p w:rsidR="005643EA" w:rsidRPr="00392FFD" w:rsidRDefault="002648B0" w:rsidP="00FD239F">
            <w:pPr>
              <w:pStyle w:val="InstructionsText"/>
            </w:pPr>
            <w:r>
              <w:t>Άρθρο 158 παράγραφοι 5, 6 και 10 και άρθρο 159 του ΚΚΑ</w:t>
            </w:r>
          </w:p>
          <w:p w:rsidR="005643EA" w:rsidRPr="00392FFD" w:rsidRDefault="00F11185" w:rsidP="00FD239F">
            <w:pPr>
              <w:pStyle w:val="InstructionsText"/>
            </w:pPr>
            <w:r>
              <w:t>Το στοιχείο αυτό αναφέρεται μόνο από ιδρύματα IRB. Αναφέρεται μόνο η αναμενόμενη ζημία που συνδέεται με ανοίγματα που δεν είναι σε αθ</w:t>
            </w:r>
            <w:r>
              <w:t>έ</w:t>
            </w:r>
            <w:r>
              <w:t>τηση.</w:t>
            </w:r>
          </w:p>
        </w:tc>
      </w:tr>
      <w:tr w:rsidR="00F11185" w:rsidRPr="00392FFD" w:rsidTr="00672D2A">
        <w:tc>
          <w:tcPr>
            <w:tcW w:w="1506" w:type="dxa"/>
          </w:tcPr>
          <w:p w:rsidR="00F11185" w:rsidRPr="00392FFD" w:rsidRDefault="00F11185" w:rsidP="00FD239F">
            <w:pPr>
              <w:pStyle w:val="InstructionsText"/>
            </w:pPr>
            <w:r>
              <w:t>145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Υπερβάλλον ποσό (+) ή υστέρηση (-) IRB των ειδικών προσαρμ</w:t>
            </w:r>
            <w:r>
              <w:rPr>
                <w:rStyle w:val="InstructionsTabelleberschrift"/>
                <w:rFonts w:ascii="Times New Roman" w:hAnsi="Times New Roman"/>
                <w:sz w:val="24"/>
              </w:rPr>
              <w:t>ο</w:t>
            </w:r>
            <w:r>
              <w:rPr>
                <w:rStyle w:val="InstructionsTabelleberschrift"/>
                <w:rFonts w:ascii="Times New Roman" w:hAnsi="Times New Roman"/>
                <w:sz w:val="24"/>
              </w:rPr>
              <w:t>γών πιστωτικού κινδύνου για αναμενόμενες ζημίες από ανοίγματα σε αθέτηση</w:t>
            </w:r>
          </w:p>
          <w:p w:rsidR="005643EA" w:rsidRPr="00392FFD" w:rsidRDefault="00630711" w:rsidP="00FD239F">
            <w:pPr>
              <w:pStyle w:val="InstructionsText"/>
            </w:pPr>
            <w:r>
              <w:t>Άρθρο 36 παράγραφος 1 στοιχείο δ), άρθρο 62 στοιχείο δ), άρθρα 158 και 159 του ΚΚΑ</w:t>
            </w:r>
          </w:p>
          <w:p w:rsidR="005643EA" w:rsidRPr="00201704" w:rsidRDefault="00630711" w:rsidP="00FD239F">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w:t>
            </w:r>
          </w:p>
        </w:tc>
      </w:tr>
      <w:tr w:rsidR="00F11185" w:rsidRPr="00392FFD" w:rsidTr="00672D2A">
        <w:tc>
          <w:tcPr>
            <w:tcW w:w="1506" w:type="dxa"/>
          </w:tcPr>
          <w:p w:rsidR="00F11185" w:rsidRPr="00392FFD" w:rsidRDefault="00F11185" w:rsidP="00FD239F">
            <w:pPr>
              <w:pStyle w:val="InstructionsText"/>
            </w:pPr>
            <w:r>
              <w:t>150</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Ειδικές προσαρμογές πιστωτικού κινδύνου και θέσεις που αντιμετωπίζονται παρομοίως</w:t>
            </w:r>
          </w:p>
          <w:p w:rsidR="005643EA" w:rsidRPr="00392FFD" w:rsidRDefault="00630711" w:rsidP="00FD239F">
            <w:pPr>
              <w:pStyle w:val="InstructionsText"/>
            </w:pPr>
            <w:r>
              <w:t>Άρθρο 159 του ΚΚΑ</w:t>
            </w:r>
          </w:p>
          <w:p w:rsidR="005643EA" w:rsidRPr="00201704" w:rsidRDefault="00630711" w:rsidP="00FD239F">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w:t>
            </w:r>
          </w:p>
        </w:tc>
      </w:tr>
      <w:tr w:rsidR="00F11185" w:rsidRPr="00392FFD" w:rsidTr="00672D2A">
        <w:tc>
          <w:tcPr>
            <w:tcW w:w="1506" w:type="dxa"/>
          </w:tcPr>
          <w:p w:rsidR="00F11185" w:rsidRPr="00392FFD" w:rsidRDefault="00F11185" w:rsidP="00FD239F">
            <w:pPr>
              <w:pStyle w:val="InstructionsText"/>
            </w:pPr>
            <w:r>
              <w:t>155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Συνολικές επιλέξιμες αναμενόμενες ζημίες</w:t>
            </w:r>
          </w:p>
          <w:p w:rsidR="005643EA" w:rsidRPr="00392FFD" w:rsidRDefault="00630711" w:rsidP="00FD239F">
            <w:pPr>
              <w:pStyle w:val="InstructionsText"/>
              <w:rPr>
                <w:rStyle w:val="InstructionsTabelleberschrift"/>
                <w:rFonts w:ascii="Times New Roman" w:hAnsi="Times New Roman"/>
                <w:sz w:val="24"/>
              </w:rPr>
            </w:pPr>
            <w:r>
              <w:t>Άρθρο 158 παράγραφοι 5, 6 και 10 και άρθρο 159 του ΚΚΑ</w:t>
            </w:r>
          </w:p>
          <w:p w:rsidR="005643EA" w:rsidRPr="00201704" w:rsidRDefault="00F11185" w:rsidP="00FD239F">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 Αναφέρεται μ</w:t>
            </w:r>
            <w:r>
              <w:t>ό</w:t>
            </w:r>
            <w:r>
              <w:t>νον η αναμενόμενη ζημία που συνδέεται με ανοίγματα σε αθέτηση.</w:t>
            </w:r>
          </w:p>
        </w:tc>
      </w:tr>
      <w:tr w:rsidR="002648B0" w:rsidRPr="00392FFD" w:rsidTr="00672D2A">
        <w:tc>
          <w:tcPr>
            <w:tcW w:w="1506" w:type="dxa"/>
          </w:tcPr>
          <w:p w:rsidR="002648B0" w:rsidRPr="00392FFD" w:rsidRDefault="002648B0" w:rsidP="00FD239F">
            <w:pPr>
              <w:pStyle w:val="InstructionsText"/>
            </w:pPr>
            <w:r>
              <w:t>160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 xml:space="preserve">Ποσά ανοίγματος σταθμισμένα ως προς τον κίνδυνο για τον </w:t>
            </w:r>
            <w:r>
              <w:rPr>
                <w:rStyle w:val="InstructionsTabelleberschrift"/>
                <w:rFonts w:ascii="Times New Roman" w:hAnsi="Times New Roman"/>
                <w:sz w:val="24"/>
              </w:rPr>
              <w:lastRenderedPageBreak/>
              <w:t>υπολογισμό του ανώτατου ορίου ως προς το υπερβάλλον ποσό της πρόβλεψης που είναι επιλέξιμο ως Τ2</w:t>
            </w:r>
          </w:p>
          <w:p w:rsidR="005643EA" w:rsidRPr="00392FFD" w:rsidRDefault="002648B0" w:rsidP="00FD239F">
            <w:pPr>
              <w:pStyle w:val="InstructionsText"/>
            </w:pPr>
            <w:r>
              <w:t>Άρθρο 62 στοιχείο δ) του ΚΚΑ</w:t>
            </w:r>
          </w:p>
          <w:p w:rsidR="005643EA" w:rsidRPr="00392FFD" w:rsidRDefault="002648B0" w:rsidP="00FD239F">
            <w:pPr>
              <w:pStyle w:val="InstructionsText"/>
            </w:pPr>
            <w:r>
              <w:t>Για τα ιδρύματα που εφαρμόζουν την προσέγγιση IRB, σύμφωνα με το άρθρο 62 στοιχείο δ) του ΚΚΑ, το υπερβάλλον ποσό των προβλέψεων (για τις αναμενόμενες ζημίες) που είναι επιλέξιμο για να συμπεριληφθεί στο κεφάλαιο της κατηγορίας 2 έχει ως ανώτατο όριο το 0,6 % των σταθμισμένων ως προς τον κίνδυνο ποσών ανοίγματος που υπολογίζ</w:t>
            </w:r>
            <w:r>
              <w:t>ο</w:t>
            </w:r>
            <w:r>
              <w:t>νται με την προσέγγιση IRB.</w:t>
            </w:r>
          </w:p>
          <w:p w:rsidR="005643EA" w:rsidRPr="00392FFD" w:rsidRDefault="002648B0" w:rsidP="00FD239F">
            <w:pPr>
              <w:pStyle w:val="InstructionsText"/>
            </w:pPr>
            <w:r>
              <w:t>Το προς αναφορά ποσό στο συγκεκριμένο στοιχείο είναι τα ποσά ανοί</w:t>
            </w:r>
            <w:r>
              <w:t>γ</w:t>
            </w:r>
            <w:r>
              <w:t>ματος σταθμισμένα ως προς τον κίνδυνο (δηλαδή, μη πολλαπλασιασμ</w:t>
            </w:r>
            <w:r>
              <w:t>έ</w:t>
            </w:r>
            <w:r>
              <w:t>να επί 0,6 %), το οποίο αποτελεί τη βάση για τον υπολογισμό του αν</w:t>
            </w:r>
            <w:r>
              <w:t>ώ</w:t>
            </w:r>
            <w:r>
              <w:t>τατου ορίου.</w:t>
            </w:r>
          </w:p>
        </w:tc>
      </w:tr>
      <w:tr w:rsidR="002648B0" w:rsidRPr="00392FFD" w:rsidTr="00672D2A">
        <w:tc>
          <w:tcPr>
            <w:tcW w:w="1506" w:type="dxa"/>
          </w:tcPr>
          <w:p w:rsidR="002648B0" w:rsidRPr="00392FFD" w:rsidRDefault="002648B0" w:rsidP="00FD239F">
            <w:pPr>
              <w:pStyle w:val="InstructionsText"/>
            </w:pPr>
            <w:r>
              <w:lastRenderedPageBreak/>
              <w:t>170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Σύνολο ακαθάριστων προβλέψεων που είναι επιλέξιμες για συμπερίληψη στο κεφάλαιο T2</w:t>
            </w:r>
          </w:p>
          <w:p w:rsidR="005643EA" w:rsidRPr="00392FFD" w:rsidRDefault="002648B0" w:rsidP="00FD239F">
            <w:pPr>
              <w:pStyle w:val="InstructionsText"/>
            </w:pPr>
            <w:r>
              <w:t>Άρθρο 62 στοιχείο γ) του ΚΚΑ</w:t>
            </w:r>
          </w:p>
          <w:p w:rsidR="005643EA" w:rsidRPr="00392FFD" w:rsidRDefault="002648B0" w:rsidP="00FD239F">
            <w:pPr>
              <w:pStyle w:val="InstructionsText"/>
            </w:pPr>
            <w:r>
              <w:t>Το συγκεκριμένο στοιχείο περιλαμβάνει τις γενικές προσαρμογές π</w:t>
            </w:r>
            <w:r>
              <w:t>ι</w:t>
            </w:r>
            <w:r>
              <w:t>στωτικού κινδύνου που είναι επιλέξιμες για συμπερίληψη στο κεφάλαιο Τ2, πριν από την εφαρμογή του ανώτατου ορίου.</w:t>
            </w:r>
          </w:p>
          <w:p w:rsidR="005643EA" w:rsidRPr="00392FFD" w:rsidRDefault="002648B0" w:rsidP="00FD239F">
            <w:pPr>
              <w:pStyle w:val="InstructionsText"/>
            </w:pPr>
            <w:r>
              <w:t>Το προς αναφορά ποσό περιλαμβάνει τις επιπτώσεις του φόρου.</w:t>
            </w:r>
          </w:p>
        </w:tc>
      </w:tr>
      <w:tr w:rsidR="002648B0" w:rsidRPr="00392FFD" w:rsidTr="00672D2A">
        <w:tc>
          <w:tcPr>
            <w:tcW w:w="1506" w:type="dxa"/>
          </w:tcPr>
          <w:p w:rsidR="002648B0" w:rsidRPr="00392FFD" w:rsidRDefault="002648B0" w:rsidP="00FD239F">
            <w:pPr>
              <w:pStyle w:val="InstructionsText"/>
            </w:pPr>
            <w:r>
              <w:t>180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Ποσά ανοίγματος σταθμισμένα ως προς τον κίνδυνο για τον υπολογισμό του ανώτατου ορίου ως προς την πρόβλεψη που είναι επιλέξιμη ως Τ2</w:t>
            </w:r>
          </w:p>
          <w:p w:rsidR="005643EA" w:rsidRPr="00392FFD" w:rsidRDefault="002648B0" w:rsidP="00FD239F">
            <w:pPr>
              <w:pStyle w:val="InstructionsText"/>
            </w:pPr>
            <w:r>
              <w:t>Άρθρο 62 στοιχείο γ) του ΚΚΑ</w:t>
            </w:r>
          </w:p>
          <w:p w:rsidR="005643EA" w:rsidRPr="00392FFD" w:rsidRDefault="002648B0" w:rsidP="00FD239F">
            <w:pPr>
              <w:pStyle w:val="InstructionsText"/>
            </w:pPr>
            <w:r>
              <w:t>Σύμφωνα με το άρθρο 62 στοιχείο γ) του ΚΚΑ, οι προσαρμογές πιστ</w:t>
            </w:r>
            <w:r>
              <w:t>ω</w:t>
            </w:r>
            <w:r>
              <w:t>τικού κινδύνου που είναι επιλέξιμες για συμπερίληψη στο κεφάλαιο της κατηγορίας 2 έχουν ως ανώτατο όριο το 1,25 % των σταθμισμένων ως προς τον κίνδυνο ποσών ανοίγματος.</w:t>
            </w:r>
          </w:p>
          <w:p w:rsidR="005643EA" w:rsidRPr="00392FFD" w:rsidRDefault="002648B0" w:rsidP="00FD239F">
            <w:pPr>
              <w:pStyle w:val="InstructionsText"/>
            </w:pPr>
            <w:r>
              <w:t>Το προς αναφορά ποσό στο συγκεκριμένο στοιχείο είναι τα ποσά ανοί</w:t>
            </w:r>
            <w:r>
              <w:t>γ</w:t>
            </w:r>
            <w:r>
              <w:t>ματος σταθμισμένα ως προς τον κίνδυνο (δηλαδή, μη πολλαπλασιασμ</w:t>
            </w:r>
            <w:r>
              <w:t>έ</w:t>
            </w:r>
            <w:r>
              <w:t>να επί 1,25 %), το οποίο αποτελεί τη βάση για τον υπολογισμό του αν</w:t>
            </w:r>
            <w:r>
              <w:t>ώ</w:t>
            </w:r>
            <w:r>
              <w:t>τατου ορίου.</w:t>
            </w:r>
          </w:p>
        </w:tc>
      </w:tr>
      <w:tr w:rsidR="002648B0" w:rsidRPr="00392FFD" w:rsidTr="00672D2A">
        <w:tc>
          <w:tcPr>
            <w:tcW w:w="1506" w:type="dxa"/>
          </w:tcPr>
          <w:p w:rsidR="002648B0" w:rsidRPr="00392FFD" w:rsidRDefault="002648B0" w:rsidP="00FD239F">
            <w:pPr>
              <w:pStyle w:val="InstructionsText"/>
            </w:pPr>
            <w:r>
              <w:t>190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Κατώτατο όριο μη αφαιρούμενων συμμετοχών σε οντότητες του χρηματοπιστωτικού τομέα όπου το ίδρυμα δεν έχει σημαντική επένδυση</w:t>
            </w:r>
          </w:p>
          <w:p w:rsidR="005643EA" w:rsidRPr="00392FFD" w:rsidRDefault="002648B0" w:rsidP="00FD239F">
            <w:pPr>
              <w:pStyle w:val="InstructionsText"/>
            </w:pPr>
            <w:r>
              <w:t>Άρθρο 46 παράγραφος 1 στοιχείο α) του ΚΚΑ</w:t>
            </w:r>
          </w:p>
          <w:p w:rsidR="005643EA" w:rsidRPr="00392FFD" w:rsidRDefault="002648B0" w:rsidP="00FD239F">
            <w:pPr>
              <w:pStyle w:val="InstructionsText"/>
            </w:pPr>
            <w:r>
              <w:t xml:space="preserve">Το στοιχείο αυτό περιλαμβάνει το κατώτατο όριο έως το οποίο δεν </w:t>
            </w:r>
            <w:r>
              <w:t>α</w:t>
            </w:r>
            <w:r>
              <w:t xml:space="preserve">φαιρούνται οι συμμετοχές σε οντότητες χρηματοπιστωτικού τομέα όπου το ίδρυμα δεν έχει σημαντική επένδυση. Το ποσό προκύπτει από το </w:t>
            </w:r>
            <w:r>
              <w:t>ά</w:t>
            </w:r>
            <w:r>
              <w:t>θροισμα όλων των στοιχείων τα οποία αποτελούν τη βάση του κατώτ</w:t>
            </w:r>
            <w:r>
              <w:t>α</w:t>
            </w:r>
            <w:r>
              <w:t>του ορίου και τον πολλαπλασιασμό του ποσού που προκύπτει επί 10 %.</w:t>
            </w:r>
          </w:p>
        </w:tc>
      </w:tr>
      <w:tr w:rsidR="002648B0" w:rsidRPr="00392FFD" w:rsidTr="00672D2A">
        <w:tc>
          <w:tcPr>
            <w:tcW w:w="1506" w:type="dxa"/>
          </w:tcPr>
          <w:p w:rsidR="002648B0" w:rsidRPr="00392FFD" w:rsidRDefault="002648B0" w:rsidP="00FD239F">
            <w:pPr>
              <w:pStyle w:val="InstructionsText"/>
            </w:pPr>
            <w:r>
              <w:t>200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Κατώτατο όριο 10 % του CET1 </w:t>
            </w:r>
          </w:p>
          <w:p w:rsidR="005643EA" w:rsidRPr="00392FFD" w:rsidRDefault="002648B0" w:rsidP="00FD239F">
            <w:pPr>
              <w:pStyle w:val="InstructionsText"/>
            </w:pPr>
            <w:r>
              <w:lastRenderedPageBreak/>
              <w:t>Άρθρο 48 παράγραφος 1 στοιχεία α) και β) του ΚΚΑ</w:t>
            </w:r>
          </w:p>
          <w:p w:rsidR="005643EA" w:rsidRPr="00392FFD" w:rsidRDefault="002648B0" w:rsidP="00FD239F">
            <w:pPr>
              <w:pStyle w:val="InstructionsText"/>
            </w:pPr>
            <w:r>
              <w:t>Το στοιχείο αυτό περιέχει το κατώτατο όριο του 10 % για συμμετοχές σε οντότητες χρηματοπιστωτικού τομέα όπου το ίδρυμα έχει σημαντική επένδυση και για αναβαλλόμενες φορολογικές απαιτήσεις που εξαρτ</w:t>
            </w:r>
            <w:r>
              <w:t>ώ</w:t>
            </w:r>
            <w:r>
              <w:t>νται από τη μελλοντική κερδοφορία και προκύπτουν από προσωρινές διαφορές.</w:t>
            </w:r>
          </w:p>
          <w:p w:rsidR="005643EA" w:rsidRPr="00392FFD" w:rsidRDefault="003C7853" w:rsidP="00FD239F">
            <w:pPr>
              <w:pStyle w:val="InstructionsText"/>
            </w:pPr>
            <w:r>
              <w:t>Το ποσό προκύπτει από το άθροισμα όλων των στοιχείων τα οποία απ</w:t>
            </w:r>
            <w:r>
              <w:t>ο</w:t>
            </w:r>
            <w:r>
              <w:t>τελούν τη βάση του κατώτατου ορίου και τον πολλαπλασιασμό του π</w:t>
            </w:r>
            <w:r>
              <w:t>ο</w:t>
            </w:r>
            <w:r>
              <w:t>σού που προκύπτει επί 10 %.</w:t>
            </w:r>
          </w:p>
        </w:tc>
      </w:tr>
      <w:tr w:rsidR="002648B0" w:rsidRPr="00392FFD" w:rsidTr="00672D2A">
        <w:tc>
          <w:tcPr>
            <w:tcW w:w="1506" w:type="dxa"/>
          </w:tcPr>
          <w:p w:rsidR="002648B0" w:rsidRPr="00392FFD" w:rsidRDefault="002648B0" w:rsidP="00FD239F">
            <w:pPr>
              <w:pStyle w:val="InstructionsText"/>
            </w:pPr>
            <w:r>
              <w:lastRenderedPageBreak/>
              <w:t>210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Κατώτατο όριο 17,65 % του CET1 </w:t>
            </w:r>
          </w:p>
          <w:p w:rsidR="005643EA" w:rsidRPr="00392FFD" w:rsidRDefault="002648B0" w:rsidP="00FD239F">
            <w:pPr>
              <w:pStyle w:val="InstructionsText"/>
            </w:pPr>
            <w:r>
              <w:t>Άρθρο 48 παράγραφος 1 του ΚΚΑ</w:t>
            </w:r>
          </w:p>
          <w:p w:rsidR="005643EA" w:rsidRPr="00392FFD" w:rsidRDefault="002648B0" w:rsidP="00FD239F">
            <w:pPr>
              <w:pStyle w:val="InstructionsText"/>
            </w:pPr>
            <w:r>
              <w:t>Το στοιχείο αυτό περιλαμβάνει το κατώτατο όριο του 17,65 % για συ</w:t>
            </w:r>
            <w:r>
              <w:t>μ</w:t>
            </w:r>
            <w:r>
              <w:t xml:space="preserve">μετοχές σε οντότητες του χρηματοπιστωτικού τομέα όπου το ίδρυμα </w:t>
            </w:r>
            <w:r>
              <w:t>έ</w:t>
            </w:r>
            <w:r>
              <w:t>χει σημαντική επένδυση και για αναβαλλόμενες φορολογικές απαιτήσεις που εξαρτώνται από τη μελλοντική κερδοφορία και προκύπτουν από προσωρινές διαφορές, που εφαρμόζεται μετά την εφαρμογή του κατ</w:t>
            </w:r>
            <w:r>
              <w:t>ώ</w:t>
            </w:r>
            <w:r>
              <w:t>τατου ορίου του 10 %.</w:t>
            </w:r>
          </w:p>
          <w:p w:rsidR="005643EA" w:rsidRPr="00392FFD" w:rsidRDefault="002648B0" w:rsidP="00FD239F">
            <w:pPr>
              <w:pStyle w:val="InstructionsText"/>
            </w:pPr>
            <w:r>
              <w:t>Το κατώτατο όριο υπολογίζεται έτσι ώστε το ποσό των δύο στοιχείων που αναγνωρίζεται να μην υπερβαίνει το 15 % του τελικού κεφαλαίου κοινών μετοχών της κατηγορίας 1, ήτοι του κεφαλαίου CET1 υπολογ</w:t>
            </w:r>
            <w:r>
              <w:t>ι</w:t>
            </w:r>
            <w:r>
              <w:t>ζόμενου έπειτα από κάθε αφαίρεση, εξαιρουμένων τυχόν προσαρμογών λόγω μεταβατικών διατάξεων.</w:t>
            </w:r>
          </w:p>
        </w:tc>
      </w:tr>
      <w:tr w:rsidR="00216D67" w:rsidRPr="00392FFD" w:rsidTr="00672D2A">
        <w:tc>
          <w:tcPr>
            <w:tcW w:w="1506" w:type="dxa"/>
          </w:tcPr>
          <w:p w:rsidR="00216D67" w:rsidRPr="00392FFD" w:rsidRDefault="00216D67" w:rsidP="00FD239F">
            <w:pPr>
              <w:pStyle w:val="InstructionsText"/>
            </w:pPr>
            <w:r>
              <w:t>225</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Επιλέξιμο κεφάλαιο για τους σκοπούς των ειδικών συμμετ</w:t>
            </w:r>
            <w:r>
              <w:rPr>
                <w:rStyle w:val="InstructionsTabelleberschrift"/>
                <w:rFonts w:ascii="Times New Roman" w:hAnsi="Times New Roman"/>
                <w:sz w:val="24"/>
              </w:rPr>
              <w:t>ο</w:t>
            </w:r>
            <w:r>
              <w:rPr>
                <w:rStyle w:val="InstructionsTabelleberschrift"/>
                <w:rFonts w:ascii="Times New Roman" w:hAnsi="Times New Roman"/>
                <w:sz w:val="24"/>
              </w:rPr>
              <w:t>χών εκτός του χρηματοπιστωτικού τομέα</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Άρθρο 4 παράγραφος 1 σημείο 71) στοιχείο α)</w:t>
            </w:r>
          </w:p>
        </w:tc>
      </w:tr>
      <w:tr w:rsidR="00216D67" w:rsidRPr="00392FFD" w:rsidTr="00672D2A">
        <w:tc>
          <w:tcPr>
            <w:tcW w:w="1506" w:type="dxa"/>
          </w:tcPr>
          <w:p w:rsidR="00216D67" w:rsidRPr="00392FFD" w:rsidRDefault="00216D67" w:rsidP="00FD239F">
            <w:pPr>
              <w:pStyle w:val="InstructionsText"/>
            </w:pPr>
            <w:r>
              <w:t>226</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Επιλέξιμο κεφάλαιο για τους σκοπούς των μεγάλων ανοιγμ</w:t>
            </w:r>
            <w:r>
              <w:rPr>
                <w:rStyle w:val="InstructionsTabelleberschrift"/>
                <w:rFonts w:ascii="Times New Roman" w:hAnsi="Times New Roman"/>
                <w:sz w:val="24"/>
              </w:rPr>
              <w:t>ά</w:t>
            </w:r>
            <w:r>
              <w:rPr>
                <w:rStyle w:val="InstructionsTabelleberschrift"/>
                <w:rFonts w:ascii="Times New Roman" w:hAnsi="Times New Roman"/>
                <w:sz w:val="24"/>
              </w:rPr>
              <w:t>των</w:t>
            </w:r>
          </w:p>
          <w:p w:rsidR="00216D67" w:rsidRPr="00201704" w:rsidRDefault="00216D67" w:rsidP="00FD239F">
            <w:pPr>
              <w:pStyle w:val="InstructionsText"/>
              <w:rPr>
                <w:rStyle w:val="InstructionsTabelleberschrift"/>
                <w:rFonts w:ascii="Times New Roman" w:hAnsi="Times New Roman"/>
                <w:b w:val="0"/>
                <w:bCs w:val="0"/>
                <w:sz w:val="24"/>
                <w:u w:val="none"/>
              </w:rPr>
            </w:pPr>
            <w:r>
              <w:t>Άρθρο 4 παράγραφος 1 σημείο 71) στοιχείο β)</w:t>
            </w:r>
          </w:p>
        </w:tc>
      </w:tr>
      <w:tr w:rsidR="002648B0" w:rsidRPr="00392FFD" w:rsidTr="00672D2A">
        <w:tc>
          <w:tcPr>
            <w:tcW w:w="1506" w:type="dxa"/>
          </w:tcPr>
          <w:p w:rsidR="002648B0" w:rsidRPr="00392FFD" w:rsidRDefault="002648B0" w:rsidP="00FD239F">
            <w:pPr>
              <w:pStyle w:val="InstructionsText"/>
            </w:pPr>
            <w:r>
              <w:t>230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Συμμετοχές σε κεφάλαιο CET1 οντοτήτων του χρηματοπ</w:t>
            </w:r>
            <w:r>
              <w:rPr>
                <w:rStyle w:val="InstructionsTabelleberschrift"/>
                <w:rFonts w:ascii="Times New Roman" w:hAnsi="Times New Roman"/>
                <w:sz w:val="24"/>
              </w:rPr>
              <w:t>ι</w:t>
            </w:r>
            <w:r>
              <w:rPr>
                <w:rStyle w:val="InstructionsTabelleberschrift"/>
                <w:rFonts w:ascii="Times New Roman" w:hAnsi="Times New Roman"/>
                <w:sz w:val="24"/>
              </w:rPr>
              <w:t>στωτικού τομέα όπου το ίδρυμα δεν έχει σημαντική επένδυση, χωρίς τις αρνητικές θέσεις</w:t>
            </w:r>
          </w:p>
          <w:p w:rsidR="005643EA" w:rsidRPr="00392FFD" w:rsidRDefault="002648B0" w:rsidP="00FD239F">
            <w:pPr>
              <w:pStyle w:val="InstructionsText"/>
            </w:pPr>
            <w:r>
              <w:t>Άρθρα 44 έως 46 και άρθρο 49 του ΚΚΑ</w:t>
            </w:r>
          </w:p>
        </w:tc>
      </w:tr>
      <w:tr w:rsidR="002648B0" w:rsidRPr="00392FFD" w:rsidTr="00672D2A">
        <w:tc>
          <w:tcPr>
            <w:tcW w:w="1506" w:type="dxa"/>
          </w:tcPr>
          <w:p w:rsidR="002648B0" w:rsidRPr="00392FFD" w:rsidRDefault="002648B0" w:rsidP="00FD239F">
            <w:pPr>
              <w:pStyle w:val="InstructionsText"/>
            </w:pPr>
            <w:r>
              <w:t>240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Άμεσες συμμετοχές σε κεφάλαιο CET1 οντοτήτων του χρ</w:t>
            </w:r>
            <w:r>
              <w:rPr>
                <w:rStyle w:val="InstructionsTabelleberschrift"/>
                <w:rFonts w:ascii="Times New Roman" w:hAnsi="Times New Roman"/>
                <w:sz w:val="24"/>
              </w:rPr>
              <w:t>η</w:t>
            </w:r>
            <w:r>
              <w:rPr>
                <w:rStyle w:val="InstructionsTabelleberschrift"/>
                <w:rFonts w:ascii="Times New Roman" w:hAnsi="Times New Roman"/>
                <w:sz w:val="24"/>
              </w:rPr>
              <w:t>ματοπιστωτικού τομέα όπου το ίδρυμα δεν έχει σημαντική επένδυση</w:t>
            </w:r>
          </w:p>
          <w:p w:rsidR="005643EA" w:rsidRPr="00392FFD" w:rsidRDefault="002648B0" w:rsidP="00FD239F">
            <w:pPr>
              <w:pStyle w:val="InstructionsText"/>
            </w:pPr>
            <w:r>
              <w:t>Άρθρα 44, 45, 46 και 49 του ΚΚΑ</w:t>
            </w:r>
          </w:p>
        </w:tc>
      </w:tr>
      <w:tr w:rsidR="002648B0" w:rsidRPr="00392FFD" w:rsidTr="00672D2A">
        <w:tc>
          <w:tcPr>
            <w:tcW w:w="1506" w:type="dxa"/>
          </w:tcPr>
          <w:p w:rsidR="002648B0" w:rsidRPr="00392FFD" w:rsidRDefault="002648B0" w:rsidP="00FD239F">
            <w:pPr>
              <w:pStyle w:val="InstructionsText"/>
            </w:pPr>
            <w:r>
              <w:t>250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Ακαθάριστες άμεσες συμμετοχές σε κεφάλαιο CET1 οντοτ</w:t>
            </w:r>
            <w:r>
              <w:rPr>
                <w:rStyle w:val="InstructionsTabelleberschrift"/>
                <w:rFonts w:ascii="Times New Roman" w:hAnsi="Times New Roman"/>
                <w:sz w:val="24"/>
              </w:rPr>
              <w:t>ή</w:t>
            </w:r>
            <w:r>
              <w:rPr>
                <w:rStyle w:val="InstructionsTabelleberschrift"/>
                <w:rFonts w:ascii="Times New Roman" w:hAnsi="Times New Roman"/>
                <w:sz w:val="24"/>
              </w:rPr>
              <w:t>των του χρηματοπιστωτικού τομέα όπου το ίδρυμα δεν έχει σημ</w:t>
            </w:r>
            <w:r>
              <w:rPr>
                <w:rStyle w:val="InstructionsTabelleberschrift"/>
                <w:rFonts w:ascii="Times New Roman" w:hAnsi="Times New Roman"/>
                <w:sz w:val="24"/>
              </w:rPr>
              <w:t>α</w:t>
            </w:r>
            <w:r>
              <w:rPr>
                <w:rStyle w:val="InstructionsTabelleberschrift"/>
                <w:rFonts w:ascii="Times New Roman" w:hAnsi="Times New Roman"/>
                <w:sz w:val="24"/>
              </w:rPr>
              <w:t>ντική επένδυση</w:t>
            </w:r>
          </w:p>
          <w:p w:rsidR="005643EA" w:rsidRPr="00392FFD" w:rsidRDefault="002648B0" w:rsidP="00FD239F">
            <w:pPr>
              <w:pStyle w:val="InstructionsText"/>
            </w:pPr>
            <w:r>
              <w:t>Άρθρα 44, 46 και 49 του ΚΚΑ</w:t>
            </w:r>
          </w:p>
          <w:p w:rsidR="005643EA" w:rsidRPr="00392FFD" w:rsidRDefault="002648B0" w:rsidP="00FD239F">
            <w:pPr>
              <w:pStyle w:val="InstructionsText"/>
            </w:pPr>
            <w:r>
              <w:t>Άμεσες συμμετοχές σε κεφάλαιο CET1 οντοτήτων του χρηματοπιστ</w:t>
            </w:r>
            <w:r>
              <w:t>ω</w:t>
            </w:r>
            <w:r>
              <w:t>τικού τομέα όπου το ίδρυμα δεν έχει σημαντική επένδυση, εκτός από:</w:t>
            </w:r>
          </w:p>
          <w:p w:rsidR="005643EA" w:rsidRPr="00392FFD" w:rsidRDefault="002648B0" w:rsidP="00FD239F">
            <w:pPr>
              <w:pStyle w:val="InstructionsText"/>
            </w:pPr>
            <w:r>
              <w:t>α)</w:t>
            </w:r>
            <w:r>
              <w:tab/>
              <w:t xml:space="preserve">θέσεις αναδοχής που τηρούνται για 5 εργάσιμες ημέρες κατ’ </w:t>
            </w:r>
            <w:r>
              <w:t>α</w:t>
            </w:r>
            <w:r>
              <w:lastRenderedPageBreak/>
              <w:t xml:space="preserve">νώτατο όριο· </w:t>
            </w:r>
          </w:p>
          <w:p w:rsidR="005643EA" w:rsidRPr="00392FFD" w:rsidRDefault="002648B0" w:rsidP="00FD239F">
            <w:pPr>
              <w:pStyle w:val="InstructionsText"/>
            </w:pPr>
            <w:r>
              <w:t>β)</w:t>
            </w:r>
            <w:r>
              <w:tab/>
              <w:t xml:space="preserve">τα ποσά που αφορούν τις επενδύσεις για τις οποίες εφαρμόζεται οποιαδήποτε εναλλακτική μέθοδος του άρθρου 49· και </w:t>
            </w:r>
          </w:p>
          <w:p w:rsidR="005643EA" w:rsidRPr="00392FFD" w:rsidRDefault="002648B0" w:rsidP="00FD239F">
            <w:pPr>
              <w:pStyle w:val="InstructionsText"/>
            </w:pPr>
            <w:r>
              <w:t>γ)</w:t>
            </w:r>
            <w:r>
              <w:tab/>
              <w:t>συμμετοχές που αντιμετωπίζονται ως αμοιβαίες συμμετοχές, σύμφωνα με το άρθρο 36 παράγραφος 1 στοιχείο ζ) του ΚΚΑ.</w:t>
            </w:r>
          </w:p>
        </w:tc>
      </w:tr>
      <w:tr w:rsidR="002648B0" w:rsidRPr="00392FFD" w:rsidTr="00672D2A">
        <w:tc>
          <w:tcPr>
            <w:tcW w:w="1506" w:type="dxa"/>
          </w:tcPr>
          <w:p w:rsidR="002648B0" w:rsidRPr="00392FFD" w:rsidRDefault="002648B0" w:rsidP="00FD239F">
            <w:pPr>
              <w:pStyle w:val="InstructionsText"/>
            </w:pPr>
            <w:r>
              <w:lastRenderedPageBreak/>
              <w:t>260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rsidR="005643EA" w:rsidRPr="00392FFD" w:rsidRDefault="002648B0" w:rsidP="00FD239F">
            <w:pPr>
              <w:pStyle w:val="InstructionsText"/>
            </w:pPr>
            <w:r>
              <w:t>Άρθρο 45 του ΚΚΑ</w:t>
            </w:r>
          </w:p>
          <w:p w:rsidR="005643EA" w:rsidRPr="00392FFD" w:rsidRDefault="002648B0" w:rsidP="00FD239F">
            <w:pPr>
              <w:pStyle w:val="InstructionsText"/>
            </w:pPr>
            <w:r>
              <w:t>Το άρθρο 45 του ΚΚΑ επιτρέπει τον συμψηφισμό αρνητικών θέσεων στο ίδιο υποκείμενο άνοιγμα, υπό την προϋπόθεση ότι η ληκτότητα της αρνητικής θέσης ταυτίζεται με τη ληκτότητα της θετικής ή ότι έχει εν</w:t>
            </w:r>
            <w:r>
              <w:t>α</w:t>
            </w:r>
            <w:r>
              <w:t>πομένουσα ληκτότητα τουλάχιστον ενός έτους.</w:t>
            </w:r>
          </w:p>
        </w:tc>
      </w:tr>
      <w:tr w:rsidR="002648B0" w:rsidRPr="00392FFD" w:rsidTr="00672D2A">
        <w:tc>
          <w:tcPr>
            <w:tcW w:w="1506" w:type="dxa"/>
          </w:tcPr>
          <w:p w:rsidR="002648B0" w:rsidRPr="00392FFD" w:rsidRDefault="002648B0" w:rsidP="00FD239F">
            <w:pPr>
              <w:pStyle w:val="InstructionsText"/>
            </w:pPr>
            <w:r>
              <w:t>270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Έμμεσες συμμετοχές σε κεφάλαιο CET1 οντοτήτων του χρ</w:t>
            </w:r>
            <w:r>
              <w:rPr>
                <w:rStyle w:val="InstructionsTabelleberschrift"/>
                <w:rFonts w:ascii="Times New Roman" w:hAnsi="Times New Roman"/>
                <w:sz w:val="24"/>
              </w:rPr>
              <w:t>η</w:t>
            </w:r>
            <w:r>
              <w:rPr>
                <w:rStyle w:val="InstructionsTabelleberschrift"/>
                <w:rFonts w:ascii="Times New Roman" w:hAnsi="Times New Roman"/>
                <w:sz w:val="24"/>
              </w:rPr>
              <w:t>ματοπιστωτικού τομέα όπου το ίδρυμα δεν έχει σημαντική επένδυση</w:t>
            </w:r>
          </w:p>
          <w:p w:rsidR="005643EA" w:rsidRPr="00392FFD" w:rsidRDefault="002648B0" w:rsidP="00FD239F">
            <w:pPr>
              <w:pStyle w:val="InstructionsText"/>
            </w:pPr>
            <w:r>
              <w:t>Άρθρο 4 παράγραφος 1 σημείο 114) και άρθρα 44 και 45 του ΚΚΑ</w:t>
            </w:r>
          </w:p>
        </w:tc>
      </w:tr>
      <w:tr w:rsidR="002648B0" w:rsidRPr="00392FFD" w:rsidTr="00672D2A">
        <w:tc>
          <w:tcPr>
            <w:tcW w:w="1506" w:type="dxa"/>
          </w:tcPr>
          <w:p w:rsidR="002648B0" w:rsidRPr="00392FFD" w:rsidRDefault="002648B0" w:rsidP="00FD239F">
            <w:pPr>
              <w:pStyle w:val="InstructionsText"/>
            </w:pPr>
            <w:r>
              <w:t>280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Ακαθάριστες έμμεσες συμμετοχές σε κεφάλαιο CET1 οντ</w:t>
            </w:r>
            <w:r>
              <w:rPr>
                <w:rStyle w:val="InstructionsTabelleberschrift"/>
                <w:rFonts w:ascii="Times New Roman" w:hAnsi="Times New Roman"/>
                <w:sz w:val="24"/>
              </w:rPr>
              <w:t>ο</w:t>
            </w:r>
            <w:r>
              <w:rPr>
                <w:rStyle w:val="InstructionsTabelleberschrift"/>
                <w:rFonts w:ascii="Times New Roman" w:hAnsi="Times New Roman"/>
                <w:sz w:val="24"/>
              </w:rPr>
              <w:t>τήτων του χρηματοπιστωτικού τομέα όπου το ίδρυμα δεν έχει σημ</w:t>
            </w:r>
            <w:r>
              <w:rPr>
                <w:rStyle w:val="InstructionsTabelleberschrift"/>
                <w:rFonts w:ascii="Times New Roman" w:hAnsi="Times New Roman"/>
                <w:sz w:val="24"/>
              </w:rPr>
              <w:t>α</w:t>
            </w:r>
            <w:r>
              <w:rPr>
                <w:rStyle w:val="InstructionsTabelleberschrift"/>
                <w:rFonts w:ascii="Times New Roman" w:hAnsi="Times New Roman"/>
                <w:sz w:val="24"/>
              </w:rPr>
              <w:t>ντική επένδυση</w:t>
            </w:r>
          </w:p>
          <w:p w:rsidR="005643EA" w:rsidRPr="00392FFD" w:rsidRDefault="002648B0" w:rsidP="00FD239F">
            <w:pPr>
              <w:pStyle w:val="InstructionsText"/>
            </w:pPr>
            <w:r>
              <w:t>Άρθρο 4 παράγραφος 1 σημείο 114) και άρθρα 44 και 45 του ΚΚΑ</w:t>
            </w:r>
          </w:p>
          <w:p w:rsidR="005643EA" w:rsidRPr="00392FFD" w:rsidRDefault="002648B0" w:rsidP="00FD239F">
            <w:pPr>
              <w:pStyle w:val="InstructionsText"/>
            </w:pPr>
            <w:r>
              <w:t>Το προς αναφορά ποσό είναι οι έμμεσες συμμετοχές στο χαρτοφυλάκιο συναλλαγών των κεφαλαιακών μέσων οντοτήτων του χρηματοπιστωτ</w:t>
            </w:r>
            <w:r>
              <w:t>ι</w:t>
            </w:r>
            <w:r>
              <w:t>κού τομέα, που έχουν τη μορφή τοποθετήσεων σε τίτλους συνδεδεμ</w:t>
            </w:r>
            <w:r>
              <w:t>έ</w:t>
            </w:r>
            <w:r>
              <w:t>νους με δείκτες. Λαμβάνεται υπολογίζοντας το υποκείμενο άνοιγμα στα κεφαλαιακά μέσα των οντοτήτων του χρηματοπιστωτικού τομέα που περιλαμβάνονται στους δείκτες αυτούς.</w:t>
            </w:r>
          </w:p>
          <w:p w:rsidR="005643EA" w:rsidRPr="00392FFD" w:rsidRDefault="002648B0" w:rsidP="00FD239F">
            <w:pPr>
              <w:pStyle w:val="InstructionsText"/>
            </w:pPr>
            <w:r>
              <w:t>Οι συμμετοχές που αντιμετωπίζονται ως αμοιβαίες συμμετοχές, σύμφ</w:t>
            </w:r>
            <w:r>
              <w:t>ω</w:t>
            </w:r>
            <w:r>
              <w:t>να με το άρθρο 36 παράγραφος 1 στοιχείο ζ) του ΚΚΑ, δεν περιλαμβ</w:t>
            </w:r>
            <w:r>
              <w:t>ά</w:t>
            </w:r>
            <w:r>
              <w:t>νονται.</w:t>
            </w:r>
          </w:p>
        </w:tc>
      </w:tr>
      <w:tr w:rsidR="002648B0" w:rsidRPr="00392FFD" w:rsidTr="00672D2A">
        <w:trPr>
          <w:trHeight w:val="850"/>
        </w:trPr>
        <w:tc>
          <w:tcPr>
            <w:tcW w:w="1506" w:type="dxa"/>
          </w:tcPr>
          <w:p w:rsidR="002648B0" w:rsidRPr="00392FFD" w:rsidRDefault="002648B0" w:rsidP="00FD239F">
            <w:pPr>
              <w:pStyle w:val="InstructionsText"/>
            </w:pPr>
            <w:r>
              <w:t>290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rsidR="005643EA" w:rsidRPr="00392FFD" w:rsidRDefault="002648B0" w:rsidP="00FD239F">
            <w:pPr>
              <w:pStyle w:val="InstructionsText"/>
            </w:pPr>
            <w:r>
              <w:t>Άρθρο 4 παράγραφος 1 σημείο 114) και άρθρο 45 του ΚΚΑ</w:t>
            </w:r>
          </w:p>
          <w:p w:rsidR="005643EA" w:rsidRPr="00392FFD" w:rsidRDefault="002648B0" w:rsidP="00FD239F">
            <w:pPr>
              <w:pStyle w:val="InstructionsText"/>
            </w:pPr>
            <w:r>
              <w:t>Το άρθρο 45 στοιχείο α) του ΚΚΑ επιτρέπει τον συμψηφισμό αρνητ</w:t>
            </w:r>
            <w:r>
              <w:t>ι</w:t>
            </w:r>
            <w:r>
              <w:t>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2648B0" w:rsidRPr="00392FFD" w:rsidTr="00672D2A">
        <w:tc>
          <w:tcPr>
            <w:tcW w:w="1506" w:type="dxa"/>
          </w:tcPr>
          <w:p w:rsidR="002648B0" w:rsidRPr="00392FFD" w:rsidRDefault="002648B0" w:rsidP="00FD239F">
            <w:pPr>
              <w:pStyle w:val="InstructionsText"/>
            </w:pPr>
            <w:r>
              <w:t>291</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Σύνθετες συμμετοχές σε κεφάλαιο CET1 οντοτήτων του χρ</w:t>
            </w:r>
            <w:r>
              <w:rPr>
                <w:rStyle w:val="InstructionsTabelleberschrift"/>
                <w:rFonts w:ascii="Times New Roman" w:hAnsi="Times New Roman"/>
                <w:sz w:val="24"/>
              </w:rPr>
              <w:t>η</w:t>
            </w:r>
            <w:r>
              <w:rPr>
                <w:rStyle w:val="InstructionsTabelleberschrift"/>
                <w:rFonts w:ascii="Times New Roman" w:hAnsi="Times New Roman"/>
                <w:sz w:val="24"/>
              </w:rPr>
              <w:t>ματοπιστωτικού τομέα όπου το ίδρυμα δεν έχει σημαντική επένδυση</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 παράγραφος 1 σημείο 126) και άρθρα 44 και 45 του ΚΚΑ</w:t>
            </w:r>
          </w:p>
        </w:tc>
      </w:tr>
      <w:tr w:rsidR="002648B0" w:rsidRPr="00392FFD" w:rsidTr="00672D2A">
        <w:tc>
          <w:tcPr>
            <w:tcW w:w="1506" w:type="dxa"/>
          </w:tcPr>
          <w:p w:rsidR="005643EA" w:rsidRPr="00392FFD" w:rsidRDefault="002648B0" w:rsidP="00FD239F">
            <w:pPr>
              <w:pStyle w:val="InstructionsText"/>
            </w:pPr>
            <w:r>
              <w:t>292</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Ακαθάριστες σύνθετες συμμετοχές σε κεφάλαιο CET1 οντ</w:t>
            </w:r>
            <w:r>
              <w:rPr>
                <w:rStyle w:val="InstructionsTabelleberschrift"/>
                <w:rFonts w:ascii="Times New Roman" w:hAnsi="Times New Roman"/>
                <w:sz w:val="24"/>
              </w:rPr>
              <w:t>ο</w:t>
            </w:r>
            <w:r>
              <w:rPr>
                <w:rStyle w:val="InstructionsTabelleberschrift"/>
                <w:rFonts w:ascii="Times New Roman" w:hAnsi="Times New Roman"/>
                <w:sz w:val="24"/>
              </w:rPr>
              <w:t>τήτων του χρηματοπιστωτικού τομέα όπου το ίδρυμα δεν έχει σημ</w:t>
            </w:r>
            <w:r>
              <w:rPr>
                <w:rStyle w:val="InstructionsTabelleberschrift"/>
                <w:rFonts w:ascii="Times New Roman" w:hAnsi="Times New Roman"/>
                <w:sz w:val="24"/>
              </w:rPr>
              <w:t>α</w:t>
            </w:r>
            <w:r>
              <w:rPr>
                <w:rStyle w:val="InstructionsTabelleberschrift"/>
                <w:rFonts w:ascii="Times New Roman" w:hAnsi="Times New Roman"/>
                <w:sz w:val="24"/>
              </w:rPr>
              <w:lastRenderedPageBreak/>
              <w:t>ντική επένδυση</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 παράγραφος 1 σημείο 126) και άρθρα 44 και 45 του ΚΚΑ</w:t>
            </w:r>
          </w:p>
        </w:tc>
      </w:tr>
      <w:tr w:rsidR="002648B0" w:rsidRPr="00392FFD" w:rsidTr="00672D2A">
        <w:tc>
          <w:tcPr>
            <w:tcW w:w="1506" w:type="dxa"/>
          </w:tcPr>
          <w:p w:rsidR="005643EA" w:rsidRPr="00392FFD" w:rsidRDefault="002648B0" w:rsidP="00FD239F">
            <w:pPr>
              <w:pStyle w:val="InstructionsText"/>
            </w:pPr>
            <w:r>
              <w:lastRenderedPageBreak/>
              <w:t>293</w:t>
            </w:r>
          </w:p>
        </w:tc>
        <w:tc>
          <w:tcPr>
            <w:tcW w:w="7243" w:type="dxa"/>
            <w:vAlign w:val="center"/>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w:t>
            </w:r>
            <w:r>
              <w:rPr>
                <w:rStyle w:val="InstructionsTabelleberschrift"/>
                <w:rFonts w:ascii="Times New Roman" w:hAnsi="Times New Roman"/>
                <w:sz w:val="24"/>
              </w:rPr>
              <w:t>ο</w:t>
            </w:r>
            <w:r>
              <w:rPr>
                <w:rStyle w:val="InstructionsTabelleberschrift"/>
                <w:rFonts w:ascii="Times New Roman" w:hAnsi="Times New Roman"/>
                <w:sz w:val="24"/>
              </w:rPr>
              <w:t>νται ανωτέρω</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 παράγραφος 1 σημείο 126) και άρθρο 45 του ΚΚΑ</w:t>
            </w:r>
          </w:p>
        </w:tc>
      </w:tr>
      <w:tr w:rsidR="002648B0" w:rsidRPr="00392FFD" w:rsidTr="00672D2A">
        <w:tc>
          <w:tcPr>
            <w:tcW w:w="1506" w:type="dxa"/>
          </w:tcPr>
          <w:p w:rsidR="002648B0" w:rsidRPr="00392FFD" w:rsidRDefault="002648B0" w:rsidP="00FD239F">
            <w:pPr>
              <w:pStyle w:val="InstructionsText"/>
            </w:pPr>
            <w:r>
              <w:t>300</w:t>
            </w: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Συμμετοχές σε κεφάλαιο AT1 οντοτήτων του χρηματοπιστ</w:t>
            </w:r>
            <w:r>
              <w:rPr>
                <w:rStyle w:val="InstructionsTabelleberschrift"/>
                <w:rFonts w:ascii="Times New Roman" w:hAnsi="Times New Roman"/>
                <w:sz w:val="24"/>
              </w:rPr>
              <w:t>ω</w:t>
            </w:r>
            <w:r>
              <w:rPr>
                <w:rStyle w:val="InstructionsTabelleberschrift"/>
                <w:rFonts w:ascii="Times New Roman" w:hAnsi="Times New Roman"/>
                <w:sz w:val="24"/>
              </w:rPr>
              <w:t>τικού τομέα όπου το ίδρυμα δεν έχει σημαντική επένδυση, χωρίς τις αρνητικές θέσεις</w:t>
            </w:r>
          </w:p>
          <w:p w:rsidR="005643EA" w:rsidRPr="00392FFD" w:rsidRDefault="002648B0" w:rsidP="00FD239F">
            <w:pPr>
              <w:pStyle w:val="InstructionsText"/>
            </w:pPr>
            <w:r>
              <w:t>Άρθρα 58 έως 60 του ΚΚΑ</w:t>
            </w:r>
          </w:p>
        </w:tc>
      </w:tr>
      <w:tr w:rsidR="002648B0" w:rsidRPr="00392FFD" w:rsidTr="00672D2A">
        <w:tc>
          <w:tcPr>
            <w:tcW w:w="1506" w:type="dxa"/>
          </w:tcPr>
          <w:p w:rsidR="002648B0" w:rsidRPr="00392FFD" w:rsidRDefault="002648B0" w:rsidP="00FD239F">
            <w:pPr>
              <w:pStyle w:val="InstructionsText"/>
            </w:pPr>
            <w:r>
              <w:t>310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Άμεσες συμμετοχές σε κεφάλαιο AT1 οντοτήτων του χρημ</w:t>
            </w:r>
            <w:r>
              <w:rPr>
                <w:rStyle w:val="InstructionsTabelleberschrift"/>
                <w:rFonts w:ascii="Times New Roman" w:hAnsi="Times New Roman"/>
                <w:sz w:val="24"/>
              </w:rPr>
              <w:t>α</w:t>
            </w:r>
            <w:r>
              <w:rPr>
                <w:rStyle w:val="InstructionsTabelleberschrift"/>
                <w:rFonts w:ascii="Times New Roman" w:hAnsi="Times New Roman"/>
                <w:sz w:val="24"/>
              </w:rPr>
              <w:t>τοπιστωτικού τομέα όπου το ίδρυμα δεν έχει σημαντική επένδυση</w:t>
            </w:r>
          </w:p>
          <w:p w:rsidR="005643EA" w:rsidRPr="00392FFD" w:rsidRDefault="002648B0" w:rsidP="00FD239F">
            <w:pPr>
              <w:pStyle w:val="InstructionsText"/>
            </w:pPr>
            <w:r>
              <w:t>Άρθρο 58, άρθρο 59 και άρθρο 60 παράγραφος 2 του ΚΚΑ.</w:t>
            </w:r>
          </w:p>
        </w:tc>
      </w:tr>
      <w:tr w:rsidR="002648B0" w:rsidRPr="00392FFD" w:rsidTr="00672D2A">
        <w:tc>
          <w:tcPr>
            <w:tcW w:w="1506" w:type="dxa"/>
          </w:tcPr>
          <w:p w:rsidR="002648B0" w:rsidRPr="00392FFD" w:rsidRDefault="002648B0" w:rsidP="00FD239F">
            <w:pPr>
              <w:pStyle w:val="InstructionsText"/>
            </w:pPr>
            <w:r>
              <w:t>320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Ακαθάριστες άμεσες συμμετοχές σε κεφάλαιο AT1 οντοτ</w:t>
            </w:r>
            <w:r>
              <w:rPr>
                <w:rStyle w:val="InstructionsTabelleberschrift"/>
                <w:rFonts w:ascii="Times New Roman" w:hAnsi="Times New Roman"/>
                <w:sz w:val="24"/>
              </w:rPr>
              <w:t>ή</w:t>
            </w:r>
            <w:r>
              <w:rPr>
                <w:rStyle w:val="InstructionsTabelleberschrift"/>
                <w:rFonts w:ascii="Times New Roman" w:hAnsi="Times New Roman"/>
                <w:sz w:val="24"/>
              </w:rPr>
              <w:t>των του χρηματοπιστωτικού τομέα όπου το ίδρυμα δεν έχει σημ</w:t>
            </w:r>
            <w:r>
              <w:rPr>
                <w:rStyle w:val="InstructionsTabelleberschrift"/>
                <w:rFonts w:ascii="Times New Roman" w:hAnsi="Times New Roman"/>
                <w:sz w:val="24"/>
              </w:rPr>
              <w:t>α</w:t>
            </w:r>
            <w:r>
              <w:rPr>
                <w:rStyle w:val="InstructionsTabelleberschrift"/>
                <w:rFonts w:ascii="Times New Roman" w:hAnsi="Times New Roman"/>
                <w:sz w:val="24"/>
              </w:rPr>
              <w:t>ντική επένδυση</w:t>
            </w:r>
          </w:p>
          <w:p w:rsidR="005643EA" w:rsidRPr="00392FFD" w:rsidRDefault="002648B0" w:rsidP="00FD239F">
            <w:pPr>
              <w:pStyle w:val="InstructionsText"/>
            </w:pPr>
            <w:r>
              <w:t>Άρθρο 58 και άρθρο 60 παράγραφος 2 του ΚΚΑ.</w:t>
            </w:r>
          </w:p>
          <w:p w:rsidR="005643EA" w:rsidRPr="00392FFD" w:rsidRDefault="002648B0" w:rsidP="00FD239F">
            <w:pPr>
              <w:pStyle w:val="InstructionsText"/>
            </w:pPr>
            <w:r>
              <w:t>Άμεσες συμμετοχές σε κεφάλαιο AT1 οντοτήτων του χρηματοπιστωτ</w:t>
            </w:r>
            <w:r>
              <w:t>ι</w:t>
            </w:r>
            <w:r>
              <w:t>κού τομέα όπου το ίδρυμα δεν έχει σημαντική επένδυση, εκτός από:</w:t>
            </w:r>
          </w:p>
          <w:p w:rsidR="005643EA" w:rsidRPr="00392FFD" w:rsidRDefault="002648B0" w:rsidP="00FD239F">
            <w:pPr>
              <w:pStyle w:val="InstructionsText"/>
            </w:pPr>
            <w:r>
              <w:t>α)</w:t>
            </w:r>
            <w:r>
              <w:tab/>
              <w:t xml:space="preserve">θέσεις αναδοχής που τηρούνται για 5 εργάσιμες ημέρες κατ’ </w:t>
            </w:r>
            <w:r>
              <w:t>α</w:t>
            </w:r>
            <w:r>
              <w:t xml:space="preserve">νώτατο όριο· και </w:t>
            </w:r>
          </w:p>
          <w:p w:rsidR="005643EA" w:rsidRPr="00392FFD" w:rsidRDefault="002648B0" w:rsidP="00FD239F">
            <w:pPr>
              <w:pStyle w:val="InstructionsText"/>
            </w:pPr>
            <w:r>
              <w:t>β)</w:t>
            </w:r>
            <w:r>
              <w:tab/>
              <w:t>συμμετοχές που αντιμετωπίζονται ως αμοιβαίες συμμετοχές, σύμφωνα με το άρθρο 56 στοιχείο β) του ΚΚΑ.</w:t>
            </w:r>
          </w:p>
        </w:tc>
      </w:tr>
      <w:tr w:rsidR="002648B0" w:rsidRPr="00392FFD" w:rsidTr="00672D2A">
        <w:tc>
          <w:tcPr>
            <w:tcW w:w="1506" w:type="dxa"/>
          </w:tcPr>
          <w:p w:rsidR="002648B0" w:rsidRPr="00392FFD" w:rsidRDefault="002648B0" w:rsidP="00FD239F">
            <w:pPr>
              <w:pStyle w:val="InstructionsText"/>
            </w:pPr>
            <w:r>
              <w:t>330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rsidR="005643EA" w:rsidRPr="00392FFD" w:rsidRDefault="002648B0" w:rsidP="00FD239F">
            <w:pPr>
              <w:pStyle w:val="InstructionsText"/>
            </w:pPr>
            <w:r>
              <w:t>Άρθρο 59 του ΚΚΑ</w:t>
            </w:r>
          </w:p>
          <w:p w:rsidR="005643EA" w:rsidRPr="00392FFD" w:rsidRDefault="002648B0" w:rsidP="00FD239F">
            <w:pPr>
              <w:pStyle w:val="InstructionsText"/>
            </w:pPr>
            <w:r>
              <w:t>Το άρθρο 59 στοιχείο α) του ΚΚΑ επιτρέπει τον συμψηφισμό αρνητ</w:t>
            </w:r>
            <w:r>
              <w:t>ι</w:t>
            </w:r>
            <w:r>
              <w:t>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2648B0" w:rsidRPr="00392FFD" w:rsidTr="00672D2A">
        <w:tc>
          <w:tcPr>
            <w:tcW w:w="1506" w:type="dxa"/>
          </w:tcPr>
          <w:p w:rsidR="002648B0" w:rsidRPr="00392FFD" w:rsidRDefault="002648B0" w:rsidP="00FD239F">
            <w:pPr>
              <w:pStyle w:val="InstructionsText"/>
            </w:pPr>
            <w:r>
              <w:t>340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Έμμεσες συμμετοχές σε κεφάλαιο AT1 οντοτήτων του χρ</w:t>
            </w:r>
            <w:r>
              <w:rPr>
                <w:rStyle w:val="InstructionsTabelleberschrift"/>
                <w:rFonts w:ascii="Times New Roman" w:hAnsi="Times New Roman"/>
                <w:sz w:val="24"/>
              </w:rPr>
              <w:t>η</w:t>
            </w:r>
            <w:r>
              <w:rPr>
                <w:rStyle w:val="InstructionsTabelleberschrift"/>
                <w:rFonts w:ascii="Times New Roman" w:hAnsi="Times New Roman"/>
                <w:sz w:val="24"/>
              </w:rPr>
              <w:t>ματοπιστωτικού τομέα όπου το ίδρυμα δεν έχει σημαντική επένδυση</w:t>
            </w:r>
          </w:p>
          <w:p w:rsidR="005643EA" w:rsidRPr="00392FFD" w:rsidRDefault="002648B0" w:rsidP="00FD239F">
            <w:pPr>
              <w:pStyle w:val="InstructionsText"/>
            </w:pPr>
            <w:r>
              <w:t>Άρθρο 4 παράγραφος 1 σημείο 114) και άρθρα 58 και 59 του ΚΚΑ</w:t>
            </w:r>
          </w:p>
        </w:tc>
      </w:tr>
      <w:tr w:rsidR="002648B0" w:rsidRPr="00392FFD" w:rsidTr="00672D2A">
        <w:tc>
          <w:tcPr>
            <w:tcW w:w="1506" w:type="dxa"/>
          </w:tcPr>
          <w:p w:rsidR="002648B0" w:rsidRPr="00392FFD" w:rsidRDefault="002648B0" w:rsidP="00FD239F">
            <w:pPr>
              <w:pStyle w:val="InstructionsText"/>
            </w:pPr>
            <w:r>
              <w:t>350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Ακαθάριστες έμμεσες συμμετοχές σε κεφάλαιο AT1 οντοτ</w:t>
            </w:r>
            <w:r>
              <w:rPr>
                <w:rStyle w:val="InstructionsTabelleberschrift"/>
                <w:rFonts w:ascii="Times New Roman" w:hAnsi="Times New Roman"/>
                <w:sz w:val="24"/>
              </w:rPr>
              <w:t>ή</w:t>
            </w:r>
            <w:r>
              <w:rPr>
                <w:rStyle w:val="InstructionsTabelleberschrift"/>
                <w:rFonts w:ascii="Times New Roman" w:hAnsi="Times New Roman"/>
                <w:sz w:val="24"/>
              </w:rPr>
              <w:t>των του χρηματοπιστωτικού τομέα όπου το ίδρυμα δεν έχει σημ</w:t>
            </w:r>
            <w:r>
              <w:rPr>
                <w:rStyle w:val="InstructionsTabelleberschrift"/>
                <w:rFonts w:ascii="Times New Roman" w:hAnsi="Times New Roman"/>
                <w:sz w:val="24"/>
              </w:rPr>
              <w:t>α</w:t>
            </w:r>
            <w:r>
              <w:rPr>
                <w:rStyle w:val="InstructionsTabelleberschrift"/>
                <w:rFonts w:ascii="Times New Roman" w:hAnsi="Times New Roman"/>
                <w:sz w:val="24"/>
              </w:rPr>
              <w:t>ντική επένδυση</w:t>
            </w:r>
          </w:p>
          <w:p w:rsidR="005643EA" w:rsidRPr="00392FFD" w:rsidRDefault="002648B0" w:rsidP="00FD239F">
            <w:pPr>
              <w:pStyle w:val="InstructionsText"/>
            </w:pPr>
            <w:r>
              <w:t>Άρθρο 4 παράγραφος 1 σημείο 114) και άρθρα 58 και 59 του ΚΚΑ</w:t>
            </w:r>
          </w:p>
          <w:p w:rsidR="005643EA" w:rsidRPr="00392FFD" w:rsidRDefault="002648B0" w:rsidP="00FD239F">
            <w:pPr>
              <w:pStyle w:val="InstructionsText"/>
            </w:pPr>
            <w:r>
              <w:t>Το προς αναφορά ποσό είναι οι έμμεσες συμμετοχές στο χαρτοφυλάκιο συναλλαγών των κεφαλαιακών μέσων οντοτήτων του χρηματοπιστωτ</w:t>
            </w:r>
            <w:r>
              <w:t>ι</w:t>
            </w:r>
            <w:r>
              <w:t>κού τομέα, που έχουν τη μορφή τοποθετήσεων σε τίτλους συνδεδεμ</w:t>
            </w:r>
            <w:r>
              <w:t>έ</w:t>
            </w:r>
            <w:r>
              <w:lastRenderedPageBreak/>
              <w:t>νους με δείκτες. Λαμβάνεται υπολογίζοντας το υποκείμενο άνοιγμα στα κεφαλαιακά μέσα των οντοτήτων του χρηματοπιστωτικού τομέα που περιλαμβάνονται στους δείκτες αυτούς.</w:t>
            </w:r>
          </w:p>
          <w:p w:rsidR="005643EA" w:rsidRPr="00392FFD" w:rsidRDefault="002648B0" w:rsidP="00FD239F">
            <w:pPr>
              <w:pStyle w:val="InstructionsText"/>
            </w:pPr>
            <w:r>
              <w:t>Οι συμμετοχές που αντιμετωπίζονται ως αμοιβαίες συμμετοχές, σύμφ</w:t>
            </w:r>
            <w:r>
              <w:t>ω</w:t>
            </w:r>
            <w:r>
              <w:t>να με το άρθρο 56 στοιχείο β) του ΚΚΑ, δεν περιλαμβάνονται.</w:t>
            </w:r>
          </w:p>
        </w:tc>
      </w:tr>
      <w:tr w:rsidR="002648B0" w:rsidRPr="00392FFD" w:rsidTr="00672D2A">
        <w:tc>
          <w:tcPr>
            <w:tcW w:w="1506" w:type="dxa"/>
          </w:tcPr>
          <w:p w:rsidR="002648B0" w:rsidRPr="00392FFD" w:rsidRDefault="002648B0" w:rsidP="00FD239F">
            <w:pPr>
              <w:pStyle w:val="InstructionsText"/>
            </w:pPr>
            <w:r>
              <w:lastRenderedPageBreak/>
              <w:t>360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rsidR="005643EA" w:rsidRPr="00392FFD" w:rsidRDefault="002648B0" w:rsidP="00FD239F">
            <w:pPr>
              <w:pStyle w:val="InstructionsText"/>
            </w:pPr>
            <w:r>
              <w:t>Άρθρο 4 παράγραφος 1 σημείο 114) και άρθρο 59 του ΚΚΑ</w:t>
            </w:r>
          </w:p>
          <w:p w:rsidR="005643EA" w:rsidRPr="00392FFD" w:rsidRDefault="002648B0" w:rsidP="00FD239F">
            <w:pPr>
              <w:pStyle w:val="InstructionsText"/>
            </w:pPr>
            <w:r>
              <w:t>Το άρθρο 59 στοιχείο α) του ΚΚΑ επιτρέπει τον συμψηφισμό αρνητ</w:t>
            </w:r>
            <w:r>
              <w:t>ι</w:t>
            </w:r>
            <w:r>
              <w:t>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2648B0" w:rsidRPr="00392FFD" w:rsidTr="00672D2A">
        <w:tc>
          <w:tcPr>
            <w:tcW w:w="1506" w:type="dxa"/>
          </w:tcPr>
          <w:p w:rsidR="002648B0" w:rsidRPr="00392FFD" w:rsidRDefault="002648B0" w:rsidP="00FD239F">
            <w:pPr>
              <w:pStyle w:val="InstructionsText"/>
            </w:pPr>
            <w:r>
              <w:t>361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Σύνθετες συμμετοχές σε κεφάλαιο AT1 οντοτήτων του χρ</w:t>
            </w:r>
            <w:r>
              <w:rPr>
                <w:rStyle w:val="InstructionsTabelleberschrift"/>
                <w:rFonts w:ascii="Times New Roman" w:hAnsi="Times New Roman"/>
                <w:sz w:val="24"/>
              </w:rPr>
              <w:t>η</w:t>
            </w:r>
            <w:r>
              <w:rPr>
                <w:rStyle w:val="InstructionsTabelleberschrift"/>
                <w:rFonts w:ascii="Times New Roman" w:hAnsi="Times New Roman"/>
                <w:sz w:val="24"/>
              </w:rPr>
              <w:t>ματοπιστωτικού τομέα όπου το ίδρυμα δεν έχει σημαντική επένδυση</w:t>
            </w:r>
          </w:p>
          <w:p w:rsidR="005643EA" w:rsidRPr="00201704" w:rsidRDefault="002648B0" w:rsidP="00FD239F">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ΚΚΑ</w:t>
            </w:r>
          </w:p>
        </w:tc>
      </w:tr>
      <w:tr w:rsidR="002648B0" w:rsidRPr="00392FFD" w:rsidTr="00672D2A">
        <w:tc>
          <w:tcPr>
            <w:tcW w:w="1506" w:type="dxa"/>
          </w:tcPr>
          <w:p w:rsidR="002648B0" w:rsidRPr="00392FFD" w:rsidRDefault="002648B0" w:rsidP="00FD239F">
            <w:pPr>
              <w:pStyle w:val="InstructionsText"/>
            </w:pPr>
            <w:r>
              <w:t>362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Ακαθάριστες σύνθετες συμμετοχές σε κεφάλαιο AT1 οντοτ</w:t>
            </w:r>
            <w:r>
              <w:rPr>
                <w:rStyle w:val="InstructionsTabelleberschrift"/>
                <w:rFonts w:ascii="Times New Roman" w:hAnsi="Times New Roman"/>
                <w:sz w:val="24"/>
              </w:rPr>
              <w:t>ή</w:t>
            </w:r>
            <w:r>
              <w:rPr>
                <w:rStyle w:val="InstructionsTabelleberschrift"/>
                <w:rFonts w:ascii="Times New Roman" w:hAnsi="Times New Roman"/>
                <w:sz w:val="24"/>
              </w:rPr>
              <w:t>των του χρηματοπιστωτικού τομέα όπου το ίδρυμα δεν έχει σημ</w:t>
            </w:r>
            <w:r>
              <w:rPr>
                <w:rStyle w:val="InstructionsTabelleberschrift"/>
                <w:rFonts w:ascii="Times New Roman" w:hAnsi="Times New Roman"/>
                <w:sz w:val="24"/>
              </w:rPr>
              <w:t>α</w:t>
            </w:r>
            <w:r>
              <w:rPr>
                <w:rStyle w:val="InstructionsTabelleberschrift"/>
                <w:rFonts w:ascii="Times New Roman" w:hAnsi="Times New Roman"/>
                <w:sz w:val="24"/>
              </w:rPr>
              <w:t>ντική επένδυση</w:t>
            </w:r>
          </w:p>
          <w:p w:rsidR="005643EA" w:rsidRPr="00201704" w:rsidRDefault="002648B0" w:rsidP="00FD239F">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ΚΚΑ</w:t>
            </w:r>
          </w:p>
        </w:tc>
      </w:tr>
      <w:tr w:rsidR="002648B0" w:rsidRPr="00392FFD" w:rsidTr="00672D2A">
        <w:tc>
          <w:tcPr>
            <w:tcW w:w="1506" w:type="dxa"/>
          </w:tcPr>
          <w:p w:rsidR="002648B0" w:rsidRPr="00392FFD" w:rsidRDefault="002648B0" w:rsidP="00FD239F">
            <w:pPr>
              <w:pStyle w:val="InstructionsText"/>
            </w:pPr>
            <w:r>
              <w:t>363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w:t>
            </w:r>
            <w:r>
              <w:rPr>
                <w:rStyle w:val="InstructionsTabelleberschrift"/>
                <w:rFonts w:ascii="Times New Roman" w:hAnsi="Times New Roman"/>
                <w:sz w:val="24"/>
              </w:rPr>
              <w:t>ο</w:t>
            </w:r>
            <w:r>
              <w:rPr>
                <w:rStyle w:val="InstructionsTabelleberschrift"/>
                <w:rFonts w:ascii="Times New Roman" w:hAnsi="Times New Roman"/>
                <w:sz w:val="24"/>
              </w:rPr>
              <w:t>νται ανωτέρω</w:t>
            </w:r>
          </w:p>
          <w:p w:rsidR="005643EA" w:rsidRPr="00201704" w:rsidRDefault="002648B0" w:rsidP="00FD239F">
            <w:pPr>
              <w:pStyle w:val="InstructionsText"/>
              <w:rPr>
                <w:rStyle w:val="InstructionsTabelleberschrift"/>
                <w:rFonts w:ascii="Times New Roman" w:hAnsi="Times New Roman"/>
                <w:b w:val="0"/>
                <w:bCs w:val="0"/>
                <w:sz w:val="24"/>
                <w:u w:val="none"/>
              </w:rPr>
            </w:pPr>
            <w:r>
              <w:t>Άρθρο 4 παράγραφος 1 σημείο 126) και άρθρο 59 του ΚΚΑ</w:t>
            </w:r>
          </w:p>
        </w:tc>
      </w:tr>
      <w:tr w:rsidR="002648B0" w:rsidRPr="00392FFD" w:rsidTr="00672D2A">
        <w:tc>
          <w:tcPr>
            <w:tcW w:w="1506" w:type="dxa"/>
          </w:tcPr>
          <w:p w:rsidR="002648B0" w:rsidRPr="00392FFD" w:rsidRDefault="002648B0" w:rsidP="00FD239F">
            <w:pPr>
              <w:pStyle w:val="InstructionsText"/>
            </w:pPr>
            <w:r>
              <w:t>370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Συμμετοχές σε κεφάλαιο T2 οντοτήτων του χρηματοπιστωτ</w:t>
            </w:r>
            <w:r>
              <w:rPr>
                <w:rStyle w:val="InstructionsTabelleberschrift"/>
                <w:rFonts w:ascii="Times New Roman" w:hAnsi="Times New Roman"/>
                <w:sz w:val="24"/>
              </w:rPr>
              <w:t>ι</w:t>
            </w:r>
            <w:r>
              <w:rPr>
                <w:rStyle w:val="InstructionsTabelleberschrift"/>
                <w:rFonts w:ascii="Times New Roman" w:hAnsi="Times New Roman"/>
                <w:sz w:val="24"/>
              </w:rPr>
              <w:t>κού τομέα όπου το ίδρυμα δεν έχει σημαντική επένδυση, χωρίς τις αρνητικές θέσεις</w:t>
            </w:r>
          </w:p>
          <w:p w:rsidR="005643EA" w:rsidRPr="00392FFD" w:rsidRDefault="002648B0" w:rsidP="00FD239F">
            <w:pPr>
              <w:pStyle w:val="InstructionsText"/>
            </w:pPr>
            <w:r>
              <w:t>Άρθρα 68 έως 70 του ΚΚΑ</w:t>
            </w:r>
          </w:p>
        </w:tc>
      </w:tr>
      <w:tr w:rsidR="002648B0" w:rsidRPr="00392FFD" w:rsidTr="00672D2A">
        <w:tc>
          <w:tcPr>
            <w:tcW w:w="1506" w:type="dxa"/>
          </w:tcPr>
          <w:p w:rsidR="002648B0" w:rsidRPr="00392FFD" w:rsidRDefault="002648B0" w:rsidP="00FD239F">
            <w:pPr>
              <w:pStyle w:val="InstructionsText"/>
            </w:pPr>
            <w:r>
              <w:t>380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Άμεσες συμμετοχές σε κεφάλαιο T2 οντοτήτων του χρηματ</w:t>
            </w:r>
            <w:r>
              <w:rPr>
                <w:rStyle w:val="InstructionsTabelleberschrift"/>
                <w:rFonts w:ascii="Times New Roman" w:hAnsi="Times New Roman"/>
                <w:sz w:val="24"/>
              </w:rPr>
              <w:t>ο</w:t>
            </w:r>
            <w:r>
              <w:rPr>
                <w:rStyle w:val="InstructionsTabelleberschrift"/>
                <w:rFonts w:ascii="Times New Roman" w:hAnsi="Times New Roman"/>
                <w:sz w:val="24"/>
              </w:rPr>
              <w:t>πιστωτικού τομέα όπου το ίδρυμα δεν έχει σημαντική επένδυση</w:t>
            </w:r>
          </w:p>
          <w:p w:rsidR="005643EA" w:rsidRPr="00392FFD" w:rsidRDefault="002648B0" w:rsidP="00FD239F">
            <w:pPr>
              <w:pStyle w:val="InstructionsText"/>
            </w:pPr>
            <w:r>
              <w:t>Άρθρο 68, άρθρο 69 και άρθρο 70 παράγραφος 2 του ΚΚΑ.</w:t>
            </w:r>
          </w:p>
        </w:tc>
      </w:tr>
      <w:tr w:rsidR="002648B0" w:rsidRPr="00392FFD" w:rsidTr="00672D2A">
        <w:tc>
          <w:tcPr>
            <w:tcW w:w="1506" w:type="dxa"/>
          </w:tcPr>
          <w:p w:rsidR="002648B0" w:rsidRPr="00392FFD" w:rsidRDefault="002648B0" w:rsidP="00FD239F">
            <w:pPr>
              <w:pStyle w:val="InstructionsText"/>
            </w:pPr>
            <w:r>
              <w:t>390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Ακαθάριστες άμεσες συμμετοχές σε κεφάλαιο T2 οντοτήτων του χρηματοπιστωτικού τομέα όπου το ίδρυμα δεν έχει σημαντική επένδυση</w:t>
            </w:r>
          </w:p>
          <w:p w:rsidR="005643EA" w:rsidRPr="00392FFD" w:rsidRDefault="002648B0" w:rsidP="00FD239F">
            <w:pPr>
              <w:pStyle w:val="InstructionsText"/>
            </w:pPr>
            <w:r>
              <w:t>Άρθρο 68 και άρθρο 70 παράγραφος 2 του ΚΚΑ.</w:t>
            </w:r>
          </w:p>
          <w:p w:rsidR="005643EA" w:rsidRPr="00392FFD" w:rsidRDefault="002648B0" w:rsidP="00FD239F">
            <w:pPr>
              <w:pStyle w:val="InstructionsText"/>
            </w:pPr>
            <w:r>
              <w:t>Άμεσες συμμετοχές σε κεφάλαιο T2 οντοτήτων του χρηματοπιστωτικού τομέα όπου το ίδρυμα δεν έχει σημαντική επένδυση, εκτός από:</w:t>
            </w:r>
          </w:p>
          <w:p w:rsidR="005643EA" w:rsidRPr="00392FFD" w:rsidRDefault="002648B0" w:rsidP="00FD239F">
            <w:pPr>
              <w:pStyle w:val="InstructionsText"/>
            </w:pPr>
            <w:r>
              <w:t>α)</w:t>
            </w:r>
            <w:r>
              <w:tab/>
              <w:t xml:space="preserve">θέσεις αναδοχής που τηρούνται για 5 εργάσιμες ημέρες κατ’ </w:t>
            </w:r>
            <w:r>
              <w:t>α</w:t>
            </w:r>
            <w:r>
              <w:t xml:space="preserve">νώτατο όριο· και </w:t>
            </w:r>
          </w:p>
          <w:p w:rsidR="005643EA" w:rsidRPr="00392FFD" w:rsidRDefault="002648B0" w:rsidP="00FD239F">
            <w:pPr>
              <w:pStyle w:val="InstructionsText"/>
            </w:pPr>
            <w:r>
              <w:t>β)</w:t>
            </w:r>
            <w:r>
              <w:tab/>
              <w:t>συμμετοχές που αντιμετωπίζονται ως αμοιβαίες συμμετοχές, σύμφωνα με το άρθρο 66 στοιχείο β) του ΚΚΑ.</w:t>
            </w:r>
          </w:p>
        </w:tc>
      </w:tr>
      <w:tr w:rsidR="002648B0" w:rsidRPr="00392FFD" w:rsidTr="00672D2A">
        <w:tc>
          <w:tcPr>
            <w:tcW w:w="1506" w:type="dxa"/>
          </w:tcPr>
          <w:p w:rsidR="002648B0" w:rsidRPr="00392FFD" w:rsidRDefault="002648B0" w:rsidP="00FD239F">
            <w:pPr>
              <w:pStyle w:val="InstructionsText"/>
            </w:pPr>
            <w:r>
              <w:lastRenderedPageBreak/>
              <w:t>400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rsidR="005643EA" w:rsidRPr="00392FFD" w:rsidRDefault="002648B0" w:rsidP="00FD239F">
            <w:pPr>
              <w:pStyle w:val="InstructionsText"/>
            </w:pPr>
            <w:r>
              <w:t>Άρθρο 69 του ΚΚΑ</w:t>
            </w:r>
          </w:p>
          <w:p w:rsidR="005643EA" w:rsidRPr="00392FFD" w:rsidRDefault="002648B0" w:rsidP="00FD239F">
            <w:pPr>
              <w:pStyle w:val="InstructionsText"/>
            </w:pPr>
            <w:r>
              <w:t>Το άρθρο 69 στοιχείο α) του ΚΚΑ επιτρέπει τον συμψηφισμό αρνητ</w:t>
            </w:r>
            <w:r>
              <w:t>ι</w:t>
            </w:r>
            <w:r>
              <w:t>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2648B0" w:rsidRPr="00392FFD" w:rsidTr="00672D2A">
        <w:tc>
          <w:tcPr>
            <w:tcW w:w="1506" w:type="dxa"/>
          </w:tcPr>
          <w:p w:rsidR="002648B0" w:rsidRPr="00392FFD" w:rsidRDefault="002648B0" w:rsidP="00FD239F">
            <w:pPr>
              <w:pStyle w:val="InstructionsText"/>
            </w:pPr>
            <w:r>
              <w:t>410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Έμμεσες συμμετοχές σε κεφάλαιο T2 οντοτήτων του χρημ</w:t>
            </w:r>
            <w:r>
              <w:rPr>
                <w:rStyle w:val="InstructionsTabelleberschrift"/>
                <w:rFonts w:ascii="Times New Roman" w:hAnsi="Times New Roman"/>
                <w:sz w:val="24"/>
              </w:rPr>
              <w:t>α</w:t>
            </w:r>
            <w:r>
              <w:rPr>
                <w:rStyle w:val="InstructionsTabelleberschrift"/>
                <w:rFonts w:ascii="Times New Roman" w:hAnsi="Times New Roman"/>
                <w:sz w:val="24"/>
              </w:rPr>
              <w:t>τοπιστωτικού τομέα όπου το ίδρυμα δεν έχει σημαντική επένδυση</w:t>
            </w:r>
          </w:p>
          <w:p w:rsidR="005643EA" w:rsidRPr="00392FFD" w:rsidRDefault="002648B0" w:rsidP="00FD239F">
            <w:pPr>
              <w:pStyle w:val="InstructionsText"/>
            </w:pPr>
            <w:r>
              <w:t>Άρθρο 4 παράγραφος 1 σημείο 114) και άρθρα 68 και 69 του ΚΚΑ</w:t>
            </w:r>
          </w:p>
        </w:tc>
      </w:tr>
      <w:tr w:rsidR="002648B0" w:rsidRPr="00392FFD" w:rsidTr="00672D2A">
        <w:tc>
          <w:tcPr>
            <w:tcW w:w="1506" w:type="dxa"/>
          </w:tcPr>
          <w:p w:rsidR="002648B0" w:rsidRPr="00392FFD" w:rsidRDefault="002648B0" w:rsidP="00FD239F">
            <w:pPr>
              <w:pStyle w:val="InstructionsText"/>
            </w:pPr>
            <w:r>
              <w:t>420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Ακαθάριστες έμμεσες συμμετοχές σε κεφάλαιο T2 οντοτήτων του χρηματοπιστωτικού τομέα όπου το ίδρυμα δεν έχει σημαντική επένδυση</w:t>
            </w:r>
          </w:p>
          <w:p w:rsidR="005643EA" w:rsidRPr="00392FFD" w:rsidRDefault="002648B0" w:rsidP="00FD239F">
            <w:pPr>
              <w:pStyle w:val="InstructionsText"/>
            </w:pPr>
            <w:r>
              <w:t>Άρθρο 4 παράγραφος 1 σημείο 114) και άρθρα 68 και 69 του ΚΚΑ</w:t>
            </w:r>
          </w:p>
          <w:p w:rsidR="005643EA" w:rsidRPr="00392FFD" w:rsidRDefault="002648B0" w:rsidP="00FD239F">
            <w:pPr>
              <w:pStyle w:val="InstructionsText"/>
            </w:pPr>
            <w:r>
              <w:t>Το προς αναφορά ποσό είναι οι έμμεσες συμμετοχές στο χαρτοφυλάκιο συναλλαγών των κεφαλαιακών μέσων οντοτήτων του χρηματοπιστωτ</w:t>
            </w:r>
            <w:r>
              <w:t>ι</w:t>
            </w:r>
            <w:r>
              <w:t>κού τομέα, που έχουν τη μορφή τοποθετήσεων σε τίτλους συνδεδεμ</w:t>
            </w:r>
            <w:r>
              <w:t>έ</w:t>
            </w:r>
            <w:r>
              <w:t>νους με δείκτες. Λαμβάνεται υπολογίζοντας το υποκείμενο άνοιγμα στα κεφαλαιακά μέσα των οντοτήτων του χρηματοπιστωτικού τομέα που περιλαμβάνονται στους δείκτες αυτούς.</w:t>
            </w:r>
          </w:p>
          <w:p w:rsidR="005643EA" w:rsidRPr="00392FFD" w:rsidRDefault="002648B0" w:rsidP="00FD239F">
            <w:pPr>
              <w:pStyle w:val="InstructionsText"/>
            </w:pPr>
            <w:r>
              <w:t>Οι συμμετοχές που αντιμετωπίζονται ως αμοιβαίες συμμετοχές, σύμφ</w:t>
            </w:r>
            <w:r>
              <w:t>ω</w:t>
            </w:r>
            <w:r>
              <w:t>να με το άρθρο 66 στοιχείο β) του ΚΚΑ, δεν περιλαμβάνονται.</w:t>
            </w:r>
          </w:p>
        </w:tc>
      </w:tr>
      <w:tr w:rsidR="002648B0" w:rsidRPr="00392FFD" w:rsidTr="00672D2A">
        <w:tc>
          <w:tcPr>
            <w:tcW w:w="1506" w:type="dxa"/>
          </w:tcPr>
          <w:p w:rsidR="002648B0" w:rsidRPr="00392FFD" w:rsidRDefault="002648B0" w:rsidP="00FD239F">
            <w:pPr>
              <w:pStyle w:val="InstructionsText"/>
            </w:pPr>
            <w:r>
              <w:t>430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rsidR="005643EA" w:rsidRPr="00392FFD" w:rsidRDefault="002648B0" w:rsidP="00FD239F">
            <w:pPr>
              <w:pStyle w:val="InstructionsText"/>
            </w:pPr>
            <w:r>
              <w:t>Άρθρο 4 παράγραφος 1 σημείο 114) και άρθρο 69 του ΚΚΑ</w:t>
            </w:r>
          </w:p>
          <w:p w:rsidR="005643EA" w:rsidRPr="00392FFD" w:rsidRDefault="002648B0" w:rsidP="00FD239F">
            <w:pPr>
              <w:pStyle w:val="InstructionsText"/>
            </w:pPr>
            <w:r>
              <w:t>Το άρθρο 69 στοιχείο α) του ΚΚΑ επιτρέπει τον συμψηφισμό αρνητ</w:t>
            </w:r>
            <w:r>
              <w:t>ι</w:t>
            </w:r>
            <w:r>
              <w:t>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DE5A31" w:rsidRPr="00392FFD" w:rsidTr="00672D2A">
        <w:tc>
          <w:tcPr>
            <w:tcW w:w="1506" w:type="dxa"/>
          </w:tcPr>
          <w:p w:rsidR="00DE5A31" w:rsidRPr="00392FFD" w:rsidRDefault="00DE5A31" w:rsidP="00FD239F">
            <w:pPr>
              <w:pStyle w:val="InstructionsText"/>
            </w:pPr>
            <w:r>
              <w:t>431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Σύνθετες συμμετοχές σε κεφάλαιο T2 οντοτήτων του χρημ</w:t>
            </w:r>
            <w:r>
              <w:rPr>
                <w:rStyle w:val="InstructionsTabelleberschrift"/>
                <w:rFonts w:ascii="Times New Roman" w:hAnsi="Times New Roman"/>
                <w:sz w:val="24"/>
              </w:rPr>
              <w:t>α</w:t>
            </w:r>
            <w:r>
              <w:rPr>
                <w:rStyle w:val="InstructionsTabelleberschrift"/>
                <w:rFonts w:ascii="Times New Roman" w:hAnsi="Times New Roman"/>
                <w:sz w:val="24"/>
              </w:rPr>
              <w:t>τοπιστωτικού τομέα όπου το ίδρυμα δεν έχει σημαντική επένδυση</w:t>
            </w:r>
          </w:p>
          <w:p w:rsidR="005643EA" w:rsidRPr="00392FFD" w:rsidRDefault="00805255" w:rsidP="00FD239F">
            <w:pPr>
              <w:pStyle w:val="InstructionsText"/>
              <w:rPr>
                <w:rStyle w:val="InstructionsTabelleberschrift"/>
                <w:rFonts w:ascii="Times New Roman" w:hAnsi="Times New Roman"/>
                <w:sz w:val="24"/>
              </w:rPr>
            </w:pPr>
            <w:r>
              <w:t>Άρθρο 4 παράγραφος 1 σημείο 126) και άρθρα 68 και 69 του ΚΚΑ</w:t>
            </w:r>
          </w:p>
        </w:tc>
      </w:tr>
      <w:tr w:rsidR="00DE5A31" w:rsidRPr="00392FFD" w:rsidTr="00672D2A">
        <w:tc>
          <w:tcPr>
            <w:tcW w:w="1506" w:type="dxa"/>
          </w:tcPr>
          <w:p w:rsidR="00DE5A31" w:rsidRPr="00392FFD" w:rsidRDefault="00DE5A31" w:rsidP="00FD239F">
            <w:pPr>
              <w:pStyle w:val="InstructionsText"/>
            </w:pPr>
            <w:r>
              <w:t>432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Ακαθάριστες σύνθετες συμμετοχές σε κεφάλαιο T2 οντοτ</w:t>
            </w:r>
            <w:r>
              <w:rPr>
                <w:rStyle w:val="InstructionsTabelleberschrift"/>
                <w:rFonts w:ascii="Times New Roman" w:hAnsi="Times New Roman"/>
                <w:sz w:val="24"/>
              </w:rPr>
              <w:t>ή</w:t>
            </w:r>
            <w:r>
              <w:rPr>
                <w:rStyle w:val="InstructionsTabelleberschrift"/>
                <w:rFonts w:ascii="Times New Roman" w:hAnsi="Times New Roman"/>
                <w:sz w:val="24"/>
              </w:rPr>
              <w:t>των του χρηματοπιστωτικού τομέα όπου το ίδρυμα δεν έχει σημ</w:t>
            </w:r>
            <w:r>
              <w:rPr>
                <w:rStyle w:val="InstructionsTabelleberschrift"/>
                <w:rFonts w:ascii="Times New Roman" w:hAnsi="Times New Roman"/>
                <w:sz w:val="24"/>
              </w:rPr>
              <w:t>α</w:t>
            </w:r>
            <w:r>
              <w:rPr>
                <w:rStyle w:val="InstructionsTabelleberschrift"/>
                <w:rFonts w:ascii="Times New Roman" w:hAnsi="Times New Roman"/>
                <w:sz w:val="24"/>
              </w:rPr>
              <w:t>ντική επένδυση</w:t>
            </w:r>
          </w:p>
          <w:p w:rsidR="005643EA" w:rsidRPr="00201704" w:rsidRDefault="00805255" w:rsidP="00FD239F">
            <w:pPr>
              <w:pStyle w:val="InstructionsText"/>
              <w:rPr>
                <w:rStyle w:val="InstructionsTabelleberschrift"/>
                <w:rFonts w:ascii="Times New Roman" w:hAnsi="Times New Roman"/>
                <w:b w:val="0"/>
                <w:bCs w:val="0"/>
                <w:sz w:val="24"/>
                <w:u w:val="none"/>
              </w:rPr>
            </w:pPr>
            <w:r>
              <w:t>Άρθρο 4 παράγραφος 1 σημείο 126) και άρθρα 68 και 69 του ΚΚΑ</w:t>
            </w:r>
          </w:p>
        </w:tc>
      </w:tr>
      <w:tr w:rsidR="00DE5A31" w:rsidRPr="00392FFD" w:rsidTr="00672D2A">
        <w:tc>
          <w:tcPr>
            <w:tcW w:w="1506" w:type="dxa"/>
          </w:tcPr>
          <w:p w:rsidR="00DE5A31" w:rsidRPr="00392FFD" w:rsidRDefault="00DE5A31" w:rsidP="00FD239F">
            <w:pPr>
              <w:pStyle w:val="InstructionsText"/>
            </w:pPr>
            <w:r>
              <w:t>433</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w:t>
            </w:r>
            <w:r>
              <w:rPr>
                <w:rStyle w:val="InstructionsTabelleberschrift"/>
                <w:rFonts w:ascii="Times New Roman" w:hAnsi="Times New Roman"/>
                <w:sz w:val="24"/>
              </w:rPr>
              <w:t>ο</w:t>
            </w:r>
            <w:r>
              <w:rPr>
                <w:rStyle w:val="InstructionsTabelleberschrift"/>
                <w:rFonts w:ascii="Times New Roman" w:hAnsi="Times New Roman"/>
                <w:sz w:val="24"/>
              </w:rPr>
              <w:t>νται ανωτέρω</w:t>
            </w:r>
          </w:p>
          <w:p w:rsidR="005643EA" w:rsidRPr="00201704" w:rsidRDefault="00805255" w:rsidP="00FD239F">
            <w:pPr>
              <w:pStyle w:val="InstructionsText"/>
              <w:rPr>
                <w:rStyle w:val="InstructionsTabelleberschrift"/>
                <w:rFonts w:ascii="Times New Roman" w:hAnsi="Times New Roman"/>
                <w:b w:val="0"/>
                <w:bCs w:val="0"/>
                <w:sz w:val="24"/>
                <w:u w:val="none"/>
              </w:rPr>
            </w:pPr>
            <w:r>
              <w:t>Άρθρο 4 παράγραφος 1 σημείο 126) και άρθρο 69 του ΚΚΑ</w:t>
            </w:r>
          </w:p>
        </w:tc>
      </w:tr>
      <w:tr w:rsidR="002648B0" w:rsidRPr="00392FFD" w:rsidTr="00672D2A">
        <w:tc>
          <w:tcPr>
            <w:tcW w:w="1506" w:type="dxa"/>
          </w:tcPr>
          <w:p w:rsidR="002648B0" w:rsidRPr="00392FFD" w:rsidRDefault="002648B0" w:rsidP="00FD239F">
            <w:pPr>
              <w:pStyle w:val="InstructionsText"/>
            </w:pPr>
            <w:r>
              <w:lastRenderedPageBreak/>
              <w:t>440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Συμμετοχές σε κεφάλαιο CET1 οντοτήτων του χρηματοπ</w:t>
            </w:r>
            <w:r>
              <w:rPr>
                <w:rStyle w:val="InstructionsTabelleberschrift"/>
                <w:rFonts w:ascii="Times New Roman" w:hAnsi="Times New Roman"/>
                <w:sz w:val="24"/>
              </w:rPr>
              <w:t>ι</w:t>
            </w:r>
            <w:r>
              <w:rPr>
                <w:rStyle w:val="InstructionsTabelleberschrift"/>
                <w:rFonts w:ascii="Times New Roman" w:hAnsi="Times New Roman"/>
                <w:sz w:val="24"/>
              </w:rPr>
              <w:t>στωτικού τομέα όπου το ίδρυμα έχει σημαντική επένδυση, χωρίς τις αρνητικές θέσεις</w:t>
            </w:r>
          </w:p>
          <w:p w:rsidR="005643EA" w:rsidRPr="00392FFD" w:rsidRDefault="002648B0" w:rsidP="00FD239F">
            <w:pPr>
              <w:pStyle w:val="InstructionsText"/>
            </w:pPr>
            <w:r>
              <w:t>Άρθρα 44, 45, 47 και 49 του ΚΚΑ</w:t>
            </w:r>
          </w:p>
        </w:tc>
      </w:tr>
      <w:tr w:rsidR="002648B0" w:rsidRPr="00392FFD" w:rsidTr="00672D2A">
        <w:tc>
          <w:tcPr>
            <w:tcW w:w="1506" w:type="dxa"/>
          </w:tcPr>
          <w:p w:rsidR="002648B0" w:rsidRPr="00392FFD" w:rsidRDefault="008F54B0" w:rsidP="00FD239F">
            <w:pPr>
              <w:pStyle w:val="InstructionsText"/>
            </w:pPr>
            <w:r>
              <w:t>450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Άμεσες συμμετοχές σε κεφάλαιο CET1 οντοτήτων του χρ</w:t>
            </w:r>
            <w:r>
              <w:rPr>
                <w:rStyle w:val="InstructionsTabelleberschrift"/>
                <w:rFonts w:ascii="Times New Roman" w:hAnsi="Times New Roman"/>
                <w:sz w:val="24"/>
              </w:rPr>
              <w:t>η</w:t>
            </w:r>
            <w:r>
              <w:rPr>
                <w:rStyle w:val="InstructionsTabelleberschrift"/>
                <w:rFonts w:ascii="Times New Roman" w:hAnsi="Times New Roman"/>
                <w:sz w:val="24"/>
              </w:rPr>
              <w:t>ματοπιστωτικού τομέα όπου το ίδρυμα έχει σημαντική επένδυση</w:t>
            </w:r>
          </w:p>
          <w:p w:rsidR="005643EA" w:rsidRPr="00392FFD" w:rsidRDefault="002648B0" w:rsidP="00FD239F">
            <w:pPr>
              <w:pStyle w:val="InstructionsText"/>
            </w:pPr>
            <w:r>
              <w:t>Άρθρα 44, 45, 47 και 49 του ΚΚΑ</w:t>
            </w:r>
          </w:p>
        </w:tc>
      </w:tr>
      <w:tr w:rsidR="002648B0" w:rsidRPr="00392FFD" w:rsidTr="00672D2A">
        <w:tc>
          <w:tcPr>
            <w:tcW w:w="1506" w:type="dxa"/>
          </w:tcPr>
          <w:p w:rsidR="002648B0" w:rsidRPr="00392FFD" w:rsidRDefault="008F54B0" w:rsidP="00FD239F">
            <w:pPr>
              <w:pStyle w:val="InstructionsText"/>
            </w:pPr>
            <w:r>
              <w:t>460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Ακαθάριστες άμεσες συμμετοχές σε κεφάλαιο CET1 οντοτ</w:t>
            </w:r>
            <w:r>
              <w:rPr>
                <w:rStyle w:val="InstructionsTabelleberschrift"/>
                <w:rFonts w:ascii="Times New Roman" w:hAnsi="Times New Roman"/>
                <w:sz w:val="24"/>
              </w:rPr>
              <w:t>ή</w:t>
            </w:r>
            <w:r>
              <w:rPr>
                <w:rStyle w:val="InstructionsTabelleberschrift"/>
                <w:rFonts w:ascii="Times New Roman" w:hAnsi="Times New Roman"/>
                <w:sz w:val="24"/>
              </w:rPr>
              <w:t>των του χρηματοπιστωτικού τομέα όπου το ίδρυμα έχει σημαντική επένδυση</w:t>
            </w:r>
          </w:p>
          <w:p w:rsidR="005643EA" w:rsidRPr="00392FFD" w:rsidRDefault="002648B0" w:rsidP="00FD239F">
            <w:pPr>
              <w:pStyle w:val="InstructionsText"/>
            </w:pPr>
            <w:r>
              <w:t>Άρθρα 44, 45, 47 και 49 του ΚΚΑ</w:t>
            </w:r>
          </w:p>
          <w:p w:rsidR="005643EA" w:rsidRPr="00392FFD" w:rsidRDefault="002648B0" w:rsidP="00FD239F">
            <w:pPr>
              <w:pStyle w:val="InstructionsText"/>
            </w:pPr>
            <w:r>
              <w:t>Άμεσες συμμετοχές σε κεφάλαιο CET1 οντοτήτων του χρηματοπιστ</w:t>
            </w:r>
            <w:r>
              <w:t>ω</w:t>
            </w:r>
            <w:r>
              <w:t>τικού τομέα όπου το ίδρυμα έχει σημαντική επένδυση, εκτός από:</w:t>
            </w:r>
          </w:p>
          <w:p w:rsidR="005643EA" w:rsidRPr="00392FFD" w:rsidRDefault="002648B0" w:rsidP="00FD239F">
            <w:pPr>
              <w:pStyle w:val="InstructionsText"/>
            </w:pPr>
            <w:r>
              <w:t>α)</w:t>
            </w:r>
            <w:r>
              <w:tab/>
              <w:t xml:space="preserve">θέσεις αναδοχής που τηρούνται για 5 εργάσιμες ημέρες κατ’ </w:t>
            </w:r>
            <w:r>
              <w:t>α</w:t>
            </w:r>
            <w:r>
              <w:t xml:space="preserve">νώτατο όριο· </w:t>
            </w:r>
          </w:p>
          <w:p w:rsidR="005643EA" w:rsidRPr="00392FFD" w:rsidRDefault="002648B0" w:rsidP="00FD239F">
            <w:pPr>
              <w:pStyle w:val="InstructionsText"/>
            </w:pPr>
            <w:r>
              <w:t>β)</w:t>
            </w:r>
            <w:r>
              <w:tab/>
              <w:t xml:space="preserve">τα ποσά που αφορούν τις επενδύσεις για τις οποίες εφαρμόζεται οποιαδήποτε εναλλακτική μέθοδος του άρθρου 49· και </w:t>
            </w:r>
          </w:p>
          <w:p w:rsidR="005643EA" w:rsidRPr="00392FFD" w:rsidRDefault="002648B0" w:rsidP="00FD239F">
            <w:pPr>
              <w:pStyle w:val="InstructionsText"/>
            </w:pPr>
            <w:r>
              <w:t>γ)</w:t>
            </w:r>
            <w:r>
              <w:tab/>
              <w:t>συμμετοχές που αντιμετωπίζονται ως αμοιβαίες συμμετοχές, σύμφωνα με το άρθρο 36 παράγραφος 1 στοιχείο ζ) του ΚΚΑ.</w:t>
            </w:r>
          </w:p>
        </w:tc>
      </w:tr>
      <w:tr w:rsidR="002648B0" w:rsidRPr="00392FFD" w:rsidTr="00672D2A">
        <w:tc>
          <w:tcPr>
            <w:tcW w:w="1506" w:type="dxa"/>
          </w:tcPr>
          <w:p w:rsidR="002648B0" w:rsidRPr="00392FFD" w:rsidRDefault="002648B0" w:rsidP="00FD239F">
            <w:pPr>
              <w:pStyle w:val="InstructionsText"/>
            </w:pPr>
            <w:r>
              <w:t>470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rsidR="005643EA" w:rsidRPr="00392FFD" w:rsidRDefault="002648B0" w:rsidP="00FD239F">
            <w:pPr>
              <w:pStyle w:val="InstructionsText"/>
            </w:pPr>
            <w:r>
              <w:t>Άρθρο 45 του ΚΚΑ</w:t>
            </w:r>
          </w:p>
          <w:p w:rsidR="005643EA" w:rsidRPr="00392FFD" w:rsidRDefault="002648B0" w:rsidP="00FD239F">
            <w:pPr>
              <w:pStyle w:val="InstructionsText"/>
            </w:pPr>
            <w:r>
              <w:t>Το άρθρο 45 στοιχείο α) του ΚΚΑ επιτρέπει τον συμψηφισμό αρνητ</w:t>
            </w:r>
            <w:r>
              <w:t>ι</w:t>
            </w:r>
            <w:r>
              <w:t>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2648B0" w:rsidRPr="00392FFD" w:rsidTr="00672D2A">
        <w:tc>
          <w:tcPr>
            <w:tcW w:w="1506" w:type="dxa"/>
          </w:tcPr>
          <w:p w:rsidR="002648B0" w:rsidRPr="00392FFD" w:rsidRDefault="002648B0" w:rsidP="00FD239F">
            <w:pPr>
              <w:pStyle w:val="InstructionsText"/>
            </w:pPr>
            <w:r>
              <w:t>480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Έμμεσες συμμετοχές σε κεφάλαιο CET1 οντοτήτων του χρ</w:t>
            </w:r>
            <w:r>
              <w:rPr>
                <w:rStyle w:val="InstructionsTabelleberschrift"/>
                <w:rFonts w:ascii="Times New Roman" w:hAnsi="Times New Roman"/>
                <w:sz w:val="24"/>
              </w:rPr>
              <w:t>η</w:t>
            </w:r>
            <w:r>
              <w:rPr>
                <w:rStyle w:val="InstructionsTabelleberschrift"/>
                <w:rFonts w:ascii="Times New Roman" w:hAnsi="Times New Roman"/>
                <w:sz w:val="24"/>
              </w:rPr>
              <w:t>ματοπιστωτικού τομέα όπου το ίδρυμα έχει σημαντική επένδυση</w:t>
            </w:r>
          </w:p>
          <w:p w:rsidR="005643EA" w:rsidRPr="00392FFD" w:rsidRDefault="002648B0" w:rsidP="00FD239F">
            <w:pPr>
              <w:pStyle w:val="InstructionsText"/>
            </w:pPr>
            <w:r>
              <w:t>Άρθρο 4 παράγραφος 1 σημείο 114) και άρθρα 44 και 45 του ΚΚΑ</w:t>
            </w:r>
          </w:p>
        </w:tc>
      </w:tr>
      <w:tr w:rsidR="002648B0" w:rsidRPr="00392FFD" w:rsidTr="00672D2A">
        <w:tc>
          <w:tcPr>
            <w:tcW w:w="1506" w:type="dxa"/>
          </w:tcPr>
          <w:p w:rsidR="002648B0" w:rsidRPr="00392FFD" w:rsidRDefault="002648B0" w:rsidP="00FD239F">
            <w:pPr>
              <w:pStyle w:val="InstructionsText"/>
            </w:pPr>
            <w:r>
              <w:t>490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Ακαθάριστες έμμεσες συμμετοχές σε κεφάλαιο CET1 οντ</w:t>
            </w:r>
            <w:r>
              <w:rPr>
                <w:rStyle w:val="InstructionsTabelleberschrift"/>
                <w:rFonts w:ascii="Times New Roman" w:hAnsi="Times New Roman"/>
                <w:sz w:val="24"/>
              </w:rPr>
              <w:t>ο</w:t>
            </w:r>
            <w:r>
              <w:rPr>
                <w:rStyle w:val="InstructionsTabelleberschrift"/>
                <w:rFonts w:ascii="Times New Roman" w:hAnsi="Times New Roman"/>
                <w:sz w:val="24"/>
              </w:rPr>
              <w:t>τήτων του χρηματοπιστωτικού τομέα όπου το ίδρυμα έχει σημαντ</w:t>
            </w:r>
            <w:r>
              <w:rPr>
                <w:rStyle w:val="InstructionsTabelleberschrift"/>
                <w:rFonts w:ascii="Times New Roman" w:hAnsi="Times New Roman"/>
                <w:sz w:val="24"/>
              </w:rPr>
              <w:t>ι</w:t>
            </w:r>
            <w:r>
              <w:rPr>
                <w:rStyle w:val="InstructionsTabelleberschrift"/>
                <w:rFonts w:ascii="Times New Roman" w:hAnsi="Times New Roman"/>
                <w:sz w:val="24"/>
              </w:rPr>
              <w:t>κή επένδυση</w:t>
            </w:r>
          </w:p>
          <w:p w:rsidR="005643EA" w:rsidRPr="00392FFD" w:rsidRDefault="002648B0" w:rsidP="00FD239F">
            <w:pPr>
              <w:pStyle w:val="InstructionsText"/>
            </w:pPr>
            <w:r>
              <w:t>Άρθρο 4 παράγραφος 1 σημείο 114) και άρθρα 44 και 45 του ΚΚΑ</w:t>
            </w:r>
          </w:p>
          <w:p w:rsidR="005643EA" w:rsidRPr="00392FFD" w:rsidRDefault="002648B0" w:rsidP="00FD239F">
            <w:pPr>
              <w:pStyle w:val="InstructionsText"/>
            </w:pPr>
            <w:r>
              <w:t>Το προς αναφορά ποσό είναι οι έμμεσες συμμετοχές στο χαρτοφυλάκιο συναλλαγών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w:t>
            </w:r>
            <w:r>
              <w:t>α</w:t>
            </w:r>
            <w:r>
              <w:t>λαιακά μέσα οντοτήτων του χρηματοπιστωτικού τομέα που περιλαμβ</w:t>
            </w:r>
            <w:r>
              <w:t>ά</w:t>
            </w:r>
            <w:r>
              <w:t>νονται στους δείκτες αυτούς.</w:t>
            </w:r>
          </w:p>
          <w:p w:rsidR="005643EA" w:rsidRPr="00392FFD" w:rsidRDefault="002648B0" w:rsidP="00FD239F">
            <w:pPr>
              <w:pStyle w:val="InstructionsText"/>
            </w:pPr>
            <w:r>
              <w:t>Οι συμμετοχές που αντιμετωπίζονται ως αμοιβαίες συμμετοχές, σύμφ</w:t>
            </w:r>
            <w:r>
              <w:t>ω</w:t>
            </w:r>
            <w:r>
              <w:t>να με το άρθρο 36 παράγραφος 1 στοιχείο ζ) του ΚΚΑ, δεν περιλαμβ</w:t>
            </w:r>
            <w:r>
              <w:t>ά</w:t>
            </w:r>
            <w:r>
              <w:lastRenderedPageBreak/>
              <w:t>νονται.</w:t>
            </w:r>
          </w:p>
        </w:tc>
      </w:tr>
      <w:tr w:rsidR="002648B0" w:rsidRPr="00392FFD" w:rsidTr="00672D2A">
        <w:tc>
          <w:tcPr>
            <w:tcW w:w="1506" w:type="dxa"/>
          </w:tcPr>
          <w:p w:rsidR="002648B0" w:rsidRPr="00392FFD" w:rsidRDefault="002648B0" w:rsidP="00FD239F">
            <w:pPr>
              <w:pStyle w:val="InstructionsText"/>
            </w:pPr>
            <w:r>
              <w:lastRenderedPageBreak/>
              <w:t>500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rsidR="005643EA" w:rsidRPr="00392FFD" w:rsidRDefault="002648B0" w:rsidP="00FD239F">
            <w:pPr>
              <w:pStyle w:val="InstructionsText"/>
            </w:pPr>
            <w:r>
              <w:t>Άρθρο 4 παράγραφος 1 σημείο 114) και άρθρο 45 του ΚΚΑ</w:t>
            </w:r>
          </w:p>
          <w:p w:rsidR="005643EA" w:rsidRPr="00392FFD" w:rsidRDefault="002648B0" w:rsidP="00FD239F">
            <w:pPr>
              <w:pStyle w:val="InstructionsText"/>
            </w:pPr>
            <w:r>
              <w:t>Το άρθρο 45 στοιχείο α) του ΚΚΑ επιτρέπει τον συμψηφισμό αρνητ</w:t>
            </w:r>
            <w:r>
              <w:t>ι</w:t>
            </w:r>
            <w:r>
              <w:t>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DE5A31" w:rsidRPr="00392FFD" w:rsidTr="00672D2A">
        <w:tc>
          <w:tcPr>
            <w:tcW w:w="1506" w:type="dxa"/>
          </w:tcPr>
          <w:p w:rsidR="00DE5A31" w:rsidRPr="00392FFD" w:rsidRDefault="00DE5A31" w:rsidP="00FD239F">
            <w:pPr>
              <w:pStyle w:val="InstructionsText"/>
            </w:pPr>
            <w:r>
              <w:t>501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Σύνθετες συμμετοχές σε κεφάλαιο CET1 οντοτήτων του χρ</w:t>
            </w:r>
            <w:r>
              <w:rPr>
                <w:rStyle w:val="InstructionsTabelleberschrift"/>
                <w:rFonts w:ascii="Times New Roman" w:hAnsi="Times New Roman"/>
                <w:sz w:val="24"/>
              </w:rPr>
              <w:t>η</w:t>
            </w:r>
            <w:r>
              <w:rPr>
                <w:rStyle w:val="InstructionsTabelleberschrift"/>
                <w:rFonts w:ascii="Times New Roman" w:hAnsi="Times New Roman"/>
                <w:sz w:val="24"/>
              </w:rPr>
              <w:t>ματοπιστωτικού τομέα όπου το ίδρυμα έχει σημαντική επένδυση</w:t>
            </w:r>
          </w:p>
          <w:p w:rsidR="005643EA" w:rsidRPr="00392FFD" w:rsidRDefault="00805255" w:rsidP="00FD239F">
            <w:pPr>
              <w:pStyle w:val="InstructionsText"/>
            </w:pPr>
            <w:r>
              <w:t>Άρθρο 4 παράγραφος 1 σημείο 126) και άρθρα 44 και 45 του ΚΚΑ</w:t>
            </w:r>
          </w:p>
        </w:tc>
      </w:tr>
      <w:tr w:rsidR="00DE5A31" w:rsidRPr="00392FFD" w:rsidTr="00672D2A">
        <w:tc>
          <w:tcPr>
            <w:tcW w:w="1506" w:type="dxa"/>
          </w:tcPr>
          <w:p w:rsidR="00DE5A31" w:rsidRPr="00392FFD" w:rsidRDefault="00DE5A31" w:rsidP="00FD239F">
            <w:pPr>
              <w:pStyle w:val="InstructionsText"/>
            </w:pPr>
            <w:r>
              <w:t>502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Ακαθάριστες σύνθετες συμμετοχές σε κεφάλαιο CET1 οντ</w:t>
            </w:r>
            <w:r>
              <w:rPr>
                <w:rStyle w:val="InstructionsTabelleberschrift"/>
                <w:rFonts w:ascii="Times New Roman" w:hAnsi="Times New Roman"/>
                <w:sz w:val="24"/>
              </w:rPr>
              <w:t>ο</w:t>
            </w:r>
            <w:r>
              <w:rPr>
                <w:rStyle w:val="InstructionsTabelleberschrift"/>
                <w:rFonts w:ascii="Times New Roman" w:hAnsi="Times New Roman"/>
                <w:sz w:val="24"/>
              </w:rPr>
              <w:t>τήτων του χρηματοπιστωτικού τομέα όπου το ίδρυμα έχει σημαντ</w:t>
            </w:r>
            <w:r>
              <w:rPr>
                <w:rStyle w:val="InstructionsTabelleberschrift"/>
                <w:rFonts w:ascii="Times New Roman" w:hAnsi="Times New Roman"/>
                <w:sz w:val="24"/>
              </w:rPr>
              <w:t>ι</w:t>
            </w:r>
            <w:r>
              <w:rPr>
                <w:rStyle w:val="InstructionsTabelleberschrift"/>
                <w:rFonts w:ascii="Times New Roman" w:hAnsi="Times New Roman"/>
                <w:sz w:val="24"/>
              </w:rPr>
              <w:t>κή επένδυση</w:t>
            </w:r>
          </w:p>
          <w:p w:rsidR="005643EA" w:rsidRPr="00392FFD" w:rsidRDefault="00805255" w:rsidP="00FD239F">
            <w:pPr>
              <w:pStyle w:val="InstructionsText"/>
            </w:pPr>
            <w:r>
              <w:t>Άρθρο 4 παράγραφος 1 σημείο 126) και άρθρα 44 και 45 του ΚΚΑ</w:t>
            </w:r>
          </w:p>
        </w:tc>
      </w:tr>
      <w:tr w:rsidR="00DE5A31" w:rsidRPr="00392FFD" w:rsidTr="00672D2A">
        <w:tc>
          <w:tcPr>
            <w:tcW w:w="1506" w:type="dxa"/>
          </w:tcPr>
          <w:p w:rsidR="00DE5A31" w:rsidRPr="00392FFD" w:rsidRDefault="00E81DB9" w:rsidP="00FD239F">
            <w:pPr>
              <w:pStyle w:val="InstructionsText"/>
            </w:pPr>
            <w:r>
              <w:t>503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w:t>
            </w:r>
            <w:r>
              <w:rPr>
                <w:rStyle w:val="InstructionsTabelleberschrift"/>
                <w:rFonts w:ascii="Times New Roman" w:hAnsi="Times New Roman"/>
                <w:sz w:val="24"/>
              </w:rPr>
              <w:t>ο</w:t>
            </w:r>
            <w:r>
              <w:rPr>
                <w:rStyle w:val="InstructionsTabelleberschrift"/>
                <w:rFonts w:ascii="Times New Roman" w:hAnsi="Times New Roman"/>
                <w:sz w:val="24"/>
              </w:rPr>
              <w:t>νται ανωτέρω</w:t>
            </w:r>
          </w:p>
          <w:p w:rsidR="005643EA" w:rsidRPr="00392FFD" w:rsidRDefault="00805255" w:rsidP="00FD239F">
            <w:pPr>
              <w:pStyle w:val="InstructionsText"/>
            </w:pPr>
            <w:r>
              <w:t>Άρθρο 4 παράγραφος 1 σημείο 126) και άρθρο 45 του ΚΚΑ</w:t>
            </w:r>
          </w:p>
        </w:tc>
      </w:tr>
      <w:tr w:rsidR="002648B0" w:rsidRPr="00392FFD" w:rsidTr="00672D2A">
        <w:tc>
          <w:tcPr>
            <w:tcW w:w="1506" w:type="dxa"/>
          </w:tcPr>
          <w:p w:rsidR="002648B0" w:rsidRPr="00392FFD" w:rsidRDefault="002648B0" w:rsidP="00FD239F">
            <w:pPr>
              <w:pStyle w:val="InstructionsText"/>
            </w:pPr>
            <w:r>
              <w:t>510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 Συμμετοχές σε κεφάλαιο ΑT1 οντοτήτων του χρηματοπιστωτ</w:t>
            </w:r>
            <w:r>
              <w:rPr>
                <w:rStyle w:val="InstructionsTabelleberschrift"/>
                <w:rFonts w:ascii="Times New Roman" w:hAnsi="Times New Roman"/>
                <w:sz w:val="24"/>
              </w:rPr>
              <w:t>ι</w:t>
            </w:r>
            <w:r>
              <w:rPr>
                <w:rStyle w:val="InstructionsTabelleberschrift"/>
                <w:rFonts w:ascii="Times New Roman" w:hAnsi="Times New Roman"/>
                <w:sz w:val="24"/>
              </w:rPr>
              <w:t>κού τομέα όπου το ίδρυμα έχει σημαντική επένδυση, χωρίς τις α</w:t>
            </w:r>
            <w:r>
              <w:rPr>
                <w:rStyle w:val="InstructionsTabelleberschrift"/>
                <w:rFonts w:ascii="Times New Roman" w:hAnsi="Times New Roman"/>
                <w:sz w:val="24"/>
              </w:rPr>
              <w:t>ρ</w:t>
            </w:r>
            <w:r>
              <w:rPr>
                <w:rStyle w:val="InstructionsTabelleberschrift"/>
                <w:rFonts w:ascii="Times New Roman" w:hAnsi="Times New Roman"/>
                <w:sz w:val="24"/>
              </w:rPr>
              <w:t>νητικές θέσεις</w:t>
            </w:r>
          </w:p>
          <w:p w:rsidR="005643EA" w:rsidRPr="00392FFD" w:rsidRDefault="002648B0" w:rsidP="00FD239F">
            <w:pPr>
              <w:pStyle w:val="InstructionsText"/>
            </w:pPr>
            <w:r>
              <w:t>Άρθρα 58 και 59 του ΚΚΑ</w:t>
            </w:r>
          </w:p>
        </w:tc>
      </w:tr>
      <w:tr w:rsidR="002648B0" w:rsidRPr="00392FFD" w:rsidTr="00672D2A">
        <w:tc>
          <w:tcPr>
            <w:tcW w:w="1506" w:type="dxa"/>
          </w:tcPr>
          <w:p w:rsidR="002648B0" w:rsidRPr="00392FFD" w:rsidRDefault="002648B0" w:rsidP="00FD239F">
            <w:pPr>
              <w:pStyle w:val="InstructionsText"/>
            </w:pPr>
            <w:r>
              <w:t>520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Άμεσες συμμετοχές σε κεφάλαιο AT1 οντοτήτων του χρημ</w:t>
            </w:r>
            <w:r>
              <w:rPr>
                <w:rStyle w:val="InstructionsTabelleberschrift"/>
                <w:rFonts w:ascii="Times New Roman" w:hAnsi="Times New Roman"/>
                <w:sz w:val="24"/>
              </w:rPr>
              <w:t>α</w:t>
            </w:r>
            <w:r>
              <w:rPr>
                <w:rStyle w:val="InstructionsTabelleberschrift"/>
                <w:rFonts w:ascii="Times New Roman" w:hAnsi="Times New Roman"/>
                <w:sz w:val="24"/>
              </w:rPr>
              <w:t>τοπιστωτικού τομέα όπου το ίδρυμα έχει σημαντική επένδυση</w:t>
            </w:r>
          </w:p>
          <w:p w:rsidR="005643EA" w:rsidRPr="00392FFD" w:rsidRDefault="002648B0" w:rsidP="00FD239F">
            <w:pPr>
              <w:pStyle w:val="InstructionsText"/>
            </w:pPr>
            <w:r>
              <w:t>Άρθρα 58 και 59 του ΚΚΑ</w:t>
            </w:r>
          </w:p>
        </w:tc>
      </w:tr>
      <w:tr w:rsidR="002648B0" w:rsidRPr="00392FFD" w:rsidTr="00672D2A">
        <w:tc>
          <w:tcPr>
            <w:tcW w:w="1506" w:type="dxa"/>
          </w:tcPr>
          <w:p w:rsidR="002648B0" w:rsidRPr="00392FFD" w:rsidRDefault="002648B0" w:rsidP="00FD239F">
            <w:pPr>
              <w:pStyle w:val="InstructionsText"/>
            </w:pPr>
            <w:r>
              <w:t>530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Ακαθάριστες άμεσες συμμετοχές σε κεφάλαιο AT1 οντοτ</w:t>
            </w:r>
            <w:r>
              <w:rPr>
                <w:rStyle w:val="InstructionsTabelleberschrift"/>
                <w:rFonts w:ascii="Times New Roman" w:hAnsi="Times New Roman"/>
                <w:sz w:val="24"/>
              </w:rPr>
              <w:t>ή</w:t>
            </w:r>
            <w:r>
              <w:rPr>
                <w:rStyle w:val="InstructionsTabelleberschrift"/>
                <w:rFonts w:ascii="Times New Roman" w:hAnsi="Times New Roman"/>
                <w:sz w:val="24"/>
              </w:rPr>
              <w:t>των του χρηματοπιστωτικού τομέα όπου το ίδρυμα έχει σημαντική επένδυση</w:t>
            </w:r>
          </w:p>
          <w:p w:rsidR="005643EA" w:rsidRPr="00392FFD" w:rsidRDefault="002648B0" w:rsidP="00FD239F">
            <w:pPr>
              <w:pStyle w:val="InstructionsText"/>
            </w:pPr>
            <w:r>
              <w:t>Άρθρο 58 του ΚΚΑ</w:t>
            </w:r>
          </w:p>
          <w:p w:rsidR="005643EA" w:rsidRPr="00392FFD" w:rsidRDefault="002648B0" w:rsidP="00FD239F">
            <w:pPr>
              <w:pStyle w:val="InstructionsText"/>
            </w:pPr>
            <w:r>
              <w:t>Άμεσες συμμετοχές σε κεφάλαιο AT1 οντοτήτων του χρηματοπιστωτ</w:t>
            </w:r>
            <w:r>
              <w:t>ι</w:t>
            </w:r>
            <w:r>
              <w:t>κού τομέα όπου το ίδρυμα έχει σημαντική επένδυση, εκτός από:</w:t>
            </w:r>
          </w:p>
          <w:p w:rsidR="005643EA" w:rsidRPr="00392FFD" w:rsidRDefault="002648B0" w:rsidP="00FD239F">
            <w:pPr>
              <w:pStyle w:val="InstructionsText"/>
            </w:pPr>
            <w:r>
              <w:t>α)</w:t>
            </w:r>
            <w:r>
              <w:tab/>
              <w:t xml:space="preserve">θέσεις αναδοχής που τηρούνται για 5 εργάσιμες ημέρες κατ’ </w:t>
            </w:r>
            <w:r>
              <w:t>α</w:t>
            </w:r>
            <w:r>
              <w:t xml:space="preserve">νώτατο όριο (άρθρο 56 στοιχείο δ))· και </w:t>
            </w:r>
          </w:p>
          <w:p w:rsidR="005643EA" w:rsidRPr="00392FFD" w:rsidRDefault="002648B0" w:rsidP="00FD239F">
            <w:pPr>
              <w:pStyle w:val="InstructionsText"/>
            </w:pPr>
            <w:r>
              <w:t>β)</w:t>
            </w:r>
            <w:r>
              <w:tab/>
              <w:t>συμμετοχές που αντιμετωπίζονται ως αμοιβαίες συμμετοχές, σύμφωνα με το άρθρο 56 στοιχείο β) του ΚΚΑ.</w:t>
            </w:r>
          </w:p>
        </w:tc>
      </w:tr>
      <w:tr w:rsidR="002648B0" w:rsidRPr="00392FFD" w:rsidTr="00672D2A">
        <w:tc>
          <w:tcPr>
            <w:tcW w:w="1506" w:type="dxa"/>
          </w:tcPr>
          <w:p w:rsidR="002648B0" w:rsidRPr="00392FFD" w:rsidRDefault="002648B0" w:rsidP="00FD239F">
            <w:pPr>
              <w:pStyle w:val="InstructionsText"/>
            </w:pPr>
            <w:r>
              <w:t>540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rsidR="005643EA" w:rsidRPr="00392FFD" w:rsidRDefault="002648B0" w:rsidP="00FD239F">
            <w:pPr>
              <w:pStyle w:val="InstructionsText"/>
            </w:pPr>
            <w:r>
              <w:t>Άρθρο 59 του ΚΚΑ</w:t>
            </w:r>
          </w:p>
          <w:p w:rsidR="005643EA" w:rsidRPr="00392FFD" w:rsidRDefault="002648B0" w:rsidP="00FD239F">
            <w:pPr>
              <w:pStyle w:val="InstructionsText"/>
            </w:pPr>
            <w:r>
              <w:lastRenderedPageBreak/>
              <w:t>Το άρθρο 59 στοιχείο α) του ΚΚΑ επιτρέπει τον συμψηφισμό αρνητ</w:t>
            </w:r>
            <w:r>
              <w:t>ι</w:t>
            </w:r>
            <w:r>
              <w:t>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2648B0" w:rsidRPr="00392FFD" w:rsidTr="00672D2A">
        <w:tc>
          <w:tcPr>
            <w:tcW w:w="1506" w:type="dxa"/>
          </w:tcPr>
          <w:p w:rsidR="002648B0" w:rsidRPr="00392FFD" w:rsidRDefault="002648B0" w:rsidP="00FD239F">
            <w:pPr>
              <w:pStyle w:val="InstructionsText"/>
            </w:pPr>
            <w:r>
              <w:lastRenderedPageBreak/>
              <w:t>550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Έμμεσες συμμετοχές σε κεφάλαιο AT1 οντοτήτων του χρ</w:t>
            </w:r>
            <w:r>
              <w:rPr>
                <w:rStyle w:val="InstructionsTabelleberschrift"/>
                <w:rFonts w:ascii="Times New Roman" w:hAnsi="Times New Roman"/>
                <w:sz w:val="24"/>
              </w:rPr>
              <w:t>η</w:t>
            </w:r>
            <w:r>
              <w:rPr>
                <w:rStyle w:val="InstructionsTabelleberschrift"/>
                <w:rFonts w:ascii="Times New Roman" w:hAnsi="Times New Roman"/>
                <w:sz w:val="24"/>
              </w:rPr>
              <w:t>ματοπιστωτικού τομέα όπου το ίδρυμα έχει σημαντική επένδυση</w:t>
            </w:r>
          </w:p>
          <w:p w:rsidR="005643EA" w:rsidRPr="00392FFD" w:rsidRDefault="002648B0" w:rsidP="00FD239F">
            <w:pPr>
              <w:pStyle w:val="InstructionsText"/>
            </w:pPr>
            <w:r>
              <w:t>Άρθρο 4 παράγραφος 1 σημείο 114) και άρθρα 58 και 59 του ΚΚΑ</w:t>
            </w:r>
          </w:p>
        </w:tc>
      </w:tr>
      <w:tr w:rsidR="002648B0" w:rsidRPr="00392FFD" w:rsidTr="00672D2A">
        <w:tc>
          <w:tcPr>
            <w:tcW w:w="1506" w:type="dxa"/>
          </w:tcPr>
          <w:p w:rsidR="002648B0" w:rsidRPr="00392FFD" w:rsidRDefault="002648B0" w:rsidP="00FD239F">
            <w:pPr>
              <w:pStyle w:val="InstructionsText"/>
            </w:pPr>
            <w:r>
              <w:t>560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Ακαθάριστες έμμεσες συμμετοχές σε κεφάλαιο AT1 οντοτ</w:t>
            </w:r>
            <w:r>
              <w:rPr>
                <w:rStyle w:val="InstructionsTabelleberschrift"/>
                <w:rFonts w:ascii="Times New Roman" w:hAnsi="Times New Roman"/>
                <w:sz w:val="24"/>
              </w:rPr>
              <w:t>ή</w:t>
            </w:r>
            <w:r>
              <w:rPr>
                <w:rStyle w:val="InstructionsTabelleberschrift"/>
                <w:rFonts w:ascii="Times New Roman" w:hAnsi="Times New Roman"/>
                <w:sz w:val="24"/>
              </w:rPr>
              <w:t>των του χρηματοπιστωτικού τομέα όπου το ίδρυμα έχει σημαντική επένδυση</w:t>
            </w:r>
          </w:p>
          <w:p w:rsidR="005643EA" w:rsidRPr="00392FFD" w:rsidRDefault="002648B0" w:rsidP="00FD239F">
            <w:pPr>
              <w:pStyle w:val="InstructionsText"/>
            </w:pPr>
            <w:r>
              <w:t>Άρθρο 4 παράγραφος 1 σημείο 114) και άρθρα 58 και 59 του ΚΚΑ</w:t>
            </w:r>
          </w:p>
          <w:p w:rsidR="005643EA" w:rsidRPr="00392FFD" w:rsidRDefault="002648B0" w:rsidP="00FD239F">
            <w:pPr>
              <w:pStyle w:val="InstructionsText"/>
            </w:pPr>
            <w:r>
              <w:t>Το προς αναφορά ποσό είναι οι έμμεσες συμμετοχές στο χαρτοφυλάκιο συναλλαγών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w:t>
            </w:r>
            <w:r>
              <w:t>α</w:t>
            </w:r>
            <w:r>
              <w:t>λαιακά μέσα οντοτήτων του χρηματοπιστωτικού τομέα που περιλαμβ</w:t>
            </w:r>
            <w:r>
              <w:t>ά</w:t>
            </w:r>
            <w:r>
              <w:t>νονται στους δείκτες αυτούς.</w:t>
            </w:r>
          </w:p>
          <w:p w:rsidR="005643EA" w:rsidRPr="00392FFD" w:rsidRDefault="002648B0" w:rsidP="00FD239F">
            <w:pPr>
              <w:pStyle w:val="InstructionsText"/>
            </w:pPr>
            <w:r>
              <w:t>Οι συμμετοχές που αντιμετωπίζονται ως αμοιβαίες συμμετοχές, σύμφ</w:t>
            </w:r>
            <w:r>
              <w:t>ω</w:t>
            </w:r>
            <w:r>
              <w:t>να με το άρθρο 56 στοιχείο β) του ΚΚΑ, δεν περιλαμβάνονται.</w:t>
            </w:r>
          </w:p>
        </w:tc>
      </w:tr>
      <w:tr w:rsidR="002648B0" w:rsidRPr="00392FFD" w:rsidTr="00672D2A">
        <w:tc>
          <w:tcPr>
            <w:tcW w:w="1506" w:type="dxa"/>
          </w:tcPr>
          <w:p w:rsidR="002648B0" w:rsidRPr="00392FFD" w:rsidRDefault="002648B0" w:rsidP="00FD239F">
            <w:pPr>
              <w:pStyle w:val="InstructionsText"/>
            </w:pPr>
            <w:r>
              <w:t>570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rsidR="005643EA" w:rsidRPr="00392FFD" w:rsidRDefault="002648B0" w:rsidP="00FD239F">
            <w:pPr>
              <w:pStyle w:val="InstructionsText"/>
            </w:pPr>
            <w:r>
              <w:t>Άρθρο 4 παράγραφος 1 σημείο 114) και άρθρο 59 του ΚΚΑ</w:t>
            </w:r>
          </w:p>
          <w:p w:rsidR="005643EA" w:rsidRPr="00392FFD" w:rsidRDefault="002648B0" w:rsidP="00FD239F">
            <w:pPr>
              <w:pStyle w:val="InstructionsText"/>
            </w:pPr>
            <w:r>
              <w:t>Το άρθρο 59 στοιχείο α) του ΚΚΑ επιτρέπει τον συμψηφισμό αρνητ</w:t>
            </w:r>
            <w:r>
              <w:t>ι</w:t>
            </w:r>
            <w:r>
              <w:t>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E81DB9" w:rsidRPr="00392FFD" w:rsidTr="00672D2A">
        <w:tc>
          <w:tcPr>
            <w:tcW w:w="1506" w:type="dxa"/>
          </w:tcPr>
          <w:p w:rsidR="00E81DB9" w:rsidRPr="00392FFD" w:rsidRDefault="00E81DB9" w:rsidP="00FD239F">
            <w:pPr>
              <w:pStyle w:val="InstructionsText"/>
            </w:pPr>
            <w:r>
              <w:t>571</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Σύνθετες συμμετοχές σε κεφάλαιο AT1 οντοτήτων του χρ</w:t>
            </w:r>
            <w:r>
              <w:rPr>
                <w:rStyle w:val="InstructionsTabelleberschrift"/>
                <w:rFonts w:ascii="Times New Roman" w:hAnsi="Times New Roman"/>
                <w:sz w:val="24"/>
              </w:rPr>
              <w:t>η</w:t>
            </w:r>
            <w:r>
              <w:rPr>
                <w:rStyle w:val="InstructionsTabelleberschrift"/>
                <w:rFonts w:ascii="Times New Roman" w:hAnsi="Times New Roman"/>
                <w:sz w:val="24"/>
              </w:rPr>
              <w:t>ματοπιστωτικού τομέα όπου το ίδρυμα έχει σημαντική επένδυση</w:t>
            </w:r>
          </w:p>
          <w:p w:rsidR="005643EA" w:rsidRPr="00201704" w:rsidRDefault="00E81DB9" w:rsidP="00FD239F">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ΚΚΑ</w:t>
            </w:r>
          </w:p>
        </w:tc>
      </w:tr>
      <w:tr w:rsidR="00E81DB9" w:rsidRPr="00392FFD" w:rsidTr="00672D2A">
        <w:tc>
          <w:tcPr>
            <w:tcW w:w="1506" w:type="dxa"/>
          </w:tcPr>
          <w:p w:rsidR="00E81DB9" w:rsidRPr="00392FFD" w:rsidRDefault="00E81DB9" w:rsidP="00FD239F">
            <w:pPr>
              <w:pStyle w:val="InstructionsText"/>
            </w:pPr>
            <w:r>
              <w:t>572</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Ακαθάριστες σύνθετες συμμετοχές σε κεφάλαιο AT1 οντοτ</w:t>
            </w:r>
            <w:r>
              <w:rPr>
                <w:rStyle w:val="InstructionsTabelleberschrift"/>
                <w:rFonts w:ascii="Times New Roman" w:hAnsi="Times New Roman"/>
                <w:sz w:val="24"/>
              </w:rPr>
              <w:t>ή</w:t>
            </w:r>
            <w:r>
              <w:rPr>
                <w:rStyle w:val="InstructionsTabelleberschrift"/>
                <w:rFonts w:ascii="Times New Roman" w:hAnsi="Times New Roman"/>
                <w:sz w:val="24"/>
              </w:rPr>
              <w:t>των του χρηματοπιστωτικού τομέα όπου το ίδρυμα έχει σημαντική επένδυση</w:t>
            </w:r>
          </w:p>
          <w:p w:rsidR="005643EA" w:rsidRPr="00201704" w:rsidRDefault="00E81DB9" w:rsidP="00FD239F">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ΚΚΑ</w:t>
            </w:r>
          </w:p>
        </w:tc>
      </w:tr>
      <w:tr w:rsidR="00E81DB9" w:rsidRPr="00392FFD" w:rsidTr="00672D2A">
        <w:tc>
          <w:tcPr>
            <w:tcW w:w="1506" w:type="dxa"/>
          </w:tcPr>
          <w:p w:rsidR="00E81DB9" w:rsidRPr="00392FFD" w:rsidRDefault="00E81DB9" w:rsidP="00FD239F">
            <w:pPr>
              <w:pStyle w:val="InstructionsText"/>
            </w:pPr>
            <w:r>
              <w:t>573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w:t>
            </w:r>
            <w:r>
              <w:rPr>
                <w:rStyle w:val="InstructionsTabelleberschrift"/>
                <w:rFonts w:ascii="Times New Roman" w:hAnsi="Times New Roman"/>
                <w:sz w:val="24"/>
              </w:rPr>
              <w:t>ο</w:t>
            </w:r>
            <w:r>
              <w:rPr>
                <w:rStyle w:val="InstructionsTabelleberschrift"/>
                <w:rFonts w:ascii="Times New Roman" w:hAnsi="Times New Roman"/>
                <w:sz w:val="24"/>
              </w:rPr>
              <w:t>νται ανωτέρω</w:t>
            </w:r>
          </w:p>
          <w:p w:rsidR="005643EA" w:rsidRPr="00201704" w:rsidRDefault="00E81DB9" w:rsidP="00FD239F">
            <w:pPr>
              <w:pStyle w:val="InstructionsText"/>
              <w:rPr>
                <w:rStyle w:val="InstructionsTabelleberschrift"/>
                <w:rFonts w:ascii="Times New Roman" w:hAnsi="Times New Roman"/>
                <w:b w:val="0"/>
                <w:bCs w:val="0"/>
                <w:sz w:val="24"/>
                <w:u w:val="none"/>
              </w:rPr>
            </w:pPr>
            <w:r>
              <w:t>Άρθρο 4 παράγραφος 1 σημείο 126) και άρθρο 59 του ΚΚΑ</w:t>
            </w:r>
          </w:p>
        </w:tc>
      </w:tr>
      <w:tr w:rsidR="002648B0" w:rsidRPr="00392FFD" w:rsidTr="00672D2A">
        <w:tc>
          <w:tcPr>
            <w:tcW w:w="1506" w:type="dxa"/>
          </w:tcPr>
          <w:p w:rsidR="002648B0" w:rsidRPr="00392FFD" w:rsidRDefault="002648B0" w:rsidP="00FD239F">
            <w:pPr>
              <w:pStyle w:val="InstructionsText"/>
            </w:pPr>
            <w:r>
              <w:t>580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 Συμμετοχές σε κεφάλαιο T2 οντοτήτων του χρηματοπιστωτικού τομέα όπου το ίδρυμα έχει σημαντική επένδυση, χωρίς τις αρνητικές θέσεις</w:t>
            </w:r>
          </w:p>
          <w:p w:rsidR="005643EA" w:rsidRPr="00392FFD" w:rsidRDefault="002648B0" w:rsidP="00FD239F">
            <w:pPr>
              <w:pStyle w:val="InstructionsText"/>
            </w:pPr>
            <w:r>
              <w:t>Άρθρα 68 και 69 του ΚΚΑ</w:t>
            </w:r>
          </w:p>
        </w:tc>
      </w:tr>
      <w:tr w:rsidR="002648B0" w:rsidRPr="00392FFD" w:rsidTr="00672D2A">
        <w:tc>
          <w:tcPr>
            <w:tcW w:w="1506" w:type="dxa"/>
          </w:tcPr>
          <w:p w:rsidR="002648B0" w:rsidRPr="00392FFD" w:rsidRDefault="002648B0" w:rsidP="00FD239F">
            <w:pPr>
              <w:pStyle w:val="InstructionsText"/>
            </w:pPr>
            <w:r>
              <w:lastRenderedPageBreak/>
              <w:t>590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Άμεσες συμμετοχές σε κεφάλαιο T2 οντοτήτων του χρηματ</w:t>
            </w:r>
            <w:r>
              <w:rPr>
                <w:rStyle w:val="InstructionsTabelleberschrift"/>
                <w:rFonts w:ascii="Times New Roman" w:hAnsi="Times New Roman"/>
                <w:sz w:val="24"/>
              </w:rPr>
              <w:t>ο</w:t>
            </w:r>
            <w:r>
              <w:rPr>
                <w:rStyle w:val="InstructionsTabelleberschrift"/>
                <w:rFonts w:ascii="Times New Roman" w:hAnsi="Times New Roman"/>
                <w:sz w:val="24"/>
              </w:rPr>
              <w:t>πιστωτικού τομέα όπου το ίδρυμα έχει σημαντική επένδυση</w:t>
            </w:r>
          </w:p>
          <w:p w:rsidR="005643EA" w:rsidRPr="00392FFD" w:rsidRDefault="002648B0" w:rsidP="00FD239F">
            <w:pPr>
              <w:pStyle w:val="InstructionsText"/>
            </w:pPr>
            <w:r>
              <w:t>Άρθρα 68 και 69 του ΚΚΑ</w:t>
            </w:r>
          </w:p>
        </w:tc>
      </w:tr>
      <w:tr w:rsidR="002648B0" w:rsidRPr="00392FFD" w:rsidTr="00672D2A">
        <w:tc>
          <w:tcPr>
            <w:tcW w:w="1506" w:type="dxa"/>
          </w:tcPr>
          <w:p w:rsidR="002648B0" w:rsidRPr="00392FFD" w:rsidRDefault="002648B0" w:rsidP="00FD239F">
            <w:pPr>
              <w:pStyle w:val="InstructionsText"/>
            </w:pPr>
            <w:r>
              <w:t>600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Ακαθάριστες άμεσες συμμετοχές σε κεφάλαιο T2 οντοτήτων του χρηματοπιστωτικού τομέα όπου το ίδρυμα έχει σημαντική επέ</w:t>
            </w:r>
            <w:r>
              <w:rPr>
                <w:rStyle w:val="InstructionsTabelleberschrift"/>
                <w:rFonts w:ascii="Times New Roman" w:hAnsi="Times New Roman"/>
                <w:sz w:val="24"/>
              </w:rPr>
              <w:t>ν</w:t>
            </w:r>
            <w:r>
              <w:rPr>
                <w:rStyle w:val="InstructionsTabelleberschrift"/>
                <w:rFonts w:ascii="Times New Roman" w:hAnsi="Times New Roman"/>
                <w:sz w:val="24"/>
              </w:rPr>
              <w:t>δυση</w:t>
            </w:r>
          </w:p>
          <w:p w:rsidR="005643EA" w:rsidRPr="00392FFD" w:rsidRDefault="002648B0" w:rsidP="00FD239F">
            <w:pPr>
              <w:pStyle w:val="InstructionsText"/>
            </w:pPr>
            <w:r>
              <w:t>Άρθρο 68 του ΚΚΑ</w:t>
            </w:r>
          </w:p>
          <w:p w:rsidR="005643EA" w:rsidRPr="00392FFD" w:rsidRDefault="002648B0" w:rsidP="00FD239F">
            <w:pPr>
              <w:pStyle w:val="InstructionsText"/>
            </w:pPr>
            <w:r>
              <w:t>Άμεσες συμμετοχές σε κεφάλαιο T2 οντοτήτων του χρηματοπιστωτικού τομέα όπου το ίδρυμα έχει σημαντική επένδυση, εκτός από:</w:t>
            </w:r>
          </w:p>
          <w:p w:rsidR="005643EA" w:rsidRPr="00392FFD" w:rsidRDefault="002648B0" w:rsidP="00FD239F">
            <w:pPr>
              <w:pStyle w:val="InstructionsText"/>
            </w:pPr>
            <w:r>
              <w:t>α)</w:t>
            </w:r>
            <w:r>
              <w:tab/>
              <w:t xml:space="preserve">θέσεις αναδοχής που τηρούνται για 5 εργάσιμες ημέρες κατ’ </w:t>
            </w:r>
            <w:r>
              <w:t>α</w:t>
            </w:r>
            <w:r>
              <w:t xml:space="preserve">νώτατο όριο (άρθρο 66 στοιχείο δ))· και </w:t>
            </w:r>
          </w:p>
          <w:p w:rsidR="005643EA" w:rsidRPr="00392FFD" w:rsidRDefault="002648B0" w:rsidP="00FD239F">
            <w:pPr>
              <w:pStyle w:val="InstructionsText"/>
            </w:pPr>
            <w:r>
              <w:t>β)</w:t>
            </w:r>
            <w:r>
              <w:tab/>
              <w:t>συμμετοχές που αντιμετωπίζονται ως αμοιβαίες συμμετοχές, σύμφωνα με το άρθρο 66 στοιχείο β) του ΚΚΑ.</w:t>
            </w:r>
          </w:p>
        </w:tc>
      </w:tr>
      <w:tr w:rsidR="002648B0" w:rsidRPr="00392FFD" w:rsidTr="00672D2A">
        <w:tc>
          <w:tcPr>
            <w:tcW w:w="1506" w:type="dxa"/>
          </w:tcPr>
          <w:p w:rsidR="002648B0" w:rsidRPr="00392FFD" w:rsidRDefault="002648B0" w:rsidP="00FD239F">
            <w:pPr>
              <w:pStyle w:val="InstructionsText"/>
            </w:pPr>
            <w:r>
              <w:t>610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rsidR="005643EA" w:rsidRPr="00392FFD" w:rsidRDefault="002648B0" w:rsidP="00FD239F">
            <w:pPr>
              <w:pStyle w:val="InstructionsText"/>
            </w:pPr>
            <w:r>
              <w:t>Άρθρο 69 του ΚΚΑ</w:t>
            </w:r>
          </w:p>
          <w:p w:rsidR="005643EA" w:rsidRPr="00392FFD" w:rsidRDefault="002648B0" w:rsidP="00FD239F">
            <w:pPr>
              <w:pStyle w:val="InstructionsText"/>
            </w:pPr>
            <w:r>
              <w:t>Το άρθρο 69 στοιχείο α) του ΚΚΑ επιτρέπει τον συμψηφισμό αρνητ</w:t>
            </w:r>
            <w:r>
              <w:t>ι</w:t>
            </w:r>
            <w:r>
              <w:t>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2648B0" w:rsidRPr="00392FFD" w:rsidTr="00672D2A">
        <w:tc>
          <w:tcPr>
            <w:tcW w:w="1506" w:type="dxa"/>
          </w:tcPr>
          <w:p w:rsidR="002648B0" w:rsidRPr="00392FFD" w:rsidRDefault="002648B0" w:rsidP="00FD239F">
            <w:pPr>
              <w:pStyle w:val="InstructionsText"/>
            </w:pPr>
            <w:r>
              <w:t>620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Έμμεσες συμμετοχές σε κεφάλαιο T2 οντοτήτων του χρημ</w:t>
            </w:r>
            <w:r>
              <w:rPr>
                <w:rStyle w:val="InstructionsTabelleberschrift"/>
                <w:rFonts w:ascii="Times New Roman" w:hAnsi="Times New Roman"/>
                <w:sz w:val="24"/>
              </w:rPr>
              <w:t>α</w:t>
            </w:r>
            <w:r>
              <w:rPr>
                <w:rStyle w:val="InstructionsTabelleberschrift"/>
                <w:rFonts w:ascii="Times New Roman" w:hAnsi="Times New Roman"/>
                <w:sz w:val="24"/>
              </w:rPr>
              <w:t>τοπιστωτικού τομέα όπου το ίδρυμα έχει σημαντική επένδυση</w:t>
            </w:r>
          </w:p>
          <w:p w:rsidR="005643EA" w:rsidRPr="00392FFD" w:rsidRDefault="002648B0" w:rsidP="00FD239F">
            <w:pPr>
              <w:pStyle w:val="InstructionsText"/>
            </w:pPr>
            <w:r>
              <w:t>Άρθρο 4 παράγραφος 1 σημείο 114) και άρθρα 68 και 69 του ΚΚΑ</w:t>
            </w:r>
          </w:p>
        </w:tc>
      </w:tr>
      <w:tr w:rsidR="002648B0" w:rsidRPr="00392FFD" w:rsidTr="00672D2A">
        <w:tc>
          <w:tcPr>
            <w:tcW w:w="1506" w:type="dxa"/>
          </w:tcPr>
          <w:p w:rsidR="002648B0" w:rsidRPr="00392FFD" w:rsidRDefault="002648B0" w:rsidP="00FD239F">
            <w:pPr>
              <w:pStyle w:val="InstructionsText"/>
            </w:pPr>
            <w:r>
              <w:t>630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Ακαθάριστες έμμεσες συμμετοχές σε κεφάλαιο T2 οντοτήτων του χρηματοπιστωτικού τομέα όπου το ίδρυμα έχει σημαντική επέ</w:t>
            </w:r>
            <w:r>
              <w:rPr>
                <w:rStyle w:val="InstructionsTabelleberschrift"/>
                <w:rFonts w:ascii="Times New Roman" w:hAnsi="Times New Roman"/>
                <w:sz w:val="24"/>
              </w:rPr>
              <w:t>ν</w:t>
            </w:r>
            <w:r>
              <w:rPr>
                <w:rStyle w:val="InstructionsTabelleberschrift"/>
                <w:rFonts w:ascii="Times New Roman" w:hAnsi="Times New Roman"/>
                <w:sz w:val="24"/>
              </w:rPr>
              <w:t>δυση</w:t>
            </w:r>
          </w:p>
          <w:p w:rsidR="005643EA" w:rsidRPr="00392FFD" w:rsidRDefault="002648B0" w:rsidP="00FD239F">
            <w:pPr>
              <w:pStyle w:val="InstructionsText"/>
            </w:pPr>
            <w:r>
              <w:t>Άρθρο 4 παράγραφος 1 σημείο 114) και άρθρα 68 και 69 του ΚΚΑ</w:t>
            </w:r>
          </w:p>
          <w:p w:rsidR="005643EA" w:rsidRPr="00392FFD" w:rsidRDefault="002648B0" w:rsidP="00FD239F">
            <w:pPr>
              <w:pStyle w:val="InstructionsText"/>
            </w:pPr>
            <w:r>
              <w:t>Το προς αναφορά ποσό είναι οι έμμεσες συμμετοχές στο χαρτοφυλάκιο συναλλαγών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w:t>
            </w:r>
            <w:r>
              <w:t>α</w:t>
            </w:r>
            <w:r>
              <w:t>λαιακά μέσα οντοτήτων του χρηματοπιστωτικού τομέα που περιλαμβ</w:t>
            </w:r>
            <w:r>
              <w:t>ά</w:t>
            </w:r>
            <w:r>
              <w:t>νονται στους δείκτες αυτούς.</w:t>
            </w:r>
          </w:p>
          <w:p w:rsidR="005643EA" w:rsidRPr="00392FFD" w:rsidRDefault="002648B0" w:rsidP="00FD239F">
            <w:pPr>
              <w:pStyle w:val="InstructionsText"/>
            </w:pPr>
            <w:r>
              <w:t>Οι συμμετοχές που αντιμετωπίζονται ως αμοιβαίες συμμετοχές, σύμφ</w:t>
            </w:r>
            <w:r>
              <w:t>ω</w:t>
            </w:r>
            <w:r>
              <w:t>να με το άρθρο 66 στοιχείο β) του ΚΚΑ, δεν περιλαμβάνονται.</w:t>
            </w:r>
          </w:p>
        </w:tc>
      </w:tr>
      <w:tr w:rsidR="002648B0" w:rsidRPr="00392FFD" w:rsidTr="00672D2A">
        <w:tc>
          <w:tcPr>
            <w:tcW w:w="1506" w:type="dxa"/>
          </w:tcPr>
          <w:p w:rsidR="002648B0" w:rsidRPr="00392FFD" w:rsidRDefault="002648B0" w:rsidP="00FD239F">
            <w:pPr>
              <w:pStyle w:val="InstructionsText"/>
            </w:pPr>
            <w:r>
              <w:t>640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rsidR="005643EA" w:rsidRPr="00392FFD" w:rsidRDefault="002648B0" w:rsidP="00FD239F">
            <w:pPr>
              <w:pStyle w:val="InstructionsText"/>
            </w:pPr>
            <w:r>
              <w:t>Άρθρο 4 παράγραφος 1 σημείο 114), άρθρο 69 του ΚΚΑ</w:t>
            </w:r>
          </w:p>
          <w:p w:rsidR="005643EA" w:rsidRPr="00392FFD" w:rsidRDefault="002648B0" w:rsidP="00FD239F">
            <w:pPr>
              <w:pStyle w:val="InstructionsText"/>
            </w:pPr>
            <w:r>
              <w:t>Το άρθρο 69 στοιχείο α) του ΚΚΑ επιτρέπει τον συμψηφισμό αρνητ</w:t>
            </w:r>
            <w:r>
              <w:t>ι</w:t>
            </w:r>
            <w:r>
              <w:t xml:space="preserve">κών θέσεων στο ίδιο υποκείμενο άνοιγμα, υπό την προϋπόθεση ότι η </w:t>
            </w:r>
            <w:r>
              <w:lastRenderedPageBreak/>
              <w:t>ληκτότητα της αρνητικής θέσης ταυτίζεται με τη ληκτότητα της θετικής ή ότι έχει εναπομένουσα ληκτότητα τουλάχιστον ενός έτους.</w:t>
            </w:r>
          </w:p>
        </w:tc>
      </w:tr>
      <w:tr w:rsidR="002648B0" w:rsidRPr="00392FFD" w:rsidTr="00672D2A">
        <w:tc>
          <w:tcPr>
            <w:tcW w:w="1506" w:type="dxa"/>
          </w:tcPr>
          <w:p w:rsidR="002648B0" w:rsidRPr="00392FFD" w:rsidRDefault="002648B0" w:rsidP="00FD239F">
            <w:pPr>
              <w:pStyle w:val="InstructionsText"/>
            </w:pPr>
            <w:r>
              <w:lastRenderedPageBreak/>
              <w:t>641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Σύνθετες συμμετοχές σε κεφάλαιο T2 οντοτήτων του χρημ</w:t>
            </w:r>
            <w:r>
              <w:rPr>
                <w:rStyle w:val="InstructionsTabelleberschrift"/>
                <w:rFonts w:ascii="Times New Roman" w:hAnsi="Times New Roman"/>
                <w:sz w:val="24"/>
              </w:rPr>
              <w:t>α</w:t>
            </w:r>
            <w:r>
              <w:rPr>
                <w:rStyle w:val="InstructionsTabelleberschrift"/>
                <w:rFonts w:ascii="Times New Roman" w:hAnsi="Times New Roman"/>
                <w:sz w:val="24"/>
              </w:rPr>
              <w:t>τοπιστωτικού τομέα όπου το ίδρυμα έχει σημαντική επένδυση</w:t>
            </w:r>
          </w:p>
          <w:p w:rsidR="005643EA" w:rsidRPr="00201704" w:rsidRDefault="00805255" w:rsidP="00FD239F">
            <w:pPr>
              <w:pStyle w:val="InstructionsText"/>
              <w:rPr>
                <w:rStyle w:val="InstructionsTabelleberschrift"/>
                <w:rFonts w:ascii="Times New Roman" w:hAnsi="Times New Roman"/>
                <w:b w:val="0"/>
                <w:bCs w:val="0"/>
                <w:sz w:val="24"/>
                <w:u w:val="none"/>
              </w:rPr>
            </w:pPr>
            <w:r>
              <w:t>Άρθρο 4 παράγραφος 1 σημείο 126) και άρθρα 68 και 69 του ΚΚΑ</w:t>
            </w:r>
          </w:p>
        </w:tc>
      </w:tr>
      <w:tr w:rsidR="002648B0" w:rsidRPr="00392FFD" w:rsidTr="00672D2A">
        <w:tc>
          <w:tcPr>
            <w:tcW w:w="1506" w:type="dxa"/>
          </w:tcPr>
          <w:p w:rsidR="002648B0" w:rsidRPr="00392FFD" w:rsidRDefault="002648B0" w:rsidP="00FD239F">
            <w:pPr>
              <w:pStyle w:val="InstructionsText"/>
            </w:pPr>
            <w:r>
              <w:t>642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Ακαθάριστες σύνθετες συμμετοχές σε κεφάλαιο T2 οντοτ</w:t>
            </w:r>
            <w:r>
              <w:rPr>
                <w:rStyle w:val="InstructionsTabelleberschrift"/>
                <w:rFonts w:ascii="Times New Roman" w:hAnsi="Times New Roman"/>
                <w:sz w:val="24"/>
              </w:rPr>
              <w:t>ή</w:t>
            </w:r>
            <w:r>
              <w:rPr>
                <w:rStyle w:val="InstructionsTabelleberschrift"/>
                <w:rFonts w:ascii="Times New Roman" w:hAnsi="Times New Roman"/>
                <w:sz w:val="24"/>
              </w:rPr>
              <w:t>των του χρηματοπιστωτικού τομέα όπου το ίδρυμα έχει σημαντική επένδυση</w:t>
            </w:r>
          </w:p>
          <w:p w:rsidR="005643EA" w:rsidRPr="00201704" w:rsidRDefault="00805255" w:rsidP="00FD239F">
            <w:pPr>
              <w:pStyle w:val="InstructionsText"/>
              <w:rPr>
                <w:rStyle w:val="InstructionsTabelleberschrift"/>
                <w:rFonts w:ascii="Times New Roman" w:hAnsi="Times New Roman"/>
                <w:b w:val="0"/>
                <w:bCs w:val="0"/>
                <w:sz w:val="24"/>
                <w:u w:val="none"/>
              </w:rPr>
            </w:pPr>
            <w:r>
              <w:t>Άρθρο 4 παράγραφος 1 σημείο 126) και άρθρα 68 και 69 του ΚΚΑ</w:t>
            </w:r>
          </w:p>
        </w:tc>
      </w:tr>
      <w:tr w:rsidR="002648B0" w:rsidRPr="00392FFD" w:rsidTr="00672D2A">
        <w:tc>
          <w:tcPr>
            <w:tcW w:w="1506" w:type="dxa"/>
          </w:tcPr>
          <w:p w:rsidR="002648B0" w:rsidRPr="00392FFD" w:rsidRDefault="002648B0" w:rsidP="00FD239F">
            <w:pPr>
              <w:pStyle w:val="InstructionsText"/>
            </w:pPr>
            <w:r>
              <w:t>643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w:t>
            </w:r>
            <w:r>
              <w:rPr>
                <w:rStyle w:val="InstructionsTabelleberschrift"/>
                <w:rFonts w:ascii="Times New Roman" w:hAnsi="Times New Roman"/>
                <w:sz w:val="24"/>
              </w:rPr>
              <w:t>ο</w:t>
            </w:r>
            <w:r>
              <w:rPr>
                <w:rStyle w:val="InstructionsTabelleberschrift"/>
                <w:rFonts w:ascii="Times New Roman" w:hAnsi="Times New Roman"/>
                <w:sz w:val="24"/>
              </w:rPr>
              <w:t>νται ανωτέρω</w:t>
            </w:r>
          </w:p>
          <w:p w:rsidR="005643EA" w:rsidRPr="00201704" w:rsidRDefault="00805255" w:rsidP="00FD239F">
            <w:pPr>
              <w:pStyle w:val="InstructionsText"/>
              <w:rPr>
                <w:rStyle w:val="InstructionsTabelleberschrift"/>
                <w:rFonts w:ascii="Times New Roman" w:hAnsi="Times New Roman"/>
                <w:b w:val="0"/>
                <w:bCs w:val="0"/>
                <w:sz w:val="24"/>
                <w:u w:val="none"/>
              </w:rPr>
            </w:pPr>
            <w:r>
              <w:t>Άρθρο 4 παράγραφος 1 σημείο 126) και άρθρο 69 του ΚΚΑ</w:t>
            </w:r>
          </w:p>
        </w:tc>
      </w:tr>
      <w:tr w:rsidR="002648B0" w:rsidRPr="00392FFD" w:rsidTr="00672D2A">
        <w:tc>
          <w:tcPr>
            <w:tcW w:w="1506" w:type="dxa"/>
          </w:tcPr>
          <w:p w:rsidR="002648B0" w:rsidRPr="00392FFD" w:rsidRDefault="002648B0" w:rsidP="00FD239F">
            <w:pPr>
              <w:pStyle w:val="InstructionsText"/>
            </w:pPr>
            <w:r>
              <w:t>650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18 Σταθμισμένα ως προς τον κίνδυνο ανοίγματα συμμετοχών CET1 σε οντότητες του χρηματοπιστωτικού τομέα, τα οποία δεν αφαιρο</w:t>
            </w:r>
            <w:r>
              <w:rPr>
                <w:rStyle w:val="InstructionsTabelleberschrift"/>
                <w:rFonts w:ascii="Times New Roman" w:hAnsi="Times New Roman"/>
                <w:sz w:val="24"/>
              </w:rPr>
              <w:t>ύ</w:t>
            </w:r>
            <w:r>
              <w:rPr>
                <w:rStyle w:val="InstructionsTabelleberschrift"/>
                <w:rFonts w:ascii="Times New Roman" w:hAnsi="Times New Roman"/>
                <w:sz w:val="24"/>
              </w:rPr>
              <w:t>νται από το κεφάλαιο CET1 του ιδρύματος</w:t>
            </w:r>
          </w:p>
          <w:p w:rsidR="005643EA" w:rsidRPr="00392FFD" w:rsidRDefault="002648B0" w:rsidP="00FD239F">
            <w:pPr>
              <w:pStyle w:val="InstructionsText"/>
            </w:pPr>
            <w:r>
              <w:t>Άρθρο 46 παράγραφος 4, άρθρο 48 παράγραφος 4 και άρθρο 49 παρ</w:t>
            </w:r>
            <w:r>
              <w:t>ά</w:t>
            </w:r>
            <w:r>
              <w:t>γραφος 4 του ΚΚΑ</w:t>
            </w:r>
          </w:p>
        </w:tc>
      </w:tr>
      <w:tr w:rsidR="002648B0" w:rsidRPr="00392FFD" w:rsidTr="00672D2A">
        <w:tc>
          <w:tcPr>
            <w:tcW w:w="1506" w:type="dxa"/>
          </w:tcPr>
          <w:p w:rsidR="002648B0" w:rsidRPr="00392FFD" w:rsidRDefault="002648B0" w:rsidP="00FD239F">
            <w:pPr>
              <w:pStyle w:val="InstructionsText"/>
            </w:pPr>
            <w:r>
              <w:t>660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19 Σταθμισμένα ως προς τον κίνδυνο ανοίγματα συμμετοχών AT1 σε οντότητες του χρηματοπιστωτικού τομέα, τα οποία δεν αφαιρούνται από το κεφάλαιο AT1 του ιδρύματος</w:t>
            </w:r>
          </w:p>
          <w:p w:rsidR="005643EA" w:rsidRPr="00392FFD" w:rsidRDefault="002648B0" w:rsidP="00FD239F">
            <w:pPr>
              <w:pStyle w:val="InstructionsText"/>
            </w:pPr>
            <w:r>
              <w:t>Άρθρο 60 παράγραφος 4 του ΚΚΑ</w:t>
            </w:r>
          </w:p>
        </w:tc>
      </w:tr>
      <w:tr w:rsidR="002648B0" w:rsidRPr="00392FFD" w:rsidTr="00672D2A">
        <w:tc>
          <w:tcPr>
            <w:tcW w:w="1506" w:type="dxa"/>
          </w:tcPr>
          <w:p w:rsidR="002648B0" w:rsidRPr="00392FFD" w:rsidRDefault="002648B0" w:rsidP="00FD239F">
            <w:pPr>
              <w:pStyle w:val="InstructionsText"/>
            </w:pPr>
            <w:r>
              <w:t>670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20 Σταθμισμένα ως προς τον κίνδυνο ανοίγματα συμμετοχών T2 σε οντότητες του χρηματοπιστωτικού τομέα, τα οποία δεν αφαιρούνται από το κεφάλαιο T2 του ιδρύματος</w:t>
            </w:r>
          </w:p>
          <w:p w:rsidR="005643EA" w:rsidRPr="00392FFD" w:rsidRDefault="002648B0" w:rsidP="00FD239F">
            <w:pPr>
              <w:pStyle w:val="InstructionsText"/>
            </w:pPr>
            <w:r>
              <w:t>Άρθρο 70 παράγραφος 4 του ΚΚΑ</w:t>
            </w:r>
          </w:p>
        </w:tc>
      </w:tr>
      <w:tr w:rsidR="002648B0" w:rsidRPr="00392FFD" w:rsidTr="00672D2A">
        <w:tc>
          <w:tcPr>
            <w:tcW w:w="1506" w:type="dxa"/>
          </w:tcPr>
          <w:p w:rsidR="002648B0" w:rsidRPr="00392FFD" w:rsidRDefault="002648B0" w:rsidP="00FD239F">
            <w:pPr>
              <w:pStyle w:val="InstructionsText"/>
            </w:pPr>
            <w:r>
              <w:t>680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Συμμετοχές σε κεφαλαιακά μέσα CET1 οντοτήτων του χρ</w:t>
            </w:r>
            <w:r>
              <w:rPr>
                <w:rStyle w:val="InstructionsTabelleberschrift"/>
                <w:rFonts w:ascii="Times New Roman" w:hAnsi="Times New Roman"/>
                <w:sz w:val="24"/>
              </w:rPr>
              <w:t>η</w:t>
            </w:r>
            <w:r>
              <w:rPr>
                <w:rStyle w:val="InstructionsTabelleberschrift"/>
                <w:rFonts w:ascii="Times New Roman" w:hAnsi="Times New Roman"/>
                <w:sz w:val="24"/>
              </w:rPr>
              <w:t>ματοπιστωτικού τομέα όπου το ίδρυμα δεν έχει σημαντική επένδ</w:t>
            </w:r>
            <w:r>
              <w:rPr>
                <w:rStyle w:val="InstructionsTabelleberschrift"/>
                <w:rFonts w:ascii="Times New Roman" w:hAnsi="Times New Roman"/>
                <w:sz w:val="24"/>
              </w:rPr>
              <w:t>υ</w:t>
            </w:r>
            <w:r>
              <w:rPr>
                <w:rStyle w:val="InstructionsTabelleberschrift"/>
                <w:rFonts w:ascii="Times New Roman" w:hAnsi="Times New Roman"/>
                <w:sz w:val="24"/>
              </w:rPr>
              <w:t>ση, με προσωρινή αναστολή</w:t>
            </w:r>
          </w:p>
          <w:p w:rsidR="005643EA" w:rsidRPr="00392FFD" w:rsidRDefault="002648B0" w:rsidP="00FD239F">
            <w:pPr>
              <w:pStyle w:val="InstructionsText"/>
            </w:pPr>
            <w:r>
              <w:t>Άρθρο 79 του ΚΚΑ</w:t>
            </w:r>
          </w:p>
          <w:p w:rsidR="005643EA" w:rsidRPr="00392FFD" w:rsidRDefault="002648B0" w:rsidP="00FD239F">
            <w:pPr>
              <w:pStyle w:val="InstructionsText"/>
            </w:pPr>
            <w:r>
              <w:t>Η αρμόδια αρχή μπορεί να αναστείλει προσωρινά την εφαρμογή των δ</w:t>
            </w:r>
            <w:r>
              <w:t>ι</w:t>
            </w:r>
            <w:r>
              <w:t>ατάξεων σχετικά με την αφαίρεση από το CET1,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rsidR="005643EA" w:rsidRPr="00392FFD" w:rsidRDefault="002648B0" w:rsidP="00FD239F">
            <w:pPr>
              <w:pStyle w:val="InstructionsText"/>
            </w:pPr>
            <w:r>
              <w:t>Σημειώνεται ότι τα μέσα αυτά αναφέρονται επίσης στο στοιχείο 12.1.</w:t>
            </w:r>
          </w:p>
        </w:tc>
      </w:tr>
      <w:tr w:rsidR="002648B0" w:rsidRPr="00392FFD" w:rsidTr="00672D2A">
        <w:tc>
          <w:tcPr>
            <w:tcW w:w="1506" w:type="dxa"/>
          </w:tcPr>
          <w:p w:rsidR="002648B0" w:rsidRPr="00392FFD" w:rsidRDefault="002648B0" w:rsidP="00FD239F">
            <w:pPr>
              <w:pStyle w:val="InstructionsText"/>
            </w:pPr>
            <w:r>
              <w:t>690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Συμμετοχές σε κεφαλαιακά μέσα CET1 οντοτήτων του χρ</w:t>
            </w:r>
            <w:r>
              <w:rPr>
                <w:rStyle w:val="InstructionsTabelleberschrift"/>
                <w:rFonts w:ascii="Times New Roman" w:hAnsi="Times New Roman"/>
                <w:sz w:val="24"/>
              </w:rPr>
              <w:t>η</w:t>
            </w:r>
            <w:r>
              <w:rPr>
                <w:rStyle w:val="InstructionsTabelleberschrift"/>
                <w:rFonts w:ascii="Times New Roman" w:hAnsi="Times New Roman"/>
                <w:sz w:val="24"/>
              </w:rPr>
              <w:t>ματοπιστωτικού τομέα όπου το ίδρυμα έχει σημαντική επένδυση, με προσωρινή αναστολή</w:t>
            </w:r>
          </w:p>
          <w:p w:rsidR="005643EA" w:rsidRPr="00392FFD" w:rsidRDefault="002648B0" w:rsidP="00FD239F">
            <w:pPr>
              <w:pStyle w:val="InstructionsText"/>
            </w:pPr>
            <w:r>
              <w:t>Άρθρο 79 του ΚΚΑ</w:t>
            </w:r>
          </w:p>
          <w:p w:rsidR="005643EA" w:rsidRPr="00392FFD" w:rsidRDefault="002648B0" w:rsidP="00FD239F">
            <w:pPr>
              <w:pStyle w:val="InstructionsText"/>
            </w:pPr>
            <w:r>
              <w:t>Η αρμόδια αρχή μπορεί να αναστείλει προσωρινά την εφαρμογή των δ</w:t>
            </w:r>
            <w:r>
              <w:t>ι</w:t>
            </w:r>
            <w:r>
              <w:lastRenderedPageBreak/>
              <w:t>ατάξεων σχετικά με την αφαίρεση από το CET1,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rsidR="005643EA" w:rsidRPr="00392FFD" w:rsidRDefault="002648B0" w:rsidP="00FD239F">
            <w:pPr>
              <w:pStyle w:val="InstructionsText"/>
            </w:pPr>
            <w:r>
              <w:t>Σημειώνεται ότι τα μέσα αυτά αναφέρονται επίσης στο στοιχείο 15.1.</w:t>
            </w:r>
          </w:p>
        </w:tc>
      </w:tr>
      <w:tr w:rsidR="002648B0" w:rsidRPr="00392FFD" w:rsidTr="00672D2A">
        <w:tc>
          <w:tcPr>
            <w:tcW w:w="1506" w:type="dxa"/>
          </w:tcPr>
          <w:p w:rsidR="002648B0" w:rsidRPr="00392FFD" w:rsidRDefault="002648B0" w:rsidP="00FD239F">
            <w:pPr>
              <w:pStyle w:val="InstructionsText"/>
            </w:pPr>
            <w:r>
              <w:lastRenderedPageBreak/>
              <w:t>700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Συμμετοχές σε κεφαλαιακά μέσα AT1 οντοτήτων του χρημ</w:t>
            </w:r>
            <w:r>
              <w:rPr>
                <w:rStyle w:val="InstructionsTabelleberschrift"/>
                <w:rFonts w:ascii="Times New Roman" w:hAnsi="Times New Roman"/>
                <w:sz w:val="24"/>
              </w:rPr>
              <w:t>α</w:t>
            </w:r>
            <w:r>
              <w:rPr>
                <w:rStyle w:val="InstructionsTabelleberschrift"/>
                <w:rFonts w:ascii="Times New Roman" w:hAnsi="Times New Roman"/>
                <w:sz w:val="24"/>
              </w:rPr>
              <w:t>τοπιστωτικού τομέα όπου το ίδρυμα δεν έχει σημαντική επένδυση, με προσωρινή αναστολή</w:t>
            </w:r>
          </w:p>
          <w:p w:rsidR="005643EA" w:rsidRPr="00392FFD" w:rsidRDefault="002648B0" w:rsidP="00FD239F">
            <w:pPr>
              <w:pStyle w:val="InstructionsText"/>
            </w:pPr>
            <w:r>
              <w:t>Άρθρο 79 του ΚΚΑ</w:t>
            </w:r>
          </w:p>
          <w:p w:rsidR="005643EA" w:rsidRPr="00392FFD" w:rsidRDefault="002648B0" w:rsidP="00FD239F">
            <w:pPr>
              <w:pStyle w:val="InstructionsText"/>
            </w:pPr>
            <w:r>
              <w:t>Η αρμόδια αρχή μπορεί να αναστείλει προσωρινά την εφαρμογή των δ</w:t>
            </w:r>
            <w:r>
              <w:t>ι</w:t>
            </w:r>
            <w:r>
              <w:t>ατάξεων σχετικά με την αφαίρεση από το AT1,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rsidR="005643EA" w:rsidRPr="00392FFD" w:rsidRDefault="002648B0" w:rsidP="00FD239F">
            <w:pPr>
              <w:pStyle w:val="InstructionsText"/>
            </w:pPr>
            <w:r>
              <w:t>Σημειώνεται ότι τα μέσα αυτά αναφέρονται επίσης στο στοιχείο 13.1.</w:t>
            </w:r>
          </w:p>
        </w:tc>
      </w:tr>
      <w:tr w:rsidR="002648B0" w:rsidRPr="00392FFD" w:rsidTr="00672D2A">
        <w:tc>
          <w:tcPr>
            <w:tcW w:w="1506" w:type="dxa"/>
          </w:tcPr>
          <w:p w:rsidR="002648B0" w:rsidRPr="00392FFD" w:rsidRDefault="002648B0" w:rsidP="00FD239F">
            <w:pPr>
              <w:pStyle w:val="InstructionsText"/>
            </w:pPr>
            <w:r>
              <w:t>710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Συμμετοχές σε κεφαλαιακά μέσα AT1 οντοτήτων του χρημ</w:t>
            </w:r>
            <w:r>
              <w:rPr>
                <w:rStyle w:val="InstructionsTabelleberschrift"/>
                <w:rFonts w:ascii="Times New Roman" w:hAnsi="Times New Roman"/>
                <w:sz w:val="24"/>
              </w:rPr>
              <w:t>α</w:t>
            </w:r>
            <w:r>
              <w:rPr>
                <w:rStyle w:val="InstructionsTabelleberschrift"/>
                <w:rFonts w:ascii="Times New Roman" w:hAnsi="Times New Roman"/>
                <w:sz w:val="24"/>
              </w:rPr>
              <w:t>τοπιστωτικού τομέα όπου το ίδρυμα έχει σημαντική επένδυση, με προσωρινή αναστολή</w:t>
            </w:r>
          </w:p>
          <w:p w:rsidR="005643EA" w:rsidRPr="00392FFD" w:rsidRDefault="002648B0" w:rsidP="00FD239F">
            <w:pPr>
              <w:pStyle w:val="InstructionsText"/>
            </w:pPr>
            <w:r>
              <w:t>Άρθρο 79 του ΚΚΑ</w:t>
            </w:r>
          </w:p>
          <w:p w:rsidR="005643EA" w:rsidRPr="00392FFD" w:rsidRDefault="002648B0" w:rsidP="00FD239F">
            <w:pPr>
              <w:pStyle w:val="InstructionsText"/>
            </w:pPr>
            <w:r>
              <w:t>Η αρμόδια αρχή μπορεί να αναστείλει προσωρινά την εφαρμογή των δ</w:t>
            </w:r>
            <w:r>
              <w:t>ι</w:t>
            </w:r>
            <w:r>
              <w:t>ατάξεων σχετικά με την αφαίρεση από το AT1,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rsidR="005643EA" w:rsidRPr="00392FFD" w:rsidRDefault="002648B0" w:rsidP="00FD239F">
            <w:pPr>
              <w:pStyle w:val="InstructionsText"/>
            </w:pPr>
            <w:r>
              <w:t>Σημειώνεται ότι τα μέσα αυτά αναφέρονται επίσης στο στοιχείο 16.1.</w:t>
            </w:r>
          </w:p>
        </w:tc>
      </w:tr>
      <w:tr w:rsidR="002648B0" w:rsidRPr="00392FFD" w:rsidTr="00672D2A">
        <w:tc>
          <w:tcPr>
            <w:tcW w:w="1506" w:type="dxa"/>
          </w:tcPr>
          <w:p w:rsidR="002648B0" w:rsidRPr="00392FFD" w:rsidRDefault="002648B0" w:rsidP="00FD239F">
            <w:pPr>
              <w:pStyle w:val="InstructionsText"/>
            </w:pPr>
            <w:r>
              <w:t>720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Συμμετοχές σε κεφαλαιακά μέσα T2 οντοτήτων του χρημ</w:t>
            </w:r>
            <w:r>
              <w:rPr>
                <w:rStyle w:val="InstructionsTabelleberschrift"/>
                <w:rFonts w:ascii="Times New Roman" w:hAnsi="Times New Roman"/>
                <w:sz w:val="24"/>
              </w:rPr>
              <w:t>α</w:t>
            </w:r>
            <w:r>
              <w:rPr>
                <w:rStyle w:val="InstructionsTabelleberschrift"/>
                <w:rFonts w:ascii="Times New Roman" w:hAnsi="Times New Roman"/>
                <w:sz w:val="24"/>
              </w:rPr>
              <w:t>τοπιστωτικού τομέα όπου το ίδρυμα δεν έχει σημαντική επένδυση, με προσωρινή αναστολή</w:t>
            </w:r>
          </w:p>
          <w:p w:rsidR="005643EA" w:rsidRPr="00392FFD" w:rsidRDefault="002648B0" w:rsidP="00FD239F">
            <w:pPr>
              <w:pStyle w:val="InstructionsText"/>
            </w:pPr>
            <w:r>
              <w:t>Άρθρο 79 του ΚΚΑ</w:t>
            </w:r>
          </w:p>
          <w:p w:rsidR="005643EA" w:rsidRPr="00392FFD" w:rsidRDefault="002648B0" w:rsidP="00FD239F">
            <w:pPr>
              <w:pStyle w:val="InstructionsText"/>
            </w:pPr>
            <w:r>
              <w:t>Η αρμόδια αρχή μπορεί να αναστείλει προσωρινά την εφαρμογή των δ</w:t>
            </w:r>
            <w:r>
              <w:t>ι</w:t>
            </w:r>
            <w:r>
              <w:t>ατάξεων σχετικά με την αφαίρεση από το T2,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rsidR="005643EA" w:rsidRPr="00392FFD" w:rsidRDefault="002648B0" w:rsidP="00FD239F">
            <w:pPr>
              <w:pStyle w:val="InstructionsText"/>
            </w:pPr>
            <w:r>
              <w:t>Σημειώνεται ότι τα μέσα αυτά αναφέρονται επίσης στο στοιχείο 14.1.</w:t>
            </w:r>
          </w:p>
        </w:tc>
      </w:tr>
      <w:tr w:rsidR="002648B0" w:rsidRPr="00392FFD" w:rsidTr="00672D2A">
        <w:tc>
          <w:tcPr>
            <w:tcW w:w="1506" w:type="dxa"/>
          </w:tcPr>
          <w:p w:rsidR="002648B0" w:rsidRPr="00392FFD" w:rsidRDefault="002648B0" w:rsidP="00FD239F">
            <w:pPr>
              <w:pStyle w:val="InstructionsText"/>
            </w:pPr>
            <w:r>
              <w:t>730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Συμμετοχές σε κεφαλαιακά μέσα T2 οντοτήτων του χρημ</w:t>
            </w:r>
            <w:r>
              <w:rPr>
                <w:rStyle w:val="InstructionsTabelleberschrift"/>
                <w:rFonts w:ascii="Times New Roman" w:hAnsi="Times New Roman"/>
                <w:sz w:val="24"/>
              </w:rPr>
              <w:t>α</w:t>
            </w:r>
            <w:r>
              <w:rPr>
                <w:rStyle w:val="InstructionsTabelleberschrift"/>
                <w:rFonts w:ascii="Times New Roman" w:hAnsi="Times New Roman"/>
                <w:sz w:val="24"/>
              </w:rPr>
              <w:t>τοπιστωτικού τομέα όπου το ίδρυμα έχει σημαντική επένδυση, με προσωρινή αναστολή</w:t>
            </w:r>
          </w:p>
          <w:p w:rsidR="005643EA" w:rsidRPr="00392FFD" w:rsidRDefault="002648B0" w:rsidP="00FD239F">
            <w:pPr>
              <w:pStyle w:val="InstructionsText"/>
            </w:pPr>
            <w:r>
              <w:t>Άρθρο 79 του ΚΚΑ</w:t>
            </w:r>
          </w:p>
          <w:p w:rsidR="005643EA" w:rsidRPr="00392FFD" w:rsidRDefault="002648B0" w:rsidP="00FD239F">
            <w:pPr>
              <w:pStyle w:val="InstructionsText"/>
            </w:pPr>
            <w:r>
              <w:t>Η αρμόδια αρχή μπορεί να αναστείλει προσωρινά την εφαρμογή των δ</w:t>
            </w:r>
            <w:r>
              <w:t>ι</w:t>
            </w:r>
            <w:r>
              <w:t xml:space="preserve">ατάξεων σχετικά με την αφαίρεση από το T2, λόγω τοποθετήσεων σε μέσα συγκεκριμένης οντότητας του χρηματοπιστωτικού τομέα, όταν θεωρεί ότι οι εν λόγω τοποθετήσεις έχουν σκοπό τη χρηματοδοτική </w:t>
            </w:r>
            <w:r>
              <w:lastRenderedPageBreak/>
              <w:t>συνδρομή για την ανασυγκρότηση και διάσωση της εν λόγω οντότητας.</w:t>
            </w:r>
          </w:p>
          <w:p w:rsidR="005643EA" w:rsidRPr="00392FFD" w:rsidRDefault="002648B0" w:rsidP="00FD239F">
            <w:pPr>
              <w:pStyle w:val="InstructionsText"/>
            </w:pPr>
            <w:r>
              <w:t>Σημειώνεται ότι τα μέσα αυτά αναφέρονται επίσης στο στοιχείο 17.1.</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lastRenderedPageBreak/>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Συνδυασμένη απαίτηση αποθέματος ασφαλείας</w:t>
            </w:r>
          </w:p>
          <w:p w:rsidR="005643EA" w:rsidRPr="00392FFD" w:rsidRDefault="002648B0" w:rsidP="00FD239F">
            <w:pPr>
              <w:pStyle w:val="InstructionsText"/>
            </w:pPr>
            <w:r>
              <w:t>Άρθρο 128 σημείο 6) της ΟΚΑ</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FD239F">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FD239F">
            <w:pPr>
              <w:pStyle w:val="InstructionsText"/>
            </w:pPr>
            <w:r>
              <w:rPr>
                <w:rStyle w:val="InstructionsTabelleberschrift"/>
                <w:rFonts w:ascii="Times New Roman" w:hAnsi="Times New Roman"/>
                <w:sz w:val="24"/>
              </w:rPr>
              <w:t>Απόθεμα ασφαλείας διατήρησης κεφαλαίου</w:t>
            </w:r>
          </w:p>
          <w:p w:rsidR="005643EA" w:rsidRPr="00392FFD" w:rsidRDefault="002648B0" w:rsidP="00FD239F">
            <w:pPr>
              <w:pStyle w:val="InstructionsText"/>
            </w:pPr>
            <w:r>
              <w:t xml:space="preserve">Άρθρο 128 σημείο 1) και άρθρο 129 της ΟΚΑ </w:t>
            </w:r>
          </w:p>
          <w:p w:rsidR="005643EA" w:rsidRPr="00392FFD" w:rsidRDefault="002648B0" w:rsidP="00FD239F">
            <w:pPr>
              <w:pStyle w:val="InstructionsText"/>
            </w:pPr>
            <w:r>
              <w:t>Σύμφωνα με το άρθρο 129 παράγραφος 1, το απόθεμα ασφαλείας διατ</w:t>
            </w:r>
            <w:r>
              <w:t>ή</w:t>
            </w:r>
            <w:r>
              <w:t>ρησης κεφαλαίου είναι ένα πρόσθετο ποσό κεφαλαίου κοινών μετοχών της κατηγορίας 1. Δεδομένου ότι το απόθεμα ασφαλείας διατήρησης κεφαλαίου της τάξης του 2,5 % είναι σταθερό, στο συγκεκριμένο κελί αναφέρεται ένα ποσό.</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Απόθεμα ασφαλείας διατήρησης κεφαλαίου λόγω μακροπροληπτ</w:t>
            </w:r>
            <w:r>
              <w:rPr>
                <w:rStyle w:val="InstructionsTabelleberschrift"/>
                <w:rFonts w:ascii="Times New Roman" w:hAnsi="Times New Roman"/>
                <w:sz w:val="24"/>
              </w:rPr>
              <w:t>ι</w:t>
            </w:r>
            <w:r>
              <w:rPr>
                <w:rStyle w:val="InstructionsTabelleberschrift"/>
                <w:rFonts w:ascii="Times New Roman" w:hAnsi="Times New Roman"/>
                <w:sz w:val="24"/>
              </w:rPr>
              <w:t>κού ή συστημικού κινδύνου που εντοπίζεται σε επίπεδο κράτους μ</w:t>
            </w:r>
            <w:r>
              <w:rPr>
                <w:rStyle w:val="InstructionsTabelleberschrift"/>
                <w:rFonts w:ascii="Times New Roman" w:hAnsi="Times New Roman"/>
                <w:sz w:val="24"/>
              </w:rPr>
              <w:t>έ</w:t>
            </w:r>
            <w:r>
              <w:rPr>
                <w:rStyle w:val="InstructionsTabelleberschrift"/>
                <w:rFonts w:ascii="Times New Roman" w:hAnsi="Times New Roman"/>
                <w:sz w:val="24"/>
              </w:rPr>
              <w:t xml:space="preserve">λους </w:t>
            </w:r>
          </w:p>
          <w:p w:rsidR="005643EA" w:rsidRPr="00392FFD" w:rsidRDefault="002648B0" w:rsidP="00FD239F">
            <w:pPr>
              <w:pStyle w:val="InstructionsText"/>
            </w:pPr>
            <w:r>
              <w:t>Άρθρο 458 παράγραφος 2 στοιχείο δ) σημείο iv) του ΚΚΑ</w:t>
            </w:r>
          </w:p>
          <w:p w:rsidR="00DF65DF" w:rsidRPr="00392FFD" w:rsidRDefault="002648B0" w:rsidP="00FD239F">
            <w:pPr>
              <w:pStyle w:val="InstructionsText"/>
            </w:pPr>
            <w:r>
              <w:t>Στο συγκεκριμένο κελί αναφέρεται το ποσό του αποθέματος ασφαλείας διατήρησης κεφαλαίου λόγω μακροπροληπτικού ή συστημικού κινδύνου που εντοπίζεται σε επίπεδο κράτους μέλους, το οποίο δύναται να ζητ</w:t>
            </w:r>
            <w:r>
              <w:t>η</w:t>
            </w:r>
            <w:r>
              <w:t>θεί σύμφωνα με το άρθρο 458 του ΚΚΑ, επιπροσθέτως του αποθέματος ασφαλείας διατήρησης κεφαλαίου.</w:t>
            </w:r>
          </w:p>
          <w:p w:rsidR="005643EA" w:rsidRPr="00392FFD" w:rsidRDefault="00DF65DF" w:rsidP="00FD239F">
            <w:pPr>
              <w:pStyle w:val="InstructionsText"/>
            </w:pPr>
            <w:r>
              <w:t>Το ποσό που αναφέρεται αντιπροσωπεύει το ποσό των ιδίων κεφαλαίων που απαιτούνται για την εκπλήρωση των αντίστοιχων απαιτήσεων κ</w:t>
            </w:r>
            <w:r>
              <w:t>ε</w:t>
            </w:r>
            <w:r>
              <w:t xml:space="preserve">φαλαιακού αποθέματος ασφαλείας κατά την ημερομηνία υποβολής </w:t>
            </w:r>
            <w:r>
              <w:t>α</w:t>
            </w:r>
            <w:r>
              <w:t>ναφοράς.</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FD239F">
            <w:pPr>
              <w:pStyle w:val="InstructionsText"/>
            </w:pPr>
            <w:proofErr w:type="spellStart"/>
            <w:r>
              <w:rPr>
                <w:rStyle w:val="InstructionsTabelleberschrift"/>
                <w:rFonts w:ascii="Times New Roman" w:hAnsi="Times New Roman"/>
                <w:sz w:val="24"/>
              </w:rPr>
              <w:t>Αντικυκλικό</w:t>
            </w:r>
            <w:proofErr w:type="spellEnd"/>
            <w:r>
              <w:rPr>
                <w:rStyle w:val="InstructionsTabelleberschrift"/>
                <w:rFonts w:ascii="Times New Roman" w:hAnsi="Times New Roman"/>
                <w:sz w:val="24"/>
              </w:rPr>
              <w:t xml:space="preserve"> κεφαλαιακό απόθεμα ασφαλείας ειδικά για το κάθε </w:t>
            </w:r>
            <w:r>
              <w:rPr>
                <w:rStyle w:val="InstructionsTabelleberschrift"/>
                <w:rFonts w:ascii="Times New Roman" w:hAnsi="Times New Roman"/>
                <w:sz w:val="24"/>
              </w:rPr>
              <w:t>ί</w:t>
            </w:r>
            <w:r>
              <w:rPr>
                <w:rStyle w:val="InstructionsTabelleberschrift"/>
                <w:rFonts w:ascii="Times New Roman" w:hAnsi="Times New Roman"/>
                <w:sz w:val="24"/>
              </w:rPr>
              <w:t xml:space="preserve">δρυμα </w:t>
            </w:r>
          </w:p>
          <w:p w:rsidR="00DF65DF" w:rsidRPr="00392FFD" w:rsidRDefault="002648B0" w:rsidP="00FD239F">
            <w:pPr>
              <w:pStyle w:val="InstructionsText"/>
            </w:pPr>
            <w:r>
              <w:t xml:space="preserve">Άρθρο 128 σημείο 2), άρθρο 130 και άρθρα 135 έως 140 της ΟΚΑ </w:t>
            </w:r>
          </w:p>
          <w:p w:rsidR="005643EA" w:rsidRPr="00392FFD" w:rsidRDefault="00DF65DF" w:rsidP="00FD239F">
            <w:pPr>
              <w:pStyle w:val="InstructionsText"/>
            </w:pPr>
            <w:r>
              <w:t>Το ποσό που αναφέρεται αντιπροσωπεύει το ποσό των ιδίων κεφαλαίων που απαιτούνται για την εκπλήρωση των αντίστοιχων απαιτήσεων κ</w:t>
            </w:r>
            <w:r>
              <w:t>ε</w:t>
            </w:r>
            <w:r>
              <w:t xml:space="preserve">φαλαιακού αποθέματος ασφαλείας κατά την ημερομηνία υποβολής </w:t>
            </w:r>
            <w:r>
              <w:t>α</w:t>
            </w:r>
            <w:r>
              <w:t>ναφοράς.</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Απόθεμα ασφαλείας συστημικού κινδύνου </w:t>
            </w:r>
          </w:p>
          <w:p w:rsidR="00DF65DF" w:rsidRPr="00392FFD" w:rsidRDefault="002648B0" w:rsidP="00FD239F">
            <w:pPr>
              <w:pStyle w:val="InstructionsText"/>
            </w:pPr>
            <w:r>
              <w:t xml:space="preserve">Άρθρο 128 σημείο 5), άρθρο 133 και άρθρο 134 της ΟΚΑ </w:t>
            </w:r>
          </w:p>
          <w:p w:rsidR="005643EA" w:rsidRPr="00392FFD" w:rsidRDefault="00DF65DF" w:rsidP="00FD239F">
            <w:pPr>
              <w:pStyle w:val="InstructionsText"/>
            </w:pPr>
            <w:r>
              <w:t>Το ποσό που αναφέρεται αντιπροσωπεύει το ποσό των ιδίων κεφαλαίων που απαιτούνται για την εκπλήρωση των αντίστοιχων απαιτήσεων κ</w:t>
            </w:r>
            <w:r>
              <w:t>ε</w:t>
            </w:r>
            <w:r>
              <w:t xml:space="preserve">φαλαιακού αποθέματος ασφαλείας κατά την ημερομηνία υποβολής </w:t>
            </w:r>
            <w:r>
              <w:t>α</w:t>
            </w:r>
            <w:r>
              <w:t>ναφοράς.</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Απόθεμα ασφαλείας για τα παγκόσμια συστημικώς σημαντικά </w:t>
            </w:r>
            <w:r>
              <w:rPr>
                <w:rStyle w:val="InstructionsTabelleberschrift"/>
                <w:rFonts w:ascii="Times New Roman" w:hAnsi="Times New Roman"/>
                <w:sz w:val="24"/>
              </w:rPr>
              <w:t>ι</w:t>
            </w:r>
            <w:r>
              <w:rPr>
                <w:rStyle w:val="InstructionsTabelleberschrift"/>
                <w:rFonts w:ascii="Times New Roman" w:hAnsi="Times New Roman"/>
                <w:sz w:val="24"/>
              </w:rPr>
              <w:t>δρύματα</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128 σημείο 3) και άρθρο 131 της ΟΚΑ</w:t>
            </w:r>
          </w:p>
          <w:p w:rsidR="005643EA" w:rsidRPr="00201704" w:rsidRDefault="00DF65DF" w:rsidP="00FD239F">
            <w:pPr>
              <w:pStyle w:val="InstructionsText"/>
              <w:rPr>
                <w:rStyle w:val="InstructionsTabelleberschrift"/>
                <w:rFonts w:ascii="Times New Roman" w:hAnsi="Times New Roman"/>
                <w:b w:val="0"/>
                <w:bCs w:val="0"/>
                <w:sz w:val="24"/>
                <w:u w:val="none"/>
              </w:rPr>
            </w:pPr>
            <w:r>
              <w:t>Το ποσό που αναφέρεται αντιπροσωπεύει το ποσό των ιδίων κεφαλαίων που απαιτούνται για την εκπλήρωση των αντίστοιχων απαιτήσεων κ</w:t>
            </w:r>
            <w:r>
              <w:t>ε</w:t>
            </w:r>
            <w:r>
              <w:lastRenderedPageBreak/>
              <w:t xml:space="preserve">φαλαιακού αποθέματος ασφαλείας κατά την ημερομηνία υποβολής </w:t>
            </w:r>
            <w:r>
              <w:t>α</w:t>
            </w:r>
            <w:r>
              <w:t>ναφοράς.</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lastRenderedPageBreak/>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Απόθεμα ασφαλείας για άλλα συστημικώς σημαντικά ιδρύματα </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128 σημείο 4) και άρθρο 131 της ΟΚΑ</w:t>
            </w:r>
          </w:p>
          <w:p w:rsidR="005643EA" w:rsidRPr="00201704" w:rsidRDefault="00DF65DF" w:rsidP="00FD239F">
            <w:pPr>
              <w:pStyle w:val="InstructionsText"/>
              <w:rPr>
                <w:rStyle w:val="InstructionsTabelleberschrift"/>
                <w:rFonts w:ascii="Times New Roman" w:hAnsi="Times New Roman"/>
                <w:b w:val="0"/>
                <w:bCs w:val="0"/>
                <w:sz w:val="24"/>
                <w:u w:val="none"/>
              </w:rPr>
            </w:pPr>
            <w:r>
              <w:t>Το ποσό που αναφέρεται αντιπροσωπεύει το ποσό των ιδίων κεφαλαίων που απαιτούνται για την εκπλήρωση των αντίστοιχων απαιτήσεων κ</w:t>
            </w:r>
            <w:r>
              <w:t>ε</w:t>
            </w:r>
            <w:r>
              <w:t xml:space="preserve">φαλαιακού αποθέματος ασφαλείας κατά την ημερομηνία υποβολής </w:t>
            </w:r>
            <w:r>
              <w:t>α</w:t>
            </w:r>
            <w:r>
              <w:t>ναφοράς.</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820</w:t>
            </w:r>
          </w:p>
          <w:p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Απαιτήσεις ιδίων κεφαλαίων που σχετίζονται με τις προσα</w:t>
            </w:r>
            <w:r>
              <w:rPr>
                <w:rStyle w:val="InstructionsTabelleberschrift"/>
                <w:rFonts w:ascii="Times New Roman" w:hAnsi="Times New Roman"/>
                <w:sz w:val="24"/>
              </w:rPr>
              <w:t>ρ</w:t>
            </w:r>
            <w:r>
              <w:rPr>
                <w:rStyle w:val="InstructionsTabelleberschrift"/>
                <w:rFonts w:ascii="Times New Roman" w:hAnsi="Times New Roman"/>
                <w:sz w:val="24"/>
              </w:rPr>
              <w:t>μογές του πυλώνα II</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104 παράγραφος 2 της ΟΚΑ </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η αρμόδια αρχή αποφασίσει ότι ένα ίδρυμα πρέπει να υπολογίζει πρόσθετες απαιτήσεις ιδίων κεφαλαίων για λόγους που αφορούν τον π</w:t>
            </w:r>
            <w:r>
              <w:rPr>
                <w:rStyle w:val="InstructionsTabelleberschrift"/>
                <w:rFonts w:ascii="Times New Roman" w:hAnsi="Times New Roman"/>
                <w:b w:val="0"/>
                <w:sz w:val="24"/>
                <w:u w:val="none"/>
              </w:rPr>
              <w:t>υ</w:t>
            </w:r>
            <w:r>
              <w:rPr>
                <w:rStyle w:val="InstructionsTabelleberschrift"/>
                <w:rFonts w:ascii="Times New Roman" w:hAnsi="Times New Roman"/>
                <w:b w:val="0"/>
                <w:sz w:val="24"/>
                <w:u w:val="none"/>
              </w:rPr>
              <w:t xml:space="preserve">λώνα ΙΙ, οι εν λόγω πρόσθετες απαιτήσεις ιδίων κεφαλαίων αναφέρονται στο συγκεκριμένο κελί.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Αρχικό κεφάλαιο</w:t>
            </w:r>
          </w:p>
          <w:p w:rsidR="005643EA" w:rsidRPr="00392FFD"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Άρθρα 12 και 28 έως 31 της ΟΚΑ και άρθρο 93 του ΚΚΑ</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Ίδια κεφάλαια βάσει των παγίων εξόδων</w:t>
            </w:r>
          </w:p>
          <w:p w:rsidR="005643EA" w:rsidRPr="00201704"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96 παράγραφος 2 στοιχείο β), άρθρο 97 και άρθρο 98 παράγρ</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φος 1 στοιχείο α) του ΚΚΑ</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FD239F">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Μη εγχώρια αρχικά ανοίγματα</w:t>
            </w:r>
          </w:p>
          <w:p w:rsidR="00DD5F87" w:rsidRPr="00392FFD" w:rsidRDefault="00A774C1"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Πληροφορίες απαραίτητες για τον υπολογισμό του κατώτατου ορίου για την αναφορά του υποδείγματος CR GB, σύμφωνα με το άρθρο 5 στο</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χείο α) σημείο 4) του παρόντος κανονισμού. Ο υπολογισμός του κατ</w:t>
            </w:r>
            <w:r>
              <w:rPr>
                <w:rStyle w:val="InstructionsTabelleberschrift"/>
                <w:rFonts w:ascii="Times New Roman" w:hAnsi="Times New Roman"/>
                <w:b w:val="0"/>
                <w:sz w:val="24"/>
                <w:u w:val="none"/>
              </w:rPr>
              <w:t>ώ</w:t>
            </w:r>
            <w:r>
              <w:rPr>
                <w:rStyle w:val="InstructionsTabelleberschrift"/>
                <w:rFonts w:ascii="Times New Roman" w:hAnsi="Times New Roman"/>
                <w:b w:val="0"/>
                <w:sz w:val="24"/>
                <w:u w:val="none"/>
              </w:rPr>
              <w:t xml:space="preserve">τατου ορίου πραγματοποιείται βάσει του αρχικού ανοίγματος, πριν από την εφαρμογή του συντελεστή μετατροπής. </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Τα ανοίγματα θεωρούνται εγχώρια στην περίπτωση που είναι ανοίγματα σε αντισυμβαλλομένους που βρίσκονται στο κράτος μέλος όπου είναι εγκατεστημένο το ίδρυμα.</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FD239F">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Συνολικά αρχικά ανοίγματα</w:t>
            </w:r>
          </w:p>
          <w:p w:rsidR="00DD5F87" w:rsidRPr="00392FFD" w:rsidRDefault="00FA386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Πληροφορίες απαραίτητες για τον υπολογισμό του κατώτατου ορίου για την αναφορά του υποδείγματος CR GB, σύμφωνα με το άρθρο 5 στο</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χείο α) σημείο 4) του παρόντος κανονισμού. Ο υπολογισμός του κατ</w:t>
            </w:r>
            <w:r>
              <w:rPr>
                <w:rStyle w:val="InstructionsTabelleberschrift"/>
                <w:rFonts w:ascii="Times New Roman" w:hAnsi="Times New Roman"/>
                <w:b w:val="0"/>
                <w:sz w:val="24"/>
                <w:u w:val="none"/>
              </w:rPr>
              <w:t>ώ</w:t>
            </w:r>
            <w:r>
              <w:rPr>
                <w:rStyle w:val="InstructionsTabelleberschrift"/>
                <w:rFonts w:ascii="Times New Roman" w:hAnsi="Times New Roman"/>
                <w:b w:val="0"/>
                <w:sz w:val="24"/>
                <w:u w:val="none"/>
              </w:rPr>
              <w:t>τατου ορίου πραγματοποιείται βάσει του αρχικού ανοίγματος, πριν από την εφαρμογή του συντελεστή μετατροπής.</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Τα ανοίγματα θεωρούνται εγχώρια στην περίπτωση που είναι ανοίγματα σε αντισυμβαλλομένους που βρίσκονται στο κράτος μέλος όπου είναι εγκατεστημένο το ίδρυμα.</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FD239F">
            <w:pPr>
              <w:pStyle w:val="InstructionsText"/>
            </w:pPr>
            <w:r>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στο σύνολο των ιδίων κεφαλαίων</w:t>
            </w:r>
          </w:p>
          <w:p w:rsidR="00700DFD" w:rsidRPr="00392FFD" w:rsidRDefault="00700DF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500 παράγραφος 4 του ΚΚΑ</w:t>
            </w:r>
          </w:p>
          <w:p w:rsidR="00643362"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Στην παρούσα θέση αναφέρεται η διαφορά μεταξύ του αναφερόμενου ποσού στη θέση 880 και του συνόλου των ιδίων κεφαλαίων βάσει του </w:t>
            </w:r>
            <w:r>
              <w:rPr>
                <w:rStyle w:val="InstructionsTabelleberschrift"/>
                <w:rFonts w:ascii="Times New Roman" w:hAnsi="Times New Roman"/>
                <w:b w:val="0"/>
                <w:sz w:val="24"/>
                <w:u w:val="none"/>
              </w:rPr>
              <w:lastRenderedPageBreak/>
              <w:t xml:space="preserve">ΚΚΑ. </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εφαρμόζεται η εναλλακτική τυποποιημένη προσέγγιση (άρθρο 500 παράγραφος 2 του ΚΚΑ), η παρούσα γραμμή παραμένει κενή.</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lastRenderedPageBreak/>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Πλήρως προσαρμοσμένα ίδια κεφάλαια για το κατώτατο όριο της Βασιλείας Ι</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500 παράγραφος 4 του ΚΚΑ</w:t>
            </w:r>
          </w:p>
          <w:p w:rsidR="002540B2" w:rsidRPr="00392FFD" w:rsidRDefault="002540B2"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Στην παρούσα θέση αναφέρεται το σύνολο των ιδίων κεφαλαίων βάσει του ΚΚΑ, προσαρμοσμένων σύμφωνα με τις απαιτήσεις του άρθρου 500 παράγραφος 4 του ΚΚΑ (δηλαδή πλήρως προσαρμοσμένα ώστε να λαμβάνονται υπόψη οι διαφορές μεταξύ του υπολογισμού των ιδίων κ</w:t>
            </w:r>
            <w:r>
              <w:rPr>
                <w:rStyle w:val="InstructionsTabelleberschrift"/>
                <w:rFonts w:ascii="Times New Roman" w:hAnsi="Times New Roman"/>
                <w:b w:val="0"/>
                <w:sz w:val="24"/>
                <w:u w:val="none"/>
              </w:rPr>
              <w:t>ε</w:t>
            </w:r>
            <w:r>
              <w:rPr>
                <w:rStyle w:val="InstructionsTabelleberschrift"/>
                <w:rFonts w:ascii="Times New Roman" w:hAnsi="Times New Roman"/>
                <w:b w:val="0"/>
                <w:sz w:val="24"/>
                <w:u w:val="none"/>
              </w:rPr>
              <w:t xml:space="preserve">φαλαίων βάσει της οδηγίας 93/6/ΕΟΚ και της οδηγίας 2000/12/ΕΚ, ως ίσχυαν πριν από την 1η Ιανουαρίου 2007, και του υπολογισμού των </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δίων κεφαλαίων βάσει του ΚΚΑ, οι οποίες απορρέουν από τη χωριστή αντιμετώπιση των αναμενόμενων και των μη αναμενόμενων ζημιών β</w:t>
            </w:r>
            <w:r>
              <w:rPr>
                <w:rStyle w:val="InstructionsTabelleberschrift"/>
                <w:rFonts w:ascii="Times New Roman" w:hAnsi="Times New Roman"/>
                <w:b w:val="0"/>
                <w:sz w:val="24"/>
                <w:u w:val="none"/>
              </w:rPr>
              <w:t>ά</w:t>
            </w:r>
            <w:r>
              <w:rPr>
                <w:rStyle w:val="InstructionsTabelleberschrift"/>
                <w:rFonts w:ascii="Times New Roman" w:hAnsi="Times New Roman"/>
                <w:b w:val="0"/>
                <w:sz w:val="24"/>
                <w:u w:val="none"/>
              </w:rPr>
              <w:t xml:space="preserve">σει του τρίτου μέρους τίτλος II κεφάλαιο 3 του ΚΚΑ). </w:t>
            </w:r>
          </w:p>
          <w:p w:rsidR="00DE48EF" w:rsidRPr="00201704"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εφαρμόζεται η εναλλακτική τυποποιημένη προσέγγιση (άρθρο 500 παράγραφος 2 του ΚΚΑ), η παρούσα γραμμή παραμένει κενή.</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Απαιτήσεις ιδίων κεφαλαίων για το κατώτατο όριο της Βασιλείας Ι</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500 παράγραφος 1 στοιχείο β) του ΚΚΑ </w:t>
            </w:r>
          </w:p>
          <w:p w:rsidR="00DE48EF" w:rsidRPr="00392FFD"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Στην παρούσα θέση αναφέρεται το ποσό των ιδίων κεφαλαίων που πρ</w:t>
            </w:r>
            <w:r>
              <w:rPr>
                <w:rStyle w:val="InstructionsTabelleberschrift"/>
                <w:rFonts w:ascii="Times New Roman" w:hAnsi="Times New Roman"/>
                <w:b w:val="0"/>
                <w:sz w:val="24"/>
                <w:u w:val="none"/>
              </w:rPr>
              <w:t>έ</w:t>
            </w:r>
            <w:r>
              <w:rPr>
                <w:rStyle w:val="InstructionsTabelleberschrift"/>
                <w:rFonts w:ascii="Times New Roman" w:hAnsi="Times New Roman"/>
                <w:b w:val="0"/>
                <w:sz w:val="24"/>
                <w:u w:val="none"/>
              </w:rPr>
              <w:t>πει να τηρείται σύμφωνα με τις απαιτήσεις του άρθρου 500 παράγραφος 1 στοιχείο β) του ΚΚΑ (δηλαδή το 80 % του συνολικού ελάχιστου π</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 xml:space="preserve">σού των ιδίων κεφαλαίων που θα ήταν υποχρεωμένο να διατηρεί το </w:t>
            </w:r>
            <w:r>
              <w:rPr>
                <w:rStyle w:val="InstructionsTabelleberschrift"/>
                <w:rFonts w:ascii="Times New Roman" w:hAnsi="Times New Roman"/>
                <w:b w:val="0"/>
                <w:sz w:val="24"/>
                <w:u w:val="none"/>
              </w:rPr>
              <w:t>ί</w:t>
            </w:r>
            <w:r>
              <w:rPr>
                <w:rStyle w:val="InstructionsTabelleberschrift"/>
                <w:rFonts w:ascii="Times New Roman" w:hAnsi="Times New Roman"/>
                <w:b w:val="0"/>
                <w:sz w:val="24"/>
                <w:u w:val="none"/>
              </w:rPr>
              <w:t>δρυμα βάσει του άρθρου 4 της οδηγίας 93/6/ΕΟΚ, ως ίσχυαν η εν λόγω οδηγία και η οδηγία 2000/12/ΕΚ του Ευρωπαϊκού Κοινοβουλίου και του Συμβουλίου, της 20ής Μαρτίου 2000, σχετικά με την ανάληψη και την άσκηση δραστηριότητας πιστωτικών ιδρυμάτων πριν από την 1η Ιανο</w:t>
            </w:r>
            <w:r>
              <w:rPr>
                <w:rStyle w:val="InstructionsTabelleberschrift"/>
                <w:rFonts w:ascii="Times New Roman" w:hAnsi="Times New Roman"/>
                <w:b w:val="0"/>
                <w:sz w:val="24"/>
                <w:u w:val="none"/>
              </w:rPr>
              <w:t>υ</w:t>
            </w:r>
            <w:r>
              <w:rPr>
                <w:rStyle w:val="InstructionsTabelleberschrift"/>
                <w:rFonts w:ascii="Times New Roman" w:hAnsi="Times New Roman"/>
                <w:b w:val="0"/>
                <w:sz w:val="24"/>
                <w:u w:val="none"/>
              </w:rPr>
              <w:t>αρίου 2007).</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Απαιτήσεις ίδιων κεφαλαίων για το κατώτατο όριο της Βασιλείας I – εναλλακτική SA</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500 παράγραφοι 2 και 3 του ΚΚΑ </w:t>
            </w:r>
          </w:p>
          <w:p w:rsidR="00DE48EF" w:rsidRPr="00201704"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Στην παρούσα θέση αναφέρεται το ποσό των ιδίων κεφαλαίων που πρ</w:t>
            </w:r>
            <w:r>
              <w:rPr>
                <w:rStyle w:val="InstructionsTabelleberschrift"/>
                <w:rFonts w:ascii="Times New Roman" w:hAnsi="Times New Roman"/>
                <w:b w:val="0"/>
                <w:sz w:val="24"/>
                <w:u w:val="none"/>
              </w:rPr>
              <w:t>έ</w:t>
            </w:r>
            <w:r>
              <w:rPr>
                <w:rStyle w:val="InstructionsTabelleberschrift"/>
                <w:rFonts w:ascii="Times New Roman" w:hAnsi="Times New Roman"/>
                <w:b w:val="0"/>
                <w:sz w:val="24"/>
                <w:u w:val="none"/>
              </w:rPr>
              <w:t>πει να τηρείται σύμφωνα με τις απαιτήσεις του άρθρου 500 παράγραφος 2 του ΚΚΑ (δηλαδή το 80 % των ιδίων κεφαλαίων που θα ήταν υπ</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χρεωμένο να διατηρεί το ίδρυμα σύμφωνα με το άρθρο 92, υπολογίζ</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ντας τα σταθμισμένα ως προς τον κίνδυνο ποσά των ανοιγμάτων τους σύμφωνα με το τρίτο μέρος τίτλος II κεφάλαιο 2 και το τρίτο μέρος τί</w:t>
            </w:r>
            <w:r>
              <w:rPr>
                <w:rStyle w:val="InstructionsTabelleberschrift"/>
                <w:rFonts w:ascii="Times New Roman" w:hAnsi="Times New Roman"/>
                <w:b w:val="0"/>
                <w:sz w:val="24"/>
                <w:u w:val="none"/>
              </w:rPr>
              <w:t>τ</w:t>
            </w:r>
            <w:r>
              <w:rPr>
                <w:rStyle w:val="InstructionsTabelleberschrift"/>
                <w:rFonts w:ascii="Times New Roman" w:hAnsi="Times New Roman"/>
                <w:b w:val="0"/>
                <w:sz w:val="24"/>
                <w:u w:val="none"/>
              </w:rPr>
              <w:t>λος III κεφάλαιο 2 ή 3 του ΚΚΑ, κατά περίπτωση, και όχι σύμφωνα με το τρίτο μέρος τίτλος II κεφάλαιο 3 ή το τρίτο μέρος τίτλος III κεφάλαιο 4 του ΚΚΑ, κατά περίπτωση).</w:t>
            </w:r>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FD239F">
            <w:pPr>
              <w:pStyle w:val="InstructionsText"/>
            </w:pPr>
            <w:r>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Έλλειμμα συνολικών ιδίων κεφαλαίων όσον αφορά τις απαιτήσεις ιδίων κεφαλαίων του κατώτατου ορίου της Βασιλείας I ή την ενα</w:t>
            </w:r>
            <w:r>
              <w:rPr>
                <w:rStyle w:val="InstructionsTabelleberschrift"/>
                <w:rFonts w:ascii="Times New Roman" w:hAnsi="Times New Roman"/>
                <w:sz w:val="24"/>
              </w:rPr>
              <w:t>λ</w:t>
            </w:r>
            <w:r>
              <w:rPr>
                <w:rStyle w:val="InstructionsTabelleberschrift"/>
                <w:rFonts w:ascii="Times New Roman" w:hAnsi="Times New Roman"/>
                <w:sz w:val="24"/>
              </w:rPr>
              <w:t>λακτική SA</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500 παράγραφος 1 στοιχείο β) και άρθρο 500 παράγραφος 2 του </w:t>
            </w:r>
            <w:r>
              <w:rPr>
                <w:rStyle w:val="InstructionsTabelleberschrift"/>
                <w:rFonts w:ascii="Times New Roman" w:hAnsi="Times New Roman"/>
                <w:b w:val="0"/>
                <w:sz w:val="24"/>
                <w:u w:val="none"/>
              </w:rPr>
              <w:lastRenderedPageBreak/>
              <w:t xml:space="preserve">ΚΚΑ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παρούσα γραμμή πρέπει να συμπληρώνεται με τα εξής:</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εφόσον εφαρμόζεται το άρθρο 500 παράγραφος 1 στοιχείο β) του ΚΚΑ και η τιμή της γραμμής 880 είναι μικρότερη από την τιμή της γραμμής 890: </w:t>
            </w:r>
            <w:r>
              <w:rPr>
                <w:rStyle w:val="InstructionsTabelleberschrift"/>
                <w:rFonts w:ascii="Times New Roman" w:hAnsi="Times New Roman"/>
                <w:b w:val="0"/>
                <w:sz w:val="24"/>
                <w:u w:val="none"/>
              </w:rPr>
              <w:br/>
              <w:t xml:space="preserve">τη διαφορά μεταξύ της γραμμής 890 και της γραμμής 880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ή, εφόσον εφαρμόζεται το άρθρο 500 παράγραφος 2 του ΚΚΑ και η τιμή της γραμμής 010 του C 01.00 είναι μικρότερη από την τιμή της γραμμής 900 του C 04.00: τη διαφορά μεταξύ της γραμμής 900 του C 04.00 και της γραμμής 010 του C 01.00.</w:t>
            </w:r>
          </w:p>
        </w:tc>
      </w:tr>
    </w:tbl>
    <w:p w:rsidR="002648B0" w:rsidRPr="00392FFD" w:rsidRDefault="002648B0" w:rsidP="00FD239F">
      <w:pPr>
        <w:pStyle w:val="InstructionsText"/>
      </w:pPr>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68" w:name="_Toc360188333"/>
      <w:bookmarkStart w:id="69" w:name="_Toc516210616"/>
      <w:bookmarkStart w:id="70" w:name="_Toc473560881"/>
      <w:bookmarkStart w:id="71" w:name="_Toc308175834"/>
      <w:r>
        <w:rPr>
          <w:rFonts w:ascii="Times New Roman" w:hAnsi="Times New Roman"/>
          <w:sz w:val="24"/>
          <w:u w:val="none"/>
        </w:rPr>
        <w:t>1.6</w:t>
      </w:r>
      <w:r>
        <w:tab/>
      </w:r>
      <w:r>
        <w:rPr>
          <w:rFonts w:ascii="Times New Roman" w:hAnsi="Times New Roman"/>
          <w:sz w:val="24"/>
        </w:rPr>
        <w:t>ΜΕΤΑΒΑΤΙΚΕΣ ΔΙΑΤΑΞΕΙΣ ΚΑΙ ΠΡΟYΦΙΣΤΑΜΕΝΑ ΜΕΣΑ: ΜΕΣΑ ΠΟΥ ΔΕΝ ΣΥΝΙΣΤΟΥΝ ΚΡΑΤΙΚΗ ΕΝΙΣΧΥΣΗ (CA 5</w:t>
      </w:r>
      <w:bookmarkEnd w:id="68"/>
      <w:r>
        <w:rPr>
          <w:rFonts w:ascii="Times New Roman" w:hAnsi="Times New Roman"/>
          <w:sz w:val="24"/>
        </w:rPr>
        <w:t>)</w:t>
      </w:r>
      <w:bookmarkEnd w:id="69"/>
      <w:bookmarkEnd w:id="70"/>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516210617"/>
      <w:bookmarkStart w:id="75" w:name="_Toc473560882"/>
      <w:bookmarkEnd w:id="71"/>
      <w:r>
        <w:rPr>
          <w:rFonts w:ascii="Times New Roman" w:hAnsi="Times New Roman"/>
          <w:sz w:val="24"/>
          <w:u w:val="none"/>
        </w:rPr>
        <w:t>1.6.1</w:t>
      </w:r>
      <w:r>
        <w:tab/>
      </w:r>
      <w:r>
        <w:rPr>
          <w:rFonts w:ascii="Times New Roman" w:hAnsi="Times New Roman"/>
          <w:sz w:val="24"/>
        </w:rPr>
        <w:t>Γενικές παρατηρήσεις</w:t>
      </w:r>
      <w:bookmarkEnd w:id="72"/>
      <w:bookmarkEnd w:id="73"/>
      <w:bookmarkEnd w:id="74"/>
      <w:bookmarkEnd w:id="75"/>
    </w:p>
    <w:p w:rsidR="00783881" w:rsidRPr="00392FFD" w:rsidRDefault="00B43C2A" w:rsidP="00C37B29">
      <w:pPr>
        <w:pStyle w:val="InstructionsText2"/>
        <w:numPr>
          <w:ilvl w:val="0"/>
          <w:numId w:val="0"/>
        </w:numPr>
        <w:ind w:left="993"/>
      </w:pPr>
      <w:r>
        <w:t>15.</w:t>
      </w:r>
      <w:r>
        <w:tab/>
        <w:t>Στο υπόδειγμα CA5 συνοψίζεται ο υπολογισμός των στοιχείων των ιδίων κ</w:t>
      </w:r>
      <w:r>
        <w:t>ε</w:t>
      </w:r>
      <w:r>
        <w:t xml:space="preserve">φαλαίων και των αφαιρέσεων βάσει των μεταβατικών διατάξεων των άρθρων 465 έως 491 του ΚΚΑ. </w:t>
      </w:r>
    </w:p>
    <w:p w:rsidR="00496C53" w:rsidRPr="00392FFD" w:rsidRDefault="00125707" w:rsidP="00C37B29">
      <w:pPr>
        <w:pStyle w:val="InstructionsText2"/>
        <w:numPr>
          <w:ilvl w:val="0"/>
          <w:numId w:val="0"/>
        </w:numPr>
        <w:ind w:left="993"/>
      </w:pPr>
      <w:r>
        <w:t>16.</w:t>
      </w:r>
      <w:r>
        <w:tab/>
        <w:t>Το υπόδειγμα CA5 έχει την ακόλουθη δομή:</w:t>
      </w:r>
    </w:p>
    <w:p w:rsidR="002648B0" w:rsidRPr="00392FFD" w:rsidRDefault="00125707" w:rsidP="00C37B29">
      <w:pPr>
        <w:pStyle w:val="InstructionsText2"/>
        <w:numPr>
          <w:ilvl w:val="0"/>
          <w:numId w:val="0"/>
        </w:numPr>
        <w:ind w:left="993"/>
      </w:pPr>
      <w:r>
        <w:t>α)</w:t>
      </w:r>
      <w:r>
        <w:tab/>
        <w:t xml:space="preserve">Στο </w:t>
      </w:r>
      <w:r>
        <w:rPr>
          <w:u w:val="single"/>
        </w:rPr>
        <w:t>υπόδειγμα 5.1</w:t>
      </w:r>
      <w:r>
        <w:t xml:space="preserve"> συνοψίζονται οι συνολικές προσαρμογές που θα πρέπει να γίνουν στις διάφορες συνιστώσες των ιδίων κεφαλαίων (που αναφέρονται στο υπ</w:t>
      </w:r>
      <w:r>
        <w:t>ό</w:t>
      </w:r>
      <w:r>
        <w:t>δειγμα CA1 σύμφωνα με τις τελικές διατάξεις) ως αποτέλεσμα της εφαρμογής των μεταβατικών διατάξεων. Τα στοιχεία αυτού του πίνακα παρουσιάζονται ως «πρ</w:t>
      </w:r>
      <w:r>
        <w:t>ο</w:t>
      </w:r>
      <w:r>
        <w:t>σαρμογές» στις διάφορες συνιστώσες κεφαλαίου του υποδείγματος CA1, ούτως ώστε να αντανακλούν στις συνιστώσες των ιδίων κεφαλαίων την επίδραση των μ</w:t>
      </w:r>
      <w:r>
        <w:t>ε</w:t>
      </w:r>
      <w:r>
        <w:t>ταβατικών διατάξεων.</w:t>
      </w:r>
    </w:p>
    <w:p w:rsidR="002648B0" w:rsidRPr="00392FFD" w:rsidRDefault="00125707" w:rsidP="00C37B29">
      <w:pPr>
        <w:pStyle w:val="InstructionsText2"/>
        <w:numPr>
          <w:ilvl w:val="0"/>
          <w:numId w:val="0"/>
        </w:numPr>
        <w:ind w:left="993"/>
      </w:pPr>
      <w:r>
        <w:t>β)</w:t>
      </w:r>
      <w:r>
        <w:tab/>
        <w:t xml:space="preserve">Στο </w:t>
      </w:r>
      <w:r>
        <w:rPr>
          <w:u w:val="single"/>
        </w:rPr>
        <w:t>υπόδειγμα 5.2</w:t>
      </w:r>
      <w:r>
        <w:t xml:space="preserve"> παρέχονται περισσότερες λεπτομέρειες για τον υπολογισμό των προϋφιστάμενων μέσων που δεν συνιστούν κρατική ενίσχυση. </w:t>
      </w:r>
    </w:p>
    <w:p w:rsidR="005643EA" w:rsidRPr="00392FFD" w:rsidRDefault="00125707" w:rsidP="00C37B29">
      <w:pPr>
        <w:pStyle w:val="InstructionsText2"/>
        <w:numPr>
          <w:ilvl w:val="0"/>
          <w:numId w:val="0"/>
        </w:numPr>
        <w:ind w:left="993"/>
      </w:pPr>
      <w:bookmarkStart w:id="76" w:name="_Toc307386943"/>
      <w:r>
        <w:t>17.</w:t>
      </w:r>
      <w:r>
        <w:tab/>
        <w:t>Τα ιδρύματα αναφέρουν στις πρώτες τέσσερις στήλες τις προσαρμογές στο κεφάλαιο κοινών μετοχών της κατηγορίας 1, στο πρόσθετο κεφάλαιο της κατηγ</w:t>
      </w:r>
      <w:r>
        <w:t>ο</w:t>
      </w:r>
      <w:r>
        <w:t>ρίας 1 και στο κεφάλαιο της κατηγορίας 2, καθώς και το ποσό που πρέπει να θε</w:t>
      </w:r>
      <w:r>
        <w:t>ω</w:t>
      </w:r>
      <w:r>
        <w:t>ρείται ως σταθμισμένο ως προς τον κίνδυνο ενεργητικό. Τα ιδρύματα απαιτείται επίσης να αναφέρουν το ισχύον ποσοστό στη στήλη 050 και το επιλέξιμο ποσό χ</w:t>
      </w:r>
      <w:r>
        <w:t>ω</w:t>
      </w:r>
      <w:r>
        <w:t>ρίς την αναγνώριση των μεταβατικών διατάξεων στη στήλη 060.</w:t>
      </w:r>
    </w:p>
    <w:p w:rsidR="005643EA" w:rsidRPr="00392FFD" w:rsidRDefault="00125707" w:rsidP="00C37B29">
      <w:pPr>
        <w:pStyle w:val="InstructionsText2"/>
        <w:numPr>
          <w:ilvl w:val="0"/>
          <w:numId w:val="0"/>
        </w:numPr>
        <w:ind w:left="993"/>
      </w:pPr>
      <w:r>
        <w:t>18.</w:t>
      </w:r>
      <w:r>
        <w:tab/>
        <w:t>Τα ιδρύματα αναφέρουν στοιχεία στο CA5 μόνο κατά τη διάρκεια της περι</w:t>
      </w:r>
      <w:r>
        <w:t>ό</w:t>
      </w:r>
      <w:r>
        <w:t>δου κατά την οποία εφαρμόζονται οι μεταβατικές διατάξεις, σύμφωνα με το δέκατο μέρος του ΚΚΑ.</w:t>
      </w:r>
    </w:p>
    <w:p w:rsidR="005643EA" w:rsidRPr="00392FFD" w:rsidRDefault="00125707" w:rsidP="00C37B29">
      <w:pPr>
        <w:pStyle w:val="InstructionsText2"/>
        <w:numPr>
          <w:ilvl w:val="0"/>
          <w:numId w:val="0"/>
        </w:numPr>
        <w:ind w:left="993"/>
      </w:pPr>
      <w:r>
        <w:t>19.</w:t>
      </w:r>
      <w:r>
        <w:tab/>
        <w:t>Σύμφωνα με ορισμένες από τις μεταβατικές διατάξεις, απαιτείται αφαίρεση από το κεφάλαιο της κατηγορίας 1. Στην περίπτωση αυτή, το εναπομένον ποσό μ</w:t>
      </w:r>
      <w:r>
        <w:t>ε</w:t>
      </w:r>
      <w:r>
        <w:t xml:space="preserve">τά την αφαίρεση ή τις αφαιρέσεις εφαρμόζεται στο κεφάλαιο της κατηγορίας 1 και, </w:t>
      </w:r>
      <w:r>
        <w:lastRenderedPageBreak/>
        <w:t>εάν το κεφάλαιο AT1 δεν επαρκεί για την απορρόφηση του συγκεκριμένου ποσού, τότε το υπερβάλλον ποσό αφαιρείται από το κεφάλαιο CET1.</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7" w:name="_Toc516210618"/>
      <w:bookmarkStart w:id="78" w:name="_Toc473560883"/>
      <w:bookmarkStart w:id="79" w:name="_Toc360188335"/>
      <w:bookmarkStart w:id="80" w:name="_Toc308175836"/>
      <w:bookmarkEnd w:id="76"/>
      <w:r>
        <w:rPr>
          <w:rFonts w:ascii="Times New Roman" w:hAnsi="Times New Roman"/>
          <w:sz w:val="24"/>
          <w:u w:val="none"/>
        </w:rPr>
        <w:t>1.6.2.</w:t>
      </w:r>
      <w:r>
        <w:tab/>
      </w:r>
      <w:r>
        <w:rPr>
          <w:rFonts w:ascii="Times New Roman" w:hAnsi="Times New Roman"/>
          <w:sz w:val="24"/>
        </w:rPr>
        <w:t>C 05.01 – ΜΕΤΑΒΑΤΙΚΕΣ ΔΙΑΤΑΞΕΙΣ (CA5.1)</w:t>
      </w:r>
      <w:bookmarkEnd w:id="77"/>
      <w:bookmarkEnd w:id="78"/>
      <w:r>
        <w:rPr>
          <w:rFonts w:ascii="Times New Roman" w:hAnsi="Times New Roman"/>
          <w:sz w:val="24"/>
        </w:rPr>
        <w:t xml:space="preserve"> </w:t>
      </w:r>
      <w:bookmarkEnd w:id="79"/>
      <w:bookmarkEnd w:id="80"/>
    </w:p>
    <w:p w:rsidR="002648B0" w:rsidRPr="00392FFD" w:rsidRDefault="00125707" w:rsidP="00C37B29">
      <w:pPr>
        <w:pStyle w:val="InstructionsText2"/>
        <w:numPr>
          <w:ilvl w:val="0"/>
          <w:numId w:val="0"/>
        </w:numPr>
        <w:ind w:left="993"/>
      </w:pPr>
      <w:r>
        <w:t>20.</w:t>
      </w:r>
      <w:r>
        <w:tab/>
        <w:t>Τα ιδρύματα αναφέρουν στον πίνακα 5.1 τις μεταβατικές διατάξεις που ισχ</w:t>
      </w:r>
      <w:r>
        <w:t>ύ</w:t>
      </w:r>
      <w:r>
        <w:t>ουν για τις συνιστώσες των ιδίων κεφαλαίων, όπως προβλέπονται στα άρθρα 465 έως 491 του ΚΚΑ, έναντι της εφαρμογής των τελικών διατάξεων που προβλέπ</w:t>
      </w:r>
      <w:r>
        <w:t>ο</w:t>
      </w:r>
      <w:r>
        <w:t xml:space="preserve">νται στο δεύτερο μέρος τίτλος II του ΚΚΑ. </w:t>
      </w:r>
    </w:p>
    <w:p w:rsidR="00783881" w:rsidRPr="00392FFD" w:rsidRDefault="00125707" w:rsidP="00C37B29">
      <w:pPr>
        <w:pStyle w:val="InstructionsText2"/>
        <w:numPr>
          <w:ilvl w:val="0"/>
          <w:numId w:val="0"/>
        </w:numPr>
        <w:ind w:left="993"/>
      </w:pPr>
      <w:r>
        <w:t>21.</w:t>
      </w:r>
      <w:r>
        <w:tab/>
        <w:t>Τα ιδρύματα αναφέρουν στις γραμμές 020 έως 060 πληροφορίες σχετικά με τις μεταβατικές διατάξεις που ισχύουν για προϋφιστάμενα μέσα. Τα αριθμητικά στο</w:t>
      </w:r>
      <w:r>
        <w:t>ι</w:t>
      </w:r>
      <w:r>
        <w:t>χεία που αναφέρονται στις στήλες 010 έως 030 της γραμμής 060 του υποδείγματος CA 5.1 προκύπτουν από τα αντίστοιχα τμήματα του υποδείγματος CA 5.2.</w:t>
      </w:r>
    </w:p>
    <w:p w:rsidR="00496C53" w:rsidRPr="00392FFD" w:rsidRDefault="00125707" w:rsidP="00C37B29">
      <w:pPr>
        <w:pStyle w:val="InstructionsText2"/>
        <w:numPr>
          <w:ilvl w:val="0"/>
          <w:numId w:val="0"/>
        </w:numPr>
        <w:ind w:left="993"/>
      </w:pPr>
      <w:r>
        <w:t>22.</w:t>
      </w:r>
      <w:r>
        <w:tab/>
        <w:t>Τα ιδρύματα αναφέρουν στις γραμμές 070 έως 092 πληροφορίες σχετικά με τις μεταβατικές διατάξεις που ισχύουν για τα δικαιώματα μειοψηφίας και τα πρόσθετα μέσα της κατηγορίας 1 και της κατηγορίας 2 που εκδίδουν θυγατρικές (σύμφωνα με τα άρθρα 479 και 480 του ΚΚΑ).</w:t>
      </w:r>
    </w:p>
    <w:p w:rsidR="00783881" w:rsidRPr="00392FFD" w:rsidRDefault="00125707" w:rsidP="00C37B29">
      <w:pPr>
        <w:pStyle w:val="InstructionsText2"/>
        <w:numPr>
          <w:ilvl w:val="0"/>
          <w:numId w:val="0"/>
        </w:numPr>
        <w:ind w:left="993"/>
      </w:pPr>
      <w:r>
        <w:t>23.</w:t>
      </w:r>
      <w:r>
        <w:tab/>
        <w:t>Στις γραμμές 100 και εξής, τα ιδρύματα αναφέρουν πληροφορίες σχετικά με τις μεταβατικές διατάξεις που ισχύουν για μη πραγματοποιηθέντα κέρδη και ζημ</w:t>
      </w:r>
      <w:r>
        <w:t>ί</w:t>
      </w:r>
      <w:r>
        <w:t>ες, για αφαιρέσεις, καθώς και για πρόσθετες προσαρμογές και αφαιρέσεις.</w:t>
      </w:r>
    </w:p>
    <w:p w:rsidR="005643EA" w:rsidRPr="00392FFD" w:rsidRDefault="00125707" w:rsidP="00C37B29">
      <w:pPr>
        <w:pStyle w:val="InstructionsText2"/>
        <w:numPr>
          <w:ilvl w:val="0"/>
          <w:numId w:val="0"/>
        </w:numPr>
        <w:ind w:left="993"/>
      </w:pPr>
      <w:r>
        <w:t>24.</w:t>
      </w:r>
      <w:r>
        <w:tab/>
        <w:t xml:space="preserve">Ενδέχεται να υπάρχουν περιπτώσεις στις οποίες οι μεταβατικές αφαιρέσεις από το κεφάλαιο CET1, AT1 ή Τ2 υπερβαίνουν το κεφάλαιο CET1, AT1 ή Τ2 του </w:t>
      </w:r>
      <w:r>
        <w:t>ι</w:t>
      </w:r>
      <w:r>
        <w:t>δρύματος. Η επίδραση αυτή —εάν προκύπτει από μεταβατικές διατάξεις— παρο</w:t>
      </w:r>
      <w:r>
        <w:t>υ</w:t>
      </w:r>
      <w:r>
        <w:t>σιάζεται στο υπόδειγμα CA1 με τη χρήση των αντίστοιχων κελιών. Κατά συνέπεια, οι προσαρμογές στις στήλες του υποδείγματος CA5 δεν περιλαμβάνουν δευτερογ</w:t>
      </w:r>
      <w:r>
        <w:t>ε</w:t>
      </w:r>
      <w:r>
        <w:t xml:space="preserve">νείς επιπτώσεις, στην περίπτωση που δεν υπάρχει διαθέσιμο επαρκές κεφάλαιο. </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516210619"/>
      <w:bookmarkStart w:id="83" w:name="_Toc473560884"/>
      <w:r>
        <w:rPr>
          <w:rFonts w:ascii="Times New Roman" w:hAnsi="Times New Roman"/>
          <w:sz w:val="24"/>
          <w:u w:val="none"/>
        </w:rPr>
        <w:t>1.6.2.1.</w:t>
      </w:r>
      <w:r>
        <w:tab/>
      </w:r>
      <w:r>
        <w:rPr>
          <w:rFonts w:ascii="Times New Roman" w:hAnsi="Times New Roman"/>
          <w:sz w:val="24"/>
        </w:rPr>
        <w:t>Οδηγίες για συγκεκριμένες θέσεις</w:t>
      </w:r>
      <w:bookmarkEnd w:id="81"/>
      <w:bookmarkEnd w:id="82"/>
      <w:bookmarkEnd w:id="83"/>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FD239F">
            <w:pPr>
              <w:pStyle w:val="InstructionsText"/>
            </w:pPr>
            <w:r>
              <w:t>Στήλες</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στο CET1</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στο AT1</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στο T2</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που περιλαμβάνονται στα σταθμισμένα ως προς τον κί</w:t>
            </w:r>
            <w:r>
              <w:rPr>
                <w:rStyle w:val="InstructionsTabelleberschrift"/>
                <w:rFonts w:ascii="Times New Roman" w:hAnsi="Times New Roman"/>
                <w:sz w:val="24"/>
              </w:rPr>
              <w:t>ν</w:t>
            </w:r>
            <w:r>
              <w:rPr>
                <w:rStyle w:val="InstructionsTabelleberschrift"/>
                <w:rFonts w:ascii="Times New Roman" w:hAnsi="Times New Roman"/>
                <w:sz w:val="24"/>
              </w:rPr>
              <w:t>δυνο στοιχεία ενεργητικού (RWA)</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Η στήλη 040 περιλαμβάνει τα σχετικά ποσά προσαρμογής του συνολικού ποσού ανοίγματος σε κίνδυνο δυνάμει του άρθρου 92 παράγραφος 3 του ΚΚΑ, λόγω μεταβατικών διατάξεων. Τα αναφερόμενα ποσά λαμβάνουν υπόψη την εφαρμογή των διατάξεων του τρίτου μέρους τίτλος II κεφάλαιο 2 ή 3 ή τίτλος IV, σύμφωνα με το άρθρο 92 παράγραφος 4 του ΚΚΑ. Αυτό σημαίνει ότι τα μεταβατικά ποσά δυνάμει των διατάξεων του τρίτου μ</w:t>
            </w:r>
            <w:r>
              <w:rPr>
                <w:rStyle w:val="InstructionsTabelleText"/>
                <w:rFonts w:ascii="Times New Roman" w:hAnsi="Times New Roman"/>
                <w:sz w:val="24"/>
              </w:rPr>
              <w:t>έ</w:t>
            </w:r>
            <w:r>
              <w:rPr>
                <w:rStyle w:val="InstructionsTabelleText"/>
                <w:rFonts w:ascii="Times New Roman" w:hAnsi="Times New Roman"/>
                <w:sz w:val="24"/>
              </w:rPr>
              <w:t>ρους τίτλος II κεφάλαιο 2 ή 3 θα πρέπει να αναφέρονται ως ποσά ανοίγμ</w:t>
            </w:r>
            <w:r>
              <w:rPr>
                <w:rStyle w:val="InstructionsTabelleText"/>
                <w:rFonts w:ascii="Times New Roman" w:hAnsi="Times New Roman"/>
                <w:sz w:val="24"/>
              </w:rPr>
              <w:t>α</w:t>
            </w:r>
            <w:r>
              <w:rPr>
                <w:rStyle w:val="InstructionsTabelleText"/>
                <w:rFonts w:ascii="Times New Roman" w:hAnsi="Times New Roman"/>
                <w:sz w:val="24"/>
              </w:rPr>
              <w:t>τος σταθμισμένα ως προς τον κίνδυνο, ενώ τα μεταβατικά ποσά δυνάμει των διατάξεων του τρίτου μέρους τίτλος IV θα πρέπει να αντιπροσωπε</w:t>
            </w:r>
            <w:r>
              <w:rPr>
                <w:rStyle w:val="InstructionsTabelleText"/>
                <w:rFonts w:ascii="Times New Roman" w:hAnsi="Times New Roman"/>
                <w:sz w:val="24"/>
              </w:rPr>
              <w:t>ύ</w:t>
            </w:r>
            <w:r>
              <w:rPr>
                <w:rStyle w:val="InstructionsTabelleText"/>
                <w:rFonts w:ascii="Times New Roman" w:hAnsi="Times New Roman"/>
                <w:sz w:val="24"/>
              </w:rPr>
              <w:lastRenderedPageBreak/>
              <w:t>ουν τις απαιτήσεις ιδίων κεφαλαίων πολλαπλασιασμένες επί 12,5.</w:t>
            </w:r>
          </w:p>
          <w:p w:rsidR="005643EA" w:rsidRPr="00201704" w:rsidRDefault="00B4177D"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Παρόλο που οι στήλες 010 έως 030 συνδέονται άμεσα με το υπόδειγμα CA1, οι προσαρμογές του συνολικού ποσού ανοίγματος σε κίνδυνο δεν συνδέονται άμεσα με τα σχετικά υποδείγματα για τον πιστωτικό κίνδυνο. Εάν υπάρχουν προσαρμογές του συνολικού ποσού ανοίγματος σε κίνδυνο που απορρέουν από τις μεταβατικές διατάξεις, οι εν λόγω προσαρμογές περιλαμβάνονται απευθείας στα υποδείγματα CR SA, CR IRB, CR EQU IRB, MKR SA TDI, MKR SA EQU ή MKR IM. Επιπροσθέτως, οι οικείες επιδράσεις αναφέρονται στη στήλη 040 του υποδείγματος CA5.1. Κατά συνέπεια, τα ποσά αυτά αποτελούν μόνο υπομνηματικά στοιχεία. </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Εφαρμοστέο ποσοστό</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Επιλέξιμο ποσό χωρίς τις μεταβατικές διατάξεις</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Η στήλη 060 περιλαμβάνει το ποσό κάθε μέσου πριν από την εφαρμογή μεταβατικών διατάξεων. Δηλαδή, το σχετικό ποσό βάσης για τον υπολογ</w:t>
            </w:r>
            <w:r>
              <w:rPr>
                <w:rStyle w:val="InstructionsTabelleText"/>
                <w:rFonts w:ascii="Times New Roman" w:hAnsi="Times New Roman"/>
                <w:sz w:val="24"/>
              </w:rPr>
              <w:t>ι</w:t>
            </w:r>
            <w:r>
              <w:rPr>
                <w:rStyle w:val="InstructionsTabelleText"/>
                <w:rFonts w:ascii="Times New Roman" w:hAnsi="Times New Roman"/>
                <w:sz w:val="24"/>
              </w:rPr>
              <w:t>σμό των προσαρμογών.</w:t>
            </w:r>
          </w:p>
        </w:tc>
      </w:tr>
    </w:tbl>
    <w:p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FD239F">
            <w:pPr>
              <w:pStyle w:val="InstructionsText"/>
            </w:pPr>
            <w:r>
              <w:t>Γραμμές</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201704" w:rsidRDefault="00C66473"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Συνολικές προσαρμογές</w:t>
            </w:r>
          </w:p>
          <w:p w:rsidR="002648B0" w:rsidRPr="00201704" w:rsidRDefault="002648B0" w:rsidP="007106FB">
            <w:pPr>
              <w:spacing w:before="0"/>
              <w:rPr>
                <w:rStyle w:val="FormatvorlageInstructionsTabelleText"/>
                <w:rFonts w:ascii="Times New Roman" w:hAnsi="Times New Roman"/>
                <w:bCs w:val="0"/>
                <w:sz w:val="24"/>
              </w:rPr>
            </w:pPr>
            <w:r>
              <w:rPr>
                <w:rStyle w:val="InstructionsTabelleText"/>
                <w:rFonts w:ascii="Times New Roman" w:hAnsi="Times New Roman"/>
                <w:sz w:val="24"/>
              </w:rPr>
              <w:t>Η συγκεκριμένη γραμμή αντανακλά τη συνολική επίδραση των μεταβατ</w:t>
            </w:r>
            <w:r>
              <w:rPr>
                <w:rStyle w:val="InstructionsTabelleText"/>
                <w:rFonts w:ascii="Times New Roman" w:hAnsi="Times New Roman"/>
                <w:sz w:val="24"/>
              </w:rPr>
              <w:t>ι</w:t>
            </w:r>
            <w:r>
              <w:rPr>
                <w:rStyle w:val="InstructionsTabelleText"/>
                <w:rFonts w:ascii="Times New Roman" w:hAnsi="Times New Roman"/>
                <w:sz w:val="24"/>
              </w:rPr>
              <w:t>κών προσαρμογών στα διάφορα είδη κεφαλαίου, συν τα σταθμισμένα ως προς τον κίνδυνο ποσά που προκύπτουν από τις προσαρμογές αυτές.</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020 </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Προϋφιστάμενα μέσα</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Άρθρα 483 έως 491 του ΚΚΑ</w:t>
            </w:r>
          </w:p>
          <w:p w:rsidR="002648B0" w:rsidRPr="00392FFD"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Η συγκεκριμένη γραμμή αντανακλά τη συνολική επίδραση των μέσων που προϋφίστανται σε μεταβατική βάση στους διάφορους τύπους κεφαλαίου.</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tab/>
            </w:r>
            <w:r>
              <w:rPr>
                <w:rStyle w:val="InstructionsTabelleberschrift"/>
                <w:rFonts w:ascii="Times New Roman" w:hAnsi="Times New Roman"/>
                <w:sz w:val="24"/>
              </w:rPr>
              <w:t>Προϋφιστάμενα μέσα: Μέσα που συνιστούν κρατική ενίσχυση</w:t>
            </w:r>
          </w:p>
          <w:p w:rsidR="002648B0" w:rsidRPr="00392FFD"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Άρθρο 483 του ΚΚΑ</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Μέσα που θεωρούνται ίδια κεφάλαια σύμφωνα με την οδηγία 2006/48/ΕΚ</w:t>
            </w:r>
          </w:p>
          <w:p w:rsidR="005643EA" w:rsidRPr="00201704" w:rsidRDefault="002648B0" w:rsidP="00FD239F">
            <w:pPr>
              <w:pStyle w:val="InstructionsText"/>
              <w:rPr>
                <w:bCs/>
              </w:rPr>
            </w:pPr>
            <w:r>
              <w:rPr>
                <w:rStyle w:val="InstructionsTabelleText"/>
                <w:rFonts w:ascii="Times New Roman" w:hAnsi="Times New Roman"/>
                <w:sz w:val="24"/>
              </w:rPr>
              <w:t>Άρθρο 483 παράγραφοι 1, 2, 4 και 6 του ΚΚΑ</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Μέσα που εκδίδονται από ιδρύματα συσταθέντα σε κράτος μ</w:t>
            </w:r>
            <w:r>
              <w:rPr>
                <w:rStyle w:val="InstructionsTabelleberschrift"/>
                <w:rFonts w:ascii="Times New Roman" w:hAnsi="Times New Roman"/>
                <w:sz w:val="24"/>
              </w:rPr>
              <w:t>έ</w:t>
            </w:r>
            <w:r>
              <w:rPr>
                <w:rStyle w:val="InstructionsTabelleberschrift"/>
                <w:rFonts w:ascii="Times New Roman" w:hAnsi="Times New Roman"/>
                <w:sz w:val="24"/>
              </w:rPr>
              <w:t>λους στο οποίο εφαρμόζεται πρόγραμμα οικονομικής προσαρμογής</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Άρθρο 483 παράγραφοι 1, 3, 5, 7 και 8 του ΚΚΑ</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201704"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Μέσα που δεν συνιστούν κρατική ενίσχυση</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Τα προς αναφορά ποσά λαμβάνονται από τη στήλη 060 του πίνακα CA 5.2.</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Δικαιώματα μειοψηφίας και ισοδύναμα</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Άρθρα 479 και 480 του ΚΚΑ</w:t>
            </w:r>
          </w:p>
          <w:p w:rsidR="002648B0" w:rsidRPr="00392FFD"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Η συγκεκριμένη γραμμή αντανακλά την επίδραση των μεταβατικών διατ</w:t>
            </w:r>
            <w:r>
              <w:rPr>
                <w:rStyle w:val="InstructionsTabelleText"/>
                <w:rFonts w:ascii="Times New Roman" w:hAnsi="Times New Roman"/>
                <w:sz w:val="24"/>
              </w:rPr>
              <w:t>ά</w:t>
            </w:r>
            <w:r>
              <w:rPr>
                <w:rStyle w:val="InstructionsTabelleText"/>
                <w:rFonts w:ascii="Times New Roman" w:hAnsi="Times New Roman"/>
                <w:sz w:val="24"/>
              </w:rPr>
              <w:t xml:space="preserve">ξεων στα δικαιώματα μειοψηφίας που είναι επιλέξιμα ως κεφάλαιο CET1· </w:t>
            </w:r>
            <w:r>
              <w:rPr>
                <w:rStyle w:val="InstructionsTabelleText"/>
                <w:rFonts w:ascii="Times New Roman" w:hAnsi="Times New Roman"/>
                <w:sz w:val="24"/>
              </w:rPr>
              <w:lastRenderedPageBreak/>
              <w:t>τα αποδεκτά μέσα Τ1 που είναι επιλέξιμα ως ενοποιημένα κεφάλαια ΑΤ1· και τα αποδεκτά ίδια κεφάλαια που είναι επιλέξιμα ως ενοποιημένα κεφ</w:t>
            </w:r>
            <w:r>
              <w:rPr>
                <w:rStyle w:val="InstructionsTabelleText"/>
                <w:rFonts w:ascii="Times New Roman" w:hAnsi="Times New Roman"/>
                <w:sz w:val="24"/>
              </w:rPr>
              <w:t>ά</w:t>
            </w:r>
            <w:r>
              <w:rPr>
                <w:rStyle w:val="InstructionsTabelleText"/>
                <w:rFonts w:ascii="Times New Roman" w:hAnsi="Times New Roman"/>
                <w:sz w:val="24"/>
              </w:rPr>
              <w:t>λαια Τ2.</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080</w:t>
            </w:r>
          </w:p>
        </w:tc>
        <w:tc>
          <w:tcPr>
            <w:tcW w:w="7478"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Κεφαλαιακά μέσα και στοιχεία που δεν είναι αποδεκτά ως δ</w:t>
            </w:r>
            <w:r>
              <w:rPr>
                <w:rStyle w:val="InstructionsTabelleberschrift"/>
                <w:rFonts w:ascii="Times New Roman" w:hAnsi="Times New Roman"/>
                <w:sz w:val="24"/>
              </w:rPr>
              <w:t>ι</w:t>
            </w:r>
            <w:r>
              <w:rPr>
                <w:rStyle w:val="InstructionsTabelleberschrift"/>
                <w:rFonts w:ascii="Times New Roman" w:hAnsi="Times New Roman"/>
                <w:sz w:val="24"/>
              </w:rPr>
              <w:t>καιώματα μειοψηφίας</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Άρθρο 479 του ΚΚΑ</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Το προς αναφορά ποσό στη στήλη 060 της συγκεκριμένης γραμμής είναι το ποσό που είναι αποδεκτό ως ενοποιημένα αποθεματικά, σύμφωνα με τους προηγούμενους κανόνες. </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Μεταβατική αναγνώριση των δικαιωμάτων μειοψηφίας στα ενοποιημένα ίδια κεφάλαια</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Άρθρα 84 και 480 του ΚΚΑ</w:t>
            </w:r>
          </w:p>
          <w:p w:rsidR="005643EA" w:rsidRPr="00201704" w:rsidRDefault="002648B0"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Το προς αναφορά ποσό στη στήλη 060 της συγκεκριμένης γραμμής είναι το επιλέξιμο ποσό χωρίς την εφαρμογή μεταβατικών διατάξεων.</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091</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Μεταβατική αναγνώριση του αποδεκτού πρόσθετου κεφαλαίου της κατηγορίας 1 στα ενοποιημένα ίδια κεφάλαια</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Άρθρα 85 και 480 του ΚΚΑ</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είναι το επιλέξιμο ποσό χωρίς την εφαρμογή μεταβατικών διατάξεων.</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092</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Μεταβατική αναγνώριση του αποδεκτού κεφαλαίου της κατ</w:t>
            </w:r>
            <w:r>
              <w:rPr>
                <w:rStyle w:val="InstructionsTabelleberschrift"/>
                <w:rFonts w:ascii="Times New Roman" w:hAnsi="Times New Roman"/>
                <w:sz w:val="24"/>
              </w:rPr>
              <w:t>η</w:t>
            </w:r>
            <w:r>
              <w:rPr>
                <w:rStyle w:val="InstructionsTabelleberschrift"/>
                <w:rFonts w:ascii="Times New Roman" w:hAnsi="Times New Roman"/>
                <w:sz w:val="24"/>
              </w:rPr>
              <w:t>γορίας 2 στα ενοποιημένα ίδια κεφάλαια</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Άρθρα 87 και 480 του ΚΚΑ</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είναι το επιλέξιμο ποσό χωρίς την εφαρμογή μεταβατικών διατάξεων.</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Άλλες μεταβατικές προσαρμογές</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Άρθρα 467 έως 478 και άρθρο 481 του ΚΚΑ</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Η συγκεκριμένη γραμμή αντανακλά τη συνολική επίδραση των μεταβατ</w:t>
            </w:r>
            <w:r>
              <w:rPr>
                <w:rStyle w:val="InstructionsTabelleText"/>
                <w:rFonts w:ascii="Times New Roman" w:hAnsi="Times New Roman"/>
                <w:sz w:val="24"/>
              </w:rPr>
              <w:t>ι</w:t>
            </w:r>
            <w:r>
              <w:rPr>
                <w:rStyle w:val="InstructionsTabelleText"/>
                <w:rFonts w:ascii="Times New Roman" w:hAnsi="Times New Roman"/>
                <w:sz w:val="24"/>
              </w:rPr>
              <w:t>κών προσαρμογών στην αφαίρεση ποσών σε διάφορα είδη κεφαλαίου, στα μη πραγματοποιηθέντα κέρδη και ζημίες, στις πρόσθετες προσαρμογές και αφαιρέσεις, καθώς και στα σταθμισμένα ως προς τον κίνδυνο ποσά που προκύπτουν από τις προσαρμογές αυτές.</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Μη πραγματοποιηθέντα κέρδη και ζημίες</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Άρθρα 467 και 468 του ΚΚΑ</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Η συγκεκριμένη γραμμή αντανακλά τη συνολική επίδραση των μεταβατ</w:t>
            </w:r>
            <w:r>
              <w:rPr>
                <w:rStyle w:val="InstructionsTabelleText"/>
                <w:rFonts w:ascii="Times New Roman" w:hAnsi="Times New Roman"/>
                <w:sz w:val="24"/>
              </w:rPr>
              <w:t>ι</w:t>
            </w:r>
            <w:r>
              <w:rPr>
                <w:rStyle w:val="InstructionsTabelleText"/>
                <w:rFonts w:ascii="Times New Roman" w:hAnsi="Times New Roman"/>
                <w:sz w:val="24"/>
              </w:rPr>
              <w:t>κών διατάξεων στα μη πραγματοποιηθέντα κέρδη και ζημίες που επιμ</w:t>
            </w:r>
            <w:r>
              <w:rPr>
                <w:rStyle w:val="InstructionsTabelleText"/>
                <w:rFonts w:ascii="Times New Roman" w:hAnsi="Times New Roman"/>
                <w:sz w:val="24"/>
              </w:rPr>
              <w:t>ε</w:t>
            </w:r>
            <w:r>
              <w:rPr>
                <w:rStyle w:val="InstructionsTabelleText"/>
                <w:rFonts w:ascii="Times New Roman" w:hAnsi="Times New Roman"/>
                <w:sz w:val="24"/>
              </w:rPr>
              <w:t>τρώνται στην εύλογη αξία.</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Μη πραγματοποιηθέντα κέρδη</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468 παράγραφος 1 του ΚΚΑ</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Μη πραγματοποιηθείσες ζημίες</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467 παράγραφος 1 του ΚΚΑ</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133</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Μη πραγματοποιηθέντα κέρδη από ανοίγματα έναντι κεντρικών κυβερνήσεων που κατατάσσονται στην κατηγορία «Διαθέσιμα προς πώληση» του εγκριθέντος από την ΕΕ ΔΛΠ39</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468 του ΚΚΑ</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Μη πραγματοποιηθείσες ζημίες από ανοίγματα έναντι κεντρ</w:t>
            </w:r>
            <w:r>
              <w:rPr>
                <w:rStyle w:val="InstructionsTabelleberschrift"/>
                <w:rFonts w:ascii="Times New Roman" w:hAnsi="Times New Roman"/>
                <w:sz w:val="24"/>
              </w:rPr>
              <w:t>ι</w:t>
            </w:r>
            <w:r>
              <w:rPr>
                <w:rStyle w:val="InstructionsTabelleberschrift"/>
                <w:rFonts w:ascii="Times New Roman" w:hAnsi="Times New Roman"/>
                <w:sz w:val="24"/>
              </w:rPr>
              <w:t>κών κυβερνήσεων που κατατάσσονται στην κατηγορία «Διαθέσιμα προς πώληση» του εγκριθέντος από την ΕΕ ΔΛΠ39</w:t>
            </w:r>
          </w:p>
          <w:p w:rsidR="00E06628"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467 του ΚΚΑ</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138</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Κέρδη και ζημίες εύλογης αξίας που προκύπτουν από τον ίδιο πιστωτικό κίνδυνο του ιδρύματος και αφορούν υποχρεώσεις από π</w:t>
            </w:r>
            <w:r>
              <w:rPr>
                <w:rStyle w:val="InstructionsTabelleberschrift"/>
                <w:rFonts w:ascii="Times New Roman" w:hAnsi="Times New Roman"/>
                <w:sz w:val="24"/>
              </w:rPr>
              <w:t>α</w:t>
            </w:r>
            <w:r>
              <w:rPr>
                <w:rStyle w:val="InstructionsTabelleberschrift"/>
                <w:rFonts w:ascii="Times New Roman" w:hAnsi="Times New Roman"/>
                <w:sz w:val="24"/>
              </w:rPr>
              <w:t>ράγωγα</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468 του ΚΚΑ</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Αφαιρέσεις</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Άρθρο 36 παράγραφος 1 και άρθρα 469 έως 478 του ΚΚΑ</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Η συγκεκριμένη γραμμή αντανακλά τη συνολική επίδραση των μεταβατ</w:t>
            </w:r>
            <w:r>
              <w:rPr>
                <w:rStyle w:val="InstructionsTabelleText"/>
                <w:rFonts w:ascii="Times New Roman" w:hAnsi="Times New Roman"/>
                <w:sz w:val="24"/>
              </w:rPr>
              <w:t>ι</w:t>
            </w:r>
            <w:r>
              <w:rPr>
                <w:rStyle w:val="InstructionsTabelleText"/>
                <w:rFonts w:ascii="Times New Roman" w:hAnsi="Times New Roman"/>
                <w:sz w:val="24"/>
              </w:rPr>
              <w:t>κών διατάξεων στις αφαιρέσεις.</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1.3.2.1.</w:t>
            </w:r>
            <w:r>
              <w:tab/>
            </w:r>
            <w:r>
              <w:rPr>
                <w:rStyle w:val="InstructionsTabelleberschrift"/>
                <w:rFonts w:ascii="Times New Roman" w:hAnsi="Times New Roman"/>
                <w:sz w:val="24"/>
              </w:rPr>
              <w:t>Ζημίες της τρέχουσας χρήσης</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Άρθρο 36 παράγραφος 1 στοιχείο α), άρθρο 469 παράγραφος 1, άρθρο 472 παράγραφος 3 και άρθρο 478 του ΚΚΑ</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Το προς αναφορά ποσό στη στήλη 060 της συγκεκριμένης γραμμής είναι η αρχική αφαίρεση, σύμφωνα με το άρθρο 36 παράγραφος 1 στοιχείο α) του ΚΚΑ.</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Στην περίπτωση που οι επιχειρήσεις πρέπει να αφαιρούν μόνο σημαντικές ζημίες:</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όταν η συνολική προσωρινή καθαρή ζημία είναι «σημαντική», αφαιρε</w:t>
            </w:r>
            <w:r>
              <w:rPr>
                <w:rStyle w:val="InstructionsTabelleText"/>
                <w:rFonts w:ascii="Times New Roman" w:hAnsi="Times New Roman"/>
                <w:sz w:val="24"/>
              </w:rPr>
              <w:t>ί</w:t>
            </w:r>
            <w:r>
              <w:rPr>
                <w:rStyle w:val="InstructionsTabelleText"/>
                <w:rFonts w:ascii="Times New Roman" w:hAnsi="Times New Roman"/>
                <w:sz w:val="24"/>
              </w:rPr>
              <w:t>ται ολόκληρο το εναπομένον ποσό από το κεφάλαιο κατηγορίας 1, ή</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όταν η συνολική προσωρινή καθαρή ζημία δεν είναι «σημαντική», δεν πραγματοποιείται αφαίρεση του εναπομένοντος ποσού.</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1.3.2.2.</w:t>
            </w:r>
            <w:r>
              <w:tab/>
            </w:r>
            <w:r>
              <w:rPr>
                <w:rStyle w:val="InstructionsTabelleberschrift"/>
                <w:rFonts w:ascii="Times New Roman" w:hAnsi="Times New Roman"/>
                <w:sz w:val="24"/>
              </w:rPr>
              <w:t>Άυλα στοιχεία ενεργητικού</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36 παράγραφος 1 στοιχείο β), άρθρο 469 παράγραφος 1, άρθρο 472 παράγραφος 4 και άρθρο 478 του ΚΚΑ</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Κατά τον προσδιορισμό του ποσού των άυλων στοιχείων ενεργητικού που πρέπει να αφαιρεθούν, τα ιδρύματα λαμβάνουν υπόψη τις διατάξεις του άρθρου 37 του ΚΚΑ.</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είναι η αρχική αφαίρεση, σύμφωνα με το άρθρο 36 παράγραφος 1 στοιχείο β) του ΚΚΑ.</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170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Αναβαλλόμενες φορολογικές απαιτήσεις που βασίζονται σε μελλοντική κερδοφορία και δεν προκύπτουν από προσωρινές δι</w:t>
            </w:r>
            <w:r>
              <w:rPr>
                <w:rStyle w:val="InstructionsTabelleberschrift"/>
                <w:rFonts w:ascii="Times New Roman" w:hAnsi="Times New Roman"/>
                <w:sz w:val="24"/>
              </w:rPr>
              <w:t>α</w:t>
            </w:r>
            <w:r>
              <w:rPr>
                <w:rStyle w:val="InstructionsTabelleberschrift"/>
                <w:rFonts w:ascii="Times New Roman" w:hAnsi="Times New Roman"/>
                <w:sz w:val="24"/>
              </w:rPr>
              <w:t>φορές</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Άρθρο 36 παράγραφος 1 στοιχείο γ), άρθρο 469 παράγραφος 1, άρθρο 472 </w:t>
            </w:r>
            <w:r>
              <w:rPr>
                <w:rStyle w:val="InstructionsTabelleText"/>
                <w:rFonts w:ascii="Times New Roman" w:hAnsi="Times New Roman"/>
                <w:sz w:val="24"/>
              </w:rPr>
              <w:lastRenderedPageBreak/>
              <w:t>παράγραφος 5 και άρθρο 478 του ΚΚΑ</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Κατά τον προσδιορισμό του ποσού των προαναφερθεισών αναβαλλόμενων φορολογικών απαιτήσεων (ΑΦΑ) που πρέπει να αφαιρεθούν, τα ιδρύματα λαμβάνουν υπόψη τις διατάξεις του άρθρου 38 του ΚΚΑ σχετικά με τη μείωση των ΑΦΑ, κατά το ποσό των αναβαλλόμενων φορολογικών υπ</w:t>
            </w:r>
            <w:r>
              <w:rPr>
                <w:rStyle w:val="InstructionsTabelleText"/>
                <w:rFonts w:ascii="Times New Roman" w:hAnsi="Times New Roman"/>
                <w:sz w:val="24"/>
              </w:rPr>
              <w:t>ο</w:t>
            </w:r>
            <w:r>
              <w:rPr>
                <w:rStyle w:val="InstructionsTabelleText"/>
                <w:rFonts w:ascii="Times New Roman" w:hAnsi="Times New Roman"/>
                <w:sz w:val="24"/>
              </w:rPr>
              <w:t>χρεώσεων.</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Συν</w:t>
            </w:r>
            <w:r>
              <w:rPr>
                <w:rStyle w:val="InstructionsTabelleText"/>
                <w:rFonts w:ascii="Times New Roman" w:hAnsi="Times New Roman"/>
                <w:sz w:val="24"/>
              </w:rPr>
              <w:t>ο</w:t>
            </w:r>
            <w:r>
              <w:rPr>
                <w:rStyle w:val="InstructionsTabelleText"/>
                <w:rFonts w:ascii="Times New Roman" w:hAnsi="Times New Roman"/>
                <w:sz w:val="24"/>
              </w:rPr>
              <w:t>λικό ποσό σύμφωνα με το άρθρο 469 παράγραφος 1 του ΚΚΑ.</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180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1.3.2.4.</w:t>
            </w:r>
            <w:r>
              <w:tab/>
            </w:r>
            <w:r>
              <w:rPr>
                <w:rStyle w:val="InstructionsTabelleberschrift"/>
                <w:rFonts w:ascii="Times New Roman" w:hAnsi="Times New Roman"/>
                <w:sz w:val="24"/>
              </w:rPr>
              <w:t>Υστέρηση προβλέψεων IRB για αναμενόμενες ζημίες</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36 παράγραφος 1 στοιχείο δ), άρθρο 469 παράγραφος 1, άρθρο 472 παράγραφος 6 και άρθρο 478 του ΚΚΑ</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Κατά τον προσδιορισμό του ποσού της προαναφερθείσας υστέρησης των προβλέψεων IRB για αναμενόμενες ζημίες που πρέπει να αφαιρεθεί, τα </w:t>
            </w:r>
            <w:r>
              <w:rPr>
                <w:rStyle w:val="InstructionsTabelleText"/>
                <w:rFonts w:ascii="Times New Roman" w:hAnsi="Times New Roman"/>
                <w:sz w:val="24"/>
              </w:rPr>
              <w:t>ι</w:t>
            </w:r>
            <w:r>
              <w:rPr>
                <w:rStyle w:val="InstructionsTabelleText"/>
                <w:rFonts w:ascii="Times New Roman" w:hAnsi="Times New Roman"/>
                <w:sz w:val="24"/>
              </w:rPr>
              <w:t>δρύματα λαμβάνουν υπόψη τις διατάξεις του άρθρου 40 του ΚΚΑ.</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Αρχ</w:t>
            </w:r>
            <w:r>
              <w:rPr>
                <w:rStyle w:val="InstructionsTabelleText"/>
                <w:rFonts w:ascii="Times New Roman" w:hAnsi="Times New Roman"/>
                <w:sz w:val="24"/>
              </w:rPr>
              <w:t>ι</w:t>
            </w:r>
            <w:r>
              <w:rPr>
                <w:rStyle w:val="InstructionsTabelleText"/>
                <w:rFonts w:ascii="Times New Roman" w:hAnsi="Times New Roman"/>
                <w:sz w:val="24"/>
              </w:rPr>
              <w:t>κή αφαίρεση, σύμφωνα με το άρθρο 36 παράγραφος 1 στοιχείο δ) του ΚΚΑ.</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Περιουσιακά στοιχεία συνταξιοδοτικών ταμείων προκ</w:t>
            </w:r>
            <w:r>
              <w:rPr>
                <w:rStyle w:val="InstructionsTabelleberschrift"/>
                <w:rFonts w:ascii="Times New Roman" w:hAnsi="Times New Roman"/>
                <w:sz w:val="24"/>
              </w:rPr>
              <w:t>α</w:t>
            </w:r>
            <w:r>
              <w:rPr>
                <w:rStyle w:val="InstructionsTabelleberschrift"/>
                <w:rFonts w:ascii="Times New Roman" w:hAnsi="Times New Roman"/>
                <w:sz w:val="24"/>
              </w:rPr>
              <w:t>θορισμένων παροχών</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33 παράγραφος 1 στοιχείο ε), άρθρο 469 παράγραφος 1, άρθρο 472 παράγραφος 7 και άρθρα 473 και 478 του ΚΚΑ</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Κατά τον προσδιορισμό του ποσού των προαναφερθέντων περιουσιακών στοιχείων συνταξιοδοτικών ταμείων προκαθορισμένων παροχών που πρ</w:t>
            </w:r>
            <w:r>
              <w:rPr>
                <w:rStyle w:val="InstructionsTabelleText"/>
                <w:rFonts w:ascii="Times New Roman" w:hAnsi="Times New Roman"/>
                <w:sz w:val="24"/>
              </w:rPr>
              <w:t>έ</w:t>
            </w:r>
            <w:r>
              <w:rPr>
                <w:rStyle w:val="InstructionsTabelleText"/>
                <w:rFonts w:ascii="Times New Roman" w:hAnsi="Times New Roman"/>
                <w:sz w:val="24"/>
              </w:rPr>
              <w:t>πει να αφαιρεθούν, τα ιδρύματα λαμβάνουν υπόψη τις διατάξεις του ά</w:t>
            </w:r>
            <w:r>
              <w:rPr>
                <w:rStyle w:val="InstructionsTabelleText"/>
                <w:rFonts w:ascii="Times New Roman" w:hAnsi="Times New Roman"/>
                <w:sz w:val="24"/>
              </w:rPr>
              <w:t>ρ</w:t>
            </w:r>
            <w:r>
              <w:rPr>
                <w:rStyle w:val="InstructionsTabelleText"/>
                <w:rFonts w:ascii="Times New Roman" w:hAnsi="Times New Roman"/>
                <w:sz w:val="24"/>
              </w:rPr>
              <w:t>θρου 41 του ΚΚΑ.</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Αρχ</w:t>
            </w:r>
            <w:r>
              <w:rPr>
                <w:rStyle w:val="InstructionsTabelleText"/>
                <w:rFonts w:ascii="Times New Roman" w:hAnsi="Times New Roman"/>
                <w:sz w:val="24"/>
              </w:rPr>
              <w:t>ι</w:t>
            </w:r>
            <w:r>
              <w:rPr>
                <w:rStyle w:val="InstructionsTabelleText"/>
                <w:rFonts w:ascii="Times New Roman" w:hAnsi="Times New Roman"/>
                <w:sz w:val="24"/>
              </w:rPr>
              <w:t>κή αφαίρεση, σύμφωνα με το άρθρο 36 παράγραφος 1 στοιχείο ε) του ΚΚΑ.</w:t>
            </w:r>
          </w:p>
        </w:tc>
      </w:tr>
      <w:tr w:rsidR="00B11D0D" w:rsidRPr="00392FFD" w:rsidTr="00672D2A">
        <w:tc>
          <w:tcPr>
            <w:tcW w:w="1012" w:type="dxa"/>
          </w:tcPr>
          <w:p w:rsidR="00B11D0D" w:rsidRPr="00392FFD" w:rsidRDefault="00B11D0D"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194</w:t>
            </w:r>
          </w:p>
        </w:tc>
        <w:tc>
          <w:tcPr>
            <w:tcW w:w="7478" w:type="dxa"/>
          </w:tcPr>
          <w:p w:rsidR="00B11D0D" w:rsidRPr="00392FFD" w:rsidRDefault="00B11D0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εκ των οποίων: Εισαγωγή τροποποιήσεων του ΔΛΠ 19 – θετικό στοιχείο</w:t>
            </w:r>
          </w:p>
          <w:p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Άρθρο 473 του ΚΚΑ</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198</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εκ των οποίων: Εισαγωγή τροποποιήσεων του ΔΛΠ 19 – αρνητικό στοιχείο</w:t>
            </w:r>
          </w:p>
          <w:p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Άρθρο 473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w:t>
            </w:r>
            <w:r>
              <w:tab/>
            </w:r>
            <w:r>
              <w:rPr>
                <w:rStyle w:val="InstructionsTabelleberschrift"/>
                <w:rFonts w:ascii="Times New Roman" w:hAnsi="Times New Roman"/>
                <w:sz w:val="24"/>
              </w:rPr>
              <w:t>Ίδια μέσα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36 παράγραφος 1 στοιχείο στ), άρθρο 469 παράγραφος 1, άρθρο 472 παράγραφος 8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Αρχ</w:t>
            </w:r>
            <w:r>
              <w:rPr>
                <w:rStyle w:val="InstructionsTabelleText"/>
                <w:rFonts w:ascii="Times New Roman" w:hAnsi="Times New Roman"/>
                <w:sz w:val="24"/>
              </w:rPr>
              <w:t>ι</w:t>
            </w:r>
            <w:r>
              <w:rPr>
                <w:rStyle w:val="InstructionsTabelleText"/>
                <w:rFonts w:ascii="Times New Roman" w:hAnsi="Times New Roman"/>
                <w:sz w:val="24"/>
              </w:rPr>
              <w:t>κή αφαίρεση, σύμφωνα με το άρθρο 36 παράγραφος 1 στοιχείο στ) του ΚΚΑ.</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1.3.2.6.1</w:t>
            </w:r>
            <w:r>
              <w:tab/>
            </w:r>
            <w:r>
              <w:rPr>
                <w:rStyle w:val="InstructionsTabelleberschrift"/>
                <w:rFonts w:ascii="Times New Roman" w:hAnsi="Times New Roman"/>
                <w:sz w:val="24"/>
              </w:rPr>
              <w:t>Ίδια μέσα CET1</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Άρθρο 36 παράγραφος 1 στοιχείο στ), άρθρο 469 παράγραφος 1, άρθρο </w:t>
            </w:r>
            <w:r>
              <w:rPr>
                <w:rStyle w:val="InstructionsTabelleText"/>
                <w:rFonts w:ascii="Times New Roman" w:hAnsi="Times New Roman"/>
                <w:sz w:val="24"/>
              </w:rPr>
              <w:lastRenderedPageBreak/>
              <w:t>472 παράγραφος 8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Κατά τον προσδιορισμό του ποσού των προαναφερθέντων ίδιων μέσων κεφαλαίου κοινών μετοχών της κατηγορίας 1 που πρέπει να αφαιρεθούν, τα ιδρύματα λαμβάνουν υπόψη τις διατάξεις του άρθρου 42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Δεδομένου ότι η αντιμετώπιση του «εναπομένοντος ποσού» διαφέρει αν</w:t>
            </w:r>
            <w:r>
              <w:rPr>
                <w:rStyle w:val="InstructionsTabelleText"/>
                <w:rFonts w:ascii="Times New Roman" w:hAnsi="Times New Roman"/>
                <w:sz w:val="24"/>
              </w:rPr>
              <w:t>ά</w:t>
            </w:r>
            <w:r>
              <w:rPr>
                <w:rStyle w:val="InstructionsTabelleText"/>
                <w:rFonts w:ascii="Times New Roman" w:hAnsi="Times New Roman"/>
                <w:sz w:val="24"/>
              </w:rPr>
              <w:t>λογα με τη φύση του μέσου, τα ιδρύματα αναλύουν τις συμμετοχές σε ίδια μέσα κεφαλαίου κοινών μετοχών σε «άμεσες» και «έμμεσες» συμμετοχές.</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Αρχ</w:t>
            </w:r>
            <w:r>
              <w:rPr>
                <w:rStyle w:val="InstructionsTabelleText"/>
                <w:rFonts w:ascii="Times New Roman" w:hAnsi="Times New Roman"/>
                <w:sz w:val="24"/>
              </w:rPr>
              <w:t>ι</w:t>
            </w:r>
            <w:r>
              <w:rPr>
                <w:rStyle w:val="InstructionsTabelleText"/>
                <w:rFonts w:ascii="Times New Roman" w:hAnsi="Times New Roman"/>
                <w:sz w:val="24"/>
              </w:rPr>
              <w:t>κή αφαίρεση, σύμφωνα με το άρθρο 36 παράγραφος 1 στοιχείο στ)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211</w:t>
            </w:r>
          </w:p>
        </w:tc>
        <w:tc>
          <w:tcPr>
            <w:tcW w:w="7478" w:type="dxa"/>
          </w:tcPr>
          <w:p w:rsidR="00213E0E" w:rsidRPr="00201704" w:rsidRDefault="008A1A1E"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1.3.2.6.1**</w:t>
            </w:r>
            <w:r>
              <w:tab/>
            </w:r>
            <w:r>
              <w:rPr>
                <w:rStyle w:val="InstructionsTabelleberschrift"/>
                <w:rFonts w:ascii="Times New Roman" w:hAnsi="Times New Roman"/>
                <w:sz w:val="24"/>
              </w:rPr>
              <w:t>εκ των οποίων: Άμεσες συμμετοχές</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469 παράγραφος 1 στοιχείο β) και άρθρο 472 παράγραφος 8 στο</w:t>
            </w:r>
            <w:r>
              <w:rPr>
                <w:rStyle w:val="InstructionsTabelleText"/>
                <w:rFonts w:ascii="Times New Roman" w:hAnsi="Times New Roman"/>
                <w:sz w:val="24"/>
              </w:rPr>
              <w:t>ι</w:t>
            </w:r>
            <w:r>
              <w:rPr>
                <w:rStyle w:val="InstructionsTabelleText"/>
                <w:rFonts w:ascii="Times New Roman" w:hAnsi="Times New Roman"/>
                <w:sz w:val="24"/>
              </w:rPr>
              <w:t>χείο α)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Συν</w:t>
            </w:r>
            <w:r>
              <w:rPr>
                <w:rStyle w:val="InstructionsTabelleText"/>
                <w:rFonts w:ascii="Times New Roman" w:hAnsi="Times New Roman"/>
                <w:sz w:val="24"/>
              </w:rPr>
              <w:t>ο</w:t>
            </w:r>
            <w:r>
              <w:rPr>
                <w:rStyle w:val="InstructionsTabelleText"/>
                <w:rFonts w:ascii="Times New Roman" w:hAnsi="Times New Roman"/>
                <w:sz w:val="24"/>
              </w:rPr>
              <w:t xml:space="preserve">λικό ποσό άμεσων συμμετοχών, συμπεριλαμβανομένων μέσων που το </w:t>
            </w:r>
            <w:r>
              <w:rPr>
                <w:rStyle w:val="InstructionsTabelleText"/>
                <w:rFonts w:ascii="Times New Roman" w:hAnsi="Times New Roman"/>
                <w:sz w:val="24"/>
              </w:rPr>
              <w:t>ί</w:t>
            </w:r>
            <w:r>
              <w:rPr>
                <w:rStyle w:val="InstructionsTabelleText"/>
                <w:rFonts w:ascii="Times New Roman" w:hAnsi="Times New Roman"/>
                <w:sz w:val="24"/>
              </w:rPr>
              <w:t>δρυμα θα μπορούσε να υποχρεούται να αγοράσει δυνάμει ισχύουσας ή ε</w:t>
            </w:r>
            <w:r>
              <w:rPr>
                <w:rStyle w:val="InstructionsTabelleText"/>
                <w:rFonts w:ascii="Times New Roman" w:hAnsi="Times New Roman"/>
                <w:sz w:val="24"/>
              </w:rPr>
              <w:t>ν</w:t>
            </w:r>
            <w:r>
              <w:rPr>
                <w:rStyle w:val="InstructionsTabelleText"/>
                <w:rFonts w:ascii="Times New Roman" w:hAnsi="Times New Roman"/>
                <w:sz w:val="24"/>
              </w:rPr>
              <w:t xml:space="preserve">δεχόμενης συμβατικής υποχρέωσης.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tab/>
            </w:r>
            <w:r>
              <w:rPr>
                <w:rStyle w:val="InstructionsTabelleberschrift"/>
                <w:rFonts w:ascii="Times New Roman" w:hAnsi="Times New Roman"/>
                <w:sz w:val="24"/>
              </w:rPr>
              <w:t>εκ των οποίων: Έμμεσες συμμετοχές</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469 παράγραφος 1 στοιχείο β) και άρθρο 472 παράγραφος 8 στο</w:t>
            </w:r>
            <w:r>
              <w:rPr>
                <w:rStyle w:val="InstructionsTabelleText"/>
                <w:rFonts w:ascii="Times New Roman" w:hAnsi="Times New Roman"/>
                <w:sz w:val="24"/>
              </w:rPr>
              <w:t>ι</w:t>
            </w:r>
            <w:r>
              <w:rPr>
                <w:rStyle w:val="InstructionsTabelleText"/>
                <w:rFonts w:ascii="Times New Roman" w:hAnsi="Times New Roman"/>
                <w:sz w:val="24"/>
              </w:rPr>
              <w:t>χείο β) του ΚΚΑ</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Το προς αναφορά ποσό στη στήλη 060 της συγκεκριμένης γραμμής: Συν</w:t>
            </w:r>
            <w:r>
              <w:rPr>
                <w:rStyle w:val="InstructionsTabelleText"/>
                <w:rFonts w:ascii="Times New Roman" w:hAnsi="Times New Roman"/>
                <w:sz w:val="24"/>
              </w:rPr>
              <w:t>ο</w:t>
            </w:r>
            <w:r>
              <w:rPr>
                <w:rStyle w:val="InstructionsTabelleText"/>
                <w:rFonts w:ascii="Times New Roman" w:hAnsi="Times New Roman"/>
                <w:sz w:val="24"/>
              </w:rPr>
              <w:t xml:space="preserve">λικό ποσό έμμεσων συμμετοχών, συμπεριλαμβανομένων μέσων που το </w:t>
            </w:r>
            <w:r>
              <w:rPr>
                <w:rStyle w:val="InstructionsTabelleText"/>
                <w:rFonts w:ascii="Times New Roman" w:hAnsi="Times New Roman"/>
                <w:sz w:val="24"/>
              </w:rPr>
              <w:t>ί</w:t>
            </w:r>
            <w:r>
              <w:rPr>
                <w:rStyle w:val="InstructionsTabelleText"/>
                <w:rFonts w:ascii="Times New Roman" w:hAnsi="Times New Roman"/>
                <w:sz w:val="24"/>
              </w:rPr>
              <w:t>δρυμα θα μπορούσε να υποχρεούται να αγοράσει δυνάμει ισχύουσας ή ε</w:t>
            </w:r>
            <w:r>
              <w:rPr>
                <w:rStyle w:val="InstructionsTabelleText"/>
                <w:rFonts w:ascii="Times New Roman" w:hAnsi="Times New Roman"/>
                <w:sz w:val="24"/>
              </w:rPr>
              <w:t>ν</w:t>
            </w:r>
            <w:r>
              <w:rPr>
                <w:rStyle w:val="InstructionsTabelleText"/>
                <w:rFonts w:ascii="Times New Roman" w:hAnsi="Times New Roman"/>
                <w:sz w:val="24"/>
              </w:rPr>
              <w:t>δεχόμενης συμβατικής υποχρέωσης.</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Ίδια μέσα AT1</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56 στοιχείο α), άρθρο 474, άρθρο 475 παράγραφος 2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Κατά τον προσδιορισμό του ποσού των προαναφερθεισών συμμετοχών που πρέπει να αφαιρεθούν, τα ιδρύματα λαμβάνουν υπόψη τις διατάξεις του άρθρου 57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Δεδομένου ότι η αντιμετώπιση του «εναπομένοντος ποσού» διαφέρει αν</w:t>
            </w:r>
            <w:r>
              <w:rPr>
                <w:rStyle w:val="InstructionsTabelleText"/>
                <w:rFonts w:ascii="Times New Roman" w:hAnsi="Times New Roman"/>
                <w:sz w:val="24"/>
              </w:rPr>
              <w:t>ά</w:t>
            </w:r>
            <w:r>
              <w:rPr>
                <w:rStyle w:val="InstructionsTabelleText"/>
                <w:rFonts w:ascii="Times New Roman" w:hAnsi="Times New Roman"/>
                <w:sz w:val="24"/>
              </w:rPr>
              <w:t xml:space="preserve">λογα με τη φύση του μέσου (άρθρο 475 παράγραφος 2 του ΚΚΑ), τα </w:t>
            </w:r>
            <w:r>
              <w:rPr>
                <w:rStyle w:val="InstructionsTabelleText"/>
                <w:rFonts w:ascii="Times New Roman" w:hAnsi="Times New Roman"/>
                <w:sz w:val="24"/>
              </w:rPr>
              <w:t>ι</w:t>
            </w:r>
            <w:r>
              <w:rPr>
                <w:rStyle w:val="InstructionsTabelleText"/>
                <w:rFonts w:ascii="Times New Roman" w:hAnsi="Times New Roman"/>
                <w:sz w:val="24"/>
              </w:rPr>
              <w:t>δρύματα αναλύουν τις προαναφερθείσες συμμετοχές σε «άμεσες» και «έ</w:t>
            </w:r>
            <w:r>
              <w:rPr>
                <w:rStyle w:val="InstructionsTabelleText"/>
                <w:rFonts w:ascii="Times New Roman" w:hAnsi="Times New Roman"/>
                <w:sz w:val="24"/>
              </w:rPr>
              <w:t>μ</w:t>
            </w:r>
            <w:r>
              <w:rPr>
                <w:rStyle w:val="InstructionsTabelleText"/>
                <w:rFonts w:ascii="Times New Roman" w:hAnsi="Times New Roman"/>
                <w:sz w:val="24"/>
              </w:rPr>
              <w:t>μεσες» ίδιες συμμετοχές σε πρόσθετα μέσα της κατηγορίας 1.</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Αρχ</w:t>
            </w:r>
            <w:r>
              <w:rPr>
                <w:rStyle w:val="InstructionsTabelleText"/>
                <w:rFonts w:ascii="Times New Roman" w:hAnsi="Times New Roman"/>
                <w:sz w:val="24"/>
              </w:rPr>
              <w:t>ι</w:t>
            </w:r>
            <w:r>
              <w:rPr>
                <w:rStyle w:val="InstructionsTabelleText"/>
                <w:rFonts w:ascii="Times New Roman" w:hAnsi="Times New Roman"/>
                <w:sz w:val="24"/>
              </w:rPr>
              <w:t>κή αφαίρεση, σύμφωνα με το άρθρο 56 στοιχείο α)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221</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εκ των οποίων: Άμεσες συμμετοχές</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Το προς αναφορά ποσό στη στήλη 060 της συγκεκριμένης γραμμής: Συν</w:t>
            </w:r>
            <w:r>
              <w:rPr>
                <w:rStyle w:val="InstructionsTabelleText"/>
                <w:rFonts w:ascii="Times New Roman" w:hAnsi="Times New Roman"/>
                <w:sz w:val="24"/>
              </w:rPr>
              <w:t>ο</w:t>
            </w:r>
            <w:r>
              <w:rPr>
                <w:rStyle w:val="InstructionsTabelleText"/>
                <w:rFonts w:ascii="Times New Roman" w:hAnsi="Times New Roman"/>
                <w:sz w:val="24"/>
              </w:rPr>
              <w:t xml:space="preserve">λικό ποσό άμεσων συμμετοχών, συμπεριλαμβανομένων μέσων που το </w:t>
            </w:r>
            <w:r>
              <w:rPr>
                <w:rStyle w:val="InstructionsTabelleText"/>
                <w:rFonts w:ascii="Times New Roman" w:hAnsi="Times New Roman"/>
                <w:sz w:val="24"/>
              </w:rPr>
              <w:t>ί</w:t>
            </w:r>
            <w:r>
              <w:rPr>
                <w:rStyle w:val="InstructionsTabelleText"/>
                <w:rFonts w:ascii="Times New Roman" w:hAnsi="Times New Roman"/>
                <w:sz w:val="24"/>
              </w:rPr>
              <w:t>δρυμα θα μπορούσε να υποχρεούται να αγοράσει δυνάμει ισχύουσας ή ε</w:t>
            </w:r>
            <w:r>
              <w:rPr>
                <w:rStyle w:val="InstructionsTabelleText"/>
                <w:rFonts w:ascii="Times New Roman" w:hAnsi="Times New Roman"/>
                <w:sz w:val="24"/>
              </w:rPr>
              <w:t>ν</w:t>
            </w:r>
            <w:r>
              <w:rPr>
                <w:rStyle w:val="InstructionsTabelleText"/>
                <w:rFonts w:ascii="Times New Roman" w:hAnsi="Times New Roman"/>
                <w:sz w:val="24"/>
              </w:rPr>
              <w:t>δεχόμενης συμβατικής υποχρέωσης, σύμφωνα με το άρθρο 474 στοιχείο β) και το άρθρο 475 παράγραφος 2 στοιχείο α)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222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εκ των οποίων: Έμμεσες συμμετοχές</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Το προς αναφορά ποσό στη στήλη 060 της συγκεκριμένης γραμμής: Συν</w:t>
            </w:r>
            <w:r>
              <w:rPr>
                <w:rStyle w:val="InstructionsTabelleText"/>
                <w:rFonts w:ascii="Times New Roman" w:hAnsi="Times New Roman"/>
                <w:sz w:val="24"/>
              </w:rPr>
              <w:t>ο</w:t>
            </w:r>
            <w:r>
              <w:rPr>
                <w:rStyle w:val="InstructionsTabelleText"/>
                <w:rFonts w:ascii="Times New Roman" w:hAnsi="Times New Roman"/>
                <w:sz w:val="24"/>
              </w:rPr>
              <w:t xml:space="preserve">λικό ποσό έμμεσων συμμετοχών, συμπεριλαμβανομένων μέσων που το </w:t>
            </w:r>
            <w:r>
              <w:rPr>
                <w:rStyle w:val="InstructionsTabelleText"/>
                <w:rFonts w:ascii="Times New Roman" w:hAnsi="Times New Roman"/>
                <w:sz w:val="24"/>
              </w:rPr>
              <w:t>ί</w:t>
            </w:r>
            <w:r>
              <w:rPr>
                <w:rStyle w:val="InstructionsTabelleText"/>
                <w:rFonts w:ascii="Times New Roman" w:hAnsi="Times New Roman"/>
                <w:sz w:val="24"/>
              </w:rPr>
              <w:t>δρυμα θα μπορούσε να υποχρεούται να αγοράσει δυνάμει ισχύουσας ή ε</w:t>
            </w:r>
            <w:r>
              <w:rPr>
                <w:rStyle w:val="InstructionsTabelleText"/>
                <w:rFonts w:ascii="Times New Roman" w:hAnsi="Times New Roman"/>
                <w:sz w:val="24"/>
              </w:rPr>
              <w:t>ν</w:t>
            </w:r>
            <w:r>
              <w:rPr>
                <w:rStyle w:val="InstructionsTabelleText"/>
                <w:rFonts w:ascii="Times New Roman" w:hAnsi="Times New Roman"/>
                <w:sz w:val="24"/>
              </w:rPr>
              <w:t>δεχόμενης συμβατικής υποχρέωσης, σύμφωνα με το άρθρο 474 στοιχείο β) και το άρθρο 475 παράγραφος 2 στοιχείο β)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w:t>
            </w:r>
            <w:r>
              <w:tab/>
            </w:r>
            <w:r>
              <w:rPr>
                <w:rStyle w:val="InstructionsTabelleberschrift"/>
                <w:rFonts w:ascii="Times New Roman" w:hAnsi="Times New Roman"/>
                <w:sz w:val="24"/>
              </w:rPr>
              <w:t>Ίδια μέσα T2</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66 στοιχείο α), άρθρο 476, άρθρο 477 παράγραφος 2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Κατά τον προσδιορισμό του ποσού των συμμετοχών που πρέπει να αφα</w:t>
            </w:r>
            <w:r>
              <w:rPr>
                <w:rStyle w:val="InstructionsTabelleText"/>
                <w:rFonts w:ascii="Times New Roman" w:hAnsi="Times New Roman"/>
                <w:sz w:val="24"/>
              </w:rPr>
              <w:t>ι</w:t>
            </w:r>
            <w:r>
              <w:rPr>
                <w:rStyle w:val="InstructionsTabelleText"/>
                <w:rFonts w:ascii="Times New Roman" w:hAnsi="Times New Roman"/>
                <w:sz w:val="24"/>
              </w:rPr>
              <w:t>ρεθούν, τα ιδρύματα λαμβάνουν υπόψη τις διατάξεις του άρθρου 67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Δεδομένου ότι η αντιμετώπιση του «εναπομένοντος ποσού» διαφέρει αν</w:t>
            </w:r>
            <w:r>
              <w:rPr>
                <w:rStyle w:val="InstructionsTabelleText"/>
                <w:rFonts w:ascii="Times New Roman" w:hAnsi="Times New Roman"/>
                <w:sz w:val="24"/>
              </w:rPr>
              <w:t>ά</w:t>
            </w:r>
            <w:r>
              <w:rPr>
                <w:rStyle w:val="InstructionsTabelleText"/>
                <w:rFonts w:ascii="Times New Roman" w:hAnsi="Times New Roman"/>
                <w:sz w:val="24"/>
              </w:rPr>
              <w:t xml:space="preserve">λογα με τη φύση του μέσου (άρθρο 477 παράγραφος 2 του ΚΚΑ), τα </w:t>
            </w:r>
            <w:r>
              <w:rPr>
                <w:rStyle w:val="InstructionsTabelleText"/>
                <w:rFonts w:ascii="Times New Roman" w:hAnsi="Times New Roman"/>
                <w:sz w:val="24"/>
              </w:rPr>
              <w:t>ι</w:t>
            </w:r>
            <w:r>
              <w:rPr>
                <w:rStyle w:val="InstructionsTabelleText"/>
                <w:rFonts w:ascii="Times New Roman" w:hAnsi="Times New Roman"/>
                <w:sz w:val="24"/>
              </w:rPr>
              <w:t>δρύματα αναλύουν τις προαναφερθείσες συμμετοχές σε «άμεσες» και «έ</w:t>
            </w:r>
            <w:r>
              <w:rPr>
                <w:rStyle w:val="InstructionsTabelleText"/>
                <w:rFonts w:ascii="Times New Roman" w:hAnsi="Times New Roman"/>
                <w:sz w:val="24"/>
              </w:rPr>
              <w:t>μ</w:t>
            </w:r>
            <w:r>
              <w:rPr>
                <w:rStyle w:val="InstructionsTabelleText"/>
                <w:rFonts w:ascii="Times New Roman" w:hAnsi="Times New Roman"/>
                <w:sz w:val="24"/>
              </w:rPr>
              <w:t>μεσες» ίδιες συμμετοχές σε πρόσθετα μέσα της κατηγορίας 2.</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Αρχ</w:t>
            </w:r>
            <w:r>
              <w:rPr>
                <w:rStyle w:val="InstructionsTabelleText"/>
                <w:rFonts w:ascii="Times New Roman" w:hAnsi="Times New Roman"/>
                <w:sz w:val="24"/>
              </w:rPr>
              <w:t>ι</w:t>
            </w:r>
            <w:r>
              <w:rPr>
                <w:rStyle w:val="InstructionsTabelleText"/>
                <w:rFonts w:ascii="Times New Roman" w:hAnsi="Times New Roman"/>
                <w:sz w:val="24"/>
              </w:rPr>
              <w:t>κή αφαίρεση, σύμφωνα με το άρθρο 66 στοιχείο α)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231</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Άμεσες συμμετοχές</w:t>
            </w:r>
          </w:p>
          <w:p w:rsidR="00A60195" w:rsidRPr="00392FFD" w:rsidRDefault="00A60195" w:rsidP="00FD239F">
            <w:pPr>
              <w:pStyle w:val="InstructionsText"/>
              <w:rPr>
                <w:rStyle w:val="InstructionsTabelleberschrif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Συν</w:t>
            </w:r>
            <w:r>
              <w:rPr>
                <w:rStyle w:val="InstructionsTabelleText"/>
                <w:rFonts w:ascii="Times New Roman" w:hAnsi="Times New Roman"/>
                <w:sz w:val="24"/>
              </w:rPr>
              <w:t>ο</w:t>
            </w:r>
            <w:r>
              <w:rPr>
                <w:rStyle w:val="InstructionsTabelleText"/>
                <w:rFonts w:ascii="Times New Roman" w:hAnsi="Times New Roman"/>
                <w:sz w:val="24"/>
              </w:rPr>
              <w:t xml:space="preserve">λικό ποσό άμεσων συμμετοχών, συμπεριλαμβανομένων μέσων που το </w:t>
            </w:r>
            <w:r>
              <w:rPr>
                <w:rStyle w:val="InstructionsTabelleText"/>
                <w:rFonts w:ascii="Times New Roman" w:hAnsi="Times New Roman"/>
                <w:sz w:val="24"/>
              </w:rPr>
              <w:t>ί</w:t>
            </w:r>
            <w:r>
              <w:rPr>
                <w:rStyle w:val="InstructionsTabelleText"/>
                <w:rFonts w:ascii="Times New Roman" w:hAnsi="Times New Roman"/>
                <w:sz w:val="24"/>
              </w:rPr>
              <w:t>δρυμα θα μπορούσε να υποχρεούται να αγοράσει δυνάμει ισχύουσας ή ε</w:t>
            </w:r>
            <w:r>
              <w:rPr>
                <w:rStyle w:val="InstructionsTabelleText"/>
                <w:rFonts w:ascii="Times New Roman" w:hAnsi="Times New Roman"/>
                <w:sz w:val="24"/>
              </w:rPr>
              <w:t>ν</w:t>
            </w:r>
            <w:r>
              <w:rPr>
                <w:rStyle w:val="InstructionsTabelleText"/>
                <w:rFonts w:ascii="Times New Roman" w:hAnsi="Times New Roman"/>
                <w:sz w:val="24"/>
              </w:rPr>
              <w:t>δεχόμενης συμβατικής υποχρέωσης, σύμφωνα με το άρθρο 476 στοιχείο β) και το άρθρο 477 παράγραφος 2 στοιχείο α) του ΚΚΑ.</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232</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Έμμεσες συμμετοχές</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Το προς αναφορά ποσό στη στήλη 060 της συγκεκριμένης γραμμής: Συν</w:t>
            </w:r>
            <w:r>
              <w:rPr>
                <w:rStyle w:val="InstructionsTabelleText"/>
                <w:rFonts w:ascii="Times New Roman" w:hAnsi="Times New Roman"/>
                <w:sz w:val="24"/>
              </w:rPr>
              <w:t>ο</w:t>
            </w:r>
            <w:r>
              <w:rPr>
                <w:rStyle w:val="InstructionsTabelleText"/>
                <w:rFonts w:ascii="Times New Roman" w:hAnsi="Times New Roman"/>
                <w:sz w:val="24"/>
              </w:rPr>
              <w:t xml:space="preserve">λικό ποσό έμμεσων συμμετοχών, συμπεριλαμβανομένων μέσων που το </w:t>
            </w:r>
            <w:r>
              <w:rPr>
                <w:rStyle w:val="InstructionsTabelleText"/>
                <w:rFonts w:ascii="Times New Roman" w:hAnsi="Times New Roman"/>
                <w:sz w:val="24"/>
              </w:rPr>
              <w:t>ί</w:t>
            </w:r>
            <w:r>
              <w:rPr>
                <w:rStyle w:val="InstructionsTabelleText"/>
                <w:rFonts w:ascii="Times New Roman" w:hAnsi="Times New Roman"/>
                <w:sz w:val="24"/>
              </w:rPr>
              <w:t>δρυμα θα μπορούσε να υποχρεούται να αγοράσει δυνάμει ισχύουσας ή ε</w:t>
            </w:r>
            <w:r>
              <w:rPr>
                <w:rStyle w:val="InstructionsTabelleText"/>
                <w:rFonts w:ascii="Times New Roman" w:hAnsi="Times New Roman"/>
                <w:sz w:val="24"/>
              </w:rPr>
              <w:t>ν</w:t>
            </w:r>
            <w:r>
              <w:rPr>
                <w:rStyle w:val="InstructionsTabelleText"/>
                <w:rFonts w:ascii="Times New Roman" w:hAnsi="Times New Roman"/>
                <w:sz w:val="24"/>
              </w:rPr>
              <w:t>δεχόμενης συμβατικής υποχρέωσης, σύμφωνα με το άρθρο 476 στοιχείο β) και το άρθρο 477 παράγραφος 2 στοιχείο β)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w:t>
            </w:r>
            <w:r>
              <w:tab/>
            </w:r>
            <w:r>
              <w:rPr>
                <w:rStyle w:val="InstructionsTabelleberschrift"/>
                <w:rFonts w:ascii="Times New Roman" w:hAnsi="Times New Roman"/>
                <w:sz w:val="24"/>
              </w:rPr>
              <w:t>Αμοιβαίες συμμετοχές</w:t>
            </w:r>
          </w:p>
          <w:p w:rsidR="00A60195" w:rsidRPr="00201704" w:rsidRDefault="00A60195" w:rsidP="007106FB">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t>Δεδομένου ότι η αντιμετώπιση του «εναπομένοντος ποσού» διαφέρει αν</w:t>
            </w:r>
            <w:r>
              <w:rPr>
                <w:rStyle w:val="InstructionsTabelleText"/>
                <w:rFonts w:ascii="Times New Roman" w:hAnsi="Times New Roman"/>
                <w:sz w:val="24"/>
              </w:rPr>
              <w:t>ά</w:t>
            </w:r>
            <w:r>
              <w:rPr>
                <w:rStyle w:val="InstructionsTabelleText"/>
                <w:rFonts w:ascii="Times New Roman" w:hAnsi="Times New Roman"/>
                <w:sz w:val="24"/>
              </w:rPr>
              <w:t>λογα με το αν η συμμετοχή σε κεφάλαιο κοινών μετοχών της κατηγορίας</w:t>
            </w:r>
            <w:r>
              <w:t xml:space="preserve"> </w:t>
            </w:r>
            <w:r>
              <w:rPr>
                <w:rStyle w:val="InstructionsTabelleText"/>
                <w:rFonts w:ascii="Times New Roman" w:hAnsi="Times New Roman"/>
                <w:sz w:val="24"/>
              </w:rPr>
              <w:t>1, πρόσθετο κεφάλαιο της κατηγορίας 1 ή κεφάλαιο της κατηγορίας 2 της οντότητας του χρηματοπιστωτικού τομέα θεωρείται σημαντική ή όχι (ά</w:t>
            </w:r>
            <w:r>
              <w:rPr>
                <w:rStyle w:val="InstructionsTabelleText"/>
                <w:rFonts w:ascii="Times New Roman" w:hAnsi="Times New Roman"/>
                <w:sz w:val="24"/>
              </w:rPr>
              <w:t>ρ</w:t>
            </w:r>
            <w:r>
              <w:rPr>
                <w:rStyle w:val="InstructionsTabelleText"/>
                <w:rFonts w:ascii="Times New Roman" w:hAnsi="Times New Roman"/>
                <w:sz w:val="24"/>
              </w:rPr>
              <w:t>θρο 472 παράγραφος 9, άρθρο 475 παράγραφος 3 και άρθρο 477 παρ</w:t>
            </w:r>
            <w:r>
              <w:rPr>
                <w:rStyle w:val="InstructionsTabelleText"/>
                <w:rFonts w:ascii="Times New Roman" w:hAnsi="Times New Roman"/>
                <w:sz w:val="24"/>
              </w:rPr>
              <w:t>ά</w:t>
            </w:r>
            <w:r>
              <w:rPr>
                <w:rStyle w:val="InstructionsTabelleText"/>
                <w:rFonts w:ascii="Times New Roman" w:hAnsi="Times New Roman"/>
                <w:sz w:val="24"/>
              </w:rPr>
              <w:t>γραφος 3 του ΚΚΑ), τα ιδρύματα αναλύουν τις αμοιβαίες συμμετοχές σε σημαντικές επενδύσεις και μη σημαντικές επενδύσεις.</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250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1.3.2.7.1</w:t>
            </w:r>
            <w:r>
              <w:tab/>
            </w:r>
            <w:r>
              <w:rPr>
                <w:rStyle w:val="InstructionsTabelleberschrift"/>
                <w:rFonts w:ascii="Times New Roman" w:hAnsi="Times New Roman"/>
                <w:sz w:val="24"/>
              </w:rPr>
              <w:t>Αμοιβαίες συμμετοχές σε κεφάλαιο CET1</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36 παράγραφος 1 στοιχείο ζ), άρθρο 469 παράγραφος 1, άρθρο 472 παράγραφος 9 και άρθρο 478 του ΚΚΑ</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Το προς αναφορά ποσό στη στήλη 060 της συγκεκριμένης γραμμής: Αρχ</w:t>
            </w:r>
            <w:r>
              <w:rPr>
                <w:rStyle w:val="InstructionsTabelleText"/>
                <w:rFonts w:ascii="Times New Roman" w:hAnsi="Times New Roman"/>
                <w:sz w:val="24"/>
              </w:rPr>
              <w:t>ι</w:t>
            </w:r>
            <w:r>
              <w:rPr>
                <w:rStyle w:val="InstructionsTabelleText"/>
                <w:rFonts w:ascii="Times New Roman" w:hAnsi="Times New Roman"/>
                <w:sz w:val="24"/>
              </w:rPr>
              <w:t xml:space="preserve">κή αφαίρεση, σύμφωνα με το άρθρο 36 παράγραφος 1 στοιχείο ζ) του </w:t>
            </w:r>
            <w:r>
              <w:rPr>
                <w:rStyle w:val="InstructionsTabelleText"/>
                <w:rFonts w:ascii="Times New Roman" w:hAnsi="Times New Roman"/>
                <w:sz w:val="24"/>
              </w:rPr>
              <w:lastRenderedPageBreak/>
              <w:t>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1.3.2.7.1.1</w:t>
            </w:r>
            <w:r>
              <w:tab/>
            </w:r>
            <w:r>
              <w:rPr>
                <w:rStyle w:val="InstructionsTabelleberschrift"/>
                <w:rFonts w:ascii="Times New Roman" w:hAnsi="Times New Roman"/>
                <w:sz w:val="24"/>
              </w:rPr>
              <w:t>Αμοιβαίες συμμετοχές σε κεφάλαιο CET1 οντοτήτων του χρηματοπιστωτικού τομέα όπου το ίδρυμα δεν έχει σημαντική επένδ</w:t>
            </w:r>
            <w:r>
              <w:rPr>
                <w:rStyle w:val="InstructionsTabelleberschrift"/>
                <w:rFonts w:ascii="Times New Roman" w:hAnsi="Times New Roman"/>
                <w:sz w:val="24"/>
              </w:rPr>
              <w:t>υ</w:t>
            </w:r>
            <w:r>
              <w:rPr>
                <w:rStyle w:val="InstructionsTabelleberschrift"/>
                <w:rFonts w:ascii="Times New Roman" w:hAnsi="Times New Roman"/>
                <w:sz w:val="24"/>
              </w:rPr>
              <w:t>ση</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36 παράγραφος 1 στοιχείο ζ), άρθρο 469 παράγραφος 1, άρθρο 472 παράγραφος 9 στοιχείο α)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Εν</w:t>
            </w:r>
            <w:r>
              <w:rPr>
                <w:rStyle w:val="InstructionsTabelleText"/>
                <w:rFonts w:ascii="Times New Roman" w:hAnsi="Times New Roman"/>
                <w:sz w:val="24"/>
              </w:rPr>
              <w:t>α</w:t>
            </w:r>
            <w:r>
              <w:rPr>
                <w:rStyle w:val="InstructionsTabelleText"/>
                <w:rFonts w:ascii="Times New Roman" w:hAnsi="Times New Roman"/>
                <w:sz w:val="24"/>
              </w:rPr>
              <w:t>πομένον ποσό, σύμφωνα με το άρθρο 469 παράγραφος 1 στοιχείο β)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1.3.2.7.1.2</w:t>
            </w:r>
            <w:r>
              <w:tab/>
            </w:r>
            <w:r>
              <w:rPr>
                <w:rStyle w:val="InstructionsTabelleberschrift"/>
                <w:rFonts w:ascii="Times New Roman" w:hAnsi="Times New Roman"/>
                <w:sz w:val="24"/>
              </w:rPr>
              <w:t>Αμοιβαίες συμμετοχές σε κεφάλαιο CET1 οντοτήτων του χρηματοπιστωτικού τομέα όπου το ίδρυμα έχει σημαντική επένδυση</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36 παράγραφος 1 στοιχείο ζ), άρθρο 469 παράγραφος 1, άρθρο 472 παράγραφος 9 στοιχείο β)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Εν</w:t>
            </w:r>
            <w:r>
              <w:rPr>
                <w:rStyle w:val="InstructionsTabelleText"/>
                <w:rFonts w:ascii="Times New Roman" w:hAnsi="Times New Roman"/>
                <w:sz w:val="24"/>
              </w:rPr>
              <w:t>α</w:t>
            </w:r>
            <w:r>
              <w:rPr>
                <w:rStyle w:val="InstructionsTabelleText"/>
                <w:rFonts w:ascii="Times New Roman" w:hAnsi="Times New Roman"/>
                <w:sz w:val="24"/>
              </w:rPr>
              <w:t>πομένον ποσό, σύμφωνα με το άρθρο 469 παράγραφος 1 στοιχείο β)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280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1.3.2.7.2</w:t>
            </w:r>
            <w:r>
              <w:tab/>
            </w:r>
            <w:r>
              <w:rPr>
                <w:rStyle w:val="InstructionsTabelleberschrift"/>
                <w:rFonts w:ascii="Times New Roman" w:hAnsi="Times New Roman"/>
                <w:sz w:val="24"/>
              </w:rPr>
              <w:t>Αμοιβαίες συμμετοχές σε κεφάλαιο AT1</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56 στοιχείο β), άρθρο 474, άρθρο 475 παράγραφος 3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Αρχ</w:t>
            </w:r>
            <w:r>
              <w:rPr>
                <w:rStyle w:val="InstructionsTabelleText"/>
                <w:rFonts w:ascii="Times New Roman" w:hAnsi="Times New Roman"/>
                <w:sz w:val="24"/>
              </w:rPr>
              <w:t>ι</w:t>
            </w:r>
            <w:r>
              <w:rPr>
                <w:rStyle w:val="InstructionsTabelleText"/>
                <w:rFonts w:ascii="Times New Roman" w:hAnsi="Times New Roman"/>
                <w:sz w:val="24"/>
              </w:rPr>
              <w:t>κή αφαίρεση, σύμφωνα με το άρθρο 56 στοιχείο β)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1.3.2.7.2.1</w:t>
            </w:r>
            <w:r>
              <w:tab/>
            </w:r>
            <w:r>
              <w:rPr>
                <w:rStyle w:val="InstructionsTabelleberschrift"/>
                <w:rFonts w:ascii="Times New Roman" w:hAnsi="Times New Roman"/>
                <w:sz w:val="24"/>
              </w:rPr>
              <w:t>Αμοιβαίες συμμετοχές σε κεφάλαιο AT1 οντοτήτων του χρηματοπιστωτικού τομέα όπου το ίδρυμα δεν έχει σημαντική επένδ</w:t>
            </w:r>
            <w:r>
              <w:rPr>
                <w:rStyle w:val="InstructionsTabelleberschrift"/>
                <w:rFonts w:ascii="Times New Roman" w:hAnsi="Times New Roman"/>
                <w:sz w:val="24"/>
              </w:rPr>
              <w:t>υ</w:t>
            </w:r>
            <w:r>
              <w:rPr>
                <w:rStyle w:val="InstructionsTabelleberschrift"/>
                <w:rFonts w:ascii="Times New Roman" w:hAnsi="Times New Roman"/>
                <w:sz w:val="24"/>
              </w:rPr>
              <w:t>ση</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56 στοιχείο β), άρθρο 474, άρθρο 475 παράγραφος 3 στοιχείο α)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Εν</w:t>
            </w:r>
            <w:r>
              <w:rPr>
                <w:rStyle w:val="InstructionsTabelleText"/>
                <w:rFonts w:ascii="Times New Roman" w:hAnsi="Times New Roman"/>
                <w:sz w:val="24"/>
              </w:rPr>
              <w:t>α</w:t>
            </w:r>
            <w:r>
              <w:rPr>
                <w:rStyle w:val="InstructionsTabelleText"/>
                <w:rFonts w:ascii="Times New Roman" w:hAnsi="Times New Roman"/>
                <w:sz w:val="24"/>
              </w:rPr>
              <w:t>πομένον ποσό, σύμφωνα με το άρθρο 475 παράγραφος 3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1.3.2.7.2.2</w:t>
            </w:r>
            <w:r>
              <w:tab/>
            </w:r>
            <w:r>
              <w:rPr>
                <w:rStyle w:val="InstructionsTabelleberschrift"/>
                <w:rFonts w:ascii="Times New Roman" w:hAnsi="Times New Roman"/>
                <w:sz w:val="24"/>
              </w:rPr>
              <w:t>Αμοιβαίες συμμετοχές σε κεφάλαιο AT1 οντοτήτων του χρηματοπιστωτικού τομέα όπου το ίδρυμα έχει σημαντική επένδυση</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56 στοιχείο β), άρθρο 474, άρθρο 475 παράγραφος 3 στοιχείο β)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Εν</w:t>
            </w:r>
            <w:r>
              <w:rPr>
                <w:rStyle w:val="InstructionsTabelleText"/>
                <w:rFonts w:ascii="Times New Roman" w:hAnsi="Times New Roman"/>
                <w:sz w:val="24"/>
              </w:rPr>
              <w:t>α</w:t>
            </w:r>
            <w:r>
              <w:rPr>
                <w:rStyle w:val="InstructionsTabelleText"/>
                <w:rFonts w:ascii="Times New Roman" w:hAnsi="Times New Roman"/>
                <w:sz w:val="24"/>
              </w:rPr>
              <w:t>πομένον ποσό, σύμφωνα με το άρθρο 475 παράγραφος 3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w:t>
            </w:r>
            <w:r>
              <w:tab/>
            </w:r>
            <w:r>
              <w:rPr>
                <w:rStyle w:val="InstructionsTabelleberschrift"/>
                <w:rFonts w:ascii="Times New Roman" w:hAnsi="Times New Roman"/>
                <w:sz w:val="24"/>
              </w:rPr>
              <w:t>Αμοιβαίες συμμετοχές σε κεφάλαιο T2</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66 στοιχείο β), άρθρο 476, άρθρο 477 παράγραφος 3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w:t>
            </w:r>
            <w:r>
              <w:t xml:space="preserve"> </w:t>
            </w:r>
            <w:r>
              <w:rPr>
                <w:rStyle w:val="InstructionsTabelleText"/>
                <w:rFonts w:ascii="Times New Roman" w:hAnsi="Times New Roman"/>
                <w:sz w:val="24"/>
              </w:rPr>
              <w:t>Αρχ</w:t>
            </w:r>
            <w:r>
              <w:rPr>
                <w:rStyle w:val="InstructionsTabelleText"/>
                <w:rFonts w:ascii="Times New Roman" w:hAnsi="Times New Roman"/>
                <w:sz w:val="24"/>
              </w:rPr>
              <w:t>ι</w:t>
            </w:r>
            <w:r>
              <w:rPr>
                <w:rStyle w:val="InstructionsTabelleText"/>
                <w:rFonts w:ascii="Times New Roman" w:hAnsi="Times New Roman"/>
                <w:sz w:val="24"/>
              </w:rPr>
              <w:t>κή αφαίρεση, σύμφωνα με το άρθρο 66 στοιχείο β)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320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1.3.2.7.3.1</w:t>
            </w:r>
            <w:r>
              <w:tab/>
            </w:r>
            <w:r>
              <w:rPr>
                <w:rStyle w:val="InstructionsTabelleberschrift"/>
                <w:rFonts w:ascii="Times New Roman" w:hAnsi="Times New Roman"/>
                <w:sz w:val="24"/>
              </w:rPr>
              <w:t>Αμοιβαίες συμμετοχές σε κεφάλαιο T2 οντοτήτων του χρηματοπιστωτικού τομέα όπου το ίδρυμα δεν έχει σημαντική επένδ</w:t>
            </w:r>
            <w:r>
              <w:rPr>
                <w:rStyle w:val="InstructionsTabelleberschrift"/>
                <w:rFonts w:ascii="Times New Roman" w:hAnsi="Times New Roman"/>
                <w:sz w:val="24"/>
              </w:rPr>
              <w:t>υ</w:t>
            </w:r>
            <w:r>
              <w:rPr>
                <w:rStyle w:val="InstructionsTabelleberschrift"/>
                <w:rFonts w:ascii="Times New Roman" w:hAnsi="Times New Roman"/>
                <w:sz w:val="24"/>
              </w:rPr>
              <w:lastRenderedPageBreak/>
              <w:t>ση</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66 στοιχείο β), άρθρο 476, άρθρο 477 παράγραφος 3 στοιχείο α)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Εν</w:t>
            </w:r>
            <w:r>
              <w:rPr>
                <w:rStyle w:val="InstructionsTabelleText"/>
                <w:rFonts w:ascii="Times New Roman" w:hAnsi="Times New Roman"/>
                <w:sz w:val="24"/>
              </w:rPr>
              <w:t>α</w:t>
            </w:r>
            <w:r>
              <w:rPr>
                <w:rStyle w:val="InstructionsTabelleText"/>
                <w:rFonts w:ascii="Times New Roman" w:hAnsi="Times New Roman"/>
                <w:sz w:val="24"/>
              </w:rPr>
              <w:t>πομένον ποσό, σύμφωνα με το άρθρο 477 παράγραφος 3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330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1.3.2.7.3.2</w:t>
            </w:r>
            <w:r>
              <w:tab/>
            </w:r>
            <w:r>
              <w:rPr>
                <w:rStyle w:val="InstructionsTabelleberschrift"/>
                <w:rFonts w:ascii="Times New Roman" w:hAnsi="Times New Roman"/>
                <w:sz w:val="24"/>
              </w:rPr>
              <w:t>Αμοιβαίες συμμετοχές σε κεφάλαιο T2 οντοτήτων του χρηματοπιστωτικού τομέα όπου το ίδρυμα έχει σημαντική επένδυση</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66 στοιχείο β), άρθρο 476, άρθρο 477 παράγραφος 3 στοιχείο β)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Εν</w:t>
            </w:r>
            <w:r>
              <w:rPr>
                <w:rStyle w:val="InstructionsTabelleText"/>
                <w:rFonts w:ascii="Times New Roman" w:hAnsi="Times New Roman"/>
                <w:sz w:val="24"/>
              </w:rPr>
              <w:t>α</w:t>
            </w:r>
            <w:r>
              <w:rPr>
                <w:rStyle w:val="InstructionsTabelleText"/>
                <w:rFonts w:ascii="Times New Roman" w:hAnsi="Times New Roman"/>
                <w:sz w:val="24"/>
              </w:rPr>
              <w:t>πομένον ποσό, σύμφωνα με το άρθρο 477 παράγραφος 3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340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1.3.2.8.</w:t>
            </w:r>
            <w:r>
              <w:tab/>
            </w:r>
            <w:r>
              <w:rPr>
                <w:rStyle w:val="InstructionsTabelleberschrift"/>
                <w:rFonts w:ascii="Times New Roman" w:hAnsi="Times New Roman"/>
                <w:sz w:val="24"/>
              </w:rPr>
              <w:t>Μέσα ιδίων κεφαλαίων οντοτήτων του χρηματοπιστ</w:t>
            </w:r>
            <w:r>
              <w:rPr>
                <w:rStyle w:val="InstructionsTabelleberschrift"/>
                <w:rFonts w:ascii="Times New Roman" w:hAnsi="Times New Roman"/>
                <w:sz w:val="24"/>
              </w:rPr>
              <w:t>ω</w:t>
            </w:r>
            <w:r>
              <w:rPr>
                <w:rStyle w:val="InstructionsTabelleberschrift"/>
                <w:rFonts w:ascii="Times New Roman" w:hAnsi="Times New Roman"/>
                <w:sz w:val="24"/>
              </w:rPr>
              <w:t>τικού τομέα όπου το ίδρυμα δεν έχει σημαντική επένδυση</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1.3.2.8.1</w:t>
            </w:r>
            <w:r>
              <w:tab/>
            </w:r>
            <w:r>
              <w:rPr>
                <w:rStyle w:val="InstructionsTabelleberschrift"/>
                <w:rFonts w:ascii="Times New Roman" w:hAnsi="Times New Roman"/>
                <w:sz w:val="24"/>
              </w:rPr>
              <w:t>Μέσα CET1 οντοτήτων του χρηματοπιστωτικού τομέα όπου το ίδρυμα δεν έχει σημαντική επένδυση</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36 παράγραφος 1 στοιχείο η), άρθρο 469 παράγραφος 1, άρθρο 472 παράγραφος 10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Αρχ</w:t>
            </w:r>
            <w:r>
              <w:rPr>
                <w:rStyle w:val="InstructionsTabelleText"/>
                <w:rFonts w:ascii="Times New Roman" w:hAnsi="Times New Roman"/>
                <w:sz w:val="24"/>
              </w:rPr>
              <w:t>ι</w:t>
            </w:r>
            <w:r>
              <w:rPr>
                <w:rStyle w:val="InstructionsTabelleText"/>
                <w:rFonts w:ascii="Times New Roman" w:hAnsi="Times New Roman"/>
                <w:sz w:val="24"/>
              </w:rPr>
              <w:t>κή αφαίρεση, σύμφωνα με το άρθρο 36 παράγραφος 1 στοιχείο η)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1.3.2.8.2</w:t>
            </w:r>
            <w:r>
              <w:tab/>
            </w:r>
            <w:r>
              <w:rPr>
                <w:rStyle w:val="InstructionsTabelleberschrift"/>
                <w:rFonts w:ascii="Times New Roman" w:hAnsi="Times New Roman"/>
                <w:sz w:val="24"/>
              </w:rPr>
              <w:t>Μέσα AT1 οντοτήτων του χρηματοπιστωτικού τομέα όπου το ίδρυμα δεν έχει σημαντική επένδυση</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56 στοιχείο γ), άρθρο 474, άρθρο 475 παράγραφος 4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Αρχ</w:t>
            </w:r>
            <w:r>
              <w:rPr>
                <w:rStyle w:val="InstructionsTabelleText"/>
                <w:rFonts w:ascii="Times New Roman" w:hAnsi="Times New Roman"/>
                <w:sz w:val="24"/>
              </w:rPr>
              <w:t>ι</w:t>
            </w:r>
            <w:r>
              <w:rPr>
                <w:rStyle w:val="InstructionsTabelleText"/>
                <w:rFonts w:ascii="Times New Roman" w:hAnsi="Times New Roman"/>
                <w:sz w:val="24"/>
              </w:rPr>
              <w:t>κή αφαίρεση, σύμφωνα με το άρθρο 56 στοιχείο γ)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1.3.2.8.3</w:t>
            </w:r>
            <w:r>
              <w:tab/>
            </w:r>
            <w:r>
              <w:rPr>
                <w:rStyle w:val="InstructionsTabelleberschrift"/>
                <w:rFonts w:ascii="Times New Roman" w:hAnsi="Times New Roman"/>
                <w:sz w:val="24"/>
              </w:rPr>
              <w:t xml:space="preserve">Μέσα T2 οντοτήτων του χρηματοπιστωτικού τομέα </w:t>
            </w:r>
            <w:r>
              <w:rPr>
                <w:rStyle w:val="InstructionsTabelleberschrift"/>
                <w:rFonts w:ascii="Times New Roman" w:hAnsi="Times New Roman"/>
                <w:sz w:val="24"/>
              </w:rPr>
              <w:t>ό</w:t>
            </w:r>
            <w:r>
              <w:rPr>
                <w:rStyle w:val="InstructionsTabelleberschrift"/>
                <w:rFonts w:ascii="Times New Roman" w:hAnsi="Times New Roman"/>
                <w:sz w:val="24"/>
              </w:rPr>
              <w:t>που το ίδρυμα δεν έχει σημαντική επένδυση</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66 στοιχείο γ), άρθρο 476, άρθρο 477 παράγραφος 4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Αρχ</w:t>
            </w:r>
            <w:r>
              <w:rPr>
                <w:rStyle w:val="InstructionsTabelleText"/>
                <w:rFonts w:ascii="Times New Roman" w:hAnsi="Times New Roman"/>
                <w:sz w:val="24"/>
              </w:rPr>
              <w:t>ι</w:t>
            </w:r>
            <w:r>
              <w:rPr>
                <w:rStyle w:val="InstructionsTabelleText"/>
                <w:rFonts w:ascii="Times New Roman" w:hAnsi="Times New Roman"/>
                <w:sz w:val="24"/>
              </w:rPr>
              <w:t>κή αφαίρεση, σύμφωνα με το άρθρο 66 στοιχείο γ)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380</w:t>
            </w: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Αναβαλλόμενες φορολογικές απαιτήσεις που εξαρτώνται από τη μελλοντική κερδοφορία και προκύπτουν από προσωρινές διαφορές και μέσα CET1 οντοτήτων του χρηματοπιστωτικού τομέα όπου το ίδρυμα έχει σημαντική επένδυση</w:t>
            </w:r>
          </w:p>
          <w:p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470 παράγραφοι 2 και 3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Ά</w:t>
            </w:r>
            <w:r>
              <w:rPr>
                <w:rStyle w:val="InstructionsTabelleText"/>
                <w:rFonts w:ascii="Times New Roman" w:hAnsi="Times New Roman"/>
                <w:sz w:val="24"/>
              </w:rPr>
              <w:t>ρ</w:t>
            </w:r>
            <w:r>
              <w:rPr>
                <w:rStyle w:val="InstructionsTabelleText"/>
                <w:rFonts w:ascii="Times New Roman" w:hAnsi="Times New Roman"/>
                <w:sz w:val="24"/>
              </w:rPr>
              <w:t>θρο 470 παράγραφος 1 του ΚΚΑ</w:t>
            </w:r>
          </w:p>
        </w:tc>
      </w:tr>
      <w:tr w:rsidR="004A705D" w:rsidRPr="00392FFD" w:rsidTr="00672D2A">
        <w:tc>
          <w:tcPr>
            <w:tcW w:w="1012" w:type="dxa"/>
          </w:tcPr>
          <w:p w:rsidR="004A705D" w:rsidRPr="00392FFD" w:rsidRDefault="004A705D"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385</w:t>
            </w:r>
          </w:p>
        </w:tc>
        <w:tc>
          <w:tcPr>
            <w:tcW w:w="7478" w:type="dxa"/>
          </w:tcPr>
          <w:p w:rsidR="004A705D" w:rsidRPr="000F1CEA" w:rsidRDefault="004A705D"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Αναβαλλόμενες φορολογικές απαιτήσεις που εξαρτώνται από τη με</w:t>
            </w:r>
            <w:r>
              <w:rPr>
                <w:rStyle w:val="InstructionsTabelleberschrift"/>
                <w:rFonts w:ascii="Times New Roman" w:hAnsi="Times New Roman"/>
                <w:sz w:val="24"/>
              </w:rPr>
              <w:t>λ</w:t>
            </w:r>
            <w:r>
              <w:rPr>
                <w:rStyle w:val="InstructionsTabelleberschrift"/>
                <w:rFonts w:ascii="Times New Roman" w:hAnsi="Times New Roman"/>
                <w:sz w:val="24"/>
              </w:rPr>
              <w:t>λοντική κερδοφορία και προκύπτουν από προσωρινές διαφορές</w:t>
            </w:r>
          </w:p>
          <w:p w:rsidR="004A705D" w:rsidRPr="00392FFD" w:rsidRDefault="004A705D"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Άρθρο 469 παράγραφος 1 στοιχείο γ), άρθρο 478 και άρθρο 472 παράγρ</w:t>
            </w:r>
            <w:r>
              <w:rPr>
                <w:rStyle w:val="InstructionsTabelleText"/>
                <w:rFonts w:ascii="Times New Roman" w:hAnsi="Times New Roman"/>
                <w:sz w:val="24"/>
              </w:rPr>
              <w:t>α</w:t>
            </w:r>
            <w:r>
              <w:rPr>
                <w:rStyle w:val="InstructionsTabelleText"/>
                <w:rFonts w:ascii="Times New Roman" w:hAnsi="Times New Roman"/>
                <w:sz w:val="24"/>
              </w:rPr>
              <w:t>φος 5 του ΚΚΑ</w:t>
            </w:r>
          </w:p>
          <w:p w:rsidR="004A705D" w:rsidRPr="000F1CEA" w:rsidRDefault="004A705D" w:rsidP="00FD239F">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 xml:space="preserve">Μέρος των αναβαλλόμενων φορολογικών απαιτήσεων που βασίζονται σε μελλοντική κερδοφορία και προκύπτουν από προσωρινές διαφορές, το </w:t>
            </w:r>
            <w:r>
              <w:rPr>
                <w:rStyle w:val="InstructionsTabelleText"/>
                <w:rFonts w:ascii="Times New Roman" w:hAnsi="Times New Roman"/>
                <w:sz w:val="24"/>
              </w:rPr>
              <w:t>ο</w:t>
            </w:r>
            <w:r>
              <w:rPr>
                <w:rStyle w:val="InstructionsTabelleText"/>
                <w:rFonts w:ascii="Times New Roman" w:hAnsi="Times New Roman"/>
                <w:sz w:val="24"/>
              </w:rPr>
              <w:t>ποίο υπερβαίνει το κατώτατο όριο του 10 % βάσει του άρθρου 470 παρ</w:t>
            </w:r>
            <w:r>
              <w:rPr>
                <w:rStyle w:val="InstructionsTabelleText"/>
                <w:rFonts w:ascii="Times New Roman" w:hAnsi="Times New Roman"/>
                <w:sz w:val="24"/>
              </w:rPr>
              <w:t>ά</w:t>
            </w:r>
            <w:r>
              <w:rPr>
                <w:rStyle w:val="InstructionsTabelleText"/>
                <w:rFonts w:ascii="Times New Roman" w:hAnsi="Times New Roman"/>
                <w:sz w:val="24"/>
              </w:rPr>
              <w:t>γραφος 2 στοιχείο α) του ΚΚΑ.</w:t>
            </w:r>
          </w:p>
        </w:tc>
      </w:tr>
      <w:tr w:rsidR="00A60195" w:rsidRPr="00392FFD" w:rsidTr="00672D2A">
        <w:trPr>
          <w:trHeight w:val="60"/>
        </w:trPr>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w:t>
            </w:r>
            <w:r>
              <w:tab/>
            </w:r>
            <w:r>
              <w:rPr>
                <w:rStyle w:val="InstructionsTabelleberschrift"/>
                <w:rFonts w:ascii="Times New Roman" w:hAnsi="Times New Roman"/>
                <w:sz w:val="24"/>
              </w:rPr>
              <w:t>Μέσα ιδίων κεφαλαίων οντοτήτων του χρηματοπιστ</w:t>
            </w:r>
            <w:r>
              <w:rPr>
                <w:rStyle w:val="InstructionsTabelleberschrift"/>
                <w:rFonts w:ascii="Times New Roman" w:hAnsi="Times New Roman"/>
                <w:sz w:val="24"/>
              </w:rPr>
              <w:t>ω</w:t>
            </w:r>
            <w:r>
              <w:rPr>
                <w:rStyle w:val="InstructionsTabelleberschrift"/>
                <w:rFonts w:ascii="Times New Roman" w:hAnsi="Times New Roman"/>
                <w:sz w:val="24"/>
              </w:rPr>
              <w:t>τικού τομέα όπου το ίδρυμα έχει σημαντική επένδυση</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1.3.2.10.1</w:t>
            </w:r>
            <w:r>
              <w:tab/>
            </w:r>
            <w:r>
              <w:rPr>
                <w:rStyle w:val="InstructionsTabelleberschrift"/>
                <w:rFonts w:ascii="Times New Roman" w:hAnsi="Times New Roman"/>
                <w:sz w:val="24"/>
              </w:rPr>
              <w:t>Μέσα CET1 οντοτήτων του χρηματοπιστωτικού τομέα όπου το ίδρυμα έχει σημαντική επένδυση</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36 παράγραφος 1 στοιχείο θ), άρθρο 469 παράγραφος 1, άρθρο 472 παράγραφος 11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Αρχ</w:t>
            </w:r>
            <w:r>
              <w:rPr>
                <w:rStyle w:val="InstructionsTabelleText"/>
                <w:rFonts w:ascii="Times New Roman" w:hAnsi="Times New Roman"/>
                <w:sz w:val="24"/>
              </w:rPr>
              <w:t>ι</w:t>
            </w:r>
            <w:r>
              <w:rPr>
                <w:rStyle w:val="InstructionsTabelleText"/>
                <w:rFonts w:ascii="Times New Roman" w:hAnsi="Times New Roman"/>
                <w:sz w:val="24"/>
              </w:rPr>
              <w:t>κή αφαίρεση, σύμφωνα με το άρθρο 36 παράγραφος 1 στοιχείο θ)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tab/>
            </w:r>
            <w:r>
              <w:rPr>
                <w:rStyle w:val="InstructionsTabelleberschrift"/>
                <w:rFonts w:ascii="Times New Roman" w:hAnsi="Times New Roman"/>
                <w:sz w:val="24"/>
              </w:rPr>
              <w:t>Μέσα AT1 οντοτήτων του χρηματοπιστωτικού τομέα όπου το ίδρυμα έχει σημαντική επένδυση</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56 στοιχείο δ), άρθρο 474, άρθρο 475 παράγραφος 4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Αρχ</w:t>
            </w:r>
            <w:r>
              <w:rPr>
                <w:rStyle w:val="InstructionsTabelleText"/>
                <w:rFonts w:ascii="Times New Roman" w:hAnsi="Times New Roman"/>
                <w:sz w:val="24"/>
              </w:rPr>
              <w:t>ι</w:t>
            </w:r>
            <w:r>
              <w:rPr>
                <w:rStyle w:val="InstructionsTabelleText"/>
                <w:rFonts w:ascii="Times New Roman" w:hAnsi="Times New Roman"/>
                <w:sz w:val="24"/>
              </w:rPr>
              <w:t>κή αφαίρεση, σύμφωνα με το άρθρο 56 στοιχείο δ) του ΚΚΑ.</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tab/>
            </w:r>
            <w:r>
              <w:rPr>
                <w:rStyle w:val="InstructionsTabelleberschrift"/>
                <w:rFonts w:ascii="Times New Roman" w:hAnsi="Times New Roman"/>
                <w:sz w:val="24"/>
              </w:rPr>
              <w:t xml:space="preserve">Μέσα T2 οντοτήτων του χρηματοπιστωτικού τομέα </w:t>
            </w:r>
            <w:r>
              <w:rPr>
                <w:rStyle w:val="InstructionsTabelleberschrift"/>
                <w:rFonts w:ascii="Times New Roman" w:hAnsi="Times New Roman"/>
                <w:sz w:val="24"/>
              </w:rPr>
              <w:t>ό</w:t>
            </w:r>
            <w:r>
              <w:rPr>
                <w:rStyle w:val="InstructionsTabelleberschrift"/>
                <w:rFonts w:ascii="Times New Roman" w:hAnsi="Times New Roman"/>
                <w:sz w:val="24"/>
              </w:rPr>
              <w:t>που το ίδρυμα έχει σημαντική επένδυση</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66 στοιχείο δ), άρθρο 476, άρθρο 477 παράγραφος 4 και άρθρο 478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060 της συγκεκριμένης γραμμής: Αρχ</w:t>
            </w:r>
            <w:r>
              <w:rPr>
                <w:rStyle w:val="InstructionsTabelleText"/>
                <w:rFonts w:ascii="Times New Roman" w:hAnsi="Times New Roman"/>
                <w:sz w:val="24"/>
              </w:rPr>
              <w:t>ι</w:t>
            </w:r>
            <w:r>
              <w:rPr>
                <w:rStyle w:val="InstructionsTabelleText"/>
                <w:rFonts w:ascii="Times New Roman" w:hAnsi="Times New Roman"/>
                <w:sz w:val="24"/>
              </w:rPr>
              <w:t>κή αφαίρεση, σύμφωνα με το άρθρο 66 στοιχείο δ) του ΚΚΑ.</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425</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Εξαίρεση από την αφαίρεση τοποθετήσεων σε ασφαλ</w:t>
            </w:r>
            <w:r>
              <w:rPr>
                <w:rStyle w:val="InstructionsTabelleberschrift"/>
                <w:rFonts w:ascii="Times New Roman" w:hAnsi="Times New Roman"/>
                <w:sz w:val="24"/>
              </w:rPr>
              <w:t>ι</w:t>
            </w:r>
            <w:r>
              <w:rPr>
                <w:rStyle w:val="InstructionsTabelleberschrift"/>
                <w:rFonts w:ascii="Times New Roman" w:hAnsi="Times New Roman"/>
                <w:sz w:val="24"/>
              </w:rPr>
              <w:t>στικές εταιρείες από τα στοιχεία CET 1</w:t>
            </w:r>
          </w:p>
          <w:p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471 του ΚΚΑ</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430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Πρόσθετες προσαρμογές και αφαιρέσεις</w:t>
            </w:r>
          </w:p>
          <w:p w:rsidR="00A60195" w:rsidRPr="00392FFD"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Άρθρο 481 του ΚΚΑ</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Η συγκεκριμένη γραμμή αντανακλά το συνολικό αποτέλεσμα των μεταβ</w:t>
            </w:r>
            <w:r>
              <w:rPr>
                <w:rStyle w:val="InstructionsTabelleText"/>
                <w:rFonts w:ascii="Times New Roman" w:hAnsi="Times New Roman"/>
                <w:sz w:val="24"/>
              </w:rPr>
              <w:t>α</w:t>
            </w:r>
            <w:r>
              <w:rPr>
                <w:rStyle w:val="InstructionsTabelleText"/>
                <w:rFonts w:ascii="Times New Roman" w:hAnsi="Times New Roman"/>
                <w:sz w:val="24"/>
              </w:rPr>
              <w:t>τικών διατάξεων στις πρόσθετες προσαρμογές και αφαιρέσεις.</w:t>
            </w:r>
          </w:p>
          <w:p w:rsidR="00783881"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Σύμφωνα με το άρθρο 481 του ΚΚΑ, τα ιδρύματα αναφέρουν στο στοιχείο 1.3.3 πληροφορίες σχετικά με τις προσαρμογές και τις αφαιρέσεις που </w:t>
            </w:r>
            <w:r>
              <w:rPr>
                <w:rStyle w:val="InstructionsTabelleText"/>
                <w:rFonts w:ascii="Times New Roman" w:hAnsi="Times New Roman"/>
                <w:sz w:val="24"/>
              </w:rPr>
              <w:t>α</w:t>
            </w:r>
            <w:r>
              <w:rPr>
                <w:rStyle w:val="InstructionsTabelleText"/>
                <w:rFonts w:ascii="Times New Roman" w:hAnsi="Times New Roman"/>
                <w:sz w:val="24"/>
              </w:rPr>
              <w:t>παιτούνται, σύμφωνα με τα μέτρα μεταφοράς στο εθνικό δίκαιο των ά</w:t>
            </w:r>
            <w:r>
              <w:rPr>
                <w:rStyle w:val="InstructionsTabelleText"/>
                <w:rFonts w:ascii="Times New Roman" w:hAnsi="Times New Roman"/>
                <w:sz w:val="24"/>
              </w:rPr>
              <w:t>ρ</w:t>
            </w:r>
            <w:r>
              <w:rPr>
                <w:rStyle w:val="InstructionsTabelleText"/>
                <w:rFonts w:ascii="Times New Roman" w:hAnsi="Times New Roman"/>
                <w:sz w:val="24"/>
              </w:rPr>
              <w:t xml:space="preserve">θρων 57 και 66 της οδηγίας 2006/48/ΕΚ και των άρθρων 13 και 16 της </w:t>
            </w:r>
            <w:r>
              <w:rPr>
                <w:rStyle w:val="InstructionsTabelleText"/>
                <w:rFonts w:ascii="Times New Roman" w:hAnsi="Times New Roman"/>
                <w:sz w:val="24"/>
              </w:rPr>
              <w:t>ο</w:t>
            </w:r>
            <w:r>
              <w:rPr>
                <w:rStyle w:val="InstructionsTabelleText"/>
                <w:rFonts w:ascii="Times New Roman" w:hAnsi="Times New Roman"/>
                <w:sz w:val="24"/>
              </w:rPr>
              <w:t xml:space="preserve">δηγίας 2006/49/ΕΚ, και οι οποίες δεν απαιτούνται σύμφωνα με το δεύτερο μέρος. </w:t>
            </w:r>
          </w:p>
        </w:tc>
      </w:tr>
      <w:tr w:rsidR="008B695F" w:rsidRPr="00392FFD" w:rsidTr="00672D2A">
        <w:tc>
          <w:tcPr>
            <w:tcW w:w="1012" w:type="dxa"/>
          </w:tcPr>
          <w:p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Προσαρμογές λόγω μεταβατικών ρυθμίσεων βάσει του ΔΠΧΑ 9</w:t>
            </w:r>
          </w:p>
          <w:p w:rsidR="008B695F" w:rsidRPr="008B695F" w:rsidRDefault="009247A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πληροφορίες σχετικά με τις μεταβατικές ρυθμ</w:t>
            </w:r>
            <w:r>
              <w:rPr>
                <w:rStyle w:val="InstructionsTabelleberschrift"/>
                <w:rFonts w:ascii="Times New Roman" w:hAnsi="Times New Roman"/>
                <w:b w:val="0"/>
                <w:sz w:val="24"/>
                <w:u w:val="none"/>
              </w:rPr>
              <w:t>ί</w:t>
            </w:r>
            <w:r>
              <w:rPr>
                <w:rStyle w:val="InstructionsTabelleberschrift"/>
                <w:rFonts w:ascii="Times New Roman" w:hAnsi="Times New Roman"/>
                <w:b w:val="0"/>
                <w:sz w:val="24"/>
                <w:u w:val="none"/>
              </w:rPr>
              <w:lastRenderedPageBreak/>
              <w:t>σεις λόγω του ΔΠΧΑ 9 σύμφωνα με τις ισχύουσες νομικές διατάξεις.</w:t>
            </w:r>
          </w:p>
        </w:tc>
      </w:tr>
    </w:tbl>
    <w:p w:rsidR="002648B0" w:rsidRPr="00392FFD" w:rsidRDefault="002648B0" w:rsidP="00D946DB">
      <w:pPr>
        <w:spacing w:after="0"/>
        <w:rPr>
          <w:rFonts w:ascii="Times New Roman" w:hAnsi="Times New Roman"/>
          <w:sz w:val="24"/>
        </w:rPr>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84" w:name="_Toc361666252"/>
      <w:bookmarkStart w:id="85" w:name="_Toc308175839"/>
      <w:bookmarkStart w:id="86" w:name="_Toc516210620"/>
      <w:bookmarkStart w:id="87" w:name="_Toc473560885"/>
      <w:bookmarkStart w:id="88" w:name="_Toc360188337"/>
      <w:bookmarkEnd w:id="84"/>
      <w:r>
        <w:rPr>
          <w:rFonts w:ascii="Times New Roman" w:hAnsi="Times New Roman"/>
          <w:sz w:val="24"/>
          <w:u w:val="none"/>
        </w:rPr>
        <w:t>1.6.3.</w:t>
      </w:r>
      <w:r>
        <w:tab/>
      </w:r>
      <w:r>
        <w:rPr>
          <w:rFonts w:ascii="Times New Roman" w:hAnsi="Times New Roman"/>
          <w:sz w:val="24"/>
        </w:rPr>
        <w:t>C 05.02 – ΠΡΟΫΦΙΣΤΑΜΕΝΑ ΜΕΣΑ: ΜΕΣΑ ΠΟΥ ΔΕΝ ΣΥΝΙΣΤΟΥΝ ΚΡΑΤΙΚΗ ΕΝΙΣΧΥΣΗ (CA5.2)</w:t>
      </w:r>
      <w:bookmarkEnd w:id="85"/>
      <w:bookmarkEnd w:id="86"/>
      <w:bookmarkEnd w:id="87"/>
      <w:r>
        <w:rPr>
          <w:rFonts w:ascii="Times New Roman" w:hAnsi="Times New Roman"/>
          <w:sz w:val="24"/>
        </w:rPr>
        <w:t xml:space="preserve"> </w:t>
      </w:r>
      <w:bookmarkEnd w:id="88"/>
    </w:p>
    <w:p w:rsidR="00783881" w:rsidRPr="00392FFD" w:rsidRDefault="00125707" w:rsidP="00C37B29">
      <w:pPr>
        <w:pStyle w:val="InstructionsText2"/>
        <w:numPr>
          <w:ilvl w:val="0"/>
          <w:numId w:val="0"/>
        </w:numPr>
        <w:ind w:left="993"/>
      </w:pPr>
      <w:r>
        <w:t>25.</w:t>
      </w:r>
      <w:r>
        <w:tab/>
        <w:t>Τα ιδρύματα αναφέρουν πληροφορίες σχετικά με τις μεταβατικές διατάξεις που ισχύουν για προϋφιστάμενα μέσα που δεν συνιστούν κρατική ενίσχυση (άρθρα 484 έως 491 του ΚΚΑ).</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89" w:name="_Toc360188338"/>
      <w:bookmarkStart w:id="90" w:name="_Toc516210621"/>
      <w:bookmarkStart w:id="91" w:name="_Toc473560886"/>
      <w:r>
        <w:rPr>
          <w:rFonts w:ascii="Times New Roman" w:hAnsi="Times New Roman"/>
          <w:sz w:val="24"/>
          <w:u w:val="none"/>
        </w:rPr>
        <w:t>1.6.3.1.</w:t>
      </w:r>
      <w:r>
        <w:tab/>
      </w:r>
      <w:r>
        <w:rPr>
          <w:rFonts w:ascii="Times New Roman" w:hAnsi="Times New Roman"/>
          <w:sz w:val="24"/>
        </w:rPr>
        <w:t>Οδηγίες για συγκεκριμένες θέσεις</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Στήλες</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Ποσό μέσων προσαυξημένο κατά τη σχετική διαφορά από την έκδοση μετοχών υπέρ το άρτιο</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Άρθρο 484 παράγραφοι 3 έως 5 του ΚΚΑ</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Μέσα τα οποία είναι επιλέξιμα για κάθε αντίστοιχη γραμμή, συμπεριλα</w:t>
            </w:r>
            <w:r>
              <w:rPr>
                <w:rStyle w:val="InstructionsTabelleText"/>
                <w:rFonts w:ascii="Times New Roman" w:hAnsi="Times New Roman"/>
                <w:sz w:val="24"/>
              </w:rPr>
              <w:t>μ</w:t>
            </w:r>
            <w:r>
              <w:rPr>
                <w:rStyle w:val="InstructionsTabelleText"/>
                <w:rFonts w:ascii="Times New Roman" w:hAnsi="Times New Roman"/>
                <w:sz w:val="24"/>
              </w:rPr>
              <w:t>βανομένων των σχετικών διαφορών από την έκδοση μετοχών υπέρ το ά</w:t>
            </w:r>
            <w:r>
              <w:rPr>
                <w:rStyle w:val="InstructionsTabelleText"/>
                <w:rFonts w:ascii="Times New Roman" w:hAnsi="Times New Roman"/>
                <w:sz w:val="24"/>
              </w:rPr>
              <w:t>ρ</w:t>
            </w:r>
            <w:r>
              <w:rPr>
                <w:rStyle w:val="InstructionsTabelleText"/>
                <w:rFonts w:ascii="Times New Roman" w:hAnsi="Times New Roman"/>
                <w:sz w:val="24"/>
              </w:rPr>
              <w:t>τιο.</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Βάση για τον υπολογισμό του ορίου</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Άρθρο 486 παράγραφοι 2 έως 4 του ΚΚΑ</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Εφαρμοστέο ποσοστό</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Άρθρο 486 παράγραφος 5 του ΚΚΑ</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Όριο</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Άρθρο 486 παράγραφοι 2 έως 5 του ΚΚΑ</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Ποσό που υπερβαίνει τα όρια για την αποδοχή του προϋφιστάμενου καθεστώτος</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Άρθρο 486 παράγραφοι 2 έως 5 του ΚΚΑ</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Συνολικό ποσό προϋφιστάμενων μέσων</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Το προς αναφορά ποσό ισούται με τα ποσά που αναφέρονται στις αντ</w:t>
            </w:r>
            <w:r>
              <w:rPr>
                <w:rStyle w:val="InstructionsTabelleText"/>
                <w:rFonts w:ascii="Times New Roman" w:hAnsi="Times New Roman"/>
                <w:sz w:val="24"/>
              </w:rPr>
              <w:t>ί</w:t>
            </w:r>
            <w:r>
              <w:rPr>
                <w:rStyle w:val="InstructionsTabelleText"/>
                <w:rFonts w:ascii="Times New Roman" w:hAnsi="Times New Roman"/>
                <w:sz w:val="24"/>
              </w:rPr>
              <w:t>στοιχες στήλες της γραμμής 060 του υποδείγματος CA 5.1.</w:t>
            </w:r>
          </w:p>
        </w:tc>
      </w:tr>
    </w:tbl>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pPr>
            <w:r>
              <w:t>Γραμμές</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Μέσα που έγιναν αποδεκτά ως προς το άρθρο 57 στοιχείο α) της οδηγίας 2006/48/ΕΚ</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Άρθρο 484 παράγραφος 3 του ΚΚΑ</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w:t>
            </w:r>
            <w:r>
              <w:rPr>
                <w:rStyle w:val="InstructionsTabelleText"/>
                <w:rFonts w:ascii="Times New Roman" w:hAnsi="Times New Roman"/>
                <w:sz w:val="24"/>
              </w:rPr>
              <w:t>α</w:t>
            </w:r>
            <w:r>
              <w:rPr>
                <w:rStyle w:val="InstructionsTabelleText"/>
                <w:rFonts w:ascii="Times New Roman" w:hAnsi="Times New Roman"/>
                <w:sz w:val="24"/>
              </w:rPr>
              <w:t>φοράς από την έκδοση μετοχών υπέρ το άρτιο.</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020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Μέσα που έγιναν αποδεκτά ως προς το άρθρο 57 στοιχείο γα) και ως προς το άρθρο 154 παράγραφοι 8 και 9 της οδηγίας 2006/48/ΕΚ, με την επιφύλαξη του ορίου του άρθρου 489</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Άρθρο 484 παράγραφος 4 του ΚΚΑ</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496C53"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Συνολικά μέσα χωρίς δικαίωμα αγοράς ή κίνητρο εξόφλησης</w:t>
            </w:r>
          </w:p>
          <w:p w:rsidR="002648B0" w:rsidRPr="000F1CEA"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Άρθρο 484 παράγραφος 4 και άρθρο 489 του ΚΚΑ</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w:t>
            </w:r>
            <w:r>
              <w:rPr>
                <w:rStyle w:val="InstructionsTabelleText"/>
                <w:rFonts w:ascii="Times New Roman" w:hAnsi="Times New Roman"/>
                <w:sz w:val="24"/>
              </w:rPr>
              <w:t>α</w:t>
            </w:r>
            <w:r>
              <w:rPr>
                <w:rStyle w:val="InstructionsTabelleText"/>
                <w:rFonts w:ascii="Times New Roman" w:hAnsi="Times New Roman"/>
                <w:sz w:val="24"/>
              </w:rPr>
              <w:t>φοράς από την έκδοση μετοχών υπέρ το άρτιο.</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Προϋφιστάμενα μέσα με δικαίωμα αγοράς και κίνητρο εξόφλ</w:t>
            </w:r>
            <w:r>
              <w:rPr>
                <w:rStyle w:val="InstructionsTabelleberschrift"/>
                <w:rFonts w:ascii="Times New Roman" w:hAnsi="Times New Roman"/>
                <w:sz w:val="24"/>
              </w:rPr>
              <w:t>η</w:t>
            </w:r>
            <w:r>
              <w:rPr>
                <w:rStyle w:val="InstructionsTabelleberschrift"/>
                <w:rFonts w:ascii="Times New Roman" w:hAnsi="Times New Roman"/>
                <w:sz w:val="24"/>
              </w:rPr>
              <w:t>σης</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Άρθρο 489 του ΚΚΑ</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 xml:space="preserve">Μέσα με δικαίωμα αγοράς που μπορεί να ασκηθεί μετά την </w:t>
            </w:r>
            <w:r>
              <w:rPr>
                <w:rStyle w:val="InstructionsTabelleberschrift"/>
                <w:rFonts w:ascii="Times New Roman" w:hAnsi="Times New Roman"/>
                <w:sz w:val="24"/>
              </w:rPr>
              <w:t>η</w:t>
            </w:r>
            <w:r>
              <w:rPr>
                <w:rStyle w:val="InstructionsTabelleberschrift"/>
                <w:rFonts w:ascii="Times New Roman" w:hAnsi="Times New Roman"/>
                <w:sz w:val="24"/>
              </w:rPr>
              <w:t>μερομηνία αναφοράς, και τα οποία πληρούν τις προϋποθέσεις του ά</w:t>
            </w:r>
            <w:r>
              <w:rPr>
                <w:rStyle w:val="InstructionsTabelleberschrift"/>
                <w:rFonts w:ascii="Times New Roman" w:hAnsi="Times New Roman"/>
                <w:sz w:val="24"/>
              </w:rPr>
              <w:t>ρ</w:t>
            </w:r>
            <w:r>
              <w:rPr>
                <w:rStyle w:val="InstructionsTabelleberschrift"/>
                <w:rFonts w:ascii="Times New Roman" w:hAnsi="Times New Roman"/>
                <w:sz w:val="24"/>
              </w:rPr>
              <w:t>θρου 52 του ΚΚΑ μετά την ημερομηνία πραγματικής ληκτότητας</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489 παράγραφος 3 και άρθρο 491 στοιχείο α) του ΚΚΑ</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w:t>
            </w:r>
            <w:r>
              <w:rPr>
                <w:rStyle w:val="InstructionsTabelleText"/>
                <w:rFonts w:ascii="Times New Roman" w:hAnsi="Times New Roman"/>
                <w:sz w:val="24"/>
              </w:rPr>
              <w:t>α</w:t>
            </w:r>
            <w:r>
              <w:rPr>
                <w:rStyle w:val="InstructionsTabelleText"/>
                <w:rFonts w:ascii="Times New Roman" w:hAnsi="Times New Roman"/>
                <w:sz w:val="24"/>
              </w:rPr>
              <w:t>φοράς από την έκδοση μετοχών υπέρ το άρτιο.</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 xml:space="preserve">Μέσα με δικαίωμα αγοράς που μπορεί να ασκηθεί μετά την </w:t>
            </w:r>
            <w:r>
              <w:rPr>
                <w:rStyle w:val="InstructionsTabelleberschrift"/>
                <w:rFonts w:ascii="Times New Roman" w:hAnsi="Times New Roman"/>
                <w:sz w:val="24"/>
              </w:rPr>
              <w:t>η</w:t>
            </w:r>
            <w:r>
              <w:rPr>
                <w:rStyle w:val="InstructionsTabelleberschrift"/>
                <w:rFonts w:ascii="Times New Roman" w:hAnsi="Times New Roman"/>
                <w:sz w:val="24"/>
              </w:rPr>
              <w:t>μερομηνία αναφοράς, και τα οποία δεν πληρούν τις προϋποθέσεις του άρθρου 52 του ΚΚΑ μετά την ημερομηνία πραγματικής ληκτότητας</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Άρθρο 489 παράγραφος 5 και άρθρο 491 στοιχείο α) του ΚΚΑ</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w:t>
            </w:r>
            <w:r>
              <w:rPr>
                <w:rStyle w:val="InstructionsTabelleText"/>
                <w:rFonts w:ascii="Times New Roman" w:hAnsi="Times New Roman"/>
                <w:sz w:val="24"/>
              </w:rPr>
              <w:t>α</w:t>
            </w:r>
            <w:r>
              <w:rPr>
                <w:rStyle w:val="InstructionsTabelleText"/>
                <w:rFonts w:ascii="Times New Roman" w:hAnsi="Times New Roman"/>
                <w:sz w:val="24"/>
              </w:rPr>
              <w:t>φοράς από την έκδοση μετοχών υπέρ το άρτιο.</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Μέσα με δικαίωμα αγοράς που μπορεί να ασκηθεί πριν από την ή την 20ή Ιουλίου 2011, και τα οποία δεν πληρούν τις προϋποθέσεις του άρθρου 52 του ΚΚΑ μετά την ημερομηνία πραγματικής ληκτότ</w:t>
            </w:r>
            <w:r>
              <w:rPr>
                <w:rStyle w:val="InstructionsTabelleberschrift"/>
                <w:rFonts w:ascii="Times New Roman" w:hAnsi="Times New Roman"/>
                <w:sz w:val="24"/>
              </w:rPr>
              <w:t>η</w:t>
            </w:r>
            <w:r>
              <w:rPr>
                <w:rStyle w:val="InstructionsTabelleberschrift"/>
                <w:rFonts w:ascii="Times New Roman" w:hAnsi="Times New Roman"/>
                <w:sz w:val="24"/>
              </w:rPr>
              <w:t>τας</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Άρθρο 489 παράγραφος 6 και άρθρο 491 στοιχείο γ) του ΚΚΑ</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w:t>
            </w:r>
            <w:r>
              <w:rPr>
                <w:rStyle w:val="InstructionsTabelleText"/>
                <w:rFonts w:ascii="Times New Roman" w:hAnsi="Times New Roman"/>
                <w:sz w:val="24"/>
              </w:rPr>
              <w:t>α</w:t>
            </w:r>
            <w:r>
              <w:rPr>
                <w:rStyle w:val="InstructionsTabelleText"/>
                <w:rFonts w:ascii="Times New Roman" w:hAnsi="Times New Roman"/>
                <w:sz w:val="24"/>
              </w:rPr>
              <w:t>φοράς από την έκδοση μετοχών υπέρ το άρτιο.</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Υπέρβαση του ορίου των προϋφιστάμενων μέσων CET1</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487 παράγραφος 1 του ΚΚΑ</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Η υπέρβαση του ορίου των προϋφιστάμενων μέσων CET1 δύναται να </w:t>
            </w:r>
            <w:r>
              <w:rPr>
                <w:rStyle w:val="InstructionsTabelleText"/>
                <w:rFonts w:ascii="Times New Roman" w:hAnsi="Times New Roman"/>
                <w:sz w:val="24"/>
              </w:rPr>
              <w:t>α</w:t>
            </w:r>
            <w:r>
              <w:rPr>
                <w:rStyle w:val="InstructionsTabelleText"/>
                <w:rFonts w:ascii="Times New Roman" w:hAnsi="Times New Roman"/>
                <w:sz w:val="24"/>
              </w:rPr>
              <w:t>ντιμετωπίζεται ως μέσα που μπορούν να αντιμετωπιστούν ως προϋφιστ</w:t>
            </w:r>
            <w:r>
              <w:rPr>
                <w:rStyle w:val="InstructionsTabelleText"/>
                <w:rFonts w:ascii="Times New Roman" w:hAnsi="Times New Roman"/>
                <w:sz w:val="24"/>
              </w:rPr>
              <w:t>ά</w:t>
            </w:r>
            <w:r>
              <w:rPr>
                <w:rStyle w:val="InstructionsTabelleText"/>
                <w:rFonts w:ascii="Times New Roman" w:hAnsi="Times New Roman"/>
                <w:sz w:val="24"/>
              </w:rPr>
              <w:t>μενα μέσα ΑΤ1.</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Στοιχεία που έγιναν αποδεκτά ως προς το άρθρο 57 στοιχεία ε), στ), ζ) ή η) της οδηγίας 2006/48/ΕΚ, με την επιφύλαξη του ορίου του άρθρου 490</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Άρθρο 484 παράγραφος 5 του ΚΚΑ</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Συνολικά στοιχεία χωρίς κίνητρο εξόφλησης</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Άρθρο 490 του ΚΚΑ</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110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Προϋφιστάμενα στοιχεία με κίνητρο εξόφλησης</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Άρθρο 490 του ΚΚΑ</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Στοιχεία με δικαίωμα αγοράς που μπορεί να ασκηθεί μετά την ημερομηνία αναφοράς, και τα οποία πληρούν τις προϋποθέσεις του άρθρου 63 του ΚΚΑ μετά την ημερομηνία πραγματικής ληκτότητας</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Άρθρο 490 παράγραφος 3 και άρθρο 491 στοιχείο α) του ΚΚΑ</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w:t>
            </w:r>
            <w:r>
              <w:rPr>
                <w:rStyle w:val="InstructionsTabelleText"/>
                <w:rFonts w:ascii="Times New Roman" w:hAnsi="Times New Roman"/>
                <w:sz w:val="24"/>
              </w:rPr>
              <w:t>α</w:t>
            </w:r>
            <w:r>
              <w:rPr>
                <w:rStyle w:val="InstructionsTabelleText"/>
                <w:rFonts w:ascii="Times New Roman" w:hAnsi="Times New Roman"/>
                <w:sz w:val="24"/>
              </w:rPr>
              <w:t>φοράς από την έκδοση μετοχών υπέρ το άρτιο.</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Στοιχεία με δικαίωμα αγοράς που μπορεί να ασκηθεί μετά την ημερομηνία αναφοράς, και τα οποία δεν πληρούν τις προϋποθέσεις του άρθρου 63 του ΚΚΑ μετά την ημερομηνία πραγματικής ληκτότητας</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Άρθρο 490 παράγραφος 5 και άρθρο 491 στοιχείο α) του ΚΚΑ</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w:t>
            </w:r>
            <w:r>
              <w:rPr>
                <w:rStyle w:val="InstructionsTabelleText"/>
                <w:rFonts w:ascii="Times New Roman" w:hAnsi="Times New Roman"/>
                <w:sz w:val="24"/>
              </w:rPr>
              <w:t>α</w:t>
            </w:r>
            <w:r>
              <w:rPr>
                <w:rStyle w:val="InstructionsTabelleText"/>
                <w:rFonts w:ascii="Times New Roman" w:hAnsi="Times New Roman"/>
                <w:sz w:val="24"/>
              </w:rPr>
              <w:t>φοράς από την έκδοση μετοχών υπέρ το άρτιο.</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496C53"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Στοιχεία με δικαίωμα αγοράς που μπορεί να ασκηθεί πριν από την ή την 20ή Ιουλίου 2011, και τα οποία δεν πληρούν τις προϋποθ</w:t>
            </w:r>
            <w:r>
              <w:rPr>
                <w:rStyle w:val="InstructionsTabelleberschrift"/>
                <w:rFonts w:ascii="Times New Roman" w:hAnsi="Times New Roman"/>
                <w:sz w:val="24"/>
              </w:rPr>
              <w:t>έ</w:t>
            </w:r>
            <w:r>
              <w:rPr>
                <w:rStyle w:val="InstructionsTabelleberschrift"/>
                <w:rFonts w:ascii="Times New Roman" w:hAnsi="Times New Roman"/>
                <w:sz w:val="24"/>
              </w:rPr>
              <w:t>σεις του άρθρου 63 του ΚΚΑ μετά την ημερομηνία πραγματικής λ</w:t>
            </w:r>
            <w:r>
              <w:rPr>
                <w:rStyle w:val="InstructionsTabelleberschrift"/>
                <w:rFonts w:ascii="Times New Roman" w:hAnsi="Times New Roman"/>
                <w:sz w:val="24"/>
              </w:rPr>
              <w:t>η</w:t>
            </w:r>
            <w:r>
              <w:rPr>
                <w:rStyle w:val="InstructionsTabelleberschrift"/>
                <w:rFonts w:ascii="Times New Roman" w:hAnsi="Times New Roman"/>
                <w:sz w:val="24"/>
              </w:rPr>
              <w:t>κτότητας</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Άρθρο 490 παράγραφος 6 και άρθρο 491 στοιχείο γ) του ΚΚΑ </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w:t>
            </w:r>
            <w:r>
              <w:rPr>
                <w:rStyle w:val="InstructionsTabelleText"/>
                <w:rFonts w:ascii="Times New Roman" w:hAnsi="Times New Roman"/>
                <w:sz w:val="24"/>
              </w:rPr>
              <w:t>α</w:t>
            </w:r>
            <w:r>
              <w:rPr>
                <w:rStyle w:val="InstructionsTabelleText"/>
                <w:rFonts w:ascii="Times New Roman" w:hAnsi="Times New Roman"/>
                <w:sz w:val="24"/>
              </w:rPr>
              <w:t>φοράς από την έκδοση μετοχών υπέρ το άρτιο.</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Υπέρβαση του ορίου των προϋφιστάμενων μέσων AT1</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Άρθρο 487 παράγραφος 2 του ΚΚΑ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Η υπέρβαση του ορίου των προϋφιστάμενων μέσων AT1 δύναται να αντ</w:t>
            </w:r>
            <w:r>
              <w:rPr>
                <w:rStyle w:val="InstructionsTabelleText"/>
                <w:rFonts w:ascii="Times New Roman" w:hAnsi="Times New Roman"/>
                <w:sz w:val="24"/>
              </w:rPr>
              <w:t>ι</w:t>
            </w:r>
            <w:r>
              <w:rPr>
                <w:rStyle w:val="InstructionsTabelleText"/>
                <w:rFonts w:ascii="Times New Roman" w:hAnsi="Times New Roman"/>
                <w:sz w:val="24"/>
              </w:rPr>
              <w:t>μετωπίζεται ως μέσα που μπορούν να αντιμετωπιστούν ως προϋφιστάμενα μέσα Τ2.</w:t>
            </w:r>
          </w:p>
        </w:tc>
      </w:tr>
    </w:tbl>
    <w:p w:rsidR="00464F34" w:rsidRPr="00392FFD" w:rsidRDefault="00464F34">
      <w:pPr>
        <w:spacing w:before="0" w:after="0"/>
        <w:jc w:val="left"/>
        <w:rPr>
          <w:rFonts w:ascii="Times New Roman" w:hAnsi="Times New Roman"/>
          <w:sz w:val="24"/>
          <w:u w:val="single"/>
        </w:rPr>
      </w:pPr>
      <w:bookmarkStart w:id="92" w:name="_Toc239157372"/>
      <w:bookmarkStart w:id="93" w:name="_Toc295829844"/>
      <w:bookmarkStart w:id="94" w:name="_Toc330394185"/>
      <w:bookmarkEnd w:id="0"/>
      <w:bookmarkEnd w:id="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95" w:name="_Toc360188339"/>
      <w:bookmarkStart w:id="96" w:name="_Toc516210622"/>
      <w:bookmarkStart w:id="97" w:name="_Toc473560887"/>
      <w:bookmarkEnd w:id="92"/>
      <w:bookmarkEnd w:id="93"/>
      <w:bookmarkEnd w:id="94"/>
      <w:r>
        <w:rPr>
          <w:rFonts w:ascii="Times New Roman" w:hAnsi="Times New Roman"/>
          <w:sz w:val="24"/>
          <w:u w:val="none"/>
        </w:rPr>
        <w:t>2.</w:t>
      </w:r>
      <w:r>
        <w:tab/>
      </w:r>
      <w:r>
        <w:rPr>
          <w:rFonts w:ascii="Times New Roman" w:hAnsi="Times New Roman"/>
          <w:sz w:val="24"/>
        </w:rPr>
        <w:t xml:space="preserve">ΦΕΡΕΓΓΥΟΤΗΤΑ ΟΜΙΛΟΥ: ΠΛΗΡΟΦΟΡΙΕΣ ΣΧΕΤΙΚΑ ΜΕ ΣΥΝΔΕΔΕΜΕΝΕΣ </w:t>
      </w:r>
      <w:r>
        <w:rPr>
          <w:rFonts w:ascii="Times New Roman" w:hAnsi="Times New Roman"/>
          <w:sz w:val="24"/>
        </w:rPr>
        <w:t>Ε</w:t>
      </w:r>
      <w:r>
        <w:rPr>
          <w:rFonts w:ascii="Times New Roman" w:hAnsi="Times New Roman"/>
          <w:sz w:val="24"/>
        </w:rPr>
        <w:t>ΠΙΧΕΙΡΗΣΕΙΣ (GS</w:t>
      </w:r>
      <w:bookmarkEnd w:id="95"/>
      <w:r>
        <w:rPr>
          <w:rFonts w:ascii="Times New Roman" w:hAnsi="Times New Roman"/>
          <w:sz w:val="24"/>
        </w:rPr>
        <w:t>)</w:t>
      </w:r>
      <w:bookmarkEnd w:id="96"/>
      <w:bookmarkEnd w:id="9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516210623"/>
      <w:bookmarkStart w:id="104" w:name="_Toc473560888"/>
      <w:r>
        <w:rPr>
          <w:rFonts w:ascii="Times New Roman" w:hAnsi="Times New Roman"/>
          <w:sz w:val="24"/>
          <w:u w:val="none"/>
        </w:rPr>
        <w:t>2.1.</w:t>
      </w:r>
      <w:r>
        <w:tab/>
      </w:r>
      <w:r>
        <w:rPr>
          <w:rFonts w:ascii="Times New Roman" w:hAnsi="Times New Roman"/>
          <w:sz w:val="24"/>
        </w:rPr>
        <w:t>Γενικές παρατηρήσεις</w:t>
      </w:r>
      <w:bookmarkEnd w:id="98"/>
      <w:bookmarkEnd w:id="99"/>
      <w:bookmarkEnd w:id="100"/>
      <w:bookmarkEnd w:id="101"/>
      <w:bookmarkEnd w:id="102"/>
      <w:bookmarkEnd w:id="103"/>
      <w:bookmarkEnd w:id="104"/>
    </w:p>
    <w:p w:rsidR="00464F34" w:rsidRPr="00392FFD" w:rsidRDefault="00125707" w:rsidP="00C37B29">
      <w:pPr>
        <w:pStyle w:val="InstructionsText2"/>
        <w:numPr>
          <w:ilvl w:val="0"/>
          <w:numId w:val="0"/>
        </w:numPr>
        <w:ind w:left="993"/>
      </w:pPr>
      <w:r>
        <w:t>26.</w:t>
      </w:r>
      <w:r>
        <w:tab/>
        <w:t>Τα υποδείγματα C 06.01 και C 06.02 αναφέρονται εάν οι απαιτήσεις ιδίων κ</w:t>
      </w:r>
      <w:r>
        <w:t>ε</w:t>
      </w:r>
      <w:r>
        <w:t>φαλαίων υπολογίζονται σε ενοποιημένη βάση. Το συγκεκριμένο υπόδειγμα αποτ</w:t>
      </w:r>
      <w:r>
        <w:t>ε</w:t>
      </w:r>
      <w:r>
        <w:t>λείται από τέσσερα μέρη για τη συλλογή διαφόρων πληροφοριών για όλες τις επ</w:t>
      </w:r>
      <w:r>
        <w:t>ι</w:t>
      </w:r>
      <w:r>
        <w:t>μέρους οντότητες (συμπεριλαμβανομένου του αναφέροντος ιδρύματος) που περ</w:t>
      </w:r>
      <w:r>
        <w:t>ι</w:t>
      </w:r>
      <w:r>
        <w:t>λαμβάνονται στο πεδίο εφαρμογής της ενοποίησης.</w:t>
      </w:r>
    </w:p>
    <w:p w:rsidR="00C93697" w:rsidRPr="000F1CEA" w:rsidRDefault="00125707" w:rsidP="00C37B29">
      <w:pPr>
        <w:pStyle w:val="InstructionsText2"/>
        <w:numPr>
          <w:ilvl w:val="0"/>
          <w:numId w:val="0"/>
        </w:numPr>
        <w:ind w:left="993"/>
      </w:pPr>
      <w:r>
        <w:t>α)</w:t>
      </w:r>
      <w:r>
        <w:tab/>
        <w:t>Οντότητες εντός του πεδίου εφαρμογής της ενοποίησης·</w:t>
      </w:r>
    </w:p>
    <w:p w:rsidR="00C93697" w:rsidRPr="000F1CEA" w:rsidRDefault="00125707" w:rsidP="00C37B29">
      <w:pPr>
        <w:pStyle w:val="InstructionsText2"/>
        <w:numPr>
          <w:ilvl w:val="0"/>
          <w:numId w:val="0"/>
        </w:numPr>
        <w:ind w:left="993"/>
      </w:pPr>
      <w:r>
        <w:t>β)</w:t>
      </w:r>
      <w:r>
        <w:tab/>
        <w:t>Λεπτομερείς πληροφορίες για τη φερεγγυότητα του ομίλου·</w:t>
      </w:r>
    </w:p>
    <w:p w:rsidR="00C93697" w:rsidRPr="000F1CEA" w:rsidRDefault="00125707" w:rsidP="00C37B29">
      <w:pPr>
        <w:pStyle w:val="InstructionsText2"/>
        <w:numPr>
          <w:ilvl w:val="0"/>
          <w:numId w:val="0"/>
        </w:numPr>
        <w:ind w:left="993"/>
      </w:pPr>
      <w:r>
        <w:lastRenderedPageBreak/>
        <w:t>γ)</w:t>
      </w:r>
      <w:r>
        <w:tab/>
        <w:t>Πληροφορίες σχετικά με τη συνεισφορά μεμονωμένων οντοτήτων στη φερε</w:t>
      </w:r>
      <w:r>
        <w:t>γ</w:t>
      </w:r>
      <w:r>
        <w:t>γυότητα του ομίλου·</w:t>
      </w:r>
    </w:p>
    <w:p w:rsidR="00C93697" w:rsidRPr="000F1CEA" w:rsidRDefault="00125707" w:rsidP="00C37B29">
      <w:pPr>
        <w:pStyle w:val="InstructionsText2"/>
        <w:numPr>
          <w:ilvl w:val="0"/>
          <w:numId w:val="0"/>
        </w:numPr>
        <w:ind w:left="993"/>
      </w:pPr>
      <w:r>
        <w:t>δ)</w:t>
      </w:r>
      <w:r>
        <w:tab/>
        <w:t>Πληροφορίες σχετικά με κεφαλαιακά αποθέματα ασφαλείας.</w:t>
      </w:r>
    </w:p>
    <w:p w:rsidR="00464F34" w:rsidRPr="00392FFD" w:rsidRDefault="00125707" w:rsidP="00C37B29">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sz w:val="24"/>
        </w:rPr>
        <w:t>27.</w:t>
      </w:r>
      <w:r>
        <w:tab/>
        <w:t>Τα ιδρύματα</w:t>
      </w:r>
      <w:r>
        <w:rPr>
          <w:rStyle w:val="InstructionsTabelleText"/>
          <w:rFonts w:ascii="Times New Roman" w:hAnsi="Times New Roman"/>
          <w:sz w:val="24"/>
        </w:rPr>
        <w:t xml:space="preserve"> που δεν οφείλουν να εφαρμόζουν απαιτήσεις σύμφωνα με το ά</w:t>
      </w:r>
      <w:r>
        <w:rPr>
          <w:rStyle w:val="InstructionsTabelleText"/>
          <w:rFonts w:ascii="Times New Roman" w:hAnsi="Times New Roman"/>
          <w:sz w:val="24"/>
        </w:rPr>
        <w:t>ρ</w:t>
      </w:r>
      <w:r>
        <w:rPr>
          <w:rStyle w:val="InstructionsTabelleText"/>
          <w:rFonts w:ascii="Times New Roman" w:hAnsi="Times New Roman"/>
          <w:sz w:val="24"/>
        </w:rPr>
        <w:t>θρο 7 του ΚΚΑ αναφέρουν μόνο τις στήλες</w:t>
      </w:r>
      <w:r>
        <w:t xml:space="preserve"> 010</w:t>
      </w:r>
      <w:r>
        <w:rPr>
          <w:rStyle w:val="InstructionsTabelleText"/>
          <w:rFonts w:ascii="Times New Roman" w:hAnsi="Times New Roman"/>
          <w:sz w:val="24"/>
        </w:rPr>
        <w:t xml:space="preserve"> έως 060 και 250 έως 400.</w:t>
      </w:r>
    </w:p>
    <w:p w:rsidR="004C0508" w:rsidRPr="00392FFD" w:rsidRDefault="00125707" w:rsidP="00C37B29">
      <w:pPr>
        <w:pStyle w:val="InstructionsText2"/>
        <w:numPr>
          <w:ilvl w:val="0"/>
          <w:numId w:val="0"/>
        </w:numPr>
        <w:ind w:left="993"/>
      </w:pPr>
      <w:r>
        <w:t>28.</w:t>
      </w:r>
      <w:r>
        <w:tab/>
        <w:t>Τα αναφερόμενα στοιχεία λαμβάνουν υπόψη όλες τις εφαρμοστέες μεταβατ</w:t>
      </w:r>
      <w:r>
        <w:t>ι</w:t>
      </w:r>
      <w:r>
        <w:t>κές διατάξεις του ΚΚΑ, οι οποίες ισχύουν κατά την αντίστοιχη ημερομηνία υποβ</w:t>
      </w:r>
      <w:r>
        <w:t>ο</w:t>
      </w:r>
      <w:r>
        <w:t>λής αναφοράς.</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516210624"/>
      <w:bookmarkStart w:id="107" w:name="_Toc473560889"/>
      <w:r>
        <w:rPr>
          <w:rFonts w:ascii="Times New Roman" w:hAnsi="Times New Roman"/>
          <w:sz w:val="24"/>
          <w:u w:val="none"/>
        </w:rPr>
        <w:t>2.2.</w:t>
      </w:r>
      <w:r>
        <w:tab/>
      </w:r>
      <w:r>
        <w:rPr>
          <w:rFonts w:ascii="Times New Roman" w:hAnsi="Times New Roman"/>
          <w:sz w:val="24"/>
        </w:rPr>
        <w:t>Λεπτομερείς πληροφορίες για τη φερεγγυότητα του ομίλου·</w:t>
      </w:r>
      <w:bookmarkEnd w:id="105"/>
      <w:bookmarkEnd w:id="106"/>
      <w:bookmarkEnd w:id="107"/>
    </w:p>
    <w:p w:rsidR="00464F34" w:rsidRPr="00392FFD" w:rsidRDefault="00125707" w:rsidP="00C37B29">
      <w:pPr>
        <w:pStyle w:val="InstructionsText2"/>
        <w:numPr>
          <w:ilvl w:val="0"/>
          <w:numId w:val="0"/>
        </w:numPr>
        <w:ind w:left="993"/>
      </w:pPr>
      <w:r>
        <w:t>29.</w:t>
      </w:r>
      <w:r>
        <w:tab/>
        <w:t>Το δεύτερο μέρος του παρόντος υποδείγματος (λεπτομερείς πληροφορίες για τη φερεγγυότητα του ομίλου) στις στήλες 070 έως 210 αποσκοπεί στη συλλογή πληροφοριών για πιστωτικά και άλλα ρυθμιζόμενα χρηματοδοτικά ιδρύματα που υπόκεινται πραγματικά σε συγκεκριμένες απαιτήσεις φερεγγυότητας σε ατομική βάση. Προβλέπει, για καθεμία από τις οντότητες αυτές που περιλαμβάνονται στο πεδίο εφαρμογής της υποβολής αναφοράς, τις απαιτήσεις ιδίων κεφαλαίων για κ</w:t>
      </w:r>
      <w:r>
        <w:t>ά</w:t>
      </w:r>
      <w:r>
        <w:t xml:space="preserve">θε κατηγορία κινδύνου και τα ίδια κεφάλαια για σκοπούς φερεγγυότητας. </w:t>
      </w:r>
    </w:p>
    <w:p w:rsidR="00464F34" w:rsidRPr="00392FFD" w:rsidRDefault="00125707" w:rsidP="00C37B29">
      <w:pPr>
        <w:pStyle w:val="InstructionsText2"/>
        <w:numPr>
          <w:ilvl w:val="0"/>
          <w:numId w:val="0"/>
        </w:numPr>
        <w:ind w:left="993"/>
      </w:pPr>
      <w:r>
        <w:t>30.</w:t>
      </w:r>
      <w:r>
        <w:tab/>
        <w:t>Στην περίπτωση αναλογικής ενοποίησης συμμετοχών, τα αριθμητικά στοιχεία σχετικά με τις απαιτήσεις ιδίων κεφαλαίων και τα ίδια κεφάλαια αντανακλούν τα αντίστοιχα αναλογικά ποσά.</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516210625"/>
      <w:bookmarkStart w:id="110" w:name="_Toc473560890"/>
      <w:r>
        <w:rPr>
          <w:rFonts w:ascii="Times New Roman" w:hAnsi="Times New Roman"/>
          <w:sz w:val="24"/>
          <w:u w:val="none"/>
        </w:rPr>
        <w:t>2.3.</w:t>
      </w:r>
      <w:r>
        <w:tab/>
      </w:r>
      <w:r>
        <w:rPr>
          <w:rFonts w:ascii="Times New Roman" w:hAnsi="Times New Roman"/>
          <w:sz w:val="24"/>
        </w:rPr>
        <w:t>Πληροφορίες σχετικά με τη συνεισφορά μεμονωμένων οντοτήτων στη φερεγγυότητα του ομίλου</w:t>
      </w:r>
      <w:bookmarkEnd w:id="108"/>
      <w:bookmarkEnd w:id="109"/>
      <w:bookmarkEnd w:id="110"/>
    </w:p>
    <w:p w:rsidR="00464F34" w:rsidRPr="00392FFD" w:rsidRDefault="00125707" w:rsidP="00C37B29">
      <w:pPr>
        <w:pStyle w:val="InstructionsText2"/>
        <w:numPr>
          <w:ilvl w:val="0"/>
          <w:numId w:val="0"/>
        </w:numPr>
        <w:ind w:left="993"/>
      </w:pPr>
      <w:r>
        <w:t>31.</w:t>
      </w:r>
      <w:r>
        <w:tab/>
        <w:t>Στόχος του τρίτου μέρους του παρόντος υποδείγματος (πληροφορίες σχετικά με τις συνεισφορές στη φερεγγυότητα του ομίλου όλων των οντοτήτων που εμπ</w:t>
      </w:r>
      <w:r>
        <w:t>ί</w:t>
      </w:r>
      <w:r>
        <w:t>πτουν στο πεδίο εφαρμογής της ενοποίησης σύμφωνα με τον ΚΚΑ), συμπεριλα</w:t>
      </w:r>
      <w:r>
        <w:t>μ</w:t>
      </w:r>
      <w:r>
        <w:t xml:space="preserve">βανομένων όσων δεν υπόκεινται σε συγκεκριμένες απαιτήσεις φερεγγυότητας σε ατομική βάση, στις στήλες 250 έως 400, είναι να προσδιοριστούν οι οντότητες </w:t>
      </w:r>
      <w:r>
        <w:t>ε</w:t>
      </w:r>
      <w:r>
        <w:t xml:space="preserve">ντός του ομίλου που παράγουν τους κινδύνους και αντλούν ίδια κεφάλαια από την αγορά, βάσει δεδομένων που είναι άμεσα διαθέσιμα ή δύναται να τύχουν εύκολα επεξεργασίας, χωρίς να απαιτείται να ανασυγκροτηθεί ο δείκτης κεφαλαίου σε </w:t>
      </w:r>
      <w:r>
        <w:t>α</w:t>
      </w:r>
      <w:r>
        <w:t xml:space="preserve">τομική ή υποενοποιημένη βάση. Σε επίπεδο οντότητας, αμφότερα τα αριθμητικά στοιχεία για τους κινδύνους και τα ίδια κεφάλαια συνεισφέρουν στα αριθμητικά στοιχεία του ομίλου και δεν αποτελούν στοιχεία δείκτη φερεγγυότητας σε ατομική βάση και, επομένως, δεν πρέπει να συγκρίνονται μεταξύ τους. </w:t>
      </w:r>
    </w:p>
    <w:p w:rsidR="00464F34" w:rsidRPr="00392FFD" w:rsidRDefault="00125707" w:rsidP="00C37B29">
      <w:pPr>
        <w:pStyle w:val="InstructionsText2"/>
        <w:numPr>
          <w:ilvl w:val="0"/>
          <w:numId w:val="0"/>
        </w:numPr>
        <w:ind w:left="993"/>
      </w:pPr>
      <w:r>
        <w:t>32.</w:t>
      </w:r>
      <w:r>
        <w:tab/>
        <w:t>Το τρίτο μέρος περιλαμβάνει επίσης τα ποσά των δικαιωμάτων μειοψηφίας, του αποδεκτού κεφαλαίου ΑΤ1 και του αποδεκτού κεφαλαίου Τ2 που είναι επιλ</w:t>
      </w:r>
      <w:r>
        <w:t>έ</w:t>
      </w:r>
      <w:r>
        <w:t>ξιμα στα ενοποιημένα ίδια κεφάλαια.</w:t>
      </w:r>
    </w:p>
    <w:p w:rsidR="00464F34" w:rsidRPr="00392FFD" w:rsidRDefault="00125707" w:rsidP="00C37B29">
      <w:pPr>
        <w:pStyle w:val="InstructionsText2"/>
        <w:numPr>
          <w:ilvl w:val="0"/>
          <w:numId w:val="0"/>
        </w:numPr>
        <w:ind w:left="993"/>
      </w:pPr>
      <w:r>
        <w:t>33.</w:t>
      </w:r>
      <w:r>
        <w:tab/>
        <w:t>Δεδομένου ότι αυτό το τρίτο μέρος του υποδείγματος αναφέρεται σε «συνε</w:t>
      </w:r>
      <w:r>
        <w:t>ι</w:t>
      </w:r>
      <w:r>
        <w:t>σφορές», τα προς αναφορά αριθμητικά στοιχεία διαφέρουν, κατά περίπτωση, από τα αριθμητικά στοιχεία που αναφέρονται στις στήλες σχετικά με τις λεπτομερείς πληροφορίες για τη φερεγγυότητα του ομίλου.</w:t>
      </w:r>
    </w:p>
    <w:p w:rsidR="00464F34" w:rsidRPr="00392FFD" w:rsidRDefault="00125707" w:rsidP="00C37B29">
      <w:pPr>
        <w:pStyle w:val="InstructionsText2"/>
        <w:numPr>
          <w:ilvl w:val="0"/>
          <w:numId w:val="0"/>
        </w:numPr>
        <w:ind w:left="993"/>
      </w:pPr>
      <w:r>
        <w:lastRenderedPageBreak/>
        <w:t>34.</w:t>
      </w:r>
      <w:r>
        <w:tab/>
        <w:t>Η αρχή είναι να διαγράφονται τα αμοιβαία ανοίγματα εντός των ίδιων ομίλων κατά τρόπο ομοιογενή, τόσο σε όρους κινδύνων όσο και σε όρους ιδίων κεφαλα</w:t>
      </w:r>
      <w:r>
        <w:t>ί</w:t>
      </w:r>
      <w:r>
        <w:t xml:space="preserve">ων, ώστε να καλύπτονται τα ποσά που αναφέρονται στο ενοποιημένο υπόδειγμα CA του ομίλου προσθέτοντας τα ποσά που αναφέρονται για κάθε οντότητα στο </w:t>
      </w:r>
      <w:r>
        <w:t>υ</w:t>
      </w:r>
      <w:r>
        <w:t xml:space="preserve">πόδειγμα «Φερεγγυότητα ομίλου». Στις περιπτώσεις που δεν πραγματοποιείται </w:t>
      </w:r>
      <w:r>
        <w:t>υ</w:t>
      </w:r>
      <w:r>
        <w:t>πέρβαση του κατώτατου ορίου 1 %, δεν είναι δυνατή άμεση σύνδεση με το υπ</w:t>
      </w:r>
      <w:r>
        <w:t>ό</w:t>
      </w:r>
      <w:r>
        <w:t>δειγμα CA.</w:t>
      </w:r>
    </w:p>
    <w:p w:rsidR="00464F34" w:rsidRPr="00392FFD" w:rsidRDefault="00125707" w:rsidP="00C37B29">
      <w:pPr>
        <w:pStyle w:val="InstructionsText2"/>
        <w:numPr>
          <w:ilvl w:val="0"/>
          <w:numId w:val="0"/>
        </w:numPr>
        <w:ind w:left="993"/>
      </w:pPr>
      <w:r>
        <w:t>35.</w:t>
      </w:r>
      <w:r>
        <w:tab/>
        <w:t>Τα ιδρύματα καθορίζουν την καταλληλότερη μέθοδο ανάλυσης μεταξύ των οντοτήτων, ώστε να λαμβάνουν υπόψη τις πιθανές επιπτώσεις της διαφοροποίησης του κινδύνου αγοράς και του λειτουργικού κινδύνου.</w:t>
      </w:r>
    </w:p>
    <w:p w:rsidR="00464F34" w:rsidRPr="00392FFD" w:rsidRDefault="00125707" w:rsidP="00C37B29">
      <w:pPr>
        <w:pStyle w:val="InstructionsText2"/>
        <w:numPr>
          <w:ilvl w:val="0"/>
          <w:numId w:val="0"/>
        </w:numPr>
        <w:ind w:left="993"/>
      </w:pPr>
      <w:r>
        <w:t>36.</w:t>
      </w:r>
      <w:r>
        <w:tab/>
        <w:t>Είναι δυνατόν ένας ενοποιημένος όμιλος να περιλαμβάνεται εντός ενός άλλου ενοποιημένου ομίλου. Αυτό σημαίνει ότι οι οντότητες εντός υποομάδας αναφέρ</w:t>
      </w:r>
      <w:r>
        <w:t>ο</w:t>
      </w:r>
      <w:r>
        <w:t>νται για κάθε οντότητα χωριστά στη «Φερεγγυότητα ομίλου» (GS) ολόκληρου του ομίλου, ακόμη και αν η ίδια η υποομάδα υπόκειται σε απαιτήσεις αναφοράς. Εάν η υποομάδα υπόκειται σε απαιτήσεις αναφοράς, αναφέρει επίσης το υπόδειγμα GS για κάθε οντότητα χωριστά, μολονότι τα στοιχεία αυτά περιλαμβάνονται σε υπ</w:t>
      </w:r>
      <w:r>
        <w:t>ό</w:t>
      </w:r>
      <w:r>
        <w:t xml:space="preserve">δειγμα GS ανώτερου ενοποιημένου ομίλου. </w:t>
      </w:r>
    </w:p>
    <w:p w:rsidR="00464F34" w:rsidRPr="00392FFD" w:rsidRDefault="00125707" w:rsidP="00C37B29">
      <w:pPr>
        <w:pStyle w:val="InstructionsText2"/>
        <w:numPr>
          <w:ilvl w:val="0"/>
          <w:numId w:val="0"/>
        </w:numPr>
        <w:ind w:left="993"/>
      </w:pPr>
      <w:r>
        <w:t>37.</w:t>
      </w:r>
      <w:r>
        <w:tab/>
        <w:t>Ένα ίδρυμα παρέχει στοιχεία της συνεισφοράς μιας οντότητας, όταν η συνε</w:t>
      </w:r>
      <w:r>
        <w:t>ι</w:t>
      </w:r>
      <w:r>
        <w:t>σφορά της στο συνολικό ποσό ανοίγματος στον κίνδυνο υπερβαίνει το 1 % του σ</w:t>
      </w:r>
      <w:r>
        <w:t>υ</w:t>
      </w:r>
      <w:r>
        <w:t xml:space="preserve">νολικού ποσού ανοίγματος στον κίνδυνο του ομίλου ή όταν η συνεισφορά της στα συνολικά ίδια κεφάλαια υπερβαίνει το 1 % των συνολικών ιδίων κεφαλαίων του ομίλου. Αυτό το κατώτατο όριο δεν ισχύει στην περίπτωση θυγατρικών ή </w:t>
      </w:r>
      <w:proofErr w:type="spellStart"/>
      <w:r>
        <w:t>υπο</w:t>
      </w:r>
      <w:proofErr w:type="spellEnd"/>
      <w:r>
        <w:t>-ομίλων που παρέχουν ίδια κεφάλαια (υπό μορφή δικαιωμάτων μειοψηφίας ή απ</w:t>
      </w:r>
      <w:r>
        <w:t>ο</w:t>
      </w:r>
      <w:r>
        <w:t>δεκτών μέσων ΑΤ1 ή Τ2 που περιλαμβάνονται στα ίδια κεφάλαια) στον όμιλο.</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1" w:name="_Toc516210626"/>
      <w:bookmarkStart w:id="112" w:name="_Toc473560891"/>
      <w:r>
        <w:rPr>
          <w:rFonts w:ascii="Times New Roman" w:hAnsi="Times New Roman"/>
          <w:sz w:val="24"/>
          <w:u w:val="none"/>
        </w:rPr>
        <w:t>2.4.</w:t>
      </w:r>
      <w:r>
        <w:tab/>
      </w:r>
      <w:r>
        <w:rPr>
          <w:rFonts w:ascii="Times New Roman" w:hAnsi="Times New Roman"/>
          <w:sz w:val="24"/>
        </w:rPr>
        <w:t>C 06.01 – ΦΕΡΕΓΓΥΟΤΗΤΑ ΟΜΙΛΟΥ: ΠΛΗΡΟΦΟΡΙΕΣ ΣΧΕΤΙΚΑ ΜΕ ΣΥΝΔ</w:t>
      </w:r>
      <w:r>
        <w:rPr>
          <w:rFonts w:ascii="Times New Roman" w:hAnsi="Times New Roman"/>
          <w:sz w:val="24"/>
        </w:rPr>
        <w:t>Ε</w:t>
      </w:r>
      <w:r>
        <w:rPr>
          <w:rFonts w:ascii="Times New Roman" w:hAnsi="Times New Roman"/>
          <w:sz w:val="24"/>
        </w:rPr>
        <w:t xml:space="preserve">ΔΕΜΕΝΕΣ ΕΠΙΧΕΙΡΗΣΕΙΣ – Σύνολο (GS </w:t>
      </w:r>
      <w:proofErr w:type="spellStart"/>
      <w:r>
        <w:rPr>
          <w:rFonts w:ascii="Times New Roman" w:hAnsi="Times New Roman"/>
          <w:sz w:val="24"/>
        </w:rPr>
        <w:t>Total</w:t>
      </w:r>
      <w:proofErr w:type="spellEnd"/>
      <w:r>
        <w:rPr>
          <w:rFonts w:ascii="Times New Roman" w:hAnsi="Times New Roman"/>
          <w:sz w:val="24"/>
        </w:rPr>
        <w:t>)</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Στήλες</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Οδηγίες</w:t>
            </w:r>
          </w:p>
        </w:tc>
      </w:tr>
      <w:tr w:rsidR="00D85AC7" w:rsidRPr="00392FFD" w:rsidTr="00672D2A">
        <w:tc>
          <w:tcPr>
            <w:tcW w:w="1188" w:type="dxa"/>
          </w:tcPr>
          <w:p w:rsidR="00D85AC7" w:rsidRPr="00392FFD"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ΟΝΤΟΤΗΤΕΣ ΕΝΤΟΣ ΤΟΥ ΠΕΔΙΟΥ ΕΦΑΡΜΟΓΗΣ ΤΗΣ ΕΝΟΠΟΙΗΣΗΣ</w:t>
            </w:r>
          </w:p>
          <w:p w:rsidR="00D85AC7" w:rsidRPr="00392FFD"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Βλέπε οδηγίες για C 06.02</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ΚΕΦΑΛΑΙΑΚΑ ΑΠΟΘΕΜΑΤΑ ΑΣΦΑΛΕΙΑΣ</w:t>
            </w:r>
          </w:p>
          <w:p w:rsidR="00D85AC7" w:rsidRPr="00392FFD" w:rsidRDefault="00D85AC7" w:rsidP="00FF36A5">
            <w:pPr>
              <w:rPr>
                <w:rStyle w:val="InstructionsTabelleberschrift"/>
                <w:rFonts w:ascii="Times New Roman" w:hAnsi="Times New Roman"/>
                <w:sz w:val="24"/>
              </w:rPr>
            </w:pPr>
            <w:r>
              <w:rPr>
                <w:rStyle w:val="InstructionsTabelleText"/>
                <w:rFonts w:ascii="Times New Roman" w:hAnsi="Times New Roman"/>
                <w:sz w:val="24"/>
              </w:rPr>
              <w:t>Βλέπε οδηγίες για C 06.02</w:t>
            </w:r>
          </w:p>
        </w:tc>
      </w:tr>
    </w:tbl>
    <w:p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Γραμμές</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Οδηγίες</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ΣΥΝΟΛΟ</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Το σύνολο αντιπροσωπεύει το άθροισμα των τιμών που αναφέρονται σε όλες τις γραμμές του υποδείγματος C 06.02.</w:t>
            </w:r>
          </w:p>
        </w:tc>
      </w:tr>
    </w:tbl>
    <w:p w:rsidR="00D85AC7" w:rsidRPr="00392FFD" w:rsidRDefault="00D85AC7" w:rsidP="00FD239F">
      <w:pPr>
        <w:pStyle w:val="InstructionsText"/>
      </w:pPr>
    </w:p>
    <w:p w:rsidR="00D85AC7" w:rsidRPr="00392FFD" w:rsidRDefault="00125707" w:rsidP="0023700C">
      <w:pPr>
        <w:pStyle w:val="Instructionsberschrift2"/>
        <w:numPr>
          <w:ilvl w:val="0"/>
          <w:numId w:val="0"/>
        </w:numPr>
        <w:ind w:left="357" w:hanging="357"/>
        <w:rPr>
          <w:rFonts w:ascii="Times New Roman" w:hAnsi="Times New Roman" w:cs="Times New Roman"/>
          <w:sz w:val="24"/>
        </w:rPr>
      </w:pPr>
      <w:bookmarkStart w:id="113" w:name="_Toc516210627"/>
      <w:bookmarkStart w:id="114" w:name="_Toc473560892"/>
      <w:r>
        <w:rPr>
          <w:rFonts w:ascii="Times New Roman" w:hAnsi="Times New Roman"/>
          <w:sz w:val="24"/>
          <w:u w:val="none"/>
        </w:rPr>
        <w:lastRenderedPageBreak/>
        <w:t>2.5.</w:t>
      </w:r>
      <w:r>
        <w:tab/>
      </w:r>
      <w:r>
        <w:rPr>
          <w:rFonts w:ascii="Times New Roman" w:hAnsi="Times New Roman"/>
          <w:sz w:val="24"/>
        </w:rPr>
        <w:t>C 06.02 – ΦΕΡΕΓΓΥΟΤΗΤΑ ΟΜΙΛΟΥ: ΠΛΗΡΟΦΟΡΙΕΣ ΣΧΕΤΙΚΑ ΜΕ ΣΥΝΔ</w:t>
      </w:r>
      <w:r>
        <w:rPr>
          <w:rFonts w:ascii="Times New Roman" w:hAnsi="Times New Roman"/>
          <w:sz w:val="24"/>
        </w:rPr>
        <w:t>Ε</w:t>
      </w:r>
      <w:r>
        <w:rPr>
          <w:rFonts w:ascii="Times New Roman" w:hAnsi="Times New Roman"/>
          <w:sz w:val="24"/>
        </w:rPr>
        <w:t>ΔΕΜΕΝΕΣ ΕΠΙΧΕΙΡΗΣΕΙΣ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Στήλες</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Οδηγίες</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ΟΝΤΟΤΗΤΕΣ ΕΝΤΟΣ ΤΟΥ ΠΕΔΙΟΥ ΕΦΑΡΜΟΓΗΣ ΤΗΣ ΕΝΟΠΟΙΗΣΗΣ</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Το παρόν υπόδειγμα έχει σχεδιαστεί για τη συλλογή πληροφοριών για όλες τις οντότ</w:t>
            </w:r>
            <w:r>
              <w:rPr>
                <w:rStyle w:val="InstructionsTabelleText"/>
                <w:rFonts w:ascii="Times New Roman" w:hAnsi="Times New Roman"/>
                <w:sz w:val="24"/>
              </w:rPr>
              <w:t>η</w:t>
            </w:r>
            <w:r>
              <w:rPr>
                <w:rStyle w:val="InstructionsTabelleText"/>
                <w:rFonts w:ascii="Times New Roman" w:hAnsi="Times New Roman"/>
                <w:sz w:val="24"/>
              </w:rPr>
              <w:t>τες μεμονωμένα οι οποίες εμπίπτουν στο πεδίο εφαρμογής της ενοποίησης, σύμφωνα με το πρώτο μέρος τίτλος II κεφάλαιο 2</w:t>
            </w:r>
            <w:r>
              <w:t xml:space="preserve"> </w:t>
            </w:r>
            <w:r>
              <w:rPr>
                <w:rStyle w:val="InstructionsTabelleText"/>
                <w:rFonts w:ascii="Times New Roman" w:hAnsi="Times New Roman"/>
                <w:sz w:val="24"/>
              </w:rPr>
              <w:t xml:space="preserve">του ΚΚΑ.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ΟΝΟΜΑΣΙΑ</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Ονομασία της οντότητας εντός του πεδίου εφαρμογής της ενοποίησης.</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ΚΩΔΙΚΟΣ</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t>Ο κωδικός αυτός είναι αναγνωριστικός κωδικός γραμμής και είναι μοναδικός για κάθε γραμμή του πίνακα.</w:t>
            </w:r>
          </w:p>
          <w:p w:rsidR="002E136A"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Κωδικός που αποδίδεται στην οντότητα εντός του πεδίου εφαρμογής της ενοποίησης.</w:t>
            </w:r>
          </w:p>
          <w:p w:rsidR="00464F34" w:rsidRPr="00392FFD"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Η πραγματική σύνθεση του κωδικού εξαρτάται από το εθνικό σύστημα υποβολής αν</w:t>
            </w:r>
            <w:r>
              <w:rPr>
                <w:rStyle w:val="FormatvorlageInstructionsTabelleText"/>
                <w:rFonts w:ascii="Times New Roman" w:hAnsi="Times New Roman"/>
                <w:sz w:val="24"/>
              </w:rPr>
              <w:t>α</w:t>
            </w:r>
            <w:r>
              <w:rPr>
                <w:rStyle w:val="FormatvorlageInstructionsTabelleText"/>
                <w:rFonts w:ascii="Times New Roman" w:hAnsi="Times New Roman"/>
                <w:sz w:val="24"/>
              </w:rPr>
              <w:t xml:space="preserve">φορών.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ΚΩΔΙΚΟΣ LEI</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sz w:val="24"/>
              </w:rPr>
              <w:t>Κωδικός LEI σημαίνει τον Αναγνωριστικό Κωδικό Νομικής Οντότητας, ο οποίος απ</w:t>
            </w:r>
            <w:r>
              <w:rPr>
                <w:rStyle w:val="InstructionsTabelleText"/>
                <w:rFonts w:ascii="Times New Roman" w:hAnsi="Times New Roman"/>
                <w:sz w:val="24"/>
              </w:rPr>
              <w:t>ο</w:t>
            </w:r>
            <w:r>
              <w:rPr>
                <w:rStyle w:val="InstructionsTabelleText"/>
                <w:rFonts w:ascii="Times New Roman" w:hAnsi="Times New Roman"/>
                <w:sz w:val="24"/>
              </w:rPr>
              <w:t>τελεί τον κωδικό αναφοράς που προτάθηκε από το Συμβούλιο Χρηματοπιστωτικής Σταθερότητας (ΣΧΣ) και έχει εγκριθεί από την ομάδα G20, με στόχο να επιτευχθεί μια μοναδική και παγκόσμια ταυτοποίηση των συμβαλλόμενων μερών σε χρηματοοικον</w:t>
            </w:r>
            <w:r>
              <w:rPr>
                <w:rStyle w:val="InstructionsTabelleText"/>
                <w:rFonts w:ascii="Times New Roman" w:hAnsi="Times New Roman"/>
                <w:sz w:val="24"/>
              </w:rPr>
              <w:t>ο</w:t>
            </w:r>
            <w:r>
              <w:rPr>
                <w:rStyle w:val="InstructionsTabelleText"/>
                <w:rFonts w:ascii="Times New Roman" w:hAnsi="Times New Roman"/>
                <w:sz w:val="24"/>
              </w:rPr>
              <w:t>μικές συναλλαγές.</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t>Μέχρις ότου το παγκόσμιο σύστημα LEI καταστεί πλήρως λειτουργικό, αποδίδονται προκαταρκτικοί κωδικοί LEI στους αντισυμβαλλομένους από Τοπική Επιχειρησιακή Μονάδα που έχει εγκριθεί από Επιτροπή Ρυθμιστικής Εποπτείας (ROC, λεπτομερείς πληροφορίες διατίθενται στον ακόλουθο δικτυακό τόπο: www.leiroc.org)</w:t>
            </w:r>
            <w:r>
              <w:rPr>
                <w:rStyle w:val="InstructionsTabelleText"/>
                <w:rFonts w:ascii="Times New Roman" w:hAnsi="Times New Roman"/>
                <w:i/>
                <w:sz w:val="24"/>
              </w:rPr>
              <w:t>).</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Όταν υπάρχει Αναγνωριστικός Κωδικός Νομικής Οντότητας (LEI) για έναν συγκεκρ</w:t>
            </w:r>
            <w:r>
              <w:rPr>
                <w:rStyle w:val="InstructionsTabelleText"/>
                <w:rFonts w:ascii="Times New Roman" w:hAnsi="Times New Roman"/>
                <w:sz w:val="24"/>
              </w:rPr>
              <w:t>ι</w:t>
            </w:r>
            <w:r>
              <w:rPr>
                <w:rStyle w:val="InstructionsTabelleText"/>
                <w:rFonts w:ascii="Times New Roman" w:hAnsi="Times New Roman"/>
                <w:sz w:val="24"/>
              </w:rPr>
              <w:t>μένο αντισυμβαλλόμενο, χρησιμοποιείται για να προσδιορίσει τον εν λόγω αντισυ</w:t>
            </w:r>
            <w:r>
              <w:rPr>
                <w:rStyle w:val="InstructionsTabelleText"/>
                <w:rFonts w:ascii="Times New Roman" w:hAnsi="Times New Roman"/>
                <w:sz w:val="24"/>
              </w:rPr>
              <w:t>μ</w:t>
            </w:r>
            <w:r>
              <w:rPr>
                <w:rStyle w:val="InstructionsTabelleText"/>
                <w:rFonts w:ascii="Times New Roman" w:hAnsi="Times New Roman"/>
                <w:sz w:val="24"/>
              </w:rPr>
              <w:t xml:space="preserve">βαλλόμενο.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ΙΔΡΥΜΑ Ή ΙΣΟΔΥΝΑΜΟ (ΝΑΙ / ΟΧΙ)</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«ΝΑΙ» αναφέρεται στην περίπτωση που η οντότητα υπόκειται σε απαιτήσεις ιδίων κ</w:t>
            </w:r>
            <w:r>
              <w:rPr>
                <w:rStyle w:val="InstructionsTabelleText"/>
                <w:rFonts w:ascii="Times New Roman" w:hAnsi="Times New Roman"/>
                <w:sz w:val="24"/>
              </w:rPr>
              <w:t>ε</w:t>
            </w:r>
            <w:r>
              <w:rPr>
                <w:rStyle w:val="InstructionsTabelleText"/>
                <w:rFonts w:ascii="Times New Roman" w:hAnsi="Times New Roman"/>
                <w:sz w:val="24"/>
              </w:rPr>
              <w:t>φαλαίων σύμφωνα με τον ΚΚΑ και την ΟΚΑ ή σε διατάξεις τουλάχιστον ισοδύναμες των διατάξεων της Βασιλείας.</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«ΟΧΙ» αναφέρεται σε κάθε άλλη περίπτωση.</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Δικαιώματα μειοψηφίας:</w:t>
            </w:r>
          </w:p>
          <w:p w:rsidR="00464F34" w:rsidRPr="00392FFD" w:rsidRDefault="00417984" w:rsidP="00464F34">
            <w:pPr>
              <w:rPr>
                <w:rStyle w:val="InstructionsTabelleText"/>
                <w:rFonts w:ascii="Times New Roman" w:hAnsi="Times New Roman"/>
                <w:sz w:val="24"/>
              </w:rPr>
            </w:pPr>
            <w:r>
              <w:rPr>
                <w:rFonts w:ascii="Times New Roman" w:hAnsi="Times New Roman"/>
                <w:sz w:val="24"/>
              </w:rPr>
              <w:t>Άρθρο 81 παράγραφος 1 στοιχείο α) σημείο ii) και άρθρο 82 παράγραφος 1 στοιχείο α) σημείο ii) του ΚΚΑ</w:t>
            </w:r>
          </w:p>
          <w:p w:rsidR="00464F34" w:rsidRPr="00392FFD" w:rsidRDefault="00464F34" w:rsidP="00464F34">
            <w:pPr>
              <w:rPr>
                <w:rStyle w:val="InstructionsTabelleText"/>
                <w:rFonts w:ascii="Times New Roman" w:hAnsi="Times New Roman"/>
                <w:sz w:val="24"/>
              </w:rPr>
            </w:pPr>
            <w:r>
              <w:rPr>
                <w:rFonts w:ascii="Times New Roman" w:hAnsi="Times New Roman"/>
                <w:sz w:val="24"/>
              </w:rPr>
              <w:t>Για τους σκοπούς των δικαιωμάτων μειοψηφίας και των μέσων ΑΤ1 και Τ2 που εκδ</w:t>
            </w:r>
            <w:r>
              <w:rPr>
                <w:rFonts w:ascii="Times New Roman" w:hAnsi="Times New Roman"/>
                <w:sz w:val="24"/>
              </w:rPr>
              <w:t>ί</w:t>
            </w:r>
            <w:r>
              <w:rPr>
                <w:rFonts w:ascii="Times New Roman" w:hAnsi="Times New Roman"/>
                <w:sz w:val="24"/>
              </w:rPr>
              <w:t xml:space="preserve">δονται από θυγατρικές, οι θυγατρικές των οποίων τα μέσα μπορούν να είναι επιλέξιμα </w:t>
            </w:r>
            <w:r>
              <w:rPr>
                <w:rFonts w:ascii="Times New Roman" w:hAnsi="Times New Roman"/>
                <w:sz w:val="24"/>
              </w:rPr>
              <w:lastRenderedPageBreak/>
              <w:t>είναι ιδρύματα ή επιχειρήσεις που υπόκεινται στις απαιτήσεις του KKA δυνάμει του εφαρμοστέου εθνικού δικαίου.</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lastRenderedPageBreak/>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ΕΙΔΟΣ ΟΝΤΟΤΗΤΑΣ</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t>Το είδος οντότητας αναφέρεται βάσει των ακόλουθων κατηγοριών:</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α)</w:t>
            </w:r>
            <w:r>
              <w:tab/>
            </w:r>
            <w:r>
              <w:rPr>
                <w:rStyle w:val="InstructionsTabelleText"/>
                <w:rFonts w:ascii="Times New Roman" w:hAnsi="Times New Roman"/>
                <w:sz w:val="24"/>
              </w:rPr>
              <w:t>πιστωτικό ίδρυμα</w:t>
            </w:r>
          </w:p>
          <w:p w:rsidR="0071377A" w:rsidRPr="001C5CA8" w:rsidRDefault="0071377A" w:rsidP="009B355E">
            <w:pPr>
              <w:tabs>
                <w:tab w:val="left" w:pos="372"/>
              </w:tabs>
              <w:rPr>
                <w:rStyle w:val="InstructionsTabelleText"/>
                <w:rFonts w:ascii="Times New Roman" w:hAnsi="Times New Roman"/>
                <w:sz w:val="24"/>
              </w:rPr>
            </w:pPr>
            <w:r>
              <w:tab/>
            </w:r>
            <w:r>
              <w:rPr>
                <w:rStyle w:val="InstructionsTabelleText"/>
                <w:rFonts w:ascii="Times New Roman" w:hAnsi="Times New Roman"/>
                <w:sz w:val="24"/>
              </w:rPr>
              <w:t>Άρθρο 4 παράγραφος 1 σημείο 1) του ΚΚΑ</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β)</w:t>
            </w:r>
            <w:r>
              <w:tab/>
            </w:r>
            <w:r>
              <w:rPr>
                <w:rStyle w:val="InstructionsTabelleText"/>
                <w:rFonts w:ascii="Times New Roman" w:hAnsi="Times New Roman"/>
                <w:sz w:val="24"/>
              </w:rPr>
              <w:t>επιχείρηση επενδύσεων</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Άρθρο 4 παράγραφος 1 σημείο 2) του ΚΚΑ</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γ)</w:t>
            </w:r>
            <w:r>
              <w:tab/>
            </w:r>
            <w:r>
              <w:rPr>
                <w:rStyle w:val="InstructionsTabelleText"/>
                <w:rFonts w:ascii="Times New Roman" w:hAnsi="Times New Roman"/>
                <w:sz w:val="24"/>
              </w:rPr>
              <w:t>χρηματοπιστωτικό ίδρυμα (άλλο)</w:t>
            </w:r>
          </w:p>
          <w:p w:rsidR="00965D27"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Άρθρο 4 παράγραφος 1 σημεία 20), 21) και 26) του ΚΚΑ</w:t>
            </w:r>
          </w:p>
          <w:p w:rsidR="0071377A"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Χρηματοπιστωτικά ιδρύματα κατά την έννοια του άρθρου 4 παράγραφος 1 σημε</w:t>
            </w:r>
            <w:r>
              <w:rPr>
                <w:rStyle w:val="InstructionsTabelleText"/>
                <w:rFonts w:ascii="Times New Roman" w:hAnsi="Times New Roman"/>
                <w:sz w:val="24"/>
              </w:rPr>
              <w:t>ί</w:t>
            </w:r>
            <w:r>
              <w:rPr>
                <w:rStyle w:val="InstructionsTabelleText"/>
                <w:rFonts w:ascii="Times New Roman" w:hAnsi="Times New Roman"/>
                <w:sz w:val="24"/>
              </w:rPr>
              <w:t xml:space="preserve">ο 26) του ΚΚΑ («χρηματοδοτικά ιδρύματα»), τα οποία δεν συμπεριλαμβάνονται σε μια από τις κατηγορίες δ), στ) ή ζ) </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δ)</w:t>
            </w:r>
            <w:r>
              <w:tab/>
            </w:r>
            <w:r>
              <w:rPr>
                <w:rStyle w:val="InstructionsTabelleText"/>
                <w:rFonts w:ascii="Times New Roman" w:hAnsi="Times New Roman"/>
                <w:sz w:val="24"/>
              </w:rPr>
              <w:t>(μικτή) χρηματοοικονομική εταιρεία συμμετοχών</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Άρθρο 4 παράγραφος 1 σημεία 20) και 21) του ΚΚΑ</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ε)</w:t>
            </w:r>
            <w:r>
              <w:tab/>
            </w:r>
            <w:r>
              <w:rPr>
                <w:rStyle w:val="InstructionsTabelleText"/>
                <w:rFonts w:ascii="Times New Roman" w:hAnsi="Times New Roman"/>
                <w:sz w:val="24"/>
              </w:rPr>
              <w:t>επιχείρηση παροχής επικουρικών υπηρεσιών</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Άρθρο 4 παράγραφος 1 σημείο 18) του ΚΚΑ</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στ)</w:t>
            </w:r>
            <w:r>
              <w:tab/>
            </w:r>
            <w:r>
              <w:rPr>
                <w:rStyle w:val="InstructionsTabelleText"/>
                <w:rFonts w:ascii="Times New Roman" w:hAnsi="Times New Roman"/>
                <w:sz w:val="24"/>
              </w:rPr>
              <w:t>οντότητες ειδικού σκοπού για τιτλοποίηση (ΟΕΣΤ)</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Άρθρο 4 παράγραφος 1 σημείο 66) του ΚΚΑ</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ζ)</w:t>
            </w:r>
            <w:r>
              <w:tab/>
            </w:r>
            <w:r>
              <w:rPr>
                <w:rStyle w:val="InstructionsTabelleText"/>
                <w:rFonts w:ascii="Times New Roman" w:hAnsi="Times New Roman"/>
                <w:sz w:val="24"/>
              </w:rPr>
              <w:t xml:space="preserve">εταιρεία καλυμμένων ομολόγων </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Οντότητα που έχει συσταθεί για να εκδίδει καλυμμένα ομόλογα ή να κατέχει τις εξασφαλίσεις που καλύπτουν ένα καλυμμένο ομόλογο, εάν δεν συμπεριλαμβάνεται σε μια από τις κατηγορίες α), β) ή δ) έως στ) ανωτέρω</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η)</w:t>
            </w:r>
            <w:r>
              <w:tab/>
            </w:r>
            <w:r>
              <w:rPr>
                <w:rStyle w:val="InstructionsTabelleText"/>
                <w:rFonts w:ascii="Times New Roman" w:hAnsi="Times New Roman"/>
                <w:sz w:val="24"/>
              </w:rPr>
              <w:t>άλλο είδος οντότητας</w:t>
            </w:r>
          </w:p>
          <w:p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Οντότητα άλλη από εκείνες που αναφέρονται στα στοιχεία α) έως ζ)</w:t>
            </w:r>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Σε περίπτωση που μια οντότητα δεν υπόκειται στον ΚΚΑ και στην ΟΚΑ, αλλά υπ</w:t>
            </w:r>
            <w:r>
              <w:rPr>
                <w:rStyle w:val="InstructionsTabelleberschrift"/>
                <w:rFonts w:ascii="Times New Roman" w:hAnsi="Times New Roman"/>
                <w:b w:val="0"/>
                <w:sz w:val="24"/>
                <w:u w:val="none"/>
              </w:rPr>
              <w:t>ό</w:t>
            </w:r>
            <w:r>
              <w:rPr>
                <w:rStyle w:val="InstructionsTabelleberschrift"/>
                <w:rFonts w:ascii="Times New Roman" w:hAnsi="Times New Roman"/>
                <w:b w:val="0"/>
                <w:sz w:val="24"/>
                <w:u w:val="none"/>
              </w:rPr>
              <w:t xml:space="preserve">κειται σε διατάξεις τουλάχιστον ισοδύναμες με τις διατάξεις της Βασιλείας, η σχετική κατηγορία προσδιορίζεται με τη μέγιστη δυνατή επιμέλεια.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ΠΕΔΙΟ ΕΦΑΡΜΟΓΗΣ ΔΕΔΟΜΕΝΩΝ: </w:t>
            </w:r>
            <w:r>
              <w:rPr>
                <w:rFonts w:ascii="Times New Roman" w:hAnsi="Times New Roman"/>
                <w:b/>
                <w:caps/>
                <w:sz w:val="24"/>
                <w:u w:val="single"/>
              </w:rPr>
              <w:t>ατομικό πλήρως ενοποιημ</w:t>
            </w:r>
            <w:r>
              <w:rPr>
                <w:rFonts w:ascii="Times New Roman" w:hAnsi="Times New Roman"/>
                <w:b/>
                <w:caps/>
                <w:sz w:val="24"/>
                <w:u w:val="single"/>
              </w:rPr>
              <w:t>έ</w:t>
            </w:r>
            <w:r>
              <w:rPr>
                <w:rFonts w:ascii="Times New Roman" w:hAnsi="Times New Roman"/>
                <w:b/>
                <w:caps/>
                <w:sz w:val="24"/>
                <w:u w:val="single"/>
              </w:rPr>
              <w:t>νο (SF) Ή ατομικό μερικώς ενοποιημένο (SP)</w:t>
            </w:r>
          </w:p>
          <w:p w:rsidR="00464F34" w:rsidRPr="00392FFD" w:rsidRDefault="00464F34" w:rsidP="009E5DCC">
            <w:pPr>
              <w:rPr>
                <w:rStyle w:val="Heading1Char"/>
                <w:rFonts w:ascii="Times New Roman" w:hAnsi="Times New Roman"/>
                <w:sz w:val="24"/>
                <w:szCs w:val="24"/>
              </w:rPr>
            </w:pPr>
            <w:r>
              <w:rPr>
                <w:rStyle w:val="InstructionsTabelleText"/>
                <w:rFonts w:ascii="Times New Roman" w:hAnsi="Times New Roman"/>
                <w:sz w:val="24"/>
              </w:rPr>
              <w:t xml:space="preserve">«SF» </w:t>
            </w:r>
            <w:r>
              <w:rPr>
                <w:rFonts w:ascii="Times New Roman" w:hAnsi="Times New Roman"/>
                <w:sz w:val="24"/>
              </w:rPr>
              <w:t>αναφέρεται στην περίπτωση πλήρως ενοποιημένων μεμονωμένων θυγατρικών.</w:t>
            </w:r>
            <w:r>
              <w:rPr>
                <w:rStyle w:val="Heading1Char"/>
                <w:rFonts w:ascii="Times New Roman" w:hAnsi="Times New Roman"/>
                <w:sz w:val="24"/>
              </w:rPr>
              <w:t xml:space="preserve"> </w:t>
            </w:r>
          </w:p>
          <w:p w:rsidR="00464F34" w:rsidRPr="00392FFD" w:rsidRDefault="009E5DCC" w:rsidP="00941843">
            <w:pPr>
              <w:rPr>
                <w:rStyle w:val="InstructionsTabelleText"/>
                <w:rFonts w:ascii="Times New Roman" w:hAnsi="Times New Roman"/>
                <w:smallCaps/>
                <w:sz w:val="24"/>
              </w:rPr>
            </w:pPr>
            <w:r>
              <w:rPr>
                <w:rStyle w:val="InstructionsTabelleText"/>
                <w:rFonts w:ascii="Times New Roman" w:hAnsi="Times New Roman"/>
                <w:sz w:val="24"/>
              </w:rPr>
              <w:t xml:space="preserve">«SP» </w:t>
            </w:r>
            <w:r>
              <w:rPr>
                <w:rFonts w:ascii="Times New Roman" w:hAnsi="Times New Roman"/>
                <w:sz w:val="24"/>
              </w:rPr>
              <w:t>αναφέρεται στην περίπτωση μερικώς ενοποιημένων μεμονωμένων θυγατρικών.</w:t>
            </w:r>
            <w:r>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050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ΚΩΔΙΚΟΣ ΧΩΡΑΣ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Τα ιδρύματα αναφέρουν τον διψήφιο κωδικό χώρας σύμφωνα με το πρότυπο ISO 3166-2.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ΜΕΡΙΔΙΟ ΣΥΜΜΕΤΟΧΗΣ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lastRenderedPageBreak/>
              <w:t>Το ποσοστό αυτό αφορά το πραγματικό μερίδιο κεφαλαίου που κατέχει η μητρική επ</w:t>
            </w:r>
            <w:r>
              <w:rPr>
                <w:rStyle w:val="InstructionsTabelleText"/>
                <w:rFonts w:ascii="Times New Roman" w:hAnsi="Times New Roman"/>
                <w:sz w:val="24"/>
              </w:rPr>
              <w:t>ι</w:t>
            </w:r>
            <w:r>
              <w:rPr>
                <w:rStyle w:val="InstructionsTabelleText"/>
                <w:rFonts w:ascii="Times New Roman" w:hAnsi="Times New Roman"/>
                <w:sz w:val="24"/>
              </w:rPr>
              <w:t xml:space="preserve">χείρηση στις θυγατρικές. Σε περίπτωση πλήρους ενοποίησης μιας άμεσης θυγατρικής, το πραγματικό μερίδιο είναι π.χ. 70 %. Σύμφωνα με το άρθρο 4 παράγραφος 1 σημείο 16) του ΚΚΑ, το μερίδιο συμμετοχής σε θυγατρική μιας θυγατρικής που πρέπει να </w:t>
            </w:r>
            <w:r>
              <w:rPr>
                <w:rStyle w:val="InstructionsTabelleText"/>
                <w:rFonts w:ascii="Times New Roman" w:hAnsi="Times New Roman"/>
                <w:sz w:val="24"/>
              </w:rPr>
              <w:t>α</w:t>
            </w:r>
            <w:r>
              <w:rPr>
                <w:rStyle w:val="InstructionsTabelleText"/>
                <w:rFonts w:ascii="Times New Roman" w:hAnsi="Times New Roman"/>
                <w:sz w:val="24"/>
              </w:rPr>
              <w:t>ναφέρεται προκύπτει από τον πολλαπλασιασμό των μεριδίων μεταξύ των εμπλεκόμ</w:t>
            </w:r>
            <w:r>
              <w:rPr>
                <w:rStyle w:val="InstructionsTabelleText"/>
                <w:rFonts w:ascii="Times New Roman" w:hAnsi="Times New Roman"/>
                <w:sz w:val="24"/>
              </w:rPr>
              <w:t>ε</w:t>
            </w:r>
            <w:r>
              <w:rPr>
                <w:rStyle w:val="InstructionsTabelleText"/>
                <w:rFonts w:ascii="Times New Roman" w:hAnsi="Times New Roman"/>
                <w:sz w:val="24"/>
              </w:rPr>
              <w:t>νων θυγατρικών.</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070-240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ΠΛΗΡΟΦΟΡΙΕΣ ΣΧΕΤΙΚΑ ΜΕ ΟΝΤΟΤΗΤΕΣ ΠΟΥ ΥΠΟΚΕΙΝΤΑΙ ΣΕ </w:t>
            </w:r>
            <w:r>
              <w:rPr>
                <w:rStyle w:val="InstructionsTabelleberschrift"/>
                <w:rFonts w:ascii="Times New Roman" w:hAnsi="Times New Roman"/>
                <w:sz w:val="24"/>
              </w:rPr>
              <w:t>Α</w:t>
            </w:r>
            <w:r>
              <w:rPr>
                <w:rStyle w:val="InstructionsTabelleberschrift"/>
                <w:rFonts w:ascii="Times New Roman" w:hAnsi="Times New Roman"/>
                <w:sz w:val="24"/>
              </w:rPr>
              <w:t>ΠΑΙΤΗΣΕΙΣ ΙΔΙΩΝ ΚΕΦΑΛΑΙΩΝ</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Στην ενότητα των λεπτομερών πληροφοριών (δηλαδή, στήλες 070 έως 240) συλλέγ</w:t>
            </w:r>
            <w:r>
              <w:rPr>
                <w:rStyle w:val="InstructionsTabelleText"/>
                <w:rFonts w:ascii="Times New Roman" w:hAnsi="Times New Roman"/>
                <w:sz w:val="24"/>
              </w:rPr>
              <w:t>ο</w:t>
            </w:r>
            <w:r>
              <w:rPr>
                <w:rStyle w:val="InstructionsTabelleText"/>
                <w:rFonts w:ascii="Times New Roman" w:hAnsi="Times New Roman"/>
                <w:sz w:val="24"/>
              </w:rPr>
              <w:t xml:space="preserve">νται πληροφορίες μόνο για τις οντότητες και τους </w:t>
            </w:r>
            <w:proofErr w:type="spellStart"/>
            <w:r>
              <w:rPr>
                <w:rStyle w:val="InstructionsTabelleText"/>
                <w:rFonts w:ascii="Times New Roman" w:hAnsi="Times New Roman"/>
                <w:sz w:val="24"/>
              </w:rPr>
              <w:t>υπο</w:t>
            </w:r>
            <w:proofErr w:type="spellEnd"/>
            <w:r>
              <w:rPr>
                <w:rStyle w:val="InstructionsTabelleText"/>
                <w:rFonts w:ascii="Times New Roman" w:hAnsi="Times New Roman"/>
                <w:sz w:val="24"/>
              </w:rPr>
              <w:t>-ομίλους που, όντας στο πεδίο εφαρμογής της ενοποίησης (πρώτο μέρος τίτλος II κεφάλαιο 2 του ΚΚΑ),</w:t>
            </w:r>
            <w:r>
              <w:t xml:space="preserve"> </w:t>
            </w:r>
            <w:r>
              <w:rPr>
                <w:rStyle w:val="InstructionsTabelleText"/>
                <w:rFonts w:ascii="Times New Roman" w:hAnsi="Times New Roman"/>
                <w:sz w:val="24"/>
              </w:rPr>
              <w:t>υπόκεινται πραγματικά σε απαιτήσεις φερεγγυότητας σύμφωνα με τον ΚΚΑ ή σύμφωνα με διατ</w:t>
            </w:r>
            <w:r>
              <w:rPr>
                <w:rStyle w:val="InstructionsTabelleText"/>
                <w:rFonts w:ascii="Times New Roman" w:hAnsi="Times New Roman"/>
                <w:sz w:val="24"/>
              </w:rPr>
              <w:t>ά</w:t>
            </w:r>
            <w:r>
              <w:rPr>
                <w:rStyle w:val="InstructionsTabelleText"/>
                <w:rFonts w:ascii="Times New Roman" w:hAnsi="Times New Roman"/>
                <w:sz w:val="24"/>
              </w:rPr>
              <w:t>ξεις που είναι τουλάχιστον ισοδύναμες των διατάξεων της Βασιλείας (δηλαδή, έχει δ</w:t>
            </w:r>
            <w:r>
              <w:rPr>
                <w:rStyle w:val="InstructionsTabelleText"/>
                <w:rFonts w:ascii="Times New Roman" w:hAnsi="Times New Roman"/>
                <w:sz w:val="24"/>
              </w:rPr>
              <w:t>η</w:t>
            </w:r>
            <w:r>
              <w:rPr>
                <w:rStyle w:val="InstructionsTabelleText"/>
                <w:rFonts w:ascii="Times New Roman" w:hAnsi="Times New Roman"/>
                <w:sz w:val="24"/>
              </w:rPr>
              <w:t xml:space="preserve">λωθεί ΝΑΙ στη στήλη 030). </w:t>
            </w:r>
          </w:p>
          <w:p w:rsidR="00464F34" w:rsidRPr="00392FFD" w:rsidRDefault="00464F34" w:rsidP="00464F34">
            <w:pPr>
              <w:rPr>
                <w:rFonts w:ascii="Times New Roman" w:hAnsi="Times New Roman"/>
                <w:sz w:val="24"/>
              </w:rPr>
            </w:pPr>
            <w:r>
              <w:rPr>
                <w:rFonts w:ascii="Times New Roman" w:hAnsi="Times New Roman"/>
                <w:sz w:val="24"/>
              </w:rPr>
              <w:t>Περιλαμβάνονται πληροφορίες για όλα τα επιμέρους ιδρύματα ενός ενοποιημένου ομ</w:t>
            </w:r>
            <w:r>
              <w:rPr>
                <w:rFonts w:ascii="Times New Roman" w:hAnsi="Times New Roman"/>
                <w:sz w:val="24"/>
              </w:rPr>
              <w:t>ί</w:t>
            </w:r>
            <w:r>
              <w:rPr>
                <w:rFonts w:ascii="Times New Roman" w:hAnsi="Times New Roman"/>
                <w:sz w:val="24"/>
              </w:rPr>
              <w:t xml:space="preserve">λου που υπόκεινται σε απαιτήσεις ιδίων κεφαλαίων, ανεξαρτήτως της τοποθεσίας τους. </w:t>
            </w:r>
          </w:p>
          <w:p w:rsidR="00464F34" w:rsidRPr="00392FFD" w:rsidRDefault="00464F34" w:rsidP="00464F34">
            <w:pPr>
              <w:rPr>
                <w:rFonts w:ascii="Times New Roman" w:hAnsi="Times New Roman"/>
                <w:sz w:val="24"/>
              </w:rPr>
            </w:pPr>
            <w:r>
              <w:rPr>
                <w:rFonts w:ascii="Times New Roman" w:hAnsi="Times New Roman"/>
                <w:sz w:val="24"/>
              </w:rPr>
              <w:t xml:space="preserve">Οι πληροφορίες που αναφέρονται στο παρόν μέρος είναι σύμφωνες με τους τοπικούς κανόνες περί φερεγγυότητας που εφαρμόζονται στον τόπο λειτουργίας του ιδρύματος (επομένως, για το συγκεκριμένο υπόδειγμα, δεν απαιτείται διπλός υπολογισμός σε </w:t>
            </w:r>
            <w:r>
              <w:rPr>
                <w:rFonts w:ascii="Times New Roman" w:hAnsi="Times New Roman"/>
                <w:sz w:val="24"/>
              </w:rPr>
              <w:t>α</w:t>
            </w:r>
            <w:r>
              <w:rPr>
                <w:rFonts w:ascii="Times New Roman" w:hAnsi="Times New Roman"/>
                <w:sz w:val="24"/>
              </w:rPr>
              <w:t>τομική βάση σύμφωνα με τους κανόνες του μητρικού ιδρύματος). Όταν οι τοπικοί κ</w:t>
            </w:r>
            <w:r>
              <w:rPr>
                <w:rFonts w:ascii="Times New Roman" w:hAnsi="Times New Roman"/>
                <w:sz w:val="24"/>
              </w:rPr>
              <w:t>α</w:t>
            </w:r>
            <w:r>
              <w:rPr>
                <w:rFonts w:ascii="Times New Roman" w:hAnsi="Times New Roman"/>
                <w:sz w:val="24"/>
              </w:rPr>
              <w:t xml:space="preserve">νόνες περί φερεγγυότητας διαφέρουν από τον ΚΚΑ και δεν παρέχεται συγκρίσιμη </w:t>
            </w:r>
            <w:r>
              <w:rPr>
                <w:rFonts w:ascii="Times New Roman" w:hAnsi="Times New Roman"/>
                <w:sz w:val="24"/>
              </w:rPr>
              <w:t>α</w:t>
            </w:r>
            <w:r>
              <w:rPr>
                <w:rFonts w:ascii="Times New Roman" w:hAnsi="Times New Roman"/>
                <w:sz w:val="24"/>
              </w:rPr>
              <w:t>νάλυση, οι πληροφορίες συμπληρώνονται στην περίπτωση που υπάρχουν διαθέσιμα δεδομένα με αντίστοιχο επίπεδο ανάλυσης. Επομένως, το παρόν μέρος αποτελεί ένα τεκμηριωμένο υπόδειγμα που συνοψίζει τους υπολογισμούς που διενεργούν τα επιμ</w:t>
            </w:r>
            <w:r>
              <w:rPr>
                <w:rFonts w:ascii="Times New Roman" w:hAnsi="Times New Roman"/>
                <w:sz w:val="24"/>
              </w:rPr>
              <w:t>έ</w:t>
            </w:r>
            <w:r>
              <w:rPr>
                <w:rFonts w:ascii="Times New Roman" w:hAnsi="Times New Roman"/>
                <w:sz w:val="24"/>
              </w:rPr>
              <w:t>ρους ιδρύματα ενός ομίλου, έχοντας υπόψη ότι ορισμένα από τα ιδρύματα αυτά δύν</w:t>
            </w:r>
            <w:r>
              <w:rPr>
                <w:rFonts w:ascii="Times New Roman" w:hAnsi="Times New Roman"/>
                <w:sz w:val="24"/>
              </w:rPr>
              <w:t>α</w:t>
            </w:r>
            <w:r>
              <w:rPr>
                <w:rFonts w:ascii="Times New Roman" w:hAnsi="Times New Roman"/>
                <w:sz w:val="24"/>
              </w:rPr>
              <w:t>ται να υπόκεινται σε διαφορετικούς κανόνες περί φερεγγυότητας.</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Αναφορά παγίων εξόδων επιχειρήσεων επενδύσεων:</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Οι επιχειρήσεις επενδύσεων περιλαμβάνουν απαιτήσεις ιδίων κεφαλαίων σχετικά με τα πάγια έξοδα στον υπολογισμό του δείκτη κεφαλαίου, σύμφωνα με τα άρθρα 95, 96, 97 και 98 του ΚΚΑ.</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Το μέρος του συνολικού ποσού ανοίγματος σε κίνδυνο που αφορά τα πάγια έξοδα </w:t>
            </w:r>
            <w:r>
              <w:rPr>
                <w:rStyle w:val="InstructionsTabelleText"/>
                <w:rFonts w:ascii="Times New Roman" w:hAnsi="Times New Roman"/>
                <w:sz w:val="24"/>
              </w:rPr>
              <w:t>α</w:t>
            </w:r>
            <w:r>
              <w:rPr>
                <w:rStyle w:val="InstructionsTabelleText"/>
                <w:rFonts w:ascii="Times New Roman" w:hAnsi="Times New Roman"/>
                <w:sz w:val="24"/>
              </w:rPr>
              <w:t xml:space="preserve">ναφέρεται στη στήλη 100 του μέρους 2 του παρόντος υποδείγματος.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ΣΥΝΟΛΙΚΟ ΠΟΣΟ ΑΝΟΙΓΜΑΤΟΣ ΣΕ ΚΙΝΔΥΝΟ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Αναφέρεται το άθροισμα των ποσών των στηλών 080 έως 110.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ΚΙΝΔΥΝΟΙ: ΠΙΣΤΩΤΙΚΟΣ, ΠΙΣΤΩΤΙΚΟΣ ΑΝΤΙΣΥΜΒΑΛΛΟΜΕΝΟΥ, ΚΙ</w:t>
            </w:r>
            <w:r>
              <w:rPr>
                <w:rStyle w:val="InstructionsTabelleberschrift"/>
                <w:rFonts w:ascii="Times New Roman" w:hAnsi="Times New Roman"/>
                <w:sz w:val="24"/>
              </w:rPr>
              <w:t>Ν</w:t>
            </w:r>
            <w:r>
              <w:rPr>
                <w:rStyle w:val="InstructionsTabelleberschrift"/>
                <w:rFonts w:ascii="Times New Roman" w:hAnsi="Times New Roman"/>
                <w:sz w:val="24"/>
              </w:rPr>
              <w:t>ΔΥΝΟΣ ΑΠΟΜΕΙΩΣΗΣ ΑΞΙΑΣ ΕΙΣΠΡΑΚΤΕΩΝ, ΑΤΕΛΕΙΣ ΣΥΝΑΛΛΑΓΕΣ ΚΑΙ ΚΙΝΔΥΝΟΣ ΔΙΑΚΑΝΟΝΙΣΜΟΥ/ΠΑΡΑΔΟΣΗΣ</w:t>
            </w:r>
          </w:p>
          <w:p w:rsidR="00464F34" w:rsidRPr="00392FFD" w:rsidRDefault="00464F34" w:rsidP="00E871FE">
            <w:pPr>
              <w:rPr>
                <w:rStyle w:val="InstructionsTabelleTex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άθροισμα των στα</w:t>
            </w:r>
            <w:r>
              <w:rPr>
                <w:rStyle w:val="InstructionsTabelleText"/>
                <w:rFonts w:ascii="Times New Roman" w:hAnsi="Times New Roman"/>
                <w:sz w:val="24"/>
              </w:rPr>
              <w:t>θ</w:t>
            </w:r>
            <w:r>
              <w:rPr>
                <w:rStyle w:val="InstructionsTabelleText"/>
                <w:rFonts w:ascii="Times New Roman" w:hAnsi="Times New Roman"/>
                <w:sz w:val="24"/>
              </w:rPr>
              <w:t>μισμένων ως προς τον κίνδυνο ποσών ανοιγμάτων που ισούνται ή είναι ισοδύναμα των ποσών που πρέπει να αναφέρονται στη γραμμή 040</w:t>
            </w:r>
            <w:r>
              <w:rPr>
                <w:rStyle w:val="InstructionsTabelleberschrift"/>
                <w:rFonts w:ascii="Times New Roman" w:hAnsi="Times New Roman"/>
                <w:b w:val="0"/>
                <w:sz w:val="24"/>
                <w:u w:val="none"/>
              </w:rPr>
              <w:t xml:space="preserve"> «ΠΟΣΑ ΑΝΟΙΓΜΑΤΩΝ ΣΤΑ</w:t>
            </w:r>
            <w:r>
              <w:rPr>
                <w:rStyle w:val="InstructionsTabelleberschrift"/>
                <w:rFonts w:ascii="Times New Roman" w:hAnsi="Times New Roman"/>
                <w:b w:val="0"/>
                <w:sz w:val="24"/>
                <w:u w:val="none"/>
              </w:rPr>
              <w:t>Θ</w:t>
            </w:r>
            <w:r>
              <w:rPr>
                <w:rStyle w:val="InstructionsTabelleberschrift"/>
                <w:rFonts w:ascii="Times New Roman" w:hAnsi="Times New Roman"/>
                <w:b w:val="0"/>
                <w:sz w:val="24"/>
                <w:u w:val="none"/>
              </w:rPr>
              <w:t>ΜΙΣΜΕΝΑ ΩΣ ΠΡΟΣ ΤΟΝ ΚΙΝΔΥΝΟ</w:t>
            </w:r>
            <w:r>
              <w:rPr>
                <w:rStyle w:val="InstructionsTabelleText"/>
                <w:rFonts w:ascii="Times New Roman" w:hAnsi="Times New Roman"/>
                <w:sz w:val="24"/>
              </w:rPr>
              <w:t xml:space="preserve"> ΟΣΟΝ ΑΦΟΡΑ ΤΟΝ ΠΙΣΤΩΤΙΚΟ ΚΙΝΔ</w:t>
            </w:r>
            <w:r>
              <w:rPr>
                <w:rStyle w:val="InstructionsTabelleText"/>
                <w:rFonts w:ascii="Times New Roman" w:hAnsi="Times New Roman"/>
                <w:sz w:val="24"/>
              </w:rPr>
              <w:t>Υ</w:t>
            </w:r>
            <w:r>
              <w:rPr>
                <w:rStyle w:val="InstructionsTabelleText"/>
                <w:rFonts w:ascii="Times New Roman" w:hAnsi="Times New Roman"/>
                <w:sz w:val="24"/>
              </w:rPr>
              <w:t>ΝΟ, ΤΟΝ ΠΙΣΤΩΤΙΚΟ ΚΙΝΔΥΝΟ ΑΝΤΙΣΥΜΒΑΛΛΟΜΕΝΟΥ ΚΑΙ ΤΟΝ ΚΙΝΔ</w:t>
            </w:r>
            <w:r>
              <w:rPr>
                <w:rStyle w:val="InstructionsTabelleText"/>
                <w:rFonts w:ascii="Times New Roman" w:hAnsi="Times New Roman"/>
                <w:sz w:val="24"/>
              </w:rPr>
              <w:t>Υ</w:t>
            </w:r>
            <w:r>
              <w:rPr>
                <w:rStyle w:val="InstructionsTabelleText"/>
                <w:rFonts w:ascii="Times New Roman" w:hAnsi="Times New Roman"/>
                <w:sz w:val="24"/>
              </w:rPr>
              <w:t>ΝΟ ΑΠΟΜΕΙΩΣΗΣ ΤΗΣ ΑΞΙΑΣ ΕΙΣΠΡΑΚΤΕΩΝ ΚΑΙ ΤΙΣ ΑΤΕΛΕΙΣ ΣΥΝΑΛΛ</w:t>
            </w:r>
            <w:r>
              <w:rPr>
                <w:rStyle w:val="InstructionsTabelleText"/>
                <w:rFonts w:ascii="Times New Roman" w:hAnsi="Times New Roman"/>
                <w:sz w:val="24"/>
              </w:rPr>
              <w:t>Α</w:t>
            </w:r>
            <w:r>
              <w:rPr>
                <w:rStyle w:val="InstructionsTabelleText"/>
                <w:rFonts w:ascii="Times New Roman" w:hAnsi="Times New Roman"/>
                <w:sz w:val="24"/>
              </w:rPr>
              <w:t>ΓΕΣ» και των ποσών των απαιτήσεων ιδίων κεφαλαίων που ισούνται ή είναι ισοδύν</w:t>
            </w:r>
            <w:r>
              <w:rPr>
                <w:rStyle w:val="InstructionsTabelleText"/>
                <w:rFonts w:ascii="Times New Roman" w:hAnsi="Times New Roman"/>
                <w:sz w:val="24"/>
              </w:rPr>
              <w:t>α</w:t>
            </w:r>
            <w:r>
              <w:rPr>
                <w:rStyle w:val="InstructionsTabelleText"/>
                <w:rFonts w:ascii="Times New Roman" w:hAnsi="Times New Roman"/>
                <w:sz w:val="24"/>
              </w:rPr>
              <w:lastRenderedPageBreak/>
              <w:t>μα με τα ποσά που πρέπει να αναφέρονται στη γραμμή 490 «ΣΥΝΟΛΙΚΟ ΠΟΣΟ ΑΝΟΙΓΜΑΤΟΣ ΣΕ ΚΙΝΔΥΝΟ ΓΙΑ ΚΙΝΔΥΝΟΥΣ ΔΙΑΚΑΝΟΝ</w:t>
            </w:r>
            <w:r>
              <w:rPr>
                <w:rStyle w:val="InstructionsTabelleText"/>
                <w:rFonts w:ascii="Times New Roman" w:hAnsi="Times New Roman"/>
                <w:sz w:val="24"/>
              </w:rPr>
              <w:t>Ι</w:t>
            </w:r>
            <w:r>
              <w:rPr>
                <w:rStyle w:val="InstructionsTabelleText"/>
                <w:rFonts w:ascii="Times New Roman" w:hAnsi="Times New Roman"/>
                <w:sz w:val="24"/>
              </w:rPr>
              <w:t>ΣΜΟΥ/ΠΑΡΑΔΟΣΗΣ» του υποδείγματος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ΚΙΝΔΥΝΟΙ ΘΕΣΗΣ, ΣΥΝΑΛΛΑΓΜΑΤΟΣ ΚΑΙ ΒΑΣΙΚΟΥ ΕΜΠΟΡΕΥΜΑΤΟΣ</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των απαιτήσ</w:t>
            </w:r>
            <w:r>
              <w:rPr>
                <w:rStyle w:val="InstructionsTabelleText"/>
                <w:rFonts w:ascii="Times New Roman" w:hAnsi="Times New Roman"/>
                <w:sz w:val="24"/>
              </w:rPr>
              <w:t>ε</w:t>
            </w:r>
            <w:r>
              <w:rPr>
                <w:rStyle w:val="InstructionsTabelleText"/>
                <w:rFonts w:ascii="Times New Roman" w:hAnsi="Times New Roman"/>
                <w:sz w:val="24"/>
              </w:rPr>
              <w:t>ων ιδίων κεφαλαίων που ισούνται ή είναι ισοδύναμες των απαιτήσεων που πρέπει να αναφέρονται στη γραμμή 520 «ΣΥΝΟΛΙΚΟ ΠΟΣΟ ΑΝΟΙΓΜΑΤΟΣ ΣΕ ΚΙΝΔΥΝΟ ΓΙΑ ΤΟΥΣ ΚΙΝΔΥΝΟΥΣ ΘΕΣΗΣ, ΣΥΝΑΛΛΑΓΜΑΤΟΣ ΚΑΙ ΒΑΣΙΚΟΥ ΕΜΠ</w:t>
            </w:r>
            <w:r>
              <w:rPr>
                <w:rStyle w:val="InstructionsTabelleText"/>
                <w:rFonts w:ascii="Times New Roman" w:hAnsi="Times New Roman"/>
                <w:sz w:val="24"/>
              </w:rPr>
              <w:t>Ο</w:t>
            </w:r>
            <w:r>
              <w:rPr>
                <w:rStyle w:val="InstructionsTabelleText"/>
                <w:rFonts w:ascii="Times New Roman" w:hAnsi="Times New Roman"/>
                <w:sz w:val="24"/>
              </w:rPr>
              <w:t>ΡΕΥΜΑΤΟΣ» του υποδείγματος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ΛΕΙΤΟΥΡΓΙΚΟΣ ΚΙΝΔΥΝΟΣ</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ανοίγματος σε κίνδυνο που ισούται ή είναι ισοδύναμο του ποσού που αναφέρεται στη στήλη 590 «ΣΥΝΟΛΙΚΟ ΠΟΣΟ ΑΝΟΙΓΜΑΤΟΣ ΣΕ ΚΙΝΔΥΝΟ ΓΙΑ ΛΕΙΤΟΥΡΓΙΚΟΥΣ ΚΙ</w:t>
            </w:r>
            <w:r>
              <w:rPr>
                <w:rStyle w:val="InstructionsTabelleText"/>
                <w:rFonts w:ascii="Times New Roman" w:hAnsi="Times New Roman"/>
                <w:sz w:val="24"/>
              </w:rPr>
              <w:t>Ν</w:t>
            </w:r>
            <w:r>
              <w:rPr>
                <w:rStyle w:val="InstructionsTabelleText"/>
                <w:rFonts w:ascii="Times New Roman" w:hAnsi="Times New Roman"/>
                <w:sz w:val="24"/>
              </w:rPr>
              <w:t>ΔΥΝΟΥΣ (</w:t>
            </w:r>
            <w:proofErr w:type="spellStart"/>
            <w:r>
              <w:rPr>
                <w:rStyle w:val="InstructionsTabelleText"/>
                <w:rFonts w:ascii="Times New Roman" w:hAnsi="Times New Roman"/>
                <w:sz w:val="24"/>
              </w:rPr>
              <w:t>OpR</w:t>
            </w:r>
            <w:proofErr w:type="spellEnd"/>
            <w:r>
              <w:rPr>
                <w:rStyle w:val="InstructionsTabelleText"/>
                <w:rFonts w:ascii="Times New Roman" w:hAnsi="Times New Roman"/>
                <w:sz w:val="24"/>
              </w:rPr>
              <w:t>)» του υποδείγματος CA2.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Τα πάγια έξοδα περιλαμβάνονται στη συγκεκριμένη στήλη, συμπεριλαμβανομένης της γραμμής 630 «ΠΡΟΣΘΕΤΟ ΠΟΣΟ ΑΝΟΙΓΜΑΤΟΣ ΣΕ ΚΙΝΔΥΝΟ ΛΟΓΩ ΠΑΓΙΩΝ ΕΞΟΔΩΝ» του υποδείγματος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ΑΛΛΑ ΠΟΣΑ ΑΝΟΙΓΜΑΤΟΣ ΣΕ ΚΙΝΔΥΝΟ</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ανοίγματος σε κίνδυνο που δεν αναφέρεται συγκεκριμένα ανωτέρω. Πρόκειται για το άθροισμα των ποσών των γραμμών 640, 680 και 690 του υποδείγματος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ΛΕΠΤΟΜΕΡΕΙΣ ΠΛΗΡΟΦΟΡΙΕΣ ΓΙΑ ΤΑ ΙΔΙΑ ΚΕΦΑΛΑΙΑ ΦΕΡΕΓΓΥΟΤ</w:t>
            </w:r>
            <w:r>
              <w:rPr>
                <w:rStyle w:val="InstructionsTabelleberschrift"/>
                <w:rFonts w:ascii="Times New Roman" w:hAnsi="Times New Roman"/>
                <w:sz w:val="24"/>
              </w:rPr>
              <w:t>Η</w:t>
            </w:r>
            <w:r>
              <w:rPr>
                <w:rStyle w:val="InstructionsTabelleberschrift"/>
                <w:rFonts w:ascii="Times New Roman" w:hAnsi="Times New Roman"/>
                <w:sz w:val="24"/>
              </w:rPr>
              <w:t>ΤΑΣ ΟΜΙΛΟΥ</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Οι πληροφορίες που αναφέρονται στις ακόλουθες στήλες είναι σύμφωνες με τους κ</w:t>
            </w:r>
            <w:r>
              <w:rPr>
                <w:rStyle w:val="InstructionsTabelleText"/>
                <w:rFonts w:ascii="Times New Roman" w:hAnsi="Times New Roman"/>
                <w:sz w:val="24"/>
              </w:rPr>
              <w:t>α</w:t>
            </w:r>
            <w:r>
              <w:rPr>
                <w:rStyle w:val="InstructionsTabelleText"/>
                <w:rFonts w:ascii="Times New Roman" w:hAnsi="Times New Roman"/>
                <w:sz w:val="24"/>
              </w:rPr>
              <w:t xml:space="preserve">νόνες περί φερεγγυότητας που ισχύουν στον τόπο λειτουργίας του ιδρύματος ή του </w:t>
            </w:r>
            <w:proofErr w:type="spellStart"/>
            <w:r>
              <w:rPr>
                <w:rStyle w:val="InstructionsTabelleText"/>
                <w:rFonts w:ascii="Times New Roman" w:hAnsi="Times New Roman"/>
                <w:sz w:val="24"/>
              </w:rPr>
              <w:t>υ</w:t>
            </w:r>
            <w:r>
              <w:rPr>
                <w:rStyle w:val="InstructionsTabelleText"/>
                <w:rFonts w:ascii="Times New Roman" w:hAnsi="Times New Roman"/>
                <w:sz w:val="24"/>
              </w:rPr>
              <w:t>πο</w:t>
            </w:r>
            <w:proofErr w:type="spellEnd"/>
            <w:r>
              <w:rPr>
                <w:rStyle w:val="InstructionsTabelleText"/>
                <w:rFonts w:ascii="Times New Roman" w:hAnsi="Times New Roman"/>
                <w:sz w:val="24"/>
              </w:rPr>
              <w:t>-ομίλου.</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ΙΔΙΑ ΚΕΦΑΛΑΙΑ</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των ιδίων κ</w:t>
            </w:r>
            <w:r>
              <w:rPr>
                <w:rStyle w:val="InstructionsTabelleText"/>
                <w:rFonts w:ascii="Times New Roman" w:hAnsi="Times New Roman"/>
                <w:sz w:val="24"/>
              </w:rPr>
              <w:t>ε</w:t>
            </w:r>
            <w:r>
              <w:rPr>
                <w:rStyle w:val="InstructionsTabelleText"/>
                <w:rFonts w:ascii="Times New Roman" w:hAnsi="Times New Roman"/>
                <w:sz w:val="24"/>
              </w:rPr>
              <w:t>φαλαίων που ισούνται ή είναι ισοδύναμα των ποσών που πρέπει να αναφέρονται στη γραμμή 010 «ΙΔΙΑ ΚΕΦΑΛΑΙΑ» του υποδείγματος CA1.</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ΕΚ ΤΩΝ ΟΠΟΙΩΝ: ΑΠΟΔΕΚΤΑ ΙΔΙΑ ΚΕΦΑΛΑΙΑ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Άρθρο 82 του ΚΚΑ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Η στήλη υποβάλλεται μόνο για πλήρως ενοποιημένες θυγατρικές, για τις οποίες υπ</w:t>
            </w:r>
            <w:r>
              <w:rPr>
                <w:rStyle w:val="InstructionsTabelleText"/>
                <w:rFonts w:ascii="Times New Roman" w:hAnsi="Times New Roman"/>
                <w:sz w:val="24"/>
              </w:rPr>
              <w:t>ο</w:t>
            </w:r>
            <w:r>
              <w:rPr>
                <w:rStyle w:val="InstructionsTabelleText"/>
                <w:rFonts w:ascii="Times New Roman" w:hAnsi="Times New Roman"/>
                <w:sz w:val="24"/>
              </w:rPr>
              <w:t xml:space="preserve">βάλλονται αναφορές σε ατομική βάση, και οι οποίες είναι ιδρύματα.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Αποδεκτές συμμετοχές είναι, για τις προαναφερθείσες θυγατρικές, τα μέσα (καθώς και τα σχετικά κέρδη εις νέον, οι λογαριασμοί διαφοράς από την έκδοση μετοχών υπέρ το άρτιο και τα άλλα αποθεματικά) που ανήκουν σε πρόσωπα εκτός των επιχειρήσεων που περιλαμβάνονται στην ενοποίηση βάσει του ΚΚΑ.</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οποιασδήποτε μεταβατικής διάτ</w:t>
            </w:r>
            <w:r>
              <w:rPr>
                <w:rStyle w:val="InstructionsTabelleText"/>
                <w:rFonts w:ascii="Times New Roman" w:hAnsi="Times New Roman"/>
                <w:sz w:val="24"/>
              </w:rPr>
              <w:t>α</w:t>
            </w:r>
            <w:r>
              <w:rPr>
                <w:rStyle w:val="InstructionsTabelleText"/>
                <w:rFonts w:ascii="Times New Roman" w:hAnsi="Times New Roman"/>
                <w:sz w:val="24"/>
              </w:rPr>
              <w:t>ξης. Είναι το επιλέξιμο ποσό κατά την ημερομηνία υποβολής αναφοράς.</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ΣΧΕΤΙΚΑ ΜΕΣΑ ΙΔΙΩΝ ΚΕΦΑΛΑΙΩΝ, ΣΧΕΤΙΚΑ ΚΕΡΔΗ ΕΙΣ ΝΕΟΝ, Λ</w:t>
            </w:r>
            <w:r>
              <w:rPr>
                <w:rStyle w:val="InstructionsTabelleberschrift"/>
                <w:rFonts w:ascii="Times New Roman" w:hAnsi="Times New Roman"/>
                <w:sz w:val="24"/>
              </w:rPr>
              <w:t>Ο</w:t>
            </w:r>
            <w:r>
              <w:rPr>
                <w:rStyle w:val="InstructionsTabelleberschrift"/>
                <w:rFonts w:ascii="Times New Roman" w:hAnsi="Times New Roman"/>
                <w:sz w:val="24"/>
              </w:rPr>
              <w:t>ΓΑΡΙΑΣΜΟΙ ΔΙΑΦΟΡΑΣ ΑΠΟ ΤΗΝ ΕΚΔΟΣΗ ΜΕΤΟΧΩΝ ΥΠΕΡ ΤΟ ΑΡΤΙΟ ΚΑΙ ΛΟΙΠΑ ΑΠΟΘΕΜΑΤΙΚΑ</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87 παράγραφος 1 στοιχείο β) του ΚΚΑ</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ΣΥΝΟΛΙΚΟ ΚΕΦΑΛΑΙΟ ΚΑΤΗΓΟΡΙΑΣ 1</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Άρθρο 25 του ΚΚΑ</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ΕΚ ΤΩΝ ΟΠΟΙΩΝ: ΑΠΟΔΕΚΤΟ ΚΕΦΑΛΑΙΟ ΚΑΤΗΓΟΡΙΑΣ 1</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Άρθρο 82 του ΚΚΑ</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Η στήλη υποβάλλεται μόνο για πλήρως ενοποιημένες θυγατρικές, για τις οποίες υπ</w:t>
            </w:r>
            <w:r>
              <w:rPr>
                <w:rStyle w:val="InstructionsTabelleText"/>
                <w:rFonts w:ascii="Times New Roman" w:hAnsi="Times New Roman"/>
                <w:sz w:val="24"/>
              </w:rPr>
              <w:t>ο</w:t>
            </w:r>
            <w:r>
              <w:rPr>
                <w:rStyle w:val="InstructionsTabelleText"/>
                <w:rFonts w:ascii="Times New Roman" w:hAnsi="Times New Roman"/>
                <w:sz w:val="24"/>
              </w:rPr>
              <w:t>βάλλονται αναφορές σε ατομική βάση, και οι οποίες είναι ιδρύματα.</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Αποδεκτές συμμετοχές είναι, για τις προαναφερθείσες θυγατρικές, τα μέσα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ενοποίηση βάσει του ΚΚΑ.</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οποιασδήποτε μεταβατικής διάτ</w:t>
            </w:r>
            <w:r>
              <w:rPr>
                <w:rStyle w:val="InstructionsTabelleText"/>
                <w:rFonts w:ascii="Times New Roman" w:hAnsi="Times New Roman"/>
                <w:sz w:val="24"/>
              </w:rPr>
              <w:t>α</w:t>
            </w:r>
            <w:r>
              <w:rPr>
                <w:rStyle w:val="InstructionsTabelleText"/>
                <w:rFonts w:ascii="Times New Roman" w:hAnsi="Times New Roman"/>
                <w:sz w:val="24"/>
              </w:rPr>
              <w:t>ξης. Είναι το επιλέξιμο ποσό κατά την ημερομηνία υποβολής αναφοράς.</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ΣΧΕΤΙΚΑ ΜΕΣΑ T1, ΣΧΕΤΙΚΑ ΚΕΡΔΗ ΕΙΣ ΝΕΟΝ, ΚΑΙ ΛΟΓΑΡΙΑΣΜΟΙ ΔΙΑΦΟΡΑΣ ΑΠΟ ΤΗΝ ΕΚΔΟΣΗ ΜΕΤΟΧΩΝ ΥΠΕΡ ΤΟ ΑΡΤΙΟ</w:t>
            </w:r>
          </w:p>
          <w:p w:rsidR="00464F34" w:rsidRPr="00392FFD" w:rsidRDefault="00144F0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t>Άρθρο 85 παράγραφος 1 στοιχείο β) του ΚΚΑ</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ΚΕΦΑΛΑΙΟ ΚΟΙΝΩΝ ΜΕΤΟΧΩΝ ΤΗΣ ΚΑΤΗΓΟΡΙΑΣ 1</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Άρθρο 50 του ΚΚΑ</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ΕΚ ΤΩΝ ΟΠΟΙΩΝ: ΔΙΚΑΙΩΜΑΤΑ ΜΕΙΟΨΗΦΙΑΣ</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Άρθρο 81 του ΚΚΑ</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Η στήλη αυτή υποβάλλεται μόνο για πλήρως ενοποιημένες θυγατρικές, οι οποίες είναι ιδρύματα, εκτός των θυγατρικών που αναφέρονται στο άρθρο 84 παράγραφος 3 του ΚΚΑ. Κάθε θυγατρική εξετάζεται σε υποενοποιημένη βάση για τους σκοπούς όλων των υπολογισμών που απαιτούνται στο άρθρο 84 του ΚΚΑ, κατά περίπτωση, σύμφωνα με το άρθρο 84 παράγραφος 2. Σε αντίθετη περίπτωση, κάθε θυγατρική εξετάζεται σε ατομική βάση.</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Για τους σκοπούς του ΚΚΑ και του παρόντος υποδείγματος, δικαιώματα μειοψηφίας είναι, για τις προαναφερθείσες θυγατρικές, τα μέσα CET1 (καθώς και τα σχετικά κέ</w:t>
            </w:r>
            <w:r>
              <w:rPr>
                <w:rStyle w:val="InstructionsTabelleText"/>
                <w:rFonts w:ascii="Times New Roman" w:hAnsi="Times New Roman"/>
                <w:sz w:val="24"/>
              </w:rPr>
              <w:t>ρ</w:t>
            </w:r>
            <w:r>
              <w:rPr>
                <w:rStyle w:val="InstructionsTabelleText"/>
                <w:rFonts w:ascii="Times New Roman" w:hAnsi="Times New Roman"/>
                <w:sz w:val="24"/>
              </w:rPr>
              <w:t>δη εις νέον και οι λογαριασμοί διαφοράς από την έκδοση μετοχών υπέρ το άρτιο) που ανήκουν σε πρόσωπα εκτός των επιχειρήσεων που περιλαμβάνονται στην ενοποίηση βάσει του ΚΚΑ.</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οποιασδήποτε μεταβατικής διάτ</w:t>
            </w:r>
            <w:r>
              <w:rPr>
                <w:rStyle w:val="InstructionsTabelleText"/>
                <w:rFonts w:ascii="Times New Roman" w:hAnsi="Times New Roman"/>
                <w:sz w:val="24"/>
              </w:rPr>
              <w:t>α</w:t>
            </w:r>
            <w:r>
              <w:rPr>
                <w:rStyle w:val="InstructionsTabelleText"/>
                <w:rFonts w:ascii="Times New Roman" w:hAnsi="Times New Roman"/>
                <w:sz w:val="24"/>
              </w:rPr>
              <w:t>ξης. Είναι το επιλέξιμο ποσό κατά την ημερομηνία υποβολής αναφοράς.</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ΣΧΕΤΙΚΑ ΜΕΣΑ ΙΔΙΩΝ ΚΕΦΑΛΑΙΩΝ, ΣΧΕΤΙΚΑ ΚΕΡΔΗ ΕΙΣ ΝΕΟΝ, Λ</w:t>
            </w:r>
            <w:r>
              <w:rPr>
                <w:rStyle w:val="InstructionsTabelleberschrift"/>
                <w:rFonts w:ascii="Times New Roman" w:hAnsi="Times New Roman"/>
                <w:sz w:val="24"/>
              </w:rPr>
              <w:t>Ο</w:t>
            </w:r>
            <w:r>
              <w:rPr>
                <w:rStyle w:val="InstructionsTabelleberschrift"/>
                <w:rFonts w:ascii="Times New Roman" w:hAnsi="Times New Roman"/>
                <w:sz w:val="24"/>
              </w:rPr>
              <w:t xml:space="preserve">ΓΑΡΙΑΣΜΟΙ ΔΙΑΦΟΡΑΣ ΑΠΟ ΤΗΝ ΕΚΔΟΣΗ ΜΕΤΟΧΩΝ ΥΠΕΡ ΤΟ ΑΡΤΙΟ </w:t>
            </w:r>
            <w:r>
              <w:rPr>
                <w:rStyle w:val="InstructionsTabelleberschrift"/>
                <w:rFonts w:ascii="Times New Roman" w:hAnsi="Times New Roman"/>
                <w:sz w:val="24"/>
              </w:rPr>
              <w:lastRenderedPageBreak/>
              <w:t>ΚΑΙ ΛΟΙΠΑ ΑΠΟΘΕΜΑΤΙΚΑ</w:t>
            </w:r>
          </w:p>
          <w:p w:rsidR="00464F34" w:rsidRPr="00392FFD" w:rsidRDefault="00144F0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84 παράγραφος 1 στοιχείο β) του ΚΚΑ</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ΠΡΟΣΘΕΤΟ ΚΕΦΑΛΑΙΟ ΤΗΣ ΚΑΤΗΓΟΡΙΑΣ 1</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Άρθρο 61 του ΚΚΑ</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ΕΚ ΤΩΝ ΟΠΟΙΩΝ: ΑΠΟΔΕΚΤΟ ΠΡΟΣΘΕΤΟ ΚΕΦΑΛΑΙΟ ΤΗΣ ΚΑΤΗΓ</w:t>
            </w:r>
            <w:r>
              <w:rPr>
                <w:rStyle w:val="InstructionsTabelleberschrift"/>
                <w:rFonts w:ascii="Times New Roman" w:hAnsi="Times New Roman"/>
                <w:sz w:val="24"/>
              </w:rPr>
              <w:t>Ο</w:t>
            </w:r>
            <w:r>
              <w:rPr>
                <w:rStyle w:val="InstructionsTabelleberschrift"/>
                <w:rFonts w:ascii="Times New Roman" w:hAnsi="Times New Roman"/>
                <w:sz w:val="24"/>
              </w:rPr>
              <w:t>ΡΙΑΣ 1</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Άρθρα 82 και 83 του ΚΚΑ</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Η στήλη αυτή παρέχεται μόνο για πλήρως ενοποιημένες θυγατρικές, για τις οποίες </w:t>
            </w:r>
            <w:r>
              <w:rPr>
                <w:rStyle w:val="InstructionsTabelleText"/>
                <w:rFonts w:ascii="Times New Roman" w:hAnsi="Times New Roman"/>
                <w:sz w:val="24"/>
              </w:rPr>
              <w:t>υ</w:t>
            </w:r>
            <w:r>
              <w:rPr>
                <w:rStyle w:val="InstructionsTabelleText"/>
                <w:rFonts w:ascii="Times New Roman" w:hAnsi="Times New Roman"/>
                <w:sz w:val="24"/>
              </w:rPr>
              <w:t>ποβάλλεται αναφορά σε ατομική βάση, και οι οποίες είναι ιδρύματα, εκτός των θυγ</w:t>
            </w:r>
            <w:r>
              <w:rPr>
                <w:rStyle w:val="InstructionsTabelleText"/>
                <w:rFonts w:ascii="Times New Roman" w:hAnsi="Times New Roman"/>
                <w:sz w:val="24"/>
              </w:rPr>
              <w:t>α</w:t>
            </w:r>
            <w:r>
              <w:rPr>
                <w:rStyle w:val="InstructionsTabelleText"/>
                <w:rFonts w:ascii="Times New Roman" w:hAnsi="Times New Roman"/>
                <w:sz w:val="24"/>
              </w:rPr>
              <w:t>τρικών που αναφέρονται στο άρθρο 85 παράγραφος 2 του ΚΚΑ. Κάθε θυγατρική εξ</w:t>
            </w:r>
            <w:r>
              <w:rPr>
                <w:rStyle w:val="InstructionsTabelleText"/>
                <w:rFonts w:ascii="Times New Roman" w:hAnsi="Times New Roman"/>
                <w:sz w:val="24"/>
              </w:rPr>
              <w:t>ε</w:t>
            </w:r>
            <w:r>
              <w:rPr>
                <w:rStyle w:val="InstructionsTabelleText"/>
                <w:rFonts w:ascii="Times New Roman" w:hAnsi="Times New Roman"/>
                <w:sz w:val="24"/>
              </w:rPr>
              <w:t>τάζεται σε υποενοποιημένη βάση για τους σκοπούς όλων των υπολογισμών που απα</w:t>
            </w:r>
            <w:r>
              <w:rPr>
                <w:rStyle w:val="InstructionsTabelleText"/>
                <w:rFonts w:ascii="Times New Roman" w:hAnsi="Times New Roman"/>
                <w:sz w:val="24"/>
              </w:rPr>
              <w:t>ι</w:t>
            </w:r>
            <w:r>
              <w:rPr>
                <w:rStyle w:val="InstructionsTabelleText"/>
                <w:rFonts w:ascii="Times New Roman" w:hAnsi="Times New Roman"/>
                <w:sz w:val="24"/>
              </w:rPr>
              <w:t>τούνται στο άρθρο 85 του ΚΚΑ, κατά περίπτωση, σύμφωνα με το άρθρο 85 παράγρ</w:t>
            </w:r>
            <w:r>
              <w:rPr>
                <w:rStyle w:val="InstructionsTabelleText"/>
                <w:rFonts w:ascii="Times New Roman" w:hAnsi="Times New Roman"/>
                <w:sz w:val="24"/>
              </w:rPr>
              <w:t>α</w:t>
            </w:r>
            <w:r>
              <w:rPr>
                <w:rStyle w:val="InstructionsTabelleText"/>
                <w:rFonts w:ascii="Times New Roman" w:hAnsi="Times New Roman"/>
                <w:sz w:val="24"/>
              </w:rPr>
              <w:t>φος 2. Σε αντίθετη περίπτωση, κάθε θυγατρική εξετάζεται σε ατομική βάση.</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Για τους σκοπούς του ΚΚΑ και του παρόντος υποδείγματος, δικαιώματα μειοψηφίας είναι, για τις προαναφερθείσες θυγατρικές, τα μέσα AT1 (καθώς και τα σχετικά κέρδη εις νέον και οι λογαριασμοί διαφοράς από την έκδοση μετοχών υπέρ το άρτιο) που </w:t>
            </w:r>
            <w:r>
              <w:rPr>
                <w:rStyle w:val="InstructionsTabelleText"/>
                <w:rFonts w:ascii="Times New Roman" w:hAnsi="Times New Roman"/>
                <w:sz w:val="24"/>
              </w:rPr>
              <w:t>α</w:t>
            </w:r>
            <w:r>
              <w:rPr>
                <w:rStyle w:val="InstructionsTabelleText"/>
                <w:rFonts w:ascii="Times New Roman" w:hAnsi="Times New Roman"/>
                <w:sz w:val="24"/>
              </w:rPr>
              <w:t>νήκουν σε πρόσωπα εκτός των επιχειρήσεων που περιλαμβάνονται στην ενοποίηση βάσει του ΚΚΑ.</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οποιασδήποτε μεταβατικής διάτ</w:t>
            </w:r>
            <w:r>
              <w:rPr>
                <w:rStyle w:val="InstructionsTabelleText"/>
                <w:rFonts w:ascii="Times New Roman" w:hAnsi="Times New Roman"/>
                <w:sz w:val="24"/>
              </w:rPr>
              <w:t>α</w:t>
            </w:r>
            <w:r>
              <w:rPr>
                <w:rStyle w:val="InstructionsTabelleText"/>
                <w:rFonts w:ascii="Times New Roman" w:hAnsi="Times New Roman"/>
                <w:sz w:val="24"/>
              </w:rPr>
              <w:t>ξης. Είναι το επιλέξιμο ποσό κατά την ημερομηνία υποβολής αναφοράς.</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ΚΕΦΑΛΑΙΟ ΚΑΤΗΓΟΡΙΑΣ 2</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Άρθρο 71 του ΚΚΑ</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ΕΚ ΤΩΝ ΟΠΟΙΩΝ: ΑΠΟΔΕΚΤΟ ΚΕΦΑΛΑΙΟ ΚΑΤΗΓΟΡΙΑΣ 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Άρθρα 82 και 83 του ΚΚΑ</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Η στήλη αυτή παρέχεται μόνο για πλήρως ενοποιημένες θυγατρικές, για τις οποίες </w:t>
            </w:r>
            <w:r>
              <w:rPr>
                <w:rStyle w:val="InstructionsTabelleText"/>
                <w:rFonts w:ascii="Times New Roman" w:hAnsi="Times New Roman"/>
                <w:sz w:val="24"/>
              </w:rPr>
              <w:t>υ</w:t>
            </w:r>
            <w:r>
              <w:rPr>
                <w:rStyle w:val="InstructionsTabelleText"/>
                <w:rFonts w:ascii="Times New Roman" w:hAnsi="Times New Roman"/>
                <w:sz w:val="24"/>
              </w:rPr>
              <w:t>ποβάλλεται αναφορά σε ατομική βάση, και οι οποίες είναι ιδρύματα, εκτός των θυγ</w:t>
            </w:r>
            <w:r>
              <w:rPr>
                <w:rStyle w:val="InstructionsTabelleText"/>
                <w:rFonts w:ascii="Times New Roman" w:hAnsi="Times New Roman"/>
                <w:sz w:val="24"/>
              </w:rPr>
              <w:t>α</w:t>
            </w:r>
            <w:r>
              <w:rPr>
                <w:rStyle w:val="InstructionsTabelleText"/>
                <w:rFonts w:ascii="Times New Roman" w:hAnsi="Times New Roman"/>
                <w:sz w:val="24"/>
              </w:rPr>
              <w:t>τρικών που αναφέρονται στο άρθρο 87 παράγραφος 2 του ΚΚΑ. Κάθε θυγατρική εξ</w:t>
            </w:r>
            <w:r>
              <w:rPr>
                <w:rStyle w:val="InstructionsTabelleText"/>
                <w:rFonts w:ascii="Times New Roman" w:hAnsi="Times New Roman"/>
                <w:sz w:val="24"/>
              </w:rPr>
              <w:t>ε</w:t>
            </w:r>
            <w:r>
              <w:rPr>
                <w:rStyle w:val="InstructionsTabelleText"/>
                <w:rFonts w:ascii="Times New Roman" w:hAnsi="Times New Roman"/>
                <w:sz w:val="24"/>
              </w:rPr>
              <w:t>τάζεται σε υποενοποιημένη βάση για τους σκοπούς όλων των υπολογισμών που απα</w:t>
            </w:r>
            <w:r>
              <w:rPr>
                <w:rStyle w:val="InstructionsTabelleText"/>
                <w:rFonts w:ascii="Times New Roman" w:hAnsi="Times New Roman"/>
                <w:sz w:val="24"/>
              </w:rPr>
              <w:t>ι</w:t>
            </w:r>
            <w:r>
              <w:rPr>
                <w:rStyle w:val="InstructionsTabelleText"/>
                <w:rFonts w:ascii="Times New Roman" w:hAnsi="Times New Roman"/>
                <w:sz w:val="24"/>
              </w:rPr>
              <w:t>τούνται στο άρθρο 87 του ΚΚΑ, κατά περίπτωση, σύμφωνα με το άρθρο 87 παράγρ</w:t>
            </w:r>
            <w:r>
              <w:rPr>
                <w:rStyle w:val="InstructionsTabelleText"/>
                <w:rFonts w:ascii="Times New Roman" w:hAnsi="Times New Roman"/>
                <w:sz w:val="24"/>
              </w:rPr>
              <w:t>α</w:t>
            </w:r>
            <w:r>
              <w:rPr>
                <w:rStyle w:val="InstructionsTabelleText"/>
                <w:rFonts w:ascii="Times New Roman" w:hAnsi="Times New Roman"/>
                <w:sz w:val="24"/>
              </w:rPr>
              <w:t xml:space="preserve">φος 2 του ΚΚΑ. Σε αντίθετη περίπτωση, κάθε θυγατρική εξετάζεται σε ατομική βάση.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Για τους σκοπούς του ΚΚΑ και του παρόντος υποδείγματος, δικαιώματα μειοψηφίας είναι, για τις προαναφερθείσες θυγατρικές, τα μέσα T2 (καθώς και τα σχετικά κέρδη εις νέον και οι λογαριασμοί διαφοράς από την έκδοση μετοχών υπέρ το άρτιο) που </w:t>
            </w:r>
            <w:r>
              <w:rPr>
                <w:rStyle w:val="InstructionsTabelleText"/>
                <w:rFonts w:ascii="Times New Roman" w:hAnsi="Times New Roman"/>
                <w:sz w:val="24"/>
              </w:rPr>
              <w:t>α</w:t>
            </w:r>
            <w:r>
              <w:rPr>
                <w:rStyle w:val="InstructionsTabelleText"/>
                <w:rFonts w:ascii="Times New Roman" w:hAnsi="Times New Roman"/>
                <w:sz w:val="24"/>
              </w:rPr>
              <w:t>νήκουν σε πρόσωπα εκτός των επιχειρήσεων που περιλαμβάνονται στην ενοποίηση βάσει του ΚΚΑ.</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οποιασδήποτε μεταβατικής διάτ</w:t>
            </w:r>
            <w:r>
              <w:rPr>
                <w:rStyle w:val="InstructionsTabelleText"/>
                <w:rFonts w:ascii="Times New Roman" w:hAnsi="Times New Roman"/>
                <w:sz w:val="24"/>
              </w:rPr>
              <w:t>α</w:t>
            </w:r>
            <w:r>
              <w:rPr>
                <w:rStyle w:val="InstructionsTabelleText"/>
                <w:rFonts w:ascii="Times New Roman" w:hAnsi="Times New Roman"/>
                <w:sz w:val="24"/>
              </w:rPr>
              <w:t>ξης, δηλαδή, πρέπει να είναι το επιλέξιμο ποσό κατά την ημερομηνία υποβολής αν</w:t>
            </w:r>
            <w:r>
              <w:rPr>
                <w:rStyle w:val="InstructionsTabelleText"/>
                <w:rFonts w:ascii="Times New Roman" w:hAnsi="Times New Roman"/>
                <w:sz w:val="24"/>
              </w:rPr>
              <w:t>α</w:t>
            </w:r>
            <w:r>
              <w:rPr>
                <w:rStyle w:val="InstructionsTabelleText"/>
                <w:rFonts w:ascii="Times New Roman" w:hAnsi="Times New Roman"/>
                <w:sz w:val="24"/>
              </w:rPr>
              <w:t>φοράς.</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ΠΛΗΡΟΦΟΡΙΕΣ ΣΧΕΤΙΚΑ ΜΕ ΤΗ ΣΥΝΕΙΣΦΟΡΑ ΟΝΤΟΤΗΤΩΝ ΣΤΗ Φ</w:t>
            </w:r>
            <w:r>
              <w:rPr>
                <w:rStyle w:val="InstructionsTabelleberschrift"/>
                <w:rFonts w:ascii="Times New Roman" w:hAnsi="Times New Roman"/>
                <w:sz w:val="24"/>
              </w:rPr>
              <w:t>Ε</w:t>
            </w:r>
            <w:r>
              <w:rPr>
                <w:rStyle w:val="InstructionsTabelleberschrift"/>
                <w:rFonts w:ascii="Times New Roman" w:hAnsi="Times New Roman"/>
                <w:sz w:val="24"/>
              </w:rPr>
              <w:t>ΡΕΓΓΥΟΤΗΤΑ ΤΟΥ ΟΜΙΛΟΥ</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250-290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ΣΥΝΕΙΣΦΟΡΑ ΣΤΟΥΣ ΚΙΝΔΥΝΟΥΣ</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Οι αναφερόμενες στις ακόλουθες στήλες πληροφορίες είναι σύμφωνες με τους κανόνες περί φερεγγυότητας που ισχύουν για το ίδρυμα που παρέχει τις πληροφορίες.</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ΣΥΝΟΛΙΚΟ ΠΟΣΟ ΑΝΟΙΓΜΑΤΟΣ ΣΕ ΚΙΝΔΥΝΟ</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Αναφέρεται το άθροισμα των ποσών των στηλών 260 έως 290.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ΚΙΝΔΥΝΟΙ: ΠΙΣΤΩΤΙΚΟΣ, ΠΙΣΤΩΤΙΚΟΣ ΑΝΤΙΣΥΜΒΑΛΛΟΜΕΝΟΥ, ΚΙ</w:t>
            </w:r>
            <w:r>
              <w:rPr>
                <w:rStyle w:val="InstructionsTabelleberschrift"/>
                <w:rFonts w:ascii="Times New Roman" w:hAnsi="Times New Roman"/>
                <w:sz w:val="24"/>
              </w:rPr>
              <w:t>Ν</w:t>
            </w:r>
            <w:r>
              <w:rPr>
                <w:rStyle w:val="InstructionsTabelleberschrift"/>
                <w:rFonts w:ascii="Times New Roman" w:hAnsi="Times New Roman"/>
                <w:sz w:val="24"/>
              </w:rPr>
              <w:t>ΔΥΝΟΣ ΑΠΟΜΕΙΩΣΗΣ ΑΞΙΑΣ ΕΙΣΠΡΑΚΤΕΩΝ, ΑΤΕΛΕΙΣ ΣΥΝΑΛΛΑΓΕΣ ΚΑΙ ΚΙΝΔΥΝΟΣ ΔΙΑΚΑΝΟΝΙΣΜΟΥ/ΠΑΡΑΔΟΣΗΣ</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Το προς αναφορά ποσό είναι τα σταθμισμένα ως προς τον κίνδυνο ποσά ανοίγματος όσον αφορά τον πιστωτικό κίνδυνο και τις απαιτήσεις ιδίων κεφαλαίων για τον κίνδ</w:t>
            </w:r>
            <w:r>
              <w:rPr>
                <w:rStyle w:val="InstructionsTabelleText"/>
                <w:rFonts w:ascii="Times New Roman" w:hAnsi="Times New Roman"/>
                <w:sz w:val="24"/>
              </w:rPr>
              <w:t>υ</w:t>
            </w:r>
            <w:r>
              <w:rPr>
                <w:rStyle w:val="InstructionsTabelleText"/>
                <w:rFonts w:ascii="Times New Roman" w:hAnsi="Times New Roman"/>
                <w:sz w:val="24"/>
              </w:rPr>
              <w:t>νο διακανονισμού/παράδοσης σύμφωνα με τον ΚΚΑ, εξαιρουμένου οποιουδήποτε π</w:t>
            </w:r>
            <w:r>
              <w:rPr>
                <w:rStyle w:val="InstructionsTabelleText"/>
                <w:rFonts w:ascii="Times New Roman" w:hAnsi="Times New Roman"/>
                <w:sz w:val="24"/>
              </w:rPr>
              <w:t>ο</w:t>
            </w:r>
            <w:r>
              <w:rPr>
                <w:rStyle w:val="InstructionsTabelleText"/>
                <w:rFonts w:ascii="Times New Roman" w:hAnsi="Times New Roman"/>
                <w:sz w:val="24"/>
              </w:rPr>
              <w:t>σού που αφορά συναλλαγές με άλλες οντότητες που περιλαμβάνονται στον υπολογ</w:t>
            </w:r>
            <w:r>
              <w:rPr>
                <w:rStyle w:val="InstructionsTabelleText"/>
                <w:rFonts w:ascii="Times New Roman" w:hAnsi="Times New Roman"/>
                <w:sz w:val="24"/>
              </w:rPr>
              <w:t>ι</w:t>
            </w:r>
            <w:r>
              <w:rPr>
                <w:rStyle w:val="InstructionsTabelleText"/>
                <w:rFonts w:ascii="Times New Roman" w:hAnsi="Times New Roman"/>
                <w:sz w:val="24"/>
              </w:rPr>
              <w:t>σμό του ενοποιημένου συντελεστή φερεγγυότητας του ομίλου.</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ΚΙΝΔΥΝΟΙ ΘΕΣΗΣ, ΣΥΝΑΛΛΑΓΜΑΤΟΣ ΚΑΙ ΒΑΣΙΚΟΥ ΕΜΠΟΡΕΥΜΑΤΟΣ</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Τα ποσά ανοίγματος σε κινδύνους αγοράς υπολογίζονται σε επίπεδο οντότητας σύ</w:t>
            </w:r>
            <w:r>
              <w:rPr>
                <w:rStyle w:val="InstructionsTabelleText"/>
                <w:rFonts w:ascii="Times New Roman" w:hAnsi="Times New Roman"/>
                <w:sz w:val="24"/>
              </w:rPr>
              <w:t>μ</w:t>
            </w:r>
            <w:r>
              <w:rPr>
                <w:rStyle w:val="InstructionsTabelleText"/>
                <w:rFonts w:ascii="Times New Roman" w:hAnsi="Times New Roman"/>
                <w:sz w:val="24"/>
              </w:rPr>
              <w:t xml:space="preserve">φωνα με τον ΚΚΑ. Οι οντότητες αναφέρουν τη συνεισφορά στα συνολικά ποσά </w:t>
            </w:r>
            <w:r>
              <w:rPr>
                <w:rStyle w:val="InstructionsTabelleText"/>
                <w:rFonts w:ascii="Times New Roman" w:hAnsi="Times New Roman"/>
                <w:sz w:val="24"/>
              </w:rPr>
              <w:t>α</w:t>
            </w:r>
            <w:r>
              <w:rPr>
                <w:rStyle w:val="InstructionsTabelleText"/>
                <w:rFonts w:ascii="Times New Roman" w:hAnsi="Times New Roman"/>
                <w:sz w:val="24"/>
              </w:rPr>
              <w:t>νοίγματος σε κίνδυνο θέσης, συναλλάγματος και βασικού εμπορεύματος του ομίλου. Το άθροισμα των ποσών που αναφέρονται στο συγκεκριμένο σημείο αντιστοιχεί στο ποσό που αναφέρεται στη γραμμή 520 «ΣΥΝΟΛΙΚΑ ΠΟΣΑ ΑΝΟΙΓΜΑΤΟΣ ΣΕ ΚΙΝΔΥΝΟ ΓΙΑ ΤΟΥΣ ΚΙΝΔΥΝΟΥΣ ΘΕΣΗΣ, ΣΥΝΑΛΛΑΓΜΑΤΟΣ ΚΑΙ ΒΑΣ</w:t>
            </w:r>
            <w:r>
              <w:rPr>
                <w:rStyle w:val="InstructionsTabelleText"/>
                <w:rFonts w:ascii="Times New Roman" w:hAnsi="Times New Roman"/>
                <w:sz w:val="24"/>
              </w:rPr>
              <w:t>Ι</w:t>
            </w:r>
            <w:r>
              <w:rPr>
                <w:rStyle w:val="InstructionsTabelleText"/>
                <w:rFonts w:ascii="Times New Roman" w:hAnsi="Times New Roman"/>
                <w:sz w:val="24"/>
              </w:rPr>
              <w:t>ΚΟΥ ΕΜΠΟΡΕΥΜΑΤΟΣ» της ενοποιημένης αναφοράς.</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ΛΕΙΤΟΥΡΓΙΚΟΣ ΚΙΝΔΥΝΟΣ</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Στην περίπτωση της προσέγγισης ΑΜΑ, τα αναφερόμενα ποσά ανοίγματος σε λε</w:t>
            </w:r>
            <w:r>
              <w:rPr>
                <w:rStyle w:val="InstructionsTabelleText"/>
                <w:rFonts w:ascii="Times New Roman" w:hAnsi="Times New Roman"/>
                <w:sz w:val="24"/>
              </w:rPr>
              <w:t>ι</w:t>
            </w:r>
            <w:r>
              <w:rPr>
                <w:rStyle w:val="InstructionsTabelleText"/>
                <w:rFonts w:ascii="Times New Roman" w:hAnsi="Times New Roman"/>
                <w:sz w:val="24"/>
              </w:rPr>
              <w:t>τουργικό κίνδυνο περιλαμβάνουν την επίδραση της διαφοροποίησης.</w:t>
            </w:r>
          </w:p>
          <w:p w:rsidR="00464F34" w:rsidRPr="00392FFD" w:rsidRDefault="00464F34" w:rsidP="00464F34">
            <w:pPr>
              <w:rPr>
                <w:rStyle w:val="InstructionsTabelleText"/>
                <w:rFonts w:ascii="Times New Roman" w:hAnsi="Times New Roman"/>
                <w:sz w:val="24"/>
              </w:rPr>
            </w:pPr>
            <w:r>
              <w:rPr>
                <w:rFonts w:ascii="Times New Roman" w:hAnsi="Times New Roman"/>
                <w:caps/>
                <w:sz w:val="24"/>
              </w:rPr>
              <w:t>Η συγκεκριμένη στήλη περιλαμβάνει πάγια έξοδα.</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ΑΛΛΑ ΠΟΣΑ ΑΝΟΙΓΜΑΤΟΣ ΣΕ ΚΙΝΔΥΝΟ</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ανοίγματος σε κίνδυνο που δεν αναφέρεται συγκεκριμένα ανωτέρω.</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ΣΥΝΕΙΣΦΟΡΑ ΣΤΑ ΙΔΙΑ ΚΕΦΑΛΑΙΑ</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Το συγκεκριμένο μέρος του υποδείγματος δεν στοχεύει στην επιβολή της υποχρέωσης στα ιδρύματα να υπολογίζουν πλήρως τον συνολικό δείκτη κεφαλαίου στο επίπεδο της κάθε οντότητας. </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Οι στήλες 300 έως 350 αναφέρονται για τις ενοποιημένες οντότητες που συνεισφέρουν στα ίδια κεφάλαια με δικαιώματα μειοψηφίας, αποδεκτό κεφάλαιο της κατηγορίας 1 και / ή αποδεκτά ίδια κεφάλαια. Με την επιφύλαξη του κατώτατου ορίου που ορίζεται στην τελευταία παράγραφο του μέρους ΙΙ κεφάλαιο 2.3 ανωτέρω, οι στήλες 360 έως 400 αναφέρονται για όλες τις ενοποιημένες οντότητες που συνεισφέρουν στα ενοποι</w:t>
            </w:r>
            <w:r>
              <w:rPr>
                <w:rFonts w:ascii="Times New Roman" w:hAnsi="Times New Roman"/>
                <w:sz w:val="24"/>
              </w:rPr>
              <w:t>η</w:t>
            </w:r>
            <w:r>
              <w:rPr>
                <w:rFonts w:ascii="Times New Roman" w:hAnsi="Times New Roman"/>
                <w:sz w:val="24"/>
              </w:rPr>
              <w:t>μένα ίδια κεφάλαια.</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Δεν λαμβάνονται υπόψη τα ίδια κεφάλαια τα οποία εισφέρουν σε μια οντότητα οι υπ</w:t>
            </w:r>
            <w:r>
              <w:rPr>
                <w:rStyle w:val="InstructionsTabelleText"/>
                <w:rFonts w:ascii="Times New Roman" w:hAnsi="Times New Roman"/>
                <w:sz w:val="24"/>
              </w:rPr>
              <w:t>ό</w:t>
            </w:r>
            <w:r>
              <w:rPr>
                <w:rStyle w:val="InstructionsTabelleText"/>
                <w:rFonts w:ascii="Times New Roman" w:hAnsi="Times New Roman"/>
                <w:sz w:val="24"/>
              </w:rPr>
              <w:t xml:space="preserve">λοιπες οντότητες οι οποίες περιλαμβάνονται στο πεδίο εφαρμογής της αναφέρουσας </w:t>
            </w:r>
            <w:r>
              <w:rPr>
                <w:rStyle w:val="InstructionsTabelleText"/>
                <w:rFonts w:ascii="Times New Roman" w:hAnsi="Times New Roman"/>
                <w:sz w:val="24"/>
              </w:rPr>
              <w:lastRenderedPageBreak/>
              <w:t xml:space="preserve">οντότητας. Μόνο η καθαρή συνεισφορά στα ίδια κεφάλαια του ομίλου αναφέρεται στη συγκεκριμένη στήλη, δηλαδή κυρίως τα ίδια κεφάλαια που έχουν αντληθεί από τρίτα μέρη και συσσωρευμένα αποθεματικά. </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Οι αναφερόμενες στις ακόλουθες στήλες πληροφορίες είναι σύμφωνες με τους κανόνες περί φερεγγυότητας που ισχύουν για το ίδρυμα που παρέχει τις πληροφορίες.</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300-350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ΑΠΟΔΕΚΤΑ ΙΔΙΑ ΚΕΦΑΛΑΙΑ ΠΟΥ ΠΕΡΙΛΑΜΒΑΝΟΝΤΑΙ ΣΤΑ ΕΝΟΠΟ</w:t>
            </w:r>
            <w:r>
              <w:rPr>
                <w:rStyle w:val="InstructionsTabelleberschrift"/>
                <w:rFonts w:ascii="Times New Roman" w:hAnsi="Times New Roman"/>
                <w:sz w:val="24"/>
              </w:rPr>
              <w:t>Ι</w:t>
            </w:r>
            <w:r>
              <w:rPr>
                <w:rStyle w:val="InstructionsTabelleberschrift"/>
                <w:rFonts w:ascii="Times New Roman" w:hAnsi="Times New Roman"/>
                <w:sz w:val="24"/>
              </w:rPr>
              <w:t>ΗΜΕΝΑ ΙΔΙΑ ΚΕΦΑΛΑΙΑ</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Το προς αναφορά ποσό ως «ΑΠΟΔΕΚΤΑ ΙΔΙΑ ΚΕΦΑΛΑΙΑ ΠΟΥ ΠΕΡΙΛΑΜΒ</w:t>
            </w:r>
            <w:r>
              <w:rPr>
                <w:rStyle w:val="InstructionsTabelleText"/>
                <w:rFonts w:ascii="Times New Roman" w:hAnsi="Times New Roman"/>
                <w:sz w:val="24"/>
              </w:rPr>
              <w:t>Α</w:t>
            </w:r>
            <w:r>
              <w:rPr>
                <w:rStyle w:val="InstructionsTabelleText"/>
                <w:rFonts w:ascii="Times New Roman" w:hAnsi="Times New Roman"/>
                <w:sz w:val="24"/>
              </w:rPr>
              <w:t>ΝΟΝΤΑΙ ΣΤΑ ΕΝΟΠΟΙΗΜΕΝΑ ΙΔΙΑ ΚΕΦΑΛΑΙΑ» είναι το ποσό που λαμβάνεται από το δεύτερο μέρος τίτλος II του ΚΚΑ, με την εξαίρεση οποιουδήποτε κεφαλαίου που εισφέρουν άλλες οντότητες του ομίλου.</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ΑΠΟΔΕΚΤΑ ΙΔΙΑ ΚΕΦΑΛΑΙΑ ΠΟΥ ΠΕΡΙΛΑΜΒΑΝΟΝΤΑΙ ΣΤΑ ΕΝΟΠΟ</w:t>
            </w:r>
            <w:r>
              <w:rPr>
                <w:rStyle w:val="InstructionsTabelleberschrift"/>
                <w:rFonts w:ascii="Times New Roman" w:hAnsi="Times New Roman"/>
                <w:sz w:val="24"/>
              </w:rPr>
              <w:t>Ι</w:t>
            </w:r>
            <w:r>
              <w:rPr>
                <w:rStyle w:val="InstructionsTabelleberschrift"/>
                <w:rFonts w:ascii="Times New Roman" w:hAnsi="Times New Roman"/>
                <w:sz w:val="24"/>
              </w:rPr>
              <w:t>ΗΜΕΝΑ ΙΔΙΑ ΚΕΦΑΛΑΙΑ</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Άρθρο 87 του ΚΚΑ</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ΑΠΟΔΕΚΤΑ ΜΕΣΑ ΤΗΣ ΚΑΤΗΓΟΡΙΑΣ 1 ΠΟΥ ΠΕΡΙΛΑΜΒΑΝΟΝΤΑΙ ΣΤΟ ΕΝΟΠΟΙΗΜΕΝΟ ΚΕΦΑΛΑΙΟ ΤΗΣ ΚΑΤΗΓΟΡΙΑΣ 1</w:t>
            </w:r>
          </w:p>
          <w:p w:rsidR="00464F34" w:rsidRPr="00392FFD" w:rsidRDefault="00464F34" w:rsidP="00871877">
            <w:pPr>
              <w:rPr>
                <w:rStyle w:val="InstructionsTabelleText"/>
                <w:rFonts w:ascii="Times New Roman" w:hAnsi="Times New Roman"/>
                <w:sz w:val="24"/>
              </w:rPr>
            </w:pPr>
            <w:r>
              <w:rPr>
                <w:rStyle w:val="InstructionsTabelleText"/>
                <w:rFonts w:ascii="Times New Roman" w:hAnsi="Times New Roman"/>
                <w:sz w:val="24"/>
              </w:rPr>
              <w:t>Άρθρο 85 του ΚΚΑ</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ΔΙΚΑΙΩΜΑΤΑ ΜΕΙΟΨΗΦΙΑΣ ΠΟΥ ΠΕΡΙΛΑΜΒΑΝΟΝΤΑΙ ΣΤΟ ΕΝΟΠΟ</w:t>
            </w:r>
            <w:r>
              <w:rPr>
                <w:rStyle w:val="InstructionsTabelleberschrift"/>
                <w:rFonts w:ascii="Times New Roman" w:hAnsi="Times New Roman"/>
                <w:sz w:val="24"/>
              </w:rPr>
              <w:t>Ι</w:t>
            </w:r>
            <w:r>
              <w:rPr>
                <w:rStyle w:val="InstructionsTabelleberschrift"/>
                <w:rFonts w:ascii="Times New Roman" w:hAnsi="Times New Roman"/>
                <w:sz w:val="24"/>
              </w:rPr>
              <w:t>ΗΜΕΝΟ</w:t>
            </w:r>
            <w:r>
              <w:rPr>
                <w:rStyle w:val="InstructionsTabelleberschrift"/>
                <w:rFonts w:ascii="Times New Roman" w:hAnsi="Times New Roman"/>
                <w:sz w:val="24"/>
              </w:rPr>
              <w:br/>
              <w:t>ΚΕΦΑΛΑΙΟ ΚΟΙΝΩΝ ΜΕΤΟΧΩΝ ΤΗΣ ΚΑΤΗΓΟΡΙΑΣ 1</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Άρθρο 84 του ΚΚΑ</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Το προς αναφορά ποσό είναι το ποσό των δικαιωμάτων μειοψηφίας μιας θυγατρικής που συμπεριλαμβάνεται στο ενοποιημένο κεφάλαιο CET1 σύμφωνα με τον ΚΚΑ.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ΑΠΟΔΕΚΤΑ ΜΕΣΑ ΤΗΣ ΚΑΤΗΓΟΡΙΑΣ 1 ΠΟΥ ΠΕΡΙΛΑΜΒΑΝΟΝΤΑΙ ΣΤΟ ΕΝΟΠΟΙΗΜΕΝΟ ΠΡΟΣΘΕΤΟ ΚΕΦΑΛΑΙΟ ΤΗΣ ΚΑΤΗΓΟΡΙΑΣ 1</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Άρθρο 86 του ΚΚΑ</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Το προς αναφορά ποσό είναι το ποσό του αποδεκτού κεφαλαίου Τ1 μιας θυγατρικής που συμπεριλαμβάνεται στο ενοποιημένο κεφάλαιο ΑΤ1 σύμφωνα με τον ΚΚΑ.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ΑΠΟΔΕΚΤΑ ΜΕΣΑ ΙΔΙΩΝ ΚΕΦΑΛΑΙΩΝ ΠΟΥ ΠΕΡΙΛΑΜΒΑΝΟΝΤΑΙ ΣΤΟ</w:t>
            </w:r>
            <w:r>
              <w:rPr>
                <w:rStyle w:val="InstructionsTabelleberschrift"/>
                <w:rFonts w:ascii="Times New Roman" w:hAnsi="Times New Roman"/>
                <w:sz w:val="24"/>
              </w:rPr>
              <w:br/>
              <w:t>ΕΝΟΠΟΙΗΜΕΝΟ ΚΕΦΑΛΑΙΟ ΤΗΣ ΚΑΤΗΓΟΡΙΑΣ 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Άρθρο 88 του ΚΚΑ</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Το προς αναφορά ποσό είναι το ποσό των αποδεκτών ιδίων κεφαλαίων μιας θυγατρ</w:t>
            </w:r>
            <w:r>
              <w:rPr>
                <w:rStyle w:val="InstructionsTabelleText"/>
                <w:rFonts w:ascii="Times New Roman" w:hAnsi="Times New Roman"/>
                <w:sz w:val="24"/>
              </w:rPr>
              <w:t>ι</w:t>
            </w:r>
            <w:r>
              <w:rPr>
                <w:rStyle w:val="InstructionsTabelleText"/>
                <w:rFonts w:ascii="Times New Roman" w:hAnsi="Times New Roman"/>
                <w:sz w:val="24"/>
              </w:rPr>
              <w:t xml:space="preserve">κής που συμπεριλαμβάνεται στο ενοποιημένο κεφάλαιο T2 σύμφωνα με τον ΚΚΑ. </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350</w:t>
            </w:r>
          </w:p>
        </w:tc>
        <w:tc>
          <w:tcPr>
            <w:tcW w:w="8640" w:type="dxa"/>
          </w:tcPr>
          <w:p w:rsidR="00464F34" w:rsidRPr="00392FFD"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ΥΠΟΜΝΗΜΑΤΙΚΟ ΣΤΟΙΧΕΙΟ: ΥΠΕΡΑΞΙΑ (-) / (+) ΑΡΝΗΤΙΚΗ ΥΠΕΡΑΞΙΑ</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ΕΝΟΠΟΙΗΜΕΝΑ ΙΔΙΑ ΚΕΦΑΛΑΙΑ</w:t>
            </w:r>
          </w:p>
          <w:p w:rsidR="00144F03" w:rsidRPr="00392FFD" w:rsidRDefault="00144F03" w:rsidP="00464F34">
            <w:pPr>
              <w:rPr>
                <w:rStyle w:val="InstructionsTabelleText"/>
                <w:rFonts w:ascii="Times New Roman" w:hAnsi="Times New Roman"/>
                <w:sz w:val="24"/>
              </w:rPr>
            </w:pPr>
            <w:r>
              <w:rPr>
                <w:rStyle w:val="InstructionsTabelleText"/>
                <w:rFonts w:ascii="Times New Roman" w:hAnsi="Times New Roman"/>
                <w:sz w:val="24"/>
              </w:rPr>
              <w:t>Άρθρο 18 του ΚΚΑ</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Το προς αναφορά ποσό ως «ΕΝΟΠΟΙΗΜΕΝΑ ΙΔΙΑ ΚΕΦΑΛΑΙΑ» είναι το ποσό που λαμβάνεται από τον ισολογισμό, εξαιρουμένου οποιουδήποτε κεφαλαίου που εισφ</w:t>
            </w:r>
            <w:r>
              <w:rPr>
                <w:rStyle w:val="InstructionsTabelleText"/>
                <w:rFonts w:ascii="Times New Roman" w:hAnsi="Times New Roman"/>
                <w:sz w:val="24"/>
              </w:rPr>
              <w:t>έ</w:t>
            </w:r>
            <w:r>
              <w:rPr>
                <w:rStyle w:val="InstructionsTabelleText"/>
                <w:rFonts w:ascii="Times New Roman" w:hAnsi="Times New Roman"/>
                <w:sz w:val="24"/>
              </w:rPr>
              <w:lastRenderedPageBreak/>
              <w:t>ρουν άλλες οντότητες του ομίλου.</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lastRenderedPageBreak/>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ΕΝΟΠΟΙΗΜΕΝΑ ΙΔΙΑ ΚΕΦΑΛΑΙΑ</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ΕΚ ΤΩΝ ΟΠΟΙΩΝ: ΚΕΦΑΛΑΙΟ ΚΟΙΝΩΝ ΜΕΤΟΧΩΝ ΤΗΣ ΚΑΤΗΓΟΡΙΑΣ 1</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Pr>
                <w:rFonts w:ascii="Times New Roman" w:hAnsi="Times New Roman"/>
                <w:sz w:val="24"/>
              </w:rPr>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ΕΚ ΤΩΝ ΟΠΟΙΩΝ: ΠΡΟΣΘΕΤΑ ΜΕΣΑ ΤΗΣ ΚΑΤΗΓΟΡΙΑΣ 1</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ΕΚ ΤΩΝ ΟΠΟΙΩΝ: ΣΥΝΕΙΣΦΟΡΕΣ ΣΤΟ ΕΝΟΠΟΙΗΜΕΝΟ ΑΠΟΤΕΛΕΣΜΑ</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Αναφέρεται η συνεισφορά κάθε οντότητας στο ενοποιημένο αποτέλεσμα (κέρδη ή ζ</w:t>
            </w:r>
            <w:r>
              <w:rPr>
                <w:rStyle w:val="InstructionsTabelleText"/>
                <w:rFonts w:ascii="Times New Roman" w:hAnsi="Times New Roman"/>
                <w:sz w:val="24"/>
              </w:rPr>
              <w:t>η</w:t>
            </w:r>
            <w:r>
              <w:rPr>
                <w:rStyle w:val="InstructionsTabelleText"/>
                <w:rFonts w:ascii="Times New Roman" w:hAnsi="Times New Roman"/>
                <w:sz w:val="24"/>
              </w:rPr>
              <w:t>μίες (-)). Περιλαμβάνονται και τα αποτελέσματα που αναλογούν σε δικαιώματα μει</w:t>
            </w:r>
            <w:r>
              <w:rPr>
                <w:rStyle w:val="InstructionsTabelleText"/>
                <w:rFonts w:ascii="Times New Roman" w:hAnsi="Times New Roman"/>
                <w:sz w:val="24"/>
              </w:rPr>
              <w:t>ο</w:t>
            </w:r>
            <w:r>
              <w:rPr>
                <w:rStyle w:val="InstructionsTabelleText"/>
                <w:rFonts w:ascii="Times New Roman" w:hAnsi="Times New Roman"/>
                <w:sz w:val="24"/>
              </w:rPr>
              <w:t>ψηφίας.</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ΕΚ ΤΩΝ ΟΠΟΙΩΝ: (-) ΥΠΕΡΑΞΙΑ / (+) ΑΡΝΗΤΙΚΗ ΥΠΕΡΑΞΙΑ</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Στο συγκεκριμένο σημείο αναφέρεται η υπεραξία ή η αρνητική υπεραξία την οποία αποφέρει η αναφέρουσα οντότητα στη θυγατρική.</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ΚΕΦΑΛΑΙΑΚΑ ΑΠΟΘΕΜΑΤΑ ΑΣΦΑΛΕΙΑΣ</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δομή αναφοράς των κεφαλαιακών αποθεμάτων ασφαλείας για το υπόδειγμα GS συμφωνεί με τη γενική δομή του υποδείγματος CA4, με τη χρήση των ίδιων εννοιών αναφοράς. Κατά την αναφορά των κεφαλαιακών αποθεμάτων ασφαλείας για το υπ</w:t>
            </w:r>
            <w:r>
              <w:rPr>
                <w:rStyle w:val="InstructionsTabelleberschrift"/>
                <w:rFonts w:ascii="Times New Roman" w:hAnsi="Times New Roman"/>
                <w:b w:val="0"/>
                <w:sz w:val="24"/>
                <w:u w:val="none"/>
              </w:rPr>
              <w:t>ό</w:t>
            </w:r>
            <w:r>
              <w:rPr>
                <w:rStyle w:val="InstructionsTabelleberschrift"/>
                <w:rFonts w:ascii="Times New Roman" w:hAnsi="Times New Roman"/>
                <w:b w:val="0"/>
                <w:sz w:val="24"/>
                <w:u w:val="none"/>
              </w:rPr>
              <w:t>δειγμα GS, τα σχετικά ποσά αναφέρονται σύμφωνα με τις διατάξεις που εφαρμόζονται για τον προσδιορισμό της απαίτησης αποθέματος ασφαλείας για την ενοποιημένη κ</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τάσταση του ομίλου. Ως εκ τούτου, τα αναφερόμενα ποσά των κεφαλαιακών αποθεμ</w:t>
            </w:r>
            <w:r>
              <w:rPr>
                <w:rStyle w:val="InstructionsTabelleberschrift"/>
                <w:rFonts w:ascii="Times New Roman" w:hAnsi="Times New Roman"/>
                <w:b w:val="0"/>
                <w:sz w:val="24"/>
                <w:u w:val="none"/>
              </w:rPr>
              <w:t>ά</w:t>
            </w:r>
            <w:r>
              <w:rPr>
                <w:rStyle w:val="InstructionsTabelleberschrift"/>
                <w:rFonts w:ascii="Times New Roman" w:hAnsi="Times New Roman"/>
                <w:b w:val="0"/>
                <w:sz w:val="24"/>
                <w:u w:val="none"/>
              </w:rPr>
              <w:t>των ασφαλείας αντιπροσωπεύουν τις εισφορές κάθε οντότητας στα κεφαλαιακά απ</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θέματα ασφαλείας του ομίλου. Τα αναφερόμενα ποσά βασίζονται στα μέτρα μεταφ</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ράς στο εθνικό δίκαιο της ΟΚΑ και στον ΚΚΑ, συμπεριλαμβανομένων τυχόν μεταβ</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τικών διατάξεων που προβλέπονται στις ανωτέρω πράξεις.</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ΣΥΝΔΥΑΣΜΕΝΗ ΑΠΑΙΤΗΣΗ ΑΠΟΘΕΜΑΤΟΣ ΑΣΦΑΛΕΙΑΣ</w:t>
            </w:r>
          </w:p>
          <w:p w:rsidR="00464F34" w:rsidRPr="00392FFD" w:rsidRDefault="00464F34"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Άρθρο 128 σημείο 6) της ΟΚΑ</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ΑΠΟΘΕΜΑ ΑΣΦΑΛΕΙΑΣ ΔΙΑΤΗΡΗΣΗΣ ΚΕΦΑΛΑΙΟΥ</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Άρθρο 128 σημείο 1) και άρθρο 129 της ΟΚΑ</w:t>
            </w:r>
          </w:p>
          <w:p w:rsidR="00464F34" w:rsidRPr="00392FFD" w:rsidRDefault="00464F34" w:rsidP="00FD239F">
            <w:pPr>
              <w:pStyle w:val="InstructionsText"/>
              <w:rPr>
                <w:rStyle w:val="InstructionsTabelleText"/>
                <w:rFonts w:ascii="Times New Roman" w:hAnsi="Times New Roman"/>
                <w:sz w:val="24"/>
              </w:rPr>
            </w:pPr>
            <w:r>
              <w:t>Σύμφωνα με το άρθρο 129 παράγραφος 1, το απόθεμα ασφαλείας διατήρησης κεφ</w:t>
            </w:r>
            <w:r>
              <w:t>α</w:t>
            </w:r>
            <w:r>
              <w:t>λαίου είναι ένα πρόσθετο ποσό κεφαλαίου κοινών μετοχών της κατηγορίας 1. Δεδομ</w:t>
            </w:r>
            <w:r>
              <w:t>έ</w:t>
            </w:r>
            <w:r>
              <w:t>νου ότι το απόθεμα ασφαλείας διατήρησης κεφαλαίου της τάξης του 2,5 % είναι στ</w:t>
            </w:r>
            <w:r>
              <w:t>α</w:t>
            </w:r>
            <w:r>
              <w:t>θερό, στο συγκεκριμένο κελί αναφέρεται ένα ποσό.</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ΑΝΤΙΚΥΚΛΙΚΟ ΚΕΦΑΛΑΙΑΚΟ ΑΠΟΘΕΜΑ ΑΣΦΑΛΕΙΑΣ ΕΙΔΙΚΑ ΓΙΑ ΤΟ ΚΑΘΕ ΙΔΡΥΜΑ</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Άρθρο 128 σημείο 2), άρθρο 130 και άρθρα 135-140 της ΟΚΑ</w:t>
            </w:r>
          </w:p>
          <w:p w:rsidR="00464F34" w:rsidRPr="00392FFD" w:rsidRDefault="00464F34" w:rsidP="00FD239F">
            <w:pPr>
              <w:pStyle w:val="InstructionsText"/>
              <w:rPr>
                <w:rStyle w:val="InstructionsTabelleText"/>
                <w:rFonts w:ascii="Times New Roman" w:hAnsi="Times New Roman"/>
                <w:sz w:val="24"/>
              </w:rPr>
            </w:pPr>
            <w:r>
              <w:t>Στο κελί αυτό αναφέρεται το συγκεκριμένο ποσό του αντικυκλικού κεφαλαιακού απ</w:t>
            </w:r>
            <w:r>
              <w:t>ο</w:t>
            </w:r>
            <w:r>
              <w:t>θέματος ασφαλείας.</w:t>
            </w:r>
          </w:p>
        </w:tc>
      </w:tr>
      <w:tr w:rsidR="00464F34" w:rsidRPr="00392FFD" w:rsidTr="00672D2A">
        <w:tc>
          <w:tcPr>
            <w:tcW w:w="1188" w:type="dxa"/>
          </w:tcPr>
          <w:p w:rsidR="00464F34" w:rsidRPr="00392FFD"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t>440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ΑΠΟΘΕΜΑ ΑΣΦΑΛΕΙΑΣ ΔΙΑΤΗΡΗΣΗΣ ΚΕΦΑΛΑΙΟΥ ΛΟΓΩ ΜΑΚΡ</w:t>
            </w:r>
            <w:r>
              <w:rPr>
                <w:rStyle w:val="InstructionsTabelleberschrift"/>
                <w:rFonts w:ascii="Times New Roman" w:hAnsi="Times New Roman"/>
                <w:sz w:val="24"/>
              </w:rPr>
              <w:t>Ο</w:t>
            </w:r>
            <w:r>
              <w:rPr>
                <w:rStyle w:val="InstructionsTabelleberschrift"/>
                <w:rFonts w:ascii="Times New Roman" w:hAnsi="Times New Roman"/>
                <w:sz w:val="24"/>
              </w:rPr>
              <w:t xml:space="preserve">ΠΡΟΛΗΠΤΙΚΟΥ Ή ΣΥΣΤΗΜΙΚΟΥ ΚΙΝΔΥΝΟΥ ΠΟΥ ΕΝΤΟΠΙΖΕΤΑΙ ΣΕ </w:t>
            </w:r>
            <w:r>
              <w:rPr>
                <w:rStyle w:val="InstructionsTabelleberschrift"/>
                <w:rFonts w:ascii="Times New Roman" w:hAnsi="Times New Roman"/>
                <w:sz w:val="24"/>
              </w:rPr>
              <w:lastRenderedPageBreak/>
              <w:t>ΕΠΙΠΕΔΟ ΚΡΑΤΟΥΣ ΜΕΛΟΥΣ</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458 παράγραφος 2 στοιχείο δ) σημείο iv) του ΚΚΑ</w:t>
            </w:r>
          </w:p>
          <w:p w:rsidR="00464F34" w:rsidRPr="00392FFD" w:rsidRDefault="00464F34" w:rsidP="00FD239F">
            <w:pPr>
              <w:pStyle w:val="InstructionsText"/>
              <w:rPr>
                <w:rStyle w:val="InstructionsTabelleberschrift"/>
                <w:rFonts w:ascii="Times New Roman" w:hAnsi="Times New Roman"/>
                <w:sz w:val="24"/>
              </w:rPr>
            </w:pPr>
            <w:r>
              <w:t>Στο συγκεκριμένο κελί αναφέρεται το ποσό του αποθέματος ασφαλείας διατήρησης κεφαλαίου λόγω μακροπροληπτικού ή συστημικού κινδύνου που εντοπίζεται σε επίπ</w:t>
            </w:r>
            <w:r>
              <w:t>ε</w:t>
            </w:r>
            <w:r>
              <w:t>δο κράτους μέλους, το οποίο δύναται να ζητηθεί σύμφωνα με το άρθρο 458 του ΚΚΑ, επιπροσθέτως του αποθέματος ασφαλείας διατήρησης κεφαλαίου.</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ΑΠΟΘΕΜΑ ΑΣΦΑΛΕΙΑΣ ΣΥΣΤΗΜΙΚΟΥ ΚΙΝΔΥΝΟΥ</w:t>
            </w:r>
          </w:p>
          <w:p w:rsidR="00464F34" w:rsidRPr="00392FFD" w:rsidRDefault="00464F34" w:rsidP="00FD239F">
            <w:pPr>
              <w:pStyle w:val="InstructionsText"/>
            </w:pPr>
            <w:r>
              <w:t xml:space="preserve">Άρθρο 128 σημείο 5), άρθρο 133 και άρθρο 134 της ΟΚΑ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Στο συγκεκριμένο κελί αναφέρεται το ποσό του αποθέματος ασφαλείας συστημικού κινδύνου.</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ΑΠΟΘΕΜΑ ΑΣΦΑΛΕΙΑΣ ΓΙΑ ΤΑ ΠΑΓΚΟΣΜΙΑ ΣΥΣΤΗΜΙΚΩΣ ΣΗΜ</w:t>
            </w:r>
            <w:r>
              <w:rPr>
                <w:rStyle w:val="InstructionsTabelleberschrift"/>
                <w:rFonts w:ascii="Times New Roman" w:hAnsi="Times New Roman"/>
                <w:sz w:val="24"/>
              </w:rPr>
              <w:t>Α</w:t>
            </w:r>
            <w:r>
              <w:rPr>
                <w:rStyle w:val="InstructionsTabelleberschrift"/>
                <w:rFonts w:ascii="Times New Roman" w:hAnsi="Times New Roman"/>
                <w:sz w:val="24"/>
              </w:rPr>
              <w:t>ΝΤΙΚΑ ΙΔΡΥΜΑΤΑ</w:t>
            </w:r>
            <w:r>
              <w:tab/>
            </w:r>
          </w:p>
          <w:p w:rsidR="00464F34" w:rsidRPr="00392FFD" w:rsidRDefault="00464F3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128 σημείο 3) και άρθρο 131 της ΟΚΑ</w:t>
            </w:r>
          </w:p>
          <w:p w:rsidR="00483FC9" w:rsidRPr="00392FFD" w:rsidRDefault="00464F34" w:rsidP="00FD239F">
            <w:pPr>
              <w:pStyle w:val="InstructionsText"/>
              <w:rPr>
                <w:rStyle w:val="InstructionsTabelleberschrift"/>
                <w:rFonts w:ascii="Times New Roman" w:hAnsi="Times New Roman"/>
                <w:sz w:val="24"/>
              </w:rPr>
            </w:pPr>
            <w:r>
              <w:t>Στο συγκεκριμένο κελί αναφέρεται το ποσό του αποθέματος ασφαλείας για τα παγκ</w:t>
            </w:r>
            <w:r>
              <w:t>ό</w:t>
            </w:r>
            <w:r>
              <w:t>σμια συστημικώς σημαντικά ιδρύματα.</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ΑΠΟΘΕΜΑ ΑΣΦΑΛΕΙΑΣ ΓΙΑ ΑΛΛΑ ΣΥΣΤΗΜΙΚΩΣ ΣΗΜΑΝΤΙΚΑ ΙΔΡ</w:t>
            </w:r>
            <w:r>
              <w:rPr>
                <w:rStyle w:val="InstructionsTabelleberschrift"/>
                <w:rFonts w:ascii="Times New Roman" w:hAnsi="Times New Roman"/>
                <w:sz w:val="24"/>
              </w:rPr>
              <w:t>Υ</w:t>
            </w:r>
            <w:r>
              <w:rPr>
                <w:rStyle w:val="InstructionsTabelleberschrift"/>
                <w:rFonts w:ascii="Times New Roman" w:hAnsi="Times New Roman"/>
                <w:sz w:val="24"/>
              </w:rPr>
              <w:t>ΜΑΤΑ</w:t>
            </w:r>
            <w:r>
              <w:tab/>
            </w:r>
          </w:p>
          <w:p w:rsidR="00464F34" w:rsidRPr="00392FFD" w:rsidRDefault="00464F34" w:rsidP="00FD239F">
            <w:pPr>
              <w:pStyle w:val="InstructionsText"/>
            </w:pPr>
            <w:r>
              <w:t>Άρθρο 128 σημείο 4) και άρθρο 131 της ΟΚΑ</w:t>
            </w:r>
          </w:p>
          <w:p w:rsidR="00464F34" w:rsidRPr="00392FFD" w:rsidRDefault="00464F34" w:rsidP="00FD239F">
            <w:pPr>
              <w:pStyle w:val="InstructionsText"/>
              <w:rPr>
                <w:rStyle w:val="InstructionsTabelleberschrift"/>
                <w:rFonts w:ascii="Times New Roman" w:hAnsi="Times New Roman"/>
                <w:sz w:val="24"/>
              </w:rPr>
            </w:pPr>
            <w:r>
              <w:t>Στο συγκεκριμένο κελί αναφέρεται το ποσό του αποθέματος ασφαλείας για άλλα σ</w:t>
            </w:r>
            <w:r>
              <w:t>υ</w:t>
            </w:r>
            <w:r>
              <w:t>στημικώς σημαντικά ιδρύματα.</w:t>
            </w:r>
          </w:p>
        </w:tc>
      </w:tr>
    </w:tbl>
    <w:p w:rsidR="00FC1030" w:rsidRPr="00392FFD" w:rsidRDefault="00FC1030" w:rsidP="00FD239F">
      <w:pPr>
        <w:pStyle w:val="InstructionsText"/>
      </w:pPr>
    </w:p>
    <w:p w:rsidR="00464F34" w:rsidRPr="00392FFD"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516210628"/>
      <w:bookmarkStart w:id="118" w:name="_Toc473560893"/>
      <w:r>
        <w:rPr>
          <w:rFonts w:ascii="Times New Roman" w:hAnsi="Times New Roman"/>
          <w:sz w:val="24"/>
          <w:u w:val="none"/>
        </w:rPr>
        <w:t>3.</w:t>
      </w:r>
      <w:r>
        <w:tab/>
      </w:r>
      <w:r>
        <w:rPr>
          <w:rFonts w:ascii="Times New Roman" w:hAnsi="Times New Roman"/>
          <w:sz w:val="24"/>
        </w:rPr>
        <w:t>Υποδείγματα πιστωτικού κινδύνου</w:t>
      </w:r>
      <w:bookmarkEnd w:id="115"/>
      <w:bookmarkEnd w:id="116"/>
      <w:bookmarkEnd w:id="117"/>
      <w:bookmarkEnd w:id="118"/>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516210629"/>
      <w:bookmarkStart w:id="121" w:name="_Toc473560894"/>
      <w:bookmarkStart w:id="122" w:name="_Toc262568022"/>
      <w:bookmarkStart w:id="123" w:name="_Toc295829848"/>
      <w:bookmarkStart w:id="124" w:name="_Toc310415014"/>
      <w:r>
        <w:rPr>
          <w:rFonts w:ascii="Times New Roman" w:hAnsi="Times New Roman"/>
          <w:sz w:val="24"/>
          <w:u w:val="none"/>
        </w:rPr>
        <w:t>3.1.</w:t>
      </w:r>
      <w:r>
        <w:tab/>
      </w:r>
      <w:r>
        <w:rPr>
          <w:rFonts w:ascii="Times New Roman" w:hAnsi="Times New Roman"/>
          <w:sz w:val="24"/>
        </w:rPr>
        <w:t>Γενικές παρατηρήσεις</w:t>
      </w:r>
      <w:bookmarkEnd w:id="119"/>
      <w:bookmarkEnd w:id="120"/>
      <w:bookmarkEnd w:id="121"/>
      <w:r>
        <w:rPr>
          <w:rFonts w:ascii="Times New Roman" w:hAnsi="Times New Roman"/>
          <w:sz w:val="24"/>
        </w:rPr>
        <w:t xml:space="preserve"> </w:t>
      </w:r>
      <w:bookmarkEnd w:id="122"/>
      <w:bookmarkEnd w:id="123"/>
      <w:bookmarkEnd w:id="124"/>
    </w:p>
    <w:p w:rsidR="00464F34" w:rsidRPr="00392FFD" w:rsidRDefault="00125707" w:rsidP="00C37B29">
      <w:pPr>
        <w:pStyle w:val="InstructionsText2"/>
        <w:numPr>
          <w:ilvl w:val="0"/>
          <w:numId w:val="0"/>
        </w:numPr>
        <w:ind w:left="993"/>
      </w:pPr>
      <w:r>
        <w:t>38.</w:t>
      </w:r>
      <w:r>
        <w:tab/>
        <w:t xml:space="preserve">Υπάρχουν διάφορα σύνολα υποδειγμάτων για την τυποποιημένη προσέγγιση και για την προσέγγιση IRB όσον αφορά τον πιστωτικό κίνδυνο. Επιπροσθέτως, αναφέρονται χωριστά υποδείγματα για τη γεωγραφική κατανομή των θέσεων που υπόκεινται σε πιστωτικό κίνδυνο, εάν πραγματοποιείται υπέρβαση του σχετικού κατώτατου ορίου που προβλέπεται στο άρθρο 5 στοιχείο α) σημείο 4).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516210630"/>
      <w:bookmarkStart w:id="130" w:name="_Toc473560895"/>
      <w:r>
        <w:rPr>
          <w:rFonts w:ascii="Times New Roman" w:hAnsi="Times New Roman"/>
          <w:sz w:val="24"/>
          <w:u w:val="none"/>
        </w:rPr>
        <w:t>3.1.1.</w:t>
      </w:r>
      <w:r>
        <w:tab/>
      </w:r>
      <w:r>
        <w:rPr>
          <w:rFonts w:ascii="Times New Roman" w:hAnsi="Times New Roman"/>
          <w:sz w:val="24"/>
        </w:rPr>
        <w:t>Αναφορά τεχνικών μείωσης του πιστωτικού κινδύνου (CRM) με αποτέλεσμα υποκ</w:t>
      </w:r>
      <w:r>
        <w:rPr>
          <w:rFonts w:ascii="Times New Roman" w:hAnsi="Times New Roman"/>
          <w:sz w:val="24"/>
        </w:rPr>
        <w:t>α</w:t>
      </w:r>
      <w:r>
        <w:rPr>
          <w:rFonts w:ascii="Times New Roman" w:hAnsi="Times New Roman"/>
          <w:sz w:val="24"/>
        </w:rPr>
        <w:t>τάστασης</w:t>
      </w:r>
      <w:bookmarkEnd w:id="125"/>
      <w:bookmarkEnd w:id="126"/>
      <w:bookmarkEnd w:id="127"/>
      <w:bookmarkEnd w:id="128"/>
      <w:bookmarkEnd w:id="129"/>
      <w:bookmarkEnd w:id="130"/>
    </w:p>
    <w:p w:rsidR="00464F34" w:rsidRPr="00392FFD" w:rsidRDefault="00125707" w:rsidP="00C37B29">
      <w:pPr>
        <w:pStyle w:val="InstructionsText2"/>
        <w:numPr>
          <w:ilvl w:val="0"/>
          <w:numId w:val="0"/>
        </w:numPr>
        <w:ind w:left="993"/>
      </w:pPr>
      <w:r>
        <w:t>39.</w:t>
      </w:r>
      <w:r>
        <w:tab/>
        <w:t>Το άρθρο 235 του ΚΚΑ περιγράφει τη διαδικασία υπολογισμού του ανοίγμ</w:t>
      </w:r>
      <w:r>
        <w:t>α</w:t>
      </w:r>
      <w:r>
        <w:t>τος που προστατεύεται πλήρως από μη χρηματοδοτούμενη προστασία.</w:t>
      </w:r>
    </w:p>
    <w:p w:rsidR="00464F34" w:rsidRPr="00392FFD" w:rsidRDefault="00125707" w:rsidP="00C37B29">
      <w:pPr>
        <w:pStyle w:val="InstructionsText2"/>
        <w:numPr>
          <w:ilvl w:val="0"/>
          <w:numId w:val="0"/>
        </w:numPr>
        <w:ind w:left="993"/>
      </w:pPr>
      <w:r>
        <w:t>40.</w:t>
      </w:r>
      <w:r>
        <w:tab/>
        <w:t>Το άρθρο 236 του ΚΚΑ περιγράφει τη διαδικασία υπολογισμού του ανοίγμ</w:t>
      </w:r>
      <w:r>
        <w:t>α</w:t>
      </w:r>
      <w:r>
        <w:t>τος που προστατεύεται πλήρως από μη χρηματοδοτούμενη προστασία, στην περ</w:t>
      </w:r>
      <w:r>
        <w:t>ί</w:t>
      </w:r>
      <w:r>
        <w:t>πτωση πλήρους προστασίας / μερικής προστασίας – ισοδύναμης εξοφλητικής πρ</w:t>
      </w:r>
      <w:r>
        <w:t>ο</w:t>
      </w:r>
      <w:r>
        <w:t>τεραιότητας.</w:t>
      </w:r>
    </w:p>
    <w:p w:rsidR="00464F34" w:rsidRPr="00392FFD" w:rsidRDefault="00125707" w:rsidP="00C37B29">
      <w:pPr>
        <w:pStyle w:val="InstructionsText2"/>
        <w:numPr>
          <w:ilvl w:val="0"/>
          <w:numId w:val="0"/>
        </w:numPr>
        <w:ind w:left="993"/>
      </w:pPr>
      <w:r>
        <w:lastRenderedPageBreak/>
        <w:t>41.</w:t>
      </w:r>
      <w:r>
        <w:tab/>
        <w:t>Τα άρθρα 196, 197 και 200 του ΚΚΑ ρυθμίζουν τη χρηματοδοτούμενη πιστ</w:t>
      </w:r>
      <w:r>
        <w:t>ω</w:t>
      </w:r>
      <w:r>
        <w:t>τική προστασία.</w:t>
      </w:r>
    </w:p>
    <w:p w:rsidR="00464F34" w:rsidRPr="00392FFD" w:rsidRDefault="00125707" w:rsidP="00C37B29">
      <w:pPr>
        <w:pStyle w:val="InstructionsText2"/>
        <w:numPr>
          <w:ilvl w:val="0"/>
          <w:numId w:val="0"/>
        </w:numPr>
        <w:ind w:left="993"/>
      </w:pPr>
      <w:r>
        <w:t>42.</w:t>
      </w:r>
      <w:r>
        <w:tab/>
        <w:t>Η αναφορά ανοιγμάτων σε οφειλέτες (άμεσους αντισυμβαλλομένους) και π</w:t>
      </w:r>
      <w:r>
        <w:t>α</w:t>
      </w:r>
      <w:r>
        <w:t>ρόχους πιστωτικής προστασίας που κατατάσσονται στην ίδια κατηγορία ανοιγμ</w:t>
      </w:r>
      <w:r>
        <w:t>ά</w:t>
      </w:r>
      <w:r>
        <w:t>των πραγματοποιείται ως εισροή, καθώς και ως εκροή, στην ίδια κατηγορία ανοι</w:t>
      </w:r>
      <w:r>
        <w:t>γ</w:t>
      </w:r>
      <w:r>
        <w:t>μάτων.</w:t>
      </w:r>
    </w:p>
    <w:p w:rsidR="00464F34" w:rsidRPr="00392FFD" w:rsidRDefault="00125707" w:rsidP="00C37B29">
      <w:pPr>
        <w:pStyle w:val="InstructionsText2"/>
        <w:numPr>
          <w:ilvl w:val="0"/>
          <w:numId w:val="0"/>
        </w:numPr>
        <w:ind w:left="993"/>
      </w:pPr>
      <w:r>
        <w:t>43.</w:t>
      </w:r>
      <w:r>
        <w:tab/>
        <w:t>Το είδος ανοίγματος δεν αλλάζει λόγω μη χρηματοδοτούμενης πιστωτικής προστασίας.</w:t>
      </w:r>
    </w:p>
    <w:p w:rsidR="00464F34" w:rsidRPr="00392FFD" w:rsidRDefault="00125707" w:rsidP="00C37B29">
      <w:pPr>
        <w:pStyle w:val="InstructionsText2"/>
        <w:numPr>
          <w:ilvl w:val="0"/>
          <w:numId w:val="0"/>
        </w:numPr>
        <w:ind w:left="993"/>
      </w:pPr>
      <w:r>
        <w:t>44.</w:t>
      </w:r>
      <w:r>
        <w:tab/>
        <w:t>Εάν ένα άνοιγμα είναι εξασφαλισμένο με μη χρηματοδοτούμενη πιστωτική προστασία, το εξασφαλισμένο μέρος θεωρείται εκροή, π.χ. στην κατηγορία ανοι</w:t>
      </w:r>
      <w:r>
        <w:t>γ</w:t>
      </w:r>
      <w:r>
        <w:t>μάτων του οφειλέτη, και εισροή στην κατηγορία ανοιγμάτων του παρόχου πιστωτ</w:t>
      </w:r>
      <w:r>
        <w:t>ι</w:t>
      </w:r>
      <w:r>
        <w:t>κής προστασίας. Ωστόσο, το είδος του ανοίγματος δεν μεταβάλλεται λόγω μεταβ</w:t>
      </w:r>
      <w:r>
        <w:t>ο</w:t>
      </w:r>
      <w:r>
        <w:t>λής της κατηγορίας ανοιγμάτων.</w:t>
      </w:r>
    </w:p>
    <w:p w:rsidR="00464F34" w:rsidRPr="00392FFD" w:rsidRDefault="00125707" w:rsidP="00C37B29">
      <w:pPr>
        <w:pStyle w:val="InstructionsText2"/>
        <w:numPr>
          <w:ilvl w:val="0"/>
          <w:numId w:val="0"/>
        </w:numPr>
        <w:ind w:left="993"/>
      </w:pPr>
      <w:r>
        <w:t>45.</w:t>
      </w:r>
      <w:r>
        <w:tab/>
        <w:t xml:space="preserve">Το αποτέλεσμα υποκατάστασης στο πλαίσιο αναφοράς COREP αντανακλά τη στάθμιση κινδύνου που εφαρμόζεται πραγματικά στο καλυπτόμενο μέρος του </w:t>
      </w:r>
      <w:r>
        <w:t>α</w:t>
      </w:r>
      <w:r>
        <w:t xml:space="preserve">νοίγματος. Συνεπώς, το καλυπτόμενο μέρος του ανοίγματος είναι σταθμισμένο ως προς τον κίνδυνο σύμφωνα με την προσέγγιση SA και αναφέρεται στο υπόδειγμα CR SA.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516210631"/>
      <w:bookmarkStart w:id="136" w:name="_Toc473560896"/>
      <w:r>
        <w:rPr>
          <w:rFonts w:ascii="Times New Roman" w:hAnsi="Times New Roman"/>
          <w:sz w:val="24"/>
          <w:u w:val="none"/>
        </w:rPr>
        <w:t>3.1.2.</w:t>
      </w:r>
      <w:r>
        <w:tab/>
      </w:r>
      <w:r>
        <w:rPr>
          <w:rFonts w:ascii="Times New Roman" w:hAnsi="Times New Roman"/>
          <w:sz w:val="24"/>
        </w:rPr>
        <w:t>Αναφορά πιστωτικού κινδύνου αντισυμβαλλομένου</w:t>
      </w:r>
      <w:bookmarkEnd w:id="131"/>
      <w:bookmarkEnd w:id="132"/>
      <w:bookmarkEnd w:id="133"/>
      <w:bookmarkEnd w:id="134"/>
      <w:bookmarkEnd w:id="135"/>
      <w:bookmarkEnd w:id="136"/>
    </w:p>
    <w:p w:rsidR="00464F34" w:rsidRPr="00392FFD" w:rsidRDefault="00125707" w:rsidP="00C37B29">
      <w:pPr>
        <w:pStyle w:val="InstructionsText2"/>
        <w:numPr>
          <w:ilvl w:val="0"/>
          <w:numId w:val="0"/>
        </w:numPr>
        <w:ind w:left="993"/>
      </w:pPr>
      <w:r>
        <w:t>46.</w:t>
      </w:r>
      <w:r>
        <w:tab/>
        <w:t>Τα ανοίγματα που προκύπτουν από θέσεις πιστωτικού κινδύνου αντισυμβα</w:t>
      </w:r>
      <w:r>
        <w:t>λ</w:t>
      </w:r>
      <w:r>
        <w:t>λομένου αναφέρονται στα υποδείγματα CR SA ή CR IRB, ανεξαρτήτως του αν πρόκειται για στοιχεία του τραπεζικού χαρτοφυλακίου ή στοιχεία του χαρτοφυλ</w:t>
      </w:r>
      <w:r>
        <w:t>α</w:t>
      </w:r>
      <w:r>
        <w:t xml:space="preserve">κίου συναλλαγών.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7" w:name="_Toc292456202"/>
      <w:bookmarkStart w:id="138" w:name="_Toc295829851"/>
      <w:bookmarkStart w:id="139" w:name="_Toc310415017"/>
      <w:bookmarkStart w:id="140" w:name="_Toc360188348"/>
      <w:bookmarkStart w:id="141" w:name="_Toc516210632"/>
      <w:bookmarkStart w:id="142" w:name="_Toc473560897"/>
      <w:r>
        <w:rPr>
          <w:rFonts w:ascii="Times New Roman" w:hAnsi="Times New Roman"/>
          <w:sz w:val="24"/>
          <w:u w:val="none"/>
        </w:rPr>
        <w:t>3.2.</w:t>
      </w:r>
      <w:r>
        <w:tab/>
      </w:r>
      <w:r>
        <w:rPr>
          <w:rFonts w:ascii="Times New Roman" w:hAnsi="Times New Roman"/>
          <w:sz w:val="24"/>
        </w:rPr>
        <w:t>C 07.00 – Πιστωτικός κίνδυνος και πιστωτικός κίνδυνος αντισυμβαλλομένου και ατ</w:t>
      </w:r>
      <w:r>
        <w:rPr>
          <w:rFonts w:ascii="Times New Roman" w:hAnsi="Times New Roman"/>
          <w:sz w:val="24"/>
        </w:rPr>
        <w:t>ε</w:t>
      </w:r>
      <w:r>
        <w:rPr>
          <w:rFonts w:ascii="Times New Roman" w:hAnsi="Times New Roman"/>
          <w:sz w:val="24"/>
        </w:rPr>
        <w:t>λείς συναλλαγές: Τυποποιημένη προσέγγιση για τις κεφαλαιακές απαιτήσεις</w:t>
      </w:r>
      <w:bookmarkEnd w:id="137"/>
      <w:bookmarkEnd w:id="138"/>
      <w:bookmarkEnd w:id="139"/>
      <w:bookmarkEnd w:id="140"/>
      <w:r>
        <w:rPr>
          <w:rFonts w:ascii="Times New Roman" w:hAnsi="Times New Roman"/>
          <w:sz w:val="24"/>
        </w:rPr>
        <w:t xml:space="preserve"> (CR SA)</w:t>
      </w:r>
      <w:bookmarkEnd w:id="141"/>
      <w:bookmarkEnd w:id="142"/>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516210633"/>
      <w:bookmarkStart w:id="150" w:name="_Toc473560898"/>
      <w:r>
        <w:rPr>
          <w:rFonts w:ascii="Times New Roman" w:hAnsi="Times New Roman"/>
          <w:sz w:val="24"/>
          <w:u w:val="none"/>
        </w:rPr>
        <w:t>3.2.1.</w:t>
      </w:r>
      <w:r>
        <w:tab/>
      </w:r>
      <w:r>
        <w:rPr>
          <w:rFonts w:ascii="Times New Roman" w:hAnsi="Times New Roman"/>
          <w:sz w:val="24"/>
        </w:rPr>
        <w:t>Γενικές παρατηρήσεις</w:t>
      </w:r>
      <w:bookmarkEnd w:id="143"/>
      <w:bookmarkEnd w:id="144"/>
      <w:bookmarkEnd w:id="145"/>
      <w:bookmarkEnd w:id="146"/>
      <w:bookmarkEnd w:id="147"/>
      <w:bookmarkEnd w:id="148"/>
      <w:bookmarkEnd w:id="149"/>
      <w:bookmarkEnd w:id="150"/>
    </w:p>
    <w:p w:rsidR="00464F34" w:rsidRPr="00392FFD" w:rsidRDefault="00125707" w:rsidP="00C37B29">
      <w:pPr>
        <w:pStyle w:val="InstructionsText2"/>
        <w:numPr>
          <w:ilvl w:val="0"/>
          <w:numId w:val="0"/>
        </w:numPr>
        <w:ind w:left="993"/>
      </w:pPr>
      <w:r>
        <w:t>47.</w:t>
      </w:r>
      <w:r>
        <w:tab/>
        <w:t>Τα υποδείγματα CR SA παρέχουν τις απαραίτητες πληροφορίες για τον υπ</w:t>
      </w:r>
      <w:r>
        <w:t>ο</w:t>
      </w:r>
      <w:r>
        <w:t>λογισμό των απαιτήσεων ιδίων κεφαλαίων για τον πιστωτικό κίνδυνο, σύμφωνα με την τυποποιημένη προσέγγιση. Συγκεκριμένα, παρέχουν αναλυτικές πληροφορίες για τα εξής:</w:t>
      </w:r>
    </w:p>
    <w:p w:rsidR="00464F34" w:rsidRPr="00392FFD" w:rsidRDefault="00125707" w:rsidP="00C37B29">
      <w:pPr>
        <w:pStyle w:val="InstructionsText2"/>
        <w:numPr>
          <w:ilvl w:val="0"/>
          <w:numId w:val="0"/>
        </w:numPr>
        <w:ind w:left="993"/>
      </w:pPr>
      <w:r>
        <w:t>α)</w:t>
      </w:r>
      <w:r>
        <w:tab/>
        <w:t>την κατανομή των αξιών των ανοιγμάτων σύμφωνα με τα διάφορα είδη ανοι</w:t>
      </w:r>
      <w:r>
        <w:t>γ</w:t>
      </w:r>
      <w:r>
        <w:t>μάτων, τους συντελεστές στάθμισης κινδύνου και τις κατηγορίες ανοιγμάτων·</w:t>
      </w:r>
    </w:p>
    <w:p w:rsidR="00464F34" w:rsidRPr="00392FFD" w:rsidRDefault="00125707" w:rsidP="00C37B29">
      <w:pPr>
        <w:pStyle w:val="InstructionsText2"/>
        <w:numPr>
          <w:ilvl w:val="0"/>
          <w:numId w:val="0"/>
        </w:numPr>
        <w:ind w:left="993"/>
      </w:pPr>
      <w:r>
        <w:t>β)</w:t>
      </w:r>
      <w:r>
        <w:tab/>
        <w:t>το ποσό και το είδος των τεχνικών μείωσης του πιστωτικού κινδύνου που χρ</w:t>
      </w:r>
      <w:r>
        <w:t>η</w:t>
      </w:r>
      <w:r>
        <w:t xml:space="preserve">σιμοποιούνται για τη μείωση των κινδύνων.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516210634"/>
      <w:bookmarkStart w:id="158" w:name="_Toc473560899"/>
      <w:r>
        <w:rPr>
          <w:rFonts w:ascii="Times New Roman" w:hAnsi="Times New Roman"/>
          <w:sz w:val="24"/>
          <w:u w:val="none"/>
        </w:rPr>
        <w:t>3.2.2.</w:t>
      </w:r>
      <w:r>
        <w:tab/>
      </w:r>
      <w:r>
        <w:rPr>
          <w:rFonts w:ascii="Times New Roman" w:hAnsi="Times New Roman"/>
          <w:sz w:val="24"/>
        </w:rPr>
        <w:t>Πεδίο εφαρμογής του υποδείγματος CR SA</w:t>
      </w:r>
      <w:bookmarkEnd w:id="151"/>
      <w:bookmarkEnd w:id="152"/>
      <w:bookmarkEnd w:id="153"/>
      <w:bookmarkEnd w:id="154"/>
      <w:bookmarkEnd w:id="155"/>
      <w:bookmarkEnd w:id="156"/>
      <w:bookmarkEnd w:id="157"/>
      <w:bookmarkEnd w:id="158"/>
    </w:p>
    <w:p w:rsidR="00464F34" w:rsidRPr="00392FFD" w:rsidRDefault="00125707" w:rsidP="00C37B29">
      <w:pPr>
        <w:pStyle w:val="InstructionsText2"/>
        <w:numPr>
          <w:ilvl w:val="0"/>
          <w:numId w:val="0"/>
        </w:numPr>
        <w:ind w:left="993"/>
      </w:pPr>
      <w:r>
        <w:t>48.</w:t>
      </w:r>
      <w:r>
        <w:tab/>
        <w:t>Σύμφωνα με το άρθρο 112 του ΚΚΑ, κάθε άνοιγμα SA κατατάσσεται σε μία από τις 16 κατηγορίες ανοιγμάτων SA, με στόχο τον υπολογισμό των απαιτήσεων ιδίων κεφαλαίων.</w:t>
      </w:r>
    </w:p>
    <w:p w:rsidR="00464F34" w:rsidRPr="00392FFD" w:rsidRDefault="00125707" w:rsidP="00C37B29">
      <w:pPr>
        <w:pStyle w:val="InstructionsText2"/>
        <w:numPr>
          <w:ilvl w:val="0"/>
          <w:numId w:val="0"/>
        </w:numPr>
        <w:ind w:left="993"/>
      </w:pPr>
      <w:r>
        <w:lastRenderedPageBreak/>
        <w:t>49.</w:t>
      </w:r>
      <w:r>
        <w:tab/>
        <w:t>Οι πληροφορίες στο υπόδειγμα CR SA ζητούνται για το σύνολο των κατηγ</w:t>
      </w:r>
      <w:r>
        <w:t>ο</w:t>
      </w:r>
      <w:r>
        <w:t xml:space="preserve">ριών ανοιγμάτων και μεμονωμένα για καθεμία κατηγορία ανοιγμάτων, όπως αυτές ορίζονται για την τυποποιημένη προσέγγιση. Τα συνολικά αριθμητικά στοιχεία, καθώς και οι πληροφορίες για κάθε κατηγορία ανοιγμάτων, αναφέρονται σε μια χωριστή διάσταση. </w:t>
      </w:r>
    </w:p>
    <w:p w:rsidR="00464F34" w:rsidRPr="00392FFD" w:rsidRDefault="00125707" w:rsidP="00C37B29">
      <w:pPr>
        <w:pStyle w:val="InstructionsText2"/>
        <w:numPr>
          <w:ilvl w:val="0"/>
          <w:numId w:val="0"/>
        </w:numPr>
        <w:ind w:left="993"/>
      </w:pPr>
      <w:r>
        <w:t>50.</w:t>
      </w:r>
      <w:r>
        <w:tab/>
        <w:t>Ωστόσο, οι ακόλουθες θέσεις δεν περιλαμβάνονται στο πεδίο εφαρμογής του CR SA:</w:t>
      </w:r>
    </w:p>
    <w:p w:rsidR="00464F34" w:rsidRPr="00392FFD" w:rsidRDefault="00125707" w:rsidP="00C37B29">
      <w:pPr>
        <w:pStyle w:val="InstructionsText2"/>
        <w:numPr>
          <w:ilvl w:val="0"/>
          <w:numId w:val="0"/>
        </w:numPr>
        <w:ind w:left="993"/>
      </w:pPr>
      <w:r>
        <w:t>α)</w:t>
      </w:r>
      <w:r>
        <w:tab/>
        <w:t xml:space="preserve">Ανοίγματα που κατατάσσονται στην κατηγορία ανοιγμάτων «στοιχεία που </w:t>
      </w:r>
      <w:r>
        <w:t>α</w:t>
      </w:r>
      <w:r>
        <w:t>ντιστοιχούν σε θέσεις τιτλοποίησης», σύμφωνα με το άρθρο 112 στοιχείο ιγ) του ΚΚΑ, τα οποία αναφέρονται στα υποδείγματα CR SEC.</w:t>
      </w:r>
    </w:p>
    <w:p w:rsidR="00464F34" w:rsidRPr="00392FFD" w:rsidRDefault="00125707" w:rsidP="00C37B29">
      <w:pPr>
        <w:pStyle w:val="InstructionsText2"/>
        <w:numPr>
          <w:ilvl w:val="0"/>
          <w:numId w:val="0"/>
        </w:numPr>
        <w:ind w:left="993"/>
      </w:pPr>
      <w:r>
        <w:t>β)</w:t>
      </w:r>
      <w:r>
        <w:tab/>
        <w:t>Ανοίγματα που αφαιρούνται από τα ίδια κεφάλαια.</w:t>
      </w:r>
    </w:p>
    <w:p w:rsidR="00464F34" w:rsidRPr="00392FFD" w:rsidRDefault="00125707" w:rsidP="00C37B29">
      <w:pPr>
        <w:pStyle w:val="InstructionsText2"/>
        <w:numPr>
          <w:ilvl w:val="0"/>
          <w:numId w:val="0"/>
        </w:numPr>
        <w:ind w:left="993"/>
      </w:pPr>
      <w:r>
        <w:t>51.</w:t>
      </w:r>
      <w:r>
        <w:tab/>
        <w:t>Το πεδίο εφαρμογής του υποδείγματος CR SA καλύπτει τις ακόλουθες απα</w:t>
      </w:r>
      <w:r>
        <w:t>ι</w:t>
      </w:r>
      <w:r>
        <w:t>τήσεις ιδίων κεφαλαίων:</w:t>
      </w:r>
    </w:p>
    <w:p w:rsidR="00464F34" w:rsidRPr="00392FFD" w:rsidRDefault="00125707" w:rsidP="00C37B29">
      <w:pPr>
        <w:pStyle w:val="InstructionsText2"/>
        <w:numPr>
          <w:ilvl w:val="0"/>
          <w:numId w:val="0"/>
        </w:numPr>
        <w:ind w:left="993"/>
      </w:pPr>
      <w:r>
        <w:t>α)</w:t>
      </w:r>
      <w:r>
        <w:tab/>
        <w:t>Πιστωτικό κίνδυνο, σύμφωνα με το τρίτο μέρος τίτλος ΙΙ κεφάλαιο 2 (τυπ</w:t>
      </w:r>
      <w:r>
        <w:t>ο</w:t>
      </w:r>
      <w:r>
        <w:t>ποιημένη προσέγγιση) του ΚΚΑ, του τραπεζικού χαρτοφυλακίου, συμπεριλαμβ</w:t>
      </w:r>
      <w:r>
        <w:t>α</w:t>
      </w:r>
      <w:r>
        <w:t>νομένου του πιστωτικού κινδύνου αντισυμβαλλομένου, σύμφωνα με το τρίτο μέρος τίτλος II κεφάλαιο 6 (πιστωτικός κίνδυνος αντισυμβαλλομένου) του ΚΚΑ, του τραπεζικού χαρτοφυλακίου·</w:t>
      </w:r>
    </w:p>
    <w:p w:rsidR="00464F34" w:rsidRPr="00392FFD" w:rsidRDefault="00125707" w:rsidP="00C37B29">
      <w:pPr>
        <w:pStyle w:val="InstructionsText2"/>
        <w:numPr>
          <w:ilvl w:val="0"/>
          <w:numId w:val="0"/>
        </w:numPr>
        <w:ind w:left="993"/>
      </w:pPr>
      <w:r>
        <w:t>β)</w:t>
      </w:r>
      <w:r>
        <w:tab/>
        <w:t>Πιστωτικό κίνδυνο αντισυμβαλλομένου, σύμφωνα με το τρίτο μέρος τίτλος II κεφάλαιο 6 (πιστωτικός κίνδυνος αντισυμβαλλομένου) του ΚΚΑ, στο χαρτοφυλ</w:t>
      </w:r>
      <w:r>
        <w:t>ά</w:t>
      </w:r>
      <w:r>
        <w:t>κιο συναλλαγών·</w:t>
      </w:r>
    </w:p>
    <w:p w:rsidR="00464F34" w:rsidRPr="00392FFD" w:rsidRDefault="00125707" w:rsidP="00C37B29">
      <w:pPr>
        <w:pStyle w:val="InstructionsText2"/>
        <w:numPr>
          <w:ilvl w:val="0"/>
          <w:numId w:val="0"/>
        </w:numPr>
        <w:ind w:left="993"/>
      </w:pPr>
      <w:r>
        <w:t>γ)</w:t>
      </w:r>
      <w:r>
        <w:tab/>
        <w:t>Κίνδυνο διακανονισμού που προκύπτει από ατελείς συναλλαγές, σύμφωνα με το άρθρο 379 του ΚΚΑ, σχετικά με το σύνολο των επιχειρηματικών δραστηριοτ</w:t>
      </w:r>
      <w:r>
        <w:t>ή</w:t>
      </w:r>
      <w:r>
        <w:t>των.</w:t>
      </w:r>
    </w:p>
    <w:p w:rsidR="00464F34" w:rsidRPr="00392FFD" w:rsidRDefault="00125707" w:rsidP="00C37B29">
      <w:pPr>
        <w:pStyle w:val="InstructionsText2"/>
        <w:numPr>
          <w:ilvl w:val="0"/>
          <w:numId w:val="0"/>
        </w:numPr>
        <w:ind w:left="993"/>
      </w:pPr>
      <w:r>
        <w:t>52.</w:t>
      </w:r>
      <w:r>
        <w:tab/>
        <w:t>Το πεδίο εφαρμογής του υποδείγματος περιλαμβάνει όλα τα ανοίγματα για τα οποία υπολογίζονται απαιτήσεις ιδίων κεφαλαίων σύμφωνα με το μέρος 3 τίτλος II κεφάλαιο 2 του ΚΚΑ, σε συνδυασμό με το μέρος 3 τίτλος II κεφάλαια 4 και 6 του ΚΚΑ. Τα ιδρύματα που εφαρμόζουν το άρθρο 94 παράγραφος 1 του ΚΚΑ θα πρ</w:t>
      </w:r>
      <w:r>
        <w:t>έ</w:t>
      </w:r>
      <w:r>
        <w:t>πει να αναφέρουν επίσης τις θέσεις του χαρτοφυλακίου συναλλαγών τους στο σ</w:t>
      </w:r>
      <w:r>
        <w:t>υ</w:t>
      </w:r>
      <w:r>
        <w:t>γκεκριμένο υπόδειγμα, κατά την εφαρμογή του τρίτου μέρους τίτλος II κεφάλαιο 2 του ΚΚΑ για τον υπολογισμό των απαιτήσεων ιδίων κεφαλαίων τους (τρίτο μέρος τίτλος II κεφάλαια 2 και 6 και τίτλος V του ΚΚΑ). Επομένως, το υπόδειγμα παρ</w:t>
      </w:r>
      <w:r>
        <w:t>έ</w:t>
      </w:r>
      <w:r>
        <w:t>χει τόσο αναλυτικές πληροφορίες για το είδος του ανοίγματος (π.χ. στοιχεία εντός ισολογισμού / εκτός ισολογισμού) όσο και πληροφορίες για την κατανομή των σ</w:t>
      </w:r>
      <w:r>
        <w:t>υ</w:t>
      </w:r>
      <w:r>
        <w:t>ντελεστών στάθμισης των κινδύνων εντός της αντίστοιχης κατηγορίας ανοιγμάτων.</w:t>
      </w:r>
    </w:p>
    <w:p w:rsidR="00464F34" w:rsidRPr="00392FFD" w:rsidRDefault="00125707" w:rsidP="00C37B29">
      <w:pPr>
        <w:pStyle w:val="InstructionsText2"/>
        <w:numPr>
          <w:ilvl w:val="0"/>
          <w:numId w:val="0"/>
        </w:numPr>
        <w:ind w:left="993"/>
      </w:pPr>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t>53.</w:t>
      </w:r>
      <w:r>
        <w:tab/>
        <w:t>Επιπλέον, το υπόδειγμα CR SA περιλαμβάνει υπομνηματικά στοιχεία στις γραμμές 290 έως 320, για τη συλλογή περαιτέρω πληροφοριών σχετικά με ανοί</w:t>
      </w:r>
      <w:r>
        <w:t>γ</w:t>
      </w:r>
      <w:r>
        <w:t xml:space="preserve">ματα που εξασφαλίζονται με υποθήκες επί ακίνητης περιουσίας και ανοίγματα σε αθέτηση. </w:t>
      </w:r>
    </w:p>
    <w:p w:rsidR="00464F34" w:rsidRPr="00392FFD" w:rsidRDefault="00125707" w:rsidP="00C37B29">
      <w:pPr>
        <w:pStyle w:val="InstructionsText2"/>
        <w:numPr>
          <w:ilvl w:val="0"/>
          <w:numId w:val="0"/>
        </w:numPr>
        <w:ind w:left="993"/>
      </w:pPr>
      <w:r>
        <w:t>54.</w:t>
      </w:r>
      <w:r>
        <w:tab/>
        <w:t>Αυτά τα υπομνηματικά στοιχεία αναφέρονται μόνο για τις ακόλουθες κατηγ</w:t>
      </w:r>
      <w:r>
        <w:t>ο</w:t>
      </w:r>
      <w:r>
        <w:t xml:space="preserve">ρίες ανοιγμάτων: </w:t>
      </w:r>
    </w:p>
    <w:p w:rsidR="00464F34" w:rsidRPr="00392FFD" w:rsidRDefault="00125707" w:rsidP="00C37B29">
      <w:pPr>
        <w:pStyle w:val="InstructionsText2"/>
        <w:numPr>
          <w:ilvl w:val="0"/>
          <w:numId w:val="0"/>
        </w:numPr>
        <w:ind w:left="993"/>
      </w:pPr>
      <w:r>
        <w:lastRenderedPageBreak/>
        <w:t>α)</w:t>
      </w:r>
      <w:r>
        <w:tab/>
        <w:t xml:space="preserve">Κεντρικές κυβερνήσεις ή κεντρικές τράπεζες (άρθρο 112 στοιχείο α) του </w:t>
      </w:r>
      <w:r>
        <w:t>Κ</w:t>
      </w:r>
      <w:r>
        <w:t>ΚΑ)</w:t>
      </w:r>
    </w:p>
    <w:p w:rsidR="00464F34" w:rsidRPr="00392FFD" w:rsidRDefault="00125707" w:rsidP="00C37B29">
      <w:pPr>
        <w:pStyle w:val="InstructionsText2"/>
        <w:numPr>
          <w:ilvl w:val="0"/>
          <w:numId w:val="0"/>
        </w:numPr>
        <w:ind w:left="993"/>
      </w:pPr>
      <w:r>
        <w:t>β)</w:t>
      </w:r>
      <w:r>
        <w:tab/>
        <w:t>Περιφερειακές κυβερνήσεις ή τοπικές αρχές (άρθρο 112 στοιχείο β) του ΚΚΑ)</w:t>
      </w:r>
    </w:p>
    <w:p w:rsidR="00464F34" w:rsidRPr="00392FFD" w:rsidRDefault="00125707" w:rsidP="00C37B29">
      <w:pPr>
        <w:pStyle w:val="InstructionsText2"/>
        <w:numPr>
          <w:ilvl w:val="0"/>
          <w:numId w:val="0"/>
        </w:numPr>
        <w:ind w:left="993"/>
      </w:pPr>
      <w:r>
        <w:t>γ)</w:t>
      </w:r>
      <w:r>
        <w:tab/>
        <w:t>Οντότητες του δημοσίου τομέα (άρθρο 112 στοιχείο γ) του ΚΚΑ)</w:t>
      </w:r>
    </w:p>
    <w:p w:rsidR="00464F34" w:rsidRPr="00392FFD" w:rsidRDefault="00125707" w:rsidP="00C37B29">
      <w:pPr>
        <w:pStyle w:val="InstructionsText2"/>
        <w:numPr>
          <w:ilvl w:val="0"/>
          <w:numId w:val="0"/>
        </w:numPr>
        <w:ind w:left="993"/>
      </w:pPr>
      <w:r>
        <w:t>δ)</w:t>
      </w:r>
      <w:r>
        <w:tab/>
        <w:t>Ιδρύματα (άρθρο 112 στοιχείο στ) του ΚΚΑ)</w:t>
      </w:r>
    </w:p>
    <w:p w:rsidR="00464F34" w:rsidRPr="00392FFD" w:rsidRDefault="00125707" w:rsidP="00C37B29">
      <w:pPr>
        <w:pStyle w:val="InstructionsText2"/>
        <w:numPr>
          <w:ilvl w:val="0"/>
          <w:numId w:val="0"/>
        </w:numPr>
        <w:ind w:left="993"/>
      </w:pPr>
      <w:r>
        <w:t>ε)</w:t>
      </w:r>
      <w:r>
        <w:tab/>
        <w:t>Επιχειρήσεις (άρθρο 112 στοιχείο ζ) του ΚΚΑ)</w:t>
      </w:r>
    </w:p>
    <w:p w:rsidR="00464F34" w:rsidRPr="00392FFD" w:rsidRDefault="00125707" w:rsidP="00C37B29">
      <w:pPr>
        <w:pStyle w:val="InstructionsText2"/>
        <w:numPr>
          <w:ilvl w:val="0"/>
          <w:numId w:val="0"/>
        </w:numPr>
        <w:ind w:left="993"/>
      </w:pPr>
      <w:r>
        <w:t>στ)</w:t>
      </w:r>
      <w:r>
        <w:tab/>
        <w:t>Λιανική τραπεζική (άρθρο 112 στοιχείο η) του ΚΚΑ).</w:t>
      </w:r>
    </w:p>
    <w:p w:rsidR="00464F34" w:rsidRPr="00392FFD" w:rsidRDefault="00125707" w:rsidP="00C37B29">
      <w:pPr>
        <w:pStyle w:val="InstructionsText2"/>
        <w:numPr>
          <w:ilvl w:val="0"/>
          <w:numId w:val="0"/>
        </w:numPr>
        <w:ind w:left="993"/>
      </w:pPr>
      <w:r>
        <w:t>55.</w:t>
      </w:r>
      <w:r>
        <w:tab/>
        <w:t xml:space="preserve">Η αναφορά των υπομνηματικών στοιχείων δεν επηρεάζει τον υπολογισμό των σταθμισμένων ως προς τον κίνδυνο ποσών ανοιγμάτων ούτε των κατηγοριών </w:t>
      </w:r>
      <w:r>
        <w:t>α</w:t>
      </w:r>
      <w:r>
        <w:t xml:space="preserve">νοιγμάτων, σύμφωνα με το άρθρο 112 στοιχεία α) έως γ) και στ) έως η) του ΚΚΑ, ούτε των κατηγοριών ανοιγμάτων σύμφωνα με το άρθρο 112 στοιχεία θ) και ι) του ΚΚΑ, που αναφέρονται στο υπόδειγμα CR SA. </w:t>
      </w:r>
    </w:p>
    <w:p w:rsidR="00464F34" w:rsidRPr="00392FFD" w:rsidRDefault="00125707" w:rsidP="00C37B29">
      <w:pPr>
        <w:pStyle w:val="InstructionsText2"/>
        <w:numPr>
          <w:ilvl w:val="0"/>
          <w:numId w:val="0"/>
        </w:numPr>
        <w:ind w:left="993"/>
      </w:pPr>
      <w:r>
        <w:t>56.</w:t>
      </w:r>
      <w:r>
        <w:tab/>
        <w:t>Οι υπομνηματικές γραμμές παρέχουν πρόσθετες πληροφορίες για τη διάρθρ</w:t>
      </w:r>
      <w:r>
        <w:t>ω</w:t>
      </w:r>
      <w:r>
        <w:t>ση του οφειλέτη των κατηγοριών ανοιγμάτων «σε αθέτηση» ή «που εξασφαλίζ</w:t>
      </w:r>
      <w:r>
        <w:t>ο</w:t>
      </w:r>
      <w:r>
        <w:t xml:space="preserve">νται με υποθήκες επί ακίνητης περιουσίας». Τα ανοίγματα αναφέρονται σε αυτές τις γραμμές στην περίπτωση που οι οφειλέτες θα αναφέρονταν στις κατηγορίες </w:t>
      </w:r>
      <w:r>
        <w:t>α</w:t>
      </w:r>
      <w:r>
        <w:t>νοιγμάτων «κεντρικές κυβερνήσεις ή κεντρικές τράπεζες», «περιφερειακές κυβε</w:t>
      </w:r>
      <w:r>
        <w:t>ρ</w:t>
      </w:r>
      <w:r>
        <w:t>νήσεις ή τοπικές αρχές», «οντότητες του δημόσιου τομέα», «ιδρύματα», «επιχειρ</w:t>
      </w:r>
      <w:r>
        <w:t>ή</w:t>
      </w:r>
      <w:r>
        <w:t>σεις» και «λιανική τραπεζική» του υποδείγματος CR SA, εάν τα ανοίγματα αυτά δεν κατατάσσονταν στις κατηγορίες ανοιγμάτων «σε αθέτηση» ή «που εξασφαλ</w:t>
      </w:r>
      <w:r>
        <w:t>ί</w:t>
      </w:r>
      <w:r>
        <w:t>ζονται με υποθήκες επί ακίνητης περιουσίας». Ωστόσο, τα αριθμητικά στοιχεία που αναφέρονται είναι τα ίδια με αυτά που χρησιμοποιούνται για τον υπολογισμό των σταθμισμένων ως προς τον κίνδυνο ποσών ανοιγμάτων των κατηγοριών ανοιγμ</w:t>
      </w:r>
      <w:r>
        <w:t>ά</w:t>
      </w:r>
      <w:r>
        <w:t>των «σε αθέτηση» ή «που εξασφαλίζονται με υποθήκες επί ακίνητης περιουσίας».</w:t>
      </w:r>
    </w:p>
    <w:p w:rsidR="00464F34" w:rsidRPr="00392FFD" w:rsidRDefault="00125707" w:rsidP="00C37B29">
      <w:pPr>
        <w:pStyle w:val="InstructionsText2"/>
        <w:numPr>
          <w:ilvl w:val="0"/>
          <w:numId w:val="0"/>
        </w:numPr>
        <w:ind w:left="993"/>
      </w:pPr>
      <w:r>
        <w:t>57.</w:t>
      </w:r>
      <w:r>
        <w:tab/>
        <w:t>Π.χ. στην περίπτωση ανοίγματος, του οποίου τα ποσά ανοίγματος σε κίνδυνο υπολογίζονται βάσει του άρθρου 127 του ΚΚΑ και οι προσαρμογές τιμής είναι μ</w:t>
      </w:r>
      <w:r>
        <w:t>ι</w:t>
      </w:r>
      <w:r>
        <w:t>κρότερες του 20 %, οι πληροφορίες αυτές αναφέρονται στο υπόδειγμα CR SA, στη γραμμή 320, στο σύνολο και στην κατηγορία ανοιγμάτων «σε αθέτηση». Εάν το άνοιγμα αυτό, προτού γίνει άνοιγμα σε αθέτηση, ήταν άνοιγμα έναντι ιδρύματος, τότε οι πληροφορίες αυτές αναφέρονται επίσης στη γραμμή 320 της κατηγορίας ανοιγμάτων «ιδρύματα».</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516210635"/>
      <w:r>
        <w:rPr>
          <w:rFonts w:ascii="Times New Roman" w:hAnsi="Times New Roman"/>
          <w:sz w:val="24"/>
          <w:u w:val="none"/>
        </w:rPr>
        <w:t>3.2.3.</w:t>
      </w:r>
      <w: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Κατάταξη ανοιγμάτων σε κατηγορίες ανοιγμάτων σύμφωνα με την τυποποιημένη προσέγγιση</w:t>
      </w:r>
      <w:bookmarkEnd w:id="183"/>
      <w:bookmarkEnd w:id="184"/>
      <w:bookmarkEnd w:id="185"/>
      <w:bookmarkEnd w:id="186"/>
      <w:bookmarkEnd w:id="187"/>
      <w:bookmarkEnd w:id="188"/>
      <w:bookmarkEnd w:id="189"/>
      <w:bookmarkEnd w:id="190"/>
    </w:p>
    <w:p w:rsidR="00464F34" w:rsidRPr="00392FFD" w:rsidRDefault="00125707" w:rsidP="00C37B29">
      <w:pPr>
        <w:pStyle w:val="InstructionsText2"/>
        <w:numPr>
          <w:ilvl w:val="0"/>
          <w:numId w:val="0"/>
        </w:numPr>
        <w:ind w:left="993"/>
      </w:pPr>
      <w:r>
        <w:t>58.</w:t>
      </w:r>
      <w:r>
        <w:tab/>
        <w:t>Για να εξασφαλιστεί η συνεκτική κατηγοριοποίηση των ανοιγμάτων στις δι</w:t>
      </w:r>
      <w:r>
        <w:t>ά</w:t>
      </w:r>
      <w:r>
        <w:t>φορες κατηγορίες ανοιγμάτων που ορίζονται στο άρθρο 112 του ΚΚΑ, εφαρμόζ</w:t>
      </w:r>
      <w:r>
        <w:t>ε</w:t>
      </w:r>
      <w:r>
        <w:t xml:space="preserve">ται η ακόλουθη διαδοχική προσέγγιση: </w:t>
      </w:r>
    </w:p>
    <w:p w:rsidR="00464F34" w:rsidRPr="00392FFD" w:rsidRDefault="00125707" w:rsidP="00C37B29">
      <w:pPr>
        <w:pStyle w:val="InstructionsText2"/>
        <w:numPr>
          <w:ilvl w:val="0"/>
          <w:numId w:val="0"/>
        </w:numPr>
        <w:ind w:left="993"/>
      </w:pPr>
      <w:r>
        <w:t>α)</w:t>
      </w:r>
      <w:r>
        <w:tab/>
        <w:t>Σε πρώτο στάδιο, το αρχικό άνοιγμα πριν από τους συντελεστές μετατροπής κατατάσσεται στην αντίστοιχη κατηγορία (αρχικού) ανοίγματος που αναφέρεται στο άρθρο 112 του ΚΚΑ, με την επιφύλαξη της συγκεκριμένης αντιμετώπισης (στάθμιση κινδύνου) κάθε επιμέρους ανοίγματος εντός της κατηγορίας ανοιγμάτων στην οποία έχει καταταχθεί.</w:t>
      </w:r>
    </w:p>
    <w:p w:rsidR="00464F34" w:rsidRPr="00392FFD" w:rsidRDefault="00125707" w:rsidP="00C37B29">
      <w:pPr>
        <w:pStyle w:val="InstructionsText2"/>
        <w:numPr>
          <w:ilvl w:val="0"/>
          <w:numId w:val="0"/>
        </w:numPr>
        <w:ind w:left="993"/>
      </w:pPr>
      <w:r>
        <w:lastRenderedPageBreak/>
        <w:t>β)</w:t>
      </w:r>
      <w:r>
        <w:tab/>
        <w:t>Σε δεύτερο στάδιο, τα ανοίγματα δύναται να ανακατανεμηθούν σε άλλες κατ</w:t>
      </w:r>
      <w:r>
        <w:t>η</w:t>
      </w:r>
      <w:r>
        <w:t>γορίες ανοιγμάτων λόγω της εφαρμογής τεχνικών μείωσης του πιστωτικού κινδ</w:t>
      </w:r>
      <w:r>
        <w:t>ύ</w:t>
      </w:r>
      <w:r>
        <w:t>νου (CRM) με αποτέλεσμα υποκατάστασης στο άνοιγμα (π.χ. εγγυήσεις, πιστωτικά παράγωγα, απλή μέθοδος χρηματοοικονομικών εξασφαλίσεων) μέσω εισροών και εκροών.</w:t>
      </w:r>
    </w:p>
    <w:p w:rsidR="00464F34" w:rsidRPr="00392FFD" w:rsidRDefault="00125707" w:rsidP="00C37B29">
      <w:pPr>
        <w:pStyle w:val="InstructionsText2"/>
        <w:numPr>
          <w:ilvl w:val="0"/>
          <w:numId w:val="0"/>
        </w:numPr>
        <w:ind w:left="993"/>
      </w:pPr>
      <w:r>
        <w:t>59.</w:t>
      </w:r>
      <w:r>
        <w:tab/>
        <w:t>Εφαρμόζονται τα ακόλουθα κριτήρια για την κατάταξη του αρχικού ανοίγμ</w:t>
      </w:r>
      <w:r>
        <w:t>α</w:t>
      </w:r>
      <w:r>
        <w:t>τος πριν από τους συντελεστές μετατροπής στις διάφορες κατηγορίες ανοιγμάτων (πρώτο στάδιο), με την επιφύλαξη της επακόλουθης ανακατανομής που προκαλε</w:t>
      </w:r>
      <w:r>
        <w:t>ί</w:t>
      </w:r>
      <w:r>
        <w:t>ται από τη χρήση τεχνικών μείωσης του πιστωτικού κινδύνου με αποτέλεσμα υπ</w:t>
      </w:r>
      <w:r>
        <w:t>ο</w:t>
      </w:r>
      <w:r>
        <w:t>κατάστασης στο άνοιγμα ή της αντιμετώπισης (στάθμιση κινδύνου) κάθε επιμέρους ανοίγματος εντός της κατηγορίας ανοιγμάτων στην οποία έχει καταταχθεί.</w:t>
      </w:r>
    </w:p>
    <w:p w:rsidR="00464F34" w:rsidRPr="00392FFD" w:rsidRDefault="00125707" w:rsidP="00C37B29">
      <w:pPr>
        <w:pStyle w:val="InstructionsText2"/>
        <w:numPr>
          <w:ilvl w:val="0"/>
          <w:numId w:val="0"/>
        </w:numPr>
        <w:ind w:left="993"/>
      </w:pPr>
      <w:r>
        <w:t>60.</w:t>
      </w:r>
      <w:r>
        <w:tab/>
        <w:t>Για την κατάταξη του αρχικού ανοίγματος πριν από τον συντελεστή μετατρ</w:t>
      </w:r>
      <w:r>
        <w:t>ο</w:t>
      </w:r>
      <w:r>
        <w:t>πής σε πρώτο στάδιο, δεν λαμβάνονται υπόψη οι τεχνικές μείωσης του πιστωτικού κινδύνου που συνδέονται με το άνοιγμα (να σημειωθεί ότι λαμβάνονται ρητά υπ</w:t>
      </w:r>
      <w:r>
        <w:t>ό</w:t>
      </w:r>
      <w:r>
        <w:t xml:space="preserve">ψη κατά το δεύτερο στάδιο), εκτός εάν η προστασία αποτελεί εγγενώς μέρος του ορισμού μιας κατηγορίας ανοιγμάτων, όπως στην περίπτωση της κατηγορίας </w:t>
      </w:r>
      <w:r>
        <w:t>α</w:t>
      </w:r>
      <w:r>
        <w:t>νοιγμάτων που αναφέρεται στο άρθρο 112 στοιχείο θ) του ΚΚΑ (ανοίγματα που εξασφαλίζονται με υποθήκες επί ακίνητης περιουσίας).</w:t>
      </w:r>
    </w:p>
    <w:p w:rsidR="00464F34" w:rsidRPr="00392FFD" w:rsidRDefault="00125707" w:rsidP="00C37B29">
      <w:pPr>
        <w:pStyle w:val="InstructionsText2"/>
        <w:numPr>
          <w:ilvl w:val="0"/>
          <w:numId w:val="0"/>
        </w:numPr>
        <w:ind w:left="993"/>
      </w:pPr>
      <w:r>
        <w:t>61.</w:t>
      </w:r>
      <w:r>
        <w:tab/>
        <w:t>Το άρθρο 112 του ΚΚΑ δεν προβλέπει κριτήρια για τον διαχωρισμό των κατ</w:t>
      </w:r>
      <w:r>
        <w:t>η</w:t>
      </w:r>
      <w:r>
        <w:t>γοριών ανοιγμάτων. Αυτό σημαίνει ενδεχομένως ότι ένα άνοιγμα θα μπορούσε π</w:t>
      </w:r>
      <w:r>
        <w:t>ι</w:t>
      </w:r>
      <w:r>
        <w:t>θανόν να ταξινομηθεί σε διάφορες κατηγορίες ανοιγμάτων, εάν δεν υπήρχε ιερά</w:t>
      </w:r>
      <w:r>
        <w:t>ρ</w:t>
      </w:r>
      <w:r>
        <w:t>χηση στα κριτήρια αξιολόγησης που χρησιμοποιούνται για την κατάταξη. Η πλέον προφανής περίπτωση ανακύπτει μεταξύ των ανοιγμάτων έναντι ιδρυμάτων και επ</w:t>
      </w:r>
      <w:r>
        <w:t>ι</w:t>
      </w:r>
      <w:r>
        <w:t xml:space="preserve">χειρήσεων με βραχυπρόθεσμη πιστοληπτική αξιολόγηση (άρθρο 112 στοιχείο ιδ) του KKA) και των ανοιγμάτων έναντι ιδρυμάτων (άρθρο 112 στοιχείο στ) του ΚΚΑ) / ανοιγμάτων έναντι επιχειρήσεων (άρθρο 112 στοιχείο ζ) του ΚΚΑ). Στην περίπτωση αυτή, είναι σαφές ότι υπάρχει μια υπονοούμενη ιεράρχηση στον ΚΚΑ, εφόσον εξετάζεται πρώτα αν ένα συγκεκριμένο άνοιγμα μπορεί να ταξινομηθεί στα βραχυπρόθεσμα ανοίγματα έναντι ιδρυμάτων και επιχειρήσεων και μόνο μετά </w:t>
      </w:r>
      <w:r>
        <w:t>ε</w:t>
      </w:r>
      <w:r>
        <w:t>φαρμόζεται η ίδια διαδικασία για ανοίγματα έναντι ιδρυμάτων και ανοίγματα έν</w:t>
      </w:r>
      <w:r>
        <w:t>α</w:t>
      </w:r>
      <w:r>
        <w:t>ντι επιχειρήσεων. Διαφορετικά, είναι προφανές ότι δεν θα ταξινομηθεί ποτέ κανένα άνοιγμα στην κατηγορία ανοιγμάτων που αναφέρεται στο άρθρο 112 στοιχείο ιδ) του ΚΚΑ. Το αναφερόμενο παράδειγμα είναι ένα από τα προφανέστερα, αλλά όχι το μοναδικό. Θα πρέπει να σημειωθεί ότι τα κριτήρια που χρησιμοποιούνται για τον προσδιορισμό των κατηγοριών ανοιγμάτων βάσει της τυποποιημένης προσέ</w:t>
      </w:r>
      <w:r>
        <w:t>γ</w:t>
      </w:r>
      <w:r>
        <w:t>γισης είναι διάφορα (κατηγοριοποίηση ιδρυμάτων, διάρκεια του ανοίγματος, καθ</w:t>
      </w:r>
      <w:r>
        <w:t>ε</w:t>
      </w:r>
      <w:r>
        <w:t>στώς ληξιπρόθεσμου κ.λπ.), και αυτός είναι ο υποκείμενος λόγος για τις μη διακρ</w:t>
      </w:r>
      <w:r>
        <w:t>ι</w:t>
      </w:r>
      <w:r>
        <w:t>τές ομαδοποιήσεις.</w:t>
      </w:r>
    </w:p>
    <w:p w:rsidR="00464F34" w:rsidRPr="00392FFD" w:rsidRDefault="00125707" w:rsidP="00C37B29">
      <w:pPr>
        <w:pStyle w:val="InstructionsText2"/>
        <w:numPr>
          <w:ilvl w:val="0"/>
          <w:numId w:val="0"/>
        </w:numPr>
        <w:ind w:left="993"/>
      </w:pPr>
      <w:r>
        <w:t>62.</w:t>
      </w:r>
      <w:r>
        <w:tab/>
        <w:t>Για να παρέχονται πληροφορίες κατά τρόπο ομοιογενή και συγκρίσιμο, είναι απαραίτητο να προσδιοριστούν κριτήρια αξιολόγησης της ιεράρχησης για την ταξ</w:t>
      </w:r>
      <w:r>
        <w:t>ι</w:t>
      </w:r>
      <w:r>
        <w:t>νόμηση του αρχικού ανοίγματος πριν από την εφαρμογή των συντελεστών μετ</w:t>
      </w:r>
      <w:r>
        <w:t>α</w:t>
      </w:r>
      <w:r>
        <w:t>τροπής σε κατηγορίες ανοιγμάτων, με την επιφύλαξη της συγκεκριμένης αντιμετ</w:t>
      </w:r>
      <w:r>
        <w:t>ώ</w:t>
      </w:r>
      <w:r>
        <w:t xml:space="preserve">πισης (στάθμιση κινδύνου) κάθε επιμέρους ανοίγματος εντός της κατηγορίας </w:t>
      </w:r>
      <w:r>
        <w:t>α</w:t>
      </w:r>
      <w:r>
        <w:t>νοιγμάτων στην οποία έχει ταξινομηθεί. Τα κριτήρια ιεράρχησης που παρουσιάζ</w:t>
      </w:r>
      <w:r>
        <w:t>ο</w:t>
      </w:r>
      <w:r>
        <w:t xml:space="preserve">νται στη συνέχεια, με τη χρήση ενός συστήματος δέντρου αποφάσεων, βασίζονται στην αξιολόγηση των προϋποθέσεων που προβλέπονται ρητώς στον ΚΚΑ για την κατάταξη ενός ανοίγματος σε μια συγκεκριμένη κατηγορία ανοιγμάτων και, στην </w:t>
      </w:r>
      <w:r>
        <w:lastRenderedPageBreak/>
        <w:t>περίπτωση αυτή, βασίζονται σε οποιαδήποτε απόφαση των αναφερόντων ιδρυμ</w:t>
      </w:r>
      <w:r>
        <w:t>ά</w:t>
      </w:r>
      <w:r>
        <w:t>των ή της εποπτικής αρχής σχετικά με τη δυνατότητα εφαρμογής συγκεκριμένων κατηγοριών ανοιγμάτων. Συνεπώς, το αποτέλεσμα της διαδικασίας κατάταξης των ανοιγμάτων για σκοπούς υποβολής αναφορών θα είναι σύμφωνο με τις διατάξεις του ΚΚΑ. Αυτό δεν εμποδίζει τα ιδρύματα να εφαρμόζουν άλλες εσωτερικές δι</w:t>
      </w:r>
      <w:r>
        <w:t>α</w:t>
      </w:r>
      <w:r>
        <w:t>δικασίες κατάταξης που δύναται να συμφωνούν επίσης με όλες τις σχετικές διατ</w:t>
      </w:r>
      <w:r>
        <w:t>ά</w:t>
      </w:r>
      <w:r>
        <w:t>ξεις του ΚΚΑ και τις ερμηνείες αυτού που εκδίδονται από αρμόδια φόρα.</w:t>
      </w:r>
    </w:p>
    <w:p w:rsidR="00464F34" w:rsidRPr="00392FFD" w:rsidRDefault="00125707" w:rsidP="00C37B29">
      <w:pPr>
        <w:pStyle w:val="InstructionsText2"/>
        <w:numPr>
          <w:ilvl w:val="0"/>
          <w:numId w:val="0"/>
        </w:numPr>
        <w:ind w:left="993"/>
      </w:pPr>
      <w:r>
        <w:t>63.</w:t>
      </w:r>
      <w:r>
        <w:tab/>
        <w:t>Μια κατηγορία ανοιγμάτων έχει προτεραιότητα έναντι άλλων στη σειρά αξι</w:t>
      </w:r>
      <w:r>
        <w:t>ο</w:t>
      </w:r>
      <w:r>
        <w:t>λόγησης στο δέντρο αποφάσεων (δηλαδή, αξιολογείται πρώτα αν ένα άνοιγμα μπορεί να ταξινομηθεί σε αυτήν, με την επιφύλαξη του αποτελέσματος της αξιολ</w:t>
      </w:r>
      <w:r>
        <w:t>ό</w:t>
      </w:r>
      <w:r>
        <w:t xml:space="preserve">γησης αυτής), εάν, σε αντίθετη περίπτωση, κανένα άνοιγμα δεν θα κατατασσόταν ενδεχομένως σε αυτή. Αυτό συμβαίνει όταν, απουσία κριτηρίων ιεράρχησης, μια κατηγορία ανοιγμάτων θα ήταν υποσύνολο άλλων. Επομένως, τα κριτήρια που </w:t>
      </w:r>
      <w:r>
        <w:t>α</w:t>
      </w:r>
      <w:r>
        <w:t>πεικονίζονται γραφικά στο ακόλουθο δέντρο αποφάσεων θα εφαρμόζονται διαδ</w:t>
      </w:r>
      <w:r>
        <w:t>ο</w:t>
      </w:r>
      <w:r>
        <w:t>χικά.</w:t>
      </w:r>
    </w:p>
    <w:p w:rsidR="00464F34" w:rsidRPr="00392FFD" w:rsidRDefault="00125707" w:rsidP="00C37B29">
      <w:pPr>
        <w:pStyle w:val="InstructionsText2"/>
        <w:numPr>
          <w:ilvl w:val="0"/>
          <w:numId w:val="0"/>
        </w:numPr>
        <w:ind w:left="993"/>
      </w:pPr>
      <w:r>
        <w:t>64.</w:t>
      </w:r>
      <w:r>
        <w:tab/>
        <w:t>Βάσει των ανωτέρω, η σειρά αξιολόγησης στο δέντρο αποφάσεων που αναφ</w:t>
      </w:r>
      <w:r>
        <w:t>έ</w:t>
      </w:r>
      <w:r>
        <w:t>ρεται κάτωθι είναι η εξής:</w:t>
      </w:r>
    </w:p>
    <w:p w:rsidR="00464F34" w:rsidRPr="00392FFD" w:rsidRDefault="00464F34" w:rsidP="00FD239F">
      <w:pPr>
        <w:pStyle w:val="InstructionsText"/>
      </w:pPr>
      <w:r>
        <w:t>1. Θέσεις τιτλοποίησης·</w:t>
      </w:r>
    </w:p>
    <w:p w:rsidR="00464F34" w:rsidRPr="00392FFD" w:rsidRDefault="00464F34" w:rsidP="00FD239F">
      <w:pPr>
        <w:pStyle w:val="InstructionsText"/>
      </w:pPr>
      <w:r>
        <w:t>2. Στοιχεία που σχετίζονται με ιδιαίτερα υψηλούς κινδύνους·</w:t>
      </w:r>
    </w:p>
    <w:p w:rsidR="00464F34" w:rsidRPr="00392FFD" w:rsidRDefault="00464F34" w:rsidP="00FD239F">
      <w:pPr>
        <w:pStyle w:val="InstructionsText"/>
      </w:pPr>
      <w:r>
        <w:t>3. Ανοίγματα σε μετοχές·</w:t>
      </w:r>
    </w:p>
    <w:p w:rsidR="00464F34" w:rsidRPr="00392FFD" w:rsidRDefault="00464F34" w:rsidP="00FD239F">
      <w:pPr>
        <w:pStyle w:val="InstructionsText"/>
      </w:pPr>
      <w:r>
        <w:t>4. Ανοίγματα σε αθέτηση·</w:t>
      </w:r>
    </w:p>
    <w:p w:rsidR="00464F34" w:rsidRPr="00392FFD" w:rsidRDefault="00464F34" w:rsidP="00FD239F">
      <w:pPr>
        <w:pStyle w:val="InstructionsText"/>
      </w:pPr>
      <w:r>
        <w:t>5. Ανοίγματα υπό μορφή μεριδίων ή μετοχών σε οργανισμούς συλλογικών επενδύσεων (</w:t>
      </w:r>
      <w:r>
        <w:t>Ο</w:t>
      </w:r>
      <w:r>
        <w:t>ΣΕ) / Ανοίγματα υπό μορφή καλυμμένων ομολόγων (διακριτές κατηγορίες ανοιγμάτων)·</w:t>
      </w:r>
    </w:p>
    <w:p w:rsidR="00464F34" w:rsidRPr="00392FFD" w:rsidRDefault="00464F34" w:rsidP="00FD239F">
      <w:pPr>
        <w:pStyle w:val="InstructionsText"/>
      </w:pPr>
      <w:r>
        <w:t>6. Ανοίγματα εξασφαλισμένα με υποθήκες επί ακίνητης περιουσίας·</w:t>
      </w:r>
    </w:p>
    <w:p w:rsidR="00464F34" w:rsidRPr="00392FFD" w:rsidRDefault="00464F34" w:rsidP="00FD239F">
      <w:pPr>
        <w:pStyle w:val="InstructionsText"/>
      </w:pPr>
      <w:r>
        <w:t>7. Άλλα στοιχεία·</w:t>
      </w:r>
    </w:p>
    <w:p w:rsidR="00464F34" w:rsidRPr="00392FFD" w:rsidRDefault="00464F34" w:rsidP="00FD239F">
      <w:pPr>
        <w:pStyle w:val="InstructionsText"/>
      </w:pPr>
      <w:r>
        <w:t>8. Ανοίγματα έναντι ιδρυμάτων και επιχειρήσεων με βραχυπρόθεσμη πιστοληπτική αξιολ</w:t>
      </w:r>
      <w:r>
        <w:t>ό</w:t>
      </w:r>
      <w:r>
        <w:t>γηση·</w:t>
      </w:r>
    </w:p>
    <w:p w:rsidR="00464F34" w:rsidRPr="00392FFD" w:rsidRDefault="00464F34" w:rsidP="00FD239F">
      <w:pPr>
        <w:pStyle w:val="InstructionsText"/>
      </w:pPr>
      <w:r>
        <w:t>9. Όλες οι άλλες κατηγορίες ανοιγμάτων (διακριτές κατηγορίες ανοιγμάτων) που περιλαμβ</w:t>
      </w:r>
      <w:r>
        <w:t>ά</w:t>
      </w:r>
      <w:r>
        <w:t>νουν ανοίγματα έναντι κεντρικών κυβερνήσεων ή κεντρικών τραπεζών· Ανοίγματα έναντι περιφερειακών κυβερνήσεων ή τοπικών αρχών· Ανοίγματα έναντι οντοτήτων του δημοσίου τομέα· Ανοίγματα έναντι πολυμερών τραπεζών ανάπτυξης· Ανοίγματα έναντι διεθνών οργ</w:t>
      </w:r>
      <w:r>
        <w:t>α</w:t>
      </w:r>
      <w:r>
        <w:t>νισμών· Ανοίγματα έναντι ιδρυμάτων· Ανοίγματα έναντι επιχειρήσεων και ανοίγματα λιαν</w:t>
      </w:r>
      <w:r>
        <w:t>ι</w:t>
      </w:r>
      <w:r>
        <w:t>κής τραπεζικής.</w:t>
      </w:r>
    </w:p>
    <w:p w:rsidR="00464F34" w:rsidRPr="00392FFD" w:rsidRDefault="00125707" w:rsidP="00C37B29">
      <w:pPr>
        <w:pStyle w:val="InstructionsText2"/>
        <w:numPr>
          <w:ilvl w:val="0"/>
          <w:numId w:val="0"/>
        </w:numPr>
        <w:ind w:left="993"/>
      </w:pPr>
      <w:r>
        <w:t>65.</w:t>
      </w:r>
      <w:r>
        <w:tab/>
        <w:t>Στην περίπτωση ανοιγμάτων υπό μορφή μεριδίων ή μετοχών σε οργανισμούς συλλογικών επενδύσεων και όταν χρησιμοποιείται η προσέγγιση της εξέτασης (ά</w:t>
      </w:r>
      <w:r>
        <w:t>ρ</w:t>
      </w:r>
      <w:r>
        <w:t>θρο 132 παράγραφοι 3 έως 5 του ΚΚΑ), τα υποκείμενα επιμέρους ανοίγματα εξ</w:t>
      </w:r>
      <w:r>
        <w:t>ε</w:t>
      </w:r>
      <w:r>
        <w:t>τάζονται και κατατάσσονται στην αντίστοιχη γραμμή στάθμισης κινδύνου ανάλογα με την αντιμετώπισή τους, αλλά όλα τα επιμέρους ανοίγματα κατατάσσονται εντός της κατηγορίας ανοιγμάτων υπό μορφή μεριδίων ή μετοχών σε οργανισμούς συ</w:t>
      </w:r>
      <w:r>
        <w:t>λ</w:t>
      </w:r>
      <w:r>
        <w:t>λογικών επενδύσεων («ΟΣΕ»).</w:t>
      </w:r>
    </w:p>
    <w:p w:rsidR="00464F34" w:rsidRPr="00392FFD" w:rsidRDefault="00125707" w:rsidP="00C37B29">
      <w:pPr>
        <w:pStyle w:val="InstructionsText2"/>
        <w:numPr>
          <w:ilvl w:val="0"/>
          <w:numId w:val="0"/>
        </w:numPr>
        <w:ind w:left="993"/>
      </w:pPr>
      <w:r>
        <w:t>66.</w:t>
      </w:r>
      <w:r>
        <w:tab/>
        <w:t>Στην περίπτωση πιστωτικών παραγώγων νιοστού βαθμού αθέτησης, όπως προσδιορίζονται στο άρθρο 134 παράγραφος 6 του ΚΚΑ, εάν αυτά είναι διαβαθμ</w:t>
      </w:r>
      <w:r>
        <w:t>ι</w:t>
      </w:r>
      <w:r>
        <w:t>σμένα, κατατάσσονται ως θέσεις τιτλοποίησης. Εάν δεν είναι διαβαθμισμένα, κ</w:t>
      </w:r>
      <w:r>
        <w:t>α</w:t>
      </w:r>
      <w:r>
        <w:lastRenderedPageBreak/>
        <w:t>τατάσσονται στην κατηγορία ανοιγμάτων «άλλα στοιχεία». Στη δεύτερη περίπτ</w:t>
      </w:r>
      <w:r>
        <w:t>ω</w:t>
      </w:r>
      <w:r>
        <w:t>ση, το ονομαστικό ποσό της σύμβασης αναφέρεται ως το αρχικό άνοιγμα, πριν από τους συντελεστές μετατροπής, στη γραμμή «άλλοι συντελεστές στάθμισης κινδ</w:t>
      </w:r>
      <w:r>
        <w:t>ύ</w:t>
      </w:r>
      <w:r>
        <w:t xml:space="preserve">νου» (ο συντελεστής στάθμισης κινδύνου που χρησιμοποιείται είναι αυτός που προσδιορίζεται από το άθροισμα που αναφέρεται στο άρθρο 134 παράγραφος 6 του ΚΚΑ). </w:t>
      </w:r>
    </w:p>
    <w:p w:rsidR="00464F34" w:rsidRPr="00392FFD" w:rsidRDefault="00125707" w:rsidP="00C37B29">
      <w:pPr>
        <w:pStyle w:val="InstructionsText2"/>
        <w:numPr>
          <w:ilvl w:val="0"/>
          <w:numId w:val="0"/>
        </w:numPr>
        <w:ind w:left="993"/>
      </w:pPr>
      <w:r>
        <w:t>67.</w:t>
      </w:r>
      <w:r>
        <w:tab/>
        <w:t>Σε δεύτερο στάδιο, λόγω τεχνικών μείωσης του πιστωτικού κινδύνου με απ</w:t>
      </w:r>
      <w:r>
        <w:t>ο</w:t>
      </w:r>
      <w:r>
        <w:t>τέλεσμα υποκατάστασης, τα ανοίγματα ανακατανέμονται στην κατηγορία ανοιγμ</w:t>
      </w:r>
      <w:r>
        <w:t>ά</w:t>
      </w:r>
      <w:r>
        <w:t>των του παρόχου πιστωτικής προστασίας.</w:t>
      </w:r>
    </w:p>
    <w:p w:rsidR="00464F34" w:rsidRPr="00392FFD" w:rsidRDefault="00464F34" w:rsidP="00FD239F">
      <w:pPr>
        <w:pStyle w:val="InstructionsText"/>
      </w:pPr>
      <w:r>
        <w:br w:type="page"/>
      </w:r>
      <w:r>
        <w:lastRenderedPageBreak/>
        <w:t>ΔΕΝΤΡΟ ΑΠΟΦΑΣΕΩΝ ΓΙΑ ΤΟΝ ΤΡΟΠΟ ΚΑΤΑΤΑΞΗΣ ΤΟΥ ΑΡΧΙΚΟΥ ΑΝΟΙΓΜ</w:t>
      </w:r>
      <w:r>
        <w:t>Α</w:t>
      </w:r>
      <w:r>
        <w:t>ΤΟΣ ΠΡΙΝ ΑΠΟ ΤΟΥΣ ΣΥΝΤΕΛΕΣΤΕΣ ΜΕΤΑΤΡΟΠΗΣ ΣΤΙΣ ΚΑΤΗΓΟΡΙΕΣ ΑΝΟΙ</w:t>
      </w:r>
      <w:r>
        <w:t>Γ</w:t>
      </w:r>
      <w:r>
        <w:t xml:space="preserve">ΜΑΤΩΝ ΤΗΣ ΤΥΠΟΠΟΙΗΜΕΝΗΣ ΠΡΟΣΕΓΓΙΣΗΣ ΣΥΜΦΩΝΑ ΜΕ ΤΟΝ ΚΚΑ </w:t>
      </w:r>
    </w:p>
    <w:p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r>
              <w:rPr>
                <w:rFonts w:ascii="Times New Roman" w:hAnsi="Times New Roman"/>
                <w:sz w:val="24"/>
              </w:rPr>
              <w:t>Αρχικό άνοιγμα πριν από τους σ</w:t>
            </w:r>
            <w:r>
              <w:rPr>
                <w:rFonts w:ascii="Times New Roman" w:hAnsi="Times New Roman"/>
                <w:sz w:val="24"/>
              </w:rPr>
              <w:t>υ</w:t>
            </w:r>
            <w:r>
              <w:rPr>
                <w:rFonts w:ascii="Times New Roman" w:hAnsi="Times New Roman"/>
                <w:sz w:val="24"/>
              </w:rPr>
              <w:t>ντελεστές μετατροπής</w:t>
            </w:r>
          </w:p>
        </w:tc>
        <w:tc>
          <w:tcPr>
            <w:tcW w:w="1417" w:type="dxa"/>
            <w:shd w:val="clear" w:color="auto" w:fill="auto"/>
          </w:tcPr>
          <w:p w:rsidR="003A1B96" w:rsidRPr="0023700C" w:rsidRDefault="003A1B96" w:rsidP="00FD239F">
            <w:pPr>
              <w:pStyle w:val="InstructionsText"/>
            </w:pPr>
          </w:p>
        </w:tc>
        <w:tc>
          <w:tcPr>
            <w:tcW w:w="4077" w:type="dxa"/>
            <w:shd w:val="clear" w:color="auto" w:fill="auto"/>
          </w:tcPr>
          <w:p w:rsidR="003A1B96" w:rsidRPr="0023700C"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Μπορεί να καταταχθεί στην κατ</w:t>
            </w:r>
            <w:r>
              <w:t>η</w:t>
            </w:r>
            <w:r>
              <w:t>γορία ανοιγμάτων του άρθρου 112 στοιχείο ιγ);</w:t>
            </w:r>
          </w:p>
        </w:tc>
        <w:tc>
          <w:tcPr>
            <w:tcW w:w="1417" w:type="dxa"/>
            <w:shd w:val="clear" w:color="auto" w:fill="auto"/>
          </w:tcPr>
          <w:p w:rsidR="00BD52C3" w:rsidRPr="00392FFD" w:rsidRDefault="00BD52C3" w:rsidP="00FD239F">
            <w:pPr>
              <w:pStyle w:val="InstructionsText"/>
            </w:pPr>
            <w:r>
              <w:t xml:space="preserve">ΝΑΙ </w:t>
            </w:r>
            <w:r>
              <w:rPr>
                <w:noProof/>
                <w:lang w:val="en-GB" w:eastAsia="en-GB" w:bidi="ar-SA"/>
              </w:rPr>
              <w:drawing>
                <wp:inline distT="0" distB="0" distL="0" distR="0" wp14:anchorId="375BAF11" wp14:editId="5357FE69">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Θέσεις τιτλοποίησης</w:t>
            </w:r>
          </w:p>
        </w:tc>
      </w:tr>
      <w:tr w:rsidR="005B3B7C" w:rsidRPr="00392FFD" w:rsidTr="00672D2A">
        <w:tc>
          <w:tcPr>
            <w:tcW w:w="3761" w:type="dxa"/>
            <w:shd w:val="clear" w:color="auto" w:fill="auto"/>
          </w:tcPr>
          <w:p w:rsidR="00581FA5" w:rsidRPr="00392FFD" w:rsidRDefault="00581FA5" w:rsidP="00FD239F">
            <w:pPr>
              <w:pStyle w:val="InstructionsText"/>
            </w:pPr>
            <w:r>
              <w:t xml:space="preserve">ΟΧΙ </w:t>
            </w:r>
            <w:r>
              <w:rPr>
                <w:noProof/>
                <w:lang w:val="en-GB" w:eastAsia="en-GB" w:bidi="ar-SA"/>
              </w:rPr>
              <w:drawing>
                <wp:inline distT="0" distB="0" distL="0" distR="0" wp14:anchorId="71C7D6D0" wp14:editId="1A88CD25">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FD239F">
            <w:pPr>
              <w:pStyle w:val="InstructionsText"/>
            </w:pPr>
          </w:p>
        </w:tc>
        <w:tc>
          <w:tcPr>
            <w:tcW w:w="1417" w:type="dxa"/>
            <w:shd w:val="clear" w:color="auto" w:fill="auto"/>
          </w:tcPr>
          <w:p w:rsidR="005B3B7C" w:rsidRPr="00392FFD" w:rsidRDefault="005B3B7C" w:rsidP="00FD239F">
            <w:pPr>
              <w:pStyle w:val="InstructionsText"/>
            </w:pPr>
          </w:p>
        </w:tc>
        <w:tc>
          <w:tcPr>
            <w:tcW w:w="4077" w:type="dxa"/>
            <w:shd w:val="clear" w:color="auto" w:fill="auto"/>
          </w:tcPr>
          <w:p w:rsidR="005B3B7C" w:rsidRPr="00392FFD" w:rsidRDefault="005B3B7C"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Μπορεί να καταταχθεί στην κατ</w:t>
            </w:r>
            <w:r>
              <w:t>η</w:t>
            </w:r>
            <w:r>
              <w:t>γορία ανοιγμάτων του άρθρου 112 στοιχείο ια);</w:t>
            </w:r>
          </w:p>
        </w:tc>
        <w:tc>
          <w:tcPr>
            <w:tcW w:w="1417" w:type="dxa"/>
            <w:shd w:val="clear" w:color="auto" w:fill="auto"/>
          </w:tcPr>
          <w:p w:rsidR="00AC3054" w:rsidRPr="00392FFD" w:rsidRDefault="00974E3F" w:rsidP="00FD239F">
            <w:pPr>
              <w:pStyle w:val="InstructionsText"/>
            </w:pPr>
            <w:r>
              <w:t xml:space="preserve">ΝΑΙ </w:t>
            </w:r>
            <w:r>
              <w:rPr>
                <w:noProof/>
                <w:lang w:val="en-GB" w:eastAsia="en-GB" w:bidi="ar-SA"/>
              </w:rPr>
              <w:drawing>
                <wp:inline distT="0" distB="0" distL="0" distR="0" wp14:anchorId="0D32C75B" wp14:editId="7016A966">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FD239F">
            <w:pPr>
              <w:pStyle w:val="InstructionsText"/>
            </w:pP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Στοιχεία που σχετίζονται με ιδιαίτερα υψηλούς κινδύνους (βλέπε επίσης ά</w:t>
            </w:r>
            <w:r>
              <w:t>ρ</w:t>
            </w:r>
            <w:r>
              <w:t>θρο 128)</w:t>
            </w:r>
          </w:p>
        </w:tc>
      </w:tr>
      <w:tr w:rsidR="003A1B96" w:rsidRPr="00392FFD" w:rsidTr="00672D2A">
        <w:tc>
          <w:tcPr>
            <w:tcW w:w="3761" w:type="dxa"/>
            <w:shd w:val="clear" w:color="auto" w:fill="auto"/>
          </w:tcPr>
          <w:p w:rsidR="007241D3" w:rsidRPr="00392FFD" w:rsidRDefault="007241D3" w:rsidP="00FD239F">
            <w:pPr>
              <w:pStyle w:val="InstructionsText"/>
            </w:pPr>
            <w:r>
              <w:t xml:space="preserve">ΟΧΙ </w:t>
            </w:r>
            <w:r>
              <w:rPr>
                <w:noProof/>
                <w:lang w:val="en-GB" w:eastAsia="en-GB" w:bidi="ar-SA"/>
              </w:rPr>
              <w:drawing>
                <wp:inline distT="0" distB="0" distL="0" distR="0" wp14:anchorId="306DA8DD" wp14:editId="79F3F508">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Μπορεί να καταταχθεί στην κατ</w:t>
            </w:r>
            <w:r>
              <w:t>η</w:t>
            </w:r>
            <w:r>
              <w:t>γορία ανοιγμάτων του άρθρου 112 στοιχείο ιστ);</w:t>
            </w:r>
          </w:p>
        </w:tc>
        <w:tc>
          <w:tcPr>
            <w:tcW w:w="1417" w:type="dxa"/>
            <w:shd w:val="clear" w:color="auto" w:fill="auto"/>
          </w:tcPr>
          <w:p w:rsidR="00BD52C3" w:rsidRPr="00392FFD" w:rsidRDefault="00BD52C3" w:rsidP="00FD239F">
            <w:pPr>
              <w:pStyle w:val="InstructionsText"/>
            </w:pPr>
            <w:r>
              <w:t xml:space="preserve">ΝΑΙ </w:t>
            </w:r>
            <w:r>
              <w:rPr>
                <w:noProof/>
                <w:lang w:val="en-GB" w:eastAsia="en-GB" w:bidi="ar-SA"/>
              </w:rPr>
              <w:drawing>
                <wp:inline distT="0" distB="0" distL="0" distR="0" wp14:anchorId="1F0C3070" wp14:editId="31AB0E55">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Ανοίγματα σε μετοχές (βλέπε επίσης άρθρο 133)</w:t>
            </w:r>
          </w:p>
        </w:tc>
      </w:tr>
      <w:tr w:rsidR="003A1B96" w:rsidRPr="00392FFD" w:rsidTr="00672D2A">
        <w:tc>
          <w:tcPr>
            <w:tcW w:w="3761" w:type="dxa"/>
            <w:shd w:val="clear" w:color="auto" w:fill="auto"/>
          </w:tcPr>
          <w:p w:rsidR="007241D3" w:rsidRPr="00392FFD" w:rsidRDefault="007241D3" w:rsidP="00FD239F">
            <w:pPr>
              <w:pStyle w:val="InstructionsText"/>
            </w:pPr>
            <w:r>
              <w:t xml:space="preserve">ΟΧΙ </w:t>
            </w:r>
            <w:r>
              <w:rPr>
                <w:noProof/>
                <w:lang w:val="en-GB" w:eastAsia="en-GB" w:bidi="ar-SA"/>
              </w:rPr>
              <w:drawing>
                <wp:inline distT="0" distB="0" distL="0" distR="0" wp14:anchorId="0A519DF6" wp14:editId="782599FD">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Μπορεί να καταταχθεί στην κατ</w:t>
            </w:r>
            <w:r>
              <w:t>η</w:t>
            </w:r>
            <w:r>
              <w:t>γορία ανοιγμάτων του άρθρου 112 στοιχείο ι);</w:t>
            </w:r>
          </w:p>
        </w:tc>
        <w:tc>
          <w:tcPr>
            <w:tcW w:w="1417" w:type="dxa"/>
            <w:shd w:val="clear" w:color="auto" w:fill="auto"/>
          </w:tcPr>
          <w:p w:rsidR="00BD52C3" w:rsidRPr="00392FFD" w:rsidRDefault="00BD52C3" w:rsidP="00FD239F">
            <w:pPr>
              <w:pStyle w:val="InstructionsText"/>
            </w:pPr>
            <w:r>
              <w:t xml:space="preserve">ΝΑΙ </w:t>
            </w:r>
            <w:r>
              <w:rPr>
                <w:noProof/>
                <w:lang w:val="en-GB" w:eastAsia="en-GB" w:bidi="ar-SA"/>
              </w:rPr>
              <w:drawing>
                <wp:inline distT="0" distB="0" distL="0" distR="0" wp14:anchorId="559184E2" wp14:editId="4AA3A34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Ανοίγματα σε αθέτηση</w:t>
            </w:r>
          </w:p>
        </w:tc>
      </w:tr>
      <w:tr w:rsidR="00581FA5" w:rsidRPr="00392FFD" w:rsidTr="00672D2A">
        <w:tc>
          <w:tcPr>
            <w:tcW w:w="3761" w:type="dxa"/>
            <w:shd w:val="clear" w:color="auto" w:fill="auto"/>
          </w:tcPr>
          <w:p w:rsidR="007241D3" w:rsidRPr="00392FFD" w:rsidRDefault="007241D3" w:rsidP="00FD239F">
            <w:pPr>
              <w:pStyle w:val="InstructionsText"/>
            </w:pPr>
            <w:r>
              <w:t xml:space="preserve">ΟΧΙ </w:t>
            </w:r>
            <w:r>
              <w:rPr>
                <w:noProof/>
                <w:lang w:val="en-GB" w:eastAsia="en-GB" w:bidi="ar-SA"/>
              </w:rPr>
              <w:drawing>
                <wp:inline distT="0" distB="0" distL="0" distR="0" wp14:anchorId="02BA9D3A" wp14:editId="4C2E7EC7">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Μπορεί να καταταχθεί στην κατ</w:t>
            </w:r>
            <w:r>
              <w:t>η</w:t>
            </w:r>
            <w:r>
              <w:t>γορία ανοιγμάτων του άρθρου 112 στοιχεία ιβ) και ιε);</w:t>
            </w:r>
          </w:p>
        </w:tc>
        <w:tc>
          <w:tcPr>
            <w:tcW w:w="1417" w:type="dxa"/>
            <w:shd w:val="clear" w:color="auto" w:fill="auto"/>
          </w:tcPr>
          <w:p w:rsidR="00BD52C3" w:rsidRPr="00392FFD" w:rsidRDefault="00BD52C3" w:rsidP="00FD239F">
            <w:pPr>
              <w:pStyle w:val="InstructionsText"/>
            </w:pPr>
            <w:r>
              <w:t xml:space="preserve">ΝΑΙ </w:t>
            </w:r>
            <w:r>
              <w:rPr>
                <w:noProof/>
                <w:lang w:val="en-GB" w:eastAsia="en-GB" w:bidi="ar-SA"/>
              </w:rPr>
              <w:drawing>
                <wp:inline distT="0" distB="0" distL="0" distR="0" wp14:anchorId="2EC287CA" wp14:editId="77E025A6">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Ανοίγματα υπό μορφή μεριδίων ή μ</w:t>
            </w:r>
            <w:r>
              <w:t>ε</w:t>
            </w:r>
            <w:r>
              <w:t xml:space="preserve">τοχών σε οργανισμούς συλλογικών </w:t>
            </w:r>
            <w:r>
              <w:t>ε</w:t>
            </w:r>
            <w:r>
              <w:t>πενδύσεων (ΟΣΕ)</w:t>
            </w:r>
          </w:p>
          <w:p w:rsidR="00581FA5" w:rsidRPr="00392FFD" w:rsidRDefault="00581FA5" w:rsidP="00FD239F">
            <w:pPr>
              <w:pStyle w:val="InstructionsText"/>
            </w:pPr>
            <w:r>
              <w:t>Ανοίγματα υπό τη μορφή καλυμμένων ομολόγων (βλέπε επίσης άρθρο 129)</w:t>
            </w:r>
          </w:p>
          <w:p w:rsidR="00581FA5" w:rsidRPr="00392FFD" w:rsidRDefault="00581FA5" w:rsidP="00FD239F">
            <w:pPr>
              <w:pStyle w:val="InstructionsText"/>
            </w:pPr>
            <w:r>
              <w:t xml:space="preserve">Αυτές οι δύο κατηγορίες ανοιγμάτων είναι διακριτές μεταξύ τους (βλέπε σχόλια επί της προσέγγισης εξέτασης στην απάντηση ανωτέρω). Επομένως, η </w:t>
            </w:r>
            <w:r>
              <w:lastRenderedPageBreak/>
              <w:t>κατάταξη σε μία από αυτές πραγματ</w:t>
            </w:r>
            <w:r>
              <w:t>ο</w:t>
            </w:r>
            <w:r>
              <w:t>ποιείται απευθείας.</w:t>
            </w:r>
          </w:p>
        </w:tc>
      </w:tr>
      <w:tr w:rsidR="00581FA5" w:rsidRPr="00392FFD" w:rsidTr="00672D2A">
        <w:tc>
          <w:tcPr>
            <w:tcW w:w="3761" w:type="dxa"/>
            <w:shd w:val="clear" w:color="auto" w:fill="auto"/>
          </w:tcPr>
          <w:p w:rsidR="007241D3" w:rsidRPr="00392FFD" w:rsidRDefault="007241D3" w:rsidP="00FD239F">
            <w:pPr>
              <w:pStyle w:val="InstructionsText"/>
            </w:pPr>
            <w:r>
              <w:lastRenderedPageBreak/>
              <w:t xml:space="preserve">ΟΧΙ </w:t>
            </w:r>
            <w:r>
              <w:rPr>
                <w:noProof/>
                <w:lang w:val="en-GB" w:eastAsia="en-GB" w:bidi="ar-SA"/>
              </w:rPr>
              <w:drawing>
                <wp:inline distT="0" distB="0" distL="0" distR="0" wp14:anchorId="6D114644" wp14:editId="4AC18D5F">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Μπορεί να καταταχθεί στην κατ</w:t>
            </w:r>
            <w:r>
              <w:t>η</w:t>
            </w:r>
            <w:r>
              <w:t>γορία ανοιγμάτων του άρθρου 112 στοιχείο θ);</w:t>
            </w:r>
          </w:p>
        </w:tc>
        <w:tc>
          <w:tcPr>
            <w:tcW w:w="1417" w:type="dxa"/>
            <w:shd w:val="clear" w:color="auto" w:fill="auto"/>
          </w:tcPr>
          <w:p w:rsidR="00BD52C3" w:rsidRPr="00392FFD" w:rsidRDefault="00BD52C3" w:rsidP="00FD239F">
            <w:pPr>
              <w:pStyle w:val="InstructionsText"/>
            </w:pPr>
            <w:r>
              <w:t xml:space="preserve">ΝΑΙ </w:t>
            </w:r>
            <w:r>
              <w:rPr>
                <w:noProof/>
                <w:lang w:val="en-GB" w:eastAsia="en-GB" w:bidi="ar-SA"/>
              </w:rPr>
              <w:drawing>
                <wp:inline distT="0" distB="0" distL="0" distR="0" wp14:anchorId="7E595A49" wp14:editId="44E9AE7C">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Ανοίγματα εξασφαλισμένα με υποθ</w:t>
            </w:r>
            <w:r>
              <w:t>ή</w:t>
            </w:r>
            <w:r>
              <w:t xml:space="preserve">κες επί ακίνητης περιουσίας (βλέπε </w:t>
            </w:r>
            <w:r>
              <w:t>ε</w:t>
            </w:r>
            <w:r>
              <w:t>πίσης άρθρο 124)</w:t>
            </w:r>
          </w:p>
        </w:tc>
      </w:tr>
      <w:tr w:rsidR="00581FA5" w:rsidRPr="00392FFD" w:rsidTr="00672D2A">
        <w:tc>
          <w:tcPr>
            <w:tcW w:w="3761" w:type="dxa"/>
            <w:shd w:val="clear" w:color="auto" w:fill="auto"/>
          </w:tcPr>
          <w:p w:rsidR="007241D3" w:rsidRPr="00392FFD" w:rsidRDefault="007241D3" w:rsidP="00FD239F">
            <w:pPr>
              <w:pStyle w:val="InstructionsText"/>
            </w:pPr>
            <w:r>
              <w:t xml:space="preserve">ΟΧΙ </w:t>
            </w:r>
            <w:r>
              <w:rPr>
                <w:noProof/>
                <w:lang w:val="en-GB" w:eastAsia="en-GB" w:bidi="ar-SA"/>
              </w:rPr>
              <w:drawing>
                <wp:inline distT="0" distB="0" distL="0" distR="0" wp14:anchorId="53D7B093" wp14:editId="149DD5F7">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Μπορεί να καταταχθεί στην κατ</w:t>
            </w:r>
            <w:r>
              <w:t>η</w:t>
            </w:r>
            <w:r>
              <w:t>γορία ανοιγμάτων του άρθρου 112 στοιχείο ιζ);</w:t>
            </w:r>
          </w:p>
        </w:tc>
        <w:tc>
          <w:tcPr>
            <w:tcW w:w="1417" w:type="dxa"/>
            <w:shd w:val="clear" w:color="auto" w:fill="auto"/>
          </w:tcPr>
          <w:p w:rsidR="00BD52C3" w:rsidRPr="00392FFD" w:rsidRDefault="00BD52C3" w:rsidP="00FD239F">
            <w:pPr>
              <w:pStyle w:val="InstructionsText"/>
            </w:pPr>
            <w:r>
              <w:t xml:space="preserve">ΝΑΙ </w:t>
            </w:r>
            <w:r>
              <w:rPr>
                <w:noProof/>
                <w:lang w:val="en-GB" w:eastAsia="en-GB" w:bidi="ar-SA"/>
              </w:rPr>
              <w:drawing>
                <wp:inline distT="0" distB="0" distL="0" distR="0" wp14:anchorId="0626210D" wp14:editId="7FCEABA9">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Άλλα στοιχεία</w:t>
            </w:r>
          </w:p>
        </w:tc>
      </w:tr>
      <w:tr w:rsidR="00581FA5" w:rsidRPr="00392FFD" w:rsidTr="00672D2A">
        <w:tc>
          <w:tcPr>
            <w:tcW w:w="3761" w:type="dxa"/>
            <w:shd w:val="clear" w:color="auto" w:fill="auto"/>
          </w:tcPr>
          <w:p w:rsidR="007241D3" w:rsidRPr="00392FFD" w:rsidRDefault="007241D3" w:rsidP="00FD239F">
            <w:pPr>
              <w:pStyle w:val="InstructionsText"/>
            </w:pPr>
            <w:r>
              <w:t xml:space="preserve">ΟΧΙ </w:t>
            </w:r>
            <w:r>
              <w:rPr>
                <w:noProof/>
                <w:lang w:val="en-GB" w:eastAsia="en-GB" w:bidi="ar-SA"/>
              </w:rPr>
              <w:drawing>
                <wp:inline distT="0" distB="0" distL="0" distR="0" wp14:anchorId="369C7E96" wp14:editId="2CB114A3">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Μπορεί να καταταχθεί στην κατ</w:t>
            </w:r>
            <w:r>
              <w:t>η</w:t>
            </w:r>
            <w:r>
              <w:t>γορία ανοιγμάτων του άρθρου 112 στοιχείο ιδ);</w:t>
            </w:r>
          </w:p>
        </w:tc>
        <w:tc>
          <w:tcPr>
            <w:tcW w:w="1417" w:type="dxa"/>
            <w:shd w:val="clear" w:color="auto" w:fill="auto"/>
          </w:tcPr>
          <w:p w:rsidR="0063493E" w:rsidRPr="00392FFD" w:rsidRDefault="0063493E" w:rsidP="00FD239F">
            <w:pPr>
              <w:pStyle w:val="InstructionsText"/>
            </w:pPr>
            <w:r>
              <w:t xml:space="preserve">ΝΑΙ </w:t>
            </w:r>
            <w:r>
              <w:rPr>
                <w:noProof/>
                <w:lang w:val="en-GB" w:eastAsia="en-GB" w:bidi="ar-SA"/>
              </w:rPr>
              <w:drawing>
                <wp:inline distT="0" distB="0" distL="0" distR="0" wp14:anchorId="20718A62" wp14:editId="3ED68AE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Ανοίγματα έναντι ιδρυμάτων και επ</w:t>
            </w:r>
            <w:r>
              <w:t>ι</w:t>
            </w:r>
            <w:r>
              <w:t>χειρήσεων με βραχυπρόθεσμη πιστ</w:t>
            </w:r>
            <w:r>
              <w:t>ο</w:t>
            </w:r>
            <w:r>
              <w:t>ληπτική αξιολόγηση</w:t>
            </w:r>
          </w:p>
        </w:tc>
      </w:tr>
      <w:tr w:rsidR="00581FA5" w:rsidRPr="00392FFD" w:rsidTr="00672D2A">
        <w:tc>
          <w:tcPr>
            <w:tcW w:w="3761" w:type="dxa"/>
            <w:shd w:val="clear" w:color="auto" w:fill="auto"/>
          </w:tcPr>
          <w:p w:rsidR="007241D3" w:rsidRPr="00392FFD" w:rsidRDefault="007241D3" w:rsidP="00FD239F">
            <w:pPr>
              <w:pStyle w:val="InstructionsText"/>
            </w:pPr>
            <w:r>
              <w:t xml:space="preserve">ΟΧΙ </w:t>
            </w:r>
            <w:r>
              <w:rPr>
                <w:noProof/>
                <w:lang w:val="en-GB" w:eastAsia="en-GB" w:bidi="ar-SA"/>
              </w:rPr>
              <w:drawing>
                <wp:inline distT="0" distB="0" distL="0" distR="0" wp14:anchorId="479C57DA" wp14:editId="53E3110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9255" w:type="dxa"/>
            <w:gridSpan w:val="3"/>
            <w:shd w:val="clear" w:color="auto" w:fill="auto"/>
          </w:tcPr>
          <w:p w:rsidR="00581FA5" w:rsidRPr="00392FFD" w:rsidRDefault="00581FA5" w:rsidP="00FD239F">
            <w:pPr>
              <w:pStyle w:val="InstructionsText"/>
            </w:pPr>
            <w:r>
              <w:t>Οι ακόλουθες κατηγορίες ανοιγμάτων είναι διακριτές μεταξύ τους. Επομένως, η κατάταξη σε μία από αυτές πραγματοποιείται απευθείας.</w:t>
            </w:r>
          </w:p>
          <w:p w:rsidR="00581FA5" w:rsidRPr="00392FFD" w:rsidRDefault="00581FA5" w:rsidP="00FD239F">
            <w:pPr>
              <w:pStyle w:val="InstructionsText"/>
            </w:pPr>
            <w:r>
              <w:t>Ανοίγματα έναντι κεντρικών κυβερνήσεων ή κεντρικών τραπεζών</w:t>
            </w:r>
          </w:p>
          <w:p w:rsidR="00581FA5" w:rsidRPr="00392FFD" w:rsidRDefault="00581FA5" w:rsidP="00FD239F">
            <w:pPr>
              <w:pStyle w:val="InstructionsText"/>
            </w:pPr>
            <w:r>
              <w:t>Ανοίγματα έναντι περιφερειακών κυβερνήσεων ή τοπικών αρχών</w:t>
            </w:r>
          </w:p>
          <w:p w:rsidR="00581FA5" w:rsidRPr="00392FFD" w:rsidRDefault="00581FA5" w:rsidP="00FD239F">
            <w:pPr>
              <w:pStyle w:val="InstructionsText"/>
            </w:pPr>
            <w:r>
              <w:t>Ανοίγματα έναντι οντοτήτων του δημοσίου τομέα</w:t>
            </w:r>
          </w:p>
          <w:p w:rsidR="00581FA5" w:rsidRPr="00392FFD" w:rsidRDefault="00581FA5" w:rsidP="00FD239F">
            <w:pPr>
              <w:pStyle w:val="InstructionsText"/>
            </w:pPr>
            <w:r>
              <w:t>Ανοίγματα έναντι πολυμερών τραπεζών ανάπτυξης</w:t>
            </w:r>
          </w:p>
          <w:p w:rsidR="00581FA5" w:rsidRPr="00392FFD" w:rsidRDefault="00581FA5" w:rsidP="00FD239F">
            <w:pPr>
              <w:pStyle w:val="InstructionsText"/>
            </w:pPr>
            <w:r>
              <w:t>Ανοίγματα έναντι διεθνών οργανισμών</w:t>
            </w:r>
          </w:p>
          <w:p w:rsidR="00581FA5" w:rsidRPr="00392FFD" w:rsidRDefault="00581FA5" w:rsidP="00FD239F">
            <w:pPr>
              <w:pStyle w:val="InstructionsText"/>
            </w:pPr>
            <w:r>
              <w:t>Ανοίγματα έναντι ιδρυμάτων</w:t>
            </w:r>
          </w:p>
          <w:p w:rsidR="00581FA5" w:rsidRPr="00392FFD" w:rsidRDefault="00581FA5" w:rsidP="00FD239F">
            <w:pPr>
              <w:pStyle w:val="InstructionsText"/>
            </w:pPr>
            <w:r>
              <w:t>Ανοίγματα έναντι επιχειρήσεων</w:t>
            </w:r>
          </w:p>
          <w:p w:rsidR="00581FA5" w:rsidRPr="00392FFD" w:rsidRDefault="00581FA5" w:rsidP="00FD239F">
            <w:pPr>
              <w:pStyle w:val="InstructionsText"/>
            </w:pPr>
            <w:r>
              <w:t>Ανοίγματα λιανικής τραπεζικής</w:t>
            </w:r>
          </w:p>
        </w:tc>
      </w:tr>
    </w:tbl>
    <w:p w:rsidR="00464F34" w:rsidRPr="00392FFD" w:rsidRDefault="00464F34" w:rsidP="00FD239F">
      <w:pPr>
        <w:pStyle w:val="InstructionsText"/>
      </w:pPr>
    </w:p>
    <w:p w:rsidR="00464F34" w:rsidRPr="00392FFD" w:rsidRDefault="00464F34" w:rsidP="00FD239F">
      <w:pPr>
        <w:pStyle w:val="InstructionsText"/>
      </w:pPr>
    </w:p>
    <w:p w:rsidR="0073242B" w:rsidRPr="00392FFD" w:rsidRDefault="0073242B">
      <w:pPr>
        <w:spacing w:before="0" w:after="0"/>
        <w:jc w:val="left"/>
        <w:rPr>
          <w:rFonts w:ascii="Times New Roman" w:hAnsi="Times New Roman"/>
          <w:bCs/>
          <w:sz w:val="24"/>
        </w:rPr>
      </w:pPr>
      <w:r>
        <w:br w:type="page"/>
      </w:r>
    </w:p>
    <w:p w:rsidR="00464F34" w:rsidRPr="00392FFD" w:rsidRDefault="00464F34" w:rsidP="00FD239F">
      <w:pPr>
        <w:pStyle w:val="InstructionsText"/>
      </w:pP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516210636"/>
      <w:bookmarkStart w:id="198" w:name="_Toc473560901"/>
      <w:r>
        <w:rPr>
          <w:rFonts w:ascii="Times New Roman" w:hAnsi="Times New Roman"/>
          <w:sz w:val="24"/>
          <w:u w:val="none"/>
        </w:rPr>
        <w:t>3.2.4.</w:t>
      </w:r>
      <w:r>
        <w:tab/>
      </w:r>
      <w:r>
        <w:rPr>
          <w:rFonts w:ascii="Times New Roman" w:hAnsi="Times New Roman"/>
          <w:sz w:val="24"/>
        </w:rPr>
        <w:t>Διευκρινίσεις σχετικά με το πεδίο εφαρμογής ορισμένων συγκεκριμένων κατηγοριών ανοιγμάτων που αναφέρονται στο άρθρο 112 του ΚΚΑ</w:t>
      </w:r>
      <w:bookmarkEnd w:id="191"/>
      <w:bookmarkEnd w:id="192"/>
      <w:bookmarkEnd w:id="193"/>
      <w:bookmarkEnd w:id="194"/>
      <w:bookmarkEnd w:id="195"/>
      <w:bookmarkEnd w:id="196"/>
      <w:bookmarkEnd w:id="197"/>
      <w:bookmarkEnd w:id="198"/>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516210637"/>
      <w:bookmarkStart w:id="201" w:name="_Toc473560902"/>
      <w:r>
        <w:rPr>
          <w:rFonts w:ascii="Times New Roman" w:hAnsi="Times New Roman"/>
          <w:sz w:val="24"/>
          <w:u w:val="none"/>
        </w:rPr>
        <w:t>3.2.4.1.</w:t>
      </w:r>
      <w:r>
        <w:tab/>
      </w:r>
      <w:r>
        <w:rPr>
          <w:rFonts w:ascii="Times New Roman" w:hAnsi="Times New Roman"/>
          <w:sz w:val="24"/>
        </w:rPr>
        <w:t>Κατηγορία ανοιγμάτων «Ιδρύματα»</w:t>
      </w:r>
      <w:bookmarkEnd w:id="199"/>
      <w:bookmarkEnd w:id="200"/>
      <w:bookmarkEnd w:id="201"/>
    </w:p>
    <w:p w:rsidR="00464F34" w:rsidRPr="00392FFD" w:rsidRDefault="00125707" w:rsidP="00C37B29">
      <w:pPr>
        <w:pStyle w:val="InstructionsText2"/>
        <w:numPr>
          <w:ilvl w:val="0"/>
          <w:numId w:val="0"/>
        </w:numPr>
        <w:ind w:left="993"/>
      </w:pPr>
      <w:r>
        <w:t>68.</w:t>
      </w:r>
      <w:r>
        <w:tab/>
        <w:t>Η αναφορά ανοιγμάτων εντός ομίλου, σύμφωνα με το άρθρο 113 παράγρ</w:t>
      </w:r>
      <w:r>
        <w:t>α</w:t>
      </w:r>
      <w:r>
        <w:t>φοι 6 έως 7 του ΚΚΑ, πραγματοποιείται ως εξής:</w:t>
      </w:r>
    </w:p>
    <w:p w:rsidR="00464F34" w:rsidRPr="00392FFD" w:rsidRDefault="00125707" w:rsidP="00C37B29">
      <w:pPr>
        <w:pStyle w:val="InstructionsText2"/>
        <w:numPr>
          <w:ilvl w:val="0"/>
          <w:numId w:val="0"/>
        </w:numPr>
        <w:ind w:left="993"/>
      </w:pPr>
      <w:r>
        <w:t>69.</w:t>
      </w:r>
      <w:r>
        <w:tab/>
        <w:t>Τα ανοίγματα που πληρούν τις απαιτήσεις του άρθρου 113 παράγραφος 7 του ΚΚΑ αναφέρονται στις αντίστοιχες κατηγορίες ανοιγμάτων στις οποίες θα αναφ</w:t>
      </w:r>
      <w:r>
        <w:t>έ</w:t>
      </w:r>
      <w:r>
        <w:t>ρονταν εάν δεν ήταν ανοίγματα εντός ομίλου.</w:t>
      </w:r>
    </w:p>
    <w:p w:rsidR="00464F34" w:rsidRPr="00392FFD" w:rsidRDefault="00125707" w:rsidP="00C37B29">
      <w:pPr>
        <w:pStyle w:val="InstructionsText2"/>
        <w:numPr>
          <w:ilvl w:val="0"/>
          <w:numId w:val="0"/>
        </w:numPr>
        <w:ind w:left="993"/>
      </w:pPr>
      <w:r>
        <w:t>70.</w:t>
      </w:r>
      <w:r>
        <w:tab/>
        <w:t>Σύμφωνα με το άρθρο 113 παράγραφοι 6 και 7 του ΚΚΑ «ένα ίδρυμα δύναται, με την επιφύλαξη της προηγούμενης έγκρισης από τις αρμόδιες αρχές, να αποφ</w:t>
      </w:r>
      <w:r>
        <w:t>α</w:t>
      </w:r>
      <w:r>
        <w:t>σίσει να μην εφαρμόσει τις απαιτήσεις της παραγράφου 1 του παρόντος άρθρου στα ανοίγματά του έναντι αντισυμβαλλόμενου που αποτελεί τη μητρική του επιχε</w:t>
      </w:r>
      <w:r>
        <w:t>ί</w:t>
      </w:r>
      <w:r>
        <w:t xml:space="preserve">ρηση, δική του θυγατρική ή θυγατρική της μητρικής του επιχείρησης ή επιχείρηση που συνδέεται με σχέση κατά την έννοια του άρθρου 12 παράγραφος 1 της οδηγίας 83/349/ΕΟΚ». Αυτό σημαίνει ότι οι αντισυμβαλλόμενοι εντός ομίλου δεν είναι </w:t>
      </w:r>
      <w:r>
        <w:t>α</w:t>
      </w:r>
      <w:r>
        <w:t>παραιτήτως ιδρύματα, αλλά και επιχειρήσεις που κατατάσσονται σε άλλες κατηγ</w:t>
      </w:r>
      <w:r>
        <w:t>ο</w:t>
      </w:r>
      <w:r>
        <w:t>ρίες ανοιγμάτων, π.χ. επιχειρήσεις παροχής επικουρικών υπηρεσιών ή επιχειρήσεις κατά την έννοια του άρθρου 12 παράγραφος 1 της οδηγίας 83/349/ΕΟΚ. Επομ</w:t>
      </w:r>
      <w:r>
        <w:t>έ</w:t>
      </w:r>
      <w:r>
        <w:t>νως, τα ανοίγματα εντός ομίλου αναφέρονται στην αντίστοιχη κατηγορία ανοιγμ</w:t>
      </w:r>
      <w:r>
        <w:t>ά</w:t>
      </w:r>
      <w:r>
        <w:t>των.</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516210638"/>
      <w:bookmarkStart w:id="204" w:name="_Toc473560903"/>
      <w:r>
        <w:rPr>
          <w:rFonts w:ascii="Times New Roman" w:hAnsi="Times New Roman"/>
          <w:sz w:val="24"/>
          <w:u w:val="none"/>
        </w:rPr>
        <w:t>3.2.4.2.</w:t>
      </w:r>
      <w:r>
        <w:tab/>
      </w:r>
      <w:r>
        <w:rPr>
          <w:rFonts w:ascii="Times New Roman" w:hAnsi="Times New Roman"/>
          <w:sz w:val="24"/>
        </w:rPr>
        <w:t>Κατηγορία ανοιγμάτων «Καλυμμένα ομόλογα»</w:t>
      </w:r>
      <w:bookmarkEnd w:id="202"/>
      <w:bookmarkEnd w:id="203"/>
      <w:bookmarkEnd w:id="204"/>
    </w:p>
    <w:p w:rsidR="00464F34" w:rsidRPr="00392FFD" w:rsidRDefault="00125707" w:rsidP="00C37B29">
      <w:pPr>
        <w:pStyle w:val="InstructionsText2"/>
        <w:numPr>
          <w:ilvl w:val="0"/>
          <w:numId w:val="0"/>
        </w:numPr>
        <w:ind w:left="993"/>
      </w:pPr>
      <w:r>
        <w:t>71.</w:t>
      </w:r>
      <w:r>
        <w:tab/>
        <w:t>Η κατάταξη ανοιγμάτων SA στην κατηγορία ανοιγμάτων «καλυμμένα ομόλ</w:t>
      </w:r>
      <w:r>
        <w:t>ο</w:t>
      </w:r>
      <w:r>
        <w:t>γα» πραγματοποιείται ως εξής:</w:t>
      </w:r>
    </w:p>
    <w:p w:rsidR="00464F34" w:rsidRPr="00392FFD" w:rsidRDefault="00125707" w:rsidP="00C37B29">
      <w:pPr>
        <w:pStyle w:val="InstructionsText2"/>
        <w:numPr>
          <w:ilvl w:val="0"/>
          <w:numId w:val="0"/>
        </w:numPr>
        <w:ind w:left="993"/>
      </w:pPr>
      <w:r>
        <w:t>72.</w:t>
      </w:r>
      <w:r>
        <w:tab/>
        <w:t xml:space="preserve">Τα ομόλογα, όπως ορίζονται στο άρθρο 52 παράγραφος 4 της οδηγίας 2009/65/ΕΚ, πληρούν τις απαιτήσεις του άρθρου 129 παράγραφοι 1 έως 2 του ΚΚΑ για να ταξινομηθούν στην κατηγορία ανοιγμάτων «καλυμμένα ομόλογα». Η εκπλήρωση των απαιτήσεων αυτών πρέπει να ελέγχεται σε κάθε περίπτωση. </w:t>
      </w:r>
      <w:r>
        <w:t>Ε</w:t>
      </w:r>
      <w:r>
        <w:t>ντούτοις, τα ομόλογα σύμφωνα με το άρθρο 52 παράγραφος 4 της οδηγίας 2009/65/ΕΚ που έχουν εκδοθεί πριν από την 31η Δεκεμβρίου 2007 κατατάσσονται επίσης στην κατηγορία ανοιγμάτων «καλυμμένα ομόλογα», βάσει του άρθρου 129 παράγραφος 6 του ΚΚΑ.</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516210639"/>
      <w:bookmarkStart w:id="207" w:name="_Toc473560904"/>
      <w:r>
        <w:rPr>
          <w:rFonts w:ascii="Times New Roman" w:hAnsi="Times New Roman"/>
          <w:sz w:val="24"/>
          <w:u w:val="none"/>
        </w:rPr>
        <w:t>3.2.4.3.</w:t>
      </w:r>
      <w:r>
        <w:tab/>
      </w:r>
      <w:r>
        <w:rPr>
          <w:rFonts w:ascii="Times New Roman" w:hAnsi="Times New Roman"/>
          <w:sz w:val="24"/>
        </w:rPr>
        <w:t>Κατηγορία ανοιγμάτων «Οργανισμοί συλλογικών επενδύσεων»</w:t>
      </w:r>
      <w:bookmarkEnd w:id="205"/>
      <w:bookmarkEnd w:id="206"/>
      <w:bookmarkEnd w:id="207"/>
    </w:p>
    <w:p w:rsidR="00464F34" w:rsidRPr="00392FFD" w:rsidRDefault="00125707" w:rsidP="00C37B29">
      <w:pPr>
        <w:pStyle w:val="InstructionsText2"/>
        <w:numPr>
          <w:ilvl w:val="0"/>
          <w:numId w:val="0"/>
        </w:numPr>
        <w:ind w:left="993"/>
      </w:pPr>
      <w:r>
        <w:t>73.</w:t>
      </w:r>
      <w:r>
        <w:tab/>
        <w:t>Όταν χρησιμοποιείται η δυνατότητα που παρέχεται σύμφωνα με το άρθρο 132 παράγραφος 5 του ΚΚΑ, τα ανοίγματα υπό μορφή μεριδίων ή μετοχών σε ΟΣΕ αναφέρονται ως στοιχεία εντός ισολογισμού, σύμφωνα με το άρθρο 111 παράγρ</w:t>
      </w:r>
      <w:r>
        <w:t>α</w:t>
      </w:r>
      <w:r>
        <w:t xml:space="preserve">φος 1 πρώτη περίοδος του ΚΚΑ.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516210640"/>
      <w:bookmarkStart w:id="215" w:name="_Toc473560905"/>
      <w:r>
        <w:rPr>
          <w:rFonts w:ascii="Times New Roman" w:hAnsi="Times New Roman"/>
          <w:sz w:val="24"/>
          <w:u w:val="none"/>
        </w:rPr>
        <w:lastRenderedPageBreak/>
        <w:t>3.2.5.</w:t>
      </w:r>
      <w:r>
        <w:tab/>
      </w:r>
      <w:r>
        <w:rPr>
          <w:rFonts w:ascii="Times New Roman" w:hAnsi="Times New Roman"/>
          <w:sz w:val="24"/>
        </w:rPr>
        <w:t>Οδηγίες για συγκεκριμένες θέσεις</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FD239F">
            <w:pPr>
              <w:pStyle w:val="InstructionsText"/>
            </w:pPr>
            <w:r>
              <w:t>Στήλες</w:t>
            </w:r>
          </w:p>
        </w:tc>
      </w:tr>
      <w:tr w:rsidR="00464F34" w:rsidRPr="00392FFD" w:rsidTr="00672D2A">
        <w:tc>
          <w:tcPr>
            <w:tcW w:w="1188" w:type="dxa"/>
          </w:tcPr>
          <w:p w:rsidR="00464F34" w:rsidRPr="00392FFD" w:rsidRDefault="00464F34" w:rsidP="00FD239F">
            <w:pPr>
              <w:pStyle w:val="InstructionsText"/>
            </w:pPr>
            <w:r>
              <w:t>010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ΑΡΧΙΚΟ ΑΝΟΙΓΜΑ ΠΡΙΝ ΑΠΟ ΤΟΥΣ ΣΥΝΤΕΛΕΣΤΕΣ ΜΕΤΑΤΡΟΠΗΣ</w:t>
            </w:r>
          </w:p>
          <w:p w:rsidR="00464F34" w:rsidRPr="00392FFD" w:rsidRDefault="00464F34" w:rsidP="00FD239F">
            <w:pPr>
              <w:pStyle w:val="InstructionsText"/>
            </w:pPr>
            <w:r>
              <w:t>Αξία ανοίγματος σύμφωνα με το άρθρο 111 του ΚΚΑ, χωρίς να λαμβάνονται υπόψη προσαρμογές αξίας και προβλέψεις, συντελεστές μετατροπής και το αποτέλεσμα των τεχνικών μείωσης του πιστωτικού κινδύνου, με τις ακόλουθες προϋποθέσεις που πρ</w:t>
            </w:r>
            <w:r>
              <w:t>ο</w:t>
            </w:r>
            <w:r>
              <w:t>βλέπονται στο άρθρο 111 παράγραφος 2 του ΚΚΑ:</w:t>
            </w:r>
          </w:p>
          <w:p w:rsidR="00464F34" w:rsidRPr="00392FFD" w:rsidRDefault="00464F34" w:rsidP="00FD239F">
            <w:pPr>
              <w:pStyle w:val="InstructionsText"/>
            </w:pPr>
            <w:r>
              <w:t>Στην περίπτωση παράγωγων μέσων, πράξεων επαναγοράς, πράξεων δανειοδοσίας ή δανειοληψίας τίτλων ή εμπορευμάτων, πράξεων με μακρά προθεσμία διακανονισμού και πράξεων δανεισμού περιθωρίου, βάσει του τρίτου μέρους τίτλος ΙΙ κεφάλαιο 6 του ΚΚΑ ή βάσει του άρθρου 92 παράγραφος 3 στοιχείο στ) του ΚΚΑ, το αρχικό άνοιγμα αντιστοιχεί στην αξία ανοίγματος για τον πιστωτικό κίνδυνο αντισυμβαλλομένου, που υπολογίζεται σύμφωνα με τις προβλεπόμενες στο τρίτο μέρος τίτλος ΙΙ κεφάλαιο 6 του ΚΚΑ μεθόδους.</w:t>
            </w:r>
          </w:p>
          <w:p w:rsidR="00464F34" w:rsidRPr="00392FFD" w:rsidRDefault="00464F34" w:rsidP="00FD239F">
            <w:pPr>
              <w:pStyle w:val="InstructionsText"/>
            </w:pPr>
            <w:r>
              <w:t xml:space="preserve">Οι αξίες ανοίγματος για μισθώσεις υπόκεινται στο άρθρο 134 παράγραφος 7 του ΚΚΑ. </w:t>
            </w:r>
          </w:p>
          <w:p w:rsidR="00464F34" w:rsidRPr="00392FFD" w:rsidRDefault="00464F34" w:rsidP="00FD239F">
            <w:pPr>
              <w:pStyle w:val="InstructionsText"/>
            </w:pPr>
          </w:p>
          <w:p w:rsidR="00464F34" w:rsidRPr="00392FFD" w:rsidRDefault="00464F34" w:rsidP="00FD239F">
            <w:pPr>
              <w:pStyle w:val="InstructionsText"/>
            </w:pPr>
            <w:r>
              <w:t>Στην περίπτωση συμψηφισμού εντός ισολογισμού που προβλέπεται στο άρθρο 219 του ΚΚΑ, οι αξίες ανοίγματος αναφέρονται σύμφωνα με τις ληφθείσες εξασφαλίσεις σε χρηματικά διαθέσιμα.</w:t>
            </w:r>
          </w:p>
          <w:p w:rsidR="00464F34" w:rsidRPr="00392FFD" w:rsidRDefault="00464F34" w:rsidP="00FD239F">
            <w:pPr>
              <w:pStyle w:val="InstructionsText"/>
            </w:pPr>
          </w:p>
          <w:p w:rsidR="00464F34" w:rsidRPr="00392FFD" w:rsidRDefault="00464F34" w:rsidP="00FD239F">
            <w:pPr>
              <w:pStyle w:val="InstructionsText"/>
            </w:pPr>
            <w:r>
              <w:t>Στην περίπτωση συμβάσεων-πλαισίων συμψηφισμού που καλύπτουν πράξεις επαν</w:t>
            </w:r>
            <w:r>
              <w:t>α</w:t>
            </w:r>
            <w:r>
              <w:t>γοράς και/ή πράξεις δανειοδοσίας ή δανειοληψίας τίτλων ή εμπορευμάτων και/ή άλλες πράξεις με όρους κεφαλαιαγοράς, βάσει του τρίτου μέρους τίτλος ΙΙ κεφάλαιο 6 του ΚΚΑ, οι επιπτώσεις της χρηματοδοτούμενης πιστωτικής προστασίας υπό μορφή συ</w:t>
            </w:r>
            <w:r>
              <w:t>μ</w:t>
            </w:r>
            <w:r>
              <w:t>βάσεων-πλαισίων συμψηφισμού, σύμφωνα με το άρθρο 220 παράγραφος 4 του ΚΚΑ, περιλαμβάνονται στη στήλη 010. Επομένως, στην περίπτωση συμβάσεων-πλαισίων συμψηφισμού που καλύπτουν πράξεις επαναγοράς βάσει των διατάξεων του τρίτου μέρους τίτλος ΙΙ κεφάλαιο 6 του ΚΚΑ, στη στήλη 010 του υποδείγματος CR SA αν</w:t>
            </w:r>
            <w:r>
              <w:t>α</w:t>
            </w:r>
            <w:r>
              <w:t>φέρεται το Ε*, όπως υπολογίζεται σύμφωνα με τα άρθρα 220 και 221 του ΚΚΑ.</w:t>
            </w:r>
          </w:p>
        </w:tc>
      </w:tr>
      <w:tr w:rsidR="00464F34" w:rsidRPr="00392FFD" w:rsidTr="00672D2A">
        <w:tc>
          <w:tcPr>
            <w:tcW w:w="1188" w:type="dxa"/>
          </w:tcPr>
          <w:p w:rsidR="00464F34" w:rsidRPr="00392FFD" w:rsidRDefault="00464F34" w:rsidP="00FD239F">
            <w:pPr>
              <w:pStyle w:val="InstructionsText"/>
            </w:pPr>
            <w:r>
              <w:t>030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Προσαρμογές αξίας και προβλέψεις που σχετίζονται με το αρχικό άνοιγμα</w:t>
            </w:r>
          </w:p>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Άρθρα 24 και 111 του ΚΚΑ</w:t>
            </w:r>
          </w:p>
          <w:p w:rsidR="00464F34" w:rsidRPr="00392FFD" w:rsidRDefault="00464F34" w:rsidP="00FD239F">
            <w:pPr>
              <w:pStyle w:val="InstructionsText"/>
            </w:pPr>
          </w:p>
          <w:p w:rsidR="00464F34" w:rsidRPr="00392FFD" w:rsidRDefault="00464F34" w:rsidP="00FD239F">
            <w:pPr>
              <w:pStyle w:val="InstructionsText"/>
            </w:pPr>
            <w:r>
              <w:t xml:space="preserve">Προσαρμογές αξίας και προβλέψεις για πιστωτικές ζημίες, που πραγματοποιούνται σύμφωνα με το λογιστικό πλαίσιο στο οποίο υπόκειται η οντότητα που παρέχει τις πληροφορίες. </w:t>
            </w:r>
          </w:p>
        </w:tc>
      </w:tr>
      <w:tr w:rsidR="00464F34" w:rsidRPr="00392FFD" w:rsidTr="00672D2A">
        <w:tc>
          <w:tcPr>
            <w:tcW w:w="1188" w:type="dxa"/>
          </w:tcPr>
          <w:p w:rsidR="00464F34" w:rsidRPr="00392FFD" w:rsidRDefault="00464F34" w:rsidP="00FD239F">
            <w:pPr>
              <w:pStyle w:val="InstructionsText"/>
            </w:pPr>
            <w:r>
              <w:t>040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Άνοιγμα χωρίς προσαρμογές αξίας και προβλέψεις</w:t>
            </w:r>
          </w:p>
          <w:p w:rsidR="00464F34" w:rsidRPr="00392FFD" w:rsidRDefault="00464F34" w:rsidP="00FD239F">
            <w:pPr>
              <w:pStyle w:val="InstructionsText"/>
            </w:pPr>
            <w:r>
              <w:t>Άθροισμα των στηλών 010 και 030.</w:t>
            </w:r>
          </w:p>
        </w:tc>
      </w:tr>
      <w:tr w:rsidR="00464F34" w:rsidRPr="00392FFD" w:rsidTr="00672D2A">
        <w:tc>
          <w:tcPr>
            <w:tcW w:w="1188" w:type="dxa"/>
          </w:tcPr>
          <w:p w:rsidR="00464F34" w:rsidRPr="00392FFD" w:rsidRDefault="00464F34" w:rsidP="00FD239F">
            <w:pPr>
              <w:pStyle w:val="InstructionsText"/>
            </w:pPr>
            <w:r>
              <w:t>050 - 100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ΤΕΧΝΙΚΕΣ ΜΕΙΩΣΗΣ ΤΟΥ ΠΙΣΤΩΤΙΚΟΥ ΚΙΝΔΥΝΟΥ (CRM) ΜΕ ΑΠ</w:t>
            </w:r>
            <w:r>
              <w:rPr>
                <w:rStyle w:val="InstructionsTabelleberschrift"/>
                <w:rFonts w:ascii="Times New Roman" w:hAnsi="Times New Roman"/>
                <w:sz w:val="24"/>
              </w:rPr>
              <w:t>Ο</w:t>
            </w:r>
            <w:r>
              <w:rPr>
                <w:rStyle w:val="InstructionsTabelleberschrift"/>
                <w:rFonts w:ascii="Times New Roman" w:hAnsi="Times New Roman"/>
                <w:sz w:val="24"/>
              </w:rPr>
              <w:t>ΤΕΛΕΣΜΑΤΑ ΥΠΟΚΑΤΑΣΤΑΣΗΣ ΣΤΟ ΑΝΟΙΓΜΑ</w:t>
            </w:r>
          </w:p>
          <w:p w:rsidR="00464F34" w:rsidRPr="00392FFD" w:rsidRDefault="00464F34" w:rsidP="00FD239F">
            <w:pPr>
              <w:pStyle w:val="InstructionsText"/>
            </w:pPr>
            <w:r>
              <w:t xml:space="preserve">Τεχνικές μείωσης του πιστωτικού κινδύνου, όπως ορίζονται στο άρθρο 4 σημείο 57) του ΚΚΑ, οι οποίες μειώνουν τον πιστωτικό κίνδυνο ενός ανοίγματος ή ανοιγμάτων </w:t>
            </w:r>
            <w:r>
              <w:lastRenderedPageBreak/>
              <w:t>μέσω της υποκατάστασης των ανοιγμάτων, όπως ορίζεται ακολούθως στην «Υποκ</w:t>
            </w:r>
            <w:r>
              <w:t>α</w:t>
            </w:r>
            <w:r>
              <w:t>τάσταση ανοίγματος λόγω μείωσης του πιστωτικού κινδύνου».</w:t>
            </w:r>
          </w:p>
          <w:p w:rsidR="00464F34" w:rsidRPr="00392FFD" w:rsidRDefault="00464F34" w:rsidP="00FD239F">
            <w:pPr>
              <w:pStyle w:val="InstructionsText"/>
            </w:pPr>
            <w:r>
              <w:t xml:space="preserve">Εάν μια εξασφάλιση επηρεάζει την αξία ανοίγματος (π.χ. εάν χρησιμοποιείται για τις τεχνικές μείωσης του πιστωτικού κινδύνου με αποτελέσματα υποκατάστασης στο </w:t>
            </w:r>
            <w:r>
              <w:t>ά</w:t>
            </w:r>
            <w:r>
              <w:t>νοιγμα), έχει ως ανώτατο όριο την αξία ανοίγματος.</w:t>
            </w:r>
          </w:p>
          <w:p w:rsidR="00464F34" w:rsidRPr="00392FFD" w:rsidRDefault="00464F34" w:rsidP="00FD239F">
            <w:pPr>
              <w:pStyle w:val="InstructionsText"/>
            </w:pPr>
            <w:r>
              <w:t>Τα αναφερόμενα στο συγκεκριμένο σημείο στοιχεία είναι τα εξής:</w:t>
            </w:r>
          </w:p>
          <w:p w:rsidR="00464F34" w:rsidRPr="00392FFD" w:rsidRDefault="00125707" w:rsidP="00FD239F">
            <w:pPr>
              <w:pStyle w:val="InstructionsText"/>
            </w:pPr>
            <w:r>
              <w:rPr>
                <w:rFonts w:ascii="Arial" w:hAnsi="Arial"/>
              </w:rPr>
              <w:t>-</w:t>
            </w:r>
            <w:r>
              <w:tab/>
              <w:t>εξασφάλιση, ενσωματωμένη σύμφωνα με την απλή μέθοδο χρηματοοικονομ</w:t>
            </w:r>
            <w:r>
              <w:t>ι</w:t>
            </w:r>
            <w:r>
              <w:t>κών εξασφαλίσεων,</w:t>
            </w:r>
          </w:p>
          <w:p w:rsidR="00464F34" w:rsidRPr="00392FFD" w:rsidRDefault="00125707" w:rsidP="00FD239F">
            <w:pPr>
              <w:pStyle w:val="InstructionsText"/>
            </w:pPr>
            <w:r>
              <w:rPr>
                <w:rFonts w:ascii="Arial" w:hAnsi="Arial"/>
              </w:rPr>
              <w:t>-</w:t>
            </w:r>
            <w:r>
              <w:tab/>
              <w:t>αποδεκτή μη χρηματοδοτούμενη πιστωτική προστασία.</w:t>
            </w:r>
          </w:p>
          <w:p w:rsidR="00464F34" w:rsidRPr="00392FFD" w:rsidRDefault="00464F34" w:rsidP="00FD239F">
            <w:pPr>
              <w:pStyle w:val="InstructionsText"/>
            </w:pPr>
            <w:r>
              <w:t xml:space="preserve">Βλέπε επίσης οδηγίες του στοιχείου 4.1.1. </w:t>
            </w:r>
          </w:p>
        </w:tc>
      </w:tr>
      <w:tr w:rsidR="00464F34" w:rsidRPr="00392FFD" w:rsidTr="00672D2A">
        <w:tc>
          <w:tcPr>
            <w:tcW w:w="1188" w:type="dxa"/>
          </w:tcPr>
          <w:p w:rsidR="00464F34" w:rsidRPr="00392FFD" w:rsidRDefault="00464F34" w:rsidP="00FD239F">
            <w:pPr>
              <w:pStyle w:val="InstructionsText"/>
            </w:pPr>
            <w:r>
              <w:lastRenderedPageBreak/>
              <w:t>050 - 060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Μη χρηματοδοτούμενη πιστωτική προστασία: προσαρμοσμένες αξίες (</w:t>
            </w:r>
            <w:proofErr w:type="spellStart"/>
            <w:r>
              <w:rPr>
                <w:rStyle w:val="InstructionsTabelleberschrift"/>
                <w:rFonts w:ascii="Times New Roman" w:hAnsi="Times New Roman"/>
                <w:sz w:val="24"/>
              </w:rPr>
              <w:t>Ga</w:t>
            </w:r>
            <w:proofErr w:type="spellEnd"/>
            <w:r>
              <w:rPr>
                <w:rStyle w:val="InstructionsTabelleberschrift"/>
                <w:rFonts w:ascii="Times New Roman" w:hAnsi="Times New Roman"/>
                <w:sz w:val="24"/>
              </w:rPr>
              <w:t>)</w:t>
            </w:r>
          </w:p>
          <w:p w:rsidR="00464F34" w:rsidRPr="00392FFD" w:rsidRDefault="00464F34" w:rsidP="00FD239F">
            <w:pPr>
              <w:pStyle w:val="InstructionsText"/>
            </w:pPr>
            <w:r>
              <w:t>Άρθρο 235 του ΚΚΑ</w:t>
            </w:r>
          </w:p>
          <w:p w:rsidR="00464F34" w:rsidRPr="00392FFD" w:rsidRDefault="00464F34" w:rsidP="00FD239F">
            <w:pPr>
              <w:pStyle w:val="InstructionsText"/>
            </w:pPr>
            <w:r>
              <w:t xml:space="preserve">Στο άρθρο 239 παράγραφος 3 του ΚΚΑ ορίζεται η προσαρμοσμένη αξία </w:t>
            </w:r>
            <w:proofErr w:type="spellStart"/>
            <w:r>
              <w:t>Ga</w:t>
            </w:r>
            <w:proofErr w:type="spellEnd"/>
            <w:r>
              <w:t xml:space="preserve"> μιας μη χρηματοδοτούμενης πιστωτικής προστασίας.</w:t>
            </w:r>
          </w:p>
        </w:tc>
      </w:tr>
      <w:tr w:rsidR="00464F34" w:rsidRPr="00392FFD" w:rsidTr="00672D2A">
        <w:tc>
          <w:tcPr>
            <w:tcW w:w="1188" w:type="dxa"/>
          </w:tcPr>
          <w:p w:rsidR="00464F34" w:rsidRPr="00392FFD" w:rsidRDefault="00464F34" w:rsidP="00FD239F">
            <w:pPr>
              <w:pStyle w:val="InstructionsText"/>
            </w:pPr>
            <w:r>
              <w:t>050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Εγγυήσεις</w:t>
            </w:r>
          </w:p>
          <w:p w:rsidR="00464F34" w:rsidRPr="00392FFD" w:rsidRDefault="00464F34" w:rsidP="00FD239F">
            <w:pPr>
              <w:pStyle w:val="InstructionsText"/>
            </w:pPr>
            <w:r>
              <w:t>Άρθρο 203 του ΚΚΑ</w:t>
            </w:r>
          </w:p>
          <w:p w:rsidR="00464F34" w:rsidRPr="00392FFD" w:rsidRDefault="00464F34" w:rsidP="00FD239F">
            <w:pPr>
              <w:pStyle w:val="InstructionsText"/>
              <w:rPr>
                <w:b/>
                <w:u w:val="single"/>
              </w:rPr>
            </w:pPr>
            <w:r>
              <w:t>Μη χρηματοδοτούμενη πιστωτική προστασία, όπως ορίζεται στο άρθρο 4 σημείο 59) του ΚΚΑ, διαφορετική από τα πιστωτικά παράγωγα.</w:t>
            </w:r>
          </w:p>
        </w:tc>
      </w:tr>
      <w:tr w:rsidR="00464F34" w:rsidRPr="00392FFD" w:rsidTr="00672D2A">
        <w:tc>
          <w:tcPr>
            <w:tcW w:w="1188" w:type="dxa"/>
          </w:tcPr>
          <w:p w:rsidR="00464F34" w:rsidRPr="00392FFD" w:rsidRDefault="00464F34" w:rsidP="00FD239F">
            <w:pPr>
              <w:pStyle w:val="InstructionsText"/>
            </w:pPr>
            <w:r>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Πιστωτικά παράγωγα</w:t>
            </w:r>
          </w:p>
          <w:p w:rsidR="00464F34" w:rsidRPr="00392FFD" w:rsidRDefault="00464F34" w:rsidP="00FD239F">
            <w:pPr>
              <w:pStyle w:val="InstructionsText"/>
              <w:rPr>
                <w:b/>
                <w:u w:val="single"/>
              </w:rPr>
            </w:pPr>
            <w:r>
              <w:t>Άρθρο 204 του ΚΚΑ</w:t>
            </w:r>
          </w:p>
        </w:tc>
      </w:tr>
      <w:tr w:rsidR="00464F34" w:rsidRPr="00392FFD" w:rsidTr="00672D2A">
        <w:tc>
          <w:tcPr>
            <w:tcW w:w="1188" w:type="dxa"/>
          </w:tcPr>
          <w:p w:rsidR="00464F34" w:rsidRPr="00392FFD" w:rsidRDefault="00464F34" w:rsidP="00FD239F">
            <w:pPr>
              <w:pStyle w:val="InstructionsText"/>
            </w:pPr>
            <w:r>
              <w:t>070 – 080</w:t>
            </w:r>
          </w:p>
          <w:p w:rsidR="00464F34" w:rsidRPr="00392FFD" w:rsidRDefault="00464F34" w:rsidP="00FD239F">
            <w:pPr>
              <w:pStyle w:val="InstructionsText"/>
            </w:pP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Χρηματοδοτούμενη πιστωτική προστασία</w:t>
            </w:r>
          </w:p>
          <w:p w:rsidR="00464F34" w:rsidRPr="00392FFD" w:rsidRDefault="009C44E7" w:rsidP="00FD239F">
            <w:pPr>
              <w:pStyle w:val="InstructionsText"/>
            </w:pPr>
            <w:r>
              <w:t>Οι στήλες αυτές αφορούν τη χρηματοδοτούμενη πιστωτική προστασία, σύμφωνα με το άρθρο 4 σημείο 58) του ΚΚΑ και τα άρθρα 196, 197 και 200 του ΚΚΑ. Τα ποσά δεν περιλαμβάνουν συμβάσεις-πλαίσια συμψηφισμού (που περιλαμβάνονται ήδη στο α</w:t>
            </w:r>
            <w:r>
              <w:t>ρ</w:t>
            </w:r>
            <w:r>
              <w:t xml:space="preserve">χικό άνοιγμα πριν από τους συντελεστές μετατροπής). </w:t>
            </w:r>
          </w:p>
          <w:p w:rsidR="00464F34" w:rsidRPr="00392FFD" w:rsidRDefault="00464F34" w:rsidP="00FD239F">
            <w:pPr>
              <w:pStyle w:val="InstructionsText"/>
            </w:pPr>
            <w:r>
              <w:t>Τα ομόλογα που συνδέονται με τον πιστωτικό κίνδυνο υποκείμενου μέσου και οι θ</w:t>
            </w:r>
            <w:r>
              <w:t>έ</w:t>
            </w:r>
            <w:r>
              <w:t>σεις συμψηφισμού εντός ισολογισμού που προκύπτουν από αποδεκτές συμφωνίες συμψηφισμού εντός ισολογισμού, σύμφωνα με τα άρθρα 218 και 219 του ΚΚΑ, αντ</w:t>
            </w:r>
            <w:r>
              <w:t>ι</w:t>
            </w:r>
            <w:r>
              <w:t>μετωπίζονται ως εξασφαλίσεις με χρηματικά διαθέσιμα.</w:t>
            </w:r>
          </w:p>
        </w:tc>
      </w:tr>
      <w:tr w:rsidR="00464F34" w:rsidRPr="00392FFD" w:rsidTr="00672D2A">
        <w:tc>
          <w:tcPr>
            <w:tcW w:w="1188" w:type="dxa"/>
          </w:tcPr>
          <w:p w:rsidR="00464F34" w:rsidRPr="00392FFD" w:rsidRDefault="00464F34" w:rsidP="00FD239F">
            <w:pPr>
              <w:pStyle w:val="InstructionsText"/>
            </w:pPr>
            <w:r>
              <w:t>070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Χρηματοοικονομικές εξασφαλίσεις: απλή μέθοδος</w:t>
            </w:r>
          </w:p>
          <w:p w:rsidR="00464F34" w:rsidRPr="00392FFD" w:rsidRDefault="00464F34" w:rsidP="00FD239F">
            <w:pPr>
              <w:pStyle w:val="InstructionsText"/>
            </w:pPr>
            <w:r>
              <w:t>Άρθρο 222 παράγραφοι 1 έως 2 του ΚΚΑ</w:t>
            </w:r>
          </w:p>
        </w:tc>
      </w:tr>
      <w:tr w:rsidR="00464F34" w:rsidRPr="00392FFD" w:rsidTr="00672D2A">
        <w:tc>
          <w:tcPr>
            <w:tcW w:w="1188" w:type="dxa"/>
          </w:tcPr>
          <w:p w:rsidR="00464F34" w:rsidRPr="00392FFD" w:rsidRDefault="00464F34" w:rsidP="00FD239F">
            <w:pPr>
              <w:pStyle w:val="InstructionsText"/>
            </w:pPr>
            <w:r>
              <w:t>080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μορφές χρηματοδοτούμενης πιστωτικής προστασίας</w:t>
            </w:r>
          </w:p>
          <w:p w:rsidR="00464F34" w:rsidRPr="00392FFD" w:rsidRDefault="00464F34" w:rsidP="00FD239F">
            <w:pPr>
              <w:pStyle w:val="InstructionsText"/>
            </w:pPr>
            <w:r>
              <w:t>Άρθρο 232 του ΚΚΑ</w:t>
            </w:r>
          </w:p>
        </w:tc>
      </w:tr>
      <w:tr w:rsidR="00464F34" w:rsidRPr="00392FFD" w:rsidTr="00672D2A">
        <w:tc>
          <w:tcPr>
            <w:tcW w:w="1188" w:type="dxa"/>
          </w:tcPr>
          <w:p w:rsidR="00464F34" w:rsidRPr="00392FFD" w:rsidRDefault="00464F34" w:rsidP="00FD239F">
            <w:pPr>
              <w:pStyle w:val="InstructionsText"/>
            </w:pPr>
            <w:r>
              <w:t>090 - 100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ΥΠΟΚΑΤΑΣΤΑΣΗ ΤΟΥ ΑΝΟΙΓΜΑΤΟΣ ΛΟΓΩ ΤΗΣ ΜΕΙΩΣΗΣ ΤΟΥ Π</w:t>
            </w:r>
            <w:r>
              <w:rPr>
                <w:rStyle w:val="InstructionsTabelleberschrift"/>
                <w:rFonts w:ascii="Times New Roman" w:hAnsi="Times New Roman"/>
                <w:sz w:val="24"/>
              </w:rPr>
              <w:t>Ι</w:t>
            </w:r>
            <w:r>
              <w:rPr>
                <w:rStyle w:val="InstructionsTabelleberschrift"/>
                <w:rFonts w:ascii="Times New Roman" w:hAnsi="Times New Roman"/>
                <w:sz w:val="24"/>
              </w:rPr>
              <w:t>ΣΤΩΤΙΚΟΥ ΚΙΝΔΥΝΟΥ</w:t>
            </w:r>
          </w:p>
          <w:p w:rsidR="00464F34" w:rsidRPr="00392FFD" w:rsidRDefault="00464F34" w:rsidP="00FD239F">
            <w:pPr>
              <w:pStyle w:val="InstructionsText"/>
            </w:pPr>
            <w:r>
              <w:t>Άρθρο 222 παράγραφος 3, άρθρο 235 παράγραφοι 1 έως 2 και άρθρο 236 του ΚΚΑ</w:t>
            </w:r>
          </w:p>
          <w:p w:rsidR="00464F34" w:rsidRPr="00392FFD" w:rsidRDefault="00464F34" w:rsidP="00FD239F">
            <w:pPr>
              <w:pStyle w:val="InstructionsText"/>
            </w:pPr>
            <w:r>
              <w:t xml:space="preserve">Οι εκροές αντιστοιχούν στο καλυμμένο μέρος του αρχικού ανοίγματος πριν από τους συντελεστές μετατροπής, το οποίο αφαιρείται από την κατηγορία ανοιγμάτων του </w:t>
            </w:r>
            <w:r>
              <w:t>ο</w:t>
            </w:r>
            <w:r>
              <w:t>φειλέτη και στη συνέχεια κατατάσσεται στην κατηγορία ανοιγμάτων του παρόχου π</w:t>
            </w:r>
            <w:r>
              <w:t>ι</w:t>
            </w:r>
            <w:r>
              <w:t xml:space="preserve">στωτικής προστασίας. Το ποσό αυτό θεωρείται εισροή στην κατηγορία ανοιγμάτων </w:t>
            </w:r>
            <w:r>
              <w:lastRenderedPageBreak/>
              <w:t>του παρόχου πιστωτικής προστασίας.</w:t>
            </w:r>
          </w:p>
          <w:p w:rsidR="00464F34" w:rsidRPr="00392FFD" w:rsidRDefault="00464F34" w:rsidP="00FD239F">
            <w:pPr>
              <w:pStyle w:val="InstructionsText"/>
              <w:rPr>
                <w:b/>
              </w:rPr>
            </w:pPr>
            <w:r>
              <w:t>Οι εισροές και οι εκροές εντός των ιδίων κατηγοριών ανοιγμάτων αναφέρονται επίσης.</w:t>
            </w:r>
          </w:p>
          <w:p w:rsidR="00464F34" w:rsidRPr="00392FFD" w:rsidRDefault="00464F34" w:rsidP="00FD239F">
            <w:pPr>
              <w:pStyle w:val="InstructionsText"/>
            </w:pPr>
            <w:r>
              <w:t xml:space="preserve">Τα ανοίγματα που προκύπτουν από πιθανές εισροές και εκροές προς και από άλλα </w:t>
            </w:r>
            <w:r>
              <w:t>υ</w:t>
            </w:r>
            <w:r>
              <w:t>ποδείγματα λαμβάνονται υπόψη.</w:t>
            </w:r>
          </w:p>
        </w:tc>
      </w:tr>
      <w:tr w:rsidR="00464F34" w:rsidRPr="00392FFD" w:rsidTr="00672D2A">
        <w:tc>
          <w:tcPr>
            <w:tcW w:w="1188" w:type="dxa"/>
          </w:tcPr>
          <w:p w:rsidR="00464F34" w:rsidRPr="00392FFD" w:rsidRDefault="00464F34" w:rsidP="00FD239F">
            <w:pPr>
              <w:pStyle w:val="InstructionsText"/>
            </w:pPr>
            <w:r>
              <w:lastRenderedPageBreak/>
              <w:t>110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ΚΑΘΑΡΟ ΑΝΟΙΓΜΑ ΜΕΤΑ ΤΑ ΑΠΟΤΕΛΕΣΜΑΤΑ ΥΠΟΚΑΤΑΣΤΑΣΗΣ ΤΗΣ CRΜ ΠΡΙΝ ΑΠΟ ΤΟΥΣ ΣΥΝΤΕΛΕΣΤΕΣ ΜΕΤΑΤΡΟΠΗΣ</w:t>
            </w:r>
          </w:p>
          <w:p w:rsidR="00464F34" w:rsidRPr="00392FFD" w:rsidRDefault="00464F34" w:rsidP="00FD239F">
            <w:pPr>
              <w:pStyle w:val="InstructionsText"/>
            </w:pPr>
            <w:r>
              <w:t>Ποσό του ανοίγματος χωρίς τις προσαρμογές αξίας, αφού ληφθούν υπόψη οι εκροές και οι εισροές λόγω ΤΕΧΝΙΚΩΝ ΜΕΙΩΣΗΣ ΤΟΥ ΠΙΣΤΩΤΙΚΟΥ ΚΙΝΔΥΝΟΥ (CRM) ΜΕ ΑΠΟΤΕΛΕΣΜΑΤΑ ΥΠΟΚΑΤΑΣΤΑΣΗΣ ΣΤΟ ΑΝΟΙΓΜΑ.</w:t>
            </w:r>
          </w:p>
        </w:tc>
      </w:tr>
      <w:tr w:rsidR="00464F34" w:rsidRPr="00392FFD" w:rsidTr="00672D2A">
        <w:tc>
          <w:tcPr>
            <w:tcW w:w="1188" w:type="dxa"/>
          </w:tcPr>
          <w:p w:rsidR="00464F34" w:rsidRPr="00392FFD" w:rsidRDefault="00464F34" w:rsidP="00FD239F">
            <w:pPr>
              <w:pStyle w:val="InstructionsText"/>
            </w:pPr>
            <w:r>
              <w:t>120-140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ΤΕΧΝΙΚΕΣ ΜΕΙΩΣΗΣ ΤΟΥ ΠΙΣΤΩΤΙΚΟΥ ΚΙΝΔΥΝΟΥ ΠΟΥ ΕΠΗΡΕ</w:t>
            </w:r>
            <w:r>
              <w:rPr>
                <w:rStyle w:val="InstructionsTabelleberschrift"/>
                <w:rFonts w:ascii="Times New Roman" w:hAnsi="Times New Roman"/>
                <w:sz w:val="24"/>
              </w:rPr>
              <w:t>Α</w:t>
            </w:r>
            <w:r>
              <w:rPr>
                <w:rStyle w:val="InstructionsTabelleberschrift"/>
                <w:rFonts w:ascii="Times New Roman" w:hAnsi="Times New Roman"/>
                <w:sz w:val="24"/>
              </w:rPr>
              <w:t>ΖΟΥΝ ΤΟ ΠΟΣΟ ΑΝΟΙΓΜΑΤΟΣ. ΧΡΗΜΑΤΟΔΟΤΟΥΜΕΝΗ ΠΙΣΤΩΤΙΚΗ ΠΡΟΣΤΑΣΙΑ, ΑΝΑΛΥΤΙΚΗ ΜΕΘΟΔΟΣ ΧΡΗΜΑΤΟΟΙΚΟΝΟΜΙΚΩΝ ΕΞ</w:t>
            </w:r>
            <w:r>
              <w:rPr>
                <w:rStyle w:val="InstructionsTabelleberschrift"/>
                <w:rFonts w:ascii="Times New Roman" w:hAnsi="Times New Roman"/>
                <w:sz w:val="24"/>
              </w:rPr>
              <w:t>Α</w:t>
            </w:r>
            <w:r>
              <w:rPr>
                <w:rStyle w:val="InstructionsTabelleberschrift"/>
                <w:rFonts w:ascii="Times New Roman" w:hAnsi="Times New Roman"/>
                <w:sz w:val="24"/>
              </w:rPr>
              <w:t>ΣΦΑΛΙΣΕΩΝ</w:t>
            </w:r>
          </w:p>
          <w:p w:rsidR="00464F34" w:rsidRPr="00392FFD" w:rsidRDefault="00464F34" w:rsidP="00FD239F">
            <w:pPr>
              <w:pStyle w:val="InstructionsText"/>
            </w:pPr>
            <w:r>
              <w:t>Άρθρα 223, 224, 225, 226, 227 και 228 του ΚΚΑ. Περιλαμβάνονται επίσης ομόλογα συνδεδεμένα με τον πιστωτικό κίνδυνο υποκείμενου μέσου (άρθρο 218 του ΚΚΑ).</w:t>
            </w:r>
          </w:p>
          <w:p w:rsidR="00464F34" w:rsidRPr="00392FFD" w:rsidRDefault="00464F34" w:rsidP="00FD239F">
            <w:pPr>
              <w:pStyle w:val="InstructionsText"/>
            </w:pPr>
            <w:r>
              <w:t>Τα ομόλογα που συνδέονται με τον πιστωτικό κίνδυνο υποκείμενου μέσου και οι θ</w:t>
            </w:r>
            <w:r>
              <w:t>έ</w:t>
            </w:r>
            <w:r>
              <w:t>σεις συμψηφισμού εντός ισολογισμού που προκύπτουν από αποδεκτές συμφωνίες συμψηφισμού εντός ισολογισμού, σύμφωνα με τα άρθρα 218 και 219 του ΚΚΑ, αντ</w:t>
            </w:r>
            <w:r>
              <w:t>ι</w:t>
            </w:r>
            <w:r>
              <w:t>μετωπίζονται ως εξασφαλίσεις με χρηματικά διαθέσιμα.</w:t>
            </w:r>
          </w:p>
          <w:p w:rsidR="00464F34" w:rsidRPr="00392FFD" w:rsidRDefault="00464F34" w:rsidP="00FD239F">
            <w:pPr>
              <w:pStyle w:val="InstructionsText"/>
            </w:pPr>
            <w:r>
              <w:t>Το αποτέλεσμα της δημιουργίας εξασφαλίσεων της αναλυτικής μεθόδου χρηματοοικ</w:t>
            </w:r>
            <w:r>
              <w:t>ο</w:t>
            </w:r>
            <w:r>
              <w:t>νομικών εξασφαλίσεων που εφαρμόζεται σε ένα άνοιγμα, το οποίο είναι εξασφαλισμ</w:t>
            </w:r>
            <w:r>
              <w:t>έ</w:t>
            </w:r>
            <w:r>
              <w:t>νο με αποδεκτή χρηματοοικονομική εξασφάλιση, υπολογίζεται σύμφωνα με τα ά</w:t>
            </w:r>
            <w:r>
              <w:t>ρ</w:t>
            </w:r>
            <w:r>
              <w:t xml:space="preserve">θρα 223, 224, 225, 226, 227 και 228 του ΚΚΑ. </w:t>
            </w:r>
          </w:p>
        </w:tc>
      </w:tr>
      <w:tr w:rsidR="00464F34" w:rsidRPr="00392FFD" w:rsidTr="00672D2A">
        <w:tc>
          <w:tcPr>
            <w:tcW w:w="1188" w:type="dxa"/>
          </w:tcPr>
          <w:p w:rsidR="00464F34" w:rsidRPr="00392FFD" w:rsidRDefault="00464F34" w:rsidP="00FD239F">
            <w:pPr>
              <w:pStyle w:val="InstructionsText"/>
            </w:pPr>
            <w:r>
              <w:t>120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Προσαρμογή μεταβλητότητας ως προς το άνοιγμα</w:t>
            </w:r>
          </w:p>
          <w:p w:rsidR="00464F34" w:rsidRPr="00392FFD" w:rsidRDefault="00464F34" w:rsidP="00FD239F">
            <w:pPr>
              <w:pStyle w:val="InstructionsText"/>
            </w:pPr>
            <w:r>
              <w:t xml:space="preserve">Άρθρο 223 παράγραφοι 2 έως 3 του ΚΚΑ </w:t>
            </w:r>
          </w:p>
          <w:p w:rsidR="00464F34" w:rsidRPr="00392FFD" w:rsidRDefault="00464F34" w:rsidP="00FD239F">
            <w:pPr>
              <w:pStyle w:val="InstructionsText"/>
            </w:pPr>
            <w:r>
              <w:t>Το προς αναφορά ποσό προκύπτει από τις επιπτώσεις της προσαρμογής μεταβλητότ</w:t>
            </w:r>
            <w:r>
              <w:t>η</w:t>
            </w:r>
            <w:r>
              <w:t>τας ως προς το άνοιγμα (</w:t>
            </w:r>
            <w:proofErr w:type="spellStart"/>
            <w:r>
              <w:t>Eva</w:t>
            </w:r>
            <w:proofErr w:type="spellEnd"/>
            <w:r>
              <w:t xml:space="preserve">-E) = </w:t>
            </w:r>
            <w:proofErr w:type="spellStart"/>
            <w:r>
              <w:t>E*He</w:t>
            </w:r>
            <w:proofErr w:type="spellEnd"/>
            <w:r>
              <w:t>.</w:t>
            </w:r>
          </w:p>
        </w:tc>
      </w:tr>
      <w:tr w:rsidR="00464F34" w:rsidRPr="00392FFD" w:rsidTr="00672D2A">
        <w:tc>
          <w:tcPr>
            <w:tcW w:w="1188" w:type="dxa"/>
          </w:tcPr>
          <w:p w:rsidR="00464F34" w:rsidRPr="00392FFD" w:rsidRDefault="00464F34" w:rsidP="00FD239F">
            <w:pPr>
              <w:pStyle w:val="InstructionsText"/>
            </w:pPr>
            <w:r>
              <w:t>130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Προσαρμοσμένη αξία χρηματοοικονομικών εξασφαλίσεων (</w:t>
            </w:r>
            <w:proofErr w:type="spellStart"/>
            <w:r>
              <w:rPr>
                <w:rStyle w:val="InstructionsTabelleberschrift"/>
                <w:rFonts w:ascii="Times New Roman" w:hAnsi="Times New Roman"/>
                <w:sz w:val="24"/>
              </w:rPr>
              <w:t>Cvam</w:t>
            </w:r>
            <w:proofErr w:type="spellEnd"/>
            <w:r>
              <w:rPr>
                <w:rStyle w:val="InstructionsTabelleberschrift"/>
                <w:rFonts w:ascii="Times New Roman" w:hAnsi="Times New Roman"/>
                <w:sz w:val="24"/>
              </w:rPr>
              <w:t>)</w:t>
            </w:r>
          </w:p>
          <w:p w:rsidR="00464F34" w:rsidRPr="00392FFD" w:rsidRDefault="00464F34" w:rsidP="00FD239F">
            <w:pPr>
              <w:pStyle w:val="InstructionsText"/>
            </w:pPr>
            <w:r>
              <w:t>Άρθρο 239 παράγραφος 2 του ΚΚΑ</w:t>
            </w:r>
          </w:p>
          <w:p w:rsidR="00464F34" w:rsidRPr="00392FFD" w:rsidRDefault="00464F34" w:rsidP="00FD239F">
            <w:pPr>
              <w:pStyle w:val="InstructionsText"/>
            </w:pPr>
            <w:r>
              <w:t>Για τις πράξεις του χαρτοφυλακίου συναλλαγών, περιλαμβάνει χρηματοοικονομικές εξασφαλίσεις και εμπορεύματα αποδεκτά για ανοίγματα του χαρτοφυλακίου συναλλ</w:t>
            </w:r>
            <w:r>
              <w:t>α</w:t>
            </w:r>
            <w:r>
              <w:t xml:space="preserve">γών, σύμφωνα με το άρθρο 299 παράγραφος 2 στοιχεία γ) έως στ) του ΚΚΑ. </w:t>
            </w:r>
          </w:p>
          <w:p w:rsidR="00464F34" w:rsidRPr="00392FFD" w:rsidRDefault="00464F34" w:rsidP="00FD239F">
            <w:pPr>
              <w:pStyle w:val="InstructionsText"/>
            </w:pPr>
            <w:r>
              <w:t xml:space="preserve">Το προς αναφορά ποσό προκύπτει από τη σχέση </w:t>
            </w:r>
            <w:proofErr w:type="spellStart"/>
            <w:r>
              <w:t>Cvam</w:t>
            </w:r>
            <w:proofErr w:type="spellEnd"/>
            <w:r>
              <w:t xml:space="preserve"> = C*(1-Hc-Hfx)*(t-t*)/(T-t*). Για τον ορισμό των τιμών C, </w:t>
            </w:r>
            <w:proofErr w:type="spellStart"/>
            <w:r>
              <w:t>Hc</w:t>
            </w:r>
            <w:proofErr w:type="spellEnd"/>
            <w:r>
              <w:t xml:space="preserve">, </w:t>
            </w:r>
            <w:proofErr w:type="spellStart"/>
            <w:r>
              <w:t>Hfx</w:t>
            </w:r>
            <w:proofErr w:type="spellEnd"/>
            <w:r>
              <w:t>, t, T και t*, βλέπε τρίτο μέρος τίτλος II κεφάλαιο 4 τμήματα 4 και 5 του ΚΚΑ.</w:t>
            </w:r>
          </w:p>
        </w:tc>
      </w:tr>
      <w:tr w:rsidR="00464F34" w:rsidRPr="00392FFD" w:rsidTr="00672D2A">
        <w:tc>
          <w:tcPr>
            <w:tcW w:w="1188" w:type="dxa"/>
          </w:tcPr>
          <w:p w:rsidR="00464F34" w:rsidRPr="00392FFD" w:rsidRDefault="00464F34" w:rsidP="00FD239F">
            <w:pPr>
              <w:pStyle w:val="InstructionsText"/>
            </w:pPr>
            <w:r>
              <w:t>140</w:t>
            </w:r>
          </w:p>
        </w:tc>
        <w:tc>
          <w:tcPr>
            <w:tcW w:w="8640" w:type="dxa"/>
          </w:tcPr>
          <w:p w:rsidR="00464F34" w:rsidRPr="00392FFD" w:rsidRDefault="008932B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Εκ των οποίων: Προσαρμογές μεταβλητότητας και ληκτότητας</w:t>
            </w:r>
          </w:p>
          <w:p w:rsidR="00464F34" w:rsidRPr="00392FFD" w:rsidRDefault="00464F34" w:rsidP="00FD239F">
            <w:pPr>
              <w:pStyle w:val="InstructionsText"/>
            </w:pPr>
            <w:r>
              <w:t xml:space="preserve">Άρθρο 223 παράγραφος 1 του ΚΚΑ και άρθρο 239 παράγραφος 2 του ΚΚΑ </w:t>
            </w:r>
          </w:p>
          <w:p w:rsidR="00464F34" w:rsidRPr="00392FFD" w:rsidRDefault="00464F34" w:rsidP="00FD239F">
            <w:pPr>
              <w:pStyle w:val="InstructionsText"/>
            </w:pPr>
            <w:r>
              <w:t>Το προς αναφορά ποσό είναι το κοινό αποτέλεσμα των προσαρμογών μεταβλητότητας και ληκτότητας (</w:t>
            </w:r>
            <w:proofErr w:type="spellStart"/>
            <w:r>
              <w:t>Cvam</w:t>
            </w:r>
            <w:proofErr w:type="spellEnd"/>
            <w:r>
              <w:t>-C) = C*[(1-Hc-Hfx)*(t-t*)/(T-t*)-1], όπου το αποτέλεσμα των προσαρμογών μεταβλητότητας προκύπτει από τη σχέση (</w:t>
            </w:r>
            <w:proofErr w:type="spellStart"/>
            <w:r>
              <w:t>Cva</w:t>
            </w:r>
            <w:proofErr w:type="spellEnd"/>
            <w:r>
              <w:t>-C) = C*[(1-Hc-Hfx)-1] και το αποτέλεσμα των προσαρμογών ληκτότητας προκύπτει από τη σχέση (</w:t>
            </w:r>
            <w:proofErr w:type="spellStart"/>
            <w:r>
              <w:t>Cvam</w:t>
            </w:r>
            <w:proofErr w:type="spellEnd"/>
            <w:r>
              <w:t>-</w:t>
            </w:r>
            <w:proofErr w:type="spellStart"/>
            <w:r>
              <w:t>Cva</w:t>
            </w:r>
            <w:proofErr w:type="spellEnd"/>
            <w:r>
              <w:t>)= C*(1-Hc-Hfx)*[(t-t*)/(T-t*)-1].</w:t>
            </w:r>
          </w:p>
        </w:tc>
      </w:tr>
      <w:tr w:rsidR="00464F34" w:rsidRPr="00392FFD" w:rsidTr="00672D2A">
        <w:tc>
          <w:tcPr>
            <w:tcW w:w="1188" w:type="dxa"/>
          </w:tcPr>
          <w:p w:rsidR="00464F34" w:rsidRPr="00392FFD" w:rsidRDefault="00464F34" w:rsidP="00FD239F">
            <w:pPr>
              <w:pStyle w:val="InstructionsText"/>
            </w:pPr>
            <w:r>
              <w:lastRenderedPageBreak/>
              <w:t>150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Πλήρως προσαρμοσμένη αξία ανοίγματος (Ε*)</w:t>
            </w:r>
          </w:p>
          <w:p w:rsidR="00464F34" w:rsidRPr="00392FFD" w:rsidRDefault="00464F34" w:rsidP="00FD239F">
            <w:pPr>
              <w:pStyle w:val="InstructionsText"/>
              <w:rPr>
                <w:b/>
                <w:u w:val="single"/>
              </w:rPr>
            </w:pPr>
            <w:r>
              <w:t>Άρθρο 220 παράγραφος 4, άρθρο 223 παράγραφοι 2 έως 5 και άρθρο 228 παράγρ</w:t>
            </w:r>
            <w:r>
              <w:t>α</w:t>
            </w:r>
            <w:r>
              <w:t>φος 1 του ΚΚΑ</w:t>
            </w:r>
          </w:p>
        </w:tc>
      </w:tr>
      <w:tr w:rsidR="00464F34" w:rsidRPr="00392FFD" w:rsidTr="00672D2A">
        <w:tc>
          <w:tcPr>
            <w:tcW w:w="1188" w:type="dxa"/>
          </w:tcPr>
          <w:p w:rsidR="00464F34" w:rsidRPr="00392FFD" w:rsidRDefault="00464F34" w:rsidP="00FD239F">
            <w:pPr>
              <w:pStyle w:val="InstructionsText"/>
            </w:pPr>
            <w:r>
              <w:t>160 - 190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Κατανομή της πλήρως προσαρμοσμένης αξίας ανοίγματος στοιχείων εκτός ισολ</w:t>
            </w:r>
            <w:r>
              <w:rPr>
                <w:rStyle w:val="InstructionsTabelleberschrift"/>
                <w:rFonts w:ascii="Times New Roman" w:hAnsi="Times New Roman"/>
                <w:sz w:val="24"/>
              </w:rPr>
              <w:t>ο</w:t>
            </w:r>
            <w:r>
              <w:rPr>
                <w:rStyle w:val="InstructionsTabelleberschrift"/>
                <w:rFonts w:ascii="Times New Roman" w:hAnsi="Times New Roman"/>
                <w:sz w:val="24"/>
              </w:rPr>
              <w:t>γισμού ανά συντελεστή μετατροπής</w:t>
            </w:r>
          </w:p>
          <w:p w:rsidR="00464F34" w:rsidRPr="00392FFD" w:rsidRDefault="00464F34" w:rsidP="00FD239F">
            <w:pPr>
              <w:pStyle w:val="InstructionsText"/>
            </w:pPr>
            <w:r>
              <w:t>Άρθρο 111 παράγραφος 1 και άρθρο 4 σημείο 56) του ΚΚΑ. Βλέπε επίσης άρθρο 222 παράγραφος 3 και άρθρο 228 παράγραφος 1 του ΚΚΑ.</w:t>
            </w:r>
          </w:p>
          <w:p w:rsidR="000A4C10" w:rsidRPr="00392FFD" w:rsidRDefault="000A4C10" w:rsidP="00FD239F">
            <w:pPr>
              <w:pStyle w:val="InstructionsText"/>
              <w:rPr>
                <w:b/>
                <w:u w:val="single"/>
              </w:rPr>
            </w:pPr>
            <w:r>
              <w:t>Οι αναφερόμενες τιμές είναι οι πλήρως προσαρμοσμένες αξίες ανοίγματος πριν από την εφαρμογή του συντελεστή μετατροπής.</w:t>
            </w:r>
          </w:p>
        </w:tc>
      </w:tr>
      <w:tr w:rsidR="00464F34" w:rsidRPr="00392FFD" w:rsidTr="00672D2A">
        <w:tc>
          <w:tcPr>
            <w:tcW w:w="1188" w:type="dxa"/>
          </w:tcPr>
          <w:p w:rsidR="00464F34" w:rsidRPr="00392FFD" w:rsidRDefault="00464F34" w:rsidP="00FD239F">
            <w:pPr>
              <w:pStyle w:val="InstructionsText"/>
            </w:pPr>
            <w:r>
              <w:t>200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Αξία ανοίγματος</w:t>
            </w:r>
          </w:p>
          <w:p w:rsidR="00464F34" w:rsidRPr="00392FFD" w:rsidRDefault="00531FC9" w:rsidP="00FD239F">
            <w:pPr>
              <w:pStyle w:val="InstructionsText"/>
            </w:pPr>
            <w:r>
              <w:t>Άρθρο 111 του ΚΚΑ και τρίτο μέρος τίτλος II κεφάλαιο 4 τμήμα 4 του ΚΚΑ</w:t>
            </w:r>
          </w:p>
          <w:p w:rsidR="00464F34" w:rsidRPr="00392FFD" w:rsidRDefault="00464F34" w:rsidP="00FD239F">
            <w:pPr>
              <w:pStyle w:val="InstructionsText"/>
            </w:pPr>
            <w:r>
              <w:t xml:space="preserve">Αξία ανοίγματος, αφού ληφθούν υπόψη οι προσαρμογές αξίας, όλοι οι παράγοντες μείωσης του πιστωτικού κινδύνου και οι συντελεστές μετατροπής πίστωσης, στην </w:t>
            </w:r>
            <w:r>
              <w:t>ο</w:t>
            </w:r>
            <w:r>
              <w:t>ποία θα εφαρμοστούν συντελεστές στάθμισης κινδύνου, σύμφωνα με το άρθρο 113 και το τρίτο μέρος τίτλος II κεφάλαιο 2 τμήμα 2 του ΚΚΑ.</w:t>
            </w:r>
          </w:p>
        </w:tc>
      </w:tr>
      <w:tr w:rsidR="00464F34" w:rsidRPr="00392FFD" w:rsidTr="00672D2A">
        <w:tc>
          <w:tcPr>
            <w:tcW w:w="1188" w:type="dxa"/>
          </w:tcPr>
          <w:p w:rsidR="00464F34" w:rsidRPr="00392FFD" w:rsidRDefault="00464F34" w:rsidP="00FD239F">
            <w:pPr>
              <w:pStyle w:val="InstructionsText"/>
            </w:pPr>
            <w:r>
              <w:t>210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Λόγω πιστωτικού κινδύνου αντισυμβαλλομένου</w:t>
            </w:r>
          </w:p>
          <w:p w:rsidR="00464F34" w:rsidRPr="00392FFD" w:rsidRDefault="00464F34" w:rsidP="00FD239F">
            <w:pPr>
              <w:pStyle w:val="InstructionsText"/>
              <w:rPr>
                <w:b/>
                <w:u w:val="single"/>
              </w:rPr>
            </w:pPr>
            <w:r>
              <w:t>Στην περίπτωση παράγωγων μέσων, πράξεων επαναγοράς, πράξεων δανειοδοσίας ή δανειοληψίας τίτλων ή εμπορευμάτων, πράξεων με μακρά προθεσμία διακανονισμού και πράξεων δανεισμού περιθωρίου βάσει του τρίτου μέρους τίτλος II κεφάλαιο 6 του ΚΚΑ, η αξία ανοίγματος για τον πιστωτικό κίνδυνο αντισυμβαλλομένου, που υπολογ</w:t>
            </w:r>
            <w:r>
              <w:t>ί</w:t>
            </w:r>
            <w:r>
              <w:t>ζεται σύμφωνα με τις μεθόδους που προβλέπονται στο τρίτο μέρος τίτλος II κεφάλαιο 6 τμήματα 2, 3, 4, και 5 του ΚΚΑ.</w:t>
            </w:r>
          </w:p>
        </w:tc>
      </w:tr>
      <w:tr w:rsidR="00464F34" w:rsidRPr="00392FFD" w:rsidTr="00672D2A">
        <w:tc>
          <w:tcPr>
            <w:tcW w:w="1188" w:type="dxa"/>
          </w:tcPr>
          <w:p w:rsidR="00464F34" w:rsidRPr="00392FFD" w:rsidRDefault="00464F34" w:rsidP="00FD239F">
            <w:pPr>
              <w:pStyle w:val="InstructionsText"/>
            </w:pPr>
            <w:r>
              <w:t>215</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Ποσό ανοίγματος σταθμισμένο ως προς τον κίνδυνο πριν από τον συντελεστή στ</w:t>
            </w:r>
            <w:r>
              <w:rPr>
                <w:rStyle w:val="InstructionsTabelleberschrift"/>
                <w:rFonts w:ascii="Times New Roman" w:hAnsi="Times New Roman"/>
                <w:sz w:val="24"/>
              </w:rPr>
              <w:t>ή</w:t>
            </w:r>
            <w:r>
              <w:rPr>
                <w:rStyle w:val="InstructionsTabelleberschrift"/>
                <w:rFonts w:ascii="Times New Roman" w:hAnsi="Times New Roman"/>
                <w:sz w:val="24"/>
              </w:rPr>
              <w:t>ριξης των ΜΜΕ</w:t>
            </w:r>
          </w:p>
          <w:p w:rsidR="00464F34" w:rsidRPr="00392FFD" w:rsidRDefault="00464F34" w:rsidP="00FD239F">
            <w:pPr>
              <w:pStyle w:val="InstructionsText"/>
              <w:rPr>
                <w:b/>
                <w:u w:val="single"/>
              </w:rPr>
            </w:pPr>
            <w:r>
              <w:t>Άρθρο 113 παράγραφοι 1 έως 5 του ΚΚΑ, χωρίς να λαμβάνεται υπόψη ο συντελεστής στήριξης των ΜΜΕ, σύμφωνα με το άρθρο 501 του ΚΚΑ.</w:t>
            </w:r>
          </w:p>
        </w:tc>
      </w:tr>
      <w:tr w:rsidR="00464F34" w:rsidRPr="00392FFD" w:rsidTr="00672D2A">
        <w:tc>
          <w:tcPr>
            <w:tcW w:w="1188" w:type="dxa"/>
          </w:tcPr>
          <w:p w:rsidR="00464F34" w:rsidRPr="00392FFD" w:rsidRDefault="00464F34" w:rsidP="00FD239F">
            <w:pPr>
              <w:pStyle w:val="InstructionsText"/>
            </w:pPr>
            <w:r>
              <w:t>220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Ποσό ανοίγματος σταθμισμένο ως προς τον κίνδυνο μετά τον συντελεστή στήριξης των ΜΜΕ</w:t>
            </w:r>
          </w:p>
          <w:p w:rsidR="00464F34" w:rsidRPr="00392FFD" w:rsidRDefault="00464F34" w:rsidP="00FD239F">
            <w:pPr>
              <w:pStyle w:val="InstructionsText"/>
              <w:rPr>
                <w:b/>
                <w:u w:val="single"/>
              </w:rPr>
            </w:pPr>
            <w:r>
              <w:t>Άρθρο 113 παράγραφοι 1 έως 5 του ΚΚΑ, λαμβάνοντας υπόψη τον συντελεστή στήρ</w:t>
            </w:r>
            <w:r>
              <w:t>ι</w:t>
            </w:r>
            <w:r>
              <w:t>ξης των ΜΜΕ, σύμφωνα με το άρθρο 500 του ΚΚΑ.</w:t>
            </w:r>
          </w:p>
        </w:tc>
      </w:tr>
      <w:tr w:rsidR="00464F34" w:rsidRPr="00392FFD" w:rsidTr="00672D2A">
        <w:tc>
          <w:tcPr>
            <w:tcW w:w="1188" w:type="dxa"/>
            <w:shd w:val="clear" w:color="auto" w:fill="auto"/>
          </w:tcPr>
          <w:p w:rsidR="00464F34" w:rsidRPr="00392FFD" w:rsidRDefault="00464F34" w:rsidP="00FD239F">
            <w:pPr>
              <w:pStyle w:val="InstructionsText"/>
            </w:pPr>
            <w:r>
              <w:t>230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με πιστοληπτική αξιολόγηση από καθορισμένο ΕΟΠΑ</w:t>
            </w:r>
          </w:p>
          <w:p w:rsidR="003812AC" w:rsidRPr="00392FFD" w:rsidRDefault="003812AC" w:rsidP="00FD239F">
            <w:pPr>
              <w:pStyle w:val="InstructionsText"/>
            </w:pPr>
            <w:r>
              <w:t>Άρθρο 112 στοιχεία α) έως δ), στ), ζ), ιβ), ιδ), ιε) και ιζ) του ΚΚΑ</w:t>
            </w:r>
          </w:p>
        </w:tc>
      </w:tr>
      <w:tr w:rsidR="00464F34" w:rsidRPr="00392FFD" w:rsidTr="00672D2A">
        <w:tc>
          <w:tcPr>
            <w:tcW w:w="1188" w:type="dxa"/>
            <w:shd w:val="clear" w:color="auto" w:fill="auto"/>
          </w:tcPr>
          <w:p w:rsidR="00464F34" w:rsidRPr="00392FFD" w:rsidRDefault="00464F34" w:rsidP="00FD239F">
            <w:pPr>
              <w:pStyle w:val="InstructionsText"/>
            </w:pPr>
            <w:r>
              <w:t>240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με πιστοληπτική αξιολόγηση που προέρχεται από κεντρική κ</w:t>
            </w:r>
            <w:r>
              <w:rPr>
                <w:rStyle w:val="InstructionsTabelleberschrift"/>
                <w:rFonts w:ascii="Times New Roman" w:hAnsi="Times New Roman"/>
                <w:sz w:val="24"/>
              </w:rPr>
              <w:t>υ</w:t>
            </w:r>
            <w:r>
              <w:rPr>
                <w:rStyle w:val="InstructionsTabelleberschrift"/>
                <w:rFonts w:ascii="Times New Roman" w:hAnsi="Times New Roman"/>
                <w:sz w:val="24"/>
              </w:rPr>
              <w:t>βέρνηση</w:t>
            </w:r>
          </w:p>
          <w:p w:rsidR="003812AC" w:rsidRPr="00392FFD" w:rsidRDefault="003812AC" w:rsidP="00FD239F">
            <w:pPr>
              <w:pStyle w:val="InstructionsText"/>
            </w:pPr>
            <w:r>
              <w:t>Άρθρο 112 στοιχεία β) έως δ), στ), ζ), ιβ) και ιε) του ΚΚΑ</w:t>
            </w:r>
          </w:p>
        </w:tc>
      </w:tr>
    </w:tbl>
    <w:p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FD239F">
            <w:pPr>
              <w:pStyle w:val="InstructionsText"/>
            </w:pPr>
            <w:r>
              <w:t>Γραμμές</w:t>
            </w:r>
          </w:p>
        </w:tc>
        <w:tc>
          <w:tcPr>
            <w:tcW w:w="8701" w:type="dxa"/>
            <w:shd w:val="clear" w:color="auto" w:fill="CCCCCC"/>
          </w:tcPr>
          <w:p w:rsidR="00464F34" w:rsidRPr="00392FFD" w:rsidRDefault="00464F34" w:rsidP="00FD239F">
            <w:pPr>
              <w:pStyle w:val="InstructionsText"/>
            </w:pPr>
            <w:r>
              <w:t>Οδηγίες</w:t>
            </w:r>
          </w:p>
        </w:tc>
      </w:tr>
      <w:tr w:rsidR="00464F34" w:rsidRPr="00392FFD" w:rsidTr="00672D2A">
        <w:tc>
          <w:tcPr>
            <w:tcW w:w="1188" w:type="dxa"/>
          </w:tcPr>
          <w:p w:rsidR="00464F34" w:rsidRPr="00392FFD" w:rsidRDefault="00464F34" w:rsidP="00FD239F">
            <w:pPr>
              <w:pStyle w:val="InstructionsText"/>
            </w:pPr>
            <w:r>
              <w:t>010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Συνολικά ανοίγματα</w:t>
            </w:r>
          </w:p>
        </w:tc>
      </w:tr>
      <w:tr w:rsidR="00610B56" w:rsidRPr="00392FFD" w:rsidTr="00672D2A">
        <w:tc>
          <w:tcPr>
            <w:tcW w:w="1188" w:type="dxa"/>
          </w:tcPr>
          <w:p w:rsidR="00610B56" w:rsidRPr="00392FFD" w:rsidRDefault="00610B56" w:rsidP="00FD239F">
            <w:pPr>
              <w:pStyle w:val="InstructionsText"/>
            </w:pPr>
            <w:r>
              <w:t>015</w:t>
            </w:r>
          </w:p>
        </w:tc>
        <w:tc>
          <w:tcPr>
            <w:tcW w:w="8701" w:type="dxa"/>
          </w:tcPr>
          <w:p w:rsidR="00610B56" w:rsidRPr="00392FFD" w:rsidRDefault="00610B5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σε αθέτηση</w:t>
            </w:r>
          </w:p>
          <w:p w:rsidR="00610B56" w:rsidRPr="00392FFD" w:rsidRDefault="00610B56" w:rsidP="00FD239F">
            <w:pPr>
              <w:pStyle w:val="InstructionsText"/>
            </w:pPr>
            <w:r>
              <w:t>Άρθρο 127 του ΚΚΑ</w:t>
            </w:r>
          </w:p>
          <w:p w:rsidR="00610B56" w:rsidRPr="00392FFD" w:rsidRDefault="00610B56" w:rsidP="00FD239F">
            <w:pPr>
              <w:pStyle w:val="InstructionsText"/>
            </w:pPr>
            <w:r>
              <w:lastRenderedPageBreak/>
              <w:t>Η συγκεκριμένη γραμμή υποβάλλεται μόνο για τις κατηγορίες ανοιγμάτων «Στοιχεία που σχετίζονται με ιδιαίτερα υψηλούς κινδύνους» και «Ανοίγματα σε μετοχές».</w:t>
            </w:r>
          </w:p>
          <w:p w:rsidR="00761891" w:rsidRPr="00392FFD" w:rsidRDefault="00761891" w:rsidP="00A04CFA">
            <w:pPr>
              <w:pStyle w:val="InstructionsText"/>
            </w:pPr>
            <w:r>
              <w:t>Στην περίπτωση ανοίγματος απαριθμούμενου στο άρθρο 128 παράγραφος 2 του ΚΚΑ ή το οποίο πληροί τα κριτήρια του άρθρου 128 παράγραφος 3 ή του άρθρου 133 του ΚΚΑ, το εν λόγω άνοιγμα κατατάσσεται στην κατηγορία ανοιγμάτων «Στοιχεία που σχετίζονται με ιδιαίτερα υψηλούς κινδύνους» ή «Ανοίγματα σε μετοχές». Επομένως, δεν πρέπει να υπάρξει άλλη κατάταξη, ακόμη και αν το άνοιγμα βρίσκεται σε αθέτηση σύμφωνα με το άρθρο 127 του ΚΚΑ.</w:t>
            </w:r>
          </w:p>
        </w:tc>
      </w:tr>
      <w:tr w:rsidR="00464F34" w:rsidRPr="00392FFD" w:rsidTr="00672D2A">
        <w:tc>
          <w:tcPr>
            <w:tcW w:w="1188" w:type="dxa"/>
            <w:shd w:val="clear" w:color="auto" w:fill="auto"/>
          </w:tcPr>
          <w:p w:rsidR="00464F34" w:rsidRPr="00392FFD" w:rsidRDefault="00462BAB" w:rsidP="00FD239F">
            <w:pPr>
              <w:pStyle w:val="InstructionsText"/>
            </w:pPr>
            <w:r>
              <w:lastRenderedPageBreak/>
              <w:t>020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ΜΜΕ</w:t>
            </w:r>
          </w:p>
          <w:p w:rsidR="00464F34" w:rsidRPr="00392FFD" w:rsidRDefault="00464F34" w:rsidP="00FD239F">
            <w:pPr>
              <w:pStyle w:val="InstructionsText"/>
            </w:pPr>
            <w:r>
              <w:t xml:space="preserve">Όλα τα ανοίγματα έναντι ΜΜΕ αναφέρονται στο συγκεκριμένο σημείο. </w:t>
            </w:r>
          </w:p>
        </w:tc>
      </w:tr>
      <w:tr w:rsidR="00464F34" w:rsidRPr="00392FFD" w:rsidTr="00672D2A">
        <w:tc>
          <w:tcPr>
            <w:tcW w:w="1188" w:type="dxa"/>
            <w:shd w:val="clear" w:color="auto" w:fill="auto"/>
          </w:tcPr>
          <w:p w:rsidR="00464F34" w:rsidRPr="00392FFD" w:rsidRDefault="00462BAB" w:rsidP="00FD239F">
            <w:pPr>
              <w:pStyle w:val="InstructionsText"/>
            </w:pPr>
            <w:r>
              <w:t>030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που υπόκεινται στον συντελεστή στήριξης των ΜΜΕ</w:t>
            </w:r>
          </w:p>
          <w:p w:rsidR="00464F34" w:rsidRPr="00392FFD" w:rsidRDefault="00464F34" w:rsidP="00FD239F">
            <w:pPr>
              <w:pStyle w:val="InstructionsText"/>
            </w:pPr>
            <w:r>
              <w:t xml:space="preserve">Στο συγκεκριμένο σημείο αναφέρονται μόνο τα ανοίγματα που πληρούν τις απαιτήσεις του άρθρου 501 του ΚΚΑ. </w:t>
            </w:r>
          </w:p>
        </w:tc>
      </w:tr>
      <w:tr w:rsidR="00464F34" w:rsidRPr="00392FFD" w:rsidTr="00672D2A">
        <w:tc>
          <w:tcPr>
            <w:tcW w:w="1188" w:type="dxa"/>
            <w:shd w:val="clear" w:color="auto" w:fill="auto"/>
          </w:tcPr>
          <w:p w:rsidR="00464F34" w:rsidRPr="00392FFD" w:rsidRDefault="00462BAB" w:rsidP="00FD239F">
            <w:pPr>
              <w:pStyle w:val="InstructionsText"/>
            </w:pPr>
            <w:r>
              <w:t>040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Εξασφαλισμένα με υποθήκες επί ακίνητης περιουσίας – Ακίνητα κατοικίας</w:t>
            </w:r>
          </w:p>
          <w:p w:rsidR="00464F34" w:rsidRPr="00392FFD" w:rsidRDefault="00464F34" w:rsidP="00FD239F">
            <w:pPr>
              <w:pStyle w:val="InstructionsText"/>
            </w:pPr>
            <w:r>
              <w:t>Άρθρο 125 του ΚΚΑ</w:t>
            </w:r>
          </w:p>
          <w:p w:rsidR="00464F34" w:rsidRPr="00392FFD" w:rsidRDefault="00464F34" w:rsidP="00FD239F">
            <w:pPr>
              <w:pStyle w:val="InstructionsText"/>
              <w:rPr>
                <w:b/>
                <w:u w:val="single"/>
              </w:rPr>
            </w:pPr>
            <w:r>
              <w:t>Μόνον αυτά που αναφέρονται στην κατηγορία ανοιγμάτων «εξασφαλισμένα με υποθ</w:t>
            </w:r>
            <w:r>
              <w:t>ή</w:t>
            </w:r>
            <w:r>
              <w:t>κες επί ακίνητης περιουσίας».</w:t>
            </w:r>
          </w:p>
        </w:tc>
      </w:tr>
      <w:tr w:rsidR="00464F34" w:rsidRPr="00392FFD" w:rsidTr="00672D2A">
        <w:tc>
          <w:tcPr>
            <w:tcW w:w="1188" w:type="dxa"/>
            <w:shd w:val="clear" w:color="auto" w:fill="auto"/>
          </w:tcPr>
          <w:p w:rsidR="00464F34" w:rsidRPr="00392FFD" w:rsidRDefault="00462BAB" w:rsidP="00FD239F">
            <w:pPr>
              <w:pStyle w:val="InstructionsText"/>
            </w:pPr>
            <w:r>
              <w:t>050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με βάση τη μόνιμη μερική χρήση της τυποποιημένης προσέγγισης</w:t>
            </w:r>
          </w:p>
          <w:p w:rsidR="00464F34" w:rsidRPr="00392FFD" w:rsidRDefault="00464F34" w:rsidP="00255BA9">
            <w:pPr>
              <w:pStyle w:val="InstructionsText"/>
            </w:pPr>
            <w:r>
              <w:t>Ανοίγματα που αντιμετωπίζονται σύμφωνα με το άρθρο 150 παράγραφος 1 του ΚΚΑ</w:t>
            </w:r>
          </w:p>
        </w:tc>
      </w:tr>
      <w:tr w:rsidR="00464F34" w:rsidRPr="00392FFD" w:rsidTr="00672D2A">
        <w:tc>
          <w:tcPr>
            <w:tcW w:w="1188" w:type="dxa"/>
            <w:shd w:val="clear" w:color="auto" w:fill="auto"/>
          </w:tcPr>
          <w:p w:rsidR="00464F34" w:rsidRPr="00392FFD" w:rsidRDefault="00462BAB" w:rsidP="00FD239F">
            <w:pPr>
              <w:pStyle w:val="InstructionsText"/>
            </w:pPr>
            <w:r>
              <w:t>060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με βάση την τυποποιημένη προσέγγιση με προηγούμενη εποπτική άδεια να διεξαχθεί διαδοχική εφαρμογή της IRB</w:t>
            </w:r>
          </w:p>
          <w:p w:rsidR="00464F34" w:rsidRPr="00392FFD" w:rsidRDefault="00464F34" w:rsidP="00255BA9">
            <w:pPr>
              <w:pStyle w:val="InstructionsText"/>
            </w:pPr>
            <w:r>
              <w:t>Ανοίγματα που αντιμετωπίζονται σύμφωνα με το άρθρο 148 παράγραφος 1 του ΚΚΑ</w:t>
            </w:r>
          </w:p>
        </w:tc>
      </w:tr>
      <w:tr w:rsidR="00464F34" w:rsidRPr="00392FFD" w:rsidTr="00672D2A">
        <w:tc>
          <w:tcPr>
            <w:tcW w:w="1188" w:type="dxa"/>
          </w:tcPr>
          <w:p w:rsidR="00464F34" w:rsidRPr="00392FFD" w:rsidRDefault="00462BAB" w:rsidP="00FD239F">
            <w:pPr>
              <w:pStyle w:val="InstructionsText"/>
            </w:pPr>
            <w:r>
              <w:t>070-130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ΚΑΤΑΝΟΜΗ ΣΥΝΟΛΟΥ ΑΝΟΙΓΜΑΤΩΝ ΑΝΑ ΕΙΔΟΣ ΑΝΟΙΓΜΑΤΟΣ</w:t>
            </w:r>
          </w:p>
          <w:p w:rsidR="00464F34" w:rsidRPr="00392FFD" w:rsidRDefault="00464F34" w:rsidP="00FD239F">
            <w:pPr>
              <w:pStyle w:val="InstructionsText"/>
            </w:pPr>
            <w:r>
              <w:t>Οι θέσεις «τραπεζικού χαρτοφυλακίου» του αναφέροντος ιδρύματος κατανέμονται, σύμφωνα με τα κριτήρια που αναφέρονται παρακάτω, σε ανοίγματα εντός ισολογισμού υποκείμενα σε πιστωτικό κίνδυνο, ανοίγματα εκτός ισολογισμού υποκείμενα σε πιστ</w:t>
            </w:r>
            <w:r>
              <w:t>ω</w:t>
            </w:r>
            <w:r>
              <w:t xml:space="preserve">τικό κίνδυνο και ανοίγματα υποκείμενα σε πιστωτικό κίνδυνο αντισυμβαλλομένου. </w:t>
            </w:r>
          </w:p>
          <w:p w:rsidR="00464F34" w:rsidRPr="00392FFD" w:rsidRDefault="00464F34" w:rsidP="00FD239F">
            <w:pPr>
              <w:pStyle w:val="InstructionsText"/>
            </w:pPr>
            <w:r>
              <w:t>Οι θέσεις πιστωτικού κινδύνου αντισυμβαλλομένου στο «χαρτοφυλάκιο συναλλαγών» του αναφέροντος ιδρύματος, σύμφωνα με το άρθρο 92 παράγραφος 3 στοιχείο στ) και το άρθρο 299 παράγραφος 2 του ΚΚΑ, κατατάσσονται στα ανοίγματα που υπόκεινται σε πιστωτικό κίνδυνο αντισυμβαλλομένου. Τα ιδρύματα που εφαρμόζουν το άρθρο 94 παράγραφος 1 του ΚΚΑ κατανέμουν επίσης τις θέσεις «εντός χαρτοφυλακίου συνα</w:t>
            </w:r>
            <w:r>
              <w:t>λ</w:t>
            </w:r>
            <w:r>
              <w:t>λαγών», σύμφωνα με τα κριτήρια που αναφέρονται παρακάτω, σε ανοίγματα εντός ισ</w:t>
            </w:r>
            <w:r>
              <w:t>ο</w:t>
            </w:r>
            <w:r>
              <w:t>λογισμού υποκείμενα σε πιστωτικό κίνδυνο, ανοίγματα εκτός ισολογισμού υποκείμενα σε πιστωτικό κίνδυνο και ανοίγματα υποκείμενα σε πιστωτικό κίνδυνο αντισυμβαλλ</w:t>
            </w:r>
            <w:r>
              <w:t>ο</w:t>
            </w:r>
            <w:r>
              <w:t>μένου.</w:t>
            </w:r>
          </w:p>
        </w:tc>
      </w:tr>
      <w:tr w:rsidR="00464F34" w:rsidRPr="00392FFD" w:rsidTr="00672D2A">
        <w:tc>
          <w:tcPr>
            <w:tcW w:w="1188" w:type="dxa"/>
          </w:tcPr>
          <w:p w:rsidR="00464F34" w:rsidRPr="00392FFD" w:rsidRDefault="00462BAB" w:rsidP="00FD239F">
            <w:pPr>
              <w:pStyle w:val="InstructionsText"/>
            </w:pPr>
            <w:r>
              <w:t>070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Ανοίγματα εντός ισολογισμού που υπόκεινται σε πιστωτικό κίνδυνο </w:t>
            </w:r>
          </w:p>
          <w:p w:rsidR="00464F34" w:rsidRPr="00392FFD" w:rsidRDefault="00464F34" w:rsidP="00FD239F">
            <w:pPr>
              <w:pStyle w:val="InstructionsText"/>
            </w:pPr>
            <w:r>
              <w:t>Στοιχεία ενεργητικού που αναφέρονται στο άρθρο 24 του ΚΚΑ και δεν περιλαμβάν</w:t>
            </w:r>
            <w:r>
              <w:t>ο</w:t>
            </w:r>
            <w:r>
              <w:t>νται σε καμία άλλη κατηγορία.</w:t>
            </w:r>
          </w:p>
          <w:p w:rsidR="00464F34" w:rsidRPr="00392FFD" w:rsidRDefault="00464F34" w:rsidP="00FD239F">
            <w:pPr>
              <w:pStyle w:val="InstructionsText"/>
            </w:pPr>
            <w:r>
              <w:t xml:space="preserve">Τα ανοίγματα που αποτελούν στοιχεία εντός ισολογισμού και που περιλαμβάνονται ως </w:t>
            </w:r>
            <w:r>
              <w:lastRenderedPageBreak/>
              <w:t>συναλλαγές χρηματοδότησης τίτλων, παράγωγα και πράξεις με μακρά προθεσμία δι</w:t>
            </w:r>
            <w:r>
              <w:t>α</w:t>
            </w:r>
            <w:r>
              <w:t>κανονισμού ή από συμβατικό συμψηφισμό μεταξύ προϊόντων αναφέρονται στις γρα</w:t>
            </w:r>
            <w:r>
              <w:t>μ</w:t>
            </w:r>
            <w:r>
              <w:t>μές 090, 110 και 130, επομένως, δεν αναφέρονται στη συγκεκριμένη γραμμή.</w:t>
            </w:r>
          </w:p>
          <w:p w:rsidR="00464F34" w:rsidRPr="00392FFD" w:rsidRDefault="00464F34" w:rsidP="00FD239F">
            <w:pPr>
              <w:pStyle w:val="InstructionsText"/>
            </w:pPr>
            <w:r>
              <w:t>Οι ατελείς συναλλαγές, σύμφωνα με το άρθρο 379 παράγραφος 1 του ΚΚΑ (εάν δεν αφαιρούνται), δεν αποτελούν στοιχείο εντός ισολογισμού, αλλά, μολαταύτα, αναφέρ</w:t>
            </w:r>
            <w:r>
              <w:t>ο</w:t>
            </w:r>
            <w:r>
              <w:t>νται στη συγκεκριμένη γραμμή.</w:t>
            </w:r>
          </w:p>
          <w:p w:rsidR="00464F34" w:rsidRPr="00392FFD" w:rsidRDefault="00464F34" w:rsidP="00FD239F">
            <w:pPr>
              <w:pStyle w:val="InstructionsText"/>
              <w:rPr>
                <w:b/>
                <w:u w:val="single"/>
              </w:rPr>
            </w:pPr>
            <w:r>
              <w:t>Τα ανοίγματα που προκύπτουν από στοιχεία ενεργητικού που παρέχονται σε κεντρικό αντισυμβαλλόμενο, σύμφωνα με το άρθρο 4 σημείο 90) του ΚΚΑ, και τα ανοίγματα σε κεφάλαιο εκκαθάρισης, σύμφωνα με το άρθρο 4 σημείο 89) του ΚΚΑ, περιλαμβάν</w:t>
            </w:r>
            <w:r>
              <w:t>ο</w:t>
            </w:r>
            <w:r>
              <w:t xml:space="preserve">νται, εφόσον δεν αναφέρονται στη γραμμή 030. </w:t>
            </w:r>
          </w:p>
        </w:tc>
      </w:tr>
      <w:tr w:rsidR="00464F34" w:rsidRPr="00392FFD" w:rsidTr="00672D2A">
        <w:tc>
          <w:tcPr>
            <w:tcW w:w="1188" w:type="dxa"/>
          </w:tcPr>
          <w:p w:rsidR="00464F34" w:rsidRPr="00392FFD" w:rsidRDefault="00462BAB" w:rsidP="00FD239F">
            <w:pPr>
              <w:pStyle w:val="InstructionsText"/>
            </w:pPr>
            <w:r>
              <w:lastRenderedPageBreak/>
              <w:t>080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εκτός ισολογισμού που υπόκεινται σε πιστωτικό κίνδυνο</w:t>
            </w:r>
          </w:p>
          <w:p w:rsidR="00464F34" w:rsidRPr="00392FFD" w:rsidRDefault="00464F34" w:rsidP="00FD239F">
            <w:pPr>
              <w:pStyle w:val="InstructionsText"/>
            </w:pPr>
            <w:r>
              <w:t>Οι θέσεις εκτός ισολογισμού περιλαμβάνουν τα στοιχεία που παρατίθενται στο παρά</w:t>
            </w:r>
            <w:r>
              <w:t>ρ</w:t>
            </w:r>
            <w:r>
              <w:t>τημα I του ΚΚΑ.</w:t>
            </w:r>
          </w:p>
          <w:p w:rsidR="00464F34" w:rsidRPr="00392FFD" w:rsidRDefault="00464F34" w:rsidP="00FD239F">
            <w:pPr>
              <w:pStyle w:val="InstructionsText"/>
            </w:pPr>
            <w:r>
              <w:t>Τα ανοίγματα που αποτελούν στοιχεία εκτός ισολογισμού και που περιλαμβάνονται ως συναλλαγές χρηματοδότησης τίτλων, παράγωγα και πράξεις με μακρά προθεσμία δι</w:t>
            </w:r>
            <w:r>
              <w:t>α</w:t>
            </w:r>
            <w:r>
              <w:t>κανονισμού ή από συμβατικό συμψηφισμό μεταξύ προϊόντων αναφέρονται στις γρα</w:t>
            </w:r>
            <w:r>
              <w:t>μ</w:t>
            </w:r>
            <w:r>
              <w:t>μές 040, 060 και, επομένως, δεν αναφέρονται στη συγκεκριμένη γραμμή.</w:t>
            </w:r>
          </w:p>
          <w:p w:rsidR="00464F34" w:rsidRPr="00392FFD" w:rsidRDefault="00464F34" w:rsidP="00FD239F">
            <w:pPr>
              <w:pStyle w:val="InstructionsText"/>
              <w:rPr>
                <w:b/>
                <w:u w:val="single"/>
              </w:rPr>
            </w:pPr>
            <w:r>
              <w:t>Τα ανοίγματα που προκύπτουν από στοιχεία ενεργητικού που παρέχονται σε κεντρικό αντισυμβαλλόμενο, σύμφωνα με το άρθρο 4 σημείο 90) του ΚΚΑ, και τα ανοίγματα σε κεφάλαιο εκκαθάρισης, σύμφωνα με το άρθρο 4 σημείο 89) του ΚΚΑ, περιλαμβάν</w:t>
            </w:r>
            <w:r>
              <w:t>ο</w:t>
            </w:r>
            <w:r>
              <w:t>νται, εφόσον θεωρούνται στοιχεία εκτός ισολογισμού.</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t>090-130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Pr>
                <w:rStyle w:val="InstructionsTabelleberschrift"/>
                <w:rFonts w:ascii="Times New Roman" w:hAnsi="Times New Roman"/>
                <w:sz w:val="24"/>
              </w:rPr>
              <w:t>Ανοίγματα / Συναλλαγές που υπόκεινται σε πιστωτικό κίνδυνο αντισυμβαλλομένου</w:t>
            </w:r>
          </w:p>
        </w:tc>
      </w:tr>
      <w:tr w:rsidR="00464F34" w:rsidRPr="00392FFD" w:rsidTr="00672D2A">
        <w:tc>
          <w:tcPr>
            <w:tcW w:w="1188" w:type="dxa"/>
          </w:tcPr>
          <w:p w:rsidR="00464F34" w:rsidRPr="00392FFD" w:rsidRDefault="00462BAB" w:rsidP="00FD239F">
            <w:pPr>
              <w:pStyle w:val="InstructionsText"/>
            </w:pPr>
            <w:r>
              <w:t>090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 xml:space="preserve">Συναλλαγές χρηματοδότησης τίτλων </w:t>
            </w:r>
          </w:p>
          <w:p w:rsidR="00464F34" w:rsidRPr="00392FFD" w:rsidRDefault="00464F34" w:rsidP="00FD239F">
            <w:pPr>
              <w:pStyle w:val="InstructionsText"/>
            </w:pPr>
            <w:r>
              <w:t>Οι συναλλαγές χρηματοδότησης τίτλων (SFT), όπως ορίζονται στην παράγραφο 17 του εγγράφου της Επιτροπής της Βασιλείας «Εφαρμογή της Βασιλείας ΙΙ σε δραστηριότ</w:t>
            </w:r>
            <w:r>
              <w:t>η</w:t>
            </w:r>
            <w:r>
              <w:t>τες εμπορικής εκμετάλλευσης και αντιμετώπιση των επιπτώσεων της αμοιβαίας αθέτ</w:t>
            </w:r>
            <w:r>
              <w:t>η</w:t>
            </w:r>
            <w:r>
              <w:t>σης», περιλαμβάνουν: i) συμφωνίες πώλησης και επαναγοράς και αγοράς και επαν</w:t>
            </w:r>
            <w:r>
              <w:t>α</w:t>
            </w:r>
            <w:r>
              <w:t>πώλησης που ορίζονται στο άρθρο 4 σημείο 82) του ΚΚΑ, καθώς και πράξεις δανει</w:t>
            </w:r>
            <w:r>
              <w:t>ο</w:t>
            </w:r>
            <w:r>
              <w:t>δοσίας και δανειοληψίας τίτλων ή βασικών εμπορευμάτων· ii) πράξεις δανεισμού περ</w:t>
            </w:r>
            <w:r>
              <w:t>ι</w:t>
            </w:r>
            <w:r>
              <w:t>θωρίων, όπως ορίζονται στο άρθρο 272 σημείο 3) του ΚΚΑ.</w:t>
            </w:r>
          </w:p>
        </w:tc>
      </w:tr>
      <w:tr w:rsidR="00464F34" w:rsidRPr="00392FFD" w:rsidTr="00672D2A">
        <w:tc>
          <w:tcPr>
            <w:tcW w:w="1188" w:type="dxa"/>
          </w:tcPr>
          <w:p w:rsidR="00464F34" w:rsidRPr="00392FFD" w:rsidRDefault="00462BAB" w:rsidP="00FD239F">
            <w:pPr>
              <w:pStyle w:val="InstructionsText"/>
            </w:pPr>
            <w:r>
              <w:t>100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εκκαθαριζόμενες σε κεντρικό επίπεδο μέσω αναγνωρισμένου CCP</w:t>
            </w:r>
          </w:p>
          <w:p w:rsidR="00464F34" w:rsidRPr="00392FFD" w:rsidRDefault="00464F34" w:rsidP="00FD239F">
            <w:pPr>
              <w:pStyle w:val="InstructionsText"/>
            </w:pPr>
            <w:r>
              <w:t>Άρθρο 306 του ΚΚΑ για τους αναγνωρισμένους κεντρικούς αντισυμβαλλομένους σύ</w:t>
            </w:r>
            <w:r>
              <w:t>μ</w:t>
            </w:r>
            <w:r>
              <w:t>φωνα με το άρθρο 4 σημείο 88), σε συνδυασμό με το άρθρο 301 παράγραφος 2 του ΚΚΑ.</w:t>
            </w:r>
          </w:p>
          <w:p w:rsidR="00464F34" w:rsidRPr="00392FFD" w:rsidRDefault="00D02E89" w:rsidP="00FD239F">
            <w:pPr>
              <w:pStyle w:val="InstructionsText"/>
            </w:pPr>
            <w:r>
              <w:t>Εμπορικά ανοίγματα έναντι κεντρικού αντισυμβαλλομένου, σύμφωνα με το άρθρο 4 σημείο 91) του ΚΚΑ.</w:t>
            </w:r>
          </w:p>
        </w:tc>
      </w:tr>
      <w:tr w:rsidR="00464F34" w:rsidRPr="00392FFD" w:rsidTr="00672D2A">
        <w:tc>
          <w:tcPr>
            <w:tcW w:w="1188" w:type="dxa"/>
          </w:tcPr>
          <w:p w:rsidR="00464F34" w:rsidRPr="00392FFD" w:rsidRDefault="00462BAB" w:rsidP="00FD239F">
            <w:pPr>
              <w:pStyle w:val="InstructionsText"/>
            </w:pPr>
            <w:r>
              <w:t>110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Παράγωγα και πράξεις με μακρά προθεσμία διακανονισμού </w:t>
            </w:r>
          </w:p>
          <w:p w:rsidR="00464F34" w:rsidRPr="00392FFD" w:rsidRDefault="00464F34" w:rsidP="00FD239F">
            <w:pPr>
              <w:pStyle w:val="InstructionsText"/>
            </w:pPr>
            <w:r>
              <w:t>Τα παράγωγα περιλαμβάνουν τις συμβάσεις που αναφέρονται στο παράρτημα II του ΚΚΑ.</w:t>
            </w:r>
          </w:p>
          <w:p w:rsidR="00464F34" w:rsidRPr="00392FFD" w:rsidRDefault="00464F34" w:rsidP="00FD239F">
            <w:pPr>
              <w:pStyle w:val="InstructionsText"/>
            </w:pPr>
            <w:r>
              <w:t>Πράξεις με μακρά προθεσμία διακανονισμού, όπως ορίζονται στο άρθρο 272 σημείο 2) του ΚΚΑ.</w:t>
            </w:r>
          </w:p>
          <w:p w:rsidR="00464F34" w:rsidRPr="00392FFD" w:rsidRDefault="00464F34" w:rsidP="00FD239F">
            <w:pPr>
              <w:pStyle w:val="InstructionsText"/>
            </w:pPr>
            <w:r>
              <w:t xml:space="preserve">Τα παράγωγα και οι πράξεις με μακρά προθεσμία διακανονισμού που περιλαμβάνονται σε συμψηφισμό μεταξύ προϊόντων και, επομένως, αναφέρονται στη γραμμή 130 δεν </w:t>
            </w:r>
            <w:r>
              <w:lastRenderedPageBreak/>
              <w:t>αναφέρονται στη συγκεκριμένη γραμμή.</w:t>
            </w:r>
          </w:p>
        </w:tc>
      </w:tr>
      <w:tr w:rsidR="00464F34" w:rsidRPr="00392FFD" w:rsidTr="00672D2A">
        <w:tc>
          <w:tcPr>
            <w:tcW w:w="1188" w:type="dxa"/>
          </w:tcPr>
          <w:p w:rsidR="00464F34" w:rsidRPr="00392FFD" w:rsidRDefault="00462BAB" w:rsidP="00FD239F">
            <w:pPr>
              <w:pStyle w:val="InstructionsText"/>
            </w:pPr>
            <w:r>
              <w:lastRenderedPageBreak/>
              <w:t>120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Εκ των οποίων: εκκαθαριζόμενες σε κεντρικό επίπεδο μέσω αναγνωρισμένου CCP</w:t>
            </w:r>
          </w:p>
          <w:p w:rsidR="00464F34" w:rsidRPr="00392FFD" w:rsidRDefault="00464F34" w:rsidP="00FD239F">
            <w:pPr>
              <w:pStyle w:val="InstructionsText"/>
            </w:pPr>
            <w:r>
              <w:t>Άρθρο 306 του ΚΚΑ για τους αναγνωρισμένους κεντρικούς αντισυμβαλλομένους σύ</w:t>
            </w:r>
            <w:r>
              <w:t>μ</w:t>
            </w:r>
            <w:r>
              <w:t>φωνα με το άρθρο 4 σημείο 88), σε συνδυασμό με το άρθρο 301 παράγραφος 2 του ΚΚΑ.</w:t>
            </w:r>
          </w:p>
          <w:p w:rsidR="00464F34" w:rsidRPr="00392FFD" w:rsidRDefault="00770830" w:rsidP="00FD239F">
            <w:pPr>
              <w:pStyle w:val="InstructionsText"/>
              <w:rPr>
                <w:b/>
                <w:u w:val="single"/>
              </w:rPr>
            </w:pPr>
            <w:r>
              <w:t>Εμπορικά ανοίγματα έναντι κεντρικού αντισυμβαλλομένου, σύμφωνα με το άρθρο 4 σημείο 91) του ΚΚΑ.</w:t>
            </w:r>
          </w:p>
        </w:tc>
      </w:tr>
      <w:tr w:rsidR="00464F34" w:rsidRPr="00392FFD" w:rsidTr="00672D2A">
        <w:tc>
          <w:tcPr>
            <w:tcW w:w="1188" w:type="dxa"/>
          </w:tcPr>
          <w:p w:rsidR="00464F34" w:rsidRPr="00392FFD" w:rsidRDefault="00462BAB" w:rsidP="00FD239F">
            <w:pPr>
              <w:pStyle w:val="InstructionsText"/>
            </w:pPr>
            <w:r>
              <w:t>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Από συμβατικό συμψηφισμό μεταξύ προϊόντων</w:t>
            </w:r>
          </w:p>
          <w:p w:rsidR="00464F34" w:rsidRPr="00392FFD" w:rsidRDefault="00464F34" w:rsidP="00FD239F">
            <w:pPr>
              <w:pStyle w:val="InstructionsText"/>
            </w:pPr>
            <w:r>
              <w:t>Τα ανοίγματα που, λόγω της ύπαρξης συμβατικού συμψηφισμού μεταξύ προϊόντων (</w:t>
            </w:r>
            <w:r>
              <w:t>ό</w:t>
            </w:r>
            <w:r>
              <w:t>πως ορίζεται στο άρθρο 272 σημείο 11) του ΚΚΑ), δεν μπορούν να ταξινομηθούν ούτε στα παράγωγα και τις πράξεις με μακρά προθεσμία διακανονισμού ούτε στις συναλλ</w:t>
            </w:r>
            <w:r>
              <w:t>α</w:t>
            </w:r>
            <w:r>
              <w:t>γές χρηματοδότησης τίτλων, περιλαμβάνονται στη συγκεκριμένη γραμμή.</w:t>
            </w:r>
          </w:p>
        </w:tc>
      </w:tr>
      <w:tr w:rsidR="00464F34" w:rsidRPr="00392FFD" w:rsidTr="00672D2A">
        <w:tc>
          <w:tcPr>
            <w:tcW w:w="1188" w:type="dxa"/>
          </w:tcPr>
          <w:p w:rsidR="00464F34" w:rsidRPr="00392FFD" w:rsidRDefault="00462BAB" w:rsidP="00FD239F">
            <w:pPr>
              <w:pStyle w:val="InstructionsText"/>
            </w:pPr>
            <w:r>
              <w:t>140-280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ΚΑΤΑΝΟΜΗ ΑΝΟΙΓΜΑΤΩΝ ΑΝΑ ΣΥΝΤΕΛΕΣΤΗ ΣΤΑΘΜΙΣΗΣ ΚΙΝΔΥΝΟΥ</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464F34" w:rsidRPr="00392FFD" w:rsidRDefault="00464F34" w:rsidP="00FD239F">
            <w:pPr>
              <w:pStyle w:val="InstructionsText"/>
              <w:rPr>
                <w:b/>
              </w:rPr>
            </w:pPr>
            <w:r>
              <w:t>Άρθρο 306 παράγραφος 1 του ΚΚΑ</w:t>
            </w:r>
          </w:p>
        </w:tc>
      </w:tr>
      <w:tr w:rsidR="00462BAB" w:rsidRPr="00392FFD" w:rsidTr="00672D2A">
        <w:tc>
          <w:tcPr>
            <w:tcW w:w="1188" w:type="dxa"/>
            <w:shd w:val="clear" w:color="auto" w:fill="auto"/>
          </w:tcPr>
          <w:p w:rsidR="00462BAB" w:rsidRPr="00392FFD" w:rsidRDefault="00462BAB" w:rsidP="00FD239F">
            <w:pPr>
              <w:pStyle w:val="InstructionsText"/>
            </w:pPr>
            <w:r>
              <w:t>160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462BAB" w:rsidRPr="00392FFD" w:rsidRDefault="00462BAB" w:rsidP="00FD239F">
            <w:pPr>
              <w:pStyle w:val="InstructionsText"/>
              <w:rPr>
                <w:b/>
                <w:u w:val="single"/>
              </w:rPr>
            </w:pPr>
            <w:r>
              <w:t>Άρθρο 305 παράγραφος 3 του ΚΚΑ</w:t>
            </w:r>
          </w:p>
        </w:tc>
      </w:tr>
      <w:tr w:rsidR="00462BAB" w:rsidRPr="00392FFD" w:rsidTr="00672D2A">
        <w:tc>
          <w:tcPr>
            <w:tcW w:w="1188" w:type="dxa"/>
            <w:shd w:val="clear" w:color="auto" w:fill="auto"/>
          </w:tcPr>
          <w:p w:rsidR="00462BAB" w:rsidRPr="00392FFD" w:rsidRDefault="00462BAB" w:rsidP="00FD239F">
            <w:pPr>
              <w:pStyle w:val="InstructionsText"/>
            </w:pPr>
            <w:r>
              <w:t>170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190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462BAB" w:rsidRPr="00392FFD" w:rsidRDefault="00462BAB" w:rsidP="00FD239F">
            <w:pPr>
              <w:pStyle w:val="InstructionsText"/>
            </w:pPr>
            <w:r>
              <w:t>Άρθρο 232 παράγραφος 3 στοιχείο γ) του ΚΚΑ</w:t>
            </w:r>
          </w:p>
        </w:tc>
      </w:tr>
      <w:tr w:rsidR="00462BAB" w:rsidRPr="00392FFD" w:rsidTr="00672D2A">
        <w:tc>
          <w:tcPr>
            <w:tcW w:w="1188" w:type="dxa"/>
            <w:shd w:val="clear" w:color="auto" w:fill="auto"/>
          </w:tcPr>
          <w:p w:rsidR="00462BAB" w:rsidRPr="00392FFD" w:rsidRDefault="00462BAB" w:rsidP="00FD239F">
            <w:pPr>
              <w:pStyle w:val="InstructionsText"/>
            </w:pPr>
            <w:r>
              <w:t>220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230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240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lastRenderedPageBreak/>
              <w:t>250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462BAB" w:rsidRPr="00392FFD" w:rsidRDefault="00462BAB" w:rsidP="00FD239F">
            <w:pPr>
              <w:pStyle w:val="InstructionsText"/>
            </w:pPr>
            <w:r>
              <w:t>Άρθρο 133 παράγραφος 2 και άρθρο 48 παράγραφος 4 του ΚΚΑ</w:t>
            </w:r>
          </w:p>
        </w:tc>
      </w:tr>
      <w:tr w:rsidR="00462BAB" w:rsidRPr="00392FFD" w:rsidTr="00672D2A">
        <w:tc>
          <w:tcPr>
            <w:tcW w:w="1188" w:type="dxa"/>
            <w:shd w:val="clear" w:color="auto" w:fill="auto"/>
          </w:tcPr>
          <w:p w:rsidR="00462BAB" w:rsidRPr="00392FFD" w:rsidRDefault="00462BAB" w:rsidP="00FD239F">
            <w:pPr>
              <w:pStyle w:val="InstructionsText"/>
            </w:pPr>
            <w:r>
              <w:t>260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462BAB" w:rsidRPr="00392FFD" w:rsidRDefault="00462BAB" w:rsidP="00FD239F">
            <w:pPr>
              <w:pStyle w:val="InstructionsText"/>
              <w:rPr>
                <w:b/>
                <w:u w:val="single"/>
              </w:rPr>
            </w:pPr>
            <w:r>
              <w:t>Άρθρο 471 του ΚΚΑ</w:t>
            </w:r>
          </w:p>
        </w:tc>
      </w:tr>
      <w:tr w:rsidR="00462BAB" w:rsidRPr="00392FFD" w:rsidTr="00672D2A">
        <w:tc>
          <w:tcPr>
            <w:tcW w:w="1188" w:type="dxa"/>
            <w:shd w:val="clear" w:color="auto" w:fill="auto"/>
          </w:tcPr>
          <w:p w:rsidR="00462BAB" w:rsidRPr="00392FFD" w:rsidRDefault="00462BAB" w:rsidP="00FD239F">
            <w:pPr>
              <w:pStyle w:val="InstructionsText"/>
            </w:pPr>
            <w:r>
              <w:t>270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1250 %</w:t>
            </w:r>
          </w:p>
          <w:p w:rsidR="00462BAB" w:rsidRPr="00392FFD" w:rsidRDefault="00462BAB" w:rsidP="00FD239F">
            <w:pPr>
              <w:pStyle w:val="InstructionsText"/>
              <w:rPr>
                <w:b/>
                <w:u w:val="single"/>
              </w:rPr>
            </w:pPr>
            <w:r>
              <w:t>Άρθρο 133 παράγραφος 2, άρθρο 379 του ΚΚΑ</w:t>
            </w:r>
          </w:p>
        </w:tc>
      </w:tr>
      <w:tr w:rsidR="00462BAB" w:rsidRPr="00392FFD" w:rsidTr="00672D2A">
        <w:tc>
          <w:tcPr>
            <w:tcW w:w="1188" w:type="dxa"/>
            <w:shd w:val="clear" w:color="auto" w:fill="auto"/>
          </w:tcPr>
          <w:p w:rsidR="00462BAB" w:rsidRPr="00392FFD" w:rsidRDefault="00462BAB" w:rsidP="00FD239F">
            <w:pPr>
              <w:pStyle w:val="InstructionsText"/>
            </w:pPr>
            <w:r>
              <w:t>280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Άλλοι συντελεστές στάθμισης κινδύνου</w:t>
            </w:r>
          </w:p>
          <w:p w:rsidR="00462BAB" w:rsidRPr="00392FFD" w:rsidRDefault="00462BAB" w:rsidP="00FD239F">
            <w:pPr>
              <w:pStyle w:val="InstructionsText"/>
            </w:pPr>
            <w:r>
              <w:t>Η συγκεκριμένη γραμμή δεν είναι διαθέσιμη για τις κατηγορίες ανοιγμάτων «κυβερν</w:t>
            </w:r>
            <w:r>
              <w:t>ή</w:t>
            </w:r>
            <w:r>
              <w:t>σεις», «επιχειρήσεις», «ιδρύματα» και «λιανική τραπεζική».</w:t>
            </w:r>
          </w:p>
          <w:p w:rsidR="00462BAB" w:rsidRPr="00392FFD" w:rsidRDefault="00462BAB" w:rsidP="00FD239F">
            <w:pPr>
              <w:pStyle w:val="InstructionsText"/>
            </w:pPr>
          </w:p>
          <w:p w:rsidR="00462BAB" w:rsidRPr="00392FFD" w:rsidRDefault="00462BAB" w:rsidP="00FD239F">
            <w:pPr>
              <w:pStyle w:val="InstructionsText"/>
            </w:pPr>
            <w:r>
              <w:t>Για την αναφορά των ανοιγμάτων αυτών που δεν υπόκεινται σε συντελεστές στάθμισης κινδύνου αναφερόμενους στο υπόδειγμα.</w:t>
            </w:r>
          </w:p>
          <w:p w:rsidR="00462BAB" w:rsidRPr="00392FFD" w:rsidRDefault="00462BAB" w:rsidP="00FD239F">
            <w:pPr>
              <w:pStyle w:val="InstructionsText"/>
            </w:pPr>
            <w:r>
              <w:t xml:space="preserve">Άρθρο 113 παράγραφοι 1 έως 5 του ΚΚΑ </w:t>
            </w:r>
          </w:p>
          <w:p w:rsidR="00462BAB" w:rsidRPr="00392FFD" w:rsidRDefault="00462BAB" w:rsidP="00FD239F">
            <w:pPr>
              <w:pStyle w:val="InstructionsText"/>
            </w:pPr>
          </w:p>
          <w:p w:rsidR="00462BAB" w:rsidRPr="00392FFD" w:rsidRDefault="00462BAB" w:rsidP="00FD239F">
            <w:pPr>
              <w:pStyle w:val="InstructionsText"/>
            </w:pPr>
            <w:r>
              <w:t>Τα μη διαβαθμισμένα πιστωτικά παράγωγα νιοστού βαθμού αθέτησης βάσει της τυπ</w:t>
            </w:r>
            <w:r>
              <w:t>ο</w:t>
            </w:r>
            <w:r>
              <w:t>ποιημένης προσέγγισης (άρθρο 134 παράγραφος 6 του ΚΚΑ) αναφέρονται στη συγκ</w:t>
            </w:r>
            <w:r>
              <w:t>ε</w:t>
            </w:r>
            <w:r>
              <w:t>κριμένη γραμμή στην κατηγορία ανοιγμάτων «άλλα στοιχεία».</w:t>
            </w:r>
          </w:p>
          <w:p w:rsidR="00462BAB" w:rsidRPr="00392FFD" w:rsidRDefault="00462BAB" w:rsidP="00FD239F">
            <w:pPr>
              <w:pStyle w:val="InstructionsText"/>
            </w:pPr>
            <w:r>
              <w:t xml:space="preserve">Βλέπε επίσης άρθρο 124 παράγραφος 2 και άρθρο 152 παράγραφος 2 στοιχείο β) του ΚΚΑ. </w:t>
            </w:r>
          </w:p>
        </w:tc>
      </w:tr>
      <w:tr w:rsidR="00462BAB" w:rsidRPr="00392FFD" w:rsidTr="00672D2A">
        <w:tc>
          <w:tcPr>
            <w:tcW w:w="1188" w:type="dxa"/>
            <w:shd w:val="clear" w:color="auto" w:fill="auto"/>
          </w:tcPr>
          <w:p w:rsidR="00462BAB" w:rsidRPr="00392FFD" w:rsidRDefault="00462BAB" w:rsidP="00FD239F">
            <w:pPr>
              <w:pStyle w:val="InstructionsText"/>
            </w:pPr>
            <w:r>
              <w:t>290-320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Υπομνηματικά στοιχεία</w:t>
            </w:r>
          </w:p>
          <w:p w:rsidR="00462BAB" w:rsidRPr="00392FFD" w:rsidRDefault="00462BAB" w:rsidP="00FD239F">
            <w:pPr>
              <w:pStyle w:val="InstructionsText"/>
              <w:rPr>
                <w:b/>
                <w:u w:val="single"/>
              </w:rPr>
            </w:pPr>
            <w:r>
              <w:t>Βλέπε επίσης επεξήγηση του σκοπού των υπομνηματικών στοιχείων στη γενική ενότ</w:t>
            </w:r>
            <w:r>
              <w:t>η</w:t>
            </w:r>
            <w:r>
              <w:t>τα του υποδείγματος CR SA.</w:t>
            </w:r>
          </w:p>
        </w:tc>
      </w:tr>
      <w:tr w:rsidR="00462BAB" w:rsidRPr="00392FFD" w:rsidTr="00672D2A">
        <w:tc>
          <w:tcPr>
            <w:tcW w:w="1188" w:type="dxa"/>
            <w:shd w:val="clear" w:color="auto" w:fill="auto"/>
          </w:tcPr>
          <w:p w:rsidR="00462BAB" w:rsidRPr="00392FFD" w:rsidRDefault="00462BAB" w:rsidP="00FD239F">
            <w:pPr>
              <w:pStyle w:val="InstructionsText"/>
            </w:pPr>
            <w:r>
              <w:t>290</w:t>
            </w:r>
          </w:p>
          <w:p w:rsidR="00462BAB" w:rsidRPr="00392FFD" w:rsidRDefault="00462BAB" w:rsidP="00FD239F">
            <w:pPr>
              <w:pStyle w:val="InstructionsText"/>
            </w:pP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εξασφαλισμένα με υποθήκες επί εμπορικής ακίνητης περιουσίας</w:t>
            </w:r>
          </w:p>
          <w:p w:rsidR="00462BAB" w:rsidRPr="00392FFD" w:rsidRDefault="00462BAB" w:rsidP="00FD239F">
            <w:pPr>
              <w:pStyle w:val="InstructionsText"/>
            </w:pPr>
            <w:r>
              <w:t>Άρθρο 112 στοιχείο θ) του ΚΚΑ</w:t>
            </w:r>
          </w:p>
          <w:p w:rsidR="00462BAB" w:rsidRPr="00392FFD" w:rsidRDefault="00462BAB" w:rsidP="00FD239F">
            <w:pPr>
              <w:pStyle w:val="InstructionsText"/>
            </w:pPr>
            <w:r>
              <w:t>Πρόκειται για υπομνηματικό στοιχείο μόνο. Ανεξαρτήτως του υπολογισμού των ποσών ανοίγματος σε κίνδυνο ανοιγμάτων που εξασφαλίζονται με εμπορική ακίνητη περιο</w:t>
            </w:r>
            <w:r>
              <w:t>υ</w:t>
            </w:r>
            <w:r>
              <w:t>σία, σύμφωνα με τα άρθρα 124 και 126 του ΚΚΑ, τα ανοίγματα αναλύονται και αν</w:t>
            </w:r>
            <w:r>
              <w:t>α</w:t>
            </w:r>
            <w:r>
              <w:t>φέρονται στη συγκεκριμένη γραμμή βάσει κριτηρίων σχετικά με το αν τα ανοίγματα ε</w:t>
            </w:r>
            <w:r>
              <w:t>ί</w:t>
            </w:r>
            <w:r>
              <w:t>ναι εξασφαλισμένα με εμπορική ακίνητη περιουσία.</w:t>
            </w:r>
          </w:p>
        </w:tc>
      </w:tr>
      <w:tr w:rsidR="00462BAB" w:rsidRPr="00392FFD" w:rsidTr="00672D2A">
        <w:tc>
          <w:tcPr>
            <w:tcW w:w="1188" w:type="dxa"/>
            <w:shd w:val="clear" w:color="auto" w:fill="auto"/>
          </w:tcPr>
          <w:p w:rsidR="00462BAB" w:rsidRPr="00392FFD" w:rsidRDefault="00462BAB" w:rsidP="00FD239F">
            <w:pPr>
              <w:pStyle w:val="InstructionsText"/>
            </w:pPr>
            <w:r>
              <w:t>300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σε αθέτηση που υπόκεινται σε συντελεστή στάθμισης κινδύνου 100 %</w:t>
            </w:r>
          </w:p>
          <w:p w:rsidR="00462BAB" w:rsidRPr="00392FFD" w:rsidRDefault="00462BAB" w:rsidP="00FD239F">
            <w:pPr>
              <w:pStyle w:val="InstructionsText"/>
            </w:pPr>
            <w:r>
              <w:t>Άρθρο 112 στοιχείο ι) του ΚΚΑ</w:t>
            </w:r>
          </w:p>
          <w:p w:rsidR="00462BAB" w:rsidRPr="00392FFD" w:rsidRDefault="00462BAB" w:rsidP="00FD239F">
            <w:pPr>
              <w:pStyle w:val="InstructionsText"/>
            </w:pPr>
            <w:r>
              <w:t>Ανοίγματα που περιλαμβάνονται στην κατηγορία ανοιγμάτων «ανοίγματα σε αθέτ</w:t>
            </w:r>
            <w:r>
              <w:t>η</w:t>
            </w:r>
            <w:r>
              <w:t>ση», τα οποία θα περιλαμβάνονταν στη συγκεκριμένη κατηγορία ανοιγμάτων εάν δεν ήταν σε αθέτηση.</w:t>
            </w:r>
          </w:p>
        </w:tc>
      </w:tr>
      <w:tr w:rsidR="00462BAB" w:rsidRPr="00392FFD" w:rsidTr="00672D2A">
        <w:tc>
          <w:tcPr>
            <w:tcW w:w="1188" w:type="dxa"/>
            <w:shd w:val="clear" w:color="auto" w:fill="auto"/>
          </w:tcPr>
          <w:p w:rsidR="00462BAB" w:rsidRPr="00392FFD" w:rsidRDefault="00462BAB" w:rsidP="00FD239F">
            <w:pPr>
              <w:pStyle w:val="InstructionsText"/>
            </w:pPr>
            <w:r>
              <w:t>310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Ανοίγματα εξασφαλισμένα με υποθήκες επί ακινήτων κατοικίας </w:t>
            </w:r>
          </w:p>
          <w:p w:rsidR="00462BAB" w:rsidRPr="00392FFD" w:rsidRDefault="00462BAB" w:rsidP="00FD239F">
            <w:pPr>
              <w:pStyle w:val="InstructionsText"/>
            </w:pPr>
            <w:r>
              <w:t>Άρθρο 112 στοιχείο θ) του ΚΚΑ</w:t>
            </w:r>
          </w:p>
          <w:p w:rsidR="00462BAB" w:rsidRPr="00392FFD" w:rsidRDefault="00462BAB" w:rsidP="00FD239F">
            <w:pPr>
              <w:pStyle w:val="InstructionsText"/>
              <w:rPr>
                <w:b/>
                <w:u w:val="single"/>
              </w:rPr>
            </w:pPr>
            <w:r>
              <w:t>Πρόκειται για υπομνηματικό στοιχείο μόνο. Ανεξαρτήτως του υπολογισμού των ποσών ανοίγματος σε κίνδυνο ανοιγμάτων που εξασφαλίζονται με υποθήκες επί ακινήτων κ</w:t>
            </w:r>
            <w:r>
              <w:t>α</w:t>
            </w:r>
            <w:r>
              <w:t xml:space="preserve">τοικίας, σύμφωνα με τα άρθρα 124 και 125 του ΚΚΑ, τα ανοίγματα αναλύονται και </w:t>
            </w:r>
            <w:r>
              <w:lastRenderedPageBreak/>
              <w:t>αναφέρονται στη συγκεκριμένη γραμμή βάσει κριτηρίων σχετικά με το αν τα ανοίγμ</w:t>
            </w:r>
            <w:r>
              <w:t>α</w:t>
            </w:r>
            <w:r>
              <w:t>τα είναι εξασφαλισμένα με ακίνητη περιουσία.</w:t>
            </w:r>
          </w:p>
        </w:tc>
      </w:tr>
      <w:tr w:rsidR="00462BAB" w:rsidRPr="00392FFD" w:rsidTr="00672D2A">
        <w:tc>
          <w:tcPr>
            <w:tcW w:w="1188" w:type="dxa"/>
            <w:shd w:val="clear" w:color="auto" w:fill="auto"/>
          </w:tcPr>
          <w:p w:rsidR="00462BAB" w:rsidRPr="00392FFD" w:rsidRDefault="00462BAB" w:rsidP="00FD239F">
            <w:pPr>
              <w:pStyle w:val="InstructionsText"/>
            </w:pPr>
            <w:r>
              <w:lastRenderedPageBreak/>
              <w:t>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Ανοίγματα σε αθέτηση που υπόκεινται σε συντελεστή στάθμισης κινδύνου 150 % </w:t>
            </w:r>
          </w:p>
          <w:p w:rsidR="00462BAB" w:rsidRPr="00392FFD" w:rsidRDefault="00462BAB" w:rsidP="00FD239F">
            <w:pPr>
              <w:pStyle w:val="InstructionsText"/>
            </w:pPr>
            <w:r>
              <w:t>Άρθρο 112 στοιχείο ι) του ΚΚΑ</w:t>
            </w:r>
          </w:p>
          <w:p w:rsidR="00462BAB" w:rsidRPr="00392FFD" w:rsidRDefault="00462BAB" w:rsidP="00FD239F">
            <w:pPr>
              <w:pStyle w:val="InstructionsText"/>
            </w:pPr>
            <w:r>
              <w:t>Ανοίγματα που περιλαμβάνονται στην κατηγορία ανοιγμάτων «ανοίγματα σε αθέτ</w:t>
            </w:r>
            <w:r>
              <w:t>η</w:t>
            </w:r>
            <w:r>
              <w:t>ση», τα οποία θα περιλαμβάνονταν στη συγκεκριμένη κατηγορία ανοιγμάτων εάν δεν ήταν σε αθέτηση.</w:t>
            </w:r>
          </w:p>
        </w:tc>
      </w:tr>
    </w:tbl>
    <w:p w:rsidR="001C7AB7" w:rsidRPr="00392FFD" w:rsidRDefault="001C7AB7">
      <w:pPr>
        <w:spacing w:before="0" w:after="0"/>
        <w:jc w:val="left"/>
        <w:rPr>
          <w:rFonts w:ascii="Times New Roman" w:hAnsi="Times New Roman"/>
          <w:bCs/>
          <w:sz w:val="24"/>
        </w:rPr>
      </w:pP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16" w:name="_Toc360188357"/>
      <w:bookmarkStart w:id="217" w:name="_Toc516210641"/>
      <w:bookmarkStart w:id="218" w:name="_Toc473560906"/>
      <w:r>
        <w:rPr>
          <w:rFonts w:ascii="Times New Roman" w:hAnsi="Times New Roman"/>
          <w:sz w:val="24"/>
          <w:u w:val="none"/>
        </w:rPr>
        <w:t>3.3.</w:t>
      </w:r>
      <w:r>
        <w:tab/>
      </w:r>
      <w:r>
        <w:rPr>
          <w:rFonts w:ascii="Times New Roman" w:hAnsi="Times New Roman"/>
          <w:sz w:val="24"/>
        </w:rPr>
        <w:t>Πιστωτικός κίνδυνος και πιστωτικός κίνδυνος αντισυμβαλλομένου και ατελείς συνα</w:t>
      </w:r>
      <w:r>
        <w:rPr>
          <w:rFonts w:ascii="Times New Roman" w:hAnsi="Times New Roman"/>
          <w:sz w:val="24"/>
        </w:rPr>
        <w:t>λ</w:t>
      </w:r>
      <w:r>
        <w:rPr>
          <w:rFonts w:ascii="Times New Roman" w:hAnsi="Times New Roman"/>
          <w:sz w:val="24"/>
        </w:rPr>
        <w:t>λαγές: Προσέγγιση IRB για τις απαιτήσεις ιδίων κεφαλαίων</w:t>
      </w:r>
      <w:bookmarkEnd w:id="216"/>
      <w:r>
        <w:rPr>
          <w:rFonts w:ascii="Times New Roman" w:hAnsi="Times New Roman"/>
          <w:sz w:val="24"/>
        </w:rPr>
        <w:t xml:space="preserve"> (CR IRB)</w:t>
      </w:r>
      <w:bookmarkEnd w:id="217"/>
      <w:bookmarkEnd w:id="218"/>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516210642"/>
      <w:bookmarkStart w:id="221" w:name="_Toc473560907"/>
      <w:r>
        <w:rPr>
          <w:rFonts w:ascii="Times New Roman" w:hAnsi="Times New Roman"/>
          <w:sz w:val="24"/>
          <w:u w:val="none"/>
        </w:rPr>
        <w:t>3.3.1.</w:t>
      </w:r>
      <w:r>
        <w:tab/>
      </w:r>
      <w:r>
        <w:rPr>
          <w:rFonts w:ascii="Times New Roman" w:hAnsi="Times New Roman"/>
          <w:sz w:val="24"/>
        </w:rPr>
        <w:t>Πεδίο εφαρμογής του υποδείγματος CR IRB</w:t>
      </w:r>
      <w:bookmarkEnd w:id="219"/>
      <w:bookmarkEnd w:id="220"/>
      <w:bookmarkEnd w:id="221"/>
    </w:p>
    <w:p w:rsidR="001C7AB7" w:rsidRPr="00392FFD" w:rsidRDefault="00125707" w:rsidP="00C37B29">
      <w:pPr>
        <w:pStyle w:val="InstructionsText2"/>
        <w:numPr>
          <w:ilvl w:val="0"/>
          <w:numId w:val="0"/>
        </w:numPr>
        <w:ind w:left="993"/>
      </w:pPr>
      <w:r>
        <w:t>74.</w:t>
      </w:r>
      <w:r>
        <w:tab/>
        <w:t>Το πεδίο εφαρμογής του υποδείγματος CR IRB καλύπτει απαιτήσεις ιδίων κ</w:t>
      </w:r>
      <w:r>
        <w:t>ε</w:t>
      </w:r>
      <w:r>
        <w:t>φαλαίων για τα εξής:</w:t>
      </w:r>
    </w:p>
    <w:p w:rsidR="001C7AB7" w:rsidRPr="00392FFD" w:rsidRDefault="00125707" w:rsidP="00C37B29">
      <w:pPr>
        <w:pStyle w:val="InstructionsText2"/>
        <w:numPr>
          <w:ilvl w:val="0"/>
          <w:numId w:val="0"/>
        </w:numPr>
        <w:ind w:left="993"/>
      </w:pPr>
      <w:r>
        <w:t>i.</w:t>
      </w:r>
      <w:r>
        <w:tab/>
        <w:t>Πιστωτικό κίνδυνο στο τραπεζικό χαρτοφυλάκιο, που περιλαμβάνει:</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Πιστωτικό κίνδυνο αντισυμβαλλομένου στο τραπεζικό χαρτοφυλ</w:t>
      </w:r>
      <w:r>
        <w:rPr>
          <w:rFonts w:ascii="Times New Roman" w:hAnsi="Times New Roman"/>
          <w:sz w:val="24"/>
        </w:rPr>
        <w:t>ά</w:t>
      </w:r>
      <w:r>
        <w:rPr>
          <w:rFonts w:ascii="Times New Roman" w:hAnsi="Times New Roman"/>
          <w:sz w:val="24"/>
        </w:rPr>
        <w:t>κιο·</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Κίνδυνο απομείωσης αξίας για τις αποκτηθείσες εισπρακτέες απα</w:t>
      </w:r>
      <w:r>
        <w:rPr>
          <w:rFonts w:ascii="Times New Roman" w:hAnsi="Times New Roman"/>
          <w:sz w:val="24"/>
        </w:rPr>
        <w:t>ι</w:t>
      </w:r>
      <w:r>
        <w:rPr>
          <w:rFonts w:ascii="Times New Roman" w:hAnsi="Times New Roman"/>
          <w:sz w:val="24"/>
        </w:rPr>
        <w:t>τήσεις·</w:t>
      </w:r>
    </w:p>
    <w:p w:rsidR="001C7AB7" w:rsidRPr="00392FFD" w:rsidRDefault="00125707" w:rsidP="00C37B29">
      <w:pPr>
        <w:pStyle w:val="InstructionsText2"/>
        <w:numPr>
          <w:ilvl w:val="0"/>
          <w:numId w:val="0"/>
        </w:numPr>
        <w:ind w:left="993"/>
      </w:pPr>
      <w:r>
        <w:t>ii.</w:t>
      </w:r>
      <w:r>
        <w:tab/>
        <w:t>Πιστωτικό κίνδυνο αντισυμβαλλομένου στο χαρτοφυλάκιο συναλλαγών·</w:t>
      </w:r>
    </w:p>
    <w:p w:rsidR="001C7AB7" w:rsidRPr="00392FFD" w:rsidRDefault="00125707" w:rsidP="00C37B29">
      <w:pPr>
        <w:pStyle w:val="InstructionsText2"/>
        <w:numPr>
          <w:ilvl w:val="0"/>
          <w:numId w:val="0"/>
        </w:numPr>
        <w:ind w:left="993"/>
      </w:pPr>
      <w:r>
        <w:t>iii.</w:t>
      </w:r>
      <w:r>
        <w:tab/>
        <w:t>Ατελείς συναλλαγές που προκύπτουν από όλες τις επιχειρηματικές δραστηρι</w:t>
      </w:r>
      <w:r>
        <w:t>ό</w:t>
      </w:r>
      <w:r>
        <w:t>τητες.</w:t>
      </w:r>
    </w:p>
    <w:p w:rsidR="001C7AB7" w:rsidRPr="00392FFD" w:rsidRDefault="00125707" w:rsidP="00C37B29">
      <w:pPr>
        <w:pStyle w:val="InstructionsText2"/>
        <w:numPr>
          <w:ilvl w:val="0"/>
          <w:numId w:val="0"/>
        </w:numPr>
        <w:ind w:left="993"/>
      </w:pPr>
      <w:r>
        <w:t>75.</w:t>
      </w:r>
      <w:r>
        <w:tab/>
        <w:t xml:space="preserve">Το πεδίο εφαρμογής του υποδείγματος αφορά ανοίγματα για τα οποία τα σταθμισμένα ως προς τον κίνδυνο ποσά ανοίγματος υπολογίζονται σύμφωνα με το τρίτο μέρος τίτλος II κεφάλαιο 3 άρθρα 151 έως 157 του ΚΚΑ (προσέγγιση IRB). </w:t>
      </w:r>
    </w:p>
    <w:p w:rsidR="001C7AB7" w:rsidRPr="00392FFD" w:rsidRDefault="00125707" w:rsidP="00C37B29">
      <w:pPr>
        <w:pStyle w:val="InstructionsText2"/>
        <w:numPr>
          <w:ilvl w:val="0"/>
          <w:numId w:val="0"/>
        </w:numPr>
        <w:ind w:left="993"/>
      </w:pPr>
      <w:r>
        <w:t>76.</w:t>
      </w:r>
      <w:r>
        <w:tab/>
        <w:t xml:space="preserve">Το υπόδειγμα CR IRB δεν καλύπτει τα ακόλουθα δεδομένα: </w:t>
      </w:r>
    </w:p>
    <w:p w:rsidR="001C7AB7" w:rsidRPr="00392FFD" w:rsidRDefault="00125707" w:rsidP="00C37B29">
      <w:pPr>
        <w:pStyle w:val="InstructionsText2"/>
        <w:numPr>
          <w:ilvl w:val="0"/>
          <w:numId w:val="0"/>
        </w:numPr>
        <w:ind w:left="993"/>
      </w:pPr>
      <w:r>
        <w:t>i.</w:t>
      </w:r>
      <w:r>
        <w:tab/>
        <w:t xml:space="preserve">Ανοίγματα σε μετοχές, τα οποία αναφέρονται στο υπόδειγμα CR EQU IRB· </w:t>
      </w:r>
    </w:p>
    <w:p w:rsidR="001C7AB7" w:rsidRPr="00392FFD" w:rsidRDefault="00125707" w:rsidP="00C37B29">
      <w:pPr>
        <w:pStyle w:val="InstructionsText2"/>
        <w:numPr>
          <w:ilvl w:val="0"/>
          <w:numId w:val="0"/>
        </w:numPr>
        <w:ind w:left="993"/>
      </w:pPr>
      <w:r>
        <w:t>ii.</w:t>
      </w:r>
      <w:r>
        <w:tab/>
        <w:t xml:space="preserve">Θέσεις τιτλοποίησης, οι οποίες αναφέρονται στα υποδείγματα CR SEC SA, CR SEC IRB και/ή CR SEC </w:t>
      </w:r>
      <w:proofErr w:type="spellStart"/>
      <w:r>
        <w:t>Details</w:t>
      </w:r>
      <w:proofErr w:type="spellEnd"/>
      <w:r>
        <w:t>·</w:t>
      </w:r>
    </w:p>
    <w:p w:rsidR="001C7AB7" w:rsidRPr="00392FFD" w:rsidRDefault="00125707" w:rsidP="00C37B29">
      <w:pPr>
        <w:pStyle w:val="InstructionsText2"/>
        <w:numPr>
          <w:ilvl w:val="0"/>
          <w:numId w:val="0"/>
        </w:numPr>
        <w:ind w:left="993"/>
      </w:pPr>
      <w:r>
        <w:t>iii.</w:t>
      </w:r>
      <w:r>
        <w:tab/>
        <w:t xml:space="preserve"> «Άλλα στοιχεία ενεργητικού που δεν συνιστούν πιστωτικές υποχρεώσεις», σύμφωνα με το άρθρο 147 παράγραφος 2 στοιχείο ζ) του ΚΚΑ. Ο συντελεστής στάθμισης κινδύνου για τη συγκεκριμένη κατηγορία ανοιγμάτων πρέπει να τίθεται οποιαδήποτε στιγμή ίσος με 100 %, με την εξαίρεση των μετρητών στο ταμείο, των εξομοιούμενων με αυτά στοιχείων και των ανοιγμάτων που είναι η υπολειμματική αξία μισθωμένων περιουσιακών στοιχείων, σύμφωνα με το άρθρο 156 του ΚΚΑ. Τα σταθμισμένα ως προς τον κίνδυνο ποσά ανοίγματος για τη συγκεκριμένη κατ</w:t>
      </w:r>
      <w:r>
        <w:t>η</w:t>
      </w:r>
      <w:r>
        <w:t>γορία ανοιγμάτων αναφέρονται απευθείας στο υπόδειγμα CΑ·</w:t>
      </w:r>
    </w:p>
    <w:p w:rsidR="001C7AB7" w:rsidRPr="00392FFD" w:rsidRDefault="00125707" w:rsidP="00C37B29">
      <w:pPr>
        <w:pStyle w:val="InstructionsText2"/>
        <w:numPr>
          <w:ilvl w:val="0"/>
          <w:numId w:val="0"/>
        </w:numPr>
        <w:ind w:left="993"/>
      </w:pPr>
      <w:proofErr w:type="spellStart"/>
      <w:r>
        <w:lastRenderedPageBreak/>
        <w:t>iv</w:t>
      </w:r>
      <w:proofErr w:type="spellEnd"/>
      <w:r>
        <w:t>.</w:t>
      </w:r>
      <w:r>
        <w:tab/>
        <w:t>Κίνδυνος προσαρμογής πιστωτικής αποτίμησης, ο οποίος αναφέρεται στο υπ</w:t>
      </w:r>
      <w:r>
        <w:t>ό</w:t>
      </w:r>
      <w:r>
        <w:t>δειγμα κινδύνου CVΑ.</w:t>
      </w:r>
    </w:p>
    <w:p w:rsidR="001C7AB7" w:rsidRPr="00392FFD"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t>Στο υπόδειγμα CR IRB δεν απαιτείται γεωγραφική κατανομή των ανοιγμάτων IRB με βάση την κατοικία του αντισυμβαλλομένου. Η κατανομή αυτή αναφ</w:t>
      </w:r>
      <w:r>
        <w:rPr>
          <w:rFonts w:ascii="Times New Roman" w:hAnsi="Times New Roman"/>
          <w:sz w:val="24"/>
        </w:rPr>
        <w:t>έ</w:t>
      </w:r>
      <w:r>
        <w:rPr>
          <w:rFonts w:ascii="Times New Roman" w:hAnsi="Times New Roman"/>
          <w:sz w:val="24"/>
        </w:rPr>
        <w:t xml:space="preserve">ρεται στο υπόδειγμα CR GB. </w:t>
      </w:r>
    </w:p>
    <w:p w:rsidR="001C7AB7" w:rsidRPr="00392FFD" w:rsidRDefault="00125707" w:rsidP="00C37B29">
      <w:pPr>
        <w:pStyle w:val="InstructionsText2"/>
        <w:numPr>
          <w:ilvl w:val="0"/>
          <w:numId w:val="0"/>
        </w:numPr>
        <w:ind w:left="993"/>
      </w:pPr>
      <w:r>
        <w:t>77.</w:t>
      </w:r>
      <w:r>
        <w:tab/>
        <w:t>Για να διασαφηνιστεί αν το ίδρυμα χρησιμοποιεί εσωτερικές εκτιμήσεις της ζημίας λόγω αθέτησης (LGD) και/ή των συντελεστών μετατροπής, παρέχονται οι ακόλουθες πληροφορίες για κάθε αναφερόμενη κατηγορία ανοιγμάτων:</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«ΟΧΙ» = εάν χρησιμοποιούνται εποπτικές εκτιμήσεις της ζημίας λόγω αθέτησης (LGD) και των συντελεστών μετατροπής (θεμελιώδης προσέγγιση IRB)</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«ΝΑΙ» = εάν χρησιμοποιούνται εσωτερικές εκτιμήσεις της ζημίας λόγω αθέτησης (LGD) και των συντελεστών μετατροπής (εξελιγμένη προσέγγιση IRB)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Σε κάθε περίπτωση, στην περίπτωση αναφοράς χαρτοφυλακίων λιανικής, πρέπει να δηλώνεται «ΝΑΙ».</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Εάν ένα ίδρυμα χρησιμοποιεί εσωτερικές εκτιμήσεις των ζημιών λόγω αθέτησης για τον υπολογισμό των </w:t>
      </w:r>
      <w:r>
        <w:rPr>
          <w:rStyle w:val="InstructionsTabelleText"/>
          <w:rFonts w:ascii="Times New Roman" w:hAnsi="Times New Roman"/>
          <w:sz w:val="24"/>
        </w:rPr>
        <w:t>σταθμισμένων ως προς τον κίνδυνο ποσών ανοιγμάτων</w:t>
      </w:r>
      <w:r>
        <w:rPr>
          <w:rFonts w:ascii="Times New Roman" w:hAnsi="Times New Roman"/>
          <w:sz w:val="24"/>
        </w:rPr>
        <w:t xml:space="preserve"> για το ένα μέρος των ανοιγμάτων IRB, καθώς και εποπτικές εκτιμήσεις των ζημιών λόγω αθέτ</w:t>
      </w:r>
      <w:r>
        <w:rPr>
          <w:rFonts w:ascii="Times New Roman" w:hAnsi="Times New Roman"/>
          <w:sz w:val="24"/>
        </w:rPr>
        <w:t>η</w:t>
      </w:r>
      <w:r>
        <w:rPr>
          <w:rFonts w:ascii="Times New Roman" w:hAnsi="Times New Roman"/>
          <w:sz w:val="24"/>
        </w:rPr>
        <w:t xml:space="preserve">σης για τον υπολογισμό των </w:t>
      </w:r>
      <w:r>
        <w:rPr>
          <w:rStyle w:val="InstructionsTabelleText"/>
          <w:rFonts w:ascii="Times New Roman" w:hAnsi="Times New Roman"/>
          <w:sz w:val="24"/>
        </w:rPr>
        <w:t>σταθμισμένων ως προς τον κίνδυνο ποσών ανοιγμάτων</w:t>
      </w:r>
      <w:r>
        <w:rPr>
          <w:rFonts w:ascii="Times New Roman" w:hAnsi="Times New Roman"/>
          <w:sz w:val="24"/>
        </w:rPr>
        <w:t xml:space="preserve"> για το έτερο μέρος των ανοιγμάτων IRB, θα πρέπει να αναφερθεί ένα Συνολικό CR IRB για τις θέσεις F-IRB και ένα Συνολικό CR IRB για τις θέσεις A-IRB.</w:t>
      </w: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516210643"/>
      <w:bookmarkStart w:id="229" w:name="_Toc473560908"/>
      <w:r>
        <w:rPr>
          <w:rFonts w:ascii="Times New Roman" w:hAnsi="Times New Roman"/>
          <w:sz w:val="24"/>
          <w:u w:val="none"/>
        </w:rPr>
        <w:t>3.3.2.</w:t>
      </w:r>
      <w:r>
        <w:tab/>
      </w:r>
      <w:r>
        <w:rPr>
          <w:rFonts w:ascii="Times New Roman" w:hAnsi="Times New Roman"/>
          <w:sz w:val="24"/>
        </w:rPr>
        <w:t>Ανάλυση του υποδείγματος CR IRB</w:t>
      </w:r>
      <w:bookmarkEnd w:id="222"/>
      <w:bookmarkEnd w:id="223"/>
      <w:bookmarkEnd w:id="224"/>
      <w:bookmarkEnd w:id="225"/>
      <w:bookmarkEnd w:id="226"/>
      <w:bookmarkEnd w:id="227"/>
      <w:bookmarkEnd w:id="228"/>
      <w:bookmarkEnd w:id="229"/>
    </w:p>
    <w:p w:rsidR="001C7AB7" w:rsidRPr="00392FFD" w:rsidRDefault="00125707" w:rsidP="00C37B29">
      <w:pPr>
        <w:pStyle w:val="InstructionsText2"/>
        <w:numPr>
          <w:ilvl w:val="0"/>
          <w:numId w:val="0"/>
        </w:numPr>
        <w:ind w:left="993"/>
      </w:pPr>
      <w:r>
        <w:t>78.</w:t>
      </w:r>
      <w:r>
        <w:tab/>
        <w:t>Το CR IRB αποτελείται από δύο υποδείγματα. Το CR IRB 1 παρουσιάζει τη γενική επισκόπηση των ανοιγμάτων IRB και των διαφόρων μεθόδων υπολογισμού των συνολικών ποσών ανοίγματος σε κίνδυνο, καθώς και μια κατανομή του συν</w:t>
      </w:r>
      <w:r>
        <w:t>ό</w:t>
      </w:r>
      <w:r>
        <w:t>λου των ανοιγμάτων ανά είδος ανοίγματος. Το CR IRB 2 παρουσιάζει την καταν</w:t>
      </w:r>
      <w:r>
        <w:t>ο</w:t>
      </w:r>
      <w:r>
        <w:t xml:space="preserve">μή των συνολικών ανοιγμάτων που αντιστοιχούν σε βαθμίδες ή ομάδες οφειλέτη. Τα υποδείγματα CR IRB 1 και CR IRB 2 αναφέρονται χωριστά για τις ακόλουθες κατηγορίες ανοιγμάτων και </w:t>
      </w:r>
      <w:proofErr w:type="spellStart"/>
      <w:r>
        <w:t>υποανοιγμάτων</w:t>
      </w:r>
      <w:proofErr w:type="spellEnd"/>
      <w:r>
        <w:t>:</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Σύνολο</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(Πρέπει να αναφέρεται το υπόδειγμα «</w:t>
      </w:r>
      <w:proofErr w:type="spellStart"/>
      <w:r>
        <w:rPr>
          <w:rFonts w:ascii="Times New Roman" w:hAnsi="Times New Roman"/>
          <w:sz w:val="24"/>
        </w:rPr>
        <w:t>Total</w:t>
      </w:r>
      <w:proofErr w:type="spellEnd"/>
      <w:r>
        <w:rPr>
          <w:rFonts w:ascii="Times New Roman" w:hAnsi="Times New Roman"/>
          <w:sz w:val="24"/>
        </w:rPr>
        <w:t>» για τη θεμελιώδη προσέγγιση IRB και, χωριστά, για την εξελιγμένη προσέγγιση IRB.)</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Κεντρικές τράπεζες και κεντρικές κυβερνήσεις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2 στοιχείο α) του ΚΚΑ)</w:t>
      </w:r>
    </w:p>
    <w:p w:rsidR="001C7AB7" w:rsidRPr="0023700C"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Ιδρύματα</w:t>
      </w:r>
    </w:p>
    <w:p w:rsidR="001C7AB7" w:rsidRPr="0023700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(άρθρο 147 παράγραφος 2 στοιχείο β) του ΚΚΑ)</w:t>
      </w:r>
    </w:p>
    <w:p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Επιχειρήσεις – ΜΜΕ</w:t>
      </w:r>
    </w:p>
    <w:p w:rsidR="001C7AB7" w:rsidRPr="001C5CA8"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(άρθρο 147 παράγραφος 2 στοιχείο γ) του ΚΚΑ)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Επιχειρήσεις – Ειδική δανειοδότηση</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8 του ΚΚΑ)</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Επιχειρήσεις – Άλλα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(Όλες οι επιχειρήσεις σύμφωνα με το άρθρο 147 παράγραφος 2 στοιχείο γ) που δεν αναφέρονται στα στοιχεία 4.1 και 4.2).</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lastRenderedPageBreak/>
        <w:t>5.1)</w:t>
      </w:r>
      <w:r>
        <w:tab/>
      </w:r>
      <w:r>
        <w:rPr>
          <w:rFonts w:ascii="Times New Roman" w:hAnsi="Times New Roman"/>
          <w:sz w:val="24"/>
        </w:rPr>
        <w:t>Λιανική τραπεζική – Εξασφάλιση με ακίνητη περιουσία ΜΜΕ</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(Ανοίγματα που αντανακλούν το άρθρο 147 παράγραφος 2 στοιχείο δ), σε συνδυασμό με το άρθρο 154 παράγραφος 3 του ΚΚΑ, που είναι εξασφαλισμ</w:t>
      </w:r>
      <w:r>
        <w:rPr>
          <w:rFonts w:ascii="Times New Roman" w:hAnsi="Times New Roman"/>
          <w:sz w:val="24"/>
        </w:rPr>
        <w:t>έ</w:t>
      </w:r>
      <w:r>
        <w:rPr>
          <w:rFonts w:ascii="Times New Roman" w:hAnsi="Times New Roman"/>
          <w:sz w:val="24"/>
        </w:rPr>
        <w:t>να με ακίνητη περιουσία).</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Λιανική τραπεζική – Εξασφάλιση με ακίνητη περιουσία μη ΜΜΕ</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(Ανοίγματα που αντανακλούν το άρθρο 147 παράγραφος 2 στοιχείο δ) του ΚΚΑ, τα οποία είναι εξασφαλισμένα με ακίνητη περιουσία και δεν αναφέρ</w:t>
      </w:r>
      <w:r>
        <w:rPr>
          <w:rFonts w:ascii="Times New Roman" w:hAnsi="Times New Roman"/>
          <w:sz w:val="24"/>
        </w:rPr>
        <w:t>ο</w:t>
      </w:r>
      <w:r>
        <w:rPr>
          <w:rFonts w:ascii="Times New Roman" w:hAnsi="Times New Roman"/>
          <w:sz w:val="24"/>
        </w:rPr>
        <w:t>νται στο στοιχείο 5.1).</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Λιανική τραπεζική – Αποδεκτά ανακυκλούμενα</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2 στοιχείο δ), σε συνδυασμό με το άρθρο 154 παρ</w:t>
      </w:r>
      <w:r>
        <w:rPr>
          <w:rFonts w:ascii="Times New Roman" w:hAnsi="Times New Roman"/>
          <w:sz w:val="24"/>
        </w:rPr>
        <w:t>ά</w:t>
      </w:r>
      <w:r>
        <w:rPr>
          <w:rFonts w:ascii="Times New Roman" w:hAnsi="Times New Roman"/>
          <w:sz w:val="24"/>
        </w:rPr>
        <w:t xml:space="preserve">γραφος 4 του ΚΚΑ).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Λιανική τραπεζική – Άλλα ΜΜΕ</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2 στοιχείο δ), που δεν αναφέρονται στα στοιχεία 5.1 και 5.3).</w:t>
      </w:r>
    </w:p>
    <w:p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Λιανική τραπεζική – Άλλα μη ΜΜΕ</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2 στοιχείο δ) του ΚΚΑ, που δεν αναφέρονται στα στοιχεία 5.2 και 5.3).</w:t>
      </w:r>
    </w:p>
    <w:p w:rsidR="001C7AB7" w:rsidRPr="00392FFD" w:rsidRDefault="001C7AB7" w:rsidP="001C7AB7">
      <w:pPr>
        <w:autoSpaceDE w:val="0"/>
        <w:autoSpaceDN w:val="0"/>
        <w:adjustRightInd w:val="0"/>
        <w:spacing w:before="0" w:after="240"/>
        <w:jc w:val="left"/>
        <w:rPr>
          <w:rFonts w:ascii="Times New Roman" w:hAnsi="Times New Roman"/>
          <w:sz w:val="24"/>
        </w:rPr>
      </w:pPr>
    </w:p>
    <w:p w:rsidR="00206687" w:rsidRPr="00392FFD" w:rsidRDefault="00125707" w:rsidP="0023700C">
      <w:pPr>
        <w:pStyle w:val="Instructionsberschrift2"/>
        <w:numPr>
          <w:ilvl w:val="0"/>
          <w:numId w:val="0"/>
        </w:numPr>
        <w:ind w:left="357" w:hanging="357"/>
        <w:rPr>
          <w:rFonts w:ascii="Times New Roman" w:hAnsi="Times New Roman" w:cs="Times New Roman"/>
          <w:sz w:val="24"/>
        </w:rPr>
      </w:pPr>
      <w:bookmarkStart w:id="230" w:name="_Toc516210644"/>
      <w:bookmarkStart w:id="231" w:name="_Toc473560909"/>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r>
        <w:rPr>
          <w:rFonts w:ascii="Times New Roman" w:hAnsi="Times New Roman"/>
          <w:sz w:val="24"/>
          <w:u w:val="none"/>
        </w:rPr>
        <w:t>3.3.3.</w:t>
      </w:r>
      <w:r>
        <w:tab/>
      </w:r>
      <w:r>
        <w:rPr>
          <w:rFonts w:ascii="Times New Roman" w:hAnsi="Times New Roman"/>
          <w:sz w:val="24"/>
        </w:rPr>
        <w:t>C 08.01 – Πιστωτικός κίνδυνος και πιστωτικός κίνδυνος αντισυμβαλλομένου και ατ</w:t>
      </w:r>
      <w:r>
        <w:rPr>
          <w:rFonts w:ascii="Times New Roman" w:hAnsi="Times New Roman"/>
          <w:sz w:val="24"/>
        </w:rPr>
        <w:t>ε</w:t>
      </w:r>
      <w:r>
        <w:rPr>
          <w:rFonts w:ascii="Times New Roman" w:hAnsi="Times New Roman"/>
          <w:sz w:val="24"/>
        </w:rPr>
        <w:t>λείς συναλλαγές: Προσέγγιση IRB για τις κεφαλαιακές απαιτήσεις (CR IRB 1)</w:t>
      </w:r>
      <w:bookmarkEnd w:id="230"/>
      <w:bookmarkEnd w:id="231"/>
    </w:p>
    <w:p w:rsidR="001C7AB7" w:rsidRPr="00392FFD" w:rsidRDefault="00125707" w:rsidP="0023700C">
      <w:pPr>
        <w:pStyle w:val="Instructionsberschrift2"/>
        <w:numPr>
          <w:ilvl w:val="0"/>
          <w:numId w:val="0"/>
        </w:numPr>
        <w:ind w:left="709" w:hanging="720"/>
        <w:rPr>
          <w:rFonts w:ascii="Times New Roman" w:hAnsi="Times New Roman" w:cs="Times New Roman"/>
          <w:sz w:val="24"/>
        </w:rPr>
      </w:pPr>
      <w:bookmarkStart w:id="239" w:name="_Toc516210645"/>
      <w:bookmarkStart w:id="240" w:name="_Toc473560910"/>
      <w:r>
        <w:rPr>
          <w:rFonts w:ascii="Times New Roman" w:hAnsi="Times New Roman"/>
          <w:sz w:val="24"/>
          <w:u w:val="none"/>
        </w:rPr>
        <w:t>3.3.3.1</w:t>
      </w:r>
      <w:r>
        <w:tab/>
      </w:r>
      <w:r>
        <w:rPr>
          <w:rFonts w:ascii="Times New Roman" w:hAnsi="Times New Roman"/>
          <w:sz w:val="24"/>
        </w:rPr>
        <w:t>Οδηγίες για συγκεκριμένες θέσεις</w:t>
      </w:r>
      <w:bookmarkEnd w:id="232"/>
      <w:bookmarkEnd w:id="233"/>
      <w:bookmarkEnd w:id="234"/>
      <w:bookmarkEnd w:id="235"/>
      <w:bookmarkEnd w:id="236"/>
      <w:bookmarkEnd w:id="237"/>
      <w:bookmarkEnd w:id="238"/>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Στήλες</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Οδηγίες</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ΣΥΣΤΗΜΑ ΕΣΩΤΕΡΙΚΗΣ ΔΙΑΒΑΘΜΙΣΗΣ/ ΠΙΘΑΝΟΤΗΤΑ ΑΘΕΤΗΣΗΣ (PD) ΠΟΥ ΣΧΕΤΙΖΕΤΑΙ ΜΕ ΤΗ ΒΑΘΜΙΔΑ Ή ΟΜΑΔΑ ΟΦΕΙΛΕΤΗ (%)</w:t>
            </w:r>
          </w:p>
          <w:p w:rsidR="001C7AB7" w:rsidRPr="00392FFD" w:rsidRDefault="001C7AB7" w:rsidP="001C7AB7">
            <w:pPr>
              <w:rPr>
                <w:rFonts w:ascii="Times New Roman" w:hAnsi="Times New Roman"/>
                <w:sz w:val="24"/>
              </w:rPr>
            </w:pPr>
            <w:r>
              <w:rPr>
                <w:rStyle w:val="InstructionsTabelleText"/>
                <w:rFonts w:ascii="Times New Roman" w:hAnsi="Times New Roman"/>
                <w:sz w:val="24"/>
              </w:rPr>
              <w:t>Η αναφερόμενη πιθανότητα αθέτησης που σχετίζεται με τη βαθμίδα ή ομάδα οφειλέτη βασίζεται στις διατάξεις του άρθρου 180 του ΚΚΑ. Για κάθε επιμέρους βαθμίδα ή ομ</w:t>
            </w:r>
            <w:r>
              <w:rPr>
                <w:rStyle w:val="InstructionsTabelleText"/>
                <w:rFonts w:ascii="Times New Roman" w:hAnsi="Times New Roman"/>
                <w:sz w:val="24"/>
              </w:rPr>
              <w:t>ά</w:t>
            </w:r>
            <w:r>
              <w:rPr>
                <w:rStyle w:val="InstructionsTabelleText"/>
                <w:rFonts w:ascii="Times New Roman" w:hAnsi="Times New Roman"/>
                <w:sz w:val="24"/>
              </w:rPr>
              <w:t xml:space="preserve">δα, αναφέρεται η πιθανότητα αθέτησης που σχετίζεται με τη συγκεκριμένη βαθμίδα ή ομάδα οφειλέτη. Για τα αριθμητικά στοιχεία που αντιστοιχούν σε άθροισμα βαθμίδων ή ομάδων οφειλέτη (π.χ. σύνολο ανοιγμάτων), παρέχεται το μέσο σταθμισμένο ως προς το άνοιγμα ύψος των πιθανοτήτων αθέτησης που σχετίζονται με τις βαθμίδες ή ομάδες </w:t>
            </w:r>
            <w:r>
              <w:rPr>
                <w:rStyle w:val="InstructionsTabelleText"/>
                <w:rFonts w:ascii="Times New Roman" w:hAnsi="Times New Roman"/>
                <w:sz w:val="24"/>
              </w:rPr>
              <w:t>ο</w:t>
            </w:r>
            <w:r>
              <w:rPr>
                <w:rStyle w:val="InstructionsTabelleText"/>
                <w:rFonts w:ascii="Times New Roman" w:hAnsi="Times New Roman"/>
                <w:sz w:val="24"/>
              </w:rPr>
              <w:t>φειλέτη που περιλαμβάνονται στο άθροισμα. Η αξία ανοίγματος (στήλη 110) χρησιμ</w:t>
            </w:r>
            <w:r>
              <w:rPr>
                <w:rStyle w:val="InstructionsTabelleText"/>
                <w:rFonts w:ascii="Times New Roman" w:hAnsi="Times New Roman"/>
                <w:sz w:val="24"/>
              </w:rPr>
              <w:t>ο</w:t>
            </w:r>
            <w:r>
              <w:rPr>
                <w:rStyle w:val="InstructionsTabelleText"/>
                <w:rFonts w:ascii="Times New Roman" w:hAnsi="Times New Roman"/>
                <w:sz w:val="24"/>
              </w:rPr>
              <w:t>ποιείται για τον υπολογισμό του μέσου σταθμισμένου ύψους της πιθανότητας αθέτησης</w:t>
            </w:r>
            <w:r>
              <w: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Για κάθε επιμέρους βαθμίδα ή ομάδα, αναφέρεται η πιθανότητα αθέτησης που σχετίζεται με τη συγκεκριμένη βαθμίδα ή ομάδα οφειλέτη. Όλες οι αναφερόμενες παράμετροι κι</w:t>
            </w:r>
            <w:r>
              <w:rPr>
                <w:rStyle w:val="InstructionsTabelleText"/>
                <w:rFonts w:ascii="Times New Roman" w:hAnsi="Times New Roman"/>
                <w:sz w:val="24"/>
              </w:rPr>
              <w:t>ν</w:t>
            </w:r>
            <w:r>
              <w:rPr>
                <w:rStyle w:val="InstructionsTabelleText"/>
                <w:rFonts w:ascii="Times New Roman" w:hAnsi="Times New Roman"/>
                <w:sz w:val="24"/>
              </w:rPr>
              <w:t>δύνου προκύπτουν από τις παραμέτρους κινδύνου που χρησιμοποιούνται στο σύστημα εσωτερικών διαβαθμίσεων που έχει εγκριθεί από την αντίστοιχη αρμόδια αρχή.</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Δεν είναι ούτε σκόπιμη ούτε επιθυμητή η ύπαρξη μιας εποπτικής κύριας κλίμακας. Εάν το αναφέρον ίδρυμα εφαρμόζει μοναδικό σύστημα διαβάθμισης ή μπορεί να αναφέρει στοιχεία σύμφωνα με εσωτερική κύρια κλίμακα, χρησιμοποιείται η συγκεκριμένη κλίμ</w:t>
            </w:r>
            <w:r>
              <w:rPr>
                <w:rStyle w:val="InstructionsTabelleText"/>
                <w:rFonts w:ascii="Times New Roman" w:hAnsi="Times New Roman"/>
                <w:sz w:val="24"/>
              </w:rPr>
              <w:t>α</w:t>
            </w:r>
            <w:r>
              <w:rPr>
                <w:rStyle w:val="InstructionsTabelleText"/>
                <w:rFonts w:ascii="Times New Roman" w:hAnsi="Times New Roman"/>
                <w:sz w:val="24"/>
              </w:rPr>
              <w:t xml:space="preserve">κα.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Σε αντίθετη περίπτωση, τα διάφορα συστήματα διαβάθμισης συγχωνεύονται και κατ</w:t>
            </w:r>
            <w:r>
              <w:rPr>
                <w:rStyle w:val="InstructionsTabelleText"/>
                <w:rFonts w:ascii="Times New Roman" w:hAnsi="Times New Roman"/>
                <w:sz w:val="24"/>
              </w:rPr>
              <w:t>α</w:t>
            </w:r>
            <w:r>
              <w:rPr>
                <w:rStyle w:val="InstructionsTabelleText"/>
                <w:rFonts w:ascii="Times New Roman" w:hAnsi="Times New Roman"/>
                <w:sz w:val="24"/>
              </w:rPr>
              <w:t>τάσσονται βάσει των ακόλουθων κριτηρίων: Οι βαθμίδες οφειλέτη των διαφόρων σ</w:t>
            </w:r>
            <w:r>
              <w:rPr>
                <w:rStyle w:val="InstructionsTabelleText"/>
                <w:rFonts w:ascii="Times New Roman" w:hAnsi="Times New Roman"/>
                <w:sz w:val="24"/>
              </w:rPr>
              <w:t>υ</w:t>
            </w:r>
            <w:r>
              <w:rPr>
                <w:rStyle w:val="InstructionsTabelleText"/>
                <w:rFonts w:ascii="Times New Roman" w:hAnsi="Times New Roman"/>
                <w:sz w:val="24"/>
              </w:rPr>
              <w:t>στημάτων διαβάθμισης ομαδοποιούνται και κατατάσσονται από την κατώτερη πιθανότ</w:t>
            </w:r>
            <w:r>
              <w:rPr>
                <w:rStyle w:val="InstructionsTabelleText"/>
                <w:rFonts w:ascii="Times New Roman" w:hAnsi="Times New Roman"/>
                <w:sz w:val="24"/>
              </w:rPr>
              <w:t>η</w:t>
            </w:r>
            <w:r>
              <w:rPr>
                <w:rStyle w:val="InstructionsTabelleText"/>
                <w:rFonts w:ascii="Times New Roman" w:hAnsi="Times New Roman"/>
                <w:sz w:val="24"/>
              </w:rPr>
              <w:t>τα αθέτησης που σχετίζεται με κάθε βαθμίδα οφειλέτη προς την υψηλότερη. Στην περ</w:t>
            </w:r>
            <w:r>
              <w:rPr>
                <w:rStyle w:val="InstructionsTabelleText"/>
                <w:rFonts w:ascii="Times New Roman" w:hAnsi="Times New Roman"/>
                <w:sz w:val="24"/>
              </w:rPr>
              <w:t>ί</w:t>
            </w:r>
            <w:r>
              <w:rPr>
                <w:rStyle w:val="InstructionsTabelleText"/>
                <w:rFonts w:ascii="Times New Roman" w:hAnsi="Times New Roman"/>
                <w:sz w:val="24"/>
              </w:rPr>
              <w:lastRenderedPageBreak/>
              <w:t>πτωση που το ίδρυμα χρησιμοποιεί μεγάλο αριθμό βαθμίδων ή ομάδων, δύναται να συ</w:t>
            </w:r>
            <w:r>
              <w:rPr>
                <w:rStyle w:val="InstructionsTabelleText"/>
                <w:rFonts w:ascii="Times New Roman" w:hAnsi="Times New Roman"/>
                <w:sz w:val="24"/>
              </w:rPr>
              <w:t>μ</w:t>
            </w:r>
            <w:r>
              <w:rPr>
                <w:rStyle w:val="InstructionsTabelleText"/>
                <w:rFonts w:ascii="Times New Roman" w:hAnsi="Times New Roman"/>
                <w:sz w:val="24"/>
              </w:rPr>
              <w:t>φωνηθεί με τις αρμόδιες αρχές μειωμένος αριθμός βαθμίδων ή ομάδων που θα αναφε</w:t>
            </w:r>
            <w:r>
              <w:rPr>
                <w:rStyle w:val="InstructionsTabelleText"/>
                <w:rFonts w:ascii="Times New Roman" w:hAnsi="Times New Roman"/>
                <w:sz w:val="24"/>
              </w:rPr>
              <w:t>ρ</w:t>
            </w:r>
            <w:r>
              <w:rPr>
                <w:rStyle w:val="InstructionsTabelleText"/>
                <w:rFonts w:ascii="Times New Roman" w:hAnsi="Times New Roman"/>
                <w:sz w:val="24"/>
              </w:rPr>
              <w:t>θούν.</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Τα ιδρύματα επικοινωνούν εκ των προτέρων με την αρμόδια αρχή, εάν επιθυμούν να </w:t>
            </w:r>
            <w:r>
              <w:rPr>
                <w:rStyle w:val="InstructionsTabelleText"/>
                <w:rFonts w:ascii="Times New Roman" w:hAnsi="Times New Roman"/>
                <w:sz w:val="24"/>
              </w:rPr>
              <w:t>α</w:t>
            </w:r>
            <w:r>
              <w:rPr>
                <w:rStyle w:val="InstructionsTabelleText"/>
                <w:rFonts w:ascii="Times New Roman" w:hAnsi="Times New Roman"/>
                <w:sz w:val="24"/>
              </w:rPr>
              <w:t>ναφέρουν διαφορετικό αριθμό βαθμίδων σε σύγκριση με τον εσωτερικό αριθμό βαθμ</w:t>
            </w:r>
            <w:r>
              <w:rPr>
                <w:rStyle w:val="InstructionsTabelleText"/>
                <w:rFonts w:ascii="Times New Roman" w:hAnsi="Times New Roman"/>
                <w:sz w:val="24"/>
              </w:rPr>
              <w:t>ί</w:t>
            </w:r>
            <w:r>
              <w:rPr>
                <w:rStyle w:val="InstructionsTabelleText"/>
                <w:rFonts w:ascii="Times New Roman" w:hAnsi="Times New Roman"/>
                <w:sz w:val="24"/>
              </w:rPr>
              <w:t>δων.</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Για τους σκοπούς στάθμισης του μέσου ύψους της πιθανότητας αθέτησης, χρησιμοποιε</w:t>
            </w:r>
            <w:r>
              <w:rPr>
                <w:rStyle w:val="InstructionsTabelleText"/>
                <w:rFonts w:ascii="Times New Roman" w:hAnsi="Times New Roman"/>
                <w:sz w:val="24"/>
              </w:rPr>
              <w:t>ί</w:t>
            </w:r>
            <w:r>
              <w:rPr>
                <w:rStyle w:val="InstructionsTabelleText"/>
                <w:rFonts w:ascii="Times New Roman" w:hAnsi="Times New Roman"/>
                <w:sz w:val="24"/>
              </w:rPr>
              <w:t>ται η αξία ανοίγματος που αναφέρεται στη στήλη 110. Όλα τα ανοίγματα, συμπεριλα</w:t>
            </w:r>
            <w:r>
              <w:rPr>
                <w:rStyle w:val="InstructionsTabelleText"/>
                <w:rFonts w:ascii="Times New Roman" w:hAnsi="Times New Roman"/>
                <w:sz w:val="24"/>
              </w:rPr>
              <w:t>μ</w:t>
            </w:r>
            <w:r>
              <w:rPr>
                <w:rStyle w:val="InstructionsTabelleText"/>
                <w:rFonts w:ascii="Times New Roman" w:hAnsi="Times New Roman"/>
                <w:sz w:val="24"/>
              </w:rPr>
              <w:t>βανομένων των ανοιγμάτων σε αθέτηση, λαμβάνονται υπόψη στον υπολογισμό του μ</w:t>
            </w:r>
            <w:r>
              <w:rPr>
                <w:rStyle w:val="InstructionsTabelleText"/>
                <w:rFonts w:ascii="Times New Roman" w:hAnsi="Times New Roman"/>
                <w:sz w:val="24"/>
              </w:rPr>
              <w:t>έ</w:t>
            </w:r>
            <w:r>
              <w:rPr>
                <w:rStyle w:val="InstructionsTabelleText"/>
                <w:rFonts w:ascii="Times New Roman" w:hAnsi="Times New Roman"/>
                <w:sz w:val="24"/>
              </w:rPr>
              <w:t>σου σταθμισμένου ως προς το άνοιγμα ύψους της πιθανότητας αθέτησης (π.χ. για το «σύνολο ανοιγμάτων»). Ανοίγματα σε αθέτηση είναι τα ανοίγματα που σχετίζονται με την τελευταία βαθμίδα διαβάθμισης/διαβαθμίσεων με πιθανότητα αθέτησης της τάξης του 100 %.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ΑΡΧΙΚΟ ΑΝΟΙΓΜΑ ΠΡΙΝ ΑΠΟ ΤΟΥΣ ΣΥΝΤΕΛΕΣΤΕΣ ΜΕΤΑΤΡΟΠΗΣ</w:t>
            </w:r>
          </w:p>
          <w:p w:rsidR="001C7AB7" w:rsidRPr="00392FFD" w:rsidRDefault="001C7AB7" w:rsidP="001C7AB7">
            <w:pPr>
              <w:rPr>
                <w:rFonts w:ascii="Times New Roman" w:hAnsi="Times New Roman"/>
                <w:sz w:val="24"/>
              </w:rPr>
            </w:pPr>
            <w:r>
              <w:rPr>
                <w:rFonts w:ascii="Times New Roman" w:hAnsi="Times New Roman"/>
                <w:sz w:val="24"/>
              </w:rPr>
              <w:t>Τα ιδρύματα αναφέρουν την αξία ανοίγματος χωρίς να λαμβάνουν υπόψη οποιεσδήποτε προσαρμογές αξίας, προβλέψεις, αποτελέσματα τεχνικών μείωσης του πιστωτικού κι</w:t>
            </w:r>
            <w:r>
              <w:rPr>
                <w:rFonts w:ascii="Times New Roman" w:hAnsi="Times New Roman"/>
                <w:sz w:val="24"/>
              </w:rPr>
              <w:t>ν</w:t>
            </w:r>
            <w:r>
              <w:rPr>
                <w:rFonts w:ascii="Times New Roman" w:hAnsi="Times New Roman"/>
                <w:sz w:val="24"/>
              </w:rPr>
              <w:t xml:space="preserve">δύνου ή συντελεστές μετατροπής πίστωσης. </w:t>
            </w:r>
          </w:p>
          <w:p w:rsidR="001C7AB7" w:rsidRPr="00392FFD" w:rsidRDefault="001C7AB7" w:rsidP="001C7AB7">
            <w:pPr>
              <w:rPr>
                <w:rFonts w:ascii="Times New Roman" w:hAnsi="Times New Roman"/>
                <w:sz w:val="24"/>
              </w:rPr>
            </w:pPr>
            <w:r>
              <w:rPr>
                <w:rFonts w:ascii="Times New Roman" w:hAnsi="Times New Roman"/>
                <w:sz w:val="24"/>
              </w:rPr>
              <w:t>Η αξία του αρχικού ανοίγματος αναφέρεται σύμφωνα με το άρθρο 24 του ΚΚΑ και το άρθρο 166 παράγραφοι 1 και 2 και 4 έως 7 του ΚΚΑ.</w:t>
            </w:r>
          </w:p>
          <w:p w:rsidR="001C7AB7" w:rsidRPr="00392FFD" w:rsidRDefault="001C7AB7" w:rsidP="001C7AB7">
            <w:pPr>
              <w:rPr>
                <w:rFonts w:ascii="Times New Roman" w:hAnsi="Times New Roman"/>
                <w:sz w:val="24"/>
              </w:rPr>
            </w:pPr>
            <w:r>
              <w:rPr>
                <w:rFonts w:ascii="Times New Roman" w:hAnsi="Times New Roman"/>
                <w:sz w:val="24"/>
              </w:rPr>
              <w:t xml:space="preserve">Το αποτέλεσμα του άρθρου 166 παράγραφος 3 του ΚΚΑ (αποτέλεσμα του συμψηφισμού δανείων και καταθέσεων εντός ισολογισμού) αναφέρεται χωριστά ως χρηματοδοτούμενη πιστωτική προστασία και, επομένως, δεν μειώνει το αρχικό άνοιγμα.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ΕΚ ΤΩΝ ΟΠΟΙΩΝ: ΜΕΓΑΛΕΣ ΟΝΤΟΤΗΤΕΣ ΤΟΥ ΧΡΗΜΑΤΟΠΙΣΤΩΤΙΚΟΥ ΤΟΜΕΑ ΚΑΙ ΜΗ ΡΥΘΜΙΖΟΜΕΝΕΣ ΟΝΤΟΤΗΤΕΣ ΤΟΥ ΧΡΗΜΑΤΟΠΙΣΤ</w:t>
            </w:r>
            <w:r>
              <w:rPr>
                <w:rFonts w:ascii="Times New Roman" w:hAnsi="Times New Roman"/>
                <w:b/>
                <w:sz w:val="24"/>
                <w:u w:val="single"/>
              </w:rPr>
              <w:t>Ω</w:t>
            </w:r>
            <w:r>
              <w:rPr>
                <w:rFonts w:ascii="Times New Roman" w:hAnsi="Times New Roman"/>
                <w:b/>
                <w:sz w:val="24"/>
                <w:u w:val="single"/>
              </w:rPr>
              <w:t>ΤΙΚΟΥ ΤΟΜΕΑ</w:t>
            </w:r>
          </w:p>
          <w:p w:rsidR="001C7AB7" w:rsidRPr="00392FFD" w:rsidRDefault="001C7AB7" w:rsidP="001C7AB7">
            <w:pPr>
              <w:rPr>
                <w:rFonts w:ascii="Times New Roman" w:hAnsi="Times New Roman"/>
                <w:b/>
                <w:sz w:val="24"/>
                <w:u w:val="single"/>
              </w:rPr>
            </w:pPr>
            <w:r>
              <w:rPr>
                <w:rFonts w:ascii="Times New Roman" w:hAnsi="Times New Roman"/>
                <w:sz w:val="24"/>
              </w:rPr>
              <w:t>Κατανομή του αρχικού ανοίγματος πριν από τους συντελεστές μετατροπής για όλα τα ανοίγματα που ορίζονται σύμφωνα με το άρθρο 142 παράγραφοι 4 και 5 του ΚΚΑ, βάσει του υψηλότερου συντελεστή συσχέτισης σύμφωνα με το άρθρο 153 παράγραφος 2 του ΚΚΑ.</w:t>
            </w: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ΤΕΧΝΙΚΕΣ ΜΕΙΩΣΗΣ ΤΟΥ ΠΙΣΤΩΤΙΚΟΥ ΚΙΝΔΥΝΟΥ (CRM) ΜΕ ΑΠΟΤ</w:t>
            </w:r>
            <w:r>
              <w:rPr>
                <w:rFonts w:ascii="Times New Roman" w:hAnsi="Times New Roman"/>
                <w:b/>
                <w:sz w:val="24"/>
                <w:u w:val="single"/>
              </w:rPr>
              <w:t>Ε</w:t>
            </w:r>
            <w:r>
              <w:rPr>
                <w:rFonts w:ascii="Times New Roman" w:hAnsi="Times New Roman"/>
                <w:b/>
                <w:sz w:val="24"/>
                <w:u w:val="single"/>
              </w:rPr>
              <w:t>ΛΕΣΜΑΤΑ ΥΠΟΚΑΤΑΣΤΑΣΗΣ ΣΤΟ ΑΝΟΙΓΜΑ</w:t>
            </w:r>
          </w:p>
          <w:p w:rsidR="001C7AB7" w:rsidRPr="00392FFD" w:rsidRDefault="001C7AB7" w:rsidP="001C7AB7">
            <w:pPr>
              <w:rPr>
                <w:rFonts w:ascii="Times New Roman" w:hAnsi="Times New Roman"/>
                <w:sz w:val="24"/>
              </w:rPr>
            </w:pPr>
            <w:r>
              <w:rPr>
                <w:rFonts w:ascii="Times New Roman" w:hAnsi="Times New Roman"/>
                <w:sz w:val="24"/>
              </w:rPr>
              <w:t>Τεχνικές μείωσης του πιστωτικού κινδύνου, όπως ορίζονται στο άρθρο 4 σημείο 57) του ΚΚΑ, οι οποίες μειώνουν τον πιστωτικό κίνδυνο ενός ανοίγματος ή ανοιγμάτων μέσω της υποκατάστασης των ανοιγμάτων, όπως ορίζεται ακολούθως στην «ΥΠΟΚΑΤ</w:t>
            </w:r>
            <w:r>
              <w:rPr>
                <w:rFonts w:ascii="Times New Roman" w:hAnsi="Times New Roman"/>
                <w:sz w:val="24"/>
              </w:rPr>
              <w:t>Α</w:t>
            </w:r>
            <w:r>
              <w:rPr>
                <w:rFonts w:ascii="Times New Roman" w:hAnsi="Times New Roman"/>
                <w:sz w:val="24"/>
              </w:rPr>
              <w:t>ΣΤΑΣΗ ΑΝΟΙΓΜΑΤΟΣ ΛΟΓΩ ΜΕΙΩΣΗΣ ΤΟΥ ΠΙΣΤΩΤΙΚΟΥ ΚΙΝΔΥΝΟΥ».</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ΜΗ ΧΡΗΜΑΤΟΔΟΤΟΥΜΕΝΗ ΠΙΣΤΩΤΙΚΗ ΠΡΟΣΤΑΣΙΑ</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Μη χρηματοδοτούμενη πιστωτική προστασία: Αξίες, όπως ορίζονται στο άρθρο 4 σημε</w:t>
            </w:r>
            <w:r>
              <w:rPr>
                <w:rStyle w:val="InstructionsTabelleText"/>
                <w:rFonts w:ascii="Times New Roman" w:hAnsi="Times New Roman"/>
                <w:sz w:val="24"/>
              </w:rPr>
              <w:t>ί</w:t>
            </w:r>
            <w:r>
              <w:rPr>
                <w:rStyle w:val="InstructionsTabelleText"/>
                <w:rFonts w:ascii="Times New Roman" w:hAnsi="Times New Roman"/>
                <w:sz w:val="24"/>
              </w:rPr>
              <w:t>ο 59) του ΚΚΑ.</w:t>
            </w:r>
          </w:p>
          <w:p w:rsidR="001C7AB7" w:rsidRPr="00392FFD" w:rsidRDefault="001C7AB7" w:rsidP="001C7AB7">
            <w:pPr>
              <w:rPr>
                <w:rFonts w:ascii="Times New Roman" w:hAnsi="Times New Roman"/>
                <w:sz w:val="24"/>
              </w:rPr>
            </w:pPr>
            <w:r>
              <w:rPr>
                <w:rFonts w:ascii="Times New Roman" w:hAnsi="Times New Roman"/>
                <w:sz w:val="24"/>
              </w:rPr>
              <w:t xml:space="preserve">Εάν μια εξασφάλιση επηρεάζει το άνοιγμα (π.χ. εάν χρησιμοποιείται για τις τεχνικές </w:t>
            </w:r>
            <w:r>
              <w:rPr>
                <w:rFonts w:ascii="Times New Roman" w:hAnsi="Times New Roman"/>
                <w:sz w:val="24"/>
              </w:rPr>
              <w:lastRenderedPageBreak/>
              <w:t>μείωσης του πιστωτικού κινδύνου με αποτελέσματα υποκατάστασης στο άνοιγμα), έχει ως ανώτατο όριο την αξία ανοίγματος.</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ΕΓΓΥΗΣΕΙΣ:</w:t>
            </w:r>
          </w:p>
          <w:p w:rsidR="001C7AB7" w:rsidRPr="00392FFD" w:rsidRDefault="001C7AB7" w:rsidP="001C7AB7">
            <w:pPr>
              <w:jc w:val="left"/>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αναφέρ</w:t>
            </w:r>
            <w:r>
              <w:rPr>
                <w:rFonts w:ascii="Times New Roman" w:hAnsi="Times New Roman"/>
                <w:sz w:val="24"/>
              </w:rPr>
              <w:t>ε</w:t>
            </w:r>
            <w:r>
              <w:rPr>
                <w:rFonts w:ascii="Times New Roman" w:hAnsi="Times New Roman"/>
                <w:sz w:val="24"/>
              </w:rPr>
              <w:t>ται η προσαρμοσμένη αξία (</w:t>
            </w:r>
            <w:proofErr w:type="spellStart"/>
            <w:r>
              <w:rPr>
                <w:rFonts w:ascii="Times New Roman" w:hAnsi="Times New Roman"/>
                <w:sz w:val="24"/>
              </w:rPr>
              <w:t>Ga</w:t>
            </w:r>
            <w:proofErr w:type="spellEnd"/>
            <w:r>
              <w:rPr>
                <w:rFonts w:ascii="Times New Roman" w:hAnsi="Times New Roman"/>
                <w:sz w:val="24"/>
              </w:rPr>
              <w:t>), όπως ορίζεται στο άρθρο 236 του ΚΚΑ.</w:t>
            </w:r>
          </w:p>
          <w:p w:rsidR="001C7AB7" w:rsidRPr="00392FFD" w:rsidRDefault="001C7AB7" w:rsidP="001C7AB7">
            <w:pPr>
              <w:jc w:val="left"/>
              <w:rPr>
                <w:rFonts w:ascii="Times New Roman" w:hAnsi="Times New Roman"/>
                <w:sz w:val="24"/>
              </w:rPr>
            </w:pPr>
            <w:r>
              <w:rPr>
                <w:rFonts w:ascii="Times New Roman" w:hAnsi="Times New Roman"/>
                <w:sz w:val="24"/>
              </w:rPr>
              <w:t>Όταν χρησιμοποιούνται εσωτερικές εκτιμήσεις της ζημίας λόγω αθέτησης (άρθρο 183 του ΚΚΑ, με την εξαίρεση της παραγράφου 3), αναφέρεται η σχετική αξία που χρησιμ</w:t>
            </w:r>
            <w:r>
              <w:rPr>
                <w:rFonts w:ascii="Times New Roman" w:hAnsi="Times New Roman"/>
                <w:sz w:val="24"/>
              </w:rPr>
              <w:t>ο</w:t>
            </w:r>
            <w:r>
              <w:rPr>
                <w:rFonts w:ascii="Times New Roman" w:hAnsi="Times New Roman"/>
                <w:sz w:val="24"/>
              </w:rPr>
              <w:t xml:space="preserve">ποιείται στα εσωτερικά υποδείγματα. </w:t>
            </w:r>
          </w:p>
          <w:p w:rsidR="001C7AB7" w:rsidRPr="00392FFD" w:rsidRDefault="001C7AB7" w:rsidP="001C7AB7">
            <w:pPr>
              <w:jc w:val="left"/>
              <w:rPr>
                <w:rFonts w:ascii="Times New Roman" w:hAnsi="Times New Roman"/>
                <w:sz w:val="24"/>
              </w:rPr>
            </w:pPr>
            <w:r>
              <w:rPr>
                <w:rFonts w:ascii="Times New Roman" w:hAnsi="Times New Roman"/>
                <w:sz w:val="24"/>
              </w:rPr>
              <w:t>Οι εγγυήσεις αναφέρονται στη στήλη 040, όταν δεν πραγματοποιείται προσαρμογή στη ζημία λόγω αθέτησης. Όταν πραγματοποιείται προσαρμογή στη ζημία λόγω αθέτησης, το ποσό της εγγύησης αναφέρεται στη στήλη 150.</w:t>
            </w:r>
          </w:p>
          <w:p w:rsidR="00785F3E" w:rsidRPr="00392FFD" w:rsidRDefault="00785F3E" w:rsidP="001C7AB7">
            <w:pPr>
              <w:jc w:val="left"/>
              <w:rPr>
                <w:rFonts w:ascii="Times New Roman" w:hAnsi="Times New Roman"/>
                <w:sz w:val="24"/>
              </w:rPr>
            </w:pPr>
            <w:r>
              <w:rPr>
                <w:rFonts w:ascii="Times New Roman" w:hAnsi="Times New Roman"/>
                <w:sz w:val="24"/>
              </w:rPr>
              <w:t>Όσον αφορά ανοίγματα υποκείμενα σε αντιμετώπιση αμοιβαίας αθέτησης, η αξία της μη χρηματοδοτούμενης πιστωτικής προστασίας αναφέρεται στη στήλη 220.</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ΠΙΣΤΩΤΙΚΑ ΠΑΡΑΓΩΓΑ:</w:t>
            </w:r>
          </w:p>
          <w:p w:rsidR="001C7AB7" w:rsidRPr="00392FFD" w:rsidRDefault="001C7AB7" w:rsidP="001C7AB7">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αναφέρ</w:t>
            </w:r>
            <w:r>
              <w:rPr>
                <w:rFonts w:ascii="Times New Roman" w:hAnsi="Times New Roman"/>
                <w:sz w:val="24"/>
              </w:rPr>
              <w:t>ε</w:t>
            </w:r>
            <w:r>
              <w:rPr>
                <w:rFonts w:ascii="Times New Roman" w:hAnsi="Times New Roman"/>
                <w:sz w:val="24"/>
              </w:rPr>
              <w:t>ται η προσαρμοσμένη αξία (</w:t>
            </w:r>
            <w:proofErr w:type="spellStart"/>
            <w:r>
              <w:rPr>
                <w:rFonts w:ascii="Times New Roman" w:hAnsi="Times New Roman"/>
                <w:sz w:val="24"/>
              </w:rPr>
              <w:t>Ga</w:t>
            </w:r>
            <w:proofErr w:type="spellEnd"/>
            <w:r>
              <w:rPr>
                <w:rFonts w:ascii="Times New Roman" w:hAnsi="Times New Roman"/>
                <w:sz w:val="24"/>
              </w:rPr>
              <w:t>), όπως ορίζεται στο άρθρο 216 του ΚΚΑ.</w:t>
            </w:r>
          </w:p>
          <w:p w:rsidR="00785F3E" w:rsidRPr="00392FFD" w:rsidRDefault="00785F3E" w:rsidP="001C7AB7">
            <w:pPr>
              <w:rPr>
                <w:rFonts w:ascii="Times New Roman" w:hAnsi="Times New Roman"/>
                <w:sz w:val="24"/>
              </w:rPr>
            </w:pPr>
            <w:r>
              <w:rPr>
                <w:rFonts w:ascii="Times New Roman" w:hAnsi="Times New Roman"/>
                <w:sz w:val="24"/>
              </w:rPr>
              <w:t>Όταν χρησιμοποιούνται εσωτερικές εκτιμήσεις της ζημίας λόγω αθέτησης (άρθρο 183 του ΚΚΑ), αναφέρεται η σχετική αξία που χρησιμοποιείται στα εσωτερικά υποδείγματα.</w:t>
            </w:r>
          </w:p>
          <w:p w:rsidR="001C7AB7" w:rsidRPr="00392FFD" w:rsidRDefault="001C7AB7" w:rsidP="001C7AB7">
            <w:pPr>
              <w:rPr>
                <w:rFonts w:ascii="Times New Roman" w:hAnsi="Times New Roman"/>
                <w:sz w:val="24"/>
              </w:rPr>
            </w:pPr>
            <w:r>
              <w:rPr>
                <w:rFonts w:ascii="Times New Roman" w:hAnsi="Times New Roman"/>
                <w:sz w:val="24"/>
              </w:rPr>
              <w:t>Όταν πραγματοποιείται προσαρμογή στη ζημία λόγω αθέτησης, το ποσό των πιστωτικών παραγώγων αναφέρεται στη στήλη 160.</w:t>
            </w:r>
          </w:p>
          <w:p w:rsidR="001C7AB7" w:rsidRPr="00392FFD" w:rsidRDefault="001C7AB7" w:rsidP="00785F3E">
            <w:pPr>
              <w:jc w:val="left"/>
              <w:rPr>
                <w:rFonts w:ascii="Times New Roman" w:hAnsi="Times New Roman"/>
                <w:sz w:val="24"/>
              </w:rPr>
            </w:pPr>
            <w:r>
              <w:rPr>
                <w:rFonts w:ascii="Times New Roman" w:hAnsi="Times New Roman"/>
                <w:sz w:val="24"/>
              </w:rPr>
              <w:t>Όσον αφορά ανοίγματα υποκείμενα σε αντιμετώπιση αμοιβαίας αθέτησης, η αξία της μη χρηματοδοτούμενης πιστωτικής προστασίας αναφέρεται στη στήλη 220.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ΑΛΛΕΣ ΜΟΡΦΕΣ ΧΡΗΜΑΤΟΔΟΤΟΥΜΕΝΗΣ ΠΙΣΤΩΤΙΚΗΣ ΠΡΟΣΤΑΣΙΑΣ</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t>Εάν μια εξασφάλιση επηρεάζει το άνοιγμα (π.χ. εάν χρησιμοποιείται για τις τεχνικές μείωσης του πιστωτικού κινδύνου με αποτελέσματα υποκατάστασης του ανοίγματος), έχει ως ανώτατο όριο την αξία ανοίγματος.</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Όταν δεν χρησιμοποιούνται εσωτερικές εκτιμήσεις της ζημίας λόγω αθέτησης, εφαρμ</w:t>
            </w:r>
            <w:r>
              <w:rPr>
                <w:rStyle w:val="InstructionsTabelleText"/>
                <w:rFonts w:ascii="Times New Roman" w:hAnsi="Times New Roman"/>
                <w:sz w:val="24"/>
              </w:rPr>
              <w:t>ό</w:t>
            </w:r>
            <w:r>
              <w:rPr>
                <w:rStyle w:val="InstructionsTabelleText"/>
                <w:rFonts w:ascii="Times New Roman" w:hAnsi="Times New Roman"/>
                <w:sz w:val="24"/>
              </w:rPr>
              <w:t>ζεται το άρθρο 232 του ΚΚΑ.</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Όταν χρησιμοποιούνται εσωτερικές εκτιμήσεις της ζημίας λόγω αθέτησης, αναφέρονται εκείνοι οι παράγοντες μείωσης του πιστωτικού κινδύνου που πληρούν τα κριτήρια του άρθρου 212 του ΚΚΑ. Αναφέρεται η σχετική αξία που χρησιμοποιείται στα εσωτερικά υποδείγματα.</w:t>
            </w:r>
          </w:p>
          <w:p w:rsidR="001C7AB7" w:rsidRPr="00392FFD" w:rsidRDefault="001C7AB7" w:rsidP="001C7AB7">
            <w:pPr>
              <w:rPr>
                <w:rFonts w:ascii="Times New Roman" w:hAnsi="Times New Roman"/>
                <w:sz w:val="24"/>
              </w:rPr>
            </w:pPr>
            <w:r>
              <w:rPr>
                <w:rStyle w:val="InstructionsTabelleText"/>
                <w:rFonts w:ascii="Times New Roman" w:hAnsi="Times New Roman"/>
                <w:sz w:val="24"/>
              </w:rPr>
              <w:t>Αναφέρονται στη στήλη 060, όταν η προσαρμογή δεν πραγματοποιείται στη ζημία λόγω αθέτησης. Όταν πραγματοποιείται προσαρμογή στη ζημία λόγω αθέτησης, το ποσό αν</w:t>
            </w:r>
            <w:r>
              <w:rPr>
                <w:rStyle w:val="InstructionsTabelleText"/>
                <w:rFonts w:ascii="Times New Roman" w:hAnsi="Times New Roman"/>
                <w:sz w:val="24"/>
              </w:rPr>
              <w:t>α</w:t>
            </w:r>
            <w:r>
              <w:rPr>
                <w:rStyle w:val="InstructionsTabelleText"/>
                <w:rFonts w:ascii="Times New Roman" w:hAnsi="Times New Roman"/>
                <w:sz w:val="24"/>
              </w:rPr>
              <w:t>φέρεται στη στήλη 170.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070-080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ΥΠΟΚΑΤΑΣΤΑΣΗ ΤΟΥ ΑΝΟΙΓΜΑΤΟΣ ΛΟΓΩ ΤΗΣ ΜΕΙΩΣΗΣ ΤΟΥ ΠΙΣΤ</w:t>
            </w:r>
            <w:r>
              <w:rPr>
                <w:rFonts w:ascii="Times New Roman" w:hAnsi="Times New Roman"/>
                <w:b/>
                <w:sz w:val="24"/>
                <w:u w:val="single"/>
              </w:rPr>
              <w:t>Ω</w:t>
            </w:r>
            <w:r>
              <w:rPr>
                <w:rFonts w:ascii="Times New Roman" w:hAnsi="Times New Roman"/>
                <w:b/>
                <w:sz w:val="24"/>
                <w:u w:val="single"/>
              </w:rPr>
              <w:t>ΤΙΚΟΥ ΚΙΝΔΥΝΟΥ</w:t>
            </w:r>
          </w:p>
          <w:p w:rsidR="001C7AB7" w:rsidRPr="00392FFD" w:rsidRDefault="001C7AB7" w:rsidP="001C7AB7">
            <w:pPr>
              <w:rPr>
                <w:rFonts w:ascii="Times New Roman" w:hAnsi="Times New Roman"/>
                <w:sz w:val="24"/>
              </w:rPr>
            </w:pPr>
            <w:r>
              <w:rPr>
                <w:rFonts w:ascii="Times New Roman" w:hAnsi="Times New Roman"/>
                <w:sz w:val="24"/>
              </w:rPr>
              <w:t>Οι εκροές αντιστοιχούν στο καλυμμένο μέρος του αρχικού ανοίγματος πριν από τους σ</w:t>
            </w:r>
            <w:r>
              <w:rPr>
                <w:rFonts w:ascii="Times New Roman" w:hAnsi="Times New Roman"/>
                <w:sz w:val="24"/>
              </w:rPr>
              <w:t>υ</w:t>
            </w:r>
            <w:r>
              <w:rPr>
                <w:rFonts w:ascii="Times New Roman" w:hAnsi="Times New Roman"/>
                <w:sz w:val="24"/>
              </w:rPr>
              <w:t xml:space="preserve">ντελεστές μετατροπής, το οποίο αφαιρείται από την κατηγορία ανοιγμάτων του οφειλέτη </w:t>
            </w:r>
            <w:r>
              <w:rPr>
                <w:rFonts w:ascii="Times New Roman" w:hAnsi="Times New Roman"/>
                <w:sz w:val="24"/>
              </w:rPr>
              <w:lastRenderedPageBreak/>
              <w:t>και, κατά περίπτωση, από τη βαθμίδα ή ομάδα του οφειλέτη, και στη συνέχεια κατατά</w:t>
            </w:r>
            <w:r>
              <w:rPr>
                <w:rFonts w:ascii="Times New Roman" w:hAnsi="Times New Roman"/>
                <w:sz w:val="24"/>
              </w:rPr>
              <w:t>σ</w:t>
            </w:r>
            <w:r>
              <w:rPr>
                <w:rFonts w:ascii="Times New Roman" w:hAnsi="Times New Roman"/>
                <w:sz w:val="24"/>
              </w:rPr>
              <w:t>σεται στην κατηγορία ανοιγμάτων του παρόχου πιστωτικής προστασίας και, κατά περ</w:t>
            </w:r>
            <w:r>
              <w:rPr>
                <w:rFonts w:ascii="Times New Roman" w:hAnsi="Times New Roman"/>
                <w:sz w:val="24"/>
              </w:rPr>
              <w:t>ί</w:t>
            </w:r>
            <w:r>
              <w:rPr>
                <w:rFonts w:ascii="Times New Roman" w:hAnsi="Times New Roman"/>
                <w:sz w:val="24"/>
              </w:rPr>
              <w:t>πτωση, στη βαθμίδα ή ομάδα του οφειλέτη. Το ποσό αυτό θεωρείται εισροή στην κατ</w:t>
            </w:r>
            <w:r>
              <w:rPr>
                <w:rFonts w:ascii="Times New Roman" w:hAnsi="Times New Roman"/>
                <w:sz w:val="24"/>
              </w:rPr>
              <w:t>η</w:t>
            </w:r>
            <w:r>
              <w:rPr>
                <w:rFonts w:ascii="Times New Roman" w:hAnsi="Times New Roman"/>
                <w:sz w:val="24"/>
              </w:rPr>
              <w:t>γορία ανοιγμάτων του παρόχου πιστωτικής προστασίας και, κατά περίπτωση, στις βα</w:t>
            </w:r>
            <w:r>
              <w:rPr>
                <w:rFonts w:ascii="Times New Roman" w:hAnsi="Times New Roman"/>
                <w:sz w:val="24"/>
              </w:rPr>
              <w:t>θ</w:t>
            </w:r>
            <w:r>
              <w:rPr>
                <w:rFonts w:ascii="Times New Roman" w:hAnsi="Times New Roman"/>
                <w:sz w:val="24"/>
              </w:rPr>
              <w:t>μίδες ή ομάδες του οφειλέτη.</w:t>
            </w:r>
          </w:p>
          <w:p w:rsidR="001C7AB7" w:rsidRPr="00392FFD" w:rsidRDefault="001C7AB7" w:rsidP="001C7AB7">
            <w:pPr>
              <w:rPr>
                <w:rFonts w:ascii="Times New Roman" w:hAnsi="Times New Roman"/>
                <w:b/>
                <w:sz w:val="24"/>
              </w:rPr>
            </w:pPr>
            <w:r>
              <w:rPr>
                <w:rFonts w:ascii="Times New Roman" w:hAnsi="Times New Roman"/>
                <w:sz w:val="24"/>
              </w:rPr>
              <w:t>Οι εισροές και εκροές εντός των ίδιων κατηγοριών ανοιγμάτων και, κατά περίπτωση, των βαθμίδων ή ομάδων οφειλέτη λαμβάνονται επίσης υπόψη.</w:t>
            </w:r>
          </w:p>
          <w:p w:rsidR="001C7AB7" w:rsidRPr="00392FFD" w:rsidRDefault="001C7AB7" w:rsidP="001C7AB7">
            <w:pPr>
              <w:rPr>
                <w:rFonts w:ascii="Times New Roman" w:hAnsi="Times New Roman"/>
                <w:sz w:val="24"/>
              </w:rPr>
            </w:pPr>
            <w:r>
              <w:rPr>
                <w:rFonts w:ascii="Times New Roman" w:hAnsi="Times New Roman"/>
                <w:sz w:val="24"/>
              </w:rPr>
              <w:t>Τα ανοίγματα που προκύπτουν από πιθανές εισροές και εκροές προς και από άλλα υπ</w:t>
            </w:r>
            <w:r>
              <w:rPr>
                <w:rFonts w:ascii="Times New Roman" w:hAnsi="Times New Roman"/>
                <w:sz w:val="24"/>
              </w:rPr>
              <w:t>ο</w:t>
            </w:r>
            <w:r>
              <w:rPr>
                <w:rFonts w:ascii="Times New Roman" w:hAnsi="Times New Roman"/>
                <w:sz w:val="24"/>
              </w:rPr>
              <w:t>δείγματα λαμβάνονται υπόψη.</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ΑΝΟΙΓΜΑ ΜΕΤΑ ΤΑ ΑΠΟΤΕΛΕΣΜΑΤΑ ΥΠΟΚΑΤΑΣΤΑΣΗΣ ΤΗΣ CRΜ ΠΡΙΝ ΑΠΟ ΤΟΥΣ ΣΥΝΤΕΛΕΣΤΕΣ ΜΕΤΑΤΡΟΠΗΣ</w:t>
            </w:r>
          </w:p>
          <w:p w:rsidR="001C7AB7" w:rsidRPr="00392FFD" w:rsidRDefault="001C7AB7" w:rsidP="001C7AB7">
            <w:pPr>
              <w:rPr>
                <w:rFonts w:ascii="Times New Roman" w:hAnsi="Times New Roman"/>
                <w:sz w:val="24"/>
              </w:rPr>
            </w:pPr>
            <w:r>
              <w:rPr>
                <w:rFonts w:ascii="Times New Roman" w:hAnsi="Times New Roman"/>
                <w:sz w:val="24"/>
              </w:rPr>
              <w:t xml:space="preserve">Άνοιγμα που σχετίζεται με την αντίστοιχη βαθμίδα ή ομάδα οφειλέτη και κατηγορία </w:t>
            </w:r>
            <w:r>
              <w:rPr>
                <w:rFonts w:ascii="Times New Roman" w:hAnsi="Times New Roman"/>
                <w:sz w:val="24"/>
              </w:rPr>
              <w:t>α</w:t>
            </w:r>
            <w:r>
              <w:rPr>
                <w:rFonts w:ascii="Times New Roman" w:hAnsi="Times New Roman"/>
                <w:sz w:val="24"/>
              </w:rPr>
              <w:t>νοιγμάτων, αφού ληφθούν υπόψη οι εκροές και οι εισροές λόγω τεχνικών μείωσης του πιστωτικού κινδύνου με αποτελέσματα υποκατάστασης στο άνοιγμα.</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100, 120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Στοιχεία εκτός ισολογισμού </w:t>
            </w:r>
          </w:p>
          <w:p w:rsidR="001C7AB7" w:rsidRPr="00392FFD" w:rsidRDefault="001C7AB7" w:rsidP="001C7AB7">
            <w:pPr>
              <w:rPr>
                <w:rFonts w:ascii="Times New Roman" w:hAnsi="Times New Roman"/>
                <w:sz w:val="24"/>
              </w:rPr>
            </w:pPr>
            <w:r>
              <w:rPr>
                <w:rFonts w:ascii="Times New Roman" w:hAnsi="Times New Roman"/>
                <w:sz w:val="24"/>
              </w:rPr>
              <w:t>Βλέπε οδηγίες για το υπόδειγμα CR-SA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ΑΞΙΑ ΑΝΟΙΓΜΑΤΟΣ</w:t>
            </w:r>
          </w:p>
          <w:p w:rsidR="001C7AB7" w:rsidRPr="00392FFD" w:rsidRDefault="001C7AB7" w:rsidP="001C7AB7">
            <w:pPr>
              <w:rPr>
                <w:rFonts w:ascii="Times New Roman" w:hAnsi="Times New Roman"/>
                <w:sz w:val="24"/>
              </w:rPr>
            </w:pPr>
            <w:r>
              <w:rPr>
                <w:rFonts w:ascii="Times New Roman" w:hAnsi="Times New Roman"/>
                <w:sz w:val="24"/>
              </w:rPr>
              <w:t>Αναφέρεται η αξία σύμφωνα με το άρθρο 166 του ΚΚΑ και το άρθρο 230 παράγραφος 1 δεύτερη περίοδος του ΚΚΑ.</w:t>
            </w:r>
          </w:p>
          <w:p w:rsidR="001C7AB7" w:rsidRPr="00392FFD" w:rsidRDefault="001C7AB7" w:rsidP="001C7AB7">
            <w:pPr>
              <w:rPr>
                <w:rFonts w:ascii="Times New Roman" w:hAnsi="Times New Roman"/>
                <w:sz w:val="24"/>
              </w:rPr>
            </w:pPr>
            <w:r>
              <w:rPr>
                <w:rFonts w:ascii="Times New Roman" w:hAnsi="Times New Roman"/>
                <w:sz w:val="24"/>
              </w:rPr>
              <w:t>Για τα μέσα που ορίζονται στο παράρτημα I, εφαρμόζονται οι συντελεστές μετατροπής (άρθρο 166 παράγραφοι 8 και 10 του ΚΚΑ), ανεξαρτήτως της προσέγγισης που έχει επ</w:t>
            </w:r>
            <w:r>
              <w:rPr>
                <w:rFonts w:ascii="Times New Roman" w:hAnsi="Times New Roman"/>
                <w:sz w:val="24"/>
              </w:rPr>
              <w:t>ι</w:t>
            </w:r>
            <w:r>
              <w:rPr>
                <w:rFonts w:ascii="Times New Roman" w:hAnsi="Times New Roman"/>
                <w:sz w:val="24"/>
              </w:rPr>
              <w:t xml:space="preserve">λέξει το ίδρυμα. </w:t>
            </w:r>
          </w:p>
          <w:p w:rsidR="001C7AB7" w:rsidRPr="00392FFD" w:rsidRDefault="001C7AB7" w:rsidP="001C7AB7">
            <w:pPr>
              <w:rPr>
                <w:rFonts w:ascii="Times New Roman" w:hAnsi="Times New Roman"/>
                <w:sz w:val="24"/>
              </w:rPr>
            </w:pPr>
            <w:r>
              <w:rPr>
                <w:rStyle w:val="InstructionsTabelleText"/>
                <w:rFonts w:ascii="Times New Roman" w:hAnsi="Times New Roman"/>
                <w:sz w:val="24"/>
              </w:rPr>
              <w:t>Για τις γραμμές 040-060 (συναλλαγές χρηματοδότησης τίτλων, παράγωγα, πράξεις με μακρά προθεσμία διακανονισμού και ανοίγματα από συμβατικό συμψηφισμό μεταξύ προϊόντων) βάσει του τρίτου μέρους τίτλος II κεφάλαιο 6 του ΚΚΑ, η αξία ανοίγματος είναι η ίδια με την αξία για τον πιστωτικό κίνδυνο αντισυμβαλλομένου, που υπολογίζ</w:t>
            </w:r>
            <w:r>
              <w:rPr>
                <w:rStyle w:val="InstructionsTabelleText"/>
                <w:rFonts w:ascii="Times New Roman" w:hAnsi="Times New Roman"/>
                <w:sz w:val="24"/>
              </w:rPr>
              <w:t>ε</w:t>
            </w:r>
            <w:r>
              <w:rPr>
                <w:rStyle w:val="InstructionsTabelleText"/>
                <w:rFonts w:ascii="Times New Roman" w:hAnsi="Times New Roman"/>
                <w:sz w:val="24"/>
              </w:rPr>
              <w:t>ται σύμφωνα με τις μεθόδους που προβλέπονται στο τρίτο μέρος τίτλος II κεφάλαιο 6 τμήματα 3, 4, 5, 6 και 7 του ΚΚΑ. Οι τιμές αυτές αναφέρονται στη συγκεκριμένη στήλη και όχι στη στήλη 130 «Εκ των οποίων:  λόγω πιστωτικού κινδύνου αντισυμβαλλομ</w:t>
            </w:r>
            <w:r>
              <w:rPr>
                <w:rStyle w:val="InstructionsTabelleText"/>
                <w:rFonts w:ascii="Times New Roman" w:hAnsi="Times New Roman"/>
                <w:sz w:val="24"/>
              </w:rPr>
              <w:t>έ</w:t>
            </w:r>
            <w:r>
              <w:rPr>
                <w:rStyle w:val="InstructionsTabelleText"/>
                <w:rFonts w:ascii="Times New Roman" w:hAnsi="Times New Roman"/>
                <w:sz w:val="24"/>
              </w:rPr>
              <w:t>νου».</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Λόγω πιστωτικού κινδύνου αντισυμβαλλομένου </w:t>
            </w:r>
          </w:p>
          <w:p w:rsidR="001C7AB7" w:rsidRPr="00392FFD" w:rsidRDefault="001C7AB7" w:rsidP="00FD6CCB">
            <w:pPr>
              <w:rPr>
                <w:rFonts w:ascii="Times New Roman" w:hAnsi="Times New Roman"/>
                <w:sz w:val="24"/>
              </w:rPr>
            </w:pPr>
            <w:r>
              <w:rPr>
                <w:rFonts w:ascii="Times New Roman" w:hAnsi="Times New Roman"/>
                <w:sz w:val="24"/>
              </w:rPr>
              <w:t>Βλέπε οδηγίες για το υπόδειγμα CR SA.</w:t>
            </w:r>
            <w:r>
              <w:rPr>
                <w:rStyle w:val="InstructionsTabelleText"/>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ΕΚ ΤΩΝ ΟΠΟΙΩΝ: ΜΕΓΑΛΕΣ ΟΝΤΟΤΗΤΕΣ ΤΟΥ ΧΡΗΜΑΤΟΠΙΣΤΩΤΙΚΟΥ ΤΟΜΕΑ ΚΑΙ ΜΗ ΡΥΘΜΙΖΟΜΕΝΕΣ ΟΝΤΟΤΗΤΕΣ ΤΟΥ ΧΡΗΜΑΤΟΠΙΣΤ</w:t>
            </w:r>
            <w:r>
              <w:rPr>
                <w:rFonts w:ascii="Times New Roman" w:hAnsi="Times New Roman"/>
                <w:b/>
                <w:sz w:val="24"/>
                <w:u w:val="single"/>
              </w:rPr>
              <w:t>Ω</w:t>
            </w:r>
            <w:r>
              <w:rPr>
                <w:rFonts w:ascii="Times New Roman" w:hAnsi="Times New Roman"/>
                <w:b/>
                <w:sz w:val="24"/>
                <w:u w:val="single"/>
              </w:rPr>
              <w:t>ΤΙΚΟΥ ΤΟΜΕΑ</w:t>
            </w:r>
          </w:p>
          <w:p w:rsidR="001C7AB7" w:rsidRPr="00392FFD" w:rsidRDefault="001C7AB7" w:rsidP="001C7AB7">
            <w:pPr>
              <w:rPr>
                <w:rFonts w:ascii="Times New Roman" w:hAnsi="Times New Roman"/>
                <w:b/>
                <w:sz w:val="24"/>
                <w:u w:val="single"/>
              </w:rPr>
            </w:pPr>
            <w:r>
              <w:rPr>
                <w:rFonts w:ascii="Times New Roman" w:hAnsi="Times New Roman"/>
                <w:sz w:val="24"/>
              </w:rPr>
              <w:t>Ανάλυση της αξίας ανοίγματος για όλα τα ανοίγματα που ορίζονται σύμφωνα με το ά</w:t>
            </w:r>
            <w:r>
              <w:rPr>
                <w:rFonts w:ascii="Times New Roman" w:hAnsi="Times New Roman"/>
                <w:sz w:val="24"/>
              </w:rPr>
              <w:t>ρ</w:t>
            </w:r>
            <w:r>
              <w:rPr>
                <w:rFonts w:ascii="Times New Roman" w:hAnsi="Times New Roman"/>
                <w:sz w:val="24"/>
              </w:rPr>
              <w:t>θρο 142 παράγραφοι 4 και 5 του ΚΚΑ, βάσει του υψηλότερου συντελεστή συσχέτισης σύμφωνα με το άρθρο 153 παράγραφος 2 του ΚΚΑ.</w:t>
            </w:r>
          </w:p>
        </w:tc>
      </w:tr>
      <w:tr w:rsidR="001C7AB7" w:rsidRPr="00392FFD" w:rsidTr="00672D2A">
        <w:trPr>
          <w:trHeight w:val="2109"/>
        </w:trPr>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lastRenderedPageBreak/>
              <w:t>150-210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ΤΕΧΝΙΚΕΣ ΜΕΙΩΣΗΣ ΤΟΥ ΠΙΣΤΩΤΙΚΟΥ ΚΙΝΔΥΝΟΥ ΠΟΥ ΛΑΜΒΑΝ</w:t>
            </w:r>
            <w:r>
              <w:rPr>
                <w:rFonts w:ascii="Times New Roman" w:hAnsi="Times New Roman"/>
                <w:b/>
                <w:sz w:val="24"/>
                <w:u w:val="single"/>
              </w:rPr>
              <w:t>Ο</w:t>
            </w:r>
            <w:r>
              <w:rPr>
                <w:rFonts w:ascii="Times New Roman" w:hAnsi="Times New Roman"/>
                <w:b/>
                <w:sz w:val="24"/>
                <w:u w:val="single"/>
              </w:rPr>
              <w:t>ΝΤΑΙ ΥΠΟΨΗ ΣΕ ΕΚΤΙΜΗΣΕΙΣ ΤΗΣ ΖΗΜΙΑΣ ΛΟΓΩ ΑΘΕΤΗΣΗΣ (LGD) ΕΚΤΟΣ ΑΠΟ ΤΗΝ ΑΝΤΙΜΕΤΩΠΙΣΗ ΑΜΟΙΒΑΙΑΣ ΑΘΕΤΗΣΗΣ</w:t>
            </w:r>
          </w:p>
          <w:p w:rsidR="001C7AB7" w:rsidRPr="00392FFD" w:rsidRDefault="001C7AB7" w:rsidP="001C7AB7">
            <w:pPr>
              <w:rPr>
                <w:rFonts w:ascii="Times New Roman" w:hAnsi="Times New Roman"/>
                <w:sz w:val="24"/>
              </w:rPr>
            </w:pPr>
            <w:r>
              <w:rPr>
                <w:rFonts w:ascii="Times New Roman" w:hAnsi="Times New Roman"/>
                <w:sz w:val="24"/>
              </w:rPr>
              <w:t>Οι τεχνικές μείωσης του πιστωτικού κινδύνου που επηρεάζουν τις ζημίες λόγω αθέτ</w:t>
            </w:r>
            <w:r>
              <w:rPr>
                <w:rFonts w:ascii="Times New Roman" w:hAnsi="Times New Roman"/>
                <w:sz w:val="24"/>
              </w:rPr>
              <w:t>η</w:t>
            </w:r>
            <w:r>
              <w:rPr>
                <w:rFonts w:ascii="Times New Roman" w:hAnsi="Times New Roman"/>
                <w:sz w:val="24"/>
              </w:rPr>
              <w:t xml:space="preserve">σης, λόγω της εφαρμογής του αποτελέσματος υποκατάστασης των τεχνικών μείωσης του πιστωτικού κινδύνου, δεν περιλαμβάνονται στις στήλες αυτές. </w:t>
            </w:r>
          </w:p>
          <w:p w:rsidR="001C7AB7" w:rsidRPr="00392FFD" w:rsidRDefault="00C61FF5" w:rsidP="001C7AB7">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Άρθρο 228 παράγραφος 2, άρθρο 230 παράγραφοι 1 και 2 και άρθρο 231 του ΚΚΑ.</w:t>
            </w:r>
          </w:p>
          <w:p w:rsidR="001C7AB7" w:rsidRPr="00392FFD" w:rsidRDefault="00C61FF5" w:rsidP="001C7AB7">
            <w:pPr>
              <w:rPr>
                <w:rFonts w:ascii="Times New Roman" w:hAnsi="Times New Roman"/>
                <w:sz w:val="24"/>
              </w:rPr>
            </w:pPr>
            <w:r>
              <w:rPr>
                <w:rFonts w:ascii="Times New Roman" w:hAnsi="Times New Roman"/>
                <w:sz w:val="24"/>
              </w:rPr>
              <w:t xml:space="preserve">Όταν χρησιμοποιούνται εσωτερικές εκτιμήσεις της ζημίας λόγω αθέτησης: </w:t>
            </w:r>
          </w:p>
          <w:p w:rsidR="001C7AB7" w:rsidRPr="00392FFD" w:rsidRDefault="001C7AB7" w:rsidP="001C7AB7">
            <w:pPr>
              <w:rPr>
                <w:rFonts w:ascii="Times New Roman" w:hAnsi="Times New Roman"/>
                <w:sz w:val="24"/>
              </w:rPr>
            </w:pPr>
            <w:r>
              <w:rPr>
                <w:rFonts w:ascii="Times New Roman" w:hAnsi="Times New Roman"/>
                <w:sz w:val="24"/>
              </w:rPr>
              <w:t>- Όσον αφορά τη μη χρηματοδοτούμενη πιστωτική προστασία, για ανοίγματα έναντι κ</w:t>
            </w:r>
            <w:r>
              <w:rPr>
                <w:rFonts w:ascii="Times New Roman" w:hAnsi="Times New Roman"/>
                <w:sz w:val="24"/>
              </w:rPr>
              <w:t>ε</w:t>
            </w:r>
            <w:r>
              <w:rPr>
                <w:rFonts w:ascii="Times New Roman" w:hAnsi="Times New Roman"/>
                <w:sz w:val="24"/>
              </w:rPr>
              <w:t>ντρικών κυβερνήσεων και κεντρικών τραπεζών, ιδρυμάτων και επιχειρήσεων: Ά</w:t>
            </w:r>
            <w:r>
              <w:rPr>
                <w:rFonts w:ascii="Times New Roman" w:hAnsi="Times New Roman"/>
                <w:sz w:val="24"/>
              </w:rPr>
              <w:t>ρ</w:t>
            </w:r>
            <w:r>
              <w:rPr>
                <w:rFonts w:ascii="Times New Roman" w:hAnsi="Times New Roman"/>
                <w:sz w:val="24"/>
              </w:rPr>
              <w:t>θρο 161 παράγραφος 3 του ΚΚΑ. Για ανοίγματα λιανικής τραπεζικής, άρθρο 164 παρ</w:t>
            </w:r>
            <w:r>
              <w:rPr>
                <w:rFonts w:ascii="Times New Roman" w:hAnsi="Times New Roman"/>
                <w:sz w:val="24"/>
              </w:rPr>
              <w:t>ά</w:t>
            </w:r>
            <w:r>
              <w:rPr>
                <w:rFonts w:ascii="Times New Roman" w:hAnsi="Times New Roman"/>
                <w:sz w:val="24"/>
              </w:rPr>
              <w:t xml:space="preserve">γραφος 2 του ΚΚΑ. </w:t>
            </w:r>
          </w:p>
          <w:p w:rsidR="001C7AB7" w:rsidRPr="00392FFD" w:rsidRDefault="001C7AB7" w:rsidP="00255BA9">
            <w:pPr>
              <w:rPr>
                <w:rFonts w:ascii="Times New Roman" w:hAnsi="Times New Roman"/>
                <w:b/>
                <w:sz w:val="24"/>
                <w:u w:val="single"/>
              </w:rPr>
            </w:pPr>
            <w:r>
              <w:rPr>
                <w:rFonts w:ascii="Times New Roman" w:hAnsi="Times New Roman"/>
                <w:sz w:val="24"/>
              </w:rPr>
              <w:t>- Όσον αφορά τη χρηματοδοτούμενη πιστωτική προστασία, εξασφαλίσεις που λαμβάν</w:t>
            </w:r>
            <w:r>
              <w:rPr>
                <w:rFonts w:ascii="Times New Roman" w:hAnsi="Times New Roman"/>
                <w:sz w:val="24"/>
              </w:rPr>
              <w:t>ο</w:t>
            </w:r>
            <w:r>
              <w:rPr>
                <w:rFonts w:ascii="Times New Roman" w:hAnsi="Times New Roman"/>
                <w:sz w:val="24"/>
              </w:rPr>
              <w:t>νται υπόψη στις εκτιμήσεις της ζημίας λόγω αθέτησης, σύμφωνα με το άρθρο 181 παρ</w:t>
            </w:r>
            <w:r>
              <w:rPr>
                <w:rFonts w:ascii="Times New Roman" w:hAnsi="Times New Roman"/>
                <w:sz w:val="24"/>
              </w:rPr>
              <w:t>ά</w:t>
            </w:r>
            <w:r>
              <w:rPr>
                <w:rFonts w:ascii="Times New Roman" w:hAnsi="Times New Roman"/>
                <w:sz w:val="24"/>
              </w:rPr>
              <w:t>γραφος 1 στοιχεία ε) και στ) του ΚΚΑ.</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Pr>
                <w:rFonts w:ascii="Times New Roman" w:hAnsi="Times New Roman"/>
                <w:sz w:val="24"/>
              </w:rPr>
              <w:t>150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ΕΓΓΥΗΣΕΙΣ </w:t>
            </w:r>
          </w:p>
          <w:p w:rsidR="001C7AB7" w:rsidRPr="00392FFD" w:rsidRDefault="001C7AB7" w:rsidP="001C7AB7">
            <w:pPr>
              <w:jc w:val="left"/>
              <w:rPr>
                <w:rFonts w:ascii="Times New Roman" w:hAnsi="Times New Roman"/>
                <w:b/>
                <w:sz w:val="24"/>
                <w:u w:val="single"/>
              </w:rPr>
            </w:pPr>
            <w:r>
              <w:rPr>
                <w:rFonts w:ascii="Times New Roman" w:hAnsi="Times New Roman"/>
                <w:sz w:val="24"/>
              </w:rPr>
              <w:t>Βλέπε οδηγίες για τη στήλη 040.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ΠΙΣΤΩΤΙΚΑ ΠΑΡΑΓΩΓΑ </w:t>
            </w:r>
          </w:p>
          <w:p w:rsidR="001C7AB7" w:rsidRPr="00392FFD" w:rsidRDefault="001C7AB7" w:rsidP="001C7AB7">
            <w:pPr>
              <w:rPr>
                <w:rFonts w:ascii="Times New Roman" w:hAnsi="Times New Roman"/>
                <w:sz w:val="24"/>
              </w:rPr>
            </w:pPr>
            <w:r>
              <w:rPr>
                <w:rFonts w:ascii="Times New Roman" w:hAnsi="Times New Roman"/>
                <w:sz w:val="24"/>
              </w:rPr>
              <w:t>Βλέπε οδηγίες για τη στήλη 050.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ΧΡΗΣΙΜΟΠΟΙΟΥΝΤΑΙ ΕΣΩΤΕΡΙΚΕΣ ΕΚΤΙΜΗΣΕΙΣ ΤΗΣ ΖΗΜΙΑΣ ΛΟΓΩ ΑΘΕΤΗΣΗΣ: ΑΛΛΕΣ ΜΟΡΦΕΣ ΧΡΗΜΑΤΟΔΟΤΟΥΜΕΝΗΣ ΠΙΣΤΩΤΙΚΗΣ ΠΡΟΣΤΑΣΙΑΣ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Η σχετική αξία που χρησιμοποιείται στα εσωτερικά υποδείγματα του ιδρύματος.</w:t>
            </w:r>
          </w:p>
          <w:p w:rsidR="001C7AB7" w:rsidRPr="00392FFD" w:rsidRDefault="001C7AB7" w:rsidP="00255BA9">
            <w:pPr>
              <w:rPr>
                <w:rFonts w:ascii="Times New Roman" w:hAnsi="Times New Roman"/>
                <w:sz w:val="24"/>
              </w:rPr>
            </w:pPr>
            <w:r>
              <w:rPr>
                <w:rFonts w:ascii="Times New Roman" w:hAnsi="Times New Roman"/>
                <w:sz w:val="24"/>
              </w:rPr>
              <w:t xml:space="preserve">Εκείνοι οι παράγοντες μείωσης του πιστωτικού κινδύνου που πληρούν τα κριτήρια του άρθρου 212 του ΚΚΑ.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ΕΠΙΛΕΞΙΜΕΣ ΧΡΗΜΑΤΟΟΙΚΟΝΟΜΙΚΕΣ ΕΞΑΣΦΑΛΙΣΕΙΣ</w:t>
            </w:r>
          </w:p>
          <w:p w:rsidR="001C7AB7" w:rsidRPr="00392FFD" w:rsidRDefault="001C7AB7" w:rsidP="001C7AB7">
            <w:pPr>
              <w:rPr>
                <w:rFonts w:ascii="Times New Roman" w:hAnsi="Times New Roman"/>
                <w:sz w:val="24"/>
              </w:rPr>
            </w:pPr>
            <w:r>
              <w:rPr>
                <w:rFonts w:ascii="Times New Roman" w:hAnsi="Times New Roman"/>
                <w:sz w:val="24"/>
              </w:rPr>
              <w:t xml:space="preserve">Για τις πράξεις του χαρτοφυλακίου συναλλαγών, περιλαμβάνει χρηματοοικονομικά μέσα και βασικά εμπορεύματα επιλέξιμα για ανοίγματα του χαρτοφυλακίου συναλλαγών, σύμφωνα με το άρθρο 299 παράγραφος 2 στοιχεία γ) έως στ) του ΚΚΑ. Τα ομόλογα που συνδέονται με τον πιστωτικό κίνδυνο υποκείμενου μέσου και οι θέσεις συμψηφισμού </w:t>
            </w:r>
            <w:r>
              <w:rPr>
                <w:rFonts w:ascii="Times New Roman" w:hAnsi="Times New Roman"/>
                <w:sz w:val="24"/>
              </w:rPr>
              <w:t>ε</w:t>
            </w:r>
            <w:r>
              <w:rPr>
                <w:rFonts w:ascii="Times New Roman" w:hAnsi="Times New Roman"/>
                <w:sz w:val="24"/>
              </w:rPr>
              <w:t>ντός ισολογισμού, σύμφωνα με το μέρος 3 τίτλος II κεφάλαιο 4 τμήμα 4 του ΚΚΑ, αντ</w:t>
            </w:r>
            <w:r>
              <w:rPr>
                <w:rFonts w:ascii="Times New Roman" w:hAnsi="Times New Roman"/>
                <w:sz w:val="24"/>
              </w:rPr>
              <w:t>ι</w:t>
            </w:r>
            <w:r>
              <w:rPr>
                <w:rFonts w:ascii="Times New Roman" w:hAnsi="Times New Roman"/>
                <w:sz w:val="24"/>
              </w:rPr>
              <w:t>μετωπίζονται ως εξασφαλίσεις με χρηματικά διαθέσιμα.</w:t>
            </w:r>
          </w:p>
          <w:p w:rsidR="001C7AB7" w:rsidRPr="00392FFD" w:rsidRDefault="001C7AB7" w:rsidP="001C7AB7">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τιμές σύμφωνα με το άρθρο 193 παράγραφοι 1 έως 4 και το άρθρο 194 παράγραφος 1 του ΚΚΑ. Αναφέρεται η προσαρμοσμένη αξία (</w:t>
            </w:r>
            <w:proofErr w:type="spellStart"/>
            <w:r>
              <w:rPr>
                <w:rFonts w:ascii="Times New Roman" w:hAnsi="Times New Roman"/>
                <w:sz w:val="24"/>
              </w:rPr>
              <w:t>Cvam</w:t>
            </w:r>
            <w:proofErr w:type="spellEnd"/>
            <w:r>
              <w:rPr>
                <w:rFonts w:ascii="Times New Roman" w:hAnsi="Times New Roman"/>
                <w:sz w:val="24"/>
              </w:rPr>
              <w:t>), όπως ορίζεται στο άρθρο 223 παρ</w:t>
            </w:r>
            <w:r>
              <w:rPr>
                <w:rFonts w:ascii="Times New Roman" w:hAnsi="Times New Roman"/>
                <w:sz w:val="24"/>
              </w:rPr>
              <w:t>ά</w:t>
            </w:r>
            <w:r>
              <w:rPr>
                <w:rFonts w:ascii="Times New Roman" w:hAnsi="Times New Roman"/>
                <w:sz w:val="24"/>
              </w:rPr>
              <w:t>γραφος 2 του ΚΚΑ.</w:t>
            </w:r>
          </w:p>
          <w:p w:rsidR="001C7AB7" w:rsidRPr="00392FFD" w:rsidRDefault="001C7AB7" w:rsidP="00902EFC">
            <w:pPr>
              <w:rPr>
                <w:rFonts w:ascii="Times New Roman" w:hAnsi="Times New Roman"/>
                <w:b/>
                <w:sz w:val="24"/>
                <w:u w:val="single"/>
              </w:rPr>
            </w:pPr>
            <w:r>
              <w:rPr>
                <w:rFonts w:ascii="Times New Roman" w:hAnsi="Times New Roman"/>
                <w:sz w:val="24"/>
              </w:rPr>
              <w:t>Όταν χρησιμοποιούνται εσωτερικές εκτιμήσεις της ζημίας λόγω αθέτησης (LGD): χρ</w:t>
            </w:r>
            <w:r>
              <w:rPr>
                <w:rFonts w:ascii="Times New Roman" w:hAnsi="Times New Roman"/>
                <w:sz w:val="24"/>
              </w:rPr>
              <w:t>η</w:t>
            </w:r>
            <w:r>
              <w:rPr>
                <w:rFonts w:ascii="Times New Roman" w:hAnsi="Times New Roman"/>
                <w:sz w:val="24"/>
              </w:rPr>
              <w:t>ματοοικονομικές εξασφαλίσεις που λαμβάνονται υπόψη στις εκτιμήσεις της LGD, σύ</w:t>
            </w:r>
            <w:r>
              <w:rPr>
                <w:rFonts w:ascii="Times New Roman" w:hAnsi="Times New Roman"/>
                <w:sz w:val="24"/>
              </w:rPr>
              <w:t>μ</w:t>
            </w:r>
            <w:r>
              <w:rPr>
                <w:rFonts w:ascii="Times New Roman" w:hAnsi="Times New Roman"/>
                <w:sz w:val="24"/>
              </w:rPr>
              <w:t xml:space="preserve">φωνα με το άρθρο 181 παράγραφος 1 στοιχεία ε) και στ) του ΚΚΑ. Το προς αναφορά </w:t>
            </w:r>
            <w:r>
              <w:rPr>
                <w:rFonts w:ascii="Times New Roman" w:hAnsi="Times New Roman"/>
                <w:sz w:val="24"/>
              </w:rPr>
              <w:lastRenderedPageBreak/>
              <w:t>ποσό είναι η εκτιμώμενη αγοραία αξία της εξασφάλισης.</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lastRenderedPageBreak/>
              <w:t>190-210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ΑΛΛΕΣ ΕΠΙΛΕΞΙΜΕΣ ΕΞΑΣΦΑΛΙΣΕΙΣ</w:t>
            </w:r>
          </w:p>
          <w:p w:rsidR="001C7AB7" w:rsidRPr="00392FFD" w:rsidRDefault="00C61FF5" w:rsidP="001C7AB7">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ά</w:t>
            </w:r>
            <w:r>
              <w:rPr>
                <w:rFonts w:ascii="Times New Roman" w:hAnsi="Times New Roman"/>
                <w:sz w:val="24"/>
              </w:rPr>
              <w:t>ρ</w:t>
            </w:r>
            <w:r>
              <w:rPr>
                <w:rFonts w:ascii="Times New Roman" w:hAnsi="Times New Roman"/>
                <w:sz w:val="24"/>
              </w:rPr>
              <w:t>θρο 199 παράγραφοι 1 έως 8 του ΚΚΑ και άρθρο 229 του ΚΚΑ.</w:t>
            </w:r>
          </w:p>
          <w:p w:rsidR="001C7AB7" w:rsidRPr="00392FFD" w:rsidRDefault="00C61FF5" w:rsidP="00C61FF5">
            <w:pPr>
              <w:rPr>
                <w:rFonts w:ascii="Times New Roman" w:hAnsi="Times New Roman"/>
                <w:b/>
                <w:sz w:val="24"/>
                <w:u w:val="single"/>
              </w:rPr>
            </w:pPr>
            <w:r>
              <w:rPr>
                <w:rFonts w:ascii="Times New Roman" w:hAnsi="Times New Roman"/>
                <w:sz w:val="24"/>
              </w:rPr>
              <w:t>Όταν χρησιμοποιούνται εσωτερικές εκτιμήσεις της ζημίας λόγω αθέτησης: άλλες εξ</w:t>
            </w:r>
            <w:r>
              <w:rPr>
                <w:rFonts w:ascii="Times New Roman" w:hAnsi="Times New Roman"/>
                <w:sz w:val="24"/>
              </w:rPr>
              <w:t>α</w:t>
            </w:r>
            <w:r>
              <w:rPr>
                <w:rFonts w:ascii="Times New Roman" w:hAnsi="Times New Roman"/>
                <w:sz w:val="24"/>
              </w:rPr>
              <w:t>σφαλίσεις που λαμβάνονται υπόψη στις εκτιμήσεις της LGD, σύμφωνα με το άρθρο 181 παράγραφος 1 στοιχεία ε) και στ) του ΚΚΑ.</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Pr>
                <w:rFonts w:ascii="Times New Roman" w:hAnsi="Times New Roman"/>
                <w:sz w:val="24"/>
              </w:rPr>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ΑΚΙΝΗΤΑ</w:t>
            </w:r>
          </w:p>
          <w:p w:rsidR="001C7AB7" w:rsidRPr="00392FFD" w:rsidRDefault="00C61FF5" w:rsidP="00C61FF5">
            <w:pPr>
              <w:spacing w:line="240" w:lineRule="exact"/>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(LGD), αναφέρονται τιμές σύμφωνα με το άρθρο 199 παράγραφοι 2 έως 4 του ΚΚΑ. Περιλα</w:t>
            </w:r>
            <w:r>
              <w:rPr>
                <w:rFonts w:ascii="Times New Roman" w:hAnsi="Times New Roman"/>
                <w:sz w:val="24"/>
              </w:rPr>
              <w:t>μ</w:t>
            </w:r>
            <w:r>
              <w:rPr>
                <w:rFonts w:ascii="Times New Roman" w:hAnsi="Times New Roman"/>
                <w:sz w:val="24"/>
              </w:rPr>
              <w:t>βάνεται επίσης η μίσθωση ακίνητης περιουσίας (βλέπε άρθρο 199 παράγραφος 7 του ΚΚΑ). Βλέπε επίσης άρθρο 229 του ΚΚΑ.</w:t>
            </w:r>
          </w:p>
          <w:p w:rsidR="001C7AB7" w:rsidRPr="00392FFD" w:rsidRDefault="001C7AB7" w:rsidP="00C61FF5">
            <w:pPr>
              <w:spacing w:line="240" w:lineRule="exact"/>
              <w:rPr>
                <w:rFonts w:ascii="Times New Roman" w:hAnsi="Times New Roman"/>
                <w:sz w:val="24"/>
              </w:rPr>
            </w:pPr>
            <w:r>
              <w:rPr>
                <w:rFonts w:ascii="Times New Roman" w:hAnsi="Times New Roman"/>
                <w:sz w:val="24"/>
              </w:rPr>
              <w:t>Όταν χρησιμοποιούνται εσωτερικές εκτιμήσεις της ζημίας λόγω αθέτησης (LGD), το προς αναφορά ποσό είναι η εκτιμώμενη αγοραία αξία.</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ΑΛΛΕΣ ΕΜΠΡΑΓΜΑΤΕΣ ΕΞΑΣΦΑΛΙΣΕΙΣ</w:t>
            </w:r>
          </w:p>
          <w:p w:rsidR="001C7AB7" w:rsidRPr="00392FFD" w:rsidRDefault="00C61FF5" w:rsidP="001C7AB7">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(LGD), αναφέρονται τιμές σύμφωνα με το άρθρο 199 παράγραφοι 6 και 8 του ΚΚΑ. Περιλα</w:t>
            </w:r>
            <w:r>
              <w:rPr>
                <w:rFonts w:ascii="Times New Roman" w:hAnsi="Times New Roman"/>
                <w:sz w:val="24"/>
              </w:rPr>
              <w:t>μ</w:t>
            </w:r>
            <w:r>
              <w:rPr>
                <w:rFonts w:ascii="Times New Roman" w:hAnsi="Times New Roman"/>
                <w:sz w:val="24"/>
              </w:rPr>
              <w:t xml:space="preserve">βάνεται επίσης η μίσθωση περιουσίας πλην της ακίνητης περιουσίας (βλέπε άρθρο 199 παράγραφος 7 του ΚΚΑ). Βλέπε επίσης άρθρο 229 παράγραφος 3 του ΚΚΑ. </w:t>
            </w:r>
          </w:p>
          <w:p w:rsidR="001C7AB7" w:rsidRPr="00392FFD" w:rsidRDefault="00C61FF5" w:rsidP="00C61FF5">
            <w:pPr>
              <w:rPr>
                <w:rFonts w:ascii="Times New Roman" w:hAnsi="Times New Roman"/>
                <w:b/>
                <w:sz w:val="24"/>
                <w:u w:val="single"/>
              </w:rPr>
            </w:pPr>
            <w:r>
              <w:rPr>
                <w:rFonts w:ascii="Times New Roman" w:hAnsi="Times New Roman"/>
                <w:sz w:val="24"/>
              </w:rPr>
              <w:t>Όταν χρησιμοποιούνται εσωτερικές εκτιμήσεις της ζημίας λόγω αθέτησης (LGD), το προς αναφορά ποσό είναι η εκτιμώμενη αγοραία αξία της εξασφάλισης.</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ΑΠΑΙΤΗΣΕΙΣ</w:t>
            </w:r>
          </w:p>
          <w:p w:rsidR="001C7AB7" w:rsidRPr="00392FFD" w:rsidRDefault="001C7AB7" w:rsidP="001C7AB7">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(LGD), αναφέρονται τιμές σύμφωνα με το άρθρο 199 παράγραφος 5 και το άρθρο 229 παράγρ</w:t>
            </w:r>
            <w:r>
              <w:rPr>
                <w:rFonts w:ascii="Times New Roman" w:hAnsi="Times New Roman"/>
                <w:sz w:val="24"/>
              </w:rPr>
              <w:t>α</w:t>
            </w:r>
            <w:r>
              <w:rPr>
                <w:rFonts w:ascii="Times New Roman" w:hAnsi="Times New Roman"/>
                <w:sz w:val="24"/>
              </w:rPr>
              <w:t>φος 2 του ΚΚΑ.</w:t>
            </w:r>
          </w:p>
          <w:p w:rsidR="001C7AB7" w:rsidRPr="00392FFD" w:rsidRDefault="001C7AB7" w:rsidP="001C7AB7">
            <w:pPr>
              <w:rPr>
                <w:rFonts w:ascii="Times New Roman" w:hAnsi="Times New Roman"/>
                <w:b/>
                <w:sz w:val="24"/>
                <w:u w:val="single"/>
              </w:rPr>
            </w:pPr>
            <w:r>
              <w:rPr>
                <w:rFonts w:ascii="Times New Roman" w:hAnsi="Times New Roman"/>
                <w:sz w:val="24"/>
              </w:rPr>
              <w:t>Όταν χρησιμοποιούνται εσωτερικές εκτιμήσεις της LGD, το προς αναφορά ποσό είναι η εκτιμώμενη αγοραία αξία της εξασφάλισης.</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ΠΟΥ ΥΠΟΚΕΙΝΤΑΙ ΣΕ ΑΝΤΙΜΕΤΩΠΙΣΗ ΑΜΟΙΒΑΙΑΣ ΑΘΕΤΗΣΗΣ: ΜΗ ΧΡΗΜΑΤΟΔΟΤΟΥΜΕΝΗ ΠΙΣΤΩΤΙΚΗ ΠΡΟΣΤΑΣΙΑ</w:t>
            </w:r>
          </w:p>
          <w:p w:rsidR="001C7AB7" w:rsidRPr="00392FFD" w:rsidRDefault="001C7AB7" w:rsidP="00902EFC">
            <w:pPr>
              <w:rPr>
                <w:rFonts w:ascii="Times New Roman" w:hAnsi="Times New Roman"/>
                <w:b/>
                <w:sz w:val="24"/>
                <w:u w:val="single"/>
              </w:rPr>
            </w:pPr>
            <w:r>
              <w:rPr>
                <w:rFonts w:ascii="Times New Roman" w:hAnsi="Times New Roman"/>
                <w:sz w:val="24"/>
              </w:rPr>
              <w:t>Εγγυήσεις και πιστωτικά παράγωγα που καλύπτουν ανοίγματα που υπόκεινται σε αντ</w:t>
            </w:r>
            <w:r>
              <w:rPr>
                <w:rFonts w:ascii="Times New Roman" w:hAnsi="Times New Roman"/>
                <w:sz w:val="24"/>
              </w:rPr>
              <w:t>ι</w:t>
            </w:r>
            <w:r>
              <w:rPr>
                <w:rFonts w:ascii="Times New Roman" w:hAnsi="Times New Roman"/>
                <w:sz w:val="24"/>
              </w:rPr>
              <w:t>μετώπιση αμοιβαίας αθέτησης που αντανακλούν το άρθρο 202 και το άρθρο 217 παρ</w:t>
            </w:r>
            <w:r>
              <w:rPr>
                <w:rFonts w:ascii="Times New Roman" w:hAnsi="Times New Roman"/>
                <w:sz w:val="24"/>
              </w:rPr>
              <w:t>ά</w:t>
            </w:r>
            <w:r>
              <w:rPr>
                <w:rFonts w:ascii="Times New Roman" w:hAnsi="Times New Roman"/>
                <w:sz w:val="24"/>
              </w:rPr>
              <w:t>γραφος 1 του ΚΚΑ. Βλέπε επίσης στήλες 040 «Εγγυήσεις» και 050 «Πιστωτικά παρ</w:t>
            </w:r>
            <w:r>
              <w:rPr>
                <w:rFonts w:ascii="Times New Roman" w:hAnsi="Times New Roman"/>
                <w:sz w:val="24"/>
              </w:rPr>
              <w:t>ά</w:t>
            </w:r>
            <w:r>
              <w:rPr>
                <w:rFonts w:ascii="Times New Roman" w:hAnsi="Times New Roman"/>
                <w:sz w:val="24"/>
              </w:rPr>
              <w:t xml:space="preserve">γωγα».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ΜΕΣΟ ΣΤΑΘΜΙΣΜΕΝΟ ΩΣ ΠΡΟΣ ΤΟ ΑΝΟΙΓΜΑ ΥΨΟΣ ΤΗΣ LGD (%)</w:t>
            </w:r>
          </w:p>
          <w:p w:rsidR="001C7AB7" w:rsidRPr="00392FFD" w:rsidRDefault="001C7AB7" w:rsidP="001C7AB7">
            <w:pPr>
              <w:rPr>
                <w:rFonts w:ascii="Times New Roman" w:hAnsi="Times New Roman"/>
                <w:sz w:val="24"/>
              </w:rPr>
            </w:pPr>
            <w:r>
              <w:rPr>
                <w:rFonts w:ascii="Times New Roman" w:hAnsi="Times New Roman"/>
                <w:sz w:val="24"/>
              </w:rPr>
              <w:t xml:space="preserve">Λαμβάνεται υπόψη το σύνολο των επιπτώσεων των τεχνικών μείωσης του πιστωτικού κινδύνου στις τιμές της ζημίας λόγω αθέτησης, όπως προσδιορίζεται στο τρίτο μέρος τίτλος II κεφάλαια 3 και 4 του ΚΚΑ. Στην περίπτωση ανοιγμάτων που υπόκεινται σε </w:t>
            </w:r>
            <w:r>
              <w:rPr>
                <w:rFonts w:ascii="Times New Roman" w:hAnsi="Times New Roman"/>
                <w:sz w:val="24"/>
              </w:rPr>
              <w:t>α</w:t>
            </w:r>
            <w:r>
              <w:rPr>
                <w:rFonts w:ascii="Times New Roman" w:hAnsi="Times New Roman"/>
                <w:sz w:val="24"/>
              </w:rPr>
              <w:t>ντιμετώπιση αμοιβαίας αθέτησης, η αναφερόμενη ζημία λόγω αθέτησης αντιστοιχεί στην τιμή που επιλέγεται σύμφωνα με το άρθρο 161 παράγραφος 4 του ΚΚΑ.</w:t>
            </w:r>
          </w:p>
          <w:p w:rsidR="001C7AB7" w:rsidRPr="00392FFD" w:rsidRDefault="001C7AB7" w:rsidP="001C7AB7">
            <w:pPr>
              <w:rPr>
                <w:rFonts w:ascii="Times New Roman" w:hAnsi="Times New Roman"/>
                <w:sz w:val="24"/>
              </w:rPr>
            </w:pPr>
            <w:r>
              <w:rPr>
                <w:rFonts w:ascii="Times New Roman" w:hAnsi="Times New Roman"/>
                <w:sz w:val="24"/>
              </w:rPr>
              <w:t>Στην περίπτωση ανοιγμάτων σε αθέτηση, λαμβάνονται υπόψη οι διατάξεις του ά</w:t>
            </w:r>
            <w:r>
              <w:rPr>
                <w:rFonts w:ascii="Times New Roman" w:hAnsi="Times New Roman"/>
                <w:sz w:val="24"/>
              </w:rPr>
              <w:t>ρ</w:t>
            </w:r>
            <w:r>
              <w:rPr>
                <w:rFonts w:ascii="Times New Roman" w:hAnsi="Times New Roman"/>
                <w:sz w:val="24"/>
              </w:rPr>
              <w:lastRenderedPageBreak/>
              <w:t>θρου 181 παράγραφος 1 στοιχείο η) του ΚΚΑ.</w:t>
            </w:r>
          </w:p>
          <w:p w:rsidR="001C7AB7" w:rsidRPr="00392FFD" w:rsidRDefault="001C7AB7" w:rsidP="001C7AB7">
            <w:pPr>
              <w:rPr>
                <w:rFonts w:ascii="Times New Roman" w:hAnsi="Times New Roman"/>
                <w:sz w:val="24"/>
              </w:rPr>
            </w:pPr>
            <w:r>
              <w:rPr>
                <w:rFonts w:ascii="Times New Roman" w:hAnsi="Times New Roman"/>
                <w:sz w:val="24"/>
              </w:rPr>
              <w:t>Ο ορισμός της αξίας ανοίγματος της στήλης 110 χρησιμοποιείται για τον υπολογισμό των μέσων σταθμισμένων ως προς το άνοιγμα τιμών.</w:t>
            </w:r>
          </w:p>
          <w:p w:rsidR="001C7AB7" w:rsidRPr="00392FFD" w:rsidRDefault="001C7AB7" w:rsidP="001C7AB7">
            <w:pPr>
              <w:rPr>
                <w:rFonts w:ascii="Times New Roman" w:hAnsi="Times New Roman"/>
                <w:sz w:val="24"/>
              </w:rPr>
            </w:pPr>
            <w:r>
              <w:rPr>
                <w:rFonts w:ascii="Times New Roman" w:hAnsi="Times New Roman"/>
                <w:sz w:val="24"/>
              </w:rPr>
              <w:t>Λαμβάνονται υπόψη όλα τα αποτελέσματα (επομένως, η κατώτερη τιμή που ισχύει για τις υποθήκες περιλαμβάνεται στην αναφορά).</w:t>
            </w:r>
          </w:p>
          <w:p w:rsidR="001C7AB7" w:rsidRPr="00392FFD" w:rsidRDefault="001C7AB7" w:rsidP="001C7AB7">
            <w:pPr>
              <w:rPr>
                <w:rFonts w:ascii="Times New Roman" w:hAnsi="Times New Roman"/>
                <w:sz w:val="24"/>
              </w:rPr>
            </w:pPr>
            <w:r>
              <w:rPr>
                <w:rFonts w:ascii="Times New Roman" w:hAnsi="Times New Roman"/>
                <w:sz w:val="24"/>
              </w:rPr>
              <w:t>Για τα ιδρύματα που εφαρμόζουν την προσέγγιση IRB, αλλά δεν χρησιμοποιούν εσωτ</w:t>
            </w:r>
            <w:r>
              <w:rPr>
                <w:rFonts w:ascii="Times New Roman" w:hAnsi="Times New Roman"/>
                <w:sz w:val="24"/>
              </w:rPr>
              <w:t>ε</w:t>
            </w:r>
            <w:r>
              <w:rPr>
                <w:rFonts w:ascii="Times New Roman" w:hAnsi="Times New Roman"/>
                <w:sz w:val="24"/>
              </w:rPr>
              <w:t>ρικές εκτιμήσεις της ζημίας λόγω αθέτησης, το αποτέλεσμα μείωσης του κινδύνου των χρηματοοικονομικών εξασφαλίσεων αντανακλάται στην τιμή Ε*, την πλήρως προσα</w:t>
            </w:r>
            <w:r>
              <w:rPr>
                <w:rFonts w:ascii="Times New Roman" w:hAnsi="Times New Roman"/>
                <w:sz w:val="24"/>
              </w:rPr>
              <w:t>ρ</w:t>
            </w:r>
            <w:r>
              <w:rPr>
                <w:rFonts w:ascii="Times New Roman" w:hAnsi="Times New Roman"/>
                <w:sz w:val="24"/>
              </w:rPr>
              <w:t>μοσμένη αξία του ανοίγματος, και στη συνέχεια, στην LGD*, σύμφωνα με το άρθρο 228 παράγραφος 2 του ΚΚΑ.</w:t>
            </w:r>
          </w:p>
          <w:p w:rsidR="001C7AB7" w:rsidRPr="00392FFD" w:rsidRDefault="001C7AB7" w:rsidP="001C7AB7">
            <w:pPr>
              <w:rPr>
                <w:rFonts w:ascii="Times New Roman" w:hAnsi="Times New Roman"/>
                <w:sz w:val="24"/>
              </w:rPr>
            </w:pPr>
            <w:r>
              <w:rPr>
                <w:rFonts w:ascii="Times New Roman" w:hAnsi="Times New Roman"/>
                <w:sz w:val="24"/>
              </w:rPr>
              <w:t>Το μέσο σταθμισμένο ως προς το άνοιγμα ύψος της LGD, που σχετίζεται με κάθε «βα</w:t>
            </w:r>
            <w:r>
              <w:rPr>
                <w:rFonts w:ascii="Times New Roman" w:hAnsi="Times New Roman"/>
                <w:sz w:val="24"/>
              </w:rPr>
              <w:t>θ</w:t>
            </w:r>
            <w:r>
              <w:rPr>
                <w:rFonts w:ascii="Times New Roman" w:hAnsi="Times New Roman"/>
                <w:sz w:val="24"/>
              </w:rPr>
              <w:t>μίδα ή ομάδα οφειλέτη» από πλευράς πιθανότητας αθέτησης, προκύπτει από τον μέσο όρο των LGD στο πλαίσιο της προληπτικής εποπτείας, που σχετίζονται με τα ανοίγματα της συγκεκριμένης βαθμίδας/ομάδας πιθανότητας αθέτησης, σταθμισμένα με την αντ</w:t>
            </w:r>
            <w:r>
              <w:rPr>
                <w:rFonts w:ascii="Times New Roman" w:hAnsi="Times New Roman"/>
                <w:sz w:val="24"/>
              </w:rPr>
              <w:t>ί</w:t>
            </w:r>
            <w:r>
              <w:rPr>
                <w:rFonts w:ascii="Times New Roman" w:hAnsi="Times New Roman"/>
                <w:sz w:val="24"/>
              </w:rPr>
              <w:t>στοιχη αξία ανοίγματος της στήλης 110.</w:t>
            </w:r>
          </w:p>
          <w:p w:rsidR="001C7AB7" w:rsidRPr="00392FFD" w:rsidRDefault="001C7AB7" w:rsidP="001C7AB7">
            <w:pPr>
              <w:rPr>
                <w:rFonts w:ascii="Times New Roman" w:hAnsi="Times New Roman"/>
                <w:sz w:val="24"/>
              </w:rPr>
            </w:pPr>
            <w:r>
              <w:rPr>
                <w:rFonts w:ascii="Times New Roman" w:hAnsi="Times New Roman"/>
                <w:sz w:val="24"/>
              </w:rPr>
              <w:t>Εάν χρησιμοποιούνται εσωτερικές εκτιμήσεις της LGD, λαμβάνονται υπόψη το ά</w:t>
            </w:r>
            <w:r>
              <w:rPr>
                <w:rFonts w:ascii="Times New Roman" w:hAnsi="Times New Roman"/>
                <w:sz w:val="24"/>
              </w:rPr>
              <w:t>ρ</w:t>
            </w:r>
            <w:r>
              <w:rPr>
                <w:rFonts w:ascii="Times New Roman" w:hAnsi="Times New Roman"/>
                <w:sz w:val="24"/>
              </w:rPr>
              <w:t>θρο 175 και το άρθρο 181 παράγραφοι 1 και 2 του ΚΚΑ.</w:t>
            </w:r>
          </w:p>
          <w:p w:rsidR="001C7AB7" w:rsidRPr="00392FFD" w:rsidRDefault="001C7AB7" w:rsidP="001C7AB7">
            <w:pPr>
              <w:rPr>
                <w:rFonts w:ascii="Times New Roman" w:hAnsi="Times New Roman"/>
                <w:sz w:val="24"/>
              </w:rPr>
            </w:pPr>
            <w:r>
              <w:rPr>
                <w:rFonts w:ascii="Times New Roman" w:hAnsi="Times New Roman"/>
                <w:sz w:val="24"/>
              </w:rPr>
              <w:t>Στην περίπτωση ανοιγμάτων που υπόκεινται σε αντιμετώπιση αμοιβαίας αθέτησης, η αναφερόμενη ζημία λόγω αθέτησης αντιστοιχεί στην τιμή που επιλέγεται σύμφωνα με το άρθρο 161 παράγραφος 4 του ΚΚΑ.</w:t>
            </w:r>
          </w:p>
          <w:p w:rsidR="001C7AB7" w:rsidRPr="00392FFD" w:rsidRDefault="001C7AB7" w:rsidP="001C7AB7">
            <w:pPr>
              <w:rPr>
                <w:rFonts w:ascii="Times New Roman" w:hAnsi="Times New Roman"/>
                <w:sz w:val="24"/>
              </w:rPr>
            </w:pPr>
            <w:r>
              <w:rPr>
                <w:rFonts w:ascii="Times New Roman" w:hAnsi="Times New Roman"/>
                <w:sz w:val="24"/>
              </w:rPr>
              <w:t>Ο υπολογισμός του μέσου σταθμισμένου ως προς το άνοιγμα ύψους της LGD προκύπτει από τις παραμέτρους κινδύνου που χρησιμοποιούνται πραγματικά στο σύστημα εσωτ</w:t>
            </w:r>
            <w:r>
              <w:rPr>
                <w:rFonts w:ascii="Times New Roman" w:hAnsi="Times New Roman"/>
                <w:sz w:val="24"/>
              </w:rPr>
              <w:t>ε</w:t>
            </w:r>
            <w:r>
              <w:rPr>
                <w:rFonts w:ascii="Times New Roman" w:hAnsi="Times New Roman"/>
                <w:sz w:val="24"/>
              </w:rPr>
              <w:t>ρικών διαβαθμίσεων που έχει εγκριθεί από την αντίστοιχη αρμόδια αρχή.</w:t>
            </w:r>
          </w:p>
          <w:p w:rsidR="001C7AB7" w:rsidRPr="00392FFD" w:rsidRDefault="00224FE5" w:rsidP="001C7AB7">
            <w:pPr>
              <w:rPr>
                <w:rFonts w:ascii="Times New Roman" w:hAnsi="Times New Roman"/>
                <w:sz w:val="24"/>
              </w:rPr>
            </w:pPr>
            <w:r>
              <w:rPr>
                <w:rFonts w:ascii="Times New Roman" w:hAnsi="Times New Roman"/>
                <w:sz w:val="24"/>
              </w:rPr>
              <w:t>Δεν αναφέρονται δεδομένα για ανοίγματα ειδικής δανειοδότησης που αναφέρονται στο άρθρο 153 παράγραφος 5.</w:t>
            </w:r>
          </w:p>
          <w:p w:rsidR="001C7AB7" w:rsidRPr="00392FFD" w:rsidRDefault="001C7AB7" w:rsidP="001C7AB7">
            <w:pPr>
              <w:rPr>
                <w:rFonts w:ascii="Times New Roman" w:hAnsi="Times New Roman"/>
                <w:sz w:val="24"/>
              </w:rPr>
            </w:pPr>
            <w:r>
              <w:rPr>
                <w:rFonts w:ascii="Times New Roman" w:hAnsi="Times New Roman"/>
                <w:sz w:val="24"/>
              </w:rPr>
              <w:t>Το άνοιγμα και οι αντίστοιχες ζημίες λόγω αθέτησης για μεγάλες ρυθμιζόμενες οντότ</w:t>
            </w:r>
            <w:r>
              <w:rPr>
                <w:rFonts w:ascii="Times New Roman" w:hAnsi="Times New Roman"/>
                <w:sz w:val="24"/>
              </w:rPr>
              <w:t>η</w:t>
            </w:r>
            <w:r>
              <w:rPr>
                <w:rFonts w:ascii="Times New Roman" w:hAnsi="Times New Roman"/>
                <w:sz w:val="24"/>
              </w:rPr>
              <w:t>τες του χρηματοπιστωτικού τομέα και μη ρυθμιζόμενες οντότητες του χρηματοπιστωτ</w:t>
            </w:r>
            <w:r>
              <w:rPr>
                <w:rFonts w:ascii="Times New Roman" w:hAnsi="Times New Roman"/>
                <w:sz w:val="24"/>
              </w:rPr>
              <w:t>ι</w:t>
            </w:r>
            <w:r>
              <w:rPr>
                <w:rFonts w:ascii="Times New Roman" w:hAnsi="Times New Roman"/>
                <w:sz w:val="24"/>
              </w:rPr>
              <w:t>κού τομέα δεν περιλαμβάνονται στον υπολογισμό της στήλης 230, αλλά περιλαμβάν</w:t>
            </w:r>
            <w:r>
              <w:rPr>
                <w:rFonts w:ascii="Times New Roman" w:hAnsi="Times New Roman"/>
                <w:sz w:val="24"/>
              </w:rPr>
              <w:t>ο</w:t>
            </w:r>
            <w:r>
              <w:rPr>
                <w:rFonts w:ascii="Times New Roman" w:hAnsi="Times New Roman"/>
                <w:sz w:val="24"/>
              </w:rPr>
              <w:t xml:space="preserve">νται μόνο στον υπολογισμό της στήλης 240.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ΜΕΣΟ ΣΤΑΘΜΙΣΜΕΝΟ ΩΣ ΠΡΟΣ ΤΟ ΑΝΟΙΓΜΑ ΥΨΟΣ ΤΗΣ LGD (%) ΓΙΑ ΜΕΓΑΛΕΣ ΟΝΤΟΤΗΤΕΣ ΤΟΥ ΧΡΗΜΑΤΟΠΙΣΤΩΤΙΚΟΥ ΤΟΜΕΑ ΚΑΙ ΜΗ ΡΥΘΜΙΖΟΜΕΝΕΣ ΟΝΤΟΤΗΤΕΣ ΤΟΥ ΧΡΗΜΑΤΟΠΙΣΤΩΤΙΚΟΥ ΤΟΜΕΑ</w:t>
            </w:r>
          </w:p>
          <w:p w:rsidR="001C7AB7" w:rsidRPr="00392FFD" w:rsidRDefault="001C7AB7" w:rsidP="001C7AB7">
            <w:pPr>
              <w:rPr>
                <w:rFonts w:ascii="Times New Roman" w:hAnsi="Times New Roman"/>
                <w:sz w:val="24"/>
              </w:rPr>
            </w:pPr>
            <w:r>
              <w:rPr>
                <w:rFonts w:ascii="Times New Roman" w:hAnsi="Times New Roman"/>
                <w:sz w:val="24"/>
              </w:rPr>
              <w:t xml:space="preserve">Μέσο σταθμισμένο ως προς το άνοιγμα ύψος της LGD (%) για όλα τα ανοίγματα που </w:t>
            </w:r>
            <w:r>
              <w:rPr>
                <w:rFonts w:ascii="Times New Roman" w:hAnsi="Times New Roman"/>
                <w:sz w:val="24"/>
              </w:rPr>
              <w:t>ο</w:t>
            </w:r>
            <w:r>
              <w:rPr>
                <w:rFonts w:ascii="Times New Roman" w:hAnsi="Times New Roman"/>
                <w:sz w:val="24"/>
              </w:rPr>
              <w:t>ρίζονται σύμφωνα με το άρθρο 142 παράγραφοι 4 και 5 του ΚΚΑ, βάσει του υψηλότ</w:t>
            </w:r>
            <w:r>
              <w:rPr>
                <w:rFonts w:ascii="Times New Roman" w:hAnsi="Times New Roman"/>
                <w:sz w:val="24"/>
              </w:rPr>
              <w:t>ε</w:t>
            </w:r>
            <w:r>
              <w:rPr>
                <w:rFonts w:ascii="Times New Roman" w:hAnsi="Times New Roman"/>
                <w:sz w:val="24"/>
              </w:rPr>
              <w:t>ρου συντελεστή συσχέτισης σύμφωνα με το άρθρο 153 παράγραφος 2 του ΚΚΑ.</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ΣΤΑΘΜΙΣΜΕΝΗ ΩΣ ΠΡΟΣ ΤΟ ΑΝΟΙΓΜΑ ΜΕΣΗ ΛΗΚΤΟΤΗΤΑ (ΗΜΕΡΕΣ)</w:t>
            </w:r>
          </w:p>
          <w:p w:rsidR="001C7AB7" w:rsidRPr="00392FFD" w:rsidRDefault="001C7AB7" w:rsidP="001C7AB7">
            <w:pPr>
              <w:rPr>
                <w:rFonts w:ascii="Times New Roman" w:hAnsi="Times New Roman"/>
                <w:sz w:val="24"/>
              </w:rPr>
            </w:pPr>
            <w:r>
              <w:rPr>
                <w:rFonts w:ascii="Times New Roman" w:hAnsi="Times New Roman"/>
                <w:sz w:val="24"/>
              </w:rPr>
              <w:t>Η αναφερόμενη τιμή αντανακλά το άρθρο 162 του ΚΚΑ. Η αξία ανοίγματος (στήλη 110) χρησιμοποιείται για τον υπολογισμό των μέσων σταθμισμένων ως προς το άνοιγμα τ</w:t>
            </w:r>
            <w:r>
              <w:rPr>
                <w:rFonts w:ascii="Times New Roman" w:hAnsi="Times New Roman"/>
                <w:sz w:val="24"/>
              </w:rPr>
              <w:t>ι</w:t>
            </w:r>
            <w:r>
              <w:rPr>
                <w:rFonts w:ascii="Times New Roman" w:hAnsi="Times New Roman"/>
                <w:sz w:val="24"/>
              </w:rPr>
              <w:t>μών. Η μέση ληκτότητα αναφέρεται σε ημέρες.</w:t>
            </w:r>
          </w:p>
          <w:p w:rsidR="001C7AB7" w:rsidRPr="00392FFD" w:rsidRDefault="001C7AB7" w:rsidP="00FD6CCB">
            <w:pPr>
              <w:rPr>
                <w:rFonts w:ascii="Times New Roman" w:hAnsi="Times New Roman"/>
                <w:sz w:val="24"/>
              </w:rPr>
            </w:pPr>
            <w:r>
              <w:rPr>
                <w:rFonts w:ascii="Times New Roman" w:hAnsi="Times New Roman"/>
                <w:sz w:val="24"/>
              </w:rPr>
              <w:t>Δεν αναφέρονται τα συγκεκριμένα δεδομένα για τις αξίες ανοίγματος των οποίων η λ</w:t>
            </w:r>
            <w:r>
              <w:rPr>
                <w:rFonts w:ascii="Times New Roman" w:hAnsi="Times New Roman"/>
                <w:sz w:val="24"/>
              </w:rPr>
              <w:t>η</w:t>
            </w:r>
            <w:r>
              <w:rPr>
                <w:rFonts w:ascii="Times New Roman" w:hAnsi="Times New Roman"/>
                <w:sz w:val="24"/>
              </w:rPr>
              <w:t xml:space="preserve">κτότητα δεν αποτελεί στοιχείο του υπολογισμού των </w:t>
            </w:r>
            <w:r>
              <w:rPr>
                <w:rStyle w:val="InstructionsTabelleText"/>
                <w:rFonts w:ascii="Times New Roman" w:hAnsi="Times New Roman"/>
                <w:sz w:val="24"/>
              </w:rPr>
              <w:t>σταθμισμένων ως προς τον κίνδυνο ποσών ανοιγμάτων</w:t>
            </w:r>
            <w:r>
              <w:rPr>
                <w:rFonts w:ascii="Times New Roman" w:hAnsi="Times New Roman"/>
                <w:sz w:val="24"/>
              </w:rPr>
              <w:t>. Αυτό σημαίνει ότι δεν συμπληρώνεται η στήλη αυτή για την κατ</w:t>
            </w:r>
            <w:r>
              <w:rPr>
                <w:rFonts w:ascii="Times New Roman" w:hAnsi="Times New Roman"/>
                <w:sz w:val="24"/>
              </w:rPr>
              <w:t>η</w:t>
            </w:r>
            <w:r>
              <w:rPr>
                <w:rFonts w:ascii="Times New Roman" w:hAnsi="Times New Roman"/>
                <w:sz w:val="24"/>
              </w:rPr>
              <w:t>γορία ανοιγμάτων «λιανική τραπεζική».</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255</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ΠΡΙΝ ΑΠΟ ΤΟΝ ΣΥΝΤΕΛΕΣΤΗ ΣΤΗΡΙΞΗΣ ΤΩΝ ΜΜΕ</w:t>
            </w:r>
          </w:p>
          <w:p w:rsidR="001C7AB7" w:rsidRPr="00392FFD" w:rsidRDefault="001C7AB7" w:rsidP="001C7AB7">
            <w:pPr>
              <w:rPr>
                <w:rFonts w:ascii="Times New Roman" w:hAnsi="Times New Roman"/>
                <w:sz w:val="24"/>
              </w:rPr>
            </w:pPr>
            <w:r>
              <w:rPr>
                <w:rFonts w:ascii="Times New Roman" w:hAnsi="Times New Roman"/>
                <w:sz w:val="24"/>
              </w:rPr>
              <w:t>Για τις κατηγορίες ανοιγμάτων «κεντρικές κυβερνήσεις και κεντρικές τράπεζες», «επ</w:t>
            </w:r>
            <w:r>
              <w:rPr>
                <w:rFonts w:ascii="Times New Roman" w:hAnsi="Times New Roman"/>
                <w:sz w:val="24"/>
              </w:rPr>
              <w:t>ι</w:t>
            </w:r>
            <w:r>
              <w:rPr>
                <w:rFonts w:ascii="Times New Roman" w:hAnsi="Times New Roman"/>
                <w:sz w:val="24"/>
              </w:rPr>
              <w:t>χειρήσεις» και «ιδρύματα», βλέπε άρθρο 153 παράγραφοι 1 και 3 του ΚΚΑ. Για την κ</w:t>
            </w:r>
            <w:r>
              <w:rPr>
                <w:rFonts w:ascii="Times New Roman" w:hAnsi="Times New Roman"/>
                <w:sz w:val="24"/>
              </w:rPr>
              <w:t>α</w:t>
            </w:r>
            <w:r>
              <w:rPr>
                <w:rFonts w:ascii="Times New Roman" w:hAnsi="Times New Roman"/>
                <w:sz w:val="24"/>
              </w:rPr>
              <w:t xml:space="preserve">τηγορία «λιανική τραπεζική», βλέπε άρθρο 154 παράγραφος 1 του ΚΚΑ. </w:t>
            </w:r>
          </w:p>
          <w:p w:rsidR="001C7AB7" w:rsidRPr="00392FFD" w:rsidRDefault="001C7AB7" w:rsidP="00FD6CCB">
            <w:pPr>
              <w:rPr>
                <w:rFonts w:ascii="Times New Roman" w:hAnsi="Times New Roman"/>
                <w:b/>
                <w:sz w:val="24"/>
                <w:u w:val="single"/>
              </w:rPr>
            </w:pPr>
            <w:r>
              <w:rPr>
                <w:rFonts w:ascii="Times New Roman" w:hAnsi="Times New Roman"/>
                <w:sz w:val="24"/>
              </w:rPr>
              <w:t>Ο συντελεστής στήριξης των ΜΜΕ σύμφωνα με το άρθρο 501 του ΚΚΑ δεν λαμβάνεται υπόψη.</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260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ΤΟΝ ΣΥΝΤΕΛΕΣΤΗ ΣΤΗΡΙΞΗΣ ΤΩΝ ΜΜΕ</w:t>
            </w:r>
          </w:p>
          <w:p w:rsidR="001C7AB7" w:rsidRPr="00392FFD" w:rsidRDefault="001C7AB7" w:rsidP="001C7AB7">
            <w:pPr>
              <w:rPr>
                <w:rFonts w:ascii="Times New Roman" w:hAnsi="Times New Roman"/>
                <w:sz w:val="24"/>
              </w:rPr>
            </w:pPr>
            <w:r>
              <w:rPr>
                <w:rFonts w:ascii="Times New Roman" w:hAnsi="Times New Roman"/>
                <w:sz w:val="24"/>
              </w:rPr>
              <w:t>Για τις κατηγορίες ανοιγμάτων «κεντρικές κυβερνήσεις και κεντρικές τράπεζες», «επ</w:t>
            </w:r>
            <w:r>
              <w:rPr>
                <w:rFonts w:ascii="Times New Roman" w:hAnsi="Times New Roman"/>
                <w:sz w:val="24"/>
              </w:rPr>
              <w:t>ι</w:t>
            </w:r>
            <w:r>
              <w:rPr>
                <w:rFonts w:ascii="Times New Roman" w:hAnsi="Times New Roman"/>
                <w:sz w:val="24"/>
              </w:rPr>
              <w:t>χειρήσεις» και «ιδρύματα», βλέπε άρθρο 153 παράγραφοι 1 και 3 του ΚΚΑ. Για την κ</w:t>
            </w:r>
            <w:r>
              <w:rPr>
                <w:rFonts w:ascii="Times New Roman" w:hAnsi="Times New Roman"/>
                <w:sz w:val="24"/>
              </w:rPr>
              <w:t>α</w:t>
            </w:r>
            <w:r>
              <w:rPr>
                <w:rFonts w:ascii="Times New Roman" w:hAnsi="Times New Roman"/>
                <w:sz w:val="24"/>
              </w:rPr>
              <w:t>τηγορία «λιανική τραπεζική», βλέπε άρθρο 154 παράγραφος 1 του ΚΚΑ.</w:t>
            </w:r>
          </w:p>
          <w:p w:rsidR="001C7AB7" w:rsidRPr="00392FFD" w:rsidRDefault="001C7AB7" w:rsidP="00FD6CCB">
            <w:pPr>
              <w:rPr>
                <w:rFonts w:ascii="Times New Roman" w:hAnsi="Times New Roman"/>
                <w:b/>
                <w:sz w:val="24"/>
                <w:u w:val="single"/>
              </w:rPr>
            </w:pPr>
            <w:r>
              <w:rPr>
                <w:rFonts w:ascii="Times New Roman" w:hAnsi="Times New Roman"/>
                <w:sz w:val="24"/>
              </w:rPr>
              <w:t>Λαμβάνεται υπόψη ο συντελεστής στήριξης των ΜΜΕ σύμφωνα με το άρθρο 501 του ΚΚΑ.</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ΕΚ ΤΩΝ ΟΠΟΙΩΝ: ΜΕΓΑΛΕΣ ΟΝΤΟΤΗΤΕΣ ΤΟΥ ΧΡΗΜΑΤΟΠΙΣΤΩΤΙΚΟΥ ΤΟΜΕΑ ΚΑΙ ΜΗ ΡΥΘΜΙΖΟΜΕΝΕΣ ΟΝΤΟΤΗΤΕΣ ΤΟΥ ΧΡΗΜΑΤΟΠΙΣΤ</w:t>
            </w:r>
            <w:r>
              <w:rPr>
                <w:rFonts w:ascii="Times New Roman" w:hAnsi="Times New Roman"/>
                <w:b/>
                <w:sz w:val="24"/>
                <w:u w:val="single"/>
              </w:rPr>
              <w:t>Ω</w:t>
            </w:r>
            <w:r>
              <w:rPr>
                <w:rFonts w:ascii="Times New Roman" w:hAnsi="Times New Roman"/>
                <w:b/>
                <w:sz w:val="24"/>
                <w:u w:val="single"/>
              </w:rPr>
              <w:t>ΤΙΚΟΥ ΤΟΜΕΑ</w:t>
            </w:r>
          </w:p>
          <w:p w:rsidR="001C7AB7" w:rsidRPr="00392FFD" w:rsidDel="005A2363" w:rsidRDefault="001C7AB7" w:rsidP="00FD6CCB">
            <w:pPr>
              <w:rPr>
                <w:rFonts w:ascii="Times New Roman" w:hAnsi="Times New Roman"/>
                <w:sz w:val="24"/>
              </w:rPr>
            </w:pPr>
            <w:r>
              <w:rPr>
                <w:rFonts w:ascii="Times New Roman" w:hAnsi="Times New Roman"/>
                <w:sz w:val="24"/>
              </w:rPr>
              <w:t>Ανάλυση του σταθμισμένου ως προς τον κίνδυνο ποσού του ανοίγματος, λαμβανομένων υπόψη των συντελεστών στήριξης των ΜΜΕ για όλα τα ανοίγματα που ορίζονται σύ</w:t>
            </w:r>
            <w:r>
              <w:rPr>
                <w:rFonts w:ascii="Times New Roman" w:hAnsi="Times New Roman"/>
                <w:sz w:val="24"/>
              </w:rPr>
              <w:t>μ</w:t>
            </w:r>
            <w:r>
              <w:rPr>
                <w:rFonts w:ascii="Times New Roman" w:hAnsi="Times New Roman"/>
                <w:sz w:val="24"/>
              </w:rPr>
              <w:t>φωνα με το άρθρο 142 παράγραφοι 4 και 5 του ΚΚΑ και που υπόκεινται σε υψηλότερη συσχέτιση, σύμφωνα με το άρθρο 153 παράγραφος 2 του ΚΚΑ.</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ΠΟΣΟ ΑΝΑΜΕΝΟΜΕΝΗΣ ΖΗΜΙΑΣ</w:t>
            </w:r>
          </w:p>
          <w:p w:rsidR="001C7AB7" w:rsidRPr="00392FFD" w:rsidRDefault="001C7AB7" w:rsidP="00FD6CCB">
            <w:pPr>
              <w:jc w:val="left"/>
              <w:rPr>
                <w:rFonts w:ascii="Times New Roman" w:hAnsi="Times New Roman"/>
                <w:sz w:val="24"/>
              </w:rPr>
            </w:pPr>
            <w:r>
              <w:rPr>
                <w:rFonts w:ascii="Times New Roman" w:hAnsi="Times New Roman"/>
                <w:sz w:val="24"/>
              </w:rPr>
              <w:t>Για τον ορισμό της αναμενόμενης ζημίας, βλέπε άρθρο 5 σημείο 3) του ΚΚΑ και, για τον υπολογισμό της, βλέπε άρθρο 158 του ΚΚΑ. Το προς αναφορά ποσό της αναμενόμενης ζημίας βασίζεται στις παραμέτρους κινδύνου που χρησιμοποιούνται πραγματικά στο σ</w:t>
            </w:r>
            <w:r>
              <w:rPr>
                <w:rFonts w:ascii="Times New Roman" w:hAnsi="Times New Roman"/>
                <w:sz w:val="24"/>
              </w:rPr>
              <w:t>ύ</w:t>
            </w:r>
            <w:r>
              <w:rPr>
                <w:rFonts w:ascii="Times New Roman" w:hAnsi="Times New Roman"/>
                <w:sz w:val="24"/>
              </w:rPr>
              <w:t>στημα εσωτερικών διαβαθμίσεων που έχει εγκριθεί από την αντίστοιχη αρμόδια αρχή.</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ΠΡΟΣΑΡΜΟΓΕΣ ΑΞΙΑΣ ΚΑΙ ΠΡΟΒΛΕΨΕΙΣ</w:t>
            </w:r>
          </w:p>
          <w:p w:rsidR="001C7AB7" w:rsidRPr="00392FFD" w:rsidRDefault="001C7AB7" w:rsidP="00FD6CCB">
            <w:pPr>
              <w:rPr>
                <w:rFonts w:ascii="Times New Roman" w:hAnsi="Times New Roman"/>
                <w:sz w:val="24"/>
              </w:rPr>
            </w:pPr>
            <w:r>
              <w:rPr>
                <w:rFonts w:ascii="Times New Roman" w:hAnsi="Times New Roman"/>
                <w:sz w:val="24"/>
              </w:rPr>
              <w:t>Αναφέρονται οι προσαρμογές αξίας, καθώς και οι ειδικές και γενικές προβλέψεις σύ</w:t>
            </w:r>
            <w:r>
              <w:rPr>
                <w:rFonts w:ascii="Times New Roman" w:hAnsi="Times New Roman"/>
                <w:sz w:val="24"/>
              </w:rPr>
              <w:t>μ</w:t>
            </w:r>
            <w:r>
              <w:rPr>
                <w:rFonts w:ascii="Times New Roman" w:hAnsi="Times New Roman"/>
                <w:sz w:val="24"/>
              </w:rPr>
              <w:t>φωνα με το άρθρο 159 του ΚΚΑ. Οι γενικές προβλέψεις αναφέρονται καταλογίζοντας το ποσό αναλογικά – σύμφωνα με την αναμενόμενη ζημία των διαφόρων βαθμίδων οφειλ</w:t>
            </w:r>
            <w:r>
              <w:rPr>
                <w:rFonts w:ascii="Times New Roman" w:hAnsi="Times New Roman"/>
                <w:sz w:val="24"/>
              </w:rPr>
              <w:t>έ</w:t>
            </w:r>
            <w:r>
              <w:rPr>
                <w:rFonts w:ascii="Times New Roman" w:hAnsi="Times New Roman"/>
                <w:sz w:val="24"/>
              </w:rPr>
              <w:t>τη.</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Pr>
                <w:rFonts w:ascii="Times New Roman" w:hAnsi="Times New Roman"/>
                <w:sz w:val="24"/>
              </w:rPr>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ΑΡΙΘΜΟΣ ΟΦΕΙΛΕΤΩΝ</w:t>
            </w:r>
          </w:p>
          <w:p w:rsidR="001C7AB7" w:rsidRPr="00392FFD" w:rsidRDefault="001C7AB7" w:rsidP="001C7AB7">
            <w:pPr>
              <w:rPr>
                <w:rFonts w:ascii="Times New Roman" w:hAnsi="Times New Roman"/>
                <w:sz w:val="24"/>
              </w:rPr>
            </w:pPr>
            <w:r>
              <w:rPr>
                <w:rFonts w:ascii="Times New Roman" w:hAnsi="Times New Roman"/>
                <w:sz w:val="24"/>
              </w:rPr>
              <w:t>Άρθρο 172 παράγραφοι 1 και 2 του ΚΚΑ</w:t>
            </w:r>
          </w:p>
          <w:p w:rsidR="001C7AB7" w:rsidRPr="00392FFD" w:rsidRDefault="001C7AB7" w:rsidP="001C7AB7">
            <w:pPr>
              <w:rPr>
                <w:rFonts w:ascii="Times New Roman" w:hAnsi="Times New Roman"/>
                <w:sz w:val="24"/>
              </w:rPr>
            </w:pPr>
            <w:r>
              <w:rPr>
                <w:rFonts w:ascii="Times New Roman" w:hAnsi="Times New Roman"/>
                <w:sz w:val="24"/>
              </w:rPr>
              <w:t>Για όλες τις κατηγορίες ανοιγμάτων, εκτός της κατηγορίας ανοιγμάτων λιανικής τραπ</w:t>
            </w:r>
            <w:r>
              <w:rPr>
                <w:rFonts w:ascii="Times New Roman" w:hAnsi="Times New Roman"/>
                <w:sz w:val="24"/>
              </w:rPr>
              <w:t>ε</w:t>
            </w:r>
            <w:r>
              <w:rPr>
                <w:rFonts w:ascii="Times New Roman" w:hAnsi="Times New Roman"/>
                <w:sz w:val="24"/>
              </w:rPr>
              <w:t>ζικής και των περιπτώσεων που προβλέπονται στο άρθρο 172 παράγραφος 1 στοιχείο ε) δεύτερη περίοδος του ΚΚΑ, το ίδρυμα αναφέρει τον αριθμό των νομικών οντοτ</w:t>
            </w:r>
            <w:r>
              <w:rPr>
                <w:rFonts w:ascii="Times New Roman" w:hAnsi="Times New Roman"/>
                <w:sz w:val="24"/>
              </w:rPr>
              <w:t>ή</w:t>
            </w:r>
            <w:r>
              <w:rPr>
                <w:rFonts w:ascii="Times New Roman" w:hAnsi="Times New Roman"/>
                <w:sz w:val="24"/>
              </w:rPr>
              <w:t>των/οφειλετών που έχουν διαβαθμιστεί χωριστά, ανεξαρτήτως του αριθμού των διαφ</w:t>
            </w:r>
            <w:r>
              <w:rPr>
                <w:rFonts w:ascii="Times New Roman" w:hAnsi="Times New Roman"/>
                <w:sz w:val="24"/>
              </w:rPr>
              <w:t>ό</w:t>
            </w:r>
            <w:r>
              <w:rPr>
                <w:rFonts w:ascii="Times New Roman" w:hAnsi="Times New Roman"/>
                <w:sz w:val="24"/>
              </w:rPr>
              <w:t xml:space="preserve">ρων χορηγηθέντων δανείων ή ανοιγμάτων. </w:t>
            </w:r>
          </w:p>
          <w:p w:rsidR="001C7AB7" w:rsidRPr="00392FFD" w:rsidRDefault="001C7AB7" w:rsidP="001C7AB7">
            <w:pPr>
              <w:rPr>
                <w:rFonts w:ascii="Times New Roman" w:hAnsi="Times New Roman"/>
                <w:sz w:val="24"/>
              </w:rPr>
            </w:pPr>
            <w:r>
              <w:rPr>
                <w:rFonts w:ascii="Times New Roman" w:hAnsi="Times New Roman"/>
                <w:sz w:val="24"/>
              </w:rPr>
              <w:t xml:space="preserve">Εντός της κατηγορίας ανοιγμάτων λιανικής τραπεζικής ή εάν χωριστά ανοίγματα έναντι του ιδίου οφειλέτη κατατάσσονται σε διαφορετικές βαθμίδες οφειλέτη, σύμφωνα με το άρθρο 172 παράγραφος 1 στοιχείο ε) δεύτερη περίοδος του ΚΚΑ, σε άλλες κατηγορίες </w:t>
            </w:r>
            <w:r>
              <w:rPr>
                <w:rFonts w:ascii="Times New Roman" w:hAnsi="Times New Roman"/>
                <w:sz w:val="24"/>
              </w:rPr>
              <w:lastRenderedPageBreak/>
              <w:t>ανοιγμάτων, το ίδρυμα αναφέρει τον αριθμό των ανοιγμάτων που κατατάχθηκαν χωρ</w:t>
            </w:r>
            <w:r>
              <w:rPr>
                <w:rFonts w:ascii="Times New Roman" w:hAnsi="Times New Roman"/>
                <w:sz w:val="24"/>
              </w:rPr>
              <w:t>ι</w:t>
            </w:r>
            <w:r>
              <w:rPr>
                <w:rFonts w:ascii="Times New Roman" w:hAnsi="Times New Roman"/>
                <w:sz w:val="24"/>
              </w:rPr>
              <w:t>στά σε μια συγκεκριμένη βαθμίδα ή ομάδα διαβάθμισης. Όταν εφαρμόζεται το ά</w:t>
            </w:r>
            <w:r>
              <w:rPr>
                <w:rFonts w:ascii="Times New Roman" w:hAnsi="Times New Roman"/>
                <w:sz w:val="24"/>
              </w:rPr>
              <w:t>ρ</w:t>
            </w:r>
            <w:r>
              <w:rPr>
                <w:rFonts w:ascii="Times New Roman" w:hAnsi="Times New Roman"/>
                <w:sz w:val="24"/>
              </w:rPr>
              <w:t>θρο 172 παράγραφος 2 του ΚΚΑ, ένας οφειλέτης δύναται να λαμβάνεται υπόψη σε π</w:t>
            </w:r>
            <w:r>
              <w:rPr>
                <w:rFonts w:ascii="Times New Roman" w:hAnsi="Times New Roman"/>
                <w:sz w:val="24"/>
              </w:rPr>
              <w:t>ε</w:t>
            </w:r>
            <w:r>
              <w:rPr>
                <w:rFonts w:ascii="Times New Roman" w:hAnsi="Times New Roman"/>
                <w:sz w:val="24"/>
              </w:rPr>
              <w:t xml:space="preserve">ρισσότερες της μιας βαθμίδες. </w:t>
            </w:r>
          </w:p>
          <w:p w:rsidR="001C7AB7" w:rsidRPr="00392FFD" w:rsidRDefault="001C7AB7" w:rsidP="00241845">
            <w:pPr>
              <w:rPr>
                <w:rFonts w:ascii="Times New Roman" w:hAnsi="Times New Roman"/>
                <w:sz w:val="24"/>
              </w:rPr>
            </w:pPr>
            <w:r>
              <w:rPr>
                <w:rStyle w:val="InstructionsTabelleText"/>
                <w:rFonts w:ascii="Times New Roman" w:hAnsi="Times New Roman"/>
                <w:sz w:val="24"/>
              </w:rPr>
              <w:t>Δεδομένου ότι η συγκεκριμένη στήλη αφορά ένα στοιχείο της δομής των συστημάτων διαβάθμισης, σχετίζεται με τα αρχικά ανοίγματα πριν από τους συντελεστές μετατροπής που έχουν αποδοθεί σε κάθε βαθμίδα ή ομάδα οφειλέτη, χωρίς να λαμβάνεται υπόψη το αποτέλεσμα των τεχνικών μείωσης του πιστωτικού κινδύνου (ιδίως τα αποτελέσματα ανακατανομής).</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Γραμμές</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Οδηγίες</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ΣΥΝΟΛΙΚΑ ΑΝΟΙΓΜΑΤΑ</w:t>
            </w:r>
          </w:p>
        </w:tc>
      </w:tr>
      <w:tr w:rsidR="00785F3E" w:rsidRPr="00392FFD" w:rsidTr="00672D2A">
        <w:tc>
          <w:tcPr>
            <w:tcW w:w="1242" w:type="dxa"/>
          </w:tcPr>
          <w:p w:rsidR="00785F3E" w:rsidRPr="00392FFD" w:rsidRDefault="003C3168" w:rsidP="001C7AB7">
            <w:pPr>
              <w:rPr>
                <w:rFonts w:ascii="Times New Roman" w:hAnsi="Times New Roman"/>
                <w:sz w:val="24"/>
              </w:rPr>
            </w:pPr>
            <w:r>
              <w:rPr>
                <w:rFonts w:ascii="Times New Roman" w:hAnsi="Times New Roman"/>
                <w:sz w:val="24"/>
              </w:rPr>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εκ των οποίων: Ανοίγματα που υπόκεινται στον συντελεστή στήριξης των ΜΜΕ</w:t>
            </w:r>
          </w:p>
          <w:p w:rsidR="00785F3E" w:rsidRPr="00392FFD" w:rsidRDefault="00785F3E" w:rsidP="00785F3E">
            <w:pPr>
              <w:rPr>
                <w:rFonts w:ascii="Times New Roman" w:hAnsi="Times New Roman"/>
                <w:sz w:val="24"/>
              </w:rPr>
            </w:pPr>
            <w:r>
              <w:rPr>
                <w:rFonts w:ascii="Times New Roman" w:hAnsi="Times New Roman"/>
                <w:sz w:val="24"/>
              </w:rPr>
              <w:t>Στο συγκεκριμένο σημείο αναφέρονται μόνο τα ανοίγματα που πληρούν τις απαιτήσεις του άρθρου 501 του ΚΚΑ.</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ΚΑΤΑΝΟΜΗ ΣΥΝΟΛΟΥ ΑΝΟΙΓΜΑΤΩΝ ΑΝΑ ΕΙΔΟΣ ΑΝΟΙΓΜΑΤΟΣ:</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Εντός ισολογισμού στοιχεία που υπόκεινται σε πιστωτικό κίνδυνο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Στοιχεία ενεργητικού που αναφέρονται στο άρθρο 24 του ΚΚΑ και δεν περιλαμβάν</w:t>
            </w:r>
            <w:r>
              <w:rPr>
                <w:rStyle w:val="InstructionsTabelleText"/>
                <w:rFonts w:ascii="Times New Roman" w:hAnsi="Times New Roman"/>
                <w:sz w:val="24"/>
              </w:rPr>
              <w:t>ο</w:t>
            </w:r>
            <w:r>
              <w:rPr>
                <w:rStyle w:val="InstructionsTabelleText"/>
                <w:rFonts w:ascii="Times New Roman" w:hAnsi="Times New Roman"/>
                <w:sz w:val="24"/>
              </w:rPr>
              <w:t>νται σε καμία άλλη κατηγορία.</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Τα ανοίγματα που αποτελούν στοιχεία εντός ισολογισμού και που περιλαμβάνονται ως συναλλαγές χρηματοδότησης τίτλων, παράγωγα και πράξεις με μακρά προθεσμία δι</w:t>
            </w:r>
            <w:r>
              <w:rPr>
                <w:rStyle w:val="InstructionsTabelleText"/>
                <w:rFonts w:ascii="Times New Roman" w:hAnsi="Times New Roman"/>
                <w:sz w:val="24"/>
              </w:rPr>
              <w:t>α</w:t>
            </w:r>
            <w:r>
              <w:rPr>
                <w:rStyle w:val="InstructionsTabelleText"/>
                <w:rFonts w:ascii="Times New Roman" w:hAnsi="Times New Roman"/>
                <w:sz w:val="24"/>
              </w:rPr>
              <w:t>κανονισμού ή από συμβατικό συμψηφισμό μεταξύ προϊόντων αναφέρονται στις γραμμές 040-060 και, επομένως, δεν αναφέρονται στη συγκεκριμένη γραμμή.</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Οι ατελείς συναλλαγές, σύμφωνα με το άρθρο 379 παράγραφος 1 του ΚΚΑ (εάν δεν αφαιρούνται), δεν αποτελούν στοιχείο εντός ισολογισμού, αλλά, μολαταύτα, αναφέρ</w:t>
            </w:r>
            <w:r>
              <w:rPr>
                <w:rStyle w:val="InstructionsTabelleText"/>
                <w:rFonts w:ascii="Times New Roman" w:hAnsi="Times New Roman"/>
                <w:sz w:val="24"/>
              </w:rPr>
              <w:t>ο</w:t>
            </w:r>
            <w:r>
              <w:rPr>
                <w:rStyle w:val="InstructionsTabelleText"/>
                <w:rFonts w:ascii="Times New Roman" w:hAnsi="Times New Roman"/>
                <w:sz w:val="24"/>
              </w:rPr>
              <w:t>νται στη συγκεκριμένη γραμμή.</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Τα ανοίγματα που προκύπτουν από στοιχεία ενεργητικού που παρέχονται σε κεντρικό αντισυμβαλλόμενο, σύμφωνα με το άρθρο 4 σημείο 91) του ΚΚΑ, και τα ανοίγματα σε κεφάλαιο εκκαθάρισης, σύμφωνα με το άρθρο 4 σημείο 89) του ΚΚΑ, περιλαμβάνονται, εφόσον δεν αναφέρονται στη γραμμή 030.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Εκτός ισολογισμού στοιχεία που υπόκεινται σε πιστωτικό κίνδυνο</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Οι θέσεις εκτός ισολογισμού περιλαμβάνουν τα στοιχεία που παρατίθενται στο παρά</w:t>
            </w:r>
            <w:r>
              <w:rPr>
                <w:rStyle w:val="InstructionsTabelleText"/>
                <w:rFonts w:ascii="Times New Roman" w:hAnsi="Times New Roman"/>
                <w:sz w:val="24"/>
              </w:rPr>
              <w:t>ρ</w:t>
            </w:r>
            <w:r>
              <w:rPr>
                <w:rStyle w:val="InstructionsTabelleText"/>
                <w:rFonts w:ascii="Times New Roman" w:hAnsi="Times New Roman"/>
                <w:sz w:val="24"/>
              </w:rPr>
              <w:t>τημα I του ΚΚΑ.</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Τα ανοίγματα που αποτελούν στοιχεία εκτός ισολογισμού και που περιλαμβάνονται ως συναλλαγές χρηματοδότησης τίτλων, παράγωγα και πράξεις με μακρά προθεσμία δι</w:t>
            </w:r>
            <w:r>
              <w:rPr>
                <w:rStyle w:val="InstructionsTabelleText"/>
                <w:rFonts w:ascii="Times New Roman" w:hAnsi="Times New Roman"/>
                <w:sz w:val="24"/>
              </w:rPr>
              <w:t>α</w:t>
            </w:r>
            <w:r>
              <w:rPr>
                <w:rStyle w:val="InstructionsTabelleText"/>
                <w:rFonts w:ascii="Times New Roman" w:hAnsi="Times New Roman"/>
                <w:sz w:val="24"/>
              </w:rPr>
              <w:t>κανονισμού ή από συμβατικό συμψηφισμό μεταξύ προϊόντων αναφέρονται στις γραμμές 040-060 και, επομένως, δεν αναφέρονται στη συγκεκριμένη γραμμή.</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Τα ανοίγματα που προκύπτουν από στοιχεία ενεργητικού που παρέχονται σε κεντρικό αντισυμβαλλόμενο, σύμφωνα με το άρθρο 4 σημείο 91) του ΚΚΑ, και τα ανοίγματα σε κεφάλαιο εκκαθάρισης, σύμφωνα με το άρθρο 4 σημείο 89) του ΚΚΑ, περιλαμβάνονται, </w:t>
            </w:r>
            <w:r>
              <w:rPr>
                <w:rStyle w:val="InstructionsTabelleText"/>
                <w:rFonts w:ascii="Times New Roman" w:hAnsi="Times New Roman"/>
                <w:sz w:val="24"/>
              </w:rPr>
              <w:lastRenderedPageBreak/>
              <w:t xml:space="preserve">εφόσον θεωρούνται στοιχεία εκτός ισολογισμού. </w:t>
            </w:r>
          </w:p>
        </w:tc>
      </w:tr>
      <w:tr w:rsidR="001C7AB7" w:rsidRPr="00392FFD" w:rsidTr="00672D2A">
        <w:tc>
          <w:tcPr>
            <w:tcW w:w="1242" w:type="dxa"/>
          </w:tcPr>
          <w:p w:rsidR="001C7AB7" w:rsidRPr="00392FFD" w:rsidRDefault="001C7AB7" w:rsidP="001C7AB7">
            <w:pPr>
              <w:rPr>
                <w:rFonts w:ascii="Times New Roman" w:hAnsi="Times New Roman"/>
                <w:sz w:val="24"/>
              </w:rPr>
            </w:pPr>
            <w:r>
              <w:rPr>
                <w:rStyle w:val="InstructionsTabelleText"/>
                <w:rFonts w:ascii="Times New Roman" w:hAnsi="Times New Roman"/>
                <w:sz w:val="24"/>
              </w:rPr>
              <w:lastRenderedPageBreak/>
              <w:t>040-060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Ανοίγματα / Συναλλαγές που υπόκεινται σε πιστωτικό κίνδυνο αντισυμβαλλομένου</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Συναλλαγές χρηματοδότησης τίτλων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Οι συναλλαγές χρηματοδότησης τίτλων (SFT), όπως ορίζονται στην παράγραφο 17 του εγγράφου της Επιτροπής της Βασιλείας «Εφαρμογή της Βασιλείας ΙΙ σε δραστηριότ</w:t>
            </w:r>
            <w:r>
              <w:rPr>
                <w:rStyle w:val="InstructionsTabelleText"/>
                <w:rFonts w:ascii="Times New Roman" w:hAnsi="Times New Roman"/>
                <w:sz w:val="24"/>
              </w:rPr>
              <w:t>η</w:t>
            </w:r>
            <w:r>
              <w:rPr>
                <w:rStyle w:val="InstructionsTabelleText"/>
                <w:rFonts w:ascii="Times New Roman" w:hAnsi="Times New Roman"/>
                <w:sz w:val="24"/>
              </w:rPr>
              <w:t>τες εμπορικής εκμετάλλευσης και αντιμετώπιση των επιπτώσεων της αμοιβαίας αθέτ</w:t>
            </w:r>
            <w:r>
              <w:rPr>
                <w:rStyle w:val="InstructionsTabelleText"/>
                <w:rFonts w:ascii="Times New Roman" w:hAnsi="Times New Roman"/>
                <w:sz w:val="24"/>
              </w:rPr>
              <w:t>η</w:t>
            </w:r>
            <w:r>
              <w:rPr>
                <w:rStyle w:val="InstructionsTabelleText"/>
                <w:rFonts w:ascii="Times New Roman" w:hAnsi="Times New Roman"/>
                <w:sz w:val="24"/>
              </w:rPr>
              <w:t>σης», περιλαμβάνουν: i) συμφωνίες πώλησης και επαναγοράς και αγοράς και επαναπ</w:t>
            </w:r>
            <w:r>
              <w:rPr>
                <w:rStyle w:val="InstructionsTabelleText"/>
                <w:rFonts w:ascii="Times New Roman" w:hAnsi="Times New Roman"/>
                <w:sz w:val="24"/>
              </w:rPr>
              <w:t>ώ</w:t>
            </w:r>
            <w:r>
              <w:rPr>
                <w:rStyle w:val="InstructionsTabelleText"/>
                <w:rFonts w:ascii="Times New Roman" w:hAnsi="Times New Roman"/>
                <w:sz w:val="24"/>
              </w:rPr>
              <w:t>λησης, που ορίζονται στο άρθρο 4 σημείο 82) του ΚΚΑ, καθώς και πράξεις δανειοδ</w:t>
            </w:r>
            <w:r>
              <w:rPr>
                <w:rStyle w:val="InstructionsTabelleText"/>
                <w:rFonts w:ascii="Times New Roman" w:hAnsi="Times New Roman"/>
                <w:sz w:val="24"/>
              </w:rPr>
              <w:t>ο</w:t>
            </w:r>
            <w:r>
              <w:rPr>
                <w:rStyle w:val="InstructionsTabelleText"/>
                <w:rFonts w:ascii="Times New Roman" w:hAnsi="Times New Roman"/>
                <w:sz w:val="24"/>
              </w:rPr>
              <w:t>σίας και δανειοληψίας τίτλων ή βασικών εμπορευμάτων και ii) πράξεις δανεισμού π</w:t>
            </w:r>
            <w:r>
              <w:rPr>
                <w:rStyle w:val="InstructionsTabelleText"/>
                <w:rFonts w:ascii="Times New Roman" w:hAnsi="Times New Roman"/>
                <w:sz w:val="24"/>
              </w:rPr>
              <w:t>ε</w:t>
            </w:r>
            <w:r>
              <w:rPr>
                <w:rStyle w:val="InstructionsTabelleText"/>
                <w:rFonts w:ascii="Times New Roman" w:hAnsi="Times New Roman"/>
                <w:sz w:val="24"/>
              </w:rPr>
              <w:t>ριθωρίων, όπως ορίζονται στο άρθρο 272 σημείο 3) του ΚΚΑ.</w:t>
            </w:r>
          </w:p>
          <w:p w:rsidR="001C7AB7" w:rsidRPr="00392FFD" w:rsidRDefault="001C7AB7" w:rsidP="00FD6CCB">
            <w:pPr>
              <w:rPr>
                <w:rFonts w:ascii="Times New Roman" w:hAnsi="Times New Roman"/>
                <w:sz w:val="24"/>
              </w:rPr>
            </w:pPr>
            <w:r>
              <w:rPr>
                <w:rStyle w:val="InstructionsTabelleText"/>
                <w:rFonts w:ascii="Times New Roman" w:hAnsi="Times New Roman"/>
                <w:sz w:val="24"/>
              </w:rPr>
              <w:t>Οι συναλλαγές χρηματοδότησης τίτλων, που περιλαμβάνονται σε συμψηφισμό μεταξύ προϊόντων και, επομένως, αναφέρονται στη γραμμή 060, δεν αναφέρονται στη συγκ</w:t>
            </w:r>
            <w:r>
              <w:rPr>
                <w:rStyle w:val="InstructionsTabelleText"/>
                <w:rFonts w:ascii="Times New Roman" w:hAnsi="Times New Roman"/>
                <w:sz w:val="24"/>
              </w:rPr>
              <w:t>ε</w:t>
            </w:r>
            <w:r>
              <w:rPr>
                <w:rStyle w:val="InstructionsTabelleText"/>
                <w:rFonts w:ascii="Times New Roman" w:hAnsi="Times New Roman"/>
                <w:sz w:val="24"/>
              </w:rPr>
              <w:t>κριμένη γραμμή.</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Παράγωγα </w:t>
            </w:r>
            <w:r>
              <w:rPr>
                <w:rStyle w:val="InstructionsTabelleberschrift"/>
                <w:rFonts w:ascii="Times New Roman" w:hAnsi="Times New Roman"/>
                <w:sz w:val="24"/>
              </w:rPr>
              <w:t>και πράξεις με μακρά προθεσμία διακανονισμού</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Τα παράγωγα περιλαμβάνουν τις συμβάσεις που αναφέρονται στο παράρτημα II του ΚΚΑ. Τα παράγωγα και οι πράξεις με μακρά προθεσμία διακανονισμού, που περιλα</w:t>
            </w:r>
            <w:r>
              <w:rPr>
                <w:rStyle w:val="InstructionsTabelleText"/>
                <w:rFonts w:ascii="Times New Roman" w:hAnsi="Times New Roman"/>
                <w:sz w:val="24"/>
              </w:rPr>
              <w:t>μ</w:t>
            </w:r>
            <w:r>
              <w:rPr>
                <w:rStyle w:val="InstructionsTabelleText"/>
                <w:rFonts w:ascii="Times New Roman" w:hAnsi="Times New Roman"/>
                <w:sz w:val="24"/>
              </w:rPr>
              <w:t>βάνονται σε συμψηφισμό μεταξύ προϊόντων και, επομένως, αναφέρονται στη γραμμή 060, δεν αναφέρονται στη συγκεκριμένη γραμμή.</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Από συμβατικό συμψηφισμό μεταξύ προϊόντων</w:t>
            </w:r>
          </w:p>
          <w:p w:rsidR="001C7AB7" w:rsidRPr="00392FFD" w:rsidRDefault="00FD6CCB" w:rsidP="001C7AB7">
            <w:pPr>
              <w:rPr>
                <w:rFonts w:ascii="Times New Roman" w:hAnsi="Times New Roman"/>
                <w:sz w:val="24"/>
              </w:rPr>
            </w:pPr>
            <w:r>
              <w:rPr>
                <w:rFonts w:ascii="Times New Roman" w:hAnsi="Times New Roman"/>
                <w:sz w:val="24"/>
              </w:rPr>
              <w:t>Βλέπε οδηγίες για το υπόδειγμα CR SA.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070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ΑΝΟΙΓΜΑΤΑ ΠΟΥ ΑΝΤΙΣΤΟΙΧΟΥΝ ΣΕ ΒΑΘΜΙΔΕΣ Ή ΟΜΑΔΕΣ ΟΦΕΙΛ</w:t>
            </w:r>
            <w:r>
              <w:rPr>
                <w:rFonts w:ascii="Times New Roman" w:hAnsi="Times New Roman"/>
                <w:b/>
                <w:sz w:val="24"/>
                <w:u w:val="single"/>
              </w:rPr>
              <w:t>Ε</w:t>
            </w:r>
            <w:r>
              <w:rPr>
                <w:rFonts w:ascii="Times New Roman" w:hAnsi="Times New Roman"/>
                <w:b/>
                <w:sz w:val="24"/>
                <w:u w:val="single"/>
              </w:rPr>
              <w:t>ΤΗ: ΣΥΝΟΛΟ</w:t>
            </w:r>
          </w:p>
          <w:p w:rsidR="001C7AB7" w:rsidRPr="00392FFD" w:rsidRDefault="001C7AB7" w:rsidP="001C7AB7">
            <w:pPr>
              <w:rPr>
                <w:rFonts w:ascii="Times New Roman" w:hAnsi="Times New Roman"/>
                <w:sz w:val="24"/>
              </w:rPr>
            </w:pPr>
            <w:r>
              <w:rPr>
                <w:rFonts w:ascii="Times New Roman" w:hAnsi="Times New Roman"/>
                <w:sz w:val="24"/>
              </w:rPr>
              <w:t xml:space="preserve">Για ανοίγματα έναντι επιχειρήσεων, ιδρυμάτων, κεντρικών κυβερνήσεων και κεντρικών τραπεζών, βλέπε άρθρο 142 παράγραφος 1 σημείο 6) και άρθρο 170 παράγραφος 1 στοιχείο γ) του ΚΚΑ. </w:t>
            </w:r>
          </w:p>
          <w:p w:rsidR="001C7AB7" w:rsidRPr="00392FFD" w:rsidRDefault="001C7AB7" w:rsidP="001C7AB7">
            <w:pPr>
              <w:rPr>
                <w:rFonts w:ascii="Times New Roman" w:hAnsi="Times New Roman"/>
                <w:sz w:val="24"/>
              </w:rPr>
            </w:pPr>
            <w:r>
              <w:rPr>
                <w:rFonts w:ascii="Times New Roman" w:hAnsi="Times New Roman"/>
                <w:sz w:val="24"/>
              </w:rPr>
              <w:t xml:space="preserve">Για τα ανοίγματα λιανικής τραπεζικής, βλέπε άρθρο 170 παράγραφος 3 στοιχείο β) του ΚΚΑ. Για τα ανοίγματα που προκύπτουν από αποκτηθείσες απαιτήσεις, βλέπε άρθρο 166 παράγραφος 6 του ΚΚΑ. </w:t>
            </w:r>
          </w:p>
          <w:p w:rsidR="001C7AB7" w:rsidRPr="00392FFD" w:rsidRDefault="001C7AB7" w:rsidP="001C7AB7">
            <w:pPr>
              <w:rPr>
                <w:rFonts w:ascii="Times New Roman" w:hAnsi="Times New Roman"/>
                <w:sz w:val="24"/>
              </w:rPr>
            </w:pPr>
            <w:r>
              <w:rPr>
                <w:rFonts w:ascii="Times New Roman" w:hAnsi="Times New Roman"/>
                <w:sz w:val="24"/>
              </w:rPr>
              <w:t xml:space="preserve">Τα ανοίγματα για τον κίνδυνο απομείωσης αξίας </w:t>
            </w:r>
            <w:proofErr w:type="spellStart"/>
            <w:r>
              <w:rPr>
                <w:rFonts w:ascii="Times New Roman" w:hAnsi="Times New Roman"/>
                <w:sz w:val="24"/>
              </w:rPr>
              <w:t>αποκτηθεισών</w:t>
            </w:r>
            <w:proofErr w:type="spellEnd"/>
            <w:r>
              <w:rPr>
                <w:rFonts w:ascii="Times New Roman" w:hAnsi="Times New Roman"/>
                <w:sz w:val="24"/>
              </w:rPr>
              <w:t xml:space="preserve"> απαιτήσεων δεν αναφ</w:t>
            </w:r>
            <w:r>
              <w:rPr>
                <w:rFonts w:ascii="Times New Roman" w:hAnsi="Times New Roman"/>
                <w:sz w:val="24"/>
              </w:rPr>
              <w:t>έ</w:t>
            </w:r>
            <w:r>
              <w:rPr>
                <w:rFonts w:ascii="Times New Roman" w:hAnsi="Times New Roman"/>
                <w:sz w:val="24"/>
              </w:rPr>
              <w:t>ρονται με βάση τις βαθμίδες ή ομάδες οφειλέτη και αναφέρονται στη γραμμή 180.</w:t>
            </w:r>
          </w:p>
          <w:p w:rsidR="001C7AB7" w:rsidRPr="00392FFD" w:rsidRDefault="001C7AB7" w:rsidP="001C7AB7">
            <w:pPr>
              <w:rPr>
                <w:rFonts w:ascii="Times New Roman" w:hAnsi="Times New Roman"/>
                <w:sz w:val="24"/>
              </w:rPr>
            </w:pPr>
            <w:r>
              <w:rPr>
                <w:rFonts w:ascii="Times New Roman" w:hAnsi="Times New Roman"/>
                <w:sz w:val="24"/>
              </w:rPr>
              <w:t>Στην περίπτωση που το ίδρυμα χρησιμοποιεί μεγάλο αριθμό βαθμίδων ή ομάδων, δύν</w:t>
            </w:r>
            <w:r>
              <w:rPr>
                <w:rFonts w:ascii="Times New Roman" w:hAnsi="Times New Roman"/>
                <w:sz w:val="24"/>
              </w:rPr>
              <w:t>α</w:t>
            </w:r>
            <w:r>
              <w:rPr>
                <w:rFonts w:ascii="Times New Roman" w:hAnsi="Times New Roman"/>
                <w:sz w:val="24"/>
              </w:rPr>
              <w:t xml:space="preserve">ται να συμφωνηθεί με τις αρμόδιες αρχές μειωμένος αριθμός βαθμίδων ή ομάδων που θα αναφερθούν. </w:t>
            </w:r>
          </w:p>
          <w:p w:rsidR="001C7AB7" w:rsidRPr="00392FFD" w:rsidRDefault="00C93697" w:rsidP="00FD6CCB">
            <w:pPr>
              <w:rPr>
                <w:rFonts w:ascii="Times New Roman" w:hAnsi="Times New Roman"/>
                <w:sz w:val="24"/>
              </w:rPr>
            </w:pPr>
            <w:r>
              <w:rPr>
                <w:rFonts w:ascii="Times New Roman" w:hAnsi="Times New Roman"/>
                <w:sz w:val="24"/>
              </w:rPr>
              <w:t xml:space="preserve">Δεν χρησιμοποιείται κύρια κλίμακα. Αντιθέτως, τα ιδρύματα καθορίζουν τα ίδια την κλίμακα που θα χρησιμοποιήσουν.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ΚΡΙΤΗΡΙΑ ΚΑΤΑΝΟΜΗΣ (SLOTTING) ΓΙΑ ΕΙΔΙΚΗ ΔΑΝΕΙΟΔΟΤΗΣΗ: Σ</w:t>
            </w:r>
            <w:r>
              <w:rPr>
                <w:rFonts w:ascii="Times New Roman" w:hAnsi="Times New Roman"/>
                <w:b/>
                <w:sz w:val="24"/>
                <w:u w:val="single"/>
              </w:rPr>
              <w:t>Υ</w:t>
            </w:r>
            <w:r>
              <w:rPr>
                <w:rFonts w:ascii="Times New Roman" w:hAnsi="Times New Roman"/>
                <w:b/>
                <w:sz w:val="24"/>
                <w:u w:val="single"/>
              </w:rPr>
              <w:t>ΝΟΛΟ</w:t>
            </w:r>
          </w:p>
          <w:p w:rsidR="001C7AB7" w:rsidRPr="00392FFD" w:rsidRDefault="001C7AB7" w:rsidP="00FD6CCB">
            <w:pPr>
              <w:rPr>
                <w:rFonts w:ascii="Times New Roman" w:hAnsi="Times New Roman"/>
                <w:sz w:val="24"/>
              </w:rPr>
            </w:pPr>
            <w:r>
              <w:rPr>
                <w:rFonts w:ascii="Times New Roman" w:hAnsi="Times New Roman"/>
                <w:sz w:val="24"/>
              </w:rPr>
              <w:t>Άρθρο 153 παράγραφος 5 του ΚΚΑ Αυτό εφαρμόζεται μόνο στις κατηγορίες ανοιγμ</w:t>
            </w:r>
            <w:r>
              <w:rPr>
                <w:rFonts w:ascii="Times New Roman" w:hAnsi="Times New Roman"/>
                <w:sz w:val="24"/>
              </w:rPr>
              <w:t>ά</w:t>
            </w:r>
            <w:r>
              <w:rPr>
                <w:rFonts w:ascii="Times New Roman" w:hAnsi="Times New Roman"/>
                <w:sz w:val="24"/>
              </w:rPr>
              <w:t>των έναντι επιχειρήσεων, ιδρυμάτων και κεντρικών κυβερνήσεων και κεντρικών τραπ</w:t>
            </w:r>
            <w:r>
              <w:rPr>
                <w:rFonts w:ascii="Times New Roman" w:hAnsi="Times New Roman"/>
                <w:sz w:val="24"/>
              </w:rPr>
              <w:t>ε</w:t>
            </w:r>
            <w:r>
              <w:rPr>
                <w:rFonts w:ascii="Times New Roman" w:hAnsi="Times New Roman"/>
                <w:sz w:val="24"/>
              </w:rPr>
              <w:t xml:space="preserve">ζών. </w:t>
            </w:r>
          </w:p>
        </w:tc>
      </w:tr>
      <w:tr w:rsidR="001C7AB7" w:rsidRPr="00392FFD" w:rsidTr="00672D2A">
        <w:tc>
          <w:tcPr>
            <w:tcW w:w="1242" w:type="dxa"/>
          </w:tcPr>
          <w:p w:rsidR="001C7AB7" w:rsidRPr="00392FFD" w:rsidRDefault="001C7AB7" w:rsidP="004F2B30">
            <w:pPr>
              <w:rPr>
                <w:rFonts w:ascii="Times New Roman" w:hAnsi="Times New Roman"/>
                <w:sz w:val="24"/>
              </w:rPr>
            </w:pPr>
            <w:r>
              <w:rPr>
                <w:rFonts w:ascii="Times New Roman" w:hAnsi="Times New Roman"/>
                <w:sz w:val="24"/>
              </w:rPr>
              <w:lastRenderedPageBreak/>
              <w:t>090-150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ΚΑΤΑΝΟΜΗ ΑΝΑ ΣΥΝΤΕΛΕΣΤΕΣ ΣΤΑΘΜΙΣΗΣ ΚΙΝΔΥΝΟΥ ΤΩΝ ΣΥΝ</w:t>
            </w:r>
            <w:r>
              <w:rPr>
                <w:rStyle w:val="InstructionsTabelleberschrift"/>
                <w:rFonts w:ascii="Times New Roman" w:hAnsi="Times New Roman"/>
                <w:sz w:val="24"/>
              </w:rPr>
              <w:t>Ο</w:t>
            </w:r>
            <w:r>
              <w:rPr>
                <w:rStyle w:val="InstructionsTabelleberschrift"/>
                <w:rFonts w:ascii="Times New Roman" w:hAnsi="Times New Roman"/>
                <w:sz w:val="24"/>
              </w:rPr>
              <w:t>ΛΙΚΩΝ ΑΝΟΙΓΜΑΤΩΝ ΒΑΣΕΙ ΚΡΙΤΗΡΙΩΝ ΚΑΤΑΝΟΜΗΣ (SLOTTING) ΓΙΑ ΕΙΔΙΚΗ ΔΑΝΕΙΟΔΟΤΗΣΗ:</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120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Στην κατηγορία 1 </w:t>
            </w:r>
          </w:p>
          <w:p w:rsidR="001C7AB7" w:rsidRPr="00392FFD" w:rsidRDefault="001C7AB7" w:rsidP="001C7AB7">
            <w:pPr>
              <w:rPr>
                <w:rFonts w:ascii="Times New Roman" w:hAnsi="Times New Roman"/>
                <w:sz w:val="24"/>
              </w:rPr>
            </w:pPr>
            <w:r>
              <w:rPr>
                <w:rFonts w:ascii="Times New Roman" w:hAnsi="Times New Roman"/>
                <w:sz w:val="24"/>
              </w:rPr>
              <w:t>Άρθρο 153 παράγραφος 5 πίνακας 1 του ΚΚΑ</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ΕΝΑΛΛΑΚΤΙΚΗ ΑΝΤΙΜΕΤΩΠΙΣΗ: ΕΞΑΣΦΑΛΙΣΗ ΜΕ ΑΚΙΝΗΤΗ ΠΕΡΙΟ</w:t>
            </w:r>
            <w:r>
              <w:rPr>
                <w:rStyle w:val="InstructionsTabelleberschrift"/>
                <w:rFonts w:ascii="Times New Roman" w:hAnsi="Times New Roman"/>
                <w:sz w:val="24"/>
              </w:rPr>
              <w:t>Υ</w:t>
            </w:r>
            <w:r>
              <w:rPr>
                <w:rStyle w:val="InstructionsTabelleberschrift"/>
                <w:rFonts w:ascii="Times New Roman" w:hAnsi="Times New Roman"/>
                <w:sz w:val="24"/>
              </w:rPr>
              <w:t>ΣΙΑ</w:t>
            </w:r>
          </w:p>
          <w:p w:rsidR="001C7AB7" w:rsidRPr="00392FFD" w:rsidRDefault="001C7AB7" w:rsidP="001C7AB7">
            <w:pPr>
              <w:rPr>
                <w:rFonts w:ascii="Times New Roman" w:hAnsi="Times New Roman"/>
                <w:sz w:val="24"/>
              </w:rPr>
            </w:pPr>
            <w:r>
              <w:rPr>
                <w:rFonts w:ascii="Times New Roman" w:hAnsi="Times New Roman"/>
                <w:sz w:val="24"/>
              </w:rPr>
              <w:t>Άρθρο 193 παράγραφοι 1 και 2, άρθρο 194 παράγραφοι 1 έως 7 και άρθρο 230 παρ</w:t>
            </w:r>
            <w:r>
              <w:rPr>
                <w:rFonts w:ascii="Times New Roman" w:hAnsi="Times New Roman"/>
                <w:sz w:val="24"/>
              </w:rPr>
              <w:t>ά</w:t>
            </w:r>
            <w:r>
              <w:rPr>
                <w:rFonts w:ascii="Times New Roman" w:hAnsi="Times New Roman"/>
                <w:sz w:val="24"/>
              </w:rPr>
              <w:t>γραφος 3 του ΚΚΑ</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ΑΝΟΙΓΜΑΤΑ ΑΠΟ ΑΤΕΛΕΙΣ ΣΥΝΑΛΛΑΓΕΣ ΜΕ ΕΦΑΡΜΟΓΗ ΣΥΝΤΕΛ</w:t>
            </w:r>
            <w:r>
              <w:rPr>
                <w:rStyle w:val="InstructionsTabelleberschrift"/>
                <w:rFonts w:ascii="Times New Roman" w:hAnsi="Times New Roman"/>
                <w:sz w:val="24"/>
              </w:rPr>
              <w:t>Ε</w:t>
            </w:r>
            <w:r>
              <w:rPr>
                <w:rStyle w:val="InstructionsTabelleberschrift"/>
                <w:rFonts w:ascii="Times New Roman" w:hAnsi="Times New Roman"/>
                <w:sz w:val="24"/>
              </w:rPr>
              <w:t>ΣΤΩΝ ΣΤΑΘΜΙΣΗΣ ΚΙΝΔΥΝΟΥ ΒΑΣΕΙ ΤΗΣ ΕΝΑΛΛΑΚΤΙΚΗΣ ΑΝΤΙΜ</w:t>
            </w:r>
            <w:r>
              <w:rPr>
                <w:rStyle w:val="InstructionsTabelleberschrift"/>
                <w:rFonts w:ascii="Times New Roman" w:hAnsi="Times New Roman"/>
                <w:sz w:val="24"/>
              </w:rPr>
              <w:t>Ε</w:t>
            </w:r>
            <w:r>
              <w:rPr>
                <w:rStyle w:val="InstructionsTabelleberschrift"/>
                <w:rFonts w:ascii="Times New Roman" w:hAnsi="Times New Roman"/>
                <w:sz w:val="24"/>
              </w:rPr>
              <w:t>ΤΩΠΙΣΗΣ Ή 100 % ΚΑΙ ΑΛΛΑ ΑΝΟΙΓΜΑΤΑ ΠΟΥ ΥΠΟΚΕΙΝΤΑΙ ΣΕ Σ</w:t>
            </w:r>
            <w:r>
              <w:rPr>
                <w:rStyle w:val="InstructionsTabelleberschrift"/>
                <w:rFonts w:ascii="Times New Roman" w:hAnsi="Times New Roman"/>
                <w:sz w:val="24"/>
              </w:rPr>
              <w:t>Υ</w:t>
            </w:r>
            <w:r>
              <w:rPr>
                <w:rStyle w:val="InstructionsTabelleberschrift"/>
                <w:rFonts w:ascii="Times New Roman" w:hAnsi="Times New Roman"/>
                <w:sz w:val="24"/>
              </w:rPr>
              <w:t>ΝΤΕΛΕΣΤΕΣ ΣΤΑΘΜΙΣΗΣ ΚΙΝΔΥΝΟΥ</w:t>
            </w:r>
          </w:p>
          <w:p w:rsidR="001C7AB7" w:rsidRPr="00392FFD" w:rsidRDefault="001C7AB7" w:rsidP="00417984">
            <w:pPr>
              <w:rPr>
                <w:rFonts w:ascii="Times New Roman" w:hAnsi="Times New Roman"/>
                <w:sz w:val="24"/>
              </w:rPr>
            </w:pPr>
            <w:r>
              <w:rPr>
                <w:rFonts w:ascii="Times New Roman" w:hAnsi="Times New Roman"/>
                <w:sz w:val="24"/>
              </w:rPr>
              <w:t>Ανοίγματα που προκύπτουν από ατελείς συναλλαγές για τις οποίες εφαρμόζεται η ενα</w:t>
            </w:r>
            <w:r>
              <w:rPr>
                <w:rFonts w:ascii="Times New Roman" w:hAnsi="Times New Roman"/>
                <w:sz w:val="24"/>
              </w:rPr>
              <w:t>λ</w:t>
            </w:r>
            <w:r>
              <w:rPr>
                <w:rFonts w:ascii="Times New Roman" w:hAnsi="Times New Roman"/>
                <w:sz w:val="24"/>
              </w:rPr>
              <w:t>λακτική αντιμετώπιση που αναφέρεται στο άρθρο 379 παράγραφος 2 πρώτο εδάφιο τ</w:t>
            </w:r>
            <w:r>
              <w:rPr>
                <w:rFonts w:ascii="Times New Roman" w:hAnsi="Times New Roman"/>
                <w:sz w:val="24"/>
              </w:rPr>
              <w:t>ε</w:t>
            </w:r>
            <w:r>
              <w:rPr>
                <w:rFonts w:ascii="Times New Roman" w:hAnsi="Times New Roman"/>
                <w:sz w:val="24"/>
              </w:rPr>
              <w:t>λευταία περίοδος του ΚΚΑ ή για τις οποίες εφαρμόζεται συντελεστής στάθμισης κινδ</w:t>
            </w:r>
            <w:r>
              <w:rPr>
                <w:rFonts w:ascii="Times New Roman" w:hAnsi="Times New Roman"/>
                <w:sz w:val="24"/>
              </w:rPr>
              <w:t>ύ</w:t>
            </w:r>
            <w:r>
              <w:rPr>
                <w:rFonts w:ascii="Times New Roman" w:hAnsi="Times New Roman"/>
                <w:sz w:val="24"/>
              </w:rPr>
              <w:t>νου 100 %, σύμφωνα με το άρθρο 379 παράγραφος 2 τελευταίο εδάφιο του ΚΚΑ. Τα μη διαβαθμισμένα πιστωτικά παράγωγα νιοστού βαθμού αθέτησης, σύμφωνα με το άρθρο 153 παράγραφος 8 του ΚΚΑ, και οποιαδήποτε άλλα ανοίγματα υποκείμενα σε συντελ</w:t>
            </w:r>
            <w:r>
              <w:rPr>
                <w:rFonts w:ascii="Times New Roman" w:hAnsi="Times New Roman"/>
                <w:sz w:val="24"/>
              </w:rPr>
              <w:t>ε</w:t>
            </w:r>
            <w:r>
              <w:rPr>
                <w:rFonts w:ascii="Times New Roman" w:hAnsi="Times New Roman"/>
                <w:sz w:val="24"/>
              </w:rPr>
              <w:t>στές στάθμισης κινδύνου που δεν περιλαμβάνονται σε οποιαδήποτε άλλη γραμμή αν</w:t>
            </w:r>
            <w:r>
              <w:rPr>
                <w:rFonts w:ascii="Times New Roman" w:hAnsi="Times New Roman"/>
                <w:sz w:val="24"/>
              </w:rPr>
              <w:t>α</w:t>
            </w:r>
            <w:r>
              <w:rPr>
                <w:rFonts w:ascii="Times New Roman" w:hAnsi="Times New Roman"/>
                <w:sz w:val="24"/>
              </w:rPr>
              <w:t>φέρονται στη συγκεκριμένη γραμμή.</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ΚΙΝΔΥΝΟΣ ΑΠΟΜΕΙΩΣΗΣ ΑΞΙΑΣ: ΣΥΝΟΛΙΚΕΣ ΑΠΟΚΤΗΘΕΙΣΕΣ ΑΠΑ</w:t>
            </w:r>
            <w:r>
              <w:rPr>
                <w:rStyle w:val="InstructionsTabelleberschrift"/>
                <w:rFonts w:ascii="Times New Roman" w:hAnsi="Times New Roman"/>
                <w:sz w:val="24"/>
              </w:rPr>
              <w:t>Ι</w:t>
            </w:r>
            <w:r>
              <w:rPr>
                <w:rStyle w:val="InstructionsTabelleberschrift"/>
                <w:rFonts w:ascii="Times New Roman" w:hAnsi="Times New Roman"/>
                <w:sz w:val="24"/>
              </w:rPr>
              <w:t>ΤΗΣΕΙΣ</w:t>
            </w:r>
          </w:p>
          <w:p w:rsidR="001C7AB7" w:rsidRPr="00392FFD" w:rsidRDefault="001C7AB7" w:rsidP="001C7AB7">
            <w:pPr>
              <w:rPr>
                <w:rFonts w:ascii="Times New Roman" w:hAnsi="Times New Roman"/>
                <w:sz w:val="24"/>
              </w:rPr>
            </w:pPr>
            <w:r>
              <w:rPr>
                <w:rFonts w:ascii="Times New Roman" w:hAnsi="Times New Roman"/>
                <w:sz w:val="24"/>
              </w:rPr>
              <w:t>Βλέπε άρθρο 4 σημείο 53) του ΚΚΑ για τον ορισμό του κινδύνου απομείωσης της αξίας εισπρακτέων. Για τον υπολογισμό του συντελεστή στάθμισης κινδύνου για τον κίνδυνο απομείωσης αξίας εισπρακτέων, βλέπε άρθρο 157 παράγραφος 1 του ΚΚΑ.</w:t>
            </w:r>
          </w:p>
          <w:p w:rsidR="001C7AB7" w:rsidRPr="00392FFD" w:rsidRDefault="001C7AB7" w:rsidP="00FD6CCB">
            <w:pPr>
              <w:rPr>
                <w:rFonts w:ascii="Times New Roman" w:hAnsi="Times New Roman"/>
                <w:sz w:val="24"/>
              </w:rPr>
            </w:pPr>
            <w:r>
              <w:rPr>
                <w:rFonts w:ascii="Times New Roman" w:hAnsi="Times New Roman"/>
                <w:sz w:val="24"/>
              </w:rPr>
              <w:t xml:space="preserve">Σύμφωνα με το άρθρο 166 παράγραφος 6 του ΚΚΑ, η αξία ανοίγματος </w:t>
            </w:r>
            <w:proofErr w:type="spellStart"/>
            <w:r>
              <w:rPr>
                <w:rFonts w:ascii="Times New Roman" w:hAnsi="Times New Roman"/>
                <w:sz w:val="24"/>
              </w:rPr>
              <w:t>αποκτηθεισών</w:t>
            </w:r>
            <w:proofErr w:type="spellEnd"/>
            <w:r>
              <w:rPr>
                <w:rFonts w:ascii="Times New Roman" w:hAnsi="Times New Roman"/>
                <w:sz w:val="24"/>
              </w:rPr>
              <w:t xml:space="preserve"> απαιτήσεων είναι το ανεξόφλητο ποσό πλην τα </w:t>
            </w:r>
            <w:r>
              <w:rPr>
                <w:rStyle w:val="InstructionsTabelleText"/>
                <w:rFonts w:ascii="Times New Roman" w:hAnsi="Times New Roman"/>
                <w:sz w:val="24"/>
              </w:rPr>
              <w:t>σταθμισμένα ως προς τον κίνδυνο ποσά ανοίγματος</w:t>
            </w:r>
            <w:r>
              <w:rPr>
                <w:rFonts w:ascii="Times New Roman" w:hAnsi="Times New Roman"/>
                <w:sz w:val="24"/>
              </w:rPr>
              <w:t xml:space="preserve"> για τον κίνδυνο απομείωσης αξίας εισπρακτέων, πριν από τη μείωση του π</w:t>
            </w:r>
            <w:r>
              <w:rPr>
                <w:rFonts w:ascii="Times New Roman" w:hAnsi="Times New Roman"/>
                <w:sz w:val="24"/>
              </w:rPr>
              <w:t>ι</w:t>
            </w:r>
            <w:r>
              <w:rPr>
                <w:rFonts w:ascii="Times New Roman" w:hAnsi="Times New Roman"/>
                <w:sz w:val="24"/>
              </w:rPr>
              <w:t>στωτικού κινδύνου.</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21" w:name="_Toc516210646"/>
      <w:bookmarkStart w:id="322" w:name="_Toc473560911"/>
      <w:r>
        <w:rPr>
          <w:rFonts w:ascii="Times New Roman" w:hAnsi="Times New Roman"/>
          <w:sz w:val="24"/>
          <w:u w:val="none"/>
        </w:rPr>
        <w:t>3.3.4.</w:t>
      </w:r>
      <w:r>
        <w:tab/>
      </w:r>
      <w:r>
        <w:rPr>
          <w:rFonts w:ascii="Times New Roman" w:hAnsi="Times New Roman"/>
          <w:sz w:val="24"/>
        </w:rPr>
        <w:t>C 08.02 – Πιστωτικός κίνδυνος και πιστωτικός κίνδυνος αντισυμβαλλομένου και ατ</w:t>
      </w:r>
      <w:r>
        <w:rPr>
          <w:rFonts w:ascii="Times New Roman" w:hAnsi="Times New Roman"/>
          <w:sz w:val="24"/>
        </w:rPr>
        <w:t>ε</w:t>
      </w:r>
      <w:r>
        <w:rPr>
          <w:rFonts w:ascii="Times New Roman" w:hAnsi="Times New Roman"/>
          <w:sz w:val="24"/>
        </w:rPr>
        <w:t>λείς συναλλαγές: Προσέγγιση IRB για τις κεφαλαιακές απαιτήσεις (ανάλυση κατά βαθμ</w:t>
      </w:r>
      <w:r>
        <w:rPr>
          <w:rFonts w:ascii="Times New Roman" w:hAnsi="Times New Roman"/>
          <w:sz w:val="24"/>
        </w:rPr>
        <w:t>ί</w:t>
      </w:r>
      <w:r>
        <w:rPr>
          <w:rFonts w:ascii="Times New Roman" w:hAnsi="Times New Roman"/>
          <w:sz w:val="24"/>
        </w:rPr>
        <w:t>δες ή ομάδες οφειλέτη) (υπόδειγμα CR IRB 2)</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Στήλη</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Οδηγίες</w:t>
            </w:r>
          </w:p>
        </w:tc>
      </w:tr>
      <w:tr w:rsidR="00E97CD2" w:rsidRPr="00392FFD" w:rsidTr="00672D2A">
        <w:tc>
          <w:tcPr>
            <w:tcW w:w="2024" w:type="dxa"/>
          </w:tcPr>
          <w:p w:rsidR="00E97CD2" w:rsidRPr="00392FFD" w:rsidRDefault="00E97CD2" w:rsidP="001C7AB7">
            <w:pPr>
              <w:rPr>
                <w:rFonts w:ascii="Times New Roman" w:hAnsi="Times New Roman"/>
                <w:sz w:val="24"/>
              </w:rPr>
            </w:pPr>
            <w:r>
              <w:rPr>
                <w:rFonts w:ascii="Times New Roman" w:hAnsi="Times New Roman"/>
                <w:sz w:val="24"/>
              </w:rPr>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Βαθμίδα οφειλέτη (αναγνωριστικός κωδικός γραμμής)</w:t>
            </w:r>
          </w:p>
          <w:p w:rsidR="00E97CD2" w:rsidRPr="00392FFD" w:rsidRDefault="00E97CD2" w:rsidP="003F05A0">
            <w:pPr>
              <w:rPr>
                <w:rFonts w:ascii="Times New Roman" w:hAnsi="Times New Roman"/>
                <w:sz w:val="24"/>
              </w:rPr>
            </w:pPr>
            <w:r>
              <w:rPr>
                <w:rFonts w:ascii="Times New Roman" w:hAnsi="Times New Roman"/>
                <w:sz w:val="24"/>
              </w:rPr>
              <w:t>Πρόκειται για αναγνωριστικό κωδικό γραμμής και είναι μοναδικός για κάθε γραμμή συγκεκριμένου φύλλου του πίνακα. Τηρείται η σειρά αρίθμησης 1, 2, 3, κ.λπ.</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lastRenderedPageBreak/>
              <w:t>010-300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Οι οδηγίες για καθεμία από τις στήλες αυτές είναι ίδιες με τις οδηγίες για τις αντίστοιχα αριθμημένες στήλες του πίνακα του υποδείγματος CR IRB 1.</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Γραμμή</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Οδηγίες</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010-001 – 010-NNN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Οι τιμές που αναφέρονται στις συγκεκριμένες γραμμές πρέπει να κατατάσσ</w:t>
            </w:r>
            <w:r>
              <w:rPr>
                <w:rFonts w:ascii="Times New Roman" w:hAnsi="Times New Roman"/>
                <w:sz w:val="24"/>
              </w:rPr>
              <w:t>ο</w:t>
            </w:r>
            <w:r>
              <w:rPr>
                <w:rFonts w:ascii="Times New Roman" w:hAnsi="Times New Roman"/>
                <w:sz w:val="24"/>
              </w:rPr>
              <w:t>νται από τη χαμηλότερη προς την υψηλότερη, σύμφωνα με την πιθανότητα αθέτησης (PD) που σχετίζεται με τη βαθμίδα ή ομάδα οφειλέτη. Η πιθανότητα αθέτησης οφειλετών σε υπερημερία είναι 100 %. Τα ανοίγματα που υπόκε</w:t>
            </w:r>
            <w:r>
              <w:rPr>
                <w:rFonts w:ascii="Times New Roman" w:hAnsi="Times New Roman"/>
                <w:sz w:val="24"/>
              </w:rPr>
              <w:t>ι</w:t>
            </w:r>
            <w:r>
              <w:rPr>
                <w:rFonts w:ascii="Times New Roman" w:hAnsi="Times New Roman"/>
                <w:sz w:val="24"/>
              </w:rPr>
              <w:t>νται στην εναλλακτική αντιμετώπιση για εξασφάλιση με ακίνητη περιουσία (διαθέσιμη μόνον όταν δεν χρησιμοποιούνται εσωτερικές εκτιμήσεις της ζ</w:t>
            </w:r>
            <w:r>
              <w:rPr>
                <w:rFonts w:ascii="Times New Roman" w:hAnsi="Times New Roman"/>
                <w:sz w:val="24"/>
              </w:rPr>
              <w:t>η</w:t>
            </w:r>
            <w:r>
              <w:rPr>
                <w:rFonts w:ascii="Times New Roman" w:hAnsi="Times New Roman"/>
                <w:sz w:val="24"/>
              </w:rPr>
              <w:t>μίας λόγω αθέτησης) δεν κατατάσσονται σύμφωνα με την πιθανότητα αθέτ</w:t>
            </w:r>
            <w:r>
              <w:rPr>
                <w:rFonts w:ascii="Times New Roman" w:hAnsi="Times New Roman"/>
                <w:sz w:val="24"/>
              </w:rPr>
              <w:t>η</w:t>
            </w:r>
            <w:r>
              <w:rPr>
                <w:rFonts w:ascii="Times New Roman" w:hAnsi="Times New Roman"/>
                <w:sz w:val="24"/>
              </w:rPr>
              <w:t>σης του οφειλέτη και δεν αναφέρονται στο συγκεκριμένο υπόδειγμα.</w:t>
            </w:r>
          </w:p>
        </w:tc>
      </w:tr>
    </w:tbl>
    <w:p w:rsidR="004357B9" w:rsidRPr="00392FFD" w:rsidRDefault="004357B9" w:rsidP="00FD239F">
      <w:pPr>
        <w:pStyle w:val="InstructionsText"/>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23" w:name="_Toc360188361"/>
      <w:bookmarkStart w:id="324" w:name="_Toc516210647"/>
      <w:bookmarkStart w:id="325" w:name="_Toc473560912"/>
      <w:r>
        <w:rPr>
          <w:rFonts w:ascii="Times New Roman" w:hAnsi="Times New Roman"/>
          <w:sz w:val="24"/>
          <w:u w:val="none"/>
        </w:rPr>
        <w:t>3.4.</w:t>
      </w:r>
      <w:r>
        <w:tab/>
      </w:r>
      <w:r>
        <w:rPr>
          <w:rFonts w:ascii="Times New Roman" w:hAnsi="Times New Roman"/>
          <w:sz w:val="24"/>
        </w:rPr>
        <w:t>Πιστωτικός κίνδυνος και πιστωτικός κίνδυνος αντισυμβαλλομένου και ατελείς συνα</w:t>
      </w:r>
      <w:r>
        <w:rPr>
          <w:rFonts w:ascii="Times New Roman" w:hAnsi="Times New Roman"/>
          <w:sz w:val="24"/>
        </w:rPr>
        <w:t>λ</w:t>
      </w:r>
      <w:r>
        <w:rPr>
          <w:rFonts w:ascii="Times New Roman" w:hAnsi="Times New Roman"/>
          <w:sz w:val="24"/>
        </w:rPr>
        <w:t>λαγές: Πληροφορίες με γεωγραφική κατανομή</w:t>
      </w:r>
      <w:bookmarkEnd w:id="323"/>
      <w:bookmarkEnd w:id="324"/>
      <w:bookmarkEnd w:id="325"/>
    </w:p>
    <w:p w:rsidR="004357B9" w:rsidRPr="00392FFD" w:rsidRDefault="00125707" w:rsidP="00C37B29">
      <w:pPr>
        <w:pStyle w:val="InstructionsText2"/>
        <w:numPr>
          <w:ilvl w:val="0"/>
          <w:numId w:val="0"/>
        </w:numPr>
        <w:ind w:left="993"/>
      </w:pPr>
      <w:r>
        <w:t>79.</w:t>
      </w:r>
      <w:r>
        <w:tab/>
        <w:t>Όλα τα ιδρύματα υποβάλλουν πληροφορίες συγκεντρωτικά σε συνολικό επ</w:t>
      </w:r>
      <w:r>
        <w:t>ί</w:t>
      </w:r>
      <w:r>
        <w:t>πεδο. Επιπλέον, τα ιδρύματα που συμμορφώνονται με το κατώτατο όριο που τίθ</w:t>
      </w:r>
      <w:r>
        <w:t>ε</w:t>
      </w:r>
      <w:r>
        <w:t>ται στο άρθρο 5 στοιχείο α) σημείο 4) του παρόντος κανονισμού υποβάλλουν πλ</w:t>
      </w:r>
      <w:r>
        <w:t>η</w:t>
      </w:r>
      <w:r>
        <w:t>ροφορίες, κατανεμημένες ανά χώρα, σχετικά με την εγχώρια αγορά, καθώς και με οποιαδήποτε μη εγχώρια αγορά. Το κατώτατο όριο εφαρμόζεται μόνο στον πίνακα 1 και τον πίνακα 2. Ανοίγματα σε υπερεθνικούς οργανισμούς αποδίδονται στον γ</w:t>
      </w:r>
      <w:r>
        <w:t>ε</w:t>
      </w:r>
      <w:r>
        <w:t>ωγραφικό τομέα «Άλλες χώρες».</w:t>
      </w:r>
    </w:p>
    <w:p w:rsidR="004357B9" w:rsidRPr="00392FFD" w:rsidRDefault="00125707" w:rsidP="00C37B29">
      <w:pPr>
        <w:pStyle w:val="InstructionsText2"/>
        <w:numPr>
          <w:ilvl w:val="0"/>
          <w:numId w:val="0"/>
        </w:numPr>
        <w:ind w:left="993"/>
      </w:pPr>
      <w:r>
        <w:t>80.</w:t>
      </w:r>
      <w:r>
        <w:tab/>
        <w:t>Ο όρος «κατοικία του οφειλέτη» αναφέρεται στη χώρα σύστασης του οφειλ</w:t>
      </w:r>
      <w:r>
        <w:t>έ</w:t>
      </w:r>
      <w:r>
        <w:t>τη. Η έννοια αυτή μπορεί να εφαρμοστεί στη βάση του άμεσου οφειλέτη ή στη β</w:t>
      </w:r>
      <w:r>
        <w:t>ά</w:t>
      </w:r>
      <w:r>
        <w:t>ση του τελικού κινδύνου. Επομένως, οι τεχνικές μείωσης του πιστωτικού κινδύνου με αποτελέσματα υποκατάστασης μπορούν να αλλάξουν την κατάταξη ενός ανοί</w:t>
      </w:r>
      <w:r>
        <w:t>γ</w:t>
      </w:r>
      <w:r>
        <w:t>ματος σε μια χώρα. Ανοίγματα σε υπερεθνικούς οργανισμούς δεν αποδίδονται στη χώρα κατοικίας του ιδρύματος, αλλά στον γεωγραφικό τομέα «Άλλες χώρες» αν</w:t>
      </w:r>
      <w:r>
        <w:t>ε</w:t>
      </w:r>
      <w:r>
        <w:t>ξάρτητα από την κατηγορία ανοιγμάτων στην οποία αποδίδεται το άνοιγμα σε υπ</w:t>
      </w:r>
      <w:r>
        <w:t>ε</w:t>
      </w:r>
      <w:r>
        <w:t>ρεθνικούς οργανισμούς.</w:t>
      </w:r>
    </w:p>
    <w:p w:rsidR="0096378F" w:rsidRPr="00392FFD" w:rsidRDefault="00125707" w:rsidP="00C37B29">
      <w:pPr>
        <w:pStyle w:val="InstructionsText2"/>
        <w:numPr>
          <w:ilvl w:val="0"/>
          <w:numId w:val="0"/>
        </w:numPr>
        <w:ind w:left="993"/>
      </w:pPr>
      <w:r>
        <w:t>81.</w:t>
      </w:r>
      <w:r>
        <w:tab/>
        <w:t>Στοιχεία σχετικά με το «αρχικό άνοιγμα πριν από τους συντελεστές μετατρ</w:t>
      </w:r>
      <w:r>
        <w:t>ο</w:t>
      </w:r>
      <w:r>
        <w:t>πής» αναφέρονται σε σχέση με τη χώρα κατοικίας του άμεσου οφειλέτη. Στοιχεία σχετικά με την «αξία ανοίγματος» και τα «σταθμισμένα ως προς τον κίνδυνο ποσά ανοίγματος» αναφέρονται σε σχέση με τη χώρα κατοικίας του τελικού οφειλέτη.</w:t>
      </w: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26" w:name="_Toc360188362"/>
      <w:bookmarkStart w:id="327" w:name="_Toc516210648"/>
      <w:bookmarkStart w:id="328" w:name="_Toc473560913"/>
      <w:r>
        <w:rPr>
          <w:rFonts w:ascii="Times New Roman" w:hAnsi="Times New Roman"/>
          <w:sz w:val="24"/>
          <w:u w:val="none"/>
        </w:rPr>
        <w:t>3.4.1.</w:t>
      </w:r>
      <w:r>
        <w:tab/>
      </w:r>
      <w:r>
        <w:rPr>
          <w:rFonts w:ascii="Times New Roman" w:hAnsi="Times New Roman"/>
          <w:sz w:val="24"/>
        </w:rPr>
        <w:t>C 09.01 – Γεωγραφική κατανομή των ανοιγμάτων με βάση την κατοικία του οφειλέτη: Ανοίγματα SA (CR GB 1)</w:t>
      </w:r>
      <w:bookmarkEnd w:id="326"/>
      <w:bookmarkEnd w:id="327"/>
      <w:bookmarkEnd w:id="328"/>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29" w:name="_Toc360188363"/>
      <w:bookmarkStart w:id="330" w:name="_Toc516210649"/>
      <w:bookmarkStart w:id="331" w:name="_Toc473560914"/>
      <w:r>
        <w:rPr>
          <w:rFonts w:ascii="Times New Roman" w:hAnsi="Times New Roman"/>
          <w:sz w:val="24"/>
          <w:u w:val="none"/>
        </w:rPr>
        <w:t>3.4.1.1.</w:t>
      </w:r>
      <w:r>
        <w:tab/>
      </w:r>
      <w:r>
        <w:rPr>
          <w:rFonts w:ascii="Times New Roman" w:hAnsi="Times New Roman"/>
          <w:sz w:val="24"/>
        </w:rPr>
        <w:t>Οδηγίες για συγκεκριμένες θέσεις</w:t>
      </w:r>
      <w:bookmarkEnd w:id="329"/>
      <w:bookmarkEnd w:id="330"/>
      <w:bookmarkEnd w:id="33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rsidTr="00672D2A">
        <w:trPr>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Στήλες</w:t>
            </w: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lastRenderedPageBreak/>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ΑΡΧΙΚΟ ΑΝΟΙΓΜΑ ΠΡΙΝ ΑΠΟ ΤΟΥΣ ΣΥΝΤΕΛΕΣΤΕΣ ΜΕΤΑΤΡΟΠΗΣ</w:t>
            </w:r>
          </w:p>
          <w:p w:rsidR="004357B9" w:rsidRPr="00392FFD" w:rsidRDefault="004357B9" w:rsidP="004357B9">
            <w:pPr>
              <w:rPr>
                <w:rFonts w:ascii="Times New Roman" w:hAnsi="Times New Roman"/>
                <w:sz w:val="24"/>
              </w:rPr>
            </w:pPr>
            <w:r>
              <w:rPr>
                <w:rFonts w:ascii="Times New Roman" w:hAnsi="Times New Roman"/>
                <w:sz w:val="24"/>
              </w:rPr>
              <w:t>Ίδιος ορισμός με τον ορισμό της στήλης 010 του υποδείγματος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392FFD" w:rsidRDefault="00771E97" w:rsidP="004357B9">
            <w:pPr>
              <w:rPr>
                <w:rFonts w:ascii="Times New Roman" w:hAnsi="Times New Roman"/>
                <w:b/>
                <w:sz w:val="24"/>
                <w:u w:val="single"/>
              </w:rPr>
            </w:pPr>
            <w:r>
              <w:rPr>
                <w:rFonts w:ascii="Times New Roman" w:hAnsi="Times New Roman"/>
                <w:b/>
                <w:sz w:val="24"/>
                <w:u w:val="single"/>
              </w:rPr>
              <w:t>Ανοίγματα σε αθέτηση</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Αρχικό άνοιγμα πριν από τους συντελεστές μετατροπής για τα ανοίγματα που έχουν καταταχθεί στην κατηγορία «ανοίγματα σε αθέτηση» και για ανοίγματα σε αθέτηση που κατατάσσονται στην κατηγορία «ανοίγματα που σχετίζονται με ιδιαίτερα υψηλούς κινδύνους» ή «ανοίγματα σε μετοχές».</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Αυτό το «υπομνηματικό στοιχείο» παρέχει επιπλέον πληροφορίες σχετικά με τη δομή οφειλέτη των ανοιγμάτων σε αθέτηση. Τα ανοίγματα που κατατάσσονται ως «ανοί</w:t>
            </w:r>
            <w:r>
              <w:rPr>
                <w:rStyle w:val="InstructionsTabelleText"/>
                <w:rFonts w:ascii="Times New Roman" w:hAnsi="Times New Roman"/>
                <w:sz w:val="24"/>
              </w:rPr>
              <w:t>γ</w:t>
            </w:r>
            <w:r>
              <w:rPr>
                <w:rStyle w:val="InstructionsTabelleText"/>
                <w:rFonts w:ascii="Times New Roman" w:hAnsi="Times New Roman"/>
                <w:sz w:val="24"/>
              </w:rPr>
              <w:t xml:space="preserve">ματα σε αθέτηση», σύμφωνα με το άρθρο 112 στοιχείο ι) του ΚΚΑ, αναφέρονται στις γραμμές στις οποίες θα αναφέρονταν οι οφειλέτες, </w:t>
            </w:r>
            <w:r>
              <w:rPr>
                <w:rStyle w:val="InstructionsTabelleText"/>
                <w:rFonts w:ascii="Times New Roman" w:hAnsi="Times New Roman"/>
                <w:sz w:val="24"/>
              </w:rPr>
              <w:br/>
              <w:t>εάν τα ανοίγματα αυτά δεν είχαν ταξινομηθεί στις κατηγορίες ανοιγμάτων «σε αθέτ</w:t>
            </w:r>
            <w:r>
              <w:rPr>
                <w:rStyle w:val="InstructionsTabelleText"/>
                <w:rFonts w:ascii="Times New Roman" w:hAnsi="Times New Roman"/>
                <w:sz w:val="24"/>
              </w:rPr>
              <w:t>η</w:t>
            </w:r>
            <w:r>
              <w:rPr>
                <w:rStyle w:val="InstructionsTabelleText"/>
                <w:rFonts w:ascii="Times New Roman" w:hAnsi="Times New Roman"/>
                <w:sz w:val="24"/>
              </w:rPr>
              <w:t xml:space="preserve">ση». </w:t>
            </w:r>
          </w:p>
          <w:p w:rsidR="004357B9" w:rsidRPr="00392FFD" w:rsidRDefault="004357B9" w:rsidP="004357B9">
            <w:pPr>
              <w:rPr>
                <w:rFonts w:ascii="Times New Roman" w:hAnsi="Times New Roman"/>
                <w:sz w:val="24"/>
              </w:rPr>
            </w:pPr>
            <w:r>
              <w:rPr>
                <w:rStyle w:val="InstructionsTabelleText"/>
                <w:rFonts w:ascii="Times New Roman" w:hAnsi="Times New Roman"/>
                <w:sz w:val="24"/>
              </w:rPr>
              <w:t>Οι πληροφορίες αυτές αποτελούν «υπομνηματικό στοιχείο» — επομένως, δεν επηρε</w:t>
            </w:r>
            <w:r>
              <w:rPr>
                <w:rStyle w:val="InstructionsTabelleText"/>
                <w:rFonts w:ascii="Times New Roman" w:hAnsi="Times New Roman"/>
                <w:sz w:val="24"/>
              </w:rPr>
              <w:t>ά</w:t>
            </w:r>
            <w:r>
              <w:rPr>
                <w:rStyle w:val="InstructionsTabelleText"/>
                <w:rFonts w:ascii="Times New Roman" w:hAnsi="Times New Roman"/>
                <w:sz w:val="24"/>
              </w:rPr>
              <w:t xml:space="preserve">ζουν τον υπολογισμό των σταθμισμένων ως προς τον κίνδυνο ποσών ανοιγμάτων των κατηγοριών ανοιγμάτων «ανοίγματα σε αθέτηση», «ανοίγματα που σχετίζονται με </w:t>
            </w:r>
            <w:r>
              <w:rPr>
                <w:rStyle w:val="InstructionsTabelleText"/>
                <w:rFonts w:ascii="Times New Roman" w:hAnsi="Times New Roman"/>
                <w:sz w:val="24"/>
              </w:rPr>
              <w:t>ι</w:t>
            </w:r>
            <w:r>
              <w:rPr>
                <w:rStyle w:val="InstructionsTabelleText"/>
                <w:rFonts w:ascii="Times New Roman" w:hAnsi="Times New Roman"/>
                <w:sz w:val="24"/>
              </w:rPr>
              <w:t>διαίτερα υψηλούς κινδύνους» ή «ανοίγματα σε μετοχές», σύμφωνα με το άρθρο 112 στοιχεία ι), ια) ή ιστ) του ΚΚΑ, αντίστοιχα.</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Νέες αθετήσεις που παρατηρήθηκαν κατά την περίοδο</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Το ποσό των αρχικών ανοιγμάτων που έχουν μετακινηθεί στην κατηγορία ανοιγμάτων «Ανοίγματα σε αθέτηση», κατά τη διάρκεια περιόδου 3 μηνών από την τελευταία ημ</w:t>
            </w:r>
            <w:r>
              <w:rPr>
                <w:rStyle w:val="InstructionsTabelleText"/>
                <w:rFonts w:ascii="Times New Roman" w:hAnsi="Times New Roman"/>
                <w:sz w:val="24"/>
              </w:rPr>
              <w:t>ε</w:t>
            </w:r>
            <w:r>
              <w:rPr>
                <w:rStyle w:val="InstructionsTabelleText"/>
                <w:rFonts w:ascii="Times New Roman" w:hAnsi="Times New Roman"/>
                <w:sz w:val="24"/>
              </w:rPr>
              <w:t>ρομηνία αναφοράς για την υποβολή αναφορών, αναφέρεται στο συγκεκριμένο σημείο έναντι της κατηγορίας ανοιγμάτων στην οποία ανήκε αρχικά ο οφειλέτης.</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Γενικές προσαρμογές πιστωτικού κινδύνου</w:t>
            </w:r>
          </w:p>
          <w:p w:rsidR="004357B9" w:rsidRDefault="004357B9" w:rsidP="004357B9">
            <w:pPr>
              <w:rPr>
                <w:rFonts w:ascii="Times New Roman" w:hAnsi="Times New Roman"/>
                <w:sz w:val="24"/>
              </w:rPr>
            </w:pPr>
            <w:r>
              <w:rPr>
                <w:rFonts w:ascii="Times New Roman" w:hAnsi="Times New Roman"/>
                <w:sz w:val="24"/>
              </w:rPr>
              <w:t xml:space="preserve">Προσαρμογές πιστωτικού κινδύνου σύμφωνα με το άρθρο 110 του ΚΚΑ </w:t>
            </w:r>
          </w:p>
          <w:p w:rsidR="00D95045" w:rsidRPr="00AE7CD3" w:rsidRDefault="00D95045" w:rsidP="00D95045">
            <w:pPr>
              <w:rPr>
                <w:rFonts w:ascii="Times New Roman" w:hAnsi="Times New Roman"/>
                <w:sz w:val="24"/>
              </w:rPr>
            </w:pPr>
            <w:r>
              <w:rPr>
                <w:rFonts w:ascii="Times New Roman" w:hAnsi="Times New Roman"/>
                <w:sz w:val="24"/>
              </w:rPr>
              <w:t>Το συγκεκριμένο στοιχείο περιλαμβάνει τις γενικές προσαρμογές πιστωτικού κινδύνου που είναι επιλέξιμες για συμπερίληψη στο κεφάλαιο Τ2, πριν από την εφαρμογή του ανώτατου ορίου που αναφέρεται στο άρθρο 62 στοιχείο γ) του ΚΚΑ.</w:t>
            </w:r>
          </w:p>
          <w:p w:rsidR="00D95045" w:rsidRPr="00392FFD" w:rsidRDefault="00D95045" w:rsidP="00D95045">
            <w:pPr>
              <w:rPr>
                <w:rFonts w:ascii="Times New Roman" w:hAnsi="Times New Roman"/>
                <w:b/>
                <w:sz w:val="24"/>
                <w:u w:val="single"/>
              </w:rPr>
            </w:pPr>
            <w:r>
              <w:rPr>
                <w:rFonts w:ascii="Times New Roman" w:hAnsi="Times New Roman"/>
                <w:sz w:val="24"/>
              </w:rPr>
              <w:t>Το προς αναφορά ποσό περιλαμβάνει τις επιπτώσεις του φόρου.</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Ειδικές προσαρμογές πιστωτικού κινδύνου</w:t>
            </w:r>
          </w:p>
          <w:p w:rsidR="004357B9" w:rsidRPr="00392FFD" w:rsidRDefault="004357B9" w:rsidP="004357B9">
            <w:pPr>
              <w:rPr>
                <w:rFonts w:ascii="Times New Roman" w:hAnsi="Times New Roman"/>
                <w:b/>
                <w:sz w:val="24"/>
                <w:u w:val="single"/>
              </w:rPr>
            </w:pPr>
            <w:r>
              <w:rPr>
                <w:rFonts w:ascii="Times New Roman" w:hAnsi="Times New Roman"/>
                <w:sz w:val="24"/>
              </w:rPr>
              <w:t>Προσαρμογές πιστωτικού κινδύνου σύμφωνα με το άρθρο 110 του ΚΚΑ</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Διαγραφές</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Οι διαγραφές περιλαμβάνουν μειώσεις της λογιστικής αξίας </w:t>
            </w:r>
            <w:proofErr w:type="spellStart"/>
            <w:r>
              <w:rPr>
                <w:rStyle w:val="InstructionsTabelleText"/>
                <w:rFonts w:ascii="Times New Roman" w:hAnsi="Times New Roman"/>
                <w:sz w:val="24"/>
              </w:rPr>
              <w:t>απομειωμένων</w:t>
            </w:r>
            <w:proofErr w:type="spellEnd"/>
            <w:r>
              <w:rPr>
                <w:rStyle w:val="InstructionsTabelleText"/>
                <w:rFonts w:ascii="Times New Roman" w:hAnsi="Times New Roman"/>
                <w:sz w:val="24"/>
              </w:rPr>
              <w:t xml:space="preserve"> χρηματ</w:t>
            </w:r>
            <w:r>
              <w:rPr>
                <w:rStyle w:val="InstructionsTabelleText"/>
                <w:rFonts w:ascii="Times New Roman" w:hAnsi="Times New Roman"/>
                <w:sz w:val="24"/>
              </w:rPr>
              <w:t>ο</w:t>
            </w:r>
            <w:r>
              <w:rPr>
                <w:rStyle w:val="InstructionsTabelleText"/>
                <w:rFonts w:ascii="Times New Roman" w:hAnsi="Times New Roman"/>
                <w:sz w:val="24"/>
              </w:rPr>
              <w:t>οικονομικών στοιχείων ενεργητικού που αναγνωρίζονται απευθείας στα αποτελέσματα [ΔΠΧΑ 7.Β5.(δ).(i)] και μειώσεις στα ποσά των λογαριασμών προβλέψεων που κατ</w:t>
            </w:r>
            <w:r>
              <w:rPr>
                <w:rStyle w:val="InstructionsTabelleText"/>
                <w:rFonts w:ascii="Times New Roman" w:hAnsi="Times New Roman"/>
                <w:sz w:val="24"/>
              </w:rPr>
              <w:t>α</w:t>
            </w:r>
            <w:r>
              <w:rPr>
                <w:rStyle w:val="InstructionsTabelleText"/>
                <w:rFonts w:ascii="Times New Roman" w:hAnsi="Times New Roman"/>
                <w:sz w:val="24"/>
              </w:rPr>
              <w:t xml:space="preserve">λογίζονται έναντι των </w:t>
            </w:r>
            <w:proofErr w:type="spellStart"/>
            <w:r>
              <w:rPr>
                <w:rStyle w:val="InstructionsTabelleText"/>
                <w:rFonts w:ascii="Times New Roman" w:hAnsi="Times New Roman"/>
                <w:sz w:val="24"/>
              </w:rPr>
              <w:t>απομειωμένων</w:t>
            </w:r>
            <w:proofErr w:type="spellEnd"/>
            <w:r>
              <w:rPr>
                <w:rStyle w:val="InstructionsTabelleText"/>
                <w:rFonts w:ascii="Times New Roman" w:hAnsi="Times New Roman"/>
                <w:sz w:val="24"/>
              </w:rPr>
              <w:t xml:space="preserve"> χρηματοοικονομικών στοιχείων ενεργητικού [ΔΠΧΑ 7.Β5.(δ).(ii)].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Προσαρμογές πιστωτικού κινδύνου/διαγραφές για νέες αθετήσεις που παρατηρ</w:t>
            </w:r>
            <w:r>
              <w:rPr>
                <w:rFonts w:ascii="Times New Roman" w:hAnsi="Times New Roman"/>
                <w:b/>
                <w:sz w:val="24"/>
                <w:u w:val="single"/>
              </w:rPr>
              <w:t>ή</w:t>
            </w:r>
            <w:r>
              <w:rPr>
                <w:rFonts w:ascii="Times New Roman" w:hAnsi="Times New Roman"/>
                <w:b/>
                <w:sz w:val="24"/>
                <w:u w:val="single"/>
              </w:rPr>
              <w:t>θηκαν</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lastRenderedPageBreak/>
              <w:t>Άθροισμα των προσαρμογών πιστωτικού κινδύνου και των διαγραφών για τα ανοίγμ</w:t>
            </w:r>
            <w:r>
              <w:rPr>
                <w:rStyle w:val="InstructionsTabelleText"/>
                <w:rFonts w:ascii="Times New Roman" w:hAnsi="Times New Roman"/>
                <w:sz w:val="24"/>
              </w:rPr>
              <w:t>α</w:t>
            </w:r>
            <w:r>
              <w:rPr>
                <w:rStyle w:val="InstructionsTabelleText"/>
                <w:rFonts w:ascii="Times New Roman" w:hAnsi="Times New Roman"/>
                <w:sz w:val="24"/>
              </w:rPr>
              <w:t>τα που ταξινομήθηκαν ως «ανοίγματα σε αθέτηση», κατά τη διάρκεια περιόδου 3 μ</w:t>
            </w:r>
            <w:r>
              <w:rPr>
                <w:rStyle w:val="InstructionsTabelleText"/>
                <w:rFonts w:ascii="Times New Roman" w:hAnsi="Times New Roman"/>
                <w:sz w:val="24"/>
              </w:rPr>
              <w:t>η</w:t>
            </w:r>
            <w:r>
              <w:rPr>
                <w:rStyle w:val="InstructionsTabelleText"/>
                <w:rFonts w:ascii="Times New Roman" w:hAnsi="Times New Roman"/>
                <w:sz w:val="24"/>
              </w:rPr>
              <w:t>νών από την τελευταία υποβολή στοιχείων.</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075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Αξία ανοίγματος</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200 του υποδείγματος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ΠΡΙΝ ΑΠΟ ΤΟΝ ΣΥΝΤΕΛΕΣΤΗ ΣΤΗΡΙΞΗΣ ΤΩΝ ΜΜΕ</w:t>
            </w:r>
          </w:p>
          <w:p w:rsidR="004357B9" w:rsidRPr="00392FFD" w:rsidRDefault="004357B9" w:rsidP="004357B9">
            <w:pPr>
              <w:rPr>
                <w:rFonts w:ascii="Times New Roman" w:hAnsi="Times New Roman"/>
                <w:b/>
                <w:sz w:val="24"/>
                <w:u w:val="single"/>
              </w:rPr>
            </w:pPr>
            <w:r>
              <w:rPr>
                <w:rFonts w:ascii="Times New Roman" w:hAnsi="Times New Roman"/>
                <w:sz w:val="24"/>
              </w:rPr>
              <w:t>Ίδιος ορισμός με τον ορισμό της στήλης 215 του υποδείγματος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ΤΟΝ ΣΥΝΤΕΛΕΣΤΗ ΣΤΗΡΙΞΗΣ ΤΩΝ ΜΜΕ</w:t>
            </w:r>
          </w:p>
          <w:p w:rsidR="004357B9" w:rsidRPr="00392FFD" w:rsidRDefault="004357B9" w:rsidP="004357B9">
            <w:pPr>
              <w:rPr>
                <w:rFonts w:ascii="Times New Roman" w:hAnsi="Times New Roman"/>
                <w:b/>
                <w:sz w:val="24"/>
                <w:u w:val="single"/>
              </w:rPr>
            </w:pPr>
            <w:r>
              <w:rPr>
                <w:rFonts w:ascii="Times New Roman" w:hAnsi="Times New Roman"/>
                <w:sz w:val="24"/>
              </w:rPr>
              <w:t>Ίδιος ορισμός με τον ορισμό της στήλης 220 του υποδείγματος CR SA</w:t>
            </w:r>
          </w:p>
        </w:tc>
      </w:tr>
    </w:tbl>
    <w:p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rsidTr="00672D2A">
        <w:trPr>
          <w:gridAfter w:val="1"/>
          <w:wAfter w:w="61" w:type="dxa"/>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Γραμμές</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010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Κεντρικές κυβερνήσεις ή κεντρικές τράπεζες</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Άρθρο 112 στοιχείο α) του ΚΚΑ</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020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Περιφερειακές κυβερνήσεις ή τοπικές αρχές</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Άρθρο 112 στοιχείο β) του ΚΚΑ</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030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Οντότητες του δημοσίου τομέα</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Άρθρο 112 στοιχείο γ) του ΚΚΑ</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040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Πολυμερείς τράπεζες ανάπτυξης</w:t>
            </w:r>
          </w:p>
          <w:p w:rsidR="004357B9" w:rsidRPr="00392FFD" w:rsidRDefault="004357B9" w:rsidP="004357B9">
            <w:pPr>
              <w:ind w:left="72"/>
              <w:rPr>
                <w:rStyle w:val="InstructionsTabelleberschrift"/>
                <w:rFonts w:ascii="Times New Roman" w:hAnsi="Times New Roman"/>
                <w:sz w:val="24"/>
              </w:rPr>
            </w:pPr>
            <w:r>
              <w:rPr>
                <w:rStyle w:val="InstructionsTabelleText"/>
                <w:rFonts w:ascii="Times New Roman" w:hAnsi="Times New Roman"/>
                <w:sz w:val="24"/>
              </w:rPr>
              <w:t>Άρθρο 112 στοιχείο δ) του ΚΚΑ</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Διεθνείς οργανισμοί</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Άρθρο 112 στοιχείο ε) του ΚΚΑ</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Ιδρύματα</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Άρθρο 112 στοιχείο στ) του ΚΚΑ</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Επιχειρήσεις</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Άρθρο 112 στοιχείο ζ) του ΚΚΑ</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εκ των οποίων: ΜΜΕ</w:t>
            </w:r>
          </w:p>
          <w:p w:rsidR="004357B9" w:rsidRPr="00392FFD"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020 του υποδείγματος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Λιανική τραπεζική</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Άρθρο 112 στοιχείο η) του ΚΚΑ</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lastRenderedPageBreak/>
              <w:t>085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εκ των οποίων: ΜΜΕ</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020 του υποδείγματος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Που εξασφαλίζονται με υποθήκες επί ακίνητης περιουσίας</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Άρθρο 112 στοιχείο θ) του ΚΚΑ</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εκ των οποίων: ΜΜΕ</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020 του υποδείγματος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100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Ανοίγματα σε αθέτηση</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Άρθρο 112 στοιχείο ι) του ΚΚΑ</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110</w:t>
            </w:r>
          </w:p>
        </w:tc>
        <w:tc>
          <w:tcPr>
            <w:tcW w:w="8701" w:type="dxa"/>
            <w:gridSpan w:val="2"/>
            <w:shd w:val="clear" w:color="auto" w:fill="FFFFFF"/>
          </w:tcPr>
          <w:p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Στοιχεία που σχετίζονται με ιδιαίτερα υψηλούς κινδύνους</w:t>
            </w:r>
          </w:p>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Άρθρο 112 στοιχείο ια) του ΚΚΑ</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120</w:t>
            </w:r>
          </w:p>
        </w:tc>
        <w:tc>
          <w:tcPr>
            <w:tcW w:w="8701" w:type="dxa"/>
            <w:gridSpan w:val="2"/>
            <w:shd w:val="clear" w:color="auto" w:fill="FFFFFF"/>
          </w:tcPr>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Καλυμμένα ομόλογα</w:t>
            </w:r>
          </w:p>
          <w:p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t>Άρθρο 112 στοιχείο ιβ) του ΚΚΑ</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130</w:t>
            </w:r>
          </w:p>
          <w:p w:rsidR="004357B9" w:rsidRPr="00392FFD" w:rsidRDefault="004357B9" w:rsidP="004357B9">
            <w:pPr>
              <w:rPr>
                <w:rFonts w:ascii="Times New Roman" w:hAnsi="Times New Roman"/>
                <w:sz w:val="24"/>
              </w:rPr>
            </w:pP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Απαιτήσεις έναντι ιδρυμάτων και επιχειρήσεων με βραχυπρόθεσμη πιστοληπτική αξιολόγηση</w:t>
            </w:r>
          </w:p>
          <w:p w:rsidR="004357B9" w:rsidRPr="00392FFD" w:rsidRDefault="004357B9" w:rsidP="004357B9">
            <w:pPr>
              <w:ind w:left="72"/>
              <w:rPr>
                <w:rFonts w:ascii="Times New Roman" w:hAnsi="Times New Roman"/>
                <w:sz w:val="24"/>
              </w:rPr>
            </w:pPr>
            <w:r>
              <w:rPr>
                <w:rFonts w:ascii="Times New Roman" w:hAnsi="Times New Roman"/>
                <w:sz w:val="24"/>
              </w:rPr>
              <w:t>Άρθρο 112 στοιχείο ιδ) του ΚΚΑ</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140</w:t>
            </w:r>
          </w:p>
        </w:tc>
        <w:tc>
          <w:tcPr>
            <w:tcW w:w="8701" w:type="dxa"/>
            <w:gridSpan w:val="2"/>
            <w:shd w:val="clear" w:color="auto" w:fill="FFFFFF"/>
          </w:tcPr>
          <w:p w:rsidR="00D82B60" w:rsidRPr="00392FFD"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Οργανισμοί συλλογικών επενδύσεων (ΟΣΕ)</w:t>
            </w:r>
          </w:p>
          <w:p w:rsidR="004357B9" w:rsidRPr="00392FFD" w:rsidRDefault="004357B9" w:rsidP="004357B9">
            <w:pPr>
              <w:ind w:left="72"/>
              <w:rPr>
                <w:rStyle w:val="InstructionsTabelleberschrift"/>
                <w:rFonts w:ascii="Times New Roman" w:hAnsi="Times New Roman"/>
                <w:b w:val="0"/>
                <w:bCs w:val="0"/>
                <w:sz w:val="24"/>
                <w:u w:val="none"/>
              </w:rPr>
            </w:pPr>
            <w:r>
              <w:rPr>
                <w:rFonts w:ascii="Times New Roman" w:hAnsi="Times New Roman"/>
                <w:sz w:val="24"/>
              </w:rPr>
              <w:t>Άρθρο 112 στοιχείο ιε) του ΚΚΑ</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Ανοίγματα σε μετοχές</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Άρθρο 112 στοιχείο ιστ) του ΚΚΑ</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Άλλα ανοίγματα</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Άρθρο 112 στοιχείο ιζ) του ΚΚΑ</w:t>
            </w:r>
          </w:p>
        </w:tc>
      </w:tr>
      <w:tr w:rsidR="007A49AC" w:rsidRPr="00392FFD" w:rsidTr="00672D2A">
        <w:tc>
          <w:tcPr>
            <w:tcW w:w="1188" w:type="dxa"/>
            <w:shd w:val="clear" w:color="auto" w:fill="FFFFFF"/>
          </w:tcPr>
          <w:p w:rsidR="007A49AC" w:rsidRPr="00392FFD" w:rsidRDefault="007A49AC" w:rsidP="004357B9">
            <w:pPr>
              <w:rPr>
                <w:rFonts w:ascii="Times New Roman" w:hAnsi="Times New Roman"/>
                <w:sz w:val="24"/>
              </w:rPr>
            </w:pPr>
            <w:r>
              <w:rPr>
                <w:rFonts w:ascii="Times New Roman" w:hAnsi="Times New Roman"/>
                <w:sz w:val="24"/>
              </w:rPr>
              <w:t>170</w:t>
            </w:r>
          </w:p>
        </w:tc>
        <w:tc>
          <w:tcPr>
            <w:tcW w:w="8701" w:type="dxa"/>
            <w:gridSpan w:val="2"/>
            <w:shd w:val="clear" w:color="auto" w:fill="FFFFFF"/>
          </w:tcPr>
          <w:p w:rsidR="007A49AC" w:rsidRPr="00392FFD"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Συνολικά ανοίγματα</w:t>
            </w:r>
          </w:p>
        </w:tc>
      </w:tr>
    </w:tbl>
    <w:p w:rsidR="004357B9" w:rsidRPr="00392FFD" w:rsidRDefault="004357B9" w:rsidP="004357B9">
      <w:pPr>
        <w:spacing w:before="0" w:after="200" w:line="312" w:lineRule="auto"/>
        <w:jc w:val="left"/>
        <w:rPr>
          <w:rFonts w:ascii="Times New Roman" w:hAnsi="Times New Roman"/>
          <w:sz w:val="24"/>
        </w:rPr>
      </w:pPr>
      <w:bookmarkStart w:id="332" w:name="_Toc292456210"/>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33" w:name="_Toc360188364"/>
      <w:bookmarkStart w:id="334" w:name="_Toc516210650"/>
      <w:bookmarkStart w:id="335" w:name="_Toc473560915"/>
      <w:r>
        <w:rPr>
          <w:rFonts w:ascii="Times New Roman" w:hAnsi="Times New Roman"/>
          <w:sz w:val="24"/>
          <w:u w:val="none"/>
        </w:rPr>
        <w:t>3.4.2.</w:t>
      </w:r>
      <w:r>
        <w:tab/>
      </w:r>
      <w:r>
        <w:rPr>
          <w:rFonts w:ascii="Times New Roman" w:hAnsi="Times New Roman"/>
          <w:sz w:val="24"/>
        </w:rPr>
        <w:t>C 09.02 – Γεωγραφική κατανομή των ανοιγμάτων με βάση την κατοικία του οφειλέτη: Ανοίγματα βάσει της προσέγγισης IRB</w:t>
      </w:r>
      <w:bookmarkEnd w:id="333"/>
      <w:r>
        <w:rPr>
          <w:rFonts w:ascii="Times New Roman" w:hAnsi="Times New Roman"/>
          <w:sz w:val="24"/>
        </w:rPr>
        <w:t xml:space="preserve"> (CR GB 2)</w:t>
      </w:r>
      <w:bookmarkEnd w:id="334"/>
      <w:bookmarkEnd w:id="335"/>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36" w:name="_Toc360188365"/>
      <w:bookmarkStart w:id="337" w:name="_Toc516210651"/>
      <w:bookmarkStart w:id="338" w:name="_Toc473560916"/>
      <w:r>
        <w:rPr>
          <w:rFonts w:ascii="Times New Roman" w:hAnsi="Times New Roman"/>
          <w:sz w:val="24"/>
          <w:u w:val="none"/>
        </w:rPr>
        <w:t>3.4.2.1.</w:t>
      </w:r>
      <w:r>
        <w:tab/>
      </w:r>
      <w:r>
        <w:rPr>
          <w:rFonts w:ascii="Times New Roman" w:hAnsi="Times New Roman"/>
          <w:sz w:val="24"/>
        </w:rPr>
        <w:t>Οδηγίες για συγκεκριμένες θέσεις</w:t>
      </w:r>
      <w:bookmarkEnd w:id="336"/>
      <w:bookmarkEnd w:id="337"/>
      <w:bookmarkEnd w:id="33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Στήλες</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ΑΡΧΙΚΟ ΑΝΟΙΓΜΑ ΠΡΙΝ ΑΠΟ ΤΟΥΣ ΣΥΝΤΕΛΕΣΤΕΣ ΜΕΤΑΤΡΟΠΗΣ</w:t>
            </w:r>
          </w:p>
          <w:p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Ίδιος ορισμός με τον ορισμό της στήλης 020 του υποδείγματος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Εκ των οποίων σε αθέτηση</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Αξία αρχικού ανοίγματος για τα ανοίγματα που έχουν ταξινομηθεί ως «ανοίγματα σε </w:t>
            </w:r>
            <w:r>
              <w:rPr>
                <w:rStyle w:val="InstructionsTabelleText"/>
                <w:rFonts w:ascii="Times New Roman" w:hAnsi="Times New Roman"/>
                <w:sz w:val="24"/>
              </w:rPr>
              <w:lastRenderedPageBreak/>
              <w:t>αθέτηση», σύμφωνα με το άρθρο 178 του ΚΚΑ.</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Νέες αθετήσεις που παρατηρήθηκαν κατά την περίοδο</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Το ποσό των αρχικών ανοιγμάτων που έχουν μετακινηθεί στην κατηγορία ανοιγμάτων «Ανοίγματα σε αθέτηση», κατά τη διάρκεια περιόδου 3 μηνών από την τελευταία ημ</w:t>
            </w:r>
            <w:r>
              <w:rPr>
                <w:rStyle w:val="InstructionsTabelleText"/>
                <w:rFonts w:ascii="Times New Roman" w:hAnsi="Times New Roman"/>
                <w:sz w:val="24"/>
              </w:rPr>
              <w:t>ε</w:t>
            </w:r>
            <w:r>
              <w:rPr>
                <w:rStyle w:val="InstructionsTabelleText"/>
                <w:rFonts w:ascii="Times New Roman" w:hAnsi="Times New Roman"/>
                <w:sz w:val="24"/>
              </w:rPr>
              <w:t>ρομηνία αναφοράς για την υποβολή αναφορών, αναφέρεται στο συγκεκριμένο σημείο έναντι της κατηγορίας ανοιγμάτων στην οποία ανήκε αρχικά ο οφειλέτης.</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Γενικές προσαρμογές πιστωτικού κινδύνου</w:t>
            </w:r>
          </w:p>
          <w:p w:rsidR="004357B9" w:rsidRPr="00392FFD" w:rsidRDefault="004357B9" w:rsidP="00D82B60">
            <w:pPr>
              <w:rPr>
                <w:rFonts w:ascii="Times New Roman" w:hAnsi="Times New Roman"/>
                <w:b/>
                <w:sz w:val="24"/>
                <w:u w:val="single"/>
              </w:rPr>
            </w:pPr>
            <w:r>
              <w:rPr>
                <w:rFonts w:ascii="Times New Roman" w:hAnsi="Times New Roman"/>
                <w:sz w:val="24"/>
              </w:rPr>
              <w:t xml:space="preserve">Προσαρμογές πιστωτικού κινδύνου σύμφωνα με το άρθρο 110 του ΚΚΑ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Ειδικές προσαρμογές πιστωτικού κινδύνου</w:t>
            </w:r>
          </w:p>
          <w:p w:rsidR="004357B9" w:rsidRPr="00392FFD" w:rsidRDefault="004357B9" w:rsidP="004357B9">
            <w:pPr>
              <w:rPr>
                <w:rFonts w:ascii="Times New Roman" w:hAnsi="Times New Roman"/>
                <w:b/>
                <w:sz w:val="24"/>
                <w:u w:val="single"/>
              </w:rPr>
            </w:pPr>
            <w:r>
              <w:rPr>
                <w:rFonts w:ascii="Times New Roman" w:hAnsi="Times New Roman"/>
                <w:sz w:val="24"/>
              </w:rPr>
              <w:t>Προσαρμογές πιστωτικού κινδύνου σύμφωνα με το άρθρο 110 του ΚΚΑ</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Διαγραφές</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Οι διαγραφές περιλαμβάνουν μειώσεις της λογιστικής αξίας </w:t>
            </w:r>
            <w:proofErr w:type="spellStart"/>
            <w:r>
              <w:rPr>
                <w:rStyle w:val="InstructionsTabelleText"/>
                <w:rFonts w:ascii="Times New Roman" w:hAnsi="Times New Roman"/>
                <w:sz w:val="24"/>
              </w:rPr>
              <w:t>απομειωμένων</w:t>
            </w:r>
            <w:proofErr w:type="spellEnd"/>
            <w:r>
              <w:rPr>
                <w:rStyle w:val="InstructionsTabelleText"/>
                <w:rFonts w:ascii="Times New Roman" w:hAnsi="Times New Roman"/>
                <w:sz w:val="24"/>
              </w:rPr>
              <w:t xml:space="preserve"> χρηματ</w:t>
            </w:r>
            <w:r>
              <w:rPr>
                <w:rStyle w:val="InstructionsTabelleText"/>
                <w:rFonts w:ascii="Times New Roman" w:hAnsi="Times New Roman"/>
                <w:sz w:val="24"/>
              </w:rPr>
              <w:t>ο</w:t>
            </w:r>
            <w:r>
              <w:rPr>
                <w:rStyle w:val="InstructionsTabelleText"/>
                <w:rFonts w:ascii="Times New Roman" w:hAnsi="Times New Roman"/>
                <w:sz w:val="24"/>
              </w:rPr>
              <w:t>οικονομικών στοιχείων ενεργητικού που αναγνωρίζονται απευθείας στα αποτελέσματα [ΔΠΧΑ 7.Β5.(δ).(i)] και μειώσεις στα ποσά των λογαριασμών προβλέψεων που κατ</w:t>
            </w:r>
            <w:r>
              <w:rPr>
                <w:rStyle w:val="InstructionsTabelleText"/>
                <w:rFonts w:ascii="Times New Roman" w:hAnsi="Times New Roman"/>
                <w:sz w:val="24"/>
              </w:rPr>
              <w:t>α</w:t>
            </w:r>
            <w:r>
              <w:rPr>
                <w:rStyle w:val="InstructionsTabelleText"/>
                <w:rFonts w:ascii="Times New Roman" w:hAnsi="Times New Roman"/>
                <w:sz w:val="24"/>
              </w:rPr>
              <w:t xml:space="preserve">λογίζονται έναντι των </w:t>
            </w:r>
            <w:proofErr w:type="spellStart"/>
            <w:r>
              <w:rPr>
                <w:rStyle w:val="InstructionsTabelleText"/>
                <w:rFonts w:ascii="Times New Roman" w:hAnsi="Times New Roman"/>
                <w:sz w:val="24"/>
              </w:rPr>
              <w:t>απομειωμένων</w:t>
            </w:r>
            <w:proofErr w:type="spellEnd"/>
            <w:r>
              <w:rPr>
                <w:rStyle w:val="InstructionsTabelleText"/>
                <w:rFonts w:ascii="Times New Roman" w:hAnsi="Times New Roman"/>
                <w:sz w:val="24"/>
              </w:rPr>
              <w:t xml:space="preserve"> χρηματοοικονομικών στοιχείων ενεργητικού [ΔΠΧΑ 7.Β5.(δ).(ii)].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Προσαρμογές πιστωτικού κινδύνου/διαγραφές για νέες αθετήσεις που παρατηρ</w:t>
            </w:r>
            <w:r>
              <w:rPr>
                <w:rFonts w:ascii="Times New Roman" w:hAnsi="Times New Roman"/>
                <w:b/>
                <w:sz w:val="24"/>
                <w:u w:val="single"/>
              </w:rPr>
              <w:t>ή</w:t>
            </w:r>
            <w:r>
              <w:rPr>
                <w:rFonts w:ascii="Times New Roman" w:hAnsi="Times New Roman"/>
                <w:b/>
                <w:sz w:val="24"/>
                <w:u w:val="single"/>
              </w:rPr>
              <w:t>θηκαν</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Άθροισμα των προσαρμογών πιστωτικού κινδύνου και των διαγραφών για τα ανοίγμ</w:t>
            </w:r>
            <w:r>
              <w:rPr>
                <w:rStyle w:val="InstructionsTabelleText"/>
                <w:rFonts w:ascii="Times New Roman" w:hAnsi="Times New Roman"/>
                <w:sz w:val="24"/>
              </w:rPr>
              <w:t>α</w:t>
            </w:r>
            <w:r>
              <w:rPr>
                <w:rStyle w:val="InstructionsTabelleText"/>
                <w:rFonts w:ascii="Times New Roman" w:hAnsi="Times New Roman"/>
                <w:sz w:val="24"/>
              </w:rPr>
              <w:t>τα που ταξινομήθηκαν ως «ανοίγματα σε αθέτηση», κατά τη διάρκεια περιόδου 3 μ</w:t>
            </w:r>
            <w:r>
              <w:rPr>
                <w:rStyle w:val="InstructionsTabelleText"/>
                <w:rFonts w:ascii="Times New Roman" w:hAnsi="Times New Roman"/>
                <w:sz w:val="24"/>
              </w:rPr>
              <w:t>η</w:t>
            </w:r>
            <w:r>
              <w:rPr>
                <w:rStyle w:val="InstructionsTabelleText"/>
                <w:rFonts w:ascii="Times New Roman" w:hAnsi="Times New Roman"/>
                <w:sz w:val="24"/>
              </w:rPr>
              <w:t>νών από την τελευταία υποβολή στοιχείων.</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ΣΥΣΤΗΜΑ ΕΣΩΤΕΡΙΚΗΣ ΔΙΑΒΑΘΜΙΣΗΣ/ ΠΙΘΑΝΟΤΗΤΑ ΑΘΕΤΗΣΗΣ (PD) ΠΟΥ ΣΧΕΤΙΖΕΤΑΙ ΜΕ ΤΗ ΒΑΘΜΙΔΑ Ή ΟΜΑΔΑ ΟΦΕΙΛΕΤΗ (%)</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010 του υποδείγματος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ΜΕΣΟ ΣΤΑΘΜΙΣΜΕΝΟ ΩΣ ΠΡΟΣ ΤΟ ΑΝΟΙΓΜΑ ΥΨΟΣ ΤΗΣ LGD (%)</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Ίδιος ορισμός με τον ορισμό των στηλών 230 και 240 του υποδείγματος CR IRB: το μέσο σταθμισμένο ως προς το άνοιγμα ύψος της LGD (%) αναφέρεται σε όλα τα </w:t>
            </w:r>
            <w:r>
              <w:rPr>
                <w:rStyle w:val="InstructionsTabelleText"/>
                <w:rFonts w:ascii="Times New Roman" w:hAnsi="Times New Roman"/>
                <w:sz w:val="24"/>
              </w:rPr>
              <w:t>α</w:t>
            </w:r>
            <w:r>
              <w:rPr>
                <w:rStyle w:val="InstructionsTabelleText"/>
                <w:rFonts w:ascii="Times New Roman" w:hAnsi="Times New Roman"/>
                <w:sz w:val="24"/>
              </w:rPr>
              <w:t>νοίγματα, συμπεριλαμβανομένων των ανοιγμάτων έναντι μεγάλων οντοτήτων του χρηματοπιστωτικού τομέα και μη ρυθμιζόμενων οντοτήτων του χρηματοπιστωτικού τομέα.    Εφαρμόζονται οι διατάξεις του άρθρου 181 παράγραφος 1 στοιχείο η) του ΚΚΑ.</w:t>
            </w:r>
          </w:p>
          <w:p w:rsidR="0042766A" w:rsidRPr="00392FFD" w:rsidRDefault="0042766A" w:rsidP="0042766A">
            <w:pPr>
              <w:rPr>
                <w:rFonts w:ascii="Times New Roman" w:hAnsi="Times New Roman"/>
                <w:b/>
                <w:sz w:val="24"/>
                <w:u w:val="single"/>
              </w:rPr>
            </w:pPr>
            <w:r>
              <w:rPr>
                <w:rFonts w:ascii="Times New Roman" w:hAnsi="Times New Roman"/>
                <w:sz w:val="24"/>
              </w:rPr>
              <w:t>Δεν αναφέρονται δεδομένα για ανοίγματα ειδικής δανειοδότησης που αναφέρονται στο άρθρο 153 παράγραφος 5.</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Εκ των οποίων: σε αθέτηση</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Σταθμισμένη ως προς το άνοιγμα LGD για τα ανοίγματα που έχουν ταξινομηθεί ως «ανοίγματα σε αθέτηση», σύμφωνα με το άρθρο 178 του ΚΚΑ.</w:t>
            </w:r>
          </w:p>
        </w:tc>
      </w:tr>
      <w:tr w:rsidR="004357B9" w:rsidRPr="00392FFD" w:rsidTr="00672D2A">
        <w:tc>
          <w:tcPr>
            <w:tcW w:w="1188" w:type="dxa"/>
          </w:tcPr>
          <w:p w:rsidR="004357B9" w:rsidRPr="00392FFD" w:rsidRDefault="00F45359" w:rsidP="004357B9">
            <w:pPr>
              <w:rPr>
                <w:rFonts w:ascii="Times New Roman" w:hAnsi="Times New Roman"/>
                <w:sz w:val="24"/>
              </w:rPr>
            </w:pPr>
            <w:r>
              <w:rPr>
                <w:rFonts w:ascii="Times New Roman" w:hAnsi="Times New Roman"/>
                <w:sz w:val="24"/>
              </w:rPr>
              <w:t>105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Αξία ανοίγματος</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lastRenderedPageBreak/>
              <w:t>Ίδιος ορισμός με τον ορισμό της στήλης 110 του υποδείγματος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ΠΡΙΝ ΑΠΟ ΤΟΝ ΣΥΝΤΕΛΕΣΤΗ ΣΤΗΡΙΞΗΣ ΤΩΝ ΜΜΕ</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255 του υποδείγματος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Εκ των οποίων σε αθέτηση</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Ποσό ανοίγματος σταθμισμένο ως προς τον κίνδυνο για τα ανοίγματα που έχουν ταξ</w:t>
            </w:r>
            <w:r>
              <w:rPr>
                <w:rStyle w:val="InstructionsTabelleText"/>
                <w:rFonts w:ascii="Times New Roman" w:hAnsi="Times New Roman"/>
                <w:sz w:val="24"/>
              </w:rPr>
              <w:t>ι</w:t>
            </w:r>
            <w:r>
              <w:rPr>
                <w:rStyle w:val="InstructionsTabelleText"/>
                <w:rFonts w:ascii="Times New Roman" w:hAnsi="Times New Roman"/>
                <w:sz w:val="24"/>
              </w:rPr>
              <w:t>νομηθεί ως «ανοίγματα σε αθέτηση», σύμφωνα με το άρθρο 178 του ΚΚΑ.</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ΤΟΝ ΣΥΝΤΕΛΕΣΤΗ ΣΤΗΡΙΞΗΣ ΤΩΝ ΜΜΕ</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260 του υποδείγματος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ΠΟΣΟ ΑΝΑΜΕΝΟΜΕΝΗΣ ΖΗΜΙΑΣ</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280 του υποδείγματος CR IRB</w:t>
            </w:r>
            <w:r>
              <w:rPr>
                <w:rFonts w:ascii="Times New Roman" w:hAnsi="Times New Roman"/>
                <w:b/>
                <w:sz w:val="24"/>
                <w:u w:val="single"/>
              </w:rPr>
              <w:t xml:space="preserve"> </w:t>
            </w:r>
          </w:p>
        </w:tc>
      </w:tr>
    </w:tbl>
    <w:p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Γραμμές</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Κεντρικές τράπεζες και κεντρικές κυβερνήσεις </w:t>
            </w:r>
          </w:p>
          <w:p w:rsidR="004357B9" w:rsidRPr="00392FFD" w:rsidRDefault="004357B9" w:rsidP="004357B9">
            <w:pPr>
              <w:rPr>
                <w:rFonts w:ascii="Times New Roman" w:hAnsi="Times New Roman"/>
                <w:sz w:val="24"/>
              </w:rPr>
            </w:pPr>
            <w:r>
              <w:rPr>
                <w:rFonts w:ascii="Times New Roman" w:hAnsi="Times New Roman"/>
                <w:sz w:val="24"/>
              </w:rPr>
              <w:t>(άρθρο 147 παράγραφος 2 στοιχείο α) του ΚΚΑ)</w:t>
            </w:r>
          </w:p>
        </w:tc>
      </w:tr>
      <w:tr w:rsidR="004357B9" w:rsidRPr="00FE6995"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23700C" w:rsidRDefault="004357B9" w:rsidP="004357B9">
            <w:pPr>
              <w:rPr>
                <w:rFonts w:ascii="Times New Roman" w:hAnsi="Times New Roman"/>
                <w:b/>
                <w:sz w:val="24"/>
                <w:u w:val="single"/>
              </w:rPr>
            </w:pPr>
            <w:r>
              <w:rPr>
                <w:rFonts w:ascii="Times New Roman" w:hAnsi="Times New Roman"/>
                <w:b/>
                <w:sz w:val="24"/>
                <w:u w:val="single"/>
              </w:rPr>
              <w:t>Ιδρύματα</w:t>
            </w:r>
          </w:p>
          <w:p w:rsidR="004357B9" w:rsidRPr="0023700C" w:rsidRDefault="004357B9" w:rsidP="004357B9">
            <w:pPr>
              <w:rPr>
                <w:rFonts w:ascii="Times New Roman" w:hAnsi="Times New Roman"/>
                <w:sz w:val="24"/>
              </w:rPr>
            </w:pPr>
            <w:r>
              <w:rPr>
                <w:rFonts w:ascii="Times New Roman" w:hAnsi="Times New Roman"/>
                <w:sz w:val="24"/>
              </w:rPr>
              <w:t>(άρθρο 147 παράγραφος 2 στοιχείο β) του ΚΚΑ)</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Επιχειρήσεις </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(Όλες οι επιχειρήσεις σύμφωνα με το άρθρο 147 παράγραφος 2 στοιχείο γ).)</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042</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Εκ των οποίων: Ειδική δανειοδότηση [εκτός από την ειδική δανειοδότηση που υπόκειται σε κριτήρια κατανομής (</w:t>
            </w:r>
            <w:proofErr w:type="spellStart"/>
            <w:r>
              <w:rPr>
                <w:rFonts w:ascii="Times New Roman" w:hAnsi="Times New Roman"/>
                <w:b/>
                <w:sz w:val="24"/>
                <w:u w:val="single"/>
              </w:rPr>
              <w:t>slotting</w:t>
            </w:r>
            <w:proofErr w:type="spellEnd"/>
            <w:r>
              <w:rPr>
                <w:rFonts w:ascii="Times New Roman" w:hAnsi="Times New Roman"/>
                <w:b/>
                <w:sz w:val="24"/>
                <w:u w:val="single"/>
              </w:rPr>
              <w:t>)]</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(άρθρο 147 παράγραφος 8 στοιχείο α) του ΚΚΑ)</w:t>
            </w:r>
          </w:p>
          <w:p w:rsidR="0042766A" w:rsidRPr="00392FFD" w:rsidRDefault="0042766A" w:rsidP="004357B9">
            <w:pPr>
              <w:pStyle w:val="ListParagraph"/>
              <w:ind w:left="0"/>
              <w:rPr>
                <w:rFonts w:ascii="Times New Roman" w:hAnsi="Times New Roman"/>
                <w:sz w:val="24"/>
              </w:rPr>
            </w:pPr>
            <w:r>
              <w:rPr>
                <w:rFonts w:ascii="Times New Roman" w:hAnsi="Times New Roman"/>
                <w:sz w:val="24"/>
              </w:rPr>
              <w:t>Δεν αναφέρονται δεδομένα για ανοίγματα ειδικής δανειοδότησης που αναφέρονται στο άρθρο 153 παράγραφος 5.</w:t>
            </w:r>
          </w:p>
        </w:tc>
      </w:tr>
      <w:tr w:rsidR="000E093A" w:rsidRPr="00392FFD" w:rsidTr="00672D2A">
        <w:tc>
          <w:tcPr>
            <w:tcW w:w="1188" w:type="dxa"/>
          </w:tcPr>
          <w:p w:rsidR="000E093A" w:rsidRPr="00392FFD" w:rsidRDefault="000E093A" w:rsidP="004357B9">
            <w:pPr>
              <w:rPr>
                <w:rFonts w:ascii="Times New Roman" w:hAnsi="Times New Roman"/>
                <w:sz w:val="24"/>
              </w:rPr>
            </w:pPr>
            <w:r>
              <w:rPr>
                <w:rFonts w:ascii="Times New Roman" w:hAnsi="Times New Roman"/>
                <w:sz w:val="24"/>
              </w:rPr>
              <w:t>045</w:t>
            </w:r>
          </w:p>
        </w:tc>
        <w:tc>
          <w:tcPr>
            <w:tcW w:w="8640" w:type="dxa"/>
          </w:tcPr>
          <w:p w:rsidR="000E093A" w:rsidRPr="00392FFD" w:rsidRDefault="000E093A" w:rsidP="004357B9">
            <w:pPr>
              <w:rPr>
                <w:rFonts w:ascii="Times New Roman" w:hAnsi="Times New Roman"/>
                <w:b/>
                <w:sz w:val="24"/>
                <w:u w:val="single"/>
              </w:rPr>
            </w:pPr>
            <w:r>
              <w:rPr>
                <w:rFonts w:ascii="Times New Roman" w:hAnsi="Times New Roman"/>
                <w:b/>
                <w:sz w:val="24"/>
                <w:u w:val="single"/>
              </w:rPr>
              <w:t>Εκ των οποίων: Ειδική δανειοδότηση που υπόκειται σε κριτήρια κατανομής (</w:t>
            </w:r>
            <w:proofErr w:type="spellStart"/>
            <w:r>
              <w:rPr>
                <w:rFonts w:ascii="Times New Roman" w:hAnsi="Times New Roman"/>
                <w:b/>
                <w:sz w:val="24"/>
                <w:u w:val="single"/>
              </w:rPr>
              <w:t>slotting</w:t>
            </w:r>
            <w:proofErr w:type="spellEnd"/>
            <w:r>
              <w:rPr>
                <w:rFonts w:ascii="Times New Roman" w:hAnsi="Times New Roman"/>
                <w:b/>
                <w:sz w:val="24"/>
                <w:u w:val="single"/>
              </w:rPr>
              <w:t>)</w:t>
            </w:r>
          </w:p>
          <w:p w:rsidR="000E093A" w:rsidRPr="00392FFD" w:rsidRDefault="000E093A" w:rsidP="00FD54FC">
            <w:pPr>
              <w:rPr>
                <w:rFonts w:ascii="Times New Roman" w:hAnsi="Times New Roman"/>
                <w:b/>
                <w:sz w:val="24"/>
                <w:u w:val="single"/>
              </w:rPr>
            </w:pPr>
            <w:r>
              <w:rPr>
                <w:rFonts w:ascii="Times New Roman" w:hAnsi="Times New Roman"/>
                <w:sz w:val="24"/>
              </w:rPr>
              <w:t>Άρθρο 147 παράγραφος 8 στοιχείο α) και άρθρο 153 παράγραφος 5 του ΚΚΑ</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Εκ των οποίων: ΜΜΕ</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(άρθρο 147 παράγραφος 2 στοιχείο γ) του ΚΚΑ)</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Λιανική τραπεζική</w:t>
            </w:r>
          </w:p>
          <w:p w:rsidR="004357B9" w:rsidRPr="00392FFD" w:rsidRDefault="004357B9" w:rsidP="004357B9">
            <w:pPr>
              <w:rPr>
                <w:rFonts w:ascii="Times New Roman" w:hAnsi="Times New Roman"/>
                <w:sz w:val="24"/>
              </w:rPr>
            </w:pPr>
            <w:r>
              <w:rPr>
                <w:rFonts w:ascii="Times New Roman" w:hAnsi="Times New Roman"/>
                <w:sz w:val="24"/>
              </w:rPr>
              <w:t>Όλα τα ανοίγματα λιανικής τραπεζικής, σύμφωνα με το άρθρο 147 παράγραφος 2 στοιχείο δ)</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Λιανική τραπεζική – </w:t>
            </w:r>
            <w:proofErr w:type="spellStart"/>
            <w:r>
              <w:rPr>
                <w:rFonts w:ascii="Times New Roman" w:hAnsi="Times New Roman"/>
                <w:b/>
                <w:sz w:val="24"/>
                <w:u w:val="single"/>
              </w:rPr>
              <w:t>Eξασφάλιση</w:t>
            </w:r>
            <w:proofErr w:type="spellEnd"/>
            <w:r>
              <w:rPr>
                <w:rFonts w:ascii="Times New Roman" w:hAnsi="Times New Roman"/>
                <w:b/>
                <w:sz w:val="24"/>
                <w:u w:val="single"/>
              </w:rPr>
              <w:t xml:space="preserve"> με ακίνητη περιουσία</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Ανοίγματα που αντανακλούν το άρθρο 147 παράγραφος 2 στοιχείο δ) του ΚΚΑ, τα οποία είναι εξασφαλισμένα με ακίνητη περιουσία.</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ΜΜΕ</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Ανοίγματα λιανικής τραπεζικής που αντανακλούν το άρθρο 147 παράγραφος 2 στο</w:t>
            </w:r>
            <w:r>
              <w:rPr>
                <w:rFonts w:ascii="Times New Roman" w:hAnsi="Times New Roman"/>
                <w:sz w:val="24"/>
              </w:rPr>
              <w:t>ι</w:t>
            </w:r>
            <w:r>
              <w:rPr>
                <w:rFonts w:ascii="Times New Roman" w:hAnsi="Times New Roman"/>
                <w:sz w:val="24"/>
              </w:rPr>
              <w:t>χείο δ), σε συνδυασμό με το άρθρο 153 παράγραφος 3 του ΚΚΑ, τα οποία είναι εξ</w:t>
            </w:r>
            <w:r>
              <w:rPr>
                <w:rFonts w:ascii="Times New Roman" w:hAnsi="Times New Roman"/>
                <w:sz w:val="24"/>
              </w:rPr>
              <w:t>α</w:t>
            </w:r>
            <w:r>
              <w:rPr>
                <w:rFonts w:ascii="Times New Roman" w:hAnsi="Times New Roman"/>
                <w:sz w:val="24"/>
              </w:rPr>
              <w:t>σφαλισμένα με ακίνητη περιουσία.</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Μη ΜΜΕ</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Ανοίγματα λιανικής τραπεζικής που αντανακλούν το άρθρο 147 παράγραφος 2 στο</w:t>
            </w:r>
            <w:r>
              <w:rPr>
                <w:rFonts w:ascii="Times New Roman" w:hAnsi="Times New Roman"/>
                <w:sz w:val="24"/>
              </w:rPr>
              <w:t>ι</w:t>
            </w:r>
            <w:r>
              <w:rPr>
                <w:rFonts w:ascii="Times New Roman" w:hAnsi="Times New Roman"/>
                <w:sz w:val="24"/>
              </w:rPr>
              <w:t>χείο δ) του ΚΚΑ, τα οποία είναι εξασφαλισμένα με ακίνητη περιουσία.</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Λιανική τραπεζική – Αποδεκτά ανακυκλούμενα</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(άρθρο 147 παράγραφος 2 στοιχείο δ), σε συνδυασμό με το άρθρο 154 παράγραφος 4 του ΚΚΑ)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Άλλα ανοίγματα λιανικής τραπεζικής</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Άλλα ανοίγματα λιανικής τραπεζικής, σύμφωνα με το άρθρο 147 παράγραφος 2 στο</w:t>
            </w:r>
            <w:r>
              <w:rPr>
                <w:rFonts w:ascii="Times New Roman" w:hAnsi="Times New Roman"/>
                <w:sz w:val="24"/>
              </w:rPr>
              <w:t>ι</w:t>
            </w:r>
            <w:r>
              <w:rPr>
                <w:rFonts w:ascii="Times New Roman" w:hAnsi="Times New Roman"/>
                <w:sz w:val="24"/>
              </w:rPr>
              <w:t>χείο δ), που δεν αναφέρονται στις γραμμές 070 – 100.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ΜΜΕ</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Άλλα ανοίγματα λιανικής τραπεζικής που αντανακλούν το άρθρο 147 παράγραφος 2 στοιχείο δ), σε συνδυασμό με το άρθρο 153 παράγραφος 3 του ΚΚΑ.</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Μη ΜΜΕ</w:t>
            </w:r>
          </w:p>
          <w:p w:rsidR="004357B9" w:rsidRPr="00392FFD" w:rsidRDefault="004357B9" w:rsidP="004357B9">
            <w:pPr>
              <w:rPr>
                <w:rFonts w:ascii="Times New Roman" w:hAnsi="Times New Roman"/>
                <w:sz w:val="24"/>
              </w:rPr>
            </w:pPr>
            <w:r>
              <w:rPr>
                <w:rFonts w:ascii="Times New Roman" w:hAnsi="Times New Roman"/>
                <w:sz w:val="24"/>
              </w:rPr>
              <w:t>Άλλα ανοίγματα λιανικής τραπεζικής που αντανακλούν το άρθρο 147 παράγραφος 2 στοιχείο δ) του ΚΚΑ.</w:t>
            </w:r>
          </w:p>
        </w:tc>
      </w:tr>
      <w:bookmarkEnd w:id="332"/>
      <w:tr w:rsidR="004357B9" w:rsidRPr="00392FFD" w:rsidTr="00672D2A">
        <w:tc>
          <w:tcPr>
            <w:tcW w:w="1188"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sz w:val="24"/>
              </w:rPr>
            </w:pPr>
            <w:r>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b/>
                <w:sz w:val="24"/>
                <w:u w:val="single"/>
              </w:rPr>
            </w:pPr>
            <w:r>
              <w:rPr>
                <w:rFonts w:ascii="Times New Roman" w:hAnsi="Times New Roman"/>
                <w:b/>
                <w:sz w:val="24"/>
                <w:u w:val="single"/>
              </w:rPr>
              <w:t>Μετοχές</w:t>
            </w:r>
          </w:p>
          <w:p w:rsidR="004357B9" w:rsidRPr="00392FFD" w:rsidRDefault="004357B9" w:rsidP="004357B9">
            <w:pPr>
              <w:rPr>
                <w:rFonts w:ascii="Times New Roman" w:hAnsi="Times New Roman"/>
                <w:b/>
                <w:sz w:val="24"/>
                <w:u w:val="single"/>
              </w:rPr>
            </w:pPr>
            <w:r>
              <w:rPr>
                <w:rFonts w:ascii="Times New Roman" w:hAnsi="Times New Roman"/>
                <w:sz w:val="24"/>
              </w:rPr>
              <w:t>Ανοίγματα σε μετοχές που αντανακλούν το άρθρο 147 παράγραφος 2 στοιχείο ε) του ΚΚΑ.</w:t>
            </w:r>
          </w:p>
        </w:tc>
      </w:tr>
      <w:tr w:rsidR="007A49AC" w:rsidRPr="00392FFD" w:rsidTr="00672D2A">
        <w:tc>
          <w:tcPr>
            <w:tcW w:w="1188" w:type="dxa"/>
            <w:tcBorders>
              <w:top w:val="single" w:sz="4" w:space="0" w:color="auto"/>
              <w:left w:val="single" w:sz="4" w:space="0" w:color="auto"/>
              <w:bottom w:val="single" w:sz="4" w:space="0" w:color="auto"/>
              <w:right w:val="single" w:sz="4" w:space="0" w:color="auto"/>
            </w:tcBorders>
          </w:tcPr>
          <w:p w:rsidR="007A49AC" w:rsidRPr="00392FFD" w:rsidRDefault="007A49AC" w:rsidP="004357B9">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392FFD" w:rsidRDefault="007A49AC" w:rsidP="007A49AC">
            <w:pPr>
              <w:rPr>
                <w:rFonts w:ascii="Times New Roman" w:hAnsi="Times New Roman"/>
                <w:b/>
                <w:sz w:val="24"/>
                <w:u w:val="single"/>
              </w:rPr>
            </w:pPr>
            <w:r>
              <w:rPr>
                <w:rFonts w:ascii="Times New Roman" w:hAnsi="Times New Roman"/>
                <w:b/>
                <w:sz w:val="24"/>
                <w:u w:val="single"/>
              </w:rPr>
              <w:t>Συνολικά ανοίγματα</w:t>
            </w:r>
          </w:p>
          <w:p w:rsidR="007A49AC" w:rsidRPr="00392FFD" w:rsidRDefault="007A49AC" w:rsidP="004357B9">
            <w:pPr>
              <w:rPr>
                <w:rFonts w:ascii="Times New Roman" w:hAnsi="Times New Roman"/>
                <w:b/>
                <w:sz w:val="24"/>
                <w:u w:val="single"/>
              </w:rPr>
            </w:pPr>
          </w:p>
        </w:tc>
      </w:tr>
    </w:tbl>
    <w:p w:rsidR="004357B9" w:rsidRPr="00392FFD" w:rsidRDefault="004357B9" w:rsidP="004357B9">
      <w:pPr>
        <w:spacing w:before="0" w:after="200" w:line="312" w:lineRule="auto"/>
        <w:jc w:val="left"/>
        <w:rPr>
          <w:rFonts w:ascii="Times New Roman" w:hAnsi="Times New Roman"/>
          <w:sz w:val="24"/>
        </w:rPr>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39" w:name="_Toc360188366"/>
      <w:bookmarkStart w:id="340" w:name="_Toc516210652"/>
      <w:bookmarkStart w:id="341" w:name="_Toc473560917"/>
      <w:r>
        <w:rPr>
          <w:rFonts w:ascii="Times New Roman" w:hAnsi="Times New Roman"/>
          <w:sz w:val="24"/>
          <w:u w:val="none"/>
        </w:rPr>
        <w:t>3.4.3.</w:t>
      </w:r>
      <w:r>
        <w:tab/>
      </w:r>
      <w:r>
        <w:rPr>
          <w:rFonts w:ascii="Times New Roman" w:hAnsi="Times New Roman"/>
          <w:sz w:val="24"/>
        </w:rPr>
        <w:t>C 09.04 – Κατανομή των πιστωτικών ανοιγμάτων που είναι σημαντικά για τον υπολ</w:t>
      </w:r>
      <w:r>
        <w:rPr>
          <w:rFonts w:ascii="Times New Roman" w:hAnsi="Times New Roman"/>
          <w:sz w:val="24"/>
        </w:rPr>
        <w:t>ο</w:t>
      </w:r>
      <w:r>
        <w:rPr>
          <w:rFonts w:ascii="Times New Roman" w:hAnsi="Times New Roman"/>
          <w:sz w:val="24"/>
        </w:rPr>
        <w:t xml:space="preserve">γισμό του αντικυκλικού κεφαλαιακού αποθέματος ασφαλείας ανά χώρα και του ποσοστού αντικυκλικού κεφαλαιακού αποθέματος ασφαλείας ειδικά για το κάθε ίδρυμα </w:t>
      </w:r>
      <w:bookmarkEnd w:id="339"/>
      <w:r>
        <w:rPr>
          <w:rFonts w:ascii="Times New Roman" w:hAnsi="Times New Roman"/>
          <w:sz w:val="24"/>
        </w:rPr>
        <w:t>(CCB)</w:t>
      </w:r>
      <w:bookmarkEnd w:id="340"/>
      <w:bookmarkEnd w:id="341"/>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42" w:name="_Toc360188367"/>
      <w:bookmarkStart w:id="343" w:name="_Toc516210653"/>
      <w:bookmarkStart w:id="344" w:name="_Toc473560918"/>
      <w:r>
        <w:rPr>
          <w:rFonts w:ascii="Times New Roman" w:hAnsi="Times New Roman"/>
          <w:sz w:val="24"/>
          <w:u w:val="none"/>
        </w:rPr>
        <w:t>3.4.3.1.</w:t>
      </w:r>
      <w:r>
        <w:tab/>
      </w:r>
      <w:r>
        <w:rPr>
          <w:rFonts w:ascii="Times New Roman" w:hAnsi="Times New Roman"/>
          <w:sz w:val="24"/>
        </w:rPr>
        <w:t>Γενικές παρατηρήσεις</w:t>
      </w:r>
      <w:bookmarkEnd w:id="342"/>
      <w:bookmarkEnd w:id="343"/>
      <w:bookmarkEnd w:id="344"/>
    </w:p>
    <w:p w:rsidR="00430F6F" w:rsidRPr="00392FFD" w:rsidRDefault="00125707" w:rsidP="00C37B29">
      <w:pPr>
        <w:pStyle w:val="InstructionsText2"/>
        <w:numPr>
          <w:ilvl w:val="0"/>
          <w:numId w:val="0"/>
        </w:numPr>
        <w:ind w:left="993"/>
      </w:pPr>
      <w:r>
        <w:t>82.</w:t>
      </w:r>
      <w:r>
        <w:tab/>
        <w:t>Ο εν λόγω πίνακας εφαρμόζεται για τη λήψη περισσότερων πληροφοριών σχ</w:t>
      </w:r>
      <w:r>
        <w:t>ε</w:t>
      </w:r>
      <w:r>
        <w:t xml:space="preserve">τικά με τα στοιχεία του αντικυκλικού κεφαλαιακού αποθέματος ασφαλείας ειδικά για το κάθε ίδρυμα. Οι απαιτούμενες πληροφορίες αφορούν τις απαιτήσεις ιδίων </w:t>
      </w:r>
      <w:r>
        <w:lastRenderedPageBreak/>
        <w:t>κεφαλαίων που προσδιορίζονται σύμφωνα με το τρίτο μέρος τίτλος II και τίτλος IV του ΚΚΑ, καθώς και τη γεωγραφική θέση των πιστωτικών ανοιγμάτων, των ανοι</w:t>
      </w:r>
      <w:r>
        <w:t>γ</w:t>
      </w:r>
      <w:r>
        <w:t>μάτων τιτλοποίησης και των ανοιγμάτων του χαρτοφυλακίου συναλλαγών που ε</w:t>
      </w:r>
      <w:r>
        <w:t>ί</w:t>
      </w:r>
      <w:r>
        <w:t xml:space="preserve">ναι σημαντικά για τον υπολογισμό του αντικυκλικού κεφαλαιακού αποθέματος ασφαλείας ειδικά για το κάθε ίδρυμα (CCB), σύμφωνα με το άρθρο 140 της ΟΚΑ («σχετικές εκθέσεις σε πιστωτικό κίνδυνο»). </w:t>
      </w:r>
    </w:p>
    <w:p w:rsidR="00430F6F" w:rsidRPr="00392FFD" w:rsidRDefault="00125707" w:rsidP="00C37B29">
      <w:pPr>
        <w:pStyle w:val="InstructionsText2"/>
        <w:numPr>
          <w:ilvl w:val="0"/>
          <w:numId w:val="0"/>
        </w:numPr>
        <w:ind w:left="993"/>
      </w:pPr>
      <w:r>
        <w:t>83.</w:t>
      </w:r>
      <w:r>
        <w:tab/>
        <w:t>Οι πληροφορίες στο υπόδειγμα C 09.04 απαιτούνται για το «Σύνολο» των σχ</w:t>
      </w:r>
      <w:r>
        <w:t>ε</w:t>
      </w:r>
      <w:r>
        <w:t>τικών πιστωτικών ανοιγμάτων σε όλες τις δικαιοδοσίες στις οποίες υπάγονται τα ανοίγματα και χωριστά για κάθε δικαιοδοσία στην οποία υπάγονται τα σχετικά π</w:t>
      </w:r>
      <w:r>
        <w:t>ι</w:t>
      </w:r>
      <w:r>
        <w:t xml:space="preserve">στωτικά ανοίγματα. Τα συνολικά αριθμητικά στοιχεία, καθώς οι πληροφορίες για κάθε δικαιοδοσία, αναφέρονται σε μια χωριστή διάσταση. </w:t>
      </w:r>
    </w:p>
    <w:p w:rsidR="007463E2" w:rsidRPr="00392FFD" w:rsidRDefault="00125707" w:rsidP="00C37B29">
      <w:pPr>
        <w:pStyle w:val="InstructionsText2"/>
        <w:numPr>
          <w:ilvl w:val="0"/>
          <w:numId w:val="0"/>
        </w:numPr>
        <w:ind w:left="993"/>
      </w:pPr>
      <w:r>
        <w:t>84.</w:t>
      </w:r>
      <w:r>
        <w:tab/>
        <w:t>Το κατώτατο όριο που προβλέπεται στο άρθρο 5 στοιχείο α) σημείο 4) του π</w:t>
      </w:r>
      <w:r>
        <w:t>α</w:t>
      </w:r>
      <w:r>
        <w:t>ρόντος κανονισμού δεν έχει συνάφεια για την αναφορά της συγκεκριμένης κατ</w:t>
      </w:r>
      <w:r>
        <w:t>α</w:t>
      </w:r>
      <w:r>
        <w:t>νομής.</w:t>
      </w:r>
    </w:p>
    <w:p w:rsidR="005A7CA9" w:rsidRPr="00392FFD" w:rsidRDefault="00125707" w:rsidP="00C37B29">
      <w:pPr>
        <w:pStyle w:val="InstructionsText2"/>
        <w:numPr>
          <w:ilvl w:val="0"/>
          <w:numId w:val="0"/>
        </w:numPr>
        <w:ind w:left="993"/>
      </w:pPr>
      <w:r>
        <w:t>85.</w:t>
      </w:r>
      <w:r>
        <w:tab/>
        <w:t>Για τον προσδιορισμό της γεωγραφικής θέσης, τα ανοίγματα κατατάσσονται βάσει του άμεσου οφειλέτη, όπως προβλέπεται στον κατ’ εξουσιοδότηση κανον</w:t>
      </w:r>
      <w:r>
        <w:t>ι</w:t>
      </w:r>
      <w:r>
        <w:t>σμό (ΕΕ) αριθ. 1152/2014 της Επιτροπής, της 4ης Ιουνίου 2014, όσον αφορά τα ρυθμιστικά τεχνικά πρότυπα για τον προσδιορισμό της γεωγραφικής θέσης των ο</w:t>
      </w:r>
      <w:r>
        <w:t>ι</w:t>
      </w:r>
      <w:r>
        <w:t>κείων πιστωτικών ανοιγμάτων για τον υπολογισμό των ποσοστών αντικυκλικών κεφαλαιακών αποθεμάτων ειδικά για το κάθε ίδρυμα. Επομένως, οι τεχνικές μεί</w:t>
      </w:r>
      <w:r>
        <w:t>ω</w:t>
      </w:r>
      <w:r>
        <w:t>σης του πιστωτικού κινδύνου δεν επηρεάζουν την κατάταξη ενός ανοίγματος στη γεωγραφική του θέση, για τους σκοπούς της υποβολής πληροφοριών που καθορ</w:t>
      </w:r>
      <w:r>
        <w:t>ί</w:t>
      </w:r>
      <w:r>
        <w:t>ζονται στο παρόν υπόδειγμα.</w:t>
      </w:r>
    </w:p>
    <w:p w:rsidR="00154859" w:rsidRPr="00392FFD" w:rsidRDefault="00125707" w:rsidP="0023700C">
      <w:pPr>
        <w:pStyle w:val="Instructionsberschrift2"/>
        <w:numPr>
          <w:ilvl w:val="0"/>
          <w:numId w:val="0"/>
        </w:numPr>
        <w:ind w:left="357" w:hanging="357"/>
        <w:rPr>
          <w:rFonts w:ascii="Times New Roman" w:hAnsi="Times New Roman" w:cs="Times New Roman"/>
          <w:sz w:val="24"/>
        </w:rPr>
      </w:pPr>
      <w:bookmarkStart w:id="345" w:name="_Toc360188368"/>
      <w:bookmarkStart w:id="346" w:name="_Toc516210654"/>
      <w:bookmarkStart w:id="347" w:name="_Toc473560919"/>
      <w:r>
        <w:rPr>
          <w:rFonts w:ascii="Times New Roman" w:hAnsi="Times New Roman"/>
          <w:sz w:val="24"/>
          <w:u w:val="none"/>
        </w:rPr>
        <w:t>3.4.3.2.</w:t>
      </w:r>
      <w:r>
        <w:tab/>
      </w:r>
      <w:r>
        <w:rPr>
          <w:rFonts w:ascii="Times New Roman" w:hAnsi="Times New Roman"/>
          <w:sz w:val="24"/>
        </w:rPr>
        <w:t>Οδηγίες για συγκεκριμένες θέσεις</w:t>
      </w:r>
      <w:bookmarkEnd w:id="345"/>
      <w:bookmarkEnd w:id="346"/>
      <w:bookmarkEnd w:id="34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rsidTr="00672D2A">
        <w:tc>
          <w:tcPr>
            <w:tcW w:w="1697" w:type="dxa"/>
            <w:shd w:val="clear" w:color="auto" w:fill="CCCCCC"/>
          </w:tcPr>
          <w:p w:rsidR="00154859" w:rsidRPr="00392FFD" w:rsidRDefault="00154859" w:rsidP="004357B9">
            <w:pPr>
              <w:rPr>
                <w:rFonts w:ascii="Times New Roman" w:hAnsi="Times New Roman"/>
                <w:b/>
                <w:sz w:val="24"/>
              </w:rPr>
            </w:pPr>
            <w:r>
              <w:rPr>
                <w:rFonts w:ascii="Times New Roman" w:hAnsi="Times New Roman"/>
                <w:b/>
                <w:sz w:val="24"/>
              </w:rPr>
              <w:t>Στήλες</w:t>
            </w:r>
          </w:p>
        </w:tc>
        <w:tc>
          <w:tcPr>
            <w:tcW w:w="8131" w:type="dxa"/>
            <w:shd w:val="clear" w:color="auto" w:fill="CCCCCC"/>
          </w:tcPr>
          <w:p w:rsidR="004357B9" w:rsidRPr="00392FFD" w:rsidRDefault="004357B9" w:rsidP="004357B9">
            <w:pPr>
              <w:ind w:left="72"/>
              <w:rPr>
                <w:rFonts w:ascii="Times New Roman" w:hAnsi="Times New Roman"/>
                <w:sz w:val="24"/>
              </w:rPr>
            </w:pPr>
          </w:p>
        </w:tc>
      </w:tr>
      <w:tr w:rsidR="00154859" w:rsidRPr="00392FFD" w:rsidTr="00672D2A">
        <w:tc>
          <w:tcPr>
            <w:tcW w:w="1697" w:type="dxa"/>
          </w:tcPr>
          <w:p w:rsidR="00154859" w:rsidRPr="00392FFD" w:rsidRDefault="00154859" w:rsidP="004357B9">
            <w:pPr>
              <w:rPr>
                <w:rStyle w:val="InstructionsTabelleText"/>
                <w:rFonts w:ascii="Times New Roman" w:hAnsi="Times New Roman"/>
                <w:sz w:val="24"/>
              </w:rPr>
            </w:pPr>
            <w:r>
              <w:rPr>
                <w:rFonts w:ascii="Times New Roman" w:hAnsi="Times New Roman"/>
                <w:sz w:val="24"/>
              </w:rPr>
              <w:t>010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Ποσό</w:t>
            </w:r>
          </w:p>
          <w:p w:rsidR="00154859" w:rsidRPr="00392FFD" w:rsidRDefault="006E3440" w:rsidP="00535A98">
            <w:pPr>
              <w:rPr>
                <w:rFonts w:ascii="Times New Roman" w:hAnsi="Times New Roman"/>
                <w:b/>
                <w:sz w:val="24"/>
                <w:u w:val="single"/>
              </w:rPr>
            </w:pPr>
            <w:r>
              <w:rPr>
                <w:rFonts w:ascii="Times New Roman" w:hAnsi="Times New Roman"/>
                <w:sz w:val="24"/>
              </w:rPr>
              <w:t>Η αξία των σχετικών πιστωτικών ανοιγμάτων και των συνδεόμενων απαιτήσεων ιδίων κεφαλαίων, που προσδιορίζεται σύμφωνα με τις οδηγίες για την αντίστοιχη γραμμή.</w:t>
            </w:r>
          </w:p>
        </w:tc>
      </w:tr>
      <w:tr w:rsidR="00154859" w:rsidRPr="00392FFD" w:rsidTr="00672D2A">
        <w:tc>
          <w:tcPr>
            <w:tcW w:w="1697" w:type="dxa"/>
          </w:tcPr>
          <w:p w:rsidR="00154859" w:rsidRPr="00392FFD" w:rsidRDefault="00154859" w:rsidP="004357B9">
            <w:pPr>
              <w:rPr>
                <w:sz w:val="24"/>
              </w:rPr>
            </w:pPr>
            <w:r>
              <w:rPr>
                <w:rFonts w:ascii="Times New Roman" w:hAnsi="Times New Roman"/>
                <w:sz w:val="24"/>
              </w:rPr>
              <w:t>020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Ποσοστό</w:t>
            </w:r>
          </w:p>
          <w:p w:rsidR="00154859" w:rsidRPr="00392FFD" w:rsidRDefault="00154859" w:rsidP="00133107">
            <w:pPr>
              <w:rPr>
                <w:rFonts w:ascii="Times New Roman" w:hAnsi="Times New Roman"/>
                <w:b/>
                <w:bCs/>
                <w:sz w:val="24"/>
                <w:u w:val="single"/>
              </w:rPr>
            </w:pPr>
          </w:p>
        </w:tc>
      </w:tr>
      <w:tr w:rsidR="00154859" w:rsidRPr="00392FFD" w:rsidTr="00672D2A">
        <w:tc>
          <w:tcPr>
            <w:tcW w:w="1697" w:type="dxa"/>
          </w:tcPr>
          <w:p w:rsidR="00154859" w:rsidRPr="00392FFD" w:rsidRDefault="00154859" w:rsidP="004357B9">
            <w:pPr>
              <w:rPr>
                <w:rFonts w:ascii="Times New Roman" w:hAnsi="Times New Roman"/>
                <w:sz w:val="24"/>
              </w:rPr>
            </w:pPr>
            <w:r>
              <w:rPr>
                <w:rFonts w:ascii="Times New Roman" w:hAnsi="Times New Roman"/>
                <w:sz w:val="24"/>
              </w:rPr>
              <w:t>030</w:t>
            </w:r>
          </w:p>
        </w:tc>
        <w:tc>
          <w:tcPr>
            <w:tcW w:w="8131" w:type="dxa"/>
          </w:tcPr>
          <w:p w:rsidR="00154859" w:rsidRPr="00392FFD"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Ποιοτικές πληροφορίες</w:t>
            </w:r>
          </w:p>
          <w:p w:rsidR="00514783" w:rsidRPr="00392FFD" w:rsidRDefault="00CA270D" w:rsidP="00234E7D">
            <w:pPr>
              <w:autoSpaceDE w:val="0"/>
              <w:autoSpaceDN w:val="0"/>
              <w:adjustRightInd w:val="0"/>
              <w:rPr>
                <w:rFonts w:ascii="Times New Roman" w:hAnsi="Times New Roman"/>
                <w:sz w:val="24"/>
              </w:rPr>
            </w:pPr>
            <w:r>
              <w:rPr>
                <w:rFonts w:ascii="Times New Roman" w:hAnsi="Times New Roman"/>
                <w:sz w:val="24"/>
              </w:rPr>
              <w:t>Οι εν λόγω πληροφορίες αναφέρονται μόνο για τη χώρα κατοικίας του ιδρύματος (τη δικαιοδοσία που αντιστοιχεί στο οικείο κράτος μέλος καταγωγής) και το «Σ</w:t>
            </w:r>
            <w:r>
              <w:rPr>
                <w:rFonts w:ascii="Times New Roman" w:hAnsi="Times New Roman"/>
                <w:sz w:val="24"/>
              </w:rPr>
              <w:t>ύ</w:t>
            </w:r>
            <w:r>
              <w:rPr>
                <w:rFonts w:ascii="Times New Roman" w:hAnsi="Times New Roman"/>
                <w:sz w:val="24"/>
              </w:rPr>
              <w:t xml:space="preserve">νολο» όλων των χωρών. </w:t>
            </w:r>
          </w:p>
          <w:p w:rsidR="00EF3F40" w:rsidRPr="00392FFD"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Τα ιδρύματα αναφέρουν είτε {y} είτε {n}, σύμφωνα με τις οδηγίες για την αντ</w:t>
            </w:r>
            <w:r>
              <w:rPr>
                <w:rFonts w:ascii="Times New Roman" w:hAnsi="Times New Roman"/>
                <w:sz w:val="24"/>
              </w:rPr>
              <w:t>ί</w:t>
            </w:r>
            <w:r>
              <w:rPr>
                <w:rFonts w:ascii="Times New Roman" w:hAnsi="Times New Roman"/>
                <w:sz w:val="24"/>
              </w:rPr>
              <w:t>στοιχη γραμμή.</w:t>
            </w:r>
          </w:p>
        </w:tc>
      </w:tr>
    </w:tbl>
    <w:p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rsidTr="00672D2A">
        <w:tc>
          <w:tcPr>
            <w:tcW w:w="1697" w:type="dxa"/>
            <w:shd w:val="clear" w:color="auto" w:fill="CCCCCC"/>
          </w:tcPr>
          <w:p w:rsidR="00BD5485" w:rsidRPr="00392FFD" w:rsidRDefault="00BD5485" w:rsidP="00133107">
            <w:pPr>
              <w:rPr>
                <w:rFonts w:ascii="Times New Roman" w:hAnsi="Times New Roman"/>
                <w:b/>
                <w:sz w:val="24"/>
              </w:rPr>
            </w:pPr>
            <w:r>
              <w:rPr>
                <w:rFonts w:ascii="Times New Roman" w:hAnsi="Times New Roman"/>
                <w:b/>
                <w:sz w:val="24"/>
              </w:rPr>
              <w:t>Γραμμές</w:t>
            </w:r>
          </w:p>
        </w:tc>
        <w:tc>
          <w:tcPr>
            <w:tcW w:w="8131" w:type="dxa"/>
            <w:shd w:val="clear" w:color="auto" w:fill="CCCCCC"/>
          </w:tcPr>
          <w:p w:rsidR="00BD5485" w:rsidRPr="00392FFD" w:rsidRDefault="00BD5485" w:rsidP="00133107">
            <w:pPr>
              <w:ind w:left="72"/>
              <w:rPr>
                <w:rFonts w:ascii="Times New Roman" w:hAnsi="Times New Roman"/>
                <w:sz w:val="24"/>
              </w:rPr>
            </w:pPr>
          </w:p>
        </w:tc>
      </w:tr>
      <w:tr w:rsidR="00BD5485" w:rsidRPr="00392FFD" w:rsidTr="00672D2A">
        <w:tc>
          <w:tcPr>
            <w:tcW w:w="1697" w:type="dxa"/>
          </w:tcPr>
          <w:p w:rsidR="00BD5485" w:rsidRPr="00392FFD" w:rsidRDefault="00BD5485" w:rsidP="00133107">
            <w:pPr>
              <w:rPr>
                <w:rStyle w:val="InstructionsTabelleText"/>
                <w:rFonts w:ascii="Times New Roman" w:hAnsi="Times New Roman"/>
                <w:sz w:val="24"/>
              </w:rPr>
            </w:pPr>
            <w:r>
              <w:rPr>
                <w:rFonts w:ascii="Times New Roman" w:hAnsi="Times New Roman"/>
                <w:sz w:val="24"/>
              </w:rPr>
              <w:lastRenderedPageBreak/>
              <w:t>010-020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Σχετικά πιστωτικά ανοίγματα – Πιστωτικός κίνδυνος</w:t>
            </w:r>
          </w:p>
          <w:p w:rsidR="00BD5485" w:rsidRPr="00392FFD" w:rsidRDefault="00BD5485" w:rsidP="00BD5485">
            <w:pPr>
              <w:rPr>
                <w:rFonts w:ascii="Times New Roman" w:hAnsi="Times New Roman"/>
                <w:b/>
                <w:sz w:val="24"/>
                <w:u w:val="single"/>
              </w:rPr>
            </w:pPr>
            <w:r>
              <w:rPr>
                <w:rFonts w:ascii="Times New Roman" w:hAnsi="Times New Roman"/>
                <w:sz w:val="24"/>
              </w:rPr>
              <w:t>Σχετικά πιστωτικά ανοίγματα που ορίζονται σύμφωνα με το άρθρο 140 παράγρ</w:t>
            </w:r>
            <w:r>
              <w:rPr>
                <w:rFonts w:ascii="Times New Roman" w:hAnsi="Times New Roman"/>
                <w:sz w:val="24"/>
              </w:rPr>
              <w:t>α</w:t>
            </w:r>
            <w:r>
              <w:rPr>
                <w:rFonts w:ascii="Times New Roman" w:hAnsi="Times New Roman"/>
                <w:sz w:val="24"/>
              </w:rPr>
              <w:t>φος 4 στοιχείο α) της ΟΚΑ.</w:t>
            </w:r>
          </w:p>
        </w:tc>
      </w:tr>
      <w:tr w:rsidR="00BD5485" w:rsidRPr="00392FFD" w:rsidTr="00672D2A">
        <w:tc>
          <w:tcPr>
            <w:tcW w:w="1697" w:type="dxa"/>
          </w:tcPr>
          <w:p w:rsidR="00BD5485" w:rsidRPr="00392FFD" w:rsidRDefault="00BD5485" w:rsidP="00133107">
            <w:pPr>
              <w:rPr>
                <w:sz w:val="24"/>
              </w:rPr>
            </w:pPr>
            <w:r>
              <w:rPr>
                <w:rFonts w:ascii="Times New Roman" w:hAnsi="Times New Roman"/>
                <w:sz w:val="24"/>
              </w:rPr>
              <w:t>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Αξία ανοίγματος βάσει της τυποποιημένης προσέγγισης</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Αξία ανοίγματος, η οποία προσδιορίζεται βάσει του άρθρου 111 του ΚΚΑ για τα σχετικά πιστωτικά ανοίγματα που ορίζονται σύμφωνα με το άρθρο 140 παράγρ</w:t>
            </w:r>
            <w:r>
              <w:rPr>
                <w:rFonts w:ascii="Times New Roman" w:hAnsi="Times New Roman"/>
                <w:sz w:val="24"/>
              </w:rPr>
              <w:t>α</w:t>
            </w:r>
            <w:r>
              <w:rPr>
                <w:rFonts w:ascii="Times New Roman" w:hAnsi="Times New Roman"/>
                <w:sz w:val="24"/>
              </w:rPr>
              <w:t xml:space="preserve">φος 4 στοιχείο α) της ΟΚΑ. </w:t>
            </w:r>
          </w:p>
          <w:p w:rsidR="00BD5485" w:rsidRPr="00392FFD" w:rsidRDefault="00BD5485" w:rsidP="005A7CA9">
            <w:pPr>
              <w:autoSpaceDE w:val="0"/>
              <w:autoSpaceDN w:val="0"/>
              <w:adjustRightInd w:val="0"/>
              <w:rPr>
                <w:rFonts w:ascii="Times New Roman" w:hAnsi="Times New Roman"/>
                <w:b/>
                <w:bCs/>
                <w:sz w:val="24"/>
                <w:u w:val="single"/>
              </w:rPr>
            </w:pPr>
            <w:r>
              <w:rPr>
                <w:rFonts w:ascii="Times New Roman" w:hAnsi="Times New Roman"/>
                <w:sz w:val="24"/>
              </w:rPr>
              <w:t>Η αξία ανοίγματος θέσεων τιτλοποίησης που τηρούνται εντός του τραπεζικού χαρτοφυλακίου βάσει της τυποποιημένης προσέγγισης δεν περιλαμβάνεται στη συγκεκριμένη γραμμή, και δηλώνεται στη γραμμή 050.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Αξία ανοίγματος βάσει της προσέγγισης IRB</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Αξία ανοίγματος, η οποία προσδιορίζεται βάσει του άρθρου 166 του ΚΚΑ για τα σχετικά πιστωτικά ανοίγματα που ορίζονται σύμφωνα με το άρθρο 140 παράγρ</w:t>
            </w:r>
            <w:r>
              <w:rPr>
                <w:rFonts w:ascii="Times New Roman" w:hAnsi="Times New Roman"/>
                <w:sz w:val="24"/>
              </w:rPr>
              <w:t>α</w:t>
            </w:r>
            <w:r>
              <w:rPr>
                <w:rFonts w:ascii="Times New Roman" w:hAnsi="Times New Roman"/>
                <w:sz w:val="24"/>
              </w:rPr>
              <w:t xml:space="preserve">φος 4 στοιχείο α) της ΟΚΑ. </w:t>
            </w:r>
          </w:p>
          <w:p w:rsidR="00BD5485" w:rsidRPr="00392FFD" w:rsidRDefault="00BD5485" w:rsidP="00BD5485">
            <w:pPr>
              <w:rPr>
                <w:rFonts w:ascii="Times New Roman" w:hAnsi="Times New Roman"/>
                <w:b/>
                <w:bCs/>
                <w:sz w:val="24"/>
                <w:u w:val="single"/>
              </w:rPr>
            </w:pPr>
            <w:r>
              <w:rPr>
                <w:rFonts w:ascii="Times New Roman" w:hAnsi="Times New Roman"/>
                <w:sz w:val="24"/>
              </w:rPr>
              <w:t>Η αξία ανοίγματος θέσεων τιτλοποίησης εντός του τραπεζικού χαρτοφυλακίου βάσει της προσέγγισης IRB δεν περιλαμβάνεται στη συγκεκριμένη γραμμή, και δηλώνεται στη γραμμή 060.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Σχετικά πιστωτικά ανοίγματα – Κίνδυνος αγοράς</w:t>
            </w:r>
          </w:p>
          <w:p w:rsidR="00BD5485" w:rsidRPr="00392FFD" w:rsidRDefault="00BD5485" w:rsidP="00BD5485">
            <w:pPr>
              <w:rPr>
                <w:rFonts w:ascii="Times New Roman" w:hAnsi="Times New Roman"/>
                <w:b/>
                <w:bCs/>
                <w:sz w:val="24"/>
                <w:u w:val="single"/>
              </w:rPr>
            </w:pPr>
            <w:r>
              <w:rPr>
                <w:rFonts w:ascii="Times New Roman" w:hAnsi="Times New Roman"/>
                <w:sz w:val="24"/>
              </w:rPr>
              <w:t>Σχετικά πιστωτικά ανοίγματα που ορίζονται σύμφωνα με το άρθρο 140 παράγρ</w:t>
            </w:r>
            <w:r>
              <w:rPr>
                <w:rFonts w:ascii="Times New Roman" w:hAnsi="Times New Roman"/>
                <w:sz w:val="24"/>
              </w:rPr>
              <w:t>α</w:t>
            </w:r>
            <w:r>
              <w:rPr>
                <w:rFonts w:ascii="Times New Roman" w:hAnsi="Times New Roman"/>
                <w:sz w:val="24"/>
              </w:rPr>
              <w:t>φος 4 στοιχείο β) της ΟΚΑ.</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Άθροισμα θετικών και αρνητικών θέσεων ανοιγμάτων χαρτοφυλακίου σ</w:t>
            </w:r>
            <w:r>
              <w:rPr>
                <w:rFonts w:ascii="Times New Roman" w:hAnsi="Times New Roman"/>
                <w:b/>
                <w:sz w:val="24"/>
                <w:u w:val="single"/>
              </w:rPr>
              <w:t>υ</w:t>
            </w:r>
            <w:r>
              <w:rPr>
                <w:rFonts w:ascii="Times New Roman" w:hAnsi="Times New Roman"/>
                <w:b/>
                <w:sz w:val="24"/>
                <w:u w:val="single"/>
              </w:rPr>
              <w:t>ναλλαγών βάσει τυποποιημένων προσεγγίσεων</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Άθροισμα καθαρών θετικών και καθαρών αρνητικών θέσεων, βάσει του άρθρου 327 του ΚΚΑ, των σχετικών πιστωτικών ανοιγμάτων που ορίζονται σύμφωνα με το άρθρο 140 παράγραφος 4 στοιχείο β) της ΟΚΑ βάσει του τρίτου μέρους τίτλος IV κεφάλαιο 2 του ΚΚΑ: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ανοίγματα σε χρεωστικούς τίτλους πλην της τιτλοποίησης,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ανοίγματα σε θέσεις τιτλοποίησης εντός του χαρτοφυλακίου συναλλαγών,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ανοίγματα σε χαρτοφυλάκια διαπραγμάτευσης συσχετίσεων,</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ανοίγματα σε μετοχικούς τίτλους, και</w:t>
            </w:r>
          </w:p>
          <w:p w:rsidR="0079771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ανοίγματα σε ΟΣΕ, εάν υπολογίζονται κεφαλαιακές απαιτήσεις σύμφωνα με το άρθρο 348 του ΚΚΑ.</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Αξία ανοιγμάτων του χαρτοφυλακίου συναλλαγών βάσει προσεγγίσεων εσ</w:t>
            </w:r>
            <w:r>
              <w:rPr>
                <w:rFonts w:ascii="Times New Roman" w:hAnsi="Times New Roman"/>
                <w:b/>
                <w:sz w:val="24"/>
                <w:u w:val="single"/>
              </w:rPr>
              <w:t>ω</w:t>
            </w:r>
            <w:r>
              <w:rPr>
                <w:rFonts w:ascii="Times New Roman" w:hAnsi="Times New Roman"/>
                <w:b/>
                <w:sz w:val="24"/>
                <w:u w:val="single"/>
              </w:rPr>
              <w:t>τερικών υποδειγμάτων</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Για τα σχετικά πιστωτικά ανοίγματα, που ορίζονται σύμφωνα με το άρθρο 140 παράγραφος 4 στοιχείο β) της ΟΚΑ βάσει του τρίτου μέρους τίτλος IV κεφάλαια 2 και 5 του ΚΚΑ, αναφέρεται το άθροισμα των ακόλουθων στοιχείων:</w:t>
            </w:r>
          </w:p>
          <w:p w:rsidR="00BD5485" w:rsidRPr="00125707"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Εύλογη αξία μη παράγωγων θέσεων που αντιπροσωπεύουν σχετικά πιστωτικά ανοίγματα, όπως ορίζονται στο άρθρο 140 παράγραφος 4 στοιχείο β) της ΟΚΑ, η οποία προσδιορίζεται σύμφωνα με το άρθρο 104 του ΚΚΑ.</w:t>
            </w:r>
          </w:p>
          <w:p w:rsidR="00BD548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 xml:space="preserve">Ονομαστική αξία παραγώγων που αντιπροσωπεύουν σχετικά πιστωτικά </w:t>
            </w:r>
            <w:r>
              <w:rPr>
                <w:rFonts w:ascii="Times New Roman" w:hAnsi="Times New Roman"/>
                <w:sz w:val="24"/>
              </w:rPr>
              <w:t>α</w:t>
            </w:r>
            <w:r>
              <w:rPr>
                <w:rFonts w:ascii="Times New Roman" w:hAnsi="Times New Roman"/>
                <w:sz w:val="24"/>
              </w:rPr>
              <w:lastRenderedPageBreak/>
              <w:t>νοίγματα, όπως ορίζονται στο άρθρο 140 παράγραφος 4 στοιχείο β) της ΟΚΑ.</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050-060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Σχετικά πιστωτικά ανοίγματα – Θέσεις τιτλοποίησης εντός του τραπεζικού χαρτοφυλακίου</w:t>
            </w:r>
          </w:p>
          <w:p w:rsidR="00BD5485" w:rsidRPr="00392FFD" w:rsidRDefault="00BD5485" w:rsidP="00BD5485">
            <w:pPr>
              <w:rPr>
                <w:rFonts w:ascii="Times New Roman" w:hAnsi="Times New Roman"/>
                <w:b/>
                <w:bCs/>
                <w:sz w:val="24"/>
                <w:u w:val="single"/>
              </w:rPr>
            </w:pPr>
            <w:r>
              <w:rPr>
                <w:rFonts w:ascii="Times New Roman" w:hAnsi="Times New Roman"/>
                <w:sz w:val="24"/>
              </w:rPr>
              <w:t>Σχετικά πιστωτικά ανοίγματα που ορίζονται σύμφωνα με το άρθρο 140 παράγρ</w:t>
            </w:r>
            <w:r>
              <w:rPr>
                <w:rFonts w:ascii="Times New Roman" w:hAnsi="Times New Roman"/>
                <w:sz w:val="24"/>
              </w:rPr>
              <w:t>α</w:t>
            </w:r>
            <w:r>
              <w:rPr>
                <w:rFonts w:ascii="Times New Roman" w:hAnsi="Times New Roman"/>
                <w:sz w:val="24"/>
              </w:rPr>
              <w:t>φος 4 στοιχείο γ) της ΟΚΑ.</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Αξία ανοίγματος θέσεων τιτλοποίησης εντός του τραπεζικού χαρτοφυλακίου βάσει της τυποποιημένης προσέγγισης</w:t>
            </w:r>
          </w:p>
          <w:p w:rsidR="00BD5485" w:rsidRPr="00392FFD" w:rsidRDefault="00BD5485" w:rsidP="00BD5485">
            <w:pPr>
              <w:rPr>
                <w:rFonts w:ascii="Times New Roman" w:hAnsi="Times New Roman"/>
                <w:b/>
                <w:bCs/>
                <w:sz w:val="24"/>
                <w:u w:val="single"/>
              </w:rPr>
            </w:pPr>
            <w:r>
              <w:rPr>
                <w:rFonts w:ascii="Times New Roman" w:hAnsi="Times New Roman"/>
                <w:sz w:val="24"/>
              </w:rPr>
              <w:t>Αξία ανοίγματος, η οποία προσδιορίζεται βάσει του άρθρου 246 του ΚΚΑ για τα σχετικά πιστωτικά ανοίγματα που ορίζονται σύμφωνα με το άρθρο 140 παράγρ</w:t>
            </w:r>
            <w:r>
              <w:rPr>
                <w:rFonts w:ascii="Times New Roman" w:hAnsi="Times New Roman"/>
                <w:sz w:val="24"/>
              </w:rPr>
              <w:t>α</w:t>
            </w:r>
            <w:r>
              <w:rPr>
                <w:rFonts w:ascii="Times New Roman" w:hAnsi="Times New Roman"/>
                <w:sz w:val="24"/>
              </w:rPr>
              <w:t xml:space="preserve">φος 4 στοιχείο γ) της ΟΚΑ.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Αξία ανοίγματος θέσεων τιτλοποίησης εντός του τραπεζικού χαρτοφυλακίου βάσει της προσέγγισης IRB</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Αξία ανοίγματος, η οποία προσδιορίζεται βάσει του άρθρου 246 του ΚΚΑ για τα σχετικά πιστωτικά ανοίγματα που ορίζονται σύμφωνα με το άρθρο 140 παράγρ</w:t>
            </w:r>
            <w:r>
              <w:rPr>
                <w:rFonts w:ascii="Times New Roman" w:hAnsi="Times New Roman"/>
                <w:sz w:val="24"/>
              </w:rPr>
              <w:t>α</w:t>
            </w:r>
            <w:r>
              <w:rPr>
                <w:rFonts w:ascii="Times New Roman" w:hAnsi="Times New Roman"/>
                <w:sz w:val="24"/>
              </w:rPr>
              <w:t xml:space="preserve">φος 4 στοιχείο γ) της ΟΚΑ.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070-110</w:t>
            </w:r>
          </w:p>
        </w:tc>
        <w:tc>
          <w:tcPr>
            <w:tcW w:w="8131" w:type="dxa"/>
          </w:tcPr>
          <w:p w:rsidR="00BD5485" w:rsidRPr="00392FFD" w:rsidRDefault="00BD5485" w:rsidP="00133107">
            <w:pPr>
              <w:rPr>
                <w:rFonts w:ascii="Times New Roman" w:hAnsi="Times New Roman"/>
                <w:b/>
                <w:bCs/>
                <w:sz w:val="24"/>
                <w:u w:val="single"/>
              </w:rPr>
            </w:pPr>
            <w:r>
              <w:rPr>
                <w:rFonts w:ascii="Times New Roman" w:hAnsi="Times New Roman"/>
                <w:b/>
                <w:sz w:val="24"/>
                <w:u w:val="single"/>
              </w:rPr>
              <w:t>Απαιτήσεις και συντελεστές στάθμισης ιδίων κεφαλαίων</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 xml:space="preserve">Συνολικές απαιτήσεις ιδίων κεφαλαίων για </w:t>
            </w:r>
            <w:proofErr w:type="spellStart"/>
            <w:r>
              <w:rPr>
                <w:rFonts w:ascii="Times New Roman" w:hAnsi="Times New Roman"/>
                <w:b/>
                <w:sz w:val="24"/>
                <w:u w:val="single"/>
              </w:rPr>
              <w:t>αντικυκλικό</w:t>
            </w:r>
            <w:proofErr w:type="spellEnd"/>
            <w:r>
              <w:rPr>
                <w:rFonts w:ascii="Times New Roman" w:hAnsi="Times New Roman"/>
                <w:b/>
                <w:sz w:val="24"/>
                <w:u w:val="single"/>
              </w:rPr>
              <w:t xml:space="preserve"> κεφαλαιακό απόθ</w:t>
            </w:r>
            <w:r>
              <w:rPr>
                <w:rFonts w:ascii="Times New Roman" w:hAnsi="Times New Roman"/>
                <w:b/>
                <w:sz w:val="24"/>
                <w:u w:val="single"/>
              </w:rPr>
              <w:t>ε</w:t>
            </w:r>
            <w:r>
              <w:rPr>
                <w:rFonts w:ascii="Times New Roman" w:hAnsi="Times New Roman"/>
                <w:b/>
                <w:sz w:val="24"/>
                <w:u w:val="single"/>
              </w:rPr>
              <w:t>μα ασφαλείας (CCB)</w:t>
            </w:r>
          </w:p>
          <w:p w:rsidR="00BD5485" w:rsidRPr="00392FFD" w:rsidRDefault="00BD5485" w:rsidP="00BD5485">
            <w:pPr>
              <w:rPr>
                <w:rFonts w:ascii="Times New Roman" w:hAnsi="Times New Roman"/>
                <w:b/>
                <w:bCs/>
                <w:sz w:val="24"/>
                <w:u w:val="single"/>
              </w:rPr>
            </w:pPr>
            <w:r>
              <w:rPr>
                <w:rFonts w:ascii="Times New Roman" w:hAnsi="Times New Roman"/>
                <w:sz w:val="24"/>
              </w:rPr>
              <w:t>Το άθροισμα των γραμμών 080, 090 και 100.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080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Απαιτήσεις ιδίων κεφαλαίων </w:t>
            </w:r>
            <w:r>
              <w:rPr>
                <w:rFonts w:ascii="Times New Roman" w:hAnsi="Times New Roman"/>
                <w:b/>
                <w:sz w:val="24"/>
                <w:u w:val="single"/>
              </w:rPr>
              <w:t>για τα σχετικά πιστωτικά ανοίγματα – Πιστ</w:t>
            </w:r>
            <w:r>
              <w:rPr>
                <w:rFonts w:ascii="Times New Roman" w:hAnsi="Times New Roman"/>
                <w:b/>
                <w:sz w:val="24"/>
                <w:u w:val="single"/>
              </w:rPr>
              <w:t>ω</w:t>
            </w:r>
            <w:r>
              <w:rPr>
                <w:rFonts w:ascii="Times New Roman" w:hAnsi="Times New Roman"/>
                <w:b/>
                <w:sz w:val="24"/>
                <w:u w:val="single"/>
              </w:rPr>
              <w:t xml:space="preserve">τικός κίνδυνος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Απαιτήσεις ιδίων κεφαλαίων που καθορίζονται σύμφωνα με το τρίτο μέρος τίτλος II κεφάλαια 1 έως 4 και κεφάλαιο 6 του ΚΚΑ για τα σχετικά πιστωτικά ανοίγμ</w:t>
            </w:r>
            <w:r>
              <w:rPr>
                <w:rFonts w:ascii="Times New Roman" w:hAnsi="Times New Roman"/>
                <w:sz w:val="24"/>
              </w:rPr>
              <w:t>α</w:t>
            </w:r>
            <w:r>
              <w:rPr>
                <w:rFonts w:ascii="Times New Roman" w:hAnsi="Times New Roman"/>
                <w:sz w:val="24"/>
              </w:rPr>
              <w:t xml:space="preserve">τα, τα οποία ορίζονται σύμφωνα με το άρθρο 140 παράγραφος 4 στοιχείο α) της ΟΚΑ, στην υπό εξέταση χώρα.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Οι απαιτήσεις ιδίων κεφαλαίων για θέσεις τιτλοποίησης εντός του τραπεζικού χαρτοφυλακίου δεν περιλαμβάνονται στη συγκεκριμένη γραμμή και αναφέρονται στη γραμμή 100.</w:t>
            </w:r>
          </w:p>
          <w:p w:rsidR="00BD5485" w:rsidRPr="00392FFD" w:rsidRDefault="00BD5485" w:rsidP="00255BA9">
            <w:pPr>
              <w:rPr>
                <w:rFonts w:ascii="Times New Roman" w:hAnsi="Times New Roman"/>
                <w:b/>
                <w:bCs/>
                <w:sz w:val="24"/>
                <w:u w:val="single"/>
              </w:rPr>
            </w:pPr>
            <w:r>
              <w:rPr>
                <w:rFonts w:ascii="Times New Roman" w:hAnsi="Times New Roman"/>
                <w:sz w:val="24"/>
              </w:rPr>
              <w:t>Οι απαιτήσεις ιδίων κεφαλαίων ισούνται με το 8 % του ποσού του σταθμισμένου ως προς τον κίνδυνο ανοίγματος, που προσδιορίζεται σύμφωνα με τις διατάξεις του τρίτου μέρους τίτλος II κεφάλαια 1 έως 4 και κεφάλαιο 6 του ΚΚΑ.</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090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Απαιτήσεις ιδίων κεφαλαίων </w:t>
            </w:r>
            <w:r>
              <w:rPr>
                <w:rFonts w:ascii="Times New Roman" w:hAnsi="Times New Roman"/>
                <w:b/>
                <w:sz w:val="24"/>
                <w:u w:val="single"/>
              </w:rPr>
              <w:t>για τα σχετικά πιστωτικά ανοίγματα – Κίνδ</w:t>
            </w:r>
            <w:r>
              <w:rPr>
                <w:rFonts w:ascii="Times New Roman" w:hAnsi="Times New Roman"/>
                <w:b/>
                <w:sz w:val="24"/>
                <w:u w:val="single"/>
              </w:rPr>
              <w:t>υ</w:t>
            </w:r>
            <w:r>
              <w:rPr>
                <w:rFonts w:ascii="Times New Roman" w:hAnsi="Times New Roman"/>
                <w:b/>
                <w:sz w:val="24"/>
                <w:u w:val="single"/>
              </w:rPr>
              <w:t xml:space="preserve">νος αγοράς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Απαιτήσεις ιδίων κεφαλαίων που καθορίζονται σύμφωνα με το τρίτο μέρος τίτλος IV κεφάλαιο 2 του ΚΚΑ, όσον αφορά τον ειδικό κίνδυνο, ή σύμφωνα με το τρίτο μέρος τίτλος IV κεφάλαιο 5 του ΚΚΑ, όσον αφορά τον αυξημένο κίνδυνο αθέτ</w:t>
            </w:r>
            <w:r>
              <w:rPr>
                <w:rFonts w:ascii="Times New Roman" w:hAnsi="Times New Roman"/>
                <w:sz w:val="24"/>
              </w:rPr>
              <w:t>η</w:t>
            </w:r>
            <w:r>
              <w:rPr>
                <w:rFonts w:ascii="Times New Roman" w:hAnsi="Times New Roman"/>
                <w:sz w:val="24"/>
              </w:rPr>
              <w:t xml:space="preserve">σης και μεταβολής της πιστοληπτικής αξιολόγησης για τα σχετικά πιστωτικά </w:t>
            </w:r>
            <w:r>
              <w:rPr>
                <w:rFonts w:ascii="Times New Roman" w:hAnsi="Times New Roman"/>
                <w:sz w:val="24"/>
              </w:rPr>
              <w:t>α</w:t>
            </w:r>
            <w:r>
              <w:rPr>
                <w:rFonts w:ascii="Times New Roman" w:hAnsi="Times New Roman"/>
                <w:sz w:val="24"/>
              </w:rPr>
              <w:t xml:space="preserve">νοίγματα, τα οποία ορίζονται σύμφωνα με το άρθρο 140 παράγραφος 4 στοιχείο β) της ΟΚΑ, στην εν λόγω χώρα. </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 xml:space="preserve">Στις απαιτήσεις ιδίων κεφαλαίων για τα σχετικά πιστωτικά ανοίγματα βάσει του </w:t>
            </w:r>
            <w:r>
              <w:rPr>
                <w:rFonts w:ascii="Times New Roman" w:hAnsi="Times New Roman"/>
                <w:sz w:val="24"/>
              </w:rPr>
              <w:lastRenderedPageBreak/>
              <w:t>πλαισίου για τον κίνδυνο αγοράς περιλαμβάνονται, μεταξύ άλλων, οι απαιτήσεις ιδίων κεφαλαίων για τις θέσεις τιτλοποίησης βάσει του τρίτου μέρους τίτλος IV κεφάλαιο 2 του ΚΚΑ και οι απαιτήσεις ιδίων κεφαλαίων για τα ανοίγματα σε ο</w:t>
            </w:r>
            <w:r>
              <w:rPr>
                <w:rFonts w:ascii="Times New Roman" w:hAnsi="Times New Roman"/>
                <w:sz w:val="24"/>
              </w:rPr>
              <w:t>ρ</w:t>
            </w:r>
            <w:r>
              <w:rPr>
                <w:rFonts w:ascii="Times New Roman" w:hAnsi="Times New Roman"/>
                <w:sz w:val="24"/>
              </w:rPr>
              <w:t>γανισμούς συλλογικών επενδύσεων, που καθορίζονται σύμφωνα με το άρθρο 348 του ΚΚΑ.</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100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 xml:space="preserve">Απαιτήσεις ιδίων κεφαλαίων </w:t>
            </w:r>
            <w:r>
              <w:rPr>
                <w:rFonts w:ascii="Times New Roman" w:hAnsi="Times New Roman"/>
                <w:b/>
                <w:sz w:val="24"/>
                <w:u w:val="single"/>
              </w:rPr>
              <w:t>για τα σχετικά πιστωτικά ανοίγματα – Θέσεις τιτλοποίησης εντός του τραπεζικού χαρτοφυλακίου</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Απαιτήσεις ιδίων κεφαλαίων που καθορίζονται σύμφωνα με το τρίτο μέρος τίτλος II κεφάλαιο 5 του ΚΚΑ για τα σχετικά πιστωτικά ανοίγματα, τα οποία ορίζονται σύμφωνα με το άρθρο 140 παράγραφος 4 στοιχείο γ) της ΟΚΑ, στην εν λόγω χ</w:t>
            </w:r>
            <w:r>
              <w:rPr>
                <w:rFonts w:ascii="Times New Roman" w:hAnsi="Times New Roman"/>
                <w:sz w:val="24"/>
              </w:rPr>
              <w:t>ώ</w:t>
            </w:r>
            <w:r>
              <w:rPr>
                <w:rFonts w:ascii="Times New Roman" w:hAnsi="Times New Roman"/>
                <w:sz w:val="24"/>
              </w:rPr>
              <w:t>ρα.</w:t>
            </w:r>
          </w:p>
          <w:p w:rsidR="00BD5485" w:rsidRPr="00392FFD" w:rsidRDefault="00BD5485" w:rsidP="00BD5485">
            <w:pPr>
              <w:rPr>
                <w:rFonts w:ascii="Times New Roman" w:hAnsi="Times New Roman"/>
                <w:b/>
                <w:bCs/>
                <w:sz w:val="24"/>
                <w:u w:val="single"/>
              </w:rPr>
            </w:pPr>
            <w:r>
              <w:rPr>
                <w:rFonts w:ascii="Times New Roman" w:hAnsi="Times New Roman"/>
                <w:sz w:val="24"/>
              </w:rPr>
              <w:t>Οι απαιτήσεις ιδίων κεφαλαίων ισούνται με το 8 % του ποσού του σταθμισμένου ως προς τον κίνδυνο ανοίγματος, που προσδιορίζεται σύμφωνα με τις διατάξεις του τρίτου μέρους τίτλος II κεφάλαιο 5 του ΚΚΑ.</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110</w:t>
            </w:r>
          </w:p>
        </w:tc>
        <w:tc>
          <w:tcPr>
            <w:tcW w:w="8131" w:type="dxa"/>
          </w:tcPr>
          <w:p w:rsidR="00966663" w:rsidRPr="00392FFD" w:rsidRDefault="00966663" w:rsidP="00966663">
            <w:pPr>
              <w:rPr>
                <w:rFonts w:ascii="Times New Roman" w:hAnsi="Times New Roman"/>
                <w:b/>
                <w:bCs/>
                <w:sz w:val="24"/>
                <w:u w:val="single"/>
              </w:rPr>
            </w:pPr>
            <w:r>
              <w:rPr>
                <w:rFonts w:ascii="Times New Roman" w:hAnsi="Times New Roman"/>
                <w:b/>
                <w:sz w:val="24"/>
                <w:u w:val="single"/>
              </w:rPr>
              <w:t>Συντελεστές στάθμισης των απαιτήσεων ιδίων κεφαλαίων</w:t>
            </w:r>
          </w:p>
          <w:p w:rsidR="00966663" w:rsidRPr="00392FFD" w:rsidRDefault="00966663" w:rsidP="00966663">
            <w:pPr>
              <w:rPr>
                <w:rFonts w:ascii="Times New Roman" w:hAnsi="Times New Roman"/>
                <w:sz w:val="24"/>
              </w:rPr>
            </w:pPr>
            <w:r>
              <w:rPr>
                <w:rFonts w:ascii="Times New Roman" w:hAnsi="Times New Roman"/>
                <w:sz w:val="24"/>
              </w:rPr>
              <w:t>Ο συντελεστής στάθμισης που εφαρμόζεται στο ποσοστό αντικυκλικού κεφαλα</w:t>
            </w:r>
            <w:r>
              <w:rPr>
                <w:rFonts w:ascii="Times New Roman" w:hAnsi="Times New Roman"/>
                <w:sz w:val="24"/>
              </w:rPr>
              <w:t>ι</w:t>
            </w:r>
            <w:r>
              <w:rPr>
                <w:rFonts w:ascii="Times New Roman" w:hAnsi="Times New Roman"/>
                <w:sz w:val="24"/>
              </w:rPr>
              <w:t>ακού αποθέματος ασφαλείας σε κάθε χώρα υπολογίζεται ως ποσοστό των απα</w:t>
            </w:r>
            <w:r>
              <w:rPr>
                <w:rFonts w:ascii="Times New Roman" w:hAnsi="Times New Roman"/>
                <w:sz w:val="24"/>
              </w:rPr>
              <w:t>ι</w:t>
            </w:r>
            <w:r>
              <w:rPr>
                <w:rFonts w:ascii="Times New Roman" w:hAnsi="Times New Roman"/>
                <w:sz w:val="24"/>
              </w:rPr>
              <w:t>τήσεων ιδίων κεφαλαίων ως εξής:</w:t>
            </w:r>
          </w:p>
          <w:p w:rsidR="00966663" w:rsidRPr="00392FFD"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Αριθμητής: Οι συνολικές απαιτήσεις ιδίων κεφαλαίων που σχετίζονται με τα σχετικά πιστωτικά ανοίγματα στην εν λόγω χώρα [γραμμή 070, στήλη 010, δελτίο χώρας], </w:t>
            </w:r>
          </w:p>
          <w:p w:rsidR="00BD5485" w:rsidRPr="00392FFD"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Παρονομαστής: Οι συνολικές απαιτήσεις ιδίων κεφαλαίων που σχετίζ</w:t>
            </w:r>
            <w:r>
              <w:rPr>
                <w:rFonts w:ascii="Times New Roman" w:hAnsi="Times New Roman"/>
                <w:sz w:val="24"/>
              </w:rPr>
              <w:t>ο</w:t>
            </w:r>
            <w:r>
              <w:rPr>
                <w:rFonts w:ascii="Times New Roman" w:hAnsi="Times New Roman"/>
                <w:sz w:val="24"/>
              </w:rPr>
              <w:t>νται με όλα τα πιστωτικά ανοίγματα τα οποία είναι σημαντικά για τον υπολογ</w:t>
            </w:r>
            <w:r>
              <w:rPr>
                <w:rFonts w:ascii="Times New Roman" w:hAnsi="Times New Roman"/>
                <w:sz w:val="24"/>
              </w:rPr>
              <w:t>ι</w:t>
            </w:r>
            <w:r>
              <w:rPr>
                <w:rFonts w:ascii="Times New Roman" w:hAnsi="Times New Roman"/>
                <w:sz w:val="24"/>
              </w:rPr>
              <w:t>σμό του αντικυκλικού κεφαλαιακού αποθέματος ασφαλείας, σύμφωνα με το ά</w:t>
            </w:r>
            <w:r>
              <w:rPr>
                <w:rFonts w:ascii="Times New Roman" w:hAnsi="Times New Roman"/>
                <w:sz w:val="24"/>
              </w:rPr>
              <w:t>ρ</w:t>
            </w:r>
            <w:r>
              <w:rPr>
                <w:rFonts w:ascii="Times New Roman" w:hAnsi="Times New Roman"/>
                <w:sz w:val="24"/>
              </w:rPr>
              <w:t>θρο 140 παράγραφος 4 της ΟΚΑ [γραμμή 070, στήλη 010, «Σύνολο»].</w:t>
            </w:r>
          </w:p>
          <w:p w:rsidR="003B00F4" w:rsidRPr="00392FFD" w:rsidRDefault="003B00F4" w:rsidP="003B00F4">
            <w:pPr>
              <w:rPr>
                <w:rFonts w:ascii="Times New Roman" w:hAnsi="Times New Roman"/>
                <w:b/>
                <w:bCs/>
                <w:sz w:val="24"/>
                <w:u w:val="single"/>
              </w:rPr>
            </w:pPr>
            <w:r>
              <w:rPr>
                <w:rFonts w:ascii="Times New Roman" w:hAnsi="Times New Roman"/>
                <w:sz w:val="24"/>
              </w:rPr>
              <w:t>Δεν αναφέρονται πληροφορίες σχετικά με τους συντελεστές στάθμισης των απα</w:t>
            </w:r>
            <w:r>
              <w:rPr>
                <w:rFonts w:ascii="Times New Roman" w:hAnsi="Times New Roman"/>
                <w:sz w:val="24"/>
              </w:rPr>
              <w:t>ι</w:t>
            </w:r>
            <w:r>
              <w:rPr>
                <w:rFonts w:ascii="Times New Roman" w:hAnsi="Times New Roman"/>
                <w:sz w:val="24"/>
              </w:rPr>
              <w:t>τήσεων ιδίων κεφαλαίων για το «Σύνολο» όλων των χωρών.</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Ποσοστά αντικυκλικού κεφαλαιακού αποθέματος ασφαλείας</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Ποσοστό αντικυκλικού κεφαλαιακού αποθέματος ασφαλείας που καθορίζ</w:t>
            </w:r>
            <w:r>
              <w:rPr>
                <w:rFonts w:ascii="Times New Roman" w:hAnsi="Times New Roman"/>
                <w:b/>
                <w:sz w:val="24"/>
                <w:u w:val="single"/>
              </w:rPr>
              <w:t>ε</w:t>
            </w:r>
            <w:r>
              <w:rPr>
                <w:rFonts w:ascii="Times New Roman" w:hAnsi="Times New Roman"/>
                <w:b/>
                <w:sz w:val="24"/>
                <w:u w:val="single"/>
              </w:rPr>
              <w:t>ται από την εντεταλμένη αρχή</w:t>
            </w:r>
          </w:p>
          <w:p w:rsidR="00966663" w:rsidRPr="00392FFD" w:rsidRDefault="00966663" w:rsidP="00133107">
            <w:pPr>
              <w:autoSpaceDE w:val="0"/>
              <w:autoSpaceDN w:val="0"/>
              <w:adjustRightInd w:val="0"/>
              <w:rPr>
                <w:rFonts w:ascii="Times New Roman" w:hAnsi="Times New Roman"/>
                <w:sz w:val="24"/>
              </w:rPr>
            </w:pPr>
            <w:r>
              <w:rPr>
                <w:rFonts w:ascii="Times New Roman" w:hAnsi="Times New Roman"/>
                <w:sz w:val="24"/>
              </w:rPr>
              <w:t>Ποσοστό αντικυκλικού κεφαλαιακού αποθέματος ασφαλείας που καθορίζεται για την εν λόγω χώρα από την εντεταλμένη αρχή αυτής της χώρας, σύμφωνα με τα άρθρα 136, 137, 138 και 139 της ΟΚΑ.</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Η συγκεκριμένη γραμμή παραμένει κενή, εφόσον η εντεταλμένη αρχή της εν λ</w:t>
            </w:r>
            <w:r>
              <w:rPr>
                <w:rFonts w:ascii="Times New Roman" w:hAnsi="Times New Roman"/>
                <w:sz w:val="24"/>
              </w:rPr>
              <w:t>ό</w:t>
            </w:r>
            <w:r>
              <w:rPr>
                <w:rFonts w:ascii="Times New Roman" w:hAnsi="Times New Roman"/>
                <w:sz w:val="24"/>
              </w:rPr>
              <w:t>γω χώρας δεν έχει ορίσει ποσοστό αντικυκλικού κεφαλαιακού αποθέματος ασφ</w:t>
            </w:r>
            <w:r>
              <w:rPr>
                <w:rFonts w:ascii="Times New Roman" w:hAnsi="Times New Roman"/>
                <w:sz w:val="24"/>
              </w:rPr>
              <w:t>α</w:t>
            </w:r>
            <w:r>
              <w:rPr>
                <w:rFonts w:ascii="Times New Roman" w:hAnsi="Times New Roman"/>
                <w:sz w:val="24"/>
              </w:rPr>
              <w:t>λείας γι’ αυτήν τη χώρα.</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Δεν αναφέρονται ποσοστά αντικυκλικού κεφαλαιακού αποθέματος ασφαλείας που καθορίστηκαν από την εντεταλμένη αρχή, αλλά δεν εφαρμόζονται ακόμη στην εν λόγω χώρα κατά την ημερομηνία αναφοράς για την υποβολή αναφορών.</w:t>
            </w:r>
          </w:p>
          <w:p w:rsidR="00966663" w:rsidRPr="00392FFD" w:rsidRDefault="00966663" w:rsidP="000E6835">
            <w:pPr>
              <w:rPr>
                <w:rFonts w:ascii="Times New Roman" w:hAnsi="Times New Roman"/>
                <w:b/>
                <w:bCs/>
                <w:sz w:val="24"/>
                <w:u w:val="single"/>
              </w:rPr>
            </w:pPr>
            <w:r>
              <w:rPr>
                <w:rFonts w:ascii="Times New Roman" w:hAnsi="Times New Roman"/>
                <w:sz w:val="24"/>
              </w:rPr>
              <w:t>Δεν αναφέρονται πληροφορίες σχετικά με το ποσοστό αντικυκλικού κεφαλαι</w:t>
            </w:r>
            <w:r>
              <w:rPr>
                <w:rFonts w:ascii="Times New Roman" w:hAnsi="Times New Roman"/>
                <w:sz w:val="24"/>
              </w:rPr>
              <w:t>α</w:t>
            </w:r>
            <w:r>
              <w:rPr>
                <w:rFonts w:ascii="Times New Roman" w:hAnsi="Times New Roman"/>
                <w:sz w:val="24"/>
              </w:rPr>
              <w:t xml:space="preserve">κού αποθέματος ασφαλείας που καθορίστηκε από την εντεταλμένη αρχή για το «Σύνολο» όλων των χωρών.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130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Ποσοστό αντικυκλικού κεφαλαιακού αποθέματος ασφαλείας που εφαρμόζ</w:t>
            </w:r>
            <w:r>
              <w:rPr>
                <w:rFonts w:ascii="Times New Roman" w:hAnsi="Times New Roman"/>
                <w:b/>
                <w:sz w:val="24"/>
                <w:u w:val="single"/>
              </w:rPr>
              <w:t>ε</w:t>
            </w:r>
            <w:r>
              <w:rPr>
                <w:rFonts w:ascii="Times New Roman" w:hAnsi="Times New Roman"/>
                <w:b/>
                <w:sz w:val="24"/>
                <w:u w:val="single"/>
              </w:rPr>
              <w:t>ται στη χώρα του ιδρύματος</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Ποσοστό αντικυκλικού κεφαλαιακού αποθέματος ασφαλείας που εφαρμόζεται στην εν λόγω χώρα, το οποίο καθορίστηκε από την εντεταλμένη αρχή της χώρας κατοικίας του ιδρύματος, σύμφωνα με τα άρθρα 137, 138 και 139 και το άρθρο 140 παράγραφοι 1, 2 και 3 της ΟΚΑ. Δεν αναφέρονται ποσοστά αντικυκλικού κεφαλαιακού αποθέματος ασφαλείας που δεν εφαρμόζονται ακόμη κατά την ημ</w:t>
            </w:r>
            <w:r>
              <w:rPr>
                <w:rFonts w:ascii="Times New Roman" w:hAnsi="Times New Roman"/>
                <w:sz w:val="24"/>
              </w:rPr>
              <w:t>ε</w:t>
            </w:r>
            <w:r>
              <w:rPr>
                <w:rFonts w:ascii="Times New Roman" w:hAnsi="Times New Roman"/>
                <w:sz w:val="24"/>
              </w:rPr>
              <w:t>ρομηνία αναφοράς για την υποβολή αναφορών.</w:t>
            </w:r>
          </w:p>
          <w:p w:rsidR="00966663" w:rsidRPr="00392FFD" w:rsidRDefault="00966663" w:rsidP="00133107">
            <w:pPr>
              <w:rPr>
                <w:rFonts w:ascii="Times New Roman" w:hAnsi="Times New Roman"/>
                <w:b/>
                <w:bCs/>
                <w:sz w:val="24"/>
                <w:u w:val="single"/>
              </w:rPr>
            </w:pPr>
            <w:r>
              <w:rPr>
                <w:rFonts w:ascii="Times New Roman" w:hAnsi="Times New Roman"/>
                <w:sz w:val="24"/>
              </w:rPr>
              <w:t>Δεν αναφέρονται πληροφορίες σχετικά με το ποσοστό αντικυκλικού κεφαλαι</w:t>
            </w:r>
            <w:r>
              <w:rPr>
                <w:rFonts w:ascii="Times New Roman" w:hAnsi="Times New Roman"/>
                <w:sz w:val="24"/>
              </w:rPr>
              <w:t>α</w:t>
            </w:r>
            <w:r>
              <w:rPr>
                <w:rFonts w:ascii="Times New Roman" w:hAnsi="Times New Roman"/>
                <w:sz w:val="24"/>
              </w:rPr>
              <w:t>κού αποθέματος ασφαλείας που εφαρμόζεται στη χώρα του ιδρύματος για το «Σύνολο» όλων των χωρών.</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Ποσοστό αντικυκλικού κεφαλαιακού αποθέματος ασφαλείας ειδικά για το κάθε ίδρυμα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Ποσοστό αντικυκλικού κεφαλαιακού αποθέματος ασφαλείας ειδικά για το κάθε ίδρυμα, το οποίο προσδιορίζεται σύμφωνα με το άρθρο 140 παράγραφος 1 της ΟΚΑ.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Το ποσοστό αντικυκλικού κεφαλαιακού αποθέματος ασφαλείας ειδικά για το κ</w:t>
            </w:r>
            <w:r>
              <w:rPr>
                <w:rFonts w:ascii="Times New Roman" w:hAnsi="Times New Roman"/>
                <w:sz w:val="24"/>
              </w:rPr>
              <w:t>ά</w:t>
            </w:r>
            <w:r>
              <w:rPr>
                <w:rFonts w:ascii="Times New Roman" w:hAnsi="Times New Roman"/>
                <w:sz w:val="24"/>
              </w:rPr>
              <w:t>θε ίδρυμα υπολογίζεται ως ο σταθμισμένος μέσος όρος των ποσοστών αντικυκλ</w:t>
            </w:r>
            <w:r>
              <w:rPr>
                <w:rFonts w:ascii="Times New Roman" w:hAnsi="Times New Roman"/>
                <w:sz w:val="24"/>
              </w:rPr>
              <w:t>ι</w:t>
            </w:r>
            <w:r>
              <w:rPr>
                <w:rFonts w:ascii="Times New Roman" w:hAnsi="Times New Roman"/>
                <w:sz w:val="24"/>
              </w:rPr>
              <w:t>κού αποθέματος ασφαλείας που ισχύουν στις δικαιοδοσίες στις οποίες υπάγονται ή εφαρμόζονται τα σχετικά πιστωτικά ανοίγματα του ιδρύματος για τους σκοπούς του άρθρου 140 δυνάμει του άρθρου 139 παράγραφος 2 ή 3 της ΟΚΑ. Το σχετικό ποσοστό αντικυκλικού κεφαλαιακού αποθέματος ασφαλείας αναφέρεται στη [γραμμή 120, στήλη 020, δελτίο χώρας] ή στη [γραμμή 130, στήλη 020, δελτίο χώρας], ανάλογα με την περίπτωση.</w:t>
            </w:r>
          </w:p>
          <w:p w:rsidR="00C4425F" w:rsidRPr="00392FFD" w:rsidRDefault="00966663" w:rsidP="00133107">
            <w:pPr>
              <w:autoSpaceDE w:val="0"/>
              <w:autoSpaceDN w:val="0"/>
              <w:adjustRightInd w:val="0"/>
              <w:rPr>
                <w:rFonts w:ascii="Times New Roman" w:hAnsi="Times New Roman"/>
                <w:b/>
                <w:strike/>
                <w:sz w:val="24"/>
              </w:rPr>
            </w:pPr>
            <w:r>
              <w:rPr>
                <w:rFonts w:ascii="Times New Roman" w:hAnsi="Times New Roman"/>
                <w:sz w:val="24"/>
              </w:rPr>
              <w:t>Ο συντελεστής στάθμισης που εφαρμόζεται στο ποσοστό αντικυκλικού αποθέμ</w:t>
            </w:r>
            <w:r>
              <w:rPr>
                <w:rFonts w:ascii="Times New Roman" w:hAnsi="Times New Roman"/>
                <w:sz w:val="24"/>
              </w:rPr>
              <w:t>α</w:t>
            </w:r>
            <w:r>
              <w:rPr>
                <w:rFonts w:ascii="Times New Roman" w:hAnsi="Times New Roman"/>
                <w:sz w:val="24"/>
              </w:rPr>
              <w:t xml:space="preserve">τος ασφαλείας σε κάθε χώρα είναι το ποσοστό των απαιτήσεων ιδίων κεφαλαίων στις συνολικές απαιτήσεις ιδίων κεφαλαίων, και αναφέρεται στη [γραμμή 110, στήλη 020, δελτίο χώρας]. </w:t>
            </w:r>
          </w:p>
          <w:p w:rsidR="00966663" w:rsidRPr="00392FFD" w:rsidRDefault="00966663" w:rsidP="00B816A3">
            <w:pPr>
              <w:rPr>
                <w:rFonts w:ascii="Times New Roman" w:hAnsi="Times New Roman"/>
                <w:b/>
                <w:bCs/>
                <w:sz w:val="24"/>
                <w:u w:val="single"/>
              </w:rPr>
            </w:pPr>
            <w:r>
              <w:rPr>
                <w:rFonts w:ascii="Times New Roman" w:hAnsi="Times New Roman"/>
                <w:sz w:val="24"/>
              </w:rPr>
              <w:t>Οι πληροφορίες σχετικά με το ποσοστό αντικυκλικού κεφαλαιακού αποθέματος ασφαλείας ειδικά για το κάθε ίδρυμα αναφέρονται μόνο για το «Σύνολο» όλων των χωρών και όχι χωριστά για κάθε χώρα.</w:t>
            </w:r>
          </w:p>
        </w:tc>
      </w:tr>
      <w:tr w:rsidR="006B1A77" w:rsidRPr="00392FFD" w:rsidTr="00672D2A">
        <w:tc>
          <w:tcPr>
            <w:tcW w:w="1697" w:type="dxa"/>
          </w:tcPr>
          <w:p w:rsidR="006B1A77" w:rsidRPr="00392FFD" w:rsidRDefault="006B1A77" w:rsidP="00FC0B81">
            <w:pPr>
              <w:rPr>
                <w:rFonts w:ascii="Times New Roman" w:hAnsi="Times New Roman"/>
                <w:sz w:val="24"/>
              </w:rPr>
            </w:pPr>
            <w:r>
              <w:rPr>
                <w:rFonts w:ascii="Times New Roman" w:hAnsi="Times New Roman"/>
                <w:sz w:val="24"/>
              </w:rPr>
              <w:t>150 – 160</w:t>
            </w:r>
          </w:p>
        </w:tc>
        <w:tc>
          <w:tcPr>
            <w:tcW w:w="8131" w:type="dxa"/>
          </w:tcPr>
          <w:p w:rsidR="006B1A77" w:rsidRPr="00392FFD" w:rsidRDefault="006B1A77" w:rsidP="00133107">
            <w:pPr>
              <w:rPr>
                <w:rFonts w:ascii="Times New Roman" w:hAnsi="Times New Roman"/>
                <w:b/>
                <w:bCs/>
                <w:sz w:val="24"/>
                <w:u w:val="single"/>
              </w:rPr>
            </w:pPr>
            <w:r>
              <w:rPr>
                <w:rFonts w:ascii="Times New Roman" w:hAnsi="Times New Roman"/>
                <w:b/>
                <w:sz w:val="24"/>
                <w:u w:val="single"/>
              </w:rPr>
              <w:t>Χρήση του κατώτατου ορίου 2 %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150</w:t>
            </w:r>
          </w:p>
        </w:tc>
        <w:tc>
          <w:tcPr>
            <w:tcW w:w="8131" w:type="dxa"/>
          </w:tcPr>
          <w:p w:rsidR="006A3A82"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Χρήση του κατώτατου ορίου 2 % για τα γενικά πιστωτικά ανοίγματα</w:t>
            </w:r>
            <w:r>
              <w:rPr>
                <w:rFonts w:ascii="Times New Roman" w:hAnsi="Times New Roman"/>
                <w:sz w:val="24"/>
              </w:rPr>
              <w:t xml:space="preserve"> </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Σύμφωνα με το άρθρο 2 παράγραφος 5 στοιχείο β) του κατ’ εξουσιοδότηση κ</w:t>
            </w:r>
            <w:r>
              <w:rPr>
                <w:rFonts w:ascii="Times New Roman" w:hAnsi="Times New Roman"/>
                <w:sz w:val="24"/>
              </w:rPr>
              <w:t>α</w:t>
            </w:r>
            <w:r>
              <w:rPr>
                <w:rFonts w:ascii="Times New Roman" w:hAnsi="Times New Roman"/>
                <w:sz w:val="24"/>
              </w:rPr>
              <w:t>νονισμού (ΕΕ) αριθ. 1152/2014 της Επιτροπής, γενικά πιστωτικά ανοίγματα στο εξωτερικό, των οποίων το συνολικό πιστωτικό άνοιγμα δεν υπερβαίνει το 2 % του συνόλου των γενικών πιστωτικών ανοιγμάτων, των ανοιγμάτων του χαρτ</w:t>
            </w:r>
            <w:r>
              <w:rPr>
                <w:rFonts w:ascii="Times New Roman" w:hAnsi="Times New Roman"/>
                <w:sz w:val="24"/>
              </w:rPr>
              <w:t>ο</w:t>
            </w:r>
            <w:r>
              <w:rPr>
                <w:rFonts w:ascii="Times New Roman" w:hAnsi="Times New Roman"/>
                <w:sz w:val="24"/>
              </w:rPr>
              <w:t>φυλακίου συναλλαγών και των ανοιγμάτων τιτλοποίησης του εν λόγω ιδρύματος, μπορούν να θεωρούνται ότι βρίσκονται στο κράτος μέλος καταγωγής του ιδρύμ</w:t>
            </w:r>
            <w:r>
              <w:rPr>
                <w:rFonts w:ascii="Times New Roman" w:hAnsi="Times New Roman"/>
                <w:sz w:val="24"/>
              </w:rPr>
              <w:t>α</w:t>
            </w:r>
            <w:r>
              <w:rPr>
                <w:rFonts w:ascii="Times New Roman" w:hAnsi="Times New Roman"/>
                <w:sz w:val="24"/>
              </w:rPr>
              <w:t>τος. Το σύνολο των γενικών πιστωτικών ανοιγμάτων, των ανοιγμάτων του χα</w:t>
            </w:r>
            <w:r>
              <w:rPr>
                <w:rFonts w:ascii="Times New Roman" w:hAnsi="Times New Roman"/>
                <w:sz w:val="24"/>
              </w:rPr>
              <w:t>ρ</w:t>
            </w:r>
            <w:r>
              <w:rPr>
                <w:rFonts w:ascii="Times New Roman" w:hAnsi="Times New Roman"/>
                <w:sz w:val="24"/>
              </w:rPr>
              <w:t>τοφυλακίου συναλλαγών και των ανοιγμάτων τιτλοποίησης υπολογίζεται με τον αποκλεισμό των γενικών πιστωτικών ανοιγμάτων των οποίων ο τόπος προσδιορ</w:t>
            </w:r>
            <w:r>
              <w:rPr>
                <w:rFonts w:ascii="Times New Roman" w:hAnsi="Times New Roman"/>
                <w:sz w:val="24"/>
              </w:rPr>
              <w:t>ί</w:t>
            </w:r>
            <w:r>
              <w:rPr>
                <w:rFonts w:ascii="Times New Roman" w:hAnsi="Times New Roman"/>
                <w:sz w:val="24"/>
              </w:rPr>
              <w:t>ζεται σύμφωνα με το άρθρο 2 παράγραφος 5 στοιχείο α) και το άρθρο 2 παρ</w:t>
            </w:r>
            <w:r>
              <w:rPr>
                <w:rFonts w:ascii="Times New Roman" w:hAnsi="Times New Roman"/>
                <w:sz w:val="24"/>
              </w:rPr>
              <w:t>ά</w:t>
            </w:r>
            <w:r>
              <w:rPr>
                <w:rFonts w:ascii="Times New Roman" w:hAnsi="Times New Roman"/>
                <w:sz w:val="24"/>
              </w:rPr>
              <w:t>γραφος 4 του κατ’ εξουσιοδότηση κανονισμού (ΕΕ) αριθ. 1152/2014 της Επιτρ</w:t>
            </w:r>
            <w:r>
              <w:rPr>
                <w:rFonts w:ascii="Times New Roman" w:hAnsi="Times New Roman"/>
                <w:sz w:val="24"/>
              </w:rPr>
              <w:t>ο</w:t>
            </w:r>
            <w:r>
              <w:rPr>
                <w:rFonts w:ascii="Times New Roman" w:hAnsi="Times New Roman"/>
                <w:sz w:val="24"/>
              </w:rPr>
              <w:lastRenderedPageBreak/>
              <w:t>πής.</w:t>
            </w:r>
          </w:p>
          <w:p w:rsidR="00966663" w:rsidRPr="00392FFD" w:rsidRDefault="006A3A82" w:rsidP="006A3A82">
            <w:pPr>
              <w:autoSpaceDE w:val="0"/>
              <w:autoSpaceDN w:val="0"/>
              <w:adjustRightInd w:val="0"/>
              <w:rPr>
                <w:rFonts w:ascii="Times New Roman" w:hAnsi="Times New Roman"/>
                <w:sz w:val="24"/>
              </w:rPr>
            </w:pPr>
            <w:r>
              <w:rPr>
                <w:rFonts w:ascii="Times New Roman" w:hAnsi="Times New Roman"/>
                <w:sz w:val="24"/>
              </w:rPr>
              <w:t>Εάν το ίδρυμα εφαρμόζει την εν λόγω παρέκκλιση, αναγράφει «y» στον πίνακα για τη δικαιοδοσία που αντιστοιχεί στο οικείο κράτος μέλος καταγωγής, καθώς και για το «Σύνολο» όλων των χωρών.</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 xml:space="preserve">Εάν ένα ίδρυμα δεν εφαρμόζει την εν λόγω παρέκκλιση, αναγράφει «n» στο </w:t>
            </w:r>
            <w:r>
              <w:rPr>
                <w:rFonts w:ascii="Times New Roman" w:hAnsi="Times New Roman"/>
                <w:sz w:val="24"/>
              </w:rPr>
              <w:t>α</w:t>
            </w:r>
            <w:r>
              <w:rPr>
                <w:rFonts w:ascii="Times New Roman" w:hAnsi="Times New Roman"/>
                <w:sz w:val="24"/>
              </w:rPr>
              <w:t>ντίστοιχο κελί.</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160</w:t>
            </w:r>
          </w:p>
        </w:tc>
        <w:tc>
          <w:tcPr>
            <w:tcW w:w="8131" w:type="dxa"/>
          </w:tcPr>
          <w:p w:rsidR="00535A98"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Χρήση του κατώτατου ορίου 2 % για τα ανοίγματα του χαρτοφυλακίου σ</w:t>
            </w:r>
            <w:r>
              <w:rPr>
                <w:rFonts w:ascii="Times New Roman" w:hAnsi="Times New Roman"/>
                <w:b/>
                <w:sz w:val="24"/>
                <w:u w:val="single"/>
              </w:rPr>
              <w:t>υ</w:t>
            </w:r>
            <w:r>
              <w:rPr>
                <w:rFonts w:ascii="Times New Roman" w:hAnsi="Times New Roman"/>
                <w:b/>
                <w:sz w:val="24"/>
                <w:u w:val="single"/>
              </w:rPr>
              <w:t>ναλλαγών</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Σύμφωνα με το άρθρο 3 παράγραφος 3 του κατ’ εξουσιοδότηση κανονισμού (ΕΕ) αριθ. 1152/2014 της Επιτροπής, τα ιδρύματα, των οποίων το σύνολο των ανοι</w:t>
            </w:r>
            <w:r>
              <w:rPr>
                <w:rFonts w:ascii="Times New Roman" w:hAnsi="Times New Roman"/>
                <w:sz w:val="24"/>
              </w:rPr>
              <w:t>γ</w:t>
            </w:r>
            <w:r>
              <w:rPr>
                <w:rFonts w:ascii="Times New Roman" w:hAnsi="Times New Roman"/>
                <w:sz w:val="24"/>
              </w:rPr>
              <w:t>μάτων του χαρτοφυλακίου συναλλαγών δεν υπερβαίνει το 2 % των συνολικών γενικών πιστωτικών ανοιγμάτων, των ανοιγμάτων του χαρτοφυλακίου συναλλ</w:t>
            </w:r>
            <w:r>
              <w:rPr>
                <w:rFonts w:ascii="Times New Roman" w:hAnsi="Times New Roman"/>
                <w:sz w:val="24"/>
              </w:rPr>
              <w:t>α</w:t>
            </w:r>
            <w:r>
              <w:rPr>
                <w:rFonts w:ascii="Times New Roman" w:hAnsi="Times New Roman"/>
                <w:sz w:val="24"/>
              </w:rPr>
              <w:t>γών και των ανοιγμάτων τιτλοποίησης, μπορούν να θεωρούν ότι τα ανοίγματα αυτά βρίσκονται στο κράτος μέλος καταγωγής του ιδρύματος.</w:t>
            </w:r>
          </w:p>
          <w:p w:rsidR="006A3A82" w:rsidRPr="00392FFD" w:rsidRDefault="006A3A82" w:rsidP="006A3A82">
            <w:pPr>
              <w:rPr>
                <w:rFonts w:ascii="Times New Roman" w:hAnsi="Times New Roman"/>
                <w:sz w:val="24"/>
              </w:rPr>
            </w:pPr>
            <w:r>
              <w:rPr>
                <w:rFonts w:ascii="Times New Roman" w:hAnsi="Times New Roman"/>
                <w:sz w:val="24"/>
              </w:rPr>
              <w:t>Εάν το ίδρυμα εφαρμόζει την εν λόγω παρέκκλιση, αναγράφει «y» στον πίνακα για τη δικαιοδοσία που αντιστοιχεί στο οικείο κράτος μέλος καταγωγής, καθώς και για το «Σύνολο» όλων των χωρών.</w:t>
            </w:r>
          </w:p>
          <w:p w:rsidR="00966663" w:rsidRPr="00392FFD" w:rsidRDefault="006A3A82" w:rsidP="006A3A82">
            <w:pPr>
              <w:rPr>
                <w:rFonts w:ascii="Times New Roman" w:hAnsi="Times New Roman"/>
                <w:b/>
                <w:bCs/>
                <w:sz w:val="24"/>
                <w:u w:val="single"/>
              </w:rPr>
            </w:pPr>
            <w:r>
              <w:rPr>
                <w:rFonts w:ascii="Times New Roman" w:hAnsi="Times New Roman"/>
                <w:sz w:val="24"/>
              </w:rPr>
              <w:t xml:space="preserve">Εάν ένα ίδρυμα δεν εφαρμόζει την εν λόγω παρέκκλιση, αναγράφει «n» στο </w:t>
            </w:r>
            <w:r>
              <w:rPr>
                <w:rFonts w:ascii="Times New Roman" w:hAnsi="Times New Roman"/>
                <w:sz w:val="24"/>
              </w:rPr>
              <w:t>α</w:t>
            </w:r>
            <w:r>
              <w:rPr>
                <w:rFonts w:ascii="Times New Roman" w:hAnsi="Times New Roman"/>
                <w:sz w:val="24"/>
              </w:rPr>
              <w:t>ντίστοιχο κελί.</w:t>
            </w:r>
          </w:p>
        </w:tc>
      </w:tr>
    </w:tbl>
    <w:p w:rsidR="004357B9" w:rsidRPr="00392FFD" w:rsidRDefault="004357B9">
      <w:pPr>
        <w:spacing w:before="0" w:after="0"/>
        <w:jc w:val="left"/>
        <w:rPr>
          <w:rFonts w:ascii="Times New Roman" w:hAnsi="Times New Roman"/>
          <w:bCs/>
          <w:sz w:val="24"/>
        </w:rPr>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348" w:name="_Toc295829919"/>
      <w:bookmarkStart w:id="349" w:name="_Toc310415031"/>
      <w:bookmarkStart w:id="350" w:name="_Toc360188369"/>
      <w:bookmarkStart w:id="351" w:name="_Toc516210655"/>
      <w:bookmarkStart w:id="352" w:name="_Toc473560920"/>
      <w:r>
        <w:rPr>
          <w:rFonts w:ascii="Times New Roman" w:hAnsi="Times New Roman"/>
          <w:sz w:val="24"/>
          <w:u w:val="none"/>
        </w:rPr>
        <w:t>3.5.</w:t>
      </w:r>
      <w:r>
        <w:tab/>
      </w:r>
      <w:r>
        <w:rPr>
          <w:rFonts w:ascii="Times New Roman" w:hAnsi="Times New Roman"/>
          <w:sz w:val="24"/>
        </w:rPr>
        <w:t>C 10.01 και C 10.02 – Ανοίγματα σε μετοχές βάσει της προσέγγισης των εσωτερικών διαβαθμίσεων</w:t>
      </w:r>
      <w:bookmarkEnd w:id="348"/>
      <w:bookmarkEnd w:id="349"/>
      <w:bookmarkEnd w:id="350"/>
      <w:r>
        <w:rPr>
          <w:rFonts w:ascii="Times New Roman" w:hAnsi="Times New Roman"/>
          <w:sz w:val="24"/>
        </w:rPr>
        <w:t xml:space="preserve"> (CR EQU IRB 1 ΚΑΙ CR EQU IRB 2)</w:t>
      </w:r>
      <w:bookmarkEnd w:id="351"/>
      <w:bookmarkEnd w:id="352"/>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353" w:name="_Toc239157382"/>
      <w:bookmarkStart w:id="354" w:name="_Toc295829920"/>
      <w:bookmarkStart w:id="355" w:name="_Toc310415032"/>
      <w:bookmarkStart w:id="356" w:name="_Toc360188370"/>
      <w:bookmarkStart w:id="357" w:name="_Toc516210656"/>
      <w:bookmarkStart w:id="358" w:name="_Toc473560921"/>
      <w:r>
        <w:rPr>
          <w:rFonts w:ascii="Times New Roman" w:hAnsi="Times New Roman"/>
          <w:sz w:val="24"/>
          <w:u w:val="none"/>
        </w:rPr>
        <w:t>3.5.1.</w:t>
      </w:r>
      <w:r>
        <w:tab/>
      </w:r>
      <w:r>
        <w:rPr>
          <w:rFonts w:ascii="Times New Roman" w:hAnsi="Times New Roman"/>
          <w:sz w:val="24"/>
        </w:rPr>
        <w:t>Γενικές παρατηρήσεις</w:t>
      </w:r>
      <w:bookmarkEnd w:id="353"/>
      <w:bookmarkEnd w:id="354"/>
      <w:bookmarkEnd w:id="355"/>
      <w:bookmarkEnd w:id="356"/>
      <w:bookmarkEnd w:id="357"/>
      <w:bookmarkEnd w:id="358"/>
    </w:p>
    <w:p w:rsidR="00C61FF5" w:rsidRPr="00392FFD" w:rsidRDefault="00125707" w:rsidP="00C37B29">
      <w:pPr>
        <w:pStyle w:val="InstructionsText2"/>
        <w:numPr>
          <w:ilvl w:val="0"/>
          <w:numId w:val="0"/>
        </w:numPr>
        <w:ind w:left="993"/>
      </w:pPr>
      <w:r>
        <w:t>86.</w:t>
      </w:r>
      <w:r>
        <w:tab/>
        <w:t>Το CR EQU IRB αποτελείται από δύο υποδείγματα: Το CR EQU IRB 1 π</w:t>
      </w:r>
      <w:r>
        <w:t>α</w:t>
      </w:r>
      <w:r>
        <w:t>ρουσιάζει τη γενική επισκόπηση των ανοιγμάτων IRB της κατηγορίας ανοιγμάτων «μετοχές» και των διαφόρων μεθόδων υπολογισμού των συνολικών ποσών ανοί</w:t>
      </w:r>
      <w:r>
        <w:t>γ</w:t>
      </w:r>
      <w:r>
        <w:t>ματος σε κίνδυνο. Το CR EQU IRB 2 παρουσιάζει την κατανομή των συνολικών ανοιγμάτων που ταξινομούνται σε βαθμίδες οφειλέτη στο πλαίσιο της προσέγγισης πιθανότητας αθέτησης/ζημίας λόγω αθέτησης. Ο όρος «CR EQU IRB» αναφέρεται σε αμφότερα τα υποδείγματα «CR EQU IRB 1» και «CR EQU IRB 2», κατά περ</w:t>
      </w:r>
      <w:r>
        <w:t>ί</w:t>
      </w:r>
      <w:r>
        <w:t>πτωση, στις ακόλουθες οδηγίες.</w:t>
      </w:r>
    </w:p>
    <w:p w:rsidR="00C61FF5" w:rsidRPr="00392FFD" w:rsidRDefault="00125707" w:rsidP="00C37B29">
      <w:pPr>
        <w:pStyle w:val="InstructionsText2"/>
        <w:numPr>
          <w:ilvl w:val="0"/>
          <w:numId w:val="0"/>
        </w:numPr>
        <w:ind w:left="993"/>
      </w:pPr>
      <w:r>
        <w:t>87.</w:t>
      </w:r>
      <w:r>
        <w:tab/>
        <w:t>Το υπόδειγμα CR EQU IRB παρέχει πληροφορίες για τον υπολογισμό των σταθμισμένων ως προς τον κίνδυνο ποσών ανοιγμάτων για τον πιστωτικό κίνδυνο (άρθρο 92 παράγραφος 3 στοιχείο α) του ΚΚΑ), σύμφωνα με τη μέθοδο IRB (τρίτο μέρος τίτλος II κεφάλαιο 3 του ΚΚΑ), για ανοίγματα σε μετοχές που αναφέρονται στο άρθρο 147 παράγραφος 2 στοιχείο ε) του ΚΚΑ.</w:t>
      </w:r>
    </w:p>
    <w:p w:rsidR="00C61FF5" w:rsidRPr="00392FFD" w:rsidRDefault="00125707" w:rsidP="00C37B29">
      <w:pPr>
        <w:pStyle w:val="InstructionsText2"/>
        <w:numPr>
          <w:ilvl w:val="0"/>
          <w:numId w:val="0"/>
        </w:numPr>
        <w:ind w:left="993"/>
      </w:pPr>
      <w:r>
        <w:t>88.</w:t>
      </w:r>
      <w:r>
        <w:tab/>
        <w:t>Σύμφωνα με το άρθρο 147 παράγραφος 6 του ΚΚΑ, τα κατωτέρω ανοίγματα κατατάσσονται στην κατηγορία ανοιγμάτων σε μετοχές:</w:t>
      </w:r>
    </w:p>
    <w:p w:rsidR="00C61FF5" w:rsidRPr="00392FFD" w:rsidRDefault="00125707" w:rsidP="00C37B29">
      <w:pPr>
        <w:pStyle w:val="InstructionsText2"/>
        <w:numPr>
          <w:ilvl w:val="0"/>
          <w:numId w:val="0"/>
        </w:numPr>
        <w:ind w:left="993"/>
      </w:pPr>
      <w:r>
        <w:t>α)</w:t>
      </w:r>
      <w:r>
        <w:tab/>
        <w:t>ανοίγματα σε μη χρεωστικούς τίτλους που συνεπάγονται υπολειμματική απα</w:t>
      </w:r>
      <w:r>
        <w:t>ί</w:t>
      </w:r>
      <w:r>
        <w:t>τηση ελάσσονος εξοφλητικής προτεραιότητας επί των στοιχείων ενεργητικού ή του εισοδήματος του εκδότη· ή</w:t>
      </w:r>
    </w:p>
    <w:p w:rsidR="00C61FF5" w:rsidRPr="00392FFD" w:rsidRDefault="00125707" w:rsidP="00C37B29">
      <w:pPr>
        <w:pStyle w:val="InstructionsText2"/>
        <w:numPr>
          <w:ilvl w:val="0"/>
          <w:numId w:val="0"/>
        </w:numPr>
        <w:ind w:left="993"/>
      </w:pPr>
      <w:r>
        <w:lastRenderedPageBreak/>
        <w:t>β)</w:t>
      </w:r>
      <w:r>
        <w:tab/>
        <w:t>δανειακά ανοίγματα και άλλοι τίτλοι, εταιρικές σχέσεις, παράγωγα ή άλλα μ</w:t>
      </w:r>
      <w:r>
        <w:t>έ</w:t>
      </w:r>
      <w:r>
        <w:t>σα, των οποίων η οικονομική ουσία είναι παρόμοια εκείνης των ανοιγμάτων που περιγράφονται στο στοιχείο α).</w:t>
      </w:r>
    </w:p>
    <w:p w:rsidR="00C61FF5" w:rsidRPr="00392FFD" w:rsidRDefault="00125707" w:rsidP="00C37B29">
      <w:pPr>
        <w:pStyle w:val="InstructionsText2"/>
        <w:numPr>
          <w:ilvl w:val="0"/>
          <w:numId w:val="0"/>
        </w:numPr>
        <w:ind w:left="993"/>
      </w:pPr>
      <w:r>
        <w:t>89.</w:t>
      </w:r>
      <w:r>
        <w:tab/>
        <w:t>Οι οργανισμοί συλλογικών επενδύσεων, που αντιμετωπίζονται σύμφωνα με την προσέγγιση της απλής στάθμισης κινδύνου του άρθρου 152 του ΚΚΑ, αναφ</w:t>
      </w:r>
      <w:r>
        <w:t>έ</w:t>
      </w:r>
      <w:r>
        <w:t>ρονται επίσης στο υπόδειγμα CR EQU IRB.</w:t>
      </w:r>
    </w:p>
    <w:p w:rsidR="00C61FF5" w:rsidRPr="00392FFD" w:rsidRDefault="00125707" w:rsidP="00C37B29">
      <w:pPr>
        <w:pStyle w:val="InstructionsText2"/>
        <w:numPr>
          <w:ilvl w:val="0"/>
          <w:numId w:val="0"/>
        </w:numPr>
        <w:ind w:left="993"/>
      </w:pPr>
      <w:r>
        <w:t>90.</w:t>
      </w:r>
      <w:r>
        <w:tab/>
        <w:t xml:space="preserve">Σύμφωνα με το άρθρο 151 παράγραφος 1 του ΚΚΑ, τα ιδρύματα υποβάλλουν το υπόδειγμα CR EQU IRB, όταν εφαρμόζουν μία από τις τρεις προσεγγίσεις που αναφέρονται στο άρθρο 155 του ΚΚΑ: </w:t>
      </w:r>
    </w:p>
    <w:p w:rsidR="00C61FF5" w:rsidRPr="00392FFD" w:rsidRDefault="00C61FF5" w:rsidP="00FD239F">
      <w:pPr>
        <w:pStyle w:val="InstructionsText"/>
      </w:pPr>
      <w:r>
        <w:t xml:space="preserve">- την προσέγγιση απλής στάθμισης κινδύνου, </w:t>
      </w:r>
    </w:p>
    <w:p w:rsidR="00C61FF5" w:rsidRPr="00392FFD" w:rsidRDefault="00C61FF5" w:rsidP="00FD239F">
      <w:pPr>
        <w:pStyle w:val="InstructionsText"/>
      </w:pPr>
      <w:r>
        <w:t xml:space="preserve">- την προσέγγιση πιθανότητας αθέτησης/ζημίας λόγω αθέτησης, ή </w:t>
      </w:r>
    </w:p>
    <w:p w:rsidR="00C61FF5" w:rsidRPr="00392FFD" w:rsidRDefault="00C61FF5" w:rsidP="00FD239F">
      <w:pPr>
        <w:pStyle w:val="InstructionsText"/>
      </w:pPr>
      <w:r>
        <w:t>- την προσέγγιση εσωτερικών υποδειγμάτων.</w:t>
      </w:r>
    </w:p>
    <w:p w:rsidR="00C61FF5" w:rsidRPr="00392FFD" w:rsidRDefault="00C61FF5" w:rsidP="00FD239F">
      <w:pPr>
        <w:pStyle w:val="InstructionsText"/>
      </w:pPr>
      <w:r>
        <w:t>Επίσης, τα ιδρύματα που εφαρμόζουν την προσέγγιση IRB αναφέρουν στο υπόδειγμα CR EQU IRB και τα ποσά των σταθμισμένων ως προς τον κίνδυνο ανοιγμάτων για τα ανοίγματα σε μετοχές, που αντιμετωπίζονται συνήθως με σταθερό συντελεστή στάθμισης κινδύνου [χ</w:t>
      </w:r>
      <w:r>
        <w:t>ω</w:t>
      </w:r>
      <w:r>
        <w:t>ρίς, ωστόσο, να αντιμετωπίζονται ρητώς σύμφωνα με την προσέγγιση της απλής στάθμισης κινδύνου ή την (προσωρινή ή μόνιμη) μερική χρήση της τυποποιημένης προσέγγισης πιστ</w:t>
      </w:r>
      <w:r>
        <w:t>ω</w:t>
      </w:r>
      <w:r>
        <w:t>τικού κινδύνου (π.χ. ανοίγματα σε μετοχές στα οποία εφαρμόζεται συνήθως συντελεστής στάθμισης κινδύνου 250 %, σύμφωνα με το άρθρο 48 παράγραφος 4 του ΚΚΑ, και, αντιστο</w:t>
      </w:r>
      <w:r>
        <w:t>ί</w:t>
      </w:r>
      <w:r>
        <w:t>χως, συντελεστής στάθμισης κινδύνου 370 %, σύμφωνα με το άρθρο 471 παράγραφος 2 του ΚΚΑ)].</w:t>
      </w:r>
    </w:p>
    <w:p w:rsidR="00C61FF5" w:rsidRPr="00392FFD" w:rsidRDefault="00125707" w:rsidP="00C37B29">
      <w:pPr>
        <w:pStyle w:val="InstructionsText2"/>
        <w:numPr>
          <w:ilvl w:val="0"/>
          <w:numId w:val="0"/>
        </w:numPr>
        <w:ind w:left="993"/>
      </w:pPr>
      <w:r>
        <w:t>91.</w:t>
      </w:r>
      <w:r>
        <w:tab/>
        <w:t>Οι ακόλουθες απαιτήσεις σε μετοχές δεν αναφέρονται στο υπόδειγμα CR EQU IRB:</w:t>
      </w:r>
    </w:p>
    <w:p w:rsidR="00C61FF5" w:rsidRPr="00392FFD" w:rsidRDefault="00C61FF5" w:rsidP="00FD239F">
      <w:pPr>
        <w:pStyle w:val="InstructionsText"/>
      </w:pPr>
      <w:r>
        <w:t xml:space="preserve">- Ανοίγματα σε μετοχές στο χαρτοφυλάκιο συναλλαγών (στην περίπτωση που τα ιδρύματα δεν εξαιρούνται από τον υπολογισμό των απαιτήσεων ιδίων κεφαλαίων για τις θέσεις του χαρτοφυλακίου συναλλαγών, σύμφωνα με το άρθρο 94 του ΚΚΑ). </w:t>
      </w:r>
    </w:p>
    <w:p w:rsidR="00C61FF5" w:rsidRPr="00392FFD" w:rsidRDefault="00C61FF5" w:rsidP="00FD239F">
      <w:pPr>
        <w:pStyle w:val="InstructionsText"/>
      </w:pPr>
      <w:r>
        <w:t>- Ανοίγματα σε μετοχές υποκείμενα στη μερική χρήση της τυποποιημένης προσέγγισης (ά</w:t>
      </w:r>
      <w:r>
        <w:t>ρ</w:t>
      </w:r>
      <w:r>
        <w:t>θρο 150 του ΚΚΑ), συμπεριλαμβανομένων των εξής:</w:t>
      </w:r>
    </w:p>
    <w:p w:rsidR="00C61FF5" w:rsidRPr="00392FFD" w:rsidRDefault="00C61FF5" w:rsidP="00FD239F">
      <w:pPr>
        <w:pStyle w:val="InstructionsText"/>
      </w:pPr>
      <w:r>
        <w:t>- προϋφιστάμενων ανοιγμάτων σε μετοχές, σύμφωνα με το άρθρο 495 παράγραφος 1 του ΚΚΑ,</w:t>
      </w:r>
    </w:p>
    <w:p w:rsidR="00C61FF5" w:rsidRPr="00392FFD" w:rsidRDefault="00C61FF5" w:rsidP="00FD239F">
      <w:pPr>
        <w:pStyle w:val="InstructionsText"/>
      </w:pPr>
      <w:r>
        <w:t>- ανοιγμάτων σε μετοχές έναντι οντοτήτων των οποίων οι πιστωτικές υποχρεώσεις λαμβ</w:t>
      </w:r>
      <w:r>
        <w:t>ά</w:t>
      </w:r>
      <w:r>
        <w:t>νουν συντελεστή στάθμισης κινδύνου 0 % δυνάμει της τυποποιημένης προσέγγισης, περ</w:t>
      </w:r>
      <w:r>
        <w:t>ι</w:t>
      </w:r>
      <w:r>
        <w:t>λαμβανομένων των υπό την αιγίδα του δημοσίου οντοτήτων στις οποίες μπορεί να εφαρμ</w:t>
      </w:r>
      <w:r>
        <w:t>ο</w:t>
      </w:r>
      <w:r>
        <w:t>στεί συντελεστής στάθμισης κινδύνου 0 % (άρθρο 150 παράγραφος 1 στοιχείο ζ) του ΚΚΑ),</w:t>
      </w:r>
    </w:p>
    <w:p w:rsidR="00C61FF5" w:rsidRPr="00392FFD" w:rsidRDefault="00C61FF5" w:rsidP="00FD239F">
      <w:pPr>
        <w:pStyle w:val="InstructionsText"/>
      </w:pPr>
      <w:r>
        <w:t>- ανοιγμάτων σε μετοχές αναληφθέντων στο πλαίσιο νομοθετικών προγραμμάτων προώθησης συγκεκριμένων τομέων της οικονομίας, με τα οποία παρέχονται σημαντικές επιδοτήσεις στο ίδρυμα για επενδύσεις και περιλαμβάνουν κάποια μορφή κρατικής εποπτείας και περιορ</w:t>
      </w:r>
      <w:r>
        <w:t>ι</w:t>
      </w:r>
      <w:r>
        <w:t xml:space="preserve">σμούς όσον αφορά τις μετοχικές επενδύσεις (άρθρο 150 παράγραφος 1 στοιχείο η) του </w:t>
      </w:r>
      <w:r>
        <w:t>Κ</w:t>
      </w:r>
      <w:r>
        <w:t>ΚΑ).</w:t>
      </w:r>
    </w:p>
    <w:p w:rsidR="00C61FF5" w:rsidRPr="00392FFD" w:rsidRDefault="00C61FF5" w:rsidP="00FD239F">
      <w:pPr>
        <w:pStyle w:val="InstructionsText"/>
      </w:pPr>
      <w:r>
        <w:t>- Ανοίγματα σε μετοχές έναντι επιχειρήσεων παροχής επικουρικών υπηρεσιών, τα σταθμ</w:t>
      </w:r>
      <w:r>
        <w:t>ι</w:t>
      </w:r>
      <w:r>
        <w:t xml:space="preserve">σμένα ως προς τον κίνδυνο ποσά ανοίγματος των οποίων δύναται να υπολογιστούν σύμφωνα με την αντιμετώπιση που εφαρμόζεται στα «άλλα στοιχεία ενεργητικού που δεν σχετίζονται με πιστωτικές υποχρεώσεις» (σύμφωνα με το άρθρο 155 παράγραφος 1 του ΚΚΑ). </w:t>
      </w:r>
    </w:p>
    <w:p w:rsidR="00C61FF5" w:rsidRPr="00392FFD" w:rsidRDefault="00C61FF5" w:rsidP="00FD239F">
      <w:pPr>
        <w:pStyle w:val="InstructionsText"/>
      </w:pPr>
      <w:r>
        <w:lastRenderedPageBreak/>
        <w:t>- Απαιτήσεις σε μετοχές που αφαιρούνται από τα ίδια κεφάλαια, σύμφωνα με τα άρθρα 46 και 48 του ΚΚΑ.</w:t>
      </w:r>
    </w:p>
    <w:p w:rsidR="00C61FF5" w:rsidRPr="00392FFD" w:rsidRDefault="00C61FF5" w:rsidP="00FD239F">
      <w:pPr>
        <w:pStyle w:val="InstructionsText"/>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359" w:name="_Toc295829921"/>
      <w:bookmarkStart w:id="360" w:name="_Toc310415033"/>
      <w:bookmarkStart w:id="361" w:name="_Toc360188371"/>
      <w:bookmarkStart w:id="362" w:name="_Toc516210657"/>
      <w:bookmarkStart w:id="363" w:name="_Toc473560922"/>
      <w:r>
        <w:rPr>
          <w:rFonts w:ascii="Times New Roman" w:hAnsi="Times New Roman"/>
          <w:sz w:val="24"/>
          <w:u w:val="none"/>
        </w:rPr>
        <w:t>3.5.2.</w:t>
      </w:r>
      <w:r>
        <w:tab/>
      </w:r>
      <w:r>
        <w:rPr>
          <w:rFonts w:ascii="Times New Roman" w:hAnsi="Times New Roman"/>
          <w:sz w:val="24"/>
        </w:rPr>
        <w:t>Οδηγίες για συγκεκριμένες θέσεις (ισχύουν για αμφότερα τα υποδείγματα</w:t>
      </w:r>
      <w:bookmarkEnd w:id="359"/>
      <w:bookmarkEnd w:id="360"/>
      <w:r>
        <w:rPr>
          <w:rFonts w:ascii="Times New Roman" w:hAnsi="Times New Roman"/>
          <w:sz w:val="24"/>
        </w:rPr>
        <w:t xml:space="preserve"> CR EQU IRB 1 και CR EQU IRB 2)</w:t>
      </w:r>
      <w:bookmarkEnd w:id="361"/>
      <w:bookmarkEnd w:id="362"/>
      <w:bookmarkEnd w:id="363"/>
    </w:p>
    <w:tbl>
      <w:tblPr>
        <w:tblW w:w="0" w:type="auto"/>
        <w:tblLook w:val="01E0" w:firstRow="1" w:lastRow="1" w:firstColumn="1" w:lastColumn="1" w:noHBand="0" w:noVBand="0"/>
      </w:tblPr>
      <w:tblGrid>
        <w:gridCol w:w="852"/>
        <w:gridCol w:w="8004"/>
      </w:tblGrid>
      <w:tr w:rsidR="00C61FF5" w:rsidRPr="00392FFD"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Στήλες</w:t>
            </w:r>
          </w:p>
        </w:tc>
      </w:tr>
      <w:tr w:rsidR="003F05A0"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392FFD"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rsidR="003F05A0" w:rsidRPr="00392FFD"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ΒΑΘΜΙΔΑ ΟΦΕΙΛΕΤΗ (ΑΝΑΓΝΩΡΙΣΤΙΚΟΣ ΚΩΔΙΚΟΣ ΓΡΑΜΜΗΣ)</w:t>
            </w:r>
          </w:p>
          <w:p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βαθμίδα οφειλέτη είναι αναγνωριστικός κωδικός γραμμής και είναι μοναδικός για κάθε γραμμή στον πίνακα. </w:t>
            </w:r>
            <w:r>
              <w:rPr>
                <w:rFonts w:ascii="Times New Roman" w:hAnsi="Times New Roman"/>
                <w:sz w:val="24"/>
              </w:rPr>
              <w:t>Τηρείται η σειρά αρίθμησης 1, 2, 3, κ.λπ.</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ΣΥΣΤΗΜΑ ΕΣΩΤΕΡΙΚΩΝ ΔΙΑΒΑΘΜΙΣΕΩΝ </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ΠΙΘΑΝΟΤΗΤΑ ΑΘΕΤΗΣΗΣ (PD) ΠΟΥ ΣΧΕΤΙΖΕΤΑΙ ΜΕ ΤΗ ΒΑΘΜ</w:t>
            </w:r>
            <w:r>
              <w:rPr>
                <w:rStyle w:val="InstructionsTabelleberschrift"/>
                <w:rFonts w:ascii="Times New Roman" w:hAnsi="Times New Roman"/>
                <w:sz w:val="24"/>
              </w:rPr>
              <w:t>Ι</w:t>
            </w:r>
            <w:r>
              <w:rPr>
                <w:rStyle w:val="InstructionsTabelleberschrift"/>
                <w:rFonts w:ascii="Times New Roman" w:hAnsi="Times New Roman"/>
                <w:sz w:val="24"/>
              </w:rPr>
              <w:t>ΔΑ ΟΦΕΙΛΕΤΗ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που εφαρμόζουν την προσέγγιση πιθανότητας αθέτησης/ζημίας λόγω αθέτησης αναφέρουν στη στήλη 010 την πιθανότητα αθέτησης (PD), που υπολογίζεται σύμφωνα με τις διατάξεις του άρθρου 165 παράγραφος 1 του </w:t>
            </w:r>
            <w:r>
              <w:rPr>
                <w:rStyle w:val="InstructionsTabelleText"/>
                <w:rFonts w:ascii="Times New Roman" w:hAnsi="Times New Roman"/>
                <w:sz w:val="24"/>
              </w:rPr>
              <w:t>Κ</w:t>
            </w:r>
            <w:r>
              <w:rPr>
                <w:rStyle w:val="InstructionsTabelleText"/>
                <w:rFonts w:ascii="Times New Roman" w:hAnsi="Times New Roman"/>
                <w:sz w:val="24"/>
              </w:rPr>
              <w:t>ΚΑ.</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Η πιθανότητα αθέτησης που σχετίζεται με την αναφερόμενη βαθμίδα ή ομάδα οφειλέτη πρέπει να είναι σύμφωνη με τις ελάχιστες απαιτήσεις που προβλέπ</w:t>
            </w:r>
            <w:r>
              <w:rPr>
                <w:rStyle w:val="InstructionsTabelleText"/>
                <w:rFonts w:ascii="Times New Roman" w:hAnsi="Times New Roman"/>
                <w:sz w:val="24"/>
              </w:rPr>
              <w:t>ο</w:t>
            </w:r>
            <w:r>
              <w:rPr>
                <w:rStyle w:val="InstructionsTabelleText"/>
                <w:rFonts w:ascii="Times New Roman" w:hAnsi="Times New Roman"/>
                <w:sz w:val="24"/>
              </w:rPr>
              <w:t>νται στο τρίτο μέρος τίτλος II κεφάλαιο 3 τμήμα 6 του ΚΚΑ. Για κάθε επιμ</w:t>
            </w:r>
            <w:r>
              <w:rPr>
                <w:rStyle w:val="InstructionsTabelleText"/>
                <w:rFonts w:ascii="Times New Roman" w:hAnsi="Times New Roman"/>
                <w:sz w:val="24"/>
              </w:rPr>
              <w:t>έ</w:t>
            </w:r>
            <w:r>
              <w:rPr>
                <w:rStyle w:val="InstructionsTabelleText"/>
                <w:rFonts w:ascii="Times New Roman" w:hAnsi="Times New Roman"/>
                <w:sz w:val="24"/>
              </w:rPr>
              <w:t>ρους βαθμίδα ή ομάδα, αναφέρεται η πιθανότητα αθέτησης που σχετίζεται με τη συγκεκριμένη βαθμίδα ή ομάδα οφειλέτη. Όλες οι αναφερόμενες παράμετροι κινδύνου προκύπτουν από τις παραμέτρους κινδύνου που χρησιμοποιούνται στο σύστημα εσωτερικών διαβαθμίσεων που έχει εγκριθεί από την αντίστοιχη αρμ</w:t>
            </w:r>
            <w:r>
              <w:rPr>
                <w:rStyle w:val="InstructionsTabelleText"/>
                <w:rFonts w:ascii="Times New Roman" w:hAnsi="Times New Roman"/>
                <w:sz w:val="24"/>
              </w:rPr>
              <w:t>ό</w:t>
            </w:r>
            <w:r>
              <w:rPr>
                <w:rStyle w:val="InstructionsTabelleText"/>
                <w:rFonts w:ascii="Times New Roman" w:hAnsi="Times New Roman"/>
                <w:sz w:val="24"/>
              </w:rPr>
              <w:t>δια αρχή.</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Για τα αριθμητικά στοιχεία που αντιστοιχούν σε άθροισμα βαθμίδων ή ομάδων οφειλέτη (π.χ. «σύνολο ανοιγμάτων»), παρέχεται το μέσο σταθμισμένο ως προς το άνοιγμα ύψος των πιθανοτήτων αθέτησης που σχετίζονται με τις βαθμίδες ή ομάδες οφειλέτη που περιλαμβάνονται στο άθροισμα. Για τον υπολογισμό του μέσου σταθμισμένου ως προς το άνοιγμα ύψους της πιθανότητας αθέτησης λαμβάνονται υπόψη όλα τα ανοίγματα, συμπεριλαμβανομένων των ανοιγμάτων σε αθέτηση. Για τον υπολογισμό του μέσου σταθμισμένου ως προς το άνοιγμα ύψους της πιθανότητας αθέτησης, χρησιμοποιείται για τη στάθμιση η αξία </w:t>
            </w:r>
            <w:r>
              <w:rPr>
                <w:rStyle w:val="InstructionsTabelleText"/>
                <w:rFonts w:ascii="Times New Roman" w:hAnsi="Times New Roman"/>
                <w:sz w:val="24"/>
              </w:rPr>
              <w:t>α</w:t>
            </w:r>
            <w:r>
              <w:rPr>
                <w:rStyle w:val="InstructionsTabelleText"/>
                <w:rFonts w:ascii="Times New Roman" w:hAnsi="Times New Roman"/>
                <w:sz w:val="24"/>
              </w:rPr>
              <w:t>νοίγματος, λαμβανομένης υπόψη της μη χρηματοδοτούμενης πιστωτικής πρ</w:t>
            </w:r>
            <w:r>
              <w:rPr>
                <w:rStyle w:val="InstructionsTabelleText"/>
                <w:rFonts w:ascii="Times New Roman" w:hAnsi="Times New Roman"/>
                <w:sz w:val="24"/>
              </w:rPr>
              <w:t>ο</w:t>
            </w:r>
            <w:r>
              <w:rPr>
                <w:rStyle w:val="InstructionsTabelleText"/>
                <w:rFonts w:ascii="Times New Roman" w:hAnsi="Times New Roman"/>
                <w:sz w:val="24"/>
              </w:rPr>
              <w:t xml:space="preserve">στασίας (στήλη 060).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ΑΡΧΙΚΟ ΑΝΟΙΓΜΑ ΠΡΙΝ ΑΠΟ ΤΟΥΣ ΣΥΝΤΕΛΕΣΤΕΣ ΜΕΤΑΤΡ</w:t>
            </w:r>
            <w:r>
              <w:rPr>
                <w:rStyle w:val="InstructionsTabelleberschrift"/>
                <w:rFonts w:ascii="Times New Roman" w:hAnsi="Times New Roman"/>
                <w:sz w:val="24"/>
              </w:rPr>
              <w:t>Ο</w:t>
            </w:r>
            <w:r>
              <w:rPr>
                <w:rStyle w:val="InstructionsTabelleberschrift"/>
                <w:rFonts w:ascii="Times New Roman" w:hAnsi="Times New Roman"/>
                <w:sz w:val="24"/>
              </w:rPr>
              <w:t>ΠΗΣ</w:t>
            </w:r>
          </w:p>
          <w:p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Τα ιδρύματα αναφέρουν στη στήλη 020 την αξία του αρχικού ανοίγματος (πριν από τους συντελεστές μετατροπής). Σύμφωνα με τις διατάξεις του άρθρου 167 του ΚΚΑ, η αξία ανοίγματος των ανοιγμάτων σε μετοχές είναι η λογιστική αξία που απομένει μετά την εφαρμογή ειδικών προσαρμογών πιστωτικού κινδύνου. Η αξία ανοίγματος των εκτός ισολογισμού ανοιγμάτων σε μετοχές είναι η ον</w:t>
            </w:r>
            <w:r>
              <w:rPr>
                <w:rStyle w:val="InstructionsTabelleText"/>
                <w:rFonts w:ascii="Times New Roman" w:hAnsi="Times New Roman"/>
                <w:sz w:val="24"/>
              </w:rPr>
              <w:t>ο</w:t>
            </w:r>
            <w:r>
              <w:rPr>
                <w:rStyle w:val="InstructionsTabelleText"/>
                <w:rFonts w:ascii="Times New Roman" w:hAnsi="Times New Roman"/>
                <w:sz w:val="24"/>
              </w:rPr>
              <w:lastRenderedPageBreak/>
              <w:t>μαστική τους αξία κατόπιν ειδικών προσαρμογών πιστωτικού κινδύνου.</w:t>
            </w:r>
          </w:p>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περιλαμβάνουν επίσης στη στήλη 020 εκτός ισολογισμού στοιχεία που αναφέρονται στο παράρτημα I του ΚΚΑ και έχουν ταξινομηθεί στην κατ</w:t>
            </w:r>
            <w:r>
              <w:rPr>
                <w:rStyle w:val="InstructionsTabelleText"/>
                <w:rFonts w:ascii="Times New Roman" w:hAnsi="Times New Roman"/>
                <w:sz w:val="24"/>
              </w:rPr>
              <w:t>η</w:t>
            </w:r>
            <w:r>
              <w:rPr>
                <w:rStyle w:val="InstructionsTabelleText"/>
                <w:rFonts w:ascii="Times New Roman" w:hAnsi="Times New Roman"/>
                <w:sz w:val="24"/>
              </w:rPr>
              <w:t>γορία ανοιγμάτων σε μετοχές (π.χ. «μη καταβληθέν τμήμα μερικώς εξοφλημ</w:t>
            </w:r>
            <w:r>
              <w:rPr>
                <w:rStyle w:val="InstructionsTabelleText"/>
                <w:rFonts w:ascii="Times New Roman" w:hAnsi="Times New Roman"/>
                <w:sz w:val="24"/>
              </w:rPr>
              <w:t>έ</w:t>
            </w:r>
            <w:r>
              <w:rPr>
                <w:rStyle w:val="InstructionsTabelleText"/>
                <w:rFonts w:ascii="Times New Roman" w:hAnsi="Times New Roman"/>
                <w:sz w:val="24"/>
              </w:rPr>
              <w:t>νων μετοχών»).</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που εφαρμόζουν τη προσέγγιση της απλής στάθμισης κινδύνου ή την προσέγγιση πιθανότητας αθέτησης/ζημίας λόγω αθέτησης (όπως αναφέρεται στο άρθρο 165 παράγραφος 1) λαμβάνουν επίσης υπόψη τις διατάξεις περί συμψηφισμού του άρθρου 155 παράγραφος 2 του ΚΚΑ.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030-040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ΤΕΧΝΙΚΕΣ ΜΕΙΩΣΗΣ ΤΟΥ ΠΙΣΤΩΤΙΚΟΥ ΚΙΝΔΥΝΟΥ (CRM) ΜΕ ΑΠΟΤΕΛΕΣΜΑΤΑ ΥΠΟΚΑΤΑΣΤΑΣΗΣ ΣΤΟ ΑΝΟΙΓΜΑ</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ΧΡΗΜΑΤΟΔΟΤΟΥΜΕΝΗ ΠΙΣΤΩΤΙΚΗ ΠΡΟΣΤΑΣΙΑ</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ΕΓΓΥΗΣΕΙΣ</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ΠΙΣΤΩΤΙΚΑ ΠΑΡΑΓΩΓΑ</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Ανεξαρτήτως της προσέγγισης που χρησιμοποιείται για τον υπολογισμό των σταθμισμένων ως προς τον κίνδυνο ποσών ανοιγμάτων για ανοίγματα σε μετ</w:t>
            </w:r>
            <w:r>
              <w:rPr>
                <w:rStyle w:val="InstructionsTabelleText"/>
                <w:rFonts w:ascii="Times New Roman" w:hAnsi="Times New Roman"/>
                <w:sz w:val="24"/>
              </w:rPr>
              <w:t>ο</w:t>
            </w:r>
            <w:r>
              <w:rPr>
                <w:rStyle w:val="InstructionsTabelleText"/>
                <w:rFonts w:ascii="Times New Roman" w:hAnsi="Times New Roman"/>
                <w:sz w:val="24"/>
              </w:rPr>
              <w:t>χές, τα ιδρύματα δύνανται να αναγνωρίζουν τη μη χρηματοδοτούμενη πιστωτική προστασία που λαμβάνεται για ανοίγματα σε μετοχές (άρθρο 155 παράγραφοι 2, 3 και 4 του ΚΚΑ). Τα ιδρύματα που εφαρμόζουν την προσέγγιση της απλής στάθμισης κινδύνου ή την προσέγγιση πιθανότητας αθέτησης/ζημίας λόγω αθ</w:t>
            </w:r>
            <w:r>
              <w:rPr>
                <w:rStyle w:val="InstructionsTabelleText"/>
                <w:rFonts w:ascii="Times New Roman" w:hAnsi="Times New Roman"/>
                <w:sz w:val="24"/>
              </w:rPr>
              <w:t>έ</w:t>
            </w:r>
            <w:r>
              <w:rPr>
                <w:rStyle w:val="InstructionsTabelleText"/>
                <w:rFonts w:ascii="Times New Roman" w:hAnsi="Times New Roman"/>
                <w:sz w:val="24"/>
              </w:rPr>
              <w:t>τησης αναφέρουν στις στήλες 030 και 040 το ποσό της μη χρηματοδοτούμενης πιστωτικής προστασίας υπό μορφή εγγυήσεων (στήλη 030) ή πιστωτικών παρ</w:t>
            </w:r>
            <w:r>
              <w:rPr>
                <w:rStyle w:val="InstructionsTabelleText"/>
                <w:rFonts w:ascii="Times New Roman" w:hAnsi="Times New Roman"/>
                <w:sz w:val="24"/>
              </w:rPr>
              <w:t>α</w:t>
            </w:r>
            <w:r>
              <w:rPr>
                <w:rStyle w:val="InstructionsTabelleText"/>
                <w:rFonts w:ascii="Times New Roman" w:hAnsi="Times New Roman"/>
                <w:sz w:val="24"/>
              </w:rPr>
              <w:t>γώγων (στήλη 040) που αναγνωρίζεται σύμφωνα με τις μεθόδους του τρίτου μ</w:t>
            </w:r>
            <w:r>
              <w:rPr>
                <w:rStyle w:val="InstructionsTabelleText"/>
                <w:rFonts w:ascii="Times New Roman" w:hAnsi="Times New Roman"/>
                <w:sz w:val="24"/>
              </w:rPr>
              <w:t>έ</w:t>
            </w:r>
            <w:r>
              <w:rPr>
                <w:rStyle w:val="InstructionsTabelleText"/>
                <w:rFonts w:ascii="Times New Roman" w:hAnsi="Times New Roman"/>
                <w:sz w:val="24"/>
              </w:rPr>
              <w:t>ρους τίτλος II κεφάλαιο 4 του ΚΚΑ.</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050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ΤΕΧΝΙΚΕΣ ΜΕΙΩΣΗΣ ΤΟΥ ΠΙΣΤΩΤΙΚΟΥ ΚΙΝΔΥΝΟΥ (CRM) ΜΕ ΑΠΟΤΕΛΕΣΜΑΤΑ ΥΠΟΚΑΤΑΣΤΑΣΗΣ ΣΤΟ ΑΝΟΙΓΜΑ</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ΥΠΟΚΑΤΑΣΤΑΣΗ ΤΟΥ ΑΝΟΙΓΜΑΤΟΣ ΛΟΓΩ ΤΗΣ ΜΕΙΩΣΗΣ ΤΟΥ ΠΙΣΤΩΤΙΚΟΥ ΚΙΝΔΥΝΟΥ</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ΣΥΝΟΛΙΚΕΣ ΕΚΡΟΕΣ</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αναφέρουν στη στήλη 050 το μέρος του αρχικού ανοίγματος πριν από τους συντελεστές μετατροπής που καλύπτεται από μη χρηματοδοτούμενη πιστωτική προστασία, η οποία αναγνωρίζεται σύμφωνα με τις μεθόδους του τρ</w:t>
            </w:r>
            <w:r>
              <w:rPr>
                <w:rStyle w:val="InstructionsTabelleText"/>
                <w:rFonts w:ascii="Times New Roman" w:hAnsi="Times New Roman"/>
                <w:sz w:val="24"/>
              </w:rPr>
              <w:t>ί</w:t>
            </w:r>
            <w:r>
              <w:rPr>
                <w:rStyle w:val="InstructionsTabelleText"/>
                <w:rFonts w:ascii="Times New Roman" w:hAnsi="Times New Roman"/>
                <w:sz w:val="24"/>
              </w:rPr>
              <w:t>του μέρους τίτλος II κεφάλαιο 4 του ΚΚΑ.</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060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ΑΞΙΑ ΑΝΟΙΓΜΑΤΟΣ</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που εφαρμόζουν την προσέγγιση της απλής στάθμισης κινδύνου ή την προσέγγιση πιθανότητας αθέτησης/ζημίας λόγω αθέτησης αναφέρουν στη στήλη 060 την αξία ανοίγματος, λαμβάνοντας υπόψη τα αποτελέσματα υποκ</w:t>
            </w:r>
            <w:r>
              <w:rPr>
                <w:rStyle w:val="InstructionsTabelleText"/>
                <w:rFonts w:ascii="Times New Roman" w:hAnsi="Times New Roman"/>
                <w:sz w:val="24"/>
              </w:rPr>
              <w:t>α</w:t>
            </w:r>
            <w:r>
              <w:rPr>
                <w:rStyle w:val="InstructionsTabelleText"/>
                <w:rFonts w:ascii="Times New Roman" w:hAnsi="Times New Roman"/>
                <w:sz w:val="24"/>
              </w:rPr>
              <w:t xml:space="preserve">τάστασης που προκύπτουν από τη μη χρηματοδοτούμενη πιστωτική προστασία (άρθρο 155 παράγραφοι 2 και 3 και άρθρο 167 του ΚΚΑ).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Υπενθυμίζεται ότι, στην περίπτωση ανοιγμάτων σε μετοχές εκτός ισολογισμού, η αξία ανοίγματος είναι η ονομαστική αξία κατόπιν ειδικών προσαρμογών π</w:t>
            </w:r>
            <w:r>
              <w:rPr>
                <w:rStyle w:val="InstructionsTabelleText"/>
                <w:rFonts w:ascii="Times New Roman" w:hAnsi="Times New Roman"/>
                <w:sz w:val="24"/>
              </w:rPr>
              <w:t>ι</w:t>
            </w:r>
            <w:r>
              <w:rPr>
                <w:rStyle w:val="InstructionsTabelleText"/>
                <w:rFonts w:ascii="Times New Roman" w:hAnsi="Times New Roman"/>
                <w:sz w:val="24"/>
              </w:rPr>
              <w:lastRenderedPageBreak/>
              <w:t>στωτικού κινδύνου (άρθρο 167 του ΚΚΑ).</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070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ΜΕΣΟ ΣΤΑΘΜΙΣΜΕΝΟ ΩΣ ΠΡΟΣ ΤΟ ΑΝΟΙΓΜΑ ΥΨΟΣ ΤΗΣ LGD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που εφαρμόζουν την προσέγγιση πιθανότητας αθέτησης/ζημίας λόγω αθέτησης αναφέρουν στη στήλη 070 του υποδείγματος CR EQU IRB 2 το σταθμισμένο ως προς το άνοιγμα μέσο ύψος των τιμών ζημίας λόγω αθέτησης που σχετίζονται με τις βαθμίδες ή ομάδες οφειλέτη που περιλαμβάνονται στο άθροισμα. Το ίδιο ισχύει και για τη γραμμή 020 του υποδείγματος CR EQU IRB. Η αξία ανοίγματος, λαμβανομένης υπόψη της μη χρηματοδοτούμενης π</w:t>
            </w:r>
            <w:r>
              <w:rPr>
                <w:rStyle w:val="InstructionsTabelleText"/>
                <w:rFonts w:ascii="Times New Roman" w:hAnsi="Times New Roman"/>
                <w:sz w:val="24"/>
              </w:rPr>
              <w:t>ι</w:t>
            </w:r>
            <w:r>
              <w:rPr>
                <w:rStyle w:val="InstructionsTabelleText"/>
                <w:rFonts w:ascii="Times New Roman" w:hAnsi="Times New Roman"/>
                <w:sz w:val="24"/>
              </w:rPr>
              <w:t>στωτικής προστασίας (στήλη 060), χρησιμοποιείται για τον υπολογισμό του μ</w:t>
            </w:r>
            <w:r>
              <w:rPr>
                <w:rStyle w:val="InstructionsTabelleText"/>
                <w:rFonts w:ascii="Times New Roman" w:hAnsi="Times New Roman"/>
                <w:sz w:val="24"/>
              </w:rPr>
              <w:t>έ</w:t>
            </w:r>
            <w:r>
              <w:rPr>
                <w:rStyle w:val="InstructionsTabelleText"/>
                <w:rFonts w:ascii="Times New Roman" w:hAnsi="Times New Roman"/>
                <w:sz w:val="24"/>
              </w:rPr>
              <w:t xml:space="preserve">σου σταθμισμένου ως προς το άνοιγμα ύψους της ζημίας λόγω αθέτησης. Τα </w:t>
            </w:r>
            <w:r>
              <w:rPr>
                <w:rStyle w:val="InstructionsTabelleText"/>
                <w:rFonts w:ascii="Times New Roman" w:hAnsi="Times New Roman"/>
                <w:sz w:val="24"/>
              </w:rPr>
              <w:t>ι</w:t>
            </w:r>
            <w:r>
              <w:rPr>
                <w:rStyle w:val="InstructionsTabelleText"/>
                <w:rFonts w:ascii="Times New Roman" w:hAnsi="Times New Roman"/>
                <w:sz w:val="24"/>
              </w:rPr>
              <w:t>δρύματα λαμβάνουν υπόψη τις διατάξεις του άρθρου 165 παράγραφος 2 του ΚΚΑ.</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080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ΠΟΣΟ ΑΝΟΙΓΜΑΤΟΣ ΣΤΑΘΜΙΣΜΕΝΟ ΩΣ ΠΡΟΣ ΤΟΝ ΚΙΝΔΥΝΟ</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αναφέρουν στη στήλη 080 τα ποσά των σταθμισμένων ως προς τον κίνδυνο ανοιγμάτων για τα ανοίγματα σε μετοχές, υπολογιζόμενα σύμφωνα με τις διατάξεις του άρθρου 155 του ΚΚΑ.</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Στην περίπτωση που τα ιδρύματα που εφαρμόζουν την προσέγγιση πιθανότητας αθέτησης/ζημίας λόγω αθέτησης δεν διαθέτουν επαρκείς πληροφορίες για να χρησιμοποιήσουν τον ορισμό της αθέτησης υποχρέωσης που ορίζεται στο άρθρο 178 του ΚΚΑ, στους συντελεστές στάθμισης κινδύνου εφαρμόζεται συντελ</w:t>
            </w:r>
            <w:r>
              <w:rPr>
                <w:rStyle w:val="InstructionsTabelleText"/>
                <w:rFonts w:ascii="Times New Roman" w:hAnsi="Times New Roman"/>
                <w:sz w:val="24"/>
              </w:rPr>
              <w:t>ε</w:t>
            </w:r>
            <w:r>
              <w:rPr>
                <w:rStyle w:val="InstructionsTabelleText"/>
                <w:rFonts w:ascii="Times New Roman" w:hAnsi="Times New Roman"/>
                <w:sz w:val="24"/>
              </w:rPr>
              <w:t xml:space="preserve">στής προσαύξησης 1,5 κατά τον υπολογισμό των σταθμισμένων ως προς τον κίνδυνο ποσών ανοιγμάτων (άρθρο 155 παράγραφος 3 του ΚΚΑ).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Όσον αφορά την παράμετρο εισροής Μ (ληκτότητα) στη συνάρτηση του συντ</w:t>
            </w:r>
            <w:r>
              <w:rPr>
                <w:rStyle w:val="InstructionsTabelleText"/>
                <w:rFonts w:ascii="Times New Roman" w:hAnsi="Times New Roman"/>
                <w:sz w:val="24"/>
              </w:rPr>
              <w:t>ε</w:t>
            </w:r>
            <w:r>
              <w:rPr>
                <w:rStyle w:val="InstructionsTabelleText"/>
                <w:rFonts w:ascii="Times New Roman" w:hAnsi="Times New Roman"/>
                <w:sz w:val="24"/>
              </w:rPr>
              <w:t>λεστή στάθμισης κινδύνου, η ληκτότητα που αποδίδεται στα ανοίγματα σε μ</w:t>
            </w:r>
            <w:r>
              <w:rPr>
                <w:rStyle w:val="InstructionsTabelleText"/>
                <w:rFonts w:ascii="Times New Roman" w:hAnsi="Times New Roman"/>
                <w:sz w:val="24"/>
              </w:rPr>
              <w:t>ε</w:t>
            </w:r>
            <w:r>
              <w:rPr>
                <w:rStyle w:val="InstructionsTabelleText"/>
                <w:rFonts w:ascii="Times New Roman" w:hAnsi="Times New Roman"/>
                <w:sz w:val="24"/>
              </w:rPr>
              <w:t>τοχές ισούται με 5 έτη (άρθρο 165 παράγραφος 3 του ΚΚΑ).</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090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ΥΠΟΜΝΗΜΑΤΙΚΟ ΣΤΟΙΧΕΙΟ: ΠΟΣΟ ΑΝΑΜΕΝΟΜΕΝΗΣ ΖΗΜΙΑΣ</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αναφέρουν στη στήλη 090 το ποσό της αναμενόμενης ζημίας για ανοίγματα σε μετοχές, το οποίο υπολογίζεται σύμφωνα με το άρθρο 158 παρ</w:t>
            </w:r>
            <w:r>
              <w:rPr>
                <w:rStyle w:val="InstructionsTabelleText"/>
                <w:rFonts w:ascii="Times New Roman" w:hAnsi="Times New Roman"/>
                <w:sz w:val="24"/>
              </w:rPr>
              <w:t>ά</w:t>
            </w:r>
            <w:r>
              <w:rPr>
                <w:rStyle w:val="InstructionsTabelleText"/>
                <w:rFonts w:ascii="Times New Roman" w:hAnsi="Times New Roman"/>
                <w:sz w:val="24"/>
              </w:rPr>
              <w:t xml:space="preserve">γραφοι 4, 7, 8 και 9 του ΚΚΑ. </w:t>
            </w:r>
          </w:p>
        </w:tc>
      </w:tr>
    </w:tbl>
    <w:p w:rsidR="00745369" w:rsidRPr="00392FFD" w:rsidRDefault="00745369" w:rsidP="00FD239F">
      <w:pPr>
        <w:pStyle w:val="InstructionsText"/>
      </w:pPr>
    </w:p>
    <w:p w:rsidR="00C61FF5" w:rsidRPr="00392FFD" w:rsidRDefault="00125707" w:rsidP="00C37B29">
      <w:pPr>
        <w:pStyle w:val="InstructionsText2"/>
        <w:numPr>
          <w:ilvl w:val="0"/>
          <w:numId w:val="0"/>
        </w:numPr>
        <w:ind w:left="993"/>
      </w:pPr>
      <w:r>
        <w:t>92.</w:t>
      </w:r>
      <w:r>
        <w:tab/>
        <w:t>Σύμφωνα με το άρθρο 155 του ΚΚΑ, τα ιδρύματα δύναται να χρησιμοποιούν διαφορετικές προσεγγίσεις (προσέγγιση απλής στάθμισης κινδύνου, προσέγγιση πιθανότητας αθέτησης/ζημίας λόγω αθέτησης ή προσέγγιση των εσωτερικών υπ</w:t>
      </w:r>
      <w:r>
        <w:t>ο</w:t>
      </w:r>
      <w:r>
        <w:t>δειγμάτων) στα διάφορα χαρτοφυλάκια, όταν χρησιμοποιούν αυτές τις διαφορετ</w:t>
      </w:r>
      <w:r>
        <w:t>ι</w:t>
      </w:r>
      <w:r>
        <w:t>κές προσεγγίσεις εσωτερικά. Τα ιδρύματα αναφέρουν επίσης στο υπόδειγμα CR EQU IRB 1 τα ποσά των σταθμισμένων ως προς τον κίνδυνο ανοιγμάτων για τα ανοίγματα σε μετοχές, που αντιμετωπίζονται συνήθως με σταθερό συντελεστή στάθμισης κινδύνου (χωρίς, ωστόσο, να αντιμετωπίζονται ρητώς σύμφωνα με την προσέγγιση της απλής στάθμισης κινδύνου ή την (προσωρινή ή μόνιμη) μερική χρήση της τυποποιημένης προσέγγισης πιστωτικού κινδύνου).</w:t>
      </w:r>
    </w:p>
    <w:tbl>
      <w:tblPr>
        <w:tblW w:w="9524" w:type="dxa"/>
        <w:tblLook w:val="01E0" w:firstRow="1" w:lastRow="1" w:firstColumn="1" w:lastColumn="1" w:noHBand="0" w:noVBand="0"/>
      </w:tblPr>
      <w:tblGrid>
        <w:gridCol w:w="1608"/>
        <w:gridCol w:w="7916"/>
      </w:tblGrid>
      <w:tr w:rsidR="00C61FF5" w:rsidRPr="00392FFD"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lastRenderedPageBreak/>
              <w:t>Γραμμές</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γραμμή 020,</w:t>
            </w:r>
          </w:p>
          <w:p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ΠΡΟΣΕΓΓΙΣΗ ΠΙΘΑΝΟΤΗΤΑΣ ΑΘΕΤΗΣΗΣ (PD)/ΖΗΜΙΑΣ ΛΟΓΩ ΑΘΕΤΗΣΗΣ (LGD): ΣΥΝΟΛΟ </w:t>
            </w:r>
          </w:p>
          <w:p w:rsidR="00745369" w:rsidRPr="00392FFD"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που εφαρμόζουν την προσέγγιση PD/LGD (άρθρο 155 παράγρ</w:t>
            </w:r>
            <w:r>
              <w:rPr>
                <w:rStyle w:val="InstructionsTabelleText"/>
                <w:rFonts w:ascii="Times New Roman" w:hAnsi="Times New Roman"/>
                <w:sz w:val="24"/>
              </w:rPr>
              <w:t>α</w:t>
            </w:r>
            <w:r>
              <w:rPr>
                <w:rStyle w:val="InstructionsTabelleText"/>
                <w:rFonts w:ascii="Times New Roman" w:hAnsi="Times New Roman"/>
                <w:sz w:val="24"/>
              </w:rPr>
              <w:t>φος 3 του ΚΚΑ) αναφέρουν τις ζητούμενες πληροφορίες στη γραμμή 020 του υποδείγματος CR EQU IRB 1.</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γραμμές 050-090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ΠΡΟΣΕΓΓΙΣΗ ΑΠΛΗΣ ΣΤΑΘΜΙΣΗΣ ΚΙΝΔΥΝΟΥ: ΣΥΝΟΛΟ</w:t>
            </w:r>
          </w:p>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ΚΑΤΑΝΟΜΗ ΤΩΝ ΣΥΝΟΛΙΚΩΝ ΑΝΟΙΓΜΑΤΩΝ ΒΑΣΕΙ ΤΗΣ ΠΡ</w:t>
            </w:r>
            <w:r>
              <w:rPr>
                <w:rStyle w:val="InstructionsTabelleText"/>
                <w:rFonts w:ascii="Times New Roman" w:hAnsi="Times New Roman"/>
                <w:b/>
                <w:sz w:val="24"/>
                <w:u w:val="single"/>
              </w:rPr>
              <w:t>Ο</w:t>
            </w:r>
            <w:r>
              <w:rPr>
                <w:rStyle w:val="InstructionsTabelleText"/>
                <w:rFonts w:ascii="Times New Roman" w:hAnsi="Times New Roman"/>
                <w:b/>
                <w:sz w:val="24"/>
                <w:u w:val="single"/>
              </w:rPr>
              <w:t>ΣΕΓΓΙΣΗΣ ΑΠΛΗΣ ΣΤΑΘΜΙΣΗΣ ΚΙΝΔΥΝΟΥ ΑΝΑ ΣΥΝΤΕΛΕΣΤΗ ΣΤΑΘΜΙΣΗΣ ΚΙΝΔΥΝΟΥ:</w:t>
            </w:r>
          </w:p>
          <w:p w:rsidR="00745369" w:rsidRPr="00392FFD"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που εφαρμόζουν την προσέγγιση της απλής στάθμισης κινδύνου (άρθρο 155 παράγραφος 2 του ΚΚΑ) αναφέρουν τις ζητούμενες πληροφορίες σύμφωνα με τα χαρακτηριστικά των υποκείμενων ανοιγμάτων στις γραμμές 050 έως 090.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γραμμή 100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ΠΡΟΣΕΓΓΙΣΗ ΕΣΩΤΕΡΙΚΩΝ ΥΠΟΔΕΙΓΜΑΤΩΝ</w:t>
            </w:r>
          </w:p>
          <w:p w:rsidR="00C61FF5" w:rsidRPr="00392FFD" w:rsidRDefault="00C61FF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Τα ιδρύματα που εφαρμόζουν την προσέγγιση των εσωτερικών υποδειγμάτων (άρθρο 155 παράγραφος 4 του ΚΚΑ) αναφέρουν τις ζητούμενες πληροφορίες στη γραμμή 100.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γραμμή 110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ΑΝΟΙΓΜΑΤΑ ΣΕ ΜΕΤΟΧΕΣ ΠΟΥ ΥΠΟΚΕΙΝΤΑΙ ΣΕ ΣΥΝΤΕΛΕΣΤΕΣ ΣΤΑΘΜΙΣΗΣ ΚΙΝΔΥΝΟΥ</w:t>
            </w:r>
          </w:p>
          <w:p w:rsidR="00C61FF5" w:rsidRPr="00392FFD" w:rsidRDefault="00C61FF5" w:rsidP="00C61FF5">
            <w:pPr>
              <w:rPr>
                <w:rFonts w:ascii="Times New Roman" w:hAnsi="Times New Roman"/>
                <w:sz w:val="24"/>
              </w:rPr>
            </w:pPr>
            <w:r>
              <w:rPr>
                <w:rFonts w:ascii="Times New Roman" w:hAnsi="Times New Roman"/>
                <w:sz w:val="24"/>
              </w:rPr>
              <w:t>Τα ιδρύματα που εφαρμόζουν την προσέγγιση IRB αναφέρουν τα σταθμισμένα ως προς τον κίνδυνο ποσά ανοίγματος για τα ανοίγματα σε μετοχές, που αντ</w:t>
            </w:r>
            <w:r>
              <w:rPr>
                <w:rFonts w:ascii="Times New Roman" w:hAnsi="Times New Roman"/>
                <w:sz w:val="24"/>
              </w:rPr>
              <w:t>ι</w:t>
            </w:r>
            <w:r>
              <w:rPr>
                <w:rFonts w:ascii="Times New Roman" w:hAnsi="Times New Roman"/>
                <w:sz w:val="24"/>
              </w:rPr>
              <w:t>μετωπίζονται συνήθως με σταθερό συντελεστή στάθμισης κινδύνου (χωρίς, ωστόσο, να αντιμετωπίζονται ρητώς σύμφωνα με την προσέγγιση της απλής στάθμισης κινδύνου ή την (προσωρινή ή μόνιμη) μερική χρήση της τυποποι</w:t>
            </w:r>
            <w:r>
              <w:rPr>
                <w:rFonts w:ascii="Times New Roman" w:hAnsi="Times New Roman"/>
                <w:sz w:val="24"/>
              </w:rPr>
              <w:t>η</w:t>
            </w:r>
            <w:r>
              <w:rPr>
                <w:rFonts w:ascii="Times New Roman" w:hAnsi="Times New Roman"/>
                <w:sz w:val="24"/>
              </w:rPr>
              <w:t xml:space="preserve">μένης προσέγγισης πιστωτικού κινδύνου). Παραδείγματος χάριν, </w:t>
            </w:r>
          </w:p>
          <w:p w:rsidR="00C61FF5" w:rsidRPr="00392FFD"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 xml:space="preserve">το σταθμισμένο ως προς τον κίνδυνο ποσό ανοίγματος των θέσεων σε μετοχές οντοτήτων του χρηματοπιστωτικού τομέα που αντιμετωπίζονται σύμφωνα με το άρθρο 48 παράγραφος 4 του ΚΚΑ, καθώς και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οι θέσεις σε μετοχές στις οποίες έχει εφαρμοστεί συντελεστής στάθμισης κι</w:t>
            </w:r>
            <w:r>
              <w:rPr>
                <w:rStyle w:val="FormatvorlageInstructionsTabelleText"/>
                <w:rFonts w:ascii="Times New Roman" w:hAnsi="Times New Roman"/>
                <w:sz w:val="24"/>
              </w:rPr>
              <w:t>ν</w:t>
            </w:r>
            <w:r>
              <w:rPr>
                <w:rStyle w:val="FormatvorlageInstructionsTabelleText"/>
                <w:rFonts w:ascii="Times New Roman" w:hAnsi="Times New Roman"/>
                <w:sz w:val="24"/>
              </w:rPr>
              <w:t xml:space="preserve">δύνου 370 %, σύμφωνα με το άρθρο 471 παράγραφος 2 του ΚΚΑ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αναφέρονται στη γραμμή 110.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ΚΑΤΑΝΟΜΗ ΣΥΝΟΛΙΚΩΝ ΑΝΟΙΓΜΑΤΩΝ ΒΑΣΕΙ ΤΗΣ ΠΡΟΣΕΓΓ</w:t>
            </w:r>
            <w:r>
              <w:rPr>
                <w:rStyle w:val="InstructionsTabelleberschrift"/>
                <w:rFonts w:ascii="Times New Roman" w:hAnsi="Times New Roman"/>
                <w:sz w:val="24"/>
              </w:rPr>
              <w:t>Ι</w:t>
            </w:r>
            <w:r>
              <w:rPr>
                <w:rStyle w:val="InstructionsTabelleberschrift"/>
                <w:rFonts w:ascii="Times New Roman" w:hAnsi="Times New Roman"/>
                <w:sz w:val="24"/>
              </w:rPr>
              <w:t>ΣΗΣ PD/LGD ΑΝΑ ΒΑΘΜΙΔΑ ΟΦΕΙΛΕΤΗ:</w:t>
            </w:r>
          </w:p>
          <w:p w:rsidR="00745369" w:rsidRPr="00392FFD"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που εφαρμόζουν την προσέγγιση PD/LGD (άρθρο 155 παράγρ</w:t>
            </w:r>
            <w:r>
              <w:rPr>
                <w:rStyle w:val="InstructionsTabelleText"/>
                <w:rFonts w:ascii="Times New Roman" w:hAnsi="Times New Roman"/>
                <w:sz w:val="24"/>
              </w:rPr>
              <w:t>α</w:t>
            </w:r>
            <w:r>
              <w:rPr>
                <w:rStyle w:val="InstructionsTabelleText"/>
                <w:rFonts w:ascii="Times New Roman" w:hAnsi="Times New Roman"/>
                <w:sz w:val="24"/>
              </w:rPr>
              <w:t>φος 3 του ΚΚΑ) αναφέρουν τις ζητούμενες πληροφορίες στο υπόδειγμα CR EQU IRB 2.</w:t>
            </w:r>
          </w:p>
          <w:p w:rsidR="00C61FF5" w:rsidRPr="00392FFD" w:rsidRDefault="00C61FF5"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Εάν τα ιδρύματα που χρησιμοποιούν την προσέγγιση PD/LGD εφαρμόζουν μοναδικό σύστημα διαβάθμισης ή μπορούν να αναφέρουν στοιχεία σύμφωνα με μια εσωτερική κύρια κλίμακα, αναφέρουν στο υπόδειγμα CR EQU IRB 2 τις </w:t>
            </w:r>
            <w:r>
              <w:rPr>
                <w:rStyle w:val="InstructionsTabelleText"/>
                <w:rFonts w:ascii="Times New Roman" w:hAnsi="Times New Roman"/>
                <w:sz w:val="24"/>
              </w:rPr>
              <w:lastRenderedPageBreak/>
              <w:t>βαθμίδες ή ομάδες διαβάθμισης που σχετίζονται με αυτό το μοναδικό σύστημα διαβάθμισης/κύρια κλίμακα. Σε οποιαδήποτε άλλη περίπτωση, τα διάφορα σ</w:t>
            </w:r>
            <w:r>
              <w:rPr>
                <w:rStyle w:val="InstructionsTabelleText"/>
                <w:rFonts w:ascii="Times New Roman" w:hAnsi="Times New Roman"/>
                <w:sz w:val="24"/>
              </w:rPr>
              <w:t>υ</w:t>
            </w:r>
            <w:r>
              <w:rPr>
                <w:rStyle w:val="InstructionsTabelleText"/>
                <w:rFonts w:ascii="Times New Roman" w:hAnsi="Times New Roman"/>
                <w:sz w:val="24"/>
              </w:rPr>
              <w:t>στήματα διαβάθμισης συγχωνεύονται και κατατάσσονται βάσει των ακόλο</w:t>
            </w:r>
            <w:r>
              <w:rPr>
                <w:rStyle w:val="InstructionsTabelleText"/>
                <w:rFonts w:ascii="Times New Roman" w:hAnsi="Times New Roman"/>
                <w:sz w:val="24"/>
              </w:rPr>
              <w:t>υ</w:t>
            </w:r>
            <w:r>
              <w:rPr>
                <w:rStyle w:val="InstructionsTabelleText"/>
                <w:rFonts w:ascii="Times New Roman" w:hAnsi="Times New Roman"/>
                <w:sz w:val="24"/>
              </w:rPr>
              <w:t>θων κριτηρίων: Οι βαθμίδες ή ομάδες οφειλέτη των διαφόρων συστημάτων δ</w:t>
            </w:r>
            <w:r>
              <w:rPr>
                <w:rStyle w:val="InstructionsTabelleText"/>
                <w:rFonts w:ascii="Times New Roman" w:hAnsi="Times New Roman"/>
                <w:sz w:val="24"/>
              </w:rPr>
              <w:t>ι</w:t>
            </w:r>
            <w:r>
              <w:rPr>
                <w:rStyle w:val="InstructionsTabelleText"/>
                <w:rFonts w:ascii="Times New Roman" w:hAnsi="Times New Roman"/>
                <w:sz w:val="24"/>
              </w:rPr>
              <w:t>αβάθμισης ομαδοποιούνται και κατατάσσονται από την κατώτερη πιθανότητα αθέτησης που αποδίδεται σε κάθε βαθμίδα ή ομάδα οφειλέτη προς την υψηλ</w:t>
            </w:r>
            <w:r>
              <w:rPr>
                <w:rStyle w:val="InstructionsTabelleText"/>
                <w:rFonts w:ascii="Times New Roman" w:hAnsi="Times New Roman"/>
                <w:sz w:val="24"/>
              </w:rPr>
              <w:t>ό</w:t>
            </w:r>
            <w:r>
              <w:rPr>
                <w:rStyle w:val="InstructionsTabelleText"/>
                <w:rFonts w:ascii="Times New Roman" w:hAnsi="Times New Roman"/>
                <w:sz w:val="24"/>
              </w:rPr>
              <w:t>τερη.</w:t>
            </w:r>
          </w:p>
        </w:tc>
      </w:tr>
    </w:tbl>
    <w:p w:rsidR="00633DEB" w:rsidRPr="00392FFD" w:rsidRDefault="00633DEB">
      <w:pPr>
        <w:spacing w:before="0" w:after="0"/>
        <w:jc w:val="left"/>
        <w:rPr>
          <w:rStyle w:val="InstructionsTabelleText"/>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64" w:name="_Toc310415035"/>
      <w:bookmarkStart w:id="365" w:name="_Toc360188372"/>
      <w:bookmarkStart w:id="366" w:name="_Toc516210658"/>
      <w:bookmarkStart w:id="367" w:name="_Toc473560923"/>
      <w:r>
        <w:rPr>
          <w:rFonts w:ascii="Times New Roman" w:hAnsi="Times New Roman"/>
          <w:sz w:val="24"/>
          <w:u w:val="none"/>
        </w:rPr>
        <w:t>3.6.</w:t>
      </w:r>
      <w:r>
        <w:tab/>
      </w:r>
      <w:r>
        <w:rPr>
          <w:rFonts w:ascii="Times New Roman" w:hAnsi="Times New Roman"/>
          <w:sz w:val="24"/>
        </w:rPr>
        <w:t>CR 11.00 Κίνδυνος διακανονισμού/ παράδοσης</w:t>
      </w:r>
      <w:bookmarkEnd w:id="364"/>
      <w:bookmarkEnd w:id="365"/>
      <w:r>
        <w:rPr>
          <w:rFonts w:ascii="Times New Roman" w:hAnsi="Times New Roman"/>
          <w:sz w:val="24"/>
        </w:rPr>
        <w:t xml:space="preserve"> (CR SETT)</w:t>
      </w:r>
      <w:bookmarkEnd w:id="366"/>
      <w:bookmarkEnd w:id="367"/>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68" w:name="_Toc262568045"/>
      <w:bookmarkStart w:id="369" w:name="_Toc295829924"/>
      <w:bookmarkStart w:id="370" w:name="_Toc310415036"/>
      <w:bookmarkStart w:id="371" w:name="_Toc360188373"/>
      <w:bookmarkStart w:id="372" w:name="_Toc516210659"/>
      <w:bookmarkStart w:id="373" w:name="_Toc473560924"/>
      <w:r>
        <w:rPr>
          <w:rFonts w:ascii="Times New Roman" w:hAnsi="Times New Roman"/>
          <w:sz w:val="24"/>
          <w:u w:val="none"/>
        </w:rPr>
        <w:t>3.6.1.</w:t>
      </w:r>
      <w:r>
        <w:tab/>
      </w:r>
      <w:r>
        <w:rPr>
          <w:rFonts w:ascii="Times New Roman" w:hAnsi="Times New Roman"/>
          <w:sz w:val="24"/>
        </w:rPr>
        <w:t>Γενικές παρατηρήσεις</w:t>
      </w:r>
      <w:bookmarkEnd w:id="368"/>
      <w:bookmarkEnd w:id="369"/>
      <w:bookmarkEnd w:id="370"/>
      <w:bookmarkEnd w:id="371"/>
      <w:bookmarkEnd w:id="372"/>
      <w:bookmarkEnd w:id="373"/>
    </w:p>
    <w:p w:rsidR="00612780" w:rsidRPr="00392FFD" w:rsidRDefault="00125707" w:rsidP="00C37B29">
      <w:pPr>
        <w:pStyle w:val="InstructionsText2"/>
        <w:numPr>
          <w:ilvl w:val="0"/>
          <w:numId w:val="0"/>
        </w:numPr>
        <w:ind w:left="993"/>
      </w:pPr>
      <w:r>
        <w:t>93.</w:t>
      </w:r>
      <w:r>
        <w:tab/>
        <w:t>Στο συγκεκριμένο υπόδειγμα ζητούνται πληροφορίες για συναλλαγές εντός και εκτός του χαρτοφυλακίου συναλλαγών οι οποίες δεν έχουν διακανονιστεί ακόμη μετά τις προβλεπόμενες ημερομηνίες παράδοσής τους και τις αντίστοιχες απαιτ</w:t>
      </w:r>
      <w:r>
        <w:t>ή</w:t>
      </w:r>
      <w:r>
        <w:t xml:space="preserve">σεις ιδίων κεφαλαίων για τον κίνδυνο διακανονισμού, σύμφωνα με το άρθρο 92 παράγραφος 3 στοιχείο γ) σημείο ii) και το άρθρο 378 του ΚΚΑ. </w:t>
      </w:r>
    </w:p>
    <w:p w:rsidR="00612780" w:rsidRPr="00392FFD" w:rsidRDefault="00125707" w:rsidP="00C37B29">
      <w:pPr>
        <w:pStyle w:val="InstructionsText2"/>
        <w:numPr>
          <w:ilvl w:val="0"/>
          <w:numId w:val="0"/>
        </w:numPr>
        <w:ind w:left="993"/>
      </w:pPr>
      <w:r>
        <w:t>94.</w:t>
      </w:r>
      <w:r>
        <w:tab/>
        <w:t>Τα ιδρύματα αναφέρουν στο υπόδειγμα CR SETT πληροφορίες για τον κίνδ</w:t>
      </w:r>
      <w:r>
        <w:t>υ</w:t>
      </w:r>
      <w:r>
        <w:t>νο διακανονισμού/παράδοσης σε σχέση με χρεωστικούς τίτλους, μετοχές, συνά</w:t>
      </w:r>
      <w:r>
        <w:t>λ</w:t>
      </w:r>
      <w:r>
        <w:t xml:space="preserve">λαγμα και βασικά εμπορεύματα εντός ή εκτός του χαρτοφυλακίου συναλλαγών τους. </w:t>
      </w:r>
    </w:p>
    <w:p w:rsidR="00612780" w:rsidRPr="00392FFD" w:rsidRDefault="00125707" w:rsidP="00C37B29">
      <w:pPr>
        <w:pStyle w:val="InstructionsText2"/>
        <w:numPr>
          <w:ilvl w:val="0"/>
          <w:numId w:val="0"/>
        </w:numPr>
        <w:ind w:left="993"/>
      </w:pPr>
      <w:r>
        <w:t>95.</w:t>
      </w:r>
      <w:r>
        <w:tab/>
        <w:t>Σύμφωνα με το άρθρο 378 του ΚΚΑ, οι συναλλαγές επαναγοράς, οι συναλλ</w:t>
      </w:r>
      <w:r>
        <w:t>α</w:t>
      </w:r>
      <w:r>
        <w:t>γές δανειοδοσίας και δανειοληψίας τίτλων ή εμπορευμάτων σε σχέση με χρεωστ</w:t>
      </w:r>
      <w:r>
        <w:t>ι</w:t>
      </w:r>
      <w:r>
        <w:t>κούς τίτλους, μετοχές, συνάλλαγμα και βασικά εμπορεύματα δεν υπόκεινται σε κίνδυνο διακανονισμού/παράδοσης. Σημειώνεται, ωστόσο, ότι τα παράγωγα και οι πράξεις με μακρά περίοδο διακανονισμού, που δεν έχουν διακανονιστεί ακόμη μ</w:t>
      </w:r>
      <w:r>
        <w:t>ε</w:t>
      </w:r>
      <w:r>
        <w:t xml:space="preserve">τά τις προβλεπόμενες ημερομηνίες παράδοσής τους, υπόκεινται σε απαιτήσεις </w:t>
      </w:r>
      <w:r>
        <w:t>ι</w:t>
      </w:r>
      <w:r>
        <w:t>δίων κεφαλαίων για τον κίνδυνο διακανονισμού/παράδοσης, όπως ορίζεται στο ά</w:t>
      </w:r>
      <w:r>
        <w:t>ρ</w:t>
      </w:r>
      <w:r>
        <w:t>θρο 378 του ΚΚΑ.</w:t>
      </w:r>
    </w:p>
    <w:p w:rsidR="00612780" w:rsidRPr="00392FFD" w:rsidRDefault="00125707" w:rsidP="00C37B29">
      <w:pPr>
        <w:pStyle w:val="InstructionsText2"/>
        <w:numPr>
          <w:ilvl w:val="0"/>
          <w:numId w:val="0"/>
        </w:numPr>
        <w:ind w:left="993"/>
      </w:pPr>
      <w:r>
        <w:t>96.</w:t>
      </w:r>
      <w:r>
        <w:tab/>
        <w:t>Στην περίπτωση μη διακανονισθεισών συναλλαγών μετά την προβλεπόμενη ημερομηνία παράδοσης, τα ιδρύματα υπολογίζουν τον κίνδυνο διαφοράς τιμών στον οποίο εκτίθενται. Πρόκειται για τη διαφορά μεταξύ της συμφωνηθείσας τιμής διακανονισμού των εν λόγω χρεωστικών τίτλων, μετοχών, συναλλάγματος ή βασ</w:t>
      </w:r>
      <w:r>
        <w:t>ι</w:t>
      </w:r>
      <w:r>
        <w:t xml:space="preserve">κών εμπορευμάτων και της τρέχουσας τιμής τους στην αγορά, εφόσον η διαφορά αυτή θα μπορούσε να εμπεριέχει ζημία για το ίδρυμα. </w:t>
      </w:r>
    </w:p>
    <w:p w:rsidR="00612780" w:rsidRPr="00392FFD" w:rsidRDefault="00125707" w:rsidP="00C37B29">
      <w:pPr>
        <w:pStyle w:val="InstructionsText2"/>
        <w:numPr>
          <w:ilvl w:val="0"/>
          <w:numId w:val="0"/>
        </w:numPr>
        <w:ind w:left="993"/>
      </w:pPr>
      <w:r>
        <w:t>97.</w:t>
      </w:r>
      <w:r>
        <w:tab/>
        <w:t>Τα ιδρύματα πολλαπλασιάζουν τη διαφορά αυτή με τον κατάλληλο συντελ</w:t>
      </w:r>
      <w:r>
        <w:t>ε</w:t>
      </w:r>
      <w:r>
        <w:t>στή του πίνακα 1 του άρθρου 378 του ΚΚΑ για τον προσδιορισμό των αντίστοιχων απαιτήσεων ιδίων κεφαλαίων.</w:t>
      </w:r>
    </w:p>
    <w:p w:rsidR="00612780" w:rsidRPr="00392FFD" w:rsidRDefault="00125707" w:rsidP="00C37B29">
      <w:pPr>
        <w:pStyle w:val="InstructionsText2"/>
        <w:numPr>
          <w:ilvl w:val="0"/>
          <w:numId w:val="0"/>
        </w:numPr>
        <w:ind w:left="993"/>
      </w:pPr>
      <w:r>
        <w:t>98.</w:t>
      </w:r>
      <w:r>
        <w:tab/>
        <w:t>Σύμφωνα με το άρθρο 92 παράγραφος 4 στοιχείο β), οι απαιτήσεις ιδίων κεφ</w:t>
      </w:r>
      <w:r>
        <w:t>α</w:t>
      </w:r>
      <w:r>
        <w:t>λαίων για τον κίνδυνο διακανονισμού/παράδοσης πολλαπλασιάζονται με συντελ</w:t>
      </w:r>
      <w:r>
        <w:t>ε</w:t>
      </w:r>
      <w:r>
        <w:t>στή 12,5 για τον υπολογισμό του ποσού του ανοίγματος σε κίνδυνο.</w:t>
      </w:r>
    </w:p>
    <w:p w:rsidR="00612780" w:rsidRPr="00392FFD" w:rsidRDefault="00125707" w:rsidP="00C37B29">
      <w:pPr>
        <w:pStyle w:val="InstructionsText2"/>
        <w:numPr>
          <w:ilvl w:val="0"/>
          <w:numId w:val="0"/>
        </w:numPr>
        <w:ind w:left="993"/>
      </w:pPr>
      <w:r>
        <w:t>99.</w:t>
      </w:r>
      <w:r>
        <w:tab/>
        <w:t xml:space="preserve">Σημειώνεται ότι οι απαιτήσεις ιδίων κεφαλαίων για τις ατελείς συναλλαγές, που προβλέπονται στο άρθρο 379 του ΚΚΑ, δεν εμπίπτουν στο πεδίο εφαρμογής </w:t>
      </w:r>
      <w:r>
        <w:lastRenderedPageBreak/>
        <w:t>του υποδείγματος CR SETT· αναφέρονται στα υποδείγματα πιστωτικού κινδύνου (CR SA, CR IRB).</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74" w:name="_Toc310415037"/>
      <w:bookmarkStart w:id="375" w:name="_Toc360188374"/>
      <w:bookmarkStart w:id="376" w:name="_Toc516210660"/>
      <w:bookmarkStart w:id="377" w:name="_Toc473560925"/>
      <w:r>
        <w:rPr>
          <w:rFonts w:ascii="Times New Roman" w:hAnsi="Times New Roman"/>
          <w:sz w:val="24"/>
          <w:u w:val="none"/>
        </w:rPr>
        <w:t>3.6.2.</w:t>
      </w:r>
      <w:r>
        <w:tab/>
      </w:r>
      <w:r>
        <w:rPr>
          <w:rFonts w:ascii="Times New Roman" w:hAnsi="Times New Roman"/>
          <w:sz w:val="24"/>
        </w:rPr>
        <w:t>Οδηγίες για συγκεκριμένες θέσεις</w:t>
      </w:r>
      <w:bookmarkEnd w:id="374"/>
      <w:bookmarkEnd w:id="375"/>
      <w:bookmarkEnd w:id="376"/>
      <w:bookmarkEnd w:id="3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rsidTr="00672D2A">
        <w:tc>
          <w:tcPr>
            <w:tcW w:w="8856"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Στήλες</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ΔΙΑΚΑΝΟΝΙΣΘΕΙΣΕΣ ΣΥΝΑΛΛΑΓΕΣ ΣΕ ΤΙΜΗ ΔΙΑΚΑΝΟΝ</w:t>
            </w:r>
            <w:r>
              <w:rPr>
                <w:rStyle w:val="InstructionsTabelleberschrift"/>
                <w:rFonts w:ascii="Times New Roman" w:hAnsi="Times New Roman"/>
                <w:sz w:val="24"/>
              </w:rPr>
              <w:t>Ι</w:t>
            </w:r>
            <w:r>
              <w:rPr>
                <w:rStyle w:val="InstructionsTabelleberschrift"/>
                <w:rFonts w:ascii="Times New Roman" w:hAnsi="Times New Roman"/>
                <w:sz w:val="24"/>
              </w:rPr>
              <w:t>ΣΜΟΥ</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Σύμφωνα με το άρθρο 378 του ΚΚΑ, τα ιδρύματα αναφέρουν στη συγκεκριμένη στήλη 010 τις μη διακανονισθείσες συναλλαγές μετά την προβλεπόμενη ημερ</w:t>
            </w:r>
            <w:r>
              <w:rPr>
                <w:rFonts w:ascii="Times New Roman" w:hAnsi="Times New Roman"/>
                <w:sz w:val="24"/>
              </w:rPr>
              <w:t>ο</w:t>
            </w:r>
            <w:r>
              <w:rPr>
                <w:rFonts w:ascii="Times New Roman" w:hAnsi="Times New Roman"/>
                <w:sz w:val="24"/>
              </w:rPr>
              <w:t xml:space="preserve">μηνία παράδοσής τους στις αντίστοιχες συμφωνηθείσες τιμές διακανονισμού.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Όλες οι μη διακανονισθείσες συναλλαγές περιλαμβάνονται στη συγκεκριμένη στήλη 010, ανεξαρτήτως του αν καταλήγουν σε κέρδος ή ζημία μετά την πρ</w:t>
            </w:r>
            <w:r>
              <w:rPr>
                <w:rFonts w:ascii="Times New Roman" w:hAnsi="Times New Roman"/>
                <w:sz w:val="24"/>
              </w:rPr>
              <w:t>ο</w:t>
            </w:r>
            <w:r>
              <w:rPr>
                <w:rFonts w:ascii="Times New Roman" w:hAnsi="Times New Roman"/>
                <w:sz w:val="24"/>
              </w:rPr>
              <w:t>βλεπόμενη ημερομηνία διακανονισμού.</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ΑΝΟΙΓΜΑ ΔΙΑΦΟΡΑΣ ΤΙΜΗΣ ΛΟΓΩ ΜΗ ΔΙΑΚΑΝΟΝΙΣΘΕΙΣΩΝ Σ</w:t>
            </w:r>
            <w:r>
              <w:rPr>
                <w:rStyle w:val="InstructionsTabelleberschrift"/>
                <w:rFonts w:ascii="Times New Roman" w:hAnsi="Times New Roman"/>
                <w:sz w:val="24"/>
              </w:rPr>
              <w:t>Υ</w:t>
            </w:r>
            <w:r>
              <w:rPr>
                <w:rStyle w:val="InstructionsTabelleberschrift"/>
                <w:rFonts w:ascii="Times New Roman" w:hAnsi="Times New Roman"/>
                <w:sz w:val="24"/>
              </w:rPr>
              <w:t>ΝΑΛΛΑΓΩΝ</w:t>
            </w:r>
          </w:p>
          <w:p w:rsidR="00745369" w:rsidRPr="00C37B29" w:rsidRDefault="00612780" w:rsidP="00450A2E">
            <w:pPr>
              <w:spacing w:beforeLines="60" w:before="144" w:afterLines="60" w:after="144"/>
              <w:rPr>
                <w:rFonts w:ascii="Times New Roman" w:hAnsi="Times New Roman"/>
                <w:sz w:val="24"/>
              </w:rPr>
            </w:pPr>
            <w:r>
              <w:rPr>
                <w:rFonts w:ascii="Times New Roman" w:hAnsi="Times New Roman"/>
                <w:sz w:val="24"/>
              </w:rPr>
              <w:t>Σύμφωνα με το άρθρο 378 του ΚΚΑ, τα ιδρύματα αναφέρουν στη στήλη 020 τη διαφορά τιμών μεταξύ της συμφωνηθείσας τιμής διακανονισμού των εν λόγω χρεωστικών τίτλων, μετοχών, συναλλάγματος ή βασικών εμπορευμάτων και της τρέχουσας τιμής τους στην αγορά, εφόσον η διαφορά αυτή θα μπορούσε να σ</w:t>
            </w:r>
            <w:r>
              <w:rPr>
                <w:rFonts w:ascii="Times New Roman" w:hAnsi="Times New Roman"/>
                <w:sz w:val="24"/>
              </w:rPr>
              <w:t>υ</w:t>
            </w:r>
            <w:r>
              <w:rPr>
                <w:rFonts w:ascii="Times New Roman" w:hAnsi="Times New Roman"/>
                <w:sz w:val="24"/>
              </w:rPr>
              <w:t xml:space="preserve">νεπάγεται ζημία για το ίδρυμα.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Στη στήλη 020 αναφέρονται μόνο οι μη διακανονισθείσες συναλλαγές που πρ</w:t>
            </w:r>
            <w:r>
              <w:rPr>
                <w:rFonts w:ascii="Times New Roman" w:hAnsi="Times New Roman"/>
                <w:sz w:val="24"/>
              </w:rPr>
              <w:t>ο</w:t>
            </w:r>
            <w:r>
              <w:rPr>
                <w:rFonts w:ascii="Times New Roman" w:hAnsi="Times New Roman"/>
                <w:sz w:val="24"/>
              </w:rPr>
              <w:t>καλούν ζημία μετά την προβλεπόμενη ημερομηνία διακανονισμού.</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030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ΑΠΑΙΤΗΣΕΙΣ ΙΔΙΩΝ ΚΕΦΑΛΑΙΩΝ</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Τα ιδρύματα αναφέρουν στη στήλη 030 τις απαιτήσεις ιδίων κεφαλαίων, που υπολογίζονται σύμφωνα με το άρθρο 378 του ΚΚΑ.</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040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ΣΥΝΟΛΙΚΟ ΠΟΣΟ ΑΝΟΙΓΜΑΤΟΣ ΣΕ ΚΙΝΔΥΝΟ ΔΙΑΚΑΝΟΝΙΣΜΟΥ</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Σύμφωνα με το άρθρο 92 παράγραφος 4 στοιχείο β) του ΚΚΑ, τα ιδρύματα πολλαπλασιάζουν τις απαιτήσεις ιδίων κεφαλαίων τους που αναφέρουν στη στήλη 030 με τον συντελεστή 12,5 για τον υπολογισμό του ποσού ανοίγματος σε κίνδυνο διακανονισμού.</w:t>
            </w:r>
          </w:p>
        </w:tc>
      </w:tr>
    </w:tbl>
    <w:p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8010"/>
      </w:tblGrid>
      <w:tr w:rsidR="00612780" w:rsidRPr="00392FFD" w:rsidTr="00672D2A">
        <w:tc>
          <w:tcPr>
            <w:tcW w:w="8862"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Γραμμές</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Σύνολο μη διακανονισθεισών συναλλαγών εκτός του χαρτοφυλακίου συνα</w:t>
            </w:r>
            <w:r>
              <w:rPr>
                <w:rStyle w:val="InstructionsTabelleberschrift"/>
                <w:rFonts w:ascii="Times New Roman" w:hAnsi="Times New Roman"/>
                <w:sz w:val="24"/>
              </w:rPr>
              <w:t>λ</w:t>
            </w:r>
            <w:r>
              <w:rPr>
                <w:rStyle w:val="InstructionsTabelleberschrift"/>
                <w:rFonts w:ascii="Times New Roman" w:hAnsi="Times New Roman"/>
                <w:sz w:val="24"/>
              </w:rPr>
              <w:t>λαγών</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Τα ιδρύματα αναφέρουν στη γραμμή 010 συγκεντρωτικές πληροφορίες σε σχ</w:t>
            </w:r>
            <w:r>
              <w:rPr>
                <w:rFonts w:ascii="Times New Roman" w:hAnsi="Times New Roman"/>
                <w:sz w:val="24"/>
              </w:rPr>
              <w:t>έ</w:t>
            </w:r>
            <w:r>
              <w:rPr>
                <w:rFonts w:ascii="Times New Roman" w:hAnsi="Times New Roman"/>
                <w:sz w:val="24"/>
              </w:rPr>
              <w:t>ση με τον κίνδυνο διακανονισμού/παράδοσης για θέσεις εκτός του χαρτοφυλ</w:t>
            </w:r>
            <w:r>
              <w:rPr>
                <w:rFonts w:ascii="Times New Roman" w:hAnsi="Times New Roman"/>
                <w:sz w:val="24"/>
              </w:rPr>
              <w:t>α</w:t>
            </w:r>
            <w:r>
              <w:rPr>
                <w:rFonts w:ascii="Times New Roman" w:hAnsi="Times New Roman"/>
                <w:sz w:val="24"/>
              </w:rPr>
              <w:t>κίου συναλλαγών (σύμφωνα με το άρθρο 92 παράγραφος 3 στοιχείο γ) σημε</w:t>
            </w:r>
            <w:r>
              <w:rPr>
                <w:rFonts w:ascii="Times New Roman" w:hAnsi="Times New Roman"/>
                <w:sz w:val="24"/>
              </w:rPr>
              <w:t>ί</w:t>
            </w:r>
            <w:r>
              <w:rPr>
                <w:rFonts w:ascii="Times New Roman" w:hAnsi="Times New Roman"/>
                <w:sz w:val="24"/>
              </w:rPr>
              <w:lastRenderedPageBreak/>
              <w:t>ο ii) και το άρθρο 378 του ΚΚΑ).</w:t>
            </w:r>
          </w:p>
          <w:p w:rsidR="00745369" w:rsidRPr="00392FFD" w:rsidRDefault="00612780" w:rsidP="00450A2E">
            <w:pPr>
              <w:spacing w:beforeLines="60" w:before="144"/>
              <w:rPr>
                <w:rFonts w:ascii="Times New Roman" w:hAnsi="Times New Roman"/>
                <w:sz w:val="24"/>
              </w:rPr>
            </w:pPr>
            <w:r>
              <w:rPr>
                <w:rFonts w:ascii="Times New Roman" w:hAnsi="Times New Roman"/>
                <w:sz w:val="24"/>
              </w:rPr>
              <w:t>Τα ιδρύματα αναφέρουν στο πεδίο 010/010 το συγκεντρωτικό άθροισμα των μη διακανονισθεισών συναλλαγών μετά την προβλεπόμενη ημερομηνία παράδοσής τους στις αντίστοιχες συμφωνηθείσες τιμές διακανονισμού.</w:t>
            </w:r>
          </w:p>
          <w:p w:rsidR="00745369" w:rsidRPr="00392FFD" w:rsidRDefault="00612780" w:rsidP="00450A2E">
            <w:pPr>
              <w:spacing w:beforeLines="60" w:before="144"/>
              <w:rPr>
                <w:rFonts w:ascii="Times New Roman" w:hAnsi="Times New Roman"/>
                <w:sz w:val="24"/>
              </w:rPr>
            </w:pPr>
            <w:r>
              <w:rPr>
                <w:rFonts w:ascii="Times New Roman" w:hAnsi="Times New Roman"/>
                <w:sz w:val="24"/>
              </w:rPr>
              <w:t>Τα ιδρύματα αναφέρουν στο πεδίο 010/020 συγκεντρωτικές πληροφορίες για το άνοιγμα διαφοράς τιμής λόγω μη διακανονισθεισών συναλλαγών που προκ</w:t>
            </w:r>
            <w:r>
              <w:rPr>
                <w:rFonts w:ascii="Times New Roman" w:hAnsi="Times New Roman"/>
                <w:sz w:val="24"/>
              </w:rPr>
              <w:t>α</w:t>
            </w:r>
            <w:r>
              <w:rPr>
                <w:rFonts w:ascii="Times New Roman" w:hAnsi="Times New Roman"/>
                <w:sz w:val="24"/>
              </w:rPr>
              <w:t>λούν ζημία.</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Τα ιδρύματα αναφέρουν στο πεδίο 010/030 συγκεντρωτικές απαιτήσεις ιδίων κεφαλαίων, που προκύπτουν από το άθροισμα των απαιτήσεων ιδίων κεφαλαίων για μη διακανονισθείσες συναλλαγές, πολλαπλασιάζοντας τη «διαφορά τιμής» που αναφέρεται στη στήλη 020 με τον κατάλληλο συντελεστή, βάσει του αρι</w:t>
            </w:r>
            <w:r>
              <w:rPr>
                <w:rFonts w:ascii="Times New Roman" w:hAnsi="Times New Roman"/>
                <w:sz w:val="24"/>
              </w:rPr>
              <w:t>θ</w:t>
            </w:r>
            <w:r>
              <w:rPr>
                <w:rFonts w:ascii="Times New Roman" w:hAnsi="Times New Roman"/>
                <w:sz w:val="24"/>
              </w:rPr>
              <w:t>μού των εργάσιμων ημερών μετά την προβλεπόμενη ημερομηνία διακανονισμού (κατηγορίες αναφερόμενες στον πίνακα 1 του άρθρου 378 του ΚΚΑ).</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 xml:space="preserve">020 </w:t>
            </w:r>
            <w:r>
              <w:rPr>
                <w:rFonts w:ascii="Times New Roman" w:hAnsi="Times New Roman"/>
                <w:sz w:val="24"/>
              </w:rPr>
              <w:t>έ</w:t>
            </w:r>
            <w:r>
              <w:rPr>
                <w:rFonts w:ascii="Times New Roman" w:hAnsi="Times New Roman"/>
                <w:sz w:val="24"/>
              </w:rPr>
              <w:t>ως 060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Μη διακανονισθείσες συναλλαγές έως 4 ημέρες (Συντελεστής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5 και 15 ημερών (Συντελεστής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16 και 30 ημερών (Συντελεστής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31 και 45 ημερών (Συντελεστής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46 ημέρες ή περισσότερες (Συντελ</w:t>
            </w:r>
            <w:r>
              <w:rPr>
                <w:rStyle w:val="InstructionsTabelleberschrift"/>
                <w:rFonts w:ascii="Times New Roman" w:hAnsi="Times New Roman"/>
                <w:sz w:val="24"/>
              </w:rPr>
              <w:t>ε</w:t>
            </w:r>
            <w:r>
              <w:rPr>
                <w:rStyle w:val="InstructionsTabelleberschrift"/>
                <w:rFonts w:ascii="Times New Roman" w:hAnsi="Times New Roman"/>
                <w:sz w:val="24"/>
              </w:rPr>
              <w:t>στής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Τα ιδρύματα αναφέρουν τις πληροφορίες σε σχέση με τον κίνδυνο διακανον</w:t>
            </w:r>
            <w:r>
              <w:rPr>
                <w:rFonts w:ascii="Times New Roman" w:hAnsi="Times New Roman"/>
                <w:sz w:val="24"/>
              </w:rPr>
              <w:t>ι</w:t>
            </w:r>
            <w:r>
              <w:rPr>
                <w:rFonts w:ascii="Times New Roman" w:hAnsi="Times New Roman"/>
                <w:sz w:val="24"/>
              </w:rPr>
              <w:t xml:space="preserve">σμού/παράδοσης για θέσεις εκτός του χαρτοφυλακίου συναλλαγών, σύμφωνα με τις κατηγορίες του πίνακα 1 του άρθρου 378 του ΚΚΑ στις γραμμές 020 έως 060.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Δεν απαιτούνται απαιτήσεις ιδίων κεφαλαίων για τον κίνδυνο διακανον</w:t>
            </w:r>
            <w:r>
              <w:rPr>
                <w:rFonts w:ascii="Times New Roman" w:hAnsi="Times New Roman"/>
                <w:sz w:val="24"/>
              </w:rPr>
              <w:t>ι</w:t>
            </w:r>
            <w:r>
              <w:rPr>
                <w:rFonts w:ascii="Times New Roman" w:hAnsi="Times New Roman"/>
                <w:sz w:val="24"/>
              </w:rPr>
              <w:t>σμού/παράδοσης για μη διακανονισθείσες συναλλαγές για διάστημα μικρότερο των 5 εργάσιμων ημερών από την προβλεπόμενη ημερομηνία διακανονισμού.</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070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Σύνολο μη διακανονισθεισών συναλλαγών εντός του χαρτοφυλακίου</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Τα ιδρύματα αναφέρουν στη γραμμή 070 συγκεντρωτικές πληροφορίες σε σχ</w:t>
            </w:r>
            <w:r>
              <w:rPr>
                <w:rFonts w:ascii="Times New Roman" w:hAnsi="Times New Roman"/>
                <w:sz w:val="24"/>
              </w:rPr>
              <w:t>έ</w:t>
            </w:r>
            <w:r>
              <w:rPr>
                <w:rFonts w:ascii="Times New Roman" w:hAnsi="Times New Roman"/>
                <w:sz w:val="24"/>
              </w:rPr>
              <w:t>ση με τον κίνδυνο διακανονισμού/παράδοσης για θέσεις εντός του χαρτοφυλ</w:t>
            </w:r>
            <w:r>
              <w:rPr>
                <w:rFonts w:ascii="Times New Roman" w:hAnsi="Times New Roman"/>
                <w:sz w:val="24"/>
              </w:rPr>
              <w:t>α</w:t>
            </w:r>
            <w:r>
              <w:rPr>
                <w:rFonts w:ascii="Times New Roman" w:hAnsi="Times New Roman"/>
                <w:sz w:val="24"/>
              </w:rPr>
              <w:t>κίου συναλλαγών (σύμφωνα με το άρθρο 92 παράγραφος 3 στοιχείο γ) σημε</w:t>
            </w:r>
            <w:r>
              <w:rPr>
                <w:rFonts w:ascii="Times New Roman" w:hAnsi="Times New Roman"/>
                <w:sz w:val="24"/>
              </w:rPr>
              <w:t>ί</w:t>
            </w:r>
            <w:r>
              <w:rPr>
                <w:rFonts w:ascii="Times New Roman" w:hAnsi="Times New Roman"/>
                <w:sz w:val="24"/>
              </w:rPr>
              <w:t>ο ii) και το άρθρο 378 του ΚΚΑ).</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Τα ιδρύματα αναφέρουν στο πεδίο 070/010 το συγκεντρωτικό άθροισμα των μη διακανονισθεισών συναλλαγών μετά την προβλεπόμενη ημερομηνία παράδοσής τους στις αντίστοιχες συμφωνηθείσες τιμές διακανονισμού.</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Τα ιδρύματα αναφέρουν στο πεδίο 070/020 συγκεντρωτικές πληροφορίες για το άνοιγμα διαφοράς τιμής λόγω μη διακανονισθεισών συναλλαγών που προκ</w:t>
            </w:r>
            <w:r>
              <w:rPr>
                <w:rFonts w:ascii="Times New Roman" w:hAnsi="Times New Roman"/>
                <w:sz w:val="24"/>
              </w:rPr>
              <w:t>α</w:t>
            </w:r>
            <w:r>
              <w:rPr>
                <w:rFonts w:ascii="Times New Roman" w:hAnsi="Times New Roman"/>
                <w:sz w:val="24"/>
              </w:rPr>
              <w:t>λούν ζημία.</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 xml:space="preserve">Τα ιδρύματα αναφέρουν στο πεδίο 070/030 συγκεντρωτικές απαιτήσεις ιδίων </w:t>
            </w:r>
            <w:r>
              <w:rPr>
                <w:rFonts w:ascii="Times New Roman" w:hAnsi="Times New Roman"/>
                <w:sz w:val="24"/>
              </w:rPr>
              <w:lastRenderedPageBreak/>
              <w:t>κεφαλαίων που προκύπτουν από το άθροισμα των απαιτήσεων ιδίων κεφαλαίων για μη διακανονισθείσες συναλλαγές, πολλαπλασιάζοντας τη «διαφορά τιμής» που αναφέρεται στη στήλη 020 με τον κατάλληλο συντελεστή, βάσει του αρι</w:t>
            </w:r>
            <w:r>
              <w:rPr>
                <w:rFonts w:ascii="Times New Roman" w:hAnsi="Times New Roman"/>
                <w:sz w:val="24"/>
              </w:rPr>
              <w:t>θ</w:t>
            </w:r>
            <w:r>
              <w:rPr>
                <w:rFonts w:ascii="Times New Roman" w:hAnsi="Times New Roman"/>
                <w:sz w:val="24"/>
              </w:rPr>
              <w:t>μού των εργάσιμων ημερών μετά την προβλεπόμενη ημερομηνία διακανονισμού (κατηγορίες αναφερόμενες στον πίνακα 1 του άρθρου 378 του ΚΚΑ).</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 xml:space="preserve">080 </w:t>
            </w:r>
            <w:r>
              <w:rPr>
                <w:rFonts w:ascii="Times New Roman" w:hAnsi="Times New Roman"/>
                <w:sz w:val="24"/>
              </w:rPr>
              <w:t>έ</w:t>
            </w:r>
            <w:r>
              <w:rPr>
                <w:rFonts w:ascii="Times New Roman" w:hAnsi="Times New Roman"/>
                <w:sz w:val="24"/>
              </w:rPr>
              <w:t>ως 120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Μη διακανονισθείσες συναλλαγές έως 4 ημέρες (Συντελεστής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5 και 15 ημερών (Συντελεστής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16 και 30 ημερών (Συντελεστής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31 και 45 ημερών (Συντελεστής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46 ημέρες ή περισσότερες (Συντελ</w:t>
            </w:r>
            <w:r>
              <w:rPr>
                <w:rStyle w:val="InstructionsTabelleberschrift"/>
                <w:rFonts w:ascii="Times New Roman" w:hAnsi="Times New Roman"/>
                <w:sz w:val="24"/>
              </w:rPr>
              <w:t>ε</w:t>
            </w:r>
            <w:r>
              <w:rPr>
                <w:rStyle w:val="InstructionsTabelleberschrift"/>
                <w:rFonts w:ascii="Times New Roman" w:hAnsi="Times New Roman"/>
                <w:sz w:val="24"/>
              </w:rPr>
              <w:t>στής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Τα ιδρύματα αναφέρουν πληροφορίες σε σχέση με τον κίνδυνο διακανον</w:t>
            </w:r>
            <w:r>
              <w:rPr>
                <w:rFonts w:ascii="Times New Roman" w:hAnsi="Times New Roman"/>
                <w:sz w:val="24"/>
              </w:rPr>
              <w:t>ι</w:t>
            </w:r>
            <w:r>
              <w:rPr>
                <w:rFonts w:ascii="Times New Roman" w:hAnsi="Times New Roman"/>
                <w:sz w:val="24"/>
              </w:rPr>
              <w:t xml:space="preserve">σμού/παράδοσης για θέσεις εντός του χαρτοφυλακίου συναλλαγών σύμφωνα με τις κατηγορίες του πίνακα 1 του άρθρου 378 του ΚΚΑ στις γραμμές 080 έως 120. </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Δεν απαιτούνται απαιτήσεις ιδίων κεφαλαίων για τον κίνδυνο διακανον</w:t>
            </w:r>
            <w:r>
              <w:rPr>
                <w:rFonts w:ascii="Times New Roman" w:hAnsi="Times New Roman"/>
                <w:sz w:val="24"/>
              </w:rPr>
              <w:t>ι</w:t>
            </w:r>
            <w:r>
              <w:rPr>
                <w:rFonts w:ascii="Times New Roman" w:hAnsi="Times New Roman"/>
                <w:sz w:val="24"/>
              </w:rPr>
              <w:t>σμού/παράδοσης για μη διακανονισθείσες συναλλαγές για διάστημα μικρότερο των 5 εργάσιμων ημερών από την προβλεπόμενη ημερομηνία διακανονισμού.</w:t>
            </w:r>
          </w:p>
        </w:tc>
      </w:tr>
    </w:tbl>
    <w:p w:rsidR="00612780" w:rsidRPr="00392FFD" w:rsidRDefault="00612780" w:rsidP="00612780">
      <w:pPr>
        <w:spacing w:after="0"/>
        <w:rPr>
          <w:rFonts w:ascii="Times New Roman" w:hAnsi="Times New Roman"/>
          <w:sz w:val="24"/>
        </w:rPr>
      </w:pPr>
    </w:p>
    <w:p w:rsidR="00612780" w:rsidRPr="00392FFD" w:rsidRDefault="00612780">
      <w:pPr>
        <w:spacing w:before="0" w:after="0"/>
        <w:jc w:val="left"/>
        <w:rPr>
          <w:rStyle w:val="InstructionsTabelleText"/>
          <w:rFonts w:ascii="Times New Roman" w:hAnsi="Times New Roman"/>
          <w:sz w:val="24"/>
        </w:rPr>
      </w:pPr>
      <w:r>
        <w:br w:type="page"/>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78" w:name="_Toc310415038"/>
      <w:bookmarkStart w:id="379" w:name="_Toc360188375"/>
      <w:bookmarkStart w:id="380" w:name="_Toc516210661"/>
      <w:bookmarkStart w:id="381" w:name="_Toc473560926"/>
      <w:r>
        <w:rPr>
          <w:rFonts w:ascii="Times New Roman" w:hAnsi="Times New Roman"/>
          <w:sz w:val="24"/>
          <w:u w:val="none"/>
        </w:rPr>
        <w:lastRenderedPageBreak/>
        <w:t>3.7.</w:t>
      </w:r>
      <w:r>
        <w:tab/>
      </w:r>
      <w:r>
        <w:rPr>
          <w:rFonts w:ascii="Times New Roman" w:hAnsi="Times New Roman"/>
          <w:sz w:val="24"/>
        </w:rPr>
        <w:t>C 12.00 – Πιστωτικός Κίνδυνος: Τιτλοποίηση – Τυποποιημένη Προσέγγιση για τις Απαιτήσεις Ιδίων Κεφαλαίων</w:t>
      </w:r>
      <w:bookmarkEnd w:id="378"/>
      <w:bookmarkEnd w:id="379"/>
      <w:r>
        <w:rPr>
          <w:rFonts w:ascii="Times New Roman" w:hAnsi="Times New Roman"/>
          <w:sz w:val="24"/>
        </w:rPr>
        <w:t xml:space="preserve"> (CR SEC SA)</w:t>
      </w:r>
      <w:bookmarkEnd w:id="380"/>
      <w:bookmarkEnd w:id="381"/>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82" w:name="_Toc239157385"/>
      <w:bookmarkStart w:id="383" w:name="_Toc310415039"/>
      <w:bookmarkStart w:id="384" w:name="_Toc360188376"/>
      <w:bookmarkStart w:id="385" w:name="_Toc516210662"/>
      <w:bookmarkStart w:id="386" w:name="_Toc473560927"/>
      <w:r>
        <w:rPr>
          <w:rFonts w:ascii="Times New Roman" w:hAnsi="Times New Roman"/>
          <w:sz w:val="24"/>
          <w:u w:val="none"/>
        </w:rPr>
        <w:t>3.7.1.</w:t>
      </w:r>
      <w:r>
        <w:tab/>
      </w:r>
      <w:r>
        <w:rPr>
          <w:rFonts w:ascii="Times New Roman" w:hAnsi="Times New Roman"/>
          <w:sz w:val="24"/>
        </w:rPr>
        <w:t>Γενικές παρατηρήσεις</w:t>
      </w:r>
      <w:bookmarkEnd w:id="382"/>
      <w:bookmarkEnd w:id="383"/>
      <w:bookmarkEnd w:id="384"/>
      <w:bookmarkEnd w:id="385"/>
      <w:bookmarkEnd w:id="386"/>
    </w:p>
    <w:p w:rsidR="00C67004" w:rsidRDefault="00125707" w:rsidP="00C37B29">
      <w:pPr>
        <w:pStyle w:val="InstructionsText2"/>
        <w:numPr>
          <w:ilvl w:val="0"/>
          <w:numId w:val="0"/>
        </w:numPr>
        <w:ind w:left="993"/>
      </w:pPr>
      <w:r>
        <w:t>100.</w:t>
      </w:r>
      <w:r>
        <w:tab/>
        <w:t xml:space="preserve">Οι πληροφορίες στο παρόν υπόδειγμα ζητούνται για όλες τις τιτλοποιήσεις για τις οποίες αναγνωρίζεται μεταβίβαση σημαντικού κινδύνου και στις οποίες το </w:t>
      </w:r>
      <w:r>
        <w:t>ί</w:t>
      </w:r>
      <w:r>
        <w:t xml:space="preserve">δρυμα που υποβάλλει αναφορά συμμετέχει σε τιτλοποίηση που αντιμετωπίζεται βάσει της τυποποιημένης προσέγγισης. Σε ημερομηνίες αναφοράς για υποβολή </w:t>
      </w:r>
      <w:r>
        <w:t>α</w:t>
      </w:r>
      <w:r>
        <w:t>ναφορών που είναι μεταγενέστερες της 1ης Ιανουαρίου 2019, οι τιτλοποιήσεις, των οποίων το σταθμισμένο ως προς τον κίνδυνο ποσό ανοίγματος προσδιορίζεται β</w:t>
      </w:r>
      <w:r>
        <w:t>ά</w:t>
      </w:r>
      <w:r>
        <w:t>σει του αναθεωρημένου πλαισίου τιτλοποίησης, δεν αναφέρονται στο παρόν υπ</w:t>
      </w:r>
      <w:r>
        <w:t>ό</w:t>
      </w:r>
      <w:r>
        <w:t>δειγμα, αλλά μόνο στο υπόδειγμα C 02.00. Ομοίως, σε ημερομηνίες αναφοράς για υποβολή αναφορών που είναι μεταγενέστερες της 1ης Ιανουαρίου 2019, οι θέσεις τιτλοποίησης, στις οποίες εφαρμόζεται συντελεστής στάθμισης κινδύνου 1 250 %, σύμφωνα με το αναθεωρημένο πλαίσιο τιτλοποίησης, και οι οποίες αφαιρούνται από το κεφάλαιο CET1, σύμφωνα με το άρθρο 36 παράγραφος 1 στοιχείο ια) σ</w:t>
      </w:r>
      <w:r>
        <w:t>η</w:t>
      </w:r>
      <w:r>
        <w:t>μείο ii) του ΚΚΑ, δεν αναφέρονται στο παρόν υπόδειγμα, αλλά μόνο στο υπόδει</w:t>
      </w:r>
      <w:r>
        <w:t>γ</w:t>
      </w:r>
      <w:r>
        <w:t>μα C 01.00.</w:t>
      </w:r>
    </w:p>
    <w:p w:rsidR="00C67004" w:rsidRDefault="00C67004" w:rsidP="00C37B29">
      <w:pPr>
        <w:pStyle w:val="InstructionsText2"/>
        <w:numPr>
          <w:ilvl w:val="0"/>
          <w:numId w:val="0"/>
        </w:numPr>
        <w:ind w:left="993"/>
      </w:pPr>
      <w:r>
        <w:t>100α. Για τους σκοπούς του παρόντος υποδείγματος, όλες οι παραπομπές στα ά</w:t>
      </w:r>
      <w:r>
        <w:t>ρ</w:t>
      </w:r>
      <w:r>
        <w:t xml:space="preserve">θρα του τρίτου μέρους τίτλος II κεφάλαιο 5 του ΚΚΑ νοούνται ως παραπομπές στον ΚΚΑ, στην έκδοση σε ισχύ την 31η Δεκεμβρίου 2018. </w:t>
      </w:r>
    </w:p>
    <w:p w:rsidR="00612780" w:rsidRPr="00392FFD" w:rsidRDefault="00C67004" w:rsidP="00C37B29">
      <w:pPr>
        <w:pStyle w:val="InstructionsText2"/>
        <w:numPr>
          <w:ilvl w:val="0"/>
          <w:numId w:val="0"/>
        </w:numPr>
        <w:ind w:left="993"/>
      </w:pPr>
      <w:r>
        <w:t>100β. Οι πληροφορίες προς αναφορά εξαρτώνται από τον ρόλο του ιδρύματος στο πλαίσιο της τιτλοποίησης. Επομένως, υπάρχουν συγκεκριμένα στοιχεία αναφοράς για μεταβιβάζουσες οντότητες, αναδόχους και επενδυτές.</w:t>
      </w:r>
    </w:p>
    <w:p w:rsidR="00612780" w:rsidRPr="00392FFD" w:rsidRDefault="00125707" w:rsidP="00C37B29">
      <w:pPr>
        <w:pStyle w:val="InstructionsText2"/>
        <w:numPr>
          <w:ilvl w:val="0"/>
          <w:numId w:val="0"/>
        </w:numPr>
        <w:ind w:left="993"/>
      </w:pPr>
      <w:r>
        <w:t>101.</w:t>
      </w:r>
      <w:r>
        <w:tab/>
        <w:t>Στο υπόδειγμα CR SEC SA συγκεντρώνονται κοινές πληροφορίες για παραδ</w:t>
      </w:r>
      <w:r>
        <w:t>ο</w:t>
      </w:r>
      <w:r>
        <w:t>σιακές και σύνθετες τιτλοποιήσεις στο τραπεζικό χαρτοφυλάκιο, όπως ορίζονται στο άρθρο 242 σημεία 10) και 11) του ΚΚΑ, αντιστοίχως.</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6"/>
      <w:bookmarkStart w:id="388" w:name="_Toc310415040"/>
      <w:bookmarkStart w:id="389" w:name="_Toc360188377"/>
      <w:bookmarkStart w:id="390" w:name="_Toc516210663"/>
      <w:bookmarkStart w:id="391" w:name="_Toc473560928"/>
      <w:r>
        <w:rPr>
          <w:rFonts w:ascii="Times New Roman" w:hAnsi="Times New Roman"/>
          <w:sz w:val="24"/>
          <w:u w:val="none"/>
        </w:rPr>
        <w:t>3.7.2.</w:t>
      </w:r>
      <w:r>
        <w:tab/>
      </w:r>
      <w:r>
        <w:rPr>
          <w:rFonts w:ascii="Times New Roman" w:hAnsi="Times New Roman"/>
          <w:sz w:val="24"/>
        </w:rPr>
        <w:t>Οδηγίες για συγκεκριμένες θέσεις</w:t>
      </w:r>
      <w:bookmarkEnd w:id="387"/>
      <w:bookmarkEnd w:id="388"/>
      <w:bookmarkEnd w:id="389"/>
      <w:bookmarkEnd w:id="390"/>
      <w:bookmarkEnd w:id="391"/>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Tr="00672D2A">
        <w:tc>
          <w:tcPr>
            <w:tcW w:w="8957"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Στήλες</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856" w:type="dxa"/>
          </w:tcPr>
          <w:p w:rsidR="00612780" w:rsidRPr="00392FFD" w:rsidRDefault="00612780" w:rsidP="00612780">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ΑΝΟΙΓΜΑΤΩΝ ΤΙΤΛΟΠΟΙΗΣΗΣ ΠΟΥ ΠΡΟΕ</w:t>
            </w:r>
            <w:r>
              <w:rPr>
                <w:rFonts w:ascii="Times New Roman" w:hAnsi="Times New Roman"/>
                <w:b/>
                <w:sz w:val="24"/>
                <w:u w:val="single"/>
              </w:rPr>
              <w:t>Ρ</w:t>
            </w:r>
            <w:r>
              <w:rPr>
                <w:rFonts w:ascii="Times New Roman" w:hAnsi="Times New Roman"/>
                <w:b/>
                <w:sz w:val="24"/>
                <w:u w:val="single"/>
              </w:rPr>
              <w:t>ΧΟΝΤΑΙ ΑΠΟ ΣΥΝΑΛΛΑΓΗ ΤΙΤΛΟΠΟΙΗΣΗΣ</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Τα μεταβιβάζοντα ιδρύματα πρέπει να αναφέρουν το ανεξόφλητο ποσό, κατά την ημερομηνία υποβολής της αναφοράς, του συνόλου των τρεχόντων ανοι</w:t>
            </w:r>
            <w:r>
              <w:rPr>
                <w:rFonts w:ascii="Times New Roman" w:hAnsi="Times New Roman"/>
                <w:sz w:val="24"/>
              </w:rPr>
              <w:t>γ</w:t>
            </w:r>
            <w:r>
              <w:rPr>
                <w:rFonts w:ascii="Times New Roman" w:hAnsi="Times New Roman"/>
                <w:sz w:val="24"/>
              </w:rPr>
              <w:t>μάτων τιτλοποίησης που προέρχονται από τη συναλλαγή τιτλοποίησης, αν</w:t>
            </w:r>
            <w:r>
              <w:rPr>
                <w:rFonts w:ascii="Times New Roman" w:hAnsi="Times New Roman"/>
                <w:sz w:val="24"/>
              </w:rPr>
              <w:t>ε</w:t>
            </w:r>
            <w:r>
              <w:rPr>
                <w:rFonts w:ascii="Times New Roman" w:hAnsi="Times New Roman"/>
                <w:sz w:val="24"/>
              </w:rPr>
              <w:t xml:space="preserve">ξαρτήτως του προσώπου που κατέχει τις θέσεις. Επομένως, αναφέρονται τα εντός ισολογισμού ανοίγματα τιτλοποίησης (π.χ. ομόλογα, δάνεια μειωμένης εξασφάλισης), καθώς και τα εκτός ισολογισμού ανοίγματα και παράγωγα (π.χ. πιστωτικά όρια μειωμένης εξασφάλισης, ταμειακές διευκολύνσεις, συμφωνίες ανταλλαγής επιτοκίων, συμφωνίες ανταλλαγής κινδύνου αθέτησης κ.λπ.) που προέρχονται από την τιτλοποίηση.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Στην περίπτωση παραδοσιακών τιτλοποιήσεων στις οποίες η μεταβιβάζουσα </w:t>
            </w:r>
            <w:r>
              <w:rPr>
                <w:rFonts w:ascii="Times New Roman" w:hAnsi="Times New Roman"/>
                <w:sz w:val="24"/>
              </w:rPr>
              <w:lastRenderedPageBreak/>
              <w:t>οντότητα δεν κατέχει καμία θέση, η μεταβιβάζουσα οντότητα δεν λαμβάνει υπόψη τη συγκεκριμένη τιτλοποίηση στην αναφορά στοιχείων στα υποδείγμ</w:t>
            </w:r>
            <w:r>
              <w:rPr>
                <w:rFonts w:ascii="Times New Roman" w:hAnsi="Times New Roman"/>
                <w:sz w:val="24"/>
              </w:rPr>
              <w:t>α</w:t>
            </w:r>
            <w:r>
              <w:rPr>
                <w:rFonts w:ascii="Times New Roman" w:hAnsi="Times New Roman"/>
                <w:sz w:val="24"/>
              </w:rPr>
              <w:t>τα CR SEC SA ή CR SEC IRB. Για τον σκοπό αυτό, οι θέσεις τιτλοποίησης τις οποίες κατέχει η μεταβιβάζουσα οντότητα περιλαμβάνουν ρήτρα πρόωρης εξόφλησης σε τιτλοποιήσεις ανακυκλούμενων ανοιγμάτων, όπως ορίζεται στο άρθρο 242 σημείο 12) του ΚΚΑ.</w:t>
            </w:r>
          </w:p>
          <w:p w:rsidR="00612780" w:rsidRPr="00392FFD" w:rsidRDefault="00612780" w:rsidP="009E5DCC">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ΣΥΝΘΕΤΕΣ ΤΙΤΛΟΠΟΙΗΣΕΙΣ: ΠΙΣΤΩΤΙΚΗ ΠΡΟΣΤΑΣΙΑ ΓΙΑ ΤΑ ΤΙΤΛΟΠΟΙΗΜΕΝΑ ΑΝΟΙΓΜΑΤΑ</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Σύμφωνα με τις διατάξεις των άρθρων 249 και 250 του ΚΚΑ, η πιστωτική προστασία για τα τιτλοποιημένα ανοίγματα παρέχεται ως εάν να μην υπήρχαν αναντιστοιχίες ληκτότητας.</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56"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ΧΡΗΜΑΤΟΔΟΤΟΥΜΕΝΗ ΠΙΣΤΩΤΙΚΗ ΠΡΟΣΤΑΣΙΑ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Η αναλυτική διαδικασία υπολογισμού της προσαρμοσμένης για μεταβλητότ</w:t>
            </w:r>
            <w:r>
              <w:rPr>
                <w:rFonts w:ascii="Times New Roman" w:hAnsi="Times New Roman"/>
                <w:sz w:val="24"/>
              </w:rPr>
              <w:t>η</w:t>
            </w:r>
            <w:r>
              <w:rPr>
                <w:rFonts w:ascii="Times New Roman" w:hAnsi="Times New Roman"/>
                <w:sz w:val="24"/>
              </w:rPr>
              <w:t>τα αξίας της εξασφάλισης (C</w:t>
            </w:r>
            <w:r>
              <w:rPr>
                <w:rFonts w:ascii="Times New Roman" w:hAnsi="Times New Roman"/>
                <w:sz w:val="24"/>
                <w:vertAlign w:val="subscript"/>
              </w:rPr>
              <w:t>VA</w:t>
            </w:r>
            <w:r>
              <w:rPr>
                <w:rFonts w:ascii="Times New Roman" w:hAnsi="Times New Roman"/>
                <w:sz w:val="24"/>
              </w:rPr>
              <w:t>), που αναμένεται να αναφερθεί στη συγκεκρ</w:t>
            </w:r>
            <w:r>
              <w:rPr>
                <w:rFonts w:ascii="Times New Roman" w:hAnsi="Times New Roman"/>
                <w:sz w:val="24"/>
              </w:rPr>
              <w:t>ι</w:t>
            </w:r>
            <w:r>
              <w:rPr>
                <w:rFonts w:ascii="Times New Roman" w:hAnsi="Times New Roman"/>
                <w:sz w:val="24"/>
              </w:rPr>
              <w:t>μένη στήλη, προσδιορίζεται στο άρθρο 223 παράγραφος 2 του ΚΚΑ.</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ΣΥΝΟΛΙΚΕΣ ΕΚΡΟΕΣ: (-) ΠΡΟΣΑΡΜΟΣΜΕΝΕΣ ΑΞΙΕΣ ΜΗ ΧΡΗΜΑΤΟΔΟΤΟΥΜΕΝΗΣ ΠΡΟΣΤΑΣΙΑΣ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Σύμφωνα με τον γενικό κανόνα περί «εισροών» και «εκροών», τα αναφερόμ</w:t>
            </w:r>
            <w:r>
              <w:rPr>
                <w:rFonts w:ascii="Times New Roman" w:hAnsi="Times New Roman"/>
                <w:sz w:val="24"/>
              </w:rPr>
              <w:t>ε</w:t>
            </w:r>
            <w:r>
              <w:rPr>
                <w:rFonts w:ascii="Times New Roman" w:hAnsi="Times New Roman"/>
                <w:sz w:val="24"/>
              </w:rPr>
              <w:t xml:space="preserve">να στη συγκεκριμένη στήλη ποσά εμφανίζονται ως «εισροές» στο αντίστοιχο υπόδειγμα πιστωτικού κινδύνου (CR SA ή CR IRB) και στην κατηγορία </w:t>
            </w:r>
            <w:r>
              <w:rPr>
                <w:rFonts w:ascii="Times New Roman" w:hAnsi="Times New Roman"/>
                <w:sz w:val="24"/>
              </w:rPr>
              <w:t>α</w:t>
            </w:r>
            <w:r>
              <w:rPr>
                <w:rFonts w:ascii="Times New Roman" w:hAnsi="Times New Roman"/>
                <w:sz w:val="24"/>
              </w:rPr>
              <w:t>νοιγμάτων που σχετίζεται με τον πάροχο πιστωτικής προστασίας (δηλαδή, το τρίτο μέρος στο οποίο μεταφέρεται το τμήμα μέσω μη χρηματοδοτούμενης π</w:t>
            </w:r>
            <w:r>
              <w:rPr>
                <w:rFonts w:ascii="Times New Roman" w:hAnsi="Times New Roman"/>
                <w:sz w:val="24"/>
              </w:rPr>
              <w:t>ι</w:t>
            </w:r>
            <w:r>
              <w:rPr>
                <w:rFonts w:ascii="Times New Roman" w:hAnsi="Times New Roman"/>
                <w:sz w:val="24"/>
              </w:rPr>
              <w:t>στωτικής προστασίας).</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Η διαδικασία υπολογισμού του «κινδύνου συναλλάγματος» – του προσαρμ</w:t>
            </w:r>
            <w:r>
              <w:rPr>
                <w:rFonts w:ascii="Times New Roman" w:hAnsi="Times New Roman"/>
                <w:sz w:val="24"/>
              </w:rPr>
              <w:t>ο</w:t>
            </w:r>
            <w:r>
              <w:rPr>
                <w:rFonts w:ascii="Times New Roman" w:hAnsi="Times New Roman"/>
                <w:sz w:val="24"/>
              </w:rPr>
              <w:t>σμένου ονομαστικού ποσού πιστωτικής προστασίας (G*) προσδιορίζεται στο άρθρο 233 παράγραφος 3 του ΚΚΑ.</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ΟΝΟΜΑΣΤΙΚΟ ΠΟΣΟ ΠΙΣΤΩΤΙΚΗΣ ΠΡΟΣΤΑΣΙΑΣ ΠΟΥ ΔΙΑΚΡ</w:t>
            </w:r>
            <w:r>
              <w:rPr>
                <w:rFonts w:ascii="Times New Roman" w:hAnsi="Times New Roman"/>
                <w:b/>
                <w:sz w:val="24"/>
                <w:u w:val="single"/>
              </w:rPr>
              <w:t>Α</w:t>
            </w:r>
            <w:r>
              <w:rPr>
                <w:rFonts w:ascii="Times New Roman" w:hAnsi="Times New Roman"/>
                <w:b/>
                <w:sz w:val="24"/>
                <w:u w:val="single"/>
              </w:rPr>
              <w:t>ΤΗΘΗΚΕ Ή ΕΠΑΝΑΓΟΡΑΣΤΗΚΕ</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Όλα τα τμήματα που έχουν </w:t>
            </w:r>
            <w:proofErr w:type="spellStart"/>
            <w:r>
              <w:rPr>
                <w:rFonts w:ascii="Times New Roman" w:hAnsi="Times New Roman"/>
                <w:sz w:val="24"/>
              </w:rPr>
              <w:t>διακρατηθεί</w:t>
            </w:r>
            <w:proofErr w:type="spellEnd"/>
            <w:r>
              <w:rPr>
                <w:rFonts w:ascii="Times New Roman" w:hAnsi="Times New Roman"/>
                <w:sz w:val="24"/>
              </w:rPr>
              <w:t xml:space="preserve"> ή </w:t>
            </w:r>
            <w:proofErr w:type="spellStart"/>
            <w:r>
              <w:rPr>
                <w:rFonts w:ascii="Times New Roman" w:hAnsi="Times New Roman"/>
                <w:sz w:val="24"/>
              </w:rPr>
              <w:t>επαναγοραστεί</w:t>
            </w:r>
            <w:proofErr w:type="spellEnd"/>
            <w:r>
              <w:rPr>
                <w:rFonts w:ascii="Times New Roman" w:hAnsi="Times New Roman"/>
                <w:sz w:val="24"/>
              </w:rPr>
              <w:t xml:space="preserve">, π.χ. </w:t>
            </w:r>
            <w:proofErr w:type="spellStart"/>
            <w:r>
              <w:rPr>
                <w:rFonts w:ascii="Times New Roman" w:hAnsi="Times New Roman"/>
                <w:sz w:val="24"/>
              </w:rPr>
              <w:t>διακρατηθείσες</w:t>
            </w:r>
            <w:proofErr w:type="spellEnd"/>
            <w:r>
              <w:rPr>
                <w:rFonts w:ascii="Times New Roman" w:hAnsi="Times New Roman"/>
                <w:sz w:val="24"/>
              </w:rPr>
              <w:t xml:space="preserve"> θέσεις πρωτεύουσας ζημίας, αναφέρονται στο ονομαστικό ποσό τους.</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Το αποτέλεσμα εποπτικών περικοπών στην πιστωτική προστασία δεν λαμβ</w:t>
            </w:r>
            <w:r>
              <w:rPr>
                <w:rFonts w:ascii="Times New Roman" w:hAnsi="Times New Roman"/>
                <w:sz w:val="24"/>
              </w:rPr>
              <w:t>ά</w:t>
            </w:r>
            <w:r>
              <w:rPr>
                <w:rFonts w:ascii="Times New Roman" w:hAnsi="Times New Roman"/>
                <w:sz w:val="24"/>
              </w:rPr>
              <w:t xml:space="preserve">νεται υπόψη κατά τον υπολογισμό του </w:t>
            </w:r>
            <w:proofErr w:type="spellStart"/>
            <w:r>
              <w:rPr>
                <w:rFonts w:ascii="Times New Roman" w:hAnsi="Times New Roman"/>
                <w:sz w:val="24"/>
              </w:rPr>
              <w:t>διακρατηθέντος</w:t>
            </w:r>
            <w:proofErr w:type="spellEnd"/>
            <w:r>
              <w:rPr>
                <w:rFonts w:ascii="Times New Roman" w:hAnsi="Times New Roman"/>
                <w:sz w:val="24"/>
              </w:rPr>
              <w:t xml:space="preserve"> ή </w:t>
            </w:r>
            <w:proofErr w:type="spellStart"/>
            <w:r>
              <w:rPr>
                <w:rFonts w:ascii="Times New Roman" w:hAnsi="Times New Roman"/>
                <w:sz w:val="24"/>
              </w:rPr>
              <w:t>επαναγορασθέντος</w:t>
            </w:r>
            <w:proofErr w:type="spellEnd"/>
            <w:r>
              <w:rPr>
                <w:rFonts w:ascii="Times New Roman" w:hAnsi="Times New Roman"/>
                <w:sz w:val="24"/>
              </w:rPr>
              <w:t xml:space="preserve"> ποσού πιστωτικής προστασίας.</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856" w:type="dxa"/>
          </w:tcPr>
          <w:p w:rsidR="00612780" w:rsidRPr="00672D2A" w:rsidRDefault="00612780" w:rsidP="00612780">
            <w:pPr>
              <w:spacing w:before="0" w:after="0"/>
              <w:jc w:val="left"/>
              <w:rPr>
                <w:rFonts w:ascii="Times New Roman" w:hAnsi="Times New Roman"/>
                <w:b/>
                <w:sz w:val="24"/>
                <w:u w:val="single"/>
              </w:rPr>
            </w:pPr>
            <w:r>
              <w:rPr>
                <w:rFonts w:ascii="Times New Roman" w:hAnsi="Times New Roman"/>
                <w:b/>
                <w:sz w:val="24"/>
                <w:u w:val="single"/>
              </w:rPr>
              <w:t>ΘΕΣΕΙΣ ΤΙΤΛΟΠΟΙΗΣΗΣ: ΑΡΧΙΚΟ ΑΝΟΙΓΜΑ ΠΡΙΝ ΑΠΟ ΤΟΥΣ ΣΥΝΤΕΛΕΣΤΕΣ ΜΕΤΑΤΡΟΠΗΣ</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Θέσεις τιτλοποίησης που κατέχει το αναφέρον ίδρυμα, υπολογιζόμενες σύ</w:t>
            </w:r>
            <w:r>
              <w:rPr>
                <w:rFonts w:ascii="Times New Roman" w:hAnsi="Times New Roman"/>
                <w:sz w:val="24"/>
              </w:rPr>
              <w:t>μ</w:t>
            </w:r>
            <w:r>
              <w:rPr>
                <w:rFonts w:ascii="Times New Roman" w:hAnsi="Times New Roman"/>
                <w:sz w:val="24"/>
              </w:rPr>
              <w:t xml:space="preserve">φωνα με το άρθρο 246 παράγραφος 1 στοιχεία α), γ) και ε) και παράγραφος 2 </w:t>
            </w:r>
            <w:r>
              <w:rPr>
                <w:rFonts w:ascii="Times New Roman" w:hAnsi="Times New Roman"/>
                <w:sz w:val="24"/>
              </w:rPr>
              <w:lastRenderedPageBreak/>
              <w:t>του ΚΚΑ, χωρίς εφαρμογή των συντελεστών μετατροπής πίστωσης, προσα</w:t>
            </w:r>
            <w:r>
              <w:rPr>
                <w:rFonts w:ascii="Times New Roman" w:hAnsi="Times New Roman"/>
                <w:sz w:val="24"/>
              </w:rPr>
              <w:t>ρ</w:t>
            </w:r>
            <w:r>
              <w:rPr>
                <w:rFonts w:ascii="Times New Roman" w:hAnsi="Times New Roman"/>
                <w:sz w:val="24"/>
              </w:rPr>
              <w:t>μογών πιστωτικού κινδύνου και προβλέψεων. Ο συμψηφισμός αφορά μόνο συμβάσεις πολλαπλών παραγώγων παρεχόμενες στην ίδια ΟΕΣΤ, οι οποίες καλύπτονται από επιλέξιμη συμψηφιστική συμφωνία.</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Οι προς αναφορά στη συγκεκριμένη στήλη προσαρμογές αξίας και προβλέψεις αφορούν μόνο θέσεις τιτλοποίησης. Οι προσαρμογές αξίας τιτλοποιημένων θέσεων δεν λαμβάνονται υπόψη.</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Στην περίπτωση ρητρών πρόωρης εξόφλησης, τα ιδρύματα πρέπει να προσδι</w:t>
            </w:r>
            <w:r>
              <w:rPr>
                <w:rFonts w:ascii="Times New Roman" w:hAnsi="Times New Roman"/>
                <w:sz w:val="24"/>
              </w:rPr>
              <w:t>ο</w:t>
            </w:r>
            <w:r>
              <w:rPr>
                <w:rFonts w:ascii="Times New Roman" w:hAnsi="Times New Roman"/>
                <w:sz w:val="24"/>
              </w:rPr>
              <w:t xml:space="preserve">ρίζουν το ποσό «των συμφερόντων της μεταβιβάζουσας οντότητας», όπως </w:t>
            </w:r>
            <w:r>
              <w:rPr>
                <w:rFonts w:ascii="Times New Roman" w:hAnsi="Times New Roman"/>
                <w:sz w:val="24"/>
              </w:rPr>
              <w:t>ο</w:t>
            </w:r>
            <w:r>
              <w:rPr>
                <w:rFonts w:ascii="Times New Roman" w:hAnsi="Times New Roman"/>
                <w:sz w:val="24"/>
              </w:rPr>
              <w:t xml:space="preserve">ρίζονται στο άρθρο 256 παράγραφος 2 του ΚΚΑ.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Στις σύνθετες τιτλοποιήσεις, οι θέσεις που κατέχει η μεταβιβάζουσα οντότητα υπό μορφή εντός ισολογισμού στοιχείων και/ή δικαιωμάτων του επενδυτή (πρόωρη εξόφληση) είναι το αποτέλεσμα του αθροίσματος των στηλών 010 έως 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ΠΡΟΣΑΡΜΟΓΕΣ ΑΞΙΑΣ ΚΑΙ ΠΡΟΒΛΕΨΕΙΣ </w:t>
            </w:r>
          </w:p>
          <w:p w:rsidR="00612780" w:rsidRPr="00392FFD" w:rsidRDefault="00612780" w:rsidP="00612780">
            <w:pPr>
              <w:pStyle w:val="ListParagraph"/>
              <w:spacing w:before="0" w:after="0"/>
              <w:ind w:left="284" w:hanging="284"/>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Προσαρμογές αξίας και προβλέψεις (άρθρο 159 του ΚΚΑ) για πιστωτικές ζ</w:t>
            </w:r>
            <w:r>
              <w:rPr>
                <w:rFonts w:ascii="Times New Roman" w:hAnsi="Times New Roman"/>
                <w:sz w:val="24"/>
              </w:rPr>
              <w:t>η</w:t>
            </w:r>
            <w:r>
              <w:rPr>
                <w:rFonts w:ascii="Times New Roman" w:hAnsi="Times New Roman"/>
                <w:sz w:val="24"/>
              </w:rPr>
              <w:t>μίες που πραγματοποιούνται σύμφωνα με το λογιστικό πλαίσιο στο οποίο υπ</w:t>
            </w:r>
            <w:r>
              <w:rPr>
                <w:rFonts w:ascii="Times New Roman" w:hAnsi="Times New Roman"/>
                <w:sz w:val="24"/>
              </w:rPr>
              <w:t>ό</w:t>
            </w:r>
            <w:r>
              <w:rPr>
                <w:rFonts w:ascii="Times New Roman" w:hAnsi="Times New Roman"/>
                <w:sz w:val="24"/>
              </w:rPr>
              <w:t>κειται η αναφέρουσα οντότητα. Οι προσαρμογές αξίας περιλαμβάνουν οποι</w:t>
            </w:r>
            <w:r>
              <w:rPr>
                <w:rFonts w:ascii="Times New Roman" w:hAnsi="Times New Roman"/>
                <w:sz w:val="24"/>
              </w:rPr>
              <w:t>ο</w:t>
            </w:r>
            <w:r>
              <w:rPr>
                <w:rFonts w:ascii="Times New Roman" w:hAnsi="Times New Roman"/>
                <w:sz w:val="24"/>
              </w:rPr>
              <w:t>δήποτε ποσό που αναγνωρίζεται στα αποτελέσματα για πιστωτικές ζημίες χρηματοοικονομικών στοιχείων ενεργητικού από την αρχική τους αναγνώριση στον ισολογισμό (συμπεριλαμβανομένων ζημιών που οφείλονται σε πιστωτικό κίνδυνο χρηματοοικονομικών στοιχείων ενεργητικού που αποτιμώνται στην εύλογη αξία που δεν αφαιρούνται από την αξία ανοίγματος) συν τις μειώσεις των ανοιγμάτων που αγοράστηκαν ενώ είναι σε αθέτηση, σύμφωνα με το ά</w:t>
            </w:r>
            <w:r>
              <w:rPr>
                <w:rFonts w:ascii="Times New Roman" w:hAnsi="Times New Roman"/>
                <w:sz w:val="24"/>
              </w:rPr>
              <w:t>ρ</w:t>
            </w:r>
            <w:r>
              <w:rPr>
                <w:rFonts w:ascii="Times New Roman" w:hAnsi="Times New Roman"/>
                <w:sz w:val="24"/>
              </w:rPr>
              <w:t>θρο 166 παράγραφος 1 του ΚΚΑ. Οι προβλέψεις περιλαμβάνουν συσσωρε</w:t>
            </w:r>
            <w:r>
              <w:rPr>
                <w:rFonts w:ascii="Times New Roman" w:hAnsi="Times New Roman"/>
                <w:sz w:val="24"/>
              </w:rPr>
              <w:t>υ</w:t>
            </w:r>
            <w:r>
              <w:rPr>
                <w:rFonts w:ascii="Times New Roman" w:hAnsi="Times New Roman"/>
                <w:sz w:val="24"/>
              </w:rPr>
              <w:t>μένα ποσά πιστωτικών ζημιών σε εκτός ισολογισμού στοιχεία.</w:t>
            </w:r>
          </w:p>
          <w:p w:rsidR="00612780" w:rsidRPr="00392FFD" w:rsidRDefault="00612780" w:rsidP="00612780">
            <w:pPr>
              <w:pStyle w:val="ListParagraph"/>
              <w:spacing w:before="0" w:after="0"/>
              <w:ind w:left="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ΑΝΟΙΓΜΑ ΧΩΡΙΣ ΠΡΟΣΑΡΜΟΓΕΣ ΑΞΙΑΣ ΚΑΙ ΠΡΟΒΛΕΨΕΙΣ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Θέσεις τιτλοποίησης σύμφωνα με το άρθρο 246 παράγραφοι 1 και 2 του ΚΚΑ, χωρίς εφαρμογή των συντελεστών μετατροπής.</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Αυτές οι πληροφορίες σχετίζονται με τη στήλη 040 του υποδείγματος CR SA </w:t>
            </w:r>
            <w:proofErr w:type="spellStart"/>
            <w:r>
              <w:rPr>
                <w:rFonts w:ascii="Times New Roman" w:hAnsi="Times New Roman"/>
                <w:sz w:val="24"/>
              </w:rPr>
              <w:t>Total</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080-110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ΤΕΧΝΙΚΕΣ ΜΕΙΩΣΗΣ ΤΟΥ ΠΙΣΤΩΤΙΚΟΥ ΚΙΝΔΥΝΟΥ (CRM) ΜΕ ΑΠΟΤΕΛΕΣΜΑΤΑ ΥΠΟΚΑΤΑΣΤΑΣΗΣ ΣΤΟ ΑΝΟΙΓΜΑ</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Άρθρο 4 σημείο 57) και τρίτο μέρος τίτλος II κεφάλαιο 4 του ΚΚΑ.</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Στη συγκεκριμένη ομάδα στηλών συγκεντρώνονται πληροφορίες για τεχνικές μείωσης του πιστωτικού κινδύνου, οι οποίες μειώνουν τον πιστωτικό κίνδυνο ενός ανοίγματος ή ανοιγμάτων μέσω της υποκατάστασης των ανοιγμάτων (</w:t>
            </w:r>
            <w:r>
              <w:rPr>
                <w:rFonts w:ascii="Times New Roman" w:hAnsi="Times New Roman"/>
                <w:sz w:val="24"/>
              </w:rPr>
              <w:t>ό</w:t>
            </w:r>
            <w:r>
              <w:rPr>
                <w:rFonts w:ascii="Times New Roman" w:hAnsi="Times New Roman"/>
                <w:sz w:val="24"/>
              </w:rPr>
              <w:t>πως ορίζεται κατωτέρω για τις εισροές και τις εκροές).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bookmarkStart w:id="392" w:name="_Toc262228334"/>
            <w:r>
              <w:rPr>
                <w:rFonts w:ascii="Times New Roman" w:hAnsi="Times New Roman"/>
                <w:sz w:val="24"/>
              </w:rPr>
              <w:lastRenderedPageBreak/>
              <w:t>Βλέπε οδηγίες για το υπόδειγμα CR SA (Αναφορά τεχνικών μείωσης του π</w:t>
            </w:r>
            <w:r>
              <w:rPr>
                <w:rFonts w:ascii="Times New Roman" w:hAnsi="Times New Roman"/>
                <w:sz w:val="24"/>
              </w:rPr>
              <w:t>ι</w:t>
            </w:r>
            <w:r>
              <w:rPr>
                <w:rFonts w:ascii="Times New Roman" w:hAnsi="Times New Roman"/>
                <w:sz w:val="24"/>
              </w:rPr>
              <w:t>στωτικού κινδύνου (CRM) με αποτέλεσμα υποκατάστασης</w:t>
            </w:r>
            <w:bookmarkEnd w:id="392"/>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080</w:t>
            </w:r>
          </w:p>
        </w:tc>
        <w:tc>
          <w:tcPr>
            <w:tcW w:w="7856" w:type="dxa"/>
          </w:tcPr>
          <w:p w:rsidR="00612780" w:rsidRPr="00392FFD" w:rsidRDefault="003300FF" w:rsidP="00612780">
            <w:pPr>
              <w:spacing w:before="0" w:after="0"/>
              <w:jc w:val="left"/>
              <w:rPr>
                <w:rFonts w:ascii="Times New Roman" w:hAnsi="Times New Roman"/>
                <w:b/>
                <w:sz w:val="24"/>
                <w:u w:val="single"/>
              </w:rPr>
            </w:pPr>
            <w:r>
              <w:rPr>
                <w:rFonts w:ascii="Times New Roman" w:hAnsi="Times New Roman"/>
                <w:b/>
                <w:sz w:val="24"/>
                <w:u w:val="single"/>
              </w:rPr>
              <w:t>(-) ΜΗ ΧΡΗΜΑΤΟΔΟΤΟΥΜΕΝΗ ΠΙΣΤΩΤΙΚΗ ΠΡΟΣΤΑΣΙΑ: ΠΡ</w:t>
            </w:r>
            <w:r>
              <w:rPr>
                <w:rFonts w:ascii="Times New Roman" w:hAnsi="Times New Roman"/>
                <w:b/>
                <w:sz w:val="24"/>
                <w:u w:val="single"/>
              </w:rPr>
              <w:t>Ο</w:t>
            </w:r>
            <w:r>
              <w:rPr>
                <w:rFonts w:ascii="Times New Roman" w:hAnsi="Times New Roman"/>
                <w:b/>
                <w:sz w:val="24"/>
                <w:u w:val="single"/>
              </w:rPr>
              <w:t>ΣΑΡΜΟΣΜΕΝΕΣ ΑΞΙΕΣ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Η μη χρηματοδοτούμενη πιστωτική προστασία ορίζεται στο άρθρο 4 σημείο 59) και ρυθμίζεται από το άρθρο 235 του ΚΚΑ.</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Βλέπε οδηγίες για το υπόδειγμα CR SA (Αναφορά τεχνικών μείωσης του π</w:t>
            </w:r>
            <w:r>
              <w:rPr>
                <w:rFonts w:ascii="Times New Roman" w:hAnsi="Times New Roman"/>
                <w:sz w:val="24"/>
              </w:rPr>
              <w:t>ι</w:t>
            </w:r>
            <w:r>
              <w:rPr>
                <w:rFonts w:ascii="Times New Roman" w:hAnsi="Times New Roman"/>
                <w:sz w:val="24"/>
              </w:rPr>
              <w:t>στωτικού κινδύνου (CRM) με αποτέλεσμα υποκατάστασης).</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56" w:type="dxa"/>
          </w:tcPr>
          <w:p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ΧΡΗΜΑΤΟΔΟΤΟΥΜΕΝΗ ΠΙΣΤΩΤΙΚΗ ΠΡΟΣΤΑΣΙΑ</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Η χρηματοδοτούμενη πιστωτική προστασία ορίζεται στο άρθρο 4 σημείο 58) και ρυθμίζεται από τα άρθρα 195, 197 και 200 του ΚΚΑ.</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Τα ομόλογα που συνδέονται με τον πιστωτικό κίνδυνο υποκείμενου μέσου και οι θέσεις συμψηφισμού εντός ισολογισμού, σύμφωνα με τα άρθρα 218-236 του ΚΚΑ, αντιμετωπίζονται ως εξασφαλίσεις με χρηματικά διαθέσιμα.</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Βλέπε οδηγίες για το υπόδειγμα CR SA (Αναφορά τεχνικών μείωσης του π</w:t>
            </w:r>
            <w:r>
              <w:rPr>
                <w:rFonts w:ascii="Times New Roman" w:hAnsi="Times New Roman"/>
                <w:sz w:val="24"/>
              </w:rPr>
              <w:t>ι</w:t>
            </w:r>
            <w:r>
              <w:rPr>
                <w:rFonts w:ascii="Times New Roman" w:hAnsi="Times New Roman"/>
                <w:sz w:val="24"/>
              </w:rPr>
              <w:t>στωτικού κινδύνου (CRM) με αποτέλεσμα υποκατάστασης).</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b/>
                <w:sz w:val="24"/>
                <w:u w:val="single"/>
              </w:rPr>
              <w:t xml:space="preserve">ΥΠΟΚΑΤΑΣΤΑΣΗ ΤΟΥ ΑΝΟΙΓΜΑΤΟΣ ΛΟΓΩ ΤΗΣ ΜΕΙΩΣΗΣ ΤΟΥ ΠΙΣΤΩΤΙΚΟΥ ΚΙΝΔΥΝΟΥ: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Αναφέρονται επίσης οι εισροές και εκροές εντός των ίδιων κατηγοριών ανοι</w:t>
            </w:r>
            <w:r>
              <w:rPr>
                <w:rFonts w:ascii="Times New Roman" w:hAnsi="Times New Roman"/>
                <w:sz w:val="24"/>
              </w:rPr>
              <w:t>γ</w:t>
            </w:r>
            <w:r>
              <w:rPr>
                <w:rFonts w:ascii="Times New Roman" w:hAnsi="Times New Roman"/>
                <w:sz w:val="24"/>
              </w:rPr>
              <w:t>μάτων και, κατά περίπτωση, συντελεστών στάθμισης ή βαθμίδων οφειλέτη.</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ΣΥΝΟΛΙΚΕΣ ΕΚΡΟΕΣ</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Άρθρο 222 παράγραφος 3 και άρθρο 235 παράγραφοι 1 και 2.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Οι εκροές αντιστοιχούν στο καλυμμένο μέρος του «ανοίγματος χωρίς προσα</w:t>
            </w:r>
            <w:r>
              <w:rPr>
                <w:rFonts w:ascii="Times New Roman" w:hAnsi="Times New Roman"/>
                <w:sz w:val="24"/>
              </w:rPr>
              <w:t>ρ</w:t>
            </w:r>
            <w:r>
              <w:rPr>
                <w:rFonts w:ascii="Times New Roman" w:hAnsi="Times New Roman"/>
                <w:sz w:val="24"/>
              </w:rPr>
              <w:t>μογές αξίας και προβλέψεις», το οποίο αφαιρείται από την κατηγορία ανοιγμ</w:t>
            </w:r>
            <w:r>
              <w:rPr>
                <w:rFonts w:ascii="Times New Roman" w:hAnsi="Times New Roman"/>
                <w:sz w:val="24"/>
              </w:rPr>
              <w:t>ά</w:t>
            </w:r>
            <w:r>
              <w:rPr>
                <w:rFonts w:ascii="Times New Roman" w:hAnsi="Times New Roman"/>
                <w:sz w:val="24"/>
              </w:rPr>
              <w:t>των του οφειλέτη και, κατά περίπτωση, από τον συντελεστή στάθμισης κινδ</w:t>
            </w:r>
            <w:r>
              <w:rPr>
                <w:rFonts w:ascii="Times New Roman" w:hAnsi="Times New Roman"/>
                <w:sz w:val="24"/>
              </w:rPr>
              <w:t>ύ</w:t>
            </w:r>
            <w:r>
              <w:rPr>
                <w:rFonts w:ascii="Times New Roman" w:hAnsi="Times New Roman"/>
                <w:sz w:val="24"/>
              </w:rPr>
              <w:t>νου ή τη βαθμίδα οφειλέτη, και, στη συνέχεια, κατατάσσεται στην κατηγορία ανοιγμάτων του παρόχου πιστωτικής προστασίας και, κατά περίπτωση, στον συντελεστή στάθμισης κινδύνου ή τη βαθμίδα οφειλέτη του παρόχου πιστωτ</w:t>
            </w:r>
            <w:r>
              <w:rPr>
                <w:rFonts w:ascii="Times New Roman" w:hAnsi="Times New Roman"/>
                <w:sz w:val="24"/>
              </w:rPr>
              <w:t>ι</w:t>
            </w:r>
            <w:r>
              <w:rPr>
                <w:rFonts w:ascii="Times New Roman" w:hAnsi="Times New Roman"/>
                <w:sz w:val="24"/>
              </w:rPr>
              <w:t xml:space="preserve">κής προστασίας.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Το ποσό αυτό θεωρείται εισροή στην κατηγορία ανοιγμάτων του παρόχου π</w:t>
            </w:r>
            <w:r>
              <w:rPr>
                <w:rFonts w:ascii="Times New Roman" w:hAnsi="Times New Roman"/>
                <w:sz w:val="24"/>
              </w:rPr>
              <w:t>ι</w:t>
            </w:r>
            <w:r>
              <w:rPr>
                <w:rFonts w:ascii="Times New Roman" w:hAnsi="Times New Roman"/>
                <w:sz w:val="24"/>
              </w:rPr>
              <w:t>στωτικής προστασίας και, κατά περίπτωση, στους συντελεστές στάθμισης ή τις βαθμίδες οφειλέτη του.</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σχετίζονται με τη στήλη 090 [(-) Συνολικές εκροές] του υποδείγματος CR SA </w:t>
            </w:r>
            <w:proofErr w:type="spellStart"/>
            <w:r>
              <w:rPr>
                <w:rFonts w:ascii="Times New Roman" w:hAnsi="Times New Roman"/>
                <w:sz w:val="24"/>
              </w:rPr>
              <w:t>Total</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ΣΥΝΟΛΙΚΕΣ ΕΙΣΡΟΕΣ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Οι θέσεις τιτλοποίησης που είναι χρεωστικοί τίτλοι και είναι επιλέξιμες χρ</w:t>
            </w:r>
            <w:r>
              <w:rPr>
                <w:rFonts w:ascii="Times New Roman" w:hAnsi="Times New Roman"/>
                <w:sz w:val="24"/>
              </w:rPr>
              <w:t>η</w:t>
            </w:r>
            <w:r>
              <w:rPr>
                <w:rFonts w:ascii="Times New Roman" w:hAnsi="Times New Roman"/>
                <w:sz w:val="24"/>
              </w:rPr>
              <w:t>ματοοικονομικές εξασφαλίσεις, σύμφωνα με το άρθρο 197 παράγραφος 1 του ΚΚΑ, στην περίπτωση που χρησιμοποιείται η απλή μέθοδος χρηματοοικον</w:t>
            </w:r>
            <w:r>
              <w:rPr>
                <w:rFonts w:ascii="Times New Roman" w:hAnsi="Times New Roman"/>
                <w:sz w:val="24"/>
              </w:rPr>
              <w:t>ο</w:t>
            </w:r>
            <w:r>
              <w:rPr>
                <w:rFonts w:ascii="Times New Roman" w:hAnsi="Times New Roman"/>
                <w:sz w:val="24"/>
              </w:rPr>
              <w:t>μικών εξασφαλίσεων, αναφέρονται ως εισροές στη συγκεκριμένη στήλη.</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σχετίζονται με τη στήλη 100 (Συνολικές εισροές) του υποδείγματος CR SA </w:t>
            </w:r>
            <w:proofErr w:type="spellStart"/>
            <w:r>
              <w:rPr>
                <w:rFonts w:ascii="Times New Roman" w:hAnsi="Times New Roman"/>
                <w:sz w:val="24"/>
              </w:rPr>
              <w:t>Total</w:t>
            </w:r>
            <w:proofErr w:type="spellEnd"/>
            <w:r>
              <w:rPr>
                <w:rFonts w:ascii="Times New Roman" w:hAnsi="Times New Roman"/>
                <w:sz w:val="24"/>
              </w:rPr>
              <w:t xml:space="preserve">.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ΚΑΘΑΡΟ ΑΝΟΙΓΜΑ ΜΕΤΑ ΤΑ ΑΠΟΤΕΛΕΣΜΑΤΑ ΥΠΟΚΑΤΑΣΤ</w:t>
            </w:r>
            <w:r>
              <w:rPr>
                <w:rFonts w:ascii="Times New Roman" w:hAnsi="Times New Roman"/>
                <w:b/>
                <w:sz w:val="24"/>
                <w:u w:val="single"/>
              </w:rPr>
              <w:t>Α</w:t>
            </w:r>
            <w:r>
              <w:rPr>
                <w:rFonts w:ascii="Times New Roman" w:hAnsi="Times New Roman"/>
                <w:b/>
                <w:sz w:val="24"/>
                <w:u w:val="single"/>
              </w:rPr>
              <w:t>ΣΗΣ ΤΗΣ CRΜ ΠΡΙΝ ΑΠΟ ΤΟΥΣ ΣΥΝΤΕΛΕΣΤΕΣ ΜΕΤΑΤΡΟΠΗΣ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Άνοιγμα που σχετίζεται με τον αντίστοιχο συντελεστή στάθμισης κινδύνου και κατηγορία ανοιγμάτων, αφού ληφθούν υπόψη οι εκροές και οι εισροές λόγω «τεχνικών μείωσης πιστωτικού κινδύνου (CRM) με αποτελέσματα υποκατ</w:t>
            </w:r>
            <w:r>
              <w:rPr>
                <w:rFonts w:ascii="Times New Roman" w:hAnsi="Times New Roman"/>
                <w:sz w:val="24"/>
              </w:rPr>
              <w:t>ά</w:t>
            </w:r>
            <w:r>
              <w:rPr>
                <w:rFonts w:ascii="Times New Roman" w:hAnsi="Times New Roman"/>
                <w:sz w:val="24"/>
              </w:rPr>
              <w:t>στασης στο άνοιγμα».</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σχετίζονται με τη στήλη 110 του υποδείγματος CR SA </w:t>
            </w:r>
            <w:proofErr w:type="spellStart"/>
            <w:r>
              <w:rPr>
                <w:rFonts w:ascii="Times New Roman" w:hAnsi="Times New Roman"/>
                <w:sz w:val="24"/>
              </w:rPr>
              <w:t>Total</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ΤΕΧΝΙΚΕΣ ΜΕΙΩΣΗΣ ΤΟΥ ΠΙΣΤΩΤΙΚΟΥ ΚΙΝΔΥΝΟΥ ΠΟΥ </w:t>
            </w:r>
            <w:r>
              <w:rPr>
                <w:rFonts w:ascii="Times New Roman" w:hAnsi="Times New Roman"/>
                <w:b/>
                <w:sz w:val="24"/>
                <w:u w:val="single"/>
              </w:rPr>
              <w:t>Ε</w:t>
            </w:r>
            <w:r>
              <w:rPr>
                <w:rFonts w:ascii="Times New Roman" w:hAnsi="Times New Roman"/>
                <w:b/>
                <w:sz w:val="24"/>
                <w:u w:val="single"/>
              </w:rPr>
              <w:t>ΠΗΡΕΑΖΟΥΝ ΤΟ ΠΟΣΟ ΤΟΥ ΑΝΟΙΓΜΑΤΟΣ: ΧΡΗΜΑΤΟΔΟΤΟ</w:t>
            </w:r>
            <w:r>
              <w:rPr>
                <w:rFonts w:ascii="Times New Roman" w:hAnsi="Times New Roman"/>
                <w:b/>
                <w:sz w:val="24"/>
                <w:u w:val="single"/>
              </w:rPr>
              <w:t>Υ</w:t>
            </w:r>
            <w:r>
              <w:rPr>
                <w:rFonts w:ascii="Times New Roman" w:hAnsi="Times New Roman"/>
                <w:b/>
                <w:sz w:val="24"/>
                <w:u w:val="single"/>
              </w:rPr>
              <w:t>ΜΕΝΗ ΠΙΣΤΩΤΙΚΗ ΠΡΟΣΤΑΣΙΑ ΑΝΑΛΥΤΙΚΗ ΜΕΘΟΔΟΣ ΧΡ</w:t>
            </w:r>
            <w:r>
              <w:rPr>
                <w:rFonts w:ascii="Times New Roman" w:hAnsi="Times New Roman"/>
                <w:b/>
                <w:sz w:val="24"/>
                <w:u w:val="single"/>
              </w:rPr>
              <w:t>Η</w:t>
            </w:r>
            <w:r>
              <w:rPr>
                <w:rFonts w:ascii="Times New Roman" w:hAnsi="Times New Roman"/>
                <w:b/>
                <w:sz w:val="24"/>
                <w:u w:val="single"/>
              </w:rPr>
              <w:t xml:space="preserve">ΜΑΤΟΟΙΚΟΝΟΜΙΚΩΝ ΕΞΑΣΦΑΛΙΣΕΩΝ ΠΡΟΣΑΡΜΟΣΜΕΝΗ </w:t>
            </w:r>
            <w:r>
              <w:rPr>
                <w:rFonts w:ascii="Times New Roman" w:hAnsi="Times New Roman"/>
                <w:b/>
                <w:sz w:val="24"/>
                <w:u w:val="single"/>
              </w:rPr>
              <w:t>Α</w:t>
            </w:r>
            <w:r>
              <w:rPr>
                <w:rFonts w:ascii="Times New Roman" w:hAnsi="Times New Roman"/>
                <w:b/>
                <w:sz w:val="24"/>
                <w:u w:val="single"/>
              </w:rPr>
              <w:t>ΞΙΑ (C</w:t>
            </w:r>
            <w:r>
              <w:rPr>
                <w:rFonts w:ascii="Times New Roman" w:hAnsi="Times New Roman"/>
                <w:b/>
                <w:sz w:val="24"/>
                <w:u w:val="single"/>
                <w:vertAlign w:val="subscript"/>
              </w:rPr>
              <w:t>VAM</w:t>
            </w:r>
            <w:r>
              <w:rPr>
                <w:rFonts w:ascii="Times New Roman" w:hAnsi="Times New Roman"/>
                <w:b/>
                <w:sz w:val="24"/>
                <w:u w:val="single"/>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Το στοιχείο αυτό περιλαμβάνει επίσης ομόλογα συνδεδεμένα με τον πιστωτικό κίνδυνο υποκείμενου μέσου (άρθρο 218 του ΚΚΑ).</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σχετίζονται με τις στήλες 120 και 130 του υποδείγματος CR SA </w:t>
            </w:r>
            <w:proofErr w:type="spellStart"/>
            <w:r>
              <w:rPr>
                <w:rFonts w:ascii="Times New Roman" w:hAnsi="Times New Roman"/>
                <w:sz w:val="24"/>
              </w:rPr>
              <w:t>Total</w:t>
            </w:r>
            <w:proofErr w:type="spellEnd"/>
            <w:r>
              <w:rPr>
                <w:rFonts w:ascii="Times New Roman" w:hAnsi="Times New Roman"/>
                <w:sz w:val="24"/>
              </w:rPr>
              <w:t xml:space="preserve">.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ΠΛΗΡΩΣ ΠΡΟΣΑΡΜΟΣΜΕΝΗ ΑΞΙΑ ΑΝΟΙΓΜΑΤΟΣ (Ε*)</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Θέσεις τιτλοποίησης σύμφωνα με το άρθρο 246 του ΚΚΑ, δηλαδή, χωρίς να εφαρμόζονται οι συντελεστές μετατροπής του άρθρου 246 παράγραφος 1 στοιχείο γ) του ΚΚΑ.</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Αυτές οι πληροφορίες σχετίζονται με τη στήλη 150 του υποδείγματος CR SA </w:t>
            </w:r>
            <w:proofErr w:type="spellStart"/>
            <w:r>
              <w:rPr>
                <w:rFonts w:ascii="Times New Roman" w:hAnsi="Times New Roman"/>
                <w:sz w:val="24"/>
              </w:rPr>
              <w:t>Total</w:t>
            </w:r>
            <w:proofErr w:type="spellEnd"/>
            <w:r>
              <w:rPr>
                <w:rFonts w:ascii="Times New Roman" w:hAnsi="Times New Roman"/>
                <w:sz w:val="24"/>
              </w:rPr>
              <w:t xml:space="preserve">. </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ΚΑΤΑΝΟΜΗ ΤΗΣ ΠΛΗΡΩΣ ΠΡΟΣΑΡΜΟΣΜΕΝΗΣ ΑΞΙΑΣ ΑΝΟΙ</w:t>
            </w:r>
            <w:r>
              <w:rPr>
                <w:rFonts w:ascii="Times New Roman" w:hAnsi="Times New Roman"/>
                <w:b/>
                <w:sz w:val="24"/>
                <w:u w:val="single"/>
              </w:rPr>
              <w:t>Γ</w:t>
            </w:r>
            <w:r>
              <w:rPr>
                <w:rFonts w:ascii="Times New Roman" w:hAnsi="Times New Roman"/>
                <w:b/>
                <w:sz w:val="24"/>
                <w:u w:val="single"/>
              </w:rPr>
              <w:t>ΜΑΤΟΣ (Ε*) ΣΤΟΙΧΕΙΩΝ ΕΚΤΟΣ ΙΣΟΛΟΓΙΣΜΟΥ ΣΥΜΦΩΝΑ ΜΕ ΤΟΥΣ ΣΥΝΤΕΛΕΣΤΕΣ ΜΕΤΑΤΡΟΠΗΣ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Το άρθρο 246 παράγραφος 1 στοιχείο γ) του ΚΚΑ προβλέπει ότι η αξία ανοί</w:t>
            </w:r>
            <w:r>
              <w:rPr>
                <w:rFonts w:ascii="Times New Roman" w:hAnsi="Times New Roman"/>
                <w:sz w:val="24"/>
              </w:rPr>
              <w:t>γ</w:t>
            </w:r>
            <w:r>
              <w:rPr>
                <w:rFonts w:ascii="Times New Roman" w:hAnsi="Times New Roman"/>
                <w:sz w:val="24"/>
              </w:rPr>
              <w:t>ματος μιας θέσης τιτλοποίησης εκτός ισολογισμού είναι η ονομαστική αξία της επί έναν συντελεστή μετατροπής. Αυτός ο συντελεστής μετατροπής ισο</w:t>
            </w:r>
            <w:r>
              <w:rPr>
                <w:rFonts w:ascii="Times New Roman" w:hAnsi="Times New Roman"/>
                <w:sz w:val="24"/>
              </w:rPr>
              <w:t>ύ</w:t>
            </w:r>
            <w:r>
              <w:rPr>
                <w:rFonts w:ascii="Times New Roman" w:hAnsi="Times New Roman"/>
                <w:sz w:val="24"/>
              </w:rPr>
              <w:t>ται με 100 %, εκτός εάν αναφέρεται διαφορετικά στον ΚΚΑ.</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Βλέπε στήλες 160 έως 190 του υποδείγματος CR SA </w:t>
            </w:r>
            <w:proofErr w:type="spellStart"/>
            <w:r>
              <w:rPr>
                <w:rFonts w:ascii="Times New Roman" w:hAnsi="Times New Roman"/>
                <w:sz w:val="24"/>
              </w:rPr>
              <w:t>Total</w:t>
            </w:r>
            <w:proofErr w:type="spellEnd"/>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Για σκοπούς υποβολής αναφορών, οι πλήρως προσαρμοσμένες αξίες ανοίγμ</w:t>
            </w:r>
            <w:r>
              <w:rPr>
                <w:rFonts w:ascii="Times New Roman" w:hAnsi="Times New Roman"/>
                <w:sz w:val="24"/>
              </w:rPr>
              <w:t>α</w:t>
            </w:r>
            <w:r>
              <w:rPr>
                <w:rFonts w:ascii="Times New Roman" w:hAnsi="Times New Roman"/>
                <w:sz w:val="24"/>
              </w:rPr>
              <w:t>τος (Ε*) αναφέρονται σύμφωνα με τα ακόλουθα τέσσερα αμοιβαίως απ</w:t>
            </w:r>
            <w:r>
              <w:rPr>
                <w:rFonts w:ascii="Times New Roman" w:hAnsi="Times New Roman"/>
                <w:sz w:val="24"/>
              </w:rPr>
              <w:t>ο</w:t>
            </w:r>
            <w:r>
              <w:rPr>
                <w:rFonts w:ascii="Times New Roman" w:hAnsi="Times New Roman"/>
                <w:sz w:val="24"/>
              </w:rPr>
              <w:t>κλειόμενα διαστήματα συντελεστών μετατροπής: 0%, ]0%, 20%], ]20%, 50%] και ]50%, 100%].</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ΑΞΙΑ ΑΝΟΙΓΜΑΤΟΣ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Θέσεις τιτλοποίησης σύμφωνα με το άρθρο 246 του ΚΚΑ.</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σχετίζονται με τη στήλη 200 του υποδείγματος CR SA </w:t>
            </w:r>
            <w:proofErr w:type="spellStart"/>
            <w:r>
              <w:rPr>
                <w:rFonts w:ascii="Times New Roman" w:hAnsi="Times New Roman"/>
                <w:sz w:val="24"/>
              </w:rPr>
              <w:t>Total</w:t>
            </w:r>
            <w:proofErr w:type="spellEnd"/>
            <w:r>
              <w:rPr>
                <w:rFonts w:ascii="Times New Roman" w:hAnsi="Times New Roman"/>
                <w:sz w:val="24"/>
              </w:rPr>
              <w:t xml:space="preserve">.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ΑΞΙΑ ΑΝΟΙΓΜΑΤΟΣ ΑΦΑΙΡΟΥΜΕΝΗ ΑΠΟ ΤΑ ΙΔΙΑ ΚΕΦΑΛΑΙΑ</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Το άρθρο 258 του ΚΚΑ προβλέπει ότι, στην περίπτωση μιας θέσης τιτλοποί</w:t>
            </w:r>
            <w:r>
              <w:rPr>
                <w:rFonts w:ascii="Times New Roman" w:hAnsi="Times New Roman"/>
                <w:sz w:val="24"/>
              </w:rPr>
              <w:t>η</w:t>
            </w:r>
            <w:r>
              <w:rPr>
                <w:rFonts w:ascii="Times New Roman" w:hAnsi="Times New Roman"/>
                <w:sz w:val="24"/>
              </w:rPr>
              <w:t xml:space="preserve">σης στην οποία εφαρμόζεται συντελεστής στάθμισης κινδύνου 1250 %, τα </w:t>
            </w:r>
            <w:r>
              <w:rPr>
                <w:rFonts w:ascii="Times New Roman" w:hAnsi="Times New Roman"/>
                <w:sz w:val="24"/>
              </w:rPr>
              <w:t>ι</w:t>
            </w:r>
            <w:r>
              <w:rPr>
                <w:rFonts w:ascii="Times New Roman" w:hAnsi="Times New Roman"/>
                <w:sz w:val="24"/>
              </w:rPr>
              <w:t>δρύματα μπορούν, αντί να συμπεριλάβουν τη θέση στον υπολογισμό των σταθμισμένων ως προς τον κίνδυνο ποσών, να αφαιρέσουν την αξία ανοίγμ</w:t>
            </w:r>
            <w:r>
              <w:rPr>
                <w:rFonts w:ascii="Times New Roman" w:hAnsi="Times New Roman"/>
                <w:sz w:val="24"/>
              </w:rPr>
              <w:t>α</w:t>
            </w:r>
            <w:r>
              <w:rPr>
                <w:rFonts w:ascii="Times New Roman" w:hAnsi="Times New Roman"/>
                <w:sz w:val="24"/>
              </w:rPr>
              <w:t>τος της θέσης από τα ίδια κεφάλαιά τους.</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ΑΞΙΑ ΑΝΟΙΓΜΑΤΟΣ ΠΟΥ ΥΠΟΚΕΙΤΑΙ ΣΕ ΣΥΝΤΕΛΕΣΤΕΣ ΣΤΑ</w:t>
            </w:r>
            <w:r>
              <w:rPr>
                <w:rFonts w:ascii="Times New Roman" w:hAnsi="Times New Roman"/>
                <w:b/>
                <w:sz w:val="24"/>
                <w:u w:val="single"/>
              </w:rPr>
              <w:t>Θ</w:t>
            </w:r>
            <w:r>
              <w:rPr>
                <w:rFonts w:ascii="Times New Roman" w:hAnsi="Times New Roman"/>
                <w:b/>
                <w:sz w:val="24"/>
                <w:u w:val="single"/>
              </w:rPr>
              <w:t>ΜΙΣΗΣ ΚΙΝΔΥΝΟΥ</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Αξία ανοίγματος μείον την αξία ανοίγματος που αφαιρείται από τα ίδια κεφ</w:t>
            </w:r>
            <w:r>
              <w:rPr>
                <w:rFonts w:ascii="Times New Roman" w:hAnsi="Times New Roman"/>
                <w:sz w:val="24"/>
              </w:rPr>
              <w:t>ά</w:t>
            </w:r>
            <w:r>
              <w:rPr>
                <w:rFonts w:ascii="Times New Roman" w:hAnsi="Times New Roman"/>
                <w:sz w:val="24"/>
              </w:rPr>
              <w:t>λαια.</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ΚΑΤΑΝΟΜΗ ΤΗΣ ΑΞΙΑΣ ΑΝΟΙΓΜΑΤΟΣ ΠΟΥ ΥΠΟΚΕΙΤΑΙ ΣΕ Σ</w:t>
            </w:r>
            <w:r>
              <w:rPr>
                <w:rFonts w:ascii="Times New Roman" w:hAnsi="Times New Roman"/>
                <w:b/>
                <w:sz w:val="24"/>
                <w:u w:val="single"/>
              </w:rPr>
              <w:t>Υ</w:t>
            </w:r>
            <w:r>
              <w:rPr>
                <w:rFonts w:ascii="Times New Roman" w:hAnsi="Times New Roman"/>
                <w:b/>
                <w:sz w:val="24"/>
                <w:u w:val="single"/>
              </w:rPr>
              <w:t>ΝΤΕΛΕΣΤΕΣ ΣΤΑΘΜΙΣΗΣ ΚΙΝΔΥΝΟΥ ΣΥΜΦΩΝΑ ΜΕ ΤΟΥΣ Σ</w:t>
            </w:r>
            <w:r>
              <w:rPr>
                <w:rFonts w:ascii="Times New Roman" w:hAnsi="Times New Roman"/>
                <w:b/>
                <w:sz w:val="24"/>
                <w:u w:val="single"/>
              </w:rPr>
              <w:t>Υ</w:t>
            </w:r>
            <w:r>
              <w:rPr>
                <w:rFonts w:ascii="Times New Roman" w:hAnsi="Times New Roman"/>
                <w:b/>
                <w:sz w:val="24"/>
                <w:u w:val="single"/>
              </w:rPr>
              <w:t>ΝΤΕΛΕΣΤΕΣ ΣΤΑΘΜΙΣΗΣ ΚΙΝΔΥΝΟΥ</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220-260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ΔΙΑΒΑΘΜΙΣΗ</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Το άρθρο 242 σημείο 8) του ΚΚΑ ορίζει τις διαβαθμισμένες θέσεις.</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Οι αξίες ανοίγματος που υπόκεινται σε συντελεστές στάθμισης κινδύνου κ</w:t>
            </w:r>
            <w:r>
              <w:rPr>
                <w:rFonts w:ascii="Times New Roman" w:hAnsi="Times New Roman"/>
                <w:sz w:val="24"/>
              </w:rPr>
              <w:t>α</w:t>
            </w:r>
            <w:r>
              <w:rPr>
                <w:rFonts w:ascii="Times New Roman" w:hAnsi="Times New Roman"/>
                <w:sz w:val="24"/>
              </w:rPr>
              <w:t>τανέμονται βάσει βαθμίδων πιστωτικής ποιότητας, όπως αυτές προβλέπονται για την τυποποιημένη προσέγγιση στο άρθρο 251 (πίνακας 1) του ΚΚΑ.</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270</w:t>
            </w:r>
          </w:p>
        </w:tc>
        <w:tc>
          <w:tcPr>
            <w:tcW w:w="7856" w:type="dxa"/>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1 250 % (ΧΩΡΙΣ ΔΙΑΒΑΘΜΙΣΗ)</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Το άρθρο 242 σημείο 7) του ΚΚΑ ορίζει τις μη διαβαθμισμένες θέσεις.</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ΕΞΕΤΑΣΗ</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Άρθρο 253, άρθρο 254 και άρθρο 256 παράγραφος 5 του ΚΚΑ.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Οι στήλες εξέτασης περιλαμβάνουν όλες τις περιπτώσεις μη διαβαθμισμένων ανοιγμάτων των οποίων ο συντελεστής στάθμισης κινδύνου λαμβάνεται από το υποκείμενο χαρτοφυλάκιο ανοιγμάτων (μέσος συντελεστής στάθμισης κι</w:t>
            </w:r>
            <w:r>
              <w:rPr>
                <w:rFonts w:ascii="Times New Roman" w:hAnsi="Times New Roman"/>
                <w:sz w:val="24"/>
              </w:rPr>
              <w:t>ν</w:t>
            </w:r>
            <w:r>
              <w:rPr>
                <w:rFonts w:ascii="Times New Roman" w:hAnsi="Times New Roman"/>
                <w:sz w:val="24"/>
              </w:rPr>
              <w:lastRenderedPageBreak/>
              <w:t>δύνου της ομάδας, μέγιστος συντελεστής στάθμισης κινδύνου της ομάδας ή χρήση ενός δείκτη συγκέντρωσης).</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290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ΕΞΕΤΑΣΗ – ΕΚ ΤΩΝ ΟΠΟΙΩΝ: ΔΕΥΤΕΡΕΥΟΥΣΑ ΖΗΜΙΑ ΣΤΟ ABCP</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Η αξία ανοίγματος που υπόκειται σε αντιμετώπιση των θέσεων τιτλοποίησης σε τμήμα δευτερεύουσας ζημίας τιτλοποίησης ή σε ευνοϊκότερο τμήμα σε ένα πρόγραμμα ABCP καθορίζεται στο άρθρο 254 του ΚΚΑ.</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Το άρθρο 242 σημείο 9) του ΚΚΑ ορίζει το πρόγραμμα έκδοσης εμπορικών χρεογράφων εξασφαλισμένων με στοιχεία ενεργητικού (ABCP).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spacing w:before="0" w:after="0"/>
              <w:jc w:val="left"/>
              <w:rPr>
                <w:rFonts w:ascii="Times New Roman" w:hAnsi="Times New Roman"/>
                <w:sz w:val="24"/>
              </w:rPr>
            </w:pPr>
            <w:r>
              <w:rPr>
                <w:rFonts w:ascii="Times New Roman" w:hAnsi="Times New Roman"/>
                <w:sz w:val="24"/>
              </w:rPr>
              <w:t>300</w:t>
            </w:r>
          </w:p>
          <w:p w:rsidR="00612780" w:rsidRPr="00392FFD"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ΕΞΕΤΑΣΗ – ΕΚ ΤΩΝ ΟΠΟΙΩΝ: ΜΕΣΟΣ ΣΥΝΤΕΛΕΣΤΗΣ ΣΤΑΘΜ</w:t>
            </w:r>
            <w:r>
              <w:rPr>
                <w:rFonts w:ascii="Times New Roman" w:hAnsi="Times New Roman"/>
                <w:b/>
                <w:sz w:val="24"/>
                <w:u w:val="single"/>
              </w:rPr>
              <w:t>Ι</w:t>
            </w:r>
            <w:r>
              <w:rPr>
                <w:rFonts w:ascii="Times New Roman" w:hAnsi="Times New Roman"/>
                <w:b/>
                <w:sz w:val="24"/>
                <w:u w:val="single"/>
              </w:rPr>
              <w:t>ΣΗΣ ΚΙΝΔΥΝΟΥ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Αναφέρεται το μέσο ύψος συντελεστή στάθμισης κινδύνου που έχει σταθμ</w:t>
            </w:r>
            <w:r>
              <w:rPr>
                <w:rFonts w:ascii="Times New Roman" w:hAnsi="Times New Roman"/>
                <w:sz w:val="24"/>
              </w:rPr>
              <w:t>ι</w:t>
            </w:r>
            <w:r>
              <w:rPr>
                <w:rFonts w:ascii="Times New Roman" w:hAnsi="Times New Roman"/>
                <w:sz w:val="24"/>
              </w:rPr>
              <w:t>στεί βάσει της αξίας ανοίγματος.</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ΠΡΟΣΕΓΓΙΣΗ ΕΣΩΤΕΡΙΚΗΣ ΑΞΙΟΛΟΓΗΣΗΣ (IAA)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Άρθρο 109 παράγραφος 1 και άρθρο 259 παράγραφος 3 του ΚΚΑ </w:t>
            </w:r>
            <w:r>
              <w:rPr>
                <w:rFonts w:ascii="Times New Roman" w:hAnsi="Times New Roman"/>
                <w:sz w:val="24"/>
                <w:u w:val="single"/>
              </w:rPr>
              <w:t>Αξία ανοί</w:t>
            </w:r>
            <w:r>
              <w:rPr>
                <w:rFonts w:ascii="Times New Roman" w:hAnsi="Times New Roman"/>
                <w:sz w:val="24"/>
                <w:u w:val="single"/>
              </w:rPr>
              <w:t>γ</w:t>
            </w:r>
            <w:r>
              <w:rPr>
                <w:rFonts w:ascii="Times New Roman" w:hAnsi="Times New Roman"/>
                <w:sz w:val="24"/>
                <w:u w:val="single"/>
              </w:rPr>
              <w:t>ματος θέσεων</w:t>
            </w:r>
            <w:r>
              <w:rPr>
                <w:rFonts w:ascii="Times New Roman" w:hAnsi="Times New Roman"/>
                <w:sz w:val="24"/>
              </w:rPr>
              <w:t xml:space="preserve"> τιτλοποίησης</w:t>
            </w:r>
            <w:r>
              <w:rPr>
                <w:rFonts w:ascii="Times New Roman" w:hAnsi="Times New Roman"/>
                <w:sz w:val="24"/>
                <w:u w:val="single"/>
              </w:rPr>
              <w:t xml:space="preserve"> βάσει της προσέγγισης εσωτερικής αξιολόγησης.</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IAA: ΜΕΣΟΣ ΣΥΝΤΕΛΕΣΤΗΣ ΣΤΑΘΜΙΣΗΣ ΚΙΝΔΥΝΟΥ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Αναφέρεται το μέσο ύψος συντελεστή στάθμισης κινδύνου που έχει σταθμ</w:t>
            </w:r>
            <w:r>
              <w:rPr>
                <w:rFonts w:ascii="Times New Roman" w:hAnsi="Times New Roman"/>
                <w:sz w:val="24"/>
              </w:rPr>
              <w:t>ι</w:t>
            </w:r>
            <w:r>
              <w:rPr>
                <w:rFonts w:ascii="Times New Roman" w:hAnsi="Times New Roman"/>
                <w:sz w:val="24"/>
              </w:rPr>
              <w:t>στεί βάσει της αξίας ανοίγματος.</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ΠΟΣΟ ΑΝΟΙΓΜΑΤΟΣ ΣΤΑΘΜΙΣΜΕΝΟ ΩΣ ΠΡΟΣ ΤΟΝ ΚΙΝΔΥΝΟ</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Συνολικό ποσό ανοίγματος σταθμισμένο ως προς τον κίνδυνο, υπολογιζόμενο σύμφωνα με το τρίτο μέρος τίτλος II κεφάλαιο 5 τμήμα 3 του ΚΚΑ, πριν από εφαρμογή προσαρμογών λόγω αναντιστοιχιών ληκτότητας ή παραβίασης δι</w:t>
            </w:r>
            <w:r>
              <w:rPr>
                <w:rFonts w:ascii="Times New Roman" w:hAnsi="Times New Roman"/>
                <w:sz w:val="24"/>
              </w:rPr>
              <w:t>α</w:t>
            </w:r>
            <w:r>
              <w:rPr>
                <w:rFonts w:ascii="Times New Roman" w:hAnsi="Times New Roman"/>
                <w:sz w:val="24"/>
              </w:rPr>
              <w:t xml:space="preserve">τάξεων περί δέουσας επιμέλειας και εξαιρουμένου οποιουδήποτε ποσού </w:t>
            </w:r>
            <w:r>
              <w:rPr>
                <w:rFonts w:ascii="Times New Roman" w:hAnsi="Times New Roman"/>
                <w:sz w:val="24"/>
              </w:rPr>
              <w:t>α</w:t>
            </w:r>
            <w:r>
              <w:rPr>
                <w:rFonts w:ascii="Times New Roman" w:hAnsi="Times New Roman"/>
                <w:sz w:val="24"/>
              </w:rPr>
              <w:t xml:space="preserve">νοίγματος σταθμισμένου ως προς τον κίνδυνο που αντιστοιχεί σε ανοίγματα που έχουν ανακατανεμηθεί μέσω των εκροών σε άλλο υπόδειγμα.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ΕΚ ΤΩΝ ΟΠΟΙΩΝ: ΣΥΝΘΕΤΕΣ ΤΙΤΛΟΠΟΙΗΣΕΙΣ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Στην περίπτωση σύνθετων τιτλοποιήσεων, το προς αναφορά ποσό στη συγκ</w:t>
            </w:r>
            <w:r>
              <w:rPr>
                <w:rFonts w:ascii="Times New Roman" w:hAnsi="Times New Roman"/>
                <w:sz w:val="24"/>
              </w:rPr>
              <w:t>ε</w:t>
            </w:r>
            <w:r>
              <w:rPr>
                <w:rFonts w:ascii="Times New Roman" w:hAnsi="Times New Roman"/>
                <w:sz w:val="24"/>
              </w:rPr>
              <w:t>κριμένη στήλη δεν λαμβάνει υπόψη τυχόν αναντιστοιχίες ληκτότητας.</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ΣΥΝΟΛΙΚΟ ΑΠΟΤΕΛΕΣΜΑ (ΠΡΟΣΑΡΜΟΓΗ) ΛΟΓΩ ΠΑΡΑΒΙΑΣΗΣ ΤΩΝ ΔΙΑΤΑΞΕΩΝ ΠΕΡΙ ΔΕΟΥΣΑΣ ΕΠΙΜΕΛΕΙΑΣ</w:t>
            </w:r>
          </w:p>
          <w:p w:rsidR="00612780" w:rsidRPr="00392FFD" w:rsidRDefault="00612780" w:rsidP="00612780">
            <w:pPr>
              <w:spacing w:before="0" w:after="0"/>
              <w:jc w:val="left"/>
              <w:rPr>
                <w:rFonts w:ascii="Times New Roman" w:hAnsi="Times New Roman"/>
                <w:sz w:val="24"/>
              </w:rPr>
            </w:pPr>
          </w:p>
          <w:p w:rsidR="00612780" w:rsidRPr="00392FFD" w:rsidRDefault="00612780" w:rsidP="00551271">
            <w:pPr>
              <w:spacing w:before="0" w:after="0"/>
              <w:rPr>
                <w:rStyle w:val="InstructionsTabelleText"/>
                <w:rFonts w:ascii="Times New Roman" w:hAnsi="Times New Roman"/>
                <w:sz w:val="24"/>
              </w:rPr>
            </w:pPr>
            <w:r>
              <w:rPr>
                <w:rStyle w:val="InstructionsTabelleText"/>
                <w:rFonts w:ascii="Times New Roman" w:hAnsi="Times New Roman"/>
                <w:sz w:val="24"/>
              </w:rPr>
              <w:t xml:space="preserve">Το άρθρο 14 παράγραφος 2, το άρθρο 406 παράγραφος 2 και το άρθρο 407 του ΚΚΑ προβλέπουν ότι, όταν δεν πληρούνται από το ίδρυμα ορισμένες </w:t>
            </w:r>
            <w:r>
              <w:rPr>
                <w:rStyle w:val="InstructionsTabelleText"/>
                <w:rFonts w:ascii="Times New Roman" w:hAnsi="Times New Roman"/>
                <w:sz w:val="24"/>
              </w:rPr>
              <w:t>α</w:t>
            </w:r>
            <w:r>
              <w:rPr>
                <w:rStyle w:val="InstructionsTabelleText"/>
                <w:rFonts w:ascii="Times New Roman" w:hAnsi="Times New Roman"/>
                <w:sz w:val="24"/>
              </w:rPr>
              <w:t xml:space="preserve">παιτήσεις των άρθρων 405, 406 ή 409 του ΚΚΑ, τα κράτη μέλη εξασφαλίζουν την επιβολή από τις αρμόδιες αρχές ενός αναλογικού πρόσθετου συντελεστή </w:t>
            </w:r>
            <w:r>
              <w:rPr>
                <w:rStyle w:val="InstructionsTabelleText"/>
                <w:rFonts w:ascii="Times New Roman" w:hAnsi="Times New Roman"/>
                <w:sz w:val="24"/>
              </w:rPr>
              <w:lastRenderedPageBreak/>
              <w:t>στάθμισης κινδύνου, τουλάχιστον ίσου με ποσοστό 250 % του συντελεστή στάθμισης κινδύνου (με ανώτατο όριο τα 1 250 %), ο οποίος θα εφαρμόζεται στις σχετικές θέσεις τιτλοποίησης, σύμφωνα με το τρίτο μέρος τίτλος II κεφ</w:t>
            </w:r>
            <w:r>
              <w:rPr>
                <w:rStyle w:val="InstructionsTabelleText"/>
                <w:rFonts w:ascii="Times New Roman" w:hAnsi="Times New Roman"/>
                <w:sz w:val="24"/>
              </w:rPr>
              <w:t>ά</w:t>
            </w:r>
            <w:r>
              <w:rPr>
                <w:rStyle w:val="InstructionsTabelleText"/>
                <w:rFonts w:ascii="Times New Roman" w:hAnsi="Times New Roman"/>
                <w:sz w:val="24"/>
              </w:rPr>
              <w:t>λαιο 5 τμήμα 3 του ΚΚΑ. Η εν λόγω πρόσθετη στάθμιση κινδύνου δεν μπορεί να επιβάλλεται μόνο σε ιδρύματα επενδύσεων, αλλά και σε μεταβιβάζουσες οντότητες, αναδόχους και αρχικούς δανειοδότες.</w:t>
            </w:r>
          </w:p>
          <w:p w:rsidR="00551271" w:rsidRPr="00392FFD" w:rsidRDefault="00551271" w:rsidP="00551271">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ΠΡΟΣΑΡΜΟΓΗ ΣΤΟ ΣΤΑΘΜΙΣΜΕΝΟ ΩΣ ΠΡΟΣ ΤΟΝ ΚΙΝΔΥΝΟ ΠΟΣΟ ΑΝΟΙΓΜΑΤΟΣ ΛΟΓΩ ΑΝΑΝΤΙΣΤΟΙΧΙΩΝ ΛΗΚΤΟΤΗΤΑΣ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Style w:val="InstructionsTabelleText"/>
                <w:rFonts w:ascii="Times New Roman" w:hAnsi="Times New Roman"/>
                <w:sz w:val="24"/>
              </w:rPr>
            </w:pPr>
            <w:r>
              <w:rPr>
                <w:rStyle w:val="InstructionsTabelleText"/>
                <w:rFonts w:ascii="Times New Roman" w:hAnsi="Times New Roman"/>
                <w:sz w:val="24"/>
              </w:rPr>
              <w:t>Στην περίπτωση αναντιστοιχιών ληκτότητας σε σύνθετες τιτλοποιήσεις, περ</w:t>
            </w:r>
            <w:r>
              <w:rPr>
                <w:rStyle w:val="InstructionsTabelleText"/>
                <w:rFonts w:ascii="Times New Roman" w:hAnsi="Times New Roman"/>
                <w:sz w:val="24"/>
              </w:rPr>
              <w:t>ι</w:t>
            </w:r>
            <w:r>
              <w:rPr>
                <w:rStyle w:val="InstructionsTabelleText"/>
                <w:rFonts w:ascii="Times New Roman" w:hAnsi="Times New Roman"/>
                <w:sz w:val="24"/>
              </w:rPr>
              <w:t xml:space="preserve">λαμβάνεται η τιμή RW*-RW(SP), όπως ορίζεται στο άρθρο 250 του ΚΚΑ, </w:t>
            </w:r>
            <w:r>
              <w:rPr>
                <w:rStyle w:val="InstructionsTabelleText"/>
                <w:rFonts w:ascii="Times New Roman" w:hAnsi="Times New Roman"/>
                <w:sz w:val="24"/>
              </w:rPr>
              <w:t>ε</w:t>
            </w:r>
            <w:r>
              <w:rPr>
                <w:rStyle w:val="InstructionsTabelleText"/>
                <w:rFonts w:ascii="Times New Roman" w:hAnsi="Times New Roman"/>
                <w:sz w:val="24"/>
              </w:rPr>
              <w:t>κτός από την περίπτωση τμημάτων υποκείμενων σε συντελεστή στάθμισης κινδύνου 1 250 %, όπου το προς αναφορά ποσό είναι μηδενικό. Σημειώνεται ότι η τιμή RW(SP) δεν περιλαμβάνει μόνο τα σταθμισμένα ως προς τον κίνδ</w:t>
            </w:r>
            <w:r>
              <w:rPr>
                <w:rStyle w:val="InstructionsTabelleText"/>
                <w:rFonts w:ascii="Times New Roman" w:hAnsi="Times New Roman"/>
                <w:sz w:val="24"/>
              </w:rPr>
              <w:t>υ</w:t>
            </w:r>
            <w:r>
              <w:rPr>
                <w:rStyle w:val="InstructionsTabelleText"/>
                <w:rFonts w:ascii="Times New Roman" w:hAnsi="Times New Roman"/>
                <w:sz w:val="24"/>
              </w:rPr>
              <w:t>νο ποσά ανοίγματος που αναφέρονται στη στήλη 330, αλλά και τα σταθμισμ</w:t>
            </w:r>
            <w:r>
              <w:rPr>
                <w:rStyle w:val="InstructionsTabelleText"/>
                <w:rFonts w:ascii="Times New Roman" w:hAnsi="Times New Roman"/>
                <w:sz w:val="24"/>
              </w:rPr>
              <w:t>έ</w:t>
            </w:r>
            <w:r>
              <w:rPr>
                <w:rStyle w:val="InstructionsTabelleText"/>
                <w:rFonts w:ascii="Times New Roman" w:hAnsi="Times New Roman"/>
                <w:sz w:val="24"/>
              </w:rPr>
              <w:t>να ως προς τον κίνδυνο ποσά ανοίγματος που αντιστοιχούν σε ανοίγματα που έχουν ανακατανεμηθεί μέσω των εκροών σε άλλα υποδείγματα.</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F5392E"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370-380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ΣΥΝΟΛΙΚΟ ΠΟΣΟ ΑΝΟΙΓΜΑΤΟΣ ΣΤΑΘΜΙΣΜΕΝΟ ΩΣ ΠΡΟΣ ΤΟΝ ΚΙΝΔΥΝΟ: ΠΡΙΝ ΑΠΟ ΤΟ ΑΝΩΤΑΤΟ ΟΡΙΟ/ ΜΕΤΑ ΤΟ ΑΝΩΤΑΤΟ ΟΡΙΟ</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Συνολικό ποσό ανοίγματος σταθμισμένο ως προς τον κίνδυνο που υπολογίζ</w:t>
            </w:r>
            <w:r>
              <w:rPr>
                <w:rFonts w:ascii="Times New Roman" w:hAnsi="Times New Roman"/>
                <w:sz w:val="24"/>
              </w:rPr>
              <w:t>ε</w:t>
            </w:r>
            <w:r>
              <w:rPr>
                <w:rFonts w:ascii="Times New Roman" w:hAnsi="Times New Roman"/>
                <w:sz w:val="24"/>
              </w:rPr>
              <w:t>ται σύμφωνα με το τρίτο μέρος τίτλος II κεφάλαιο 5 τμήμα 3 του ΚΚΑ, πριν από (στήλη 370)/μετά (στήλη 380) την εφαρμογή των ορίων που προσδιορίζ</w:t>
            </w:r>
            <w:r>
              <w:rPr>
                <w:rFonts w:ascii="Times New Roman" w:hAnsi="Times New Roman"/>
                <w:sz w:val="24"/>
              </w:rPr>
              <w:t>ο</w:t>
            </w:r>
            <w:r>
              <w:rPr>
                <w:rFonts w:ascii="Times New Roman" w:hAnsi="Times New Roman"/>
                <w:sz w:val="24"/>
              </w:rPr>
              <w:t>νται στο άρθρο 252 —τιτλοποίηση στοιχείων που βρίσκονται σε αθέτηση ή που σχετίζονται με στοιχεία με ιδιαίτερα υψηλούς κινδύνους— ή στο ά</w:t>
            </w:r>
            <w:r>
              <w:rPr>
                <w:rFonts w:ascii="Times New Roman" w:hAnsi="Times New Roman"/>
                <w:sz w:val="24"/>
              </w:rPr>
              <w:t>ρ</w:t>
            </w:r>
            <w:r>
              <w:rPr>
                <w:rFonts w:ascii="Times New Roman" w:hAnsi="Times New Roman"/>
                <w:sz w:val="24"/>
              </w:rPr>
              <w:t>θρο 256 παράγραφος 4 —συμπληρωματικές απαιτήσεις ιδίων κεφαλαίων για τιτλοποιήσεις ανακυκλούμενων ανοιγμάτων με ρήτρα πρόωρης εξόφλησης— του ΚΚΑ.</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ΥΠΟΜΝΗΜΑΤΙΚΟ ΣΤΟΙΧΕΙΟ: ΠΟΣΟ ΑΝΟΙΓΜΑΤΟΣ ΣΤΑΘΜ</w:t>
            </w:r>
            <w:r>
              <w:rPr>
                <w:rFonts w:ascii="Times New Roman" w:hAnsi="Times New Roman"/>
                <w:b/>
                <w:sz w:val="24"/>
                <w:u w:val="single"/>
              </w:rPr>
              <w:t>Ι</w:t>
            </w:r>
            <w:r>
              <w:rPr>
                <w:rFonts w:ascii="Times New Roman" w:hAnsi="Times New Roman"/>
                <w:b/>
                <w:sz w:val="24"/>
                <w:u w:val="single"/>
              </w:rPr>
              <w:t xml:space="preserve">ΣΜΕΝΟ ΩΣ ΠΡΟΣ ΤΟΝ ΚΙΝΔΥΝΟ ΠΟΥ ΑΝΤΙΣΤΟΙΧΕΙ ΣΤΙΣ </w:t>
            </w:r>
            <w:r>
              <w:rPr>
                <w:rFonts w:ascii="Times New Roman" w:hAnsi="Times New Roman"/>
                <w:b/>
                <w:sz w:val="24"/>
                <w:u w:val="single"/>
              </w:rPr>
              <w:t>Ε</w:t>
            </w:r>
            <w:r>
              <w:rPr>
                <w:rFonts w:ascii="Times New Roman" w:hAnsi="Times New Roman"/>
                <w:b/>
                <w:sz w:val="24"/>
                <w:u w:val="single"/>
              </w:rPr>
              <w:t>ΚΡΟΕΣ ΑΠΟ ΤΗΝ ΤΙΤΛΟΠΟΙΗΣΗ SA ΣΕ ΑΛΛΕΣ ΚΑΤΗΓΟΡΙΕΣ ΑΝΟΙΓΜΑΤΩΝ</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Ποσό ανοίγματος σταθμισμένο ως προς τον κίνδυνο που προκύπτει από ανοί</w:t>
            </w:r>
            <w:r>
              <w:rPr>
                <w:rFonts w:ascii="Times New Roman" w:hAnsi="Times New Roman"/>
                <w:sz w:val="24"/>
              </w:rPr>
              <w:t>γ</w:t>
            </w:r>
            <w:r>
              <w:rPr>
                <w:rFonts w:ascii="Times New Roman" w:hAnsi="Times New Roman"/>
                <w:sz w:val="24"/>
              </w:rPr>
              <w:t>ματα που έχουν ανακατανεμηθεί στον πάροχο των στοιχείων μείωσης πιστωτ</w:t>
            </w:r>
            <w:r>
              <w:rPr>
                <w:rFonts w:ascii="Times New Roman" w:hAnsi="Times New Roman"/>
                <w:sz w:val="24"/>
              </w:rPr>
              <w:t>ι</w:t>
            </w:r>
            <w:r>
              <w:rPr>
                <w:rFonts w:ascii="Times New Roman" w:hAnsi="Times New Roman"/>
                <w:sz w:val="24"/>
              </w:rPr>
              <w:t xml:space="preserve">κού κινδύνου, και επομένως, υπολογίζονται στο αντίστοιχο υπόδειγμα, τα </w:t>
            </w:r>
            <w:r>
              <w:rPr>
                <w:rFonts w:ascii="Times New Roman" w:hAnsi="Times New Roman"/>
                <w:sz w:val="24"/>
              </w:rPr>
              <w:t>ο</w:t>
            </w:r>
            <w:r>
              <w:rPr>
                <w:rFonts w:ascii="Times New Roman" w:hAnsi="Times New Roman"/>
                <w:sz w:val="24"/>
              </w:rPr>
              <w:t>ποία λαμβάνονται υπόψη στον υπολογισμό του ανώτατου ορίου για τις θέσεις τιτλοποίησης.</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jc w:val="left"/>
        <w:rPr>
          <w:rFonts w:ascii="Times New Roman" w:hAnsi="Times New Roman"/>
          <w:sz w:val="24"/>
        </w:rPr>
      </w:pPr>
    </w:p>
    <w:p w:rsidR="00612780" w:rsidRPr="00392FFD" w:rsidRDefault="00125707" w:rsidP="00C37B29">
      <w:pPr>
        <w:pStyle w:val="InstructionsText2"/>
        <w:numPr>
          <w:ilvl w:val="0"/>
          <w:numId w:val="0"/>
        </w:numPr>
        <w:ind w:left="993"/>
      </w:pPr>
      <w:r>
        <w:t>102.</w:t>
      </w:r>
      <w:r>
        <w:tab/>
        <w:t xml:space="preserve">Το υπόδειγμα CR SEC SA διαιρείται σε τρεις κύριες ομάδες γραμμών στις </w:t>
      </w:r>
      <w:r>
        <w:t>ο</w:t>
      </w:r>
      <w:r>
        <w:t>ποίες συγκεντρώνονται δεδομένα για τα ανοίγματα που έχουν δημιουργηθεί / τ</w:t>
      </w:r>
      <w:r>
        <w:t>ε</w:t>
      </w:r>
      <w:r>
        <w:t xml:space="preserve">λούν υπό την αιγίδα / έχουν </w:t>
      </w:r>
      <w:proofErr w:type="spellStart"/>
      <w:r>
        <w:t>διακρατηθεί</w:t>
      </w:r>
      <w:proofErr w:type="spellEnd"/>
      <w:r>
        <w:t xml:space="preserve"> ή αγορασθεί από μεταβιβάζουσες οντότ</w:t>
      </w:r>
      <w:r>
        <w:t>η</w:t>
      </w:r>
      <w:r>
        <w:t>τες, επενδυτές και αναδόχους. Για καθένα εξ αυτών, οι πληροφορίες κατανέμονται με βάση τα εντός ισολογισμού στοιχεία και τα εκτός ισολογισμού στοιχεία και π</w:t>
      </w:r>
      <w:r>
        <w:t>α</w:t>
      </w:r>
      <w:r>
        <w:t xml:space="preserve">ράγωγα, καθώς και με βάση τις τιτλοποιήσεις και επανατιτλοποιήσεις. </w:t>
      </w:r>
    </w:p>
    <w:p w:rsidR="00612780" w:rsidRPr="00392FFD" w:rsidRDefault="00125707" w:rsidP="00C37B29">
      <w:pPr>
        <w:pStyle w:val="InstructionsText2"/>
        <w:numPr>
          <w:ilvl w:val="0"/>
          <w:numId w:val="0"/>
        </w:numPr>
        <w:ind w:left="993"/>
      </w:pPr>
      <w:r>
        <w:lastRenderedPageBreak/>
        <w:t>103.</w:t>
      </w:r>
      <w:r>
        <w:tab/>
        <w:t>Οι θέσεις που αντιμετωπίζονται σύμφωνα με τη μέθοδο βάσει διαβαθμίσεων και οι μη διαβαθμισμένες θέσεις (ανοίγματα κατά την ημερομηνία υποβολής της αναφοράς) κατανέμονται επίσης βάσει των βαθμίδων πιστωτικής ποιότητας που εφαρμόζονται στην αρχή (τελευταία δέσμη γραμμών). Οι μεταβιβάζουσες οντότ</w:t>
      </w:r>
      <w:r>
        <w:t>η</w:t>
      </w:r>
      <w:r>
        <w:t>τες, οι ανάδοχοι, καθώς και οι επενδυτές αναφέρουν τις πληροφορίες αυτές.</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F71DF2">
            <w:pPr>
              <w:autoSpaceDE w:val="0"/>
              <w:autoSpaceDN w:val="0"/>
              <w:adjustRightInd w:val="0"/>
              <w:spacing w:before="0" w:after="0"/>
              <w:jc w:val="left"/>
              <w:rPr>
                <w:rFonts w:ascii="Times New Roman" w:hAnsi="Times New Roman"/>
                <w:bCs/>
                <w:sz w:val="24"/>
              </w:rPr>
            </w:pPr>
            <w:r>
              <w:rPr>
                <w:rFonts w:ascii="Times New Roman" w:hAnsi="Times New Roman"/>
                <w:b/>
                <w:sz w:val="24"/>
              </w:rPr>
              <w:t>Γραμμές</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ΣΥΝΟΛΙΚΑ ΑΝΟΙΓΜΑΤΑ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Τα συνολικά ανοίγματα αφορούν το συνολικό ύψος εκκρεμών τιτλοποιήσεων. Στη συγκεκριμένη γραμμή συνοψίζονται όλες οι πληροφορίες τις οποίες αν</w:t>
            </w:r>
            <w:r>
              <w:rPr>
                <w:rFonts w:ascii="Times New Roman" w:hAnsi="Times New Roman"/>
                <w:sz w:val="24"/>
              </w:rPr>
              <w:t>α</w:t>
            </w:r>
            <w:r>
              <w:rPr>
                <w:rFonts w:ascii="Times New Roman" w:hAnsi="Times New Roman"/>
                <w:sz w:val="24"/>
              </w:rPr>
              <w:t>φέρουν οι μεταβιβάζουσες οντότητες, οι ανάδοχοι και οι επενδυτές σε επόμενες γραμμές.</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ΕΚ ΤΩΝ ΟΠΟΙΩΝ: ΕΠΑΝΑΤΙΤΛΟΠΟΙΗΣΕΙΣ</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Συνολικό ποσό εκκρεμών </w:t>
            </w:r>
            <w:proofErr w:type="spellStart"/>
            <w:r>
              <w:rPr>
                <w:rFonts w:ascii="Times New Roman" w:hAnsi="Times New Roman"/>
                <w:sz w:val="24"/>
              </w:rPr>
              <w:t>επανατιτλοποιήσεων</w:t>
            </w:r>
            <w:proofErr w:type="spellEnd"/>
            <w:r>
              <w:rPr>
                <w:rFonts w:ascii="Times New Roman" w:hAnsi="Times New Roman"/>
                <w:sz w:val="24"/>
              </w:rPr>
              <w:t>, σύμφωνα με τους ορισμούς του άρθρου 4 παράγραφος 1 σημεία 63) και 64) του ΚΚΑ.</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ΜΕΤΑΒΙΒΑΖΟΥΣΑ ΟΝΤΟΤΗΤΑ: ΣΥΝΟΛΙΚΑ ΑΝΟΙΓΜΑΤΑ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γραμμή συνοψίζονται πληροφορίες για εντός ισολογισμού στοιχεία και εκτός ισολογισμού στοιχεία και παράγωγα και την πρόωρη εξ</w:t>
            </w:r>
            <w:r>
              <w:rPr>
                <w:rFonts w:ascii="Times New Roman" w:hAnsi="Times New Roman"/>
                <w:sz w:val="24"/>
              </w:rPr>
              <w:t>ό</w:t>
            </w:r>
            <w:r>
              <w:rPr>
                <w:rFonts w:ascii="Times New Roman" w:hAnsi="Times New Roman"/>
                <w:sz w:val="24"/>
              </w:rPr>
              <w:t>φληση των θέσεων τιτλοποίησης για τις οποίες το ίδρυμα λειτουργεί ως μετ</w:t>
            </w:r>
            <w:r>
              <w:rPr>
                <w:rFonts w:ascii="Times New Roman" w:hAnsi="Times New Roman"/>
                <w:sz w:val="24"/>
              </w:rPr>
              <w:t>α</w:t>
            </w:r>
            <w:r>
              <w:rPr>
                <w:rFonts w:ascii="Times New Roman" w:hAnsi="Times New Roman"/>
                <w:sz w:val="24"/>
              </w:rPr>
              <w:t>βιβάζουσα οντότητα, όπως ορίζεται στο άρθρο 4 παράγραφος 1 σημείο 13) του ΚΚΑ.</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ΣΤΟΙΧΕΙΑ ΕΝΤΟΣ ΙΣΟΛΟΓΙΣΜΟΥ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Το άρθρο 246 παράγραφος 1 στοιχείο α) του ΚΚΑ αναφέρει ότι, στην περ</w:t>
            </w:r>
            <w:r>
              <w:rPr>
                <w:rFonts w:ascii="Times New Roman" w:hAnsi="Times New Roman"/>
                <w:sz w:val="24"/>
              </w:rPr>
              <w:t>ί</w:t>
            </w:r>
            <w:r>
              <w:rPr>
                <w:rFonts w:ascii="Times New Roman" w:hAnsi="Times New Roman"/>
                <w:sz w:val="24"/>
              </w:rPr>
              <w:t>πτωση ιδρυμάτων που υπολογίζουν τα σταθμισμένα ποσά των ανοιγμάτων σύμφωνα με την τυποποιημένη προσέγγιση, η αξία ανοίγματος μιας θέσης τι</w:t>
            </w:r>
            <w:r>
              <w:rPr>
                <w:rFonts w:ascii="Times New Roman" w:hAnsi="Times New Roman"/>
                <w:sz w:val="24"/>
              </w:rPr>
              <w:t>τ</w:t>
            </w:r>
            <w:r>
              <w:rPr>
                <w:rFonts w:ascii="Times New Roman" w:hAnsi="Times New Roman"/>
                <w:sz w:val="24"/>
              </w:rPr>
              <w:t>λοποίησης εντός ισολογισμού είναι η λογιστική αξία της θέσης μετά την εφα</w:t>
            </w:r>
            <w:r>
              <w:rPr>
                <w:rFonts w:ascii="Times New Roman" w:hAnsi="Times New Roman"/>
                <w:sz w:val="24"/>
              </w:rPr>
              <w:t>ρ</w:t>
            </w:r>
            <w:r>
              <w:rPr>
                <w:rFonts w:ascii="Times New Roman" w:hAnsi="Times New Roman"/>
                <w:sz w:val="24"/>
              </w:rPr>
              <w:t>μογή ειδικών προσαρμογών πιστωτικού κινδύνου.</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Τα στοιχεία εντός ισολογισμού κατανέμονται με βάση τις τιτλοποιήσεις (γρα</w:t>
            </w:r>
            <w:r>
              <w:rPr>
                <w:rFonts w:ascii="Times New Roman" w:hAnsi="Times New Roman"/>
                <w:sz w:val="24"/>
              </w:rPr>
              <w:t>μ</w:t>
            </w:r>
            <w:r>
              <w:rPr>
                <w:rFonts w:ascii="Times New Roman" w:hAnsi="Times New Roman"/>
                <w:sz w:val="24"/>
              </w:rPr>
              <w:t>μή 050) και τις επανατιτλοποιήσεις (γραμμή 060).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ΣΤΟΙΧΕΙΑ ΚΑΙ ΠΑΡΑΓΩΓΑ ΕΚΤΟΣ ΙΣΟΛΟΓΙΣΜΟΥ</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Στις γραμμές αυτές συγκεντρώνονται πληροφορίες σχετικά με θέσεις τιτλοπο</w:t>
            </w:r>
            <w:r>
              <w:rPr>
                <w:rFonts w:ascii="Times New Roman" w:hAnsi="Times New Roman"/>
                <w:sz w:val="24"/>
              </w:rPr>
              <w:t>ί</w:t>
            </w:r>
            <w:r>
              <w:rPr>
                <w:rFonts w:ascii="Times New Roman" w:hAnsi="Times New Roman"/>
                <w:sz w:val="24"/>
              </w:rPr>
              <w:t>ησης στοιχείων και παραγώγων εκτός ισολογισμού, που υπόκεινται σε συντ</w:t>
            </w:r>
            <w:r>
              <w:rPr>
                <w:rFonts w:ascii="Times New Roman" w:hAnsi="Times New Roman"/>
                <w:sz w:val="24"/>
              </w:rPr>
              <w:t>ε</w:t>
            </w:r>
            <w:r>
              <w:rPr>
                <w:rFonts w:ascii="Times New Roman" w:hAnsi="Times New Roman"/>
                <w:sz w:val="24"/>
              </w:rPr>
              <w:t>λεστή μετατροπής βάσει του πλαισίου τιτλοποίησης. Η αξία ανοίγματος μιας εκτός ισολογισμού θέσης τιτλοποίησης είναι η ονομαστική αξία της, μείον τ</w:t>
            </w:r>
            <w:r>
              <w:rPr>
                <w:rFonts w:ascii="Times New Roman" w:hAnsi="Times New Roman"/>
                <w:sz w:val="24"/>
              </w:rPr>
              <w:t>υ</w:t>
            </w:r>
            <w:r>
              <w:rPr>
                <w:rFonts w:ascii="Times New Roman" w:hAnsi="Times New Roman"/>
                <w:sz w:val="24"/>
              </w:rPr>
              <w:t>χόν ειδικές προσαρμογές πιστωτικού κινδύνου της εν λόγω θέσης τιτλοποί</w:t>
            </w:r>
            <w:r>
              <w:rPr>
                <w:rFonts w:ascii="Times New Roman" w:hAnsi="Times New Roman"/>
                <w:sz w:val="24"/>
              </w:rPr>
              <w:t>η</w:t>
            </w:r>
            <w:r>
              <w:rPr>
                <w:rFonts w:ascii="Times New Roman" w:hAnsi="Times New Roman"/>
                <w:sz w:val="24"/>
              </w:rPr>
              <w:t>σης, επί συντελεστή μετατροπής 100 %, εκτός εάν ορίζεται διαφορετικά.</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Η αξία ανοίγματος του πιστωτικού κινδύνου αντισυμβαλλομένου ενός από τα παράγωγα μέσα που απαριθμούνται στο παράρτημα II του ΚΚΑ, προσδιορίζ</w:t>
            </w:r>
            <w:r>
              <w:rPr>
                <w:rFonts w:ascii="Times New Roman" w:hAnsi="Times New Roman"/>
                <w:sz w:val="24"/>
              </w:rPr>
              <w:t>ε</w:t>
            </w:r>
            <w:r>
              <w:rPr>
                <w:rFonts w:ascii="Times New Roman" w:hAnsi="Times New Roman"/>
                <w:sz w:val="24"/>
              </w:rPr>
              <w:t xml:space="preserve">ται σύμφωνα με το τρίτο μέρος τίτλος II κεφάλαιο 6 του ΚΚΑ.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Στην περίπτωση ταμειακών διευκολύνσεων, πιστωτικών διευκολύνσεων και ταμειακών διευκολύνσεων του διαχειριστή, τα ιδρύματα αναφέρουν το μη αν</w:t>
            </w:r>
            <w:r>
              <w:rPr>
                <w:rFonts w:ascii="Times New Roman" w:hAnsi="Times New Roman"/>
                <w:sz w:val="24"/>
              </w:rPr>
              <w:t>α</w:t>
            </w:r>
            <w:r>
              <w:rPr>
                <w:rFonts w:ascii="Times New Roman" w:hAnsi="Times New Roman"/>
                <w:sz w:val="24"/>
              </w:rPr>
              <w:t xml:space="preserve">ληφθέν ποσό.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Στην περίπτωση συμφωνιών ανταλλαγής επιτοκίων και συναλλάγματος, αν</w:t>
            </w:r>
            <w:r>
              <w:rPr>
                <w:rFonts w:ascii="Times New Roman" w:hAnsi="Times New Roman"/>
                <w:sz w:val="24"/>
              </w:rPr>
              <w:t>α</w:t>
            </w:r>
            <w:r>
              <w:rPr>
                <w:rFonts w:ascii="Times New Roman" w:hAnsi="Times New Roman"/>
                <w:sz w:val="24"/>
              </w:rPr>
              <w:t xml:space="preserve">φέρεται η αξία ανοίγματος (σύμφωνα με το άρθρο 246 παράγραφος 1 του </w:t>
            </w:r>
            <w:r>
              <w:rPr>
                <w:rFonts w:ascii="Times New Roman" w:hAnsi="Times New Roman"/>
                <w:sz w:val="24"/>
              </w:rPr>
              <w:t>Κ</w:t>
            </w:r>
            <w:r>
              <w:rPr>
                <w:rFonts w:ascii="Times New Roman" w:hAnsi="Times New Roman"/>
                <w:sz w:val="24"/>
              </w:rPr>
              <w:t xml:space="preserve">ΚΑ), όπως προσδιορίζεται στο υπόδειγμα CR SA </w:t>
            </w:r>
            <w:proofErr w:type="spellStart"/>
            <w:r>
              <w:rPr>
                <w:rFonts w:ascii="Times New Roman" w:hAnsi="Times New Roman"/>
                <w:sz w:val="24"/>
              </w:rPr>
              <w:t>Total</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Τα στοιχεία και παράγωγα εκτός ισολογισμού κατανέμονται με βάση τις τιτλ</w:t>
            </w:r>
            <w:r>
              <w:rPr>
                <w:rFonts w:ascii="Times New Roman" w:hAnsi="Times New Roman"/>
                <w:sz w:val="24"/>
              </w:rPr>
              <w:t>ο</w:t>
            </w:r>
            <w:r>
              <w:rPr>
                <w:rFonts w:ascii="Times New Roman" w:hAnsi="Times New Roman"/>
                <w:sz w:val="24"/>
              </w:rPr>
              <w:t>ποιήσεις (γραμμή 080) και τις επανατιτλοποιήσεις (γραμμή 090), όπως στον πίνακα 1 του άρθρου 251 του ΚΚΑ.</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ΠΡΟΩΡΗ ΕΞΟΦΛΗΣΗ</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Η συγκεκριμένη γραμμή εφαρμόζεται μόνο για μεταβιβάζουσες οντότητες με τιτλοποιήσεις ανακυκλούμενων ανοιγμάτων που περιέχουν ρήτρα πρόωρης </w:t>
            </w:r>
            <w:r>
              <w:rPr>
                <w:rFonts w:ascii="Times New Roman" w:hAnsi="Times New Roman"/>
                <w:sz w:val="24"/>
              </w:rPr>
              <w:t>ε</w:t>
            </w:r>
            <w:r>
              <w:rPr>
                <w:rFonts w:ascii="Times New Roman" w:hAnsi="Times New Roman"/>
                <w:sz w:val="24"/>
              </w:rPr>
              <w:t>ξόφλησης, όπως αναφέρεται στο άρθρο 242 σημεία 13) και 14) του ΚΚΑ.</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Borders>
              <w:bottom w:val="single" w:sz="4" w:space="0" w:color="auto"/>
            </w:tcBorders>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Borders>
              <w:bottom w:val="single" w:sz="4" w:space="0" w:color="auto"/>
            </w:tcBorders>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ΕΠΕΝΔΥΤΗΣ: ΣΥΝΟΛΙΚΑ ΑΝΟΙΓΜΑΤΑ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Στη συγκεκριμένη γραμμή συνοψίζονται πληροφορίες για εντός ισολογισμού και εκτός ισολογισμού στοιχεία και παράγωγα των θέσεων τιτλοποίησης για τις οποίες το ίδρυμα λειτουργεί ως επενδυτής.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Ο ΚΚΑ δεν αναφέρει σαφή ορισμό των επενδυτών. Επομένως, στο συγκεκρ</w:t>
            </w:r>
            <w:r>
              <w:rPr>
                <w:rFonts w:ascii="Times New Roman" w:hAnsi="Times New Roman"/>
                <w:sz w:val="24"/>
              </w:rPr>
              <w:t>ι</w:t>
            </w:r>
            <w:r>
              <w:rPr>
                <w:rFonts w:ascii="Times New Roman" w:hAnsi="Times New Roman"/>
                <w:sz w:val="24"/>
              </w:rPr>
              <w:t xml:space="preserve">μένο πλαίσιο, επενδυτής θεωρείται ένα ίδρυμα που κατέχει θέση τιτλοποίησης σε μια συναλλαγή τιτλοποίησης στην οποία δεν είναι ούτε μεταβιβάζουσα </w:t>
            </w:r>
            <w:r>
              <w:rPr>
                <w:rFonts w:ascii="Times New Roman" w:hAnsi="Times New Roman"/>
                <w:sz w:val="24"/>
              </w:rPr>
              <w:t>ο</w:t>
            </w:r>
            <w:r>
              <w:rPr>
                <w:rFonts w:ascii="Times New Roman" w:hAnsi="Times New Roman"/>
                <w:sz w:val="24"/>
              </w:rPr>
              <w:t>ντότητα ούτε ανάδοχος.</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120-140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ΣΤΟΙΧΕΙΑ ΕΝΤΟΣ ΙΣΟΛΟΓΙΣΜΟΥ</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Τα ίδια κριτήρια κατάταξης μεταξύ τιτλοποιήσεων και </w:t>
            </w:r>
            <w:proofErr w:type="spellStart"/>
            <w:r>
              <w:rPr>
                <w:rFonts w:ascii="Times New Roman" w:hAnsi="Times New Roman"/>
                <w:sz w:val="24"/>
              </w:rPr>
              <w:t>επανατιτλοποιήσεων</w:t>
            </w:r>
            <w:proofErr w:type="spellEnd"/>
            <w:r>
              <w:rPr>
                <w:rFonts w:ascii="Times New Roman" w:hAnsi="Times New Roman"/>
                <w:sz w:val="24"/>
              </w:rPr>
              <w:t xml:space="preserve"> που χρησιμοποιούνται για τα στοιχεία εντός ισολογισμού, στην περίπτωση μ</w:t>
            </w:r>
            <w:r>
              <w:rPr>
                <w:rFonts w:ascii="Times New Roman" w:hAnsi="Times New Roman"/>
                <w:sz w:val="24"/>
              </w:rPr>
              <w:t>ε</w:t>
            </w:r>
            <w:r>
              <w:rPr>
                <w:rFonts w:ascii="Times New Roman" w:hAnsi="Times New Roman"/>
                <w:sz w:val="24"/>
              </w:rPr>
              <w:t>ταβιβαζουσών οντοτήτων, χρησιμοποιούνται και στη συγκεκριμένη περίπτωση.</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ΣΤΟΙΧΕΙΑ ΚΑΙ ΠΑΡΑΓΩΓΑ ΕΚΤΟΣ ΙΣΟΛΟΓΙΣΜΟΥ</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Τα ίδια κριτήρια κατάταξης μεταξύ τιτλοποιήσεων και </w:t>
            </w:r>
            <w:proofErr w:type="spellStart"/>
            <w:r>
              <w:rPr>
                <w:rFonts w:ascii="Times New Roman" w:hAnsi="Times New Roman"/>
                <w:sz w:val="24"/>
              </w:rPr>
              <w:t>επανατιτλοποιήσεων</w:t>
            </w:r>
            <w:proofErr w:type="spellEnd"/>
            <w:r>
              <w:rPr>
                <w:rFonts w:ascii="Times New Roman" w:hAnsi="Times New Roman"/>
                <w:sz w:val="24"/>
              </w:rPr>
              <w:t xml:space="preserve"> που χρησιμοποιούνται για τα στοιχεία και παράγωγα εκτός ισολογισμού, στην περίπτωση μεταβιβαζουσών οντοτήτων, χρησιμοποιούνται και στη συγκεκρ</w:t>
            </w:r>
            <w:r>
              <w:rPr>
                <w:rFonts w:ascii="Times New Roman" w:hAnsi="Times New Roman"/>
                <w:sz w:val="24"/>
              </w:rPr>
              <w:t>ι</w:t>
            </w:r>
            <w:r>
              <w:rPr>
                <w:rFonts w:ascii="Times New Roman" w:hAnsi="Times New Roman"/>
                <w:sz w:val="24"/>
              </w:rPr>
              <w:t>μένη περίπτωση.</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ΑΝΑΔΟΧΟΣ ΟΝΤΟΤΗΤΑ: ΣΥΝΟΛΙΚΑ ΑΝΟΙΓΜΑΤΑ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pacing w:val="-6"/>
                <w:sz w:val="24"/>
              </w:rPr>
            </w:pPr>
            <w:r>
              <w:rPr>
                <w:rFonts w:ascii="Times New Roman" w:hAnsi="Times New Roman"/>
                <w:sz w:val="24"/>
              </w:rPr>
              <w:t xml:space="preserve">Στη συγκεκριμένη γραμμή συνοψίζονται πληροφορίες για εντός ισολογισμού και εκτός ισολογισμού στοιχεία και παράγωγα των θέσεων τιτλοποίησης για τις οποίες το ίδρυμα λειτουργεί ως ανάδοχος, όπως ορίζεται στο άρθρο 4 σημείο 14) του ΚΚΑ. Εάν μια ανάδοχος οντότητα </w:t>
            </w:r>
            <w:proofErr w:type="spellStart"/>
            <w:r>
              <w:rPr>
                <w:rFonts w:ascii="Times New Roman" w:hAnsi="Times New Roman"/>
                <w:sz w:val="24"/>
              </w:rPr>
              <w:t>τιτλοποιεί</w:t>
            </w:r>
            <w:proofErr w:type="spellEnd"/>
            <w:r>
              <w:rPr>
                <w:rFonts w:ascii="Times New Roman" w:hAnsi="Times New Roman"/>
                <w:sz w:val="24"/>
              </w:rPr>
              <w:t xml:space="preserve"> επίσης δικά της στοιχεία ενεργητικού, συμπληρώνει στις γραμμές που αφορούν τη μεταβιβάζουσα οντ</w:t>
            </w:r>
            <w:r>
              <w:rPr>
                <w:rFonts w:ascii="Times New Roman" w:hAnsi="Times New Roman"/>
                <w:sz w:val="24"/>
              </w:rPr>
              <w:t>ό</w:t>
            </w:r>
            <w:r>
              <w:rPr>
                <w:rFonts w:ascii="Times New Roman" w:hAnsi="Times New Roman"/>
                <w:sz w:val="24"/>
              </w:rPr>
              <w:lastRenderedPageBreak/>
              <w:t>τητα πληροφορίες σχετικά με τα δικά της τιτλοποιημένα στοιχεία ενεργητικού.</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190-210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ΣΤΟΙΧΕΙΑ ΕΝΤΟΣ ΙΣΟΛΟΓΙΣΜΟΥ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Τα ίδια κριτήρια κατάταξης μεταξύ τιτλοποιήσεων και </w:t>
            </w:r>
            <w:proofErr w:type="spellStart"/>
            <w:r>
              <w:rPr>
                <w:rFonts w:ascii="Times New Roman" w:hAnsi="Times New Roman"/>
                <w:sz w:val="24"/>
              </w:rPr>
              <w:t>επανατιτλοποιήσεων</w:t>
            </w:r>
            <w:proofErr w:type="spellEnd"/>
            <w:r>
              <w:rPr>
                <w:rFonts w:ascii="Times New Roman" w:hAnsi="Times New Roman"/>
                <w:sz w:val="24"/>
              </w:rPr>
              <w:t xml:space="preserve"> που χρησιμοποιούνται για τα στοιχεία εντός ισολογισμού, στην περίπτωση μ</w:t>
            </w:r>
            <w:r>
              <w:rPr>
                <w:rFonts w:ascii="Times New Roman" w:hAnsi="Times New Roman"/>
                <w:sz w:val="24"/>
              </w:rPr>
              <w:t>ε</w:t>
            </w:r>
            <w:r>
              <w:rPr>
                <w:rFonts w:ascii="Times New Roman" w:hAnsi="Times New Roman"/>
                <w:sz w:val="24"/>
              </w:rPr>
              <w:t>ταβιβαζουσών οντοτήτων, χρησιμοποιούνται και στη συγκεκριμένη περίπτωση.</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220-240</w:t>
            </w:r>
          </w:p>
        </w:tc>
        <w:tc>
          <w:tcPr>
            <w:tcW w:w="7903" w:type="dxa"/>
            <w:shd w:val="clear" w:color="auto" w:fill="auto"/>
          </w:tcPr>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ΣΤΟΙΧΕΙΑ ΚΑΙ ΠΑΡΑΓΩΓΑ ΕΚΤΟΣ ΙΣΟΛΟΓΙΣΜΟΥ</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Τα ίδια κριτήρια κατάταξης μεταξύ τιτλοποιήσεων και </w:t>
            </w:r>
            <w:proofErr w:type="spellStart"/>
            <w:r>
              <w:rPr>
                <w:rFonts w:ascii="Times New Roman" w:hAnsi="Times New Roman"/>
                <w:sz w:val="24"/>
              </w:rPr>
              <w:t>επανατιτλοποιήσεων</w:t>
            </w:r>
            <w:proofErr w:type="spellEnd"/>
            <w:r>
              <w:rPr>
                <w:rFonts w:ascii="Times New Roman" w:hAnsi="Times New Roman"/>
                <w:sz w:val="24"/>
              </w:rPr>
              <w:t xml:space="preserve"> που χρησιμοποιούνται για τα στοιχεία και παράγωγα εκτός ισολογισμού, στην περίπτωση μεταβιβαζουσών οντοτήτων, χρησιμοποιούνται και στη συγκεκρ</w:t>
            </w:r>
            <w:r>
              <w:rPr>
                <w:rFonts w:ascii="Times New Roman" w:hAnsi="Times New Roman"/>
                <w:sz w:val="24"/>
              </w:rPr>
              <w:t>ι</w:t>
            </w:r>
            <w:r>
              <w:rPr>
                <w:rFonts w:ascii="Times New Roman" w:hAnsi="Times New Roman"/>
                <w:sz w:val="24"/>
              </w:rPr>
              <w:t>μένη περίπτωση.</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250-290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ΚΑΤΑΝΟΜΗ ΕΚΚΡΕΜΩΝ ΘΕΣΕΩΝ ΣΥΜΦΩΝΑ ΜΕ ΤΗ ΒΑΘΜΙΔΑ ΠΙΣΤΩΤΙΚΗΣ ΠΟΙΟΤΗΤΑΣ (CQS) ΣΤΗΝ ΑΡΧΗ</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Στις συγκεκριμένες γραμμές συγκεντρώνονται πληροφορίες για ανεξόφλητες θέσεις που αντιμετωπίζονται σύμφωνα με τη μέθοδο βάσει διαβαθμίσεων και για μη διαβαθμισμένες θέσεις (κατά την ημερομηνία αναφοράς) σύμφωνα με τις βαθμίδες πιστωτικής ποιότητας (που προβλέπονται για την τυποποιημένη προσέγγιση στο άρθρο 251 (πίνακας 1) του ΚΚΑ) που εφαρμόζονται κατά την ημερομηνία δημιουργίας (αρχή). Εάν δεν υπάρχουν οι πληροφορίες αυτές, </w:t>
            </w:r>
            <w:r>
              <w:rPr>
                <w:rFonts w:ascii="Times New Roman" w:hAnsi="Times New Roman"/>
                <w:sz w:val="24"/>
              </w:rPr>
              <w:t>α</w:t>
            </w:r>
            <w:r>
              <w:rPr>
                <w:rFonts w:ascii="Times New Roman" w:hAnsi="Times New Roman"/>
                <w:sz w:val="24"/>
              </w:rPr>
              <w:t>ναφέρονται τα πρώτα ισοδύναμα των βαθμίδων πιστωτικής ποιότητας δεδομ</w:t>
            </w:r>
            <w:r>
              <w:rPr>
                <w:rFonts w:ascii="Times New Roman" w:hAnsi="Times New Roman"/>
                <w:sz w:val="24"/>
              </w:rPr>
              <w:t>έ</w:t>
            </w:r>
            <w:r>
              <w:rPr>
                <w:rFonts w:ascii="Times New Roman" w:hAnsi="Times New Roman"/>
                <w:sz w:val="24"/>
              </w:rPr>
              <w:t>να που είναι διαθέσιμα.</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Οι γραμμές αυτές υποβάλλονται μόνο για τις στήλες 190, 210 έως 270 και τις στήλες 330 έως 340.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93" w:name="_Toc239157387"/>
      <w:bookmarkStart w:id="394" w:name="_Toc310415042"/>
      <w:bookmarkStart w:id="395" w:name="_Toc360188378"/>
      <w:bookmarkStart w:id="396" w:name="_Toc516210664"/>
      <w:bookmarkStart w:id="397" w:name="_Toc473560929"/>
      <w:r>
        <w:rPr>
          <w:rFonts w:ascii="Times New Roman" w:hAnsi="Times New Roman"/>
          <w:sz w:val="24"/>
          <w:u w:val="none"/>
        </w:rPr>
        <w:t>3.8.</w:t>
      </w:r>
      <w:r>
        <w:tab/>
      </w:r>
      <w:r>
        <w:rPr>
          <w:rFonts w:ascii="Times New Roman" w:hAnsi="Times New Roman"/>
          <w:sz w:val="24"/>
        </w:rPr>
        <w:t>C 13.00 – Πιστωτικός Κίνδυνος – Τιτλοποιήσεις: Προσέγγιση των Εσωτερικών Δι</w:t>
      </w:r>
      <w:r>
        <w:rPr>
          <w:rFonts w:ascii="Times New Roman" w:hAnsi="Times New Roman"/>
          <w:sz w:val="24"/>
        </w:rPr>
        <w:t>α</w:t>
      </w:r>
      <w:r>
        <w:rPr>
          <w:rFonts w:ascii="Times New Roman" w:hAnsi="Times New Roman"/>
          <w:sz w:val="24"/>
        </w:rPr>
        <w:t>βαθμίσεων για τις Απαιτήσεις Ιδίων Κεφαλαίων</w:t>
      </w:r>
      <w:bookmarkEnd w:id="393"/>
      <w:bookmarkEnd w:id="394"/>
      <w:bookmarkEnd w:id="395"/>
      <w:r>
        <w:rPr>
          <w:rFonts w:ascii="Times New Roman" w:hAnsi="Times New Roman"/>
          <w:sz w:val="24"/>
        </w:rPr>
        <w:t xml:space="preserve"> (CR SEC IRB)</w:t>
      </w:r>
      <w:bookmarkEnd w:id="396"/>
      <w:bookmarkEnd w:id="397"/>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98" w:name="_Toc239157388"/>
      <w:bookmarkStart w:id="399" w:name="_Toc310415043"/>
      <w:bookmarkStart w:id="400" w:name="_Toc360188379"/>
      <w:bookmarkStart w:id="401" w:name="_Toc516210665"/>
      <w:bookmarkStart w:id="402" w:name="_Toc473560930"/>
      <w:r>
        <w:rPr>
          <w:rFonts w:ascii="Times New Roman" w:hAnsi="Times New Roman"/>
          <w:sz w:val="24"/>
          <w:u w:val="none"/>
        </w:rPr>
        <w:t>3.8.1.</w:t>
      </w:r>
      <w:r>
        <w:tab/>
      </w:r>
      <w:r>
        <w:rPr>
          <w:rFonts w:ascii="Times New Roman" w:hAnsi="Times New Roman"/>
          <w:sz w:val="24"/>
        </w:rPr>
        <w:t>Γενικές παρατηρήσεις</w:t>
      </w:r>
      <w:bookmarkEnd w:id="398"/>
      <w:bookmarkEnd w:id="399"/>
      <w:bookmarkEnd w:id="400"/>
      <w:bookmarkEnd w:id="401"/>
      <w:bookmarkEnd w:id="402"/>
    </w:p>
    <w:p w:rsidR="00612780" w:rsidRDefault="00125707" w:rsidP="00C37B29">
      <w:pPr>
        <w:pStyle w:val="InstructionsText2"/>
        <w:numPr>
          <w:ilvl w:val="0"/>
          <w:numId w:val="0"/>
        </w:numPr>
        <w:ind w:left="993"/>
      </w:pPr>
      <w:r>
        <w:t>104.</w:t>
      </w:r>
      <w:r>
        <w:tab/>
        <w:t>Οι πληροφορίες στο παρόν υπόδειγμα απαιτούνται για όλες τις τιτλοποιήσεις για τις οποίες αναγνωρίζεται μεταβίβαση σημαντικού κινδύνου και στις οποίες το αναφέρον ίδρυμα συμμετέχει σε τιτλοποίηση που αντιμετωπίζεται βάσει της πρ</w:t>
      </w:r>
      <w:r>
        <w:t>ο</w:t>
      </w:r>
      <w:r>
        <w:t>σέγγισης των εσωτερικών διαβαθμίσεων. Σε ημερομηνίες αναφοράς για υποβολή αναφορών που είναι μεταγενέστερες της 1ης Ιανουαρίου 2019, οι τιτλοποιήσεις, των οποίων τα σταθμισμένα ως προς τον κίνδυνο ποσά ανοίγματος προσδιορίζ</w:t>
      </w:r>
      <w:r>
        <w:t>ο</w:t>
      </w:r>
      <w:r>
        <w:t>νται βάσει του αναθεωρημένου πλαισίου τιτλοποίησης, δεν αναφέρονται στο παρόν υπόδειγμα, αλλά μόνο στο υπόδειγμα C 02.00. Ομοίως, σε ημερομηνίες αναφοράς για υποβολή αναφορών που είναι μεταγενέστερες της 1ης Ιανουαρίου 2019, οι θ</w:t>
      </w:r>
      <w:r>
        <w:t>έ</w:t>
      </w:r>
      <w:r>
        <w:t>σεις τιτλοποίησης, στις οποίες εφαρμόζεται συντελεστής στάθμισης κινδύνου 1 250 %, σύμφωνα με το αναθεωρημένο πλαίσιο τιτλοποίησης, και οι οποίες αφα</w:t>
      </w:r>
      <w:r>
        <w:t>ι</w:t>
      </w:r>
      <w:r>
        <w:t xml:space="preserve">ρούνται από το κεφάλαιο CET1, σύμφωνα με το άρθρο 36 παράγραφος 1 στοιχείο </w:t>
      </w:r>
      <w:r>
        <w:lastRenderedPageBreak/>
        <w:t xml:space="preserve">ια) σημείο ii) του ΚΚΑ, δεν αναφέρονται στο παρόν υπόδειγμα, αλλά μόνο στο </w:t>
      </w:r>
      <w:r>
        <w:t>υ</w:t>
      </w:r>
      <w:r>
        <w:t>πόδειγμα C 01.00.</w:t>
      </w:r>
    </w:p>
    <w:p w:rsidR="001D5403" w:rsidRDefault="00C67004" w:rsidP="00C37B29">
      <w:pPr>
        <w:pStyle w:val="InstructionsText2"/>
        <w:numPr>
          <w:ilvl w:val="0"/>
          <w:numId w:val="0"/>
        </w:numPr>
        <w:ind w:left="993"/>
      </w:pPr>
      <w:r>
        <w:t>104α. Για τους σκοπούς του παρόντος υποδείγματος, όλες οι παραπομπές στα ά</w:t>
      </w:r>
      <w:r>
        <w:t>ρ</w:t>
      </w:r>
      <w:r>
        <w:t>θρα του τρίτου μέρους τίτλος II κεφάλαιο 5 του ΚΚΑ νοούνται ως παραπομπές στον ΚΚΑ, στην έκδοση σε ισχύ την 31η Δεκεμβρίου 2018.</w:t>
      </w:r>
    </w:p>
    <w:p w:rsidR="00612780" w:rsidRPr="00392FFD" w:rsidRDefault="00125707" w:rsidP="00C37B29">
      <w:pPr>
        <w:pStyle w:val="InstructionsText2"/>
        <w:numPr>
          <w:ilvl w:val="0"/>
          <w:numId w:val="0"/>
        </w:numPr>
        <w:ind w:left="993"/>
      </w:pPr>
      <w:r>
        <w:t>105.</w:t>
      </w:r>
      <w:r>
        <w:tab/>
        <w:t>Οι πληροφορίες προς αναφορά εξαρτώνται από τον ρόλο του ιδρύματος στην τιτλοποίηση. Επομένως, υπάρχουν συγκεκριμένα στοιχεία αναφοράς για μεταβιβ</w:t>
      </w:r>
      <w:r>
        <w:t>ά</w:t>
      </w:r>
      <w:r>
        <w:t>ζουσες οντότητες, αναδόχους και επενδυτές.</w:t>
      </w:r>
    </w:p>
    <w:p w:rsidR="00612780" w:rsidRPr="00392FFD" w:rsidRDefault="00125707" w:rsidP="00C37B29">
      <w:pPr>
        <w:pStyle w:val="InstructionsText2"/>
        <w:numPr>
          <w:ilvl w:val="0"/>
          <w:numId w:val="0"/>
        </w:numPr>
        <w:ind w:left="993"/>
      </w:pPr>
      <w:r>
        <w:t>106.</w:t>
      </w:r>
      <w:r>
        <w:tab/>
        <w:t xml:space="preserve">Το υπόδειγμα CR SEC IRB έχει το ίδιο πεδίο εφαρμογής με το υπόδειγμα CR SEC SA. Σε αυτό συγκεντρώνονται κοινές πληροφορίες για παραδοσιακές και σύνθετες τιτλοποιήσεις στο τραπεζικό χαρτοφυλάκιο. </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03" w:name="_Toc239157389"/>
      <w:bookmarkStart w:id="404" w:name="_Toc310415044"/>
      <w:bookmarkStart w:id="405" w:name="_Toc360188380"/>
      <w:bookmarkStart w:id="406" w:name="_Toc516210666"/>
      <w:bookmarkStart w:id="407" w:name="_Toc473560931"/>
      <w:r>
        <w:rPr>
          <w:rFonts w:ascii="Times New Roman" w:hAnsi="Times New Roman"/>
          <w:sz w:val="24"/>
          <w:u w:val="none"/>
        </w:rPr>
        <w:t>3.8.2.</w:t>
      </w:r>
      <w:r>
        <w:tab/>
      </w:r>
      <w:r>
        <w:rPr>
          <w:rFonts w:ascii="Times New Roman" w:hAnsi="Times New Roman"/>
          <w:sz w:val="24"/>
        </w:rPr>
        <w:t>Οδηγίες για συγκεκριμένες θέσεις</w:t>
      </w:r>
      <w:bookmarkEnd w:id="403"/>
      <w:bookmarkEnd w:id="404"/>
      <w:bookmarkEnd w:id="405"/>
      <w:bookmarkEnd w:id="406"/>
      <w:bookmarkEnd w:id="40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ind w:left="426"/>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Στήλες</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ΣΥΝΟΛΙΚΟ ΠΟΣΟ ΑΝΟΙΓΜΑΤΩΝ ΤΙΤΛΟΠΟΙΗΣΗΣ ΠΟΥ ΠΡΟΕ</w:t>
            </w:r>
            <w:r>
              <w:rPr>
                <w:rFonts w:ascii="Times New Roman" w:hAnsi="Times New Roman"/>
                <w:b/>
                <w:sz w:val="24"/>
                <w:u w:val="single"/>
              </w:rPr>
              <w:t>Ρ</w:t>
            </w:r>
            <w:r>
              <w:rPr>
                <w:rFonts w:ascii="Times New Roman" w:hAnsi="Times New Roman"/>
                <w:b/>
                <w:sz w:val="24"/>
                <w:u w:val="single"/>
              </w:rPr>
              <w:t>ΧΟΝΤΑΙ ΑΠΟ ΣΥΝΑΛΛΑΓΗ ΤΙΤΛΟΠΟΙΗΣΗΣ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 γραμμή σύνολο στοιχείων εντός ισολογισμού, το ποσό που αναφέρεται στη συγκεκριμένη στήλη αντιστοιχεί στο εκκρεμές ποσό τιτλοποιημένων ανοιγμ</w:t>
            </w:r>
            <w:r>
              <w:rPr>
                <w:rFonts w:ascii="Times New Roman" w:hAnsi="Times New Roman"/>
                <w:sz w:val="24"/>
              </w:rPr>
              <w:t>ά</w:t>
            </w:r>
            <w:r>
              <w:rPr>
                <w:rFonts w:ascii="Times New Roman" w:hAnsi="Times New Roman"/>
                <w:sz w:val="24"/>
              </w:rPr>
              <w:t>των κατά την ημερομηνία υποβολής αναφοράς.</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Βλέπε στήλη 010 του υποδείγματος CR SEC SA.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ΣΥΝΘΕΤΕΣ ΤΙΤΛΟΠΟΙΗΣΕΙΣ: ΠΙΣΤΩΤΙΚΗ ΠΡΟΣΤΑΣΙΑ ΓΙΑ ΤΑ ΤΙΤΛΟΠΟΙΗΜΕΝΑ ΑΝΟΙΓΜΑΤΑ</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Άρθρα 249 και 250 του ΚΚΑ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bCs/>
                <w:sz w:val="24"/>
              </w:rPr>
            </w:pPr>
            <w:r>
              <w:rPr>
                <w:rFonts w:ascii="Times New Roman" w:hAnsi="Times New Roman"/>
                <w:sz w:val="24"/>
              </w:rPr>
              <w:t xml:space="preserve">Οι αναντιστοιχίες ληκτότητας δεν λαμβάνονται υπόψη στην προσαρμοσμένη αξία των τεχνικών μείωσης του πιστωτικού κινδύνου που περιλαμβάνονται στη σύνθεση της τιτλοποίησης.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ΧΡΗΜΑΤΟΔΟΤΟΥΜΕΝΗ ΠΙΣΤΩΤΙΚΗ ΠΡΟΣΤΑΣΙΑ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Η αναλυτική διαδικασία υπολογισμού της προσαρμοσμένης για μεταβλητότητα αξίας της εξασφάλισης (C</w:t>
            </w:r>
            <w:r>
              <w:rPr>
                <w:rFonts w:ascii="Times New Roman" w:hAnsi="Times New Roman"/>
                <w:sz w:val="24"/>
                <w:vertAlign w:val="subscript"/>
              </w:rPr>
              <w:t>VA</w:t>
            </w:r>
            <w:r>
              <w:rPr>
                <w:rFonts w:ascii="Times New Roman" w:hAnsi="Times New Roman"/>
                <w:sz w:val="24"/>
              </w:rPr>
              <w:t>), που αναμένεται να αναφερθεί στη συγκεκριμένη στήλη, προσδιορίζεται στο άρθρο 223 παράγραφος 2 του ΚΚΑ.</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ΣΥΝΟΛΙΚΕΣ ΕΚΡΟΕΣ: (-) ΠΡΟΣΑΡΜΟΣΜΕΝΕΣ ΑΞΙΕΣ ΜΗ ΧΡΗΜΑΤΟΔΟΤΟΥΜΕΝΗΣ ΠΡΟΣΤΑΣΙΑΣ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Σύμφωνα με τον γενικό κανόνα περί «εισροών» και «εκροών», τα αναφερόμ</w:t>
            </w:r>
            <w:r>
              <w:rPr>
                <w:rFonts w:ascii="Times New Roman" w:hAnsi="Times New Roman"/>
                <w:sz w:val="24"/>
              </w:rPr>
              <w:t>ε</w:t>
            </w:r>
            <w:r>
              <w:rPr>
                <w:rFonts w:ascii="Times New Roman" w:hAnsi="Times New Roman"/>
                <w:sz w:val="24"/>
              </w:rPr>
              <w:t>να στη στήλη 030 του υποδείγματος CR SEC IRB ποσά εμφανίζονται ως «ει</w:t>
            </w:r>
            <w:r>
              <w:rPr>
                <w:rFonts w:ascii="Times New Roman" w:hAnsi="Times New Roman"/>
                <w:sz w:val="24"/>
              </w:rPr>
              <w:t>σ</w:t>
            </w:r>
            <w:r>
              <w:rPr>
                <w:rFonts w:ascii="Times New Roman" w:hAnsi="Times New Roman"/>
                <w:sz w:val="24"/>
              </w:rPr>
              <w:t>ροές» στο αντίστοιχο υπόδειγμα πιστωτικού κινδύνου (CR SA ή CR IRB) και στην κατηγορία ανοιγμάτων που σχετίζεται με τον πάροχο πιστωτικής προστ</w:t>
            </w:r>
            <w:r>
              <w:rPr>
                <w:rFonts w:ascii="Times New Roman" w:hAnsi="Times New Roman"/>
                <w:sz w:val="24"/>
              </w:rPr>
              <w:t>α</w:t>
            </w:r>
            <w:r>
              <w:rPr>
                <w:rFonts w:ascii="Times New Roman" w:hAnsi="Times New Roman"/>
                <w:sz w:val="24"/>
              </w:rPr>
              <w:t>σίας (δηλαδή, το τρίτο μέρος στο οποίο μεταφέρεται το τμήμα μέσω μη χρημ</w:t>
            </w:r>
            <w:r>
              <w:rPr>
                <w:rFonts w:ascii="Times New Roman" w:hAnsi="Times New Roman"/>
                <w:sz w:val="24"/>
              </w:rPr>
              <w:t>α</w:t>
            </w:r>
            <w:r>
              <w:rPr>
                <w:rFonts w:ascii="Times New Roman" w:hAnsi="Times New Roman"/>
                <w:sz w:val="24"/>
              </w:rPr>
              <w:lastRenderedPageBreak/>
              <w:t>τοδοτούμενης πιστωτικής προστασίας).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Η διαδικασία υπολογισμού του «κινδύνου συναλλάγματος» – του προσαρμ</w:t>
            </w:r>
            <w:r>
              <w:rPr>
                <w:rFonts w:ascii="Times New Roman" w:hAnsi="Times New Roman"/>
                <w:sz w:val="24"/>
              </w:rPr>
              <w:t>ο</w:t>
            </w:r>
            <w:r>
              <w:rPr>
                <w:rFonts w:ascii="Times New Roman" w:hAnsi="Times New Roman"/>
                <w:sz w:val="24"/>
              </w:rPr>
              <w:t>σμένου ονομαστικού ποσού πιστωτικής προστασίας (G*) προσδιορίζεται στο άρθρο 233 παράγραφος 3 του ΚΚΑ.</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ΟΝΟΜΑΣΤΙΚΟ ΠΟΣΟ ΠΙΣΤΩΤΙΚΗΣ ΠΡΟΣΤΑΣΙΑΣ ΠΟΥ ΔΙΑΚΡ</w:t>
            </w:r>
            <w:r>
              <w:rPr>
                <w:rFonts w:ascii="Times New Roman" w:hAnsi="Times New Roman"/>
                <w:b/>
                <w:sz w:val="24"/>
                <w:u w:val="single"/>
              </w:rPr>
              <w:t>Α</w:t>
            </w:r>
            <w:r>
              <w:rPr>
                <w:rFonts w:ascii="Times New Roman" w:hAnsi="Times New Roman"/>
                <w:b/>
                <w:sz w:val="24"/>
                <w:u w:val="single"/>
              </w:rPr>
              <w:t>ΤΗΘΗΚΕ Ή ΕΠΑΝΑΓΟΡΑΣΤΗΚΕ</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Όλα τα τμήματα που έχουν </w:t>
            </w:r>
            <w:proofErr w:type="spellStart"/>
            <w:r>
              <w:rPr>
                <w:rFonts w:ascii="Times New Roman" w:hAnsi="Times New Roman"/>
                <w:sz w:val="24"/>
              </w:rPr>
              <w:t>διακρατηθεί</w:t>
            </w:r>
            <w:proofErr w:type="spellEnd"/>
            <w:r>
              <w:rPr>
                <w:rFonts w:ascii="Times New Roman" w:hAnsi="Times New Roman"/>
                <w:sz w:val="24"/>
              </w:rPr>
              <w:t xml:space="preserve"> ή </w:t>
            </w:r>
            <w:proofErr w:type="spellStart"/>
            <w:r>
              <w:rPr>
                <w:rFonts w:ascii="Times New Roman" w:hAnsi="Times New Roman"/>
                <w:sz w:val="24"/>
              </w:rPr>
              <w:t>επαναγοραστεί</w:t>
            </w:r>
            <w:proofErr w:type="spellEnd"/>
            <w:r>
              <w:rPr>
                <w:rFonts w:ascii="Times New Roman" w:hAnsi="Times New Roman"/>
                <w:sz w:val="24"/>
              </w:rPr>
              <w:t xml:space="preserve">, π.χ. </w:t>
            </w:r>
            <w:proofErr w:type="spellStart"/>
            <w:r>
              <w:rPr>
                <w:rFonts w:ascii="Times New Roman" w:hAnsi="Times New Roman"/>
                <w:sz w:val="24"/>
              </w:rPr>
              <w:t>διακρατηθείσες</w:t>
            </w:r>
            <w:proofErr w:type="spellEnd"/>
            <w:r>
              <w:rPr>
                <w:rFonts w:ascii="Times New Roman" w:hAnsi="Times New Roman"/>
                <w:sz w:val="24"/>
              </w:rPr>
              <w:t xml:space="preserve"> θέσεις πρωτεύουσας ζημίας, αναφέρονται στο ονομαστικό ποσό τους.</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Το αποτέλεσμα εποπτικών περικοπών στην πιστωτική προστασία δεν λαμβάν</w:t>
            </w:r>
            <w:r>
              <w:rPr>
                <w:rFonts w:ascii="Times New Roman" w:hAnsi="Times New Roman"/>
                <w:sz w:val="24"/>
              </w:rPr>
              <w:t>ε</w:t>
            </w:r>
            <w:r>
              <w:rPr>
                <w:rFonts w:ascii="Times New Roman" w:hAnsi="Times New Roman"/>
                <w:sz w:val="24"/>
              </w:rPr>
              <w:t xml:space="preserve">ται υπόψη κατά τον υπολογισμό του </w:t>
            </w:r>
            <w:proofErr w:type="spellStart"/>
            <w:r>
              <w:rPr>
                <w:rFonts w:ascii="Times New Roman" w:hAnsi="Times New Roman"/>
                <w:sz w:val="24"/>
              </w:rPr>
              <w:t>διακρατηθέντος</w:t>
            </w:r>
            <w:proofErr w:type="spellEnd"/>
            <w:r>
              <w:rPr>
                <w:rFonts w:ascii="Times New Roman" w:hAnsi="Times New Roman"/>
                <w:sz w:val="24"/>
              </w:rPr>
              <w:t xml:space="preserve"> ή </w:t>
            </w:r>
            <w:proofErr w:type="spellStart"/>
            <w:r>
              <w:rPr>
                <w:rFonts w:ascii="Times New Roman" w:hAnsi="Times New Roman"/>
                <w:sz w:val="24"/>
              </w:rPr>
              <w:t>επαναγορασθέντος</w:t>
            </w:r>
            <w:proofErr w:type="spellEnd"/>
            <w:r>
              <w:rPr>
                <w:rFonts w:ascii="Times New Roman" w:hAnsi="Times New Roman"/>
                <w:sz w:val="24"/>
              </w:rPr>
              <w:t xml:space="preserve"> π</w:t>
            </w:r>
            <w:r>
              <w:rPr>
                <w:rFonts w:ascii="Times New Roman" w:hAnsi="Times New Roman"/>
                <w:sz w:val="24"/>
              </w:rPr>
              <w:t>ο</w:t>
            </w:r>
            <w:r>
              <w:rPr>
                <w:rFonts w:ascii="Times New Roman" w:hAnsi="Times New Roman"/>
                <w:sz w:val="24"/>
              </w:rPr>
              <w:t>σού πιστωτικής προστασίας.</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903" w:type="dxa"/>
          </w:tcPr>
          <w:p w:rsidR="00612780" w:rsidRPr="00672D2A" w:rsidRDefault="00612780" w:rsidP="00612780">
            <w:pPr>
              <w:spacing w:before="0" w:after="0"/>
              <w:rPr>
                <w:rFonts w:ascii="Times New Roman" w:hAnsi="Times New Roman"/>
                <w:b/>
                <w:sz w:val="24"/>
                <w:u w:val="single"/>
              </w:rPr>
            </w:pPr>
            <w:r>
              <w:rPr>
                <w:rFonts w:ascii="Times New Roman" w:hAnsi="Times New Roman"/>
                <w:b/>
                <w:sz w:val="24"/>
                <w:u w:val="single"/>
              </w:rPr>
              <w:t xml:space="preserve">ΘΕΣΕΙΣ ΤΙΤΛΟΠΟΙΗΣΗΣ: ΑΡΧΙΚΟ ΑΝΟΙΓΜΑ ΠΡΙΝ ΑΠΟ ΤΟΥΣ ΣΥΝΤΕΛΕΣΤΕΣ ΜΕΤΑΤΡΟΠΗΣ </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Θέσεις τιτλοποίησης που κατέχει το αναφέρον ίδρυμα, υπολογιζόμενες σύ</w:t>
            </w:r>
            <w:r>
              <w:rPr>
                <w:rFonts w:ascii="Times New Roman" w:hAnsi="Times New Roman"/>
                <w:sz w:val="24"/>
              </w:rPr>
              <w:t>μ</w:t>
            </w:r>
            <w:r>
              <w:rPr>
                <w:rFonts w:ascii="Times New Roman" w:hAnsi="Times New Roman"/>
                <w:sz w:val="24"/>
              </w:rPr>
              <w:t>φωνα με το άρθρο 246 παράγραφος 1 στοιχεία β), δ) και ε) και παράγραφος 2 του ΚΚΑ, χωρίς την εφαρμογή των συντελεστών μετατροπής πίστωσης, πρ</w:t>
            </w:r>
            <w:r>
              <w:rPr>
                <w:rFonts w:ascii="Times New Roman" w:hAnsi="Times New Roman"/>
                <w:sz w:val="24"/>
              </w:rPr>
              <w:t>ο</w:t>
            </w:r>
            <w:r>
              <w:rPr>
                <w:rFonts w:ascii="Times New Roman" w:hAnsi="Times New Roman"/>
                <w:sz w:val="24"/>
              </w:rPr>
              <w:t xml:space="preserve">σαρμογών αξίας και προβλέψεων. Ο συμψηφισμός αφορά μόνο συμβάσεις πολλαπλών παραγώγων παρεχόμενες στην ίδια ΟΕΣΤ, οι οποίες καλύπτονται από επιλέξιμη συμψηφιστική συμφωνία.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Οι προς αναφορά στη συγκεκριμένη στήλη προσαρμογές αξίας και προβλέψεις αφορούν μόνο θέσεις τιτλοποίησης. Οι προσαρμογές αξίας τιτλοποιημένων θ</w:t>
            </w:r>
            <w:r>
              <w:rPr>
                <w:rFonts w:ascii="Times New Roman" w:hAnsi="Times New Roman"/>
                <w:sz w:val="24"/>
              </w:rPr>
              <w:t>έ</w:t>
            </w:r>
            <w:r>
              <w:rPr>
                <w:rFonts w:ascii="Times New Roman" w:hAnsi="Times New Roman"/>
                <w:sz w:val="24"/>
              </w:rPr>
              <w:t>σεων δεν λαμβάνονται υπόψη.</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Στην περίπτωση ρητρών πρόωρης εξόφλησης, τα ιδρύματα πρέπει να προσδι</w:t>
            </w:r>
            <w:r>
              <w:rPr>
                <w:rFonts w:ascii="Times New Roman" w:hAnsi="Times New Roman"/>
                <w:sz w:val="24"/>
              </w:rPr>
              <w:t>ο</w:t>
            </w:r>
            <w:r>
              <w:rPr>
                <w:rFonts w:ascii="Times New Roman" w:hAnsi="Times New Roman"/>
                <w:sz w:val="24"/>
              </w:rPr>
              <w:t>ρίζουν το ποσό «των συμφερόντων της μεταβιβάζουσας οντότητας», όπως ορ</w:t>
            </w:r>
            <w:r>
              <w:rPr>
                <w:rFonts w:ascii="Times New Roman" w:hAnsi="Times New Roman"/>
                <w:sz w:val="24"/>
              </w:rPr>
              <w:t>ί</w:t>
            </w:r>
            <w:r>
              <w:rPr>
                <w:rFonts w:ascii="Times New Roman" w:hAnsi="Times New Roman"/>
                <w:sz w:val="24"/>
              </w:rPr>
              <w:t xml:space="preserve">ζονται στο άρθρο 256 παράγραφος 2 του ΚΚΑ.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Στις σύνθετες τιτλοποιήσεις, οι θέσεις που κατέχει η μεταβιβάζουσα οντότητα υπό μορφή εντός ισολογισμού στοιχείων και/ή δικαιωμάτων του επενδυτή (πρόωρη εξόφληση) είναι το αποτέλεσμα του αθροίσματος των στηλών 010 έως 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ΤΕΧΝΙΚΕΣ ΜΕΙΩΣΗΣ ΤΟΥ ΠΙΣΤΩΤΙΚΟΥ ΚΙΝΔΥΝΟΥ (CRM) ΜΕ ΑΠΟΤΕΛΕΣΜΑΤΑ ΥΠΟΚΑΤΑΣΤΑΣΗΣ ΣΤΟ ΑΝΟΙΓΜΑ</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Βλέπε άρθρο 4 παράγραφος 1 σημείο 57) και τρίτο μέρος τίτλος II κεφάλαιο 4 του ΚΚΑ.</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Στη συγκεκριμένη ομάδα στηλών συγκεντρώνονται πληροφορίες για τεχνικές μείωσης του πιστωτικού κινδύνου, οι οποίες μειώνουν τον πιστωτικό κίνδυνο ενός ανοίγματος ή ανοιγμάτων μέσω της υποκατάστασης των ανοιγμάτων (</w:t>
            </w:r>
            <w:r>
              <w:rPr>
                <w:rFonts w:ascii="Times New Roman" w:hAnsi="Times New Roman"/>
                <w:sz w:val="24"/>
              </w:rPr>
              <w:t>ό</w:t>
            </w:r>
            <w:r>
              <w:rPr>
                <w:rFonts w:ascii="Times New Roman" w:hAnsi="Times New Roman"/>
                <w:sz w:val="24"/>
              </w:rPr>
              <w:t>πως ορίζεται κατωτέρω για τις εισροές και τις εκροές).</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w:t>
            </w:r>
          </w:p>
        </w:tc>
        <w:tc>
          <w:tcPr>
            <w:tcW w:w="7903" w:type="dxa"/>
          </w:tcPr>
          <w:p w:rsidR="00612780" w:rsidRPr="00392FFD" w:rsidRDefault="00C57F07" w:rsidP="00612780">
            <w:pPr>
              <w:spacing w:before="0" w:after="0"/>
              <w:jc w:val="left"/>
              <w:rPr>
                <w:rFonts w:ascii="Times New Roman" w:hAnsi="Times New Roman"/>
                <w:b/>
                <w:sz w:val="24"/>
                <w:u w:val="single"/>
              </w:rPr>
            </w:pPr>
            <w:r>
              <w:rPr>
                <w:rFonts w:ascii="Times New Roman" w:hAnsi="Times New Roman"/>
                <w:b/>
                <w:sz w:val="24"/>
                <w:u w:val="single"/>
              </w:rPr>
              <w:t>(-) ΜΗ ΧΡΗΜΑΤΟΔΟΤΟΥΜΕΝΗ ΠΙΣΤΩΤΙΚΗ ΠΡΟΣΤΑΣΙΑ: ΠΡ</w:t>
            </w:r>
            <w:r>
              <w:rPr>
                <w:rFonts w:ascii="Times New Roman" w:hAnsi="Times New Roman"/>
                <w:b/>
                <w:sz w:val="24"/>
                <w:u w:val="single"/>
              </w:rPr>
              <w:t>Ο</w:t>
            </w:r>
            <w:r>
              <w:rPr>
                <w:rFonts w:ascii="Times New Roman" w:hAnsi="Times New Roman"/>
                <w:b/>
                <w:sz w:val="24"/>
                <w:u w:val="single"/>
              </w:rPr>
              <w:t>ΣΑΡΜΟΣΜΕΝΕΣ ΑΞΙΕΣ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Η μη χρηματοδοτούμενη πιστωτική προστασία ορίζεται στο άρθρο 4 παράγρ</w:t>
            </w:r>
            <w:r>
              <w:rPr>
                <w:rFonts w:ascii="Times New Roman" w:hAnsi="Times New Roman"/>
                <w:sz w:val="24"/>
              </w:rPr>
              <w:t>α</w:t>
            </w:r>
            <w:r>
              <w:rPr>
                <w:rFonts w:ascii="Times New Roman" w:hAnsi="Times New Roman"/>
                <w:sz w:val="24"/>
              </w:rPr>
              <w:t>φος 1 σημείο 59) του ΚΚΑ.</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Το άρθρο 236 του ΚΚΑ περιγράφει τη διαδικασία υπολογισμού της τιμής GA στην περίπτωση πλήρους προστασίας/μερικής προστασίας – ισοδύναμης εξ</w:t>
            </w:r>
            <w:r>
              <w:rPr>
                <w:rFonts w:ascii="Times New Roman" w:hAnsi="Times New Roman"/>
                <w:sz w:val="24"/>
              </w:rPr>
              <w:t>ο</w:t>
            </w:r>
            <w:r>
              <w:rPr>
                <w:rFonts w:ascii="Times New Roman" w:hAnsi="Times New Roman"/>
                <w:sz w:val="24"/>
              </w:rPr>
              <w:t>φλητικής προτεραιότητας.</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sz w:val="24"/>
              </w:rPr>
              <w:t>Αυτές οι πληροφορίες σχετίζονται με τις στήλες 040 και 050 του υποδείγματος CR IRB.</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903" w:type="dxa"/>
          </w:tcPr>
          <w:p w:rsidR="00612780" w:rsidRPr="00392FFD" w:rsidRDefault="00C57F07" w:rsidP="00612780">
            <w:pPr>
              <w:spacing w:before="0" w:after="0"/>
              <w:rPr>
                <w:rFonts w:ascii="Times New Roman" w:hAnsi="Times New Roman"/>
                <w:b/>
                <w:sz w:val="24"/>
                <w:u w:val="single"/>
              </w:rPr>
            </w:pPr>
            <w:r>
              <w:rPr>
                <w:rFonts w:ascii="Times New Roman" w:hAnsi="Times New Roman"/>
                <w:b/>
                <w:sz w:val="24"/>
                <w:u w:val="single"/>
              </w:rPr>
              <w:t>(-) ΧΡΗΜΑΤΟΔΟΤΟΥΜΕΝΗ ΠΙΣΤΩΤΙΚΗ ΠΡΟΣΤΑΣΙΑ</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Η χρηματοδοτούμενη πιστωτική προστασία ορίζεται στο άρθρο 4 παράγραφος 1 σημείο 58) του ΚΚΑ.</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Δεδομένου ότι η απλή μέθοδος χρηματοοικονομικών εξασφαλίσεων δεν εφα</w:t>
            </w:r>
            <w:r>
              <w:rPr>
                <w:rFonts w:ascii="Times New Roman" w:hAnsi="Times New Roman"/>
                <w:sz w:val="24"/>
              </w:rPr>
              <w:t>ρ</w:t>
            </w:r>
            <w:r>
              <w:rPr>
                <w:rFonts w:ascii="Times New Roman" w:hAnsi="Times New Roman"/>
                <w:sz w:val="24"/>
              </w:rPr>
              <w:t>μόζεται, στη συγκεκριμένη στήλη αναφέρεται μόνον η χρηματοδοτούμενη π</w:t>
            </w:r>
            <w:r>
              <w:rPr>
                <w:rFonts w:ascii="Times New Roman" w:hAnsi="Times New Roman"/>
                <w:sz w:val="24"/>
              </w:rPr>
              <w:t>ι</w:t>
            </w:r>
            <w:r>
              <w:rPr>
                <w:rFonts w:ascii="Times New Roman" w:hAnsi="Times New Roman"/>
                <w:sz w:val="24"/>
              </w:rPr>
              <w:t>στωτική προστασία, σύμφωνα με το άρθρο 200 του ΚΚΑ.</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Αυτές οι πληροφορίες σχετίζονται με τη στήλη 060 του υποδείγματος CR IRB.</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ΥΠΟΚΑΤΑΣΤΑΣΗ ΤΟΥ ΑΝΟΙΓΜΑΤΟΣ ΛΟΓΩ ΤΗΣ ΜΕΙΩΣΗΣ ΤΟΥ ΠΙΣΤΩΤΙΚΟΥ ΚΙΝΔΥΝΟΥ:</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Αναφέρονται επίσης οι εισροές και εκροές εντός των ίδιων κατηγοριών ανοι</w:t>
            </w:r>
            <w:r>
              <w:rPr>
                <w:rFonts w:ascii="Times New Roman" w:hAnsi="Times New Roman"/>
                <w:sz w:val="24"/>
              </w:rPr>
              <w:t>γ</w:t>
            </w:r>
            <w:r>
              <w:rPr>
                <w:rFonts w:ascii="Times New Roman" w:hAnsi="Times New Roman"/>
                <w:sz w:val="24"/>
              </w:rPr>
              <w:t>μάτων και, κατά περίπτωση, συντελεστών στάθμισης ή βαθμίδων οφειλέτη.</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ΣΥΝΟΛΙΚΕΣ ΕΚΡΟΕΣ</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Άρθρο 236 του ΚΚΑ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Οι εκροές αντιστοιχούν στο καλυμμένο μέρος του «ανοίγματος χωρίς προσα</w:t>
            </w:r>
            <w:r>
              <w:rPr>
                <w:rFonts w:ascii="Times New Roman" w:hAnsi="Times New Roman"/>
                <w:sz w:val="24"/>
              </w:rPr>
              <w:t>ρ</w:t>
            </w:r>
            <w:r>
              <w:rPr>
                <w:rFonts w:ascii="Times New Roman" w:hAnsi="Times New Roman"/>
                <w:sz w:val="24"/>
              </w:rPr>
              <w:t>μογές αξίας και προβλέψεις», το οποίο αφαιρείται από την κατηγορία ανοιγμ</w:t>
            </w:r>
            <w:r>
              <w:rPr>
                <w:rFonts w:ascii="Times New Roman" w:hAnsi="Times New Roman"/>
                <w:sz w:val="24"/>
              </w:rPr>
              <w:t>ά</w:t>
            </w:r>
            <w:r>
              <w:rPr>
                <w:rFonts w:ascii="Times New Roman" w:hAnsi="Times New Roman"/>
                <w:sz w:val="24"/>
              </w:rPr>
              <w:t>των του οφειλέτη και, κατά περίπτωση, από τον συντελεστή στάθμισης κινδ</w:t>
            </w:r>
            <w:r>
              <w:rPr>
                <w:rFonts w:ascii="Times New Roman" w:hAnsi="Times New Roman"/>
                <w:sz w:val="24"/>
              </w:rPr>
              <w:t>ύ</w:t>
            </w:r>
            <w:r>
              <w:rPr>
                <w:rFonts w:ascii="Times New Roman" w:hAnsi="Times New Roman"/>
                <w:sz w:val="24"/>
              </w:rPr>
              <w:t>νου ή τη βαθμίδα οφειλέτη, και, στη συνέχεια, κατατάσσεται στην κατηγορία ανοιγμάτων του παρόχου πιστωτικής προστασίας και, κατά περίπτωση, στον συντελεστή στάθμισης κινδύνου ή τη βαθμίδα οφειλέτη του παρόχου πιστωτ</w:t>
            </w:r>
            <w:r>
              <w:rPr>
                <w:rFonts w:ascii="Times New Roman" w:hAnsi="Times New Roman"/>
                <w:sz w:val="24"/>
              </w:rPr>
              <w:t>ι</w:t>
            </w:r>
            <w:r>
              <w:rPr>
                <w:rFonts w:ascii="Times New Roman" w:hAnsi="Times New Roman"/>
                <w:sz w:val="24"/>
              </w:rPr>
              <w:t xml:space="preserve">κής προστασίας.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Το ποσό αυτό θεωρείται εισροή στην κατηγορία ανοιγμάτων του παρόχου π</w:t>
            </w:r>
            <w:r>
              <w:rPr>
                <w:rFonts w:ascii="Times New Roman" w:hAnsi="Times New Roman"/>
                <w:sz w:val="24"/>
              </w:rPr>
              <w:t>ι</w:t>
            </w:r>
            <w:r>
              <w:rPr>
                <w:rFonts w:ascii="Times New Roman" w:hAnsi="Times New Roman"/>
                <w:sz w:val="24"/>
              </w:rPr>
              <w:t>στωτικής προστασίας και, κατά περίπτωση, στους συντελεστές στάθμισης ή τις βαθμίδες οφειλέτη του.</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Αυτές οι πληροφορίες σχετίζονται με τη στήλη 070 του υποδείγματος CR IRB.</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ΣΥΝΟΛΙΚΕΣ ΕΙΣΡΟΕΣ</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σχετίζονται με τη στήλη 080 του υποδείγματος CR IRB.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ΑΝΟΙΓΜΑ ΜΕΤΑ ΤΑ ΑΠΟΤΕΛΕΣΜΑΤΑ ΥΠΟΚΑΤΑΣΤΑΣΗΣ ΤΗΣ CRΜ ΠΡΙΝ ΑΠΟ ΤΟΥΣ ΣΥΝΤΕΛΕΣΤΕΣ ΜΕΤΑΤΡΟΠΗΣ</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Άνοιγμα που σχετίζεται με τον αντίστοιχο συντελεστή στάθμισης κινδύνου και κατηγορία ανοιγμάτων, αφού ληφθούν υπόψη οι εκροές και οι εισροές λόγω «τεχνικών μείωσης πιστωτικού κινδύνου (CRM) με αποτελέσματα υποκατ</w:t>
            </w:r>
            <w:r>
              <w:rPr>
                <w:rStyle w:val="FormatvorlageInstructionsTabelleText"/>
                <w:rFonts w:ascii="Times New Roman" w:hAnsi="Times New Roman"/>
                <w:sz w:val="24"/>
              </w:rPr>
              <w:t>ά</w:t>
            </w:r>
            <w:r>
              <w:rPr>
                <w:rStyle w:val="FormatvorlageInstructionsTabelleText"/>
                <w:rFonts w:ascii="Times New Roman" w:hAnsi="Times New Roman"/>
                <w:sz w:val="24"/>
              </w:rPr>
              <w:t>στασης στο άνοιγμα».</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Αυτές οι πληροφορίες σχετίζονται με τη στήλη 090 του υποδείγματος CR IRB.</w:t>
            </w: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xml:space="preserve">(-) ΤΕΧΝΙΚΕΣ ΜΕΙΩΣΗΣ ΤΟΥ ΠΙΣΤΩΤΙΚΟΥ ΚΙΝΔΥΝΟΥ ΠΟΥ </w:t>
            </w:r>
            <w:r>
              <w:rPr>
                <w:rStyle w:val="InstructionsTabelleberschrift"/>
                <w:rFonts w:ascii="Times New Roman" w:hAnsi="Times New Roman"/>
                <w:sz w:val="24"/>
              </w:rPr>
              <w:t>Ε</w:t>
            </w:r>
            <w:r>
              <w:rPr>
                <w:rStyle w:val="InstructionsTabelleberschrift"/>
                <w:rFonts w:ascii="Times New Roman" w:hAnsi="Times New Roman"/>
                <w:sz w:val="24"/>
              </w:rPr>
              <w:t>ΠΗΡΕΑΖΟΥΝ ΤΟ ΠΟΣΟ ΤΟΥ ΑΝΟΙΓΜΑΤΟΣ: ΧΡΗΜΑΤΟΔΟΤΟ</w:t>
            </w:r>
            <w:r>
              <w:rPr>
                <w:rStyle w:val="InstructionsTabelleberschrift"/>
                <w:rFonts w:ascii="Times New Roman" w:hAnsi="Times New Roman"/>
                <w:sz w:val="24"/>
              </w:rPr>
              <w:t>Υ</w:t>
            </w:r>
            <w:r>
              <w:rPr>
                <w:rStyle w:val="InstructionsTabelleberschrift"/>
                <w:rFonts w:ascii="Times New Roman" w:hAnsi="Times New Roman"/>
                <w:sz w:val="24"/>
              </w:rPr>
              <w:t>ΜΕΝΗ ΠΙΣΤΩΤΙΚΗ ΠΡΟΣΤΑΣΙΑ ΑΝΑΛΥΤΙΚΗ ΜΕΘΟΔΟΣ ΧΡ</w:t>
            </w:r>
            <w:r>
              <w:rPr>
                <w:rStyle w:val="InstructionsTabelleberschrift"/>
                <w:rFonts w:ascii="Times New Roman" w:hAnsi="Times New Roman"/>
                <w:sz w:val="24"/>
              </w:rPr>
              <w:t>Η</w:t>
            </w:r>
            <w:r>
              <w:rPr>
                <w:rStyle w:val="InstructionsTabelleberschrift"/>
                <w:rFonts w:ascii="Times New Roman" w:hAnsi="Times New Roman"/>
                <w:sz w:val="24"/>
              </w:rPr>
              <w:t xml:space="preserve">ΜΑΤΟΟΙΚΟΝΟΜΙΚΩΝ ΕΞΑΣΦΑΛΙΣΕΩΝ ΠΡΟΣΑΡΜΟΣΜΕΝΗ </w:t>
            </w:r>
            <w:r>
              <w:rPr>
                <w:rStyle w:val="InstructionsTabelleberschrift"/>
                <w:rFonts w:ascii="Times New Roman" w:hAnsi="Times New Roman"/>
                <w:sz w:val="24"/>
              </w:rPr>
              <w:t>Α</w:t>
            </w:r>
            <w:r>
              <w:rPr>
                <w:rStyle w:val="InstructionsTabelleberschrift"/>
                <w:rFonts w:ascii="Times New Roman" w:hAnsi="Times New Roman"/>
                <w:sz w:val="24"/>
              </w:rPr>
              <w:t>ΞΙΑ (CVAM)</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Άρθρα 218 έως 222 του ΚΚΑ Το στοιχείο αυτό περιλαμβάνει επίσης ομόλογα συνδεδεμένα με τον πιστωτικό κίνδυνο υποκείμενου μέσου (άρθρο 218 του ΚΚΑ).</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ΠΛΗΡΩΣ ΠΡΟΣΑΡΜΟΣΜΕΝΗ ΑΞΙΑ ΑΝΟΙΓΜΑΤΟΣ (Ε*)</w:t>
            </w:r>
          </w:p>
          <w:p w:rsidR="00612780" w:rsidRPr="00392FFD" w:rsidRDefault="00612780" w:rsidP="00612780">
            <w:pPr>
              <w:pStyle w:val="Heading1"/>
              <w:rPr>
                <w:rFonts w:ascii="Times New Roman" w:eastAsia="Times New Roman" w:hAnsi="Times New Roman"/>
                <w:sz w:val="24"/>
                <w:szCs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Θέσεις τιτλοποίησης σύμφωνα με το άρθρο 246 του ΚΚΑ, δηλαδή, χωρίς να εφαρμόζονται οι συντελεστές μετατροπής του άρθρου 246 παράγραφος 1 στο</w:t>
            </w:r>
            <w:r>
              <w:rPr>
                <w:rFonts w:ascii="Times New Roman" w:hAnsi="Times New Roman"/>
                <w:sz w:val="24"/>
              </w:rPr>
              <w:t>ι</w:t>
            </w:r>
            <w:r>
              <w:rPr>
                <w:rFonts w:ascii="Times New Roman" w:hAnsi="Times New Roman"/>
                <w:sz w:val="24"/>
              </w:rPr>
              <w:t>χείο γ) του ΚΚΑ.</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130-160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ΚΑΤΑΝΟΜΗ ΤΗΣ ΠΛΗΡΩΣ ΠΡΟΣΑΡΜΟΣΜΕΝΗΣ ΑΞΙΑΣ ΑΝΟΙ</w:t>
            </w:r>
            <w:r>
              <w:rPr>
                <w:rFonts w:ascii="Times New Roman" w:hAnsi="Times New Roman"/>
                <w:b/>
                <w:sz w:val="24"/>
                <w:u w:val="single"/>
              </w:rPr>
              <w:t>Γ</w:t>
            </w:r>
            <w:r>
              <w:rPr>
                <w:rFonts w:ascii="Times New Roman" w:hAnsi="Times New Roman"/>
                <w:b/>
                <w:sz w:val="24"/>
                <w:u w:val="single"/>
              </w:rPr>
              <w:t>ΜΑΤΟΣ (Ε*) ΣΤΟΙΧΕΙΩΝ ΕΚΤΟΣ ΙΣΟΛΟΓΙΣΜΟΥ ΣΥΜΦΩΝΑ ΜΕ ΤΟΥΣ ΣΥΝΤΕΛΕΣΤΕΣ ΜΕΤΑΤΡΟΠΗΣ</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Το άρθρο 246 παράγραφος 1 στοιχείο γ) του ΚΚΑ προβλέπει ότι η αξία ανοί</w:t>
            </w:r>
            <w:r>
              <w:rPr>
                <w:rFonts w:ascii="Times New Roman" w:hAnsi="Times New Roman"/>
                <w:sz w:val="24"/>
              </w:rPr>
              <w:t>γ</w:t>
            </w:r>
            <w:r>
              <w:rPr>
                <w:rFonts w:ascii="Times New Roman" w:hAnsi="Times New Roman"/>
                <w:sz w:val="24"/>
              </w:rPr>
              <w:t>ματος μιας θέσης τιτλοποίησης εκτός ισολογισμού είναι η ονομαστική αξία της επί έναν συντελεστή μετατροπής. Ο συντελεστής μετατροπής ισούται με 100 %, εκτός εάν αναφέρεται διαφορετικά.</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Το άρθρο 4 παράγραφος 1 σημείο 56) του ΚΚΑ ορίζει εν προκειμένω τον σ</w:t>
            </w:r>
            <w:r>
              <w:rPr>
                <w:rFonts w:ascii="Times New Roman" w:hAnsi="Times New Roman"/>
                <w:sz w:val="24"/>
              </w:rPr>
              <w:t>υ</w:t>
            </w:r>
            <w:r>
              <w:rPr>
                <w:rFonts w:ascii="Times New Roman" w:hAnsi="Times New Roman"/>
                <w:sz w:val="24"/>
              </w:rPr>
              <w:t>ντελεστή μετατροπής.</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Για σκοπούς υποβολής αναφορών, οι πλήρως προσαρμοσμένες αξίες ανοίγμ</w:t>
            </w:r>
            <w:r>
              <w:rPr>
                <w:rFonts w:ascii="Times New Roman" w:hAnsi="Times New Roman"/>
                <w:sz w:val="24"/>
              </w:rPr>
              <w:t>α</w:t>
            </w:r>
            <w:r>
              <w:rPr>
                <w:rFonts w:ascii="Times New Roman" w:hAnsi="Times New Roman"/>
                <w:sz w:val="24"/>
              </w:rPr>
              <w:t>τος (Ε*) αναφέρονται σύμφωνα με τα ακόλουθα τέσσερα αμοιβαίως αποκλει</w:t>
            </w:r>
            <w:r>
              <w:rPr>
                <w:rFonts w:ascii="Times New Roman" w:hAnsi="Times New Roman"/>
                <w:sz w:val="24"/>
              </w:rPr>
              <w:t>ό</w:t>
            </w:r>
            <w:r>
              <w:rPr>
                <w:rFonts w:ascii="Times New Roman" w:hAnsi="Times New Roman"/>
                <w:sz w:val="24"/>
              </w:rPr>
              <w:t>μενα διαστήματα συντελεστών μετατροπής: 0 %, (0 %, 20 %], (20 %, 50 %] και (50 %, 100 %].</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ΑΞΙΑ ΑΝΟΙΓΜΑΤΟΣ</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Θέσεις τιτλοποίησης σύμφωνα με το άρθρο 246 του ΚΚΑ.</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σχετίζονται με τη στήλη 110 του υποδείγματος CR IRB. </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ΑΞΙΑ ΑΝΟΙΓΜΑΤΟΣ ΑΦΑΙΡΟΥΜΕΝΗ ΑΠΟ ΤΑ ΙΔΙΑ ΚΕΦΑΛΑΙΑ</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Το άρθρο 266 παράγραφος 3 του ΚΚΑ προβλέπει ότι, στην περίπτωση μιας </w:t>
            </w:r>
            <w:r>
              <w:rPr>
                <w:rFonts w:ascii="Times New Roman" w:hAnsi="Times New Roman"/>
                <w:sz w:val="24"/>
              </w:rPr>
              <w:lastRenderedPageBreak/>
              <w:t>θέσης τιτλοποίησης στην οποία εφαρμόζεται συντελεστής στάθμισης κινδύνου 1 250 %, τα ιδρύματα μπορούν, αντί να συμπεριλάβουν τη θέση στον υπολογ</w:t>
            </w:r>
            <w:r>
              <w:rPr>
                <w:rFonts w:ascii="Times New Roman" w:hAnsi="Times New Roman"/>
                <w:sz w:val="24"/>
              </w:rPr>
              <w:t>ι</w:t>
            </w:r>
            <w:r>
              <w:rPr>
                <w:rFonts w:ascii="Times New Roman" w:hAnsi="Times New Roman"/>
                <w:sz w:val="24"/>
              </w:rPr>
              <w:t>σμό των σταθμισμένων ως προς τον κίνδυνο ποσών ανοιγμάτων, να αφαιρ</w:t>
            </w:r>
            <w:r>
              <w:rPr>
                <w:rFonts w:ascii="Times New Roman" w:hAnsi="Times New Roman"/>
                <w:sz w:val="24"/>
              </w:rPr>
              <w:t>έ</w:t>
            </w:r>
            <w:r>
              <w:rPr>
                <w:rFonts w:ascii="Times New Roman" w:hAnsi="Times New Roman"/>
                <w:sz w:val="24"/>
              </w:rPr>
              <w:t>σουν την αξία ανοίγματος της θέσης από τα ίδια κεφάλαιά τους.</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ΑΞΙΑ ΑΝΟΙΓΜΑΤΟΣ ΠΟΥ ΥΠΟΚΕΙΤΑΙ ΣΕ ΣΥΝΤΕΛΕΣΤΕΣ ΣΤΑ</w:t>
            </w:r>
            <w:r>
              <w:rPr>
                <w:rFonts w:ascii="Times New Roman" w:hAnsi="Times New Roman"/>
                <w:b/>
                <w:sz w:val="24"/>
                <w:u w:val="single"/>
              </w:rPr>
              <w:t>Θ</w:t>
            </w:r>
            <w:r>
              <w:rPr>
                <w:rFonts w:ascii="Times New Roman" w:hAnsi="Times New Roman"/>
                <w:b/>
                <w:sz w:val="24"/>
                <w:u w:val="single"/>
              </w:rPr>
              <w:t>ΜΙΣΗΣ ΚΙΝΔΥΝΟΥ</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200-320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ΜΕΘΟΔΟΣ ΒΑΣΕΙ ΔΙΑΒΑΘΜΙΣΕΩΝ (ΒΑΘΜΙΔΕΣ ΠΙΣΤΩΤΙΚΗΣ ΠΟΙΟΤΗΤΑΣ)</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Άρθρο 261 του ΚΚΑ</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Οι θέσεις τιτλοποίησης με βάση την προσέγγιση IRB με τεκμαιρόμενη διαβά</w:t>
            </w:r>
            <w:r>
              <w:rPr>
                <w:rFonts w:ascii="Times New Roman" w:hAnsi="Times New Roman"/>
                <w:sz w:val="24"/>
              </w:rPr>
              <w:t>θ</w:t>
            </w:r>
            <w:r>
              <w:rPr>
                <w:rFonts w:ascii="Times New Roman" w:hAnsi="Times New Roman"/>
                <w:sz w:val="24"/>
              </w:rPr>
              <w:t>μιση σύμφωνα με το άρθρο 259 παράγραφος 2 του ΚΚΑ αναφέρονται ως θ</w:t>
            </w:r>
            <w:r>
              <w:rPr>
                <w:rFonts w:ascii="Times New Roman" w:hAnsi="Times New Roman"/>
                <w:sz w:val="24"/>
              </w:rPr>
              <w:t>έ</w:t>
            </w:r>
            <w:r>
              <w:rPr>
                <w:rFonts w:ascii="Times New Roman" w:hAnsi="Times New Roman"/>
                <w:sz w:val="24"/>
              </w:rPr>
              <w:t>σεις με διαβάθμιση.</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Οι αξίες ανοίγματος που υπόκεινται σε συντελεστές στάθμισης κινδύνου κατ</w:t>
            </w:r>
            <w:r>
              <w:rPr>
                <w:rFonts w:ascii="Times New Roman" w:hAnsi="Times New Roman"/>
                <w:sz w:val="24"/>
              </w:rPr>
              <w:t>α</w:t>
            </w:r>
            <w:r>
              <w:rPr>
                <w:rFonts w:ascii="Times New Roman" w:hAnsi="Times New Roman"/>
                <w:sz w:val="24"/>
              </w:rPr>
              <w:t xml:space="preserve">νέμονται βάσει βαθμίδων πιστωτικής ποιότητας, όπως αυτές προβλέπονται για την προσέγγιση IRB στο άρθρο 261 παράγραφος 1 πίνακας 4 του ΚΚΑ.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ΜΕΘΟΔΟΣ ΕΠΟΠΤΙΚΟΥ ΥΠΟΔΕΙΓΜΑΤΟΣ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Για τη μέθοδο του εποπτικού υποδείγματος, βλέπε άρθρο 262 του ΚΚΑ.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Ο συντελεστής στάθμισης κινδύνου για μια θέση τιτλοποίησης είναι είτε 7 % είτε ο συντελεστής στάθμισης κινδύνου που εφαρμόζεται σύμφωνα με τους προβλεπόμενους τύπους, ανάλογα με το ποιο ποσοστό είναι μεγαλύτερο.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ΜΕΘΟΔΟΣ ΕΠΟΠΤΙΚΟΥ ΥΠΟΔΕΙΓΜΑΤΟΣ: ΜΕΣΟΣ ΣΥΝΤΕΛ</w:t>
            </w:r>
            <w:r>
              <w:rPr>
                <w:rFonts w:ascii="Times New Roman" w:hAnsi="Times New Roman"/>
                <w:b/>
                <w:sz w:val="24"/>
                <w:u w:val="single"/>
              </w:rPr>
              <w:t>Ε</w:t>
            </w:r>
            <w:r>
              <w:rPr>
                <w:rFonts w:ascii="Times New Roman" w:hAnsi="Times New Roman"/>
                <w:b/>
                <w:sz w:val="24"/>
                <w:u w:val="single"/>
              </w:rPr>
              <w:t>ΣΤΗΣ ΣΤΑΘΜΙΣΗΣ ΚΙΝΔΥΝΟΥ</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Τεχνικές μείωσης του πιστωτικού κινδύνου των θέσεων τιτλοποίησης μπορούν να αναγνωριστούν σύμφωνα με το άρθρο 264 του ΚΚΑ. Στην περίπτωση αυτή, το ίδρυμα αναφέρει τον «πραγματικό συντελεστή στάθμισης κινδύνου» της θ</w:t>
            </w:r>
            <w:r>
              <w:rPr>
                <w:rFonts w:ascii="Times New Roman" w:hAnsi="Times New Roman"/>
                <w:sz w:val="24"/>
              </w:rPr>
              <w:t>έ</w:t>
            </w:r>
            <w:r>
              <w:rPr>
                <w:rFonts w:ascii="Times New Roman" w:hAnsi="Times New Roman"/>
                <w:sz w:val="24"/>
              </w:rPr>
              <w:t>σης όταν έχει ληφθεί πλήρης προστασία, σύμφωνα με τις διατάξεις του ά</w:t>
            </w:r>
            <w:r>
              <w:rPr>
                <w:rFonts w:ascii="Times New Roman" w:hAnsi="Times New Roman"/>
                <w:sz w:val="24"/>
              </w:rPr>
              <w:t>ρ</w:t>
            </w:r>
            <w:r>
              <w:rPr>
                <w:rFonts w:ascii="Times New Roman" w:hAnsi="Times New Roman"/>
                <w:sz w:val="24"/>
              </w:rPr>
              <w:t>θρου 264 παράγραφος 2 του ΚΚΑ (ο πραγματικός συντελεστής στάθμισης κι</w:t>
            </w:r>
            <w:r>
              <w:rPr>
                <w:rFonts w:ascii="Times New Roman" w:hAnsi="Times New Roman"/>
                <w:sz w:val="24"/>
              </w:rPr>
              <w:t>ν</w:t>
            </w:r>
            <w:r>
              <w:rPr>
                <w:rFonts w:ascii="Times New Roman" w:hAnsi="Times New Roman"/>
                <w:sz w:val="24"/>
              </w:rPr>
              <w:t>δύνου ισούται με το σταθμισμένο ως προς τον κίνδυνο ποσό ανοίγματος της θέσης, διαιρούμενο διά της αξίας ανοίγματος της θέσης, πολλαπλασιαζόμενο επί 100).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Όταν η θέση τυγχάνει μερικής προστασίας, το ίδρυμα πρέπει να εφαρμόζει τη μέθοδο του εποπτικού υποδείγματος, χρησιμοποιώντας την προσαρμοσμένη τιμή «Τ» σύμφωνα με τις διατάξεις του άρθρου 264 παράγραφος 3 του ΚΚΑ.</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Στη συγκεκριμένη στήλη αναφέρονται οι σταθμισμένοι μέσοι συντελεστές στάθμισης κινδύνου.</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ΕΞΕΤΑΣΗ</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Οι στήλες εξέτασης περιλαμβάνουν όλες τις περιπτώσεις μη διαβαθμισμένων ανοιγμάτων των οποίων ο συντελεστής στάθμισης κινδύνου λαμβάνεται από το υποκείμενο χαρτοφυλάκιο ανοιγμάτων (μέγιστος συντελεστής στάθμισης κι</w:t>
            </w:r>
            <w:r>
              <w:rPr>
                <w:rFonts w:ascii="Times New Roman" w:hAnsi="Times New Roman"/>
                <w:sz w:val="24"/>
              </w:rPr>
              <w:t>ν</w:t>
            </w:r>
            <w:r>
              <w:rPr>
                <w:rFonts w:ascii="Times New Roman" w:hAnsi="Times New Roman"/>
                <w:sz w:val="24"/>
              </w:rPr>
              <w:t>δύνου της ομάδας).</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Το άρθρο 263 παράγραφοι 2 και 3 του ΚΚΑ προβλέπει κατ’ εξαίρεση αντιμ</w:t>
            </w:r>
            <w:r>
              <w:rPr>
                <w:rFonts w:ascii="Times New Roman" w:hAnsi="Times New Roman"/>
                <w:sz w:val="24"/>
              </w:rPr>
              <w:t>ε</w:t>
            </w:r>
            <w:r>
              <w:rPr>
                <w:rFonts w:ascii="Times New Roman" w:hAnsi="Times New Roman"/>
                <w:sz w:val="24"/>
              </w:rPr>
              <w:t xml:space="preserve">τώπιση, στην περίπτωση που δεν μπορεί να υπολογιστεί η τιμή </w:t>
            </w:r>
            <w:proofErr w:type="spellStart"/>
            <w:r>
              <w:rPr>
                <w:rFonts w:ascii="Times New Roman" w:hAnsi="Times New Roman"/>
                <w:sz w:val="24"/>
              </w:rPr>
              <w:t>K</w:t>
            </w:r>
            <w:r>
              <w:rPr>
                <w:rFonts w:ascii="Times New Roman" w:hAnsi="Times New Roman"/>
                <w:sz w:val="24"/>
                <w:vertAlign w:val="subscript"/>
              </w:rPr>
              <w:t>irb</w:t>
            </w:r>
            <w:proofErr w:type="spellEnd"/>
            <w:r>
              <w:rPr>
                <w:rFonts w:ascii="Times New Roman" w:hAnsi="Times New Roman"/>
                <w:sz w:val="24"/>
              </w:rPr>
              <w:t>.</w:t>
            </w:r>
          </w:p>
          <w:p w:rsidR="00612780" w:rsidRPr="00392FFD" w:rsidRDefault="00612780" w:rsidP="00612780">
            <w:pPr>
              <w:spacing w:before="0" w:after="0"/>
              <w:rPr>
                <w:rFonts w:ascii="Times New Roman" w:hAnsi="Times New Roman"/>
                <w:i/>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Το μη αναληφθέν ποσό των ταμειακών διευκολύνσεων αναφέρεται στα «εκτός ισολογισμού στοιχεία και παράγωγα».</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Εφόσον μια μεταβιβάζουσα οντότητα υφίσταται κατ’ εξαίρεση αντιμετώπιση στην περίπτωση που δεν μπορεί να υπολογιστεί η τιμή </w:t>
            </w:r>
            <w:proofErr w:type="spellStart"/>
            <w:r>
              <w:rPr>
                <w:rFonts w:ascii="Times New Roman" w:hAnsi="Times New Roman"/>
                <w:sz w:val="24"/>
              </w:rPr>
              <w:t>K</w:t>
            </w:r>
            <w:r>
              <w:rPr>
                <w:rFonts w:ascii="Times New Roman" w:hAnsi="Times New Roman"/>
                <w:sz w:val="24"/>
                <w:vertAlign w:val="subscript"/>
              </w:rPr>
              <w:t>irb</w:t>
            </w:r>
            <w:proofErr w:type="spellEnd"/>
            <w:r>
              <w:rPr>
                <w:rFonts w:ascii="Times New Roman" w:hAnsi="Times New Roman"/>
                <w:sz w:val="24"/>
              </w:rPr>
              <w:t>, η στήλη 350 είναι η σωστή στήλη που θα πρέπει να χρησιμοποιηθεί για την αναφορά της αντιμετ</w:t>
            </w:r>
            <w:r>
              <w:rPr>
                <w:rFonts w:ascii="Times New Roman" w:hAnsi="Times New Roman"/>
                <w:sz w:val="24"/>
              </w:rPr>
              <w:t>ώ</w:t>
            </w:r>
            <w:r>
              <w:rPr>
                <w:rFonts w:ascii="Times New Roman" w:hAnsi="Times New Roman"/>
                <w:sz w:val="24"/>
              </w:rPr>
              <w:t>πισης στάθμισης κινδύνου που παρέχεται στην αξία ανοίγματος μιας διευκ</w:t>
            </w:r>
            <w:r>
              <w:rPr>
                <w:rFonts w:ascii="Times New Roman" w:hAnsi="Times New Roman"/>
                <w:sz w:val="24"/>
              </w:rPr>
              <w:t>ό</w:t>
            </w:r>
            <w:r>
              <w:rPr>
                <w:rFonts w:ascii="Times New Roman" w:hAnsi="Times New Roman"/>
                <w:sz w:val="24"/>
              </w:rPr>
              <w:t>λυνσης ρευστότητας που υπόκειται στην προβλεπόμενη στο άρθρο 263 του ΚΚΑ αντιμετώπιση.</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Για την πρόωρη εξόφληση, βλέπε άρθρο 256 παράγραφος 5 και άρθρο 265 του ΚΚΑ.</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ΕΞΕΤΑΣΗ: ΜΕΣΟΣ ΣΥΝΤΕΛΕΣΤΗΣ ΣΤΑΘΜΙΣΗΣ ΚΙΝΔΥΝΟΥ</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Αναφέρεται το μέσο ύψος συντελεστή στάθμισης κινδύνου που έχει σταθμιστεί βάσει της αξίας ανοίγματος.</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ΠΡΟΣΕΓΓΙΣΗ ΕΣΩΤΕΡΙΚΗΣ ΑΞΙΟΛΟΓΗΣΗΣ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Το άρθρο 259 παράγραφοι 3 και 4 του ΚΚΑ προβλέπει την «προσέγγιση εσ</w:t>
            </w:r>
            <w:r>
              <w:rPr>
                <w:rFonts w:ascii="Times New Roman" w:hAnsi="Times New Roman"/>
                <w:sz w:val="24"/>
              </w:rPr>
              <w:t>ω</w:t>
            </w:r>
            <w:r>
              <w:rPr>
                <w:rFonts w:ascii="Times New Roman" w:hAnsi="Times New Roman"/>
                <w:sz w:val="24"/>
              </w:rPr>
              <w:t>τερικής αξιολόγησης» (ΙΑΑ) για θέσεις σε προγράμματα ABCP.</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IAA: ΜΕΣΟΣ ΣΥΝΤΕΛΕΣΤΗΣ ΣΤΑΘΜΙΣΗΣ ΚΙΝΔΥΝΟΥ</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Στη συγκεκριμένη στήλη αναφέρονται οι σταθμισμένοι μέσοι συντελεστές στάθμισης κινδύνου.</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ΜΕΙΩΣΗ ΤΟΥ ΣΤΑΘΜΙΣΜΕΝΟΥ ΩΣ ΠΡΟΣ ΤΟΝ ΚΙΝΔΥΝΟ Π</w:t>
            </w:r>
            <w:r>
              <w:rPr>
                <w:rFonts w:ascii="Times New Roman" w:hAnsi="Times New Roman"/>
                <w:b/>
                <w:sz w:val="24"/>
                <w:u w:val="single"/>
              </w:rPr>
              <w:t>Ο</w:t>
            </w:r>
            <w:r>
              <w:rPr>
                <w:rFonts w:ascii="Times New Roman" w:hAnsi="Times New Roman"/>
                <w:b/>
                <w:sz w:val="24"/>
                <w:u w:val="single"/>
              </w:rPr>
              <w:t>ΣΟΥ ΑΝΟΙΓΜΑΤΟΣ ΛΟΓΩ ΠΡΟΣΑΡΜΟΓΩΝ ΑΞΙΑΣ ΚΑΙ ΠΡΟΒΛ</w:t>
            </w:r>
            <w:r>
              <w:rPr>
                <w:rFonts w:ascii="Times New Roman" w:hAnsi="Times New Roman"/>
                <w:b/>
                <w:sz w:val="24"/>
                <w:u w:val="single"/>
              </w:rPr>
              <w:t>Ε</w:t>
            </w:r>
            <w:r>
              <w:rPr>
                <w:rFonts w:ascii="Times New Roman" w:hAnsi="Times New Roman"/>
                <w:b/>
                <w:sz w:val="24"/>
                <w:u w:val="single"/>
              </w:rPr>
              <w:t xml:space="preserve">ΨΕΩΝ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Τα ιδρύματα που εφαρμόζουν την προσέγγιση IRB εφαρμόζουν το άρθρο 266 παράγραφος 1 (ισχύει μόνο για μεταβιβάζουσες οντότητες, όταν το άνοιγμα δεν έχει αφαιρεθεί από τα ίδια κεφάλαια) και παράγραφος 2 του ΚΚΑ.</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Προσαρμογές αξίας και προβλέψεις (άρθρο 159 του ΚΚΑ) για πιστωτικές ζ</w:t>
            </w:r>
            <w:r>
              <w:rPr>
                <w:rFonts w:ascii="Times New Roman" w:hAnsi="Times New Roman"/>
                <w:sz w:val="24"/>
              </w:rPr>
              <w:t>η</w:t>
            </w:r>
            <w:r>
              <w:rPr>
                <w:rFonts w:ascii="Times New Roman" w:hAnsi="Times New Roman"/>
                <w:sz w:val="24"/>
              </w:rPr>
              <w:t>μίες που πραγματοποιούνται σύμφωνα με το λογιστικό πλαίσιο στο οποίο υπ</w:t>
            </w:r>
            <w:r>
              <w:rPr>
                <w:rFonts w:ascii="Times New Roman" w:hAnsi="Times New Roman"/>
                <w:sz w:val="24"/>
              </w:rPr>
              <w:t>ό</w:t>
            </w:r>
            <w:r>
              <w:rPr>
                <w:rFonts w:ascii="Times New Roman" w:hAnsi="Times New Roman"/>
                <w:sz w:val="24"/>
              </w:rPr>
              <w:t>κειται η αναφέρουσα οντότητα. Οι προσαρμογές αξίας περιλαμβάνουν οποι</w:t>
            </w:r>
            <w:r>
              <w:rPr>
                <w:rFonts w:ascii="Times New Roman" w:hAnsi="Times New Roman"/>
                <w:sz w:val="24"/>
              </w:rPr>
              <w:t>ο</w:t>
            </w:r>
            <w:r>
              <w:rPr>
                <w:rFonts w:ascii="Times New Roman" w:hAnsi="Times New Roman"/>
                <w:sz w:val="24"/>
              </w:rPr>
              <w:t>δήποτε ποσό που αναγνωρίζεται στα αποτελέσματα για πιστωτικές ζημίες χρ</w:t>
            </w:r>
            <w:r>
              <w:rPr>
                <w:rFonts w:ascii="Times New Roman" w:hAnsi="Times New Roman"/>
                <w:sz w:val="24"/>
              </w:rPr>
              <w:t>η</w:t>
            </w:r>
            <w:r>
              <w:rPr>
                <w:rFonts w:ascii="Times New Roman" w:hAnsi="Times New Roman"/>
                <w:sz w:val="24"/>
              </w:rPr>
              <w:t xml:space="preserve">ματοοικονομικών στοιχείων ενεργητικού από την αρχική τους αναγνώριση στον ισολογισμό (συμπεριλαμβανομένων ζημιών που οφείλονται σε πιστωτικό </w:t>
            </w:r>
            <w:r>
              <w:rPr>
                <w:rFonts w:ascii="Times New Roman" w:hAnsi="Times New Roman"/>
                <w:sz w:val="24"/>
              </w:rPr>
              <w:lastRenderedPageBreak/>
              <w:t>κίνδυνο χρηματοοικονομικών στοιχείων ενεργητικού που αποτιμώνται στην εύλογη αξία που δεν αφαιρούνται από την αξία ανοίγματος) συν τις μειώσεις των ανοιγμάτων που αγοράστηκαν ενώ είναι σε αθέτηση, σύμφωνα με το ά</w:t>
            </w:r>
            <w:r>
              <w:rPr>
                <w:rFonts w:ascii="Times New Roman" w:hAnsi="Times New Roman"/>
                <w:sz w:val="24"/>
              </w:rPr>
              <w:t>ρ</w:t>
            </w:r>
            <w:r>
              <w:rPr>
                <w:rFonts w:ascii="Times New Roman" w:hAnsi="Times New Roman"/>
                <w:sz w:val="24"/>
              </w:rPr>
              <w:t>θρο 166 παράγραφος 1 του ΚΚΑ. Οι προβλέψεις περιλαμβάνουν συσσωρευμ</w:t>
            </w:r>
            <w:r>
              <w:rPr>
                <w:rFonts w:ascii="Times New Roman" w:hAnsi="Times New Roman"/>
                <w:sz w:val="24"/>
              </w:rPr>
              <w:t>έ</w:t>
            </w:r>
            <w:r>
              <w:rPr>
                <w:rFonts w:ascii="Times New Roman" w:hAnsi="Times New Roman"/>
                <w:sz w:val="24"/>
              </w:rPr>
              <w:t>να ποσά πιστωτικών ζημιών σε εκτός ισολογισμού στοιχεία.</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ΠΟΣΟ ΑΝΟΙΓΜΑΤΟΣ ΣΤΑΘΜΙΣΜΕΝΟ ΩΣ ΠΡΟΣ ΤΟΝ ΚΙΝΔΥΝΟ</w:t>
            </w:r>
          </w:p>
          <w:p w:rsidR="00612780" w:rsidRPr="00392FFD" w:rsidRDefault="00612780" w:rsidP="00612780">
            <w:pPr>
              <w:spacing w:before="0" w:after="0"/>
              <w:jc w:val="left"/>
              <w:rPr>
                <w:rFonts w:ascii="Times New Roman" w:hAnsi="Times New Roman"/>
                <w:sz w:val="24"/>
              </w:rPr>
            </w:pPr>
          </w:p>
          <w:p w:rsidR="00612780" w:rsidRPr="00392FFD" w:rsidRDefault="0036415F" w:rsidP="00612780">
            <w:pPr>
              <w:spacing w:before="0" w:after="0"/>
              <w:rPr>
                <w:rFonts w:ascii="Times New Roman" w:hAnsi="Times New Roman"/>
                <w:sz w:val="24"/>
              </w:rPr>
            </w:pPr>
            <w:r>
              <w:rPr>
                <w:rFonts w:ascii="Times New Roman" w:hAnsi="Times New Roman"/>
                <w:sz w:val="24"/>
              </w:rPr>
              <w:t>Συνολικό ποσό ανοίγματος σταθμισμένο ως προς τον κίνδυνο, υπολογιζόμενο σύμφωνα με το τρίτο μέρος τίτλος II κεφάλαιο 5 τμήμα 3 του ΚΚΑ, πριν από εφαρμογή προσαρμογών λόγω αναντιστοιχιών ληκτότητας ή παραβίασης δι</w:t>
            </w:r>
            <w:r>
              <w:rPr>
                <w:rFonts w:ascii="Times New Roman" w:hAnsi="Times New Roman"/>
                <w:sz w:val="24"/>
              </w:rPr>
              <w:t>α</w:t>
            </w:r>
            <w:r>
              <w:rPr>
                <w:rFonts w:ascii="Times New Roman" w:hAnsi="Times New Roman"/>
                <w:sz w:val="24"/>
              </w:rPr>
              <w:t>τάξεων περί δέουσας επιμέλειας και εξαιρουμένου οποιουδήποτε ποσού ανοί</w:t>
            </w:r>
            <w:r>
              <w:rPr>
                <w:rFonts w:ascii="Times New Roman" w:hAnsi="Times New Roman"/>
                <w:sz w:val="24"/>
              </w:rPr>
              <w:t>γ</w:t>
            </w:r>
            <w:r>
              <w:rPr>
                <w:rFonts w:ascii="Times New Roman" w:hAnsi="Times New Roman"/>
                <w:sz w:val="24"/>
              </w:rPr>
              <w:t xml:space="preserve">ματος σταθμισμένου ως προς τον κίνδυνο που αντιστοιχεί σε ανοίγματα που έχουν ανακατανεμηθεί μέσω των εκροών σε άλλο υπόδειγμα. </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 ΕΚ ΤΩΝ ΟΠΟΙΩΝ: ΣΥΝΘΕΤΕΣ ΤΙΤΛΟΠΟΙΗΣΕΙΣ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Στην περίπτωση σύνθετων τιτλοποιήσεων με αναντιστοιχίες ληκτότητας, το προς αναφορά ποσό στη συγκεκριμένη στήλη δεν λαμβάνει υπόψη τυχόν αν</w:t>
            </w:r>
            <w:r>
              <w:rPr>
                <w:rFonts w:ascii="Times New Roman" w:hAnsi="Times New Roman"/>
                <w:sz w:val="24"/>
              </w:rPr>
              <w:t>α</w:t>
            </w:r>
            <w:r>
              <w:rPr>
                <w:rFonts w:ascii="Times New Roman" w:hAnsi="Times New Roman"/>
                <w:sz w:val="24"/>
              </w:rPr>
              <w:t>ντιστοιχίες ληκτότητας.</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ΣΥΝΟΛΙΚΟ ΑΠΟΤΕΛΕΣΜΑ (ΠΡΟΣΑΡΜΟΓΗ) ΛΟΓΩ ΠΑΡΑΒΙΑΣΗΣ ΤΩΝ ΔΙΑΤΑΞΕΩΝ ΠΕΡΙ ΔΕΟΥΣΑΣ ΕΠΙΜΕΛΕΙΑΣ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Το άρθρο 14 παράγραφος 2, το άρθρο 406 παράγραφος 2 και το άρθρο 407 του ΚΚΑ προβλέπουν ότι, όταν δεν πληρούνται ορισμένες απαιτήσεις από το ίδρ</w:t>
            </w:r>
            <w:r>
              <w:rPr>
                <w:rFonts w:ascii="Times New Roman" w:hAnsi="Times New Roman"/>
                <w:sz w:val="24"/>
              </w:rPr>
              <w:t>υ</w:t>
            </w:r>
            <w:r>
              <w:rPr>
                <w:rFonts w:ascii="Times New Roman" w:hAnsi="Times New Roman"/>
                <w:sz w:val="24"/>
              </w:rPr>
              <w:t xml:space="preserve">μα, τα κράτη μέλη εξασφαλίζουν την επιβολή από τις αρμόδιες αρχές ενός </w:t>
            </w:r>
            <w:r>
              <w:rPr>
                <w:rFonts w:ascii="Times New Roman" w:hAnsi="Times New Roman"/>
                <w:sz w:val="24"/>
              </w:rPr>
              <w:t>α</w:t>
            </w:r>
            <w:r>
              <w:rPr>
                <w:rFonts w:ascii="Times New Roman" w:hAnsi="Times New Roman"/>
                <w:sz w:val="24"/>
              </w:rPr>
              <w:t>ναλογικού πρόσθετου συντελεστή στάθμισης κινδύνου, τουλάχιστον ίσου με ποσοστό 250 % του συντελεστή στάθμισης κινδύνου (με ανώτατο όριο τα 1 250 %), ο οποίος θα εφαρμόζεται στις σχετικές θέσεις τιτλοποίησης, σύμφ</w:t>
            </w:r>
            <w:r>
              <w:rPr>
                <w:rFonts w:ascii="Times New Roman" w:hAnsi="Times New Roman"/>
                <w:sz w:val="24"/>
              </w:rPr>
              <w:t>ω</w:t>
            </w:r>
            <w:r>
              <w:rPr>
                <w:rFonts w:ascii="Times New Roman" w:hAnsi="Times New Roman"/>
                <w:sz w:val="24"/>
              </w:rPr>
              <w:t>να με το τρίτο μέρος τίτλος II κεφάλαιο 5 τμήμα 3 του ΚΚΑ.</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ΠΡΟΣΑΡΜΟΓΗ ΣΤΟ ΣΤΑΘΜΙΣΜΕΝΟ ΩΣ ΠΡΟΣ ΤΟΝ ΚΙΝΔΥΝΟ ΠΟΣΟ ΑΝΟΙΓΜΑΤΟΣ ΛΟΓΩ ΑΝΑΝΤΙΣΤΟΙΧΙΩΝ ΛΗΚΤΟΤΗΤΑΣ</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Στην περίπτωση αναντιστοιχιών ληκτότητας σε σύνθετες τιτλοποιήσεις, περ</w:t>
            </w:r>
            <w:r>
              <w:rPr>
                <w:rFonts w:ascii="Times New Roman" w:hAnsi="Times New Roman"/>
                <w:sz w:val="24"/>
              </w:rPr>
              <w:t>ι</w:t>
            </w:r>
            <w:r>
              <w:rPr>
                <w:rFonts w:ascii="Times New Roman" w:hAnsi="Times New Roman"/>
                <w:sz w:val="24"/>
              </w:rPr>
              <w:t xml:space="preserve">λαμβάνεται η τιμή RW*-RW(SP), όπως ορίζεται στο άρθρο 250 του ΚΚΑ, </w:t>
            </w:r>
            <w:r>
              <w:rPr>
                <w:rFonts w:ascii="Times New Roman" w:hAnsi="Times New Roman"/>
                <w:sz w:val="24"/>
              </w:rPr>
              <w:t>ε</w:t>
            </w:r>
            <w:r>
              <w:rPr>
                <w:rFonts w:ascii="Times New Roman" w:hAnsi="Times New Roman"/>
                <w:sz w:val="24"/>
              </w:rPr>
              <w:t>κτός από την περίπτωση τμημάτων υποκείμενων σε συντελεστή στάθμισης κινδύνου 1 250 %, όπου το προς αναφορά ποσό είναι μηδενικό. Σημειώνεται ότι η τιμή RW(SP) δεν περιλαμβάνει μόνο τα σταθμισμένα ως προς τον κίνδ</w:t>
            </w:r>
            <w:r>
              <w:rPr>
                <w:rFonts w:ascii="Times New Roman" w:hAnsi="Times New Roman"/>
                <w:sz w:val="24"/>
              </w:rPr>
              <w:t>υ</w:t>
            </w:r>
            <w:r>
              <w:rPr>
                <w:rFonts w:ascii="Times New Roman" w:hAnsi="Times New Roman"/>
                <w:sz w:val="24"/>
              </w:rPr>
              <w:t>νο ποσά ανοίγματος που αναφέρονται στη στήλη 400, αλλά και τα σταθμισμ</w:t>
            </w:r>
            <w:r>
              <w:rPr>
                <w:rFonts w:ascii="Times New Roman" w:hAnsi="Times New Roman"/>
                <w:sz w:val="24"/>
              </w:rPr>
              <w:t>έ</w:t>
            </w:r>
            <w:r>
              <w:rPr>
                <w:rFonts w:ascii="Times New Roman" w:hAnsi="Times New Roman"/>
                <w:sz w:val="24"/>
              </w:rPr>
              <w:t>να ως προς τον κίνδυνο ποσά ανοίγματος που αντιστοιχούν σε ανοίγματα που έχουν ανακατανεμηθεί μέσω των εκροών σε άλλα υποδείγματα.</w:t>
            </w:r>
          </w:p>
          <w:p w:rsidR="00612780" w:rsidRPr="00392FFD" w:rsidRDefault="00612780" w:rsidP="009068C9">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440-450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ΣΥΝΟΛΙΚΟ ΠΟΣΟ ΑΝΟΙΓΜΑΤΟΣ ΣΤΑΘΜΙΣΜΕΝΟ ΩΣ ΠΡΟΣ ΤΟΝ ΚΙΝΔΥΝΟ: ΠΡΙΝ ΑΠΟ ΤΟ ΑΝΩΤΑΤΟ ΟΡΙΟ/ ΜΕΤΑ ΤΟ ΑΝΩΤΑΤΟ ΟΡΙΟ</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Συνολικό ποσό ανοίγματος σταθμισμένο ως προς τον κίνδυνο, υπολογιζόμενο </w:t>
            </w:r>
            <w:r>
              <w:rPr>
                <w:rFonts w:ascii="Times New Roman" w:hAnsi="Times New Roman"/>
                <w:sz w:val="24"/>
              </w:rPr>
              <w:lastRenderedPageBreak/>
              <w:t>σύμφωνα με το τρίτο μέρος τίτλος II κεφάλαιο 5 τμήμα 3 του ΚΚΑ, πριν από (στήλη 440)/μετά (στήλη 450) την εφαρμογή των ορίων που προσδιορίζονται στο άρθρο 260 του ΚΚΑ. Επίσης, το άρθρο 265 του ΚΚΑ (συμπληρωματικές απαιτήσεις ιδίων κεφαλαίων για τιτλοποιήσεις ανακυκλούμενων ανοιγμάτων με ρήτρα πρόωρης εξόφλησης) πρέπει να λαμβάνεται υπόψη.</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ΥΠΟΜΝΗΜΑΤΙΚΟ ΣΤΟΙΧΕΙΟ: ΠΟΣΟ ΑΝΟΙΓΜΑΤΟΣ ΣΤΑΘΜ</w:t>
            </w:r>
            <w:r>
              <w:rPr>
                <w:rFonts w:ascii="Times New Roman" w:hAnsi="Times New Roman"/>
                <w:b/>
                <w:sz w:val="24"/>
                <w:u w:val="single"/>
              </w:rPr>
              <w:t>Ι</w:t>
            </w:r>
            <w:r>
              <w:rPr>
                <w:rFonts w:ascii="Times New Roman" w:hAnsi="Times New Roman"/>
                <w:b/>
                <w:sz w:val="24"/>
                <w:u w:val="single"/>
              </w:rPr>
              <w:t>ΣΜΕΝΟ ΩΣ ΠΡΟΣ ΤΟΝ ΚΙΝΔΥΝΟ ΠΟΥ ΑΝΤΙΣΤΟΙΧΕΙ ΣΤΙΣ ΕΚΡ</w:t>
            </w:r>
            <w:r>
              <w:rPr>
                <w:rFonts w:ascii="Times New Roman" w:hAnsi="Times New Roman"/>
                <w:b/>
                <w:sz w:val="24"/>
                <w:u w:val="single"/>
              </w:rPr>
              <w:t>Ο</w:t>
            </w:r>
            <w:r>
              <w:rPr>
                <w:rFonts w:ascii="Times New Roman" w:hAnsi="Times New Roman"/>
                <w:b/>
                <w:sz w:val="24"/>
                <w:u w:val="single"/>
              </w:rPr>
              <w:t xml:space="preserve">ΕΣ ΑΠΟ ΤΗΝ ΤΙΤΛΟΠΟΙΗΣΗ IRB ΣΕ ΑΛΛΕΣ ΚΑΤΗΓΟΡΙΕΣ </w:t>
            </w:r>
            <w:r>
              <w:rPr>
                <w:rFonts w:ascii="Times New Roman" w:hAnsi="Times New Roman"/>
                <w:b/>
                <w:sz w:val="24"/>
                <w:u w:val="single"/>
              </w:rPr>
              <w:t>Α</w:t>
            </w:r>
            <w:r>
              <w:rPr>
                <w:rFonts w:ascii="Times New Roman" w:hAnsi="Times New Roman"/>
                <w:b/>
                <w:sz w:val="24"/>
                <w:u w:val="single"/>
              </w:rPr>
              <w:t>ΝΟΙΓΜΑΤΩΝ</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Ποσό ανοίγματος σταθμισμένο ως προς τον κίνδυνο που προκύπτει από ανοί</w:t>
            </w:r>
            <w:r>
              <w:rPr>
                <w:rFonts w:ascii="Times New Roman" w:hAnsi="Times New Roman"/>
                <w:sz w:val="24"/>
              </w:rPr>
              <w:t>γ</w:t>
            </w:r>
            <w:r>
              <w:rPr>
                <w:rFonts w:ascii="Times New Roman" w:hAnsi="Times New Roman"/>
                <w:sz w:val="24"/>
              </w:rPr>
              <w:t>ματα που έχουν ανακατανεμηθεί στον πάροχο των στοιχείων μείωσης πιστωτ</w:t>
            </w:r>
            <w:r>
              <w:rPr>
                <w:rFonts w:ascii="Times New Roman" w:hAnsi="Times New Roman"/>
                <w:sz w:val="24"/>
              </w:rPr>
              <w:t>ι</w:t>
            </w:r>
            <w:r>
              <w:rPr>
                <w:rFonts w:ascii="Times New Roman" w:hAnsi="Times New Roman"/>
                <w:sz w:val="24"/>
              </w:rPr>
              <w:t xml:space="preserve">κού κινδύνου, και επομένως, υπολογίζονται στο αντίστοιχο υπόδειγμα, τα </w:t>
            </w:r>
            <w:r>
              <w:rPr>
                <w:rFonts w:ascii="Times New Roman" w:hAnsi="Times New Roman"/>
                <w:sz w:val="24"/>
              </w:rPr>
              <w:t>ο</w:t>
            </w:r>
            <w:r>
              <w:rPr>
                <w:rFonts w:ascii="Times New Roman" w:hAnsi="Times New Roman"/>
                <w:sz w:val="24"/>
              </w:rPr>
              <w:t>ποία λαμβάνονται υπόψη στον υπολογισμό του ανώτατου ορίου για τις θέσεις τιτλοποίησης.</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
    <w:p w:rsidR="00612780" w:rsidRPr="00392FFD" w:rsidRDefault="00125707" w:rsidP="00C37B29">
      <w:pPr>
        <w:pStyle w:val="InstructionsText2"/>
        <w:numPr>
          <w:ilvl w:val="0"/>
          <w:numId w:val="0"/>
        </w:numPr>
        <w:ind w:left="993"/>
      </w:pPr>
      <w:r>
        <w:t>107.</w:t>
      </w:r>
      <w:r>
        <w:tab/>
        <w:t>Το υπόδειγμα CR SEC IRB διαιρείται σε τρεις κύριες ομάδες γραμμών στις οποίες συγκεντρώνονται δεδομένα για τα ανοίγματα που έχουν δημιουργηθεί / τ</w:t>
      </w:r>
      <w:r>
        <w:t>ε</w:t>
      </w:r>
      <w:r>
        <w:t xml:space="preserve">λούν υπό την αιγίδα / έχουν </w:t>
      </w:r>
      <w:proofErr w:type="spellStart"/>
      <w:r>
        <w:t>διακρατηθεί</w:t>
      </w:r>
      <w:proofErr w:type="spellEnd"/>
      <w:r>
        <w:t xml:space="preserve"> ή αγορασθεί από μεταβιβάζουσες οντότ</w:t>
      </w:r>
      <w:r>
        <w:t>η</w:t>
      </w:r>
      <w:r>
        <w:t>τες, επενδυτές και αναδόχους. Για καθεμία εξ αυτών, οι πληροφορίες κατανέμονται με βάση τα εντός ισολογισμού στοιχεία και τα εκτός ισολογισμού στοιχεία και π</w:t>
      </w:r>
      <w:r>
        <w:t>α</w:t>
      </w:r>
      <w:r>
        <w:t xml:space="preserve">ράγωγα, καθώς και με βάση τις ομαδοποιήσεις συντελεστών στάθμισης κινδύνου των τιτλοποιήσεων και </w:t>
      </w:r>
      <w:proofErr w:type="spellStart"/>
      <w:r>
        <w:t>επανατιτλοποιήσεων</w:t>
      </w:r>
      <w:proofErr w:type="spellEnd"/>
      <w:r>
        <w:t xml:space="preserve">. </w:t>
      </w:r>
    </w:p>
    <w:p w:rsidR="00612780" w:rsidRPr="00392FFD" w:rsidRDefault="00125707" w:rsidP="00C37B29">
      <w:pPr>
        <w:pStyle w:val="InstructionsText2"/>
        <w:numPr>
          <w:ilvl w:val="0"/>
          <w:numId w:val="0"/>
        </w:numPr>
        <w:ind w:left="993"/>
      </w:pPr>
      <w:r>
        <w:t>108.</w:t>
      </w:r>
      <w:r>
        <w:tab/>
        <w:t>Οι θέσεις που αντιμετωπίζονται σύμφωνα με τη μέθοδο βάσει διαβαθμίσεων και οι μη διαβαθμισμένες θέσεις (ανοίγματα κατά την ημερομηνία υποβολής αν</w:t>
      </w:r>
      <w:r>
        <w:t>α</w:t>
      </w:r>
      <w:r>
        <w:t>φοράς) κατανέμονται επίσης βάσει των βαθμίδων πιστωτικής ποιότητας που εφα</w:t>
      </w:r>
      <w:r>
        <w:t>ρ</w:t>
      </w:r>
      <w:r>
        <w:t>μόζονται στην αρχή (τελευταία δέσμη γραμμών). Οι μεταβιβάζουσες οντότητες, οι ανάδοχοι, καθώς και οι επενδυτές αναφέρουν τις πληροφορίες αυτές.</w:t>
      </w:r>
    </w:p>
    <w:p w:rsidR="00612780" w:rsidRPr="00392FFD"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Tr="00672D2A">
        <w:tc>
          <w:tcPr>
            <w:tcW w:w="9145"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Γραμμές</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ΣΥΝΟΛΙΚΑ ΑΝΟΙΓΜΑΤΑ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Τα συνολικά ανοίγματα αφορούν το συνολικό ύψος εκκρεμών τιτλοποιήσεων. Στη συγκεκριμένη γραμμή συνοψίζονται όλες οι πληροφορίες τις οποίες αν</w:t>
            </w:r>
            <w:r>
              <w:rPr>
                <w:rFonts w:ascii="Times New Roman" w:hAnsi="Times New Roman"/>
                <w:sz w:val="24"/>
              </w:rPr>
              <w:t>α</w:t>
            </w:r>
            <w:r>
              <w:rPr>
                <w:rFonts w:ascii="Times New Roman" w:hAnsi="Times New Roman"/>
                <w:sz w:val="24"/>
              </w:rPr>
              <w:t>φέρουν οι μεταβιβάζουσες οντότητες, οι ανάδοχοι και οι επενδυτές σε επόμενες γραμμές.</w:t>
            </w:r>
          </w:p>
          <w:p w:rsidR="00612780" w:rsidRPr="00392FFD" w:rsidRDefault="00612780" w:rsidP="00612780">
            <w:pPr>
              <w:autoSpaceDE w:val="0"/>
              <w:autoSpaceDN w:val="0"/>
              <w:adjustRightInd w:val="0"/>
              <w:spacing w:before="0" w:after="0"/>
              <w:rPr>
                <w:rFonts w:ascii="Times New Roman" w:hAnsi="Times New Roman"/>
                <w:b/>
                <w:bCs/>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ΕΚ ΤΩΝ ΟΠΟΙΩΝ: ΕΠΑΝΑΤΙΤΛΟΠΟΙΗΣΕΙΣ</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Συνολικό ποσό εκκρεμών </w:t>
            </w:r>
            <w:proofErr w:type="spellStart"/>
            <w:r>
              <w:rPr>
                <w:rFonts w:ascii="Times New Roman" w:hAnsi="Times New Roman"/>
                <w:sz w:val="24"/>
              </w:rPr>
              <w:t>επανατιτλοποιήσεων</w:t>
            </w:r>
            <w:proofErr w:type="spellEnd"/>
            <w:r>
              <w:rPr>
                <w:rFonts w:ascii="Times New Roman" w:hAnsi="Times New Roman"/>
                <w:sz w:val="24"/>
              </w:rPr>
              <w:t>, σύμφωνα με τους ορισμούς του άρθρου 4 παράγραφος 1 σημεία 63) και 64) του ΚΚΑ.</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ΜΕΤΑΒΙΒΑΖΟΥΣΑ ΟΝΤΟΤΗΤΑ: ΣΥΝΟΛΙΚΑ ΑΝΟΙΓΜΑΤΑ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γραμμή συνοψίζονται πληροφορίες για εντός ισολογισμού στοιχεία και εκτός ισολογισμού στοιχεία και παράγωγα και την πρόωρη εξ</w:t>
            </w:r>
            <w:r>
              <w:rPr>
                <w:rFonts w:ascii="Times New Roman" w:hAnsi="Times New Roman"/>
                <w:sz w:val="24"/>
              </w:rPr>
              <w:t>ό</w:t>
            </w:r>
            <w:r>
              <w:rPr>
                <w:rFonts w:ascii="Times New Roman" w:hAnsi="Times New Roman"/>
                <w:sz w:val="24"/>
              </w:rPr>
              <w:t>φληση των θέσεων τιτλοποίησης για τις οποίες το ίδρυμα λειτουργεί ως μετ</w:t>
            </w:r>
            <w:r>
              <w:rPr>
                <w:rFonts w:ascii="Times New Roman" w:hAnsi="Times New Roman"/>
                <w:sz w:val="24"/>
              </w:rPr>
              <w:t>α</w:t>
            </w:r>
            <w:r>
              <w:rPr>
                <w:rFonts w:ascii="Times New Roman" w:hAnsi="Times New Roman"/>
                <w:sz w:val="24"/>
              </w:rPr>
              <w:t>βιβάζουσα οντότητα, όπως ορίζεται στο άρθρο 4 παράγραφος 1 σημείο 13) του ΚΚΑ.</w:t>
            </w: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040-090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ΣΤΟΙΧΕΙΑ ΕΝΤΟΣ ΙΣΟΛΟΓΙΣΜΟΥ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Το άρθρο 246 παράγραφος 1 στοιχείο β) του ΚΚΑ αναφέρει ότι, στην περ</w:t>
            </w:r>
            <w:r>
              <w:rPr>
                <w:rFonts w:ascii="Times New Roman" w:hAnsi="Times New Roman"/>
                <w:sz w:val="24"/>
              </w:rPr>
              <w:t>ί</w:t>
            </w:r>
            <w:r>
              <w:rPr>
                <w:rFonts w:ascii="Times New Roman" w:hAnsi="Times New Roman"/>
                <w:sz w:val="24"/>
              </w:rPr>
              <w:t xml:space="preserve">πτωση ιδρυμάτων που υπολογίζουν τα σταθμισμένα ποσά των ανοιγμάτων σύμφωνα με την προσέγγιση IRB, η αξία ανοίγματος μιας θέσης τιτλοποίησης εντός ισολογισμού είναι η λογιστική αξία της θέσης, χωρίς να λαμβάνονται </w:t>
            </w:r>
            <w:r>
              <w:rPr>
                <w:rFonts w:ascii="Times New Roman" w:hAnsi="Times New Roman"/>
                <w:sz w:val="24"/>
              </w:rPr>
              <w:t>υ</w:t>
            </w:r>
            <w:r>
              <w:rPr>
                <w:rFonts w:ascii="Times New Roman" w:hAnsi="Times New Roman"/>
                <w:sz w:val="24"/>
              </w:rPr>
              <w:t>πόψη τυχόν προσαρμογές πιστωτικού κινδύνου που έχουν γίνει.</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Τα στοιχεία εντός ισολογισμού κατανέμονται σύμφωνα με τις ομαδοποιήσεις συντελεστών στάθμισης των τιτλοποιήσεων (A-B-C) στις γραμμές 050-070 και των </w:t>
            </w:r>
            <w:proofErr w:type="spellStart"/>
            <w:r>
              <w:rPr>
                <w:rFonts w:ascii="Times New Roman" w:hAnsi="Times New Roman"/>
                <w:sz w:val="24"/>
              </w:rPr>
              <w:t>επανατιτλοποιήσεων</w:t>
            </w:r>
            <w:proofErr w:type="spellEnd"/>
            <w:r>
              <w:rPr>
                <w:rFonts w:ascii="Times New Roman" w:hAnsi="Times New Roman"/>
                <w:sz w:val="24"/>
              </w:rPr>
              <w:t xml:space="preserve"> (D-E) στις γραμμές 080-090, όπως αναφέρεται στο άρθρο 261 παράγραφος 1 πίνακας 4 του ΚΚΑ. </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100-150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ΣΤΟΙΧΕΙΑ ΚΑΙ ΠΑΡΑΓΩΓΑ ΕΚΤΟΣ ΙΣΟΛΟΓΙΣΜΟΥ</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Στις γραμμές αυτές συγκεντρώνονται πληροφορίες σχετικά με θέσεις τιτλοπο</w:t>
            </w:r>
            <w:r>
              <w:rPr>
                <w:rFonts w:ascii="Times New Roman" w:hAnsi="Times New Roman"/>
                <w:sz w:val="24"/>
              </w:rPr>
              <w:t>ί</w:t>
            </w:r>
            <w:r>
              <w:rPr>
                <w:rFonts w:ascii="Times New Roman" w:hAnsi="Times New Roman"/>
                <w:sz w:val="24"/>
              </w:rPr>
              <w:t>ησης στοιχείων και παραγώγων εκτός ισολογισμού, που υπόκεινται σε συντ</w:t>
            </w:r>
            <w:r>
              <w:rPr>
                <w:rFonts w:ascii="Times New Roman" w:hAnsi="Times New Roman"/>
                <w:sz w:val="24"/>
              </w:rPr>
              <w:t>ε</w:t>
            </w:r>
            <w:r>
              <w:rPr>
                <w:rFonts w:ascii="Times New Roman" w:hAnsi="Times New Roman"/>
                <w:sz w:val="24"/>
              </w:rPr>
              <w:t>λεστή μετατροπής βάσει του πλαισίου τιτλοποίησης. Η αξία ανοίγματος μιας εκτός ισολογισμού θέσης τιτλοποίησης είναι η ονομαστική αξία της, μείον τ</w:t>
            </w:r>
            <w:r>
              <w:rPr>
                <w:rFonts w:ascii="Times New Roman" w:hAnsi="Times New Roman"/>
                <w:sz w:val="24"/>
              </w:rPr>
              <w:t>υ</w:t>
            </w:r>
            <w:r>
              <w:rPr>
                <w:rFonts w:ascii="Times New Roman" w:hAnsi="Times New Roman"/>
                <w:sz w:val="24"/>
              </w:rPr>
              <w:t>χόν ειδικές προσαρμογές πιστωτικού κινδύνου της εν λόγω θέσης τιτλοποί</w:t>
            </w:r>
            <w:r>
              <w:rPr>
                <w:rFonts w:ascii="Times New Roman" w:hAnsi="Times New Roman"/>
                <w:sz w:val="24"/>
              </w:rPr>
              <w:t>η</w:t>
            </w:r>
            <w:r>
              <w:rPr>
                <w:rFonts w:ascii="Times New Roman" w:hAnsi="Times New Roman"/>
                <w:sz w:val="24"/>
              </w:rPr>
              <w:t>σης, επί συντελεστή μετατροπής 100 %, εκτός εάν ορίζεται διαφορετικά.</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Οι θέσεις τιτλοποίησης εκτός ισολογισμού που προκύπτουν από ένα από τα παράγωγα μέσα που απαριθμούνται στο παράρτημα II του ΚΚΑ προσδιορίζ</w:t>
            </w:r>
            <w:r>
              <w:rPr>
                <w:rFonts w:ascii="Times New Roman" w:hAnsi="Times New Roman"/>
                <w:sz w:val="24"/>
              </w:rPr>
              <w:t>ο</w:t>
            </w:r>
            <w:r>
              <w:rPr>
                <w:rFonts w:ascii="Times New Roman" w:hAnsi="Times New Roman"/>
                <w:sz w:val="24"/>
              </w:rPr>
              <w:t>νται σύμφωνα με το τρίτο μέρος τίτλος II κεφάλαιο 6 του ΚΚΑ. Η αξία ανοί</w:t>
            </w:r>
            <w:r>
              <w:rPr>
                <w:rFonts w:ascii="Times New Roman" w:hAnsi="Times New Roman"/>
                <w:sz w:val="24"/>
              </w:rPr>
              <w:t>γ</w:t>
            </w:r>
            <w:r>
              <w:rPr>
                <w:rFonts w:ascii="Times New Roman" w:hAnsi="Times New Roman"/>
                <w:sz w:val="24"/>
              </w:rPr>
              <w:t>ματος του πιστωτικού κινδύνου αντισυμβαλλομένου ενός από τα παράγωγα μέσα που απαριθμούνται στο παράρτημα II του ΚΚΑ, προσδιορίζεται σύμφ</w:t>
            </w:r>
            <w:r>
              <w:rPr>
                <w:rFonts w:ascii="Times New Roman" w:hAnsi="Times New Roman"/>
                <w:sz w:val="24"/>
              </w:rPr>
              <w:t>ω</w:t>
            </w:r>
            <w:r>
              <w:rPr>
                <w:rFonts w:ascii="Times New Roman" w:hAnsi="Times New Roman"/>
                <w:sz w:val="24"/>
              </w:rPr>
              <w:t xml:space="preserve">να με το τρίτο μέρος τίτλος II κεφάλαιο 6 του ΚΚΑ.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Στην περίπτωση ταμειακών διευκολύνσεων, πιστωτικών διευκολύνσεων και ταμειακών διευκολύνσεων του διαχειριστή, τα ιδρύματα αναφέρουν το μη αν</w:t>
            </w:r>
            <w:r>
              <w:rPr>
                <w:rFonts w:ascii="Times New Roman" w:hAnsi="Times New Roman"/>
                <w:sz w:val="24"/>
              </w:rPr>
              <w:t>α</w:t>
            </w:r>
            <w:r>
              <w:rPr>
                <w:rFonts w:ascii="Times New Roman" w:hAnsi="Times New Roman"/>
                <w:sz w:val="24"/>
              </w:rPr>
              <w:t xml:space="preserve">ληφθέν ποσό.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Στην περίπτωση συμφωνιών ανταλλαγής επιτοκίων και συναλλάγματος, αν</w:t>
            </w:r>
            <w:r>
              <w:rPr>
                <w:rFonts w:ascii="Times New Roman" w:hAnsi="Times New Roman"/>
                <w:sz w:val="24"/>
              </w:rPr>
              <w:t>α</w:t>
            </w:r>
            <w:r>
              <w:rPr>
                <w:rFonts w:ascii="Times New Roman" w:hAnsi="Times New Roman"/>
                <w:sz w:val="24"/>
              </w:rPr>
              <w:t xml:space="preserve">φέρεται η αξία ανοίγματος (σύμφωνα με το άρθρο 246 παράγραφος 1 του </w:t>
            </w:r>
            <w:r>
              <w:rPr>
                <w:rFonts w:ascii="Times New Roman" w:hAnsi="Times New Roman"/>
                <w:sz w:val="24"/>
              </w:rPr>
              <w:t>Κ</w:t>
            </w:r>
            <w:r>
              <w:rPr>
                <w:rFonts w:ascii="Times New Roman" w:hAnsi="Times New Roman"/>
                <w:sz w:val="24"/>
              </w:rPr>
              <w:t xml:space="preserve">ΚΑ), όπως προσδιορίζεται στο υπόδειγμα CR SA </w:t>
            </w:r>
            <w:proofErr w:type="spellStart"/>
            <w:r>
              <w:rPr>
                <w:rFonts w:ascii="Times New Roman" w:hAnsi="Times New Roman"/>
                <w:sz w:val="24"/>
              </w:rPr>
              <w:t>Total</w:t>
            </w:r>
            <w:proofErr w:type="spellEnd"/>
            <w:r>
              <w:rPr>
                <w:rFonts w:ascii="Times New Roman" w:hAnsi="Times New Roman"/>
                <w:sz w:val="24"/>
              </w:rPr>
              <w: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Τα στοιχεία εκτός ισολογισμού κατανέμονται σύμφωνα με τις ομαδοποιήσεις συντελεστών στάθμισης των τιτλοποιήσεων (A-B-C) στις γραμμές 110-130 και των </w:t>
            </w:r>
            <w:proofErr w:type="spellStart"/>
            <w:r>
              <w:rPr>
                <w:rFonts w:ascii="Times New Roman" w:hAnsi="Times New Roman"/>
                <w:sz w:val="24"/>
              </w:rPr>
              <w:t>επανατιτλοποιήσεων</w:t>
            </w:r>
            <w:proofErr w:type="spellEnd"/>
            <w:r>
              <w:rPr>
                <w:rFonts w:ascii="Times New Roman" w:hAnsi="Times New Roman"/>
                <w:sz w:val="24"/>
              </w:rPr>
              <w:t xml:space="preserve"> (D-E) στις γραμμές 140-150, όπως αναφέρεται στο άρθρο 261 παράγραφος 1 πίνακας 4 του ΚΚΑ.</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ΠΡΟΩΡΗ ΕΞΟΦΛΗΣΗ</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Η συγκεκριμένη γραμμή εφαρμόζεται μόνο για μεταβιβάζουσες οντότητες με τιτλοποιήσεις ανακυκλούμενων ανοιγμάτων που περιέχουν ρήτρα πρόωρης </w:t>
            </w:r>
            <w:r>
              <w:rPr>
                <w:rFonts w:ascii="Times New Roman" w:hAnsi="Times New Roman"/>
                <w:sz w:val="24"/>
              </w:rPr>
              <w:t>ε</w:t>
            </w:r>
            <w:r>
              <w:rPr>
                <w:rFonts w:ascii="Times New Roman" w:hAnsi="Times New Roman"/>
                <w:sz w:val="24"/>
              </w:rPr>
              <w:t>ξόφλησης, όπως αναφέρεται στο άρθρο 242 σημεία 13) και 14) του ΚΚΑ.</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ΕΠΕΝΔΥΤΗΣ: ΣΥΝΟΛΙΚΑ ΑΝΟΙΓΜΑΤΑ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Στη συγκεκριμένη γραμμή συνοψίζονται πληροφορίες για εντός ισολογισμού και εκτός ισολογισμού στοιχεία και παράγωγα των θέσεων τιτλοποίησης για τις οποίες το ίδρυμα λειτουργεί ως επενδυτής. </w:t>
            </w: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Ο ΚΚΑ δεν αναφέρει σαφή ορισμό των επενδυτών. Επομένως, στο συγκεκρ</w:t>
            </w:r>
            <w:r>
              <w:rPr>
                <w:rStyle w:val="FormatvorlageInstructionsTabelleText"/>
                <w:rFonts w:ascii="Times New Roman" w:hAnsi="Times New Roman"/>
                <w:sz w:val="24"/>
              </w:rPr>
              <w:t>ι</w:t>
            </w:r>
            <w:r>
              <w:rPr>
                <w:rStyle w:val="FormatvorlageInstructionsTabelleText"/>
                <w:rFonts w:ascii="Times New Roman" w:hAnsi="Times New Roman"/>
                <w:sz w:val="24"/>
              </w:rPr>
              <w:t xml:space="preserve">μένο πλαίσιο, επενδυτής θεωρείται ένα ίδρυμα που κατέχει θέση τιτλοποίησης σε μια συναλλαγή τιτλοποίησης στην οποία δεν είναι ούτε μεταβιβάζουσα </w:t>
            </w:r>
            <w:r>
              <w:rPr>
                <w:rStyle w:val="FormatvorlageInstructionsTabelleText"/>
                <w:rFonts w:ascii="Times New Roman" w:hAnsi="Times New Roman"/>
                <w:sz w:val="24"/>
              </w:rPr>
              <w:t>ο</w:t>
            </w:r>
            <w:r>
              <w:rPr>
                <w:rStyle w:val="FormatvorlageInstructionsTabelleText"/>
                <w:rFonts w:ascii="Times New Roman" w:hAnsi="Times New Roman"/>
                <w:sz w:val="24"/>
              </w:rPr>
              <w:t>ντότητα ούτε ανάδοχος.</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ΣΤΟΙΧΕΙΑ ΕΝΤΟΣ ΙΣΟΛΟΓΙΣΜΟΥ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Τα ίδια κριτήρια κατάταξης μεταξύ τιτλοποιήσεων (A-B-C) και </w:t>
            </w:r>
            <w:proofErr w:type="spellStart"/>
            <w:r>
              <w:rPr>
                <w:rFonts w:ascii="Times New Roman" w:hAnsi="Times New Roman"/>
                <w:sz w:val="24"/>
              </w:rPr>
              <w:t>επανατιτλ</w:t>
            </w:r>
            <w:r>
              <w:rPr>
                <w:rFonts w:ascii="Times New Roman" w:hAnsi="Times New Roman"/>
                <w:sz w:val="24"/>
              </w:rPr>
              <w:t>ο</w:t>
            </w:r>
            <w:r>
              <w:rPr>
                <w:rFonts w:ascii="Times New Roman" w:hAnsi="Times New Roman"/>
                <w:sz w:val="24"/>
              </w:rPr>
              <w:t>ποιήσεων</w:t>
            </w:r>
            <w:proofErr w:type="spellEnd"/>
            <w:r>
              <w:rPr>
                <w:rFonts w:ascii="Times New Roman" w:hAnsi="Times New Roman"/>
                <w:sz w:val="24"/>
              </w:rPr>
              <w:t xml:space="preserve"> (D-E) που χρησιμοποιούνται για τα στοιχεία εντός ισολογισμού, στην περίπτωση μεταβιβαζουσών οντοτήτων, χρησιμοποιούνται και στη σ</w:t>
            </w:r>
            <w:r>
              <w:rPr>
                <w:rFonts w:ascii="Times New Roman" w:hAnsi="Times New Roman"/>
                <w:sz w:val="24"/>
              </w:rPr>
              <w:t>υ</w:t>
            </w:r>
            <w:r>
              <w:rPr>
                <w:rFonts w:ascii="Times New Roman" w:hAnsi="Times New Roman"/>
                <w:sz w:val="24"/>
              </w:rPr>
              <w:t>γκεκριμένη περίπτωση.</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240-290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ΣΤΟΙΧΕΙΑ ΚΑΙ ΠΑΡΑΓΩΓΑ ΕΚΤΟΣ ΙΣΟΛΟΓΙΣΜΟΥ</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Τα ίδια κριτήρια κατάταξης μεταξύ τιτλοποιήσεων (A-B-C) και </w:t>
            </w:r>
            <w:proofErr w:type="spellStart"/>
            <w:r>
              <w:rPr>
                <w:rFonts w:ascii="Times New Roman" w:hAnsi="Times New Roman"/>
                <w:sz w:val="24"/>
              </w:rPr>
              <w:t>επανατιτλ</w:t>
            </w:r>
            <w:r>
              <w:rPr>
                <w:rFonts w:ascii="Times New Roman" w:hAnsi="Times New Roman"/>
                <w:sz w:val="24"/>
              </w:rPr>
              <w:t>ο</w:t>
            </w:r>
            <w:r>
              <w:rPr>
                <w:rFonts w:ascii="Times New Roman" w:hAnsi="Times New Roman"/>
                <w:sz w:val="24"/>
              </w:rPr>
              <w:t>ποιήσεων</w:t>
            </w:r>
            <w:proofErr w:type="spellEnd"/>
            <w:r>
              <w:rPr>
                <w:rFonts w:ascii="Times New Roman" w:hAnsi="Times New Roman"/>
                <w:sz w:val="24"/>
              </w:rPr>
              <w:t xml:space="preserve"> (D-E) που χρησιμοποιούνται για τα εκτός ισολογισμού στοιχεία και παράγωγα, στην περίπτωση μεταβιβαζουσών οντοτήτων, χρησιμοποιούνται και στη συγκεκριμένη περίπτωση.</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ΑΝΑΔΟΧΟΣ ΟΝΤΟΤΗΤΑ: ΣΥΝΟΛΙΚΑ ΑΝΟΙΓΜΑΤΑ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γραμμή συνοψίζονται πληροφορίες για εντός ισολογισμού και εκτός ισολογισμού στοιχεία και παράγωγα των θέσεων τιτλοποίησης για τις οποίες το ίδρυμα λειτουργεί ως ανάδοχος, όπως ορίζεται στο άρθρο 4 παρ</w:t>
            </w:r>
            <w:r>
              <w:rPr>
                <w:rFonts w:ascii="Times New Roman" w:hAnsi="Times New Roman"/>
                <w:sz w:val="24"/>
              </w:rPr>
              <w:t>ά</w:t>
            </w:r>
            <w:r>
              <w:rPr>
                <w:rFonts w:ascii="Times New Roman" w:hAnsi="Times New Roman"/>
                <w:sz w:val="24"/>
              </w:rPr>
              <w:t xml:space="preserve">γραφος 1 σημείο 14) του ΚΚΑ. Εάν μια ανάδοχος οντότητα </w:t>
            </w:r>
            <w:proofErr w:type="spellStart"/>
            <w:r>
              <w:rPr>
                <w:rFonts w:ascii="Times New Roman" w:hAnsi="Times New Roman"/>
                <w:sz w:val="24"/>
              </w:rPr>
              <w:t>τιτλοποιεί</w:t>
            </w:r>
            <w:proofErr w:type="spellEnd"/>
            <w:r>
              <w:rPr>
                <w:rFonts w:ascii="Times New Roman" w:hAnsi="Times New Roman"/>
                <w:sz w:val="24"/>
              </w:rPr>
              <w:t xml:space="preserve"> επίσης δικά της στοιχεία ενεργητικού, συμπληρώνει στις γραμμές που αφορούν τη μ</w:t>
            </w:r>
            <w:r>
              <w:rPr>
                <w:rFonts w:ascii="Times New Roman" w:hAnsi="Times New Roman"/>
                <w:sz w:val="24"/>
              </w:rPr>
              <w:t>ε</w:t>
            </w:r>
            <w:r>
              <w:rPr>
                <w:rFonts w:ascii="Times New Roman" w:hAnsi="Times New Roman"/>
                <w:sz w:val="24"/>
              </w:rPr>
              <w:t>ταβιβάζουσα οντότητα πληροφορίες σχετικά με τα δικά της τιτλοποιημένα στοιχεία ενεργητικού.</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310-360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ΣΤΟΙΧΕΙΑ ΕΝΤΟΣ ΙΣΟΛΟΓΙΣΜΟΥ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Τα ίδια κριτήρια κατάταξης μεταξύ τιτλοποιήσεων (A-B-C) και </w:t>
            </w:r>
            <w:proofErr w:type="spellStart"/>
            <w:r>
              <w:rPr>
                <w:rFonts w:ascii="Times New Roman" w:hAnsi="Times New Roman"/>
                <w:sz w:val="24"/>
              </w:rPr>
              <w:t>επανατιτλ</w:t>
            </w:r>
            <w:r>
              <w:rPr>
                <w:rFonts w:ascii="Times New Roman" w:hAnsi="Times New Roman"/>
                <w:sz w:val="24"/>
              </w:rPr>
              <w:t>ο</w:t>
            </w:r>
            <w:r>
              <w:rPr>
                <w:rFonts w:ascii="Times New Roman" w:hAnsi="Times New Roman"/>
                <w:sz w:val="24"/>
              </w:rPr>
              <w:t>ποιήσεων</w:t>
            </w:r>
            <w:proofErr w:type="spellEnd"/>
            <w:r>
              <w:rPr>
                <w:rFonts w:ascii="Times New Roman" w:hAnsi="Times New Roman"/>
                <w:sz w:val="24"/>
              </w:rPr>
              <w:t xml:space="preserve"> (D-E) που χρησιμοποιούνται για τα εντός ισολογισμού στοιχεία και παράγωγα, στην περίπτωση μεταβιβαζουσών οντοτήτων, χρησιμοποιούνται και στη συγκεκριμένη περίπτωση.</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370-420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ΣΤΟΙΧΕΙΑ ΚΑΙ ΠΑΡΑΓΩΓΑ ΕΚΤΟΣ ΙΣΟΛΟΓΙΣΜΟΥ</w:t>
            </w:r>
          </w:p>
          <w:p w:rsidR="00612780" w:rsidRPr="00392FFD" w:rsidRDefault="00612780" w:rsidP="00612780">
            <w:pPr>
              <w:autoSpaceDE w:val="0"/>
              <w:autoSpaceDN w:val="0"/>
              <w:adjustRightInd w:val="0"/>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Τα ίδια κριτήρια κατάταξης μεταξύ τιτλοποιήσεων (A-B-C) και </w:t>
            </w:r>
            <w:proofErr w:type="spellStart"/>
            <w:r>
              <w:rPr>
                <w:rFonts w:ascii="Times New Roman" w:hAnsi="Times New Roman"/>
                <w:sz w:val="24"/>
              </w:rPr>
              <w:t>επανατιτλ</w:t>
            </w:r>
            <w:r>
              <w:rPr>
                <w:rFonts w:ascii="Times New Roman" w:hAnsi="Times New Roman"/>
                <w:sz w:val="24"/>
              </w:rPr>
              <w:t>ο</w:t>
            </w:r>
            <w:r>
              <w:rPr>
                <w:rFonts w:ascii="Times New Roman" w:hAnsi="Times New Roman"/>
                <w:sz w:val="24"/>
              </w:rPr>
              <w:lastRenderedPageBreak/>
              <w:t>ποιήσεων</w:t>
            </w:r>
            <w:proofErr w:type="spellEnd"/>
            <w:r>
              <w:rPr>
                <w:rFonts w:ascii="Times New Roman" w:hAnsi="Times New Roman"/>
                <w:sz w:val="24"/>
              </w:rPr>
              <w:t xml:space="preserve"> (D-E) που χρησιμοποιούνται για τα εκτός ισολογισμού στοιχεία και παράγωγα, στην περίπτωση μεταβιβαζουσών οντοτήτων, χρησιμοποιούνται και στη συγκεκριμένη περίπτωση.</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430-540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ΚΑΤΑΝΟΜΗ ΕΚΚΡΕΜΩΝ ΘΕΣΕΩΝ ΣΥΜΦΩΝΑ ΜΕ ΤΗ ΒΑΘΜΙΔΑ ΠΙΣΤΩΤΙΚΗΣ ΠΟΙΟΤΗΤΑΣ (CQS) ΣΤΗΝ ΑΡΧΗ</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Στις συγκεκριμένες γραμμές συγκεντρώνονται πληροφορίες για ανεξόφλητες θέσεις που αντιμετωπίζονται σύμφωνα με τη μέθοδο βάσει διαβαθμίσεων και για μη διαβαθμισμένες θέσεις (κατά την ημερομηνία αναφοράς) σύμφωνα με τις βαθμίδες πιστωτικής ποιότητας (που προβλέπονται για την προσέγγιση IRB στο άρθρο 261 πίνακας 4 του ΚΚΑ) που εφαρμόζονται κατά την ημερομηνία δημιουργίας (αρχή). Εάν δεν υπάρχουν οι πληροφορίες αυτές, αναφέρονται τα πρώτα ισοδύναμα των βαθμίδων πιστωτικής ποιότητας δεδομένα που είναι δι</w:t>
            </w:r>
            <w:r>
              <w:rPr>
                <w:rFonts w:ascii="Times New Roman" w:hAnsi="Times New Roman"/>
                <w:sz w:val="24"/>
              </w:rPr>
              <w:t>α</w:t>
            </w:r>
            <w:r>
              <w:rPr>
                <w:rFonts w:ascii="Times New Roman" w:hAnsi="Times New Roman"/>
                <w:sz w:val="24"/>
              </w:rPr>
              <w:t>θέσιμα.</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Οι γραμμές αυτές υποβάλλονται μόνο για τις στήλες 170, 190 έως 320 και τις στήλες 400 έως 410.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08" w:name="_Toc239157390"/>
      <w:bookmarkStart w:id="409" w:name="_Toc310415046"/>
      <w:bookmarkStart w:id="410" w:name="_Toc360188381"/>
      <w:bookmarkStart w:id="411" w:name="_Toc516210667"/>
      <w:bookmarkStart w:id="412" w:name="_Toc473560932"/>
      <w:r>
        <w:rPr>
          <w:rFonts w:ascii="Times New Roman" w:hAnsi="Times New Roman"/>
          <w:sz w:val="24"/>
          <w:u w:val="none"/>
        </w:rPr>
        <w:t>3.9.</w:t>
      </w:r>
      <w:r>
        <w:tab/>
      </w:r>
      <w:r>
        <w:rPr>
          <w:rFonts w:ascii="Times New Roman" w:hAnsi="Times New Roman"/>
          <w:sz w:val="24"/>
        </w:rPr>
        <w:t xml:space="preserve">C 14.00 – </w:t>
      </w:r>
      <w:bookmarkEnd w:id="408"/>
      <w:r>
        <w:rPr>
          <w:rFonts w:ascii="Times New Roman" w:hAnsi="Times New Roman"/>
          <w:sz w:val="24"/>
        </w:rPr>
        <w:t>Λεπτομερείς πληροφορίες για τις τιτλοποιήσεις</w:t>
      </w:r>
      <w:bookmarkEnd w:id="409"/>
      <w:bookmarkEnd w:id="410"/>
      <w:r>
        <w:rPr>
          <w:rFonts w:ascii="Times New Roman" w:hAnsi="Times New Roman"/>
          <w:sz w:val="24"/>
        </w:rPr>
        <w:t xml:space="preserve"> (SEC DETAILS)</w:t>
      </w:r>
      <w:bookmarkEnd w:id="411"/>
      <w:bookmarkEnd w:id="412"/>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13" w:name="_Toc310415047"/>
      <w:bookmarkStart w:id="414" w:name="_Toc360188382"/>
      <w:bookmarkStart w:id="415" w:name="_Toc516210668"/>
      <w:bookmarkStart w:id="416" w:name="_Toc473560933"/>
      <w:r>
        <w:rPr>
          <w:rFonts w:ascii="Times New Roman" w:hAnsi="Times New Roman"/>
          <w:sz w:val="24"/>
          <w:u w:val="none"/>
        </w:rPr>
        <w:t>3.9.1.</w:t>
      </w:r>
      <w:r>
        <w:tab/>
      </w:r>
      <w:r>
        <w:rPr>
          <w:rFonts w:ascii="Times New Roman" w:hAnsi="Times New Roman"/>
          <w:sz w:val="24"/>
        </w:rPr>
        <w:t>Γενικές παρατηρήσεις</w:t>
      </w:r>
      <w:bookmarkEnd w:id="413"/>
      <w:bookmarkEnd w:id="414"/>
      <w:bookmarkEnd w:id="415"/>
      <w:bookmarkEnd w:id="416"/>
    </w:p>
    <w:p w:rsidR="00612780" w:rsidRPr="00392FFD" w:rsidRDefault="00125707" w:rsidP="00C37B29">
      <w:pPr>
        <w:pStyle w:val="InstructionsText2"/>
        <w:numPr>
          <w:ilvl w:val="0"/>
          <w:numId w:val="0"/>
        </w:numPr>
        <w:ind w:left="993"/>
      </w:pPr>
      <w:r>
        <w:t>109.</w:t>
      </w:r>
      <w:r>
        <w:tab/>
        <w:t xml:space="preserve">Στο συγκεκριμένο υπόδειγμα συγκεντρώνονται πληροφορίες στη βάση των συναλλαγών (έναντι των συγκεντρωτικών πληροφοριών που αναφέρονται στα </w:t>
      </w:r>
      <w:r>
        <w:t>υ</w:t>
      </w:r>
      <w:r>
        <w:t>ποδείγματα CR SEC SA, CR SEC IRB, MKR SA SEC, MKR SA CTP, CA1 και CA2) για όλες τις τιτλοποιήσεις στις οποίες συμμετέχει το αναφέρον ίδρυμα. Υπ</w:t>
      </w:r>
      <w:r>
        <w:t>ο</w:t>
      </w:r>
      <w:r>
        <w:t xml:space="preserve">βάλλονται στοιχεία για τα κύρια χαρακτηριστικά κάθε τιτλοποίησης, όπως η φύση της υποκείμενης ομάδας και οι απαιτήσεις ιδίων κεφαλαίων. </w:t>
      </w:r>
    </w:p>
    <w:p w:rsidR="00612780" w:rsidRPr="00392FFD" w:rsidRDefault="00125707" w:rsidP="00C37B29">
      <w:pPr>
        <w:pStyle w:val="InstructionsText2"/>
        <w:numPr>
          <w:ilvl w:val="0"/>
          <w:numId w:val="0"/>
        </w:numPr>
        <w:ind w:left="993"/>
      </w:pPr>
      <w:r>
        <w:t>110.</w:t>
      </w:r>
      <w:r>
        <w:tab/>
        <w:t>Το συγκεκριμένο υπόδειγμα υποβάλλεται για:</w:t>
      </w:r>
    </w:p>
    <w:p w:rsidR="00612780" w:rsidRPr="00392FFD" w:rsidRDefault="00125707" w:rsidP="00C37B29">
      <w:pPr>
        <w:pStyle w:val="InstructionsText2"/>
        <w:numPr>
          <w:ilvl w:val="0"/>
          <w:numId w:val="0"/>
        </w:numPr>
        <w:ind w:left="993"/>
      </w:pPr>
      <w:r>
        <w:t>α.</w:t>
      </w:r>
      <w:r>
        <w:tab/>
        <w:t>Τιτλοποιήσεις που έχουν δημιουργηθεί / τελούν υπό την αιγίδα του αναφέρ</w:t>
      </w:r>
      <w:r>
        <w:t>ο</w:t>
      </w:r>
      <w:r>
        <w:t>ντος ιδρύματος, στην περίπτωση που αυτό κατέχει τουλάχιστον μία θέση στην τι</w:t>
      </w:r>
      <w:r>
        <w:t>τ</w:t>
      </w:r>
      <w:r>
        <w:t>λοποίηση. Αυτό σημαίνει ότι, ανεξαρτήτως του αν έχει υπάρξει σημαντική μετ</w:t>
      </w:r>
      <w:r>
        <w:t>α</w:t>
      </w:r>
      <w:r>
        <w:t xml:space="preserve">φορά κινδύνου ή όχι, τα ιδρύματα αναφέρουν πληροφορίες για όλες τις θέσεις που τηρούν (είτε στο τραπεζικό χαρτοφυλάκιο είτε στο χαρτοφυλάκιο συναλλαγών). Στις τηρούμενες θέσεις περιλαμβάνονται οι θέσεις που έχουν </w:t>
      </w:r>
      <w:proofErr w:type="spellStart"/>
      <w:r>
        <w:t>διακρατηθεί</w:t>
      </w:r>
      <w:proofErr w:type="spellEnd"/>
      <w:r>
        <w:t xml:space="preserve"> βάσει του άρθρου 405 του ΚΚΑ.</w:t>
      </w:r>
    </w:p>
    <w:p w:rsidR="00612780" w:rsidRPr="00392FFD" w:rsidRDefault="00125707" w:rsidP="00C37B29">
      <w:pPr>
        <w:pStyle w:val="InstructionsText2"/>
        <w:numPr>
          <w:ilvl w:val="0"/>
          <w:numId w:val="0"/>
        </w:numPr>
        <w:ind w:left="993"/>
      </w:pPr>
      <w:r>
        <w:t>β.</w:t>
      </w:r>
      <w:r>
        <w:tab/>
        <w:t>Τιτλοποιήσεις που έχουν δημιουργηθεί / τελούν υπό την αιγίδα του ιδρύματος που παρέχει τις πληροφορίες κατά το έτος υποβολής της αναφοράς</w:t>
      </w:r>
      <w:r>
        <w:rPr>
          <w:vertAlign w:val="superscript"/>
        </w:rPr>
        <w:footnoteReference w:id="2"/>
      </w:r>
      <w:r>
        <w:t>, εάν αυτό δεν κατέχει θέσεις.</w:t>
      </w:r>
    </w:p>
    <w:p w:rsidR="00612780" w:rsidRPr="00125707" w:rsidRDefault="00125707" w:rsidP="00C37B29">
      <w:pPr>
        <w:pStyle w:val="InstructionsText2"/>
        <w:numPr>
          <w:ilvl w:val="0"/>
          <w:numId w:val="0"/>
        </w:numPr>
        <w:ind w:left="993"/>
      </w:pPr>
      <w:r>
        <w:lastRenderedPageBreak/>
        <w:t>γ.</w:t>
      </w:r>
      <w:r>
        <w:tab/>
        <w:t>Τιτλοποιήσεις, τα απώτερα υποκείμενα στοιχεία των οποίων είναι χρηματοο</w:t>
      </w:r>
      <w:r>
        <w:t>ι</w:t>
      </w:r>
      <w:r>
        <w:t>κονομικές υποχρεώσεις που είχαν αρχικά εκδοθεί από το αναφέρον ίδρυμα και (εν μέρει) αποκτώνται από φορέα τιτλοποίησης. Αυτό το υποκείμενο στοιχείο θα μπ</w:t>
      </w:r>
      <w:r>
        <w:t>ο</w:t>
      </w:r>
      <w:r>
        <w:t>ρούσε να περιλαμβάνει καλυμμένες ομολογίες ή άλλες υποχρεώσεις, και επισημα</w:t>
      </w:r>
      <w:r>
        <w:t>ί</w:t>
      </w:r>
      <w:r>
        <w:t>νεται σχετικά στη στήλη 160.</w:t>
      </w:r>
    </w:p>
    <w:p w:rsidR="00E50E79" w:rsidRPr="00392FFD" w:rsidRDefault="00125707" w:rsidP="00C37B29">
      <w:pPr>
        <w:pStyle w:val="InstructionsText2"/>
        <w:numPr>
          <w:ilvl w:val="0"/>
          <w:numId w:val="0"/>
        </w:numPr>
        <w:ind w:left="993"/>
      </w:pPr>
      <w:r>
        <w:t>δ.</w:t>
      </w:r>
      <w:r>
        <w:tab/>
        <w:t>Θέσεις τηρούμενες σε τιτλοποιήσεις στις οποίες το ίδρυμα που παρέχει τις πληροφορίες δεν είναι ούτε μεταβιβάζουσα ούτε ανάδοχος οντότητα (π.χ. επενδ</w:t>
      </w:r>
      <w:r>
        <w:t>υ</w:t>
      </w:r>
      <w:r>
        <w:t>τές και αρχικοί δανειοδότες).</w:t>
      </w:r>
    </w:p>
    <w:p w:rsidR="00612780" w:rsidRPr="00392FFD" w:rsidRDefault="00125707" w:rsidP="00C37B29">
      <w:pPr>
        <w:pStyle w:val="InstructionsText2"/>
        <w:numPr>
          <w:ilvl w:val="0"/>
          <w:numId w:val="0"/>
        </w:numPr>
        <w:ind w:left="993"/>
      </w:pPr>
      <w:r>
        <w:t>111.</w:t>
      </w:r>
      <w:r>
        <w:tab/>
        <w:t>Το συγκεκριμένο υπόδειγμα αναφέρεται από ενοποιημένους ομίλους και αυτ</w:t>
      </w:r>
      <w:r>
        <w:t>ό</w:t>
      </w:r>
      <w:r>
        <w:t>νομα ιδρύματα</w:t>
      </w:r>
      <w:r>
        <w:rPr>
          <w:vertAlign w:val="superscript"/>
        </w:rPr>
        <w:footnoteReference w:id="3"/>
      </w:r>
      <w:r>
        <w:t xml:space="preserve"> που βρίσκονται στην ίδια χώρα στην οποία υπόκεινται σε απαιτ</w:t>
      </w:r>
      <w:r>
        <w:t>ή</w:t>
      </w:r>
      <w:r>
        <w:t>σεις ιδίων κεφαλαίων. Στην περίπτωση τιτλοποιήσεων που περιλαμβάνουν περι</w:t>
      </w:r>
      <w:r>
        <w:t>σ</w:t>
      </w:r>
      <w:r>
        <w:t xml:space="preserve">σότερες της μιας οντότητες του ίδιου ενοποιημένου ομίλου, παρέχεται η αναλυτική κατανομή κατά οντότητα. </w:t>
      </w:r>
    </w:p>
    <w:p w:rsidR="00612780" w:rsidRPr="00392FFD" w:rsidRDefault="00125707" w:rsidP="00C37B29">
      <w:pPr>
        <w:pStyle w:val="InstructionsText2"/>
        <w:numPr>
          <w:ilvl w:val="0"/>
          <w:numId w:val="0"/>
        </w:numPr>
        <w:ind w:left="993"/>
      </w:pPr>
      <w:r>
        <w:t>112.</w:t>
      </w:r>
      <w:r>
        <w:tab/>
        <w:t>Σχετικά με το άρθρο 406 παράγραφος 1 του ΚΚΑ, το οποίο προβλέπει ότι τα ιδρύματα που επενδύουν σε θέσεις τιτλοποίησης λαμβάνουν πολλές πληροφορίες γι’ αυτές ώστε να συμμορφώνονται με τις απαιτήσεις δέουσας επιμέλειας, το πεδίο εφαρμογής της αναφοράς του υποδείγματος εφαρμόζεται στους επενδυτές σε περ</w:t>
      </w:r>
      <w:r>
        <w:t>ι</w:t>
      </w:r>
      <w:r>
        <w:t>ορισμένο βαθμό. Συγκεκριμένα, πρέπει να συμπληρώνουν τις στήλες 010-040, 070-110, 160, 190, 290-400, 420-470.</w:t>
      </w:r>
    </w:p>
    <w:p w:rsidR="00612780" w:rsidRPr="00392FFD" w:rsidRDefault="00125707" w:rsidP="00C37B29">
      <w:pPr>
        <w:pStyle w:val="InstructionsText2"/>
        <w:numPr>
          <w:ilvl w:val="0"/>
          <w:numId w:val="0"/>
        </w:numPr>
        <w:ind w:left="993"/>
      </w:pPr>
      <w:r>
        <w:t>113.</w:t>
      </w:r>
      <w:r>
        <w:tab/>
        <w:t>Τα ιδρύματα που διαδραματίζουν τον ρόλο των αρχικών δανειστών (που δεν έχουν επίσης τον ρόλο μεταβιβάζουσας ή αναδόχου οντότητας στην ίδια τιτλοπο</w:t>
      </w:r>
      <w:r>
        <w:t>ί</w:t>
      </w:r>
      <w:r>
        <w:t>ηση) υποβάλλουν γενικά το υπόδειγμα στον ίδιο βαθμό με τους επενδυτές.</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17" w:name="_Toc310415048"/>
      <w:bookmarkStart w:id="418" w:name="_Toc360188383"/>
      <w:bookmarkStart w:id="419" w:name="_Toc516210669"/>
      <w:bookmarkStart w:id="420" w:name="_Toc473560934"/>
      <w:r>
        <w:rPr>
          <w:rFonts w:ascii="Times New Roman" w:hAnsi="Times New Roman"/>
          <w:sz w:val="24"/>
          <w:u w:val="none"/>
        </w:rPr>
        <w:t>3.9.2.</w:t>
      </w:r>
      <w:r>
        <w:tab/>
      </w:r>
      <w:r>
        <w:rPr>
          <w:rFonts w:ascii="Times New Roman" w:hAnsi="Times New Roman"/>
          <w:sz w:val="24"/>
        </w:rPr>
        <w:t>Οδηγίες για συγκεκριμένες θέσεις</w:t>
      </w:r>
      <w:bookmarkEnd w:id="417"/>
      <w:bookmarkEnd w:id="418"/>
      <w:bookmarkEnd w:id="419"/>
      <w:bookmarkEnd w:id="420"/>
    </w:p>
    <w:p w:rsidR="00612780" w:rsidRPr="00392FFD"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Στήλες</w:t>
            </w:r>
          </w:p>
          <w:p w:rsidR="00612780" w:rsidRPr="00392FFD" w:rsidRDefault="00612780" w:rsidP="00612780">
            <w:pPr>
              <w:autoSpaceDE w:val="0"/>
              <w:autoSpaceDN w:val="0"/>
              <w:adjustRightInd w:val="0"/>
              <w:spacing w:before="0" w:after="0"/>
              <w:rPr>
                <w:rFonts w:ascii="Times New Roman" w:hAnsi="Times New Roman"/>
                <w:bCs/>
                <w:sz w:val="24"/>
              </w:rPr>
            </w:pPr>
          </w:p>
        </w:tc>
      </w:tr>
      <w:tr w:rsidR="007F7831" w:rsidRPr="00392FFD" w:rsidTr="00672D2A">
        <w:tc>
          <w:tcPr>
            <w:tcW w:w="1101" w:type="dxa"/>
          </w:tcPr>
          <w:p w:rsidR="007F7831" w:rsidRPr="00392FFD" w:rsidRDefault="007F7831" w:rsidP="00612780">
            <w:pPr>
              <w:autoSpaceDE w:val="0"/>
              <w:autoSpaceDN w:val="0"/>
              <w:adjustRightInd w:val="0"/>
              <w:spacing w:before="0" w:after="0"/>
              <w:rPr>
                <w:rFonts w:ascii="Times New Roman" w:hAnsi="Times New Roman"/>
                <w:bCs/>
                <w:sz w:val="24"/>
              </w:rPr>
            </w:pPr>
            <w:r>
              <w:rPr>
                <w:rFonts w:ascii="Times New Roman" w:hAnsi="Times New Roman"/>
                <w:sz w:val="24"/>
              </w:rPr>
              <w:t>005</w:t>
            </w:r>
          </w:p>
        </w:tc>
        <w:tc>
          <w:tcPr>
            <w:tcW w:w="7903" w:type="dxa"/>
          </w:tcPr>
          <w:p w:rsidR="007F7831" w:rsidRPr="00392FFD" w:rsidRDefault="007F7831" w:rsidP="00612780">
            <w:pPr>
              <w:spacing w:before="0" w:after="0"/>
              <w:jc w:val="left"/>
              <w:rPr>
                <w:rFonts w:ascii="Times New Roman" w:hAnsi="Times New Roman"/>
                <w:b/>
                <w:sz w:val="24"/>
                <w:u w:val="single"/>
              </w:rPr>
            </w:pPr>
            <w:r>
              <w:rPr>
                <w:rFonts w:ascii="Times New Roman" w:hAnsi="Times New Roman"/>
                <w:b/>
                <w:sz w:val="24"/>
                <w:u w:val="single"/>
              </w:rPr>
              <w:t>ΑΡΙΘΜΟΣ ΓΡΑΜΜΗΣ</w:t>
            </w:r>
          </w:p>
          <w:p w:rsidR="007F7831" w:rsidRPr="00392FFD" w:rsidRDefault="007F7831" w:rsidP="00612780">
            <w:pPr>
              <w:spacing w:before="0" w:after="0"/>
              <w:jc w:val="left"/>
              <w:rPr>
                <w:rFonts w:ascii="Times New Roman" w:hAnsi="Times New Roman"/>
                <w:b/>
                <w:sz w:val="24"/>
                <w:u w:val="single"/>
              </w:rPr>
            </w:pPr>
          </w:p>
          <w:p w:rsidR="007F7831" w:rsidRPr="00392FFD" w:rsidRDefault="007F7831" w:rsidP="00FF2D0E">
            <w:pPr>
              <w:autoSpaceDE w:val="0"/>
              <w:autoSpaceDN w:val="0"/>
              <w:adjustRightInd w:val="0"/>
              <w:spacing w:before="0" w:after="0"/>
              <w:rPr>
                <w:rFonts w:ascii="Times New Roman" w:hAnsi="Times New Roman"/>
                <w:sz w:val="24"/>
              </w:rPr>
            </w:pPr>
            <w:r>
              <w:rPr>
                <w:rFonts w:ascii="Times New Roman" w:hAnsi="Times New Roman"/>
                <w:sz w:val="24"/>
              </w:rPr>
              <w:t>Ο αριθμός γραμμής είναι αναγνωριστικός κωδικός γραμμής και είναι μοναδ</w:t>
            </w:r>
            <w:r>
              <w:rPr>
                <w:rFonts w:ascii="Times New Roman" w:hAnsi="Times New Roman"/>
                <w:sz w:val="24"/>
              </w:rPr>
              <w:t>ι</w:t>
            </w:r>
            <w:r>
              <w:rPr>
                <w:rFonts w:ascii="Times New Roman" w:hAnsi="Times New Roman"/>
                <w:sz w:val="24"/>
              </w:rPr>
              <w:t>κός για κάθε γραμμή στον πίνακα. Τηρείται η σειρά αρίθμησης 1, 2, 3, κ.λπ.</w:t>
            </w:r>
          </w:p>
          <w:p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ΕΣΩΤΕΡΙΚΟΣ ΚΩΔΙΚΟΣ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Εσωτερικός (αλφαριθμητικός) κωδικός που χρησιμοποιείται από το ίδρυμα για την ταυτοποίηση της τιτλοποίησης. Ο εσωτερικός κωδικός συνδέεται με τον αναγνωριστικό κωδικό της τιτλοποίησης.</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ΑΝΑΓΝΩΡΙΣΤΙΚΟΣ ΚΩΔΙΚΟΣ ΤΗΣ ΤΙΤΛΟΠΟΙΗΣΗΣ (κωδ</w:t>
            </w:r>
            <w:r>
              <w:rPr>
                <w:rFonts w:ascii="Times New Roman" w:hAnsi="Times New Roman"/>
                <w:b/>
                <w:sz w:val="24"/>
                <w:u w:val="single"/>
              </w:rPr>
              <w:t>ι</w:t>
            </w:r>
            <w:r>
              <w:rPr>
                <w:rFonts w:ascii="Times New Roman" w:hAnsi="Times New Roman"/>
                <w:b/>
                <w:sz w:val="24"/>
                <w:u w:val="single"/>
              </w:rPr>
              <w:t>κός/</w:t>
            </w:r>
            <w:proofErr w:type="spellStart"/>
            <w:r>
              <w:rPr>
                <w:rFonts w:ascii="Times New Roman" w:hAnsi="Times New Roman"/>
                <w:b/>
                <w:sz w:val="24"/>
                <w:u w:val="single"/>
              </w:rPr>
              <w:t>ονομασί</w:t>
            </w:r>
            <w:proofErr w:type="spellEnd"/>
            <w:r>
              <w:rPr>
                <w:rFonts w:ascii="Times New Roman" w:hAnsi="Times New Roman"/>
                <w:b/>
                <w:sz w:val="24"/>
                <w:u w:val="single"/>
              </w:rPr>
              <w:t>α</w:t>
            </w:r>
            <w:r>
              <w:rPr>
                <w:rFonts w:ascii="Times New Roman" w:hAnsi="Times New Roman"/>
                <w:b/>
                <w:sz w:val="24"/>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Κωδικός που χρησιμοποιείται για τη νομική καταχώριση της τιτλοποίησης ή, εάν δεν είναι διαθέσιμος, η ονομασία με την οποία είναι γνωστή στην αγορά η τιτλοποίηση. Στην περίπτωση που είναι διαθέσιμος ο Διεθνής Αριθμός Αν</w:t>
            </w:r>
            <w:r>
              <w:rPr>
                <w:rFonts w:ascii="Times New Roman" w:hAnsi="Times New Roman"/>
                <w:sz w:val="24"/>
              </w:rPr>
              <w:t>α</w:t>
            </w:r>
            <w:r>
              <w:rPr>
                <w:rFonts w:ascii="Times New Roman" w:hAnsi="Times New Roman"/>
                <w:sz w:val="24"/>
              </w:rPr>
              <w:t>γνώρισης Τίτλων (ISIN) (π.χ. για δημόσιες συναλλαγές), στη συγκεκριμένη στήλη αναφέρονται οι χαρακτήρες που είναι κοινοί για όλα τα τμήματα της τιτλοποίησης.</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ΑΝΑΓΝΩΡΙΣΤΙΚΟΣ ΚΩΔΙΚΟΣ ΤΗΣ ΜΕΤΑΒΙΒΑΖΟΥΣΑΣ ΟΝΤΟΤ</w:t>
            </w:r>
            <w:r>
              <w:rPr>
                <w:rFonts w:ascii="Times New Roman" w:hAnsi="Times New Roman"/>
                <w:b/>
                <w:sz w:val="24"/>
                <w:u w:val="single"/>
              </w:rPr>
              <w:t>Η</w:t>
            </w:r>
            <w:r>
              <w:rPr>
                <w:rFonts w:ascii="Times New Roman" w:hAnsi="Times New Roman"/>
                <w:b/>
                <w:sz w:val="24"/>
                <w:u w:val="single"/>
              </w:rPr>
              <w:t>ΤΑΣ (κωδικός/</w:t>
            </w:r>
            <w:proofErr w:type="spellStart"/>
            <w:r>
              <w:rPr>
                <w:rFonts w:ascii="Times New Roman" w:hAnsi="Times New Roman"/>
                <w:b/>
                <w:sz w:val="24"/>
                <w:u w:val="single"/>
              </w:rPr>
              <w:t>ονομασί</w:t>
            </w:r>
            <w:proofErr w:type="spellEnd"/>
            <w:r>
              <w:rPr>
                <w:rFonts w:ascii="Times New Roman" w:hAnsi="Times New Roman"/>
                <w:b/>
                <w:sz w:val="24"/>
                <w:u w:val="single"/>
              </w:rPr>
              <w:t>α</w:t>
            </w:r>
            <w:r>
              <w:rPr>
                <w:rFonts w:ascii="Times New Roman" w:hAnsi="Times New Roman"/>
                <w:b/>
                <w:sz w:val="24"/>
              </w:rPr>
              <w:t>)</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αναφέρεται ο κωδικός που έχει δοθεί από την εποπτ</w:t>
            </w:r>
            <w:r>
              <w:rPr>
                <w:rFonts w:ascii="Times New Roman" w:hAnsi="Times New Roman"/>
                <w:sz w:val="24"/>
              </w:rPr>
              <w:t>ι</w:t>
            </w:r>
            <w:r>
              <w:rPr>
                <w:rFonts w:ascii="Times New Roman" w:hAnsi="Times New Roman"/>
                <w:sz w:val="24"/>
              </w:rPr>
              <w:t>κή αρχή στη μεταβιβάζουσα οντότητα ή, εάν δεν είναι διαθέσιμος, η ονομασία του ίδιου του ιδρύματος.</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Στην περίπτωση τιτλοποιήσεων με πολλούς πωλητές, η οντότητα που παρέχει τις πληροφορίες δηλώνει τον αναγνωριστικό κωδικό όλων των οντοτήτων </w:t>
            </w:r>
            <w:r>
              <w:rPr>
                <w:rFonts w:ascii="Times New Roman" w:hAnsi="Times New Roman"/>
                <w:sz w:val="24"/>
              </w:rPr>
              <w:t>ε</w:t>
            </w:r>
            <w:r>
              <w:rPr>
                <w:rFonts w:ascii="Times New Roman" w:hAnsi="Times New Roman"/>
                <w:sz w:val="24"/>
              </w:rPr>
              <w:t>ντός του ενοποιημένου ομίλου της που συμμετέχουν (ως μεταβιβάζουσα οντ</w:t>
            </w:r>
            <w:r>
              <w:rPr>
                <w:rFonts w:ascii="Times New Roman" w:hAnsi="Times New Roman"/>
                <w:sz w:val="24"/>
              </w:rPr>
              <w:t>ό</w:t>
            </w:r>
            <w:r>
              <w:rPr>
                <w:rFonts w:ascii="Times New Roman" w:hAnsi="Times New Roman"/>
                <w:sz w:val="24"/>
              </w:rPr>
              <w:t>τητα, ανάδοχος οντότητα ή αρχικός δανειοδότης) στη συναλλαγή. Στην περ</w:t>
            </w:r>
            <w:r>
              <w:rPr>
                <w:rFonts w:ascii="Times New Roman" w:hAnsi="Times New Roman"/>
                <w:sz w:val="24"/>
              </w:rPr>
              <w:t>ί</w:t>
            </w:r>
            <w:r>
              <w:rPr>
                <w:rFonts w:ascii="Times New Roman" w:hAnsi="Times New Roman"/>
                <w:sz w:val="24"/>
              </w:rPr>
              <w:t>πτωση που ο κωδικός δεν είναι διαθέσιμος ή δεν είναι γνωστός στην αναφ</w:t>
            </w:r>
            <w:r>
              <w:rPr>
                <w:rFonts w:ascii="Times New Roman" w:hAnsi="Times New Roman"/>
                <w:sz w:val="24"/>
              </w:rPr>
              <w:t>έ</w:t>
            </w:r>
            <w:r>
              <w:rPr>
                <w:rFonts w:ascii="Times New Roman" w:hAnsi="Times New Roman"/>
                <w:sz w:val="24"/>
              </w:rPr>
              <w:t>ρουσα οντότητα, αναφέρεται η ονομασία του ιδρύματος.</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ΕΙΔΟΣ ΤΙΤΛΟΠΟΙΗΣΗΣ: (ΠΑΡΑΔΟΣΙΑΚΗ / ΣΥΝΘΕΤΗ)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Αναφέρονται οι ακόλουθες συντμήσεις:</w:t>
            </w:r>
            <w:r>
              <w:rPr>
                <w:rFonts w:ascii="Times New Roman" w:hAnsi="Times New Roman"/>
                <w:sz w:val="24"/>
              </w:rPr>
              <w:br/>
              <w:t>- «Τ» εάν είναι παραδοσιακή,</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εάν είναι σύνθετη.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Οι ορισμοί της «παραδοσιακής τιτλοποίησης» και της «σύνθετης τιτλοποί</w:t>
            </w:r>
            <w:r>
              <w:rPr>
                <w:rFonts w:ascii="Times New Roman" w:hAnsi="Times New Roman"/>
                <w:sz w:val="24"/>
              </w:rPr>
              <w:t>η</w:t>
            </w:r>
            <w:r>
              <w:rPr>
                <w:rFonts w:ascii="Times New Roman" w:hAnsi="Times New Roman"/>
                <w:sz w:val="24"/>
              </w:rPr>
              <w:t>σης» αναφέρονται στο άρθρο 242 σημεία 10) και 11) του ΚΚΑ.</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ΛΟΓΙΣΤΙΚΗ ΑΝΤΙΜΕΤΩΠΙΣΗ: ΤΑ ΤΙΤΛΟΠΟΙΗΜΕΝΑ ΑΝΟΙΓΜΑΤΑ ΔΙΑΤΗΡΟΥΝΤΑΙ 'Η ΑΦΑΙΡΟΥΝΤΑΙ ΑΠΟ ΤΟΝ ΙΣΟΛΟΓΙΣΜΟ;</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t>Οι μεταβιβάζουσες οντότητες, οι ανάδοχοι οντότητες και οι αρχικοί δανειοδ</w:t>
            </w:r>
            <w:r>
              <w:rPr>
                <w:rFonts w:ascii="Times New Roman" w:hAnsi="Times New Roman"/>
                <w:sz w:val="24"/>
              </w:rPr>
              <w:t>ό</w:t>
            </w:r>
            <w:r>
              <w:rPr>
                <w:rFonts w:ascii="Times New Roman" w:hAnsi="Times New Roman"/>
                <w:sz w:val="24"/>
              </w:rPr>
              <w:t>τες αναφέρουν τις ακόλουθες συντμήσεις:</w:t>
            </w:r>
          </w:p>
          <w:p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«Κ» εάν αναγνωρίζονται πλήρως,</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«P» εάν διαγράφονται μερικώς,</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εάν διαγράφονται πλήρως,</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«Ν» εάν είναι άνευ αντικειμένου.</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συνοψίζεται η λογιστική αντιμετώπιση της συναλλ</w:t>
            </w:r>
            <w:r>
              <w:rPr>
                <w:rFonts w:ascii="Times New Roman" w:hAnsi="Times New Roman"/>
                <w:sz w:val="24"/>
              </w:rPr>
              <w:t>α</w:t>
            </w:r>
            <w:r>
              <w:rPr>
                <w:rFonts w:ascii="Times New Roman" w:hAnsi="Times New Roman"/>
                <w:sz w:val="24"/>
              </w:rPr>
              <w:t xml:space="preserve">γής.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Στην περίπτωση σύνθετων τιτλοποιήσεων, οι μεταβιβάζουσες οντότητες αν</w:t>
            </w:r>
            <w:r>
              <w:rPr>
                <w:rFonts w:ascii="Times New Roman" w:hAnsi="Times New Roman"/>
                <w:sz w:val="24"/>
              </w:rPr>
              <w:t>α</w:t>
            </w:r>
            <w:r>
              <w:rPr>
                <w:rFonts w:ascii="Times New Roman" w:hAnsi="Times New Roman"/>
                <w:sz w:val="24"/>
              </w:rPr>
              <w:t>φέρουν ότι τα τιτλοποιημένα ανοίγματα αφαιρούνται από τον ισολογισμό.</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Στην περίπτωση τιτλοποιήσεων υποχρεώσεων, οι μεταβιβάζουσες οντότητες δεν αναφέρουν τη συγκεκριμένη στήλη.</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Η επιλογή «P» (διαγράφονται μερικώς) επιλέγεται στην περίπτωση που τα τι</w:t>
            </w:r>
            <w:r>
              <w:rPr>
                <w:rFonts w:ascii="Times New Roman" w:hAnsi="Times New Roman"/>
                <w:sz w:val="24"/>
              </w:rPr>
              <w:t>τ</w:t>
            </w:r>
            <w:r>
              <w:rPr>
                <w:rFonts w:ascii="Times New Roman" w:hAnsi="Times New Roman"/>
                <w:sz w:val="24"/>
              </w:rPr>
              <w:t>λοποιημένα στοιχεία ενεργητικού αναγνωρίζονται στον ισολογισμό στον βα</w:t>
            </w:r>
            <w:r>
              <w:rPr>
                <w:rFonts w:ascii="Times New Roman" w:hAnsi="Times New Roman"/>
                <w:sz w:val="24"/>
              </w:rPr>
              <w:t>θ</w:t>
            </w:r>
            <w:r>
              <w:rPr>
                <w:rFonts w:ascii="Times New Roman" w:hAnsi="Times New Roman"/>
                <w:sz w:val="24"/>
              </w:rPr>
              <w:t xml:space="preserve">μό της συνεχιζόμενης συμμετοχής της αναφέρουσας οντότητας, σύμφωνα με το ΔΠΧΑ 9.3.2.16 – 3.2.21. </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ΑΝΤΙΜΕΤΩΠΙΣΗ ΦΕΡΕΓΓΥΟΤΗΤΑΣ: ΟΙ ΘΕΣΕΙΣ ΤΙΤΛΟΠΟΙΗΣΗΣ ΥΠΟΚΕΙΝΤΑΙ ΣΕ ΑΠΑΙΤΗΣΕΙΣ ΙΔΙΩΝ ΚΕΦΑΛΑΙΩΝ;</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Οι μεταβιβάζουσες οντότητες μόνον αναφέρουν τις ακόλουθες συντμήσεις: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«Ν», δεν υπόκεινται σε απαιτήσεις ιδίων κεφαλαίων,</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«Β», τραπεζικό χαρτοφυλάκιο,</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«Τ», χαρτοφυλάκιο συναλλαγών,</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«Α», μερικώς σε αμφότερα τα χαρτοφυλάκια.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Άρθρα 109, 243 και 244 του ΚΚΑ.</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συνοψίζεται η αντιμετώπιση φερεγγυότητας του πρ</w:t>
            </w:r>
            <w:r>
              <w:rPr>
                <w:rFonts w:ascii="Times New Roman" w:hAnsi="Times New Roman"/>
                <w:sz w:val="24"/>
              </w:rPr>
              <w:t>ο</w:t>
            </w:r>
            <w:r>
              <w:rPr>
                <w:rFonts w:ascii="Times New Roman" w:hAnsi="Times New Roman"/>
                <w:sz w:val="24"/>
              </w:rPr>
              <w:t xml:space="preserve">γράμματος τιτλοποίησης από τη μεταβιβάζουσα οντότητα. Αναφέρει αν οι </w:t>
            </w:r>
            <w:r>
              <w:rPr>
                <w:rFonts w:ascii="Times New Roman" w:hAnsi="Times New Roman"/>
                <w:sz w:val="24"/>
              </w:rPr>
              <w:t>α</w:t>
            </w:r>
            <w:r>
              <w:rPr>
                <w:rFonts w:ascii="Times New Roman" w:hAnsi="Times New Roman"/>
                <w:sz w:val="24"/>
              </w:rPr>
              <w:t xml:space="preserve">παιτήσεις ιδίων κεφαλαίων υπολογίζονται σύμφωνα με τα τιτλοποιημένα </w:t>
            </w:r>
            <w:r>
              <w:rPr>
                <w:rFonts w:ascii="Times New Roman" w:hAnsi="Times New Roman"/>
                <w:sz w:val="24"/>
              </w:rPr>
              <w:t>α</w:t>
            </w:r>
            <w:r>
              <w:rPr>
                <w:rFonts w:ascii="Times New Roman" w:hAnsi="Times New Roman"/>
                <w:sz w:val="24"/>
              </w:rPr>
              <w:t xml:space="preserve">νοίγματα ή τις θέσεις τιτλοποίησης (τραπεζικό χαρτοφυλάκιο/χαρτοφυλάκιο συναλλαγών).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Εάν οι απαιτήσεις ιδίων κεφαλαίων βασίζονται σε </w:t>
            </w:r>
            <w:r>
              <w:rPr>
                <w:rFonts w:ascii="Times New Roman" w:hAnsi="Times New Roman"/>
                <w:i/>
                <w:sz w:val="24"/>
              </w:rPr>
              <w:t>τιτλοποιημένα ανοίγματα</w:t>
            </w:r>
            <w:r>
              <w:rPr>
                <w:rFonts w:ascii="Times New Roman" w:hAnsi="Times New Roman"/>
                <w:sz w:val="24"/>
              </w:rPr>
              <w:t xml:space="preserve"> (διότι δεν αποτελούν σημαντική μεταφορά κινδύνου), ο υπολογισμός των απα</w:t>
            </w:r>
            <w:r>
              <w:rPr>
                <w:rFonts w:ascii="Times New Roman" w:hAnsi="Times New Roman"/>
                <w:sz w:val="24"/>
              </w:rPr>
              <w:t>ι</w:t>
            </w:r>
            <w:r>
              <w:rPr>
                <w:rFonts w:ascii="Times New Roman" w:hAnsi="Times New Roman"/>
                <w:sz w:val="24"/>
              </w:rPr>
              <w:t>τήσεων ιδίων κεφαλαίων για τον πιστωτικό κίνδυνο αναφέρεται στο υπόδειγμα CR SA, εάν χρησιμοποιείται η τυποποιημένη προσέγγιση, ή στο υπόδειγμα CR IRB, εάν χρησιμοποιείται η προσέγγιση των εσωτερικών διαβαθμίσεων από το ίδρυμα.</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Αντιστρόφως, εάν οι απαιτήσεις ιδίων κεφαλαίων βασίζονται σε </w:t>
            </w:r>
            <w:r>
              <w:rPr>
                <w:rFonts w:ascii="Times New Roman" w:hAnsi="Times New Roman"/>
                <w:i/>
                <w:sz w:val="24"/>
              </w:rPr>
              <w:t>θέσεις τιτλ</w:t>
            </w:r>
            <w:r>
              <w:rPr>
                <w:rFonts w:ascii="Times New Roman" w:hAnsi="Times New Roman"/>
                <w:i/>
                <w:sz w:val="24"/>
              </w:rPr>
              <w:t>ο</w:t>
            </w:r>
            <w:r>
              <w:rPr>
                <w:rFonts w:ascii="Times New Roman" w:hAnsi="Times New Roman"/>
                <w:i/>
                <w:sz w:val="24"/>
              </w:rPr>
              <w:t>ποίησης που τηρούνται εντός του τραπεζικού χαρτοφυλακίου</w:t>
            </w:r>
            <w:r>
              <w:rPr>
                <w:rFonts w:ascii="Times New Roman" w:hAnsi="Times New Roman"/>
                <w:sz w:val="24"/>
              </w:rPr>
              <w:t xml:space="preserve"> (διότι αποτελούν σημαντική μεταφορά κινδύνου), ο υπολογισμός των απαιτήσεων ιδίων κεφ</w:t>
            </w:r>
            <w:r>
              <w:rPr>
                <w:rFonts w:ascii="Times New Roman" w:hAnsi="Times New Roman"/>
                <w:sz w:val="24"/>
              </w:rPr>
              <w:t>α</w:t>
            </w:r>
            <w:r>
              <w:rPr>
                <w:rFonts w:ascii="Times New Roman" w:hAnsi="Times New Roman"/>
                <w:sz w:val="24"/>
              </w:rPr>
              <w:t xml:space="preserve">λαίων για τον πιστωτικό κίνδυνο αναφέρεται στο υπόδειγμα CR SEC SA ή στο υπόδειγμα CR SEC IRB. Στην περίπτωση </w:t>
            </w:r>
            <w:r>
              <w:rPr>
                <w:rFonts w:ascii="Times New Roman" w:hAnsi="Times New Roman"/>
                <w:i/>
                <w:sz w:val="24"/>
              </w:rPr>
              <w:t>θέσεων τιτλοποίησης που τηρούνται στο χαρτοφυλάκιο συναλλαγών</w:t>
            </w:r>
            <w:r>
              <w:rPr>
                <w:rFonts w:ascii="Times New Roman" w:hAnsi="Times New Roman"/>
                <w:sz w:val="24"/>
              </w:rPr>
              <w:t>, ο υπολογισμός των απαιτήσεων ιδίων κεφ</w:t>
            </w:r>
            <w:r>
              <w:rPr>
                <w:rFonts w:ascii="Times New Roman" w:hAnsi="Times New Roman"/>
                <w:sz w:val="24"/>
              </w:rPr>
              <w:t>α</w:t>
            </w:r>
            <w:r>
              <w:rPr>
                <w:rFonts w:ascii="Times New Roman" w:hAnsi="Times New Roman"/>
                <w:sz w:val="24"/>
              </w:rPr>
              <w:t>λαίων για τον κίνδυνο αγοράς αναφέρεται στο υπόδειγμα MKR SA TDI (τυπ</w:t>
            </w:r>
            <w:r>
              <w:rPr>
                <w:rFonts w:ascii="Times New Roman" w:hAnsi="Times New Roman"/>
                <w:sz w:val="24"/>
              </w:rPr>
              <w:t>ο</w:t>
            </w:r>
            <w:r>
              <w:rPr>
                <w:rFonts w:ascii="Times New Roman" w:hAnsi="Times New Roman"/>
                <w:sz w:val="24"/>
              </w:rPr>
              <w:t>ποιημένος γενικός κίνδυνος θέσης) και στο υπόδειγμα MKR SA SEC ή στο MKR SA CTP (τυποποιημένος ειδικός κίνδυνος θέσης) ή στο υπόδειγμα MKR IM (εσωτερικά μοντέλα).</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Στην περίπτωση τιτλοποιήσεων υποχρεώσεων, οι μεταβιβάζουσες οντότητες δεν αναφέρουν τη συγκεκριμένη στήλη.</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ΤΙΤΛΟΠΟΙΗΣΗ Ή ΕΠΑΝΑΤΙΤΛΟΠΟΙΗΣΗ;</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Σύμφωνα με τους ορισμούς της «τιτλοποίησης» και της «επανατιτλοποίησης», που αναφέρονται στο άρθρο 4 παράγραφος 1 σημείο 61) και σημεία 62) έως 64) του ΚΚΑ, αναφέρεται το είδος υποκείμενης συναλλαγής με τη χρήση των ακόλουθων συντμήσεων:</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για τιτλοποίηση,</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για επανατιτλοποίηση.</w:t>
            </w:r>
          </w:p>
          <w:p w:rsidR="00612780" w:rsidRPr="00392FFD" w:rsidRDefault="00612780" w:rsidP="00612780">
            <w:pPr>
              <w:spacing w:before="0" w:after="0"/>
              <w:jc w:val="left"/>
              <w:rPr>
                <w:rFonts w:ascii="Times New Roman" w:hAnsi="Times New Roman"/>
                <w:b/>
                <w:sz w:val="24"/>
                <w:u w:val="single"/>
              </w:rPr>
            </w:pPr>
          </w:p>
        </w:tc>
      </w:tr>
      <w:tr w:rsidR="00CE4C49" w:rsidRPr="00392FFD" w:rsidTr="00672D2A">
        <w:tc>
          <w:tcPr>
            <w:tcW w:w="1101" w:type="dxa"/>
          </w:tcPr>
          <w:p w:rsidR="00CE4C49" w:rsidRPr="00392FFD" w:rsidRDefault="00CE4C49" w:rsidP="00612780">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ΤΙΤΛΟΠΟΙΗΣΗ STS</w:t>
            </w:r>
          </w:p>
          <w:p w:rsidR="006B4AC8" w:rsidRDefault="006B4AC8" w:rsidP="00CE4C49">
            <w:pPr>
              <w:spacing w:before="0" w:after="0"/>
              <w:jc w:val="left"/>
              <w:rPr>
                <w:rFonts w:ascii="Times New Roman" w:hAnsi="Times New Roman"/>
                <w:sz w:val="24"/>
              </w:rPr>
            </w:pPr>
          </w:p>
          <w:p w:rsidR="00CE4C49" w:rsidRDefault="006B4AC8" w:rsidP="00CE4C49">
            <w:pPr>
              <w:spacing w:before="0" w:after="0"/>
              <w:jc w:val="left"/>
              <w:rPr>
                <w:rFonts w:ascii="Times New Roman" w:hAnsi="Times New Roman"/>
                <w:sz w:val="24"/>
              </w:rPr>
            </w:pPr>
            <w:r>
              <w:rPr>
                <w:rFonts w:ascii="Times New Roman" w:hAnsi="Times New Roman"/>
                <w:sz w:val="24"/>
              </w:rPr>
              <w:t>Άρθρο 18 του κανονισμού (ΕΕ) 2017/2402</w:t>
            </w:r>
          </w:p>
          <w:p w:rsidR="006B4AC8" w:rsidRDefault="006B4AC8" w:rsidP="00CE4C49">
            <w:pPr>
              <w:spacing w:before="0" w:after="0"/>
              <w:jc w:val="left"/>
              <w:rPr>
                <w:rFonts w:ascii="Times New Roman" w:hAnsi="Times New Roman"/>
                <w:sz w:val="24"/>
              </w:rPr>
            </w:pPr>
          </w:p>
          <w:p w:rsidR="00CE4C49" w:rsidRDefault="00CE4C49" w:rsidP="00CE4C49">
            <w:pPr>
              <w:spacing w:before="0" w:after="0"/>
              <w:jc w:val="left"/>
              <w:rPr>
                <w:rFonts w:ascii="Times New Roman" w:hAnsi="Times New Roman"/>
                <w:sz w:val="24"/>
              </w:rPr>
            </w:pPr>
            <w:r>
              <w:rPr>
                <w:rFonts w:ascii="Times New Roman" w:hAnsi="Times New Roman"/>
                <w:sz w:val="24"/>
              </w:rPr>
              <w:t>Αναφέρεται μία από τις ακόλουθες συντμήσεις:</w:t>
            </w:r>
          </w:p>
          <w:p w:rsidR="006B4AC8" w:rsidRDefault="006B4AC8" w:rsidP="00CE4C49">
            <w:pPr>
              <w:spacing w:before="0" w:after="0"/>
              <w:jc w:val="left"/>
              <w:rPr>
                <w:rFonts w:ascii="Times New Roman" w:hAnsi="Times New Roman"/>
                <w:sz w:val="24"/>
              </w:rPr>
            </w:pPr>
            <w:r>
              <w:rPr>
                <w:rFonts w:ascii="Times New Roman" w:hAnsi="Times New Roman"/>
                <w:sz w:val="24"/>
              </w:rPr>
              <w:t>Y – Ναι</w:t>
            </w:r>
          </w:p>
          <w:p w:rsidR="006B4AC8" w:rsidRDefault="006B4AC8" w:rsidP="00CE4C49">
            <w:pPr>
              <w:spacing w:before="0" w:after="0"/>
              <w:jc w:val="left"/>
              <w:rPr>
                <w:rFonts w:ascii="Times New Roman" w:hAnsi="Times New Roman"/>
                <w:sz w:val="24"/>
              </w:rPr>
            </w:pPr>
            <w:r>
              <w:rPr>
                <w:rFonts w:ascii="Times New Roman" w:hAnsi="Times New Roman"/>
                <w:sz w:val="24"/>
              </w:rPr>
              <w:t>N – Όχι</w:t>
            </w:r>
          </w:p>
          <w:p w:rsidR="00CE4C49" w:rsidRPr="00392FFD" w:rsidRDefault="00CE4C49" w:rsidP="006B4AC8">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lastRenderedPageBreak/>
              <w:t>080-100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ΔΙΑΤΗΡΗΣΗ</w:t>
            </w:r>
          </w:p>
          <w:p w:rsidR="00612780" w:rsidRPr="00392FFD" w:rsidRDefault="00612780" w:rsidP="00612780">
            <w:pPr>
              <w:spacing w:before="0" w:after="0"/>
              <w:jc w:val="left"/>
              <w:rPr>
                <w:rFonts w:ascii="Times New Roman" w:hAnsi="Times New Roman"/>
                <w:sz w:val="24"/>
              </w:rPr>
            </w:pPr>
            <w:r>
              <w:rPr>
                <w:rFonts w:ascii="Times New Roman" w:hAnsi="Times New Roman"/>
                <w:sz w:val="24"/>
              </w:rPr>
              <w:t>Άρθρα 404 έως 410 του ΚΚΑ</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ΕΙΔΟΣ ΤΗΣ ΔΙΑΤΗΡΗΣΗΣ ΠΟΥ ΕΦΑΡΜΟΖΕΤΑΙ</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Για κάθε πρόγραμμα τιτλοποίησης που δημιουργείται, αναφέρεται το σχετικό είδος διατήρησης καθαρού οικονομικού συμφέροντος, όπως προβλέπεται στο άρθρο 405 του ΚΚΑ:</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Α - Κάθετο μερίδιο (θέσεις τιτλοποίησης): </w:t>
            </w:r>
            <w:r>
              <w:rPr>
                <w:rFonts w:ascii="Times New Roman" w:hAnsi="Times New Roman"/>
                <w:i/>
                <w:sz w:val="24"/>
              </w:rPr>
              <w:t xml:space="preserve">«διατήρηση τουλάχιστον του 5 % της ονομαστικής αξίας καθενός από τα τμήματα τιτλοποίησης που έχουν πωληθεί ή μεταβιβαστεί στους επενδυτές».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 Κάθετο μερίδιο (τιτλοποιημένα ανοίγματα): διατήρηση τουλάχιστον του 5 % του πιστωτικού κινδύνου καθενός από τα τιτλοποιημένα ανοίγματα, εάν ο πιστωτικός κίνδυνος που διατηρείται κατ’ αυτόν τον τρόπο σε σχέση με τα εν λόγω τιτλοποιημένα ανοίγματα είναι πάντοτε της ίδιας ή χαμηλότερης εξοφλ</w:t>
            </w:r>
            <w:r>
              <w:rPr>
                <w:rFonts w:ascii="Times New Roman" w:hAnsi="Times New Roman"/>
                <w:sz w:val="24"/>
              </w:rPr>
              <w:t>η</w:t>
            </w:r>
            <w:r>
              <w:rPr>
                <w:rFonts w:ascii="Times New Roman" w:hAnsi="Times New Roman"/>
                <w:sz w:val="24"/>
              </w:rPr>
              <w:t>τικής προτεραιότητας με τον πιστωτικό κίνδυνο που έχει τιτλοποιηθεί σε σχέση με τα ίδια ανοίγματα.</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B - Ανακυκλούμενα ανοίγματα: </w:t>
            </w:r>
            <w:r>
              <w:rPr>
                <w:rFonts w:ascii="Times New Roman" w:hAnsi="Times New Roman"/>
                <w:i/>
                <w:sz w:val="24"/>
              </w:rPr>
              <w:t>«στην περίπτωση τιτλοποίησης ανακυκλούμ</w:t>
            </w:r>
            <w:r>
              <w:rPr>
                <w:rFonts w:ascii="Times New Roman" w:hAnsi="Times New Roman"/>
                <w:i/>
                <w:sz w:val="24"/>
              </w:rPr>
              <w:t>ε</w:t>
            </w:r>
            <w:r>
              <w:rPr>
                <w:rFonts w:ascii="Times New Roman" w:hAnsi="Times New Roman"/>
                <w:i/>
                <w:sz w:val="24"/>
              </w:rPr>
              <w:t>νων ανοιγμάτων, διατήρηση του συμφέροντος του μεταβιβάζοντος σε ποσοστό τουλάχιστον 5 % της ονομαστικής αξίας των τιτλοποιημένων ανοιγμάτων».</w:t>
            </w:r>
            <w:r>
              <w:rPr>
                <w:rFonts w:ascii="Times New Roman" w:hAnsi="Times New Roman"/>
                <w:sz w:val="24"/>
              </w:rPr>
              <w:t xml:space="preserv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C - Εντός ισολογισμού: </w:t>
            </w:r>
            <w:r>
              <w:rPr>
                <w:rFonts w:ascii="Times New Roman" w:hAnsi="Times New Roman"/>
                <w:i/>
                <w:sz w:val="24"/>
              </w:rPr>
              <w:t>«διατήρηση τυχαίως επιλεγμένων ανοιγμάτων, ισοδύν</w:t>
            </w:r>
            <w:r>
              <w:rPr>
                <w:rFonts w:ascii="Times New Roman" w:hAnsi="Times New Roman"/>
                <w:i/>
                <w:sz w:val="24"/>
              </w:rPr>
              <w:t>α</w:t>
            </w:r>
            <w:r>
              <w:rPr>
                <w:rFonts w:ascii="Times New Roman" w:hAnsi="Times New Roman"/>
                <w:i/>
                <w:sz w:val="24"/>
              </w:rPr>
              <w:t>μων προς ποσοστό τουλάχιστον 5 % της ονομαστικής αξίας των τιτλοποιημένων ανοιγμάτων, εφόσον τα ανοίγματα αυτά θα είχαν ειδάλλως τιτλοποιηθεί κατά τη διαδικασία τιτλοποίησης, υπό την προϋπόθεση ότι ο αριθμός των ενδεχόμενων τιτλοποιημένων ανοιγμάτων δεν είναι μικρότερος των 100 κατά τη δημιουργία τους».</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D - Πρωτεύουσα ζημία: </w:t>
            </w:r>
            <w:r>
              <w:rPr>
                <w:rFonts w:ascii="Times New Roman" w:hAnsi="Times New Roman"/>
                <w:i/>
                <w:sz w:val="24"/>
              </w:rPr>
              <w:t xml:space="preserve">«διατήρηση του τμήματος πρωτεύουσας ζημίας και, </w:t>
            </w:r>
            <w:r>
              <w:rPr>
                <w:rFonts w:ascii="Times New Roman" w:hAnsi="Times New Roman"/>
                <w:i/>
                <w:sz w:val="24"/>
              </w:rPr>
              <w:t>ε</w:t>
            </w:r>
            <w:r>
              <w:rPr>
                <w:rFonts w:ascii="Times New Roman" w:hAnsi="Times New Roman"/>
                <w:i/>
                <w:sz w:val="24"/>
              </w:rPr>
              <w:t>φόσον απαιτείται, άλλων τμημάτων που έχουν το ίδιο ή δυσμενέστερο προφίλ κινδύνου και δεν λήγουν νωρίτερα από τα τμήματα που μεταβιβάζονται ή πωλο</w:t>
            </w:r>
            <w:r>
              <w:rPr>
                <w:rFonts w:ascii="Times New Roman" w:hAnsi="Times New Roman"/>
                <w:i/>
                <w:sz w:val="24"/>
              </w:rPr>
              <w:t>ύ</w:t>
            </w:r>
            <w:r>
              <w:rPr>
                <w:rFonts w:ascii="Times New Roman" w:hAnsi="Times New Roman"/>
                <w:i/>
                <w:sz w:val="24"/>
              </w:rPr>
              <w:t>νται στους επενδυτές, ούτως ώστε η διατήρηση να ισούται συνολικά με τουλάχ</w:t>
            </w:r>
            <w:r>
              <w:rPr>
                <w:rFonts w:ascii="Times New Roman" w:hAnsi="Times New Roman"/>
                <w:i/>
                <w:sz w:val="24"/>
              </w:rPr>
              <w:t>ι</w:t>
            </w:r>
            <w:r>
              <w:rPr>
                <w:rFonts w:ascii="Times New Roman" w:hAnsi="Times New Roman"/>
                <w:i/>
                <w:sz w:val="24"/>
              </w:rPr>
              <w:t>στον 5 % της ονομαστικής αξίας των τιτλοποιημένων ανοιγμάτων».</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 - Εξαιρείται. Ο κωδικός αυτός δηλώνεται για τις τιτλοποιήσεις για τις οποίες εφαρμόζονται οι διατάξεις του άρθρου 405 παράγραφος 3 του ΚΚΑ.</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Ν - Άνευ αντικειμένου. Ο κωδικός αυτός δηλώνεται για τις τιτλοποιήσεις για τις οποίες εφαρμόζονται οι διατάξεις του άρθρου 404 του ΚΚΑ.</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U - Ασύμβατο ή άγνωστο. Ο κωδικός αυτός δηλώνεται όταν η αναφέρουσα </w:t>
            </w:r>
            <w:r>
              <w:rPr>
                <w:rFonts w:ascii="Times New Roman" w:hAnsi="Times New Roman"/>
                <w:sz w:val="24"/>
              </w:rPr>
              <w:t>ο</w:t>
            </w:r>
            <w:r>
              <w:rPr>
                <w:rFonts w:ascii="Times New Roman" w:hAnsi="Times New Roman"/>
                <w:sz w:val="24"/>
              </w:rPr>
              <w:t xml:space="preserve">ντότητα δεν γνωρίζει με βεβαιότητα το είδος της διατήρησης που εφαρμόζεται </w:t>
            </w:r>
            <w:r>
              <w:rPr>
                <w:rFonts w:ascii="Times New Roman" w:hAnsi="Times New Roman"/>
                <w:sz w:val="24"/>
              </w:rPr>
              <w:lastRenderedPageBreak/>
              <w:t>ή στην περίπτωση μη συμμόρφωσης.</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ΔΙΑΤΗΡΗΣΗΣ ΚΑΤΑ ΤΗΝ ΗΜΕΡΟΜΗΝΙΑ ΥΠΟΒΟΛΗΣ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Η διατήρηση σημαντικού καθαρού οικονομικού συμφέροντος από τη μεταβ</w:t>
            </w:r>
            <w:r>
              <w:rPr>
                <w:rFonts w:ascii="Times New Roman" w:hAnsi="Times New Roman"/>
                <w:sz w:val="24"/>
              </w:rPr>
              <w:t>ι</w:t>
            </w:r>
            <w:r>
              <w:rPr>
                <w:rFonts w:ascii="Times New Roman" w:hAnsi="Times New Roman"/>
                <w:sz w:val="24"/>
              </w:rPr>
              <w:t>βάζουσα οντότητα, την ανάδοχο οντότητα ή τον αρχικό δανειοδότη της τιτλ</w:t>
            </w:r>
            <w:r>
              <w:rPr>
                <w:rFonts w:ascii="Times New Roman" w:hAnsi="Times New Roman"/>
                <w:sz w:val="24"/>
              </w:rPr>
              <w:t>ο</w:t>
            </w:r>
            <w:r>
              <w:rPr>
                <w:rFonts w:ascii="Times New Roman" w:hAnsi="Times New Roman"/>
                <w:sz w:val="24"/>
              </w:rPr>
              <w:t>ποίησης είναι της τάξης του 5 % τουλάχιστον (κατά την ημερομηνία δημιου</w:t>
            </w:r>
            <w:r>
              <w:rPr>
                <w:rFonts w:ascii="Times New Roman" w:hAnsi="Times New Roman"/>
                <w:sz w:val="24"/>
              </w:rPr>
              <w:t>ρ</w:t>
            </w:r>
            <w:r>
              <w:rPr>
                <w:rFonts w:ascii="Times New Roman" w:hAnsi="Times New Roman"/>
                <w:sz w:val="24"/>
              </w:rPr>
              <w:t>γίας).</w:t>
            </w:r>
          </w:p>
          <w:p w:rsidR="00612780" w:rsidRPr="00392FFD" w:rsidRDefault="00612780" w:rsidP="00612780">
            <w:pPr>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Με την επιφύλαξη του άρθρου 405 παράγραφος 1 του ΚΚΑ, η μέτρηση της δ</w:t>
            </w:r>
            <w:r>
              <w:rPr>
                <w:rFonts w:ascii="Times New Roman" w:hAnsi="Times New Roman"/>
                <w:sz w:val="24"/>
              </w:rPr>
              <w:t>ι</w:t>
            </w:r>
            <w:r>
              <w:rPr>
                <w:rFonts w:ascii="Times New Roman" w:hAnsi="Times New Roman"/>
                <w:sz w:val="24"/>
              </w:rPr>
              <w:t>ατήρησης κατά τη δημιουργία μπορεί να ερμηνευθεί συνήθως ως μέτρηση κ</w:t>
            </w:r>
            <w:r>
              <w:rPr>
                <w:rFonts w:ascii="Times New Roman" w:hAnsi="Times New Roman"/>
                <w:sz w:val="24"/>
              </w:rPr>
              <w:t>α</w:t>
            </w:r>
            <w:r>
              <w:rPr>
                <w:rFonts w:ascii="Times New Roman" w:hAnsi="Times New Roman"/>
                <w:sz w:val="24"/>
              </w:rPr>
              <w:t>τά τον χρόνο πρώτης τιτλοποίησης των ανοιγμάτων και όχι κατά τον χρόνο πρώτης δημιουργίας των ανοιγμάτων (π.χ. όχι κατά τον χρόνο πρώτης παράτ</w:t>
            </w:r>
            <w:r>
              <w:rPr>
                <w:rFonts w:ascii="Times New Roman" w:hAnsi="Times New Roman"/>
                <w:sz w:val="24"/>
              </w:rPr>
              <w:t>α</w:t>
            </w:r>
            <w:r>
              <w:rPr>
                <w:rFonts w:ascii="Times New Roman" w:hAnsi="Times New Roman"/>
                <w:sz w:val="24"/>
              </w:rPr>
              <w:t>σης των υποκείμενων δανείων). Η μέτρηση της διατήρησης κατά τη δημιου</w:t>
            </w:r>
            <w:r>
              <w:rPr>
                <w:rFonts w:ascii="Times New Roman" w:hAnsi="Times New Roman"/>
                <w:sz w:val="24"/>
              </w:rPr>
              <w:t>ρ</w:t>
            </w:r>
            <w:r>
              <w:rPr>
                <w:rFonts w:ascii="Times New Roman" w:hAnsi="Times New Roman"/>
                <w:sz w:val="24"/>
              </w:rPr>
              <w:t>γία σημαίνει ότι 5 % είναι το ποσοστό διατήρησης που απαιτείται κατά τον χρόνο μέτρησης του εν λόγω επιπέδου διατήρησης και εκπλήρωσης της απα</w:t>
            </w:r>
            <w:r>
              <w:rPr>
                <w:rFonts w:ascii="Times New Roman" w:hAnsi="Times New Roman"/>
                <w:sz w:val="24"/>
              </w:rPr>
              <w:t>ί</w:t>
            </w:r>
            <w:r>
              <w:rPr>
                <w:rFonts w:ascii="Times New Roman" w:hAnsi="Times New Roman"/>
                <w:sz w:val="24"/>
              </w:rPr>
              <w:t>τησης (π.χ. κατά την πρώτη τιτλοποίηση των ανοιγμάτων)· δεν απαιτείται δ</w:t>
            </w:r>
            <w:r>
              <w:rPr>
                <w:rFonts w:ascii="Times New Roman" w:hAnsi="Times New Roman"/>
                <w:sz w:val="24"/>
              </w:rPr>
              <w:t>υ</w:t>
            </w:r>
            <w:r>
              <w:rPr>
                <w:rFonts w:ascii="Times New Roman" w:hAnsi="Times New Roman"/>
                <w:sz w:val="24"/>
              </w:rPr>
              <w:t>ναμική εκ νέου μέτρηση και αναπροσαρμογή του διατηρηθέντος ποσοστού καθ’ όλη τη διάρκεια της συναλλαγής.</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Η συγκεκριμένη στήλη δεν υποβάλλεται στην περίπτωση που δηλώνονται στη στήλη 080 (Είδος της διατήρησης που εφαρμόζεται) οι κωδικοί «E» (εξαιρε</w:t>
            </w:r>
            <w:r>
              <w:rPr>
                <w:rFonts w:ascii="Times New Roman" w:hAnsi="Times New Roman"/>
                <w:sz w:val="24"/>
              </w:rPr>
              <w:t>ί</w:t>
            </w:r>
            <w:r>
              <w:rPr>
                <w:rFonts w:ascii="Times New Roman" w:hAnsi="Times New Roman"/>
                <w:sz w:val="24"/>
              </w:rPr>
              <w:t>ται) ή «Ν» (άνευ αντικειμένου).</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ΣΥΜΜΟΡΦΩΣΗ ΜΕ ΤΗΝ ΑΠΑΙΤΗΣΗ ΔΙΑΤΗΡΗΣΗΣ;</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Άρθρο 405 παράγραφος 1 του ΚΚΑ</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Αναφέρονται οι ακόλουθες συντμήσεις:</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Ναι</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 xml:space="preserve">N </w:t>
            </w:r>
            <w:r>
              <w:tab/>
            </w:r>
            <w:r>
              <w:rPr>
                <w:rFonts w:ascii="Times New Roman" w:hAnsi="Times New Roman"/>
                <w:sz w:val="24"/>
              </w:rPr>
              <w:t>-</w:t>
            </w:r>
            <w:r>
              <w:tab/>
            </w:r>
            <w:r>
              <w:rPr>
                <w:rFonts w:ascii="Times New Roman" w:hAnsi="Times New Roman"/>
                <w:sz w:val="24"/>
              </w:rPr>
              <w:t>Όχι</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Η συγκεκριμένη στήλη δεν υποβάλλεται στην περίπτωση που δηλώνονται στη στήλη 080 (Είδος της διατήρησης που εφαρμόζεται) οι κωδικοί «E» (εξαιρε</w:t>
            </w:r>
            <w:r>
              <w:rPr>
                <w:rFonts w:ascii="Times New Roman" w:hAnsi="Times New Roman"/>
                <w:sz w:val="24"/>
              </w:rPr>
              <w:t>ί</w:t>
            </w:r>
            <w:r>
              <w:rPr>
                <w:rFonts w:ascii="Times New Roman" w:hAnsi="Times New Roman"/>
                <w:sz w:val="24"/>
              </w:rPr>
              <w:t>ται) ή «Ν» (άνευ αντικειμένου).</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ΡΟΛΟΣ ΤΟΥ ΙΔΡΥΜΑΤΟΣ: (ΜΕΤΑΒΙΒΑΖΟΥΣΑ ΟΝΤΟΤΗΤΑ / ΑΝ</w:t>
            </w:r>
            <w:r>
              <w:rPr>
                <w:rFonts w:ascii="Times New Roman" w:hAnsi="Times New Roman"/>
                <w:b/>
                <w:sz w:val="24"/>
                <w:u w:val="single"/>
              </w:rPr>
              <w:t>Α</w:t>
            </w:r>
            <w:r>
              <w:rPr>
                <w:rFonts w:ascii="Times New Roman" w:hAnsi="Times New Roman"/>
                <w:b/>
                <w:sz w:val="24"/>
                <w:u w:val="single"/>
              </w:rPr>
              <w:t>ΔΟΧΟΣ / ΑΡΧΙΚΟΣ ΔΑΝΕΙΟΔΟΤΗΣ / ΕΠΕΝΔΥΤΗΣ)</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Αναφέρονται οι ακόλουθες συντμήσεις: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«Ο» για τη μεταβιβάζουσα οντότητα</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για την ανάδοχο οντότητα</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«L» για τον αρχικό δανειοδότη</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για τον επενδυτή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Βλέπε ορισμούς στο άρθρο 4 παράγραφος 1 σημεία 13) (μεταβιβάζουσα οντ</w:t>
            </w:r>
            <w:r>
              <w:rPr>
                <w:rFonts w:ascii="Times New Roman" w:hAnsi="Times New Roman"/>
                <w:sz w:val="24"/>
              </w:rPr>
              <w:t>ό</w:t>
            </w:r>
            <w:r>
              <w:rPr>
                <w:rFonts w:ascii="Times New Roman" w:hAnsi="Times New Roman"/>
                <w:sz w:val="24"/>
              </w:rPr>
              <w:t>τητα) και 14) (ανάδοχος οντότητα) του ΚΚΑ. Επενδυτές θεωρούνται τα ιδρ</w:t>
            </w:r>
            <w:r>
              <w:rPr>
                <w:rFonts w:ascii="Times New Roman" w:hAnsi="Times New Roman"/>
                <w:sz w:val="24"/>
              </w:rPr>
              <w:t>ύ</w:t>
            </w:r>
            <w:r>
              <w:rPr>
                <w:rFonts w:ascii="Times New Roman" w:hAnsi="Times New Roman"/>
                <w:sz w:val="24"/>
              </w:rPr>
              <w:t>ματα στα οποία εφαρμόζονται οι διατάξεις των άρθρων 406 και 407 του ΚΚΑ.</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120-130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rPr>
            </w:pPr>
            <w:r>
              <w:rPr>
                <w:rFonts w:ascii="Times New Roman" w:hAnsi="Times New Roman"/>
                <w:b/>
                <w:sz w:val="24"/>
              </w:rPr>
              <w:t>ΠΡΟΓΡΑΜΜΑΤΑ ΠΟΥ ΔΕΝ ΕΙΝΑΙ ABCP</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Λόγω του ειδικού τους χαρακτήρα, δεδομένου ότι περιλαμβάνουν αρκετές μ</w:t>
            </w:r>
            <w:r>
              <w:rPr>
                <w:rFonts w:ascii="Times New Roman" w:hAnsi="Times New Roman"/>
                <w:sz w:val="24"/>
              </w:rPr>
              <w:t>ε</w:t>
            </w:r>
            <w:r>
              <w:rPr>
                <w:rFonts w:ascii="Times New Roman" w:hAnsi="Times New Roman"/>
                <w:sz w:val="24"/>
              </w:rPr>
              <w:t>μονωμένες θέσεις τιτλοποίησης, τα προγράμματα ABCP (που ορίζονται στο άρθρο 242 σημείο 9) του ΚΚΑ) εξαιρούνται της αναφοράς στοιχείων στις στ</w:t>
            </w:r>
            <w:r>
              <w:rPr>
                <w:rFonts w:ascii="Times New Roman" w:hAnsi="Times New Roman"/>
                <w:sz w:val="24"/>
              </w:rPr>
              <w:t>ή</w:t>
            </w:r>
            <w:r>
              <w:rPr>
                <w:rFonts w:ascii="Times New Roman" w:hAnsi="Times New Roman"/>
                <w:sz w:val="24"/>
              </w:rPr>
              <w:t>λες 120 και 130.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903" w:type="dxa"/>
          </w:tcPr>
          <w:p w:rsidR="00612780" w:rsidRPr="00392FFD" w:rsidRDefault="00612780" w:rsidP="00612780">
            <w:pPr>
              <w:spacing w:before="0" w:after="0"/>
              <w:jc w:val="left"/>
              <w:rPr>
                <w:rFonts w:ascii="Times New Roman" w:hAnsi="Times New Roman"/>
                <w:b/>
                <w:sz w:val="24"/>
              </w:rPr>
            </w:pPr>
            <w:r>
              <w:rPr>
                <w:rFonts w:ascii="Times New Roman" w:hAnsi="Times New Roman"/>
                <w:b/>
                <w:sz w:val="24"/>
              </w:rPr>
              <w:t>ΗΜΕΡΟΜΗΝΙΑ ΔΗΜΙΟΥΡΓΙΑΣ (μήνας/</w:t>
            </w:r>
            <w:proofErr w:type="spellStart"/>
            <w:r>
              <w:rPr>
                <w:rFonts w:ascii="Times New Roman" w:hAnsi="Times New Roman"/>
                <w:b/>
                <w:sz w:val="24"/>
              </w:rPr>
              <w:t>έτο</w:t>
            </w:r>
            <w:proofErr w:type="spellEnd"/>
            <w:r>
              <w:rPr>
                <w:rFonts w:ascii="Times New Roman" w:hAnsi="Times New Roman"/>
                <w:b/>
                <w:sz w:val="24"/>
              </w:rPr>
              <w:t>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Ο μήνας και το έτος της ημερομηνίας δημιουργίας (δηλαδή, της καταληκτικής ημερομηνίας ή της ημερομηνίας κλεισίματος της ομάδας) της τιτλοποίησης αναφέρεται με την ακόλουθη μορφή: «μμ/</w:t>
            </w:r>
            <w:proofErr w:type="spellStart"/>
            <w:r>
              <w:rPr>
                <w:rFonts w:ascii="Times New Roman" w:hAnsi="Times New Roman"/>
                <w:sz w:val="24"/>
              </w:rPr>
              <w:t>εεε</w:t>
            </w:r>
            <w:proofErr w:type="spellEnd"/>
            <w:r>
              <w:rPr>
                <w:rFonts w:ascii="Times New Roman" w:hAnsi="Times New Roman"/>
                <w:sz w:val="24"/>
              </w:rPr>
              <w:t>ε».</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Για κάθε πρόγραμμα τιτλοποίησης, η ημερομηνία δημιουργίας δεν δύναται να μεταβάλλεται μεταξύ των ημερομηνιών υποβολής αναφοράς. Στην ιδιαίτερη περίπτωση των προγραμμάτων τιτλοποίησης που εξασφαλίζονται με ανοικτές ομάδες, η ημερομηνία δημιουργίας είναι η ημερομηνία πρώτης έκδοσης των χρεογράφων.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Αυτές οι πληροφορίες αναφέρονται ακόμη και στην περίπτωση που η αναφ</w:t>
            </w:r>
            <w:r>
              <w:rPr>
                <w:rFonts w:ascii="Times New Roman" w:hAnsi="Times New Roman"/>
                <w:sz w:val="24"/>
              </w:rPr>
              <w:t>έ</w:t>
            </w:r>
            <w:r>
              <w:rPr>
                <w:rFonts w:ascii="Times New Roman" w:hAnsi="Times New Roman"/>
                <w:sz w:val="24"/>
              </w:rPr>
              <w:t>ρουσα οντότητα δεν κατέχει θέσεις στην τιτλοποίηση.</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ΣΥΝΟΛΙΚΟ ΠΟΣΟ ΤΙΤΛΟΠΟΙΗΜΕΝΩΝ ΑΝΟΙΓΜΑΤΩΝ ΚΑΤΑ ΤΗΝ ΗΜΕΡΟΜΗΝΙΑ ΔΗΜΙΟΥΡΓΙΑΣ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Στη συγκεκριμένη στήλη συγκεντρώνεται το ποσό (σύμφωνα με τα αρχικά </w:t>
            </w:r>
            <w:r>
              <w:rPr>
                <w:rFonts w:ascii="Times New Roman" w:hAnsi="Times New Roman"/>
                <w:sz w:val="24"/>
              </w:rPr>
              <w:t>α</w:t>
            </w:r>
            <w:r>
              <w:rPr>
                <w:rFonts w:ascii="Times New Roman" w:hAnsi="Times New Roman"/>
                <w:sz w:val="24"/>
              </w:rPr>
              <w:t>νοίγματα πριν από τους συντελεστές μετατροπής) του τιτλοποιημένου χαρτ</w:t>
            </w:r>
            <w:r>
              <w:rPr>
                <w:rFonts w:ascii="Times New Roman" w:hAnsi="Times New Roman"/>
                <w:sz w:val="24"/>
              </w:rPr>
              <w:t>ο</w:t>
            </w:r>
            <w:r>
              <w:rPr>
                <w:rFonts w:ascii="Times New Roman" w:hAnsi="Times New Roman"/>
                <w:sz w:val="24"/>
              </w:rPr>
              <w:t xml:space="preserve">φυλακίου κατά την ημερομηνία δημιουργίας.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Στην περίπτωση προγραμμάτων τιτλοποίησης που εξασφαλίζονται με ανοικτές ομάδες, αναφέρεται το ποσό που παραπέμπει στην ημερομηνία δημιουργίας της πρώτης έκδοσης τίτλων. Στην περίπτωση παραδοσιακών τιτλοποιήσεων, δεν περιλαμβάνονται άλλα στοιχεία ενεργητικού της ομάδας τιτλοποίησης. Στην περίπτωση προγραμμάτων τιτλοποίησης με πολλούς πωλητές (δηλαδή, με περισσότερες της μιας μεταβιβάζουσες οντότητες), αναφέρεται μόνο το ποσό που αντιστοιχεί στη συνεισφορά της αναφέρουσας οντότητας στο </w:t>
            </w:r>
            <w:proofErr w:type="spellStart"/>
            <w:r>
              <w:rPr>
                <w:rFonts w:ascii="Times New Roman" w:hAnsi="Times New Roman"/>
                <w:sz w:val="24"/>
              </w:rPr>
              <w:t>τιτλοποιημ</w:t>
            </w:r>
            <w:r>
              <w:rPr>
                <w:rFonts w:ascii="Times New Roman" w:hAnsi="Times New Roman"/>
                <w:sz w:val="24"/>
              </w:rPr>
              <w:t>έ</w:t>
            </w:r>
            <w:r>
              <w:rPr>
                <w:rFonts w:ascii="Times New Roman" w:hAnsi="Times New Roman"/>
                <w:sz w:val="24"/>
              </w:rPr>
              <w:t>νο</w:t>
            </w:r>
            <w:proofErr w:type="spellEnd"/>
            <w:r>
              <w:rPr>
                <w:rFonts w:ascii="Times New Roman" w:hAnsi="Times New Roman"/>
                <w:sz w:val="24"/>
              </w:rPr>
              <w:t xml:space="preserve"> χαρτοφυλάκιο. Στην περίπτωση τιτλοποίησης υποχρεώσεων, αναφέρονται μόνο τα ποσά που εκδίδονται από την αναφέρουσα οντότητα.</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Αυτές οι πληροφορίες αναφέρονται ακόμη και στην περίπτωση που η αναφ</w:t>
            </w:r>
            <w:r>
              <w:rPr>
                <w:rFonts w:ascii="Times New Roman" w:hAnsi="Times New Roman"/>
                <w:sz w:val="24"/>
              </w:rPr>
              <w:t>έ</w:t>
            </w:r>
            <w:r>
              <w:rPr>
                <w:rFonts w:ascii="Times New Roman" w:hAnsi="Times New Roman"/>
                <w:sz w:val="24"/>
              </w:rPr>
              <w:t>ρουσα οντότητα δεν κατέχει θέσεις στην τιτλοποίηση.</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140-220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ΤΙΤΛΟΠΟΙΗΜΕΝΑ ΑΝΟΙΓΜΑΤΑ</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Στις στήλες 140 έως 220 ζητούνται πληροφορίες από την αναφέρουσα οντότ</w:t>
            </w:r>
            <w:r>
              <w:rPr>
                <w:rFonts w:ascii="Times New Roman" w:hAnsi="Times New Roman"/>
                <w:sz w:val="24"/>
              </w:rPr>
              <w:t>η</w:t>
            </w:r>
            <w:r>
              <w:rPr>
                <w:rFonts w:ascii="Times New Roman" w:hAnsi="Times New Roman"/>
                <w:sz w:val="24"/>
              </w:rPr>
              <w:t>τα για αρκετά χαρακτηριστικά του τιτλοποιημένου χαρτοφυλακίου.</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ΣΥΝΟΛΙΚΟ ΠΟΣΟ</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Τα ιδρύματα αναφέρουν την αξία του τιτλοποιημένου χαρτοφυλακίου κατά την ημερομηνία υποβολής της αναφοράς, δηλαδή το ανεξόφλητο ποσό των τιτλ</w:t>
            </w:r>
            <w:r>
              <w:rPr>
                <w:rFonts w:ascii="Times New Roman" w:hAnsi="Times New Roman"/>
                <w:sz w:val="24"/>
              </w:rPr>
              <w:t>ο</w:t>
            </w:r>
            <w:r>
              <w:rPr>
                <w:rFonts w:ascii="Times New Roman" w:hAnsi="Times New Roman"/>
                <w:sz w:val="24"/>
              </w:rPr>
              <w:lastRenderedPageBreak/>
              <w:t>ποιημένων ανοιγμάτων. Στην περίπτωση παραδοσιακών τιτλοποιήσεων, δεν περιλαμβάνονται άλλα στοιχεία ενεργητικού της ομάδας τιτλοποίησης. Στην περίπτωση προγραμμάτων τιτλοποίησης με πολλούς πωλητές (δηλαδή, με π</w:t>
            </w:r>
            <w:r>
              <w:rPr>
                <w:rFonts w:ascii="Times New Roman" w:hAnsi="Times New Roman"/>
                <w:sz w:val="24"/>
              </w:rPr>
              <w:t>ε</w:t>
            </w:r>
            <w:r>
              <w:rPr>
                <w:rFonts w:ascii="Times New Roman" w:hAnsi="Times New Roman"/>
                <w:sz w:val="24"/>
              </w:rPr>
              <w:t xml:space="preserve">ρισσότερες της μιας μεταβιβάζουσες οντότητες), αναφέρεται μόνο το ποσό που αντιστοιχεί στη συνεισφορά της αναφέρουσας οντότητας στο </w:t>
            </w:r>
            <w:proofErr w:type="spellStart"/>
            <w:r>
              <w:rPr>
                <w:rFonts w:ascii="Times New Roman" w:hAnsi="Times New Roman"/>
                <w:sz w:val="24"/>
              </w:rPr>
              <w:t>τιτλοποιημένο</w:t>
            </w:r>
            <w:proofErr w:type="spellEnd"/>
            <w:r>
              <w:rPr>
                <w:rFonts w:ascii="Times New Roman" w:hAnsi="Times New Roman"/>
                <w:sz w:val="24"/>
              </w:rPr>
              <w:t xml:space="preserve"> χαρτοφυλάκιο. Στην περίπτωση προγραμμάτων τιτλοποίησης εξασφαλισμένων με κλειστές ομάδες (δηλαδή, το χαρτοφυλάκιο τιτλοποιημένων στοιχείων ενε</w:t>
            </w:r>
            <w:r>
              <w:rPr>
                <w:rFonts w:ascii="Times New Roman" w:hAnsi="Times New Roman"/>
                <w:sz w:val="24"/>
              </w:rPr>
              <w:t>ρ</w:t>
            </w:r>
            <w:r>
              <w:rPr>
                <w:rFonts w:ascii="Times New Roman" w:hAnsi="Times New Roman"/>
                <w:sz w:val="24"/>
              </w:rPr>
              <w:t>γητικού δεν δύναται να διευρυνθεί μετά την ημερομηνία δημιουργίας), το ποσό θα μειώνεται σταδιακά.</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Αυτές οι πληροφορίες αναφέρονται ακόμη και στην περίπτωση που η αναφ</w:t>
            </w:r>
            <w:r>
              <w:rPr>
                <w:rFonts w:ascii="Times New Roman" w:hAnsi="Times New Roman"/>
                <w:sz w:val="24"/>
              </w:rPr>
              <w:t>έ</w:t>
            </w:r>
            <w:r>
              <w:rPr>
                <w:rFonts w:ascii="Times New Roman" w:hAnsi="Times New Roman"/>
                <w:sz w:val="24"/>
              </w:rPr>
              <w:t>ρουσα οντότητα δεν κατέχει θέσεις στην τιτλοποίηση.</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ΜΕΡΙΔΙΟ ΙΔΡΥΜΑΤΟΣ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Αναφέρεται το μερίδιο του ιδρύματος (ποσοστό με δύο δεκαδικά ψηφία) κατά την ημερομηνία υποβολής της αναφοράς στο </w:t>
            </w:r>
            <w:proofErr w:type="spellStart"/>
            <w:r>
              <w:rPr>
                <w:rFonts w:ascii="Times New Roman" w:hAnsi="Times New Roman"/>
                <w:sz w:val="24"/>
              </w:rPr>
              <w:t>τιτλοποιημένο</w:t>
            </w:r>
            <w:proofErr w:type="spellEnd"/>
            <w:r>
              <w:rPr>
                <w:rFonts w:ascii="Times New Roman" w:hAnsi="Times New Roman"/>
                <w:sz w:val="24"/>
              </w:rPr>
              <w:t xml:space="preserve"> χαρτοφυλάκιο. Το προς αναφορά στη συγκεκριμένη στήλη ποσοστό είναι, εξ ορισμού, 100 %, </w:t>
            </w:r>
            <w:r>
              <w:rPr>
                <w:rFonts w:ascii="Times New Roman" w:hAnsi="Times New Roman"/>
                <w:sz w:val="24"/>
              </w:rPr>
              <w:t>ε</w:t>
            </w:r>
            <w:r>
              <w:rPr>
                <w:rFonts w:ascii="Times New Roman" w:hAnsi="Times New Roman"/>
                <w:sz w:val="24"/>
              </w:rPr>
              <w:t>κτός από την περίπτωση προγραμμάτων τιτλοποίησης με πολλούς πωλητές. Στην περίπτωση αυτή, η αναφέρουσα οντότητα αναφέρει την τρέχουσα συνε</w:t>
            </w:r>
            <w:r>
              <w:rPr>
                <w:rFonts w:ascii="Times New Roman" w:hAnsi="Times New Roman"/>
                <w:sz w:val="24"/>
              </w:rPr>
              <w:t>ι</w:t>
            </w:r>
            <w:r>
              <w:rPr>
                <w:rFonts w:ascii="Times New Roman" w:hAnsi="Times New Roman"/>
                <w:sz w:val="24"/>
              </w:rPr>
              <w:t xml:space="preserve">σφορά της στο </w:t>
            </w:r>
            <w:proofErr w:type="spellStart"/>
            <w:r>
              <w:rPr>
                <w:rFonts w:ascii="Times New Roman" w:hAnsi="Times New Roman"/>
                <w:sz w:val="24"/>
              </w:rPr>
              <w:t>τιτλοποιημένο</w:t>
            </w:r>
            <w:proofErr w:type="spellEnd"/>
            <w:r>
              <w:rPr>
                <w:rFonts w:ascii="Times New Roman" w:hAnsi="Times New Roman"/>
                <w:sz w:val="24"/>
              </w:rPr>
              <w:t xml:space="preserve"> χαρτοφυλάκιο (ισοδύναμη με τη στήλη 140 σε σχετικούς όρους).</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Αυτές οι πληροφορίες αναφέρονται ακόμη και στην περίπτωση που η αναφ</w:t>
            </w:r>
            <w:r>
              <w:rPr>
                <w:rFonts w:ascii="Times New Roman" w:hAnsi="Times New Roman"/>
                <w:sz w:val="24"/>
              </w:rPr>
              <w:t>έ</w:t>
            </w:r>
            <w:r>
              <w:rPr>
                <w:rFonts w:ascii="Times New Roman" w:hAnsi="Times New Roman"/>
                <w:sz w:val="24"/>
              </w:rPr>
              <w:t>ρουσα οντότητα δεν κατέχει θέσεις στην τιτλοποίηση.</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ΕΙΔΟΣ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συγκεντρώνονται πληροφορίες για το είδος των στο</w:t>
            </w:r>
            <w:r>
              <w:rPr>
                <w:rFonts w:ascii="Times New Roman" w:hAnsi="Times New Roman"/>
                <w:sz w:val="24"/>
              </w:rPr>
              <w:t>ι</w:t>
            </w:r>
            <w:r>
              <w:rPr>
                <w:rFonts w:ascii="Times New Roman" w:hAnsi="Times New Roman"/>
                <w:sz w:val="24"/>
              </w:rPr>
              <w:t>χείων ενεργητικού («1» έως «8») ή υποχρεώσεων («9» και «10») του τιτλοπο</w:t>
            </w:r>
            <w:r>
              <w:rPr>
                <w:rFonts w:ascii="Times New Roman" w:hAnsi="Times New Roman"/>
                <w:sz w:val="24"/>
              </w:rPr>
              <w:t>ι</w:t>
            </w:r>
            <w:r>
              <w:rPr>
                <w:rFonts w:ascii="Times New Roman" w:hAnsi="Times New Roman"/>
                <w:sz w:val="24"/>
              </w:rPr>
              <w:t>ημένου χαρτοφυλακίου. Το ίδρυμα πρέπει να δηλώσει έναν από τους ακόλο</w:t>
            </w:r>
            <w:r>
              <w:rPr>
                <w:rFonts w:ascii="Times New Roman" w:hAnsi="Times New Roman"/>
                <w:sz w:val="24"/>
              </w:rPr>
              <w:t>υ</w:t>
            </w:r>
            <w:r>
              <w:rPr>
                <w:rFonts w:ascii="Times New Roman" w:hAnsi="Times New Roman"/>
                <w:sz w:val="24"/>
              </w:rPr>
              <w:t>θους αριθμητικούς κωδικούς:</w:t>
            </w:r>
          </w:p>
          <w:p w:rsidR="00BB7E19" w:rsidRPr="00392FFD" w:rsidRDefault="00BB7E19"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1 - Υποθήκες κατοικιών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2 - Υποθήκες εμπορικών ακινήτων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3 - Απαιτήσεις από πιστωτικές κάρτες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4 - Χρηματοδοτική μίσθωση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5 - Δάνεια σε επιχειρήσεις ή σε ΜΜΕ (που αντιμετωπίζονται ως επιχειρήσεις)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6 - Καταναλωτικά δάνεια</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7 - Εμπορικές απαιτήσεις</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8 - Άλλα στοιχεία ενεργητικού</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9 - Καλυμμένα ομόλογα</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10 - Άλλες υποχρεώσεις.</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Εάν η ομάδα τιτλοποιημένων ανοιγμάτων αποτελεί συνδυασμό των προηγο</w:t>
            </w:r>
            <w:r>
              <w:rPr>
                <w:rFonts w:ascii="Times New Roman" w:hAnsi="Times New Roman"/>
                <w:sz w:val="24"/>
              </w:rPr>
              <w:t>ύ</w:t>
            </w:r>
            <w:r>
              <w:rPr>
                <w:rFonts w:ascii="Times New Roman" w:hAnsi="Times New Roman"/>
                <w:sz w:val="24"/>
              </w:rPr>
              <w:t xml:space="preserve">μενων ειδών, το ίδρυμα αναφέρει το σημαντικότερο είδος. Στην περίπτωση </w:t>
            </w:r>
            <w:proofErr w:type="spellStart"/>
            <w:r>
              <w:rPr>
                <w:rFonts w:ascii="Times New Roman" w:hAnsi="Times New Roman"/>
                <w:sz w:val="24"/>
              </w:rPr>
              <w:t>ε</w:t>
            </w:r>
            <w:r>
              <w:rPr>
                <w:rFonts w:ascii="Times New Roman" w:hAnsi="Times New Roman"/>
                <w:sz w:val="24"/>
              </w:rPr>
              <w:t>πανατιτλοποιήσεων</w:t>
            </w:r>
            <w:proofErr w:type="spellEnd"/>
            <w:r>
              <w:rPr>
                <w:rFonts w:ascii="Times New Roman" w:hAnsi="Times New Roman"/>
                <w:sz w:val="24"/>
              </w:rPr>
              <w:t>, το ίδρυμα αναφέρεται στην τελική υποκείμενη ομάδα στοιχείων ενεργητικού. Το είδος αριθ. «10» (Άλλες υποχρεώσεις) περιλαμβ</w:t>
            </w:r>
            <w:r>
              <w:rPr>
                <w:rFonts w:ascii="Times New Roman" w:hAnsi="Times New Roman"/>
                <w:sz w:val="24"/>
              </w:rPr>
              <w:t>ά</w:t>
            </w:r>
            <w:r>
              <w:rPr>
                <w:rFonts w:ascii="Times New Roman" w:hAnsi="Times New Roman"/>
                <w:sz w:val="24"/>
              </w:rPr>
              <w:t>νει γραμμάτια Δημοσίου και ομόλογα συνδεδεμένα με τον πιστωτικό κίνδυνο υποκείμενου μέσου.</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Στην περίπτωση προγραμμάτων τιτλοποίησης εξασφαλισμένων με κλειστές ομάδες, το είδος δεν δύναται να μεταβάλλεται μεταξύ των ημερομηνιών υπ</w:t>
            </w:r>
            <w:r>
              <w:rPr>
                <w:rFonts w:ascii="Times New Roman" w:hAnsi="Times New Roman"/>
                <w:sz w:val="24"/>
              </w:rPr>
              <w:t>ο</w:t>
            </w:r>
            <w:r>
              <w:rPr>
                <w:rFonts w:ascii="Times New Roman" w:hAnsi="Times New Roman"/>
                <w:sz w:val="24"/>
              </w:rPr>
              <w:t>βολής αναφοράς.</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ΠΡΟΣΕΓΓΙΣΗ ΠΟΥ ΕΦΑΡΜΟΣΤΗΚΕ (SA/IRB/ΜΙΚΤΗ)</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συγκεντρώνονται πληροφορίες για την προσέγγιση που εφαρμόζεται στα τιτλοποιημένα ανοίγματα από το ίδρυμα κατά την ημ</w:t>
            </w:r>
            <w:r>
              <w:rPr>
                <w:rFonts w:ascii="Times New Roman" w:hAnsi="Times New Roman"/>
                <w:sz w:val="24"/>
              </w:rPr>
              <w:t>ε</w:t>
            </w:r>
            <w:r>
              <w:rPr>
                <w:rFonts w:ascii="Times New Roman" w:hAnsi="Times New Roman"/>
                <w:sz w:val="24"/>
              </w:rPr>
              <w:t>ρομηνία υποβολής αναφοράς.</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Αναφέρονται οι ακόλουθες συντμήσεις:</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για την τυποποιημένη προσέγγιση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«I» για την προσέγγιση των εσωτερικών διαβαθμίσεων</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«Μ» για συνδυασμό των δύο προσεγγίσεων (SA/IRB).</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Εάν, βάσει της τυποποιημένης προσέγγισης (SA), αναφέρεται ο κωδικός «P» στη στήλη 050, τότε ο υπολογισμός των απαιτήσεων ιδίων κεφαλαίων αναφ</w:t>
            </w:r>
            <w:r>
              <w:rPr>
                <w:rFonts w:ascii="Times New Roman" w:hAnsi="Times New Roman"/>
                <w:sz w:val="24"/>
              </w:rPr>
              <w:t>έ</w:t>
            </w:r>
            <w:r>
              <w:rPr>
                <w:rFonts w:ascii="Times New Roman" w:hAnsi="Times New Roman"/>
                <w:sz w:val="24"/>
              </w:rPr>
              <w:t>ρεται στο υπόδειγμα CR SEC SA.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Εάν, βάσει της προσέγγισης των εσωτερικών διαβαθμίσεων (IRB), αναφέρεται ο κωδικός «P» στη στήλη 050, τότε ο υπολογισμός των απαιτήσεων ιδίων κ</w:t>
            </w:r>
            <w:r>
              <w:rPr>
                <w:rFonts w:ascii="Times New Roman" w:hAnsi="Times New Roman"/>
                <w:sz w:val="24"/>
              </w:rPr>
              <w:t>ε</w:t>
            </w:r>
            <w:r>
              <w:rPr>
                <w:rFonts w:ascii="Times New Roman" w:hAnsi="Times New Roman"/>
                <w:sz w:val="24"/>
              </w:rPr>
              <w:t>φαλαίων αναφέρεται στο υπόδειγμα CR SEC IRB.</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Εάν, βάσει συνδυασμού των προσεγγίσεων SA και IRB, αναφέρεται ο κωδικός «P» στη στήλη 050, τότε ο υπολογισμός των απαιτήσεων ιδίων κεφαλαίων </w:t>
            </w:r>
            <w:r>
              <w:rPr>
                <w:rFonts w:ascii="Times New Roman" w:hAnsi="Times New Roman"/>
                <w:sz w:val="24"/>
              </w:rPr>
              <w:t>α</w:t>
            </w:r>
            <w:r>
              <w:rPr>
                <w:rFonts w:ascii="Times New Roman" w:hAnsi="Times New Roman"/>
                <w:sz w:val="24"/>
              </w:rPr>
              <w:t>ναφέρεται σε αμφότερα τα υποδείγματα CR SEC SA και CR SEC IRB.</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Αυτές οι πληροφορίες αναφέρονται ακόμη και στην περίπτωση που η αναφ</w:t>
            </w:r>
            <w:r>
              <w:rPr>
                <w:rFonts w:ascii="Times New Roman" w:hAnsi="Times New Roman"/>
                <w:sz w:val="24"/>
              </w:rPr>
              <w:t>έ</w:t>
            </w:r>
            <w:r>
              <w:rPr>
                <w:rFonts w:ascii="Times New Roman" w:hAnsi="Times New Roman"/>
                <w:sz w:val="24"/>
              </w:rPr>
              <w:t>ρουσα οντότητα δεν κατέχει θέσεις στην τιτλοποίηση. Ωστόσο, η συγκεκριμ</w:t>
            </w:r>
            <w:r>
              <w:rPr>
                <w:rFonts w:ascii="Times New Roman" w:hAnsi="Times New Roman"/>
                <w:sz w:val="24"/>
              </w:rPr>
              <w:t>έ</w:t>
            </w:r>
            <w:r>
              <w:rPr>
                <w:rFonts w:ascii="Times New Roman" w:hAnsi="Times New Roman"/>
                <w:sz w:val="24"/>
              </w:rPr>
              <w:t>νη στήλη δεν υποβάλλεται στην περίπτωση τιτλοποιήσεων υποχρεώσεων. Οι ανάδοχοι δεν υποβάλλουν τη συγκεκριμένη στήλη.</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ΑΡΙΘΜΟΣ ΑΝΟΙΓΜΑΤΩΝ</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Άρθρο 261 παράγραφος 1 του ΚΚΑ</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Η στήλη αυτή είναι υποχρεωτική μόνο για τα ιδρύματα που χρησιμοποιούν την προσέγγιση IRB για τις θέσεις τιτλοποίησης (και, ως εκ τούτου, δηλώνουν «I» στη στήλη 170). Το ίδρυμα αναφέρει τον πραγματικό αριθμό ανοιγμάτων.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Η συγκεκριμένη στήλη δεν υποβάλλεται στην περίπτωση τιτλοποίησης υπ</w:t>
            </w:r>
            <w:r>
              <w:rPr>
                <w:rFonts w:ascii="Times New Roman" w:hAnsi="Times New Roman"/>
                <w:sz w:val="24"/>
              </w:rPr>
              <w:t>ο</w:t>
            </w:r>
            <w:r>
              <w:rPr>
                <w:rFonts w:ascii="Times New Roman" w:hAnsi="Times New Roman"/>
                <w:sz w:val="24"/>
              </w:rPr>
              <w:t>χρεώσεων ή όταν οι απαιτήσεις ιδίων κεφαλαίων βασίζονται στα τιτλοποιημ</w:t>
            </w:r>
            <w:r>
              <w:rPr>
                <w:rFonts w:ascii="Times New Roman" w:hAnsi="Times New Roman"/>
                <w:sz w:val="24"/>
              </w:rPr>
              <w:t>έ</w:t>
            </w:r>
            <w:r>
              <w:rPr>
                <w:rFonts w:ascii="Times New Roman" w:hAnsi="Times New Roman"/>
                <w:sz w:val="24"/>
              </w:rPr>
              <w:t>να ανοίγματα (στην περίπτωση τιτλοποίησης στοιχείων ενεργητικού). Η στήλη αυτή δεν συμπληρώνεται όταν η αναφέρουσα οντότητα δεν κατέχει θέσεις στην τιτλοποίηση. Η συγκεκριμένη στήλη δεν συμπληρώνεται από επενδυτές.</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A749EA"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ΧΩΡΑ</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Αναφέρεται ο κωδικός (ISO 3166-1 alpha-2) της χώρας προέλευσης του τελ</w:t>
            </w:r>
            <w:r>
              <w:rPr>
                <w:rFonts w:ascii="Times New Roman" w:hAnsi="Times New Roman"/>
                <w:sz w:val="24"/>
              </w:rPr>
              <w:t>ι</w:t>
            </w:r>
            <w:r>
              <w:rPr>
                <w:rFonts w:ascii="Times New Roman" w:hAnsi="Times New Roman"/>
                <w:sz w:val="24"/>
              </w:rPr>
              <w:t xml:space="preserve">κού υποκειμένου της συναλλαγής, δηλαδή της χώρας του άμεσου οφειλέτη των αρχικών τιτλοποιημένων ανοιγμάτων (εξέταση). Εάν η ομάδα της τιτλοποίησης αποτελείται από διάφορες χώρες, το ίδρυμα αναφέρει τη σημαντικότερη χώρα. </w:t>
            </w:r>
            <w:r>
              <w:rPr>
                <w:rFonts w:ascii="Times New Roman" w:hAnsi="Times New Roman"/>
                <w:sz w:val="24"/>
              </w:rPr>
              <w:lastRenderedPageBreak/>
              <w:t>Εάν καμία χώρα δεν υπερβαίνει το κατώτατο όριο 20 % βάσει του αριθμού των στοιχείων ενεργητικού/υποχρεώσεων, τότε αναφέρεται «άλλες χώρες».</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ELGD (%)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Το σταθμισμένο ως προς το άνοιγμα μέσο ύψος της ζημίας λόγω αθέτησης (ELGD) αναφέρεται μόνον από τα ιδρύματα που εφαρμόζουν τη μέθοδο των εποπτικών υποδειγμάτων (και που, επομένως, δηλώνουν «Ι» στη στήλη 170). Η τιμή ELGD υπολογίζεται σύμφωνα με το άρθρο 262 παράγραφος 1 του ΚΚΑ.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Η συγκεκριμένη στήλη δεν υποβάλλεται στην περίπτωση τιτλοποίησης υπ</w:t>
            </w:r>
            <w:r>
              <w:rPr>
                <w:rFonts w:ascii="Times New Roman" w:hAnsi="Times New Roman"/>
                <w:sz w:val="24"/>
              </w:rPr>
              <w:t>ο</w:t>
            </w:r>
            <w:r>
              <w:rPr>
                <w:rFonts w:ascii="Times New Roman" w:hAnsi="Times New Roman"/>
                <w:sz w:val="24"/>
              </w:rPr>
              <w:t>χρεώσεων ή όταν οι απαιτήσεις ιδίων κεφαλαίων βασίζονται στα τιτλοποιημ</w:t>
            </w:r>
            <w:r>
              <w:rPr>
                <w:rFonts w:ascii="Times New Roman" w:hAnsi="Times New Roman"/>
                <w:sz w:val="24"/>
              </w:rPr>
              <w:t>έ</w:t>
            </w:r>
            <w:r>
              <w:rPr>
                <w:rFonts w:ascii="Times New Roman" w:hAnsi="Times New Roman"/>
                <w:sz w:val="24"/>
              </w:rPr>
              <w:t>να ανοίγματα (στην περίπτωση τιτλοποίησης στοιχείων ενεργητικού). Η στήλη αυτή δεν συμπληρώνεται επίσης όταν η οντότητα που παρέχει τις πληροφορίες δεν κατέχει θέσεις στην τιτλοποίηση. Οι ανάδοχοι δεν υποβάλλουν τη συγκ</w:t>
            </w:r>
            <w:r>
              <w:rPr>
                <w:rFonts w:ascii="Times New Roman" w:hAnsi="Times New Roman"/>
                <w:sz w:val="24"/>
              </w:rPr>
              <w:t>ε</w:t>
            </w:r>
            <w:r>
              <w:rPr>
                <w:rFonts w:ascii="Times New Roman" w:hAnsi="Times New Roman"/>
                <w:sz w:val="24"/>
              </w:rPr>
              <w:t>κριμένη στήλη.</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ΠΡΟΣΑΡΜΟΓΕΣ ΑΞΙΑΣ ΚΑΙ ΠΡΟΒΛΕΨΕΙΣ</w:t>
            </w:r>
          </w:p>
          <w:p w:rsidR="00612780" w:rsidRPr="00392FFD" w:rsidRDefault="00612780" w:rsidP="00612780">
            <w:pPr>
              <w:spacing w:before="0" w:after="0"/>
              <w:jc w:val="left"/>
              <w:rPr>
                <w:rFonts w:ascii="Times New Roman" w:hAnsi="Times New Roman"/>
                <w:sz w:val="24"/>
              </w:rPr>
            </w:pPr>
          </w:p>
          <w:p w:rsidR="00706D25" w:rsidRPr="00392FFD" w:rsidRDefault="00706D25" w:rsidP="00706D25">
            <w:pPr>
              <w:autoSpaceDE w:val="0"/>
              <w:autoSpaceDN w:val="0"/>
              <w:adjustRightInd w:val="0"/>
              <w:spacing w:before="0" w:after="0"/>
              <w:jc w:val="left"/>
              <w:rPr>
                <w:rFonts w:ascii="Times New Roman" w:hAnsi="Times New Roman"/>
                <w:sz w:val="24"/>
              </w:rPr>
            </w:pPr>
            <w:r>
              <w:rPr>
                <w:rFonts w:ascii="Times New Roman" w:hAnsi="Times New Roman"/>
                <w:sz w:val="24"/>
              </w:rPr>
              <w:t>Προσαρμογές αξίας και προβλέψεις (άρθρο 159 του ΚΚΑ) για πιστωτικές ζ</w:t>
            </w:r>
            <w:r>
              <w:rPr>
                <w:rFonts w:ascii="Times New Roman" w:hAnsi="Times New Roman"/>
                <w:sz w:val="24"/>
              </w:rPr>
              <w:t>η</w:t>
            </w:r>
            <w:r>
              <w:rPr>
                <w:rFonts w:ascii="Times New Roman" w:hAnsi="Times New Roman"/>
                <w:sz w:val="24"/>
              </w:rPr>
              <w:t>μίες που πραγματοποιούνται σύμφωνα με το λογιστικό πλαίσιο στο οποίο υπ</w:t>
            </w:r>
            <w:r>
              <w:rPr>
                <w:rFonts w:ascii="Times New Roman" w:hAnsi="Times New Roman"/>
                <w:sz w:val="24"/>
              </w:rPr>
              <w:t>ό</w:t>
            </w:r>
            <w:r>
              <w:rPr>
                <w:rFonts w:ascii="Times New Roman" w:hAnsi="Times New Roman"/>
                <w:sz w:val="24"/>
              </w:rPr>
              <w:t>κειται η αναφέρουσα οντότητα. Οι προσαρμογές αξίας περιλαμβάνουν οποι</w:t>
            </w:r>
            <w:r>
              <w:rPr>
                <w:rFonts w:ascii="Times New Roman" w:hAnsi="Times New Roman"/>
                <w:sz w:val="24"/>
              </w:rPr>
              <w:t>ο</w:t>
            </w:r>
            <w:r>
              <w:rPr>
                <w:rFonts w:ascii="Times New Roman" w:hAnsi="Times New Roman"/>
                <w:sz w:val="24"/>
              </w:rPr>
              <w:t>δήποτε ποσό που αναγνωρίζεται στα αποτελέσματα για πιστωτικές ζημίες χρ</w:t>
            </w:r>
            <w:r>
              <w:rPr>
                <w:rFonts w:ascii="Times New Roman" w:hAnsi="Times New Roman"/>
                <w:sz w:val="24"/>
              </w:rPr>
              <w:t>η</w:t>
            </w:r>
            <w:r>
              <w:rPr>
                <w:rFonts w:ascii="Times New Roman" w:hAnsi="Times New Roman"/>
                <w:sz w:val="24"/>
              </w:rPr>
              <w:t>ματοοικονομικών στοιχείων ενεργητικού από την αρχική τους αναγνώριση στον ισολογισμό (συμπεριλαμβανομένων ζημιών που οφείλονται σε πιστωτικό κίνδυνο χρηματοοικονομικών στοιχείων ενεργητικού που αποτιμώνται στην εύλογη αξία που δεν αφαιρούνται από την αξία ανοίγματος) συν τις μειώσεις των ανοιγμάτων που αγοράστηκαν ενώ είναι σε αθέτηση, σύμφωνα με το ά</w:t>
            </w:r>
            <w:r>
              <w:rPr>
                <w:rFonts w:ascii="Times New Roman" w:hAnsi="Times New Roman"/>
                <w:sz w:val="24"/>
              </w:rPr>
              <w:t>ρ</w:t>
            </w:r>
            <w:r>
              <w:rPr>
                <w:rFonts w:ascii="Times New Roman" w:hAnsi="Times New Roman"/>
                <w:sz w:val="24"/>
              </w:rPr>
              <w:t>θρο 166 παράγραφος 1 του ΚΚΑ. Οι προβλέψεις περιλαμβάνουν συσσωρευμ</w:t>
            </w:r>
            <w:r>
              <w:rPr>
                <w:rFonts w:ascii="Times New Roman" w:hAnsi="Times New Roman"/>
                <w:sz w:val="24"/>
              </w:rPr>
              <w:t>έ</w:t>
            </w:r>
            <w:r>
              <w:rPr>
                <w:rFonts w:ascii="Times New Roman" w:hAnsi="Times New Roman"/>
                <w:sz w:val="24"/>
              </w:rPr>
              <w:t>να ποσά πιστωτικών ζημιών σε εκτός ισολογισμού στοιχεία.</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συγκεντρώνονται πληροφορίες για τις προσαρμογές αξίας και προβλέψεις που εφαρμόζονται στα τιτλοποιημένα ανοίγματα. Η στ</w:t>
            </w:r>
            <w:r>
              <w:rPr>
                <w:rFonts w:ascii="Times New Roman" w:hAnsi="Times New Roman"/>
                <w:sz w:val="24"/>
              </w:rPr>
              <w:t>ή</w:t>
            </w:r>
            <w:r>
              <w:rPr>
                <w:rFonts w:ascii="Times New Roman" w:hAnsi="Times New Roman"/>
                <w:sz w:val="24"/>
              </w:rPr>
              <w:t>λη αυτή δεν υποβάλλεται στην περίπτωση τιτλοποίησης υποχρεώσεων.</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Αυτές οι πληροφορίες αναφέρονται ακόμη και στην περίπτωση που η αναφ</w:t>
            </w:r>
            <w:r>
              <w:rPr>
                <w:rFonts w:ascii="Times New Roman" w:hAnsi="Times New Roman"/>
                <w:sz w:val="24"/>
              </w:rPr>
              <w:t>έ</w:t>
            </w:r>
            <w:r>
              <w:rPr>
                <w:rFonts w:ascii="Times New Roman" w:hAnsi="Times New Roman"/>
                <w:sz w:val="24"/>
              </w:rPr>
              <w:t xml:space="preserve">ρουσα οντότητα δεν κατέχει θέσεις στην τιτλοποίηση.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Οι ανάδοχοι δεν υποβάλλουν τη συγκεκριμένη στήλη.</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ΑΠΑΙΤΗΣΕΙΣ ΙΔΙΩΝ ΚΕΦΑΛΑΙΩΝ ΠΡΙΝ ΑΠΟ ΤΗΝ ΤΙΤΛΟΠΟΙΗΣΗ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Στη συγκεκριμένη στήλη συγκεντρώνονται πληροφορίες για τις απαιτήσεις </w:t>
            </w:r>
            <w:r>
              <w:rPr>
                <w:rFonts w:ascii="Times New Roman" w:hAnsi="Times New Roman"/>
                <w:sz w:val="24"/>
              </w:rPr>
              <w:t>ι</w:t>
            </w:r>
            <w:r>
              <w:rPr>
                <w:rFonts w:ascii="Times New Roman" w:hAnsi="Times New Roman"/>
                <w:sz w:val="24"/>
              </w:rPr>
              <w:t>δίων κεφαλαίων του τιτλοποιημένου χαρτοφυλακίου, στην περίπτωση που δεν έχει υπάρξει τιτλοποίηση, συν τις αναμενόμενες ζημίες που σχετίζονται με τους κινδύνους αυτούς (</w:t>
            </w:r>
            <w:proofErr w:type="spellStart"/>
            <w:r>
              <w:rPr>
                <w:rFonts w:ascii="Times New Roman" w:hAnsi="Times New Roman"/>
                <w:sz w:val="24"/>
              </w:rPr>
              <w:t>K</w:t>
            </w:r>
            <w:r>
              <w:rPr>
                <w:rFonts w:ascii="Times New Roman" w:hAnsi="Times New Roman"/>
                <w:sz w:val="24"/>
                <w:vertAlign w:val="subscript"/>
              </w:rPr>
              <w:t>irb</w:t>
            </w:r>
            <w:proofErr w:type="spellEnd"/>
            <w:r>
              <w:rPr>
                <w:rFonts w:ascii="Times New Roman" w:hAnsi="Times New Roman"/>
                <w:sz w:val="24"/>
              </w:rPr>
              <w:t xml:space="preserve">), ως ποσοστό (με δύο δεκαδικά ψηφία) του συνόλου των τιτλοποιημένων ανοιγμάτων κατά την ημερομηνία δημιουργίας. Η τιμή </w:t>
            </w:r>
            <w:proofErr w:type="spellStart"/>
            <w:r>
              <w:rPr>
                <w:rFonts w:ascii="Times New Roman" w:hAnsi="Times New Roman"/>
                <w:sz w:val="24"/>
              </w:rPr>
              <w:t>K</w:t>
            </w:r>
            <w:r>
              <w:rPr>
                <w:rFonts w:ascii="Times New Roman" w:hAnsi="Times New Roman"/>
                <w:sz w:val="24"/>
                <w:vertAlign w:val="subscript"/>
              </w:rPr>
              <w:t>irb</w:t>
            </w:r>
            <w:proofErr w:type="spellEnd"/>
            <w:r>
              <w:rPr>
                <w:rFonts w:ascii="Times New Roman" w:hAnsi="Times New Roman"/>
                <w:sz w:val="24"/>
              </w:rPr>
              <w:t xml:space="preserve"> ορίζεται στο άρθρο 242 σημείο 4) του ΚΚΑ.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Η στήλη αυτή δεν υποβάλλεται στην περίπτωση τιτλοποίησης υποχρεώσεων. </w:t>
            </w:r>
            <w:r>
              <w:rPr>
                <w:rFonts w:ascii="Times New Roman" w:hAnsi="Times New Roman"/>
                <w:sz w:val="24"/>
              </w:rPr>
              <w:lastRenderedPageBreak/>
              <w:t xml:space="preserve">Στην περίπτωση τιτλοποίησης στοιχείων ενεργητικού, οι πληροφορίες αυτές αναφέρονται ακόμη και όταν η αναφέρουσα οντότητα δεν κατέχει θέσεις στην τιτλοποίηση.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Οι ανάδοχοι δεν υποβάλλουν τη συγκεκριμένη στήλη.</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230-300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ΔΟΜΗ ΤΙΤΛΟΠΟΙΗΣΗΣ</w:t>
            </w:r>
          </w:p>
          <w:p w:rsidR="00612780" w:rsidRPr="00392FFD" w:rsidRDefault="00612780" w:rsidP="00612780">
            <w:pPr>
              <w:autoSpaceDE w:val="0"/>
              <w:autoSpaceDN w:val="0"/>
              <w:adjustRightInd w:val="0"/>
              <w:spacing w:before="0" w:after="0"/>
              <w:jc w:val="left"/>
              <w:rPr>
                <w:rFonts w:ascii="Times New Roman" w:hAnsi="Times New Roman"/>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δέσμη έξι στηλών συγκεντρώνονται πληροφορίες για τη δ</w:t>
            </w:r>
            <w:r>
              <w:rPr>
                <w:rFonts w:ascii="Times New Roman" w:hAnsi="Times New Roman"/>
                <w:sz w:val="24"/>
              </w:rPr>
              <w:t>ο</w:t>
            </w:r>
            <w:r>
              <w:rPr>
                <w:rFonts w:ascii="Times New Roman" w:hAnsi="Times New Roman"/>
                <w:sz w:val="24"/>
              </w:rPr>
              <w:t>μή της τιτλοποίησης σύμφωνα με τις εντός/εκτός ισολογισμού θέσεις, τα τμ</w:t>
            </w:r>
            <w:r>
              <w:rPr>
                <w:rFonts w:ascii="Times New Roman" w:hAnsi="Times New Roman"/>
                <w:sz w:val="24"/>
              </w:rPr>
              <w:t>ή</w:t>
            </w:r>
            <w:r>
              <w:rPr>
                <w:rFonts w:ascii="Times New Roman" w:hAnsi="Times New Roman"/>
                <w:sz w:val="24"/>
              </w:rPr>
              <w:t xml:space="preserve">ματα τιτλοποίησης (εξασφαλισμένα/ενδιάμεσα/πρωτεύουσας ζημίας) και τη ληκτότητα.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Στην περίπτωση τιτλοποιήσεων με πολλούς πωλητές, για το τμήμα πρωτεύο</w:t>
            </w:r>
            <w:r>
              <w:rPr>
                <w:rFonts w:ascii="Times New Roman" w:hAnsi="Times New Roman"/>
                <w:sz w:val="24"/>
              </w:rPr>
              <w:t>υ</w:t>
            </w:r>
            <w:r>
              <w:rPr>
                <w:rFonts w:ascii="Times New Roman" w:hAnsi="Times New Roman"/>
                <w:sz w:val="24"/>
              </w:rPr>
              <w:t>σας ζημίας αναφέρεται μόνο το ποσό που αντιστοιχεί ή αποδίδεται στο αναφ</w:t>
            </w:r>
            <w:r>
              <w:rPr>
                <w:rFonts w:ascii="Times New Roman" w:hAnsi="Times New Roman"/>
                <w:sz w:val="24"/>
              </w:rPr>
              <w:t>έ</w:t>
            </w:r>
            <w:r>
              <w:rPr>
                <w:rFonts w:ascii="Times New Roman" w:hAnsi="Times New Roman"/>
                <w:sz w:val="24"/>
              </w:rPr>
              <w:t>ρον ίδρυμα.</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230-250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ΣΤΟΙΧΕΙΑ ΕΝΤΟΣ ΙΣΟΛΟΓΙΣΜΟΥ</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Στη συγκεκριμένη δέσμη στηλών συγκεντρώνονται πληροφορίες για εντός </w:t>
            </w:r>
            <w:r>
              <w:rPr>
                <w:rFonts w:ascii="Times New Roman" w:hAnsi="Times New Roman"/>
                <w:sz w:val="24"/>
              </w:rPr>
              <w:t>ι</w:t>
            </w:r>
            <w:r>
              <w:rPr>
                <w:rFonts w:ascii="Times New Roman" w:hAnsi="Times New Roman"/>
                <w:sz w:val="24"/>
              </w:rPr>
              <w:t>σολογισμού στοιχεία κατανεμημένα με βάση τα τμήματα της τιτλοποίησης (</w:t>
            </w:r>
            <w:r>
              <w:rPr>
                <w:rFonts w:ascii="Times New Roman" w:hAnsi="Times New Roman"/>
                <w:sz w:val="24"/>
              </w:rPr>
              <w:t>ε</w:t>
            </w:r>
            <w:r>
              <w:rPr>
                <w:rFonts w:ascii="Times New Roman" w:hAnsi="Times New Roman"/>
                <w:sz w:val="24"/>
              </w:rPr>
              <w:t>ξασφαλισμένα/ενδιάμεσα/πρωτεύουσας ζημίας).</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ΕΞΑΣΦΑΛΙΣΜΕΝΑ</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Σε ημερομηνίες αναφοράς για υποβολή αναφορών που είναι μεταγενέστερες της 1ης Ιανουαρίου 2019, για θέσεις τιτλοποίησης των οποίων οι αξίες ανοί</w:t>
            </w:r>
            <w:r>
              <w:rPr>
                <w:rFonts w:ascii="Times New Roman" w:hAnsi="Times New Roman"/>
                <w:sz w:val="24"/>
              </w:rPr>
              <w:t>γ</w:t>
            </w:r>
            <w:r>
              <w:rPr>
                <w:rFonts w:ascii="Times New Roman" w:hAnsi="Times New Roman"/>
                <w:sz w:val="24"/>
              </w:rPr>
              <w:t>ματος υπολογίζονται σύμφωνα με τον ΚΚΑ: Μια θέση τιτλοποίησης όπως ορ</w:t>
            </w:r>
            <w:r>
              <w:rPr>
                <w:rFonts w:ascii="Times New Roman" w:hAnsi="Times New Roman"/>
                <w:sz w:val="24"/>
              </w:rPr>
              <w:t>ί</w:t>
            </w:r>
            <w:r>
              <w:rPr>
                <w:rFonts w:ascii="Times New Roman" w:hAnsi="Times New Roman"/>
                <w:sz w:val="24"/>
              </w:rPr>
              <w:t>ζεται στο άρθρο 242 σημείο 6) του ΚΚΑ.</w:t>
            </w:r>
          </w:p>
          <w:p w:rsidR="00A369B8" w:rsidRDefault="00A369B8" w:rsidP="00612780">
            <w:pPr>
              <w:autoSpaceDE w:val="0"/>
              <w:autoSpaceDN w:val="0"/>
              <w:adjustRightInd w:val="0"/>
              <w:spacing w:before="0" w:after="0"/>
              <w:jc w:val="left"/>
              <w:rPr>
                <w:rFonts w:ascii="Times New Roman" w:hAnsi="Times New Roman"/>
                <w:sz w:val="24"/>
              </w:rPr>
            </w:pPr>
          </w:p>
          <w:p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Για όλες τις άλλες θέσεις τιτλοποίησης: Στη συγκεκριμένη κατηγορία περιλα</w:t>
            </w:r>
            <w:r>
              <w:rPr>
                <w:rFonts w:ascii="Times New Roman" w:hAnsi="Times New Roman"/>
                <w:sz w:val="24"/>
              </w:rPr>
              <w:t>μ</w:t>
            </w:r>
            <w:r>
              <w:rPr>
                <w:rFonts w:ascii="Times New Roman" w:hAnsi="Times New Roman"/>
                <w:sz w:val="24"/>
              </w:rPr>
              <w:t>βάνονται όλα τα τμήματα που δεν θεωρούνται ενδιάμεσα ή πρωτεύουσας ζημ</w:t>
            </w:r>
            <w:r>
              <w:rPr>
                <w:rFonts w:ascii="Times New Roman" w:hAnsi="Times New Roman"/>
                <w:sz w:val="24"/>
              </w:rPr>
              <w:t>ί</w:t>
            </w:r>
            <w:r>
              <w:rPr>
                <w:rFonts w:ascii="Times New Roman" w:hAnsi="Times New Roman"/>
                <w:sz w:val="24"/>
              </w:rPr>
              <w:t>ας, σύμφωνα με τον ΚΚΑ, στην έκδοση σε ισχύ την 31η Δεκεμβρίου 2018.</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ΕΝΔΙΑΜΕΣΑ</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Σε ημερομηνίες αναφοράς για υποβολή αναφορών που είναι μεταγενέστερες της 1ης Ιανουαρίου 2019, για θέσεις τιτλοποίησης των οποίων οι αξίες ανοί</w:t>
            </w:r>
            <w:r>
              <w:rPr>
                <w:rFonts w:ascii="Times New Roman" w:hAnsi="Times New Roman"/>
                <w:sz w:val="24"/>
              </w:rPr>
              <w:t>γ</w:t>
            </w:r>
            <w:r>
              <w:rPr>
                <w:rFonts w:ascii="Times New Roman" w:hAnsi="Times New Roman"/>
                <w:sz w:val="24"/>
              </w:rPr>
              <w:t>ματος υπολογίζονται σύμφωνα με τον ΚΚΑ:</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όλες οι θέσεις όπως ορίζονται στο άρθρο 242 σημείο 18) του ΚΚΑ·</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όλες οι θέσεις που δεν υπόκεινται στις διατάξεις του άρθρου 242 σημείο 6) ή 17) του ΚΚΑ.</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Για όλες τις άλλες θέσεις τιτλοποίησης: βλέπε άρθρο 243 παράγραφος 3 (π</w:t>
            </w:r>
            <w:r>
              <w:rPr>
                <w:rFonts w:ascii="Times New Roman" w:hAnsi="Times New Roman"/>
                <w:sz w:val="24"/>
              </w:rPr>
              <w:t>α</w:t>
            </w:r>
            <w:r>
              <w:rPr>
                <w:rFonts w:ascii="Times New Roman" w:hAnsi="Times New Roman"/>
                <w:sz w:val="24"/>
              </w:rPr>
              <w:t>ραδοσιακές τιτλοποιήσεις) και άρθρο 244 παράγραφος 3 (σύνθετες τιτλοποι</w:t>
            </w:r>
            <w:r>
              <w:rPr>
                <w:rFonts w:ascii="Times New Roman" w:hAnsi="Times New Roman"/>
                <w:sz w:val="24"/>
              </w:rPr>
              <w:t>ή</w:t>
            </w:r>
            <w:r>
              <w:rPr>
                <w:rFonts w:ascii="Times New Roman" w:hAnsi="Times New Roman"/>
                <w:sz w:val="24"/>
              </w:rPr>
              <w:t>σεις) του ΚΚΑ, στην έκδοση σε ισχύ την 31η Δεκεμβρίου 2018.</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ΠΡΩΤΕΥΟΥΣΑΣ ΖΗΜΙΑΣ</w:t>
            </w:r>
          </w:p>
          <w:p w:rsidR="00612780"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Σε ημερομηνίες αναφοράς για υποβολή αναφορών που είναι μεταγενέστερες </w:t>
            </w:r>
            <w:r>
              <w:rPr>
                <w:rFonts w:ascii="Times New Roman" w:hAnsi="Times New Roman"/>
                <w:sz w:val="24"/>
              </w:rPr>
              <w:lastRenderedPageBreak/>
              <w:t>της 1ης Ιανουαρίου 2019, για θέσεις τιτλοποίησης των οποίων οι αξίες ανοί</w:t>
            </w:r>
            <w:r>
              <w:rPr>
                <w:rFonts w:ascii="Times New Roman" w:hAnsi="Times New Roman"/>
                <w:sz w:val="24"/>
              </w:rPr>
              <w:t>γ</w:t>
            </w:r>
            <w:r>
              <w:rPr>
                <w:rFonts w:ascii="Times New Roman" w:hAnsi="Times New Roman"/>
                <w:sz w:val="24"/>
              </w:rPr>
              <w:t>ματος υπολογίζονται σύμφωνα με τον ΚΚΑ:  θέση τιτλοποίησης όπως ορίζεται στο άρθρο 242 σημείο 17) του ΚΚΑ.</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Για όλες τις άλλες θέσεις τιτλοποίησης: το τμήμα πρωτεύουσας ζημίας ορίζεται στο άρθρο 242 σημείο 15) του ΚΚΑ, στην έκδοση σε ισχύ την 31η Δεκεμβρίου 2018.</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260-280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ΣΤΟΙΧΕΙΑ ΚΑΙ ΠΑΡΑΓΩΓΑ ΕΚΤΟΣ ΙΣΟΛΟΓΙΣΜΟΥ</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Στη συγκεκριμένη δέσμη στηλών συγκεντρώνονται πληροφορίες για εκτός </w:t>
            </w:r>
            <w:r>
              <w:rPr>
                <w:rFonts w:ascii="Times New Roman" w:hAnsi="Times New Roman"/>
                <w:sz w:val="24"/>
              </w:rPr>
              <w:t>ι</w:t>
            </w:r>
            <w:r>
              <w:rPr>
                <w:rFonts w:ascii="Times New Roman" w:hAnsi="Times New Roman"/>
                <w:sz w:val="24"/>
              </w:rPr>
              <w:t>σολογισμού στοιχεία και παράγωγα κατανεμημένα με βάση τα τμήματα της τιτλοποίησης (εξασφαλισμένα/ ενδιάμεσα/ πρωτεύουσας ζημίας).</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Εφαρμόζονται τα ίδια κριτήρια ταξινόμησης σε τμήματα που χρησιμοποιούνται και για τα εντός ισολογισμού στοιχεία.</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ΠΡΩΤΗ ΠΡΟΒΛΕΠΟΜΕΝΗ ΗΜΕΡΟΜΗΝΙΑ ΛΗΞΗΣ</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Η πιθανή ημερομηνία λήξης ολόκληρης της τιτλοποίησης βάσει των συμβατ</w:t>
            </w:r>
            <w:r>
              <w:rPr>
                <w:rFonts w:ascii="Times New Roman" w:hAnsi="Times New Roman"/>
                <w:sz w:val="24"/>
              </w:rPr>
              <w:t>ι</w:t>
            </w:r>
            <w:r>
              <w:rPr>
                <w:rFonts w:ascii="Times New Roman" w:hAnsi="Times New Roman"/>
                <w:sz w:val="24"/>
              </w:rPr>
              <w:t xml:space="preserve">κών ρητρών και των επί του παρόντος αναμενόμενων οικονομικών συνθηκών. Γενικά, είναι η προγενέστερη από τις ακόλουθες ημερομηνίες: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xml:space="preserve">ημερομηνία κατά την οποία δύναται να ασκηθεί για πρώτη φορά ένα δικαίωμα τελικής επαναγοράς εκδοθέντων τίτλων (οριζόμενο στο άρθρο 242 σημείο 2) του ΚΚΑ), λαμβάνοντας υπόψη τη ληκτότητα του υποκείμενου </w:t>
            </w:r>
            <w:r>
              <w:rPr>
                <w:rFonts w:ascii="Times New Roman" w:hAnsi="Times New Roman"/>
                <w:sz w:val="24"/>
              </w:rPr>
              <w:t>α</w:t>
            </w:r>
            <w:r>
              <w:rPr>
                <w:rFonts w:ascii="Times New Roman" w:hAnsi="Times New Roman"/>
                <w:sz w:val="24"/>
              </w:rPr>
              <w:t>νοίγματος (των υποκείμενων ανοιγμάτων), καθώς και το αναμενόμενο ποσοστό πρόωρης εξόφλησης ή τις ενδεχόμενες δραστηριότητες επαναδιαπραγμάτε</w:t>
            </w:r>
            <w:r>
              <w:rPr>
                <w:rFonts w:ascii="Times New Roman" w:hAnsi="Times New Roman"/>
                <w:sz w:val="24"/>
              </w:rPr>
              <w:t>υ</w:t>
            </w:r>
            <w:r>
              <w:rPr>
                <w:rFonts w:ascii="Times New Roman" w:hAnsi="Times New Roman"/>
                <w:sz w:val="24"/>
              </w:rPr>
              <w:t xml:space="preserve">σης·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 xml:space="preserve">ημερομηνία κατά την οποία η μεταβιβάζουσα οντότητα δύναται να </w:t>
            </w:r>
            <w:r>
              <w:rPr>
                <w:rFonts w:ascii="Times New Roman" w:hAnsi="Times New Roman"/>
                <w:sz w:val="24"/>
              </w:rPr>
              <w:t>α</w:t>
            </w:r>
            <w:r>
              <w:rPr>
                <w:rFonts w:ascii="Times New Roman" w:hAnsi="Times New Roman"/>
                <w:sz w:val="24"/>
              </w:rPr>
              <w:t>σκήσει για πρώτη φορά οποιοδήποτε άλλο δικαίωμα ανάκλησης ενσωματωμ</w:t>
            </w:r>
            <w:r>
              <w:rPr>
                <w:rFonts w:ascii="Times New Roman" w:hAnsi="Times New Roman"/>
                <w:sz w:val="24"/>
              </w:rPr>
              <w:t>έ</w:t>
            </w:r>
            <w:r>
              <w:rPr>
                <w:rFonts w:ascii="Times New Roman" w:hAnsi="Times New Roman"/>
                <w:sz w:val="24"/>
              </w:rPr>
              <w:t>νο στις συμβατικές ρήτρες της τιτλοποίησης το οποίο θα οδηγήσει στη συνολ</w:t>
            </w:r>
            <w:r>
              <w:rPr>
                <w:rFonts w:ascii="Times New Roman" w:hAnsi="Times New Roman"/>
                <w:sz w:val="24"/>
              </w:rPr>
              <w:t>ι</w:t>
            </w:r>
            <w:r>
              <w:rPr>
                <w:rFonts w:ascii="Times New Roman" w:hAnsi="Times New Roman"/>
                <w:sz w:val="24"/>
              </w:rPr>
              <w:t>κή εξόφληση της τιτλοποίησης.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Αναφέρονται η ημέρα, ο μήνας και το έτος της πρώτης προβλεπόμενης ημερ</w:t>
            </w:r>
            <w:r>
              <w:rPr>
                <w:rFonts w:ascii="Times New Roman" w:hAnsi="Times New Roman"/>
                <w:sz w:val="24"/>
              </w:rPr>
              <w:t>ο</w:t>
            </w:r>
            <w:r>
              <w:rPr>
                <w:rFonts w:ascii="Times New Roman" w:hAnsi="Times New Roman"/>
                <w:sz w:val="24"/>
              </w:rPr>
              <w:t>μηνίας λήξης.</w:t>
            </w:r>
            <w:r>
              <w:rPr>
                <w:rFonts w:ascii="Times New Roman" w:hAnsi="Times New Roman"/>
              </w:rPr>
              <w:t xml:space="preserve"> </w:t>
            </w:r>
            <w:r>
              <w:rPr>
                <w:rFonts w:ascii="Times New Roman" w:hAnsi="Times New Roman"/>
                <w:sz w:val="24"/>
              </w:rPr>
              <w:t>Αναφέρεται η ακριβής ημέρα εάν η πληροφορία αυτή είναι δι</w:t>
            </w:r>
            <w:r>
              <w:rPr>
                <w:rFonts w:ascii="Times New Roman" w:hAnsi="Times New Roman"/>
                <w:sz w:val="24"/>
              </w:rPr>
              <w:t>α</w:t>
            </w:r>
            <w:r>
              <w:rPr>
                <w:rFonts w:ascii="Times New Roman" w:hAnsi="Times New Roman"/>
                <w:sz w:val="24"/>
              </w:rPr>
              <w:t>θέσιμη, ειδάλλως αναφέρεται η πρώτη ημέρα του μήνα.</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300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ΝΟΜΙΜΗ ΤΕΛΙΚΗ ΗΜΕΡΟΜΗΝΙΑ ΛΗΚΤΟΤΗΤΑΣ</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Η ημερομηνία κατά την οποία πρέπει να εξοφληθεί νομίμως το σύνολο του κ</w:t>
            </w:r>
            <w:r>
              <w:rPr>
                <w:rFonts w:ascii="Times New Roman" w:hAnsi="Times New Roman"/>
                <w:sz w:val="24"/>
              </w:rPr>
              <w:t>ε</w:t>
            </w:r>
            <w:r>
              <w:rPr>
                <w:rFonts w:ascii="Times New Roman" w:hAnsi="Times New Roman"/>
                <w:sz w:val="24"/>
              </w:rPr>
              <w:t>φαλαίου και των τόκων της τιτλοποίησης (βάσει της τεκμηρίωσης της συνα</w:t>
            </w:r>
            <w:r>
              <w:rPr>
                <w:rFonts w:ascii="Times New Roman" w:hAnsi="Times New Roman"/>
                <w:sz w:val="24"/>
              </w:rPr>
              <w:t>λ</w:t>
            </w:r>
            <w:r>
              <w:rPr>
                <w:rFonts w:ascii="Times New Roman" w:hAnsi="Times New Roman"/>
                <w:sz w:val="24"/>
              </w:rPr>
              <w:t>λαγής).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Αναφέρονται η ημέρα, ο μήνας και το έτος της νόμιμης τελικής ημερομηνίας ληκτότητας.</w:t>
            </w:r>
            <w:r>
              <w:rPr>
                <w:rFonts w:ascii="Times New Roman" w:hAnsi="Times New Roman"/>
              </w:rPr>
              <w:t xml:space="preserve"> </w:t>
            </w:r>
            <w:r>
              <w:rPr>
                <w:rFonts w:ascii="Times New Roman" w:hAnsi="Times New Roman"/>
                <w:sz w:val="24"/>
              </w:rPr>
              <w:t>Αναφέρεται η ακριβής ημέρα εάν η πληροφορία αυτή είναι διαθ</w:t>
            </w:r>
            <w:r>
              <w:rPr>
                <w:rFonts w:ascii="Times New Roman" w:hAnsi="Times New Roman"/>
                <w:sz w:val="24"/>
              </w:rPr>
              <w:t>έ</w:t>
            </w:r>
            <w:r>
              <w:rPr>
                <w:rFonts w:ascii="Times New Roman" w:hAnsi="Times New Roman"/>
                <w:sz w:val="24"/>
              </w:rPr>
              <w:t>σιμη, ειδάλλως αναφέρεται η πρώτη ημέρα του μήνα.</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310-400</w:t>
            </w:r>
          </w:p>
        </w:tc>
        <w:tc>
          <w:tcPr>
            <w:tcW w:w="7903" w:type="dxa"/>
          </w:tcPr>
          <w:p w:rsidR="00612780" w:rsidRPr="001C5CA8" w:rsidRDefault="00612780" w:rsidP="00612780">
            <w:pPr>
              <w:spacing w:before="0" w:after="0"/>
              <w:jc w:val="left"/>
              <w:rPr>
                <w:rFonts w:ascii="Times New Roman" w:hAnsi="Times New Roman"/>
                <w:b/>
                <w:sz w:val="24"/>
                <w:u w:val="single"/>
              </w:rPr>
            </w:pPr>
            <w:r>
              <w:rPr>
                <w:rFonts w:ascii="Times New Roman" w:hAnsi="Times New Roman"/>
                <w:b/>
                <w:sz w:val="24"/>
                <w:u w:val="single"/>
              </w:rPr>
              <w:t>ΘΕΣΕΙΣ ΤΙΤΛΟΠΟΙΗΣΗΣ: ΑΡΧΙΚΟ ΑΝΟΙΓΜΑ ΠΡΙΝ ΑΠΟ ΤΟΥΣ ΣΥΝΤΕΛΕΣΤΕΣ ΜΕΤΑΤΡΟΠΗΣ</w:t>
            </w:r>
          </w:p>
          <w:p w:rsidR="00612780" w:rsidRPr="001C5CA8"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Στη συγκεκριμένη δέσμη στηλών συγκεντρώνονται πληροφορίες για τις θέσεις τιτλοποίησης σύμφωνα με τις εντός/εκτός ισολογισμού θέσεις και τα τμήματα της τιτλοποίησης (εξασφαλισμένα/ ενδιάμεσα/ πρωτεύουσας ζημίας) κατά την ημερομηνία υποβολής της αναφοράς.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310-330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ΣΤΟΙΧΕΙΑ ΕΝΤΟΣ ΙΣΟΛΟΓΙΣΜΟΥ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Εφαρμόζονται τα ίδια κριτήρια ταξινόμησης σε τμήματα με αυτά που χρησιμ</w:t>
            </w:r>
            <w:r>
              <w:rPr>
                <w:rFonts w:ascii="Times New Roman" w:hAnsi="Times New Roman"/>
                <w:sz w:val="24"/>
              </w:rPr>
              <w:t>ο</w:t>
            </w:r>
            <w:r>
              <w:rPr>
                <w:rFonts w:ascii="Times New Roman" w:hAnsi="Times New Roman"/>
                <w:sz w:val="24"/>
              </w:rPr>
              <w:t>ποιούνται και για τις στήλες 230 έως 250.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ΣΤΟΙΧΕΙΑ ΚΑΙ ΠΑΡΑΓΩΓΑ ΕΚΤΟΣ ΙΣΟΛΟΓΙΣΜΟΥ</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Εφαρμόζονται τα ίδια κριτήρια ταξινόμησης σε τμήματα με αυτά που χρησιμ</w:t>
            </w:r>
            <w:r>
              <w:rPr>
                <w:rFonts w:ascii="Times New Roman" w:hAnsi="Times New Roman"/>
                <w:sz w:val="24"/>
              </w:rPr>
              <w:t>ο</w:t>
            </w:r>
            <w:r>
              <w:rPr>
                <w:rFonts w:ascii="Times New Roman" w:hAnsi="Times New Roman"/>
                <w:sz w:val="24"/>
              </w:rPr>
              <w:t>ποιούνται και για τις στήλες 260 έως 280.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370-400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ΥΠΟΜΝΗΜΑΤΙΚΑ ΣΤΟΙΧΕΙΑ: ΣΤΟΙΧΕΙΑ ΚΑΙ ΠΑΡΑΓΩΓΑ ΕΚΤΟΣ ΙΣΟΛΟΓΙΣΜΟΥ</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δέσμη στηλών συγκεντρώνονται πρόσθετες πληροφορίες για τα συνολικά στοιχεία και παράγωγα εκτός ισολογισμού (τα οποία έχουν αν</w:t>
            </w:r>
            <w:r>
              <w:rPr>
                <w:rFonts w:ascii="Times New Roman" w:hAnsi="Times New Roman"/>
                <w:sz w:val="24"/>
              </w:rPr>
              <w:t>α</w:t>
            </w:r>
            <w:r>
              <w:rPr>
                <w:rFonts w:ascii="Times New Roman" w:hAnsi="Times New Roman"/>
                <w:sz w:val="24"/>
              </w:rPr>
              <w:t>φερθεί ήδη με διαφορετική κατανομή στις στήλες 340-360).</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ΑΜΕΣΑ ΠΙΣΤΩΤΙΚΑ ΥΠΟΚΑΤΑΣΤΑΤΑ (DCS)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Η συγκεκριμένη στήλη εφαρμόζεται στις θέσεις τιτλοποίησης που τηρούνται από τη μεταβιβάζουσα οντότητα και είναι εγγυημένες με άμεσα πιστωτικά </w:t>
            </w:r>
            <w:r>
              <w:rPr>
                <w:rFonts w:ascii="Times New Roman" w:hAnsi="Times New Roman"/>
                <w:sz w:val="24"/>
              </w:rPr>
              <w:t>υ</w:t>
            </w:r>
            <w:r>
              <w:rPr>
                <w:rFonts w:ascii="Times New Roman" w:hAnsi="Times New Roman"/>
                <w:sz w:val="24"/>
              </w:rPr>
              <w:t>ποκατάστατα (DCS).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Σύμφωνα με το παράρτημα I του ΚΚΑ, τα ακόλουθα εκτός ισολογισμού στο</w:t>
            </w:r>
            <w:r>
              <w:rPr>
                <w:rFonts w:ascii="Times New Roman" w:hAnsi="Times New Roman"/>
                <w:sz w:val="24"/>
              </w:rPr>
              <w:t>ι</w:t>
            </w:r>
            <w:r>
              <w:rPr>
                <w:rFonts w:ascii="Times New Roman" w:hAnsi="Times New Roman"/>
                <w:sz w:val="24"/>
              </w:rPr>
              <w:t>χεία πλήρους κινδύνου θεωρούνται DCS: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 Εγγυήσεις που αποτελούν υποκατάστατα πιστώσεων.</w:t>
            </w:r>
          </w:p>
          <w:p w:rsidR="00612780" w:rsidRPr="00392FFD" w:rsidRDefault="00612780" w:rsidP="00612780">
            <w:pPr>
              <w:spacing w:before="0" w:after="0"/>
              <w:rPr>
                <w:rFonts w:ascii="Times New Roman" w:hAnsi="Times New Roman"/>
                <w:i/>
                <w:sz w:val="24"/>
              </w:rPr>
            </w:pPr>
            <w:r>
              <w:rPr>
                <w:rFonts w:ascii="Times New Roman" w:hAnsi="Times New Roman"/>
                <w:i/>
                <w:sz w:val="24"/>
              </w:rPr>
              <w:t>- Ανέκκλητες ενέγγυες πιστώσεις εν αναμονή που αποτελούν υποκατάστατα π</w:t>
            </w:r>
            <w:r>
              <w:rPr>
                <w:rFonts w:ascii="Times New Roman" w:hAnsi="Times New Roman"/>
                <w:i/>
                <w:sz w:val="24"/>
              </w:rPr>
              <w:t>ι</w:t>
            </w:r>
            <w:r>
              <w:rPr>
                <w:rFonts w:ascii="Times New Roman" w:hAnsi="Times New Roman"/>
                <w:i/>
                <w:sz w:val="24"/>
              </w:rPr>
              <w:t>στώσεων.</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IRS / CRS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Ο όρος IRS σημαίνει συμφωνίες ανταλλαγής επιτοκίων, ενώ ο όρος CRS σ</w:t>
            </w:r>
            <w:r>
              <w:rPr>
                <w:rFonts w:ascii="Times New Roman" w:hAnsi="Times New Roman"/>
                <w:sz w:val="24"/>
              </w:rPr>
              <w:t>η</w:t>
            </w:r>
            <w:r>
              <w:rPr>
                <w:rFonts w:ascii="Times New Roman" w:hAnsi="Times New Roman"/>
                <w:sz w:val="24"/>
              </w:rPr>
              <w:t>μαίνει συμφωνίες ανταλλαγής νομισμάτων. Τα παράγωγα αυτά απαριθμούνται στο παράρτημα II του ΚΚΑ.</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ΕΠΙΛΕΞΙΜΕΣ ΤΑΜΕΙΑΚΕΣ ΔΙΕΥΚΟΛΥΝΣΕΙΣ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Οι ταμειακές διευκολύνσεις (LF), που ορίζονται στο άρθρο 242 σημείο 3) του ΚΚΑ, πρέπει να πληρούν μια σειρά από έξι προϋποθέσεις που προβλέπονται στο άρθρο 255 παράγραφος 1 του ΚΚΑ για να θεωρούνται επιλέξιμες (ανεξα</w:t>
            </w:r>
            <w:r>
              <w:rPr>
                <w:rFonts w:ascii="Times New Roman" w:hAnsi="Times New Roman"/>
                <w:sz w:val="24"/>
              </w:rPr>
              <w:t>ρ</w:t>
            </w:r>
            <w:r>
              <w:rPr>
                <w:rFonts w:ascii="Times New Roman" w:hAnsi="Times New Roman"/>
                <w:sz w:val="24"/>
              </w:rPr>
              <w:t>τήτως της μεθόδου που εφαρμόζεται από το ίδρυμα – SA ή IRB).</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ΑΛΛΑ (ΣΥΜΠΕΡΙΛΑΜΒΑΝΟΜΕΝΩΝ ΜΗ ΕΠΙΛΕΞΙΜΩΝ LF)</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Η συγκεκριμένη στήλη είναι αφιερωμένη στα υπόλοιπα εκτός ισολογισμού στοιχεία, όπως τις μη επιλέξιμες ταμειακές διευκολύνσεις (δηλαδή, τις ταμει</w:t>
            </w:r>
            <w:r>
              <w:rPr>
                <w:rFonts w:ascii="Times New Roman" w:hAnsi="Times New Roman"/>
                <w:sz w:val="24"/>
              </w:rPr>
              <w:t>α</w:t>
            </w:r>
            <w:r>
              <w:rPr>
                <w:rFonts w:ascii="Times New Roman" w:hAnsi="Times New Roman"/>
                <w:sz w:val="24"/>
              </w:rPr>
              <w:t>κές διευκολύνσεις που δεν πληρούν τις προϋποθέσεις που απαριθμούνται στο άρθρο 255 παράγραφος 1 του ΚΚΑ).</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ΠΡΟΩΡΗ ΕΞΟΦΛΗΣΗ: ΕΦΑΡΜΟΖΟΜΕΝΟΣ ΣΥΝΤΕΛΕΣΤΗΣ Μ</w:t>
            </w:r>
            <w:r>
              <w:rPr>
                <w:rFonts w:ascii="Times New Roman" w:hAnsi="Times New Roman"/>
                <w:b/>
                <w:sz w:val="24"/>
                <w:u w:val="single"/>
              </w:rPr>
              <w:t>Ε</w:t>
            </w:r>
            <w:r>
              <w:rPr>
                <w:rFonts w:ascii="Times New Roman" w:hAnsi="Times New Roman"/>
                <w:b/>
                <w:sz w:val="24"/>
                <w:u w:val="single"/>
              </w:rPr>
              <w:t>ΤΑΤΡΟΠΗΣ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Το άρθρο 242 σημείο 12), το άρθρο 256 παράγραφος 5 (SA) και το άρθρο 265 παράγραφος 1 (IRB) του ΚΚΑ προβλέπουν ένα σύνολο συντελεστών μετατρ</w:t>
            </w:r>
            <w:r>
              <w:rPr>
                <w:rFonts w:ascii="Times New Roman" w:hAnsi="Times New Roman"/>
                <w:sz w:val="24"/>
              </w:rPr>
              <w:t>ο</w:t>
            </w:r>
            <w:r>
              <w:rPr>
                <w:rFonts w:ascii="Times New Roman" w:hAnsi="Times New Roman"/>
                <w:sz w:val="24"/>
              </w:rPr>
              <w:t>πής που θα εφαρμόζονται στο ποσό του συμφέροντος του επενδυτή (για τον υπολογισμό των σταθμισμένων ως προς τον κίνδυνο ποσών ανοιγμάτων).</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Η συγκεκριμένη στήλη εφαρμόζεται σε προγράμματα τιτλοποίησης με ρήτρες πρόωρης εξόφλησης (δηλαδή, ανακυκλούμενες τιτλοποιήσεις).</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Σύμφωνα με το άρθρο 256 παράγραφος 6 του ΚΚΑ, ο εφαρμοστέος συντελ</w:t>
            </w:r>
            <w:r>
              <w:rPr>
                <w:rFonts w:ascii="Times New Roman" w:hAnsi="Times New Roman"/>
                <w:sz w:val="24"/>
              </w:rPr>
              <w:t>ε</w:t>
            </w:r>
            <w:r>
              <w:rPr>
                <w:rFonts w:ascii="Times New Roman" w:hAnsi="Times New Roman"/>
                <w:sz w:val="24"/>
              </w:rPr>
              <w:t>στής μετατροπής προσδιορίζεται από το επίπεδο του πραγματικού μέσου τρ</w:t>
            </w:r>
            <w:r>
              <w:rPr>
                <w:rFonts w:ascii="Times New Roman" w:hAnsi="Times New Roman"/>
                <w:sz w:val="24"/>
              </w:rPr>
              <w:t>ι</w:t>
            </w:r>
            <w:r>
              <w:rPr>
                <w:rFonts w:ascii="Times New Roman" w:hAnsi="Times New Roman"/>
                <w:sz w:val="24"/>
              </w:rPr>
              <w:t>μηνιαίου υπερβάλλοντος περιθωρίου.</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Στην περίπτωση τιτλοποιήσεων υποχρεώσεων, η συγκεκριμένη στήλη δεν υπ</w:t>
            </w:r>
            <w:r>
              <w:rPr>
                <w:rFonts w:ascii="Times New Roman" w:hAnsi="Times New Roman"/>
                <w:sz w:val="24"/>
              </w:rPr>
              <w:t>ο</w:t>
            </w:r>
            <w:r>
              <w:rPr>
                <w:rFonts w:ascii="Times New Roman" w:hAnsi="Times New Roman"/>
                <w:sz w:val="24"/>
              </w:rPr>
              <w:t>βάλλεται. Οι συγκεκριμένες πληροφορίες σχετίζονται με τη γραμμή 100 του υποδείγματος CR SEC SA και τη γραμμή 160 του υποδείγματος CR SEC IRB.</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ΑΞΙΑ ΑΝΟΙΓΜΑΤΟΣ ΑΦΑΙΡΟΥΜΕΝΗ ΑΠΟ ΤΑ ΙΔΙΑ ΚΕΦΑΛΑΙΑ</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Οι συγκεκριμένες πληροφορίες σχετίζονται ιδιαίτερα με τη στήλη 200 του </w:t>
            </w:r>
            <w:r>
              <w:rPr>
                <w:rFonts w:ascii="Times New Roman" w:hAnsi="Times New Roman"/>
                <w:sz w:val="24"/>
              </w:rPr>
              <w:t>υ</w:t>
            </w:r>
            <w:r>
              <w:rPr>
                <w:rFonts w:ascii="Times New Roman" w:hAnsi="Times New Roman"/>
                <w:sz w:val="24"/>
              </w:rPr>
              <w:t>ποδείγματος CR SEC SA και τη στήλη 180 του υποδείγματος CR SEC IRB.</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Στη συγκεκριμένη στήλη αναφέρεται αρνητική τιμή.</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304CB1"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ΣΥΝΟΛΙΚΟ ΠΟΣΟ ΑΝΟΙΓΜΑΤΟΣ ΣΤΑΘΜΙΣΜΕΝΟ ΩΣ ΠΡΟΣ ΤΟΝ ΚΙΝΔΥΝΟ ΠΡΙΝ ΑΠΟ ΤΟ ΑΝΩΤΑΤΟ ΟΡΙΟ</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Στη συγκεκριμένη στήλη συγκεντρώνονται πληροφορίες για το σταθμισμένο ως προς τον κίνδυνο ποσό ανοίγματος, πριν από την εφαρμογή του ανώτατου ορίου που εφαρμόζεται στις θέσεις τιτλοποίησης (δηλαδή, στην περίπτωση προγραμμάτων τιτλοποίησης με σημαντική μεταφορά κινδύνου). Στην περ</w:t>
            </w:r>
            <w:r>
              <w:rPr>
                <w:rFonts w:ascii="Times New Roman" w:hAnsi="Times New Roman"/>
                <w:sz w:val="24"/>
              </w:rPr>
              <w:t>ί</w:t>
            </w:r>
            <w:r>
              <w:rPr>
                <w:rFonts w:ascii="Times New Roman" w:hAnsi="Times New Roman"/>
                <w:sz w:val="24"/>
              </w:rPr>
              <w:t>πτωση προγραμμάτων τιτλοποίησης χωρίς σημαντική μεταφορά κινδύνου (δ</w:t>
            </w:r>
            <w:r>
              <w:rPr>
                <w:rFonts w:ascii="Times New Roman" w:hAnsi="Times New Roman"/>
                <w:sz w:val="24"/>
              </w:rPr>
              <w:t>η</w:t>
            </w:r>
            <w:r>
              <w:rPr>
                <w:rFonts w:ascii="Times New Roman" w:hAnsi="Times New Roman"/>
                <w:sz w:val="24"/>
              </w:rPr>
              <w:t>λαδή, σταθμισμένο ως προς τον κίνδυνο ποσό ανοίγματος υπολογιζόμενο σύ</w:t>
            </w:r>
            <w:r>
              <w:rPr>
                <w:rFonts w:ascii="Times New Roman" w:hAnsi="Times New Roman"/>
                <w:sz w:val="24"/>
              </w:rPr>
              <w:t>μ</w:t>
            </w:r>
            <w:r>
              <w:rPr>
                <w:rFonts w:ascii="Times New Roman" w:hAnsi="Times New Roman"/>
                <w:sz w:val="24"/>
              </w:rPr>
              <w:t>φωνα με τα τιτλοποιημένα ανοίγματα), δεν αναφέρονται δεδομένα στη συγκ</w:t>
            </w:r>
            <w:r>
              <w:rPr>
                <w:rFonts w:ascii="Times New Roman" w:hAnsi="Times New Roman"/>
                <w:sz w:val="24"/>
              </w:rPr>
              <w:t>ε</w:t>
            </w:r>
            <w:r>
              <w:rPr>
                <w:rFonts w:ascii="Times New Roman" w:hAnsi="Times New Roman"/>
                <w:sz w:val="24"/>
              </w:rPr>
              <w:t>κριμένη στήλη.</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b/>
                <w:sz w:val="24"/>
                <w:u w:val="single"/>
              </w:rPr>
            </w:pPr>
            <w:r>
              <w:rPr>
                <w:rFonts w:ascii="Times New Roman" w:hAnsi="Times New Roman"/>
                <w:sz w:val="24"/>
              </w:rPr>
              <w:t>Στην περίπτωση τιτλοποιήσεων υποχρεώσεων, η συγκεκριμένη στήλη δεν υπ</w:t>
            </w:r>
            <w:r>
              <w:rPr>
                <w:rFonts w:ascii="Times New Roman" w:hAnsi="Times New Roman"/>
                <w:sz w:val="24"/>
              </w:rPr>
              <w:t>ο</w:t>
            </w:r>
            <w:r>
              <w:rPr>
                <w:rFonts w:ascii="Times New Roman" w:hAnsi="Times New Roman"/>
                <w:sz w:val="24"/>
              </w:rPr>
              <w:t xml:space="preserve">βάλλεται.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ΣΥΝΟΛΙΚΟ ΠΟΣΟ ΑΝΟΙΓΜΑΤΟΣ ΣΤΑΘΜΙΣΜΕΝΟ ΩΣ ΠΡΟΣ ΤΟΝ ΚΙΝΔΥΝΟ ΜΕΤΑ ΤΟ ΑΝΩΤΑΤΟ ΟΡΙΟ</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Στη συγκεκριμένη στήλη συγκεντρώνονται πληροφορίες για το σταθμισμένο </w:t>
            </w:r>
            <w:r>
              <w:rPr>
                <w:rFonts w:ascii="Times New Roman" w:hAnsi="Times New Roman"/>
                <w:sz w:val="24"/>
              </w:rPr>
              <w:lastRenderedPageBreak/>
              <w:t>ως προς τον κίνδυνο ποσό ανοίγματος μετά την εφαρμογή του ανώτατου ορίου που εφαρμόζεται στις θέσεις τιτλοποίησης (δηλαδή, στην περίπτωση προγρα</w:t>
            </w:r>
            <w:r>
              <w:rPr>
                <w:rFonts w:ascii="Times New Roman" w:hAnsi="Times New Roman"/>
                <w:sz w:val="24"/>
              </w:rPr>
              <w:t>μ</w:t>
            </w:r>
            <w:r>
              <w:rPr>
                <w:rFonts w:ascii="Times New Roman" w:hAnsi="Times New Roman"/>
                <w:sz w:val="24"/>
              </w:rPr>
              <w:t>μάτων τιτλοποίησης με σημαντική μεταφορά κινδύνου). Στην περίπτωση πρ</w:t>
            </w:r>
            <w:r>
              <w:rPr>
                <w:rFonts w:ascii="Times New Roman" w:hAnsi="Times New Roman"/>
                <w:sz w:val="24"/>
              </w:rPr>
              <w:t>ο</w:t>
            </w:r>
            <w:r>
              <w:rPr>
                <w:rFonts w:ascii="Times New Roman" w:hAnsi="Times New Roman"/>
                <w:sz w:val="24"/>
              </w:rPr>
              <w:t>γραμμάτων τιτλοποίησης χωρίς σημαντική μεταφορά κινδύνου (δηλαδή, απα</w:t>
            </w:r>
            <w:r>
              <w:rPr>
                <w:rFonts w:ascii="Times New Roman" w:hAnsi="Times New Roman"/>
                <w:sz w:val="24"/>
              </w:rPr>
              <w:t>ι</w:t>
            </w:r>
            <w:r>
              <w:rPr>
                <w:rFonts w:ascii="Times New Roman" w:hAnsi="Times New Roman"/>
                <w:sz w:val="24"/>
              </w:rPr>
              <w:t>τήσεις ιδίων κεφαλαίων υπολογιζόμενες σύμφωνα με τα τιτλοποιημένα ανοί</w:t>
            </w:r>
            <w:r>
              <w:rPr>
                <w:rFonts w:ascii="Times New Roman" w:hAnsi="Times New Roman"/>
                <w:sz w:val="24"/>
              </w:rPr>
              <w:t>γ</w:t>
            </w:r>
            <w:r>
              <w:rPr>
                <w:rFonts w:ascii="Times New Roman" w:hAnsi="Times New Roman"/>
                <w:sz w:val="24"/>
              </w:rPr>
              <w:t>ματα), δεν αναφέρονται δεδομένα στη συγκεκριμένη στήλη.</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Στην περίπτωση τιτλοποιήσεων υποχρεώσεων, η συγκεκριμένη στήλη δεν υπ</w:t>
            </w:r>
            <w:r>
              <w:rPr>
                <w:rFonts w:ascii="Times New Roman" w:hAnsi="Times New Roman"/>
                <w:sz w:val="24"/>
              </w:rPr>
              <w:t>ο</w:t>
            </w:r>
            <w:r>
              <w:rPr>
                <w:rFonts w:ascii="Times New Roman" w:hAnsi="Times New Roman"/>
                <w:sz w:val="24"/>
              </w:rPr>
              <w:t xml:space="preserve">βάλλεται. </w:t>
            </w:r>
          </w:p>
          <w:p w:rsidR="00612780" w:rsidRPr="00392FFD" w:rsidRDefault="00612780" w:rsidP="00612780">
            <w:pPr>
              <w:spacing w:before="0" w:after="0"/>
              <w:jc w:val="left"/>
              <w:rPr>
                <w:rFonts w:ascii="Times New Roman" w:hAnsi="Times New Roman"/>
                <w:sz w:val="24"/>
              </w:rPr>
            </w:pPr>
          </w:p>
        </w:tc>
      </w:tr>
      <w:tr w:rsidR="008726CA" w:rsidRPr="00392FFD" w:rsidTr="00672D2A">
        <w:tc>
          <w:tcPr>
            <w:tcW w:w="1101" w:type="dxa"/>
          </w:tcPr>
          <w:p w:rsidR="008726CA" w:rsidRPr="00392FFD" w:rsidRDefault="008726CA"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445</w:t>
            </w:r>
          </w:p>
        </w:tc>
        <w:tc>
          <w:tcPr>
            <w:tcW w:w="7903" w:type="dxa"/>
          </w:tcPr>
          <w:p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ΠΡΟΣΕΓΓΙΣΗ </w:t>
            </w:r>
          </w:p>
          <w:p w:rsidR="008726CA" w:rsidRDefault="008726CA" w:rsidP="00612780">
            <w:pPr>
              <w:spacing w:before="0" w:after="0"/>
              <w:jc w:val="left"/>
              <w:rPr>
                <w:rFonts w:ascii="Times New Roman" w:hAnsi="Times New Roman"/>
                <w:sz w:val="24"/>
              </w:rPr>
            </w:pPr>
          </w:p>
          <w:p w:rsidR="00CE4C49" w:rsidRDefault="00CE4C49" w:rsidP="00612780">
            <w:pPr>
              <w:spacing w:before="0" w:after="0"/>
              <w:jc w:val="left"/>
              <w:rPr>
                <w:rFonts w:ascii="Times New Roman" w:hAnsi="Times New Roman"/>
                <w:sz w:val="24"/>
              </w:rPr>
            </w:pPr>
            <w:r>
              <w:rPr>
                <w:rFonts w:ascii="Times New Roman" w:hAnsi="Times New Roman"/>
                <w:sz w:val="24"/>
              </w:rPr>
              <w:t>Στη συγκεκριμένη στήλη, αναφέρεται η προσέγγιση για τον προσδιορισμό του συνολικού ποσού ανοίγματος σε κίνδυνο, όπως αναφέρεται στη στήλη 440.</w:t>
            </w:r>
          </w:p>
          <w:p w:rsidR="00CE4C49" w:rsidRDefault="00CE4C49" w:rsidP="00612780">
            <w:pPr>
              <w:spacing w:before="0" w:after="0"/>
              <w:jc w:val="left"/>
              <w:rPr>
                <w:rFonts w:ascii="Times New Roman" w:hAnsi="Times New Roman"/>
                <w:sz w:val="24"/>
              </w:rPr>
            </w:pPr>
          </w:p>
          <w:p w:rsidR="008726CA" w:rsidRDefault="00CE4C49" w:rsidP="00612780">
            <w:pPr>
              <w:spacing w:before="0" w:after="0"/>
              <w:jc w:val="left"/>
              <w:rPr>
                <w:rFonts w:ascii="Times New Roman" w:hAnsi="Times New Roman"/>
                <w:sz w:val="24"/>
              </w:rPr>
            </w:pPr>
            <w:r>
              <w:rPr>
                <w:rFonts w:ascii="Times New Roman" w:hAnsi="Times New Roman"/>
                <w:sz w:val="24"/>
              </w:rPr>
              <w:t>Η προσέγγιση είναι μία από τις εξής:</w:t>
            </w:r>
          </w:p>
          <w:p w:rsidR="008726CA" w:rsidRPr="006B4AC8" w:rsidRDefault="008726CA" w:rsidP="00612780">
            <w:pPr>
              <w:spacing w:before="0" w:after="0"/>
              <w:jc w:val="left"/>
              <w:rPr>
                <w:rFonts w:ascii="Times New Roman" w:hAnsi="Times New Roman"/>
                <w:sz w:val="24"/>
              </w:rPr>
            </w:pPr>
          </w:p>
          <w:p w:rsidR="008726CA" w:rsidRPr="006B4AC8" w:rsidRDefault="008726CA" w:rsidP="00612780">
            <w:pPr>
              <w:spacing w:before="0" w:after="0"/>
              <w:jc w:val="left"/>
              <w:rPr>
                <w:rFonts w:ascii="Times New Roman" w:hAnsi="Times New Roman"/>
                <w:i/>
                <w:sz w:val="24"/>
              </w:rPr>
            </w:pPr>
            <w:r>
              <w:rPr>
                <w:rFonts w:ascii="Times New Roman" w:hAnsi="Times New Roman"/>
                <w:i/>
                <w:sz w:val="24"/>
              </w:rPr>
              <w:t>Για τις θέσεις τιτλοποίησης, τα σταθμισμένα ως προς τον κίνδυνο ποσά ανοίγμ</w:t>
            </w:r>
            <w:r>
              <w:rPr>
                <w:rFonts w:ascii="Times New Roman" w:hAnsi="Times New Roman"/>
                <w:i/>
                <w:sz w:val="24"/>
              </w:rPr>
              <w:t>α</w:t>
            </w:r>
            <w:r>
              <w:rPr>
                <w:rFonts w:ascii="Times New Roman" w:hAnsi="Times New Roman"/>
                <w:i/>
                <w:sz w:val="24"/>
              </w:rPr>
              <w:t>τος, που υπολογίζονται σύμφωνα με τον ΚΚΑ, στην έκδοση σε ισχύ την 31η Δ</w:t>
            </w:r>
            <w:r>
              <w:rPr>
                <w:rFonts w:ascii="Times New Roman" w:hAnsi="Times New Roman"/>
                <w:i/>
                <w:sz w:val="24"/>
              </w:rPr>
              <w:t>ε</w:t>
            </w:r>
            <w:r>
              <w:rPr>
                <w:rFonts w:ascii="Times New Roman" w:hAnsi="Times New Roman"/>
                <w:i/>
                <w:sz w:val="24"/>
              </w:rPr>
              <w:t>κεμβρίου 2018.</w:t>
            </w:r>
          </w:p>
          <w:p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Άλλη (αρχικό πλαίσιο τιτλοποίησης)</w:t>
            </w:r>
          </w:p>
          <w:p w:rsidR="008726CA" w:rsidRPr="006B4AC8" w:rsidRDefault="008726CA" w:rsidP="008726CA">
            <w:pPr>
              <w:spacing w:before="0" w:after="0"/>
              <w:jc w:val="left"/>
              <w:rPr>
                <w:rFonts w:ascii="Times New Roman" w:hAnsi="Times New Roman"/>
                <w:b/>
                <w:sz w:val="24"/>
                <w:u w:val="single"/>
              </w:rPr>
            </w:pPr>
          </w:p>
          <w:p w:rsidR="008726CA" w:rsidRPr="006B4AC8" w:rsidRDefault="002F1163" w:rsidP="008726CA">
            <w:pPr>
              <w:autoSpaceDE w:val="0"/>
              <w:autoSpaceDN w:val="0"/>
              <w:adjustRightInd w:val="0"/>
              <w:spacing w:before="0" w:after="0"/>
              <w:jc w:val="left"/>
              <w:rPr>
                <w:rFonts w:ascii="Times New Roman" w:hAnsi="Times New Roman"/>
                <w:i/>
                <w:sz w:val="24"/>
              </w:rPr>
            </w:pPr>
            <w:r>
              <w:rPr>
                <w:rFonts w:ascii="Times New Roman" w:hAnsi="Times New Roman"/>
                <w:i/>
                <w:sz w:val="24"/>
              </w:rPr>
              <w:t>Σε ημερομηνίες αναφοράς για υποβολή αναφορών που είναι μεταγενέστερες της 1ης Ιανουαρίου 2019, για θέσεις τιτλοποίησης των οποίων τα σταθμισμένα ως προς τον κίνδυνο ποσά ανοίγματος υπολογίζονται σύμφωνα με τον ΚΚΑ:</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IAA</w:t>
            </w:r>
          </w:p>
          <w:p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1 250 % για θέσεις που δεν υπόκεινται σε καμία μέθοδο (άρθρο 254 παρ</w:t>
            </w:r>
            <w:r>
              <w:rPr>
                <w:rFonts w:ascii="Times New Roman" w:hAnsi="Times New Roman"/>
                <w:sz w:val="24"/>
              </w:rPr>
              <w:t>ά</w:t>
            </w:r>
            <w:r>
              <w:rPr>
                <w:rFonts w:ascii="Times New Roman" w:hAnsi="Times New Roman"/>
                <w:sz w:val="24"/>
              </w:rPr>
              <w:t>γραφος 7 του ΚΚΑ)</w:t>
            </w:r>
          </w:p>
          <w:p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Πολλαπλές προσεγγίσεις</w:t>
            </w:r>
          </w:p>
          <w:p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 xml:space="preserve">Σύμφωνα με τον προσδιορισμό των συντελεστών στάθμισης κινδύνου, κατά το άρθρο 337 του ΚΚΑ, για μέσα στο χαρτοφυλάκιο συναλλαγών τα οποία είναι θέσεις τιτλοποίησης, η προσέγγιση προσδιορίζεται όπως η προσέγγιση την </w:t>
            </w:r>
            <w:r>
              <w:rPr>
                <w:rFonts w:ascii="Times New Roman" w:hAnsi="Times New Roman"/>
                <w:sz w:val="24"/>
              </w:rPr>
              <w:t>ο</w:t>
            </w:r>
            <w:r>
              <w:rPr>
                <w:rFonts w:ascii="Times New Roman" w:hAnsi="Times New Roman"/>
                <w:sz w:val="24"/>
              </w:rPr>
              <w:t>ποία θα εφάρμοζε το ίδρυμα στη θέση στο τραπεζικό χαρτοφυλάκιό του.</w:t>
            </w:r>
          </w:p>
          <w:p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Οι «πολλαπλές προσεγγίσεις» χρησιμοποιούνται εάν το ίδρυμα συμμετέχει ή έχει άνοιγμα σε πράξη τιτλοποίησης με πολλαπλούς τρόπους και εφαρμόζει διάφορες προσεγγίσεις για τον υπολογισμό των απαιτήσεων ιδίων κεφαλαίων στους διάφορους ρόλους του ή για τα διάφορα ανοίγματά του.</w:t>
            </w:r>
          </w:p>
          <w:p w:rsidR="008726CA" w:rsidRPr="00392FFD" w:rsidRDefault="008726CA" w:rsidP="00612780">
            <w:pPr>
              <w:spacing w:before="0" w:after="0"/>
              <w:jc w:val="left"/>
              <w:rPr>
                <w:rFonts w:ascii="Times New Roman" w:hAnsi="Times New Roman"/>
                <w:b/>
                <w:sz w:val="24"/>
                <w:u w:val="single"/>
              </w:rPr>
            </w:pPr>
          </w:p>
        </w:tc>
      </w:tr>
      <w:tr w:rsidR="006B4AC8" w:rsidRPr="00392FFD" w:rsidTr="00672D2A">
        <w:tc>
          <w:tcPr>
            <w:tcW w:w="1101" w:type="dxa"/>
          </w:tcPr>
          <w:p w:rsidR="006B4AC8" w:rsidRDefault="006B4AC8" w:rsidP="00612780">
            <w:pPr>
              <w:autoSpaceDE w:val="0"/>
              <w:autoSpaceDN w:val="0"/>
              <w:adjustRightInd w:val="0"/>
              <w:spacing w:before="0" w:after="0"/>
              <w:rPr>
                <w:rFonts w:ascii="Times New Roman" w:hAnsi="Times New Roman"/>
                <w:sz w:val="24"/>
              </w:rPr>
            </w:pPr>
            <w:r>
              <w:rPr>
                <w:rFonts w:ascii="Times New Roman" w:hAnsi="Times New Roman"/>
                <w:sz w:val="24"/>
              </w:rPr>
              <w:t>446</w:t>
            </w:r>
          </w:p>
        </w:tc>
        <w:tc>
          <w:tcPr>
            <w:tcW w:w="7903" w:type="dxa"/>
          </w:tcPr>
          <w:p w:rsidR="006B4AC8" w:rsidRDefault="006B4AC8" w:rsidP="009A1A9B">
            <w:pPr>
              <w:spacing w:before="0" w:after="0"/>
              <w:jc w:val="left"/>
              <w:rPr>
                <w:rFonts w:ascii="Times New Roman" w:hAnsi="Times New Roman"/>
                <w:b/>
                <w:sz w:val="24"/>
                <w:u w:val="single"/>
              </w:rPr>
            </w:pPr>
            <w:r>
              <w:rPr>
                <w:rFonts w:ascii="Times New Roman" w:hAnsi="Times New Roman"/>
                <w:b/>
                <w:sz w:val="24"/>
                <w:u w:val="single"/>
              </w:rPr>
              <w:t>ΤΙΤΛΟΠΟΙΗΣΕΙΣ STS ΠΟΥ ΠΛΗΡΟΥΝ ΤΙΣ ΠΡΟΫΠΟΘΕΣΕΙΣ ΓΙΑ ΔΙΑΦΟΡΟΠΟΙΗΜΕΝΗ ΚΕΦΑΛΑΙΑΚΗ ΑΝΤΙΜΕΤΩΠΙΣΗ</w:t>
            </w:r>
          </w:p>
          <w:p w:rsidR="006B4AC8" w:rsidRDefault="006B4AC8" w:rsidP="009A1A9B">
            <w:pPr>
              <w:spacing w:before="0" w:after="0"/>
              <w:jc w:val="left"/>
              <w:rPr>
                <w:rFonts w:ascii="Times New Roman" w:hAnsi="Times New Roman"/>
                <w:sz w:val="24"/>
              </w:rPr>
            </w:pPr>
          </w:p>
          <w:p w:rsidR="006B4AC8" w:rsidRDefault="004D2753" w:rsidP="009A1A9B">
            <w:pPr>
              <w:spacing w:before="0" w:after="0"/>
              <w:jc w:val="left"/>
              <w:rPr>
                <w:rFonts w:ascii="Times New Roman" w:hAnsi="Times New Roman"/>
                <w:sz w:val="24"/>
              </w:rPr>
            </w:pPr>
            <w:r>
              <w:rPr>
                <w:rFonts w:ascii="Times New Roman" w:hAnsi="Times New Roman"/>
                <w:sz w:val="24"/>
              </w:rPr>
              <w:t>Σε ημερομηνίες αναφοράς για υποβολή αναφορών που είναι μεταγενέστερες της 1ης Ιανουαρίου 2019, τα άρθρα 243 και 270 του ΚΚΑ</w:t>
            </w:r>
          </w:p>
          <w:p w:rsidR="006B4AC8" w:rsidRDefault="006B4AC8" w:rsidP="009A1A9B">
            <w:pPr>
              <w:spacing w:before="0" w:after="0"/>
              <w:jc w:val="left"/>
              <w:rPr>
                <w:rFonts w:ascii="Times New Roman" w:hAnsi="Times New Roman"/>
                <w:sz w:val="24"/>
              </w:rPr>
            </w:pPr>
          </w:p>
          <w:p w:rsidR="006B4AC8" w:rsidRPr="00140F6E" w:rsidRDefault="006B4AC8" w:rsidP="009A1A9B">
            <w:pPr>
              <w:spacing w:before="0" w:after="0"/>
              <w:jc w:val="left"/>
              <w:rPr>
                <w:rFonts w:ascii="Times New Roman" w:hAnsi="Times New Roman"/>
                <w:sz w:val="24"/>
              </w:rPr>
            </w:pPr>
            <w:r>
              <w:rPr>
                <w:rFonts w:ascii="Times New Roman" w:hAnsi="Times New Roman"/>
                <w:sz w:val="24"/>
              </w:rPr>
              <w:t>Αναφέρεται μία από τις ακόλουθες συντμήσεις:</w:t>
            </w:r>
          </w:p>
          <w:p w:rsidR="00261B63" w:rsidRPr="00140F6E" w:rsidRDefault="006B4AC8" w:rsidP="009A1A9B">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Ναι</w:t>
            </w:r>
          </w:p>
          <w:p w:rsidR="006B4AC8" w:rsidRDefault="006B4AC8" w:rsidP="009A1A9B">
            <w:pPr>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Όχι</w:t>
            </w:r>
          </w:p>
          <w:p w:rsidR="00640475" w:rsidRDefault="00640475" w:rsidP="009A1A9B">
            <w:pPr>
              <w:spacing w:before="0" w:after="0"/>
              <w:jc w:val="left"/>
              <w:rPr>
                <w:rFonts w:ascii="Times New Roman" w:hAnsi="Times New Roman"/>
                <w:b/>
                <w:sz w:val="24"/>
                <w:u w:val="single"/>
              </w:rPr>
            </w:pPr>
          </w:p>
          <w:p w:rsidR="00261B63" w:rsidRDefault="00261B63" w:rsidP="002B5F2D">
            <w:pPr>
              <w:spacing w:before="0" w:after="0"/>
              <w:jc w:val="left"/>
              <w:rPr>
                <w:rFonts w:ascii="Times New Roman" w:hAnsi="Times New Roman"/>
                <w:b/>
                <w:sz w:val="24"/>
                <w:u w:val="single"/>
              </w:rPr>
            </w:pPr>
            <w:r>
              <w:rPr>
                <w:rFonts w:ascii="Times New Roman" w:hAnsi="Times New Roman"/>
                <w:sz w:val="24"/>
              </w:rPr>
              <w:t>Αναφέρεται «Ναι» τόσο στην περίπτωση των τιτλοποιήσεων STS που πληρούν τις προϋποθέσεις για τη διαφοροποιημένη κεφαλαιακή αντιμετώπιση, σύμφωνα με το άρθρο 243 του ΚΚΑ, όσο και στην περίπτωση των θέσεων με ανώτερη εξοφλητική προτεραιότητα σε τιτλοποιήσεις ΜΜΕ (μη STS) που είναι επιλέξ</w:t>
            </w:r>
            <w:r>
              <w:rPr>
                <w:rFonts w:ascii="Times New Roman" w:hAnsi="Times New Roman"/>
                <w:sz w:val="24"/>
              </w:rPr>
              <w:t>ι</w:t>
            </w:r>
            <w:r>
              <w:rPr>
                <w:rFonts w:ascii="Times New Roman" w:hAnsi="Times New Roman"/>
                <w:sz w:val="24"/>
              </w:rPr>
              <w:t>μες για την εν λόγω αντιμετώπιση, σύμφωνα με το άρθρο 270 του ΚΚΑ.</w:t>
            </w: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450-510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ΘΕΣΕΙΣ ΤΙΤΛΟΠΟΙΗΣΗΣ – ΧΑΡΤΟΦΥΛΑΚΙΟ ΣΥΝΑΛΛΑΓΩΝ</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ΕΝΤΟΣ ΧΑΡΤΟΦΥΛΑΚΙΟΥ ΔΙΑΠΡΑΓΜΑΤΕΥΣΗΣ ΣΥΣΧΕΤΙΣΕΩΝ (CTP) Ή ΟΧΙ;</w:t>
            </w:r>
          </w:p>
          <w:p w:rsidR="00612780" w:rsidRPr="00392FFD" w:rsidRDefault="00612780" w:rsidP="00612780">
            <w:pPr>
              <w:spacing w:before="0" w:after="0"/>
              <w:jc w:val="left"/>
              <w:rPr>
                <w:rStyle w:val="InstructionsTabelleText"/>
                <w:rFonts w:ascii="Times New Roman" w:hAnsi="Times New Roman"/>
                <w:sz w:val="24"/>
              </w:rPr>
            </w:pP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Αναφέρονται οι ακόλουθες συντμήσεις:</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C - Εντός χαρτοφυλακίου διαπραγμάτευσης συσχετίσεων (CTP)</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Ν - Εκτός χαρτοφυλακίου διαπραγμάτευσης συσχετίσεων (</w:t>
            </w:r>
            <w:proofErr w:type="spellStart"/>
            <w:r>
              <w:rPr>
                <w:rStyle w:val="InstructionsTabelleText"/>
                <w:rFonts w:ascii="Times New Roman" w:hAnsi="Times New Roman"/>
                <w:sz w:val="24"/>
              </w:rPr>
              <w:t>Non</w:t>
            </w:r>
            <w:proofErr w:type="spellEnd"/>
            <w:r>
              <w:rPr>
                <w:rStyle w:val="InstructionsTabelleText"/>
                <w:rFonts w:ascii="Times New Roman" w:hAnsi="Times New Roman"/>
                <w:sz w:val="24"/>
              </w:rPr>
              <w:t>-CTP)</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ΚΑΘΑΡΕΣ ΘΕΣΕΙΣ – ΘΕΤΙΚΕΣ/ΑΡΝΗΤΙΚΕΣ</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Βλέπε στήλες 050 / 060 του υποδείγματος MKR SA SEC ή του υποδείγματος MKR SA CTP, αντιστοίχως. </w:t>
            </w: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ΣΥΝΟΛΙΚΕΣ ΑΠΑΙΤΗΣΕΙΣ ΙΔΙΩΝ ΚΕΦΑΛΑΙΩΝ (SA) – ΕΙΔΙΚΟΣ ΚΙΝΔΥΝΟΣ</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Βλέπε στήλη 610 του υποδείγματος MKR SA SEC ή στήλη 450 του υποδεί</w:t>
            </w:r>
            <w:r>
              <w:rPr>
                <w:rStyle w:val="InstructionsTabelleText"/>
                <w:rFonts w:ascii="Times New Roman" w:hAnsi="Times New Roman"/>
                <w:sz w:val="24"/>
              </w:rPr>
              <w:t>γ</w:t>
            </w:r>
            <w:r>
              <w:rPr>
                <w:rStyle w:val="InstructionsTabelleText"/>
                <w:rFonts w:ascii="Times New Roman" w:hAnsi="Times New Roman"/>
                <w:sz w:val="24"/>
              </w:rPr>
              <w:t xml:space="preserve">ματος MKR SA CTP, αντιστοίχως. </w:t>
            </w:r>
          </w:p>
        </w:tc>
      </w:tr>
    </w:tbl>
    <w:p w:rsidR="00612780" w:rsidRPr="00392FFD" w:rsidRDefault="00612780">
      <w:pPr>
        <w:spacing w:before="0" w:after="0"/>
        <w:jc w:val="left"/>
        <w:rPr>
          <w:rStyle w:val="InstructionsTabelleText"/>
          <w:rFonts w:ascii="Times New Roman" w:hAnsi="Times New Roman"/>
          <w:sz w:val="24"/>
        </w:rPr>
      </w:pPr>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421" w:name="_Toc260157222"/>
      <w:bookmarkStart w:id="422" w:name="_Toc262566416"/>
      <w:bookmarkStart w:id="423" w:name="_Toc295829987"/>
      <w:bookmarkStart w:id="424" w:name="_Toc310415049"/>
      <w:bookmarkStart w:id="425" w:name="_Toc360188384"/>
      <w:bookmarkStart w:id="426" w:name="_Toc516210670"/>
      <w:bookmarkStart w:id="427" w:name="_Toc473560935"/>
      <w:bookmarkStart w:id="428" w:name="_Toc260157223"/>
      <w:bookmarkStart w:id="429" w:name="_Toc262566417"/>
      <w:bookmarkStart w:id="430" w:name="_Toc264038462"/>
      <w:bookmarkStart w:id="431" w:name="_Toc295829988"/>
      <w:bookmarkStart w:id="432" w:name="_Toc310415050"/>
      <w:r>
        <w:rPr>
          <w:rFonts w:ascii="Times New Roman" w:hAnsi="Times New Roman"/>
          <w:sz w:val="24"/>
        </w:rPr>
        <w:t>4.</w:t>
      </w:r>
      <w:r>
        <w:tab/>
      </w:r>
      <w:r>
        <w:rPr>
          <w:rFonts w:ascii="Times New Roman" w:hAnsi="Times New Roman"/>
          <w:sz w:val="24"/>
        </w:rPr>
        <w:t>Υποδείγματα λειτουργικού κινδύνου</w:t>
      </w:r>
      <w:bookmarkEnd w:id="421"/>
      <w:bookmarkEnd w:id="422"/>
      <w:bookmarkEnd w:id="423"/>
      <w:bookmarkEnd w:id="424"/>
      <w:bookmarkEnd w:id="425"/>
      <w:bookmarkEnd w:id="426"/>
      <w:bookmarkEnd w:id="427"/>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433" w:name="_Toc360188385"/>
      <w:bookmarkStart w:id="434" w:name="_Toc516210671"/>
      <w:bookmarkStart w:id="435" w:name="_Toc473560936"/>
      <w:r>
        <w:rPr>
          <w:rFonts w:ascii="Times New Roman" w:hAnsi="Times New Roman"/>
          <w:sz w:val="24"/>
        </w:rPr>
        <w:t>4.1</w:t>
      </w:r>
      <w:r>
        <w:tab/>
      </w:r>
      <w:r>
        <w:tab/>
      </w:r>
      <w:r>
        <w:rPr>
          <w:rFonts w:ascii="Times New Roman" w:hAnsi="Times New Roman"/>
          <w:sz w:val="24"/>
        </w:rPr>
        <w:t>C 16.00 – Λειτουργικός Κίνδυνος</w:t>
      </w:r>
      <w:bookmarkEnd w:id="428"/>
      <w:bookmarkEnd w:id="429"/>
      <w:bookmarkEnd w:id="430"/>
      <w:bookmarkEnd w:id="431"/>
      <w:bookmarkEnd w:id="432"/>
      <w:bookmarkEnd w:id="433"/>
      <w:r>
        <w:rPr>
          <w:rFonts w:ascii="Times New Roman" w:hAnsi="Times New Roman"/>
          <w:sz w:val="24"/>
        </w:rPr>
        <w:t xml:space="preserve"> (OPR)</w:t>
      </w:r>
      <w:bookmarkEnd w:id="434"/>
      <w:bookmarkEnd w:id="435"/>
    </w:p>
    <w:p w:rsidR="00AC6255" w:rsidRPr="009068C9" w:rsidRDefault="00CE4C49" w:rsidP="0023700C">
      <w:pPr>
        <w:pStyle w:val="Instructionsberschrift2"/>
        <w:numPr>
          <w:ilvl w:val="0"/>
          <w:numId w:val="0"/>
        </w:numPr>
        <w:ind w:left="357" w:hanging="357"/>
        <w:rPr>
          <w:rFonts w:ascii="Times New Roman" w:hAnsi="Times New Roman" w:cs="Times New Roman"/>
          <w:sz w:val="24"/>
          <w:u w:val="none"/>
        </w:rPr>
      </w:pPr>
      <w:bookmarkStart w:id="436" w:name="_Toc260157224"/>
      <w:bookmarkStart w:id="437" w:name="_Toc262566418"/>
      <w:bookmarkStart w:id="438" w:name="_Toc264038463"/>
      <w:bookmarkStart w:id="439" w:name="_Toc295829989"/>
      <w:bookmarkStart w:id="440" w:name="_Toc310415051"/>
      <w:bookmarkStart w:id="441" w:name="_Toc360188386"/>
      <w:bookmarkStart w:id="442" w:name="_Toc516210672"/>
      <w:bookmarkStart w:id="443" w:name="_Toc473560937"/>
      <w:r>
        <w:rPr>
          <w:rFonts w:ascii="Times New Roman" w:hAnsi="Times New Roman"/>
          <w:sz w:val="24"/>
          <w:u w:val="none"/>
        </w:rPr>
        <w:t>4.1.1</w:t>
      </w:r>
      <w:r>
        <w:tab/>
      </w:r>
      <w:r>
        <w:rPr>
          <w:rFonts w:ascii="Times New Roman" w:hAnsi="Times New Roman"/>
          <w:sz w:val="24"/>
          <w:u w:val="none"/>
        </w:rPr>
        <w:t>Γενικές</w:t>
      </w:r>
      <w:bookmarkEnd w:id="436"/>
      <w:r>
        <w:rPr>
          <w:rFonts w:ascii="Times New Roman" w:hAnsi="Times New Roman"/>
          <w:sz w:val="24"/>
          <w:u w:val="none"/>
        </w:rPr>
        <w:t xml:space="preserve"> παρατηρήσεις</w:t>
      </w:r>
      <w:bookmarkEnd w:id="437"/>
      <w:bookmarkEnd w:id="438"/>
      <w:bookmarkEnd w:id="439"/>
      <w:bookmarkEnd w:id="440"/>
      <w:bookmarkEnd w:id="441"/>
      <w:bookmarkEnd w:id="442"/>
      <w:bookmarkEnd w:id="443"/>
      <w:r>
        <w:rPr>
          <w:rFonts w:ascii="Times New Roman" w:hAnsi="Times New Roman"/>
          <w:sz w:val="24"/>
          <w:u w:val="none"/>
        </w:rPr>
        <w:t xml:space="preserve"> </w:t>
      </w:r>
    </w:p>
    <w:p w:rsidR="00AC6255" w:rsidRPr="00392FFD" w:rsidRDefault="006660B9" w:rsidP="00C37B29">
      <w:pPr>
        <w:pStyle w:val="InstructionsText2"/>
        <w:numPr>
          <w:ilvl w:val="0"/>
          <w:numId w:val="0"/>
        </w:numPr>
        <w:ind w:left="993"/>
      </w:pPr>
      <w:r>
        <w:t>114.</w:t>
      </w:r>
      <w:r>
        <w:tab/>
        <w:t>Στο συγκεκριμένο υπόδειγμα παρέχονται πληροφορίες για τον υπολογισμό των απαιτήσεων ιδίων κεφαλαίων, σύμφωνα με τα άρθρα 312 έως 324 του ΚΚΑ, για τον λειτουργικό κίνδυνο με βάση την προσέγγιση βασικού δείκτη (BIA), την τυπ</w:t>
      </w:r>
      <w:r>
        <w:t>ο</w:t>
      </w:r>
      <w:r>
        <w:t xml:space="preserve">ποιημένη προσέγγιση (TSA), την εναλλακτική τυποποιημένη προσέγγιση (ASA) και τις εξελιγμένες προσεγγίσεις μέτρησης (AMA). Ένα ίδρυμα δεν δύναται να </w:t>
      </w:r>
      <w:r>
        <w:t>ε</w:t>
      </w:r>
      <w:r>
        <w:t>φαρμόζει την τυποποιημένη και την εναλλακτική τυποποιημένη προσέγγιση για τους επιχειρηματικούς τομείς της λιανικής τραπεζικής και της εμπορικής τραπεζ</w:t>
      </w:r>
      <w:r>
        <w:t>ι</w:t>
      </w:r>
      <w:r>
        <w:t>κής ταυτόχρονα σε ατομική βάση.</w:t>
      </w:r>
    </w:p>
    <w:p w:rsidR="00AC6255" w:rsidRPr="00392FFD" w:rsidRDefault="00125707" w:rsidP="00C37B29">
      <w:pPr>
        <w:pStyle w:val="InstructionsText2"/>
        <w:numPr>
          <w:ilvl w:val="0"/>
          <w:numId w:val="0"/>
        </w:numPr>
        <w:ind w:left="993"/>
      </w:pPr>
      <w:r>
        <w:t>115.</w:t>
      </w:r>
      <w:r>
        <w:tab/>
        <w:t>Τα ιδρύματα που εφαρμόζουν την προσέγγιση βασικού δείκτη, την τυποποι</w:t>
      </w:r>
      <w:r>
        <w:t>η</w:t>
      </w:r>
      <w:r>
        <w:t>μένη προσέγγιση και/ή την εναλλακτική τυποποιημένη προσέγγιση υπολογίζουν τις απαιτήσεις ιδίων κεφαλαίων τους βάσει πληροφοριών στο τέλος του οικονομικού έτους. Εάν δεν υπάρχουν διαθέσιμα ελεγμένα στοιχεία, τα ιδρύματα μπορούν να χρησιμοποιούν εκτιμήσεις. Εάν χρησιμοποιούνται ελεγμένα αριθμητικά στοιχεία, τα ιδρύματα δηλώνουν τα ελεγμένα στοιχεία τα οποία αναμένεται να παραμείνουν αμετάβλητα. Είναι δυνατόν να υπάρξουν αποκλίσεις από τη συγκεκριμένη αρχή της «μη μεταβολής», παραδείγματος χάριν, εάν προκύψουν κατά τη διάρκεια της περιόδου εξαιρετικές συνθήκες, όπως πρόσφατες προσκτήσεις ή εκχωρήσεις οντ</w:t>
      </w:r>
      <w:r>
        <w:t>ο</w:t>
      </w:r>
      <w:r>
        <w:t xml:space="preserve">τήτων ή δραστηριοτήτων. </w:t>
      </w:r>
    </w:p>
    <w:p w:rsidR="00AC6255" w:rsidRPr="00392FFD" w:rsidRDefault="00125707" w:rsidP="00C37B29">
      <w:pPr>
        <w:pStyle w:val="InstructionsText2"/>
        <w:numPr>
          <w:ilvl w:val="0"/>
          <w:numId w:val="0"/>
        </w:numPr>
        <w:ind w:left="993"/>
      </w:pPr>
      <w:r>
        <w:lastRenderedPageBreak/>
        <w:t>116.</w:t>
      </w:r>
      <w:r>
        <w:tab/>
        <w:t>Εάν ένα ίδρυμα μπορεί να δικαιολογήσει στην αρμόδια αρχή του ότι —λόγω εξαιρετικών συνθηκών, όπως συγχώνευσης ή εκχώρησης οντοτήτων ή δραστηρι</w:t>
      </w:r>
      <w:r>
        <w:t>ο</w:t>
      </w:r>
      <w:r>
        <w:t>τήτων— η χρήση του τριετούς μέσου όρου για τον υπολογισμό του σχετικού δε</w:t>
      </w:r>
      <w:r>
        <w:t>ί</w:t>
      </w:r>
      <w:r>
        <w:t>κτη θα οδηγούσε σε μεροληπτική εκτίμηση όσον αφορά τις απαιτήσεις ιδίων κεφ</w:t>
      </w:r>
      <w:r>
        <w:t>α</w:t>
      </w:r>
      <w:r>
        <w:t>λαίων για τον λειτουργικό κίνδυνο, η αρμόδια αρχή μπορεί να επιτρέψει στο ίδρ</w:t>
      </w:r>
      <w:r>
        <w:t>υ</w:t>
      </w:r>
      <w:r>
        <w:t>μα να τροποποιήσει τον υπολογισμό κατά τρόπο που να λαμβάνει υπόψη τέτοιου είδους γεγονότα. Επίσης, η αρμόδια αρχή μπορεί, με δική της πρωτοβουλία, να ζ</w:t>
      </w:r>
      <w:r>
        <w:t>η</w:t>
      </w:r>
      <w:r>
        <w:t>τήσει από ένα ίδρυμα να τροποποιήσει τον υπολογισμό. Εάν ένα ίδρυμα δεν έχει συμπληρώσει τρία έτη λειτουργίας, μπορεί να χρησιμοποιήσει προορατικές επιχε</w:t>
      </w:r>
      <w:r>
        <w:t>ι</w:t>
      </w:r>
      <w:r>
        <w:t>ρηματικές εκτιμήσεις για τον υπολογισμό του κατάλληλου δείκτη, υπό την προ</w:t>
      </w:r>
      <w:r>
        <w:t>ϋ</w:t>
      </w:r>
      <w:r>
        <w:t>πόθεση ότι θα αρχίσει να χρησιμοποιεί ιστορικά δεδομένα αμέσως μόλις κατ</w:t>
      </w:r>
      <w:r>
        <w:t>α</w:t>
      </w:r>
      <w:r>
        <w:t>στούν διαθέσιμα.</w:t>
      </w:r>
    </w:p>
    <w:p w:rsidR="00AC6255" w:rsidRPr="00392FFD" w:rsidRDefault="00125707" w:rsidP="00C37B29">
      <w:pPr>
        <w:pStyle w:val="InstructionsText2"/>
        <w:numPr>
          <w:ilvl w:val="0"/>
          <w:numId w:val="0"/>
        </w:numPr>
        <w:ind w:left="993"/>
      </w:pPr>
      <w:r>
        <w:t>117.</w:t>
      </w:r>
      <w:r>
        <w:tab/>
        <w:t>Στις στήλες του συγκεκριμένου υποδείγματος παρουσιάζονται πληροφορίες για τα τρίτα τελευταία έτη σχετικά με το ποσό του σχετικού δείκτη των τραπεζικών δραστηριοτήτων που υπόκεινται σε λειτουργικό κίνδυνο και το ποσό των δανείων και προκαταβολών (αυτό το ποσό μόνο στην περίπτωση της εναλλακτικής τυπ</w:t>
      </w:r>
      <w:r>
        <w:t>ο</w:t>
      </w:r>
      <w:r>
        <w:t>ποιημένης προσέγγισης). Στη συνέχεια, αναφέρονται πληροφορίες για το ποσό των απαιτήσεων ιδίων κεφαλαίων για τον λειτουργικό κίνδυνο. Εάν ενδείκνυται, πρέπει να αναλύεται το μέρος του ποσού αυτού που οφείλεται σε μηχανισμό κατανομής. Όσον αφορά τις εξελιγμένες προσεγγίσεις μέτρησης, προστίθενται υπομνηματικά στοιχεία για να παρουσιαστεί αναλυτικά το αποτέλεσμα της αναμενόμενης ζημίας, της διαφοροποίησης και των τεχνικών μείωσης του κινδύνου στην απαίτηση ιδίων κεφαλαίων για τον λειτουργικό κίνδυνο.</w:t>
      </w:r>
    </w:p>
    <w:p w:rsidR="00AC6255" w:rsidRPr="00392FFD" w:rsidRDefault="00125707" w:rsidP="00C37B29">
      <w:pPr>
        <w:pStyle w:val="InstructionsText2"/>
        <w:numPr>
          <w:ilvl w:val="0"/>
          <w:numId w:val="0"/>
        </w:numPr>
        <w:ind w:left="993"/>
      </w:pPr>
      <w:r>
        <w:t>118.</w:t>
      </w:r>
      <w:r>
        <w:tab/>
        <w:t>Στις γραμμές παρουσιάζονται πληροφορίες με βάση τη μέθοδο υπολογισμού της απαίτησης ιδίων κεφαλαίων για τον λειτουργικό κίνδυνο, με αναλυτική αναφ</w:t>
      </w:r>
      <w:r>
        <w:t>ο</w:t>
      </w:r>
      <w:r>
        <w:t>ρά στους επιχειρηματικούς τομείς για την τυποποιημένη και την εναλλακτική τ</w:t>
      </w:r>
      <w:r>
        <w:t>υ</w:t>
      </w:r>
      <w:r>
        <w:t>ποποιημένη προσέγγιση.</w:t>
      </w:r>
    </w:p>
    <w:p w:rsidR="00AC6255" w:rsidRPr="00392FFD" w:rsidRDefault="00125707" w:rsidP="00C37B29">
      <w:pPr>
        <w:pStyle w:val="InstructionsText2"/>
        <w:numPr>
          <w:ilvl w:val="0"/>
          <w:numId w:val="0"/>
        </w:numPr>
        <w:ind w:left="993"/>
      </w:pPr>
      <w:r>
        <w:t>119.</w:t>
      </w:r>
      <w:r>
        <w:tab/>
        <w:t>Το συγκεκριμένο υπόδειγμα υποβάλλεται από όλα τα ιδρύματα που υπόκεινται σε απαίτηση ιδίων κεφαλαίων για τον λειτουργικό κίνδυνο.</w:t>
      </w:r>
    </w:p>
    <w:p w:rsidR="00AC6255" w:rsidRPr="00321A3B" w:rsidRDefault="00125707" w:rsidP="0023700C">
      <w:pPr>
        <w:pStyle w:val="Instructionsberschrift2"/>
        <w:numPr>
          <w:ilvl w:val="0"/>
          <w:numId w:val="0"/>
        </w:numPr>
        <w:ind w:left="357" w:hanging="357"/>
        <w:rPr>
          <w:rFonts w:ascii="Times New Roman" w:hAnsi="Times New Roman" w:cs="Times New Roman"/>
          <w:sz w:val="24"/>
        </w:rPr>
      </w:pPr>
      <w:bookmarkStart w:id="444" w:name="_Toc260157225"/>
      <w:bookmarkStart w:id="445" w:name="_Toc262566419"/>
      <w:bookmarkStart w:id="446" w:name="_Toc264038464"/>
      <w:bookmarkStart w:id="447" w:name="_Toc295829990"/>
      <w:bookmarkStart w:id="448" w:name="_Toc310415052"/>
      <w:bookmarkStart w:id="449" w:name="_Toc360188387"/>
      <w:bookmarkStart w:id="450" w:name="_Toc516210673"/>
      <w:bookmarkStart w:id="451" w:name="_Toc473560938"/>
      <w:r>
        <w:rPr>
          <w:rFonts w:ascii="Times New Roman" w:hAnsi="Times New Roman"/>
          <w:sz w:val="24"/>
          <w:u w:val="none"/>
        </w:rPr>
        <w:t>4.1.2.</w:t>
      </w:r>
      <w:r>
        <w:tab/>
      </w:r>
      <w:r>
        <w:rPr>
          <w:rFonts w:ascii="Times New Roman" w:hAnsi="Times New Roman"/>
          <w:sz w:val="24"/>
        </w:rPr>
        <w:t>Οδηγίες για συγκεκριμένες θέσεις</w:t>
      </w:r>
      <w:bookmarkEnd w:id="444"/>
      <w:bookmarkEnd w:id="445"/>
      <w:bookmarkEnd w:id="446"/>
      <w:bookmarkEnd w:id="447"/>
      <w:bookmarkEnd w:id="448"/>
      <w:bookmarkEnd w:id="449"/>
      <w:bookmarkEnd w:id="450"/>
      <w:bookmarkEnd w:id="451"/>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53"/>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Στήλες</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010-030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ΣΧΕΤΙΚΟΣ ΔΕΙΚΤΗΣ</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Τα ιδρύματα που χρησιμοποιούν τον σχετικό δείκτη για τον υπολογισμό της απαίτησης ιδίων κεφαλαίων για τον λειτουργικό κίνδυνο (προσέγγιση βασικού δείκτη, τυποποιημένη και εναλλακτική τυποποιημένη προσέγγιση – BIA, TSA και ASA) δηλώνουν τον σχετικό δείκτη για τα αντίστοιχα έτη στις στήλες 010 έως 030. Επίσης, στην περίπτωση συνδυασμένης χρήσης διαφορετικών πρ</w:t>
            </w:r>
            <w:r>
              <w:rPr>
                <w:rFonts w:ascii="Times New Roman" w:hAnsi="Times New Roman"/>
                <w:sz w:val="24"/>
              </w:rPr>
              <w:t>ο</w:t>
            </w:r>
            <w:r>
              <w:rPr>
                <w:rFonts w:ascii="Times New Roman" w:hAnsi="Times New Roman"/>
                <w:sz w:val="24"/>
              </w:rPr>
              <w:t>σεγγίσεων, όπως αναφέρεται στο άρθρο 314 του ΚΚΑ, τα ιδρύματα αναφ</w:t>
            </w:r>
            <w:r>
              <w:rPr>
                <w:rFonts w:ascii="Times New Roman" w:hAnsi="Times New Roman"/>
                <w:sz w:val="24"/>
              </w:rPr>
              <w:t>έ</w:t>
            </w:r>
            <w:r>
              <w:rPr>
                <w:rFonts w:ascii="Times New Roman" w:hAnsi="Times New Roman"/>
                <w:sz w:val="24"/>
              </w:rPr>
              <w:t>ρουν επίσης, για ενημερωτικούς σκοπούς, τον σχετικό δείκτη για τις δραστ</w:t>
            </w:r>
            <w:r>
              <w:rPr>
                <w:rFonts w:ascii="Times New Roman" w:hAnsi="Times New Roman"/>
                <w:sz w:val="24"/>
              </w:rPr>
              <w:t>η</w:t>
            </w:r>
            <w:r>
              <w:rPr>
                <w:rFonts w:ascii="Times New Roman" w:hAnsi="Times New Roman"/>
                <w:sz w:val="24"/>
              </w:rPr>
              <w:t>ριότητες που υπόκεινται σε εξελιγμένες προσεγγίσεις μέτρησης. Το ίδιο ισχύει για όλες τις άλλες τράπεζες που εφαρμόζουν εξελιγμένες προσεγγίσεις μέτρ</w:t>
            </w:r>
            <w:r>
              <w:rPr>
                <w:rFonts w:ascii="Times New Roman" w:hAnsi="Times New Roman"/>
                <w:sz w:val="24"/>
              </w:rPr>
              <w:t>η</w:t>
            </w:r>
            <w:r>
              <w:rPr>
                <w:rFonts w:ascii="Times New Roman" w:hAnsi="Times New Roman"/>
                <w:sz w:val="24"/>
              </w:rPr>
              <w:t>σης.</w:t>
            </w:r>
          </w:p>
          <w:p w:rsidR="00AC6255" w:rsidRPr="00392FFD" w:rsidRDefault="00AC6255" w:rsidP="000B0B09">
            <w:pPr>
              <w:autoSpaceDE w:val="0"/>
              <w:autoSpaceDN w:val="0"/>
              <w:adjustRightInd w:val="0"/>
              <w:spacing w:before="0" w:after="0"/>
              <w:rPr>
                <w:rFonts w:ascii="Times New Roman" w:hAnsi="Times New Roman"/>
                <w:bCs/>
                <w:strike/>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Εφεξής, ο όρος «σχετικός δείκτης» αφορά «το άθροισμα των στοιχείων» στο τέλος του οικονομικού έτους, όπως ορίζεται στο άρθρο 316 παράγραφος 1 π</w:t>
            </w:r>
            <w:r>
              <w:rPr>
                <w:rFonts w:ascii="Times New Roman" w:hAnsi="Times New Roman"/>
                <w:sz w:val="24"/>
              </w:rPr>
              <w:t>ί</w:t>
            </w:r>
            <w:r>
              <w:rPr>
                <w:rFonts w:ascii="Times New Roman" w:hAnsi="Times New Roman"/>
                <w:sz w:val="24"/>
              </w:rPr>
              <w:t xml:space="preserve">νακας 1 του ΚΚΑ.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Εάν το ίδρυμα διαθέτει δεδομένα «σχετικού δείκτη» για λιγότερο από 3 έτη, τα διαθέσιμα ιστορικά δεδομένα (ελεγμένα στοιχεία) ταξινομούνται κατά προτ</w:t>
            </w:r>
            <w:r>
              <w:rPr>
                <w:rFonts w:ascii="Times New Roman" w:hAnsi="Times New Roman"/>
                <w:sz w:val="24"/>
              </w:rPr>
              <w:t>ε</w:t>
            </w:r>
            <w:r>
              <w:rPr>
                <w:rFonts w:ascii="Times New Roman" w:hAnsi="Times New Roman"/>
                <w:sz w:val="24"/>
              </w:rPr>
              <w:t xml:space="preserve">ραιότητα στις αντίστοιχες στήλες του πίνακα. Εάν, παραδείγματος χάριν, </w:t>
            </w:r>
            <w:r>
              <w:rPr>
                <w:rFonts w:ascii="Times New Roman" w:hAnsi="Times New Roman"/>
                <w:sz w:val="24"/>
              </w:rPr>
              <w:t>υ</w:t>
            </w:r>
            <w:r>
              <w:rPr>
                <w:rFonts w:ascii="Times New Roman" w:hAnsi="Times New Roman"/>
                <w:sz w:val="24"/>
              </w:rPr>
              <w:t>πάρχουν διαθέσιμα ιστορικά δεδομένα μόνο για ένα έτος, αυτά αναφέρονται στη στήλη 030. Εάν κρίνεται εύλογο, οι προορατικές εκτιμήσεις περιλαμβάν</w:t>
            </w:r>
            <w:r>
              <w:rPr>
                <w:rFonts w:ascii="Times New Roman" w:hAnsi="Times New Roman"/>
                <w:sz w:val="24"/>
              </w:rPr>
              <w:t>ο</w:t>
            </w:r>
            <w:r>
              <w:rPr>
                <w:rFonts w:ascii="Times New Roman" w:hAnsi="Times New Roman"/>
                <w:sz w:val="24"/>
              </w:rPr>
              <w:t>νται στη συνέχεια στη στήλη 020 (εκτίμηση επόμενου έτους) και τη στήλη 010 (εκτίμηση μεθεπόμενου έτους).</w:t>
            </w:r>
          </w:p>
          <w:p w:rsidR="00AC6255" w:rsidRPr="00392FFD" w:rsidRDefault="00AC6255" w:rsidP="000B0B09">
            <w:pPr>
              <w:autoSpaceDE w:val="0"/>
              <w:autoSpaceDN w:val="0"/>
              <w:adjustRightInd w:val="0"/>
              <w:spacing w:before="0" w:after="0"/>
              <w:rPr>
                <w:rFonts w:ascii="Times New Roman" w:hAnsi="Times New Roman"/>
                <w:i/>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Επιπροσθέτως, εάν δεν υπάρχουν διαθέσιμα ιστορικά δεδομένα «σχετικού δε</w:t>
            </w:r>
            <w:r>
              <w:rPr>
                <w:rFonts w:ascii="Times New Roman" w:hAnsi="Times New Roman"/>
                <w:sz w:val="24"/>
              </w:rPr>
              <w:t>ί</w:t>
            </w:r>
            <w:r>
              <w:rPr>
                <w:rFonts w:ascii="Times New Roman" w:hAnsi="Times New Roman"/>
                <w:sz w:val="24"/>
              </w:rPr>
              <w:t>κτη», το ίδρυμα δύναται να χρησιμοποιεί προορατικές επιχειρηματικές εκτιμ</w:t>
            </w:r>
            <w:r>
              <w:rPr>
                <w:rFonts w:ascii="Times New Roman" w:hAnsi="Times New Roman"/>
                <w:sz w:val="24"/>
              </w:rPr>
              <w:t>ή</w:t>
            </w:r>
            <w:r>
              <w:rPr>
                <w:rFonts w:ascii="Times New Roman" w:hAnsi="Times New Roman"/>
                <w:sz w:val="24"/>
              </w:rPr>
              <w:t>σεις.</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040-060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ΔΑΝΕΙΑ ΚΑΙ ΠΡΟΚΑΤΑΒΟΛΕΣ (ΣΤΗΝ ΠΕΡΙΠΤΩΣΗ ΕΦΑΡΜΟΓΗΣ ΤΗΣ ΕΝΑΛΛΑΚΤΙΚΗΣ ΤΥΠΟΠΟΙΗΜΕΝΗΣ ΠΡΟΣΕΓΓΙΣΗΣ)</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Οι συγκεκριμένες στήλες χρησιμοποιούνται για την αναφορά των ποσών των δανείων και προκαταβολών για τους επιχειρηματικούς τομείς «Εμπορική τρ</w:t>
            </w:r>
            <w:r>
              <w:rPr>
                <w:rFonts w:ascii="Times New Roman" w:hAnsi="Times New Roman"/>
                <w:sz w:val="24"/>
              </w:rPr>
              <w:t>α</w:t>
            </w:r>
            <w:r>
              <w:rPr>
                <w:rFonts w:ascii="Times New Roman" w:hAnsi="Times New Roman"/>
                <w:sz w:val="24"/>
              </w:rPr>
              <w:t>πεζική» και «Λιανική τραπεζική», όπως αναφέρεται στο άρθρο 319 παράγρ</w:t>
            </w:r>
            <w:r>
              <w:rPr>
                <w:rFonts w:ascii="Times New Roman" w:hAnsi="Times New Roman"/>
                <w:sz w:val="24"/>
              </w:rPr>
              <w:t>α</w:t>
            </w:r>
            <w:r>
              <w:rPr>
                <w:rFonts w:ascii="Times New Roman" w:hAnsi="Times New Roman"/>
                <w:sz w:val="24"/>
              </w:rPr>
              <w:t>φος 1 στοιχείο β) του ΚΚΑ. Τα ποσά αυτά χρησιμοποιούνται για τον υπολογ</w:t>
            </w:r>
            <w:r>
              <w:rPr>
                <w:rFonts w:ascii="Times New Roman" w:hAnsi="Times New Roman"/>
                <w:sz w:val="24"/>
              </w:rPr>
              <w:t>ι</w:t>
            </w:r>
            <w:r>
              <w:rPr>
                <w:rFonts w:ascii="Times New Roman" w:hAnsi="Times New Roman"/>
                <w:sz w:val="24"/>
              </w:rPr>
              <w:t>σμό του εναλλακτικού σχετικού δείκτη που οδηγεί στις απαιτήσεις ιδίων κ</w:t>
            </w:r>
            <w:r>
              <w:rPr>
                <w:rFonts w:ascii="Times New Roman" w:hAnsi="Times New Roman"/>
                <w:sz w:val="24"/>
              </w:rPr>
              <w:t>ε</w:t>
            </w:r>
            <w:r>
              <w:rPr>
                <w:rFonts w:ascii="Times New Roman" w:hAnsi="Times New Roman"/>
                <w:sz w:val="24"/>
              </w:rPr>
              <w:t>φαλαίων που αντιστοιχούν στις δραστηριότητες που υπόκεινται στην εναλλ</w:t>
            </w:r>
            <w:r>
              <w:rPr>
                <w:rFonts w:ascii="Times New Roman" w:hAnsi="Times New Roman"/>
                <w:sz w:val="24"/>
              </w:rPr>
              <w:t>α</w:t>
            </w:r>
            <w:r>
              <w:rPr>
                <w:rFonts w:ascii="Times New Roman" w:hAnsi="Times New Roman"/>
                <w:sz w:val="24"/>
              </w:rPr>
              <w:t xml:space="preserve">κτική τυποποιημένη προσέγγιση (άρθρο 319 παράγραφος 1 στοιχείο α) του ΚΚΑ).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Για τον επιχειρηματικό τομέα της «εμπορικής τραπεζικής», περιλαμβάνονται επίσης οι τίτλοι που τηρούνται εκτός του χαρτοφυλακίου συναλλαγών.</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ΑΠΑΙΤΗΣΗ ΙΔΙΩΝ ΚΕΦΑΛΑΙΩΝ</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E86638">
            <w:pPr>
              <w:autoSpaceDE w:val="0"/>
              <w:autoSpaceDN w:val="0"/>
              <w:adjustRightInd w:val="0"/>
              <w:spacing w:before="0" w:after="0"/>
              <w:jc w:val="left"/>
              <w:rPr>
                <w:rFonts w:ascii="Times New Roman" w:hAnsi="Times New Roman"/>
                <w:bCs/>
                <w:sz w:val="24"/>
              </w:rPr>
            </w:pPr>
            <w:r>
              <w:rPr>
                <w:rFonts w:ascii="Times New Roman" w:hAnsi="Times New Roman"/>
                <w:sz w:val="24"/>
              </w:rPr>
              <w:t>Η απαίτηση ιδίων κεφαλαίων υπολογίζεται σύμφωνα με τη χρησιμοποιούμενη προσέγγιση, βάσει των άρθρων 312 έως 324 του ΚΚΑ. Το ποσό που προκύπτει αναφέρεται στη στήλη 070.</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071</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ΣΥΝΟΛΙΚΟ ΠΟΣΟ ΑΝΟΙΓΜΑΤΟΣ ΣΕ ΛΕΙΤΟΥΡΓΙΚΟ ΚΙΝΔΥΝΟ</w:t>
            </w:r>
          </w:p>
          <w:p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Άρθρο 92 παράγραφος 4 του ΚΚΑ Απαιτήσεις ιδίων κεφαλαίων της στ</w:t>
            </w:r>
            <w:r>
              <w:rPr>
                <w:rStyle w:val="InstructionsTabelleberschrift"/>
                <w:rFonts w:ascii="Times New Roman" w:hAnsi="Times New Roman"/>
                <w:sz w:val="24"/>
              </w:rPr>
              <w:t>ή</w:t>
            </w:r>
            <w:r>
              <w:rPr>
                <w:rStyle w:val="InstructionsTabelleberschrift"/>
                <w:rFonts w:ascii="Times New Roman" w:hAnsi="Times New Roman"/>
                <w:sz w:val="24"/>
              </w:rPr>
              <w:t>λης 070 πολλαπλασιασμένες επί 12,5.</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ΕΚ ΤΩΝ ΟΠΟΙΩΝ: ΛΟΓΩ ΜΗΧΑΝΙΣΜΟΥ ΚΑΤΑΝΟΜΗΣ</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jc w:val="left"/>
              <w:rPr>
                <w:rFonts w:ascii="Times New Roman" w:hAnsi="Times New Roman"/>
                <w:bCs/>
                <w:sz w:val="24"/>
              </w:rPr>
            </w:pPr>
            <w:r>
              <w:rPr>
                <w:rFonts w:ascii="Times New Roman" w:hAnsi="Times New Roman"/>
                <w:sz w:val="24"/>
              </w:rPr>
              <w:t xml:space="preserve">Άρθρο 18 παράγραφος 1 του ΚΚΑ (σχετικά με τη συμπερίληψη, στην αίτηση που αναφέρεται στο άρθρο 312 παράγραφος 2 του ΚΚΑ, των μεθόδων που </w:t>
            </w:r>
            <w:r>
              <w:rPr>
                <w:rFonts w:ascii="Times New Roman" w:hAnsi="Times New Roman"/>
                <w:sz w:val="24"/>
              </w:rPr>
              <w:t>ε</w:t>
            </w:r>
            <w:r>
              <w:rPr>
                <w:rFonts w:ascii="Times New Roman" w:hAnsi="Times New Roman"/>
                <w:sz w:val="24"/>
              </w:rPr>
              <w:t>φαρμόζονται για την κατανομή των κεφαλαιακών απαιτήσεων έναντι λειτου</w:t>
            </w:r>
            <w:r>
              <w:rPr>
                <w:rFonts w:ascii="Times New Roman" w:hAnsi="Times New Roman"/>
                <w:sz w:val="24"/>
              </w:rPr>
              <w:t>ρ</w:t>
            </w:r>
            <w:r>
              <w:rPr>
                <w:rFonts w:ascii="Times New Roman" w:hAnsi="Times New Roman"/>
                <w:sz w:val="24"/>
              </w:rPr>
              <w:t>γικού κινδύνου μεταξύ των διαφόρων οντοτήτων του ομίλου και πληροφοριών σχετικά με το αν και με ποιον τρόπο σχεδιάζεται να ενσωματωθούν οι επιπτ</w:t>
            </w:r>
            <w:r>
              <w:rPr>
                <w:rFonts w:ascii="Times New Roman" w:hAnsi="Times New Roman"/>
                <w:sz w:val="24"/>
              </w:rPr>
              <w:t>ώ</w:t>
            </w:r>
            <w:r>
              <w:rPr>
                <w:rFonts w:ascii="Times New Roman" w:hAnsi="Times New Roman"/>
                <w:sz w:val="24"/>
              </w:rPr>
              <w:t>σεις της διαφοροποίησης στο σύστημα μέτρησης κινδύνων, που εφαρμόζεται από ένα μητρικό πιστωτικό ίδρυμα εγκατεστημένο στην ΕΕ και τις θυγατρικές του ή από κοινού από τις θυγατρικές επιχειρήσεις μιας μητρικής χρηματοδοτ</w:t>
            </w:r>
            <w:r>
              <w:rPr>
                <w:rFonts w:ascii="Times New Roman" w:hAnsi="Times New Roman"/>
                <w:sz w:val="24"/>
              </w:rPr>
              <w:t>ι</w:t>
            </w:r>
            <w:r>
              <w:rPr>
                <w:rFonts w:ascii="Times New Roman" w:hAnsi="Times New Roman"/>
                <w:sz w:val="24"/>
              </w:rPr>
              <w:t xml:space="preserve">κής εταιρείας συμμετοχών εγκατεστημένης στην ΕΕ ή μιας μητρικής μικτής </w:t>
            </w:r>
            <w:r>
              <w:rPr>
                <w:rFonts w:ascii="Times New Roman" w:hAnsi="Times New Roman"/>
                <w:sz w:val="24"/>
              </w:rPr>
              <w:lastRenderedPageBreak/>
              <w:t>χρηματοοικονομικής εταιρείας συμμετοχών εγκατεστημένης στην ΕΕ).</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090-120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ΥΠΟΜΝΗΜΑΤΙΚΑ ΣΤΟΙΧΕΙΑ ΤΗΣ ΠΡΟΣΕΓΓΙΣΗΣ ΑΜΑ ΠΟΥ ΠΡΕΠΕΙ ΝΑ ΥΠΟΒΑΛΛΟΝΤΑΙ ΚΑΤΑ ΠΕΡΙΠΤΩΣΗ</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xml:space="preserve">ΑΠΑΙΤΗΣΗ ΙΔΙΩΝ ΚΕΦΑΛΑΙΩΝ ΠΡΙΝ ΑΠΟ ΤΗ ΜΕΙΩΣΗ ΠΟΥ </w:t>
            </w:r>
            <w:r>
              <w:rPr>
                <w:rStyle w:val="InstructionsTabelleberschrift"/>
                <w:rFonts w:ascii="Times New Roman" w:hAnsi="Times New Roman"/>
                <w:sz w:val="24"/>
              </w:rPr>
              <w:t>Ο</w:t>
            </w:r>
            <w:r>
              <w:rPr>
                <w:rStyle w:val="InstructionsTabelleberschrift"/>
                <w:rFonts w:ascii="Times New Roman" w:hAnsi="Times New Roman"/>
                <w:sz w:val="24"/>
              </w:rPr>
              <w:t>ΦΕΙΛΕΤΑΙ ΣΕ ΑΝΑΜΕΝΟΜΕΝΗ ΖΗΜΙΑ, ΔΙΑΦΟΡΟΠΟΙΗΣΗ ΚΑΙ ΤΕΧΝΙΚΕΣ ΜΕΙΩΣΗΣ ΤΟΥ ΚΙΝΔΥΝΟΥ</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Η απαίτηση ιδίων κεφαλαίων που αναφέρεται στη στήλη 090 είναι ίδια με την απαίτηση που αναφέρεται στη στήλη 070, αλλά υπολογίζεται χωρίς να λαμβ</w:t>
            </w:r>
            <w:r>
              <w:rPr>
                <w:rFonts w:ascii="Times New Roman" w:hAnsi="Times New Roman"/>
                <w:sz w:val="24"/>
              </w:rPr>
              <w:t>ά</w:t>
            </w:r>
            <w:r>
              <w:rPr>
                <w:rFonts w:ascii="Times New Roman" w:hAnsi="Times New Roman"/>
                <w:sz w:val="24"/>
              </w:rPr>
              <w:t>νονται υπόψη τα αποτελέσματα μείωσης που οφείλονται σε αναμενόμενη ζ</w:t>
            </w:r>
            <w:r>
              <w:rPr>
                <w:rFonts w:ascii="Times New Roman" w:hAnsi="Times New Roman"/>
                <w:sz w:val="24"/>
              </w:rPr>
              <w:t>η</w:t>
            </w:r>
            <w:r>
              <w:rPr>
                <w:rFonts w:ascii="Times New Roman" w:hAnsi="Times New Roman"/>
                <w:sz w:val="24"/>
              </w:rPr>
              <w:t>μία, διαφοροποίηση και τεχνικές μείωσης του κινδύνου (βλέπε κατωτέρω).</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ΜΕΙΩΣΗ ΤΩΝ ΑΠΑΙΤΗΣΕΩΝ ΙΔΙΩΝ ΚΕΦΑΛΑΙΩΝ ΠΟΥ ΟΦΕ</w:t>
            </w:r>
            <w:r>
              <w:rPr>
                <w:rStyle w:val="InstructionsTabelleberschrift"/>
                <w:rFonts w:ascii="Times New Roman" w:hAnsi="Times New Roman"/>
                <w:sz w:val="24"/>
              </w:rPr>
              <w:t>Ι</w:t>
            </w:r>
            <w:r>
              <w:rPr>
                <w:rStyle w:val="InstructionsTabelleberschrift"/>
                <w:rFonts w:ascii="Times New Roman" w:hAnsi="Times New Roman"/>
                <w:sz w:val="24"/>
              </w:rPr>
              <w:t>ΛΕΤΑΙ ΣΤΗΝ ΑΝΑΜΕΝΟΜΕΝΗ ΖΗΜΙΑ ΠΟΥ ΣΥΜΒΑΙΝΕΙ ΣΕ ΕΠ</w:t>
            </w:r>
            <w:r>
              <w:rPr>
                <w:rStyle w:val="InstructionsTabelleberschrift"/>
                <w:rFonts w:ascii="Times New Roman" w:hAnsi="Times New Roman"/>
                <w:sz w:val="24"/>
              </w:rPr>
              <w:t>Ι</w:t>
            </w:r>
            <w:r>
              <w:rPr>
                <w:rStyle w:val="InstructionsTabelleberschrift"/>
                <w:rFonts w:ascii="Times New Roman" w:hAnsi="Times New Roman"/>
                <w:sz w:val="24"/>
              </w:rPr>
              <w:t>ΧΕΙΡΗΜΑΤΙΚΕΣ ΠΡΑΚΤΙΚΕΣ</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Στη στήλη 100 αναφέρεται η μείωση των απαιτήσεων ίδιων κεφαλαίων που οφείλεται στην αναμενόμενη ζημία που συμβαίνει σε εσωτερικές επιχειρημ</w:t>
            </w:r>
            <w:r>
              <w:rPr>
                <w:rFonts w:ascii="Times New Roman" w:hAnsi="Times New Roman"/>
                <w:sz w:val="24"/>
              </w:rPr>
              <w:t>α</w:t>
            </w:r>
            <w:r>
              <w:rPr>
                <w:rFonts w:ascii="Times New Roman" w:hAnsi="Times New Roman"/>
                <w:sz w:val="24"/>
              </w:rPr>
              <w:t>τικές πρακτικές (όπως αναφέρεται στο άρθρο 322 παράγραφος 2 στοιχείο α) του ΚΚΑ).</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ΜΕΙΩΣΗ ΤΩΝ ΑΠΑΙΤΗΣΕΩΝ ΙΔΙΩΝ ΚΕΦΑΛΑΙΩΝ ΠΟΥ ΟΦΕ</w:t>
            </w:r>
            <w:r>
              <w:rPr>
                <w:rStyle w:val="InstructionsTabelleberschrift"/>
                <w:rFonts w:ascii="Times New Roman" w:hAnsi="Times New Roman"/>
                <w:sz w:val="24"/>
              </w:rPr>
              <w:t>Ι</w:t>
            </w:r>
            <w:r>
              <w:rPr>
                <w:rStyle w:val="InstructionsTabelleberschrift"/>
                <w:rFonts w:ascii="Times New Roman" w:hAnsi="Times New Roman"/>
                <w:sz w:val="24"/>
              </w:rPr>
              <w:t>ΛΕΤΑΙ ΣΤΗ ΔΙΑΦΟΡΟΠΟΙΗΣΗ</w:t>
            </w:r>
          </w:p>
          <w:p w:rsidR="00AC6255" w:rsidRPr="00392FFD" w:rsidRDefault="00AC6255" w:rsidP="000B0B09">
            <w:pPr>
              <w:rPr>
                <w:rFonts w:ascii="Times New Roman" w:hAnsi="Times New Roman"/>
                <w:sz w:val="24"/>
              </w:rPr>
            </w:pPr>
            <w:r>
              <w:rPr>
                <w:rFonts w:ascii="Times New Roman" w:hAnsi="Times New Roman"/>
                <w:sz w:val="24"/>
              </w:rPr>
              <w:t>Το αποτέλεσμα της διαφοροποίησης στη στήλη 110 είναι η διαφορά μεταξύ του αθροίσματος των απαιτήσεων ιδίων κεφαλαίων που υπολογίζονται χωρ</w:t>
            </w:r>
            <w:r>
              <w:rPr>
                <w:rFonts w:ascii="Times New Roman" w:hAnsi="Times New Roman"/>
                <w:sz w:val="24"/>
              </w:rPr>
              <w:t>ι</w:t>
            </w:r>
            <w:r>
              <w:rPr>
                <w:rFonts w:ascii="Times New Roman" w:hAnsi="Times New Roman"/>
                <w:sz w:val="24"/>
              </w:rPr>
              <w:t>στά για κάθε κατηγορία λειτουργικού κινδύνου (δηλαδή, κατάσταση «τέλειας εξάρτησης») και της διαφοροποιημένης απαίτησης ιδίων κεφαλαίων, που υπ</w:t>
            </w:r>
            <w:r>
              <w:rPr>
                <w:rFonts w:ascii="Times New Roman" w:hAnsi="Times New Roman"/>
                <w:sz w:val="24"/>
              </w:rPr>
              <w:t>ο</w:t>
            </w:r>
            <w:r>
              <w:rPr>
                <w:rFonts w:ascii="Times New Roman" w:hAnsi="Times New Roman"/>
                <w:sz w:val="24"/>
              </w:rPr>
              <w:t>λογίζεται λαμβάνοντας υπόψη συσχετίσεις και εξαρτήσεις (δηλαδή, εάν υποτ</w:t>
            </w:r>
            <w:r>
              <w:rPr>
                <w:rFonts w:ascii="Times New Roman" w:hAnsi="Times New Roman"/>
                <w:sz w:val="24"/>
              </w:rPr>
              <w:t>ε</w:t>
            </w:r>
            <w:r>
              <w:rPr>
                <w:rFonts w:ascii="Times New Roman" w:hAnsi="Times New Roman"/>
                <w:sz w:val="24"/>
              </w:rPr>
              <w:t>θεί εξάρτηση κατώτερη της «τέλειας εξάρτησης» μεταξύ των κατηγοριών κι</w:t>
            </w:r>
            <w:r>
              <w:rPr>
                <w:rFonts w:ascii="Times New Roman" w:hAnsi="Times New Roman"/>
                <w:sz w:val="24"/>
              </w:rPr>
              <w:t>ν</w:t>
            </w:r>
            <w:r>
              <w:rPr>
                <w:rFonts w:ascii="Times New Roman" w:hAnsi="Times New Roman"/>
                <w:sz w:val="24"/>
              </w:rPr>
              <w:t>δύνου). Η κατάσταση «τέλειας εξάρτησης» προκύπτει στην «περίπτωση αθ</w:t>
            </w:r>
            <w:r>
              <w:rPr>
                <w:rFonts w:ascii="Times New Roman" w:hAnsi="Times New Roman"/>
                <w:sz w:val="24"/>
              </w:rPr>
              <w:t>έ</w:t>
            </w:r>
            <w:r>
              <w:rPr>
                <w:rFonts w:ascii="Times New Roman" w:hAnsi="Times New Roman"/>
                <w:sz w:val="24"/>
              </w:rPr>
              <w:t>τησης υποχρεώσεων», δηλαδή όταν το ίδρυμα δεν χρησιμοποιεί μια σαφή δ</w:t>
            </w:r>
            <w:r>
              <w:rPr>
                <w:rFonts w:ascii="Times New Roman" w:hAnsi="Times New Roman"/>
                <w:sz w:val="24"/>
              </w:rPr>
              <w:t>ο</w:t>
            </w:r>
            <w:r>
              <w:rPr>
                <w:rFonts w:ascii="Times New Roman" w:hAnsi="Times New Roman"/>
                <w:sz w:val="24"/>
              </w:rPr>
              <w:t>μή συσχετίσεων μεταξύ των κατηγοριών κινδύνου, επομένως το κεφάλαιο β</w:t>
            </w:r>
            <w:r>
              <w:rPr>
                <w:rFonts w:ascii="Times New Roman" w:hAnsi="Times New Roman"/>
                <w:sz w:val="24"/>
              </w:rPr>
              <w:t>ά</w:t>
            </w:r>
            <w:r>
              <w:rPr>
                <w:rFonts w:ascii="Times New Roman" w:hAnsi="Times New Roman"/>
                <w:sz w:val="24"/>
              </w:rPr>
              <w:t xml:space="preserve">σει των εξελιγμένων προσεγγίσεων μέτρησης υπολογίζεται αθροίζοντας τις </w:t>
            </w:r>
            <w:r>
              <w:rPr>
                <w:rFonts w:ascii="Times New Roman" w:hAnsi="Times New Roman"/>
                <w:sz w:val="24"/>
              </w:rPr>
              <w:t>ε</w:t>
            </w:r>
            <w:r>
              <w:rPr>
                <w:rFonts w:ascii="Times New Roman" w:hAnsi="Times New Roman"/>
                <w:sz w:val="24"/>
              </w:rPr>
              <w:t>πιμέρους μετρήσεις λειτουργικού κινδύνου των επιλεγμένων κατηγοριών κι</w:t>
            </w:r>
            <w:r>
              <w:rPr>
                <w:rFonts w:ascii="Times New Roman" w:hAnsi="Times New Roman"/>
                <w:sz w:val="24"/>
              </w:rPr>
              <w:t>ν</w:t>
            </w:r>
            <w:r>
              <w:rPr>
                <w:rFonts w:ascii="Times New Roman" w:hAnsi="Times New Roman"/>
                <w:sz w:val="24"/>
              </w:rPr>
              <w:t>δύνου. Στην περίπτωση αυτή, η συσχέτιση μεταξύ των κατηγοριών κινδύνου υποτίθεται ότι είναι 100 % και η τιμή στη στήλη πρέπει να τεθεί ίση με το μ</w:t>
            </w:r>
            <w:r>
              <w:rPr>
                <w:rFonts w:ascii="Times New Roman" w:hAnsi="Times New Roman"/>
                <w:sz w:val="24"/>
              </w:rPr>
              <w:t>η</w:t>
            </w:r>
            <w:r>
              <w:rPr>
                <w:rFonts w:ascii="Times New Roman" w:hAnsi="Times New Roman"/>
                <w:sz w:val="24"/>
              </w:rPr>
              <w:t>δέν. Αντιστρόφως, όταν το ίδρυμα υπολογίζει μια σαφή δομή συσχετίσεων μ</w:t>
            </w:r>
            <w:r>
              <w:rPr>
                <w:rFonts w:ascii="Times New Roman" w:hAnsi="Times New Roman"/>
                <w:sz w:val="24"/>
              </w:rPr>
              <w:t>ε</w:t>
            </w:r>
            <w:r>
              <w:rPr>
                <w:rFonts w:ascii="Times New Roman" w:hAnsi="Times New Roman"/>
                <w:sz w:val="24"/>
              </w:rPr>
              <w:t>ταξύ των κατηγοριών κινδύνου, πρέπει να συμπεριλάβει στη συγκεκριμένη στήλη τη διαφορά μεταξύ του κεφαλαίου βάσει των εξελιγμένων προσεγγίσ</w:t>
            </w:r>
            <w:r>
              <w:rPr>
                <w:rFonts w:ascii="Times New Roman" w:hAnsi="Times New Roman"/>
                <w:sz w:val="24"/>
              </w:rPr>
              <w:t>ε</w:t>
            </w:r>
            <w:r>
              <w:rPr>
                <w:rFonts w:ascii="Times New Roman" w:hAnsi="Times New Roman"/>
                <w:sz w:val="24"/>
              </w:rPr>
              <w:t>ων μέτρησης, όπως αυτό προκύπτει από την «περίπτωση αθέτησης υποχρε</w:t>
            </w:r>
            <w:r>
              <w:rPr>
                <w:rFonts w:ascii="Times New Roman" w:hAnsi="Times New Roman"/>
                <w:sz w:val="24"/>
              </w:rPr>
              <w:t>ώ</w:t>
            </w:r>
            <w:r>
              <w:rPr>
                <w:rFonts w:ascii="Times New Roman" w:hAnsi="Times New Roman"/>
                <w:sz w:val="24"/>
              </w:rPr>
              <w:t>σεων», και αυτού που λαμβάνεται μετά την εφαρμογή της δομής συσχετίσεων μεταξύ των κατηγοριών κινδύνου. Η τιμή αντανακλά τη «δυνατότητα διαφ</w:t>
            </w:r>
            <w:r>
              <w:rPr>
                <w:rFonts w:ascii="Times New Roman" w:hAnsi="Times New Roman"/>
                <w:sz w:val="24"/>
              </w:rPr>
              <w:t>ο</w:t>
            </w:r>
            <w:r>
              <w:rPr>
                <w:rFonts w:ascii="Times New Roman" w:hAnsi="Times New Roman"/>
                <w:sz w:val="24"/>
              </w:rPr>
              <w:t>ροποίησης» του μοντέλου εξελιγμένων προσεγγίσεων μέτρησης, δηλαδή την ικανότητα του μοντέλου να λαμβάνει υπόψη τη μη ταυτόχρονη πρόκληση σ</w:t>
            </w:r>
            <w:r>
              <w:rPr>
                <w:rFonts w:ascii="Times New Roman" w:hAnsi="Times New Roman"/>
                <w:sz w:val="24"/>
              </w:rPr>
              <w:t>ο</w:t>
            </w:r>
            <w:r>
              <w:rPr>
                <w:rFonts w:ascii="Times New Roman" w:hAnsi="Times New Roman"/>
                <w:sz w:val="24"/>
              </w:rPr>
              <w:t>βαρών ζημιογόνων γεγονότων λειτουργικού κινδύνου. Στη στήλη 110 πρέπει να αναφερθεί το ποσό κατά το οποίο η υποτιθέμενη δομή συσχέτισης μειώνει το κεφάλαιο βάσει των εξελιγμένων προσεγγίσεων μέτρησης σε σχέση με την υπόθεση της συσχέτισης κατά 100 %.</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877" w:type="dxa"/>
          </w:tcPr>
          <w:p w:rsidR="00AC6255" w:rsidRPr="00392FFD"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ΜΕΙΩΣΗ ΤΗΣ ΑΠΑΙΤΗΣΗΣ ΙΔΙΩΝ ΚΕΦΑΛΑΙΩΝ ΠΟΥ ΟΦΕΙΛ</w:t>
            </w:r>
            <w:r>
              <w:rPr>
                <w:rStyle w:val="InstructionsTabelleberschrift"/>
                <w:rFonts w:ascii="Times New Roman" w:hAnsi="Times New Roman"/>
                <w:sz w:val="24"/>
              </w:rPr>
              <w:t>Ε</w:t>
            </w:r>
            <w:r>
              <w:rPr>
                <w:rStyle w:val="InstructionsTabelleberschrift"/>
                <w:rFonts w:ascii="Times New Roman" w:hAnsi="Times New Roman"/>
                <w:sz w:val="24"/>
              </w:rPr>
              <w:t>ΤΑΙ ΣΤΙΣ ΤΕΧΝΙΚΕΣ ΜΕΙΩΣΗΣ ΤΟΥ ΚΙΝΔΥΝΟΥ (ΑΣΦΑΛΙΣΗ ΚΑΙ ΑΛΛΟΙ ΜΗΧΑΝΙΣΜΟΙ ΜΕΤΑΦΟΡΑΣ ΚΙΝΔΥΝΟΥ)</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 xml:space="preserve">Στη στήλη 120 αναφέρεται η επίπτωση της ασφάλισης και άλλων μηχανισμών μεταφοράς κινδύνου, σύμφωνα με το άρθρο 323 παράγραφοι 1 έως 5 του </w:t>
            </w:r>
            <w:r>
              <w:rPr>
                <w:rFonts w:ascii="Times New Roman" w:hAnsi="Times New Roman"/>
                <w:sz w:val="24"/>
              </w:rPr>
              <w:t>Κ</w:t>
            </w:r>
            <w:r>
              <w:rPr>
                <w:rFonts w:ascii="Times New Roman" w:hAnsi="Times New Roman"/>
                <w:sz w:val="24"/>
              </w:rPr>
              <w:t>ΚΑ.</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bl>
    <w:p w:rsidR="00AC6255" w:rsidRPr="00392FFD" w:rsidRDefault="00AC6255" w:rsidP="00AC6255">
      <w:pPr>
        <w:autoSpaceDE w:val="0"/>
        <w:autoSpaceDN w:val="0"/>
        <w:adjustRightInd w:val="0"/>
        <w:spacing w:before="0" w:after="0"/>
        <w:rPr>
          <w:rFonts w:ascii="Times New Roman" w:hAnsi="Times New Roman"/>
          <w:sz w:val="24"/>
        </w:rPr>
      </w:pPr>
    </w:p>
    <w:p w:rsidR="00AC6255" w:rsidRPr="00392FFD" w:rsidRDefault="00AC6255" w:rsidP="00AC6255">
      <w:pPr>
        <w:autoSpaceDE w:val="0"/>
        <w:autoSpaceDN w:val="0"/>
        <w:adjustRightInd w:val="0"/>
        <w:spacing w:before="0" w:after="0"/>
        <w:rPr>
          <w:rFonts w:ascii="Times New Roman" w:hAnsi="Times New Roman"/>
          <w:sz w:val="24"/>
        </w:rPr>
      </w:pPr>
    </w:p>
    <w:p w:rsidR="00AC6255" w:rsidRPr="00321A3B"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18"/>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Γραμμές</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010 </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ΔΡΑΣΤΗΡΙΟΤΗΤΕΣ ΤΡΑΠΕΖΙΚΗΣ ΠΟΥ ΥΠΟΚΕΙΝΤΑΙ ΣΤΗΝ ΠΡ</w:t>
            </w:r>
            <w:r>
              <w:rPr>
                <w:rStyle w:val="InstructionsTabelleberschrift"/>
                <w:rFonts w:ascii="Times New Roman" w:hAnsi="Times New Roman"/>
                <w:sz w:val="24"/>
              </w:rPr>
              <w:t>Ο</w:t>
            </w:r>
            <w:r>
              <w:rPr>
                <w:rStyle w:val="InstructionsTabelleberschrift"/>
                <w:rFonts w:ascii="Times New Roman" w:hAnsi="Times New Roman"/>
                <w:sz w:val="24"/>
              </w:rPr>
              <w:t>ΣΕΓΓΙΣΗ ΒΑΣΙΚΟΥ ΔΕΙΚΤΗ (BIA)</w:t>
            </w:r>
          </w:p>
          <w:p w:rsidR="00AC6255" w:rsidRPr="00392FFD" w:rsidRDefault="00AC6255" w:rsidP="000B0B09">
            <w:pPr>
              <w:pStyle w:val="PlainText"/>
              <w:jc w:val="both"/>
              <w:rPr>
                <w:rFonts w:ascii="Times New Roman" w:eastAsia="Times New Roman" w:hAnsi="Times New Roman"/>
                <w:sz w:val="24"/>
                <w:szCs w:val="24"/>
              </w:rPr>
            </w:pPr>
          </w:p>
          <w:p w:rsidR="00AC6255" w:rsidRPr="00392FFD" w:rsidRDefault="00AC6255" w:rsidP="000B0B09">
            <w:pPr>
              <w:pStyle w:val="PlainText"/>
              <w:jc w:val="both"/>
              <w:rPr>
                <w:rFonts w:ascii="Times New Roman" w:eastAsia="Times New Roman" w:hAnsi="Times New Roman"/>
                <w:sz w:val="24"/>
                <w:szCs w:val="24"/>
              </w:rPr>
            </w:pPr>
            <w:r>
              <w:rPr>
                <w:rFonts w:ascii="Times New Roman" w:hAnsi="Times New Roman"/>
                <w:sz w:val="24"/>
              </w:rPr>
              <w:t>Στη συγκεκριμένη γραμμή παρουσιάζονται τα ποσά που αντιστοιχούν στις δραστηριότητες που υπόκεινται στην προσέγγιση βασικού δείκτη για τον υπ</w:t>
            </w:r>
            <w:r>
              <w:rPr>
                <w:rFonts w:ascii="Times New Roman" w:hAnsi="Times New Roman"/>
                <w:sz w:val="24"/>
              </w:rPr>
              <w:t>ο</w:t>
            </w:r>
            <w:r>
              <w:rPr>
                <w:rFonts w:ascii="Times New Roman" w:hAnsi="Times New Roman"/>
                <w:sz w:val="24"/>
              </w:rPr>
              <w:t>λογισμό της απαίτησης ιδίων κεφαλαίων για τον λειτουργικό κίνδυνο (άρθρα 315 και 316 του ΚΚΑ).</w:t>
            </w:r>
          </w:p>
          <w:p w:rsidR="00AC6255" w:rsidRPr="00392FFD" w:rsidRDefault="00AC6255" w:rsidP="000B0B09">
            <w:pPr>
              <w:pStyle w:val="PlainText"/>
              <w:jc w:val="both"/>
              <w:rPr>
                <w:rFonts w:ascii="Times New Roman" w:eastAsia="Times New Roman" w:hAnsi="Times New Roman"/>
                <w:bCs/>
                <w:sz w:val="24"/>
                <w:szCs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ΤΡΑΠΕΖΙΚΕΣ ΔΡΑΣΤΗΡΙΟΤΗΤΕΣ ΠΟΥ ΥΠΟΚΕΙΝΤΑΙ ΣΤΗΝ Τ</w:t>
            </w:r>
            <w:r>
              <w:rPr>
                <w:rStyle w:val="InstructionsTabelleberschrift"/>
                <w:rFonts w:ascii="Times New Roman" w:hAnsi="Times New Roman"/>
                <w:sz w:val="24"/>
              </w:rPr>
              <w:t>Υ</w:t>
            </w:r>
            <w:r>
              <w:rPr>
                <w:rStyle w:val="InstructionsTabelleberschrift"/>
                <w:rFonts w:ascii="Times New Roman" w:hAnsi="Times New Roman"/>
                <w:sz w:val="24"/>
              </w:rPr>
              <w:t>ΠΟΠΟΙΗΜΕΝΗ ΠΡΟΣΕΓΓΙΣΗ (TSA) / ΕΝΑΛΛΑΚΤΙΚΗ ΤΥΠΟΠΟ</w:t>
            </w:r>
            <w:r>
              <w:rPr>
                <w:rStyle w:val="InstructionsTabelleberschrift"/>
                <w:rFonts w:ascii="Times New Roman" w:hAnsi="Times New Roman"/>
                <w:sz w:val="24"/>
              </w:rPr>
              <w:t>Ι</w:t>
            </w:r>
            <w:r>
              <w:rPr>
                <w:rStyle w:val="InstructionsTabelleberschrift"/>
                <w:rFonts w:ascii="Times New Roman" w:hAnsi="Times New Roman"/>
                <w:sz w:val="24"/>
              </w:rPr>
              <w:t>ΗΜΕΝΗ ΠΡΟΣΕΓΓΙΣΗ (ASA)</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Αναφέρεται η απαίτηση ιδίων κεφαλαίων που υπολογίζεται σύμφωνα με την τυποποιημένη προσέγγιση και την εναλλακτική τυποποιημένη προσέγγιση (άρθρα 317 έως 319 του ΚΚΑ).</w:t>
            </w:r>
          </w:p>
          <w:p w:rsidR="00AC6255" w:rsidRPr="00392FFD" w:rsidRDefault="00AC6255" w:rsidP="000B0B09">
            <w:pPr>
              <w:autoSpaceDE w:val="0"/>
              <w:autoSpaceDN w:val="0"/>
              <w:adjustRightInd w:val="0"/>
              <w:spacing w:before="0" w:after="0"/>
              <w:rPr>
                <w:rFonts w:ascii="Times New Roman" w:hAnsi="Times New Roman"/>
                <w:bCs/>
                <w:sz w:val="24"/>
              </w:rPr>
            </w:pPr>
          </w:p>
        </w:tc>
      </w:tr>
      <w:tr w:rsidR="00AC6255" w:rsidRPr="00392FFD" w:rsidTr="00672D2A">
        <w:trPr>
          <w:trHeight w:val="1705"/>
        </w:trPr>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030-100</w:t>
            </w:r>
          </w:p>
        </w:tc>
        <w:tc>
          <w:tcPr>
            <w:tcW w:w="7877" w:type="dxa"/>
          </w:tcPr>
          <w:p w:rsidR="00AC6255" w:rsidRPr="00392FFD"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ΠΟΥ ΥΠΟΚΕΙΝΤΑΙ ΣΤΗΝ ΤΥΠΟΠΟΙΗΜΕΝΗ ΠΡΟΣΕΓΓΙΣΗ (TSA)</w:t>
            </w:r>
          </w:p>
          <w:p w:rsidR="00AC6255" w:rsidRPr="00392FFD" w:rsidRDefault="00AC6255" w:rsidP="00A95FD0">
            <w:pPr>
              <w:autoSpaceDE w:val="0"/>
              <w:autoSpaceDN w:val="0"/>
              <w:adjustRightInd w:val="0"/>
              <w:spacing w:before="0" w:after="0"/>
              <w:jc w:val="left"/>
              <w:rPr>
                <w:rFonts w:ascii="Times New Roman" w:hAnsi="Times New Roman"/>
                <w:bCs/>
                <w:sz w:val="24"/>
              </w:rPr>
            </w:pPr>
            <w:r>
              <w:rPr>
                <w:rFonts w:ascii="Times New Roman" w:hAnsi="Times New Roman"/>
                <w:sz w:val="24"/>
              </w:rPr>
              <w:t>Στην περίπτωση χρήσης της τυποποιημένης προσέγγισης, ο σχετικός δείκτης για κάθε αντίστοιχο έτος κατανέμεται στις γραμμές 030 έως 100 μεταξύ των επιχειρηματικών τομέων που ορίζονται στον πίνακα 2 του άρθρου 317 του ΚΚΑ. Η αντιστοίχιση των δραστηριοτήτων με τους επιχειρηματικούς τομείς ακολουθεί τις αρχές που περιγράφονται στο άρθρο 318 του ΚΚΑ.</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110-120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ΠΟΥ ΥΠΟΚΕΙΝΤΑΙ ΣΤΗΝ ΕΝΑΛΛΑΚΤΙΚΗ ΤΥΠΟΠΟΙΗΜΕΝΗ ΠΡΟΣΕΓΓΙΣΗ (ΑSA)</w:t>
            </w:r>
          </w:p>
          <w:p w:rsidR="00AC6255" w:rsidRPr="00392FFD" w:rsidRDefault="00AC6255" w:rsidP="000B0B09">
            <w:pPr>
              <w:rPr>
                <w:rFonts w:ascii="Times New Roman" w:hAnsi="Times New Roman"/>
                <w:sz w:val="24"/>
              </w:rPr>
            </w:pPr>
            <w:r>
              <w:rPr>
                <w:rFonts w:ascii="Times New Roman" w:hAnsi="Times New Roman"/>
                <w:sz w:val="24"/>
              </w:rPr>
              <w:t xml:space="preserve">Τα ιδρύματα που χρησιμοποιούν την εναλλακτική τυποποιημένη προσέγγιση (άρθρο 319 του ΚΚΑ) αναφέρουν για τα αντίστοιχα έτη τον σχετικό δείκτη χωριστά για κάθε επιχειρηματικό τομέα στις γραμμές 030 έως 050 και 080 έως 100 και στις γραμμές 110 έως 120 για τους επιχειρηματικούς τομείς «εμπορική τραπεζική» και «λιανική τραπεζική». </w:t>
            </w:r>
          </w:p>
          <w:p w:rsidR="00AC6255" w:rsidRPr="00392FFD" w:rsidRDefault="00AC6255" w:rsidP="000B0B09">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Οι γραμμές 110 έως 120 παρουσιάζουν το ποσό του σχετικού δείκτη</w:t>
            </w:r>
            <w:r>
              <w:t xml:space="preserve"> </w:t>
            </w:r>
            <w:r>
              <w:rPr>
                <w:rStyle w:val="InstructionsTabelleText"/>
                <w:rFonts w:ascii="Times New Roman" w:hAnsi="Times New Roman"/>
                <w:sz w:val="24"/>
              </w:rPr>
              <w:t>των δρ</w:t>
            </w:r>
            <w:r>
              <w:rPr>
                <w:rStyle w:val="InstructionsTabelleText"/>
                <w:rFonts w:ascii="Times New Roman" w:hAnsi="Times New Roman"/>
                <w:sz w:val="24"/>
              </w:rPr>
              <w:t>α</w:t>
            </w:r>
            <w:r>
              <w:rPr>
                <w:rStyle w:val="InstructionsTabelleText"/>
                <w:rFonts w:ascii="Times New Roman" w:hAnsi="Times New Roman"/>
                <w:sz w:val="24"/>
              </w:rPr>
              <w:t>στηριοτήτων που υπόκεινται στην εναλλακτική τυποποιημένη προσέγγιση, κ</w:t>
            </w:r>
            <w:r>
              <w:rPr>
                <w:rStyle w:val="InstructionsTabelleText"/>
                <w:rFonts w:ascii="Times New Roman" w:hAnsi="Times New Roman"/>
                <w:sz w:val="24"/>
              </w:rPr>
              <w:t>ά</w:t>
            </w:r>
            <w:r>
              <w:rPr>
                <w:rStyle w:val="InstructionsTabelleText"/>
                <w:rFonts w:ascii="Times New Roman" w:hAnsi="Times New Roman"/>
                <w:sz w:val="24"/>
              </w:rPr>
              <w:t>νοντας διάκριση μεταξύ αυτών που αντιστοιχούν στον επιχειρηματικό τομέα «εμπορική τραπεζική» και αυτών που αντιστοιχούν στον επιχειρηματικό τομέα «λιανική τραπεζική» (άρθρο 319</w:t>
            </w:r>
            <w:r>
              <w:t xml:space="preserve"> του ΚΚΑ).</w:t>
            </w:r>
            <w:r>
              <w:rPr>
                <w:rStyle w:val="InstructionsTabelleText"/>
                <w:rFonts w:ascii="Times New Roman" w:hAnsi="Times New Roman"/>
                <w:sz w:val="24"/>
              </w:rPr>
              <w:t xml:space="preserve"> Δύναται να υπάρχουν ποσά για τις </w:t>
            </w:r>
            <w:r>
              <w:rPr>
                <w:rStyle w:val="InstructionsTabelleText"/>
                <w:rFonts w:ascii="Times New Roman" w:hAnsi="Times New Roman"/>
                <w:sz w:val="24"/>
              </w:rPr>
              <w:lastRenderedPageBreak/>
              <w:t>γραμμές που αντιστοιχούν στην «εμπορική τραπεζική» και στη «λιανική τρ</w:t>
            </w:r>
            <w:r>
              <w:rPr>
                <w:rStyle w:val="InstructionsTabelleText"/>
                <w:rFonts w:ascii="Times New Roman" w:hAnsi="Times New Roman"/>
                <w:sz w:val="24"/>
              </w:rPr>
              <w:t>α</w:t>
            </w:r>
            <w:r>
              <w:rPr>
                <w:rStyle w:val="InstructionsTabelleText"/>
                <w:rFonts w:ascii="Times New Roman" w:hAnsi="Times New Roman"/>
                <w:sz w:val="24"/>
              </w:rPr>
              <w:t>πεζική» βάσει της τυποποιημένης προσέγγισης (γραμμές 060 και 070), καθώς και βάσει της εναλλακτικής τυποποιημένης προσέγγισης στις γραμμές 110 και 120 (π.χ. εάν μια θυγατρική υπόκειται στην τυποποιημένη προσέγγιση, ενώ η μητρική οντότητα υπόκειται στην εναλλακτική τυποποιημένη προσέγγιση).</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130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ΤΡΑΠΕΖΙΚΕΣ ΔΡΑΣΤΗΡΙΟΤΗΤΕΣ ΠΟΥ ΥΠΟΚΕΙΝΤΑΙ ΣΕ ΕΞ</w:t>
            </w:r>
            <w:r>
              <w:rPr>
                <w:rStyle w:val="InstructionsTabelleberschrift"/>
                <w:rFonts w:ascii="Times New Roman" w:hAnsi="Times New Roman"/>
                <w:sz w:val="24"/>
              </w:rPr>
              <w:t>Ε</w:t>
            </w:r>
            <w:r>
              <w:rPr>
                <w:rStyle w:val="InstructionsTabelleberschrift"/>
                <w:rFonts w:ascii="Times New Roman" w:hAnsi="Times New Roman"/>
                <w:sz w:val="24"/>
              </w:rPr>
              <w:t>ΛΙΓΜΕΝΕΣ ΠΡΟΣΕΓΓΙΣΕΙΣ ΜΕΤΡΗΣΗΣ (AMA)</w:t>
            </w:r>
          </w:p>
          <w:p w:rsidR="00AC6255" w:rsidRPr="00392FFD" w:rsidRDefault="00AC6255" w:rsidP="000B0B09">
            <w:pPr>
              <w:autoSpaceDE w:val="0"/>
              <w:autoSpaceDN w:val="0"/>
              <w:adjustRightInd w:val="0"/>
              <w:spacing w:before="0" w:after="0"/>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Αναφέρονται τα σχετικά δεδομένα για τα ιδρύματα που υπόκεινται σε εξελι</w:t>
            </w:r>
            <w:r>
              <w:rPr>
                <w:rFonts w:ascii="Times New Roman" w:hAnsi="Times New Roman"/>
                <w:sz w:val="24"/>
              </w:rPr>
              <w:t>γ</w:t>
            </w:r>
            <w:r>
              <w:rPr>
                <w:rFonts w:ascii="Times New Roman" w:hAnsi="Times New Roman"/>
                <w:sz w:val="24"/>
              </w:rPr>
              <w:t xml:space="preserve">μένες προσεγγίσεις μέτρησης (άρθρο 312 παράγραφος 2 και άρθρα 321 έως 323 του ΚΚΑ).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Στην περίπτωση συνδυασμένης χρήσης διαφορετικών προσεγγίσεων, όπως </w:t>
            </w:r>
            <w:r>
              <w:rPr>
                <w:rFonts w:ascii="Times New Roman" w:hAnsi="Times New Roman"/>
                <w:sz w:val="24"/>
              </w:rPr>
              <w:t>α</w:t>
            </w:r>
            <w:r>
              <w:rPr>
                <w:rFonts w:ascii="Times New Roman" w:hAnsi="Times New Roman"/>
                <w:sz w:val="24"/>
              </w:rPr>
              <w:t>ναφέρεται στο άρθρο 314 του ΚΚΑ, αναφέρονται οι πληροφορίες σχετικού δείκτη για τις δραστηριότητες που υπόκεινται σε εξελιγμένες προσεγγίσεις μ</w:t>
            </w:r>
            <w:r>
              <w:rPr>
                <w:rFonts w:ascii="Times New Roman" w:hAnsi="Times New Roman"/>
                <w:sz w:val="24"/>
              </w:rPr>
              <w:t>έ</w:t>
            </w:r>
            <w:r>
              <w:rPr>
                <w:rFonts w:ascii="Times New Roman" w:hAnsi="Times New Roman"/>
                <w:sz w:val="24"/>
              </w:rPr>
              <w:t>τρησης. Το ίδιο ισχύει για όλες τις άλλες τράπεζες που εφαρμόζουν εξελιγμ</w:t>
            </w:r>
            <w:r>
              <w:rPr>
                <w:rFonts w:ascii="Times New Roman" w:hAnsi="Times New Roman"/>
                <w:sz w:val="24"/>
              </w:rPr>
              <w:t>έ</w:t>
            </w:r>
            <w:r>
              <w:rPr>
                <w:rFonts w:ascii="Times New Roman" w:hAnsi="Times New Roman"/>
                <w:sz w:val="24"/>
              </w:rPr>
              <w:t>νες προσεγγίσεις μέτρησης.</w:t>
            </w:r>
          </w:p>
          <w:p w:rsidR="00AC6255" w:rsidRPr="00392FFD" w:rsidRDefault="00AC6255" w:rsidP="000B0B09">
            <w:pPr>
              <w:autoSpaceDE w:val="0"/>
              <w:autoSpaceDN w:val="0"/>
              <w:adjustRightInd w:val="0"/>
              <w:spacing w:before="0" w:after="0"/>
              <w:rPr>
                <w:rFonts w:ascii="Times New Roman" w:hAnsi="Times New Roman"/>
                <w:bCs/>
                <w:sz w:val="24"/>
              </w:rPr>
            </w:pPr>
          </w:p>
        </w:tc>
      </w:tr>
    </w:tbl>
    <w:p w:rsidR="00AC6255" w:rsidRPr="00321A3B" w:rsidRDefault="00AC6255" w:rsidP="00AC6255">
      <w:pPr>
        <w:pStyle w:val="PlainText"/>
        <w:jc w:val="both"/>
        <w:rPr>
          <w:rFonts w:ascii="Times New Roman" w:hAnsi="Times New Roman"/>
          <w:sz w:val="24"/>
          <w:szCs w:val="24"/>
        </w:rPr>
      </w:pPr>
    </w:p>
    <w:p w:rsidR="00AC6255" w:rsidRPr="00392FFD" w:rsidRDefault="00AC6255" w:rsidP="00AC6255">
      <w:pPr>
        <w:rPr>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52" w:name="_Toc473560939"/>
      <w:bookmarkStart w:id="453" w:name="_Toc473560940"/>
      <w:bookmarkStart w:id="454" w:name="_Toc473560941"/>
      <w:bookmarkStart w:id="455" w:name="_Toc473560942"/>
      <w:bookmarkStart w:id="456" w:name="_Toc473560943"/>
      <w:bookmarkStart w:id="457" w:name="_Toc473560944"/>
      <w:bookmarkStart w:id="458" w:name="_Toc473560945"/>
      <w:bookmarkStart w:id="459" w:name="_Toc473560946"/>
      <w:bookmarkStart w:id="460" w:name="_Toc473560947"/>
      <w:bookmarkStart w:id="461" w:name="_Toc473560948"/>
      <w:bookmarkStart w:id="462" w:name="_Toc473560949"/>
      <w:bookmarkStart w:id="463" w:name="_Toc473560950"/>
      <w:bookmarkStart w:id="464" w:name="_Toc473560951"/>
      <w:bookmarkStart w:id="465" w:name="_Toc473560952"/>
      <w:bookmarkStart w:id="466" w:name="_Toc473560953"/>
      <w:bookmarkStart w:id="467" w:name="_Toc473560954"/>
      <w:bookmarkStart w:id="468" w:name="_Toc473560955"/>
      <w:bookmarkStart w:id="469" w:name="_Toc473560956"/>
      <w:bookmarkStart w:id="470" w:name="_Toc473560957"/>
      <w:bookmarkStart w:id="471" w:name="_Toc473560958"/>
      <w:bookmarkStart w:id="472" w:name="_Toc473560959"/>
      <w:bookmarkStart w:id="473" w:name="_Toc473560960"/>
      <w:bookmarkStart w:id="474" w:name="_Toc473560961"/>
      <w:bookmarkStart w:id="475" w:name="_Toc473560962"/>
      <w:bookmarkStart w:id="476" w:name="_Toc473560963"/>
      <w:bookmarkStart w:id="477" w:name="_Toc473560964"/>
      <w:bookmarkStart w:id="478" w:name="_Toc473560965"/>
      <w:bookmarkStart w:id="479" w:name="_Toc473560966"/>
      <w:bookmarkStart w:id="480" w:name="_Toc473560967"/>
      <w:bookmarkStart w:id="481" w:name="_Toc473560968"/>
      <w:bookmarkStart w:id="482" w:name="_Toc473560969"/>
      <w:bookmarkStart w:id="483" w:name="_Toc473560970"/>
      <w:bookmarkStart w:id="484" w:name="_Toc473560989"/>
      <w:bookmarkStart w:id="485" w:name="_Toc473560990"/>
      <w:bookmarkStart w:id="486" w:name="_Toc473561022"/>
      <w:bookmarkStart w:id="487" w:name="_Toc516210674"/>
      <w:bookmarkStart w:id="488" w:name="_Toc473561023"/>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imes New Roman" w:hAnsi="Times New Roman"/>
          <w:sz w:val="24"/>
          <w:u w:val="none"/>
        </w:rPr>
        <w:t>4.2.</w:t>
      </w:r>
      <w:r>
        <w:tab/>
      </w:r>
      <w:r>
        <w:rPr>
          <w:rFonts w:ascii="Times New Roman" w:hAnsi="Times New Roman"/>
          <w:sz w:val="24"/>
        </w:rPr>
        <w:t>Λειτουργικός κίνδυνος: Λεπτομερείς πληροφορίες σχετικά με τις ζημίες το προηγο</w:t>
      </w:r>
      <w:r>
        <w:rPr>
          <w:rFonts w:ascii="Times New Roman" w:hAnsi="Times New Roman"/>
          <w:sz w:val="24"/>
        </w:rPr>
        <w:t>ύ</w:t>
      </w:r>
      <w:r>
        <w:rPr>
          <w:rFonts w:ascii="Times New Roman" w:hAnsi="Times New Roman"/>
          <w:sz w:val="24"/>
        </w:rPr>
        <w:t>μενο έτος (OPR DETAILS)</w:t>
      </w:r>
      <w:bookmarkEnd w:id="487"/>
      <w:bookmarkEnd w:id="488"/>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89" w:name="_Toc516210675"/>
      <w:bookmarkStart w:id="490" w:name="_Toc473561024"/>
      <w:r>
        <w:rPr>
          <w:rFonts w:ascii="Times New Roman" w:hAnsi="Times New Roman"/>
          <w:sz w:val="24"/>
          <w:u w:val="none"/>
        </w:rPr>
        <w:t>4.2.1.</w:t>
      </w:r>
      <w:r>
        <w:tab/>
      </w:r>
      <w:r>
        <w:rPr>
          <w:rFonts w:ascii="Times New Roman" w:hAnsi="Times New Roman"/>
          <w:sz w:val="24"/>
        </w:rPr>
        <w:t>Γενικές παρατηρήσεις</w:t>
      </w:r>
      <w:bookmarkEnd w:id="489"/>
      <w:bookmarkEnd w:id="490"/>
    </w:p>
    <w:p w:rsidR="00FD54FC" w:rsidRPr="00392FFD" w:rsidRDefault="00125707" w:rsidP="00C37B29">
      <w:pPr>
        <w:pStyle w:val="InstructionsText2"/>
        <w:numPr>
          <w:ilvl w:val="0"/>
          <w:numId w:val="0"/>
        </w:numPr>
        <w:ind w:left="993"/>
      </w:pPr>
      <w:r>
        <w:t>120.</w:t>
      </w:r>
      <w:r>
        <w:tab/>
        <w:t xml:space="preserve">Στο υπόδειγμα C 17.01 (OPR DETAILS 1) συνοψίζονται οι πληροφορίες για τις ακαθάριστες ζημίες και τις ανακτήσεις ζημιών που κατέγραψε ένα ίδρυμα το προηγούμενο έτος ανά κατηγορίες γεγονότων και επιχειρηματικούς τομείς. Στο </w:t>
      </w:r>
      <w:r>
        <w:t>υ</w:t>
      </w:r>
      <w:r>
        <w:t>πόδειγμα C 17.02 (OPR DETAILS 2) παρέχονται λεπτομερείς πληροφορίες σχετ</w:t>
      </w:r>
      <w:r>
        <w:t>ι</w:t>
      </w:r>
      <w:r>
        <w:t xml:space="preserve">κά με τα μεγαλύτερα ζημιογόνα γεγονότα κατά το προηγούμενο έτος. </w:t>
      </w:r>
    </w:p>
    <w:p w:rsidR="00FD54FC" w:rsidRPr="00392FFD" w:rsidRDefault="00125707" w:rsidP="00C37B29">
      <w:pPr>
        <w:pStyle w:val="InstructionsText2"/>
        <w:numPr>
          <w:ilvl w:val="0"/>
          <w:numId w:val="0"/>
        </w:numPr>
        <w:ind w:left="993"/>
      </w:pPr>
      <w:r>
        <w:t>121.</w:t>
      </w:r>
      <w:r>
        <w:tab/>
        <w:t>Οι ζημίες από λειτουργικό κίνδυνο που συνδέονται με τον πιστωτικό κίνδυνο και υπόκεινται σε απαιτήσεις ιδίων κεφαλαίων για τον πιστωτικό κίνδυνο (ακραία γεγονότα λειτουργικού κινδύνου που σχετίζονται με τον πιστωτικό κίνδυνο) δεν εξετάζονται ούτε στο υπόδειγμα C 17.01 ούτε στο υπόδειγμα C 17.02.</w:t>
      </w:r>
    </w:p>
    <w:p w:rsidR="00FD54FC" w:rsidRPr="00392FFD" w:rsidRDefault="00125707" w:rsidP="00C37B29">
      <w:pPr>
        <w:pStyle w:val="InstructionsText2"/>
        <w:numPr>
          <w:ilvl w:val="0"/>
          <w:numId w:val="0"/>
        </w:numPr>
        <w:ind w:left="993"/>
      </w:pPr>
      <w:r>
        <w:t>122.</w:t>
      </w:r>
      <w:r>
        <w:tab/>
        <w:t>Στην περίπτωση συνδυασμένης χρήσης διαφορετικών προσεγγίσεων για τον υπολογισμό των απαιτήσεων ιδίων κεφαλαίων για τον λειτουργικό κίνδυνο, σύ</w:t>
      </w:r>
      <w:r>
        <w:t>μ</w:t>
      </w:r>
      <w:r>
        <w:t>φωνα με το άρθρο 314 του ΚΚΑ, οι ζημίες και οι ανακτήσεις τις οποίες κατέγραψε ένα ίδρυμα αναφέρονται στα υποδείγματα C 17.01 και C 17.02, ανεξαρτήτως της προσέγγισης που εφαρμόζεται για τον υπολογισμό των απαιτήσεων ιδίων κεφ</w:t>
      </w:r>
      <w:r>
        <w:t>α</w:t>
      </w:r>
      <w:r>
        <w:t>λαίων.</w:t>
      </w:r>
    </w:p>
    <w:p w:rsidR="00FD54FC" w:rsidRPr="00392FFD" w:rsidRDefault="00125707" w:rsidP="00C37B29">
      <w:pPr>
        <w:pStyle w:val="InstructionsText2"/>
        <w:numPr>
          <w:ilvl w:val="0"/>
          <w:numId w:val="0"/>
        </w:numPr>
        <w:ind w:left="993"/>
      </w:pPr>
      <w:r>
        <w:t>123.</w:t>
      </w:r>
      <w:r>
        <w:tab/>
        <w:t>Ως «ακαθάριστη ζημία» νοείται μια ζημία που απορρέει από ένα γεγονός ή κ</w:t>
      </w:r>
      <w:r>
        <w:t>α</w:t>
      </w:r>
      <w:r>
        <w:t>τηγορία γεγονότος λειτουργικού κινδύνου —όπως αναφέρεται στο άρθρο 322 π</w:t>
      </w:r>
      <w:r>
        <w:t>α</w:t>
      </w:r>
      <w:r>
        <w:t xml:space="preserve">ράγραφος 3 στοιχείο β) του ΚΚΑ— πριν από τις ανακτήσεις οποιουδήποτε τύπου, με την επιφύλαξη των «γεγονότων ταχέως ανακτώμενων ζημιών», όπως ορίζονται κατωτέρω. </w:t>
      </w:r>
    </w:p>
    <w:p w:rsidR="00FD54FC" w:rsidRPr="00392FFD" w:rsidRDefault="00125707" w:rsidP="00C37B29">
      <w:pPr>
        <w:pStyle w:val="InstructionsText2"/>
        <w:numPr>
          <w:ilvl w:val="0"/>
          <w:numId w:val="0"/>
        </w:numPr>
        <w:ind w:left="993"/>
      </w:pPr>
      <w:r>
        <w:lastRenderedPageBreak/>
        <w:t>124.</w:t>
      </w:r>
      <w:r>
        <w:tab/>
        <w:t>Ως «ανάκτηση» νοείται ένα ανεξάρτητο συμβάν που σχετίζεται με την αρχική ζημία λειτουργικού κινδύνου, που είναι διακριτό ως προς τη χρονική στιγμή, στο οποίο εισροές κεφαλαίων ή οικονομικών οφελών λαμβάνονται από πρώτα ή τρίτα μέρη, όπως ασφαλιστικές εταιρείες ή άλλα μέρη. Οι ανακτήσεις κατανέμονται σε ανακτήσεις από ασφαλίσεις και άλλους μηχανισμούς μεταφοράς κινδύνου και σε άμεσες ανακτήσεις.</w:t>
      </w:r>
    </w:p>
    <w:p w:rsidR="00FD54FC" w:rsidRPr="00392FFD" w:rsidRDefault="00125707" w:rsidP="00C37B29">
      <w:pPr>
        <w:pStyle w:val="InstructionsText2"/>
        <w:numPr>
          <w:ilvl w:val="0"/>
          <w:numId w:val="0"/>
        </w:numPr>
        <w:ind w:left="993"/>
      </w:pPr>
      <w:r>
        <w:t>125.</w:t>
      </w:r>
      <w:r>
        <w:tab/>
        <w:t xml:space="preserve">Ως «γεγονότα ταχέως ανακτώμενων ζημιών» νοούνται γεγονότα λειτουργικού κινδύνου τα οποία οδηγούν σε ζημίες οι οποίες ανακτώνται, εν μέρει ή πλήρως, </w:t>
      </w:r>
      <w:r>
        <w:t>ε</w:t>
      </w:r>
      <w:r>
        <w:t>ντός πέντε εργάσιμων ημερών. Σε περίπτωση γεγονότος ταχέως ανακτώμενων ζ</w:t>
      </w:r>
      <w:r>
        <w:t>η</w:t>
      </w:r>
      <w:r>
        <w:t>μιών, μόνο το τμήμα της ζημίας που δεν έχει πλήρως ανακτηθεί (δηλαδή η ζημία μείον τη μερική ταχεία ανάκτηση) περιλαμβάνεται στον ορισμό της ακαθάριστης ζημίας. Κατά συνέπεια, τα ζημιογόνα γεγονότα που οδηγούν σε ζημίες που αν</w:t>
      </w:r>
      <w:r>
        <w:t>α</w:t>
      </w:r>
      <w:r>
        <w:t>κτώνται πλήρως εντός πέντε εργάσιμων ημερών δεν περιλαμβάνονται καθόλου στον ορισμό της ακαθάριστης ζημίας, ούτε στην αναφορά του υποδείγματος OPR DETAILS.</w:t>
      </w:r>
    </w:p>
    <w:p w:rsidR="00FD54FC" w:rsidRPr="00392FFD" w:rsidRDefault="00125707" w:rsidP="00C37B29">
      <w:pPr>
        <w:pStyle w:val="InstructionsText2"/>
        <w:numPr>
          <w:ilvl w:val="0"/>
          <w:numId w:val="0"/>
        </w:numPr>
        <w:ind w:left="993"/>
      </w:pPr>
      <w:r>
        <w:t>126.</w:t>
      </w:r>
      <w:r>
        <w:tab/>
        <w:t xml:space="preserve">Ως «ημερομηνία λογιστικής εγγραφής» νοείται η ημερομηνία κατά την οποία μια ζημία ή απόθεμα/πρόβλεψη αναγνωρίστηκε για πρώτη φορά στον λογαριασμό κερδών και ζημιών, έναντι μιας ζημίας λειτουργικού κινδύνου. Η ημερομηνία αυτή ακολουθεί λογικά την «ημερομηνία συμβάντος» (δηλαδή την ημερομηνία κατά την οποία συνέβη ή άρχισε το γεγονός λειτουργικού κινδύνου) και την «ημερομηνία διαπίστωσης» (δηλαδή την ημερομηνία κατά την οποία το ίδρυμα έλαβε γνώση του γεγονότος λειτουργικού κινδύνου). </w:t>
      </w:r>
    </w:p>
    <w:p w:rsidR="00FD54FC" w:rsidRPr="00392FFD" w:rsidRDefault="00125707" w:rsidP="00C37B29">
      <w:pPr>
        <w:pStyle w:val="InstructionsText2"/>
        <w:numPr>
          <w:ilvl w:val="0"/>
          <w:numId w:val="0"/>
        </w:numPr>
        <w:ind w:left="993"/>
      </w:pPr>
      <w:r>
        <w:t>127.</w:t>
      </w:r>
      <w:r>
        <w:tab/>
        <w:t>Οι ζημίες που προκαλούνται από ένα κοινό γεγονός λειτουργικού κινδύνου ή από πολλά γεγονότα που συνδέονται με ένα αρχικό γεγονός λειτουργικού κινδύνου που προκαλεί άλλα γεγονότα ή ζημίες («κύριο γεγονός») ομαδοποιούνται. Τα ομ</w:t>
      </w:r>
      <w:r>
        <w:t>α</w:t>
      </w:r>
      <w:r>
        <w:t xml:space="preserve">δοποιημένα γεγονότα εξετάζονται και αναφέρονται ως ένα γεγονός, και συνεπώς τα σχετικά ποσά των ακαθάριστων ζημιών ή τα ποσά των προσαρμογών ζημιών </w:t>
      </w:r>
      <w:r>
        <w:t>α</w:t>
      </w:r>
      <w:r>
        <w:t>θροίζονται.</w:t>
      </w:r>
    </w:p>
    <w:p w:rsidR="00FD54FC" w:rsidRPr="00392FFD" w:rsidRDefault="00125707" w:rsidP="00C37B29">
      <w:pPr>
        <w:pStyle w:val="InstructionsText2"/>
        <w:numPr>
          <w:ilvl w:val="0"/>
          <w:numId w:val="0"/>
        </w:numPr>
        <w:ind w:left="993"/>
      </w:pPr>
      <w:r>
        <w:t>128.</w:t>
      </w:r>
      <w:r>
        <w:tab/>
        <w:t>Τα στοιχεία που αναφέρονται τον Ιούνιο του αντίστοιχου έτους είναι ενδιάμ</w:t>
      </w:r>
      <w:r>
        <w:t>ε</w:t>
      </w:r>
      <w:r>
        <w:t>σα στοιχεία, ενώ τα τελικά στοιχεία αναφέρονται τον Δεκέμβριο. Ως εκ τούτου, τα στοιχεία του Ιουνίου έχουν εξάμηνη περίοδο αναφοράς (ήτοι από την 1η Ιανουαρ</w:t>
      </w:r>
      <w:r>
        <w:t>ί</w:t>
      </w:r>
      <w:r>
        <w:t>ου έως την 30ή Ιουνίου του ημερολογιακού έτους), ενώ τα στοιχεία του Δεκεμβρ</w:t>
      </w:r>
      <w:r>
        <w:t>ί</w:t>
      </w:r>
      <w:r>
        <w:t>ου έχουν δωδεκάμηνη περίοδο αναφοράς (από την 1η Ιανουαρίου έως την 31η Δ</w:t>
      </w:r>
      <w:r>
        <w:t>ε</w:t>
      </w:r>
      <w:r>
        <w:t>κεμβρίου του ημερολογιακού έτους). Τόσο για τα στοιχεία που αναφέρονται τον Ιούνιο όσο και για αυτά που αναφέρονται τον Δεκέμβριο, ως «προηγούμενες περ</w:t>
      </w:r>
      <w:r>
        <w:t>ί</w:t>
      </w:r>
      <w:r>
        <w:t>οδοι αναφοράς για την υποβολή αναφορών» νοούνται όλες οι περίοδοι αναφοράς για την υποβολή αναφορών μέχρι και την περίοδο που έληξε στο τέλος του προ</w:t>
      </w:r>
      <w:r>
        <w:t>η</w:t>
      </w:r>
      <w:r>
        <w:t>γούμενου ημερολογιακού έτους.</w:t>
      </w:r>
    </w:p>
    <w:p w:rsidR="00FD54FC" w:rsidRPr="00392FFD" w:rsidRDefault="00125707" w:rsidP="00C37B29">
      <w:pPr>
        <w:pStyle w:val="InstructionsText2"/>
        <w:numPr>
          <w:ilvl w:val="0"/>
          <w:numId w:val="0"/>
        </w:numPr>
        <w:ind w:left="993"/>
      </w:pPr>
      <w:r>
        <w:t>129.</w:t>
      </w:r>
      <w:r>
        <w:tab/>
        <w:t>Για την επαλήθευση των όρων που προβλέπονται στο άρθρο 5 στοιχείο β) σ</w:t>
      </w:r>
      <w:r>
        <w:t>η</w:t>
      </w:r>
      <w:r>
        <w:t>μείο 2) στοιχείο β) σημείο i) του παρόντος κανονισμού, τα ιδρύματα χρησιμοπο</w:t>
      </w:r>
      <w:r>
        <w:t>ι</w:t>
      </w:r>
      <w:r>
        <w:t>ούν τις πλέον πρόσφατες στατιστικές που είναι διαθέσιμες στην ιστοσελίδα δημ</w:t>
      </w:r>
      <w:r>
        <w:t>ο</w:t>
      </w:r>
      <w:r>
        <w:t xml:space="preserve">σιοποίησης εποπτικών πληροφοριών της ΕΑΤ, προκειμένου να διαθέτουν «το </w:t>
      </w:r>
      <w:r>
        <w:t>ά</w:t>
      </w:r>
      <w:r>
        <w:t>θροισμα των συνόλων των ατομικών ισολογισμών όλων των ιδρυμάτων εντός του ιδίου κράτους μέλους». Για την επαλήθευση των όρων που προβλέπονται στο ά</w:t>
      </w:r>
      <w:r>
        <w:t>ρ</w:t>
      </w:r>
      <w:r>
        <w:t xml:space="preserve">θρο 5 στοιχείο β) σημείο 2) στοιχείο β) σημείο iii), χρησιμοποιείται το ακαθάριστο εγχώριο προϊόν σε αγοραίες τιμές, όπως ορίζεται στο παράρτημα Α σημείο 8.89 </w:t>
      </w:r>
      <w:r>
        <w:lastRenderedPageBreak/>
        <w:t>του κανονισμού (ΕΕ) αριθ. 549/2013 του Ευρωπαϊκού Κοινοβουλίου και του Συ</w:t>
      </w:r>
      <w:r>
        <w:t>μ</w:t>
      </w:r>
      <w:r>
        <w:t xml:space="preserve">βουλίου (ΕΣΛ 2010) και δημοσιεύεται από τη </w:t>
      </w:r>
      <w:proofErr w:type="spellStart"/>
      <w:r>
        <w:t>Eurostat</w:t>
      </w:r>
      <w:proofErr w:type="spellEnd"/>
      <w:r>
        <w:t xml:space="preserve"> για το προηγούμενο ημερ</w:t>
      </w:r>
      <w:r>
        <w:t>ο</w:t>
      </w:r>
      <w:r>
        <w:t>λογιακό έτος.</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91" w:name="_Toc516210676"/>
      <w:bookmarkStart w:id="492" w:name="_Toc473561025"/>
      <w:r>
        <w:rPr>
          <w:rFonts w:ascii="Times New Roman" w:hAnsi="Times New Roman"/>
          <w:sz w:val="24"/>
          <w:u w:val="none"/>
        </w:rPr>
        <w:t>4.2.2.</w:t>
      </w:r>
      <w:r>
        <w:tab/>
      </w:r>
      <w:r>
        <w:rPr>
          <w:rFonts w:ascii="Times New Roman" w:hAnsi="Times New Roman"/>
          <w:sz w:val="24"/>
        </w:rPr>
        <w:t>C 17.01: Ζημίες και ανακτήσεις από λειτουργικό κίνδυνο ανά επιχειρηματικό τομέα και κατηγορία γεγονότος το προηγούμενο έτος (OPR DETAILS 1)</w:t>
      </w:r>
      <w:bookmarkEnd w:id="491"/>
      <w:bookmarkEnd w:id="492"/>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93" w:name="_Toc516210677"/>
      <w:bookmarkStart w:id="494" w:name="_Toc473561026"/>
      <w:r>
        <w:rPr>
          <w:rFonts w:ascii="Times New Roman" w:hAnsi="Times New Roman"/>
          <w:sz w:val="24"/>
          <w:u w:val="none"/>
        </w:rPr>
        <w:t>4.2.2.1.</w:t>
      </w:r>
      <w:r>
        <w:tab/>
      </w:r>
      <w:r>
        <w:rPr>
          <w:rFonts w:ascii="Times New Roman" w:hAnsi="Times New Roman"/>
          <w:sz w:val="24"/>
        </w:rPr>
        <w:t>Γενικές παρατηρήσεις</w:t>
      </w:r>
      <w:bookmarkEnd w:id="493"/>
      <w:bookmarkEnd w:id="494"/>
    </w:p>
    <w:p w:rsidR="00FD54FC" w:rsidRPr="00392FFD" w:rsidRDefault="00125707" w:rsidP="00C37B29">
      <w:pPr>
        <w:pStyle w:val="InstructionsText2"/>
        <w:numPr>
          <w:ilvl w:val="0"/>
          <w:numId w:val="0"/>
        </w:numPr>
        <w:ind w:left="993"/>
      </w:pPr>
      <w:r>
        <w:t>130.</w:t>
      </w:r>
      <w:r>
        <w:tab/>
        <w:t>Στο υπόδειγμα C 17.01, οι πληροφορίες παρουσιάζονται κατανέμοντας τις ζ</w:t>
      </w:r>
      <w:r>
        <w:t>η</w:t>
      </w:r>
      <w:r>
        <w:t>μίες και ανακτήσεις που υπερβαίνουν εσωτερικά κατώτατα όρια μεταξύ επιχειρ</w:t>
      </w:r>
      <w:r>
        <w:t>η</w:t>
      </w:r>
      <w:r>
        <w:t>ματικών τομέων (όπως ορίζονται στο άρθρο 317 πίνακας 2 του ΚΚΑ, συμπεριλα</w:t>
      </w:r>
      <w:r>
        <w:t>μ</w:t>
      </w:r>
      <w:r>
        <w:t xml:space="preserve">βανομένου του πρόσθετου επιχειρηματικού τομέα «Επιχειρηματικά στοιχεία», </w:t>
      </w:r>
      <w:r>
        <w:t>ό</w:t>
      </w:r>
      <w:r>
        <w:t>πως αναφέρεται στο άρθρο 322 παράγραφος 3 στοιχείο β) του ΚΚΑ) και κατηγ</w:t>
      </w:r>
      <w:r>
        <w:t>ο</w:t>
      </w:r>
      <w:r>
        <w:t>ριών γεγονότων (όπως ορίζονται στο άρθρο 324 του ΚΚΑ), ενώ είναι πιθανόν οι ζημίες που αντιστοιχούν σε ένα γεγονός να κατανέμονται μεταξύ αρκετών επιχε</w:t>
      </w:r>
      <w:r>
        <w:t>ι</w:t>
      </w:r>
      <w:r>
        <w:t>ρηματικών τομέων.</w:t>
      </w:r>
    </w:p>
    <w:p w:rsidR="00FD54FC" w:rsidRPr="00392FFD" w:rsidRDefault="00125707" w:rsidP="00C37B29">
      <w:pPr>
        <w:pStyle w:val="InstructionsText2"/>
        <w:numPr>
          <w:ilvl w:val="0"/>
          <w:numId w:val="0"/>
        </w:numPr>
        <w:ind w:left="993"/>
      </w:pPr>
      <w:r>
        <w:t>131.</w:t>
      </w:r>
      <w:r>
        <w:tab/>
        <w:t>Στις στήλες παρουσιάζονται οι διάφορες κατηγορίες γεγονότων και τα σύνολα για κάθε επιχειρηματικό τομέα, μαζί με ένα υπομνηματικό στοιχείο που δείχνει το χαμηλότερο εσωτερικό κατώτατο όριο που εφαρμόζεται στη συλλογή δεδομένων ζημιών, αποκαλύπτοντας το χαμηλότερο και το υψηλότερο κατώτατο όριο σε κάθε επιχειρηματικό τομέα, εάν υπάρχουν περισσότερα του ενός κατώτατα όρια.</w:t>
      </w:r>
    </w:p>
    <w:p w:rsidR="00FD54FC" w:rsidRPr="00392FFD" w:rsidRDefault="00125707" w:rsidP="00C37B29">
      <w:pPr>
        <w:pStyle w:val="InstructionsText2"/>
        <w:numPr>
          <w:ilvl w:val="0"/>
          <w:numId w:val="0"/>
        </w:numPr>
        <w:ind w:left="993"/>
      </w:pPr>
      <w:r>
        <w:t>132.</w:t>
      </w:r>
      <w:r>
        <w:tab/>
        <w:t>Στις γραμμές παρουσιάζονται οι επιχειρηματικοί τομείς και, εντός κάθε επιχε</w:t>
      </w:r>
      <w:r>
        <w:t>ι</w:t>
      </w:r>
      <w:r>
        <w:t>ρηματικού τομέα, πληροφορίες για τον αριθμό των γεγονότων (νέα γεγονότα), το ποσό ακαθάριστης ζημίας (νέα γεγονότα), τον αριθμό των γεγονότων που υπόκε</w:t>
      </w:r>
      <w:r>
        <w:t>ι</w:t>
      </w:r>
      <w:r>
        <w:t>νται σε προσαρμογές ζημιών, τις προσαρμογές ζημιών που σχετίζονται με προ</w:t>
      </w:r>
      <w:r>
        <w:t>η</w:t>
      </w:r>
      <w:r>
        <w:t>γούμενες περιόδους υποβολής αναφοράς, τη μέγιστη μεμονωμένη ζημία, το άθρο</w:t>
      </w:r>
      <w:r>
        <w:t>ι</w:t>
      </w:r>
      <w:r>
        <w:t>σμα των πέντε μεγαλύτερων ζημιών και το σύνολο των ανακτήσεων ζημιών (άμ</w:t>
      </w:r>
      <w:r>
        <w:t>ε</w:t>
      </w:r>
      <w:r>
        <w:t>σες ανακτήσεις ζημιών, καθώς και ανακτήσεις από ασφαλίσεις και άλλους μηχαν</w:t>
      </w:r>
      <w:r>
        <w:t>ι</w:t>
      </w:r>
      <w:r>
        <w:t>σμούς μεταφοράς κινδύνου).</w:t>
      </w:r>
    </w:p>
    <w:p w:rsidR="00FD54FC" w:rsidRPr="00392FFD" w:rsidRDefault="00125707" w:rsidP="00C37B29">
      <w:pPr>
        <w:pStyle w:val="InstructionsText2"/>
        <w:numPr>
          <w:ilvl w:val="0"/>
          <w:numId w:val="0"/>
        </w:numPr>
        <w:ind w:left="993"/>
      </w:pPr>
      <w:r>
        <w:t>133.</w:t>
      </w:r>
      <w:r>
        <w:tab/>
        <w:t>Για το σύνολο των επιχειρηματικών τομέων, τα στοιχεία σχετικά με τον αρι</w:t>
      </w:r>
      <w:r>
        <w:t>θ</w:t>
      </w:r>
      <w:r>
        <w:t>μό των γεγονότων και το ποσό της ακαθάριστης ζημίας απαιτείται επίσης για ορ</w:t>
      </w:r>
      <w:r>
        <w:t>ι</w:t>
      </w:r>
      <w:r>
        <w:t>σμένα φάσματα τιμών που βασίζονται σε καθορισμένα κατώτατα όρια, 10 000, 20 000, 100 000 και 1 000 000. Τα κατώτατα όρια καθορίζονται σε ποσά εκφρ</w:t>
      </w:r>
      <w:r>
        <w:t>α</w:t>
      </w:r>
      <w:r>
        <w:t>σμένα σε ευρώ και περιλαμβάνονται για σκοπούς συγκρισιμότητας των αναφερ</w:t>
      </w:r>
      <w:r>
        <w:t>ό</w:t>
      </w:r>
      <w:r>
        <w:t>μενων ζημιών μεταξύ των ιδρυμάτων· επομένως, δεν συνδέονται αναγκαστικά με τα ελάχιστα κατώτατα όρια ζημίας που χρησιμοποιούνται για τη συλλογή των εσ</w:t>
      </w:r>
      <w:r>
        <w:t>ω</w:t>
      </w:r>
      <w:r>
        <w:t>τερικών δεδομένων ζημίας, τα οποία αναφέρονται σε άλλο τμήμα του υποδείγμ</w:t>
      </w:r>
      <w:r>
        <w:t>α</w:t>
      </w:r>
      <w:r>
        <w:t>τος.</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95" w:name="_Toc516210678"/>
      <w:bookmarkStart w:id="496" w:name="_Toc473561027"/>
      <w:r>
        <w:rPr>
          <w:rFonts w:ascii="Times New Roman" w:hAnsi="Times New Roman"/>
          <w:sz w:val="24"/>
          <w:u w:val="none"/>
        </w:rPr>
        <w:t>4.2.2.2.</w:t>
      </w:r>
      <w:r>
        <w:tab/>
      </w:r>
      <w:r>
        <w:rPr>
          <w:rFonts w:ascii="Times New Roman" w:hAnsi="Times New Roman"/>
          <w:sz w:val="24"/>
        </w:rPr>
        <w:t>Οδηγίες για συγκεκριμένες θέσεις</w:t>
      </w:r>
      <w:bookmarkEnd w:id="495"/>
      <w:bookmarkEnd w:id="4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rsidTr="00672D2A">
        <w:trPr>
          <w:trHeight w:val="576"/>
        </w:trPr>
        <w:tc>
          <w:tcPr>
            <w:tcW w:w="9180" w:type="dxa"/>
            <w:gridSpan w:val="2"/>
            <w:shd w:val="clear" w:color="auto" w:fill="CCCCCC"/>
          </w:tcPr>
          <w:p w:rsidR="00FD54FC" w:rsidRPr="00392FFD"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Στήλες</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ΚΑΤΗΓΟΡΙΕΣ ΓΕΓΟΝΟΤΩΝ</w:t>
            </w:r>
          </w:p>
          <w:p w:rsidR="00FD54FC" w:rsidRPr="00392FFD" w:rsidRDefault="00FD54FC" w:rsidP="00FD54FC">
            <w:pPr>
              <w:rPr>
                <w:rFonts w:ascii="Times New Roman" w:hAnsi="Times New Roman"/>
                <w:sz w:val="24"/>
              </w:rPr>
            </w:pPr>
            <w:r>
              <w:rPr>
                <w:rFonts w:ascii="Times New Roman" w:hAnsi="Times New Roman"/>
                <w:sz w:val="24"/>
              </w:rPr>
              <w:t xml:space="preserve">Τα ιδρύματα αναφέρουν τις ζημίες στις αντίστοιχες στήλες 010 έως 070 σύμφωνα με τις κατηγορίες γεγονότων που ορίζονται στο άρθρο 324 του ΚΚΑ. </w:t>
            </w:r>
          </w:p>
          <w:p w:rsidR="00FD54FC" w:rsidRPr="00392FFD" w:rsidRDefault="00FD54FC" w:rsidP="00871877">
            <w:pPr>
              <w:rPr>
                <w:rFonts w:ascii="Times New Roman" w:hAnsi="Times New Roman"/>
                <w:bCs/>
                <w:sz w:val="24"/>
              </w:rPr>
            </w:pPr>
            <w:r>
              <w:rPr>
                <w:rFonts w:ascii="Times New Roman" w:hAnsi="Times New Roman"/>
                <w:sz w:val="24"/>
              </w:rPr>
              <w:lastRenderedPageBreak/>
              <w:t>Τα ιδρύματα που υπολογίζουν τις απαιτήσεις ιδίων κεφαλαίων τους σύμφωνα με την προσέγγιση βασικού δείκτη μπορούν να αναφέρουν τις ζημίες για τις οποίες δεν προσδιορίζεται κατηγορία γεγονότος στη στήλη 080.</w:t>
            </w:r>
          </w:p>
        </w:tc>
      </w:tr>
      <w:tr w:rsidR="00FD54FC" w:rsidRPr="00392FFD" w:rsidTr="00672D2A">
        <w:tc>
          <w:tcPr>
            <w:tcW w:w="985" w:type="dxa"/>
          </w:tcPr>
          <w:p w:rsidR="00FD54FC" w:rsidRPr="00392FFD"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ΣΥΝΟΛΟ ΚΑΤΗΓΟΡΙΩΝ ΓΕΓΟΝΟΤΩΝ</w:t>
            </w:r>
          </w:p>
          <w:p w:rsidR="008D30F0" w:rsidRDefault="00FD54FC" w:rsidP="00FD54FC">
            <w:pPr>
              <w:rPr>
                <w:rStyle w:val="InstructionsTabelleText"/>
                <w:rFonts w:ascii="Times New Roman" w:hAnsi="Times New Roman"/>
                <w:sz w:val="24"/>
              </w:rPr>
            </w:pPr>
            <w:r>
              <w:rPr>
                <w:rStyle w:val="InstructionsTabelleText"/>
                <w:rFonts w:ascii="Times New Roman" w:hAnsi="Times New Roman"/>
                <w:sz w:val="24"/>
              </w:rPr>
              <w:t>Στη στήλη 080, για κάθε επιχειρηματικό τομέα, τα ιδρύματα αναφέρουν τον σ</w:t>
            </w:r>
            <w:r>
              <w:rPr>
                <w:rStyle w:val="InstructionsTabelleText"/>
                <w:rFonts w:ascii="Times New Roman" w:hAnsi="Times New Roman"/>
                <w:sz w:val="24"/>
              </w:rPr>
              <w:t>υ</w:t>
            </w:r>
            <w:r>
              <w:rPr>
                <w:rStyle w:val="InstructionsTabelleText"/>
                <w:rFonts w:ascii="Times New Roman" w:hAnsi="Times New Roman"/>
                <w:sz w:val="24"/>
              </w:rPr>
              <w:t>νολικό «αριθμό γεγονότων (νέα γεγονότα)», το συνολικό «ποσό ακαθάριστης ζ</w:t>
            </w:r>
            <w:r>
              <w:rPr>
                <w:rStyle w:val="InstructionsTabelleText"/>
                <w:rFonts w:ascii="Times New Roman" w:hAnsi="Times New Roman"/>
                <w:sz w:val="24"/>
              </w:rPr>
              <w:t>η</w:t>
            </w:r>
            <w:r>
              <w:rPr>
                <w:rStyle w:val="InstructionsTabelleText"/>
                <w:rFonts w:ascii="Times New Roman" w:hAnsi="Times New Roman"/>
                <w:sz w:val="24"/>
              </w:rPr>
              <w:t>μίας» (νέα γεγονότα), τον συνολικό «αριθμό γεγονότων που υπόκεινται σε πρ</w:t>
            </w:r>
            <w:r>
              <w:rPr>
                <w:rStyle w:val="InstructionsTabelleText"/>
                <w:rFonts w:ascii="Times New Roman" w:hAnsi="Times New Roman"/>
                <w:sz w:val="24"/>
              </w:rPr>
              <w:t>ο</w:t>
            </w:r>
            <w:r>
              <w:rPr>
                <w:rStyle w:val="InstructionsTabelleText"/>
                <w:rFonts w:ascii="Times New Roman" w:hAnsi="Times New Roman"/>
                <w:sz w:val="24"/>
              </w:rPr>
              <w:t>σαρμογές ζημιών», τις συνολικές «προσαρμογές ζημιών που σχετίζονται με προ</w:t>
            </w:r>
            <w:r>
              <w:rPr>
                <w:rStyle w:val="InstructionsTabelleText"/>
                <w:rFonts w:ascii="Times New Roman" w:hAnsi="Times New Roman"/>
                <w:sz w:val="24"/>
              </w:rPr>
              <w:t>η</w:t>
            </w:r>
            <w:r>
              <w:rPr>
                <w:rStyle w:val="InstructionsTabelleText"/>
                <w:rFonts w:ascii="Times New Roman" w:hAnsi="Times New Roman"/>
                <w:sz w:val="24"/>
              </w:rPr>
              <w:t>γούμενες περιόδους υποβολής αναφοράς», τη «μέγιστη μεμονωμένη ζημία», το «άθροισμα των πέντε μεγαλύτερων ζημιών», το σύνολο της «συνολικής άμεσης ανάκτησης ζημιών» και το σύνολο της «συνολικής ανάκτησης από ασφαλίσεις και άλλους μηχανισμούς μεταφοράς κινδύνου».</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Εφόσον το ίδρυμα έχει προσδιορίσει τις κατηγορίες γεγονότων για όλες τις ζημίες, στη στήλη 080 συμπληρώνεται το απλό άθροισμα του αριθμού των ζημιογόνων γεγονότων, το συνολικό ποσό ακαθάριστης ζημίας, τα συνολικά ποσά των αν</w:t>
            </w:r>
            <w:r>
              <w:rPr>
                <w:rStyle w:val="InstructionsTabelleText"/>
                <w:rFonts w:ascii="Times New Roman" w:hAnsi="Times New Roman"/>
                <w:sz w:val="24"/>
              </w:rPr>
              <w:t>α</w:t>
            </w:r>
            <w:r>
              <w:rPr>
                <w:rStyle w:val="InstructionsTabelleText"/>
                <w:rFonts w:ascii="Times New Roman" w:hAnsi="Times New Roman"/>
                <w:sz w:val="24"/>
              </w:rPr>
              <w:t>κτήσεων ζημιών και οι «προσαρμογές ζημιών σχετιζόμενες με προηγούμενες π</w:t>
            </w:r>
            <w:r>
              <w:rPr>
                <w:rStyle w:val="InstructionsTabelleText"/>
                <w:rFonts w:ascii="Times New Roman" w:hAnsi="Times New Roman"/>
                <w:sz w:val="24"/>
              </w:rPr>
              <w:t>ε</w:t>
            </w:r>
            <w:r>
              <w:rPr>
                <w:rStyle w:val="InstructionsTabelleText"/>
                <w:rFonts w:ascii="Times New Roman" w:hAnsi="Times New Roman"/>
                <w:sz w:val="24"/>
              </w:rPr>
              <w:t xml:space="preserve">ριόδους υποβολής αναφοράς» που αναφέρονται στις στήλες 010 έως 070. </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Η «μέγιστη μεμονωμένη ζημία» που αναφέρεται στη στήλη 080 είναι η μέγιστη μεμονωμένη ζημία σε έναν επιχειρηματικό τομέα και είναι η ίδια με τη μέγιστη τιμή των «μέγιστων μεμονωμένων ζημιών» που αναφέρονται στις στήλες 010 και 070, εφόσον το ίδρυμα έχει προσδιορίσει τις κατηγορίες γεγονότων για όλες τις ζημίες. </w:t>
            </w:r>
          </w:p>
          <w:p w:rsidR="00FD54FC" w:rsidRPr="00392FFD" w:rsidRDefault="00FD54FC" w:rsidP="00FD54FC">
            <w:pPr>
              <w:rPr>
                <w:rFonts w:ascii="Times New Roman" w:hAnsi="Times New Roman"/>
                <w:bCs/>
                <w:sz w:val="24"/>
              </w:rPr>
            </w:pPr>
            <w:r>
              <w:rPr>
                <w:rStyle w:val="InstructionsTabelleText"/>
                <w:rFonts w:ascii="Times New Roman" w:hAnsi="Times New Roman"/>
                <w:sz w:val="24"/>
              </w:rPr>
              <w:t>Για το άθροισμα των πέντε μεγαλύτερων ζημιών, αναφέρεται στη στήλη 080 το άθροισμα των πέντε μεγαλύτερων ζημιών εντός ενός επιχειρηματικού τομέα.</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rsidR="00FD54FC" w:rsidRPr="00392FFD"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ΥΠΟΜΝΗΜΑΤΙΚΟ ΣΤΟΙΧΕΙΟ: ΚΑΤΩΤΑΤΟ ΟΡΙΟ ΠΟΥ ΙΣΧΥΕΙ ΓΙΑ ΤΗ ΣΥΛΛΟΓΗ ΔΕΔΟΜΕΝΩΝ</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Τα ιδρύματα αναφέρουν στις στήλες 090 και 100 τα ελάχιστα κατώτατα όρια ζ</w:t>
            </w:r>
            <w:r>
              <w:rPr>
                <w:rStyle w:val="InstructionsTabelleText"/>
                <w:rFonts w:ascii="Times New Roman" w:hAnsi="Times New Roman"/>
                <w:sz w:val="24"/>
              </w:rPr>
              <w:t>η</w:t>
            </w:r>
            <w:r>
              <w:rPr>
                <w:rStyle w:val="InstructionsTabelleText"/>
                <w:rFonts w:ascii="Times New Roman" w:hAnsi="Times New Roman"/>
                <w:sz w:val="24"/>
              </w:rPr>
              <w:t>μίας που χρησιμοποιούν για τη συλλογή των εσωτερικών δεδομένων ζημίας, σύ</w:t>
            </w:r>
            <w:r>
              <w:rPr>
                <w:rStyle w:val="InstructionsTabelleText"/>
                <w:rFonts w:ascii="Times New Roman" w:hAnsi="Times New Roman"/>
                <w:sz w:val="24"/>
              </w:rPr>
              <w:t>μ</w:t>
            </w:r>
            <w:r>
              <w:rPr>
                <w:rStyle w:val="InstructionsTabelleText"/>
                <w:rFonts w:ascii="Times New Roman" w:hAnsi="Times New Roman"/>
                <w:sz w:val="24"/>
              </w:rPr>
              <w:t xml:space="preserve">φωνα με το άρθρο 322 παράγραφος 3 στοιχείο γ) τελευταία περίοδος του ΚΚΑ.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Εάν το ίδρυμα εφαρμόζει μόνον ένα κατώτατο όριο για κάθε επιχειρηματικό τ</w:t>
            </w:r>
            <w:r>
              <w:rPr>
                <w:rStyle w:val="InstructionsTabelleText"/>
                <w:rFonts w:ascii="Times New Roman" w:hAnsi="Times New Roman"/>
                <w:sz w:val="24"/>
              </w:rPr>
              <w:t>ο</w:t>
            </w:r>
            <w:r>
              <w:rPr>
                <w:rStyle w:val="InstructionsTabelleText"/>
                <w:rFonts w:ascii="Times New Roman" w:hAnsi="Times New Roman"/>
                <w:sz w:val="24"/>
              </w:rPr>
              <w:t xml:space="preserve">μέα, συμπληρώνεται μόνον η στήλη 090.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Στην περίπτωση που εφαρμόζονται διαφορετικά κατώτατα όρια εντός του ιδίου επιχειρηματικού τομέα, τότε συμπληρώνεται επίσης το υψηλότερο εφαρμοστέο κατώτατο όριο (στήλη 100).</w:t>
            </w:r>
          </w:p>
        </w:tc>
      </w:tr>
    </w:tbl>
    <w:p w:rsidR="00FD54FC" w:rsidRPr="00321A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rsidTr="00672D2A">
        <w:trPr>
          <w:trHeight w:val="504"/>
        </w:trPr>
        <w:tc>
          <w:tcPr>
            <w:tcW w:w="9180" w:type="dxa"/>
            <w:gridSpan w:val="2"/>
            <w:shd w:val="clear" w:color="auto" w:fill="CCCCCC"/>
          </w:tcPr>
          <w:p w:rsidR="00FD54FC" w:rsidRPr="00321A3B"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Γραμμές</w:t>
            </w:r>
          </w:p>
        </w:tc>
      </w:tr>
      <w:tr w:rsidR="00FD54FC" w:rsidRPr="00392FFD" w:rsidTr="00672D2A">
        <w:tc>
          <w:tcPr>
            <w:tcW w:w="1101" w:type="dxa"/>
          </w:tcPr>
          <w:p w:rsidR="00FD54FC" w:rsidRPr="00321A3B" w:rsidRDefault="00C93FC2" w:rsidP="000F70EC">
            <w:pPr>
              <w:rPr>
                <w:rFonts w:ascii="Times New Roman" w:hAnsi="Times New Roman"/>
                <w:bCs/>
                <w:sz w:val="24"/>
              </w:rPr>
            </w:pPr>
            <w:r>
              <w:rPr>
                <w:rFonts w:ascii="Times New Roman" w:hAnsi="Times New Roman"/>
                <w:sz w:val="24"/>
              </w:rPr>
              <w:t>0010-0880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ΕΠΙΧΕΙΡΗΜΑΤΙΚΟΙ ΤΟΜΕΙΣ: ΧΡΗΜΑΤΟΟΙΚΟΝΟΜΙΚΕΣ ΥΠΗΡ</w:t>
            </w:r>
            <w:r>
              <w:rPr>
                <w:rStyle w:val="InstructionsTabelleberschrift"/>
                <w:rFonts w:ascii="Times New Roman" w:hAnsi="Times New Roman"/>
                <w:sz w:val="24"/>
              </w:rPr>
              <w:t>Ε</w:t>
            </w:r>
            <w:r>
              <w:rPr>
                <w:rStyle w:val="InstructionsTabelleberschrift"/>
                <w:rFonts w:ascii="Times New Roman" w:hAnsi="Times New Roman"/>
                <w:sz w:val="24"/>
              </w:rPr>
              <w:t>ΣΙΕΣ ΠΡΟΣ ΕΠΙΧΕΙΡΗΣΕΙΣ, ΔΙΑΠΡΑΓΜΑΤΕΥΣΗ ΚΑΙ ΠΩΛΗΣΗ ΧΡΗΜΑΤΟΠΙΣΤΩΤΙΚΩΝ ΜΕΣΩΝ, ΥΠΗΡΕΣΙΕΣ ΧΡΗΜΑΤΙΣΤΗΡΙ</w:t>
            </w:r>
            <w:r>
              <w:rPr>
                <w:rStyle w:val="InstructionsTabelleberschrift"/>
                <w:rFonts w:ascii="Times New Roman" w:hAnsi="Times New Roman"/>
                <w:sz w:val="24"/>
              </w:rPr>
              <w:t>Α</w:t>
            </w:r>
            <w:r>
              <w:rPr>
                <w:rStyle w:val="InstructionsTabelleberschrift"/>
                <w:rFonts w:ascii="Times New Roman" w:hAnsi="Times New Roman"/>
                <w:sz w:val="24"/>
              </w:rPr>
              <w:t>ΚΗΣ ΔΙΑΜΕΣΟΛΑΒΗΣΗΣ ΣΕ ΠΕΛΑΤΕΣ ΛΙΑΝΙΚΗΣ, ΕΜΠΟΡΙΚΗ ΤΡΑΠΕΖΙΚΗ, ΛΙΑΝΙΚΗ ΤΡΑΠΕΖΙΚΗ, ΠΛΗΡΩΜΕΣ ΚΑΙ ΔΙΑΚΑΝΟΝ</w:t>
            </w:r>
            <w:r>
              <w:rPr>
                <w:rStyle w:val="InstructionsTabelleberschrift"/>
                <w:rFonts w:ascii="Times New Roman" w:hAnsi="Times New Roman"/>
                <w:sz w:val="24"/>
              </w:rPr>
              <w:t>Ι</w:t>
            </w:r>
            <w:r>
              <w:rPr>
                <w:rStyle w:val="InstructionsTabelleberschrift"/>
                <w:rFonts w:ascii="Times New Roman" w:hAnsi="Times New Roman"/>
                <w:sz w:val="24"/>
              </w:rPr>
              <w:t>ΣΜΟΣ ΠΛΗΡΩΜΩΝ, ΥΠΗΡΕΣΙΕΣ ΦΥΛΑΞΗΣ ΚΑΙ ΔΙΑΧΕΙΡΙΣΗΣ, Δ</w:t>
            </w:r>
            <w:r>
              <w:rPr>
                <w:rStyle w:val="InstructionsTabelleberschrift"/>
                <w:rFonts w:ascii="Times New Roman" w:hAnsi="Times New Roman"/>
                <w:sz w:val="24"/>
              </w:rPr>
              <w:t>Ι</w:t>
            </w:r>
            <w:r>
              <w:rPr>
                <w:rStyle w:val="InstructionsTabelleberschrift"/>
                <w:rFonts w:ascii="Times New Roman" w:hAnsi="Times New Roman"/>
                <w:sz w:val="24"/>
              </w:rPr>
              <w:t>ΑΧΕΙΡΙΣΗ ΠΕΡΙΟΥΣΙΑΚΩΝ ΣΤΟΙΧΕΙΩΝ, ΕΠΙΧΕΙΡΗΜΑΤΙΚΑ ΣΤΟ</w:t>
            </w:r>
            <w:r>
              <w:rPr>
                <w:rStyle w:val="InstructionsTabelleberschrift"/>
                <w:rFonts w:ascii="Times New Roman" w:hAnsi="Times New Roman"/>
                <w:sz w:val="24"/>
              </w:rPr>
              <w:t>Ι</w:t>
            </w:r>
            <w:r>
              <w:rPr>
                <w:rStyle w:val="InstructionsTabelleberschrift"/>
                <w:rFonts w:ascii="Times New Roman" w:hAnsi="Times New Roman"/>
                <w:sz w:val="24"/>
              </w:rPr>
              <w:t>ΧΕΙΑ</w:t>
            </w:r>
          </w:p>
          <w:p w:rsidR="00FD54FC" w:rsidRPr="00321A3B" w:rsidRDefault="00FD54FC" w:rsidP="00FD54FC">
            <w:pPr>
              <w:pStyle w:val="PlainText"/>
              <w:jc w:val="both"/>
              <w:rPr>
                <w:rFonts w:ascii="Times New Roman" w:hAnsi="Times New Roman"/>
                <w:sz w:val="24"/>
                <w:szCs w:val="24"/>
              </w:rPr>
            </w:pPr>
            <w:r>
              <w:rPr>
                <w:rFonts w:ascii="Times New Roman" w:hAnsi="Times New Roman"/>
                <w:sz w:val="24"/>
              </w:rPr>
              <w:t>Για κάθε επιχειρηματικό τομέα οριζόμενο στο άρθρο 317 παράγραφος 4 πίνακας 2 του ΚΚΑ, συμπεριλαμβανομένου του πρόσθετου επιχειρηματικού τομέα «Επ</w:t>
            </w:r>
            <w:r>
              <w:rPr>
                <w:rFonts w:ascii="Times New Roman" w:hAnsi="Times New Roman"/>
                <w:sz w:val="24"/>
              </w:rPr>
              <w:t>ι</w:t>
            </w:r>
            <w:r>
              <w:rPr>
                <w:rFonts w:ascii="Times New Roman" w:hAnsi="Times New Roman"/>
                <w:sz w:val="24"/>
              </w:rPr>
              <w:lastRenderedPageBreak/>
              <w:t>χειρηματικά στοιχεία», όπως αναφέρεται στο άρθρο 322 παράγραφος 3 στοιχε</w:t>
            </w:r>
            <w:r>
              <w:rPr>
                <w:rFonts w:ascii="Times New Roman" w:hAnsi="Times New Roman"/>
                <w:sz w:val="24"/>
              </w:rPr>
              <w:t>ί</w:t>
            </w:r>
            <w:r>
              <w:rPr>
                <w:rFonts w:ascii="Times New Roman" w:hAnsi="Times New Roman"/>
                <w:sz w:val="24"/>
              </w:rPr>
              <w:t>ο β) του ΚΚΑ, και για κάθε κατηγορία γεγονότων, το ίδρυμα αναφέρει, σύμφωνα με τα εσωτερικά κατώτατα όρια, τις ακόλουθες πληροφορίες: αριθμό γεγονότων (νέα γεγονότα), ποσό ακαθάριστης ζημίας (νέα γεγονότα), αριθμό γεγονότων που υπόκεινται σε προσαρμογές ζημιών, προσαρμογές ζημιών σχετιζόμενες με προ</w:t>
            </w:r>
            <w:r>
              <w:rPr>
                <w:rFonts w:ascii="Times New Roman" w:hAnsi="Times New Roman"/>
                <w:sz w:val="24"/>
              </w:rPr>
              <w:t>η</w:t>
            </w:r>
            <w:r>
              <w:rPr>
                <w:rFonts w:ascii="Times New Roman" w:hAnsi="Times New Roman"/>
                <w:sz w:val="24"/>
              </w:rPr>
              <w:t xml:space="preserve">γούμενες περιόδους υποβολής αναφοράς, μέγιστη μεμονωμένη ζημία, άθροισμα των πέντε μεγαλύτερων ζημιών, συνολική άμεση ανάκτηση ζημιών και συνολική ανάκτηση από ασφαλίσεις και άλλους μηχανισμούς μεταφοράς κινδύνου. </w:t>
            </w:r>
          </w:p>
          <w:p w:rsidR="00FD54FC" w:rsidRPr="00392FFD" w:rsidRDefault="00FD54FC" w:rsidP="00FD54FC">
            <w:pPr>
              <w:rPr>
                <w:rFonts w:ascii="Times New Roman" w:hAnsi="Times New Roman"/>
                <w:sz w:val="24"/>
              </w:rPr>
            </w:pPr>
            <w:r>
              <w:rPr>
                <w:rFonts w:ascii="Times New Roman" w:hAnsi="Times New Roman"/>
                <w:sz w:val="24"/>
              </w:rPr>
              <w:t>Για ένα ζημιογόνο γεγονός που επηρεάζει περισσότερους του ενός επιχειρηματ</w:t>
            </w:r>
            <w:r>
              <w:rPr>
                <w:rFonts w:ascii="Times New Roman" w:hAnsi="Times New Roman"/>
                <w:sz w:val="24"/>
              </w:rPr>
              <w:t>ι</w:t>
            </w:r>
            <w:r>
              <w:rPr>
                <w:rFonts w:ascii="Times New Roman" w:hAnsi="Times New Roman"/>
                <w:sz w:val="24"/>
              </w:rPr>
              <w:t>κούς τομείς, το «ποσό ακαθάριστης ζημίας» κατανέμεται μεταξύ όλων των επ</w:t>
            </w:r>
            <w:r>
              <w:rPr>
                <w:rFonts w:ascii="Times New Roman" w:hAnsi="Times New Roman"/>
                <w:sz w:val="24"/>
              </w:rPr>
              <w:t>η</w:t>
            </w:r>
            <w:r>
              <w:rPr>
                <w:rFonts w:ascii="Times New Roman" w:hAnsi="Times New Roman"/>
                <w:sz w:val="24"/>
              </w:rPr>
              <w:t>ρεαζόμενων επιχειρηματικών τομέων.</w:t>
            </w:r>
          </w:p>
          <w:p w:rsidR="00FD54FC" w:rsidRPr="00392FFD" w:rsidRDefault="00FD54FC" w:rsidP="00FD54FC">
            <w:pPr>
              <w:rPr>
                <w:rFonts w:ascii="Times New Roman" w:hAnsi="Times New Roman"/>
                <w:bCs/>
                <w:sz w:val="24"/>
              </w:rPr>
            </w:pPr>
            <w:r>
              <w:rPr>
                <w:rFonts w:ascii="Times New Roman" w:hAnsi="Times New Roman"/>
                <w:sz w:val="24"/>
              </w:rPr>
              <w:t>Τα ιδρύματα που υπολογίζουν τις απαιτήσεις ιδίων κεφαλαίων τους σύμφωνα με την προσέγγιση βασικού δείκτη μπορούν να αναφέρουν τις ζημίες για τις οποίες δεν προσδιορίζεται επιχειρηματικός τομέας μόνο στις στήλες 910-980.</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Αριθμός γεγονότων (νέα γεγονότα)</w:t>
            </w:r>
          </w:p>
          <w:p w:rsidR="00FD54FC" w:rsidRPr="00392FFD" w:rsidRDefault="00FD54FC" w:rsidP="00FD54FC">
            <w:pPr>
              <w:rPr>
                <w:rFonts w:ascii="Times New Roman" w:hAnsi="Times New Roman"/>
                <w:sz w:val="24"/>
              </w:rPr>
            </w:pPr>
            <w:r>
              <w:rPr>
                <w:rFonts w:ascii="Times New Roman" w:hAnsi="Times New Roman"/>
                <w:sz w:val="24"/>
              </w:rPr>
              <w:t xml:space="preserve">Ο αριθμός γεγονότων είναι ο αριθμός των γεγονότων λειτουργικού κινδύνου των οποίων οι ακαθάριστες ζημίες </w:t>
            </w:r>
            <w:proofErr w:type="spellStart"/>
            <w:r>
              <w:rPr>
                <w:rFonts w:ascii="Times New Roman" w:hAnsi="Times New Roman"/>
                <w:sz w:val="24"/>
              </w:rPr>
              <w:t>λογιστικοποιήθηκαν</w:t>
            </w:r>
            <w:proofErr w:type="spellEnd"/>
            <w:r>
              <w:rPr>
                <w:rFonts w:ascii="Times New Roman" w:hAnsi="Times New Roman"/>
                <w:sz w:val="24"/>
              </w:rPr>
              <w:t xml:space="preserve"> εντός της περιόδου αναφοράς για την υποβολή αναφορών.</w:t>
            </w:r>
          </w:p>
          <w:p w:rsidR="00FD54FC" w:rsidRPr="00392FFD" w:rsidRDefault="00FD54FC" w:rsidP="00FD54FC">
            <w:pPr>
              <w:rPr>
                <w:rFonts w:ascii="Times New Roman" w:hAnsi="Times New Roman"/>
                <w:sz w:val="24"/>
              </w:rPr>
            </w:pPr>
            <w:r>
              <w:rPr>
                <w:rFonts w:ascii="Times New Roman" w:hAnsi="Times New Roman"/>
                <w:sz w:val="24"/>
              </w:rPr>
              <w:t>Ο αριθμός γεγονότων αναφέρεται σε «νέα γεγονότα», ήτοι γεγονότα λειτουργ</w:t>
            </w:r>
            <w:r>
              <w:rPr>
                <w:rFonts w:ascii="Times New Roman" w:hAnsi="Times New Roman"/>
                <w:sz w:val="24"/>
              </w:rPr>
              <w:t>ι</w:t>
            </w:r>
            <w:r>
              <w:rPr>
                <w:rFonts w:ascii="Times New Roman" w:hAnsi="Times New Roman"/>
                <w:sz w:val="24"/>
              </w:rPr>
              <w:t>κού κινδύνου που:</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w:t>
            </w:r>
            <w:proofErr w:type="spellStart"/>
            <w:r>
              <w:rPr>
                <w:rFonts w:ascii="Times New Roman" w:hAnsi="Times New Roman"/>
                <w:sz w:val="24"/>
              </w:rPr>
              <w:t>λογιστικοποιήθηκαν</w:t>
            </w:r>
            <w:proofErr w:type="spellEnd"/>
            <w:r>
              <w:rPr>
                <w:rFonts w:ascii="Times New Roman" w:hAnsi="Times New Roman"/>
                <w:sz w:val="24"/>
              </w:rPr>
              <w:t xml:space="preserve"> για πρώτη φορά» εντός της περιόδου αναφοράς για την υποβολή αναφορών, ή</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w:t>
            </w:r>
            <w:proofErr w:type="spellStart"/>
            <w:r>
              <w:rPr>
                <w:rFonts w:ascii="Times New Roman" w:hAnsi="Times New Roman"/>
                <w:sz w:val="24"/>
              </w:rPr>
              <w:t>λογιστικοποιήθηκαν</w:t>
            </w:r>
            <w:proofErr w:type="spellEnd"/>
            <w:r>
              <w:rPr>
                <w:rFonts w:ascii="Times New Roman" w:hAnsi="Times New Roman"/>
                <w:sz w:val="24"/>
              </w:rPr>
              <w:t xml:space="preserve"> για πρώτη φορά» εντός προηγούμενης περιόδου αν</w:t>
            </w:r>
            <w:r>
              <w:rPr>
                <w:rFonts w:ascii="Times New Roman" w:hAnsi="Times New Roman"/>
                <w:sz w:val="24"/>
              </w:rPr>
              <w:t>α</w:t>
            </w:r>
            <w:r>
              <w:rPr>
                <w:rFonts w:ascii="Times New Roman" w:hAnsi="Times New Roman"/>
                <w:sz w:val="24"/>
              </w:rPr>
              <w:t>φοράς για την υποβολή αναφορών, εάν το γεγονός δεν είχε συμπεριληφθεί σε προγενέστερη εποπτική αναφορά, π.χ. επειδή προσδιορίστηκε ως γεγονός λειτουργικού κινδύνου μόνο κατά την τρέχουσα περίοδο αναφοράς για την υποβολή αναφορών ή επειδή η συσσωρευμένη ζημία που οφείλεται στο εν λόγω γεγονός (ήτοι η αρχική ζημία συν / μείον όλες τις προσαρμογές ζημιών που πραγματοποιήθηκαν κατά τις προηγούμενες περιόδους αναφοράς για την υποβολή αναφορών) υπερέβη το κατώτατο όριο της συλλογής εσωτερ</w:t>
            </w:r>
            <w:r>
              <w:rPr>
                <w:rFonts w:ascii="Times New Roman" w:hAnsi="Times New Roman"/>
                <w:sz w:val="24"/>
              </w:rPr>
              <w:t>ι</w:t>
            </w:r>
            <w:r>
              <w:rPr>
                <w:rFonts w:ascii="Times New Roman" w:hAnsi="Times New Roman"/>
                <w:sz w:val="24"/>
              </w:rPr>
              <w:t>κών δεδομένων μόνο κατά την τρέχουσα περίοδο αναφοράς για την υποβ</w:t>
            </w:r>
            <w:r>
              <w:rPr>
                <w:rFonts w:ascii="Times New Roman" w:hAnsi="Times New Roman"/>
                <w:sz w:val="24"/>
              </w:rPr>
              <w:t>ο</w:t>
            </w:r>
            <w:r>
              <w:rPr>
                <w:rFonts w:ascii="Times New Roman" w:hAnsi="Times New Roman"/>
                <w:sz w:val="24"/>
              </w:rPr>
              <w:t>λή αναφορών.</w:t>
            </w:r>
          </w:p>
          <w:p w:rsidR="00FD54FC" w:rsidRPr="00321A3B" w:rsidRDefault="00FD54FC" w:rsidP="00FD54FC">
            <w:pPr>
              <w:rPr>
                <w:rStyle w:val="InstructionsTabelleberschrift"/>
                <w:rFonts w:ascii="Times New Roman" w:hAnsi="Times New Roman"/>
                <w:sz w:val="24"/>
              </w:rPr>
            </w:pPr>
            <w:r>
              <w:rPr>
                <w:rFonts w:ascii="Times New Roman" w:hAnsi="Times New Roman"/>
                <w:sz w:val="24"/>
              </w:rPr>
              <w:t>Στα «νέα γεγονότα» δεν περιλαμβάνονται γεγονότα λειτουργικού κινδύνου που «</w:t>
            </w:r>
            <w:proofErr w:type="spellStart"/>
            <w:r>
              <w:rPr>
                <w:rFonts w:ascii="Times New Roman" w:hAnsi="Times New Roman"/>
                <w:sz w:val="24"/>
              </w:rPr>
              <w:t>λογιστικοποιήθηκαν</w:t>
            </w:r>
            <w:proofErr w:type="spellEnd"/>
            <w:r>
              <w:rPr>
                <w:rFonts w:ascii="Times New Roman" w:hAnsi="Times New Roman"/>
                <w:sz w:val="24"/>
              </w:rPr>
              <w:t xml:space="preserve"> για πρώτη φορά» εντός προηγούμενης περιόδου αναφοράς για την υποβολή αναφορών, τα οποία είχαν συμπεριληφθεί ήδη σε προγενέστ</w:t>
            </w:r>
            <w:r>
              <w:rPr>
                <w:rFonts w:ascii="Times New Roman" w:hAnsi="Times New Roman"/>
                <w:sz w:val="24"/>
              </w:rPr>
              <w:t>ε</w:t>
            </w:r>
            <w:r>
              <w:rPr>
                <w:rFonts w:ascii="Times New Roman" w:hAnsi="Times New Roman"/>
                <w:sz w:val="24"/>
              </w:rPr>
              <w:t>ρες εποπτικές αναφορές.</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Ποσό ακαθάριστης ζημίας (νέα γεγονότα)</w:t>
            </w:r>
          </w:p>
          <w:p w:rsidR="00FD54FC" w:rsidRPr="00392FFD" w:rsidRDefault="00FD54FC" w:rsidP="00FD54FC">
            <w:pPr>
              <w:rPr>
                <w:rFonts w:ascii="Times New Roman" w:hAnsi="Times New Roman"/>
                <w:sz w:val="24"/>
              </w:rPr>
            </w:pPr>
            <w:r>
              <w:rPr>
                <w:rFonts w:ascii="Times New Roman" w:hAnsi="Times New Roman"/>
                <w:sz w:val="24"/>
              </w:rPr>
              <w:t>Το ποσό της ακαθάριστης ζημίας είναι τα ποσά των ακαθάριστων ζημιών που σχετίζονται με γεγονότα λειτουργικού κινδύνου (π.χ. άμεσες χρεώσεις, προβλ</w:t>
            </w:r>
            <w:r>
              <w:rPr>
                <w:rFonts w:ascii="Times New Roman" w:hAnsi="Times New Roman"/>
                <w:sz w:val="24"/>
              </w:rPr>
              <w:t>έ</w:t>
            </w:r>
            <w:r>
              <w:rPr>
                <w:rFonts w:ascii="Times New Roman" w:hAnsi="Times New Roman"/>
                <w:sz w:val="24"/>
              </w:rPr>
              <w:t>ψεις, λογιστικές τακτοποιήσεις). Όλες οι ζημίες που σχετίζονται με ένα μεμον</w:t>
            </w:r>
            <w:r>
              <w:rPr>
                <w:rFonts w:ascii="Times New Roman" w:hAnsi="Times New Roman"/>
                <w:sz w:val="24"/>
              </w:rPr>
              <w:t>ω</w:t>
            </w:r>
            <w:r>
              <w:rPr>
                <w:rFonts w:ascii="Times New Roman" w:hAnsi="Times New Roman"/>
                <w:sz w:val="24"/>
              </w:rPr>
              <w:t>μένο γεγονός οι οποίες λογιστικοποιούνται εντός της περιόδου αναφοράς για την υποβολή αναφορών αθροίζονται και θεωρούνται ως η ακαθάριστη ζημία του εν λόγω γεγονότος κατά την εν λόγω περίοδο αναφοράς για την υποβολή αναφ</w:t>
            </w:r>
            <w:r>
              <w:rPr>
                <w:rFonts w:ascii="Times New Roman" w:hAnsi="Times New Roman"/>
                <w:sz w:val="24"/>
              </w:rPr>
              <w:t>ο</w:t>
            </w:r>
            <w:r>
              <w:rPr>
                <w:rFonts w:ascii="Times New Roman" w:hAnsi="Times New Roman"/>
                <w:sz w:val="24"/>
              </w:rPr>
              <w:t>ρών.</w:t>
            </w:r>
          </w:p>
          <w:p w:rsidR="00FD54FC" w:rsidRPr="00392FFD" w:rsidRDefault="00FD54FC" w:rsidP="00FD54FC">
            <w:pPr>
              <w:rPr>
                <w:rFonts w:ascii="Times New Roman" w:hAnsi="Times New Roman"/>
                <w:sz w:val="24"/>
              </w:rPr>
            </w:pPr>
            <w:r>
              <w:rPr>
                <w:rFonts w:ascii="Times New Roman" w:hAnsi="Times New Roman"/>
                <w:sz w:val="24"/>
              </w:rPr>
              <w:lastRenderedPageBreak/>
              <w:t>Το αναφερόμενο ποσό της ακαθάριστης ζημίας αναφέρεται σε «νέα γεγονότα», όπως αυτά ορίζονται στην προηγούμενη γραμμή. Για τα γεγονότα που «</w:t>
            </w:r>
            <w:proofErr w:type="spellStart"/>
            <w:r>
              <w:rPr>
                <w:rFonts w:ascii="Times New Roman" w:hAnsi="Times New Roman"/>
                <w:sz w:val="24"/>
              </w:rPr>
              <w:t>λογιστ</w:t>
            </w:r>
            <w:r>
              <w:rPr>
                <w:rFonts w:ascii="Times New Roman" w:hAnsi="Times New Roman"/>
                <w:sz w:val="24"/>
              </w:rPr>
              <w:t>ι</w:t>
            </w:r>
            <w:r>
              <w:rPr>
                <w:rFonts w:ascii="Times New Roman" w:hAnsi="Times New Roman"/>
                <w:sz w:val="24"/>
              </w:rPr>
              <w:t>κοποιήθηκαν</w:t>
            </w:r>
            <w:proofErr w:type="spellEnd"/>
            <w:r>
              <w:rPr>
                <w:rFonts w:ascii="Times New Roman" w:hAnsi="Times New Roman"/>
                <w:sz w:val="24"/>
              </w:rPr>
              <w:t xml:space="preserve"> για πρώτη φορά» εντός προηγούμενης περιόδου αναφοράς για την υποβολή αναφορών, τα οποία δεν είχαν συμπεριληφθεί σε προγενέστερη εποπτ</w:t>
            </w:r>
            <w:r>
              <w:rPr>
                <w:rFonts w:ascii="Times New Roman" w:hAnsi="Times New Roman"/>
                <w:sz w:val="24"/>
              </w:rPr>
              <w:t>ι</w:t>
            </w:r>
            <w:r>
              <w:rPr>
                <w:rFonts w:ascii="Times New Roman" w:hAnsi="Times New Roman"/>
                <w:sz w:val="24"/>
              </w:rPr>
              <w:t>κή αναφορά, η συνολική συσσωρευμένη ζημία έως την ημερομηνία αναφοράς για την υποβολή αναφορών (ήτοι η αρχική ζημία συν / μείον όλες τις προσαρμ</w:t>
            </w:r>
            <w:r>
              <w:rPr>
                <w:rFonts w:ascii="Times New Roman" w:hAnsi="Times New Roman"/>
                <w:sz w:val="24"/>
              </w:rPr>
              <w:t>ο</w:t>
            </w:r>
            <w:r>
              <w:rPr>
                <w:rFonts w:ascii="Times New Roman" w:hAnsi="Times New Roman"/>
                <w:sz w:val="24"/>
              </w:rPr>
              <w:t>γές ζημιών που πραγματοποιήθηκαν σε προηγούμενες περιόδους αναφοράς για την υποβολή αναφορών) αναφέρεται ως η ακαθάριστη ζημία κατά την ημερομ</w:t>
            </w:r>
            <w:r>
              <w:rPr>
                <w:rFonts w:ascii="Times New Roman" w:hAnsi="Times New Roman"/>
                <w:sz w:val="24"/>
              </w:rPr>
              <w:t>η</w:t>
            </w:r>
            <w:r>
              <w:rPr>
                <w:rFonts w:ascii="Times New Roman" w:hAnsi="Times New Roman"/>
                <w:sz w:val="24"/>
              </w:rPr>
              <w:t>νία αναφοράς για την υποβολή αναφορών.</w:t>
            </w:r>
          </w:p>
          <w:p w:rsidR="00FD54FC" w:rsidRPr="00392FFD" w:rsidRDefault="00FD54FC" w:rsidP="00F52FC6">
            <w:pPr>
              <w:rPr>
                <w:rStyle w:val="InstructionsTabelleberschrift"/>
                <w:rFonts w:ascii="Times New Roman" w:hAnsi="Times New Roman"/>
                <w:sz w:val="24"/>
              </w:rPr>
            </w:pPr>
            <w:r>
              <w:rPr>
                <w:rFonts w:ascii="Times New Roman" w:hAnsi="Times New Roman"/>
                <w:sz w:val="24"/>
              </w:rPr>
              <w:t>Στα προς αναφορά ποσά δεν συμπεριλαμβάνονται οι ανακτήσεις που ελήφθησαν.</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0030, 0130, 0230, 0330, 0430, 0530, 0630, 0730, 0830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Αριθμός ζημιογόνων γεγονότων που υπόκεινται σε προσαρμογές ζημιών</w:t>
            </w:r>
          </w:p>
          <w:p w:rsidR="00FD54FC" w:rsidRPr="00392FFD" w:rsidRDefault="00FD54FC" w:rsidP="00FD54FC">
            <w:pPr>
              <w:rPr>
                <w:rFonts w:ascii="Times New Roman" w:hAnsi="Times New Roman"/>
                <w:sz w:val="24"/>
              </w:rPr>
            </w:pPr>
            <w:r>
              <w:rPr>
                <w:rFonts w:ascii="Times New Roman" w:hAnsi="Times New Roman"/>
                <w:sz w:val="24"/>
              </w:rPr>
              <w:t>Ο αριθμός των ζημιογόνων γεγονότων που υπόκεινται σε προσαρμογές ζημιών είναι ο αριθμός των γεγονότων λειτουργικού κινδύνου που «</w:t>
            </w:r>
            <w:proofErr w:type="spellStart"/>
            <w:r>
              <w:rPr>
                <w:rFonts w:ascii="Times New Roman" w:hAnsi="Times New Roman"/>
                <w:sz w:val="24"/>
              </w:rPr>
              <w:t>λογιστικοποιήθηκαν</w:t>
            </w:r>
            <w:proofErr w:type="spellEnd"/>
            <w:r>
              <w:rPr>
                <w:rFonts w:ascii="Times New Roman" w:hAnsi="Times New Roman"/>
                <w:sz w:val="24"/>
              </w:rPr>
              <w:t xml:space="preserve"> για πρώτη φορά» σε προηγούμενες περιόδους αναφοράς για την υποβολή αν</w:t>
            </w:r>
            <w:r>
              <w:rPr>
                <w:rFonts w:ascii="Times New Roman" w:hAnsi="Times New Roman"/>
                <w:sz w:val="24"/>
              </w:rPr>
              <w:t>α</w:t>
            </w:r>
            <w:r>
              <w:rPr>
                <w:rFonts w:ascii="Times New Roman" w:hAnsi="Times New Roman"/>
                <w:sz w:val="24"/>
              </w:rPr>
              <w:t xml:space="preserve">φορών και συμπεριλήφθηκαν ήδη σε προηγούμενες αναφορές, για τα οποία πραγματοποιήθηκαν προσαρμογές ζημιών κατά την τρέχουσα περίοδο αναφοράς για την υποβολή αναφορών. </w:t>
            </w:r>
          </w:p>
          <w:p w:rsidR="00FD54FC" w:rsidRPr="00392FFD" w:rsidRDefault="00FD54FC" w:rsidP="00FD54FC">
            <w:pPr>
              <w:rPr>
                <w:b/>
                <w:sz w:val="24"/>
              </w:rPr>
            </w:pPr>
            <w:r>
              <w:rPr>
                <w:rFonts w:ascii="Times New Roman" w:hAnsi="Times New Roman"/>
                <w:sz w:val="24"/>
              </w:rPr>
              <w:t>Εάν πραγματοποιήθηκαν περισσότερες από μία προσαρμογές ζημιών για ένα γ</w:t>
            </w:r>
            <w:r>
              <w:rPr>
                <w:rFonts w:ascii="Times New Roman" w:hAnsi="Times New Roman"/>
                <w:sz w:val="24"/>
              </w:rPr>
              <w:t>ε</w:t>
            </w:r>
            <w:r>
              <w:rPr>
                <w:rFonts w:ascii="Times New Roman" w:hAnsi="Times New Roman"/>
                <w:sz w:val="24"/>
              </w:rPr>
              <w:t>γονός εντός της περιόδου αναφοράς για την υποβολή αναφορών, το άθροισμα των εν λόγω προσαρμογών ζημιών λογίζεται ως μία προσαρμογή κατά την περ</w:t>
            </w:r>
            <w:r>
              <w:rPr>
                <w:rFonts w:ascii="Times New Roman" w:hAnsi="Times New Roman"/>
                <w:sz w:val="24"/>
              </w:rPr>
              <w:t>ί</w:t>
            </w:r>
            <w:r>
              <w:rPr>
                <w:rFonts w:ascii="Times New Roman" w:hAnsi="Times New Roman"/>
                <w:sz w:val="24"/>
              </w:rPr>
              <w:t>οδο αυτή.</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Προσαρμογές ζημιών σχετιζόμενες με προηγούμενες περιόδους υποβολής αναφοράς</w:t>
            </w:r>
          </w:p>
          <w:p w:rsidR="00FD54FC" w:rsidRPr="00392FFD" w:rsidRDefault="00FD54FC" w:rsidP="00FD54FC">
            <w:pPr>
              <w:rPr>
                <w:rFonts w:ascii="Times New Roman" w:hAnsi="Times New Roman"/>
                <w:sz w:val="24"/>
              </w:rPr>
            </w:pPr>
            <w:r>
              <w:rPr>
                <w:rFonts w:ascii="Times New Roman" w:hAnsi="Times New Roman"/>
                <w:sz w:val="24"/>
              </w:rPr>
              <w:t>Οι προσαρμογές ζημιών που σχετίζονται με προηγούμενες περιόδους αναφοράς για την υποβολή αναφορών ισούνται με το άθροισμα των κατωτέρω στοιχείων (θετικών ή αρνητικών):</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των ποσών των ακαθάριστων ζημιών που σχετίζονται με θετικές προσαρμ</w:t>
            </w:r>
            <w:r>
              <w:rPr>
                <w:rFonts w:ascii="Times New Roman" w:hAnsi="Times New Roman"/>
                <w:sz w:val="24"/>
              </w:rPr>
              <w:t>ο</w:t>
            </w:r>
            <w:r>
              <w:rPr>
                <w:rFonts w:ascii="Times New Roman" w:hAnsi="Times New Roman"/>
                <w:sz w:val="24"/>
              </w:rPr>
              <w:t>γές ζημιών που πραγματοποιήθηκαν κατά την περίοδο αναφοράς για την υποβολή αναφορών (π.χ. αύξηση των προβλέψεων, συνδεδεμένα ζημιογόνα γεγονότα, πρόσθετες λογιστικές τακτοποιήσεις) για γεγονότα λειτουργικού κινδύνου που «</w:t>
            </w:r>
            <w:proofErr w:type="spellStart"/>
            <w:r>
              <w:rPr>
                <w:rFonts w:ascii="Times New Roman" w:hAnsi="Times New Roman"/>
                <w:sz w:val="24"/>
              </w:rPr>
              <w:t>λογιστικοποιήθηκαν</w:t>
            </w:r>
            <w:proofErr w:type="spellEnd"/>
            <w:r>
              <w:rPr>
                <w:rFonts w:ascii="Times New Roman" w:hAnsi="Times New Roman"/>
                <w:sz w:val="24"/>
              </w:rPr>
              <w:t xml:space="preserve"> για πρώτη φορά» και αναφέρθηκαν σε προηγούμενες περιόδους αναφοράς για την υποβολή αναφορών·</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των ποσών των ακαθάριστων ζημιών που σχετίζονται με αρνητικές προσα</w:t>
            </w:r>
            <w:r>
              <w:rPr>
                <w:rFonts w:ascii="Times New Roman" w:hAnsi="Times New Roman"/>
                <w:sz w:val="24"/>
              </w:rPr>
              <w:t>ρ</w:t>
            </w:r>
            <w:r>
              <w:rPr>
                <w:rFonts w:ascii="Times New Roman" w:hAnsi="Times New Roman"/>
                <w:sz w:val="24"/>
              </w:rPr>
              <w:t>μογές ζημιών που πραγματοποιήθηκαν κατά την περίοδο αναφοράς για την υποβολή αναφορών (π.χ. λόγω της μείωσης των προβλέψεων) για γεγονότα λειτουργικού κινδύνου που «</w:t>
            </w:r>
            <w:proofErr w:type="spellStart"/>
            <w:r>
              <w:rPr>
                <w:rFonts w:ascii="Times New Roman" w:hAnsi="Times New Roman"/>
                <w:sz w:val="24"/>
              </w:rPr>
              <w:t>λογιστικοποιήθηκαν</w:t>
            </w:r>
            <w:proofErr w:type="spellEnd"/>
            <w:r>
              <w:rPr>
                <w:rFonts w:ascii="Times New Roman" w:hAnsi="Times New Roman"/>
                <w:sz w:val="24"/>
              </w:rPr>
              <w:t xml:space="preserve"> για πρώτη φορά» και </w:t>
            </w:r>
            <w:r>
              <w:rPr>
                <w:rFonts w:ascii="Times New Roman" w:hAnsi="Times New Roman"/>
                <w:sz w:val="24"/>
              </w:rPr>
              <w:t>α</w:t>
            </w:r>
            <w:r>
              <w:rPr>
                <w:rFonts w:ascii="Times New Roman" w:hAnsi="Times New Roman"/>
                <w:sz w:val="24"/>
              </w:rPr>
              <w:t>ναφέρθηκαν σε προηγούμενες περιόδους αναφοράς για την υποβολή αν</w:t>
            </w:r>
            <w:r>
              <w:rPr>
                <w:rFonts w:ascii="Times New Roman" w:hAnsi="Times New Roman"/>
                <w:sz w:val="24"/>
              </w:rPr>
              <w:t>α</w:t>
            </w:r>
            <w:r>
              <w:rPr>
                <w:rFonts w:ascii="Times New Roman" w:hAnsi="Times New Roman"/>
                <w:sz w:val="24"/>
              </w:rPr>
              <w:t xml:space="preserve">φορών. </w:t>
            </w:r>
          </w:p>
          <w:p w:rsidR="00FD54FC" w:rsidRPr="00392FFD" w:rsidRDefault="00FD54FC" w:rsidP="00FD54FC">
            <w:pPr>
              <w:rPr>
                <w:rFonts w:ascii="Times New Roman" w:hAnsi="Times New Roman"/>
                <w:sz w:val="24"/>
              </w:rPr>
            </w:pPr>
            <w:r>
              <w:rPr>
                <w:rFonts w:ascii="Times New Roman" w:hAnsi="Times New Roman"/>
                <w:sz w:val="24"/>
              </w:rPr>
              <w:t>Εάν πραγματοποιήθηκαν περισσότερες από μία προσαρμογές ζημιών για ένα γ</w:t>
            </w:r>
            <w:r>
              <w:rPr>
                <w:rFonts w:ascii="Times New Roman" w:hAnsi="Times New Roman"/>
                <w:sz w:val="24"/>
              </w:rPr>
              <w:t>ε</w:t>
            </w:r>
            <w:r>
              <w:rPr>
                <w:rFonts w:ascii="Times New Roman" w:hAnsi="Times New Roman"/>
                <w:sz w:val="24"/>
              </w:rPr>
              <w:t>γονός εντός της περιόδου αναφοράς για την υποβολή αναφορών, τα ποσά όλων των εν λόγω προσαρμογών ζημιών αθροίζονται, λαμβάνοντας υπόψη το πρόσ</w:t>
            </w:r>
            <w:r>
              <w:rPr>
                <w:rFonts w:ascii="Times New Roman" w:hAnsi="Times New Roman"/>
                <w:sz w:val="24"/>
              </w:rPr>
              <w:t>η</w:t>
            </w:r>
            <w:r>
              <w:rPr>
                <w:rFonts w:ascii="Times New Roman" w:hAnsi="Times New Roman"/>
                <w:sz w:val="24"/>
              </w:rPr>
              <w:t>μο των προσαρμογών (θετικό, αρνητικό). Το άθροισμα αυτό θεωρείται ως η προσαρμογή ζημίας για το συγκεκριμένο γεγονός για την εν λόγω περίοδο αν</w:t>
            </w:r>
            <w:r>
              <w:rPr>
                <w:rFonts w:ascii="Times New Roman" w:hAnsi="Times New Roman"/>
                <w:sz w:val="24"/>
              </w:rPr>
              <w:t>α</w:t>
            </w:r>
            <w:r>
              <w:rPr>
                <w:rFonts w:ascii="Times New Roman" w:hAnsi="Times New Roman"/>
                <w:sz w:val="24"/>
              </w:rPr>
              <w:t>φοράς για την υποβολή αναφορών.</w:t>
            </w:r>
          </w:p>
          <w:p w:rsidR="00FD54FC" w:rsidRPr="00392FFD" w:rsidRDefault="00FD54FC" w:rsidP="00FD54FC">
            <w:pPr>
              <w:rPr>
                <w:rFonts w:ascii="Times New Roman" w:hAnsi="Times New Roman"/>
                <w:sz w:val="24"/>
              </w:rPr>
            </w:pPr>
            <w:r>
              <w:rPr>
                <w:rFonts w:ascii="Times New Roman" w:hAnsi="Times New Roman"/>
                <w:sz w:val="24"/>
              </w:rPr>
              <w:t xml:space="preserve">Εάν, λόγω αρνητικής προσαρμογής ζημίας, το προσαρμοσμένο ποσό ζημίας που </w:t>
            </w:r>
            <w:r>
              <w:rPr>
                <w:rFonts w:ascii="Times New Roman" w:hAnsi="Times New Roman"/>
                <w:sz w:val="24"/>
              </w:rPr>
              <w:lastRenderedPageBreak/>
              <w:t>αποδίδεται σε κάποιο γεγονός είναι χαμηλότερο από το κατώτατο όριο της συ</w:t>
            </w:r>
            <w:r>
              <w:rPr>
                <w:rFonts w:ascii="Times New Roman" w:hAnsi="Times New Roman"/>
                <w:sz w:val="24"/>
              </w:rPr>
              <w:t>λ</w:t>
            </w:r>
            <w:r>
              <w:rPr>
                <w:rFonts w:ascii="Times New Roman" w:hAnsi="Times New Roman"/>
                <w:sz w:val="24"/>
              </w:rPr>
              <w:t>λογής εσωτερικών δεδομένων του ιδρύματος, το ίδρυμα αναφέρει το συνολικό ποσό της ζημίας για το εν λόγω γεγονός αθροιστικά, μέχρι την τελευταία φορά που αναφέρθηκε το γεγονός με ημερομηνία αναφοράς Δεκεμβρίου (ήτοι την α</w:t>
            </w:r>
            <w:r>
              <w:rPr>
                <w:rFonts w:ascii="Times New Roman" w:hAnsi="Times New Roman"/>
                <w:sz w:val="24"/>
              </w:rPr>
              <w:t>ρ</w:t>
            </w:r>
            <w:r>
              <w:rPr>
                <w:rFonts w:ascii="Times New Roman" w:hAnsi="Times New Roman"/>
                <w:sz w:val="24"/>
              </w:rPr>
              <w:t>χική ζημία συν / μείον όλες τις προσαρμογές ζημιών που πραγματοποιήθηκαν κατά τις προηγούμενες περιόδους αναφοράς για την υποβολή αναφορών), με α</w:t>
            </w:r>
            <w:r>
              <w:rPr>
                <w:rFonts w:ascii="Times New Roman" w:hAnsi="Times New Roman"/>
                <w:sz w:val="24"/>
              </w:rPr>
              <w:t>ρ</w:t>
            </w:r>
            <w:r>
              <w:rPr>
                <w:rFonts w:ascii="Times New Roman" w:hAnsi="Times New Roman"/>
                <w:sz w:val="24"/>
              </w:rPr>
              <w:t>νητικό πρόσημο αντί για το ποσό της αρνητικής προσαρμογής ζημίας καθαυτό.</w:t>
            </w:r>
          </w:p>
          <w:p w:rsidR="00FD54FC" w:rsidRPr="00392FFD" w:rsidRDefault="00FD54FC" w:rsidP="00EB62C2">
            <w:pPr>
              <w:rPr>
                <w:b/>
                <w:sz w:val="24"/>
              </w:rPr>
            </w:pPr>
            <w:r>
              <w:rPr>
                <w:rFonts w:ascii="Times New Roman" w:hAnsi="Times New Roman"/>
                <w:sz w:val="24"/>
              </w:rPr>
              <w:t>Στα προς αναφορά ποσά δεν συμπεριλαμβάνονται οι ανακτήσεις που ελήφθησαν.</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Μέγιστη μεμονωμένη ζημία</w:t>
            </w:r>
          </w:p>
          <w:p w:rsidR="00FD54FC" w:rsidRPr="00392FFD" w:rsidRDefault="00FD54FC" w:rsidP="00FD54FC">
            <w:pPr>
              <w:rPr>
                <w:rFonts w:ascii="Times New Roman" w:hAnsi="Times New Roman"/>
                <w:sz w:val="24"/>
              </w:rPr>
            </w:pPr>
            <w:r>
              <w:rPr>
                <w:rFonts w:ascii="Times New Roman" w:hAnsi="Times New Roman"/>
                <w:sz w:val="24"/>
              </w:rPr>
              <w:t>Η μέγιστη μεμονωμένη ζημία είναι το μεγαλύτερο από τα κατωτέρω ποσά:</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το μεγαλύτερο ποσό ακαθάριστης ζημίας που σχετίζεται με ένα γεγονός που αναφέρεται για πρώτη φορά εντός της περιόδου αναφοράς για την υποβολή αναφορών, και</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το μεγαλύτερο ποσό θετικής προσαρμογής ζημίας (όπως ορίζεται ανωτέρω) που σχετίζεται με ένα γεγονός που αναφέρθηκε για πρώτη φορά εντός προ</w:t>
            </w:r>
            <w:r>
              <w:rPr>
                <w:rFonts w:ascii="Times New Roman" w:hAnsi="Times New Roman"/>
                <w:sz w:val="24"/>
              </w:rPr>
              <w:t>η</w:t>
            </w:r>
            <w:r>
              <w:rPr>
                <w:rFonts w:ascii="Times New Roman" w:hAnsi="Times New Roman"/>
                <w:sz w:val="24"/>
              </w:rPr>
              <w:t>γούμενης περιόδου αναφοράς για την υποβολή αναφορών.</w:t>
            </w:r>
          </w:p>
          <w:p w:rsidR="00FD54FC" w:rsidRPr="00392FFD" w:rsidRDefault="00FD54FC" w:rsidP="00F52FC6">
            <w:pPr>
              <w:rPr>
                <w:sz w:val="24"/>
              </w:rPr>
            </w:pPr>
            <w:r>
              <w:rPr>
                <w:rFonts w:ascii="Times New Roman" w:hAnsi="Times New Roman"/>
                <w:sz w:val="24"/>
              </w:rPr>
              <w:t>Στα προς αναφορά ποσά δεν συμπεριλαμβάνονται οι ανακτήσεις που ελήφθησαν.</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Άθροισμα των πέντε μεγαλύτερων ζημιών</w:t>
            </w:r>
          </w:p>
          <w:p w:rsidR="00FD54FC" w:rsidRPr="00392FFD" w:rsidRDefault="00FD54FC" w:rsidP="00FD54FC">
            <w:pPr>
              <w:rPr>
                <w:rFonts w:ascii="Times New Roman" w:hAnsi="Times New Roman"/>
                <w:sz w:val="24"/>
              </w:rPr>
            </w:pPr>
            <w:r>
              <w:rPr>
                <w:rFonts w:ascii="Times New Roman" w:hAnsi="Times New Roman"/>
                <w:sz w:val="24"/>
              </w:rPr>
              <w:t>Το άθροισμα των πέντε μεγαλύτερων ζημιών είναι το άθροισμα των πέντε μεγ</w:t>
            </w:r>
            <w:r>
              <w:rPr>
                <w:rFonts w:ascii="Times New Roman" w:hAnsi="Times New Roman"/>
                <w:sz w:val="24"/>
              </w:rPr>
              <w:t>α</w:t>
            </w:r>
            <w:r>
              <w:rPr>
                <w:rFonts w:ascii="Times New Roman" w:hAnsi="Times New Roman"/>
                <w:sz w:val="24"/>
              </w:rPr>
              <w:t>λύτερων ποσών μεταξύ των κατωτέρω:</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των ποσών των ακαθάριστων ζημιών για γεγονότα που αναφέρονται για πρώτη φορά εντός της περιόδου αναφοράς για την υποβολή αναφορών, και</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των ποσών θετικής προσαρμογής ζημίας (όπως ορίζονται για τις γραμμές 040, 140, ..., 840 ανωτέρω) που σχετίζονται με γεγονότα που αναφέρθηκαν για πρώτη φορά εντός προηγούμενης περιόδου αναφοράς για την υποβολή αναφορών. Το ποσό που μπορεί να θεωρηθεί ως μία από τις πέντε μεγαλ</w:t>
            </w:r>
            <w:r>
              <w:rPr>
                <w:rFonts w:ascii="Times New Roman" w:hAnsi="Times New Roman"/>
                <w:sz w:val="24"/>
              </w:rPr>
              <w:t>ύ</w:t>
            </w:r>
            <w:r>
              <w:rPr>
                <w:rFonts w:ascii="Times New Roman" w:hAnsi="Times New Roman"/>
                <w:sz w:val="24"/>
              </w:rPr>
              <w:t>τερες ζημίες είναι το ποσό της ίδιας της προσαρμογής ζημίας, και όχι η σ</w:t>
            </w:r>
            <w:r>
              <w:rPr>
                <w:rFonts w:ascii="Times New Roman" w:hAnsi="Times New Roman"/>
                <w:sz w:val="24"/>
              </w:rPr>
              <w:t>υ</w:t>
            </w:r>
            <w:r>
              <w:rPr>
                <w:rFonts w:ascii="Times New Roman" w:hAnsi="Times New Roman"/>
                <w:sz w:val="24"/>
              </w:rPr>
              <w:t>νολική ζημία που σχετίζεται με το αντίστοιχο γεγονός πριν ή μετά την πρ</w:t>
            </w:r>
            <w:r>
              <w:rPr>
                <w:rFonts w:ascii="Times New Roman" w:hAnsi="Times New Roman"/>
                <w:sz w:val="24"/>
              </w:rPr>
              <w:t>ο</w:t>
            </w:r>
            <w:r>
              <w:rPr>
                <w:rFonts w:ascii="Times New Roman" w:hAnsi="Times New Roman"/>
                <w:sz w:val="24"/>
              </w:rPr>
              <w:t>σαρμογή ζημίας.</w:t>
            </w:r>
          </w:p>
          <w:p w:rsidR="00FD54FC" w:rsidRPr="00392FFD" w:rsidRDefault="00FD54FC" w:rsidP="00F52FC6">
            <w:pPr>
              <w:rPr>
                <w:sz w:val="24"/>
              </w:rPr>
            </w:pPr>
            <w:r>
              <w:rPr>
                <w:rFonts w:ascii="Times New Roman" w:hAnsi="Times New Roman"/>
                <w:sz w:val="24"/>
              </w:rPr>
              <w:t>Στα προς αναφορά ποσά δεν συμπεριλαμβάνονται οι ανακτήσεις που ελήφθησαν.</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rsidR="00FD54FC" w:rsidRPr="00392FFD" w:rsidRDefault="00B34B0B" w:rsidP="00FD54FC">
            <w:pPr>
              <w:rPr>
                <w:sz w:val="24"/>
              </w:rPr>
            </w:pPr>
            <w:r>
              <w:rPr>
                <w:rStyle w:val="InstructionsTabelleberschrift"/>
                <w:rFonts w:ascii="Times New Roman" w:hAnsi="Times New Roman"/>
                <w:sz w:val="24"/>
              </w:rPr>
              <w:t>Συνολική άμεση ανάκτηση ζημιών</w:t>
            </w:r>
          </w:p>
          <w:p w:rsidR="00FD54FC" w:rsidRPr="00392FFD" w:rsidRDefault="00FD54FC" w:rsidP="00FD54FC">
            <w:pPr>
              <w:rPr>
                <w:rFonts w:ascii="Times New Roman" w:hAnsi="Times New Roman"/>
                <w:sz w:val="24"/>
              </w:rPr>
            </w:pPr>
            <w:r>
              <w:rPr>
                <w:rFonts w:ascii="Times New Roman" w:hAnsi="Times New Roman"/>
                <w:sz w:val="24"/>
              </w:rPr>
              <w:t xml:space="preserve">Άμεσες ανακτήσεις είναι όλες οι ανακτήσεις που λαμβάνονται, εκτός από αυτές που υπάγονται στο άρθρο 323 του ΚΚΑ, οι οποίες αναφέρονται στην κατωτέρω γραμμή. </w:t>
            </w:r>
          </w:p>
          <w:p w:rsidR="00FD54FC" w:rsidRPr="00392FFD" w:rsidRDefault="00FD54FC" w:rsidP="00FD54FC">
            <w:pPr>
              <w:rPr>
                <w:b/>
                <w:sz w:val="24"/>
              </w:rPr>
            </w:pPr>
            <w:r>
              <w:rPr>
                <w:rFonts w:ascii="Times New Roman" w:hAnsi="Times New Roman"/>
                <w:sz w:val="24"/>
              </w:rPr>
              <w:t>Η συνολική άμεση ανάκτηση ζημιών είναι το άθροισμα όλων των άμεσων αν</w:t>
            </w:r>
            <w:r>
              <w:rPr>
                <w:rFonts w:ascii="Times New Roman" w:hAnsi="Times New Roman"/>
                <w:sz w:val="24"/>
              </w:rPr>
              <w:t>α</w:t>
            </w:r>
            <w:r>
              <w:rPr>
                <w:rFonts w:ascii="Times New Roman" w:hAnsi="Times New Roman"/>
                <w:sz w:val="24"/>
              </w:rPr>
              <w:t>κτήσεων και των προσαρμογών των άμεσων ανακτήσεων που λογιστικοποιο</w:t>
            </w:r>
            <w:r>
              <w:rPr>
                <w:rFonts w:ascii="Times New Roman" w:hAnsi="Times New Roman"/>
                <w:sz w:val="24"/>
              </w:rPr>
              <w:t>ύ</w:t>
            </w:r>
            <w:r>
              <w:rPr>
                <w:rFonts w:ascii="Times New Roman" w:hAnsi="Times New Roman"/>
                <w:sz w:val="24"/>
              </w:rPr>
              <w:t>νται εντός της περιόδου υποβολής αναφοράς και σχετίζονται με γεγονότα λε</w:t>
            </w:r>
            <w:r>
              <w:rPr>
                <w:rFonts w:ascii="Times New Roman" w:hAnsi="Times New Roman"/>
                <w:sz w:val="24"/>
              </w:rPr>
              <w:t>ι</w:t>
            </w:r>
            <w:r>
              <w:rPr>
                <w:rFonts w:ascii="Times New Roman" w:hAnsi="Times New Roman"/>
                <w:sz w:val="24"/>
              </w:rPr>
              <w:t xml:space="preserve">τουργικού κινδύνου που </w:t>
            </w:r>
            <w:proofErr w:type="spellStart"/>
            <w:r>
              <w:rPr>
                <w:rFonts w:ascii="Times New Roman" w:hAnsi="Times New Roman"/>
                <w:sz w:val="24"/>
              </w:rPr>
              <w:t>λογιστικοποιήθηκαν</w:t>
            </w:r>
            <w:proofErr w:type="spellEnd"/>
            <w:r>
              <w:rPr>
                <w:rFonts w:ascii="Times New Roman" w:hAnsi="Times New Roman"/>
                <w:sz w:val="24"/>
              </w:rPr>
              <w:t xml:space="preserve"> για πρώτη φορά εντός της περιόδου αναφοράς για την υποβολή αναφορών ή σε προηγούμενες περιόδους αναφοράς για την υποβολή αναφορών.</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 xml:space="preserve">0080, 0180, </w:t>
            </w:r>
            <w:r>
              <w:rPr>
                <w:rFonts w:ascii="Times New Roman" w:hAnsi="Times New Roman"/>
                <w:sz w:val="24"/>
              </w:rPr>
              <w:lastRenderedPageBreak/>
              <w:t>0280, 0380, 0480, 0580, 0680, 0780, 0880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Συνολική ανάκτηση από ασφαλίσεις και άλλους μηχανισμούς μεταφοράς </w:t>
            </w:r>
            <w:r>
              <w:rPr>
                <w:rStyle w:val="InstructionsTabelleberschrift"/>
                <w:rFonts w:ascii="Times New Roman" w:hAnsi="Times New Roman"/>
                <w:sz w:val="24"/>
              </w:rPr>
              <w:lastRenderedPageBreak/>
              <w:t>κινδύνου</w:t>
            </w:r>
          </w:p>
          <w:p w:rsidR="00FD54FC" w:rsidRPr="00392FFD" w:rsidRDefault="00FD54FC" w:rsidP="00FD54FC">
            <w:pPr>
              <w:rPr>
                <w:rFonts w:ascii="Times New Roman" w:hAnsi="Times New Roman"/>
                <w:sz w:val="24"/>
              </w:rPr>
            </w:pPr>
            <w:r>
              <w:rPr>
                <w:rFonts w:ascii="Times New Roman" w:hAnsi="Times New Roman"/>
                <w:sz w:val="24"/>
              </w:rPr>
              <w:t xml:space="preserve">Ανακτήσεις από ασφαλίσεις και άλλους μηχανισμούς μεταφοράς κινδύνου είναι οι ανακτήσεις που υπάγονται στο άρθρο 323 του ΚΚΑ. </w:t>
            </w:r>
          </w:p>
          <w:p w:rsidR="00FD54FC" w:rsidRPr="00392FFD" w:rsidRDefault="00FD54FC" w:rsidP="00070AF9">
            <w:pPr>
              <w:rPr>
                <w:sz w:val="24"/>
              </w:rPr>
            </w:pPr>
            <w:r>
              <w:rPr>
                <w:rFonts w:ascii="Times New Roman" w:hAnsi="Times New Roman"/>
                <w:sz w:val="24"/>
              </w:rPr>
              <w:t>Η συνολική ανάκτηση από ασφαλίσεις και άλλους μηχανισμούς μεταφοράς κι</w:t>
            </w:r>
            <w:r>
              <w:rPr>
                <w:rFonts w:ascii="Times New Roman" w:hAnsi="Times New Roman"/>
                <w:sz w:val="24"/>
              </w:rPr>
              <w:t>ν</w:t>
            </w:r>
            <w:r>
              <w:rPr>
                <w:rFonts w:ascii="Times New Roman" w:hAnsi="Times New Roman"/>
                <w:sz w:val="24"/>
              </w:rPr>
              <w:t>δύνου είναι το άθροισμα όλων των ανακτήσεων από ασφαλίσεις και άλλους μ</w:t>
            </w:r>
            <w:r>
              <w:rPr>
                <w:rFonts w:ascii="Times New Roman" w:hAnsi="Times New Roman"/>
                <w:sz w:val="24"/>
              </w:rPr>
              <w:t>η</w:t>
            </w:r>
            <w:r>
              <w:rPr>
                <w:rFonts w:ascii="Times New Roman" w:hAnsi="Times New Roman"/>
                <w:sz w:val="24"/>
              </w:rPr>
              <w:t>χανισμούς μεταφοράς κινδύνου, και των προσαρμογών στις εν λόγω ανακτήσεις, που λογιστικοποιούνται εντός της περιόδου αναφοράς για την υποβολή αναφ</w:t>
            </w:r>
            <w:r>
              <w:rPr>
                <w:rFonts w:ascii="Times New Roman" w:hAnsi="Times New Roman"/>
                <w:sz w:val="24"/>
              </w:rPr>
              <w:t>ο</w:t>
            </w:r>
            <w:r>
              <w:rPr>
                <w:rFonts w:ascii="Times New Roman" w:hAnsi="Times New Roman"/>
                <w:sz w:val="24"/>
              </w:rPr>
              <w:t xml:space="preserve">ρών και σχετίζονται με γεγονότα λειτουργικού κινδύνου που </w:t>
            </w:r>
            <w:proofErr w:type="spellStart"/>
            <w:r>
              <w:rPr>
                <w:rFonts w:ascii="Times New Roman" w:hAnsi="Times New Roman"/>
                <w:sz w:val="24"/>
              </w:rPr>
              <w:t>λογιστικοποιήθ</w:t>
            </w:r>
            <w:r>
              <w:rPr>
                <w:rFonts w:ascii="Times New Roman" w:hAnsi="Times New Roman"/>
                <w:sz w:val="24"/>
              </w:rPr>
              <w:t>η</w:t>
            </w:r>
            <w:r>
              <w:rPr>
                <w:rFonts w:ascii="Times New Roman" w:hAnsi="Times New Roman"/>
                <w:sz w:val="24"/>
              </w:rPr>
              <w:t>καν</w:t>
            </w:r>
            <w:proofErr w:type="spellEnd"/>
            <w:r>
              <w:rPr>
                <w:rFonts w:ascii="Times New Roman" w:hAnsi="Times New Roman"/>
                <w:sz w:val="24"/>
              </w:rPr>
              <w:t xml:space="preserve"> για πρώτη φορά εντός της περιόδου αναφοράς για την υποβολή αναφορών ή σε προηγούμενες περιόδους αναφοράς για την υποβολή αναφορών.</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lastRenderedPageBreak/>
              <w:t>0910-0980</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ΣΥΝΟΛΟ ΕΠΙΧΕΙΡΗΜΑΤΙΚΩΝ ΤΟΜΕΩΝ</w:t>
            </w:r>
          </w:p>
          <w:p w:rsidR="00FD54FC" w:rsidRPr="00392FFD" w:rsidRDefault="00FD54FC" w:rsidP="00FD54FC">
            <w:pPr>
              <w:rPr>
                <w:rFonts w:ascii="Times New Roman" w:hAnsi="Times New Roman"/>
                <w:sz w:val="24"/>
              </w:rPr>
            </w:pPr>
            <w:r>
              <w:rPr>
                <w:rFonts w:ascii="Times New Roman" w:hAnsi="Times New Roman"/>
                <w:sz w:val="24"/>
              </w:rPr>
              <w:t>Για κάθε κατηγορία γεγονότος (στήλες 010 έως 080), πρέπει να αναφέρονται οι πληροφορίες (άρθρο 322 παράγραφος 3 στοιχεία β), γ) και ε) του ΚΚΑ) για το σύνολο των επιχειρηματικών τομέων.</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0910-0914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Αριθμός γεγονότων</w:t>
            </w:r>
          </w:p>
          <w:p w:rsidR="00FD54FC" w:rsidRPr="00392FFD" w:rsidRDefault="00FD54FC" w:rsidP="00FD54FC">
            <w:pPr>
              <w:rPr>
                <w:rFonts w:ascii="Times New Roman" w:hAnsi="Times New Roman"/>
                <w:sz w:val="24"/>
              </w:rPr>
            </w:pPr>
            <w:r>
              <w:rPr>
                <w:rFonts w:ascii="Times New Roman" w:hAnsi="Times New Roman"/>
                <w:sz w:val="24"/>
              </w:rPr>
              <w:t>Στη γραμμή 910 αναφέρεται ο αριθμός των γεγονότων που υπερβαίνουν το εσ</w:t>
            </w:r>
            <w:r>
              <w:rPr>
                <w:rFonts w:ascii="Times New Roman" w:hAnsi="Times New Roman"/>
                <w:sz w:val="24"/>
              </w:rPr>
              <w:t>ω</w:t>
            </w:r>
            <w:r>
              <w:rPr>
                <w:rFonts w:ascii="Times New Roman" w:hAnsi="Times New Roman"/>
                <w:sz w:val="24"/>
              </w:rPr>
              <w:t>τερικό κατώτατο όριο κατά κατηγορία γεγονότων για το σύνολο των επιχειρημ</w:t>
            </w:r>
            <w:r>
              <w:rPr>
                <w:rFonts w:ascii="Times New Roman" w:hAnsi="Times New Roman"/>
                <w:sz w:val="24"/>
              </w:rPr>
              <w:t>α</w:t>
            </w:r>
            <w:r>
              <w:rPr>
                <w:rFonts w:ascii="Times New Roman" w:hAnsi="Times New Roman"/>
                <w:sz w:val="24"/>
              </w:rPr>
              <w:t>τικών τομέων. Ο συγκεκριμένος αριθμός δύναται να είναι χαμηλότερος από το άθροισμα του αριθμού των γεγονότων ανά επιχειρηματικό τομέα, δεδομένου ότι τα γεγονότα με πολλαπλές επιπτώσεις (επιπτώσεις σε διαφορετικούς επιχειρημ</w:t>
            </w:r>
            <w:r>
              <w:rPr>
                <w:rFonts w:ascii="Times New Roman" w:hAnsi="Times New Roman"/>
                <w:sz w:val="24"/>
              </w:rPr>
              <w:t>α</w:t>
            </w:r>
            <w:r>
              <w:rPr>
                <w:rFonts w:ascii="Times New Roman" w:hAnsi="Times New Roman"/>
                <w:sz w:val="24"/>
              </w:rPr>
              <w:t>τικούς τομείς) θεωρούνται ως ένα γεγονός. Ο αριθμός δύναται να είναι υψηλότ</w:t>
            </w:r>
            <w:r>
              <w:rPr>
                <w:rFonts w:ascii="Times New Roman" w:hAnsi="Times New Roman"/>
                <w:sz w:val="24"/>
              </w:rPr>
              <w:t>ε</w:t>
            </w:r>
            <w:r>
              <w:rPr>
                <w:rFonts w:ascii="Times New Roman" w:hAnsi="Times New Roman"/>
                <w:sz w:val="24"/>
              </w:rPr>
              <w:t>ρος, εάν ένα ίδρυμα που υπολογίζει τις απαιτήσεις ιδίων κεφαλαίων του σύμφ</w:t>
            </w:r>
            <w:r>
              <w:rPr>
                <w:rFonts w:ascii="Times New Roman" w:hAnsi="Times New Roman"/>
                <w:sz w:val="24"/>
              </w:rPr>
              <w:t>ω</w:t>
            </w:r>
            <w:r>
              <w:rPr>
                <w:rFonts w:ascii="Times New Roman" w:hAnsi="Times New Roman"/>
                <w:sz w:val="24"/>
              </w:rPr>
              <w:t xml:space="preserve">να με την προσέγγιση βασικού δείκτη δεν μπορεί να προσδιορίσει </w:t>
            </w:r>
            <w:proofErr w:type="spellStart"/>
            <w:r>
              <w:rPr>
                <w:rFonts w:ascii="Times New Roman" w:hAnsi="Times New Roman"/>
                <w:sz w:val="24"/>
              </w:rPr>
              <w:t>τον(τους</w:t>
            </w:r>
            <w:proofErr w:type="spellEnd"/>
            <w:r>
              <w:rPr>
                <w:rFonts w:ascii="Times New Roman" w:hAnsi="Times New Roman"/>
                <w:sz w:val="24"/>
              </w:rPr>
              <w:t>) επ</w:t>
            </w:r>
            <w:r>
              <w:rPr>
                <w:rFonts w:ascii="Times New Roman" w:hAnsi="Times New Roman"/>
                <w:sz w:val="24"/>
              </w:rPr>
              <w:t>ι</w:t>
            </w:r>
            <w:r>
              <w:rPr>
                <w:rFonts w:ascii="Times New Roman" w:hAnsi="Times New Roman"/>
                <w:sz w:val="24"/>
              </w:rPr>
              <w:t>χειρηματικό(-</w:t>
            </w:r>
            <w:proofErr w:type="spellStart"/>
            <w:r>
              <w:rPr>
                <w:rFonts w:ascii="Times New Roman" w:hAnsi="Times New Roman"/>
                <w:sz w:val="24"/>
              </w:rPr>
              <w:t>ούς</w:t>
            </w:r>
            <w:proofErr w:type="spellEnd"/>
            <w:r>
              <w:rPr>
                <w:rFonts w:ascii="Times New Roman" w:hAnsi="Times New Roman"/>
                <w:sz w:val="24"/>
              </w:rPr>
              <w:t>) τομέα(-</w:t>
            </w:r>
            <w:proofErr w:type="spellStart"/>
            <w:r>
              <w:rPr>
                <w:rFonts w:ascii="Times New Roman" w:hAnsi="Times New Roman"/>
                <w:sz w:val="24"/>
              </w:rPr>
              <w:t>είς</w:t>
            </w:r>
            <w:proofErr w:type="spellEnd"/>
            <w:r>
              <w:rPr>
                <w:rFonts w:ascii="Times New Roman" w:hAnsi="Times New Roman"/>
                <w:sz w:val="24"/>
              </w:rPr>
              <w:t>) που επηρεάζεται(-</w:t>
            </w:r>
            <w:proofErr w:type="spellStart"/>
            <w:r>
              <w:rPr>
                <w:rFonts w:ascii="Times New Roman" w:hAnsi="Times New Roman"/>
                <w:sz w:val="24"/>
              </w:rPr>
              <w:t>ονται</w:t>
            </w:r>
            <w:proofErr w:type="spellEnd"/>
            <w:r>
              <w:rPr>
                <w:rFonts w:ascii="Times New Roman" w:hAnsi="Times New Roman"/>
                <w:sz w:val="24"/>
              </w:rPr>
              <w:t>) από τη ζημία σε κάθε π</w:t>
            </w:r>
            <w:r>
              <w:rPr>
                <w:rFonts w:ascii="Times New Roman" w:hAnsi="Times New Roman"/>
                <w:sz w:val="24"/>
              </w:rPr>
              <w:t>ε</w:t>
            </w:r>
            <w:r>
              <w:rPr>
                <w:rFonts w:ascii="Times New Roman" w:hAnsi="Times New Roman"/>
                <w:sz w:val="24"/>
              </w:rPr>
              <w:t>ρίπτωση.</w:t>
            </w:r>
          </w:p>
          <w:p w:rsidR="00FD54FC" w:rsidRPr="00392FFD" w:rsidRDefault="00FD54FC" w:rsidP="00FD54FC">
            <w:pPr>
              <w:rPr>
                <w:rFonts w:ascii="Times New Roman" w:hAnsi="Times New Roman"/>
                <w:sz w:val="24"/>
              </w:rPr>
            </w:pPr>
            <w:r>
              <w:rPr>
                <w:rFonts w:ascii="Times New Roman" w:hAnsi="Times New Roman"/>
                <w:sz w:val="24"/>
              </w:rPr>
              <w:t>Στις γραμμές 911 έως 914 αναφέρεται ο αριθμός των γεγονότων με ποσό ακαθ</w:t>
            </w:r>
            <w:r>
              <w:rPr>
                <w:rFonts w:ascii="Times New Roman" w:hAnsi="Times New Roman"/>
                <w:sz w:val="24"/>
              </w:rPr>
              <w:t>ά</w:t>
            </w:r>
            <w:r>
              <w:rPr>
                <w:rFonts w:ascii="Times New Roman" w:hAnsi="Times New Roman"/>
                <w:sz w:val="24"/>
              </w:rPr>
              <w:t>ριστης ζημίας εντός του εύρους τιμών που ορίζεται στις σχετικές γραμμές.</w:t>
            </w:r>
          </w:p>
          <w:p w:rsidR="00FD54FC" w:rsidRPr="00392FFD" w:rsidRDefault="00FD54FC" w:rsidP="00FD54FC">
            <w:pPr>
              <w:rPr>
                <w:rFonts w:ascii="Times New Roman" w:hAnsi="Times New Roman"/>
                <w:sz w:val="24"/>
              </w:rPr>
            </w:pPr>
            <w:r>
              <w:rPr>
                <w:rFonts w:ascii="Times New Roman" w:hAnsi="Times New Roman"/>
                <w:sz w:val="24"/>
              </w:rPr>
              <w:t>Εφόσον το ίδρυμα έχει κατατάξει όλες τις ζημίες του είτε σε επιχειρηματικό τ</w:t>
            </w:r>
            <w:r>
              <w:rPr>
                <w:rFonts w:ascii="Times New Roman" w:hAnsi="Times New Roman"/>
                <w:sz w:val="24"/>
              </w:rPr>
              <w:t>ο</w:t>
            </w:r>
            <w:r>
              <w:rPr>
                <w:rFonts w:ascii="Times New Roman" w:hAnsi="Times New Roman"/>
                <w:sz w:val="24"/>
              </w:rPr>
              <w:t>μέα που απαριθμείται στο άρθρο 317 παράγραφος 4 πίνακας 2 του ΚΚΑ είτε στον επιχειρηματικό τομέα «Επιχειρηματικά στοιχεία» που αναφέρεται στο ά</w:t>
            </w:r>
            <w:r>
              <w:rPr>
                <w:rFonts w:ascii="Times New Roman" w:hAnsi="Times New Roman"/>
                <w:sz w:val="24"/>
              </w:rPr>
              <w:t>ρ</w:t>
            </w:r>
            <w:r>
              <w:rPr>
                <w:rFonts w:ascii="Times New Roman" w:hAnsi="Times New Roman"/>
                <w:sz w:val="24"/>
              </w:rPr>
              <w:t>θρο 322 παράγραφος 3 στοιχείο β) του ΚΚΑ, αντίστοιχα, και/ή έχει προσδιορίσει τις κατηγορίες γεγονότων για όλες τις ζημίες, ισχύουν τα ακόλουθα για τη στήλη 080:</w:t>
            </w:r>
          </w:p>
          <w:p w:rsidR="00FD54FC" w:rsidRPr="00392FFD"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Ο συνολικός αριθμός των γεγονότων που αναφέρονται στις γραμμές 910 έως 914 ισούται με το οριζόντιο άθροισμα του αριθμού των γεγονότων της αντ</w:t>
            </w:r>
            <w:r>
              <w:rPr>
                <w:rFonts w:ascii="Times New Roman" w:hAnsi="Times New Roman"/>
                <w:sz w:val="24"/>
              </w:rPr>
              <w:t>ί</w:t>
            </w:r>
            <w:r>
              <w:rPr>
                <w:rFonts w:ascii="Times New Roman" w:hAnsi="Times New Roman"/>
                <w:sz w:val="24"/>
              </w:rPr>
              <w:t>στοιχης γραμμής, δεδομένου ότι στα συγκεκριμένα αριθμητικά στοιχεία τα γεγονότα που έχουν επιπτώσεις σε διαφορετικούς επιχειρηματικούς τομείς έχουν ήδη ληφθεί υπόψη ως ένα γεγονός.</w:t>
            </w:r>
          </w:p>
          <w:p w:rsidR="00FD54FC" w:rsidRPr="00392FFD" w:rsidRDefault="00125707" w:rsidP="0023700C">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Ο αριθμός που αναφέρεται στη στήλη 080, γραμμή 910 δεν ισούται απαρα</w:t>
            </w:r>
            <w:r>
              <w:rPr>
                <w:rFonts w:ascii="Times New Roman" w:hAnsi="Times New Roman"/>
                <w:sz w:val="24"/>
              </w:rPr>
              <w:t>ι</w:t>
            </w:r>
            <w:r>
              <w:rPr>
                <w:rFonts w:ascii="Times New Roman" w:hAnsi="Times New Roman"/>
                <w:sz w:val="24"/>
              </w:rPr>
              <w:t>τήτως με το κάθετο άθροισμα του αριθμού των γεγονότων που περιλαμβάν</w:t>
            </w:r>
            <w:r>
              <w:rPr>
                <w:rFonts w:ascii="Times New Roman" w:hAnsi="Times New Roman"/>
                <w:sz w:val="24"/>
              </w:rPr>
              <w:t>ο</w:t>
            </w:r>
            <w:r>
              <w:rPr>
                <w:rFonts w:ascii="Times New Roman" w:hAnsi="Times New Roman"/>
                <w:sz w:val="24"/>
              </w:rPr>
              <w:t>νται στη στήλη 080, δεδομένου ότι ένα γεγονός μπορεί να έχει επιπτώσεις ταυτόχρονα σε διαφορετικούς επιχειρηματικούς τομείς.</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0920-</w:t>
            </w:r>
            <w:r>
              <w:rPr>
                <w:rFonts w:ascii="Times New Roman" w:hAnsi="Times New Roman"/>
                <w:sz w:val="24"/>
              </w:rPr>
              <w:lastRenderedPageBreak/>
              <w:t>0924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Ποσό ακαθάριστης ζημίας (νέα γεγονότα)</w:t>
            </w:r>
          </w:p>
          <w:p w:rsidR="00FD54FC" w:rsidRPr="00392FFD" w:rsidRDefault="00FD54FC" w:rsidP="00FD54FC">
            <w:pPr>
              <w:rPr>
                <w:rFonts w:ascii="Times New Roman" w:hAnsi="Times New Roman"/>
                <w:sz w:val="24"/>
              </w:rPr>
            </w:pPr>
            <w:r>
              <w:rPr>
                <w:rFonts w:ascii="Times New Roman" w:hAnsi="Times New Roman"/>
                <w:sz w:val="24"/>
              </w:rPr>
              <w:lastRenderedPageBreak/>
              <w:t>Εφόσον το ίδρυμα έχει κατατάξει όλες τις ζημίες του είτε σε επιχειρηματικό τ</w:t>
            </w:r>
            <w:r>
              <w:rPr>
                <w:rFonts w:ascii="Times New Roman" w:hAnsi="Times New Roman"/>
                <w:sz w:val="24"/>
              </w:rPr>
              <w:t>ο</w:t>
            </w:r>
            <w:r>
              <w:rPr>
                <w:rFonts w:ascii="Times New Roman" w:hAnsi="Times New Roman"/>
                <w:sz w:val="24"/>
              </w:rPr>
              <w:t>μέα που απαριθμείται στο άρθρο 317 παράγραφος 4 πίνακας 2 του ΚΚΑ είτε στον επιχειρηματικό τομέα «Επιχειρηματικά στοιχεία» που αναφέρεται στο ά</w:t>
            </w:r>
            <w:r>
              <w:rPr>
                <w:rFonts w:ascii="Times New Roman" w:hAnsi="Times New Roman"/>
                <w:sz w:val="24"/>
              </w:rPr>
              <w:t>ρ</w:t>
            </w:r>
            <w:r>
              <w:rPr>
                <w:rFonts w:ascii="Times New Roman" w:hAnsi="Times New Roman"/>
                <w:sz w:val="24"/>
              </w:rPr>
              <w:t xml:space="preserve">θρο 322 παράγραφος 3 στοιχείο β) του ΚΚΑ, το ποσό ακαθάριστης ζημίας (νέα γεγονότα) που αναφέρεται στη γραμμή 920 είναι το απλό άθροισμα των ποσών των ακαθάριστων ζημιών των νέων γεγονότων για κάθε επιχειρηματικό τομέα.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Στις γραμμές 921 έως 924 αναφέρεται το ποσό της ακαθάριστης ζημίας για γεγ</w:t>
            </w:r>
            <w:r>
              <w:rPr>
                <w:rFonts w:ascii="Times New Roman" w:hAnsi="Times New Roman"/>
                <w:sz w:val="24"/>
              </w:rPr>
              <w:t>ο</w:t>
            </w:r>
            <w:r>
              <w:rPr>
                <w:rFonts w:ascii="Times New Roman" w:hAnsi="Times New Roman"/>
                <w:sz w:val="24"/>
              </w:rPr>
              <w:t>νότα με ποσό ακαθάριστης ζημίας εντός του εύρους τιμών που ορίζεται στις σχ</w:t>
            </w:r>
            <w:r>
              <w:rPr>
                <w:rFonts w:ascii="Times New Roman" w:hAnsi="Times New Roman"/>
                <w:sz w:val="24"/>
              </w:rPr>
              <w:t>ε</w:t>
            </w:r>
            <w:r>
              <w:rPr>
                <w:rFonts w:ascii="Times New Roman" w:hAnsi="Times New Roman"/>
                <w:sz w:val="24"/>
              </w:rPr>
              <w:t>τικές γραμμές.</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0930, 0935, 0936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Αριθμός ζημιογόνων γεγονότων που υπόκεινται σε προσαρμογές ζημιών</w:t>
            </w:r>
          </w:p>
          <w:p w:rsidR="00FD54FC" w:rsidRPr="00392FFD" w:rsidRDefault="00FD54FC" w:rsidP="00FD54FC">
            <w:pPr>
              <w:rPr>
                <w:rFonts w:ascii="Times New Roman" w:hAnsi="Times New Roman"/>
                <w:sz w:val="24"/>
              </w:rPr>
            </w:pPr>
            <w:r>
              <w:rPr>
                <w:rFonts w:ascii="Times New Roman" w:hAnsi="Times New Roman"/>
                <w:sz w:val="24"/>
              </w:rPr>
              <w:t>Στη γραμμή 930 αναφέρεται ο συνολικός αριθμός των γεγονότων που υπόκεινται σε προσαρμογές ζημιών, όπως ορίζεται για τις γραμμές 030, 130,..., 830. Ο σ</w:t>
            </w:r>
            <w:r>
              <w:rPr>
                <w:rFonts w:ascii="Times New Roman" w:hAnsi="Times New Roman"/>
                <w:sz w:val="24"/>
              </w:rPr>
              <w:t>υ</w:t>
            </w:r>
            <w:r>
              <w:rPr>
                <w:rFonts w:ascii="Times New Roman" w:hAnsi="Times New Roman"/>
                <w:sz w:val="24"/>
              </w:rPr>
              <w:t>γκεκριμένος αριθμός δύναται να είναι χαμηλότερος από το άθροισμα του αρι</w:t>
            </w:r>
            <w:r>
              <w:rPr>
                <w:rFonts w:ascii="Times New Roman" w:hAnsi="Times New Roman"/>
                <w:sz w:val="24"/>
              </w:rPr>
              <w:t>θ</w:t>
            </w:r>
            <w:r>
              <w:rPr>
                <w:rFonts w:ascii="Times New Roman" w:hAnsi="Times New Roman"/>
                <w:sz w:val="24"/>
              </w:rPr>
              <w:t>μού των γεγονότων που υπόκεινται σε προσαρμογές ζημιών ανά επιχειρηματικό τομέα, δεδομένου ότι τα γεγονότα με πολλαπλές επιπτώσεις (επιπτώσεις σε δι</w:t>
            </w:r>
            <w:r>
              <w:rPr>
                <w:rFonts w:ascii="Times New Roman" w:hAnsi="Times New Roman"/>
                <w:sz w:val="24"/>
              </w:rPr>
              <w:t>α</w:t>
            </w:r>
            <w:r>
              <w:rPr>
                <w:rFonts w:ascii="Times New Roman" w:hAnsi="Times New Roman"/>
                <w:sz w:val="24"/>
              </w:rPr>
              <w:t>φορετικούς επιχειρηματικούς τομείς) θεωρούνται ως ένα γεγονός. Ο αριθμός δ</w:t>
            </w:r>
            <w:r>
              <w:rPr>
                <w:rFonts w:ascii="Times New Roman" w:hAnsi="Times New Roman"/>
                <w:sz w:val="24"/>
              </w:rPr>
              <w:t>ύ</w:t>
            </w:r>
            <w:r>
              <w:rPr>
                <w:rFonts w:ascii="Times New Roman" w:hAnsi="Times New Roman"/>
                <w:sz w:val="24"/>
              </w:rPr>
              <w:t xml:space="preserve">ναται να είναι υψηλότερος, εάν ένα ίδρυμα που υπολογίζει τις απαιτήσεις ιδίων κεφαλαίων του σύμφωνα με την προσέγγιση βασικού δείκτη δεν μπορεί να προσδιορίσει </w:t>
            </w:r>
            <w:proofErr w:type="spellStart"/>
            <w:r>
              <w:rPr>
                <w:rFonts w:ascii="Times New Roman" w:hAnsi="Times New Roman"/>
                <w:sz w:val="24"/>
              </w:rPr>
              <w:t>τον(τους</w:t>
            </w:r>
            <w:proofErr w:type="spellEnd"/>
            <w:r>
              <w:rPr>
                <w:rFonts w:ascii="Times New Roman" w:hAnsi="Times New Roman"/>
                <w:sz w:val="24"/>
              </w:rPr>
              <w:t>) επιχειρηματικό(-</w:t>
            </w:r>
            <w:proofErr w:type="spellStart"/>
            <w:r>
              <w:rPr>
                <w:rFonts w:ascii="Times New Roman" w:hAnsi="Times New Roman"/>
                <w:sz w:val="24"/>
              </w:rPr>
              <w:t>ούς</w:t>
            </w:r>
            <w:proofErr w:type="spellEnd"/>
            <w:r>
              <w:rPr>
                <w:rFonts w:ascii="Times New Roman" w:hAnsi="Times New Roman"/>
                <w:sz w:val="24"/>
              </w:rPr>
              <w:t>) τομέα(-</w:t>
            </w:r>
            <w:proofErr w:type="spellStart"/>
            <w:r>
              <w:rPr>
                <w:rFonts w:ascii="Times New Roman" w:hAnsi="Times New Roman"/>
                <w:sz w:val="24"/>
              </w:rPr>
              <w:t>είς</w:t>
            </w:r>
            <w:proofErr w:type="spellEnd"/>
            <w:r>
              <w:rPr>
                <w:rFonts w:ascii="Times New Roman" w:hAnsi="Times New Roman"/>
                <w:sz w:val="24"/>
              </w:rPr>
              <w:t>) που επηρεάζεται(-</w:t>
            </w:r>
            <w:proofErr w:type="spellStart"/>
            <w:r>
              <w:rPr>
                <w:rFonts w:ascii="Times New Roman" w:hAnsi="Times New Roman"/>
                <w:sz w:val="24"/>
              </w:rPr>
              <w:t>ονται</w:t>
            </w:r>
            <w:proofErr w:type="spellEnd"/>
            <w:r>
              <w:rPr>
                <w:rFonts w:ascii="Times New Roman" w:hAnsi="Times New Roman"/>
                <w:sz w:val="24"/>
              </w:rPr>
              <w:t>) από τη ζημία σε κάθε περίπτωση.</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Ο αριθμός των ζημιογόνων γεγονότων που υπόκεινται σε προσαρμογές ζημιών κατανέμεται μεταξύ του αριθμού των γεγονότων για τα οποία πραγματοποιήθηκε θετική προσαρμογή ζημίας, εντός της περιόδου αναφοράς για την υποβολή αν</w:t>
            </w:r>
            <w:r>
              <w:rPr>
                <w:rFonts w:ascii="Times New Roman" w:hAnsi="Times New Roman"/>
                <w:sz w:val="24"/>
              </w:rPr>
              <w:t>α</w:t>
            </w:r>
            <w:r>
              <w:rPr>
                <w:rFonts w:ascii="Times New Roman" w:hAnsi="Times New Roman"/>
                <w:sz w:val="24"/>
              </w:rPr>
              <w:t>φορών, και του αριθμού των γεγονότων για τα οποία πραγματοποιήθηκε αρνητ</w:t>
            </w:r>
            <w:r>
              <w:rPr>
                <w:rFonts w:ascii="Times New Roman" w:hAnsi="Times New Roman"/>
                <w:sz w:val="24"/>
              </w:rPr>
              <w:t>ι</w:t>
            </w:r>
            <w:r>
              <w:rPr>
                <w:rFonts w:ascii="Times New Roman" w:hAnsi="Times New Roman"/>
                <w:sz w:val="24"/>
              </w:rPr>
              <w:t>κή προσαρμογή ζημίας εντός της περιόδου υποβολής αναφοράς (όλα αναφέρ</w:t>
            </w:r>
            <w:r>
              <w:rPr>
                <w:rFonts w:ascii="Times New Roman" w:hAnsi="Times New Roman"/>
                <w:sz w:val="24"/>
              </w:rPr>
              <w:t>ο</w:t>
            </w:r>
            <w:r>
              <w:rPr>
                <w:rFonts w:ascii="Times New Roman" w:hAnsi="Times New Roman"/>
                <w:sz w:val="24"/>
              </w:rPr>
              <w:t>νται με θετικό πρόσημο).</w:t>
            </w:r>
          </w:p>
        </w:tc>
      </w:tr>
      <w:tr w:rsidR="00FD54FC" w:rsidRPr="00392FFD" w:rsidTr="00672D2A">
        <w:tc>
          <w:tcPr>
            <w:tcW w:w="1101" w:type="dxa"/>
          </w:tcPr>
          <w:p w:rsidR="00FD54FC" w:rsidRPr="00392FFD"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Προσαρμογές ζημιών σχετιζόμενες με προηγούμενες περιόδους υποβολής αναφοράς</w:t>
            </w:r>
          </w:p>
          <w:p w:rsidR="00FD54FC" w:rsidRPr="00392FFD" w:rsidRDefault="00FD54FC" w:rsidP="00FD54FC">
            <w:pPr>
              <w:rPr>
                <w:rFonts w:ascii="Times New Roman" w:hAnsi="Times New Roman"/>
                <w:sz w:val="24"/>
              </w:rPr>
            </w:pPr>
            <w:r>
              <w:rPr>
                <w:rFonts w:ascii="Times New Roman" w:hAnsi="Times New Roman"/>
                <w:sz w:val="24"/>
              </w:rPr>
              <w:t>Στη γραμμή 940 αναφέρεται το σύνολο των ποσών των προσαρμογών ζημιών που σχετίζονται με προηγούμενες περιόδους υποβολής αναφοράς ανά επιχειρ</w:t>
            </w:r>
            <w:r>
              <w:rPr>
                <w:rFonts w:ascii="Times New Roman" w:hAnsi="Times New Roman"/>
                <w:sz w:val="24"/>
              </w:rPr>
              <w:t>η</w:t>
            </w:r>
            <w:r>
              <w:rPr>
                <w:rFonts w:ascii="Times New Roman" w:hAnsi="Times New Roman"/>
                <w:sz w:val="24"/>
              </w:rPr>
              <w:t>ματικό τομέα (όπως ορίζεται για τις γραμμές 040, 140, ..., 840). Εφόσον το ίδρ</w:t>
            </w:r>
            <w:r>
              <w:rPr>
                <w:rFonts w:ascii="Times New Roman" w:hAnsi="Times New Roman"/>
                <w:sz w:val="24"/>
              </w:rPr>
              <w:t>υ</w:t>
            </w:r>
            <w:r>
              <w:rPr>
                <w:rFonts w:ascii="Times New Roman" w:hAnsi="Times New Roman"/>
                <w:sz w:val="24"/>
              </w:rPr>
              <w:t>μα έχει κατατάξει όλες τις ζημίες του είτε σε επιχειρηματικό τομέα που απαρι</w:t>
            </w:r>
            <w:r>
              <w:rPr>
                <w:rFonts w:ascii="Times New Roman" w:hAnsi="Times New Roman"/>
                <w:sz w:val="24"/>
              </w:rPr>
              <w:t>θ</w:t>
            </w:r>
            <w:r>
              <w:rPr>
                <w:rFonts w:ascii="Times New Roman" w:hAnsi="Times New Roman"/>
                <w:sz w:val="24"/>
              </w:rPr>
              <w:t>μείται στο άρθρο 317 παράγραφος 4 πίνακας 2 του ΚΚΑ είτε στον επιχειρηματ</w:t>
            </w:r>
            <w:r>
              <w:rPr>
                <w:rFonts w:ascii="Times New Roman" w:hAnsi="Times New Roman"/>
                <w:sz w:val="24"/>
              </w:rPr>
              <w:t>ι</w:t>
            </w:r>
            <w:r>
              <w:rPr>
                <w:rFonts w:ascii="Times New Roman" w:hAnsi="Times New Roman"/>
                <w:sz w:val="24"/>
              </w:rPr>
              <w:t>κό τομέα «Επιχειρηματικά στοιχεία» που αναφέρεται στο άρθρο 322 παράγρ</w:t>
            </w:r>
            <w:r>
              <w:rPr>
                <w:rFonts w:ascii="Times New Roman" w:hAnsi="Times New Roman"/>
                <w:sz w:val="24"/>
              </w:rPr>
              <w:t>α</w:t>
            </w:r>
            <w:r>
              <w:rPr>
                <w:rFonts w:ascii="Times New Roman" w:hAnsi="Times New Roman"/>
                <w:sz w:val="24"/>
              </w:rPr>
              <w:t>φος 3 στοιχείο β) του ΚΚΑ, το ποσό που αναφέρεται στη γραμμή 940 είναι το απλό άθροισμα των προσαρμογών ζημιών που σχετίζονται με προηγούμενες π</w:t>
            </w:r>
            <w:r>
              <w:rPr>
                <w:rFonts w:ascii="Times New Roman" w:hAnsi="Times New Roman"/>
                <w:sz w:val="24"/>
              </w:rPr>
              <w:t>ε</w:t>
            </w:r>
            <w:r>
              <w:rPr>
                <w:rFonts w:ascii="Times New Roman" w:hAnsi="Times New Roman"/>
                <w:sz w:val="24"/>
              </w:rPr>
              <w:t>ριόδους υποβολής αναφοράς, οι οποίες αναφέρθηκαν για τους διάφορους επιχε</w:t>
            </w:r>
            <w:r>
              <w:rPr>
                <w:rFonts w:ascii="Times New Roman" w:hAnsi="Times New Roman"/>
                <w:sz w:val="24"/>
              </w:rPr>
              <w:t>ι</w:t>
            </w:r>
            <w:r>
              <w:rPr>
                <w:rFonts w:ascii="Times New Roman" w:hAnsi="Times New Roman"/>
                <w:sz w:val="24"/>
              </w:rPr>
              <w:t>ρηματικούς τομείς.</w:t>
            </w:r>
          </w:p>
          <w:p w:rsidR="00FD54FC" w:rsidRPr="00392FFD" w:rsidRDefault="00FD54FC" w:rsidP="00070AF9">
            <w:pPr>
              <w:rPr>
                <w:sz w:val="24"/>
              </w:rPr>
            </w:pPr>
            <w:r>
              <w:rPr>
                <w:rFonts w:ascii="Times New Roman" w:hAnsi="Times New Roman"/>
                <w:sz w:val="24"/>
              </w:rPr>
              <w:t>Το ποσό των προσαρμογών ζημιών κατανέμεται μεταξύ του ποσού που σχετίζ</w:t>
            </w:r>
            <w:r>
              <w:rPr>
                <w:rFonts w:ascii="Times New Roman" w:hAnsi="Times New Roman"/>
                <w:sz w:val="24"/>
              </w:rPr>
              <w:t>ε</w:t>
            </w:r>
            <w:r>
              <w:rPr>
                <w:rFonts w:ascii="Times New Roman" w:hAnsi="Times New Roman"/>
                <w:sz w:val="24"/>
              </w:rPr>
              <w:t>ται με γεγονότα για τα οποία πραγματοποιήθηκε θετική προσαρμογή ζημίας, κ</w:t>
            </w:r>
            <w:r>
              <w:rPr>
                <w:rFonts w:ascii="Times New Roman" w:hAnsi="Times New Roman"/>
                <w:sz w:val="24"/>
              </w:rPr>
              <w:t>α</w:t>
            </w:r>
            <w:r>
              <w:rPr>
                <w:rFonts w:ascii="Times New Roman" w:hAnsi="Times New Roman"/>
                <w:sz w:val="24"/>
              </w:rPr>
              <w:t>τά την περίοδο αναφοράς για την υποβολή αναφορών (γραμμή 945, αναφέρεται με θετικό πρόσημο), και του ποσού που σχετίζεται με γεγονότα για τα οποία πραγματοποιήθηκε αρνητική προσαρμογή ζημίας εντός της περιόδου υποβολής αναφοράς (γραμμή 946, αναφέρεται με αρνητικό πρόσημο). Εάν, λόγω αρνητ</w:t>
            </w:r>
            <w:r>
              <w:rPr>
                <w:rFonts w:ascii="Times New Roman" w:hAnsi="Times New Roman"/>
                <w:sz w:val="24"/>
              </w:rPr>
              <w:t>ι</w:t>
            </w:r>
            <w:r>
              <w:rPr>
                <w:rFonts w:ascii="Times New Roman" w:hAnsi="Times New Roman"/>
                <w:sz w:val="24"/>
              </w:rPr>
              <w:t>κής προσαρμογής ζημίας, το προσαρμοσμένο ποσό ζημίας που αποδίδεται σε κάποιο γεγονός είναι χαμηλότερο από το κατώτατο όριο της συλλογής εσωτερ</w:t>
            </w:r>
            <w:r>
              <w:rPr>
                <w:rFonts w:ascii="Times New Roman" w:hAnsi="Times New Roman"/>
                <w:sz w:val="24"/>
              </w:rPr>
              <w:t>ι</w:t>
            </w:r>
            <w:r>
              <w:rPr>
                <w:rFonts w:ascii="Times New Roman" w:hAnsi="Times New Roman"/>
                <w:sz w:val="24"/>
              </w:rPr>
              <w:lastRenderedPageBreak/>
              <w:t>κών δεδομένων του ιδρύματος, το ίδρυμα αναφέρει το συνολικό ποσό της ζημίας για το εν λόγω γεγονός αθροιστικά, μέχρι την τελευταία φορά που αναφέρθηκε το γεγονός με ημερομηνία αναφοράς Δεκεμβρίου (ήτοι την αρχική ζημία συν / μείον όλες τις προσαρμογές ζημιών που πραγματοποιήθηκαν κατά τις προηγο</w:t>
            </w:r>
            <w:r>
              <w:rPr>
                <w:rFonts w:ascii="Times New Roman" w:hAnsi="Times New Roman"/>
                <w:sz w:val="24"/>
              </w:rPr>
              <w:t>ύ</w:t>
            </w:r>
            <w:r>
              <w:rPr>
                <w:rFonts w:ascii="Times New Roman" w:hAnsi="Times New Roman"/>
                <w:sz w:val="24"/>
              </w:rPr>
              <w:t>μενες περιόδους αναφοράς για την υποβολή αναφορών), με αρνητικό πρόσημο στη γραμμή 946, αντί για το ποσό της αρνητικής προσαρμογής ζημίας καθαυτό.</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417984"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417984"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Μέγιστη μεμονωμένη ζημία</w:t>
            </w:r>
          </w:p>
          <w:p w:rsidR="00FD54FC" w:rsidRPr="00392FFD" w:rsidRDefault="00FD54FC" w:rsidP="00FD54FC">
            <w:pPr>
              <w:rPr>
                <w:rFonts w:ascii="Times New Roman" w:hAnsi="Times New Roman"/>
                <w:sz w:val="24"/>
              </w:rPr>
            </w:pPr>
            <w:r>
              <w:rPr>
                <w:rFonts w:ascii="Times New Roman" w:hAnsi="Times New Roman"/>
                <w:sz w:val="24"/>
              </w:rPr>
              <w:t>Εφόσον το ίδρυμα έχει κατατάξει όλες τις ζημίες του είτε σε επιχειρηματικό τ</w:t>
            </w:r>
            <w:r>
              <w:rPr>
                <w:rFonts w:ascii="Times New Roman" w:hAnsi="Times New Roman"/>
                <w:sz w:val="24"/>
              </w:rPr>
              <w:t>ο</w:t>
            </w:r>
            <w:r>
              <w:rPr>
                <w:rFonts w:ascii="Times New Roman" w:hAnsi="Times New Roman"/>
                <w:sz w:val="24"/>
              </w:rPr>
              <w:t>μέα που απαριθμείται στο άρθρο 317 παράγραφος 4 πίνακας 2 του ΚΚΑ είτε στον επιχειρηματικό τομέα «Επιχειρηματικά στοιχεία» που αναφέρεται στο ά</w:t>
            </w:r>
            <w:r>
              <w:rPr>
                <w:rFonts w:ascii="Times New Roman" w:hAnsi="Times New Roman"/>
                <w:sz w:val="24"/>
              </w:rPr>
              <w:t>ρ</w:t>
            </w:r>
            <w:r>
              <w:rPr>
                <w:rFonts w:ascii="Times New Roman" w:hAnsi="Times New Roman"/>
                <w:sz w:val="24"/>
              </w:rPr>
              <w:t>θρο 322 παράγραφος 3 στοιχείο β) του ΚΚΑ, η μέγιστη μεμονωμένη ζημία είναι η μέγιστη ζημία που υπερβαίνει το εσωτερικό κατώτατο όριο για κάθε κατηγορία γεγονότος και μεταξύ όλων των επιχειρηματικών τομέων. Τα αριθμητικά στο</w:t>
            </w:r>
            <w:r>
              <w:rPr>
                <w:rFonts w:ascii="Times New Roman" w:hAnsi="Times New Roman"/>
                <w:sz w:val="24"/>
              </w:rPr>
              <w:t>ι</w:t>
            </w:r>
            <w:r>
              <w:rPr>
                <w:rFonts w:ascii="Times New Roman" w:hAnsi="Times New Roman"/>
                <w:sz w:val="24"/>
              </w:rPr>
              <w:t>χεία αυτά δύναται να είναι υψηλότερα της μέγιστης μεμονωμένης ζημίας που κ</w:t>
            </w:r>
            <w:r>
              <w:rPr>
                <w:rFonts w:ascii="Times New Roman" w:hAnsi="Times New Roman"/>
                <w:sz w:val="24"/>
              </w:rPr>
              <w:t>α</w:t>
            </w:r>
            <w:r>
              <w:rPr>
                <w:rFonts w:ascii="Times New Roman" w:hAnsi="Times New Roman"/>
                <w:sz w:val="24"/>
              </w:rPr>
              <w:t>ταγράφεται σε κάθε επιχειρηματικό τομέα, εάν ένα γεγονός επηρεάζει διαφορ</w:t>
            </w:r>
            <w:r>
              <w:rPr>
                <w:rFonts w:ascii="Times New Roman" w:hAnsi="Times New Roman"/>
                <w:sz w:val="24"/>
              </w:rPr>
              <w:t>ε</w:t>
            </w:r>
            <w:r>
              <w:rPr>
                <w:rFonts w:ascii="Times New Roman" w:hAnsi="Times New Roman"/>
                <w:sz w:val="24"/>
              </w:rPr>
              <w:t>τικούς επιχειρηματικούς τομείς.</w:t>
            </w:r>
          </w:p>
          <w:p w:rsidR="00FD54FC" w:rsidRPr="00392FFD" w:rsidRDefault="00FD54FC" w:rsidP="00FD54FC">
            <w:pPr>
              <w:rPr>
                <w:rFonts w:ascii="Times New Roman" w:hAnsi="Times New Roman"/>
                <w:sz w:val="24"/>
              </w:rPr>
            </w:pPr>
            <w:r>
              <w:rPr>
                <w:rFonts w:ascii="Times New Roman" w:hAnsi="Times New Roman"/>
                <w:sz w:val="24"/>
              </w:rPr>
              <w:t>Εφόσον το ίδρυμα έχει κατατάξει όλες τις ζημίες του είτε σε επιχειρηματικό τ</w:t>
            </w:r>
            <w:r>
              <w:rPr>
                <w:rFonts w:ascii="Times New Roman" w:hAnsi="Times New Roman"/>
                <w:sz w:val="24"/>
              </w:rPr>
              <w:t>ο</w:t>
            </w:r>
            <w:r>
              <w:rPr>
                <w:rFonts w:ascii="Times New Roman" w:hAnsi="Times New Roman"/>
                <w:sz w:val="24"/>
              </w:rPr>
              <w:t>μέα που απαριθμείται στο άρθρο 317 παράγραφος 4 πίνακας 2 του ΚΚΑ είτε στον επιχειρηματικό τομέα «Επιχειρηματικά στοιχεία» που αναφέρεται στο ά</w:t>
            </w:r>
            <w:r>
              <w:rPr>
                <w:rFonts w:ascii="Times New Roman" w:hAnsi="Times New Roman"/>
                <w:sz w:val="24"/>
              </w:rPr>
              <w:t>ρ</w:t>
            </w:r>
            <w:r>
              <w:rPr>
                <w:rFonts w:ascii="Times New Roman" w:hAnsi="Times New Roman"/>
                <w:sz w:val="24"/>
              </w:rPr>
              <w:t>θρο 322 παράγραφος 3 στοιχείο β) του ΚΚΑ, αντίστοιχα, και/ή έχει προσδιορίσει τις κατηγορίες γεγονότων για όλες τις ζημίες, ισχύουν τα ακόλουθα για τη στήλη 080:</w:t>
            </w:r>
          </w:p>
          <w:p w:rsidR="00FD54FC" w:rsidRPr="00392FFD"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Η αναφερόμενη μέγιστη μεμονωμένη ζημία ισούται με την υψηλότερη από τις τιμές που αναφέρονται στις στήλες 010 – 070 της συγκεκριμένης γρα</w:t>
            </w:r>
            <w:r>
              <w:rPr>
                <w:rFonts w:ascii="Times New Roman" w:hAnsi="Times New Roman"/>
                <w:sz w:val="24"/>
              </w:rPr>
              <w:t>μ</w:t>
            </w:r>
            <w:r>
              <w:rPr>
                <w:rFonts w:ascii="Times New Roman" w:hAnsi="Times New Roman"/>
                <w:sz w:val="24"/>
              </w:rPr>
              <w:t>μής.</w:t>
            </w:r>
          </w:p>
          <w:p w:rsidR="00FD54FC" w:rsidRPr="00392FFD"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Εάν υπάρχουν γεγονότα που έχουν επιπτώσεις σε διαφορετικούς επιχειρημ</w:t>
            </w:r>
            <w:r>
              <w:rPr>
                <w:rFonts w:ascii="Times New Roman" w:hAnsi="Times New Roman"/>
                <w:sz w:val="24"/>
              </w:rPr>
              <w:t>α</w:t>
            </w:r>
            <w:r>
              <w:rPr>
                <w:rFonts w:ascii="Times New Roman" w:hAnsi="Times New Roman"/>
                <w:sz w:val="24"/>
              </w:rPr>
              <w:t xml:space="preserve">τικούς τομείς, το ποσό που αναφέρεται στη γραμμή 950, στήλη 080 μπορεί να είναι υψηλότερο από τα ποσά της «μέγιστης μεμονωμένης ζημίας» ανά επιχειρηματικό τομέα που αναφέρονται σε άλλες γραμμές της στήλης 080. </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Άθροισμα των πέντε μεγαλύτερων ζημιών</w:t>
            </w:r>
          </w:p>
          <w:p w:rsidR="00FD54FC" w:rsidRPr="00392FFD" w:rsidRDefault="00FD54FC" w:rsidP="00FD54FC">
            <w:pPr>
              <w:rPr>
                <w:rFonts w:ascii="Times New Roman" w:hAnsi="Times New Roman"/>
                <w:sz w:val="24"/>
              </w:rPr>
            </w:pPr>
            <w:r>
              <w:rPr>
                <w:rFonts w:ascii="Times New Roman" w:hAnsi="Times New Roman"/>
                <w:sz w:val="24"/>
              </w:rPr>
              <w:t>Αναφέρεται το άθροισμα των πέντε μεγαλύτερων ακαθάριστων ζημιών για κάθε κατηγορία γεγονότος και μεταξύ όλων των επιχειρηματικών τομέων. Το άθρο</w:t>
            </w:r>
            <w:r>
              <w:rPr>
                <w:rFonts w:ascii="Times New Roman" w:hAnsi="Times New Roman"/>
                <w:sz w:val="24"/>
              </w:rPr>
              <w:t>ι</w:t>
            </w:r>
            <w:r>
              <w:rPr>
                <w:rFonts w:ascii="Times New Roman" w:hAnsi="Times New Roman"/>
                <w:sz w:val="24"/>
              </w:rPr>
              <w:t>σμα αυτό δύναται να είναι υψηλότερο από το μέγιστο άθροισμα των πέντε μεγ</w:t>
            </w:r>
            <w:r>
              <w:rPr>
                <w:rFonts w:ascii="Times New Roman" w:hAnsi="Times New Roman"/>
                <w:sz w:val="24"/>
              </w:rPr>
              <w:t>α</w:t>
            </w:r>
            <w:r>
              <w:rPr>
                <w:rFonts w:ascii="Times New Roman" w:hAnsi="Times New Roman"/>
                <w:sz w:val="24"/>
              </w:rPr>
              <w:t>λύτερων ζημιών που έχουν καταγραφεί σε κάθε επιχειρηματικό τομέα. Το σ</w:t>
            </w:r>
            <w:r>
              <w:rPr>
                <w:rFonts w:ascii="Times New Roman" w:hAnsi="Times New Roman"/>
                <w:sz w:val="24"/>
              </w:rPr>
              <w:t>υ</w:t>
            </w:r>
            <w:r>
              <w:rPr>
                <w:rFonts w:ascii="Times New Roman" w:hAnsi="Times New Roman"/>
                <w:sz w:val="24"/>
              </w:rPr>
              <w:t>γκεκριμένο άθροισμα πρέπει να αναφέρεται ανεξαρτήτως του αριθμού των ζ</w:t>
            </w:r>
            <w:r>
              <w:rPr>
                <w:rFonts w:ascii="Times New Roman" w:hAnsi="Times New Roman"/>
                <w:sz w:val="24"/>
              </w:rPr>
              <w:t>η</w:t>
            </w:r>
            <w:r>
              <w:rPr>
                <w:rFonts w:ascii="Times New Roman" w:hAnsi="Times New Roman"/>
                <w:sz w:val="24"/>
              </w:rPr>
              <w:t xml:space="preserve">μιών.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Εφόσον το ίδρυμα έχει κατατάξει όλες τις ζημίες του είτε σε επιχειρηματικό τ</w:t>
            </w:r>
            <w:r>
              <w:rPr>
                <w:rFonts w:ascii="Times New Roman" w:hAnsi="Times New Roman"/>
                <w:sz w:val="24"/>
              </w:rPr>
              <w:t>ο</w:t>
            </w:r>
            <w:r>
              <w:rPr>
                <w:rFonts w:ascii="Times New Roman" w:hAnsi="Times New Roman"/>
                <w:sz w:val="24"/>
              </w:rPr>
              <w:t>μέα που απαριθμείται στο άρθρο 317 παράγραφος 4 πίνακας 2 του ΚΚΑ είτε στον επιχειρηματικό τομέα «Επιχειρηματικά στοιχεία» που αναφέρεται στο ά</w:t>
            </w:r>
            <w:r>
              <w:rPr>
                <w:rFonts w:ascii="Times New Roman" w:hAnsi="Times New Roman"/>
                <w:sz w:val="24"/>
              </w:rPr>
              <w:t>ρ</w:t>
            </w:r>
            <w:r>
              <w:rPr>
                <w:rFonts w:ascii="Times New Roman" w:hAnsi="Times New Roman"/>
                <w:sz w:val="24"/>
              </w:rPr>
              <w:t>θρο 322 παράγραφος 3 στοιχείο β) του ΚΚΑ, αντίστοιχα, και/ή έχει προσδιορίσει τις κατηγορίες γεγονότων για όλες τις ζημίες, για τη στήλη 080, το άθροισμα των πέντε μεγαλύτερων ζημιών ισούται με το άθροισμα των πέντε μεγαλύτερων ζ</w:t>
            </w:r>
            <w:r>
              <w:rPr>
                <w:rFonts w:ascii="Times New Roman" w:hAnsi="Times New Roman"/>
                <w:sz w:val="24"/>
              </w:rPr>
              <w:t>η</w:t>
            </w:r>
            <w:r>
              <w:rPr>
                <w:rFonts w:ascii="Times New Roman" w:hAnsi="Times New Roman"/>
                <w:sz w:val="24"/>
              </w:rPr>
              <w:t>μιών σε ολόκληρο τον πίνακα, γεγονός που σημαίνει ότι ενδέχεται να μην είναι απαραιτήτως ίσο ούτε με τη μέγιστη τιμή του «αθροίσματος των πέντε μεγαλ</w:t>
            </w:r>
            <w:r>
              <w:rPr>
                <w:rFonts w:ascii="Times New Roman" w:hAnsi="Times New Roman"/>
                <w:sz w:val="24"/>
              </w:rPr>
              <w:t>ύ</w:t>
            </w:r>
            <w:r>
              <w:rPr>
                <w:rFonts w:ascii="Times New Roman" w:hAnsi="Times New Roman"/>
                <w:sz w:val="24"/>
              </w:rPr>
              <w:t xml:space="preserve">τερων ζημιών» στη γραμμή 960 ούτε με τη μέγιστη τιμή του «αθροίσματος των </w:t>
            </w:r>
            <w:r>
              <w:rPr>
                <w:rFonts w:ascii="Times New Roman" w:hAnsi="Times New Roman"/>
                <w:sz w:val="24"/>
              </w:rPr>
              <w:lastRenderedPageBreak/>
              <w:t>πέντε μεγαλύτερων ζημιών» στη στήλη 080.</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Συνολική άμεση ανάκτηση ζημιών</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Εφόσον το ίδρυμα έχει κατατάξει όλες τις ζημίες του είτε σε επιχειρηματικό τ</w:t>
            </w:r>
            <w:r>
              <w:rPr>
                <w:rFonts w:ascii="Times New Roman" w:hAnsi="Times New Roman"/>
                <w:sz w:val="24"/>
              </w:rPr>
              <w:t>ο</w:t>
            </w:r>
            <w:r>
              <w:rPr>
                <w:rFonts w:ascii="Times New Roman" w:hAnsi="Times New Roman"/>
                <w:sz w:val="24"/>
              </w:rPr>
              <w:t>μέα που απαριθμείται στο άρθρο 317 παράγραφος 4 πίνακας 2 του ΚΚΑ είτε στον επιχειρηματικό τομέα «Επιχειρηματικά στοιχεία» που αναφέρεται στο ά</w:t>
            </w:r>
            <w:r>
              <w:rPr>
                <w:rFonts w:ascii="Times New Roman" w:hAnsi="Times New Roman"/>
                <w:sz w:val="24"/>
              </w:rPr>
              <w:t>ρ</w:t>
            </w:r>
            <w:r>
              <w:rPr>
                <w:rFonts w:ascii="Times New Roman" w:hAnsi="Times New Roman"/>
                <w:sz w:val="24"/>
              </w:rPr>
              <w:t>θρο 322 παράγραφος 3 στοιχείο β) του ΚΚΑ, η συνολική άμεση ανάκτηση ζ</w:t>
            </w:r>
            <w:r>
              <w:rPr>
                <w:rFonts w:ascii="Times New Roman" w:hAnsi="Times New Roman"/>
                <w:sz w:val="24"/>
              </w:rPr>
              <w:t>η</w:t>
            </w:r>
            <w:r>
              <w:rPr>
                <w:rFonts w:ascii="Times New Roman" w:hAnsi="Times New Roman"/>
                <w:sz w:val="24"/>
              </w:rPr>
              <w:t>μιών είναι το απλό άθροισμα της συνολικής άμεσης ανάκτησης ζημιών για κάθε επιχειρηματικό τομέα.</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Συνολική ανάκτηση από ασφαλίσεις και άλλους μηχανισμούς μεταφοράς κινδύνου</w:t>
            </w:r>
          </w:p>
          <w:p w:rsidR="00FD54FC" w:rsidRPr="00392FFD" w:rsidRDefault="00FD54FC" w:rsidP="00FD54FC">
            <w:pPr>
              <w:rPr>
                <w:rFonts w:ascii="Times New Roman" w:hAnsi="Times New Roman"/>
                <w:b/>
                <w:bCs/>
                <w:sz w:val="24"/>
                <w:u w:val="single"/>
              </w:rPr>
            </w:pPr>
            <w:r>
              <w:rPr>
                <w:rFonts w:ascii="Times New Roman" w:hAnsi="Times New Roman"/>
                <w:sz w:val="24"/>
              </w:rPr>
              <w:t>Εφόσον το ίδρυμα έχει κατατάξει όλες τις ζημίες του είτε σε επιχειρηματικό τ</w:t>
            </w:r>
            <w:r>
              <w:rPr>
                <w:rFonts w:ascii="Times New Roman" w:hAnsi="Times New Roman"/>
                <w:sz w:val="24"/>
              </w:rPr>
              <w:t>ο</w:t>
            </w:r>
            <w:r>
              <w:rPr>
                <w:rFonts w:ascii="Times New Roman" w:hAnsi="Times New Roman"/>
                <w:sz w:val="24"/>
              </w:rPr>
              <w:t>μέα που απαριθμείται στο άρθρο 317 παράγραφος 4 πίνακας 2 του ΚΚΑ είτε στον επιχειρηματικό τομέα «Επιχειρηματικά στοιχεία» που αναφέρεται στο ά</w:t>
            </w:r>
            <w:r>
              <w:rPr>
                <w:rFonts w:ascii="Times New Roman" w:hAnsi="Times New Roman"/>
                <w:sz w:val="24"/>
              </w:rPr>
              <w:t>ρ</w:t>
            </w:r>
            <w:r>
              <w:rPr>
                <w:rFonts w:ascii="Times New Roman" w:hAnsi="Times New Roman"/>
                <w:sz w:val="24"/>
              </w:rPr>
              <w:t>θρο 322 παράγραφος 3 στοιχείο β) του ΚΚΑ, η συνολική ανάκτηση από ασφαλ</w:t>
            </w:r>
            <w:r>
              <w:rPr>
                <w:rFonts w:ascii="Times New Roman" w:hAnsi="Times New Roman"/>
                <w:sz w:val="24"/>
              </w:rPr>
              <w:t>ί</w:t>
            </w:r>
            <w:r>
              <w:rPr>
                <w:rFonts w:ascii="Times New Roman" w:hAnsi="Times New Roman"/>
                <w:sz w:val="24"/>
              </w:rPr>
              <w:t>σεις και άλλους μηχανισμούς μεταφοράς κινδύνου είναι το απλό άθροισμα της συνολικής ανάκτησης ζημιών από ασφαλίσεις και άλλους μηχανισμούς μεταφ</w:t>
            </w:r>
            <w:r>
              <w:rPr>
                <w:rFonts w:ascii="Times New Roman" w:hAnsi="Times New Roman"/>
                <w:sz w:val="24"/>
              </w:rPr>
              <w:t>ο</w:t>
            </w:r>
            <w:r>
              <w:rPr>
                <w:rFonts w:ascii="Times New Roman" w:hAnsi="Times New Roman"/>
                <w:sz w:val="24"/>
              </w:rPr>
              <w:t>ράς κινδύνου για κάθε επιχειρηματικό τομέα.</w:t>
            </w:r>
          </w:p>
        </w:tc>
      </w:tr>
    </w:tbl>
    <w:p w:rsidR="00FD54FC" w:rsidRPr="00392FFD" w:rsidRDefault="00FD54FC" w:rsidP="00FD54FC">
      <w:pPr>
        <w:spacing w:before="0" w:after="0"/>
        <w:jc w:val="left"/>
        <w:rPr>
          <w:rStyle w:val="InstructionsTabelleText"/>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97" w:name="_Toc516210679"/>
      <w:bookmarkStart w:id="498" w:name="_Toc473561028"/>
      <w:r>
        <w:rPr>
          <w:rFonts w:ascii="Times New Roman" w:hAnsi="Times New Roman"/>
          <w:sz w:val="24"/>
          <w:u w:val="none"/>
        </w:rPr>
        <w:t>4.2.3.</w:t>
      </w:r>
      <w:r>
        <w:tab/>
      </w:r>
      <w:r>
        <w:rPr>
          <w:rFonts w:ascii="Times New Roman" w:hAnsi="Times New Roman"/>
          <w:sz w:val="24"/>
        </w:rPr>
        <w:t>C 17.02: Λειτουργικός κίνδυνος: Λεπτομερείς πληροφορίες σχετικά με τα μεγαλύτερα ζημιογόνα γεγονότα κατά το προηγούμενο έτος (OPR DETAILS 2)</w:t>
      </w:r>
      <w:bookmarkEnd w:id="497"/>
      <w:bookmarkEnd w:id="498"/>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99" w:name="_Toc516210680"/>
      <w:bookmarkStart w:id="500" w:name="_Toc473561029"/>
      <w:r>
        <w:rPr>
          <w:rFonts w:ascii="Times New Roman" w:hAnsi="Times New Roman"/>
          <w:sz w:val="24"/>
          <w:u w:val="none"/>
        </w:rPr>
        <w:t>4.2.3.1.</w:t>
      </w:r>
      <w:r>
        <w:tab/>
      </w:r>
      <w:r>
        <w:rPr>
          <w:rFonts w:ascii="Times New Roman" w:hAnsi="Times New Roman"/>
          <w:sz w:val="24"/>
        </w:rPr>
        <w:t>Γενικές παρατηρήσεις</w:t>
      </w:r>
      <w:bookmarkEnd w:id="499"/>
      <w:bookmarkEnd w:id="500"/>
    </w:p>
    <w:p w:rsidR="00FD54FC" w:rsidRPr="00392FFD" w:rsidRDefault="00125707" w:rsidP="00C37B29">
      <w:pPr>
        <w:pStyle w:val="InstructionsText2"/>
        <w:numPr>
          <w:ilvl w:val="0"/>
          <w:numId w:val="0"/>
        </w:numPr>
        <w:ind w:left="993"/>
      </w:pPr>
      <w:r>
        <w:t>134.</w:t>
      </w:r>
      <w:r>
        <w:tab/>
        <w:t>Στο υπόδειγμα C 17.02 παρέχονται πληροφορίες σχετικά με επιμέρους ζημι</w:t>
      </w:r>
      <w:r>
        <w:t>ο</w:t>
      </w:r>
      <w:r>
        <w:t>γόνα γεγονότα (μία γραμμή ανά γεγονός).</w:t>
      </w:r>
    </w:p>
    <w:p w:rsidR="00FD54FC" w:rsidRPr="00392FFD" w:rsidRDefault="00125707" w:rsidP="00C37B29">
      <w:pPr>
        <w:pStyle w:val="InstructionsText2"/>
        <w:numPr>
          <w:ilvl w:val="0"/>
          <w:numId w:val="0"/>
        </w:numPr>
        <w:ind w:left="993"/>
      </w:pPr>
      <w:r>
        <w:t>135.</w:t>
      </w:r>
      <w:r>
        <w:tab/>
        <w:t>Οι πληροφορίες που αναφέρονται σε αυτό το υπόδειγμα αναφέρονται σε «νέα γεγονότα», ήτοι γεγονότα λειτουργικού κινδύνου, που:</w:t>
      </w:r>
      <w:r>
        <w:tab/>
      </w:r>
    </w:p>
    <w:p w:rsidR="00FD54FC" w:rsidRPr="00392FFD" w:rsidRDefault="00125707" w:rsidP="00C37B29">
      <w:pPr>
        <w:pStyle w:val="InstructionsText2"/>
        <w:numPr>
          <w:ilvl w:val="0"/>
          <w:numId w:val="0"/>
        </w:numPr>
        <w:ind w:left="993"/>
      </w:pPr>
      <w:r>
        <w:t>α)</w:t>
      </w:r>
      <w:r>
        <w:tab/>
        <w:t>«</w:t>
      </w:r>
      <w:proofErr w:type="spellStart"/>
      <w:r>
        <w:t>λογιστικοποιήθηκαν</w:t>
      </w:r>
      <w:proofErr w:type="spellEnd"/>
      <w:r>
        <w:t xml:space="preserve"> για πρώτη φορά» εντός της περιόδου αναφοράς για την υποβολή αναφορών, ή</w:t>
      </w:r>
    </w:p>
    <w:p w:rsidR="00FD54FC" w:rsidRPr="00392FFD" w:rsidRDefault="00125707" w:rsidP="00C37B29">
      <w:pPr>
        <w:pStyle w:val="InstructionsText2"/>
        <w:numPr>
          <w:ilvl w:val="0"/>
          <w:numId w:val="0"/>
        </w:numPr>
        <w:ind w:left="993"/>
      </w:pPr>
      <w:r>
        <w:t>β)</w:t>
      </w:r>
      <w:r>
        <w:tab/>
        <w:t>«</w:t>
      </w:r>
      <w:proofErr w:type="spellStart"/>
      <w:r>
        <w:t>λογιστικοποιήθηκαν</w:t>
      </w:r>
      <w:proofErr w:type="spellEnd"/>
      <w:r>
        <w:t xml:space="preserve"> για πρώτη φορά» εντός προηγούμενης περιόδου αναφ</w:t>
      </w:r>
      <w:r>
        <w:t>ο</w:t>
      </w:r>
      <w:r>
        <w:t>ράς για την υποβολή αναφορών, εάν το γεγονός δεν είχε συμπεριληφθεί σε προγ</w:t>
      </w:r>
      <w:r>
        <w:t>ε</w:t>
      </w:r>
      <w:r>
        <w:t>νέστερη εποπτική αναφορά, π.χ. επειδή προσδιορίστηκε ως γεγονός λειτουργικού κινδύνου μόνο κατά την τρέχουσα περίοδο αναφοράς για την υποβολή αναφορών ή επειδή η συσσωρευμένη ζημία που οφείλεται στο εν λόγω γεγονός (ήτοι η αρχική ζημία συν / μείον όλες τις προσαρμογές ζημιών που πραγματοποιήθηκαν κατά τις προηγούμενες περιόδους αναφοράς για την υποβολή αναφορών) υπερέβη το κατ</w:t>
      </w:r>
      <w:r>
        <w:t>ώ</w:t>
      </w:r>
      <w:r>
        <w:t>τατο όριο της συλλογής εσωτερικών δεδομένων μόνο κατά την τρέχουσα περίοδο αναφοράς για την υποβολή αναφορών.</w:t>
      </w:r>
    </w:p>
    <w:p w:rsidR="00FD54FC" w:rsidRPr="00392FFD" w:rsidRDefault="00125707" w:rsidP="00C37B29">
      <w:pPr>
        <w:pStyle w:val="InstructionsText2"/>
        <w:numPr>
          <w:ilvl w:val="0"/>
          <w:numId w:val="0"/>
        </w:numPr>
        <w:ind w:left="993"/>
      </w:pPr>
      <w:r>
        <w:t>136.</w:t>
      </w:r>
      <w:r>
        <w:tab/>
        <w:t>Αναφέρονται μόνο γεγονότα που προκαλούν ποσό ακαθάριστης ζημίας τουλ</w:t>
      </w:r>
      <w:r>
        <w:t>ά</w:t>
      </w:r>
      <w:r>
        <w:t>χιστον 100 000 EUR.</w:t>
      </w:r>
      <w:r>
        <w:br/>
      </w:r>
      <w:r>
        <w:tab/>
        <w:t>Με την επιφύλαξη του εν λόγω κατώτατου ορίου,</w:t>
      </w:r>
    </w:p>
    <w:p w:rsidR="00FD54FC" w:rsidRPr="00392FFD" w:rsidRDefault="00125707" w:rsidP="00C37B29">
      <w:pPr>
        <w:pStyle w:val="InstructionsText2"/>
        <w:numPr>
          <w:ilvl w:val="0"/>
          <w:numId w:val="0"/>
        </w:numPr>
        <w:ind w:left="993"/>
      </w:pPr>
      <w:r>
        <w:lastRenderedPageBreak/>
        <w:t>α)</w:t>
      </w:r>
      <w:r>
        <w:tab/>
        <w:t>περιλαμβάνονται στο υπόδειγμα το μεγαλύτερο γεγονός για κάθε κατηγορία γεγονότος, υπό την προϋπόθεση ότι το ίδρυμα έχει προσδιορίσει τις κατηγορίες γ</w:t>
      </w:r>
      <w:r>
        <w:t>ε</w:t>
      </w:r>
      <w:r>
        <w:t>γονότων για τις ζημίες, και</w:t>
      </w:r>
    </w:p>
    <w:p w:rsidR="00FD54FC" w:rsidRPr="00392FFD" w:rsidRDefault="00125707" w:rsidP="00C37B29">
      <w:pPr>
        <w:pStyle w:val="InstructionsText2"/>
        <w:numPr>
          <w:ilvl w:val="0"/>
          <w:numId w:val="0"/>
        </w:numPr>
        <w:ind w:left="993"/>
      </w:pPr>
      <w:r>
        <w:t>β)</w:t>
      </w:r>
      <w:r>
        <w:tab/>
        <w:t>τουλάχιστον τα δέκα μεγαλύτερα από τα υπόλοιπα γεγονότα, με ή χωρίς προ</w:t>
      </w:r>
      <w:r>
        <w:t>σ</w:t>
      </w:r>
      <w:r>
        <w:t xml:space="preserve">διορισμό της κατηγορίας γεγονότος, με βάση το ποσό της ακαθάριστης ζημίας. </w:t>
      </w:r>
    </w:p>
    <w:p w:rsidR="00FD54FC" w:rsidRPr="00392FFD" w:rsidRDefault="00125707" w:rsidP="00C37B29">
      <w:pPr>
        <w:pStyle w:val="InstructionsText2"/>
        <w:numPr>
          <w:ilvl w:val="0"/>
          <w:numId w:val="0"/>
        </w:numPr>
        <w:ind w:left="993"/>
      </w:pPr>
      <w:r>
        <w:t>γ)</w:t>
      </w:r>
      <w:r>
        <w:tab/>
        <w:t xml:space="preserve">Τα γεγονότα αυτά κατατάσσονται με βάση την ακαθάριστη ζημία που τους αποδίδεται. </w:t>
      </w:r>
    </w:p>
    <w:p w:rsidR="00FD54FC" w:rsidRPr="00392FFD" w:rsidRDefault="00125707" w:rsidP="00C37B29">
      <w:pPr>
        <w:pStyle w:val="InstructionsText2"/>
        <w:numPr>
          <w:ilvl w:val="0"/>
          <w:numId w:val="0"/>
        </w:numPr>
        <w:ind w:left="993"/>
      </w:pPr>
      <w:r>
        <w:t>δ)</w:t>
      </w:r>
      <w:r>
        <w:tab/>
        <w:t>Κάθε γεγονός λαμβάνεται υπόψη μόνο μία φορά.</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01" w:name="_Toc516210681"/>
      <w:bookmarkStart w:id="502" w:name="_Toc473561030"/>
      <w:r>
        <w:rPr>
          <w:rFonts w:ascii="Times New Roman" w:hAnsi="Times New Roman"/>
          <w:sz w:val="24"/>
          <w:u w:val="none"/>
        </w:rPr>
        <w:t>4.2.3.2.</w:t>
      </w:r>
      <w:r>
        <w:tab/>
      </w:r>
      <w:r>
        <w:rPr>
          <w:rFonts w:ascii="Times New Roman" w:hAnsi="Times New Roman"/>
          <w:sz w:val="24"/>
        </w:rPr>
        <w:t>Οδηγίες για συγκεκριμένες θέσεις</w:t>
      </w:r>
      <w:bookmarkEnd w:id="501"/>
      <w:bookmarkEnd w:id="5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rsidTr="00672D2A">
        <w:tc>
          <w:tcPr>
            <w:tcW w:w="9288" w:type="dxa"/>
            <w:gridSpan w:val="2"/>
            <w:shd w:val="clear" w:color="auto" w:fill="BFBFBF"/>
          </w:tcPr>
          <w:p w:rsidR="00FD54FC" w:rsidRPr="00392FFD" w:rsidRDefault="00FD54FC" w:rsidP="00FD54FC">
            <w:pPr>
              <w:rPr>
                <w:rFonts w:ascii="Times New Roman" w:hAnsi="Times New Roman"/>
                <w:sz w:val="24"/>
              </w:rPr>
            </w:pPr>
            <w:r>
              <w:rPr>
                <w:rFonts w:ascii="Times New Roman" w:hAnsi="Times New Roman"/>
                <w:b/>
                <w:sz w:val="24"/>
              </w:rPr>
              <w:t>Στήλες</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0010</w:t>
            </w:r>
          </w:p>
        </w:tc>
        <w:tc>
          <w:tcPr>
            <w:tcW w:w="8329" w:type="dxa"/>
            <w:shd w:val="clear" w:color="auto" w:fill="auto"/>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Αναγνωριστικός κωδικός γεγονότος</w:t>
            </w:r>
          </w:p>
          <w:p w:rsidR="00FD54FC" w:rsidRPr="00392FFD" w:rsidRDefault="00FD54FC" w:rsidP="00FD54FC">
            <w:pPr>
              <w:rPr>
                <w:rFonts w:ascii="Times New Roman" w:hAnsi="Times New Roman"/>
                <w:sz w:val="24"/>
              </w:rPr>
            </w:pPr>
            <w:r>
              <w:rPr>
                <w:rFonts w:ascii="Times New Roman" w:hAnsi="Times New Roman"/>
                <w:sz w:val="24"/>
              </w:rPr>
              <w:t xml:space="preserve">Ο αναγνωριστικός κωδικός γεγονότος είναι αναγνωριστικός κωδικός γραμμής, και είναι μοναδικός για κάθε γραμμή στον πίνακα. </w:t>
            </w:r>
          </w:p>
          <w:p w:rsidR="00FD54FC" w:rsidRPr="00392FFD" w:rsidRDefault="00FD54FC" w:rsidP="00FD54FC">
            <w:pPr>
              <w:rPr>
                <w:rFonts w:ascii="Times New Roman" w:hAnsi="Times New Roman"/>
                <w:sz w:val="24"/>
              </w:rPr>
            </w:pPr>
            <w:r>
              <w:rPr>
                <w:rFonts w:ascii="Times New Roman" w:hAnsi="Times New Roman"/>
                <w:sz w:val="24"/>
              </w:rPr>
              <w:t>Εάν υπάρχει εσωτερικός αναγνωριστικός κωδικός, τα ιδρύματα παρέχουν τον εσ</w:t>
            </w:r>
            <w:r>
              <w:rPr>
                <w:rFonts w:ascii="Times New Roman" w:hAnsi="Times New Roman"/>
                <w:sz w:val="24"/>
              </w:rPr>
              <w:t>ω</w:t>
            </w:r>
            <w:r>
              <w:rPr>
                <w:rFonts w:ascii="Times New Roman" w:hAnsi="Times New Roman"/>
                <w:sz w:val="24"/>
              </w:rPr>
              <w:t>τερικό αναγνωριστικό κωδικό. Διαφορετικά, ο αναφερόμενος αναγνωριστικός κ</w:t>
            </w:r>
            <w:r>
              <w:rPr>
                <w:rFonts w:ascii="Times New Roman" w:hAnsi="Times New Roman"/>
                <w:sz w:val="24"/>
              </w:rPr>
              <w:t>ω</w:t>
            </w:r>
            <w:r>
              <w:rPr>
                <w:rFonts w:ascii="Times New Roman" w:hAnsi="Times New Roman"/>
                <w:sz w:val="24"/>
              </w:rPr>
              <w:t>δικός τηρεί τη σειρά αρίθμησης 1,2,3, κ.λπ.</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0020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Ημερομηνία λογιστικής εγγραφής</w:t>
            </w:r>
          </w:p>
          <w:p w:rsidR="00FD54FC" w:rsidRPr="00392FFD" w:rsidRDefault="00FD54FC" w:rsidP="00FD54FC">
            <w:pPr>
              <w:rPr>
                <w:rFonts w:ascii="Times New Roman" w:hAnsi="Times New Roman"/>
                <w:sz w:val="24"/>
              </w:rPr>
            </w:pPr>
            <w:r>
              <w:rPr>
                <w:rFonts w:ascii="Times New Roman" w:hAnsi="Times New Roman"/>
                <w:sz w:val="24"/>
              </w:rPr>
              <w:t xml:space="preserve">Ως «ημερομηνία λογιστικής εγγραφής» νοείται η ημερομηνία κατά την οποία μια ζημία ή απόθεμα / πρόβλεψη έναντι ζημίας λειτουργικού κινδύνου αναγνωρίστηκε για πρώτη φορά στον λογαριασμό κερδών και ζημιών. </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0030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Ημερομηνία συμβάντος</w:t>
            </w:r>
          </w:p>
          <w:p w:rsidR="00FD54FC" w:rsidRPr="00392FFD" w:rsidRDefault="00FD54FC" w:rsidP="00871877">
            <w:pPr>
              <w:rPr>
                <w:rFonts w:ascii="Times New Roman" w:hAnsi="Times New Roman"/>
                <w:sz w:val="24"/>
              </w:rPr>
            </w:pPr>
            <w:r>
              <w:rPr>
                <w:rFonts w:ascii="Times New Roman" w:hAnsi="Times New Roman"/>
                <w:sz w:val="24"/>
              </w:rPr>
              <w:t>Η ημερομηνία συμβάντος είναι η ημερομηνία κατά την οποία συνέβη ή άρχισε το γεγονός λειτουργικού κινδύνου.</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0040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Ημερομηνία διαπίστωσης</w:t>
            </w:r>
          </w:p>
          <w:p w:rsidR="00FD54FC" w:rsidRPr="00392FFD" w:rsidRDefault="00FD54FC" w:rsidP="00FD54FC">
            <w:pPr>
              <w:rPr>
                <w:rFonts w:ascii="Times New Roman" w:hAnsi="Times New Roman"/>
                <w:sz w:val="24"/>
              </w:rPr>
            </w:pPr>
            <w:r>
              <w:rPr>
                <w:rFonts w:ascii="Times New Roman" w:hAnsi="Times New Roman"/>
                <w:sz w:val="24"/>
              </w:rPr>
              <w:t>Ημερομηνία διαπίστωσης είναι η ημερομηνία κατά την οποία το ίδρυμα έλαβε γνώση του γεγονότος λειτουργικού κινδύνου.</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0050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Κατηγορία γεγονότος</w:t>
            </w:r>
          </w:p>
          <w:p w:rsidR="00FD54FC" w:rsidRPr="00392FFD" w:rsidRDefault="00FD54FC" w:rsidP="00FD54FC">
            <w:pPr>
              <w:rPr>
                <w:rFonts w:ascii="Times New Roman" w:hAnsi="Times New Roman"/>
                <w:sz w:val="24"/>
              </w:rPr>
            </w:pPr>
            <w:r>
              <w:rPr>
                <w:rFonts w:ascii="Times New Roman" w:hAnsi="Times New Roman"/>
                <w:sz w:val="24"/>
              </w:rPr>
              <w:t>Οι κατηγορίες γεγονότων που ορίζονται στο άρθρο 324 του ΚΚΑ.</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Ακαθάριστη ζημία</w:t>
            </w:r>
          </w:p>
          <w:p w:rsidR="00FD54FC" w:rsidRPr="00392FFD" w:rsidRDefault="00FD54FC" w:rsidP="00FD54FC">
            <w:pPr>
              <w:rPr>
                <w:rFonts w:ascii="Times New Roman" w:hAnsi="Times New Roman"/>
                <w:sz w:val="24"/>
              </w:rPr>
            </w:pPr>
            <w:r>
              <w:rPr>
                <w:rFonts w:ascii="Times New Roman" w:hAnsi="Times New Roman"/>
                <w:sz w:val="24"/>
              </w:rPr>
              <w:t>Ακαθάριστη ζημία που σχετίζεται με το γεγονός, όπως ορίζεται για τις στήλες 020, 120 κ.λπ. του ανωτέρω υποδείγματος C 17.01.</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Ακαθάριστη ζημία χωρίς τις άμεσες ανακτήσεις</w:t>
            </w:r>
          </w:p>
          <w:p w:rsidR="00FD54FC" w:rsidRPr="00392FFD" w:rsidRDefault="00FD54FC" w:rsidP="00FD54FC">
            <w:pPr>
              <w:rPr>
                <w:rFonts w:ascii="Times New Roman" w:hAnsi="Times New Roman"/>
                <w:sz w:val="24"/>
              </w:rPr>
            </w:pPr>
            <w:r>
              <w:rPr>
                <w:rFonts w:ascii="Times New Roman" w:hAnsi="Times New Roman"/>
                <w:sz w:val="24"/>
              </w:rPr>
              <w:t>Ακαθάριστη ζημία που σχετίζεται με το γεγονός, όπως ορίζεται για τις στήλες 020, 120 κ.λπ. του ανωτέρω υποδείγματος C 17.01, χωρίς τις άμεσες ανακτήσεις που σχετίζονται με το συγκεκριμένο ζημιογόνο γεγονός.</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lastRenderedPageBreak/>
              <w:t>0080 – 0160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Ακαθάριστη ζημία ανά επιχειρηματικό τομέα</w:t>
            </w:r>
          </w:p>
          <w:p w:rsidR="00FD54FC" w:rsidRPr="00392FFD" w:rsidRDefault="00FD54FC" w:rsidP="00FD54FC">
            <w:pPr>
              <w:rPr>
                <w:rFonts w:ascii="Times New Roman" w:hAnsi="Times New Roman"/>
                <w:sz w:val="24"/>
              </w:rPr>
            </w:pPr>
            <w:r>
              <w:rPr>
                <w:rFonts w:ascii="Times New Roman" w:hAnsi="Times New Roman"/>
                <w:sz w:val="24"/>
              </w:rPr>
              <w:t>Η ακαθάριστη ζημία που αναφέρεται στη στήλη 060 κατανέμεται στους σχετικούς επιχειρηματικούς τομείς, όπως ορίζεται στο άρθρο 317 και στο άρθρο 322 παρ</w:t>
            </w:r>
            <w:r>
              <w:rPr>
                <w:rFonts w:ascii="Times New Roman" w:hAnsi="Times New Roman"/>
                <w:sz w:val="24"/>
              </w:rPr>
              <w:t>ά</w:t>
            </w:r>
            <w:r>
              <w:rPr>
                <w:rFonts w:ascii="Times New Roman" w:hAnsi="Times New Roman"/>
                <w:sz w:val="24"/>
              </w:rPr>
              <w:t>γραφος 3 στοιχείο β) του ΚΚΑ.</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Επωνυμία νομικής οντότητας</w:t>
            </w:r>
          </w:p>
          <w:p w:rsidR="00FD54FC" w:rsidRPr="00392FFD" w:rsidRDefault="00FD54FC" w:rsidP="00FD54FC">
            <w:pPr>
              <w:rPr>
                <w:rFonts w:ascii="Times New Roman" w:hAnsi="Times New Roman"/>
                <w:sz w:val="24"/>
              </w:rPr>
            </w:pPr>
            <w:r>
              <w:rPr>
                <w:rFonts w:ascii="Times New Roman" w:hAnsi="Times New Roman"/>
                <w:sz w:val="24"/>
              </w:rPr>
              <w:t>Η επωνυμία της νομικής οντότητας, όπως αναφέρεται στη στήλη 010 του υποδεί</w:t>
            </w:r>
            <w:r>
              <w:rPr>
                <w:rFonts w:ascii="Times New Roman" w:hAnsi="Times New Roman"/>
                <w:sz w:val="24"/>
              </w:rPr>
              <w:t>γ</w:t>
            </w:r>
            <w:r>
              <w:rPr>
                <w:rFonts w:ascii="Times New Roman" w:hAnsi="Times New Roman"/>
                <w:sz w:val="24"/>
              </w:rPr>
              <w:t>ματος C 06.02 στην οποία συνέβη η ζημία – ή το μεγαλύτερο μέρος της ζημίας, σε περίπτωση που επηρεάστηκαν περισσότερες οντότητες.</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0180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Αναγνωριστικός κωδικός νομικής οντότητας</w:t>
            </w:r>
          </w:p>
          <w:p w:rsidR="00FD54FC" w:rsidRPr="00392FFD" w:rsidRDefault="00FD54FC" w:rsidP="00FD54FC">
            <w:pPr>
              <w:rPr>
                <w:rFonts w:ascii="Times New Roman" w:hAnsi="Times New Roman"/>
                <w:sz w:val="24"/>
              </w:rPr>
            </w:pPr>
            <w:r>
              <w:rPr>
                <w:rFonts w:ascii="Times New Roman" w:hAnsi="Times New Roman"/>
                <w:sz w:val="24"/>
              </w:rPr>
              <w:t>Κωδικός LEI της νομικής οντότητας, όπως αναφέρεται στη στήλη 025 του υπ</w:t>
            </w:r>
            <w:r>
              <w:rPr>
                <w:rFonts w:ascii="Times New Roman" w:hAnsi="Times New Roman"/>
                <w:sz w:val="24"/>
              </w:rPr>
              <w:t>ο</w:t>
            </w:r>
            <w:r>
              <w:rPr>
                <w:rFonts w:ascii="Times New Roman" w:hAnsi="Times New Roman"/>
                <w:sz w:val="24"/>
              </w:rPr>
              <w:t>δείγματος C 06.02 στην οποία συνέβη η ζημία – ή το μεγαλύτερο μέρος της ζημίας, σε περίπτωση που επηρεάστηκαν περισσότερες οντότητες.</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0190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Επιχειρηματική μονάδα</w:t>
            </w:r>
          </w:p>
          <w:p w:rsidR="00FD54FC" w:rsidRPr="00392FFD" w:rsidRDefault="00FD54FC" w:rsidP="00FD54FC">
            <w:pPr>
              <w:rPr>
                <w:rFonts w:ascii="Times New Roman" w:hAnsi="Times New Roman"/>
                <w:sz w:val="24"/>
              </w:rPr>
            </w:pPr>
            <w:r>
              <w:rPr>
                <w:rFonts w:ascii="Times New Roman" w:hAnsi="Times New Roman"/>
                <w:sz w:val="24"/>
              </w:rPr>
              <w:t>Επιχειρηματική μονάδα ή επιχειρηματικό τμήμα του ιδρύματος στο οποίο συνέβη η ζημία – ή το μεγαλύτερο μέρος της ζημίας, σε περίπτωση που επηρεάστηκαν π</w:t>
            </w:r>
            <w:r>
              <w:rPr>
                <w:rFonts w:ascii="Times New Roman" w:hAnsi="Times New Roman"/>
                <w:sz w:val="24"/>
              </w:rPr>
              <w:t>ε</w:t>
            </w:r>
            <w:r>
              <w:rPr>
                <w:rFonts w:ascii="Times New Roman" w:hAnsi="Times New Roman"/>
                <w:sz w:val="24"/>
              </w:rPr>
              <w:t>ρισσότερες επιχειρηματικές μονάδες ή τμήματα.</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0200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Περιγραφή</w:t>
            </w:r>
          </w:p>
          <w:p w:rsidR="00FD54FC" w:rsidRPr="00392FFD" w:rsidRDefault="00FD54FC" w:rsidP="00FD239F">
            <w:pPr>
              <w:rPr>
                <w:rFonts w:ascii="Times New Roman" w:hAnsi="Times New Roman"/>
                <w:sz w:val="24"/>
              </w:rPr>
            </w:pPr>
            <w:r>
              <w:rPr>
                <w:rFonts w:ascii="Times New Roman" w:hAnsi="Times New Roman"/>
                <w:sz w:val="24"/>
              </w:rPr>
              <w:t xml:space="preserve">Λεπτομερής περιγραφή του γεγονότος, εάν κρίνεται απαραίτητο με γενικευμένο ή </w:t>
            </w:r>
            <w:proofErr w:type="spellStart"/>
            <w:r>
              <w:rPr>
                <w:rFonts w:ascii="Times New Roman" w:hAnsi="Times New Roman"/>
                <w:sz w:val="24"/>
              </w:rPr>
              <w:t>ανωνυμοποιημένο</w:t>
            </w:r>
            <w:proofErr w:type="spellEnd"/>
            <w:r>
              <w:rPr>
                <w:rFonts w:ascii="Times New Roman" w:hAnsi="Times New Roman"/>
                <w:sz w:val="24"/>
              </w:rPr>
              <w:t xml:space="preserve"> τρόπο, η οποία περιλαμβάνει τουλάχιστον πληροφορίες σχετικά με το ίδιο το γεγονός και πληροφορίες σχετικά με τους παράγοντες ή τα αίτια του γεγονότος, εφόσον είναι γνωστά.</w:t>
            </w:r>
          </w:p>
        </w:tc>
      </w:tr>
    </w:tbl>
    <w:p w:rsidR="00FD54FC" w:rsidRPr="00392FFD" w:rsidRDefault="00FD54FC" w:rsidP="00AC6255">
      <w:pPr>
        <w:spacing w:after="0"/>
        <w:rPr>
          <w:rFonts w:ascii="Times New Roman" w:hAnsi="Times New Roman"/>
          <w:sz w:val="24"/>
        </w:rPr>
      </w:pPr>
    </w:p>
    <w:p w:rsidR="00AC6255" w:rsidRPr="00392FFD" w:rsidRDefault="00AC6255">
      <w:pPr>
        <w:spacing w:before="0" w:after="0"/>
        <w:jc w:val="left"/>
        <w:rPr>
          <w:rStyle w:val="InstructionsTabelleText"/>
          <w:rFonts w:ascii="Times New Roman" w:hAnsi="Times New Roman"/>
          <w:sz w:val="24"/>
        </w:rPr>
      </w:pPr>
      <w:r>
        <w:br w:type="page"/>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03" w:name="_Toc295829995"/>
      <w:bookmarkStart w:id="504" w:name="_Toc262566425"/>
      <w:bookmarkStart w:id="505" w:name="_Toc308426671"/>
      <w:bookmarkStart w:id="506" w:name="_Toc310415056"/>
      <w:bookmarkStart w:id="507" w:name="_Toc360188391"/>
      <w:bookmarkStart w:id="508" w:name="_Toc516210682"/>
      <w:bookmarkStart w:id="509" w:name="_Toc473561031"/>
      <w:r>
        <w:rPr>
          <w:rFonts w:ascii="Times New Roman" w:hAnsi="Times New Roman"/>
          <w:sz w:val="24"/>
          <w:u w:val="none"/>
        </w:rPr>
        <w:lastRenderedPageBreak/>
        <w:t>5.</w:t>
      </w:r>
      <w:r>
        <w:tab/>
      </w:r>
      <w:r>
        <w:rPr>
          <w:rFonts w:ascii="Times New Roman" w:hAnsi="Times New Roman"/>
          <w:sz w:val="24"/>
        </w:rPr>
        <w:t>Υποδείγματα Κινδύνου Αγοράς</w:t>
      </w:r>
      <w:bookmarkEnd w:id="503"/>
      <w:bookmarkEnd w:id="504"/>
      <w:bookmarkEnd w:id="505"/>
      <w:bookmarkEnd w:id="506"/>
      <w:bookmarkEnd w:id="507"/>
      <w:bookmarkEnd w:id="508"/>
      <w:bookmarkEnd w:id="509"/>
    </w:p>
    <w:p w:rsidR="000B0B09" w:rsidRPr="00392FFD" w:rsidRDefault="00125707" w:rsidP="00C37B29">
      <w:pPr>
        <w:pStyle w:val="InstructionsText2"/>
        <w:numPr>
          <w:ilvl w:val="0"/>
          <w:numId w:val="0"/>
        </w:numPr>
        <w:ind w:left="993"/>
      </w:pPr>
      <w:bookmarkStart w:id="510" w:name="_Toc308426672"/>
      <w:r>
        <w:t>137.</w:t>
      </w:r>
      <w:r>
        <w:tab/>
        <w:t>Οι οδηγίες αυτές αφορούν τα υποδείγματα αναφοράς του υπολογισμού των απαιτήσεων ιδίων κεφαλαίων σύμφωνα με την τυποποιημένη προσέγγιση για τον κίνδυνο συναλλάγματος (MKR SA FX), τον κίνδυνο βασικού εμπορεύματος (MKR SA COM), τον κίνδυνο επιτοκίου (MKR SA TDI, MKR SA SEC, MKR SA CTP) και τον κίνδυνο μετοχικών τίτλων (MKR SA EQU). Επίσης, στο συγκεκριμένο μ</w:t>
      </w:r>
      <w:r>
        <w:t>έ</w:t>
      </w:r>
      <w:r>
        <w:t>ρος περιλαμβάνονται οδηγίες για το υπόδειγμα αναφοράς του υπολογισμού των απαιτήσεων ιδίων κεφαλαίων σύμφωνα με την προσέγγιση των εσωτερικών υπ</w:t>
      </w:r>
      <w:r>
        <w:t>ο</w:t>
      </w:r>
      <w:r>
        <w:t xml:space="preserve">δειγμάτων (MKR IM). </w:t>
      </w:r>
    </w:p>
    <w:p w:rsidR="000B0B09" w:rsidRPr="00392FFD" w:rsidRDefault="00125707" w:rsidP="00C37B29">
      <w:pPr>
        <w:pStyle w:val="InstructionsText2"/>
        <w:numPr>
          <w:ilvl w:val="0"/>
          <w:numId w:val="0"/>
        </w:numPr>
        <w:ind w:left="993"/>
      </w:pPr>
      <w:r>
        <w:t>138.</w:t>
      </w:r>
      <w:r>
        <w:tab/>
        <w:t xml:space="preserve">Ο κίνδυνος θέσης για έναν διαπραγματεύσιμο χρεωστικό τίτλο ή μια μετοχή (ή παράγωγο μέσο χρεωστικού τίτλου ή παράγωγο μέσο που βασίζεται σε μετοχή), διαιρείται σε δύο συνιστώσες, προκειμένου να υπολογιστεί η κεφαλαιακή απαίτηση για την κάλυψή του. Η πρώτη συνιστώσα αφορά τον ειδικό κίνδυνο που ενέχει η θέση – δηλαδή τον κίνδυνο μεταβολής της τιμής του σχετικού μέσου, λόγω της </w:t>
      </w:r>
      <w:r>
        <w:t>ε</w:t>
      </w:r>
      <w:r>
        <w:t>πίδρασης παραγόντων που σχετίζονται με τον εκδότη του ή, στην περίπτωση ενός παράγωγου μέσου, με τον εκδότη του υποκείμενου μέσου. Η δεύτερη συνιστώσα καλύπτει τον γενικό κίνδυνο της θέσης – δηλαδή τον κίνδυνο μεταβολής της τιμής του σχετικού μέσου, λόγω μεταβολής στο επίπεδο των επιτοκίων (στην περίπτωση διαπραγματεύσιμου χρεωστικού τίτλου ή παράγωγου μέσου χρεωστικού τίτλου) ή λόγω ευρείας μεταβολής στην αγορά μετοχών που δεν σχετίζεται με συγκεκριμένα χαρακτηριστικά μεμονωμένων τίτλων (στην περίπτωση μετοχής ή παράγωγου μ</w:t>
      </w:r>
      <w:r>
        <w:t>έ</w:t>
      </w:r>
      <w:r>
        <w:t xml:space="preserve">σου που βασίζεται σε μετοχή). </w:t>
      </w:r>
      <w:bookmarkEnd w:id="510"/>
      <w:r>
        <w:t xml:space="preserve">Η γενική αντιμετώπιση συγκεκριμένων μέσων και διαδικασιών συμψηφισμού προβλέπεται στα άρθρα 326 έως 333 του ΚΚΑ.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11" w:name="_Toc239157393"/>
      <w:bookmarkStart w:id="512" w:name="_Toc262566426"/>
      <w:bookmarkStart w:id="513" w:name="_Toc295829996"/>
      <w:bookmarkStart w:id="514" w:name="_Toc308426673"/>
      <w:bookmarkStart w:id="515" w:name="_Toc310415057"/>
      <w:bookmarkStart w:id="516" w:name="_Toc360188392"/>
      <w:bookmarkStart w:id="517" w:name="_Toc516210683"/>
      <w:bookmarkStart w:id="518" w:name="_Toc473561032"/>
      <w:r>
        <w:rPr>
          <w:rFonts w:ascii="Times New Roman" w:hAnsi="Times New Roman"/>
          <w:sz w:val="24"/>
          <w:u w:val="none"/>
        </w:rPr>
        <w:t>5.1.</w:t>
      </w:r>
      <w:r>
        <w:tab/>
      </w:r>
      <w:r>
        <w:rPr>
          <w:rFonts w:ascii="Times New Roman" w:hAnsi="Times New Roman"/>
          <w:sz w:val="24"/>
        </w:rPr>
        <w:t>C 18.00 – Κίνδυνος Αγοράς: Τυποποιημένη προσέγγιση για κινδύνους θέσης σε δι</w:t>
      </w:r>
      <w:r>
        <w:rPr>
          <w:rFonts w:ascii="Times New Roman" w:hAnsi="Times New Roman"/>
          <w:sz w:val="24"/>
        </w:rPr>
        <w:t>α</w:t>
      </w:r>
      <w:r>
        <w:rPr>
          <w:rFonts w:ascii="Times New Roman" w:hAnsi="Times New Roman"/>
          <w:sz w:val="24"/>
        </w:rPr>
        <w:t>πραγματεύσιμους χρεωστικούς τίτλους</w:t>
      </w:r>
      <w:bookmarkEnd w:id="511"/>
      <w:bookmarkEnd w:id="512"/>
      <w:bookmarkEnd w:id="513"/>
      <w:bookmarkEnd w:id="514"/>
      <w:bookmarkEnd w:id="515"/>
      <w:bookmarkEnd w:id="516"/>
      <w:r>
        <w:rPr>
          <w:rFonts w:ascii="Times New Roman" w:hAnsi="Times New Roman"/>
          <w:sz w:val="24"/>
        </w:rPr>
        <w:t xml:space="preserve"> (MKR SA TDI)</w:t>
      </w:r>
      <w:bookmarkEnd w:id="517"/>
      <w:bookmarkEnd w:id="518"/>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19" w:name="_Toc262566427"/>
      <w:bookmarkStart w:id="520" w:name="_Toc295829997"/>
      <w:bookmarkStart w:id="521" w:name="_Toc308426674"/>
      <w:bookmarkStart w:id="522" w:name="_Toc310415058"/>
      <w:bookmarkStart w:id="523" w:name="_Toc360188393"/>
      <w:bookmarkStart w:id="524" w:name="_Toc516210684"/>
      <w:bookmarkStart w:id="525" w:name="_Toc473561033"/>
      <w:r>
        <w:rPr>
          <w:rFonts w:ascii="Times New Roman" w:hAnsi="Times New Roman"/>
          <w:sz w:val="24"/>
          <w:u w:val="none"/>
        </w:rPr>
        <w:t>5.1.1.</w:t>
      </w:r>
      <w:r>
        <w:tab/>
      </w:r>
      <w:r>
        <w:rPr>
          <w:rFonts w:ascii="Times New Roman" w:hAnsi="Times New Roman"/>
          <w:sz w:val="24"/>
        </w:rPr>
        <w:t>Γενικές παρατηρήσεις</w:t>
      </w:r>
      <w:bookmarkEnd w:id="519"/>
      <w:bookmarkEnd w:id="520"/>
      <w:bookmarkEnd w:id="521"/>
      <w:bookmarkEnd w:id="522"/>
      <w:bookmarkEnd w:id="523"/>
      <w:bookmarkEnd w:id="524"/>
      <w:bookmarkEnd w:id="525"/>
    </w:p>
    <w:p w:rsidR="000B0B09" w:rsidRPr="00392FFD" w:rsidRDefault="00125707" w:rsidP="00C37B29">
      <w:pPr>
        <w:pStyle w:val="InstructionsText2"/>
        <w:numPr>
          <w:ilvl w:val="0"/>
          <w:numId w:val="0"/>
        </w:numPr>
        <w:ind w:left="993"/>
      </w:pPr>
      <w:r>
        <w:t>139.</w:t>
      </w:r>
      <w:r>
        <w:tab/>
        <w:t xml:space="preserve">Στο παρόν υπόδειγμα παρουσιάζονται οι θέσεις και οι σχετικές απαιτήσεις </w:t>
      </w:r>
      <w:r>
        <w:t>ι</w:t>
      </w:r>
      <w:r>
        <w:t>δίων κεφαλαίων για τους κινδύνους θέσης σε διαπραγματεύσιμους χρεωστικούς τίτλους με βάση την τυποποιημένη προσέγγιση (άρθρο 102 και άρθρο 105 παρ</w:t>
      </w:r>
      <w:r>
        <w:t>ά</w:t>
      </w:r>
      <w:r>
        <w:t>γραφος 1 του ΚΚΑ). Οι διάφοροι κίνδυνοι και οι μέθοδοι που είναι διαθέσιμες β</w:t>
      </w:r>
      <w:r>
        <w:t>ά</w:t>
      </w:r>
      <w:r>
        <w:t>σει του ΚΚΑ παρουσιάζονται στις επιμέρους γραμμές. Ο ειδικός κίνδυνος που σχ</w:t>
      </w:r>
      <w:r>
        <w:t>ε</w:t>
      </w:r>
      <w:r>
        <w:t>τίζεται με ανοίγματα που αναφέρονται στα υποδείγματα MKR SA SEC και MKR SA CTP πρέπει να αναφέρεται μόνο στο υπόδειγμα «</w:t>
      </w:r>
      <w:proofErr w:type="spellStart"/>
      <w:r>
        <w:t>Total</w:t>
      </w:r>
      <w:proofErr w:type="spellEnd"/>
      <w:r>
        <w:t>» του MKR SA TDI. Οι απαιτήσεις ιδίων κεφαλαίων που αναφέρονται στα υποδείγματα αυτά μεταφέρονται στο πεδίο {325,060} (τιτλοποιήσεις) και στο πεδίο {330,060} (CTP), αντιστοίχως. .</w:t>
      </w:r>
    </w:p>
    <w:p w:rsidR="000B0B09" w:rsidRPr="00392FFD" w:rsidRDefault="00125707" w:rsidP="00C37B29">
      <w:pPr>
        <w:pStyle w:val="InstructionsText2"/>
        <w:numPr>
          <w:ilvl w:val="0"/>
          <w:numId w:val="0"/>
        </w:numPr>
        <w:ind w:left="993"/>
      </w:pPr>
      <w:r>
        <w:t>140.</w:t>
      </w:r>
      <w:r>
        <w:tab/>
        <w:t xml:space="preserve">Το υπόδειγμα πρέπει να συμπληρώνεται χωριστά για το «Σύνολο», καθώς και για προκαθορισμένο κατάλογο των ακόλουθων νομισμάτων: </w:t>
      </w:r>
      <w:bookmarkStart w:id="526" w:name="OLE_LINK1"/>
      <w:r>
        <w:t xml:space="preserve">EUR, ALL, BGN, CZK, DKK, EGP, GBP, HRK, HUF, ISK, JPY, MKD, NOK, PLN, RON, RUB, RSD, SEK, CHF, TRY, UAH, USD </w:t>
      </w:r>
      <w:bookmarkEnd w:id="526"/>
      <w:r>
        <w:t xml:space="preserve">και ένα τελευταίο υπόδειγμα για όλα τα άλλα νομίσματα.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27" w:name="_Toc262566428"/>
      <w:bookmarkStart w:id="528" w:name="_Toc295829998"/>
      <w:bookmarkStart w:id="529" w:name="_Toc308426675"/>
      <w:bookmarkStart w:id="530" w:name="_Toc310415059"/>
      <w:bookmarkStart w:id="531" w:name="_Toc360188394"/>
      <w:bookmarkStart w:id="532" w:name="_Toc516210685"/>
      <w:bookmarkStart w:id="533" w:name="_Toc473561034"/>
      <w:r>
        <w:rPr>
          <w:rFonts w:ascii="Times New Roman" w:hAnsi="Times New Roman"/>
          <w:sz w:val="24"/>
          <w:u w:val="none"/>
        </w:rPr>
        <w:lastRenderedPageBreak/>
        <w:t>5.1.2.</w:t>
      </w:r>
      <w:r>
        <w:tab/>
      </w:r>
      <w:r>
        <w:rPr>
          <w:rFonts w:ascii="Times New Roman" w:hAnsi="Times New Roman"/>
          <w:sz w:val="24"/>
        </w:rPr>
        <w:t>Οδηγίες για συγκεκριμένες θέσεις</w:t>
      </w:r>
      <w:bookmarkEnd w:id="527"/>
      <w:bookmarkEnd w:id="528"/>
      <w:bookmarkEnd w:id="529"/>
      <w:bookmarkEnd w:id="530"/>
      <w:bookmarkEnd w:id="531"/>
      <w:bookmarkEnd w:id="532"/>
      <w:bookmarkEnd w:id="5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69"/>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102 και άρθρο 105 παράγραφος 1 του ΚΚΑ Πρόκειται για ακαθάριστες θέσεις που δεν έχουν συμψηφιστεί με τίτλους, αφαιρώντας τις θέσεις αναδοχής που έχουν αναληφθεί ή </w:t>
            </w:r>
            <w:proofErr w:type="spellStart"/>
            <w:r>
              <w:rPr>
                <w:rFonts w:ascii="Times New Roman" w:hAnsi="Times New Roman"/>
                <w:sz w:val="24"/>
              </w:rPr>
              <w:t>υποαναληφθεί</w:t>
            </w:r>
            <w:proofErr w:type="spellEnd"/>
            <w:r>
              <w:rPr>
                <w:rFonts w:ascii="Times New Roman" w:hAnsi="Times New Roman"/>
                <w:sz w:val="24"/>
              </w:rPr>
              <w:t xml:space="preserve"> από τρίτους (άρθρο 345 δεύτερη περί</w:t>
            </w:r>
            <w:r>
              <w:rPr>
                <w:rFonts w:ascii="Times New Roman" w:hAnsi="Times New Roman"/>
                <w:sz w:val="24"/>
              </w:rPr>
              <w:t>ο</w:t>
            </w:r>
            <w:r>
              <w:rPr>
                <w:rFonts w:ascii="Times New Roman" w:hAnsi="Times New Roman"/>
                <w:sz w:val="24"/>
              </w:rPr>
              <w:t>δος του ΚΚΑ). Όσον αφορά τη διάκριση μεταξύ θετικών και αρνητικών θέσ</w:t>
            </w:r>
            <w:r>
              <w:rPr>
                <w:rFonts w:ascii="Times New Roman" w:hAnsi="Times New Roman"/>
                <w:sz w:val="24"/>
              </w:rPr>
              <w:t>ε</w:t>
            </w:r>
            <w:r>
              <w:rPr>
                <w:rFonts w:ascii="Times New Roman" w:hAnsi="Times New Roman"/>
                <w:sz w:val="24"/>
              </w:rPr>
              <w:t>ων, που ισχύει επίσης για τις συγκεκριμένες ακαθάριστες θέσεις, βλέπε ά</w:t>
            </w:r>
            <w:r>
              <w:rPr>
                <w:rFonts w:ascii="Times New Roman" w:hAnsi="Times New Roman"/>
                <w:sz w:val="24"/>
              </w:rPr>
              <w:t>ρ</w:t>
            </w:r>
            <w:r>
              <w:rPr>
                <w:rFonts w:ascii="Times New Roman" w:hAnsi="Times New Roman"/>
                <w:sz w:val="24"/>
              </w:rPr>
              <w:t>θρο 328 παράγραφος 2 του ΚΚΑ.</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ΚΑΘΑΡΕΣ ΘΕΣΕΙΣ (ΘΕΤΙΚΕΣ ΚΑΙ ΑΡΝΗΤΙΚΕΣ)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Άρθρα 327 έως 329 και άρθρο 334 του ΚΚΑ Όσον αφορά τη διάκριση μεταξύ θετικών και αρνητικών θέσεων, βλέπε άρθρο 328 παράγραφος 2 του ΚΚΑ.</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Οι καθαρές θέσεις που, σύμφωνα με τις διαφορετικές προσεγγίσεις που εξετ</w:t>
            </w:r>
            <w:r>
              <w:rPr>
                <w:rFonts w:ascii="Times New Roman" w:hAnsi="Times New Roman"/>
                <w:sz w:val="24"/>
              </w:rPr>
              <w:t>ά</w:t>
            </w:r>
            <w:r>
              <w:rPr>
                <w:rFonts w:ascii="Times New Roman" w:hAnsi="Times New Roman"/>
                <w:sz w:val="24"/>
              </w:rPr>
              <w:t>ζονται στο τρίτο μέρος τίτλος IV κεφάλαιο 2 του ΚΚΑ, υπόκεινται σε κεφ</w:t>
            </w:r>
            <w:r>
              <w:rPr>
                <w:rFonts w:ascii="Times New Roman" w:hAnsi="Times New Roman"/>
                <w:sz w:val="24"/>
              </w:rPr>
              <w:t>α</w:t>
            </w:r>
            <w:r>
              <w:rPr>
                <w:rFonts w:ascii="Times New Roman" w:hAnsi="Times New Roman"/>
                <w:sz w:val="24"/>
              </w:rPr>
              <w:t>λαιακή επιβάρυνση.</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Η κεφαλαιακή επιβάρυνση για κάθε σχετική θέση, σύμφωνα με το τρίτο μέρος τίτλος IV κεφάλαιο 2 του ΚΚΑ.</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Άρθρο 92 παράγραφος 4 στοιχείο β) του ΚΚΑ Αποτέλεσμα του πολλαπλασι</w:t>
            </w:r>
            <w:r>
              <w:rPr>
                <w:rFonts w:ascii="Times New Roman" w:hAnsi="Times New Roman"/>
                <w:sz w:val="24"/>
              </w:rPr>
              <w:t>α</w:t>
            </w:r>
            <w:r>
              <w:rPr>
                <w:rFonts w:ascii="Times New Roman" w:hAnsi="Times New Roman"/>
                <w:sz w:val="24"/>
              </w:rPr>
              <w:t xml:space="preserve">σμού των απαιτήσεων ιδίων κεφαλαίων επί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53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392FFD" w:rsidTr="00672D2A">
        <w:trPr>
          <w:trHeight w:val="1168"/>
        </w:trPr>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010-350</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ΔΙΑΠΡΑΓΜΑΤΕΥΣΙΜΟΙ ΧΡΕΩΣΤΙΚΟΙ ΤΙΤΛΟΙ ΣΤΟ ΧΑΡΤΟΦΥΛ</w:t>
            </w:r>
            <w:r>
              <w:rPr>
                <w:rFonts w:ascii="Times New Roman" w:hAnsi="Times New Roman"/>
                <w:b/>
                <w:sz w:val="24"/>
                <w:u w:val="single"/>
              </w:rPr>
              <w:t>Α</w:t>
            </w:r>
            <w:r>
              <w:rPr>
                <w:rFonts w:ascii="Times New Roman" w:hAnsi="Times New Roman"/>
                <w:b/>
                <w:sz w:val="24"/>
                <w:u w:val="single"/>
              </w:rPr>
              <w:t>ΚΙΟ ΣΥΝΑΛΛΑΓΩΝ</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θέσεις σε διαπραγματεύσιμους χρεωστικούς τίτλους στο χαρτοφυλάκιο σ</w:t>
            </w:r>
            <w:r>
              <w:rPr>
                <w:rFonts w:ascii="Times New Roman" w:hAnsi="Times New Roman"/>
                <w:sz w:val="24"/>
              </w:rPr>
              <w:t>υ</w:t>
            </w:r>
            <w:r>
              <w:rPr>
                <w:rFonts w:ascii="Times New Roman" w:hAnsi="Times New Roman"/>
                <w:sz w:val="24"/>
              </w:rPr>
              <w:t>ναλλαγών και οι αντίστοιχες απαιτήσεις ιδίων κεφαλαίων τους για τον κίνδυνο θέσης, σύμφωνα με το άρθρο 92 παράγραφος 3 στοιχείο β) σημείο i) του ΚΚΑ και το τρίτο μέρος τίτλος IV κεφάλαιο 2 του ΚΚΑ, αναφέρονται ανάλογα με την κατηγορία κινδύνου, τη ληκτότητα και την εφαρμοζόμενη προσέγγιση.</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ΓΕΝΙΚΟΣ ΚΙΝΔΥΝΟΣ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Παράγωγα</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Παράγωγα που περιλαμβάνονται στον υπολογισμό του κινδύνου επιτοκίου των θέσεων του χαρτοφυλακίου συναλλαγών, λαμβανομένων υπόψη των άρθρων 328 έως 331, κατά περίπτωση.</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013</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Άλλα στοιχεία του ενεργητικού και του παθητικού</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Τίτλοι, εκτός των παραγώγων, που περιλαμβάνονται στον υπολογισμό του κι</w:t>
            </w:r>
            <w:r>
              <w:rPr>
                <w:rFonts w:ascii="Times New Roman" w:hAnsi="Times New Roman"/>
                <w:sz w:val="24"/>
              </w:rPr>
              <w:t>ν</w:t>
            </w:r>
            <w:r>
              <w:rPr>
                <w:rFonts w:ascii="Times New Roman" w:hAnsi="Times New Roman"/>
                <w:sz w:val="24"/>
              </w:rPr>
              <w:t xml:space="preserve">δύνου επιτοκίου των θέσεων του χαρτοφυλακίου συναλλαγών.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020-200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ΒΑΣΕΙ ΤΗΣ ΜΕΘΟΔΟΥ ΤΗΣ ΛΗΚΤΟΤΗΤΑΣ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Θέσεις σε διαπραγματεύσιμους χρεωστικούς τίτλους που υπόκεινται στη μέθ</w:t>
            </w:r>
            <w:r>
              <w:rPr>
                <w:rFonts w:ascii="Times New Roman" w:hAnsi="Times New Roman"/>
                <w:sz w:val="24"/>
              </w:rPr>
              <w:t>ο</w:t>
            </w:r>
            <w:r>
              <w:rPr>
                <w:rFonts w:ascii="Times New Roman" w:hAnsi="Times New Roman"/>
                <w:sz w:val="24"/>
              </w:rPr>
              <w:t>δο της ληκτότητας, σύμφωνα με το άρθρο 339 παράγραφοι 1 έως 8 του ΚΚΑ, και οι αντίστοιχες απαιτήσεις ιδίων κεφαλαίων του άρθρου 339 παράγραφος 9 του ΚΚΑ. Η θέση κατανέμεται στις ζώνες 1, 2 και 3 και αυτές, με τη σειρά τους, κατανέμονται βάσει της ληκτότητας των μέσων.</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210-240</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ΓΕΝΙΚΟΣ ΚΙΝΔΥΝΟΣ ΠΡΟΣΕΓΓΙΣΗ ΒΑΣΕΙ ΤΗΣ ΜΕΘΟΔΟΥ ΤΗΣ ΔΙΑΡΚΕΙΑΣ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σε διαπραγματεύσιμους χρεωστικούς τίτλους που υπόκεινται στη μέθ</w:t>
            </w:r>
            <w:r>
              <w:rPr>
                <w:rFonts w:ascii="Times New Roman" w:hAnsi="Times New Roman"/>
                <w:sz w:val="24"/>
              </w:rPr>
              <w:t>ο</w:t>
            </w:r>
            <w:r>
              <w:rPr>
                <w:rFonts w:ascii="Times New Roman" w:hAnsi="Times New Roman"/>
                <w:sz w:val="24"/>
              </w:rPr>
              <w:t>δο της διάρκειας, σύμφωνα με το άρθρο 340 παράγραφοι 1 έως 6 του ΚΚΑ, και οι αντίστοιχες απαιτήσεις ιδίων κεφαλαίων του άρθρου 340 παράγραφος 7 του ΚΚΑ. Η θέση κατανέμεται στις ζώνες 1, 2 και 3.</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ΕΙΔΙΚΟΣ ΚΙΝΔΥΝΟΣ</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Άθροισμα των ποσών που αναφέρονται στις γραμμές 251, 325 και 330.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Θέσεις σε διαπραγματεύσιμους χρεωστικούς τίτλους υποκείμενους σε κεφ</w:t>
            </w:r>
            <w:r>
              <w:rPr>
                <w:rFonts w:ascii="Times New Roman" w:hAnsi="Times New Roman"/>
                <w:sz w:val="24"/>
              </w:rPr>
              <w:t>α</w:t>
            </w:r>
            <w:r>
              <w:rPr>
                <w:rFonts w:ascii="Times New Roman" w:hAnsi="Times New Roman"/>
                <w:sz w:val="24"/>
              </w:rPr>
              <w:t>λαιακή στάθμιση ειδικού κινδύνου και η αντίστοιχη κεφαλαιακή επιβάρυνση, σύμφωνα με το άρθρο 92 παράγραφος 3 στοιχείο β), το άρθρο 335, το ά</w:t>
            </w:r>
            <w:r>
              <w:rPr>
                <w:rFonts w:ascii="Times New Roman" w:hAnsi="Times New Roman"/>
                <w:sz w:val="24"/>
              </w:rPr>
              <w:t>ρ</w:t>
            </w:r>
            <w:r>
              <w:rPr>
                <w:rFonts w:ascii="Times New Roman" w:hAnsi="Times New Roman"/>
                <w:sz w:val="24"/>
              </w:rPr>
              <w:t>θρο 336 παράγραφοι 1 έως 3 και τα άρθρα 337 και 338 του ΚΚΑ. Ιδιαίτερη προσοχή πρέπει να δίνεται στην τελευταία περίοδο του άρθρου 327 παράγρ</w:t>
            </w:r>
            <w:r>
              <w:rPr>
                <w:rFonts w:ascii="Times New Roman" w:hAnsi="Times New Roman"/>
                <w:sz w:val="24"/>
              </w:rPr>
              <w:t>α</w:t>
            </w:r>
            <w:r>
              <w:rPr>
                <w:rFonts w:ascii="Times New Roman" w:hAnsi="Times New Roman"/>
                <w:sz w:val="24"/>
              </w:rPr>
              <w:t>φος 1 του ΚΚΑ.</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251-321</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Απαίτηση ιδίων κεφαλαίων για χρεωστικούς τίτλους που δεν αποτελούν θέσεις τιτλοποίησης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Άθροισμα των ποσών που αναφέρονται στις γραμμές 260 έως 321.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Η απαίτηση ιδίων κεφαλαίων των πιστωτικών παραγώγων νιοστού βαθμού </w:t>
            </w:r>
            <w:r>
              <w:rPr>
                <w:rFonts w:ascii="Times New Roman" w:hAnsi="Times New Roman"/>
                <w:sz w:val="24"/>
              </w:rPr>
              <w:t>α</w:t>
            </w:r>
            <w:r>
              <w:rPr>
                <w:rFonts w:ascii="Times New Roman" w:hAnsi="Times New Roman"/>
                <w:sz w:val="24"/>
              </w:rPr>
              <w:t>θέτησης που δεν διαβαθμίζονται εξωτερικά πρέπει να υπολογίζεται αθροίζ</w:t>
            </w:r>
            <w:r>
              <w:rPr>
                <w:rFonts w:ascii="Times New Roman" w:hAnsi="Times New Roman"/>
                <w:sz w:val="24"/>
              </w:rPr>
              <w:t>ο</w:t>
            </w:r>
            <w:r>
              <w:rPr>
                <w:rFonts w:ascii="Times New Roman" w:hAnsi="Times New Roman"/>
                <w:sz w:val="24"/>
              </w:rPr>
              <w:t>ντας τους συντελεστές στάθμισης κινδύνου των οντοτήτων αναφοράς (ά</w:t>
            </w:r>
            <w:r>
              <w:rPr>
                <w:rFonts w:ascii="Times New Roman" w:hAnsi="Times New Roman"/>
                <w:sz w:val="24"/>
              </w:rPr>
              <w:t>ρ</w:t>
            </w:r>
            <w:r>
              <w:rPr>
                <w:rFonts w:ascii="Times New Roman" w:hAnsi="Times New Roman"/>
                <w:sz w:val="24"/>
              </w:rPr>
              <w:t>θρο 332 παράγραφος 1 στοιχείο ε) πρώτο και δεύτερο εδάφιο του ΚΚΑ – «εξ</w:t>
            </w:r>
            <w:r>
              <w:rPr>
                <w:rFonts w:ascii="Times New Roman" w:hAnsi="Times New Roman"/>
                <w:sz w:val="24"/>
              </w:rPr>
              <w:t>έ</w:t>
            </w:r>
            <w:r>
              <w:rPr>
                <w:rFonts w:ascii="Times New Roman" w:hAnsi="Times New Roman"/>
                <w:sz w:val="24"/>
              </w:rPr>
              <w:t>ταση»). Τα πιστωτικά παράγωγα νιοστού βαθμού αθέτησης που διαβαθμίζ</w:t>
            </w:r>
            <w:r>
              <w:rPr>
                <w:rFonts w:ascii="Times New Roman" w:hAnsi="Times New Roman"/>
                <w:sz w:val="24"/>
              </w:rPr>
              <w:t>ο</w:t>
            </w:r>
            <w:r>
              <w:rPr>
                <w:rFonts w:ascii="Times New Roman" w:hAnsi="Times New Roman"/>
                <w:sz w:val="24"/>
              </w:rPr>
              <w:t xml:space="preserve">νται εξωτερικά (άρθρο 332 παράγραφος 1 στοιχείο ε) τρίτο εδάφιο του ΚΚΑ) αναφέρονται χωριστά στη γραμμή 321.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u w:val="single"/>
              </w:rPr>
              <w:t>Αναφορά θέσεων υποκείμενων στο άρθρο 336 παράγραφος 3 του ΚΚΑ</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Πρόκειται για ειδική αντιμετώπιση ομολόγων που λαμβάνουν συντελεστή στάθμισης κινδύνου 10 % εντός του τραπεζικού χαρτοφυλακίου, σύμφωνα με το άρθρο 129 παράγραφος 3 του ΚΚΑ (καλυμμένα ομόλογα). Οι ειδικές απα</w:t>
            </w:r>
            <w:r>
              <w:rPr>
                <w:rFonts w:ascii="Times New Roman" w:hAnsi="Times New Roman"/>
                <w:sz w:val="24"/>
              </w:rPr>
              <w:t>ι</w:t>
            </w:r>
            <w:r>
              <w:rPr>
                <w:rFonts w:ascii="Times New Roman" w:hAnsi="Times New Roman"/>
                <w:sz w:val="24"/>
              </w:rPr>
              <w:t>τήσεις ιδίων κεφαλαίων είναι το ήμισυ του ποσοστού της δεύτερης κατηγορίας του πίνακα 1 του άρθρου 336 του ΚΚΑ. Οι θέσεις αυτές πρέπει να καταλογ</w:t>
            </w:r>
            <w:r>
              <w:rPr>
                <w:rFonts w:ascii="Times New Roman" w:hAnsi="Times New Roman"/>
                <w:sz w:val="24"/>
              </w:rPr>
              <w:t>ί</w:t>
            </w:r>
            <w:r>
              <w:rPr>
                <w:rFonts w:ascii="Times New Roman" w:hAnsi="Times New Roman"/>
                <w:sz w:val="24"/>
              </w:rPr>
              <w:t>ζονται στις γραμμές 280-300 ανάλογα με την εναπομένουσα διάρκεια μέχρι την τελική ληκτότητα.</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Εάν ο γενικός κίνδυνος των θέσεων επιτοκίου αντισταθμίζεται με πιστωτικό παράγωγο, εφαρμόζονται τα άρθρα 346 και 347.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325</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Απαίτηση ιδίων κεφαλαίων για μέσα τιτλοποίησης</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Συνολικές απαιτήσεις ιδίων κεφαλαίων που αναφέρονται στη στήλη 610 του υποδείγματος MKR SA SEC. Αναφέρονται μόνο στο επίπεδο «Σύνολο» του υποδείγματος MKR SA TDI.</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330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Απαίτηση ιδίων κεφαλαίων για το χαρτοφυλάκιο διαπραγμάτευσης σ</w:t>
            </w:r>
            <w:r>
              <w:rPr>
                <w:rFonts w:ascii="Times New Roman" w:hAnsi="Times New Roman"/>
                <w:b/>
                <w:sz w:val="24"/>
                <w:u w:val="single"/>
              </w:rPr>
              <w:t>υ</w:t>
            </w:r>
            <w:r>
              <w:rPr>
                <w:rFonts w:ascii="Times New Roman" w:hAnsi="Times New Roman"/>
                <w:b/>
                <w:sz w:val="24"/>
                <w:u w:val="single"/>
              </w:rPr>
              <w:t>σχετίσεων</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Συνολικές απαιτήσεις ιδίων κεφαλαίων που αναφέρονται στη στήλη 450 του υποδείγματος MKR SA CTP. Αναφέρονται μόνο στο επίπεδο «Σύνολο» του υποδείγματος MKR SA TDI.</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350-390</w:t>
            </w:r>
          </w:p>
        </w:tc>
        <w:tc>
          <w:tcPr>
            <w:tcW w:w="7875"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ΠΡΟΣΘΕΤΕΣ ΑΠΑΙΤΗΣΕΙΣ ΓΙΑ ΤΑ ΔΙΚΑΙΩΜΑΤΑ ΠΡΟΑΙΡΕΣΗΣ (ΚΙΝΔΥΝΟΙ ΠΟΥ ΔΕΝ ΥΠΟΚΕΙΝΤΑΙ ΣΤΟΝ ΣΥΝΤΕΛΕΣΤΗ ΔΕΛΤΑ)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Άρθρο 329 παράγραφος 3 του ΚΚΑ</w:t>
            </w:r>
          </w:p>
          <w:p w:rsidR="000B0B09" w:rsidRPr="00392FFD" w:rsidRDefault="000B0B09" w:rsidP="000B0B09">
            <w:pPr>
              <w:autoSpaceDE w:val="0"/>
              <w:autoSpaceDN w:val="0"/>
              <w:adjustRightInd w:val="0"/>
              <w:spacing w:before="0" w:after="0"/>
              <w:rPr>
                <w:rFonts w:ascii="Times New Roman" w:hAnsi="Times New Roman"/>
                <w:sz w:val="24"/>
              </w:rPr>
            </w:pPr>
          </w:p>
          <w:p w:rsidR="00D96E61"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πρόσθετες απαιτήσεις για τα δικαιώματα προαίρεσης που σχετίζονται με κινδύνους που δεν υπόκεινται στον συντελεστή δέλτα αναφέρονται στη μέθοδο που χρησιμοποιείται για τον υπολογισμό τους.</w:t>
            </w:r>
          </w:p>
          <w:p w:rsidR="000B0B09" w:rsidRPr="00392FFD" w:rsidRDefault="000B0B09" w:rsidP="00D96E61">
            <w:pPr>
              <w:autoSpaceDE w:val="0"/>
              <w:autoSpaceDN w:val="0"/>
              <w:adjustRightInd w:val="0"/>
              <w:spacing w:before="0" w:after="0"/>
              <w:rPr>
                <w:rFonts w:ascii="Times New Roman" w:hAnsi="Times New Roman"/>
                <w:bCs/>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34" w:name="_Toc294172370"/>
      <w:bookmarkStart w:id="535" w:name="_Toc295829999"/>
      <w:bookmarkStart w:id="536" w:name="_Toc308426676"/>
      <w:bookmarkStart w:id="537" w:name="_Toc310415060"/>
      <w:bookmarkStart w:id="538" w:name="_Toc360188395"/>
      <w:bookmarkStart w:id="539" w:name="_Toc516210686"/>
      <w:bookmarkStart w:id="540" w:name="_Toc473561035"/>
      <w:r>
        <w:rPr>
          <w:rFonts w:ascii="Times New Roman" w:hAnsi="Times New Roman"/>
          <w:sz w:val="24"/>
          <w:u w:val="none"/>
        </w:rPr>
        <w:t>5.2.</w:t>
      </w:r>
      <w:r>
        <w:tab/>
      </w:r>
      <w:r>
        <w:rPr>
          <w:rFonts w:ascii="Times New Roman" w:hAnsi="Times New Roman"/>
          <w:sz w:val="24"/>
        </w:rPr>
        <w:t>C 19.00 – ΚΙΝΔΥΝΟΣ ΑΓΟΡΑΣ: ΤΥΠΟΠΟΙΗΜΕΝΗ ΠΡΟΣΕΓΓΙΣΗ ΓΙΑ ΤΟΝ Ε</w:t>
      </w:r>
      <w:r>
        <w:rPr>
          <w:rFonts w:ascii="Times New Roman" w:hAnsi="Times New Roman"/>
          <w:sz w:val="24"/>
        </w:rPr>
        <w:t>Ι</w:t>
      </w:r>
      <w:r>
        <w:rPr>
          <w:rFonts w:ascii="Times New Roman" w:hAnsi="Times New Roman"/>
          <w:sz w:val="24"/>
        </w:rPr>
        <w:t>ΔΙΚΟ ΚΙΝΔΥΝΟ ΣΕ ΤΙΤΛΟΠΟΙΗΣΕΙΣ (MKR SA SEC)</w:t>
      </w:r>
      <w:bookmarkEnd w:id="534"/>
      <w:bookmarkEnd w:id="535"/>
      <w:bookmarkEnd w:id="536"/>
      <w:bookmarkEnd w:id="537"/>
      <w:bookmarkEnd w:id="538"/>
      <w:bookmarkEnd w:id="539"/>
      <w:bookmarkEnd w:id="540"/>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41" w:name="_Toc294172371"/>
      <w:bookmarkStart w:id="542" w:name="_Toc295830000"/>
      <w:bookmarkStart w:id="543" w:name="_Toc308426677"/>
      <w:bookmarkStart w:id="544" w:name="_Toc310415061"/>
      <w:bookmarkStart w:id="545" w:name="_Toc360188396"/>
      <w:bookmarkStart w:id="546" w:name="_Toc516210687"/>
      <w:bookmarkStart w:id="547" w:name="_Toc473561036"/>
      <w:r>
        <w:rPr>
          <w:rFonts w:ascii="Times New Roman" w:hAnsi="Times New Roman"/>
          <w:sz w:val="24"/>
          <w:u w:val="none"/>
        </w:rPr>
        <w:t>5.2.1.</w:t>
      </w:r>
      <w:r>
        <w:tab/>
      </w:r>
      <w:r>
        <w:rPr>
          <w:rFonts w:ascii="Times New Roman" w:hAnsi="Times New Roman"/>
          <w:sz w:val="24"/>
        </w:rPr>
        <w:t>Γενικές παρατηρήσεις</w:t>
      </w:r>
      <w:bookmarkEnd w:id="541"/>
      <w:bookmarkEnd w:id="542"/>
      <w:bookmarkEnd w:id="543"/>
      <w:bookmarkEnd w:id="544"/>
      <w:bookmarkEnd w:id="545"/>
      <w:bookmarkEnd w:id="546"/>
      <w:bookmarkEnd w:id="547"/>
    </w:p>
    <w:p w:rsidR="000B0B09" w:rsidRDefault="00125707" w:rsidP="00C37B29">
      <w:pPr>
        <w:pStyle w:val="InstructionsText2"/>
        <w:numPr>
          <w:ilvl w:val="0"/>
          <w:numId w:val="0"/>
        </w:numPr>
        <w:ind w:left="993"/>
      </w:pPr>
      <w:r>
        <w:t>141.</w:t>
      </w:r>
      <w:r>
        <w:tab/>
        <w:t>Στο συγκεκριμένο υπόδειγμα ζητούνται πληροφορίες για θέσεις (συνολ</w:t>
      </w:r>
      <w:r>
        <w:t>ι</w:t>
      </w:r>
      <w:r>
        <w:t>κές/καθαρές και θετικές/αρνητικές) και τις σχετικές απαιτήσεις ιδίων κεφαλαίων για τη συνιστώσα ειδικού κινδύνου του κινδύνου θέσης σε τιτλοποιήσεις / επαν</w:t>
      </w:r>
      <w:r>
        <w:t>α</w:t>
      </w:r>
      <w:r>
        <w:t>τιτλοποιήσεις που τηρούνται στο χαρτοφυλάκιο συναλλαγών (μη επιλέξιμες για το χαρτοφυλάκιο διαπραγμάτευσης συσχετίσεων), με βάση την τυποποιημένη πρ</w:t>
      </w:r>
      <w:r>
        <w:t>ο</w:t>
      </w:r>
      <w:r>
        <w:t>σέγγιση. Σε ημερομηνίες αναφοράς για υποβολή αναφορών που είναι μεταγενέστ</w:t>
      </w:r>
      <w:r>
        <w:t>ε</w:t>
      </w:r>
      <w:r>
        <w:t>ρες της 1ης Ιανουαρίου 2019, οι τιτλοποιήσεις που τηρούνται στο χαρτοφυλάκιο συναλλαγών, των οποίων η απαίτηση ιδίων κεφαλαίων για τον ειδικό κίνδυνο προσδιορίζεται βάσει του ΚΚΑ, δηλαδή όταν η απαίτηση ιδίων κεφαλαίων υπολ</w:t>
      </w:r>
      <w:r>
        <w:t>ο</w:t>
      </w:r>
      <w:r>
        <w:t xml:space="preserve">γίζεται σύμφωνα με το αναθεωρημένο πλαίσιο τιτλοποίησης, δεν αναφέρονται στο παρόν υπόδειγμα, αλλά μόνο στο υπόδειγμα C 02.00. Ομοίως, σε ημερομηνίες </w:t>
      </w:r>
      <w:r>
        <w:t>α</w:t>
      </w:r>
      <w:r>
        <w:t>ναφοράς για υποβολή αναφορών που είναι μεταγενέστερες της 1ης Ιανουαρίου 2019, οι θέσεις τιτλοποίησης, στις οποίες εφαρμόζεται συντελεστής στάθμισης κι</w:t>
      </w:r>
      <w:r>
        <w:t>ν</w:t>
      </w:r>
      <w:r>
        <w:t>δύνου 1 250 %, σύμφωνα με τον ΚΚΑ, και οι οποίες αφαιρούνται από το κεφάλαιο CET1, σύμφωνα με το άρθρο 36 παράγραφος 1 στοιχείο ια) σημείο ii) του ΚΚΑ, δεν αναφέρονται στο παρόν υπόδειγμα, αλλά μόνο στο υπόδειγμα C 01.00.</w:t>
      </w:r>
    </w:p>
    <w:p w:rsidR="00E50E79" w:rsidRPr="00392FFD" w:rsidRDefault="00FF1422" w:rsidP="00C37B29">
      <w:pPr>
        <w:pStyle w:val="InstructionsText2"/>
        <w:numPr>
          <w:ilvl w:val="0"/>
          <w:numId w:val="0"/>
        </w:numPr>
        <w:ind w:left="993"/>
      </w:pPr>
      <w:r>
        <w:lastRenderedPageBreak/>
        <w:t>141α. Για τους σκοπούς του παρόντος υποδείγματος, όλες οι παραπομπές στα ά</w:t>
      </w:r>
      <w:r>
        <w:t>ρ</w:t>
      </w:r>
      <w:r>
        <w:t>θρα του τρίτου μέρους τίτλος II κεφάλαιο 5 του ΚΚΑ και στο άρθρο 337 του ΚΚΑ νοούνται ως παραπομπές στον ΚΚΑ, στην έκδοση σε ισχύ την 31η Δεκεμβρίου 2018.</w:t>
      </w:r>
    </w:p>
    <w:p w:rsidR="000B0B09" w:rsidRPr="00392FFD" w:rsidRDefault="00125707" w:rsidP="00C37B29">
      <w:pPr>
        <w:pStyle w:val="InstructionsText2"/>
        <w:numPr>
          <w:ilvl w:val="0"/>
          <w:numId w:val="0"/>
        </w:numPr>
        <w:ind w:left="993"/>
      </w:pPr>
      <w:r>
        <w:t>142.</w:t>
      </w:r>
      <w:r>
        <w:tab/>
        <w:t>Το υπόδειγμα MKR SA SEC προσδιορίζει την απαίτηση ιδίων κεφαλαίων μ</w:t>
      </w:r>
      <w:r>
        <w:t>ό</w:t>
      </w:r>
      <w:r>
        <w:t>νο για τον ειδικό κίνδυνο θέσεων τιτλοποίησης, σύμφωνα με το άρθρο 335 σε συ</w:t>
      </w:r>
      <w:r>
        <w:t>ν</w:t>
      </w:r>
      <w:r>
        <w:t>δυασμό με το άρθρο 337 του ΚΚΑ. Εάν οι θέσεις τιτλοποίησης του χαρτοφυλακίου συναλλαγών αντισταθμίζονται με πιστωτικά παράγωγα, εφαρμόζονται τα ά</w:t>
      </w:r>
      <w:r>
        <w:t>ρ</w:t>
      </w:r>
      <w:r>
        <w:t>θρα 346 και 347 του ΚΚΑ. Υπάρχει μόνον ένα υπόδειγμα για όλες τις θέσεις του χαρτοφυλακίου συναλλαγών, ανεξαρτήτως του αν το ίδρυμα χρησιμοποιεί την τ</w:t>
      </w:r>
      <w:r>
        <w:t>υ</w:t>
      </w:r>
      <w:r>
        <w:t>ποποιημένη προσέγγιση ή την προσέγγιση των εσωτερικών διαβαθμίσεων για τον προσδιορισμό του συντελεστή στάθμισης κινδύνου για καθεμία από τις θέσεις, σύμφωνα με το τρίτο μέρος τίτλος II κεφάλαιο 5 του ΚΚΑ. Η αναφορά των απα</w:t>
      </w:r>
      <w:r>
        <w:t>ι</w:t>
      </w:r>
      <w:r>
        <w:t>τήσεων ιδίων κεφαλαίων του γενικού κινδύνου των θέσεων αυτών διενεργείται στο υπόδειγμα MKR SA TDI ή στο υπόδειγμα MKR IM.</w:t>
      </w:r>
    </w:p>
    <w:p w:rsidR="00606885" w:rsidRPr="00392FFD" w:rsidRDefault="00125707" w:rsidP="00C37B29">
      <w:pPr>
        <w:pStyle w:val="InstructionsText2"/>
        <w:numPr>
          <w:ilvl w:val="0"/>
          <w:numId w:val="0"/>
        </w:numPr>
        <w:ind w:left="993"/>
      </w:pPr>
      <w:r>
        <w:t>143.</w:t>
      </w:r>
      <w:r>
        <w:tab/>
        <w:t>Οι θέσεις που λαμβάνουν συντελεστή στάθμισης 1 250 % μπορούν εναλλακτ</w:t>
      </w:r>
      <w:r>
        <w:t>ι</w:t>
      </w:r>
      <w:r>
        <w:t>κά να αφαιρεθούν από το κεφάλαιο CET1 (βλέπε άρθρο 243 παράγραφος 1 στο</w:t>
      </w:r>
      <w:r>
        <w:t>ι</w:t>
      </w:r>
      <w:r>
        <w:t>χείο β), άρθρο 244 παράγραφος 1 στοιχείο β) και άρθρο 258 του ΚΚΑ). Στην περ</w:t>
      </w:r>
      <w:r>
        <w:t>ί</w:t>
      </w:r>
      <w:r>
        <w:t>πτωση αυτή, οι θέσεις αυτές πρέπει να αναφέρονται στη γραμμή 460 του υποδεί</w:t>
      </w:r>
      <w:r>
        <w:t>γ</w:t>
      </w:r>
      <w:r>
        <w:t>ματος CA1.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48" w:name="_Toc294172372"/>
      <w:bookmarkStart w:id="549" w:name="_Toc295830001"/>
      <w:bookmarkStart w:id="550" w:name="_Toc308426678"/>
      <w:bookmarkStart w:id="551" w:name="_Toc310415062"/>
      <w:bookmarkStart w:id="552" w:name="_Toc360188397"/>
      <w:bookmarkStart w:id="553" w:name="_Toc516210688"/>
      <w:bookmarkStart w:id="554" w:name="_Toc473561037"/>
      <w:r>
        <w:rPr>
          <w:rFonts w:ascii="Times New Roman" w:hAnsi="Times New Roman"/>
          <w:sz w:val="24"/>
          <w:u w:val="none"/>
        </w:rPr>
        <w:t>5.2.2.</w:t>
      </w:r>
      <w:r>
        <w:tab/>
      </w:r>
      <w:r>
        <w:rPr>
          <w:rFonts w:ascii="Times New Roman" w:hAnsi="Times New Roman"/>
          <w:sz w:val="24"/>
        </w:rPr>
        <w:t>Οδηγίες για συγκεκριμένες θέσεις</w:t>
      </w:r>
      <w:bookmarkEnd w:id="548"/>
      <w:bookmarkEnd w:id="549"/>
      <w:bookmarkEnd w:id="550"/>
      <w:bookmarkEnd w:id="551"/>
      <w:bookmarkEnd w:id="552"/>
      <w:bookmarkEnd w:id="553"/>
      <w:bookmarkEnd w:id="5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3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Άρθρο 102 και άρθρο 105 παράγραφος 1 του ΚΚΑ, σε συνδυασμό με το ά</w:t>
            </w:r>
            <w:r>
              <w:rPr>
                <w:rStyle w:val="InstructionsTabelleText"/>
                <w:rFonts w:ascii="Times New Roman" w:hAnsi="Times New Roman"/>
                <w:sz w:val="24"/>
              </w:rPr>
              <w:t>ρ</w:t>
            </w:r>
            <w:r>
              <w:rPr>
                <w:rStyle w:val="InstructionsTabelleText"/>
                <w:rFonts w:ascii="Times New Roman" w:hAnsi="Times New Roman"/>
                <w:sz w:val="24"/>
              </w:rPr>
              <w:t>θρο 337 του ΚΚΑ (θέσεις τιτλοποίησης). Όσον αφορά τη διάκριση μεταξύ θ</w:t>
            </w:r>
            <w:r>
              <w:rPr>
                <w:rStyle w:val="InstructionsTabelleText"/>
                <w:rFonts w:ascii="Times New Roman" w:hAnsi="Times New Roman"/>
                <w:sz w:val="24"/>
              </w:rPr>
              <w:t>ε</w:t>
            </w:r>
            <w:r>
              <w:rPr>
                <w:rStyle w:val="InstructionsTabelleText"/>
                <w:rFonts w:ascii="Times New Roman" w:hAnsi="Times New Roman"/>
                <w:sz w:val="24"/>
              </w:rPr>
              <w:t>τικών και αρνητικών θέσεων, που ισχύει επίσης για τις συγκεκριμένες ακαθ</w:t>
            </w:r>
            <w:r>
              <w:rPr>
                <w:rStyle w:val="InstructionsTabelleText"/>
                <w:rFonts w:ascii="Times New Roman" w:hAnsi="Times New Roman"/>
                <w:sz w:val="24"/>
              </w:rPr>
              <w:t>ά</w:t>
            </w:r>
            <w:r>
              <w:rPr>
                <w:rStyle w:val="InstructionsTabelleText"/>
                <w:rFonts w:ascii="Times New Roman" w:hAnsi="Times New Roman"/>
                <w:sz w:val="24"/>
              </w:rPr>
              <w:t xml:space="preserve">ριστες θέσεις, βλέπε άρθρο 328 παράγραφος 2 του ΚΚΑ.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ΘΕΣΕΙΣ ΠΟΥ ΑΦΑΙΡΟΥΝΤΑΙ ΑΠΟ ΤΑ ΙΔΙΑ ΚΕΦΑΛΑΙΑ (ΘΕΤ</w:t>
            </w:r>
            <w:r>
              <w:rPr>
                <w:rStyle w:val="InstructionsTabelleberschrift"/>
                <w:rFonts w:ascii="Times New Roman" w:hAnsi="Times New Roman"/>
                <w:sz w:val="24"/>
              </w:rPr>
              <w:t>Ι</w:t>
            </w:r>
            <w:r>
              <w:rPr>
                <w:rStyle w:val="InstructionsTabelleberschrift"/>
                <w:rFonts w:ascii="Times New Roman" w:hAnsi="Times New Roman"/>
                <w:sz w:val="24"/>
              </w:rPr>
              <w:t>ΚΕΣ ΚΑΙ ΑΡΝΗΤΙΚΕΣ)</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Άρθρο 258 του ΚΚΑ</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ΚΑΘΑΡΕΣ ΘΕΣΕΙΣ (ΘΕΤΙΚΕΣ ΚΑΙ ΑΡΝΗΤΙΚΕΣ)</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Άρθρα 327 έως 329 και άρθρο 334 του ΚΚΑ Όσον αφορά τη διάκριση μεταξύ θετικών και αρνητικών θέσεων, βλέπε άρθρο 328 παράγραφος 2 του ΚΚΑ.</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ΚΑΤΑΝΟΜΗ ΤΩΝ ΚΑΘΑΡΩΝ ΘΕΣΕΩΝ ΣΥΜΦΩΝΑ ΜΕ ΤΟΥΣ Σ</w:t>
            </w:r>
            <w:r>
              <w:rPr>
                <w:rFonts w:ascii="Times New Roman" w:hAnsi="Times New Roman"/>
                <w:b/>
                <w:sz w:val="24"/>
                <w:u w:val="single"/>
              </w:rPr>
              <w:t>Υ</w:t>
            </w:r>
            <w:r>
              <w:rPr>
                <w:rFonts w:ascii="Times New Roman" w:hAnsi="Times New Roman"/>
                <w:b/>
                <w:sz w:val="24"/>
                <w:u w:val="single"/>
              </w:rPr>
              <w:t>ΝΤΕΛΕΣΤΕΣ ΣΤΑΘΜΙΣΗΣ ΚΙΝΔΥΝΟΥ</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Άρθρο 251 (πίνακας 1) και άρθρο 261 παράγραφος 1 (πίνακας 4) του ΚΚΑ Η κατανομή πρέπει να πραγματοποιείται χωριστά για τις θετικές και για τις α</w:t>
            </w:r>
            <w:r>
              <w:rPr>
                <w:rStyle w:val="InstructionsTabelleText"/>
                <w:rFonts w:ascii="Times New Roman" w:hAnsi="Times New Roman"/>
                <w:sz w:val="24"/>
              </w:rPr>
              <w:t>ρ</w:t>
            </w:r>
            <w:r>
              <w:rPr>
                <w:rStyle w:val="InstructionsTabelleText"/>
                <w:rFonts w:ascii="Times New Roman" w:hAnsi="Times New Roman"/>
                <w:sz w:val="24"/>
              </w:rPr>
              <w:t>νητικές θέσεις.</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230-240 και </w:t>
            </w:r>
            <w:r>
              <w:rPr>
                <w:rFonts w:ascii="Times New Roman" w:hAnsi="Times New Roman"/>
                <w:sz w:val="24"/>
              </w:rPr>
              <w:lastRenderedPageBreak/>
              <w:t>460-470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lastRenderedPageBreak/>
              <w:t>1 250 %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Άρθρο 251 (πίνακας 1) και άρθρο 261 παράγραφος 1 (πίνακας 4) του ΚΚΑ</w:t>
            </w:r>
          </w:p>
        </w:tc>
      </w:tr>
      <w:tr w:rsidR="000B0B09" w:rsidRPr="00392FFD" w:rsidTr="00672D2A">
        <w:trPr>
          <w:trHeight w:val="1706"/>
        </w:trPr>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250-260 και 480-490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ΜΕΘΟΔΟΣ ΕΠΟΠΤΙΚΟΥ ΥΠΟΔΕΙΓΜΑΤΟΣ</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Άρθρο 337 παράγραφος 2 του ΚΚΑ, σε συνδυασμό με το άρθρο 262 του ΚΚΑ </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Οι συγκεκριμένες στήλες υποβάλλονται όταν το ίδρυμα χρησιμοποιεί την </w:t>
            </w:r>
            <w:r>
              <w:rPr>
                <w:rStyle w:val="InstructionsTabelleText"/>
                <w:rFonts w:ascii="Times New Roman" w:hAnsi="Times New Roman"/>
                <w:sz w:val="24"/>
              </w:rPr>
              <w:t>ε</w:t>
            </w:r>
            <w:r>
              <w:rPr>
                <w:rStyle w:val="InstructionsTabelleText"/>
                <w:rFonts w:ascii="Times New Roman" w:hAnsi="Times New Roman"/>
                <w:sz w:val="24"/>
              </w:rPr>
              <w:t>ναλλακτική προσέγγιση του εποπτικού υποδείγματος (SFA), με την οποία οι απαιτήσεις ιδίων κεφαλαίων προσδιορίζονται ως συνάρτηση των χαρακτηρ</w:t>
            </w:r>
            <w:r>
              <w:rPr>
                <w:rStyle w:val="InstructionsTabelleText"/>
                <w:rFonts w:ascii="Times New Roman" w:hAnsi="Times New Roman"/>
                <w:sz w:val="24"/>
              </w:rPr>
              <w:t>ι</w:t>
            </w:r>
            <w:r>
              <w:rPr>
                <w:rStyle w:val="InstructionsTabelleText"/>
                <w:rFonts w:ascii="Times New Roman" w:hAnsi="Times New Roman"/>
                <w:sz w:val="24"/>
              </w:rPr>
              <w:t>στικών της ομάδας εξασφαλίσεων και των συμβατικών ιδιοτήτων του τμήμ</w:t>
            </w:r>
            <w:r>
              <w:rPr>
                <w:rStyle w:val="InstructionsTabelleText"/>
                <w:rFonts w:ascii="Times New Roman" w:hAnsi="Times New Roman"/>
                <w:sz w:val="24"/>
              </w:rPr>
              <w:t>α</w:t>
            </w:r>
            <w:r>
              <w:rPr>
                <w:rStyle w:val="InstructionsTabelleText"/>
                <w:rFonts w:ascii="Times New Roman" w:hAnsi="Times New Roman"/>
                <w:sz w:val="24"/>
              </w:rPr>
              <w:t xml:space="preserve">τος της τιτλοποίησης. </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rPr>
          <w:trHeight w:val="2254"/>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270 και 500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ΕΞΕΤΑΣΗ</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ΤΥΠΟΠΟΙΗΜΕΝΗ ΠΡΟΣΕΓΓΙΣΗ (SA): Άρθρο 253, άρθρο 254 και ά</w:t>
            </w:r>
            <w:r>
              <w:rPr>
                <w:rStyle w:val="InstructionsTabelleText"/>
                <w:rFonts w:ascii="Times New Roman" w:hAnsi="Times New Roman"/>
                <w:sz w:val="24"/>
              </w:rPr>
              <w:t>ρ</w:t>
            </w:r>
            <w:r>
              <w:rPr>
                <w:rStyle w:val="InstructionsTabelleText"/>
                <w:rFonts w:ascii="Times New Roman" w:hAnsi="Times New Roman"/>
                <w:sz w:val="24"/>
              </w:rPr>
              <w:t>θρο 256 παράγραφος 5 του ΚΚΑ Οι στήλες εξέτασης περιλαμβάνουν όλες τις περιπτώσεις μη διαβαθμισμένων ανοιγμάτων των οποίων ο συντελεστής στά</w:t>
            </w:r>
            <w:r>
              <w:rPr>
                <w:rStyle w:val="InstructionsTabelleText"/>
                <w:rFonts w:ascii="Times New Roman" w:hAnsi="Times New Roman"/>
                <w:sz w:val="24"/>
              </w:rPr>
              <w:t>θ</w:t>
            </w:r>
            <w:r>
              <w:rPr>
                <w:rStyle w:val="InstructionsTabelleText"/>
                <w:rFonts w:ascii="Times New Roman" w:hAnsi="Times New Roman"/>
                <w:sz w:val="24"/>
              </w:rPr>
              <w:t>μισης κινδύνου λαμβάνεται από το υποκείμενο χαρτοφυλάκιο ανοιγμάτων (μ</w:t>
            </w:r>
            <w:r>
              <w:rPr>
                <w:rStyle w:val="InstructionsTabelleText"/>
                <w:rFonts w:ascii="Times New Roman" w:hAnsi="Times New Roman"/>
                <w:sz w:val="24"/>
              </w:rPr>
              <w:t>έ</w:t>
            </w:r>
            <w:r>
              <w:rPr>
                <w:rStyle w:val="InstructionsTabelleText"/>
                <w:rFonts w:ascii="Times New Roman" w:hAnsi="Times New Roman"/>
                <w:sz w:val="24"/>
              </w:rPr>
              <w:t>σος συντελεστής στάθμισης κινδύνου της ομάδας, μέγιστος συντελεστής στάθμισης κινδύνου της ομάδας ή χρήση ενός δείκτη συγκέντρωσης).</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ΠΡΟΣΕΓΓΙΣΗ ΤΩΝ ΕΣΩΤΕΡΙΚΩΝ ΔΙΑΒΑΘΜΙΣΕΩΝ (IRB): Άρθρο 263 παράγραφοι 2 και 3 του ΚΚΑ Για την πρόωρη εξόφληση, βλέπε άρθρο 265 παράγραφος 1 και άρθρο 256 παράγραφος 5 του ΚΚΑ.</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280-290 / 510-520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ΕΣΩΤΕΡΙΚΗΣ ΑΞΙΟΛΟΓΗΣΗΣ</w:t>
            </w:r>
          </w:p>
          <w:p w:rsidR="000B0B09" w:rsidRPr="00392FFD" w:rsidRDefault="000B0B09" w:rsidP="000B0B09">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t>Άρθρο 109 παράγραφος 1 δεύτερη περίοδος και άρθρο 259 παράγραφοι 3 και 4 του ΚΚΑ</w:t>
            </w:r>
          </w:p>
          <w:p w:rsidR="000B0B09" w:rsidRPr="00392FFD" w:rsidRDefault="000B0B09" w:rsidP="000B0B09">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t>Οι συγκεκριμένες στήλες υποβάλλονται όταν το ίδρυμα χρησιμοποιεί την πρ</w:t>
            </w:r>
            <w:r>
              <w:rPr>
                <w:rStyle w:val="InstructionsTabelleText"/>
                <w:rFonts w:ascii="Times New Roman" w:hAnsi="Times New Roman"/>
                <w:sz w:val="24"/>
              </w:rPr>
              <w:t>ο</w:t>
            </w:r>
            <w:r>
              <w:rPr>
                <w:rStyle w:val="InstructionsTabelleText"/>
                <w:rFonts w:ascii="Times New Roman" w:hAnsi="Times New Roman"/>
                <w:sz w:val="24"/>
              </w:rPr>
              <w:t>σέγγιση εσωτερικής αξιολόγησης για τον προσδιορισμό της κεφαλαιακής επ</w:t>
            </w:r>
            <w:r>
              <w:rPr>
                <w:rStyle w:val="InstructionsTabelleText"/>
                <w:rFonts w:ascii="Times New Roman" w:hAnsi="Times New Roman"/>
                <w:sz w:val="24"/>
              </w:rPr>
              <w:t>ι</w:t>
            </w:r>
            <w:r>
              <w:rPr>
                <w:rStyle w:val="InstructionsTabelleText"/>
                <w:rFonts w:ascii="Times New Roman" w:hAnsi="Times New Roman"/>
                <w:sz w:val="24"/>
              </w:rPr>
              <w:t>βάρυνσης για ταμειακές διευκολύνσεις και πιστωτικές ενισχύσεις που χορ</w:t>
            </w:r>
            <w:r>
              <w:rPr>
                <w:rStyle w:val="InstructionsTabelleText"/>
                <w:rFonts w:ascii="Times New Roman" w:hAnsi="Times New Roman"/>
                <w:sz w:val="24"/>
              </w:rPr>
              <w:t>η</w:t>
            </w:r>
            <w:r>
              <w:rPr>
                <w:rStyle w:val="InstructionsTabelleText"/>
                <w:rFonts w:ascii="Times New Roman" w:hAnsi="Times New Roman"/>
                <w:sz w:val="24"/>
              </w:rPr>
              <w:t>γούν οι τράπεζες (συμπεριλαμβανομένων τρίτων τραπεζών) σε οντότητες έ</w:t>
            </w:r>
            <w:r>
              <w:rPr>
                <w:rStyle w:val="InstructionsTabelleText"/>
                <w:rFonts w:ascii="Times New Roman" w:hAnsi="Times New Roman"/>
                <w:sz w:val="24"/>
              </w:rPr>
              <w:t>κ</w:t>
            </w:r>
            <w:r>
              <w:rPr>
                <w:rStyle w:val="InstructionsTabelleText"/>
                <w:rFonts w:ascii="Times New Roman" w:hAnsi="Times New Roman"/>
                <w:sz w:val="24"/>
              </w:rPr>
              <w:t xml:space="preserve">δοσης προγραμμάτων ABCP. Η προσέγγιση της εσωτερικής αξιολόγησης (IAA), βάσει των μεθοδολογιών του ΕΟΠΑ, εφαρμόζεται μόνο σε ανοίγματα έναντι οντοτήτων έκδοσης προγραμμάτων ABCP που διαθέτουν εσωτερική </w:t>
            </w:r>
            <w:r>
              <w:rPr>
                <w:rStyle w:val="InstructionsTabelleText"/>
                <w:rFonts w:ascii="Times New Roman" w:hAnsi="Times New Roman"/>
                <w:sz w:val="24"/>
              </w:rPr>
              <w:t>α</w:t>
            </w:r>
            <w:r>
              <w:rPr>
                <w:rStyle w:val="InstructionsTabelleText"/>
                <w:rFonts w:ascii="Times New Roman" w:hAnsi="Times New Roman"/>
                <w:sz w:val="24"/>
              </w:rPr>
              <w:t>ξιολόγηση ισοδύναμη επενδυτικού βαθμού κατά την έναρξη.</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530-540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ΑΠΟΤΕΛΕΣΜΑ (ΠΡΟΣΑΡΜΟΓΗ) ΛΟΓΩ ΠΑΡΑΒΙΑΣΗΣ ΤΩΝ ΔΙΑΤΑΞΕΩΝ ΠΕΡΙ ΔΕΟΥΣΑΣ ΕΠΙΜΕΛΕΙΑΣ</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Άρθρο 337 παράγραφος 3 του ΚΚΑ, σε συνδυασμό με το άρθρο 407 του ΚΚΑ Άρθρο 14 παράγραφος 2 του ΚΚΑ</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550-570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ΣΤΑΘΜΙΣΜΕΝΕΣ ΚΑΘΑΡΕΣ ΘΕΤΙΚΕΣ/ΑΡΝΗΤΙΚΕΣ ΘΕΣΕΙΣ ΚΑΙ ΑΘΡΟΙΣΜΑ ΣΤΑΘΜΙΣΜΕΝΩΝ ΚΑΘΑΡΩΝ ΘΕΤΙΚΩΝ ΚΑΙ ΑΡΝ</w:t>
            </w:r>
            <w:r>
              <w:rPr>
                <w:rFonts w:ascii="Times New Roman" w:hAnsi="Times New Roman"/>
                <w:b/>
                <w:sz w:val="24"/>
                <w:u w:val="single"/>
              </w:rPr>
              <w:t>Η</w:t>
            </w:r>
            <w:r>
              <w:rPr>
                <w:rFonts w:ascii="Times New Roman" w:hAnsi="Times New Roman"/>
                <w:b/>
                <w:sz w:val="24"/>
                <w:u w:val="single"/>
              </w:rPr>
              <w:t>ΤΙΚΩΝ ΘΕΣΕΩΝ ΠΡΙΝ ΑΠΟ ΤΟ ΑΝΩΤΑΤΟ ΟΡΙΟ</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Άρθρο 337 του ΚΚΑ, χωρίς να λαμβάνεται υπόψη η διακριτική ευχέρεια που παρέχεται από το άρθρο 335 του ΚΚΑ, βάσει του οποίου επιτρέπεται σε ένα ίδρυμα να θέτει ανώτατο όριο στο προϊόν του συντελεστή στάθμισης και της καθαρής θέσης ίσο με τη μέγιστη πιθανή ζημία που σχετίζεται με τον κίνδυνο αθέτησης.</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580-</w:t>
            </w:r>
            <w:r>
              <w:rPr>
                <w:rFonts w:ascii="Times New Roman" w:hAnsi="Times New Roman"/>
                <w:sz w:val="24"/>
              </w:rPr>
              <w:lastRenderedPageBreak/>
              <w:t>600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lastRenderedPageBreak/>
              <w:t xml:space="preserve">ΣΤΑΘΜΙΣΜΕΝΕΣ ΚΑΘΑΡΕΣ ΘΕΤΙΚΕΣ/ΑΡΝΗΤΙΚΕΣ ΘΕΣΕΙΣ ΚΑΙ </w:t>
            </w:r>
            <w:r>
              <w:rPr>
                <w:rFonts w:ascii="Times New Roman" w:hAnsi="Times New Roman"/>
                <w:b/>
                <w:sz w:val="24"/>
                <w:u w:val="single"/>
              </w:rPr>
              <w:lastRenderedPageBreak/>
              <w:t>ΑΘΡΟΙΣΜΑ ΣΤΑΘΜΙΣΜΕΝΩΝ ΚΑΘΑΡΩΝ ΘΕΤΙΚΩΝ ΚΑΙ ΑΡΝ</w:t>
            </w:r>
            <w:r>
              <w:rPr>
                <w:rFonts w:ascii="Times New Roman" w:hAnsi="Times New Roman"/>
                <w:b/>
                <w:sz w:val="24"/>
                <w:u w:val="single"/>
              </w:rPr>
              <w:t>Η</w:t>
            </w:r>
            <w:r>
              <w:rPr>
                <w:rFonts w:ascii="Times New Roman" w:hAnsi="Times New Roman"/>
                <w:b/>
                <w:sz w:val="24"/>
                <w:u w:val="single"/>
              </w:rPr>
              <w:t>ΤΙΚΩΝ ΘΕΣΕΩΝ ΜΕΤΑ ΤΟ ΑΝΩΤΑΤΟ ΟΡΙΟ</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Άρθρο 337 του ΚΚΑ, λαμβανομένης υπόψη της διακριτικής ευχέρειας που π</w:t>
            </w:r>
            <w:r>
              <w:rPr>
                <w:rFonts w:ascii="Times New Roman" w:hAnsi="Times New Roman"/>
                <w:sz w:val="24"/>
              </w:rPr>
              <w:t>α</w:t>
            </w:r>
            <w:r>
              <w:rPr>
                <w:rFonts w:ascii="Times New Roman" w:hAnsi="Times New Roman"/>
                <w:sz w:val="24"/>
              </w:rPr>
              <w:t>ρέχεται από το άρθρο 335 του ΚΚΑ.</w:t>
            </w:r>
          </w:p>
        </w:tc>
      </w:tr>
      <w:tr w:rsidR="000B0B09" w:rsidRPr="00392FFD" w:rsidTr="00672D2A">
        <w:trPr>
          <w:trHeight w:val="416"/>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610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ΣΥΝΟΛΙΚΕΣ ΑΠΑΙΤΗΣΕΙΣ ΙΔΙΩΝ ΚΕΦΑΛΑΙΩΝ</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Σύμφωνα με το άρθρο 337 παράγραφος 4 του ΚΚΑ, για τη μεταβατική περί</w:t>
            </w:r>
            <w:r>
              <w:rPr>
                <w:rFonts w:ascii="Times New Roman" w:hAnsi="Times New Roman"/>
                <w:sz w:val="24"/>
              </w:rPr>
              <w:t>ο</w:t>
            </w:r>
            <w:r>
              <w:rPr>
                <w:rFonts w:ascii="Times New Roman" w:hAnsi="Times New Roman"/>
                <w:sz w:val="24"/>
              </w:rPr>
              <w:t>δο που λήγει στις 31 Δεκεμβρίου 2014, το ίδρυμα αθροίζει χωριστά τις στα</w:t>
            </w:r>
            <w:r>
              <w:rPr>
                <w:rFonts w:ascii="Times New Roman" w:hAnsi="Times New Roman"/>
                <w:sz w:val="24"/>
              </w:rPr>
              <w:t>θ</w:t>
            </w:r>
            <w:r>
              <w:rPr>
                <w:rFonts w:ascii="Times New Roman" w:hAnsi="Times New Roman"/>
                <w:sz w:val="24"/>
              </w:rPr>
              <w:t>μισμένες καθαρές θετικές θέσεις του (στήλη 580) και τις σταθμισμένες καθ</w:t>
            </w:r>
            <w:r>
              <w:rPr>
                <w:rFonts w:ascii="Times New Roman" w:hAnsi="Times New Roman"/>
                <w:sz w:val="24"/>
              </w:rPr>
              <w:t>α</w:t>
            </w:r>
            <w:r>
              <w:rPr>
                <w:rFonts w:ascii="Times New Roman" w:hAnsi="Times New Roman"/>
                <w:sz w:val="24"/>
              </w:rPr>
              <w:t>ρές αρνητικές θέσεις του (στήλη 590). Το μεγαλύτερο από τα αθροίσματα αυτά (μετά την εφαρμογή του ανώτατου ορίου) αποτελεί την απαίτηση ιδίων κεφ</w:t>
            </w:r>
            <w:r>
              <w:rPr>
                <w:rFonts w:ascii="Times New Roman" w:hAnsi="Times New Roman"/>
                <w:sz w:val="24"/>
              </w:rPr>
              <w:t>α</w:t>
            </w:r>
            <w:r>
              <w:rPr>
                <w:rFonts w:ascii="Times New Roman" w:hAnsi="Times New Roman"/>
                <w:sz w:val="24"/>
              </w:rPr>
              <w:t xml:space="preserve">λαίων. Από το 2015 και εξής, σύμφωνα με το άρθρο 337 παράγραφος 4 του ΚΚΑ, το ίδρυμα αθροίζει τις σταθμισμένες καθαρές θέσεις του, ανεξάρτητα από το αν είναι θετικές ή αρνητικές (στήλη 600), για τον υπολογισμό των </w:t>
            </w:r>
            <w:r>
              <w:rPr>
                <w:rFonts w:ascii="Times New Roman" w:hAnsi="Times New Roman"/>
                <w:sz w:val="24"/>
              </w:rPr>
              <w:t>α</w:t>
            </w:r>
            <w:r>
              <w:rPr>
                <w:rFonts w:ascii="Times New Roman" w:hAnsi="Times New Roman"/>
                <w:sz w:val="24"/>
              </w:rPr>
              <w:t>παιτήσεων ιδίων κεφαλαίων.</w:t>
            </w:r>
          </w:p>
        </w:tc>
      </w:tr>
    </w:tbl>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392FFD" w:rsidTr="00672D2A">
        <w:trPr>
          <w:trHeight w:val="537"/>
        </w:trPr>
        <w:tc>
          <w:tcPr>
            <w:tcW w:w="8862" w:type="dxa"/>
            <w:gridSpan w:val="2"/>
            <w:shd w:val="clear" w:color="auto" w:fill="BFBFBF"/>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rsidR="000B0B09" w:rsidRPr="00392FFD" w:rsidRDefault="000B0B09" w:rsidP="000B0B09">
            <w:pPr>
              <w:rPr>
                <w:rFonts w:ascii="Times New Roman" w:hAnsi="Times New Roman"/>
                <w:sz w:val="24"/>
              </w:rPr>
            </w:pPr>
            <w:r>
              <w:rPr>
                <w:rStyle w:val="InstructionsTabelleberschrift"/>
                <w:rFonts w:ascii="Times New Roman" w:hAnsi="Times New Roman"/>
                <w:sz w:val="24"/>
              </w:rPr>
              <w:t>ΣΥΝΟΛΙΚΑ ΑΝΟΙΓΜΑΤΑ</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Συνολικό ποσό εκκρεμών τιτλοποιήσεων (που τηρούνται στο χαρτοφυλάκιο συναλλαγών) τις οποίες αναφέρει το ίδρυμα που διαδραματίζει τον ρόλο (τους ρόλους) της μεταβιβάζουσας οντότητας και/ή του επενδυτή και/ή της αναδόχου οντότητας.</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040,070 και</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ΤΙΤΛΟΠΟΙΗΣΕΙΣ</w:t>
            </w:r>
          </w:p>
          <w:p w:rsidR="000B0B09" w:rsidRPr="00392FFD" w:rsidRDefault="000B0B09" w:rsidP="00BB73C8">
            <w:pPr>
              <w:autoSpaceDE w:val="0"/>
              <w:autoSpaceDN w:val="0"/>
              <w:adjustRightInd w:val="0"/>
              <w:spacing w:before="0" w:after="0"/>
              <w:rPr>
                <w:rFonts w:ascii="Times New Roman" w:hAnsi="Times New Roman"/>
                <w:bCs/>
                <w:sz w:val="24"/>
              </w:rPr>
            </w:pPr>
            <w:r>
              <w:rPr>
                <w:rFonts w:ascii="Times New Roman" w:hAnsi="Times New Roman"/>
                <w:sz w:val="24"/>
              </w:rPr>
              <w:t>Άρθρο 4 σημεία 61) και 62) του ΚΚΑ</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020,050,</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 και 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ΕΠΑΝΑΤΙΤΛΟΠΟΙΗΣΕΙΣ</w:t>
            </w:r>
          </w:p>
          <w:p w:rsidR="000B0B09" w:rsidRPr="00392FFD" w:rsidRDefault="000B0B09" w:rsidP="00E871FE">
            <w:pPr>
              <w:autoSpaceDE w:val="0"/>
              <w:autoSpaceDN w:val="0"/>
              <w:adjustRightInd w:val="0"/>
              <w:spacing w:before="0" w:after="0"/>
              <w:rPr>
                <w:rFonts w:ascii="Times New Roman" w:hAnsi="Times New Roman"/>
                <w:bCs/>
                <w:sz w:val="24"/>
              </w:rPr>
            </w:pPr>
            <w:r>
              <w:rPr>
                <w:rFonts w:ascii="Times New Roman" w:hAnsi="Times New Roman"/>
                <w:sz w:val="24"/>
              </w:rPr>
              <w:t>Άρθρο 4 σημείο 63) του ΚΚΑ</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030-050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ΜΕΤΑΒΙΒΑΖΟΥΣΑ ΟΝΤΟΤΗΤΑ</w:t>
            </w:r>
          </w:p>
          <w:p w:rsidR="000B0B09" w:rsidRPr="00392FFD" w:rsidRDefault="000B0B09" w:rsidP="00104A65">
            <w:pPr>
              <w:autoSpaceDE w:val="0"/>
              <w:autoSpaceDN w:val="0"/>
              <w:adjustRightInd w:val="0"/>
              <w:spacing w:before="0" w:after="0"/>
              <w:rPr>
                <w:rFonts w:ascii="Times New Roman" w:hAnsi="Times New Roman"/>
                <w:bCs/>
                <w:sz w:val="24"/>
              </w:rPr>
            </w:pPr>
            <w:r>
              <w:rPr>
                <w:rFonts w:ascii="Times New Roman" w:hAnsi="Times New Roman"/>
                <w:sz w:val="24"/>
              </w:rPr>
              <w:t>Άρθρο 4 σημείο 13) του ΚΚΑ</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ΕΠΕΝΔΥΤΗΣ</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Πιστωτικό ίδρυμα που κατέχει θέσεις τιτλοποίησης σε μια συναλλαγή τιτλ</w:t>
            </w:r>
            <w:r>
              <w:rPr>
                <w:rFonts w:ascii="Times New Roman" w:hAnsi="Times New Roman"/>
                <w:sz w:val="24"/>
              </w:rPr>
              <w:t>ο</w:t>
            </w:r>
            <w:r>
              <w:rPr>
                <w:rFonts w:ascii="Times New Roman" w:hAnsi="Times New Roman"/>
                <w:sz w:val="24"/>
              </w:rPr>
              <w:t>ποίησης στην οποία δεν είναι ούτε μεταβιβάζουσα οντότητα ούτε ανάδοχος.</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ΑΝΑΔΟΧΟΣ ΟΝΤΟΤΗΤΑ</w:t>
            </w:r>
          </w:p>
          <w:p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Άρθρο 4 σημείο 14) του ΚΚΑ Εάν μια ανάδοχος οντότητα </w:t>
            </w:r>
            <w:proofErr w:type="spellStart"/>
            <w:r>
              <w:rPr>
                <w:rStyle w:val="InstructionsTabelleText"/>
                <w:rFonts w:ascii="Times New Roman" w:hAnsi="Times New Roman"/>
                <w:sz w:val="24"/>
              </w:rPr>
              <w:t>τιτλοποιεί</w:t>
            </w:r>
            <w:proofErr w:type="spellEnd"/>
            <w:r>
              <w:rPr>
                <w:rStyle w:val="InstructionsTabelleText"/>
                <w:rFonts w:ascii="Times New Roman" w:hAnsi="Times New Roman"/>
                <w:sz w:val="24"/>
              </w:rPr>
              <w:t xml:space="preserve"> επίσης δικά της στοιχεία ενεργητικού, συμπληρώνει, στις γραμμές που αφορούν τη μεταβιβάζουσα οντότητα, πληροφορίες σχετικά με τα δικά της τιτλοποιημένα στοιχεία ενεργητικού.</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120-210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ΚΑΤΑΝΟΜΗ ΤΟΥ ΣΥΝΟΛΙΚΟΥ ΠΟΣΟΥ ΤΩΝ ΣΤΑΘΜΙΣΜΕΝΩΝ ΚΑΘΑΡΩΝ ΘΕΤΙΚΩΝ ΘΕΣΕΩΝ ΚΑΙ ΤΩΝ ΣΤΑΘΜΙΣΜΕΝΩΝ Κ</w:t>
            </w:r>
            <w:r>
              <w:rPr>
                <w:rStyle w:val="InstructionsTabelleberschrift"/>
                <w:rFonts w:ascii="Times New Roman" w:hAnsi="Times New Roman"/>
                <w:sz w:val="24"/>
              </w:rPr>
              <w:t>Α</w:t>
            </w:r>
            <w:r>
              <w:rPr>
                <w:rStyle w:val="InstructionsTabelleberschrift"/>
                <w:rFonts w:ascii="Times New Roman" w:hAnsi="Times New Roman"/>
                <w:sz w:val="24"/>
              </w:rPr>
              <w:t>ΘΑΡΩΝ ΑΡΝΗΤΙΚΩΝ ΘΕΣΕΩΝ ΑΝΑ ΕΙΔΟΣ ΥΠΟΚΕΙΜΕΝΩΝ ΑΞ</w:t>
            </w:r>
            <w:r>
              <w:rPr>
                <w:rStyle w:val="InstructionsTabelleberschrift"/>
                <w:rFonts w:ascii="Times New Roman" w:hAnsi="Times New Roman"/>
                <w:sz w:val="24"/>
              </w:rPr>
              <w:t>Ι</w:t>
            </w:r>
            <w:r>
              <w:rPr>
                <w:rStyle w:val="InstructionsTabelleberschrift"/>
                <w:rFonts w:ascii="Times New Roman" w:hAnsi="Times New Roman"/>
                <w:sz w:val="24"/>
              </w:rPr>
              <w:t>ΩΝ</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Άρθρο 337 παράγραφος 4 τελευταία περίοδος του ΚΚΑ</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Η κατανομή των υποκείμενων στοιχείων ενεργητικού ακολουθεί την ταξιν</w:t>
            </w:r>
            <w:r>
              <w:rPr>
                <w:rStyle w:val="InstructionsTabelleText"/>
                <w:rFonts w:ascii="Times New Roman" w:hAnsi="Times New Roman"/>
                <w:sz w:val="24"/>
              </w:rPr>
              <w:t>ό</w:t>
            </w:r>
            <w:r>
              <w:rPr>
                <w:rStyle w:val="InstructionsTabelleText"/>
                <w:rFonts w:ascii="Times New Roman" w:hAnsi="Times New Roman"/>
                <w:sz w:val="24"/>
              </w:rPr>
              <w:t xml:space="preserve">μηση που χρησιμοποιείται στο υπόδειγμα SEC </w:t>
            </w:r>
            <w:proofErr w:type="spellStart"/>
            <w:r>
              <w:rPr>
                <w:rStyle w:val="InstructionsTabelleText"/>
                <w:rFonts w:ascii="Times New Roman" w:hAnsi="Times New Roman"/>
                <w:sz w:val="24"/>
              </w:rPr>
              <w:t>Details</w:t>
            </w:r>
            <w:proofErr w:type="spellEnd"/>
            <w:r>
              <w:rPr>
                <w:rStyle w:val="InstructionsTabelleText"/>
                <w:rFonts w:ascii="Times New Roman" w:hAnsi="Times New Roman"/>
                <w:sz w:val="24"/>
              </w:rPr>
              <w:t xml:space="preserve"> (στήλη «Είδος»):</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1-υποθήκες κατοικιών·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2-υποθήκες εμπορικών ακινήτων·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3-απαιτήσεις από πιστωτικές κάρτες·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4-χρηματοδοτική μίσθωση·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5-δάνεια σε επιχειρήσεις ή σε ΜΜΕ (που αντιμετωπίζονται ως επιχε</w:t>
            </w:r>
            <w:r>
              <w:rPr>
                <w:rStyle w:val="InstructionsTabelleText"/>
                <w:rFonts w:ascii="Times New Roman" w:hAnsi="Times New Roman"/>
                <w:sz w:val="24"/>
              </w:rPr>
              <w:t>ι</w:t>
            </w:r>
            <w:r>
              <w:rPr>
                <w:rStyle w:val="InstructionsTabelleText"/>
                <w:rFonts w:ascii="Times New Roman" w:hAnsi="Times New Roman"/>
                <w:sz w:val="24"/>
              </w:rPr>
              <w:t xml:space="preserve">ρήσεις)·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6-καταναλωτικά δάνεια·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7-εμπορικές απαιτήσεις·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8-άλλα στοιχεία ενεργητικού·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9-καλυμμένα ομόλογα·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10-άλλες υποχρεώσεις.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Για κάθε τιτλοποίηση, σε περίπτωση που η ομάδα αποτελείται από διαφορετ</w:t>
            </w:r>
            <w:r>
              <w:rPr>
                <w:rStyle w:val="InstructionsTabelleText"/>
                <w:rFonts w:ascii="Times New Roman" w:hAnsi="Times New Roman"/>
                <w:sz w:val="24"/>
              </w:rPr>
              <w:t>ι</w:t>
            </w:r>
            <w:r>
              <w:rPr>
                <w:rStyle w:val="InstructionsTabelleText"/>
                <w:rFonts w:ascii="Times New Roman" w:hAnsi="Times New Roman"/>
                <w:sz w:val="24"/>
              </w:rPr>
              <w:t>κά είδη στοιχείων ενεργητικού, το ίδρυμα λαμβάνει υπόψη το σημαντικότερο είδος.</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55" w:name="_Toc294172373"/>
      <w:bookmarkStart w:id="556" w:name="_Toc295830002"/>
      <w:bookmarkStart w:id="557" w:name="_Toc308426679"/>
      <w:bookmarkStart w:id="558" w:name="_Toc310415063"/>
      <w:bookmarkStart w:id="559" w:name="_Toc360188398"/>
      <w:bookmarkStart w:id="560" w:name="_Toc516210689"/>
      <w:bookmarkStart w:id="561" w:name="_Toc473561038"/>
      <w:r>
        <w:rPr>
          <w:rFonts w:ascii="Times New Roman" w:hAnsi="Times New Roman"/>
          <w:sz w:val="24"/>
          <w:u w:val="none"/>
        </w:rPr>
        <w:t>5.3.</w:t>
      </w:r>
      <w:r>
        <w:tab/>
      </w:r>
      <w:r>
        <w:rPr>
          <w:rFonts w:ascii="Times New Roman" w:hAnsi="Times New Roman"/>
          <w:sz w:val="24"/>
        </w:rPr>
        <w:t>C 20.00 – ΚΙΝΔΥΝΟΣ ΑΓΟΡΑΣ: ΤΥΠΟΠΟΙΗΜΕΝΗ ΠΡΟΣΕΓΓΙΣΗ ΓΙΑ ΕΙΔΙΚΟ ΚΙΝΔΥΝΟ ΘΕΣΕΩΝ ΣΤΟ ΧΑΡΤΟΦΥΛΑΚΙΟ ΔΙΑΠΡΑΓΜΑΤΕΥΣΗΣ ΣΥΣΧΕΤΙΣΕΩΝ (MKR SA CTP</w:t>
      </w:r>
      <w:bookmarkEnd w:id="555"/>
      <w:bookmarkEnd w:id="556"/>
      <w:bookmarkEnd w:id="557"/>
      <w:bookmarkEnd w:id="558"/>
      <w:r>
        <w:rPr>
          <w:rFonts w:ascii="Times New Roman" w:hAnsi="Times New Roman"/>
          <w:sz w:val="24"/>
        </w:rPr>
        <w:t>)</w:t>
      </w:r>
      <w:bookmarkEnd w:id="559"/>
      <w:bookmarkEnd w:id="560"/>
      <w:bookmarkEnd w:id="561"/>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62" w:name="_Toc294172374"/>
      <w:bookmarkStart w:id="563" w:name="_Toc295830003"/>
      <w:bookmarkStart w:id="564" w:name="_Toc308426680"/>
      <w:bookmarkStart w:id="565" w:name="_Toc310415064"/>
      <w:bookmarkStart w:id="566" w:name="_Toc360188399"/>
      <w:bookmarkStart w:id="567" w:name="_Toc516210690"/>
      <w:bookmarkStart w:id="568" w:name="_Toc473561039"/>
      <w:r>
        <w:rPr>
          <w:rFonts w:ascii="Times New Roman" w:hAnsi="Times New Roman"/>
          <w:sz w:val="24"/>
          <w:u w:val="none"/>
        </w:rPr>
        <w:t>5.3.1.</w:t>
      </w:r>
      <w:r>
        <w:tab/>
      </w:r>
      <w:r>
        <w:rPr>
          <w:rFonts w:ascii="Times New Roman" w:hAnsi="Times New Roman"/>
          <w:sz w:val="24"/>
        </w:rPr>
        <w:t>Γενικές παρατηρήσεις</w:t>
      </w:r>
      <w:bookmarkEnd w:id="562"/>
      <w:bookmarkEnd w:id="563"/>
      <w:bookmarkEnd w:id="564"/>
      <w:bookmarkEnd w:id="565"/>
      <w:bookmarkEnd w:id="566"/>
      <w:bookmarkEnd w:id="567"/>
      <w:bookmarkEnd w:id="568"/>
    </w:p>
    <w:p w:rsidR="000B0B09" w:rsidRPr="00321A3B" w:rsidRDefault="00125707" w:rsidP="001A3980">
      <w:pPr>
        <w:pStyle w:val="InstructionsText2"/>
        <w:numPr>
          <w:ilvl w:val="0"/>
          <w:numId w:val="0"/>
        </w:numPr>
        <w:ind w:left="993"/>
      </w:pPr>
      <w:r>
        <w:t>144.</w:t>
      </w:r>
      <w:r>
        <w:tab/>
        <w:t>Στο συγκεκριμένο υπόδειγμα ζητούνται πληροφορίες για θέσεις του χαρτοφ</w:t>
      </w:r>
      <w:r>
        <w:t>υ</w:t>
      </w:r>
      <w:r>
        <w:t>λακίου διαπραγμάτευσης συσχετίσεων (που περιλαμβάνουν τιτλοποιήσεις, πιστ</w:t>
      </w:r>
      <w:r>
        <w:t>ω</w:t>
      </w:r>
      <w:r>
        <w:t>τικά παράγωγα νιοστού βαθμού αθέτησης και άλλες θέσεις του χαρτοφυλακίου δ</w:t>
      </w:r>
      <w:r>
        <w:t>ι</w:t>
      </w:r>
      <w:r>
        <w:t>απραγμάτευσης συσχετίσεων, σύμφωνα με το άρθρο 338 παράγραφος 3) και τις αντίστοιχες απαιτήσεις ιδίων κεφαλαίων με βάση την τυποποιημένη προσέγγιση.</w:t>
      </w:r>
    </w:p>
    <w:p w:rsidR="000B0B09" w:rsidRPr="00321A3B" w:rsidRDefault="00125707" w:rsidP="001A3980">
      <w:pPr>
        <w:pStyle w:val="InstructionsText2"/>
        <w:numPr>
          <w:ilvl w:val="0"/>
          <w:numId w:val="0"/>
        </w:numPr>
        <w:ind w:left="993"/>
      </w:pPr>
      <w:r>
        <w:t>145.</w:t>
      </w:r>
      <w:r>
        <w:tab/>
        <w:t>Στο υπόδειγμα MKR SA CTP καθορίζεται η απαίτηση ιδίων κεφαλαίων μόνο για τον ειδικό κίνδυνο θέσεων εντός του χαρτοφυλακίου διαπραγμάτευσης συσχ</w:t>
      </w:r>
      <w:r>
        <w:t>ε</w:t>
      </w:r>
      <w:r>
        <w:t>τίσεων, σύμφωνα με το άρθρο 335 σε συνδυασμό με το άρθρο 338 παράγραφοι 2 και 3 του ΚΚΑ. Εάν οι θέσεις του χαρτοφυλακίου διαπραγμάτευσης συσχετίσεων εντός του χαρτοφυλακίου συναλλαγών αντισταθμίζονται με πιστωτικά παράγωγα, εφαρμόζονται τα άρθρα 346 και 347 του ΚΚΑ. Υπάρχει μόνον ένα υπόδειγμα για όλες τις θέσεις του χαρτοφυλακίου διαπραγμάτευσης συσχετίσεων εντός του χα</w:t>
      </w:r>
      <w:r>
        <w:t>ρ</w:t>
      </w:r>
      <w:r>
        <w:t>τοφυλακίου συναλλαγών, ανεξαρτήτως του αν το ίδρυμα χρησιμοποιεί την τυπ</w:t>
      </w:r>
      <w:r>
        <w:t>ο</w:t>
      </w:r>
      <w:r>
        <w:t>ποιημένη προσέγγιση ή την προσέγγιση των εσωτερικών διαβαθμίσεων, για τον προσδιορισμό του συντελεστή στάθμισης κινδύνου για καθεμία από τις θέσεις, σύμφωνα με το τρίτο μέρος τίτλος II κεφάλαιο 5 του ΚΚΑ. Η αναφορά των απα</w:t>
      </w:r>
      <w:r>
        <w:t>ι</w:t>
      </w:r>
      <w:r>
        <w:t>τήσεων ιδίων κεφαλαίων του γενικού κινδύνου των θέσεων αυτών διενεργείται στο υπόδειγμα MKR SA TDI ή στο υπόδειγμα MKR IM.</w:t>
      </w:r>
    </w:p>
    <w:p w:rsidR="000B0B09" w:rsidRPr="00321A3B" w:rsidRDefault="00125707" w:rsidP="001A3980">
      <w:pPr>
        <w:pStyle w:val="InstructionsText2"/>
        <w:numPr>
          <w:ilvl w:val="0"/>
          <w:numId w:val="0"/>
        </w:numPr>
        <w:ind w:left="993"/>
      </w:pPr>
      <w:r>
        <w:t>146.</w:t>
      </w:r>
      <w:r>
        <w:tab/>
        <w:t>Η συγκεκριμένη δομή του υποδείγματος διαχωρίζει τις θέσεις τιτλοποίησης, τα πιστωτικά παράγωγα νιοστού βαθμού αθέτησης και τις άλλες θέσεις του χαρτοφ</w:t>
      </w:r>
      <w:r>
        <w:t>υ</w:t>
      </w:r>
      <w:r>
        <w:t>λακίου διαπραγμάτευσης συσχετίσεων. Ως εκ τούτου, οι θέσεις τιτλοποίησης αν</w:t>
      </w:r>
      <w:r>
        <w:t>α</w:t>
      </w:r>
      <w:r>
        <w:t>φέρονται πάντοτε στις γραμμές 030, 060 ή 090 (ανάλογα με τον ρόλο του ιδρύμ</w:t>
      </w:r>
      <w:r>
        <w:t>α</w:t>
      </w:r>
      <w:r>
        <w:t>τος στην τιτλοποίηση). Τα πιστωτικά παράγωγα νιοστού βαθμού αθέτησης αναφ</w:t>
      </w:r>
      <w:r>
        <w:t>έ</w:t>
      </w:r>
      <w:r>
        <w:lastRenderedPageBreak/>
        <w:t>ρονται πάντοτε στη γραμμή 110. Οι «άλλες θέσεις του χαρτοφυλακίου διαπραγμ</w:t>
      </w:r>
      <w:r>
        <w:t>ά</w:t>
      </w:r>
      <w:r>
        <w:t xml:space="preserve">τευσης συσχετίσεων» δεν είναι ούτε θέσεις τιτλοποίησης ούτε πιστωτικά παράγωγα νιοστού βαθμού αθέτησης (βλέπε ορισμό στο άρθρο 338 παράγραφος 3 του ΚΚΑ), αλλά είναι σαφώς «συνδεδεμένες» (λόγω της πρόθεσης αντιστάθμισης) με μία από αυτές τις δύο θέσεις. Για τον λόγο αυτό, ταξινομούνται είτε στην υποκατηγορία «τιτλοποίηση» είτε στην υποκατηγορία «πιστωτικό παράγωγο νιοστού βαθμού </w:t>
      </w:r>
      <w:r>
        <w:t>α</w:t>
      </w:r>
      <w:r>
        <w:t>θέτησης».</w:t>
      </w:r>
    </w:p>
    <w:p w:rsidR="00606885" w:rsidRPr="00321A3B" w:rsidRDefault="00125707" w:rsidP="001A3980">
      <w:pPr>
        <w:pStyle w:val="InstructionsText2"/>
        <w:numPr>
          <w:ilvl w:val="0"/>
          <w:numId w:val="0"/>
        </w:numPr>
        <w:ind w:left="993"/>
      </w:pPr>
      <w:r>
        <w:t>147.</w:t>
      </w:r>
      <w:r>
        <w:tab/>
        <w:t>Οι θέσεις που λαμβάνουν συντελεστή στάθμισης 1 250 % μπορούν εναλλακτ</w:t>
      </w:r>
      <w:r>
        <w:t>ι</w:t>
      </w:r>
      <w:r>
        <w:t>κά να αφαιρεθούν από το κεφάλαιο CET1 (βλέπε άρθρο 243 παράγραφος 1 στο</w:t>
      </w:r>
      <w:r>
        <w:t>ι</w:t>
      </w:r>
      <w:r>
        <w:t>χείο β), άρθρο 244 παράγραφος 1 στοιχείο β) και άρθρο 258 του ΚΚΑ). Στην περ</w:t>
      </w:r>
      <w:r>
        <w:t>ί</w:t>
      </w:r>
      <w:r>
        <w:t>πτωση αυτή, οι θέσεις αυτές πρέπει να αναφέρονται στη γραμμή 460 του υποδεί</w:t>
      </w:r>
      <w:r>
        <w:t>γ</w:t>
      </w:r>
      <w:r>
        <w:t>ματος CA1.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69" w:name="_Toc294172375"/>
      <w:bookmarkStart w:id="570" w:name="_Toc295830004"/>
      <w:bookmarkStart w:id="571" w:name="_Toc308426681"/>
      <w:bookmarkStart w:id="572" w:name="_Toc310415065"/>
      <w:bookmarkStart w:id="573" w:name="_Toc360188400"/>
      <w:bookmarkStart w:id="574" w:name="_Toc516210691"/>
      <w:bookmarkStart w:id="575" w:name="_Toc473561040"/>
      <w:r>
        <w:rPr>
          <w:rFonts w:ascii="Times New Roman" w:hAnsi="Times New Roman"/>
          <w:sz w:val="24"/>
          <w:u w:val="none"/>
        </w:rPr>
        <w:t>5.3.2.</w:t>
      </w:r>
      <w:r>
        <w:tab/>
      </w:r>
      <w:r>
        <w:rPr>
          <w:rFonts w:ascii="Times New Roman" w:hAnsi="Times New Roman"/>
          <w:sz w:val="24"/>
        </w:rPr>
        <w:t>Οδηγίες για συγκεκριμένες θέσεις</w:t>
      </w:r>
      <w:bookmarkEnd w:id="569"/>
      <w:bookmarkEnd w:id="570"/>
      <w:bookmarkEnd w:id="571"/>
      <w:bookmarkEnd w:id="572"/>
      <w:bookmarkEnd w:id="573"/>
      <w:bookmarkEnd w:id="574"/>
      <w:bookmarkEnd w:id="5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02"/>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ΟΛΕΣ ΟΙ ΘΕΣΕΙΣ (ΘΕΤΙΚΕΣ ΚΑΙ ΑΡΝΗΤΙΚΕΣ)</w:t>
            </w:r>
          </w:p>
          <w:p w:rsidR="000B0B09" w:rsidRPr="00392FFD" w:rsidRDefault="000B0B09" w:rsidP="000B0B09">
            <w:pPr>
              <w:rPr>
                <w:rFonts w:ascii="Times New Roman" w:hAnsi="Times New Roman"/>
                <w:sz w:val="24"/>
              </w:rPr>
            </w:pPr>
            <w:r>
              <w:rPr>
                <w:rFonts w:ascii="Times New Roman" w:hAnsi="Times New Roman"/>
                <w:sz w:val="24"/>
              </w:rPr>
              <w:t>Άρθρο 102 και άρθρο 105 παράγραφος 1 του ΚΚΑ, σε συνδυασμό με τις θ</w:t>
            </w:r>
            <w:r>
              <w:rPr>
                <w:rFonts w:ascii="Times New Roman" w:hAnsi="Times New Roman"/>
                <w:sz w:val="24"/>
              </w:rPr>
              <w:t>έ</w:t>
            </w:r>
            <w:r>
              <w:rPr>
                <w:rFonts w:ascii="Times New Roman" w:hAnsi="Times New Roman"/>
                <w:sz w:val="24"/>
              </w:rPr>
              <w:t>σεις του χαρτοφυλακίου διαπραγμάτευσης συσχετίσεων, σύμφωνα με το ά</w:t>
            </w:r>
            <w:r>
              <w:rPr>
                <w:rFonts w:ascii="Times New Roman" w:hAnsi="Times New Roman"/>
                <w:sz w:val="24"/>
              </w:rPr>
              <w:t>ρ</w:t>
            </w:r>
            <w:r>
              <w:rPr>
                <w:rFonts w:ascii="Times New Roman" w:hAnsi="Times New Roman"/>
                <w:sz w:val="24"/>
              </w:rPr>
              <w:t>θρο 338 παράγραφοι 2 και 3 του ΚΚΑ Όσον αφορά τη διάκριση μεταξύ θετ</w:t>
            </w:r>
            <w:r>
              <w:rPr>
                <w:rFonts w:ascii="Times New Roman" w:hAnsi="Times New Roman"/>
                <w:sz w:val="24"/>
              </w:rPr>
              <w:t>ι</w:t>
            </w:r>
            <w:r>
              <w:rPr>
                <w:rFonts w:ascii="Times New Roman" w:hAnsi="Times New Roman"/>
                <w:sz w:val="24"/>
              </w:rPr>
              <w:t>κών και αρνητικών θέσεων, που ισχύει επίσης για τις συγκεκριμένες ακαθάρ</w:t>
            </w:r>
            <w:r>
              <w:rPr>
                <w:rFonts w:ascii="Times New Roman" w:hAnsi="Times New Roman"/>
                <w:sz w:val="24"/>
              </w:rPr>
              <w:t>ι</w:t>
            </w:r>
            <w:r>
              <w:rPr>
                <w:rFonts w:ascii="Times New Roman" w:hAnsi="Times New Roman"/>
                <w:sz w:val="24"/>
              </w:rPr>
              <w:t>στες θέσεις, βλέπε άρθρο 328 παράγραφος 2 του ΚΚΑ.</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ΘΕΣΕΙΣ ΠΟΥ ΑΦΑΙΡΟΥΝΤΑΙ ΑΠΟ ΤΑ ΙΔΙΑ ΚΕΦΑΛΑΙΑ (ΘΕΤ</w:t>
            </w:r>
            <w:r>
              <w:rPr>
                <w:rStyle w:val="InstructionsTabelleberschrift"/>
                <w:rFonts w:ascii="Times New Roman" w:hAnsi="Times New Roman"/>
                <w:sz w:val="24"/>
              </w:rPr>
              <w:t>Ι</w:t>
            </w:r>
            <w:r>
              <w:rPr>
                <w:rStyle w:val="InstructionsTabelleberschrift"/>
                <w:rFonts w:ascii="Times New Roman" w:hAnsi="Times New Roman"/>
                <w:sz w:val="24"/>
              </w:rPr>
              <w:t>ΚΕΣ ΚΑΙ ΑΡΝΗΤΙΚΕΣ)</w:t>
            </w:r>
          </w:p>
          <w:p w:rsidR="000B0B09" w:rsidRPr="00392FFD" w:rsidRDefault="000B0B09" w:rsidP="000B0B09">
            <w:pPr>
              <w:rPr>
                <w:rFonts w:ascii="Times New Roman" w:hAnsi="Times New Roman"/>
                <w:sz w:val="24"/>
              </w:rPr>
            </w:pPr>
            <w:r>
              <w:rPr>
                <w:rFonts w:ascii="Times New Roman" w:hAnsi="Times New Roman"/>
                <w:sz w:val="24"/>
              </w:rPr>
              <w:t xml:space="preserve">Άρθρο 258 του ΚΚΑ </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ΚΑΘΑΡΕΣ ΘΕΣΕΙΣ (ΘΕΤΙΚΕΣ ΚΑΙ ΑΡΝΗΤΙΚΕΣ)</w:t>
            </w:r>
          </w:p>
          <w:p w:rsidR="000B0B09" w:rsidRPr="00392FFD" w:rsidRDefault="000B0B09" w:rsidP="000B0B09">
            <w:pPr>
              <w:rPr>
                <w:rFonts w:ascii="Times New Roman" w:hAnsi="Times New Roman"/>
                <w:sz w:val="24"/>
              </w:rPr>
            </w:pPr>
            <w:r>
              <w:rPr>
                <w:rFonts w:ascii="Times New Roman" w:hAnsi="Times New Roman"/>
                <w:sz w:val="24"/>
              </w:rPr>
              <w:t>Άρθρα 327 έως 329 και άρθρο 334 του ΚΚΑ Όσον αφορά τη διάκριση μεταξύ θετικών και αρνητικών θέσεων, βλέπε άρθρο 328 παράγραφος 2 του ΚΚΑ.</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070-400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ΚΑΤΑΝΟΜΗ ΤΩΝ ΚΑΘΑΡΩΝ ΘΕΣΕΩΝ ΣΥΜΦΩΝΑ ΜΕ ΤΟΥΣ Σ</w:t>
            </w:r>
            <w:r>
              <w:rPr>
                <w:rStyle w:val="InstructionsTabelleberschrift"/>
                <w:rFonts w:ascii="Times New Roman" w:hAnsi="Times New Roman"/>
                <w:sz w:val="24"/>
              </w:rPr>
              <w:t>Υ</w:t>
            </w:r>
            <w:r>
              <w:rPr>
                <w:rStyle w:val="InstructionsTabelleberschrift"/>
                <w:rFonts w:ascii="Times New Roman" w:hAnsi="Times New Roman"/>
                <w:sz w:val="24"/>
              </w:rPr>
              <w:t>ΝΤΕΛΕΣΤΕΣ ΣΤΑΘΜΙΣΗΣ ΚΙΝΔΥΝΟΥ (SA ΚΑΙ IRB)</w:t>
            </w:r>
          </w:p>
          <w:p w:rsidR="000B0B09" w:rsidRPr="00392FFD" w:rsidRDefault="000B0B09" w:rsidP="000B0B09">
            <w:pPr>
              <w:rPr>
                <w:rFonts w:ascii="Times New Roman" w:hAnsi="Times New Roman"/>
                <w:sz w:val="24"/>
              </w:rPr>
            </w:pPr>
            <w:r>
              <w:rPr>
                <w:rFonts w:ascii="Times New Roman" w:hAnsi="Times New Roman"/>
                <w:sz w:val="24"/>
              </w:rPr>
              <w:t xml:space="preserve">Άρθρο 251 (πίνακας 1) και άρθρο 261 παράγραφος 1 (πίνακας 4) του ΚΚΑ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160 και 330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ΑΛΛΑ</w:t>
            </w:r>
          </w:p>
          <w:p w:rsidR="000B0B09" w:rsidRPr="00392FFD" w:rsidRDefault="000B0B09" w:rsidP="000B0B09">
            <w:pPr>
              <w:rPr>
                <w:rFonts w:ascii="Times New Roman" w:hAnsi="Times New Roman"/>
                <w:sz w:val="24"/>
              </w:rPr>
            </w:pPr>
            <w:r>
              <w:rPr>
                <w:rFonts w:ascii="Times New Roman" w:hAnsi="Times New Roman"/>
                <w:sz w:val="24"/>
              </w:rPr>
              <w:t>Άλλοι συντελεστές στάθμισης κινδύνου που δεν αναφέρονται ρητά στις προ</w:t>
            </w:r>
            <w:r>
              <w:rPr>
                <w:rFonts w:ascii="Times New Roman" w:hAnsi="Times New Roman"/>
                <w:sz w:val="24"/>
              </w:rPr>
              <w:t>η</w:t>
            </w:r>
            <w:r>
              <w:rPr>
                <w:rFonts w:ascii="Times New Roman" w:hAnsi="Times New Roman"/>
                <w:sz w:val="24"/>
              </w:rPr>
              <w:t>γούμενες στήλες.</w:t>
            </w:r>
          </w:p>
          <w:p w:rsidR="000B0B09" w:rsidRPr="00392FFD" w:rsidRDefault="000B0B09" w:rsidP="000B0B09">
            <w:pPr>
              <w:rPr>
                <w:rFonts w:ascii="Times New Roman" w:hAnsi="Times New Roman"/>
                <w:sz w:val="24"/>
              </w:rPr>
            </w:pPr>
            <w:r>
              <w:rPr>
                <w:rFonts w:ascii="Times New Roman" w:hAnsi="Times New Roman"/>
                <w:sz w:val="24"/>
              </w:rPr>
              <w:t>Για τα πιστωτικά παράγωγα νιοστού βαθμού αθέτησης, μόνον αυτά που δεν έχουν διαβαθμιστεί εξωτερικά. Τα εξωτερικά διαβαθμισμένα πιστωτικά παρ</w:t>
            </w:r>
            <w:r>
              <w:rPr>
                <w:rFonts w:ascii="Times New Roman" w:hAnsi="Times New Roman"/>
                <w:sz w:val="24"/>
              </w:rPr>
              <w:t>ά</w:t>
            </w:r>
            <w:r>
              <w:rPr>
                <w:rFonts w:ascii="Times New Roman" w:hAnsi="Times New Roman"/>
                <w:sz w:val="24"/>
              </w:rPr>
              <w:t>γωγα νιοστού βαθμού αθέτησης είτε αναφέρονται στο υπόδειγμα MKR SA TDI (γραμμή 321) είτε —εάν είναι ενσωματωμένα στο χαρτοφυλάκιο δι</w:t>
            </w:r>
            <w:r>
              <w:rPr>
                <w:rFonts w:ascii="Times New Roman" w:hAnsi="Times New Roman"/>
                <w:sz w:val="24"/>
              </w:rPr>
              <w:t>α</w:t>
            </w:r>
            <w:r>
              <w:rPr>
                <w:rFonts w:ascii="Times New Roman" w:hAnsi="Times New Roman"/>
                <w:sz w:val="24"/>
              </w:rPr>
              <w:t>πραγμάτευσης συσχετίσεων— κατανέμονται στη στήλη του αντίστοιχου σ</w:t>
            </w:r>
            <w:r>
              <w:rPr>
                <w:rFonts w:ascii="Times New Roman" w:hAnsi="Times New Roman"/>
                <w:sz w:val="24"/>
              </w:rPr>
              <w:t>υ</w:t>
            </w:r>
            <w:r>
              <w:rPr>
                <w:rFonts w:ascii="Times New Roman" w:hAnsi="Times New Roman"/>
                <w:sz w:val="24"/>
              </w:rPr>
              <w:lastRenderedPageBreak/>
              <w:t xml:space="preserve">ντελεστή στάθμισης κινδύνου.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170-180 και 360-370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1250%</w:t>
            </w:r>
          </w:p>
          <w:p w:rsidR="000B0B09" w:rsidRPr="00392FFD" w:rsidRDefault="000B0B09" w:rsidP="000B0B09">
            <w:pPr>
              <w:rPr>
                <w:rFonts w:ascii="Times New Roman" w:hAnsi="Times New Roman"/>
                <w:sz w:val="24"/>
              </w:rPr>
            </w:pPr>
            <w:r>
              <w:rPr>
                <w:rFonts w:ascii="Times New Roman" w:hAnsi="Times New Roman"/>
                <w:sz w:val="24"/>
              </w:rPr>
              <w:t xml:space="preserve">Άρθρο 251 (πίνακας 1) και άρθρο 261 παράγραφος 1 (πίνακας 4) του ΚΚΑ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190-200 και 340-350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ΜΕΘΟΔΟΣ ΕΠΟΠΤΙΚΟΥ ΥΠΟΔΕΙΓΜΑΤΟΣ</w:t>
            </w:r>
          </w:p>
          <w:p w:rsidR="000B0B09" w:rsidRPr="00392FFD" w:rsidRDefault="000B0B09" w:rsidP="000B0B09">
            <w:pPr>
              <w:rPr>
                <w:rFonts w:ascii="Times New Roman" w:hAnsi="Times New Roman"/>
                <w:sz w:val="24"/>
              </w:rPr>
            </w:pPr>
            <w:r>
              <w:rPr>
                <w:rFonts w:ascii="Times New Roman" w:hAnsi="Times New Roman"/>
                <w:sz w:val="24"/>
              </w:rPr>
              <w:t xml:space="preserve">Άρθρο 337 παράγραφος 2 του ΚΚΑ, σε συνδυασμό με το άρθρο 262 του ΚΚΑ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210 / 380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ΕΞΕΤΑΣΗ</w:t>
            </w:r>
          </w:p>
          <w:p w:rsidR="000B0B09" w:rsidRPr="00392FFD" w:rsidRDefault="000B0B09" w:rsidP="000B0B09">
            <w:pPr>
              <w:rPr>
                <w:rFonts w:ascii="Times New Roman" w:hAnsi="Times New Roman"/>
                <w:sz w:val="24"/>
              </w:rPr>
            </w:pPr>
            <w:r>
              <w:rPr>
                <w:rFonts w:ascii="Times New Roman" w:hAnsi="Times New Roman"/>
                <w:sz w:val="24"/>
              </w:rPr>
              <w:t>ΤΥΠΟΠΟΙΗΜΕΝΗ ΠΡΟΣΕΓΓΙΣΗ (SA): Άρθρο 253, άρθρο 254 και ά</w:t>
            </w:r>
            <w:r>
              <w:rPr>
                <w:rFonts w:ascii="Times New Roman" w:hAnsi="Times New Roman"/>
                <w:sz w:val="24"/>
              </w:rPr>
              <w:t>ρ</w:t>
            </w:r>
            <w:r>
              <w:rPr>
                <w:rFonts w:ascii="Times New Roman" w:hAnsi="Times New Roman"/>
                <w:sz w:val="24"/>
              </w:rPr>
              <w:t>θρο 256 παράγραφος 5 του ΚΚΑ Οι στήλες εξέτασης περιλαμβάνουν όλες τις περιπτώσεις μη διαβαθμισμένων ανοιγμάτων των οποίων ο συντελεστής στά</w:t>
            </w:r>
            <w:r>
              <w:rPr>
                <w:rFonts w:ascii="Times New Roman" w:hAnsi="Times New Roman"/>
                <w:sz w:val="24"/>
              </w:rPr>
              <w:t>θ</w:t>
            </w:r>
            <w:r>
              <w:rPr>
                <w:rFonts w:ascii="Times New Roman" w:hAnsi="Times New Roman"/>
                <w:sz w:val="24"/>
              </w:rPr>
              <w:t>μισης κινδύνου λαμβάνεται από το υποκείμενο χαρτοφυλάκιο ανοιγμάτων (μ</w:t>
            </w:r>
            <w:r>
              <w:rPr>
                <w:rFonts w:ascii="Times New Roman" w:hAnsi="Times New Roman"/>
                <w:sz w:val="24"/>
              </w:rPr>
              <w:t>έ</w:t>
            </w:r>
            <w:r>
              <w:rPr>
                <w:rFonts w:ascii="Times New Roman" w:hAnsi="Times New Roman"/>
                <w:sz w:val="24"/>
              </w:rPr>
              <w:t>σος συντελεστής στάθμισης κινδύνου της ομάδας, μέγιστος συντελεστής στάθμισης κινδύνου της ομάδας ή χρήση ενός δείκτη συγκέντρωσης).</w:t>
            </w:r>
          </w:p>
          <w:p w:rsidR="000B0B09" w:rsidRPr="00392FFD" w:rsidRDefault="000B0B09" w:rsidP="000B0B09">
            <w:pPr>
              <w:rPr>
                <w:rFonts w:ascii="Times New Roman" w:hAnsi="Times New Roman"/>
                <w:sz w:val="24"/>
              </w:rPr>
            </w:pPr>
            <w:r>
              <w:rPr>
                <w:rFonts w:ascii="Times New Roman" w:hAnsi="Times New Roman"/>
                <w:sz w:val="24"/>
              </w:rPr>
              <w:t>ΠΡΟΣΕΓΓΙΣΗ ΤΩΝ ΕΣΩΤΕΡΙΚΩΝ ΔΙΑΒΑΘΜΙΣΕΩΝ (IRB): Άρθρο 263 παράγραφοι 2 και 3 του ΚΚΑ Για την πρόωρη εξόφληση, βλέπε άρθρο 265 παράγραφος 1 και άρθρο 256 παράγραφος 5 του ΚΚΑ.</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220-230 και 390-400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ΠΡΟΣΕΓΓΙΣΗ ΕΣΩΤΕΡΙΚΗΣ ΑΞΙΟΛΟΓΗΣΗΣ</w:t>
            </w:r>
          </w:p>
          <w:p w:rsidR="000B0B09" w:rsidRPr="00392FFD" w:rsidRDefault="000B0B09" w:rsidP="000B0B09">
            <w:pPr>
              <w:rPr>
                <w:rFonts w:ascii="Times New Roman" w:hAnsi="Times New Roman"/>
                <w:sz w:val="24"/>
              </w:rPr>
            </w:pPr>
            <w:r>
              <w:rPr>
                <w:rFonts w:ascii="Times New Roman" w:hAnsi="Times New Roman"/>
                <w:sz w:val="24"/>
              </w:rPr>
              <w:t xml:space="preserve">Άρθρο 259 παράγραφοι 3 και 4 του ΚΚΑ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410-420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ΣΤΑΘΜΙΣΜΕΝΕΣ ΚΑΘΑΡΕΣ ΘΕΤΙΚΕΣ/ΑΡΝΗΤΙΚΕΣ ΘΕΣΕΙΣ ΠΡΙΝ ΑΠΟ ΤΟ ΑΝΩΤΑΤΟ ΟΡΙΟ</w:t>
            </w:r>
          </w:p>
          <w:p w:rsidR="000B0B09" w:rsidRPr="00392FFD" w:rsidRDefault="000B0B09" w:rsidP="000B0B09">
            <w:pPr>
              <w:rPr>
                <w:rFonts w:ascii="Times New Roman" w:hAnsi="Times New Roman"/>
                <w:sz w:val="24"/>
              </w:rPr>
            </w:pPr>
            <w:r>
              <w:rPr>
                <w:rFonts w:ascii="Times New Roman" w:hAnsi="Times New Roman"/>
                <w:sz w:val="24"/>
              </w:rPr>
              <w:t>Άρθρο 338 του ΚΚΑ, χωρίς να λαμβάνεται υπόψη η διακριτική ευχέρεια που παρέχεται από το άρθρο 335 του ΚΚΑ.</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430-440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ΣΤΑΘΜΙΣΜΕΝΕΣ ΚΑΘΑΡΕΣ ΘΕΤΙΚΕΣ/ΑΡΝΗΤΙΚΕΣ ΘΕΣΕΙΣ Μ</w:t>
            </w:r>
            <w:r>
              <w:rPr>
                <w:rStyle w:val="InstructionsTabelleberschrift"/>
                <w:rFonts w:ascii="Times New Roman" w:hAnsi="Times New Roman"/>
                <w:sz w:val="24"/>
              </w:rPr>
              <w:t>Ε</w:t>
            </w:r>
            <w:r>
              <w:rPr>
                <w:rStyle w:val="InstructionsTabelleberschrift"/>
                <w:rFonts w:ascii="Times New Roman" w:hAnsi="Times New Roman"/>
                <w:sz w:val="24"/>
              </w:rPr>
              <w:t>ΤΑ ΤΟ ΑΝΩΤΑΤΟ ΟΡΙΟ</w:t>
            </w:r>
          </w:p>
          <w:p w:rsidR="000B0B09" w:rsidRPr="00392FFD" w:rsidRDefault="000B0B09" w:rsidP="000B0B09">
            <w:pPr>
              <w:rPr>
                <w:rFonts w:ascii="Times New Roman" w:hAnsi="Times New Roman"/>
                <w:sz w:val="24"/>
              </w:rPr>
            </w:pPr>
            <w:r>
              <w:rPr>
                <w:rFonts w:ascii="Times New Roman" w:hAnsi="Times New Roman"/>
                <w:sz w:val="24"/>
              </w:rPr>
              <w:t>Άρθρο 338 του ΚΚΑ, λαμβανομένης υπόψη της διακριτικής ευχέρειας που π</w:t>
            </w:r>
            <w:r>
              <w:rPr>
                <w:rFonts w:ascii="Times New Roman" w:hAnsi="Times New Roman"/>
                <w:sz w:val="24"/>
              </w:rPr>
              <w:t>α</w:t>
            </w:r>
            <w:r>
              <w:rPr>
                <w:rFonts w:ascii="Times New Roman" w:hAnsi="Times New Roman"/>
                <w:sz w:val="24"/>
              </w:rPr>
              <w:t xml:space="preserve">ρέχεται από το άρθρο 335 του ΚΚΑ.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ΣΥΝΟΛΙΚΕΣ ΑΠΑΙΤΗΣΕΙΣ ΙΔΙΩΝ ΚΕΦΑΛΑΙΩΝ</w:t>
            </w:r>
          </w:p>
          <w:p w:rsidR="000B0B09" w:rsidRPr="00392FFD" w:rsidRDefault="000B0B09" w:rsidP="00E871FE">
            <w:pPr>
              <w:rPr>
                <w:rFonts w:ascii="Times New Roman" w:hAnsi="Times New Roman"/>
                <w:sz w:val="24"/>
              </w:rPr>
            </w:pPr>
            <w:r>
              <w:rPr>
                <w:rFonts w:ascii="Times New Roman" w:hAnsi="Times New Roman"/>
                <w:sz w:val="24"/>
              </w:rPr>
              <w:t>Η απαίτηση ιδίων κεφαλαίων προσδιορίζεται ως i) η κεφαλαιακή στάθμιση ε</w:t>
            </w:r>
            <w:r>
              <w:rPr>
                <w:rFonts w:ascii="Times New Roman" w:hAnsi="Times New Roman"/>
                <w:sz w:val="24"/>
              </w:rPr>
              <w:t>ι</w:t>
            </w:r>
            <w:r>
              <w:rPr>
                <w:rFonts w:ascii="Times New Roman" w:hAnsi="Times New Roman"/>
                <w:sz w:val="24"/>
              </w:rPr>
              <w:t>δικού κινδύνου που εφαρμόζεται μόνο στις καθαρές θετικές θέσεις (στήλη 430) ή ii) η κεφαλαιακή στάθμιση ειδικού κινδύνου που εφαρμόζεται μόνο στις καθαρές αρνητικές θέσεις (στήλη 440), ανάλογα με το ποιο από τα δύο ποσά είναι μεγαλύτερο.</w:t>
            </w:r>
          </w:p>
        </w:tc>
      </w:tr>
    </w:tbl>
    <w:p w:rsidR="000B0B09" w:rsidRPr="00392FFD" w:rsidRDefault="000B0B09" w:rsidP="00E70AB0">
      <w:pPr>
        <w:autoSpaceDE w:val="0"/>
        <w:autoSpaceDN w:val="0"/>
        <w:adjustRightInd w:val="0"/>
        <w:spacing w:before="0" w:after="0"/>
        <w:rPr>
          <w:rFonts w:ascii="Times New Roman" w:hAnsi="Times New Roman"/>
          <w:sz w:val="24"/>
        </w:rPr>
      </w:pPr>
    </w:p>
    <w:p w:rsidR="00DE48EF" w:rsidRPr="00392FFD"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4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ΣΥΝΟΛΙΚΑ ΑΝΟΙΓΜΑΤΑ</w:t>
            </w:r>
          </w:p>
          <w:p w:rsidR="000B0B09" w:rsidRPr="00392FFD" w:rsidRDefault="000B0B09" w:rsidP="000B0B09">
            <w:pPr>
              <w:rPr>
                <w:rFonts w:ascii="Times New Roman" w:hAnsi="Times New Roman"/>
                <w:sz w:val="24"/>
              </w:rPr>
            </w:pPr>
            <w:r>
              <w:rPr>
                <w:rFonts w:ascii="Times New Roman" w:hAnsi="Times New Roman"/>
                <w:sz w:val="24"/>
              </w:rPr>
              <w:t>Συνολικό ποσό εκκρεμών θέσεων (που τηρούνται στο χαρτοφυλάκιο διαπραγμ</w:t>
            </w:r>
            <w:r>
              <w:rPr>
                <w:rFonts w:ascii="Times New Roman" w:hAnsi="Times New Roman"/>
                <w:sz w:val="24"/>
              </w:rPr>
              <w:t>ά</w:t>
            </w:r>
            <w:r>
              <w:rPr>
                <w:rFonts w:ascii="Times New Roman" w:hAnsi="Times New Roman"/>
                <w:sz w:val="24"/>
              </w:rPr>
              <w:t>τευσης συσχετίσεων) τις οποίες αναφέρει το ίδρυμα που διαδραματίζει τον ρόλο (τους ρόλους) της μεταβιβάζουσας οντότητας, του επενδυτή ή της αναδόχου οντ</w:t>
            </w:r>
            <w:r>
              <w:rPr>
                <w:rFonts w:ascii="Times New Roman" w:hAnsi="Times New Roman"/>
                <w:sz w:val="24"/>
              </w:rPr>
              <w:t>ό</w:t>
            </w:r>
            <w:r>
              <w:rPr>
                <w:rFonts w:ascii="Times New Roman" w:hAnsi="Times New Roman"/>
                <w:sz w:val="24"/>
              </w:rPr>
              <w:t>τητας.</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ΜΕΤΑΒΙΒΑΖΟΥΣΑ ΟΝΤΟΤΗΤΑ</w:t>
            </w:r>
          </w:p>
          <w:p w:rsidR="000B0B09" w:rsidRPr="00392FFD" w:rsidRDefault="000B0B09" w:rsidP="00104A65">
            <w:pPr>
              <w:rPr>
                <w:rFonts w:ascii="Times New Roman" w:hAnsi="Times New Roman"/>
                <w:sz w:val="24"/>
              </w:rPr>
            </w:pPr>
            <w:r>
              <w:rPr>
                <w:rFonts w:ascii="Times New Roman" w:hAnsi="Times New Roman"/>
                <w:sz w:val="24"/>
              </w:rPr>
              <w:t xml:space="preserve">Άρθρο 4 σημείο 13) του ΚΚΑ </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050-070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ΕΠΕΝΔΥΤΗΣ</w:t>
            </w:r>
          </w:p>
          <w:p w:rsidR="000B0B09" w:rsidRPr="00392FFD" w:rsidRDefault="000B0B09" w:rsidP="00DE48EF">
            <w:pPr>
              <w:rPr>
                <w:rFonts w:ascii="Times New Roman" w:hAnsi="Times New Roman"/>
                <w:sz w:val="24"/>
              </w:rPr>
            </w:pPr>
            <w:r>
              <w:rPr>
                <w:rFonts w:ascii="Times New Roman" w:hAnsi="Times New Roman"/>
                <w:sz w:val="24"/>
              </w:rPr>
              <w:t>Πιστωτικό ίδρυμα που κατέχει θέσεις τιτλοποίησης σε μια συναλλαγή τιτλοποί</w:t>
            </w:r>
            <w:r>
              <w:rPr>
                <w:rFonts w:ascii="Times New Roman" w:hAnsi="Times New Roman"/>
                <w:sz w:val="24"/>
              </w:rPr>
              <w:t>η</w:t>
            </w:r>
            <w:r>
              <w:rPr>
                <w:rFonts w:ascii="Times New Roman" w:hAnsi="Times New Roman"/>
                <w:sz w:val="24"/>
              </w:rPr>
              <w:t>σης στην οποία δεν είναι ούτε μεταβιβάζουσα οντότητα ούτε ανάδοχος.</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080-100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ΑΝΑΔΟΧΟΣ ΟΝΤΟΤΗΤΑ</w:t>
            </w:r>
          </w:p>
          <w:p w:rsidR="000B0B09" w:rsidRPr="00392FFD" w:rsidRDefault="000B0B09" w:rsidP="00DA040A">
            <w:pPr>
              <w:rPr>
                <w:rFonts w:ascii="Times New Roman" w:hAnsi="Times New Roman"/>
                <w:sz w:val="24"/>
              </w:rPr>
            </w:pPr>
            <w:r>
              <w:rPr>
                <w:rFonts w:ascii="Times New Roman" w:hAnsi="Times New Roman"/>
                <w:sz w:val="24"/>
              </w:rPr>
              <w:t xml:space="preserve">Άρθρο 4 σημείο 14) του ΚΚΑ Εάν μια ανάδοχος οντότητα </w:t>
            </w:r>
            <w:proofErr w:type="spellStart"/>
            <w:r>
              <w:rPr>
                <w:rFonts w:ascii="Times New Roman" w:hAnsi="Times New Roman"/>
                <w:sz w:val="24"/>
              </w:rPr>
              <w:t>τιτλοποιεί</w:t>
            </w:r>
            <w:proofErr w:type="spellEnd"/>
            <w:r>
              <w:rPr>
                <w:rFonts w:ascii="Times New Roman" w:hAnsi="Times New Roman"/>
                <w:sz w:val="24"/>
              </w:rPr>
              <w:t xml:space="preserve"> επίσης δικά της στοιχεία ενεργητικού, συμπληρώνει, στις γραμμές που αφορούν τη μεταβιβ</w:t>
            </w:r>
            <w:r>
              <w:rPr>
                <w:rFonts w:ascii="Times New Roman" w:hAnsi="Times New Roman"/>
                <w:sz w:val="24"/>
              </w:rPr>
              <w:t>ά</w:t>
            </w:r>
            <w:r>
              <w:rPr>
                <w:rFonts w:ascii="Times New Roman" w:hAnsi="Times New Roman"/>
                <w:sz w:val="24"/>
              </w:rPr>
              <w:t xml:space="preserve">ζουσα οντότητα, πληροφορίες σχετικά με τα δικά της τιτλοποιημένα στοιχεία </w:t>
            </w:r>
            <w:r>
              <w:rPr>
                <w:rFonts w:ascii="Times New Roman" w:hAnsi="Times New Roman"/>
                <w:sz w:val="24"/>
              </w:rPr>
              <w:t>ε</w:t>
            </w:r>
            <w:r>
              <w:rPr>
                <w:rFonts w:ascii="Times New Roman" w:hAnsi="Times New Roman"/>
                <w:sz w:val="24"/>
              </w:rPr>
              <w:t xml:space="preserve">νεργητικού.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030, 060 και 090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ΤΙΤΛΟΠΟΙΗΣΕΙΣ</w:t>
            </w:r>
          </w:p>
          <w:p w:rsidR="000B0B09" w:rsidRPr="00392FFD" w:rsidRDefault="000B0B09" w:rsidP="000B0B09">
            <w:pPr>
              <w:rPr>
                <w:rFonts w:ascii="Times New Roman" w:hAnsi="Times New Roman"/>
                <w:sz w:val="24"/>
              </w:rPr>
            </w:pPr>
            <w:r>
              <w:rPr>
                <w:rFonts w:ascii="Times New Roman" w:hAnsi="Times New Roman"/>
                <w:sz w:val="24"/>
              </w:rPr>
              <w:t>Το χαρτοφυλάκιο διαπραγμάτευσης συσχετίσεων περιλαμβάνει τιτλοποιήσεις, π</w:t>
            </w:r>
            <w:r>
              <w:rPr>
                <w:rFonts w:ascii="Times New Roman" w:hAnsi="Times New Roman"/>
                <w:sz w:val="24"/>
              </w:rPr>
              <w:t>ι</w:t>
            </w:r>
            <w:r>
              <w:rPr>
                <w:rFonts w:ascii="Times New Roman" w:hAnsi="Times New Roman"/>
                <w:sz w:val="24"/>
              </w:rPr>
              <w:t xml:space="preserve">στωτικά παράγωγα νιοστού βαθμού αθέτησης και, ενδεχομένως, άλλες θέσεις </w:t>
            </w:r>
            <w:r>
              <w:rPr>
                <w:rFonts w:ascii="Times New Roman" w:hAnsi="Times New Roman"/>
                <w:sz w:val="24"/>
              </w:rPr>
              <w:t>α</w:t>
            </w:r>
            <w:r>
              <w:rPr>
                <w:rFonts w:ascii="Times New Roman" w:hAnsi="Times New Roman"/>
                <w:sz w:val="24"/>
              </w:rPr>
              <w:t>ντιστάθμισης που πληρούν τα κριτήρια που καθορίζονται στο άρθρο 338 παρ</w:t>
            </w:r>
            <w:r>
              <w:rPr>
                <w:rFonts w:ascii="Times New Roman" w:hAnsi="Times New Roman"/>
                <w:sz w:val="24"/>
              </w:rPr>
              <w:t>ά</w:t>
            </w:r>
            <w:r>
              <w:rPr>
                <w:rFonts w:ascii="Times New Roman" w:hAnsi="Times New Roman"/>
                <w:sz w:val="24"/>
              </w:rPr>
              <w:t>γραφοι 2 και 3 του ΚΚΑ.</w:t>
            </w:r>
          </w:p>
          <w:p w:rsidR="000B0B09" w:rsidRPr="00392FFD" w:rsidRDefault="000B0B09" w:rsidP="000B0B09">
            <w:pPr>
              <w:rPr>
                <w:rFonts w:ascii="Times New Roman" w:hAnsi="Times New Roman"/>
                <w:sz w:val="24"/>
              </w:rPr>
            </w:pPr>
          </w:p>
          <w:p w:rsidR="000B0B09" w:rsidRPr="00392FFD" w:rsidRDefault="000B0B09" w:rsidP="00DE48EF">
            <w:pPr>
              <w:rPr>
                <w:rFonts w:ascii="Times New Roman" w:hAnsi="Times New Roman"/>
                <w:sz w:val="24"/>
              </w:rPr>
            </w:pPr>
            <w:r>
              <w:rPr>
                <w:rFonts w:ascii="Times New Roman" w:hAnsi="Times New Roman"/>
                <w:sz w:val="24"/>
              </w:rPr>
              <w:t>Τα παράγωγα ανοιγμάτων τιτλοποίησης που παρέχουν κατ’ αναλογία μερίδιο, κ</w:t>
            </w:r>
            <w:r>
              <w:rPr>
                <w:rFonts w:ascii="Times New Roman" w:hAnsi="Times New Roman"/>
                <w:sz w:val="24"/>
              </w:rPr>
              <w:t>α</w:t>
            </w:r>
            <w:r>
              <w:rPr>
                <w:rFonts w:ascii="Times New Roman" w:hAnsi="Times New Roman"/>
                <w:sz w:val="24"/>
              </w:rPr>
              <w:t>θώς και οι θέσεις που αντισταθμίζουν θέσεις του χαρτοφυλακίου διαπραγμάτε</w:t>
            </w:r>
            <w:r>
              <w:rPr>
                <w:rFonts w:ascii="Times New Roman" w:hAnsi="Times New Roman"/>
                <w:sz w:val="24"/>
              </w:rPr>
              <w:t>υ</w:t>
            </w:r>
            <w:r>
              <w:rPr>
                <w:rFonts w:ascii="Times New Roman" w:hAnsi="Times New Roman"/>
                <w:sz w:val="24"/>
              </w:rPr>
              <w:t>σης συσχετίσεων (CTP), περιλαμβάνονται στη γραμμή «Άλλες θέσεις CTP».</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ΠΙΣΤΩΤΙΚΑ ΠΑΡΑΓΩΓΑ ΝΙΟΣΤΟΥ ΒΑΘΜΟΥ ΑΘΕΤΗΣΗΣ</w:t>
            </w:r>
          </w:p>
          <w:p w:rsidR="000B0B09" w:rsidRPr="00392FFD" w:rsidRDefault="000B0B09" w:rsidP="000B0B09">
            <w:pPr>
              <w:rPr>
                <w:rFonts w:ascii="Times New Roman" w:hAnsi="Times New Roman"/>
                <w:sz w:val="24"/>
              </w:rPr>
            </w:pPr>
            <w:r>
              <w:rPr>
                <w:rFonts w:ascii="Times New Roman" w:hAnsi="Times New Roman"/>
                <w:sz w:val="24"/>
              </w:rPr>
              <w:t>Στο συγκεκριμένο σημείο αναφέρονται πιστωτικά παράγωγα νιοστού βαθμού αθ</w:t>
            </w:r>
            <w:r>
              <w:rPr>
                <w:rFonts w:ascii="Times New Roman" w:hAnsi="Times New Roman"/>
                <w:sz w:val="24"/>
              </w:rPr>
              <w:t>έ</w:t>
            </w:r>
            <w:r>
              <w:rPr>
                <w:rFonts w:ascii="Times New Roman" w:hAnsi="Times New Roman"/>
                <w:sz w:val="24"/>
              </w:rPr>
              <w:t>τησης που αντισταθμίζονται με πιστωτικά παράγωγα νιοστού βαθμού αθέτησης, σύμφωνα με το άρθρο 347 του ΚΚΑ.</w:t>
            </w:r>
          </w:p>
          <w:p w:rsidR="000B0B09" w:rsidRPr="00392FFD" w:rsidRDefault="000B0B09" w:rsidP="00DE48EF">
            <w:pPr>
              <w:rPr>
                <w:rFonts w:ascii="Times New Roman" w:hAnsi="Times New Roman"/>
                <w:sz w:val="24"/>
              </w:rPr>
            </w:pPr>
            <w:r>
              <w:rPr>
                <w:rFonts w:ascii="Times New Roman" w:hAnsi="Times New Roman"/>
                <w:sz w:val="24"/>
              </w:rPr>
              <w:t>Οι θέσεις μεταβιβάζουσας οντότητας, επενδυτή και αναδόχου οντότητας δεν είναι κατάλληλες για πιστωτικά παράγωγα νιοστού βαθμού αθέτησης. Κατά συνέπεια, δεν δύναται να υπάρξει κατανομή, όπως για τις θέσεις τιτλοποίησης, για τα πιστ</w:t>
            </w:r>
            <w:r>
              <w:rPr>
                <w:rFonts w:ascii="Times New Roman" w:hAnsi="Times New Roman"/>
                <w:sz w:val="24"/>
              </w:rPr>
              <w:t>ω</w:t>
            </w:r>
            <w:r>
              <w:rPr>
                <w:rFonts w:ascii="Times New Roman" w:hAnsi="Times New Roman"/>
                <w:sz w:val="24"/>
              </w:rPr>
              <w:t>τικά παράγωγα νιοστού βαθμού αθέτησης.</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 070, 100 και 120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ΑΛΛΕΣ ΘΕΣΕΙΣ CTP</w:t>
            </w:r>
          </w:p>
          <w:p w:rsidR="000B0B09" w:rsidRPr="00392FFD" w:rsidRDefault="000B0B09" w:rsidP="000B0B09">
            <w:pPr>
              <w:rPr>
                <w:rFonts w:ascii="Times New Roman" w:hAnsi="Times New Roman"/>
                <w:sz w:val="24"/>
              </w:rPr>
            </w:pPr>
            <w:r>
              <w:rPr>
                <w:rFonts w:ascii="Times New Roman" w:hAnsi="Times New Roman"/>
                <w:sz w:val="24"/>
              </w:rPr>
              <w:t xml:space="preserve">Οι θέσεις σε: </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Παράγωγα ανοιγμάτων τιτλοποίησης που παρέχουν κατ’ αναλογία μερίδιο, </w:t>
            </w:r>
            <w:r>
              <w:rPr>
                <w:rFonts w:ascii="Times New Roman" w:hAnsi="Times New Roman"/>
                <w:sz w:val="24"/>
              </w:rPr>
              <w:lastRenderedPageBreak/>
              <w:t>καθώς και οι θέσεις που αντισταθμίζουν θέσεις του χαρτοφυλακίου δι</w:t>
            </w:r>
            <w:r>
              <w:rPr>
                <w:rFonts w:ascii="Times New Roman" w:hAnsi="Times New Roman"/>
                <w:sz w:val="24"/>
              </w:rPr>
              <w:t>α</w:t>
            </w:r>
            <w:r>
              <w:rPr>
                <w:rFonts w:ascii="Times New Roman" w:hAnsi="Times New Roman"/>
                <w:sz w:val="24"/>
              </w:rPr>
              <w:t>πραγμάτευσης συσχετίσεων (CTP)·</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Θέσεις του χαρτοφυλακίου διαπραγμάτευσης συσχετίσεων που αντιστα</w:t>
            </w:r>
            <w:r>
              <w:rPr>
                <w:rFonts w:ascii="Times New Roman" w:hAnsi="Times New Roman"/>
                <w:sz w:val="24"/>
              </w:rPr>
              <w:t>θ</w:t>
            </w:r>
            <w:r>
              <w:rPr>
                <w:rFonts w:ascii="Times New Roman" w:hAnsi="Times New Roman"/>
                <w:sz w:val="24"/>
              </w:rPr>
              <w:t>μίζονται από πιστωτικά παράγωγα, σύμφωνα με το άρθρο 346 του ΚΚΑ·</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Άλλες θέσεις που πληρούν τις απαιτήσεις του άρθρου 338 παράγραφος 3 του ΚΚΑ·</w:t>
            </w:r>
          </w:p>
          <w:p w:rsidR="000B0B09" w:rsidRPr="00392FFD" w:rsidRDefault="000B0B09" w:rsidP="000B0B09">
            <w:pPr>
              <w:rPr>
                <w:rFonts w:ascii="Times New Roman" w:hAnsi="Times New Roman"/>
                <w:sz w:val="24"/>
              </w:rPr>
            </w:pPr>
            <w:r>
              <w:rPr>
                <w:rFonts w:ascii="Times New Roman" w:hAnsi="Times New Roman"/>
                <w:sz w:val="24"/>
              </w:rPr>
              <w:t>περιλαμβάνονται στη γραμμή «Άλλες Θέσεις CTP».</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76" w:name="_Toc262566429"/>
      <w:bookmarkStart w:id="577" w:name="_Toc295830005"/>
      <w:bookmarkStart w:id="578" w:name="_Toc308426682"/>
      <w:bookmarkStart w:id="579" w:name="_Toc310415066"/>
      <w:bookmarkStart w:id="580" w:name="_Toc360188401"/>
      <w:bookmarkStart w:id="581" w:name="_Toc516210692"/>
      <w:bookmarkStart w:id="582" w:name="_Toc473561041"/>
      <w:r>
        <w:rPr>
          <w:rFonts w:ascii="Times New Roman" w:hAnsi="Times New Roman"/>
          <w:sz w:val="24"/>
          <w:u w:val="none"/>
        </w:rPr>
        <w:t>5.4.</w:t>
      </w:r>
      <w:r>
        <w:tab/>
      </w:r>
      <w:r>
        <w:rPr>
          <w:rFonts w:ascii="Times New Roman" w:hAnsi="Times New Roman"/>
          <w:sz w:val="24"/>
        </w:rPr>
        <w:t>C 21.00 – Κίνδυνος Αγοράς: Τυποποιημένη προσέγγιση για τον κίνδυνο θέσης σε μ</w:t>
      </w:r>
      <w:r>
        <w:rPr>
          <w:rFonts w:ascii="Times New Roman" w:hAnsi="Times New Roman"/>
          <w:sz w:val="24"/>
        </w:rPr>
        <w:t>ε</w:t>
      </w:r>
      <w:r>
        <w:rPr>
          <w:rFonts w:ascii="Times New Roman" w:hAnsi="Times New Roman"/>
          <w:sz w:val="24"/>
        </w:rPr>
        <w:t>τοχικά κεφάλαια</w:t>
      </w:r>
      <w:bookmarkEnd w:id="576"/>
      <w:bookmarkEnd w:id="577"/>
      <w:bookmarkEnd w:id="578"/>
      <w:bookmarkEnd w:id="579"/>
      <w:bookmarkEnd w:id="580"/>
      <w:r>
        <w:rPr>
          <w:rFonts w:ascii="Times New Roman" w:hAnsi="Times New Roman"/>
          <w:sz w:val="24"/>
        </w:rPr>
        <w:t xml:space="preserve"> (MKR SA EQU)</w:t>
      </w:r>
      <w:bookmarkEnd w:id="581"/>
      <w:bookmarkEnd w:id="582"/>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83" w:name="_Toc262566430"/>
      <w:bookmarkStart w:id="584" w:name="_Toc295830006"/>
      <w:bookmarkStart w:id="585" w:name="_Toc308426683"/>
      <w:bookmarkStart w:id="586" w:name="_Toc310415067"/>
      <w:bookmarkStart w:id="587" w:name="_Toc360188402"/>
      <w:bookmarkStart w:id="588" w:name="_Toc516210693"/>
      <w:bookmarkStart w:id="589" w:name="_Toc473561042"/>
      <w:r>
        <w:rPr>
          <w:rFonts w:ascii="Times New Roman" w:hAnsi="Times New Roman"/>
          <w:sz w:val="24"/>
          <w:u w:val="none"/>
        </w:rPr>
        <w:t>5.4.1.</w:t>
      </w:r>
      <w:r>
        <w:tab/>
      </w:r>
      <w:r>
        <w:rPr>
          <w:rFonts w:ascii="Times New Roman" w:hAnsi="Times New Roman"/>
          <w:sz w:val="24"/>
        </w:rPr>
        <w:t>Γενικές παρατηρήσεις</w:t>
      </w:r>
      <w:bookmarkEnd w:id="583"/>
      <w:bookmarkEnd w:id="584"/>
      <w:bookmarkEnd w:id="585"/>
      <w:bookmarkEnd w:id="586"/>
      <w:bookmarkEnd w:id="587"/>
      <w:bookmarkEnd w:id="588"/>
      <w:bookmarkEnd w:id="589"/>
    </w:p>
    <w:p w:rsidR="000B0B09" w:rsidRPr="00392FFD" w:rsidRDefault="00125707" w:rsidP="001A3980">
      <w:pPr>
        <w:pStyle w:val="InstructionsText2"/>
        <w:numPr>
          <w:ilvl w:val="0"/>
          <w:numId w:val="0"/>
        </w:numPr>
        <w:ind w:left="993"/>
      </w:pPr>
      <w:r>
        <w:t>148.</w:t>
      </w:r>
      <w:r>
        <w:tab/>
        <w:t xml:space="preserve">Στο συγκεκριμένο υπόδειγμα ζητούνται πληροφορίες για τις θέσεις και τις </w:t>
      </w:r>
      <w:r>
        <w:t>α</w:t>
      </w:r>
      <w:r>
        <w:t>ντίστοιχες απαιτήσεις ιδίων κεφαλαίων για τον κίνδυνο θέσης σε μετοχικά κεφ</w:t>
      </w:r>
      <w:r>
        <w:t>ά</w:t>
      </w:r>
      <w:r>
        <w:t>λαια, που τηρούνται στο χαρτοφυλάκιο συναλλαγών και αντιμετωπίζονται βάσει της τυποποιημένης προσέγγισης.</w:t>
      </w:r>
    </w:p>
    <w:p w:rsidR="000B0B09" w:rsidRPr="00392FFD" w:rsidRDefault="00125707" w:rsidP="001A3980">
      <w:pPr>
        <w:pStyle w:val="InstructionsText2"/>
        <w:numPr>
          <w:ilvl w:val="0"/>
          <w:numId w:val="0"/>
        </w:numPr>
        <w:ind w:left="993"/>
      </w:pPr>
      <w:r>
        <w:t>149.</w:t>
      </w:r>
      <w:r>
        <w:tab/>
        <w:t>Το υπόδειγμα πρέπει να συμπληρωθεί χωριστά για το «Σύνολο», καθώς και για έναν στατικό προκαθορισμένο κατάλογο των ακόλουθων αγορών: Βουλγαρία, Κροατία, Τσεχική Δημοκρατία, Δανία, Αίγυπτος, Ουγγαρία, Ισλανδία, Λιχτενστ</w:t>
      </w:r>
      <w:r>
        <w:t>ά</w:t>
      </w:r>
      <w:r>
        <w:t>ιν, Νορβηγία, Πολωνία, Ρουμανία, Σουηδία, Ηνωμένο Βασίλειο, Αλβανία, Ιαπων</w:t>
      </w:r>
      <w:r>
        <w:t>ί</w:t>
      </w:r>
      <w:r>
        <w:t>α, πρώην Γιουγκοσλαβική Δημοκρατία της Μακεδονίας, Ρωσική Ομοσπονδία, Σερβία, Ελβετία, Τουρκία, Ουκρανία, ΗΠΑ, Ζώνη του ευρώ, ενώ πρέπει να σ</w:t>
      </w:r>
      <w:r>
        <w:t>υ</w:t>
      </w:r>
      <w:r>
        <w:t>μπληρωθεί και ένα εναπομένον υπόδειγμα για όλες τις άλλες αγορές. Για τους σκ</w:t>
      </w:r>
      <w:r>
        <w:t>ο</w:t>
      </w:r>
      <w:r>
        <w:t>πούς της παρούσας απαίτησης υποβολής αναφοράς, ο όρος «αγορά» σημαίνει «χ</w:t>
      </w:r>
      <w:r>
        <w:t>ώ</w:t>
      </w:r>
      <w:r>
        <w:t>ρα» (με εξαίρεση τις χώρες που ανήκουν στη ζώνη του ευρώ, βλέπε κατ’ εξουσι</w:t>
      </w:r>
      <w:r>
        <w:t>ο</w:t>
      </w:r>
      <w:r>
        <w:t>δότηση κανονισμό (ΕΕ) αριθ. 525/2014 της Επιτροπής).</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90" w:name="_Toc262566431"/>
      <w:bookmarkStart w:id="591" w:name="_Toc295830007"/>
      <w:bookmarkStart w:id="592" w:name="_Toc308426684"/>
      <w:bookmarkStart w:id="593" w:name="_Toc310415068"/>
      <w:bookmarkStart w:id="594" w:name="_Toc360188403"/>
      <w:bookmarkStart w:id="595" w:name="_Toc516210694"/>
      <w:bookmarkStart w:id="596" w:name="_Toc473561043"/>
      <w:r>
        <w:rPr>
          <w:rFonts w:ascii="Times New Roman" w:hAnsi="Times New Roman"/>
          <w:sz w:val="24"/>
          <w:u w:val="none"/>
        </w:rPr>
        <w:t>5.4.2.</w:t>
      </w:r>
      <w:r>
        <w:tab/>
      </w:r>
      <w:r>
        <w:rPr>
          <w:rFonts w:ascii="Times New Roman" w:hAnsi="Times New Roman"/>
          <w:sz w:val="24"/>
        </w:rPr>
        <w:t>Οδηγίες για συγκεκριμένες θέσεις</w:t>
      </w:r>
      <w:bookmarkEnd w:id="590"/>
      <w:bookmarkEnd w:id="591"/>
      <w:bookmarkEnd w:id="592"/>
      <w:bookmarkEnd w:id="593"/>
      <w:bookmarkEnd w:id="594"/>
      <w:bookmarkEnd w:id="595"/>
      <w:bookmarkEnd w:id="5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26"/>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102 και άρθρο 105 παράγραφος 1 του ΚΚΑ Πρόκειται για ακαθάριστες θέσεις που δεν έχουν συμψηφιστεί με τίτλους, αφαιρώντας τις θέσεις αναδοχής που έχουν αναληφθεί ή </w:t>
            </w:r>
            <w:proofErr w:type="spellStart"/>
            <w:r>
              <w:rPr>
                <w:rFonts w:ascii="Times New Roman" w:hAnsi="Times New Roman"/>
                <w:sz w:val="24"/>
              </w:rPr>
              <w:t>υποαναληφθεί</w:t>
            </w:r>
            <w:proofErr w:type="spellEnd"/>
            <w:r>
              <w:rPr>
                <w:rFonts w:ascii="Times New Roman" w:hAnsi="Times New Roman"/>
                <w:sz w:val="24"/>
              </w:rPr>
              <w:t xml:space="preserve"> από τρίτους (άρθρο 345 δεύτερη περί</w:t>
            </w:r>
            <w:r>
              <w:rPr>
                <w:rFonts w:ascii="Times New Roman" w:hAnsi="Times New Roman"/>
                <w:sz w:val="24"/>
              </w:rPr>
              <w:t>ο</w:t>
            </w:r>
            <w:r>
              <w:rPr>
                <w:rFonts w:ascii="Times New Roman" w:hAnsi="Times New Roman"/>
                <w:sz w:val="24"/>
              </w:rPr>
              <w:t xml:space="preserve">δος του ΚΚΑ). </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ΚΑΘΑΡΕΣ ΘΕΣΕΙΣ (ΘΕΤΙΚΕΣ ΚΑΙ ΑΡΝΗΤΙΚΕΣ)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Άρθρα 327, 329, 332, 341 και 345 του ΚΚΑ </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w:t>
            </w:r>
          </w:p>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καθαρές θέσεις που, σύμφωνα με τις διαφορετικές προσεγγίσεις που εξετ</w:t>
            </w:r>
            <w:r>
              <w:rPr>
                <w:rFonts w:ascii="Times New Roman" w:hAnsi="Times New Roman"/>
                <w:sz w:val="24"/>
              </w:rPr>
              <w:t>ά</w:t>
            </w:r>
            <w:r>
              <w:rPr>
                <w:rFonts w:ascii="Times New Roman" w:hAnsi="Times New Roman"/>
                <w:sz w:val="24"/>
              </w:rPr>
              <w:t>ζονται στο τρίτο μέρος τίτλος IV κεφάλαιο 2 του ΚΚΑ, υπόκεινται σε κεφ</w:t>
            </w:r>
            <w:r>
              <w:rPr>
                <w:rFonts w:ascii="Times New Roman" w:hAnsi="Times New Roman"/>
                <w:sz w:val="24"/>
              </w:rPr>
              <w:t>α</w:t>
            </w:r>
            <w:r>
              <w:rPr>
                <w:rFonts w:ascii="Times New Roman" w:hAnsi="Times New Roman"/>
                <w:sz w:val="24"/>
              </w:rPr>
              <w:t>λαιακή επιβάρυνση. Η κεφαλαιακή επιβάρυνση πρέπει να υπολογίζεται χωρ</w:t>
            </w:r>
            <w:r>
              <w:rPr>
                <w:rFonts w:ascii="Times New Roman" w:hAnsi="Times New Roman"/>
                <w:sz w:val="24"/>
              </w:rPr>
              <w:t>ι</w:t>
            </w:r>
            <w:r>
              <w:rPr>
                <w:rFonts w:ascii="Times New Roman" w:hAnsi="Times New Roman"/>
                <w:sz w:val="24"/>
              </w:rPr>
              <w:lastRenderedPageBreak/>
              <w:t>στά για κάθε εθνική αγορά. Οι θέσεις σε συμβόλαια μελλοντικής εκπλήρωσης επί δείκτη μετοχών, κατά την έννοια του άρθρου 344 παράγραφος 4 δεύτερη περίοδος του ΚΚΑ, δεν περιλαμβάνονται στη συγκεκριμένη στήλη.</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Η κεφαλαιακή επιβάρυνση για κάθε σχετική θέση, σύμφωνα με το τρίτο μέρος τίτλος IV κεφάλαιο 2 του ΚΚΑ.</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Άρθρο 92 παράγραφος 4 στοιχείο β) του ΚΚΑ Αποτέλεσμα του πολλαπλασι</w:t>
            </w:r>
            <w:r>
              <w:rPr>
                <w:rFonts w:ascii="Times New Roman" w:hAnsi="Times New Roman"/>
                <w:sz w:val="24"/>
              </w:rPr>
              <w:t>α</w:t>
            </w:r>
            <w:r>
              <w:rPr>
                <w:rFonts w:ascii="Times New Roman" w:hAnsi="Times New Roman"/>
                <w:sz w:val="24"/>
              </w:rPr>
              <w:t xml:space="preserve">σμού των απαιτήσεων ιδίων κεφαλαίων επί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6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ΜΕΤΟΧΕΣ ΕΝΤΟΣ ΧΑΡΤΟΦΥΛΑΚΙΟΥ ΣΥΝΑΛΛΑΓΩΝ</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Απαιτήσεις ιδίων κεφαλαίων για τον κίνδυνο θέσης, σύμφωνα με το άρθρο 92 π</w:t>
            </w:r>
            <w:r>
              <w:rPr>
                <w:rFonts w:ascii="Times New Roman" w:hAnsi="Times New Roman"/>
                <w:sz w:val="24"/>
              </w:rPr>
              <w:t>α</w:t>
            </w:r>
            <w:r>
              <w:rPr>
                <w:rFonts w:ascii="Times New Roman" w:hAnsi="Times New Roman"/>
                <w:sz w:val="24"/>
              </w:rPr>
              <w:t>ράγραφος 3 στοιχείο β) σημείο i) του ΚΚΑ και το τρίτο μέρος τίτλος IV κεφάλαιο 2 τμήμα 3 του ΚΚΑ.</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ΓΕΝΙΚΟΣ ΚΙΝΔΥΝΟΣ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σε μετοχές που υπόκεινται σε γενικό κίνδυνο (άρθρο 343 του ΚΚΑ) και οι αντίστοιχες απαιτήσεις ιδίων κεφαλαίων τους, σύμφωνα με το τρίτο μέρος τίτλος IV κεφάλαιο 2 τμήμα 3 του ΚΚΑ.</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Αμφότερες οι κατανομές (021/022, καθώς και 030/040) είναι κατανομές σε σχέση με όλες τις θέσεις που υπόκεινται σε γενικό κίνδυνο.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Στις γραμμές 021 και 022 ζητούνται πληροφορίες για την κατανομή σύμφωνα με τα μέσα. Μόνο η κατανομή στις γραμμές 030 και 040 χρησιμοποιείται ως βάση για τον υπολογισμό των απαιτήσεων ιδίων κεφαλαίων.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021</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Παράγωγα</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Παράγωγα που περιλαμβάνονται στον υπολογισμό του κινδύνου μετοχικών τίτλων των θέσεων του χαρτοφυλακίου συναλλαγών, λαμβανομένων υπόψη των άρθρων 329 έως 332, κατά περίπτωση.</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022</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Άλλα στοιχεία του ενεργητικού και του παθητικού</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Τίτλοι, εκτός των παραγώγων, που περιλαμβάνονται στον υπολογισμό του κινδ</w:t>
            </w:r>
            <w:r>
              <w:rPr>
                <w:rFonts w:ascii="Times New Roman" w:hAnsi="Times New Roman"/>
                <w:sz w:val="24"/>
              </w:rPr>
              <w:t>ύ</w:t>
            </w:r>
            <w:r>
              <w:rPr>
                <w:rFonts w:ascii="Times New Roman" w:hAnsi="Times New Roman"/>
                <w:sz w:val="24"/>
              </w:rPr>
              <w:t xml:space="preserve">νου μετοχικών τίτλων των θέσεων του χαρτοφυλακίου συναλλαγών.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Διαπραγματεύσιμα στο χρηματιστήριο συμβόλαια μελλοντικής εκπλήρωσης επί δείκτη μετοχών ευρέως διαφοροποιημένα που υπόκεινται σε ειδική πρ</w:t>
            </w:r>
            <w:r>
              <w:rPr>
                <w:rFonts w:ascii="Times New Roman" w:hAnsi="Times New Roman"/>
                <w:b/>
                <w:sz w:val="24"/>
                <w:u w:val="single"/>
              </w:rPr>
              <w:t>ο</w:t>
            </w:r>
            <w:r>
              <w:rPr>
                <w:rFonts w:ascii="Times New Roman" w:hAnsi="Times New Roman"/>
                <w:b/>
                <w:sz w:val="24"/>
                <w:u w:val="single"/>
              </w:rPr>
              <w:t>σέγγιση</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Διαπραγματεύσιμα στο χρηματιστήριο συμβόλαια μελλοντικής εκπλήρωσης επί </w:t>
            </w:r>
            <w:r>
              <w:rPr>
                <w:rFonts w:ascii="Times New Roman" w:hAnsi="Times New Roman"/>
                <w:sz w:val="24"/>
              </w:rPr>
              <w:lastRenderedPageBreak/>
              <w:t>δείκτη μετοχών ευρέως διαφοροποιημένα που υπόκεινται σε ειδική προσέγγιση, σύμφωνα με το άρθρο 344 παράγραφοι 1 και 4 του ΚΚΑ. Οι θέσεις αυτές υπόκε</w:t>
            </w:r>
            <w:r>
              <w:rPr>
                <w:rFonts w:ascii="Times New Roman" w:hAnsi="Times New Roman"/>
                <w:sz w:val="24"/>
              </w:rPr>
              <w:t>ι</w:t>
            </w:r>
            <w:r>
              <w:rPr>
                <w:rFonts w:ascii="Times New Roman" w:hAnsi="Times New Roman"/>
                <w:sz w:val="24"/>
              </w:rPr>
              <w:t>νται μόνο σε γενικό κίνδυνο και, επομένως, δεν πρέπει να αναφέρονται στη γρα</w:t>
            </w:r>
            <w:r>
              <w:rPr>
                <w:rFonts w:ascii="Times New Roman" w:hAnsi="Times New Roman"/>
                <w:sz w:val="24"/>
              </w:rPr>
              <w:t>μ</w:t>
            </w:r>
            <w:r>
              <w:rPr>
                <w:rFonts w:ascii="Times New Roman" w:hAnsi="Times New Roman"/>
                <w:sz w:val="24"/>
              </w:rPr>
              <w:t>μή 050.</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Άλλες μετοχές πλην των διαπραγματεύσιμων στο χρηματιστήριο συμβολαίων μελλοντικής εκπλήρωσης επί δείκτη μετοχών ευρέως διαφοροποιημένων</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Άλλες θέσεις σε μετοχές που υπόκεινται σε ειδικό κίνδυνο και οι αντίστοιχες </w:t>
            </w:r>
            <w:r>
              <w:rPr>
                <w:rFonts w:ascii="Times New Roman" w:hAnsi="Times New Roman"/>
                <w:sz w:val="24"/>
              </w:rPr>
              <w:t>α</w:t>
            </w:r>
            <w:r>
              <w:rPr>
                <w:rFonts w:ascii="Times New Roman" w:hAnsi="Times New Roman"/>
                <w:sz w:val="24"/>
              </w:rPr>
              <w:t>παιτήσεις ιδίων κεφαλαίων, σύμφωνα με το άρθρο 343 και το άρθρο 344 παρ</w:t>
            </w:r>
            <w:r>
              <w:rPr>
                <w:rFonts w:ascii="Times New Roman" w:hAnsi="Times New Roman"/>
                <w:sz w:val="24"/>
              </w:rPr>
              <w:t>ά</w:t>
            </w:r>
            <w:r>
              <w:rPr>
                <w:rFonts w:ascii="Times New Roman" w:hAnsi="Times New Roman"/>
                <w:sz w:val="24"/>
              </w:rPr>
              <w:t xml:space="preserve">γραφος 3 του ΚΚΑ.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ΕΙΔΙΚΟΣ ΚΙΝΔΥΝΟΣ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Θέσεις σε μετοχές που υπόκεινται σε ειδικό κίνδυνο και οι αντίστοιχες απαιτήσεις ιδίων κεφαλαίων, σύμφωνα με το άρθρο 342 και το άρθρο 344 παράγραφος 4 του ΚΚΑ.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090-130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ΠΡΟΣΘΕΤΕΣ ΑΠΑΙΤΗΣΕΙΣ ΓΙΑ ΤΑ ΔΙΚΑΙΩΜΑΤΑ ΠΡΟΑΙΡΕΣΗΣ (ΚΙΝΔΥΝΟΙ ΠΟΥ ΔΕΝ ΥΠΟΚΕΙΝΤΑΙ ΣΤΟΝ ΣΥΝΤΕΛΕΣΤΗ ΔΕΛΤΑ)</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329 παράγραφοι 2 και 3 του ΚΚΑ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πρόσθετες απαιτήσεις για τα δικαιώματα προαίρεσης που σχετίζονται με κινδ</w:t>
            </w:r>
            <w:r>
              <w:rPr>
                <w:rFonts w:ascii="Times New Roman" w:hAnsi="Times New Roman"/>
                <w:sz w:val="24"/>
              </w:rPr>
              <w:t>ύ</w:t>
            </w:r>
            <w:r>
              <w:rPr>
                <w:rFonts w:ascii="Times New Roman" w:hAnsi="Times New Roman"/>
                <w:sz w:val="24"/>
              </w:rPr>
              <w:t>νους που δεν υπόκεινται στον συντελεστή δέλτα αναφέρονται στη μέθοδο που χρησιμοποιείται για τον υπολογισμό τους.</w:t>
            </w: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97" w:name="_Toc262566432"/>
      <w:bookmarkStart w:id="598" w:name="_Toc295830008"/>
      <w:bookmarkStart w:id="599" w:name="_Toc308426685"/>
      <w:bookmarkStart w:id="600" w:name="_Toc310415069"/>
      <w:bookmarkStart w:id="601" w:name="_Toc360188404"/>
      <w:bookmarkStart w:id="602" w:name="_Toc516210695"/>
      <w:bookmarkStart w:id="603" w:name="_Toc473561044"/>
      <w:r>
        <w:rPr>
          <w:rFonts w:ascii="Times New Roman" w:hAnsi="Times New Roman"/>
          <w:sz w:val="24"/>
          <w:u w:val="none"/>
        </w:rPr>
        <w:t>5.5.</w:t>
      </w:r>
      <w:r>
        <w:tab/>
      </w:r>
      <w:r>
        <w:rPr>
          <w:rFonts w:ascii="Times New Roman" w:hAnsi="Times New Roman"/>
          <w:sz w:val="24"/>
        </w:rPr>
        <w:t>C 22.00 – Κίνδυνος Αγοράς: Τυποποιημένες προσεγγίσεις για τον κίνδυνο συναλλά</w:t>
      </w:r>
      <w:r>
        <w:rPr>
          <w:rFonts w:ascii="Times New Roman" w:hAnsi="Times New Roman"/>
          <w:sz w:val="24"/>
        </w:rPr>
        <w:t>γ</w:t>
      </w:r>
      <w:r>
        <w:rPr>
          <w:rFonts w:ascii="Times New Roman" w:hAnsi="Times New Roman"/>
          <w:sz w:val="24"/>
        </w:rPr>
        <w:t>ματος</w:t>
      </w:r>
      <w:bookmarkEnd w:id="597"/>
      <w:bookmarkEnd w:id="598"/>
      <w:bookmarkEnd w:id="599"/>
      <w:bookmarkEnd w:id="600"/>
      <w:bookmarkEnd w:id="601"/>
      <w:r>
        <w:rPr>
          <w:rFonts w:ascii="Times New Roman" w:hAnsi="Times New Roman"/>
          <w:sz w:val="24"/>
        </w:rPr>
        <w:t xml:space="preserve"> (MKR SA FX)</w:t>
      </w:r>
      <w:bookmarkEnd w:id="602"/>
      <w:bookmarkEnd w:id="603"/>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04" w:name="_Toc262566433"/>
      <w:bookmarkStart w:id="605" w:name="_Toc295830009"/>
      <w:bookmarkStart w:id="606" w:name="_Toc308426686"/>
      <w:bookmarkStart w:id="607" w:name="_Toc310415070"/>
      <w:bookmarkStart w:id="608" w:name="_Toc360188405"/>
      <w:bookmarkStart w:id="609" w:name="_Toc516210696"/>
      <w:bookmarkStart w:id="610" w:name="_Toc473561045"/>
      <w:r>
        <w:rPr>
          <w:rFonts w:ascii="Times New Roman" w:hAnsi="Times New Roman"/>
          <w:sz w:val="24"/>
          <w:u w:val="none"/>
        </w:rPr>
        <w:t>5.5.1.</w:t>
      </w:r>
      <w:r>
        <w:tab/>
      </w:r>
      <w:r>
        <w:rPr>
          <w:rFonts w:ascii="Times New Roman" w:hAnsi="Times New Roman"/>
          <w:sz w:val="24"/>
        </w:rPr>
        <w:t>Γενικές παρατηρήσεις</w:t>
      </w:r>
      <w:bookmarkEnd w:id="604"/>
      <w:bookmarkEnd w:id="605"/>
      <w:bookmarkEnd w:id="606"/>
      <w:bookmarkEnd w:id="607"/>
      <w:bookmarkEnd w:id="608"/>
      <w:bookmarkEnd w:id="609"/>
      <w:bookmarkEnd w:id="610"/>
    </w:p>
    <w:p w:rsidR="00F71DF2" w:rsidRPr="00392FFD" w:rsidRDefault="00125707" w:rsidP="001A3980">
      <w:pPr>
        <w:pStyle w:val="InstructionsText2"/>
        <w:numPr>
          <w:ilvl w:val="0"/>
          <w:numId w:val="0"/>
        </w:numPr>
        <w:ind w:left="993"/>
      </w:pPr>
      <w:r>
        <w:t>150.</w:t>
      </w:r>
      <w:r>
        <w:tab/>
        <w:t>Τα ιδρύματα αναφέρουν πληροφορίες για τις θέσεις σε κάθε νόμισμα (συμπ</w:t>
      </w:r>
      <w:r>
        <w:t>ε</w:t>
      </w:r>
      <w:r>
        <w:t>ριλαμβανομένου του νομίσματος που χρησιμοποιείται για την υποβολή αναφορών) και τις αντίστοιχες απαιτήσεις ιδίων κεφαλαίων για συνάλλαγμα, που αντιμετωπ</w:t>
      </w:r>
      <w:r>
        <w:t>ί</w:t>
      </w:r>
      <w:r>
        <w:t>ζονται βάσει της τυποποιημένης προσέγγισης. Η θέση υπολογίζεται για κάθε νόμ</w:t>
      </w:r>
      <w:r>
        <w:t>ι</w:t>
      </w:r>
      <w:r>
        <w:t xml:space="preserve">σμα (συμπεριλαμβανομένου του ευρώ), για χρυσό και για θέσεις σε ΟΣΕ. </w:t>
      </w:r>
    </w:p>
    <w:p w:rsidR="000B0B09" w:rsidRPr="00392FFD" w:rsidRDefault="00125707" w:rsidP="001A3980">
      <w:pPr>
        <w:pStyle w:val="InstructionsText2"/>
        <w:numPr>
          <w:ilvl w:val="0"/>
          <w:numId w:val="0"/>
        </w:numPr>
        <w:ind w:left="993"/>
      </w:pPr>
      <w:r>
        <w:t>151.</w:t>
      </w:r>
      <w:r>
        <w:tab/>
        <w:t>Οι γραμμές 100 έως 480 του παρόντος υποδείγματος αναφέρονται ακόμη και αν δεν απαιτείται από τα ιδρύματα να υπολογίζουν τις απαιτήσεις ιδίων κεφαλαίων για κίνδυνο συναλλάγματος, σύμφωνα με το άρθρο 351 του ΚΚΑ. Σε αυτά τα υπ</w:t>
      </w:r>
      <w:r>
        <w:t>ο</w:t>
      </w:r>
      <w:r>
        <w:t>μνηματικά στοιχεία περιλαμβάνονται όλες οι θέσεις στο νόμισμα που χρησιμοπο</w:t>
      </w:r>
      <w:r>
        <w:t>ι</w:t>
      </w:r>
      <w:r>
        <w:t>είται για την υποβολή αναφορών, ανεξάρτητα από τον βαθμό στον οποίο λαμβάν</w:t>
      </w:r>
      <w:r>
        <w:t>ο</w:t>
      </w:r>
      <w:r>
        <w:t>νται υπόψη για τους σκοπούς του άρθρου 354 του ΚΚΑ. Οι γραμμές 130 έως 480 των υπομνηματικών στοιχείων του υποδείγματος συμπληρώνονται χωριστά για όλα τα νομίσματα των κρατών μελών της Ένωσης και για τα ακόλουθα νομίσματα: USD, CHF, JPY, RUB, TRY, AUD, CAD, RSD, ALL, UAH, MKD, EGP, ARS, BRL, MXN, HKD, ICK, TWD, NZD, NOK, SGD, KRW, CNY και όλα τα άλλα νομίσματα.</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11" w:name="_Toc262566434"/>
      <w:bookmarkStart w:id="612" w:name="_Toc295830010"/>
      <w:bookmarkStart w:id="613" w:name="_Toc308426687"/>
      <w:bookmarkStart w:id="614" w:name="_Toc310415071"/>
      <w:bookmarkStart w:id="615" w:name="_Toc360188406"/>
      <w:bookmarkStart w:id="616" w:name="_Toc516210697"/>
      <w:bookmarkStart w:id="617" w:name="_Toc473561046"/>
      <w:r>
        <w:rPr>
          <w:rFonts w:ascii="Times New Roman" w:hAnsi="Times New Roman"/>
          <w:sz w:val="24"/>
          <w:u w:val="none"/>
        </w:rPr>
        <w:lastRenderedPageBreak/>
        <w:t>5.5.2.</w:t>
      </w:r>
      <w:r>
        <w:tab/>
      </w:r>
      <w:r>
        <w:rPr>
          <w:rFonts w:ascii="Times New Roman" w:hAnsi="Times New Roman"/>
          <w:sz w:val="24"/>
        </w:rPr>
        <w:t>Οδηγίες για συγκεκριμένες θέσεις</w:t>
      </w:r>
      <w:bookmarkEnd w:id="611"/>
      <w:bookmarkEnd w:id="612"/>
      <w:bookmarkEnd w:id="613"/>
      <w:bookmarkEnd w:id="614"/>
      <w:bookmarkEnd w:id="615"/>
      <w:bookmarkEnd w:id="616"/>
      <w:bookmarkEnd w:id="6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95"/>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rsidR="000B0B09" w:rsidRPr="00392FFD" w:rsidRDefault="000B0B09" w:rsidP="00283B5F">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Ακαθάριστες θέσεις λόγω στοιχείων ενεργητικού, ποσών προς είσπραξη και παρόμοιων στοιχείων αναφερόμενων στο άρθρο 352 παράγραφος 1 του ΚΚΑ. Σύμφωνα με το άρθρο 352 παράγραφος 2 και με την επιφύλαξη της άδειας από τις αρμόδιες αρχές, οι θέσεις που λαμβάνονται ως αντιστάθμιση έναντι των δυσμενών συνεπειών των συναλλαγματικών διακυμάνσεων στους συντελεστές τους, σύμφωνα με το άρθρο 92 παράγραφος 1, και οι θέσεις που αφορούν στοιχεία που έχουν ήδη εκπέσει κατά τον υπολογισμό των ιδίων κεφαλαίων δεν αναφέρονται.</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ΚΑΘΑΡΕΣ ΘΕΣΕΙΣ (ΘΕΤΙΚΕΣ ΚΑΙ ΑΡΝΗΤΙΚΕΣ)</w:t>
            </w:r>
          </w:p>
          <w:p w:rsidR="000B0B09" w:rsidRPr="00392FFD" w:rsidRDefault="000B0B09" w:rsidP="000B0B09">
            <w:pPr>
              <w:autoSpaceDE w:val="0"/>
              <w:autoSpaceDN w:val="0"/>
              <w:adjustRightInd w:val="0"/>
              <w:spacing w:before="0" w:after="0"/>
              <w:rPr>
                <w:rFonts w:ascii="Times New Roman" w:hAnsi="Times New Roman"/>
                <w:sz w:val="24"/>
              </w:rPr>
            </w:pPr>
          </w:p>
          <w:p w:rsidR="00283B5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Άρθρο 352 παράγραφος 3 και παράγραφος 4 πρώτη και δεύτερη περίοδος και άρθρο 353 του ΚΚΑ</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Οι καθαρές θέσεις υπολογίζονται με βάση κάθε νόμισμα, οπότε ενδέχεται να υπάρχουν ταυτόχρονα θετικές και αρνητικές θέσεις.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352 παράγραφος 4 τρίτη περίοδος, άρθρα 353 και 354 του ΚΚΑ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060-070</w:t>
            </w:r>
          </w:p>
        </w:tc>
        <w:tc>
          <w:tcPr>
            <w:tcW w:w="787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ΘΕΣΕΙΣ ΠΟΥ ΥΠΟΚΕΙΝΤΑΙ ΣΕ ΚΕΦΑΛΑΙΑΚΗ ΕΠΙΒΑΡΥΝΣΗ (Θ</w:t>
            </w:r>
            <w:r>
              <w:rPr>
                <w:rFonts w:ascii="Times New Roman" w:hAnsi="Times New Roman"/>
                <w:b/>
                <w:sz w:val="24"/>
                <w:u w:val="single"/>
              </w:rPr>
              <w:t>Ε</w:t>
            </w:r>
            <w:r>
              <w:rPr>
                <w:rFonts w:ascii="Times New Roman" w:hAnsi="Times New Roman"/>
                <w:b/>
                <w:sz w:val="24"/>
                <w:u w:val="single"/>
              </w:rPr>
              <w:t>ΤΙΚΕΣ ΚΑΙ ΑΡΝΗΤΙΚΕΣ)</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θετικές και οι αρνητικές καθαρές θέσεις για κάθε νόμισμα υπολογίζονται αφαιρώντας το σύνολο των αρνητικών θέσεων από το σύνολο των θετικών.</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θετικές καθαρές θέσεις για κάθε πράξη σε ένα νόμισμα προστίθενται για τον υπολογισμό της καθαρής θετικής θέσης στο νόμισμα αυτό.</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αρνητικές καθαρές θέσεις για κάθε πράξη σε ένα νόμισμα προστίθενται για τον υπολογισμό της καθαρής αρνητικής θέσης στο νόμισμα αυτό.</w:t>
            </w:r>
          </w:p>
          <w:p w:rsidR="000B0B09" w:rsidRPr="00392FFD" w:rsidRDefault="000B0B09" w:rsidP="00283B5F">
            <w:pPr>
              <w:autoSpaceDE w:val="0"/>
              <w:autoSpaceDN w:val="0"/>
              <w:adjustRightInd w:val="0"/>
              <w:spacing w:before="0" w:after="0"/>
              <w:rPr>
                <w:rFonts w:ascii="Times New Roman" w:hAnsi="Times New Roman"/>
                <w:sz w:val="24"/>
              </w:rPr>
            </w:pPr>
            <w:r>
              <w:rPr>
                <w:rFonts w:ascii="Times New Roman" w:hAnsi="Times New Roman"/>
                <w:sz w:val="24"/>
              </w:rPr>
              <w:t xml:space="preserve">Οι μη αντιστοιχισμένες θέσεις σε νομίσματα που δεν χρησιμοποιούνται για την υποβολή αναφορών προστίθενται σε θέσεις που υπόκεινται σε κεφαλαιακή </w:t>
            </w:r>
            <w:r>
              <w:rPr>
                <w:rFonts w:ascii="Times New Roman" w:hAnsi="Times New Roman"/>
                <w:sz w:val="24"/>
              </w:rPr>
              <w:t>ε</w:t>
            </w:r>
            <w:r>
              <w:rPr>
                <w:rFonts w:ascii="Times New Roman" w:hAnsi="Times New Roman"/>
                <w:sz w:val="24"/>
              </w:rPr>
              <w:t>πιβάρυνση για άλλα νομίσματα (γραμμή 030) στη στήλη (060) ή (070), ανάλ</w:t>
            </w:r>
            <w:r>
              <w:rPr>
                <w:rFonts w:ascii="Times New Roman" w:hAnsi="Times New Roman"/>
                <w:sz w:val="24"/>
              </w:rPr>
              <w:t>ο</w:t>
            </w:r>
            <w:r>
              <w:rPr>
                <w:rFonts w:ascii="Times New Roman" w:hAnsi="Times New Roman"/>
                <w:sz w:val="24"/>
              </w:rPr>
              <w:t>γα με το αν διατάσσονται θετικά ή αρνητικά.</w:t>
            </w:r>
          </w:p>
          <w:p w:rsidR="00DE48EF" w:rsidRPr="00392FFD" w:rsidRDefault="00DE48EF" w:rsidP="00283B5F">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 (</w:t>
            </w:r>
            <w:r>
              <w:rPr>
                <w:rFonts w:ascii="Times New Roman" w:hAnsi="Times New Roman"/>
                <w:b/>
                <w:sz w:val="24"/>
                <w:u w:val="single"/>
              </w:rPr>
              <w:t>Α</w:t>
            </w:r>
            <w:r>
              <w:rPr>
                <w:rFonts w:ascii="Times New Roman" w:hAnsi="Times New Roman"/>
                <w:b/>
                <w:sz w:val="24"/>
                <w:u w:val="single"/>
              </w:rPr>
              <w:t>ΝΤΙΣΤΟΙΧΙΣΜΕΝΕΣ)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Αντιστοιχισμένες θέσεις για στενά συσχετιζόμενα νομίσματα.</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Η κεφαλαιακή επιβάρυνση για κάθε σχετική θέση, σύμφωνα με το τρίτο μέρος τίτλος IV κεφάλαιο 3 του ΚΚΑ.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Άρθρο 92 παράγραφος 4 στοιχείο β) του ΚΚΑ Αποτέλεσμα του πολλαπλασι</w:t>
            </w:r>
            <w:r>
              <w:rPr>
                <w:rFonts w:ascii="Times New Roman" w:hAnsi="Times New Roman"/>
                <w:sz w:val="24"/>
              </w:rPr>
              <w:t>α</w:t>
            </w:r>
            <w:r>
              <w:rPr>
                <w:rFonts w:ascii="Times New Roman" w:hAnsi="Times New Roman"/>
                <w:sz w:val="24"/>
              </w:rPr>
              <w:t xml:space="preserve">σμού των απαιτήσεων ιδίων κεφαλαίων επί 12,5. </w:t>
            </w:r>
          </w:p>
          <w:p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rsidTr="00672D2A">
        <w:trPr>
          <w:trHeight w:val="497"/>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ΣΥΝΟΛΙΚΕΣ ΘΕΣΕΙΣ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Όλες οι θέσεις σε νομίσματα που δεν χρησιμοποιούνται για την υποβολή αν</w:t>
            </w:r>
            <w:r>
              <w:rPr>
                <w:rFonts w:ascii="Times New Roman" w:hAnsi="Times New Roman"/>
                <w:sz w:val="24"/>
              </w:rPr>
              <w:t>α</w:t>
            </w:r>
            <w:r>
              <w:rPr>
                <w:rFonts w:ascii="Times New Roman" w:hAnsi="Times New Roman"/>
                <w:sz w:val="24"/>
              </w:rPr>
              <w:t>φορών και οι θέσεις στο νόμισμα που χρησιμοποιείται για την υποβολή αν</w:t>
            </w:r>
            <w:r>
              <w:rPr>
                <w:rFonts w:ascii="Times New Roman" w:hAnsi="Times New Roman"/>
                <w:sz w:val="24"/>
              </w:rPr>
              <w:t>α</w:t>
            </w:r>
            <w:r>
              <w:rPr>
                <w:rFonts w:ascii="Times New Roman" w:hAnsi="Times New Roman"/>
                <w:sz w:val="24"/>
              </w:rPr>
              <w:t>φορών, οι οποίες λαμβάνονται υπόψη για τους σκοπούς του άρθρου 354 του ΚΚΑ, καθώς και οι αντίστοιχες απαιτήσεις ιδίων κεφαλαίων τους, σύμφωνα με το άρθρο 92 παράγραφος 3 στοιχείο γ) σημείο i) και το άρθρο 352 παράγρ</w:t>
            </w:r>
            <w:r>
              <w:rPr>
                <w:rFonts w:ascii="Times New Roman" w:hAnsi="Times New Roman"/>
                <w:sz w:val="24"/>
              </w:rPr>
              <w:t>α</w:t>
            </w:r>
            <w:r>
              <w:rPr>
                <w:rFonts w:ascii="Times New Roman" w:hAnsi="Times New Roman"/>
                <w:sz w:val="24"/>
              </w:rPr>
              <w:t>φοι 2 και 4 του ΚΚΑ (για τη μετατροπή στο νόμισμα που χρησιμοποιείται για την υποβολή αναφορών).</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ΣΤΕΝΑ ΣΥΣΧΕΤΙΖΟΜΕΝΑ ΝΟΜΙΣΜΑΤΑ</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και οι αντίστοιχες απαιτήσεις ιδίων κεφαλαίων τους για τα νομίσματα που αναφέρονται στο άρθρο 354 του ΚΚΑ.</w:t>
            </w:r>
          </w:p>
          <w:p w:rsidR="000B0B09" w:rsidRPr="00392FFD" w:rsidRDefault="000B0B09" w:rsidP="000B0B09">
            <w:pPr>
              <w:autoSpaceDE w:val="0"/>
              <w:autoSpaceDN w:val="0"/>
              <w:adjustRightInd w:val="0"/>
              <w:spacing w:before="0" w:after="0"/>
              <w:rPr>
                <w:rFonts w:ascii="Times New Roman" w:hAnsi="Times New Roman"/>
                <w:sz w:val="24"/>
              </w:rPr>
            </w:pPr>
          </w:p>
        </w:tc>
      </w:tr>
      <w:tr w:rsidR="00491F4D" w:rsidRPr="00392FFD" w:rsidTr="00672D2A">
        <w:tc>
          <w:tcPr>
            <w:tcW w:w="991" w:type="dxa"/>
          </w:tcPr>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025</w:t>
            </w:r>
          </w:p>
        </w:tc>
        <w:tc>
          <w:tcPr>
            <w:tcW w:w="7871" w:type="dxa"/>
          </w:tcPr>
          <w:p w:rsidR="00491F4D" w:rsidRPr="00392FFD"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Στενά συσχετιζόμενα νομίσματα: </w:t>
            </w:r>
            <w:r>
              <w:rPr>
                <w:rFonts w:ascii="Times New Roman" w:hAnsi="Times New Roman"/>
                <w:b/>
                <w:i/>
                <w:sz w:val="24"/>
                <w:u w:val="single"/>
              </w:rPr>
              <w:t>εκ των οποίων:</w:t>
            </w:r>
            <w:r>
              <w:rPr>
                <w:rFonts w:ascii="Times New Roman" w:hAnsi="Times New Roman"/>
                <w:b/>
                <w:sz w:val="24"/>
                <w:u w:val="single"/>
              </w:rPr>
              <w:t xml:space="preserve"> νόμισμα που χρησιμοπο</w:t>
            </w:r>
            <w:r>
              <w:rPr>
                <w:rFonts w:ascii="Times New Roman" w:hAnsi="Times New Roman"/>
                <w:b/>
                <w:sz w:val="24"/>
                <w:u w:val="single"/>
              </w:rPr>
              <w:t>ι</w:t>
            </w:r>
            <w:r>
              <w:rPr>
                <w:rFonts w:ascii="Times New Roman" w:hAnsi="Times New Roman"/>
                <w:b/>
                <w:sz w:val="24"/>
                <w:u w:val="single"/>
              </w:rPr>
              <w:t>είται για την υποβολή αναφορών</w:t>
            </w:r>
          </w:p>
          <w:p w:rsidR="00491F4D" w:rsidRPr="00392FFD" w:rsidRDefault="00491F4D" w:rsidP="000B0B09">
            <w:pPr>
              <w:autoSpaceDE w:val="0"/>
              <w:autoSpaceDN w:val="0"/>
              <w:adjustRightInd w:val="0"/>
              <w:spacing w:before="0" w:after="0"/>
              <w:rPr>
                <w:rFonts w:ascii="Times New Roman" w:hAnsi="Times New Roman"/>
                <w:sz w:val="24"/>
              </w:rPr>
            </w:pPr>
          </w:p>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Θέσεις στο νόμισμα που χρησιμοποιείται για την υποβολή αναφορών, οι </w:t>
            </w:r>
            <w:r>
              <w:rPr>
                <w:rFonts w:ascii="Times New Roman" w:hAnsi="Times New Roman"/>
                <w:sz w:val="24"/>
              </w:rPr>
              <w:t>ο</w:t>
            </w:r>
            <w:r>
              <w:rPr>
                <w:rFonts w:ascii="Times New Roman" w:hAnsi="Times New Roman"/>
                <w:sz w:val="24"/>
              </w:rPr>
              <w:t>ποίες συμπεριλαμβάνονται στον υπολογισμό των κεφαλαιακών απαιτήσεων, σύμφωνα με το άρθρο 354 του ΚΚΑ.</w:t>
            </w:r>
          </w:p>
          <w:p w:rsidR="00491F4D" w:rsidRPr="00392FFD" w:rsidRDefault="00491F4D"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ΟΛΑ ΤΑ ΑΛΛΑ ΝΟΜΙΣΜΑΤΑ (συμπεριλαμβανομένων των ΟΣΕ που </w:t>
            </w:r>
            <w:r>
              <w:rPr>
                <w:rFonts w:ascii="Times New Roman" w:hAnsi="Times New Roman"/>
                <w:b/>
                <w:sz w:val="24"/>
                <w:u w:val="single"/>
              </w:rPr>
              <w:t>α</w:t>
            </w:r>
            <w:r>
              <w:rPr>
                <w:rFonts w:ascii="Times New Roman" w:hAnsi="Times New Roman"/>
                <w:b/>
                <w:sz w:val="24"/>
                <w:u w:val="single"/>
              </w:rPr>
              <w:t>ντιμετωπίζονται ως διαφορετικά νομίσματα)</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Θέσεις και οι αντίστοιχες απαιτήσεις ιδίων κεφαλαίων τους για τα νομίσματα που υπόκεινται στη γενική διαδικασία που αναφέρεται στο άρθρο 351 και στο άρθρο 352 παράγραφοι 2 και 4 του ΚΚΑ.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Υποβολή πληροφοριών για ΟΣΕ που αντιμετωπίζονται ως χωριστά νομίσματα σύμφωνα με το άρθρο 353 του ΚΚΑ:</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Υπάρχουν δύο διαφορετικοί τρόποι αντιμετώπισης των ΟΣΕ που αντιμετωπ</w:t>
            </w:r>
            <w:r>
              <w:rPr>
                <w:rFonts w:ascii="Times New Roman" w:hAnsi="Times New Roman"/>
                <w:sz w:val="24"/>
              </w:rPr>
              <w:t>ί</w:t>
            </w:r>
            <w:r>
              <w:rPr>
                <w:rFonts w:ascii="Times New Roman" w:hAnsi="Times New Roman"/>
                <w:sz w:val="24"/>
              </w:rPr>
              <w:t>ζονται ως χωριστά νομίσματα για τον υπολογισμό των κεφαλαιακών απαιτ</w:t>
            </w:r>
            <w:r>
              <w:rPr>
                <w:rFonts w:ascii="Times New Roman" w:hAnsi="Times New Roman"/>
                <w:sz w:val="24"/>
              </w:rPr>
              <w:t>ή</w:t>
            </w:r>
            <w:r>
              <w:rPr>
                <w:rFonts w:ascii="Times New Roman" w:hAnsi="Times New Roman"/>
                <w:sz w:val="24"/>
              </w:rPr>
              <w:t>σεων:</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Η τροποποιημένη μέθοδος χρυσού, εάν δεν είναι διαθέσιμη η κατε</w:t>
            </w:r>
            <w:r>
              <w:rPr>
                <w:rFonts w:ascii="Times New Roman" w:hAnsi="Times New Roman"/>
                <w:sz w:val="24"/>
              </w:rPr>
              <w:t>ύ</w:t>
            </w:r>
            <w:r>
              <w:rPr>
                <w:rFonts w:ascii="Times New Roman" w:hAnsi="Times New Roman"/>
                <w:sz w:val="24"/>
              </w:rPr>
              <w:t>θυνση της επένδυσης των ΟΣΕ (οι εν λόγω ΟΣΕ προστίθενται στη σ</w:t>
            </w:r>
            <w:r>
              <w:rPr>
                <w:rFonts w:ascii="Times New Roman" w:hAnsi="Times New Roman"/>
                <w:sz w:val="24"/>
              </w:rPr>
              <w:t>υ</w:t>
            </w:r>
            <w:r>
              <w:rPr>
                <w:rFonts w:ascii="Times New Roman" w:hAnsi="Times New Roman"/>
                <w:sz w:val="24"/>
              </w:rPr>
              <w:t>νολική καθαρή θέση συναλλάγματος του ιδρύματος)</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Εάν η κατεύθυνση της επένδυσης των ΟΣΕ είναι διαθέσιμη, οι εν λόγω ΟΣΕ προστίθενται στη συνολική ανοικτή θέση συναλλάγματος (θετική ή αρνητική, ανάλογα με την κατεύθυνση του ΟΣΕ)</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Η υποβολή πληροφοριών για τους συγκεκριμένους ΟΣΕ συμφωνεί αναλόγως με τον υπολογισμό των κεφαλαιακών απαιτήσεων.</w:t>
            </w:r>
            <w:r>
              <w:rPr>
                <w:rFonts w:ascii="Times New Roman" w:hAnsi="Times New Roman"/>
                <w:sz w:val="24"/>
                <w:u w:val="single"/>
              </w:rPr>
              <w:t xml:space="preserve">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040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ΧΡΥΣΟΣ</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Θέσεις και οι αντίστοιχες απαιτήσεις ιδίων κεφαλαίων τους για τα νομίσματα που υπόκεινται στη γενική διαδικασία που αναφέρεται στο άρθρο 351 και στο άρθρο 352 παράγραφοι 2 και 4 του ΚΚΑ.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050-090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ΠΡΟΣΘΕΤΕΣ ΑΠΑΙΤΗΣΕΙΣ ΓΙΑ ΤΑ ΔΙΚΑΙΩΜΑΤΑ ΠΡΟΑΙΡΕΣΗΣ (ΚΙΝΔΥΝΟΙ ΠΟΥ ΔΕΝ ΥΠΟΚΕΙΝΤΑΙ ΣΤΟΝ ΣΥΝΤΕΛΕΣΤΗ ΔΕΛΤΑ)</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352 παράγραφοι 5 και 6 του ΚΚΑ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πρόσθετες απαιτήσεις για τα δικαιώματα προαίρεσης που σχετίζονται με κινδύνους που δεν υπόκεινται στον συντελεστή δέλτα αναφέρονται στη μέθοδο που χρησιμοποιείται για τον υπολογισμό τους.</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Κατανομή των συνολικών θέσεων (συμπεριλαμβανομένου του νομίσματος που χρησιμοποιείται για την υποβολή αναφορών) ανά είδος ανοίγματος</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συνολικές θέσεις κατανέμονται σε παράγωγα, άλλα στοιχεία ενεργητικού και υποχρεώσεις και εκτός ισολογισμού στοιχεία.</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Άλλα στοιχεία του ενεργητικού και υποχρεώσεις εκτός των στοιχείων και παραγώγων εκτός ισολογισμού</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DE48E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Στο συγκεκριμένο σημείο αναφέρονται οι θέσεις που δεν περιλαμβάνονται στη γραμμή 110 ή 120.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Στοιχεία εκτός ισολογισμού</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Στοιχεία που εμπίπτουν στο πεδίο εφαρμογής του άρθρου 352 του ΚΚΑ, αν</w:t>
            </w:r>
            <w:r>
              <w:rPr>
                <w:rFonts w:ascii="Times New Roman" w:hAnsi="Times New Roman"/>
                <w:sz w:val="24"/>
              </w:rPr>
              <w:t>ε</w:t>
            </w:r>
            <w:r>
              <w:rPr>
                <w:rFonts w:ascii="Times New Roman" w:hAnsi="Times New Roman"/>
                <w:sz w:val="24"/>
              </w:rPr>
              <w:t>ξάρτητα από το νόμισμα στο οποίο είναι εκφρασμένα, και που περιλαμβάν</w:t>
            </w:r>
            <w:r>
              <w:rPr>
                <w:rFonts w:ascii="Times New Roman" w:hAnsi="Times New Roman"/>
                <w:sz w:val="24"/>
              </w:rPr>
              <w:t>ο</w:t>
            </w:r>
            <w:r>
              <w:rPr>
                <w:rFonts w:ascii="Times New Roman" w:hAnsi="Times New Roman"/>
                <w:sz w:val="24"/>
              </w:rPr>
              <w:t>νται στο παράρτημα I του ΚΚΑ, με την εξαίρεση όσων περιλαμβάνονται ως συναλλαγές χρηματοδότησης τίτλων &amp; πράξεις με μακρά προθεσμία διακαν</w:t>
            </w:r>
            <w:r>
              <w:rPr>
                <w:rFonts w:ascii="Times New Roman" w:hAnsi="Times New Roman"/>
                <w:sz w:val="24"/>
              </w:rPr>
              <w:t>ο</w:t>
            </w:r>
            <w:r>
              <w:rPr>
                <w:rFonts w:ascii="Times New Roman" w:hAnsi="Times New Roman"/>
                <w:sz w:val="24"/>
              </w:rPr>
              <w:t>νισμού ή από συμβατικό συμψηφισμό μεταξύ προϊόντων.</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Παράγωγα</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που αποτιμώνται σύμφωνα με το άρθρο 352 του ΚΚΑ.</w:t>
            </w:r>
          </w:p>
          <w:p w:rsidR="00902EFC" w:rsidRPr="00392FFD" w:rsidRDefault="00902EFC"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130-480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ΥΠΟΜΝΗΜΑΤΙΚΑ ΣΤΟΙΧΕΙΑ: ΘΕΣΕΙΣ ΑΝΑ ΝΟΜΙΣΜΑ</w:t>
            </w:r>
          </w:p>
          <w:p w:rsidR="000B0B09" w:rsidRPr="00392FFD" w:rsidRDefault="000B0B09" w:rsidP="000B0B09">
            <w:pPr>
              <w:autoSpaceDE w:val="0"/>
              <w:autoSpaceDN w:val="0"/>
              <w:adjustRightInd w:val="0"/>
              <w:spacing w:before="0" w:after="0"/>
              <w:rPr>
                <w:rFonts w:ascii="Times New Roman" w:hAnsi="Times New Roman"/>
                <w:b/>
                <w:bCs/>
                <w:sz w:val="24"/>
              </w:rPr>
            </w:pPr>
          </w:p>
          <w:p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Τα υπομνηματικά στοιχεία του υποδείγματος συμπληρώνονται χωριστά για όλα τα νομίσματα των κρατών μελών της Ένωσης και για τα ακόλουθα νομ</w:t>
            </w:r>
            <w:r>
              <w:rPr>
                <w:rFonts w:ascii="Times New Roman" w:hAnsi="Times New Roman"/>
                <w:sz w:val="24"/>
              </w:rPr>
              <w:t>ί</w:t>
            </w:r>
            <w:r>
              <w:rPr>
                <w:rFonts w:ascii="Times New Roman" w:hAnsi="Times New Roman"/>
                <w:sz w:val="24"/>
              </w:rPr>
              <w:t xml:space="preserve">σματα: USD, CHF, JPY, RUB, TRY, AUD, CAD, RSD, ALL, UAH, MKD, EGP, ARS, BRL, MXN, HKD, ICK, TWD, NZD, NOK, SGD, KRW, CNY και όλα τα άλλα νομίσματα. </w:t>
            </w:r>
          </w:p>
        </w:tc>
      </w:tr>
    </w:tbl>
    <w:p w:rsidR="000B0B09" w:rsidRPr="00392FFD" w:rsidRDefault="000B0B09" w:rsidP="000B0B09">
      <w:pPr>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18" w:name="_Toc262566435"/>
      <w:bookmarkStart w:id="619" w:name="_Toc295830011"/>
      <w:bookmarkStart w:id="620" w:name="_Toc308426688"/>
      <w:bookmarkStart w:id="621" w:name="_Toc310415072"/>
      <w:bookmarkStart w:id="622" w:name="_Toc360188407"/>
      <w:bookmarkStart w:id="623" w:name="_Toc516210698"/>
      <w:bookmarkStart w:id="624" w:name="_Toc473561047"/>
      <w:r>
        <w:rPr>
          <w:rFonts w:ascii="Times New Roman" w:hAnsi="Times New Roman"/>
          <w:sz w:val="24"/>
          <w:u w:val="none"/>
        </w:rPr>
        <w:lastRenderedPageBreak/>
        <w:t>5.6.</w:t>
      </w:r>
      <w:r>
        <w:tab/>
      </w:r>
      <w:r>
        <w:rPr>
          <w:rFonts w:ascii="Times New Roman" w:hAnsi="Times New Roman"/>
          <w:sz w:val="24"/>
        </w:rPr>
        <w:t>C 23.00 – Κίνδυνος Αγοράς: Τυποποιημένες προσεγγίσεις για βασικά εμπορεύματα</w:t>
      </w:r>
      <w:bookmarkEnd w:id="618"/>
      <w:bookmarkEnd w:id="619"/>
      <w:bookmarkEnd w:id="620"/>
      <w:bookmarkEnd w:id="621"/>
      <w:bookmarkEnd w:id="622"/>
      <w:r>
        <w:rPr>
          <w:rFonts w:ascii="Times New Roman" w:hAnsi="Times New Roman"/>
          <w:sz w:val="24"/>
        </w:rPr>
        <w:t xml:space="preserve"> (MKR SA COM)</w:t>
      </w:r>
      <w:bookmarkEnd w:id="623"/>
      <w:bookmarkEnd w:id="624"/>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25" w:name="_Toc262566436"/>
      <w:bookmarkStart w:id="626" w:name="_Toc295830012"/>
      <w:bookmarkStart w:id="627" w:name="_Toc308426689"/>
      <w:bookmarkStart w:id="628" w:name="_Toc310415073"/>
      <w:bookmarkStart w:id="629" w:name="_Toc360188408"/>
      <w:bookmarkStart w:id="630" w:name="_Toc516210699"/>
      <w:bookmarkStart w:id="631" w:name="_Toc473561048"/>
      <w:r>
        <w:rPr>
          <w:rFonts w:ascii="Times New Roman" w:hAnsi="Times New Roman"/>
          <w:sz w:val="24"/>
          <w:u w:val="none"/>
        </w:rPr>
        <w:t>5.6.1.</w:t>
      </w:r>
      <w:r>
        <w:tab/>
      </w:r>
      <w:r>
        <w:rPr>
          <w:rFonts w:ascii="Times New Roman" w:hAnsi="Times New Roman"/>
          <w:sz w:val="24"/>
        </w:rPr>
        <w:t>Γενικές παρατηρήσεις</w:t>
      </w:r>
      <w:bookmarkEnd w:id="625"/>
      <w:bookmarkEnd w:id="626"/>
      <w:bookmarkEnd w:id="627"/>
      <w:bookmarkEnd w:id="628"/>
      <w:bookmarkEnd w:id="629"/>
      <w:bookmarkEnd w:id="630"/>
      <w:bookmarkEnd w:id="631"/>
    </w:p>
    <w:p w:rsidR="000B0B09" w:rsidRPr="00392FFD" w:rsidRDefault="00125707" w:rsidP="001A3980">
      <w:pPr>
        <w:pStyle w:val="InstructionsText2"/>
        <w:numPr>
          <w:ilvl w:val="0"/>
          <w:numId w:val="0"/>
        </w:numPr>
        <w:ind w:left="993"/>
      </w:pPr>
      <w:r>
        <w:t>152.</w:t>
      </w:r>
      <w:r>
        <w:tab/>
        <w:t>Στο συγκεκριμένο υπόδειγμα ζητούνται πληροφορίες για τις θέσεις σε βασικά εμπορεύματα και τις αντίστοιχες απαιτήσεις ιδίων κεφαλαίων, που αντιμετωπίζ</w:t>
      </w:r>
      <w:r>
        <w:t>ο</w:t>
      </w:r>
      <w:r>
        <w:t>νται βάσει της τυποποιημένης προσέγγισης.</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2" w:name="_Toc262566437"/>
      <w:bookmarkStart w:id="633" w:name="_Toc295830013"/>
      <w:bookmarkStart w:id="634" w:name="_Toc308426690"/>
      <w:bookmarkStart w:id="635" w:name="_Toc310415074"/>
      <w:bookmarkStart w:id="636" w:name="_Toc360188409"/>
      <w:bookmarkStart w:id="637" w:name="_Toc516210700"/>
      <w:bookmarkStart w:id="638" w:name="_Toc473561049"/>
      <w:r>
        <w:rPr>
          <w:rFonts w:ascii="Times New Roman" w:hAnsi="Times New Roman"/>
          <w:sz w:val="24"/>
          <w:u w:val="none"/>
        </w:rPr>
        <w:t>5.6.2.</w:t>
      </w:r>
      <w:r>
        <w:tab/>
      </w:r>
      <w:r>
        <w:rPr>
          <w:rFonts w:ascii="Times New Roman" w:hAnsi="Times New Roman"/>
          <w:sz w:val="24"/>
        </w:rPr>
        <w:t>Οδηγίες για συγκεκριμένες θέσεις</w:t>
      </w:r>
      <w:bookmarkEnd w:id="632"/>
      <w:bookmarkEnd w:id="633"/>
      <w:bookmarkEnd w:id="634"/>
      <w:bookmarkEnd w:id="635"/>
      <w:bookmarkEnd w:id="636"/>
      <w:bookmarkEnd w:id="637"/>
      <w:bookmarkEnd w:id="6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rsidTr="00672D2A">
        <w:trPr>
          <w:trHeight w:val="59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Ακαθάριστες θετικές/αρνητικές θέσεις που θεωρούνται θέσεις στο ίδιο βασικό εμπόρευμα, σύμφωνα με το άρθρο 357 παράγραφοι 1 και 4 του ΚΚΑ (βλέπε επίσης άρθρο 359 παράγραφος 1 του ΚΚΑ).</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ΚΑΘΑΡΕΣ ΘΕΣΕΙΣ (ΘΕΤΙΚΕΣ ΚΑΙ ΑΡΝΗΤΙΚΕΣ)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Όπως ορίζονται στο άρθρο 357 παράγραφος 3 του ΚΚΑ.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καθαρές θέσεις που, σύμφωνα με τις διαφορετικές προσεγγίσεις που εξετ</w:t>
            </w:r>
            <w:r>
              <w:rPr>
                <w:rFonts w:ascii="Times New Roman" w:hAnsi="Times New Roman"/>
                <w:sz w:val="24"/>
              </w:rPr>
              <w:t>ά</w:t>
            </w:r>
            <w:r>
              <w:rPr>
                <w:rFonts w:ascii="Times New Roman" w:hAnsi="Times New Roman"/>
                <w:sz w:val="24"/>
              </w:rPr>
              <w:t>ζονται στο τρίτο μέρος τίτλος IV κεφάλαιο 4 του ΚΚΑ, υπόκεινται σε κεφ</w:t>
            </w:r>
            <w:r>
              <w:rPr>
                <w:rFonts w:ascii="Times New Roman" w:hAnsi="Times New Roman"/>
                <w:sz w:val="24"/>
              </w:rPr>
              <w:t>α</w:t>
            </w:r>
            <w:r>
              <w:rPr>
                <w:rFonts w:ascii="Times New Roman" w:hAnsi="Times New Roman"/>
                <w:sz w:val="24"/>
              </w:rPr>
              <w:t>λαιακή επιβάρυνση.</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Η κεφαλαιακή επιβάρυνση για κάθε σχετική θέση, σύμφωνα με το τρίτο μέρος τίτλος IV κεφάλαιο 4 του ΚΚΑ.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6"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Άρθρο 92 παράγραφος 4 στοιχείο β) του ΚΚΑ Αποτέλεσμα του πολλαπλασι</w:t>
            </w:r>
            <w:r>
              <w:rPr>
                <w:rFonts w:ascii="Times New Roman" w:hAnsi="Times New Roman"/>
                <w:sz w:val="24"/>
              </w:rPr>
              <w:t>α</w:t>
            </w:r>
            <w:r>
              <w:rPr>
                <w:rFonts w:ascii="Times New Roman" w:hAnsi="Times New Roman"/>
                <w:sz w:val="24"/>
              </w:rPr>
              <w:t xml:space="preserve">σμού των απαιτήσεων ιδίων κεφαλαίων επί 12,5.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48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ΣΥΝΟΛΙΚΕΣ ΘΕΣΕΙΣ ΣΕ ΒΑΣΙΚΑ ΕΜΠΟΡΕΥΜΑΤΑ</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9E2BBD">
            <w:pPr>
              <w:autoSpaceDE w:val="0"/>
              <w:autoSpaceDN w:val="0"/>
              <w:adjustRightInd w:val="0"/>
              <w:spacing w:before="0" w:after="0"/>
              <w:rPr>
                <w:rFonts w:ascii="Times New Roman" w:hAnsi="Times New Roman"/>
                <w:sz w:val="24"/>
              </w:rPr>
            </w:pPr>
            <w:r>
              <w:rPr>
                <w:rFonts w:ascii="Times New Roman" w:hAnsi="Times New Roman"/>
                <w:sz w:val="24"/>
              </w:rPr>
              <w:t xml:space="preserve">Θέσεις σε βασικά εμπορεύματα και οι αντίστοιχες απαιτήσεις ιδίων κεφαλαίων τους για τον κίνδυνο αγοράς, σύμφωνα με το άρθρο 92 παράγραφος 3 στοιχείο γ) σημείο iii) του ΚΚΑ και το τρίτο μέρος τίτλος IV κεφάλαιο 4 του ΚΚΑ. </w:t>
            </w:r>
          </w:p>
        </w:tc>
      </w:tr>
      <w:tr w:rsidR="000B0B09" w:rsidRPr="00392FFD" w:rsidTr="00672D2A">
        <w:tc>
          <w:tcPr>
            <w:tcW w:w="987"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020-060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ΑΝΑ ΚΑΤΗΓΟΡΙΑ ΒΑΣΙΚΩΝ ΕΜΠΟΡΕΥΜΑΤΩΝ</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Για τους σκοπούς υποβολής αναφορών, τα βασικά εμπορεύματα ομαδοποιο</w:t>
            </w:r>
            <w:r>
              <w:rPr>
                <w:rFonts w:ascii="Times New Roman" w:hAnsi="Times New Roman"/>
                <w:sz w:val="24"/>
              </w:rPr>
              <w:t>ύ</w:t>
            </w:r>
            <w:r>
              <w:rPr>
                <w:rFonts w:ascii="Times New Roman" w:hAnsi="Times New Roman"/>
                <w:sz w:val="24"/>
              </w:rPr>
              <w:t>νται στις τέσσερις κύριες ομάδες που αναφέρονται στον πίνακα 2 του άρθρου 361 του ΚΚΑ.</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070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ΜΕ ΒΑΣΗ ΤΟΝ ΠΙΝΑΚΑ ΛΗΚΤΟΤΗΤΑΣ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σε εμπορεύματα που υπόκεινται στην προσέγγιση με βάση τον πίνακα ληκτότητας, όπως αναφέρεται στο άρθρο 359 του ΚΚΑ.</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ΔΙΕΥΡΥΜΕΝΗ ΠΡΟΣΕΓΓΙΣΗ ΜΕ ΒΑΣΗ ΤΟΝ ΠΙΝΑΚΑ ΛΗΚΤΟΤ</w:t>
            </w:r>
            <w:r>
              <w:rPr>
                <w:rFonts w:ascii="Times New Roman" w:hAnsi="Times New Roman"/>
                <w:b/>
                <w:sz w:val="24"/>
                <w:u w:val="single"/>
              </w:rPr>
              <w:t>Η</w:t>
            </w:r>
            <w:r>
              <w:rPr>
                <w:rFonts w:ascii="Times New Roman" w:hAnsi="Times New Roman"/>
                <w:b/>
                <w:sz w:val="24"/>
                <w:u w:val="single"/>
              </w:rPr>
              <w:t>ΤΑΣ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σε βασικά εμπορεύματα που υπόκεινται στη διευρυμένη προσέγγιση με βάση τον πίνακα ληκτότητας, όπως αναφέρεται στο άρθρο 361 του ΚΚΑ.</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ΑΠΛΟΥΣΤΕΥΜΕΝΗ ΠΡΟΣΕΓΓΙΣΗ</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σε βασικά εμπορεύματα που υπόκεινται στην απλουστευμένη προσέ</w:t>
            </w:r>
            <w:r>
              <w:rPr>
                <w:rFonts w:ascii="Times New Roman" w:hAnsi="Times New Roman"/>
                <w:sz w:val="24"/>
              </w:rPr>
              <w:t>γ</w:t>
            </w:r>
            <w:r>
              <w:rPr>
                <w:rFonts w:ascii="Times New Roman" w:hAnsi="Times New Roman"/>
                <w:sz w:val="24"/>
              </w:rPr>
              <w:t xml:space="preserve">γιση, όπως αναφέρεται στο άρθρο 360 του ΚΚΑ.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100-140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ΠΡΟΣΘΕΤΕΣ ΑΠΑΙΤΗΣΕΙΣ ΓΙΑ ΤΑ ΔΙΚΑΙΩΜΑΤΑ ΠΡΟΑΙΡΕΣΗΣ (ΚΙΝΔΥΝΟΙ ΠΟΥ ΔΕΝ ΥΠΟΚΕΙΝΤΑΙ ΣΤΟΝ ΣΥΝΤΕΛΕΣΤΗ ΔΕΛΤΑ)</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358 παράγραφος 4 του ΚΚΑ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πρόσθετες απαιτήσεις για τα δικαιώματα προαίρεσης που σχετίζονται με κινδύνους που δεν υπόκεινται στον συντελεστή δέλτα αναφέρονται στη μέθοδο που χρησιμοποιείται για τον υπολογισμό τους.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rPr>
          <w:rFonts w:ascii="Times New Roman" w:hAnsi="Times New Roman"/>
          <w:sz w:val="24"/>
        </w:rPr>
      </w:pPr>
    </w:p>
    <w:p w:rsidR="000B0B09" w:rsidRPr="0023700C" w:rsidRDefault="00125707" w:rsidP="0023700C">
      <w:pPr>
        <w:pStyle w:val="Instructionsberschrift2"/>
        <w:numPr>
          <w:ilvl w:val="0"/>
          <w:numId w:val="0"/>
        </w:numPr>
        <w:ind w:left="357" w:hanging="357"/>
        <w:rPr>
          <w:rFonts w:ascii="Times New Roman" w:hAnsi="Times New Roman"/>
          <w:sz w:val="24"/>
        </w:rPr>
      </w:pPr>
      <w:bookmarkStart w:id="639" w:name="_Toc262566438"/>
      <w:bookmarkStart w:id="640" w:name="_Toc295830014"/>
      <w:bookmarkStart w:id="641" w:name="_Toc308426691"/>
      <w:bookmarkStart w:id="642" w:name="_Toc310415075"/>
      <w:bookmarkStart w:id="643" w:name="_Toc360188410"/>
      <w:bookmarkStart w:id="644" w:name="_Toc516210701"/>
      <w:bookmarkStart w:id="645" w:name="_Toc473561050"/>
      <w:r>
        <w:rPr>
          <w:rFonts w:ascii="Times New Roman" w:hAnsi="Times New Roman"/>
          <w:sz w:val="24"/>
          <w:u w:val="none"/>
        </w:rPr>
        <w:t>5.7.</w:t>
      </w:r>
      <w:r>
        <w:tab/>
      </w:r>
      <w:r>
        <w:rPr>
          <w:rFonts w:ascii="Times New Roman" w:hAnsi="Times New Roman"/>
          <w:sz w:val="24"/>
        </w:rPr>
        <w:t>C 24.00 – Εσωτερικό υπόδειγμα κινδύνου αγοράς</w:t>
      </w:r>
      <w:bookmarkEnd w:id="639"/>
      <w:bookmarkEnd w:id="640"/>
      <w:bookmarkEnd w:id="641"/>
      <w:bookmarkEnd w:id="642"/>
      <w:bookmarkEnd w:id="643"/>
      <w:r>
        <w:rPr>
          <w:rFonts w:ascii="Times New Roman" w:hAnsi="Times New Roman"/>
          <w:sz w:val="24"/>
        </w:rPr>
        <w:t xml:space="preserve"> (MKR IM)</w:t>
      </w:r>
      <w:bookmarkEnd w:id="644"/>
      <w:bookmarkEnd w:id="645"/>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46" w:name="_Toc262566439"/>
      <w:bookmarkStart w:id="647" w:name="_Toc295830015"/>
      <w:bookmarkStart w:id="648" w:name="_Toc308426692"/>
      <w:bookmarkStart w:id="649" w:name="_Toc310415076"/>
      <w:bookmarkStart w:id="650" w:name="_Toc360188411"/>
      <w:bookmarkStart w:id="651" w:name="_Toc516210702"/>
      <w:bookmarkStart w:id="652" w:name="_Toc473561051"/>
      <w:r>
        <w:rPr>
          <w:rFonts w:ascii="Times New Roman" w:hAnsi="Times New Roman"/>
          <w:sz w:val="24"/>
          <w:u w:val="none"/>
        </w:rPr>
        <w:t>5.7.1.</w:t>
      </w:r>
      <w:r>
        <w:tab/>
      </w:r>
      <w:r>
        <w:rPr>
          <w:rFonts w:ascii="Times New Roman" w:hAnsi="Times New Roman"/>
          <w:sz w:val="24"/>
        </w:rPr>
        <w:t>Γενικές παρατηρήσεις</w:t>
      </w:r>
      <w:bookmarkEnd w:id="646"/>
      <w:bookmarkEnd w:id="647"/>
      <w:bookmarkEnd w:id="648"/>
      <w:bookmarkEnd w:id="649"/>
      <w:bookmarkEnd w:id="650"/>
      <w:bookmarkEnd w:id="651"/>
      <w:bookmarkEnd w:id="652"/>
    </w:p>
    <w:p w:rsidR="000B0B09" w:rsidRPr="00392FFD" w:rsidRDefault="00125707" w:rsidP="001A3980">
      <w:pPr>
        <w:pStyle w:val="InstructionsText2"/>
        <w:numPr>
          <w:ilvl w:val="0"/>
          <w:numId w:val="0"/>
        </w:numPr>
        <w:ind w:left="993"/>
      </w:pPr>
      <w:r>
        <w:t>153.</w:t>
      </w:r>
      <w:r>
        <w:tab/>
        <w:t>Στο συγκεκριμένο υπόδειγμα παρουσιάζεται η κατανομή των τιμών δυνητικής ζημίας (</w:t>
      </w:r>
      <w:proofErr w:type="spellStart"/>
      <w:r>
        <w:t>VaR</w:t>
      </w:r>
      <w:proofErr w:type="spellEnd"/>
      <w:r>
        <w:t>) και δυνητικής ζημίας ακραίων συνθηκών (</w:t>
      </w:r>
      <w:proofErr w:type="spellStart"/>
      <w:r>
        <w:t>sVaR</w:t>
      </w:r>
      <w:proofErr w:type="spellEnd"/>
      <w:r>
        <w:t>), ανάλογα με τους διαφόρους κινδύνους αγοράς (χρεωστικοί τίτλοι, μετοχικοί τίτλοι, συνάλλαγμα, βασικά εμπορεύματα), και άλλες πληροφορίες που αφορούν τον υπολογισμό των απαιτήσεων ιδίων κεφαλαίων.</w:t>
      </w:r>
    </w:p>
    <w:p w:rsidR="000B0B09" w:rsidRPr="00321A3B" w:rsidRDefault="00125707" w:rsidP="001A3980">
      <w:pPr>
        <w:pStyle w:val="InstructionsText2"/>
        <w:numPr>
          <w:ilvl w:val="0"/>
          <w:numId w:val="0"/>
        </w:numPr>
        <w:ind w:left="993"/>
      </w:pPr>
      <w:r>
        <w:t>154.</w:t>
      </w:r>
      <w:r>
        <w:tab/>
        <w:t>Γενικά, η υποβολή των στοιχείων εξαρτάται από τη δομή του υποδείγματος των ιδρυμάτων, ήτοι αν υποβάλλουν τα στοιχεία για τον γενικό και τον ειδικό κί</w:t>
      </w:r>
      <w:r>
        <w:t>ν</w:t>
      </w:r>
      <w:r>
        <w:t>δυνο χωριστά ή από κοινού. Το ίδιο ισχύει για την ανάλυση της δυνητικής ζημ</w:t>
      </w:r>
      <w:r>
        <w:t>ί</w:t>
      </w:r>
      <w:r>
        <w:t>ας/δυνητικής ζημίας ακραίων συνθηκών στις κατηγορίες κινδύνου (κίνδυνος επιτ</w:t>
      </w:r>
      <w:r>
        <w:t>ο</w:t>
      </w:r>
      <w:r>
        <w:t>κίου, κίνδυνος μετοχικών τίτλων, κίνδυνος βασικού εμπορεύματος και κίνδυνος συναλλάγματος). Ένα ίδρυμα δύναται να επιλέξει να μην υποβάλλει πληροφορίες για την ανάλυση που αναφέρεται ανωτέρω, εάν αποδείξει ότι η αναφορά των στο</w:t>
      </w:r>
      <w:r>
        <w:t>ι</w:t>
      </w:r>
      <w:r>
        <w:t xml:space="preserve">χείων αυτών είναι υπερβολικά επαχθής.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53" w:name="_Toc262566440"/>
      <w:bookmarkStart w:id="654" w:name="_Toc295830016"/>
      <w:bookmarkStart w:id="655" w:name="_Toc308426693"/>
      <w:bookmarkStart w:id="656" w:name="_Toc310415077"/>
      <w:bookmarkStart w:id="657" w:name="_Toc360188412"/>
      <w:bookmarkStart w:id="658" w:name="_Toc516210703"/>
      <w:bookmarkStart w:id="659" w:name="_Toc473561052"/>
      <w:r>
        <w:rPr>
          <w:rFonts w:ascii="Times New Roman" w:hAnsi="Times New Roman"/>
          <w:sz w:val="24"/>
          <w:u w:val="none"/>
        </w:rPr>
        <w:lastRenderedPageBreak/>
        <w:t>5.7.2.</w:t>
      </w:r>
      <w:r>
        <w:tab/>
      </w:r>
      <w:r>
        <w:rPr>
          <w:rFonts w:ascii="Times New Roman" w:hAnsi="Times New Roman"/>
          <w:sz w:val="24"/>
        </w:rPr>
        <w:t>Οδηγίες για συγκεκριμένες θέσεις</w:t>
      </w:r>
      <w:bookmarkEnd w:id="653"/>
      <w:bookmarkEnd w:id="654"/>
      <w:bookmarkEnd w:id="655"/>
      <w:bookmarkEnd w:id="656"/>
      <w:bookmarkEnd w:id="657"/>
      <w:bookmarkEnd w:id="658"/>
      <w:bookmarkEnd w:id="6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rsidTr="00672D2A">
        <w:tc>
          <w:tcPr>
            <w:tcW w:w="8862" w:type="dxa"/>
            <w:gridSpan w:val="2"/>
            <w:shd w:val="clear" w:color="auto" w:fill="BFBFBF"/>
          </w:tcPr>
          <w:p w:rsidR="000B0B09" w:rsidRPr="00392FFD"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Στήλες</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Δυνητική ζημία (</w:t>
            </w:r>
            <w:proofErr w:type="spellStart"/>
            <w:r>
              <w:rPr>
                <w:rFonts w:ascii="Times New Roman" w:hAnsi="Times New Roman"/>
                <w:b/>
                <w:sz w:val="24"/>
                <w:u w:val="single"/>
              </w:rPr>
              <w:t>VaR</w:t>
            </w:r>
            <w:proofErr w:type="spellEnd"/>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Είναι η μέγιστη ενδεχόμενη ζημία που θα προέκυπτε από μια μεταβολή τιμών με δεδομένη πιθανότητα σε έναν προκαθορισμένο χρονικό ορίζοντα.</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Πολλαπλασιαστικός συντελεστής (mc) x Μέσος όρος της δυνητικής ζημίας των προηγούμενων 60 εργάσιμων ημερών (</w:t>
            </w:r>
            <w:proofErr w:type="spellStart"/>
            <w:r>
              <w:rPr>
                <w:rFonts w:ascii="Times New Roman" w:hAnsi="Times New Roman"/>
                <w:b/>
                <w:sz w:val="24"/>
                <w:u w:val="single"/>
              </w:rPr>
              <w:t>VaRavg</w:t>
            </w:r>
            <w:proofErr w:type="spellEnd"/>
            <w:r>
              <w:rPr>
                <w:rFonts w:ascii="Times New Roman" w:hAnsi="Times New Roman"/>
                <w:b/>
                <w:sz w:val="24"/>
                <w:u w:val="single"/>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Άρθρο 364 παράγραφος 1 στοιχείο α) σημείο ii) και άρθρο 365 παράγραφος 1 του ΚΚΑ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Δυνητική ζημία προηγούμενης ημέρας (</w:t>
            </w:r>
            <w:proofErr w:type="spellStart"/>
            <w:r>
              <w:rPr>
                <w:rFonts w:ascii="Times New Roman" w:hAnsi="Times New Roman"/>
                <w:b/>
                <w:sz w:val="24"/>
                <w:u w:val="single"/>
              </w:rPr>
              <w:t>VaRt</w:t>
            </w:r>
            <w:proofErr w:type="spellEnd"/>
            <w:r>
              <w:rPr>
                <w:rFonts w:ascii="Times New Roman" w:hAnsi="Times New Roman"/>
                <w:b/>
                <w:sz w:val="24"/>
                <w:u w:val="single"/>
              </w:rPr>
              <w:t>-1)</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364 παράγραφος 1 στοιχείο α) σημείο i) και άρθρο 365 παράγραφος 1 του ΚΚΑ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Δυνητική ζημία ακραίων συνθηκών (</w:t>
            </w:r>
            <w:proofErr w:type="spellStart"/>
            <w:r>
              <w:rPr>
                <w:rFonts w:ascii="Times New Roman" w:hAnsi="Times New Roman"/>
                <w:b/>
                <w:sz w:val="24"/>
                <w:u w:val="single"/>
              </w:rPr>
              <w:t>sVaR</w:t>
            </w:r>
            <w:proofErr w:type="spellEnd"/>
            <w:r>
              <w:rPr>
                <w:rFonts w:ascii="Times New Roman" w:hAnsi="Times New Roman"/>
                <w:b/>
                <w:sz w:val="24"/>
                <w:u w:val="single"/>
              </w:rPr>
              <w:t>)</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Είναι η μέγιστη ενδεχόμενη ζημία που θα προέκυπτε από μια μεταβολή τιμών με δεδομένη πιθανότητα σε έναν προκαθορισμένο χρονικό ορίζοντα, η οποία υπολογίζεται με τη χρησιμοποίηση εισροών ελεγμένων σύμφωνα με ιστορικά δεδομένα από μια συνεχή δωδεκάμηνη περίοδο σημαντικών ακραίων χρημ</w:t>
            </w:r>
            <w:r>
              <w:rPr>
                <w:rFonts w:ascii="Times New Roman" w:hAnsi="Times New Roman"/>
                <w:sz w:val="24"/>
              </w:rPr>
              <w:t>α</w:t>
            </w:r>
            <w:r>
              <w:rPr>
                <w:rFonts w:ascii="Times New Roman" w:hAnsi="Times New Roman"/>
                <w:sz w:val="24"/>
              </w:rPr>
              <w:t>τοοικονομικών συνθηκών συναφών προς το χαρτοφυλάκιο του ιδρύματος.</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Πολλαπλασιαστικός συντελεστής (</w:t>
            </w:r>
            <w:proofErr w:type="spellStart"/>
            <w:r>
              <w:rPr>
                <w:rFonts w:ascii="Times New Roman" w:hAnsi="Times New Roman"/>
                <w:b/>
                <w:sz w:val="24"/>
                <w:u w:val="single"/>
              </w:rPr>
              <w:t>ms</w:t>
            </w:r>
            <w:proofErr w:type="spellEnd"/>
            <w:r>
              <w:rPr>
                <w:rFonts w:ascii="Times New Roman" w:hAnsi="Times New Roman"/>
                <w:b/>
                <w:sz w:val="24"/>
                <w:u w:val="single"/>
              </w:rPr>
              <w:t>) x Μέσος όρος της δυνητικής ζημίας ακραίων συνθηκών των προηγούμενων 60 εργάσιμων ημερών (</w:t>
            </w:r>
            <w:proofErr w:type="spellStart"/>
            <w:r>
              <w:rPr>
                <w:rFonts w:ascii="Times New Roman" w:hAnsi="Times New Roman"/>
                <w:b/>
                <w:sz w:val="24"/>
                <w:u w:val="single"/>
              </w:rPr>
              <w:t>SVaRavg</w:t>
            </w:r>
            <w:proofErr w:type="spellEnd"/>
            <w:r>
              <w:rPr>
                <w:rFonts w:ascii="Times New Roman" w:hAnsi="Times New Roman"/>
                <w:b/>
                <w:sz w:val="24"/>
                <w:u w:val="single"/>
              </w:rPr>
              <w:t>)</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Άρθρο 364 παράγραφος 1 στοιχείο β) σημείο ii) και άρθρο 365 παράγραφος 1 του ΚΚΑ</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Τελευταία διαθέσιμη (</w:t>
            </w:r>
            <w:proofErr w:type="spellStart"/>
            <w:r>
              <w:rPr>
                <w:rFonts w:ascii="Times New Roman" w:hAnsi="Times New Roman"/>
                <w:b/>
                <w:sz w:val="24"/>
                <w:u w:val="single"/>
              </w:rPr>
              <w:t>SVaRt</w:t>
            </w:r>
            <w:proofErr w:type="spellEnd"/>
            <w:r>
              <w:rPr>
                <w:rFonts w:ascii="Times New Roman" w:hAnsi="Times New Roman"/>
                <w:b/>
                <w:sz w:val="24"/>
                <w:u w:val="single"/>
              </w:rPr>
              <w:t>-1)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364 παράγραφος 1 στοιχείο β) σημείο i) και άρθρο 365 παράγραφος 1 του ΚΚΑ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ΚΕΦΑΛΑΙΑΚΗ ΕΠΙΒΑΡΥΝΣΗ ΓΙΑ ΕΠΙΠΡΟΣΘΕΤΟΥΣ ΚΙΝΔΥΝΟΥΣ ΑΘΕΤΗΣΗΣ ΚΑΙ ΜΕΤΑΒΟΛΗΣ ΤΗΣ ΠΙΣΤΟΛΗΠΤΙΚΗΣ ΑΞΙΟΛ</w:t>
            </w:r>
            <w:r>
              <w:rPr>
                <w:rFonts w:ascii="Times New Roman" w:hAnsi="Times New Roman"/>
                <w:b/>
                <w:sz w:val="24"/>
                <w:u w:val="single"/>
              </w:rPr>
              <w:t>Ο</w:t>
            </w:r>
            <w:r>
              <w:rPr>
                <w:rFonts w:ascii="Times New Roman" w:hAnsi="Times New Roman"/>
                <w:b/>
                <w:sz w:val="24"/>
                <w:u w:val="single"/>
              </w:rPr>
              <w:t>ΓΗΣΗΣ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Είναι η μέγιστη ενδεχόμενη ζημία που θα προέκυπτε από μεταβολή τιμών συνδεδεμένη με κινδύνους αθέτησης και μεταβολής της πιστοληπτικής αξι</w:t>
            </w:r>
            <w:r>
              <w:rPr>
                <w:rFonts w:ascii="Times New Roman" w:hAnsi="Times New Roman"/>
                <w:sz w:val="24"/>
              </w:rPr>
              <w:t>ο</w:t>
            </w:r>
            <w:r>
              <w:rPr>
                <w:rFonts w:ascii="Times New Roman" w:hAnsi="Times New Roman"/>
                <w:sz w:val="24"/>
              </w:rPr>
              <w:t>λόγησης, η οποία υπολογίζεται σύμφωνα με το άρθρο 364 παράγραφος 2 στο</w:t>
            </w:r>
            <w:r>
              <w:rPr>
                <w:rFonts w:ascii="Times New Roman" w:hAnsi="Times New Roman"/>
                <w:sz w:val="24"/>
              </w:rPr>
              <w:t>ι</w:t>
            </w:r>
            <w:r>
              <w:rPr>
                <w:rFonts w:ascii="Times New Roman" w:hAnsi="Times New Roman"/>
                <w:sz w:val="24"/>
              </w:rPr>
              <w:t xml:space="preserve">χείο β), σε συνδυασμό με το τρίτο μέρος τίτλος IV κεφάλαιο 5 τμήμα 4 του ΚΚΑ.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Μέση μέτρηση 12 εβδομάδων</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Άρθρο 364 παράγραφος 2 στοιχείο β) σημείο ii), σε συνδυασμό με το τρίτο μέρος τίτλος IV κεφάλαιο 5 τμήμα 4 του ΚΚΑ</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Τελευταία μέτρηση</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Άρθρο 364 παράγραφος 2 στοιχείο β) σημείο i), σε συνδυασμό με το τρίτο μ</w:t>
            </w:r>
            <w:r>
              <w:rPr>
                <w:rFonts w:ascii="Times New Roman" w:hAnsi="Times New Roman"/>
                <w:sz w:val="24"/>
              </w:rPr>
              <w:t>έ</w:t>
            </w:r>
            <w:r>
              <w:rPr>
                <w:rFonts w:ascii="Times New Roman" w:hAnsi="Times New Roman"/>
                <w:sz w:val="24"/>
              </w:rPr>
              <w:t>ρος τίτλος IV κεφάλαιο 5 τμήμα 4 του ΚΚΑ</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ΚΕΦΑΛΑΙΑΚΗ ΕΠΙΒΑΡΥΝΣΗ ΓΙΑ ΟΛΟΥΣ ΤΟΥΣ ΚΙΝΔΥΝΟΥΣ Τ</w:t>
            </w:r>
            <w:r>
              <w:rPr>
                <w:rFonts w:ascii="Times New Roman" w:hAnsi="Times New Roman"/>
                <w:b/>
                <w:sz w:val="24"/>
                <w:u w:val="single"/>
              </w:rPr>
              <w:t>Ι</w:t>
            </w:r>
            <w:r>
              <w:rPr>
                <w:rFonts w:ascii="Times New Roman" w:hAnsi="Times New Roman"/>
                <w:b/>
                <w:sz w:val="24"/>
                <w:u w:val="single"/>
              </w:rPr>
              <w:t>ΜΩΝ ΓΙΑ ΤΟ ΧΑΡΤΟΦΥΛΑΚΙΟ ΔΙΑΠΡΑΓΜΑΤΕΥΣΗΣ ΣΥΣΧΕΤ</w:t>
            </w:r>
            <w:r>
              <w:rPr>
                <w:rFonts w:ascii="Times New Roman" w:hAnsi="Times New Roman"/>
                <w:b/>
                <w:sz w:val="24"/>
                <w:u w:val="single"/>
              </w:rPr>
              <w:t>Ι</w:t>
            </w:r>
            <w:r>
              <w:rPr>
                <w:rFonts w:ascii="Times New Roman" w:hAnsi="Times New Roman"/>
                <w:b/>
                <w:sz w:val="24"/>
                <w:u w:val="single"/>
              </w:rPr>
              <w:t>ΣΕΩΝ (CTP)</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ΚΑΤΩΤΑΤΟ ΟΡΙΟ</w:t>
            </w:r>
          </w:p>
          <w:p w:rsidR="000B0B09" w:rsidRPr="00392FFD" w:rsidRDefault="000B0B09" w:rsidP="000B0B09">
            <w:pPr>
              <w:rPr>
                <w:rFonts w:ascii="Times New Roman" w:hAnsi="Times New Roman"/>
                <w:sz w:val="24"/>
              </w:rPr>
            </w:pPr>
            <w:r>
              <w:rPr>
                <w:rFonts w:ascii="Times New Roman" w:hAnsi="Times New Roman"/>
                <w:sz w:val="24"/>
              </w:rPr>
              <w:t>Άρθρο 364 παράγραφος 3 στοιχείο γ) του ΚΚΑ</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της κεφαλαιακής επιβάρυνσης που υπολογίζεται σύμφωνα με το ά</w:t>
            </w:r>
            <w:r>
              <w:rPr>
                <w:rFonts w:ascii="Times New Roman" w:hAnsi="Times New Roman"/>
                <w:sz w:val="24"/>
              </w:rPr>
              <w:t>ρ</w:t>
            </w:r>
            <w:r>
              <w:rPr>
                <w:rFonts w:ascii="Times New Roman" w:hAnsi="Times New Roman"/>
                <w:sz w:val="24"/>
              </w:rPr>
              <w:t>θρο 338 παράγραφος 1 του ΚΚΑ για όλες τις θέσεις στην κεφαλαιακή επιβ</w:t>
            </w:r>
            <w:r>
              <w:rPr>
                <w:rFonts w:ascii="Times New Roman" w:hAnsi="Times New Roman"/>
                <w:sz w:val="24"/>
              </w:rPr>
              <w:t>ά</w:t>
            </w:r>
            <w:r>
              <w:rPr>
                <w:rFonts w:ascii="Times New Roman" w:hAnsi="Times New Roman"/>
                <w:sz w:val="24"/>
              </w:rPr>
              <w:t>ρυνση για όλους τους κινδύνους τιμών.</w:t>
            </w:r>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ΜΕΣΗ ΜΕΤΡΗΣΗ 12 ΕΒΔΟΜΑΔΩΝ ΚΑΙ ΤΕΛΕΥΤΑΙΑ ΜΕΤΡΗΣΗ</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Άρθρο 364 παράγραφος 3 στοιχείο β)</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ΤΕΛΕΥΤΑΙΑ ΜΕΤΡΗΣΗ</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Άρθρο 364 παράγραφος 3 στοιχείο α)</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Αναφέρονται στο άρθρο 364 του ΚΚΑ για όλους τους παράγοντες κινδύνου, λαμβανομένων υπόψη των επιπτώσεων συσχέτισης, κατά περίπτωση, συν τους επιπρόσθετους κινδύνους αθέτησης και μεταβολής της πιστοληπτικής αξιολ</w:t>
            </w:r>
            <w:r>
              <w:rPr>
                <w:rFonts w:ascii="Times New Roman" w:hAnsi="Times New Roman"/>
                <w:sz w:val="24"/>
              </w:rPr>
              <w:t>ό</w:t>
            </w:r>
            <w:r>
              <w:rPr>
                <w:rFonts w:ascii="Times New Roman" w:hAnsi="Times New Roman"/>
                <w:sz w:val="24"/>
              </w:rPr>
              <w:t xml:space="preserve">γησης και όλους τους κινδύνους τιμών για το χαρτοφυλάκιο διαπραγμάτευσης συσχετίσεων, με την εξαίρεση της κεφαλαιακής επιβάρυνσης τιτλοποίησης για τιτλοποιήσεις και πιστωτικά παράγωγα νιοστού βαθμού αθέτησης, σύμφωνα με το άρθρο 364 παράγραφος 2 του ΚΚΑ.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Άρθρο 92 παράγραφος 4 στοιχείο β) του ΚΚΑ Αποτέλεσμα του πολλαπλασι</w:t>
            </w:r>
            <w:r>
              <w:rPr>
                <w:rFonts w:ascii="Times New Roman" w:hAnsi="Times New Roman"/>
                <w:sz w:val="24"/>
              </w:rPr>
              <w:t>α</w:t>
            </w:r>
            <w:r>
              <w:rPr>
                <w:rFonts w:ascii="Times New Roman" w:hAnsi="Times New Roman"/>
                <w:sz w:val="24"/>
              </w:rPr>
              <w:t>σμού των απαιτήσεων ιδίων κεφαλαίων επί 12,5.</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Αριθμός υπερβάσεων (κατά τις προηγούμενες 250 εργάσιμες ημέρες)</w:t>
            </w:r>
          </w:p>
          <w:p w:rsidR="000B0B09" w:rsidRPr="00392FFD" w:rsidRDefault="000B0B09" w:rsidP="000B0B09">
            <w:pPr>
              <w:autoSpaceDE w:val="0"/>
              <w:autoSpaceDN w:val="0"/>
              <w:adjustRightInd w:val="0"/>
              <w:spacing w:before="0" w:after="0"/>
              <w:rPr>
                <w:rFonts w:ascii="Times New Roman" w:hAnsi="Times New Roman"/>
                <w:sz w:val="24"/>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Αναφέρεται στο άρθρο 366 του ΚΚΑ. </w:t>
            </w:r>
          </w:p>
          <w:p w:rsidR="00A92CFF" w:rsidRDefault="00A92CFF" w:rsidP="000B0B09">
            <w:pPr>
              <w:autoSpaceDE w:val="0"/>
              <w:autoSpaceDN w:val="0"/>
              <w:adjustRightInd w:val="0"/>
              <w:spacing w:before="0" w:after="0"/>
              <w:rPr>
                <w:rFonts w:ascii="Times New Roman" w:hAnsi="Times New Roman"/>
                <w:sz w:val="24"/>
              </w:rPr>
            </w:pPr>
          </w:p>
          <w:p w:rsidR="00A92CFF" w:rsidRPr="00392FFD" w:rsidRDefault="00A92CFF" w:rsidP="000B0B09">
            <w:pPr>
              <w:autoSpaceDE w:val="0"/>
              <w:autoSpaceDN w:val="0"/>
              <w:adjustRightInd w:val="0"/>
              <w:spacing w:before="0" w:after="0"/>
              <w:rPr>
                <w:rFonts w:ascii="Times New Roman" w:hAnsi="Times New Roman"/>
                <w:sz w:val="24"/>
              </w:rPr>
            </w:pPr>
            <w:r>
              <w:rPr>
                <w:rFonts w:ascii="Times New Roman" w:hAnsi="Times New Roman"/>
                <w:sz w:val="24"/>
              </w:rPr>
              <w:t>Αναφέρεται ο αριθμός υπερβάσεων βάσει των οποίων προσδιορίζεται ο πρ</w:t>
            </w:r>
            <w:r>
              <w:rPr>
                <w:rFonts w:ascii="Times New Roman" w:hAnsi="Times New Roman"/>
                <w:sz w:val="24"/>
              </w:rPr>
              <w:t>ο</w:t>
            </w:r>
            <w:r>
              <w:rPr>
                <w:rFonts w:ascii="Times New Roman" w:hAnsi="Times New Roman"/>
                <w:sz w:val="24"/>
              </w:rPr>
              <w:t xml:space="preserve">σθετέος.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150-160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Πολλαπλασιαστικός συντελεστής δυνητικής ζημίας (mc) και πολλαπλασ</w:t>
            </w:r>
            <w:r>
              <w:rPr>
                <w:rFonts w:ascii="Times New Roman" w:hAnsi="Times New Roman"/>
                <w:b/>
                <w:sz w:val="24"/>
                <w:u w:val="single"/>
              </w:rPr>
              <w:t>ι</w:t>
            </w:r>
            <w:r>
              <w:rPr>
                <w:rFonts w:ascii="Times New Roman" w:hAnsi="Times New Roman"/>
                <w:b/>
                <w:sz w:val="24"/>
                <w:u w:val="single"/>
              </w:rPr>
              <w:t>αστικός συντελεστής δυνητικής ζημίας ακραίων συνθηκών (</w:t>
            </w:r>
            <w:proofErr w:type="spellStart"/>
            <w:r>
              <w:rPr>
                <w:rFonts w:ascii="Times New Roman" w:hAnsi="Times New Roman"/>
                <w:b/>
                <w:sz w:val="24"/>
                <w:u w:val="single"/>
              </w:rPr>
              <w:t>ms</w:t>
            </w:r>
            <w:proofErr w:type="spellEnd"/>
            <w:r>
              <w:rPr>
                <w:rFonts w:ascii="Times New Roman" w:hAnsi="Times New Roman"/>
                <w:b/>
                <w:sz w:val="24"/>
                <w:u w:val="single"/>
              </w:rPr>
              <w:t>)</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Όπως ορίζονται στο άρθρο 366 του ΚΚΑ.</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170-180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ΕΚΤΙΜΩΜΕΝΗ ΕΠΙΒΑΡΥΝΣΗ ΓΙΑ ΤΟ ΚΑΤΩΤΑΤΟ ΟΡΙΟ CTP – ΣΤΑΘΜΙΣΜΕΝΕΣ ΚΑΘΑΡΕΣ ΘΕΤΙΚΕΣ / ΑΡΝΗΤΙΚΕΣ ΘΕΣΕΙΣ Μ</w:t>
            </w:r>
            <w:r>
              <w:rPr>
                <w:rFonts w:ascii="Times New Roman" w:hAnsi="Times New Roman"/>
                <w:b/>
                <w:sz w:val="24"/>
                <w:u w:val="single"/>
              </w:rPr>
              <w:t>Ε</w:t>
            </w:r>
            <w:r>
              <w:rPr>
                <w:rFonts w:ascii="Times New Roman" w:hAnsi="Times New Roman"/>
                <w:b/>
                <w:sz w:val="24"/>
                <w:u w:val="single"/>
              </w:rPr>
              <w:t>ΤΑ ΤΟ ΑΝΩΤΑΤΟ ΟΡΙΟ</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Τα ποσά που αναφέρονται και χρησιμεύουν ως βάση για τον υπολογισμό της κεφαλαιακής επιβάρυνσης κατώτατου ορίου για όλους τους κινδύνους τιμών, σύμφωνα με το άρθρο 364 παράγραφος 3 στοιχείο γ) του ΚΚΑ, λαμβάνουν υπόψη τη διακριτική ευχέρεια του άρθρου 335 του ΚΚΑ, που ορίζει ότι το </w:t>
            </w:r>
            <w:r>
              <w:rPr>
                <w:rFonts w:ascii="Times New Roman" w:hAnsi="Times New Roman"/>
                <w:sz w:val="24"/>
              </w:rPr>
              <w:t>ί</w:t>
            </w:r>
            <w:r>
              <w:rPr>
                <w:rFonts w:ascii="Times New Roman" w:hAnsi="Times New Roman"/>
                <w:sz w:val="24"/>
              </w:rPr>
              <w:t xml:space="preserve">δρυμα δύναται να θέσει ανώτατο όριο στο προϊόν του συντελεστή στάθμισης και της καθαρής θέσης το οποίο δεν θα υπερβαίνει τη μέγιστη πιθανή ζημία που σχετίζεται με τον κίνδυνο αθέτησης. </w:t>
            </w:r>
          </w:p>
          <w:p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rsidTr="00672D2A">
        <w:trPr>
          <w:trHeight w:val="566"/>
        </w:trPr>
        <w:tc>
          <w:tcPr>
            <w:tcW w:w="8896"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ΣΥΝΟΛΙΚΕΣ ΘΕΣΕΙΣ</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Αντιστοιχεί στο μέρος του κινδύνου θέσης, συναλλάγματος και βασικού εμπ</w:t>
            </w:r>
            <w:r>
              <w:rPr>
                <w:rFonts w:ascii="Times New Roman" w:hAnsi="Times New Roman"/>
                <w:sz w:val="24"/>
              </w:rPr>
              <w:t>ο</w:t>
            </w:r>
            <w:r>
              <w:rPr>
                <w:rFonts w:ascii="Times New Roman" w:hAnsi="Times New Roman"/>
                <w:sz w:val="24"/>
              </w:rPr>
              <w:t xml:space="preserve">ρεύματος, που αναφέρεται στο άρθρο 363 παράγραφος 1 του ΚΚΑ, το οποίο συνδέεται με τους παράγοντες κινδύνου που προσδιορίζονται στο άρθρο 367 παράγραφος 2 του ΚΚΑ.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Όσον αφορά τις στήλες 030 έως 060 (δυνητική ζημία και δυνητική ζημία </w:t>
            </w:r>
            <w:r>
              <w:rPr>
                <w:rFonts w:ascii="Times New Roman" w:hAnsi="Times New Roman"/>
                <w:sz w:val="24"/>
              </w:rPr>
              <w:t>α</w:t>
            </w:r>
            <w:r>
              <w:rPr>
                <w:rFonts w:ascii="Times New Roman" w:hAnsi="Times New Roman"/>
                <w:sz w:val="24"/>
              </w:rPr>
              <w:t>κραίων συνθηκών), οι τιμές στη γραμμή συνόλου δεν ισούνται με την ανάλυση των τιμών για τη δυνητική ζημία και τη δυνητική ζημία ακραίων συνθηκών των σχετικών συνιστωσών κινδύνου. Επομένως, η ανάλυση συνιστά υπομν</w:t>
            </w:r>
            <w:r>
              <w:rPr>
                <w:rFonts w:ascii="Times New Roman" w:hAnsi="Times New Roman"/>
                <w:sz w:val="24"/>
              </w:rPr>
              <w:t>η</w:t>
            </w:r>
            <w:r>
              <w:rPr>
                <w:rFonts w:ascii="Times New Roman" w:hAnsi="Times New Roman"/>
                <w:sz w:val="24"/>
              </w:rPr>
              <w:t xml:space="preserve">ματικά στοιχεία.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ΔΙΑΠΡΑΓΜΑΤΕΥΣΙΜΟΙ ΧΡΕΩΣΤΙΚΟΙ ΤΙΤΛΟΙ</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Αντιστοιχεί στο μέρος του κινδύνου θέσης που αναφέρεται στο άρθρο 363 π</w:t>
            </w:r>
            <w:r>
              <w:rPr>
                <w:rFonts w:ascii="Times New Roman" w:hAnsi="Times New Roman"/>
                <w:sz w:val="24"/>
              </w:rPr>
              <w:t>α</w:t>
            </w:r>
            <w:r>
              <w:rPr>
                <w:rFonts w:ascii="Times New Roman" w:hAnsi="Times New Roman"/>
                <w:sz w:val="24"/>
              </w:rPr>
              <w:t>ράγραφος 1 του ΚΚΑ, το οποίο συνδέεται με τους παράγοντες κινδύνου επιτ</w:t>
            </w:r>
            <w:r>
              <w:rPr>
                <w:rFonts w:ascii="Times New Roman" w:hAnsi="Times New Roman"/>
                <w:sz w:val="24"/>
              </w:rPr>
              <w:t>ο</w:t>
            </w:r>
            <w:r>
              <w:rPr>
                <w:rFonts w:ascii="Times New Roman" w:hAnsi="Times New Roman"/>
                <w:sz w:val="24"/>
              </w:rPr>
              <w:t xml:space="preserve">κίου που προσδιορίζονται στο άρθρο 367 παράγραφος 2 του ΚΚΑ.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ΓΕΝΙΚΟΣ ΚΙΝΔΥΝΟΣ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Γενικός κίνδυνος οριζόμενος στο άρθρο 362 του ΚΚΑ.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ΕΙΔΙΚΟΣ ΚΙΝΔΥΝΟΣ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Ειδικός κίνδυνος οριζόμενος στο άρθρο 362 του ΚΚΑ.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ΜΕΤΟΧΕΣ</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Αντιστοιχεί στο μέρος του κινδύνου θέσης που αναφέρεται στο άρθρο 363 π</w:t>
            </w:r>
            <w:r>
              <w:rPr>
                <w:rFonts w:ascii="Times New Roman" w:hAnsi="Times New Roman"/>
                <w:sz w:val="24"/>
              </w:rPr>
              <w:t>α</w:t>
            </w:r>
            <w:r>
              <w:rPr>
                <w:rFonts w:ascii="Times New Roman" w:hAnsi="Times New Roman"/>
                <w:sz w:val="24"/>
              </w:rPr>
              <w:t>ράγραφος 1 του ΚΚΑ, το οποίο συνδέεται με τους παράγοντες κινδύνου μετ</w:t>
            </w:r>
            <w:r>
              <w:rPr>
                <w:rFonts w:ascii="Times New Roman" w:hAnsi="Times New Roman"/>
                <w:sz w:val="24"/>
              </w:rPr>
              <w:t>ο</w:t>
            </w:r>
            <w:r>
              <w:rPr>
                <w:rFonts w:ascii="Times New Roman" w:hAnsi="Times New Roman"/>
                <w:sz w:val="24"/>
              </w:rPr>
              <w:t xml:space="preserve">χικών τίτλων που προσδιορίζονται στο άρθρο 367 παράγραφος 2 του ΚΚΑ.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ΜΕΤΟΧΕΣ – ΓΕΝΙΚΟΣ ΚΙΝΔΥΝΟΣ</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Γενικός κίνδυνος οριζόμενος στο άρθρο 362 του ΚΚΑ.</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ΜΕΤΟΧΕΣ – ΕΙΔΙΚΟΣ ΚΙΝΔΥΝΟΣ</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Ειδικός κίνδυνος οριζόμενος στο άρθρο 362 του ΚΚΑ.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080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ΚΙΝΔΥΝΟΣ ΣΥΝΑΛΛΑΓΜΑΤΟΣ</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Άρθρο 363 παράγραφος 1 και άρθρο 367 παράγραφος 2 του ΚΚΑ</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ΚΙΝΔΥΝΟΣ ΒΑΣΙΚΩΝ ΕΜΠΟΡΕΥΜΑΤΩΝ</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Άρθρο 363 παράγραφος 1 και άρθρο 367 παράγραφος 2 του ΚΚΑ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ΓΙΑ ΓΕΝΙΚΟ ΚΙΝΔΥΝΟ</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Κίνδυνος αγοράς που προκαλείται από γενικές κινήσεις αγοράς διαπραγματε</w:t>
            </w:r>
            <w:r>
              <w:rPr>
                <w:rStyle w:val="InstructionsTabelleText"/>
                <w:rFonts w:ascii="Times New Roman" w:hAnsi="Times New Roman"/>
                <w:sz w:val="24"/>
              </w:rPr>
              <w:t>ύ</w:t>
            </w:r>
            <w:r>
              <w:rPr>
                <w:rStyle w:val="InstructionsTabelleText"/>
                <w:rFonts w:ascii="Times New Roman" w:hAnsi="Times New Roman"/>
                <w:sz w:val="24"/>
              </w:rPr>
              <w:t>σιμων χρεωστικών τίτλων, μετοχών, συναλλάγματος και βασικών εμπορευμ</w:t>
            </w:r>
            <w:r>
              <w:rPr>
                <w:rStyle w:val="InstructionsTabelleText"/>
                <w:rFonts w:ascii="Times New Roman" w:hAnsi="Times New Roman"/>
                <w:sz w:val="24"/>
              </w:rPr>
              <w:t>ά</w:t>
            </w:r>
            <w:r>
              <w:rPr>
                <w:rStyle w:val="InstructionsTabelleText"/>
                <w:rFonts w:ascii="Times New Roman" w:hAnsi="Times New Roman"/>
                <w:sz w:val="24"/>
              </w:rPr>
              <w:t xml:space="preserve">των. Δυνητική ζημία για τον γενικό κίνδυνο όλων των παραγόντων κινδύνου (λαμβανομένων υπόψη των επιπτώσεων των συσχετίσεων, κατά περίπτωση).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p w:rsidR="000B0B09" w:rsidRPr="00392FFD" w:rsidRDefault="000B0B09" w:rsidP="000B0B09">
            <w:pPr>
              <w:jc w:val="center"/>
              <w:rPr>
                <w:rFonts w:ascii="Times New Roman" w:hAnsi="Times New Roman"/>
                <w:sz w:val="24"/>
              </w:rPr>
            </w:pP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ΓΙΑ ΕΙΔΙΚΟ ΚΙΝΔΥΝΟ</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Συνιστώσα ειδικού κινδύνου διαπραγματεύσιμων χρεωστικών τίτλων και μετ</w:t>
            </w:r>
            <w:r>
              <w:rPr>
                <w:rStyle w:val="InstructionsTabelleText"/>
                <w:rFonts w:ascii="Times New Roman" w:hAnsi="Times New Roman"/>
                <w:sz w:val="24"/>
              </w:rPr>
              <w:t>ο</w:t>
            </w:r>
            <w:r>
              <w:rPr>
                <w:rStyle w:val="InstructionsTabelleText"/>
                <w:rFonts w:ascii="Times New Roman" w:hAnsi="Times New Roman"/>
                <w:sz w:val="24"/>
              </w:rPr>
              <w:t>χών. Δυνητική ζημία για τον ειδικό κίνδυνο μετοχικών τίτλων και διαπραγμ</w:t>
            </w:r>
            <w:r>
              <w:rPr>
                <w:rStyle w:val="InstructionsTabelleText"/>
                <w:rFonts w:ascii="Times New Roman" w:hAnsi="Times New Roman"/>
                <w:sz w:val="24"/>
              </w:rPr>
              <w:t>α</w:t>
            </w:r>
            <w:r>
              <w:rPr>
                <w:rStyle w:val="InstructionsTabelleText"/>
                <w:rFonts w:ascii="Times New Roman" w:hAnsi="Times New Roman"/>
                <w:sz w:val="24"/>
              </w:rPr>
              <w:t>τεύσιμων χρεωστικών τίτλων του χαρτοφυλακίου συναλλαγών (λαμβανομένων υπόψη των επιπτώσεων των συσχετίσεων, κατά περίπτωση).</w:t>
            </w:r>
          </w:p>
        </w:tc>
      </w:tr>
    </w:tbl>
    <w:p w:rsidR="000B0B09" w:rsidRPr="00392FFD" w:rsidRDefault="000B0B09">
      <w:pPr>
        <w:spacing w:before="0" w:after="0"/>
        <w:jc w:val="left"/>
        <w:rPr>
          <w:rStyle w:val="InstructionsTabelleText"/>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0" w:name="_Toc360188413"/>
      <w:bookmarkStart w:id="661" w:name="_Toc516210704"/>
      <w:bookmarkStart w:id="662" w:name="_Toc473561053"/>
      <w:r>
        <w:rPr>
          <w:rFonts w:ascii="Times New Roman" w:hAnsi="Times New Roman"/>
          <w:sz w:val="24"/>
          <w:u w:val="none"/>
        </w:rPr>
        <w:t>5.8.</w:t>
      </w:r>
      <w:r>
        <w:tab/>
      </w:r>
      <w:r>
        <w:rPr>
          <w:rFonts w:ascii="Times New Roman" w:hAnsi="Times New Roman"/>
          <w:sz w:val="24"/>
        </w:rPr>
        <w:t>C 25.00 – ΚΙΝΔΥΝΟΣ ΠΡΟΣΑΡΜΟΓΗΣ ΠΙΣΤΩΤΙΚΗΣ ΑΠΟΤΙΜΗΣΗΣ ΑΝΤ</w:t>
      </w:r>
      <w:r>
        <w:rPr>
          <w:rFonts w:ascii="Times New Roman" w:hAnsi="Times New Roman"/>
          <w:sz w:val="24"/>
        </w:rPr>
        <w:t>Ι</w:t>
      </w:r>
      <w:r>
        <w:rPr>
          <w:rFonts w:ascii="Times New Roman" w:hAnsi="Times New Roman"/>
          <w:sz w:val="24"/>
        </w:rPr>
        <w:t>ΣΥΜΒΑΛΛΟΜΕΝΟΥ</w:t>
      </w:r>
      <w:bookmarkEnd w:id="660"/>
      <w:r>
        <w:rPr>
          <w:rFonts w:ascii="Times New Roman" w:hAnsi="Times New Roman"/>
          <w:sz w:val="24"/>
        </w:rPr>
        <w:t xml:space="preserve"> (CVA)</w:t>
      </w:r>
      <w:bookmarkEnd w:id="661"/>
      <w:bookmarkEnd w:id="662"/>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3" w:name="_Toc360188414"/>
      <w:bookmarkStart w:id="664" w:name="_Toc516210705"/>
      <w:bookmarkStart w:id="665" w:name="_Toc473561054"/>
      <w:bookmarkStart w:id="666" w:name="_Toc310008820"/>
      <w:r>
        <w:rPr>
          <w:rFonts w:ascii="Times New Roman" w:hAnsi="Times New Roman"/>
          <w:sz w:val="24"/>
          <w:u w:val="none"/>
        </w:rPr>
        <w:t>5.8.1.</w:t>
      </w:r>
      <w:r>
        <w:tab/>
      </w:r>
      <w:r>
        <w:rPr>
          <w:rFonts w:ascii="Times New Roman" w:hAnsi="Times New Roman"/>
          <w:sz w:val="24"/>
        </w:rPr>
        <w:t>Οδηγίες για συγκεκριμένες θέσεις</w:t>
      </w:r>
      <w:bookmarkEnd w:id="663"/>
      <w:bookmarkEnd w:id="664"/>
      <w:bookmarkEnd w:id="6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Στήλες</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Αξία ανοίγματος </w:t>
            </w:r>
          </w:p>
          <w:p w:rsidR="000B0B09" w:rsidRPr="00392FFD" w:rsidRDefault="000B0B09" w:rsidP="000B0B09">
            <w:pPr>
              <w:rPr>
                <w:rFonts w:ascii="Times New Roman" w:hAnsi="Times New Roman"/>
                <w:sz w:val="24"/>
              </w:rPr>
            </w:pPr>
            <w:r>
              <w:rPr>
                <w:rFonts w:ascii="Times New Roman" w:hAnsi="Times New Roman"/>
                <w:sz w:val="24"/>
              </w:rPr>
              <w:t>Άρθρο 271 του ΚΚΑ, σε συνάρτηση με το άρθρο 382 του ΚΚΑ</w:t>
            </w:r>
          </w:p>
          <w:p w:rsidR="000B0B09" w:rsidRPr="00392FFD" w:rsidRDefault="000B0B09" w:rsidP="000B0B09">
            <w:pPr>
              <w:rPr>
                <w:rFonts w:ascii="Times New Roman" w:hAnsi="Times New Roman"/>
                <w:sz w:val="24"/>
              </w:rPr>
            </w:pPr>
            <w:r>
              <w:rPr>
                <w:rFonts w:ascii="Times New Roman" w:hAnsi="Times New Roman"/>
                <w:sz w:val="24"/>
              </w:rPr>
              <w:t xml:space="preserve">Σύνολο ανοίγματος σε περίπτωση αθέτησης (EAD) από όλες τις συναλλαγές που υπόκεινται σε επιβάρυνση κινδύνου προσαρμογής πιστωτικής αποτίμησης αντισυμβαλλομένου.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020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Εκ των οποίων: Εξωχρηματιστηριακά παράγωγα </w:t>
            </w:r>
          </w:p>
          <w:p w:rsidR="000B0B09" w:rsidRPr="00392FFD" w:rsidRDefault="000B0B09" w:rsidP="000B0B09">
            <w:pPr>
              <w:rPr>
                <w:rFonts w:ascii="Times New Roman" w:hAnsi="Times New Roman"/>
                <w:sz w:val="24"/>
              </w:rPr>
            </w:pPr>
            <w:r>
              <w:rPr>
                <w:rFonts w:ascii="Times New Roman" w:hAnsi="Times New Roman"/>
                <w:sz w:val="24"/>
              </w:rPr>
              <w:t>Άρθρο 271 του ΚΚΑ, σε συνάρτηση με το άρθρο 382 παράγραφος 1 του ΚΚΑ</w:t>
            </w:r>
          </w:p>
          <w:p w:rsidR="000B0B09" w:rsidRPr="00392FFD" w:rsidRDefault="000B0B09" w:rsidP="000B0B09">
            <w:pPr>
              <w:rPr>
                <w:rFonts w:ascii="Times New Roman" w:hAnsi="Times New Roman"/>
                <w:sz w:val="24"/>
              </w:rPr>
            </w:pPr>
            <w:r>
              <w:rPr>
                <w:rFonts w:ascii="Times New Roman" w:hAnsi="Times New Roman"/>
                <w:sz w:val="24"/>
              </w:rPr>
              <w:t>Το μέρος του συνολικού ανοίγματος σε πιστωτικό κίνδυνο αντισυμβαλλομένου που οφείλεται αποκλειστικά σε εξωχρηματιστηριακά παράγωγα. Δεν απαιτο</w:t>
            </w:r>
            <w:r>
              <w:rPr>
                <w:rFonts w:ascii="Times New Roman" w:hAnsi="Times New Roman"/>
                <w:sz w:val="24"/>
              </w:rPr>
              <w:t>ύ</w:t>
            </w:r>
            <w:r>
              <w:rPr>
                <w:rFonts w:ascii="Times New Roman" w:hAnsi="Times New Roman"/>
                <w:sz w:val="24"/>
              </w:rPr>
              <w:t>νται πληροφορίες από ιδρύματα που εφαρμόζουν τη μέθοδο των εσωτερικών υποδειγμάτων, τα οποία κατέχουν εξωχρηματιστηριακά παράγωγα και παράγ</w:t>
            </w:r>
            <w:r>
              <w:rPr>
                <w:rFonts w:ascii="Times New Roman" w:hAnsi="Times New Roman"/>
                <w:sz w:val="24"/>
              </w:rPr>
              <w:t>ω</w:t>
            </w:r>
            <w:r>
              <w:rPr>
                <w:rFonts w:ascii="Times New Roman" w:hAnsi="Times New Roman"/>
                <w:sz w:val="24"/>
              </w:rPr>
              <w:t>γα συναλλαγών χρηματοδότησης τίτλων στο ίδιο συμψηφιστικό σύνολο.</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Εκ των οποίων: Συναλλαγές χρηματοδότησης τίτλων (ΣΧΤ) </w:t>
            </w:r>
          </w:p>
          <w:p w:rsidR="000B0B09" w:rsidRPr="00392FFD" w:rsidRDefault="000B0B09" w:rsidP="000B0B09">
            <w:pPr>
              <w:rPr>
                <w:rFonts w:ascii="Times New Roman" w:hAnsi="Times New Roman"/>
                <w:sz w:val="24"/>
              </w:rPr>
            </w:pPr>
            <w:r>
              <w:rPr>
                <w:rFonts w:ascii="Times New Roman" w:hAnsi="Times New Roman"/>
                <w:sz w:val="24"/>
              </w:rPr>
              <w:t>Άρθρο 271 του ΚΚΑ, σε συνάρτηση με το άρθρο 382 παράγραφος 2 του ΚΚΑ</w:t>
            </w:r>
          </w:p>
          <w:p w:rsidR="000B0B09" w:rsidRPr="00392FFD" w:rsidRDefault="000B0B09" w:rsidP="000B0B09">
            <w:pPr>
              <w:rPr>
                <w:rFonts w:ascii="Times New Roman" w:hAnsi="Times New Roman"/>
                <w:sz w:val="24"/>
              </w:rPr>
            </w:pPr>
            <w:r>
              <w:rPr>
                <w:rFonts w:ascii="Times New Roman" w:hAnsi="Times New Roman"/>
                <w:sz w:val="24"/>
              </w:rPr>
              <w:t xml:space="preserve">Το μέρος του συνολικού ανοίγματος σε πιστωτικό κίνδυνο αντισυμβαλλομένου </w:t>
            </w:r>
            <w:r>
              <w:rPr>
                <w:rFonts w:ascii="Times New Roman" w:hAnsi="Times New Roman"/>
                <w:sz w:val="24"/>
              </w:rPr>
              <w:lastRenderedPageBreak/>
              <w:t>που οφείλεται αποκλειστικά σε παράγωγα ΣΧΤ. Δεν απαιτούνται πληροφορίες από ιδρύματα που εφαρμόζουν τη μέθοδο των εσωτερικών υποδειγμάτων, τα οποία κατέχουν εξωχρηματιστηριακά παράγωγα και παράγωγα συναλλαγών χρηματοδότησης τίτλων στο ίδιο συμψηφιστικό σύνολο.</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040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ΠΟΛΛΑΠΛΑΣΙΑΣΤΙΚΟΣ ΣΥΝΤΕΛΕΣΤΗΣ (mc) x ΜΕΣΟΣ ΟΡΟΣ ΤΩΝ ΠΡΟΗΓΟΥΜΕΝΩΝ 60 ΕΡΓΑΣΙΜΩΝ ΗΜΕΡΩΝ (</w:t>
            </w:r>
            <w:proofErr w:type="spellStart"/>
            <w:r>
              <w:rPr>
                <w:rFonts w:ascii="Times New Roman" w:hAnsi="Times New Roman"/>
                <w:b/>
                <w:sz w:val="24"/>
                <w:u w:val="single"/>
              </w:rPr>
              <w:t>VaRavg</w:t>
            </w:r>
            <w:proofErr w:type="spellEnd"/>
            <w:r>
              <w:rPr>
                <w:rFonts w:ascii="Times New Roman" w:hAnsi="Times New Roman"/>
                <w:b/>
                <w:sz w:val="24"/>
                <w:u w:val="single"/>
              </w:rPr>
              <w:t>)</w:t>
            </w:r>
          </w:p>
          <w:p w:rsidR="000B0B09" w:rsidRPr="00392FFD" w:rsidRDefault="000B0B09" w:rsidP="000B0B09">
            <w:pPr>
              <w:rPr>
                <w:rFonts w:ascii="Times New Roman" w:hAnsi="Times New Roman"/>
                <w:sz w:val="24"/>
              </w:rPr>
            </w:pPr>
            <w:r>
              <w:rPr>
                <w:rFonts w:ascii="Times New Roman" w:hAnsi="Times New Roman"/>
                <w:sz w:val="24"/>
              </w:rPr>
              <w:t>Άρθρο 383 του ΚΚΑ, σε συνάρτηση με το άρθρο 363 παράγραφος 1 στοιχείο δ) του ΚΚΑ</w:t>
            </w:r>
          </w:p>
          <w:p w:rsidR="000B0B09" w:rsidRPr="00392FFD" w:rsidRDefault="000B0B09" w:rsidP="000B0B09">
            <w:pPr>
              <w:rPr>
                <w:rFonts w:ascii="Times New Roman" w:hAnsi="Times New Roman"/>
                <w:sz w:val="24"/>
              </w:rPr>
            </w:pPr>
            <w:r>
              <w:rPr>
                <w:rFonts w:ascii="Times New Roman" w:hAnsi="Times New Roman"/>
                <w:sz w:val="24"/>
              </w:rPr>
              <w:t xml:space="preserve">Υπολογισμός της δυνητικής ζημίας βάσει εσωτερικών υποδειγμάτων για τον κίνδυνο αγοράς.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050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ΠΡΟΗΓΟΥΜΕΝΗ ΗΜΕΡΑ (</w:t>
            </w:r>
            <w:proofErr w:type="spellStart"/>
            <w:r>
              <w:rPr>
                <w:rFonts w:ascii="Times New Roman" w:hAnsi="Times New Roman"/>
                <w:b/>
                <w:sz w:val="24"/>
                <w:u w:val="single"/>
              </w:rPr>
              <w:t>VaRt</w:t>
            </w:r>
            <w:proofErr w:type="spellEnd"/>
            <w:r>
              <w:rPr>
                <w:rFonts w:ascii="Times New Roman" w:hAnsi="Times New Roman"/>
                <w:b/>
                <w:sz w:val="24"/>
                <w:u w:val="single"/>
              </w:rPr>
              <w:t>-1)</w:t>
            </w:r>
          </w:p>
          <w:p w:rsidR="000B0B09" w:rsidRPr="00392FFD" w:rsidRDefault="000B0B09" w:rsidP="000B0B09">
            <w:pPr>
              <w:rPr>
                <w:rFonts w:ascii="Times New Roman" w:hAnsi="Times New Roman"/>
                <w:sz w:val="24"/>
              </w:rPr>
            </w:pPr>
            <w:r>
              <w:rPr>
                <w:rFonts w:ascii="Times New Roman" w:hAnsi="Times New Roman"/>
                <w:sz w:val="24"/>
              </w:rPr>
              <w:t>Βλέπε οδηγίες για τη στήλη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060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ΠΟΛΛΑΠΛΑΣΙΑΣΤΙΚΟΣ ΣΥΝΤΕΛΕΣΤΗΣ (</w:t>
            </w:r>
            <w:proofErr w:type="spellStart"/>
            <w:r>
              <w:rPr>
                <w:rFonts w:ascii="Times New Roman" w:hAnsi="Times New Roman"/>
                <w:b/>
                <w:sz w:val="24"/>
                <w:u w:val="single"/>
              </w:rPr>
              <w:t>ms</w:t>
            </w:r>
            <w:proofErr w:type="spellEnd"/>
            <w:r>
              <w:rPr>
                <w:rFonts w:ascii="Times New Roman" w:hAnsi="Times New Roman"/>
                <w:b/>
                <w:sz w:val="24"/>
                <w:u w:val="single"/>
              </w:rPr>
              <w:t>) × ΜΕΣΟΣ ΟΡΟΣ ΤΩΝ ΠΡΟΗΓΟΥΜΕΝΩΝ 60 ΕΡΓΑΣΙΜΩΝ ΗΜΕΡΩΝ (</w:t>
            </w:r>
            <w:proofErr w:type="spellStart"/>
            <w:r>
              <w:rPr>
                <w:rFonts w:ascii="Times New Roman" w:hAnsi="Times New Roman"/>
                <w:b/>
                <w:sz w:val="24"/>
                <w:u w:val="single"/>
              </w:rPr>
              <w:t>SVaRavg</w:t>
            </w:r>
            <w:proofErr w:type="spellEnd"/>
            <w:r>
              <w:rPr>
                <w:rFonts w:ascii="Times New Roman" w:hAnsi="Times New Roman"/>
                <w:b/>
                <w:sz w:val="24"/>
                <w:u w:val="single"/>
              </w:rPr>
              <w:t>)</w:t>
            </w:r>
          </w:p>
          <w:p w:rsidR="000B0B09" w:rsidRPr="00392FFD" w:rsidRDefault="000B0B09" w:rsidP="000B0B09">
            <w:pPr>
              <w:rPr>
                <w:rFonts w:ascii="Times New Roman" w:hAnsi="Times New Roman"/>
                <w:sz w:val="24"/>
              </w:rPr>
            </w:pPr>
            <w:r>
              <w:rPr>
                <w:rFonts w:ascii="Times New Roman" w:hAnsi="Times New Roman"/>
                <w:sz w:val="24"/>
              </w:rPr>
              <w:t>Βλέπε οδηγίες για τη στήλη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070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ΤΕΛΕΥΤΑΙΑ ΔΙΑΘΕΣΙΜΗ (</w:t>
            </w:r>
            <w:proofErr w:type="spellStart"/>
            <w:r>
              <w:rPr>
                <w:rFonts w:ascii="Times New Roman" w:hAnsi="Times New Roman"/>
                <w:b/>
                <w:sz w:val="24"/>
                <w:u w:val="single"/>
              </w:rPr>
              <w:t>SVaRt</w:t>
            </w:r>
            <w:proofErr w:type="spellEnd"/>
            <w:r>
              <w:rPr>
                <w:rFonts w:ascii="Times New Roman" w:hAnsi="Times New Roman"/>
                <w:b/>
                <w:sz w:val="24"/>
                <w:u w:val="single"/>
              </w:rPr>
              <w:t>-1)</w:t>
            </w:r>
          </w:p>
          <w:p w:rsidR="000B0B09" w:rsidRPr="00392FFD" w:rsidRDefault="000B0B09" w:rsidP="000B0B09">
            <w:pPr>
              <w:rPr>
                <w:rFonts w:ascii="Times New Roman" w:hAnsi="Times New Roman"/>
                <w:b/>
                <w:sz w:val="24"/>
                <w:u w:val="single"/>
              </w:rPr>
            </w:pPr>
            <w:r>
              <w:rPr>
                <w:rFonts w:ascii="Times New Roman" w:hAnsi="Times New Roman"/>
                <w:sz w:val="24"/>
              </w:rPr>
              <w:t>Βλέπε οδηγίες για τη στήλη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080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ΑΠΑΙΤΗΣΕΙΣ ΙΔΙΩΝ ΚΕΦΑΛΑΙΩΝ</w:t>
            </w:r>
          </w:p>
          <w:p w:rsidR="000B0B09" w:rsidRPr="00392FFD" w:rsidRDefault="000B0B09" w:rsidP="000B0B09">
            <w:pPr>
              <w:rPr>
                <w:rFonts w:ascii="Times New Roman" w:hAnsi="Times New Roman"/>
                <w:sz w:val="24"/>
              </w:rPr>
            </w:pPr>
            <w:r>
              <w:rPr>
                <w:rFonts w:ascii="Times New Roman" w:hAnsi="Times New Roman"/>
                <w:sz w:val="24"/>
              </w:rPr>
              <w:t>Άρθρο 92 παράγραφος 3 στοιχείο δ) του ΚΚΑ</w:t>
            </w:r>
          </w:p>
          <w:p w:rsidR="000B0B09" w:rsidRPr="00392FFD" w:rsidRDefault="000B0B09" w:rsidP="000B0B09">
            <w:pPr>
              <w:rPr>
                <w:rFonts w:ascii="Times New Roman" w:hAnsi="Times New Roman"/>
                <w:sz w:val="24"/>
              </w:rPr>
            </w:pPr>
            <w:r>
              <w:rPr>
                <w:rFonts w:ascii="Times New Roman" w:hAnsi="Times New Roman"/>
                <w:sz w:val="24"/>
              </w:rPr>
              <w:t>Απαιτήσεις ιδίων κεφαλαίων για τον κίνδυνο προσαρμογής πιστωτικής αποτ</w:t>
            </w:r>
            <w:r>
              <w:rPr>
                <w:rFonts w:ascii="Times New Roman" w:hAnsi="Times New Roman"/>
                <w:sz w:val="24"/>
              </w:rPr>
              <w:t>ί</w:t>
            </w:r>
            <w:r>
              <w:rPr>
                <w:rFonts w:ascii="Times New Roman" w:hAnsi="Times New Roman"/>
                <w:sz w:val="24"/>
              </w:rPr>
              <w:t xml:space="preserve">μησης αντισυμβαλλομένου, που υπολογίζονται με την επιλεγμένη μέθοδο.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090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ΣΥΝΟΛΙΚΟ ΠΟΣΟ ΑΝΟΙΓΜΑΤΟΣ ΣΕ ΚΙΝΔΥΝΟ</w:t>
            </w:r>
          </w:p>
          <w:p w:rsidR="000B0B09" w:rsidRPr="00392FFD" w:rsidRDefault="000B0B09" w:rsidP="000B0B09">
            <w:pPr>
              <w:rPr>
                <w:rFonts w:ascii="Times New Roman" w:hAnsi="Times New Roman"/>
                <w:sz w:val="24"/>
              </w:rPr>
            </w:pPr>
            <w:r>
              <w:rPr>
                <w:rFonts w:ascii="Times New Roman" w:hAnsi="Times New Roman"/>
                <w:sz w:val="24"/>
              </w:rPr>
              <w:t>Άρθρο 92 παράγραφος 4 στοιχείο β) του ΚΚΑ</w:t>
            </w:r>
          </w:p>
          <w:p w:rsidR="000B0B09" w:rsidRPr="00392FFD" w:rsidRDefault="000B0B09" w:rsidP="000B0B09">
            <w:pPr>
              <w:rPr>
                <w:rFonts w:ascii="Times New Roman" w:hAnsi="Times New Roman"/>
                <w:sz w:val="24"/>
              </w:rPr>
            </w:pPr>
            <w:r>
              <w:rPr>
                <w:rFonts w:ascii="Times New Roman" w:hAnsi="Times New Roman"/>
                <w:sz w:val="24"/>
              </w:rPr>
              <w:t>Απαιτήσεις ιδίων κεφαλαίων πολλαπλασιασμένες επί 12,5.</w:t>
            </w:r>
          </w:p>
        </w:tc>
      </w:tr>
      <w:tr w:rsidR="000B0B09" w:rsidRPr="00392FFD" w:rsidTr="00672D2A">
        <w:tc>
          <w:tcPr>
            <w:tcW w:w="852" w:type="dxa"/>
          </w:tcPr>
          <w:p w:rsidR="000B0B09" w:rsidRPr="00392FFD" w:rsidRDefault="000B0B09" w:rsidP="000B0B09">
            <w:pPr>
              <w:rPr>
                <w:rFonts w:ascii="Times New Roman" w:hAnsi="Times New Roman"/>
                <w:sz w:val="24"/>
              </w:rPr>
            </w:pP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Υπομνηματικά στοιχεία</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100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Αριθμός αντισυμβαλλομένων</w:t>
            </w:r>
          </w:p>
          <w:p w:rsidR="000B0B09" w:rsidRPr="00392FFD" w:rsidRDefault="000B0B09" w:rsidP="000B0B09">
            <w:pPr>
              <w:rPr>
                <w:rFonts w:ascii="Times New Roman" w:hAnsi="Times New Roman"/>
                <w:sz w:val="24"/>
              </w:rPr>
            </w:pPr>
            <w:r>
              <w:rPr>
                <w:rFonts w:ascii="Times New Roman" w:hAnsi="Times New Roman"/>
                <w:sz w:val="24"/>
              </w:rPr>
              <w:t>Άρθρο 382 του ΚΚΑ</w:t>
            </w:r>
          </w:p>
          <w:p w:rsidR="000B0B09" w:rsidRPr="00392FFD" w:rsidRDefault="000B0B09" w:rsidP="000B0B09">
            <w:pPr>
              <w:rPr>
                <w:rFonts w:ascii="Times New Roman" w:hAnsi="Times New Roman"/>
                <w:sz w:val="24"/>
              </w:rPr>
            </w:pPr>
            <w:r>
              <w:rPr>
                <w:rFonts w:ascii="Times New Roman" w:hAnsi="Times New Roman"/>
                <w:sz w:val="24"/>
              </w:rPr>
              <w:t>Αριθμός αντισυμβαλλομένων που περιλαμβάνονται στον υπολογισμό των ιδίων κεφαλαίων για τον κίνδυνο προσαρμογής πιστωτικής αποτίμησης αντισυμβα</w:t>
            </w:r>
            <w:r>
              <w:rPr>
                <w:rFonts w:ascii="Times New Roman" w:hAnsi="Times New Roman"/>
                <w:sz w:val="24"/>
              </w:rPr>
              <w:t>λ</w:t>
            </w:r>
            <w:r>
              <w:rPr>
                <w:rFonts w:ascii="Times New Roman" w:hAnsi="Times New Roman"/>
                <w:sz w:val="24"/>
              </w:rPr>
              <w:t>λομένου.</w:t>
            </w:r>
          </w:p>
          <w:p w:rsidR="000B0B09" w:rsidRPr="00392FFD" w:rsidRDefault="000B0B09" w:rsidP="000B0B09">
            <w:pPr>
              <w:rPr>
                <w:rFonts w:ascii="Times New Roman" w:hAnsi="Times New Roman"/>
                <w:sz w:val="24"/>
              </w:rPr>
            </w:pPr>
            <w:r>
              <w:rPr>
                <w:rFonts w:ascii="Times New Roman" w:hAnsi="Times New Roman"/>
                <w:sz w:val="24"/>
              </w:rPr>
              <w:t>Οι αντισυμβαλλόμενοι αποτελούν υποσύνολο των οφειλετών. Υπάρχουν μόνο στην περίπτωση συναλλαγών με παράγωγα ή συναλλαγών χρηματοδότησης τί</w:t>
            </w:r>
            <w:r>
              <w:rPr>
                <w:rFonts w:ascii="Times New Roman" w:hAnsi="Times New Roman"/>
                <w:sz w:val="24"/>
              </w:rPr>
              <w:t>τ</w:t>
            </w:r>
            <w:r>
              <w:rPr>
                <w:rFonts w:ascii="Times New Roman" w:hAnsi="Times New Roman"/>
                <w:sz w:val="24"/>
              </w:rPr>
              <w:t xml:space="preserve">λων, όπου αποτελούν απλά το έτερο συμβαλλόμενο μέρος.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110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Εκ των οποίων: χρησιμοποιήθηκε προσεγγιστικό περιθώριο για τον προ</w:t>
            </w:r>
            <w:r>
              <w:rPr>
                <w:rFonts w:ascii="Times New Roman" w:hAnsi="Times New Roman"/>
                <w:b/>
                <w:sz w:val="24"/>
                <w:u w:val="single"/>
              </w:rPr>
              <w:t>σ</w:t>
            </w:r>
            <w:r>
              <w:rPr>
                <w:rFonts w:ascii="Times New Roman" w:hAnsi="Times New Roman"/>
                <w:b/>
                <w:sz w:val="24"/>
                <w:u w:val="single"/>
              </w:rPr>
              <w:t>διορισμό του πιστωτικού περιθωρίου</w:t>
            </w:r>
          </w:p>
          <w:p w:rsidR="000B0B09" w:rsidRPr="00321A3B" w:rsidRDefault="000B0B09" w:rsidP="000B0B09">
            <w:pPr>
              <w:rPr>
                <w:rFonts w:ascii="Times New Roman" w:hAnsi="Times New Roman"/>
                <w:sz w:val="24"/>
              </w:rPr>
            </w:pPr>
            <w:r>
              <w:rPr>
                <w:rFonts w:ascii="Times New Roman" w:hAnsi="Times New Roman"/>
                <w:sz w:val="24"/>
              </w:rPr>
              <w:t xml:space="preserve">αριθμός αντισυμβαλλομένων, όπου το πιστωτικό περιθώριο έχει προσδιοριστεί </w:t>
            </w:r>
            <w:r>
              <w:rPr>
                <w:rFonts w:ascii="Times New Roman" w:hAnsi="Times New Roman"/>
                <w:sz w:val="24"/>
              </w:rPr>
              <w:lastRenderedPageBreak/>
              <w:t>με τη χρήση προσεγγιστικού περιθωρίου αντί άμεσα παρατηρούμενων δεδομ</w:t>
            </w:r>
            <w:r>
              <w:rPr>
                <w:rFonts w:ascii="Times New Roman" w:hAnsi="Times New Roman"/>
                <w:sz w:val="24"/>
              </w:rPr>
              <w:t>έ</w:t>
            </w:r>
            <w:r>
              <w:rPr>
                <w:rFonts w:ascii="Times New Roman" w:hAnsi="Times New Roman"/>
                <w:sz w:val="24"/>
              </w:rPr>
              <w:t>νων της αγοράς.</w:t>
            </w:r>
          </w:p>
          <w:p w:rsidR="000B0B09" w:rsidRPr="00321A3B" w:rsidRDefault="000B0B09" w:rsidP="000B0B09">
            <w:pPr>
              <w:rPr>
                <w:rFonts w:ascii="Times New Roman" w:hAnsi="Times New Roman"/>
                <w:b/>
                <w:sz w:val="24"/>
                <w:u w:val="single"/>
              </w:rPr>
            </w:pP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120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ΠΡΑΓΜΑΤΟΠΟΙΗΘΕΙΣΑ ΠΡΟΣΑΡΜΟΓΗ ΠΙΣΤΩΤΙΚΗΣ ΑΠΟΤΙΜ</w:t>
            </w:r>
            <w:r>
              <w:rPr>
                <w:rFonts w:ascii="Times New Roman" w:hAnsi="Times New Roman"/>
                <w:b/>
                <w:sz w:val="24"/>
                <w:u w:val="single"/>
              </w:rPr>
              <w:t>Η</w:t>
            </w:r>
            <w:r>
              <w:rPr>
                <w:rFonts w:ascii="Times New Roman" w:hAnsi="Times New Roman"/>
                <w:b/>
                <w:sz w:val="24"/>
                <w:u w:val="single"/>
              </w:rPr>
              <w:t>ΣΗΣ ΑΝΤΙΣΥΜΒΑΛΛΟΜΕΝΟΥ</w:t>
            </w:r>
          </w:p>
          <w:p w:rsidR="000B0B09" w:rsidRPr="00392FFD" w:rsidRDefault="000B0B09" w:rsidP="000B0B09">
            <w:pPr>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Λογιστικές προβλέψεις λόγω της μειωμένης πιστωτικής αξίας των αντισυμβα</w:t>
            </w:r>
            <w:r>
              <w:rPr>
                <w:rFonts w:ascii="Times New Roman" w:hAnsi="Times New Roman"/>
                <w:sz w:val="24"/>
              </w:rPr>
              <w:t>λ</w:t>
            </w:r>
            <w:r>
              <w:rPr>
                <w:rFonts w:ascii="Times New Roman" w:hAnsi="Times New Roman"/>
                <w:sz w:val="24"/>
              </w:rPr>
              <w:t>λομένων στην περίπτωση παραγώγων.</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130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CDS ΜΕΜΟΝΩΜΕΝΟΥ ΟΦΕΙΛΕΤΗ</w:t>
            </w:r>
          </w:p>
          <w:p w:rsidR="000B0B09" w:rsidRPr="00392FFD" w:rsidRDefault="000B0B09" w:rsidP="000B0B09">
            <w:pPr>
              <w:rPr>
                <w:rFonts w:ascii="Times New Roman" w:hAnsi="Times New Roman"/>
                <w:sz w:val="24"/>
              </w:rPr>
            </w:pPr>
            <w:r>
              <w:rPr>
                <w:rFonts w:ascii="Times New Roman" w:hAnsi="Times New Roman"/>
                <w:sz w:val="24"/>
              </w:rPr>
              <w:t xml:space="preserve">Άρθρο 386 παράγραφος 1 στοιχείο α) του ΚΚΑ </w:t>
            </w:r>
          </w:p>
          <w:p w:rsidR="000B0B09" w:rsidRPr="00392FFD" w:rsidRDefault="000B0B09" w:rsidP="000B0B09">
            <w:pPr>
              <w:rPr>
                <w:rFonts w:ascii="Times New Roman" w:hAnsi="Times New Roman"/>
                <w:sz w:val="24"/>
              </w:rPr>
            </w:pPr>
            <w:r>
              <w:rPr>
                <w:rFonts w:ascii="Times New Roman" w:hAnsi="Times New Roman"/>
                <w:sz w:val="24"/>
              </w:rPr>
              <w:t xml:space="preserve">Συνολικά ονομαστικά ποσά συμφωνίας ανταλλαγής κινδύνου αθέτησης (CDS) μεμονωμένου οφειλέτη που χρησιμοποιούνται ως αντιστάθμιση του κινδύνου προσαρμογής πιστωτικής αποτίμησης αντισυμβαλλομένου.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140</w:t>
            </w:r>
          </w:p>
        </w:tc>
        <w:tc>
          <w:tcPr>
            <w:tcW w:w="8004" w:type="dxa"/>
          </w:tcPr>
          <w:p w:rsidR="000B0B09" w:rsidRPr="00321A3B" w:rsidRDefault="000B0B09" w:rsidP="000B0B09">
            <w:pPr>
              <w:rPr>
                <w:rFonts w:ascii="Times New Roman" w:hAnsi="Times New Roman"/>
                <w:b/>
                <w:sz w:val="24"/>
                <w:u w:val="single"/>
              </w:rPr>
            </w:pPr>
            <w:r>
              <w:rPr>
                <w:rFonts w:ascii="Times New Roman" w:hAnsi="Times New Roman"/>
                <w:b/>
                <w:sz w:val="24"/>
                <w:u w:val="single"/>
              </w:rPr>
              <w:t>CDS ΔΕΙΚΤΗ</w:t>
            </w:r>
          </w:p>
          <w:p w:rsidR="000B0B09" w:rsidRPr="00321A3B" w:rsidRDefault="000B0B09" w:rsidP="000B0B09">
            <w:pPr>
              <w:rPr>
                <w:rFonts w:ascii="Times New Roman" w:hAnsi="Times New Roman"/>
                <w:sz w:val="24"/>
              </w:rPr>
            </w:pPr>
            <w:r>
              <w:rPr>
                <w:rFonts w:ascii="Times New Roman" w:hAnsi="Times New Roman"/>
                <w:sz w:val="24"/>
              </w:rPr>
              <w:t>Άρθρο 386 παράγραφος 1 στοιχείο β) του ΚΚΑ</w:t>
            </w:r>
          </w:p>
          <w:p w:rsidR="000B0B09" w:rsidRPr="00392FFD" w:rsidRDefault="000B0B09" w:rsidP="000B0B09">
            <w:pPr>
              <w:rPr>
                <w:rFonts w:ascii="Times New Roman" w:hAnsi="Times New Roman"/>
                <w:b/>
                <w:sz w:val="24"/>
                <w:u w:val="single"/>
              </w:rPr>
            </w:pPr>
            <w:r>
              <w:rPr>
                <w:rFonts w:ascii="Times New Roman" w:hAnsi="Times New Roman"/>
                <w:sz w:val="24"/>
              </w:rPr>
              <w:t>Συνολικά ονομαστικά ποσά συμφωνίας ανταλλαγής κινδύνου αθέτησης (CDS) δείκτη που χρησιμοποιούνται ως αντιστάθμιση του κινδύνου προσαρμογής π</w:t>
            </w:r>
            <w:r>
              <w:rPr>
                <w:rFonts w:ascii="Times New Roman" w:hAnsi="Times New Roman"/>
                <w:sz w:val="24"/>
              </w:rPr>
              <w:t>ι</w:t>
            </w:r>
            <w:r>
              <w:rPr>
                <w:rFonts w:ascii="Times New Roman" w:hAnsi="Times New Roman"/>
                <w:sz w:val="24"/>
              </w:rPr>
              <w:t xml:space="preserve">στωτικής αποτίμησης αντισυμβαλλομένου.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Γραμμές</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Συνολικός κίνδυνος προσαρμογής πιστωτικής αποτίμησης αντισυμβαλλ</w:t>
            </w:r>
            <w:r>
              <w:rPr>
                <w:rFonts w:ascii="Times New Roman" w:hAnsi="Times New Roman"/>
                <w:b/>
                <w:sz w:val="24"/>
                <w:u w:val="single"/>
              </w:rPr>
              <w:t>ο</w:t>
            </w:r>
            <w:r>
              <w:rPr>
                <w:rFonts w:ascii="Times New Roman" w:hAnsi="Times New Roman"/>
                <w:b/>
                <w:sz w:val="24"/>
                <w:u w:val="single"/>
              </w:rPr>
              <w:t>μένου (CVA)</w:t>
            </w:r>
          </w:p>
          <w:p w:rsidR="000B0B09" w:rsidRPr="00392FFD" w:rsidRDefault="000B0B09" w:rsidP="000B0B09">
            <w:pPr>
              <w:rPr>
                <w:rFonts w:ascii="Times New Roman" w:hAnsi="Times New Roman"/>
                <w:bCs/>
                <w:sz w:val="24"/>
              </w:rPr>
            </w:pPr>
            <w:r>
              <w:rPr>
                <w:rFonts w:ascii="Times New Roman" w:hAnsi="Times New Roman"/>
                <w:sz w:val="24"/>
              </w:rPr>
              <w:t>Άθροισμα γραμμών 020-040, κατά περίπτωση.</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 xml:space="preserve">020 </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Σύμφωνα με την εξελιγμένη μέθοδο</w:t>
            </w:r>
          </w:p>
          <w:p w:rsidR="000B0B09" w:rsidRPr="00392FFD" w:rsidRDefault="000B0B09" w:rsidP="000B0B09">
            <w:pPr>
              <w:rPr>
                <w:rFonts w:ascii="Times New Roman" w:hAnsi="Times New Roman"/>
                <w:bCs/>
                <w:sz w:val="24"/>
              </w:rPr>
            </w:pPr>
            <w:r>
              <w:rPr>
                <w:rFonts w:ascii="Times New Roman" w:hAnsi="Times New Roman"/>
                <w:sz w:val="24"/>
              </w:rPr>
              <w:t>Εξελιγμένη μέθοδος κίνδυνου προσαρμογής πιστωτικής αποτίμησης αντισυ</w:t>
            </w:r>
            <w:r>
              <w:rPr>
                <w:rFonts w:ascii="Times New Roman" w:hAnsi="Times New Roman"/>
                <w:sz w:val="24"/>
              </w:rPr>
              <w:t>μ</w:t>
            </w:r>
            <w:r>
              <w:rPr>
                <w:rFonts w:ascii="Times New Roman" w:hAnsi="Times New Roman"/>
                <w:sz w:val="24"/>
              </w:rPr>
              <w:t xml:space="preserve">βαλλομένου, όπως προβλέπεται στο άρθρο 383 του ΚΚΑ.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Σύμφωνα με την τυποποιημένη μέθοδο</w:t>
            </w:r>
          </w:p>
          <w:p w:rsidR="000B0B09" w:rsidRPr="00392FFD" w:rsidRDefault="000B0B09" w:rsidP="000B0B09">
            <w:pPr>
              <w:rPr>
                <w:rFonts w:ascii="Times New Roman" w:hAnsi="Times New Roman"/>
                <w:bCs/>
                <w:sz w:val="24"/>
              </w:rPr>
            </w:pPr>
            <w:r>
              <w:rPr>
                <w:rFonts w:ascii="Times New Roman" w:hAnsi="Times New Roman"/>
                <w:sz w:val="24"/>
              </w:rPr>
              <w:t>Τυποποιημένη μέθοδος κίνδυνου προσαρμογής πιστωτικής αποτίμησης αντ</w:t>
            </w:r>
            <w:r>
              <w:rPr>
                <w:rFonts w:ascii="Times New Roman" w:hAnsi="Times New Roman"/>
                <w:sz w:val="24"/>
              </w:rPr>
              <w:t>ι</w:t>
            </w:r>
            <w:r>
              <w:rPr>
                <w:rFonts w:ascii="Times New Roman" w:hAnsi="Times New Roman"/>
                <w:sz w:val="24"/>
              </w:rPr>
              <w:t xml:space="preserve">συμβαλλομένου, όπως προβλέπεται στο άρθρο 384 του ΚΚΑ.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Με βάση τη μέθοδο αρχικού ανοίγματος (ΟΕΜ)</w:t>
            </w:r>
          </w:p>
          <w:p w:rsidR="000B0B09" w:rsidRPr="00392FFD" w:rsidRDefault="000B0B09" w:rsidP="00E871FE">
            <w:pPr>
              <w:rPr>
                <w:rFonts w:ascii="Times New Roman" w:hAnsi="Times New Roman"/>
                <w:bCs/>
                <w:sz w:val="24"/>
              </w:rPr>
            </w:pPr>
            <w:r>
              <w:rPr>
                <w:rFonts w:ascii="Times New Roman" w:hAnsi="Times New Roman"/>
                <w:sz w:val="24"/>
              </w:rPr>
              <w:t>Ποσά που υπόκεινται στην εφαρμογή του άρθρου 385 του ΚΚΑ.</w:t>
            </w:r>
          </w:p>
        </w:tc>
      </w:tr>
      <w:bookmarkEnd w:id="666"/>
    </w:tbl>
    <w:p w:rsidR="00633DEB" w:rsidRDefault="00633DEB" w:rsidP="00C61FF5">
      <w:pPr>
        <w:rPr>
          <w:rStyle w:val="InstructionsTabelleText"/>
          <w:rFonts w:ascii="Times New Roman" w:hAnsi="Times New Roman"/>
          <w:sz w:val="24"/>
        </w:rPr>
      </w:pPr>
    </w:p>
    <w:p w:rsidR="00995A7F" w:rsidRDefault="00995A7F" w:rsidP="00995A7F">
      <w:pPr>
        <w:pStyle w:val="Instructionsberschrift2"/>
        <w:numPr>
          <w:ilvl w:val="0"/>
          <w:numId w:val="0"/>
        </w:numPr>
        <w:ind w:left="357" w:hanging="357"/>
        <w:rPr>
          <w:rFonts w:ascii="Times New Roman" w:hAnsi="Times New Roman" w:cs="Times New Roman"/>
          <w:sz w:val="24"/>
        </w:rPr>
      </w:pPr>
      <w:bookmarkStart w:id="667" w:name="_Toc516210706"/>
      <w:r>
        <w:rPr>
          <w:rFonts w:ascii="Times New Roman" w:hAnsi="Times New Roman"/>
          <w:sz w:val="24"/>
          <w:u w:val="none"/>
        </w:rPr>
        <w:lastRenderedPageBreak/>
        <w:t>6.</w:t>
      </w:r>
      <w:r>
        <w:tab/>
      </w:r>
      <w:r>
        <w:rPr>
          <w:rFonts w:ascii="Times New Roman" w:hAnsi="Times New Roman"/>
          <w:sz w:val="24"/>
        </w:rPr>
        <w:t>Συνετή αποτίμηση (</w:t>
      </w:r>
      <w:proofErr w:type="spellStart"/>
      <w:r>
        <w:rPr>
          <w:rFonts w:ascii="Times New Roman" w:hAnsi="Times New Roman"/>
          <w:sz w:val="24"/>
        </w:rPr>
        <w:t>PruVal</w:t>
      </w:r>
      <w:proofErr w:type="spellEnd"/>
      <w:r>
        <w:rPr>
          <w:rFonts w:ascii="Times New Roman" w:hAnsi="Times New Roman"/>
          <w:sz w:val="24"/>
        </w:rPr>
        <w:t>)</w:t>
      </w:r>
      <w:bookmarkEnd w:id="667"/>
    </w:p>
    <w:p w:rsidR="00995A7F" w:rsidRPr="001924F4" w:rsidRDefault="00995A7F" w:rsidP="00995A7F">
      <w:pPr>
        <w:pStyle w:val="Instructionsberschrift2"/>
        <w:numPr>
          <w:ilvl w:val="0"/>
          <w:numId w:val="0"/>
        </w:numPr>
        <w:ind w:left="357" w:hanging="357"/>
        <w:rPr>
          <w:rFonts w:ascii="Times New Roman" w:hAnsi="Times New Roman" w:cs="Times New Roman"/>
          <w:sz w:val="24"/>
          <w:u w:val="none"/>
        </w:rPr>
      </w:pPr>
      <w:bookmarkStart w:id="668" w:name="_Toc516210707"/>
      <w:r>
        <w:rPr>
          <w:rFonts w:ascii="Times New Roman" w:hAnsi="Times New Roman"/>
          <w:sz w:val="24"/>
          <w:u w:val="none"/>
        </w:rPr>
        <w:t>6.1.</w:t>
      </w:r>
      <w:r>
        <w:tab/>
      </w:r>
      <w:r>
        <w:rPr>
          <w:rFonts w:ascii="Times New Roman" w:hAnsi="Times New Roman"/>
          <w:sz w:val="24"/>
        </w:rPr>
        <w:t>C 32.01 – Συνετή αποτίμηση: ΣΤΟΙΧΕΙΑ ΕΝΕΡΓΗΤΙΚΟΥ ΚΑΙ ΠΑΘΗΤΙΚΟΥ Ε</w:t>
      </w:r>
      <w:r>
        <w:rPr>
          <w:rFonts w:ascii="Times New Roman" w:hAnsi="Times New Roman"/>
          <w:sz w:val="24"/>
        </w:rPr>
        <w:t>Υ</w:t>
      </w:r>
      <w:r>
        <w:rPr>
          <w:rFonts w:ascii="Times New Roman" w:hAnsi="Times New Roman"/>
          <w:sz w:val="24"/>
        </w:rPr>
        <w:t>ΛΟΓΗΣ ΑΞΙΑΣ</w:t>
      </w:r>
      <w:bookmarkEnd w:id="668"/>
    </w:p>
    <w:p w:rsidR="00995A7F" w:rsidRPr="00EB6E04" w:rsidRDefault="00995A7F" w:rsidP="00995A7F">
      <w:pPr>
        <w:pStyle w:val="Instructionsberschrift2"/>
        <w:numPr>
          <w:ilvl w:val="0"/>
          <w:numId w:val="0"/>
        </w:numPr>
        <w:ind w:left="357" w:hanging="357"/>
        <w:rPr>
          <w:rFonts w:ascii="Times New Roman" w:hAnsi="Times New Roman" w:cs="Times New Roman"/>
          <w:sz w:val="24"/>
          <w:u w:val="none"/>
        </w:rPr>
      </w:pPr>
      <w:bookmarkStart w:id="669" w:name="_Toc516210708"/>
      <w:r>
        <w:rPr>
          <w:rFonts w:ascii="Times New Roman" w:hAnsi="Times New Roman"/>
          <w:sz w:val="24"/>
          <w:u w:val="none"/>
        </w:rPr>
        <w:t>6.1.1.</w:t>
      </w:r>
      <w:r>
        <w:tab/>
      </w:r>
      <w:r>
        <w:rPr>
          <w:rFonts w:ascii="Times New Roman" w:hAnsi="Times New Roman"/>
          <w:sz w:val="24"/>
        </w:rPr>
        <w:t>Γενικές παρατηρήσεις</w:t>
      </w:r>
      <w:bookmarkEnd w:id="669"/>
      <w:r>
        <w:rPr>
          <w:rFonts w:ascii="Times New Roman" w:hAnsi="Times New Roman"/>
          <w:sz w:val="24"/>
          <w:u w:val="none"/>
        </w:rPr>
        <w:t xml:space="preserve"> </w:t>
      </w:r>
    </w:p>
    <w:p w:rsidR="00B93FA1" w:rsidRDefault="00995A7F" w:rsidP="001A3980">
      <w:pPr>
        <w:pStyle w:val="InstructionsText2"/>
        <w:numPr>
          <w:ilvl w:val="0"/>
          <w:numId w:val="0"/>
        </w:numPr>
        <w:ind w:left="993"/>
      </w:pPr>
      <w:r>
        <w:t>154α. Το παρόν υπόδειγμα συμπληρώνεται από όλα τα ιδρύματα, είτε έχουν υιοθ</w:t>
      </w:r>
      <w:r>
        <w:t>ε</w:t>
      </w:r>
      <w:r>
        <w:t>τήσει την απλουστευμένη προσέγγιση για τον προσδιορισμό των Πρόσθετων Πρ</w:t>
      </w:r>
      <w:r>
        <w:t>ο</w:t>
      </w:r>
      <w:r>
        <w:t>σαρμογών Αποτίμησης (ΠΠΑ – AVA) είτε όχι. Αφορά ειδικά την απόλυτη αξία στοιχείων ενεργητικού και παθητικού εύλογης αξίας, που χρησιμοποιείται για να προσδιοριστεί κατά πόσον πληρούνται οι προϋποθέσεις που καθορίζονται στο ά</w:t>
      </w:r>
      <w:r>
        <w:t>ρ</w:t>
      </w:r>
      <w:r>
        <w:t>θρο 4 παράγραφος 1 του κατ’ εξουσιοδότηση κανονισμού (ΕΕ) 2016/101 για τη συνετή αποτίμηση, για να χρησιμοποιηθεί η απλουστευμένη προσέγγιση για τον προσδιορισμό των πρόσθετων προσαρμογών αποτίμησης.</w:t>
      </w:r>
    </w:p>
    <w:p w:rsidR="00995A7F" w:rsidRDefault="00B93FA1" w:rsidP="001A3980">
      <w:pPr>
        <w:pStyle w:val="InstructionsText2"/>
        <w:numPr>
          <w:ilvl w:val="0"/>
          <w:numId w:val="0"/>
        </w:numPr>
        <w:ind w:left="993"/>
      </w:pPr>
      <w:r>
        <w:t>154β. Όσον αφορά τα ιδρύματα που χρησιμοποιούν την απλουστευμένη προσέγγ</w:t>
      </w:r>
      <w:r>
        <w:t>ι</w:t>
      </w:r>
      <w:r>
        <w:t>ση, στο παρόν υπόδειγμα παρέχεται η συνολική AVA που πρέπει να αφαιρείται από τα ίδια κεφάλαια, βάσει των άρθρων 34 και 105 του ΚΚΑ, όπως προβλέπεται στο άρθρο 5 του κατ’ εξουσιοδότηση κανονισμού (ΕΕ) 2016/101 για τη συνετή αποτίμηση, η οποία αναφέρεται αναλόγως στη γραμμή 290 του υποδείγματος C 01.00.</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670" w:name="_Toc516210709"/>
      <w:r>
        <w:rPr>
          <w:rFonts w:ascii="Times New Roman" w:hAnsi="Times New Roman"/>
          <w:sz w:val="24"/>
          <w:u w:val="none"/>
        </w:rPr>
        <w:t>6.1.2.</w:t>
      </w:r>
      <w:r>
        <w:tab/>
      </w:r>
      <w:r>
        <w:rPr>
          <w:rFonts w:ascii="Times New Roman" w:hAnsi="Times New Roman"/>
          <w:sz w:val="24"/>
        </w:rPr>
        <w:t>Οδηγίες για συγκεκριμένες θέσεις</w:t>
      </w:r>
      <w:bookmarkEnd w:id="67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Στήλες</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ΣΤΟΙΧΕΙΑ ΕΝΕΡΓΗΤΙΚΟΥ ΚΑΙ ΠΑΘΗΤΙΚΟΥ ΕΥΛΟΓΗΣ ΑΞΙΑΣ</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Η απόλυτη αξία στοιχείων ενεργητικού και παθητικού εύλογης αξίας, όπως αν</w:t>
            </w:r>
            <w:r>
              <w:rPr>
                <w:rFonts w:ascii="Times New Roman" w:hAnsi="Times New Roman"/>
                <w:sz w:val="24"/>
              </w:rPr>
              <w:t>α</w:t>
            </w:r>
            <w:r>
              <w:rPr>
                <w:rFonts w:ascii="Times New Roman" w:hAnsi="Times New Roman"/>
                <w:sz w:val="24"/>
              </w:rPr>
              <w:t>φέρεται στις οικονομικές καταστάσεις του ιδρύματος σύμφωνα με το εφαρμοστέο λογιστικό πλαίσιο, όπως αναφέρεται στο άρθρο 4 παράγραφος 1 του κατ’ εξουσ</w:t>
            </w:r>
            <w:r>
              <w:rPr>
                <w:rFonts w:ascii="Times New Roman" w:hAnsi="Times New Roman"/>
                <w:sz w:val="24"/>
              </w:rPr>
              <w:t>ι</w:t>
            </w:r>
            <w:r>
              <w:rPr>
                <w:rFonts w:ascii="Times New Roman" w:hAnsi="Times New Roman"/>
                <w:sz w:val="24"/>
              </w:rPr>
              <w:t>οδότηση κανονισμού (ΕΕ) 2016/101 για τη συνετή αποτίμηση, προτού πραγματ</w:t>
            </w:r>
            <w:r>
              <w:rPr>
                <w:rFonts w:ascii="Times New Roman" w:hAnsi="Times New Roman"/>
                <w:sz w:val="24"/>
              </w:rPr>
              <w:t>ο</w:t>
            </w:r>
            <w:r>
              <w:rPr>
                <w:rFonts w:ascii="Times New Roman" w:hAnsi="Times New Roman"/>
                <w:sz w:val="24"/>
              </w:rPr>
              <w:t>ποιηθεί οποιαδήποτε μείωση σύμφωνα με το άρθρο 4 παράγραφος 2.</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ΕΚ ΤΩΝ ΟΠΟΙΩΝ: χαρτοφυλάκιο συναλλαγών</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Η απόλυτη αξία στοιχείων ενεργητικού και παθητικού εύλογης αξίας, όπως αν</w:t>
            </w:r>
            <w:r>
              <w:rPr>
                <w:rFonts w:ascii="Times New Roman" w:hAnsi="Times New Roman"/>
                <w:sz w:val="24"/>
              </w:rPr>
              <w:t>α</w:t>
            </w:r>
            <w:r>
              <w:rPr>
                <w:rFonts w:ascii="Times New Roman" w:hAnsi="Times New Roman"/>
                <w:sz w:val="24"/>
              </w:rPr>
              <w:t>φέρονται στη στήλη 010, που αντιστοιχεί σε θέσεις που τηρούνται στο χαρτοφ</w:t>
            </w:r>
            <w:r>
              <w:rPr>
                <w:rFonts w:ascii="Times New Roman" w:hAnsi="Times New Roman"/>
                <w:sz w:val="24"/>
              </w:rPr>
              <w:t>υ</w:t>
            </w:r>
            <w:r>
              <w:rPr>
                <w:rFonts w:ascii="Times New Roman" w:hAnsi="Times New Roman"/>
                <w:sz w:val="24"/>
              </w:rPr>
              <w:t xml:space="preserve">λάκιο συναλλαγών. </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ΣΤΟΙΧΕΙΑ ΕΝΕΡΓΗΤΙΚΟΥ ΚΑΙ ΠΑΘΗΤΙΚΟΥ ΕΥΛΟΓΗΣ ΑΞΙΑΣ ΠΟΥ ΕΞΑΙΡΟΥΝΤΑΙ ΛΟΓΩ ΜΕΡΙΚΟΥ ΑΝΤΙΚΤΥΠΟΥ ΣΤΟ ΚΕΦΑΛΑΙΟ CET1 </w:t>
            </w:r>
          </w:p>
          <w:p w:rsidR="00B93FA1" w:rsidRPr="00EB6E04" w:rsidRDefault="00B93FA1" w:rsidP="00C11B8D">
            <w:pPr>
              <w:spacing w:beforeLines="60" w:before="144" w:afterLines="60" w:after="144"/>
              <w:rPr>
                <w:rFonts w:ascii="Times New Roman" w:hAnsi="Times New Roman"/>
                <w:b/>
                <w:caps/>
                <w:sz w:val="24"/>
                <w:u w:val="single"/>
              </w:rPr>
            </w:pPr>
            <w:r>
              <w:rPr>
                <w:rFonts w:ascii="Times New Roman" w:hAnsi="Times New Roman"/>
                <w:sz w:val="24"/>
              </w:rPr>
              <w:t xml:space="preserve">Η απόλυτη αξία των στοιχείων ενεργητικού και παθητικού εύλογης αξίας που </w:t>
            </w:r>
            <w:r>
              <w:rPr>
                <w:rFonts w:ascii="Times New Roman" w:hAnsi="Times New Roman"/>
                <w:sz w:val="24"/>
              </w:rPr>
              <w:t>ε</w:t>
            </w:r>
            <w:r>
              <w:rPr>
                <w:rFonts w:ascii="Times New Roman" w:hAnsi="Times New Roman"/>
                <w:sz w:val="24"/>
              </w:rPr>
              <w:t>ξαιρούνται σύμφωνα με το άρθρο 4 παράγραφος 2 του κατ’ εξουσιοδότηση καν</w:t>
            </w:r>
            <w:r>
              <w:rPr>
                <w:rFonts w:ascii="Times New Roman" w:hAnsi="Times New Roman"/>
                <w:sz w:val="24"/>
              </w:rPr>
              <w:t>ο</w:t>
            </w:r>
            <w:r>
              <w:rPr>
                <w:rFonts w:ascii="Times New Roman" w:hAnsi="Times New Roman"/>
                <w:sz w:val="24"/>
              </w:rPr>
              <w:t>νισμού (ΕΕ) 2016/101 για τη συνετή αποτίμηση.</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Πλήρους αντιστοίχισης</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 xml:space="preserve">Στοιχεία ενεργητικού και παθητικού εύλογης αξίας, πλήρους αντιστοίχισης και </w:t>
            </w:r>
            <w:r>
              <w:rPr>
                <w:rFonts w:ascii="Times New Roman" w:hAnsi="Times New Roman"/>
                <w:sz w:val="24"/>
              </w:rPr>
              <w:lastRenderedPageBreak/>
              <w:t>συμψηφισμού, που εξαιρούνται σύμφωνα με το άρθρο 4 παράγραφος 2 του κατ’ εξουσιοδότηση κανονισμού (ΕΕ) 2016/101 για τη συνετή αποτίμηση.</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Λογιστική αντιστάθμισης</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Για θέσεις που υπάγονται στη λογιστική αντιστάθμισης, σύμφωνα με το εφαρμ</w:t>
            </w:r>
            <w:r>
              <w:rPr>
                <w:rFonts w:ascii="Times New Roman" w:hAnsi="Times New Roman"/>
                <w:sz w:val="24"/>
              </w:rPr>
              <w:t>ο</w:t>
            </w:r>
            <w:r>
              <w:rPr>
                <w:rFonts w:ascii="Times New Roman" w:hAnsi="Times New Roman"/>
                <w:sz w:val="24"/>
              </w:rPr>
              <w:t>στέο λογιστικό πλαίσιο, η απόλυτη αξία των στοιχείων ενεργητικού και παθητικού εύλογης αξίας που εξαιρούνται κατ’ αναλογία προς τον αντίκτυπο της σχετικής αλλαγής αποτίμησης στο κεφάλαιο CET1, σύμφωνα με το άρθρο 4 παράγραφος 2 του κατ’ εξουσιοδότηση κανονισμού (ΕΕ) 2016/101 για τη συνετή αποτίμηση.</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EB6E04"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ΕΠΟΠΤΙΚΕΣ προσαρμογές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 xml:space="preserve">Η απόλυτη αξία των στοιχείων ενεργητικού και παθητικού εύλογης αξίας που </w:t>
            </w:r>
            <w:r>
              <w:rPr>
                <w:rFonts w:ascii="Times New Roman" w:hAnsi="Times New Roman"/>
                <w:sz w:val="24"/>
              </w:rPr>
              <w:t>ε</w:t>
            </w:r>
            <w:r>
              <w:rPr>
                <w:rFonts w:ascii="Times New Roman" w:hAnsi="Times New Roman"/>
                <w:sz w:val="24"/>
              </w:rPr>
              <w:t>ξαιρούνται σύμφωνα με το άρθρο 4 παράγραφος 2 του κατ’ εξουσιοδότηση καν</w:t>
            </w:r>
            <w:r>
              <w:rPr>
                <w:rFonts w:ascii="Times New Roman" w:hAnsi="Times New Roman"/>
                <w:sz w:val="24"/>
              </w:rPr>
              <w:t>ο</w:t>
            </w:r>
            <w:r>
              <w:rPr>
                <w:rFonts w:ascii="Times New Roman" w:hAnsi="Times New Roman"/>
                <w:sz w:val="24"/>
              </w:rPr>
              <w:t>νισμού (ΕΕ) 2016/101 για τη συνετή αποτίμηση, λόγω των μεταβατικών προσα</w:t>
            </w:r>
            <w:r>
              <w:rPr>
                <w:rFonts w:ascii="Times New Roman" w:hAnsi="Times New Roman"/>
                <w:sz w:val="24"/>
              </w:rPr>
              <w:t>ρ</w:t>
            </w:r>
            <w:r>
              <w:rPr>
                <w:rFonts w:ascii="Times New Roman" w:hAnsi="Times New Roman"/>
                <w:sz w:val="24"/>
              </w:rPr>
              <w:t>μογών που αναφέρονται στα άρθρα 467 και 468 του ΚΚΑ.</w:t>
            </w:r>
          </w:p>
        </w:tc>
      </w:tr>
      <w:tr w:rsidR="00B93FA1" w:rsidRPr="00E60B53" w:rsidTr="00672D2A">
        <w:tc>
          <w:tcPr>
            <w:tcW w:w="1101" w:type="dxa"/>
          </w:tcPr>
          <w:p w:rsidR="00B93FA1" w:rsidRPr="00EB6E04"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Άλλα</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Οποιεσδήποτε άλλες θέσεις εξαιρούνται, σύμφωνα με το άρθρο 4 παράγραφος 2 του κατ’ εξουσιοδότηση κανονισμού (ΕΕ) 2016/101 για τη συνετή αποτίμηση, λ</w:t>
            </w:r>
            <w:r>
              <w:rPr>
                <w:rFonts w:ascii="Times New Roman" w:hAnsi="Times New Roman"/>
                <w:sz w:val="24"/>
              </w:rPr>
              <w:t>ό</w:t>
            </w:r>
            <w:r>
              <w:rPr>
                <w:rFonts w:ascii="Times New Roman" w:hAnsi="Times New Roman"/>
                <w:sz w:val="24"/>
              </w:rPr>
              <w:t>γω προσαρμογών στη λογιστική αξία τους οι οποίες έχουν μόνον αναλογικό αντ</w:t>
            </w:r>
            <w:r>
              <w:rPr>
                <w:rFonts w:ascii="Times New Roman" w:hAnsi="Times New Roman"/>
                <w:sz w:val="24"/>
              </w:rPr>
              <w:t>ί</w:t>
            </w:r>
            <w:r>
              <w:rPr>
                <w:rFonts w:ascii="Times New Roman" w:hAnsi="Times New Roman"/>
                <w:sz w:val="24"/>
              </w:rPr>
              <w:t xml:space="preserve">κτυπο στο κεφάλαιο CET1.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Η γραμμή αυτή συμπληρώνεται μόνο στις σπάνιες περιπτώσεις όπου τα στοιχεία που εξαιρούνται, σύμφωνα με το άρθρο 4 παράγραφος 2 του κατ’ εξουσιοδότηση κανονισμού (ΕΕ) 2016/101 για τη συνετή αποτίμηση, δεν μπορούν να κατανεμ</w:t>
            </w:r>
            <w:r>
              <w:rPr>
                <w:rFonts w:ascii="Times New Roman" w:hAnsi="Times New Roman"/>
                <w:sz w:val="24"/>
              </w:rPr>
              <w:t>η</w:t>
            </w:r>
            <w:r>
              <w:rPr>
                <w:rFonts w:ascii="Times New Roman" w:hAnsi="Times New Roman"/>
                <w:sz w:val="24"/>
              </w:rPr>
              <w:t>θούν στις στήλες του 0030, 0040 ή 0050 του παρόντος υποδείγματος.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Παρατηρήσεις για τα άλλα</w:t>
            </w:r>
            <w:r>
              <w:rPr>
                <w:rFonts w:ascii="Times New Roman" w:hAnsi="Times New Roman"/>
                <w:sz w:val="24"/>
              </w:rPr>
              <w:t xml:space="preserve"> </w:t>
            </w:r>
          </w:p>
          <w:p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 xml:space="preserve">Αναφέρονται οι κυριότεροι λόγοι για τους οποίους εξαιρέθηκαν οι θέσεις που </w:t>
            </w:r>
            <w:r>
              <w:rPr>
                <w:rFonts w:ascii="Times New Roman" w:hAnsi="Times New Roman"/>
                <w:sz w:val="24"/>
              </w:rPr>
              <w:t>α</w:t>
            </w:r>
            <w:r>
              <w:rPr>
                <w:rFonts w:ascii="Times New Roman" w:hAnsi="Times New Roman"/>
                <w:sz w:val="24"/>
              </w:rPr>
              <w:t xml:space="preserve">ναφέρονται στη στήλη 0060.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ΕΥΛΟΓΗΣ ΑΞΙΑΣ στοιχεία ενεργητικού και παθητικού που περιλαμβάνονται στο όριο του άρθρου 4 παράγραφος 1</w:t>
            </w:r>
          </w:p>
          <w:p w:rsidR="00B93FA1" w:rsidRPr="00EB6E04" w:rsidRDefault="00B93FA1" w:rsidP="00733B77">
            <w:pPr>
              <w:spacing w:beforeLines="60" w:before="144" w:afterLines="60" w:after="144"/>
              <w:rPr>
                <w:rFonts w:ascii="Times New Roman" w:hAnsi="Times New Roman"/>
                <w:b/>
                <w:caps/>
                <w:sz w:val="24"/>
                <w:u w:val="single"/>
              </w:rPr>
            </w:pPr>
            <w:r>
              <w:rPr>
                <w:rFonts w:ascii="Times New Roman" w:hAnsi="Times New Roman"/>
                <w:sz w:val="24"/>
              </w:rPr>
              <w:t>Η απόλυτη αξία των στοιχείων ενεργητικού και παθητικού εύλογης αξίας που π</w:t>
            </w:r>
            <w:r>
              <w:rPr>
                <w:rFonts w:ascii="Times New Roman" w:hAnsi="Times New Roman"/>
                <w:sz w:val="24"/>
              </w:rPr>
              <w:t>ε</w:t>
            </w:r>
            <w:r>
              <w:rPr>
                <w:rFonts w:ascii="Times New Roman" w:hAnsi="Times New Roman"/>
                <w:sz w:val="24"/>
              </w:rPr>
              <w:t>ριλαμβάνονται στον υπολογισμό του ορίου, σύμφωνα με το άρθρο 4 παράγραφος 1 του κατ’ εξουσιοδότηση κανονισμού (ΕΕ) 2016/101 για τη συνετή αποτίμηση.</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ΕΚ ΤΩΝ ΟΠΟΙΩΝ: χαρτοφυλάκιο συναλλαγών</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Η απόλυτη αξία των στοιχείων ενεργητικού και παθητικού εύλογης αξίας, όπως αναφέρονται στη στήλη 0080, που αντιστοιχεί σε θέσεις που τηρούνται στο χα</w:t>
            </w:r>
            <w:r>
              <w:rPr>
                <w:rFonts w:ascii="Times New Roman" w:hAnsi="Times New Roman"/>
                <w:sz w:val="24"/>
              </w:rPr>
              <w:t>ρ</w:t>
            </w:r>
            <w:r>
              <w:rPr>
                <w:rFonts w:ascii="Times New Roman" w:hAnsi="Times New Roman"/>
                <w:sz w:val="24"/>
              </w:rPr>
              <w:t>τοφυλάκιο συναλλαγών.</w:t>
            </w:r>
          </w:p>
        </w:tc>
      </w:tr>
    </w:tbl>
    <w:p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Γραμμές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 xml:space="preserve">0010 – </w:t>
            </w:r>
            <w:r>
              <w:rPr>
                <w:rFonts w:ascii="Times New Roman" w:hAnsi="Times New Roman"/>
                <w:sz w:val="24"/>
              </w:rPr>
              <w:lastRenderedPageBreak/>
              <w:t>0210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 xml:space="preserve">Οι ορισμοί αυτών των κατηγοριών αντιστοιχούν σε εκείνους των αντίστοιχων </w:t>
            </w:r>
            <w:r>
              <w:rPr>
                <w:rFonts w:ascii="Times New Roman" w:hAnsi="Times New Roman"/>
                <w:sz w:val="24"/>
              </w:rPr>
              <w:lastRenderedPageBreak/>
              <w:t xml:space="preserve">γραμμών των υποδειγμάτων FINREP 1.1 και 1.2.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ΣΥΝΟΛΟ ΣΤΟΙΧΕΙΩΝ ΕΝΕΡΓΗΤΙΚΟΥ ΚΑΙ ΠΑΘΗΤΙΚΟΥ ΕΥΛΟΓΗΣ ΑΞΙΑΣ</w:t>
            </w:r>
          </w:p>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sz w:val="24"/>
              </w:rPr>
              <w:t>Το σύνολο των στοιχείων ενεργητικού και παθητικού εύλογης αξίας που αναφ</w:t>
            </w:r>
            <w:r>
              <w:rPr>
                <w:rFonts w:ascii="Times New Roman" w:hAnsi="Times New Roman"/>
                <w:sz w:val="24"/>
              </w:rPr>
              <w:t>έ</w:t>
            </w:r>
            <w:r>
              <w:rPr>
                <w:rFonts w:ascii="Times New Roman" w:hAnsi="Times New Roman"/>
                <w:sz w:val="24"/>
              </w:rPr>
              <w:t xml:space="preserve">ρονται στις γραμμές 20 έως 210.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ΣΥΝΟΛΟ ΣΤΟΙΧΕΙΩΝ ΕΝΕΡΓΗΤΙΚΟΥ ΕΥΛΟΓΗΣ ΑΞΙΑΣ</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Το σύνολο των στοιχείων ενεργητικού εύλογης αξίας που αναφέρονται στις γρα</w:t>
            </w:r>
            <w:r>
              <w:rPr>
                <w:rFonts w:ascii="Times New Roman" w:hAnsi="Times New Roman"/>
                <w:sz w:val="24"/>
              </w:rPr>
              <w:t>μ</w:t>
            </w:r>
            <w:r>
              <w:rPr>
                <w:rFonts w:ascii="Times New Roman" w:hAnsi="Times New Roman"/>
                <w:sz w:val="24"/>
              </w:rPr>
              <w:t xml:space="preserve">μές 0030 έως 0140. </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Τα σχετικά κελιά των γραμμών 0030 έως 0130 συμπληρώνονται σύμφωνα με το υπόδειγμα FINREP F 01.01 των παραρτημάτων III και IV του παρόντος κανον</w:t>
            </w:r>
            <w:r>
              <w:rPr>
                <w:rFonts w:ascii="Times New Roman" w:hAnsi="Times New Roman"/>
                <w:sz w:val="24"/>
              </w:rPr>
              <w:t>ι</w:t>
            </w:r>
            <w:r>
              <w:rPr>
                <w:rFonts w:ascii="Times New Roman" w:hAnsi="Times New Roman"/>
                <w:sz w:val="24"/>
              </w:rPr>
              <w:t xml:space="preserve">σμού, ανάλογα με τα εφαρμοστέα πρότυπα του ιδρύματος: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ΔΠΧΑ, όπως έχουν εγκριθεί από την Ένωση, κατ’ εφαρμογή του κανονισμού (ΕΕ) 1606/2002 («ΔΠΧΑ της ΕΕ»)</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Εθνικά λογιστικά πρότυπα τα οποία είναι συμβατά με τα ΔΠΧΑ της ΕΕ («</w:t>
            </w:r>
            <w:r>
              <w:rPr>
                <w:rFonts w:ascii="Times New Roman" w:hAnsi="Times New Roman"/>
                <w:sz w:val="24"/>
              </w:rPr>
              <w:t>Ε</w:t>
            </w:r>
            <w:r>
              <w:rPr>
                <w:rFonts w:ascii="Times New Roman" w:hAnsi="Times New Roman"/>
                <w:sz w:val="24"/>
              </w:rPr>
              <w:t xml:space="preserve">θνικές ΓΑΛΑ συμβατές με τα ΔΠΧΑ») ή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Εθνικές ΓΑΛΑ βάσει της οδηγίας 86/635/ΕΟΚ, της οδηγίας για τους λογαρι</w:t>
            </w:r>
            <w:r>
              <w:rPr>
                <w:rFonts w:ascii="Times New Roman" w:hAnsi="Times New Roman"/>
                <w:sz w:val="24"/>
              </w:rPr>
              <w:t>α</w:t>
            </w:r>
            <w:r>
              <w:rPr>
                <w:rFonts w:ascii="Times New Roman" w:hAnsi="Times New Roman"/>
                <w:sz w:val="24"/>
              </w:rPr>
              <w:t>σμούς των τραπεζών (</w:t>
            </w:r>
            <w:proofErr w:type="spellStart"/>
            <w:r>
              <w:rPr>
                <w:rFonts w:ascii="Times New Roman" w:hAnsi="Times New Roman"/>
                <w:sz w:val="24"/>
              </w:rPr>
              <w:t>Bank</w:t>
            </w:r>
            <w:proofErr w:type="spellEnd"/>
            <w:r>
              <w:rPr>
                <w:rFonts w:ascii="Times New Roman" w:hAnsi="Times New Roman"/>
                <w:sz w:val="24"/>
              </w:rPr>
              <w:t xml:space="preserve"> </w:t>
            </w:r>
            <w:proofErr w:type="spellStart"/>
            <w:r>
              <w:rPr>
                <w:rFonts w:ascii="Times New Roman" w:hAnsi="Times New Roman"/>
                <w:sz w:val="24"/>
              </w:rPr>
              <w:t>Accounting</w:t>
            </w:r>
            <w:proofErr w:type="spellEnd"/>
            <w:r>
              <w:rPr>
                <w:rFonts w:ascii="Times New Roman" w:hAnsi="Times New Roman"/>
                <w:sz w:val="24"/>
              </w:rPr>
              <w:t xml:space="preserve"> </w:t>
            </w:r>
            <w:proofErr w:type="spellStart"/>
            <w:r>
              <w:rPr>
                <w:rFonts w:ascii="Times New Roman" w:hAnsi="Times New Roman"/>
                <w:sz w:val="24"/>
              </w:rPr>
              <w:t>Directive</w:t>
            </w:r>
            <w:proofErr w:type="spellEnd"/>
            <w:r>
              <w:rPr>
                <w:rFonts w:ascii="Times New Roman" w:hAnsi="Times New Roman"/>
                <w:sz w:val="24"/>
              </w:rPr>
              <w:t xml:space="preserve"> – «BAD») (FINREP «εθν</w:t>
            </w:r>
            <w:r>
              <w:rPr>
                <w:rFonts w:ascii="Times New Roman" w:hAnsi="Times New Roman"/>
                <w:sz w:val="24"/>
              </w:rPr>
              <w:t>ι</w:t>
            </w:r>
            <w:r>
              <w:rPr>
                <w:rFonts w:ascii="Times New Roman" w:hAnsi="Times New Roman"/>
                <w:sz w:val="24"/>
              </w:rPr>
              <w:t xml:space="preserve">κές ΓΑΛΑ με βάση την BAD»).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ΧΡΗΜΑΤΟΟΙΚΟΝΟΜΙΚΑ ΣΤΟΙΧΕΙΑ ΕΝΕΡΓΗΤΙΚΟΥ ΔΙΑΚΡ</w:t>
            </w:r>
            <w:r>
              <w:rPr>
                <w:rFonts w:ascii="Times New Roman" w:hAnsi="Times New Roman"/>
                <w:b/>
                <w:sz w:val="24"/>
                <w:u w:val="single"/>
              </w:rPr>
              <w:t>Α</w:t>
            </w:r>
            <w:r>
              <w:rPr>
                <w:rFonts w:ascii="Times New Roman" w:hAnsi="Times New Roman"/>
                <w:b/>
                <w:sz w:val="24"/>
                <w:u w:val="single"/>
              </w:rPr>
              <w:t>ΤΟΥΜΕΝΑ ΓΙΑ ΔΙΑΠΡΑΓΜΑΤΕΥΣΗ</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ΔΠΧΑ 9.Προσάρτημα Α</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050 του υποδείγματος F 01.01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ΧΡΗΜΑΤΟΟΙΚΟΝΟΜΙΚΑ ΣΤΟΙΧΕΙΑ ΕΝΕΡΓΗΤΙΚΟΥ ΕΜΠΟΡ</w:t>
            </w:r>
            <w:r>
              <w:rPr>
                <w:rFonts w:ascii="Times New Roman" w:hAnsi="Times New Roman"/>
                <w:b/>
                <w:sz w:val="24"/>
                <w:u w:val="single"/>
              </w:rPr>
              <w:t>Ι</w:t>
            </w:r>
            <w:r>
              <w:rPr>
                <w:rFonts w:ascii="Times New Roman" w:hAnsi="Times New Roman"/>
                <w:b/>
                <w:sz w:val="24"/>
                <w:u w:val="single"/>
              </w:rPr>
              <w:t>ΚΗΣ ΧΡΗΣΗΣ</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Άρθρα 32-33 της BAD, παράρτημα </w:t>
            </w:r>
            <w:proofErr w:type="spellStart"/>
            <w:r>
              <w:rPr>
                <w:rFonts w:ascii="Times New Roman" w:hAnsi="Times New Roman"/>
                <w:sz w:val="24"/>
              </w:rPr>
              <w:t>V.Μέρος</w:t>
            </w:r>
            <w:proofErr w:type="spellEnd"/>
            <w:r>
              <w:rPr>
                <w:rFonts w:ascii="Times New Roman" w:hAnsi="Times New Roman"/>
                <w:sz w:val="24"/>
              </w:rPr>
              <w:t xml:space="preserve"> 1.17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091 του υποδείγματος F 01.01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ΧΡΗΜΑΤΟΟΙΚΟΝΟΜΙΚΑ ΣΤΟΙΧΕΙΑ ΕΝΕΡΓΗΤΙΚΟΥ ΜΗ </w:t>
            </w:r>
            <w:r>
              <w:rPr>
                <w:rFonts w:ascii="Times New Roman" w:hAnsi="Times New Roman"/>
                <w:b/>
                <w:sz w:val="24"/>
                <w:u w:val="single"/>
              </w:rPr>
              <w:t>Ε</w:t>
            </w:r>
            <w:r>
              <w:rPr>
                <w:rFonts w:ascii="Times New Roman" w:hAnsi="Times New Roman"/>
                <w:b/>
                <w:sz w:val="24"/>
                <w:u w:val="single"/>
              </w:rPr>
              <w:t>ΜΠΟΡΙΚΗΣ ΧΡΗΣΗΣ ΕΠΙΜΕΤΡΟΥΜΕΝΑ ΥΠΟΧΡΕΩΤΙΚΑ ΣΤΗΝ Ε</w:t>
            </w:r>
            <w:r>
              <w:rPr>
                <w:rFonts w:ascii="Times New Roman" w:hAnsi="Times New Roman"/>
                <w:b/>
                <w:sz w:val="24"/>
                <w:u w:val="single"/>
              </w:rPr>
              <w:t>Υ</w:t>
            </w:r>
            <w:r>
              <w:rPr>
                <w:rFonts w:ascii="Times New Roman" w:hAnsi="Times New Roman"/>
                <w:b/>
                <w:sz w:val="24"/>
                <w:u w:val="single"/>
              </w:rPr>
              <w:t xml:space="preserve">ΛΟΓΗ ΑΞΙΑ ΜΕΣΩ ΤΩΝ ΑΠΟΤΕΛΕΣΜΑΤΩΝ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ΔΠΧΑ 7.8(α)(ii), ΔΠΧΑ 9.4.1.4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096 του υποδείγματος F 01.01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ΧΡΗΜΑΤΟΟΙΚΟΝΟΜΙΚΑ ΣΤΟΙΧΕΙΑ ΕΝΕΡΓΗΤΙΚΟΥ ΠΟΥ ΑΝ</w:t>
            </w:r>
            <w:r>
              <w:rPr>
                <w:rFonts w:ascii="Times New Roman" w:hAnsi="Times New Roman"/>
                <w:b/>
                <w:sz w:val="24"/>
                <w:u w:val="single"/>
              </w:rPr>
              <w:t>Α</w:t>
            </w:r>
            <w:r>
              <w:rPr>
                <w:rFonts w:ascii="Times New Roman" w:hAnsi="Times New Roman"/>
                <w:b/>
                <w:sz w:val="24"/>
                <w:u w:val="single"/>
              </w:rPr>
              <w:t>ΓΝΩΡΙΖΟΝΤΑΙ ΣΤΗΝ ΕΥΛΟΓΗ ΑΞΙΑ ΜΕΣΩ ΤΩΝ ΑΠΟΤΕΛΕΣΜΑΤΩΝ</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ΔΠΧΑ 7.8(α)(i), ΔΠΧΑ 9.4.1.5, άρθρο 8 παράγραφος 1 στοιχείο α) και παράγρ</w:t>
            </w:r>
            <w:r>
              <w:rPr>
                <w:rFonts w:ascii="Times New Roman" w:hAnsi="Times New Roman"/>
                <w:sz w:val="24"/>
              </w:rPr>
              <w:t>α</w:t>
            </w:r>
            <w:r>
              <w:rPr>
                <w:rFonts w:ascii="Times New Roman" w:hAnsi="Times New Roman"/>
                <w:sz w:val="24"/>
              </w:rPr>
              <w:t>φος 6 της λογιστικής οδηγίας</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100 του υποδείγματος F 01.01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ΧΡΗΜΑΤΟΟΙΚΟΝΟΜΙΚΑ ΣΤΟΙΧΕΙΑ ΕΝΕΡΓΗΤΙΚΟΥ ΕΠΙΜ</w:t>
            </w:r>
            <w:r>
              <w:rPr>
                <w:rFonts w:ascii="Times New Roman" w:hAnsi="Times New Roman"/>
                <w:b/>
                <w:sz w:val="24"/>
                <w:u w:val="single"/>
              </w:rPr>
              <w:t>Ε</w:t>
            </w:r>
            <w:r>
              <w:rPr>
                <w:rFonts w:ascii="Times New Roman" w:hAnsi="Times New Roman"/>
                <w:b/>
                <w:sz w:val="24"/>
                <w:u w:val="single"/>
              </w:rPr>
              <w:t>ΤΡΟΥΜΕΝΑ ΣΤΗΝ ΕΥΛΟΓΗ ΑΞΙΑ ΜΕΣΩ ΤΩΝ ΛΟΙΠΩΝ ΣΥΝΟΛΙΚΩΝ ΕΣΟΔΩΝ</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ΔΠΧΑ 7.8(η), ΔΠΧΑ 9.4.1.2A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141 του υποδείγματος F 01.01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ΜΗ ΠΑΡΑΓΩΓΑ ΧΡΗΜΑΤΟΟΙΚΟΝΟΜΙΚΑ ΣΤΟΙΧΕΙΑ ΕΝΕΡΓ</w:t>
            </w:r>
            <w:r>
              <w:rPr>
                <w:rFonts w:ascii="Times New Roman" w:hAnsi="Times New Roman"/>
                <w:b/>
                <w:sz w:val="24"/>
                <w:u w:val="single"/>
              </w:rPr>
              <w:t>Η</w:t>
            </w:r>
            <w:r>
              <w:rPr>
                <w:rFonts w:ascii="Times New Roman" w:hAnsi="Times New Roman"/>
                <w:b/>
                <w:sz w:val="24"/>
                <w:u w:val="single"/>
              </w:rPr>
              <w:t>ΤΙΚΟΥ ΜΗ ΕΜΠΟΡΙΚΗΣ ΧΡΗΣΗΣ ΕΠΙΜΕΤΡΟΥΜΕΝΑ ΣΤΗΝ ΕΥΛ</w:t>
            </w:r>
            <w:r>
              <w:rPr>
                <w:rFonts w:ascii="Times New Roman" w:hAnsi="Times New Roman"/>
                <w:b/>
                <w:sz w:val="24"/>
                <w:u w:val="single"/>
              </w:rPr>
              <w:t>Ο</w:t>
            </w:r>
            <w:r>
              <w:rPr>
                <w:rFonts w:ascii="Times New Roman" w:hAnsi="Times New Roman"/>
                <w:b/>
                <w:sz w:val="24"/>
                <w:u w:val="single"/>
              </w:rPr>
              <w:t>ΓΗ ΑΞΙΑ ΜΕΣΩ ΤΩΝ ΑΠΟΤΕΛΕΣΜΑΤΩΝ</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Άρθρο 36 παράγραφος 2 της BAD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171 του υποδείγματος F 01.01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ΜΗ ΠΑΡΑΓΩΓΑ ΧΡΗΜΑΤΟΟΙΚΟΝΟΜΙΚΑ ΣΤΟΙΧΕΙΑ ΕΝΕΡΓ</w:t>
            </w:r>
            <w:r>
              <w:rPr>
                <w:rFonts w:ascii="Times New Roman" w:hAnsi="Times New Roman"/>
                <w:b/>
                <w:sz w:val="24"/>
                <w:u w:val="single"/>
              </w:rPr>
              <w:t>Η</w:t>
            </w:r>
            <w:r>
              <w:rPr>
                <w:rFonts w:ascii="Times New Roman" w:hAnsi="Times New Roman"/>
                <w:b/>
                <w:sz w:val="24"/>
                <w:u w:val="single"/>
              </w:rPr>
              <w:t>ΤΙΚΟΥ ΜΗ ΕΜΠΟΡΙΚΗΣ ΧΡΗΣΗΣ ΕΠΙΜΕΤΡΟΥΜΕΝΑ ΣΤΗΝ ΕΥΛ</w:t>
            </w:r>
            <w:r>
              <w:rPr>
                <w:rFonts w:ascii="Times New Roman" w:hAnsi="Times New Roman"/>
                <w:b/>
                <w:sz w:val="24"/>
                <w:u w:val="single"/>
              </w:rPr>
              <w:t>Ο</w:t>
            </w:r>
            <w:r>
              <w:rPr>
                <w:rFonts w:ascii="Times New Roman" w:hAnsi="Times New Roman"/>
                <w:b/>
                <w:sz w:val="24"/>
                <w:u w:val="single"/>
              </w:rPr>
              <w:t>ΓΗ ΑΞΙΑ ΣΤΑ ΙΔΙΑ ΚΕΦΑΛΑΙΑ</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Άρθρο 8 παράγραφος 1 στοιχείο α) και παράγραφος 8 της λογιστικής οδηγίας</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175 του υποδείγματος F 01.01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ΑΛΛΑ ΜΗ ΠΑΡΑΓΩΓΑ ΧΡΗΜΑΤΟΟΙΚΟΝΟΜΙΚΑ ΣΤΟΙΧΕΙΑ ΜΗ ΕΜΠΟΡΙΚΗΣ ΧΡΗΣΗΣ</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Άρθρο 37 της BAD, άρθρο 12 παράγραφος 7 της λογιστικής οδηγίας, παράρτημα </w:t>
            </w:r>
            <w:proofErr w:type="spellStart"/>
            <w:r>
              <w:rPr>
                <w:rFonts w:ascii="Times New Roman" w:hAnsi="Times New Roman"/>
                <w:sz w:val="24"/>
              </w:rPr>
              <w:t>V.Μέρος</w:t>
            </w:r>
            <w:proofErr w:type="spellEnd"/>
            <w:r>
              <w:rPr>
                <w:rFonts w:ascii="Times New Roman" w:hAnsi="Times New Roman"/>
                <w:sz w:val="24"/>
              </w:rPr>
              <w:t xml:space="preserve"> 1.20</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234 του υποδείγματος F 01.01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ΠΑΡΑΓΩΓΑ – ΛΟΓΙΣΤΙΚΗ ΑΝΤΙΣΤΑΘΜΙΣΗΣ</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ΔΠΧΑ 9.6.2.1, παράρτημα </w:t>
            </w:r>
            <w:proofErr w:type="spellStart"/>
            <w:r>
              <w:rPr>
                <w:rFonts w:ascii="Times New Roman" w:hAnsi="Times New Roman"/>
                <w:sz w:val="24"/>
              </w:rPr>
              <w:t>V.Μέρος</w:t>
            </w:r>
            <w:proofErr w:type="spellEnd"/>
            <w:r>
              <w:rPr>
                <w:rFonts w:ascii="Times New Roman" w:hAnsi="Times New Roman"/>
                <w:sz w:val="24"/>
              </w:rPr>
              <w:t xml:space="preserve"> 1.22, άρθρο 8 παράγραφος 1 στοιχείο α) και παράγραφοι 6 και 8 της λογιστικής οδηγίας, ΔΛΠ 39.9, παράρτημα </w:t>
            </w:r>
            <w:proofErr w:type="spellStart"/>
            <w:r>
              <w:rPr>
                <w:rFonts w:ascii="Times New Roman" w:hAnsi="Times New Roman"/>
                <w:sz w:val="24"/>
              </w:rPr>
              <w:t>V.Μέρος</w:t>
            </w:r>
            <w:proofErr w:type="spellEnd"/>
            <w:r>
              <w:rPr>
                <w:rFonts w:ascii="Times New Roman" w:hAnsi="Times New Roman"/>
                <w:sz w:val="24"/>
              </w:rPr>
              <w:t xml:space="preserve"> 1.22</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lastRenderedPageBreak/>
              <w:t>Οι πληροφορίες που αναφέρονται στη γραμμή αυτή αντιστοιχούν στη γραμμή 240 του υποδείγματος F 01.01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Del="006529A1"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ΜΕΤΑΒΟΛΕΣ ΣΤΗΝ ΕΥΛΟΓΗ ΑΞΙΑ ΤΩΝ ΑΝΤΙΣΤΑΘΜΙΣΜ</w:t>
            </w:r>
            <w:r>
              <w:rPr>
                <w:rFonts w:ascii="Times New Roman" w:hAnsi="Times New Roman"/>
                <w:b/>
                <w:sz w:val="24"/>
                <w:u w:val="single"/>
              </w:rPr>
              <w:t>Ε</w:t>
            </w:r>
            <w:r>
              <w:rPr>
                <w:rFonts w:ascii="Times New Roman" w:hAnsi="Times New Roman"/>
                <w:b/>
                <w:sz w:val="24"/>
                <w:u w:val="single"/>
              </w:rPr>
              <w:t>ΝΩΝ ΣΤΟΙΧΕΙΩΝ ΣΤΗΝ ΑΝΤΙΣΤΑΘΜΙΣΗ ΚΙΝΔΥΝΟΥ ΕΠΙΤΟΚΙΟΥ ΧΑΡΤΟΦΥΛΑΚΙΟΥ</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ΔΛΠ 39.89A(α), ΔΠΧΑ 9.6.5.8, άρθρο 8 παράγραφοι 5 και 6 της λογιστικής οδ</w:t>
            </w:r>
            <w:r>
              <w:rPr>
                <w:rFonts w:ascii="Times New Roman" w:hAnsi="Times New Roman"/>
                <w:sz w:val="24"/>
              </w:rPr>
              <w:t>η</w:t>
            </w:r>
            <w:r>
              <w:rPr>
                <w:rFonts w:ascii="Times New Roman" w:hAnsi="Times New Roman"/>
                <w:sz w:val="24"/>
              </w:rPr>
              <w:t>γίας</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250 του υποδείγματος F 01.01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ΕΠΕΝΔΥΣΕΙΣ ΣΕ ΘΥΓΑΤΡΙΚΕΣ, ΚΟΙΝΟΠΡΑΞΙΕΣ ΚΑΙ ΣΥΓΓ</w:t>
            </w:r>
            <w:r>
              <w:rPr>
                <w:rFonts w:ascii="Times New Roman" w:hAnsi="Times New Roman"/>
                <w:b/>
                <w:sz w:val="24"/>
                <w:u w:val="single"/>
              </w:rPr>
              <w:t>Ε</w:t>
            </w:r>
            <w:r>
              <w:rPr>
                <w:rFonts w:ascii="Times New Roman" w:hAnsi="Times New Roman"/>
                <w:b/>
                <w:sz w:val="24"/>
                <w:u w:val="single"/>
              </w:rPr>
              <w:t>ΝΕΙΣ ΕΠΙΧΕΙΡΗΣΕΙΣ</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ΔΛΠ 1.54(ε), Παράρτημα </w:t>
            </w:r>
            <w:proofErr w:type="spellStart"/>
            <w:r>
              <w:rPr>
                <w:rFonts w:ascii="Times New Roman" w:hAnsi="Times New Roman"/>
                <w:sz w:val="24"/>
              </w:rPr>
              <w:t>V.Μέρος</w:t>
            </w:r>
            <w:proofErr w:type="spellEnd"/>
            <w:r>
              <w:rPr>
                <w:rFonts w:ascii="Times New Roman" w:hAnsi="Times New Roman"/>
                <w:sz w:val="24"/>
              </w:rPr>
              <w:t xml:space="preserve"> 1.21, Μέρος 2.4, άρθρο 4 της </w:t>
            </w:r>
            <w:proofErr w:type="spellStart"/>
            <w:r>
              <w:rPr>
                <w:rFonts w:ascii="Times New Roman" w:hAnsi="Times New Roman"/>
                <w:sz w:val="24"/>
              </w:rPr>
              <w:t>BAD.Παθητικό</w:t>
            </w:r>
            <w:proofErr w:type="spellEnd"/>
            <w:r>
              <w:rPr>
                <w:rFonts w:ascii="Times New Roman" w:hAnsi="Times New Roman"/>
                <w:sz w:val="24"/>
              </w:rPr>
              <w:t xml:space="preserve"> (7)-(8), άρθρο 2 παράγραφος 2 της λογιστικής οδηγίας </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260 του υποδείγματος F 01.01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ΠΟΣΟΣΤΑ ΠΕΡΙΚΟΠΗΣ ΓΙΑ ΣΤΟΙΧΕΙΑ ΕΝΕΡΓΗΤΙΚΟΥ ΕΜΠΟΡ</w:t>
            </w:r>
            <w:r>
              <w:rPr>
                <w:rFonts w:ascii="Times New Roman" w:hAnsi="Times New Roman"/>
                <w:b/>
                <w:sz w:val="24"/>
                <w:u w:val="single"/>
              </w:rPr>
              <w:t>Ι</w:t>
            </w:r>
            <w:r>
              <w:rPr>
                <w:rFonts w:ascii="Times New Roman" w:hAnsi="Times New Roman"/>
                <w:b/>
                <w:sz w:val="24"/>
                <w:u w:val="single"/>
              </w:rPr>
              <w:t>ΚΗΣ ΧΡΗΣΗΣ ΣΤΗΝ ΕΥΛΟΓΗ ΑΞΙΑ</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Παράρτημα </w:t>
            </w:r>
            <w:proofErr w:type="spellStart"/>
            <w:r>
              <w:rPr>
                <w:rFonts w:ascii="Times New Roman" w:hAnsi="Times New Roman"/>
                <w:sz w:val="24"/>
              </w:rPr>
              <w:t>V.Μέρος</w:t>
            </w:r>
            <w:proofErr w:type="spellEnd"/>
            <w:r>
              <w:rPr>
                <w:rFonts w:ascii="Times New Roman" w:hAnsi="Times New Roman"/>
                <w:sz w:val="24"/>
              </w:rPr>
              <w:t xml:space="preserve"> 1.29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375 του υποδείγματος F 01.01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ΣΥΝΟΛΟ ΣΤΟΙΧΕΙΩΝ ΠΑΘΗΤΙΚΟΥ ΕΥΛΟΓΗΣ ΑΞΙΑΣ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Το σύνολο των στοιχείων παθητικού εύλογης αξίας που αναφέρονται στις γρα</w:t>
            </w:r>
            <w:r>
              <w:rPr>
                <w:rFonts w:ascii="Times New Roman" w:hAnsi="Times New Roman"/>
                <w:sz w:val="24"/>
              </w:rPr>
              <w:t>μ</w:t>
            </w:r>
            <w:r>
              <w:rPr>
                <w:rFonts w:ascii="Times New Roman" w:hAnsi="Times New Roman"/>
                <w:sz w:val="24"/>
              </w:rPr>
              <w:t>μές 0160 έως 0210.</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Τα σχετικά κελιά των γραμμών 0150 έως 0190 συμπληρώνονται σύμφωνα με το υπόδειγμα FINREP F 01.02 των παραρτημάτων III και IV του παρόντος κανον</w:t>
            </w:r>
            <w:r>
              <w:rPr>
                <w:rFonts w:ascii="Times New Roman" w:hAnsi="Times New Roman"/>
                <w:sz w:val="24"/>
              </w:rPr>
              <w:t>ι</w:t>
            </w:r>
            <w:r>
              <w:rPr>
                <w:rFonts w:ascii="Times New Roman" w:hAnsi="Times New Roman"/>
                <w:sz w:val="24"/>
              </w:rPr>
              <w:t xml:space="preserve">σμού, ανάλογα με τα εφαρμοστέα πρότυπα του ιδρύματος: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ΔΠΧΑ, όπως έχουν εγκριθεί από την Ένωση, κατ’ εφαρμογή του κανονισμού (ΕΕ) 1606/2002 («ΔΠΧΑ της ΕΕ»)</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Εθνικά λογιστικά πρότυπα τα οποία είναι συμβατά με τα ΔΠΧΑ της ΕΕ («</w:t>
            </w:r>
            <w:r>
              <w:rPr>
                <w:rFonts w:ascii="Times New Roman" w:hAnsi="Times New Roman"/>
                <w:sz w:val="24"/>
              </w:rPr>
              <w:t>Ε</w:t>
            </w:r>
            <w:r>
              <w:rPr>
                <w:rFonts w:ascii="Times New Roman" w:hAnsi="Times New Roman"/>
                <w:sz w:val="24"/>
              </w:rPr>
              <w:t xml:space="preserve">θνικές ΓΑΛΑ συμβατές με τα ΔΠΧΑ») ή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Εθνικές ΓΑΛΑ βάσει της οδηγίας 86/635/ΕΟΚ, της οδηγίας για τους λογαρι</w:t>
            </w:r>
            <w:r>
              <w:rPr>
                <w:rFonts w:ascii="Times New Roman" w:hAnsi="Times New Roman"/>
                <w:sz w:val="24"/>
              </w:rPr>
              <w:t>α</w:t>
            </w:r>
            <w:r>
              <w:rPr>
                <w:rFonts w:ascii="Times New Roman" w:hAnsi="Times New Roman"/>
                <w:sz w:val="24"/>
              </w:rPr>
              <w:t>σμούς των τραπεζών (</w:t>
            </w:r>
            <w:proofErr w:type="spellStart"/>
            <w:r>
              <w:rPr>
                <w:rFonts w:ascii="Times New Roman" w:hAnsi="Times New Roman"/>
                <w:sz w:val="24"/>
              </w:rPr>
              <w:t>Bank</w:t>
            </w:r>
            <w:proofErr w:type="spellEnd"/>
            <w:r>
              <w:rPr>
                <w:rFonts w:ascii="Times New Roman" w:hAnsi="Times New Roman"/>
                <w:sz w:val="24"/>
              </w:rPr>
              <w:t xml:space="preserve"> </w:t>
            </w:r>
            <w:proofErr w:type="spellStart"/>
            <w:r>
              <w:rPr>
                <w:rFonts w:ascii="Times New Roman" w:hAnsi="Times New Roman"/>
                <w:sz w:val="24"/>
              </w:rPr>
              <w:t>Accounting</w:t>
            </w:r>
            <w:proofErr w:type="spellEnd"/>
            <w:r>
              <w:rPr>
                <w:rFonts w:ascii="Times New Roman" w:hAnsi="Times New Roman"/>
                <w:sz w:val="24"/>
              </w:rPr>
              <w:t xml:space="preserve"> </w:t>
            </w:r>
            <w:proofErr w:type="spellStart"/>
            <w:r>
              <w:rPr>
                <w:rFonts w:ascii="Times New Roman" w:hAnsi="Times New Roman"/>
                <w:sz w:val="24"/>
              </w:rPr>
              <w:t>Directive</w:t>
            </w:r>
            <w:proofErr w:type="spellEnd"/>
            <w:r>
              <w:rPr>
                <w:rFonts w:ascii="Times New Roman" w:hAnsi="Times New Roman"/>
                <w:sz w:val="24"/>
              </w:rPr>
              <w:t xml:space="preserve"> – «BAD») (FINREP «εθν</w:t>
            </w:r>
            <w:r>
              <w:rPr>
                <w:rFonts w:ascii="Times New Roman" w:hAnsi="Times New Roman"/>
                <w:sz w:val="24"/>
              </w:rPr>
              <w:t>ι</w:t>
            </w:r>
            <w:r>
              <w:rPr>
                <w:rFonts w:ascii="Times New Roman" w:hAnsi="Times New Roman"/>
                <w:sz w:val="24"/>
              </w:rPr>
              <w:t>κές ΓΑΛΑ με βάση την BAD»).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1.2.1 ΧΡΗΜΑΤΟΟΙΚΟΝΟΜΙΚΕΣ ΥΠΟΧΡΕΩΣΕΙΣ ΔΙΑΚΡΑΤΟΥΜΕΝΕΣ </w:t>
            </w:r>
            <w:r>
              <w:rPr>
                <w:rFonts w:ascii="Times New Roman" w:hAnsi="Times New Roman"/>
                <w:b/>
                <w:sz w:val="24"/>
                <w:u w:val="single"/>
              </w:rPr>
              <w:lastRenderedPageBreak/>
              <w:t>ΓΙΑ ΔΙΑΠΡΑΓΜΑΤΕΥΣΗ</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ΔΠΧΑ 7.8(ε)(ii), ΔΠΧΑ 9.BA.6</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010 του υποδείγματος F 01.02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ΧΡΗΜΑΤΟΟΙΚΟΝΟΜΙΚΕΣ ΥΠΟΧΡΕΩΣΕΙΣ ΕΜΠΟΡΙΚΗΣ ΧΡ</w:t>
            </w:r>
            <w:r>
              <w:rPr>
                <w:rFonts w:ascii="Times New Roman" w:hAnsi="Times New Roman"/>
                <w:b/>
                <w:sz w:val="24"/>
                <w:u w:val="single"/>
              </w:rPr>
              <w:t>Η</w:t>
            </w:r>
            <w:r>
              <w:rPr>
                <w:rFonts w:ascii="Times New Roman" w:hAnsi="Times New Roman"/>
                <w:b/>
                <w:sz w:val="24"/>
                <w:u w:val="single"/>
              </w:rPr>
              <w:t>ΣΗΣ</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Άρθρο 8 παράγραφος 1 στοιχείο α) και παράγραφοι 3 και 6 της λογιστικής οδηγ</w:t>
            </w:r>
            <w:r>
              <w:rPr>
                <w:rFonts w:ascii="Times New Roman" w:hAnsi="Times New Roman"/>
                <w:sz w:val="24"/>
              </w:rPr>
              <w:t>ί</w:t>
            </w:r>
            <w:r>
              <w:rPr>
                <w:rFonts w:ascii="Times New Roman" w:hAnsi="Times New Roman"/>
                <w:sz w:val="24"/>
              </w:rPr>
              <w:t>ας</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061 του υποδείγματος F 01.02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ΧΡΗΜΑΤΟΟΙΚΟΝΟΜΙΚΕΣ ΥΠΟΧΡΕΩΣΕΙΣ ΠΟΥ ΑΝΑΓΝΩΡΙΖ</w:t>
            </w:r>
            <w:r>
              <w:rPr>
                <w:rFonts w:ascii="Times New Roman" w:hAnsi="Times New Roman"/>
                <w:b/>
                <w:sz w:val="24"/>
                <w:u w:val="single"/>
              </w:rPr>
              <w:t>Ο</w:t>
            </w:r>
            <w:r>
              <w:rPr>
                <w:rFonts w:ascii="Times New Roman" w:hAnsi="Times New Roman"/>
                <w:b/>
                <w:sz w:val="24"/>
                <w:u w:val="single"/>
              </w:rPr>
              <w:t>ΝΤΑΙ ΣΤΗΝ ΕΥΛΟΓΗ ΑΞΙΑ ΜΕΣΩ ΤΩΝ ΑΠΟΤΕΛΕΣΜΑΤΩΝ</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ΔΠΧΑ 7.8(ε)(i), ΔΠΧΑ 9.4.2.2,</w:t>
            </w:r>
            <w:r>
              <w:rPr>
                <w:sz w:val="24"/>
              </w:rPr>
              <w:t xml:space="preserve"> </w:t>
            </w:r>
            <w:r>
              <w:rPr>
                <w:rFonts w:ascii="Times New Roman" w:hAnsi="Times New Roman"/>
                <w:sz w:val="24"/>
              </w:rPr>
              <w:t>άρθρο 8 παράγραφος 1 στοιχείο α) και παράγρ</w:t>
            </w:r>
            <w:r>
              <w:rPr>
                <w:rFonts w:ascii="Times New Roman" w:hAnsi="Times New Roman"/>
                <w:sz w:val="24"/>
              </w:rPr>
              <w:t>α</w:t>
            </w:r>
            <w:r>
              <w:rPr>
                <w:rFonts w:ascii="Times New Roman" w:hAnsi="Times New Roman"/>
                <w:sz w:val="24"/>
              </w:rPr>
              <w:t xml:space="preserve">φος 6 της λογιστικής οδηγίας, ΔΛΠ 39.9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070 του υποδείγματος F 01.02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ΠΑΡΑΓΩΓΑ – ΛΟΓΙΣΤΙΚΗ ΑΝΤΙΣΤΑΘΜΙΣΗΣ</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ΔΠΧΑ 9.6.2.1, παράρτημα </w:t>
            </w:r>
            <w:proofErr w:type="spellStart"/>
            <w:r>
              <w:rPr>
                <w:rFonts w:ascii="Times New Roman" w:hAnsi="Times New Roman"/>
                <w:sz w:val="24"/>
              </w:rPr>
              <w:t>V.Μέρος</w:t>
            </w:r>
            <w:proofErr w:type="spellEnd"/>
            <w:r>
              <w:rPr>
                <w:rFonts w:ascii="Times New Roman" w:hAnsi="Times New Roman"/>
                <w:sz w:val="24"/>
              </w:rPr>
              <w:t xml:space="preserve"> 1.26, άρθρο 8 παράγραφος 1 στοιχείο α), παράγραφος 6 και παράγραφος 8 στοιχείο α) της λογιστικής οδηγίας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150 του υποδείγματος F 01.02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ΜΕΤΑΒΟΛΕΣ ΣΤΗΝ ΕΥΛΟΓΗ ΑΞΙΑ ΤΩΝ ΑΝΤΙΣΤΑΘΜΙΣΜΕΝΩΝ ΣΤΟΙΧΕΙΩΝ ΣΤΗΝ ΑΝΤΙΣΤΑΘΜΙΣΗ ΚΙΝΔΥΝΟΥ ΕΠΙΤΟΚΙΟΥ ΧΑ</w:t>
            </w:r>
            <w:r>
              <w:rPr>
                <w:rFonts w:ascii="Times New Roman" w:hAnsi="Times New Roman"/>
                <w:b/>
                <w:sz w:val="24"/>
                <w:u w:val="single"/>
              </w:rPr>
              <w:t>Ρ</w:t>
            </w:r>
            <w:r>
              <w:rPr>
                <w:rFonts w:ascii="Times New Roman" w:hAnsi="Times New Roman"/>
                <w:b/>
                <w:sz w:val="24"/>
                <w:u w:val="single"/>
              </w:rPr>
              <w:t>ΤΟΦΥΛΑΚΙΟΥ</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ΔΛΠ 39.89A(β), ΔΠΧΑ 9.6.5.8, άρθρο 8 παράγραφοι 5 και 6 της λογιστικής οδ</w:t>
            </w:r>
            <w:r>
              <w:rPr>
                <w:rFonts w:ascii="Times New Roman" w:hAnsi="Times New Roman"/>
                <w:sz w:val="24"/>
              </w:rPr>
              <w:t>η</w:t>
            </w:r>
            <w:r>
              <w:rPr>
                <w:rFonts w:ascii="Times New Roman" w:hAnsi="Times New Roman"/>
                <w:sz w:val="24"/>
              </w:rPr>
              <w:t xml:space="preserve">γίας, παράρτημα </w:t>
            </w:r>
            <w:proofErr w:type="spellStart"/>
            <w:r>
              <w:rPr>
                <w:rFonts w:ascii="Times New Roman" w:hAnsi="Times New Roman"/>
                <w:sz w:val="24"/>
              </w:rPr>
              <w:t>V.Μέρος</w:t>
            </w:r>
            <w:proofErr w:type="spellEnd"/>
            <w:r>
              <w:rPr>
                <w:rFonts w:ascii="Times New Roman" w:hAnsi="Times New Roman"/>
                <w:sz w:val="24"/>
              </w:rPr>
              <w:t xml:space="preserve"> 2.8</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160 του υποδείγματος F 01.02 των παραρτημάτων III και IV του παρόντος κανον</w:t>
            </w:r>
            <w:r>
              <w:rPr>
                <w:rFonts w:ascii="Times New Roman" w:hAnsi="Times New Roman"/>
                <w:sz w:val="24"/>
              </w:rPr>
              <w:t>ι</w:t>
            </w:r>
            <w:r>
              <w:rPr>
                <w:rFonts w:ascii="Times New Roman" w:hAnsi="Times New Roman"/>
                <w:sz w:val="24"/>
              </w:rPr>
              <w:t>σμού.</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ΠΟΣΟΣΤΑ ΠΕΡΙΚΟΠΗΣ ΓΙΑ ΥΠΟΧΡΕΩΣΕΙΣ ΕΜΠΟΡΙΚΗΣ ΧΡ</w:t>
            </w:r>
            <w:r>
              <w:rPr>
                <w:rFonts w:ascii="Times New Roman" w:hAnsi="Times New Roman"/>
                <w:b/>
                <w:sz w:val="24"/>
                <w:u w:val="single"/>
              </w:rPr>
              <w:t>Η</w:t>
            </w:r>
            <w:r>
              <w:rPr>
                <w:rFonts w:ascii="Times New Roman" w:hAnsi="Times New Roman"/>
                <w:b/>
                <w:sz w:val="24"/>
                <w:u w:val="single"/>
              </w:rPr>
              <w:t>ΣΗΣ ΣΤΗΝ ΕΥΛΟΓΗ ΑΞΙΑ</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Παράρτημα </w:t>
            </w:r>
            <w:proofErr w:type="spellStart"/>
            <w:r>
              <w:rPr>
                <w:rFonts w:ascii="Times New Roman" w:hAnsi="Times New Roman"/>
                <w:sz w:val="24"/>
              </w:rPr>
              <w:t>V.Μέρος</w:t>
            </w:r>
            <w:proofErr w:type="spellEnd"/>
            <w:r>
              <w:rPr>
                <w:rFonts w:ascii="Times New Roman" w:hAnsi="Times New Roman"/>
                <w:sz w:val="24"/>
              </w:rPr>
              <w:t xml:space="preserve"> 1.29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295 του υποδείγματος F 01.02 των παραρτημάτων III και IV του παρόντος κανον</w:t>
            </w:r>
            <w:r>
              <w:rPr>
                <w:rFonts w:ascii="Times New Roman" w:hAnsi="Times New Roman"/>
                <w:sz w:val="24"/>
              </w:rPr>
              <w:t>ι</w:t>
            </w:r>
            <w:r>
              <w:rPr>
                <w:rFonts w:ascii="Times New Roman" w:hAnsi="Times New Roman"/>
                <w:sz w:val="24"/>
              </w:rPr>
              <w:lastRenderedPageBreak/>
              <w:t>σμού.</w:t>
            </w:r>
          </w:p>
        </w:tc>
      </w:tr>
    </w:tbl>
    <w:p w:rsidR="00995A7F" w:rsidRDefault="00995A7F" w:rsidP="00C61FF5">
      <w:pPr>
        <w:rPr>
          <w:rStyle w:val="InstructionsTabelleText"/>
          <w:rFonts w:ascii="Times New Roman" w:hAnsi="Times New Roman"/>
          <w:sz w:val="24"/>
        </w:rPr>
      </w:pP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671" w:name="_Toc516210710"/>
      <w:r>
        <w:rPr>
          <w:rFonts w:ascii="Times New Roman" w:hAnsi="Times New Roman"/>
          <w:sz w:val="24"/>
          <w:u w:val="none"/>
        </w:rPr>
        <w:t>6.2.</w:t>
      </w:r>
      <w:r>
        <w:tab/>
      </w:r>
      <w:r>
        <w:rPr>
          <w:rFonts w:ascii="Times New Roman" w:hAnsi="Times New Roman"/>
          <w:sz w:val="24"/>
        </w:rPr>
        <w:t>C 32.02 – Συνετή αποτίμηση: Βασική προσέγγιση (</w:t>
      </w:r>
      <w:proofErr w:type="spellStart"/>
      <w:r>
        <w:rPr>
          <w:rFonts w:ascii="Times New Roman" w:hAnsi="Times New Roman"/>
          <w:sz w:val="24"/>
        </w:rPr>
        <w:t>PruVal</w:t>
      </w:r>
      <w:proofErr w:type="spellEnd"/>
      <w:r>
        <w:rPr>
          <w:rFonts w:ascii="Times New Roman" w:hAnsi="Times New Roman"/>
          <w:sz w:val="24"/>
        </w:rPr>
        <w:t xml:space="preserve"> 2)</w:t>
      </w:r>
      <w:bookmarkEnd w:id="671"/>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672" w:name="_Toc516210711"/>
      <w:r>
        <w:rPr>
          <w:rFonts w:ascii="Times New Roman" w:hAnsi="Times New Roman"/>
          <w:sz w:val="24"/>
          <w:u w:val="none"/>
        </w:rPr>
        <w:t>6.2.1.</w:t>
      </w:r>
      <w:r>
        <w:tab/>
      </w:r>
      <w:r>
        <w:rPr>
          <w:rFonts w:ascii="Times New Roman" w:hAnsi="Times New Roman"/>
          <w:sz w:val="24"/>
        </w:rPr>
        <w:t>Γενικές παρατηρήσεις</w:t>
      </w:r>
      <w:bookmarkEnd w:id="672"/>
      <w:r>
        <w:rPr>
          <w:rFonts w:ascii="Times New Roman" w:hAnsi="Times New Roman"/>
          <w:sz w:val="24"/>
          <w:u w:val="none"/>
        </w:rPr>
        <w:t xml:space="preserve"> </w:t>
      </w:r>
    </w:p>
    <w:p w:rsidR="00B93FA1" w:rsidRPr="00B93FA1" w:rsidRDefault="00B93FA1" w:rsidP="001A3980">
      <w:pPr>
        <w:pStyle w:val="InstructionsText2"/>
        <w:numPr>
          <w:ilvl w:val="0"/>
          <w:numId w:val="0"/>
        </w:numPr>
        <w:ind w:left="993"/>
      </w:pPr>
      <w:r>
        <w:t>154γ. Σκοπός του παρόντος υποδείγματος είναι να παρασχεθούν πληροφορίες σχ</w:t>
      </w:r>
      <w:r>
        <w:t>ε</w:t>
      </w:r>
      <w:r>
        <w:t xml:space="preserve">τικά με τη σύνθεση της συνολικής πρόσθετης προσαρμογής αποτίμησης (ΠΠΑ – AVA) που πρέπει να αφαιρείται από τα ίδια κεφάλαια, βάσει των άρθρων 34 και 105 του ΚΚΑ, μαζί με συναφείς πληροφορίες σχετικά με τη λογιστική αποτίμηση των θέσεων που προκάλεσαν τον προσδιορισμό AVA.    </w:t>
      </w:r>
    </w:p>
    <w:p w:rsidR="00B93FA1" w:rsidRPr="00B93FA1" w:rsidRDefault="00B93FA1" w:rsidP="001A3980">
      <w:pPr>
        <w:pStyle w:val="InstructionsText2"/>
        <w:numPr>
          <w:ilvl w:val="0"/>
          <w:numId w:val="0"/>
        </w:numPr>
        <w:ind w:left="993"/>
      </w:pPr>
      <w:r>
        <w:t xml:space="preserve">154δ. Το παρόν υπόδειγμα συμπληρώνεται από όλα τα ιδρύματα που: </w:t>
      </w:r>
    </w:p>
    <w:p w:rsidR="00B93FA1" w:rsidRPr="00B93FA1" w:rsidRDefault="00B93FA1" w:rsidP="001A3980">
      <w:pPr>
        <w:pStyle w:val="InstructionsText2"/>
        <w:numPr>
          <w:ilvl w:val="0"/>
          <w:numId w:val="0"/>
        </w:numPr>
        <w:ind w:left="993"/>
      </w:pPr>
      <w:r>
        <w:t>α) απαιτείται να χρησιμοποιούν τη βασική προσέγγιση, διότι υπερβαίνουν το όριο που αναφέρεται στο άρθρο 4 παράγραφος 1 του κατ’ εξουσιοδότηση κανονισμού (ΕΕ) 2016/101 για τη συνετή αποτίμηση, είτε σε ατομική είτε σε ενοποιημένη β</w:t>
      </w:r>
      <w:r>
        <w:t>ά</w:t>
      </w:r>
      <w:r>
        <w:t>ση, όπως προβλέπεται στο άρθρο 4 παράγραφος 3 του κατ’ εξουσιοδότηση κανον</w:t>
      </w:r>
      <w:r>
        <w:t>ι</w:t>
      </w:r>
      <w:r>
        <w:t>σμού (ΕΕ) 2016/101 για τη συνετή αποτίμηση, ή</w:t>
      </w:r>
    </w:p>
    <w:p w:rsidR="00B93FA1" w:rsidRPr="00B93FA1" w:rsidRDefault="00973707" w:rsidP="001A3980">
      <w:pPr>
        <w:pStyle w:val="InstructionsText2"/>
        <w:numPr>
          <w:ilvl w:val="0"/>
          <w:numId w:val="0"/>
        </w:numPr>
        <w:ind w:left="993"/>
      </w:pPr>
      <w:r>
        <w:t xml:space="preserve">β) έχουν επιλέξει να εφαρμόσουν τη βασική προσέγγιση, παρότι δεν υπερβαίνουν το όριο.  </w:t>
      </w:r>
    </w:p>
    <w:p w:rsidR="00973707" w:rsidRDefault="00973707" w:rsidP="001A3980">
      <w:pPr>
        <w:pStyle w:val="InstructionsText2"/>
        <w:numPr>
          <w:ilvl w:val="0"/>
          <w:numId w:val="0"/>
        </w:numPr>
        <w:ind w:left="993"/>
      </w:pPr>
      <w:r>
        <w:t xml:space="preserve">154ε. Για τους σκοπούς του παρόντος υποδείγματος, η «ανοδική αβεβαιότητα» </w:t>
      </w:r>
      <w:r>
        <w:t>ο</w:t>
      </w:r>
      <w:r>
        <w:t>ρίζεται ως εξής: Όπως προσδιορίζεται στο άρθρο 8 παράγραφος 2 του κατ’ εξουσ</w:t>
      </w:r>
      <w:r>
        <w:t>ι</w:t>
      </w:r>
      <w:r>
        <w:t>οδότηση κανονισμού (ΕΕ) 2016/101 για τη συνετή αποτίμηση, οι AVA υπολογίζ</w:t>
      </w:r>
      <w:r>
        <w:t>ο</w:t>
      </w:r>
      <w:r>
        <w:t>νται ως η διαφορά μεταξύ της εύλογης αξίας και συνετής αποτίμησης, η οποία κ</w:t>
      </w:r>
      <w:r>
        <w:t>α</w:t>
      </w:r>
      <w:r>
        <w:t>θορίζεται επί τη βάσει βεβαιότητας 90 % ότι τα ιδρύματα μπορούν να εξέλθουν από το άνοιγμα σε αυτό το σημείο ή σε καλύτερο, εντός του ονομαστικού εύρους εύλογων τιμών.   Η ανοδική τιμή ή «ανοδική αβεβαιότητα» είναι το εκ διαμέτρου αντίθετο σημείο στην κατανομή των εύλογων τιμών, όπου τα ιδρύματα έχουν μ</w:t>
      </w:r>
      <w:r>
        <w:t>ό</w:t>
      </w:r>
      <w:r>
        <w:t>νον 10 % βεβαιότητα ότι μπορούν να εξέλθουν από το άνοιγμα σε αυτό το σημείο ή σε καλύτερο. Η ανοδική αβεβαιότητα υπολογίζεται και αθροίζεται επί της ιδίας βάσεως όπως το σύνολο AVA, αλλά με αντικατάσταση του επιπέδου βεβαιότητας 90 %, που χρησιμοποιείται για τον προσδιορισμό του συνόλου AVA, με επίπεδο βεβαιότητας 10 %.</w:t>
      </w:r>
    </w:p>
    <w:p w:rsidR="00B93FA1" w:rsidRPr="004502C8" w:rsidRDefault="00B93FA1" w:rsidP="00973707">
      <w:pPr>
        <w:pStyle w:val="Instructionsberschrift2"/>
        <w:numPr>
          <w:ilvl w:val="0"/>
          <w:numId w:val="0"/>
        </w:numPr>
        <w:ind w:left="357" w:hanging="357"/>
        <w:rPr>
          <w:rFonts w:ascii="Times New Roman" w:hAnsi="Times New Roman" w:cs="Times New Roman"/>
          <w:sz w:val="24"/>
          <w:u w:val="none"/>
        </w:rPr>
      </w:pPr>
      <w:bookmarkStart w:id="673" w:name="_Toc516210712"/>
      <w:r>
        <w:rPr>
          <w:rFonts w:ascii="Times New Roman" w:hAnsi="Times New Roman"/>
          <w:sz w:val="24"/>
          <w:u w:val="none"/>
        </w:rPr>
        <w:t>6.2.2.</w:t>
      </w:r>
      <w:r>
        <w:tab/>
      </w:r>
      <w:r>
        <w:rPr>
          <w:rFonts w:ascii="Times New Roman" w:hAnsi="Times New Roman"/>
          <w:sz w:val="24"/>
          <w:u w:val="none"/>
        </w:rPr>
        <w:t>Οδηγίες για συγκεκριμένες θέσεις</w:t>
      </w:r>
      <w:bookmarkEnd w:id="67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rsidTr="00672D2A">
        <w:tc>
          <w:tcPr>
            <w:tcW w:w="9291" w:type="dxa"/>
            <w:gridSpan w:val="2"/>
            <w:shd w:val="clear" w:color="auto" w:fill="CCCCCC"/>
          </w:tcPr>
          <w:p w:rsidR="00973707" w:rsidRPr="00EB6E04" w:rsidRDefault="00973707" w:rsidP="00AF3D7A">
            <w:pPr>
              <w:spacing w:beforeLines="60" w:before="144" w:afterLines="60" w:after="144"/>
              <w:rPr>
                <w:rFonts w:ascii="Times New Roman" w:hAnsi="Times New Roman"/>
                <w:b/>
                <w:sz w:val="24"/>
              </w:rPr>
            </w:pPr>
            <w:r>
              <w:rPr>
                <w:rFonts w:ascii="Times New Roman" w:hAnsi="Times New Roman"/>
                <w:b/>
                <w:sz w:val="24"/>
              </w:rPr>
              <w:t>Στήλες</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ΕΠΙΠΕΔΟΥ ΚΑΤΗΓΟΡΙΑΣ</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Οι AVA επιπέδου κατηγορίας για την αβεβαιότητα τιμών στην αγορά, τα έξοδα εκκαθάρισης, τον κίνδυνο υποδείγματος, τις συγκεντρωμένες θέσεις, τις μελλ</w:t>
            </w:r>
            <w:r>
              <w:rPr>
                <w:rFonts w:ascii="Times New Roman" w:hAnsi="Times New Roman"/>
                <w:sz w:val="24"/>
              </w:rPr>
              <w:t>ο</w:t>
            </w:r>
            <w:r>
              <w:rPr>
                <w:rFonts w:ascii="Times New Roman" w:hAnsi="Times New Roman"/>
                <w:sz w:val="24"/>
              </w:rPr>
              <w:t>ντικές διοικητικές δαπάνες, την πρόωρη λήξη και τον λειτουργικό κίνδυνο υπολ</w:t>
            </w:r>
            <w:r>
              <w:rPr>
                <w:rFonts w:ascii="Times New Roman" w:hAnsi="Times New Roman"/>
                <w:sz w:val="24"/>
              </w:rPr>
              <w:t>ο</w:t>
            </w:r>
            <w:r>
              <w:rPr>
                <w:rFonts w:ascii="Times New Roman" w:hAnsi="Times New Roman"/>
                <w:sz w:val="24"/>
              </w:rPr>
              <w:t>γίζονται όπως περιγράφεται στα άρθρα 9 έως 11 και 14 έως 17 του κατ’ εξουσι</w:t>
            </w:r>
            <w:r>
              <w:rPr>
                <w:rFonts w:ascii="Times New Roman" w:hAnsi="Times New Roman"/>
                <w:sz w:val="24"/>
              </w:rPr>
              <w:t>ο</w:t>
            </w:r>
            <w:r>
              <w:rPr>
                <w:rFonts w:ascii="Times New Roman" w:hAnsi="Times New Roman"/>
                <w:sz w:val="24"/>
              </w:rPr>
              <w:t>δότηση κανονισμού (ΕΕ) 2016/101 για τη συνετή αποτίμηση, αντιστοίχως.</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Για τις κατηγορίες: αβεβαιότητα τιμών στην αγορά, έξοδα εκκαθάρισης και κί</w:t>
            </w:r>
            <w:r>
              <w:rPr>
                <w:rFonts w:ascii="Times New Roman" w:hAnsi="Times New Roman"/>
                <w:sz w:val="24"/>
              </w:rPr>
              <w:t>ν</w:t>
            </w:r>
            <w:r>
              <w:rPr>
                <w:rFonts w:ascii="Times New Roman" w:hAnsi="Times New Roman"/>
                <w:sz w:val="24"/>
              </w:rPr>
              <w:lastRenderedPageBreak/>
              <w:t>δυνος υποδείγματος, οι οποίες αποκομίζουν όφελος διαφοροποίησης, όπως πρ</w:t>
            </w:r>
            <w:r>
              <w:rPr>
                <w:rFonts w:ascii="Times New Roman" w:hAnsi="Times New Roman"/>
                <w:sz w:val="24"/>
              </w:rPr>
              <w:t>ο</w:t>
            </w:r>
            <w:r>
              <w:rPr>
                <w:rFonts w:ascii="Times New Roman" w:hAnsi="Times New Roman"/>
                <w:sz w:val="24"/>
              </w:rPr>
              <w:t>βλέπεται στο άρθρο 9 παράγραφος 6, στο άρθρο 10 παράγραφος 7 και στο άρθρο 11 παράγραφος 7 του κατ’ εξουσιοδότηση κανονισμού (ΕΕ) 2016/101 για τη σ</w:t>
            </w:r>
            <w:r>
              <w:rPr>
                <w:rFonts w:ascii="Times New Roman" w:hAnsi="Times New Roman"/>
                <w:sz w:val="24"/>
              </w:rPr>
              <w:t>υ</w:t>
            </w:r>
            <w:r>
              <w:rPr>
                <w:rFonts w:ascii="Times New Roman" w:hAnsi="Times New Roman"/>
                <w:sz w:val="24"/>
              </w:rPr>
              <w:t>νετή αποτίμηση, αντιστοίχως, οι AVA επιπέδου κατηγορίας αναφέρονται, πλην αντιθέτου ένδειξης, ως το απλό ποσό των ατομικών AVA πριν από το όφελος δ</w:t>
            </w:r>
            <w:r>
              <w:rPr>
                <w:rFonts w:ascii="Times New Roman" w:hAnsi="Times New Roman"/>
                <w:sz w:val="24"/>
              </w:rPr>
              <w:t>ι</w:t>
            </w:r>
            <w:r>
              <w:rPr>
                <w:rFonts w:ascii="Times New Roman" w:hAnsi="Times New Roman"/>
                <w:sz w:val="24"/>
              </w:rPr>
              <w:t>αφοροποίησης [εφόσον τα οφέλη διαφοροποίησης, που υπολογίζονται με χρήση της μεθόδου 1 ή της μεθόδου 2 του παραρτήματος του κατ’ εξουσιοδότηση καν</w:t>
            </w:r>
            <w:r>
              <w:rPr>
                <w:rFonts w:ascii="Times New Roman" w:hAnsi="Times New Roman"/>
                <w:sz w:val="24"/>
              </w:rPr>
              <w:t>ο</w:t>
            </w:r>
            <w:r>
              <w:rPr>
                <w:rFonts w:ascii="Times New Roman" w:hAnsi="Times New Roman"/>
                <w:sz w:val="24"/>
              </w:rPr>
              <w:t xml:space="preserve">νισμού (ΕΕ) 2016/101 για τη συνετή αποτίμηση, αναφέρονται στα στοιχεία 1.1.2, 1.1.2.1 και.1.2.2 του υποδείγματος]. </w:t>
            </w:r>
          </w:p>
          <w:p w:rsidR="00973707" w:rsidRPr="00DD41BE" w:rsidRDefault="00973707" w:rsidP="00F811F8">
            <w:pPr>
              <w:spacing w:beforeLines="60" w:before="144" w:afterLines="60" w:after="144"/>
              <w:rPr>
                <w:rFonts w:ascii="Times New Roman" w:hAnsi="Times New Roman"/>
                <w:sz w:val="24"/>
              </w:rPr>
            </w:pPr>
            <w:r>
              <w:rPr>
                <w:rFonts w:ascii="Times New Roman" w:hAnsi="Times New Roman"/>
                <w:sz w:val="24"/>
              </w:rPr>
              <w:t>Για τις κατηγορίες: αβεβαιότητα τιμών στην αγορά, έξοδα εκκαθάρισης και κί</w:t>
            </w:r>
            <w:r>
              <w:rPr>
                <w:rFonts w:ascii="Times New Roman" w:hAnsi="Times New Roman"/>
                <w:sz w:val="24"/>
              </w:rPr>
              <w:t>ν</w:t>
            </w:r>
            <w:r>
              <w:rPr>
                <w:rFonts w:ascii="Times New Roman" w:hAnsi="Times New Roman"/>
                <w:sz w:val="24"/>
              </w:rPr>
              <w:t>δυνος υποδείγματος, τα ποσά που υπολογίζονται στο πλαίσιο της προσέγγισης με βάση εμπειρογνώμονες, όπως ορίζεται στο άρθρο 9 παράγραφος 5 στοιχείο β), στο άρθρο 10 παράγραφος 6 στοιχείο β) και στο άρθρο 11 παράγραφος 4 του κατ’ εξουσιοδότηση κανονισμού (ΕΕ) 2016/101 για τη συνετή αποτίμηση, αναφέρ</w:t>
            </w:r>
            <w:r>
              <w:rPr>
                <w:rFonts w:ascii="Times New Roman" w:hAnsi="Times New Roman"/>
                <w:sz w:val="24"/>
              </w:rPr>
              <w:t>ο</w:t>
            </w:r>
            <w:r>
              <w:rPr>
                <w:rFonts w:ascii="Times New Roman" w:hAnsi="Times New Roman"/>
                <w:sz w:val="24"/>
              </w:rPr>
              <w:t>νται χωριστά στις στήλες 0020, 0040 και 0060.</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ΑΒΕΒΑΙΟΤΗΤΑ ΤΙΜΩΝ ΣΤΗΝ ΑΓΟΡΑ</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Άρθρο 105 παράγραφος 10 του ΚΚΑ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Οι AVA αβεβαιότητας των τιμών στην αγορά, που υπολογίζονται σύμφωνα με το άρθρο 9 του κατ’ εξουσιοδότηση κανονισμού (ΕΕ) 2016/101 για τη συνετή αποτ</w:t>
            </w:r>
            <w:r>
              <w:rPr>
                <w:rFonts w:ascii="Times New Roman" w:hAnsi="Times New Roman"/>
                <w:sz w:val="24"/>
              </w:rPr>
              <w:t>ί</w:t>
            </w:r>
            <w:r>
              <w:rPr>
                <w:rFonts w:ascii="Times New Roman" w:hAnsi="Times New Roman"/>
                <w:sz w:val="24"/>
              </w:rPr>
              <w:t>μηση.</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ΠΟΥ ΥΠΟΛΟΓΙΖΟΝΤΑΙ ΜΕ ΧΡΗΣΗ ΤΗΣ ΠΡ</w:t>
            </w:r>
            <w:r>
              <w:rPr>
                <w:rStyle w:val="InstructionsTabelleberschrift"/>
                <w:rFonts w:ascii="Times New Roman" w:hAnsi="Times New Roman"/>
                <w:sz w:val="24"/>
              </w:rPr>
              <w:t>Ο</w:t>
            </w:r>
            <w:r>
              <w:rPr>
                <w:rStyle w:val="InstructionsTabelleberschrift"/>
                <w:rFonts w:ascii="Times New Roman" w:hAnsi="Times New Roman"/>
                <w:sz w:val="24"/>
              </w:rPr>
              <w:t>ΣΕΓΓΙΣΗΣ ΜΕ ΒΑΣΗ ΕΜΠΕΙΡΟΓΝΩΜΟΝΕΣ</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Οι AVA αβεβαιότητας των τιμών στην αγορά, που υπολογίζονται σύμφωνα με το άρθρο 9 παράγραφος 5 στοιχείο β) του κατ’ εξουσιοδότηση κανονισμού (ΕΕ) 2016/101 για τη συνετή αποτίμηση.</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ΕΞΟΔΑ ΕΚΚΑΘΑΡΙΣΗΣ</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Άρθρο 105 παράγραφος 10 του ΚΚΑ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Οι AVA εξόδων εκκαθάρισης, που υπολογίζονται σύμφωνα με το άρθρο 10 του κατ’ εξουσιοδότηση κανονισμού (ΕΕ) 2016/101 για τη συνετή αποτίμηση.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ΠΟΥ ΥΠΟΛΟΓΙΖΟΝΤΑΙ ΜΕ ΧΡΗΣΗ ΤΗΣ ΠΡ</w:t>
            </w:r>
            <w:r>
              <w:rPr>
                <w:rStyle w:val="InstructionsTabelleberschrift"/>
                <w:rFonts w:ascii="Times New Roman" w:hAnsi="Times New Roman"/>
                <w:sz w:val="24"/>
              </w:rPr>
              <w:t>Ο</w:t>
            </w:r>
            <w:r>
              <w:rPr>
                <w:rStyle w:val="InstructionsTabelleberschrift"/>
                <w:rFonts w:ascii="Times New Roman" w:hAnsi="Times New Roman"/>
                <w:sz w:val="24"/>
              </w:rPr>
              <w:t>ΣΕΓΓΙΣΗΣ ΜΕ ΒΑΣΗ ΕΜΠΕΙΡΟΓΝΩΜΟΝΕΣ</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Οι AVA εξόδων εκκαθάρισης, που υπολογίζονται σύμφωνα με το άρθρο 10 παρ</w:t>
            </w:r>
            <w:r>
              <w:rPr>
                <w:rFonts w:ascii="Times New Roman" w:hAnsi="Times New Roman"/>
                <w:sz w:val="24"/>
              </w:rPr>
              <w:t>ά</w:t>
            </w:r>
            <w:r>
              <w:rPr>
                <w:rFonts w:ascii="Times New Roman" w:hAnsi="Times New Roman"/>
                <w:sz w:val="24"/>
              </w:rPr>
              <w:t>γραφος 6 στοιχείο β) του κατ’ εξουσιοδότηση κανονισμού (ΕΕ) 2016/101 για τη συνετή αποτίμηση.</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ΚΙΝΔΥΝΟΣ ΥΠΟΔΕΙΓΜΑΤΟΣ</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10 του ΚΚΑ</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Οι AVA κινδύνου υποδείγματος, που υπολογίζονται σύμφωνα με το άρθρο 11 του κατ’ εξουσιοδότηση κανονισμού (ΕΕ) 2016/101 για τη συνετή αποτίμηση.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ΠΟΥ ΥΠΟΛΟΓΙΖΟΝΤΑΙ ΜΕ ΧΡΗΣΗ ΤΗΣ ΠΡ</w:t>
            </w:r>
            <w:r>
              <w:rPr>
                <w:rStyle w:val="InstructionsTabelleberschrift"/>
                <w:rFonts w:ascii="Times New Roman" w:hAnsi="Times New Roman"/>
                <w:sz w:val="24"/>
              </w:rPr>
              <w:t>Ο</w:t>
            </w:r>
            <w:r>
              <w:rPr>
                <w:rStyle w:val="InstructionsTabelleberschrift"/>
                <w:rFonts w:ascii="Times New Roman" w:hAnsi="Times New Roman"/>
                <w:sz w:val="24"/>
              </w:rPr>
              <w:t>ΣΕΓΓΙΣΗΣ ΜΕ ΒΑΣΗ ΕΜΠΕΙΡΟΓΝΩΜΟΝΕΣ</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Οι AVA κινδύνου υποδείγματος, που υπολογίζονται σύμφωνα με το άρθρο 11 π</w:t>
            </w:r>
            <w:r>
              <w:rPr>
                <w:rFonts w:ascii="Times New Roman" w:hAnsi="Times New Roman"/>
                <w:sz w:val="24"/>
              </w:rPr>
              <w:t>α</w:t>
            </w:r>
            <w:r>
              <w:rPr>
                <w:rFonts w:ascii="Times New Roman" w:hAnsi="Times New Roman"/>
                <w:sz w:val="24"/>
              </w:rPr>
              <w:t>ράγραφος 4 του κατ’ εξουσιοδότηση κανονισμού (ΕΕ) 2016/101 για τη συνετή αποτίμηση.</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ΣΥΓΚΕΝΤΡΩΜΕΝΕΣ ΘΕΣΕΙΣ</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11 του ΚΚΑ</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Οι AVA συγκεντρωμένων θέσεων, όπως υπολογίζονται βάσει του άρθρου 14 του κατ’ εξουσιοδότηση κανονισμού (ΕΕ) 2016/101 για τη συνετή αποτίμηση.</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ΜΕΛΛΟΝΤΙΚΕΣ ΔΙΟΙΚΗΤΙΚΕΣ ΔΑΠΑΝΕΣ</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10 του ΚΚΑ</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Οι AVA μελλοντικών διοικητικών δαπανών, όπως υπολογίζονται βάσει του ά</w:t>
            </w:r>
            <w:r>
              <w:rPr>
                <w:rFonts w:ascii="Times New Roman" w:hAnsi="Times New Roman"/>
                <w:sz w:val="24"/>
              </w:rPr>
              <w:t>ρ</w:t>
            </w:r>
            <w:r>
              <w:rPr>
                <w:rFonts w:ascii="Times New Roman" w:hAnsi="Times New Roman"/>
                <w:sz w:val="24"/>
              </w:rPr>
              <w:t>θρου 15 του κατ’ εξουσιοδότηση κανονισμού (ΕΕ) 2016/101 για τη συνετή αποτ</w:t>
            </w:r>
            <w:r>
              <w:rPr>
                <w:rFonts w:ascii="Times New Roman" w:hAnsi="Times New Roman"/>
                <w:sz w:val="24"/>
              </w:rPr>
              <w:t>ί</w:t>
            </w:r>
            <w:r>
              <w:rPr>
                <w:rFonts w:ascii="Times New Roman" w:hAnsi="Times New Roman"/>
                <w:sz w:val="24"/>
              </w:rPr>
              <w:t>μηση.</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ΠΡΟΩΡΗ ΛΗΞΗ</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10 του ΚΚΑ</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Οι AVA πρόωρης λήξης, όπως υπολογίζονται βάσει του άρθρου 16 του κατ’ </w:t>
            </w:r>
            <w:r>
              <w:rPr>
                <w:rFonts w:ascii="Times New Roman" w:hAnsi="Times New Roman"/>
                <w:sz w:val="24"/>
              </w:rPr>
              <w:t>ε</w:t>
            </w:r>
            <w:r>
              <w:rPr>
                <w:rFonts w:ascii="Times New Roman" w:hAnsi="Times New Roman"/>
                <w:sz w:val="24"/>
              </w:rPr>
              <w:t xml:space="preserve">ξουσιοδότηση κανονισμού (ΕΕ) 2016/101 για τη συνετή αποτίμηση.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ΛΕΙΤΟΥΡΓΙΚΟΣ ΚΙΝΔΥΝΟΣ</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10 του ΚΚΑ</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Οι AVA λειτουργικού κινδύνου, όπως υπολογίζονται βάσει του άρθρου 17 του κατ’ εξουσιοδότηση κανονισμού (ΕΕ) 2016/101 για τη συνετή αποτίμηση.</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ΣΥΝΟΛΟ ΠΡΟΣΘΕΤΩΝ ΠΡΟΣΑΡΜΟΓΩΝ ΑΠΟΤΙΜΗΣΗΣ (AVA)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Γραμμή 0010: Το σύνολο των πρόσθετων προσαρμογών αποτίμησης (ΠΠΑ – AVA) που πρέπει να αφαιρείται από τα ίδια κεφάλαια, βάσει των άρθρων 34 και 105 του ΚΚΑ, και που αναφέρεται αναλόγως στη γραμμή 290 του υποδείγματος C 01.00.   Το σύνολο των AVA είναι το άθροισμα των γραμμών 0030 και 0180.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Γραμμή 0020: Το μέρος του συνόλου των AVA που αναφέρεται στη γραμμή 0010 το οποίο προκύπτει από θέσεις στο χαρτοφυλάκιο συναλλαγών (απόλυτη αξία).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Γραμμές 0030 έως 0160: Το άθροισμα των στηλών 0010, 0030, 0050 και 0070 έως 0100.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Γραμμές 0180 έως 0210: Το σύνολο των AVA που προκύπτει από χαρτοφυλάκια βάσει της εφεδρικής προσέγγισης.    </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ΑΝΟΔΙΚΗ ΑΒΕΒΑΙΟΤΗΤΑ</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8 παράγραφος 2 του κατ’ εξουσιοδότηση κανονισμού (ΕΕ) 2016/101 για </w:t>
            </w:r>
            <w:r>
              <w:rPr>
                <w:rStyle w:val="InstructionsTabelleberschrift"/>
                <w:rFonts w:ascii="Times New Roman" w:hAnsi="Times New Roman"/>
                <w:b w:val="0"/>
                <w:sz w:val="24"/>
                <w:u w:val="none"/>
              </w:rPr>
              <w:lastRenderedPageBreak/>
              <w:t>τη συνετή αποτίμηση</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Η ανοδική αβεβαιότητα υπολογίζεται και αθροίζεται επί της ιδίας βάσεως όπως το σύνολο AVA, που υπολογίζεται στη στήλη 0110, αλλά με αντικατάσταση του </w:t>
            </w:r>
            <w:r>
              <w:rPr>
                <w:rFonts w:ascii="Times New Roman" w:hAnsi="Times New Roman"/>
                <w:sz w:val="24"/>
              </w:rPr>
              <w:t>ε</w:t>
            </w:r>
            <w:r>
              <w:rPr>
                <w:rFonts w:ascii="Times New Roman" w:hAnsi="Times New Roman"/>
                <w:sz w:val="24"/>
              </w:rPr>
              <w:t>πιπέδου βεβαιότητας 90 %, που χρησιμοποιείται για τον προσδιορισμό του συν</w:t>
            </w:r>
            <w:r>
              <w:rPr>
                <w:rFonts w:ascii="Times New Roman" w:hAnsi="Times New Roman"/>
                <w:sz w:val="24"/>
              </w:rPr>
              <w:t>ό</w:t>
            </w:r>
            <w:r>
              <w:rPr>
                <w:rFonts w:ascii="Times New Roman" w:hAnsi="Times New Roman"/>
                <w:sz w:val="24"/>
              </w:rPr>
              <w:t>λου AVA, με επίπεδο βεβαιότητας 10 %.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0130-0140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ΕΝΕΡΓΗΤΙΚΟΥ ΚΑΙ ΠΑΘΗΤΙΚΟΥ ΕΥΛΟΓΗΣ ΑΞΙΑΣ</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Η απόλυτη αξία των στοιχείων ενεργητικού και παθητικού εύλογης αξίας που </w:t>
            </w:r>
            <w:r>
              <w:rPr>
                <w:rFonts w:ascii="Times New Roman" w:hAnsi="Times New Roman"/>
                <w:sz w:val="24"/>
              </w:rPr>
              <w:t>α</w:t>
            </w:r>
            <w:r>
              <w:rPr>
                <w:rFonts w:ascii="Times New Roman" w:hAnsi="Times New Roman"/>
                <w:sz w:val="24"/>
              </w:rPr>
              <w:t>ντιστοιχεί στα ποσά των AVA που αναφέρονται στις γραμμές 0010 έως 0130 και στη γραμμή 0180. Για ορισμένες γραμμές, και ιδίως τις γραμμές 0090 έως 0130, τα εν λόγω ποσά μπορεί να χρειαστεί να υπολογιστούν κατά προσέγγιση ή να κ</w:t>
            </w:r>
            <w:r>
              <w:rPr>
                <w:rFonts w:ascii="Times New Roman" w:hAnsi="Times New Roman"/>
                <w:sz w:val="24"/>
              </w:rPr>
              <w:t>α</w:t>
            </w:r>
            <w:r>
              <w:rPr>
                <w:rFonts w:ascii="Times New Roman" w:hAnsi="Times New Roman"/>
                <w:sz w:val="24"/>
              </w:rPr>
              <w:t xml:space="preserve">τανεμηθούν με βάση την κρίση του εμπειρογνώμονα.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Γραμμή 0010: Το σύνολο της απόλυτης αξίας των στοιχείων ενεργητικού και π</w:t>
            </w:r>
            <w:r>
              <w:rPr>
                <w:rFonts w:ascii="Times New Roman" w:hAnsi="Times New Roman"/>
                <w:sz w:val="24"/>
              </w:rPr>
              <w:t>α</w:t>
            </w:r>
            <w:r>
              <w:rPr>
                <w:rFonts w:ascii="Times New Roman" w:hAnsi="Times New Roman"/>
                <w:sz w:val="24"/>
              </w:rPr>
              <w:t>θητικού εύλογης αξίας που περιλαμβάνονται στον υπολογισμό του ορίου του ά</w:t>
            </w:r>
            <w:r>
              <w:rPr>
                <w:rFonts w:ascii="Times New Roman" w:hAnsi="Times New Roman"/>
                <w:sz w:val="24"/>
              </w:rPr>
              <w:t>ρ</w:t>
            </w:r>
            <w:r>
              <w:rPr>
                <w:rFonts w:ascii="Times New Roman" w:hAnsi="Times New Roman"/>
                <w:sz w:val="24"/>
              </w:rPr>
              <w:t>θρου 4 παράγραφος 1 του κατ’ εξουσιοδότηση κανονισμού (ΕΕ) 2016/101 για τη συνετή αποτίμηση. Περιλαμβάνει την απόλυτη αξία των στοιχείων ενεργητικού και παθητικού εύλογης αξίας για τα οποία έχει αξιολογηθεί ότι οι AVA έχουν μ</w:t>
            </w:r>
            <w:r>
              <w:rPr>
                <w:rFonts w:ascii="Times New Roman" w:hAnsi="Times New Roman"/>
                <w:sz w:val="24"/>
              </w:rPr>
              <w:t>η</w:t>
            </w:r>
            <w:r>
              <w:rPr>
                <w:rFonts w:ascii="Times New Roman" w:hAnsi="Times New Roman"/>
                <w:sz w:val="24"/>
              </w:rPr>
              <w:t>δενική αξία, σύμφωνα με το άρθρο 9 παράγραφος 2 και το άρθρο 10 παράγραφος 2 ή 3 του κατ’ εξουσιοδότηση κανονισμού (ΕΕ) 2016/101 για τη συνετή αποτίμ</w:t>
            </w:r>
            <w:r>
              <w:rPr>
                <w:rFonts w:ascii="Times New Roman" w:hAnsi="Times New Roman"/>
                <w:sz w:val="24"/>
              </w:rPr>
              <w:t>η</w:t>
            </w:r>
            <w:r>
              <w:rPr>
                <w:rFonts w:ascii="Times New Roman" w:hAnsi="Times New Roman"/>
                <w:sz w:val="24"/>
              </w:rPr>
              <w:t xml:space="preserve">ση, που αναφέρονται επίσης χωριστά στις γραμμές 0070 και 0080.  </w:t>
            </w:r>
            <w:r>
              <w:rPr>
                <w:rFonts w:ascii="Times New Roman" w:hAnsi="Times New Roman"/>
                <w:sz w:val="24"/>
              </w:rPr>
              <w:br/>
              <w:t xml:space="preserve">Η γραμμή 0010 είναι το άθροισμα της γραμμής 0030 και της γραμμής 0180.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Γραμμή 0020: το μέρος της συνολικής απόλυτης αξίας των στοιχείων ενεργητικού και παθητικού εύλογης αξίας, που αναφέρεται στη γραμμή 0010, το οποίο προκ</w:t>
            </w:r>
            <w:r>
              <w:rPr>
                <w:rFonts w:ascii="Times New Roman" w:hAnsi="Times New Roman"/>
                <w:sz w:val="24"/>
              </w:rPr>
              <w:t>ύ</w:t>
            </w:r>
            <w:r>
              <w:rPr>
                <w:rFonts w:ascii="Times New Roman" w:hAnsi="Times New Roman"/>
                <w:sz w:val="24"/>
              </w:rPr>
              <w:t xml:space="preserve">πτει από θέσεις στο χαρτοφυλάκιο συναλλαγών (απόλυτη αξία).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Γραμμή 0030: Η απόλυτη αξία των στοιχείων ενεργητικού και παθητικού εύλογης αξίας που αντιστοιχεί στα χαρτοφυλάκια βάσει των άρθρων 9 έως 17 του κατ’ </w:t>
            </w:r>
            <w:r>
              <w:rPr>
                <w:rFonts w:ascii="Times New Roman" w:hAnsi="Times New Roman"/>
                <w:sz w:val="24"/>
              </w:rPr>
              <w:t>ε</w:t>
            </w:r>
            <w:r>
              <w:rPr>
                <w:rFonts w:ascii="Times New Roman" w:hAnsi="Times New Roman"/>
                <w:sz w:val="24"/>
              </w:rPr>
              <w:t>ξουσιοδότηση κανονισμού (ΕΕ) 2016/101 για τη συνετή αποτίμηση. Περιλαμβ</w:t>
            </w:r>
            <w:r>
              <w:rPr>
                <w:rFonts w:ascii="Times New Roman" w:hAnsi="Times New Roman"/>
                <w:sz w:val="24"/>
              </w:rPr>
              <w:t>ά</w:t>
            </w:r>
            <w:r>
              <w:rPr>
                <w:rFonts w:ascii="Times New Roman" w:hAnsi="Times New Roman"/>
                <w:sz w:val="24"/>
              </w:rPr>
              <w:t>νει την απόλυτη αξία των στοιχείων ενεργητικού και παθητικού εύλογης αξίας για τα οποία έχει αξιολογηθεί ότι οι AVA έχουν μηδενική αξία, σύμφωνα με το άρθρο 9 παράγραφος 2 και το άρθρο 10 παράγραφος 2 ή 3 του κατ’ εξουσιοδότηση κ</w:t>
            </w:r>
            <w:r>
              <w:rPr>
                <w:rFonts w:ascii="Times New Roman" w:hAnsi="Times New Roman"/>
                <w:sz w:val="24"/>
              </w:rPr>
              <w:t>α</w:t>
            </w:r>
            <w:r>
              <w:rPr>
                <w:rFonts w:ascii="Times New Roman" w:hAnsi="Times New Roman"/>
                <w:sz w:val="24"/>
              </w:rPr>
              <w:t>νονισμού (ΕΕ) 2016/101 για τη συνετή αποτίμηση, που αναφέρονται επίσης χωρ</w:t>
            </w:r>
            <w:r>
              <w:rPr>
                <w:rFonts w:ascii="Times New Roman" w:hAnsi="Times New Roman"/>
                <w:sz w:val="24"/>
              </w:rPr>
              <w:t>ι</w:t>
            </w:r>
            <w:r>
              <w:rPr>
                <w:rFonts w:ascii="Times New Roman" w:hAnsi="Times New Roman"/>
                <w:sz w:val="24"/>
              </w:rPr>
              <w:t>στά στις γραμμές 0070 και 0080. Η γραμμή 0030 είναι το άθροισμα των γραμμών 0090 έως 0130.</w:t>
            </w:r>
          </w:p>
          <w:p w:rsidR="00973707" w:rsidRPr="00AB63E5" w:rsidRDefault="00973707" w:rsidP="00AF3D7A">
            <w:pPr>
              <w:spacing w:beforeLines="60" w:before="144" w:afterLines="60" w:after="144"/>
              <w:rPr>
                <w:rFonts w:ascii="Times New Roman" w:hAnsi="Times New Roman"/>
                <w:sz w:val="24"/>
              </w:rPr>
            </w:pPr>
            <w:r>
              <w:rPr>
                <w:rFonts w:ascii="Times New Roman" w:hAnsi="Times New Roman"/>
                <w:sz w:val="24"/>
              </w:rPr>
              <w:t>Γραμμή 0050: Η απόλυτη αξία των στοιχείων ενεργητικού και παθητικού εύλογης αξίας που περιλαμβάνονται στο πλαίσιο του υπολογισμού της AVA των μη δ</w:t>
            </w:r>
            <w:r>
              <w:rPr>
                <w:rFonts w:ascii="Times New Roman" w:hAnsi="Times New Roman"/>
                <w:sz w:val="24"/>
              </w:rPr>
              <w:t>ε</w:t>
            </w:r>
            <w:r>
              <w:rPr>
                <w:rFonts w:ascii="Times New Roman" w:hAnsi="Times New Roman"/>
                <w:sz w:val="24"/>
              </w:rPr>
              <w:t>δουλευμένων πιστωτικών περιθωρίων.  Για τον σκοπό του υπολογισμού αυτής της AVA, τα στοιχεία ενεργητικού και παθητικού εύλογης αξίας, πλήρους αντιστοίχ</w:t>
            </w:r>
            <w:r>
              <w:rPr>
                <w:rFonts w:ascii="Times New Roman" w:hAnsi="Times New Roman"/>
                <w:sz w:val="24"/>
              </w:rPr>
              <w:t>ι</w:t>
            </w:r>
            <w:r>
              <w:rPr>
                <w:rFonts w:ascii="Times New Roman" w:hAnsi="Times New Roman"/>
                <w:sz w:val="24"/>
              </w:rPr>
              <w:t>σης και συμψηφισμού, που εξαιρούνται από τον υπολογισμό του ορίου, σύμφωνα με το άρθρο 4 παράγραφος 2 του κατ’ εξουσιοδότηση κανονισμού (ΕΕ) 2016/101 για τη συνετή αποτίμηση, μπορεί να μην θεωρούνται πλέον ως πλήρους αντιστο</w:t>
            </w:r>
            <w:r>
              <w:rPr>
                <w:rFonts w:ascii="Times New Roman" w:hAnsi="Times New Roman"/>
                <w:sz w:val="24"/>
              </w:rPr>
              <w:t>ί</w:t>
            </w:r>
            <w:r>
              <w:rPr>
                <w:rFonts w:ascii="Times New Roman" w:hAnsi="Times New Roman"/>
                <w:sz w:val="24"/>
              </w:rPr>
              <w:t xml:space="preserve">χισης και συμψηφισμού.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Γραμμή 0060: Η απόλυτη αξία των στοιχείων ενεργητικού και παθητικού εύλογης αξίας που περιλαμβάνονται στο πλαίσιο του υπολογισμού της AVA των επενδυτ</w:t>
            </w:r>
            <w:r>
              <w:rPr>
                <w:rFonts w:ascii="Times New Roman" w:hAnsi="Times New Roman"/>
                <w:sz w:val="24"/>
              </w:rPr>
              <w:t>ι</w:t>
            </w:r>
            <w:r>
              <w:rPr>
                <w:rFonts w:ascii="Times New Roman" w:hAnsi="Times New Roman"/>
                <w:sz w:val="24"/>
              </w:rPr>
              <w:t xml:space="preserve">κών εξόδων και των εξόδων χρηματοδότησης. Για τον σκοπό του υπολογισμού αυτής της AVA, τα στοιχεία ενεργητικού και παθητικού εύλογης αξίας, πλήρους αντιστοίχισης και συμψηφισμού, που εξαιρούνται από τον υπολογισμό του ορίου, </w:t>
            </w:r>
            <w:r>
              <w:rPr>
                <w:rFonts w:ascii="Times New Roman" w:hAnsi="Times New Roman"/>
                <w:sz w:val="24"/>
              </w:rPr>
              <w:lastRenderedPageBreak/>
              <w:t xml:space="preserve">σύμφωνα με το άρθρο 4 παράγραφος 2 του κατ’ εξουσιοδότηση κανονισμού (ΕΕ) 2016/101 για τη συνετή αποτίμηση, μπορεί να μην θεωρούνται πλέον ως πλήρους αντιστοίχισης και συμψηφισμού.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Γραμμή 0070: Η απόλυτη αξία των στοιχείων ενεργητικού και παθητικού εύλογης αξίας που αντιστοιχεί στα ανοίγματα αποτίμησης για τα οποία έχει αξιολογηθεί ότι η AVA έχει μηδενική αξία, βάσει του άρθρου 9 παράγραφος 2 του κατ’ εξο</w:t>
            </w:r>
            <w:r>
              <w:rPr>
                <w:rFonts w:ascii="Times New Roman" w:hAnsi="Times New Roman"/>
                <w:sz w:val="24"/>
              </w:rPr>
              <w:t>υ</w:t>
            </w:r>
            <w:r>
              <w:rPr>
                <w:rFonts w:ascii="Times New Roman" w:hAnsi="Times New Roman"/>
                <w:sz w:val="24"/>
              </w:rPr>
              <w:t xml:space="preserve">σιοδότηση κανονισμού (ΕΕ) 2016/101 για τη συνετή αποτίμηση.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Γραμμή 0080: Η απόλυτη αξία των στοιχείων ενεργητικού και παθητικού εύλογης αξίας που αντιστοιχεί στα ανοίγματα αποτίμησης για τα οποία έχει αξιολογηθεί ότι η AVA έχει μηδενική αξία, βάσει του άρθρου 10 παράγραφος 2 ή 3 του κατ’ εξουσιοδότηση κανονισμού (ΕΕ) 2016/101 για τη συνετή αποτίμηση.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Γραμμές 0090 έως 0130: Η απόλυτη αξία των στοιχείων ενεργητικού και παθητ</w:t>
            </w:r>
            <w:r>
              <w:rPr>
                <w:rFonts w:ascii="Times New Roman" w:hAnsi="Times New Roman"/>
                <w:sz w:val="24"/>
              </w:rPr>
              <w:t>ι</w:t>
            </w:r>
            <w:r>
              <w:rPr>
                <w:rFonts w:ascii="Times New Roman" w:hAnsi="Times New Roman"/>
                <w:sz w:val="24"/>
              </w:rPr>
              <w:t>κού εύλογης αξίας που κατανέμονται όπως καθορίζεται κατωτέρω (βλέπε αντ</w:t>
            </w:r>
            <w:r>
              <w:rPr>
                <w:rFonts w:ascii="Times New Roman" w:hAnsi="Times New Roman"/>
                <w:sz w:val="24"/>
              </w:rPr>
              <w:t>ί</w:t>
            </w:r>
            <w:r>
              <w:rPr>
                <w:rFonts w:ascii="Times New Roman" w:hAnsi="Times New Roman"/>
                <w:sz w:val="24"/>
              </w:rPr>
              <w:t>στοιχες οδηγίες για τις γραμμές), σύμφωνα με τις ακόλουθες κατηγορίες κινδ</w:t>
            </w:r>
            <w:r>
              <w:rPr>
                <w:rFonts w:ascii="Times New Roman" w:hAnsi="Times New Roman"/>
                <w:sz w:val="24"/>
              </w:rPr>
              <w:t>ύ</w:t>
            </w:r>
            <w:r>
              <w:rPr>
                <w:rFonts w:ascii="Times New Roman" w:hAnsi="Times New Roman"/>
                <w:sz w:val="24"/>
              </w:rPr>
              <w:t>νου:  επιτόκιο, συνάλλαγμα, πίστωση, μετοχές, βασικό εμπόρευμα. Περιλαμβάνει την απόλυτη αξία των στοιχείων ενεργητικού και παθητικού εύλογης αξίας για τα οποία έχει αξιολογηθεί ότι οι AVA έχουν μηδενική αξία, σύμφωνα με το άρθρο 9 παράγραφος 2 και το άρθρο 10 παράγραφος 2 ή 3 του κατ’ εξουσιοδότηση καν</w:t>
            </w:r>
            <w:r>
              <w:rPr>
                <w:rFonts w:ascii="Times New Roman" w:hAnsi="Times New Roman"/>
                <w:sz w:val="24"/>
              </w:rPr>
              <w:t>ο</w:t>
            </w:r>
            <w:r>
              <w:rPr>
                <w:rFonts w:ascii="Times New Roman" w:hAnsi="Times New Roman"/>
                <w:sz w:val="24"/>
              </w:rPr>
              <w:t>νισμού (ΕΕ) 2016/101 για τη συνετή αποτίμηση, που αναφέρονται επίσης χωριστά στις γραμμές 0070 και 0080.</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Γραμμή 0180: Η απόλυτη αξία των στοιχείων ενεργητικού και παθητικού εύλογης αξίας που αντιστοιχεί στα χαρτοφυλάκια βάσει της εφεδρικής προσέγγισης.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ΕΝΕΡΓΗΤΙΚΟΥ ΕΥΛΟΓΗΣ ΑΞΙΑΣ</w:t>
            </w:r>
          </w:p>
          <w:p w:rsidR="00973707" w:rsidRPr="00EB6E04"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Η απόλυτη αξία των </w:t>
            </w:r>
            <w:r>
              <w:rPr>
                <w:rStyle w:val="InstructionsTabelleberschrift"/>
                <w:rFonts w:ascii="Times New Roman" w:hAnsi="Times New Roman"/>
                <w:b w:val="0"/>
                <w:sz w:val="24"/>
                <w:u w:val="none"/>
              </w:rPr>
              <w:t>στοιχείων ενεργητικού εύλογης αξίας που αντιστοιχεί στις διάφορες γραμμές, όπως επεξηγείται στις οδηγίες για τις στήλες 0130-0140 αν</w:t>
            </w:r>
            <w:r>
              <w:rPr>
                <w:rStyle w:val="InstructionsTabelleberschrift"/>
                <w:rFonts w:ascii="Times New Roman" w:hAnsi="Times New Roman"/>
                <w:b w:val="0"/>
                <w:sz w:val="24"/>
                <w:u w:val="none"/>
              </w:rPr>
              <w:t>ω</w:t>
            </w:r>
            <w:r>
              <w:rPr>
                <w:rStyle w:val="InstructionsTabelleberschrift"/>
                <w:rFonts w:ascii="Times New Roman" w:hAnsi="Times New Roman"/>
                <w:b w:val="0"/>
                <w:sz w:val="24"/>
                <w:u w:val="none"/>
              </w:rPr>
              <w:t>τέρω.</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ΠΑΘΗΤΙΚΟΥ ΕΥΛΟΓΗΣ ΑΞΙΑΣ</w:t>
            </w:r>
          </w:p>
          <w:p w:rsidR="00973707" w:rsidRPr="00EB6E04"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Η απόλυτη αξία των </w:t>
            </w:r>
            <w:r>
              <w:rPr>
                <w:rStyle w:val="InstructionsTabelleberschrift"/>
                <w:rFonts w:ascii="Times New Roman" w:hAnsi="Times New Roman"/>
                <w:b w:val="0"/>
                <w:sz w:val="24"/>
                <w:u w:val="none"/>
              </w:rPr>
              <w:t>στοιχείων παθητικού εύλογης αξίας που αντιστοιχεί στις δι</w:t>
            </w:r>
            <w:r>
              <w:rPr>
                <w:rStyle w:val="InstructionsTabelleberschrift"/>
                <w:rFonts w:ascii="Times New Roman" w:hAnsi="Times New Roman"/>
                <w:b w:val="0"/>
                <w:sz w:val="24"/>
                <w:u w:val="none"/>
              </w:rPr>
              <w:t>ά</w:t>
            </w:r>
            <w:r>
              <w:rPr>
                <w:rStyle w:val="InstructionsTabelleberschrift"/>
                <w:rFonts w:ascii="Times New Roman" w:hAnsi="Times New Roman"/>
                <w:b w:val="0"/>
                <w:sz w:val="24"/>
                <w:u w:val="none"/>
              </w:rPr>
              <w:t>φορες γραμμές, όπως επεξηγείται στις οδηγίες για τις στήλες 0130-0140 ανωτέρω.</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ΕΣΟΔΑ QTD</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Τα έσοδα του τελευταίου τριμήνου («έσοδα QTD») από την τελευταία ημερομ</w:t>
            </w:r>
            <w:r>
              <w:rPr>
                <w:rFonts w:ascii="Times New Roman" w:hAnsi="Times New Roman"/>
                <w:sz w:val="24"/>
              </w:rPr>
              <w:t>η</w:t>
            </w:r>
            <w:r>
              <w:rPr>
                <w:rFonts w:ascii="Times New Roman" w:hAnsi="Times New Roman"/>
                <w:sz w:val="24"/>
              </w:rPr>
              <w:t xml:space="preserve">νία υποβολής αναφοράς που αποδίδονται στα στοιχεία ενεργητικού και παθητικού εύλογης αξίας, </w:t>
            </w:r>
            <w:r>
              <w:rPr>
                <w:rStyle w:val="InstructionsTabelleberschrift"/>
                <w:rFonts w:ascii="Times New Roman" w:hAnsi="Times New Roman"/>
                <w:b w:val="0"/>
                <w:sz w:val="24"/>
                <w:u w:val="none"/>
              </w:rPr>
              <w:t>τα οποία αντιστοιχούν στις διάφορες γραμμές, όπως επεξηγείται στις οδηγίες για τις στήλες 0130-0140 ανωτέρω, κατά περίπτωση κατανεμημένα ή υπολογισμένα κατά προσέγγιση με βάση την κρίση του εμπειρογνώμονα</w:t>
            </w:r>
            <w:r>
              <w:rPr>
                <w:rFonts w:ascii="Times New Roman" w:hAnsi="Times New Roman"/>
                <w:sz w:val="24"/>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ΔΙΑΦΟΡΑ IPV</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άθροισμα, μεταξύ όλων των θέσεων και παραγόντων κινδύνου, των μη πρ</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σαρμοσμένων ποσών διαφοράς («διαφορά ανεξάρτητης επαλήθευσης των τιμών» – «διαφορά IPV»), που υπολογίζονται, κατά το τέλος του μήνα πλησιέστερα προς την ημερομηνία υποβολής αναφοράς, βάσει της διαδικασίας ανεξάρτητης επαλ</w:t>
            </w:r>
            <w:r>
              <w:rPr>
                <w:rStyle w:val="InstructionsTabelleberschrift"/>
                <w:rFonts w:ascii="Times New Roman" w:hAnsi="Times New Roman"/>
                <w:b w:val="0"/>
                <w:sz w:val="24"/>
                <w:u w:val="none"/>
              </w:rPr>
              <w:t>ή</w:t>
            </w:r>
            <w:r>
              <w:rPr>
                <w:rStyle w:val="InstructionsTabelleberschrift"/>
                <w:rFonts w:ascii="Times New Roman" w:hAnsi="Times New Roman"/>
                <w:b w:val="0"/>
                <w:sz w:val="24"/>
                <w:u w:val="none"/>
              </w:rPr>
              <w:t>θευσης των τιμών, που διενεργείται σύμφωνα με το άρθρο 105 παράγραφος 8 του ΚΚΑ, σε σχέση με τα βέλτιστα διαθέσιμα ανεξάρτητα στοιχεία για τη σχετική θ</w:t>
            </w:r>
            <w:r>
              <w:rPr>
                <w:rStyle w:val="InstructionsTabelleberschrift"/>
                <w:rFonts w:ascii="Times New Roman" w:hAnsi="Times New Roman"/>
                <w:b w:val="0"/>
                <w:sz w:val="24"/>
                <w:u w:val="none"/>
              </w:rPr>
              <w:t>έ</w:t>
            </w:r>
            <w:r>
              <w:rPr>
                <w:rStyle w:val="InstructionsTabelleberschrift"/>
                <w:rFonts w:ascii="Times New Roman" w:hAnsi="Times New Roman"/>
                <w:b w:val="0"/>
                <w:sz w:val="24"/>
                <w:u w:val="none"/>
              </w:rPr>
              <w:lastRenderedPageBreak/>
              <w:t xml:space="preserve">ση ή τον σχετικό παράγοντα κινδύνου. </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μη προσαρμοσμένα ποσά διαφοράς αναφέρονται στις μη προσαρμοσμένες δ</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αφορές μεταξύ των αποτιμήσεων που έχουν δημιουργηθεί από το σύστημα δι</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πραγμάτευσης και των αποτιμήσεων που αξιολογούνται κατά τη μηνιαία διαδικ</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 xml:space="preserve">σία IPV.   </w:t>
            </w:r>
          </w:p>
          <w:p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Στον υπολογισμό της διαφοράς IPV δεν περιλαμβάνονται προσαρμοσμένα ποσά διαφοράς στα βιβλία και στοιχεία του ιδρύματος για τη σχετική ημερομηνία τ</w:t>
            </w:r>
            <w:r>
              <w:rPr>
                <w:rStyle w:val="InstructionsTabelleberschrift"/>
                <w:rFonts w:ascii="Times New Roman" w:hAnsi="Times New Roman"/>
                <w:b w:val="0"/>
                <w:sz w:val="24"/>
                <w:u w:val="none"/>
              </w:rPr>
              <w:t>έ</w:t>
            </w:r>
            <w:r>
              <w:rPr>
                <w:rStyle w:val="InstructionsTabelleberschrift"/>
                <w:rFonts w:ascii="Times New Roman" w:hAnsi="Times New Roman"/>
                <w:b w:val="0"/>
                <w:sz w:val="24"/>
                <w:u w:val="none"/>
              </w:rPr>
              <w:t>λους του μήνα.</w:t>
            </w:r>
          </w:p>
        </w:tc>
      </w:tr>
      <w:tr w:rsidR="00973707" w:rsidRPr="00E60B53" w:rsidTr="00672D2A">
        <w:tc>
          <w:tcPr>
            <w:tcW w:w="1101" w:type="dxa"/>
          </w:tcPr>
          <w:p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 – 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ΠΡΟΣΑΡΜΟΓΕΣ ΕΥΛΟΓΗΣ ΑΞΙΑΣ</w:t>
            </w:r>
          </w:p>
          <w:p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Προσαρμογές, ενίοτε αναφερόμενες επίσης ως «αποθεματικά», που ενδεχομένως εφαρμόζονται στην εύλογη αξία του ιδρύματος, που πραγματοποιούνται εκτός του μοντέλου αποτίμησης το οποίο χρησιμοποιείται για τη δημιουργία λογιστικών </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 xml:space="preserve">ξιών (εξαιρουμένων των αναβαλλόμενων εισπρακτέων κερδών και ζημιών της ημέρας 1) και που μπορεί να προσδιοριστεί ότι αντιμετωπίζουν την ίδια πηγή </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βεβαιότητας αποτίμησης όπως η σχετική AVA.    Μπορούν να αντικατοπτρίζουν παράγοντες κινδύνου που δεν αποτυπώνονται στην τεχνική αποτίμησης, που είναι υπό μορφή ασφαλίστρου κινδύνου ή κόστους εξόδου και ανταποκρίνονται στον ορισμό της εύλογης αξίας.     Ωστόσο, θα πρέπει να λαμβάνονται υπόψη από τους συμμετέχοντες στην αγορά κατά τον καθορισμό μιας τιμής. (ΔΠΧΑ 13.9 και ΔΠΧΑ 13.88)</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ΑΒΕΒΑΙΟΤΗΤΑ ΤΙΜΩΝ ΣΤΗΝ ΑΓΟΡΑ</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Προσαρμογή που εφαρμόζεται στην εύλογη αξία του ιδρύματος, για να αντικατ</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πτρίζει το ασφάλιστρο κινδύνου που προκύπτει από την ύπαρξη ενός φάσματος παρατηρούμενων τιμών για ισοδύναμα μέσα ή, όσον αφορά ένα δεδομένο παρ</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μέτρου της αγοράς σε μοντέλο αποτίμησης, τα μέσα βάσει των οποίων έχει βα</w:t>
            </w:r>
            <w:r>
              <w:rPr>
                <w:rStyle w:val="InstructionsTabelleberschrift"/>
                <w:rFonts w:ascii="Times New Roman" w:hAnsi="Times New Roman"/>
                <w:b w:val="0"/>
                <w:sz w:val="24"/>
                <w:u w:val="none"/>
              </w:rPr>
              <w:t>θ</w:t>
            </w:r>
            <w:r>
              <w:rPr>
                <w:rStyle w:val="InstructionsTabelleberschrift"/>
                <w:rFonts w:ascii="Times New Roman" w:hAnsi="Times New Roman"/>
                <w:b w:val="0"/>
                <w:sz w:val="24"/>
                <w:u w:val="none"/>
              </w:rPr>
              <w:t xml:space="preserve">μονομηθεί το δεδομένο, και άρα μπορεί να προσδιοριστεί ότι αντιμετωπίζει την </w:t>
            </w:r>
            <w:r>
              <w:rPr>
                <w:rStyle w:val="InstructionsTabelleberschrift"/>
                <w:rFonts w:ascii="Times New Roman" w:hAnsi="Times New Roman"/>
                <w:b w:val="0"/>
                <w:sz w:val="24"/>
                <w:u w:val="none"/>
              </w:rPr>
              <w:t>ί</w:t>
            </w:r>
            <w:r>
              <w:rPr>
                <w:rStyle w:val="InstructionsTabelleberschrift"/>
                <w:rFonts w:ascii="Times New Roman" w:hAnsi="Times New Roman"/>
                <w:b w:val="0"/>
                <w:sz w:val="24"/>
                <w:u w:val="none"/>
              </w:rPr>
              <w:t xml:space="preserve">δια πηγή αβεβαιότητας αποτίμησης όπως η σχετική AVA Αβεβαιότητας τιμών στην αγορά.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ΕΞΟΔΑ ΕΚΚΑΘΑΡΙΣΗΣ</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Προσαρμογή που εφαρμόζεται στην εύλογη αξία του ιδρύματος, για την προσα</w:t>
            </w:r>
            <w:r>
              <w:rPr>
                <w:rStyle w:val="InstructionsTabelleberschrift"/>
                <w:rFonts w:ascii="Times New Roman" w:hAnsi="Times New Roman"/>
                <w:b w:val="0"/>
                <w:sz w:val="24"/>
                <w:u w:val="none"/>
              </w:rPr>
              <w:t>ρ</w:t>
            </w:r>
            <w:r>
              <w:rPr>
                <w:rStyle w:val="InstructionsTabelleberschrift"/>
                <w:rFonts w:ascii="Times New Roman" w:hAnsi="Times New Roman"/>
                <w:b w:val="0"/>
                <w:sz w:val="24"/>
                <w:u w:val="none"/>
              </w:rPr>
              <w:t>μογή στο γεγονός ότι οι αποτιμήσεις σε επίπεδο θέσης δεν αντικατοπτρίζουν τιμή εξόδου για τη θέση ή το χαρτοφυλάκιο, ιδίως όταν οι αποτιμήσεις αυτές βαθμον</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 xml:space="preserve">μούνται σε μέση αγοραία τιμή, και άρα μπορεί να προσδιοριστεί ότι αντιμετωπίζει την ίδια πηγή αβεβαιότητας αποτίμησης όπως η </w:t>
            </w:r>
            <w:r>
              <w:rPr>
                <w:rFonts w:ascii="Times New Roman" w:hAnsi="Times New Roman"/>
                <w:sz w:val="24"/>
              </w:rPr>
              <w:t>AVA Εξόδων εκκαθάρισης</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ΚΙΝΔΥΝΟΣ ΥΠΟΔΕΙΓΜΑΤΟΣ</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Προσαρμογή που εφαρμόζεται στην εύλογη αξία του ιδρύματος, για να αντικατ</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πτρίζει παράγοντες της αγοράς ή του προϊόντος που δεν αποτυπώνονται στο υπ</w:t>
            </w:r>
            <w:r>
              <w:rPr>
                <w:rStyle w:val="InstructionsTabelleberschrift"/>
                <w:rFonts w:ascii="Times New Roman" w:hAnsi="Times New Roman"/>
                <w:b w:val="0"/>
                <w:sz w:val="24"/>
                <w:u w:val="none"/>
              </w:rPr>
              <w:t>ό</w:t>
            </w:r>
            <w:r>
              <w:rPr>
                <w:rStyle w:val="InstructionsTabelleberschrift"/>
                <w:rFonts w:ascii="Times New Roman" w:hAnsi="Times New Roman"/>
                <w:b w:val="0"/>
                <w:sz w:val="24"/>
                <w:u w:val="none"/>
              </w:rPr>
              <w:t>δειγμα που χρησιμοποιείται για τον καθημερινό υπολογισμό τιμών θέσεων και κινδύνων («υπόδειγμα αποτίμησης») ή για να αντικατοπτρίζει κατάλληλο επίπεδο σύνεσης, δεδομένης της αβεβαιότητας που προκύπτει από την ύπαρξη μιας σειράς εναλλακτικών έγκυρων υποδειγμάτων και βαθμονομήσεων υποδειγμάτων, και άρα μπορεί να προσδιοριστεί ότι αντιμετωπίζει την ίδια πηγή αβεβαιότητας απ</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lastRenderedPageBreak/>
              <w:t xml:space="preserve">τίμησης όπως η </w:t>
            </w:r>
            <w:r>
              <w:rPr>
                <w:rFonts w:ascii="Times New Roman" w:hAnsi="Times New Roman"/>
                <w:sz w:val="24"/>
              </w:rPr>
              <w:t>AVA Κινδύνου υποδείγματος</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ΣΥΓΚΕΝΤΡΩΜΕΝΕΣ ΘΕΣΕΙΣ</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Προσαρμογή που εφαρμόζεται στην εύλογη αξία του ιδρύματος, για να αντικατ</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πτρίζει το γεγονός ότι η συγκεντρωτική θέση την οποία κατέχει το ίδρυμα είναι μεγαλύτερη από τον συνήθη όγκο συναλλαγών ή μεγαλύτερη από τα μεγέθη θ</w:t>
            </w:r>
            <w:r>
              <w:rPr>
                <w:rStyle w:val="InstructionsTabelleberschrift"/>
                <w:rFonts w:ascii="Times New Roman" w:hAnsi="Times New Roman"/>
                <w:b w:val="0"/>
                <w:sz w:val="24"/>
                <w:u w:val="none"/>
              </w:rPr>
              <w:t>έ</w:t>
            </w:r>
            <w:r>
              <w:rPr>
                <w:rStyle w:val="InstructionsTabelleberschrift"/>
                <w:rFonts w:ascii="Times New Roman" w:hAnsi="Times New Roman"/>
                <w:b w:val="0"/>
                <w:sz w:val="24"/>
                <w:u w:val="none"/>
              </w:rPr>
              <w:t>σεων στα οποία βασίζονται παρατηρήσιμες προσφορές τιμής ή συναλλαγές, χρ</w:t>
            </w:r>
            <w:r>
              <w:rPr>
                <w:rStyle w:val="InstructionsTabelleberschrift"/>
                <w:rFonts w:ascii="Times New Roman" w:hAnsi="Times New Roman"/>
                <w:b w:val="0"/>
                <w:sz w:val="24"/>
                <w:u w:val="none"/>
              </w:rPr>
              <w:t>η</w:t>
            </w:r>
            <w:r>
              <w:rPr>
                <w:rStyle w:val="InstructionsTabelleberschrift"/>
                <w:rFonts w:ascii="Times New Roman" w:hAnsi="Times New Roman"/>
                <w:b w:val="0"/>
                <w:sz w:val="24"/>
                <w:u w:val="none"/>
              </w:rPr>
              <w:t>σιμοποιούμενες για τη βαθμονόμηση της τιμής ή των δεδομένων, που χρησιμ</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ποιούνται στο υπόδειγμα αποτίμησης, και άρα μπορεί να προσδιοριστεί ότι αντ</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 xml:space="preserve">μετωπίζει την ίδια πηγή αβεβαιότητας αποτίμησης όπως η </w:t>
            </w:r>
            <w:r>
              <w:rPr>
                <w:rFonts w:ascii="Times New Roman" w:hAnsi="Times New Roman"/>
                <w:sz w:val="24"/>
              </w:rPr>
              <w:t>AVA Συγκεντρωμένων θέσεων</w:t>
            </w:r>
            <w:r>
              <w:rPr>
                <w:rStyle w:val="InstructionsTabelleberschrift"/>
                <w:rFonts w:ascii="Times New Roman" w:hAnsi="Times New Roman"/>
                <w:b w:val="0"/>
                <w:sz w:val="24"/>
                <w:u w:val="none"/>
              </w:rP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ΔΕΔΟΥΛΕΥΜΕΝΑ ΠΙΣΤΩΤΙΚΑ ΠΕΡΙΘΩΡΙΑ</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Προσαρμογή που εφαρμόζεται στην εύλογη αξία του ιδρύματος για την κάλυψη αναμενόμενων ζημιών, λόγω αθέτησης αντισυμβαλλομένου σε θέσεις παραγώγων (δηλαδή συνολική προσαρμογή πιστωτικής αποτίμησης «CVA» σε επίπεδο ιδρ</w:t>
            </w:r>
            <w:r>
              <w:rPr>
                <w:rStyle w:val="InstructionsTabelleberschrift"/>
                <w:rFonts w:ascii="Times New Roman" w:hAnsi="Times New Roman"/>
                <w:b w:val="0"/>
                <w:sz w:val="24"/>
                <w:u w:val="none"/>
              </w:rPr>
              <w:t>ύ</w:t>
            </w:r>
            <w:r>
              <w:rPr>
                <w:rStyle w:val="InstructionsTabelleberschrift"/>
                <w:rFonts w:ascii="Times New Roman" w:hAnsi="Times New Roman"/>
                <w:b w:val="0"/>
                <w:sz w:val="24"/>
                <w:u w:val="none"/>
              </w:rPr>
              <w:t xml:space="preserve">ματος).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ΕΠΕΝΔΥΤΙΚΑ ΕΞΟΔΑ ΚΑΙ ΕΞΟΔΑ ΧΡΗΜΑΤΟΔΟΤΗΣΗΣ</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Προσαρμογή που εφαρμόζεται στην εύλογη αξία του ιδρύματος για αντιστάθμιση, όταν τα υποδείγματα αποτίμησης δεν αντικατοπτρίζουν πλήρως το κόστος χρημ</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τοδότησης που χρεώνουν οι συμμετέχοντες στην αγορά στην τιμή εξόδου για θ</w:t>
            </w:r>
            <w:r>
              <w:rPr>
                <w:rStyle w:val="InstructionsTabelleberschrift"/>
                <w:rFonts w:ascii="Times New Roman" w:hAnsi="Times New Roman"/>
                <w:b w:val="0"/>
                <w:sz w:val="24"/>
                <w:u w:val="none"/>
              </w:rPr>
              <w:t>έ</w:t>
            </w:r>
            <w:r>
              <w:rPr>
                <w:rStyle w:val="InstructionsTabelleberschrift"/>
                <w:rFonts w:ascii="Times New Roman" w:hAnsi="Times New Roman"/>
                <w:b w:val="0"/>
                <w:sz w:val="24"/>
                <w:u w:val="none"/>
              </w:rPr>
              <w:t>ση ή χαρτοφυλάκιο (δηλαδή συνολική Προσαρμογή Αποτίμησης Χρηματοδότ</w:t>
            </w:r>
            <w:r>
              <w:rPr>
                <w:rStyle w:val="InstructionsTabelleberschrift"/>
                <w:rFonts w:ascii="Times New Roman" w:hAnsi="Times New Roman"/>
                <w:b w:val="0"/>
                <w:sz w:val="24"/>
                <w:u w:val="none"/>
              </w:rPr>
              <w:t>η</w:t>
            </w:r>
            <w:r>
              <w:rPr>
                <w:rStyle w:val="InstructionsTabelleberschrift"/>
                <w:rFonts w:ascii="Times New Roman" w:hAnsi="Times New Roman"/>
                <w:b w:val="0"/>
                <w:sz w:val="24"/>
                <w:u w:val="none"/>
              </w:rPr>
              <w:t xml:space="preserve">σης σε επίπεδο ιδρύματος, όταν το ίδρυμα υπολογίζει την προσαρμογή αυτή ή, εναλλακτικά, ισοδύναμη προσαρμογή).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ΜΕΛΛΟΝΤΙΚΕΣ ΔΙΟΙΚΗΤΙΚΕΣ ΔΑΠΑΝΕΣ</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Προσαρμογή που εφαρμόζεται στην εύλογη αξία του ιδρύματος για να αντικατ</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πτρίζει τις διοικητικές δαπάνες που συνεπάγεται το χαρτοφυλάκιο ή η θέση, αλλά δεν αντικατοπτρίζονται στο υπόδειγμα αποτίμησης ή στις τιμές που χρησιμοπο</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ούνται για τη βαθμονόμηση των δεδομένων του εν λόγω υποδείγματος, και άρα μπορεί να προσδιοριστεί ότι αντιμετωπίζει την ίδια πηγή αβεβαιότητας αποτίμ</w:t>
            </w:r>
            <w:r>
              <w:rPr>
                <w:rStyle w:val="InstructionsTabelleberschrift"/>
                <w:rFonts w:ascii="Times New Roman" w:hAnsi="Times New Roman"/>
                <w:b w:val="0"/>
                <w:sz w:val="24"/>
                <w:u w:val="none"/>
              </w:rPr>
              <w:t>η</w:t>
            </w:r>
            <w:r>
              <w:rPr>
                <w:rStyle w:val="InstructionsTabelleberschrift"/>
                <w:rFonts w:ascii="Times New Roman" w:hAnsi="Times New Roman"/>
                <w:b w:val="0"/>
                <w:sz w:val="24"/>
                <w:u w:val="none"/>
              </w:rPr>
              <w:t>σης όπως η AVA Μελλοντικών διοικητικών δαπανών.</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ΠΡΟΩΡΗ ΛΗΞΗ</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Προσαρμογές που εφαρμόζονται στην εύλογη αξία του ιδρύματος, για να αντικ</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τοπτρίζουν τις συμβατικές ή μη συμβατικές προσδοκίες πρόωρης λήξης, οι οποίες δεν αντικατοπτρίζονται στο υπόδειγμα αποτίμησης, και άρα μπορεί να προσδιορ</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στεί ότι αντιμετωπίζουν την ίδια πηγή αβεβαιότητας αποτίμησης όπως η AVA Πρόωρης λήξης.</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ΛΕΙΤΟΥΡΓΙΚΟΣ ΚΙΝΔΥΝΟΣ</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Προσαρμογές που εφαρμόζονται στην εύλογη αξία του ιδρύματος, για να αντικ</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 xml:space="preserve">τοπτρίζουν το ασφάλιστρο κινδύνου που χρεώνουν οι συμμετέχοντες στην αγορά για την αντιστάθμιση λειτουργικών κινδύνων που προκύπτουν από αντιστάθμιση κινδύνου, διαχείριση και διακανονισμό συμβάσεων στο χαρτοφυλάκιο, και άρα </w:t>
            </w:r>
            <w:r>
              <w:rPr>
                <w:rStyle w:val="InstructionsTabelleberschrift"/>
                <w:rFonts w:ascii="Times New Roman" w:hAnsi="Times New Roman"/>
                <w:b w:val="0"/>
                <w:sz w:val="24"/>
                <w:u w:val="none"/>
              </w:rPr>
              <w:lastRenderedPageBreak/>
              <w:t>μπορεί να προσδιοριστεί ότι αντιμετωπίζουν την ίδια πηγή αβεβαιότητας αποτ</w:t>
            </w:r>
            <w:r>
              <w:rPr>
                <w:rStyle w:val="InstructionsTabelleberschrift"/>
                <w:rFonts w:ascii="Times New Roman" w:hAnsi="Times New Roman"/>
                <w:b w:val="0"/>
                <w:sz w:val="24"/>
                <w:u w:val="none"/>
              </w:rPr>
              <w:t>ί</w:t>
            </w:r>
            <w:r>
              <w:rPr>
                <w:rStyle w:val="InstructionsTabelleberschrift"/>
                <w:rFonts w:ascii="Times New Roman" w:hAnsi="Times New Roman"/>
                <w:b w:val="0"/>
                <w:sz w:val="24"/>
                <w:u w:val="none"/>
              </w:rPr>
              <w:t>μησης όπως η AVA Λειτουργικού κινδύνου.</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ΚΕΡΔΗ ΚΑΙ ΖΗΜΙΕΣ ΗΜΕΡΑΣ 1</w:t>
            </w:r>
          </w:p>
          <w:p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Προσαρμογές που αντικατοπτρίζουν περιπτώσεις όπου το υπόδειγμα αποτίμησης συν όλες οι άλλες σχετικές προσαρμογές εύλογης αξίας που εφαρμόζονται σε θ</w:t>
            </w:r>
            <w:r>
              <w:rPr>
                <w:rStyle w:val="InstructionsTabelleberschrift"/>
                <w:rFonts w:ascii="Times New Roman" w:hAnsi="Times New Roman"/>
                <w:b w:val="0"/>
                <w:sz w:val="24"/>
                <w:u w:val="none"/>
              </w:rPr>
              <w:t>έ</w:t>
            </w:r>
            <w:r>
              <w:rPr>
                <w:rStyle w:val="InstructionsTabelleberschrift"/>
                <w:rFonts w:ascii="Times New Roman" w:hAnsi="Times New Roman"/>
                <w:b w:val="0"/>
                <w:sz w:val="24"/>
                <w:u w:val="none"/>
              </w:rPr>
              <w:t>ση ή χαρτοφυλάκιο δεν αντανακλούσαν την καταβληθείσα ή εισπραχθείσα τιμή κατά την πρώτη ημέρα αναγνώρισης, δηλαδή τα αναβαλλόμενα εισπρακτέα κέρδη και ζημίες της ημέρας 1 (ΔΠΧΑ 9.B5.1.2.A).</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ΠΕΡΙΓΡΑΦΗ ΚΑΙ ΕΠΕΞΗΓΗΣΗ</w:t>
            </w:r>
          </w:p>
          <w:p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Περιγραφή των θέσεων που αντιμετωπίζονται βάσει του άρθρου 7 παράγραφος 2 στοιχείο β) του κατ’ εξουσιοδότηση κανονισμού (ΕΕ) 2016/101 για τη συνετή </w:t>
            </w:r>
            <w:r>
              <w:rPr>
                <w:rFonts w:ascii="Times New Roman" w:hAnsi="Times New Roman"/>
                <w:sz w:val="24"/>
              </w:rPr>
              <w:t>α</w:t>
            </w:r>
            <w:r>
              <w:rPr>
                <w:rFonts w:ascii="Times New Roman" w:hAnsi="Times New Roman"/>
                <w:sz w:val="24"/>
              </w:rPr>
              <w:t>ποτίμηση, και του λόγου για τον οποίο δεν ήταν δυνατόν να εφαρμοστούν τα ά</w:t>
            </w:r>
            <w:r>
              <w:rPr>
                <w:rFonts w:ascii="Times New Roman" w:hAnsi="Times New Roman"/>
                <w:sz w:val="24"/>
              </w:rPr>
              <w:t>ρ</w:t>
            </w:r>
            <w:r>
              <w:rPr>
                <w:rFonts w:ascii="Times New Roman" w:hAnsi="Times New Roman"/>
                <w:sz w:val="24"/>
              </w:rPr>
              <w:t>θρα 9 έως 17 του εν λόγω κανονισμού.</w:t>
            </w:r>
          </w:p>
        </w:tc>
      </w:tr>
    </w:tbl>
    <w:p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D41BE" w:rsidTr="00672D2A">
        <w:tc>
          <w:tcPr>
            <w:tcW w:w="9288" w:type="dxa"/>
            <w:gridSpan w:val="2"/>
            <w:shd w:val="clear" w:color="auto" w:fill="CCCCCC"/>
          </w:tcPr>
          <w:p w:rsidR="00973707" w:rsidRPr="00DD41BE" w:rsidRDefault="00973707" w:rsidP="00AF3D7A">
            <w:pPr>
              <w:spacing w:beforeLines="60" w:before="144" w:afterLines="60" w:after="144"/>
              <w:rPr>
                <w:rFonts w:ascii="Times New Roman" w:hAnsi="Times New Roman"/>
                <w:b/>
                <w:sz w:val="24"/>
              </w:rPr>
            </w:pPr>
            <w:r>
              <w:rPr>
                <w:rFonts w:ascii="Times New Roman" w:hAnsi="Times New Roman"/>
                <w:b/>
                <w:sz w:val="24"/>
              </w:rPr>
              <w:t>Γραμμές</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ΣΥΝΟΛΙΚΗ ΒΑΣΙΚΗ ΠΡΟΣΕΓΓΙΣΗ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Άρθρο 7 παράγραφος 2 του κατ’ εξουσιοδότηση κανονισμού (ΕΕ) 2016/101 για τη συνετή αποτίμηση</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Για κάθε σχετική κατηγορία AVA που αναφέρονται στις στήλες 0010 έως 0110, το σύνολο των AVA που υπολογίζονται βάσει της βασικής προσέγγισης, όπως προβλέπεται στο κεφάλαιο 3 του κατ’ εξουσιοδότηση κανονισμού (ΕΕ) 2016/101 για τη συνετή αποτίμηση, για τα στοιχεία ενεργητικού και παθητικού εύλογης </w:t>
            </w:r>
            <w:r>
              <w:rPr>
                <w:rFonts w:ascii="Times New Roman" w:hAnsi="Times New Roman"/>
                <w:sz w:val="24"/>
              </w:rPr>
              <w:t>α</w:t>
            </w:r>
            <w:r>
              <w:rPr>
                <w:rFonts w:ascii="Times New Roman" w:hAnsi="Times New Roman"/>
                <w:sz w:val="24"/>
              </w:rPr>
              <w:t>ξίας που περιλαμβάνονται στον υπολογισμό του ορίου, σύμφωνα με το άρθρο 4 παράγραφος 1 του κατ’ εξουσιοδότηση κανονισμού (ΕΕ) 2016/101 για τη συνετή αποτίμηση. Περιλαμβάνει τα οφέλη διαφοροποίησης που αναφέρονται στη γρα</w:t>
            </w:r>
            <w:r>
              <w:rPr>
                <w:rFonts w:ascii="Times New Roman" w:hAnsi="Times New Roman"/>
                <w:sz w:val="24"/>
              </w:rPr>
              <w:t>μ</w:t>
            </w:r>
            <w:r>
              <w:rPr>
                <w:rFonts w:ascii="Times New Roman" w:hAnsi="Times New Roman"/>
                <w:sz w:val="24"/>
              </w:rPr>
              <w:t xml:space="preserve">μή 0140, σύμφωνα με το άρθρο 9 παράγραφος 6, το άρθρο 10 παράγραφος 7 και το άρθρο 11 παράγραφος 7 του κατ’ εξουσιοδότηση κανονισμού (ΕΕ) 2016/101 για τη συνετή αποτίμηση.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ΕΚ ΤΩΝ ΟΠΟΙΩΝ: ΧΑΡΤΟΦΥΛΑΚΙΟ ΣΥΝΑΛΛΑΓΩΝ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Άρθρο 7 παράγραφος 2 του κατ’ εξουσιοδότηση κανονισμού (ΕΕ) 2016/101 για τη συνετή αποτίμηση</w:t>
            </w:r>
          </w:p>
          <w:p w:rsidR="00973707" w:rsidRPr="00DD41BE" w:rsidRDefault="00973707" w:rsidP="009A7A38">
            <w:pPr>
              <w:spacing w:beforeLines="60" w:before="144" w:afterLines="60" w:after="144"/>
              <w:rPr>
                <w:rFonts w:ascii="Times New Roman" w:hAnsi="Times New Roman"/>
                <w:b/>
                <w:sz w:val="24"/>
                <w:u w:val="single"/>
              </w:rPr>
            </w:pPr>
            <w:r>
              <w:rPr>
                <w:rFonts w:ascii="Times New Roman" w:hAnsi="Times New Roman"/>
                <w:sz w:val="24"/>
              </w:rPr>
              <w:t>Για κάθε σχετική κατηγορία AVA που αναφέρεται στις στήλες 0010 έως 110, το μέρος του συνόλου των AVA που αναφέρεται στη γραμμή 0010 το οποίο προκ</w:t>
            </w:r>
            <w:r>
              <w:rPr>
                <w:rFonts w:ascii="Times New Roman" w:hAnsi="Times New Roman"/>
                <w:sz w:val="24"/>
              </w:rPr>
              <w:t>ύ</w:t>
            </w:r>
            <w:r>
              <w:rPr>
                <w:rFonts w:ascii="Times New Roman" w:hAnsi="Times New Roman"/>
                <w:sz w:val="24"/>
              </w:rPr>
              <w:t>πτει από θέσεις στο χαρτοφυλάκιο συναλλαγών (απόλυτη αξία).</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 ΧΑΡΤΟΦΥΛΑΚΙΑ ΒΑΣΕΙ ΤΩΝ ΑΡΘΡΩΝ 9 ΕΩΣ 17 – ΣΥΝΟΛΟ ΕΠ</w:t>
            </w:r>
            <w:r>
              <w:rPr>
                <w:rFonts w:ascii="Times New Roman" w:hAnsi="Times New Roman"/>
                <w:b/>
                <w:sz w:val="24"/>
                <w:u w:val="single"/>
              </w:rPr>
              <w:t>Ι</w:t>
            </w:r>
            <w:r>
              <w:rPr>
                <w:rFonts w:ascii="Times New Roman" w:hAnsi="Times New Roman"/>
                <w:b/>
                <w:sz w:val="24"/>
                <w:u w:val="single"/>
              </w:rPr>
              <w:t xml:space="preserve">ΠΕΔΟΥ ΚΑΤΗΓΟΡΙΑΣ ΜΕΤΑ ΤΗ ΔΙΑΦΟΡΟΠΟΙΗΣΗ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Άρθρο 7 παράγραφος 2 στοιχείο α) του κατ’ εξουσιοδότηση κανονισμού (ΕΕ) 2016/101 για τη συνετή αποτίμηση</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Για κάθε σχετική κατηγορία AVA που αναφέρονται στις στήλες 0010 έως 0110, το σύνολο των AVA που υπολογίζονται σύμφωνα με τα άρθρα 9 έως 17 του κατ’ εξουσιοδότηση κανονισμού (ΕΕ) 2016/101 για τη συνετή αποτίμηση, για τα στο</w:t>
            </w:r>
            <w:r>
              <w:rPr>
                <w:rFonts w:ascii="Times New Roman" w:hAnsi="Times New Roman"/>
                <w:sz w:val="24"/>
              </w:rPr>
              <w:t>ι</w:t>
            </w:r>
            <w:r>
              <w:rPr>
                <w:rFonts w:ascii="Times New Roman" w:hAnsi="Times New Roman"/>
                <w:sz w:val="24"/>
              </w:rPr>
              <w:t>χεία ενεργητικού και παθητικού εύλογης αξίας που περιλαμβάνονται στον υπολ</w:t>
            </w:r>
            <w:r>
              <w:rPr>
                <w:rFonts w:ascii="Times New Roman" w:hAnsi="Times New Roman"/>
                <w:sz w:val="24"/>
              </w:rPr>
              <w:t>ο</w:t>
            </w:r>
            <w:r>
              <w:rPr>
                <w:rFonts w:ascii="Times New Roman" w:hAnsi="Times New Roman"/>
                <w:sz w:val="24"/>
              </w:rPr>
              <w:t>γισμό του ορίου, σύμφωνα με το άρθρο 4 παράγραφος 1 του κατ’ εξουσιοδότηση κανονισμού (ΕΕ) 2016/101 για τη συνετή αποτίμηση, εκτός των στοιχείων ενε</w:t>
            </w:r>
            <w:r>
              <w:rPr>
                <w:rFonts w:ascii="Times New Roman" w:hAnsi="Times New Roman"/>
                <w:sz w:val="24"/>
              </w:rPr>
              <w:t>ρ</w:t>
            </w:r>
            <w:r>
              <w:rPr>
                <w:rFonts w:ascii="Times New Roman" w:hAnsi="Times New Roman"/>
                <w:sz w:val="24"/>
              </w:rPr>
              <w:t>γητικού και παθητικού εύλογης αξίας που υπάγονται στη μεταχείριση που περ</w:t>
            </w:r>
            <w:r>
              <w:rPr>
                <w:rFonts w:ascii="Times New Roman" w:hAnsi="Times New Roman"/>
                <w:sz w:val="24"/>
              </w:rPr>
              <w:t>ι</w:t>
            </w:r>
            <w:r>
              <w:rPr>
                <w:rFonts w:ascii="Times New Roman" w:hAnsi="Times New Roman"/>
                <w:sz w:val="24"/>
              </w:rPr>
              <w:t>γράφεται στο άρθρο 7 παράγραφος 2 στοιχείο β) του κατ’ εξουσιοδότηση κανον</w:t>
            </w:r>
            <w:r>
              <w:rPr>
                <w:rFonts w:ascii="Times New Roman" w:hAnsi="Times New Roman"/>
                <w:sz w:val="24"/>
              </w:rPr>
              <w:t>ι</w:t>
            </w:r>
            <w:r>
              <w:rPr>
                <w:rFonts w:ascii="Times New Roman" w:hAnsi="Times New Roman"/>
                <w:sz w:val="24"/>
              </w:rPr>
              <w:t xml:space="preserve">σμού (ΕΕ) 2016/101 για τη συνετή αποτίμηση.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Περιλαμβάνονται οι AVA που υπολογίζονται σύμφωνα με τα άρθρα 12 και 13 του κατ’ εξουσιοδότηση κανονισμού (ΕΕ) 2016/101 για τη συνετή αποτίμηση, που αναφέρονται στις γραμμές 0050 και 0060 και συμπεριλαμβάνονται στις AVA </w:t>
            </w:r>
            <w:r>
              <w:rPr>
                <w:rFonts w:ascii="Times New Roman" w:hAnsi="Times New Roman"/>
                <w:sz w:val="24"/>
              </w:rPr>
              <w:t>α</w:t>
            </w:r>
            <w:r>
              <w:rPr>
                <w:rFonts w:ascii="Times New Roman" w:hAnsi="Times New Roman"/>
                <w:sz w:val="24"/>
              </w:rPr>
              <w:t>βεβαιότητας των τιμών στην αγορά, AVA εξόδων εκκαθάρισης, και AVA κινδ</w:t>
            </w:r>
            <w:r>
              <w:rPr>
                <w:rFonts w:ascii="Times New Roman" w:hAnsi="Times New Roman"/>
                <w:sz w:val="24"/>
              </w:rPr>
              <w:t>ύ</w:t>
            </w:r>
            <w:r>
              <w:rPr>
                <w:rFonts w:ascii="Times New Roman" w:hAnsi="Times New Roman"/>
                <w:sz w:val="24"/>
              </w:rPr>
              <w:t>νου υποδείγματος, όπως προβλέπεται στο άρθρο 12 παράγραφος 2 και στο άρθρο 13 παράγραφος 2 του κατ’ εξουσιοδότηση κανονισμού (ΕΕ) 2016/101 για τη σ</w:t>
            </w:r>
            <w:r>
              <w:rPr>
                <w:rFonts w:ascii="Times New Roman" w:hAnsi="Times New Roman"/>
                <w:sz w:val="24"/>
              </w:rPr>
              <w:t>υ</w:t>
            </w:r>
            <w:r>
              <w:rPr>
                <w:rFonts w:ascii="Times New Roman" w:hAnsi="Times New Roman"/>
                <w:sz w:val="24"/>
              </w:rPr>
              <w:t xml:space="preserve">νετή αποτίμηση.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Περιλαμβάνει τα οφέλη διαφοροποίησης που αναφέρονται στη γραμμή 0140, σύμφωνα με το άρθρο 9 παράγραφος 6, το άρθρο 10 παράγραφος 7 και το άρθρο 11 παράγραφος 7 του κατ’ εξουσιοδότηση κανονισμού (ΕΕ) 2016/101 για τη σ</w:t>
            </w:r>
            <w:r>
              <w:rPr>
                <w:rFonts w:ascii="Times New Roman" w:hAnsi="Times New Roman"/>
                <w:sz w:val="24"/>
              </w:rPr>
              <w:t>υ</w:t>
            </w:r>
            <w:r>
              <w:rPr>
                <w:rFonts w:ascii="Times New Roman" w:hAnsi="Times New Roman"/>
                <w:sz w:val="24"/>
              </w:rPr>
              <w:t xml:space="preserve">νετή αποτίμηση.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Επομένως, η γραμμή 0030 αναμένεται να είναι η διαφορά μεταξύ των γραμμών 0040 και 0140.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ΣΥΝΟΛΟ ΕΠΙΠΕΔΟΥ ΚΑΤΗΓΟΡΙΑΣ ΠΡΟ ΔΙΑΦΟΡΟΠΟΙΗΣΗΣ</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Για τις γραμμές 0090 έως 0130, τα ιδρύματα κατανέμουν τα οικεία στοιχεία ενε</w:t>
            </w:r>
            <w:r>
              <w:rPr>
                <w:rFonts w:ascii="Times New Roman" w:hAnsi="Times New Roman"/>
                <w:sz w:val="24"/>
              </w:rPr>
              <w:t>ρ</w:t>
            </w:r>
            <w:r>
              <w:rPr>
                <w:rFonts w:ascii="Times New Roman" w:hAnsi="Times New Roman"/>
                <w:sz w:val="24"/>
              </w:rPr>
              <w:t>γητικού και παθητικού εύλογης αξίας που περιλαμβάνονται στον υπολογισμό του ορίου, σύμφωνα με το άρθρο 4 παράγραφος 1 του κατ’ εξουσιοδότηση κανον</w:t>
            </w:r>
            <w:r>
              <w:rPr>
                <w:rFonts w:ascii="Times New Roman" w:hAnsi="Times New Roman"/>
                <w:sz w:val="24"/>
              </w:rPr>
              <w:t>ι</w:t>
            </w:r>
            <w:r>
              <w:rPr>
                <w:rFonts w:ascii="Times New Roman" w:hAnsi="Times New Roman"/>
                <w:sz w:val="24"/>
              </w:rPr>
              <w:t>σμού (ΕΕ) 2016/101 για τη συνετή αποτίμηση (χαρτοφυλάκιο συναλλαγών και τραπεζικό χαρτοφυλάκιο), σύμφωνα με τις ακόλουθες κατηγορίες κινδύνου:  επ</w:t>
            </w:r>
            <w:r>
              <w:rPr>
                <w:rFonts w:ascii="Times New Roman" w:hAnsi="Times New Roman"/>
                <w:sz w:val="24"/>
              </w:rPr>
              <w:t>ι</w:t>
            </w:r>
            <w:r>
              <w:rPr>
                <w:rFonts w:ascii="Times New Roman" w:hAnsi="Times New Roman"/>
                <w:sz w:val="24"/>
              </w:rPr>
              <w:t xml:space="preserve">τόκιο, συνάλλαγμα, πίστωση, μετοχές, βασικό εμπόρευμα.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Για τον σκοπό αυτό, τα ιδρύματα βασίζονται στην εσωτερική δομή τους για δι</w:t>
            </w:r>
            <w:r>
              <w:rPr>
                <w:rFonts w:ascii="Times New Roman" w:hAnsi="Times New Roman"/>
                <w:sz w:val="24"/>
              </w:rPr>
              <w:t>α</w:t>
            </w:r>
            <w:r>
              <w:rPr>
                <w:rFonts w:ascii="Times New Roman" w:hAnsi="Times New Roman"/>
                <w:sz w:val="24"/>
              </w:rPr>
              <w:t>χείριση κινδύνων και, κατόπιν αντιστοίχισης που καταρτίζεται με βάση την κρίση εμπειρογνώμονα, κατανέμουν τις επιχειρηματικές δραστηριότητές τους ή μονάδες διαπραγμάτευσης στην πλέον ενδεδειγμένη κατηγορία κινδύνου. Οι AVA, οι Προσαρμογές Εύλογης Αξίας και οι άλλες απαιτούμενες πληροφορίες, οι οποίες αντιστοιχούν στις κατανεμημένες επιχειρηματικές δραστηριότητες ή μονάδες δι</w:t>
            </w:r>
            <w:r>
              <w:rPr>
                <w:rFonts w:ascii="Times New Roman" w:hAnsi="Times New Roman"/>
                <w:sz w:val="24"/>
              </w:rPr>
              <w:t>α</w:t>
            </w:r>
            <w:r>
              <w:rPr>
                <w:rFonts w:ascii="Times New Roman" w:hAnsi="Times New Roman"/>
                <w:sz w:val="24"/>
              </w:rPr>
              <w:t>πραγμάτευσης, κατανέμονται τότε στην ίδια σχετική κατηγορία κινδύνου, προκε</w:t>
            </w:r>
            <w:r>
              <w:rPr>
                <w:rFonts w:ascii="Times New Roman" w:hAnsi="Times New Roman"/>
                <w:sz w:val="24"/>
              </w:rPr>
              <w:t>ι</w:t>
            </w:r>
            <w:r>
              <w:rPr>
                <w:rFonts w:ascii="Times New Roman" w:hAnsi="Times New Roman"/>
                <w:sz w:val="24"/>
              </w:rPr>
              <w:t xml:space="preserve">μένου να παρέχεται σε επίπεδο γραμμής για κάθε κατηγορία κινδύνου συνεπής </w:t>
            </w:r>
            <w:r>
              <w:rPr>
                <w:rFonts w:ascii="Times New Roman" w:hAnsi="Times New Roman"/>
                <w:sz w:val="24"/>
              </w:rPr>
              <w:t>ε</w:t>
            </w:r>
            <w:r>
              <w:rPr>
                <w:rFonts w:ascii="Times New Roman" w:hAnsi="Times New Roman"/>
                <w:sz w:val="24"/>
              </w:rPr>
              <w:t>πισκόπηση των προσαρμογών που πραγματοποιήθηκαν, τόσο για σκοπούς προλ</w:t>
            </w:r>
            <w:r>
              <w:rPr>
                <w:rFonts w:ascii="Times New Roman" w:hAnsi="Times New Roman"/>
                <w:sz w:val="24"/>
              </w:rPr>
              <w:t>η</w:t>
            </w:r>
            <w:r>
              <w:rPr>
                <w:rFonts w:ascii="Times New Roman" w:hAnsi="Times New Roman"/>
                <w:sz w:val="24"/>
              </w:rPr>
              <w:t>πτικής εποπτείας όσο και για λογιστικούς σκοπούς, καθώς και ένδειξη του μεγ</w:t>
            </w:r>
            <w:r>
              <w:rPr>
                <w:rFonts w:ascii="Times New Roman" w:hAnsi="Times New Roman"/>
                <w:sz w:val="24"/>
              </w:rPr>
              <w:t>έ</w:t>
            </w:r>
            <w:r>
              <w:rPr>
                <w:rFonts w:ascii="Times New Roman" w:hAnsi="Times New Roman"/>
                <w:sz w:val="24"/>
              </w:rPr>
              <w:t xml:space="preserve">θους των σχετικών θέσεων (από την άποψη στοιχείων ενεργητικού και παθητικού εύλογης αξίας). Σε περίπτωση που οι AVA ή άλλες προσαρμογές υπολογίζονται σε διαφορετικό επίπεδο συγκέντρωσης, ιδίως σε επίπεδο επιχείρησης, τα ιδρύματα αναπτύσσουν μεθοδολογία κατανομής των AVA στις σχετικές ομάδες θέσεων.  Η μεθοδολογία κατανομής έχει ως αποτέλεσμα να είναι η γραμμή 0040 το άθροισμα των γραμμών 0050 έως 0130 για τις στήλες 0010 έως 0100.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Ανεξάρτητα από την προσέγγιση που εφαρμόζεται, οι υποβαλλόμενες πληροφορ</w:t>
            </w:r>
            <w:r>
              <w:rPr>
                <w:rFonts w:ascii="Times New Roman" w:hAnsi="Times New Roman"/>
                <w:sz w:val="24"/>
              </w:rPr>
              <w:t>ί</w:t>
            </w:r>
            <w:r>
              <w:rPr>
                <w:rFonts w:ascii="Times New Roman" w:hAnsi="Times New Roman"/>
                <w:sz w:val="24"/>
              </w:rPr>
              <w:lastRenderedPageBreak/>
              <w:t xml:space="preserve">ες θα πρέπει, κατά το δυνατόν, να έχουν συνέπεια σε επίπεδο γραμμής, δεδομένου ότι οι υποβαλλόμενες πληροφορίες θα συγκρίνονται σε αυτό το επίπεδο (ποσά AVA, ανοδική αβεβαιότητα, ποσά εύλογης αξίας και ενδεχόμενες προσαρμογές εύλογης αξίας).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Στην ανάλυση στις γραμμές 0090 έως 0130  εξαιρούνται οι AVA που υπολογίζ</w:t>
            </w:r>
            <w:r>
              <w:rPr>
                <w:rFonts w:ascii="Times New Roman" w:hAnsi="Times New Roman"/>
                <w:sz w:val="24"/>
              </w:rPr>
              <w:t>ο</w:t>
            </w:r>
            <w:r>
              <w:rPr>
                <w:rFonts w:ascii="Times New Roman" w:hAnsi="Times New Roman"/>
                <w:sz w:val="24"/>
              </w:rPr>
              <w:t>νται σύμφωνα με τα άρθρα 12 και 13 του κατ’ εξουσιοδότηση κανονισμού (ΕΕ) 2016/101 για τη συνετή αποτίμηση, που αναφέρονται στις γραμμές 0050 και 0060, και συμπεριλαμβάνονται στις AVA αβεβαιότητας των τιμών στην αγορά, AVA εξόδων εκκαθάρισης, και AVA κινδύνου υποδείγματος, όπως προβλέπεται στο άρθρο 12 παράγραφος 2 και στο άρθρο 13 παράγραφος 2 του κατ’ εξουσιοδ</w:t>
            </w:r>
            <w:r>
              <w:rPr>
                <w:rFonts w:ascii="Times New Roman" w:hAnsi="Times New Roman"/>
                <w:sz w:val="24"/>
              </w:rPr>
              <w:t>ό</w:t>
            </w:r>
            <w:r>
              <w:rPr>
                <w:rFonts w:ascii="Times New Roman" w:hAnsi="Times New Roman"/>
                <w:sz w:val="24"/>
              </w:rPr>
              <w:t xml:space="preserve">τηση κανονισμού (ΕΕ) 2016/101 για τη συνετή αποτίμηση.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Τα οφέλη διαφοροποίησης αναφέρονται στη γραμμή 0140, σύμφωνα με το άρθρο 9 παράγραφος 6, το άρθρο 10 παράγραφος 7 και το άρθρο 11 παράγραφος 7 του κατ’ εξουσιοδότηση κανονισμού (ΕΕ) 2016/101 για τη συνετή αποτίμηση, και άρα εξαιρούνται από τις γραμμές 0040 έως 0130.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ΕΚ ΤΩΝ ΟΠΟΙΩΝ: AVA ΜΗ ΔΕΔΟΥΛΕΥΜΕΝΩΝ ΠΙΣΤΩΤΙΚΩΝ ΠΕΡ</w:t>
            </w:r>
            <w:r>
              <w:rPr>
                <w:rFonts w:ascii="Times New Roman" w:hAnsi="Times New Roman"/>
                <w:b/>
                <w:sz w:val="24"/>
                <w:u w:val="single"/>
              </w:rPr>
              <w:t>Ι</w:t>
            </w:r>
            <w:r>
              <w:rPr>
                <w:rFonts w:ascii="Times New Roman" w:hAnsi="Times New Roman"/>
                <w:b/>
                <w:sz w:val="24"/>
                <w:u w:val="single"/>
              </w:rPr>
              <w:t>ΘΩΡΙΩΝ</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10 του ΚΚΑ, άρθρο 12 του κατ’ εξουσιοδότηση κανον</w:t>
            </w:r>
            <w:r>
              <w:rPr>
                <w:rFonts w:ascii="Times New Roman" w:hAnsi="Times New Roman"/>
                <w:sz w:val="24"/>
              </w:rPr>
              <w:t>ι</w:t>
            </w:r>
            <w:r>
              <w:rPr>
                <w:rFonts w:ascii="Times New Roman" w:hAnsi="Times New Roman"/>
                <w:sz w:val="24"/>
              </w:rPr>
              <w:t>σμού (ΕΕ) 2016/101 για τη συνετή αποτίμηση</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Η συνολική AVA που υπολογίζεται για μη δεδουλευμένα πιστωτικά περιθώρια («AVA για CVA») και η κατανομή της στις AVA αβεβαιότητας των τιμών στην αγορά, εξόδων εκκαθάρισης ή κινδύνου υποδείγματος, βάσει του άρθρου 12 του κατ’ εξουσιοδότηση κανονισμού (ΕΕ) 2016/101 για τη συνετή αποτίμηση.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Στήλη 0110: Η συνολική AVA παρέχεται μόνον ενημερωτικά, καθόσον η κατ</w:t>
            </w:r>
            <w:r>
              <w:rPr>
                <w:rFonts w:ascii="Times New Roman" w:hAnsi="Times New Roman"/>
                <w:sz w:val="24"/>
              </w:rPr>
              <w:t>α</w:t>
            </w:r>
            <w:r>
              <w:rPr>
                <w:rFonts w:ascii="Times New Roman" w:hAnsi="Times New Roman"/>
                <w:sz w:val="24"/>
              </w:rPr>
              <w:t xml:space="preserve">νομή της στις AVA αβεβαιότητας των τιμών στην αγορά, εξόδων εκκαθάρισης ή κινδύνου υποδείγματος οδηγεί στη συμπερίληψή της —αφού ληφθούν υπόψη τα οφέλη διαφοροποίησης— στις αντίστοιχες AVA επιπέδου κατηγορίας.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Στήλες 0130 και 0140: Η απόλυτη αξία των στοιχείων ενεργητικού και παθητικού εύλογης αξίας που περιλαμβάνονται στο πλαίσιο του υπολογισμού των AVA των μη δεδουλευμένων πιστωτικών περιθωρίων. Για τον σκοπό του υπολογισμού α</w:t>
            </w:r>
            <w:r>
              <w:rPr>
                <w:rFonts w:ascii="Times New Roman" w:hAnsi="Times New Roman"/>
                <w:sz w:val="24"/>
              </w:rPr>
              <w:t>υ</w:t>
            </w:r>
            <w:r>
              <w:rPr>
                <w:rFonts w:ascii="Times New Roman" w:hAnsi="Times New Roman"/>
                <w:sz w:val="24"/>
              </w:rPr>
              <w:t xml:space="preserve">τής της AVA, τα στοιχεία ενεργητικού και παθητικού εύλογης αξίας, πλήρους </w:t>
            </w:r>
            <w:r>
              <w:rPr>
                <w:rFonts w:ascii="Times New Roman" w:hAnsi="Times New Roman"/>
                <w:sz w:val="24"/>
              </w:rPr>
              <w:t>α</w:t>
            </w:r>
            <w:r>
              <w:rPr>
                <w:rFonts w:ascii="Times New Roman" w:hAnsi="Times New Roman"/>
                <w:sz w:val="24"/>
              </w:rPr>
              <w:t>ντιστοίχισης και συμψηφισμού, που εξαιρούνται από τον υπολογισμό του ορίου, σύμφωνα με το άρθρο 4 παράγραφος 2 του κατ’ εξουσιοδότηση κανονισμού (ΕΕ) 2016/101 για τη συνετή αποτίμηση, μπορεί να μην θεωρούνται πλέον ως πλήρους αντιστοίχισης και συμψηφισμού.</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ΕΚ ΤΩΝ ΟΠΟΙΩΝ: AVA ΕΠΕΝΔΥΤΙΚΩΝ ΕΞΟΔΩΝ ΚΑΙ ΕΞΟΔΩΝ ΧΡΗΜΑΤΟΔΟΤΗΣΗΣ </w:t>
            </w:r>
          </w:p>
          <w:p w:rsidR="00973707" w:rsidRPr="00584165" w:rsidRDefault="00973707" w:rsidP="00AF3D7A">
            <w:pPr>
              <w:spacing w:beforeLines="60" w:before="144" w:afterLines="60" w:after="144"/>
              <w:rPr>
                <w:rFonts w:ascii="Times New Roman" w:hAnsi="Times New Roman"/>
                <w:caps/>
                <w:sz w:val="24"/>
                <w:u w:val="single"/>
              </w:rPr>
            </w:pPr>
            <w:r>
              <w:rPr>
                <w:rFonts w:ascii="Times New Roman" w:hAnsi="Times New Roman"/>
                <w:sz w:val="24"/>
              </w:rPr>
              <w:t>Άρθρο 105 παράγραφος 10 του ΚΚΑ, άρθρο 17 του κατ’ εξουσιοδότηση κανον</w:t>
            </w:r>
            <w:r>
              <w:rPr>
                <w:rFonts w:ascii="Times New Roman" w:hAnsi="Times New Roman"/>
                <w:sz w:val="24"/>
              </w:rPr>
              <w:t>ι</w:t>
            </w:r>
            <w:r>
              <w:rPr>
                <w:rFonts w:ascii="Times New Roman" w:hAnsi="Times New Roman"/>
                <w:sz w:val="24"/>
              </w:rPr>
              <w:t>σμού (ΕΕ) 2016/101 για τη συνετή αποτίμηση</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Η συνολική AVA που υπολογίζεται για επενδυτικά έξοδα και έξοδα χρηματοδ</w:t>
            </w:r>
            <w:r>
              <w:rPr>
                <w:rFonts w:ascii="Times New Roman" w:hAnsi="Times New Roman"/>
                <w:sz w:val="24"/>
              </w:rPr>
              <w:t>ό</w:t>
            </w:r>
            <w:r>
              <w:rPr>
                <w:rFonts w:ascii="Times New Roman" w:hAnsi="Times New Roman"/>
                <w:sz w:val="24"/>
              </w:rPr>
              <w:t>τησης και η κατανομή της στις AVA αβεβαιότητας των τιμών στην αγορά, εξόδων εκκαθάρισης ή κινδύνου υποδείγματος, βάσει του άρθρου 13 του κατ’ εξουσιοδ</w:t>
            </w:r>
            <w:r>
              <w:rPr>
                <w:rFonts w:ascii="Times New Roman" w:hAnsi="Times New Roman"/>
                <w:sz w:val="24"/>
              </w:rPr>
              <w:t>ό</w:t>
            </w:r>
            <w:r>
              <w:rPr>
                <w:rFonts w:ascii="Times New Roman" w:hAnsi="Times New Roman"/>
                <w:sz w:val="24"/>
              </w:rPr>
              <w:t xml:space="preserve">τηση κανονισμού (ΕΕ) 2016/101 για τη συνετή αποτίμηση.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Στήλη 0110: Η συνολική AVA παρέχεται μόνον ενημερωτικά, καθόσον η κατ</w:t>
            </w:r>
            <w:r>
              <w:rPr>
                <w:rFonts w:ascii="Times New Roman" w:hAnsi="Times New Roman"/>
                <w:sz w:val="24"/>
              </w:rPr>
              <w:t>α</w:t>
            </w:r>
            <w:r>
              <w:rPr>
                <w:rFonts w:ascii="Times New Roman" w:hAnsi="Times New Roman"/>
                <w:sz w:val="24"/>
              </w:rPr>
              <w:t xml:space="preserve">νομή της στις AVA αβεβαιότητας των τιμών στην αγορά, εξόδων εκκαθάρισης ή κινδύνου υποδείγματος οδηγεί στη συμπερίληψή της —αφού ληφθούν υπόψη τα οφέλη διαφοροποίησης— στις αντίστοιχες AVA επιπέδου κατηγορίας.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Στήλες 0130 και 0140: Η απόλυτη αξία των στοιχείων ενεργητικού και παθητικού εύλογης αξίας που περιλαμβάνονται στο πλαίσιο του υπολογισμού της AVA των επενδυτικών εξόδων και των εξόδων χρηματοδότησης. Για τον σκοπό του υπολ</w:t>
            </w:r>
            <w:r>
              <w:rPr>
                <w:rFonts w:ascii="Times New Roman" w:hAnsi="Times New Roman"/>
                <w:sz w:val="24"/>
              </w:rPr>
              <w:t>ο</w:t>
            </w:r>
            <w:r>
              <w:rPr>
                <w:rFonts w:ascii="Times New Roman" w:hAnsi="Times New Roman"/>
                <w:sz w:val="24"/>
              </w:rPr>
              <w:t>γισμού αυτής της AVA, τα στοιχεία ενεργητικού και παθητικού εύλογης αξίας, πλήρους αντιστοίχισης και συμψηφισμού, που εξαιρούνται από τον υπολογισμό του ορίου, σύμφωνα με το άρθρο 4 παράγραφος 2 του κατ’ εξουσιοδότηση καν</w:t>
            </w:r>
            <w:r>
              <w:rPr>
                <w:rFonts w:ascii="Times New Roman" w:hAnsi="Times New Roman"/>
                <w:sz w:val="24"/>
              </w:rPr>
              <w:t>ο</w:t>
            </w:r>
            <w:r>
              <w:rPr>
                <w:rFonts w:ascii="Times New Roman" w:hAnsi="Times New Roman"/>
                <w:sz w:val="24"/>
              </w:rPr>
              <w:t>νισμού (ΕΕ) 2016/101 για τη συνετή αποτίμηση, μπορεί να μην θεωρούνται πλέον ως πλήρους αντιστοίχισης και συμψηφισμού.</w:t>
            </w:r>
          </w:p>
        </w:tc>
      </w:tr>
      <w:tr w:rsidR="00973707" w:rsidRPr="009A7A38" w:rsidTr="00672D2A">
        <w:tc>
          <w:tcPr>
            <w:tcW w:w="1101" w:type="dxa"/>
          </w:tcPr>
          <w:p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ΕΚ ΤΩΝ ΟΠΟΙΩΝ: AVA ΠΟΥ ΑΞΙΟΛΟΓΕΙΤΑΙ ΟΤΙ ΕΧΕΙ ΜΗΔΕΝΙΚΗ ΑΞΙΑ ΒΑΣΕΙ ΤΟΥ ΑΡΘΡΟΥ 9 ΠΑΡΑΓΡΑΦΟΣ 2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Η απόλυτη αξία των στοιχείων ενεργητικού και παθητικού εύλογης αξίας που </w:t>
            </w:r>
            <w:r>
              <w:rPr>
                <w:rFonts w:ascii="Times New Roman" w:hAnsi="Times New Roman"/>
                <w:sz w:val="24"/>
              </w:rPr>
              <w:t>α</w:t>
            </w:r>
            <w:r>
              <w:rPr>
                <w:rFonts w:ascii="Times New Roman" w:hAnsi="Times New Roman"/>
                <w:sz w:val="24"/>
              </w:rPr>
              <w:t xml:space="preserve">ντιστοιχεί στα ανοίγματα αποτίμησης για τα οποία έχει αξιολογηθεί ότι η AVA έχει μηδενική αξία, βάσει του άρθρου 9 παράγραφος 2 του κατ’ εξουσιοδότηση κανονισμού (ΕΕ) 2016/101 για τη συνετή αποτίμηση.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ΕΚ ΤΩΝ ΟΠΟΙΩΝ: AVA ΠΟΥ ΑΞΙΟΛΟΓΕΙΤΑΙ ΟΤΙ ΕΧΕΙ ΜΗΔΕΝΙΚΗ ΑΞΙΑ ΒΑΣΕΙ ΤΟΥ ΑΡΘΡΟΥ 10 ΠΑΡΑΓΡΑΦΟΙ 2&amp;3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Η απόλυτη αξία των στοιχείων ενεργητικού και παθητικού εύλογης αξίας που </w:t>
            </w:r>
            <w:r>
              <w:rPr>
                <w:rFonts w:ascii="Times New Roman" w:hAnsi="Times New Roman"/>
                <w:sz w:val="24"/>
              </w:rPr>
              <w:t>α</w:t>
            </w:r>
            <w:r>
              <w:rPr>
                <w:rFonts w:ascii="Times New Roman" w:hAnsi="Times New Roman"/>
                <w:sz w:val="24"/>
              </w:rPr>
              <w:t>ντιστοιχεί στα ανοίγματα αποτίμησης για τα οποία έχει αξιολογηθεί ότι η AVA έχει μηδενική αξία, βάσει του άρθρου 10 παράγραφος 2 ή 3 του κατ’ εξουσιοδ</w:t>
            </w:r>
            <w:r>
              <w:rPr>
                <w:rFonts w:ascii="Times New Roman" w:hAnsi="Times New Roman"/>
                <w:sz w:val="24"/>
              </w:rPr>
              <w:t>ό</w:t>
            </w:r>
            <w:r>
              <w:rPr>
                <w:rFonts w:ascii="Times New Roman" w:hAnsi="Times New Roman"/>
                <w:sz w:val="24"/>
              </w:rPr>
              <w:t>τηση κανονισμού (ΕΕ) 2016/101 για τη συνετή αποτίμηση.</w:t>
            </w:r>
          </w:p>
        </w:tc>
      </w:tr>
      <w:tr w:rsidR="00973707" w:rsidRPr="009A7A38" w:rsidTr="00672D2A">
        <w:tc>
          <w:tcPr>
            <w:tcW w:w="1101" w:type="dxa"/>
          </w:tcPr>
          <w:p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ΕΠΙΤΟΚΙΑ</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ΣΥΝΑΛΛΑΓΜΑ</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ΠΙΣΤΩΣΗ</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ΜΕΤΟΧΕΣ</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ΒΑΣΙΚΑ ΕΜΠΟΡΕΥΜΑΤΑ</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5D5914"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Οφέλη διαφοροποίησης</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Συνολικά οφέλη διαφοροποίησης. Άθροισμα των γραμμών 0150 και 0160.</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Όφελος διαφοροποίησης υπολογιζόμενο με χρ</w:t>
            </w:r>
            <w:r>
              <w:rPr>
                <w:rFonts w:ascii="Times New Roman" w:hAnsi="Times New Roman"/>
                <w:b/>
                <w:caps/>
                <w:sz w:val="24"/>
                <w:u w:val="single"/>
              </w:rPr>
              <w:t>ή</w:t>
            </w:r>
            <w:r>
              <w:rPr>
                <w:rFonts w:ascii="Times New Roman" w:hAnsi="Times New Roman"/>
                <w:b/>
                <w:caps/>
                <w:sz w:val="24"/>
                <w:u w:val="single"/>
              </w:rPr>
              <w:t>ση της μεθόδου 1</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 xml:space="preserve">Για τις κατηγορίες AVA που αθροίζονται βάσει της μεθόδου 1, σύμφωνα με το άρθρο 9 παράγραφος 6, το άρθρο 10 παράγραφος 7 και το άρθρο 11 παράγραφος 6 του κατ’ εξουσιοδότηση κανονισμού (ΕΕ) 2016/101 για τη συνετή αποτίμηση, η διαφορά μεταξύ του αθροίσματος των ατομικών AVA και της συνολικής AVA </w:t>
            </w:r>
            <w:r>
              <w:rPr>
                <w:rFonts w:ascii="Times New Roman" w:hAnsi="Times New Roman"/>
                <w:sz w:val="24"/>
              </w:rPr>
              <w:t>ε</w:t>
            </w:r>
            <w:r>
              <w:rPr>
                <w:rFonts w:ascii="Times New Roman" w:hAnsi="Times New Roman"/>
                <w:sz w:val="24"/>
              </w:rPr>
              <w:lastRenderedPageBreak/>
              <w:t xml:space="preserve">πιπέδου κατηγορίας, μετά την προσαρμογή για άθροισμα.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Όφελος διαφοροποίησης υπολογιζόμενο με χρ</w:t>
            </w:r>
            <w:r>
              <w:rPr>
                <w:rFonts w:ascii="Times New Roman" w:hAnsi="Times New Roman"/>
                <w:b/>
                <w:caps/>
                <w:sz w:val="24"/>
                <w:u w:val="single"/>
              </w:rPr>
              <w:t>ή</w:t>
            </w:r>
            <w:r>
              <w:rPr>
                <w:rFonts w:ascii="Times New Roman" w:hAnsi="Times New Roman"/>
                <w:b/>
                <w:caps/>
                <w:sz w:val="24"/>
                <w:u w:val="single"/>
              </w:rPr>
              <w:t>ση της μεθόδου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 xml:space="preserve">Για τις κατηγορίες AVA που αθροίζονται βάσει της μεθόδου 2, σύμφωνα με το άρθρο 9 παράγραφος 6, το άρθρο 10 παράγραφος 7 και το άρθρο 11 παράγραφος 6 του κατ’ εξουσιοδότηση κανονισμού (ΕΕ) 2016/101 για τη συνετή αποτίμηση, η διαφορά μεταξύ του αθροίσματος των ατομικών AVA και της συνολικής AVA </w:t>
            </w:r>
            <w:r>
              <w:rPr>
                <w:rFonts w:ascii="Times New Roman" w:hAnsi="Times New Roman"/>
                <w:sz w:val="24"/>
              </w:rPr>
              <w:t>ε</w:t>
            </w:r>
            <w:r>
              <w:rPr>
                <w:rFonts w:ascii="Times New Roman" w:hAnsi="Times New Roman"/>
                <w:sz w:val="24"/>
              </w:rPr>
              <w:t>πιπέδου κατηγορίας, μετά την προσαρμογή για άθροισμα.</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Υπομνηματικό στοιχείο: AVA προ διαφοροποίησης που μειώνονται πλέον του 90 % με διαφοροποίηση βάσει της μεθόδου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Στην ορολογία της μεθόδου 2, το άθροισμα των FV – PV για όλα τα ανοίγματα αποτίμησης για τα οποία APVA &lt; 10% (FV – PV).</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Χαρτοφυλάκια που υπολογίζονται βάσει της εφεδρ</w:t>
            </w:r>
            <w:r>
              <w:rPr>
                <w:rFonts w:ascii="Times New Roman" w:hAnsi="Times New Roman"/>
                <w:b/>
                <w:caps/>
                <w:sz w:val="24"/>
                <w:u w:val="single"/>
              </w:rPr>
              <w:t>ι</w:t>
            </w:r>
            <w:r>
              <w:rPr>
                <w:rFonts w:ascii="Times New Roman" w:hAnsi="Times New Roman"/>
                <w:b/>
                <w:caps/>
                <w:sz w:val="24"/>
                <w:u w:val="single"/>
              </w:rPr>
              <w:t>κής προσέγγισης</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Άρθρο 7 παράγραφος 2 στοιχείο β) του κατ’ εξουσιοδότηση κανονισμού (ΕΕ) 2016/101 για τη συνετή αποτίμηση</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Για χαρτοφυλάκια που υπάγονται στην εφεδρική προσέγγιση, βάσει του άρθρου 7 παράγραφος 2 στοιχείο β) του κατ’ εξουσιοδότηση κανονισμού (ΕΕ) 2016/101 για τη συνετή αποτίμηση, η συνολική AVA υπολογίζεται ως άθροισμα των γραμμών 0190, 0200 και 0210.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Στις στήλες 0130 – 0260 παρέχονται σχετικές πληροφορίες για τον ισολογισμό και άλλες συναφείς πληροφορίες. Στη στήλη 0270 παρέχεται περιγραφή των θ</w:t>
            </w:r>
            <w:r>
              <w:rPr>
                <w:rFonts w:ascii="Times New Roman" w:hAnsi="Times New Roman"/>
                <w:sz w:val="24"/>
              </w:rPr>
              <w:t>έ</w:t>
            </w:r>
            <w:r>
              <w:rPr>
                <w:rFonts w:ascii="Times New Roman" w:hAnsi="Times New Roman"/>
                <w:sz w:val="24"/>
              </w:rPr>
              <w:t>σεων και του λόγου για τον οποίο δεν ήταν δυνατόν να εφαρμοστούν τα άρθρα 9 έως 17 του κατ’ εξουσιοδότηση κανονισμού (ΕΕ) 2016/101 για τη συνετή αποτ</w:t>
            </w:r>
            <w:r>
              <w:rPr>
                <w:rFonts w:ascii="Times New Roman" w:hAnsi="Times New Roman"/>
                <w:sz w:val="24"/>
              </w:rPr>
              <w:t>ί</w:t>
            </w:r>
            <w:r>
              <w:rPr>
                <w:rFonts w:ascii="Times New Roman" w:hAnsi="Times New Roman"/>
                <w:sz w:val="24"/>
              </w:rPr>
              <w:t xml:space="preserve">μηση.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Εφεδρική προσέγγιση: 100 % των μη πραγματοποιηθ</w:t>
            </w:r>
            <w:r>
              <w:rPr>
                <w:rFonts w:ascii="Times New Roman" w:hAnsi="Times New Roman"/>
                <w:b/>
                <w:caps/>
                <w:sz w:val="24"/>
                <w:u w:val="single"/>
              </w:rPr>
              <w:t>έ</w:t>
            </w:r>
            <w:r>
              <w:rPr>
                <w:rFonts w:ascii="Times New Roman" w:hAnsi="Times New Roman"/>
                <w:b/>
                <w:caps/>
                <w:sz w:val="24"/>
                <w:u w:val="single"/>
              </w:rPr>
              <w:t>ντων κερδών</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Άρθρο 7 παράγραφος 2 στοιχείο β) σημείο i) του κατ’ εξουσιοδότηση κανονισμού (ΕΕ) 2016/101 για τη συνετή αποτίμηση</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Εφεδρική προσέγγιση: 10 % της ονομαστικής αξίας</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Άρθρο 7 παράγραφος 2 στοιχείο β) σημείο ii) του κατ’ εξουσιοδότηση κανον</w:t>
            </w:r>
            <w:r>
              <w:rPr>
                <w:rFonts w:ascii="Times New Roman" w:hAnsi="Times New Roman"/>
                <w:sz w:val="24"/>
              </w:rPr>
              <w:t>ι</w:t>
            </w:r>
            <w:r>
              <w:rPr>
                <w:rFonts w:ascii="Times New Roman" w:hAnsi="Times New Roman"/>
                <w:sz w:val="24"/>
              </w:rPr>
              <w:t>σμού (ΕΕ) 2016/101 για τη συνετή αποτίμηση</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Εφεδρική προσέγγιση: 25 % της αρχικής αξίας</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Άρθρο 7 παράγραφος 2 στοιχείο β) σημείο iii) του κατ’ εξουσιοδότηση κανον</w:t>
            </w:r>
            <w:r>
              <w:rPr>
                <w:rFonts w:ascii="Times New Roman" w:hAnsi="Times New Roman"/>
                <w:sz w:val="24"/>
              </w:rPr>
              <w:t>ι</w:t>
            </w:r>
            <w:r>
              <w:rPr>
                <w:rFonts w:ascii="Times New Roman" w:hAnsi="Times New Roman"/>
                <w:sz w:val="24"/>
              </w:rPr>
              <w:t>σμού (ΕΕ) 2016/101 για τη συνετή αποτίμηση</w:t>
            </w:r>
          </w:p>
        </w:tc>
      </w:tr>
    </w:tbl>
    <w:p w:rsidR="00973707" w:rsidRDefault="00973707" w:rsidP="00C61FF5">
      <w:pPr>
        <w:rPr>
          <w:rStyle w:val="InstructionsTabelleText"/>
          <w:rFonts w:ascii="Times New Roman" w:hAnsi="Times New Roman"/>
          <w:sz w:val="24"/>
        </w:rPr>
      </w:pPr>
    </w:p>
    <w:p w:rsidR="00B93FA1" w:rsidRPr="00672D2A" w:rsidRDefault="00AF3D7A" w:rsidP="00B93FA1">
      <w:pPr>
        <w:pStyle w:val="Instructionsberschrift2"/>
        <w:numPr>
          <w:ilvl w:val="0"/>
          <w:numId w:val="0"/>
        </w:numPr>
        <w:ind w:left="357" w:hanging="357"/>
        <w:rPr>
          <w:rFonts w:ascii="Times New Roman" w:hAnsi="Times New Roman"/>
          <w:sz w:val="24"/>
          <w:u w:val="none"/>
        </w:rPr>
      </w:pPr>
      <w:bookmarkStart w:id="674" w:name="_Toc516210713"/>
      <w:r>
        <w:rPr>
          <w:rFonts w:ascii="Times New Roman" w:hAnsi="Times New Roman"/>
          <w:sz w:val="24"/>
          <w:u w:val="none"/>
        </w:rPr>
        <w:lastRenderedPageBreak/>
        <w:t xml:space="preserve">6.3. </w:t>
      </w:r>
      <w:r>
        <w:rPr>
          <w:rFonts w:ascii="Times New Roman" w:hAnsi="Times New Roman"/>
          <w:sz w:val="24"/>
        </w:rPr>
        <w:t>C 32.03 – Συνετή αποτίμηση: AVA Κινδύνου υποδείγματος (</w:t>
      </w:r>
      <w:proofErr w:type="spellStart"/>
      <w:r>
        <w:rPr>
          <w:rFonts w:ascii="Times New Roman" w:hAnsi="Times New Roman"/>
          <w:sz w:val="24"/>
        </w:rPr>
        <w:t>PruVal</w:t>
      </w:r>
      <w:proofErr w:type="spellEnd"/>
      <w:r>
        <w:rPr>
          <w:rFonts w:ascii="Times New Roman" w:hAnsi="Times New Roman"/>
          <w:sz w:val="24"/>
        </w:rPr>
        <w:t xml:space="preserve"> 3)</w:t>
      </w:r>
      <w:bookmarkEnd w:id="674"/>
    </w:p>
    <w:p w:rsidR="00B93FA1" w:rsidRPr="00AF3D7A" w:rsidRDefault="00B93FA1" w:rsidP="00B93FA1">
      <w:pPr>
        <w:pStyle w:val="Instructionsberschrift2"/>
        <w:numPr>
          <w:ilvl w:val="0"/>
          <w:numId w:val="0"/>
        </w:numPr>
        <w:ind w:left="357" w:hanging="357"/>
        <w:rPr>
          <w:rFonts w:ascii="Times New Roman" w:hAnsi="Times New Roman" w:cs="Times New Roman"/>
          <w:sz w:val="24"/>
          <w:u w:val="none"/>
        </w:rPr>
      </w:pPr>
      <w:bookmarkStart w:id="675" w:name="_Toc516210714"/>
      <w:r>
        <w:rPr>
          <w:rFonts w:ascii="Times New Roman" w:hAnsi="Times New Roman"/>
          <w:sz w:val="24"/>
          <w:u w:val="none"/>
        </w:rPr>
        <w:t>6.3.1.</w:t>
      </w:r>
      <w:r>
        <w:tab/>
      </w:r>
      <w:r>
        <w:rPr>
          <w:rFonts w:ascii="Times New Roman" w:hAnsi="Times New Roman"/>
          <w:sz w:val="24"/>
        </w:rPr>
        <w:t>Γενικές παρατηρήσεις</w:t>
      </w:r>
      <w:bookmarkEnd w:id="675"/>
      <w:r>
        <w:rPr>
          <w:rFonts w:ascii="Times New Roman" w:hAnsi="Times New Roman"/>
          <w:sz w:val="24"/>
          <w:u w:val="none"/>
        </w:rPr>
        <w:t xml:space="preserve"> </w:t>
      </w:r>
    </w:p>
    <w:p w:rsidR="00AF3D7A" w:rsidRPr="00DD41BE" w:rsidRDefault="00AF3D7A" w:rsidP="001A3980">
      <w:pPr>
        <w:pStyle w:val="InstructionsText2"/>
        <w:numPr>
          <w:ilvl w:val="0"/>
          <w:numId w:val="0"/>
        </w:numPr>
        <w:ind w:left="993"/>
      </w:pPr>
      <w:r>
        <w:t>154στ. Το παρόν υπόδειγμα πρέπει να συμπληρώνεται από όλα τα ιδρύματα που υπερβαίνουν το όριο που αναφέρεται στο άρθρο 4 παράγραφος 1 του κατ’ εξουσι</w:t>
      </w:r>
      <w:r>
        <w:t>ο</w:t>
      </w:r>
      <w:r>
        <w:t>δότηση κανονισμού (ΕΕ) 2016/101 για τη συνετή αποτίμηση στο επίπεδό τους. Τα ιδρύματα που αποτελούν μέρος ομίλου που παραβιάζει το όριο σε ενοποιημένη β</w:t>
      </w:r>
      <w:r>
        <w:t>ά</w:t>
      </w:r>
      <w:r>
        <w:t>ση απαιτείται να υποβάλλουν το παρόν υπόδειγμα μόνον εφόσον παραβιάζουν επ</w:t>
      </w:r>
      <w:r>
        <w:t>ί</w:t>
      </w:r>
      <w:r>
        <w:t>σης το όριο και στο επίπεδό τους.</w:t>
      </w:r>
    </w:p>
    <w:p w:rsidR="00AF3D7A" w:rsidRPr="00DD41BE" w:rsidRDefault="00AF3D7A" w:rsidP="001A3980">
      <w:pPr>
        <w:pStyle w:val="InstructionsText2"/>
        <w:numPr>
          <w:ilvl w:val="0"/>
          <w:numId w:val="0"/>
        </w:numPr>
        <w:ind w:left="993"/>
      </w:pPr>
      <w:r>
        <w:t>154ζ. Το παρόν υπόδειγμα χρησιμοποιείται για την αναφορά λεπτομερειών σχετικά με τις 20 μεγαλύτερες ατομικές AVA κινδύνου υποδείγματος, από την άποψη του ποσού AVA, που συμβάλλουν στη συνολική AVA επιπέδου κατηγορίας κινδύνου υποδείγματος, που υπολογίζεται σύμφωνα με το άρθρο 11 του κατ’ εξουσιοδότηση κανονισμού (ΕΕ) 2016/101 για τη συνετή αποτίμηση. Οι πληροφορίες αυτές αντ</w:t>
      </w:r>
      <w:r>
        <w:t>ι</w:t>
      </w:r>
      <w:r>
        <w:t>στοιχούν στις πληροφορίες που αναφέρονται στη στήλη 0050 του υποδείγματος C 32.02.</w:t>
      </w:r>
    </w:p>
    <w:p w:rsidR="00AF3D7A" w:rsidRPr="00DD41BE" w:rsidRDefault="00AF3D7A" w:rsidP="001A3980">
      <w:pPr>
        <w:pStyle w:val="InstructionsText2"/>
        <w:numPr>
          <w:ilvl w:val="0"/>
          <w:numId w:val="0"/>
        </w:numPr>
        <w:ind w:left="993"/>
      </w:pPr>
      <w:r>
        <w:t xml:space="preserve">154η. Αναφέρονται οι 20 μεγαλύτερες ατομικές AVA κινδύνου υποδείγματος, και αντίστοιχες πληροφορίες για τα προϊόντα, με φθίνουσα σειρά, αρχής γενομένης από τη μεγαλύτερη ατομική AVA κινδύνου υποδείγματος. </w:t>
      </w:r>
    </w:p>
    <w:p w:rsidR="00AF3D7A" w:rsidRDefault="00AF3D7A" w:rsidP="001A3980">
      <w:pPr>
        <w:pStyle w:val="InstructionsText2"/>
        <w:numPr>
          <w:ilvl w:val="0"/>
          <w:numId w:val="0"/>
        </w:numPr>
        <w:ind w:left="993"/>
      </w:pPr>
      <w:r>
        <w:t xml:space="preserve">154θ. Αναφέρονται τα προϊόντα που αντιστοιχούν σε αυτές τις 20 μεγαλύτερες </w:t>
      </w:r>
      <w:r>
        <w:t>α</w:t>
      </w:r>
      <w:r>
        <w:t>τομικές AVA κινδύνου υποδείγματος, με χρήση της απογραφής των προϊόντων, που απαιτείται βάσει του άρθρου 19 παράγραφος 3 στοιχείο α) του κατ’ εξουσιοδ</w:t>
      </w:r>
      <w:r>
        <w:t>ό</w:t>
      </w:r>
      <w:r>
        <w:t xml:space="preserve">τηση κανονισμού (ΕΕ) 2016/101 για τη συνετή αποτίμηση. </w:t>
      </w:r>
    </w:p>
    <w:p w:rsidR="00AF3D7A" w:rsidRPr="004502C8" w:rsidRDefault="00113E45" w:rsidP="001A3980">
      <w:pPr>
        <w:pStyle w:val="InstructionsText2"/>
        <w:numPr>
          <w:ilvl w:val="0"/>
          <w:numId w:val="0"/>
        </w:numPr>
        <w:ind w:left="993"/>
      </w:pPr>
      <w:r>
        <w:t>154ι. Σε περίπτωση που τα προϊόντα είναι επαρκώς ομοιογενή όσον αφορά το υπ</w:t>
      </w:r>
      <w:r>
        <w:t>ό</w:t>
      </w:r>
      <w:r>
        <w:t>δειγμα αποτίμησης και την AVA κινδύνου υποδείγματος, συγχωνεύονται και π</w:t>
      </w:r>
      <w:r>
        <w:t>α</w:t>
      </w:r>
      <w:r>
        <w:t>ρουσιάζονται σε μία γραμμή, με σκοπό να μεγιστοποιηθεί η κάλυψη του παρόντος υποδείγματος σε σχέση με τη συνολική AVA επιπέδου κατηγορίας κινδύνου υπ</w:t>
      </w:r>
      <w:r>
        <w:t>ο</w:t>
      </w:r>
      <w:r>
        <w:t xml:space="preserve">δείγματος του ιδρύματος. </w:t>
      </w:r>
    </w:p>
    <w:p w:rsidR="00B93FA1" w:rsidRDefault="00B93FA1" w:rsidP="00B93FA1">
      <w:pPr>
        <w:pStyle w:val="Instructionsberschrift2"/>
        <w:numPr>
          <w:ilvl w:val="0"/>
          <w:numId w:val="0"/>
        </w:numPr>
        <w:ind w:left="357" w:hanging="357"/>
        <w:rPr>
          <w:rFonts w:ascii="Times New Roman" w:hAnsi="Times New Roman" w:cs="Times New Roman"/>
          <w:sz w:val="24"/>
        </w:rPr>
      </w:pPr>
      <w:bookmarkStart w:id="676" w:name="_Toc516210715"/>
      <w:r>
        <w:rPr>
          <w:rFonts w:ascii="Times New Roman" w:hAnsi="Times New Roman"/>
          <w:sz w:val="24"/>
          <w:u w:val="none"/>
        </w:rPr>
        <w:t>6.3.2.</w:t>
      </w:r>
      <w:r>
        <w:tab/>
      </w:r>
      <w:r>
        <w:rPr>
          <w:rFonts w:ascii="Times New Roman" w:hAnsi="Times New Roman"/>
          <w:sz w:val="24"/>
        </w:rPr>
        <w:t>Οδηγίες για συγκεκριμένες θέσεις</w:t>
      </w:r>
      <w:bookmarkEnd w:id="67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rsidTr="00672D2A">
        <w:tc>
          <w:tcPr>
            <w:tcW w:w="9322"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Στήλες</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ΒΑΘΜΟΣ</w:t>
            </w:r>
          </w:p>
          <w:p w:rsidR="00113E45" w:rsidRPr="005A2182" w:rsidRDefault="00113E45" w:rsidP="00113E45">
            <w:pPr>
              <w:spacing w:beforeLines="60" w:before="144" w:afterLines="60" w:after="144"/>
              <w:rPr>
                <w:rFonts w:ascii="Times New Roman" w:hAnsi="Times New Roman"/>
                <w:b/>
                <w:sz w:val="24"/>
                <w:u w:val="single"/>
              </w:rPr>
            </w:pPr>
            <w:r>
              <w:rPr>
                <w:rFonts w:ascii="Times New Roman" w:hAnsi="Times New Roman"/>
                <w:sz w:val="24"/>
              </w:rPr>
              <w:t>Ο βαθμός είναι αναγνωριστικός κωδικός γραμμής, και είναι μοναδικός για κάθε γραμμή στον πίνακα. Τηρεί τη σειρά αρίθμησης 1,2,3, κ.λπ., όπου το 1 αποδίδεται στην υψηλότερη ατομική AVA κινδύνου υποδείγματος, το 2 στη δεύτερη υψηλ</w:t>
            </w:r>
            <w:r>
              <w:rPr>
                <w:rFonts w:ascii="Times New Roman" w:hAnsi="Times New Roman"/>
                <w:sz w:val="24"/>
              </w:rPr>
              <w:t>ό</w:t>
            </w:r>
            <w:r>
              <w:rPr>
                <w:rFonts w:ascii="Times New Roman" w:hAnsi="Times New Roman"/>
                <w:sz w:val="24"/>
              </w:rPr>
              <w:t>τερη και ούτω καθεξής.</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ΥΠΟΔΕΙΓΜΑ</w:t>
            </w:r>
          </w:p>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sz w:val="24"/>
              </w:rPr>
              <w:t>Εσωτερική ονομασία (αλφαριθμητική) του υποδείγματος που χρησιμοποιείται από το ίδρυμα για την ταυτοποίηση του υποδείγματος.</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ΚΑΤΗΓΟΡΙΑ ΚΙΝΔΥΝΟΥ</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Η κατηγορία κινδύνου (επιτόκια, συνάλλαγμα, πίστωση, μετοχές, βασικά εμπ</w:t>
            </w:r>
            <w:r>
              <w:rPr>
                <w:rFonts w:ascii="Times New Roman" w:hAnsi="Times New Roman"/>
                <w:sz w:val="24"/>
              </w:rPr>
              <w:t>ο</w:t>
            </w:r>
            <w:r>
              <w:rPr>
                <w:rFonts w:ascii="Times New Roman" w:hAnsi="Times New Roman"/>
                <w:sz w:val="24"/>
              </w:rPr>
              <w:t>ρεύματα) που χαρακτηρίζει κατά τον καλύτερο τρόπο το προϊόν ή την ομάδα πρ</w:t>
            </w:r>
            <w:r>
              <w:rPr>
                <w:rFonts w:ascii="Times New Roman" w:hAnsi="Times New Roman"/>
                <w:sz w:val="24"/>
              </w:rPr>
              <w:t>ο</w:t>
            </w:r>
            <w:r>
              <w:rPr>
                <w:rFonts w:ascii="Times New Roman" w:hAnsi="Times New Roman"/>
                <w:sz w:val="24"/>
              </w:rPr>
              <w:t>ϊόντων που προκάλεσε την προσαρμογή αποτίμησης κινδύνου υποδείγματος.</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Τα ιδρύματα αναφέρουν τους ακόλουθους κωδικούς:</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επιτόκια</w:t>
            </w:r>
          </w:p>
          <w:p w:rsidR="00A74B40" w:rsidRPr="00DD41BE" w:rsidRDefault="00A74B40" w:rsidP="00E60B53">
            <w:pPr>
              <w:spacing w:beforeLines="60" w:before="144" w:afterLines="60" w:after="144"/>
              <w:rPr>
                <w:rFonts w:ascii="Times New Roman" w:hAnsi="Times New Roman"/>
                <w:sz w:val="24"/>
              </w:rPr>
            </w:pPr>
            <w:r>
              <w:rPr>
                <w:rFonts w:ascii="Times New Roman" w:hAnsi="Times New Roman"/>
                <w:sz w:val="24"/>
              </w:rPr>
              <w:t>FX – συνάλλαγμα</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πίστωση</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μετοχές</w:t>
            </w:r>
          </w:p>
          <w:p w:rsidR="00113E45" w:rsidRPr="00DD41BE" w:rsidRDefault="00113E45" w:rsidP="00A74B40">
            <w:pPr>
              <w:spacing w:beforeLines="60" w:before="144" w:afterLines="60" w:after="144"/>
              <w:rPr>
                <w:rFonts w:ascii="Times New Roman" w:hAnsi="Times New Roman"/>
                <w:sz w:val="24"/>
              </w:rPr>
            </w:pPr>
            <w:r>
              <w:rPr>
                <w:rFonts w:ascii="Times New Roman" w:hAnsi="Times New Roman"/>
                <w:sz w:val="24"/>
              </w:rPr>
              <w:t>CO – βασικά εμπορεύματα</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ΠΡΟΪΟΝ</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Εσωτερική ονομασία (αλφαριθμητική) του προϊόντος ή της ομάδας προϊόντων, σύμφωνα με την απογραφή των προϊόντων, που απαιτείται βάσει του άρθρου 19 παράγραφος 3 στοιχείο α) του κατ’ εξουσιοδότηση κανονισμού (ΕΕ) 2016/101 για τη συνετή αποτίμηση, που αποτιμάται με τη χρήση του υποδείγματος.</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ΠΑΡΑΤΗΡΗΣΙΜΟΤΗΤΑ</w:t>
            </w:r>
          </w:p>
          <w:p w:rsidR="00113E45" w:rsidRPr="00DD41BE" w:rsidRDefault="00113E45" w:rsidP="00E60B53">
            <w:pPr>
              <w:pStyle w:val="CommentText"/>
              <w:rPr>
                <w:rFonts w:ascii="Times New Roman" w:hAnsi="Times New Roman"/>
                <w:sz w:val="24"/>
                <w:szCs w:val="24"/>
              </w:rPr>
            </w:pPr>
            <w:r>
              <w:rPr>
                <w:rFonts w:ascii="Times New Roman" w:hAnsi="Times New Roman"/>
                <w:sz w:val="24"/>
              </w:rPr>
              <w:t>Αριθμός παρατηρήσεων τιμών για το προϊόν ή την ομάδα προϊόντων κατά το τ</w:t>
            </w:r>
            <w:r>
              <w:rPr>
                <w:rFonts w:ascii="Times New Roman" w:hAnsi="Times New Roman"/>
                <w:sz w:val="24"/>
              </w:rPr>
              <w:t>ε</w:t>
            </w:r>
            <w:r>
              <w:rPr>
                <w:rFonts w:ascii="Times New Roman" w:hAnsi="Times New Roman"/>
                <w:sz w:val="24"/>
              </w:rPr>
              <w:t xml:space="preserve">λευταίο δωδεκάμηνο, που πληρούν οποιοδήποτε από τα ακόλουθα κριτήρια: </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Η παρατήρηση τιμής είναι τιμή στην οποία το ίδρυμα έχει διενεργήσει συνα</w:t>
            </w:r>
            <w:r>
              <w:rPr>
                <w:rFonts w:ascii="Times New Roman" w:hAnsi="Times New Roman"/>
                <w:sz w:val="24"/>
              </w:rPr>
              <w:t>λ</w:t>
            </w:r>
            <w:r>
              <w:rPr>
                <w:rFonts w:ascii="Times New Roman" w:hAnsi="Times New Roman"/>
                <w:sz w:val="24"/>
              </w:rPr>
              <w:t>λαγή</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Είναι τιμή επαληθεύσιμη για διενεργηθείσα συναλλαγή μεταξύ τρίτων μερών</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 xml:space="preserve">Η τιμή λαμβάνεται από δεσμευτική προσφορά τιμής. </w:t>
            </w:r>
          </w:p>
          <w:p w:rsidR="00113E45" w:rsidRPr="00DD41B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Τα ιδρύματα αναφέρουν μία από τις ακόλουθες τιμές: «ουδεμία», «1-6», «6-24», «24-100», «100+».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ΚΙΝΔΥΝΟΥ ΥΠΟΔΕΙΓΜΑΤΟΣ</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11 παράγραφος 1 του κατ’ εξουσιοδότηση κανονισμού (ΕΕ) 2016/101 για τη συνετή αποτίμηση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Ατομική AVA κινδύνου υποδείγματος, πριν από το όφελος διαφοροποίησης, αλλά μετά τον συμψηφισμό χαρτοφυλακίου, κατά περίπτωση.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ΜΕ ΧΡΗΣΗ ΠΡΟΣΕΓΓΙΣΗΣ ΜΕ ΒΑΣΗ ΕΜΠΕΙΡ</w:t>
            </w:r>
            <w:r>
              <w:rPr>
                <w:rStyle w:val="InstructionsTabelleberschrift"/>
                <w:rFonts w:ascii="Times New Roman" w:hAnsi="Times New Roman"/>
                <w:sz w:val="24"/>
              </w:rPr>
              <w:t>Ο</w:t>
            </w:r>
            <w:r>
              <w:rPr>
                <w:rStyle w:val="InstructionsTabelleberschrift"/>
                <w:rFonts w:ascii="Times New Roman" w:hAnsi="Times New Roman"/>
                <w:sz w:val="24"/>
              </w:rPr>
              <w:t>ΓΝΩΜΟΝΕΣ</w:t>
            </w:r>
          </w:p>
          <w:p w:rsidR="00113E45" w:rsidRPr="00DD41BE" w:rsidRDefault="00113E45" w:rsidP="00E60B53">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Τα ποσά της στήλης 0050 που έχουν υπολογιστεί στο πλαίσιο της προσέγγισης με βάση εμπειρογνώμονες, όπως ορίζεται στο άρθρο 11 παράγραφος 4 του κατ’ </w:t>
            </w:r>
            <w:r>
              <w:rPr>
                <w:rFonts w:ascii="Times New Roman" w:hAnsi="Times New Roman"/>
                <w:sz w:val="24"/>
              </w:rPr>
              <w:t>ε</w:t>
            </w:r>
            <w:r>
              <w:rPr>
                <w:rFonts w:ascii="Times New Roman" w:hAnsi="Times New Roman"/>
                <w:sz w:val="24"/>
              </w:rPr>
              <w:t>ξουσιοδότηση κανονισμού (ΕΕ) 2016/101 για τη συνετή αποτίμηση.</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ΑΘΡΟΙΣΜΕΝΑ ΜΕ ΧΡΗΣΗ ΤΗΣ ΜΕΘΟΔΟΥ 2</w:t>
            </w:r>
          </w:p>
          <w:p w:rsidR="00113E45" w:rsidRPr="00DD41BE" w:rsidRDefault="00113E45" w:rsidP="008136B4">
            <w:pPr>
              <w:spacing w:beforeLines="60" w:before="144" w:afterLines="60" w:after="144"/>
              <w:rPr>
                <w:rStyle w:val="InstructionsTabelleberschrift"/>
                <w:rFonts w:ascii="Times New Roman" w:hAnsi="Times New Roman"/>
                <w:sz w:val="24"/>
              </w:rPr>
            </w:pPr>
            <w:r>
              <w:rPr>
                <w:rFonts w:ascii="Times New Roman" w:hAnsi="Times New Roman"/>
                <w:sz w:val="24"/>
              </w:rPr>
              <w:t>Τα ποσά της στήλης 0050 που έχουν αθροιστεί βάσει της μεθόδου 2 του παραρτ</w:t>
            </w:r>
            <w:r>
              <w:rPr>
                <w:rFonts w:ascii="Times New Roman" w:hAnsi="Times New Roman"/>
                <w:sz w:val="24"/>
              </w:rPr>
              <w:t>ή</w:t>
            </w:r>
            <w:r>
              <w:rPr>
                <w:rFonts w:ascii="Times New Roman" w:hAnsi="Times New Roman"/>
                <w:sz w:val="24"/>
              </w:rPr>
              <w:t>ματος του κατ’ εξουσιοδότηση κανονισμού (ΕΕ) 2016/101 για τη συνετή αποτ</w:t>
            </w:r>
            <w:r>
              <w:rPr>
                <w:rFonts w:ascii="Times New Roman" w:hAnsi="Times New Roman"/>
                <w:sz w:val="24"/>
              </w:rPr>
              <w:t>ί</w:t>
            </w:r>
            <w:r>
              <w:rPr>
                <w:rFonts w:ascii="Times New Roman" w:hAnsi="Times New Roman"/>
                <w:sz w:val="24"/>
              </w:rPr>
              <w:lastRenderedPageBreak/>
              <w:t xml:space="preserve">μηση. Αντιστοιχεί στις FV – PV στην ορολογία του παραρτήματος.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0080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ΑΘΡΟΙΣΜΕΝΗ AVA ΥΠΟΛΟΓΙΣΜΕΝΗ ΒΑΣΕΙ ΤΗΣ ΜΕΘΟΔΟΥ 2</w:t>
            </w:r>
          </w:p>
          <w:p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συμβολή στη συνολική AVA επιπέδου κατηγορίας για κίνδυνο υποδείγματος, όπως υπολογίζεται σύμφωνα με το άρθρο 11 παράγραφος 7 του κατ’ εξουσιοδ</w:t>
            </w:r>
            <w:r>
              <w:rPr>
                <w:rStyle w:val="InstructionsTabelleberschrift"/>
                <w:rFonts w:ascii="Times New Roman" w:hAnsi="Times New Roman"/>
                <w:b w:val="0"/>
                <w:sz w:val="24"/>
                <w:u w:val="none"/>
              </w:rPr>
              <w:t>ό</w:t>
            </w:r>
            <w:r>
              <w:rPr>
                <w:rStyle w:val="InstructionsTabelleberschrift"/>
                <w:rFonts w:ascii="Times New Roman" w:hAnsi="Times New Roman"/>
                <w:b w:val="0"/>
                <w:sz w:val="24"/>
                <w:u w:val="none"/>
              </w:rPr>
              <w:t>τηση κανονισμού (ΕΕ) 2016/101 για τη συνετή αποτίμηση , των ατομικών AVA κινδύνου υποδείγματος που αθροίζονται με τη χρήση της μεθόδου 2 του παραρτ</w:t>
            </w:r>
            <w:r>
              <w:rPr>
                <w:rStyle w:val="InstructionsTabelleberschrift"/>
                <w:rFonts w:ascii="Times New Roman" w:hAnsi="Times New Roman"/>
                <w:b w:val="0"/>
                <w:sz w:val="24"/>
                <w:u w:val="none"/>
              </w:rPr>
              <w:t>ή</w:t>
            </w:r>
            <w:r>
              <w:rPr>
                <w:rStyle w:val="InstructionsTabelleberschrift"/>
                <w:rFonts w:ascii="Times New Roman" w:hAnsi="Times New Roman"/>
                <w:b w:val="0"/>
                <w:sz w:val="24"/>
                <w:u w:val="none"/>
              </w:rPr>
              <w:t xml:space="preserve">ματος του </w:t>
            </w:r>
            <w:r>
              <w:rPr>
                <w:rFonts w:ascii="Times New Roman" w:hAnsi="Times New Roman"/>
                <w:sz w:val="24"/>
              </w:rPr>
              <w:t xml:space="preserve"> </w:t>
            </w:r>
            <w:proofErr w:type="spellStart"/>
            <w:r>
              <w:rPr>
                <w:rFonts w:ascii="Times New Roman" w:hAnsi="Times New Roman"/>
                <w:sz w:val="24"/>
              </w:rPr>
              <w:t>του</w:t>
            </w:r>
            <w:proofErr w:type="spellEnd"/>
            <w:r>
              <w:rPr>
                <w:rFonts w:ascii="Times New Roman" w:hAnsi="Times New Roman"/>
                <w:sz w:val="24"/>
              </w:rPr>
              <w:t xml:space="preserve"> κατ’ εξουσιοδότηση κανονισμού (ΕΕ) 2016/101 για τη συνετή </w:t>
            </w:r>
            <w:r>
              <w:rPr>
                <w:rFonts w:ascii="Times New Roman" w:hAnsi="Times New Roman"/>
                <w:sz w:val="24"/>
              </w:rPr>
              <w:t>α</w:t>
            </w:r>
            <w:r>
              <w:rPr>
                <w:rFonts w:ascii="Times New Roman" w:hAnsi="Times New Roman"/>
                <w:sz w:val="24"/>
              </w:rPr>
              <w:t>ποτίμηση</w:t>
            </w:r>
            <w:r>
              <w:rPr>
                <w:rStyle w:val="InstructionsTabelleberschrift"/>
                <w:rFonts w:ascii="Times New Roman" w:hAnsi="Times New Roman"/>
                <w:b w:val="0"/>
                <w:sz w:val="24"/>
                <w:u w:val="none"/>
              </w:rPr>
              <w:t xml:space="preserve">. </w:t>
            </w:r>
            <w:r>
              <w:rPr>
                <w:rFonts w:ascii="Times New Roman" w:hAnsi="Times New Roman"/>
                <w:sz w:val="24"/>
              </w:rPr>
              <w:t>Αντιστοιχεί στην APVA στην ορολογία του παραρτήματος.</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ΕΝΕΡΓΗΤΙΚΟΥ ΚΑΙ ΠΑΘΗΤΙΚΟΥ ΕΥΛΟΓΗΣ ΑΞΙΑΣ</w:t>
            </w:r>
          </w:p>
          <w:p w:rsidR="00113E45" w:rsidRPr="00DD41B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Η απόλυτη αξία των στοιχείων ενεργητικού και παθητικού εύλογης αξίας που </w:t>
            </w:r>
            <w:r>
              <w:rPr>
                <w:rFonts w:ascii="Times New Roman" w:hAnsi="Times New Roman"/>
                <w:sz w:val="24"/>
              </w:rPr>
              <w:t>α</w:t>
            </w:r>
            <w:r>
              <w:rPr>
                <w:rFonts w:ascii="Times New Roman" w:hAnsi="Times New Roman"/>
                <w:sz w:val="24"/>
              </w:rPr>
              <w:t>ποτιμώνται με τη χρήση του υποδείγματος που αναφέρεται στη στήλη 0010, όπως αναφέρεται στις οικονομικές καταστάσεις του ιδρύματος σύμφωνα με το εφαρμ</w:t>
            </w:r>
            <w:r>
              <w:rPr>
                <w:rFonts w:ascii="Times New Roman" w:hAnsi="Times New Roman"/>
                <w:sz w:val="24"/>
              </w:rPr>
              <w:t>ο</w:t>
            </w:r>
            <w:r>
              <w:rPr>
                <w:rFonts w:ascii="Times New Roman" w:hAnsi="Times New Roman"/>
                <w:sz w:val="24"/>
              </w:rPr>
              <w:t xml:space="preserve">στέο λογιστικό πλαίσιο.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ΕΝΕΡΓΗΤΙΚΟΥ ΕΥΛΟΓΗΣ ΑΞΙΑΣ</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Η απόλυτη αξία των στοιχείων ενεργητικού εύλογης αξίας που αποτιμώνται με τη χρήση του υποδείγματος που αναφέρεται στη στήλη 0010, όπως αναφέρεται στις οικονομικές καταστάσεις του ιδρύματος σύμφωνα με το εφαρμοστέο λογιστικό πλαίσιο.</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ΠΑΘΗΤΙΚΟΥ ΕΥΛΟΓΗΣ ΑΞΙΑΣ</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Η απόλυτη αξία των στοιχείων παθητικού εύλογης αξίας που αποτιμώνται με τη χρήση του υποδείγματος που αναφέρεται στη στήλη 0010, όπως αναφέρεται στις οικονομικές καταστάσεις του ιδρύματος σύμφωνα με το εφαρμοστέο λογιστικό πλαίσιο.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ΔΙΑΦΟΡΑ IPV (ΔΟΚΙΜΗ ΠΑΡΑΓΟΜΕΝΩΝ ΔΕΔΟΜΕΝΩΝ)</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άθροισμα των μη προσαρμοσμένων ποσών διαφοράς («διαφορά ανεξάρτητης επαλήθευσης των τιμών» – «διαφορά IPV»), που υπολογίζονται, κατά το τέλος του μήνα πλησιέστερα προς την ημερομηνία υποβολής αναφοράς, βάσει της δι</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δικασίας ανεξάρτητης επαλήθευσης των τιμών, που διενεργείται σύμφωνα με το άρθρο 105 παράγραφος 8 του ΚΚΑ, σε σχέση με τα βέλτιστα διαθέσιμα ανεξά</w:t>
            </w:r>
            <w:r>
              <w:rPr>
                <w:rStyle w:val="InstructionsTabelleberschrift"/>
                <w:rFonts w:ascii="Times New Roman" w:hAnsi="Times New Roman"/>
                <w:b w:val="0"/>
                <w:sz w:val="24"/>
                <w:u w:val="none"/>
              </w:rPr>
              <w:t>ρ</w:t>
            </w:r>
            <w:r>
              <w:rPr>
                <w:rStyle w:val="InstructionsTabelleberschrift"/>
                <w:rFonts w:ascii="Times New Roman" w:hAnsi="Times New Roman"/>
                <w:b w:val="0"/>
                <w:sz w:val="24"/>
                <w:u w:val="none"/>
              </w:rPr>
              <w:t xml:space="preserve">τητα στοιχεία για το αντίστοιχο προϊόν ή την αντίστοιχη ομάδα προϊόντων.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μη προσαρμοσμένα ποσά διαφοράς αναφέρονται στις μη προσαρμοσμένες δ</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αφορές μεταξύ των αποτιμήσεων που έχουν δημιουργηθεί από το σύστημα δι</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πραγμάτευσης και των αποτιμήσεων που αξιολογούνται κατά τη μηνιαία διαδικ</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σία IPV.</w:t>
            </w:r>
          </w:p>
          <w:p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Στον υπολογισμό της διαφοράς IPV δεν περιλαμβάνονται προσαρμοσμένα ποσά διαφοράς στα βιβλία και στοιχεία του ιδρύματος για τη σχετική ημερομηνία τ</w:t>
            </w:r>
            <w:r>
              <w:rPr>
                <w:rStyle w:val="InstructionsTabelleberschrift"/>
                <w:rFonts w:ascii="Times New Roman" w:hAnsi="Times New Roman"/>
                <w:b w:val="0"/>
                <w:sz w:val="24"/>
                <w:u w:val="none"/>
              </w:rPr>
              <w:t>έ</w:t>
            </w:r>
            <w:r>
              <w:rPr>
                <w:rStyle w:val="InstructionsTabelleberschrift"/>
                <w:rFonts w:ascii="Times New Roman" w:hAnsi="Times New Roman"/>
                <w:b w:val="0"/>
                <w:sz w:val="24"/>
                <w:u w:val="none"/>
              </w:rPr>
              <w:t>λους του μήνα.</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Στο συγκεκριμένο σημείο περιλαμβάνονται μόνον αποτελέσματα που έχουν βα</w:t>
            </w:r>
            <w:r>
              <w:rPr>
                <w:rStyle w:val="InstructionsTabelleberschrift"/>
                <w:rFonts w:ascii="Times New Roman" w:hAnsi="Times New Roman"/>
                <w:b w:val="0"/>
                <w:sz w:val="24"/>
                <w:u w:val="none"/>
              </w:rPr>
              <w:t>θ</w:t>
            </w:r>
            <w:r>
              <w:rPr>
                <w:rStyle w:val="InstructionsTabelleberschrift"/>
                <w:rFonts w:ascii="Times New Roman" w:hAnsi="Times New Roman"/>
                <w:b w:val="0"/>
                <w:sz w:val="24"/>
                <w:u w:val="none"/>
              </w:rPr>
              <w:t>μονομηθεί από τιμές μέσων που θα αντιστοιχιστούν με το ίδιο προϊόν (δοκιμή π</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ραγόμενων δεδομένων). Δεν περιλαμβάνονται αποτελέσματα δοκιμών εισαγόμ</w:t>
            </w:r>
            <w:r>
              <w:rPr>
                <w:rStyle w:val="InstructionsTabelleberschrift"/>
                <w:rFonts w:ascii="Times New Roman" w:hAnsi="Times New Roman"/>
                <w:b w:val="0"/>
                <w:sz w:val="24"/>
                <w:u w:val="none"/>
              </w:rPr>
              <w:t>ε</w:t>
            </w:r>
            <w:r>
              <w:rPr>
                <w:rStyle w:val="InstructionsTabelleberschrift"/>
                <w:rFonts w:ascii="Times New Roman" w:hAnsi="Times New Roman"/>
                <w:b w:val="0"/>
                <w:sz w:val="24"/>
                <w:u w:val="none"/>
              </w:rPr>
              <w:lastRenderedPageBreak/>
              <w:t>νων δεδομένων από εισαγόμενα δεδομένα της αγοράς, που υποβάλλονται σε δοκ</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 xml:space="preserve">μή σε σχέση με επίπεδα που έχουν βαθμονομηθεί από διαφορετικά προϊόντα.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rsidR="00113E45" w:rsidRPr="00DD41B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ΚΑΛΥΨΗ IPV (ΔΟΚΙΜΗ ΠΑΡΑΓΟΜΕΝΩΝ ΔΕΔΟΜΕΝΩΝ)</w:t>
            </w:r>
          </w:p>
          <w:p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ποσοστό των θέσεων αυτών που αντιστοιχίστηκαν με το υπόδειγμα, σταθμ</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σμένων με τις AVA κινδύνου υποδείγματος, που καλύπτεται από τα αποτελέσμ</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 xml:space="preserve">τα της δοκιμής παραγόμενων αποτελεσμάτων IPV, που παρέχονται στη στήλη 0110.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ΠΡΟΣΑΡΜΟΓΕΣ ΕΥΛΟΓΗΣ ΑΞΙΑΣ</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Προσαρμογές εύλογης αξίας, όπως ορίζονται στις στήλες 0190 και 0240 του υπ</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δείγματος C 32.02, που έχουν εφαρμοστεί στις θέσεις που αντιστοιχίστηκαν με το υπόδειγμα της στήλης</w:t>
            </w:r>
            <w:r>
              <w:rPr>
                <w:rFonts w:ascii="Times New Roman" w:hAnsi="Times New Roman"/>
                <w:sz w:val="24"/>
              </w:rPr>
              <w:t xml:space="preserve"> 0010</w:t>
            </w:r>
            <w:r>
              <w:rPr>
                <w:rStyle w:val="InstructionsTabelleberschrift"/>
                <w:rFonts w:ascii="Times New Roman" w:hAnsi="Times New Roman"/>
                <w:b w:val="0"/>
                <w:sz w:val="24"/>
                <w:u w:val="none"/>
              </w:rPr>
              <w:t>.</w:t>
            </w:r>
          </w:p>
        </w:tc>
      </w:tr>
      <w:tr w:rsidR="00113E45" w:rsidRPr="00310F96"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ΚΕΡΔΗ ΚΑΙ ΖΗΜΙΕΣ ΗΜΕΡΑΣ 1</w:t>
            </w:r>
          </w:p>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Προσαρμογές, όπως ορίζονται στη στήλη 0260 του υποδείγματος C 32.02, που </w:t>
            </w:r>
            <w:r>
              <w:rPr>
                <w:rStyle w:val="InstructionsTabelleberschrift"/>
                <w:rFonts w:ascii="Times New Roman" w:hAnsi="Times New Roman"/>
                <w:b w:val="0"/>
                <w:sz w:val="24"/>
                <w:u w:val="none"/>
              </w:rPr>
              <w:t>έ</w:t>
            </w:r>
            <w:r>
              <w:rPr>
                <w:rStyle w:val="InstructionsTabelleberschrift"/>
                <w:rFonts w:ascii="Times New Roman" w:hAnsi="Times New Roman"/>
                <w:b w:val="0"/>
                <w:sz w:val="24"/>
                <w:u w:val="none"/>
              </w:rPr>
              <w:t>χουν εφαρμοστεί στις θέσεις που αντιστοιχίστηκαν με το υπόδειγμα της στήλης</w:t>
            </w:r>
            <w:r>
              <w:rPr>
                <w:rFonts w:ascii="Times New Roman" w:hAnsi="Times New Roman"/>
                <w:sz w:val="24"/>
              </w:rPr>
              <w:t xml:space="preserve"> 0010</w:t>
            </w:r>
            <w:r>
              <w:rPr>
                <w:rStyle w:val="InstructionsTabelleberschrift"/>
                <w:rFonts w:ascii="Times New Roman" w:hAnsi="Times New Roman"/>
                <w:b w:val="0"/>
                <w:sz w:val="24"/>
                <w:u w:val="none"/>
              </w:rPr>
              <w:t>.</w:t>
            </w:r>
          </w:p>
        </w:tc>
      </w:tr>
    </w:tbl>
    <w:p w:rsidR="00995A7F" w:rsidRDefault="00995A7F" w:rsidP="00C61FF5">
      <w:pPr>
        <w:rPr>
          <w:rStyle w:val="InstructionsTabelleText"/>
          <w:rFonts w:ascii="Times New Roman" w:hAnsi="Times New Roman"/>
          <w:sz w:val="24"/>
        </w:rPr>
      </w:pPr>
    </w:p>
    <w:p w:rsidR="00B93FA1" w:rsidRPr="000C5EA7" w:rsidRDefault="00113E45" w:rsidP="00B93FA1">
      <w:pPr>
        <w:pStyle w:val="Instructionsberschrift2"/>
        <w:numPr>
          <w:ilvl w:val="0"/>
          <w:numId w:val="0"/>
        </w:numPr>
        <w:ind w:left="357" w:hanging="357"/>
        <w:rPr>
          <w:rFonts w:ascii="Times New Roman" w:hAnsi="Times New Roman"/>
          <w:sz w:val="24"/>
          <w:u w:val="none"/>
        </w:rPr>
      </w:pPr>
      <w:bookmarkStart w:id="677" w:name="_Toc516210716"/>
      <w:r>
        <w:rPr>
          <w:rFonts w:ascii="Times New Roman" w:hAnsi="Times New Roman"/>
          <w:sz w:val="24"/>
          <w:u w:val="none"/>
        </w:rPr>
        <w:t xml:space="preserve">6.4 </w:t>
      </w:r>
      <w:r>
        <w:rPr>
          <w:rFonts w:ascii="Times New Roman" w:hAnsi="Times New Roman"/>
          <w:sz w:val="24"/>
        </w:rPr>
        <w:t>C 32.04 – Συνετή αποτίμηση: AVA Συγκεντρωμένων θέσεων (</w:t>
      </w:r>
      <w:proofErr w:type="spellStart"/>
      <w:r>
        <w:rPr>
          <w:rFonts w:ascii="Times New Roman" w:hAnsi="Times New Roman"/>
          <w:sz w:val="24"/>
        </w:rPr>
        <w:t>PruVal</w:t>
      </w:r>
      <w:proofErr w:type="spellEnd"/>
      <w:r>
        <w:rPr>
          <w:rFonts w:ascii="Times New Roman" w:hAnsi="Times New Roman"/>
          <w:sz w:val="24"/>
        </w:rPr>
        <w:t xml:space="preserve"> 4)</w:t>
      </w:r>
      <w:bookmarkEnd w:id="677"/>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678" w:name="_Toc516210717"/>
      <w:r>
        <w:rPr>
          <w:rFonts w:ascii="Times New Roman" w:hAnsi="Times New Roman"/>
          <w:sz w:val="24"/>
          <w:u w:val="none"/>
        </w:rPr>
        <w:t>6.4.1.</w:t>
      </w:r>
      <w:r>
        <w:tab/>
      </w:r>
      <w:r>
        <w:rPr>
          <w:rFonts w:ascii="Times New Roman" w:hAnsi="Times New Roman"/>
          <w:sz w:val="24"/>
        </w:rPr>
        <w:t>Γενικές παρατηρήσεις</w:t>
      </w:r>
      <w:bookmarkEnd w:id="678"/>
      <w:r>
        <w:rPr>
          <w:rFonts w:ascii="Times New Roman" w:hAnsi="Times New Roman"/>
          <w:sz w:val="24"/>
          <w:u w:val="none"/>
        </w:rPr>
        <w:t xml:space="preserve"> </w:t>
      </w:r>
    </w:p>
    <w:p w:rsidR="00113E45" w:rsidRPr="00DD41BE" w:rsidRDefault="00113E45" w:rsidP="009068C9">
      <w:pPr>
        <w:pStyle w:val="InstructionsText2"/>
        <w:numPr>
          <w:ilvl w:val="0"/>
          <w:numId w:val="0"/>
        </w:numPr>
        <w:ind w:left="993"/>
      </w:pPr>
      <w:r>
        <w:t>154ια. Το παρόν υπόδειγμα συμπληρώνεται από όλα τα ιδρύματα που υπερβαίνουν το όριο που αναφέρεται στο άρθρο 4 παράγραφος 1 του κατ’ εξουσιοδότηση καν</w:t>
      </w:r>
      <w:r>
        <w:t>ο</w:t>
      </w:r>
      <w:r>
        <w:t>νισμού (ΕΕ) 2016/101 για τη συνετή αποτίμηση στο επίπεδό τους. Τα ιδρύματα που αποτελούν μέρος ομίλου που παραβιάζει το όριο σε ενοποιημένη βάση υπ</w:t>
      </w:r>
      <w:r>
        <w:t>ο</w:t>
      </w:r>
      <w:r>
        <w:t xml:space="preserve">βάλλουν το παρόν υπόδειγμα μόνον εφόσον παραβιάζουν επίσης το όριο και στο επίπεδό τους. </w:t>
      </w:r>
    </w:p>
    <w:p w:rsidR="00113E45" w:rsidRPr="00DD41BE" w:rsidRDefault="00113E45" w:rsidP="009068C9">
      <w:pPr>
        <w:pStyle w:val="InstructionsText2"/>
        <w:numPr>
          <w:ilvl w:val="0"/>
          <w:numId w:val="0"/>
        </w:numPr>
        <w:ind w:left="993"/>
      </w:pPr>
      <w:r>
        <w:t>154ιβ. Το παρόν υπόδειγμα χρησιμοποιείται για την αναφορά λεπτομερειών σχετ</w:t>
      </w:r>
      <w:r>
        <w:t>ι</w:t>
      </w:r>
      <w:r>
        <w:t>κά με τις 20 μεγαλύτερες ατομικές AVA συγκεντρωμένων θέσεων, από την άποψη του ποσού AVA, που συμβάλλουν στη συνολική AVA επιπέδου κατηγορίας σ</w:t>
      </w:r>
      <w:r>
        <w:t>υ</w:t>
      </w:r>
      <w:r>
        <w:t>γκεντρωμένων θέσεων, που υπολογίζεται σύμφωνα με το άρθρο 14 του κατ’ εξο</w:t>
      </w:r>
      <w:r>
        <w:t>υ</w:t>
      </w:r>
      <w:r>
        <w:t>σιοδότηση κανονισμού (ΕΕ) 2016/101 για τη συνετή αποτίμηση. Οι πληροφορίες αυτές αντιστοιχούν στις πληροφορίες που αναφέρονται στη στήλη 0070 του υπ</w:t>
      </w:r>
      <w:r>
        <w:t>ο</w:t>
      </w:r>
      <w:r>
        <w:t xml:space="preserve">δείγματος C 32.02. </w:t>
      </w:r>
    </w:p>
    <w:p w:rsidR="00113E45" w:rsidRPr="00DD41BE" w:rsidRDefault="00113E45" w:rsidP="009068C9">
      <w:pPr>
        <w:pStyle w:val="InstructionsText2"/>
        <w:numPr>
          <w:ilvl w:val="0"/>
          <w:numId w:val="0"/>
        </w:numPr>
        <w:ind w:left="993"/>
      </w:pPr>
      <w:r>
        <w:t>154ιγ. Αναφέρονται οι 20 μεγαλύτερες ατομικές AVA συγκεντρωμένων θέσεων, και αντίστοιχες πληροφορίες για τα προϊόντα, με φθίνουσα σειρά, αρχής γενομένης από τη μεγαλύτερη ατομική AVA συγκεντρωμένων θέσεων.</w:t>
      </w:r>
    </w:p>
    <w:p w:rsidR="00113E45" w:rsidRPr="00DD41BE" w:rsidRDefault="00113E45" w:rsidP="009068C9">
      <w:pPr>
        <w:pStyle w:val="InstructionsText2"/>
        <w:numPr>
          <w:ilvl w:val="0"/>
          <w:numId w:val="0"/>
        </w:numPr>
        <w:ind w:left="993"/>
      </w:pPr>
      <w:r>
        <w:t xml:space="preserve">154ιδ. Αναφέρονται τα προϊόντα που αντιστοιχούν σε αυτές τις 20 μεγαλύτερες </w:t>
      </w:r>
      <w:r>
        <w:t>α</w:t>
      </w:r>
      <w:r>
        <w:t>τομικές AVA συγκεντρωμένων θέσεων, με χρήση της απογραφής των προϊόντων, που απαιτείται βάσει του άρθρου 19 παράγραφος 3 στοιχείο α) του κατ’ εξουσιοδ</w:t>
      </w:r>
      <w:r>
        <w:t>ό</w:t>
      </w:r>
      <w:r>
        <w:t>τηση κανονισμού (ΕΕ) 2016/101 για τη συνετή αποτίμηση.</w:t>
      </w:r>
    </w:p>
    <w:p w:rsidR="00113E45" w:rsidRPr="004502C8" w:rsidRDefault="00113E45" w:rsidP="009068C9">
      <w:pPr>
        <w:pStyle w:val="InstructionsText2"/>
        <w:numPr>
          <w:ilvl w:val="0"/>
          <w:numId w:val="0"/>
        </w:numPr>
        <w:ind w:left="993"/>
      </w:pPr>
      <w:r>
        <w:lastRenderedPageBreak/>
        <w:t>154ιε. Οι θέσεις που είναι ομοιογενείς από την άποψη της μεθοδολογίας υπολογ</w:t>
      </w:r>
      <w:r>
        <w:t>ι</w:t>
      </w:r>
      <w:r>
        <w:t>σμού AVA αθροίζονται, όπου είναι δυνατόν, προκειμένου να μεγιστοποιηθεί η κ</w:t>
      </w:r>
      <w:r>
        <w:t>ά</w:t>
      </w:r>
      <w:r>
        <w:t xml:space="preserve">λυψη του παρόντος υποδείγματος.   </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679" w:name="_Toc516210718"/>
      <w:r>
        <w:rPr>
          <w:rFonts w:ascii="Times New Roman" w:hAnsi="Times New Roman"/>
          <w:sz w:val="24"/>
          <w:u w:val="none"/>
        </w:rPr>
        <w:t>6.4.2.</w:t>
      </w:r>
      <w:r>
        <w:tab/>
      </w:r>
      <w:r>
        <w:rPr>
          <w:rFonts w:ascii="Times New Roman" w:hAnsi="Times New Roman"/>
          <w:sz w:val="24"/>
        </w:rPr>
        <w:t>Οδηγίες για συγκεκριμένες θέσεις</w:t>
      </w:r>
      <w:bookmarkEnd w:id="6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rsidTr="00672D2A">
        <w:tc>
          <w:tcPr>
            <w:tcW w:w="8856"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Στήλες</w:t>
            </w:r>
          </w:p>
        </w:tc>
      </w:tr>
      <w:tr w:rsidR="00113E45" w:rsidRPr="00DD41BE" w:rsidTr="00672D2A">
        <w:tc>
          <w:tcPr>
            <w:tcW w:w="852" w:type="dxa"/>
          </w:tcPr>
          <w:p w:rsidR="00113E45" w:rsidRPr="005A2182"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ΒΑΘΜΟΣ</w:t>
            </w:r>
          </w:p>
          <w:p w:rsidR="00113E45" w:rsidRPr="00DD41BE" w:rsidDel="003016B5" w:rsidRDefault="00113E45" w:rsidP="00E60B53">
            <w:pPr>
              <w:spacing w:beforeLines="60" w:before="144" w:afterLines="60" w:after="144"/>
              <w:rPr>
                <w:rFonts w:ascii="Times New Roman" w:hAnsi="Times New Roman"/>
                <w:b/>
                <w:sz w:val="24"/>
                <w:u w:val="single"/>
              </w:rPr>
            </w:pPr>
            <w:r>
              <w:rPr>
                <w:rFonts w:ascii="Times New Roman" w:hAnsi="Times New Roman"/>
                <w:sz w:val="24"/>
              </w:rPr>
              <w:t>Ο βαθμός είναι αναγνωριστικός κωδικός γραμμής, και είναι μοναδικός για κάθε γραμμή στον πίνακα. Τηρεί τη σειρά αρίθμησης 1,2,3, κ.λπ., όπου το 1 αποδίδ</w:t>
            </w:r>
            <w:r>
              <w:rPr>
                <w:rFonts w:ascii="Times New Roman" w:hAnsi="Times New Roman"/>
                <w:sz w:val="24"/>
              </w:rPr>
              <w:t>ε</w:t>
            </w:r>
            <w:r>
              <w:rPr>
                <w:rFonts w:ascii="Times New Roman" w:hAnsi="Times New Roman"/>
                <w:sz w:val="24"/>
              </w:rPr>
              <w:t>ται στην υψηλότερη ατομική AVA συγκεντρωμένων θέσεων, το 2 στη δεύτερη υψηλότερη και ούτω καθεξής.</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ΚΑΤΗΓΟΡΙΑ ΚΙΝΔΥΝΟΥ</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Η κατηγορία κινδύνου (επιτόκια, συνάλλαγμα, πίστωση, μετοχές, βασικά εμπ</w:t>
            </w:r>
            <w:r>
              <w:rPr>
                <w:rFonts w:ascii="Times New Roman" w:hAnsi="Times New Roman"/>
                <w:sz w:val="24"/>
              </w:rPr>
              <w:t>ο</w:t>
            </w:r>
            <w:r>
              <w:rPr>
                <w:rFonts w:ascii="Times New Roman" w:hAnsi="Times New Roman"/>
                <w:sz w:val="24"/>
              </w:rPr>
              <w:t>ρεύματα) που χαρακτηρίζει κατά τον καλύτερο τρόπο τη θέση.</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Τα ιδρύματα αναφέρουν τους ακόλουθους κωδικούς:</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Επιτόκια</w:t>
            </w:r>
          </w:p>
          <w:p w:rsidR="0022597E" w:rsidRPr="00DD41BE" w:rsidRDefault="0022597E" w:rsidP="00E60B53">
            <w:pPr>
              <w:spacing w:beforeLines="60" w:before="144" w:afterLines="60" w:after="144"/>
              <w:rPr>
                <w:rFonts w:ascii="Times New Roman" w:hAnsi="Times New Roman"/>
                <w:sz w:val="24"/>
              </w:rPr>
            </w:pPr>
            <w:r>
              <w:rPr>
                <w:rFonts w:ascii="Times New Roman" w:hAnsi="Times New Roman"/>
                <w:sz w:val="24"/>
              </w:rPr>
              <w:t>FX – Συνάλλαγμα</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Πίστωση</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Μετοχές</w:t>
            </w:r>
          </w:p>
          <w:p w:rsidR="00113E45" w:rsidRPr="00DD41BE" w:rsidRDefault="00113E45" w:rsidP="0022597E">
            <w:pPr>
              <w:spacing w:beforeLines="60" w:before="144" w:afterLines="60" w:after="144"/>
              <w:rPr>
                <w:rFonts w:ascii="Times New Roman" w:hAnsi="Times New Roman"/>
                <w:sz w:val="24"/>
              </w:rPr>
            </w:pPr>
            <w:r>
              <w:rPr>
                <w:rFonts w:ascii="Times New Roman" w:hAnsi="Times New Roman"/>
                <w:sz w:val="24"/>
              </w:rPr>
              <w:t>CO – Βασικά εμπορεύματα</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ΠΡΟΪΟΝ </w:t>
            </w:r>
          </w:p>
          <w:p w:rsidR="00113E45" w:rsidRPr="00DD41BE" w:rsidRDefault="00113E45" w:rsidP="00DC09EA">
            <w:pPr>
              <w:spacing w:beforeLines="60" w:before="144" w:afterLines="60" w:after="144"/>
              <w:rPr>
                <w:rFonts w:ascii="Times New Roman" w:hAnsi="Times New Roman"/>
                <w:sz w:val="24"/>
              </w:rPr>
            </w:pPr>
            <w:r>
              <w:rPr>
                <w:rFonts w:ascii="Times New Roman" w:hAnsi="Times New Roman"/>
                <w:sz w:val="24"/>
              </w:rPr>
              <w:t>Εσωτερική ονομασία του προϊόντος ή της ομάδας προϊόντων, σύμφωνα με την απογραφή των προϊόντων, που απαιτείται βάσει του άρθρου 19 παράγραφος 3 στοιχείο α) του κατ’ εξουσιοδότηση κανονισμού (ΕΕ) 2016/101 για τη συνετή αποτίμηση.</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ΥΠΟΚΕΙΜΕΝΟ</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Εσωτερική ονομασία του υποκειμένου, ή των υποκειμένων, στην περίπτωση παραγώγων, ή των μέσων στην περίπτωση μη παραγώγων.</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ΜΕΓΕΘΟΣ ΣΥΓΚΕΝΤΡΩΜΕΝΗΣ ΘΕΣΗΣ</w:t>
            </w:r>
          </w:p>
          <w:p w:rsidR="00113E45" w:rsidRPr="00DD41BE" w:rsidRDefault="00113E45" w:rsidP="00DC09EA">
            <w:pPr>
              <w:spacing w:beforeLines="60" w:before="144" w:afterLines="60" w:after="144"/>
              <w:rPr>
                <w:rStyle w:val="InstructionsTabelleberschrift"/>
                <w:rFonts w:ascii="Times New Roman" w:hAnsi="Times New Roman"/>
                <w:sz w:val="24"/>
              </w:rPr>
            </w:pPr>
            <w:r>
              <w:rPr>
                <w:rFonts w:ascii="Times New Roman" w:hAnsi="Times New Roman"/>
                <w:sz w:val="24"/>
              </w:rPr>
              <w:t>Το μέγεθος της ατομικής συγκεντρωμένης θέσης αποτίμησης, που προσδιορίζ</w:t>
            </w:r>
            <w:r>
              <w:rPr>
                <w:rFonts w:ascii="Times New Roman" w:hAnsi="Times New Roman"/>
                <w:sz w:val="24"/>
              </w:rPr>
              <w:t>ε</w:t>
            </w:r>
            <w:r>
              <w:rPr>
                <w:rFonts w:ascii="Times New Roman" w:hAnsi="Times New Roman"/>
                <w:sz w:val="24"/>
              </w:rPr>
              <w:t xml:space="preserve">ται σύμφωνα με το άρθρο 14 παράγραφος 1 στοιχείο α) του κατ’ εξουσιοδότηση κανονισμού (ΕΕ) 2016/101 για τη συνετή αποτίμηση, εκφραζόμενο στη μονάδα που περιγράφεται στη στήλη 0050.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ΜΕΤΡΟ ΜΕΓΕΘΟΥΣ</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 xml:space="preserve">Μονάδα μέτρησης του μεγέθους, που χρησιμοποιείται εσωτερικά ως μέρος του προσδιορισμού της συγκεντρωμένης θέσης αποτίμησης, για να υπολογιστεί το </w:t>
            </w:r>
            <w:r>
              <w:rPr>
                <w:rFonts w:ascii="Times New Roman" w:hAnsi="Times New Roman"/>
                <w:sz w:val="24"/>
              </w:rPr>
              <w:lastRenderedPageBreak/>
              <w:t xml:space="preserve">μέγεθος της συγκεντρωμένης θέσης που αναφέρεται στη στήλη 0040.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Στην περίπτωση θέσεων σε ομόλογα ή μετοχές, να αναφερθεί η μονάδα που χρησιμοποιείται </w:t>
            </w:r>
            <w:r>
              <w:rPr>
                <w:rFonts w:ascii="Times New Roman" w:hAnsi="Times New Roman"/>
                <w:sz w:val="24"/>
              </w:rPr>
              <w:t>για την εσωτερική διαχείριση κινδύνου</w:t>
            </w:r>
            <w:r>
              <w:rPr>
                <w:rStyle w:val="InstructionsTabelleberschrift"/>
                <w:rFonts w:ascii="Times New Roman" w:hAnsi="Times New Roman"/>
                <w:b w:val="0"/>
                <w:sz w:val="24"/>
                <w:u w:val="none"/>
              </w:rPr>
              <w:t>, όπως «αριθμός ομολ</w:t>
            </w:r>
            <w:r>
              <w:rPr>
                <w:rStyle w:val="InstructionsTabelleberschrift"/>
                <w:rFonts w:ascii="Times New Roman" w:hAnsi="Times New Roman"/>
                <w:b w:val="0"/>
                <w:sz w:val="24"/>
                <w:u w:val="none"/>
              </w:rPr>
              <w:t>ό</w:t>
            </w:r>
            <w:r>
              <w:rPr>
                <w:rStyle w:val="InstructionsTabelleberschrift"/>
                <w:rFonts w:ascii="Times New Roman" w:hAnsi="Times New Roman"/>
                <w:b w:val="0"/>
                <w:sz w:val="24"/>
                <w:u w:val="none"/>
              </w:rPr>
              <w:t xml:space="preserve">γων», «αριθμός μετοχών» ή «αγοραία αξία».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Στην περίπτωση θέσεων σε παράγωγα, να αναφερθεί η μονάδα που χρησιμοπο</w:t>
            </w:r>
            <w:r>
              <w:rPr>
                <w:rFonts w:ascii="Times New Roman" w:hAnsi="Times New Roman"/>
                <w:sz w:val="24"/>
              </w:rPr>
              <w:t>ι</w:t>
            </w:r>
            <w:r>
              <w:rPr>
                <w:rFonts w:ascii="Times New Roman" w:hAnsi="Times New Roman"/>
                <w:sz w:val="24"/>
              </w:rPr>
              <w:t xml:space="preserve">είται για την εσωτερική διαχείριση κινδύνου, όπως «PV01, EUR ανά 1 μονάδα βάσης παράλληλη μετατόπιση της καμπύλης απόδοσης».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ΑΓΟΡΑΙΑ ΑΞΙΑ</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Αγοραία αξία της θέσης.</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ΣΥΝΕΤΗ ΠΕΡΙΟΔΟΣ ΕΞΟΔΟΥ</w:t>
            </w:r>
          </w:p>
          <w:p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συνετή περίοδος εξόδου, σε αριθμό ημερών, που εκτιμάται βάσει του άρθρου 14 παράγραφος 1 στοιχείο β) του </w:t>
            </w:r>
            <w:r>
              <w:rPr>
                <w:rFonts w:ascii="Times New Roman" w:hAnsi="Times New Roman"/>
                <w:sz w:val="24"/>
              </w:rPr>
              <w:t>κατ’ εξουσιοδότηση κανονισμού (ΕΕ) 2016/101 για</w:t>
            </w:r>
            <w:r>
              <w:rPr>
                <w:rStyle w:val="InstructionsTabelleberschrift"/>
                <w:rFonts w:ascii="Times New Roman" w:hAnsi="Times New Roman"/>
                <w:b w:val="0"/>
                <w:sz w:val="24"/>
                <w:u w:val="none"/>
              </w:rPr>
              <w:t xml:space="preserve"> </w:t>
            </w:r>
            <w:r>
              <w:rPr>
                <w:rFonts w:ascii="Times New Roman" w:hAnsi="Times New Roman"/>
                <w:sz w:val="24"/>
              </w:rPr>
              <w:t>τη συνετή αποτίμηση</w:t>
            </w:r>
            <w:r>
              <w:rPr>
                <w:rStyle w:val="InstructionsTabelleberschrift"/>
                <w:rFonts w:ascii="Times New Roman" w:hAnsi="Times New Roman"/>
                <w:b w:val="0"/>
                <w:sz w:val="24"/>
                <w:u w:val="none"/>
              </w:rPr>
              <w: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ΣΥΓΚΕΝΤΡΩΜΕΝΩΝ ΘΕΣΕΩΝ</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ποσό της AVA συγκεντρωμένων θέσεων, που υπολογίζεται σύμφωνα με το άρθρο 14 παράγραφος 1 του </w:t>
            </w:r>
            <w:r>
              <w:rPr>
                <w:rFonts w:ascii="Times New Roman" w:hAnsi="Times New Roman"/>
                <w:sz w:val="24"/>
              </w:rPr>
              <w:t>κατ’ εξουσιοδότηση κανονισμού (ΕΕ) 2016/101 για</w:t>
            </w:r>
            <w:r>
              <w:rPr>
                <w:rStyle w:val="InstructionsTabelleberschrift"/>
                <w:rFonts w:ascii="Times New Roman" w:hAnsi="Times New Roman"/>
                <w:b w:val="0"/>
                <w:sz w:val="24"/>
                <w:u w:val="none"/>
              </w:rPr>
              <w:t xml:space="preserve"> </w:t>
            </w:r>
            <w:r>
              <w:rPr>
                <w:rFonts w:ascii="Times New Roman" w:hAnsi="Times New Roman"/>
                <w:sz w:val="24"/>
              </w:rPr>
              <w:t>τη συνετή αποτίμηση,</w:t>
            </w:r>
            <w:r>
              <w:rPr>
                <w:rStyle w:val="InstructionsTabelleberschrift"/>
                <w:rFonts w:ascii="Times New Roman" w:hAnsi="Times New Roman"/>
                <w:b w:val="0"/>
                <w:sz w:val="24"/>
                <w:u w:val="none"/>
              </w:rPr>
              <w:t xml:space="preserve"> για τη σχετική ατομική συγκεντρωμένη θέση αποτίμησης.</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ΠΡΟΣΑΡΜΟΓΗ ΕΥΛΟΓΗΣ ΑΞΙΑΣ ΣΥΓΚΕΝΤΡΩΜΕΝΗΣ ΘΕΣΗΣ</w:t>
            </w:r>
          </w:p>
          <w:p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ποσό οποιωνδήποτε προσαρμογών εύλογης αξίας που πραγματοποιούνται για να αντικατοπτρίζεται το γεγονός ότι η συγκεντρωτική θέση την οποία κατ</w:t>
            </w:r>
            <w:r>
              <w:rPr>
                <w:rStyle w:val="InstructionsTabelleberschrift"/>
                <w:rFonts w:ascii="Times New Roman" w:hAnsi="Times New Roman"/>
                <w:b w:val="0"/>
                <w:sz w:val="24"/>
                <w:u w:val="none"/>
              </w:rPr>
              <w:t>έ</w:t>
            </w:r>
            <w:r>
              <w:rPr>
                <w:rStyle w:val="InstructionsTabelleberschrift"/>
                <w:rFonts w:ascii="Times New Roman" w:hAnsi="Times New Roman"/>
                <w:b w:val="0"/>
                <w:sz w:val="24"/>
                <w:u w:val="none"/>
              </w:rPr>
              <w:t>χει το ίδρυμα είναι μεγαλύτερη από τον συνήθη όγκο συναλλαγών ή μεγαλύτερη από τα μεγέθη θέσεων και επί των οποίων βασίζονται παρατηρήσιμες προσφ</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ρές τιμής ή συναλλαγές, χρησιμοποιούμενες για τη βαθμονόμηση της τιμής ή των δεδομένων, που χρησιμοποιούνται στο υπόδειγμα αποτίμησης</w:t>
            </w:r>
          </w:p>
          <w:p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προς αναφορά ποσό αντιστοιχεί στο ποσό που έχει υποβληθεί στη σχετική ατομική συγκεντρωμένη θέση αποτίμησης.</w:t>
            </w:r>
          </w:p>
        </w:tc>
      </w:tr>
      <w:tr w:rsidR="00113E45" w:rsidRPr="0022597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ΔΙΑΦΟΡΑ IPV</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άθροισμα των μη προσαρμοσμένων ποσών διαφοράς («διαφορά ανεξάρτητης επαλήθευσης των τιμών» – «διαφορά IPV»), που υπολογίζονται, κατά το τέλος του μήνα πλησιέστερα προς την ημερομηνία υποβολής αναφοράς, βάσει της δ</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αδικασίας ανεξάρτητης επαλήθευσης των τιμών, που διενεργείται σύμφωνα με το άρθρο 105 παράγραφος 8 του ΚΚΑ, σε σχέση με τα βέλτιστα διαθέσιμα αν</w:t>
            </w:r>
            <w:r>
              <w:rPr>
                <w:rStyle w:val="InstructionsTabelleberschrift"/>
                <w:rFonts w:ascii="Times New Roman" w:hAnsi="Times New Roman"/>
                <w:b w:val="0"/>
                <w:sz w:val="24"/>
                <w:u w:val="none"/>
              </w:rPr>
              <w:t>ε</w:t>
            </w:r>
            <w:r>
              <w:rPr>
                <w:rStyle w:val="InstructionsTabelleberschrift"/>
                <w:rFonts w:ascii="Times New Roman" w:hAnsi="Times New Roman"/>
                <w:b w:val="0"/>
                <w:sz w:val="24"/>
                <w:u w:val="none"/>
              </w:rPr>
              <w:t xml:space="preserve">ξάρτητα στοιχεία για τη σχετική ατομική συγκεντρωμένη θέση αποτίμησης.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μη προσαρμοσμένα ποσά διαφοράς αναφέρονται στις μη προσαρμοσμένες διαφορές μεταξύ των αποτιμήσεων που έχουν δημιουργηθεί από το σύστημα δ</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απραγμάτευσης και των αποτιμήσεων που αξιολογούνται κατά τη μηνιαία δι</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δικασία IPV.</w:t>
            </w:r>
          </w:p>
          <w:p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Στον υπολογισμό της διαφοράς IPV δεν περιλαμβάνονται προσαρμοσμένα ποσά διαφοράς στα βιβλία και στοιχεία του ιδρύματος για τη σχετική ημερομηνία τ</w:t>
            </w:r>
            <w:r>
              <w:rPr>
                <w:rStyle w:val="InstructionsTabelleberschrift"/>
                <w:rFonts w:ascii="Times New Roman" w:hAnsi="Times New Roman"/>
                <w:b w:val="0"/>
                <w:sz w:val="24"/>
                <w:u w:val="none"/>
              </w:rPr>
              <w:t>έ</w:t>
            </w:r>
            <w:r>
              <w:rPr>
                <w:rStyle w:val="InstructionsTabelleberschrift"/>
                <w:rFonts w:ascii="Times New Roman" w:hAnsi="Times New Roman"/>
                <w:b w:val="0"/>
                <w:sz w:val="24"/>
                <w:u w:val="none"/>
              </w:rPr>
              <w:lastRenderedPageBreak/>
              <w:t>λους του μήνα.</w:t>
            </w:r>
          </w:p>
        </w:tc>
      </w:tr>
    </w:tbl>
    <w:p w:rsidR="00995A7F" w:rsidRPr="00392FFD" w:rsidRDefault="00995A7F" w:rsidP="00C61FF5">
      <w:pPr>
        <w:rPr>
          <w:rStyle w:val="InstructionsTabelleText"/>
          <w:rFonts w:ascii="Times New Roman" w:hAnsi="Times New Roman"/>
          <w:sz w:val="24"/>
        </w:rPr>
      </w:pP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680" w:name="_Toc516210719"/>
      <w:bookmarkStart w:id="681" w:name="_Toc473561055"/>
      <w:r>
        <w:rPr>
          <w:rFonts w:ascii="Times New Roman" w:hAnsi="Times New Roman"/>
          <w:sz w:val="24"/>
          <w:u w:val="none"/>
        </w:rPr>
        <w:t>7.</w:t>
      </w:r>
      <w:r>
        <w:tab/>
      </w:r>
      <w:r>
        <w:rPr>
          <w:rFonts w:ascii="Times New Roman" w:hAnsi="Times New Roman"/>
          <w:sz w:val="24"/>
        </w:rPr>
        <w:t>C 33.00 – Ανοίγματα έναντι γενικών κυβερνήσεων (GOV)</w:t>
      </w:r>
      <w:bookmarkEnd w:id="680"/>
      <w:bookmarkEnd w:id="681"/>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682" w:name="_Toc367202008"/>
      <w:bookmarkStart w:id="683" w:name="_Toc516210720"/>
      <w:bookmarkStart w:id="684" w:name="_Toc473561056"/>
      <w:r>
        <w:rPr>
          <w:rFonts w:ascii="Times New Roman" w:hAnsi="Times New Roman"/>
          <w:sz w:val="24"/>
          <w:u w:val="none"/>
        </w:rPr>
        <w:t>7.1.</w:t>
      </w:r>
      <w:r>
        <w:tab/>
      </w:r>
      <w:r>
        <w:rPr>
          <w:rFonts w:ascii="Times New Roman" w:hAnsi="Times New Roman"/>
          <w:sz w:val="24"/>
        </w:rPr>
        <w:t>Γενικές παρατηρήσεις</w:t>
      </w:r>
      <w:bookmarkEnd w:id="682"/>
      <w:bookmarkEnd w:id="683"/>
      <w:bookmarkEnd w:id="684"/>
      <w:r>
        <w:rPr>
          <w:rFonts w:ascii="Times New Roman" w:hAnsi="Times New Roman"/>
          <w:sz w:val="24"/>
        </w:rPr>
        <w:t xml:space="preserve"> </w:t>
      </w:r>
    </w:p>
    <w:p w:rsidR="00FD54FC" w:rsidRPr="00392FFD" w:rsidRDefault="00125707" w:rsidP="009068C9">
      <w:pPr>
        <w:pStyle w:val="InstructionsText2"/>
        <w:numPr>
          <w:ilvl w:val="0"/>
          <w:numId w:val="0"/>
        </w:numPr>
        <w:ind w:left="993"/>
      </w:pPr>
      <w:r>
        <w:t>155.</w:t>
      </w:r>
      <w:r>
        <w:tab/>
        <w:t>Οι πληροφορίες για τους σκοπούς του υποδείγματος C 33.00 καλύπτουν όλα τα ανοίγματα έναντι «γενικών κυβερνήσεων», όπως ορίζονται στο παράρτημα V μέρος 1 παράγραφος 42 στοιχείο β).</w:t>
      </w:r>
    </w:p>
    <w:p w:rsidR="00FD54FC" w:rsidRPr="00392FFD" w:rsidRDefault="00125707" w:rsidP="009068C9">
      <w:pPr>
        <w:pStyle w:val="InstructionsText2"/>
        <w:numPr>
          <w:ilvl w:val="0"/>
          <w:numId w:val="0"/>
        </w:numPr>
        <w:ind w:left="993"/>
      </w:pPr>
      <w:r>
        <w:t>156.</w:t>
      </w:r>
      <w:r>
        <w:tab/>
        <w:t xml:space="preserve">Τα ανοίγματα έναντι «γενικών κυβερνήσεων» περιλαμβάνονται σε διάφορες κατηγορίες ανοιγμάτων, σύμφωνα με το άρθρο 112 και το άρθρο 147 του ΚΚΑ, όπως ορίζεται στις οδηγίες για τη συμπλήρωση των υποδειγμάτων C 07.00, C 08.01 και C 08.02. </w:t>
      </w:r>
    </w:p>
    <w:p w:rsidR="00FD54FC" w:rsidRPr="00392FFD" w:rsidRDefault="00125707" w:rsidP="009068C9">
      <w:pPr>
        <w:pStyle w:val="InstructionsText2"/>
        <w:numPr>
          <w:ilvl w:val="0"/>
          <w:numId w:val="0"/>
        </w:numPr>
        <w:ind w:left="993"/>
      </w:pPr>
      <w:r>
        <w:t>157.</w:t>
      </w:r>
      <w:r>
        <w:tab/>
        <w:t xml:space="preserve">Για την αντιστοίχιση των κατηγοριών ανοιγμάτων που χρησιμοποιούνται για τον υπολογισμό των κεφαλαιακών απαιτήσεων δυνάμει του ΚΚΑ με τον τομέα </w:t>
      </w:r>
      <w:r>
        <w:t>α</w:t>
      </w:r>
      <w:r>
        <w:t>ντισυμβαλλομένου «γενικές κυβερνήσεις», χρησιμοποιείται ο πίνακας 2 (τυποπο</w:t>
      </w:r>
      <w:r>
        <w:t>ι</w:t>
      </w:r>
      <w:r>
        <w:t xml:space="preserve">ημένη προσέγγιση) και ο πίνακας 3 (προσέγγιση IRB), που περιλαμβάνονται στο μέρος 3 του παραρτήματος 5. </w:t>
      </w:r>
    </w:p>
    <w:p w:rsidR="00FD54FC" w:rsidRPr="00392FFD" w:rsidRDefault="00125707" w:rsidP="009068C9">
      <w:pPr>
        <w:pStyle w:val="InstructionsText2"/>
        <w:numPr>
          <w:ilvl w:val="0"/>
          <w:numId w:val="0"/>
        </w:numPr>
        <w:ind w:left="993"/>
      </w:pPr>
      <w:r>
        <w:t>158.</w:t>
      </w:r>
      <w:r>
        <w:tab/>
        <w:t xml:space="preserve">Αναφέρονται πληροφορίες για το συνολικό άθροισμα των ανοιγμάτων (ήτοι το άθροισμα όλων των χωρών στις οποίες η τράπεζα διαθέτει κρατικά ανοίγματα) και για κάθε χώρα, με βάση τον τόπο κατοικίας του αντισυμβαλλομένου, ανάλογα με τον άμεσο οφειλέτη. </w:t>
      </w:r>
    </w:p>
    <w:p w:rsidR="00FD54FC" w:rsidRPr="00392FFD" w:rsidRDefault="00125707" w:rsidP="009068C9">
      <w:pPr>
        <w:pStyle w:val="InstructionsText2"/>
        <w:numPr>
          <w:ilvl w:val="0"/>
          <w:numId w:val="0"/>
        </w:numPr>
        <w:ind w:left="993"/>
      </w:pPr>
      <w:r>
        <w:t>159.</w:t>
      </w:r>
      <w:r>
        <w:tab/>
        <w:t>Η κατανομή των ανοιγμάτων σε κατηγορίες ανοιγμάτων ή σε περιοχές δικαι</w:t>
      </w:r>
      <w:r>
        <w:t>ο</w:t>
      </w:r>
      <w:r>
        <w:t>δοσίας πραγματοποιείται χωρίς να λαμβάνονται υπόψη οι τεχνικές μείωσης του π</w:t>
      </w:r>
      <w:r>
        <w:t>ι</w:t>
      </w:r>
      <w:r>
        <w:t>στωτικού κινδύνου και, συγκεκριμένα, χωρίς να λαμβάνονται υπόψη τα αποτελ</w:t>
      </w:r>
      <w:r>
        <w:t>έ</w:t>
      </w:r>
      <w:r>
        <w:t>σματα υποκατάστασης. Εντούτοις, στον υπολογισμό των αξιών ανοίγματος και των σταθμισμένων ως προς τον κίνδυνο ποσών ανοίγματος για κάθε κατηγορία ανοι</w:t>
      </w:r>
      <w:r>
        <w:t>γ</w:t>
      </w:r>
      <w:r>
        <w:t xml:space="preserve">μάτων και κάθε περιοχή δικαιοδοσίας περιλαμβάνεται η επίπτωση των τεχνικών μείωσης του πιστωτικού κινδύνου, συμπεριλαμβανομένων των αποτελεσμάτων </w:t>
      </w:r>
      <w:r>
        <w:t>υ</w:t>
      </w:r>
      <w:r>
        <w:t xml:space="preserve">ποκατάστασης. </w:t>
      </w:r>
    </w:p>
    <w:p w:rsidR="00FD54FC" w:rsidRPr="00392FFD" w:rsidRDefault="00125707" w:rsidP="009068C9">
      <w:pPr>
        <w:pStyle w:val="InstructionsText2"/>
        <w:numPr>
          <w:ilvl w:val="0"/>
          <w:numId w:val="0"/>
        </w:numPr>
        <w:ind w:left="993"/>
      </w:pPr>
      <w:r>
        <w:t>160.</w:t>
      </w:r>
      <w:r>
        <w:tab/>
        <w:t>Η αναφορά πληροφοριών σχετικά με ανοίγματα έναντι «γενικών κυβερνήσ</w:t>
      </w:r>
      <w:r>
        <w:t>ε</w:t>
      </w:r>
      <w:r>
        <w:t>ων» ανά δικαιοδοσία της κατοικίας του άμεσου αντισυμβαλλομένου, πέραν της τ</w:t>
      </w:r>
      <w:r>
        <w:t>ο</w:t>
      </w:r>
      <w:r>
        <w:t>πικής δικαιοδοσίας του αναφέροντος ιδρύματος, υπόκειται στα κατώτατα όρια που ορίζονται στο άρθρο 5 στοιχείο β) σημείο 3) του παρόντος κανονισμού.</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685" w:name="_Toc367202009"/>
      <w:bookmarkStart w:id="686" w:name="_Toc516210721"/>
      <w:bookmarkStart w:id="687" w:name="_Toc473561057"/>
      <w:r>
        <w:rPr>
          <w:rFonts w:ascii="Times New Roman" w:hAnsi="Times New Roman"/>
          <w:sz w:val="24"/>
          <w:u w:val="none"/>
        </w:rPr>
        <w:t>7.2.</w:t>
      </w:r>
      <w:r>
        <w:tab/>
      </w:r>
      <w:r>
        <w:rPr>
          <w:rFonts w:ascii="Times New Roman" w:hAnsi="Times New Roman"/>
          <w:sz w:val="24"/>
        </w:rPr>
        <w:t>Πεδίο εφαρμογής του υποδείγματος</w:t>
      </w:r>
      <w:bookmarkEnd w:id="685"/>
      <w:r>
        <w:rPr>
          <w:rFonts w:ascii="Times New Roman" w:hAnsi="Times New Roman"/>
          <w:sz w:val="24"/>
        </w:rPr>
        <w:t xml:space="preserve"> για τα ανοίγματα έναντι «γενικών κυβερνήσεων»</w:t>
      </w:r>
      <w:bookmarkEnd w:id="686"/>
      <w:bookmarkEnd w:id="687"/>
    </w:p>
    <w:p w:rsidR="00FD54FC" w:rsidRPr="00392FFD" w:rsidRDefault="00125707" w:rsidP="009068C9">
      <w:pPr>
        <w:pStyle w:val="InstructionsText2"/>
        <w:numPr>
          <w:ilvl w:val="0"/>
          <w:numId w:val="0"/>
        </w:numPr>
        <w:ind w:left="993"/>
      </w:pPr>
      <w:r>
        <w:t>161.</w:t>
      </w:r>
      <w:r>
        <w:tab/>
        <w:t>Το πεδίο εφαρμογής του υποδείγματος GOV περιλαμβάνει άμεσα ανοίγματα εντός, εκτός ισολογισμού και σε πιστωτικά παράγωγα έναντι «γενικών κυβερνήσ</w:t>
      </w:r>
      <w:r>
        <w:t>ε</w:t>
      </w:r>
      <w:r>
        <w:t>ων» στο τραπεζικό χαρτοφυλάκιο και στο χαρτοφυλάκιο συναλλαγών. Επιπλέον, απαιτείται επίσης ένα υπομνηματικό στοιχείο σχετικά με τα έμμεσα ανοίγματα υπό τη μορφή πωληθέντων πιστωτικών παραγώγων με υποκείμενο στοιχείο ενεργητ</w:t>
      </w:r>
      <w:r>
        <w:t>ι</w:t>
      </w:r>
      <w:r>
        <w:t>κού ανοίγματα έναντι γενικών κυβερνήσεων.</w:t>
      </w:r>
    </w:p>
    <w:p w:rsidR="00FD54FC" w:rsidRPr="00392FFD" w:rsidRDefault="00125707" w:rsidP="009068C9">
      <w:pPr>
        <w:pStyle w:val="InstructionsText2"/>
        <w:numPr>
          <w:ilvl w:val="0"/>
          <w:numId w:val="0"/>
        </w:numPr>
        <w:ind w:left="993"/>
      </w:pPr>
      <w:r>
        <w:lastRenderedPageBreak/>
        <w:t>162.</w:t>
      </w:r>
      <w:r>
        <w:tab/>
        <w:t xml:space="preserve">Ένα άνοιγμα συνιστά άμεσο άνοιγμα, όταν ο άμεσος αντισυμβαλλόμενος είναι οντότητα που καλύπτεται από τον ορισμό των «γενικών κυβερνήσεων». </w:t>
      </w:r>
    </w:p>
    <w:p w:rsidR="00FD54FC" w:rsidRPr="00392FFD" w:rsidRDefault="00125707" w:rsidP="009068C9">
      <w:pPr>
        <w:pStyle w:val="InstructionsText2"/>
        <w:numPr>
          <w:ilvl w:val="0"/>
          <w:numId w:val="0"/>
        </w:numPr>
        <w:ind w:left="993"/>
      </w:pPr>
      <w:r>
        <w:t>163.</w:t>
      </w:r>
      <w:r>
        <w:tab/>
        <w:t>Το υπόδειγμα υποδιαιρείται σε δύο τμήματα. Το πρώτο βασίζεται στην κατ</w:t>
      </w:r>
      <w:r>
        <w:t>α</w:t>
      </w:r>
      <w:r>
        <w:t>νομή των ανοιγμάτων με βάση τον κίνδυνο, την κανονιστική προσέγγιση και τις κατηγορίες ανοιγμάτων, ενώ το δεύτερο βασίζεται στην κατανομή τους με βάση την εναπομένουσα ληκτότητα.</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688" w:name="_Toc516210722"/>
      <w:bookmarkStart w:id="689" w:name="_Toc473561058"/>
      <w:r>
        <w:rPr>
          <w:rFonts w:ascii="Times New Roman" w:hAnsi="Times New Roman"/>
          <w:sz w:val="24"/>
          <w:u w:val="none"/>
        </w:rPr>
        <w:t>7.3.</w:t>
      </w:r>
      <w:r>
        <w:tab/>
      </w:r>
      <w:r>
        <w:rPr>
          <w:rFonts w:ascii="Times New Roman" w:hAnsi="Times New Roman"/>
          <w:sz w:val="24"/>
        </w:rPr>
        <w:t>Οδηγίες για συγκεκριμένες θέσεις</w:t>
      </w:r>
      <w:bookmarkEnd w:id="688"/>
      <w:bookmarkEnd w:id="68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rsidTr="00672D2A">
        <w:tc>
          <w:tcPr>
            <w:tcW w:w="1188"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Στήλες</w:t>
            </w:r>
          </w:p>
          <w:p w:rsidR="00FD54FC" w:rsidRPr="00392FFD" w:rsidRDefault="00FD54FC" w:rsidP="00FD54FC">
            <w:pPr>
              <w:spacing w:before="0" w:after="0"/>
              <w:ind w:left="33"/>
              <w:rPr>
                <w:rFonts w:ascii="Times New Roman" w:hAnsi="Times New Roman"/>
                <w:bCs/>
                <w:sz w:val="24"/>
              </w:rPr>
            </w:pPr>
          </w:p>
        </w:tc>
        <w:tc>
          <w:tcPr>
            <w:tcW w:w="8640"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Οδηγίες</w:t>
            </w:r>
          </w:p>
        </w:tc>
      </w:tr>
      <w:tr w:rsidR="00FD54FC" w:rsidRPr="00392FFD" w:rsidTr="00672D2A">
        <w:tc>
          <w:tcPr>
            <w:tcW w:w="1188" w:type="dxa"/>
            <w:tcBorders>
              <w:bottom w:val="single" w:sz="4" w:space="0" w:color="auto"/>
            </w:tcBorders>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010-260</w:t>
            </w:r>
          </w:p>
        </w:tc>
        <w:tc>
          <w:tcPr>
            <w:tcW w:w="8640" w:type="dxa"/>
            <w:tcBorders>
              <w:bottom w:val="single" w:sz="4" w:space="0" w:color="auto"/>
            </w:tcBorders>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ΑΜΕΣΑ ΑΝΟΙΓΜΑΤΑ </w:t>
            </w: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ΑΝΟΙΓΜΑΤΑ ΕΝΤΟΣ ΙΣΟΛΟΓΙΣΜΟΥ</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Συνολική ακαθάριστη λογιστική αξία των μη παράγωγων χρηματοοικονομικών στοιχείων ενεργητικού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Συνολική ακαθάριστη λογιστική αξία, όπως καθορίζεται σύμφωνα με το παράρτημα V μέρος 1 παράγραφος 34, των μη παράγωγων χρηματοοικονομικών στοιχείων ενεργ</w:t>
            </w:r>
            <w:r>
              <w:rPr>
                <w:rFonts w:ascii="Times New Roman" w:hAnsi="Times New Roman"/>
                <w:sz w:val="24"/>
              </w:rPr>
              <w:t>η</w:t>
            </w:r>
            <w:r>
              <w:rPr>
                <w:rFonts w:ascii="Times New Roman" w:hAnsi="Times New Roman"/>
                <w:sz w:val="24"/>
              </w:rPr>
              <w:t>τικού έναντι γενικών κυβερνήσεων, για όλα τα λογιστικά χαρτοφυλάκια με βάση τα ΔΠΧΑ ή τις εθνικές ΓΑΛΑ δυνάμει της οδηγίας 86/635/ΕΟΚ (οδηγία για τους λογ</w:t>
            </w:r>
            <w:r>
              <w:rPr>
                <w:rFonts w:ascii="Times New Roman" w:hAnsi="Times New Roman"/>
                <w:sz w:val="24"/>
              </w:rPr>
              <w:t>α</w:t>
            </w:r>
            <w:r>
              <w:rPr>
                <w:rFonts w:ascii="Times New Roman" w:hAnsi="Times New Roman"/>
                <w:sz w:val="24"/>
              </w:rPr>
              <w:t>ριασμούς των τραπεζών, «BAD»), τα οποία ορίζονται στο παράρτημα V μέρος 1 π</w:t>
            </w:r>
            <w:r>
              <w:rPr>
                <w:rFonts w:ascii="Times New Roman" w:hAnsi="Times New Roman"/>
                <w:sz w:val="24"/>
              </w:rPr>
              <w:t>α</w:t>
            </w:r>
            <w:r>
              <w:rPr>
                <w:rFonts w:ascii="Times New Roman" w:hAnsi="Times New Roman"/>
                <w:sz w:val="24"/>
              </w:rPr>
              <w:t xml:space="preserve">ράγραφοι 15 έως 22 και απαριθμούνται στις στήλες 030 έως 120.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Οι προσαρμογές συνετής αποτίμησης δεν μειώνουν την ακαθάριστη λογιστική αξία των ανοιγμάτων εντός και εκτός του χαρτοφυλακίου συναλλαγών επιμετρούμενων στην εύλογη αξία τους.</w:t>
            </w:r>
          </w:p>
          <w:p w:rsidR="00FD54FC" w:rsidRPr="00392FFD" w:rsidRDefault="00FD54FC" w:rsidP="00FD54FC">
            <w:pPr>
              <w:spacing w:before="0" w:after="0"/>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Συνολική λογιστική αξία των μη παράγωγων χρηματοοικονομικών στοιχείων </w:t>
            </w:r>
            <w:r>
              <w:rPr>
                <w:rFonts w:ascii="Times New Roman" w:hAnsi="Times New Roman"/>
                <w:b/>
                <w:sz w:val="24"/>
                <w:u w:val="single"/>
              </w:rPr>
              <w:t>ε</w:t>
            </w:r>
            <w:r>
              <w:rPr>
                <w:rFonts w:ascii="Times New Roman" w:hAnsi="Times New Roman"/>
                <w:b/>
                <w:sz w:val="24"/>
                <w:u w:val="single"/>
              </w:rPr>
              <w:t>νεργητικού (χωρίς τις αρνητικές θέσεις)</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Συνολική λογιστική αξία, σύμφωνα με το παράρτημα V μέρος 1 παράγραφος 27, των μη παράγωγων χρηματοοικονομικών στοιχείων ενεργητικού έναντι γενικών κυβερν</w:t>
            </w:r>
            <w:r>
              <w:rPr>
                <w:rFonts w:ascii="Times New Roman" w:hAnsi="Times New Roman"/>
                <w:sz w:val="24"/>
              </w:rPr>
              <w:t>ή</w:t>
            </w:r>
            <w:r>
              <w:rPr>
                <w:rFonts w:ascii="Times New Roman" w:hAnsi="Times New Roman"/>
                <w:sz w:val="24"/>
              </w:rPr>
              <w:t>σεων, για όλα τα λογιστικά χαρτοφυλάκια με βάση τα ΔΠΧΑ ή τις εθνικές ΓΑΛΑ δ</w:t>
            </w:r>
            <w:r>
              <w:rPr>
                <w:rFonts w:ascii="Times New Roman" w:hAnsi="Times New Roman"/>
                <w:sz w:val="24"/>
              </w:rPr>
              <w:t>υ</w:t>
            </w:r>
            <w:r>
              <w:rPr>
                <w:rFonts w:ascii="Times New Roman" w:hAnsi="Times New Roman"/>
                <w:sz w:val="24"/>
              </w:rPr>
              <w:t>νάμει της BAD, τα οποία ορίζονται στο παράρτημα V μέρος 1 παράγραφοι 15 έως 22 και απαριθμούνται στις στήλες 030 έως 120, χωρίς τις αρνητικές θέσεις.</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Όταν ένα ίδρυμα διαθέτει αρνητική θέση, για την ίδια εναπομένουσα ληκτότητα, τον ίδιο άμεσο αντισυμβαλλόμενο, που εκφράζεται στο ίδιο νόμισμα, η λογιστική αξία της αρνητικής θέσης συμψηφίζεται με τη λογιστική αξία της άμεσης θέσης. Αυτό το κ</w:t>
            </w:r>
            <w:r>
              <w:rPr>
                <w:rFonts w:ascii="Times New Roman" w:hAnsi="Times New Roman"/>
                <w:sz w:val="24"/>
              </w:rPr>
              <w:t>α</w:t>
            </w:r>
            <w:r>
              <w:rPr>
                <w:rFonts w:ascii="Times New Roman" w:hAnsi="Times New Roman"/>
                <w:sz w:val="24"/>
              </w:rPr>
              <w:t>θαρό ποσό θεωρείται ίσο με το μηδέν, όταν είναι αρνητικό ποσό.</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Το άθροισμα των ποσών των στηλών 030 έως 120 μείον το ποσό της στήλης 130 πρ</w:t>
            </w:r>
            <w:r>
              <w:rPr>
                <w:rFonts w:ascii="Times New Roman" w:hAnsi="Times New Roman"/>
                <w:sz w:val="24"/>
              </w:rPr>
              <w:t>έ</w:t>
            </w:r>
            <w:r>
              <w:rPr>
                <w:rFonts w:ascii="Times New Roman" w:hAnsi="Times New Roman"/>
                <w:sz w:val="24"/>
              </w:rPr>
              <w:t>πει να αναφέρεται.</w:t>
            </w:r>
            <w:r>
              <w:rPr>
                <w:sz w:val="24"/>
              </w:rPr>
              <w:t xml:space="preserve"> </w:t>
            </w:r>
            <w:r>
              <w:rPr>
                <w:rFonts w:ascii="Times New Roman" w:hAnsi="Times New Roman"/>
                <w:sz w:val="24"/>
              </w:rPr>
              <w:t>Εάν το ποσό αυτό είναι χαμηλότερο του μηδενός, το προς αναφορά ποσό είναι μηδέν.</w:t>
            </w:r>
          </w:p>
          <w:p w:rsidR="00FD54FC" w:rsidRPr="00392FFD" w:rsidDel="00FB1EBF"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030-120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ΜΗ ΠΑΡΑΓΩΓΑ ΧΡΗΜΑΤΟΟΙΚΟΝΟΜΙΚΑ ΣΤΟΙΧΕΙΑ ΕΝΕΡΓΗΤΙΚΟΥ ΚΑΤΑ ΛΟΓΙΣΤΙΚΑ ΧΑΡΤΟΦΥΛΑΚΙΑ</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Συνολική λογιστική αξία των μη παράγωγων χρηματοοικονομικών στοιχείων ενεργ</w:t>
            </w:r>
            <w:r>
              <w:rPr>
                <w:rFonts w:ascii="Times New Roman" w:hAnsi="Times New Roman"/>
                <w:sz w:val="24"/>
              </w:rPr>
              <w:t>η</w:t>
            </w:r>
            <w:r>
              <w:rPr>
                <w:rFonts w:ascii="Times New Roman" w:hAnsi="Times New Roman"/>
                <w:sz w:val="24"/>
              </w:rPr>
              <w:lastRenderedPageBreak/>
              <w:t>τικού, όπως ορίζονται ανωτέρω, έναντι γενικών κυβερνήσεων κατά λογιστικό χαρτ</w:t>
            </w:r>
            <w:r>
              <w:rPr>
                <w:rFonts w:ascii="Times New Roman" w:hAnsi="Times New Roman"/>
                <w:sz w:val="24"/>
              </w:rPr>
              <w:t>ο</w:t>
            </w:r>
            <w:r>
              <w:rPr>
                <w:rFonts w:ascii="Times New Roman" w:hAnsi="Times New Roman"/>
                <w:sz w:val="24"/>
              </w:rPr>
              <w:t>φυλάκιο βάσει του εφαρμοστέου λογιστικού πλαισίου.</w:t>
            </w:r>
          </w:p>
          <w:p w:rsidR="00FD54FC" w:rsidRPr="00392FFD"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030</w:t>
            </w:r>
          </w:p>
        </w:tc>
        <w:tc>
          <w:tcPr>
            <w:tcW w:w="8640" w:type="dxa"/>
          </w:tcPr>
          <w:p w:rsidR="00FD54FC" w:rsidRPr="00321A3B" w:rsidRDefault="00FD54FC" w:rsidP="00FD54FC">
            <w:pPr>
              <w:spacing w:before="0" w:after="0"/>
              <w:ind w:left="33"/>
              <w:rPr>
                <w:rFonts w:ascii="Times New Roman" w:hAnsi="Times New Roman"/>
                <w:bCs/>
                <w:sz w:val="24"/>
              </w:rPr>
            </w:pPr>
            <w:r>
              <w:rPr>
                <w:rFonts w:ascii="Times New Roman" w:hAnsi="Times New Roman"/>
                <w:b/>
                <w:sz w:val="24"/>
                <w:u w:val="single"/>
              </w:rPr>
              <w:t>Χρηματοοικονομικά στοιχεία ενεργητικού διακρατούμενα για διαπραγμάτευση</w:t>
            </w:r>
          </w:p>
          <w:p w:rsidR="00FD54FC" w:rsidRPr="00321A3B" w:rsidRDefault="00FD54FC" w:rsidP="00FD54FC">
            <w:pPr>
              <w:spacing w:before="0" w:after="0"/>
              <w:ind w:left="33"/>
              <w:rPr>
                <w:rFonts w:ascii="Times New Roman" w:hAnsi="Times New Roman"/>
                <w:bCs/>
                <w:sz w:val="24"/>
              </w:rPr>
            </w:pPr>
          </w:p>
          <w:p w:rsidR="00FD54FC" w:rsidRPr="00321A3B" w:rsidRDefault="001C79CB" w:rsidP="00FD54FC">
            <w:pPr>
              <w:spacing w:before="0" w:after="0"/>
              <w:ind w:left="33"/>
              <w:rPr>
                <w:rFonts w:ascii="Times New Roman" w:hAnsi="Times New Roman"/>
                <w:bCs/>
                <w:sz w:val="24"/>
              </w:rPr>
            </w:pPr>
            <w:r>
              <w:rPr>
                <w:rFonts w:ascii="Times New Roman" w:hAnsi="Times New Roman"/>
                <w:sz w:val="24"/>
              </w:rPr>
              <w:t>ΔΠΧΑ 7.8(α)(ii), ΔΠΧΑ 9 Προσάρτημα Α</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Χρηματοοικονομικά στοιχεία ενεργητικού εμπορικής χρήσης</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Άρθρα 32-33 της BAD, παράρτημα </w:t>
            </w:r>
            <w:proofErr w:type="spellStart"/>
            <w:r>
              <w:rPr>
                <w:rFonts w:ascii="Times New Roman" w:hAnsi="Times New Roman"/>
                <w:sz w:val="24"/>
              </w:rPr>
              <w:t>V.Μέρος</w:t>
            </w:r>
            <w:proofErr w:type="spellEnd"/>
            <w:r>
              <w:rPr>
                <w:rFonts w:ascii="Times New Roman" w:hAnsi="Times New Roman"/>
                <w:sz w:val="24"/>
              </w:rPr>
              <w:t xml:space="preserve"> 1.16, άρθρο 8 παράγραφος 1 στοιχείο α) της λογιστικής οδηγίας</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Να αναφέρονται μόνον από ιδρύματα σύμφωνα με τις εθνικές γενικά αποδεκτές</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λογιστικές αρχές (ΓΑΛΑ).</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Χρηματοοικονομικά στοιχεία ενεργητικού μη εμπορικής χρήσης επιμετρούμενα υποχρεωτικά στην εύλογη αξία μέσω των αποτελεσμάτων</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ΔΠΧΑ 7.8(α)(ii), ΔΠΧΑ 9.4.1.4</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Χρηματοοικονομικά στοιχεία ενεργητικού που αναγνωρίζονται στην εύλογη αξία μέσω των αποτελεσμάτων</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ΔΠΧΑ 7.8(α)(i), ΔΠΧΑ 9.4.1.5 και άρθρο 8 παράγραφος 1 στοιχείο α) και παράγρ</w:t>
            </w:r>
            <w:r>
              <w:rPr>
                <w:rFonts w:ascii="Times New Roman" w:hAnsi="Times New Roman"/>
                <w:sz w:val="24"/>
              </w:rPr>
              <w:t>α</w:t>
            </w:r>
            <w:r>
              <w:rPr>
                <w:rFonts w:ascii="Times New Roman" w:hAnsi="Times New Roman"/>
                <w:sz w:val="24"/>
              </w:rPr>
              <w:t>φος 6 της λογιστικής οδηγίας</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070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Μη παράγωγα χρηματοοικονομικά στοιχεία ενεργητικού μη εμπορικής χρήσης επιμετρούμενα στην εύλογη αξία μέσω των αποτελεσμάτων</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Άρθρο 36 παράγραφος 2 της BAD, άρθρο 8 παράγραφος 1 στοιχείο α) της λογιστικής οδηγίας</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Να αναφέρονται μόνον από ιδρύματα σύμφωνα με τις εθνικές γενικά αποδεκτές</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λογιστικές αρχές (ΓΑΛΑ).</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080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Χρηματοοικονομικά στοιχεία ενεργητικού επιμετρούμενα στην εύλογη αξία μέσω των λοιπών συνολικών εσόδων</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ΔΠΧΑ 7.8(δ), ΔΠΧΑ 9.4.1.2A</w:t>
            </w:r>
          </w:p>
          <w:p w:rsidR="00FD54FC" w:rsidRPr="00321A3B" w:rsidRDefault="00FD54FC" w:rsidP="00FD54FC">
            <w:pPr>
              <w:spacing w:before="0" w:after="0"/>
              <w:ind w:left="33"/>
              <w:rPr>
                <w:rFonts w:ascii="Times New Roman" w:hAnsi="Times New Roman"/>
                <w:b/>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090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Μη παράγωγα χρηματοοικονομικά στοιχεία ενεργητικού μη εμπορικής χρήσης επιμετρούμενα στην εύλογη αξία στα ίδια κεφάλαια</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Άρθρο 8 παράγραφος 1 στοιχείο α) και παράγραφος 8 της λογιστικής οδηγίας</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Να αναφέρονται μόνον από ιδρύματα σύμφωνα με τις εθνικές γενικά αποδεκτές</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λογιστικές αρχές (ΓΑΛΑ).</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Χρηματοοικονομικά στοιχεία ενεργητικού επιμετρούμενα στο αποσβεσμένο κ</w:t>
            </w:r>
            <w:r>
              <w:rPr>
                <w:rFonts w:ascii="Times New Roman" w:hAnsi="Times New Roman"/>
                <w:b/>
                <w:sz w:val="24"/>
                <w:u w:val="single"/>
              </w:rPr>
              <w:t>ό</w:t>
            </w:r>
            <w:r>
              <w:rPr>
                <w:rFonts w:ascii="Times New Roman" w:hAnsi="Times New Roman"/>
                <w:b/>
                <w:sz w:val="24"/>
                <w:u w:val="single"/>
              </w:rPr>
              <w:t>στος</w:t>
            </w:r>
          </w:p>
          <w:p w:rsidR="00FD54FC" w:rsidRPr="00321A3B" w:rsidRDefault="00FD54FC" w:rsidP="00FD54FC">
            <w:pPr>
              <w:spacing w:before="0" w:after="0"/>
              <w:ind w:left="33"/>
              <w:rPr>
                <w:rFonts w:ascii="Times New Roman" w:hAnsi="Times New Roman"/>
                <w:bCs/>
                <w:sz w:val="24"/>
              </w:rPr>
            </w:pPr>
          </w:p>
          <w:p w:rsidR="00FD54FC" w:rsidRPr="00321A3B" w:rsidDel="00501397" w:rsidRDefault="00FD54FC" w:rsidP="00FD54FC">
            <w:pPr>
              <w:spacing w:before="0" w:after="0"/>
              <w:ind w:left="33"/>
              <w:rPr>
                <w:rFonts w:ascii="Times New Roman" w:hAnsi="Times New Roman"/>
                <w:b/>
                <w:bCs/>
                <w:sz w:val="24"/>
                <w:u w:val="single"/>
              </w:rPr>
            </w:pPr>
            <w:r>
              <w:rPr>
                <w:rFonts w:ascii="Times New Roman" w:hAnsi="Times New Roman"/>
                <w:sz w:val="24"/>
              </w:rPr>
              <w:lastRenderedPageBreak/>
              <w:t xml:space="preserve">ΔΠΧΑ 7.8(στ), ΔΠΧΑ 9.4.1.2, παράρτημα </w:t>
            </w:r>
            <w:proofErr w:type="spellStart"/>
            <w:r>
              <w:rPr>
                <w:rFonts w:ascii="Times New Roman" w:hAnsi="Times New Roman"/>
                <w:sz w:val="24"/>
              </w:rPr>
              <w:t>V.Μέρος</w:t>
            </w:r>
            <w:proofErr w:type="spellEnd"/>
            <w:r>
              <w:rPr>
                <w:rFonts w:ascii="Times New Roman" w:hAnsi="Times New Roman"/>
                <w:sz w:val="24"/>
              </w:rPr>
              <w:t xml:space="preserve"> 1.15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110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Μη παράγωγα χρηματοοικονομικά στοιχεία ενεργητικού μη εμπορικής χρήσης επιμετρούμενα με βάση μέθοδο κόστους</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Άρθρο 35 της BAD, άρθρο 6 παράγραφος 1 στοιχείο θ) και άρθρο 8 παράγραφος 2 της λογιστικής οδηγίας, παράρτημα </w:t>
            </w:r>
            <w:proofErr w:type="spellStart"/>
            <w:r>
              <w:rPr>
                <w:rFonts w:ascii="Times New Roman" w:hAnsi="Times New Roman"/>
                <w:sz w:val="24"/>
              </w:rPr>
              <w:t>V.Μέρος</w:t>
            </w:r>
            <w:proofErr w:type="spellEnd"/>
            <w:r>
              <w:rPr>
                <w:rFonts w:ascii="Times New Roman" w:hAnsi="Times New Roman"/>
                <w:sz w:val="24"/>
              </w:rPr>
              <w:t xml:space="preserve"> 1.16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Να αναφέρονται μόνον από ιδρύματα σύμφωνα με τις εθνικές γενικά αποδεκτές</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λογιστικές αρχές (ΓΑΛΑ).</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Άλλα μη παράγωγα χρηματοοικονομικά στοιχεία ενεργητικού μη εμπορικής χρ</w:t>
            </w:r>
            <w:r>
              <w:rPr>
                <w:rFonts w:ascii="Times New Roman" w:hAnsi="Times New Roman"/>
                <w:b/>
                <w:sz w:val="24"/>
                <w:u w:val="single"/>
              </w:rPr>
              <w:t>ή</w:t>
            </w:r>
            <w:r>
              <w:rPr>
                <w:rFonts w:ascii="Times New Roman" w:hAnsi="Times New Roman"/>
                <w:b/>
                <w:sz w:val="24"/>
                <w:u w:val="single"/>
              </w:rPr>
              <w:t>σης</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Άρθρο 37 της BAD, άρθρο 12 παράγραφος 7 της λογιστικής οδηγίας, παράρτημα </w:t>
            </w:r>
            <w:proofErr w:type="spellStart"/>
            <w:r>
              <w:rPr>
                <w:rFonts w:ascii="Times New Roman" w:hAnsi="Times New Roman"/>
                <w:sz w:val="24"/>
              </w:rPr>
              <w:t>V.Μέρος</w:t>
            </w:r>
            <w:proofErr w:type="spellEnd"/>
            <w:r>
              <w:rPr>
                <w:rFonts w:ascii="Times New Roman" w:hAnsi="Times New Roman"/>
                <w:sz w:val="24"/>
              </w:rPr>
              <w:t xml:space="preserve"> 1.16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Να αναφέρονται μόνον από ιδρύματα σύμφωνα με τις εθνικές γενικά αποδεκτές</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λογιστικές αρχές (ΓΑΛΑ).</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Αρνητικές θέσεις</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Λογιστική αξία των αρνητικών θέσεων, όπως ορίζεται στο ΔΠΧΑ 9 BA.7(β), όταν ο άμεσος αντισυμβαλλόμενος είναι γενική κυβέρνηση όπως ορίζεται στην παράγραφο 1.</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Οι αρνητικές θέσεις προκύπτουν όταν το ίδρυμα πωλεί τίτλους που αποκτήθηκαν με δάνεια αγοράς και επαναπώλησης ή που αποτέλεσαν αντικείμενο συναλλαγής δανει</w:t>
            </w:r>
            <w:r>
              <w:rPr>
                <w:rFonts w:ascii="Times New Roman" w:hAnsi="Times New Roman"/>
                <w:sz w:val="24"/>
              </w:rPr>
              <w:t>ο</w:t>
            </w:r>
            <w:r>
              <w:rPr>
                <w:rFonts w:ascii="Times New Roman" w:hAnsi="Times New Roman"/>
                <w:sz w:val="24"/>
              </w:rPr>
              <w:t>δοσίας τίτλων με άμεσο αντισυμβαλλόμενο γενική κυβέρνηση.</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Η λογιστική αξία είναι η εύλογη αξία των αρνητικών θέσεων.</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Οι αρνητικές θέσεις πρέπει να αναφέρονται κατά εναπομένουσα περίοδο ληκτότητας, όπως ορίζεται στις γραμμές 170 έως 230, και κατά άμεσο αντισυμβαλλόμενο. Οι α</w:t>
            </w:r>
            <w:r>
              <w:rPr>
                <w:rFonts w:ascii="Times New Roman" w:hAnsi="Times New Roman"/>
                <w:sz w:val="24"/>
              </w:rPr>
              <w:t>ρ</w:t>
            </w:r>
            <w:r>
              <w:rPr>
                <w:rFonts w:ascii="Times New Roman" w:hAnsi="Times New Roman"/>
                <w:sz w:val="24"/>
              </w:rPr>
              <w:t>νητικές θέσεις θα χρησιμοποιούνται, στη συνέχεια, για τον συμψηφισμό με θέσεις με την ίδια εναπομένουσα ληκτότητα και τον ίδιο άμεσο αντισυμβαλλόμενο για τον υπ</w:t>
            </w:r>
            <w:r>
              <w:rPr>
                <w:rFonts w:ascii="Times New Roman" w:hAnsi="Times New Roman"/>
                <w:sz w:val="24"/>
              </w:rPr>
              <w:t>ο</w:t>
            </w:r>
            <w:r>
              <w:rPr>
                <w:rFonts w:ascii="Times New Roman" w:hAnsi="Times New Roman"/>
                <w:sz w:val="24"/>
              </w:rPr>
              <w:t>λογισμό των στηλών 030 έως 120.</w:t>
            </w:r>
          </w:p>
        </w:tc>
      </w:tr>
      <w:tr w:rsidR="00FD54FC" w:rsidRPr="00392FFD" w:rsidTr="00672D2A">
        <w:tc>
          <w:tcPr>
            <w:tcW w:w="1188" w:type="dxa"/>
          </w:tcPr>
          <w:p w:rsidR="00FD54FC" w:rsidRPr="00392FFD" w:rsidDel="00E97A51" w:rsidRDefault="00FD54FC" w:rsidP="00FD54FC">
            <w:pPr>
              <w:spacing w:before="0" w:after="0"/>
              <w:ind w:left="33"/>
              <w:rPr>
                <w:rFonts w:ascii="Times New Roman" w:hAnsi="Times New Roman"/>
                <w:bCs/>
                <w:sz w:val="24"/>
              </w:rPr>
            </w:pPr>
            <w:r>
              <w:rPr>
                <w:rFonts w:ascii="Times New Roman" w:hAnsi="Times New Roman"/>
                <w:sz w:val="24"/>
              </w:rPr>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Εκ των οποίων: Αρνητικές θέσεις από δάνεια αγοράς και επαναπώλησης που κ</w:t>
            </w:r>
            <w:r>
              <w:rPr>
                <w:rFonts w:ascii="Times New Roman" w:hAnsi="Times New Roman"/>
                <w:b/>
                <w:sz w:val="24"/>
                <w:u w:val="single"/>
              </w:rPr>
              <w:t>α</w:t>
            </w:r>
            <w:r>
              <w:rPr>
                <w:rFonts w:ascii="Times New Roman" w:hAnsi="Times New Roman"/>
                <w:b/>
                <w:sz w:val="24"/>
                <w:u w:val="single"/>
              </w:rPr>
              <w:t>τατάσσονται ως χρηματοοικονομικά στοιχεία ενεργητικού διακρατούμενα για δ</w:t>
            </w:r>
            <w:r>
              <w:rPr>
                <w:rFonts w:ascii="Times New Roman" w:hAnsi="Times New Roman"/>
                <w:b/>
                <w:sz w:val="24"/>
                <w:u w:val="single"/>
              </w:rPr>
              <w:t>ι</w:t>
            </w:r>
            <w:r>
              <w:rPr>
                <w:rFonts w:ascii="Times New Roman" w:hAnsi="Times New Roman"/>
                <w:b/>
                <w:sz w:val="24"/>
                <w:u w:val="single"/>
              </w:rPr>
              <w:t>απραγμάτευση ή χρηματοοικονομικά στοιχεία ενεργητικού εμπορικής χρήσης</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Λογιστική αξία των αρνητικών θέσεων, όπως ορίζεται στο ΔΠΧΑ 9 BA.7(β), που προκύπτουν όταν το ίδρυμα πωλεί τους τίτλους που αποκτήθηκαν με δάνεια αγοράς και επαναπώλησης με άμεσο αντισυμβαλλόμενο γενική κυβέρνηση, τα οποία περ</w:t>
            </w:r>
            <w:r>
              <w:rPr>
                <w:rFonts w:ascii="Times New Roman" w:hAnsi="Times New Roman"/>
                <w:sz w:val="24"/>
              </w:rPr>
              <w:t>ι</w:t>
            </w:r>
            <w:r>
              <w:rPr>
                <w:rFonts w:ascii="Times New Roman" w:hAnsi="Times New Roman"/>
                <w:sz w:val="24"/>
              </w:rPr>
              <w:t>λαμβάνονται στα λογιστικά χαρτοφυλάκια χρηματοοικονομικών στοιχείων ενεργητ</w:t>
            </w:r>
            <w:r>
              <w:rPr>
                <w:rFonts w:ascii="Times New Roman" w:hAnsi="Times New Roman"/>
                <w:sz w:val="24"/>
              </w:rPr>
              <w:t>ι</w:t>
            </w:r>
            <w:r>
              <w:rPr>
                <w:rFonts w:ascii="Times New Roman" w:hAnsi="Times New Roman"/>
                <w:sz w:val="24"/>
              </w:rPr>
              <w:t>κού διακρατούμενων για διαπραγμάτευση ή χρηματοοικονομικών στοιχείων ενεργητ</w:t>
            </w:r>
            <w:r>
              <w:rPr>
                <w:rFonts w:ascii="Times New Roman" w:hAnsi="Times New Roman"/>
                <w:sz w:val="24"/>
              </w:rPr>
              <w:t>ι</w:t>
            </w:r>
            <w:r>
              <w:rPr>
                <w:rFonts w:ascii="Times New Roman" w:hAnsi="Times New Roman"/>
                <w:sz w:val="24"/>
              </w:rPr>
              <w:t>κού εμπορικής χρήσης (στήλες 030 και 040).</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Οι αρνητικές θέσεις που προκύπτουν όταν οι πωληθέντες τίτλοι αποτέλεσαν αντικε</w:t>
            </w:r>
            <w:r>
              <w:rPr>
                <w:rFonts w:ascii="Times New Roman" w:hAnsi="Times New Roman"/>
                <w:sz w:val="24"/>
              </w:rPr>
              <w:t>ί</w:t>
            </w:r>
            <w:r>
              <w:rPr>
                <w:rFonts w:ascii="Times New Roman" w:hAnsi="Times New Roman"/>
                <w:sz w:val="24"/>
              </w:rPr>
              <w:t xml:space="preserve">μενο συναλλαγής δανειοδοσίας τίτλων δεν περιλαμβάνονται στη συγκεκριμένη στήλη. </w:t>
            </w:r>
          </w:p>
          <w:p w:rsidR="00FD54FC" w:rsidRPr="00392FFD" w:rsidDel="00E97A51" w:rsidRDefault="00FD54FC" w:rsidP="00FD54FC">
            <w:pPr>
              <w:spacing w:before="0" w:after="0"/>
              <w:ind w:left="33"/>
              <w:rPr>
                <w:rFonts w:ascii="Times New Roman" w:hAnsi="Times New Roman"/>
                <w:b/>
                <w:bCs/>
                <w:sz w:val="24"/>
                <w:u w:val="single"/>
              </w:rPr>
            </w:pPr>
          </w:p>
        </w:tc>
      </w:tr>
      <w:tr w:rsidR="00FD54FC" w:rsidRPr="00321A3B" w:rsidDel="004A25FD" w:rsidTr="00672D2A">
        <w:tc>
          <w:tcPr>
            <w:tcW w:w="1188" w:type="dxa"/>
          </w:tcPr>
          <w:p w:rsidR="00FD54FC" w:rsidRPr="00321A3B" w:rsidDel="004A25FD" w:rsidRDefault="00FD54FC" w:rsidP="00FD54FC">
            <w:pPr>
              <w:spacing w:before="0" w:after="0"/>
              <w:ind w:left="33"/>
              <w:rPr>
                <w:rFonts w:ascii="Times New Roman" w:hAnsi="Times New Roman"/>
                <w:bCs/>
                <w:sz w:val="24"/>
              </w:rPr>
            </w:pPr>
            <w:r>
              <w:rPr>
                <w:rFonts w:ascii="Times New Roman" w:hAnsi="Times New Roman"/>
                <w:sz w:val="24"/>
              </w:rPr>
              <w:lastRenderedPageBreak/>
              <w:t>150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Σωρευτική απομείωση αξίας</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Συνολική σωρευτική απομείωση αξίας που σχετίζεται με μη παράγωγα χρηματοοικ</w:t>
            </w:r>
            <w:r>
              <w:rPr>
                <w:rFonts w:ascii="Times New Roman" w:hAnsi="Times New Roman"/>
                <w:sz w:val="24"/>
              </w:rPr>
              <w:t>ο</w:t>
            </w:r>
            <w:r>
              <w:rPr>
                <w:rFonts w:ascii="Times New Roman" w:hAnsi="Times New Roman"/>
                <w:sz w:val="24"/>
              </w:rPr>
              <w:t>νομικά στοιχεία ενεργητικού που αναφέρονται στις στήλες 080 έως 120. [Παράρτημα V Μέρος 2 παράγραφοι 70 και 71]</w:t>
            </w:r>
          </w:p>
          <w:p w:rsidR="00FD54FC" w:rsidRPr="00321A3B" w:rsidDel="004A25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Σωρευτική απομείωση αξίας – εκ της οποίας: από χρηματοοικονομικά στοιχεία ενεργητικού στην εύλογη αξία μέσω των λοιπών συνολικών εσόδων ή από μη π</w:t>
            </w:r>
            <w:r>
              <w:rPr>
                <w:rFonts w:ascii="Times New Roman" w:hAnsi="Times New Roman"/>
                <w:b/>
                <w:sz w:val="24"/>
                <w:u w:val="single"/>
              </w:rPr>
              <w:t>α</w:t>
            </w:r>
            <w:r>
              <w:rPr>
                <w:rFonts w:ascii="Times New Roman" w:hAnsi="Times New Roman"/>
                <w:b/>
                <w:sz w:val="24"/>
                <w:u w:val="single"/>
              </w:rPr>
              <w:t>ράγωγα χρηματοοικονομικά στοιχεία ενεργητικού μη εμπορικής χρήσης επιμ</w:t>
            </w:r>
            <w:r>
              <w:rPr>
                <w:rFonts w:ascii="Times New Roman" w:hAnsi="Times New Roman"/>
                <w:b/>
                <w:sz w:val="24"/>
                <w:u w:val="single"/>
              </w:rPr>
              <w:t>ε</w:t>
            </w:r>
            <w:r>
              <w:rPr>
                <w:rFonts w:ascii="Times New Roman" w:hAnsi="Times New Roman"/>
                <w:b/>
                <w:sz w:val="24"/>
                <w:u w:val="single"/>
              </w:rPr>
              <w:t>τρούμενα στην εύλογη αξία στα ίδια κεφάλαια</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Αθροιστική σωρευτική απομείωση αξίας που σχετίζεται με μη παράγωγα χρηματοο</w:t>
            </w:r>
            <w:r>
              <w:rPr>
                <w:rFonts w:ascii="Times New Roman" w:hAnsi="Times New Roman"/>
                <w:sz w:val="24"/>
              </w:rPr>
              <w:t>ι</w:t>
            </w:r>
            <w:r>
              <w:rPr>
                <w:rFonts w:ascii="Times New Roman" w:hAnsi="Times New Roman"/>
                <w:sz w:val="24"/>
              </w:rPr>
              <w:t xml:space="preserve">κονομικά στοιχεία ενεργητικού που αναφέρονται στις στήλες 080 έως 090. </w:t>
            </w:r>
          </w:p>
          <w:p w:rsidR="00FD54FC" w:rsidRPr="00392FFD" w:rsidRDefault="00FD54FC" w:rsidP="00FD54FC">
            <w:pPr>
              <w:spacing w:before="0" w:after="0"/>
              <w:ind w:left="33"/>
              <w:rPr>
                <w:rFonts w:ascii="Times New Roman" w:hAnsi="Times New Roman"/>
                <w:b/>
                <w:bCs/>
                <w:sz w:val="24"/>
                <w:u w:val="single"/>
              </w:rPr>
            </w:pPr>
          </w:p>
        </w:tc>
      </w:tr>
      <w:tr w:rsidR="00FD54FC" w:rsidRPr="00392FFD" w:rsidDel="004A25FD" w:rsidTr="00672D2A">
        <w:tc>
          <w:tcPr>
            <w:tcW w:w="1188" w:type="dxa"/>
          </w:tcPr>
          <w:p w:rsidR="00FD54FC" w:rsidRPr="00392FFD" w:rsidDel="004A25FD" w:rsidRDefault="00FD54FC" w:rsidP="00FD54FC">
            <w:pPr>
              <w:spacing w:before="0" w:after="0"/>
              <w:ind w:left="33"/>
              <w:rPr>
                <w:rFonts w:ascii="Times New Roman" w:hAnsi="Times New Roman"/>
                <w:bCs/>
                <w:sz w:val="24"/>
              </w:rPr>
            </w:pPr>
            <w:r>
              <w:rPr>
                <w:rFonts w:ascii="Times New Roman" w:hAnsi="Times New Roman"/>
                <w:sz w:val="24"/>
              </w:rPr>
              <w:t>170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Σωρευτικές αρνητικές μεταβολές εύλογης αξίας λόγω πιστωτικού κινδύνου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E863C1">
            <w:pPr>
              <w:spacing w:before="0" w:after="0"/>
              <w:ind w:left="33"/>
              <w:rPr>
                <w:rFonts w:ascii="Times New Roman" w:hAnsi="Times New Roman"/>
                <w:bCs/>
                <w:sz w:val="24"/>
              </w:rPr>
            </w:pPr>
            <w:r>
              <w:rPr>
                <w:rFonts w:ascii="Times New Roman" w:hAnsi="Times New Roman"/>
                <w:sz w:val="24"/>
              </w:rPr>
              <w:t>Άθροισμα σωρευτικών αρνητικών μεταβολών εύλογης αξίας λόγω πιστωτικού κινδ</w:t>
            </w:r>
            <w:r>
              <w:rPr>
                <w:rFonts w:ascii="Times New Roman" w:hAnsi="Times New Roman"/>
                <w:sz w:val="24"/>
              </w:rPr>
              <w:t>ύ</w:t>
            </w:r>
            <w:r>
              <w:rPr>
                <w:rFonts w:ascii="Times New Roman" w:hAnsi="Times New Roman"/>
                <w:sz w:val="24"/>
              </w:rPr>
              <w:t>νου που σχετίζεται με τις θέσεις που αναφέρονται στις στήλες 050, 060, 070, 080 και 090. [Παράρτημα V Μέρος 2 παράγραφος 69]</w:t>
            </w:r>
          </w:p>
          <w:p w:rsidR="00FD54FC" w:rsidRPr="00392FFD" w:rsidDel="004A25FD" w:rsidRDefault="00FD54FC" w:rsidP="00BE47D8">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180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Σωρευτικές αρνητικές μεταβολές εύλογης αξίας λόγω πιστωτικού κινδύνου – εκ των οποίων: από χρηματοοικονομικά στοιχεία ενεργητικού μη εμπορικής χρήσης επιμετρούμενα υποχρεωτικά στην εύλογη αξία μέσω των αποτελεσμάτων, από χρηματοοικονομικά στοιχεία ενεργητικού που αναγνωρίζονται στην εύλογη αξία μέσω των αποτελεσμάτων ή από χρηματοοικονομικά στοιχεία ενεργητικού μη εμπορικής χρήσης επιμετρούμενα στην εύλογη αξία μέσω των αποτελεσμάτων</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Άθροισμα σωρευτικών αρνητικών μεταβολών εύλογης αξίας λόγω πιστωτικού κινδ</w:t>
            </w:r>
            <w:r>
              <w:rPr>
                <w:rFonts w:ascii="Times New Roman" w:hAnsi="Times New Roman"/>
                <w:sz w:val="24"/>
              </w:rPr>
              <w:t>ύ</w:t>
            </w:r>
            <w:r>
              <w:rPr>
                <w:rFonts w:ascii="Times New Roman" w:hAnsi="Times New Roman"/>
                <w:sz w:val="24"/>
              </w:rPr>
              <w:t>νου που σχετίζεται με τις θέσεις που αναφέρονται στις στήλες 050, 060 και 070.</w:t>
            </w:r>
          </w:p>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190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Σωρευτικές αρνητικές μεταβολές εύλογης αξίας λόγω πιστωτικού κινδύνου – εκ των οποίων: από χρηματοοικονομικά στοιχεία ενεργητικού στην εύλογη αξία μ</w:t>
            </w:r>
            <w:r>
              <w:rPr>
                <w:rFonts w:ascii="Times New Roman" w:hAnsi="Times New Roman"/>
                <w:b/>
                <w:sz w:val="24"/>
                <w:u w:val="single"/>
              </w:rPr>
              <w:t>έ</w:t>
            </w:r>
            <w:r>
              <w:rPr>
                <w:rFonts w:ascii="Times New Roman" w:hAnsi="Times New Roman"/>
                <w:b/>
                <w:sz w:val="24"/>
                <w:u w:val="single"/>
              </w:rPr>
              <w:t>σω των λοιπών συνολικών εσόδων ή από μη παράγωγα χρηματοοικονομικά στο</w:t>
            </w:r>
            <w:r>
              <w:rPr>
                <w:rFonts w:ascii="Times New Roman" w:hAnsi="Times New Roman"/>
                <w:b/>
                <w:sz w:val="24"/>
                <w:u w:val="single"/>
              </w:rPr>
              <w:t>ι</w:t>
            </w:r>
            <w:r>
              <w:rPr>
                <w:rFonts w:ascii="Times New Roman" w:hAnsi="Times New Roman"/>
                <w:b/>
                <w:sz w:val="24"/>
                <w:u w:val="single"/>
              </w:rPr>
              <w:t>χεία ενεργητικού μη εμπορικής χρήσης επιμετρούμενα στην εύλογη αξία στα ίδια κεφάλαια</w:t>
            </w:r>
          </w:p>
          <w:p w:rsidR="00FD54FC" w:rsidRPr="00392FFD" w:rsidRDefault="00FD54FC" w:rsidP="00FD54FC">
            <w:pPr>
              <w:spacing w:before="0" w:after="0"/>
              <w:ind w:left="33"/>
              <w:rPr>
                <w:rFonts w:ascii="Times New Roman" w:hAnsi="Times New Roman"/>
                <w:bCs/>
                <w:sz w:val="24"/>
              </w:rPr>
            </w:pPr>
          </w:p>
          <w:p w:rsidR="00FD54FC" w:rsidRDefault="00FD54FC" w:rsidP="00FD54FC">
            <w:pPr>
              <w:spacing w:before="0" w:after="0"/>
              <w:ind w:left="33"/>
              <w:rPr>
                <w:rFonts w:ascii="Times New Roman" w:hAnsi="Times New Roman"/>
                <w:bCs/>
                <w:sz w:val="24"/>
              </w:rPr>
            </w:pPr>
            <w:r>
              <w:rPr>
                <w:rFonts w:ascii="Times New Roman" w:hAnsi="Times New Roman"/>
                <w:sz w:val="24"/>
              </w:rPr>
              <w:t>Άθροισμα σωρευτικών αρνητικών μεταβολών εύλογης αξίας λόγω πιστωτικού κινδ</w:t>
            </w:r>
            <w:r>
              <w:rPr>
                <w:rFonts w:ascii="Times New Roman" w:hAnsi="Times New Roman"/>
                <w:sz w:val="24"/>
              </w:rPr>
              <w:t>ύ</w:t>
            </w:r>
            <w:r>
              <w:rPr>
                <w:rFonts w:ascii="Times New Roman" w:hAnsi="Times New Roman"/>
                <w:sz w:val="24"/>
              </w:rPr>
              <w:t>νου που σχετίζεται με τις θέσεις που αναφέρονται στις στήλες 080 και 090.</w:t>
            </w:r>
          </w:p>
          <w:p w:rsidR="00E863C1" w:rsidRPr="00392FFD" w:rsidRDefault="00E863C1"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ΠΑΡΑΓΩΓΑ</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Οι άμεσες θέσεις σε παράγωγα πρέπει να αναφέρονται στις στήλες 200 έως 230.</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Για την αναφορά των παραγώγων που υπόκεινται τόσο σε πιστωτικό κίνδυνο αντ</w:t>
            </w:r>
            <w:r>
              <w:rPr>
                <w:rFonts w:ascii="Times New Roman" w:hAnsi="Times New Roman"/>
                <w:sz w:val="24"/>
              </w:rPr>
              <w:t>ι</w:t>
            </w:r>
            <w:r>
              <w:rPr>
                <w:rFonts w:ascii="Times New Roman" w:hAnsi="Times New Roman"/>
                <w:sz w:val="24"/>
              </w:rPr>
              <w:t>συμβαλλομένου όσο και σε κεφαλαιακές επιβαρύνσεις για τον κίνδυνο αγοράς, βλέπε οδηγίες σχετικά με την κατανομή στις γραμμές.</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Παράγωγα με θετική εύλογη αξία</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Όλα τα παράγωγα μέσα με αντισυμβαλλόμενο γενική κυβέρνηση τα οποία έχουν θετ</w:t>
            </w:r>
            <w:r>
              <w:rPr>
                <w:rFonts w:ascii="Times New Roman" w:hAnsi="Times New Roman"/>
                <w:sz w:val="24"/>
              </w:rPr>
              <w:t>ι</w:t>
            </w:r>
            <w:r>
              <w:rPr>
                <w:rFonts w:ascii="Times New Roman" w:hAnsi="Times New Roman"/>
                <w:sz w:val="24"/>
              </w:rPr>
              <w:lastRenderedPageBreak/>
              <w:t>κή εύλογη αξία για το ίδρυμα κατά την ημερομηνία υποβολής της αναφοράς, ανεξά</w:t>
            </w:r>
            <w:r>
              <w:rPr>
                <w:rFonts w:ascii="Times New Roman" w:hAnsi="Times New Roman"/>
                <w:sz w:val="24"/>
              </w:rPr>
              <w:t>ρ</w:t>
            </w:r>
            <w:r>
              <w:rPr>
                <w:rFonts w:ascii="Times New Roman" w:hAnsi="Times New Roman"/>
                <w:sz w:val="24"/>
              </w:rPr>
              <w:t xml:space="preserve">τητα από το αν χρησιμοποιούνται σε επιλέξιμη σχέση αντιστάθμισης, διακρατούνται για διαπραγμάτευση ή περιλαμβάνονται στο χαρτοφυλάκιο συναλλαγών βάσει των ΔΠΧΑ και των εθνικών ΓΑΛΑ με βάση την οδηγία BAD.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Τα παράγωγα που χρησιμοποιούνται στην οικονομική αντιστάθμιση αναφέρονται σε αυτό το σημείο, όταν περιλαμβάνονται στο λογιστικό χαρτοφυλάκιο συναλλαγών ή στο λογιστικό χαρτοφυλάκιο στοιχείων διακρατούμενων για διαπραγμάτευση (παρά</w:t>
            </w:r>
            <w:r>
              <w:rPr>
                <w:rFonts w:ascii="Times New Roman" w:hAnsi="Times New Roman"/>
                <w:sz w:val="24"/>
              </w:rPr>
              <w:t>ρ</w:t>
            </w:r>
            <w:r>
              <w:rPr>
                <w:rFonts w:ascii="Times New Roman" w:hAnsi="Times New Roman"/>
                <w:sz w:val="24"/>
              </w:rPr>
              <w:t>τημα V μέρος 2 παράγραφοι 120, 124, 125, και 137 έως 140).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200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Παράγωγα με θετική εύλογη αξία: Λογιστική αξία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Λογιστική αξία των παραγώγων που </w:t>
            </w:r>
            <w:proofErr w:type="spellStart"/>
            <w:r>
              <w:rPr>
                <w:rFonts w:ascii="Times New Roman" w:hAnsi="Times New Roman"/>
                <w:sz w:val="24"/>
              </w:rPr>
              <w:t>λογιστικοποιήθηκαν</w:t>
            </w:r>
            <w:proofErr w:type="spellEnd"/>
            <w:r>
              <w:rPr>
                <w:rFonts w:ascii="Times New Roman" w:hAnsi="Times New Roman"/>
                <w:sz w:val="24"/>
              </w:rPr>
              <w:t xml:space="preserve"> ως χρηματοοικονομικά στοιχεία ενεργητικού κατά την ημερομηνία αναφοράς για την υποβολή αναφορών.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Σύμφωνα με τις ΓΑΛΑ με βάση την BAD, στα παράγωγα που πρέπει να αναφέρονται στις στήλες αυτές περιλαμβάνονται τα παράγωγα μέσα επιμετρούμενα στην τιμή κτ</w:t>
            </w:r>
            <w:r>
              <w:rPr>
                <w:rFonts w:ascii="Times New Roman" w:hAnsi="Times New Roman"/>
                <w:sz w:val="24"/>
              </w:rPr>
              <w:t>ή</w:t>
            </w:r>
            <w:r>
              <w:rPr>
                <w:rFonts w:ascii="Times New Roman" w:hAnsi="Times New Roman"/>
                <w:sz w:val="24"/>
              </w:rPr>
              <w:t xml:space="preserve">σης ή στη χαμηλότερη μεταξύ τιμής κτήσης και αγοραίας τιμής, που περιλαμβάνονται στο χαρτοφυλάκιο συναλλαγών ή έχουν αναγνωριστεί ως μέσα αντιστάθμισης. </w:t>
            </w:r>
          </w:p>
          <w:p w:rsidR="00FD54FC" w:rsidRPr="00392FFD" w:rsidRDefault="00FD54FC" w:rsidP="00FD54FC">
            <w:pPr>
              <w:spacing w:before="0" w:after="0"/>
              <w:ind w:left="33"/>
              <w:rPr>
                <w:rFonts w:ascii="Times New Roman" w:hAnsi="Times New Roman"/>
                <w:b/>
                <w:bCs/>
                <w:sz w:val="24"/>
                <w:u w:val="single"/>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Παράγωγα με θετική εύλογη αξία: Ονομαστικό ποσό</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Βάσει των ΔΠΧΑ και των εθνικών ΓΑΛΑ με βάση την BAD, το ονομαστικό ποσό, όπως ορίζεται στο παράρτημα V μέρος 2 παράγραφοι 133 έως 135, όλων των συμβ</w:t>
            </w:r>
            <w:r>
              <w:rPr>
                <w:rFonts w:ascii="Times New Roman" w:hAnsi="Times New Roman"/>
                <w:sz w:val="24"/>
              </w:rPr>
              <w:t>ά</w:t>
            </w:r>
            <w:r>
              <w:rPr>
                <w:rFonts w:ascii="Times New Roman" w:hAnsi="Times New Roman"/>
                <w:sz w:val="24"/>
              </w:rPr>
              <w:t>σεων παραγώγων που έχουν συμφωνηθεί και δεν έχουν ακόμη διακανονιστεί κατά την ημερομηνία αναφοράς για την υποβολή αναφορών, με αντισυμβαλλόμενο γενική κ</w:t>
            </w:r>
            <w:r>
              <w:rPr>
                <w:rFonts w:ascii="Times New Roman" w:hAnsi="Times New Roman"/>
                <w:sz w:val="24"/>
              </w:rPr>
              <w:t>υ</w:t>
            </w:r>
            <w:r>
              <w:rPr>
                <w:rFonts w:ascii="Times New Roman" w:hAnsi="Times New Roman"/>
                <w:sz w:val="24"/>
              </w:rPr>
              <w:t>βέρνηση, όπως ορίζεται ανωτέρω στην παράγραφο 1, όταν η εύλογη αξία του είναι θ</w:t>
            </w:r>
            <w:r>
              <w:rPr>
                <w:rFonts w:ascii="Times New Roman" w:hAnsi="Times New Roman"/>
                <w:sz w:val="24"/>
              </w:rPr>
              <w:t>ε</w:t>
            </w:r>
            <w:r>
              <w:rPr>
                <w:rFonts w:ascii="Times New Roman" w:hAnsi="Times New Roman"/>
                <w:sz w:val="24"/>
              </w:rPr>
              <w:t>τική για το ίδρυμα κατά την ημερομηνία αναφοράς για την υποβολή αναφορών.</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220-230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Παράγωγα με αρνητική εύλογη αξία</w:t>
            </w:r>
          </w:p>
          <w:p w:rsidR="00FD54FC" w:rsidRPr="00321A3B" w:rsidDel="00501397"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Όλα τα παράγωγα με αντισυμβαλλόμενο γενική κυβέρνηση τα οποία έχουν αρνητική εύλογη αξία για το ίδρυμα κατά την ημερομηνία αναφοράς για την υποβολή αναφ</w:t>
            </w:r>
            <w:r>
              <w:rPr>
                <w:rFonts w:ascii="Times New Roman" w:hAnsi="Times New Roman"/>
                <w:sz w:val="24"/>
              </w:rPr>
              <w:t>ο</w:t>
            </w:r>
            <w:r>
              <w:rPr>
                <w:rFonts w:ascii="Times New Roman" w:hAnsi="Times New Roman"/>
                <w:sz w:val="24"/>
              </w:rPr>
              <w:t>ρών, ανεξάρτητα από το αν χρησιμοποιούνται σε επιλέξιμη σχέση αντιστάθμισης ή δ</w:t>
            </w:r>
            <w:r>
              <w:rPr>
                <w:rFonts w:ascii="Times New Roman" w:hAnsi="Times New Roman"/>
                <w:sz w:val="24"/>
              </w:rPr>
              <w:t>ι</w:t>
            </w:r>
            <w:r>
              <w:rPr>
                <w:rFonts w:ascii="Times New Roman" w:hAnsi="Times New Roman"/>
                <w:sz w:val="24"/>
              </w:rPr>
              <w:t xml:space="preserve">ακρατούνται για διαπραγμάτευση ή περιλαμβάνονται στο χαρτοφυλάκιο συναλλαγών βάσει των ΔΠΧΑ και των εθνικών ΓΑΛΑ με βάση την BAD.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Τα παράγωγα που χρησιμοποιούνται στην οικονομική αντιστάθμιση αναφέρονται σε αυτό το σημείο, όταν περιλαμβάνονται στο λογιστικό χαρτοφυλάκιο συναλλαγών ή στο λογιστικό χαρτοφυλάκιο στοιχείων διακρατούμενων για διαπραγμάτευση (παρά</w:t>
            </w:r>
            <w:r>
              <w:rPr>
                <w:rFonts w:ascii="Times New Roman" w:hAnsi="Times New Roman"/>
                <w:sz w:val="24"/>
              </w:rPr>
              <w:t>ρ</w:t>
            </w:r>
            <w:r>
              <w:rPr>
                <w:rFonts w:ascii="Times New Roman" w:hAnsi="Times New Roman"/>
                <w:sz w:val="24"/>
              </w:rPr>
              <w:t>τημα V μέρος 2 παράγραφοι 120, 124, 125, και 137 έως 140).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Παράγωγα με αρνητική εύλογη αξία: Λογιστική αξία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Λογιστική αξία των παραγώγων που </w:t>
            </w:r>
            <w:proofErr w:type="spellStart"/>
            <w:r>
              <w:rPr>
                <w:rFonts w:ascii="Times New Roman" w:hAnsi="Times New Roman"/>
                <w:sz w:val="24"/>
              </w:rPr>
              <w:t>λογιστικοποιήθηκαν</w:t>
            </w:r>
            <w:proofErr w:type="spellEnd"/>
            <w:r>
              <w:rPr>
                <w:rFonts w:ascii="Times New Roman" w:hAnsi="Times New Roman"/>
                <w:sz w:val="24"/>
              </w:rPr>
              <w:t xml:space="preserve"> ως χρηματοοικονομικές </w:t>
            </w:r>
            <w:r>
              <w:rPr>
                <w:rFonts w:ascii="Times New Roman" w:hAnsi="Times New Roman"/>
                <w:sz w:val="24"/>
              </w:rPr>
              <w:t>υ</w:t>
            </w:r>
            <w:r>
              <w:rPr>
                <w:rFonts w:ascii="Times New Roman" w:hAnsi="Times New Roman"/>
                <w:sz w:val="24"/>
              </w:rPr>
              <w:t xml:space="preserve">ποχρεώσεις κατά την ημερομηνία αναφοράς για την υποβολή αναφορών.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Σύμφωνα με τις ΓΑΛΑ με βάση την BAD, στα παράγωγα που πρέπει να αναφέρονται στις στήλες αυτές περιλαμβάνονται τα παράγωγα μέσα επιμετρούμενα στην τιμή κτ</w:t>
            </w:r>
            <w:r>
              <w:rPr>
                <w:rFonts w:ascii="Times New Roman" w:hAnsi="Times New Roman"/>
                <w:sz w:val="24"/>
              </w:rPr>
              <w:t>ή</w:t>
            </w:r>
            <w:r>
              <w:rPr>
                <w:rFonts w:ascii="Times New Roman" w:hAnsi="Times New Roman"/>
                <w:sz w:val="24"/>
              </w:rPr>
              <w:t xml:space="preserve">σης ή στη χαμηλότερη μεταξύ τιμής κτήσης και αγοραίας τιμής, που περιλαμβάνονται </w:t>
            </w:r>
            <w:r>
              <w:rPr>
                <w:rFonts w:ascii="Times New Roman" w:hAnsi="Times New Roman"/>
                <w:sz w:val="24"/>
              </w:rPr>
              <w:lastRenderedPageBreak/>
              <w:t xml:space="preserve">στο χαρτοφυλάκιο συναλλαγών ή έχουν αναγνωριστεί ως μέσα αντιστάθμισης.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230</w:t>
            </w:r>
          </w:p>
        </w:tc>
        <w:tc>
          <w:tcPr>
            <w:tcW w:w="8640" w:type="dxa"/>
          </w:tcPr>
          <w:p w:rsidR="00FD54FC" w:rsidRPr="00392FFD" w:rsidRDefault="00FD54FC" w:rsidP="00FD54FC">
            <w:pPr>
              <w:spacing w:before="0" w:after="0"/>
              <w:rPr>
                <w:rFonts w:ascii="Times New Roman" w:hAnsi="Times New Roman"/>
                <w:b/>
                <w:bCs/>
                <w:sz w:val="24"/>
                <w:u w:val="single"/>
              </w:rPr>
            </w:pPr>
            <w:r>
              <w:rPr>
                <w:rFonts w:ascii="Times New Roman" w:hAnsi="Times New Roman"/>
                <w:b/>
                <w:sz w:val="24"/>
                <w:u w:val="single"/>
              </w:rPr>
              <w:t>Παράγωγα με αρνητική εύλογη αξία: Ονομαστικό ποσό</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Βάσει των ΔΠΧΑ και των εθνικών ΓΑΛΑ με βάση την BAD, το ονομαστικό ποσό, όπως ορίζεται στο παράρτημα V μέρος 2 παράγραφοι 133 έως 135, όλων των συμβ</w:t>
            </w:r>
            <w:r>
              <w:rPr>
                <w:rFonts w:ascii="Times New Roman" w:hAnsi="Times New Roman"/>
                <w:sz w:val="24"/>
              </w:rPr>
              <w:t>ά</w:t>
            </w:r>
            <w:r>
              <w:rPr>
                <w:rFonts w:ascii="Times New Roman" w:hAnsi="Times New Roman"/>
                <w:sz w:val="24"/>
              </w:rPr>
              <w:t>σεων παραγώγων που έχουν συμφωνηθεί και δεν έχουν ακόμη διακανονιστεί κατά την ημερομηνία υποβολής της αναφοράς, με αντισυμβαλλόμενο γενική κυβέρνηση, όπως ορίζεται ανωτέρω στην παράγραφο 1, όταν η εύλογη αξία του είναι αρνητική για το ίδρυμα.</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240-260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ΑΝΟΙΓΜΑΤΑ ΕΚΤΟΣ ΙΣΟΛΟΓΙΣΜΟΥ</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Ονομαστικό ποσό</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Όταν ο άμεσος αντισυμβαλλόμενος του εκτός ισολογισμού στοιχείου είναι γενική κ</w:t>
            </w:r>
            <w:r>
              <w:rPr>
                <w:rFonts w:ascii="Times New Roman" w:hAnsi="Times New Roman"/>
                <w:sz w:val="24"/>
              </w:rPr>
              <w:t>υ</w:t>
            </w:r>
            <w:r>
              <w:rPr>
                <w:rFonts w:ascii="Times New Roman" w:hAnsi="Times New Roman"/>
                <w:sz w:val="24"/>
              </w:rPr>
              <w:t>βέρνηση, όπως ορίζεται ανωτέρω στην παράγραφο 1, το ονομαστικό ποσό των δ</w:t>
            </w:r>
            <w:r>
              <w:rPr>
                <w:rFonts w:ascii="Times New Roman" w:hAnsi="Times New Roman"/>
                <w:sz w:val="24"/>
              </w:rPr>
              <w:t>ε</w:t>
            </w:r>
            <w:r>
              <w:rPr>
                <w:rFonts w:ascii="Times New Roman" w:hAnsi="Times New Roman"/>
                <w:sz w:val="24"/>
              </w:rPr>
              <w:t>σμεύσεων και των χρηματοοικονομικών εγγυήσεων που δεν θεωρούνται παράγωγο, σύμφωνα με τα ΔΠΧΑ ή σύμφωνα με τις εθνικές ΓΑΛΑ με βάση την BAD (παράρτ</w:t>
            </w:r>
            <w:r>
              <w:rPr>
                <w:rFonts w:ascii="Times New Roman" w:hAnsi="Times New Roman"/>
                <w:sz w:val="24"/>
              </w:rPr>
              <w:t>η</w:t>
            </w:r>
            <w:r>
              <w:rPr>
                <w:rFonts w:ascii="Times New Roman" w:hAnsi="Times New Roman"/>
                <w:sz w:val="24"/>
              </w:rPr>
              <w:t>μα V μέρος 2 παράγραφοι 102-119).</w:t>
            </w:r>
          </w:p>
          <w:p w:rsidR="00FD54FC" w:rsidRPr="00392FFD" w:rsidRDefault="00FD54FC" w:rsidP="00FD54FC">
            <w:pPr>
              <w:spacing w:before="0" w:after="0"/>
              <w:ind w:left="33"/>
              <w:rPr>
                <w:rFonts w:ascii="Times New Roman" w:hAnsi="Times New Roman"/>
                <w:bCs/>
                <w:sz w:val="24"/>
              </w:rPr>
            </w:pPr>
          </w:p>
          <w:p w:rsidR="00FD54FC" w:rsidRPr="00392FFD" w:rsidDel="00501397" w:rsidRDefault="00FD54FC" w:rsidP="00FD54FC">
            <w:pPr>
              <w:spacing w:before="0" w:after="0"/>
              <w:ind w:left="33"/>
              <w:rPr>
                <w:rFonts w:ascii="Times New Roman" w:hAnsi="Times New Roman"/>
                <w:b/>
                <w:bCs/>
                <w:sz w:val="24"/>
                <w:u w:val="single"/>
              </w:rPr>
            </w:pPr>
            <w:r>
              <w:rPr>
                <w:rFonts w:ascii="Times New Roman" w:hAnsi="Times New Roman"/>
                <w:sz w:val="24"/>
              </w:rPr>
              <w:t>Σύμφωνα με το παράρτημα V μέρος 1 παράγραφοι 43 και 44, η γενική κυβέρνηση ε</w:t>
            </w:r>
            <w:r>
              <w:rPr>
                <w:rFonts w:ascii="Times New Roman" w:hAnsi="Times New Roman"/>
                <w:sz w:val="24"/>
              </w:rPr>
              <w:t>ί</w:t>
            </w:r>
            <w:r>
              <w:rPr>
                <w:rFonts w:ascii="Times New Roman" w:hAnsi="Times New Roman"/>
                <w:sz w:val="24"/>
              </w:rPr>
              <w:t>ναι ο άμεσος αντισυμβαλλόμενος: α) σε δοθείσα χρηματοοικονομική εγγύηση, όταν είναι ο άμεσος αντισυμβαλλόμενος του εγγυημένου χρεωστικού τίτλου, και β) σε δ</w:t>
            </w:r>
            <w:r>
              <w:rPr>
                <w:rFonts w:ascii="Times New Roman" w:hAnsi="Times New Roman"/>
                <w:sz w:val="24"/>
              </w:rPr>
              <w:t>α</w:t>
            </w:r>
            <w:r>
              <w:rPr>
                <w:rFonts w:ascii="Times New Roman" w:hAnsi="Times New Roman"/>
                <w:sz w:val="24"/>
              </w:rPr>
              <w:t>νειακή δέσμευση και άλλες αναληφθείσες δεσμεύσεις, όταν είναι ο αντισυμβαλλόμ</w:t>
            </w:r>
            <w:r>
              <w:rPr>
                <w:rFonts w:ascii="Times New Roman" w:hAnsi="Times New Roman"/>
                <w:sz w:val="24"/>
              </w:rPr>
              <w:t>ε</w:t>
            </w:r>
            <w:r>
              <w:rPr>
                <w:rFonts w:ascii="Times New Roman" w:hAnsi="Times New Roman"/>
                <w:sz w:val="24"/>
              </w:rPr>
              <w:t xml:space="preserve">νος του οποίου τον πιστωτικό κίνδυνο αναλαμβάνει το αναφέρον ίδρυμα. </w:t>
            </w:r>
          </w:p>
          <w:p w:rsidR="00FD54FC" w:rsidRPr="00392FFD"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Προβλέψεις</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Άρθρο 4 Υποχρεώσεις 6 γ), Στοιχεία εκτός ισολογισμού, άρθρο 27 παράγραφος 11, άρθρο 28 παράγραφος 8, άρθρο 33 της BAD, ΔΠΧΑ 9.4.2.1(γ)(ii), (</w:t>
            </w:r>
            <w:proofErr w:type="spellStart"/>
            <w:r>
              <w:rPr>
                <w:rFonts w:ascii="Times New Roman" w:hAnsi="Times New Roman"/>
                <w:sz w:val="24"/>
              </w:rPr>
              <w:t>δ)(ii</w:t>
            </w:r>
            <w:proofErr w:type="spellEnd"/>
            <w:r>
              <w:rPr>
                <w:rFonts w:ascii="Times New Roman" w:hAnsi="Times New Roman"/>
                <w:sz w:val="24"/>
              </w:rPr>
              <w:t>), 9.5.5.20, ΔΛΠ 37, ΔΠΧΑ 4 παράρτημα V μέρος 2.11.</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 xml:space="preserve">Προβλέψεις για όλα τα ανοίγματα εκτός ισολογισμού, ανεξάρτητα από τον τρόπο με τον οποίο επιμετρώνται, εκτός από όσα επιμετρώνται στην εύλογη αξία μέσω των </w:t>
            </w:r>
            <w:r>
              <w:rPr>
                <w:rFonts w:ascii="Times New Roman" w:hAnsi="Times New Roman"/>
                <w:sz w:val="24"/>
              </w:rPr>
              <w:t>α</w:t>
            </w:r>
            <w:r>
              <w:rPr>
                <w:rFonts w:ascii="Times New Roman" w:hAnsi="Times New Roman"/>
                <w:sz w:val="24"/>
              </w:rPr>
              <w:t>ποτελεσμάτων σύμφωνα με το ΔΠΧΑ 9.</w:t>
            </w:r>
          </w:p>
          <w:p w:rsidR="00FD54FC" w:rsidRPr="00321A3B" w:rsidRDefault="00730040" w:rsidP="00FD54FC">
            <w:pPr>
              <w:spacing w:before="0" w:after="0"/>
              <w:ind w:left="33"/>
              <w:rPr>
                <w:rFonts w:ascii="Times New Roman" w:hAnsi="Times New Roman"/>
                <w:bCs/>
                <w:sz w:val="24"/>
              </w:rPr>
            </w:pP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Βάσει των ΔΠΧΑ, η απομείωση αξίας μιας αναληφθείσας δανειακής δέσμευσης αν</w:t>
            </w:r>
            <w:r>
              <w:rPr>
                <w:rFonts w:ascii="Times New Roman" w:hAnsi="Times New Roman"/>
                <w:sz w:val="24"/>
              </w:rPr>
              <w:t>α</w:t>
            </w:r>
            <w:r>
              <w:rPr>
                <w:rFonts w:ascii="Times New Roman" w:hAnsi="Times New Roman"/>
                <w:sz w:val="24"/>
              </w:rPr>
              <w:t>φέρεται στη στήλη 150, όταν το ίδρυμα δεν μπορεί να προσδιορίσει χωριστά τις αν</w:t>
            </w:r>
            <w:r>
              <w:rPr>
                <w:rFonts w:ascii="Times New Roman" w:hAnsi="Times New Roman"/>
                <w:sz w:val="24"/>
              </w:rPr>
              <w:t>α</w:t>
            </w:r>
            <w:r>
              <w:rPr>
                <w:rFonts w:ascii="Times New Roman" w:hAnsi="Times New Roman"/>
                <w:sz w:val="24"/>
              </w:rPr>
              <w:t>μενόμενες πιστωτικές ζημίες που αφορούν το αναληφθέν και μη αναληφθέν ποσό του χρεωστικού τίτλου. Σε περίπτωση που οι συνδυασμένες αναμενόμενες πιστωτικές ζ</w:t>
            </w:r>
            <w:r>
              <w:rPr>
                <w:rFonts w:ascii="Times New Roman" w:hAnsi="Times New Roman"/>
                <w:sz w:val="24"/>
              </w:rPr>
              <w:t>η</w:t>
            </w:r>
            <w:r>
              <w:rPr>
                <w:rFonts w:ascii="Times New Roman" w:hAnsi="Times New Roman"/>
                <w:sz w:val="24"/>
              </w:rPr>
              <w:t>μίες για το δεδομένο χρηματοοικονομικό μέσο υπερβαίνουν την ακαθάριστη λογιστική αξία της δανειακής συνιστώσας του μέσου, το υπόλοιπο των αναμενόμενων πιστωτ</w:t>
            </w:r>
            <w:r>
              <w:rPr>
                <w:rFonts w:ascii="Times New Roman" w:hAnsi="Times New Roman"/>
                <w:sz w:val="24"/>
              </w:rPr>
              <w:t>ι</w:t>
            </w:r>
            <w:r>
              <w:rPr>
                <w:rFonts w:ascii="Times New Roman" w:hAnsi="Times New Roman"/>
                <w:sz w:val="24"/>
              </w:rPr>
              <w:t>κών ζημιών αναφέρεται ως πρόβλεψη στη στήλη 250.</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Σωρευτικές αρνητικές μεταβολές εύλογης αξίας λόγω πιστωτικού κινδύνου </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Για τα εκτός ισολογισμού στοιχεία που επιμετρώνται στην εύλογη αξία μέσω των απ</w:t>
            </w:r>
            <w:r>
              <w:rPr>
                <w:rFonts w:ascii="Times New Roman" w:hAnsi="Times New Roman"/>
                <w:sz w:val="24"/>
              </w:rPr>
              <w:t>ο</w:t>
            </w:r>
            <w:r>
              <w:rPr>
                <w:rFonts w:ascii="Times New Roman" w:hAnsi="Times New Roman"/>
                <w:sz w:val="24"/>
              </w:rPr>
              <w:t>τελεσμάτων βάσει του ΔΠΧΑ 9, οι σωρευτικές αρνητικές μεταβολές στην εύλογη αξία λόγω πιστωτικού κινδύνου (παράρτημα V μέρος 2 παράγραφος 110).</w:t>
            </w:r>
          </w:p>
          <w:p w:rsidR="00FD54FC" w:rsidRPr="00392FFD"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B74792">
            <w:pPr>
              <w:spacing w:before="0" w:after="0"/>
              <w:ind w:left="33"/>
              <w:rPr>
                <w:rFonts w:ascii="Times New Roman" w:hAnsi="Times New Roman"/>
                <w:bCs/>
                <w:sz w:val="24"/>
              </w:rPr>
            </w:pPr>
            <w:r>
              <w:rPr>
                <w:rFonts w:ascii="Times New Roman" w:hAnsi="Times New Roman"/>
                <w:sz w:val="24"/>
              </w:rPr>
              <w:lastRenderedPageBreak/>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Υπομνηματικό στοιχείο: πωληθέντα πιστωτικά παράγωγα με υποκείμενο στοιχείο ενεργητικού ανοίγματα έναντι γενικών κυβερνήσεων</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Τα πιστωτικά παράγωγα που δεν ανταποκρίνονται στον ορισμό των χρηματοοικονομ</w:t>
            </w:r>
            <w:r>
              <w:rPr>
                <w:rFonts w:ascii="Times New Roman" w:hAnsi="Times New Roman"/>
                <w:sz w:val="24"/>
              </w:rPr>
              <w:t>ι</w:t>
            </w:r>
            <w:r>
              <w:rPr>
                <w:rFonts w:ascii="Times New Roman" w:hAnsi="Times New Roman"/>
                <w:sz w:val="24"/>
              </w:rPr>
              <w:t>κών εγγυήσεων, τα οποία έχει συνάψει το αναφέρον ίδρυμα με αντισυμβαλλόμενους που δεν είναι γενικές κυβερνήσεις και των οποίων το άνοιγμα αναφοράς είναι γενική κυβέρνηση πρέπει να αναφέρονται.</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Οι στήλες αυτές δεν θα αναφέρονται για ανοίγματα κατανεμημένα ανά κίνδυνο, καν</w:t>
            </w:r>
            <w:r>
              <w:rPr>
                <w:rFonts w:ascii="Times New Roman" w:hAnsi="Times New Roman"/>
                <w:sz w:val="24"/>
              </w:rPr>
              <w:t>ο</w:t>
            </w:r>
            <w:r>
              <w:rPr>
                <w:rFonts w:ascii="Times New Roman" w:hAnsi="Times New Roman"/>
                <w:sz w:val="24"/>
              </w:rPr>
              <w:t>νιστική προσέγγιση και κατηγορία ανοιγμάτων (γραμμές 020 έως 160).</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Τα ανοίγματα που αναφέρονται στο συγκεκριμένο τμήμα δεν πρέπει να λαμβάνονται υπόψη στον υπολογισμό της αξίας ανοίγματος και του σταθμισμένου ως προς τον κί</w:t>
            </w:r>
            <w:r>
              <w:rPr>
                <w:rFonts w:ascii="Times New Roman" w:hAnsi="Times New Roman"/>
                <w:sz w:val="24"/>
              </w:rPr>
              <w:t>ν</w:t>
            </w:r>
            <w:r>
              <w:rPr>
                <w:rFonts w:ascii="Times New Roman" w:hAnsi="Times New Roman"/>
                <w:sz w:val="24"/>
              </w:rPr>
              <w:t xml:space="preserve">δυνο ποσού (στήλες 290 και 300), ο οποίος πραγματοποιείται με βάση μόνο τα άμεσα ανοίγματα. </w:t>
            </w: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Παράγωγα με θετική εύλογη αξία – Λογιστική αξία</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Συνολική λογιστική αξία των αναφερόμενων πωληθέντων πιστωτικών παραγώγων με υποκείμενο στοιχείο ενεργητικού ανοίγματα έναντι γενικών κυβερνήσεων, τα οποία έχουν θετική εύλογη αξία για το ίδρυμα κατά την ημερομηνία αναφοράς για την υπ</w:t>
            </w:r>
            <w:r>
              <w:rPr>
                <w:rFonts w:ascii="Times New Roman" w:hAnsi="Times New Roman"/>
                <w:sz w:val="24"/>
              </w:rPr>
              <w:t>ο</w:t>
            </w:r>
            <w:r>
              <w:rPr>
                <w:rFonts w:ascii="Times New Roman" w:hAnsi="Times New Roman"/>
                <w:sz w:val="24"/>
              </w:rPr>
              <w:t>βολή αναφορών, χωρίς να λαμβάνονται υπόψη οι προσαρμογές συνετής αποτίμησης.</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Για τα παράγωγα βάσει των ΔΠΧΑ, το ποσό που πρέπει να αναφέρεται στην παρούσα στήλη είναι η λογιστική αξία των παραγώγων που είναι χρηματοοικονομικά στοιχεία ενεργητικού κατά την ημερομηνία υποβολής αναφοράς.</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Για τα παράγωγα βάσει των ΓΑΛΑ με βάση την BAD, το ποσό που πρέπει να αναφ</w:t>
            </w:r>
            <w:r>
              <w:rPr>
                <w:rFonts w:ascii="Times New Roman" w:hAnsi="Times New Roman"/>
                <w:sz w:val="24"/>
              </w:rPr>
              <w:t>έ</w:t>
            </w:r>
            <w:r>
              <w:rPr>
                <w:rFonts w:ascii="Times New Roman" w:hAnsi="Times New Roman"/>
                <w:sz w:val="24"/>
              </w:rPr>
              <w:t>ρεται στην παρούσα στήλη είναι η εύλογη αξία των παραγώγων με θετική εύλογη αξία κατά την ημερομηνία αναφοράς για την υποβολή αναφορών, ανεξάρτητα από τον τρ</w:t>
            </w:r>
            <w:r>
              <w:rPr>
                <w:rFonts w:ascii="Times New Roman" w:hAnsi="Times New Roman"/>
                <w:sz w:val="24"/>
              </w:rPr>
              <w:t>ό</w:t>
            </w:r>
            <w:r>
              <w:rPr>
                <w:rFonts w:ascii="Times New Roman" w:hAnsi="Times New Roman"/>
                <w:sz w:val="24"/>
              </w:rPr>
              <w:t>πο με τον οποίο λογιστικοποιούνται.</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Παράγωγα με αρνητική εύλογη αξία – Λογιστική αξία</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Συνολική λογιστική αξία των αναφερόμενων πωληθέντων πιστωτικών παραγώγων με υποκείμενο στοιχείο ενεργητικού ανοίγματα έναντι γενικών κυβερνήσεων, τα οποία έχουν αρνητική εύλογη αξία για το ίδρυμα κατά την ημερομηνία αναφοράς για την υποβολή αναφορών, χωρίς να λαμβάνονται υπόψη οι προσαρμογές συνετής αποτίμ</w:t>
            </w:r>
            <w:r>
              <w:rPr>
                <w:rFonts w:ascii="Times New Roman" w:hAnsi="Times New Roman"/>
                <w:sz w:val="24"/>
              </w:rPr>
              <w:t>η</w:t>
            </w:r>
            <w:r>
              <w:rPr>
                <w:rFonts w:ascii="Times New Roman" w:hAnsi="Times New Roman"/>
                <w:sz w:val="24"/>
              </w:rPr>
              <w:t>σης.</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Για τα παράγωγα βάσει των ΔΠΧΑ, το ποσό που πρέπει να αναφέρεται στην παρούσα στήλη είναι η λογιστική αξία των παραγώγων που είναι χρηματοοικονομικές υπ</w:t>
            </w:r>
            <w:r>
              <w:rPr>
                <w:rFonts w:ascii="Times New Roman" w:hAnsi="Times New Roman"/>
                <w:sz w:val="24"/>
              </w:rPr>
              <w:t>ο</w:t>
            </w:r>
            <w:r>
              <w:rPr>
                <w:rFonts w:ascii="Times New Roman" w:hAnsi="Times New Roman"/>
                <w:sz w:val="24"/>
              </w:rPr>
              <w:t xml:space="preserve">χρεώσεις κατά την ημερομηνία υποβολής αναφοράς.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sz w:val="24"/>
              </w:rPr>
              <w:t>Για τα παράγωγα βάσει των ΓΑΛΑ με βάση την BAD, το ποσό που πρέπει να αναφ</w:t>
            </w:r>
            <w:r>
              <w:rPr>
                <w:rFonts w:ascii="Times New Roman" w:hAnsi="Times New Roman"/>
                <w:sz w:val="24"/>
              </w:rPr>
              <w:t>έ</w:t>
            </w:r>
            <w:r>
              <w:rPr>
                <w:rFonts w:ascii="Times New Roman" w:hAnsi="Times New Roman"/>
                <w:sz w:val="24"/>
              </w:rPr>
              <w:t>ρεται στην παρούσα στήλη είναι η εύλογη αξία των παραγώγων με αρνητική εύλογη αξία κατά την ημερομηνία αναφοράς για την υποβολή αναφορών, ανεξάρτητα από τον τρόπο με τον οποίο λογιστικοποιούνται.</w:t>
            </w:r>
            <w:r>
              <w:rPr>
                <w:rFonts w:ascii="Times New Roman" w:hAnsi="Times New Roman"/>
                <w:b/>
                <w:sz w:val="24"/>
                <w:u w:val="single"/>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Αξία ανοίγματος</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Αξία ανοίγματος για τα ανοίγματα που υπόκεινται στο πλαίσιο πιστωτικού κινδύνου.</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Για ανοίγματα στο πλαίσιο της τυποποιημένης προσέγγισης (SA): βλέπε άρθρο 111 του ΚΚΑ. Για ανοίγματα στο πλαίσιο της προσέγγισης IRB: βλέπε άρθρο 166 και ά</w:t>
            </w:r>
            <w:r>
              <w:rPr>
                <w:rFonts w:ascii="Times New Roman" w:hAnsi="Times New Roman"/>
                <w:sz w:val="24"/>
              </w:rPr>
              <w:t>ρ</w:t>
            </w:r>
            <w:r>
              <w:rPr>
                <w:rFonts w:ascii="Times New Roman" w:hAnsi="Times New Roman"/>
                <w:sz w:val="24"/>
              </w:rPr>
              <w:t>θρο 230 παράγραφος 1 δεύτερη περίοδος του ΚΚΑ.</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Για την αναφορά των παραγώγων που υπόκεινται τόσο σε πιστωτικό κίνδυνο αντ</w:t>
            </w:r>
            <w:r>
              <w:rPr>
                <w:rFonts w:ascii="Times New Roman" w:hAnsi="Times New Roman"/>
                <w:sz w:val="24"/>
              </w:rPr>
              <w:t>ι</w:t>
            </w:r>
            <w:r>
              <w:rPr>
                <w:rFonts w:ascii="Times New Roman" w:hAnsi="Times New Roman"/>
                <w:sz w:val="24"/>
              </w:rPr>
              <w:t>συμβαλλομένου όσο και σε κεφαλαιακές επιβαρύνσεις για τον κίνδυνο αγοράς, βλέπε οδηγίες σχετικά με την κατανομή στις γραμμές.</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Ποσό ανοίγματος σταθμισμένο ως προς τον κίνδυνο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Ποσό ανοίγματος σταθμισμένο ως προς τον κίνδυνο για τα ανοίγματα που υπόκεινται στο πλαίσιο πιστωτικού κινδύνου.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Για ανοίγματα στο πλαίσιο της τυποποιημένης προσέγγισης (SA): βλέπε άρθρο 113 παράγραφοι 1 έως 5 του ΚΚΑ. Για ανοίγματα στο πλαίσιο της προσέγγισης IRB: βλ</w:t>
            </w:r>
            <w:r>
              <w:rPr>
                <w:rFonts w:ascii="Times New Roman" w:hAnsi="Times New Roman"/>
                <w:sz w:val="24"/>
              </w:rPr>
              <w:t>έ</w:t>
            </w:r>
            <w:r>
              <w:rPr>
                <w:rFonts w:ascii="Times New Roman" w:hAnsi="Times New Roman"/>
                <w:sz w:val="24"/>
              </w:rPr>
              <w:t>πε άρθρο 153 παράγραφοι 1 και 3 του ΚΚΑ.</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Για την αναφορά άμεσων ανοιγμάτων που εμπίπτουν στο πεδίο εφαρμογής του ά</w:t>
            </w:r>
            <w:r>
              <w:rPr>
                <w:rFonts w:ascii="Times New Roman" w:hAnsi="Times New Roman"/>
                <w:sz w:val="24"/>
              </w:rPr>
              <w:t>ρ</w:t>
            </w:r>
            <w:r>
              <w:rPr>
                <w:rFonts w:ascii="Times New Roman" w:hAnsi="Times New Roman"/>
                <w:sz w:val="24"/>
              </w:rPr>
              <w:t>θρου 271 του ΚΚΑ, που υπόκεινται σε απαιτήσεις ιδίων κεφαλαίων τόσο για τον π</w:t>
            </w:r>
            <w:r>
              <w:rPr>
                <w:rFonts w:ascii="Times New Roman" w:hAnsi="Times New Roman"/>
                <w:sz w:val="24"/>
              </w:rPr>
              <w:t>ι</w:t>
            </w:r>
            <w:r>
              <w:rPr>
                <w:rFonts w:ascii="Times New Roman" w:hAnsi="Times New Roman"/>
                <w:sz w:val="24"/>
              </w:rPr>
              <w:t>στωτικό κίνδυνο αντισυμβαλλομένου όσο και για τον κίνδυνο αγοράς, βλέπε οδηγίες σχετικά με την κατανομή στις γραμμές.</w:t>
            </w:r>
          </w:p>
          <w:p w:rsidR="00FD54FC" w:rsidRPr="00392FFD" w:rsidRDefault="00FD54FC" w:rsidP="00FD54FC">
            <w:pPr>
              <w:spacing w:before="0" w:after="0"/>
              <w:ind w:left="33"/>
              <w:rPr>
                <w:rFonts w:ascii="Times New Roman" w:hAnsi="Times New Roman"/>
                <w:b/>
                <w:bCs/>
                <w:sz w:val="24"/>
                <w:u w:val="single"/>
              </w:rPr>
            </w:pPr>
          </w:p>
        </w:tc>
      </w:tr>
    </w:tbl>
    <w:p w:rsidR="00FD54FC" w:rsidRPr="00392FFD"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rsidTr="00672D2A">
        <w:tc>
          <w:tcPr>
            <w:tcW w:w="1188"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Γραμμές</w:t>
            </w:r>
          </w:p>
        </w:tc>
        <w:tc>
          <w:tcPr>
            <w:tcW w:w="8701"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Οδηγίες</w:t>
            </w:r>
          </w:p>
        </w:tc>
      </w:tr>
      <w:tr w:rsidR="00FD54FC" w:rsidRPr="00392FFD" w:rsidTr="00672D2A">
        <w:tc>
          <w:tcPr>
            <w:tcW w:w="9889" w:type="dxa"/>
            <w:gridSpan w:val="2"/>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ΚΑΤΑΝΟΜΗ ΑΝΟΙΓΜΑΤΩΝ ΑΝΑ ΚΑΝΟΝΙΣΤΙΚΗ ΠΡΟΣΕΓΓΙΣΗ</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701" w:type="dxa"/>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Συνολικά ανοίγματα</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Άθροισμα των ανοιγμάτων έναντι γενικών κυβερνήσεων, όπως ορίζεται στην παρ</w:t>
            </w:r>
            <w:r>
              <w:rPr>
                <w:rFonts w:ascii="Times New Roman" w:hAnsi="Times New Roman"/>
                <w:sz w:val="24"/>
              </w:rPr>
              <w:t>ά</w:t>
            </w:r>
            <w:r>
              <w:rPr>
                <w:rFonts w:ascii="Times New Roman" w:hAnsi="Times New Roman"/>
                <w:sz w:val="24"/>
              </w:rPr>
              <w:t>γραφο 1</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A85E91">
            <w:pPr>
              <w:spacing w:before="0" w:after="0"/>
              <w:ind w:left="33"/>
              <w:rPr>
                <w:rFonts w:ascii="Times New Roman" w:hAnsi="Times New Roman"/>
                <w:bCs/>
                <w:sz w:val="24"/>
              </w:rPr>
            </w:pPr>
            <w:r>
              <w:rPr>
                <w:rFonts w:ascii="Times New Roman" w:hAnsi="Times New Roman"/>
                <w:sz w:val="24"/>
              </w:rPr>
              <w:t>020-155</w:t>
            </w:r>
          </w:p>
        </w:tc>
        <w:tc>
          <w:tcPr>
            <w:tcW w:w="8701" w:type="dxa"/>
          </w:tcPr>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Ανοίγματα βάσει του πλαισίου πιστωτικού κινδύνου</w:t>
            </w:r>
          </w:p>
          <w:p w:rsidR="00FD54FC" w:rsidRPr="00392FFD" w:rsidRDefault="00FD54FC" w:rsidP="00542EAE">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Άθροισμα των ανοιγμάτων έναντι γενικών κυβερνήσεων που σταθμίζονται ως προς τον κίνδυνο σύμφωνα με το τρίτο μέρος τίτλος II του ΚΚΑ. Τα ανοίγματα βάσει του πλα</w:t>
            </w:r>
            <w:r>
              <w:rPr>
                <w:rFonts w:ascii="Times New Roman" w:hAnsi="Times New Roman"/>
                <w:sz w:val="24"/>
              </w:rPr>
              <w:t>ι</w:t>
            </w:r>
            <w:r>
              <w:rPr>
                <w:rFonts w:ascii="Times New Roman" w:hAnsi="Times New Roman"/>
                <w:sz w:val="24"/>
              </w:rPr>
              <w:t>σίου πιστωτικού κινδύνου περιλαμβάνουν ανοίγματα τόσο από το τραπεζικό χαρτοφ</w:t>
            </w:r>
            <w:r>
              <w:rPr>
                <w:rFonts w:ascii="Times New Roman" w:hAnsi="Times New Roman"/>
                <w:sz w:val="24"/>
              </w:rPr>
              <w:t>υ</w:t>
            </w:r>
            <w:r>
              <w:rPr>
                <w:rFonts w:ascii="Times New Roman" w:hAnsi="Times New Roman"/>
                <w:sz w:val="24"/>
              </w:rPr>
              <w:t>λάκιο όσο και από το χαρτοφυλάκιο συναλλαγών που υπόκεινται σε κεφαλαιακή επ</w:t>
            </w:r>
            <w:r>
              <w:rPr>
                <w:rFonts w:ascii="Times New Roman" w:hAnsi="Times New Roman"/>
                <w:sz w:val="24"/>
              </w:rPr>
              <w:t>ι</w:t>
            </w:r>
            <w:r>
              <w:rPr>
                <w:rFonts w:ascii="Times New Roman" w:hAnsi="Times New Roman"/>
                <w:sz w:val="24"/>
              </w:rPr>
              <w:t xml:space="preserve">βάρυνση για τον πιστωτικό κίνδυνο αντισυμβαλλόμενου. </w:t>
            </w:r>
          </w:p>
          <w:p w:rsidR="00FD54FC" w:rsidRPr="00D95045" w:rsidRDefault="00FD54FC" w:rsidP="009068C9">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Τα άμεσα ανοίγματα που εμπίπτουν στο πεδίο εφαρμογής του άρθρου 271 του ΚΚΑ, που υπόκεινται σε απαιτήσεις ιδίων κεφαλαίων τόσο για τον πιστωτικό κίνδυνο αντ</w:t>
            </w:r>
            <w:r>
              <w:rPr>
                <w:rFonts w:ascii="Times New Roman" w:hAnsi="Times New Roman"/>
                <w:sz w:val="24"/>
              </w:rPr>
              <w:t>ι</w:t>
            </w:r>
            <w:r>
              <w:rPr>
                <w:rFonts w:ascii="Times New Roman" w:hAnsi="Times New Roman"/>
                <w:sz w:val="24"/>
              </w:rPr>
              <w:t>συμβαλλομένου όσο και για τον κίνδυνο αγοράς, αναφέρονται τόσο στις γραμμές για τον πιστωτικό κίνδυνο (020 έως 155) όσο και στις γραμμές για τον κίνδυνο αγοράς (γραμμή 160): τα ανοίγματα λόγω πιστωτικού κινδύνου αντισυμβαλλομένου αναφέρ</w:t>
            </w:r>
            <w:r>
              <w:rPr>
                <w:rFonts w:ascii="Times New Roman" w:hAnsi="Times New Roman"/>
                <w:sz w:val="24"/>
              </w:rPr>
              <w:t>ο</w:t>
            </w:r>
            <w:r>
              <w:rPr>
                <w:rFonts w:ascii="Times New Roman" w:hAnsi="Times New Roman"/>
                <w:sz w:val="24"/>
              </w:rPr>
              <w:t>νται στις γραμμές για τον πιστωτικό κίνδυνο, ενώ τα ανοίγματα λόγω κινδύνου αγοράς αναφέρονται στη γραμμή για τον κίνδυνο αγοράς.</w:t>
            </w:r>
          </w:p>
          <w:p w:rsidR="00542EAE" w:rsidRPr="00392FFD" w:rsidRDefault="00542EAE" w:rsidP="009068C9">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030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Τυποποιημένη προσέγγιση</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είναι σταθμισμένα ως προς τον κίνδυνο, σύμφωνα με το τρίτο μέρος τίτλος II κεφάλαιο 2 του ΚΚΑ, συμπεριλαμβανομένων των ανοιγμάτων εκτός του χαρτοφυλακίου συναλλαγών για τα οποία η στάθμιση κινδύνου σύμφωνα με το εν λόγω κεφάλαιο αντιμετωπίζει τον πιστωτικό κίνδυνο αντισυμβα</w:t>
            </w:r>
            <w:r>
              <w:rPr>
                <w:rFonts w:ascii="Times New Roman" w:hAnsi="Times New Roman"/>
                <w:sz w:val="24"/>
              </w:rPr>
              <w:t>λ</w:t>
            </w:r>
            <w:r>
              <w:rPr>
                <w:rFonts w:ascii="Times New Roman" w:hAnsi="Times New Roman"/>
                <w:sz w:val="24"/>
              </w:rPr>
              <w:t>λομένου.</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Κεντρικές κυβερνήσεις</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Ανοίγματα έναντι γενικών κυβερνήσεων που συνιστούν κεντρικές κυβερνήσεις. Τα </w:t>
            </w:r>
            <w:r>
              <w:rPr>
                <w:rFonts w:ascii="Times New Roman" w:hAnsi="Times New Roman"/>
                <w:sz w:val="24"/>
              </w:rPr>
              <w:t>α</w:t>
            </w:r>
            <w:r>
              <w:rPr>
                <w:rFonts w:ascii="Times New Roman" w:hAnsi="Times New Roman"/>
                <w:sz w:val="24"/>
              </w:rPr>
              <w:t xml:space="preserve">νοίγματα αυτά κατατάσσονται στην κατηγορία ανοιγμάτων «κεντρικές κυβερνήσεις ή κεντρικές τράπεζες», σύμφωνα με τα άρθρα 112 και 114 του ΚΚΑ,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κατηγορίες </w:t>
            </w:r>
            <w:r>
              <w:rPr>
                <w:rFonts w:ascii="Times New Roman" w:hAnsi="Times New Roman"/>
                <w:sz w:val="24"/>
              </w:rPr>
              <w:t>α</w:t>
            </w:r>
            <w:r>
              <w:rPr>
                <w:rFonts w:ascii="Times New Roman" w:hAnsi="Times New Roman"/>
                <w:sz w:val="24"/>
              </w:rPr>
              <w:t>νοιγμάτων λόγω της εφαρμογής τεχνικών μείωσης του πιστωτικού κινδύνου με αποτ</w:t>
            </w:r>
            <w:r>
              <w:rPr>
                <w:rFonts w:ascii="Times New Roman" w:hAnsi="Times New Roman"/>
                <w:sz w:val="24"/>
              </w:rPr>
              <w:t>έ</w:t>
            </w:r>
            <w:r>
              <w:rPr>
                <w:rFonts w:ascii="Times New Roman" w:hAnsi="Times New Roman"/>
                <w:sz w:val="24"/>
              </w:rPr>
              <w:t>λεσμα υποκατάστασης στο άνοιγμα, οι οποίες δεν εφαρμόζονται.</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050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Περιφερειακές κυβερνήσεις ή τοπικές αρχές</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περιφερειακές ή τοπικές α</w:t>
            </w:r>
            <w:r>
              <w:rPr>
                <w:rFonts w:ascii="Times New Roman" w:hAnsi="Times New Roman"/>
                <w:sz w:val="24"/>
              </w:rPr>
              <w:t>ρ</w:t>
            </w:r>
            <w:r>
              <w:rPr>
                <w:rFonts w:ascii="Times New Roman" w:hAnsi="Times New Roman"/>
                <w:sz w:val="24"/>
              </w:rPr>
              <w:t>χές. Τα ανοίγματα αυτά κατατάσσονται στην κατηγορία ανοιγμάτων «περιφερειακές κυβερνήσεις ή τοπικές αρχές», σύμφωνα με τα άρθρα 112 και 115 του ΚΚΑ, όπως ορ</w:t>
            </w:r>
            <w:r>
              <w:rPr>
                <w:rFonts w:ascii="Times New Roman" w:hAnsi="Times New Roman"/>
                <w:sz w:val="24"/>
              </w:rPr>
              <w:t>ί</w:t>
            </w:r>
            <w:r>
              <w:rPr>
                <w:rFonts w:ascii="Times New Roman" w:hAnsi="Times New Roman"/>
                <w:sz w:val="24"/>
              </w:rPr>
              <w:t>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w:t>
            </w:r>
            <w:r>
              <w:rPr>
                <w:rFonts w:ascii="Times New Roman" w:hAnsi="Times New Roman"/>
                <w:sz w:val="24"/>
              </w:rPr>
              <w:t>η</w:t>
            </w:r>
            <w:r>
              <w:rPr>
                <w:rFonts w:ascii="Times New Roman" w:hAnsi="Times New Roman"/>
                <w:sz w:val="24"/>
              </w:rPr>
              <w:t>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Οντότητες του δημοσίου τομέα</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οντότητες του δημόσιου τομ</w:t>
            </w:r>
            <w:r>
              <w:rPr>
                <w:rFonts w:ascii="Times New Roman" w:hAnsi="Times New Roman"/>
                <w:sz w:val="24"/>
              </w:rPr>
              <w:t>έ</w:t>
            </w:r>
            <w:r>
              <w:rPr>
                <w:rFonts w:ascii="Times New Roman" w:hAnsi="Times New Roman"/>
                <w:sz w:val="24"/>
              </w:rPr>
              <w:t>α. Τα ανοίγματα αυτά κατατάσσονται στην κατηγορία ανοιγμάτων «οντότητες του δ</w:t>
            </w:r>
            <w:r>
              <w:rPr>
                <w:rFonts w:ascii="Times New Roman" w:hAnsi="Times New Roman"/>
                <w:sz w:val="24"/>
              </w:rPr>
              <w:t>η</w:t>
            </w:r>
            <w:r>
              <w:rPr>
                <w:rFonts w:ascii="Times New Roman" w:hAnsi="Times New Roman"/>
                <w:sz w:val="24"/>
              </w:rPr>
              <w:t>μόσιου τομέα», σύμφωνα με τα άρθρα 112 και 116 του ΚΚΑ, όπως ορίζεται στις οδ</w:t>
            </w:r>
            <w:r>
              <w:rPr>
                <w:rFonts w:ascii="Times New Roman" w:hAnsi="Times New Roman"/>
                <w:sz w:val="24"/>
              </w:rPr>
              <w:t>η</w:t>
            </w:r>
            <w:r>
              <w:rPr>
                <w:rFonts w:ascii="Times New Roman" w:hAnsi="Times New Roman"/>
                <w:sz w:val="24"/>
              </w:rPr>
              <w:t>γίες για το υπόδειγμα C 07.00, εξαιρουμένων των προδιαγραφών όσον αφορά την αν</w:t>
            </w:r>
            <w:r>
              <w:rPr>
                <w:rFonts w:ascii="Times New Roman" w:hAnsi="Times New Roman"/>
                <w:sz w:val="24"/>
              </w:rPr>
              <w:t>α</w:t>
            </w:r>
            <w:r>
              <w:rPr>
                <w:rFonts w:ascii="Times New Roman" w:hAnsi="Times New Roman"/>
                <w:sz w:val="24"/>
              </w:rPr>
              <w:t>κατανομή των ανοιγμάτων έναντι γενικών κυβερνήσεων σε άλλες κατηγορίες ανοιγμ</w:t>
            </w:r>
            <w:r>
              <w:rPr>
                <w:rFonts w:ascii="Times New Roman" w:hAnsi="Times New Roman"/>
                <w:sz w:val="24"/>
              </w:rPr>
              <w:t>ά</w:t>
            </w:r>
            <w:r>
              <w:rPr>
                <w:rFonts w:ascii="Times New Roman" w:hAnsi="Times New Roman"/>
                <w:sz w:val="24"/>
              </w:rPr>
              <w:t>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070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Διεθνείς Οργανισμοί</w:t>
            </w:r>
          </w:p>
          <w:p w:rsidR="00FD54FC" w:rsidRPr="00392FFD" w:rsidRDefault="00FD54FC" w:rsidP="00FD54FC">
            <w:pPr>
              <w:spacing w:before="0" w:after="0"/>
              <w:ind w:left="33"/>
              <w:rPr>
                <w:rFonts w:ascii="Times New Roman" w:hAnsi="Times New Roman"/>
                <w:bCs/>
                <w:sz w:val="24"/>
              </w:rPr>
            </w:pPr>
          </w:p>
          <w:p w:rsidR="00FD54FC" w:rsidRPr="00392FFD" w:rsidRDefault="00530BA1" w:rsidP="00FD54FC">
            <w:pPr>
              <w:spacing w:before="0" w:after="0"/>
              <w:ind w:left="33"/>
              <w:rPr>
                <w:rFonts w:ascii="Times New Roman" w:hAnsi="Times New Roman"/>
                <w:bCs/>
                <w:sz w:val="24"/>
              </w:rPr>
            </w:pPr>
            <w:r>
              <w:rPr>
                <w:rFonts w:ascii="Times New Roman" w:hAnsi="Times New Roman"/>
                <w:sz w:val="24"/>
              </w:rPr>
              <w:t>Άθροισμα ανοιγμάτων έναντι γενικών κυβερνήσεων που συνιστούν διεθνείς οργαν</w:t>
            </w:r>
            <w:r>
              <w:rPr>
                <w:rFonts w:ascii="Times New Roman" w:hAnsi="Times New Roman"/>
                <w:sz w:val="24"/>
              </w:rPr>
              <w:t>ι</w:t>
            </w:r>
            <w:r>
              <w:rPr>
                <w:rFonts w:ascii="Times New Roman" w:hAnsi="Times New Roman"/>
                <w:sz w:val="24"/>
              </w:rPr>
              <w:t>σμούς. Τα ανοίγματα αυτά κατατάσσονται στην κατηγορία ανοιγμάτων «διεθνείς ο</w:t>
            </w:r>
            <w:r>
              <w:rPr>
                <w:rFonts w:ascii="Times New Roman" w:hAnsi="Times New Roman"/>
                <w:sz w:val="24"/>
              </w:rPr>
              <w:t>ρ</w:t>
            </w:r>
            <w:r>
              <w:rPr>
                <w:rFonts w:ascii="Times New Roman" w:hAnsi="Times New Roman"/>
                <w:sz w:val="24"/>
              </w:rPr>
              <w:t>γανισμοί», σύμφωνα με τα άρθρα 112 και 118 του ΚΚΑ, όπως ορίζεται στις οδηγίες για το υπόδειγμα C 07.00, εξαιρουμένων των προδιαγραφών όσον αφορά την ανακ</w:t>
            </w:r>
            <w:r>
              <w:rPr>
                <w:rFonts w:ascii="Times New Roman" w:hAnsi="Times New Roman"/>
                <w:sz w:val="24"/>
              </w:rPr>
              <w:t>α</w:t>
            </w:r>
            <w:r>
              <w:rPr>
                <w:rFonts w:ascii="Times New Roman" w:hAnsi="Times New Roman"/>
                <w:sz w:val="24"/>
              </w:rPr>
              <w:t>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w:t>
            </w:r>
            <w:r>
              <w:rPr>
                <w:rFonts w:ascii="Times New Roman" w:hAnsi="Times New Roman"/>
                <w:sz w:val="24"/>
              </w:rPr>
              <w:t>ο</w:t>
            </w:r>
            <w:r>
              <w:rPr>
                <w:rFonts w:ascii="Times New Roman" w:hAnsi="Times New Roman"/>
                <w:sz w:val="24"/>
              </w:rPr>
              <w:t>κατάστασης στο άνοιγμα, οι οποίες δεν εφαρμόζονται.</w:t>
            </w:r>
          </w:p>
          <w:p w:rsidR="00FD54FC" w:rsidRPr="00392FFD" w:rsidRDefault="00FD54FC" w:rsidP="00FD54FC">
            <w:pPr>
              <w:spacing w:before="0" w:after="0"/>
              <w:ind w:left="33"/>
              <w:rPr>
                <w:rFonts w:ascii="Times New Roman" w:hAnsi="Times New Roman"/>
                <w:b/>
                <w:bCs/>
                <w:sz w:val="24"/>
                <w:u w:val="single"/>
              </w:rPr>
            </w:pPr>
          </w:p>
        </w:tc>
      </w:tr>
      <w:tr w:rsidR="00CE47AF" w:rsidRPr="00392FFD" w:rsidTr="00672D2A">
        <w:tc>
          <w:tcPr>
            <w:tcW w:w="1188" w:type="dxa"/>
          </w:tcPr>
          <w:p w:rsidR="00CE47AF" w:rsidRPr="00392FFD" w:rsidRDefault="00CE47AF" w:rsidP="00FD54FC">
            <w:pPr>
              <w:spacing w:before="0" w:after="0"/>
              <w:ind w:left="33"/>
              <w:rPr>
                <w:rFonts w:ascii="Times New Roman" w:hAnsi="Times New Roman"/>
                <w:bCs/>
                <w:sz w:val="24"/>
              </w:rPr>
            </w:pPr>
            <w:r>
              <w:rPr>
                <w:rFonts w:ascii="Times New Roman" w:hAnsi="Times New Roman"/>
                <w:sz w:val="24"/>
              </w:rPr>
              <w:t>075</w:t>
            </w:r>
          </w:p>
        </w:tc>
        <w:tc>
          <w:tcPr>
            <w:tcW w:w="8701" w:type="dxa"/>
          </w:tcPr>
          <w:p w:rsidR="00CE47AF" w:rsidRDefault="00CE47AF" w:rsidP="00FD54FC">
            <w:pPr>
              <w:spacing w:before="0" w:after="0"/>
              <w:ind w:left="33"/>
              <w:rPr>
                <w:rFonts w:ascii="Times New Roman" w:hAnsi="Times New Roman"/>
                <w:b/>
                <w:bCs/>
                <w:sz w:val="24"/>
                <w:u w:val="single"/>
              </w:rPr>
            </w:pPr>
            <w:r>
              <w:rPr>
                <w:rFonts w:ascii="Times New Roman" w:hAnsi="Times New Roman"/>
                <w:b/>
                <w:sz w:val="24"/>
                <w:u w:val="single"/>
              </w:rPr>
              <w:t>Άλλα ανοίγματα έναντι γενικών κυβερνήσεων υποκείμενα στην τυποποιημένη προσέγγιση</w:t>
            </w:r>
          </w:p>
          <w:p w:rsidR="00CE47AF" w:rsidRPr="00392FFD" w:rsidRDefault="00CE47AF" w:rsidP="00CE47AF">
            <w:pPr>
              <w:spacing w:before="0" w:after="0"/>
              <w:ind w:left="33"/>
              <w:rPr>
                <w:rFonts w:ascii="Times New Roman" w:hAnsi="Times New Roman"/>
                <w:bCs/>
                <w:sz w:val="24"/>
              </w:rPr>
            </w:pPr>
          </w:p>
          <w:p w:rsidR="00CE47AF" w:rsidRDefault="00530BA1" w:rsidP="00FD54FC">
            <w:pPr>
              <w:spacing w:before="0" w:after="0"/>
              <w:ind w:left="33"/>
              <w:rPr>
                <w:rFonts w:ascii="Times New Roman" w:hAnsi="Times New Roman"/>
                <w:bCs/>
                <w:sz w:val="24"/>
              </w:rPr>
            </w:pPr>
            <w:r>
              <w:rPr>
                <w:rFonts w:ascii="Times New Roman" w:hAnsi="Times New Roman"/>
                <w:sz w:val="24"/>
              </w:rPr>
              <w:t xml:space="preserve">Άλλα ανοίγματα έναντι γενικών κυβερνήσεων, πλην εκείνων που περιλαμβάνονται στις γραμμές 040 έως 070 ανωτέρω, τα οποία κατατάσσονται στις κατηγορίες ανοιγμάτων SA, σύμφωνα με το άρθρο 112 του ΚΚΑ, για τους σκοπούς του υπολογισμού των </w:t>
            </w:r>
            <w:r>
              <w:rPr>
                <w:rFonts w:ascii="Times New Roman" w:hAnsi="Times New Roman"/>
                <w:sz w:val="24"/>
              </w:rPr>
              <w:t>α</w:t>
            </w:r>
            <w:r>
              <w:rPr>
                <w:rFonts w:ascii="Times New Roman" w:hAnsi="Times New Roman"/>
                <w:sz w:val="24"/>
              </w:rPr>
              <w:t xml:space="preserve">παιτήσεων ιδίων κεφαλαίων. </w:t>
            </w:r>
          </w:p>
          <w:p w:rsidR="00530BA1" w:rsidRPr="00392FFD" w:rsidRDefault="00530BA1" w:rsidP="00530BA1">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080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Προσέγγιση IRB</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είναι σταθμισμένα ως προς τον κίνδυνο, σύμφωνα με το τρίτο μέρος τίτλος II κεφάλαιο 3 του ΚΚΑ, συμπεριλαμβανομένων των ανοιγμάτων εκτός του χαρτοφυλακίου συναλλαγών για τα οποία η στάθμιση κινδύνου σύμφωνα με το εν λόγω κεφάλαιο αντιμετωπίζει τον πιστωτικό κίνδυνο αντισυμβα</w:t>
            </w:r>
            <w:r>
              <w:rPr>
                <w:rFonts w:ascii="Times New Roman" w:hAnsi="Times New Roman"/>
                <w:sz w:val="24"/>
              </w:rPr>
              <w:t>λ</w:t>
            </w:r>
            <w:r>
              <w:rPr>
                <w:rFonts w:ascii="Times New Roman" w:hAnsi="Times New Roman"/>
                <w:sz w:val="24"/>
              </w:rPr>
              <w:t>λομένου.</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090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Κεντρικές κυβερνήσεις</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κεντρικές κυβερνήσεις και κ</w:t>
            </w:r>
            <w:r>
              <w:rPr>
                <w:rFonts w:ascii="Times New Roman" w:hAnsi="Times New Roman"/>
                <w:sz w:val="24"/>
              </w:rPr>
              <w:t>α</w:t>
            </w:r>
            <w:r>
              <w:rPr>
                <w:rFonts w:ascii="Times New Roman" w:hAnsi="Times New Roman"/>
                <w:sz w:val="24"/>
              </w:rPr>
              <w:t>τατάσσονται στην κατηγορία ανοιγμάτων «κεντρικές κυβερνήσεις και κεντρικές τρ</w:t>
            </w:r>
            <w:r>
              <w:rPr>
                <w:rFonts w:ascii="Times New Roman" w:hAnsi="Times New Roman"/>
                <w:sz w:val="24"/>
              </w:rPr>
              <w:t>ά</w:t>
            </w:r>
            <w:r>
              <w:rPr>
                <w:rFonts w:ascii="Times New Roman" w:hAnsi="Times New Roman"/>
                <w:sz w:val="24"/>
              </w:rPr>
              <w:t>πεζες», σύμφωνα με το άρθρο 147 παράγραφος 3 στοιχείο α) του ΚΚΑ, όπως ορίζεται στις οδηγίες για τα υποδείγματα C 08.01 και C 08.02, εξαιρουμένων των προδιαγρ</w:t>
            </w:r>
            <w:r>
              <w:rPr>
                <w:rFonts w:ascii="Times New Roman" w:hAnsi="Times New Roman"/>
                <w:sz w:val="24"/>
              </w:rPr>
              <w:t>α</w:t>
            </w:r>
            <w:r>
              <w:rPr>
                <w:rFonts w:ascii="Times New Roman" w:hAnsi="Times New Roman"/>
                <w:sz w:val="24"/>
              </w:rPr>
              <w:t>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Περιφερειακές κυβερνήσεις ή τοπικές αρχές [Κεντρικές κυβερνήσεις και κεντρ</w:t>
            </w:r>
            <w:r>
              <w:rPr>
                <w:rFonts w:ascii="Times New Roman" w:hAnsi="Times New Roman"/>
                <w:b/>
                <w:sz w:val="24"/>
                <w:u w:val="single"/>
              </w:rPr>
              <w:t>ι</w:t>
            </w:r>
            <w:r>
              <w:rPr>
                <w:rFonts w:ascii="Times New Roman" w:hAnsi="Times New Roman"/>
                <w:b/>
                <w:sz w:val="24"/>
                <w:u w:val="single"/>
              </w:rPr>
              <w:t>κές τράπεζες]</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περιφερειακές κυβερνήσεις ή τοπικές αρχές και κατατάσσονται στην κατηγορία ανοιγμάτων «κεντρικές κυβερνήσεις και κεντρικές τράπεζες», σύμφωνα με το άρθρο 147 παράγραφος 3 στοιχείο α) του ΚΚΑ, όπως ορίζεται στις οδηγίες για τα υποδείγματα C 08.01 και C 08.02, εξαιρουμ</w:t>
            </w:r>
            <w:r>
              <w:rPr>
                <w:rFonts w:ascii="Times New Roman" w:hAnsi="Times New Roman"/>
                <w:sz w:val="24"/>
              </w:rPr>
              <w:t>έ</w:t>
            </w:r>
            <w:r>
              <w:rPr>
                <w:rFonts w:ascii="Times New Roman" w:hAnsi="Times New Roman"/>
                <w:sz w:val="24"/>
              </w:rPr>
              <w:t>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110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Περιφερειακές κυβερνήσεις ή τοπικές αρχές [Ιδρύματα]</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περιφερειακές κυβερνήσεις ή τοπικές αρχές και κατατάσσονται στην κατηγορία ανοιγμάτων «ιδρύματα», σύμφωνα με το άρθρο 147 παράγραφος 4 στοιχείο α) του ΚΚΑ,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w:t>
            </w:r>
            <w:r>
              <w:rPr>
                <w:rFonts w:ascii="Times New Roman" w:hAnsi="Times New Roman"/>
                <w:sz w:val="24"/>
              </w:rPr>
              <w:t>ο</w:t>
            </w:r>
            <w:r>
              <w:rPr>
                <w:rFonts w:ascii="Times New Roman" w:hAnsi="Times New Roman"/>
                <w:sz w:val="24"/>
              </w:rPr>
              <w:t>τέλεσμα υποκατάστασης στο άνοιγμα, οι οποίες δεν εφαρμόζονται.</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120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Οντότητες του δημοσίου τομέα [Κεντρικές κυβερνήσεις και κεντρικές τράπεζες]</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οντότητες του δημοσίου τομ</w:t>
            </w:r>
            <w:r>
              <w:rPr>
                <w:rFonts w:ascii="Times New Roman" w:hAnsi="Times New Roman"/>
                <w:sz w:val="24"/>
              </w:rPr>
              <w:t>έ</w:t>
            </w:r>
            <w:r>
              <w:rPr>
                <w:rFonts w:ascii="Times New Roman" w:hAnsi="Times New Roman"/>
                <w:sz w:val="24"/>
              </w:rPr>
              <w:t xml:space="preserve">α, σύμφωνα με το άρθρο 4 σημείο 8) του ΚΚΑ, και κατατάσσονται στην κατηγορία </w:t>
            </w:r>
            <w:r>
              <w:rPr>
                <w:rFonts w:ascii="Times New Roman" w:hAnsi="Times New Roman"/>
                <w:sz w:val="24"/>
              </w:rPr>
              <w:lastRenderedPageBreak/>
              <w:t>ανοιγμάτων «κεντρικές κυβερνήσεις και κεντρικές τράπεζες», σύμφωνα με το ά</w:t>
            </w:r>
            <w:r>
              <w:rPr>
                <w:rFonts w:ascii="Times New Roman" w:hAnsi="Times New Roman"/>
                <w:sz w:val="24"/>
              </w:rPr>
              <w:t>ρ</w:t>
            </w:r>
            <w:r>
              <w:rPr>
                <w:rFonts w:ascii="Times New Roman" w:hAnsi="Times New Roman"/>
                <w:sz w:val="24"/>
              </w:rPr>
              <w:t>θρο 147 παράγραφος 3 στοιχείο α) του ΚΚΑ, όπως ορίζεται στις οδηγίες για τα υπ</w:t>
            </w:r>
            <w:r>
              <w:rPr>
                <w:rFonts w:ascii="Times New Roman" w:hAnsi="Times New Roman"/>
                <w:sz w:val="24"/>
              </w:rPr>
              <w:t>ο</w:t>
            </w:r>
            <w:r>
              <w:rPr>
                <w:rFonts w:ascii="Times New Roman" w:hAnsi="Times New Roman"/>
                <w:sz w:val="24"/>
              </w:rPr>
              <w:t>δείγματα C 08.01 και C 08.02, εξαιρουμένων των προδιαγραφών όσον αφορά την αν</w:t>
            </w:r>
            <w:r>
              <w:rPr>
                <w:rFonts w:ascii="Times New Roman" w:hAnsi="Times New Roman"/>
                <w:sz w:val="24"/>
              </w:rPr>
              <w:t>α</w:t>
            </w:r>
            <w:r>
              <w:rPr>
                <w:rFonts w:ascii="Times New Roman" w:hAnsi="Times New Roman"/>
                <w:sz w:val="24"/>
              </w:rPr>
              <w:t>κατανομή των ανοιγμάτων έναντι γενικών κυβερνήσεων σε άλλες κατηγορίες ανοιγμ</w:t>
            </w:r>
            <w:r>
              <w:rPr>
                <w:rFonts w:ascii="Times New Roman" w:hAnsi="Times New Roman"/>
                <w:sz w:val="24"/>
              </w:rPr>
              <w:t>ά</w:t>
            </w:r>
            <w:r>
              <w:rPr>
                <w:rFonts w:ascii="Times New Roman" w:hAnsi="Times New Roman"/>
                <w:sz w:val="24"/>
              </w:rPr>
              <w:t>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130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Οντότητες του δημοσίου τομέα [ιδρύματα]</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οντότητες του δημοσίου τομ</w:t>
            </w:r>
            <w:r>
              <w:rPr>
                <w:rFonts w:ascii="Times New Roman" w:hAnsi="Times New Roman"/>
                <w:sz w:val="24"/>
              </w:rPr>
              <w:t>έ</w:t>
            </w:r>
            <w:r>
              <w:rPr>
                <w:rFonts w:ascii="Times New Roman" w:hAnsi="Times New Roman"/>
                <w:sz w:val="24"/>
              </w:rPr>
              <w:t>α, σύμφωνα με το άρθρο 4 σημείο 8) του ΚΚΑ, και κατατάσσονται στην κατηγορία ανοιγμάτων «ιδρύματα», σύμφωνα με το άρθρο 147 παράγραφος 4 στοιχείο β) του ΚΚΑ, όπως ορίζεται στις οδηγίες για τα υποδείγματα C 08.01 και C 08.02, εξαιρουμ</w:t>
            </w:r>
            <w:r>
              <w:rPr>
                <w:rFonts w:ascii="Times New Roman" w:hAnsi="Times New Roman"/>
                <w:sz w:val="24"/>
              </w:rPr>
              <w:t>έ</w:t>
            </w:r>
            <w:r>
              <w:rPr>
                <w:rFonts w:ascii="Times New Roman" w:hAnsi="Times New Roman"/>
                <w:sz w:val="24"/>
              </w:rPr>
              <w:t>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Del="00C211CB" w:rsidRDefault="00FD54FC" w:rsidP="00FD54FC">
            <w:pPr>
              <w:spacing w:before="0" w:after="0"/>
              <w:ind w:left="33"/>
              <w:rPr>
                <w:rFonts w:ascii="Times New Roman" w:hAnsi="Times New Roman"/>
                <w:bCs/>
                <w:sz w:val="24"/>
              </w:rPr>
            </w:pPr>
            <w:r>
              <w:rPr>
                <w:rFonts w:ascii="Times New Roman" w:hAnsi="Times New Roman"/>
                <w:sz w:val="24"/>
              </w:rPr>
              <w:t>140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Διεθνείς οργανισμοί [Κεντρικές κυβερνήσεις και κεντρικές τράπεζες]</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διεθνείς οργανισμούς και κ</w:t>
            </w:r>
            <w:r>
              <w:rPr>
                <w:rFonts w:ascii="Times New Roman" w:hAnsi="Times New Roman"/>
                <w:sz w:val="24"/>
              </w:rPr>
              <w:t>α</w:t>
            </w:r>
            <w:r>
              <w:rPr>
                <w:rFonts w:ascii="Times New Roman" w:hAnsi="Times New Roman"/>
                <w:sz w:val="24"/>
              </w:rPr>
              <w:t>τατάσσονται στην κατηγορία ανοιγμάτων «κεντρικές κυβερνήσεις και κεντρικές τρ</w:t>
            </w:r>
            <w:r>
              <w:rPr>
                <w:rFonts w:ascii="Times New Roman" w:hAnsi="Times New Roman"/>
                <w:sz w:val="24"/>
              </w:rPr>
              <w:t>ά</w:t>
            </w:r>
            <w:r>
              <w:rPr>
                <w:rFonts w:ascii="Times New Roman" w:hAnsi="Times New Roman"/>
                <w:sz w:val="24"/>
              </w:rPr>
              <w:t>πεζες», σύμφωνα με το άρθρο 147 παράγραφος 3 στοιχείο α) του ΚΚΑ, όπως ορίζεται στις οδηγίες για τα υποδείγματα C 08.01 και C 08.02, εξαιρουμένων των προδιαγρ</w:t>
            </w:r>
            <w:r>
              <w:rPr>
                <w:rFonts w:ascii="Times New Roman" w:hAnsi="Times New Roman"/>
                <w:sz w:val="24"/>
              </w:rPr>
              <w:t>α</w:t>
            </w:r>
            <w:r>
              <w:rPr>
                <w:rFonts w:ascii="Times New Roman" w:hAnsi="Times New Roman"/>
                <w:sz w:val="24"/>
              </w:rPr>
              <w:t>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392FFD" w:rsidRDefault="00FD54FC" w:rsidP="00FD54FC">
            <w:pPr>
              <w:spacing w:before="0" w:after="0"/>
              <w:ind w:left="33"/>
              <w:rPr>
                <w:rFonts w:ascii="Times New Roman" w:hAnsi="Times New Roman"/>
                <w:b/>
                <w:bCs/>
                <w:sz w:val="24"/>
                <w:u w:val="single"/>
              </w:rPr>
            </w:pPr>
          </w:p>
        </w:tc>
      </w:tr>
      <w:tr w:rsidR="00530BA1" w:rsidRPr="00392FFD" w:rsidTr="00672D2A">
        <w:tc>
          <w:tcPr>
            <w:tcW w:w="1188" w:type="dxa"/>
          </w:tcPr>
          <w:p w:rsidR="00530BA1" w:rsidRPr="00392FFD" w:rsidRDefault="00530BA1" w:rsidP="00FD54FC">
            <w:pPr>
              <w:spacing w:before="0" w:after="0"/>
              <w:ind w:left="33"/>
              <w:rPr>
                <w:rFonts w:ascii="Times New Roman" w:hAnsi="Times New Roman"/>
                <w:bCs/>
                <w:sz w:val="24"/>
              </w:rPr>
            </w:pPr>
            <w:r>
              <w:rPr>
                <w:rFonts w:ascii="Times New Roman" w:hAnsi="Times New Roman"/>
                <w:sz w:val="24"/>
              </w:rPr>
              <w:t>155</w:t>
            </w:r>
          </w:p>
        </w:tc>
        <w:tc>
          <w:tcPr>
            <w:tcW w:w="8701" w:type="dxa"/>
          </w:tcPr>
          <w:p w:rsidR="00530BA1" w:rsidRPr="00392FFD" w:rsidRDefault="00530BA1" w:rsidP="00530BA1">
            <w:pPr>
              <w:spacing w:before="0" w:after="0"/>
              <w:ind w:left="33"/>
              <w:rPr>
                <w:rFonts w:ascii="Times New Roman" w:hAnsi="Times New Roman"/>
                <w:b/>
                <w:bCs/>
                <w:sz w:val="24"/>
                <w:u w:val="single"/>
              </w:rPr>
            </w:pPr>
            <w:r>
              <w:rPr>
                <w:rFonts w:ascii="Times New Roman" w:hAnsi="Times New Roman"/>
                <w:b/>
                <w:sz w:val="24"/>
                <w:u w:val="single"/>
              </w:rPr>
              <w:t>Άλλα ανοίγματα έναντι γενικών κυβερνήσεων υποκείμενα στην προσέγγιση IRB</w:t>
            </w:r>
          </w:p>
          <w:p w:rsidR="00530BA1" w:rsidRPr="00392FFD" w:rsidRDefault="00530BA1" w:rsidP="00530BA1">
            <w:pPr>
              <w:spacing w:before="0" w:after="0"/>
              <w:ind w:left="33"/>
              <w:rPr>
                <w:rFonts w:ascii="Times New Roman" w:hAnsi="Times New Roman"/>
                <w:bCs/>
                <w:sz w:val="24"/>
              </w:rPr>
            </w:pPr>
          </w:p>
          <w:p w:rsidR="00530BA1" w:rsidRPr="00392FFD" w:rsidRDefault="00530BA1" w:rsidP="00530BA1">
            <w:pPr>
              <w:spacing w:before="0" w:after="0"/>
              <w:ind w:left="33"/>
              <w:rPr>
                <w:rFonts w:ascii="Times New Roman" w:hAnsi="Times New Roman"/>
                <w:bCs/>
                <w:sz w:val="24"/>
              </w:rPr>
            </w:pPr>
            <w:r>
              <w:rPr>
                <w:rFonts w:ascii="Times New Roman" w:hAnsi="Times New Roman"/>
                <w:sz w:val="24"/>
              </w:rPr>
              <w:t xml:space="preserve">Άλλα ανοίγματα έναντι γενικών κυβερνήσεων, πλην εκείνων που περιλαμβάνονται στις γραμμές 090 έως 140 ανωτέρω, τα οποία κατατάσσονται στις κατηγορίες ανοιγμάτων IRB, σύμφωνα με το άρθρο 147 του ΚΚΑ, για τους σκοπούς του υπολογισμού των </w:t>
            </w:r>
            <w:r>
              <w:rPr>
                <w:rFonts w:ascii="Times New Roman" w:hAnsi="Times New Roman"/>
                <w:sz w:val="24"/>
              </w:rPr>
              <w:t>α</w:t>
            </w:r>
            <w:r>
              <w:rPr>
                <w:rFonts w:ascii="Times New Roman" w:hAnsi="Times New Roman"/>
                <w:sz w:val="24"/>
              </w:rPr>
              <w:t>παιτήσεων ιδίων κεφαλαίων.</w:t>
            </w:r>
          </w:p>
          <w:p w:rsidR="00530BA1" w:rsidRPr="00392FFD" w:rsidRDefault="00530BA1"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Ανοίγματα που υπόκεινται σε κίνδυνο αγοράς</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Τα ανοίγματα σε κίνδυνο αγοράς καλύπτουν τις θέσεις για τις οποίες οι απαιτήσεις </w:t>
            </w:r>
            <w:r>
              <w:rPr>
                <w:rFonts w:ascii="Times New Roman" w:hAnsi="Times New Roman"/>
                <w:sz w:val="24"/>
              </w:rPr>
              <w:t>ι</w:t>
            </w:r>
            <w:r>
              <w:rPr>
                <w:rFonts w:ascii="Times New Roman" w:hAnsi="Times New Roman"/>
                <w:sz w:val="24"/>
              </w:rPr>
              <w:t>δίων κεφαλαίων υπολογίζονται σύμφωνα με το τρίτο μέρος τίτλος IV του ΚΚΑ.</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Τα άμεσα ανοίγματα που εμπίπτουν στο πεδίο εφαρμογής του άρθρου 271 του ΚΚΑ, που υπόκεινται σε απαιτήσεις ιδίων κεφαλαίων τόσο για τον πιστωτικό κίνδυνο αντ</w:t>
            </w:r>
            <w:r>
              <w:rPr>
                <w:rFonts w:ascii="Times New Roman" w:hAnsi="Times New Roman"/>
                <w:sz w:val="24"/>
              </w:rPr>
              <w:t>ι</w:t>
            </w:r>
            <w:r>
              <w:rPr>
                <w:rFonts w:ascii="Times New Roman" w:hAnsi="Times New Roman"/>
                <w:sz w:val="24"/>
              </w:rPr>
              <w:t>συμβαλλομένου όσο και για τον κίνδυνο αγοράς, αναφέρονται τόσο στις γραμμές για τον πιστωτικό κίνδυνο (020 έως 155) όσο και στις γραμμές για τον κίνδυνο αγοράς (γραμμή 160): το άνοιγμα λόγω πιστωτικού κινδύνου αντισυμβαλλομένου αναφέρεται στις γραμμές για τον πιστωτικό κίνδυνο, ενώ το άνοιγμα λόγω κινδύνου αγοράς αν</w:t>
            </w:r>
            <w:r>
              <w:rPr>
                <w:rFonts w:ascii="Times New Roman" w:hAnsi="Times New Roman"/>
                <w:sz w:val="24"/>
              </w:rPr>
              <w:t>α</w:t>
            </w:r>
            <w:r>
              <w:rPr>
                <w:rFonts w:ascii="Times New Roman" w:hAnsi="Times New Roman"/>
                <w:sz w:val="24"/>
              </w:rPr>
              <w:t>φέρεται στη γραμμή για τον κίνδυνο αγοράς.</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170-230</w:t>
            </w:r>
          </w:p>
        </w:tc>
        <w:tc>
          <w:tcPr>
            <w:tcW w:w="8701" w:type="dxa"/>
          </w:tcPr>
          <w:p w:rsidR="00FD54FC" w:rsidRPr="00392FFD" w:rsidRDefault="00FD54FC" w:rsidP="00FD54FC">
            <w:pPr>
              <w:spacing w:before="0" w:after="0"/>
              <w:ind w:left="33"/>
              <w:rPr>
                <w:rFonts w:ascii="Times New Roman" w:hAnsi="Times New Roman"/>
                <w:b/>
                <w:bCs/>
                <w:sz w:val="24"/>
              </w:rPr>
            </w:pPr>
            <w:r>
              <w:rPr>
                <w:rFonts w:ascii="Times New Roman" w:hAnsi="Times New Roman"/>
                <w:b/>
                <w:sz w:val="24"/>
              </w:rPr>
              <w:t>ΚΑΤΑΝΟΜΗ ΑΝΟΙΓΜΑΤΩΝ ΑΝΑ ΕΝΑΠΟΜΕΝΟΥΣΑ ΛΗΚΤΟΤΗΤΑ</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Η εναπομένουσα ληκτότητα υπολογίζεται σε ημέρες μεταξύ της συμβατικής ημερομ</w:t>
            </w:r>
            <w:r>
              <w:rPr>
                <w:rFonts w:ascii="Times New Roman" w:hAnsi="Times New Roman"/>
                <w:sz w:val="24"/>
              </w:rPr>
              <w:t>η</w:t>
            </w:r>
            <w:r>
              <w:rPr>
                <w:rFonts w:ascii="Times New Roman" w:hAnsi="Times New Roman"/>
                <w:sz w:val="24"/>
              </w:rPr>
              <w:t>νίας ληκτότητας και της ημερομηνίας αναφοράς για την υποβολή αναφορών για όλες τις θέσεις.</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Τα ανοίγματα έναντι γενικών κυβερνήσεων κατανέμονται ανά εναπομένουσα ληκτότ</w:t>
            </w:r>
            <w:r>
              <w:rPr>
                <w:rFonts w:ascii="Times New Roman" w:hAnsi="Times New Roman"/>
                <w:sz w:val="24"/>
              </w:rPr>
              <w:t>η</w:t>
            </w:r>
            <w:r>
              <w:rPr>
                <w:rFonts w:ascii="Times New Roman" w:hAnsi="Times New Roman"/>
                <w:sz w:val="24"/>
              </w:rPr>
              <w:t>τα και κατατάσσονται στις κατωτέρω περιόδους:</w:t>
            </w:r>
          </w:p>
          <w:p w:rsidR="00FD54FC" w:rsidRPr="00392FFD" w:rsidRDefault="00FD54FC" w:rsidP="00FD54FC">
            <w:pPr>
              <w:spacing w:before="0" w:after="0"/>
              <w:ind w:left="33"/>
              <w:rPr>
                <w:rFonts w:ascii="Times New Roman" w:hAnsi="Times New Roman"/>
                <w:bCs/>
                <w:sz w:val="24"/>
              </w:rPr>
            </w:pP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[ 0 – 3Μ [</w:t>
            </w:r>
            <w:r>
              <w:rPr>
                <w:rFonts w:ascii="Times New Roman" w:hAnsi="Times New Roman"/>
                <w:sz w:val="24"/>
              </w:rPr>
              <w:t xml:space="preserve"> : Μικρότερη από 90 ημέρες</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[ 3M – 1Ε [</w:t>
            </w:r>
            <w:r>
              <w:rPr>
                <w:rFonts w:ascii="Times New Roman" w:hAnsi="Times New Roman"/>
                <w:sz w:val="24"/>
              </w:rPr>
              <w:t xml:space="preserve"> : Ίση ή μεγαλύτερη από 90 ημέρες και μικρότερη από 365 ημέρες</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[ 1Ε – 2Ε [</w:t>
            </w:r>
            <w:r>
              <w:rPr>
                <w:rFonts w:ascii="Times New Roman" w:hAnsi="Times New Roman"/>
                <w:sz w:val="24"/>
              </w:rPr>
              <w:t xml:space="preserve"> : Ίση ή μεγαλύτερη από 365 ημέρες και μικρότερη από 730 ημέρες</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[ 2Ε – 3Ε [</w:t>
            </w:r>
            <w:r>
              <w:rPr>
                <w:rFonts w:ascii="Times New Roman" w:hAnsi="Times New Roman"/>
                <w:sz w:val="24"/>
              </w:rPr>
              <w:t xml:space="preserve"> : Ίση ή μεγαλύτερη από 730 ημέρες και μικρότερη από 1 095 ημ</w:t>
            </w:r>
            <w:r>
              <w:rPr>
                <w:rFonts w:ascii="Times New Roman" w:hAnsi="Times New Roman"/>
                <w:sz w:val="24"/>
              </w:rPr>
              <w:t>έ</w:t>
            </w:r>
            <w:r>
              <w:rPr>
                <w:rFonts w:ascii="Times New Roman" w:hAnsi="Times New Roman"/>
                <w:sz w:val="24"/>
              </w:rPr>
              <w:t>ρες</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[ 3Ε – 5Ε [</w:t>
            </w:r>
            <w:r>
              <w:rPr>
                <w:rFonts w:ascii="Times New Roman" w:hAnsi="Times New Roman"/>
                <w:sz w:val="24"/>
              </w:rPr>
              <w:t xml:space="preserve"> : Ίση ή μεγαλύτερη από 1 095 ημέρες και μικρότερη από 1.825 </w:t>
            </w:r>
            <w:r>
              <w:rPr>
                <w:rFonts w:ascii="Times New Roman" w:hAnsi="Times New Roman"/>
                <w:sz w:val="24"/>
              </w:rPr>
              <w:t>η</w:t>
            </w:r>
            <w:r>
              <w:rPr>
                <w:rFonts w:ascii="Times New Roman" w:hAnsi="Times New Roman"/>
                <w:sz w:val="24"/>
              </w:rPr>
              <w:t>μέρες</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[ 5Ε – 10Ε [</w:t>
            </w:r>
            <w:r>
              <w:rPr>
                <w:rFonts w:ascii="Times New Roman" w:hAnsi="Times New Roman"/>
                <w:sz w:val="24"/>
              </w:rPr>
              <w:t xml:space="preserve"> : Ίση ή μεγαλύτερη από 1 825 ημέρες και μικρότερη από 3.650 ημέρες</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[ 10Ε – άνω[</w:t>
            </w:r>
            <w:r>
              <w:rPr>
                <w:rFonts w:ascii="Times New Roman" w:hAnsi="Times New Roman"/>
                <w:sz w:val="24"/>
              </w:rPr>
              <w:t xml:space="preserve"> : Ίση ή μεγαλύτερη από 3 650 ημέρες. </w:t>
            </w:r>
          </w:p>
          <w:p w:rsidR="00FD54FC" w:rsidRPr="00392FFD" w:rsidRDefault="00FD54FC" w:rsidP="00FD54FC">
            <w:pPr>
              <w:spacing w:before="0" w:after="0"/>
              <w:ind w:left="33"/>
              <w:rPr>
                <w:rFonts w:ascii="Times New Roman" w:hAnsi="Times New Roman"/>
                <w:bCs/>
                <w:sz w:val="24"/>
              </w:rPr>
            </w:pPr>
          </w:p>
        </w:tc>
      </w:tr>
    </w:tbl>
    <w:p w:rsidR="00FD54FC" w:rsidRPr="00392FFD" w:rsidRDefault="00363459" w:rsidP="006452A4">
      <w:pPr>
        <w:spacing w:after="0"/>
        <w:rPr>
          <w:rStyle w:val="InstructionsTabelleText"/>
          <w:rFonts w:ascii="Times New Roman" w:hAnsi="Times New Roman"/>
          <w:sz w:val="24"/>
        </w:rPr>
      </w:pPr>
      <w:r>
        <w:rPr>
          <w:rStyle w:val="InstructionsTabelleText"/>
          <w:rFonts w:ascii="Times New Roman" w:hAnsi="Times New Roman"/>
          <w:sz w:val="24"/>
        </w:rPr>
        <w:lastRenderedPageBreak/>
        <w:t>»</w:t>
      </w:r>
      <w:bookmarkStart w:id="690" w:name="_GoBack"/>
      <w:bookmarkEnd w:id="690"/>
    </w:p>
    <w:sectPr w:rsidR="00FD54FC" w:rsidRPr="00392FFD"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EA7" w:rsidRDefault="000C5EA7" w:rsidP="00D946DB">
      <w:pPr>
        <w:spacing w:before="0" w:after="0"/>
      </w:pPr>
      <w:r>
        <w:separator/>
      </w:r>
    </w:p>
  </w:endnote>
  <w:endnote w:type="continuationSeparator" w:id="0">
    <w:p w:rsidR="000C5EA7" w:rsidRDefault="000C5EA7" w:rsidP="00D946DB">
      <w:pPr>
        <w:spacing w:before="0" w:after="0"/>
      </w:pPr>
      <w:r>
        <w:continuationSeparator/>
      </w:r>
    </w:p>
  </w:endnote>
  <w:endnote w:type="continuationNotice" w:id="1">
    <w:p w:rsidR="000C5EA7" w:rsidRDefault="000C5EA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Pr="00ED1956" w:rsidRDefault="002B5F2D">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363459">
      <w:rPr>
        <w:rFonts w:ascii="Times New Roman" w:hAnsi="Times New Roman"/>
        <w:noProof/>
        <w:sz w:val="22"/>
        <w:szCs w:val="22"/>
      </w:rPr>
      <w:t>3</w:t>
    </w:r>
    <w:r w:rsidRPr="00ED1956">
      <w:rPr>
        <w:rFonts w:ascii="Times New Roman" w:hAnsi="Times New Roman"/>
        <w:sz w:val="22"/>
        <w:szCs w:val="22"/>
      </w:rPr>
      <w:fldChar w:fldCharType="end"/>
    </w:r>
  </w:p>
  <w:p w:rsidR="002B5F2D" w:rsidRDefault="002B5F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Pr="00E85358" w:rsidRDefault="002B5F2D">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363459">
      <w:rPr>
        <w:noProof/>
        <w:sz w:val="22"/>
        <w:szCs w:val="22"/>
      </w:rPr>
      <w:t>1</w:t>
    </w:r>
    <w:r w:rsidRPr="00E85358">
      <w:rPr>
        <w:noProof/>
        <w:sz w:val="22"/>
        <w:szCs w:val="22"/>
      </w:rPr>
      <w:fldChar w:fldCharType="end"/>
    </w:r>
  </w:p>
  <w:p w:rsidR="002B5F2D" w:rsidRDefault="002B5F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Default="002B5F2D">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2B5F2D" w:rsidRDefault="002B5F2D">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Pr="00ED1956" w:rsidRDefault="002B5F2D">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363459">
      <w:rPr>
        <w:rFonts w:ascii="Times New Roman" w:hAnsi="Times New Roman"/>
        <w:noProof/>
        <w:sz w:val="20"/>
        <w:szCs w:val="20"/>
      </w:rPr>
      <w:t>249</w:t>
    </w:r>
    <w:r w:rsidRPr="00ED1956">
      <w:rPr>
        <w:rFonts w:ascii="Times New Roman" w:hAnsi="Times New Roman"/>
        <w:sz w:val="20"/>
        <w:szCs w:val="20"/>
      </w:rPr>
      <w:fldChar w:fldCharType="end"/>
    </w:r>
  </w:p>
  <w:p w:rsidR="002B5F2D" w:rsidRPr="00A772B4" w:rsidRDefault="002B5F2D"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EA7" w:rsidRDefault="000C5EA7" w:rsidP="00D946DB">
      <w:pPr>
        <w:spacing w:before="0" w:after="0"/>
      </w:pPr>
      <w:r>
        <w:separator/>
      </w:r>
    </w:p>
  </w:footnote>
  <w:footnote w:type="continuationSeparator" w:id="0">
    <w:p w:rsidR="000C5EA7" w:rsidRDefault="000C5EA7" w:rsidP="00D946DB">
      <w:pPr>
        <w:spacing w:before="0" w:after="0"/>
      </w:pPr>
      <w:r>
        <w:continuationSeparator/>
      </w:r>
    </w:p>
  </w:footnote>
  <w:footnote w:type="continuationNotice" w:id="1">
    <w:p w:rsidR="000C5EA7" w:rsidRDefault="000C5EA7">
      <w:pPr>
        <w:spacing w:before="0" w:after="0"/>
      </w:pPr>
    </w:p>
  </w:footnote>
  <w:footnote w:id="2">
    <w:p w:rsidR="002B5F2D" w:rsidRPr="0017440D" w:rsidRDefault="002B5F2D"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Τα δεδομένα που ζητούνται από τα ιδρύματα στο παρόν υπόδειγμα αναφέρονται σε σωρευτική βάση για το φυσικό έτος της αναφοράς (δ</w:t>
      </w:r>
      <w:r>
        <w:rPr>
          <w:rFonts w:ascii="Times New Roman" w:hAnsi="Times New Roman"/>
        </w:rPr>
        <w:t>η</w:t>
      </w:r>
      <w:r>
        <w:rPr>
          <w:rFonts w:ascii="Times New Roman" w:hAnsi="Times New Roman"/>
        </w:rPr>
        <w:t>λαδή, από την 1η Ιανουαρίου του τρέχοντος έτους).</w:t>
      </w:r>
    </w:p>
  </w:footnote>
  <w:footnote w:id="3">
    <w:p w:rsidR="002B5F2D" w:rsidRPr="0017440D" w:rsidRDefault="002B5F2D"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Τα «αυτόνομα ιδρύματα» δεν αποτελούν μέρος ομίλου ούτε ενοποιούνται στην ίδια χώρα στην οποία υπόκεινται σε απαιτήσεις ιδίων κ</w:t>
      </w:r>
      <w:r>
        <w:rPr>
          <w:rFonts w:ascii="Times New Roman" w:hAnsi="Times New Roman"/>
        </w:rPr>
        <w:t>ε</w:t>
      </w:r>
      <w:r>
        <w:rPr>
          <w:rFonts w:ascii="Times New Roman" w:hAnsi="Times New Roman"/>
        </w:rPr>
        <w:t>φαλαίων.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Default="002B5F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2D" w:rsidRDefault="002B5F2D">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459"/>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4B79"/>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l-GR" w:eastAsia="el-GR" w:bidi="el-GR"/>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EC5046"/>
    <w:rPr>
      <w:rFonts w:ascii="Verdana" w:hAnsi="Verdana" w:cs="Times New Roman"/>
      <w:b/>
      <w:sz w:val="24"/>
      <w:szCs w:val="24"/>
      <w:u w:val="single"/>
      <w:lang w:val="el-GR"/>
    </w:rPr>
  </w:style>
  <w:style w:type="character" w:customStyle="1" w:styleId="Heading3Char">
    <w:name w:val="Heading 3 Char"/>
    <w:uiPriority w:val="99"/>
    <w:locked/>
    <w:rsid w:val="00884FEB"/>
    <w:rPr>
      <w:rFonts w:cs="Times New Roman"/>
      <w:sz w:val="24"/>
      <w:szCs w:val="24"/>
      <w:lang w:val="el-GR" w:eastAsia="el-GR"/>
    </w:rPr>
  </w:style>
  <w:style w:type="character" w:customStyle="1" w:styleId="Heading4Char">
    <w:name w:val="Heading 4 Char"/>
    <w:link w:val="Heading4"/>
    <w:uiPriority w:val="99"/>
    <w:locked/>
    <w:rsid w:val="00DE0962"/>
    <w:rPr>
      <w:rFonts w:ascii="Verdana" w:eastAsia="Times New Roman" w:hAnsi="Verdana"/>
      <w:b/>
      <w:szCs w:val="24"/>
      <w:u w:val="single"/>
      <w:lang w:eastAsia="el-GR" w:bidi="el-GR"/>
    </w:rPr>
  </w:style>
  <w:style w:type="character" w:customStyle="1" w:styleId="Heading5Char">
    <w:name w:val="Heading 5 Char"/>
    <w:link w:val="Heading5"/>
    <w:uiPriority w:val="1"/>
    <w:locked/>
    <w:rsid w:val="001E5A75"/>
    <w:rPr>
      <w:rFonts w:ascii="Arial" w:hAnsi="Arial" w:cs="Times New Roman"/>
      <w:b/>
      <w:i/>
      <w:sz w:val="20"/>
      <w:szCs w:val="20"/>
      <w:lang w:eastAsia="el-GR"/>
    </w:rPr>
  </w:style>
  <w:style w:type="character" w:customStyle="1" w:styleId="Heading6Char">
    <w:name w:val="Heading 6 Char"/>
    <w:link w:val="Heading6"/>
    <w:semiHidden/>
    <w:locked/>
    <w:rsid w:val="001E5A75"/>
    <w:rPr>
      <w:rFonts w:ascii="Times New Roman" w:hAnsi="Times New Roman" w:cs="Times New Roman"/>
      <w:b/>
      <w:bCs/>
      <w:lang w:eastAsia="el-GR"/>
    </w:rPr>
  </w:style>
  <w:style w:type="character" w:customStyle="1" w:styleId="Heading7Char">
    <w:name w:val="Heading 7 Char"/>
    <w:link w:val="Heading7"/>
    <w:semiHidden/>
    <w:locked/>
    <w:rsid w:val="001E5A75"/>
    <w:rPr>
      <w:rFonts w:ascii="Times New Roman" w:hAnsi="Times New Roman" w:cs="Times New Roman"/>
      <w:sz w:val="20"/>
      <w:szCs w:val="20"/>
      <w:lang w:eastAsia="el-GR"/>
    </w:rPr>
  </w:style>
  <w:style w:type="character" w:customStyle="1" w:styleId="Heading8Char">
    <w:name w:val="Heading 8 Char"/>
    <w:link w:val="Heading8"/>
    <w:semiHidden/>
    <w:locked/>
    <w:rsid w:val="001E5A75"/>
    <w:rPr>
      <w:rFonts w:ascii="Times New Roman" w:hAnsi="Times New Roman" w:cs="Times New Roman"/>
      <w:i/>
      <w:iCs/>
      <w:sz w:val="20"/>
      <w:szCs w:val="20"/>
      <w:lang w:eastAsia="el-GR"/>
    </w:rPr>
  </w:style>
  <w:style w:type="character" w:customStyle="1" w:styleId="Heading9Char">
    <w:name w:val="Heading 9 Char"/>
    <w:link w:val="Heading9"/>
    <w:semiHidden/>
    <w:locked/>
    <w:rsid w:val="001E5A75"/>
    <w:rPr>
      <w:rFonts w:ascii="Arial" w:hAnsi="Arial" w:cs="Arial"/>
      <w:lang w:eastAsia="el-G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el-GR"/>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el-GR"/>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el-GR"/>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el-GR"/>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el-GR"/>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el-GR"/>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l-GR" w:bidi="el-GR"/>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l-GR" w:bidi="el-GR"/>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l-GR" w:bidi="el-GR"/>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el-GR" w:eastAsia="el-GR"/>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el-GR" w:bidi="el-GR"/>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l-GR" w:bidi="el-GR"/>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el-GR"/>
    </w:rPr>
  </w:style>
  <w:style w:type="character" w:customStyle="1" w:styleId="NumPar1Char">
    <w:name w:val="NumPar 1 Char"/>
    <w:link w:val="NumPar1"/>
    <w:uiPriority w:val="99"/>
    <w:locked/>
    <w:rsid w:val="00D34F75"/>
    <w:rPr>
      <w:rFonts w:cs="Times New Roman"/>
      <w:sz w:val="24"/>
      <w:szCs w:val="24"/>
      <w:lang w:val="el-GR" w:eastAsia="el-GR"/>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el-GR" w:eastAsia="el-GR"/>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l-GR"/>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l-GR" w:eastAsia="el-GR" w:bidi="el-GR"/>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EC5046"/>
    <w:rPr>
      <w:rFonts w:ascii="Verdana" w:hAnsi="Verdana" w:cs="Times New Roman"/>
      <w:b/>
      <w:sz w:val="24"/>
      <w:szCs w:val="24"/>
      <w:u w:val="single"/>
      <w:lang w:val="el-GR"/>
    </w:rPr>
  </w:style>
  <w:style w:type="character" w:customStyle="1" w:styleId="Heading3Char">
    <w:name w:val="Heading 3 Char"/>
    <w:uiPriority w:val="99"/>
    <w:locked/>
    <w:rsid w:val="00884FEB"/>
    <w:rPr>
      <w:rFonts w:cs="Times New Roman"/>
      <w:sz w:val="24"/>
      <w:szCs w:val="24"/>
      <w:lang w:val="el-GR" w:eastAsia="el-GR"/>
    </w:rPr>
  </w:style>
  <w:style w:type="character" w:customStyle="1" w:styleId="Heading4Char">
    <w:name w:val="Heading 4 Char"/>
    <w:link w:val="Heading4"/>
    <w:uiPriority w:val="99"/>
    <w:locked/>
    <w:rsid w:val="00DE0962"/>
    <w:rPr>
      <w:rFonts w:ascii="Verdana" w:eastAsia="Times New Roman" w:hAnsi="Verdana"/>
      <w:b/>
      <w:szCs w:val="24"/>
      <w:u w:val="single"/>
      <w:lang w:eastAsia="el-GR" w:bidi="el-GR"/>
    </w:rPr>
  </w:style>
  <w:style w:type="character" w:customStyle="1" w:styleId="Heading5Char">
    <w:name w:val="Heading 5 Char"/>
    <w:link w:val="Heading5"/>
    <w:uiPriority w:val="1"/>
    <w:locked/>
    <w:rsid w:val="001E5A75"/>
    <w:rPr>
      <w:rFonts w:ascii="Arial" w:hAnsi="Arial" w:cs="Times New Roman"/>
      <w:b/>
      <w:i/>
      <w:sz w:val="20"/>
      <w:szCs w:val="20"/>
      <w:lang w:eastAsia="el-GR"/>
    </w:rPr>
  </w:style>
  <w:style w:type="character" w:customStyle="1" w:styleId="Heading6Char">
    <w:name w:val="Heading 6 Char"/>
    <w:link w:val="Heading6"/>
    <w:semiHidden/>
    <w:locked/>
    <w:rsid w:val="001E5A75"/>
    <w:rPr>
      <w:rFonts w:ascii="Times New Roman" w:hAnsi="Times New Roman" w:cs="Times New Roman"/>
      <w:b/>
      <w:bCs/>
      <w:lang w:eastAsia="el-GR"/>
    </w:rPr>
  </w:style>
  <w:style w:type="character" w:customStyle="1" w:styleId="Heading7Char">
    <w:name w:val="Heading 7 Char"/>
    <w:link w:val="Heading7"/>
    <w:semiHidden/>
    <w:locked/>
    <w:rsid w:val="001E5A75"/>
    <w:rPr>
      <w:rFonts w:ascii="Times New Roman" w:hAnsi="Times New Roman" w:cs="Times New Roman"/>
      <w:sz w:val="20"/>
      <w:szCs w:val="20"/>
      <w:lang w:eastAsia="el-GR"/>
    </w:rPr>
  </w:style>
  <w:style w:type="character" w:customStyle="1" w:styleId="Heading8Char">
    <w:name w:val="Heading 8 Char"/>
    <w:link w:val="Heading8"/>
    <w:semiHidden/>
    <w:locked/>
    <w:rsid w:val="001E5A75"/>
    <w:rPr>
      <w:rFonts w:ascii="Times New Roman" w:hAnsi="Times New Roman" w:cs="Times New Roman"/>
      <w:i/>
      <w:iCs/>
      <w:sz w:val="20"/>
      <w:szCs w:val="20"/>
      <w:lang w:eastAsia="el-GR"/>
    </w:rPr>
  </w:style>
  <w:style w:type="character" w:customStyle="1" w:styleId="Heading9Char">
    <w:name w:val="Heading 9 Char"/>
    <w:link w:val="Heading9"/>
    <w:semiHidden/>
    <w:locked/>
    <w:rsid w:val="001E5A75"/>
    <w:rPr>
      <w:rFonts w:ascii="Arial" w:hAnsi="Arial" w:cs="Arial"/>
      <w:lang w:eastAsia="el-G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el-GR"/>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el-GR"/>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el-GR"/>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el-GR"/>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el-GR"/>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el-GR"/>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l-GR" w:bidi="el-GR"/>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l-GR" w:bidi="el-GR"/>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l-GR" w:bidi="el-GR"/>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el-GR" w:eastAsia="el-GR"/>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el-GR" w:bidi="el-GR"/>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l-GR" w:bidi="el-GR"/>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el-GR"/>
    </w:rPr>
  </w:style>
  <w:style w:type="character" w:customStyle="1" w:styleId="NumPar1Char">
    <w:name w:val="NumPar 1 Char"/>
    <w:link w:val="NumPar1"/>
    <w:uiPriority w:val="99"/>
    <w:locked/>
    <w:rsid w:val="00D34F75"/>
    <w:rPr>
      <w:rFonts w:cs="Times New Roman"/>
      <w:sz w:val="24"/>
      <w:szCs w:val="24"/>
      <w:lang w:val="el-GR" w:eastAsia="el-GR"/>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el-GR" w:eastAsia="el-GR"/>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l-GR"/>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A7A496-C304-47EF-A5E2-C4194FD90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249</Pages>
  <Words>79065</Words>
  <Characters>467411</Characters>
  <Application>Microsoft Office Word</Application>
  <DocSecurity>0</DocSecurity>
  <Lines>3895</Lines>
  <Paragraphs>1090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545386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ΒΕL1834</cp:lastModifiedBy>
  <cp:revision>6</cp:revision>
  <cp:lastPrinted>2018-06-07T11:13:00Z</cp:lastPrinted>
  <dcterms:created xsi:type="dcterms:W3CDTF">2018-06-28T09:52:00Z</dcterms:created>
  <dcterms:modified xsi:type="dcterms:W3CDTF">2018-09-12T11:21:00Z</dcterms:modified>
</cp:coreProperties>
</file>