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SL</w:t>
      </w:r>
    </w:p>
    <w:p w:rsidR="00FF3ED5" w:rsidRDefault="00FF3ED5" w:rsidP="00A33695">
      <w:pPr>
        <w:jc w:val="center"/>
        <w:rPr>
          <w:rFonts w:ascii="Times New Roman" w:hAnsi="Times New Roman"/>
          <w:b/>
          <w:sz w:val="24"/>
        </w:rPr>
      </w:pPr>
      <w:r>
        <w:rPr>
          <w:rFonts w:ascii="Times New Roman" w:hAnsi="Times New Roman"/>
          <w:b/>
          <w:sz w:val="24"/>
        </w:rPr>
        <w:t>PRILOGA IV</w:t>
      </w:r>
    </w:p>
    <w:p w:rsidR="008F53AF" w:rsidRPr="00E83F90" w:rsidRDefault="008F53AF" w:rsidP="00A33695">
      <w:pPr>
        <w:jc w:val="center"/>
        <w:rPr>
          <w:rFonts w:ascii="Times New Roman" w:hAnsi="Times New Roman"/>
          <w:b/>
          <w:sz w:val="24"/>
        </w:rPr>
      </w:pPr>
    </w:p>
    <w:p w:rsidR="00C87CEE" w:rsidRPr="00C81874" w:rsidRDefault="00F97C2C" w:rsidP="00A33695">
      <w:pPr>
        <w:jc w:val="center"/>
        <w:rPr>
          <w:rFonts w:ascii="Times New Roman" w:hAnsi="Times New Roman"/>
          <w:b/>
          <w:sz w:val="24"/>
          <w:u w:val="single"/>
        </w:rPr>
      </w:pPr>
      <w:r>
        <w:rPr>
          <w:rFonts w:ascii="Times New Roman" w:hAnsi="Times New Roman"/>
          <w:b/>
          <w:sz w:val="24"/>
          <w:u w:val="single"/>
        </w:rPr>
        <w:t>„</w:t>
      </w:r>
      <w:r w:rsidR="00530C90">
        <w:rPr>
          <w:rFonts w:ascii="Times New Roman" w:hAnsi="Times New Roman"/>
          <w:b/>
          <w:sz w:val="24"/>
          <w:u w:val="single"/>
        </w:rPr>
        <w:t>PRILOGA IX</w:t>
      </w:r>
    </w:p>
    <w:p w:rsidR="00DD58A5" w:rsidRDefault="00F41B3A" w:rsidP="00C87CEE">
      <w:pPr>
        <w:jc w:val="center"/>
        <w:rPr>
          <w:rFonts w:ascii="Times New Roman" w:hAnsi="Times New Roman"/>
          <w:b/>
          <w:sz w:val="24"/>
        </w:rPr>
      </w:pPr>
      <w:r>
        <w:rPr>
          <w:rFonts w:ascii="Times New Roman" w:hAnsi="Times New Roman"/>
          <w:b/>
          <w:sz w:val="24"/>
        </w:rPr>
        <w:t xml:space="preserve">NAVODILA ZA POROČANJE O VELIKIH IZPOSTAVLJENOSTIH IN </w:t>
      </w:r>
    </w:p>
    <w:p w:rsidR="00C87CEE" w:rsidRPr="00EF13C2" w:rsidRDefault="00F41B3A" w:rsidP="00C87CEE">
      <w:pPr>
        <w:jc w:val="center"/>
        <w:rPr>
          <w:rFonts w:ascii="Times New Roman" w:hAnsi="Times New Roman"/>
          <w:b/>
          <w:sz w:val="24"/>
        </w:rPr>
      </w:pPr>
      <w:r>
        <w:rPr>
          <w:rFonts w:ascii="Times New Roman" w:hAnsi="Times New Roman"/>
          <w:b/>
          <w:sz w:val="24"/>
        </w:rPr>
        <w:t>TVEGANJU KONCENTRACIJE</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Kazalo</w:t>
      </w:r>
    </w:p>
    <w:p w:rsidR="00F97C2C" w:rsidRPr="00E93C9A" w:rsidRDefault="00F97C2C">
      <w:pPr>
        <w:pStyle w:val="TOC2"/>
        <w:rPr>
          <w:rFonts w:ascii="Times New Roman" w:eastAsiaTheme="minorEastAsia" w:hAnsi="Times New Roman"/>
          <w:b w:val="0"/>
          <w:smallCaps w:val="0"/>
          <w:szCs w:val="24"/>
          <w:lang w:bidi="ar-SA"/>
        </w:rPr>
      </w:pPr>
      <w:r w:rsidRPr="00E93C9A">
        <w:rPr>
          <w:rFonts w:ascii="Times New Roman" w:hAnsi="Times New Roman"/>
          <w:noProof w:val="0"/>
          <w:szCs w:val="24"/>
        </w:rPr>
        <w:fldChar w:fldCharType="begin"/>
      </w:r>
      <w:r w:rsidR="00621F98" w:rsidRPr="00E93C9A">
        <w:rPr>
          <w:rFonts w:ascii="Times New Roman" w:hAnsi="Times New Roman"/>
          <w:noProof w:val="0"/>
          <w:szCs w:val="24"/>
        </w:rPr>
        <w:instrText xml:space="preserve"> TOC \o "1-3" \h \z \u </w:instrText>
      </w:r>
      <w:r w:rsidRPr="00E93C9A">
        <w:rPr>
          <w:rFonts w:ascii="Times New Roman" w:hAnsi="Times New Roman"/>
          <w:noProof w:val="0"/>
          <w:szCs w:val="24"/>
        </w:rPr>
        <w:fldChar w:fldCharType="separate"/>
      </w:r>
      <w:hyperlink w:anchor="_Toc523237115" w:history="1">
        <w:r w:rsidRPr="00E93C9A">
          <w:rPr>
            <w:rStyle w:val="Hyperlink"/>
            <w:rFonts w:ascii="Times New Roman" w:hAnsi="Times New Roman"/>
            <w:szCs w:val="24"/>
          </w:rPr>
          <w:t>DEL I: SPLOŠNA NAVODILA</w:t>
        </w:r>
        <w:r w:rsidRPr="00E93C9A">
          <w:rPr>
            <w:rFonts w:ascii="Times New Roman" w:hAnsi="Times New Roman"/>
            <w:webHidden/>
            <w:szCs w:val="24"/>
          </w:rPr>
          <w:tab/>
        </w:r>
        <w:r w:rsidRPr="00E93C9A">
          <w:rPr>
            <w:rFonts w:ascii="Times New Roman" w:hAnsi="Times New Roman"/>
            <w:webHidden/>
            <w:szCs w:val="24"/>
          </w:rPr>
          <w:fldChar w:fldCharType="begin"/>
        </w:r>
        <w:r w:rsidRPr="00E93C9A">
          <w:rPr>
            <w:rFonts w:ascii="Times New Roman" w:hAnsi="Times New Roman"/>
            <w:webHidden/>
            <w:szCs w:val="24"/>
          </w:rPr>
          <w:instrText xml:space="preserve"> PAGEREF _Toc523237115 \h </w:instrText>
        </w:r>
        <w:r w:rsidRPr="00E93C9A">
          <w:rPr>
            <w:rFonts w:ascii="Times New Roman" w:hAnsi="Times New Roman"/>
            <w:webHidden/>
            <w:szCs w:val="24"/>
          </w:rPr>
        </w:r>
        <w:r w:rsidRPr="00E93C9A">
          <w:rPr>
            <w:rFonts w:ascii="Times New Roman" w:hAnsi="Times New Roman"/>
            <w:webHidden/>
            <w:szCs w:val="24"/>
          </w:rPr>
          <w:fldChar w:fldCharType="separate"/>
        </w:r>
        <w:r w:rsidRPr="00E93C9A">
          <w:rPr>
            <w:rFonts w:ascii="Times New Roman" w:hAnsi="Times New Roman"/>
            <w:webHidden/>
            <w:szCs w:val="24"/>
          </w:rPr>
          <w:t>2</w:t>
        </w:r>
        <w:r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16" w:history="1">
        <w:r w:rsidR="00F97C2C" w:rsidRPr="00E93C9A">
          <w:rPr>
            <w:rStyle w:val="Hyperlink"/>
            <w:rFonts w:ascii="Times New Roman" w:hAnsi="Times New Roman"/>
            <w:szCs w:val="24"/>
          </w:rPr>
          <w:t>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Struktura in dogovori</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_Toc523237116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2</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17" w:history="1">
        <w:r w:rsidR="00F97C2C" w:rsidRPr="00E93C9A">
          <w:rPr>
            <w:rStyle w:val="Hyperlink"/>
            <w:rFonts w:ascii="Times New Roman" w:hAnsi="Times New Roman"/>
            <w:szCs w:val="24"/>
          </w:rPr>
          <w:t>2.</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Okrajšave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_Toc523237117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2</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18" w:history="1">
        <w:r w:rsidR="00F97C2C" w:rsidRPr="00E93C9A">
          <w:rPr>
            <w:rStyle w:val="Hyperlink"/>
            <w:rFonts w:ascii="Times New Roman" w:hAnsi="Times New Roman"/>
            <w:szCs w:val="24"/>
          </w:rPr>
          <w:t>DEL II: NAVODILA V ZVEZI S PREDLOGAMI</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_Toc523237118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3</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19" w:history="1">
        <w:r w:rsidR="00F97C2C" w:rsidRPr="00E93C9A">
          <w:rPr>
            <w:rStyle w:val="Hyperlink"/>
            <w:rFonts w:ascii="Times New Roman" w:hAnsi="Times New Roman"/>
            <w:szCs w:val="24"/>
          </w:rPr>
          <w:t>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Obseg in raven poročanja o velikih izpostavljenostih</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_Toc523237119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3</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0" w:history="1">
        <w:r w:rsidR="00F97C2C" w:rsidRPr="00E93C9A">
          <w:rPr>
            <w:rStyle w:val="Hyperlink"/>
            <w:rFonts w:ascii="Times New Roman" w:hAnsi="Times New Roman"/>
            <w:szCs w:val="24"/>
          </w:rPr>
          <w:t>2.</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Struktura predloge za poročanje o velikih izpostavljenostih (predloga LE)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_Toc523237120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3</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1" w:history="1">
        <w:r w:rsidR="00F97C2C" w:rsidRPr="00E93C9A">
          <w:rPr>
            <w:rStyle w:val="Hyperlink"/>
            <w:rFonts w:ascii="Times New Roman" w:eastAsia="Arial" w:hAnsi="Times New Roman"/>
            <w:szCs w:val="24"/>
          </w:rPr>
          <w:t>3.</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Opredelitve pojmov in splošna navodila za namene poročanja o velikih izpostavljenostih</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_Toc523237121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4</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2" w:history="1">
        <w:r w:rsidR="00F97C2C" w:rsidRPr="00E93C9A">
          <w:rPr>
            <w:rStyle w:val="Hyperlink"/>
            <w:rFonts w:ascii="Times New Roman" w:hAnsi="Times New Roman"/>
            <w:szCs w:val="24"/>
          </w:rPr>
          <w:t>4.</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26.00 – Predloga za poročanje o omejitvah velikih izpostavljenosti</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_Toc523237122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5</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3" w:history="1">
        <w:r w:rsidR="00F97C2C" w:rsidRPr="00E93C9A">
          <w:rPr>
            <w:rStyle w:val="Hyperlink"/>
            <w:rFonts w:ascii="Times New Roman" w:hAnsi="Times New Roman"/>
            <w:szCs w:val="24"/>
          </w:rPr>
          <w:t>4.1.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vrstice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_Toc523237123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5</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4" w:history="1">
        <w:r w:rsidR="00F97C2C" w:rsidRPr="00E93C9A">
          <w:rPr>
            <w:rStyle w:val="Hyperlink"/>
            <w:rFonts w:ascii="Times New Roman" w:hAnsi="Times New Roman"/>
            <w:szCs w:val="24"/>
          </w:rPr>
          <w:t>5.</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27.00 – Opredelitev nasprotne stranke (predloga LE1)</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_Toc523237124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6</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5" w:history="1">
        <w:r w:rsidR="00F97C2C" w:rsidRPr="00E93C9A">
          <w:rPr>
            <w:rStyle w:val="Hyperlink"/>
            <w:rFonts w:ascii="Times New Roman" w:hAnsi="Times New Roman"/>
            <w:szCs w:val="24"/>
          </w:rPr>
          <w:t>5.1.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stolpce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_Toc523237125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6</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6" w:history="1">
        <w:r w:rsidR="00F97C2C" w:rsidRPr="00E93C9A">
          <w:rPr>
            <w:rStyle w:val="Hyperlink"/>
            <w:rFonts w:ascii="Times New Roman" w:hAnsi="Times New Roman"/>
            <w:szCs w:val="24"/>
          </w:rPr>
          <w:t>6.</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28.00 – Izpostavljenosti v netrgovalni in trgovalni knjigi (predloga LE2)</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_Toc523237126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8</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7" w:history="1">
        <w:r w:rsidR="00F97C2C" w:rsidRPr="00E93C9A">
          <w:rPr>
            <w:rStyle w:val="Hyperlink"/>
            <w:rFonts w:ascii="Times New Roman" w:hAnsi="Times New Roman"/>
            <w:szCs w:val="24"/>
          </w:rPr>
          <w:t>6.1.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stolpce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_Toc523237127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8</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8" w:history="1">
        <w:r w:rsidR="00F97C2C" w:rsidRPr="00E93C9A">
          <w:rPr>
            <w:rStyle w:val="Hyperlink"/>
            <w:rFonts w:ascii="Times New Roman" w:hAnsi="Times New Roman"/>
            <w:szCs w:val="24"/>
          </w:rPr>
          <w:t>7.</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29.00 – Podrobnosti o izpostavljenostih do posameznih strank znotraj skupine povezanih strank (predloga LE3)</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_Toc523237128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16</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29" w:history="1">
        <w:r w:rsidR="00F97C2C" w:rsidRPr="00E93C9A">
          <w:rPr>
            <w:rStyle w:val="Hyperlink"/>
            <w:rFonts w:ascii="Times New Roman" w:hAnsi="Times New Roman"/>
            <w:szCs w:val="24"/>
          </w:rPr>
          <w:t>7.1.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stolpce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_Toc523237129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16</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30" w:history="1">
        <w:r w:rsidR="00F97C2C" w:rsidRPr="00E93C9A">
          <w:rPr>
            <w:rStyle w:val="Hyperlink"/>
            <w:rFonts w:ascii="Times New Roman" w:hAnsi="Times New Roman"/>
            <w:szCs w:val="24"/>
          </w:rPr>
          <w:t>8.</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30.00 – Žepki zapadlosti deset največjih izpostavljenosti do institucij in deset največjih izpostavljenosti do nereguliranih subjektov finančnega sektorja (predloga LE4)</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_Toc523237130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17</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31" w:history="1">
        <w:r w:rsidR="00F97C2C" w:rsidRPr="00E93C9A">
          <w:rPr>
            <w:rStyle w:val="Hyperlink"/>
            <w:rFonts w:ascii="Times New Roman" w:hAnsi="Times New Roman"/>
            <w:szCs w:val="24"/>
          </w:rPr>
          <w:t>8.1.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stolpce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_Toc523237131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17</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32" w:history="1">
        <w:r w:rsidR="00F97C2C" w:rsidRPr="00E93C9A">
          <w:rPr>
            <w:rStyle w:val="Hyperlink"/>
            <w:rFonts w:ascii="Times New Roman" w:hAnsi="Times New Roman"/>
            <w:szCs w:val="24"/>
          </w:rPr>
          <w:t>9.</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C 31.00 – Žepki zapadlosti deset največjih izpostavljenosti do institucij in deset največjih izpostavljenosti do nereguliranih subjektov finančnega sektorja: podrobnosti o izpostavljenostih do posameznih strank znotraj skupine povezanih strank (predloga LE5)</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_Toc523237132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18</w:t>
        </w:r>
        <w:r w:rsidR="00F97C2C" w:rsidRPr="00E93C9A">
          <w:rPr>
            <w:rFonts w:ascii="Times New Roman" w:hAnsi="Times New Roman"/>
            <w:webHidden/>
            <w:szCs w:val="24"/>
          </w:rPr>
          <w:fldChar w:fldCharType="end"/>
        </w:r>
      </w:hyperlink>
    </w:p>
    <w:p w:rsidR="00F97C2C" w:rsidRPr="00E93C9A" w:rsidRDefault="00E93C9A">
      <w:pPr>
        <w:pStyle w:val="TOC2"/>
        <w:rPr>
          <w:rFonts w:ascii="Times New Roman" w:eastAsiaTheme="minorEastAsia" w:hAnsi="Times New Roman"/>
          <w:b w:val="0"/>
          <w:smallCaps w:val="0"/>
          <w:szCs w:val="24"/>
          <w:lang w:bidi="ar-SA"/>
        </w:rPr>
      </w:pPr>
      <w:hyperlink w:anchor="_Toc523237133" w:history="1">
        <w:r w:rsidR="00F97C2C" w:rsidRPr="00E93C9A">
          <w:rPr>
            <w:rStyle w:val="Hyperlink"/>
            <w:rFonts w:ascii="Times New Roman" w:hAnsi="Times New Roman"/>
            <w:szCs w:val="24"/>
          </w:rPr>
          <w:t>9.1.</w:t>
        </w:r>
        <w:r w:rsidR="00F97C2C" w:rsidRPr="00E93C9A">
          <w:rPr>
            <w:rFonts w:ascii="Times New Roman" w:eastAsiaTheme="minorEastAsia" w:hAnsi="Times New Roman"/>
            <w:b w:val="0"/>
            <w:smallCaps w:val="0"/>
            <w:szCs w:val="24"/>
            <w:lang w:bidi="ar-SA"/>
          </w:rPr>
          <w:tab/>
        </w:r>
        <w:r w:rsidR="00F97C2C" w:rsidRPr="00E93C9A">
          <w:rPr>
            <w:rStyle w:val="Hyperlink"/>
            <w:rFonts w:ascii="Times New Roman" w:hAnsi="Times New Roman"/>
            <w:szCs w:val="24"/>
          </w:rPr>
          <w:t>Navodila za posamezne stolpce</w:t>
        </w:r>
        <w:r w:rsidR="00F97C2C" w:rsidRPr="00E93C9A">
          <w:rPr>
            <w:rFonts w:ascii="Times New Roman" w:hAnsi="Times New Roman"/>
            <w:webHidden/>
            <w:szCs w:val="24"/>
          </w:rPr>
          <w:tab/>
        </w:r>
        <w:r w:rsidR="00F97C2C" w:rsidRPr="00E93C9A">
          <w:rPr>
            <w:rFonts w:ascii="Times New Roman" w:hAnsi="Times New Roman"/>
            <w:webHidden/>
            <w:szCs w:val="24"/>
          </w:rPr>
          <w:fldChar w:fldCharType="begin"/>
        </w:r>
        <w:r w:rsidR="00F97C2C" w:rsidRPr="00E93C9A">
          <w:rPr>
            <w:rFonts w:ascii="Times New Roman" w:hAnsi="Times New Roman"/>
            <w:webHidden/>
            <w:szCs w:val="24"/>
          </w:rPr>
          <w:instrText xml:space="preserve"> PAGEREF _Toc523237133 \h </w:instrText>
        </w:r>
        <w:r w:rsidR="00F97C2C" w:rsidRPr="00E93C9A">
          <w:rPr>
            <w:rFonts w:ascii="Times New Roman" w:hAnsi="Times New Roman"/>
            <w:webHidden/>
            <w:szCs w:val="24"/>
          </w:rPr>
        </w:r>
        <w:r w:rsidR="00F97C2C" w:rsidRPr="00E93C9A">
          <w:rPr>
            <w:rFonts w:ascii="Times New Roman" w:hAnsi="Times New Roman"/>
            <w:webHidden/>
            <w:szCs w:val="24"/>
          </w:rPr>
          <w:fldChar w:fldCharType="separate"/>
        </w:r>
        <w:r w:rsidR="00F97C2C" w:rsidRPr="00E93C9A">
          <w:rPr>
            <w:rFonts w:ascii="Times New Roman" w:hAnsi="Times New Roman"/>
            <w:webHidden/>
            <w:szCs w:val="24"/>
          </w:rPr>
          <w:t>18</w:t>
        </w:r>
        <w:r w:rsidR="00F97C2C" w:rsidRPr="00E93C9A">
          <w:rPr>
            <w:rFonts w:ascii="Times New Roman" w:hAnsi="Times New Roman"/>
            <w:webHidden/>
            <w:szCs w:val="24"/>
          </w:rPr>
          <w:fldChar w:fldCharType="end"/>
        </w:r>
      </w:hyperlink>
    </w:p>
    <w:p w:rsidR="00A903DB" w:rsidRDefault="00F97C2C">
      <w:pPr>
        <w:rPr>
          <w:rFonts w:ascii="Times New Roman" w:eastAsia="SimSun" w:hAnsi="Times New Roman"/>
          <w:sz w:val="24"/>
        </w:rPr>
        <w:sectPr w:rsidR="00A903DB"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E93C9A">
        <w:rPr>
          <w:rFonts w:ascii="Times New Roman" w:hAnsi="Times New Roman"/>
        </w:rPr>
        <w:fldChar w:fldCharType="end"/>
      </w:r>
    </w:p>
    <w:p w:rsidR="009777FB" w:rsidRPr="009777FB" w:rsidRDefault="003105C6" w:rsidP="0093135A">
      <w:pPr>
        <w:pStyle w:val="Heading2"/>
        <w:rPr>
          <w:bCs/>
        </w:rPr>
      </w:pPr>
      <w:bookmarkStart w:id="2" w:name="_Toc264038394"/>
      <w:bookmarkStart w:id="3" w:name="_Toc393461951"/>
      <w:bookmarkStart w:id="4" w:name="_Toc523237115"/>
      <w:r>
        <w:rPr>
          <w:rFonts w:ascii="Times New Roman" w:hAnsi="Times New Roman"/>
        </w:rPr>
        <w:lastRenderedPageBreak/>
        <w:t>DEL I:</w:t>
      </w:r>
      <w:bookmarkEnd w:id="2"/>
      <w:r>
        <w:rPr>
          <w:rFonts w:ascii="Times New Roman" w:hAnsi="Times New Roman"/>
        </w:rPr>
        <w:t xml:space="preserve"> SPLOŠNA NAVODILA</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3237116"/>
      <w:r>
        <w:rPr>
          <w:rFonts w:ascii="Times New Roman" w:hAnsi="Times New Roman"/>
          <w:b/>
          <w:sz w:val="24"/>
          <w:u w:val="none"/>
        </w:rPr>
        <w:t>Struktura in dogovori</w:t>
      </w:r>
      <w:bookmarkEnd w:id="5"/>
      <w:bookmarkEnd w:id="6"/>
    </w:p>
    <w:p w:rsidR="00393539" w:rsidRPr="0039317F" w:rsidRDefault="00D40975" w:rsidP="0039317F">
      <w:pPr>
        <w:pStyle w:val="InstructionsText2"/>
      </w:pPr>
      <w:bookmarkStart w:id="7" w:name="_Toc264038399"/>
      <w:bookmarkStart w:id="8" w:name="_Toc294018834"/>
      <w:r>
        <w:t>Okvir poročanja o velikih izpostavljenostih (v nadaljnjem besedilu: LE) je sestavljen iz šestih predlog, ki vključujejo naslednje informacije:</w:t>
      </w:r>
    </w:p>
    <w:p w:rsidR="00DA54E3" w:rsidRPr="0039317F" w:rsidRDefault="00CC2429" w:rsidP="0039317F">
      <w:pPr>
        <w:pStyle w:val="InstructionsText2"/>
        <w:numPr>
          <w:ilvl w:val="1"/>
          <w:numId w:val="15"/>
        </w:numPr>
        <w:rPr>
          <w:rFonts w:eastAsia="Arial"/>
        </w:rPr>
      </w:pPr>
      <w:r>
        <w:t>omejitve velikih izpostavljenosti;</w:t>
      </w:r>
    </w:p>
    <w:p w:rsidR="00DA54E3" w:rsidRPr="0039317F" w:rsidRDefault="00CC2429" w:rsidP="0039317F">
      <w:pPr>
        <w:pStyle w:val="InstructionsText2"/>
        <w:numPr>
          <w:ilvl w:val="1"/>
          <w:numId w:val="15"/>
        </w:numPr>
        <w:rPr>
          <w:rFonts w:eastAsia="Arial"/>
        </w:rPr>
      </w:pPr>
      <w:r>
        <w:t>opredelitev nasprotne stranke (predloga LE1);</w:t>
      </w:r>
    </w:p>
    <w:p w:rsidR="00393539" w:rsidRPr="0039317F" w:rsidRDefault="00CC2429" w:rsidP="0039317F">
      <w:pPr>
        <w:pStyle w:val="InstructionsText2"/>
        <w:numPr>
          <w:ilvl w:val="1"/>
          <w:numId w:val="15"/>
        </w:numPr>
        <w:rPr>
          <w:rFonts w:eastAsia="Arial"/>
        </w:rPr>
      </w:pPr>
      <w:r>
        <w:t xml:space="preserve">izpostavljenosti v netrgovalni in trgovalni knjigi (predloga LE2); </w:t>
      </w:r>
    </w:p>
    <w:p w:rsidR="00393539" w:rsidRPr="0039317F" w:rsidRDefault="00CC2429" w:rsidP="0039317F">
      <w:pPr>
        <w:pStyle w:val="InstructionsText2"/>
        <w:numPr>
          <w:ilvl w:val="1"/>
          <w:numId w:val="15"/>
        </w:numPr>
        <w:rPr>
          <w:rFonts w:eastAsia="Arial"/>
        </w:rPr>
      </w:pPr>
      <w:r>
        <w:t>podrobnosti o izpostavljenostih do posameznih strank znotraj skupine povez</w:t>
      </w:r>
      <w:r>
        <w:t>a</w:t>
      </w:r>
      <w:r>
        <w:t>nih strank (predloga LE3);</w:t>
      </w:r>
    </w:p>
    <w:p w:rsidR="00627430" w:rsidRPr="0039317F" w:rsidRDefault="00CC2429" w:rsidP="0039317F">
      <w:pPr>
        <w:pStyle w:val="InstructionsText2"/>
        <w:numPr>
          <w:ilvl w:val="1"/>
          <w:numId w:val="15"/>
        </w:numPr>
        <w:rPr>
          <w:rFonts w:eastAsia="Arial"/>
        </w:rPr>
      </w:pPr>
      <w:r>
        <w:t>žepki zapadlosti za deset največjih izpostavljenosti do institucij in deset najv</w:t>
      </w:r>
      <w:r>
        <w:t>e</w:t>
      </w:r>
      <w:r>
        <w:t xml:space="preserve">čjih izpostavljenosti do nereguliranih subjektov finančnega sektorja (predloga LE4); </w:t>
      </w:r>
    </w:p>
    <w:p w:rsidR="00DA54E3" w:rsidRPr="0039317F" w:rsidRDefault="00CC2429" w:rsidP="0039317F">
      <w:pPr>
        <w:pStyle w:val="InstructionsText2"/>
        <w:numPr>
          <w:ilvl w:val="1"/>
          <w:numId w:val="15"/>
        </w:numPr>
        <w:rPr>
          <w:rFonts w:eastAsia="Arial"/>
        </w:rPr>
      </w:pPr>
      <w:r>
        <w:t>žepki zapadlosti za deset največjih izpostavljenosti do institucij in deset najv</w:t>
      </w:r>
      <w:r>
        <w:t>e</w:t>
      </w:r>
      <w:r>
        <w:t>čjih izpostavljenosti do nereguliranih subjektov finančnega sektorja: podrobn</w:t>
      </w:r>
      <w:r>
        <w:t>o</w:t>
      </w:r>
      <w:r>
        <w:t>sti o izpostavljenostih do posameznih strank znotraj skupine povezanih strank (predloga LE5).</w:t>
      </w:r>
    </w:p>
    <w:p w:rsidR="003D56DE" w:rsidRPr="0039317F" w:rsidRDefault="00756759" w:rsidP="0039317F">
      <w:pPr>
        <w:pStyle w:val="InstructionsText2"/>
      </w:pPr>
      <w:r>
        <w:t>Navodila vključujejo sklice na</w:t>
      </w:r>
      <w:bookmarkStart w:id="9" w:name="_GoBack"/>
      <w:bookmarkEnd w:id="9"/>
      <w:r>
        <w:t xml:space="preserve"> pravno podlago in podrobne informacije v zvezi s podatki, ki se poročajo v posamezni predlogi.</w:t>
      </w:r>
    </w:p>
    <w:p w:rsidR="00B0191A" w:rsidRPr="0039317F" w:rsidRDefault="003105C6" w:rsidP="0039317F">
      <w:pPr>
        <w:pStyle w:val="InstructionsText2"/>
      </w:pPr>
      <w:r>
        <w:t>Pri sklicevanju na stolpce, vrstice in celice predlog se v navodilih in validacijskih pr</w:t>
      </w:r>
      <w:r>
        <w:t>a</w:t>
      </w:r>
      <w:r>
        <w:t xml:space="preserve">vilih upošteva dogovor glede označevanja iz naslednjih odstavkov. </w:t>
      </w:r>
    </w:p>
    <w:p w:rsidR="00B0191A" w:rsidRPr="0039317F" w:rsidRDefault="00F36707" w:rsidP="0039317F">
      <w:pPr>
        <w:pStyle w:val="InstructionsText2"/>
      </w:pPr>
      <w:r>
        <w:t>V navodilih in validacijskih pravilih se običajno uporablja naslednji dogovor: {pre</w:t>
      </w:r>
      <w:r>
        <w:t>d</w:t>
      </w:r>
      <w:r>
        <w:t>loga;vrstica;stolpec}. Če je validacija opravljena za vse poročane vrstice, se to označi z zvezdico.</w:t>
      </w:r>
    </w:p>
    <w:p w:rsidR="00B0191A" w:rsidRPr="0039317F" w:rsidRDefault="003105C6" w:rsidP="0039317F">
      <w:pPr>
        <w:pStyle w:val="InstructionsText2"/>
        <w:rPr>
          <w:rFonts w:eastAsia="Arial"/>
        </w:rPr>
      </w:pPr>
      <w:r>
        <w:t>V primeru validacij znotraj predloge, pri katerih se uporabijo samo podatkovne točke zadevne predloge, v zapisih predloga ni navedena: {vrstica;stolpec}.</w:t>
      </w:r>
    </w:p>
    <w:p w:rsidR="00B0191A" w:rsidRDefault="006217F1" w:rsidP="0039317F">
      <w:pPr>
        <w:pStyle w:val="InstructionsText2"/>
      </w:pPr>
      <w:r>
        <w:t xml:space="preserve">ABS(vrednost): absolutna vrednost brez predznaka. </w:t>
      </w:r>
      <w:bookmarkEnd w:id="7"/>
      <w:bookmarkEnd w:id="8"/>
      <w:r>
        <w:t>Vsak znesek, za katerega se pov</w:t>
      </w:r>
      <w:r>
        <w:t>e</w:t>
      </w:r>
      <w:r>
        <w:t>čajo izpostavljenosti, se poroča kot pozitivna vrednost. Na drugi strani se vsak znesek, za katerega se izpostavljenosti zmanjšajo, poroča kot negativna vrednost. Če je pred oznako za postavko negativni predznak (–), se za zadevno postavko ne poroča poziti</w:t>
      </w:r>
      <w:r>
        <w:t>v</w:t>
      </w:r>
      <w:r>
        <w:t>ni znesek.</w:t>
      </w:r>
    </w:p>
    <w:p w:rsidR="0093135A" w:rsidRPr="0078562D" w:rsidRDefault="0078562D" w:rsidP="0078562D">
      <w:pPr>
        <w:pStyle w:val="Instructionsberschrift2"/>
        <w:numPr>
          <w:ilvl w:val="0"/>
          <w:numId w:val="20"/>
        </w:numPr>
        <w:rPr>
          <w:b/>
        </w:rPr>
      </w:pPr>
      <w:bookmarkStart w:id="10" w:name="_Toc523237117"/>
      <w:r>
        <w:rPr>
          <w:rFonts w:ascii="Times New Roman" w:hAnsi="Times New Roman"/>
          <w:b/>
          <w:sz w:val="24"/>
          <w:u w:val="none"/>
        </w:rPr>
        <w:t>Okrajšave</w:t>
      </w:r>
      <w:bookmarkEnd w:id="10"/>
    </w:p>
    <w:p w:rsidR="0093135A" w:rsidRDefault="0093135A" w:rsidP="0093135A">
      <w:pPr>
        <w:pStyle w:val="InstructionsText2"/>
      </w:pPr>
      <w:r>
        <w:t>V tej prilogi se za Uredbo (EU) št. 575/2013 uporablja okrajšava „CRR“.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3237118"/>
      <w:r>
        <w:rPr>
          <w:rFonts w:ascii="Times New Roman" w:hAnsi="Times New Roman"/>
        </w:rPr>
        <w:lastRenderedPageBreak/>
        <w:t>DEL II: NAVODILA V ZVEZI S PREDLOGAMI</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V tej prilogi se navodila, ki se nanašajo na poročanje o velikih izpostavljenostih, uporabljajo tudi za poročanje o pomembnih izpostavljenostih, ki se zahteva v členih 9 in 11, v skladu s področjem uporabe iz navedenih členov.</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3237119"/>
      <w:r>
        <w:rPr>
          <w:rFonts w:ascii="Times New Roman" w:hAnsi="Times New Roman"/>
          <w:b/>
          <w:sz w:val="24"/>
          <w:u w:val="none"/>
        </w:rPr>
        <w:t>Obseg in raven poročanja o velikih izpostavljenostih</w:t>
      </w:r>
      <w:bookmarkEnd w:id="14"/>
      <w:bookmarkEnd w:id="15"/>
    </w:p>
    <w:p w:rsidR="000F13EA" w:rsidRPr="0039317F" w:rsidRDefault="000F13EA" w:rsidP="0039317F">
      <w:pPr>
        <w:pStyle w:val="InstructionsText2"/>
        <w:numPr>
          <w:ilvl w:val="0"/>
          <w:numId w:val="27"/>
        </w:numPr>
        <w:rPr>
          <w:rFonts w:eastAsia="Arial"/>
        </w:rPr>
      </w:pPr>
      <w:r>
        <w:t xml:space="preserve">Institucije pri poročanju informacij o velikih izpostavljenostih do strank ali skupin povezanih strank v skladu s členom 394(1) Uredbe (EU) št. 575/2013 (v nadaljnjem besedilu: CRR) na posamični podlagi uporabijo predloge LE1, LE2 in LE3. </w:t>
      </w:r>
    </w:p>
    <w:p w:rsidR="00B0191A" w:rsidRPr="0039317F" w:rsidRDefault="000F13EA" w:rsidP="0039317F">
      <w:pPr>
        <w:pStyle w:val="InstructionsText2"/>
        <w:rPr>
          <w:rFonts w:eastAsia="Arial"/>
        </w:rPr>
      </w:pPr>
      <w:r>
        <w:t>Nadrejene institucije v državi članici pri poročanju informacij o velikih izpostavlj</w:t>
      </w:r>
      <w:r>
        <w:t>e</w:t>
      </w:r>
      <w:r>
        <w:t>nostih do strank ali skupin povezanih strank v skladu s členom 394(1) CRR na kons</w:t>
      </w:r>
      <w:r>
        <w:t>o</w:t>
      </w:r>
      <w:r>
        <w:t xml:space="preserve">lidirani podlagi uporabijo predloge LE1, LE2 in LE3. </w:t>
      </w:r>
    </w:p>
    <w:p w:rsidR="00B0191A" w:rsidRPr="0039317F" w:rsidRDefault="00A11FB0" w:rsidP="000F0ADE">
      <w:pPr>
        <w:pStyle w:val="InstructionsText2"/>
        <w:rPr>
          <w:rFonts w:eastAsia="Arial"/>
        </w:rPr>
      </w:pPr>
      <w:r>
        <w:t xml:space="preserve">Poroča se vsaka velika izpostavljenost, opredeljena v skladu s členom 392 CRR, vključno z velikimi izpostavljenostmi, ki se jih ne upošteva pri ugotavljanju skladnosti z omejitvijo velike izpostavljenosti iz člena 395 CRR. </w:t>
      </w:r>
    </w:p>
    <w:p w:rsidR="00B0191A" w:rsidRPr="0039317F" w:rsidRDefault="001C7BF0" w:rsidP="000F0ADE">
      <w:pPr>
        <w:pStyle w:val="InstructionsText2"/>
        <w:rPr>
          <w:rFonts w:eastAsia="Arial"/>
        </w:rPr>
      </w:pPr>
      <w:r>
        <w:t>Nadrejene institucije v državi članici, za katere velja poglavje 3 naslova II dela 3 CRR, pri poročanju informacij o 20 največjih izpostavljenostih do strank ali skupin povezanih strank v skladu z zadnjim stavkom člena 394(1) CRR na konsolidirani po</w:t>
      </w:r>
      <w:r>
        <w:t>d</w:t>
      </w:r>
      <w:r>
        <w:t>lagi uporabijo predloge LE1, LE2 in LE3. Znesek, ki se uporabi za določanje teh 20 največjih izpostavljenosti, je vrednost izpostavljenosti, ki se dobi tako, da se znesek iz stolpca 320 („Izvzeti zneski“) predloge LE2 odšteje od zneska iz stolpca 210 („Sk</w:t>
      </w:r>
      <w:r>
        <w:t>u</w:t>
      </w:r>
      <w:r>
        <w:t xml:space="preserve">paj“) iste predloge. </w:t>
      </w:r>
    </w:p>
    <w:p w:rsidR="00B0191A" w:rsidRPr="0039317F" w:rsidRDefault="00C1644D">
      <w:pPr>
        <w:pStyle w:val="InstructionsText2"/>
        <w:rPr>
          <w:rFonts w:eastAsia="Arial"/>
        </w:rPr>
      </w:pPr>
      <w:r>
        <w:t>Nadrejene institucije v državi članici pri poročanju informacij o desetih največjih izpostavljenostih do institucij in deset največjih izpostavljenostih do nereguliranih subjektov finančnega sektorja v skladu s točkami (a) do (d) člena 394(2) CRR na ko</w:t>
      </w:r>
      <w:r>
        <w:t>n</w:t>
      </w:r>
      <w:r>
        <w:t>solidirani podlagi uporabijo predloge LE1, LE2 in LE3. Nadrejene institucije v državi članici pri poročanju strukture zapadlosti teh izpostavljenosti v skladu s členom 394(2)(e) CRR uporabijo predlogi LE4 in LE5. Vrednost izpostavljenosti, izračunana v stolpcu 210 („Skupaj“) predloge LE2, je znesek, ki se uporabi za določanje teh 20 največjih izpostavljenosti.</w:t>
      </w:r>
    </w:p>
    <w:p w:rsidR="00B0191A" w:rsidRPr="0039317F" w:rsidRDefault="001E0F83">
      <w:pPr>
        <w:pStyle w:val="InstructionsText2"/>
        <w:rPr>
          <w:rFonts w:eastAsia="Arial"/>
        </w:rPr>
      </w:pPr>
      <w:r>
        <w:t>Podatki o velikih izpostavljenostih in ustreznih največjih izpostavljenostih do skupin povezanih strank in posameznih strank, ki niso del skupine povezanih strank, se por</w:t>
      </w:r>
      <w:r>
        <w:t>o</w:t>
      </w:r>
      <w:r>
        <w:t>čajo v predlogi LE2 (v kateri se skupina povezanih strank poroča kot ena izpostavlj</w:t>
      </w:r>
      <w:r>
        <w:t>e</w:t>
      </w:r>
      <w:r>
        <w:t xml:space="preserve">nost). </w:t>
      </w:r>
    </w:p>
    <w:p w:rsidR="00B0191A" w:rsidRPr="0039317F" w:rsidRDefault="008A4511">
      <w:pPr>
        <w:pStyle w:val="InstructionsText2"/>
        <w:rPr>
          <w:rFonts w:eastAsia="Arial"/>
        </w:rPr>
      </w:pPr>
      <w:r>
        <w:t>Institucije v predlogi LE3 poročajo podatke v zvezi z izpostavljenostmi do posame</w:t>
      </w:r>
      <w:r>
        <w:t>z</w:t>
      </w:r>
      <w:r>
        <w:t xml:space="preserve">nih strank, ki so del skupin povezanih strank, ki se poročajo v predlogi LE2. Poročanje o izpostavljenosti do posamezne stranke v predlogi LE2 se ne podvaja v predlogi LE3.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3237120"/>
      <w:r>
        <w:rPr>
          <w:rFonts w:ascii="Times New Roman" w:hAnsi="Times New Roman"/>
          <w:b/>
          <w:sz w:val="24"/>
          <w:u w:val="none"/>
        </w:rPr>
        <w:t>Struktura predloge za poročanje o velikih izpostavljenostih (predloga LE)</w:t>
      </w:r>
      <w:bookmarkEnd w:id="16"/>
      <w:bookmarkEnd w:id="17"/>
    </w:p>
    <w:p w:rsidR="00A11EC0" w:rsidRPr="0039317F" w:rsidRDefault="00B945FE" w:rsidP="0039317F">
      <w:pPr>
        <w:pStyle w:val="InstructionsText2"/>
        <w:rPr>
          <w:rFonts w:eastAsia="Arial"/>
        </w:rPr>
      </w:pPr>
      <w:r>
        <w:t>V stolpcih predloge LE1 se navedejo informacije, povezane z identiteto posameznih strank ali skupin povezanih strank, do katerih ima institucija izpostavljenost.</w:t>
      </w:r>
    </w:p>
    <w:p w:rsidR="00B0191A" w:rsidRPr="0039317F" w:rsidRDefault="009362E7" w:rsidP="0039317F">
      <w:pPr>
        <w:pStyle w:val="InstructionsText2"/>
        <w:rPr>
          <w:rFonts w:eastAsia="Arial"/>
        </w:rPr>
      </w:pPr>
      <w:r>
        <w:lastRenderedPageBreak/>
        <w:t xml:space="preserve">V stolpcih predlog LE2 in LE3 se navedejo naslednji sklopi informacij: (g)   </w:t>
      </w:r>
    </w:p>
    <w:p w:rsidR="00B0191A" w:rsidRPr="0039317F" w:rsidRDefault="001E0F83" w:rsidP="000F0ADE">
      <w:pPr>
        <w:pStyle w:val="InstructionsText2"/>
        <w:numPr>
          <w:ilvl w:val="1"/>
          <w:numId w:val="15"/>
        </w:numPr>
        <w:rPr>
          <w:rFonts w:eastAsia="Arial"/>
        </w:rPr>
      </w:pPr>
      <w:r>
        <w:t>vrednost izpostavljenosti pred uporabo izvzetij in pred upoštevanjem učinka zmanjševanja kreditnega tveganja, vključno z neposredno in posredno izpost</w:t>
      </w:r>
      <w:r>
        <w:t>a</w:t>
      </w:r>
      <w:r>
        <w:t>vljenostjo ter dodatnimi izpostavljenostmi iz naslova poslov, pri katerih obst</w:t>
      </w:r>
      <w:r>
        <w:t>a</w:t>
      </w:r>
      <w:r>
        <w:t>jajo osnovne izpostavljenosti;</w:t>
      </w:r>
    </w:p>
    <w:p w:rsidR="00B0191A" w:rsidRPr="0039317F" w:rsidRDefault="001E0F83" w:rsidP="000F0ADE">
      <w:pPr>
        <w:pStyle w:val="InstructionsText2"/>
        <w:numPr>
          <w:ilvl w:val="1"/>
          <w:numId w:val="15"/>
        </w:numPr>
        <w:rPr>
          <w:rFonts w:eastAsia="Arial"/>
        </w:rPr>
      </w:pPr>
      <w:r>
        <w:t>učinek izvzetij in tehnik zmanjševanja kreditnega tveganja;</w:t>
      </w:r>
    </w:p>
    <w:p w:rsidR="00B0191A" w:rsidRPr="0039317F" w:rsidRDefault="001E0F83">
      <w:pPr>
        <w:pStyle w:val="InstructionsText2"/>
        <w:numPr>
          <w:ilvl w:val="1"/>
          <w:numId w:val="15"/>
        </w:numPr>
        <w:rPr>
          <w:rFonts w:eastAsia="Arial"/>
        </w:rPr>
      </w:pPr>
      <w:r>
        <w:t>vrednost izpostavljenosti po uporabi izvzetij in po upoštevanju učinka zman</w:t>
      </w:r>
      <w:r>
        <w:t>j</w:t>
      </w:r>
      <w:r>
        <w:t xml:space="preserve">ševanja kreditnega tveganja, izračunanega za namen člena 395(1) CRR. </w:t>
      </w:r>
    </w:p>
    <w:p w:rsidR="00B0191A" w:rsidRPr="0039317F" w:rsidRDefault="00B4530A" w:rsidP="0039317F">
      <w:pPr>
        <w:pStyle w:val="InstructionsText2"/>
        <w:rPr>
          <w:rFonts w:eastAsia="Arial"/>
        </w:rPr>
      </w:pPr>
      <w:r>
        <w:t xml:space="preserve">V stolpcih predlog LE4 in LE5 se navedejo informacije o žepkih zapadlosti, v katere se razvrstijo pričakovani zapadli zneski za deset največjih izpostavljenosti do institucij in deset največjih izpostavljenosti do nereguliranih subjektov finančnega sektorja.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3237121"/>
      <w:r>
        <w:rPr>
          <w:rFonts w:ascii="Times New Roman" w:hAnsi="Times New Roman"/>
          <w:b/>
          <w:sz w:val="24"/>
          <w:u w:val="none"/>
        </w:rPr>
        <w:t>Opredelitve pojmov in splošna navodila za namene poročanja o velikih izpostavlj</w:t>
      </w:r>
      <w:r>
        <w:rPr>
          <w:rFonts w:ascii="Times New Roman" w:hAnsi="Times New Roman"/>
          <w:b/>
          <w:sz w:val="24"/>
          <w:u w:val="none"/>
        </w:rPr>
        <w:t>e</w:t>
      </w:r>
      <w:r>
        <w:rPr>
          <w:rFonts w:ascii="Times New Roman" w:hAnsi="Times New Roman"/>
          <w:b/>
          <w:sz w:val="24"/>
          <w:u w:val="none"/>
        </w:rPr>
        <w:t>nostih</w:t>
      </w:r>
      <w:bookmarkEnd w:id="18"/>
      <w:bookmarkEnd w:id="19"/>
    </w:p>
    <w:p w:rsidR="001E0F83" w:rsidRPr="0039317F" w:rsidRDefault="00B945FE" w:rsidP="0039317F">
      <w:pPr>
        <w:pStyle w:val="InstructionsText2"/>
        <w:rPr>
          <w:rFonts w:eastAsia="Arial"/>
        </w:rPr>
      </w:pPr>
      <w:r>
        <w:t>„Skupina povezanih strank“ je opredeljena v členu 4(1)(39) CRR.</w:t>
      </w:r>
    </w:p>
    <w:p w:rsidR="00B0191A" w:rsidRPr="0039317F" w:rsidRDefault="00915A9C" w:rsidP="0039317F">
      <w:pPr>
        <w:pStyle w:val="InstructionsText2"/>
        <w:rPr>
          <w:rFonts w:eastAsia="Arial"/>
        </w:rPr>
      </w:pPr>
      <w:r>
        <w:t xml:space="preserve">„Nereguliran subjekt finančnega sektorja“ je opredeljen v členu 142(1)(5) CRR.  </w:t>
      </w:r>
    </w:p>
    <w:p w:rsidR="00B0191A" w:rsidRPr="0039317F" w:rsidRDefault="00D441A7" w:rsidP="0039317F">
      <w:pPr>
        <w:pStyle w:val="InstructionsText2"/>
        <w:rPr>
          <w:rFonts w:eastAsia="Arial"/>
        </w:rPr>
      </w:pPr>
      <w:r>
        <w:t xml:space="preserve">„Institucija“ je opredeljena v členu 4(1)(3) CRR.  </w:t>
      </w:r>
    </w:p>
    <w:p w:rsidR="00B0191A" w:rsidRPr="0039317F" w:rsidRDefault="009B34D1" w:rsidP="0039317F">
      <w:pPr>
        <w:pStyle w:val="InstructionsText2"/>
        <w:rPr>
          <w:rFonts w:eastAsia="Arial"/>
        </w:rPr>
      </w:pPr>
      <w:r>
        <w:t>Poroča se o izpostavljenostih do „civilnopravnih združenj“. Poleg tega institucije k zadolženosti vsakega partnerja dodajo zneske kreditov civilnopravnega združenja. Izpostavljenosti do civilnopravnih združenj, ki zajemajo kvote, se razdelijo ali dodel</w:t>
      </w:r>
      <w:r>
        <w:t>i</w:t>
      </w:r>
      <w:r>
        <w:t>jo partnerjem glede na njihove kvote. Nekatere konstrukcije (npr. skupni računi, sku</w:t>
      </w:r>
      <w:r>
        <w:t>p</w:t>
      </w:r>
      <w:r>
        <w:t>nosti dedičev, krediti slamnatih podjetij), ki dejansko delujejo kot civilnopravna zdr</w:t>
      </w:r>
      <w:r>
        <w:t>u</w:t>
      </w:r>
      <w:r>
        <w:t xml:space="preserve">ženja, je treba kot take tudi navesti. </w:t>
      </w:r>
    </w:p>
    <w:p w:rsidR="00910E26" w:rsidRPr="0039317F" w:rsidRDefault="00D441A7" w:rsidP="0039317F">
      <w:pPr>
        <w:pStyle w:val="InstructionsText2"/>
        <w:rPr>
          <w:rFonts w:eastAsia="Arial"/>
        </w:rPr>
      </w:pPr>
      <w:r>
        <w:t>Aktivne in zunajbilančne postavke se uporabijo brez uteži tveganja ali stopenj tvega</w:t>
      </w:r>
      <w:r>
        <w:t>n</w:t>
      </w:r>
      <w:r>
        <w:t>ja v skladu s členom 389 CRR. Zlasti se za zunajbilančne postavke ne uporabljajo kr</w:t>
      </w:r>
      <w:r>
        <w:t>e</w:t>
      </w:r>
      <w:r>
        <w:t>ditni konverzijski faktorji.</w:t>
      </w:r>
    </w:p>
    <w:p w:rsidR="00B0191A" w:rsidRPr="0039317F" w:rsidRDefault="0039317F" w:rsidP="0039317F">
      <w:pPr>
        <w:pStyle w:val="InstructionsText2"/>
        <w:rPr>
          <w:rFonts w:eastAsia="Arial"/>
        </w:rPr>
      </w:pPr>
      <w:r>
        <w:t xml:space="preserve"> „Izpostavljenosti“ so opredeljene v členu 389 CRR in pomenijo: </w:t>
      </w:r>
    </w:p>
    <w:p w:rsidR="00B0191A" w:rsidRPr="0039317F" w:rsidRDefault="001243C8" w:rsidP="0039317F">
      <w:pPr>
        <w:pStyle w:val="InstructionsText2"/>
        <w:numPr>
          <w:ilvl w:val="1"/>
          <w:numId w:val="15"/>
        </w:numPr>
        <w:rPr>
          <w:rFonts w:eastAsia="Arial"/>
        </w:rPr>
      </w:pPr>
      <w:r>
        <w:t xml:space="preserve">katero koli aktivno ali zunajbilančno postavko v netrgovalni in trgovalni knjigi, vključno s postavkami iz člena 400 CRR, vendar brez postavk, zajetih v točkah (a) do (d) člena 390(6) CRR; </w:t>
      </w:r>
    </w:p>
    <w:p w:rsidR="00B0191A" w:rsidRPr="0039317F" w:rsidRDefault="00AB5AE4" w:rsidP="000F0ADE">
      <w:pPr>
        <w:pStyle w:val="InstructionsText2"/>
        <w:numPr>
          <w:ilvl w:val="1"/>
          <w:numId w:val="15"/>
        </w:numPr>
        <w:rPr>
          <w:rFonts w:eastAsia="Arial"/>
        </w:rPr>
      </w:pPr>
      <w:r>
        <w:t>„posredne izpostavljenosti“ so izpostavljenosti, ki se pripišejo dajalcu jamstva ali izdajatelju zavarovanja s premoženjem in ne neposrednemu kreditojemalcu v skladu s členom 403 CRR. [</w:t>
      </w:r>
      <w:r>
        <w:rPr>
          <w:i/>
        </w:rPr>
        <w:t>Opredelitve tukaj se ne smejo v nobenem pogl</w:t>
      </w:r>
      <w:r>
        <w:rPr>
          <w:i/>
        </w:rPr>
        <w:t>e</w:t>
      </w:r>
      <w:r>
        <w:rPr>
          <w:i/>
        </w:rPr>
        <w:t>du razlikovati od opredelitev v osnovnem aktu.</w:t>
      </w:r>
      <w:r>
        <w:t>]</w:t>
      </w:r>
    </w:p>
    <w:p w:rsidR="00B0191A" w:rsidRPr="0039317F" w:rsidRDefault="00F40CD9" w:rsidP="0039317F">
      <w:pPr>
        <w:pStyle w:val="InstructionsText2"/>
        <w:rPr>
          <w:rFonts w:eastAsia="Arial"/>
        </w:rPr>
      </w:pPr>
      <w:r>
        <w:t>Izpostavljenosti skupinam povezanih strank se izračunajo v skladu s členom 390(5).</w:t>
      </w:r>
    </w:p>
    <w:p w:rsidR="0008722B" w:rsidRPr="0039317F" w:rsidRDefault="008645CF" w:rsidP="0039317F">
      <w:pPr>
        <w:pStyle w:val="InstructionsText2"/>
        <w:rPr>
          <w:rFonts w:eastAsia="Arial"/>
        </w:rPr>
      </w:pPr>
      <w:r>
        <w:t xml:space="preserve">„Pogodbe o pobotu“ se lahko upoštevajo pri učinkih vrednosti izpostavljenosti velikih izpostavljenosti iz člena 390(1), (2) in (3) CRR. Vrednost izpostavljenosti izvedenega finančnega instrumenta iz Priloge II k CRR se določi v skladu s poglavjem 6 naslova </w:t>
      </w:r>
      <w:r>
        <w:lastRenderedPageBreak/>
        <w:t>II dela 3 CRR, pri čemer se učinki pogodb o novaciji in drugih pogodb o pobotu upo</w:t>
      </w:r>
      <w:r>
        <w:t>š</w:t>
      </w:r>
      <w:r>
        <w:t>tevajo za namene navedenih metod v skladu s poglavjem 6 naslova II dela 3 CRR. Vrednost izpostavljenosti repo poslov, poslov posoje/izposoje vrednostnih papirjev ali blaga, poslov z dolgim rokom poravnave in poslov kreditiranja za povečanje trgova</w:t>
      </w:r>
      <w:r>
        <w:t>l</w:t>
      </w:r>
      <w:r>
        <w:t>nega portfelja se lahko določi v skladu s poglavjem 4 ali poglavjem 6 naslova II dela 3 CRR. V skladu s členom 296 CRR se vrednost izpostavljenosti ene same pravne obv</w:t>
      </w:r>
      <w:r>
        <w:t>e</w:t>
      </w:r>
      <w:r>
        <w:t>znosti iz naslova pogodbenega pobota med različnimi kategorijami produktov z na</w:t>
      </w:r>
      <w:r>
        <w:t>s</w:t>
      </w:r>
      <w:r>
        <w:t>protno stranko institucije poročevalke, poroča v okviru „drugih obveznosti“ v predl</w:t>
      </w:r>
      <w:r>
        <w:t>o</w:t>
      </w:r>
      <w:r>
        <w:t>gah LE.</w:t>
      </w:r>
    </w:p>
    <w:p w:rsidR="00AB28E2" w:rsidRPr="0039317F" w:rsidRDefault="001E0F83" w:rsidP="0039317F">
      <w:pPr>
        <w:pStyle w:val="InstructionsText2"/>
        <w:rPr>
          <w:rFonts w:eastAsia="Arial"/>
        </w:rPr>
      </w:pPr>
      <w:r>
        <w:t>„Vrednost izpostavljenosti“ se izračuna v skladu s členom 390 CRR.</w:t>
      </w:r>
    </w:p>
    <w:p w:rsidR="00B0191A" w:rsidRPr="0039317F" w:rsidRDefault="001E0F83" w:rsidP="0039317F">
      <w:pPr>
        <w:pStyle w:val="InstructionsText2"/>
        <w:rPr>
          <w:rFonts w:eastAsia="Arial"/>
        </w:rPr>
      </w:pPr>
      <w:r>
        <w:t>Učinek celotne ali delne uporabe izvzetij in primernih tehnik za zmanjševanje kredi</w:t>
      </w:r>
      <w:r>
        <w:t>t</w:t>
      </w:r>
      <w:r>
        <w:t xml:space="preserve">nega tveganja (CRM) zaradi izračuna izpostavljenosti za namene člena 395(1) CRR je opisan v členih 399 do 403 CRR. </w:t>
      </w:r>
    </w:p>
    <w:p w:rsidR="00AB28E2" w:rsidRPr="0039317F" w:rsidRDefault="0017740A" w:rsidP="0039317F">
      <w:pPr>
        <w:pStyle w:val="InstructionsText2"/>
        <w:rPr>
          <w:rFonts w:eastAsia="Arial"/>
        </w:rPr>
      </w:pPr>
      <w:r>
        <w:t>O pogodbah o začasnem odkupu, ki so zajete v poročanje o velikih izpostavljenostih, se poroča v skladu s členom 402(3) CRR. Če so izpolnjena merila iz člena 402(3) CRR, zadevna institucija poroča o velikih izpostavljenostih do vsake tretje osebe v višini zneska terjatve, ki jo ima zadevna nasprotna stranka v poslu do te tretje osebe, in ne v višini zneska izpostavljenosti do zadevne nasprotne stranke.</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3237122"/>
      <w:r>
        <w:rPr>
          <w:rFonts w:ascii="Times New Roman" w:hAnsi="Times New Roman"/>
          <w:b/>
          <w:sz w:val="24"/>
          <w:u w:val="none"/>
        </w:rPr>
        <w:t>C 26.00 – Predloga za poročanje o omejitvah velikih izpostavljenosti</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3237123"/>
      <w:r>
        <w:rPr>
          <w:rFonts w:ascii="Times New Roman" w:hAnsi="Times New Roman"/>
          <w:sz w:val="24"/>
        </w:rPr>
        <w:t>Navodila za posamezne vrstice</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Vrstice</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Neinstitucije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omejitve, ki se uporablja za nasprotne stranke, ki niso institucije. Ta znesek je 25 % sprejemljivega kapitala, ki se poroča v vrstici 226 predloge 4 iz Priloge I, razen če se uporablja strožji odstotek zaradi up</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rabe nacionalnih ukrepov v skladu s členom 458 CRR ali delegiranih aktov, sprejetih v skladu s členom 459(b) CRR.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omejitve, ki se uporablja za nasprotne stranke, ki so inst</w:t>
            </w:r>
            <w:r>
              <w:rPr>
                <w:rStyle w:val="FormatvorlageInstructionsTabelleText"/>
                <w:rFonts w:ascii="Times New Roman" w:hAnsi="Times New Roman"/>
                <w:sz w:val="24"/>
              </w:rPr>
              <w:t>i</w:t>
            </w:r>
            <w:r>
              <w:rPr>
                <w:rStyle w:val="FormatvorlageInstructionsTabelleText"/>
                <w:rFonts w:ascii="Times New Roman" w:hAnsi="Times New Roman"/>
                <w:sz w:val="24"/>
              </w:rPr>
              <w:t>tucije. V skladu s členom 395(1) CRR je ta znesek naslednji: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če 25 % sprejemljivega kapitala presega 150 milijonov EUR (ali omejitev, ki je nižja od 150 milijonov EUR in jo določi pristojni organ v skladu s tretjim odstavkom člena 395(1) CRR), se poroča 25 % sprejemljivega kapitala;</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če je 150 milijonov EUR (ali nižja omejitev, ki jo določi pristojni organ v skladu s tretjim odstavkom člena 395(1) CRR) več kot 25 % sprejemljivega kapitala institucije, se poroča 150 milijonov EUR (ali nižja omejitev, če jo je pristojni organ določil). Če je institucija dol</w:t>
            </w:r>
            <w:r>
              <w:rPr>
                <w:rStyle w:val="FormatvorlageInstructionsTabelleText"/>
                <w:rFonts w:ascii="Times New Roman" w:hAnsi="Times New Roman"/>
                <w:sz w:val="24"/>
              </w:rPr>
              <w:t>o</w:t>
            </w:r>
            <w:r>
              <w:rPr>
                <w:rStyle w:val="FormatvorlageInstructionsTabelleText"/>
                <w:rFonts w:ascii="Times New Roman" w:hAnsi="Times New Roman"/>
                <w:sz w:val="24"/>
              </w:rPr>
              <w:t>čila nižjo omejitev v smislu sprejemljivega kapitala, kakor se zahteva v skladu z drugim pododstavkom člena 395(1) CRR, se poroča nav</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dena omejitev.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 omejitve so lahko strožje, če se uporabijo nacionalni ukrepi v skladu s členom 395(6) ali členom 458 CRR ali delegirani akti, sprejeti v skladu s členom 459(b) CRR.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 v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in člen 459(a)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absolutna omejitev (poročana v vrstici 020), izraž</w:t>
            </w:r>
            <w:r>
              <w:rPr>
                <w:rStyle w:val="FormatvorlageInstructionsTabelleText"/>
                <w:rFonts w:ascii="Times New Roman" w:hAnsi="Times New Roman"/>
                <w:sz w:val="24"/>
              </w:rPr>
              <w:t>e</w:t>
            </w:r>
            <w:r>
              <w:rPr>
                <w:rStyle w:val="FormatvorlageInstructionsTabelleText"/>
                <w:rFonts w:ascii="Times New Roman" w:hAnsi="Times New Roman"/>
                <w:sz w:val="24"/>
              </w:rPr>
              <w:t>na kot odstotek sprejemljivega kapitala.</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3237124"/>
      <w:r>
        <w:rPr>
          <w:rFonts w:ascii="Times New Roman" w:hAnsi="Times New Roman"/>
          <w:b/>
          <w:sz w:val="24"/>
          <w:u w:val="none"/>
        </w:rPr>
        <w:t>C 27.00 – Opredelitev nasprotne stranke (predloga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3237125"/>
      <w:r>
        <w:rPr>
          <w:rFonts w:ascii="Times New Roman" w:hAnsi="Times New Roman"/>
          <w:sz w:val="24"/>
        </w:rPr>
        <w:t>Navodila za posamezne stolpce</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Opredelitev nasprotne stranke</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poročajo identifikacijske podatke vsake nasprotne stranke, za katero predložijo podatke v kateri koli od predlog C 28.00 do C 31.00. Ide</w:t>
            </w:r>
            <w:r>
              <w:rPr>
                <w:rStyle w:val="FormatvorlageInstructionsTabelleText"/>
                <w:rFonts w:ascii="Times New Roman" w:hAnsi="Times New Roman"/>
                <w:sz w:val="24"/>
              </w:rPr>
              <w:t>n</w:t>
            </w:r>
            <w:r>
              <w:rPr>
                <w:rStyle w:val="FormatvorlageInstructionsTabelleText"/>
                <w:rFonts w:ascii="Times New Roman" w:hAnsi="Times New Roman"/>
                <w:sz w:val="24"/>
              </w:rPr>
              <w:t>tifikacijski podatki skupine povezanih strank se ne poročajo, razen če naci</w:t>
            </w:r>
            <w:r>
              <w:rPr>
                <w:rStyle w:val="FormatvorlageInstructionsTabelleText"/>
                <w:rFonts w:ascii="Times New Roman" w:hAnsi="Times New Roman"/>
                <w:sz w:val="24"/>
              </w:rPr>
              <w:t>o</w:t>
            </w:r>
            <w:r>
              <w:rPr>
                <w:rStyle w:val="FormatvorlageInstructionsTabelleText"/>
                <w:rFonts w:ascii="Times New Roman" w:hAnsi="Times New Roman"/>
                <w:sz w:val="24"/>
              </w:rPr>
              <w:t>nalni sistem poročanja zagotavlja enoznačno kodo za skupino povezanih strank.</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394(1)(a) CRR institucije poročajo identifikacijske pod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tke nasprotne stranke, do katere imajo veliko izpostavljenost iz člena 392 CRR.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394(2)(a) CRR institucije poročajo identifikacijske pod</w:t>
            </w:r>
            <w:r>
              <w:rPr>
                <w:rStyle w:val="FormatvorlageInstructionsTabelleText"/>
                <w:rFonts w:ascii="Times New Roman" w:hAnsi="Times New Roman"/>
                <w:sz w:val="24"/>
              </w:rPr>
              <w:t>a</w:t>
            </w:r>
            <w:r>
              <w:rPr>
                <w:rStyle w:val="FormatvorlageInstructionsTabelleText"/>
                <w:rFonts w:ascii="Times New Roman" w:hAnsi="Times New Roman"/>
                <w:sz w:val="24"/>
              </w:rPr>
              <w:t>tke nasprotne stranke, do katere imajo največje izpostavljenosti (kadar je nasprotna stranka institucija ali nereguliran subjekt finančnega sektorja).</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je identifikator vrstice in mora biti enoznačna za vsako vrstico v tabeli.</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se uporablja za identifikacijo posamezne nasprotne stranke. Vendar je namen tega stolpca povezati podatke o nasprotni stranki iz predloge C 27.00 z izpostavljenostmi, poročanimi v predlogah C 28.00 do C 31.00. Koda sk</w:t>
            </w:r>
            <w:r>
              <w:rPr>
                <w:rStyle w:val="FormatvorlageInstructionsTabelleText"/>
                <w:rFonts w:ascii="Times New Roman" w:hAnsi="Times New Roman"/>
                <w:sz w:val="24"/>
              </w:rPr>
              <w:t>u</w:t>
            </w:r>
            <w:r>
              <w:rPr>
                <w:rStyle w:val="FormatvorlageInstructionsTabelleText"/>
                <w:rFonts w:ascii="Times New Roman" w:hAnsi="Times New Roman"/>
                <w:sz w:val="24"/>
              </w:rPr>
              <w:lastRenderedPageBreak/>
              <w:t>pine povezanih strank se ne poroča, razen če nacionalni sistem poročanja zagotavlja enoznačno kodo za skupino povezanih strank. Kode se uporablj</w:t>
            </w:r>
            <w:r>
              <w:rPr>
                <w:rStyle w:val="FormatvorlageInstructionsTabelleText"/>
                <w:rFonts w:ascii="Times New Roman" w:hAnsi="Times New Roman"/>
                <w:sz w:val="24"/>
              </w:rPr>
              <w:t>a</w:t>
            </w:r>
            <w:r>
              <w:rPr>
                <w:rStyle w:val="FormatvorlageInstructionsTabelleText"/>
                <w:rFonts w:ascii="Times New Roman" w:hAnsi="Times New Roman"/>
                <w:sz w:val="24"/>
              </w:rPr>
              <w:t>jo stalno in dosledno.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Sestava kode je odvisna od nacionalnega sistema poročanja, razen če je v Uniji na voljo enotna kodifikacija.</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Ime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poročanja o skupini povezanih strank ime ustreza imenu skupine. V vseh drugih primerih ime ustreza posamezni nasprotni stranki.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skupini povezanih strank se poroča ime nadrejene družbe oziroma komercialno ime skupine, če skupina povezanih strank nima nadrejene dru</w:t>
            </w:r>
            <w:r>
              <w:rPr>
                <w:rStyle w:val="FormatvorlageInstructionsTabelleText"/>
                <w:rFonts w:ascii="Times New Roman" w:hAnsi="Times New Roman"/>
                <w:sz w:val="24"/>
              </w:rPr>
              <w:t>ž</w:t>
            </w:r>
            <w:r>
              <w:rPr>
                <w:rStyle w:val="FormatvorlageInstructionsTabelleText"/>
                <w:rFonts w:ascii="Times New Roman" w:hAnsi="Times New Roman"/>
                <w:sz w:val="24"/>
              </w:rPr>
              <w:t>be.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LEI</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Koda identifikatorja pravnih subjektov nasprotne stranke.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Sedež nasprotne stranke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nasprotne stranke (vključno s psevdo kodami ISO za mednarodne organizacije, ki so na voljo v zadnji izdaji Eurostatovega „Vademekuma o plačilni bilanci“).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 skupinah povezanih strank se sedež ne poroča.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Sektor nasprotne stranke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Vsaki nasprotni stranki se dodeli en sektor glede na razrede gospodarskega sektorja na podlagi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centralne banke;</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država;</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kreditne institucije;</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investicijska podjetja, kot so opredeljena v členu 4(1)(2) CRR;</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druge finančne družbe (razen investicijskih podjetij);</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nefinančne družbe;</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gospodinjstva.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Pri skupinah povezanih strank se sektor ne poroča.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Za gospodarski sektor se uporabljajo oznake NACE (Nomenclature statistique des activités économiques dans l’Union européenne = statistična klasifikacija gospodarskih dejavnosti v Evropski uniji).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stolpec se uporablja le za nasprotne stranke, ki so „druge finančne dru</w:t>
            </w:r>
            <w:r>
              <w:rPr>
                <w:rStyle w:val="FormatvorlageInstructionsTabelleText"/>
                <w:rFonts w:ascii="Times New Roman" w:hAnsi="Times New Roman"/>
                <w:sz w:val="24"/>
              </w:rPr>
              <w:t>ž</w:t>
            </w:r>
            <w:r>
              <w:rPr>
                <w:rStyle w:val="FormatvorlageInstructionsTabelleText"/>
                <w:rFonts w:ascii="Times New Roman" w:hAnsi="Times New Roman"/>
                <w:sz w:val="24"/>
              </w:rPr>
              <w:lastRenderedPageBreak/>
              <w:t>be“ in „nefinančne družbe“.  Oznake NACE se uporabljajo za „nefinančne družbe“ s podrobnostmi na eni ravni (npr. „F – gradbeništvo“) in za „druge finančne družbe“ s podrobnostmi na dveh ravneh, s čimer se zagotovijo ločeni podatki o zavarovalnih dejavnostih (npr. „K65 – dejavnosti zavarov</w:t>
            </w:r>
            <w:r>
              <w:rPr>
                <w:rStyle w:val="FormatvorlageInstructionsTabelleText"/>
                <w:rFonts w:ascii="Times New Roman" w:hAnsi="Times New Roman"/>
                <w:sz w:val="24"/>
              </w:rPr>
              <w:t>a</w:t>
            </w:r>
            <w:r>
              <w:rPr>
                <w:rStyle w:val="FormatvorlageInstructionsTabelleText"/>
                <w:rFonts w:ascii="Times New Roman" w:hAnsi="Times New Roman"/>
                <w:sz w:val="24"/>
              </w:rPr>
              <w:t>nja, pozavarovanja in pokojninskih skladov, razen obvezne socialne varno</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ti“).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Gospodarska sektorja „druge finančne družbe“ in „nefinančne družbe“ se razvrstita glede na razčlenitev nasprotnih strank na podlagi FINREP.</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skupinah povezanih strank se oznaka NACE ne poroča.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nasprotne stranke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Člen 394(2) CRR.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deset največjih izpostavljenosti do institucij in deset največjih izposta</w:t>
            </w:r>
            <w:r>
              <w:rPr>
                <w:rStyle w:val="FormatvorlageInstructionsTabelleText"/>
                <w:rFonts w:ascii="Times New Roman" w:hAnsi="Times New Roman"/>
                <w:sz w:val="24"/>
              </w:rPr>
              <w:t>v</w:t>
            </w:r>
            <w:r>
              <w:rPr>
                <w:rStyle w:val="FormatvorlageInstructionsTabelleText"/>
                <w:rFonts w:ascii="Times New Roman" w:hAnsi="Times New Roman"/>
                <w:sz w:val="24"/>
              </w:rPr>
              <w:t>ljenosti do nereguliranih subjektov finančnega sektorja se vrsta nasprotne stranke opredeli s črko „I“ za institucije ali črko „N“ za neregulirane subje</w:t>
            </w:r>
            <w:r>
              <w:rPr>
                <w:rStyle w:val="FormatvorlageInstructionsTabelleText"/>
                <w:rFonts w:ascii="Times New Roman" w:hAnsi="Times New Roman"/>
                <w:sz w:val="24"/>
              </w:rPr>
              <w:t>k</w:t>
            </w:r>
            <w:r>
              <w:rPr>
                <w:rStyle w:val="FormatvorlageInstructionsTabelleText"/>
                <w:rFonts w:ascii="Times New Roman" w:hAnsi="Times New Roman"/>
                <w:sz w:val="24"/>
              </w:rPr>
              <w:t xml:space="preserve">te finančnega sektorja.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3237126"/>
      <w:r>
        <w:rPr>
          <w:rFonts w:ascii="Times New Roman" w:hAnsi="Times New Roman"/>
          <w:b/>
          <w:sz w:val="24"/>
          <w:u w:val="none"/>
        </w:rPr>
        <w:t>C 28.00 – Izpostavljenosti v netrgovalni in trgovalni knjigi (predloga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3237127"/>
      <w:r>
        <w:rPr>
          <w:rFonts w:ascii="Times New Roman" w:hAnsi="Times New Roman"/>
          <w:sz w:val="24"/>
        </w:rPr>
        <w:t xml:space="preserve">Navodila za posamezne </w:t>
      </w:r>
      <w:bookmarkEnd w:id="30"/>
      <w:bookmarkEnd w:id="31"/>
      <w:r>
        <w:rPr>
          <w:rFonts w:ascii="Times New Roman" w:hAnsi="Times New Roman"/>
          <w:sz w:val="24"/>
        </w:rPr>
        <w:t>stolpce</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skupini povezanih strank se, če je na voljo enoznačna koda na nacionalni ravni, poroča ta koda kot koda skupine povezanih strank. Ob odsotnosti en</w:t>
            </w:r>
            <w:r>
              <w:rPr>
                <w:rStyle w:val="FormatvorlageInstructionsTabelleText"/>
                <w:rFonts w:ascii="Times New Roman" w:hAnsi="Times New Roman"/>
                <w:sz w:val="24"/>
              </w:rPr>
              <w:t>o</w:t>
            </w:r>
            <w:r>
              <w:rPr>
                <w:rStyle w:val="FormatvorlageInstructionsTabelleText"/>
                <w:rFonts w:ascii="Times New Roman" w:hAnsi="Times New Roman"/>
                <w:sz w:val="24"/>
              </w:rPr>
              <w:t>značne kode na nacionalni ravni je koda, ki se sporoči, koda nadrejene dru</w:t>
            </w:r>
            <w:r>
              <w:rPr>
                <w:rStyle w:val="FormatvorlageInstructionsTabelleText"/>
                <w:rFonts w:ascii="Times New Roman" w:hAnsi="Times New Roman"/>
                <w:sz w:val="24"/>
              </w:rPr>
              <w:t>ž</w:t>
            </w:r>
            <w:r>
              <w:rPr>
                <w:rStyle w:val="FormatvorlageInstructionsTabelleText"/>
                <w:rFonts w:ascii="Times New Roman" w:hAnsi="Times New Roman"/>
                <w:sz w:val="24"/>
              </w:rPr>
              <w:t>be iz predloge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skupina povezanih strank nima nadrejene družbe, se poroča koda pos</w:t>
            </w:r>
            <w:r>
              <w:rPr>
                <w:rStyle w:val="FormatvorlageInstructionsTabelleText"/>
                <w:rFonts w:ascii="Times New Roman" w:hAnsi="Times New Roman"/>
                <w:sz w:val="24"/>
              </w:rPr>
              <w:t>a</w:t>
            </w:r>
            <w:r>
              <w:rPr>
                <w:rStyle w:val="FormatvorlageInstructionsTabelleText"/>
                <w:rFonts w:ascii="Times New Roman" w:hAnsi="Times New Roman"/>
                <w:sz w:val="24"/>
              </w:rPr>
              <w:t>meznega subjekta, ki je po mnenju zadevne institucije najpomembnejši v skupini povezanih strank. V vseh drugih primerih koda ustreza posamezni nasprotni stranki.</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 se uporabljajo stalno in dosledno.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Sestava kode je odvisna od nacionalnega sistema poročanja, razen če je v EU na voljo enotna kodifikacija.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Skupina ali posameznik</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Institucija navede „1“ za poročanje o izpostavljenostih do posameznih strank ali „2“ za poročanje o izpostavljenostih do skupin povezanih strank.</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z dodatnimi tehničnimi specifikacijami nacionalnih pristojnih organov, kadar ima institucija izpostavljenosti do navedene nasprotne stra</w:t>
            </w:r>
            <w:r>
              <w:rPr>
                <w:rStyle w:val="FormatvorlageInstructionsTabelleText"/>
                <w:rFonts w:ascii="Times New Roman" w:hAnsi="Times New Roman"/>
                <w:sz w:val="24"/>
              </w:rPr>
              <w:t>n</w:t>
            </w:r>
            <w:r>
              <w:rPr>
                <w:rStyle w:val="FormatvorlageInstructionsTabelleText"/>
                <w:rFonts w:ascii="Times New Roman" w:hAnsi="Times New Roman"/>
                <w:sz w:val="24"/>
              </w:rPr>
              <w:t>ke na podlagi posla, pri katerem obstajajo osnovne izpostavljenosti, se nav</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de ustreznica izrazu „da“, sicer se navede ustreznica izraza „ne“.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Originalne izpostavljenosti</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24, 389, 390 in 392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v tem sklopu stolpcev poroča originalne izpostavljenosti neposr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dnih izpostavljenosti, posrednih izpostavljenosti in dodatnih izpostavljenosti iz naslova poslov, pri katerih obstajajo osnovne izpostavljenosti.</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V skladu s členom 389 </w:t>
            </w:r>
            <w:r>
              <w:rPr>
                <w:rStyle w:val="FormatvorlageInstructionsTabelleText"/>
                <w:rFonts w:ascii="Times New Roman" w:hAnsi="Times New Roman"/>
                <w:sz w:val="24"/>
              </w:rPr>
              <w:t>CRR</w:t>
            </w:r>
            <w:r>
              <w:t xml:space="preserve"> se aktivne in zunajbilančne postavke uporabijo brez uteži tveganja ali stopenj tveganja. Zlasti se za zunajbilančne postavke ne uporabljajo kreditni konverzijski faktorji.  </w:t>
            </w:r>
          </w:p>
          <w:p w:rsidR="00B0191A" w:rsidRPr="0039317F" w:rsidRDefault="00B0191A" w:rsidP="0039317F">
            <w:pPr>
              <w:pStyle w:val="InstructionsText"/>
            </w:pPr>
          </w:p>
          <w:p w:rsidR="00B0191A" w:rsidRPr="0039317F" w:rsidRDefault="00BB3751" w:rsidP="0039317F">
            <w:pPr>
              <w:pStyle w:val="InstructionsText"/>
            </w:pPr>
            <w:r>
              <w:t>Ti stolpci vsebujejo originalno izpostavljenost, tj. vrednost izpostavljenosti, pri kateri se ne upoštevajo prilagoditve vrednosti in rezervacije, ki se odbij</w:t>
            </w:r>
            <w:r>
              <w:t>e</w:t>
            </w:r>
            <w:r>
              <w:t>jo v stolpcu 210.</w:t>
            </w:r>
          </w:p>
          <w:p w:rsidR="00B0191A" w:rsidRPr="0039317F" w:rsidRDefault="00B0191A" w:rsidP="0039317F">
            <w:pPr>
              <w:pStyle w:val="InstructionsText"/>
            </w:pPr>
          </w:p>
          <w:p w:rsidR="00B0191A" w:rsidRPr="0039317F" w:rsidRDefault="00C92E09" w:rsidP="0039317F">
            <w:pPr>
              <w:pStyle w:val="InstructionsText"/>
            </w:pPr>
            <w:r>
              <w:t xml:space="preserve">Opredelitev in izračun vrednosti izpostavljenosti sta opredeljena v členih 389 in 390 </w:t>
            </w:r>
            <w:r>
              <w:rPr>
                <w:rStyle w:val="FormatvorlageInstructionsTabelleText"/>
                <w:rFonts w:ascii="Times New Roman" w:hAnsi="Times New Roman"/>
                <w:sz w:val="24"/>
              </w:rPr>
              <w:t>CRR</w:t>
            </w:r>
            <w:r>
              <w:t xml:space="preserve">. Vrednotenje aktivnih in zunajbilančnih postavk se izvaja v skladu z računovodskim okvirom, ki velja za zadevno institucijo, v skladu s členom 24 </w:t>
            </w:r>
            <w:r>
              <w:rPr>
                <w:rStyle w:val="FormatvorlageInstructionsTabelleText"/>
                <w:rFonts w:ascii="Times New Roman" w:hAnsi="Times New Roman"/>
                <w:sz w:val="24"/>
              </w:rPr>
              <w:t>CRR</w:t>
            </w:r>
            <w:r>
              <w:t>.</w:t>
            </w:r>
          </w:p>
          <w:p w:rsidR="00B0191A" w:rsidRPr="0039317F" w:rsidRDefault="00B0191A" w:rsidP="0039317F">
            <w:pPr>
              <w:pStyle w:val="InstructionsText"/>
            </w:pPr>
          </w:p>
          <w:p w:rsidR="00B0191A" w:rsidRPr="0039317F" w:rsidRDefault="00BB3751" w:rsidP="0039317F">
            <w:pPr>
              <w:pStyle w:val="InstructionsText"/>
            </w:pPr>
            <w:r>
              <w:t>Izpostavljenosti, odbite od kapitala, ki niso izpostavljenosti v skladu s čl</w:t>
            </w:r>
            <w:r>
              <w:t>e</w:t>
            </w:r>
            <w:r>
              <w:t>nom 390(6)(e), se vključijo v te stolpce. Te izpostavljenosti se odbijejo v stolpcu 200.</w:t>
            </w:r>
          </w:p>
          <w:p w:rsidR="00B0191A" w:rsidRPr="0039317F" w:rsidRDefault="00B0191A" w:rsidP="0039317F">
            <w:pPr>
              <w:pStyle w:val="InstructionsText"/>
            </w:pPr>
          </w:p>
          <w:p w:rsidR="00B0191A" w:rsidRPr="0039317F" w:rsidRDefault="00BB3751" w:rsidP="0039317F">
            <w:pPr>
              <w:pStyle w:val="InstructionsText"/>
            </w:pPr>
            <w:r>
              <w:t xml:space="preserve">Izpostavljenosti, navedene v točkah (a) do (d) člena 390(6) </w:t>
            </w:r>
            <w:r>
              <w:rPr>
                <w:rStyle w:val="FormatvorlageInstructionsTabelleText"/>
                <w:rFonts w:ascii="Times New Roman" w:hAnsi="Times New Roman"/>
                <w:sz w:val="24"/>
              </w:rPr>
              <w:t>CRR</w:t>
            </w:r>
            <w:r>
              <w:t xml:space="preserve">, se ne vključijo v te stolpce.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Originalne izpostavljenosti vključujejo katere koli aktivne in zunajbilančne postavke v skladu s členom 400 </w:t>
            </w:r>
            <w:r>
              <w:rPr>
                <w:rStyle w:val="FormatvorlageInstructionsTabelleText"/>
                <w:rFonts w:ascii="Times New Roman" w:hAnsi="Times New Roman"/>
                <w:sz w:val="24"/>
              </w:rPr>
              <w:t>CRR</w:t>
            </w:r>
            <w:r>
              <w:t xml:space="preserve">. Izvzetja se za namene člena 395(1) </w:t>
            </w:r>
            <w:r>
              <w:rPr>
                <w:rStyle w:val="FormatvorlageInstructionsTabelleText"/>
                <w:rFonts w:ascii="Times New Roman" w:hAnsi="Times New Roman"/>
                <w:sz w:val="24"/>
              </w:rPr>
              <w:t>CRR</w:t>
            </w:r>
            <w:r>
              <w:t xml:space="preserve"> odbijejo v stolpcu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Vključijo se izpostavljenosti iz netrgovalne in trgovalne knjige.</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Za razčlenitev izpostavljenosti v finančnih instrumentih, kadar različne izp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stavljenosti iz naslova pogodb o pobotu predstavljajo eno samo izpostavlj</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nost, se ta dodeli finančnemu instrumentu glede na osnovno premoženje, vključeno v pogodbo o pobotu (glej tudi uvodni oddelek).</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Skupna originalna izpostavljenost</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vsoto neposrednih in posrednih izpostavljenosti ter doda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nih izpostavljenosti,</w:t>
            </w:r>
            <w:r>
              <w:rPr>
                <w:rStyle w:val="FormatvorlageInstructionsTabelleText"/>
                <w:rFonts w:ascii="Times New Roman" w:hAnsi="Times New Roman"/>
                <w:sz w:val="24"/>
              </w:rPr>
              <w:t xml:space="preserve"> ki izhajajo iz izpostavljenosti iz naslova poslov, pri katerih obstajajo osnovne izpostavljenosti</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neplačana</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178 CRR.</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Institucija poroča del skupne</w:t>
            </w:r>
            <w:r>
              <w:rPr>
                <w:rStyle w:val="FormatvorlageInstructionsTabelleText"/>
                <w:rFonts w:ascii="Times New Roman" w:hAnsi="Times New Roman"/>
                <w:sz w:val="24"/>
              </w:rPr>
              <w:t xml:space="preserve"> originalne izpostavljenosti, ki ustreza neplač</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nim izpostavljenostim.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Neposredne izpostavljenosti</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Neposredne izpostavljenosti pomenijo izpostavljenosti na podlagi „neposr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dnega kreditojemalca“.</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rsidR="00B0191A" w:rsidRPr="00384ADB" w:rsidRDefault="00B0191A" w:rsidP="0039317F">
            <w:pPr>
              <w:pStyle w:val="InstructionsText"/>
            </w:pPr>
          </w:p>
          <w:p w:rsidR="00B0191A" w:rsidRPr="0039317F" w:rsidRDefault="00193DDC" w:rsidP="0039317F">
            <w:pPr>
              <w:pStyle w:val="InstructionsText"/>
            </w:pPr>
            <w:r>
              <w:t>Uredba (EU) št. 1071/2013 („ECB/2013/33“), Priloga II, del 2, razpredeln</w:t>
            </w:r>
            <w:r>
              <w:t>i</w:t>
            </w:r>
            <w:r>
              <w:t>ca, kategoriji 2 in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Dolžniški instrumenti vključujejo dolžniške vrednostne papirje ter kredite in druga finančna sredstva.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V ta stolpec so vključeni instrumenti, ki so opredeljeni kot „posojila s</w:t>
            </w:r>
            <w:r>
              <w:t xml:space="preserve"> prvo</w:t>
            </w:r>
            <w:r>
              <w:t>t</w:t>
            </w:r>
            <w:r>
              <w:t>no zapadlostjo do vključno enega leta/nad enim letom do vključno petih let/nad petimi leti“ ali kot „</w:t>
            </w:r>
            <w:r>
              <w:rPr>
                <w:rStyle w:val="FormatvorlageInstructionsTabelleText"/>
                <w:rFonts w:ascii="Times New Roman" w:hAnsi="Times New Roman"/>
                <w:sz w:val="24"/>
              </w:rPr>
              <w:t>dolžniški vrednostni papirji</w:t>
            </w:r>
            <w:r>
              <w:t xml:space="preserve">“ </w:t>
            </w:r>
            <w:r>
              <w:rPr>
                <w:rStyle w:val="FormatvorlageInstructionsTabelleText"/>
                <w:rFonts w:ascii="Times New Roman" w:hAnsi="Times New Roman"/>
                <w:sz w:val="24"/>
              </w:rPr>
              <w:t>v skladu</w:t>
            </w:r>
            <w:r>
              <w:t xml:space="preserve"> z uredbo ECB/2013/33.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w:t>
            </w:r>
            <w:r>
              <w:t>epo posli, posli posoje/izposoje vrednostnih papirjev ali blaga (posli fina</w:t>
            </w:r>
            <w:r>
              <w:t>n</w:t>
            </w:r>
            <w:r>
              <w:t>ciranja vrednostnih papirjev) in posli kreditiranja za povečanje trgovalnega portfelja se vključijo v ta stolpec.</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ECB/2013/33, Priloga II, del 2, razpredelnica, kategoriji 4 in 5.</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V ta stolpec se vključijo instrumenti, opredeljeni kot „lastniški kapital“ ali kot „delnice/enote investicijskih skladov“ v skladu z uredbo</w:t>
            </w:r>
            <w:r>
              <w:t xml:space="preserve"> ECB/2013/33.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 finančni instrumenti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 xml:space="preserve">Člen 272(2) CRR in Priloga II k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9E58B0">
            <w:pPr>
              <w:pStyle w:val="InstructionsText"/>
            </w:pPr>
            <w:r>
              <w:t xml:space="preserve">Instrumenti, ki se poročajo v tem stolpcu, vključujejo izvedene finančne instrumente iz Priloge II k </w:t>
            </w:r>
            <w:r>
              <w:rPr>
                <w:rStyle w:val="FormatvorlageInstructionsTabelleText"/>
                <w:rFonts w:ascii="Times New Roman" w:hAnsi="Times New Roman"/>
                <w:sz w:val="24"/>
              </w:rPr>
              <w:t>CRR</w:t>
            </w:r>
            <w:r>
              <w:t xml:space="preserve"> in posle z dolgim rokom poravnave, kot so opredeljeni v členu 272(2) </w:t>
            </w:r>
            <w:r>
              <w:rPr>
                <w:rStyle w:val="FormatvorlageInstructionsTabelleText"/>
                <w:rFonts w:ascii="Times New Roman" w:hAnsi="Times New Roman"/>
                <w:sz w:val="24"/>
              </w:rPr>
              <w:t>CRR</w:t>
            </w:r>
            <w:r>
              <w:t xml:space="preserve">. </w:t>
            </w:r>
          </w:p>
          <w:p w:rsidR="00B0191A" w:rsidRPr="0039317F" w:rsidRDefault="00B0191A">
            <w:pPr>
              <w:pStyle w:val="InstructionsText"/>
            </w:pPr>
          </w:p>
          <w:p w:rsidR="00B0191A" w:rsidRPr="0039317F" w:rsidRDefault="00BB3751">
            <w:pPr>
              <w:pStyle w:val="InstructionsText"/>
            </w:pPr>
            <w:r>
              <w:t xml:space="preserve">Kreditni izvedeni finančni instrumenti, izpostavljeni kreditnemu tveganju </w:t>
            </w:r>
            <w:r>
              <w:lastRenderedPageBreak/>
              <w:t>nasprotne stranke, se vključijo v ta stolpec.</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Priloga I k </w:t>
            </w:r>
            <w:r>
              <w:rPr>
                <w:rStyle w:val="FormatvorlageInstructionsTabelleText"/>
                <w:rFonts w:ascii="Times New Roman" w:hAnsi="Times New Roman"/>
                <w:sz w:val="24"/>
              </w:rPr>
              <w:t>CRR</w:t>
            </w:r>
            <w:r>
              <w:rPr>
                <w:rFonts w:ascii="Times New Roman" w:hAnsi="Times New Roman"/>
                <w:sz w:val="24"/>
              </w:rPr>
              <w:t>.</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V teh stolpcih se poroča nominalna vrednost brez upoštevanja posebnih po</w:t>
            </w:r>
            <w:r>
              <w:rPr>
                <w:rFonts w:ascii="Times New Roman" w:hAnsi="Times New Roman"/>
                <w:sz w:val="24"/>
              </w:rPr>
              <w:t>p</w:t>
            </w:r>
            <w:r>
              <w:rPr>
                <w:rFonts w:ascii="Times New Roman" w:hAnsi="Times New Roman"/>
                <w:sz w:val="24"/>
              </w:rPr>
              <w:t>ravkov zaradi kreditnega tveganja in konverzijskih faktorjev.</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Prevzete obveznosti iz kreditov</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1(c) in (h), 2(b)(ii), 3(b)(i) in 4(a) Priloge I k CRR. </w:t>
            </w:r>
          </w:p>
          <w:p w:rsidR="00B0191A" w:rsidRPr="0039317F" w:rsidRDefault="00B0191A">
            <w:pPr>
              <w:pStyle w:val="InstructionsText"/>
            </w:pPr>
          </w:p>
          <w:p w:rsidR="00B0191A" w:rsidRPr="0039317F" w:rsidRDefault="00BB3751">
            <w:pPr>
              <w:pStyle w:val="InstructionsText"/>
            </w:pPr>
            <w:r>
              <w:t>Prevzete obveznosti iz kreditov so trdne zaveze zagotovitve kredita pod vnaprej določenimi pogoji, razen v primeru izvedenih finančnih instrume</w:t>
            </w:r>
            <w:r>
              <w:t>n</w:t>
            </w:r>
            <w:r>
              <w:t xml:space="preserve">tov, ker se lahko ti poravnajo z denarjem ali z izročitvijo ali izdajo drugega finančnega instrumenta.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1(a), (b) in (f) Priloge I k CRR.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Finančna poroštva so pogodbe, v skladu s katerimi mora izdajatelj opraviti določena plačila, s katerimi se imetniku povrne izguba, ki je nastala, ker določeni dolžnik ni izvedel plačila ob zapadlosti v skladu s prvotnimi ali spremenjenimi pogoji dolžniškega instrumenta. Kreditni izvedeni finančni instrumenti, ki niso vključeni v stolpec „izvedeni finančni instrumenti“, se poročajo v tem stolpcu.</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Druge obveznosti so postavke v Prilogi I k CRR, ki niso vključene v prejšnje kategorije. V</w:t>
            </w:r>
            <w:r>
              <w:rPr>
                <w:rFonts w:ascii="Times New Roman" w:hAnsi="Times New Roman"/>
                <w:sz w:val="24"/>
              </w:rPr>
              <w:t xml:space="preserve"> tem stolpcu se poroča vrednost izpostavljenosti ene same pr</w:t>
            </w:r>
            <w:r>
              <w:rPr>
                <w:rFonts w:ascii="Times New Roman" w:hAnsi="Times New Roman"/>
                <w:sz w:val="24"/>
              </w:rPr>
              <w:t>a</w:t>
            </w:r>
            <w:r>
              <w:rPr>
                <w:rFonts w:ascii="Times New Roman" w:hAnsi="Times New Roman"/>
                <w:sz w:val="24"/>
              </w:rPr>
              <w:t>vne obveznosti iz naslova pogodbenega pobota med različnimi kategorijami produktov z nasprotno stranko institucije.</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Posredne izpostavljenosti</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Člen 403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403</w:t>
            </w:r>
            <w:r>
              <w:rPr>
                <w:rStyle w:val="FormatvorlageInstructionsTabelleText"/>
                <w:rFonts w:ascii="Times New Roman" w:hAnsi="Times New Roman"/>
                <w:sz w:val="24"/>
              </w:rPr>
              <w:t xml:space="preserve"> CRR </w:t>
            </w:r>
            <w:r>
              <w:rPr>
                <w:rStyle w:val="InstructionsTabelleberschrift"/>
                <w:rFonts w:ascii="Times New Roman" w:hAnsi="Times New Roman"/>
                <w:b w:val="0"/>
                <w:sz w:val="24"/>
                <w:u w:val="none"/>
              </w:rPr>
              <w:t xml:space="preserve">lahko institucija uporabi metodo substitucije, kadar je izpostavljenost do stranke zavarovana z jamstvom tretje osebe ali s premoženjem, ki ga izda tretja oseba.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v tem sklopu stolpcev poroča zneske neposrednih izpostavljeno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 ki so predodeljene dajalcu jamstva ali izdajatelju zavarovanja s premože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jem, če bi se temu pripisala utež tveganja, ki je enaka ali nižja od uteži tv</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ganja, ki bi se uporabila za tretjo osebo v skladu s poglavjem 2 naslova II dela 3 CRR. Zavarovana referenčna originalna izpostavljenost (neposredna izpostavljenost) se odbije od izpostavljenosti do prvotnega kreditojemalca v </w:t>
            </w:r>
            <w:r>
              <w:rPr>
                <w:rStyle w:val="InstructionsTabelleberschrift"/>
                <w:rFonts w:ascii="Times New Roman" w:hAnsi="Times New Roman"/>
                <w:b w:val="0"/>
                <w:sz w:val="24"/>
                <w:u w:val="none"/>
              </w:rPr>
              <w:lastRenderedPageBreak/>
              <w:t>stolpcih „ustreznih tehnik za zmanjševanje kreditnega tveganja“. Posredna izpostavljenost poveča izpostavljenost do dajalca jamstva ali izdajatelja zavarovanja s premoženjem prek učinka zamenjave. To velja tudi za jam</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tva, dana v skupini povezanih strank.</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prvotni znesek posrednih izpostavljenosti v stolpcu, ki ustreza vrsti neposredne izpostavljenosti, zavarovane z jamstvom ali prem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ženjem. Npr. kadar je neposredna izpostavljenost, zavarovana z jamstvom, dolžniški instrument, se znesek „posredne izpostavljenosti“, dodeljene daja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cu jamstva, poroča v stolpcu „dolžniški instrumenti“.</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Izpostavljenosti iz naslova kreditnih zapisov se prav tako poročajo v tem sklopu stolpcev v skladu s členom 399</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stolpec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V teh stolpcih se navede nominalna vrednost brez upoštevanja posebnih popravkov zaradi kreditnega tveganja in konverzijskih faktorjev.</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Prevzete obveznosti iz kreditov</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Dodatne izpostavljenosti iz naslova poslov, pri katerih obstajajo osno</w:t>
            </w:r>
            <w:r>
              <w:rPr>
                <w:rStyle w:val="InstructionsTabelleberschrift"/>
                <w:rFonts w:ascii="Times New Roman" w:hAnsi="Times New Roman"/>
                <w:sz w:val="24"/>
              </w:rPr>
              <w:t>v</w:t>
            </w:r>
            <w:r>
              <w:rPr>
                <w:rStyle w:val="InstructionsTabelleberschrift"/>
                <w:rFonts w:ascii="Times New Roman" w:hAnsi="Times New Roman"/>
                <w:sz w:val="24"/>
              </w:rPr>
              <w:t>ne izpostavljenosti</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Dodatne izpostavljenosti iz naslova poslov, pri katerih obstajajo osnovne </w:t>
            </w:r>
            <w:r>
              <w:rPr>
                <w:rStyle w:val="FormatvorlageInstructionsTabelleText"/>
                <w:rFonts w:ascii="Times New Roman" w:hAnsi="Times New Roman"/>
                <w:sz w:val="24"/>
              </w:rPr>
              <w:lastRenderedPageBreak/>
              <w:t>izpostavljenosti.</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Členi 34, 24, 110 in 111 CRR.</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Prilagoditev vrednosti in rezervacije, ki so vključene v ustrezen računovo</w:t>
            </w:r>
            <w:r>
              <w:rPr>
                <w:rStyle w:val="FormatvorlageInstructionsTabelleText"/>
                <w:rFonts w:ascii="Times New Roman" w:hAnsi="Times New Roman"/>
                <w:color w:val="auto"/>
                <w:sz w:val="24"/>
              </w:rPr>
              <w:t>d</w:t>
            </w:r>
            <w:r>
              <w:rPr>
                <w:rStyle w:val="FormatvorlageInstructionsTabelleText"/>
                <w:rFonts w:ascii="Times New Roman" w:hAnsi="Times New Roman"/>
                <w:color w:val="auto"/>
                <w:sz w:val="24"/>
              </w:rPr>
              <w:t>ski okvir (Direktiva 86/635/EGS ali Uredba (ES) št. 1606/2002) ter vplivajo na vrednotenje</w:t>
            </w:r>
            <w:r>
              <w:rPr>
                <w:rStyle w:val="FormatvorlageInstructionsTabelleText"/>
                <w:rFonts w:ascii="Times New Roman" w:hAnsi="Times New Roman"/>
                <w:sz w:val="24"/>
              </w:rPr>
              <w:t xml:space="preserve"> izpostavljenosti v skladu s členoma 24 in 110 CRR</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 tem stolpcu se poročajo prilagoditve vrednosti in rezervacije</w:t>
            </w:r>
            <w:r>
              <w:rPr>
                <w:rStyle w:val="FormatvorlageInstructionsTabelleText"/>
                <w:rFonts w:ascii="Times New Roman" w:hAnsi="Times New Roman"/>
                <w:sz w:val="24"/>
              </w:rPr>
              <w:t xml:space="preserve"> za bruto izpostavljenost iz stolpca 040.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odbite od kapitala</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Člen 390(6)(e)</w:t>
            </w:r>
            <w:r>
              <w:rPr>
                <w:rStyle w:val="FormatvorlageInstructionsTabelleText"/>
                <w:rFonts w:ascii="Times New Roman" w:hAnsi="Times New Roman"/>
                <w:sz w:val="24"/>
              </w:rPr>
              <w:t xml:space="preserve"> CRR.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 xml:space="preserve">Poročajo se izpostavljenosti, odbite od kapitala, ki se vključijo v različne stolpce „skupne originalne izpostavljenosti“.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pred uporabo izvzetij in zmanjševanja kred</w:t>
            </w:r>
            <w:r>
              <w:rPr>
                <w:rStyle w:val="InstructionsTabelleberschrift"/>
                <w:rFonts w:ascii="Times New Roman" w:hAnsi="Times New Roman"/>
                <w:sz w:val="24"/>
              </w:rPr>
              <w:t>i</w:t>
            </w:r>
            <w:r>
              <w:rPr>
                <w:rStyle w:val="InstructionsTabelleberschrift"/>
                <w:rFonts w:ascii="Times New Roman" w:hAnsi="Times New Roman"/>
                <w:sz w:val="24"/>
              </w:rPr>
              <w:t>tnega tveganja</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Člen 394(1)(b) </w:t>
            </w:r>
            <w:r>
              <w:rPr>
                <w:rStyle w:val="FormatvorlageInstructionsTabelleText"/>
                <w:rFonts w:ascii="Times New Roman" w:hAnsi="Times New Roman"/>
                <w:sz w:val="24"/>
              </w:rPr>
              <w:t>CRR</w:t>
            </w:r>
            <w:r>
              <w:t>.</w:t>
            </w:r>
          </w:p>
          <w:p w:rsidR="00BB3751" w:rsidRPr="00384ADB" w:rsidRDefault="00BB3751" w:rsidP="0039317F">
            <w:pPr>
              <w:pStyle w:val="InstructionsText"/>
            </w:pPr>
          </w:p>
          <w:p w:rsidR="00BB3751" w:rsidRPr="00384ADB" w:rsidRDefault="008A4511" w:rsidP="0039317F">
            <w:pPr>
              <w:pStyle w:val="InstructionsText"/>
            </w:pPr>
            <w:r>
              <w:t>Institucije poročajo vrednost izpostavljenosti pred upoštevanjem učinka zmanjševanja kreditnega tveganja, kadar je to primerno.</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rsidR="00BB3751" w:rsidRPr="0039317F" w:rsidRDefault="00BB3751" w:rsidP="0039317F">
            <w:pPr>
              <w:pStyle w:val="InstructionsText"/>
            </w:pPr>
          </w:p>
          <w:p w:rsidR="00BB3751" w:rsidRPr="0039317F" w:rsidRDefault="00BB3751" w:rsidP="0039317F">
            <w:pPr>
              <w:pStyle w:val="InstructionsText"/>
            </w:pPr>
            <w:r>
              <w:t>V tem stolpcu se pri vrednosti izpostavljenosti poroča znesek, ki se uporabi pri določanju, ali je izpostavljenost velika izpostavljenost v skladu z opred</w:t>
            </w:r>
            <w:r>
              <w:t>e</w:t>
            </w:r>
            <w:r>
              <w:t xml:space="preserve">litvijo v členu 392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BB3751">
            <w:pPr>
              <w:pStyle w:val="InstructionsText"/>
            </w:pPr>
            <w:r>
              <w:t>To vključuje originalno izpostavljenost po odbitku prilagoditev vrednosti in rezervacij ter znesek izpostavljenosti, odbitih od kapitala.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netrgovalne knjige pri skupni izpostavljenosti pred uporabo izvzetij in zmanjševanja kreditnega tveganja.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sprejemljivega kapitala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4(1)(71)(b) in člen 395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Znesek, ki se poroča, je odstotek vrednosti izpostavljenosti pred uporabo izvzetij in zmanjševanja kreditnega tveganja, povezanega s sprejemljivim kapitalom institucije, kakor je opredeljeno v členu 4(1)(71)(b)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Ustrezne tehnike za zmanjševanje kreditnega tveganja</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399 in 401 do</w:t>
            </w:r>
            <w:r>
              <w:rPr>
                <w:rStyle w:val="FormatvorlageInstructionsTabelleText"/>
                <w:rFonts w:ascii="Times New Roman" w:hAnsi="Times New Roman"/>
                <w:sz w:val="24"/>
              </w:rPr>
              <w:t xml:space="preserve"> 403 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Tehnike za zmanjševanje kreditnega tveganja iz člena 4(1)(57) CRR.</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Za namene tega poročanja se tehnike za zmanjševanje kreditnega tveganja, pripoznane v poglavjih 3 in 4</w:t>
            </w:r>
            <w:r>
              <w:rPr>
                <w:rStyle w:val="InstructionsTabelleberschrift"/>
                <w:rFonts w:ascii="Times New Roman" w:hAnsi="Times New Roman"/>
                <w:b w:val="0"/>
                <w:sz w:val="24"/>
                <w:u w:val="none"/>
              </w:rPr>
              <w:t xml:space="preserve"> naslova II dela 3 CRR uporabijo v skladu s členi 401 do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Tehnike za zmanjševanje kreditnega tveganja imajo lahko tri različne učinke v ureditvi velikih izpostavljenosti: učinek zamenjave, stvarno kreditno zav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rovanje razen učinka zamenjave in obravnava nepremičnin.</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Učinek zamenjave ustreznih tehnik za zmanjševanje kreditnega tvega</w:t>
            </w:r>
            <w:r>
              <w:rPr>
                <w:rStyle w:val="InstructionsTabelleberschrift"/>
                <w:rFonts w:ascii="Times New Roman" w:hAnsi="Times New Roman"/>
                <w:sz w:val="24"/>
              </w:rPr>
              <w:t>n</w:t>
            </w:r>
            <w:r>
              <w:rPr>
                <w:rStyle w:val="InstructionsTabelleberschrift"/>
                <w:rFonts w:ascii="Times New Roman" w:hAnsi="Times New Roman"/>
                <w:sz w:val="24"/>
              </w:rPr>
              <w:t>ja</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Znesek stvarnega in osebnega kreditnega zavarovanja, ki se poroča v teh st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lpcih, ustreza izpostavljenostim, zavarovanim z jamstvom</w:t>
            </w:r>
            <w:r>
              <w:t xml:space="preserve"> tretje osebe ali s premoženjem, ki ga izda tretja oseba, kadar se institucija odloči, da bo izpo</w:t>
            </w:r>
            <w:r>
              <w:t>s</w:t>
            </w:r>
            <w:r>
              <w:t>tavljenost obravnavala kot izpostavljenost, nastalo pri dajalcu jamstva ali izdajatelju zavarovanja s premoženjem.</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stolpec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Zunajbilančne postavke</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Pri vrednosti v teh stolpcih se ne uporabijo konverzijski faktorji.</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iz kreditov</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Stvarno kreditno zavarovanje razen učinka zamenjave</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zneske stvarnega kreditnega zavarovanja iz člena 4(1)(58)</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ki se odbijejo od vrednosti izpostavljenosti v skladu s členom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Nepremičnine</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zneske, odbite od vrednosti izpostavljenosti v skladu s členom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Izvzeti zneski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400</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Institucija poroča zneske,</w:t>
            </w:r>
            <w:r>
              <w:rPr>
                <w:rStyle w:val="FormatvorlageInstructionsTabelleText"/>
                <w:rFonts w:ascii="Times New Roman" w:hAnsi="Times New Roman"/>
                <w:sz w:val="24"/>
              </w:rPr>
              <w:t xml:space="preserve"> izvzete iz ureditve za velike izpostavljenosti.</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po uporabi izvzetij in zmanjševanja kreditn</w:t>
            </w:r>
            <w:r>
              <w:rPr>
                <w:rStyle w:val="InstructionsTabelleberschrift"/>
                <w:rFonts w:ascii="Times New Roman" w:hAnsi="Times New Roman"/>
                <w:sz w:val="24"/>
              </w:rPr>
              <w:t>e</w:t>
            </w:r>
            <w:r>
              <w:rPr>
                <w:rStyle w:val="InstructionsTabelleberschrift"/>
                <w:rFonts w:ascii="Times New Roman" w:hAnsi="Times New Roman"/>
                <w:sz w:val="24"/>
              </w:rPr>
              <w:t>ga tveganja</w:t>
            </w:r>
          </w:p>
          <w:p w:rsidR="00BB3751" w:rsidRPr="0039317F" w:rsidRDefault="00BB3751" w:rsidP="0039317F">
            <w:pPr>
              <w:pStyle w:val="InstructionsText"/>
            </w:pPr>
          </w:p>
          <w:p w:rsidR="00BB3751" w:rsidRPr="0039317F" w:rsidRDefault="00BB3751" w:rsidP="0039317F">
            <w:pPr>
              <w:pStyle w:val="InstructionsText"/>
            </w:pPr>
            <w:r>
              <w:t xml:space="preserve">Člen 394(1)(d)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54768B">
            <w:pPr>
              <w:pStyle w:val="InstructionsText"/>
            </w:pPr>
            <w:r>
              <w:t xml:space="preserve">Institucija poroča vrednost izpostavljenosti po upoštevanju učinka izvzetij in zmanjševanja kreditnega tveganja, izračunano za namene člena 395(1)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rsidR="00BB3751" w:rsidRPr="00384ADB" w:rsidRDefault="00BB3751" w:rsidP="0039317F">
            <w:pPr>
              <w:pStyle w:val="InstructionsText"/>
            </w:pPr>
          </w:p>
          <w:p w:rsidR="00BB3751" w:rsidRPr="0039317F" w:rsidRDefault="00BB3751" w:rsidP="000F0ADE">
            <w:pPr>
              <w:pStyle w:val="InstructionsText"/>
            </w:pPr>
            <w:r>
              <w:t>Ta stolpec zajema znesek, ki se upošteva zaradi skladnosti z omejitvijo na</w:t>
            </w:r>
            <w:r>
              <w:t>j</w:t>
            </w:r>
            <w:r>
              <w:t>večjih izpostavljenosti iz člena 395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Institucija poroča skupno izpostavljenost po uporabi izvzetij in po upoštev</w:t>
            </w:r>
            <w:r>
              <w:rPr>
                <w:rStyle w:val="FormatvorlageInstructionsTabelleText"/>
                <w:rFonts w:ascii="Times New Roman" w:hAnsi="Times New Roman"/>
                <w:sz w:val="24"/>
              </w:rPr>
              <w:t>a</w:t>
            </w:r>
            <w:r>
              <w:rPr>
                <w:rStyle w:val="FormatvorlageInstructionsTabelleText"/>
                <w:rFonts w:ascii="Times New Roman" w:hAnsi="Times New Roman"/>
                <w:sz w:val="24"/>
              </w:rPr>
              <w:t>nju učinka zmanjševanja kreditnega tveganja, povezanega z netrgovalno knjigo.</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sprejemljivega kapitala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Institucija poroča odstotek</w:t>
            </w:r>
            <w:r>
              <w:rPr>
                <w:rStyle w:val="InstructionsTabelleberschrift"/>
                <w:rFonts w:ascii="Times New Roman" w:hAnsi="Times New Roman"/>
                <w:b w:val="0"/>
                <w:sz w:val="24"/>
                <w:u w:val="none"/>
              </w:rPr>
              <w:t xml:space="preserve"> vrednosti izpostavljenosti po uporabi izvzetij in zmanjševanja kreditnega tveganja, povezanega s sprejemljivim kapitalom institucije, kakor je opredeljen v členu 4(1)(71)(b)</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3237128"/>
      <w:r>
        <w:rPr>
          <w:rFonts w:ascii="Times New Roman" w:hAnsi="Times New Roman"/>
          <w:b/>
          <w:sz w:val="24"/>
          <w:u w:val="none"/>
        </w:rPr>
        <w:lastRenderedPageBreak/>
        <w:t>C 29.00 – Podrobnosti o izpostavljenostih do posameznih strank znotraj skupine povezanih strank</w:t>
      </w:r>
      <w:bookmarkEnd w:id="34"/>
      <w:r>
        <w:rPr>
          <w:rFonts w:ascii="Times New Roman" w:hAnsi="Times New Roman"/>
          <w:b/>
          <w:sz w:val="24"/>
          <w:u w:val="none"/>
        </w:rPr>
        <w:t xml:space="preserve"> (predloga LE3)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3237129"/>
      <w:r>
        <w:rPr>
          <w:rFonts w:ascii="Times New Roman" w:hAnsi="Times New Roman"/>
          <w:sz w:val="24"/>
        </w:rPr>
        <w:t xml:space="preserve">Navodila za posamezne </w:t>
      </w:r>
      <w:bookmarkEnd w:id="37"/>
      <w:bookmarkEnd w:id="38"/>
      <w:r>
        <w:rPr>
          <w:rFonts w:ascii="Times New Roman" w:hAnsi="Times New Roman"/>
          <w:sz w:val="24"/>
        </w:rPr>
        <w:t>stolpce</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 xml:space="preserve">Institucija v predlogi LE3 poroča podatke o posameznih strankah, ki so del skupin povezanih strank, vključenih v vrstice predloge LE2.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koda posamezne nasprotne stranke, ki pripada skupinam povez</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nih strank.</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skupine</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je za skupino povezanih strank na voljo enoznačna koda na nacionalni ravni, se poroča ta koda. Ob odsotnosti enoznačne kode na nacionalni ravni je koda, ki se sporoči, koda, ki se uporablja za poročanje izpostavljenosti do skupine povezanih strank iz predloge C 28.00 (LE2).</w:t>
            </w:r>
          </w:p>
          <w:p w:rsidR="00B0191A" w:rsidRPr="00384ADB" w:rsidRDefault="00D46F08">
            <w:pPr>
              <w:pStyle w:val="InstructionsText"/>
              <w:rPr>
                <w:rStyle w:val="InstructionsTabelleberschrift"/>
                <w:rFonts w:ascii="Times New Roman" w:hAnsi="Times New Roman"/>
                <w:b w:val="0"/>
                <w:sz w:val="24"/>
                <w:u w:val="none"/>
              </w:rPr>
            </w:pPr>
            <w:r>
              <w:t>Če je stranka del več skupin povezanih strank, se poroča kot članica vseh skupin povezanih strank.</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030 predloge LE2.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povezave</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povezave med posameznim subjektom in skupino povezanih strank se opredeli z navedbo naslednjega: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 smislu člena 4(1)(39)(a) CRR (nadzor) ali</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 smislu člena 4(1)(39)(b) CRR (medsebojna povezanost).</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Kadar se finančni instrumenti v predlogi LE2 zagotovijo celotni skupini povezanih strank, se posameznim nasprotnim strankam v predlogi LE3 dodelijo v skladu s poslovnimi merili institucije.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Preostala navodila so enaka kot pri predlogi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3237130"/>
      <w:bookmarkEnd w:id="0"/>
      <w:bookmarkEnd w:id="1"/>
      <w:r>
        <w:rPr>
          <w:rFonts w:ascii="Times New Roman" w:hAnsi="Times New Roman"/>
          <w:b/>
          <w:sz w:val="24"/>
          <w:u w:val="none"/>
        </w:rPr>
        <w:lastRenderedPageBreak/>
        <w:t>C 30.00 – Žepki zapadlosti deset največjih izpostavljenosti do institucij in deset na</w:t>
      </w:r>
      <w:r>
        <w:rPr>
          <w:rFonts w:ascii="Times New Roman" w:hAnsi="Times New Roman"/>
          <w:b/>
          <w:sz w:val="24"/>
          <w:u w:val="none"/>
        </w:rPr>
        <w:t>j</w:t>
      </w:r>
      <w:r>
        <w:rPr>
          <w:rFonts w:ascii="Times New Roman" w:hAnsi="Times New Roman"/>
          <w:b/>
          <w:sz w:val="24"/>
          <w:u w:val="none"/>
        </w:rPr>
        <w:t>večjih izpostavljenosti do nereguliranih subjektov finančnega sektorja</w:t>
      </w:r>
      <w:bookmarkEnd w:id="42"/>
      <w:r>
        <w:rPr>
          <w:rFonts w:ascii="Times New Roman" w:hAnsi="Times New Roman"/>
          <w:b/>
          <w:sz w:val="24"/>
          <w:u w:val="none"/>
        </w:rPr>
        <w:t xml:space="preserve"> (predloga LE4)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3237131"/>
      <w:r>
        <w:rPr>
          <w:rFonts w:ascii="Times New Roman" w:hAnsi="Times New Roman"/>
          <w:sz w:val="24"/>
        </w:rPr>
        <w:t>Navodila za posamezne stolpce</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je identifikator vrstice in mora biti enoznačna za vsako vrstico v tabeli.</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010 predloge LE1.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Žepki z izpostavljenostmi glede na zapadlost</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394(2)(e)</w:t>
            </w:r>
            <w:r>
              <w:rPr>
                <w:rStyle w:val="FormatvorlageInstructionsTabelleText"/>
                <w:rFonts w:ascii="Times New Roman" w:hAnsi="Times New Roman"/>
                <w:sz w:val="24"/>
              </w:rPr>
              <w:t xml:space="preserve">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Institucija te podatke poroča za deset največjih izpostavljenosti do institucij in deset največjih izpostavljenosti do nereguliranih subjektov finančnega sektorja.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Žepki zapadlosti so opredeljeni v mesečnih intervalih za obdobje do enega leta, v kvartalnih intervalih za obdobje od enega do treh let in v daljših intervalih od treh let naprej.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Vsaka vrednost izpostavljenosti pred uporabo izvzetij in zmanjševanja kred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tnega tveganja (stolpec 210 predloge LE2) se poroča v celotnem neporavn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nem znesku v zadevnem žepku zapadlosti njene pričakovane preostale zap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dlosti. V primeru več ločenih razmerij, ki sestavljajo izpostavljenost do stranke, se mora vsak tak del izpostavljenosti poročati v celotnem nepora</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nanem znesku v zadevnem žepku zapadlosti pričakovane preostale zapadlo</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  Instrumenti, pri katerih zapadlost ni določena, kot je lastniški kapital, se vključijo v stolpec „neopredeljena zapadlost“.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Pričakovana zapadlost izpostavljenosti se poroča tako za neposredne kot za posredne izpostavljenosti.</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 neposrednih izpostavljenostih se pri razvrstitvi pričakovanih zneskov dolžniških instrumentov in izvedenih finančnih instrumentov v različne že</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ke zapadlosti v tej predlogi uporabijo navodila v zvezi z dodatno metriko za likvidnost iz predloge za lestvico zapadlosti (glej Prilogo XXIII k tej ure</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bi).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zunajbilančnih postavk se pri razvrstitvi pričakovanih zneskov v žepke zapadlosti uporabi zapadlost osnovnega tveganja. Natančneje, pri 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minskih dogovorih o obrestni meri depozita (forward deposits) to pomeni strukturo zapadlosti depozita, pri finančnih poroštvih strukturo zapadlosti osnovnega finančnega sredstva, pri nečrpanih kreditnih obveznostih strukt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ro zapadlosti kredita in pri drugih obveznostih strukturo zapadlosti obvezn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sti.</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 primeru posrednih izpostavljenosti razvrstitev v žepke zapadlosti temelji na zapadlosti zajamčenih poslov, iz katerih izhaja neposredna zapadlost.</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mora izpostavljenost ali del izpostavljenosti obravnavati kot neplačan in se sporoči kot neplačan v predlogi C 28.00 (LE 2, stolpec 050) in predlogi C 29.00 (LE 3, stolpec 060), se mora pričakovani iztek neplačane izposta</w:t>
            </w:r>
            <w:r>
              <w:rPr>
                <w:rStyle w:val="InstructionsTabelleberschrift"/>
                <w:rFonts w:ascii="Times New Roman" w:hAnsi="Times New Roman"/>
                <w:b w:val="0"/>
                <w:sz w:val="24"/>
                <w:u w:val="none"/>
              </w:rPr>
              <w:t>v</w:t>
            </w:r>
            <w:r>
              <w:rPr>
                <w:rStyle w:val="InstructionsTabelleberschrift"/>
                <w:rFonts w:ascii="Times New Roman" w:hAnsi="Times New Roman"/>
                <w:b w:val="0"/>
                <w:sz w:val="24"/>
                <w:u w:val="none"/>
              </w:rPr>
              <w:t>ljenosti razporediti v zadevne žepke zapadlosti, kot sledi:</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ima poročevalski subjekt kljub neplačilu jasen časovni razpored pričakovanih odplačil za izpostavljenost, jih ustrezno razporedi v zadevne žepke.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poročevalski subjekt nima razumne predstave, kdaj (če sploh) naj bi bili neplačani zneski poplačani, jih razporedi v kategorijo „neo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redeljena zapadlost“.</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237132"/>
      <w:r>
        <w:rPr>
          <w:rFonts w:ascii="Times New Roman" w:hAnsi="Times New Roman"/>
          <w:b/>
          <w:sz w:val="24"/>
          <w:u w:val="none"/>
        </w:rPr>
        <w:t>C 31.00 – Žepki zapadlosti deset največjih izpostavljenosti do institucij in deset na</w:t>
      </w:r>
      <w:r>
        <w:rPr>
          <w:rFonts w:ascii="Times New Roman" w:hAnsi="Times New Roman"/>
          <w:b/>
          <w:sz w:val="24"/>
          <w:u w:val="none"/>
        </w:rPr>
        <w:t>j</w:t>
      </w:r>
      <w:r>
        <w:rPr>
          <w:rFonts w:ascii="Times New Roman" w:hAnsi="Times New Roman"/>
          <w:b/>
          <w:sz w:val="24"/>
          <w:u w:val="none"/>
        </w:rPr>
        <w:t>večjih izpostavljenosti do nereguliranih subjektov finančnega sektorja: podrobnosti o izpostavljenostih do posameznih strank znotraj skupine povezanih strank (predl</w:t>
      </w:r>
      <w:r>
        <w:rPr>
          <w:rFonts w:ascii="Times New Roman" w:hAnsi="Times New Roman"/>
          <w:b/>
          <w:sz w:val="24"/>
          <w:u w:val="none"/>
        </w:rPr>
        <w:t>o</w:t>
      </w:r>
      <w:r>
        <w:rPr>
          <w:rFonts w:ascii="Times New Roman" w:hAnsi="Times New Roman"/>
          <w:b/>
          <w:sz w:val="24"/>
          <w:u w:val="none"/>
        </w:rPr>
        <w:t>ga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237133"/>
      <w:r>
        <w:rPr>
          <w:rFonts w:ascii="Times New Roman" w:hAnsi="Times New Roman"/>
          <w:sz w:val="24"/>
        </w:rPr>
        <w:t>Navodila za posamezne stolpce</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sklicevanja in navodila</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Institucije v predlogi LE5 poročajo podatke o posameznih nasprotnih stra</w:t>
            </w:r>
            <w:r>
              <w:t>n</w:t>
            </w:r>
            <w:r>
              <w:t>kah, ki so del skupin povezanih strank, vključenih v vrstice predloge LE4.</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Stolpca 010 in 020 sta sestavljeni identifikator vrstice in morata biti skupaj enoznačna za vsako vrstico v tabeli.</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stolpec 010 predloge LE3.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skupine</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Stolpca 010 in 020 sta sestavljeni identifikator vrstice in morata biti skupaj enoznačna za vsako vrstico v tabeli.</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stolpec 020 predloge LE3.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Žepki z izpostavljenostmi glede na zapadlost</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stolpce 020–250 predloge LE4.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F97C2C" w:rsidP="0078562D">
      <w:pPr>
        <w:spacing w:after="0"/>
        <w:rPr>
          <w:rFonts w:ascii="Times New Roman" w:hAnsi="Times New Roman"/>
          <w:sz w:val="24"/>
        </w:rPr>
      </w:pPr>
      <w:r>
        <w:rPr>
          <w:rFonts w:ascii="Times New Roman" w:hAnsi="Times New Roman"/>
          <w:sz w:val="24"/>
        </w:rPr>
        <w:t>“</w:t>
      </w: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E93C9A">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E93C9A">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E93C9A">
      <w:rPr>
        <w:rFonts w:ascii="Times New Roman" w:hAnsi="Times New Roman"/>
        <w:noProof/>
      </w:rPr>
      <w:t>18</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3DB"/>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3C9A"/>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97C2C"/>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l-SI" w:eastAsia="sl-SI" w:bidi="sl-S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l-SI"/>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l-S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l-S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l-SI"/>
    </w:rPr>
  </w:style>
  <w:style w:type="character" w:customStyle="1" w:styleId="Heading3Char1">
    <w:name w:val="Heading 3 Char1"/>
    <w:link w:val="Heading3"/>
    <w:uiPriority w:val="99"/>
    <w:rsid w:val="001E5A75"/>
    <w:rPr>
      <w:rFonts w:ascii="Arial" w:hAnsi="Arial"/>
      <w:b/>
      <w:szCs w:val="20"/>
      <w:lang w:eastAsia="sl-SI"/>
    </w:rPr>
  </w:style>
  <w:style w:type="character" w:customStyle="1" w:styleId="Heading4Char">
    <w:name w:val="Heading 4 Char"/>
    <w:link w:val="Heading4"/>
    <w:uiPriority w:val="99"/>
    <w:rsid w:val="00DE0962"/>
    <w:rPr>
      <w:rFonts w:ascii="Verdana" w:eastAsia="Times New Roman" w:hAnsi="Verdana"/>
      <w:b/>
      <w:szCs w:val="24"/>
      <w:u w:val="single"/>
      <w:lang w:eastAsia="sl-SI"/>
    </w:rPr>
  </w:style>
  <w:style w:type="character" w:customStyle="1" w:styleId="Heading5Char">
    <w:name w:val="Heading 5 Char"/>
    <w:link w:val="Heading5"/>
    <w:uiPriority w:val="1"/>
    <w:rsid w:val="001E5A75"/>
    <w:rPr>
      <w:rFonts w:ascii="Arial" w:hAnsi="Arial"/>
      <w:b/>
      <w:i/>
      <w:szCs w:val="20"/>
      <w:lang w:eastAsia="sl-SI"/>
    </w:rPr>
  </w:style>
  <w:style w:type="character" w:customStyle="1" w:styleId="Heading6Char">
    <w:name w:val="Heading 6 Char"/>
    <w:link w:val="Heading6"/>
    <w:semiHidden/>
    <w:rsid w:val="001E5A75"/>
    <w:rPr>
      <w:rFonts w:ascii="Times New Roman" w:hAnsi="Times New Roman"/>
      <w:b/>
      <w:bCs/>
      <w:lang w:eastAsia="sl-SI"/>
    </w:rPr>
  </w:style>
  <w:style w:type="character" w:customStyle="1" w:styleId="Heading7Char">
    <w:name w:val="Heading 7 Char"/>
    <w:link w:val="Heading7"/>
    <w:semiHidden/>
    <w:rsid w:val="001E5A75"/>
    <w:rPr>
      <w:rFonts w:ascii="Times New Roman" w:hAnsi="Times New Roman"/>
      <w:sz w:val="24"/>
      <w:szCs w:val="20"/>
      <w:lang w:eastAsia="sl-SI"/>
    </w:rPr>
  </w:style>
  <w:style w:type="character" w:customStyle="1" w:styleId="Heading8Char">
    <w:name w:val="Heading 8 Char"/>
    <w:link w:val="Heading8"/>
    <w:semiHidden/>
    <w:rsid w:val="001E5A75"/>
    <w:rPr>
      <w:rFonts w:ascii="Times New Roman" w:hAnsi="Times New Roman"/>
      <w:i/>
      <w:iCs/>
      <w:sz w:val="24"/>
      <w:szCs w:val="20"/>
      <w:lang w:eastAsia="sl-SI"/>
    </w:rPr>
  </w:style>
  <w:style w:type="character" w:customStyle="1" w:styleId="Heading9Char">
    <w:name w:val="Heading 9 Char"/>
    <w:link w:val="Heading9"/>
    <w:semiHidden/>
    <w:rsid w:val="001E5A75"/>
    <w:rPr>
      <w:rFonts w:ascii="Arial" w:hAnsi="Arial" w:cs="Arial"/>
      <w:lang w:eastAsia="sl-S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l-S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l-SI"/>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l-SI" w:eastAsia="sl-SI"/>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l-S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l-S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l-SI"/>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l-SI" w:eastAsia="sl-S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sl-S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l-SI" w:eastAsia="sl-SI" w:bidi="sl-S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l-S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l-SI" w:eastAsia="sl-SI" w:bidi="sl-S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l-SI"/>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l-SI"/>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l-SI"/>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l-SI"/>
    </w:rPr>
  </w:style>
  <w:style w:type="character" w:customStyle="1" w:styleId="Heading3Char1">
    <w:name w:val="Heading 3 Char1"/>
    <w:link w:val="Heading3"/>
    <w:uiPriority w:val="99"/>
    <w:rsid w:val="001E5A75"/>
    <w:rPr>
      <w:rFonts w:ascii="Arial" w:hAnsi="Arial"/>
      <w:b/>
      <w:szCs w:val="20"/>
      <w:lang w:eastAsia="sl-SI"/>
    </w:rPr>
  </w:style>
  <w:style w:type="character" w:customStyle="1" w:styleId="Heading4Char">
    <w:name w:val="Heading 4 Char"/>
    <w:link w:val="Heading4"/>
    <w:uiPriority w:val="99"/>
    <w:rsid w:val="00DE0962"/>
    <w:rPr>
      <w:rFonts w:ascii="Verdana" w:eastAsia="Times New Roman" w:hAnsi="Verdana"/>
      <w:b/>
      <w:szCs w:val="24"/>
      <w:u w:val="single"/>
      <w:lang w:eastAsia="sl-SI"/>
    </w:rPr>
  </w:style>
  <w:style w:type="character" w:customStyle="1" w:styleId="Heading5Char">
    <w:name w:val="Heading 5 Char"/>
    <w:link w:val="Heading5"/>
    <w:uiPriority w:val="1"/>
    <w:rsid w:val="001E5A75"/>
    <w:rPr>
      <w:rFonts w:ascii="Arial" w:hAnsi="Arial"/>
      <w:b/>
      <w:i/>
      <w:szCs w:val="20"/>
      <w:lang w:eastAsia="sl-SI"/>
    </w:rPr>
  </w:style>
  <w:style w:type="character" w:customStyle="1" w:styleId="Heading6Char">
    <w:name w:val="Heading 6 Char"/>
    <w:link w:val="Heading6"/>
    <w:semiHidden/>
    <w:rsid w:val="001E5A75"/>
    <w:rPr>
      <w:rFonts w:ascii="Times New Roman" w:hAnsi="Times New Roman"/>
      <w:b/>
      <w:bCs/>
      <w:lang w:eastAsia="sl-SI"/>
    </w:rPr>
  </w:style>
  <w:style w:type="character" w:customStyle="1" w:styleId="Heading7Char">
    <w:name w:val="Heading 7 Char"/>
    <w:link w:val="Heading7"/>
    <w:semiHidden/>
    <w:rsid w:val="001E5A75"/>
    <w:rPr>
      <w:rFonts w:ascii="Times New Roman" w:hAnsi="Times New Roman"/>
      <w:sz w:val="24"/>
      <w:szCs w:val="20"/>
      <w:lang w:eastAsia="sl-SI"/>
    </w:rPr>
  </w:style>
  <w:style w:type="character" w:customStyle="1" w:styleId="Heading8Char">
    <w:name w:val="Heading 8 Char"/>
    <w:link w:val="Heading8"/>
    <w:semiHidden/>
    <w:rsid w:val="001E5A75"/>
    <w:rPr>
      <w:rFonts w:ascii="Times New Roman" w:hAnsi="Times New Roman"/>
      <w:i/>
      <w:iCs/>
      <w:sz w:val="24"/>
      <w:szCs w:val="20"/>
      <w:lang w:eastAsia="sl-SI"/>
    </w:rPr>
  </w:style>
  <w:style w:type="character" w:customStyle="1" w:styleId="Heading9Char">
    <w:name w:val="Heading 9 Char"/>
    <w:link w:val="Heading9"/>
    <w:semiHidden/>
    <w:rsid w:val="001E5A75"/>
    <w:rPr>
      <w:rFonts w:ascii="Arial" w:hAnsi="Arial" w:cs="Arial"/>
      <w:lang w:eastAsia="sl-SI"/>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l-SI"/>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l-SI"/>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l-SI" w:eastAsia="sl-SI"/>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l-SI"/>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l-SI"/>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l-SI"/>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l-SI" w:eastAsia="sl-SI"/>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sl-SI"/>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l-SI" w:eastAsia="sl-SI" w:bidi="sl-SI"/>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l-S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A85E7-C3E6-473D-A357-05973825F7F8}">
  <ds:schemaRefs>
    <ds:schemaRef ds:uri="http://schemas.openxmlformats.org/officeDocument/2006/bibliography"/>
  </ds:schemaRefs>
</ds:datastoreItem>
</file>

<file path=customXml/itemProps2.xml><?xml version="1.0" encoding="utf-8"?>
<ds:datastoreItem xmlns:ds="http://schemas.openxmlformats.org/officeDocument/2006/customXml" ds:itemID="{E4DC122B-E915-4CB8-BE1D-D6B1C5987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5217</Words>
  <Characters>29738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34886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VOLAVSEK Andrej (DGT)</cp:lastModifiedBy>
  <cp:revision>5</cp:revision>
  <dcterms:created xsi:type="dcterms:W3CDTF">2018-06-13T13:34:00Z</dcterms:created>
  <dcterms:modified xsi:type="dcterms:W3CDTF">2018-08-28T14:40:00Z</dcterms:modified>
</cp:coreProperties>
</file>