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02E9" w:rsidRPr="00E83F90" w:rsidRDefault="009502E9" w:rsidP="00A33695">
      <w:pPr>
        <w:jc w:val="center"/>
        <w:rPr>
          <w:rFonts w:ascii="Times New Roman" w:hAnsi="Times New Roman"/>
          <w:b/>
          <w:sz w:val="24"/>
        </w:rPr>
      </w:pPr>
      <w:bookmarkStart w:id="0" w:name="_Toc262568021"/>
      <w:bookmarkStart w:id="1" w:name="_Toc295829847"/>
      <w:r>
        <w:rPr>
          <w:rFonts w:ascii="Times New Roman" w:hAnsi="Times New Roman"/>
          <w:b/>
          <w:sz w:val="24"/>
        </w:rPr>
        <w:t>CS</w:t>
      </w:r>
    </w:p>
    <w:p w:rsidR="00FF3ED5" w:rsidRDefault="00FF3ED5" w:rsidP="00A33695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PŘÍLOHA IV</w:t>
      </w:r>
    </w:p>
    <w:p w:rsidR="008F53AF" w:rsidRPr="00E83F90" w:rsidRDefault="008F53AF" w:rsidP="00A33695">
      <w:pPr>
        <w:jc w:val="center"/>
        <w:rPr>
          <w:rFonts w:ascii="Times New Roman" w:hAnsi="Times New Roman"/>
          <w:b/>
          <w:sz w:val="24"/>
        </w:rPr>
      </w:pPr>
    </w:p>
    <w:p w:rsidR="00C87CEE" w:rsidRPr="00C81874" w:rsidRDefault="00530C90" w:rsidP="00A33695">
      <w:pPr>
        <w:jc w:val="center"/>
        <w:rPr>
          <w:rFonts w:ascii="Times New Roman" w:hAnsi="Times New Roman"/>
          <w:b/>
          <w:sz w:val="24"/>
          <w:u w:val="single"/>
        </w:rPr>
      </w:pPr>
      <w:r>
        <w:rPr>
          <w:rFonts w:ascii="Times New Roman" w:hAnsi="Times New Roman"/>
          <w:b/>
          <w:sz w:val="24"/>
          <w:u w:val="single"/>
        </w:rPr>
        <w:t>„PŘÍLOHA IX</w:t>
      </w:r>
    </w:p>
    <w:p w:rsidR="00DD58A5" w:rsidRDefault="00F41B3A" w:rsidP="00C87CEE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POKYNY PRO PODÁVÁNÍ ZPRÁV O VELKÝCH EXPOZICÍCH A </w:t>
      </w:r>
    </w:p>
    <w:p w:rsidR="00C87CEE" w:rsidRPr="00EF13C2" w:rsidRDefault="00F41B3A" w:rsidP="00C87CEE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RIZIKU KONCENTRACE</w:t>
      </w:r>
    </w:p>
    <w:p w:rsidR="00224E73" w:rsidRPr="00384ADB" w:rsidRDefault="00224E73" w:rsidP="00317768">
      <w:pPr>
        <w:pStyle w:val="Heading6"/>
        <w:rPr>
          <w:sz w:val="24"/>
          <w:szCs w:val="24"/>
        </w:rPr>
      </w:pPr>
    </w:p>
    <w:p w:rsidR="00224E73" w:rsidRPr="00384ADB" w:rsidRDefault="00224E73" w:rsidP="00317768">
      <w:pPr>
        <w:pStyle w:val="Heading6"/>
        <w:rPr>
          <w:sz w:val="24"/>
          <w:szCs w:val="24"/>
        </w:rPr>
      </w:pPr>
    </w:p>
    <w:p w:rsidR="001D23F1" w:rsidRPr="00384ADB" w:rsidRDefault="001D23F1" w:rsidP="001D23F1">
      <w:pPr>
        <w:rPr>
          <w:rFonts w:ascii="Times New Roman" w:hAnsi="Times New Roman"/>
          <w:sz w:val="24"/>
        </w:rPr>
      </w:pPr>
    </w:p>
    <w:p w:rsidR="00D64B66" w:rsidRPr="00384ADB" w:rsidRDefault="003105C6" w:rsidP="00317768">
      <w:pPr>
        <w:pStyle w:val="Heading6"/>
        <w:rPr>
          <w:sz w:val="24"/>
          <w:szCs w:val="24"/>
        </w:rPr>
      </w:pPr>
      <w:r>
        <w:rPr>
          <w:sz w:val="24"/>
        </w:rPr>
        <w:t>Obsah</w:t>
      </w:r>
    </w:p>
    <w:p w:rsidR="009B4949" w:rsidRDefault="009B4949">
      <w:pPr>
        <w:pStyle w:val="TOC2"/>
        <w:rPr>
          <w:rFonts w:asciiTheme="minorHAnsi" w:eastAsiaTheme="minorEastAsia" w:hAnsiTheme="minorHAnsi" w:cstheme="minorBidi"/>
          <w:b w:val="0"/>
          <w:smallCaps w:val="0"/>
          <w:sz w:val="22"/>
          <w:lang w:val="en-GB" w:eastAsia="en-GB" w:bidi="ar-SA"/>
        </w:rPr>
      </w:pPr>
      <w:r>
        <w:rPr>
          <w:rFonts w:ascii="Times New Roman" w:hAnsi="Times New Roman"/>
          <w:noProof w:val="0"/>
          <w:sz w:val="24"/>
          <w:szCs w:val="24"/>
        </w:rPr>
        <w:fldChar w:fldCharType="begin"/>
      </w:r>
      <w:r w:rsidR="00621F98">
        <w:rPr>
          <w:rFonts w:ascii="Times New Roman" w:hAnsi="Times New Roman"/>
          <w:noProof w:val="0"/>
          <w:sz w:val="24"/>
          <w:szCs w:val="24"/>
        </w:rPr>
        <w:instrText xml:space="preserve"> TOC \o "1-3" \h \z \u </w:instrText>
      </w:r>
      <w:r>
        <w:rPr>
          <w:rFonts w:ascii="Times New Roman" w:hAnsi="Times New Roman"/>
          <w:noProof w:val="0"/>
          <w:sz w:val="24"/>
          <w:szCs w:val="24"/>
        </w:rPr>
        <w:fldChar w:fldCharType="separate"/>
      </w:r>
      <w:hyperlink w:anchor="_Toc524076835" w:history="1">
        <w:r w:rsidRPr="00880C70">
          <w:rPr>
            <w:rStyle w:val="Hyperlink"/>
            <w:rFonts w:ascii="Times New Roman" w:hAnsi="Times New Roman"/>
          </w:rPr>
          <w:t>ČÁST I: OBECNÉ POKYNY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_Toc524076835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</w:t>
        </w:r>
        <w:r>
          <w:rPr>
            <w:webHidden/>
          </w:rPr>
          <w:fldChar w:fldCharType="end"/>
        </w:r>
      </w:hyperlink>
    </w:p>
    <w:p w:rsidR="009B4949" w:rsidRDefault="00DC7BD2">
      <w:pPr>
        <w:pStyle w:val="TOC2"/>
        <w:rPr>
          <w:rFonts w:asciiTheme="minorHAnsi" w:eastAsiaTheme="minorEastAsia" w:hAnsiTheme="minorHAnsi" w:cstheme="minorBidi"/>
          <w:b w:val="0"/>
          <w:smallCaps w:val="0"/>
          <w:sz w:val="22"/>
          <w:lang w:val="en-GB" w:eastAsia="en-GB" w:bidi="ar-SA"/>
        </w:rPr>
      </w:pPr>
      <w:hyperlink w:anchor="_Toc524076836" w:history="1">
        <w:r w:rsidR="009B4949" w:rsidRPr="00880C70">
          <w:rPr>
            <w:rStyle w:val="Hyperlink"/>
            <w:rFonts w:ascii="Times New Roman" w:hAnsi="Times New Roman"/>
          </w:rPr>
          <w:t>1.</w:t>
        </w:r>
        <w:r w:rsidR="009B4949">
          <w:rPr>
            <w:rFonts w:asciiTheme="minorHAnsi" w:eastAsiaTheme="minorEastAsia" w:hAnsiTheme="minorHAnsi" w:cstheme="minorBidi"/>
            <w:b w:val="0"/>
            <w:smallCaps w:val="0"/>
            <w:sz w:val="22"/>
            <w:lang w:val="en-GB" w:eastAsia="en-GB" w:bidi="ar-SA"/>
          </w:rPr>
          <w:tab/>
        </w:r>
        <w:r w:rsidR="009B4949" w:rsidRPr="00880C70">
          <w:rPr>
            <w:rStyle w:val="Hyperlink"/>
            <w:rFonts w:ascii="Times New Roman" w:hAnsi="Times New Roman"/>
          </w:rPr>
          <w:t>Struktura a konvence</w:t>
        </w:r>
        <w:r w:rsidR="009B4949">
          <w:rPr>
            <w:webHidden/>
          </w:rPr>
          <w:tab/>
        </w:r>
        <w:r w:rsidR="009B4949">
          <w:rPr>
            <w:webHidden/>
          </w:rPr>
          <w:fldChar w:fldCharType="begin"/>
        </w:r>
        <w:r w:rsidR="009B4949">
          <w:rPr>
            <w:webHidden/>
          </w:rPr>
          <w:instrText xml:space="preserve"> PAGEREF _Toc524076836 \h </w:instrText>
        </w:r>
        <w:r w:rsidR="009B4949">
          <w:rPr>
            <w:webHidden/>
          </w:rPr>
        </w:r>
        <w:r w:rsidR="009B4949">
          <w:rPr>
            <w:webHidden/>
          </w:rPr>
          <w:fldChar w:fldCharType="separate"/>
        </w:r>
        <w:r w:rsidR="009B4949">
          <w:rPr>
            <w:webHidden/>
          </w:rPr>
          <w:t>2</w:t>
        </w:r>
        <w:r w:rsidR="009B4949">
          <w:rPr>
            <w:webHidden/>
          </w:rPr>
          <w:fldChar w:fldCharType="end"/>
        </w:r>
      </w:hyperlink>
    </w:p>
    <w:p w:rsidR="009B4949" w:rsidRDefault="00DC7BD2">
      <w:pPr>
        <w:pStyle w:val="TOC2"/>
        <w:rPr>
          <w:rFonts w:asciiTheme="minorHAnsi" w:eastAsiaTheme="minorEastAsia" w:hAnsiTheme="minorHAnsi" w:cstheme="minorBidi"/>
          <w:b w:val="0"/>
          <w:smallCaps w:val="0"/>
          <w:sz w:val="22"/>
          <w:lang w:val="en-GB" w:eastAsia="en-GB" w:bidi="ar-SA"/>
        </w:rPr>
      </w:pPr>
      <w:hyperlink w:anchor="_Toc524076838" w:history="1">
        <w:r w:rsidR="009B4949" w:rsidRPr="00880C70">
          <w:rPr>
            <w:rStyle w:val="Hyperlink"/>
            <w:rFonts w:ascii="Times New Roman" w:hAnsi="Times New Roman"/>
          </w:rPr>
          <w:t>ČÁST II: POKYNY TÝKAJÍCÍ SE ŠABLONY</w:t>
        </w:r>
        <w:r w:rsidR="009B4949">
          <w:rPr>
            <w:webHidden/>
          </w:rPr>
          <w:tab/>
        </w:r>
        <w:r w:rsidR="009B4949">
          <w:rPr>
            <w:webHidden/>
          </w:rPr>
          <w:fldChar w:fldCharType="begin"/>
        </w:r>
        <w:r w:rsidR="009B4949">
          <w:rPr>
            <w:webHidden/>
          </w:rPr>
          <w:instrText xml:space="preserve"> PAGEREF _Toc524076838 \h </w:instrText>
        </w:r>
        <w:r w:rsidR="009B4949">
          <w:rPr>
            <w:webHidden/>
          </w:rPr>
        </w:r>
        <w:r w:rsidR="009B4949">
          <w:rPr>
            <w:webHidden/>
          </w:rPr>
          <w:fldChar w:fldCharType="separate"/>
        </w:r>
        <w:r w:rsidR="009B4949">
          <w:rPr>
            <w:webHidden/>
          </w:rPr>
          <w:t>3</w:t>
        </w:r>
        <w:r w:rsidR="009B4949">
          <w:rPr>
            <w:webHidden/>
          </w:rPr>
          <w:fldChar w:fldCharType="end"/>
        </w:r>
      </w:hyperlink>
    </w:p>
    <w:p w:rsidR="009B4949" w:rsidRDefault="00DC7BD2">
      <w:pPr>
        <w:pStyle w:val="TOC2"/>
        <w:rPr>
          <w:rFonts w:asciiTheme="minorHAnsi" w:eastAsiaTheme="minorEastAsia" w:hAnsiTheme="minorHAnsi" w:cstheme="minorBidi"/>
          <w:b w:val="0"/>
          <w:smallCaps w:val="0"/>
          <w:sz w:val="22"/>
          <w:lang w:val="en-GB" w:eastAsia="en-GB" w:bidi="ar-SA"/>
        </w:rPr>
      </w:pPr>
      <w:hyperlink w:anchor="_Toc524076839" w:history="1">
        <w:r w:rsidR="009B4949" w:rsidRPr="00880C70">
          <w:rPr>
            <w:rStyle w:val="Hyperlink"/>
            <w:rFonts w:ascii="Times New Roman" w:hAnsi="Times New Roman"/>
          </w:rPr>
          <w:t>1.</w:t>
        </w:r>
        <w:r w:rsidR="009B4949">
          <w:rPr>
            <w:rFonts w:asciiTheme="minorHAnsi" w:eastAsiaTheme="minorEastAsia" w:hAnsiTheme="minorHAnsi" w:cstheme="minorBidi"/>
            <w:b w:val="0"/>
            <w:smallCaps w:val="0"/>
            <w:sz w:val="22"/>
            <w:lang w:val="en-GB" w:eastAsia="en-GB" w:bidi="ar-SA"/>
          </w:rPr>
          <w:tab/>
        </w:r>
        <w:r w:rsidR="009B4949" w:rsidRPr="00880C70">
          <w:rPr>
            <w:rStyle w:val="Hyperlink"/>
            <w:rFonts w:ascii="Times New Roman" w:hAnsi="Times New Roman"/>
          </w:rPr>
          <w:t>Rozsah a úroveň podávání zpráv o LE</w:t>
        </w:r>
        <w:r w:rsidR="009B4949">
          <w:rPr>
            <w:webHidden/>
          </w:rPr>
          <w:tab/>
        </w:r>
        <w:r w:rsidR="009B4949">
          <w:rPr>
            <w:webHidden/>
          </w:rPr>
          <w:fldChar w:fldCharType="begin"/>
        </w:r>
        <w:r w:rsidR="009B4949">
          <w:rPr>
            <w:webHidden/>
          </w:rPr>
          <w:instrText xml:space="preserve"> PAGEREF _Toc524076839 \h </w:instrText>
        </w:r>
        <w:r w:rsidR="009B4949">
          <w:rPr>
            <w:webHidden/>
          </w:rPr>
        </w:r>
        <w:r w:rsidR="009B4949">
          <w:rPr>
            <w:webHidden/>
          </w:rPr>
          <w:fldChar w:fldCharType="separate"/>
        </w:r>
        <w:r w:rsidR="009B4949">
          <w:rPr>
            <w:webHidden/>
          </w:rPr>
          <w:t>3</w:t>
        </w:r>
        <w:r w:rsidR="009B4949">
          <w:rPr>
            <w:webHidden/>
          </w:rPr>
          <w:fldChar w:fldCharType="end"/>
        </w:r>
      </w:hyperlink>
    </w:p>
    <w:p w:rsidR="009B4949" w:rsidRDefault="00DC7BD2">
      <w:pPr>
        <w:pStyle w:val="TOC2"/>
        <w:rPr>
          <w:rFonts w:asciiTheme="minorHAnsi" w:eastAsiaTheme="minorEastAsia" w:hAnsiTheme="minorHAnsi" w:cstheme="minorBidi"/>
          <w:b w:val="0"/>
          <w:smallCaps w:val="0"/>
          <w:sz w:val="22"/>
          <w:lang w:val="en-GB" w:eastAsia="en-GB" w:bidi="ar-SA"/>
        </w:rPr>
      </w:pPr>
      <w:hyperlink w:anchor="_Toc524076840" w:history="1">
        <w:r w:rsidR="009B4949" w:rsidRPr="00880C70">
          <w:rPr>
            <w:rStyle w:val="Hyperlink"/>
            <w:rFonts w:ascii="Times New Roman" w:hAnsi="Times New Roman"/>
          </w:rPr>
          <w:t>2.</w:t>
        </w:r>
        <w:r w:rsidR="009B4949">
          <w:rPr>
            <w:rFonts w:asciiTheme="minorHAnsi" w:eastAsiaTheme="minorEastAsia" w:hAnsiTheme="minorHAnsi" w:cstheme="minorBidi"/>
            <w:b w:val="0"/>
            <w:smallCaps w:val="0"/>
            <w:sz w:val="22"/>
            <w:lang w:val="en-GB" w:eastAsia="en-GB" w:bidi="ar-SA"/>
          </w:rPr>
          <w:tab/>
        </w:r>
        <w:r w:rsidR="009B4949" w:rsidRPr="00880C70">
          <w:rPr>
            <w:rStyle w:val="Hyperlink"/>
            <w:rFonts w:ascii="Times New Roman" w:hAnsi="Times New Roman"/>
          </w:rPr>
          <w:t>Struktura šablony LE</w:t>
        </w:r>
        <w:r w:rsidR="009B4949">
          <w:rPr>
            <w:webHidden/>
          </w:rPr>
          <w:tab/>
        </w:r>
        <w:r w:rsidR="009B4949">
          <w:rPr>
            <w:webHidden/>
          </w:rPr>
          <w:fldChar w:fldCharType="begin"/>
        </w:r>
        <w:r w:rsidR="009B4949">
          <w:rPr>
            <w:webHidden/>
          </w:rPr>
          <w:instrText xml:space="preserve"> PAGEREF _Toc524076840 \h </w:instrText>
        </w:r>
        <w:r w:rsidR="009B4949">
          <w:rPr>
            <w:webHidden/>
          </w:rPr>
        </w:r>
        <w:r w:rsidR="009B4949">
          <w:rPr>
            <w:webHidden/>
          </w:rPr>
          <w:fldChar w:fldCharType="separate"/>
        </w:r>
        <w:r w:rsidR="009B4949">
          <w:rPr>
            <w:webHidden/>
          </w:rPr>
          <w:t>4</w:t>
        </w:r>
        <w:r w:rsidR="009B4949">
          <w:rPr>
            <w:webHidden/>
          </w:rPr>
          <w:fldChar w:fldCharType="end"/>
        </w:r>
      </w:hyperlink>
    </w:p>
    <w:p w:rsidR="009B4949" w:rsidRDefault="00DC7BD2">
      <w:pPr>
        <w:pStyle w:val="TOC2"/>
        <w:rPr>
          <w:rFonts w:asciiTheme="minorHAnsi" w:eastAsiaTheme="minorEastAsia" w:hAnsiTheme="minorHAnsi" w:cstheme="minorBidi"/>
          <w:b w:val="0"/>
          <w:smallCaps w:val="0"/>
          <w:sz w:val="22"/>
          <w:lang w:val="en-GB" w:eastAsia="en-GB" w:bidi="ar-SA"/>
        </w:rPr>
      </w:pPr>
      <w:hyperlink w:anchor="_Toc524076841" w:history="1">
        <w:r w:rsidR="009B4949" w:rsidRPr="00880C70">
          <w:rPr>
            <w:rStyle w:val="Hyperlink"/>
            <w:rFonts w:ascii="Times New Roman" w:eastAsia="Arial" w:hAnsi="Times New Roman"/>
          </w:rPr>
          <w:t>3.</w:t>
        </w:r>
        <w:r w:rsidR="009B4949">
          <w:rPr>
            <w:rFonts w:asciiTheme="minorHAnsi" w:eastAsiaTheme="minorEastAsia" w:hAnsiTheme="minorHAnsi" w:cstheme="minorBidi"/>
            <w:b w:val="0"/>
            <w:smallCaps w:val="0"/>
            <w:sz w:val="22"/>
            <w:lang w:val="en-GB" w:eastAsia="en-GB" w:bidi="ar-SA"/>
          </w:rPr>
          <w:tab/>
        </w:r>
        <w:r w:rsidR="009B4949" w:rsidRPr="00880C70">
          <w:rPr>
            <w:rStyle w:val="Hyperlink"/>
            <w:rFonts w:ascii="Times New Roman" w:hAnsi="Times New Roman"/>
          </w:rPr>
          <w:t>Definice a obecné pokyny pro účely podávání zpráv o LE</w:t>
        </w:r>
        <w:r w:rsidR="009B4949">
          <w:rPr>
            <w:webHidden/>
          </w:rPr>
          <w:tab/>
        </w:r>
        <w:r w:rsidR="009B4949">
          <w:rPr>
            <w:webHidden/>
          </w:rPr>
          <w:fldChar w:fldCharType="begin"/>
        </w:r>
        <w:r w:rsidR="009B4949">
          <w:rPr>
            <w:webHidden/>
          </w:rPr>
          <w:instrText xml:space="preserve"> PAGEREF _Toc524076841 \h </w:instrText>
        </w:r>
        <w:r w:rsidR="009B4949">
          <w:rPr>
            <w:webHidden/>
          </w:rPr>
        </w:r>
        <w:r w:rsidR="009B4949">
          <w:rPr>
            <w:webHidden/>
          </w:rPr>
          <w:fldChar w:fldCharType="separate"/>
        </w:r>
        <w:r w:rsidR="009B4949">
          <w:rPr>
            <w:webHidden/>
          </w:rPr>
          <w:t>4</w:t>
        </w:r>
        <w:r w:rsidR="009B4949">
          <w:rPr>
            <w:webHidden/>
          </w:rPr>
          <w:fldChar w:fldCharType="end"/>
        </w:r>
      </w:hyperlink>
    </w:p>
    <w:p w:rsidR="009B4949" w:rsidRDefault="00DC7BD2">
      <w:pPr>
        <w:pStyle w:val="TOC2"/>
        <w:rPr>
          <w:rFonts w:asciiTheme="minorHAnsi" w:eastAsiaTheme="minorEastAsia" w:hAnsiTheme="minorHAnsi" w:cstheme="minorBidi"/>
          <w:b w:val="0"/>
          <w:smallCaps w:val="0"/>
          <w:sz w:val="22"/>
          <w:lang w:val="en-GB" w:eastAsia="en-GB" w:bidi="ar-SA"/>
        </w:rPr>
      </w:pPr>
      <w:hyperlink w:anchor="_Toc524076842" w:history="1">
        <w:r w:rsidR="009B4949" w:rsidRPr="00880C70">
          <w:rPr>
            <w:rStyle w:val="Hyperlink"/>
            <w:rFonts w:ascii="Times New Roman" w:hAnsi="Times New Roman"/>
          </w:rPr>
          <w:t>4.</w:t>
        </w:r>
        <w:r w:rsidR="009B4949">
          <w:rPr>
            <w:rFonts w:asciiTheme="minorHAnsi" w:eastAsiaTheme="minorEastAsia" w:hAnsiTheme="minorHAnsi" w:cstheme="minorBidi"/>
            <w:b w:val="0"/>
            <w:smallCaps w:val="0"/>
            <w:sz w:val="22"/>
            <w:lang w:val="en-GB" w:eastAsia="en-GB" w:bidi="ar-SA"/>
          </w:rPr>
          <w:tab/>
        </w:r>
        <w:r w:rsidR="009B4949" w:rsidRPr="00880C70">
          <w:rPr>
            <w:rStyle w:val="Hyperlink"/>
            <w:rFonts w:ascii="Times New Roman" w:hAnsi="Times New Roman"/>
          </w:rPr>
          <w:t>C 26.00 – Šablona limitů LE</w:t>
        </w:r>
        <w:r w:rsidR="009B4949">
          <w:rPr>
            <w:webHidden/>
          </w:rPr>
          <w:tab/>
        </w:r>
        <w:r w:rsidR="009B4949">
          <w:rPr>
            <w:webHidden/>
          </w:rPr>
          <w:fldChar w:fldCharType="begin"/>
        </w:r>
        <w:r w:rsidR="009B4949">
          <w:rPr>
            <w:webHidden/>
          </w:rPr>
          <w:instrText xml:space="preserve"> PAGEREF _Toc524076842 \h </w:instrText>
        </w:r>
        <w:r w:rsidR="009B4949">
          <w:rPr>
            <w:webHidden/>
          </w:rPr>
        </w:r>
        <w:r w:rsidR="009B4949">
          <w:rPr>
            <w:webHidden/>
          </w:rPr>
          <w:fldChar w:fldCharType="separate"/>
        </w:r>
        <w:r w:rsidR="009B4949">
          <w:rPr>
            <w:webHidden/>
          </w:rPr>
          <w:t>5</w:t>
        </w:r>
        <w:r w:rsidR="009B4949">
          <w:rPr>
            <w:webHidden/>
          </w:rPr>
          <w:fldChar w:fldCharType="end"/>
        </w:r>
      </w:hyperlink>
    </w:p>
    <w:p w:rsidR="009B4949" w:rsidRDefault="00DC7BD2">
      <w:pPr>
        <w:pStyle w:val="TOC2"/>
        <w:rPr>
          <w:rFonts w:asciiTheme="minorHAnsi" w:eastAsiaTheme="minorEastAsia" w:hAnsiTheme="minorHAnsi" w:cstheme="minorBidi"/>
          <w:b w:val="0"/>
          <w:smallCaps w:val="0"/>
          <w:sz w:val="22"/>
          <w:lang w:val="en-GB" w:eastAsia="en-GB" w:bidi="ar-SA"/>
        </w:rPr>
      </w:pPr>
      <w:hyperlink w:anchor="_Toc524076843" w:history="1">
        <w:r w:rsidR="009B4949" w:rsidRPr="00880C70">
          <w:rPr>
            <w:rStyle w:val="Hyperlink"/>
            <w:rFonts w:ascii="Times New Roman" w:hAnsi="Times New Roman"/>
          </w:rPr>
          <w:t>4.1.</w:t>
        </w:r>
        <w:r w:rsidR="009B4949">
          <w:rPr>
            <w:rFonts w:asciiTheme="minorHAnsi" w:eastAsiaTheme="minorEastAsia" w:hAnsiTheme="minorHAnsi" w:cstheme="minorBidi"/>
            <w:b w:val="0"/>
            <w:smallCaps w:val="0"/>
            <w:sz w:val="22"/>
            <w:lang w:val="en-GB" w:eastAsia="en-GB" w:bidi="ar-SA"/>
          </w:rPr>
          <w:tab/>
        </w:r>
        <w:r w:rsidR="009B4949" w:rsidRPr="00880C70">
          <w:rPr>
            <w:rStyle w:val="Hyperlink"/>
            <w:rFonts w:ascii="Times New Roman" w:hAnsi="Times New Roman"/>
          </w:rPr>
          <w:t>Pokyny týkající se jednotlivých řádků</w:t>
        </w:r>
        <w:r w:rsidR="009B4949">
          <w:rPr>
            <w:webHidden/>
          </w:rPr>
          <w:tab/>
        </w:r>
        <w:r w:rsidR="009B4949">
          <w:rPr>
            <w:webHidden/>
          </w:rPr>
          <w:fldChar w:fldCharType="begin"/>
        </w:r>
        <w:r w:rsidR="009B4949">
          <w:rPr>
            <w:webHidden/>
          </w:rPr>
          <w:instrText xml:space="preserve"> PAGEREF _Toc524076843 \h </w:instrText>
        </w:r>
        <w:r w:rsidR="009B4949">
          <w:rPr>
            <w:webHidden/>
          </w:rPr>
        </w:r>
        <w:r w:rsidR="009B4949">
          <w:rPr>
            <w:webHidden/>
          </w:rPr>
          <w:fldChar w:fldCharType="separate"/>
        </w:r>
        <w:r w:rsidR="009B4949">
          <w:rPr>
            <w:webHidden/>
          </w:rPr>
          <w:t>5</w:t>
        </w:r>
        <w:r w:rsidR="009B4949">
          <w:rPr>
            <w:webHidden/>
          </w:rPr>
          <w:fldChar w:fldCharType="end"/>
        </w:r>
      </w:hyperlink>
    </w:p>
    <w:p w:rsidR="009B4949" w:rsidRDefault="00DC7BD2">
      <w:pPr>
        <w:pStyle w:val="TOC2"/>
        <w:rPr>
          <w:rFonts w:asciiTheme="minorHAnsi" w:eastAsiaTheme="minorEastAsia" w:hAnsiTheme="minorHAnsi" w:cstheme="minorBidi"/>
          <w:b w:val="0"/>
          <w:smallCaps w:val="0"/>
          <w:sz w:val="22"/>
          <w:lang w:val="en-GB" w:eastAsia="en-GB" w:bidi="ar-SA"/>
        </w:rPr>
      </w:pPr>
      <w:hyperlink w:anchor="_Toc524076844" w:history="1">
        <w:r w:rsidR="009B4949" w:rsidRPr="00880C70">
          <w:rPr>
            <w:rStyle w:val="Hyperlink"/>
            <w:rFonts w:ascii="Times New Roman" w:hAnsi="Times New Roman"/>
          </w:rPr>
          <w:t>5.</w:t>
        </w:r>
        <w:r w:rsidR="009B4949">
          <w:rPr>
            <w:rFonts w:asciiTheme="minorHAnsi" w:eastAsiaTheme="minorEastAsia" w:hAnsiTheme="minorHAnsi" w:cstheme="minorBidi"/>
            <w:b w:val="0"/>
            <w:smallCaps w:val="0"/>
            <w:sz w:val="22"/>
            <w:lang w:val="en-GB" w:eastAsia="en-GB" w:bidi="ar-SA"/>
          </w:rPr>
          <w:tab/>
        </w:r>
        <w:r w:rsidR="009B4949" w:rsidRPr="00880C70">
          <w:rPr>
            <w:rStyle w:val="Hyperlink"/>
            <w:rFonts w:ascii="Times New Roman" w:hAnsi="Times New Roman"/>
          </w:rPr>
          <w:t>C 27.00 – Určení protistrany (LE1)</w:t>
        </w:r>
        <w:r w:rsidR="009B4949">
          <w:rPr>
            <w:webHidden/>
          </w:rPr>
          <w:tab/>
        </w:r>
        <w:r w:rsidR="009B4949">
          <w:rPr>
            <w:webHidden/>
          </w:rPr>
          <w:fldChar w:fldCharType="begin"/>
        </w:r>
        <w:r w:rsidR="009B4949">
          <w:rPr>
            <w:webHidden/>
          </w:rPr>
          <w:instrText xml:space="preserve"> PAGEREF _Toc524076844 \h </w:instrText>
        </w:r>
        <w:r w:rsidR="009B4949">
          <w:rPr>
            <w:webHidden/>
          </w:rPr>
        </w:r>
        <w:r w:rsidR="009B4949">
          <w:rPr>
            <w:webHidden/>
          </w:rPr>
          <w:fldChar w:fldCharType="separate"/>
        </w:r>
        <w:r w:rsidR="009B4949">
          <w:rPr>
            <w:webHidden/>
          </w:rPr>
          <w:t>6</w:t>
        </w:r>
        <w:r w:rsidR="009B4949">
          <w:rPr>
            <w:webHidden/>
          </w:rPr>
          <w:fldChar w:fldCharType="end"/>
        </w:r>
      </w:hyperlink>
    </w:p>
    <w:p w:rsidR="009B4949" w:rsidRDefault="00DC7BD2">
      <w:pPr>
        <w:pStyle w:val="TOC2"/>
        <w:rPr>
          <w:rFonts w:asciiTheme="minorHAnsi" w:eastAsiaTheme="minorEastAsia" w:hAnsiTheme="minorHAnsi" w:cstheme="minorBidi"/>
          <w:b w:val="0"/>
          <w:smallCaps w:val="0"/>
          <w:sz w:val="22"/>
          <w:lang w:val="en-GB" w:eastAsia="en-GB" w:bidi="ar-SA"/>
        </w:rPr>
      </w:pPr>
      <w:hyperlink w:anchor="_Toc524076845" w:history="1">
        <w:r w:rsidR="009B4949" w:rsidRPr="00880C70">
          <w:rPr>
            <w:rStyle w:val="Hyperlink"/>
            <w:rFonts w:ascii="Times New Roman" w:hAnsi="Times New Roman"/>
          </w:rPr>
          <w:t>5.1.</w:t>
        </w:r>
        <w:r w:rsidR="009B4949">
          <w:rPr>
            <w:rFonts w:asciiTheme="minorHAnsi" w:eastAsiaTheme="minorEastAsia" w:hAnsiTheme="minorHAnsi" w:cstheme="minorBidi"/>
            <w:b w:val="0"/>
            <w:smallCaps w:val="0"/>
            <w:sz w:val="22"/>
            <w:lang w:val="en-GB" w:eastAsia="en-GB" w:bidi="ar-SA"/>
          </w:rPr>
          <w:tab/>
        </w:r>
        <w:r w:rsidR="009B4949" w:rsidRPr="00880C70">
          <w:rPr>
            <w:rStyle w:val="Hyperlink"/>
            <w:rFonts w:ascii="Times New Roman" w:hAnsi="Times New Roman"/>
          </w:rPr>
          <w:t>Pokyny týkající se konkrétních sloupců</w:t>
        </w:r>
        <w:r w:rsidR="009B4949">
          <w:rPr>
            <w:webHidden/>
          </w:rPr>
          <w:tab/>
        </w:r>
        <w:r w:rsidR="009B4949">
          <w:rPr>
            <w:webHidden/>
          </w:rPr>
          <w:fldChar w:fldCharType="begin"/>
        </w:r>
        <w:r w:rsidR="009B4949">
          <w:rPr>
            <w:webHidden/>
          </w:rPr>
          <w:instrText xml:space="preserve"> PAGEREF _Toc524076845 \h </w:instrText>
        </w:r>
        <w:r w:rsidR="009B4949">
          <w:rPr>
            <w:webHidden/>
          </w:rPr>
        </w:r>
        <w:r w:rsidR="009B4949">
          <w:rPr>
            <w:webHidden/>
          </w:rPr>
          <w:fldChar w:fldCharType="separate"/>
        </w:r>
        <w:r w:rsidR="009B4949">
          <w:rPr>
            <w:webHidden/>
          </w:rPr>
          <w:t>6</w:t>
        </w:r>
        <w:r w:rsidR="009B4949">
          <w:rPr>
            <w:webHidden/>
          </w:rPr>
          <w:fldChar w:fldCharType="end"/>
        </w:r>
      </w:hyperlink>
    </w:p>
    <w:p w:rsidR="009B4949" w:rsidRDefault="00DC7BD2">
      <w:pPr>
        <w:pStyle w:val="TOC2"/>
        <w:rPr>
          <w:rFonts w:asciiTheme="minorHAnsi" w:eastAsiaTheme="minorEastAsia" w:hAnsiTheme="minorHAnsi" w:cstheme="minorBidi"/>
          <w:b w:val="0"/>
          <w:smallCaps w:val="0"/>
          <w:sz w:val="22"/>
          <w:lang w:val="en-GB" w:eastAsia="en-GB" w:bidi="ar-SA"/>
        </w:rPr>
      </w:pPr>
      <w:hyperlink w:anchor="_Toc524076846" w:history="1">
        <w:r w:rsidR="009B4949" w:rsidRPr="00880C70">
          <w:rPr>
            <w:rStyle w:val="Hyperlink"/>
            <w:rFonts w:ascii="Times New Roman" w:hAnsi="Times New Roman"/>
          </w:rPr>
          <w:t>6.</w:t>
        </w:r>
        <w:r w:rsidR="009B4949">
          <w:rPr>
            <w:rFonts w:asciiTheme="minorHAnsi" w:eastAsiaTheme="minorEastAsia" w:hAnsiTheme="minorHAnsi" w:cstheme="minorBidi"/>
            <w:b w:val="0"/>
            <w:smallCaps w:val="0"/>
            <w:sz w:val="22"/>
            <w:lang w:val="en-GB" w:eastAsia="en-GB" w:bidi="ar-SA"/>
          </w:rPr>
          <w:tab/>
        </w:r>
        <w:r w:rsidR="009B4949" w:rsidRPr="00880C70">
          <w:rPr>
            <w:rStyle w:val="Hyperlink"/>
            <w:rFonts w:ascii="Times New Roman" w:hAnsi="Times New Roman"/>
          </w:rPr>
          <w:t>C 28.00 – Expozice v investičním a obchodním portfoliu (LE2)</w:t>
        </w:r>
        <w:r w:rsidR="009B4949">
          <w:rPr>
            <w:webHidden/>
          </w:rPr>
          <w:tab/>
        </w:r>
        <w:r w:rsidR="009B4949">
          <w:rPr>
            <w:webHidden/>
          </w:rPr>
          <w:fldChar w:fldCharType="begin"/>
        </w:r>
        <w:r w:rsidR="009B4949">
          <w:rPr>
            <w:webHidden/>
          </w:rPr>
          <w:instrText xml:space="preserve"> PAGEREF _Toc524076846 \h </w:instrText>
        </w:r>
        <w:r w:rsidR="009B4949">
          <w:rPr>
            <w:webHidden/>
          </w:rPr>
        </w:r>
        <w:r w:rsidR="009B4949">
          <w:rPr>
            <w:webHidden/>
          </w:rPr>
          <w:fldChar w:fldCharType="separate"/>
        </w:r>
        <w:r w:rsidR="009B4949">
          <w:rPr>
            <w:webHidden/>
          </w:rPr>
          <w:t>8</w:t>
        </w:r>
        <w:r w:rsidR="009B4949">
          <w:rPr>
            <w:webHidden/>
          </w:rPr>
          <w:fldChar w:fldCharType="end"/>
        </w:r>
      </w:hyperlink>
    </w:p>
    <w:p w:rsidR="009B4949" w:rsidRDefault="00DC7BD2">
      <w:pPr>
        <w:pStyle w:val="TOC2"/>
        <w:rPr>
          <w:rFonts w:asciiTheme="minorHAnsi" w:eastAsiaTheme="minorEastAsia" w:hAnsiTheme="minorHAnsi" w:cstheme="minorBidi"/>
          <w:b w:val="0"/>
          <w:smallCaps w:val="0"/>
          <w:sz w:val="22"/>
          <w:lang w:val="en-GB" w:eastAsia="en-GB" w:bidi="ar-SA"/>
        </w:rPr>
      </w:pPr>
      <w:hyperlink w:anchor="_Toc524076847" w:history="1">
        <w:r w:rsidR="009B4949" w:rsidRPr="00880C70">
          <w:rPr>
            <w:rStyle w:val="Hyperlink"/>
            <w:rFonts w:ascii="Times New Roman" w:hAnsi="Times New Roman"/>
          </w:rPr>
          <w:t>6.1.</w:t>
        </w:r>
        <w:r w:rsidR="009B4949">
          <w:rPr>
            <w:rFonts w:asciiTheme="minorHAnsi" w:eastAsiaTheme="minorEastAsia" w:hAnsiTheme="minorHAnsi" w:cstheme="minorBidi"/>
            <w:b w:val="0"/>
            <w:smallCaps w:val="0"/>
            <w:sz w:val="22"/>
            <w:lang w:val="en-GB" w:eastAsia="en-GB" w:bidi="ar-SA"/>
          </w:rPr>
          <w:tab/>
        </w:r>
        <w:r w:rsidR="009B4949" w:rsidRPr="00880C70">
          <w:rPr>
            <w:rStyle w:val="Hyperlink"/>
            <w:rFonts w:ascii="Times New Roman" w:hAnsi="Times New Roman"/>
          </w:rPr>
          <w:t>Pokyny týkající se konkrétních sloupců</w:t>
        </w:r>
        <w:r w:rsidR="009B4949">
          <w:rPr>
            <w:webHidden/>
          </w:rPr>
          <w:tab/>
        </w:r>
        <w:r w:rsidR="009B4949">
          <w:rPr>
            <w:webHidden/>
          </w:rPr>
          <w:fldChar w:fldCharType="begin"/>
        </w:r>
        <w:r w:rsidR="009B4949">
          <w:rPr>
            <w:webHidden/>
          </w:rPr>
          <w:instrText xml:space="preserve"> PAGEREF _Toc524076847 \h </w:instrText>
        </w:r>
        <w:r w:rsidR="009B4949">
          <w:rPr>
            <w:webHidden/>
          </w:rPr>
        </w:r>
        <w:r w:rsidR="009B4949">
          <w:rPr>
            <w:webHidden/>
          </w:rPr>
          <w:fldChar w:fldCharType="separate"/>
        </w:r>
        <w:r w:rsidR="009B4949">
          <w:rPr>
            <w:webHidden/>
          </w:rPr>
          <w:t>8</w:t>
        </w:r>
        <w:r w:rsidR="009B4949">
          <w:rPr>
            <w:webHidden/>
          </w:rPr>
          <w:fldChar w:fldCharType="end"/>
        </w:r>
      </w:hyperlink>
    </w:p>
    <w:p w:rsidR="009B4949" w:rsidRDefault="00DC7BD2">
      <w:pPr>
        <w:pStyle w:val="TOC2"/>
        <w:rPr>
          <w:rFonts w:asciiTheme="minorHAnsi" w:eastAsiaTheme="minorEastAsia" w:hAnsiTheme="minorHAnsi" w:cstheme="minorBidi"/>
          <w:b w:val="0"/>
          <w:smallCaps w:val="0"/>
          <w:sz w:val="22"/>
          <w:lang w:val="en-GB" w:eastAsia="en-GB" w:bidi="ar-SA"/>
        </w:rPr>
      </w:pPr>
      <w:hyperlink w:anchor="_Toc524076848" w:history="1">
        <w:r w:rsidR="009B4949" w:rsidRPr="00880C70">
          <w:rPr>
            <w:rStyle w:val="Hyperlink"/>
            <w:rFonts w:ascii="Times New Roman" w:hAnsi="Times New Roman"/>
          </w:rPr>
          <w:t>7.</w:t>
        </w:r>
        <w:r w:rsidR="009B4949">
          <w:rPr>
            <w:rFonts w:asciiTheme="minorHAnsi" w:eastAsiaTheme="minorEastAsia" w:hAnsiTheme="minorHAnsi" w:cstheme="minorBidi"/>
            <w:b w:val="0"/>
            <w:smallCaps w:val="0"/>
            <w:sz w:val="22"/>
            <w:lang w:val="en-GB" w:eastAsia="en-GB" w:bidi="ar-SA"/>
          </w:rPr>
          <w:tab/>
        </w:r>
        <w:r w:rsidR="009B4949" w:rsidRPr="00880C70">
          <w:rPr>
            <w:rStyle w:val="Hyperlink"/>
            <w:rFonts w:ascii="Times New Roman" w:hAnsi="Times New Roman"/>
          </w:rPr>
          <w:t>C 29.00 – Údaje o expozicích vůči jednotlivým klientům v rámci skupiny propojených klientů (LE3)</w:t>
        </w:r>
        <w:r w:rsidR="009B4949">
          <w:rPr>
            <w:webHidden/>
          </w:rPr>
          <w:tab/>
        </w:r>
        <w:r w:rsidR="009B4949">
          <w:rPr>
            <w:webHidden/>
          </w:rPr>
          <w:fldChar w:fldCharType="begin"/>
        </w:r>
        <w:r w:rsidR="009B4949">
          <w:rPr>
            <w:webHidden/>
          </w:rPr>
          <w:instrText xml:space="preserve"> PAGEREF _Toc524076848 \h </w:instrText>
        </w:r>
        <w:r w:rsidR="009B4949">
          <w:rPr>
            <w:webHidden/>
          </w:rPr>
        </w:r>
        <w:r w:rsidR="009B4949">
          <w:rPr>
            <w:webHidden/>
          </w:rPr>
          <w:fldChar w:fldCharType="separate"/>
        </w:r>
        <w:r w:rsidR="009B4949">
          <w:rPr>
            <w:webHidden/>
          </w:rPr>
          <w:t>16</w:t>
        </w:r>
        <w:r w:rsidR="009B4949">
          <w:rPr>
            <w:webHidden/>
          </w:rPr>
          <w:fldChar w:fldCharType="end"/>
        </w:r>
      </w:hyperlink>
    </w:p>
    <w:p w:rsidR="009B4949" w:rsidRDefault="00DC7BD2">
      <w:pPr>
        <w:pStyle w:val="TOC2"/>
        <w:rPr>
          <w:rFonts w:asciiTheme="minorHAnsi" w:eastAsiaTheme="minorEastAsia" w:hAnsiTheme="minorHAnsi" w:cstheme="minorBidi"/>
          <w:b w:val="0"/>
          <w:smallCaps w:val="0"/>
          <w:sz w:val="22"/>
          <w:lang w:val="en-GB" w:eastAsia="en-GB" w:bidi="ar-SA"/>
        </w:rPr>
      </w:pPr>
      <w:hyperlink w:anchor="_Toc524076849" w:history="1">
        <w:r w:rsidR="009B4949" w:rsidRPr="00880C70">
          <w:rPr>
            <w:rStyle w:val="Hyperlink"/>
            <w:rFonts w:ascii="Times New Roman" w:hAnsi="Times New Roman"/>
          </w:rPr>
          <w:t>7.1.</w:t>
        </w:r>
        <w:r w:rsidR="009B4949">
          <w:rPr>
            <w:rFonts w:asciiTheme="minorHAnsi" w:eastAsiaTheme="minorEastAsia" w:hAnsiTheme="minorHAnsi" w:cstheme="minorBidi"/>
            <w:b w:val="0"/>
            <w:smallCaps w:val="0"/>
            <w:sz w:val="22"/>
            <w:lang w:val="en-GB" w:eastAsia="en-GB" w:bidi="ar-SA"/>
          </w:rPr>
          <w:tab/>
        </w:r>
        <w:r w:rsidR="009B4949" w:rsidRPr="00880C70">
          <w:rPr>
            <w:rStyle w:val="Hyperlink"/>
            <w:rFonts w:ascii="Times New Roman" w:hAnsi="Times New Roman"/>
          </w:rPr>
          <w:t>Pokyny týkající se konkrétních sloupců</w:t>
        </w:r>
        <w:r w:rsidR="009B4949">
          <w:rPr>
            <w:webHidden/>
          </w:rPr>
          <w:tab/>
        </w:r>
        <w:r w:rsidR="009B4949">
          <w:rPr>
            <w:webHidden/>
          </w:rPr>
          <w:fldChar w:fldCharType="begin"/>
        </w:r>
        <w:r w:rsidR="009B4949">
          <w:rPr>
            <w:webHidden/>
          </w:rPr>
          <w:instrText xml:space="preserve"> PAGEREF _Toc524076849 \h </w:instrText>
        </w:r>
        <w:r w:rsidR="009B4949">
          <w:rPr>
            <w:webHidden/>
          </w:rPr>
        </w:r>
        <w:r w:rsidR="009B4949">
          <w:rPr>
            <w:webHidden/>
          </w:rPr>
          <w:fldChar w:fldCharType="separate"/>
        </w:r>
        <w:r w:rsidR="009B4949">
          <w:rPr>
            <w:webHidden/>
          </w:rPr>
          <w:t>16</w:t>
        </w:r>
        <w:r w:rsidR="009B4949">
          <w:rPr>
            <w:webHidden/>
          </w:rPr>
          <w:fldChar w:fldCharType="end"/>
        </w:r>
      </w:hyperlink>
    </w:p>
    <w:p w:rsidR="009B4949" w:rsidRDefault="00DC7BD2">
      <w:pPr>
        <w:pStyle w:val="TOC2"/>
        <w:rPr>
          <w:rFonts w:asciiTheme="minorHAnsi" w:eastAsiaTheme="minorEastAsia" w:hAnsiTheme="minorHAnsi" w:cstheme="minorBidi"/>
          <w:b w:val="0"/>
          <w:smallCaps w:val="0"/>
          <w:sz w:val="22"/>
          <w:lang w:val="en-GB" w:eastAsia="en-GB" w:bidi="ar-SA"/>
        </w:rPr>
      </w:pPr>
      <w:hyperlink w:anchor="_Toc524076850" w:history="1">
        <w:r w:rsidR="009B4949" w:rsidRPr="00880C70">
          <w:rPr>
            <w:rStyle w:val="Hyperlink"/>
            <w:rFonts w:ascii="Times New Roman" w:hAnsi="Times New Roman"/>
          </w:rPr>
          <w:t>8.</w:t>
        </w:r>
        <w:r w:rsidR="009B4949">
          <w:rPr>
            <w:rFonts w:asciiTheme="minorHAnsi" w:eastAsiaTheme="minorEastAsia" w:hAnsiTheme="minorHAnsi" w:cstheme="minorBidi"/>
            <w:b w:val="0"/>
            <w:smallCaps w:val="0"/>
            <w:sz w:val="22"/>
            <w:lang w:val="en-GB" w:eastAsia="en-GB" w:bidi="ar-SA"/>
          </w:rPr>
          <w:tab/>
        </w:r>
        <w:r w:rsidR="009B4949" w:rsidRPr="00880C70">
          <w:rPr>
            <w:rStyle w:val="Hyperlink"/>
            <w:rFonts w:ascii="Times New Roman" w:hAnsi="Times New Roman"/>
          </w:rPr>
          <w:t>C 30.00 – Koše splatnosti deseti největších expozic vůči institucím a deseti největších expozic vůči neregulovaným subjektům finančního sektoru (šablona LE4)</w:t>
        </w:r>
        <w:r w:rsidR="009B4949">
          <w:rPr>
            <w:webHidden/>
          </w:rPr>
          <w:tab/>
        </w:r>
        <w:r w:rsidR="009B4949">
          <w:rPr>
            <w:webHidden/>
          </w:rPr>
          <w:fldChar w:fldCharType="begin"/>
        </w:r>
        <w:r w:rsidR="009B4949">
          <w:rPr>
            <w:webHidden/>
          </w:rPr>
          <w:instrText xml:space="preserve"> PAGEREF _Toc524076850 \h </w:instrText>
        </w:r>
        <w:r w:rsidR="009B4949">
          <w:rPr>
            <w:webHidden/>
          </w:rPr>
        </w:r>
        <w:r w:rsidR="009B4949">
          <w:rPr>
            <w:webHidden/>
          </w:rPr>
          <w:fldChar w:fldCharType="separate"/>
        </w:r>
        <w:r w:rsidR="009B4949">
          <w:rPr>
            <w:webHidden/>
          </w:rPr>
          <w:t>17</w:t>
        </w:r>
        <w:r w:rsidR="009B4949">
          <w:rPr>
            <w:webHidden/>
          </w:rPr>
          <w:fldChar w:fldCharType="end"/>
        </w:r>
      </w:hyperlink>
    </w:p>
    <w:p w:rsidR="009B4949" w:rsidRDefault="00DC7BD2">
      <w:pPr>
        <w:pStyle w:val="TOC2"/>
        <w:rPr>
          <w:rFonts w:asciiTheme="minorHAnsi" w:eastAsiaTheme="minorEastAsia" w:hAnsiTheme="minorHAnsi" w:cstheme="minorBidi"/>
          <w:b w:val="0"/>
          <w:smallCaps w:val="0"/>
          <w:sz w:val="22"/>
          <w:lang w:val="en-GB" w:eastAsia="en-GB" w:bidi="ar-SA"/>
        </w:rPr>
      </w:pPr>
      <w:hyperlink w:anchor="_Toc524076851" w:history="1">
        <w:r w:rsidR="009B4949" w:rsidRPr="00880C70">
          <w:rPr>
            <w:rStyle w:val="Hyperlink"/>
            <w:rFonts w:ascii="Times New Roman" w:hAnsi="Times New Roman"/>
          </w:rPr>
          <w:t>8.1.</w:t>
        </w:r>
        <w:r w:rsidR="009B4949">
          <w:rPr>
            <w:rFonts w:asciiTheme="minorHAnsi" w:eastAsiaTheme="minorEastAsia" w:hAnsiTheme="minorHAnsi" w:cstheme="minorBidi"/>
            <w:b w:val="0"/>
            <w:smallCaps w:val="0"/>
            <w:sz w:val="22"/>
            <w:lang w:val="en-GB" w:eastAsia="en-GB" w:bidi="ar-SA"/>
          </w:rPr>
          <w:tab/>
        </w:r>
        <w:r w:rsidR="009B4949" w:rsidRPr="00880C70">
          <w:rPr>
            <w:rStyle w:val="Hyperlink"/>
            <w:rFonts w:ascii="Times New Roman" w:hAnsi="Times New Roman"/>
          </w:rPr>
          <w:t>Pokyny týkající se konkrétních sloupců</w:t>
        </w:r>
        <w:r w:rsidR="009B4949">
          <w:rPr>
            <w:webHidden/>
          </w:rPr>
          <w:tab/>
        </w:r>
        <w:r w:rsidR="009B4949">
          <w:rPr>
            <w:webHidden/>
          </w:rPr>
          <w:fldChar w:fldCharType="begin"/>
        </w:r>
        <w:r w:rsidR="009B4949">
          <w:rPr>
            <w:webHidden/>
          </w:rPr>
          <w:instrText xml:space="preserve"> PAGEREF _Toc524076851 \h </w:instrText>
        </w:r>
        <w:r w:rsidR="009B4949">
          <w:rPr>
            <w:webHidden/>
          </w:rPr>
        </w:r>
        <w:r w:rsidR="009B4949">
          <w:rPr>
            <w:webHidden/>
          </w:rPr>
          <w:fldChar w:fldCharType="separate"/>
        </w:r>
        <w:r w:rsidR="009B4949">
          <w:rPr>
            <w:webHidden/>
          </w:rPr>
          <w:t>17</w:t>
        </w:r>
        <w:r w:rsidR="009B4949">
          <w:rPr>
            <w:webHidden/>
          </w:rPr>
          <w:fldChar w:fldCharType="end"/>
        </w:r>
      </w:hyperlink>
    </w:p>
    <w:p w:rsidR="009B4949" w:rsidRDefault="00DC7BD2">
      <w:pPr>
        <w:pStyle w:val="TOC2"/>
        <w:rPr>
          <w:rFonts w:asciiTheme="minorHAnsi" w:eastAsiaTheme="minorEastAsia" w:hAnsiTheme="minorHAnsi" w:cstheme="minorBidi"/>
          <w:b w:val="0"/>
          <w:smallCaps w:val="0"/>
          <w:sz w:val="22"/>
          <w:lang w:val="en-GB" w:eastAsia="en-GB" w:bidi="ar-SA"/>
        </w:rPr>
      </w:pPr>
      <w:hyperlink w:anchor="_Toc524076852" w:history="1">
        <w:r w:rsidR="009B4949" w:rsidRPr="00880C70">
          <w:rPr>
            <w:rStyle w:val="Hyperlink"/>
            <w:rFonts w:ascii="Times New Roman" w:hAnsi="Times New Roman"/>
          </w:rPr>
          <w:t>9.</w:t>
        </w:r>
        <w:r w:rsidR="009B4949">
          <w:rPr>
            <w:rFonts w:asciiTheme="minorHAnsi" w:eastAsiaTheme="minorEastAsia" w:hAnsiTheme="minorHAnsi" w:cstheme="minorBidi"/>
            <w:b w:val="0"/>
            <w:smallCaps w:val="0"/>
            <w:sz w:val="22"/>
            <w:lang w:val="en-GB" w:eastAsia="en-GB" w:bidi="ar-SA"/>
          </w:rPr>
          <w:tab/>
        </w:r>
        <w:r w:rsidR="009B4949" w:rsidRPr="00880C70">
          <w:rPr>
            <w:rStyle w:val="Hyperlink"/>
            <w:rFonts w:ascii="Times New Roman" w:hAnsi="Times New Roman"/>
          </w:rPr>
          <w:t>C 31.00 – Koše splatnosti deseti největších expozic vůči institucím a deseti největších expozic vůči neregulovaným subjektům finančního sektoru: podrobné údaje o expozicích vůči jednotlivým klientům v rámci v rámci skupiny propojených klientů (šablona LE)</w:t>
        </w:r>
        <w:r w:rsidR="009B4949">
          <w:rPr>
            <w:webHidden/>
          </w:rPr>
          <w:tab/>
        </w:r>
        <w:r w:rsidR="009B4949">
          <w:rPr>
            <w:webHidden/>
          </w:rPr>
          <w:fldChar w:fldCharType="begin"/>
        </w:r>
        <w:r w:rsidR="009B4949">
          <w:rPr>
            <w:webHidden/>
          </w:rPr>
          <w:instrText xml:space="preserve"> PAGEREF _Toc524076852 \h </w:instrText>
        </w:r>
        <w:r w:rsidR="009B4949">
          <w:rPr>
            <w:webHidden/>
          </w:rPr>
        </w:r>
        <w:r w:rsidR="009B4949">
          <w:rPr>
            <w:webHidden/>
          </w:rPr>
          <w:fldChar w:fldCharType="separate"/>
        </w:r>
        <w:r w:rsidR="009B4949">
          <w:rPr>
            <w:webHidden/>
          </w:rPr>
          <w:t>18</w:t>
        </w:r>
        <w:r w:rsidR="009B4949">
          <w:rPr>
            <w:webHidden/>
          </w:rPr>
          <w:fldChar w:fldCharType="end"/>
        </w:r>
      </w:hyperlink>
    </w:p>
    <w:p w:rsidR="009B4949" w:rsidRDefault="00DC7BD2">
      <w:pPr>
        <w:pStyle w:val="TOC2"/>
        <w:rPr>
          <w:rFonts w:asciiTheme="minorHAnsi" w:eastAsiaTheme="minorEastAsia" w:hAnsiTheme="minorHAnsi" w:cstheme="minorBidi"/>
          <w:b w:val="0"/>
          <w:smallCaps w:val="0"/>
          <w:sz w:val="22"/>
          <w:lang w:val="en-GB" w:eastAsia="en-GB" w:bidi="ar-SA"/>
        </w:rPr>
      </w:pPr>
      <w:hyperlink w:anchor="_Toc524076853" w:history="1">
        <w:r w:rsidR="009B4949" w:rsidRPr="00880C70">
          <w:rPr>
            <w:rStyle w:val="Hyperlink"/>
            <w:rFonts w:ascii="Times New Roman" w:hAnsi="Times New Roman"/>
          </w:rPr>
          <w:t>9.1.</w:t>
        </w:r>
        <w:r w:rsidR="009B4949">
          <w:rPr>
            <w:rFonts w:asciiTheme="minorHAnsi" w:eastAsiaTheme="minorEastAsia" w:hAnsiTheme="minorHAnsi" w:cstheme="minorBidi"/>
            <w:b w:val="0"/>
            <w:smallCaps w:val="0"/>
            <w:sz w:val="22"/>
            <w:lang w:val="en-GB" w:eastAsia="en-GB" w:bidi="ar-SA"/>
          </w:rPr>
          <w:tab/>
        </w:r>
        <w:r w:rsidR="009B4949" w:rsidRPr="00880C70">
          <w:rPr>
            <w:rStyle w:val="Hyperlink"/>
            <w:rFonts w:ascii="Times New Roman" w:hAnsi="Times New Roman"/>
          </w:rPr>
          <w:t>Pokyny týkající se konkrétních sloupců</w:t>
        </w:r>
        <w:r w:rsidR="009B4949">
          <w:rPr>
            <w:webHidden/>
          </w:rPr>
          <w:tab/>
        </w:r>
        <w:r w:rsidR="009B4949">
          <w:rPr>
            <w:webHidden/>
          </w:rPr>
          <w:fldChar w:fldCharType="begin"/>
        </w:r>
        <w:r w:rsidR="009B4949">
          <w:rPr>
            <w:webHidden/>
          </w:rPr>
          <w:instrText xml:space="preserve"> PAGEREF _Toc524076853 \h </w:instrText>
        </w:r>
        <w:r w:rsidR="009B4949">
          <w:rPr>
            <w:webHidden/>
          </w:rPr>
        </w:r>
        <w:r w:rsidR="009B4949">
          <w:rPr>
            <w:webHidden/>
          </w:rPr>
          <w:fldChar w:fldCharType="separate"/>
        </w:r>
        <w:r w:rsidR="009B4949">
          <w:rPr>
            <w:webHidden/>
          </w:rPr>
          <w:t>18</w:t>
        </w:r>
        <w:r w:rsidR="009B4949">
          <w:rPr>
            <w:webHidden/>
          </w:rPr>
          <w:fldChar w:fldCharType="end"/>
        </w:r>
      </w:hyperlink>
    </w:p>
    <w:p w:rsidR="00A76DE4" w:rsidRDefault="009B4949">
      <w:pPr>
        <w:rPr>
          <w:rFonts w:ascii="Times New Roman" w:eastAsia="SimSun" w:hAnsi="Times New Roman"/>
          <w:sz w:val="24"/>
        </w:rPr>
        <w:sectPr w:rsidR="00A76DE4" w:rsidSect="00A772B4">
          <w:footerReference w:type="default" r:id="rId10"/>
          <w:footerReference w:type="first" r:id="rId11"/>
          <w:endnotePr>
            <w:numFmt w:val="decimal"/>
          </w:endnotePr>
          <w:type w:val="continuous"/>
          <w:pgSz w:w="11906" w:h="16838"/>
          <w:pgMar w:top="1417" w:right="1417" w:bottom="1134" w:left="1417" w:header="708" w:footer="708" w:gutter="0"/>
          <w:cols w:space="708"/>
          <w:titlePg/>
          <w:docGrid w:linePitch="360"/>
        </w:sectPr>
      </w:pPr>
      <w:r>
        <w:rPr>
          <w:rFonts w:ascii="Times New Roman" w:hAnsi="Times New Roman"/>
          <w:sz w:val="24"/>
        </w:rPr>
        <w:fldChar w:fldCharType="end"/>
      </w:r>
    </w:p>
    <w:p w:rsidR="009777FB" w:rsidRPr="009777FB" w:rsidRDefault="003105C6" w:rsidP="0093135A">
      <w:pPr>
        <w:pStyle w:val="Heading2"/>
        <w:rPr>
          <w:bCs/>
        </w:rPr>
      </w:pPr>
      <w:bookmarkStart w:id="2" w:name="_Toc264038394"/>
      <w:bookmarkStart w:id="3" w:name="_Toc393461951"/>
      <w:bookmarkStart w:id="4" w:name="_Toc524076835"/>
      <w:r>
        <w:rPr>
          <w:rFonts w:ascii="Times New Roman" w:hAnsi="Times New Roman"/>
        </w:rPr>
        <w:lastRenderedPageBreak/>
        <w:t>ČÁST I:</w:t>
      </w:r>
      <w:bookmarkEnd w:id="2"/>
      <w:r>
        <w:rPr>
          <w:rFonts w:ascii="Times New Roman" w:hAnsi="Times New Roman"/>
        </w:rPr>
        <w:t xml:space="preserve"> OBECNÉ POKYNY</w:t>
      </w:r>
      <w:bookmarkEnd w:id="3"/>
      <w:bookmarkEnd w:id="4"/>
    </w:p>
    <w:p w:rsidR="003105C6" w:rsidRPr="00384ADB" w:rsidRDefault="003105C6" w:rsidP="00C52CE2">
      <w:pPr>
        <w:pStyle w:val="Instructionsberschrift2"/>
        <w:numPr>
          <w:ilvl w:val="0"/>
          <w:numId w:val="20"/>
        </w:numPr>
        <w:rPr>
          <w:rFonts w:ascii="Times New Roman" w:hAnsi="Times New Roman" w:cs="Times New Roman"/>
          <w:b/>
          <w:sz w:val="24"/>
          <w:u w:val="none"/>
        </w:rPr>
      </w:pPr>
      <w:bookmarkStart w:id="5" w:name="_Toc393461952"/>
      <w:bookmarkStart w:id="6" w:name="_Toc524076836"/>
      <w:r>
        <w:rPr>
          <w:rFonts w:ascii="Times New Roman" w:hAnsi="Times New Roman"/>
          <w:b/>
          <w:sz w:val="24"/>
          <w:u w:val="none"/>
        </w:rPr>
        <w:t>Struktura a konvence</w:t>
      </w:r>
      <w:bookmarkEnd w:id="5"/>
      <w:bookmarkEnd w:id="6"/>
    </w:p>
    <w:p w:rsidR="00393539" w:rsidRPr="0039317F" w:rsidRDefault="00D40975" w:rsidP="0039317F">
      <w:pPr>
        <w:pStyle w:val="InstructionsText2"/>
      </w:pPr>
      <w:bookmarkStart w:id="7" w:name="_Toc264038399"/>
      <w:bookmarkStart w:id="8" w:name="_Toc294018834"/>
      <w:r>
        <w:t>Rámec pro podávání zpráv o velkých expozicích („LE“) se skládá ze šesti šablon, kt</w:t>
      </w:r>
      <w:r>
        <w:t>e</w:t>
      </w:r>
      <w:r>
        <w:t>ré obsahují následující informace:</w:t>
      </w:r>
    </w:p>
    <w:p w:rsidR="00DA54E3" w:rsidRPr="0039317F" w:rsidRDefault="00CC2429" w:rsidP="007071C0">
      <w:pPr>
        <w:pStyle w:val="InstructionsText2"/>
        <w:numPr>
          <w:ilvl w:val="1"/>
          <w:numId w:val="33"/>
        </w:numPr>
        <w:rPr>
          <w:rFonts w:eastAsia="Arial"/>
        </w:rPr>
      </w:pPr>
      <w:r>
        <w:t>limity velkých expozic;</w:t>
      </w:r>
    </w:p>
    <w:p w:rsidR="00DA54E3" w:rsidRPr="0039317F" w:rsidRDefault="00CC2429" w:rsidP="007071C0">
      <w:pPr>
        <w:pStyle w:val="InstructionsText2"/>
        <w:numPr>
          <w:ilvl w:val="1"/>
          <w:numId w:val="33"/>
        </w:numPr>
        <w:rPr>
          <w:rFonts w:eastAsia="Arial"/>
        </w:rPr>
      </w:pPr>
      <w:r>
        <w:t>určení protistrany (šablona LE1);</w:t>
      </w:r>
    </w:p>
    <w:p w:rsidR="00393539" w:rsidRPr="0039317F" w:rsidRDefault="00CC2429" w:rsidP="007071C0">
      <w:pPr>
        <w:pStyle w:val="InstructionsText2"/>
        <w:numPr>
          <w:ilvl w:val="1"/>
          <w:numId w:val="33"/>
        </w:numPr>
        <w:rPr>
          <w:rFonts w:eastAsia="Arial"/>
        </w:rPr>
      </w:pPr>
      <w:r>
        <w:t xml:space="preserve">expozice v investičním a obchodním portfoliu (šablona LE2); </w:t>
      </w:r>
    </w:p>
    <w:p w:rsidR="00393539" w:rsidRPr="0039317F" w:rsidRDefault="00CC2429" w:rsidP="007071C0">
      <w:pPr>
        <w:pStyle w:val="InstructionsText2"/>
        <w:numPr>
          <w:ilvl w:val="1"/>
          <w:numId w:val="33"/>
        </w:numPr>
        <w:rPr>
          <w:rFonts w:eastAsia="Arial"/>
        </w:rPr>
      </w:pPr>
      <w:r>
        <w:t>podrobné údaje o expozicích vůči jednotlivým klientům v rámci ekonomicky spjatých skupin klientů (šablona LE3);</w:t>
      </w:r>
    </w:p>
    <w:p w:rsidR="00627430" w:rsidRPr="0039317F" w:rsidRDefault="00CC2429" w:rsidP="007071C0">
      <w:pPr>
        <w:pStyle w:val="InstructionsText2"/>
        <w:numPr>
          <w:ilvl w:val="1"/>
          <w:numId w:val="33"/>
        </w:numPr>
        <w:rPr>
          <w:rFonts w:eastAsia="Arial"/>
        </w:rPr>
      </w:pPr>
      <w:r>
        <w:t>koše splatnosti deseti největších expozic vůči institucím a deseti největších e</w:t>
      </w:r>
      <w:r>
        <w:t>x</w:t>
      </w:r>
      <w:r>
        <w:t xml:space="preserve">pozic vůči neregulovaným subjektům finančního sektoru (šablona LE4); </w:t>
      </w:r>
    </w:p>
    <w:p w:rsidR="00DA54E3" w:rsidRPr="0039317F" w:rsidRDefault="00CC2429" w:rsidP="007071C0">
      <w:pPr>
        <w:pStyle w:val="InstructionsText2"/>
        <w:numPr>
          <w:ilvl w:val="1"/>
          <w:numId w:val="33"/>
        </w:numPr>
        <w:rPr>
          <w:rFonts w:eastAsia="Arial"/>
        </w:rPr>
      </w:pPr>
      <w:r>
        <w:t>koše splatnosti deseti největších expozic vůči institucím a deseti největších e</w:t>
      </w:r>
      <w:r>
        <w:t>x</w:t>
      </w:r>
      <w:r>
        <w:t>pozic vůči neregulovaným subjektům finančního sektoru: podrobné údaje o expozicích vůči jednotlivým klientům v rámci ekonomicky spjatých skupin klientů (šablona LE5).</w:t>
      </w:r>
    </w:p>
    <w:p w:rsidR="003D56DE" w:rsidRPr="0039317F" w:rsidRDefault="00756759" w:rsidP="0039317F">
      <w:pPr>
        <w:pStyle w:val="InstructionsText2"/>
      </w:pPr>
      <w:r>
        <w:t>Pokyny obsahují odkazy na právní předpisy a rovněž podrobné informace o údajích vykazovaných v každé šabloně.</w:t>
      </w:r>
    </w:p>
    <w:p w:rsidR="00B0191A" w:rsidRPr="0039317F" w:rsidRDefault="003105C6" w:rsidP="0039317F">
      <w:pPr>
        <w:pStyle w:val="InstructionsText2"/>
      </w:pPr>
      <w:r>
        <w:t xml:space="preserve">Pokyny a validační pravidla se řídí konvencí o označování uvedenou v následujících odstavcích, týkající se sloupců, řádků a buněk šablon. </w:t>
      </w:r>
    </w:p>
    <w:p w:rsidR="00B0191A" w:rsidRPr="0039317F" w:rsidRDefault="00F36707" w:rsidP="0039317F">
      <w:pPr>
        <w:pStyle w:val="InstructionsText2"/>
      </w:pPr>
      <w:r>
        <w:t>V pokynech a validačních pravidlech se zpravidla užívá následující konvence: {</w:t>
      </w:r>
      <w:proofErr w:type="spellStart"/>
      <w:proofErr w:type="gramStart"/>
      <w:r>
        <w:t>šabl</w:t>
      </w:r>
      <w:r>
        <w:t>o</w:t>
      </w:r>
      <w:r>
        <w:t>na;řádek</w:t>
      </w:r>
      <w:proofErr w:type="gramEnd"/>
      <w:r>
        <w:t>;sloupec</w:t>
      </w:r>
      <w:proofErr w:type="spellEnd"/>
      <w:r>
        <w:t>}. K vyjádření toho, že byla provedena validace všech vykazovaných řádků, se použije hvězdička.</w:t>
      </w:r>
    </w:p>
    <w:p w:rsidR="00B0191A" w:rsidRPr="0039317F" w:rsidRDefault="003105C6" w:rsidP="0039317F">
      <w:pPr>
        <w:pStyle w:val="InstructionsText2"/>
        <w:rPr>
          <w:rFonts w:eastAsia="Arial"/>
        </w:rPr>
      </w:pPr>
      <w:r>
        <w:t>V případě validací v rámci šablony, ve které jsou užity pouze údaje z této šablony, se zápisy nevztahují k šabloně: {</w:t>
      </w:r>
      <w:proofErr w:type="spellStart"/>
      <w:proofErr w:type="gramStart"/>
      <w:r>
        <w:t>řádek;sloupec</w:t>
      </w:r>
      <w:proofErr w:type="spellEnd"/>
      <w:proofErr w:type="gramEnd"/>
      <w:r>
        <w:t>}.</w:t>
      </w:r>
    </w:p>
    <w:p w:rsidR="00B0191A" w:rsidRDefault="006217F1" w:rsidP="0039317F">
      <w:pPr>
        <w:pStyle w:val="InstructionsText2"/>
      </w:pPr>
      <w:r>
        <w:t xml:space="preserve">ABS (hodnota): absolutní hodnota bez znaménka. </w:t>
      </w:r>
      <w:bookmarkEnd w:id="7"/>
      <w:bookmarkEnd w:id="8"/>
      <w:r>
        <w:t>Veškeré částky, které zvyšují exp</w:t>
      </w:r>
      <w:r>
        <w:t>o</w:t>
      </w:r>
      <w:r>
        <w:t>zice, se vykazují jako kladné číslo. Naopak veškeré částky, které expozice snižují, se vykazují jako záporné číslo. Pokud označení určité položky předchází záporné zn</w:t>
      </w:r>
      <w:r>
        <w:t>a</w:t>
      </w:r>
      <w:r>
        <w:t>ménko (–), nesmí být pro tuto položku vykázáno kladné číslo.</w:t>
      </w:r>
    </w:p>
    <w:p w:rsidR="0093135A" w:rsidRPr="0078562D" w:rsidRDefault="0078562D" w:rsidP="0078562D">
      <w:pPr>
        <w:pStyle w:val="Instructionsberschrift2"/>
        <w:numPr>
          <w:ilvl w:val="0"/>
          <w:numId w:val="20"/>
        </w:numPr>
        <w:rPr>
          <w:b/>
        </w:rPr>
      </w:pPr>
      <w:bookmarkStart w:id="9" w:name="_Toc524076837"/>
      <w:r>
        <w:rPr>
          <w:rFonts w:ascii="Times New Roman" w:hAnsi="Times New Roman"/>
          <w:b/>
          <w:sz w:val="24"/>
          <w:u w:val="none"/>
        </w:rPr>
        <w:t>Zkratky</w:t>
      </w:r>
      <w:bookmarkEnd w:id="9"/>
    </w:p>
    <w:p w:rsidR="0093135A" w:rsidRDefault="0093135A" w:rsidP="0093135A">
      <w:pPr>
        <w:pStyle w:val="InstructionsText2"/>
      </w:pPr>
      <w:r>
        <w:t>Pro účely této přílohy se na nařízení (EU) č. 575/2013 odkazuje pomocí zkratky „CRR“.</w:t>
      </w:r>
    </w:p>
    <w:p w:rsidR="0093135A" w:rsidRPr="0039317F" w:rsidRDefault="0093135A" w:rsidP="0078562D">
      <w:pPr>
        <w:pStyle w:val="InstructionsText2"/>
        <w:numPr>
          <w:ilvl w:val="0"/>
          <w:numId w:val="0"/>
        </w:numPr>
        <w:ind w:left="720" w:hanging="360"/>
      </w:pPr>
    </w:p>
    <w:p w:rsidR="00A801A9" w:rsidRPr="00384ADB" w:rsidRDefault="00A801A9" w:rsidP="00005FFC">
      <w:pPr>
        <w:rPr>
          <w:rFonts w:ascii="Times New Roman" w:hAnsi="Times New Roman"/>
          <w:sz w:val="24"/>
        </w:rPr>
        <w:sectPr w:rsidR="00A801A9" w:rsidRPr="00384ADB" w:rsidSect="00C41ABD">
          <w:endnotePr>
            <w:numFmt w:val="decimal"/>
          </w:endnotePr>
          <w:pgSz w:w="11906" w:h="16838"/>
          <w:pgMar w:top="1417" w:right="1417" w:bottom="1134" w:left="1417" w:header="708" w:footer="708" w:gutter="0"/>
          <w:pgNumType w:start="2"/>
          <w:cols w:space="708"/>
          <w:docGrid w:linePitch="360"/>
        </w:sectPr>
      </w:pPr>
      <w:bookmarkStart w:id="10" w:name="_Toc264033192"/>
      <w:bookmarkEnd w:id="10"/>
    </w:p>
    <w:p w:rsidR="00A801A9" w:rsidRPr="00F40CD9" w:rsidRDefault="003105C6" w:rsidP="00D64B66">
      <w:pPr>
        <w:pStyle w:val="Heading2"/>
        <w:rPr>
          <w:rFonts w:ascii="Times New Roman" w:hAnsi="Times New Roman"/>
        </w:rPr>
      </w:pPr>
      <w:bookmarkStart w:id="11" w:name="_Toc393461953"/>
      <w:bookmarkStart w:id="12" w:name="_Toc524076838"/>
      <w:r>
        <w:rPr>
          <w:rFonts w:ascii="Times New Roman" w:hAnsi="Times New Roman"/>
        </w:rPr>
        <w:lastRenderedPageBreak/>
        <w:t>ČÁST II: POKYNY TÝKAJÍCÍ SE ŠABLONY</w:t>
      </w:r>
      <w:bookmarkEnd w:id="11"/>
      <w:bookmarkEnd w:id="12"/>
    </w:p>
    <w:p w:rsidR="00F41B3A" w:rsidRPr="00384ADB" w:rsidRDefault="00F41B3A" w:rsidP="00EA549E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Pokyny uvedené v této příloze týkající se podávání zpráv o velkých expozicích se rovněž p</w:t>
      </w:r>
      <w:r>
        <w:rPr>
          <w:rFonts w:ascii="Times New Roman" w:hAnsi="Times New Roman"/>
          <w:sz w:val="24"/>
        </w:rPr>
        <w:t>o</w:t>
      </w:r>
      <w:r>
        <w:rPr>
          <w:rFonts w:ascii="Times New Roman" w:hAnsi="Times New Roman"/>
          <w:sz w:val="24"/>
        </w:rPr>
        <w:t>užijí na podávání zpráv o významných expozicích podle článků 9 a 11 a v rozsahu, který tyto články vymezují.</w:t>
      </w:r>
    </w:p>
    <w:p w:rsidR="003105C6" w:rsidRPr="00384ADB" w:rsidRDefault="006443CC" w:rsidP="00C52CE2">
      <w:pPr>
        <w:pStyle w:val="Instructionsberschrift2"/>
        <w:numPr>
          <w:ilvl w:val="0"/>
          <w:numId w:val="22"/>
        </w:numPr>
        <w:rPr>
          <w:rFonts w:ascii="Times New Roman" w:hAnsi="Times New Roman" w:cs="Times New Roman"/>
          <w:b/>
          <w:sz w:val="24"/>
          <w:u w:val="none"/>
        </w:rPr>
      </w:pPr>
      <w:bookmarkStart w:id="13" w:name="_Toc393461954"/>
      <w:bookmarkStart w:id="14" w:name="_Toc524076839"/>
      <w:r>
        <w:rPr>
          <w:rFonts w:ascii="Times New Roman" w:hAnsi="Times New Roman"/>
          <w:b/>
          <w:sz w:val="24"/>
          <w:u w:val="none"/>
        </w:rPr>
        <w:t>Rozsah a úroveň podávání zpráv o LE</w:t>
      </w:r>
      <w:bookmarkEnd w:id="13"/>
      <w:bookmarkEnd w:id="14"/>
    </w:p>
    <w:p w:rsidR="000F13EA" w:rsidRPr="0039317F" w:rsidRDefault="000F13EA" w:rsidP="0039317F">
      <w:pPr>
        <w:pStyle w:val="InstructionsText2"/>
        <w:numPr>
          <w:ilvl w:val="0"/>
          <w:numId w:val="27"/>
        </w:numPr>
        <w:rPr>
          <w:rFonts w:eastAsia="Arial"/>
        </w:rPr>
      </w:pPr>
      <w:r>
        <w:t>Za účelem podávání zpráv obsahujících informace o velkých expozicích na samosta</w:t>
      </w:r>
      <w:r>
        <w:t>t</w:t>
      </w:r>
      <w:r>
        <w:t xml:space="preserve">ném základě vůči klientům nebo ekonomicky spjatým skupinám klientů podle čl. 394 odst. 1 nařízení EU č. 575/2013 („CRR“) použijí instituce šablony LE1, LE2 a LE3. </w:t>
      </w:r>
    </w:p>
    <w:p w:rsidR="00B0191A" w:rsidRPr="0039317F" w:rsidRDefault="000F13EA" w:rsidP="0039317F">
      <w:pPr>
        <w:pStyle w:val="InstructionsText2"/>
        <w:rPr>
          <w:rFonts w:eastAsia="Arial"/>
        </w:rPr>
      </w:pPr>
      <w:r>
        <w:t>Za účelem podávání zpráv obsahujících informace o velkých expozicích na konsol</w:t>
      </w:r>
      <w:r>
        <w:t>i</w:t>
      </w:r>
      <w:r>
        <w:t xml:space="preserve">dovaném základě vůči klientům nebo ekonomicky spjatým skupinám klientů podle čl. 394 odst. 1 CRR použijí mateřské instituce v členském státě šablony LE1, LE2 a LE3. </w:t>
      </w:r>
    </w:p>
    <w:p w:rsidR="00B0191A" w:rsidRPr="0039317F" w:rsidRDefault="00A11FB0" w:rsidP="000F0ADE">
      <w:pPr>
        <w:pStyle w:val="InstructionsText2"/>
        <w:rPr>
          <w:rFonts w:eastAsia="Arial"/>
        </w:rPr>
      </w:pPr>
      <w:r>
        <w:t xml:space="preserve">Zprávy se podávají o každé velké expozici definované v souladu s článkem 392 CRR včetně velkých expozic, které se neposuzují z hlediska souladu s požadavky na limit velkých expozic dle článku 395 CRR. </w:t>
      </w:r>
    </w:p>
    <w:p w:rsidR="00B0191A" w:rsidRPr="0039317F" w:rsidRDefault="001C7BF0" w:rsidP="000F0ADE">
      <w:pPr>
        <w:pStyle w:val="InstructionsText2"/>
        <w:rPr>
          <w:rFonts w:eastAsia="Arial"/>
        </w:rPr>
      </w:pPr>
      <w:r>
        <w:t>Za účelem podávání zpráv obsahujících informace o 20 největších expozicích na ko</w:t>
      </w:r>
      <w:r>
        <w:t>n</w:t>
      </w:r>
      <w:r>
        <w:t xml:space="preserve">solidovaném základě vůči klientům nebo ekonomicky spjatým skupinám klientů podle poslední věty čl. 394 odst. 1 CRR použijí mateřské instituce v členském státě, na které se vztahuje část třetí hlava II kapitola 3 CRR, šablony LE1, LE2 a LE3. Částkou, která bude užita pro stanovení těchto 20 největších expozic, je hodnota expozice vyplývající z odečtení částky ve sloupci 320 („Vyňaté částky“) šablony LE2 od částky ve sloupci 210 („Celkem“) téže šablony. </w:t>
      </w:r>
    </w:p>
    <w:p w:rsidR="00B0191A" w:rsidRPr="0039317F" w:rsidRDefault="00C1644D">
      <w:pPr>
        <w:pStyle w:val="InstructionsText2"/>
        <w:rPr>
          <w:rFonts w:eastAsia="Arial"/>
        </w:rPr>
      </w:pPr>
      <w:r>
        <w:t>Za účelem podávání zpráv obsahujících informace o deseti největších expozicích na konsolidovaném základě vůči institucím a o deseti největších expozicích na konsol</w:t>
      </w:r>
      <w:r>
        <w:t>i</w:t>
      </w:r>
      <w:r>
        <w:t>dovaném základě vůči neregulovaným subjektům finančního sektoru podle čl. 394 odst. 2 písm. a) až d) CRR použijí mateřské instituce v členském státě šablony LE1, LE2 a LE3. Pro podávání zpráv o struktuře splatnosti těchto expozic podle čl. 394 odst. 2 písm. e) CRR použijí mateřské instituce v členském státě šablony LE4 a LE5. Částkou, která bude užita pro stanovení těchto 20 největších expozic, je hodnota exp</w:t>
      </w:r>
      <w:r>
        <w:t>o</w:t>
      </w:r>
      <w:r>
        <w:t>zice vypočtená ve sloupci 210 („Celkem“) šablony LE2.</w:t>
      </w:r>
    </w:p>
    <w:p w:rsidR="00B0191A" w:rsidRPr="0039317F" w:rsidRDefault="001E0F83">
      <w:pPr>
        <w:pStyle w:val="InstructionsText2"/>
        <w:rPr>
          <w:rFonts w:eastAsia="Arial"/>
        </w:rPr>
      </w:pPr>
      <w:r>
        <w:t>Údaje o velkých expozicích a příslušných největších expozicích vůči ekonomicky spjatým skupinám klientů a jednotlivým klientům, kteří nepatří do ekonomicky spjaté skupiny klientů, se vykazují v šabloně LE2 (v níž je ekonomicky spjatá skupina klie</w:t>
      </w:r>
      <w:r>
        <w:t>n</w:t>
      </w:r>
      <w:r>
        <w:t xml:space="preserve">tů vykazována jako jediná expozice). </w:t>
      </w:r>
    </w:p>
    <w:p w:rsidR="00B0191A" w:rsidRPr="0039317F" w:rsidRDefault="008A4511">
      <w:pPr>
        <w:pStyle w:val="InstructionsText2"/>
        <w:rPr>
          <w:rFonts w:eastAsia="Arial"/>
        </w:rPr>
      </w:pPr>
      <w:r>
        <w:t>Instituce podávají v šabloně LE3 zprávy o údajích týkajících se expozic vůči jednotl</w:t>
      </w:r>
      <w:r>
        <w:t>i</w:t>
      </w:r>
      <w:r>
        <w:t xml:space="preserve">vým klientům, kteří patří do ekonomicky spjatých skupin klientů vykazovaných v šabloně LE2. Podávání zpráv o expozici vůči jednotlivému klientovi v šabloně LE2 se v šabloně LE3 neopakuje. </w:t>
      </w:r>
    </w:p>
    <w:p w:rsidR="00DA54E3" w:rsidRPr="00384ADB" w:rsidRDefault="00B945FE" w:rsidP="00C52CE2">
      <w:pPr>
        <w:pStyle w:val="Instructionsberschrift2"/>
        <w:numPr>
          <w:ilvl w:val="0"/>
          <w:numId w:val="22"/>
        </w:numPr>
        <w:rPr>
          <w:rFonts w:ascii="Times New Roman" w:hAnsi="Times New Roman" w:cs="Times New Roman"/>
          <w:b/>
          <w:sz w:val="24"/>
          <w:u w:val="none"/>
        </w:rPr>
      </w:pPr>
      <w:bookmarkStart w:id="15" w:name="_Toc393461955"/>
      <w:bookmarkStart w:id="16" w:name="_Toc524076840"/>
      <w:r>
        <w:rPr>
          <w:rFonts w:ascii="Times New Roman" w:hAnsi="Times New Roman"/>
          <w:b/>
          <w:sz w:val="24"/>
          <w:u w:val="none"/>
        </w:rPr>
        <w:lastRenderedPageBreak/>
        <w:t>Struktura šablony LE</w:t>
      </w:r>
      <w:bookmarkEnd w:id="15"/>
      <w:bookmarkEnd w:id="16"/>
    </w:p>
    <w:p w:rsidR="00A11EC0" w:rsidRPr="0039317F" w:rsidRDefault="00B945FE" w:rsidP="0039317F">
      <w:pPr>
        <w:pStyle w:val="InstructionsText2"/>
        <w:rPr>
          <w:rFonts w:eastAsia="Arial"/>
        </w:rPr>
      </w:pPr>
      <w:r>
        <w:t>Sloupce šablony LE1 uvádějí informace týkající se určení jednotlivých klientů nebo ekonomicky spjatých skupin klientů, vůči nimž má instituce expozici.</w:t>
      </w:r>
    </w:p>
    <w:p w:rsidR="00B0191A" w:rsidRPr="0039317F" w:rsidRDefault="009362E7" w:rsidP="0039317F">
      <w:pPr>
        <w:pStyle w:val="InstructionsText2"/>
        <w:rPr>
          <w:rFonts w:eastAsia="Arial"/>
        </w:rPr>
      </w:pPr>
      <w:r>
        <w:t>Sloupce šablony LE2 a LE3</w:t>
      </w:r>
      <w:r w:rsidR="00351F7C">
        <w:t xml:space="preserve"> uvádějí tyto bloky informací:</w:t>
      </w:r>
      <w:r>
        <w:t xml:space="preserve"> </w:t>
      </w:r>
    </w:p>
    <w:p w:rsidR="00B0191A" w:rsidRPr="0039317F" w:rsidRDefault="001E0F83" w:rsidP="007071C0">
      <w:pPr>
        <w:pStyle w:val="InstructionsText2"/>
        <w:numPr>
          <w:ilvl w:val="1"/>
          <w:numId w:val="34"/>
        </w:numPr>
        <w:rPr>
          <w:rFonts w:eastAsia="Arial"/>
        </w:rPr>
      </w:pPr>
      <w:r>
        <w:t>hodnota expozice před uplatněním výjimek a před zohledněním účinku sniž</w:t>
      </w:r>
      <w:r>
        <w:t>o</w:t>
      </w:r>
      <w:r>
        <w:t>vání úvěrového rizika včetně přímé, nepřímé expozice a dodatečných expozic vyplývajících z transakcí, u nichž existuje expozice vůči podkladovým akt</w:t>
      </w:r>
      <w:r>
        <w:t>i</w:t>
      </w:r>
      <w:r>
        <w:t>vům;</w:t>
      </w:r>
    </w:p>
    <w:p w:rsidR="00B0191A" w:rsidRPr="0039317F" w:rsidRDefault="001E0F83" w:rsidP="007071C0">
      <w:pPr>
        <w:pStyle w:val="InstructionsText2"/>
        <w:numPr>
          <w:ilvl w:val="1"/>
          <w:numId w:val="34"/>
        </w:numPr>
        <w:rPr>
          <w:rFonts w:eastAsia="Arial"/>
        </w:rPr>
      </w:pPr>
      <w:r>
        <w:t>účinek výjimek a technik snižování úvěrového rizika;</w:t>
      </w:r>
    </w:p>
    <w:p w:rsidR="00B0191A" w:rsidRPr="0039317F" w:rsidRDefault="001E0F83" w:rsidP="007071C0">
      <w:pPr>
        <w:pStyle w:val="InstructionsText2"/>
        <w:numPr>
          <w:ilvl w:val="1"/>
          <w:numId w:val="34"/>
        </w:numPr>
        <w:rPr>
          <w:rFonts w:eastAsia="Arial"/>
        </w:rPr>
      </w:pPr>
      <w:r>
        <w:t>hodnota expozice po uplatnění výjimek a po zohlednění účinku snižování úv</w:t>
      </w:r>
      <w:r>
        <w:t>ě</w:t>
      </w:r>
      <w:r>
        <w:t xml:space="preserve">rového rizika vypočítaná pro účely čl. 395 odst. 1 CRR. </w:t>
      </w:r>
    </w:p>
    <w:p w:rsidR="00B0191A" w:rsidRPr="0039317F" w:rsidRDefault="00B4530A" w:rsidP="0039317F">
      <w:pPr>
        <w:pStyle w:val="InstructionsText2"/>
        <w:rPr>
          <w:rFonts w:eastAsia="Arial"/>
        </w:rPr>
      </w:pPr>
      <w:r>
        <w:t>Sloupce šablon LE4 a LE5 uvádějí informace týkající se košů splatnosti, do nichž b</w:t>
      </w:r>
      <w:r>
        <w:t>u</w:t>
      </w:r>
      <w:r>
        <w:t>dou alokovány částky deseti největších expozic vůči institucím a rovněž deseti nejvě</w:t>
      </w:r>
      <w:r>
        <w:t>t</w:t>
      </w:r>
      <w:r>
        <w:t xml:space="preserve">ších expozic vůči neregulovaným subjektům finančního sektoru, jejichž splatnost má dle předpokladu nastat. </w:t>
      </w:r>
    </w:p>
    <w:p w:rsidR="006443CC" w:rsidRPr="00384ADB" w:rsidRDefault="00B945FE" w:rsidP="00C52CE2">
      <w:pPr>
        <w:pStyle w:val="Instructionsberschrift2"/>
        <w:numPr>
          <w:ilvl w:val="0"/>
          <w:numId w:val="22"/>
        </w:numPr>
        <w:rPr>
          <w:rFonts w:ascii="Times New Roman" w:eastAsia="Arial" w:hAnsi="Times New Roman" w:cs="Times New Roman"/>
          <w:b/>
          <w:sz w:val="24"/>
          <w:u w:val="none"/>
        </w:rPr>
      </w:pPr>
      <w:bookmarkStart w:id="17" w:name="_Toc393461956"/>
      <w:bookmarkStart w:id="18" w:name="_Toc524076841"/>
      <w:r>
        <w:rPr>
          <w:rFonts w:ascii="Times New Roman" w:hAnsi="Times New Roman"/>
          <w:b/>
          <w:sz w:val="24"/>
          <w:u w:val="none"/>
        </w:rPr>
        <w:t>Definice a obecné pokyny pro účely podávání zpráv o LE</w:t>
      </w:r>
      <w:bookmarkEnd w:id="17"/>
      <w:bookmarkEnd w:id="18"/>
    </w:p>
    <w:p w:rsidR="001E0F83" w:rsidRPr="0039317F" w:rsidRDefault="00B945FE" w:rsidP="0039317F">
      <w:pPr>
        <w:pStyle w:val="InstructionsText2"/>
        <w:rPr>
          <w:rFonts w:eastAsia="Arial"/>
        </w:rPr>
      </w:pPr>
      <w:r>
        <w:t xml:space="preserve">„Ekonomicky spjatá skupina klientů“ je definována v čl. 4 odst. 1 </w:t>
      </w:r>
      <w:proofErr w:type="gramStart"/>
      <w:r>
        <w:t>bodě</w:t>
      </w:r>
      <w:proofErr w:type="gramEnd"/>
      <w:r>
        <w:t xml:space="preserve"> 39 CRR.</w:t>
      </w:r>
    </w:p>
    <w:p w:rsidR="00B0191A" w:rsidRPr="0039317F" w:rsidRDefault="00915A9C" w:rsidP="0039317F">
      <w:pPr>
        <w:pStyle w:val="InstructionsText2"/>
        <w:rPr>
          <w:rFonts w:eastAsia="Arial"/>
        </w:rPr>
      </w:pPr>
      <w:r>
        <w:t>„Neregulované subjekty finančního sektoru“ jsou definován</w:t>
      </w:r>
      <w:r w:rsidR="00351F7C">
        <w:t>y v čl. 142 odst. 1 bodě 5 CRR.</w:t>
      </w:r>
      <w:r>
        <w:t xml:space="preserve"> </w:t>
      </w:r>
    </w:p>
    <w:p w:rsidR="00B0191A" w:rsidRPr="0039317F" w:rsidRDefault="00D441A7" w:rsidP="0039317F">
      <w:pPr>
        <w:pStyle w:val="InstructionsText2"/>
        <w:rPr>
          <w:rFonts w:eastAsia="Arial"/>
        </w:rPr>
      </w:pPr>
      <w:r>
        <w:t>„Instituce“ jsou definov</w:t>
      </w:r>
      <w:r w:rsidR="00351F7C">
        <w:t xml:space="preserve">ány v čl. 4 odst. 1 </w:t>
      </w:r>
      <w:proofErr w:type="gramStart"/>
      <w:r w:rsidR="00351F7C">
        <w:t>bodě</w:t>
      </w:r>
      <w:proofErr w:type="gramEnd"/>
      <w:r w:rsidR="00351F7C">
        <w:t xml:space="preserve"> 3 CRR.</w:t>
      </w:r>
      <w:r>
        <w:t xml:space="preserve"> </w:t>
      </w:r>
    </w:p>
    <w:p w:rsidR="00B0191A" w:rsidRPr="0039317F" w:rsidRDefault="009B34D1" w:rsidP="0039317F">
      <w:pPr>
        <w:pStyle w:val="InstructionsText2"/>
        <w:rPr>
          <w:rFonts w:eastAsia="Arial"/>
        </w:rPr>
      </w:pPr>
      <w:r>
        <w:t>Podávají se zprávy o expozicích vůči „občanskoprávním sdružením“. Instituce navíc přičtou výši úvěru daného občanskoprávního sdružení k zadluženosti každého partn</w:t>
      </w:r>
      <w:r>
        <w:t>e</w:t>
      </w:r>
      <w:r>
        <w:t xml:space="preserve">ra. Expozice vůči občanskoprávním sdružením obsahující poměry budou rozděleny nebo přiděleny partnerům podle jejich příslušných poměrů. O některých konstrukcích (např. o společných účtech, společenstvích dědiců, úvěrech poskytnutých zastupující osobě), které ve skutečnosti fungují jako občanskoprávní sdružení, musí být podávány zprávy jako o těchto sdruženích. </w:t>
      </w:r>
    </w:p>
    <w:p w:rsidR="00910E26" w:rsidRPr="0039317F" w:rsidRDefault="00D441A7" w:rsidP="0039317F">
      <w:pPr>
        <w:pStyle w:val="InstructionsText2"/>
        <w:rPr>
          <w:rFonts w:eastAsia="Arial"/>
        </w:rPr>
      </w:pPr>
      <w:r>
        <w:t>Aktiva a podrozvahové položky se použijí bez uplatnění rizikové váhy nebo stupně r</w:t>
      </w:r>
      <w:r>
        <w:t>i</w:t>
      </w:r>
      <w:r>
        <w:t>zika v souladu s článkem 389 CRR. Konkrétně to znamená, že pro podrozvahové p</w:t>
      </w:r>
      <w:r>
        <w:t>o</w:t>
      </w:r>
      <w:r>
        <w:t>ložky nelze použít úvěrové konverzní faktory.</w:t>
      </w:r>
    </w:p>
    <w:p w:rsidR="00B0191A" w:rsidRPr="0039317F" w:rsidRDefault="0039317F" w:rsidP="0039317F">
      <w:pPr>
        <w:pStyle w:val="InstructionsText2"/>
        <w:rPr>
          <w:rFonts w:eastAsia="Arial"/>
        </w:rPr>
      </w:pPr>
      <w:r>
        <w:t xml:space="preserve"> „Expozice“ jsou definovány v článku 389 CRR. </w:t>
      </w:r>
    </w:p>
    <w:p w:rsidR="00B0191A" w:rsidRPr="0039317F" w:rsidRDefault="001243C8" w:rsidP="00DC7BD2">
      <w:pPr>
        <w:pStyle w:val="InstructionsText2"/>
        <w:numPr>
          <w:ilvl w:val="1"/>
          <w:numId w:val="35"/>
        </w:numPr>
        <w:rPr>
          <w:rFonts w:eastAsia="Arial"/>
        </w:rPr>
      </w:pPr>
      <w:bookmarkStart w:id="19" w:name="_GoBack"/>
      <w:r>
        <w:t>veškerá aktiva nebo podrozvahové položky v investičním a obchodním portf</w:t>
      </w:r>
      <w:r>
        <w:t>o</w:t>
      </w:r>
      <w:r>
        <w:t xml:space="preserve">liu včetně položek uvedených v článku 400 CRR, avšak s výjimkou položek, které spadají pod čl. 390 odst. 6 písm. a) až d) CRR; </w:t>
      </w:r>
    </w:p>
    <w:p w:rsidR="00B0191A" w:rsidRPr="0039317F" w:rsidRDefault="00AB5AE4" w:rsidP="00DC7BD2">
      <w:pPr>
        <w:pStyle w:val="InstructionsText2"/>
        <w:numPr>
          <w:ilvl w:val="1"/>
          <w:numId w:val="35"/>
        </w:numPr>
        <w:rPr>
          <w:rFonts w:eastAsia="Arial"/>
        </w:rPr>
      </w:pPr>
      <w:r>
        <w:t>„nepřímé expozice“, což jsou expozice přidělené ručiteli nebo emitentovi kol</w:t>
      </w:r>
      <w:r>
        <w:t>a</w:t>
      </w:r>
      <w:r>
        <w:t xml:space="preserve">terálu, nikoliv bezprostřednímu dlužníkovi v souladu s článkem 403 CRR. </w:t>
      </w:r>
      <w:bookmarkEnd w:id="19"/>
      <w:r>
        <w:rPr>
          <w:i/>
        </w:rPr>
        <w:lastRenderedPageBreak/>
        <w:t>[Zde uvedené definice se nesmí nijak lišit od definicí stanovených v základním aktu.]</w:t>
      </w:r>
    </w:p>
    <w:p w:rsidR="00B0191A" w:rsidRPr="0039317F" w:rsidRDefault="00F40CD9" w:rsidP="0039317F">
      <w:pPr>
        <w:pStyle w:val="InstructionsText2"/>
        <w:rPr>
          <w:rFonts w:eastAsia="Arial"/>
        </w:rPr>
      </w:pPr>
      <w:r>
        <w:t>Expozice vůči ekonomicky spjatým skupinám klientů se vypočítají v souladu s čl. 390 odst. 5.</w:t>
      </w:r>
    </w:p>
    <w:p w:rsidR="0008722B" w:rsidRPr="0039317F" w:rsidRDefault="008645CF" w:rsidP="0039317F">
      <w:pPr>
        <w:pStyle w:val="InstructionsText2"/>
        <w:rPr>
          <w:rFonts w:eastAsia="Arial"/>
        </w:rPr>
      </w:pPr>
      <w:r>
        <w:t>„Dohody o započtení“ je povoleno brát v úvahu u účinků hodnoty velkých expozic, jak je stanoveno v čl. 390 odst. 1, 2 a 3 CRR. Hodnota expozice derivátového nástroje uvedeného v příloze II CRR se určí podle části třetí hlavy II kapitoly 6 CRR se z</w:t>
      </w:r>
      <w:r>
        <w:t>o</w:t>
      </w:r>
      <w:r>
        <w:t xml:space="preserve">hledněním dopadů smluv o novaci a ostatních dohod o započtení, které se berou v úvahu pro účely těchto metod v souladu s částí třetí hlavou II kapitolou 6 CRR. Hodnota expozice </w:t>
      </w:r>
      <w:proofErr w:type="spellStart"/>
      <w:r>
        <w:t>repo</w:t>
      </w:r>
      <w:proofErr w:type="spellEnd"/>
      <w:r>
        <w:t xml:space="preserve"> obchodů, půjček či výpůjček cenných papírů nebo komodit, transakcí s delší dobou vypořádání a maržových obchodů se může určit buď v souladu s částí třetí hlavou II kapitolou 4, nebo kapitolou 6 CRR. Podle článku 296 CRR se hodnota expozice jediného právního závazku vyplývajícího z dohody o křížovém z</w:t>
      </w:r>
      <w:r>
        <w:t>a</w:t>
      </w:r>
      <w:r>
        <w:t>počtení s protistranou instituce, která zprávu podává, v šablonách LE vykazuje jako „jiné přísliby“.</w:t>
      </w:r>
    </w:p>
    <w:p w:rsidR="00AB28E2" w:rsidRPr="0039317F" w:rsidRDefault="001E0F83" w:rsidP="0039317F">
      <w:pPr>
        <w:pStyle w:val="InstructionsText2"/>
        <w:rPr>
          <w:rFonts w:eastAsia="Arial"/>
        </w:rPr>
      </w:pPr>
      <w:r>
        <w:t>„Hodnota expozice“ se vypočítá podle článku 390 CRR.</w:t>
      </w:r>
    </w:p>
    <w:p w:rsidR="00B0191A" w:rsidRPr="0039317F" w:rsidRDefault="001E0F83" w:rsidP="0039317F">
      <w:pPr>
        <w:pStyle w:val="InstructionsText2"/>
        <w:rPr>
          <w:rFonts w:eastAsia="Arial"/>
        </w:rPr>
      </w:pPr>
      <w:r>
        <w:t>Vliv plného nebo částečného uplatnění výjimek a uznatelných technik snižování úv</w:t>
      </w:r>
      <w:r>
        <w:t>ě</w:t>
      </w:r>
      <w:r>
        <w:t xml:space="preserve">rového rizika pro účely výpočtu expozic pro účely čl. 395 odst. 1 CRR je popsán v článcích 399 až 403 CRR. </w:t>
      </w:r>
    </w:p>
    <w:p w:rsidR="00AB28E2" w:rsidRPr="0039317F" w:rsidRDefault="0017740A" w:rsidP="0039317F">
      <w:pPr>
        <w:pStyle w:val="InstructionsText2"/>
        <w:rPr>
          <w:rFonts w:eastAsia="Arial"/>
        </w:rPr>
      </w:pPr>
      <w:r>
        <w:t xml:space="preserve">O reverzních </w:t>
      </w:r>
      <w:proofErr w:type="spellStart"/>
      <w:r>
        <w:t>repech</w:t>
      </w:r>
      <w:proofErr w:type="spellEnd"/>
      <w:r>
        <w:t>, na která se vztahuje podávání zpráv o velkých expozicích, se p</w:t>
      </w:r>
      <w:r>
        <w:t>o</w:t>
      </w:r>
      <w:r>
        <w:t>dávají zprávy v souladu s čl. 402 odst. 3 CRR. Za předpokladu, že jsou splněna krit</w:t>
      </w:r>
      <w:r>
        <w:t>é</w:t>
      </w:r>
      <w:r>
        <w:t>ria uvedená v čl. 402 odst. 3 CRR, podává instituce zprávu o velkých expozicích vůči každé třetí straně, které odpovídají výši pohledávky protistrany dané transakce vůči dané třetí straně, a nikoli objemu expozice vůči protistraně.</w:t>
      </w:r>
    </w:p>
    <w:p w:rsidR="00B0191A" w:rsidRPr="00384ADB" w:rsidRDefault="00B0191A" w:rsidP="00FD4656">
      <w:pPr>
        <w:rPr>
          <w:rFonts w:eastAsia="Arial"/>
        </w:rPr>
      </w:pPr>
    </w:p>
    <w:p w:rsidR="00C83135" w:rsidRPr="00384ADB" w:rsidRDefault="00296D72" w:rsidP="00C52CE2">
      <w:pPr>
        <w:pStyle w:val="Instructionsberschrift2"/>
        <w:numPr>
          <w:ilvl w:val="0"/>
          <w:numId w:val="22"/>
        </w:numPr>
        <w:rPr>
          <w:rFonts w:ascii="Times New Roman" w:hAnsi="Times New Roman" w:cs="Times New Roman"/>
          <w:b/>
          <w:sz w:val="24"/>
          <w:u w:val="none"/>
        </w:rPr>
      </w:pPr>
      <w:bookmarkStart w:id="20" w:name="_Toc393461957"/>
      <w:bookmarkStart w:id="21" w:name="_Toc524076842"/>
      <w:r>
        <w:rPr>
          <w:rFonts w:ascii="Times New Roman" w:hAnsi="Times New Roman"/>
          <w:b/>
          <w:sz w:val="24"/>
          <w:u w:val="none"/>
        </w:rPr>
        <w:t>C 26.00 – Šablona limitů LE</w:t>
      </w:r>
      <w:bookmarkEnd w:id="20"/>
      <w:bookmarkEnd w:id="21"/>
    </w:p>
    <w:p w:rsidR="00C83135" w:rsidRPr="00384ADB" w:rsidRDefault="00C83135" w:rsidP="00C52CE2">
      <w:pPr>
        <w:pStyle w:val="Instructionsberschrift2"/>
        <w:numPr>
          <w:ilvl w:val="1"/>
          <w:numId w:val="22"/>
        </w:numPr>
        <w:rPr>
          <w:rFonts w:ascii="Times New Roman" w:hAnsi="Times New Roman" w:cs="Times New Roman"/>
          <w:sz w:val="24"/>
        </w:rPr>
      </w:pPr>
      <w:bookmarkStart w:id="22" w:name="_Toc393461958"/>
      <w:bookmarkStart w:id="23" w:name="_Toc524076843"/>
      <w:r>
        <w:rPr>
          <w:rFonts w:ascii="Times New Roman" w:hAnsi="Times New Roman"/>
          <w:sz w:val="24"/>
        </w:rPr>
        <w:t>Pokyny týkající se jednotlivých řádků</w:t>
      </w:r>
      <w:bookmarkEnd w:id="22"/>
      <w:bookmarkEnd w:id="23"/>
    </w:p>
    <w:p w:rsidR="00C83135" w:rsidRPr="00384ADB" w:rsidRDefault="00C83135" w:rsidP="0039317F">
      <w:pPr>
        <w:pStyle w:val="InstructionsText"/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7620"/>
      </w:tblGrid>
      <w:tr w:rsidR="00C83135" w:rsidRPr="00384ADB" w:rsidTr="00C83135">
        <w:tc>
          <w:tcPr>
            <w:tcW w:w="1418" w:type="dxa"/>
            <w:shd w:val="clear" w:color="auto" w:fill="D9D9D9"/>
          </w:tcPr>
          <w:p w:rsidR="00C83135" w:rsidRPr="00384ADB" w:rsidRDefault="00C83135" w:rsidP="0039317F">
            <w:pPr>
              <w:pStyle w:val="InstructionsText"/>
              <w:rPr>
                <w:rStyle w:val="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b/>
                <w:sz w:val="24"/>
              </w:rPr>
              <w:t>Řádky</w:t>
            </w:r>
          </w:p>
        </w:tc>
        <w:tc>
          <w:tcPr>
            <w:tcW w:w="7620" w:type="dxa"/>
            <w:shd w:val="clear" w:color="auto" w:fill="D9D9D9"/>
          </w:tcPr>
          <w:p w:rsidR="00B0191A" w:rsidRPr="00384ADB" w:rsidRDefault="00C83135" w:rsidP="0039317F">
            <w:pPr>
              <w:pStyle w:val="InstructionsText"/>
              <w:rPr>
                <w:rStyle w:val="InstructionsTabelleText"/>
                <w:rFonts w:ascii="Times New Roman" w:hAnsi="Times New Roman"/>
                <w:b/>
                <w:bCs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b/>
                <w:sz w:val="24"/>
              </w:rPr>
              <w:t>Odkazy na právní předpisy a pokyny</w:t>
            </w:r>
          </w:p>
        </w:tc>
      </w:tr>
      <w:tr w:rsidR="00C83135" w:rsidRPr="00384ADB" w:rsidTr="00C83135">
        <w:tc>
          <w:tcPr>
            <w:tcW w:w="1418" w:type="dxa"/>
          </w:tcPr>
          <w:p w:rsidR="00C83135" w:rsidRPr="00384ADB" w:rsidRDefault="00C83135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b/>
                <w:sz w:val="24"/>
              </w:rPr>
              <w:t>010</w:t>
            </w:r>
          </w:p>
        </w:tc>
        <w:tc>
          <w:tcPr>
            <w:tcW w:w="7620" w:type="dxa"/>
          </w:tcPr>
          <w:p w:rsidR="00702E1B" w:rsidRPr="00384ADB" w:rsidRDefault="00702E1B" w:rsidP="0039317F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Jiné subjekty než instituce</w:t>
            </w:r>
          </w:p>
          <w:p w:rsidR="00B0191A" w:rsidRPr="00384ADB" w:rsidRDefault="00B0191A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</w:p>
          <w:p w:rsidR="00B0191A" w:rsidRPr="00384ADB" w:rsidRDefault="002F1033" w:rsidP="000F0ADE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Ustanovení čl. 395 odst. 1, čl. 458 odst. 2 písm. d) bodu 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ii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>), čl. 458 odst. 10 a čl. 459 písm. b) CRR.</w:t>
            </w:r>
          </w:p>
          <w:p w:rsidR="00B0191A" w:rsidRPr="00384ADB" w:rsidRDefault="00B0191A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</w:p>
          <w:p w:rsidR="00B0191A" w:rsidRPr="00384ADB" w:rsidRDefault="00702E1B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Podává se zpráva o výši příslušného limitu pro protistrany jiné než instituce. Tato částka činí 25 % použitelného kapitálu, který se vykazuje v řádku 226 šablony 4 v </w:t>
            </w:r>
            <w:proofErr w:type="gramStart"/>
            <w:r>
              <w:rPr>
                <w:rStyle w:val="FormatvorlageInstructionsTabelleText"/>
                <w:rFonts w:ascii="Times New Roman" w:hAnsi="Times New Roman"/>
                <w:sz w:val="24"/>
              </w:rPr>
              <w:t>příloze I, pokud</w:t>
            </w:r>
            <w:proofErr w:type="gram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se nepoužije přísnější procento v důsledku uplatňování opatření na vnitrostátní úrovni v souladu s článkem 458 CRR nebo s akty v přenesené pravomoci přijatými v souladu s čl. 459 písm. b) CRR. </w:t>
            </w:r>
          </w:p>
          <w:p w:rsidR="00B0191A" w:rsidRPr="00384ADB" w:rsidRDefault="002F4A3D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</w:t>
            </w:r>
          </w:p>
        </w:tc>
      </w:tr>
      <w:tr w:rsidR="00C83135" w:rsidRPr="00384ADB" w:rsidTr="00C83135">
        <w:tc>
          <w:tcPr>
            <w:tcW w:w="1418" w:type="dxa"/>
          </w:tcPr>
          <w:p w:rsidR="00C83135" w:rsidRPr="00384ADB" w:rsidRDefault="00C83135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b/>
                <w:sz w:val="24"/>
              </w:rPr>
              <w:t>020</w:t>
            </w:r>
          </w:p>
        </w:tc>
        <w:tc>
          <w:tcPr>
            <w:tcW w:w="7620" w:type="dxa"/>
          </w:tcPr>
          <w:p w:rsidR="00C83135" w:rsidRPr="00384ADB" w:rsidRDefault="001A4F56" w:rsidP="0039317F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Instituce</w:t>
            </w:r>
          </w:p>
          <w:p w:rsidR="00B0191A" w:rsidRPr="00384ADB" w:rsidRDefault="00B0191A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</w:p>
          <w:p w:rsidR="00B0191A" w:rsidRPr="00384ADB" w:rsidRDefault="001A4F56" w:rsidP="000F0ADE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Ustanovení čl. 395 odst. 1, čl. 458 odst. 2 písm. d) bodu 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ii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>), čl. 458 odst. 10 a čl. 459 písm. b) CRR.</w:t>
            </w:r>
          </w:p>
          <w:p w:rsidR="00B0191A" w:rsidRPr="00384ADB" w:rsidRDefault="00B0191A" w:rsidP="000F0ADE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</w:p>
          <w:p w:rsidR="00B0191A" w:rsidRPr="00384ADB" w:rsidRDefault="001A4F56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Podává se zpráva o výši příslušného limitu pro protistrany, které jsou inst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i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tucemi. Podle čl. 395 odst. 1 CRR je tato částka následující:</w:t>
            </w:r>
          </w:p>
          <w:p w:rsidR="00B0191A" w:rsidRPr="00384ADB" w:rsidRDefault="00B0191A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</w:p>
          <w:p w:rsidR="00B0191A" w:rsidRPr="00384ADB" w:rsidRDefault="00F7508F">
            <w:pPr>
              <w:pStyle w:val="InstructionsText"/>
              <w:numPr>
                <w:ilvl w:val="0"/>
                <w:numId w:val="26"/>
              </w:numPr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pokud je 25 % použitelného kapitálu vyšší než částka 150 milionů EUR (případně nižší limit než 150 milionů EUR stanovený příslu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š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ným orgánem v souladu s čl. 395 odst. 1 třetím pododstavcem CRR), vykazuje se 25 % použitelného kapitálu,</w:t>
            </w:r>
          </w:p>
          <w:p w:rsidR="00704405" w:rsidRPr="00384ADB" w:rsidRDefault="0070440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</w:p>
          <w:p w:rsidR="00B0191A" w:rsidRPr="00384ADB" w:rsidRDefault="00F7508F">
            <w:pPr>
              <w:pStyle w:val="InstructionsText"/>
              <w:numPr>
                <w:ilvl w:val="0"/>
                <w:numId w:val="26"/>
              </w:numPr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pokud je částka 150 milionů EUR (případně nižší limit stanovený příslušným orgánem v souladu s čl. 395 odst. 1 třetím pododstavcem CRR) vyšší než 25 % použitelného kapitálu instituce, vykazuje se částka 150 milionů EUR (případně nižší limit, pokud je příslušným orgánem stanoven). Pokud instituce pro svůj použitelný kapitál st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a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novila podle požadavků čl. 395 odst. 1 druhého pododstavce CRR nižší limit, vykazuje se tento limit. </w:t>
            </w:r>
          </w:p>
          <w:p w:rsidR="007F3F93" w:rsidRPr="00384ADB" w:rsidRDefault="007F3F93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</w:p>
          <w:p w:rsidR="007F3F93" w:rsidRPr="00384ADB" w:rsidRDefault="002F4A3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Tyto limity mohou být přísnější v případě uplatnění vnitrostátních opatření v souladu s čl. 395 odst. 6 nebo s článkem 458 CRR nebo aktů v přenesené pravomoci přijatých v souladu s čl. 459 písm. b) CRR.</w:t>
            </w:r>
          </w:p>
          <w:p w:rsidR="00B0191A" w:rsidRPr="00384ADB" w:rsidRDefault="00B0191A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</w:p>
        </w:tc>
      </w:tr>
      <w:tr w:rsidR="00C83135" w:rsidRPr="00384ADB" w:rsidTr="00C83135">
        <w:tc>
          <w:tcPr>
            <w:tcW w:w="1418" w:type="dxa"/>
          </w:tcPr>
          <w:p w:rsidR="00C83135" w:rsidRPr="00384ADB" w:rsidRDefault="00C83135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b/>
                <w:sz w:val="24"/>
              </w:rPr>
              <w:lastRenderedPageBreak/>
              <w:t>030</w:t>
            </w:r>
          </w:p>
        </w:tc>
        <w:tc>
          <w:tcPr>
            <w:tcW w:w="7620" w:type="dxa"/>
          </w:tcPr>
          <w:p w:rsidR="00702E1B" w:rsidRPr="00384ADB" w:rsidRDefault="001A4F56" w:rsidP="0039317F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Instituce v %</w:t>
            </w:r>
          </w:p>
          <w:p w:rsidR="00B0191A" w:rsidRPr="00384ADB" w:rsidRDefault="00B0191A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</w:p>
          <w:p w:rsidR="00B0191A" w:rsidRPr="00384ADB" w:rsidRDefault="001A4F56" w:rsidP="000F0ADE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Ustanovení čl. 395 odst. 1 a čl. 459 písm. a) CRR.</w:t>
            </w:r>
          </w:p>
          <w:p w:rsidR="00B0191A" w:rsidRPr="00384ADB" w:rsidRDefault="00B0191A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</w:p>
          <w:p w:rsidR="00B0191A" w:rsidRPr="00384ADB" w:rsidRDefault="00586D84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Vykazovanou částkou je absolutní limit (vykazovaný v řádku 020), který je vyjádřen procentem použitelného kapitálu.</w:t>
            </w:r>
          </w:p>
          <w:p w:rsidR="00B0191A" w:rsidRPr="00384ADB" w:rsidRDefault="00B0191A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</w:p>
        </w:tc>
      </w:tr>
    </w:tbl>
    <w:p w:rsidR="00C83135" w:rsidRPr="00384ADB" w:rsidRDefault="00C83135" w:rsidP="0039317F">
      <w:pPr>
        <w:pStyle w:val="InstructionsText"/>
      </w:pPr>
    </w:p>
    <w:p w:rsidR="00634B45" w:rsidRPr="00384ADB" w:rsidRDefault="00296D72" w:rsidP="00C52CE2">
      <w:pPr>
        <w:pStyle w:val="Instructionsberschrift2"/>
        <w:numPr>
          <w:ilvl w:val="0"/>
          <w:numId w:val="22"/>
        </w:numPr>
        <w:rPr>
          <w:rFonts w:ascii="Times New Roman" w:hAnsi="Times New Roman" w:cs="Times New Roman"/>
          <w:b/>
          <w:sz w:val="24"/>
          <w:u w:val="none"/>
        </w:rPr>
      </w:pPr>
      <w:bookmarkStart w:id="24" w:name="_Toc393461959"/>
      <w:bookmarkStart w:id="25" w:name="_Toc524076844"/>
      <w:r>
        <w:rPr>
          <w:rFonts w:ascii="Times New Roman" w:hAnsi="Times New Roman"/>
          <w:b/>
          <w:sz w:val="24"/>
          <w:u w:val="none"/>
        </w:rPr>
        <w:t>C 27.00 – Určení protistrany (LE1)</w:t>
      </w:r>
      <w:bookmarkEnd w:id="24"/>
      <w:bookmarkEnd w:id="25"/>
    </w:p>
    <w:p w:rsidR="00634B45" w:rsidRPr="00384ADB" w:rsidRDefault="00634B45" w:rsidP="00C52CE2">
      <w:pPr>
        <w:pStyle w:val="Instructionsberschrift2"/>
        <w:numPr>
          <w:ilvl w:val="1"/>
          <w:numId w:val="22"/>
        </w:numPr>
        <w:rPr>
          <w:rFonts w:ascii="Times New Roman" w:hAnsi="Times New Roman" w:cs="Times New Roman"/>
          <w:sz w:val="24"/>
        </w:rPr>
      </w:pPr>
      <w:bookmarkStart w:id="26" w:name="_Toc393461960"/>
      <w:bookmarkStart w:id="27" w:name="_Toc524076845"/>
      <w:r>
        <w:rPr>
          <w:rFonts w:ascii="Times New Roman" w:hAnsi="Times New Roman"/>
          <w:sz w:val="24"/>
        </w:rPr>
        <w:t>Pokyny týkající se konkrétních sloupců</w:t>
      </w:r>
      <w:bookmarkEnd w:id="26"/>
      <w:bookmarkEnd w:id="27"/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7620"/>
      </w:tblGrid>
      <w:tr w:rsidR="00634B45" w:rsidRPr="00384ADB" w:rsidTr="00634B45">
        <w:tc>
          <w:tcPr>
            <w:tcW w:w="1418" w:type="dxa"/>
            <w:shd w:val="clear" w:color="auto" w:fill="D9D9D9"/>
          </w:tcPr>
          <w:p w:rsidR="00634B45" w:rsidRPr="00384ADB" w:rsidRDefault="00634B45" w:rsidP="0039317F">
            <w:pPr>
              <w:pStyle w:val="InstructionsText"/>
              <w:rPr>
                <w:rStyle w:val="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b/>
                <w:sz w:val="24"/>
              </w:rPr>
              <w:t>Sloupec</w:t>
            </w:r>
          </w:p>
        </w:tc>
        <w:tc>
          <w:tcPr>
            <w:tcW w:w="7620" w:type="dxa"/>
            <w:shd w:val="clear" w:color="auto" w:fill="D9D9D9"/>
          </w:tcPr>
          <w:p w:rsidR="00634B45" w:rsidRPr="00384ADB" w:rsidRDefault="00634B45" w:rsidP="0039317F">
            <w:pPr>
              <w:pStyle w:val="InstructionsText"/>
              <w:rPr>
                <w:rStyle w:val="InstructionsTabelleText"/>
                <w:rFonts w:ascii="Times New Roman" w:hAnsi="Times New Roman"/>
                <w:b/>
                <w:bCs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b/>
                <w:sz w:val="24"/>
              </w:rPr>
              <w:t>Odkazy na právní předpisy a pokyny</w:t>
            </w:r>
          </w:p>
        </w:tc>
      </w:tr>
      <w:tr w:rsidR="00634B45" w:rsidRPr="00384ADB" w:rsidTr="00634B45">
        <w:tc>
          <w:tcPr>
            <w:tcW w:w="1418" w:type="dxa"/>
          </w:tcPr>
          <w:p w:rsidR="00634B45" w:rsidRPr="00384ADB" w:rsidRDefault="00634B45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b/>
                <w:sz w:val="24"/>
              </w:rPr>
              <w:t>010–070</w:t>
            </w:r>
          </w:p>
        </w:tc>
        <w:tc>
          <w:tcPr>
            <w:tcW w:w="7620" w:type="dxa"/>
          </w:tcPr>
          <w:p w:rsidR="00634B45" w:rsidRPr="00384ADB" w:rsidRDefault="00634B45" w:rsidP="0039317F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Určení protistrany:</w:t>
            </w:r>
          </w:p>
          <w:p w:rsidR="00B0191A" w:rsidRPr="0039317F" w:rsidRDefault="00B0191A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</w:p>
          <w:p w:rsidR="00290EFB" w:rsidRPr="0039317F" w:rsidRDefault="0031054B" w:rsidP="000F0ADE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Instituce podávají zprávy o určení jakékoli protistrany, o které se předkládají informace, v kterékoli ze šablon C 28.00 až C 31.00. Určení ekonomicky spjaté skupiny klientů se nevykazuje, jestliže vnitrostátní systém podávání zpráv nemá pro tuto ekonomicky spjatou skupinu klientů jedinečný kód.</w:t>
            </w:r>
          </w:p>
          <w:p w:rsidR="00B0191A" w:rsidRPr="0039317F" w:rsidRDefault="00B0191A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</w:p>
          <w:p w:rsidR="00B0191A" w:rsidRPr="0039317F" w:rsidRDefault="00634B4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Podle čl. 394 odst. 1 písm. a) CRR podávají instituce zprávu o určení prot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i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strany, vůči které mají velkou expozici, která je definována v článku 392 CRR. </w:t>
            </w:r>
          </w:p>
          <w:p w:rsidR="00B0191A" w:rsidRPr="0039317F" w:rsidRDefault="00B0191A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</w:p>
          <w:p w:rsidR="00B0191A" w:rsidRPr="0039317F" w:rsidRDefault="00634B4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Podle čl. 394 odst. 2 písm. a) CRR podají instituce zprávu o určení protistr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a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lastRenderedPageBreak/>
              <w:t>ny, vůči které mají největší expozice (v případech, kdy je protistrana instit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u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cí nebo neregulovaným subjektem finančního sektoru).</w:t>
            </w:r>
          </w:p>
          <w:p w:rsidR="00B0191A" w:rsidRPr="00384ADB" w:rsidRDefault="00B0191A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</w:p>
        </w:tc>
      </w:tr>
      <w:tr w:rsidR="00CA42A9" w:rsidRPr="00384ADB" w:rsidTr="00186D4E">
        <w:trPr>
          <w:trHeight w:val="992"/>
        </w:trPr>
        <w:tc>
          <w:tcPr>
            <w:tcW w:w="1418" w:type="dxa"/>
          </w:tcPr>
          <w:p w:rsidR="00CA42A9" w:rsidRPr="00384ADB" w:rsidRDefault="00CA42A9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b/>
                <w:sz w:val="24"/>
              </w:rPr>
              <w:lastRenderedPageBreak/>
              <w:t>010</w:t>
            </w:r>
          </w:p>
        </w:tc>
        <w:tc>
          <w:tcPr>
            <w:tcW w:w="7620" w:type="dxa"/>
          </w:tcPr>
          <w:p w:rsidR="00CA42A9" w:rsidRPr="00384ADB" w:rsidRDefault="00CA42A9" w:rsidP="0039317F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Kód</w:t>
            </w:r>
          </w:p>
          <w:p w:rsidR="00B0191A" w:rsidRPr="00384ADB" w:rsidRDefault="00B0191A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</w:p>
          <w:p w:rsidR="00296D72" w:rsidRPr="00384ADB" w:rsidRDefault="00296D72" w:rsidP="000F0ADE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Kód je identifikátorem řádku a musí být pro každý řádek tabulky jedinečný.</w:t>
            </w:r>
          </w:p>
          <w:p w:rsidR="00296D72" w:rsidRDefault="00296D72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</w:p>
          <w:p w:rsidR="00290EFB" w:rsidRPr="00384ADB" w:rsidRDefault="00290EFB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Kód se použije k určení jednotlivých protistran. Účelem tohoto sloupce však je propojit údaje o protistraně v šabloně C 27.00 s expozicemi vykázanými v šablonách C 28.00 – C 31.00. Kód ekonomicky spjaté skupiny klientů se n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e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vykazuje, jestliže vnitrostátní systém podávání zpráv nemá pro tuto ekon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o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micky spjatou skupinu klientů jedinečný kód. Tyto kódy se v průběhu času používají konzistentně.</w:t>
            </w:r>
          </w:p>
          <w:p w:rsidR="00B0191A" w:rsidRPr="00384ADB" w:rsidRDefault="00B0191A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</w:p>
          <w:p w:rsidR="00B0191A" w:rsidRPr="00384ADB" w:rsidRDefault="00CA42A9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Složení kódu závisí na vnitrostátním systému podávání zpráv, pokud není v Unii k dispozici jednotná kodifikace.</w:t>
            </w:r>
          </w:p>
          <w:p w:rsidR="00264B52" w:rsidRPr="00384ADB" w:rsidRDefault="00264B52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</w:p>
        </w:tc>
      </w:tr>
      <w:tr w:rsidR="00634B45" w:rsidRPr="00384ADB" w:rsidTr="0039317F">
        <w:trPr>
          <w:trHeight w:val="60"/>
        </w:trPr>
        <w:tc>
          <w:tcPr>
            <w:tcW w:w="1418" w:type="dxa"/>
          </w:tcPr>
          <w:p w:rsidR="00634B45" w:rsidRPr="00384ADB" w:rsidRDefault="00634B45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b/>
                <w:sz w:val="24"/>
              </w:rPr>
              <w:t>020</w:t>
            </w:r>
          </w:p>
        </w:tc>
        <w:tc>
          <w:tcPr>
            <w:tcW w:w="7620" w:type="dxa"/>
          </w:tcPr>
          <w:p w:rsidR="00634B45" w:rsidRPr="00384ADB" w:rsidRDefault="00634B45" w:rsidP="0039317F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Název</w:t>
            </w:r>
          </w:p>
          <w:p w:rsidR="00B0191A" w:rsidRPr="00384ADB" w:rsidRDefault="00B0191A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</w:p>
          <w:p w:rsidR="00B0191A" w:rsidRPr="00384ADB" w:rsidRDefault="00634B45" w:rsidP="000F0ADE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Pokud se podává zpráva o ekonomicky spjaté skupině klientů, název musí odpovídat názvu této skupiny. Ve všech ostatních případech název odpovídá jednotlivé protistraně.</w:t>
            </w:r>
          </w:p>
          <w:p w:rsidR="00B0191A" w:rsidRPr="00384ADB" w:rsidRDefault="00B0191A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</w:p>
          <w:p w:rsidR="00B0191A" w:rsidRPr="00384ADB" w:rsidRDefault="00634B4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U ekonomicky spjaté skupiny klientů je názvem, o němž je podávána zpr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á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va, název mateřské společnosti, nebo pokud ekonomicky spjatá skupina kl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i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entů mateřskou společnost nemá, použije se obchodní název skupiny.</w:t>
            </w:r>
          </w:p>
          <w:p w:rsidR="00B0191A" w:rsidRPr="00384ADB" w:rsidRDefault="00B0191A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</w:p>
        </w:tc>
      </w:tr>
      <w:tr w:rsidR="00965DED" w:rsidRPr="00384ADB" w:rsidTr="00634B45">
        <w:tc>
          <w:tcPr>
            <w:tcW w:w="1418" w:type="dxa"/>
          </w:tcPr>
          <w:p w:rsidR="00965DED" w:rsidRPr="00384ADB" w:rsidRDefault="00CA42A9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b/>
                <w:sz w:val="24"/>
              </w:rPr>
              <w:t>030</w:t>
            </w:r>
          </w:p>
        </w:tc>
        <w:tc>
          <w:tcPr>
            <w:tcW w:w="7620" w:type="dxa"/>
          </w:tcPr>
          <w:p w:rsidR="00965DED" w:rsidRPr="00384ADB" w:rsidRDefault="00965DED" w:rsidP="0039317F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Kód LEI</w:t>
            </w:r>
          </w:p>
          <w:p w:rsidR="00B0191A" w:rsidRPr="00384ADB" w:rsidRDefault="00B0191A" w:rsidP="0039317F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</w:p>
          <w:p w:rsidR="00B0191A" w:rsidRPr="00384ADB" w:rsidRDefault="00965DED" w:rsidP="000F0ADE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Identifikační kód právnické osoby protistrany. </w:t>
            </w:r>
          </w:p>
          <w:p w:rsidR="00B0191A" w:rsidRPr="00384ADB" w:rsidRDefault="00B0191A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</w:p>
        </w:tc>
      </w:tr>
      <w:tr w:rsidR="00965DED" w:rsidRPr="00384ADB" w:rsidTr="00634B45">
        <w:tc>
          <w:tcPr>
            <w:tcW w:w="1418" w:type="dxa"/>
          </w:tcPr>
          <w:p w:rsidR="00965DED" w:rsidRPr="00384ADB" w:rsidRDefault="00CA42A9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b/>
                <w:sz w:val="24"/>
              </w:rPr>
              <w:t>040</w:t>
            </w:r>
          </w:p>
        </w:tc>
        <w:tc>
          <w:tcPr>
            <w:tcW w:w="7620" w:type="dxa"/>
          </w:tcPr>
          <w:p w:rsidR="00965DED" w:rsidRPr="00384ADB" w:rsidRDefault="00965DED" w:rsidP="0039317F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Sídlo protistrany</w:t>
            </w:r>
          </w:p>
          <w:p w:rsidR="00B0191A" w:rsidRPr="00384ADB" w:rsidRDefault="00B0191A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</w:p>
          <w:p w:rsidR="00B0191A" w:rsidRPr="00384ADB" w:rsidRDefault="008927C3" w:rsidP="000F0ADE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Užije se kód ISO 3166-1-alfa-2 země registrace protistrany (včetně 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pseudo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-ISO kódů pro mezinárodní organizace, které jsou k dispozici v posledním vydání příručky 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Eurostatu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„Balance 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of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Payments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Vademecum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“). </w:t>
            </w:r>
          </w:p>
          <w:p w:rsidR="00B0191A" w:rsidRPr="00384ADB" w:rsidRDefault="00B0191A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</w:p>
          <w:p w:rsidR="00B0191A" w:rsidRPr="00384ADB" w:rsidRDefault="00965DE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U ekonomicky spjatých skupin klientů se sídlo nevykazuje. </w:t>
            </w:r>
          </w:p>
          <w:p w:rsidR="00B0191A" w:rsidRPr="00384ADB" w:rsidRDefault="00B0191A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</w:p>
        </w:tc>
      </w:tr>
      <w:tr w:rsidR="00965DED" w:rsidRPr="00384ADB" w:rsidTr="00634B45">
        <w:tc>
          <w:tcPr>
            <w:tcW w:w="1418" w:type="dxa"/>
          </w:tcPr>
          <w:p w:rsidR="00965DED" w:rsidRPr="00384ADB" w:rsidRDefault="00CA42A9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b/>
                <w:sz w:val="24"/>
              </w:rPr>
              <w:t>050</w:t>
            </w:r>
          </w:p>
        </w:tc>
        <w:tc>
          <w:tcPr>
            <w:tcW w:w="7620" w:type="dxa"/>
          </w:tcPr>
          <w:p w:rsidR="00965DED" w:rsidRPr="00384ADB" w:rsidRDefault="00965DED" w:rsidP="0039317F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Odvětví protistrany</w:t>
            </w:r>
          </w:p>
          <w:p w:rsidR="00B0191A" w:rsidRPr="00384ADB" w:rsidRDefault="00B0191A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</w:p>
          <w:p w:rsidR="00B0191A" w:rsidRPr="00384ADB" w:rsidRDefault="00965DED" w:rsidP="000F0ADE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Každé protistraně bude přiděleno jedno odvětví na základě tříd hospodá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ř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ských odvětví dle FINREP:</w:t>
            </w:r>
          </w:p>
          <w:p w:rsidR="00B0191A" w:rsidRPr="00384ADB" w:rsidRDefault="00B0191A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</w:p>
          <w:p w:rsidR="00470630" w:rsidRDefault="00965DED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i) centrální banky;</w:t>
            </w:r>
          </w:p>
          <w:p w:rsidR="00470630" w:rsidRDefault="00965DED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ii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>)</w:t>
            </w:r>
            <w:r>
              <w:tab/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vládní instituce;</w:t>
            </w:r>
          </w:p>
          <w:p w:rsidR="00470630" w:rsidRDefault="00965DED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iii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>)</w:t>
            </w:r>
            <w:r>
              <w:tab/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úvěrové instituce;</w:t>
            </w:r>
          </w:p>
          <w:p w:rsidR="00470630" w:rsidRDefault="00965DED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iv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>)</w:t>
            </w:r>
            <w:r>
              <w:tab/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investiční podniky, jak jsou definovány v čl. 4 odst. 1 </w:t>
            </w:r>
            <w:proofErr w:type="gramStart"/>
            <w:r>
              <w:rPr>
                <w:rStyle w:val="FormatvorlageInstructionsTabelleText"/>
                <w:rFonts w:ascii="Times New Roman" w:hAnsi="Times New Roman"/>
                <w:sz w:val="24"/>
              </w:rPr>
              <w:t>bodě</w:t>
            </w:r>
            <w:proofErr w:type="gram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2 CRR.</w:t>
            </w:r>
          </w:p>
          <w:p w:rsidR="00470630" w:rsidRDefault="00470630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v)</w:t>
            </w:r>
            <w:r>
              <w:tab/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jiné finanční instituce (kromě investičních podniků);</w:t>
            </w:r>
          </w:p>
          <w:p w:rsidR="00470630" w:rsidRDefault="00965DED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vi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>)</w:t>
            </w:r>
            <w:r>
              <w:tab/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nefinanční podniky;</w:t>
            </w:r>
          </w:p>
          <w:p w:rsidR="00B0191A" w:rsidRPr="00384ADB" w:rsidRDefault="00965DED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lastRenderedPageBreak/>
              <w:t>vii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>)</w:t>
            </w:r>
            <w:r>
              <w:tab/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domácnosti. </w:t>
            </w:r>
          </w:p>
          <w:p w:rsidR="00B0191A" w:rsidRDefault="00B0191A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</w:p>
          <w:p w:rsidR="00B0191A" w:rsidRPr="00384ADB" w:rsidRDefault="00965DED" w:rsidP="000F0ADE">
            <w:pPr>
              <w:pStyle w:val="InstructionsText"/>
              <w:rPr>
                <w:rStyle w:val="FormatvorlageInstructionsTabelleText"/>
                <w:rFonts w:ascii="Times New Roman" w:hAnsi="Times New Roman"/>
                <w:i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U ekonomicky spjatých skupin klientů se odvětví nevykazuje.</w:t>
            </w:r>
          </w:p>
          <w:p w:rsidR="00B0191A" w:rsidRPr="00384ADB" w:rsidRDefault="00B0191A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</w:p>
        </w:tc>
      </w:tr>
      <w:tr w:rsidR="00965DED" w:rsidRPr="00384ADB" w:rsidTr="00634B45">
        <w:tc>
          <w:tcPr>
            <w:tcW w:w="1418" w:type="dxa"/>
          </w:tcPr>
          <w:p w:rsidR="00965DED" w:rsidRPr="00384ADB" w:rsidRDefault="00CA42A9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b/>
                <w:sz w:val="24"/>
              </w:rPr>
              <w:lastRenderedPageBreak/>
              <w:t>060</w:t>
            </w:r>
          </w:p>
        </w:tc>
        <w:tc>
          <w:tcPr>
            <w:tcW w:w="7620" w:type="dxa"/>
          </w:tcPr>
          <w:p w:rsidR="00965DED" w:rsidRPr="00384ADB" w:rsidRDefault="00965DED" w:rsidP="0039317F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Kód NACE</w:t>
            </w:r>
          </w:p>
          <w:p w:rsidR="00B0191A" w:rsidRPr="00384ADB" w:rsidRDefault="00B0191A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</w:p>
          <w:p w:rsidR="00B0191A" w:rsidRPr="00384ADB" w:rsidRDefault="00965DED" w:rsidP="000F0ADE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U daného hospodářského odvětví se použijí kódy NACE (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Nomenclature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st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a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tistique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des 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activités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économiques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dans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l’Union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européenne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= statistická klasifikace ekonomických činností v Evropské unii). </w:t>
            </w:r>
          </w:p>
          <w:p w:rsidR="00B0191A" w:rsidRPr="00384ADB" w:rsidRDefault="00B0191A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</w:p>
          <w:p w:rsidR="00B0191A" w:rsidRPr="00384ADB" w:rsidRDefault="00965DE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Tento sloupec se použije pouze pro protistrany „Jiné finanční institu</w:t>
            </w:r>
            <w:r w:rsidR="00351F7C">
              <w:rPr>
                <w:rStyle w:val="FormatvorlageInstructionsTabelleText"/>
                <w:rFonts w:ascii="Times New Roman" w:hAnsi="Times New Roman"/>
                <w:sz w:val="24"/>
              </w:rPr>
              <w:t>ce“ a „Nefinanční podniky“.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Kódy NACE se použijí pro „Nefinanční podniky“ s jednou úrovní detailů (např. „F – Stavebnictví“) a pro „Jiné finanční instit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u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ce“ se dvěma úrovněmi detailů, které poskytují samostatné informace o p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o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jišťovací činnosti (např. „K65 – Pojištění, zajištění a penzijní financování, kromě povi</w:t>
            </w:r>
            <w:r w:rsidR="009B4949">
              <w:rPr>
                <w:rStyle w:val="FormatvorlageInstructionsTabelleText"/>
                <w:rFonts w:ascii="Times New Roman" w:hAnsi="Times New Roman"/>
                <w:sz w:val="24"/>
              </w:rPr>
              <w:t>nného sociálního zabezpečení“).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</w:t>
            </w:r>
          </w:p>
          <w:p w:rsidR="00B0191A" w:rsidRPr="00384ADB" w:rsidRDefault="00B0191A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</w:p>
          <w:p w:rsidR="00B0191A" w:rsidRPr="00384ADB" w:rsidRDefault="00965DE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Hospodářská odvětví „Jiné finanční instituce“ a „Nefinanční podniky“ jsou klasifikována na základě rozpisu protistran dle FINREP.</w:t>
            </w:r>
          </w:p>
          <w:p w:rsidR="00B0191A" w:rsidRPr="00384ADB" w:rsidRDefault="00B0191A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</w:p>
          <w:p w:rsidR="00B0191A" w:rsidRPr="00384ADB" w:rsidRDefault="00965DE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U ekonomicky spjatých skupin klientů se kód NACE nevykazuje.</w:t>
            </w:r>
          </w:p>
          <w:p w:rsidR="00B0191A" w:rsidRPr="00384ADB" w:rsidRDefault="00B0191A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</w:p>
        </w:tc>
      </w:tr>
      <w:tr w:rsidR="00965DED" w:rsidRPr="00384ADB" w:rsidTr="00634B45">
        <w:tc>
          <w:tcPr>
            <w:tcW w:w="1418" w:type="dxa"/>
          </w:tcPr>
          <w:p w:rsidR="00965DED" w:rsidRPr="00384ADB" w:rsidRDefault="00CA42A9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b/>
                <w:sz w:val="24"/>
              </w:rPr>
              <w:t>070</w:t>
            </w:r>
          </w:p>
        </w:tc>
        <w:tc>
          <w:tcPr>
            <w:tcW w:w="7620" w:type="dxa"/>
          </w:tcPr>
          <w:p w:rsidR="00965DED" w:rsidRPr="00384ADB" w:rsidRDefault="00965DED" w:rsidP="0039317F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Typ protistrany </w:t>
            </w:r>
          </w:p>
          <w:p w:rsidR="00B0191A" w:rsidRPr="00384ADB" w:rsidRDefault="00B0191A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</w:p>
          <w:p w:rsidR="00B0191A" w:rsidRPr="00384ADB" w:rsidRDefault="00351F7C" w:rsidP="000F0ADE">
            <w:pPr>
              <w:pStyle w:val="InstructionsText"/>
              <w:rPr>
                <w:rFonts w:eastAsia="Arial"/>
              </w:rPr>
            </w:pPr>
            <w:r>
              <w:t>Ustanovení čl. 394 odst. 2 CRR.</w:t>
            </w:r>
            <w:r w:rsidR="00965DED">
              <w:rPr>
                <w:i/>
              </w:rPr>
              <w:t xml:space="preserve"> </w:t>
            </w:r>
          </w:p>
          <w:p w:rsidR="00B0191A" w:rsidRPr="00384ADB" w:rsidRDefault="00B0191A">
            <w:pPr>
              <w:pStyle w:val="InstructionsText"/>
              <w:rPr>
                <w:rFonts w:eastAsia="Arial"/>
              </w:rPr>
            </w:pPr>
          </w:p>
          <w:p w:rsidR="00B0191A" w:rsidRPr="00384ADB" w:rsidRDefault="00965DE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Typ protistrany deseti největších expozic vůči institucím a deseti největších expozic vůči neregulovaným subjektům finančního sektoru musí být specif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i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kován pomocí „I“ pro instituce nebo „U“ pro neregulované subjekty finan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č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ního sektoru. </w:t>
            </w:r>
          </w:p>
          <w:p w:rsidR="00B0191A" w:rsidRPr="00384ADB" w:rsidRDefault="00B0191A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</w:p>
        </w:tc>
      </w:tr>
    </w:tbl>
    <w:p w:rsidR="00634B45" w:rsidRPr="00384ADB" w:rsidRDefault="00634B45" w:rsidP="0039317F"/>
    <w:p w:rsidR="003105C6" w:rsidRPr="00384ADB" w:rsidRDefault="00296D72" w:rsidP="00C52CE2">
      <w:pPr>
        <w:pStyle w:val="Instructionsberschrift2"/>
        <w:numPr>
          <w:ilvl w:val="0"/>
          <w:numId w:val="22"/>
        </w:numPr>
        <w:rPr>
          <w:rFonts w:ascii="Times New Roman" w:hAnsi="Times New Roman" w:cs="Times New Roman"/>
          <w:sz w:val="24"/>
          <w:u w:val="none"/>
        </w:rPr>
      </w:pPr>
      <w:bookmarkStart w:id="28" w:name="_Toc393461961"/>
      <w:bookmarkStart w:id="29" w:name="_Toc524076846"/>
      <w:r>
        <w:rPr>
          <w:rFonts w:ascii="Times New Roman" w:hAnsi="Times New Roman"/>
          <w:b/>
          <w:sz w:val="24"/>
          <w:u w:val="none"/>
        </w:rPr>
        <w:t>C 28.00 – Expozice v investičním a obchodním portfoliu (LE2)</w:t>
      </w:r>
      <w:bookmarkEnd w:id="28"/>
      <w:bookmarkEnd w:id="29"/>
    </w:p>
    <w:p w:rsidR="003105C6" w:rsidRPr="00384ADB" w:rsidRDefault="003105C6" w:rsidP="00C52CE2">
      <w:pPr>
        <w:pStyle w:val="Instructionsberschrift2"/>
        <w:numPr>
          <w:ilvl w:val="1"/>
          <w:numId w:val="22"/>
        </w:numPr>
        <w:rPr>
          <w:rFonts w:ascii="Times New Roman" w:hAnsi="Times New Roman" w:cs="Times New Roman"/>
          <w:sz w:val="24"/>
        </w:rPr>
      </w:pPr>
      <w:bookmarkStart w:id="30" w:name="_Toc308175821"/>
      <w:bookmarkStart w:id="31" w:name="_Toc310414968"/>
      <w:bookmarkStart w:id="32" w:name="_Toc393461962"/>
      <w:bookmarkStart w:id="33" w:name="_Toc524076847"/>
      <w:r>
        <w:rPr>
          <w:rFonts w:ascii="Times New Roman" w:hAnsi="Times New Roman"/>
          <w:sz w:val="24"/>
        </w:rPr>
        <w:t>Pokyny týkající se konkrétních</w:t>
      </w:r>
      <w:bookmarkEnd w:id="30"/>
      <w:bookmarkEnd w:id="31"/>
      <w:r>
        <w:rPr>
          <w:rFonts w:ascii="Times New Roman" w:hAnsi="Times New Roman"/>
          <w:sz w:val="24"/>
        </w:rPr>
        <w:t xml:space="preserve"> sloupců</w:t>
      </w:r>
      <w:bookmarkEnd w:id="32"/>
      <w:bookmarkEnd w:id="33"/>
    </w:p>
    <w:p w:rsidR="00D946DB" w:rsidRPr="00384ADB" w:rsidRDefault="00D946DB" w:rsidP="0039317F">
      <w:pPr>
        <w:pStyle w:val="InstructionsText"/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7620"/>
      </w:tblGrid>
      <w:tr w:rsidR="00D946DB" w:rsidRPr="00384ADB" w:rsidTr="00E17043">
        <w:tc>
          <w:tcPr>
            <w:tcW w:w="1418" w:type="dxa"/>
            <w:shd w:val="clear" w:color="auto" w:fill="D9D9D9"/>
          </w:tcPr>
          <w:p w:rsidR="00D946DB" w:rsidRPr="00384ADB" w:rsidRDefault="005E7263" w:rsidP="0039317F">
            <w:pPr>
              <w:pStyle w:val="InstructionsText"/>
              <w:rPr>
                <w:rStyle w:val="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b/>
                <w:sz w:val="24"/>
              </w:rPr>
              <w:t>Sloupec</w:t>
            </w:r>
          </w:p>
        </w:tc>
        <w:tc>
          <w:tcPr>
            <w:tcW w:w="7620" w:type="dxa"/>
            <w:shd w:val="clear" w:color="auto" w:fill="D9D9D9"/>
          </w:tcPr>
          <w:p w:rsidR="00B0191A" w:rsidRPr="00384ADB" w:rsidRDefault="003105C6" w:rsidP="0039317F">
            <w:pPr>
              <w:pStyle w:val="InstructionsText"/>
              <w:rPr>
                <w:rStyle w:val="InstructionsTabelleText"/>
                <w:rFonts w:ascii="Times New Roman" w:hAnsi="Times New Roman"/>
                <w:b/>
                <w:bCs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b/>
                <w:sz w:val="24"/>
              </w:rPr>
              <w:t>Odkazy na právní předpisy a pokyny</w:t>
            </w:r>
          </w:p>
        </w:tc>
      </w:tr>
      <w:tr w:rsidR="00D946DB" w:rsidRPr="00384ADB" w:rsidTr="00E17043">
        <w:tc>
          <w:tcPr>
            <w:tcW w:w="1418" w:type="dxa"/>
          </w:tcPr>
          <w:p w:rsidR="00D946DB" w:rsidRPr="00384ADB" w:rsidRDefault="00CA42A9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b/>
                <w:sz w:val="24"/>
              </w:rPr>
              <w:t>010</w:t>
            </w:r>
          </w:p>
          <w:p w:rsidR="00CA42A9" w:rsidRPr="00384ADB" w:rsidRDefault="00CA42A9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</w:p>
        </w:tc>
        <w:tc>
          <w:tcPr>
            <w:tcW w:w="7620" w:type="dxa"/>
          </w:tcPr>
          <w:p w:rsidR="00B0191A" w:rsidRPr="00384ADB" w:rsidRDefault="00394753" w:rsidP="0039317F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Kód</w:t>
            </w:r>
          </w:p>
          <w:p w:rsidR="00B0191A" w:rsidRPr="00384ADB" w:rsidRDefault="00B0191A" w:rsidP="000F0ADE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</w:p>
          <w:p w:rsidR="007449CB" w:rsidRPr="007449CB" w:rsidRDefault="007449CB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Jestliže je na vnitrostátní úrovni pro ekonomicky spjatou skupinu klientů k dispozici jedinečný kód, vykáže se tento kód jako kód této ekonomicky spj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a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té skupiny klientů. Pokud na vnitrostátní úrovni žádný jedinečný kód není, vykáže se kód mateřské společnosti uvedený v šabloně C 27.00.</w:t>
            </w:r>
          </w:p>
          <w:p w:rsidR="007449CB" w:rsidRPr="007449CB" w:rsidRDefault="007449CB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</w:p>
          <w:p w:rsidR="007449CB" w:rsidRPr="007449CB" w:rsidRDefault="007449CB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V případech, že ekonomicky spjatá skupina klientů mateřskou společnost nemá, vykáže se kód jednotlivé jednotky, kterou instituce považuje v rámci ekonomicky spjaté skupiny klientů za nejvýznamnější. Ve všech ostatních případech musí kód odpovídat jednotlivé protistraně.</w:t>
            </w:r>
          </w:p>
          <w:p w:rsidR="007449CB" w:rsidRPr="007449CB" w:rsidRDefault="007449CB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</w:p>
          <w:p w:rsidR="007449CB" w:rsidRPr="007449CB" w:rsidRDefault="007449CB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Tyto kódy se v průběhu času používají konzistentně. </w:t>
            </w:r>
          </w:p>
          <w:p w:rsidR="007449CB" w:rsidRPr="007449CB" w:rsidRDefault="007449CB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</w:p>
          <w:p w:rsidR="007449CB" w:rsidRDefault="007449CB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Složení kódu závisí na vnitrostátním systému podávání zpráv, pokud není v EU k dispozici jednotná kodifikace.</w:t>
            </w:r>
          </w:p>
          <w:p w:rsidR="00B0191A" w:rsidRPr="00384ADB" w:rsidRDefault="00B0191A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</w:p>
        </w:tc>
      </w:tr>
      <w:tr w:rsidR="00BB3751" w:rsidRPr="00384ADB" w:rsidTr="00E17043">
        <w:tc>
          <w:tcPr>
            <w:tcW w:w="1418" w:type="dxa"/>
          </w:tcPr>
          <w:p w:rsidR="00BB3751" w:rsidRPr="00384ADB" w:rsidRDefault="00CA42A9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b/>
                <w:sz w:val="24"/>
              </w:rPr>
              <w:lastRenderedPageBreak/>
              <w:t>020</w:t>
            </w:r>
          </w:p>
        </w:tc>
        <w:tc>
          <w:tcPr>
            <w:tcW w:w="7620" w:type="dxa"/>
          </w:tcPr>
          <w:p w:rsidR="00BB3751" w:rsidRPr="00384ADB" w:rsidRDefault="00BB3751" w:rsidP="0039317F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Skupinová nebo individuální</w:t>
            </w:r>
          </w:p>
          <w:p w:rsidR="00B0191A" w:rsidRPr="00384ADB" w:rsidRDefault="00B0191A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</w:p>
          <w:p w:rsidR="00B0191A" w:rsidRPr="00384ADB" w:rsidRDefault="00BB3751" w:rsidP="000F0ADE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Instituce uvede „1“ v případě podávání zpráv o expozicích vůči jednotlivým klientům nebo „2“ v případě podávání zpráv o expozicích vůči ekonomicky spjatým skupinám klientů.</w:t>
            </w:r>
          </w:p>
          <w:p w:rsidR="00B0191A" w:rsidRPr="00384ADB" w:rsidRDefault="00B0191A" w:rsidP="000F0ADE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</w:p>
        </w:tc>
      </w:tr>
      <w:tr w:rsidR="00BB3751" w:rsidRPr="00384ADB" w:rsidTr="00E17043">
        <w:tc>
          <w:tcPr>
            <w:tcW w:w="1418" w:type="dxa"/>
          </w:tcPr>
          <w:p w:rsidR="00BB3751" w:rsidRPr="00384ADB" w:rsidRDefault="00CA42A9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b/>
                <w:sz w:val="24"/>
              </w:rPr>
              <w:t>030</w:t>
            </w:r>
          </w:p>
        </w:tc>
        <w:tc>
          <w:tcPr>
            <w:tcW w:w="7620" w:type="dxa"/>
          </w:tcPr>
          <w:p w:rsidR="00BB3751" w:rsidRPr="00384ADB" w:rsidRDefault="00BB3751" w:rsidP="0039317F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Transakce s expozicí vůči podkladovým aktivům </w:t>
            </w:r>
          </w:p>
          <w:p w:rsidR="00B0191A" w:rsidRPr="00384ADB" w:rsidRDefault="00B0191A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</w:p>
          <w:p w:rsidR="00B0191A" w:rsidRPr="00384ADB" w:rsidRDefault="00BB3751" w:rsidP="000F0ADE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Ustanovení čl. 390 odst. 7 CRR.</w:t>
            </w:r>
          </w:p>
          <w:p w:rsidR="00B0191A" w:rsidRPr="00384ADB" w:rsidRDefault="00B0191A" w:rsidP="000F0ADE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</w:p>
          <w:p w:rsidR="00B0191A" w:rsidRPr="00384ADB" w:rsidRDefault="00BB3751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V souladu s dalšími technickými specifikacemi příslušných vnitrostátních orgánů se v případě, že má instituce expozice vůči protistraně, o níž se p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o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dává zpráva, na základě transakce, u níž existuje expozice vůči podklad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o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vým aktivům, uvede se „ano“; v opačném případě se uvede „ne“. </w:t>
            </w:r>
          </w:p>
          <w:p w:rsidR="00B0191A" w:rsidRPr="00384ADB" w:rsidRDefault="00B0191A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</w:p>
        </w:tc>
      </w:tr>
      <w:tr w:rsidR="00BB3751" w:rsidRPr="00384ADB" w:rsidTr="00E17043">
        <w:tc>
          <w:tcPr>
            <w:tcW w:w="1418" w:type="dxa"/>
          </w:tcPr>
          <w:p w:rsidR="00BB3751" w:rsidRPr="00384ADB" w:rsidRDefault="00CA42A9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b/>
                <w:sz w:val="24"/>
              </w:rPr>
              <w:t>040-180</w:t>
            </w:r>
          </w:p>
        </w:tc>
        <w:tc>
          <w:tcPr>
            <w:tcW w:w="7620" w:type="dxa"/>
          </w:tcPr>
          <w:p w:rsidR="00BB3751" w:rsidRPr="00384ADB" w:rsidRDefault="00BB3751" w:rsidP="0039317F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Původní expozice</w:t>
            </w:r>
          </w:p>
          <w:p w:rsidR="00B0191A" w:rsidRPr="00384ADB" w:rsidRDefault="00B0191A" w:rsidP="0039317F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</w:p>
          <w:p w:rsidR="00B0191A" w:rsidRPr="00384ADB" w:rsidRDefault="00BB3751" w:rsidP="000F0ADE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Články 24, 389, 390 a 392</w:t>
            </w:r>
            <w:r>
              <w:t xml:space="preserve"> 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CRR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.</w:t>
            </w:r>
          </w:p>
          <w:p w:rsidR="00B0191A" w:rsidRPr="00384ADB" w:rsidRDefault="00B0191A" w:rsidP="000F0ADE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</w:p>
          <w:p w:rsidR="00B0191A" w:rsidRPr="0039317F" w:rsidRDefault="00C92E09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V tomto bloku sloupců podává instituce zprávy o původních expozicích u přímých expozic, nepřímých expozic a dodatečných expozic vyplývajících z transakcí, u nichž existuje expozice vůči podkladovým aktivům.</w:t>
            </w:r>
          </w:p>
          <w:p w:rsidR="00B0191A" w:rsidRPr="0039317F" w:rsidRDefault="00B0191A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</w:pPr>
          </w:p>
          <w:p w:rsidR="00B0191A" w:rsidRPr="0039317F" w:rsidRDefault="00BB3751" w:rsidP="0039317F">
            <w:pPr>
              <w:pStyle w:val="InstructionsText"/>
            </w:pPr>
            <w:r>
              <w:t xml:space="preserve">Podle článku 389 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CRR</w:t>
            </w:r>
            <w:r>
              <w:t xml:space="preserve"> se aktiva a podrozvahové položky použijí bez upla</w:t>
            </w:r>
            <w:r>
              <w:t>t</w:t>
            </w:r>
            <w:r>
              <w:t>nění rizikové váhy nebo stupně rizika. Konkrétně to znamená, že pro podrozvahové položky nelze po</w:t>
            </w:r>
            <w:r w:rsidR="00351F7C">
              <w:t>užít úvěrové konverzní faktory.</w:t>
            </w:r>
            <w:r>
              <w:t xml:space="preserve"> </w:t>
            </w:r>
          </w:p>
          <w:p w:rsidR="00B0191A" w:rsidRPr="0039317F" w:rsidRDefault="00B0191A" w:rsidP="0039317F">
            <w:pPr>
              <w:pStyle w:val="InstructionsText"/>
            </w:pPr>
          </w:p>
          <w:p w:rsidR="00B0191A" w:rsidRPr="0039317F" w:rsidRDefault="00BB3751" w:rsidP="0039317F">
            <w:pPr>
              <w:pStyle w:val="InstructionsText"/>
            </w:pPr>
            <w:r>
              <w:t>Tyto sloupce musí obsahovat původní expozici, tj. hodnotu expozice bez o</w:t>
            </w:r>
            <w:r>
              <w:t>h</w:t>
            </w:r>
            <w:r>
              <w:t>ledu na oceňovací úpravy a rezervy, které se odečtou ve sloupci 210.</w:t>
            </w:r>
          </w:p>
          <w:p w:rsidR="00B0191A" w:rsidRPr="0039317F" w:rsidRDefault="00B0191A" w:rsidP="0039317F">
            <w:pPr>
              <w:pStyle w:val="InstructionsText"/>
            </w:pPr>
          </w:p>
          <w:p w:rsidR="00B0191A" w:rsidRPr="0039317F" w:rsidRDefault="00C92E09" w:rsidP="0039317F">
            <w:pPr>
              <w:pStyle w:val="InstructionsText"/>
            </w:pPr>
            <w:r>
              <w:t xml:space="preserve">Definice a výpočet hodnoty expozice jsou stanoveny v článcích 389 a 390 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CRR</w:t>
            </w:r>
            <w:r>
              <w:t xml:space="preserve">. Oceňování aktiv a podrozvahových položek se provádí v souladu s účetním rámcem, kterému instituce podléhá podle článku 24 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CRR</w:t>
            </w:r>
            <w:r>
              <w:t>.</w:t>
            </w:r>
          </w:p>
          <w:p w:rsidR="00B0191A" w:rsidRPr="0039317F" w:rsidRDefault="00B0191A" w:rsidP="0039317F">
            <w:pPr>
              <w:pStyle w:val="InstructionsText"/>
            </w:pPr>
          </w:p>
          <w:p w:rsidR="00B0191A" w:rsidRPr="0039317F" w:rsidRDefault="00BB3751" w:rsidP="0039317F">
            <w:pPr>
              <w:pStyle w:val="InstructionsText"/>
            </w:pPr>
            <w:r>
              <w:t>V těchto sloupcích se uvedou expozice odečtené z kapitálu, které nejsou e</w:t>
            </w:r>
            <w:r>
              <w:t>x</w:t>
            </w:r>
            <w:r>
              <w:t>pozicemi v souladu s čl. 390 odst. 6 písm. e). Tyto expozice se odečtou ve sloupci 200.</w:t>
            </w:r>
          </w:p>
          <w:p w:rsidR="00B0191A" w:rsidRPr="0039317F" w:rsidRDefault="00B0191A" w:rsidP="0039317F">
            <w:pPr>
              <w:pStyle w:val="InstructionsText"/>
            </w:pPr>
          </w:p>
          <w:p w:rsidR="00B0191A" w:rsidRPr="0039317F" w:rsidRDefault="00BB3751" w:rsidP="0039317F">
            <w:pPr>
              <w:pStyle w:val="InstructionsText"/>
            </w:pPr>
            <w:r>
              <w:t xml:space="preserve">Expozice uvedené v čl. 390 odst. 6 písm. a) až d) 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CRR</w:t>
            </w:r>
            <w:r>
              <w:t xml:space="preserve"> se v těchto sloupcích neuvádějí. </w:t>
            </w:r>
          </w:p>
          <w:p w:rsidR="00B0191A" w:rsidRPr="0039317F" w:rsidRDefault="00B0191A" w:rsidP="0039317F">
            <w:pPr>
              <w:pStyle w:val="InstructionsText"/>
            </w:pPr>
          </w:p>
          <w:p w:rsidR="00B0191A" w:rsidRPr="0039317F" w:rsidRDefault="00BB3751" w:rsidP="0039317F">
            <w:pPr>
              <w:pStyle w:val="InstructionsText"/>
              <w:rPr>
                <w:rFonts w:eastAsia="Arial"/>
              </w:rPr>
            </w:pPr>
            <w:r>
              <w:t xml:space="preserve">Původní expozice musí zahrnovat veškerá aktiva a podrozvahové položky podle článku 400 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CRR</w:t>
            </w:r>
            <w:r>
              <w:t xml:space="preserve">. Výjimky pro účely čl. 395 odst. 1 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CRR</w:t>
            </w:r>
            <w:r>
              <w:t xml:space="preserve"> se odečítají ve sloupci 320.</w:t>
            </w:r>
          </w:p>
          <w:p w:rsidR="00B0191A" w:rsidRPr="00384ADB" w:rsidRDefault="00B0191A" w:rsidP="0039317F">
            <w:pPr>
              <w:pStyle w:val="InstructionsText"/>
              <w:rPr>
                <w:rFonts w:eastAsia="Arial"/>
              </w:rPr>
            </w:pPr>
          </w:p>
          <w:p w:rsidR="00B0191A" w:rsidRPr="00384ADB" w:rsidRDefault="00BB3751" w:rsidP="000F0ADE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Zahrnou se expozice z investičního i obchodního portfolia.</w:t>
            </w:r>
          </w:p>
          <w:p w:rsidR="00B0191A" w:rsidRPr="00384ADB" w:rsidRDefault="00B0191A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</w:pPr>
          </w:p>
          <w:p w:rsidR="00B0191A" w:rsidRPr="00384ADB" w:rsidRDefault="00BB3751">
            <w:pPr>
              <w:pStyle w:val="InstructionsText"/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Při rozdělení expozic ve finančních nástrojích, kde různé expozice vyplýv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a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jící z dohod o započtení představují jedinou expozici, musí být tato expozice přidělena finančnímu nástroji, který odpovídá hlavnímu aktivu zahrnutému do dohody o započtení (viz též úvodní oddíl).</w:t>
            </w:r>
          </w:p>
          <w:p w:rsidR="00B0191A" w:rsidRPr="00384ADB" w:rsidRDefault="00B0191A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</w:p>
        </w:tc>
      </w:tr>
      <w:tr w:rsidR="00BB3751" w:rsidRPr="00384ADB" w:rsidTr="00E17043">
        <w:tc>
          <w:tcPr>
            <w:tcW w:w="1418" w:type="dxa"/>
          </w:tcPr>
          <w:p w:rsidR="00BB3751" w:rsidRPr="00384ADB" w:rsidRDefault="00CA42A9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b/>
                <w:sz w:val="24"/>
              </w:rPr>
              <w:lastRenderedPageBreak/>
              <w:t>040</w:t>
            </w:r>
          </w:p>
        </w:tc>
        <w:tc>
          <w:tcPr>
            <w:tcW w:w="7620" w:type="dxa"/>
          </w:tcPr>
          <w:p w:rsidR="00BB3751" w:rsidRPr="00384ADB" w:rsidRDefault="00BB3751" w:rsidP="0039317F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Původní expozice celkem</w:t>
            </w:r>
          </w:p>
          <w:p w:rsidR="00B0191A" w:rsidRPr="00384ADB" w:rsidRDefault="00B0191A" w:rsidP="0039317F">
            <w:pPr>
              <w:pStyle w:val="InstructionsText"/>
            </w:pPr>
          </w:p>
          <w:p w:rsidR="00B0191A" w:rsidRPr="00384ADB" w:rsidRDefault="00BB3751" w:rsidP="000F0ADE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Instituce podá zprávu o součtu přímých a nepřímých expozic, jakož i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 o dodatečných expozicích vzniklých z expozic vůči transakcím, kde exist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u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je expozice vůči podkladovým aktivům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.</w:t>
            </w:r>
          </w:p>
          <w:p w:rsidR="00B0191A" w:rsidRPr="00384ADB" w:rsidRDefault="00B0191A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</w:p>
        </w:tc>
      </w:tr>
      <w:tr w:rsidR="00BB3751" w:rsidRPr="00384ADB" w:rsidTr="00E17043">
        <w:tc>
          <w:tcPr>
            <w:tcW w:w="1418" w:type="dxa"/>
          </w:tcPr>
          <w:p w:rsidR="00BB3751" w:rsidRPr="00384ADB" w:rsidRDefault="00CA42A9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b/>
                <w:sz w:val="24"/>
              </w:rPr>
              <w:t>050</w:t>
            </w:r>
          </w:p>
        </w:tc>
        <w:tc>
          <w:tcPr>
            <w:tcW w:w="7620" w:type="dxa"/>
          </w:tcPr>
          <w:p w:rsidR="00BB3751" w:rsidRPr="00384ADB" w:rsidRDefault="00BB3751" w:rsidP="0039317F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Z toho: v selhání</w:t>
            </w:r>
          </w:p>
          <w:p w:rsidR="00B0191A" w:rsidRPr="00384ADB" w:rsidRDefault="00B0191A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</w:p>
          <w:p w:rsidR="00B0191A" w:rsidRPr="00384ADB" w:rsidRDefault="00BB3751" w:rsidP="000F0ADE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Článek 178 CRR.</w:t>
            </w:r>
          </w:p>
          <w:p w:rsidR="00B0191A" w:rsidRPr="00384ADB" w:rsidRDefault="00B0191A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</w:p>
          <w:p w:rsidR="00B0191A" w:rsidRPr="00384ADB" w:rsidRDefault="009B2EE9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Instituce vykazuje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část celkové původní expozice odpovídající expozicím v selhání. </w:t>
            </w:r>
          </w:p>
          <w:p w:rsidR="00B0191A" w:rsidRPr="00384ADB" w:rsidRDefault="00B0191A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</w:p>
        </w:tc>
      </w:tr>
      <w:tr w:rsidR="00BB3751" w:rsidRPr="00384ADB" w:rsidTr="00E17043">
        <w:tc>
          <w:tcPr>
            <w:tcW w:w="1418" w:type="dxa"/>
          </w:tcPr>
          <w:p w:rsidR="00BB3751" w:rsidRPr="00384ADB" w:rsidRDefault="00CA42A9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b/>
                <w:sz w:val="24"/>
              </w:rPr>
              <w:t>060-110</w:t>
            </w:r>
          </w:p>
        </w:tc>
        <w:tc>
          <w:tcPr>
            <w:tcW w:w="7620" w:type="dxa"/>
          </w:tcPr>
          <w:p w:rsidR="00BB3751" w:rsidRPr="00384ADB" w:rsidRDefault="00BB3751" w:rsidP="0039317F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Přímé expozice</w:t>
            </w:r>
          </w:p>
          <w:p w:rsidR="00B0191A" w:rsidRPr="00384ADB" w:rsidRDefault="00B0191A" w:rsidP="0039317F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  <w:u w:val="none"/>
              </w:rPr>
            </w:pPr>
          </w:p>
          <w:p w:rsidR="00B0191A" w:rsidRPr="00384ADB" w:rsidRDefault="00BB3751" w:rsidP="000F0ADE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Přímé expozice znamenají expozice na základě tzv. „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immediate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borrower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“ (tj. vůči té zemi, kde se nachází původní riziko).</w:t>
            </w:r>
          </w:p>
          <w:p w:rsidR="00B0191A" w:rsidRPr="00384ADB" w:rsidRDefault="00B0191A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  <w:u w:val="none"/>
              </w:rPr>
            </w:pPr>
          </w:p>
        </w:tc>
      </w:tr>
      <w:tr w:rsidR="00BB3751" w:rsidRPr="00384ADB" w:rsidTr="00E17043">
        <w:tc>
          <w:tcPr>
            <w:tcW w:w="1418" w:type="dxa"/>
          </w:tcPr>
          <w:p w:rsidR="00BB3751" w:rsidRPr="00384ADB" w:rsidRDefault="00CA42A9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b/>
                <w:sz w:val="24"/>
              </w:rPr>
              <w:t>060</w:t>
            </w:r>
          </w:p>
        </w:tc>
        <w:tc>
          <w:tcPr>
            <w:tcW w:w="7620" w:type="dxa"/>
          </w:tcPr>
          <w:p w:rsidR="00BB3751" w:rsidRPr="00384ADB" w:rsidRDefault="00BB3751" w:rsidP="0039317F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Dluhové nástroje</w:t>
            </w:r>
          </w:p>
          <w:p w:rsidR="00B0191A" w:rsidRPr="00384ADB" w:rsidRDefault="00B0191A" w:rsidP="0039317F">
            <w:pPr>
              <w:pStyle w:val="InstructionsText"/>
            </w:pPr>
          </w:p>
          <w:p w:rsidR="00B0191A" w:rsidRPr="0039317F" w:rsidRDefault="00193DDC" w:rsidP="0039317F">
            <w:pPr>
              <w:pStyle w:val="InstructionsText"/>
            </w:pPr>
            <w:r>
              <w:t>Nařízení (EU) č. 1071/2013 („ECB/2013/33“) příloha II, část 2, tabulka, k</w:t>
            </w:r>
            <w:r>
              <w:t>a</w:t>
            </w:r>
            <w:r>
              <w:t>tegorie 2 a 3.</w:t>
            </w:r>
          </w:p>
          <w:p w:rsidR="00B0191A" w:rsidRPr="0039317F" w:rsidRDefault="00B0191A" w:rsidP="0039317F">
            <w:pPr>
              <w:pStyle w:val="InstructionsText"/>
            </w:pPr>
          </w:p>
          <w:p w:rsidR="00B0191A" w:rsidRPr="0039317F" w:rsidRDefault="00BB3751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Dluhové nástroje zahrnují dluhové cenné papíry, úvěry a jiné pohledávky. </w:t>
            </w:r>
          </w:p>
          <w:p w:rsidR="00B0191A" w:rsidRPr="0039317F" w:rsidRDefault="00B0191A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</w:p>
          <w:p w:rsidR="00B0191A" w:rsidRPr="0039317F" w:rsidRDefault="00BB3751" w:rsidP="0039317F">
            <w:pPr>
              <w:pStyle w:val="InstructionsText"/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V tomto sloupci jsou zahrnuty nástroje kvalifikované jako</w:t>
            </w:r>
            <w:r>
              <w:t xml:space="preserve"> 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„Úvěry s původní splatností do jednoho roku včetně / nad jeden rok a do pěti let včetně / nad pět let“, nebo jako „Dluhové cenné papíry“, podle</w:t>
            </w:r>
            <w:r>
              <w:t xml:space="preserve"> ECB/2013/33.</w:t>
            </w:r>
          </w:p>
          <w:p w:rsidR="00B0191A" w:rsidRPr="0039317F" w:rsidRDefault="00B0191A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</w:p>
          <w:p w:rsidR="00B0191A" w:rsidRPr="0039317F" w:rsidRDefault="00D95A62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V</w:t>
            </w:r>
            <w:r>
              <w:t xml:space="preserve"> tomto sloupci se uvedou </w:t>
            </w:r>
            <w:proofErr w:type="spellStart"/>
            <w:r>
              <w:t>repo</w:t>
            </w:r>
            <w:proofErr w:type="spellEnd"/>
            <w:r>
              <w:t xml:space="preserve"> obchody, půjčky či výpůjčky cenných pap</w:t>
            </w:r>
            <w:r>
              <w:t>í</w:t>
            </w:r>
            <w:r>
              <w:t>rů nebo komodit (obchody zajišťující financování) a maržové obchody.</w:t>
            </w:r>
          </w:p>
          <w:p w:rsidR="00B0191A" w:rsidRPr="00384ADB" w:rsidRDefault="00B0191A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</w:p>
        </w:tc>
      </w:tr>
      <w:tr w:rsidR="00BB3751" w:rsidRPr="00384ADB" w:rsidTr="00E17043">
        <w:tc>
          <w:tcPr>
            <w:tcW w:w="1418" w:type="dxa"/>
          </w:tcPr>
          <w:p w:rsidR="00BB3751" w:rsidRPr="00384ADB" w:rsidRDefault="00CA42A9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b/>
                <w:sz w:val="24"/>
              </w:rPr>
              <w:t>070</w:t>
            </w:r>
          </w:p>
        </w:tc>
        <w:tc>
          <w:tcPr>
            <w:tcW w:w="7620" w:type="dxa"/>
          </w:tcPr>
          <w:p w:rsidR="00BB3751" w:rsidRPr="00384ADB" w:rsidRDefault="00BB3751" w:rsidP="0039317F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Kapitálové nástroje</w:t>
            </w:r>
          </w:p>
          <w:p w:rsidR="00B0191A" w:rsidRPr="0039317F" w:rsidRDefault="00B0191A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</w:p>
          <w:p w:rsidR="00B0191A" w:rsidRPr="0039317F" w:rsidRDefault="00DF008D" w:rsidP="0039317F">
            <w:pPr>
              <w:pStyle w:val="InstructionsText"/>
            </w:pPr>
            <w:r>
              <w:t>ECB/2013/33 příloha II, část 2, tabulka, kategorie 4 a 5.</w:t>
            </w:r>
          </w:p>
          <w:p w:rsidR="00B0191A" w:rsidRPr="0039317F" w:rsidRDefault="00B0191A" w:rsidP="0039317F">
            <w:pPr>
              <w:pStyle w:val="InstructionsText"/>
            </w:pPr>
          </w:p>
          <w:p w:rsidR="00B0191A" w:rsidRPr="0039317F" w:rsidRDefault="00BB3751" w:rsidP="0039317F">
            <w:pPr>
              <w:pStyle w:val="InstructionsText"/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V tomto sloupci se uvedou nástroje kvalifikované jako „Účasti“ nebo „A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k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cie / podílové listy investičních fondů“ podle</w:t>
            </w:r>
            <w:r>
              <w:t xml:space="preserve"> ECB/2013/33.</w:t>
            </w:r>
          </w:p>
          <w:p w:rsidR="00B0191A" w:rsidRPr="00384ADB" w:rsidRDefault="00B0191A" w:rsidP="000F0ADE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</w:p>
        </w:tc>
      </w:tr>
      <w:tr w:rsidR="00BB3751" w:rsidRPr="00384ADB" w:rsidTr="00E17043">
        <w:tc>
          <w:tcPr>
            <w:tcW w:w="1418" w:type="dxa"/>
          </w:tcPr>
          <w:p w:rsidR="00BB3751" w:rsidRPr="00384ADB" w:rsidRDefault="00CA42A9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b/>
                <w:sz w:val="24"/>
              </w:rPr>
              <w:t>080</w:t>
            </w:r>
          </w:p>
        </w:tc>
        <w:tc>
          <w:tcPr>
            <w:tcW w:w="7620" w:type="dxa"/>
          </w:tcPr>
          <w:p w:rsidR="00BB3751" w:rsidRPr="00384ADB" w:rsidRDefault="00BB3751" w:rsidP="0039317F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Deriváty </w:t>
            </w:r>
          </w:p>
          <w:p w:rsidR="00B0191A" w:rsidRPr="0039317F" w:rsidRDefault="00B0191A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</w:p>
          <w:p w:rsidR="00B0191A" w:rsidRPr="0039317F" w:rsidRDefault="00BB3751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t xml:space="preserve">Ustanovení čl. 272 odst. 2 a přílohy II 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CRR</w:t>
            </w:r>
            <w:r>
              <w:t>.</w:t>
            </w:r>
          </w:p>
          <w:p w:rsidR="00B0191A" w:rsidRPr="0039317F" w:rsidRDefault="00B0191A" w:rsidP="000F0ADE">
            <w:pPr>
              <w:pStyle w:val="InstructionsText"/>
            </w:pPr>
          </w:p>
          <w:p w:rsidR="00B0191A" w:rsidRPr="0039317F" w:rsidRDefault="009E58B0">
            <w:pPr>
              <w:pStyle w:val="InstructionsText"/>
            </w:pPr>
            <w:r>
              <w:t xml:space="preserve">Nástroje uváděné v tomto sloupci zahrnují mimo jiné deriváty uvedené v příloze II 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CRR</w:t>
            </w:r>
            <w:r>
              <w:t xml:space="preserve"> a transakce s delší dobou vypořádání, které jsou definovány v čl. 272 odst. 2 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CRR</w:t>
            </w:r>
            <w:r>
              <w:t xml:space="preserve">. </w:t>
            </w:r>
          </w:p>
          <w:p w:rsidR="00B0191A" w:rsidRPr="0039317F" w:rsidRDefault="00B0191A">
            <w:pPr>
              <w:pStyle w:val="InstructionsText"/>
            </w:pPr>
          </w:p>
          <w:p w:rsidR="00B0191A" w:rsidRPr="0039317F" w:rsidRDefault="00BB3751">
            <w:pPr>
              <w:pStyle w:val="InstructionsText"/>
            </w:pPr>
            <w:r>
              <w:t>V tomto sloupci jsou zahrnuty úvěrové deriváty, které jsou předmětem úv</w:t>
            </w:r>
            <w:r>
              <w:t>ě</w:t>
            </w:r>
            <w:r>
              <w:t>rového rizika protistrany.</w:t>
            </w:r>
          </w:p>
          <w:p w:rsidR="00B0191A" w:rsidRPr="00384ADB" w:rsidRDefault="00B0191A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</w:p>
        </w:tc>
      </w:tr>
      <w:tr w:rsidR="00BB3751" w:rsidRPr="00384ADB" w:rsidTr="00E17043">
        <w:tc>
          <w:tcPr>
            <w:tcW w:w="1418" w:type="dxa"/>
          </w:tcPr>
          <w:p w:rsidR="00BB3751" w:rsidRPr="00384ADB" w:rsidRDefault="00CA42A9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b/>
                <w:sz w:val="24"/>
              </w:rPr>
              <w:lastRenderedPageBreak/>
              <w:t>090-110</w:t>
            </w:r>
          </w:p>
        </w:tc>
        <w:tc>
          <w:tcPr>
            <w:tcW w:w="7620" w:type="dxa"/>
          </w:tcPr>
          <w:p w:rsidR="00BB3751" w:rsidRPr="00384ADB" w:rsidRDefault="00BB3751" w:rsidP="0039317F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Podrozvahové položky</w:t>
            </w:r>
          </w:p>
          <w:p w:rsidR="00BB3751" w:rsidRPr="00384ADB" w:rsidRDefault="00BB3751" w:rsidP="004675B7">
            <w:pPr>
              <w:spacing w:before="0" w:after="0"/>
              <w:rPr>
                <w:rFonts w:ascii="Times New Roman" w:hAnsi="Times New Roman"/>
                <w:b/>
                <w:bCs/>
                <w:sz w:val="24"/>
              </w:rPr>
            </w:pPr>
          </w:p>
          <w:p w:rsidR="00BB3751" w:rsidRPr="00384ADB" w:rsidRDefault="00BB3751" w:rsidP="004675B7">
            <w:pPr>
              <w:spacing w:before="0"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Příloha I 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CRR</w:t>
            </w:r>
            <w:r>
              <w:rPr>
                <w:rFonts w:ascii="Times New Roman" w:hAnsi="Times New Roman"/>
                <w:sz w:val="24"/>
              </w:rPr>
              <w:t>.</w:t>
            </w:r>
          </w:p>
          <w:p w:rsidR="00BB3751" w:rsidRPr="00384ADB" w:rsidRDefault="00BB3751" w:rsidP="004675B7">
            <w:pPr>
              <w:spacing w:before="0" w:after="0"/>
              <w:rPr>
                <w:rFonts w:ascii="Times New Roman" w:hAnsi="Times New Roman"/>
                <w:bCs/>
                <w:sz w:val="24"/>
              </w:rPr>
            </w:pPr>
          </w:p>
          <w:p w:rsidR="00BB3751" w:rsidRPr="00384ADB" w:rsidRDefault="00BB3751" w:rsidP="004675B7">
            <w:pPr>
              <w:spacing w:before="0" w:after="0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V těchto sloupcích se vykazuje jmenovitá hodnota před každým odečtením specifické úpravy o úvěrové riziko a bez použití konverzních faktorů.</w:t>
            </w:r>
          </w:p>
          <w:p w:rsidR="00BB3751" w:rsidRPr="00384ADB" w:rsidRDefault="00BB3751" w:rsidP="00A51E27">
            <w:pPr>
              <w:spacing w:before="0" w:after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</w:p>
        </w:tc>
      </w:tr>
      <w:tr w:rsidR="00BB3751" w:rsidRPr="00384ADB" w:rsidTr="00E17043">
        <w:tc>
          <w:tcPr>
            <w:tcW w:w="1418" w:type="dxa"/>
          </w:tcPr>
          <w:p w:rsidR="00BB3751" w:rsidRPr="00384ADB" w:rsidRDefault="00CA42A9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b/>
                <w:sz w:val="24"/>
              </w:rPr>
              <w:t>090</w:t>
            </w:r>
          </w:p>
        </w:tc>
        <w:tc>
          <w:tcPr>
            <w:tcW w:w="7620" w:type="dxa"/>
          </w:tcPr>
          <w:p w:rsidR="00BB3751" w:rsidRPr="00384ADB" w:rsidRDefault="00BB3751" w:rsidP="0039317F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Úvěrové přísliby</w:t>
            </w:r>
          </w:p>
          <w:p w:rsidR="00BB3751" w:rsidRPr="00384ADB" w:rsidRDefault="00BB3751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</w:p>
          <w:p w:rsidR="009A7666" w:rsidRPr="0039317F" w:rsidRDefault="00457521" w:rsidP="000F0ADE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Příloha I bod 1 písm. c) a h), bod 2 písm. b) 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podbod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ii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), bod 3 písm. b) 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po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d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bod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i) a bod 4 písm. a) CRR. </w:t>
            </w:r>
          </w:p>
          <w:p w:rsidR="00B0191A" w:rsidRPr="0039317F" w:rsidRDefault="00B0191A">
            <w:pPr>
              <w:pStyle w:val="InstructionsText"/>
            </w:pPr>
          </w:p>
          <w:p w:rsidR="00B0191A" w:rsidRPr="0039317F" w:rsidRDefault="00BB3751">
            <w:pPr>
              <w:pStyle w:val="InstructionsText"/>
            </w:pPr>
            <w:r>
              <w:t>Úvěrové přísliby jsou závazné přísliby, na jejichž základě má být za předem stanovených podmínek poskytnut úvěr, vyjma příslibů, jež mají charakter derivátů, neboť ty lze vypořádat v hotovosti nebo vydáním dalšího finančn</w:t>
            </w:r>
            <w:r>
              <w:t>í</w:t>
            </w:r>
            <w:r>
              <w:t xml:space="preserve">ho nástroje. </w:t>
            </w:r>
          </w:p>
          <w:p w:rsidR="00B0191A" w:rsidRPr="00384ADB" w:rsidRDefault="00B0191A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</w:p>
        </w:tc>
      </w:tr>
      <w:tr w:rsidR="00BB3751" w:rsidRPr="00384ADB" w:rsidTr="00E17043">
        <w:tc>
          <w:tcPr>
            <w:tcW w:w="1418" w:type="dxa"/>
          </w:tcPr>
          <w:p w:rsidR="00BB3751" w:rsidRPr="00384ADB" w:rsidRDefault="00CA42A9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b/>
                <w:sz w:val="24"/>
              </w:rPr>
              <w:t>100</w:t>
            </w:r>
          </w:p>
        </w:tc>
        <w:tc>
          <w:tcPr>
            <w:tcW w:w="7620" w:type="dxa"/>
          </w:tcPr>
          <w:p w:rsidR="00BB3751" w:rsidRPr="00384ADB" w:rsidRDefault="00BB3751" w:rsidP="0039317F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Finanční záruky</w:t>
            </w:r>
          </w:p>
          <w:p w:rsidR="009A7666" w:rsidRPr="00384ADB" w:rsidRDefault="009A7666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</w:p>
          <w:p w:rsidR="00BB3751" w:rsidRPr="00384ADB" w:rsidRDefault="00965D5D" w:rsidP="000F0ADE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Příloha I bod 1 písm. a), b) a f) CRR. </w:t>
            </w:r>
          </w:p>
          <w:p w:rsidR="00B0191A" w:rsidRPr="00384ADB" w:rsidRDefault="00B0191A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</w:p>
          <w:p w:rsidR="00B0191A" w:rsidRPr="00384ADB" w:rsidRDefault="00BB3751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Finanční záruky jsou smlouvy, které vyžadují, aby emitent provedl přesně stanovené platby jako úhradu ztráty držitele, která mu vznikne, protože ko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n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krétní dlužník neprovede platbu v době splatnosti v souladu s původními n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e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bo změněnými podmínkami dluhového nástroje. V tomto sloupci se vykazují úvěrové deriváty, které nejsou zahrnuty do sloupce „deriváty“.</w:t>
            </w:r>
          </w:p>
          <w:p w:rsidR="00B0191A" w:rsidRPr="00384ADB" w:rsidRDefault="00B0191A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</w:p>
        </w:tc>
      </w:tr>
      <w:tr w:rsidR="00BB3751" w:rsidRPr="00384ADB" w:rsidTr="00E17043">
        <w:tc>
          <w:tcPr>
            <w:tcW w:w="1418" w:type="dxa"/>
          </w:tcPr>
          <w:p w:rsidR="00BB3751" w:rsidRPr="00384ADB" w:rsidRDefault="00CA42A9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b/>
                <w:sz w:val="24"/>
              </w:rPr>
              <w:t>110</w:t>
            </w:r>
          </w:p>
        </w:tc>
        <w:tc>
          <w:tcPr>
            <w:tcW w:w="7620" w:type="dxa"/>
          </w:tcPr>
          <w:p w:rsidR="00BB3751" w:rsidRPr="00384ADB" w:rsidRDefault="00BB3751" w:rsidP="0039317F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Jiné přísliby</w:t>
            </w:r>
          </w:p>
          <w:p w:rsidR="00B0191A" w:rsidRPr="00384ADB" w:rsidRDefault="00B0191A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</w:p>
          <w:p w:rsidR="00BB3751" w:rsidRPr="00384ADB" w:rsidRDefault="00BB3751" w:rsidP="00704405">
            <w:pPr>
              <w:autoSpaceDE w:val="0"/>
              <w:autoSpaceDN w:val="0"/>
              <w:adjustRightInd w:val="0"/>
              <w:spacing w:before="0" w:after="0"/>
              <w:jc w:val="lef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Jiné přísliby jsou položky v příloze I CRR, které nejsou zahrnuty do pře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d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chozích kategorií. V</w:t>
            </w:r>
            <w:r>
              <w:rPr>
                <w:rFonts w:ascii="Times New Roman" w:hAnsi="Times New Roman"/>
                <w:sz w:val="24"/>
              </w:rPr>
              <w:t> tomto sloupci se vykazuje hodnota expozice jediného právního závazku vyplývající z dohody o smluvním křížovém započtení s protistranou dané instituce.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</w:t>
            </w:r>
          </w:p>
          <w:p w:rsidR="00BB3751" w:rsidRPr="00384ADB" w:rsidRDefault="00BB3751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</w:p>
        </w:tc>
      </w:tr>
      <w:tr w:rsidR="00BB3751" w:rsidRPr="00384ADB" w:rsidTr="00E17043">
        <w:tc>
          <w:tcPr>
            <w:tcW w:w="1418" w:type="dxa"/>
          </w:tcPr>
          <w:p w:rsidR="00BB3751" w:rsidRPr="00384ADB" w:rsidRDefault="00CA42A9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b/>
                <w:sz w:val="24"/>
              </w:rPr>
              <w:t>120-180</w:t>
            </w:r>
          </w:p>
        </w:tc>
        <w:tc>
          <w:tcPr>
            <w:tcW w:w="7620" w:type="dxa"/>
          </w:tcPr>
          <w:p w:rsidR="00BB3751" w:rsidRPr="00384ADB" w:rsidRDefault="00BB3751" w:rsidP="0039317F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Nepřímé expozice</w:t>
            </w:r>
          </w:p>
          <w:p w:rsidR="00BB3751" w:rsidRPr="00384ADB" w:rsidRDefault="00BB3751" w:rsidP="0039317F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  <w:u w:val="none"/>
              </w:rPr>
            </w:pPr>
          </w:p>
          <w:p w:rsidR="00B0191A" w:rsidRPr="00384ADB" w:rsidRDefault="00BB3751" w:rsidP="000F0ADE">
            <w:pPr>
              <w:pStyle w:val="InstructionsText"/>
            </w:pPr>
            <w:r>
              <w:t xml:space="preserve">Článek 403 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CRR</w:t>
            </w:r>
            <w:r>
              <w:t>.</w:t>
            </w:r>
          </w:p>
          <w:p w:rsidR="00B0191A" w:rsidRPr="00384ADB" w:rsidRDefault="00B0191A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</w:pPr>
          </w:p>
          <w:p w:rsidR="00B0191A" w:rsidRPr="00384ADB" w:rsidRDefault="00BB3751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Podle článku 403</w:t>
            </w:r>
            <w:r>
              <w:t xml:space="preserve"> 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CRR</w:t>
            </w:r>
            <w:r>
              <w:t xml:space="preserve"> 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může úvěrová instituce použít substituční přístup, je-li expozice vůči klientovi zajištěna třetí stranou nebo je-li zajištěna kolater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á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lem vydaným třetí stranou. </w:t>
            </w:r>
          </w:p>
          <w:p w:rsidR="00B0191A" w:rsidRPr="00384ADB" w:rsidRDefault="00B0191A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</w:pPr>
          </w:p>
          <w:p w:rsidR="00B0191A" w:rsidRPr="00384ADB" w:rsidRDefault="00BB3751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lastRenderedPageBreak/>
              <w:t>V tomto bloku sloupců podá instituce zprávu o výši přímých expozic, které jsou znovu přiřazeny ručiteli nebo emitentovi kolaterálu za předpokladu, že emitentovi bude přidělena stejná nebo nižší riziková váha než riziková váha, která by byla uplatněna u třetí strany podle části třetí hlavy II kapitoly 2 CRR. Chráněná referenční</w:t>
            </w:r>
            <w:r>
              <w:t xml:space="preserve"> 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původní expozice (přímá expozice) se odečte od expozice vůči původnímu dlužníkovi ve sloupcích „Způsobilé techniky sn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i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žování úvěrového rizika“. Nepřímá expozice zvyšuje expozici vůči ručiteli nebo emitentovi kolaterálu pomocí substitučního účinku. To platí i pro zár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u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ky poskytnuté v rámci ekonomicky spjaté skupiny klientů.</w:t>
            </w:r>
          </w:p>
          <w:p w:rsidR="00B0191A" w:rsidRPr="00384ADB" w:rsidRDefault="00B0191A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</w:p>
          <w:p w:rsidR="00B0191A" w:rsidRPr="00384ADB" w:rsidRDefault="00BB3751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Instituce vykazuje původní částku nepřímých expozic ve sloupci, který o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d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povídá druhu přímé expozice zaručené nebo zajištěné kolaterálem, jako n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a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příklad tehdy, kdy je zaručená přímá expozice dluhovým nástrojem, vykaz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u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je se výše položky „Nepřímá expozice“ přiřazená ručiteli ve sloupci „Dl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u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hové nástroje“.</w:t>
            </w:r>
          </w:p>
          <w:p w:rsidR="00B0191A" w:rsidRPr="00384ADB" w:rsidRDefault="00B0191A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</w:p>
          <w:p w:rsidR="00B0191A" w:rsidRPr="00384ADB" w:rsidRDefault="00BB3751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V tomto bloku sloupců musí být uvedeny rovněž expozice vyplývající z úvěrových dluhových cenných papírů podle článku 399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CRR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.</w:t>
            </w:r>
          </w:p>
          <w:p w:rsidR="00B0191A" w:rsidRPr="00384ADB" w:rsidRDefault="00B0191A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</w:p>
        </w:tc>
      </w:tr>
      <w:tr w:rsidR="00BB3751" w:rsidRPr="00384ADB" w:rsidTr="00E17043">
        <w:tc>
          <w:tcPr>
            <w:tcW w:w="1418" w:type="dxa"/>
          </w:tcPr>
          <w:p w:rsidR="00BB3751" w:rsidRPr="00384ADB" w:rsidRDefault="00CA42A9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b/>
                <w:sz w:val="24"/>
              </w:rPr>
              <w:lastRenderedPageBreak/>
              <w:t>120</w:t>
            </w:r>
          </w:p>
        </w:tc>
        <w:tc>
          <w:tcPr>
            <w:tcW w:w="7620" w:type="dxa"/>
          </w:tcPr>
          <w:p w:rsidR="00BB3751" w:rsidRPr="00384ADB" w:rsidRDefault="00BB3751" w:rsidP="0039317F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Dluhové nástroje</w:t>
            </w:r>
          </w:p>
          <w:p w:rsidR="00BB3751" w:rsidRPr="00384ADB" w:rsidRDefault="00BB3751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</w:p>
          <w:p w:rsidR="00BB3751" w:rsidRPr="00384ADB" w:rsidRDefault="00BB3751" w:rsidP="000F0ADE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Viz sloupec 060.</w:t>
            </w:r>
          </w:p>
          <w:p w:rsidR="00B0191A" w:rsidRPr="00384ADB" w:rsidRDefault="00B0191A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</w:p>
        </w:tc>
      </w:tr>
      <w:tr w:rsidR="00BB3751" w:rsidRPr="00384ADB" w:rsidTr="00AE2F75">
        <w:tc>
          <w:tcPr>
            <w:tcW w:w="1418" w:type="dxa"/>
            <w:shd w:val="clear" w:color="auto" w:fill="FFFFFF"/>
          </w:tcPr>
          <w:p w:rsidR="00BB3751" w:rsidRPr="00384ADB" w:rsidRDefault="00CA42A9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b/>
                <w:sz w:val="24"/>
              </w:rPr>
              <w:t>130</w:t>
            </w:r>
          </w:p>
        </w:tc>
        <w:tc>
          <w:tcPr>
            <w:tcW w:w="7620" w:type="dxa"/>
            <w:shd w:val="clear" w:color="auto" w:fill="FFFFFF"/>
          </w:tcPr>
          <w:p w:rsidR="00BB3751" w:rsidRPr="00384ADB" w:rsidRDefault="00BB3751" w:rsidP="0039317F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Kapitálové nástroje</w:t>
            </w:r>
          </w:p>
          <w:p w:rsidR="00BB3751" w:rsidRPr="00384ADB" w:rsidRDefault="00BB3751" w:rsidP="0039317F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</w:p>
          <w:p w:rsidR="00BB3751" w:rsidRPr="00384ADB" w:rsidRDefault="00BB3751" w:rsidP="000F0ADE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Viz sloupec 070.</w:t>
            </w:r>
          </w:p>
          <w:p w:rsidR="00B0191A" w:rsidRPr="00384ADB" w:rsidRDefault="00B0191A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</w:p>
        </w:tc>
      </w:tr>
      <w:tr w:rsidR="00BB3751" w:rsidRPr="00384ADB" w:rsidTr="00E17043">
        <w:tc>
          <w:tcPr>
            <w:tcW w:w="1418" w:type="dxa"/>
          </w:tcPr>
          <w:p w:rsidR="00BB3751" w:rsidRPr="00384ADB" w:rsidRDefault="00CA42A9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b/>
                <w:sz w:val="24"/>
              </w:rPr>
              <w:t>140</w:t>
            </w:r>
          </w:p>
        </w:tc>
        <w:tc>
          <w:tcPr>
            <w:tcW w:w="7620" w:type="dxa"/>
          </w:tcPr>
          <w:p w:rsidR="00BB3751" w:rsidRPr="00384ADB" w:rsidRDefault="00BB3751" w:rsidP="0039317F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Deriváty</w:t>
            </w:r>
          </w:p>
          <w:p w:rsidR="00BB3751" w:rsidRPr="00384ADB" w:rsidRDefault="00BB3751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</w:p>
          <w:p w:rsidR="00BB3751" w:rsidRPr="00384ADB" w:rsidRDefault="00BB3751" w:rsidP="000F0ADE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Viz sloupec 080.</w:t>
            </w:r>
          </w:p>
          <w:p w:rsidR="00B0191A" w:rsidRPr="00384ADB" w:rsidRDefault="00B0191A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</w:p>
        </w:tc>
      </w:tr>
      <w:tr w:rsidR="00BB3751" w:rsidRPr="00384ADB" w:rsidTr="00E17043">
        <w:tc>
          <w:tcPr>
            <w:tcW w:w="1418" w:type="dxa"/>
          </w:tcPr>
          <w:p w:rsidR="00BB3751" w:rsidRPr="00384ADB" w:rsidRDefault="00CA42A9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b/>
                <w:sz w:val="24"/>
              </w:rPr>
              <w:t>150-170</w:t>
            </w:r>
          </w:p>
        </w:tc>
        <w:tc>
          <w:tcPr>
            <w:tcW w:w="7620" w:type="dxa"/>
          </w:tcPr>
          <w:p w:rsidR="00BB3751" w:rsidRPr="00384ADB" w:rsidRDefault="00BB3751" w:rsidP="0039317F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Podrozvahové položky</w:t>
            </w:r>
          </w:p>
          <w:p w:rsidR="00BB3751" w:rsidRPr="00384ADB" w:rsidRDefault="00BB3751" w:rsidP="0039317F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</w:p>
          <w:p w:rsidR="00BB3751" w:rsidRPr="00384ADB" w:rsidRDefault="00BB3751" w:rsidP="00B9340F">
            <w:pPr>
              <w:spacing w:before="0" w:after="0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Hodnotou těchto sloupců je jmenovitá hodnota před případným odečtením specifických úprav o úvěrové riziko a konverzních faktorů.</w:t>
            </w:r>
          </w:p>
          <w:p w:rsidR="00BB3751" w:rsidRPr="00384ADB" w:rsidRDefault="00BB3751" w:rsidP="0039317F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</w:p>
        </w:tc>
      </w:tr>
      <w:tr w:rsidR="00BB3751" w:rsidRPr="00384ADB" w:rsidTr="00E17043">
        <w:tc>
          <w:tcPr>
            <w:tcW w:w="1418" w:type="dxa"/>
          </w:tcPr>
          <w:p w:rsidR="00BB3751" w:rsidRPr="00384ADB" w:rsidRDefault="00CA42A9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b/>
                <w:sz w:val="24"/>
              </w:rPr>
              <w:t>150</w:t>
            </w:r>
          </w:p>
        </w:tc>
        <w:tc>
          <w:tcPr>
            <w:tcW w:w="7620" w:type="dxa"/>
          </w:tcPr>
          <w:p w:rsidR="00BB3751" w:rsidRPr="00384ADB" w:rsidRDefault="00BB3751" w:rsidP="0039317F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Úvěrové přísliby</w:t>
            </w:r>
          </w:p>
          <w:p w:rsidR="00BB3751" w:rsidRPr="00384ADB" w:rsidRDefault="00BB3751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</w:p>
          <w:p w:rsidR="00BB3751" w:rsidRPr="00384ADB" w:rsidRDefault="00BB3751" w:rsidP="000F0ADE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Viz sloupec 090.</w:t>
            </w:r>
          </w:p>
          <w:p w:rsidR="00B0191A" w:rsidRPr="00384ADB" w:rsidRDefault="00B0191A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</w:p>
        </w:tc>
      </w:tr>
      <w:tr w:rsidR="00BB3751" w:rsidRPr="00384ADB" w:rsidTr="00E17043">
        <w:tc>
          <w:tcPr>
            <w:tcW w:w="1418" w:type="dxa"/>
          </w:tcPr>
          <w:p w:rsidR="00BB3751" w:rsidRPr="00384ADB" w:rsidRDefault="00CA42A9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b/>
                <w:sz w:val="24"/>
              </w:rPr>
              <w:t>160</w:t>
            </w:r>
          </w:p>
        </w:tc>
        <w:tc>
          <w:tcPr>
            <w:tcW w:w="7620" w:type="dxa"/>
          </w:tcPr>
          <w:p w:rsidR="00BB3751" w:rsidRPr="00384ADB" w:rsidRDefault="00BB3751" w:rsidP="0039317F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Finanční záruky</w:t>
            </w:r>
          </w:p>
          <w:p w:rsidR="00BB3751" w:rsidRPr="00384ADB" w:rsidRDefault="00BB3751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</w:p>
          <w:p w:rsidR="00BB3751" w:rsidRPr="00384ADB" w:rsidRDefault="00BB3751" w:rsidP="000F0ADE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Viz sloupec 100.</w:t>
            </w:r>
          </w:p>
          <w:p w:rsidR="00B0191A" w:rsidRPr="00384ADB" w:rsidRDefault="00B0191A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</w:p>
        </w:tc>
      </w:tr>
      <w:tr w:rsidR="00BB3751" w:rsidRPr="00384ADB" w:rsidTr="00E17043">
        <w:tc>
          <w:tcPr>
            <w:tcW w:w="1418" w:type="dxa"/>
          </w:tcPr>
          <w:p w:rsidR="00BB3751" w:rsidRPr="00384ADB" w:rsidRDefault="00CA42A9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b/>
                <w:sz w:val="24"/>
              </w:rPr>
              <w:t>170</w:t>
            </w:r>
          </w:p>
        </w:tc>
        <w:tc>
          <w:tcPr>
            <w:tcW w:w="7620" w:type="dxa"/>
          </w:tcPr>
          <w:p w:rsidR="00BB3751" w:rsidRPr="00384ADB" w:rsidRDefault="00BB3751" w:rsidP="0039317F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Jiné přísliby</w:t>
            </w:r>
          </w:p>
          <w:p w:rsidR="00BB3751" w:rsidRPr="00384ADB" w:rsidRDefault="00BB3751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</w:p>
          <w:p w:rsidR="00BB3751" w:rsidRPr="00384ADB" w:rsidRDefault="00BB3751" w:rsidP="000F0ADE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Viz sloupec 110.</w:t>
            </w:r>
          </w:p>
          <w:p w:rsidR="00B0191A" w:rsidRPr="00384ADB" w:rsidRDefault="00B0191A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</w:p>
        </w:tc>
      </w:tr>
      <w:tr w:rsidR="00BB3751" w:rsidRPr="00384ADB" w:rsidTr="00E17043">
        <w:tc>
          <w:tcPr>
            <w:tcW w:w="1418" w:type="dxa"/>
          </w:tcPr>
          <w:p w:rsidR="00BB3751" w:rsidRPr="00384ADB" w:rsidRDefault="00CA42A9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b/>
                <w:sz w:val="24"/>
              </w:rPr>
              <w:t>180</w:t>
            </w:r>
          </w:p>
        </w:tc>
        <w:tc>
          <w:tcPr>
            <w:tcW w:w="7620" w:type="dxa"/>
          </w:tcPr>
          <w:p w:rsidR="00BB3751" w:rsidRPr="00384ADB" w:rsidRDefault="00BB3751" w:rsidP="0039317F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Dodatečné expozice vznikající z transakcí s expozicí vůči podkladovým 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lastRenderedPageBreak/>
              <w:t>aktivům</w:t>
            </w:r>
          </w:p>
          <w:p w:rsidR="00BB3751" w:rsidRPr="00384ADB" w:rsidRDefault="00BB3751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</w:p>
          <w:p w:rsidR="00BB3751" w:rsidRPr="00384ADB" w:rsidRDefault="00BB3751" w:rsidP="000F0ADE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Ustanovení čl. 390 odst. 7 CRR.</w:t>
            </w:r>
          </w:p>
          <w:p w:rsidR="00B0191A" w:rsidRPr="00384ADB" w:rsidRDefault="00B0191A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</w:p>
          <w:p w:rsidR="00B0191A" w:rsidRPr="00384ADB" w:rsidRDefault="00BB3751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Dodatečné expozice, které vyplývají z transakcí, u nichž existuje expozice vůči podkladovým aktivům.</w:t>
            </w:r>
          </w:p>
          <w:p w:rsidR="00B0191A" w:rsidRPr="00384ADB" w:rsidRDefault="00B0191A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</w:p>
        </w:tc>
      </w:tr>
      <w:tr w:rsidR="00BB3751" w:rsidRPr="00384ADB" w:rsidTr="00E17043">
        <w:tc>
          <w:tcPr>
            <w:tcW w:w="1418" w:type="dxa"/>
          </w:tcPr>
          <w:p w:rsidR="00BB3751" w:rsidRPr="00384ADB" w:rsidRDefault="00CA42A9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b/>
                <w:sz w:val="24"/>
              </w:rPr>
              <w:lastRenderedPageBreak/>
              <w:t>190</w:t>
            </w:r>
          </w:p>
        </w:tc>
        <w:tc>
          <w:tcPr>
            <w:tcW w:w="7620" w:type="dxa"/>
          </w:tcPr>
          <w:p w:rsidR="00BB3751" w:rsidRPr="00384ADB" w:rsidRDefault="00BB3751" w:rsidP="0039317F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(-) Úpravy ocenění a rezervy</w:t>
            </w:r>
          </w:p>
          <w:p w:rsidR="00BB3751" w:rsidRPr="00384ADB" w:rsidRDefault="00BB3751" w:rsidP="004675B7">
            <w:pPr>
              <w:pStyle w:val="Default"/>
              <w:jc w:val="both"/>
              <w:rPr>
                <w:rStyle w:val="FormatvorlageInstructionsTabelleText"/>
                <w:rFonts w:ascii="Times New Roman" w:eastAsia="Times New Roman" w:hAnsi="Times New Roman"/>
                <w:b/>
                <w:color w:val="auto"/>
                <w:sz w:val="24"/>
              </w:rPr>
            </w:pPr>
          </w:p>
          <w:p w:rsidR="00BB3751" w:rsidRPr="00384ADB" w:rsidRDefault="00BB3751" w:rsidP="004675B7">
            <w:pPr>
              <w:pStyle w:val="Default"/>
              <w:jc w:val="both"/>
              <w:rPr>
                <w:rStyle w:val="FormatvorlageInstructionsTabelleText"/>
                <w:rFonts w:ascii="Times New Roman" w:eastAsia="Times New Roman" w:hAnsi="Times New Roman"/>
                <w:color w:val="auto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color w:val="auto"/>
                <w:sz w:val="24"/>
              </w:rPr>
              <w:t>Články 34, 24, 110 a 111 CRR.</w:t>
            </w:r>
          </w:p>
          <w:p w:rsidR="00BB3751" w:rsidRPr="00384ADB" w:rsidRDefault="00BB3751" w:rsidP="004675B7">
            <w:pPr>
              <w:pStyle w:val="Default"/>
              <w:jc w:val="both"/>
              <w:rPr>
                <w:rStyle w:val="FormatvorlageInstructionsTabelleText"/>
                <w:rFonts w:ascii="Times New Roman" w:eastAsia="Times New Roman" w:hAnsi="Times New Roman"/>
                <w:color w:val="auto"/>
                <w:sz w:val="24"/>
              </w:rPr>
            </w:pPr>
          </w:p>
          <w:p w:rsidR="00BB3751" w:rsidRPr="00384ADB" w:rsidRDefault="00BB3751" w:rsidP="00502BDF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>
              <w:rPr>
                <w:rStyle w:val="FormatvorlageInstructionsTabelleText"/>
                <w:rFonts w:ascii="Times New Roman" w:hAnsi="Times New Roman"/>
                <w:color w:val="auto"/>
                <w:sz w:val="24"/>
              </w:rPr>
              <w:t>Úpravy ocenění a rezervy zahrnuté do příslušného účetního rámce (směrnice 86/635/EHS nebo nařízení (ES) č. 1606/2002), které mají vliv na ocenění expozic v souladu s články 24 a 110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CRR</w:t>
            </w:r>
            <w:r>
              <w:rPr>
                <w:rStyle w:val="FormatvorlageInstructionsTabelleText"/>
                <w:rFonts w:ascii="Times New Roman" w:hAnsi="Times New Roman"/>
                <w:color w:val="auto"/>
                <w:sz w:val="24"/>
              </w:rPr>
              <w:t>.</w:t>
            </w:r>
            <w:r>
              <w:rPr>
                <w:rFonts w:ascii="Times New Roman" w:hAnsi="Times New Roman"/>
              </w:rPr>
              <w:t xml:space="preserve"> </w:t>
            </w:r>
          </w:p>
          <w:p w:rsidR="00BB3751" w:rsidRPr="00384ADB" w:rsidRDefault="00BB3751" w:rsidP="004675B7">
            <w:pPr>
              <w:pStyle w:val="Default"/>
              <w:jc w:val="both"/>
              <w:rPr>
                <w:rStyle w:val="FormatvorlageInstructionsTabelleText"/>
                <w:rFonts w:ascii="Times New Roman" w:eastAsia="Times New Roman" w:hAnsi="Times New Roman"/>
                <w:color w:val="auto"/>
                <w:sz w:val="24"/>
              </w:rPr>
            </w:pPr>
          </w:p>
          <w:p w:rsidR="00BB3751" w:rsidRPr="00384ADB" w:rsidRDefault="00BB3751" w:rsidP="004675B7">
            <w:pPr>
              <w:pStyle w:val="Default"/>
              <w:jc w:val="both"/>
              <w:rPr>
                <w:rStyle w:val="FormatvorlageInstructionsTabelleText"/>
                <w:rFonts w:ascii="Times New Roman" w:eastAsia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color w:val="auto"/>
                <w:sz w:val="24"/>
              </w:rPr>
              <w:t>V tomto sloupci se vykáží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úpravy ocenění a rezervy na hrubou expozici uvedenou ve sloupci 040. </w:t>
            </w:r>
          </w:p>
          <w:p w:rsidR="00BB3751" w:rsidRPr="00384ADB" w:rsidRDefault="00BB3751" w:rsidP="00751BC8">
            <w:pPr>
              <w:pStyle w:val="Default"/>
              <w:jc w:val="both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</w:p>
        </w:tc>
      </w:tr>
      <w:tr w:rsidR="00BB3751" w:rsidRPr="00384ADB" w:rsidTr="00E17043">
        <w:tc>
          <w:tcPr>
            <w:tcW w:w="1418" w:type="dxa"/>
          </w:tcPr>
          <w:p w:rsidR="00BB3751" w:rsidRPr="00384ADB" w:rsidRDefault="00CA42A9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b/>
                <w:sz w:val="24"/>
              </w:rPr>
              <w:t>200</w:t>
            </w:r>
          </w:p>
        </w:tc>
        <w:tc>
          <w:tcPr>
            <w:tcW w:w="7620" w:type="dxa"/>
          </w:tcPr>
          <w:p w:rsidR="00BB3751" w:rsidRPr="00384ADB" w:rsidRDefault="00BB3751" w:rsidP="0039317F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(-) Expozice odečtené z kapitálu</w:t>
            </w:r>
          </w:p>
          <w:p w:rsidR="00BB3751" w:rsidRPr="00384ADB" w:rsidRDefault="00BB3751" w:rsidP="0039317F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</w:p>
          <w:p w:rsidR="00BB3751" w:rsidRPr="00384ADB" w:rsidRDefault="00BB3751" w:rsidP="000F0ADE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Ustanovení čl. 390 odst. 6 písm. e)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CRR. </w:t>
            </w:r>
          </w:p>
          <w:p w:rsidR="00B0191A" w:rsidRPr="00384ADB" w:rsidRDefault="00B0191A">
            <w:pPr>
              <w:pStyle w:val="InstructionsText"/>
              <w:rPr>
                <w:rStyle w:val="FormatvorlageInstructionsTabelleText"/>
                <w:rFonts w:ascii="Times New Roman" w:eastAsia="Calibri" w:hAnsi="Times New Roman"/>
                <w:color w:val="000000"/>
                <w:sz w:val="24"/>
              </w:rPr>
            </w:pPr>
          </w:p>
          <w:p w:rsidR="00B0191A" w:rsidRPr="00384ADB" w:rsidRDefault="00BB3751">
            <w:pPr>
              <w:pStyle w:val="InstructionsText"/>
              <w:rPr>
                <w:rStyle w:val="FormatvorlageInstructionsTabelleText"/>
                <w:rFonts w:ascii="Times New Roman" w:eastAsia="Calibri" w:hAnsi="Times New Roman"/>
                <w:color w:val="000000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Vykáží se expozice odečtené z kapitálu, které budou uvedeny v různých sloupcích „Původní expozice celkem“. </w:t>
            </w:r>
          </w:p>
          <w:p w:rsidR="00BB3751" w:rsidRPr="00F40CD9" w:rsidRDefault="00BB3751" w:rsidP="001E6FAF">
            <w:pPr>
              <w:pStyle w:val="Default"/>
              <w:jc w:val="both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</w:p>
        </w:tc>
      </w:tr>
      <w:tr w:rsidR="00BB3751" w:rsidRPr="00384ADB" w:rsidTr="00E17043">
        <w:tc>
          <w:tcPr>
            <w:tcW w:w="1418" w:type="dxa"/>
            <w:vAlign w:val="center"/>
          </w:tcPr>
          <w:p w:rsidR="00BB3751" w:rsidRPr="00384ADB" w:rsidRDefault="00CA42A9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b/>
                <w:sz w:val="24"/>
              </w:rPr>
              <w:t>210-230</w:t>
            </w:r>
          </w:p>
        </w:tc>
        <w:tc>
          <w:tcPr>
            <w:tcW w:w="7620" w:type="dxa"/>
            <w:vAlign w:val="center"/>
          </w:tcPr>
          <w:p w:rsidR="00BB3751" w:rsidRPr="00384ADB" w:rsidRDefault="00BB3751" w:rsidP="0039317F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Hodnota expozice před uplatněním výjimek a CRM</w:t>
            </w:r>
          </w:p>
          <w:p w:rsidR="00BB3751" w:rsidRPr="00384ADB" w:rsidRDefault="00BB3751" w:rsidP="005149C1">
            <w:pPr>
              <w:pStyle w:val="Default"/>
              <w:rPr>
                <w:rFonts w:ascii="Times New Roman" w:hAnsi="Times New Roman" w:cs="Times New Roman"/>
                <w:b/>
              </w:rPr>
            </w:pPr>
          </w:p>
          <w:p w:rsidR="00BB3751" w:rsidRPr="00384ADB" w:rsidRDefault="00BB3751" w:rsidP="0039317F">
            <w:pPr>
              <w:pStyle w:val="InstructionsText"/>
            </w:pPr>
            <w:r>
              <w:t xml:space="preserve">Ustanovení čl. 394 odst. 1 písm. b) 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CRR</w:t>
            </w:r>
            <w:r>
              <w:t>.</w:t>
            </w:r>
          </w:p>
          <w:p w:rsidR="00BB3751" w:rsidRPr="00384ADB" w:rsidRDefault="00BB3751" w:rsidP="0039317F">
            <w:pPr>
              <w:pStyle w:val="InstructionsText"/>
            </w:pPr>
          </w:p>
          <w:p w:rsidR="00BB3751" w:rsidRPr="00384ADB" w:rsidRDefault="008A4511" w:rsidP="0039317F">
            <w:pPr>
              <w:pStyle w:val="InstructionsText"/>
            </w:pPr>
            <w:r>
              <w:t>Instituce vykáží hodnotu expozice před případným zohledněním účinku sn</w:t>
            </w:r>
            <w:r>
              <w:t>i</w:t>
            </w:r>
            <w:r>
              <w:t>žování úvěrového rizika (CRM).</w:t>
            </w:r>
          </w:p>
          <w:p w:rsidR="00BB3751" w:rsidRPr="00384ADB" w:rsidRDefault="00BB3751" w:rsidP="000F0ADE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</w:p>
        </w:tc>
      </w:tr>
      <w:tr w:rsidR="00BB3751" w:rsidRPr="00384ADB" w:rsidTr="00E17043">
        <w:tc>
          <w:tcPr>
            <w:tcW w:w="1418" w:type="dxa"/>
          </w:tcPr>
          <w:p w:rsidR="00BB3751" w:rsidRPr="00384ADB" w:rsidRDefault="00CA42A9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b/>
                <w:sz w:val="24"/>
              </w:rPr>
              <w:t>210</w:t>
            </w:r>
          </w:p>
        </w:tc>
        <w:tc>
          <w:tcPr>
            <w:tcW w:w="7620" w:type="dxa"/>
          </w:tcPr>
          <w:p w:rsidR="00BB3751" w:rsidRPr="00384ADB" w:rsidRDefault="00BB3751" w:rsidP="0039317F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Celkem</w:t>
            </w:r>
          </w:p>
          <w:p w:rsidR="00BB3751" w:rsidRPr="0039317F" w:rsidRDefault="00BB3751" w:rsidP="0039317F">
            <w:pPr>
              <w:pStyle w:val="InstructionsText"/>
            </w:pPr>
          </w:p>
          <w:p w:rsidR="00BB3751" w:rsidRPr="0039317F" w:rsidRDefault="00BB3751" w:rsidP="0039317F">
            <w:pPr>
              <w:pStyle w:val="InstructionsText"/>
            </w:pPr>
            <w:r>
              <w:t>Hodnotou expozice vykazovanou v tomto sloupci je částka užitá ke stanov</w:t>
            </w:r>
            <w:r>
              <w:t>e</w:t>
            </w:r>
            <w:r>
              <w:t xml:space="preserve">ní toho, zda je expozice velkou expozicí podle definice v článku 392 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CRR</w:t>
            </w:r>
            <w:r>
              <w:t>.</w:t>
            </w:r>
          </w:p>
          <w:p w:rsidR="00B0191A" w:rsidRPr="0039317F" w:rsidRDefault="00B0191A" w:rsidP="000F0ADE">
            <w:pPr>
              <w:pStyle w:val="InstructionsText"/>
            </w:pPr>
          </w:p>
          <w:p w:rsidR="00B0191A" w:rsidRPr="0039317F" w:rsidRDefault="00BB3751">
            <w:pPr>
              <w:pStyle w:val="InstructionsText"/>
            </w:pPr>
            <w:r>
              <w:t>Zahrnuje původní expozici po odečtení úprav ocenění a rezerv a výši exp</w:t>
            </w:r>
            <w:r>
              <w:t>o</w:t>
            </w:r>
            <w:r>
              <w:t>zic odečtenou z kapitálu.</w:t>
            </w:r>
          </w:p>
          <w:p w:rsidR="00B0191A" w:rsidRPr="00384ADB" w:rsidRDefault="00B0191A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</w:p>
        </w:tc>
      </w:tr>
      <w:tr w:rsidR="00BB3751" w:rsidRPr="00384ADB" w:rsidTr="00E17043">
        <w:tc>
          <w:tcPr>
            <w:tcW w:w="1418" w:type="dxa"/>
          </w:tcPr>
          <w:p w:rsidR="00BB3751" w:rsidRPr="00384ADB" w:rsidRDefault="00CA42A9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b/>
                <w:sz w:val="24"/>
              </w:rPr>
              <w:t>220</w:t>
            </w:r>
          </w:p>
        </w:tc>
        <w:tc>
          <w:tcPr>
            <w:tcW w:w="7620" w:type="dxa"/>
          </w:tcPr>
          <w:p w:rsidR="00BB3751" w:rsidRPr="00384ADB" w:rsidRDefault="00BB3751" w:rsidP="0039317F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Z toho: investiční portfolio</w:t>
            </w:r>
          </w:p>
          <w:p w:rsidR="00BB3751" w:rsidRPr="00384ADB" w:rsidRDefault="00BB3751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</w:p>
          <w:p w:rsidR="00BB3751" w:rsidRPr="00384ADB" w:rsidRDefault="00BB3751" w:rsidP="004675B7">
            <w:pPr>
              <w:spacing w:before="0" w:after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Částka investičního portfolia z celkové expozice před uplatněním výjimek a snížením úvěrového rizika. </w:t>
            </w:r>
          </w:p>
          <w:p w:rsidR="00BB3751" w:rsidRPr="00384ADB" w:rsidRDefault="00BB3751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</w:p>
        </w:tc>
      </w:tr>
      <w:tr w:rsidR="00BB3751" w:rsidRPr="00384ADB" w:rsidTr="00E17043">
        <w:tc>
          <w:tcPr>
            <w:tcW w:w="1418" w:type="dxa"/>
          </w:tcPr>
          <w:p w:rsidR="00BB3751" w:rsidRPr="00384ADB" w:rsidRDefault="00CA42A9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b/>
                <w:sz w:val="24"/>
              </w:rPr>
              <w:t>230</w:t>
            </w:r>
          </w:p>
        </w:tc>
        <w:tc>
          <w:tcPr>
            <w:tcW w:w="7620" w:type="dxa"/>
          </w:tcPr>
          <w:p w:rsidR="00BB3751" w:rsidRPr="00384ADB" w:rsidRDefault="00BB3751" w:rsidP="0039317F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% způsobilého kapitálu</w:t>
            </w:r>
          </w:p>
          <w:p w:rsidR="00BB3751" w:rsidRPr="00384ADB" w:rsidRDefault="00BB3751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</w:p>
          <w:p w:rsidR="00BB3751" w:rsidRPr="00384ADB" w:rsidRDefault="00BB3751" w:rsidP="00395EED">
            <w:pPr>
              <w:spacing w:before="0" w:after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Ustanovení čl. 4 odst. 1 bodu 71 písm. b) a článku 395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CRR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.</w:t>
            </w:r>
          </w:p>
          <w:p w:rsidR="00BB3751" w:rsidRPr="00384ADB" w:rsidRDefault="00BB3751" w:rsidP="004675B7">
            <w:pPr>
              <w:spacing w:before="0" w:after="0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</w:pPr>
          </w:p>
          <w:p w:rsidR="00BB3751" w:rsidRPr="00384ADB" w:rsidRDefault="00BB3751" w:rsidP="0061723E">
            <w:pPr>
              <w:spacing w:before="0" w:after="0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Vykazovaná částka je procentem hodnoty expozice před uplatněním výjimek 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lastRenderedPageBreak/>
              <w:t>a snížením úvěrového rizika týkající se použitelného kapitálu instituce dle definice v čl. 4 odst. 1 bodě 71 písm. b)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CRR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.</w:t>
            </w:r>
          </w:p>
          <w:p w:rsidR="00BB3751" w:rsidRPr="00384ADB" w:rsidRDefault="00BB3751" w:rsidP="00151B6A">
            <w:pPr>
              <w:spacing w:before="0" w:after="0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</w:p>
        </w:tc>
      </w:tr>
      <w:tr w:rsidR="00BB3751" w:rsidRPr="00384ADB" w:rsidTr="00E17043">
        <w:tc>
          <w:tcPr>
            <w:tcW w:w="1418" w:type="dxa"/>
          </w:tcPr>
          <w:p w:rsidR="00BB3751" w:rsidRPr="00384ADB" w:rsidRDefault="00CA42A9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b/>
                <w:sz w:val="24"/>
              </w:rPr>
              <w:lastRenderedPageBreak/>
              <w:t>240-310</w:t>
            </w:r>
          </w:p>
        </w:tc>
        <w:tc>
          <w:tcPr>
            <w:tcW w:w="7620" w:type="dxa"/>
          </w:tcPr>
          <w:p w:rsidR="00BB3751" w:rsidRPr="00384ADB" w:rsidRDefault="00BB3751" w:rsidP="0039317F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(-) Uznatelné techniky snižování úvěrového rizika (CRM)</w:t>
            </w:r>
          </w:p>
          <w:p w:rsidR="00BB3751" w:rsidRPr="00384ADB" w:rsidRDefault="00BB3751" w:rsidP="004675B7">
            <w:pPr>
              <w:spacing w:before="0" w:after="0"/>
              <w:rPr>
                <w:rStyle w:val="InstructionsTabelleberschrift"/>
                <w:rFonts w:ascii="Times New Roman" w:hAnsi="Times New Roman"/>
                <w:sz w:val="24"/>
                <w:u w:val="none"/>
              </w:rPr>
            </w:pPr>
          </w:p>
          <w:p w:rsidR="00BB3751" w:rsidRPr="00384ADB" w:rsidRDefault="00BB3751" w:rsidP="004675B7">
            <w:pPr>
              <w:spacing w:before="0" w:after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Články 399 a 401 až 403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CRR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.</w:t>
            </w:r>
          </w:p>
          <w:p w:rsidR="00BB3751" w:rsidRPr="00384ADB" w:rsidRDefault="00BB3751" w:rsidP="004675B7">
            <w:pPr>
              <w:spacing w:before="0" w:after="0"/>
              <w:rPr>
                <w:rStyle w:val="InstructionsTabelleberschrift"/>
                <w:rFonts w:ascii="Times New Roman" w:hAnsi="Times New Roman"/>
                <w:sz w:val="24"/>
                <w:u w:val="none"/>
              </w:rPr>
            </w:pPr>
          </w:p>
          <w:p w:rsidR="00BB3751" w:rsidRPr="00384ADB" w:rsidRDefault="00BB3751" w:rsidP="004675B7">
            <w:pPr>
              <w:spacing w:before="0" w:after="0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Techniky snižování úvěrového rizika jsou definovány v čl. 4 odst. 1 </w:t>
            </w:r>
            <w:proofErr w:type="gramStart"/>
            <w:r>
              <w:rPr>
                <w:rStyle w:val="FormatvorlageInstructionsTabelleText"/>
                <w:rFonts w:ascii="Times New Roman" w:hAnsi="Times New Roman"/>
                <w:sz w:val="24"/>
              </w:rPr>
              <w:t>bodě</w:t>
            </w:r>
            <w:proofErr w:type="gram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57 CRR.</w:t>
            </w:r>
          </w:p>
          <w:p w:rsidR="00BB3751" w:rsidRPr="00384ADB" w:rsidRDefault="00BB3751" w:rsidP="004675B7">
            <w:pPr>
              <w:spacing w:before="0" w:after="0"/>
              <w:rPr>
                <w:rStyle w:val="FormatvorlageInstructionsTabelleText"/>
                <w:rFonts w:ascii="Times New Roman" w:hAnsi="Times New Roman"/>
                <w:sz w:val="24"/>
              </w:rPr>
            </w:pPr>
          </w:p>
          <w:p w:rsidR="00BB3751" w:rsidRPr="00384ADB" w:rsidRDefault="00BB3751" w:rsidP="004675B7">
            <w:pPr>
              <w:spacing w:before="0" w:after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Pro účely tohoto podávání zpráv se použijí techniky snižování rizika uved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e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né v části třetí hlavě II kapitolách 3 a 4 CRR v souladu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s články 401 až 403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CRR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. </w:t>
            </w:r>
          </w:p>
          <w:p w:rsidR="00BB3751" w:rsidRPr="00384ADB" w:rsidRDefault="00BB3751" w:rsidP="004675B7">
            <w:pPr>
              <w:spacing w:before="0" w:after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</w:p>
          <w:p w:rsidR="00BB3751" w:rsidRPr="00384ADB" w:rsidRDefault="00BB3751" w:rsidP="004675B7">
            <w:pPr>
              <w:spacing w:before="0" w:after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Techniky snižování úvěrového rizika mohou mít v režimu LE tři různé úči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n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ky: substituční účinek; majetkové zajištění úvěrového rizika s výjimkou su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b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stitučního účinku a postup s využitím nemovitostí.</w:t>
            </w:r>
          </w:p>
          <w:p w:rsidR="00BB3751" w:rsidRPr="00384ADB" w:rsidRDefault="00BB3751" w:rsidP="00E02226">
            <w:pPr>
              <w:spacing w:before="0" w:after="0"/>
              <w:rPr>
                <w:rStyle w:val="InstructionsTabelleberschrift"/>
                <w:rFonts w:ascii="Times New Roman" w:hAnsi="Times New Roman"/>
                <w:sz w:val="24"/>
              </w:rPr>
            </w:pPr>
          </w:p>
        </w:tc>
      </w:tr>
      <w:tr w:rsidR="00BB3751" w:rsidRPr="00384ADB" w:rsidTr="00E17043">
        <w:tc>
          <w:tcPr>
            <w:tcW w:w="1418" w:type="dxa"/>
          </w:tcPr>
          <w:p w:rsidR="00BB3751" w:rsidRPr="00384ADB" w:rsidRDefault="00CA42A9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b/>
                <w:sz w:val="24"/>
              </w:rPr>
              <w:t>240-290</w:t>
            </w:r>
          </w:p>
        </w:tc>
        <w:tc>
          <w:tcPr>
            <w:tcW w:w="7620" w:type="dxa"/>
          </w:tcPr>
          <w:p w:rsidR="00BB3751" w:rsidRPr="00384ADB" w:rsidRDefault="00BB3751" w:rsidP="0039317F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(-) Substituční účinek způsobilých technik zmírnění úvěrového rizika</w:t>
            </w:r>
          </w:p>
          <w:p w:rsidR="00BB3751" w:rsidRPr="00384ADB" w:rsidRDefault="00BB3751" w:rsidP="0039317F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</w:p>
          <w:p w:rsidR="00BB3751" w:rsidRPr="0039317F" w:rsidRDefault="00BB3751" w:rsidP="0039317F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Článek 403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CRR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.</w:t>
            </w:r>
          </w:p>
          <w:p w:rsidR="00B0191A" w:rsidRPr="0039317F" w:rsidRDefault="00B0191A" w:rsidP="000F0ADE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</w:p>
          <w:p w:rsidR="00B0191A" w:rsidRPr="0039317F" w:rsidRDefault="00BB3751" w:rsidP="000F0ADE">
            <w:pPr>
              <w:pStyle w:val="InstructionsText"/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Výše majetkového a osobního zajištění úvěrového rizika, které se vykazuje v těchto sloupcích, musí odpovídat expozicím zaručeným třetí stranou</w:t>
            </w:r>
            <w:r>
              <w:t xml:space="preserve"> nebo zajištěným kolaterálem vydaným třetí stranou, pokud se instituce rozhodne zacházet s expozicí, jako kdyby vznikla vůči ručiteli nebo emitentovi kolat</w:t>
            </w:r>
            <w:r>
              <w:t>e</w:t>
            </w:r>
            <w:r>
              <w:t>rálu.</w:t>
            </w:r>
          </w:p>
          <w:p w:rsidR="00B0191A" w:rsidRPr="00384ADB" w:rsidRDefault="00B0191A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</w:pPr>
          </w:p>
        </w:tc>
      </w:tr>
      <w:tr w:rsidR="00BB3751" w:rsidRPr="00384ADB" w:rsidTr="00E17043">
        <w:tc>
          <w:tcPr>
            <w:tcW w:w="1418" w:type="dxa"/>
          </w:tcPr>
          <w:p w:rsidR="00BB3751" w:rsidRPr="00384ADB" w:rsidRDefault="00CA42A9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b/>
                <w:sz w:val="24"/>
              </w:rPr>
              <w:t>240</w:t>
            </w:r>
          </w:p>
        </w:tc>
        <w:tc>
          <w:tcPr>
            <w:tcW w:w="7620" w:type="dxa"/>
          </w:tcPr>
          <w:p w:rsidR="00BB3751" w:rsidRPr="00384ADB" w:rsidRDefault="00BB3751" w:rsidP="0039317F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(-) Dluhové nástroje</w:t>
            </w:r>
          </w:p>
          <w:p w:rsidR="00BB3751" w:rsidRPr="00384ADB" w:rsidRDefault="00BB3751" w:rsidP="0039317F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</w:p>
          <w:p w:rsidR="00BB3751" w:rsidRPr="00384ADB" w:rsidRDefault="00BB3751" w:rsidP="000F0ADE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Viz sloupec 060.</w:t>
            </w:r>
          </w:p>
          <w:p w:rsidR="00B0191A" w:rsidRPr="00384ADB" w:rsidRDefault="00B0191A" w:rsidP="000F0ADE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</w:p>
        </w:tc>
      </w:tr>
      <w:tr w:rsidR="00BB3751" w:rsidRPr="00384ADB" w:rsidTr="00E17043">
        <w:tc>
          <w:tcPr>
            <w:tcW w:w="1418" w:type="dxa"/>
          </w:tcPr>
          <w:p w:rsidR="00BB3751" w:rsidRPr="00384ADB" w:rsidRDefault="00CA42A9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b/>
                <w:sz w:val="24"/>
              </w:rPr>
              <w:t>250</w:t>
            </w:r>
          </w:p>
        </w:tc>
        <w:tc>
          <w:tcPr>
            <w:tcW w:w="7620" w:type="dxa"/>
          </w:tcPr>
          <w:p w:rsidR="00BB3751" w:rsidRPr="00384ADB" w:rsidRDefault="00BB3751" w:rsidP="0039317F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(-) Kapitálové nástroje</w:t>
            </w:r>
          </w:p>
          <w:p w:rsidR="00BB3751" w:rsidRPr="00384ADB" w:rsidRDefault="00BB3751" w:rsidP="0039317F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</w:p>
          <w:p w:rsidR="00BB3751" w:rsidRPr="00384ADB" w:rsidRDefault="00BB3751" w:rsidP="000F0ADE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Viz sloupec 070.</w:t>
            </w:r>
          </w:p>
          <w:p w:rsidR="00B0191A" w:rsidRPr="00384ADB" w:rsidRDefault="00B0191A" w:rsidP="000F0ADE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</w:p>
        </w:tc>
      </w:tr>
      <w:tr w:rsidR="00BB3751" w:rsidRPr="00384ADB" w:rsidTr="00E17043">
        <w:tc>
          <w:tcPr>
            <w:tcW w:w="1418" w:type="dxa"/>
          </w:tcPr>
          <w:p w:rsidR="00BB3751" w:rsidRPr="00384ADB" w:rsidRDefault="00CA42A9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b/>
                <w:sz w:val="24"/>
              </w:rPr>
              <w:t>260</w:t>
            </w:r>
          </w:p>
        </w:tc>
        <w:tc>
          <w:tcPr>
            <w:tcW w:w="7620" w:type="dxa"/>
          </w:tcPr>
          <w:p w:rsidR="00BB3751" w:rsidRPr="00384ADB" w:rsidRDefault="00BB3751" w:rsidP="0039317F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(-) Deriváty</w:t>
            </w:r>
          </w:p>
          <w:p w:rsidR="00BB3751" w:rsidRPr="00384ADB" w:rsidRDefault="00BB3751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</w:p>
          <w:p w:rsidR="00BB3751" w:rsidRPr="00384ADB" w:rsidRDefault="00BB3751" w:rsidP="000F0ADE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Viz sloupec 080.</w:t>
            </w:r>
          </w:p>
          <w:p w:rsidR="00B0191A" w:rsidRPr="00384ADB" w:rsidRDefault="00B0191A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</w:p>
        </w:tc>
      </w:tr>
      <w:tr w:rsidR="00BB3751" w:rsidRPr="00384ADB" w:rsidTr="00E17043">
        <w:tc>
          <w:tcPr>
            <w:tcW w:w="1418" w:type="dxa"/>
          </w:tcPr>
          <w:p w:rsidR="00BB3751" w:rsidRPr="00384ADB" w:rsidRDefault="00CA42A9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b/>
                <w:sz w:val="24"/>
              </w:rPr>
              <w:t>270-290</w:t>
            </w:r>
          </w:p>
        </w:tc>
        <w:tc>
          <w:tcPr>
            <w:tcW w:w="7620" w:type="dxa"/>
          </w:tcPr>
          <w:p w:rsidR="00BB3751" w:rsidRPr="00384ADB" w:rsidRDefault="00BB3751" w:rsidP="0039317F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(-) Podrozvahové položky</w:t>
            </w:r>
          </w:p>
          <w:p w:rsidR="00BB3751" w:rsidRPr="00384ADB" w:rsidRDefault="00BB3751" w:rsidP="0039317F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</w:rPr>
            </w:pPr>
          </w:p>
          <w:p w:rsidR="00BB3751" w:rsidRPr="00384ADB" w:rsidRDefault="00BB3751" w:rsidP="00B9340F">
            <w:pPr>
              <w:spacing w:before="0" w:after="0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Na hodnotu těchto sloupců se neuplatní konverzní faktory.</w:t>
            </w:r>
          </w:p>
          <w:p w:rsidR="00BB3751" w:rsidRPr="00384ADB" w:rsidRDefault="00BB3751" w:rsidP="0039317F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</w:p>
        </w:tc>
      </w:tr>
      <w:tr w:rsidR="00BB3751" w:rsidRPr="00384ADB" w:rsidTr="00E17043">
        <w:tc>
          <w:tcPr>
            <w:tcW w:w="1418" w:type="dxa"/>
          </w:tcPr>
          <w:p w:rsidR="00BB3751" w:rsidRPr="00384ADB" w:rsidRDefault="00CA42A9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b/>
                <w:sz w:val="24"/>
              </w:rPr>
              <w:t>270</w:t>
            </w:r>
          </w:p>
        </w:tc>
        <w:tc>
          <w:tcPr>
            <w:tcW w:w="7620" w:type="dxa"/>
          </w:tcPr>
          <w:p w:rsidR="00BB3751" w:rsidRPr="00384ADB" w:rsidRDefault="00BB3751" w:rsidP="0039317F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(-) Úvěrové přísliby</w:t>
            </w:r>
          </w:p>
          <w:p w:rsidR="00BB3751" w:rsidRPr="00384ADB" w:rsidRDefault="00BB3751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</w:p>
          <w:p w:rsidR="00BB3751" w:rsidRPr="00384ADB" w:rsidRDefault="00BB3751" w:rsidP="000F0ADE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Viz sloupec 090.</w:t>
            </w:r>
          </w:p>
          <w:p w:rsidR="00B0191A" w:rsidRPr="00384ADB" w:rsidRDefault="00B0191A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</w:p>
        </w:tc>
      </w:tr>
      <w:tr w:rsidR="00BB3751" w:rsidRPr="00384ADB" w:rsidTr="00E17043">
        <w:tc>
          <w:tcPr>
            <w:tcW w:w="1418" w:type="dxa"/>
          </w:tcPr>
          <w:p w:rsidR="00BB3751" w:rsidRPr="00384ADB" w:rsidRDefault="00CA42A9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b/>
                <w:sz w:val="24"/>
              </w:rPr>
              <w:t>280</w:t>
            </w:r>
          </w:p>
        </w:tc>
        <w:tc>
          <w:tcPr>
            <w:tcW w:w="7620" w:type="dxa"/>
          </w:tcPr>
          <w:p w:rsidR="00BB3751" w:rsidRPr="00384ADB" w:rsidRDefault="00BB3751" w:rsidP="0039317F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(-) Finanční záruky</w:t>
            </w:r>
          </w:p>
          <w:p w:rsidR="00BB3751" w:rsidRPr="00384ADB" w:rsidRDefault="00BB3751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</w:p>
          <w:p w:rsidR="00BB3751" w:rsidRPr="00384ADB" w:rsidRDefault="00BB3751" w:rsidP="000F0ADE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Viz sloupec 100.</w:t>
            </w:r>
          </w:p>
          <w:p w:rsidR="00B0191A" w:rsidRPr="00384ADB" w:rsidRDefault="00B0191A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</w:p>
        </w:tc>
      </w:tr>
      <w:tr w:rsidR="00BB3751" w:rsidRPr="00384ADB" w:rsidTr="00E17043">
        <w:tc>
          <w:tcPr>
            <w:tcW w:w="1418" w:type="dxa"/>
          </w:tcPr>
          <w:p w:rsidR="00BB3751" w:rsidRPr="00384ADB" w:rsidRDefault="00CA42A9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b/>
                <w:sz w:val="24"/>
              </w:rPr>
              <w:lastRenderedPageBreak/>
              <w:t>290</w:t>
            </w:r>
          </w:p>
        </w:tc>
        <w:tc>
          <w:tcPr>
            <w:tcW w:w="7620" w:type="dxa"/>
          </w:tcPr>
          <w:p w:rsidR="00BB3751" w:rsidRPr="00384ADB" w:rsidRDefault="00BB3751" w:rsidP="0039317F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(-) Jiné přísliby</w:t>
            </w:r>
          </w:p>
          <w:p w:rsidR="00BB3751" w:rsidRPr="00384ADB" w:rsidRDefault="00BB3751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</w:p>
          <w:p w:rsidR="00BB3751" w:rsidRPr="00384ADB" w:rsidRDefault="00BB3751" w:rsidP="000F0ADE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Viz sloupec 110.</w:t>
            </w:r>
          </w:p>
          <w:p w:rsidR="00B0191A" w:rsidRPr="00384ADB" w:rsidRDefault="00B0191A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</w:p>
        </w:tc>
      </w:tr>
      <w:tr w:rsidR="00BB3751" w:rsidRPr="00384ADB" w:rsidTr="00E17043">
        <w:tc>
          <w:tcPr>
            <w:tcW w:w="1418" w:type="dxa"/>
          </w:tcPr>
          <w:p w:rsidR="00BB3751" w:rsidRPr="00384ADB" w:rsidRDefault="00CA42A9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b/>
                <w:sz w:val="24"/>
              </w:rPr>
              <w:t>300</w:t>
            </w:r>
          </w:p>
        </w:tc>
        <w:tc>
          <w:tcPr>
            <w:tcW w:w="7620" w:type="dxa"/>
          </w:tcPr>
          <w:p w:rsidR="00BB3751" w:rsidRPr="00384ADB" w:rsidRDefault="00BB3751" w:rsidP="0039317F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(-) Majetkové zajištění úvěrového rizika jiné než substituční účinek</w:t>
            </w:r>
          </w:p>
          <w:p w:rsidR="00BB3751" w:rsidRPr="00384ADB" w:rsidRDefault="00BB3751" w:rsidP="0039317F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</w:p>
          <w:p w:rsidR="00BB3751" w:rsidRPr="00384ADB" w:rsidRDefault="00BB3751" w:rsidP="000F0ADE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Článek 401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CRR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.</w:t>
            </w:r>
          </w:p>
          <w:p w:rsidR="00B0191A" w:rsidRPr="00384ADB" w:rsidRDefault="00B0191A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</w:p>
          <w:p w:rsidR="00B0191A" w:rsidRPr="00384ADB" w:rsidRDefault="0054768B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Instituce vykazuje částky majetkového zajištění úvěrového rizika, jak je d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e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finováno v čl. 4 odst. 1 bodu 58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CRR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, které se odečtou od hodnoty expozice v důsledku uplatnění článku 401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CRR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.</w:t>
            </w:r>
          </w:p>
          <w:p w:rsidR="00B0191A" w:rsidRPr="00384ADB" w:rsidRDefault="00B0191A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</w:p>
        </w:tc>
      </w:tr>
      <w:tr w:rsidR="00BB3751" w:rsidRPr="00384ADB" w:rsidTr="00E17043">
        <w:tc>
          <w:tcPr>
            <w:tcW w:w="1418" w:type="dxa"/>
          </w:tcPr>
          <w:p w:rsidR="00BB3751" w:rsidRPr="00384ADB" w:rsidRDefault="00CA42A9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b/>
                <w:sz w:val="24"/>
              </w:rPr>
              <w:t>310</w:t>
            </w:r>
          </w:p>
        </w:tc>
        <w:tc>
          <w:tcPr>
            <w:tcW w:w="7620" w:type="dxa"/>
          </w:tcPr>
          <w:p w:rsidR="00BB3751" w:rsidRPr="00384ADB" w:rsidRDefault="00BB3751" w:rsidP="0039317F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(-) Nemovitosti</w:t>
            </w:r>
          </w:p>
          <w:p w:rsidR="00BB3751" w:rsidRPr="00384ADB" w:rsidRDefault="00BB3751" w:rsidP="0039317F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</w:p>
          <w:p w:rsidR="00BB3751" w:rsidRPr="00384ADB" w:rsidRDefault="00BB3751" w:rsidP="000F0ADE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Článek 402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CRR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.</w:t>
            </w:r>
          </w:p>
          <w:p w:rsidR="00B0191A" w:rsidRPr="00384ADB" w:rsidRDefault="00B0191A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</w:p>
          <w:p w:rsidR="00B0191A" w:rsidRPr="00384ADB" w:rsidRDefault="0054768B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Instituce vykazuje částky odečtené od hodnoty expozice v důsledku uplatn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ě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ní článku 402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CRR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.</w:t>
            </w:r>
          </w:p>
          <w:p w:rsidR="00B0191A" w:rsidRPr="00384ADB" w:rsidRDefault="00B0191A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</w:p>
        </w:tc>
      </w:tr>
      <w:tr w:rsidR="00BB3751" w:rsidRPr="00384ADB" w:rsidTr="00E17043">
        <w:tc>
          <w:tcPr>
            <w:tcW w:w="1418" w:type="dxa"/>
          </w:tcPr>
          <w:p w:rsidR="00BB3751" w:rsidRPr="00384ADB" w:rsidRDefault="00CA42A9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b/>
                <w:sz w:val="24"/>
              </w:rPr>
              <w:t>320</w:t>
            </w:r>
          </w:p>
        </w:tc>
        <w:tc>
          <w:tcPr>
            <w:tcW w:w="7620" w:type="dxa"/>
          </w:tcPr>
          <w:p w:rsidR="00BB3751" w:rsidRPr="00384ADB" w:rsidRDefault="00BB3751" w:rsidP="0039317F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(-) Vyňaté částky</w:t>
            </w:r>
          </w:p>
          <w:p w:rsidR="00BB3751" w:rsidRPr="00384ADB" w:rsidRDefault="00BB3751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</w:p>
          <w:p w:rsidR="00BB3751" w:rsidRPr="00384ADB" w:rsidRDefault="00BB3751" w:rsidP="00054652">
            <w:pPr>
              <w:spacing w:before="0" w:after="0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Článek 400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CRR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.</w:t>
            </w:r>
          </w:p>
          <w:p w:rsidR="00BB3751" w:rsidRPr="00384ADB" w:rsidRDefault="00BB3751" w:rsidP="00054652">
            <w:pPr>
              <w:spacing w:before="0" w:after="0"/>
              <w:rPr>
                <w:rStyle w:val="FormatvorlageInstructionsTabelleText"/>
                <w:rFonts w:ascii="Times New Roman" w:hAnsi="Times New Roman"/>
                <w:sz w:val="24"/>
              </w:rPr>
            </w:pPr>
          </w:p>
          <w:p w:rsidR="00BB3751" w:rsidRPr="00384ADB" w:rsidRDefault="0054768B" w:rsidP="00054652">
            <w:pPr>
              <w:spacing w:before="0" w:after="0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Instituce podá zprávu o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 částkách vyňatých z režimu LE.</w:t>
            </w:r>
          </w:p>
          <w:p w:rsidR="00BB3751" w:rsidRPr="00384ADB" w:rsidRDefault="00BB3751" w:rsidP="006344BC">
            <w:pPr>
              <w:spacing w:before="0" w:after="0"/>
              <w:rPr>
                <w:rStyle w:val="InstructionsTabelleberschrift"/>
                <w:rFonts w:ascii="Times New Roman" w:hAnsi="Times New Roman"/>
                <w:sz w:val="24"/>
              </w:rPr>
            </w:pPr>
          </w:p>
        </w:tc>
      </w:tr>
      <w:tr w:rsidR="00BB3751" w:rsidRPr="00384ADB" w:rsidTr="00E17043">
        <w:tc>
          <w:tcPr>
            <w:tcW w:w="1418" w:type="dxa"/>
          </w:tcPr>
          <w:p w:rsidR="00BB3751" w:rsidRPr="00384ADB" w:rsidRDefault="00CA42A9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b/>
                <w:sz w:val="24"/>
              </w:rPr>
              <w:t>330-350</w:t>
            </w:r>
          </w:p>
        </w:tc>
        <w:tc>
          <w:tcPr>
            <w:tcW w:w="7620" w:type="dxa"/>
          </w:tcPr>
          <w:p w:rsidR="00BB3751" w:rsidRPr="00384ADB" w:rsidRDefault="00BB3751" w:rsidP="0039317F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Hodnota expozice po uplatnění výjimek a CRM</w:t>
            </w:r>
          </w:p>
          <w:p w:rsidR="00BB3751" w:rsidRPr="0039317F" w:rsidRDefault="00BB3751" w:rsidP="0039317F">
            <w:pPr>
              <w:pStyle w:val="InstructionsText"/>
            </w:pPr>
          </w:p>
          <w:p w:rsidR="00BB3751" w:rsidRPr="0039317F" w:rsidRDefault="00BB3751" w:rsidP="0039317F">
            <w:pPr>
              <w:pStyle w:val="InstructionsText"/>
            </w:pPr>
            <w:r>
              <w:t xml:space="preserve">Ustanovení čl. 394 odst. 1 písm. d) 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CRR</w:t>
            </w:r>
            <w:r>
              <w:t>.</w:t>
            </w:r>
          </w:p>
          <w:p w:rsidR="00B0191A" w:rsidRPr="0039317F" w:rsidRDefault="00B0191A" w:rsidP="000F0ADE">
            <w:pPr>
              <w:pStyle w:val="InstructionsText"/>
            </w:pPr>
          </w:p>
          <w:p w:rsidR="00B0191A" w:rsidRPr="0039317F" w:rsidRDefault="0054768B">
            <w:pPr>
              <w:pStyle w:val="InstructionsText"/>
            </w:pPr>
            <w:r>
              <w:t>Instituce vykazuje hodnotu expozice po zohlednění účinku výjimek a sniž</w:t>
            </w:r>
            <w:r>
              <w:t>o</w:t>
            </w:r>
            <w:r>
              <w:t xml:space="preserve">vání úvěrového rizika vypočítanou pro účely čl. 395 odst. 1 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CRR</w:t>
            </w:r>
            <w:r>
              <w:t>.</w:t>
            </w:r>
          </w:p>
          <w:p w:rsidR="00B0191A" w:rsidRPr="00384ADB" w:rsidRDefault="00B0191A">
            <w:pPr>
              <w:pStyle w:val="InstructionsText"/>
              <w:rPr>
                <w:rStyle w:val="InstructionsTabelleberschrift"/>
                <w:rFonts w:ascii="Times New Roman" w:hAnsi="Times New Roman"/>
                <w:bCs w:val="0"/>
                <w:sz w:val="24"/>
              </w:rPr>
            </w:pPr>
          </w:p>
        </w:tc>
      </w:tr>
      <w:tr w:rsidR="00BB3751" w:rsidRPr="00384ADB" w:rsidTr="00E17043">
        <w:tc>
          <w:tcPr>
            <w:tcW w:w="1418" w:type="dxa"/>
          </w:tcPr>
          <w:p w:rsidR="00BB3751" w:rsidRPr="00384ADB" w:rsidRDefault="00CA42A9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b/>
                <w:sz w:val="24"/>
              </w:rPr>
              <w:t>330</w:t>
            </w:r>
          </w:p>
        </w:tc>
        <w:tc>
          <w:tcPr>
            <w:tcW w:w="7620" w:type="dxa"/>
          </w:tcPr>
          <w:p w:rsidR="00BB3751" w:rsidRPr="00384ADB" w:rsidRDefault="00BB3751" w:rsidP="0039317F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Celkem</w:t>
            </w:r>
          </w:p>
          <w:p w:rsidR="00BB3751" w:rsidRPr="00384ADB" w:rsidRDefault="00BB3751" w:rsidP="0039317F">
            <w:pPr>
              <w:pStyle w:val="InstructionsText"/>
            </w:pPr>
          </w:p>
          <w:p w:rsidR="00BB3751" w:rsidRPr="0039317F" w:rsidRDefault="00BB3751" w:rsidP="000F0ADE">
            <w:pPr>
              <w:pStyle w:val="InstructionsText"/>
            </w:pPr>
            <w:r>
              <w:t>V tomto sloupci se uvede částka, která se má zohlednit s cílem splnit limit velkých expozic uvedený v článku 395 CRR.</w:t>
            </w:r>
          </w:p>
          <w:p w:rsidR="00B0191A" w:rsidRPr="00384ADB" w:rsidRDefault="00B0191A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</w:p>
        </w:tc>
      </w:tr>
      <w:tr w:rsidR="00BB3751" w:rsidRPr="00384ADB" w:rsidTr="00E17043">
        <w:tc>
          <w:tcPr>
            <w:tcW w:w="1418" w:type="dxa"/>
          </w:tcPr>
          <w:p w:rsidR="00BB3751" w:rsidRPr="00384ADB" w:rsidRDefault="00CA42A9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b/>
                <w:sz w:val="24"/>
              </w:rPr>
              <w:t>340</w:t>
            </w:r>
          </w:p>
        </w:tc>
        <w:tc>
          <w:tcPr>
            <w:tcW w:w="7620" w:type="dxa"/>
          </w:tcPr>
          <w:p w:rsidR="00BB3751" w:rsidRPr="00384ADB" w:rsidRDefault="00BB3751" w:rsidP="0039317F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Z toho: investiční portfolio</w:t>
            </w:r>
          </w:p>
          <w:p w:rsidR="00BB3751" w:rsidRPr="00384ADB" w:rsidRDefault="00BB3751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</w:p>
          <w:p w:rsidR="00BB3751" w:rsidRPr="00384ADB" w:rsidRDefault="0054768B" w:rsidP="000F0ADE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Instituce vykazuje celkovou expozici po uplatnění výjimek a po zohlednění účinku snižování úvěrového rizika, které patří do investičního portfolia.</w:t>
            </w:r>
          </w:p>
          <w:p w:rsidR="00BB3751" w:rsidRPr="00384ADB" w:rsidRDefault="00BB3751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</w:p>
        </w:tc>
      </w:tr>
      <w:tr w:rsidR="00BB3751" w:rsidRPr="00384ADB" w:rsidTr="00E17043">
        <w:tc>
          <w:tcPr>
            <w:tcW w:w="1418" w:type="dxa"/>
          </w:tcPr>
          <w:p w:rsidR="00BB3751" w:rsidRPr="00384ADB" w:rsidRDefault="00CA42A9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b/>
                <w:sz w:val="24"/>
              </w:rPr>
              <w:t>350</w:t>
            </w:r>
          </w:p>
        </w:tc>
        <w:tc>
          <w:tcPr>
            <w:tcW w:w="7620" w:type="dxa"/>
          </w:tcPr>
          <w:p w:rsidR="00BB3751" w:rsidRPr="00384ADB" w:rsidRDefault="00BB3751" w:rsidP="0039317F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% způsobilého kapitálu</w:t>
            </w:r>
          </w:p>
          <w:p w:rsidR="00BB3751" w:rsidRPr="00384ADB" w:rsidRDefault="00BB3751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</w:p>
          <w:p w:rsidR="00BB3751" w:rsidRPr="00384ADB" w:rsidRDefault="0054768B" w:rsidP="00BE2D91">
            <w:pPr>
              <w:spacing w:before="0" w:after="0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Instituce vykáže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procento hodnoty expozice po uplatnění výjimek a snížení úvěrového rizika, týkající se použitelného kapitálu instituce dle definice v čl. 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lastRenderedPageBreak/>
              <w:t>4 odst. 1 bodě 71 písm. b)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CRR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.</w:t>
            </w:r>
          </w:p>
          <w:p w:rsidR="00BB3751" w:rsidRPr="00384ADB" w:rsidRDefault="00BB3751" w:rsidP="0039317F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</w:p>
        </w:tc>
      </w:tr>
    </w:tbl>
    <w:p w:rsidR="003105C6" w:rsidRPr="00384ADB" w:rsidRDefault="00BD0674" w:rsidP="00C52CE2">
      <w:pPr>
        <w:pStyle w:val="Instructionsberschrift2"/>
        <w:numPr>
          <w:ilvl w:val="0"/>
          <w:numId w:val="22"/>
        </w:numPr>
        <w:rPr>
          <w:rFonts w:ascii="Times New Roman" w:hAnsi="Times New Roman" w:cs="Times New Roman"/>
          <w:b/>
          <w:sz w:val="24"/>
          <w:u w:val="none"/>
        </w:rPr>
      </w:pPr>
      <w:bookmarkStart w:id="34" w:name="_Toc358305157"/>
      <w:bookmarkStart w:id="35" w:name="_Toc393461963"/>
      <w:bookmarkStart w:id="36" w:name="_Toc524076848"/>
      <w:r>
        <w:rPr>
          <w:rFonts w:ascii="Times New Roman" w:hAnsi="Times New Roman"/>
          <w:b/>
          <w:sz w:val="24"/>
          <w:u w:val="none"/>
        </w:rPr>
        <w:lastRenderedPageBreak/>
        <w:t>C 29.00 – Údaje o expozicích vůči jednotlivým klientům v rámci skupiny propoj</w:t>
      </w:r>
      <w:r>
        <w:rPr>
          <w:rFonts w:ascii="Times New Roman" w:hAnsi="Times New Roman"/>
          <w:b/>
          <w:sz w:val="24"/>
          <w:u w:val="none"/>
        </w:rPr>
        <w:t>e</w:t>
      </w:r>
      <w:r>
        <w:rPr>
          <w:rFonts w:ascii="Times New Roman" w:hAnsi="Times New Roman"/>
          <w:b/>
          <w:sz w:val="24"/>
          <w:u w:val="none"/>
        </w:rPr>
        <w:t>ných klientů</w:t>
      </w:r>
      <w:bookmarkEnd w:id="34"/>
      <w:r>
        <w:rPr>
          <w:rFonts w:ascii="Times New Roman" w:hAnsi="Times New Roman"/>
          <w:b/>
          <w:sz w:val="24"/>
          <w:u w:val="none"/>
        </w:rPr>
        <w:t xml:space="preserve"> (LE3)</w:t>
      </w:r>
      <w:bookmarkEnd w:id="35"/>
      <w:bookmarkEnd w:id="36"/>
    </w:p>
    <w:p w:rsidR="003105C6" w:rsidRPr="00384ADB" w:rsidRDefault="003105C6" w:rsidP="00C52CE2">
      <w:pPr>
        <w:pStyle w:val="Instructionsberschrift2"/>
        <w:numPr>
          <w:ilvl w:val="1"/>
          <w:numId w:val="22"/>
        </w:numPr>
        <w:rPr>
          <w:rFonts w:ascii="Times New Roman" w:hAnsi="Times New Roman" w:cs="Times New Roman"/>
          <w:sz w:val="24"/>
        </w:rPr>
      </w:pPr>
      <w:bookmarkStart w:id="37" w:name="_Toc308175824"/>
      <w:bookmarkStart w:id="38" w:name="_Toc310414970"/>
      <w:bookmarkStart w:id="39" w:name="_Toc358305158"/>
      <w:bookmarkStart w:id="40" w:name="_Toc393461964"/>
      <w:bookmarkStart w:id="41" w:name="_Toc524076849"/>
      <w:r>
        <w:rPr>
          <w:rFonts w:ascii="Times New Roman" w:hAnsi="Times New Roman"/>
          <w:sz w:val="24"/>
        </w:rPr>
        <w:t>Pokyny týkající se konkrétních</w:t>
      </w:r>
      <w:bookmarkEnd w:id="37"/>
      <w:bookmarkEnd w:id="38"/>
      <w:r>
        <w:rPr>
          <w:rFonts w:ascii="Times New Roman" w:hAnsi="Times New Roman"/>
          <w:sz w:val="24"/>
        </w:rPr>
        <w:t xml:space="preserve"> sloupců</w:t>
      </w:r>
      <w:bookmarkEnd w:id="39"/>
      <w:bookmarkEnd w:id="40"/>
      <w:bookmarkEnd w:id="41"/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7620"/>
      </w:tblGrid>
      <w:tr w:rsidR="005514AF" w:rsidRPr="00384ADB" w:rsidTr="00E17043">
        <w:tc>
          <w:tcPr>
            <w:tcW w:w="1418" w:type="dxa"/>
            <w:shd w:val="clear" w:color="auto" w:fill="D9D9D9"/>
          </w:tcPr>
          <w:p w:rsidR="005514AF" w:rsidRPr="00384ADB" w:rsidRDefault="005514AF" w:rsidP="0039317F">
            <w:pPr>
              <w:pStyle w:val="InstructionsText"/>
              <w:rPr>
                <w:rStyle w:val="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b/>
                <w:sz w:val="24"/>
              </w:rPr>
              <w:t>Sloupec</w:t>
            </w:r>
          </w:p>
        </w:tc>
        <w:tc>
          <w:tcPr>
            <w:tcW w:w="7620" w:type="dxa"/>
            <w:shd w:val="clear" w:color="auto" w:fill="D9D9D9"/>
          </w:tcPr>
          <w:p w:rsidR="005514AF" w:rsidRPr="00384ADB" w:rsidRDefault="005514AF" w:rsidP="0039317F">
            <w:pPr>
              <w:pStyle w:val="InstructionsText"/>
              <w:rPr>
                <w:rStyle w:val="InstructionsTabelleText"/>
                <w:rFonts w:ascii="Times New Roman" w:hAnsi="Times New Roman"/>
                <w:b/>
                <w:bCs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b/>
                <w:sz w:val="24"/>
              </w:rPr>
              <w:t>Odkazy na právní předpisy a pokyny</w:t>
            </w:r>
          </w:p>
        </w:tc>
      </w:tr>
      <w:tr w:rsidR="005514AF" w:rsidRPr="00384ADB" w:rsidTr="00E17043">
        <w:tc>
          <w:tcPr>
            <w:tcW w:w="1418" w:type="dxa"/>
          </w:tcPr>
          <w:p w:rsidR="005514AF" w:rsidRPr="00384ADB" w:rsidRDefault="008A4511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b/>
                <w:sz w:val="24"/>
              </w:rPr>
              <w:t>010-360</w:t>
            </w:r>
          </w:p>
        </w:tc>
        <w:tc>
          <w:tcPr>
            <w:tcW w:w="7620" w:type="dxa"/>
          </w:tcPr>
          <w:p w:rsidR="00704405" w:rsidRPr="00384ADB" w:rsidRDefault="00704405" w:rsidP="0039317F">
            <w:pPr>
              <w:pStyle w:val="InstructionsText"/>
            </w:pPr>
          </w:p>
          <w:p w:rsidR="005514AF" w:rsidRPr="00384ADB" w:rsidRDefault="00BA7374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t xml:space="preserve">Instituce vykazuje v šabloně LE3 údaje o jednotlivých klientech, kteří patří do ekonomicky spjatých skupin klientů uvedených v řádcích šablony LE2. </w:t>
            </w:r>
          </w:p>
          <w:p w:rsidR="009F75EC" w:rsidRPr="00384ADB" w:rsidRDefault="009F75EC" w:rsidP="000F0ADE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</w:p>
        </w:tc>
      </w:tr>
      <w:tr w:rsidR="006E7C46" w:rsidRPr="00384ADB" w:rsidTr="00383747">
        <w:trPr>
          <w:trHeight w:val="1203"/>
        </w:trPr>
        <w:tc>
          <w:tcPr>
            <w:tcW w:w="1418" w:type="dxa"/>
          </w:tcPr>
          <w:p w:rsidR="006E7C46" w:rsidRPr="00384ADB" w:rsidRDefault="008A4511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b/>
                <w:sz w:val="24"/>
              </w:rPr>
              <w:t>010</w:t>
            </w:r>
          </w:p>
        </w:tc>
        <w:tc>
          <w:tcPr>
            <w:tcW w:w="7620" w:type="dxa"/>
          </w:tcPr>
          <w:p w:rsidR="006E7C46" w:rsidRPr="00384ADB" w:rsidRDefault="006E7C46" w:rsidP="0039317F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Kód</w:t>
            </w:r>
          </w:p>
          <w:p w:rsidR="006E7C46" w:rsidRPr="00384ADB" w:rsidRDefault="006E7C46" w:rsidP="0039317F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</w:p>
          <w:p w:rsidR="00BD0674" w:rsidRPr="00384ADB" w:rsidRDefault="00BD0674" w:rsidP="000F0ADE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Sloupce 010 a 020 jsou společným identifikátorem řádku a společně musí být pro každý řádek tabulky jedinečné.</w:t>
            </w:r>
          </w:p>
          <w:p w:rsidR="00C53963" w:rsidRPr="00384ADB" w:rsidRDefault="00C53963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Vykazuje se kód jednotlivých protistran, které patří do ekonomicky spjatých skupin klientů.</w:t>
            </w:r>
          </w:p>
          <w:p w:rsidR="00C53963" w:rsidRPr="00384ADB" w:rsidRDefault="00C53963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</w:p>
        </w:tc>
      </w:tr>
      <w:tr w:rsidR="00FC221F" w:rsidRPr="00384ADB" w:rsidTr="00383747">
        <w:trPr>
          <w:trHeight w:val="1203"/>
        </w:trPr>
        <w:tc>
          <w:tcPr>
            <w:tcW w:w="1418" w:type="dxa"/>
          </w:tcPr>
          <w:p w:rsidR="00FC221F" w:rsidRPr="00384ADB" w:rsidRDefault="008A4511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b/>
                <w:sz w:val="24"/>
              </w:rPr>
              <w:t>020</w:t>
            </w:r>
          </w:p>
        </w:tc>
        <w:tc>
          <w:tcPr>
            <w:tcW w:w="7620" w:type="dxa"/>
          </w:tcPr>
          <w:p w:rsidR="00FC221F" w:rsidRPr="00384ADB" w:rsidRDefault="00FC221F" w:rsidP="0039317F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Kód skupiny</w:t>
            </w:r>
          </w:p>
          <w:p w:rsidR="00FC221F" w:rsidRPr="00384ADB" w:rsidRDefault="00FC221F" w:rsidP="0039317F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</w:p>
          <w:p w:rsidR="00BD0674" w:rsidRDefault="00BD0674" w:rsidP="000F0ADE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Sloupce 010 a 020 jsou společným identifikátorem řádku a společně musí být pro každý řádek tabulky jedinečné.</w:t>
            </w:r>
          </w:p>
          <w:p w:rsidR="007449CB" w:rsidRPr="00384ADB" w:rsidRDefault="007449CB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Jestliže je na vnitrostátní úrovni pro ekonomicky spjatou skupinu klientů k dispozici jedinečný kód, vykáže se tento kód. Pokud na vnitrostátní úrovni žádný jedinečný kód není, vykáže se kód používaný pro podávání zpráv o expozicích vůči ekonomicky spjaté skupině klientů uvedený v šabloně C 28.00 (LE2).</w:t>
            </w:r>
          </w:p>
          <w:p w:rsidR="00B0191A" w:rsidRPr="00384ADB" w:rsidRDefault="00D46F08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t>Pokud klient náleží do více ekonomicky spjatých skupin klientů, musí být o něm podána zpráva jako o členu všech ekonomicky spjatých skupin klie</w:t>
            </w:r>
            <w:r>
              <w:t>n</w:t>
            </w:r>
            <w:r>
              <w:t>tů.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</w:t>
            </w:r>
          </w:p>
          <w:p w:rsidR="00B0191A" w:rsidRPr="00384ADB" w:rsidRDefault="00B0191A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</w:p>
        </w:tc>
      </w:tr>
      <w:tr w:rsidR="006E7C46" w:rsidRPr="00384ADB" w:rsidTr="00E17043">
        <w:tc>
          <w:tcPr>
            <w:tcW w:w="1418" w:type="dxa"/>
          </w:tcPr>
          <w:p w:rsidR="006E7C46" w:rsidRPr="00384ADB" w:rsidRDefault="008A4511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b/>
                <w:sz w:val="24"/>
              </w:rPr>
              <w:t>030</w:t>
            </w:r>
          </w:p>
        </w:tc>
        <w:tc>
          <w:tcPr>
            <w:tcW w:w="7620" w:type="dxa"/>
          </w:tcPr>
          <w:p w:rsidR="006E7C46" w:rsidRPr="00384ADB" w:rsidRDefault="006E7C46" w:rsidP="0039317F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Transakce s expozicí vůči podkladovým aktivům </w:t>
            </w:r>
          </w:p>
          <w:p w:rsidR="006E7C46" w:rsidRPr="00384ADB" w:rsidRDefault="006E7C46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</w:p>
          <w:p w:rsidR="003D3140" w:rsidRPr="00384ADB" w:rsidRDefault="003D3140" w:rsidP="000F0ADE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Viz sloupec 030 šablony LE2.</w:t>
            </w:r>
          </w:p>
          <w:p w:rsidR="00B0191A" w:rsidRPr="00384ADB" w:rsidRDefault="00B0191A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</w:p>
        </w:tc>
      </w:tr>
      <w:tr w:rsidR="005514AF" w:rsidRPr="00384ADB" w:rsidTr="00E17043">
        <w:tc>
          <w:tcPr>
            <w:tcW w:w="1418" w:type="dxa"/>
          </w:tcPr>
          <w:p w:rsidR="005514AF" w:rsidRPr="00384ADB" w:rsidRDefault="008A4511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b/>
                <w:sz w:val="24"/>
              </w:rPr>
              <w:t>040</w:t>
            </w:r>
          </w:p>
        </w:tc>
        <w:tc>
          <w:tcPr>
            <w:tcW w:w="7620" w:type="dxa"/>
          </w:tcPr>
          <w:p w:rsidR="005514AF" w:rsidRPr="00384ADB" w:rsidRDefault="00FC221F" w:rsidP="0039317F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Typ propojení</w:t>
            </w:r>
          </w:p>
          <w:p w:rsidR="005514AF" w:rsidRPr="00384ADB" w:rsidRDefault="005514AF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</w:p>
          <w:p w:rsidR="00B05254" w:rsidRPr="00384ADB" w:rsidRDefault="00D46F08" w:rsidP="000F0ADE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Typ propojení mezi jednotlivou jednotkou a ekonomicky spjatou skupinou klientů se specifikuje buď s použitím:</w:t>
            </w:r>
          </w:p>
          <w:p w:rsidR="00B0191A" w:rsidRPr="00384ADB" w:rsidRDefault="00B0191A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</w:p>
          <w:p w:rsidR="00B0191A" w:rsidRPr="00384ADB" w:rsidRDefault="00B05254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„a“ ve smyslu čl. 4 odst. 1 bodu 39 písm. a) CRR (kontrola); nebo</w:t>
            </w:r>
          </w:p>
          <w:p w:rsidR="00B0191A" w:rsidRPr="00384ADB" w:rsidRDefault="00B05254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„b“ ve smyslu čl. 4 odst. 1 bodu 39 písm. b) CRR (vzájemná propojenost).</w:t>
            </w:r>
          </w:p>
          <w:p w:rsidR="00B0191A" w:rsidRPr="00384ADB" w:rsidRDefault="00B0191A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</w:p>
        </w:tc>
      </w:tr>
      <w:tr w:rsidR="009F75EC" w:rsidRPr="00384ADB" w:rsidTr="009F75EC">
        <w:tc>
          <w:tcPr>
            <w:tcW w:w="1418" w:type="dxa"/>
          </w:tcPr>
          <w:p w:rsidR="009F75EC" w:rsidRPr="00384ADB" w:rsidRDefault="008A4511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b/>
                <w:sz w:val="24"/>
              </w:rPr>
              <w:t>050-360</w:t>
            </w:r>
          </w:p>
        </w:tc>
        <w:tc>
          <w:tcPr>
            <w:tcW w:w="7620" w:type="dxa"/>
          </w:tcPr>
          <w:p w:rsidR="00464111" w:rsidRPr="00384ADB" w:rsidRDefault="00464111" w:rsidP="0039317F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</w:p>
          <w:p w:rsidR="00464111" w:rsidRPr="00384ADB" w:rsidRDefault="00464111" w:rsidP="0039317F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Pokud jsou finanční nástroje v šabloně LE2 poskytnuty celé ekonomicky spjaté skupině klientů, musí být v šabloně LE3 přiřazeny jednotlivým prot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i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stranám v souladu s obchodními kritérii dané instituce. </w:t>
            </w:r>
          </w:p>
          <w:p w:rsidR="00667F2D" w:rsidRPr="00384ADB" w:rsidRDefault="00667F2D" w:rsidP="000F0ADE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</w:p>
          <w:p w:rsidR="00B0191A" w:rsidRPr="00384ADB" w:rsidRDefault="00667F2D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lastRenderedPageBreak/>
              <w:t>Zbývající pokyny jsou stejné jako u šablony LE2.</w:t>
            </w:r>
          </w:p>
          <w:p w:rsidR="00B0191A" w:rsidRPr="00384ADB" w:rsidRDefault="00B0191A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</w:p>
        </w:tc>
      </w:tr>
    </w:tbl>
    <w:p w:rsidR="00915A9C" w:rsidRPr="00384ADB" w:rsidRDefault="00BD0674" w:rsidP="00C52CE2">
      <w:pPr>
        <w:pStyle w:val="Instructionsberschrift2"/>
        <w:numPr>
          <w:ilvl w:val="0"/>
          <w:numId w:val="22"/>
        </w:numPr>
        <w:rPr>
          <w:rFonts w:ascii="Times New Roman" w:hAnsi="Times New Roman" w:cs="Times New Roman"/>
          <w:b/>
          <w:sz w:val="24"/>
          <w:u w:val="none"/>
        </w:rPr>
      </w:pPr>
      <w:bookmarkStart w:id="42" w:name="_Toc358305159"/>
      <w:bookmarkStart w:id="43" w:name="_Toc393461965"/>
      <w:bookmarkStart w:id="44" w:name="_Toc524076850"/>
      <w:bookmarkEnd w:id="0"/>
      <w:bookmarkEnd w:id="1"/>
      <w:r>
        <w:rPr>
          <w:rFonts w:ascii="Times New Roman" w:hAnsi="Times New Roman"/>
          <w:b/>
          <w:sz w:val="24"/>
          <w:u w:val="none"/>
        </w:rPr>
        <w:lastRenderedPageBreak/>
        <w:t>C 30.00 – Koše splatnosti deseti největších expozic vůči institucím a deseti největších expozic vůči neregulovaným subjektům finančního sektoru</w:t>
      </w:r>
      <w:bookmarkEnd w:id="42"/>
      <w:r>
        <w:rPr>
          <w:rFonts w:ascii="Times New Roman" w:hAnsi="Times New Roman"/>
          <w:b/>
          <w:sz w:val="24"/>
          <w:u w:val="none"/>
        </w:rPr>
        <w:t xml:space="preserve"> (šablona LE4)</w:t>
      </w:r>
      <w:bookmarkEnd w:id="43"/>
      <w:bookmarkEnd w:id="44"/>
    </w:p>
    <w:p w:rsidR="00915A9C" w:rsidRPr="00384ADB" w:rsidRDefault="00915A9C" w:rsidP="00C52CE2">
      <w:pPr>
        <w:pStyle w:val="Instructionsberschrift2"/>
        <w:numPr>
          <w:ilvl w:val="1"/>
          <w:numId w:val="22"/>
        </w:numPr>
        <w:rPr>
          <w:rFonts w:ascii="Times New Roman" w:hAnsi="Times New Roman" w:cs="Times New Roman"/>
          <w:sz w:val="24"/>
        </w:rPr>
      </w:pPr>
      <w:bookmarkStart w:id="45" w:name="_Toc358305160"/>
      <w:bookmarkStart w:id="46" w:name="_Toc393461966"/>
      <w:bookmarkStart w:id="47" w:name="_Toc524076851"/>
      <w:r>
        <w:rPr>
          <w:rFonts w:ascii="Times New Roman" w:hAnsi="Times New Roman"/>
          <w:sz w:val="24"/>
        </w:rPr>
        <w:t>Pokyny týkající se konkrétních sloupců</w:t>
      </w:r>
      <w:bookmarkEnd w:id="45"/>
      <w:bookmarkEnd w:id="46"/>
      <w:bookmarkEnd w:id="47"/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7620"/>
      </w:tblGrid>
      <w:tr w:rsidR="00915A9C" w:rsidRPr="00384ADB" w:rsidTr="00915A9C">
        <w:tc>
          <w:tcPr>
            <w:tcW w:w="1418" w:type="dxa"/>
            <w:shd w:val="clear" w:color="auto" w:fill="D9D9D9"/>
          </w:tcPr>
          <w:p w:rsidR="00915A9C" w:rsidRPr="00384ADB" w:rsidRDefault="00915A9C" w:rsidP="0039317F">
            <w:pPr>
              <w:pStyle w:val="InstructionsText"/>
              <w:rPr>
                <w:rStyle w:val="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b/>
                <w:sz w:val="24"/>
              </w:rPr>
              <w:t>Sloupec</w:t>
            </w:r>
          </w:p>
        </w:tc>
        <w:tc>
          <w:tcPr>
            <w:tcW w:w="7620" w:type="dxa"/>
            <w:shd w:val="clear" w:color="auto" w:fill="D9D9D9"/>
          </w:tcPr>
          <w:p w:rsidR="00915A9C" w:rsidRPr="00384ADB" w:rsidRDefault="00915A9C" w:rsidP="0039317F">
            <w:pPr>
              <w:pStyle w:val="InstructionsText"/>
              <w:rPr>
                <w:rStyle w:val="InstructionsTabelleText"/>
                <w:rFonts w:ascii="Times New Roman" w:hAnsi="Times New Roman"/>
                <w:b/>
                <w:bCs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b/>
                <w:sz w:val="24"/>
              </w:rPr>
              <w:t>Odkazy na právní předpisy a pokyny</w:t>
            </w:r>
          </w:p>
        </w:tc>
      </w:tr>
      <w:tr w:rsidR="00915A9C" w:rsidRPr="00384ADB" w:rsidTr="00915A9C">
        <w:tc>
          <w:tcPr>
            <w:tcW w:w="1418" w:type="dxa"/>
          </w:tcPr>
          <w:p w:rsidR="00915A9C" w:rsidRPr="00384ADB" w:rsidRDefault="008A4511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b/>
                <w:sz w:val="24"/>
              </w:rPr>
              <w:t>010</w:t>
            </w:r>
          </w:p>
        </w:tc>
        <w:tc>
          <w:tcPr>
            <w:tcW w:w="7620" w:type="dxa"/>
          </w:tcPr>
          <w:p w:rsidR="00915A9C" w:rsidRPr="00384ADB" w:rsidRDefault="00915A9C" w:rsidP="0039317F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Kód</w:t>
            </w:r>
          </w:p>
          <w:p w:rsidR="00915A9C" w:rsidRPr="00384ADB" w:rsidRDefault="00915A9C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</w:p>
          <w:p w:rsidR="00BD0674" w:rsidRPr="00384ADB" w:rsidRDefault="00BD0674" w:rsidP="000F0ADE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Kód je identifikátorem řádku a musí být pro každý řádek tabulky jedinečný.</w:t>
            </w:r>
          </w:p>
          <w:p w:rsidR="00B0191A" w:rsidRPr="00384ADB" w:rsidRDefault="00915A9C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Viz sloupec 010 šablony LE1.</w:t>
            </w:r>
          </w:p>
          <w:p w:rsidR="00B0191A" w:rsidRPr="00384ADB" w:rsidRDefault="00B0191A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</w:p>
        </w:tc>
      </w:tr>
      <w:tr w:rsidR="00915A9C" w:rsidRPr="00384ADB" w:rsidTr="00915A9C">
        <w:tc>
          <w:tcPr>
            <w:tcW w:w="1418" w:type="dxa"/>
          </w:tcPr>
          <w:p w:rsidR="00915A9C" w:rsidRPr="00384ADB" w:rsidRDefault="008A4511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b/>
                <w:sz w:val="24"/>
              </w:rPr>
              <w:t>020-250</w:t>
            </w:r>
          </w:p>
        </w:tc>
        <w:tc>
          <w:tcPr>
            <w:tcW w:w="7620" w:type="dxa"/>
          </w:tcPr>
          <w:p w:rsidR="00915A9C" w:rsidRPr="00384ADB" w:rsidRDefault="00915A9C" w:rsidP="0039317F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Koše splatnosti v rámci expozice</w:t>
            </w:r>
          </w:p>
          <w:p w:rsidR="00915A9C" w:rsidRPr="00384ADB" w:rsidRDefault="00915A9C" w:rsidP="0039317F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</w:p>
          <w:p w:rsidR="00ED1EF3" w:rsidRPr="00384ADB" w:rsidRDefault="00915A9C" w:rsidP="000F0ADE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Ustanovení čl. 394 odst. 2 písm. e)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CRR.</w:t>
            </w:r>
          </w:p>
          <w:p w:rsidR="00B0191A" w:rsidRPr="00384ADB" w:rsidRDefault="00B0191A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</w:p>
          <w:p w:rsidR="00B0191A" w:rsidRPr="00384ADB" w:rsidRDefault="009E6A9F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Instituce podává tyto zprávy, pokud jde o deset největších expozic vůči inst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i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tucím a deset největších expozic vůči neregulovaný</w:t>
            </w:r>
            <w:r w:rsidR="00351F7C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m subjektům finančního sektoru.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</w:t>
            </w:r>
          </w:p>
          <w:p w:rsidR="00B0191A" w:rsidRPr="00384ADB" w:rsidRDefault="00B0191A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</w:p>
          <w:p w:rsidR="00B0191A" w:rsidRPr="00384ADB" w:rsidRDefault="00ED1EF3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Koše splatnosti jsou u splatností do jednoho roku definovány s měsíčním i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n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tervalem, u splatností od jednoho roku do tří let s čtvrtletním intervalem a se splatností od tří let výše s většími intervaly. </w:t>
            </w:r>
          </w:p>
          <w:p w:rsidR="00B0191A" w:rsidRPr="00384ADB" w:rsidRDefault="00B0191A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</w:p>
          <w:p w:rsidR="00B0191A" w:rsidRPr="00384ADB" w:rsidRDefault="007449CB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U každé hodnoty expozice před uplatněním výjimek a snížením úvěrového rizika (sloupec 210 šablony LE2) se vykazuje celý nesplacený zůstatek v příslušném koši splatnosti jeho očekávané zbytkové splatnosti. V případě několika samostatných vztahů představujících expozici vůči klientovi se každá z těchto částí expozice vykazuje s celým nesplaceným zůstatkem v příslušném koši splatnosti</w:t>
            </w:r>
            <w:r w:rsidR="00351F7C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očekávané zbytkové splatnosti.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Nástroje, které nemají pevnou splatnost, jako jsou například kapitálové nástroje, se uvádějí ve sloupci „Splatnost není určena“.</w:t>
            </w:r>
          </w:p>
          <w:p w:rsidR="00B0191A" w:rsidRPr="00384ADB" w:rsidRDefault="00B0191A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</w:p>
          <w:p w:rsidR="00B0191A" w:rsidRPr="00384ADB" w:rsidRDefault="00915A9C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Očekávaná splatnost expozice se vykazuje u přímých i nepřímých expozic.</w:t>
            </w:r>
          </w:p>
          <w:p w:rsidR="00B0191A" w:rsidRPr="00384ADB" w:rsidRDefault="00B0191A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</w:p>
          <w:p w:rsidR="00B0191A" w:rsidRPr="00384ADB" w:rsidRDefault="00915A9C" w:rsidP="0039317F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U přímých expozic se při přidělování předpokládaných částek kapitálových nástrojů, dluhových nástrojů a derivátů do různých košů splatnosti této š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a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blony použijí pokyny uvedené v šabloně tabulky splatností doplňkového m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ě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ření likvidity (viz příloha XXIII tohoto nařízení). </w:t>
            </w:r>
          </w:p>
          <w:p w:rsidR="00B0191A" w:rsidRPr="00384ADB" w:rsidRDefault="00B0191A" w:rsidP="000F0ADE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</w:p>
          <w:p w:rsidR="00B0191A" w:rsidRPr="00384ADB" w:rsidRDefault="00915A9C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V případě podrozvahových položek se při přidělování předpokládaných čá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s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tek do košů splatnosti použije splatnost podkladového rizika. Přesněji to u forwardových termínových vkladů znamená strukturu splatnosti vkladu, u finančních záruk strukturu splatnosti podkladového finančního aktiva, u n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e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vyčerpaných úvěrových příslibů strukturu splatnosti úvěru a u jiných přísl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i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bů strukturu splatnosti daného příslibu.</w:t>
            </w:r>
          </w:p>
          <w:p w:rsidR="00B0191A" w:rsidRPr="00384ADB" w:rsidRDefault="00B0191A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</w:p>
          <w:p w:rsidR="00B0191A" w:rsidRDefault="00915A9C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V případě nepřímých expozic je zařazení do košů splatnosti založeno na 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lastRenderedPageBreak/>
              <w:t>splatnosti operací, na něž byla poskytnuta záruka a na jejichž základě daná přímá expozice vznikla.</w:t>
            </w:r>
          </w:p>
          <w:p w:rsidR="001D319A" w:rsidRPr="000448EA" w:rsidRDefault="001D319A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</w:p>
          <w:p w:rsidR="001D319A" w:rsidRPr="000448EA" w:rsidRDefault="001D319A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V případě, že se expozice nebo část expozice považuje za expozici v selhání a vykazuje se jako taková v šabloně C 28.00 (LE 2, sloupec 050) a C 29.00 (LE 3, sloupec 060), mělo by se její očekávané ukončení rozdělit do příslu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š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ných košů splatnosti takto:</w:t>
            </w:r>
          </w:p>
          <w:p w:rsidR="001D319A" w:rsidRPr="000448EA" w:rsidRDefault="001D319A" w:rsidP="001D319A">
            <w:pPr>
              <w:pStyle w:val="ListParagraph"/>
              <w:numPr>
                <w:ilvl w:val="0"/>
                <w:numId w:val="30"/>
              </w:numPr>
              <w:spacing w:before="0" w:after="200" w:line="276" w:lineRule="auto"/>
              <w:contextualSpacing/>
              <w:jc w:val="lef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jestliže má vykazující subjekt navzdory selhání expozice jasný k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a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lendář očekávaných splátek expozice, rozdělí je odpovídajícím zp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ů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sobem do příslušných košů,</w:t>
            </w:r>
          </w:p>
          <w:p w:rsidR="001D319A" w:rsidRPr="000448EA" w:rsidRDefault="001D319A" w:rsidP="001D319A">
            <w:pPr>
              <w:pStyle w:val="ListParagraph"/>
              <w:numPr>
                <w:ilvl w:val="0"/>
                <w:numId w:val="30"/>
              </w:numPr>
              <w:spacing w:before="0" w:after="200" w:line="276" w:lineRule="auto"/>
              <w:contextualSpacing/>
              <w:jc w:val="lef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jestliže nejsou známa data, kdy vykazující subjekt může splacení d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a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ných částek důvodně (pokud vůbec) očekávat, zařadí je do kategorie „Splatnost není určena“.</w:t>
            </w:r>
          </w:p>
          <w:p w:rsidR="00B0191A" w:rsidRPr="00384ADB" w:rsidRDefault="00B0191A" w:rsidP="000F0ADE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</w:p>
        </w:tc>
      </w:tr>
    </w:tbl>
    <w:p w:rsidR="00915A9C" w:rsidRPr="00384ADB" w:rsidRDefault="00915A9C" w:rsidP="009A77CD">
      <w:pPr>
        <w:spacing w:after="0"/>
        <w:rPr>
          <w:rFonts w:ascii="Times New Roman" w:hAnsi="Times New Roman"/>
          <w:b/>
          <w:sz w:val="24"/>
        </w:rPr>
      </w:pPr>
    </w:p>
    <w:p w:rsidR="003D3140" w:rsidRPr="00384ADB" w:rsidRDefault="00BD0674" w:rsidP="00C52CE2">
      <w:pPr>
        <w:pStyle w:val="Instructionsberschrift2"/>
        <w:numPr>
          <w:ilvl w:val="0"/>
          <w:numId w:val="22"/>
        </w:numPr>
        <w:rPr>
          <w:rFonts w:ascii="Times New Roman" w:hAnsi="Times New Roman" w:cs="Times New Roman"/>
          <w:b/>
          <w:sz w:val="24"/>
          <w:u w:val="none"/>
        </w:rPr>
      </w:pPr>
      <w:bookmarkStart w:id="48" w:name="_Toc393461967"/>
      <w:bookmarkStart w:id="49" w:name="_Toc524076852"/>
      <w:r>
        <w:rPr>
          <w:rFonts w:ascii="Times New Roman" w:hAnsi="Times New Roman"/>
          <w:b/>
          <w:sz w:val="24"/>
          <w:u w:val="none"/>
        </w:rPr>
        <w:t>C 31.00 – Koše splatnosti deseti největších expozic vůči institucím a deseti největších expozic vůči neregulovaným subjektům finančního sektoru: podrobné údaje o expozicích vůči jednotlivým klientům v rámci v rámci skupiny propojených klientů (šablona LE5)</w:t>
      </w:r>
      <w:bookmarkEnd w:id="48"/>
      <w:bookmarkEnd w:id="49"/>
    </w:p>
    <w:p w:rsidR="003D3140" w:rsidRPr="00384ADB" w:rsidRDefault="003D3140" w:rsidP="00C52CE2">
      <w:pPr>
        <w:pStyle w:val="Instructionsberschrift2"/>
        <w:numPr>
          <w:ilvl w:val="1"/>
          <w:numId w:val="22"/>
        </w:numPr>
        <w:rPr>
          <w:rFonts w:ascii="Times New Roman" w:hAnsi="Times New Roman" w:cs="Times New Roman"/>
          <w:sz w:val="24"/>
        </w:rPr>
      </w:pPr>
      <w:bookmarkStart w:id="50" w:name="_Toc393461968"/>
      <w:bookmarkStart w:id="51" w:name="_Toc524076853"/>
      <w:r>
        <w:rPr>
          <w:rFonts w:ascii="Times New Roman" w:hAnsi="Times New Roman"/>
          <w:sz w:val="24"/>
        </w:rPr>
        <w:t>Pokyny týkající se konkrétních sloupců</w:t>
      </w:r>
      <w:bookmarkEnd w:id="50"/>
      <w:bookmarkEnd w:id="51"/>
    </w:p>
    <w:tbl>
      <w:tblPr>
        <w:tblW w:w="903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7620"/>
      </w:tblGrid>
      <w:tr w:rsidR="003D3140" w:rsidRPr="00384ADB" w:rsidTr="00AF0271">
        <w:tc>
          <w:tcPr>
            <w:tcW w:w="1418" w:type="dxa"/>
            <w:shd w:val="clear" w:color="auto" w:fill="D9D9D9"/>
          </w:tcPr>
          <w:p w:rsidR="003D3140" w:rsidRPr="00384ADB" w:rsidRDefault="003D3140" w:rsidP="0039317F">
            <w:pPr>
              <w:pStyle w:val="InstructionsText"/>
              <w:rPr>
                <w:rStyle w:val="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b/>
                <w:sz w:val="24"/>
              </w:rPr>
              <w:t>Sloupec</w:t>
            </w:r>
          </w:p>
        </w:tc>
        <w:tc>
          <w:tcPr>
            <w:tcW w:w="7620" w:type="dxa"/>
            <w:shd w:val="clear" w:color="auto" w:fill="D9D9D9"/>
          </w:tcPr>
          <w:p w:rsidR="003D3140" w:rsidRPr="00384ADB" w:rsidRDefault="003D3140" w:rsidP="0039317F">
            <w:pPr>
              <w:pStyle w:val="InstructionsText"/>
              <w:rPr>
                <w:rStyle w:val="InstructionsTabelleText"/>
                <w:rFonts w:ascii="Times New Roman" w:hAnsi="Times New Roman"/>
                <w:b/>
                <w:bCs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b/>
                <w:sz w:val="24"/>
              </w:rPr>
              <w:t>Odkazy na právní předpisy a pokyny</w:t>
            </w:r>
          </w:p>
        </w:tc>
      </w:tr>
      <w:tr w:rsidR="00B80B0E" w:rsidRPr="00384ADB" w:rsidTr="00AF0271">
        <w:tc>
          <w:tcPr>
            <w:tcW w:w="1418" w:type="dxa"/>
          </w:tcPr>
          <w:p w:rsidR="00B80B0E" w:rsidRPr="00384ADB" w:rsidRDefault="008A4511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b/>
                <w:sz w:val="24"/>
              </w:rPr>
              <w:t>010-260</w:t>
            </w:r>
          </w:p>
        </w:tc>
        <w:tc>
          <w:tcPr>
            <w:tcW w:w="7620" w:type="dxa"/>
          </w:tcPr>
          <w:p w:rsidR="00B80B0E" w:rsidRPr="00384ADB" w:rsidRDefault="00B80B0E" w:rsidP="0039317F">
            <w:pPr>
              <w:pStyle w:val="InstructionsText"/>
            </w:pPr>
          </w:p>
          <w:p w:rsidR="00B80B0E" w:rsidRPr="00384ADB" w:rsidRDefault="00186D4E" w:rsidP="0039317F">
            <w:pPr>
              <w:pStyle w:val="InstructionsText"/>
            </w:pPr>
            <w:r>
              <w:t>Instituce vykazuje v šabloně LE5 údaje o jednotlivých protistranách, které patří do ekonomicky spjatých skupin klientů uvedených v řádcích šablony LE4.</w:t>
            </w:r>
          </w:p>
          <w:p w:rsidR="00B80B0E" w:rsidRPr="00384ADB" w:rsidRDefault="00B80B0E" w:rsidP="000F0ADE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</w:p>
        </w:tc>
      </w:tr>
      <w:tr w:rsidR="003D3140" w:rsidRPr="00384ADB" w:rsidTr="00AF0271">
        <w:tc>
          <w:tcPr>
            <w:tcW w:w="1418" w:type="dxa"/>
          </w:tcPr>
          <w:p w:rsidR="003D3140" w:rsidRPr="00384ADB" w:rsidRDefault="008A4511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b/>
                <w:sz w:val="24"/>
              </w:rPr>
              <w:t>010</w:t>
            </w:r>
          </w:p>
        </w:tc>
        <w:tc>
          <w:tcPr>
            <w:tcW w:w="7620" w:type="dxa"/>
          </w:tcPr>
          <w:p w:rsidR="003D3140" w:rsidRPr="00384ADB" w:rsidRDefault="003D3140" w:rsidP="0039317F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Kód</w:t>
            </w:r>
          </w:p>
          <w:p w:rsidR="003D3140" w:rsidRPr="00384ADB" w:rsidRDefault="003D3140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</w:p>
          <w:p w:rsidR="00BD0674" w:rsidRPr="00384ADB" w:rsidRDefault="00BD0674" w:rsidP="000F0ADE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Sloupce 010 a 020 jsou společným identifikátorem řádku a společně musí být pro každý řádek tabulky jedinečné.</w:t>
            </w:r>
          </w:p>
          <w:p w:rsidR="003D3140" w:rsidRPr="00384ADB" w:rsidRDefault="003D3140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Viz sloupec 010 šablony LE3.</w:t>
            </w:r>
          </w:p>
          <w:p w:rsidR="00B0191A" w:rsidRPr="00384ADB" w:rsidRDefault="00B0191A" w:rsidP="000F0ADE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</w:p>
        </w:tc>
      </w:tr>
      <w:tr w:rsidR="003D3140" w:rsidRPr="00384ADB" w:rsidTr="00AF0271">
        <w:tc>
          <w:tcPr>
            <w:tcW w:w="1418" w:type="dxa"/>
          </w:tcPr>
          <w:p w:rsidR="003D3140" w:rsidRPr="00384ADB" w:rsidRDefault="008A4511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b/>
                <w:sz w:val="24"/>
              </w:rPr>
              <w:t>020</w:t>
            </w:r>
          </w:p>
        </w:tc>
        <w:tc>
          <w:tcPr>
            <w:tcW w:w="7620" w:type="dxa"/>
          </w:tcPr>
          <w:p w:rsidR="00B80B0E" w:rsidRPr="00384ADB" w:rsidRDefault="00B80B0E" w:rsidP="0039317F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Kód skupiny</w:t>
            </w:r>
          </w:p>
          <w:p w:rsidR="00BD0674" w:rsidRPr="00384ADB" w:rsidRDefault="00BD0674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</w:p>
          <w:p w:rsidR="00BD0674" w:rsidRPr="00384ADB" w:rsidRDefault="00BD0674" w:rsidP="000F0ADE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Sloupce 010 a 020 jsou společným identifikátorem řádku a společně musí být pro každý řádek tabulky jedinečné.</w:t>
            </w:r>
          </w:p>
          <w:p w:rsidR="00B80B0E" w:rsidRPr="00384ADB" w:rsidRDefault="00B80B0E" w:rsidP="000F0ADE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Viz sloupec 020 šablony LE3.</w:t>
            </w:r>
          </w:p>
          <w:p w:rsidR="00B0191A" w:rsidRPr="00384ADB" w:rsidRDefault="00B0191A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</w:p>
        </w:tc>
      </w:tr>
      <w:tr w:rsidR="003D3140" w:rsidRPr="00384ADB" w:rsidTr="00AF0271">
        <w:tc>
          <w:tcPr>
            <w:tcW w:w="1418" w:type="dxa"/>
          </w:tcPr>
          <w:p w:rsidR="003D3140" w:rsidRPr="00384ADB" w:rsidRDefault="008A4511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b/>
                <w:sz w:val="24"/>
              </w:rPr>
              <w:t>030-260</w:t>
            </w:r>
          </w:p>
        </w:tc>
        <w:tc>
          <w:tcPr>
            <w:tcW w:w="7620" w:type="dxa"/>
          </w:tcPr>
          <w:p w:rsidR="003D3140" w:rsidRPr="00384ADB" w:rsidRDefault="003D3140" w:rsidP="0039317F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Koše splatnosti v rámci expozice</w:t>
            </w:r>
          </w:p>
          <w:p w:rsidR="003D3140" w:rsidRPr="00384ADB" w:rsidRDefault="003D3140" w:rsidP="0039317F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</w:p>
          <w:p w:rsidR="003D3140" w:rsidRPr="00384ADB" w:rsidRDefault="00B80B0E" w:rsidP="000F0ADE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Viz sloupce 020–250 šablony LE4.</w:t>
            </w:r>
          </w:p>
          <w:p w:rsidR="00264B52" w:rsidRPr="00384ADB" w:rsidRDefault="00264B52" w:rsidP="000F0ADE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</w:p>
        </w:tc>
      </w:tr>
    </w:tbl>
    <w:p w:rsidR="003D3140" w:rsidRPr="00E83F90" w:rsidRDefault="003D3140" w:rsidP="0078562D">
      <w:pPr>
        <w:spacing w:after="0"/>
        <w:rPr>
          <w:rFonts w:ascii="Times New Roman" w:hAnsi="Times New Roman"/>
          <w:sz w:val="24"/>
        </w:rPr>
      </w:pPr>
    </w:p>
    <w:sectPr w:rsidR="003D3140" w:rsidRPr="00E83F90" w:rsidSect="00B51F42">
      <w:footerReference w:type="even" r:id="rId12"/>
      <w:footerReference w:type="default" r:id="rId13"/>
      <w:headerReference w:type="first" r:id="rId14"/>
      <w:endnotePr>
        <w:numFmt w:val="decimal"/>
      </w:endnotePr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2E40" w:rsidRDefault="005A2E40" w:rsidP="00D946DB">
      <w:pPr>
        <w:spacing w:before="0" w:after="0"/>
      </w:pPr>
      <w:r>
        <w:separator/>
      </w:r>
    </w:p>
  </w:endnote>
  <w:endnote w:type="continuationSeparator" w:id="0">
    <w:p w:rsidR="005A2E40" w:rsidRDefault="005A2E40" w:rsidP="00D946DB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317F" w:rsidRPr="00A772B4" w:rsidRDefault="0039317F">
    <w:pPr>
      <w:pStyle w:val="Footer"/>
      <w:jc w:val="right"/>
      <w:rPr>
        <w:rFonts w:ascii="Times New Roman" w:hAnsi="Times New Roman"/>
      </w:rPr>
    </w:pPr>
    <w:r w:rsidRPr="00A772B4">
      <w:rPr>
        <w:rFonts w:ascii="Times New Roman" w:hAnsi="Times New Roman"/>
      </w:rPr>
      <w:fldChar w:fldCharType="begin"/>
    </w:r>
    <w:r w:rsidRPr="00A772B4">
      <w:rPr>
        <w:rFonts w:ascii="Times New Roman" w:hAnsi="Times New Roman"/>
      </w:rPr>
      <w:instrText xml:space="preserve"> PAGE   \* MERGEFORMAT </w:instrText>
    </w:r>
    <w:r w:rsidRPr="00A772B4">
      <w:rPr>
        <w:rFonts w:ascii="Times New Roman" w:hAnsi="Times New Roman"/>
      </w:rPr>
      <w:fldChar w:fldCharType="separate"/>
    </w:r>
    <w:r w:rsidR="00DC7BD2">
      <w:rPr>
        <w:rFonts w:ascii="Times New Roman" w:hAnsi="Times New Roman"/>
        <w:noProof/>
      </w:rPr>
      <w:t>2</w:t>
    </w:r>
    <w:r w:rsidRPr="00A772B4">
      <w:rPr>
        <w:rFonts w:ascii="Times New Roman" w:hAnsi="Times New Roman"/>
      </w:rPr>
      <w:fldChar w:fldCharType="end"/>
    </w:r>
  </w:p>
  <w:p w:rsidR="0039317F" w:rsidRDefault="0039317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317F" w:rsidRDefault="0039317F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DC7BD2">
      <w:rPr>
        <w:noProof/>
      </w:rPr>
      <w:t>1</w:t>
    </w:r>
    <w:r>
      <w:rPr>
        <w:noProof/>
      </w:rPr>
      <w:fldChar w:fldCharType="end"/>
    </w:r>
  </w:p>
  <w:p w:rsidR="0039317F" w:rsidRDefault="0039317F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317F" w:rsidRDefault="0039317F">
    <w:pPr>
      <w:pStyle w:val="Footer"/>
      <w:framePr w:wrap="auto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39317F" w:rsidRDefault="0039317F">
    <w:pPr>
      <w:pStyle w:val="Footer"/>
      <w:ind w:right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317F" w:rsidRPr="00A772B4" w:rsidRDefault="0039317F">
    <w:pPr>
      <w:pStyle w:val="Footer"/>
      <w:jc w:val="right"/>
      <w:rPr>
        <w:rFonts w:ascii="Times New Roman" w:hAnsi="Times New Roman"/>
      </w:rPr>
    </w:pPr>
    <w:r w:rsidRPr="00A772B4">
      <w:rPr>
        <w:rFonts w:ascii="Times New Roman" w:hAnsi="Times New Roman"/>
      </w:rPr>
      <w:fldChar w:fldCharType="begin"/>
    </w:r>
    <w:r w:rsidRPr="00A772B4">
      <w:rPr>
        <w:rFonts w:ascii="Times New Roman" w:hAnsi="Times New Roman"/>
      </w:rPr>
      <w:instrText xml:space="preserve"> PAGE   \* MERGEFORMAT </w:instrText>
    </w:r>
    <w:r w:rsidRPr="00A772B4">
      <w:rPr>
        <w:rFonts w:ascii="Times New Roman" w:hAnsi="Times New Roman"/>
      </w:rPr>
      <w:fldChar w:fldCharType="separate"/>
    </w:r>
    <w:r w:rsidR="00DC7BD2">
      <w:rPr>
        <w:rFonts w:ascii="Times New Roman" w:hAnsi="Times New Roman"/>
        <w:noProof/>
      </w:rPr>
      <w:t>18</w:t>
    </w:r>
    <w:r w:rsidRPr="00A772B4">
      <w:rPr>
        <w:rFonts w:ascii="Times New Roman" w:hAnsi="Times New Roman"/>
      </w:rPr>
      <w:fldChar w:fldCharType="end"/>
    </w:r>
  </w:p>
  <w:p w:rsidR="0039317F" w:rsidRPr="00A772B4" w:rsidRDefault="0039317F" w:rsidP="00A772B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2E40" w:rsidRDefault="005A2E40" w:rsidP="00D946DB">
      <w:pPr>
        <w:spacing w:before="0" w:after="0"/>
      </w:pPr>
      <w:r>
        <w:separator/>
      </w:r>
    </w:p>
  </w:footnote>
  <w:footnote w:type="continuationSeparator" w:id="0">
    <w:p w:rsidR="005A2E40" w:rsidRDefault="005A2E40" w:rsidP="00D946DB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317F" w:rsidRDefault="0039317F">
    <w:pPr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CD3A99"/>
    <w:multiLevelType w:val="hybridMultilevel"/>
    <w:tmpl w:val="B9D49566"/>
    <w:lvl w:ilvl="0" w:tplc="D2024F70">
      <w:start w:val="1"/>
      <w:numFmt w:val="bullet"/>
      <w:pStyle w:val="Aufzhlungszeichen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8"/>
        <w:szCs w:val="28"/>
      </w:rPr>
    </w:lvl>
    <w:lvl w:ilvl="1" w:tplc="FBC0B1D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B0AEBA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20AF0D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CE445B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BD46C1E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CB491D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76262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9DCE7E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3710F59"/>
    <w:multiLevelType w:val="multilevel"/>
    <w:tmpl w:val="6348284C"/>
    <w:lvl w:ilvl="0">
      <w:start w:val="1"/>
      <w:numFmt w:val="decimal"/>
      <w:pStyle w:val="Baseparagraphnumbered"/>
      <w:lvlText w:val="%1."/>
      <w:lvlJc w:val="left"/>
      <w:pPr>
        <w:ind w:left="163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007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72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44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16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88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60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32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047" w:hanging="180"/>
      </w:pPr>
      <w:rPr>
        <w:rFonts w:hint="default"/>
      </w:rPr>
    </w:lvl>
  </w:abstractNum>
  <w:abstractNum w:abstractNumId="2">
    <w:nsid w:val="1CED6282"/>
    <w:multiLevelType w:val="multilevel"/>
    <w:tmpl w:val="5D8418C4"/>
    <w:lvl w:ilvl="0">
      <w:start w:val="1"/>
      <w:numFmt w:val="decimal"/>
      <w:pStyle w:val="GliederungmitNummerierung"/>
      <w:lvlText w:val="%1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361"/>
        </w:tabs>
        <w:ind w:left="1361" w:hanging="56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098"/>
        </w:tabs>
        <w:ind w:left="2098" w:hanging="73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062"/>
        </w:tabs>
        <w:ind w:left="3062" w:hanging="96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3">
    <w:nsid w:val="22E61A5B"/>
    <w:multiLevelType w:val="hybridMultilevel"/>
    <w:tmpl w:val="8216FEBC"/>
    <w:lvl w:ilvl="0" w:tplc="236EA62C">
      <w:start w:val="1"/>
      <w:numFmt w:val="decimal"/>
      <w:lvlText w:val="%1."/>
      <w:lvlJc w:val="left"/>
      <w:pPr>
        <w:ind w:left="720" w:hanging="360"/>
      </w:pPr>
    </w:lvl>
    <w:lvl w:ilvl="1" w:tplc="0809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70005" w:tentative="1">
      <w:start w:val="1"/>
      <w:numFmt w:val="lowerRoman"/>
      <w:lvlText w:val="%3."/>
      <w:lvlJc w:val="right"/>
      <w:pPr>
        <w:ind w:left="2160" w:hanging="180"/>
      </w:pPr>
    </w:lvl>
    <w:lvl w:ilvl="3" w:tplc="04070001" w:tentative="1">
      <w:start w:val="1"/>
      <w:numFmt w:val="decimal"/>
      <w:lvlText w:val="%4."/>
      <w:lvlJc w:val="left"/>
      <w:pPr>
        <w:ind w:left="2880" w:hanging="360"/>
      </w:pPr>
    </w:lvl>
    <w:lvl w:ilvl="4" w:tplc="04070003" w:tentative="1">
      <w:start w:val="1"/>
      <w:numFmt w:val="lowerLetter"/>
      <w:lvlText w:val="%5."/>
      <w:lvlJc w:val="left"/>
      <w:pPr>
        <w:ind w:left="3600" w:hanging="360"/>
      </w:pPr>
    </w:lvl>
    <w:lvl w:ilvl="5" w:tplc="04070005" w:tentative="1">
      <w:start w:val="1"/>
      <w:numFmt w:val="lowerRoman"/>
      <w:lvlText w:val="%6."/>
      <w:lvlJc w:val="right"/>
      <w:pPr>
        <w:ind w:left="4320" w:hanging="180"/>
      </w:pPr>
    </w:lvl>
    <w:lvl w:ilvl="6" w:tplc="04070001" w:tentative="1">
      <w:start w:val="1"/>
      <w:numFmt w:val="decimal"/>
      <w:lvlText w:val="%7."/>
      <w:lvlJc w:val="left"/>
      <w:pPr>
        <w:ind w:left="5040" w:hanging="360"/>
      </w:pPr>
    </w:lvl>
    <w:lvl w:ilvl="7" w:tplc="04070003" w:tentative="1">
      <w:start w:val="1"/>
      <w:numFmt w:val="lowerLetter"/>
      <w:lvlText w:val="%8."/>
      <w:lvlJc w:val="left"/>
      <w:pPr>
        <w:ind w:left="5760" w:hanging="360"/>
      </w:pPr>
    </w:lvl>
    <w:lvl w:ilvl="8" w:tplc="0407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98D3E43"/>
    <w:multiLevelType w:val="multilevel"/>
    <w:tmpl w:val="D29C4EFC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7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hint="default"/>
      </w:rPr>
    </w:lvl>
  </w:abstractNum>
  <w:abstractNum w:abstractNumId="5">
    <w:nsid w:val="2AC050D9"/>
    <w:multiLevelType w:val="hybridMultilevel"/>
    <w:tmpl w:val="F7E0F274"/>
    <w:lvl w:ilvl="0" w:tplc="9BAEF704">
      <w:start w:val="1"/>
      <w:numFmt w:val="lowerLetter"/>
      <w:pStyle w:val="Nummerierungsart4"/>
      <w:lvlText w:val="%1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B0A6035"/>
    <w:multiLevelType w:val="multilevel"/>
    <w:tmpl w:val="D29C4EFC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7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hint="default"/>
      </w:rPr>
    </w:lvl>
  </w:abstractNum>
  <w:abstractNum w:abstractNumId="7">
    <w:nsid w:val="2E7D3286"/>
    <w:multiLevelType w:val="hybridMultilevel"/>
    <w:tmpl w:val="1730D754"/>
    <w:lvl w:ilvl="0" w:tplc="08090017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496" w:hanging="360"/>
      </w:pPr>
    </w:lvl>
    <w:lvl w:ilvl="2" w:tplc="0809001B" w:tentative="1">
      <w:start w:val="1"/>
      <w:numFmt w:val="lowerRoman"/>
      <w:lvlText w:val="%3."/>
      <w:lvlJc w:val="right"/>
      <w:pPr>
        <w:ind w:left="3216" w:hanging="180"/>
      </w:pPr>
    </w:lvl>
    <w:lvl w:ilvl="3" w:tplc="0809000F" w:tentative="1">
      <w:start w:val="1"/>
      <w:numFmt w:val="decimal"/>
      <w:lvlText w:val="%4."/>
      <w:lvlJc w:val="left"/>
      <w:pPr>
        <w:ind w:left="3936" w:hanging="360"/>
      </w:pPr>
    </w:lvl>
    <w:lvl w:ilvl="4" w:tplc="08090019" w:tentative="1">
      <w:start w:val="1"/>
      <w:numFmt w:val="lowerLetter"/>
      <w:lvlText w:val="%5."/>
      <w:lvlJc w:val="left"/>
      <w:pPr>
        <w:ind w:left="4656" w:hanging="360"/>
      </w:pPr>
    </w:lvl>
    <w:lvl w:ilvl="5" w:tplc="0809001B" w:tentative="1">
      <w:start w:val="1"/>
      <w:numFmt w:val="lowerRoman"/>
      <w:lvlText w:val="%6."/>
      <w:lvlJc w:val="right"/>
      <w:pPr>
        <w:ind w:left="5376" w:hanging="180"/>
      </w:pPr>
    </w:lvl>
    <w:lvl w:ilvl="6" w:tplc="0809000F" w:tentative="1">
      <w:start w:val="1"/>
      <w:numFmt w:val="decimal"/>
      <w:lvlText w:val="%7."/>
      <w:lvlJc w:val="left"/>
      <w:pPr>
        <w:ind w:left="6096" w:hanging="360"/>
      </w:pPr>
    </w:lvl>
    <w:lvl w:ilvl="7" w:tplc="08090019" w:tentative="1">
      <w:start w:val="1"/>
      <w:numFmt w:val="lowerLetter"/>
      <w:lvlText w:val="%8."/>
      <w:lvlJc w:val="left"/>
      <w:pPr>
        <w:ind w:left="6816" w:hanging="360"/>
      </w:pPr>
    </w:lvl>
    <w:lvl w:ilvl="8" w:tplc="080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8">
    <w:nsid w:val="2F7D7F02"/>
    <w:multiLevelType w:val="multilevel"/>
    <w:tmpl w:val="0407001D"/>
    <w:numStyleLink w:val="Formatvorlage3"/>
  </w:abstractNum>
  <w:abstractNum w:abstractNumId="9">
    <w:nsid w:val="33057CB8"/>
    <w:multiLevelType w:val="hybridMultilevel"/>
    <w:tmpl w:val="4824077A"/>
    <w:lvl w:ilvl="0" w:tplc="236EA62C">
      <w:start w:val="1"/>
      <w:numFmt w:val="decimal"/>
      <w:pStyle w:val="InstructionsText2"/>
      <w:lvlText w:val="%1."/>
      <w:lvlJc w:val="left"/>
      <w:pPr>
        <w:ind w:left="720" w:hanging="360"/>
      </w:pPr>
    </w:lvl>
    <w:lvl w:ilvl="1" w:tplc="5F56F3B6">
      <w:start w:val="1"/>
      <w:numFmt w:val="lowerLetter"/>
      <w:lvlText w:val="(%2)"/>
      <w:lvlJc w:val="left"/>
      <w:pPr>
        <w:ind w:left="1440" w:hanging="360"/>
      </w:pPr>
      <w:rPr>
        <w:rFonts w:cs="Times New Roman" w:hint="default"/>
      </w:rPr>
    </w:lvl>
    <w:lvl w:ilvl="2" w:tplc="04070005" w:tentative="1">
      <w:start w:val="1"/>
      <w:numFmt w:val="lowerRoman"/>
      <w:lvlText w:val="%3."/>
      <w:lvlJc w:val="right"/>
      <w:pPr>
        <w:ind w:left="2160" w:hanging="180"/>
      </w:pPr>
    </w:lvl>
    <w:lvl w:ilvl="3" w:tplc="04070001" w:tentative="1">
      <w:start w:val="1"/>
      <w:numFmt w:val="decimal"/>
      <w:lvlText w:val="%4."/>
      <w:lvlJc w:val="left"/>
      <w:pPr>
        <w:ind w:left="2880" w:hanging="360"/>
      </w:pPr>
    </w:lvl>
    <w:lvl w:ilvl="4" w:tplc="04070003" w:tentative="1">
      <w:start w:val="1"/>
      <w:numFmt w:val="lowerLetter"/>
      <w:lvlText w:val="%5."/>
      <w:lvlJc w:val="left"/>
      <w:pPr>
        <w:ind w:left="3600" w:hanging="360"/>
      </w:pPr>
    </w:lvl>
    <w:lvl w:ilvl="5" w:tplc="04070005" w:tentative="1">
      <w:start w:val="1"/>
      <w:numFmt w:val="lowerRoman"/>
      <w:lvlText w:val="%6."/>
      <w:lvlJc w:val="right"/>
      <w:pPr>
        <w:ind w:left="4320" w:hanging="180"/>
      </w:pPr>
    </w:lvl>
    <w:lvl w:ilvl="6" w:tplc="04070001" w:tentative="1">
      <w:start w:val="1"/>
      <w:numFmt w:val="decimal"/>
      <w:lvlText w:val="%7."/>
      <w:lvlJc w:val="left"/>
      <w:pPr>
        <w:ind w:left="5040" w:hanging="360"/>
      </w:pPr>
    </w:lvl>
    <w:lvl w:ilvl="7" w:tplc="04070003" w:tentative="1">
      <w:start w:val="1"/>
      <w:numFmt w:val="lowerLetter"/>
      <w:lvlText w:val="%8."/>
      <w:lvlJc w:val="left"/>
      <w:pPr>
        <w:ind w:left="5760" w:hanging="360"/>
      </w:pPr>
    </w:lvl>
    <w:lvl w:ilvl="8" w:tplc="0407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7226525"/>
    <w:multiLevelType w:val="hybridMultilevel"/>
    <w:tmpl w:val="9872E646"/>
    <w:lvl w:ilvl="0" w:tplc="0C0A0001">
      <w:start w:val="1"/>
      <w:numFmt w:val="decimal"/>
      <w:pStyle w:val="Nummerierungsart2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A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A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A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A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A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A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A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A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B725592"/>
    <w:multiLevelType w:val="hybridMultilevel"/>
    <w:tmpl w:val="FE3E2BEE"/>
    <w:lvl w:ilvl="0" w:tplc="236EA62C">
      <w:start w:val="1"/>
      <w:numFmt w:val="decimal"/>
      <w:lvlText w:val="%1."/>
      <w:lvlJc w:val="left"/>
      <w:pPr>
        <w:ind w:left="720" w:hanging="360"/>
      </w:pPr>
    </w:lvl>
    <w:lvl w:ilvl="1" w:tplc="0809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70005" w:tentative="1">
      <w:start w:val="1"/>
      <w:numFmt w:val="lowerRoman"/>
      <w:lvlText w:val="%3."/>
      <w:lvlJc w:val="right"/>
      <w:pPr>
        <w:ind w:left="2160" w:hanging="180"/>
      </w:pPr>
    </w:lvl>
    <w:lvl w:ilvl="3" w:tplc="04070001" w:tentative="1">
      <w:start w:val="1"/>
      <w:numFmt w:val="decimal"/>
      <w:lvlText w:val="%4."/>
      <w:lvlJc w:val="left"/>
      <w:pPr>
        <w:ind w:left="2880" w:hanging="360"/>
      </w:pPr>
    </w:lvl>
    <w:lvl w:ilvl="4" w:tplc="04070003" w:tentative="1">
      <w:start w:val="1"/>
      <w:numFmt w:val="lowerLetter"/>
      <w:lvlText w:val="%5."/>
      <w:lvlJc w:val="left"/>
      <w:pPr>
        <w:ind w:left="3600" w:hanging="360"/>
      </w:pPr>
    </w:lvl>
    <w:lvl w:ilvl="5" w:tplc="04070005" w:tentative="1">
      <w:start w:val="1"/>
      <w:numFmt w:val="lowerRoman"/>
      <w:lvlText w:val="%6."/>
      <w:lvlJc w:val="right"/>
      <w:pPr>
        <w:ind w:left="4320" w:hanging="180"/>
      </w:pPr>
    </w:lvl>
    <w:lvl w:ilvl="6" w:tplc="04070001" w:tentative="1">
      <w:start w:val="1"/>
      <w:numFmt w:val="decimal"/>
      <w:lvlText w:val="%7."/>
      <w:lvlJc w:val="left"/>
      <w:pPr>
        <w:ind w:left="5040" w:hanging="360"/>
      </w:pPr>
    </w:lvl>
    <w:lvl w:ilvl="7" w:tplc="04070003" w:tentative="1">
      <w:start w:val="1"/>
      <w:numFmt w:val="lowerLetter"/>
      <w:lvlText w:val="%8."/>
      <w:lvlJc w:val="left"/>
      <w:pPr>
        <w:ind w:left="5760" w:hanging="360"/>
      </w:pPr>
    </w:lvl>
    <w:lvl w:ilvl="8" w:tplc="0407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D57312"/>
    <w:multiLevelType w:val="multilevel"/>
    <w:tmpl w:val="1864F90A"/>
    <w:styleLink w:val="Formatvorlage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2"/>
        <w:szCs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2"/>
        <w:szCs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22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22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3">
    <w:nsid w:val="49772236"/>
    <w:multiLevelType w:val="hybridMultilevel"/>
    <w:tmpl w:val="E974A63C"/>
    <w:lvl w:ilvl="0" w:tplc="91F28F2A">
      <w:start w:val="1"/>
      <w:numFmt w:val="bullet"/>
      <w:pStyle w:val="Aufzhlungszeichen4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8"/>
        <w:szCs w:val="28"/>
      </w:rPr>
    </w:lvl>
    <w:lvl w:ilvl="1" w:tplc="78D0220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E8161B8"/>
    <w:multiLevelType w:val="hybridMultilevel"/>
    <w:tmpl w:val="1F6E20EA"/>
    <w:lvl w:ilvl="0" w:tplc="236EA62C">
      <w:start w:val="1"/>
      <w:numFmt w:val="decimal"/>
      <w:lvlText w:val="%1."/>
      <w:lvlJc w:val="left"/>
      <w:pPr>
        <w:ind w:left="720" w:hanging="360"/>
      </w:pPr>
    </w:lvl>
    <w:lvl w:ilvl="1" w:tplc="0809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70005" w:tentative="1">
      <w:start w:val="1"/>
      <w:numFmt w:val="lowerRoman"/>
      <w:lvlText w:val="%3."/>
      <w:lvlJc w:val="right"/>
      <w:pPr>
        <w:ind w:left="2160" w:hanging="180"/>
      </w:pPr>
    </w:lvl>
    <w:lvl w:ilvl="3" w:tplc="04070001" w:tentative="1">
      <w:start w:val="1"/>
      <w:numFmt w:val="decimal"/>
      <w:lvlText w:val="%4."/>
      <w:lvlJc w:val="left"/>
      <w:pPr>
        <w:ind w:left="2880" w:hanging="360"/>
      </w:pPr>
    </w:lvl>
    <w:lvl w:ilvl="4" w:tplc="04070003" w:tentative="1">
      <w:start w:val="1"/>
      <w:numFmt w:val="lowerLetter"/>
      <w:lvlText w:val="%5."/>
      <w:lvlJc w:val="left"/>
      <w:pPr>
        <w:ind w:left="3600" w:hanging="360"/>
      </w:pPr>
    </w:lvl>
    <w:lvl w:ilvl="5" w:tplc="04070005" w:tentative="1">
      <w:start w:val="1"/>
      <w:numFmt w:val="lowerRoman"/>
      <w:lvlText w:val="%6."/>
      <w:lvlJc w:val="right"/>
      <w:pPr>
        <w:ind w:left="4320" w:hanging="180"/>
      </w:pPr>
    </w:lvl>
    <w:lvl w:ilvl="6" w:tplc="04070001" w:tentative="1">
      <w:start w:val="1"/>
      <w:numFmt w:val="decimal"/>
      <w:lvlText w:val="%7."/>
      <w:lvlJc w:val="left"/>
      <w:pPr>
        <w:ind w:left="5040" w:hanging="360"/>
      </w:pPr>
    </w:lvl>
    <w:lvl w:ilvl="7" w:tplc="04070003" w:tentative="1">
      <w:start w:val="1"/>
      <w:numFmt w:val="lowerLetter"/>
      <w:lvlText w:val="%8."/>
      <w:lvlJc w:val="left"/>
      <w:pPr>
        <w:ind w:left="5760" w:hanging="360"/>
      </w:pPr>
    </w:lvl>
    <w:lvl w:ilvl="8" w:tplc="0407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EB95802"/>
    <w:multiLevelType w:val="multilevel"/>
    <w:tmpl w:val="0407001D"/>
    <w:styleLink w:val="Formatvorlage3"/>
    <w:lvl w:ilvl="0">
      <w:start w:val="1"/>
      <w:numFmt w:val="none"/>
      <w:pStyle w:val="Heading4"/>
      <w:lvlText w:val="%1"/>
      <w:lvlJc w:val="left"/>
      <w:pPr>
        <w:ind w:left="360" w:hanging="360"/>
      </w:pPr>
      <w:rPr>
        <w:rFonts w:ascii="Verdana" w:hAnsi="Verdana" w:hint="default"/>
        <w:b/>
        <w:color w:val="auto"/>
        <w:sz w:val="20"/>
        <w:u w:val="single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>
    <w:nsid w:val="4EF30DF1"/>
    <w:multiLevelType w:val="hybridMultilevel"/>
    <w:tmpl w:val="95BE37A4"/>
    <w:lvl w:ilvl="0" w:tplc="B2366634">
      <w:start w:val="1"/>
      <w:numFmt w:val="upperRoman"/>
      <w:pStyle w:val="Nummerierungsart3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07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5FC723E"/>
    <w:multiLevelType w:val="hybridMultilevel"/>
    <w:tmpl w:val="96E450D2"/>
    <w:lvl w:ilvl="0" w:tplc="FA32F8F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BA1738F"/>
    <w:multiLevelType w:val="hybridMultilevel"/>
    <w:tmpl w:val="2FE2799E"/>
    <w:lvl w:ilvl="0" w:tplc="04090003">
      <w:start w:val="1"/>
      <w:numFmt w:val="decimal"/>
      <w:pStyle w:val="Instructionsberschrift3"/>
      <w:lvlText w:val="%1.1.1"/>
      <w:lvlJc w:val="left"/>
      <w:pPr>
        <w:ind w:left="720" w:hanging="360"/>
      </w:pPr>
      <w:rPr>
        <w:rFonts w:hint="default"/>
      </w:rPr>
    </w:lvl>
    <w:lvl w:ilvl="1" w:tplc="04090005" w:tentative="1">
      <w:start w:val="1"/>
      <w:numFmt w:val="lowerLetter"/>
      <w:lvlText w:val="%2."/>
      <w:lvlJc w:val="left"/>
      <w:pPr>
        <w:ind w:left="1440" w:hanging="360"/>
      </w:pPr>
    </w:lvl>
    <w:lvl w:ilvl="2" w:tplc="04090005">
      <w:start w:val="1"/>
      <w:numFmt w:val="lowerRoman"/>
      <w:lvlText w:val="%3."/>
      <w:lvlJc w:val="right"/>
      <w:pPr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C951B61"/>
    <w:multiLevelType w:val="hybridMultilevel"/>
    <w:tmpl w:val="121C0A42"/>
    <w:lvl w:ilvl="0" w:tplc="040A0017">
      <w:start w:val="1"/>
      <w:numFmt w:val="bullet"/>
      <w:pStyle w:val="Aufzhlungszeichen2"/>
      <w:lvlText w:val="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32"/>
        <w:szCs w:val="32"/>
      </w:rPr>
    </w:lvl>
    <w:lvl w:ilvl="1" w:tplc="040A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A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A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A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A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A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A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A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647057A3"/>
    <w:multiLevelType w:val="hybridMultilevel"/>
    <w:tmpl w:val="13420D26"/>
    <w:lvl w:ilvl="0" w:tplc="91F28F2A">
      <w:start w:val="1"/>
      <w:numFmt w:val="decimal"/>
      <w:pStyle w:val="Nummerierungsart1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58A2408"/>
    <w:multiLevelType w:val="hybridMultilevel"/>
    <w:tmpl w:val="E30272B0"/>
    <w:lvl w:ilvl="0" w:tplc="061CD0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6CA2C8C"/>
    <w:multiLevelType w:val="hybridMultilevel"/>
    <w:tmpl w:val="5BF2CFE0"/>
    <w:lvl w:ilvl="0" w:tplc="4BB6D85C">
      <w:start w:val="1"/>
      <w:numFmt w:val="decimal"/>
      <w:pStyle w:val="Instructionsberschrift2"/>
      <w:lvlText w:val="%1.1"/>
      <w:lvlJc w:val="left"/>
      <w:pPr>
        <w:ind w:left="720" w:hanging="360"/>
      </w:pPr>
      <w:rPr>
        <w:rFonts w:hint="default"/>
      </w:rPr>
    </w:lvl>
    <w:lvl w:ilvl="1" w:tplc="E7565B6A">
      <w:start w:val="1"/>
      <w:numFmt w:val="lowerLetter"/>
      <w:lvlText w:val="%2."/>
      <w:lvlJc w:val="left"/>
      <w:pPr>
        <w:ind w:left="1440" w:hanging="360"/>
      </w:pPr>
    </w:lvl>
    <w:lvl w:ilvl="2" w:tplc="67A6A44A" w:tentative="1">
      <w:start w:val="1"/>
      <w:numFmt w:val="lowerRoman"/>
      <w:lvlText w:val="%3."/>
      <w:lvlJc w:val="right"/>
      <w:pPr>
        <w:ind w:left="2160" w:hanging="180"/>
      </w:pPr>
    </w:lvl>
    <w:lvl w:ilvl="3" w:tplc="21C6EF3C" w:tentative="1">
      <w:start w:val="1"/>
      <w:numFmt w:val="decimal"/>
      <w:lvlText w:val="%4."/>
      <w:lvlJc w:val="left"/>
      <w:pPr>
        <w:ind w:left="2880" w:hanging="360"/>
      </w:pPr>
    </w:lvl>
    <w:lvl w:ilvl="4" w:tplc="6C185750" w:tentative="1">
      <w:start w:val="1"/>
      <w:numFmt w:val="lowerLetter"/>
      <w:lvlText w:val="%5."/>
      <w:lvlJc w:val="left"/>
      <w:pPr>
        <w:ind w:left="3600" w:hanging="360"/>
      </w:pPr>
    </w:lvl>
    <w:lvl w:ilvl="5" w:tplc="FA46F0F4" w:tentative="1">
      <w:start w:val="1"/>
      <w:numFmt w:val="lowerRoman"/>
      <w:lvlText w:val="%6."/>
      <w:lvlJc w:val="right"/>
      <w:pPr>
        <w:ind w:left="4320" w:hanging="180"/>
      </w:pPr>
    </w:lvl>
    <w:lvl w:ilvl="6" w:tplc="84CCF45A" w:tentative="1">
      <w:start w:val="1"/>
      <w:numFmt w:val="decimal"/>
      <w:lvlText w:val="%7."/>
      <w:lvlJc w:val="left"/>
      <w:pPr>
        <w:ind w:left="5040" w:hanging="360"/>
      </w:pPr>
    </w:lvl>
    <w:lvl w:ilvl="7" w:tplc="E2FA2386" w:tentative="1">
      <w:start w:val="1"/>
      <w:numFmt w:val="lowerLetter"/>
      <w:lvlText w:val="%8."/>
      <w:lvlJc w:val="left"/>
      <w:pPr>
        <w:ind w:left="5760" w:hanging="360"/>
      </w:pPr>
    </w:lvl>
    <w:lvl w:ilvl="8" w:tplc="1E3AE06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92F0EC0"/>
    <w:multiLevelType w:val="multilevel"/>
    <w:tmpl w:val="51EEA844"/>
    <w:styleLink w:val="Formatvorlage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  <w:szCs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8"/>
        <w:szCs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8"/>
        <w:szCs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28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28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4">
    <w:nsid w:val="69FA5EA3"/>
    <w:multiLevelType w:val="multilevel"/>
    <w:tmpl w:val="D29C4EFC"/>
    <w:styleLink w:val="Formatvorlage4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  <w:u w:val="single"/>
      </w:rPr>
    </w:lvl>
    <w:lvl w:ilvl="1">
      <w:start w:val="1"/>
      <w:numFmt w:val="decimal"/>
      <w:lvlText w:val="%1.%2."/>
      <w:lvlJc w:val="left"/>
      <w:pPr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7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hint="default"/>
      </w:rPr>
    </w:lvl>
  </w:abstractNum>
  <w:abstractNum w:abstractNumId="25">
    <w:nsid w:val="72242E3E"/>
    <w:multiLevelType w:val="multilevel"/>
    <w:tmpl w:val="51EEA844"/>
    <w:lvl w:ilvl="0">
      <w:start w:val="1"/>
      <w:numFmt w:val="bullet"/>
      <w:pStyle w:val="GliederungmitAufzhlung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  <w:szCs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  <w:szCs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2"/>
        <w:szCs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18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16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6">
    <w:nsid w:val="72377034"/>
    <w:multiLevelType w:val="hybridMultilevel"/>
    <w:tmpl w:val="D348E89A"/>
    <w:lvl w:ilvl="0" w:tplc="F42CC6B2">
      <w:start w:val="1"/>
      <w:numFmt w:val="bullet"/>
      <w:pStyle w:val="Aufzhlungszeichen3"/>
      <w:lvlText w:val="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2"/>
        <w:szCs w:val="22"/>
      </w:rPr>
    </w:lvl>
    <w:lvl w:ilvl="1" w:tplc="3FFC2FA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4DF4E19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2105B9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61A1B3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60AC6C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8D27BC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D3A733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7F7ADA4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73740233"/>
    <w:multiLevelType w:val="hybridMultilevel"/>
    <w:tmpl w:val="E71498F6"/>
    <w:lvl w:ilvl="0" w:tplc="AD6A509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7F553D7"/>
    <w:multiLevelType w:val="hybridMultilevel"/>
    <w:tmpl w:val="73867754"/>
    <w:lvl w:ilvl="0" w:tplc="9A2AD48A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9"/>
  </w:num>
  <w:num w:numId="3">
    <w:abstractNumId w:val="26"/>
  </w:num>
  <w:num w:numId="4">
    <w:abstractNumId w:val="13"/>
  </w:num>
  <w:num w:numId="5">
    <w:abstractNumId w:val="23"/>
  </w:num>
  <w:num w:numId="6">
    <w:abstractNumId w:val="12"/>
  </w:num>
  <w:num w:numId="7">
    <w:abstractNumId w:val="25"/>
  </w:num>
  <w:num w:numId="8">
    <w:abstractNumId w:val="2"/>
  </w:num>
  <w:num w:numId="9">
    <w:abstractNumId w:val="20"/>
  </w:num>
  <w:num w:numId="10">
    <w:abstractNumId w:val="10"/>
  </w:num>
  <w:num w:numId="11">
    <w:abstractNumId w:val="16"/>
  </w:num>
  <w:num w:numId="12">
    <w:abstractNumId w:val="5"/>
  </w:num>
  <w:num w:numId="13">
    <w:abstractNumId w:val="22"/>
  </w:num>
  <w:num w:numId="14">
    <w:abstractNumId w:val="18"/>
  </w:num>
  <w:num w:numId="15">
    <w:abstractNumId w:val="9"/>
  </w:num>
  <w:num w:numId="16">
    <w:abstractNumId w:val="15"/>
  </w:num>
  <w:num w:numId="17">
    <w:abstractNumId w:val="8"/>
  </w:num>
  <w:num w:numId="18">
    <w:abstractNumId w:val="24"/>
  </w:num>
  <w:num w:numId="19">
    <w:abstractNumId w:val="1"/>
  </w:num>
  <w:num w:numId="20">
    <w:abstractNumId w:val="4"/>
  </w:num>
  <w:num w:numId="21">
    <w:abstractNumId w:val="7"/>
  </w:num>
  <w:num w:numId="22">
    <w:abstractNumId w:val="6"/>
  </w:num>
  <w:num w:numId="23">
    <w:abstractNumId w:val="9"/>
    <w:lvlOverride w:ilvl="0">
      <w:startOverride w:val="1"/>
    </w:lvlOverride>
  </w:num>
  <w:num w:numId="24">
    <w:abstractNumId w:val="9"/>
    <w:lvlOverride w:ilvl="0">
      <w:startOverride w:val="1"/>
    </w:lvlOverride>
  </w:num>
  <w:num w:numId="25">
    <w:abstractNumId w:val="17"/>
  </w:num>
  <w:num w:numId="26">
    <w:abstractNumId w:val="21"/>
  </w:num>
  <w:num w:numId="27">
    <w:abstractNumId w:val="9"/>
    <w:lvlOverride w:ilvl="0">
      <w:startOverride w:val="1"/>
    </w:lvlOverride>
  </w:num>
  <w:num w:numId="28">
    <w:abstractNumId w:val="9"/>
  </w:num>
  <w:num w:numId="29">
    <w:abstractNumId w:val="9"/>
  </w:num>
  <w:num w:numId="30">
    <w:abstractNumId w:val="28"/>
  </w:num>
  <w:num w:numId="31">
    <w:abstractNumId w:val="27"/>
  </w:num>
  <w:num w:numId="32">
    <w:abstractNumId w:val="22"/>
  </w:num>
  <w:num w:numId="33">
    <w:abstractNumId w:val="11"/>
  </w:num>
  <w:num w:numId="34">
    <w:abstractNumId w:val="14"/>
  </w:num>
  <w:num w:numId="35">
    <w:abstractNumId w:val="3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708"/>
  <w:autoHyphenation/>
  <w:hyphenationZone w:val="170"/>
  <w:drawingGridHorizontalSpacing w:val="10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884FEB"/>
    <w:rsid w:val="00000989"/>
    <w:rsid w:val="000010C7"/>
    <w:rsid w:val="00001BFB"/>
    <w:rsid w:val="000020E5"/>
    <w:rsid w:val="00004FE8"/>
    <w:rsid w:val="00005765"/>
    <w:rsid w:val="00005FFC"/>
    <w:rsid w:val="00007D0D"/>
    <w:rsid w:val="00011BD0"/>
    <w:rsid w:val="00012901"/>
    <w:rsid w:val="00013A2D"/>
    <w:rsid w:val="00014890"/>
    <w:rsid w:val="00014C1D"/>
    <w:rsid w:val="00017A25"/>
    <w:rsid w:val="00020516"/>
    <w:rsid w:val="00021AFC"/>
    <w:rsid w:val="00022B30"/>
    <w:rsid w:val="000232E2"/>
    <w:rsid w:val="000243CE"/>
    <w:rsid w:val="0002657F"/>
    <w:rsid w:val="00026A0E"/>
    <w:rsid w:val="000326C1"/>
    <w:rsid w:val="00037093"/>
    <w:rsid w:val="000417C3"/>
    <w:rsid w:val="000428BA"/>
    <w:rsid w:val="0004324E"/>
    <w:rsid w:val="000448EA"/>
    <w:rsid w:val="00047903"/>
    <w:rsid w:val="0005400A"/>
    <w:rsid w:val="00054652"/>
    <w:rsid w:val="0005609F"/>
    <w:rsid w:val="00057362"/>
    <w:rsid w:val="00060493"/>
    <w:rsid w:val="00060C8F"/>
    <w:rsid w:val="00061E48"/>
    <w:rsid w:val="00062C41"/>
    <w:rsid w:val="00063085"/>
    <w:rsid w:val="00076091"/>
    <w:rsid w:val="00076880"/>
    <w:rsid w:val="000828C6"/>
    <w:rsid w:val="00083F35"/>
    <w:rsid w:val="0008578E"/>
    <w:rsid w:val="000858A9"/>
    <w:rsid w:val="0008722B"/>
    <w:rsid w:val="00087415"/>
    <w:rsid w:val="000903FA"/>
    <w:rsid w:val="0009490B"/>
    <w:rsid w:val="00095702"/>
    <w:rsid w:val="00097F16"/>
    <w:rsid w:val="000A27BA"/>
    <w:rsid w:val="000A4EAF"/>
    <w:rsid w:val="000A63A8"/>
    <w:rsid w:val="000B0EBE"/>
    <w:rsid w:val="000B1C14"/>
    <w:rsid w:val="000B6880"/>
    <w:rsid w:val="000B6A14"/>
    <w:rsid w:val="000B7CB9"/>
    <w:rsid w:val="000C0208"/>
    <w:rsid w:val="000C14C3"/>
    <w:rsid w:val="000C7E9F"/>
    <w:rsid w:val="000D220D"/>
    <w:rsid w:val="000D44E0"/>
    <w:rsid w:val="000D65D1"/>
    <w:rsid w:val="000D702E"/>
    <w:rsid w:val="000D735D"/>
    <w:rsid w:val="000E1572"/>
    <w:rsid w:val="000E29C9"/>
    <w:rsid w:val="000E657C"/>
    <w:rsid w:val="000E7BA8"/>
    <w:rsid w:val="000F0519"/>
    <w:rsid w:val="000F0ADE"/>
    <w:rsid w:val="000F13EA"/>
    <w:rsid w:val="000F2F09"/>
    <w:rsid w:val="000F4702"/>
    <w:rsid w:val="000F6A80"/>
    <w:rsid w:val="000F6B25"/>
    <w:rsid w:val="000F7A95"/>
    <w:rsid w:val="001047F8"/>
    <w:rsid w:val="00106801"/>
    <w:rsid w:val="00107B30"/>
    <w:rsid w:val="00111654"/>
    <w:rsid w:val="00117214"/>
    <w:rsid w:val="0012049B"/>
    <w:rsid w:val="001243C8"/>
    <w:rsid w:val="00124B85"/>
    <w:rsid w:val="001273B5"/>
    <w:rsid w:val="00127E0D"/>
    <w:rsid w:val="00133AC1"/>
    <w:rsid w:val="001345B4"/>
    <w:rsid w:val="0013570A"/>
    <w:rsid w:val="00136316"/>
    <w:rsid w:val="001402DB"/>
    <w:rsid w:val="00141565"/>
    <w:rsid w:val="00142154"/>
    <w:rsid w:val="00142B80"/>
    <w:rsid w:val="001432EE"/>
    <w:rsid w:val="001441C5"/>
    <w:rsid w:val="00147FA5"/>
    <w:rsid w:val="00151B6A"/>
    <w:rsid w:val="001557FE"/>
    <w:rsid w:val="001570C4"/>
    <w:rsid w:val="0015766F"/>
    <w:rsid w:val="00163DBA"/>
    <w:rsid w:val="001668F3"/>
    <w:rsid w:val="001719E2"/>
    <w:rsid w:val="001721BD"/>
    <w:rsid w:val="001735B9"/>
    <w:rsid w:val="0017440D"/>
    <w:rsid w:val="00175957"/>
    <w:rsid w:val="0017699A"/>
    <w:rsid w:val="0017740A"/>
    <w:rsid w:val="00183B7A"/>
    <w:rsid w:val="00184E8A"/>
    <w:rsid w:val="001854F6"/>
    <w:rsid w:val="00185877"/>
    <w:rsid w:val="00186D4E"/>
    <w:rsid w:val="001919E9"/>
    <w:rsid w:val="00192323"/>
    <w:rsid w:val="00192C81"/>
    <w:rsid w:val="00192FAC"/>
    <w:rsid w:val="00193DDC"/>
    <w:rsid w:val="00194742"/>
    <w:rsid w:val="00194DB0"/>
    <w:rsid w:val="001957C3"/>
    <w:rsid w:val="00195B92"/>
    <w:rsid w:val="00196DE8"/>
    <w:rsid w:val="001A241E"/>
    <w:rsid w:val="001A44B3"/>
    <w:rsid w:val="001A4F56"/>
    <w:rsid w:val="001A6BFD"/>
    <w:rsid w:val="001B195A"/>
    <w:rsid w:val="001B4EA5"/>
    <w:rsid w:val="001B58FB"/>
    <w:rsid w:val="001C1392"/>
    <w:rsid w:val="001C653B"/>
    <w:rsid w:val="001C787E"/>
    <w:rsid w:val="001C7BF0"/>
    <w:rsid w:val="001D018B"/>
    <w:rsid w:val="001D23F1"/>
    <w:rsid w:val="001D319A"/>
    <w:rsid w:val="001D47C6"/>
    <w:rsid w:val="001D65B8"/>
    <w:rsid w:val="001E01BA"/>
    <w:rsid w:val="001E0F83"/>
    <w:rsid w:val="001E3351"/>
    <w:rsid w:val="001E5519"/>
    <w:rsid w:val="001E5A75"/>
    <w:rsid w:val="001E6B9D"/>
    <w:rsid w:val="001E6FAF"/>
    <w:rsid w:val="001F2920"/>
    <w:rsid w:val="001F488E"/>
    <w:rsid w:val="001F5AC3"/>
    <w:rsid w:val="002021E2"/>
    <w:rsid w:val="00206E56"/>
    <w:rsid w:val="0021104F"/>
    <w:rsid w:val="0021389C"/>
    <w:rsid w:val="00213DC3"/>
    <w:rsid w:val="00215C5A"/>
    <w:rsid w:val="0021767A"/>
    <w:rsid w:val="00221103"/>
    <w:rsid w:val="0022244D"/>
    <w:rsid w:val="00222596"/>
    <w:rsid w:val="00222AC6"/>
    <w:rsid w:val="00223787"/>
    <w:rsid w:val="00223CA3"/>
    <w:rsid w:val="00224E73"/>
    <w:rsid w:val="00225D42"/>
    <w:rsid w:val="002273C8"/>
    <w:rsid w:val="0023488F"/>
    <w:rsid w:val="002357EA"/>
    <w:rsid w:val="00237276"/>
    <w:rsid w:val="002413AE"/>
    <w:rsid w:val="00245325"/>
    <w:rsid w:val="00245670"/>
    <w:rsid w:val="00245BDE"/>
    <w:rsid w:val="00250176"/>
    <w:rsid w:val="002506A3"/>
    <w:rsid w:val="002514E5"/>
    <w:rsid w:val="00253022"/>
    <w:rsid w:val="00254DF6"/>
    <w:rsid w:val="00262C1B"/>
    <w:rsid w:val="00264B52"/>
    <w:rsid w:val="00266178"/>
    <w:rsid w:val="002664C7"/>
    <w:rsid w:val="00271C8B"/>
    <w:rsid w:val="00276B41"/>
    <w:rsid w:val="002775CC"/>
    <w:rsid w:val="00280FC6"/>
    <w:rsid w:val="00285E2F"/>
    <w:rsid w:val="00290AA2"/>
    <w:rsid w:val="00290EFB"/>
    <w:rsid w:val="00291346"/>
    <w:rsid w:val="002920FF"/>
    <w:rsid w:val="00292678"/>
    <w:rsid w:val="0029325B"/>
    <w:rsid w:val="00294411"/>
    <w:rsid w:val="00296D72"/>
    <w:rsid w:val="002A04D3"/>
    <w:rsid w:val="002A08BC"/>
    <w:rsid w:val="002A2A16"/>
    <w:rsid w:val="002A499D"/>
    <w:rsid w:val="002B705F"/>
    <w:rsid w:val="002C0029"/>
    <w:rsid w:val="002C41F1"/>
    <w:rsid w:val="002C42C2"/>
    <w:rsid w:val="002C6263"/>
    <w:rsid w:val="002D42A8"/>
    <w:rsid w:val="002D4E10"/>
    <w:rsid w:val="002D6B9E"/>
    <w:rsid w:val="002E053A"/>
    <w:rsid w:val="002E2061"/>
    <w:rsid w:val="002E3720"/>
    <w:rsid w:val="002E3822"/>
    <w:rsid w:val="002E4EB7"/>
    <w:rsid w:val="002E587F"/>
    <w:rsid w:val="002F1033"/>
    <w:rsid w:val="002F170E"/>
    <w:rsid w:val="002F277D"/>
    <w:rsid w:val="002F2A34"/>
    <w:rsid w:val="002F2E19"/>
    <w:rsid w:val="002F39A7"/>
    <w:rsid w:val="002F4A3D"/>
    <w:rsid w:val="00300224"/>
    <w:rsid w:val="0030392E"/>
    <w:rsid w:val="00303B64"/>
    <w:rsid w:val="00306AD1"/>
    <w:rsid w:val="00306F71"/>
    <w:rsid w:val="003104B3"/>
    <w:rsid w:val="003104F4"/>
    <w:rsid w:val="0031054B"/>
    <w:rsid w:val="003105C6"/>
    <w:rsid w:val="00310F05"/>
    <w:rsid w:val="00311729"/>
    <w:rsid w:val="00311B2D"/>
    <w:rsid w:val="003137B9"/>
    <w:rsid w:val="003154FF"/>
    <w:rsid w:val="00317768"/>
    <w:rsid w:val="003209F9"/>
    <w:rsid w:val="00331FE6"/>
    <w:rsid w:val="00333A44"/>
    <w:rsid w:val="00335A13"/>
    <w:rsid w:val="00337738"/>
    <w:rsid w:val="00340901"/>
    <w:rsid w:val="003455BC"/>
    <w:rsid w:val="00345E53"/>
    <w:rsid w:val="003462BE"/>
    <w:rsid w:val="003472A8"/>
    <w:rsid w:val="00347FF9"/>
    <w:rsid w:val="00350F29"/>
    <w:rsid w:val="0035181B"/>
    <w:rsid w:val="00351F7C"/>
    <w:rsid w:val="00352D3A"/>
    <w:rsid w:val="00353D6B"/>
    <w:rsid w:val="00353F4C"/>
    <w:rsid w:val="003572D8"/>
    <w:rsid w:val="00357F63"/>
    <w:rsid w:val="0036045A"/>
    <w:rsid w:val="00361699"/>
    <w:rsid w:val="003616A1"/>
    <w:rsid w:val="003618E5"/>
    <w:rsid w:val="00363E1B"/>
    <w:rsid w:val="00364B2F"/>
    <w:rsid w:val="00371593"/>
    <w:rsid w:val="00382DA8"/>
    <w:rsid w:val="00383747"/>
    <w:rsid w:val="00383FF2"/>
    <w:rsid w:val="00384ADB"/>
    <w:rsid w:val="00387E40"/>
    <w:rsid w:val="00390A6B"/>
    <w:rsid w:val="00390DDA"/>
    <w:rsid w:val="003912BF"/>
    <w:rsid w:val="0039317F"/>
    <w:rsid w:val="00393539"/>
    <w:rsid w:val="00394753"/>
    <w:rsid w:val="00394FF1"/>
    <w:rsid w:val="00395EED"/>
    <w:rsid w:val="003A0C05"/>
    <w:rsid w:val="003A200A"/>
    <w:rsid w:val="003A449C"/>
    <w:rsid w:val="003A5D8C"/>
    <w:rsid w:val="003A67FF"/>
    <w:rsid w:val="003B09B9"/>
    <w:rsid w:val="003B28ED"/>
    <w:rsid w:val="003B3DBB"/>
    <w:rsid w:val="003C0FB5"/>
    <w:rsid w:val="003C227A"/>
    <w:rsid w:val="003C2566"/>
    <w:rsid w:val="003C4D23"/>
    <w:rsid w:val="003C60B9"/>
    <w:rsid w:val="003D10E9"/>
    <w:rsid w:val="003D24A1"/>
    <w:rsid w:val="003D2721"/>
    <w:rsid w:val="003D3140"/>
    <w:rsid w:val="003D431C"/>
    <w:rsid w:val="003D56DE"/>
    <w:rsid w:val="003D6268"/>
    <w:rsid w:val="003E1667"/>
    <w:rsid w:val="003E5145"/>
    <w:rsid w:val="003E6D37"/>
    <w:rsid w:val="003E79B9"/>
    <w:rsid w:val="003F0D24"/>
    <w:rsid w:val="003F15BB"/>
    <w:rsid w:val="003F1C2D"/>
    <w:rsid w:val="003F2734"/>
    <w:rsid w:val="00401111"/>
    <w:rsid w:val="004012D1"/>
    <w:rsid w:val="00402F1D"/>
    <w:rsid w:val="00412D44"/>
    <w:rsid w:val="00414FB3"/>
    <w:rsid w:val="00415A1B"/>
    <w:rsid w:val="004201CB"/>
    <w:rsid w:val="00420322"/>
    <w:rsid w:val="00423ADC"/>
    <w:rsid w:val="00424AD4"/>
    <w:rsid w:val="00426E6A"/>
    <w:rsid w:val="0043001B"/>
    <w:rsid w:val="00433DC8"/>
    <w:rsid w:val="00434B3C"/>
    <w:rsid w:val="004351CC"/>
    <w:rsid w:val="004377DA"/>
    <w:rsid w:val="004377E2"/>
    <w:rsid w:val="004408E7"/>
    <w:rsid w:val="00443003"/>
    <w:rsid w:val="00444394"/>
    <w:rsid w:val="00445B97"/>
    <w:rsid w:val="00445E06"/>
    <w:rsid w:val="00446CDE"/>
    <w:rsid w:val="00450232"/>
    <w:rsid w:val="0045025C"/>
    <w:rsid w:val="00452FEF"/>
    <w:rsid w:val="00453169"/>
    <w:rsid w:val="00455364"/>
    <w:rsid w:val="004560B2"/>
    <w:rsid w:val="00456976"/>
    <w:rsid w:val="00457521"/>
    <w:rsid w:val="00457B7E"/>
    <w:rsid w:val="00461936"/>
    <w:rsid w:val="00461A5A"/>
    <w:rsid w:val="00464111"/>
    <w:rsid w:val="00464459"/>
    <w:rsid w:val="004675B7"/>
    <w:rsid w:val="00470630"/>
    <w:rsid w:val="0047209E"/>
    <w:rsid w:val="0047503C"/>
    <w:rsid w:val="004760FD"/>
    <w:rsid w:val="00476C53"/>
    <w:rsid w:val="0048116C"/>
    <w:rsid w:val="0048284E"/>
    <w:rsid w:val="00484A6F"/>
    <w:rsid w:val="00484DDA"/>
    <w:rsid w:val="00484EDB"/>
    <w:rsid w:val="004867E5"/>
    <w:rsid w:val="004901BE"/>
    <w:rsid w:val="00490746"/>
    <w:rsid w:val="004969CB"/>
    <w:rsid w:val="00496F5D"/>
    <w:rsid w:val="004A2728"/>
    <w:rsid w:val="004A4555"/>
    <w:rsid w:val="004A5880"/>
    <w:rsid w:val="004A6C52"/>
    <w:rsid w:val="004B2A17"/>
    <w:rsid w:val="004B4DF9"/>
    <w:rsid w:val="004C285B"/>
    <w:rsid w:val="004D2F50"/>
    <w:rsid w:val="004D3678"/>
    <w:rsid w:val="004D71FD"/>
    <w:rsid w:val="004E04BF"/>
    <w:rsid w:val="004E4FFB"/>
    <w:rsid w:val="004E672C"/>
    <w:rsid w:val="004F0828"/>
    <w:rsid w:val="004F4EAC"/>
    <w:rsid w:val="004F50AF"/>
    <w:rsid w:val="005020DE"/>
    <w:rsid w:val="005027FA"/>
    <w:rsid w:val="00502BDF"/>
    <w:rsid w:val="00502FC6"/>
    <w:rsid w:val="0050399F"/>
    <w:rsid w:val="0050588B"/>
    <w:rsid w:val="005067A1"/>
    <w:rsid w:val="005068E6"/>
    <w:rsid w:val="005135D6"/>
    <w:rsid w:val="005147D5"/>
    <w:rsid w:val="005149C1"/>
    <w:rsid w:val="00517633"/>
    <w:rsid w:val="00523687"/>
    <w:rsid w:val="00524120"/>
    <w:rsid w:val="005248A6"/>
    <w:rsid w:val="00524CD5"/>
    <w:rsid w:val="00530A76"/>
    <w:rsid w:val="00530C90"/>
    <w:rsid w:val="00530FC7"/>
    <w:rsid w:val="0053327A"/>
    <w:rsid w:val="00533D6A"/>
    <w:rsid w:val="00536484"/>
    <w:rsid w:val="005429A0"/>
    <w:rsid w:val="00543869"/>
    <w:rsid w:val="0054768B"/>
    <w:rsid w:val="005511AD"/>
    <w:rsid w:val="005514AF"/>
    <w:rsid w:val="005523E5"/>
    <w:rsid w:val="00552E3E"/>
    <w:rsid w:val="0055357B"/>
    <w:rsid w:val="00553F7B"/>
    <w:rsid w:val="0055791B"/>
    <w:rsid w:val="00563313"/>
    <w:rsid w:val="00564A89"/>
    <w:rsid w:val="00565031"/>
    <w:rsid w:val="005666F4"/>
    <w:rsid w:val="00570953"/>
    <w:rsid w:val="00571BF6"/>
    <w:rsid w:val="00574DEE"/>
    <w:rsid w:val="00583AD3"/>
    <w:rsid w:val="00585466"/>
    <w:rsid w:val="00586D84"/>
    <w:rsid w:val="00590D39"/>
    <w:rsid w:val="005911AC"/>
    <w:rsid w:val="00593E1F"/>
    <w:rsid w:val="005A18FB"/>
    <w:rsid w:val="005A2363"/>
    <w:rsid w:val="005A2E40"/>
    <w:rsid w:val="005A6305"/>
    <w:rsid w:val="005A682F"/>
    <w:rsid w:val="005B02DE"/>
    <w:rsid w:val="005B0C8D"/>
    <w:rsid w:val="005B13A0"/>
    <w:rsid w:val="005C1BC9"/>
    <w:rsid w:val="005C287F"/>
    <w:rsid w:val="005C2A35"/>
    <w:rsid w:val="005C2ADF"/>
    <w:rsid w:val="005C6DEB"/>
    <w:rsid w:val="005C7A91"/>
    <w:rsid w:val="005D4CF2"/>
    <w:rsid w:val="005E456E"/>
    <w:rsid w:val="005E6669"/>
    <w:rsid w:val="005E7263"/>
    <w:rsid w:val="005E7B06"/>
    <w:rsid w:val="005F09EF"/>
    <w:rsid w:val="005F2B02"/>
    <w:rsid w:val="005F5B6B"/>
    <w:rsid w:val="005F6C23"/>
    <w:rsid w:val="005F6FDF"/>
    <w:rsid w:val="00600198"/>
    <w:rsid w:val="00601450"/>
    <w:rsid w:val="0060520C"/>
    <w:rsid w:val="006108B8"/>
    <w:rsid w:val="00611073"/>
    <w:rsid w:val="00611819"/>
    <w:rsid w:val="006128D7"/>
    <w:rsid w:val="0061482E"/>
    <w:rsid w:val="0061552A"/>
    <w:rsid w:val="00616264"/>
    <w:rsid w:val="00616690"/>
    <w:rsid w:val="00616E90"/>
    <w:rsid w:val="0061723E"/>
    <w:rsid w:val="00617700"/>
    <w:rsid w:val="006204A8"/>
    <w:rsid w:val="006217F1"/>
    <w:rsid w:val="00621F98"/>
    <w:rsid w:val="00623A72"/>
    <w:rsid w:val="00627143"/>
    <w:rsid w:val="00627430"/>
    <w:rsid w:val="006317A9"/>
    <w:rsid w:val="0063275A"/>
    <w:rsid w:val="006340C6"/>
    <w:rsid w:val="006344BC"/>
    <w:rsid w:val="00634B45"/>
    <w:rsid w:val="00641181"/>
    <w:rsid w:val="00643011"/>
    <w:rsid w:val="00643F3B"/>
    <w:rsid w:val="006443CC"/>
    <w:rsid w:val="006455BC"/>
    <w:rsid w:val="0064641B"/>
    <w:rsid w:val="00650DB8"/>
    <w:rsid w:val="00651C18"/>
    <w:rsid w:val="00652A45"/>
    <w:rsid w:val="00652DF7"/>
    <w:rsid w:val="00652F11"/>
    <w:rsid w:val="00655444"/>
    <w:rsid w:val="0066173C"/>
    <w:rsid w:val="00662957"/>
    <w:rsid w:val="006644E6"/>
    <w:rsid w:val="00667F2D"/>
    <w:rsid w:val="006746DB"/>
    <w:rsid w:val="00675DA2"/>
    <w:rsid w:val="006771CE"/>
    <w:rsid w:val="006778A2"/>
    <w:rsid w:val="00677A1D"/>
    <w:rsid w:val="006834A9"/>
    <w:rsid w:val="006916CC"/>
    <w:rsid w:val="006916DC"/>
    <w:rsid w:val="00695E99"/>
    <w:rsid w:val="00696F12"/>
    <w:rsid w:val="006A01F5"/>
    <w:rsid w:val="006A0C55"/>
    <w:rsid w:val="006A210B"/>
    <w:rsid w:val="006A3382"/>
    <w:rsid w:val="006A483F"/>
    <w:rsid w:val="006A5132"/>
    <w:rsid w:val="006A5184"/>
    <w:rsid w:val="006B0FE2"/>
    <w:rsid w:val="006B19A0"/>
    <w:rsid w:val="006B2A31"/>
    <w:rsid w:val="006B55D6"/>
    <w:rsid w:val="006B5BA8"/>
    <w:rsid w:val="006B68BC"/>
    <w:rsid w:val="006B6945"/>
    <w:rsid w:val="006B7228"/>
    <w:rsid w:val="006B72EF"/>
    <w:rsid w:val="006C0915"/>
    <w:rsid w:val="006C11BB"/>
    <w:rsid w:val="006C399A"/>
    <w:rsid w:val="006C3FF9"/>
    <w:rsid w:val="006C4174"/>
    <w:rsid w:val="006C45C6"/>
    <w:rsid w:val="006D49F3"/>
    <w:rsid w:val="006D6677"/>
    <w:rsid w:val="006E3FCC"/>
    <w:rsid w:val="006E52E7"/>
    <w:rsid w:val="006E7C46"/>
    <w:rsid w:val="006F1806"/>
    <w:rsid w:val="006F4E86"/>
    <w:rsid w:val="006F50E2"/>
    <w:rsid w:val="006F773D"/>
    <w:rsid w:val="00702E1B"/>
    <w:rsid w:val="00704405"/>
    <w:rsid w:val="00704B2D"/>
    <w:rsid w:val="0070633D"/>
    <w:rsid w:val="007063C4"/>
    <w:rsid w:val="0070714B"/>
    <w:rsid w:val="007071C0"/>
    <w:rsid w:val="00707659"/>
    <w:rsid w:val="007111B3"/>
    <w:rsid w:val="00711E1C"/>
    <w:rsid w:val="00711F3A"/>
    <w:rsid w:val="00712B6C"/>
    <w:rsid w:val="00721227"/>
    <w:rsid w:val="00721A22"/>
    <w:rsid w:val="00721C5C"/>
    <w:rsid w:val="00721CEA"/>
    <w:rsid w:val="007247ED"/>
    <w:rsid w:val="00727756"/>
    <w:rsid w:val="0073581C"/>
    <w:rsid w:val="00736AD5"/>
    <w:rsid w:val="00736D27"/>
    <w:rsid w:val="007420C6"/>
    <w:rsid w:val="007433DF"/>
    <w:rsid w:val="007434D0"/>
    <w:rsid w:val="0074362F"/>
    <w:rsid w:val="007449CB"/>
    <w:rsid w:val="00746AE6"/>
    <w:rsid w:val="00747646"/>
    <w:rsid w:val="007503D4"/>
    <w:rsid w:val="00751BC8"/>
    <w:rsid w:val="007535D4"/>
    <w:rsid w:val="0075517F"/>
    <w:rsid w:val="00756759"/>
    <w:rsid w:val="00761234"/>
    <w:rsid w:val="00761BD9"/>
    <w:rsid w:val="0076257F"/>
    <w:rsid w:val="00763360"/>
    <w:rsid w:val="00763A4B"/>
    <w:rsid w:val="00764E61"/>
    <w:rsid w:val="00767423"/>
    <w:rsid w:val="0077061D"/>
    <w:rsid w:val="00775951"/>
    <w:rsid w:val="00775AA6"/>
    <w:rsid w:val="0078015D"/>
    <w:rsid w:val="00781160"/>
    <w:rsid w:val="007827A3"/>
    <w:rsid w:val="007846BD"/>
    <w:rsid w:val="0078562D"/>
    <w:rsid w:val="00785E60"/>
    <w:rsid w:val="00785E90"/>
    <w:rsid w:val="007864CA"/>
    <w:rsid w:val="00787CDE"/>
    <w:rsid w:val="007A1D61"/>
    <w:rsid w:val="007A4CFD"/>
    <w:rsid w:val="007A6B64"/>
    <w:rsid w:val="007B0068"/>
    <w:rsid w:val="007B025E"/>
    <w:rsid w:val="007B0AC3"/>
    <w:rsid w:val="007B0B53"/>
    <w:rsid w:val="007B5523"/>
    <w:rsid w:val="007B693F"/>
    <w:rsid w:val="007B7F68"/>
    <w:rsid w:val="007C1912"/>
    <w:rsid w:val="007C4C33"/>
    <w:rsid w:val="007C796B"/>
    <w:rsid w:val="007D0BDE"/>
    <w:rsid w:val="007D1FD8"/>
    <w:rsid w:val="007D2AEF"/>
    <w:rsid w:val="007D2CE6"/>
    <w:rsid w:val="007D4A96"/>
    <w:rsid w:val="007D5AD0"/>
    <w:rsid w:val="007D6D2D"/>
    <w:rsid w:val="007E087E"/>
    <w:rsid w:val="007E18BB"/>
    <w:rsid w:val="007E1EDF"/>
    <w:rsid w:val="007E33D4"/>
    <w:rsid w:val="007E3813"/>
    <w:rsid w:val="007E475F"/>
    <w:rsid w:val="007E4B02"/>
    <w:rsid w:val="007E7097"/>
    <w:rsid w:val="007E7384"/>
    <w:rsid w:val="007F0442"/>
    <w:rsid w:val="007F0E32"/>
    <w:rsid w:val="007F3F93"/>
    <w:rsid w:val="007F41EE"/>
    <w:rsid w:val="007F6D99"/>
    <w:rsid w:val="007F7A60"/>
    <w:rsid w:val="008004DF"/>
    <w:rsid w:val="008010EA"/>
    <w:rsid w:val="008024B2"/>
    <w:rsid w:val="00803A7B"/>
    <w:rsid w:val="00804EE8"/>
    <w:rsid w:val="00816B32"/>
    <w:rsid w:val="00820E23"/>
    <w:rsid w:val="0082105B"/>
    <w:rsid w:val="00822FDF"/>
    <w:rsid w:val="00823FC1"/>
    <w:rsid w:val="00826F85"/>
    <w:rsid w:val="0083444D"/>
    <w:rsid w:val="008420D9"/>
    <w:rsid w:val="008427C5"/>
    <w:rsid w:val="0084379F"/>
    <w:rsid w:val="00845545"/>
    <w:rsid w:val="008551B9"/>
    <w:rsid w:val="00855342"/>
    <w:rsid w:val="0085621E"/>
    <w:rsid w:val="00856854"/>
    <w:rsid w:val="00860094"/>
    <w:rsid w:val="00861ECE"/>
    <w:rsid w:val="008645CF"/>
    <w:rsid w:val="008662E0"/>
    <w:rsid w:val="00866E26"/>
    <w:rsid w:val="008707F8"/>
    <w:rsid w:val="00872488"/>
    <w:rsid w:val="0087489F"/>
    <w:rsid w:val="00875044"/>
    <w:rsid w:val="00875C7F"/>
    <w:rsid w:val="008761B4"/>
    <w:rsid w:val="00880323"/>
    <w:rsid w:val="008815DE"/>
    <w:rsid w:val="0088172D"/>
    <w:rsid w:val="0088232A"/>
    <w:rsid w:val="00884B2C"/>
    <w:rsid w:val="00884FEB"/>
    <w:rsid w:val="0088630E"/>
    <w:rsid w:val="00891DBA"/>
    <w:rsid w:val="008927C3"/>
    <w:rsid w:val="00894520"/>
    <w:rsid w:val="00895503"/>
    <w:rsid w:val="008A4511"/>
    <w:rsid w:val="008A49E8"/>
    <w:rsid w:val="008A5292"/>
    <w:rsid w:val="008A53B5"/>
    <w:rsid w:val="008A66B9"/>
    <w:rsid w:val="008A76C7"/>
    <w:rsid w:val="008A7A5D"/>
    <w:rsid w:val="008A7C50"/>
    <w:rsid w:val="008B2F5E"/>
    <w:rsid w:val="008B6066"/>
    <w:rsid w:val="008B7267"/>
    <w:rsid w:val="008C11CD"/>
    <w:rsid w:val="008C122C"/>
    <w:rsid w:val="008C624D"/>
    <w:rsid w:val="008C62D0"/>
    <w:rsid w:val="008C6E0B"/>
    <w:rsid w:val="008D1E70"/>
    <w:rsid w:val="008D2210"/>
    <w:rsid w:val="008D6194"/>
    <w:rsid w:val="008D68F4"/>
    <w:rsid w:val="008D6D5B"/>
    <w:rsid w:val="008E0BAF"/>
    <w:rsid w:val="008E0E86"/>
    <w:rsid w:val="008E0F08"/>
    <w:rsid w:val="008E3CA9"/>
    <w:rsid w:val="008E416F"/>
    <w:rsid w:val="008E47D2"/>
    <w:rsid w:val="008E6B72"/>
    <w:rsid w:val="008F024A"/>
    <w:rsid w:val="008F1D51"/>
    <w:rsid w:val="008F53AF"/>
    <w:rsid w:val="008F5876"/>
    <w:rsid w:val="009007C6"/>
    <w:rsid w:val="00900C1D"/>
    <w:rsid w:val="00903390"/>
    <w:rsid w:val="00906D99"/>
    <w:rsid w:val="009079AD"/>
    <w:rsid w:val="00910E26"/>
    <w:rsid w:val="00915A15"/>
    <w:rsid w:val="00915A9C"/>
    <w:rsid w:val="00917FAE"/>
    <w:rsid w:val="00920EBF"/>
    <w:rsid w:val="00924EEF"/>
    <w:rsid w:val="0093135A"/>
    <w:rsid w:val="00931490"/>
    <w:rsid w:val="00934B81"/>
    <w:rsid w:val="009362E7"/>
    <w:rsid w:val="009371BA"/>
    <w:rsid w:val="00942368"/>
    <w:rsid w:val="00945316"/>
    <w:rsid w:val="00946F8D"/>
    <w:rsid w:val="009502E9"/>
    <w:rsid w:val="00950950"/>
    <w:rsid w:val="0095231B"/>
    <w:rsid w:val="00955F25"/>
    <w:rsid w:val="009637EA"/>
    <w:rsid w:val="009641EA"/>
    <w:rsid w:val="00965272"/>
    <w:rsid w:val="00965D5D"/>
    <w:rsid w:val="00965DED"/>
    <w:rsid w:val="009660C0"/>
    <w:rsid w:val="00971A2C"/>
    <w:rsid w:val="0097361F"/>
    <w:rsid w:val="00974222"/>
    <w:rsid w:val="0097529F"/>
    <w:rsid w:val="009770DD"/>
    <w:rsid w:val="009777FB"/>
    <w:rsid w:val="00981993"/>
    <w:rsid w:val="0098245F"/>
    <w:rsid w:val="00983EE0"/>
    <w:rsid w:val="00985397"/>
    <w:rsid w:val="0098778D"/>
    <w:rsid w:val="009900AD"/>
    <w:rsid w:val="00991C37"/>
    <w:rsid w:val="0099328D"/>
    <w:rsid w:val="00994ECA"/>
    <w:rsid w:val="00995730"/>
    <w:rsid w:val="00995EC9"/>
    <w:rsid w:val="0099694B"/>
    <w:rsid w:val="009A0845"/>
    <w:rsid w:val="009A1317"/>
    <w:rsid w:val="009A2E43"/>
    <w:rsid w:val="009A4B3E"/>
    <w:rsid w:val="009A6E08"/>
    <w:rsid w:val="009A7666"/>
    <w:rsid w:val="009A77CD"/>
    <w:rsid w:val="009B2EE9"/>
    <w:rsid w:val="009B34D1"/>
    <w:rsid w:val="009B4949"/>
    <w:rsid w:val="009B6CE4"/>
    <w:rsid w:val="009C0018"/>
    <w:rsid w:val="009C001E"/>
    <w:rsid w:val="009C0800"/>
    <w:rsid w:val="009C212D"/>
    <w:rsid w:val="009C273D"/>
    <w:rsid w:val="009C2C58"/>
    <w:rsid w:val="009C3801"/>
    <w:rsid w:val="009C4291"/>
    <w:rsid w:val="009C7D6A"/>
    <w:rsid w:val="009D3244"/>
    <w:rsid w:val="009D3500"/>
    <w:rsid w:val="009E250B"/>
    <w:rsid w:val="009E44AD"/>
    <w:rsid w:val="009E58B0"/>
    <w:rsid w:val="009E6A9F"/>
    <w:rsid w:val="009F3AD0"/>
    <w:rsid w:val="009F75EC"/>
    <w:rsid w:val="00A01C72"/>
    <w:rsid w:val="00A02743"/>
    <w:rsid w:val="00A02850"/>
    <w:rsid w:val="00A03C89"/>
    <w:rsid w:val="00A03DC9"/>
    <w:rsid w:val="00A0483F"/>
    <w:rsid w:val="00A0649B"/>
    <w:rsid w:val="00A11EC0"/>
    <w:rsid w:val="00A11FB0"/>
    <w:rsid w:val="00A1286F"/>
    <w:rsid w:val="00A136CD"/>
    <w:rsid w:val="00A14B7E"/>
    <w:rsid w:val="00A21A2C"/>
    <w:rsid w:val="00A24751"/>
    <w:rsid w:val="00A27BA8"/>
    <w:rsid w:val="00A320B1"/>
    <w:rsid w:val="00A32542"/>
    <w:rsid w:val="00A33695"/>
    <w:rsid w:val="00A35C0D"/>
    <w:rsid w:val="00A36D27"/>
    <w:rsid w:val="00A36D70"/>
    <w:rsid w:val="00A4309F"/>
    <w:rsid w:val="00A431AF"/>
    <w:rsid w:val="00A449A6"/>
    <w:rsid w:val="00A45C17"/>
    <w:rsid w:val="00A469C9"/>
    <w:rsid w:val="00A46B32"/>
    <w:rsid w:val="00A51E27"/>
    <w:rsid w:val="00A60BA6"/>
    <w:rsid w:val="00A61994"/>
    <w:rsid w:val="00A64421"/>
    <w:rsid w:val="00A72569"/>
    <w:rsid w:val="00A72DF3"/>
    <w:rsid w:val="00A76A5D"/>
    <w:rsid w:val="00A76DE4"/>
    <w:rsid w:val="00A772B4"/>
    <w:rsid w:val="00A801A9"/>
    <w:rsid w:val="00A80A02"/>
    <w:rsid w:val="00A81836"/>
    <w:rsid w:val="00A827EF"/>
    <w:rsid w:val="00A83F80"/>
    <w:rsid w:val="00A85CE0"/>
    <w:rsid w:val="00A86139"/>
    <w:rsid w:val="00A8655C"/>
    <w:rsid w:val="00A90BDF"/>
    <w:rsid w:val="00A91DBC"/>
    <w:rsid w:val="00A921D0"/>
    <w:rsid w:val="00A9707B"/>
    <w:rsid w:val="00A97B12"/>
    <w:rsid w:val="00AA02BE"/>
    <w:rsid w:val="00AA0B7E"/>
    <w:rsid w:val="00AA21F3"/>
    <w:rsid w:val="00AA2AD2"/>
    <w:rsid w:val="00AA40D1"/>
    <w:rsid w:val="00AB233A"/>
    <w:rsid w:val="00AB28E2"/>
    <w:rsid w:val="00AB2F46"/>
    <w:rsid w:val="00AB4E51"/>
    <w:rsid w:val="00AB5AE4"/>
    <w:rsid w:val="00AB5E31"/>
    <w:rsid w:val="00AB62B3"/>
    <w:rsid w:val="00AC14E2"/>
    <w:rsid w:val="00AC2688"/>
    <w:rsid w:val="00AC5975"/>
    <w:rsid w:val="00AC5F45"/>
    <w:rsid w:val="00AC69C3"/>
    <w:rsid w:val="00AD061B"/>
    <w:rsid w:val="00AD1C09"/>
    <w:rsid w:val="00AD4571"/>
    <w:rsid w:val="00AE1CD7"/>
    <w:rsid w:val="00AE2F75"/>
    <w:rsid w:val="00AE34DF"/>
    <w:rsid w:val="00AE5923"/>
    <w:rsid w:val="00AF0271"/>
    <w:rsid w:val="00AF06DB"/>
    <w:rsid w:val="00AF172A"/>
    <w:rsid w:val="00AF62BC"/>
    <w:rsid w:val="00AF672F"/>
    <w:rsid w:val="00AF7FA5"/>
    <w:rsid w:val="00B01163"/>
    <w:rsid w:val="00B0191A"/>
    <w:rsid w:val="00B0468D"/>
    <w:rsid w:val="00B05254"/>
    <w:rsid w:val="00B057CA"/>
    <w:rsid w:val="00B063D0"/>
    <w:rsid w:val="00B12EA6"/>
    <w:rsid w:val="00B141BC"/>
    <w:rsid w:val="00B15280"/>
    <w:rsid w:val="00B1595E"/>
    <w:rsid w:val="00B17100"/>
    <w:rsid w:val="00B200D4"/>
    <w:rsid w:val="00B207F4"/>
    <w:rsid w:val="00B22A44"/>
    <w:rsid w:val="00B244CF"/>
    <w:rsid w:val="00B2596F"/>
    <w:rsid w:val="00B27616"/>
    <w:rsid w:val="00B27865"/>
    <w:rsid w:val="00B27962"/>
    <w:rsid w:val="00B33244"/>
    <w:rsid w:val="00B35C1A"/>
    <w:rsid w:val="00B36BA6"/>
    <w:rsid w:val="00B414D0"/>
    <w:rsid w:val="00B42ABA"/>
    <w:rsid w:val="00B439B1"/>
    <w:rsid w:val="00B4530A"/>
    <w:rsid w:val="00B50194"/>
    <w:rsid w:val="00B51F42"/>
    <w:rsid w:val="00B53030"/>
    <w:rsid w:val="00B65F23"/>
    <w:rsid w:val="00B679C2"/>
    <w:rsid w:val="00B7024C"/>
    <w:rsid w:val="00B70632"/>
    <w:rsid w:val="00B80B0E"/>
    <w:rsid w:val="00B822A4"/>
    <w:rsid w:val="00B82A3A"/>
    <w:rsid w:val="00B83403"/>
    <w:rsid w:val="00B83DD6"/>
    <w:rsid w:val="00B85081"/>
    <w:rsid w:val="00B9340F"/>
    <w:rsid w:val="00B945FE"/>
    <w:rsid w:val="00BA066A"/>
    <w:rsid w:val="00BA1DC1"/>
    <w:rsid w:val="00BA2252"/>
    <w:rsid w:val="00BA362E"/>
    <w:rsid w:val="00BA3827"/>
    <w:rsid w:val="00BA577F"/>
    <w:rsid w:val="00BA623F"/>
    <w:rsid w:val="00BA6E03"/>
    <w:rsid w:val="00BA7374"/>
    <w:rsid w:val="00BB105B"/>
    <w:rsid w:val="00BB235F"/>
    <w:rsid w:val="00BB29F2"/>
    <w:rsid w:val="00BB2FB4"/>
    <w:rsid w:val="00BB3751"/>
    <w:rsid w:val="00BB50BB"/>
    <w:rsid w:val="00BB55B9"/>
    <w:rsid w:val="00BB6397"/>
    <w:rsid w:val="00BB665E"/>
    <w:rsid w:val="00BB6DEA"/>
    <w:rsid w:val="00BB74BC"/>
    <w:rsid w:val="00BC068F"/>
    <w:rsid w:val="00BC131B"/>
    <w:rsid w:val="00BC2C58"/>
    <w:rsid w:val="00BC47F7"/>
    <w:rsid w:val="00BC72FD"/>
    <w:rsid w:val="00BD0674"/>
    <w:rsid w:val="00BD26B2"/>
    <w:rsid w:val="00BD2B86"/>
    <w:rsid w:val="00BE0698"/>
    <w:rsid w:val="00BE1311"/>
    <w:rsid w:val="00BE2D91"/>
    <w:rsid w:val="00BE3226"/>
    <w:rsid w:val="00BE358B"/>
    <w:rsid w:val="00BE6DFE"/>
    <w:rsid w:val="00BF27C4"/>
    <w:rsid w:val="00BF3C7F"/>
    <w:rsid w:val="00BF4825"/>
    <w:rsid w:val="00BF4DBA"/>
    <w:rsid w:val="00BF640E"/>
    <w:rsid w:val="00BF666D"/>
    <w:rsid w:val="00BF67A2"/>
    <w:rsid w:val="00C000FD"/>
    <w:rsid w:val="00C01264"/>
    <w:rsid w:val="00C02143"/>
    <w:rsid w:val="00C029BC"/>
    <w:rsid w:val="00C04D37"/>
    <w:rsid w:val="00C0662F"/>
    <w:rsid w:val="00C066B8"/>
    <w:rsid w:val="00C07304"/>
    <w:rsid w:val="00C074C4"/>
    <w:rsid w:val="00C101C6"/>
    <w:rsid w:val="00C12FEB"/>
    <w:rsid w:val="00C15B08"/>
    <w:rsid w:val="00C1644D"/>
    <w:rsid w:val="00C16AD7"/>
    <w:rsid w:val="00C2230F"/>
    <w:rsid w:val="00C25670"/>
    <w:rsid w:val="00C2609F"/>
    <w:rsid w:val="00C2636B"/>
    <w:rsid w:val="00C277FB"/>
    <w:rsid w:val="00C3194E"/>
    <w:rsid w:val="00C338A5"/>
    <w:rsid w:val="00C356C8"/>
    <w:rsid w:val="00C367B4"/>
    <w:rsid w:val="00C368A1"/>
    <w:rsid w:val="00C36B2D"/>
    <w:rsid w:val="00C4072C"/>
    <w:rsid w:val="00C40D60"/>
    <w:rsid w:val="00C41ABD"/>
    <w:rsid w:val="00C43339"/>
    <w:rsid w:val="00C43A7D"/>
    <w:rsid w:val="00C46DB1"/>
    <w:rsid w:val="00C47BD3"/>
    <w:rsid w:val="00C50300"/>
    <w:rsid w:val="00C521E5"/>
    <w:rsid w:val="00C52B89"/>
    <w:rsid w:val="00C52CE2"/>
    <w:rsid w:val="00C53963"/>
    <w:rsid w:val="00C54763"/>
    <w:rsid w:val="00C563A1"/>
    <w:rsid w:val="00C569F8"/>
    <w:rsid w:val="00C57601"/>
    <w:rsid w:val="00C57B68"/>
    <w:rsid w:val="00C624CC"/>
    <w:rsid w:val="00C635CF"/>
    <w:rsid w:val="00C65806"/>
    <w:rsid w:val="00C707EE"/>
    <w:rsid w:val="00C71A90"/>
    <w:rsid w:val="00C8129D"/>
    <w:rsid w:val="00C81874"/>
    <w:rsid w:val="00C81D53"/>
    <w:rsid w:val="00C83135"/>
    <w:rsid w:val="00C83BED"/>
    <w:rsid w:val="00C840B4"/>
    <w:rsid w:val="00C8442F"/>
    <w:rsid w:val="00C84BAF"/>
    <w:rsid w:val="00C87CEE"/>
    <w:rsid w:val="00C92415"/>
    <w:rsid w:val="00C92E09"/>
    <w:rsid w:val="00C941FF"/>
    <w:rsid w:val="00C960CE"/>
    <w:rsid w:val="00C973FB"/>
    <w:rsid w:val="00CA1AAB"/>
    <w:rsid w:val="00CA2E80"/>
    <w:rsid w:val="00CA42A9"/>
    <w:rsid w:val="00CA61EE"/>
    <w:rsid w:val="00CA6CFB"/>
    <w:rsid w:val="00CB484B"/>
    <w:rsid w:val="00CB4E0C"/>
    <w:rsid w:val="00CB5059"/>
    <w:rsid w:val="00CB554D"/>
    <w:rsid w:val="00CB6C8D"/>
    <w:rsid w:val="00CB6CF3"/>
    <w:rsid w:val="00CC05E7"/>
    <w:rsid w:val="00CC2429"/>
    <w:rsid w:val="00CC3B68"/>
    <w:rsid w:val="00CC604B"/>
    <w:rsid w:val="00CC6811"/>
    <w:rsid w:val="00CC6B3A"/>
    <w:rsid w:val="00CD4331"/>
    <w:rsid w:val="00CD4E73"/>
    <w:rsid w:val="00CD52C6"/>
    <w:rsid w:val="00CD7ED8"/>
    <w:rsid w:val="00CE019C"/>
    <w:rsid w:val="00CE0F46"/>
    <w:rsid w:val="00CE32FA"/>
    <w:rsid w:val="00CE5ACF"/>
    <w:rsid w:val="00CF06F7"/>
    <w:rsid w:val="00CF4742"/>
    <w:rsid w:val="00CF4894"/>
    <w:rsid w:val="00CF48DE"/>
    <w:rsid w:val="00D02770"/>
    <w:rsid w:val="00D03C12"/>
    <w:rsid w:val="00D054C0"/>
    <w:rsid w:val="00D06F70"/>
    <w:rsid w:val="00D07BD7"/>
    <w:rsid w:val="00D10700"/>
    <w:rsid w:val="00D10C3F"/>
    <w:rsid w:val="00D115F3"/>
    <w:rsid w:val="00D12FB2"/>
    <w:rsid w:val="00D14A32"/>
    <w:rsid w:val="00D2018B"/>
    <w:rsid w:val="00D20309"/>
    <w:rsid w:val="00D204FD"/>
    <w:rsid w:val="00D207BF"/>
    <w:rsid w:val="00D209F9"/>
    <w:rsid w:val="00D20C67"/>
    <w:rsid w:val="00D2506C"/>
    <w:rsid w:val="00D268D8"/>
    <w:rsid w:val="00D27F99"/>
    <w:rsid w:val="00D27FAC"/>
    <w:rsid w:val="00D30BE6"/>
    <w:rsid w:val="00D311E6"/>
    <w:rsid w:val="00D31C7A"/>
    <w:rsid w:val="00D32E09"/>
    <w:rsid w:val="00D34FAB"/>
    <w:rsid w:val="00D35220"/>
    <w:rsid w:val="00D35C30"/>
    <w:rsid w:val="00D36501"/>
    <w:rsid w:val="00D36546"/>
    <w:rsid w:val="00D37C40"/>
    <w:rsid w:val="00D40229"/>
    <w:rsid w:val="00D4061C"/>
    <w:rsid w:val="00D40975"/>
    <w:rsid w:val="00D4194D"/>
    <w:rsid w:val="00D441A7"/>
    <w:rsid w:val="00D45A48"/>
    <w:rsid w:val="00D46F08"/>
    <w:rsid w:val="00D47551"/>
    <w:rsid w:val="00D52B83"/>
    <w:rsid w:val="00D52FEA"/>
    <w:rsid w:val="00D533DD"/>
    <w:rsid w:val="00D56439"/>
    <w:rsid w:val="00D56773"/>
    <w:rsid w:val="00D56AF5"/>
    <w:rsid w:val="00D57A8E"/>
    <w:rsid w:val="00D60795"/>
    <w:rsid w:val="00D60F96"/>
    <w:rsid w:val="00D62DF8"/>
    <w:rsid w:val="00D6494A"/>
    <w:rsid w:val="00D64B66"/>
    <w:rsid w:val="00D711F2"/>
    <w:rsid w:val="00D72193"/>
    <w:rsid w:val="00D77799"/>
    <w:rsid w:val="00D80537"/>
    <w:rsid w:val="00D8096D"/>
    <w:rsid w:val="00D832B0"/>
    <w:rsid w:val="00D8369E"/>
    <w:rsid w:val="00D83979"/>
    <w:rsid w:val="00D84EB7"/>
    <w:rsid w:val="00D86BA2"/>
    <w:rsid w:val="00D87BAB"/>
    <w:rsid w:val="00D90FE3"/>
    <w:rsid w:val="00D91DC3"/>
    <w:rsid w:val="00D92396"/>
    <w:rsid w:val="00D946DB"/>
    <w:rsid w:val="00D94E50"/>
    <w:rsid w:val="00D95A62"/>
    <w:rsid w:val="00DA0764"/>
    <w:rsid w:val="00DA3B36"/>
    <w:rsid w:val="00DA4B64"/>
    <w:rsid w:val="00DA54E3"/>
    <w:rsid w:val="00DA62B2"/>
    <w:rsid w:val="00DA77E1"/>
    <w:rsid w:val="00DB0F07"/>
    <w:rsid w:val="00DB2DD0"/>
    <w:rsid w:val="00DB40CA"/>
    <w:rsid w:val="00DB4B27"/>
    <w:rsid w:val="00DB7260"/>
    <w:rsid w:val="00DB7A5E"/>
    <w:rsid w:val="00DC2D05"/>
    <w:rsid w:val="00DC40DA"/>
    <w:rsid w:val="00DC7BD2"/>
    <w:rsid w:val="00DD12B7"/>
    <w:rsid w:val="00DD1906"/>
    <w:rsid w:val="00DD2C19"/>
    <w:rsid w:val="00DD58A5"/>
    <w:rsid w:val="00DD72AA"/>
    <w:rsid w:val="00DE0962"/>
    <w:rsid w:val="00DE230A"/>
    <w:rsid w:val="00DE35BA"/>
    <w:rsid w:val="00DE4035"/>
    <w:rsid w:val="00DE4821"/>
    <w:rsid w:val="00DE4EF2"/>
    <w:rsid w:val="00DE55EC"/>
    <w:rsid w:val="00DE5729"/>
    <w:rsid w:val="00DE6063"/>
    <w:rsid w:val="00DF008D"/>
    <w:rsid w:val="00DF6633"/>
    <w:rsid w:val="00DF7226"/>
    <w:rsid w:val="00E02226"/>
    <w:rsid w:val="00E02A1B"/>
    <w:rsid w:val="00E02C8A"/>
    <w:rsid w:val="00E050F3"/>
    <w:rsid w:val="00E052A9"/>
    <w:rsid w:val="00E07C8E"/>
    <w:rsid w:val="00E108C2"/>
    <w:rsid w:val="00E11F7B"/>
    <w:rsid w:val="00E12946"/>
    <w:rsid w:val="00E143FD"/>
    <w:rsid w:val="00E1696D"/>
    <w:rsid w:val="00E17043"/>
    <w:rsid w:val="00E1750A"/>
    <w:rsid w:val="00E2063E"/>
    <w:rsid w:val="00E21328"/>
    <w:rsid w:val="00E25528"/>
    <w:rsid w:val="00E27969"/>
    <w:rsid w:val="00E27CC9"/>
    <w:rsid w:val="00E32DA2"/>
    <w:rsid w:val="00E33B0C"/>
    <w:rsid w:val="00E33BF7"/>
    <w:rsid w:val="00E41415"/>
    <w:rsid w:val="00E417A7"/>
    <w:rsid w:val="00E41A58"/>
    <w:rsid w:val="00E42511"/>
    <w:rsid w:val="00E457D2"/>
    <w:rsid w:val="00E45FB9"/>
    <w:rsid w:val="00E4605F"/>
    <w:rsid w:val="00E46936"/>
    <w:rsid w:val="00E479DE"/>
    <w:rsid w:val="00E47CCD"/>
    <w:rsid w:val="00E5098D"/>
    <w:rsid w:val="00E509EA"/>
    <w:rsid w:val="00E528E4"/>
    <w:rsid w:val="00E543B2"/>
    <w:rsid w:val="00E54B05"/>
    <w:rsid w:val="00E5608A"/>
    <w:rsid w:val="00E56E29"/>
    <w:rsid w:val="00E57916"/>
    <w:rsid w:val="00E60049"/>
    <w:rsid w:val="00E60B50"/>
    <w:rsid w:val="00E63DC8"/>
    <w:rsid w:val="00E66040"/>
    <w:rsid w:val="00E669ED"/>
    <w:rsid w:val="00E70299"/>
    <w:rsid w:val="00E7112F"/>
    <w:rsid w:val="00E73B3F"/>
    <w:rsid w:val="00E748E2"/>
    <w:rsid w:val="00E75993"/>
    <w:rsid w:val="00E80172"/>
    <w:rsid w:val="00E802E3"/>
    <w:rsid w:val="00E804CC"/>
    <w:rsid w:val="00E83D25"/>
    <w:rsid w:val="00E83F90"/>
    <w:rsid w:val="00E84465"/>
    <w:rsid w:val="00E93275"/>
    <w:rsid w:val="00E9580A"/>
    <w:rsid w:val="00E96FFE"/>
    <w:rsid w:val="00EA3219"/>
    <w:rsid w:val="00EA3FEF"/>
    <w:rsid w:val="00EA419C"/>
    <w:rsid w:val="00EA549E"/>
    <w:rsid w:val="00EB154B"/>
    <w:rsid w:val="00EB24B3"/>
    <w:rsid w:val="00EB3D2B"/>
    <w:rsid w:val="00EB5804"/>
    <w:rsid w:val="00EB6AF6"/>
    <w:rsid w:val="00EB6B66"/>
    <w:rsid w:val="00EB7B94"/>
    <w:rsid w:val="00EC0D9E"/>
    <w:rsid w:val="00EC43A5"/>
    <w:rsid w:val="00EC5046"/>
    <w:rsid w:val="00EC5298"/>
    <w:rsid w:val="00EC69A1"/>
    <w:rsid w:val="00ED1EF3"/>
    <w:rsid w:val="00ED55F7"/>
    <w:rsid w:val="00ED7234"/>
    <w:rsid w:val="00ED7C8E"/>
    <w:rsid w:val="00EE2205"/>
    <w:rsid w:val="00EE2934"/>
    <w:rsid w:val="00EE385F"/>
    <w:rsid w:val="00EE651E"/>
    <w:rsid w:val="00EE6B9E"/>
    <w:rsid w:val="00EF0BD5"/>
    <w:rsid w:val="00EF0DA4"/>
    <w:rsid w:val="00EF13C2"/>
    <w:rsid w:val="00EF253C"/>
    <w:rsid w:val="00EF39E3"/>
    <w:rsid w:val="00EF735A"/>
    <w:rsid w:val="00F015E6"/>
    <w:rsid w:val="00F0322C"/>
    <w:rsid w:val="00F04906"/>
    <w:rsid w:val="00F04F29"/>
    <w:rsid w:val="00F12EA3"/>
    <w:rsid w:val="00F1455C"/>
    <w:rsid w:val="00F150E9"/>
    <w:rsid w:val="00F174C5"/>
    <w:rsid w:val="00F20C92"/>
    <w:rsid w:val="00F21A1B"/>
    <w:rsid w:val="00F24AD1"/>
    <w:rsid w:val="00F276A6"/>
    <w:rsid w:val="00F30076"/>
    <w:rsid w:val="00F30757"/>
    <w:rsid w:val="00F325B9"/>
    <w:rsid w:val="00F33A0C"/>
    <w:rsid w:val="00F33AD3"/>
    <w:rsid w:val="00F356CE"/>
    <w:rsid w:val="00F35FFD"/>
    <w:rsid w:val="00F360BF"/>
    <w:rsid w:val="00F36707"/>
    <w:rsid w:val="00F40CD9"/>
    <w:rsid w:val="00F41952"/>
    <w:rsid w:val="00F41B3A"/>
    <w:rsid w:val="00F423F0"/>
    <w:rsid w:val="00F44F8A"/>
    <w:rsid w:val="00F4557F"/>
    <w:rsid w:val="00F463F5"/>
    <w:rsid w:val="00F51302"/>
    <w:rsid w:val="00F5381F"/>
    <w:rsid w:val="00F5524C"/>
    <w:rsid w:val="00F56926"/>
    <w:rsid w:val="00F60F37"/>
    <w:rsid w:val="00F61095"/>
    <w:rsid w:val="00F620A2"/>
    <w:rsid w:val="00F63BA7"/>
    <w:rsid w:val="00F7508F"/>
    <w:rsid w:val="00F7650D"/>
    <w:rsid w:val="00F777C7"/>
    <w:rsid w:val="00F800B6"/>
    <w:rsid w:val="00F84B2D"/>
    <w:rsid w:val="00F91572"/>
    <w:rsid w:val="00F93B5F"/>
    <w:rsid w:val="00F940AE"/>
    <w:rsid w:val="00F94F7D"/>
    <w:rsid w:val="00F94FFF"/>
    <w:rsid w:val="00F966F4"/>
    <w:rsid w:val="00FB199D"/>
    <w:rsid w:val="00FB1C26"/>
    <w:rsid w:val="00FB1D44"/>
    <w:rsid w:val="00FB2C3F"/>
    <w:rsid w:val="00FB3348"/>
    <w:rsid w:val="00FB4960"/>
    <w:rsid w:val="00FB5258"/>
    <w:rsid w:val="00FC0907"/>
    <w:rsid w:val="00FC1580"/>
    <w:rsid w:val="00FC1FF4"/>
    <w:rsid w:val="00FC221F"/>
    <w:rsid w:val="00FC24AC"/>
    <w:rsid w:val="00FC2882"/>
    <w:rsid w:val="00FC3295"/>
    <w:rsid w:val="00FC371D"/>
    <w:rsid w:val="00FC40E0"/>
    <w:rsid w:val="00FC4D06"/>
    <w:rsid w:val="00FC6DE4"/>
    <w:rsid w:val="00FC787E"/>
    <w:rsid w:val="00FD0B03"/>
    <w:rsid w:val="00FD1186"/>
    <w:rsid w:val="00FD4656"/>
    <w:rsid w:val="00FD569F"/>
    <w:rsid w:val="00FD5893"/>
    <w:rsid w:val="00FD6766"/>
    <w:rsid w:val="00FD7524"/>
    <w:rsid w:val="00FE103A"/>
    <w:rsid w:val="00FE2B2D"/>
    <w:rsid w:val="00FE4AE0"/>
    <w:rsid w:val="00FE4D22"/>
    <w:rsid w:val="00FF0EEE"/>
    <w:rsid w:val="00FF28DF"/>
    <w:rsid w:val="00FF3A9F"/>
    <w:rsid w:val="00FF3ED5"/>
    <w:rsid w:val="00FF62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Times New Roman"/>
        <w:lang w:val="cs-CZ" w:eastAsia="cs-CZ" w:bidi="cs-CZ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iPriority="1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table of figures" w:uiPriority="0"/>
    <w:lsdException w:name="footnote reference" w:uiPriority="0"/>
    <w:lsdException w:name="endnote reference" w:semiHidden="0" w:uiPriority="1" w:unhideWhenUsed="0"/>
    <w:lsdException w:name="endnote text" w:semiHidden="0" w:uiPriority="1" w:unhideWhenUsed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">
    <w:name w:val="Normal"/>
    <w:qFormat/>
    <w:rsid w:val="00884FEB"/>
    <w:pPr>
      <w:spacing w:before="120" w:after="120"/>
      <w:jc w:val="both"/>
    </w:pPr>
    <w:rPr>
      <w:rFonts w:ascii="Verdana" w:eastAsia="Times New Roman" w:hAnsi="Verdana"/>
      <w:szCs w:val="24"/>
    </w:rPr>
  </w:style>
  <w:style w:type="paragraph" w:styleId="Heading1">
    <w:name w:val="heading 1"/>
    <w:basedOn w:val="Normal"/>
    <w:next w:val="Normal"/>
    <w:link w:val="Heading1Char"/>
    <w:autoRedefine/>
    <w:qFormat/>
    <w:rsid w:val="005A6305"/>
    <w:pPr>
      <w:keepNext/>
      <w:autoSpaceDE w:val="0"/>
      <w:autoSpaceDN w:val="0"/>
      <w:adjustRightInd w:val="0"/>
      <w:spacing w:before="0" w:after="0"/>
      <w:jc w:val="left"/>
      <w:outlineLvl w:val="0"/>
    </w:pPr>
    <w:rPr>
      <w:b/>
      <w:szCs w:val="20"/>
      <w:u w:val="single"/>
    </w:rPr>
  </w:style>
  <w:style w:type="paragraph" w:styleId="Heading2">
    <w:name w:val="heading 2"/>
    <w:basedOn w:val="Normal"/>
    <w:next w:val="Normal"/>
    <w:link w:val="Heading2Char"/>
    <w:autoRedefine/>
    <w:uiPriority w:val="99"/>
    <w:qFormat/>
    <w:rsid w:val="001E5A75"/>
    <w:pPr>
      <w:keepNext/>
      <w:spacing w:before="240"/>
      <w:outlineLvl w:val="1"/>
    </w:pPr>
    <w:rPr>
      <w:b/>
      <w:sz w:val="24"/>
    </w:rPr>
  </w:style>
  <w:style w:type="paragraph" w:styleId="Heading3">
    <w:name w:val="heading 3"/>
    <w:basedOn w:val="Normal"/>
    <w:next w:val="Normal"/>
    <w:link w:val="Heading3Char1"/>
    <w:autoRedefine/>
    <w:uiPriority w:val="99"/>
    <w:qFormat/>
    <w:rsid w:val="001E5A75"/>
    <w:pPr>
      <w:keepNext/>
      <w:spacing w:before="180"/>
      <w:outlineLvl w:val="2"/>
    </w:pPr>
    <w:rPr>
      <w:b/>
    </w:rPr>
  </w:style>
  <w:style w:type="paragraph" w:styleId="Heading4">
    <w:name w:val="heading 4"/>
    <w:basedOn w:val="Normal"/>
    <w:next w:val="Normal"/>
    <w:link w:val="Heading4Char"/>
    <w:autoRedefine/>
    <w:uiPriority w:val="99"/>
    <w:qFormat/>
    <w:rsid w:val="00DE0962"/>
    <w:pPr>
      <w:keepNext/>
      <w:numPr>
        <w:numId w:val="17"/>
      </w:numPr>
      <w:spacing w:before="160"/>
      <w:outlineLvl w:val="3"/>
    </w:pPr>
    <w:rPr>
      <w:b/>
      <w:u w:val="single"/>
    </w:rPr>
  </w:style>
  <w:style w:type="paragraph" w:styleId="Heading5">
    <w:name w:val="heading 5"/>
    <w:basedOn w:val="Normal"/>
    <w:next w:val="Normal"/>
    <w:link w:val="Heading5Char"/>
    <w:autoRedefine/>
    <w:uiPriority w:val="1"/>
    <w:qFormat/>
    <w:rsid w:val="001E5A75"/>
    <w:pPr>
      <w:keepNext/>
      <w:spacing w:before="140"/>
      <w:outlineLvl w:val="4"/>
    </w:pPr>
    <w:rPr>
      <w:b/>
      <w:i/>
    </w:rPr>
  </w:style>
  <w:style w:type="paragraph" w:styleId="Heading6">
    <w:name w:val="heading 6"/>
    <w:basedOn w:val="Normal"/>
    <w:next w:val="Normal"/>
    <w:link w:val="Heading6Char"/>
    <w:qFormat/>
    <w:rsid w:val="001E5A75"/>
    <w:p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1E5A75"/>
    <w:pPr>
      <w:spacing w:before="240" w:after="60"/>
      <w:outlineLvl w:val="6"/>
    </w:pPr>
    <w:rPr>
      <w:rFonts w:ascii="Times New Roman" w:hAnsi="Times New Roman"/>
      <w:sz w:val="24"/>
    </w:rPr>
  </w:style>
  <w:style w:type="paragraph" w:styleId="Heading8">
    <w:name w:val="heading 8"/>
    <w:basedOn w:val="Normal"/>
    <w:next w:val="Normal"/>
    <w:link w:val="Heading8Char"/>
    <w:qFormat/>
    <w:rsid w:val="001E5A75"/>
    <w:p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Heading9">
    <w:name w:val="heading 9"/>
    <w:basedOn w:val="Normal"/>
    <w:next w:val="Normal"/>
    <w:link w:val="Heading9Char"/>
    <w:qFormat/>
    <w:rsid w:val="001E5A75"/>
    <w:p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5A6305"/>
    <w:rPr>
      <w:rFonts w:ascii="Verdana" w:eastAsia="Times New Roman" w:hAnsi="Verdana" w:cs="Times New Roman"/>
      <w:b/>
      <w:sz w:val="20"/>
      <w:szCs w:val="20"/>
      <w:u w:val="single"/>
      <w:lang w:val="cs-CZ"/>
    </w:rPr>
  </w:style>
  <w:style w:type="paragraph" w:styleId="TableofFigures">
    <w:name w:val="table of figures"/>
    <w:basedOn w:val="Normal"/>
    <w:next w:val="Normal"/>
    <w:semiHidden/>
    <w:rsid w:val="001E5A75"/>
    <w:pPr>
      <w:ind w:left="440" w:hanging="440"/>
    </w:pPr>
  </w:style>
  <w:style w:type="paragraph" w:customStyle="1" w:styleId="Aufzhlungszeichen1">
    <w:name w:val="Aufzählungszeichen1"/>
    <w:basedOn w:val="Normal"/>
    <w:uiPriority w:val="1"/>
    <w:qFormat/>
    <w:rsid w:val="001E5A75"/>
    <w:pPr>
      <w:numPr>
        <w:numId w:val="1"/>
      </w:numPr>
      <w:spacing w:line="240" w:lineRule="exact"/>
    </w:pPr>
  </w:style>
  <w:style w:type="paragraph" w:customStyle="1" w:styleId="Aufzhlungszeichen2">
    <w:name w:val="Aufzählungszeichen2"/>
    <w:basedOn w:val="Normal"/>
    <w:uiPriority w:val="1"/>
    <w:qFormat/>
    <w:rsid w:val="001E5A75"/>
    <w:pPr>
      <w:numPr>
        <w:numId w:val="2"/>
      </w:numPr>
      <w:spacing w:line="240" w:lineRule="exact"/>
    </w:pPr>
  </w:style>
  <w:style w:type="paragraph" w:customStyle="1" w:styleId="Aufzhlungszeichen3">
    <w:name w:val="Aufzählungszeichen3"/>
    <w:basedOn w:val="Normal"/>
    <w:uiPriority w:val="1"/>
    <w:qFormat/>
    <w:rsid w:val="001E5A75"/>
    <w:pPr>
      <w:numPr>
        <w:numId w:val="3"/>
      </w:numPr>
      <w:spacing w:line="240" w:lineRule="exact"/>
    </w:pPr>
  </w:style>
  <w:style w:type="paragraph" w:customStyle="1" w:styleId="Aufzhlungszeichen4">
    <w:name w:val="Aufzählungszeichen4"/>
    <w:basedOn w:val="Normal"/>
    <w:uiPriority w:val="1"/>
    <w:qFormat/>
    <w:rsid w:val="001E5A75"/>
    <w:pPr>
      <w:numPr>
        <w:numId w:val="4"/>
      </w:numPr>
      <w:spacing w:line="240" w:lineRule="exact"/>
    </w:pPr>
  </w:style>
  <w:style w:type="numbering" w:customStyle="1" w:styleId="Formatvorlage1">
    <w:name w:val="Formatvorlage1"/>
    <w:uiPriority w:val="99"/>
    <w:rsid w:val="001E5A75"/>
    <w:pPr>
      <w:numPr>
        <w:numId w:val="5"/>
      </w:numPr>
    </w:pPr>
  </w:style>
  <w:style w:type="numbering" w:customStyle="1" w:styleId="Formatvorlage2">
    <w:name w:val="Formatvorlage2"/>
    <w:uiPriority w:val="99"/>
    <w:rsid w:val="001E5A75"/>
    <w:pPr>
      <w:numPr>
        <w:numId w:val="6"/>
      </w:numPr>
    </w:pPr>
  </w:style>
  <w:style w:type="paragraph" w:styleId="FootnoteText">
    <w:name w:val="footnote text"/>
    <w:basedOn w:val="Normal"/>
    <w:link w:val="FootnoteTextChar"/>
    <w:rsid w:val="00C2636B"/>
    <w:pPr>
      <w:spacing w:line="180" w:lineRule="exact"/>
      <w:ind w:left="142" w:hanging="142"/>
    </w:pPr>
    <w:rPr>
      <w:sz w:val="16"/>
      <w:szCs w:val="16"/>
    </w:rPr>
  </w:style>
  <w:style w:type="character" w:customStyle="1" w:styleId="FootnoteTextChar">
    <w:name w:val="Footnote Text Char"/>
    <w:link w:val="FootnoteText"/>
    <w:rsid w:val="00C2636B"/>
    <w:rPr>
      <w:rFonts w:ascii="Arial" w:hAnsi="Arial"/>
      <w:sz w:val="16"/>
      <w:szCs w:val="16"/>
      <w:lang w:eastAsia="cs-CZ"/>
    </w:rPr>
  </w:style>
  <w:style w:type="character" w:styleId="FootnoteReference">
    <w:name w:val="footnote reference"/>
    <w:rsid w:val="001E5A75"/>
    <w:rPr>
      <w:rFonts w:ascii="Arial" w:hAnsi="Arial"/>
      <w:dstrike w:val="0"/>
      <w:kern w:val="0"/>
      <w:position w:val="4"/>
      <w:sz w:val="12"/>
      <w:szCs w:val="12"/>
      <w:vertAlign w:val="baseline"/>
    </w:rPr>
  </w:style>
  <w:style w:type="paragraph" w:styleId="Footer">
    <w:name w:val="footer"/>
    <w:basedOn w:val="Normal"/>
    <w:link w:val="FooterChar"/>
    <w:uiPriority w:val="99"/>
    <w:rsid w:val="001E5A75"/>
    <w:pPr>
      <w:tabs>
        <w:tab w:val="center" w:pos="4536"/>
        <w:tab w:val="right" w:pos="9072"/>
      </w:tabs>
    </w:pPr>
    <w:rPr>
      <w:szCs w:val="14"/>
    </w:rPr>
  </w:style>
  <w:style w:type="character" w:customStyle="1" w:styleId="FooterChar">
    <w:name w:val="Footer Char"/>
    <w:link w:val="Footer"/>
    <w:uiPriority w:val="99"/>
    <w:rsid w:val="001E5A75"/>
    <w:rPr>
      <w:rFonts w:ascii="Arial" w:hAnsi="Arial"/>
      <w:szCs w:val="14"/>
      <w:lang w:eastAsia="cs-CZ"/>
    </w:rPr>
  </w:style>
  <w:style w:type="paragraph" w:customStyle="1" w:styleId="GliederungmitAufzhlung">
    <w:name w:val="Gliederung mit Aufzählung"/>
    <w:basedOn w:val="Normal"/>
    <w:uiPriority w:val="1"/>
    <w:qFormat/>
    <w:rsid w:val="001E5A75"/>
    <w:pPr>
      <w:numPr>
        <w:numId w:val="7"/>
      </w:numPr>
      <w:spacing w:line="312" w:lineRule="auto"/>
    </w:pPr>
  </w:style>
  <w:style w:type="paragraph" w:customStyle="1" w:styleId="GliederungmitNummerierung">
    <w:name w:val="Gliederung mit Nummerierung"/>
    <w:basedOn w:val="Normal"/>
    <w:uiPriority w:val="1"/>
    <w:qFormat/>
    <w:rsid w:val="001E5A75"/>
    <w:pPr>
      <w:numPr>
        <w:numId w:val="8"/>
      </w:numPr>
      <w:spacing w:line="312" w:lineRule="auto"/>
    </w:pPr>
  </w:style>
  <w:style w:type="paragraph" w:customStyle="1" w:styleId="HngEinrckung1">
    <w:name w:val="Häng. Einrückung1"/>
    <w:basedOn w:val="Normal"/>
    <w:uiPriority w:val="1"/>
    <w:qFormat/>
    <w:rsid w:val="001E5A75"/>
    <w:pPr>
      <w:spacing w:line="312" w:lineRule="auto"/>
      <w:ind w:left="567" w:hanging="567"/>
    </w:pPr>
  </w:style>
  <w:style w:type="paragraph" w:customStyle="1" w:styleId="HngEinrckung2">
    <w:name w:val="Häng. Einrückung2"/>
    <w:basedOn w:val="Normal"/>
    <w:uiPriority w:val="1"/>
    <w:qFormat/>
    <w:rsid w:val="001E5A75"/>
    <w:pPr>
      <w:spacing w:line="312" w:lineRule="auto"/>
      <w:ind w:left="1134" w:hanging="567"/>
    </w:pPr>
  </w:style>
  <w:style w:type="paragraph" w:customStyle="1" w:styleId="HngEinrckung3">
    <w:name w:val="Häng. Einrückung3"/>
    <w:basedOn w:val="Normal"/>
    <w:uiPriority w:val="1"/>
    <w:qFormat/>
    <w:rsid w:val="001E5A75"/>
    <w:pPr>
      <w:spacing w:line="312" w:lineRule="auto"/>
      <w:ind w:left="1701" w:hanging="567"/>
    </w:pPr>
  </w:style>
  <w:style w:type="character" w:styleId="Hyperlink">
    <w:name w:val="Hyperlink"/>
    <w:uiPriority w:val="99"/>
    <w:rsid w:val="001E5A75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1E5A75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1E5A75"/>
    <w:rPr>
      <w:rFonts w:ascii="Arial" w:hAnsi="Arial"/>
      <w:szCs w:val="20"/>
      <w:lang w:eastAsia="cs-CZ"/>
    </w:rPr>
  </w:style>
  <w:style w:type="paragraph" w:customStyle="1" w:styleId="Marginalspalte">
    <w:name w:val="Marginalspalte"/>
    <w:basedOn w:val="Normal"/>
    <w:uiPriority w:val="1"/>
    <w:qFormat/>
    <w:rsid w:val="001E5A75"/>
    <w:pPr>
      <w:framePr w:w="851" w:h="851" w:hSpace="284" w:wrap="around" w:vAnchor="text" w:hAnchor="page" w:y="1"/>
    </w:pPr>
    <w:rPr>
      <w:i/>
      <w:szCs w:val="22"/>
    </w:rPr>
  </w:style>
  <w:style w:type="paragraph" w:customStyle="1" w:styleId="Nummerierungsart1">
    <w:name w:val="Nummerierungsart1"/>
    <w:basedOn w:val="Normal"/>
    <w:uiPriority w:val="1"/>
    <w:qFormat/>
    <w:rsid w:val="001E5A75"/>
    <w:pPr>
      <w:numPr>
        <w:numId w:val="9"/>
      </w:numPr>
    </w:pPr>
  </w:style>
  <w:style w:type="paragraph" w:customStyle="1" w:styleId="Nummerierungsart2">
    <w:name w:val="Nummerierungsart2"/>
    <w:basedOn w:val="Normal"/>
    <w:uiPriority w:val="1"/>
    <w:qFormat/>
    <w:rsid w:val="001E5A75"/>
    <w:pPr>
      <w:numPr>
        <w:numId w:val="10"/>
      </w:numPr>
    </w:pPr>
  </w:style>
  <w:style w:type="paragraph" w:customStyle="1" w:styleId="Nummerierungsart3">
    <w:name w:val="Nummerierungsart3"/>
    <w:basedOn w:val="Normal"/>
    <w:uiPriority w:val="1"/>
    <w:qFormat/>
    <w:rsid w:val="001E5A75"/>
    <w:pPr>
      <w:numPr>
        <w:numId w:val="11"/>
      </w:numPr>
    </w:pPr>
  </w:style>
  <w:style w:type="paragraph" w:customStyle="1" w:styleId="Nummerierungsart4">
    <w:name w:val="Nummerierungsart4"/>
    <w:basedOn w:val="Normal"/>
    <w:uiPriority w:val="1"/>
    <w:qFormat/>
    <w:rsid w:val="001E5A75"/>
    <w:pPr>
      <w:numPr>
        <w:numId w:val="12"/>
      </w:numPr>
    </w:pPr>
  </w:style>
  <w:style w:type="character" w:styleId="PageNumber">
    <w:name w:val="page number"/>
    <w:uiPriority w:val="99"/>
    <w:rsid w:val="001E5A75"/>
    <w:rPr>
      <w:rFonts w:ascii="Arial" w:hAnsi="Arial"/>
      <w:sz w:val="22"/>
      <w:szCs w:val="22"/>
    </w:rPr>
  </w:style>
  <w:style w:type="character" w:customStyle="1" w:styleId="Heading2Char">
    <w:name w:val="Heading 2 Char"/>
    <w:link w:val="Heading2"/>
    <w:uiPriority w:val="99"/>
    <w:rsid w:val="00EC5046"/>
    <w:rPr>
      <w:rFonts w:ascii="Verdana" w:eastAsia="Times New Roman" w:hAnsi="Verdana" w:cs="Times New Roman"/>
      <w:b/>
      <w:szCs w:val="24"/>
      <w:u w:val="single"/>
      <w:lang w:val="cs-CZ"/>
    </w:rPr>
  </w:style>
  <w:style w:type="character" w:customStyle="1" w:styleId="Heading3Char1">
    <w:name w:val="Heading 3 Char1"/>
    <w:link w:val="Heading3"/>
    <w:uiPriority w:val="99"/>
    <w:rsid w:val="001E5A75"/>
    <w:rPr>
      <w:rFonts w:ascii="Arial" w:hAnsi="Arial"/>
      <w:b/>
      <w:szCs w:val="20"/>
      <w:lang w:eastAsia="cs-CZ"/>
    </w:rPr>
  </w:style>
  <w:style w:type="character" w:customStyle="1" w:styleId="Heading4Char">
    <w:name w:val="Heading 4 Char"/>
    <w:link w:val="Heading4"/>
    <w:uiPriority w:val="99"/>
    <w:rsid w:val="00DE0962"/>
    <w:rPr>
      <w:rFonts w:ascii="Verdana" w:eastAsia="Times New Roman" w:hAnsi="Verdana"/>
      <w:b/>
      <w:szCs w:val="24"/>
      <w:u w:val="single"/>
      <w:lang w:eastAsia="cs-CZ"/>
    </w:rPr>
  </w:style>
  <w:style w:type="character" w:customStyle="1" w:styleId="Heading5Char">
    <w:name w:val="Heading 5 Char"/>
    <w:link w:val="Heading5"/>
    <w:uiPriority w:val="1"/>
    <w:rsid w:val="001E5A75"/>
    <w:rPr>
      <w:rFonts w:ascii="Arial" w:hAnsi="Arial"/>
      <w:b/>
      <w:i/>
      <w:szCs w:val="20"/>
      <w:lang w:eastAsia="cs-CZ"/>
    </w:rPr>
  </w:style>
  <w:style w:type="character" w:customStyle="1" w:styleId="Heading6Char">
    <w:name w:val="Heading 6 Char"/>
    <w:link w:val="Heading6"/>
    <w:semiHidden/>
    <w:rsid w:val="001E5A75"/>
    <w:rPr>
      <w:rFonts w:ascii="Times New Roman" w:hAnsi="Times New Roman"/>
      <w:b/>
      <w:bCs/>
      <w:lang w:eastAsia="cs-CZ"/>
    </w:rPr>
  </w:style>
  <w:style w:type="character" w:customStyle="1" w:styleId="Heading7Char">
    <w:name w:val="Heading 7 Char"/>
    <w:link w:val="Heading7"/>
    <w:semiHidden/>
    <w:rsid w:val="001E5A75"/>
    <w:rPr>
      <w:rFonts w:ascii="Times New Roman" w:hAnsi="Times New Roman"/>
      <w:sz w:val="24"/>
      <w:szCs w:val="20"/>
      <w:lang w:eastAsia="cs-CZ"/>
    </w:rPr>
  </w:style>
  <w:style w:type="character" w:customStyle="1" w:styleId="Heading8Char">
    <w:name w:val="Heading 8 Char"/>
    <w:link w:val="Heading8"/>
    <w:semiHidden/>
    <w:rsid w:val="001E5A75"/>
    <w:rPr>
      <w:rFonts w:ascii="Times New Roman" w:hAnsi="Times New Roman"/>
      <w:i/>
      <w:iCs/>
      <w:sz w:val="24"/>
      <w:szCs w:val="20"/>
      <w:lang w:eastAsia="cs-CZ"/>
    </w:rPr>
  </w:style>
  <w:style w:type="character" w:customStyle="1" w:styleId="Heading9Char">
    <w:name w:val="Heading 9 Char"/>
    <w:link w:val="Heading9"/>
    <w:semiHidden/>
    <w:rsid w:val="001E5A75"/>
    <w:rPr>
      <w:rFonts w:ascii="Arial" w:hAnsi="Arial" w:cs="Arial"/>
      <w:lang w:eastAsia="cs-CZ"/>
    </w:rPr>
  </w:style>
  <w:style w:type="paragraph" w:styleId="TOC1">
    <w:name w:val="toc 1"/>
    <w:basedOn w:val="Normal"/>
    <w:next w:val="Normal"/>
    <w:autoRedefine/>
    <w:uiPriority w:val="39"/>
    <w:qFormat/>
    <w:rsid w:val="001E5A75"/>
    <w:pPr>
      <w:tabs>
        <w:tab w:val="left" w:pos="794"/>
        <w:tab w:val="right" w:leader="dot" w:pos="9071"/>
      </w:tabs>
      <w:ind w:left="794" w:hanging="794"/>
    </w:pPr>
    <w:rPr>
      <w:b/>
      <w:smallCaps/>
      <w:noProof/>
      <w:sz w:val="24"/>
    </w:rPr>
  </w:style>
  <w:style w:type="paragraph" w:styleId="TOC2">
    <w:name w:val="toc 2"/>
    <w:basedOn w:val="Normal"/>
    <w:next w:val="Normal"/>
    <w:autoRedefine/>
    <w:uiPriority w:val="39"/>
    <w:qFormat/>
    <w:rsid w:val="001E5A75"/>
    <w:pPr>
      <w:tabs>
        <w:tab w:val="left" w:pos="794"/>
        <w:tab w:val="right" w:leader="dot" w:pos="9071"/>
      </w:tabs>
      <w:spacing w:after="60"/>
      <w:ind w:left="794" w:hanging="794"/>
    </w:pPr>
    <w:rPr>
      <w:b/>
      <w:smallCaps/>
      <w:noProof/>
      <w:szCs w:val="22"/>
    </w:rPr>
  </w:style>
  <w:style w:type="paragraph" w:styleId="TOC3">
    <w:name w:val="toc 3"/>
    <w:basedOn w:val="Normal"/>
    <w:next w:val="Normal"/>
    <w:autoRedefine/>
    <w:uiPriority w:val="39"/>
    <w:qFormat/>
    <w:rsid w:val="001E5A75"/>
    <w:pPr>
      <w:tabs>
        <w:tab w:val="left" w:pos="794"/>
        <w:tab w:val="right" w:leader="dot" w:pos="9072"/>
      </w:tabs>
      <w:spacing w:after="60"/>
      <w:ind w:left="794" w:hanging="794"/>
    </w:pPr>
    <w:rPr>
      <w:smallCaps/>
      <w:noProof/>
    </w:rPr>
  </w:style>
  <w:style w:type="paragraph" w:styleId="TOC4">
    <w:name w:val="toc 4"/>
    <w:basedOn w:val="Normal"/>
    <w:next w:val="Normal"/>
    <w:autoRedefine/>
    <w:uiPriority w:val="39"/>
    <w:rsid w:val="001E5A75"/>
    <w:pPr>
      <w:tabs>
        <w:tab w:val="left" w:pos="794"/>
        <w:tab w:val="right" w:leader="dot" w:pos="9071"/>
      </w:tabs>
      <w:spacing w:after="40"/>
      <w:ind w:left="794" w:hanging="794"/>
    </w:pPr>
    <w:rPr>
      <w:smallCaps/>
      <w:noProof/>
      <w:snapToGrid w:val="0"/>
      <w:sz w:val="18"/>
      <w:szCs w:val="18"/>
    </w:rPr>
  </w:style>
  <w:style w:type="paragraph" w:styleId="TOC5">
    <w:name w:val="toc 5"/>
    <w:basedOn w:val="Normal"/>
    <w:next w:val="Normal"/>
    <w:autoRedefine/>
    <w:uiPriority w:val="39"/>
    <w:rsid w:val="001E5A75"/>
    <w:pPr>
      <w:tabs>
        <w:tab w:val="left" w:pos="794"/>
        <w:tab w:val="right" w:leader="dot" w:pos="9071"/>
      </w:tabs>
      <w:spacing w:after="40"/>
      <w:ind w:left="794" w:hanging="794"/>
    </w:pPr>
    <w:rPr>
      <w:smallCaps/>
      <w:noProof/>
      <w:sz w:val="18"/>
      <w:szCs w:val="18"/>
    </w:rPr>
  </w:style>
  <w:style w:type="paragraph" w:styleId="TOC6">
    <w:name w:val="toc 6"/>
    <w:basedOn w:val="Normal"/>
    <w:next w:val="Normal"/>
    <w:autoRedefine/>
    <w:uiPriority w:val="39"/>
    <w:rsid w:val="001E5A75"/>
    <w:pPr>
      <w:tabs>
        <w:tab w:val="left" w:pos="2058"/>
        <w:tab w:val="right" w:leader="dot" w:pos="9071"/>
      </w:tabs>
      <w:ind w:left="1134" w:hanging="1134"/>
    </w:pPr>
    <w:rPr>
      <w:noProof/>
      <w:sz w:val="16"/>
    </w:rPr>
  </w:style>
  <w:style w:type="paragraph" w:styleId="TOC7">
    <w:name w:val="toc 7"/>
    <w:basedOn w:val="Normal"/>
    <w:next w:val="Normal"/>
    <w:autoRedefine/>
    <w:uiPriority w:val="39"/>
    <w:rsid w:val="001E5A75"/>
    <w:pPr>
      <w:tabs>
        <w:tab w:val="right" w:leader="dot" w:pos="9071"/>
      </w:tabs>
      <w:ind w:left="1134" w:hanging="1134"/>
    </w:pPr>
    <w:rPr>
      <w:sz w:val="16"/>
    </w:rPr>
  </w:style>
  <w:style w:type="paragraph" w:styleId="TOC8">
    <w:name w:val="toc 8"/>
    <w:basedOn w:val="Normal"/>
    <w:next w:val="Normal"/>
    <w:autoRedefine/>
    <w:uiPriority w:val="39"/>
    <w:rsid w:val="001E5A75"/>
    <w:pPr>
      <w:tabs>
        <w:tab w:val="left" w:pos="2758"/>
        <w:tab w:val="right" w:leader="dot" w:pos="9071"/>
      </w:tabs>
      <w:ind w:left="1361" w:hanging="1361"/>
    </w:pPr>
    <w:rPr>
      <w:noProof/>
      <w:sz w:val="16"/>
    </w:rPr>
  </w:style>
  <w:style w:type="paragraph" w:styleId="TOC9">
    <w:name w:val="toc 9"/>
    <w:basedOn w:val="Normal"/>
    <w:next w:val="Normal"/>
    <w:autoRedefine/>
    <w:uiPriority w:val="39"/>
    <w:rsid w:val="001E5A75"/>
    <w:pPr>
      <w:tabs>
        <w:tab w:val="right" w:leader="dot" w:pos="9071"/>
      </w:tabs>
      <w:ind w:left="1361" w:hanging="1361"/>
    </w:pPr>
    <w:rPr>
      <w:sz w:val="16"/>
    </w:rPr>
  </w:style>
  <w:style w:type="paragraph" w:styleId="Quote">
    <w:name w:val="Quote"/>
    <w:basedOn w:val="Normal"/>
    <w:next w:val="Normal"/>
    <w:link w:val="QuoteChar"/>
    <w:uiPriority w:val="29"/>
    <w:qFormat/>
    <w:rsid w:val="001E5A75"/>
    <w:rPr>
      <w:i/>
      <w:iCs/>
      <w:color w:val="000000"/>
    </w:rPr>
  </w:style>
  <w:style w:type="character" w:customStyle="1" w:styleId="QuoteChar">
    <w:name w:val="Quote Char"/>
    <w:link w:val="Quote"/>
    <w:uiPriority w:val="29"/>
    <w:semiHidden/>
    <w:rsid w:val="001E5A75"/>
    <w:rPr>
      <w:rFonts w:ascii="Arial" w:hAnsi="Arial"/>
      <w:i/>
      <w:iCs/>
      <w:color w:val="000000"/>
      <w:szCs w:val="20"/>
      <w:lang w:eastAsia="cs-CZ"/>
    </w:rPr>
  </w:style>
  <w:style w:type="paragraph" w:styleId="TOCHeading">
    <w:name w:val="TOC Heading"/>
    <w:basedOn w:val="Heading1"/>
    <w:next w:val="Normal"/>
    <w:uiPriority w:val="39"/>
    <w:qFormat/>
    <w:rsid w:val="001E5A75"/>
    <w:pPr>
      <w:keepLines/>
      <w:spacing w:before="480" w:line="311" w:lineRule="auto"/>
      <w:outlineLvl w:val="9"/>
    </w:pPr>
    <w:rPr>
      <w:rFonts w:ascii="Arial" w:hAnsi="Arial"/>
      <w:bCs/>
      <w:color w:val="4B67A3"/>
      <w:szCs w:val="28"/>
    </w:rPr>
  </w:style>
  <w:style w:type="paragraph" w:styleId="EndnoteText">
    <w:name w:val="endnote text"/>
    <w:basedOn w:val="Normal"/>
    <w:link w:val="EndnoteTextChar"/>
    <w:uiPriority w:val="1"/>
    <w:rsid w:val="001E5A75"/>
    <w:pPr>
      <w:spacing w:line="180" w:lineRule="exact"/>
      <w:ind w:left="142" w:hanging="142"/>
    </w:pPr>
    <w:rPr>
      <w:sz w:val="16"/>
    </w:rPr>
  </w:style>
  <w:style w:type="character" w:customStyle="1" w:styleId="EndnoteTextChar">
    <w:name w:val="Endnote Text Char"/>
    <w:link w:val="EndnoteText"/>
    <w:uiPriority w:val="1"/>
    <w:rsid w:val="001E5A75"/>
    <w:rPr>
      <w:rFonts w:ascii="Arial" w:hAnsi="Arial"/>
      <w:sz w:val="16"/>
      <w:szCs w:val="20"/>
      <w:lang w:eastAsia="cs-CZ"/>
    </w:rPr>
  </w:style>
  <w:style w:type="character" w:styleId="EndnoteReference">
    <w:name w:val="endnote reference"/>
    <w:uiPriority w:val="1"/>
    <w:rsid w:val="001E5A75"/>
    <w:rPr>
      <w:rFonts w:ascii="Arial" w:hAnsi="Arial"/>
      <w:color w:val="auto"/>
      <w:position w:val="4"/>
      <w:sz w:val="12"/>
      <w:vertAlign w:val="baseline"/>
    </w:rPr>
  </w:style>
  <w:style w:type="character" w:customStyle="1" w:styleId="Heading3Char">
    <w:name w:val="Heading 3 Char"/>
    <w:uiPriority w:val="99"/>
    <w:locked/>
    <w:rsid w:val="00884FEB"/>
    <w:rPr>
      <w:rFonts w:cs="Times New Roman"/>
      <w:sz w:val="24"/>
      <w:szCs w:val="24"/>
      <w:lang w:val="cs-CZ" w:eastAsia="cs-CZ"/>
    </w:rPr>
  </w:style>
  <w:style w:type="paragraph" w:customStyle="1" w:styleId="Ballontekst">
    <w:name w:val="Ballontekst"/>
    <w:basedOn w:val="Normal"/>
    <w:uiPriority w:val="99"/>
    <w:semiHidden/>
    <w:rsid w:val="00884FEB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rsid w:val="00884FEB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884FEB"/>
    <w:rPr>
      <w:szCs w:val="20"/>
    </w:rPr>
  </w:style>
  <w:style w:type="character" w:customStyle="1" w:styleId="CommentTextChar">
    <w:name w:val="Comment Text Char"/>
    <w:link w:val="CommentText"/>
    <w:uiPriority w:val="99"/>
    <w:rsid w:val="00884FEB"/>
    <w:rPr>
      <w:rFonts w:ascii="Verdana" w:eastAsia="Times New Roman" w:hAnsi="Verdana" w:cs="Times New Roman"/>
      <w:sz w:val="20"/>
      <w:szCs w:val="20"/>
      <w:lang w:val="cs-CZ"/>
    </w:rPr>
  </w:style>
  <w:style w:type="paragraph" w:customStyle="1" w:styleId="Onderwerpvanopmerking">
    <w:name w:val="Onderwerp van opmerking"/>
    <w:basedOn w:val="CommentText"/>
    <w:next w:val="CommentText"/>
    <w:uiPriority w:val="99"/>
    <w:semiHidden/>
    <w:rsid w:val="00884FEB"/>
    <w:rPr>
      <w:b/>
      <w:bCs/>
    </w:rPr>
  </w:style>
  <w:style w:type="character" w:styleId="FollowedHyperlink">
    <w:name w:val="FollowedHyperlink"/>
    <w:uiPriority w:val="99"/>
    <w:rsid w:val="00884FEB"/>
    <w:rPr>
      <w:rFonts w:cs="Times New Roman"/>
      <w:color w:val="606420"/>
      <w:u w:val="single"/>
    </w:rPr>
  </w:style>
  <w:style w:type="paragraph" w:styleId="BalloonText">
    <w:name w:val="Balloon Text"/>
    <w:basedOn w:val="Normal"/>
    <w:link w:val="BalloonTextChar"/>
    <w:uiPriority w:val="99"/>
    <w:rsid w:val="00884FE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rsid w:val="00884FEB"/>
    <w:rPr>
      <w:rFonts w:ascii="Tahoma" w:eastAsia="Times New Roman" w:hAnsi="Tahoma" w:cs="Tahoma"/>
      <w:sz w:val="16"/>
      <w:szCs w:val="16"/>
      <w:lang w:val="cs-CZ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884FEB"/>
    <w:rPr>
      <w:b/>
      <w:bCs/>
    </w:rPr>
  </w:style>
  <w:style w:type="character" w:customStyle="1" w:styleId="CommentSubjectChar">
    <w:name w:val="Comment Subject Char"/>
    <w:link w:val="CommentSubject"/>
    <w:uiPriority w:val="99"/>
    <w:rsid w:val="00884FEB"/>
    <w:rPr>
      <w:rFonts w:ascii="Verdana" w:eastAsia="Times New Roman" w:hAnsi="Verdana" w:cs="Times New Roman"/>
      <w:b/>
      <w:bCs/>
      <w:sz w:val="20"/>
      <w:szCs w:val="20"/>
      <w:lang w:val="cs-CZ"/>
    </w:rPr>
  </w:style>
  <w:style w:type="table" w:styleId="TableGrid">
    <w:name w:val="Table Grid"/>
    <w:aliases w:val="Tabla CUADROS"/>
    <w:basedOn w:val="TableNormal"/>
    <w:uiPriority w:val="59"/>
    <w:rsid w:val="00884FE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rmatvorlageberschrift4">
    <w:name w:val="Formatvorlage Überschrift 4"/>
    <w:basedOn w:val="Heading4"/>
    <w:link w:val="Formatvorlageberschrift4Char"/>
    <w:uiPriority w:val="99"/>
    <w:rsid w:val="00884FEB"/>
    <w:pPr>
      <w:spacing w:before="240" w:after="60"/>
    </w:pPr>
    <w:rPr>
      <w:iCs/>
      <w:szCs w:val="28"/>
    </w:rPr>
  </w:style>
  <w:style w:type="character" w:customStyle="1" w:styleId="Formatvorlageberschrift4Char">
    <w:name w:val="Formatvorlage Überschrift 4 Char"/>
    <w:link w:val="Formatvorlageberschrift4"/>
    <w:uiPriority w:val="99"/>
    <w:locked/>
    <w:rsid w:val="00884FEB"/>
    <w:rPr>
      <w:rFonts w:ascii="Verdana" w:eastAsia="Times New Roman" w:hAnsi="Verdana"/>
      <w:b/>
      <w:iCs/>
      <w:szCs w:val="28"/>
      <w:u w:val="single"/>
      <w:lang w:eastAsia="cs-CZ"/>
    </w:rPr>
  </w:style>
  <w:style w:type="paragraph" w:customStyle="1" w:styleId="Instructionsberschrift1">
    <w:name w:val="Instructions Überschrift 1"/>
    <w:basedOn w:val="Heading1"/>
    <w:rsid w:val="00884FEB"/>
    <w:pPr>
      <w:tabs>
        <w:tab w:val="num" w:pos="540"/>
      </w:tabs>
      <w:spacing w:before="240"/>
      <w:ind w:left="540" w:hanging="540"/>
    </w:pPr>
    <w:rPr>
      <w:b w:val="0"/>
      <w:kern w:val="32"/>
    </w:rPr>
  </w:style>
  <w:style w:type="paragraph" w:customStyle="1" w:styleId="Instructionsberschrift2">
    <w:name w:val="Instructions Überschrift 2"/>
    <w:basedOn w:val="Heading2"/>
    <w:rsid w:val="008C122C"/>
    <w:pPr>
      <w:numPr>
        <w:numId w:val="13"/>
      </w:numPr>
      <w:spacing w:after="240"/>
    </w:pPr>
    <w:rPr>
      <w:rFonts w:cs="Arial"/>
      <w:b w:val="0"/>
      <w:sz w:val="20"/>
      <w:u w:val="single"/>
    </w:rPr>
  </w:style>
  <w:style w:type="paragraph" w:customStyle="1" w:styleId="Instructionsberschrift3">
    <w:name w:val="Instructions Überschrift 3"/>
    <w:basedOn w:val="Heading3"/>
    <w:link w:val="Instructionsberschrift3Zchn"/>
    <w:rsid w:val="006746DB"/>
    <w:pPr>
      <w:numPr>
        <w:numId w:val="14"/>
      </w:numPr>
      <w:spacing w:before="240" w:after="60" w:line="360" w:lineRule="auto"/>
    </w:pPr>
    <w:rPr>
      <w:rFonts w:cs="Arial"/>
      <w:b w:val="0"/>
      <w:szCs w:val="26"/>
      <w:u w:val="single"/>
    </w:rPr>
  </w:style>
  <w:style w:type="character" w:customStyle="1" w:styleId="Instructionsberschrift3Zchn">
    <w:name w:val="Instructions Überschrift 3 Zchn"/>
    <w:link w:val="Instructionsberschrift3"/>
    <w:locked/>
    <w:rsid w:val="006746DB"/>
    <w:rPr>
      <w:rFonts w:ascii="Verdana" w:eastAsia="Times New Roman" w:hAnsi="Verdana" w:cs="Arial"/>
      <w:b/>
      <w:szCs w:val="26"/>
      <w:u w:val="single"/>
      <w:lang w:eastAsia="cs-CZ"/>
    </w:rPr>
  </w:style>
  <w:style w:type="paragraph" w:customStyle="1" w:styleId="Instructionsberschrift4">
    <w:name w:val="Instructions Überschrift 4"/>
    <w:basedOn w:val="Heading4"/>
    <w:next w:val="InstructionsText"/>
    <w:link w:val="Instructionsberschrift4Char"/>
    <w:uiPriority w:val="99"/>
    <w:rsid w:val="00884FEB"/>
    <w:pPr>
      <w:tabs>
        <w:tab w:val="left" w:pos="1520"/>
      </w:tabs>
      <w:autoSpaceDE w:val="0"/>
      <w:autoSpaceDN w:val="0"/>
      <w:adjustRightInd w:val="0"/>
      <w:spacing w:before="240" w:after="240"/>
      <w:ind w:left="970" w:hanging="970"/>
    </w:pPr>
    <w:rPr>
      <w:bCs/>
    </w:rPr>
  </w:style>
  <w:style w:type="paragraph" w:customStyle="1" w:styleId="InstructionsText">
    <w:name w:val="Instructions Text"/>
    <w:basedOn w:val="Normal"/>
    <w:link w:val="InstructionsTextChar"/>
    <w:autoRedefine/>
    <w:rsid w:val="0039317F"/>
    <w:pPr>
      <w:tabs>
        <w:tab w:val="left" w:pos="477"/>
      </w:tabs>
      <w:spacing w:before="0" w:after="0"/>
    </w:pPr>
    <w:rPr>
      <w:rFonts w:ascii="Times New Roman" w:hAnsi="Times New Roman"/>
      <w:sz w:val="24"/>
    </w:rPr>
  </w:style>
  <w:style w:type="character" w:customStyle="1" w:styleId="Instructionsberschrift4Char">
    <w:name w:val="Instructions Überschrift 4 Char"/>
    <w:link w:val="Instructionsberschrift4"/>
    <w:uiPriority w:val="99"/>
    <w:locked/>
    <w:rsid w:val="00884FEB"/>
    <w:rPr>
      <w:rFonts w:ascii="Verdana" w:eastAsia="Times New Roman" w:hAnsi="Verdana"/>
      <w:b/>
      <w:bCs/>
      <w:szCs w:val="24"/>
      <w:u w:val="single"/>
      <w:lang w:eastAsia="cs-CZ"/>
    </w:rPr>
  </w:style>
  <w:style w:type="character" w:customStyle="1" w:styleId="InstructionsTabelleberschrift">
    <w:name w:val="Instructions Tabelle Überschrift"/>
    <w:qFormat/>
    <w:rsid w:val="00884FEB"/>
    <w:rPr>
      <w:rFonts w:ascii="Verdana" w:hAnsi="Verdana" w:cs="Times New Roman"/>
      <w:b/>
      <w:bCs/>
      <w:sz w:val="20"/>
      <w:u w:val="single"/>
    </w:rPr>
  </w:style>
  <w:style w:type="character" w:customStyle="1" w:styleId="InstructionsTabelleText">
    <w:name w:val="Instructions Tabelle Text"/>
    <w:rsid w:val="00884FEB"/>
    <w:rPr>
      <w:rFonts w:ascii="Verdana" w:hAnsi="Verdana" w:cs="Times New Roman"/>
      <w:sz w:val="20"/>
    </w:rPr>
  </w:style>
  <w:style w:type="character" w:customStyle="1" w:styleId="FormatvorlageInstructionsTabelleText">
    <w:name w:val="Formatvorlage Instructions Tabelle Text"/>
    <w:uiPriority w:val="99"/>
    <w:qFormat/>
    <w:rsid w:val="00974222"/>
    <w:rPr>
      <w:rFonts w:ascii="Verdana" w:hAnsi="Verdana" w:cs="Times New Roman"/>
      <w:bCs/>
      <w:sz w:val="20"/>
      <w:u w:val="none"/>
    </w:rPr>
  </w:style>
  <w:style w:type="paragraph" w:customStyle="1" w:styleId="FormatvorlageInstructionsberschrift3Links0cmErsteZeile0cm">
    <w:name w:val="Formatvorlage Instructions Überschrift 3 + Links:  0 cm Erste Zeile:  0 cm"/>
    <w:basedOn w:val="Instructionsberschrift3"/>
    <w:next w:val="Instructionsberschrift3"/>
    <w:uiPriority w:val="99"/>
    <w:rsid w:val="00884FEB"/>
    <w:pPr>
      <w:ind w:left="0" w:firstLine="0"/>
    </w:pPr>
    <w:rPr>
      <w:rFonts w:cs="Times New Roman"/>
      <w:szCs w:val="20"/>
    </w:rPr>
  </w:style>
  <w:style w:type="paragraph" w:customStyle="1" w:styleId="Texte2">
    <w:name w:val="Texte 2"/>
    <w:basedOn w:val="Normal"/>
    <w:uiPriority w:val="99"/>
    <w:rsid w:val="00884FEB"/>
    <w:pPr>
      <w:spacing w:after="0"/>
      <w:ind w:left="567"/>
    </w:pPr>
    <w:rPr>
      <w:sz w:val="22"/>
      <w:szCs w:val="20"/>
    </w:rPr>
  </w:style>
  <w:style w:type="paragraph" w:customStyle="1" w:styleId="Prrafodelista1">
    <w:name w:val="Párrafo de lista1"/>
    <w:basedOn w:val="Normal"/>
    <w:uiPriority w:val="99"/>
    <w:rsid w:val="00884FEB"/>
    <w:pPr>
      <w:ind w:left="720"/>
    </w:pPr>
  </w:style>
  <w:style w:type="paragraph" w:customStyle="1" w:styleId="Prrafodelista2">
    <w:name w:val="Párrafo de lista2"/>
    <w:basedOn w:val="Normal"/>
    <w:uiPriority w:val="99"/>
    <w:rsid w:val="00884FEB"/>
    <w:pPr>
      <w:ind w:left="708"/>
    </w:pPr>
  </w:style>
  <w:style w:type="paragraph" w:styleId="PlainText">
    <w:name w:val="Plain Text"/>
    <w:basedOn w:val="Normal"/>
    <w:link w:val="PlainTextChar"/>
    <w:uiPriority w:val="99"/>
    <w:rsid w:val="00884FEB"/>
    <w:pPr>
      <w:spacing w:before="0" w:after="0"/>
      <w:jc w:val="left"/>
    </w:pPr>
    <w:rPr>
      <w:szCs w:val="20"/>
    </w:rPr>
  </w:style>
  <w:style w:type="character" w:customStyle="1" w:styleId="PlainTextChar">
    <w:name w:val="Plain Text Char"/>
    <w:link w:val="PlainText"/>
    <w:uiPriority w:val="99"/>
    <w:rsid w:val="00884FEB"/>
    <w:rPr>
      <w:rFonts w:ascii="Verdana" w:eastAsia="Times New Roman" w:hAnsi="Verdana" w:cs="Times New Roman"/>
      <w:sz w:val="20"/>
      <w:szCs w:val="20"/>
      <w:lang w:val="cs-CZ" w:eastAsia="cs-CZ"/>
    </w:rPr>
  </w:style>
  <w:style w:type="paragraph" w:customStyle="1" w:styleId="Listenabsatz1">
    <w:name w:val="Listenabsatz1"/>
    <w:basedOn w:val="Normal"/>
    <w:uiPriority w:val="99"/>
    <w:rsid w:val="00884FEB"/>
    <w:pPr>
      <w:ind w:left="708"/>
    </w:pPr>
  </w:style>
  <w:style w:type="character" w:customStyle="1" w:styleId="InstructionsTextChar">
    <w:name w:val="Instructions Text Char"/>
    <w:link w:val="InstructionsText"/>
    <w:locked/>
    <w:rsid w:val="0039317F"/>
    <w:rPr>
      <w:rFonts w:ascii="Times New Roman" w:eastAsia="Times New Roman" w:hAnsi="Times New Roman"/>
      <w:sz w:val="24"/>
      <w:szCs w:val="24"/>
      <w:lang w:eastAsia="cs-CZ"/>
    </w:rPr>
  </w:style>
  <w:style w:type="paragraph" w:styleId="Revision">
    <w:name w:val="Revision"/>
    <w:hidden/>
    <w:uiPriority w:val="99"/>
    <w:semiHidden/>
    <w:rsid w:val="00884FEB"/>
    <w:rPr>
      <w:rFonts w:ascii="Verdana" w:eastAsia="Times New Roman" w:hAnsi="Verdana"/>
      <w:szCs w:val="24"/>
    </w:rPr>
  </w:style>
  <w:style w:type="paragraph" w:styleId="ListParagraph">
    <w:name w:val="List Paragraph"/>
    <w:basedOn w:val="Normal"/>
    <w:uiPriority w:val="34"/>
    <w:qFormat/>
    <w:rsid w:val="00884FEB"/>
    <w:pPr>
      <w:ind w:left="708"/>
    </w:pPr>
  </w:style>
  <w:style w:type="character" w:styleId="PlaceholderText">
    <w:name w:val="Placeholder Text"/>
    <w:uiPriority w:val="99"/>
    <w:semiHidden/>
    <w:rsid w:val="00D946DB"/>
    <w:rPr>
      <w:color w:val="808080"/>
    </w:rPr>
  </w:style>
  <w:style w:type="paragraph" w:customStyle="1" w:styleId="InstructionsText2">
    <w:name w:val="Instructions Text 2"/>
    <w:basedOn w:val="InstructionsText"/>
    <w:qFormat/>
    <w:rsid w:val="00F620A2"/>
    <w:pPr>
      <w:numPr>
        <w:numId w:val="15"/>
      </w:numPr>
      <w:spacing w:after="240"/>
    </w:pPr>
  </w:style>
  <w:style w:type="character" w:customStyle="1" w:styleId="Instructionsberschrift3Char">
    <w:name w:val="Instructions Überschrift 3 Char"/>
    <w:locked/>
    <w:rsid w:val="003B3DBB"/>
    <w:rPr>
      <w:rFonts w:ascii="Verdana" w:hAnsi="Verdana" w:cs="Arial"/>
      <w:b/>
      <w:bCs/>
      <w:szCs w:val="26"/>
      <w:u w:val="single"/>
      <w:lang w:val="cs-CZ" w:eastAsia="cs-CZ" w:bidi="cs-CZ"/>
    </w:rPr>
  </w:style>
  <w:style w:type="paragraph" w:customStyle="1" w:styleId="CM4">
    <w:name w:val="CM4"/>
    <w:basedOn w:val="Normal"/>
    <w:next w:val="Normal"/>
    <w:uiPriority w:val="99"/>
    <w:rsid w:val="008815DE"/>
    <w:pPr>
      <w:autoSpaceDE w:val="0"/>
      <w:autoSpaceDN w:val="0"/>
      <w:adjustRightInd w:val="0"/>
      <w:spacing w:before="0" w:after="0"/>
      <w:jc w:val="left"/>
    </w:pPr>
    <w:rPr>
      <w:rFonts w:ascii="Times New Roman" w:eastAsia="Arial" w:hAnsi="Times New Roman"/>
      <w:sz w:val="24"/>
    </w:rPr>
  </w:style>
  <w:style w:type="numbering" w:customStyle="1" w:styleId="Formatvorlage3">
    <w:name w:val="Formatvorlage3"/>
    <w:uiPriority w:val="99"/>
    <w:rsid w:val="00DE0962"/>
    <w:pPr>
      <w:numPr>
        <w:numId w:val="16"/>
      </w:numPr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88630E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88630E"/>
    <w:rPr>
      <w:rFonts w:ascii="Tahoma" w:eastAsia="Times New Roman" w:hAnsi="Tahoma" w:cs="Tahoma"/>
      <w:sz w:val="16"/>
      <w:szCs w:val="16"/>
      <w:lang w:val="cs-CZ"/>
    </w:rPr>
  </w:style>
  <w:style w:type="numbering" w:customStyle="1" w:styleId="Formatvorlage4">
    <w:name w:val="Formatvorlage4"/>
    <w:uiPriority w:val="99"/>
    <w:rsid w:val="00FB1D44"/>
    <w:pPr>
      <w:numPr>
        <w:numId w:val="18"/>
      </w:numPr>
    </w:pPr>
  </w:style>
  <w:style w:type="paragraph" w:customStyle="1" w:styleId="Titrearticle">
    <w:name w:val="Titre article"/>
    <w:basedOn w:val="Normal"/>
    <w:next w:val="Normal"/>
    <w:rsid w:val="00C87CEE"/>
    <w:pPr>
      <w:keepNext/>
      <w:spacing w:before="360"/>
      <w:jc w:val="center"/>
    </w:pPr>
    <w:rPr>
      <w:rFonts w:ascii="Times New Roman" w:hAnsi="Times New Roman"/>
      <w:i/>
      <w:sz w:val="24"/>
    </w:rPr>
  </w:style>
  <w:style w:type="paragraph" w:customStyle="1" w:styleId="Baseparagraphnumbered">
    <w:name w:val="Base paragraph numbered"/>
    <w:basedOn w:val="Normal"/>
    <w:link w:val="BaseparagraphnumberedChar"/>
    <w:qFormat/>
    <w:rsid w:val="00C87CEE"/>
    <w:pPr>
      <w:numPr>
        <w:numId w:val="19"/>
      </w:numPr>
      <w:spacing w:before="0" w:after="240"/>
    </w:pPr>
    <w:rPr>
      <w:rFonts w:ascii="Times New Roman" w:hAnsi="Times New Roman"/>
      <w:sz w:val="24"/>
    </w:rPr>
  </w:style>
  <w:style w:type="character" w:customStyle="1" w:styleId="BaseparagraphnumberedChar">
    <w:name w:val="Base paragraph numbered Char"/>
    <w:link w:val="Baseparagraphnumbered"/>
    <w:rsid w:val="00C87CEE"/>
    <w:rPr>
      <w:rFonts w:ascii="Times New Roman" w:eastAsia="Times New Roman" w:hAnsi="Times New Roman"/>
      <w:sz w:val="24"/>
      <w:szCs w:val="24"/>
    </w:rPr>
  </w:style>
  <w:style w:type="character" w:customStyle="1" w:styleId="style461">
    <w:name w:val="style461"/>
    <w:rsid w:val="00600198"/>
    <w:rPr>
      <w:color w:val="FF5A00"/>
    </w:rPr>
  </w:style>
  <w:style w:type="paragraph" w:customStyle="1" w:styleId="Default">
    <w:name w:val="Default"/>
    <w:rsid w:val="004675B7"/>
    <w:pPr>
      <w:autoSpaceDE w:val="0"/>
      <w:autoSpaceDN w:val="0"/>
      <w:adjustRightInd w:val="0"/>
    </w:pPr>
    <w:rPr>
      <w:rFonts w:ascii="Verdana" w:eastAsia="Calibri" w:hAnsi="Verdana" w:cs="Verdana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Times New Roman"/>
        <w:lang w:val="cs-CZ" w:eastAsia="cs-CZ" w:bidi="cs-CZ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iPriority="1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table of figures" w:uiPriority="0"/>
    <w:lsdException w:name="footnote reference" w:uiPriority="0"/>
    <w:lsdException w:name="endnote reference" w:semiHidden="0" w:uiPriority="1" w:unhideWhenUsed="0"/>
    <w:lsdException w:name="endnote text" w:semiHidden="0" w:uiPriority="1" w:unhideWhenUsed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">
    <w:name w:val="Normal"/>
    <w:qFormat/>
    <w:rsid w:val="00884FEB"/>
    <w:pPr>
      <w:spacing w:before="120" w:after="120"/>
      <w:jc w:val="both"/>
    </w:pPr>
    <w:rPr>
      <w:rFonts w:ascii="Verdana" w:eastAsia="Times New Roman" w:hAnsi="Verdana"/>
      <w:szCs w:val="24"/>
    </w:rPr>
  </w:style>
  <w:style w:type="paragraph" w:styleId="Heading1">
    <w:name w:val="heading 1"/>
    <w:basedOn w:val="Normal"/>
    <w:next w:val="Normal"/>
    <w:link w:val="Heading1Char"/>
    <w:autoRedefine/>
    <w:qFormat/>
    <w:rsid w:val="005A6305"/>
    <w:pPr>
      <w:keepNext/>
      <w:autoSpaceDE w:val="0"/>
      <w:autoSpaceDN w:val="0"/>
      <w:adjustRightInd w:val="0"/>
      <w:spacing w:before="0" w:after="0"/>
      <w:jc w:val="left"/>
      <w:outlineLvl w:val="0"/>
    </w:pPr>
    <w:rPr>
      <w:b/>
      <w:szCs w:val="20"/>
      <w:u w:val="single"/>
    </w:rPr>
  </w:style>
  <w:style w:type="paragraph" w:styleId="Heading2">
    <w:name w:val="heading 2"/>
    <w:basedOn w:val="Normal"/>
    <w:next w:val="Normal"/>
    <w:link w:val="Heading2Char"/>
    <w:autoRedefine/>
    <w:uiPriority w:val="99"/>
    <w:qFormat/>
    <w:rsid w:val="001E5A75"/>
    <w:pPr>
      <w:keepNext/>
      <w:spacing w:before="240"/>
      <w:outlineLvl w:val="1"/>
    </w:pPr>
    <w:rPr>
      <w:b/>
      <w:sz w:val="24"/>
    </w:rPr>
  </w:style>
  <w:style w:type="paragraph" w:styleId="Heading3">
    <w:name w:val="heading 3"/>
    <w:basedOn w:val="Normal"/>
    <w:next w:val="Normal"/>
    <w:link w:val="Heading3Char1"/>
    <w:autoRedefine/>
    <w:uiPriority w:val="99"/>
    <w:qFormat/>
    <w:rsid w:val="001E5A75"/>
    <w:pPr>
      <w:keepNext/>
      <w:spacing w:before="180"/>
      <w:outlineLvl w:val="2"/>
    </w:pPr>
    <w:rPr>
      <w:b/>
    </w:rPr>
  </w:style>
  <w:style w:type="paragraph" w:styleId="Heading4">
    <w:name w:val="heading 4"/>
    <w:basedOn w:val="Normal"/>
    <w:next w:val="Normal"/>
    <w:link w:val="Heading4Char"/>
    <w:autoRedefine/>
    <w:uiPriority w:val="99"/>
    <w:qFormat/>
    <w:rsid w:val="00DE0962"/>
    <w:pPr>
      <w:keepNext/>
      <w:numPr>
        <w:numId w:val="17"/>
      </w:numPr>
      <w:spacing w:before="160"/>
      <w:outlineLvl w:val="3"/>
    </w:pPr>
    <w:rPr>
      <w:b/>
      <w:u w:val="single"/>
    </w:rPr>
  </w:style>
  <w:style w:type="paragraph" w:styleId="Heading5">
    <w:name w:val="heading 5"/>
    <w:basedOn w:val="Normal"/>
    <w:next w:val="Normal"/>
    <w:link w:val="Heading5Char"/>
    <w:autoRedefine/>
    <w:uiPriority w:val="1"/>
    <w:qFormat/>
    <w:rsid w:val="001E5A75"/>
    <w:pPr>
      <w:keepNext/>
      <w:spacing w:before="140"/>
      <w:outlineLvl w:val="4"/>
    </w:pPr>
    <w:rPr>
      <w:b/>
      <w:i/>
    </w:rPr>
  </w:style>
  <w:style w:type="paragraph" w:styleId="Heading6">
    <w:name w:val="heading 6"/>
    <w:basedOn w:val="Normal"/>
    <w:next w:val="Normal"/>
    <w:link w:val="Heading6Char"/>
    <w:qFormat/>
    <w:rsid w:val="001E5A75"/>
    <w:p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1E5A75"/>
    <w:pPr>
      <w:spacing w:before="240" w:after="60"/>
      <w:outlineLvl w:val="6"/>
    </w:pPr>
    <w:rPr>
      <w:rFonts w:ascii="Times New Roman" w:hAnsi="Times New Roman"/>
      <w:sz w:val="24"/>
    </w:rPr>
  </w:style>
  <w:style w:type="paragraph" w:styleId="Heading8">
    <w:name w:val="heading 8"/>
    <w:basedOn w:val="Normal"/>
    <w:next w:val="Normal"/>
    <w:link w:val="Heading8Char"/>
    <w:qFormat/>
    <w:rsid w:val="001E5A75"/>
    <w:p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Heading9">
    <w:name w:val="heading 9"/>
    <w:basedOn w:val="Normal"/>
    <w:next w:val="Normal"/>
    <w:link w:val="Heading9Char"/>
    <w:qFormat/>
    <w:rsid w:val="001E5A75"/>
    <w:p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5A6305"/>
    <w:rPr>
      <w:rFonts w:ascii="Verdana" w:eastAsia="Times New Roman" w:hAnsi="Verdana" w:cs="Times New Roman"/>
      <w:b/>
      <w:sz w:val="20"/>
      <w:szCs w:val="20"/>
      <w:u w:val="single"/>
      <w:lang w:val="cs-CZ"/>
    </w:rPr>
  </w:style>
  <w:style w:type="paragraph" w:styleId="TableofFigures">
    <w:name w:val="table of figures"/>
    <w:basedOn w:val="Normal"/>
    <w:next w:val="Normal"/>
    <w:semiHidden/>
    <w:rsid w:val="001E5A75"/>
    <w:pPr>
      <w:ind w:left="440" w:hanging="440"/>
    </w:pPr>
  </w:style>
  <w:style w:type="paragraph" w:customStyle="1" w:styleId="Aufzhlungszeichen1">
    <w:name w:val="Aufzählungszeichen1"/>
    <w:basedOn w:val="Normal"/>
    <w:uiPriority w:val="1"/>
    <w:qFormat/>
    <w:rsid w:val="001E5A75"/>
    <w:pPr>
      <w:numPr>
        <w:numId w:val="1"/>
      </w:numPr>
      <w:spacing w:line="240" w:lineRule="exact"/>
    </w:pPr>
  </w:style>
  <w:style w:type="paragraph" w:customStyle="1" w:styleId="Aufzhlungszeichen2">
    <w:name w:val="Aufzählungszeichen2"/>
    <w:basedOn w:val="Normal"/>
    <w:uiPriority w:val="1"/>
    <w:qFormat/>
    <w:rsid w:val="001E5A75"/>
    <w:pPr>
      <w:numPr>
        <w:numId w:val="2"/>
      </w:numPr>
      <w:spacing w:line="240" w:lineRule="exact"/>
    </w:pPr>
  </w:style>
  <w:style w:type="paragraph" w:customStyle="1" w:styleId="Aufzhlungszeichen3">
    <w:name w:val="Aufzählungszeichen3"/>
    <w:basedOn w:val="Normal"/>
    <w:uiPriority w:val="1"/>
    <w:qFormat/>
    <w:rsid w:val="001E5A75"/>
    <w:pPr>
      <w:numPr>
        <w:numId w:val="3"/>
      </w:numPr>
      <w:spacing w:line="240" w:lineRule="exact"/>
    </w:pPr>
  </w:style>
  <w:style w:type="paragraph" w:customStyle="1" w:styleId="Aufzhlungszeichen4">
    <w:name w:val="Aufzählungszeichen4"/>
    <w:basedOn w:val="Normal"/>
    <w:uiPriority w:val="1"/>
    <w:qFormat/>
    <w:rsid w:val="001E5A75"/>
    <w:pPr>
      <w:numPr>
        <w:numId w:val="4"/>
      </w:numPr>
      <w:spacing w:line="240" w:lineRule="exact"/>
    </w:pPr>
  </w:style>
  <w:style w:type="numbering" w:customStyle="1" w:styleId="Formatvorlage1">
    <w:name w:val="Formatvorlage1"/>
    <w:uiPriority w:val="99"/>
    <w:rsid w:val="001E5A75"/>
    <w:pPr>
      <w:numPr>
        <w:numId w:val="5"/>
      </w:numPr>
    </w:pPr>
  </w:style>
  <w:style w:type="numbering" w:customStyle="1" w:styleId="Formatvorlage2">
    <w:name w:val="Formatvorlage2"/>
    <w:uiPriority w:val="99"/>
    <w:rsid w:val="001E5A75"/>
    <w:pPr>
      <w:numPr>
        <w:numId w:val="6"/>
      </w:numPr>
    </w:pPr>
  </w:style>
  <w:style w:type="paragraph" w:styleId="FootnoteText">
    <w:name w:val="footnote text"/>
    <w:basedOn w:val="Normal"/>
    <w:link w:val="FootnoteTextChar"/>
    <w:rsid w:val="00C2636B"/>
    <w:pPr>
      <w:spacing w:line="180" w:lineRule="exact"/>
      <w:ind w:left="142" w:hanging="142"/>
    </w:pPr>
    <w:rPr>
      <w:sz w:val="16"/>
      <w:szCs w:val="16"/>
    </w:rPr>
  </w:style>
  <w:style w:type="character" w:customStyle="1" w:styleId="FootnoteTextChar">
    <w:name w:val="Footnote Text Char"/>
    <w:link w:val="FootnoteText"/>
    <w:rsid w:val="00C2636B"/>
    <w:rPr>
      <w:rFonts w:ascii="Arial" w:hAnsi="Arial"/>
      <w:sz w:val="16"/>
      <w:szCs w:val="16"/>
      <w:lang w:eastAsia="cs-CZ"/>
    </w:rPr>
  </w:style>
  <w:style w:type="character" w:styleId="FootnoteReference">
    <w:name w:val="footnote reference"/>
    <w:rsid w:val="001E5A75"/>
    <w:rPr>
      <w:rFonts w:ascii="Arial" w:hAnsi="Arial"/>
      <w:dstrike w:val="0"/>
      <w:kern w:val="0"/>
      <w:position w:val="4"/>
      <w:sz w:val="12"/>
      <w:szCs w:val="12"/>
      <w:vertAlign w:val="baseline"/>
    </w:rPr>
  </w:style>
  <w:style w:type="paragraph" w:styleId="Footer">
    <w:name w:val="footer"/>
    <w:basedOn w:val="Normal"/>
    <w:link w:val="FooterChar"/>
    <w:uiPriority w:val="99"/>
    <w:rsid w:val="001E5A75"/>
    <w:pPr>
      <w:tabs>
        <w:tab w:val="center" w:pos="4536"/>
        <w:tab w:val="right" w:pos="9072"/>
      </w:tabs>
    </w:pPr>
    <w:rPr>
      <w:szCs w:val="14"/>
    </w:rPr>
  </w:style>
  <w:style w:type="character" w:customStyle="1" w:styleId="FooterChar">
    <w:name w:val="Footer Char"/>
    <w:link w:val="Footer"/>
    <w:uiPriority w:val="99"/>
    <w:rsid w:val="001E5A75"/>
    <w:rPr>
      <w:rFonts w:ascii="Arial" w:hAnsi="Arial"/>
      <w:szCs w:val="14"/>
      <w:lang w:eastAsia="cs-CZ"/>
    </w:rPr>
  </w:style>
  <w:style w:type="paragraph" w:customStyle="1" w:styleId="GliederungmitAufzhlung">
    <w:name w:val="Gliederung mit Aufzählung"/>
    <w:basedOn w:val="Normal"/>
    <w:uiPriority w:val="1"/>
    <w:qFormat/>
    <w:rsid w:val="001E5A75"/>
    <w:pPr>
      <w:numPr>
        <w:numId w:val="7"/>
      </w:numPr>
      <w:spacing w:line="312" w:lineRule="auto"/>
    </w:pPr>
  </w:style>
  <w:style w:type="paragraph" w:customStyle="1" w:styleId="GliederungmitNummerierung">
    <w:name w:val="Gliederung mit Nummerierung"/>
    <w:basedOn w:val="Normal"/>
    <w:uiPriority w:val="1"/>
    <w:qFormat/>
    <w:rsid w:val="001E5A75"/>
    <w:pPr>
      <w:numPr>
        <w:numId w:val="8"/>
      </w:numPr>
      <w:spacing w:line="312" w:lineRule="auto"/>
    </w:pPr>
  </w:style>
  <w:style w:type="paragraph" w:customStyle="1" w:styleId="HngEinrckung1">
    <w:name w:val="Häng. Einrückung1"/>
    <w:basedOn w:val="Normal"/>
    <w:uiPriority w:val="1"/>
    <w:qFormat/>
    <w:rsid w:val="001E5A75"/>
    <w:pPr>
      <w:spacing w:line="312" w:lineRule="auto"/>
      <w:ind w:left="567" w:hanging="567"/>
    </w:pPr>
  </w:style>
  <w:style w:type="paragraph" w:customStyle="1" w:styleId="HngEinrckung2">
    <w:name w:val="Häng. Einrückung2"/>
    <w:basedOn w:val="Normal"/>
    <w:uiPriority w:val="1"/>
    <w:qFormat/>
    <w:rsid w:val="001E5A75"/>
    <w:pPr>
      <w:spacing w:line="312" w:lineRule="auto"/>
      <w:ind w:left="1134" w:hanging="567"/>
    </w:pPr>
  </w:style>
  <w:style w:type="paragraph" w:customStyle="1" w:styleId="HngEinrckung3">
    <w:name w:val="Häng. Einrückung3"/>
    <w:basedOn w:val="Normal"/>
    <w:uiPriority w:val="1"/>
    <w:qFormat/>
    <w:rsid w:val="001E5A75"/>
    <w:pPr>
      <w:spacing w:line="312" w:lineRule="auto"/>
      <w:ind w:left="1701" w:hanging="567"/>
    </w:pPr>
  </w:style>
  <w:style w:type="character" w:styleId="Hyperlink">
    <w:name w:val="Hyperlink"/>
    <w:uiPriority w:val="99"/>
    <w:rsid w:val="001E5A75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1E5A75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1E5A75"/>
    <w:rPr>
      <w:rFonts w:ascii="Arial" w:hAnsi="Arial"/>
      <w:szCs w:val="20"/>
      <w:lang w:eastAsia="cs-CZ"/>
    </w:rPr>
  </w:style>
  <w:style w:type="paragraph" w:customStyle="1" w:styleId="Marginalspalte">
    <w:name w:val="Marginalspalte"/>
    <w:basedOn w:val="Normal"/>
    <w:uiPriority w:val="1"/>
    <w:qFormat/>
    <w:rsid w:val="001E5A75"/>
    <w:pPr>
      <w:framePr w:w="851" w:h="851" w:hSpace="284" w:wrap="around" w:vAnchor="text" w:hAnchor="page" w:y="1"/>
    </w:pPr>
    <w:rPr>
      <w:i/>
      <w:szCs w:val="22"/>
    </w:rPr>
  </w:style>
  <w:style w:type="paragraph" w:customStyle="1" w:styleId="Nummerierungsart1">
    <w:name w:val="Nummerierungsart1"/>
    <w:basedOn w:val="Normal"/>
    <w:uiPriority w:val="1"/>
    <w:qFormat/>
    <w:rsid w:val="001E5A75"/>
    <w:pPr>
      <w:numPr>
        <w:numId w:val="9"/>
      </w:numPr>
    </w:pPr>
  </w:style>
  <w:style w:type="paragraph" w:customStyle="1" w:styleId="Nummerierungsart2">
    <w:name w:val="Nummerierungsart2"/>
    <w:basedOn w:val="Normal"/>
    <w:uiPriority w:val="1"/>
    <w:qFormat/>
    <w:rsid w:val="001E5A75"/>
    <w:pPr>
      <w:numPr>
        <w:numId w:val="10"/>
      </w:numPr>
    </w:pPr>
  </w:style>
  <w:style w:type="paragraph" w:customStyle="1" w:styleId="Nummerierungsart3">
    <w:name w:val="Nummerierungsart3"/>
    <w:basedOn w:val="Normal"/>
    <w:uiPriority w:val="1"/>
    <w:qFormat/>
    <w:rsid w:val="001E5A75"/>
    <w:pPr>
      <w:numPr>
        <w:numId w:val="11"/>
      </w:numPr>
    </w:pPr>
  </w:style>
  <w:style w:type="paragraph" w:customStyle="1" w:styleId="Nummerierungsart4">
    <w:name w:val="Nummerierungsart4"/>
    <w:basedOn w:val="Normal"/>
    <w:uiPriority w:val="1"/>
    <w:qFormat/>
    <w:rsid w:val="001E5A75"/>
    <w:pPr>
      <w:numPr>
        <w:numId w:val="12"/>
      </w:numPr>
    </w:pPr>
  </w:style>
  <w:style w:type="character" w:styleId="PageNumber">
    <w:name w:val="page number"/>
    <w:uiPriority w:val="99"/>
    <w:rsid w:val="001E5A75"/>
    <w:rPr>
      <w:rFonts w:ascii="Arial" w:hAnsi="Arial"/>
      <w:sz w:val="22"/>
      <w:szCs w:val="22"/>
    </w:rPr>
  </w:style>
  <w:style w:type="character" w:customStyle="1" w:styleId="Heading2Char">
    <w:name w:val="Heading 2 Char"/>
    <w:link w:val="Heading2"/>
    <w:uiPriority w:val="99"/>
    <w:rsid w:val="00EC5046"/>
    <w:rPr>
      <w:rFonts w:ascii="Verdana" w:eastAsia="Times New Roman" w:hAnsi="Verdana" w:cs="Times New Roman"/>
      <w:b/>
      <w:szCs w:val="24"/>
      <w:u w:val="single"/>
      <w:lang w:val="cs-CZ"/>
    </w:rPr>
  </w:style>
  <w:style w:type="character" w:customStyle="1" w:styleId="Heading3Char1">
    <w:name w:val="Heading 3 Char1"/>
    <w:link w:val="Heading3"/>
    <w:uiPriority w:val="99"/>
    <w:rsid w:val="001E5A75"/>
    <w:rPr>
      <w:rFonts w:ascii="Arial" w:hAnsi="Arial"/>
      <w:b/>
      <w:szCs w:val="20"/>
      <w:lang w:eastAsia="cs-CZ"/>
    </w:rPr>
  </w:style>
  <w:style w:type="character" w:customStyle="1" w:styleId="Heading4Char">
    <w:name w:val="Heading 4 Char"/>
    <w:link w:val="Heading4"/>
    <w:uiPriority w:val="99"/>
    <w:rsid w:val="00DE0962"/>
    <w:rPr>
      <w:rFonts w:ascii="Verdana" w:eastAsia="Times New Roman" w:hAnsi="Verdana"/>
      <w:b/>
      <w:szCs w:val="24"/>
      <w:u w:val="single"/>
      <w:lang w:eastAsia="cs-CZ"/>
    </w:rPr>
  </w:style>
  <w:style w:type="character" w:customStyle="1" w:styleId="Heading5Char">
    <w:name w:val="Heading 5 Char"/>
    <w:link w:val="Heading5"/>
    <w:uiPriority w:val="1"/>
    <w:rsid w:val="001E5A75"/>
    <w:rPr>
      <w:rFonts w:ascii="Arial" w:hAnsi="Arial"/>
      <w:b/>
      <w:i/>
      <w:szCs w:val="20"/>
      <w:lang w:eastAsia="cs-CZ"/>
    </w:rPr>
  </w:style>
  <w:style w:type="character" w:customStyle="1" w:styleId="Heading6Char">
    <w:name w:val="Heading 6 Char"/>
    <w:link w:val="Heading6"/>
    <w:semiHidden/>
    <w:rsid w:val="001E5A75"/>
    <w:rPr>
      <w:rFonts w:ascii="Times New Roman" w:hAnsi="Times New Roman"/>
      <w:b/>
      <w:bCs/>
      <w:lang w:eastAsia="cs-CZ"/>
    </w:rPr>
  </w:style>
  <w:style w:type="character" w:customStyle="1" w:styleId="Heading7Char">
    <w:name w:val="Heading 7 Char"/>
    <w:link w:val="Heading7"/>
    <w:semiHidden/>
    <w:rsid w:val="001E5A75"/>
    <w:rPr>
      <w:rFonts w:ascii="Times New Roman" w:hAnsi="Times New Roman"/>
      <w:sz w:val="24"/>
      <w:szCs w:val="20"/>
      <w:lang w:eastAsia="cs-CZ"/>
    </w:rPr>
  </w:style>
  <w:style w:type="character" w:customStyle="1" w:styleId="Heading8Char">
    <w:name w:val="Heading 8 Char"/>
    <w:link w:val="Heading8"/>
    <w:semiHidden/>
    <w:rsid w:val="001E5A75"/>
    <w:rPr>
      <w:rFonts w:ascii="Times New Roman" w:hAnsi="Times New Roman"/>
      <w:i/>
      <w:iCs/>
      <w:sz w:val="24"/>
      <w:szCs w:val="20"/>
      <w:lang w:eastAsia="cs-CZ"/>
    </w:rPr>
  </w:style>
  <w:style w:type="character" w:customStyle="1" w:styleId="Heading9Char">
    <w:name w:val="Heading 9 Char"/>
    <w:link w:val="Heading9"/>
    <w:semiHidden/>
    <w:rsid w:val="001E5A75"/>
    <w:rPr>
      <w:rFonts w:ascii="Arial" w:hAnsi="Arial" w:cs="Arial"/>
      <w:lang w:eastAsia="cs-CZ"/>
    </w:rPr>
  </w:style>
  <w:style w:type="paragraph" w:styleId="TOC1">
    <w:name w:val="toc 1"/>
    <w:basedOn w:val="Normal"/>
    <w:next w:val="Normal"/>
    <w:autoRedefine/>
    <w:uiPriority w:val="39"/>
    <w:qFormat/>
    <w:rsid w:val="001E5A75"/>
    <w:pPr>
      <w:tabs>
        <w:tab w:val="left" w:pos="794"/>
        <w:tab w:val="right" w:leader="dot" w:pos="9071"/>
      </w:tabs>
      <w:ind w:left="794" w:hanging="794"/>
    </w:pPr>
    <w:rPr>
      <w:b/>
      <w:smallCaps/>
      <w:noProof/>
      <w:sz w:val="24"/>
    </w:rPr>
  </w:style>
  <w:style w:type="paragraph" w:styleId="TOC2">
    <w:name w:val="toc 2"/>
    <w:basedOn w:val="Normal"/>
    <w:next w:val="Normal"/>
    <w:autoRedefine/>
    <w:uiPriority w:val="39"/>
    <w:qFormat/>
    <w:rsid w:val="001E5A75"/>
    <w:pPr>
      <w:tabs>
        <w:tab w:val="left" w:pos="794"/>
        <w:tab w:val="right" w:leader="dot" w:pos="9071"/>
      </w:tabs>
      <w:spacing w:after="60"/>
      <w:ind w:left="794" w:hanging="794"/>
    </w:pPr>
    <w:rPr>
      <w:b/>
      <w:smallCaps/>
      <w:noProof/>
      <w:szCs w:val="22"/>
    </w:rPr>
  </w:style>
  <w:style w:type="paragraph" w:styleId="TOC3">
    <w:name w:val="toc 3"/>
    <w:basedOn w:val="Normal"/>
    <w:next w:val="Normal"/>
    <w:autoRedefine/>
    <w:uiPriority w:val="39"/>
    <w:qFormat/>
    <w:rsid w:val="001E5A75"/>
    <w:pPr>
      <w:tabs>
        <w:tab w:val="left" w:pos="794"/>
        <w:tab w:val="right" w:leader="dot" w:pos="9072"/>
      </w:tabs>
      <w:spacing w:after="60"/>
      <w:ind w:left="794" w:hanging="794"/>
    </w:pPr>
    <w:rPr>
      <w:smallCaps/>
      <w:noProof/>
    </w:rPr>
  </w:style>
  <w:style w:type="paragraph" w:styleId="TOC4">
    <w:name w:val="toc 4"/>
    <w:basedOn w:val="Normal"/>
    <w:next w:val="Normal"/>
    <w:autoRedefine/>
    <w:uiPriority w:val="39"/>
    <w:rsid w:val="001E5A75"/>
    <w:pPr>
      <w:tabs>
        <w:tab w:val="left" w:pos="794"/>
        <w:tab w:val="right" w:leader="dot" w:pos="9071"/>
      </w:tabs>
      <w:spacing w:after="40"/>
      <w:ind w:left="794" w:hanging="794"/>
    </w:pPr>
    <w:rPr>
      <w:smallCaps/>
      <w:noProof/>
      <w:snapToGrid w:val="0"/>
      <w:sz w:val="18"/>
      <w:szCs w:val="18"/>
    </w:rPr>
  </w:style>
  <w:style w:type="paragraph" w:styleId="TOC5">
    <w:name w:val="toc 5"/>
    <w:basedOn w:val="Normal"/>
    <w:next w:val="Normal"/>
    <w:autoRedefine/>
    <w:uiPriority w:val="39"/>
    <w:rsid w:val="001E5A75"/>
    <w:pPr>
      <w:tabs>
        <w:tab w:val="left" w:pos="794"/>
        <w:tab w:val="right" w:leader="dot" w:pos="9071"/>
      </w:tabs>
      <w:spacing w:after="40"/>
      <w:ind w:left="794" w:hanging="794"/>
    </w:pPr>
    <w:rPr>
      <w:smallCaps/>
      <w:noProof/>
      <w:sz w:val="18"/>
      <w:szCs w:val="18"/>
    </w:rPr>
  </w:style>
  <w:style w:type="paragraph" w:styleId="TOC6">
    <w:name w:val="toc 6"/>
    <w:basedOn w:val="Normal"/>
    <w:next w:val="Normal"/>
    <w:autoRedefine/>
    <w:uiPriority w:val="39"/>
    <w:rsid w:val="001E5A75"/>
    <w:pPr>
      <w:tabs>
        <w:tab w:val="left" w:pos="2058"/>
        <w:tab w:val="right" w:leader="dot" w:pos="9071"/>
      </w:tabs>
      <w:ind w:left="1134" w:hanging="1134"/>
    </w:pPr>
    <w:rPr>
      <w:noProof/>
      <w:sz w:val="16"/>
    </w:rPr>
  </w:style>
  <w:style w:type="paragraph" w:styleId="TOC7">
    <w:name w:val="toc 7"/>
    <w:basedOn w:val="Normal"/>
    <w:next w:val="Normal"/>
    <w:autoRedefine/>
    <w:uiPriority w:val="39"/>
    <w:rsid w:val="001E5A75"/>
    <w:pPr>
      <w:tabs>
        <w:tab w:val="right" w:leader="dot" w:pos="9071"/>
      </w:tabs>
      <w:ind w:left="1134" w:hanging="1134"/>
    </w:pPr>
    <w:rPr>
      <w:sz w:val="16"/>
    </w:rPr>
  </w:style>
  <w:style w:type="paragraph" w:styleId="TOC8">
    <w:name w:val="toc 8"/>
    <w:basedOn w:val="Normal"/>
    <w:next w:val="Normal"/>
    <w:autoRedefine/>
    <w:uiPriority w:val="39"/>
    <w:rsid w:val="001E5A75"/>
    <w:pPr>
      <w:tabs>
        <w:tab w:val="left" w:pos="2758"/>
        <w:tab w:val="right" w:leader="dot" w:pos="9071"/>
      </w:tabs>
      <w:ind w:left="1361" w:hanging="1361"/>
    </w:pPr>
    <w:rPr>
      <w:noProof/>
      <w:sz w:val="16"/>
    </w:rPr>
  </w:style>
  <w:style w:type="paragraph" w:styleId="TOC9">
    <w:name w:val="toc 9"/>
    <w:basedOn w:val="Normal"/>
    <w:next w:val="Normal"/>
    <w:autoRedefine/>
    <w:uiPriority w:val="39"/>
    <w:rsid w:val="001E5A75"/>
    <w:pPr>
      <w:tabs>
        <w:tab w:val="right" w:leader="dot" w:pos="9071"/>
      </w:tabs>
      <w:ind w:left="1361" w:hanging="1361"/>
    </w:pPr>
    <w:rPr>
      <w:sz w:val="16"/>
    </w:rPr>
  </w:style>
  <w:style w:type="paragraph" w:styleId="Quote">
    <w:name w:val="Quote"/>
    <w:basedOn w:val="Normal"/>
    <w:next w:val="Normal"/>
    <w:link w:val="QuoteChar"/>
    <w:uiPriority w:val="29"/>
    <w:qFormat/>
    <w:rsid w:val="001E5A75"/>
    <w:rPr>
      <w:i/>
      <w:iCs/>
      <w:color w:val="000000"/>
    </w:rPr>
  </w:style>
  <w:style w:type="character" w:customStyle="1" w:styleId="QuoteChar">
    <w:name w:val="Quote Char"/>
    <w:link w:val="Quote"/>
    <w:uiPriority w:val="29"/>
    <w:semiHidden/>
    <w:rsid w:val="001E5A75"/>
    <w:rPr>
      <w:rFonts w:ascii="Arial" w:hAnsi="Arial"/>
      <w:i/>
      <w:iCs/>
      <w:color w:val="000000"/>
      <w:szCs w:val="20"/>
      <w:lang w:eastAsia="cs-CZ"/>
    </w:rPr>
  </w:style>
  <w:style w:type="paragraph" w:styleId="TOCHeading">
    <w:name w:val="TOC Heading"/>
    <w:basedOn w:val="Heading1"/>
    <w:next w:val="Normal"/>
    <w:uiPriority w:val="39"/>
    <w:qFormat/>
    <w:rsid w:val="001E5A75"/>
    <w:pPr>
      <w:keepLines/>
      <w:spacing w:before="480" w:line="311" w:lineRule="auto"/>
      <w:outlineLvl w:val="9"/>
    </w:pPr>
    <w:rPr>
      <w:rFonts w:ascii="Arial" w:hAnsi="Arial"/>
      <w:bCs/>
      <w:color w:val="4B67A3"/>
      <w:szCs w:val="28"/>
    </w:rPr>
  </w:style>
  <w:style w:type="paragraph" w:styleId="EndnoteText">
    <w:name w:val="endnote text"/>
    <w:basedOn w:val="Normal"/>
    <w:link w:val="EndnoteTextChar"/>
    <w:uiPriority w:val="1"/>
    <w:rsid w:val="001E5A75"/>
    <w:pPr>
      <w:spacing w:line="180" w:lineRule="exact"/>
      <w:ind w:left="142" w:hanging="142"/>
    </w:pPr>
    <w:rPr>
      <w:sz w:val="16"/>
    </w:rPr>
  </w:style>
  <w:style w:type="character" w:customStyle="1" w:styleId="EndnoteTextChar">
    <w:name w:val="Endnote Text Char"/>
    <w:link w:val="EndnoteText"/>
    <w:uiPriority w:val="1"/>
    <w:rsid w:val="001E5A75"/>
    <w:rPr>
      <w:rFonts w:ascii="Arial" w:hAnsi="Arial"/>
      <w:sz w:val="16"/>
      <w:szCs w:val="20"/>
      <w:lang w:eastAsia="cs-CZ"/>
    </w:rPr>
  </w:style>
  <w:style w:type="character" w:styleId="EndnoteReference">
    <w:name w:val="endnote reference"/>
    <w:uiPriority w:val="1"/>
    <w:rsid w:val="001E5A75"/>
    <w:rPr>
      <w:rFonts w:ascii="Arial" w:hAnsi="Arial"/>
      <w:color w:val="auto"/>
      <w:position w:val="4"/>
      <w:sz w:val="12"/>
      <w:vertAlign w:val="baseline"/>
    </w:rPr>
  </w:style>
  <w:style w:type="character" w:customStyle="1" w:styleId="Heading3Char">
    <w:name w:val="Heading 3 Char"/>
    <w:uiPriority w:val="99"/>
    <w:locked/>
    <w:rsid w:val="00884FEB"/>
    <w:rPr>
      <w:rFonts w:cs="Times New Roman"/>
      <w:sz w:val="24"/>
      <w:szCs w:val="24"/>
      <w:lang w:val="cs-CZ" w:eastAsia="cs-CZ"/>
    </w:rPr>
  </w:style>
  <w:style w:type="paragraph" w:customStyle="1" w:styleId="Ballontekst">
    <w:name w:val="Ballontekst"/>
    <w:basedOn w:val="Normal"/>
    <w:uiPriority w:val="99"/>
    <w:semiHidden/>
    <w:rsid w:val="00884FEB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rsid w:val="00884FEB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884FEB"/>
    <w:rPr>
      <w:szCs w:val="20"/>
    </w:rPr>
  </w:style>
  <w:style w:type="character" w:customStyle="1" w:styleId="CommentTextChar">
    <w:name w:val="Comment Text Char"/>
    <w:link w:val="CommentText"/>
    <w:uiPriority w:val="99"/>
    <w:rsid w:val="00884FEB"/>
    <w:rPr>
      <w:rFonts w:ascii="Verdana" w:eastAsia="Times New Roman" w:hAnsi="Verdana" w:cs="Times New Roman"/>
      <w:sz w:val="20"/>
      <w:szCs w:val="20"/>
      <w:lang w:val="cs-CZ"/>
    </w:rPr>
  </w:style>
  <w:style w:type="paragraph" w:customStyle="1" w:styleId="Onderwerpvanopmerking">
    <w:name w:val="Onderwerp van opmerking"/>
    <w:basedOn w:val="CommentText"/>
    <w:next w:val="CommentText"/>
    <w:uiPriority w:val="99"/>
    <w:semiHidden/>
    <w:rsid w:val="00884FEB"/>
    <w:rPr>
      <w:b/>
      <w:bCs/>
    </w:rPr>
  </w:style>
  <w:style w:type="character" w:styleId="FollowedHyperlink">
    <w:name w:val="FollowedHyperlink"/>
    <w:uiPriority w:val="99"/>
    <w:rsid w:val="00884FEB"/>
    <w:rPr>
      <w:rFonts w:cs="Times New Roman"/>
      <w:color w:val="606420"/>
      <w:u w:val="single"/>
    </w:rPr>
  </w:style>
  <w:style w:type="paragraph" w:styleId="BalloonText">
    <w:name w:val="Balloon Text"/>
    <w:basedOn w:val="Normal"/>
    <w:link w:val="BalloonTextChar"/>
    <w:uiPriority w:val="99"/>
    <w:rsid w:val="00884FE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rsid w:val="00884FEB"/>
    <w:rPr>
      <w:rFonts w:ascii="Tahoma" w:eastAsia="Times New Roman" w:hAnsi="Tahoma" w:cs="Tahoma"/>
      <w:sz w:val="16"/>
      <w:szCs w:val="16"/>
      <w:lang w:val="cs-CZ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884FEB"/>
    <w:rPr>
      <w:b/>
      <w:bCs/>
    </w:rPr>
  </w:style>
  <w:style w:type="character" w:customStyle="1" w:styleId="CommentSubjectChar">
    <w:name w:val="Comment Subject Char"/>
    <w:link w:val="CommentSubject"/>
    <w:uiPriority w:val="99"/>
    <w:rsid w:val="00884FEB"/>
    <w:rPr>
      <w:rFonts w:ascii="Verdana" w:eastAsia="Times New Roman" w:hAnsi="Verdana" w:cs="Times New Roman"/>
      <w:b/>
      <w:bCs/>
      <w:sz w:val="20"/>
      <w:szCs w:val="20"/>
      <w:lang w:val="cs-CZ"/>
    </w:rPr>
  </w:style>
  <w:style w:type="table" w:styleId="TableGrid">
    <w:name w:val="Table Grid"/>
    <w:aliases w:val="Tabla CUADROS"/>
    <w:basedOn w:val="TableNormal"/>
    <w:uiPriority w:val="59"/>
    <w:rsid w:val="00884FE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rmatvorlageberschrift4">
    <w:name w:val="Formatvorlage Überschrift 4"/>
    <w:basedOn w:val="Heading4"/>
    <w:link w:val="Formatvorlageberschrift4Char"/>
    <w:uiPriority w:val="99"/>
    <w:rsid w:val="00884FEB"/>
    <w:pPr>
      <w:spacing w:before="240" w:after="60"/>
    </w:pPr>
    <w:rPr>
      <w:iCs/>
      <w:szCs w:val="28"/>
    </w:rPr>
  </w:style>
  <w:style w:type="character" w:customStyle="1" w:styleId="Formatvorlageberschrift4Char">
    <w:name w:val="Formatvorlage Überschrift 4 Char"/>
    <w:link w:val="Formatvorlageberschrift4"/>
    <w:uiPriority w:val="99"/>
    <w:locked/>
    <w:rsid w:val="00884FEB"/>
    <w:rPr>
      <w:rFonts w:ascii="Verdana" w:eastAsia="Times New Roman" w:hAnsi="Verdana"/>
      <w:b/>
      <w:iCs/>
      <w:szCs w:val="28"/>
      <w:u w:val="single"/>
      <w:lang w:eastAsia="cs-CZ"/>
    </w:rPr>
  </w:style>
  <w:style w:type="paragraph" w:customStyle="1" w:styleId="Instructionsberschrift1">
    <w:name w:val="Instructions Überschrift 1"/>
    <w:basedOn w:val="Heading1"/>
    <w:rsid w:val="00884FEB"/>
    <w:pPr>
      <w:tabs>
        <w:tab w:val="num" w:pos="540"/>
      </w:tabs>
      <w:spacing w:before="240"/>
      <w:ind w:left="540" w:hanging="540"/>
    </w:pPr>
    <w:rPr>
      <w:b w:val="0"/>
      <w:kern w:val="32"/>
    </w:rPr>
  </w:style>
  <w:style w:type="paragraph" w:customStyle="1" w:styleId="Instructionsberschrift2">
    <w:name w:val="Instructions Überschrift 2"/>
    <w:basedOn w:val="Heading2"/>
    <w:rsid w:val="008C122C"/>
    <w:pPr>
      <w:numPr>
        <w:numId w:val="13"/>
      </w:numPr>
      <w:spacing w:after="240"/>
    </w:pPr>
    <w:rPr>
      <w:rFonts w:cs="Arial"/>
      <w:b w:val="0"/>
      <w:sz w:val="20"/>
      <w:u w:val="single"/>
    </w:rPr>
  </w:style>
  <w:style w:type="paragraph" w:customStyle="1" w:styleId="Instructionsberschrift3">
    <w:name w:val="Instructions Überschrift 3"/>
    <w:basedOn w:val="Heading3"/>
    <w:link w:val="Instructionsberschrift3Zchn"/>
    <w:rsid w:val="006746DB"/>
    <w:pPr>
      <w:numPr>
        <w:numId w:val="14"/>
      </w:numPr>
      <w:spacing w:before="240" w:after="60" w:line="360" w:lineRule="auto"/>
    </w:pPr>
    <w:rPr>
      <w:rFonts w:cs="Arial"/>
      <w:b w:val="0"/>
      <w:szCs w:val="26"/>
      <w:u w:val="single"/>
    </w:rPr>
  </w:style>
  <w:style w:type="character" w:customStyle="1" w:styleId="Instructionsberschrift3Zchn">
    <w:name w:val="Instructions Überschrift 3 Zchn"/>
    <w:link w:val="Instructionsberschrift3"/>
    <w:locked/>
    <w:rsid w:val="006746DB"/>
    <w:rPr>
      <w:rFonts w:ascii="Verdana" w:eastAsia="Times New Roman" w:hAnsi="Verdana" w:cs="Arial"/>
      <w:b/>
      <w:szCs w:val="26"/>
      <w:u w:val="single"/>
      <w:lang w:eastAsia="cs-CZ"/>
    </w:rPr>
  </w:style>
  <w:style w:type="paragraph" w:customStyle="1" w:styleId="Instructionsberschrift4">
    <w:name w:val="Instructions Überschrift 4"/>
    <w:basedOn w:val="Heading4"/>
    <w:next w:val="InstructionsText"/>
    <w:link w:val="Instructionsberschrift4Char"/>
    <w:uiPriority w:val="99"/>
    <w:rsid w:val="00884FEB"/>
    <w:pPr>
      <w:tabs>
        <w:tab w:val="left" w:pos="1520"/>
      </w:tabs>
      <w:autoSpaceDE w:val="0"/>
      <w:autoSpaceDN w:val="0"/>
      <w:adjustRightInd w:val="0"/>
      <w:spacing w:before="240" w:after="240"/>
      <w:ind w:left="970" w:hanging="970"/>
    </w:pPr>
    <w:rPr>
      <w:bCs/>
    </w:rPr>
  </w:style>
  <w:style w:type="paragraph" w:customStyle="1" w:styleId="InstructionsText">
    <w:name w:val="Instructions Text"/>
    <w:basedOn w:val="Normal"/>
    <w:link w:val="InstructionsTextChar"/>
    <w:autoRedefine/>
    <w:rsid w:val="0039317F"/>
    <w:pPr>
      <w:tabs>
        <w:tab w:val="left" w:pos="477"/>
      </w:tabs>
      <w:spacing w:before="0" w:after="0"/>
    </w:pPr>
    <w:rPr>
      <w:rFonts w:ascii="Times New Roman" w:hAnsi="Times New Roman"/>
      <w:sz w:val="24"/>
    </w:rPr>
  </w:style>
  <w:style w:type="character" w:customStyle="1" w:styleId="Instructionsberschrift4Char">
    <w:name w:val="Instructions Überschrift 4 Char"/>
    <w:link w:val="Instructionsberschrift4"/>
    <w:uiPriority w:val="99"/>
    <w:locked/>
    <w:rsid w:val="00884FEB"/>
    <w:rPr>
      <w:rFonts w:ascii="Verdana" w:eastAsia="Times New Roman" w:hAnsi="Verdana"/>
      <w:b/>
      <w:bCs/>
      <w:szCs w:val="24"/>
      <w:u w:val="single"/>
      <w:lang w:eastAsia="cs-CZ"/>
    </w:rPr>
  </w:style>
  <w:style w:type="character" w:customStyle="1" w:styleId="InstructionsTabelleberschrift">
    <w:name w:val="Instructions Tabelle Überschrift"/>
    <w:qFormat/>
    <w:rsid w:val="00884FEB"/>
    <w:rPr>
      <w:rFonts w:ascii="Verdana" w:hAnsi="Verdana" w:cs="Times New Roman"/>
      <w:b/>
      <w:bCs/>
      <w:sz w:val="20"/>
      <w:u w:val="single"/>
    </w:rPr>
  </w:style>
  <w:style w:type="character" w:customStyle="1" w:styleId="InstructionsTabelleText">
    <w:name w:val="Instructions Tabelle Text"/>
    <w:rsid w:val="00884FEB"/>
    <w:rPr>
      <w:rFonts w:ascii="Verdana" w:hAnsi="Verdana" w:cs="Times New Roman"/>
      <w:sz w:val="20"/>
    </w:rPr>
  </w:style>
  <w:style w:type="character" w:customStyle="1" w:styleId="FormatvorlageInstructionsTabelleText">
    <w:name w:val="Formatvorlage Instructions Tabelle Text"/>
    <w:uiPriority w:val="99"/>
    <w:qFormat/>
    <w:rsid w:val="00974222"/>
    <w:rPr>
      <w:rFonts w:ascii="Verdana" w:hAnsi="Verdana" w:cs="Times New Roman"/>
      <w:bCs/>
      <w:sz w:val="20"/>
      <w:u w:val="none"/>
    </w:rPr>
  </w:style>
  <w:style w:type="paragraph" w:customStyle="1" w:styleId="FormatvorlageInstructionsberschrift3Links0cmErsteZeile0cm">
    <w:name w:val="Formatvorlage Instructions Überschrift 3 + Links:  0 cm Erste Zeile:  0 cm"/>
    <w:basedOn w:val="Instructionsberschrift3"/>
    <w:next w:val="Instructionsberschrift3"/>
    <w:uiPriority w:val="99"/>
    <w:rsid w:val="00884FEB"/>
    <w:pPr>
      <w:ind w:left="0" w:firstLine="0"/>
    </w:pPr>
    <w:rPr>
      <w:rFonts w:cs="Times New Roman"/>
      <w:szCs w:val="20"/>
    </w:rPr>
  </w:style>
  <w:style w:type="paragraph" w:customStyle="1" w:styleId="Texte2">
    <w:name w:val="Texte 2"/>
    <w:basedOn w:val="Normal"/>
    <w:uiPriority w:val="99"/>
    <w:rsid w:val="00884FEB"/>
    <w:pPr>
      <w:spacing w:after="0"/>
      <w:ind w:left="567"/>
    </w:pPr>
    <w:rPr>
      <w:sz w:val="22"/>
      <w:szCs w:val="20"/>
    </w:rPr>
  </w:style>
  <w:style w:type="paragraph" w:customStyle="1" w:styleId="Prrafodelista1">
    <w:name w:val="Párrafo de lista1"/>
    <w:basedOn w:val="Normal"/>
    <w:uiPriority w:val="99"/>
    <w:rsid w:val="00884FEB"/>
    <w:pPr>
      <w:ind w:left="720"/>
    </w:pPr>
  </w:style>
  <w:style w:type="paragraph" w:customStyle="1" w:styleId="Prrafodelista2">
    <w:name w:val="Párrafo de lista2"/>
    <w:basedOn w:val="Normal"/>
    <w:uiPriority w:val="99"/>
    <w:rsid w:val="00884FEB"/>
    <w:pPr>
      <w:ind w:left="708"/>
    </w:pPr>
  </w:style>
  <w:style w:type="paragraph" w:styleId="PlainText">
    <w:name w:val="Plain Text"/>
    <w:basedOn w:val="Normal"/>
    <w:link w:val="PlainTextChar"/>
    <w:uiPriority w:val="99"/>
    <w:rsid w:val="00884FEB"/>
    <w:pPr>
      <w:spacing w:before="0" w:after="0"/>
      <w:jc w:val="left"/>
    </w:pPr>
    <w:rPr>
      <w:szCs w:val="20"/>
    </w:rPr>
  </w:style>
  <w:style w:type="character" w:customStyle="1" w:styleId="PlainTextChar">
    <w:name w:val="Plain Text Char"/>
    <w:link w:val="PlainText"/>
    <w:uiPriority w:val="99"/>
    <w:rsid w:val="00884FEB"/>
    <w:rPr>
      <w:rFonts w:ascii="Verdana" w:eastAsia="Times New Roman" w:hAnsi="Verdana" w:cs="Times New Roman"/>
      <w:sz w:val="20"/>
      <w:szCs w:val="20"/>
      <w:lang w:val="cs-CZ" w:eastAsia="cs-CZ"/>
    </w:rPr>
  </w:style>
  <w:style w:type="paragraph" w:customStyle="1" w:styleId="Listenabsatz1">
    <w:name w:val="Listenabsatz1"/>
    <w:basedOn w:val="Normal"/>
    <w:uiPriority w:val="99"/>
    <w:rsid w:val="00884FEB"/>
    <w:pPr>
      <w:ind w:left="708"/>
    </w:pPr>
  </w:style>
  <w:style w:type="character" w:customStyle="1" w:styleId="InstructionsTextChar">
    <w:name w:val="Instructions Text Char"/>
    <w:link w:val="InstructionsText"/>
    <w:locked/>
    <w:rsid w:val="0039317F"/>
    <w:rPr>
      <w:rFonts w:ascii="Times New Roman" w:eastAsia="Times New Roman" w:hAnsi="Times New Roman"/>
      <w:sz w:val="24"/>
      <w:szCs w:val="24"/>
      <w:lang w:eastAsia="cs-CZ"/>
    </w:rPr>
  </w:style>
  <w:style w:type="paragraph" w:styleId="Revision">
    <w:name w:val="Revision"/>
    <w:hidden/>
    <w:uiPriority w:val="99"/>
    <w:semiHidden/>
    <w:rsid w:val="00884FEB"/>
    <w:rPr>
      <w:rFonts w:ascii="Verdana" w:eastAsia="Times New Roman" w:hAnsi="Verdana"/>
      <w:szCs w:val="24"/>
    </w:rPr>
  </w:style>
  <w:style w:type="paragraph" w:styleId="ListParagraph">
    <w:name w:val="List Paragraph"/>
    <w:basedOn w:val="Normal"/>
    <w:uiPriority w:val="34"/>
    <w:qFormat/>
    <w:rsid w:val="00884FEB"/>
    <w:pPr>
      <w:ind w:left="708"/>
    </w:pPr>
  </w:style>
  <w:style w:type="character" w:styleId="PlaceholderText">
    <w:name w:val="Placeholder Text"/>
    <w:uiPriority w:val="99"/>
    <w:semiHidden/>
    <w:rsid w:val="00D946DB"/>
    <w:rPr>
      <w:color w:val="808080"/>
    </w:rPr>
  </w:style>
  <w:style w:type="paragraph" w:customStyle="1" w:styleId="InstructionsText2">
    <w:name w:val="Instructions Text 2"/>
    <w:basedOn w:val="InstructionsText"/>
    <w:qFormat/>
    <w:rsid w:val="00F620A2"/>
    <w:pPr>
      <w:numPr>
        <w:numId w:val="15"/>
      </w:numPr>
      <w:spacing w:after="240"/>
    </w:pPr>
  </w:style>
  <w:style w:type="character" w:customStyle="1" w:styleId="Instructionsberschrift3Char">
    <w:name w:val="Instructions Überschrift 3 Char"/>
    <w:locked/>
    <w:rsid w:val="003B3DBB"/>
    <w:rPr>
      <w:rFonts w:ascii="Verdana" w:hAnsi="Verdana" w:cs="Arial"/>
      <w:b/>
      <w:bCs/>
      <w:szCs w:val="26"/>
      <w:u w:val="single"/>
      <w:lang w:val="cs-CZ" w:eastAsia="cs-CZ" w:bidi="cs-CZ"/>
    </w:rPr>
  </w:style>
  <w:style w:type="paragraph" w:customStyle="1" w:styleId="CM4">
    <w:name w:val="CM4"/>
    <w:basedOn w:val="Normal"/>
    <w:next w:val="Normal"/>
    <w:uiPriority w:val="99"/>
    <w:rsid w:val="008815DE"/>
    <w:pPr>
      <w:autoSpaceDE w:val="0"/>
      <w:autoSpaceDN w:val="0"/>
      <w:adjustRightInd w:val="0"/>
      <w:spacing w:before="0" w:after="0"/>
      <w:jc w:val="left"/>
    </w:pPr>
    <w:rPr>
      <w:rFonts w:ascii="Times New Roman" w:eastAsia="Arial" w:hAnsi="Times New Roman"/>
      <w:sz w:val="24"/>
    </w:rPr>
  </w:style>
  <w:style w:type="numbering" w:customStyle="1" w:styleId="Formatvorlage3">
    <w:name w:val="Formatvorlage3"/>
    <w:uiPriority w:val="99"/>
    <w:rsid w:val="00DE0962"/>
    <w:pPr>
      <w:numPr>
        <w:numId w:val="16"/>
      </w:numPr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88630E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88630E"/>
    <w:rPr>
      <w:rFonts w:ascii="Tahoma" w:eastAsia="Times New Roman" w:hAnsi="Tahoma" w:cs="Tahoma"/>
      <w:sz w:val="16"/>
      <w:szCs w:val="16"/>
      <w:lang w:val="cs-CZ"/>
    </w:rPr>
  </w:style>
  <w:style w:type="numbering" w:customStyle="1" w:styleId="Formatvorlage4">
    <w:name w:val="Formatvorlage4"/>
    <w:uiPriority w:val="99"/>
    <w:rsid w:val="00FB1D44"/>
    <w:pPr>
      <w:numPr>
        <w:numId w:val="18"/>
      </w:numPr>
    </w:pPr>
  </w:style>
  <w:style w:type="paragraph" w:customStyle="1" w:styleId="Titrearticle">
    <w:name w:val="Titre article"/>
    <w:basedOn w:val="Normal"/>
    <w:next w:val="Normal"/>
    <w:rsid w:val="00C87CEE"/>
    <w:pPr>
      <w:keepNext/>
      <w:spacing w:before="360"/>
      <w:jc w:val="center"/>
    </w:pPr>
    <w:rPr>
      <w:rFonts w:ascii="Times New Roman" w:hAnsi="Times New Roman"/>
      <w:i/>
      <w:sz w:val="24"/>
    </w:rPr>
  </w:style>
  <w:style w:type="paragraph" w:customStyle="1" w:styleId="Baseparagraphnumbered">
    <w:name w:val="Base paragraph numbered"/>
    <w:basedOn w:val="Normal"/>
    <w:link w:val="BaseparagraphnumberedChar"/>
    <w:qFormat/>
    <w:rsid w:val="00C87CEE"/>
    <w:pPr>
      <w:numPr>
        <w:numId w:val="19"/>
      </w:numPr>
      <w:spacing w:before="0" w:after="240"/>
    </w:pPr>
    <w:rPr>
      <w:rFonts w:ascii="Times New Roman" w:hAnsi="Times New Roman"/>
      <w:sz w:val="24"/>
    </w:rPr>
  </w:style>
  <w:style w:type="character" w:customStyle="1" w:styleId="BaseparagraphnumberedChar">
    <w:name w:val="Base paragraph numbered Char"/>
    <w:link w:val="Baseparagraphnumbered"/>
    <w:rsid w:val="00C87CEE"/>
    <w:rPr>
      <w:rFonts w:ascii="Times New Roman" w:eastAsia="Times New Roman" w:hAnsi="Times New Roman"/>
      <w:sz w:val="24"/>
      <w:szCs w:val="24"/>
    </w:rPr>
  </w:style>
  <w:style w:type="character" w:customStyle="1" w:styleId="style461">
    <w:name w:val="style461"/>
    <w:rsid w:val="00600198"/>
    <w:rPr>
      <w:color w:val="FF5A00"/>
    </w:rPr>
  </w:style>
  <w:style w:type="paragraph" w:customStyle="1" w:styleId="Default">
    <w:name w:val="Default"/>
    <w:rsid w:val="004675B7"/>
    <w:pPr>
      <w:autoSpaceDE w:val="0"/>
      <w:autoSpaceDN w:val="0"/>
      <w:adjustRightInd w:val="0"/>
    </w:pPr>
    <w:rPr>
      <w:rFonts w:ascii="Verdana" w:eastAsia="Calibri" w:hAnsi="Verdana" w:cs="Verdan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50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89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1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35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3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0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3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9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15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59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4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microsoft.com/office/2007/relationships/stylesWithEffects" Target="stylesWithEffect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94C6C1-A5D9-4E12-94F7-B313775C3D6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A322B33-18EF-4C61-A182-5CEA74B17A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18</Pages>
  <Words>5070</Words>
  <Characters>28699</Characters>
  <Application>Microsoft Office Word</Application>
  <DocSecurity>0</DocSecurity>
  <Lines>925</Lines>
  <Paragraphs>462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Banking Authority</Company>
  <LinksUpToDate>false</LinksUpToDate>
  <CharactersWithSpaces>33307</CharactersWithSpaces>
  <SharedDoc>false</SharedDoc>
  <HLinks>
    <vt:vector size="108" baseType="variant">
      <vt:variant>
        <vt:i4>1900607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_Toc393461968</vt:lpwstr>
      </vt:variant>
      <vt:variant>
        <vt:i4>1900607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_Toc393461967</vt:lpwstr>
      </vt:variant>
      <vt:variant>
        <vt:i4>1900607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_Toc393461966</vt:lpwstr>
      </vt:variant>
      <vt:variant>
        <vt:i4>1900607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_Toc393461965</vt:lpwstr>
      </vt:variant>
      <vt:variant>
        <vt:i4>1900607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_Toc393461964</vt:lpwstr>
      </vt:variant>
      <vt:variant>
        <vt:i4>1900607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_Toc393461963</vt:lpwstr>
      </vt:variant>
      <vt:variant>
        <vt:i4>1900607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_Toc393461962</vt:lpwstr>
      </vt:variant>
      <vt:variant>
        <vt:i4>1900607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_Toc393461961</vt:lpwstr>
      </vt:variant>
      <vt:variant>
        <vt:i4>1900607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_Toc393461960</vt:lpwstr>
      </vt:variant>
      <vt:variant>
        <vt:i4>1966143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_Toc393461959</vt:lpwstr>
      </vt:variant>
      <vt:variant>
        <vt:i4>1966143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_Toc393461958</vt:lpwstr>
      </vt:variant>
      <vt:variant>
        <vt:i4>1966143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_Toc393461957</vt:lpwstr>
      </vt:variant>
      <vt:variant>
        <vt:i4>1966143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_Toc393461956</vt:lpwstr>
      </vt:variant>
      <vt:variant>
        <vt:i4>1966143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_Toc393461955</vt:lpwstr>
      </vt:variant>
      <vt:variant>
        <vt:i4>1966143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_Toc393461954</vt:lpwstr>
      </vt:variant>
      <vt:variant>
        <vt:i4>1966143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_Toc393461953</vt:lpwstr>
      </vt:variant>
      <vt:variant>
        <vt:i4>1966143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_Toc393461952</vt:lpwstr>
      </vt:variant>
      <vt:variant>
        <vt:i4>1966143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_Toc393461951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EBA staff</dc:creator>
  <cp:lastModifiedBy>BROZ Jindrich (DGT-EXT)</cp:lastModifiedBy>
  <cp:revision>9</cp:revision>
  <dcterms:created xsi:type="dcterms:W3CDTF">2018-06-13T13:34:00Z</dcterms:created>
  <dcterms:modified xsi:type="dcterms:W3CDTF">2018-09-07T09:14:00Z</dcterms:modified>
</cp:coreProperties>
</file>