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ED4583" w:rsidRDefault="008934A4" w:rsidP="00A15D28">
      <w:pPr>
        <w:jc w:val="center"/>
        <w:rPr>
          <w:rFonts w:ascii="Times New Roman" w:hAnsi="Times New Roman"/>
          <w:b/>
          <w:sz w:val="24"/>
          <w:szCs w:val="24"/>
        </w:rPr>
      </w:pPr>
      <w:r w:rsidRPr="00ED4583">
        <w:rPr>
          <w:rFonts w:ascii="Times New Roman" w:hAnsi="Times New Roman"/>
          <w:b/>
          <w:sz w:val="24"/>
        </w:rPr>
        <w:t>SK</w:t>
      </w:r>
      <w:bookmarkStart w:id="0" w:name="_GoBack"/>
      <w:bookmarkEnd w:id="0"/>
    </w:p>
    <w:p w:rsidR="008934A4" w:rsidRPr="00ED4583" w:rsidRDefault="008934A4" w:rsidP="00A15D28">
      <w:pPr>
        <w:jc w:val="center"/>
        <w:rPr>
          <w:rFonts w:ascii="Times New Roman" w:hAnsi="Times New Roman"/>
          <w:b/>
          <w:sz w:val="24"/>
          <w:szCs w:val="24"/>
        </w:rPr>
      </w:pPr>
      <w:r w:rsidRPr="00ED4583">
        <w:rPr>
          <w:rFonts w:ascii="Times New Roman" w:hAnsi="Times New Roman"/>
          <w:b/>
          <w:sz w:val="24"/>
        </w:rPr>
        <w:t>PRÍLOHA V</w:t>
      </w:r>
    </w:p>
    <w:p w:rsidR="001F0676" w:rsidRPr="004E4BE4" w:rsidRDefault="001F0676" w:rsidP="00A15D28">
      <w:pPr>
        <w:jc w:val="center"/>
        <w:rPr>
          <w:rFonts w:ascii="Times New Roman" w:hAnsi="Times New Roman"/>
          <w:sz w:val="24"/>
          <w:szCs w:val="24"/>
        </w:rPr>
      </w:pPr>
    </w:p>
    <w:p w:rsidR="00BB7DB0" w:rsidRPr="004E4BE4" w:rsidRDefault="00BB7DB0" w:rsidP="00A15D28">
      <w:pPr>
        <w:jc w:val="center"/>
        <w:rPr>
          <w:rFonts w:ascii="Times New Roman" w:hAnsi="Times New Roman"/>
          <w:sz w:val="24"/>
          <w:szCs w:val="24"/>
        </w:rPr>
      </w:pPr>
    </w:p>
    <w:p w:rsidR="001807E9" w:rsidRPr="004E4BE4" w:rsidRDefault="001807E9" w:rsidP="00A15D28">
      <w:pPr>
        <w:jc w:val="center"/>
        <w:rPr>
          <w:rFonts w:ascii="Times New Roman" w:hAnsi="Times New Roman"/>
          <w:sz w:val="24"/>
          <w:szCs w:val="24"/>
        </w:rPr>
      </w:pPr>
    </w:p>
    <w:p w:rsidR="00A15D28" w:rsidRPr="00040D93" w:rsidRDefault="00A15D28" w:rsidP="00A15D28">
      <w:pPr>
        <w:jc w:val="center"/>
        <w:rPr>
          <w:rFonts w:ascii="Times New Roman" w:hAnsi="Times New Roman"/>
          <w:sz w:val="28"/>
          <w:szCs w:val="28"/>
          <w:u w:val="single"/>
        </w:rPr>
      </w:pPr>
      <w:r w:rsidRPr="00040D93">
        <w:rPr>
          <w:rFonts w:ascii="Times New Roman" w:hAnsi="Times New Roman"/>
          <w:b/>
          <w:sz w:val="24"/>
          <w:u w:val="single"/>
        </w:rPr>
        <w:t>„PRÍLOHA XI</w:t>
      </w:r>
    </w:p>
    <w:p w:rsidR="00A15D28" w:rsidRPr="004E4BE4" w:rsidRDefault="00A15D28" w:rsidP="00A15D28">
      <w:pPr>
        <w:jc w:val="center"/>
        <w:rPr>
          <w:rFonts w:ascii="Times New Roman" w:hAnsi="Times New Roman"/>
        </w:rPr>
      </w:pPr>
      <w:r w:rsidRPr="00ED4583">
        <w:rPr>
          <w:rFonts w:ascii="Times New Roman" w:hAnsi="Times New Roman"/>
          <w:b/>
          <w:sz w:val="24"/>
        </w:rPr>
        <w:t>VYKAZOVANIE FINANČNEJ PÁKY</w:t>
      </w:r>
    </w:p>
    <w:p w:rsidR="00F4754B" w:rsidRPr="004E4BE4" w:rsidRDefault="00F4754B" w:rsidP="00F4754B">
      <w:pPr>
        <w:pStyle w:val="BodyText1"/>
        <w:rPr>
          <w:rFonts w:ascii="Times New Roman" w:hAnsi="Times New Roman"/>
        </w:rPr>
      </w:pPr>
    </w:p>
    <w:p w:rsidR="00A15D28" w:rsidRPr="004E4BE4" w:rsidRDefault="00A15D28" w:rsidP="00F4754B">
      <w:pPr>
        <w:pStyle w:val="BodyText1"/>
        <w:rPr>
          <w:rFonts w:ascii="Times New Roman" w:hAnsi="Times New Roman"/>
        </w:rPr>
      </w:pPr>
    </w:p>
    <w:p w:rsidR="00F4754B" w:rsidRPr="004E4BE4" w:rsidRDefault="00F4754B" w:rsidP="00F4754B">
      <w:pPr>
        <w:pStyle w:val="BodyText1"/>
        <w:rPr>
          <w:rFonts w:ascii="Times New Roman" w:hAnsi="Times New Roman"/>
        </w:rPr>
      </w:pPr>
    </w:p>
    <w:p w:rsidR="009112BB" w:rsidRPr="004E4BE4" w:rsidRDefault="009112BB" w:rsidP="009112BB">
      <w:pPr>
        <w:pStyle w:val="BodyText1"/>
        <w:ind w:left="720"/>
        <w:rPr>
          <w:rFonts w:ascii="Times New Roman" w:hAnsi="Times New Roman"/>
        </w:rPr>
      </w:pPr>
    </w:p>
    <w:p w:rsidR="00C37CFA" w:rsidRPr="004E4BE4" w:rsidRDefault="00C12EBC">
      <w:pPr>
        <w:pStyle w:val="TOC1"/>
        <w:rPr>
          <w:rFonts w:ascii="Times New Roman" w:eastAsiaTheme="minorEastAsia" w:hAnsi="Times New Roman"/>
          <w:color w:val="auto"/>
          <w:sz w:val="22"/>
          <w:szCs w:val="22"/>
          <w:lang w:eastAsia="en-GB" w:bidi="ar-SA"/>
        </w:rPr>
      </w:pPr>
      <w:r w:rsidRPr="004E4BE4">
        <w:rPr>
          <w:rFonts w:ascii="Times New Roman" w:hAnsi="Times New Roman"/>
          <w:b/>
          <w:noProof w:val="0"/>
        </w:rPr>
        <w:fldChar w:fldCharType="begin"/>
      </w:r>
      <w:r w:rsidR="00391EF9" w:rsidRPr="004E4BE4">
        <w:rPr>
          <w:rFonts w:ascii="Times New Roman" w:hAnsi="Times New Roman"/>
          <w:b/>
          <w:noProof w:val="0"/>
        </w:rPr>
        <w:instrText xml:space="preserve"> TOC \o "1-3" \h \z \u </w:instrText>
      </w:r>
      <w:r w:rsidRPr="004E4BE4">
        <w:rPr>
          <w:rFonts w:ascii="Times New Roman" w:hAnsi="Times New Roman"/>
          <w:b/>
          <w:noProof w:val="0"/>
        </w:rPr>
        <w:fldChar w:fldCharType="separate"/>
      </w:r>
      <w:hyperlink w:anchor="_Toc524086713" w:history="1">
        <w:r w:rsidR="00C37CFA" w:rsidRPr="00ED4583">
          <w:rPr>
            <w:rStyle w:val="Hyperlink"/>
            <w:rFonts w:ascii="Times New Roman" w:hAnsi="Times New Roman"/>
            <w:b/>
          </w:rPr>
          <w:t>ČASŤ I: VŠEOBECNÉ POKYNY</w:t>
        </w:r>
        <w:r w:rsidR="00C37CFA" w:rsidRPr="004E4BE4">
          <w:rPr>
            <w:rFonts w:ascii="Times New Roman" w:hAnsi="Times New Roman"/>
            <w:webHidden/>
          </w:rPr>
          <w:tab/>
        </w:r>
        <w:r w:rsidR="00C37CFA" w:rsidRPr="004E4BE4">
          <w:rPr>
            <w:rFonts w:ascii="Times New Roman" w:hAnsi="Times New Roman"/>
            <w:webHidden/>
          </w:rPr>
          <w:fldChar w:fldCharType="begin"/>
        </w:r>
        <w:r w:rsidR="00C37CFA" w:rsidRPr="004E4BE4">
          <w:rPr>
            <w:rFonts w:ascii="Times New Roman" w:hAnsi="Times New Roman"/>
            <w:webHidden/>
          </w:rPr>
          <w:instrText xml:space="preserve"> PAGEREF _Toc524086713 \h </w:instrText>
        </w:r>
        <w:r w:rsidR="00C37CFA" w:rsidRPr="004E4BE4">
          <w:rPr>
            <w:rFonts w:ascii="Times New Roman" w:hAnsi="Times New Roman"/>
            <w:webHidden/>
          </w:rPr>
        </w:r>
        <w:r w:rsidR="00C37CFA" w:rsidRPr="004E4BE4">
          <w:rPr>
            <w:rFonts w:ascii="Times New Roman" w:hAnsi="Times New Roman"/>
            <w:webHidden/>
          </w:rPr>
          <w:fldChar w:fldCharType="separate"/>
        </w:r>
        <w:r w:rsidR="00A57AF5">
          <w:rPr>
            <w:rFonts w:ascii="Times New Roman" w:hAnsi="Times New Roman"/>
            <w:webHidden/>
          </w:rPr>
          <w:t>2</w:t>
        </w:r>
        <w:r w:rsidR="00C37CFA" w:rsidRPr="004E4BE4">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14" w:history="1">
        <w:r w:rsidRPr="00ED4583">
          <w:rPr>
            <w:rStyle w:val="Hyperlink"/>
            <w:rFonts w:ascii="Times New Roman" w:hAnsi="Times New Roman"/>
          </w:rPr>
          <w:t>1.</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Označovanie vzorov</w:t>
        </w:r>
        <w:r w:rsidR="004E4BE4" w:rsidRPr="00ED4583">
          <w:rPr>
            <w:rStyle w:val="Hyperlink"/>
            <w:rFonts w:ascii="Times New Roman" w:hAnsi="Times New Roman"/>
          </w:rPr>
          <w:t xml:space="preserve"> a </w:t>
        </w:r>
        <w:r w:rsidRPr="00ED4583">
          <w:rPr>
            <w:rStyle w:val="Hyperlink"/>
            <w:rFonts w:ascii="Times New Roman" w:hAnsi="Times New Roman"/>
          </w:rPr>
          <w:t>iné pravidlá</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_Toc524086714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2</w:t>
        </w:r>
        <w:r w:rsidRPr="00ED4583">
          <w:rPr>
            <w:rFonts w:ascii="Times New Roman" w:hAnsi="Times New Roman"/>
            <w:webHidden/>
          </w:rPr>
          <w:fldChar w:fldCharType="end"/>
        </w:r>
      </w:hyperlink>
    </w:p>
    <w:p w:rsidR="00C37CFA" w:rsidRPr="004E4BE4" w:rsidRDefault="00C37CFA">
      <w:pPr>
        <w:pStyle w:val="TOC3"/>
        <w:rPr>
          <w:rFonts w:ascii="Times New Roman" w:eastAsiaTheme="minorEastAsia" w:hAnsi="Times New Roman"/>
          <w:smallCaps w:val="0"/>
          <w:sz w:val="22"/>
          <w:szCs w:val="22"/>
          <w:lang w:eastAsia="en-GB" w:bidi="ar-SA"/>
        </w:rPr>
      </w:pPr>
      <w:hyperlink w:anchor="_Toc524086715" w:history="1">
        <w:r w:rsidRPr="00ED4583">
          <w:rPr>
            <w:rStyle w:val="Hyperlink"/>
            <w:rFonts w:ascii="Times New Roman" w:hAnsi="Times New Roman"/>
            <w:b/>
          </w:rPr>
          <w:t>1.1.</w:t>
        </w:r>
        <w:r w:rsidRPr="004E4BE4">
          <w:rPr>
            <w:rFonts w:ascii="Times New Roman" w:eastAsiaTheme="minorEastAsia" w:hAnsi="Times New Roman"/>
            <w:smallCaps w:val="0"/>
            <w:sz w:val="22"/>
            <w:szCs w:val="22"/>
            <w:lang w:eastAsia="en-GB" w:bidi="ar-SA"/>
          </w:rPr>
          <w:tab/>
        </w:r>
        <w:r w:rsidRPr="00ED4583">
          <w:rPr>
            <w:rStyle w:val="Hyperlink"/>
            <w:rFonts w:ascii="Times New Roman" w:hAnsi="Times New Roman"/>
            <w:b/>
          </w:rPr>
          <w:t>Označovanie vzorov</w:t>
        </w:r>
        <w:r w:rsidRPr="004E4BE4">
          <w:rPr>
            <w:rFonts w:ascii="Times New Roman" w:hAnsi="Times New Roman"/>
            <w:webHidden/>
          </w:rPr>
          <w:tab/>
        </w:r>
        <w:r w:rsidRPr="004E4BE4">
          <w:rPr>
            <w:rFonts w:ascii="Times New Roman" w:hAnsi="Times New Roman"/>
            <w:webHidden/>
          </w:rPr>
          <w:fldChar w:fldCharType="begin"/>
        </w:r>
        <w:r w:rsidRPr="004E4BE4">
          <w:rPr>
            <w:rFonts w:ascii="Times New Roman" w:hAnsi="Times New Roman"/>
            <w:webHidden/>
          </w:rPr>
          <w:instrText xml:space="preserve"> PAGEREF _Toc524086715 \h </w:instrText>
        </w:r>
        <w:r w:rsidRPr="004E4BE4">
          <w:rPr>
            <w:rFonts w:ascii="Times New Roman" w:hAnsi="Times New Roman"/>
            <w:webHidden/>
          </w:rPr>
        </w:r>
        <w:r w:rsidRPr="004E4BE4">
          <w:rPr>
            <w:rFonts w:ascii="Times New Roman" w:hAnsi="Times New Roman"/>
            <w:webHidden/>
          </w:rPr>
          <w:fldChar w:fldCharType="separate"/>
        </w:r>
        <w:r w:rsidR="00A57AF5">
          <w:rPr>
            <w:rFonts w:ascii="Times New Roman" w:hAnsi="Times New Roman"/>
            <w:webHidden/>
          </w:rPr>
          <w:t>2</w:t>
        </w:r>
        <w:r w:rsidRPr="004E4BE4">
          <w:rPr>
            <w:rFonts w:ascii="Times New Roman" w:hAnsi="Times New Roman"/>
            <w:webHidden/>
          </w:rPr>
          <w:fldChar w:fldCharType="end"/>
        </w:r>
      </w:hyperlink>
    </w:p>
    <w:p w:rsidR="00C37CFA" w:rsidRPr="004E4BE4" w:rsidRDefault="00C37CFA">
      <w:pPr>
        <w:pStyle w:val="TOC3"/>
        <w:rPr>
          <w:rFonts w:ascii="Times New Roman" w:eastAsiaTheme="minorEastAsia" w:hAnsi="Times New Roman"/>
          <w:smallCaps w:val="0"/>
          <w:sz w:val="22"/>
          <w:szCs w:val="22"/>
          <w:lang w:eastAsia="en-GB" w:bidi="ar-SA"/>
        </w:rPr>
      </w:pPr>
      <w:hyperlink w:anchor="_Toc524086716" w:history="1">
        <w:r w:rsidRPr="00ED4583">
          <w:rPr>
            <w:rStyle w:val="Hyperlink"/>
            <w:rFonts w:ascii="Times New Roman" w:hAnsi="Times New Roman"/>
            <w:b/>
          </w:rPr>
          <w:t>1.2.</w:t>
        </w:r>
        <w:r w:rsidRPr="004E4BE4">
          <w:rPr>
            <w:rFonts w:ascii="Times New Roman" w:eastAsiaTheme="minorEastAsia" w:hAnsi="Times New Roman"/>
            <w:smallCaps w:val="0"/>
            <w:sz w:val="22"/>
            <w:szCs w:val="22"/>
            <w:lang w:eastAsia="en-GB" w:bidi="ar-SA"/>
          </w:rPr>
          <w:tab/>
        </w:r>
        <w:r w:rsidRPr="00ED4583">
          <w:rPr>
            <w:rStyle w:val="Hyperlink"/>
            <w:rFonts w:ascii="Times New Roman" w:hAnsi="Times New Roman"/>
            <w:b/>
          </w:rPr>
          <w:t>Pravidlá číslovania</w:t>
        </w:r>
        <w:r w:rsidRPr="004E4BE4">
          <w:rPr>
            <w:rFonts w:ascii="Times New Roman" w:hAnsi="Times New Roman"/>
            <w:webHidden/>
          </w:rPr>
          <w:tab/>
        </w:r>
        <w:r w:rsidRPr="004E4BE4">
          <w:rPr>
            <w:rFonts w:ascii="Times New Roman" w:hAnsi="Times New Roman"/>
            <w:webHidden/>
          </w:rPr>
          <w:fldChar w:fldCharType="begin"/>
        </w:r>
        <w:r w:rsidRPr="004E4BE4">
          <w:rPr>
            <w:rFonts w:ascii="Times New Roman" w:hAnsi="Times New Roman"/>
            <w:webHidden/>
          </w:rPr>
          <w:instrText xml:space="preserve"> PAGEREF _Toc524086716 \h </w:instrText>
        </w:r>
        <w:r w:rsidRPr="004E4BE4">
          <w:rPr>
            <w:rFonts w:ascii="Times New Roman" w:hAnsi="Times New Roman"/>
            <w:webHidden/>
          </w:rPr>
        </w:r>
        <w:r w:rsidRPr="004E4BE4">
          <w:rPr>
            <w:rFonts w:ascii="Times New Roman" w:hAnsi="Times New Roman"/>
            <w:webHidden/>
          </w:rPr>
          <w:fldChar w:fldCharType="separate"/>
        </w:r>
        <w:r w:rsidR="00A57AF5">
          <w:rPr>
            <w:rFonts w:ascii="Times New Roman" w:hAnsi="Times New Roman"/>
            <w:webHidden/>
          </w:rPr>
          <w:t>2</w:t>
        </w:r>
        <w:r w:rsidRPr="004E4BE4">
          <w:rPr>
            <w:rFonts w:ascii="Times New Roman" w:hAnsi="Times New Roman"/>
            <w:webHidden/>
          </w:rPr>
          <w:fldChar w:fldCharType="end"/>
        </w:r>
      </w:hyperlink>
    </w:p>
    <w:p w:rsidR="00C37CFA" w:rsidRPr="004E4BE4" w:rsidRDefault="00C37CFA">
      <w:pPr>
        <w:pStyle w:val="TOC3"/>
        <w:rPr>
          <w:rFonts w:ascii="Times New Roman" w:eastAsiaTheme="minorEastAsia" w:hAnsi="Times New Roman"/>
          <w:smallCaps w:val="0"/>
          <w:sz w:val="22"/>
          <w:szCs w:val="22"/>
          <w:lang w:eastAsia="en-GB" w:bidi="ar-SA"/>
        </w:rPr>
      </w:pPr>
      <w:hyperlink w:anchor="_Toc524086717" w:history="1">
        <w:r w:rsidRPr="00ED4583">
          <w:rPr>
            <w:rStyle w:val="Hyperlink"/>
            <w:rFonts w:ascii="Times New Roman" w:hAnsi="Times New Roman"/>
            <w:b/>
          </w:rPr>
          <w:t>1.3.</w:t>
        </w:r>
        <w:r w:rsidRPr="004E4BE4">
          <w:rPr>
            <w:rFonts w:ascii="Times New Roman" w:eastAsiaTheme="minorEastAsia" w:hAnsi="Times New Roman"/>
            <w:smallCaps w:val="0"/>
            <w:sz w:val="22"/>
            <w:szCs w:val="22"/>
            <w:lang w:eastAsia="en-GB" w:bidi="ar-SA"/>
          </w:rPr>
          <w:tab/>
        </w:r>
        <w:r w:rsidRPr="00ED4583">
          <w:rPr>
            <w:rStyle w:val="Hyperlink"/>
            <w:rFonts w:ascii="Times New Roman" w:hAnsi="Times New Roman"/>
            <w:b/>
          </w:rPr>
          <w:t>Skratky</w:t>
        </w:r>
        <w:r w:rsidRPr="004E4BE4">
          <w:rPr>
            <w:rFonts w:ascii="Times New Roman" w:hAnsi="Times New Roman"/>
            <w:webHidden/>
          </w:rPr>
          <w:tab/>
        </w:r>
        <w:r w:rsidRPr="004E4BE4">
          <w:rPr>
            <w:rFonts w:ascii="Times New Roman" w:hAnsi="Times New Roman"/>
            <w:webHidden/>
          </w:rPr>
          <w:fldChar w:fldCharType="begin"/>
        </w:r>
        <w:r w:rsidRPr="004E4BE4">
          <w:rPr>
            <w:rFonts w:ascii="Times New Roman" w:hAnsi="Times New Roman"/>
            <w:webHidden/>
          </w:rPr>
          <w:instrText xml:space="preserve"> PAGEREF _Toc524086717 \h </w:instrText>
        </w:r>
        <w:r w:rsidRPr="004E4BE4">
          <w:rPr>
            <w:rFonts w:ascii="Times New Roman" w:hAnsi="Times New Roman"/>
            <w:webHidden/>
          </w:rPr>
        </w:r>
        <w:r w:rsidRPr="004E4BE4">
          <w:rPr>
            <w:rFonts w:ascii="Times New Roman" w:hAnsi="Times New Roman"/>
            <w:webHidden/>
          </w:rPr>
          <w:fldChar w:fldCharType="separate"/>
        </w:r>
        <w:r w:rsidR="00A57AF5">
          <w:rPr>
            <w:rFonts w:ascii="Times New Roman" w:hAnsi="Times New Roman"/>
            <w:webHidden/>
          </w:rPr>
          <w:t>2</w:t>
        </w:r>
        <w:r w:rsidRPr="004E4BE4">
          <w:rPr>
            <w:rFonts w:ascii="Times New Roman" w:hAnsi="Times New Roman"/>
            <w:webHidden/>
          </w:rPr>
          <w:fldChar w:fldCharType="end"/>
        </w:r>
      </w:hyperlink>
    </w:p>
    <w:p w:rsidR="00C37CFA" w:rsidRPr="004E4BE4" w:rsidRDefault="00C37CFA">
      <w:pPr>
        <w:pStyle w:val="TOC3"/>
        <w:rPr>
          <w:rFonts w:ascii="Times New Roman" w:eastAsiaTheme="minorEastAsia" w:hAnsi="Times New Roman"/>
          <w:smallCaps w:val="0"/>
          <w:sz w:val="22"/>
          <w:szCs w:val="22"/>
          <w:lang w:eastAsia="en-GB" w:bidi="ar-SA"/>
        </w:rPr>
      </w:pPr>
      <w:hyperlink w:anchor="_Toc524086718" w:history="1">
        <w:r w:rsidRPr="00ED4583">
          <w:rPr>
            <w:rStyle w:val="Hyperlink"/>
            <w:rFonts w:ascii="Times New Roman" w:hAnsi="Times New Roman"/>
            <w:b/>
          </w:rPr>
          <w:t>1.4.</w:t>
        </w:r>
        <w:r w:rsidRPr="004E4BE4">
          <w:rPr>
            <w:rFonts w:ascii="Times New Roman" w:eastAsiaTheme="minorEastAsia" w:hAnsi="Times New Roman"/>
            <w:smallCaps w:val="0"/>
            <w:sz w:val="22"/>
            <w:szCs w:val="22"/>
            <w:lang w:eastAsia="en-GB" w:bidi="ar-SA"/>
          </w:rPr>
          <w:tab/>
        </w:r>
        <w:r w:rsidRPr="00ED4583">
          <w:rPr>
            <w:rStyle w:val="Hyperlink"/>
            <w:rFonts w:ascii="Times New Roman" w:hAnsi="Times New Roman"/>
            <w:b/>
          </w:rPr>
          <w:t>Pravidlá používania znamienok</w:t>
        </w:r>
        <w:r w:rsidRPr="004E4BE4">
          <w:rPr>
            <w:rFonts w:ascii="Times New Roman" w:hAnsi="Times New Roman"/>
            <w:webHidden/>
          </w:rPr>
          <w:tab/>
        </w:r>
        <w:r w:rsidRPr="004E4BE4">
          <w:rPr>
            <w:rFonts w:ascii="Times New Roman" w:hAnsi="Times New Roman"/>
            <w:webHidden/>
          </w:rPr>
          <w:fldChar w:fldCharType="begin"/>
        </w:r>
        <w:r w:rsidRPr="004E4BE4">
          <w:rPr>
            <w:rFonts w:ascii="Times New Roman" w:hAnsi="Times New Roman"/>
            <w:webHidden/>
          </w:rPr>
          <w:instrText xml:space="preserve"> PAGEREF _Toc524086718 \h </w:instrText>
        </w:r>
        <w:r w:rsidRPr="004E4BE4">
          <w:rPr>
            <w:rFonts w:ascii="Times New Roman" w:hAnsi="Times New Roman"/>
            <w:webHidden/>
          </w:rPr>
        </w:r>
        <w:r w:rsidRPr="004E4BE4">
          <w:rPr>
            <w:rFonts w:ascii="Times New Roman" w:hAnsi="Times New Roman"/>
            <w:webHidden/>
          </w:rPr>
          <w:fldChar w:fldCharType="separate"/>
        </w:r>
        <w:r w:rsidR="00A57AF5">
          <w:rPr>
            <w:rFonts w:ascii="Times New Roman" w:hAnsi="Times New Roman"/>
            <w:webHidden/>
          </w:rPr>
          <w:t>3</w:t>
        </w:r>
        <w:r w:rsidRPr="004E4BE4">
          <w:rPr>
            <w:rFonts w:ascii="Times New Roman" w:hAnsi="Times New Roman"/>
            <w:webHidden/>
          </w:rPr>
          <w:fldChar w:fldCharType="end"/>
        </w:r>
      </w:hyperlink>
    </w:p>
    <w:p w:rsidR="00C37CFA" w:rsidRPr="004E4BE4" w:rsidRDefault="00C37CFA">
      <w:pPr>
        <w:pStyle w:val="TOC1"/>
        <w:rPr>
          <w:rFonts w:ascii="Times New Roman" w:eastAsiaTheme="minorEastAsia" w:hAnsi="Times New Roman"/>
          <w:color w:val="auto"/>
          <w:sz w:val="22"/>
          <w:szCs w:val="22"/>
          <w:lang w:eastAsia="en-GB" w:bidi="ar-SA"/>
        </w:rPr>
      </w:pPr>
      <w:hyperlink w:anchor="_Toc524086719" w:history="1">
        <w:r w:rsidRPr="00ED4583">
          <w:rPr>
            <w:rStyle w:val="Hyperlink"/>
            <w:rFonts w:ascii="Times New Roman" w:hAnsi="Times New Roman"/>
            <w:b/>
          </w:rPr>
          <w:t>ČASŤ II: POKYNY TÝKAJÚCE SA VZOROV</w:t>
        </w:r>
        <w:r w:rsidRPr="004E4BE4">
          <w:rPr>
            <w:rFonts w:ascii="Times New Roman" w:hAnsi="Times New Roman"/>
            <w:webHidden/>
          </w:rPr>
          <w:tab/>
        </w:r>
        <w:r w:rsidRPr="004E4BE4">
          <w:rPr>
            <w:rFonts w:ascii="Times New Roman" w:hAnsi="Times New Roman"/>
            <w:webHidden/>
          </w:rPr>
          <w:fldChar w:fldCharType="begin"/>
        </w:r>
        <w:r w:rsidRPr="004E4BE4">
          <w:rPr>
            <w:rFonts w:ascii="Times New Roman" w:hAnsi="Times New Roman"/>
            <w:webHidden/>
          </w:rPr>
          <w:instrText xml:space="preserve"> PAGEREF _Toc524086719 \h </w:instrText>
        </w:r>
        <w:r w:rsidRPr="004E4BE4">
          <w:rPr>
            <w:rFonts w:ascii="Times New Roman" w:hAnsi="Times New Roman"/>
            <w:webHidden/>
          </w:rPr>
        </w:r>
        <w:r w:rsidRPr="004E4BE4">
          <w:rPr>
            <w:rFonts w:ascii="Times New Roman" w:hAnsi="Times New Roman"/>
            <w:webHidden/>
          </w:rPr>
          <w:fldChar w:fldCharType="separate"/>
        </w:r>
        <w:r w:rsidR="00A57AF5">
          <w:rPr>
            <w:rFonts w:ascii="Times New Roman" w:hAnsi="Times New Roman"/>
            <w:webHidden/>
          </w:rPr>
          <w:t>4</w:t>
        </w:r>
        <w:r w:rsidRPr="004E4BE4">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0" w:history="1">
        <w:r w:rsidRPr="00ED4583">
          <w:rPr>
            <w:rStyle w:val="Hyperlink"/>
            <w:rFonts w:ascii="Times New Roman" w:hAnsi="Times New Roman"/>
          </w:rPr>
          <w:t>1.</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Štruktúra</w:t>
        </w:r>
        <w:r w:rsidR="004E4BE4" w:rsidRPr="00ED4583">
          <w:rPr>
            <w:rStyle w:val="Hyperlink"/>
            <w:rFonts w:ascii="Times New Roman" w:hAnsi="Times New Roman"/>
          </w:rPr>
          <w:t xml:space="preserve"> a </w:t>
        </w:r>
        <w:r w:rsidRPr="00ED4583">
          <w:rPr>
            <w:rStyle w:val="Hyperlink"/>
            <w:rFonts w:ascii="Times New Roman" w:hAnsi="Times New Roman"/>
          </w:rPr>
          <w:t>frekvencia</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_Toc524086720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4</w:t>
        </w:r>
        <w:r w:rsidRPr="00ED4583">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1" w:history="1">
        <w:r w:rsidRPr="00ED4583">
          <w:rPr>
            <w:rStyle w:val="Hyperlink"/>
            <w:rFonts w:ascii="Times New Roman" w:hAnsi="Times New Roman"/>
          </w:rPr>
          <w:t>2.</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Vzorce na výpočet ukazovateľa finančnej páky</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_Toc524086721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4</w:t>
        </w:r>
        <w:r w:rsidRPr="00ED4583">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2" w:history="1">
        <w:r w:rsidRPr="00ED4583">
          <w:rPr>
            <w:rStyle w:val="Hyperlink"/>
            <w:rFonts w:ascii="Times New Roman" w:hAnsi="Times New Roman"/>
          </w:rPr>
          <w:t>3.</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Prahy významnosti pre deriváty</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_Toc524086722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4</w:t>
        </w:r>
        <w:r w:rsidRPr="00ED4583">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3" w:history="1">
        <w:r w:rsidRPr="00ED4583">
          <w:rPr>
            <w:rStyle w:val="Hyperlink"/>
            <w:rFonts w:ascii="Times New Roman" w:hAnsi="Times New Roman"/>
          </w:rPr>
          <w:t>4.</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C 47.00 – Výpočet ukazovateľa finančnej páky (LRCalc)</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_Toc524086723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5</w:t>
        </w:r>
        <w:r w:rsidRPr="00ED4583">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4" w:history="1">
        <w:r w:rsidRPr="00ED4583">
          <w:rPr>
            <w:rStyle w:val="Hyperlink"/>
            <w:rFonts w:ascii="Times New Roman" w:hAnsi="Times New Roman"/>
          </w:rPr>
          <w:t>5.</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C 40.00 – Alternatívne zaobchádzanie</w:t>
        </w:r>
        <w:r w:rsidR="004E4BE4" w:rsidRPr="00ED4583">
          <w:rPr>
            <w:rStyle w:val="Hyperlink"/>
            <w:rFonts w:ascii="Times New Roman" w:hAnsi="Times New Roman"/>
          </w:rPr>
          <w:t xml:space="preserve"> s </w:t>
        </w:r>
        <w:r w:rsidRPr="00ED4583">
          <w:rPr>
            <w:rStyle w:val="Hyperlink"/>
            <w:rFonts w:ascii="Times New Roman" w:hAnsi="Times New Roman"/>
          </w:rPr>
          <w:t>veľkosťou expozície (LR1)</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_Toc524086724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14</w:t>
        </w:r>
        <w:r w:rsidRPr="00ED4583">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5" w:history="1">
        <w:r w:rsidRPr="00ED4583">
          <w:rPr>
            <w:rStyle w:val="Hyperlink"/>
            <w:rFonts w:ascii="Times New Roman" w:hAnsi="Times New Roman"/>
          </w:rPr>
          <w:t>6.</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C 41.00 – Súvahové</w:t>
        </w:r>
        <w:r w:rsidR="004E4BE4" w:rsidRPr="00ED4583">
          <w:rPr>
            <w:rStyle w:val="Hyperlink"/>
            <w:rFonts w:ascii="Times New Roman" w:hAnsi="Times New Roman"/>
          </w:rPr>
          <w:t xml:space="preserve"> a </w:t>
        </w:r>
        <w:r w:rsidRPr="00ED4583">
          <w:rPr>
            <w:rStyle w:val="Hyperlink"/>
            <w:rFonts w:ascii="Times New Roman" w:hAnsi="Times New Roman"/>
          </w:rPr>
          <w:t>podsúvahové položky – ďalšie rozčlenenie expozícií (LR2)</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_Toc524086725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24</w:t>
        </w:r>
        <w:r w:rsidRPr="00ED4583">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6" w:history="1">
        <w:r w:rsidRPr="00ED4583">
          <w:rPr>
            <w:rStyle w:val="Hyperlink"/>
            <w:rFonts w:ascii="Times New Roman" w:hAnsi="Times New Roman"/>
          </w:rPr>
          <w:t>7.</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C 42.00 – Alternatívne vymedzenie kapitálu (LR3)</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_Toc524086726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26</w:t>
        </w:r>
        <w:r w:rsidRPr="00ED4583">
          <w:rPr>
            <w:rFonts w:ascii="Times New Roman" w:hAnsi="Times New Roman"/>
            <w:webHidden/>
          </w:rPr>
          <w:fldChar w:fldCharType="end"/>
        </w:r>
      </w:hyperlink>
    </w:p>
    <w:p w:rsidR="00C37CFA" w:rsidRPr="004E4BE4" w:rsidRDefault="00C37CFA">
      <w:pPr>
        <w:pStyle w:val="TOC2"/>
        <w:rPr>
          <w:rFonts w:ascii="Times New Roman" w:eastAsiaTheme="minorEastAsia" w:hAnsi="Times New Roman"/>
          <w:b w:val="0"/>
          <w:smallCaps w:val="0"/>
          <w:sz w:val="22"/>
          <w:lang w:eastAsia="en-GB" w:bidi="ar-SA"/>
        </w:rPr>
      </w:pPr>
      <w:hyperlink w:anchor="_Toc524086727" w:history="1">
        <w:r w:rsidRPr="00ED4583">
          <w:rPr>
            <w:rStyle w:val="Hyperlink"/>
            <w:rFonts w:ascii="Times New Roman" w:hAnsi="Times New Roman"/>
          </w:rPr>
          <w:t>8.</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C 43.00 – Alternatívne rozčlenenie zložiek veľkosti expozície ukazovateľa finančnej páky (LR4)</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_Toc524086727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27</w:t>
        </w:r>
        <w:r w:rsidRPr="00ED4583">
          <w:rPr>
            <w:rFonts w:ascii="Times New Roman" w:hAnsi="Times New Roman"/>
            <w:webHidden/>
          </w:rPr>
          <w:fldChar w:fldCharType="end"/>
        </w:r>
      </w:hyperlink>
    </w:p>
    <w:p w:rsidR="00C37CFA" w:rsidRPr="004E4BE4" w:rsidRDefault="00C37CFA">
      <w:pPr>
        <w:pStyle w:val="TOC2"/>
        <w:rPr>
          <w:rFonts w:asciiTheme="minorHAnsi" w:eastAsiaTheme="minorEastAsia" w:hAnsiTheme="minorHAnsi" w:cstheme="minorBidi"/>
          <w:b w:val="0"/>
          <w:smallCaps w:val="0"/>
          <w:sz w:val="22"/>
          <w:lang w:eastAsia="en-GB" w:bidi="ar-SA"/>
        </w:rPr>
      </w:pPr>
      <w:hyperlink w:anchor="_Toc524086728" w:history="1">
        <w:r w:rsidRPr="00ED4583">
          <w:rPr>
            <w:rStyle w:val="Hyperlink"/>
            <w:rFonts w:ascii="Times New Roman" w:hAnsi="Times New Roman"/>
          </w:rPr>
          <w:t>9.</w:t>
        </w:r>
        <w:r w:rsidRPr="004E4BE4">
          <w:rPr>
            <w:rFonts w:ascii="Times New Roman" w:eastAsiaTheme="minorEastAsia" w:hAnsi="Times New Roman"/>
            <w:b w:val="0"/>
            <w:smallCaps w:val="0"/>
            <w:sz w:val="22"/>
            <w:lang w:eastAsia="en-GB" w:bidi="ar-SA"/>
          </w:rPr>
          <w:tab/>
        </w:r>
        <w:r w:rsidRPr="00ED4583">
          <w:rPr>
            <w:rStyle w:val="Hyperlink"/>
            <w:rFonts w:ascii="Times New Roman" w:hAnsi="Times New Roman"/>
          </w:rPr>
          <w:t>C 44.00 – Všeobecné informácie (LR5)</w:t>
        </w:r>
        <w:r w:rsidRPr="00ED4583">
          <w:rPr>
            <w:rFonts w:ascii="Times New Roman" w:hAnsi="Times New Roman"/>
            <w:webHidden/>
          </w:rPr>
          <w:tab/>
        </w:r>
        <w:r w:rsidRPr="00ED4583">
          <w:rPr>
            <w:rFonts w:ascii="Times New Roman" w:hAnsi="Times New Roman"/>
            <w:webHidden/>
          </w:rPr>
          <w:fldChar w:fldCharType="begin"/>
        </w:r>
        <w:r w:rsidRPr="00ED4583">
          <w:rPr>
            <w:rFonts w:ascii="Times New Roman" w:hAnsi="Times New Roman"/>
            <w:webHidden/>
          </w:rPr>
          <w:instrText xml:space="preserve"> PAGEREF _Toc524086728 \h </w:instrText>
        </w:r>
        <w:r w:rsidRPr="00ED4583">
          <w:rPr>
            <w:rFonts w:ascii="Times New Roman" w:hAnsi="Times New Roman"/>
            <w:webHidden/>
          </w:rPr>
        </w:r>
        <w:r w:rsidRPr="00ED4583">
          <w:rPr>
            <w:rFonts w:ascii="Times New Roman" w:hAnsi="Times New Roman"/>
            <w:webHidden/>
          </w:rPr>
          <w:fldChar w:fldCharType="separate"/>
        </w:r>
        <w:r w:rsidR="00A57AF5">
          <w:rPr>
            <w:rFonts w:ascii="Times New Roman" w:hAnsi="Times New Roman"/>
            <w:webHidden/>
          </w:rPr>
          <w:t>45</w:t>
        </w:r>
        <w:r w:rsidRPr="00ED4583">
          <w:rPr>
            <w:rFonts w:ascii="Times New Roman" w:hAnsi="Times New Roman"/>
            <w:webHidden/>
          </w:rPr>
          <w:fldChar w:fldCharType="end"/>
        </w:r>
      </w:hyperlink>
    </w:p>
    <w:p w:rsidR="00607666" w:rsidRPr="004E4BE4" w:rsidRDefault="00C12EBC" w:rsidP="00C37CFA">
      <w:pPr>
        <w:pStyle w:val="BodyText1"/>
        <w:rPr>
          <w:rFonts w:ascii="Times New Roman" w:eastAsiaTheme="minorEastAsia" w:hAnsi="Times New Roman"/>
          <w:color w:val="auto"/>
          <w:sz w:val="22"/>
          <w:szCs w:val="22"/>
        </w:rPr>
        <w:sectPr w:rsidR="00607666" w:rsidRPr="004E4BE4"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sidRPr="004E4BE4">
        <w:rPr>
          <w:rFonts w:ascii="Times New Roman" w:hAnsi="Times New Roman"/>
        </w:rPr>
        <w:fldChar w:fldCharType="end"/>
      </w:r>
    </w:p>
    <w:p w:rsidR="00F4754B" w:rsidRPr="004E4BE4" w:rsidRDefault="00F4754B" w:rsidP="00F4754B">
      <w:pPr>
        <w:pStyle w:val="BodyText1"/>
        <w:rPr>
          <w:rFonts w:ascii="Times New Roman" w:hAnsi="Times New Roman"/>
        </w:rPr>
      </w:pPr>
    </w:p>
    <w:p w:rsidR="00217D1F" w:rsidRPr="00ED4583"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24086713"/>
      <w:r w:rsidRPr="00ED4583">
        <w:rPr>
          <w:rFonts w:ascii="Times New Roman" w:hAnsi="Times New Roman"/>
          <w:b/>
          <w:sz w:val="24"/>
        </w:rPr>
        <w:t>ČASŤ I:</w:t>
      </w:r>
      <w:bookmarkEnd w:id="1"/>
      <w:r w:rsidRPr="00ED4583">
        <w:rPr>
          <w:rFonts w:ascii="Times New Roman" w:hAnsi="Times New Roman"/>
          <w:b/>
          <w:sz w:val="24"/>
        </w:rPr>
        <w:t xml:space="preserve"> VŠEOBECNÉ POKYNY</w:t>
      </w:r>
      <w:bookmarkEnd w:id="2"/>
      <w:bookmarkEnd w:id="3"/>
      <w:bookmarkEnd w:id="4"/>
      <w:bookmarkEnd w:id="5"/>
    </w:p>
    <w:p w:rsidR="00FF2091" w:rsidRPr="004E4BE4" w:rsidRDefault="00FF2091" w:rsidP="00A860E1">
      <w:pPr>
        <w:pStyle w:val="BodyText1"/>
      </w:pPr>
      <w:bookmarkStart w:id="6" w:name="_Toc351048500"/>
    </w:p>
    <w:p w:rsidR="00217D1F" w:rsidRPr="00ED4583"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524086714"/>
      <w:r w:rsidRPr="00ED4583">
        <w:rPr>
          <w:rFonts w:ascii="Times New Roman" w:hAnsi="Times New Roman"/>
          <w:b/>
        </w:rPr>
        <w:t>1.</w:t>
      </w:r>
      <w:r w:rsidRPr="004E4BE4">
        <w:tab/>
      </w:r>
      <w:r w:rsidRPr="00ED4583">
        <w:rPr>
          <w:rFonts w:ascii="Times New Roman" w:hAnsi="Times New Roman"/>
          <w:b/>
        </w:rPr>
        <w:t>Označovanie vzorov</w:t>
      </w:r>
      <w:r w:rsidR="004E4BE4" w:rsidRPr="00ED4583">
        <w:rPr>
          <w:rFonts w:ascii="Times New Roman" w:hAnsi="Times New Roman"/>
          <w:b/>
        </w:rPr>
        <w:t xml:space="preserve"> a </w:t>
      </w:r>
      <w:r w:rsidRPr="00ED4583">
        <w:rPr>
          <w:rFonts w:ascii="Times New Roman" w:hAnsi="Times New Roman"/>
          <w:b/>
        </w:rPr>
        <w:t>iné pravidlá</w:t>
      </w:r>
      <w:bookmarkEnd w:id="6"/>
      <w:bookmarkEnd w:id="7"/>
      <w:bookmarkEnd w:id="8"/>
      <w:bookmarkEnd w:id="9"/>
    </w:p>
    <w:p w:rsidR="00FF2091" w:rsidRPr="004E4BE4" w:rsidRDefault="00FF2091" w:rsidP="00A860E1">
      <w:pPr>
        <w:pStyle w:val="BodyText1"/>
      </w:pPr>
    </w:p>
    <w:p w:rsidR="00217D1F" w:rsidRPr="00ED4583" w:rsidRDefault="00500508" w:rsidP="00500508">
      <w:pPr>
        <w:pStyle w:val="BodyText1"/>
        <w:ind w:left="357" w:hanging="357"/>
        <w:outlineLvl w:val="2"/>
        <w:rPr>
          <w:rFonts w:ascii="Times New Roman" w:hAnsi="Times New Roman"/>
          <w:b/>
        </w:rPr>
      </w:pPr>
      <w:bookmarkStart w:id="10" w:name="_Toc322687866"/>
      <w:bookmarkStart w:id="11" w:name="_Toc359414275"/>
      <w:bookmarkStart w:id="12" w:name="_Toc264038399"/>
      <w:bookmarkStart w:id="13" w:name="_Toc294018834"/>
      <w:bookmarkStart w:id="14" w:name="_Toc524086715"/>
      <w:r w:rsidRPr="00ED4583">
        <w:rPr>
          <w:rFonts w:ascii="Times New Roman" w:hAnsi="Times New Roman"/>
          <w:b/>
        </w:rPr>
        <w:t>1.1.</w:t>
      </w:r>
      <w:r w:rsidRPr="004E4BE4">
        <w:tab/>
      </w:r>
      <w:r w:rsidRPr="00ED4583">
        <w:rPr>
          <w:rFonts w:ascii="Times New Roman" w:hAnsi="Times New Roman"/>
          <w:b/>
        </w:rPr>
        <w:t xml:space="preserve">Označovanie </w:t>
      </w:r>
      <w:bookmarkEnd w:id="10"/>
      <w:r w:rsidRPr="00ED4583">
        <w:rPr>
          <w:rFonts w:ascii="Times New Roman" w:hAnsi="Times New Roman"/>
          <w:b/>
        </w:rPr>
        <w:t>vzorov</w:t>
      </w:r>
      <w:bookmarkEnd w:id="11"/>
      <w:bookmarkEnd w:id="14"/>
    </w:p>
    <w:p w:rsidR="00FF2091" w:rsidRPr="004E4BE4" w:rsidRDefault="00FF2091" w:rsidP="00A860E1">
      <w:pPr>
        <w:pStyle w:val="BodyText1"/>
      </w:pPr>
    </w:p>
    <w:p w:rsidR="004E4BE4" w:rsidRPr="004E4BE4" w:rsidRDefault="00500508" w:rsidP="00500508">
      <w:pPr>
        <w:pStyle w:val="BodyText1"/>
        <w:ind w:left="720" w:hanging="360"/>
        <w:rPr>
          <w:rFonts w:ascii="Times New Roman" w:hAnsi="Times New Roman"/>
        </w:rPr>
      </w:pPr>
      <w:r w:rsidRPr="004E4BE4">
        <w:rPr>
          <w:rFonts w:ascii="Times New Roman" w:hAnsi="Times New Roman"/>
        </w:rPr>
        <w:t>1.</w:t>
      </w:r>
      <w:r w:rsidRPr="004E4BE4">
        <w:tab/>
      </w:r>
      <w:r w:rsidRPr="004E4BE4">
        <w:rPr>
          <w:rFonts w:ascii="Times New Roman" w:hAnsi="Times New Roman"/>
        </w:rPr>
        <w:t>Táto príloha obsahuje ďalšie pokyny</w:t>
      </w:r>
      <w:r w:rsidR="004E4BE4">
        <w:rPr>
          <w:rFonts w:ascii="Times New Roman" w:hAnsi="Times New Roman"/>
        </w:rPr>
        <w:t xml:space="preserve"> k </w:t>
      </w:r>
      <w:r w:rsidRPr="004E4BE4">
        <w:rPr>
          <w:rFonts w:ascii="Times New Roman" w:hAnsi="Times New Roman"/>
        </w:rPr>
        <w:t>vzorom (ďalej len „LR“) uvedeným</w:t>
      </w:r>
      <w:r w:rsidR="004E4BE4">
        <w:rPr>
          <w:rFonts w:ascii="Times New Roman" w:hAnsi="Times New Roman"/>
        </w:rPr>
        <w:t xml:space="preserve"> v </w:t>
      </w:r>
      <w:r w:rsidRPr="004E4BE4">
        <w:rPr>
          <w:rFonts w:ascii="Times New Roman" w:hAnsi="Times New Roman"/>
        </w:rPr>
        <w:t>prílohe X</w:t>
      </w:r>
      <w:r w:rsidR="004E4BE4">
        <w:rPr>
          <w:rFonts w:ascii="Times New Roman" w:hAnsi="Times New Roman"/>
        </w:rPr>
        <w:t xml:space="preserve"> k </w:t>
      </w:r>
      <w:r w:rsidRPr="004E4BE4">
        <w:rPr>
          <w:rFonts w:ascii="Times New Roman" w:hAnsi="Times New Roman"/>
        </w:rPr>
        <w:t>tomuto nariadeniu</w:t>
      </w:r>
      <w:r w:rsidR="004E4BE4" w:rsidRPr="004E4BE4">
        <w:rPr>
          <w:rFonts w:ascii="Times New Roman" w:hAnsi="Times New Roman"/>
        </w:rPr>
        <w:t>.</w:t>
      </w:r>
    </w:p>
    <w:p w:rsidR="00E22856" w:rsidRPr="004E4BE4" w:rsidRDefault="00E22856" w:rsidP="00E22856">
      <w:pPr>
        <w:pStyle w:val="BodyText1"/>
        <w:ind w:left="720"/>
        <w:rPr>
          <w:rFonts w:ascii="Times New Roman" w:hAnsi="Times New Roman"/>
        </w:rPr>
      </w:pPr>
    </w:p>
    <w:p w:rsidR="00F4754B" w:rsidRPr="004E4BE4" w:rsidRDefault="00500508" w:rsidP="00500508">
      <w:pPr>
        <w:pStyle w:val="InstructionsText2"/>
        <w:numPr>
          <w:ilvl w:val="0"/>
          <w:numId w:val="0"/>
        </w:numPr>
        <w:ind w:left="720" w:hanging="360"/>
        <w:rPr>
          <w:rFonts w:eastAsia="Times New Roman"/>
          <w:bCs/>
          <w:szCs w:val="17"/>
        </w:rPr>
      </w:pPr>
      <w:r w:rsidRPr="004E4BE4">
        <w:t>2.</w:t>
      </w:r>
      <w:r w:rsidRPr="004E4BE4">
        <w:tab/>
        <w:t>Celkovo sa rámec skladá zo šiestich vzorov:</w:t>
      </w:r>
    </w:p>
    <w:p w:rsidR="00675587" w:rsidRPr="004E4BE4" w:rsidRDefault="00500508" w:rsidP="004E4BE4">
      <w:pPr>
        <w:pStyle w:val="InstructionsText2"/>
        <w:numPr>
          <w:ilvl w:val="0"/>
          <w:numId w:val="47"/>
        </w:numPr>
        <w:rPr>
          <w:rFonts w:ascii="Symbol" w:eastAsia="Times New Roman" w:hAnsi="Symbol"/>
          <w:bCs/>
          <w:szCs w:val="17"/>
        </w:rPr>
      </w:pPr>
      <w:r w:rsidRPr="004E4BE4">
        <w:t>C47.00: Výpočet ukazovateľa finančnej páky (Leverage Ratio Calculation – LRCalc): Výpočet ukazovateľa finančnej páky,</w:t>
      </w:r>
    </w:p>
    <w:p w:rsidR="00675587" w:rsidRPr="004E4BE4" w:rsidRDefault="00500508" w:rsidP="004E4BE4">
      <w:pPr>
        <w:pStyle w:val="InstructionsText2"/>
        <w:numPr>
          <w:ilvl w:val="0"/>
          <w:numId w:val="47"/>
        </w:numPr>
        <w:rPr>
          <w:rFonts w:ascii="Symbol" w:eastAsia="Times New Roman" w:hAnsi="Symbol"/>
          <w:bCs/>
          <w:szCs w:val="17"/>
        </w:rPr>
      </w:pPr>
      <w:r w:rsidRPr="004E4BE4">
        <w:t>C40.00: Vzor 1 ukazovateľa finančnej páky (LR1): Alternatívne zaobchádzanie</w:t>
      </w:r>
      <w:r w:rsidR="004E4BE4">
        <w:t xml:space="preserve"> s </w:t>
      </w:r>
      <w:r w:rsidRPr="004E4BE4">
        <w:t>veľkosťou expozície,</w:t>
      </w:r>
    </w:p>
    <w:p w:rsidR="00675587" w:rsidRPr="004E4BE4" w:rsidRDefault="00500508" w:rsidP="004E4BE4">
      <w:pPr>
        <w:pStyle w:val="InstructionsText2"/>
        <w:numPr>
          <w:ilvl w:val="0"/>
          <w:numId w:val="47"/>
        </w:numPr>
        <w:rPr>
          <w:rFonts w:ascii="Symbol" w:eastAsia="Times New Roman" w:hAnsi="Symbol"/>
          <w:bCs/>
          <w:szCs w:val="17"/>
        </w:rPr>
      </w:pPr>
      <w:r w:rsidRPr="004E4BE4">
        <w:t>C41.00: Vzor 2 ukazovateľa finančnej páky (LR2): Súvahové</w:t>
      </w:r>
      <w:r w:rsidR="004E4BE4">
        <w:t xml:space="preserve"> a </w:t>
      </w:r>
      <w:r w:rsidRPr="004E4BE4">
        <w:t>podsúvahové položky – ďalšie rozčlenenie expozícií,</w:t>
      </w:r>
    </w:p>
    <w:p w:rsidR="00675587" w:rsidRPr="004E4BE4" w:rsidRDefault="00500508" w:rsidP="004E4BE4">
      <w:pPr>
        <w:pStyle w:val="InstructionsText2"/>
        <w:numPr>
          <w:ilvl w:val="0"/>
          <w:numId w:val="47"/>
        </w:numPr>
        <w:rPr>
          <w:rFonts w:ascii="Symbol" w:eastAsia="Times New Roman" w:hAnsi="Symbol"/>
          <w:bCs/>
          <w:szCs w:val="17"/>
        </w:rPr>
      </w:pPr>
      <w:r w:rsidRPr="004E4BE4">
        <w:t>C42.00: Vzor 3 ukazovateľa finančnej páky (LR3): Alternatívne vymedzenie kapitálu,</w:t>
      </w:r>
    </w:p>
    <w:p w:rsidR="00675587" w:rsidRPr="004E4BE4" w:rsidRDefault="00500508" w:rsidP="004E4BE4">
      <w:pPr>
        <w:pStyle w:val="InstructionsText2"/>
        <w:numPr>
          <w:ilvl w:val="0"/>
          <w:numId w:val="47"/>
        </w:numPr>
        <w:rPr>
          <w:rFonts w:ascii="Symbol" w:eastAsia="Times New Roman" w:hAnsi="Symbol"/>
          <w:bCs/>
          <w:szCs w:val="17"/>
        </w:rPr>
      </w:pPr>
      <w:r w:rsidRPr="004E4BE4">
        <w:t>C43.00: Vzor 4 ukazovateľa finančnej páky (LR4): Rozčlenenie zložiek veľkosti expozície ukazovateľa finančnej páky a</w:t>
      </w:r>
    </w:p>
    <w:p w:rsidR="00675587" w:rsidRPr="004E4BE4" w:rsidRDefault="00500508" w:rsidP="004E4BE4">
      <w:pPr>
        <w:pStyle w:val="InstructionsText2"/>
        <w:numPr>
          <w:ilvl w:val="0"/>
          <w:numId w:val="47"/>
        </w:numPr>
        <w:rPr>
          <w:rFonts w:ascii="Symbol" w:eastAsia="Times New Roman" w:hAnsi="Symbol"/>
          <w:bCs/>
          <w:szCs w:val="17"/>
        </w:rPr>
      </w:pPr>
      <w:r w:rsidRPr="004E4BE4">
        <w:t>C44.00: Vzor 5 ukazovateľa finančnej páky (LR5): Všeobecné informácie.</w:t>
      </w:r>
    </w:p>
    <w:p w:rsidR="00F4754B" w:rsidRPr="004E4BE4" w:rsidRDefault="00500508" w:rsidP="00500508">
      <w:pPr>
        <w:pStyle w:val="InstructionsText2"/>
        <w:numPr>
          <w:ilvl w:val="0"/>
          <w:numId w:val="0"/>
        </w:numPr>
        <w:ind w:left="720" w:hanging="360"/>
        <w:rPr>
          <w:rFonts w:eastAsia="Times New Roman"/>
          <w:bCs/>
          <w:szCs w:val="17"/>
        </w:rPr>
      </w:pPr>
      <w:r w:rsidRPr="004E4BE4">
        <w:t>3.</w:t>
      </w:r>
      <w:r w:rsidRPr="004E4BE4">
        <w:tab/>
        <w:t>Pre každý vzor sa uvádzajú odkazy na právne predpisy, ako aj ďalšie podrobné informácie</w:t>
      </w:r>
      <w:r w:rsidR="004E4BE4">
        <w:t xml:space="preserve"> o </w:t>
      </w:r>
      <w:r w:rsidRPr="004E4BE4">
        <w:t>všeobecnejších aspektoch vykazovania.</w:t>
      </w:r>
    </w:p>
    <w:p w:rsidR="00FC2664" w:rsidRPr="004E4BE4" w:rsidRDefault="00FC2664" w:rsidP="007E2A41">
      <w:pPr>
        <w:pStyle w:val="BodyText1"/>
        <w:spacing w:line="240" w:lineRule="auto"/>
        <w:ind w:left="720"/>
        <w:rPr>
          <w:rFonts w:ascii="Times New Roman" w:hAnsi="Times New Roman"/>
        </w:rPr>
      </w:pPr>
    </w:p>
    <w:p w:rsidR="00217D1F" w:rsidRPr="00ED4583" w:rsidRDefault="00500508" w:rsidP="00500508">
      <w:pPr>
        <w:pStyle w:val="BodyText1"/>
        <w:ind w:left="357" w:hanging="357"/>
        <w:outlineLvl w:val="2"/>
        <w:rPr>
          <w:rFonts w:ascii="Times New Roman" w:hAnsi="Times New Roman"/>
          <w:b/>
        </w:rPr>
      </w:pPr>
      <w:bookmarkStart w:id="15" w:name="_Toc359414277"/>
      <w:bookmarkStart w:id="16" w:name="_Toc322687867"/>
      <w:bookmarkStart w:id="17" w:name="_Toc351048502"/>
      <w:bookmarkStart w:id="18" w:name="_Toc359414278"/>
      <w:bookmarkStart w:id="19" w:name="_Toc524086716"/>
      <w:bookmarkEnd w:id="15"/>
      <w:r w:rsidRPr="00ED4583">
        <w:rPr>
          <w:rFonts w:ascii="Times New Roman" w:hAnsi="Times New Roman"/>
          <w:b/>
        </w:rPr>
        <w:t>1.2.</w:t>
      </w:r>
      <w:r w:rsidRPr="004E4BE4">
        <w:tab/>
      </w:r>
      <w:r w:rsidRPr="00ED4583">
        <w:rPr>
          <w:rFonts w:ascii="Times New Roman" w:hAnsi="Times New Roman"/>
          <w:b/>
        </w:rPr>
        <w:t>Pravidlá číslovania</w:t>
      </w:r>
      <w:bookmarkEnd w:id="16"/>
      <w:bookmarkEnd w:id="17"/>
      <w:bookmarkEnd w:id="18"/>
      <w:bookmarkEnd w:id="19"/>
    </w:p>
    <w:p w:rsidR="007E2A41" w:rsidRPr="004E4BE4" w:rsidRDefault="007E2A41" w:rsidP="00217B44">
      <w:pPr>
        <w:pStyle w:val="BodyText1"/>
      </w:pPr>
    </w:p>
    <w:p w:rsidR="00F4754B" w:rsidRPr="004E4BE4" w:rsidRDefault="00500508" w:rsidP="00500508">
      <w:pPr>
        <w:pStyle w:val="InstructionsText2"/>
        <w:numPr>
          <w:ilvl w:val="0"/>
          <w:numId w:val="0"/>
        </w:numPr>
        <w:ind w:left="720" w:hanging="360"/>
        <w:rPr>
          <w:rFonts w:eastAsia="Times New Roman"/>
          <w:bCs/>
          <w:szCs w:val="17"/>
        </w:rPr>
      </w:pPr>
      <w:r w:rsidRPr="004E4BE4">
        <w:t>4.</w:t>
      </w:r>
      <w:r w:rsidRPr="004E4BE4">
        <w:tab/>
        <w:t>Pri odkazovaní na stĺpce, riadky</w:t>
      </w:r>
      <w:r w:rsidR="004E4BE4">
        <w:t xml:space="preserve"> a </w:t>
      </w:r>
      <w:r w:rsidRPr="004E4BE4">
        <w:t>bunky vzorov sa</w:t>
      </w:r>
      <w:r w:rsidR="004E4BE4">
        <w:t xml:space="preserve"> v </w:t>
      </w:r>
      <w:r w:rsidRPr="004E4BE4">
        <w:t>dokumente bude dodržiavať pravidlo označovania stanovené</w:t>
      </w:r>
      <w:r w:rsidR="004E4BE4">
        <w:t xml:space="preserve"> v </w:t>
      </w:r>
      <w:r w:rsidRPr="004E4BE4">
        <w:t>nasledujúcich odsekoch. Tieto číselné kódy sa vo veľkej miere používajú</w:t>
      </w:r>
      <w:r w:rsidR="004E4BE4">
        <w:t xml:space="preserve"> v </w:t>
      </w:r>
      <w:r w:rsidRPr="004E4BE4">
        <w:t>pravidlách validácie.</w:t>
      </w:r>
    </w:p>
    <w:p w:rsidR="00F4754B" w:rsidRPr="004E4BE4" w:rsidRDefault="00500508" w:rsidP="00500508">
      <w:pPr>
        <w:pStyle w:val="InstructionsText2"/>
        <w:numPr>
          <w:ilvl w:val="0"/>
          <w:numId w:val="0"/>
        </w:numPr>
        <w:ind w:left="720" w:hanging="360"/>
        <w:rPr>
          <w:rFonts w:eastAsia="Times New Roman"/>
          <w:bCs/>
          <w:szCs w:val="17"/>
        </w:rPr>
      </w:pPr>
      <w:r w:rsidRPr="004E4BE4">
        <w:t>5.</w:t>
      </w:r>
      <w:r w:rsidRPr="004E4BE4">
        <w:tab/>
        <w:t>V pokynoch sa používa tento všeobecný zápis: {vzor;riadok;stĺpec}. Pri odkazovaní na celý riadok alebo stĺpec sa použije hviezdička.</w:t>
      </w:r>
    </w:p>
    <w:p w:rsidR="00F4754B" w:rsidRPr="004E4BE4" w:rsidRDefault="00500508" w:rsidP="00500508">
      <w:pPr>
        <w:pStyle w:val="InstructionsText2"/>
        <w:numPr>
          <w:ilvl w:val="0"/>
          <w:numId w:val="0"/>
        </w:numPr>
        <w:ind w:left="720" w:hanging="360"/>
        <w:rPr>
          <w:rFonts w:eastAsia="Times New Roman"/>
          <w:bCs/>
          <w:szCs w:val="17"/>
        </w:rPr>
      </w:pPr>
      <w:r w:rsidRPr="004E4BE4">
        <w:t>6.</w:t>
      </w:r>
      <w:r w:rsidRPr="004E4BE4">
        <w:tab/>
        <w:t>V prípade validácií</w:t>
      </w:r>
      <w:r w:rsidR="004E4BE4">
        <w:t xml:space="preserve"> v </w:t>
      </w:r>
      <w:r w:rsidRPr="004E4BE4">
        <w:t>rámci vzoru, keď sa používajú len údajové body</w:t>
      </w:r>
      <w:r w:rsidR="004E4BE4">
        <w:t xml:space="preserve"> z </w:t>
      </w:r>
      <w:r w:rsidRPr="004E4BE4">
        <w:t>daného vzoru, zápisy nebudú odkazovať na vzor: {riadok;stĺpec}.</w:t>
      </w:r>
    </w:p>
    <w:p w:rsidR="004E4BE4" w:rsidRPr="004E4BE4" w:rsidRDefault="00500508" w:rsidP="00500508">
      <w:pPr>
        <w:pStyle w:val="InstructionsText2"/>
        <w:numPr>
          <w:ilvl w:val="0"/>
          <w:numId w:val="0"/>
        </w:numPr>
        <w:ind w:left="720" w:hanging="360"/>
      </w:pPr>
      <w:r w:rsidRPr="004E4BE4">
        <w:t>7.</w:t>
      </w:r>
      <w:r w:rsidRPr="004E4BE4">
        <w:tab/>
        <w:t>Na účely vykazovania finančnej páky výraz „z čoho“ odkazuje na položku, ktorá je podmnožinou kategórie expozície vyššej úrovne, zatiaľ čo výraz „doplňujúca položka“ odkazuje na samostatnú položku, ktorá nie je podmnožinou triedy expozícií. Vykazovanie oboch druhov buniek je povinné, ak nie je uvedené inak</w:t>
      </w:r>
      <w:r w:rsidR="004E4BE4" w:rsidRPr="004E4BE4">
        <w:t>.</w:t>
      </w:r>
    </w:p>
    <w:p w:rsidR="001D6F2F" w:rsidRPr="00ED4583" w:rsidRDefault="00500508" w:rsidP="00500508">
      <w:pPr>
        <w:pStyle w:val="BodyText1"/>
        <w:ind w:left="357" w:hanging="357"/>
        <w:outlineLvl w:val="2"/>
        <w:rPr>
          <w:rFonts w:ascii="Times New Roman" w:hAnsi="Times New Roman"/>
          <w:b/>
        </w:rPr>
      </w:pPr>
      <w:bookmarkStart w:id="20" w:name="_Toc524086717"/>
      <w:r w:rsidRPr="00ED4583">
        <w:rPr>
          <w:rFonts w:ascii="Times New Roman" w:hAnsi="Times New Roman"/>
          <w:b/>
        </w:rPr>
        <w:t>1.3.</w:t>
      </w:r>
      <w:r w:rsidRPr="004E4BE4">
        <w:tab/>
      </w:r>
      <w:r w:rsidRPr="00ED4583">
        <w:rPr>
          <w:rFonts w:ascii="Times New Roman" w:hAnsi="Times New Roman"/>
          <w:b/>
        </w:rPr>
        <w:t>Skratky</w:t>
      </w:r>
      <w:bookmarkEnd w:id="20"/>
    </w:p>
    <w:p w:rsidR="001D6F2F" w:rsidRPr="004E4BE4" w:rsidRDefault="001D6F2F" w:rsidP="001D6F2F">
      <w:pPr>
        <w:pStyle w:val="BodyText1"/>
      </w:pPr>
      <w:bookmarkStart w:id="21" w:name="_Toc359414279"/>
      <w:bookmarkStart w:id="22" w:name="_Toc322687868"/>
      <w:bookmarkStart w:id="23" w:name="_Toc351048503"/>
      <w:bookmarkStart w:id="24" w:name="_Toc359414280"/>
      <w:bookmarkEnd w:id="21"/>
    </w:p>
    <w:p w:rsidR="00627E07" w:rsidRPr="004E4BE4" w:rsidRDefault="00500508" w:rsidP="00500508">
      <w:pPr>
        <w:pStyle w:val="InstructionsText2"/>
        <w:numPr>
          <w:ilvl w:val="0"/>
          <w:numId w:val="0"/>
        </w:numPr>
        <w:ind w:left="720" w:hanging="360"/>
        <w:rPr>
          <w:rFonts w:eastAsia="Times New Roman"/>
          <w:bCs/>
          <w:szCs w:val="17"/>
        </w:rPr>
      </w:pPr>
      <w:r w:rsidRPr="004E4BE4">
        <w:t>8.</w:t>
      </w:r>
      <w:r w:rsidRPr="004E4BE4">
        <w:tab/>
        <w:t>Na účely tejto prílohy</w:t>
      </w:r>
      <w:r w:rsidR="004E4BE4">
        <w:t xml:space="preserve"> a </w:t>
      </w:r>
      <w:r w:rsidRPr="004E4BE4">
        <w:t>súvisiacich vzorov sa používajú tieto skratky:</w:t>
      </w:r>
    </w:p>
    <w:p w:rsidR="00627E07" w:rsidRPr="004E4BE4" w:rsidRDefault="00FA2BAB" w:rsidP="00500508">
      <w:pPr>
        <w:pStyle w:val="InstructionsText2"/>
        <w:numPr>
          <w:ilvl w:val="0"/>
          <w:numId w:val="0"/>
        </w:numPr>
        <w:ind w:left="1440" w:hanging="360"/>
        <w:rPr>
          <w:rFonts w:eastAsia="Times New Roman"/>
          <w:bCs/>
          <w:szCs w:val="17"/>
        </w:rPr>
      </w:pPr>
      <w:r>
        <w:t>a)</w:t>
      </w:r>
      <w:r w:rsidR="00500508" w:rsidRPr="004E4BE4">
        <w:tab/>
        <w:t>CRR, čo je skratka pre nariadenie</w:t>
      </w:r>
      <w:r w:rsidR="004E4BE4">
        <w:t xml:space="preserve"> o </w:t>
      </w:r>
      <w:r w:rsidR="00500508" w:rsidRPr="004E4BE4">
        <w:t>kapitálových požiadavkách</w:t>
      </w:r>
      <w:r w:rsidR="004E4BE4">
        <w:t xml:space="preserve"> a </w:t>
      </w:r>
      <w:r w:rsidR="00500508" w:rsidRPr="004E4BE4">
        <w:t>znamená nariadenie (EÚ) č. 575/2013;</w:t>
      </w:r>
    </w:p>
    <w:p w:rsidR="00627E07" w:rsidRPr="004E4BE4" w:rsidRDefault="00500508" w:rsidP="00500508">
      <w:pPr>
        <w:pStyle w:val="InstructionsText2"/>
        <w:numPr>
          <w:ilvl w:val="0"/>
          <w:numId w:val="0"/>
        </w:numPr>
        <w:ind w:left="1440" w:hanging="360"/>
        <w:rPr>
          <w:rFonts w:eastAsia="Times New Roman"/>
          <w:bCs/>
          <w:szCs w:val="17"/>
        </w:rPr>
      </w:pPr>
      <w:r w:rsidRPr="004E4BE4">
        <w:t>b</w:t>
      </w:r>
      <w:r w:rsidR="00FA2BAB">
        <w:t>)</w:t>
      </w:r>
      <w:r w:rsidRPr="004E4BE4">
        <w:tab/>
        <w:t>SFT, čo je skratka pre transakcie financovania prostredníctvom cenných papierov</w:t>
      </w:r>
      <w:r w:rsidR="004E4BE4">
        <w:t xml:space="preserve"> a </w:t>
      </w:r>
      <w:r w:rsidRPr="004E4BE4">
        <w:t>znamená „repo transakciu, transakciu požičiavania alebo vypožičiavania cenných papierov alebo komodít, transakciu</w:t>
      </w:r>
      <w:r w:rsidR="004E4BE4">
        <w:t xml:space="preserve"> s </w:t>
      </w:r>
      <w:r w:rsidRPr="004E4BE4">
        <w:t>dlhou dobou vyrovnania</w:t>
      </w:r>
      <w:r w:rsidR="004E4BE4">
        <w:t xml:space="preserve"> a </w:t>
      </w:r>
      <w:r w:rsidRPr="004E4BE4">
        <w:t>transakciu požičiavania</w:t>
      </w:r>
      <w:r w:rsidR="004E4BE4">
        <w:t xml:space="preserve"> s </w:t>
      </w:r>
      <w:r w:rsidRPr="004E4BE4">
        <w:t>dozabezpečením“ podľa nariadenia (EÚ) č. 575/2013;</w:t>
      </w:r>
    </w:p>
    <w:p w:rsidR="008E7068" w:rsidRPr="004E4BE4" w:rsidRDefault="00FA2BAB" w:rsidP="00500508">
      <w:pPr>
        <w:pStyle w:val="InstructionsText2"/>
        <w:numPr>
          <w:ilvl w:val="0"/>
          <w:numId w:val="0"/>
        </w:numPr>
        <w:ind w:left="1440" w:hanging="360"/>
        <w:rPr>
          <w:rFonts w:eastAsia="Times New Roman"/>
          <w:bCs/>
          <w:szCs w:val="17"/>
        </w:rPr>
      </w:pPr>
      <w:r>
        <w:t>c)</w:t>
      </w:r>
      <w:r w:rsidR="00500508" w:rsidRPr="004E4BE4">
        <w:tab/>
        <w:t>CRM, čo je skratka pre zmierňovanie kreditného rizika.</w:t>
      </w:r>
    </w:p>
    <w:p w:rsidR="00217D1F" w:rsidRPr="00ED4583" w:rsidRDefault="00500508" w:rsidP="00500508">
      <w:pPr>
        <w:pStyle w:val="BodyText1"/>
        <w:ind w:left="357" w:hanging="357"/>
        <w:outlineLvl w:val="2"/>
        <w:rPr>
          <w:rFonts w:ascii="Times New Roman" w:hAnsi="Times New Roman"/>
          <w:b/>
        </w:rPr>
      </w:pPr>
      <w:bookmarkStart w:id="25" w:name="_Toc524086718"/>
      <w:r w:rsidRPr="00ED4583">
        <w:rPr>
          <w:rFonts w:ascii="Times New Roman" w:hAnsi="Times New Roman"/>
          <w:b/>
        </w:rPr>
        <w:t>1.4.</w:t>
      </w:r>
      <w:r w:rsidRPr="004E4BE4">
        <w:tab/>
      </w:r>
      <w:r w:rsidRPr="00ED4583">
        <w:rPr>
          <w:rFonts w:ascii="Times New Roman" w:hAnsi="Times New Roman"/>
          <w:b/>
        </w:rPr>
        <w:t>Pravidlá používania znamienok</w:t>
      </w:r>
      <w:bookmarkEnd w:id="12"/>
      <w:bookmarkEnd w:id="13"/>
      <w:bookmarkEnd w:id="22"/>
      <w:bookmarkEnd w:id="23"/>
      <w:bookmarkEnd w:id="24"/>
      <w:bookmarkEnd w:id="25"/>
    </w:p>
    <w:p w:rsidR="00FF2091" w:rsidRPr="004E4BE4" w:rsidRDefault="00FF2091" w:rsidP="007C2D57">
      <w:pPr>
        <w:pStyle w:val="BodyText1"/>
      </w:pPr>
    </w:p>
    <w:p w:rsidR="00B90CB5" w:rsidRPr="004E4BE4" w:rsidRDefault="00500508" w:rsidP="00500508">
      <w:pPr>
        <w:pStyle w:val="InstructionsText2"/>
        <w:numPr>
          <w:ilvl w:val="0"/>
          <w:numId w:val="0"/>
        </w:numPr>
        <w:ind w:left="720" w:hanging="360"/>
        <w:rPr>
          <w:rFonts w:eastAsia="Times New Roman"/>
          <w:bCs/>
          <w:szCs w:val="17"/>
        </w:rPr>
      </w:pPr>
      <w:bookmarkStart w:id="26" w:name="_Toc322687869"/>
      <w:r w:rsidRPr="004E4BE4">
        <w:t>9.</w:t>
      </w:r>
      <w:r w:rsidRPr="004E4BE4">
        <w:tab/>
        <w:t>Všetky sumy sa vykazujú ako kladné čísla.</w:t>
      </w:r>
      <w:bookmarkStart w:id="27" w:name="_Toc264033192"/>
      <w:bookmarkEnd w:id="27"/>
      <w:r w:rsidRPr="004E4BE4">
        <w:t xml:space="preserve"> Výnimku predstavujú sumy vykazované</w:t>
      </w:r>
      <w:r w:rsidR="004E4BE4">
        <w:t xml:space="preserve"> v </w:t>
      </w:r>
      <w:r w:rsidRPr="004E4BE4">
        <w:t>{LRCalc;050;010},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w:t>
      </w:r>
      <w:r w:rsidR="004E4BE4">
        <w:t xml:space="preserve"> a </w:t>
      </w:r>
      <w:r w:rsidRPr="004E4BE4">
        <w:t>{LR3;085;010}. Pritom treba poznamenať, že {LRCalc;050;010}, {LRCalc;070;010}, {LRCalc;080;010}, {LRCalc;100;010}, {LRCalc;120;010}, {LRCalc;140;010}, {LRCalc;210;010}, {LRCalc;220;010}, {LRCalc;240;010}, {LRCalc;250;010}, {LRCalc;260;010}, {LRCalc;270;010}, {LRCalc;280;010}, {LR3;055;010}, {LR3;065;010}, {LR3;075;010}</w:t>
      </w:r>
      <w:r w:rsidR="004E4BE4">
        <w:t xml:space="preserve"> a </w:t>
      </w:r>
      <w:r w:rsidRPr="004E4BE4">
        <w:t>{LR3;085;010} majú len zápornú hodnotu. Takisto treba poznamenať, že {LRCalc;310;010}, {LRCalc;320;010}, {LRCalc;330;010}, {LRCalc;340;010}, {LR3;010;010}, {LR3;020;010}, {LR3;030;010}</w:t>
      </w:r>
      <w:r w:rsidR="004E4BE4">
        <w:t xml:space="preserve"> a </w:t>
      </w:r>
      <w:r w:rsidRPr="004E4BE4">
        <w:t>{LR3;040;010} majú až na extrémne prípady len kladnú hodnotu.</w:t>
      </w:r>
    </w:p>
    <w:p w:rsidR="001F28C3" w:rsidRPr="004E4BE4" w:rsidRDefault="001F28C3" w:rsidP="00FD2C06">
      <w:pPr>
        <w:pStyle w:val="InstructionsText2"/>
        <w:numPr>
          <w:ilvl w:val="0"/>
          <w:numId w:val="0"/>
        </w:numPr>
        <w:ind w:left="720"/>
        <w:rPr>
          <w:rFonts w:eastAsia="Times New Roman"/>
          <w:bCs/>
          <w:szCs w:val="17"/>
        </w:rPr>
      </w:pPr>
    </w:p>
    <w:p w:rsidR="00217D1F" w:rsidRPr="00ED4583" w:rsidRDefault="00F4754B" w:rsidP="00217D1F">
      <w:pPr>
        <w:pStyle w:val="BodyText1"/>
        <w:outlineLvl w:val="0"/>
        <w:rPr>
          <w:rFonts w:ascii="Times New Roman" w:hAnsi="Times New Roman"/>
          <w:b/>
          <w:sz w:val="24"/>
          <w:szCs w:val="24"/>
        </w:rPr>
      </w:pPr>
      <w:r w:rsidRPr="004E4BE4">
        <w:br w:type="page"/>
      </w:r>
      <w:bookmarkStart w:id="28" w:name="_Toc351048504"/>
      <w:bookmarkStart w:id="29" w:name="_Toc359414281"/>
      <w:bookmarkStart w:id="30" w:name="_Toc524086719"/>
      <w:r w:rsidRPr="00ED4583">
        <w:rPr>
          <w:rFonts w:ascii="Times New Roman" w:hAnsi="Times New Roman"/>
          <w:b/>
          <w:sz w:val="24"/>
        </w:rPr>
        <w:t>ČASŤ II: POKYNY TÝKAJÚCE SA VZOROV</w:t>
      </w:r>
      <w:bookmarkEnd w:id="26"/>
      <w:bookmarkEnd w:id="28"/>
      <w:bookmarkEnd w:id="29"/>
      <w:bookmarkEnd w:id="30"/>
    </w:p>
    <w:p w:rsidR="00D91BC3" w:rsidRPr="004E4BE4" w:rsidRDefault="00D91BC3" w:rsidP="00217B44">
      <w:pPr>
        <w:pStyle w:val="BodyText1"/>
      </w:pPr>
    </w:p>
    <w:p w:rsidR="004E4BE4" w:rsidRPr="00ED4583" w:rsidRDefault="00500508" w:rsidP="00500508">
      <w:pPr>
        <w:pStyle w:val="BodyText1"/>
        <w:ind w:left="357" w:hanging="357"/>
        <w:outlineLvl w:val="1"/>
        <w:rPr>
          <w:rFonts w:ascii="Times New Roman" w:hAnsi="Times New Roman"/>
          <w:b/>
        </w:rPr>
      </w:pPr>
      <w:bookmarkStart w:id="31" w:name="_Toc359414282"/>
      <w:bookmarkStart w:id="32" w:name="_Toc322631544"/>
      <w:bookmarkStart w:id="33" w:name="_Toc322687870"/>
      <w:bookmarkStart w:id="34" w:name="_Toc524086720"/>
      <w:r w:rsidRPr="00ED4583">
        <w:rPr>
          <w:rFonts w:ascii="Times New Roman" w:hAnsi="Times New Roman"/>
          <w:b/>
        </w:rPr>
        <w:t>1.</w:t>
      </w:r>
      <w:r w:rsidRPr="004E4BE4">
        <w:tab/>
      </w:r>
      <w:r w:rsidRPr="00ED4583">
        <w:rPr>
          <w:rFonts w:ascii="Times New Roman" w:hAnsi="Times New Roman"/>
          <w:b/>
        </w:rPr>
        <w:t>Štruktúra</w:t>
      </w:r>
      <w:r w:rsidR="004E4BE4" w:rsidRPr="00ED4583">
        <w:rPr>
          <w:rFonts w:ascii="Times New Roman" w:hAnsi="Times New Roman"/>
          <w:b/>
        </w:rPr>
        <w:t xml:space="preserve"> a </w:t>
      </w:r>
      <w:r w:rsidRPr="00ED4583">
        <w:rPr>
          <w:rFonts w:ascii="Times New Roman" w:hAnsi="Times New Roman"/>
          <w:b/>
        </w:rPr>
        <w:t>frekvencia</w:t>
      </w:r>
      <w:bookmarkEnd w:id="31"/>
      <w:bookmarkEnd w:id="34"/>
      <w:bookmarkEnd w:id="32"/>
      <w:bookmarkEnd w:id="33"/>
    </w:p>
    <w:p w:rsidR="00D91BC3" w:rsidRPr="004E4BE4" w:rsidRDefault="00D91BC3" w:rsidP="00217B44">
      <w:pPr>
        <w:pStyle w:val="BodyText1"/>
      </w:pPr>
    </w:p>
    <w:p w:rsidR="00F4754B" w:rsidRPr="004E4BE4" w:rsidRDefault="00500508" w:rsidP="00500508">
      <w:pPr>
        <w:pStyle w:val="BodyText1"/>
        <w:spacing w:line="240" w:lineRule="auto"/>
        <w:ind w:left="720" w:hanging="360"/>
        <w:rPr>
          <w:rFonts w:ascii="Times New Roman" w:hAnsi="Times New Roman"/>
        </w:rPr>
      </w:pPr>
      <w:bookmarkStart w:id="35" w:name="_Toc322533849"/>
      <w:r w:rsidRPr="004E4BE4">
        <w:rPr>
          <w:rFonts w:ascii="Times New Roman" w:hAnsi="Times New Roman"/>
        </w:rPr>
        <w:t>1.</w:t>
      </w:r>
      <w:r w:rsidRPr="004E4BE4">
        <w:tab/>
      </w:r>
      <w:r w:rsidRPr="004E4BE4">
        <w:rPr>
          <w:rFonts w:ascii="Times New Roman" w:hAnsi="Times New Roman"/>
        </w:rPr>
        <w:t>Vzor ukazovateľa finančnej páky je rozdelený na dve časti. Časť A zahŕňa všetky údajové položky, ktoré sa používajú pri výpočte ukazovateľa finančnej páky</w:t>
      </w:r>
      <w:r w:rsidR="004E4BE4">
        <w:rPr>
          <w:rFonts w:ascii="Times New Roman" w:hAnsi="Times New Roman"/>
        </w:rPr>
        <w:t xml:space="preserve"> a </w:t>
      </w:r>
      <w:r w:rsidRPr="004E4BE4">
        <w:rPr>
          <w:rFonts w:ascii="Times New Roman" w:hAnsi="Times New Roman"/>
        </w:rPr>
        <w:t>ktoré inštitúcie predkladajú príslušným orgánom</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430 ods. 1 prvým pododsekom CRR, zatiaľ čo časť B zahŕňa všetky údajové položky, ktoré inštitúcie predkladajú</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430 ods. 1 druhým pododsekom CRR (t. j. na účely správy uvedenej</w:t>
      </w:r>
      <w:r w:rsidR="004E4BE4">
        <w:rPr>
          <w:rFonts w:ascii="Times New Roman" w:hAnsi="Times New Roman"/>
        </w:rPr>
        <w:t xml:space="preserve"> v </w:t>
      </w:r>
      <w:r w:rsidRPr="004E4BE4">
        <w:rPr>
          <w:rFonts w:ascii="Times New Roman" w:hAnsi="Times New Roman"/>
        </w:rPr>
        <w:t>článku 511 CRR).</w:t>
      </w:r>
    </w:p>
    <w:p w:rsidR="00FC2664" w:rsidRPr="004E4BE4" w:rsidRDefault="00FC2664" w:rsidP="00F4754B">
      <w:pPr>
        <w:pStyle w:val="BodyText1"/>
        <w:rPr>
          <w:rFonts w:ascii="Times New Roman" w:hAnsi="Times New Roman"/>
        </w:rPr>
      </w:pPr>
    </w:p>
    <w:p w:rsidR="00FF2091"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w:t>
      </w:r>
      <w:r w:rsidRPr="004E4BE4">
        <w:tab/>
      </w:r>
      <w:r w:rsidRPr="004E4BE4">
        <w:rPr>
          <w:rFonts w:ascii="Times New Roman" w:hAnsi="Times New Roman"/>
        </w:rPr>
        <w:t>Pri zostavovaní údajov pre tento vykonávací technický predpis inštitúcie zohľadňujú zaobchádzanie so spravovanými aktívami</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13 CRR.</w:t>
      </w:r>
    </w:p>
    <w:p w:rsidR="00FC2664" w:rsidRPr="004E4BE4" w:rsidRDefault="00FC2664" w:rsidP="00F4754B">
      <w:pPr>
        <w:pStyle w:val="BodyText1"/>
        <w:rPr>
          <w:rFonts w:ascii="Times New Roman" w:hAnsi="Times New Roman"/>
        </w:rPr>
      </w:pPr>
    </w:p>
    <w:p w:rsidR="00505096" w:rsidRPr="00ED4583" w:rsidRDefault="00500508" w:rsidP="00500508">
      <w:pPr>
        <w:pStyle w:val="BodyText1"/>
        <w:ind w:left="357" w:hanging="357"/>
        <w:outlineLvl w:val="1"/>
        <w:rPr>
          <w:rFonts w:ascii="Times New Roman" w:hAnsi="Times New Roman"/>
          <w:b/>
        </w:rPr>
      </w:pPr>
      <w:bookmarkStart w:id="36" w:name="_Toc359414283"/>
      <w:bookmarkStart w:id="37" w:name="_Toc524086721"/>
      <w:r w:rsidRPr="00ED4583">
        <w:rPr>
          <w:rFonts w:ascii="Times New Roman" w:hAnsi="Times New Roman"/>
          <w:b/>
        </w:rPr>
        <w:t>2.</w:t>
      </w:r>
      <w:r w:rsidRPr="004E4BE4">
        <w:tab/>
      </w:r>
      <w:r w:rsidRPr="00ED4583">
        <w:rPr>
          <w:rFonts w:ascii="Times New Roman" w:hAnsi="Times New Roman"/>
          <w:b/>
        </w:rPr>
        <w:t>Vzorce na výpočet ukazovateľa finančnej páky</w:t>
      </w:r>
      <w:bookmarkEnd w:id="36"/>
      <w:bookmarkEnd w:id="37"/>
    </w:p>
    <w:p w:rsidR="00B9185D" w:rsidRPr="004E4BE4" w:rsidRDefault="00B9185D" w:rsidP="00FF2091">
      <w:pPr>
        <w:pStyle w:val="BodyText1"/>
        <w:spacing w:line="240" w:lineRule="auto"/>
        <w:rPr>
          <w:rFonts w:ascii="Times New Roman" w:hAnsi="Times New Roman"/>
        </w:rPr>
      </w:pP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3.</w:t>
      </w:r>
      <w:r w:rsidRPr="004E4BE4">
        <w:tab/>
      </w:r>
      <w:r w:rsidRPr="004E4BE4">
        <w:rPr>
          <w:rFonts w:ascii="Times New Roman" w:hAnsi="Times New Roman"/>
        </w:rPr>
        <w:t>Ukazovateľ finančnej páky je založený na miere kapitálu</w:t>
      </w:r>
      <w:r w:rsidR="004E4BE4">
        <w:rPr>
          <w:rFonts w:ascii="Times New Roman" w:hAnsi="Times New Roman"/>
        </w:rPr>
        <w:t xml:space="preserve"> a </w:t>
      </w:r>
      <w:r w:rsidRPr="004E4BE4">
        <w:rPr>
          <w:rFonts w:ascii="Times New Roman" w:hAnsi="Times New Roman"/>
        </w:rPr>
        <w:t>veľkosti celkovej expozície, ktoré sa môžu vypočítať pomocou buniek</w:t>
      </w:r>
      <w:r w:rsidR="004E4BE4">
        <w:rPr>
          <w:rFonts w:ascii="Times New Roman" w:hAnsi="Times New Roman"/>
        </w:rPr>
        <w:t xml:space="preserve"> z </w:t>
      </w:r>
      <w:r w:rsidRPr="004E4BE4">
        <w:rPr>
          <w:rFonts w:ascii="Times New Roman" w:hAnsi="Times New Roman"/>
        </w:rPr>
        <w:t>časti A</w:t>
      </w:r>
      <w:r w:rsidR="004E4BE4" w:rsidRPr="004E4BE4">
        <w:rPr>
          <w:rFonts w:ascii="Times New Roman" w:hAnsi="Times New Roman"/>
        </w:rPr>
        <w:t>.</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4.</w:t>
      </w:r>
      <w:r w:rsidRPr="004E4BE4">
        <w:tab/>
      </w:r>
      <w:r w:rsidRPr="004E4BE4">
        <w:rPr>
          <w:rFonts w:ascii="Times New Roman" w:hAnsi="Times New Roman"/>
        </w:rPr>
        <w:t>Ukazovateľ finančnej páky – úplne zavedené vymedzenie = {LRCalc;310;010}/{LRCalc;290;010}.</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5.</w:t>
      </w:r>
      <w:r w:rsidRPr="004E4BE4">
        <w:tab/>
      </w:r>
      <w:r w:rsidRPr="004E4BE4">
        <w:rPr>
          <w:rFonts w:ascii="Times New Roman" w:hAnsi="Times New Roman"/>
        </w:rPr>
        <w:t>Ukazovateľ finančnej páky – prechodné vymedzenie = {LRCalc;320;010}/{LRCalc;300;010}.</w:t>
      </w:r>
    </w:p>
    <w:p w:rsidR="00FC2664" w:rsidRPr="004E4BE4" w:rsidRDefault="00FC2664" w:rsidP="007E2A41">
      <w:pPr>
        <w:pStyle w:val="BodyText1"/>
        <w:spacing w:line="240" w:lineRule="auto"/>
        <w:rPr>
          <w:rFonts w:ascii="Times New Roman" w:hAnsi="Times New Roman"/>
        </w:rPr>
      </w:pPr>
      <w:bookmarkStart w:id="38" w:name="_Toc322533852"/>
      <w:bookmarkEnd w:id="35"/>
    </w:p>
    <w:p w:rsidR="00FC2664" w:rsidRPr="004E4BE4" w:rsidRDefault="00FC2664" w:rsidP="007E2A41">
      <w:pPr>
        <w:pStyle w:val="BodyText1"/>
        <w:spacing w:line="240" w:lineRule="auto"/>
        <w:rPr>
          <w:rFonts w:ascii="Times New Roman" w:hAnsi="Times New Roman"/>
        </w:rPr>
      </w:pPr>
    </w:p>
    <w:p w:rsidR="00505096" w:rsidRPr="00ED4583" w:rsidRDefault="00500508" w:rsidP="00500508">
      <w:pPr>
        <w:pStyle w:val="BodyText1"/>
        <w:ind w:left="357" w:hanging="357"/>
        <w:outlineLvl w:val="1"/>
        <w:rPr>
          <w:rFonts w:ascii="Times New Roman" w:hAnsi="Times New Roman"/>
          <w:b/>
        </w:rPr>
      </w:pPr>
      <w:bookmarkStart w:id="39" w:name="_Toc359414284"/>
      <w:bookmarkStart w:id="40" w:name="_Toc524086722"/>
      <w:r w:rsidRPr="00ED4583">
        <w:rPr>
          <w:rFonts w:ascii="Times New Roman" w:hAnsi="Times New Roman"/>
          <w:b/>
        </w:rPr>
        <w:t>3.</w:t>
      </w:r>
      <w:r w:rsidRPr="004E4BE4">
        <w:tab/>
      </w:r>
      <w:r w:rsidRPr="00ED4583">
        <w:rPr>
          <w:rFonts w:ascii="Times New Roman" w:hAnsi="Times New Roman"/>
          <w:b/>
        </w:rPr>
        <w:t>Prahy významnosti pre deriváty</w:t>
      </w:r>
      <w:bookmarkEnd w:id="39"/>
      <w:bookmarkEnd w:id="40"/>
    </w:p>
    <w:p w:rsidR="00505096" w:rsidRPr="004E4BE4" w:rsidRDefault="00505096" w:rsidP="007E2A41">
      <w:pPr>
        <w:pStyle w:val="BodyText1"/>
        <w:spacing w:line="240" w:lineRule="auto"/>
        <w:rPr>
          <w:rFonts w:ascii="Times New Roman" w:hAnsi="Times New Roman"/>
        </w:rPr>
      </w:pPr>
    </w:p>
    <w:p w:rsidR="00505096" w:rsidRPr="004E4BE4" w:rsidRDefault="00505096"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6.</w:t>
      </w:r>
      <w:r w:rsidRPr="004E4BE4">
        <w:tab/>
      </w:r>
      <w:r w:rsidRPr="004E4BE4">
        <w:rPr>
          <w:rFonts w:ascii="Times New Roman" w:hAnsi="Times New Roman"/>
        </w:rPr>
        <w:t>S cieľom znížiť záťaž spojenú</w:t>
      </w:r>
      <w:r w:rsidR="004E4BE4">
        <w:rPr>
          <w:rFonts w:ascii="Times New Roman" w:hAnsi="Times New Roman"/>
        </w:rPr>
        <w:t xml:space="preserve"> s </w:t>
      </w:r>
      <w:r w:rsidRPr="004E4BE4">
        <w:rPr>
          <w:rFonts w:ascii="Times New Roman" w:hAnsi="Times New Roman"/>
        </w:rPr>
        <w:t>vykazovaním pre inštitúcie</w:t>
      </w:r>
      <w:r w:rsidR="004E4BE4">
        <w:rPr>
          <w:rFonts w:ascii="Times New Roman" w:hAnsi="Times New Roman"/>
        </w:rPr>
        <w:t xml:space="preserve"> s </w:t>
      </w:r>
      <w:r w:rsidRPr="004E4BE4">
        <w:rPr>
          <w:rFonts w:ascii="Times New Roman" w:hAnsi="Times New Roman"/>
        </w:rPr>
        <w:t>obmedzenými expozíciami derivátov sa na zmeranie relatívnej významnosti derivátových expozícií na celkovej expozícii ukazovateľa finančnej páky použijú nasledujúce veľkosti. Inštitúcie vypočítavajú tieto veľkosti takto</w:t>
      </w:r>
      <w:bookmarkStart w:id="41" w:name="_Toc322533853"/>
      <w:bookmarkEnd w:id="38"/>
      <w:r w:rsidRPr="004E4BE4">
        <w:rPr>
          <w:rFonts w:ascii="Times New Roman" w:hAnsi="Times New Roman"/>
        </w:rPr>
        <w:t>:</w:t>
      </w:r>
    </w:p>
    <w:p w:rsidR="00A30899" w:rsidRPr="004E4BE4" w:rsidRDefault="00A30899" w:rsidP="007E2A41">
      <w:pPr>
        <w:pStyle w:val="ListParagraph"/>
        <w:rPr>
          <w:rFonts w:ascii="Times New Roman" w:hAnsi="Times New Roman"/>
          <w:szCs w:val="20"/>
        </w:rPr>
      </w:pPr>
    </w:p>
    <w:p w:rsidR="00A30899" w:rsidRPr="004E4BE4" w:rsidRDefault="00500508" w:rsidP="00500508">
      <w:pPr>
        <w:pStyle w:val="BodyText1"/>
        <w:spacing w:line="240" w:lineRule="auto"/>
        <w:ind w:left="720" w:hanging="360"/>
        <w:jc w:val="left"/>
        <w:rPr>
          <w:rFonts w:ascii="Times New Roman" w:hAnsi="Times New Roman"/>
        </w:rPr>
      </w:pPr>
      <w:bookmarkStart w:id="42" w:name="_Toc322533854"/>
      <w:bookmarkEnd w:id="41"/>
      <w:r w:rsidRPr="004E4BE4">
        <w:rPr>
          <w:rFonts w:ascii="Times New Roman" w:hAnsi="Times New Roman"/>
        </w:rPr>
        <w:t>7.</w:t>
      </w:r>
      <w:r w:rsidRPr="004E4BE4">
        <w:tab/>
      </w:r>
      <w:r w:rsidRPr="004E4BE4">
        <w:rPr>
          <w:rFonts w:ascii="Times New Roman" w:hAnsi="Times New Roman"/>
        </w:rPr>
        <w:t xml:space="preserve">Podiel derivátov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Pr="004E4BE4">
        <w:rPr>
          <w:rFonts w:ascii="Times New Roman" w:hAnsi="Times New Roman"/>
        </w:rPr>
        <w:t>.</w:t>
      </w:r>
    </w:p>
    <w:p w:rsidR="00FC2664" w:rsidRPr="004E4BE4" w:rsidRDefault="00FC2664" w:rsidP="007E2A41">
      <w:pPr>
        <w:pStyle w:val="BodyText1"/>
        <w:spacing w:line="240" w:lineRule="auto"/>
        <w:rPr>
          <w:rFonts w:ascii="Times New Roman" w:hAnsi="Times New Roman"/>
        </w:rPr>
      </w:pPr>
    </w:p>
    <w:p w:rsidR="00EB7F6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8.</w:t>
      </w:r>
      <w:r w:rsidRPr="004E4BE4">
        <w:tab/>
      </w:r>
      <w:r w:rsidRPr="004E4BE4">
        <w:rPr>
          <w:rFonts w:ascii="Times New Roman" w:hAnsi="Times New Roman"/>
        </w:rPr>
        <w:t>Kde sa veľkosť celkovej expozície rovná: {LRCalc;290;010}.</w:t>
      </w:r>
    </w:p>
    <w:p w:rsidR="00F4754B" w:rsidRPr="004E4BE4" w:rsidRDefault="00F4754B" w:rsidP="00E5591F">
      <w:pPr>
        <w:pStyle w:val="BodyText1"/>
        <w:spacing w:line="240" w:lineRule="auto"/>
        <w:ind w:left="720"/>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9.</w:t>
      </w:r>
      <w:r w:rsidRPr="004E4BE4">
        <w:tab/>
      </w:r>
      <w:r w:rsidRPr="004E4BE4">
        <w:rPr>
          <w:rFonts w:ascii="Times New Roman" w:hAnsi="Times New Roman"/>
        </w:rPr>
        <w:t>Celková pomyselná hodnota uvádzaná</w:t>
      </w:r>
      <w:r w:rsidR="004E4BE4">
        <w:rPr>
          <w:rFonts w:ascii="Times New Roman" w:hAnsi="Times New Roman"/>
        </w:rPr>
        <w:t xml:space="preserve"> v </w:t>
      </w:r>
      <w:r w:rsidRPr="004E4BE4">
        <w:rPr>
          <w:rFonts w:ascii="Times New Roman" w:hAnsi="Times New Roman"/>
        </w:rPr>
        <w:t>derivátoch = {LR1; 010;070}. Toto je bunka, ktorú inštitúcie musia vždy vykazovať.</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10.</w:t>
      </w:r>
      <w:r w:rsidRPr="004E4BE4">
        <w:tab/>
      </w:r>
      <w:r w:rsidRPr="004E4BE4">
        <w:rPr>
          <w:rFonts w:ascii="Times New Roman" w:hAnsi="Times New Roman"/>
        </w:rPr>
        <w:t>Objem kreditných derivátov = {LR1;020;070} + {LR1;050;070}. Toto sú bunky, ktoré inštitúcie musia vždy vykazovať.</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11.</w:t>
      </w:r>
      <w:r w:rsidRPr="004E4BE4">
        <w:tab/>
      </w:r>
      <w:r w:rsidRPr="004E4BE4">
        <w:rPr>
          <w:rFonts w:ascii="Times New Roman" w:hAnsi="Times New Roman"/>
        </w:rPr>
        <w:t>Inštitúcie sú povinné vykázať bunky uvedené</w:t>
      </w:r>
      <w:r w:rsidR="004E4BE4">
        <w:rPr>
          <w:rFonts w:ascii="Times New Roman" w:hAnsi="Times New Roman"/>
        </w:rPr>
        <w:t xml:space="preserve"> v </w:t>
      </w:r>
      <w:r w:rsidRPr="004E4BE4">
        <w:rPr>
          <w:rFonts w:ascii="Times New Roman" w:hAnsi="Times New Roman"/>
        </w:rPr>
        <w:t>odseku 14</w:t>
      </w:r>
      <w:r w:rsidR="004E4BE4">
        <w:rPr>
          <w:rFonts w:ascii="Times New Roman" w:hAnsi="Times New Roman"/>
        </w:rPr>
        <w:t xml:space="preserve"> v </w:t>
      </w:r>
      <w:r w:rsidRPr="004E4BE4">
        <w:rPr>
          <w:rFonts w:ascii="Times New Roman" w:hAnsi="Times New Roman"/>
        </w:rPr>
        <w:t>nasledujúcom období vykazovania, ak je splnená ktorákoľvek</w:t>
      </w:r>
      <w:r w:rsidR="004E4BE4">
        <w:rPr>
          <w:rFonts w:ascii="Times New Roman" w:hAnsi="Times New Roman"/>
        </w:rPr>
        <w:t xml:space="preserve"> z </w:t>
      </w:r>
      <w:r w:rsidRPr="004E4BE4">
        <w:rPr>
          <w:rFonts w:ascii="Times New Roman" w:hAnsi="Times New Roman"/>
        </w:rPr>
        <w:t>týchto podmienok:</w:t>
      </w:r>
    </w:p>
    <w:p w:rsidR="00607A1B" w:rsidRPr="004E4BE4" w:rsidRDefault="00607A1B" w:rsidP="00607A1B">
      <w:pPr>
        <w:pStyle w:val="BodyText1"/>
        <w:spacing w:line="240" w:lineRule="auto"/>
        <w:ind w:left="720"/>
        <w:rPr>
          <w:rFonts w:ascii="Times New Roman" w:hAnsi="Times New Roman"/>
        </w:rPr>
      </w:pPr>
    </w:p>
    <w:p w:rsidR="00F4754B" w:rsidRPr="004E4BE4" w:rsidRDefault="00500508" w:rsidP="00FA2BAB">
      <w:pPr>
        <w:pStyle w:val="InstructionsText2"/>
        <w:numPr>
          <w:ilvl w:val="0"/>
          <w:numId w:val="48"/>
        </w:numPr>
        <w:rPr>
          <w:rFonts w:ascii="Symbol" w:eastAsia="Times New Roman" w:hAnsi="Symbol"/>
          <w:bCs/>
          <w:szCs w:val="17"/>
        </w:rPr>
      </w:pPr>
      <w:r w:rsidRPr="004E4BE4">
        <w:t>podiel derivátov uvedený</w:t>
      </w:r>
      <w:r w:rsidR="004E4BE4">
        <w:t xml:space="preserve"> v </w:t>
      </w:r>
      <w:r w:rsidRPr="004E4BE4">
        <w:t>odseku 7 je ku dvom za sebou nasledujúcim referenčným dátumom vykazovania vyšší ako 1,5</w:t>
      </w:r>
      <w:r w:rsidR="004E4BE4">
        <w:t> %</w:t>
      </w:r>
      <w:r w:rsidRPr="004E4BE4">
        <w:t>;</w:t>
      </w:r>
    </w:p>
    <w:p w:rsidR="00675587" w:rsidRPr="004E4BE4" w:rsidRDefault="00500508" w:rsidP="00FA2BAB">
      <w:pPr>
        <w:pStyle w:val="InstructionsText2"/>
        <w:numPr>
          <w:ilvl w:val="0"/>
          <w:numId w:val="48"/>
        </w:numPr>
        <w:rPr>
          <w:rFonts w:ascii="Symbol" w:eastAsia="Times New Roman" w:hAnsi="Symbol"/>
          <w:bCs/>
          <w:szCs w:val="17"/>
        </w:rPr>
      </w:pPr>
      <w:r w:rsidRPr="004E4BE4">
        <w:t>podiel derivátov uvedený</w:t>
      </w:r>
      <w:r w:rsidR="004E4BE4">
        <w:t xml:space="preserve"> v </w:t>
      </w:r>
      <w:r w:rsidRPr="004E4BE4">
        <w:t>odseku 7 presahuje 2,0</w:t>
      </w:r>
      <w:r w:rsidR="004E4BE4">
        <w:t> %</w:t>
      </w:r>
      <w:r w:rsidRPr="004E4BE4">
        <w:t>.</w:t>
      </w:r>
    </w:p>
    <w:p w:rsidR="00F4754B" w:rsidRPr="004E4BE4" w:rsidRDefault="00F4754B"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12.</w:t>
      </w:r>
      <w:r w:rsidRPr="004E4BE4">
        <w:tab/>
      </w: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prípade ktorých celková pomyselná hodnota uvádzaná</w:t>
      </w:r>
      <w:r w:rsidR="004E4BE4">
        <w:rPr>
          <w:rFonts w:ascii="Times New Roman" w:hAnsi="Times New Roman"/>
        </w:rPr>
        <w:t xml:space="preserve"> v </w:t>
      </w:r>
      <w:r w:rsidRPr="004E4BE4">
        <w:rPr>
          <w:rFonts w:ascii="Times New Roman" w:hAnsi="Times New Roman"/>
        </w:rPr>
        <w:t>derivátoch podľa vymedzenia</w:t>
      </w:r>
      <w:r w:rsidR="004E4BE4">
        <w:rPr>
          <w:rFonts w:ascii="Times New Roman" w:hAnsi="Times New Roman"/>
        </w:rPr>
        <w:t xml:space="preserve"> v </w:t>
      </w:r>
      <w:r w:rsidRPr="004E4BE4">
        <w:rPr>
          <w:rFonts w:ascii="Times New Roman" w:hAnsi="Times New Roman"/>
        </w:rPr>
        <w:t>odseku 9 presahuje 10 miliárd EUR, vykazujú bunky uvedené</w:t>
      </w:r>
      <w:r w:rsidR="004E4BE4">
        <w:rPr>
          <w:rFonts w:ascii="Times New Roman" w:hAnsi="Times New Roman"/>
        </w:rPr>
        <w:t xml:space="preserve"> v </w:t>
      </w:r>
      <w:r w:rsidRPr="004E4BE4">
        <w:rPr>
          <w:rFonts w:ascii="Times New Roman" w:hAnsi="Times New Roman"/>
        </w:rPr>
        <w:t>odseku 14, aj keď ich podiel derivátov nespĺňa podmienky uvedené</w:t>
      </w:r>
      <w:r w:rsidR="004E4BE4">
        <w:rPr>
          <w:rFonts w:ascii="Times New Roman" w:hAnsi="Times New Roman"/>
        </w:rPr>
        <w:t xml:space="preserve"> v </w:t>
      </w:r>
      <w:r w:rsidRPr="004E4BE4">
        <w:rPr>
          <w:rFonts w:ascii="Times New Roman" w:hAnsi="Times New Roman"/>
        </w:rPr>
        <w:t>odseku 11.</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13.</w:t>
      </w:r>
      <w:r w:rsidRPr="004E4BE4">
        <w:tab/>
      </w:r>
      <w:r w:rsidRPr="004E4BE4">
        <w:rPr>
          <w:rFonts w:ascii="Times New Roman" w:hAnsi="Times New Roman"/>
        </w:rPr>
        <w:t>Inštitúcie sú povinné vykazovať bunky uvedené</w:t>
      </w:r>
      <w:r w:rsidR="004E4BE4">
        <w:rPr>
          <w:rFonts w:ascii="Times New Roman" w:hAnsi="Times New Roman"/>
        </w:rPr>
        <w:t xml:space="preserve"> v </w:t>
      </w:r>
      <w:r w:rsidRPr="004E4BE4">
        <w:rPr>
          <w:rFonts w:ascii="Times New Roman" w:hAnsi="Times New Roman"/>
        </w:rPr>
        <w:t>odseku 15, ak je splnená ktorákoľvek</w:t>
      </w:r>
      <w:r w:rsidR="004E4BE4">
        <w:rPr>
          <w:rFonts w:ascii="Times New Roman" w:hAnsi="Times New Roman"/>
        </w:rPr>
        <w:t xml:space="preserve"> z </w:t>
      </w:r>
      <w:r w:rsidRPr="004E4BE4">
        <w:rPr>
          <w:rFonts w:ascii="Times New Roman" w:hAnsi="Times New Roman"/>
        </w:rPr>
        <w:t>týchto podmienok:</w:t>
      </w:r>
    </w:p>
    <w:p w:rsidR="00607A1B" w:rsidRPr="004E4BE4" w:rsidRDefault="00607A1B" w:rsidP="00607A1B">
      <w:pPr>
        <w:pStyle w:val="BodyText1"/>
        <w:spacing w:line="240" w:lineRule="auto"/>
        <w:rPr>
          <w:rFonts w:ascii="Times New Roman" w:hAnsi="Times New Roman"/>
        </w:rPr>
      </w:pPr>
    </w:p>
    <w:p w:rsidR="00F4754B" w:rsidRPr="004E4BE4" w:rsidRDefault="00500508" w:rsidP="00FA2BAB">
      <w:pPr>
        <w:pStyle w:val="InstructionsText2"/>
        <w:numPr>
          <w:ilvl w:val="0"/>
          <w:numId w:val="49"/>
        </w:numPr>
        <w:rPr>
          <w:rFonts w:ascii="Symbol" w:eastAsia="Times New Roman" w:hAnsi="Symbol"/>
          <w:bCs/>
          <w:szCs w:val="17"/>
        </w:rPr>
      </w:pPr>
      <w:r w:rsidRPr="004E4BE4">
        <w:t>objem kreditných derivátov uvedený</w:t>
      </w:r>
      <w:r w:rsidR="004E4BE4">
        <w:t xml:space="preserve"> v </w:t>
      </w:r>
      <w:r w:rsidRPr="004E4BE4">
        <w:t>odseku 10 je ku dvom za sebou nasledujúcim referenčným dátumom vykazovania vyšší ako 300 miliónov EUR,</w:t>
      </w:r>
    </w:p>
    <w:p w:rsidR="00675587" w:rsidRPr="004E4BE4" w:rsidRDefault="00500508" w:rsidP="00FA2BAB">
      <w:pPr>
        <w:pStyle w:val="InstructionsText2"/>
        <w:numPr>
          <w:ilvl w:val="0"/>
          <w:numId w:val="49"/>
        </w:numPr>
        <w:rPr>
          <w:rFonts w:ascii="Symbol" w:eastAsia="Times New Roman" w:hAnsi="Symbol"/>
          <w:bCs/>
          <w:szCs w:val="17"/>
        </w:rPr>
      </w:pPr>
      <w:r w:rsidRPr="004E4BE4">
        <w:t>objem kreditných derivátov uvedený</w:t>
      </w:r>
      <w:r w:rsidR="004E4BE4">
        <w:t xml:space="preserve"> v </w:t>
      </w:r>
      <w:r w:rsidRPr="004E4BE4">
        <w:t>odseku 10 presahuje 500 miliónov EUR.</w:t>
      </w:r>
    </w:p>
    <w:p w:rsidR="00F4754B" w:rsidRPr="004E4BE4" w:rsidRDefault="00F4754B" w:rsidP="00E5591F">
      <w:pPr>
        <w:pStyle w:val="BodyText1"/>
        <w:spacing w:line="240" w:lineRule="auto"/>
        <w:jc w:val="left"/>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14.</w:t>
      </w:r>
      <w:r w:rsidRPr="004E4BE4">
        <w:tab/>
      </w:r>
      <w:r w:rsidRPr="004E4BE4">
        <w:rPr>
          <w:rFonts w:ascii="Times New Roman" w:hAnsi="Times New Roman"/>
        </w:rPr>
        <w:t>Bunky, ktoré sú inštitúcie povinné vykazovať</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odsekom 11, sú tieto: {LR1;010;010}, {LR1;010;020}, {LR1;010;050}, {LR1;020;010}, {LR1;020;020}, {LR1;020;050}, {LR1;030;050}, {LR1;030;070}, {LR1;040;050}, {LR1;040;070}, {LR1;050;010}, {LR1;050;020}, {LR1;050;050}, {LR1;060;010}, {LR1;060;020}, {LR1;060;050}</w:t>
      </w:r>
      <w:r w:rsidR="004E4BE4">
        <w:rPr>
          <w:rFonts w:ascii="Times New Roman" w:hAnsi="Times New Roman"/>
        </w:rPr>
        <w:t xml:space="preserve"> a </w:t>
      </w:r>
      <w:r w:rsidRPr="004E4BE4">
        <w:rPr>
          <w:rFonts w:ascii="Times New Roman" w:hAnsi="Times New Roman"/>
        </w:rPr>
        <w:t>{LR1;060;070}.</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15.</w:t>
      </w:r>
      <w:r w:rsidRPr="004E4BE4">
        <w:tab/>
      </w:r>
      <w:r w:rsidRPr="004E4BE4">
        <w:rPr>
          <w:rFonts w:ascii="Times New Roman" w:hAnsi="Times New Roman"/>
        </w:rPr>
        <w:t>Bunky, ktoré sú inštitúcie povinné vykazovať</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odsekom 13, sú tieto: {LR1;020;075}, {LR1;050;075}</w:t>
      </w:r>
      <w:r w:rsidR="004E4BE4">
        <w:rPr>
          <w:rFonts w:ascii="Times New Roman" w:hAnsi="Times New Roman"/>
        </w:rPr>
        <w:t xml:space="preserve"> a </w:t>
      </w:r>
      <w:r w:rsidRPr="004E4BE4">
        <w:rPr>
          <w:rFonts w:ascii="Times New Roman" w:hAnsi="Times New Roman"/>
        </w:rPr>
        <w:t>{LR1;050;085}.</w:t>
      </w:r>
    </w:p>
    <w:p w:rsidR="00FC2664" w:rsidRPr="004E4BE4" w:rsidRDefault="00FC2664" w:rsidP="007E2A41">
      <w:pPr>
        <w:pStyle w:val="BodyText1"/>
        <w:spacing w:line="240" w:lineRule="auto"/>
        <w:rPr>
          <w:rFonts w:ascii="Times New Roman" w:hAnsi="Times New Roman"/>
        </w:rPr>
      </w:pPr>
    </w:p>
    <w:p w:rsidR="00FC2664" w:rsidRPr="00ED4583" w:rsidRDefault="00FC2664" w:rsidP="007E2A41">
      <w:pPr>
        <w:pStyle w:val="BodyText1"/>
        <w:spacing w:line="240" w:lineRule="auto"/>
        <w:rPr>
          <w:rFonts w:ascii="Times New Roman" w:hAnsi="Times New Roman"/>
          <w:b/>
        </w:rPr>
      </w:pPr>
      <w:bookmarkStart w:id="43" w:name="_Toc351048506"/>
      <w:bookmarkStart w:id="44" w:name="_Toc322687879"/>
      <w:bookmarkStart w:id="45" w:name="_Toc315961853"/>
      <w:bookmarkEnd w:id="42"/>
    </w:p>
    <w:p w:rsidR="00217D1F" w:rsidRPr="00ED4583" w:rsidRDefault="00500508" w:rsidP="00500508">
      <w:pPr>
        <w:pStyle w:val="BodyText1"/>
        <w:ind w:left="357" w:hanging="357"/>
        <w:outlineLvl w:val="1"/>
        <w:rPr>
          <w:rFonts w:ascii="Times New Roman" w:hAnsi="Times New Roman"/>
          <w:b/>
        </w:rPr>
      </w:pPr>
      <w:bookmarkStart w:id="46" w:name="_Toc359414285"/>
      <w:bookmarkStart w:id="47" w:name="_Toc524086723"/>
      <w:r w:rsidRPr="00ED4583">
        <w:rPr>
          <w:rFonts w:ascii="Times New Roman" w:hAnsi="Times New Roman"/>
          <w:b/>
        </w:rPr>
        <w:t>4.</w:t>
      </w:r>
      <w:r w:rsidRPr="004E4BE4">
        <w:tab/>
      </w:r>
      <w:r w:rsidRPr="00ED4583">
        <w:rPr>
          <w:rFonts w:ascii="Times New Roman" w:hAnsi="Times New Roman"/>
          <w:b/>
        </w:rPr>
        <w:t>C 47.00 – Výpočet ukazovateľa finančnej páky</w:t>
      </w:r>
      <w:bookmarkEnd w:id="43"/>
      <w:bookmarkEnd w:id="46"/>
      <w:r w:rsidRPr="00ED4583">
        <w:rPr>
          <w:rFonts w:ascii="Times New Roman" w:hAnsi="Times New Roman"/>
          <w:b/>
        </w:rPr>
        <w:t xml:space="preserve"> (LRCalc)</w:t>
      </w:r>
      <w:bookmarkEnd w:id="47"/>
    </w:p>
    <w:p w:rsidR="00F4754B" w:rsidRPr="004E4BE4" w:rsidRDefault="00F4754B" w:rsidP="00F4754B">
      <w:pPr>
        <w:pStyle w:val="BodyText1"/>
        <w:rPr>
          <w:rFonts w:ascii="Times New Roman" w:hAnsi="Times New Roman"/>
        </w:rPr>
      </w:pPr>
    </w:p>
    <w:p w:rsidR="00AE2798" w:rsidRPr="004E4BE4" w:rsidRDefault="00AE2798" w:rsidP="00AE2798">
      <w:pPr>
        <w:pStyle w:val="BodyText1"/>
        <w:spacing w:line="240" w:lineRule="auto"/>
        <w:rPr>
          <w:rFonts w:ascii="Times New Roman" w:hAnsi="Times New Roman"/>
        </w:rPr>
      </w:pP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16.</w:t>
      </w:r>
      <w:r w:rsidRPr="004E4BE4">
        <w:tab/>
      </w:r>
      <w:r w:rsidRPr="004E4BE4">
        <w:rPr>
          <w:rFonts w:ascii="Times New Roman" w:hAnsi="Times New Roman"/>
        </w:rPr>
        <w:t>V tejto časti vzoru pre vykazovanie sa zhromažďujú údaje potrebné na výpočet ukazovateľa finančnej páky podľa vymedzenia</w:t>
      </w:r>
      <w:r w:rsidR="004E4BE4">
        <w:rPr>
          <w:rFonts w:ascii="Times New Roman" w:hAnsi="Times New Roman"/>
        </w:rPr>
        <w:t xml:space="preserve"> v </w:t>
      </w:r>
      <w:r w:rsidRPr="004E4BE4">
        <w:rPr>
          <w:rFonts w:ascii="Times New Roman" w:hAnsi="Times New Roman"/>
        </w:rPr>
        <w:t>článkoch 429, 429a</w:t>
      </w:r>
      <w:r w:rsidR="004E4BE4">
        <w:rPr>
          <w:rFonts w:ascii="Times New Roman" w:hAnsi="Times New Roman"/>
        </w:rPr>
        <w:t xml:space="preserve"> a </w:t>
      </w:r>
      <w:r w:rsidRPr="004E4BE4">
        <w:rPr>
          <w:rFonts w:ascii="Times New Roman" w:hAnsi="Times New Roman"/>
        </w:rPr>
        <w:t>429b CRR</w:t>
      </w:r>
      <w:r w:rsidR="004E4BE4" w:rsidRPr="004E4BE4">
        <w:rPr>
          <w:rFonts w:ascii="Times New Roman" w:hAnsi="Times New Roman"/>
        </w:rPr>
        <w:t>.</w:t>
      </w:r>
    </w:p>
    <w:p w:rsidR="00AE2798" w:rsidRPr="004E4BE4" w:rsidRDefault="00AE2798" w:rsidP="00AE2798">
      <w:pPr>
        <w:pStyle w:val="BodyText1"/>
        <w:spacing w:line="240" w:lineRule="auto"/>
        <w:rPr>
          <w:rFonts w:ascii="Times New Roman" w:hAnsi="Times New Roman"/>
        </w:rPr>
      </w:pPr>
    </w:p>
    <w:p w:rsidR="00AE2798"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17.</w:t>
      </w:r>
      <w:r w:rsidRPr="004E4BE4">
        <w:tab/>
      </w:r>
      <w:r w:rsidRPr="004E4BE4">
        <w:rPr>
          <w:rFonts w:ascii="Times New Roman" w:hAnsi="Times New Roman"/>
        </w:rPr>
        <w:t>Inštitúcie podávajú správu</w:t>
      </w:r>
      <w:r w:rsidR="004E4BE4">
        <w:rPr>
          <w:rFonts w:ascii="Times New Roman" w:hAnsi="Times New Roman"/>
        </w:rPr>
        <w:t xml:space="preserve"> o </w:t>
      </w:r>
      <w:r w:rsidRPr="004E4BE4">
        <w:rPr>
          <w:rFonts w:ascii="Times New Roman" w:hAnsi="Times New Roman"/>
        </w:rPr>
        <w:t>ukazovateli finančnej páky štvrťročne.</w:t>
      </w:r>
      <w:r w:rsidR="004E4BE4">
        <w:rPr>
          <w:rFonts w:ascii="Times New Roman" w:hAnsi="Times New Roman"/>
        </w:rPr>
        <w:t xml:space="preserve"> V </w:t>
      </w:r>
      <w:r w:rsidRPr="004E4BE4">
        <w:rPr>
          <w:rFonts w:ascii="Times New Roman" w:hAnsi="Times New Roman"/>
        </w:rPr>
        <w:t>každom štvrťroku je hodnotou „k referenčnému dátumu vykazovania“ hodnota</w:t>
      </w:r>
      <w:r w:rsidR="004E4BE4">
        <w:rPr>
          <w:rFonts w:ascii="Times New Roman" w:hAnsi="Times New Roman"/>
        </w:rPr>
        <w:t xml:space="preserve"> k </w:t>
      </w:r>
      <w:r w:rsidRPr="004E4BE4">
        <w:rPr>
          <w:rFonts w:ascii="Times New Roman" w:hAnsi="Times New Roman"/>
        </w:rPr>
        <w:t>poslednému kalendárnemu dňu tretieho mesiaca príslušného štvrťroka.</w:t>
      </w:r>
    </w:p>
    <w:p w:rsidR="00C151ED" w:rsidRPr="004E4BE4" w:rsidRDefault="00C151ED" w:rsidP="00FD2C06">
      <w:pPr>
        <w:pStyle w:val="BodyText1"/>
        <w:spacing w:line="240" w:lineRule="auto"/>
        <w:ind w:left="720"/>
        <w:rPr>
          <w:rFonts w:ascii="Times New Roman" w:hAnsi="Times New Roman"/>
        </w:rPr>
      </w:pPr>
    </w:p>
    <w:p w:rsidR="00B011A0"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18.</w:t>
      </w:r>
      <w:r w:rsidRPr="004E4BE4">
        <w:tab/>
      </w:r>
      <w:r w:rsidRPr="004E4BE4">
        <w:rPr>
          <w:rFonts w:ascii="Times New Roman" w:hAnsi="Times New Roman"/>
        </w:rPr>
        <w:t>Inštitúcie vykazujú {010;010} až {030;010}, {060;010}, {090;010}, {110;010},</w:t>
      </w:r>
      <w:r w:rsidR="004E4BE4">
        <w:rPr>
          <w:rFonts w:ascii="Times New Roman" w:hAnsi="Times New Roman"/>
        </w:rPr>
        <w:t xml:space="preserve"> a </w:t>
      </w:r>
      <w:r w:rsidRPr="004E4BE4">
        <w:rPr>
          <w:rFonts w:ascii="Times New Roman" w:hAnsi="Times New Roman"/>
        </w:rPr>
        <w:t>{150;010} až {190;010} tak, ako keby sa vyňatia uvedené</w:t>
      </w:r>
      <w:r w:rsidR="004E4BE4">
        <w:rPr>
          <w:rFonts w:ascii="Times New Roman" w:hAnsi="Times New Roman"/>
        </w:rPr>
        <w:t xml:space="preserve"> v </w:t>
      </w:r>
      <w:r w:rsidRPr="004E4BE4">
        <w:rPr>
          <w:rFonts w:ascii="Times New Roman" w:hAnsi="Times New Roman"/>
        </w:rPr>
        <w:t>{050;010}, {080;010}, {100;010}, {120;010},</w:t>
      </w:r>
      <w:r w:rsidR="004E4BE4">
        <w:rPr>
          <w:rFonts w:ascii="Times New Roman" w:hAnsi="Times New Roman"/>
        </w:rPr>
        <w:t xml:space="preserve"> a </w:t>
      </w:r>
      <w:r w:rsidRPr="004E4BE4">
        <w:rPr>
          <w:rFonts w:ascii="Times New Roman" w:hAnsi="Times New Roman"/>
        </w:rPr>
        <w:t>{220;010} neuplatňovali.</w:t>
      </w:r>
    </w:p>
    <w:p w:rsidR="00F36D5B" w:rsidRPr="004E4BE4" w:rsidRDefault="00F36D5B" w:rsidP="00FD2C06">
      <w:pPr>
        <w:pStyle w:val="BodyText1"/>
        <w:spacing w:line="240" w:lineRule="auto"/>
        <w:ind w:left="720"/>
        <w:rPr>
          <w:rFonts w:ascii="Times New Roman" w:hAnsi="Times New Roman"/>
        </w:rPr>
      </w:pPr>
    </w:p>
    <w:p w:rsidR="00F36D5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19.</w:t>
      </w:r>
      <w:r w:rsidRPr="004E4BE4">
        <w:tab/>
      </w:r>
      <w:r w:rsidRPr="004E4BE4">
        <w:rPr>
          <w:rFonts w:ascii="Times New Roman" w:hAnsi="Times New Roman"/>
        </w:rPr>
        <w:t>Inštitúcie vykazujú {010;010} až {240;010} tak, ako keby sa vyňatia uvedené</w:t>
      </w:r>
      <w:r w:rsidR="004E4BE4">
        <w:rPr>
          <w:rFonts w:ascii="Times New Roman" w:hAnsi="Times New Roman"/>
        </w:rPr>
        <w:t xml:space="preserve"> v </w:t>
      </w:r>
      <w:r w:rsidRPr="004E4BE4">
        <w:rPr>
          <w:rFonts w:ascii="Times New Roman" w:hAnsi="Times New Roman"/>
        </w:rPr>
        <w:t>{250;010}</w:t>
      </w:r>
      <w:r w:rsidR="004E4BE4">
        <w:rPr>
          <w:rFonts w:ascii="Times New Roman" w:hAnsi="Times New Roman"/>
        </w:rPr>
        <w:t xml:space="preserve"> a </w:t>
      </w:r>
      <w:r w:rsidRPr="004E4BE4">
        <w:rPr>
          <w:rFonts w:ascii="Times New Roman" w:hAnsi="Times New Roman"/>
        </w:rPr>
        <w:t>{260;010} neuplatňovali.</w:t>
      </w:r>
    </w:p>
    <w:p w:rsidR="00720503" w:rsidRPr="004E4BE4" w:rsidRDefault="00720503" w:rsidP="00FD2C06">
      <w:pPr>
        <w:pStyle w:val="ListParagraph"/>
        <w:rPr>
          <w:rFonts w:ascii="Times New Roman" w:hAnsi="Times New Roman"/>
        </w:rPr>
      </w:pPr>
    </w:p>
    <w:p w:rsidR="00720503" w:rsidRPr="004E4BE4" w:rsidRDefault="00500508" w:rsidP="00500508">
      <w:pPr>
        <w:pStyle w:val="InstructionsText2"/>
        <w:numPr>
          <w:ilvl w:val="0"/>
          <w:numId w:val="0"/>
        </w:numPr>
        <w:ind w:left="720" w:hanging="360"/>
      </w:pPr>
      <w:r w:rsidRPr="004E4BE4">
        <w:t>20.</w:t>
      </w:r>
      <w:r w:rsidRPr="004E4BE4">
        <w:tab/>
        <w:t>Každá suma, ktorá vlastné zdroje alebo expozíciu ukazovateľa finančnej páky zvyšuje, sa vykazuje ako kladné číslo. Naopak každá suma, ktorá celkové vlastné zdroje alebo expozíciu ukazovateľa finančnej páky znižuje, sa vykazuje ako záporné číslo. Ak je pred označením určitej položky záporné znamienko (–), očakáva sa, že</w:t>
      </w:r>
      <w:r w:rsidR="004E4BE4">
        <w:t xml:space="preserve"> v </w:t>
      </w:r>
      <w:r w:rsidRPr="004E4BE4">
        <w:t>prípade tejto položky sa neuvedie žiadne kladné číslo.</w:t>
      </w:r>
    </w:p>
    <w:p w:rsidR="00720503" w:rsidRPr="004E4BE4" w:rsidRDefault="00720503" w:rsidP="00FD2C06">
      <w:pPr>
        <w:pStyle w:val="BodyText1"/>
        <w:spacing w:line="240" w:lineRule="auto"/>
        <w:ind w:left="720"/>
        <w:rPr>
          <w:rFonts w:ascii="Times New Roman" w:hAnsi="Times New Roman"/>
        </w:rPr>
      </w:pPr>
    </w:p>
    <w:p w:rsidR="00AE2798" w:rsidRPr="004E4BE4"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4E4BE4" w:rsidTr="00FE0FF1">
        <w:trPr>
          <w:trHeight w:val="304"/>
        </w:trPr>
        <w:tc>
          <w:tcPr>
            <w:tcW w:w="1418" w:type="dxa"/>
            <w:shd w:val="clear" w:color="auto" w:fill="D9D9D9"/>
          </w:tcPr>
          <w:p w:rsidR="00AE2798" w:rsidRPr="004E4BE4" w:rsidRDefault="00AE2798" w:rsidP="00FE0FF1">
            <w:pPr>
              <w:pStyle w:val="BodyText1"/>
              <w:rPr>
                <w:rFonts w:ascii="Times New Roman" w:hAnsi="Times New Roman"/>
              </w:rPr>
            </w:pPr>
          </w:p>
        </w:tc>
        <w:tc>
          <w:tcPr>
            <w:tcW w:w="7590" w:type="dxa"/>
            <w:shd w:val="clear" w:color="auto" w:fill="D9D9D9"/>
          </w:tcPr>
          <w:p w:rsidR="00AE2798" w:rsidRPr="00040D93" w:rsidRDefault="00AE2798" w:rsidP="00FE0FF1">
            <w:pPr>
              <w:pStyle w:val="BodyText1"/>
              <w:rPr>
                <w:rFonts w:ascii="Times New Roman" w:hAnsi="Times New Roman"/>
                <w:bCs/>
                <w:u w:val="single"/>
              </w:rPr>
            </w:pPr>
            <w:r w:rsidRPr="004E4BE4">
              <w:rPr>
                <w:rFonts w:ascii="Times New Roman" w:hAnsi="Times New Roman"/>
              </w:rPr>
              <w:t>Odkazy na právne predpisy</w:t>
            </w:r>
            <w:r w:rsidR="004E4BE4">
              <w:rPr>
                <w:rFonts w:ascii="Times New Roman" w:hAnsi="Times New Roman"/>
              </w:rPr>
              <w:t xml:space="preserve"> a </w:t>
            </w:r>
            <w:r w:rsidRPr="004E4BE4">
              <w:rPr>
                <w:rFonts w:ascii="Times New Roman" w:hAnsi="Times New Roman"/>
              </w:rPr>
              <w:t>pokyny</w:t>
            </w:r>
          </w:p>
        </w:tc>
      </w:tr>
      <w:tr w:rsidR="00AE2798" w:rsidRPr="004E4BE4" w:rsidTr="00FE0FF1">
        <w:trPr>
          <w:trHeight w:val="304"/>
        </w:trPr>
        <w:tc>
          <w:tcPr>
            <w:tcW w:w="1418" w:type="dxa"/>
            <w:shd w:val="clear" w:color="auto" w:fill="D9D9D9"/>
          </w:tcPr>
          <w:p w:rsidR="00AE2798" w:rsidRPr="004E4BE4" w:rsidRDefault="00AE2798" w:rsidP="00500508">
            <w:pPr>
              <w:pStyle w:val="BodyText1"/>
              <w:rPr>
                <w:rFonts w:ascii="Times New Roman" w:hAnsi="Times New Roman"/>
                <w:b/>
              </w:rPr>
            </w:pPr>
            <w:r w:rsidRPr="00ED4583">
              <w:rPr>
                <w:rFonts w:ascii="Times New Roman" w:hAnsi="Times New Roman"/>
                <w:b/>
              </w:rPr>
              <w:t>Riadok</w:t>
            </w:r>
            <w:r w:rsidR="004E4BE4" w:rsidRPr="00ED4583">
              <w:rPr>
                <w:rFonts w:ascii="Times New Roman" w:hAnsi="Times New Roman"/>
                <w:b/>
              </w:rPr>
              <w:t xml:space="preserve"> a </w:t>
            </w:r>
            <w:r w:rsidRPr="00ED4583">
              <w:rPr>
                <w:rFonts w:ascii="Times New Roman" w:hAnsi="Times New Roman"/>
                <w:b/>
              </w:rPr>
              <w:t>stĺpec</w:t>
            </w:r>
          </w:p>
        </w:tc>
        <w:tc>
          <w:tcPr>
            <w:tcW w:w="7590" w:type="dxa"/>
            <w:shd w:val="clear" w:color="auto" w:fill="D9D9D9"/>
          </w:tcPr>
          <w:p w:rsidR="00AE2798" w:rsidRPr="00ED4583" w:rsidRDefault="00AE2798" w:rsidP="00FE0FF1">
            <w:pPr>
              <w:pStyle w:val="BodyText1"/>
              <w:rPr>
                <w:rFonts w:ascii="Times New Roman" w:hAnsi="Times New Roman"/>
                <w:b/>
                <w:bCs/>
              </w:rPr>
            </w:pPr>
            <w:r w:rsidRPr="00ED4583">
              <w:rPr>
                <w:rFonts w:ascii="Times New Roman" w:hAnsi="Times New Roman"/>
                <w:b/>
              </w:rPr>
              <w:t>Hodnoty expozície</w:t>
            </w:r>
          </w:p>
        </w:tc>
      </w:tr>
      <w:tr w:rsidR="00AE2798" w:rsidRPr="004E4BE4" w:rsidTr="00FE0FF1">
        <w:trPr>
          <w:trHeight w:val="304"/>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{010;010}</w:t>
            </w:r>
          </w:p>
          <w:p w:rsidR="00AE2798" w:rsidRPr="004E4BE4" w:rsidRDefault="00AE2798" w:rsidP="00FE0FF1">
            <w:pPr>
              <w:pStyle w:val="BodyText1"/>
              <w:rPr>
                <w:rFonts w:ascii="Times New Roman" w:hAnsi="Times New Roman"/>
                <w:bCs/>
              </w:rPr>
            </w:pPr>
          </w:p>
        </w:tc>
        <w:tc>
          <w:tcPr>
            <w:tcW w:w="7590" w:type="dxa"/>
          </w:tcPr>
          <w:p w:rsidR="00AE2798" w:rsidRPr="00040D93" w:rsidRDefault="00AE2798" w:rsidP="00FE0FF1">
            <w:pPr>
              <w:pStyle w:val="BodyText1"/>
              <w:spacing w:line="240" w:lineRule="auto"/>
              <w:rPr>
                <w:rFonts w:ascii="Times New Roman" w:hAnsi="Times New Roman"/>
                <w:b/>
                <w:bCs/>
                <w:u w:val="single"/>
              </w:rPr>
            </w:pPr>
            <w:r w:rsidRPr="00ED4583">
              <w:rPr>
                <w:rFonts w:ascii="Times New Roman" w:hAnsi="Times New Roman"/>
                <w:b/>
              </w:rPr>
              <w:t>SFT: Expozícia</w:t>
            </w:r>
            <w:r w:rsidR="004E4BE4" w:rsidRPr="00ED4583">
              <w:rPr>
                <w:rFonts w:ascii="Times New Roman" w:hAnsi="Times New Roman"/>
                <w:b/>
              </w:rPr>
              <w:t xml:space="preserve">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 ods. 5</w:t>
            </w:r>
            <w:r w:rsidR="004E4BE4" w:rsidRPr="00ED4583">
              <w:rPr>
                <w:rFonts w:ascii="Times New Roman" w:hAnsi="Times New Roman"/>
                <w:b/>
              </w:rPr>
              <w:t xml:space="preserve"> a </w:t>
            </w:r>
            <w:r w:rsidRPr="00ED4583">
              <w:rPr>
                <w:rFonts w:ascii="Times New Roman" w:hAnsi="Times New Roman"/>
                <w:b/>
              </w:rPr>
              <w:t>8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5 písm. d)</w:t>
            </w:r>
            <w:r w:rsidR="004E4BE4">
              <w:rPr>
                <w:rFonts w:ascii="Times New Roman" w:hAnsi="Times New Roman"/>
              </w:rPr>
              <w:t xml:space="preserve"> a </w:t>
            </w:r>
            <w:r w:rsidRPr="004E4BE4">
              <w:rPr>
                <w:rFonts w:ascii="Times New Roman" w:hAnsi="Times New Roman"/>
              </w:rPr>
              <w:t>článok 429 ods. 8 CRR</w:t>
            </w:r>
          </w:p>
          <w:p w:rsidR="00AE2798" w:rsidRPr="004E4BE4" w:rsidRDefault="00AE2798" w:rsidP="00FE0FF1">
            <w:pPr>
              <w:pStyle w:val="BodyText1"/>
              <w:spacing w:line="240" w:lineRule="auto"/>
              <w:rPr>
                <w:rFonts w:ascii="Times New Roman" w:hAnsi="Times New Roman"/>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Expozícia SFT vypočítaná</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5 písm. d)</w:t>
            </w:r>
            <w:r w:rsidR="004E4BE4">
              <w:rPr>
                <w:rFonts w:ascii="Times New Roman" w:hAnsi="Times New Roman"/>
              </w:rPr>
              <w:t xml:space="preserve"> a </w:t>
            </w:r>
            <w:r w:rsidRPr="004E4BE4">
              <w:rPr>
                <w:rFonts w:ascii="Times New Roman" w:hAnsi="Times New Roman"/>
              </w:rPr>
              <w:t>článkom 429 ods. 8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zohľadňujú transakcie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6 písm. c).</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 do tejto bunky nezahŕňajú prijatú peňažnú hotovosť ani akýkoľvek cenný papier, ktorý je poskytnutý protistrane prostredníctvom uvedených transakcií</w:t>
            </w:r>
            <w:r w:rsidR="004E4BE4">
              <w:rPr>
                <w:rFonts w:ascii="Times New Roman" w:hAnsi="Times New Roman"/>
              </w:rPr>
              <w:t xml:space="preserve"> a </w:t>
            </w:r>
            <w:r w:rsidRPr="004E4BE4">
              <w:rPr>
                <w:rFonts w:ascii="Times New Roman" w:hAnsi="Times New Roman"/>
              </w:rPr>
              <w:t>ktorý sa ponechal</w:t>
            </w:r>
            <w:r w:rsidR="004E4BE4">
              <w:rPr>
                <w:rFonts w:ascii="Times New Roman" w:hAnsi="Times New Roman"/>
              </w:rPr>
              <w:t xml:space="preserve"> v </w:t>
            </w:r>
            <w:r w:rsidRPr="004E4BE4">
              <w:rPr>
                <w:rFonts w:ascii="Times New Roman" w:hAnsi="Times New Roman"/>
              </w:rPr>
              <w:t>súvahe (t. j. nie sú splnené účtovné kritériá pre ukončenie vykazovania). Uvedené položky inštitúcie namiesto toho zahrnú do {190,010}.</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 do tejto bunky nezahŕňajú SFT,</w:t>
            </w:r>
            <w:r w:rsidR="004E4BE4">
              <w:rPr>
                <w:rFonts w:ascii="Times New Roman" w:hAnsi="Times New Roman"/>
              </w:rPr>
              <w:t xml:space="preserve"> v </w:t>
            </w:r>
            <w:r w:rsidRPr="004E4BE4">
              <w:rPr>
                <w:rFonts w:ascii="Times New Roman" w:hAnsi="Times New Roman"/>
              </w:rPr>
              <w:t>ktorých konajú ako zástupcovia, ak daná inštitúcia klientovi alebo protistrane poskytuje sľub odškodnenia alebo záruku obmedzenú na akýkoľvek rozdiel medzi hodnotou cenného papiera alebo hotovosti, ktorú požičal klient,</w:t>
            </w:r>
            <w:r w:rsidR="004E4BE4">
              <w:rPr>
                <w:rFonts w:ascii="Times New Roman" w:hAnsi="Times New Roman"/>
              </w:rPr>
              <w:t xml:space="preserve"> a </w:t>
            </w:r>
            <w:r w:rsidRPr="004E4BE4">
              <w:rPr>
                <w:rFonts w:ascii="Times New Roman" w:hAnsi="Times New Roman"/>
              </w:rPr>
              <w:t>hodnotou kolaterálu, ktorý poskytol dlžník,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6 písm. a) CRR.</w:t>
            </w:r>
          </w:p>
          <w:p w:rsidR="00AE2798" w:rsidRPr="00040D93" w:rsidRDefault="00AE2798" w:rsidP="00FE0FF1">
            <w:pPr>
              <w:pStyle w:val="BodyText1"/>
              <w:spacing w:line="240" w:lineRule="auto"/>
              <w:rPr>
                <w:rFonts w:ascii="Times New Roman" w:hAnsi="Times New Roman"/>
                <w:bCs/>
                <w:u w:val="single"/>
              </w:rPr>
            </w:pPr>
          </w:p>
        </w:tc>
      </w:tr>
      <w:tr w:rsidR="00AE2798" w:rsidRPr="004E4BE4" w:rsidTr="00FE0FF1">
        <w:trPr>
          <w:trHeight w:val="304"/>
        </w:trPr>
        <w:tc>
          <w:tcPr>
            <w:tcW w:w="1418" w:type="dxa"/>
          </w:tcPr>
          <w:p w:rsidR="00AE2798" w:rsidRPr="004E4BE4" w:rsidRDefault="00AE2798" w:rsidP="00F71081">
            <w:pPr>
              <w:pStyle w:val="BodyText1"/>
              <w:rPr>
                <w:rFonts w:ascii="Times New Roman" w:hAnsi="Times New Roman"/>
                <w:bCs/>
              </w:rPr>
            </w:pPr>
            <w:r w:rsidRPr="004E4BE4">
              <w:rPr>
                <w:rFonts w:ascii="Times New Roman" w:hAnsi="Times New Roman"/>
              </w:rPr>
              <w:t>{020;010}</w:t>
            </w:r>
          </w:p>
        </w:tc>
        <w:tc>
          <w:tcPr>
            <w:tcW w:w="7590" w:type="dxa"/>
          </w:tcPr>
          <w:p w:rsidR="00AE2798" w:rsidRPr="00ED4583" w:rsidRDefault="00AE2798" w:rsidP="00FE0FF1">
            <w:pPr>
              <w:pStyle w:val="BodyText1"/>
              <w:spacing w:line="240" w:lineRule="auto"/>
              <w:rPr>
                <w:rFonts w:ascii="Times New Roman" w:hAnsi="Times New Roman"/>
                <w:b/>
                <w:bCs/>
              </w:rPr>
            </w:pPr>
            <w:r w:rsidRPr="00ED4583">
              <w:rPr>
                <w:rFonts w:ascii="Times New Roman" w:hAnsi="Times New Roman"/>
                <w:b/>
              </w:rPr>
              <w:t>SFT: Dodatočná hodnota pre kreditné riziko protistrany</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429b ods. 1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Dodatočná hodnota pre kreditné riziko protistrany pri SFT vrátane tých, ktoré sú podsúvahové, určená</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2 alebo 3 CRR, podľa konkrétneho prípadu.</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zohľadňujú transakcie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6 písm. c).</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 do tejto bunky nezahŕňajú SFT,</w:t>
            </w:r>
            <w:r w:rsidR="004E4BE4">
              <w:rPr>
                <w:rFonts w:ascii="Times New Roman" w:hAnsi="Times New Roman"/>
              </w:rPr>
              <w:t xml:space="preserve"> v </w:t>
            </w:r>
            <w:r w:rsidRPr="004E4BE4">
              <w:rPr>
                <w:rFonts w:ascii="Times New Roman" w:hAnsi="Times New Roman"/>
              </w:rPr>
              <w:t>ktorých konajú ako zástupcovia, ak daná inštitúcia klientovi alebo protistrane poskytuje sľub odškodnenia alebo záruku obmedzenú na akýkoľvek rozdiel medzi hodnotou cenného papiera alebo hotovosti, ktorú požičal klient,</w:t>
            </w:r>
            <w:r w:rsidR="004E4BE4">
              <w:rPr>
                <w:rFonts w:ascii="Times New Roman" w:hAnsi="Times New Roman"/>
              </w:rPr>
              <w:t xml:space="preserve"> a </w:t>
            </w:r>
            <w:r w:rsidRPr="004E4BE4">
              <w:rPr>
                <w:rFonts w:ascii="Times New Roman" w:hAnsi="Times New Roman"/>
              </w:rPr>
              <w:t>hodnotou kolaterálu, ktorý poskytol dlžník,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6 písm. a) CRR. Uvedené položky inštitúcie namiesto toho zahrnú do {040;010}.</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{030;010}</w:t>
            </w:r>
          </w:p>
          <w:p w:rsidR="00AE2798" w:rsidRPr="004E4BE4" w:rsidRDefault="00AE2798" w:rsidP="00FE0FF1">
            <w:pPr>
              <w:pStyle w:val="BodyText1"/>
              <w:rPr>
                <w:rFonts w:ascii="Times New Roman" w:hAnsi="Times New Roman"/>
                <w:bCs/>
              </w:rPr>
            </w:pPr>
          </w:p>
        </w:tc>
        <w:tc>
          <w:tcPr>
            <w:tcW w:w="7590" w:type="dxa"/>
          </w:tcPr>
          <w:p w:rsidR="00AE2798" w:rsidRPr="00ED4583" w:rsidRDefault="00AE2798" w:rsidP="00FE0FF1">
            <w:pPr>
              <w:pStyle w:val="BodyText1"/>
              <w:spacing w:line="240" w:lineRule="auto"/>
              <w:rPr>
                <w:rFonts w:ascii="Times New Roman" w:hAnsi="Times New Roman"/>
                <w:b/>
                <w:bCs/>
              </w:rPr>
            </w:pPr>
            <w:r w:rsidRPr="00ED4583">
              <w:rPr>
                <w:rFonts w:ascii="Times New Roman" w:hAnsi="Times New Roman"/>
                <w:b/>
              </w:rPr>
              <w:t>Odchýlka pre SFT: Dodatočná hodnota</w:t>
            </w:r>
            <w:r w:rsidR="004E4BE4" w:rsidRPr="00ED4583">
              <w:rPr>
                <w:rFonts w:ascii="Times New Roman" w:hAnsi="Times New Roman"/>
                <w:b/>
              </w:rPr>
              <w:t xml:space="preserve">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429b ods. 4</w:t>
            </w:r>
            <w:r w:rsidR="004E4BE4" w:rsidRPr="00ED4583">
              <w:rPr>
                <w:rFonts w:ascii="Times New Roman" w:hAnsi="Times New Roman"/>
                <w:b/>
              </w:rPr>
              <w:t xml:space="preserve"> a </w:t>
            </w:r>
            <w:r w:rsidRPr="00ED4583">
              <w:rPr>
                <w:rFonts w:ascii="Times New Roman" w:hAnsi="Times New Roman"/>
                <w:b/>
              </w:rPr>
              <w:t>článkom 222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429b ods. 4</w:t>
            </w:r>
            <w:r w:rsidR="004E4BE4">
              <w:rPr>
                <w:rFonts w:ascii="Times New Roman" w:hAnsi="Times New Roman"/>
              </w:rPr>
              <w:t xml:space="preserve"> a </w:t>
            </w:r>
            <w:r w:rsidRPr="004E4BE4">
              <w:rPr>
                <w:rFonts w:ascii="Times New Roman" w:hAnsi="Times New Roman"/>
              </w:rPr>
              <w:t>článok 222 CRR</w:t>
            </w:r>
          </w:p>
          <w:p w:rsidR="00AE2798" w:rsidRPr="004E4BE4" w:rsidRDefault="00AE2798" w:rsidP="00FE0FF1">
            <w:pPr>
              <w:pStyle w:val="BodyText1"/>
              <w:spacing w:line="240" w:lineRule="auto"/>
              <w:rPr>
                <w:rFonts w:ascii="Times New Roman" w:hAnsi="Times New Roman"/>
                <w:bCs/>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Hodnota expozície SFT vrátane tých, ktoré sú podsúvahové, vypočítaná</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222 CRR, pričom sa uplatňuje 20</w:t>
            </w:r>
            <w:r w:rsidR="004E4BE4">
              <w:rPr>
                <w:rFonts w:ascii="Times New Roman" w:hAnsi="Times New Roman"/>
              </w:rPr>
              <w:t> %</w:t>
            </w:r>
            <w:r w:rsidRPr="004E4BE4">
              <w:rPr>
                <w:rFonts w:ascii="Times New Roman" w:hAnsi="Times New Roman"/>
              </w:rPr>
              <w:t xml:space="preserve"> najnižšej úrovne uplatniteľnej rizikovej váhy</w:t>
            </w:r>
            <w:r w:rsidR="004E4BE4" w:rsidRPr="004E4BE4">
              <w:rPr>
                <w:rFonts w:ascii="Times New Roman" w:hAnsi="Times New Roman"/>
              </w:rPr>
              <w:t>.</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zohľadňujú transakcie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6 písm. c)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transakcie, pre ktoré sa dodatočná hodnota danej hodnoty expozície ukazovateľa finančnej páky určuje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metódou vymedzenou</w:t>
            </w:r>
            <w:r w:rsidR="004E4BE4">
              <w:rPr>
                <w:rFonts w:ascii="Times New Roman" w:hAnsi="Times New Roman"/>
              </w:rPr>
              <w:t xml:space="preserve"> v </w:t>
            </w:r>
            <w:r w:rsidRPr="004E4BE4">
              <w:rPr>
                <w:rFonts w:ascii="Times New Roman" w:hAnsi="Times New Roman"/>
              </w:rPr>
              <w:t>článku 429b ods. 1 CRR.</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Pr>
          <w:p w:rsidR="00AE2798" w:rsidRPr="004E4BE4" w:rsidRDefault="00AE2798" w:rsidP="00F71081">
            <w:pPr>
              <w:pStyle w:val="BodyText1"/>
              <w:rPr>
                <w:rFonts w:ascii="Times New Roman" w:hAnsi="Times New Roman"/>
                <w:bCs/>
              </w:rPr>
            </w:pPr>
            <w:r w:rsidRPr="004E4BE4">
              <w:rPr>
                <w:rFonts w:ascii="Times New Roman" w:hAnsi="Times New Roman"/>
              </w:rPr>
              <w:t>{040;010}</w:t>
            </w:r>
          </w:p>
        </w:tc>
        <w:tc>
          <w:tcPr>
            <w:tcW w:w="7590" w:type="dxa"/>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Kreditné riziko protistrany pri transakciách SFT,</w:t>
            </w:r>
            <w:r w:rsidR="004E4BE4" w:rsidRPr="00ED4583">
              <w:rPr>
                <w:rFonts w:ascii="Times New Roman" w:hAnsi="Times New Roman"/>
                <w:b/>
              </w:rPr>
              <w:t xml:space="preserve"> v </w:t>
            </w:r>
            <w:r w:rsidRPr="00ED4583">
              <w:rPr>
                <w:rFonts w:ascii="Times New Roman" w:hAnsi="Times New Roman"/>
                <w:b/>
              </w:rPr>
              <w:t>ktorých inštitúcia koná ako zástupca,</w:t>
            </w:r>
            <w:r w:rsidR="004E4BE4" w:rsidRPr="00ED4583">
              <w:rPr>
                <w:rFonts w:ascii="Times New Roman" w:hAnsi="Times New Roman"/>
                <w:b/>
              </w:rPr>
              <w:t xml:space="preserve">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429b ods. 6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429b ods. 6 písm. a)</w:t>
            </w:r>
            <w:r w:rsidR="004E4BE4">
              <w:rPr>
                <w:rFonts w:ascii="Times New Roman" w:hAnsi="Times New Roman"/>
              </w:rPr>
              <w:t xml:space="preserve"> a </w:t>
            </w:r>
            <w:r w:rsidRPr="004E4BE4">
              <w:rPr>
                <w:rFonts w:ascii="Times New Roman" w:hAnsi="Times New Roman"/>
              </w:rPr>
              <w:t>článok 429b ods. 2</w:t>
            </w:r>
            <w:r w:rsidR="004E4BE4">
              <w:rPr>
                <w:rFonts w:ascii="Times New Roman" w:hAnsi="Times New Roman"/>
              </w:rPr>
              <w:t xml:space="preserve"> a </w:t>
            </w:r>
            <w:r w:rsidRPr="004E4BE4">
              <w:rPr>
                <w:rFonts w:ascii="Times New Roman" w:hAnsi="Times New Roman"/>
              </w:rPr>
              <w:t>3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Hodnota expozície SFT,</w:t>
            </w:r>
            <w:r w:rsidR="004E4BE4">
              <w:rPr>
                <w:rFonts w:ascii="Times New Roman" w:hAnsi="Times New Roman"/>
              </w:rPr>
              <w:t xml:space="preserve"> v </w:t>
            </w:r>
            <w:r w:rsidRPr="004E4BE4">
              <w:rPr>
                <w:rFonts w:ascii="Times New Roman" w:hAnsi="Times New Roman"/>
              </w:rPr>
              <w:t>ktorých inštitúcia koná ako zástupca, ak daná inštitúcia klientovi alebo protistrane poskytuje sľub odškodnenia alebo záruku obmedzenú na akýkoľvek rozdiel medzi hodnotou cenného papiera alebo hotovosti, ktorú požičal klient,</w:t>
            </w:r>
            <w:r w:rsidR="004E4BE4">
              <w:rPr>
                <w:rFonts w:ascii="Times New Roman" w:hAnsi="Times New Roman"/>
              </w:rPr>
              <w:t xml:space="preserve"> a </w:t>
            </w:r>
            <w:r w:rsidRPr="004E4BE4">
              <w:rPr>
                <w:rFonts w:ascii="Times New Roman" w:hAnsi="Times New Roman"/>
              </w:rPr>
              <w:t>hodnotou kolaterálu, ktorý poskytol dlžník,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6 písm. a) CRR, pozostáva len</w:t>
            </w:r>
            <w:r w:rsidR="004E4BE4">
              <w:rPr>
                <w:rFonts w:ascii="Times New Roman" w:hAnsi="Times New Roman"/>
              </w:rPr>
              <w:t xml:space="preserve"> z </w:t>
            </w:r>
            <w:r w:rsidRPr="004E4BE4">
              <w:rPr>
                <w:rFonts w:ascii="Times New Roman" w:hAnsi="Times New Roman"/>
              </w:rPr>
              <w:t>dodatočnej hodnoty určenej</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2 alebo 3 CRR, podľa konkrétneho prípadu.</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 do tejto bunky nezahŕňajú transakcie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429b ods. 6 písm. c). Inštitúcie namiesto toho zahrnú uvedené položky do {010;010}</w:t>
            </w:r>
            <w:r w:rsidR="004E4BE4">
              <w:rPr>
                <w:rFonts w:ascii="Times New Roman" w:hAnsi="Times New Roman"/>
              </w:rPr>
              <w:t xml:space="preserve"> a </w:t>
            </w:r>
            <w:r w:rsidRPr="004E4BE4">
              <w:rPr>
                <w:rFonts w:ascii="Times New Roman" w:hAnsi="Times New Roman"/>
              </w:rPr>
              <w:t>{020;010} alebo {010;010}</w:t>
            </w:r>
            <w:r w:rsidR="004E4BE4">
              <w:rPr>
                <w:rFonts w:ascii="Times New Roman" w:hAnsi="Times New Roman"/>
              </w:rPr>
              <w:t xml:space="preserve"> a </w:t>
            </w:r>
            <w:r w:rsidRPr="004E4BE4">
              <w:rPr>
                <w:rFonts w:ascii="Times New Roman" w:hAnsi="Times New Roman"/>
              </w:rPr>
              <w:t>{030;010}, podľa konkrétneho prípadu.</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Pr>
          <w:p w:rsidR="00AE2798" w:rsidRPr="004E4BE4" w:rsidRDefault="00AE2798" w:rsidP="00F71081">
            <w:pPr>
              <w:pStyle w:val="BodyText1"/>
              <w:rPr>
                <w:rFonts w:ascii="Times New Roman" w:hAnsi="Times New Roman"/>
                <w:bCs/>
              </w:rPr>
            </w:pPr>
            <w:r w:rsidRPr="004E4BE4">
              <w:rPr>
                <w:rFonts w:ascii="Times New Roman" w:hAnsi="Times New Roman"/>
              </w:rPr>
              <w:t>{050;010}</w:t>
            </w:r>
          </w:p>
        </w:tc>
        <w:tc>
          <w:tcPr>
            <w:tcW w:w="7590" w:type="dxa"/>
          </w:tcPr>
          <w:p w:rsidR="00AE2798" w:rsidRPr="004E4BE4" w:rsidRDefault="005556DC" w:rsidP="00FE0FF1">
            <w:pPr>
              <w:pStyle w:val="BodyText1"/>
              <w:spacing w:line="240" w:lineRule="auto"/>
              <w:rPr>
                <w:rFonts w:ascii="Times New Roman" w:hAnsi="Times New Roman"/>
                <w:bCs/>
              </w:rPr>
            </w:pPr>
            <w:r w:rsidRPr="00ED4583">
              <w:rPr>
                <w:rFonts w:ascii="Times New Roman" w:hAnsi="Times New Roman"/>
                <w:b/>
              </w:rPr>
              <w:t>(–) Vyňatá časť klientských expozícií SFT zúčtovávaných prostredníctvom centrálnej protistrany</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11</w:t>
            </w:r>
            <w:r w:rsidR="004E4BE4">
              <w:rPr>
                <w:rFonts w:ascii="Times New Roman" w:hAnsi="Times New Roman"/>
              </w:rPr>
              <w:t xml:space="preserve"> a </w:t>
            </w:r>
            <w:r w:rsidRPr="004E4BE4">
              <w:rPr>
                <w:rFonts w:ascii="Times New Roman" w:hAnsi="Times New Roman"/>
              </w:rPr>
              <w:t>článok 306 ods. 1 písm. c)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Vyňatá časť klientských obchodných expozícií SFT zúčtovávaných prostredníctvom centrálnej protistrany za predpokladu, že uvedené položky spĺňajú podmienky stanovené</w:t>
            </w:r>
            <w:r w:rsidR="004E4BE4">
              <w:rPr>
                <w:rFonts w:ascii="Times New Roman" w:hAnsi="Times New Roman"/>
              </w:rPr>
              <w:t xml:space="preserve"> v </w:t>
            </w:r>
            <w:r w:rsidRPr="004E4BE4">
              <w:rPr>
                <w:rFonts w:ascii="Times New Roman" w:hAnsi="Times New Roman"/>
              </w:rPr>
              <w:t>článku 306 ods. 1 písm. c) CRR.</w:t>
            </w:r>
          </w:p>
          <w:p w:rsidR="004052F0" w:rsidRPr="004E4BE4" w:rsidRDefault="004052F0" w:rsidP="00FE0FF1">
            <w:pPr>
              <w:pStyle w:val="BodyText1"/>
              <w:spacing w:line="240" w:lineRule="auto"/>
              <w:rPr>
                <w:rFonts w:ascii="Times New Roman" w:hAnsi="Times New Roman"/>
                <w:bCs/>
              </w:rPr>
            </w:pPr>
          </w:p>
          <w:p w:rsidR="004052F0" w:rsidRPr="004E4BE4" w:rsidRDefault="004052F0" w:rsidP="00FE0FF1">
            <w:pPr>
              <w:pStyle w:val="BodyText1"/>
              <w:spacing w:line="240" w:lineRule="auto"/>
              <w:rPr>
                <w:rFonts w:ascii="Times New Roman" w:hAnsi="Times New Roman"/>
                <w:bCs/>
              </w:rPr>
            </w:pPr>
            <w:r w:rsidRPr="004E4BE4">
              <w:rPr>
                <w:rFonts w:ascii="Times New Roman" w:hAnsi="Times New Roman"/>
              </w:rPr>
              <w:t>Ak vyňatá časť expozície zúčtovávanej prostredníctvom CCP je cenným papierom, nevykazuje sa</w:t>
            </w:r>
            <w:r w:rsidR="004E4BE4">
              <w:rPr>
                <w:rFonts w:ascii="Times New Roman" w:hAnsi="Times New Roman"/>
              </w:rPr>
              <w:t xml:space="preserve"> v </w:t>
            </w:r>
            <w:r w:rsidRPr="004E4BE4">
              <w:rPr>
                <w:rFonts w:ascii="Times New Roman" w:hAnsi="Times New Roman"/>
              </w:rPr>
              <w:t>tejto bunke, ak nejde</w:t>
            </w:r>
            <w:r w:rsidR="004E4BE4">
              <w:rPr>
                <w:rFonts w:ascii="Times New Roman" w:hAnsi="Times New Roman"/>
              </w:rPr>
              <w:t xml:space="preserve"> o </w:t>
            </w:r>
            <w:r w:rsidRPr="004E4BE4">
              <w:rPr>
                <w:rFonts w:ascii="Times New Roman" w:hAnsi="Times New Roman"/>
              </w:rPr>
              <w:t>opakovane zložený cenný papier, ktorý sa na základe uplatniteľného účtovného rámca (t. j.</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111 ods. 1 prvou vetou CRR) zahŕňa</w:t>
            </w:r>
            <w:r w:rsidR="004E4BE4">
              <w:rPr>
                <w:rFonts w:ascii="Times New Roman" w:hAnsi="Times New Roman"/>
              </w:rPr>
              <w:t xml:space="preserve"> v </w:t>
            </w:r>
            <w:r w:rsidRPr="004E4BE4">
              <w:rPr>
                <w:rFonts w:ascii="Times New Roman" w:hAnsi="Times New Roman"/>
              </w:rPr>
              <w:t>plnej hodnote.</w:t>
            </w:r>
          </w:p>
          <w:p w:rsidR="004052F0" w:rsidRPr="004E4BE4" w:rsidRDefault="004052F0" w:rsidP="00FE0FF1">
            <w:pPr>
              <w:pStyle w:val="BodyText1"/>
              <w:spacing w:line="240" w:lineRule="auto"/>
              <w:rPr>
                <w:rFonts w:ascii="Times New Roman" w:hAnsi="Times New Roman"/>
                <w:bCs/>
              </w:rPr>
            </w:pPr>
          </w:p>
          <w:p w:rsidR="004052F0" w:rsidRPr="004E4BE4" w:rsidRDefault="004052F0" w:rsidP="00FD2C06">
            <w:pPr>
              <w:pStyle w:val="BodyText1"/>
              <w:spacing w:line="240" w:lineRule="auto"/>
              <w:rPr>
                <w:rFonts w:ascii="Times New Roman" w:hAnsi="Times New Roman"/>
                <w:bCs/>
              </w:rPr>
            </w:pPr>
            <w:r w:rsidRPr="004E4BE4">
              <w:rPr>
                <w:rFonts w:ascii="Times New Roman" w:hAnsi="Times New Roman"/>
              </w:rPr>
              <w:t>Inštitúcie zahŕňajú sumu vykázanú</w:t>
            </w:r>
            <w:r w:rsidR="004E4BE4">
              <w:rPr>
                <w:rFonts w:ascii="Times New Roman" w:hAnsi="Times New Roman"/>
              </w:rPr>
              <w:t xml:space="preserve"> v </w:t>
            </w:r>
            <w:r w:rsidRPr="004E4BE4">
              <w:rPr>
                <w:rFonts w:ascii="Times New Roman" w:hAnsi="Times New Roman"/>
              </w:rPr>
              <w:t>tejto bunke aj do {010;010}, {020;010}</w:t>
            </w:r>
            <w:r w:rsidR="004E4BE4">
              <w:rPr>
                <w:rFonts w:ascii="Times New Roman" w:hAnsi="Times New Roman"/>
              </w:rPr>
              <w:t xml:space="preserve"> a </w:t>
            </w:r>
            <w:r w:rsidRPr="004E4BE4">
              <w:rPr>
                <w:rFonts w:ascii="Times New Roman" w:hAnsi="Times New Roman"/>
              </w:rPr>
              <w:t>{030;010}, ako keby sa neuplatňovalo žiadne vyňatie, a, ak je splnená podmienka uvedená</w:t>
            </w:r>
            <w:r w:rsidR="004E4BE4">
              <w:rPr>
                <w:rFonts w:ascii="Times New Roman" w:hAnsi="Times New Roman"/>
              </w:rPr>
              <w:t xml:space="preserve"> v </w:t>
            </w:r>
            <w:r w:rsidRPr="004E4BE4">
              <w:rPr>
                <w:rFonts w:ascii="Times New Roman" w:hAnsi="Times New Roman"/>
              </w:rPr>
              <w:t>druhej polovici predchádzajúcej vety, do {190;010}.</w:t>
            </w:r>
          </w:p>
          <w:p w:rsidR="00AF6C6D" w:rsidRPr="004E4BE4" w:rsidRDefault="00AF6C6D" w:rsidP="00FD2C06">
            <w:pPr>
              <w:pStyle w:val="BodyText1"/>
              <w:spacing w:line="240" w:lineRule="auto"/>
              <w:rPr>
                <w:rFonts w:ascii="Times New Roman" w:hAnsi="Times New Roman"/>
                <w:bCs/>
              </w:rPr>
            </w:pPr>
          </w:p>
          <w:p w:rsidR="00AF6C6D" w:rsidRPr="004E4BE4" w:rsidRDefault="00AF6C6D" w:rsidP="00FD2C06">
            <w:pPr>
              <w:pStyle w:val="BodyText1"/>
              <w:spacing w:line="240" w:lineRule="auto"/>
              <w:rPr>
                <w:rFonts w:ascii="Times New Roman" w:hAnsi="Times New Roman"/>
                <w:bCs/>
              </w:rPr>
            </w:pPr>
            <w:r w:rsidRPr="004E4BE4">
              <w:rPr>
                <w:rFonts w:ascii="Times New Roman" w:hAnsi="Times New Roman"/>
              </w:rPr>
              <w:t>Ak inštitúcia</w:t>
            </w:r>
            <w:r w:rsidR="004E4BE4">
              <w:rPr>
                <w:rFonts w:ascii="Times New Roman" w:hAnsi="Times New Roman"/>
              </w:rPr>
              <w:t xml:space="preserve"> v </w:t>
            </w:r>
            <w:r w:rsidRPr="004E4BE4">
              <w:rPr>
                <w:rFonts w:ascii="Times New Roman" w:hAnsi="Times New Roman"/>
              </w:rPr>
              <w:t>prípade vyňatej časti SFT vykázanej</w:t>
            </w:r>
            <w:r w:rsidR="004E4BE4">
              <w:rPr>
                <w:rFonts w:ascii="Times New Roman" w:hAnsi="Times New Roman"/>
              </w:rPr>
              <w:t xml:space="preserve"> v </w:t>
            </w:r>
            <w:r w:rsidRPr="004E4BE4">
              <w:rPr>
                <w:rFonts w:ascii="Times New Roman" w:hAnsi="Times New Roman"/>
              </w:rPr>
              <w:t>{190;010}</w:t>
            </w:r>
            <w:r w:rsidR="004E4BE4">
              <w:rPr>
                <w:rFonts w:ascii="Times New Roman" w:hAnsi="Times New Roman"/>
              </w:rPr>
              <w:t xml:space="preserve"> a </w:t>
            </w:r>
            <w:r w:rsidRPr="004E4BE4">
              <w:rPr>
                <w:rFonts w:ascii="Times New Roman" w:hAnsi="Times New Roman"/>
              </w:rPr>
              <w:t>nevykázanej</w:t>
            </w:r>
            <w:r w:rsidR="004E4BE4">
              <w:rPr>
                <w:rFonts w:ascii="Times New Roman" w:hAnsi="Times New Roman"/>
              </w:rPr>
              <w:t xml:space="preserve"> v </w:t>
            </w:r>
            <w:r w:rsidRPr="004E4BE4">
              <w:rPr>
                <w:rFonts w:ascii="Times New Roman" w:hAnsi="Times New Roman"/>
              </w:rPr>
              <w:t>{020;010} alebo {030;010} zložila počiatočnú maržu, inštitúcia ju môže vykázať</w:t>
            </w:r>
            <w:r w:rsidR="004E4BE4">
              <w:rPr>
                <w:rFonts w:ascii="Times New Roman" w:hAnsi="Times New Roman"/>
              </w:rPr>
              <w:t xml:space="preserve"> v </w:t>
            </w:r>
            <w:r w:rsidRPr="004E4BE4">
              <w:rPr>
                <w:rFonts w:ascii="Times New Roman" w:hAnsi="Times New Roman"/>
              </w:rPr>
              <w:t>tejto bunke.</w:t>
            </w:r>
          </w:p>
          <w:p w:rsidR="00AE2798" w:rsidRPr="004E4BE4" w:rsidRDefault="00AE2798" w:rsidP="00C0429A">
            <w:pPr>
              <w:pStyle w:val="BodyText1"/>
              <w:spacing w:line="240" w:lineRule="auto"/>
              <w:rPr>
                <w:rFonts w:ascii="Times New Roman" w:hAnsi="Times New Roman"/>
                <w:bCs/>
              </w:rPr>
            </w:pPr>
          </w:p>
        </w:tc>
      </w:tr>
      <w:tr w:rsidR="00AE2798" w:rsidRPr="004E4BE4" w:rsidTr="00FE0FF1">
        <w:trPr>
          <w:trHeight w:val="304"/>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{060;010}</w:t>
            </w:r>
          </w:p>
          <w:p w:rsidR="00AE2798" w:rsidRPr="004E4BE4" w:rsidRDefault="00AE2798" w:rsidP="00FE0FF1">
            <w:pPr>
              <w:pStyle w:val="BodyText1"/>
              <w:rPr>
                <w:rFonts w:ascii="Times New Roman" w:hAnsi="Times New Roman"/>
                <w:bCs/>
              </w:rPr>
            </w:pPr>
          </w:p>
        </w:tc>
        <w:tc>
          <w:tcPr>
            <w:tcW w:w="7590" w:type="dxa"/>
          </w:tcPr>
          <w:p w:rsidR="004E4BE4" w:rsidRPr="00ED4583" w:rsidRDefault="00AE2798" w:rsidP="00FE0FF1">
            <w:pPr>
              <w:pStyle w:val="BodyText1"/>
              <w:spacing w:line="240" w:lineRule="auto"/>
              <w:rPr>
                <w:rFonts w:ascii="Times New Roman" w:hAnsi="Times New Roman"/>
                <w:b/>
              </w:rPr>
            </w:pPr>
            <w:r w:rsidRPr="00ED4583">
              <w:rPr>
                <w:rFonts w:ascii="Times New Roman" w:hAnsi="Times New Roman"/>
                <w:b/>
              </w:rPr>
              <w:t>Deriváty: Bežné reprodukčné náklady</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Články 429a, 274, 295, 296, 297</w:t>
            </w:r>
            <w:r w:rsidR="004E4BE4">
              <w:rPr>
                <w:rFonts w:ascii="Times New Roman" w:hAnsi="Times New Roman"/>
              </w:rPr>
              <w:t xml:space="preserve"> a </w:t>
            </w:r>
            <w:r w:rsidRPr="004E4BE4">
              <w:rPr>
                <w:rFonts w:ascii="Times New Roman" w:hAnsi="Times New Roman"/>
              </w:rPr>
              <w:t>298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Bežné reprodukčné náklady podľa článku 274 ods. 1 CRR, pokiaľ ide</w:t>
            </w:r>
            <w:r w:rsidR="004E4BE4">
              <w:rPr>
                <w:rFonts w:ascii="Times New Roman" w:hAnsi="Times New Roman"/>
              </w:rPr>
              <w:t xml:space="preserve"> o </w:t>
            </w:r>
            <w:r w:rsidRPr="004E4BE4">
              <w:rPr>
                <w:rFonts w:ascii="Times New Roman" w:hAnsi="Times New Roman"/>
              </w:rPr>
              <w:t>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w:t>
            </w:r>
            <w:r w:rsidR="004E4BE4">
              <w:rPr>
                <w:rFonts w:ascii="Times New Roman" w:hAnsi="Times New Roman"/>
              </w:rPr>
              <w:t xml:space="preserve"> a </w:t>
            </w:r>
            <w:r w:rsidRPr="004E4BE4">
              <w:rPr>
                <w:rFonts w:ascii="Times New Roman" w:hAnsi="Times New Roman"/>
              </w:rPr>
              <w:t>kreditné deriváty vrátane tých, ktoré sú podsúvahové, vykázané bez odpočítania prijatej variačnej marže.</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Ako je stanovené</w:t>
            </w:r>
            <w:r w:rsidR="004E4BE4">
              <w:rPr>
                <w:rFonts w:ascii="Times New Roman" w:hAnsi="Times New Roman"/>
              </w:rPr>
              <w:t xml:space="preserve"> v </w:t>
            </w:r>
            <w:r w:rsidRPr="004E4BE4">
              <w:rPr>
                <w:rFonts w:ascii="Times New Roman" w:hAnsi="Times New Roman"/>
              </w:rPr>
              <w:t>článku 429a ods. 1 CRR, inštitúcie môžu zohľadniť účinky zmlúv</w:t>
            </w:r>
            <w:r w:rsidR="004E4BE4">
              <w:rPr>
                <w:rFonts w:ascii="Times New Roman" w:hAnsi="Times New Roman"/>
              </w:rPr>
              <w:t xml:space="preserve"> o </w:t>
            </w:r>
            <w:r w:rsidRPr="004E4BE4">
              <w:rPr>
                <w:rFonts w:ascii="Times New Roman" w:hAnsi="Times New Roman"/>
              </w:rPr>
              <w:t>novácii</w:t>
            </w:r>
            <w:r w:rsidR="004E4BE4">
              <w:rPr>
                <w:rFonts w:ascii="Times New Roman" w:hAnsi="Times New Roman"/>
              </w:rPr>
              <w:t xml:space="preserve"> a </w:t>
            </w:r>
            <w:r w:rsidRPr="004E4BE4">
              <w:rPr>
                <w:rFonts w:ascii="Times New Roman" w:hAnsi="Times New Roman"/>
              </w:rPr>
              <w:t>iných dohôd</w:t>
            </w:r>
            <w:r w:rsidR="004E4BE4">
              <w:rPr>
                <w:rFonts w:ascii="Times New Roman" w:hAnsi="Times New Roman"/>
              </w:rPr>
              <w:t xml:space="preserve"> o </w:t>
            </w:r>
            <w:r w:rsidRPr="004E4BE4">
              <w:rPr>
                <w:rFonts w:ascii="Times New Roman" w:hAnsi="Times New Roman"/>
              </w:rPr>
              <w:t>vzájomnom započítavaní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295 CRR. Krížové vzájomné započítavanie produktov sa neuplatňuje. Inštitúcie však môžu využívať vzájomné započítavanie</w:t>
            </w:r>
            <w:r w:rsidR="004E4BE4">
              <w:rPr>
                <w:rFonts w:ascii="Times New Roman" w:hAnsi="Times New Roman"/>
              </w:rPr>
              <w:t xml:space="preserve"> v </w:t>
            </w:r>
            <w:r w:rsidRPr="004E4BE4">
              <w:rPr>
                <w:rFonts w:ascii="Times New Roman" w:hAnsi="Times New Roman"/>
              </w:rPr>
              <w:t>rámci kategórie produktov uvedenej</w:t>
            </w:r>
            <w:r w:rsidR="004E4BE4">
              <w:rPr>
                <w:rFonts w:ascii="Times New Roman" w:hAnsi="Times New Roman"/>
              </w:rPr>
              <w:t xml:space="preserve"> v </w:t>
            </w:r>
            <w:r w:rsidRPr="004E4BE4">
              <w:rPr>
                <w:rFonts w:ascii="Times New Roman" w:hAnsi="Times New Roman"/>
              </w:rPr>
              <w:t>článku 272 bode 25 písm. c) CRR</w:t>
            </w:r>
            <w:r w:rsidR="004E4BE4">
              <w:rPr>
                <w:rFonts w:ascii="Times New Roman" w:hAnsi="Times New Roman"/>
              </w:rPr>
              <w:t xml:space="preserve"> a v </w:t>
            </w:r>
            <w:r w:rsidRPr="004E4BE4">
              <w:rPr>
                <w:rFonts w:ascii="Times New Roman" w:hAnsi="Times New Roman"/>
              </w:rPr>
              <w:t>rámci kreditných derivátov, keď sú predmetom dohody</w:t>
            </w:r>
            <w:r w:rsidR="004E4BE4">
              <w:rPr>
                <w:rFonts w:ascii="Times New Roman" w:hAnsi="Times New Roman"/>
              </w:rPr>
              <w:t xml:space="preserve"> o </w:t>
            </w:r>
            <w:r w:rsidRPr="004E4BE4">
              <w:rPr>
                <w:rFonts w:ascii="Times New Roman" w:hAnsi="Times New Roman"/>
              </w:rPr>
              <w:t>krížovom vzájomnom započítavaní produktov uvedenej</w:t>
            </w:r>
            <w:r w:rsidR="004E4BE4">
              <w:rPr>
                <w:rFonts w:ascii="Times New Roman" w:hAnsi="Times New Roman"/>
              </w:rPr>
              <w:t xml:space="preserve"> v </w:t>
            </w:r>
            <w:r w:rsidRPr="004E4BE4">
              <w:rPr>
                <w:rFonts w:ascii="Times New Roman" w:hAnsi="Times New Roman"/>
              </w:rPr>
              <w:t>článku 295 písm. c) CRR.</w:t>
            </w:r>
          </w:p>
          <w:p w:rsidR="00AE2798" w:rsidRPr="004E4BE4" w:rsidRDefault="00AE2798" w:rsidP="00FE0FF1">
            <w:pPr>
              <w:pStyle w:val="BodyText1"/>
              <w:spacing w:line="240" w:lineRule="auto"/>
              <w:rPr>
                <w:rFonts w:ascii="Times New Roman" w:hAnsi="Times New Roman"/>
              </w:rPr>
            </w:pPr>
          </w:p>
          <w:p w:rsidR="00AE2798" w:rsidRPr="004E4BE4" w:rsidRDefault="00AE2798" w:rsidP="00FE0FF1">
            <w:pPr>
              <w:pStyle w:val="BodyText1"/>
              <w:spacing w:line="240" w:lineRule="auto"/>
              <w:rPr>
                <w:rFonts w:ascii="Times New Roman" w:hAnsi="Times New Roman"/>
              </w:rPr>
            </w:pPr>
            <w:r w:rsidRPr="004E4BE4">
              <w:rPr>
                <w:rFonts w:ascii="Times New Roman" w:hAnsi="Times New Roman"/>
              </w:rPr>
              <w:t>Inštitúcie do tejto bunky nezahŕňajú zmluvy oceňované uplatnením metódy pôvodnej expozície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429a ods. 8</w:t>
            </w:r>
            <w:r w:rsidR="004E4BE4">
              <w:rPr>
                <w:rFonts w:ascii="Times New Roman" w:hAnsi="Times New Roman"/>
              </w:rPr>
              <w:t xml:space="preserve"> a </w:t>
            </w:r>
            <w:r w:rsidRPr="004E4BE4">
              <w:rPr>
                <w:rFonts w:ascii="Times New Roman" w:hAnsi="Times New Roman"/>
              </w:rPr>
              <w:t>článkom 275 CRR.</w:t>
            </w:r>
          </w:p>
          <w:p w:rsidR="00AE2798" w:rsidRPr="00040D93" w:rsidRDefault="00AE2798" w:rsidP="00FE0FF1">
            <w:pPr>
              <w:pStyle w:val="BodyText1"/>
              <w:spacing w:line="240" w:lineRule="auto"/>
              <w:rPr>
                <w:rFonts w:ascii="Times New Roman" w:hAnsi="Times New Roman"/>
                <w:u w:val="single"/>
              </w:rPr>
            </w:pPr>
          </w:p>
        </w:tc>
      </w:tr>
      <w:tr w:rsidR="00AE2798" w:rsidRPr="004E4BE4" w:rsidTr="00FE0FF1">
        <w:trPr>
          <w:trHeight w:val="304"/>
        </w:trPr>
        <w:tc>
          <w:tcPr>
            <w:tcW w:w="1418" w:type="dxa"/>
            <w:tcBorders>
              <w:bottom w:val="single" w:sz="4" w:space="0" w:color="auto"/>
            </w:tcBorders>
          </w:tcPr>
          <w:p w:rsidR="00AE2798" w:rsidRPr="004E4BE4" w:rsidRDefault="00AE2798" w:rsidP="00F71081">
            <w:pPr>
              <w:pStyle w:val="BodyText1"/>
              <w:rPr>
                <w:rFonts w:ascii="Times New Roman" w:hAnsi="Times New Roman"/>
                <w:bCs/>
              </w:rPr>
            </w:pPr>
            <w:r w:rsidRPr="004E4BE4">
              <w:rPr>
                <w:rFonts w:ascii="Times New Roman" w:hAnsi="Times New Roman"/>
              </w:rPr>
              <w:t>{070;010}</w:t>
            </w:r>
          </w:p>
        </w:tc>
        <w:tc>
          <w:tcPr>
            <w:tcW w:w="7590" w:type="dxa"/>
            <w:tcBorders>
              <w:bottom w:val="single" w:sz="4" w:space="0" w:color="auto"/>
            </w:tcBorders>
          </w:tcPr>
          <w:p w:rsidR="00AE2798" w:rsidRPr="004E4BE4" w:rsidRDefault="005556DC" w:rsidP="00FE0FF1">
            <w:pPr>
              <w:pStyle w:val="BodyText1"/>
              <w:spacing w:line="240" w:lineRule="auto"/>
              <w:rPr>
                <w:rFonts w:ascii="Times New Roman" w:hAnsi="Times New Roman"/>
                <w:bCs/>
              </w:rPr>
            </w:pPr>
            <w:r w:rsidRPr="00ED4583">
              <w:rPr>
                <w:rFonts w:ascii="Times New Roman" w:hAnsi="Times New Roman"/>
                <w:b/>
              </w:rPr>
              <w:t>(–) Variačná marža prijatá</w:t>
            </w:r>
            <w:r w:rsidR="004E4BE4" w:rsidRPr="00ED4583">
              <w:rPr>
                <w:rFonts w:ascii="Times New Roman" w:hAnsi="Times New Roman"/>
                <w:b/>
              </w:rPr>
              <w:t xml:space="preserve"> v </w:t>
            </w:r>
            <w:r w:rsidRPr="00ED4583">
              <w:rPr>
                <w:rFonts w:ascii="Times New Roman" w:hAnsi="Times New Roman"/>
                <w:b/>
              </w:rPr>
              <w:t>hotovosti prípustná na započítanie oproti trhovej hodnote derivátov</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429a ods. 3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Variačná marža prijatá</w:t>
            </w:r>
            <w:r w:rsidR="004E4BE4">
              <w:rPr>
                <w:rFonts w:ascii="Times New Roman" w:hAnsi="Times New Roman"/>
              </w:rPr>
              <w:t xml:space="preserve"> v </w:t>
            </w:r>
            <w:r w:rsidRPr="004E4BE4">
              <w:rPr>
                <w:rFonts w:ascii="Times New Roman" w:hAnsi="Times New Roman"/>
              </w:rPr>
              <w:t>hotovosti od protistrany, ktorá je prípustná na započítanie oproti podielu reprodukčných nákladov derivátových expozícií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429a ods. 3 CRR.</w:t>
            </w:r>
          </w:p>
          <w:p w:rsidR="00291B93" w:rsidRPr="004E4BE4" w:rsidRDefault="00291B93" w:rsidP="00FE0FF1">
            <w:pPr>
              <w:pStyle w:val="BodyText1"/>
              <w:spacing w:line="240" w:lineRule="auto"/>
              <w:rPr>
                <w:rFonts w:ascii="Times New Roman" w:hAnsi="Times New Roman"/>
                <w:bCs/>
              </w:rPr>
            </w:pPr>
          </w:p>
          <w:p w:rsidR="00291B93" w:rsidRPr="004E4BE4" w:rsidRDefault="00291B93" w:rsidP="00FE0FF1">
            <w:pPr>
              <w:pStyle w:val="BodyText1"/>
              <w:spacing w:line="240" w:lineRule="auto"/>
              <w:rPr>
                <w:rFonts w:ascii="Times New Roman" w:hAnsi="Times New Roman"/>
                <w:bCs/>
              </w:rPr>
            </w:pPr>
            <w:r w:rsidRPr="004E4BE4">
              <w:rPr>
                <w:rFonts w:ascii="Times New Roman" w:hAnsi="Times New Roman"/>
              </w:rPr>
              <w:t>Každá hotovostná variačná marža prijatá</w:t>
            </w:r>
            <w:r w:rsidR="004E4BE4">
              <w:rPr>
                <w:rFonts w:ascii="Times New Roman" w:hAnsi="Times New Roman"/>
              </w:rPr>
              <w:t xml:space="preserve"> v </w:t>
            </w:r>
            <w:r w:rsidRPr="004E4BE4">
              <w:rPr>
                <w:rFonts w:ascii="Times New Roman" w:hAnsi="Times New Roman"/>
              </w:rPr>
              <w:t>rámci vyňatej časti expozície zúčtovávanej centrálnou protistranou</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11 CRR sa nevykazuje.</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Borders>
              <w:bottom w:val="single" w:sz="4" w:space="0" w:color="auto"/>
            </w:tcBorders>
          </w:tcPr>
          <w:p w:rsidR="00AE2798" w:rsidRPr="004E4BE4" w:rsidRDefault="00AE2798" w:rsidP="00F71081">
            <w:pPr>
              <w:pStyle w:val="BodyText1"/>
              <w:rPr>
                <w:rFonts w:ascii="Times New Roman" w:hAnsi="Times New Roman"/>
                <w:bCs/>
              </w:rPr>
            </w:pPr>
            <w:r w:rsidRPr="004E4BE4">
              <w:rPr>
                <w:rFonts w:ascii="Times New Roman" w:hAnsi="Times New Roman"/>
              </w:rPr>
              <w:t>{080;010}</w:t>
            </w:r>
          </w:p>
        </w:tc>
        <w:tc>
          <w:tcPr>
            <w:tcW w:w="7590" w:type="dxa"/>
            <w:tcBorders>
              <w:bottom w:val="single" w:sz="4" w:space="0" w:color="auto"/>
            </w:tcBorders>
          </w:tcPr>
          <w:p w:rsidR="00AE2798" w:rsidRPr="004E4BE4" w:rsidRDefault="005556DC" w:rsidP="00FE0FF1">
            <w:pPr>
              <w:pStyle w:val="BodyText1"/>
              <w:spacing w:line="240" w:lineRule="auto"/>
              <w:rPr>
                <w:rFonts w:ascii="Times New Roman" w:hAnsi="Times New Roman"/>
                <w:bCs/>
              </w:rPr>
            </w:pPr>
            <w:r w:rsidRPr="00ED4583">
              <w:rPr>
                <w:rFonts w:ascii="Times New Roman" w:hAnsi="Times New Roman"/>
                <w:b/>
              </w:rPr>
              <w:t>(–) Vyňatá časť klientských obchodných expozícií zúčtovávaných prostredníctvom centrálnej protistrany (reprodukčné náklady)</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11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Podiel reprodukčných nákladov vyňatých obchodných expozícií voči QCCP vyplývajúcich</w:t>
            </w:r>
            <w:r w:rsidR="004E4BE4">
              <w:rPr>
                <w:rFonts w:ascii="Times New Roman" w:hAnsi="Times New Roman"/>
              </w:rPr>
              <w:t xml:space="preserve"> z </w:t>
            </w:r>
            <w:r w:rsidRPr="004E4BE4">
              <w:rPr>
                <w:rFonts w:ascii="Times New Roman" w:hAnsi="Times New Roman"/>
              </w:rPr>
              <w:t>klientských derivátových transakcií zúčtovávaných prostredníctvom tejto QCCP za predpokladu, že uvedené položky spĺňajú podmienky stanovené</w:t>
            </w:r>
            <w:r w:rsidR="004E4BE4">
              <w:rPr>
                <w:rFonts w:ascii="Times New Roman" w:hAnsi="Times New Roman"/>
              </w:rPr>
              <w:t xml:space="preserve"> v </w:t>
            </w:r>
            <w:r w:rsidRPr="004E4BE4">
              <w:rPr>
                <w:rFonts w:ascii="Times New Roman" w:hAnsi="Times New Roman"/>
              </w:rPr>
              <w:t>článku 306 ods. 1 písm. c) CRR. Táto suma sa vykazuje bez započítania hotovostnej variačnej marže prijatej</w:t>
            </w:r>
            <w:r w:rsidR="004E4BE4">
              <w:rPr>
                <w:rFonts w:ascii="Times New Roman" w:hAnsi="Times New Roman"/>
              </w:rPr>
              <w:t xml:space="preserve"> v </w:t>
            </w:r>
            <w:r w:rsidRPr="004E4BE4">
              <w:rPr>
                <w:rFonts w:ascii="Times New Roman" w:hAnsi="Times New Roman"/>
              </w:rPr>
              <w:t>rámci tejto časti.</w:t>
            </w:r>
          </w:p>
          <w:p w:rsidR="00AE2798" w:rsidRPr="004E4BE4" w:rsidRDefault="00AE2798" w:rsidP="00FE0FF1">
            <w:pPr>
              <w:pStyle w:val="BodyText1"/>
              <w:spacing w:line="240" w:lineRule="auto"/>
              <w:rPr>
                <w:rFonts w:ascii="Times New Roman" w:hAnsi="Times New Roman"/>
                <w:bCs/>
              </w:rPr>
            </w:pPr>
          </w:p>
          <w:p w:rsidR="00184D76" w:rsidRPr="004E4BE4" w:rsidRDefault="00184D76" w:rsidP="00184D76">
            <w:pPr>
              <w:pStyle w:val="BodyText1"/>
              <w:spacing w:line="240" w:lineRule="auto"/>
              <w:rPr>
                <w:rFonts w:ascii="Times New Roman" w:hAnsi="Times New Roman"/>
                <w:bCs/>
              </w:rPr>
            </w:pPr>
            <w:r w:rsidRPr="004E4BE4">
              <w:rPr>
                <w:rFonts w:ascii="Times New Roman" w:hAnsi="Times New Roman"/>
              </w:rPr>
              <w:t>Inštitúcie zahŕňajú sumu vykázanú</w:t>
            </w:r>
            <w:r w:rsidR="004E4BE4">
              <w:rPr>
                <w:rFonts w:ascii="Times New Roman" w:hAnsi="Times New Roman"/>
              </w:rPr>
              <w:t xml:space="preserve"> v </w:t>
            </w:r>
            <w:r w:rsidRPr="004E4BE4">
              <w:rPr>
                <w:rFonts w:ascii="Times New Roman" w:hAnsi="Times New Roman"/>
              </w:rPr>
              <w:t>tejto bunke aj do {060;010}, ako keby sa neuplatnilo žiadne vyňatie.</w:t>
            </w:r>
          </w:p>
          <w:p w:rsidR="00184D76" w:rsidRPr="004E4BE4" w:rsidRDefault="00184D76" w:rsidP="00FE0FF1">
            <w:pPr>
              <w:pStyle w:val="BodyText1"/>
              <w:spacing w:line="240" w:lineRule="auto"/>
              <w:rPr>
                <w:rFonts w:ascii="Times New Roman" w:hAnsi="Times New Roman"/>
                <w:bCs/>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{090;010}</w:t>
            </w:r>
          </w:p>
          <w:p w:rsidR="00AE2798" w:rsidRPr="004E4BE4" w:rsidRDefault="00AE2798" w:rsidP="00FE0FF1">
            <w:pPr>
              <w:pStyle w:val="BodyText1"/>
              <w:rPr>
                <w:rFonts w:ascii="Times New Roman" w:hAnsi="Times New Roman"/>
                <w:bCs/>
              </w:rPr>
            </w:pPr>
          </w:p>
        </w:tc>
        <w:tc>
          <w:tcPr>
            <w:tcW w:w="7590" w:type="dxa"/>
            <w:tcBorders>
              <w:bottom w:val="single" w:sz="4" w:space="0" w:color="auto"/>
            </w:tcBorders>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Deriváty: Dodatočná hodnota podľa metódy oceňovania podľa trhovej hodnoty</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Články 429a, 274, 295, 296, 297, 298</w:t>
            </w:r>
            <w:r w:rsidR="004E4BE4">
              <w:rPr>
                <w:rFonts w:ascii="Times New Roman" w:hAnsi="Times New Roman"/>
              </w:rPr>
              <w:t xml:space="preserve"> a </w:t>
            </w:r>
            <w:r w:rsidRPr="004E4BE4">
              <w:rPr>
                <w:rFonts w:ascii="Times New Roman" w:hAnsi="Times New Roman"/>
              </w:rPr>
              <w:t>článok 299 ods. 2 CRR</w:t>
            </w:r>
          </w:p>
          <w:p w:rsidR="00AE2798" w:rsidRPr="004E4BE4" w:rsidRDefault="00AE2798" w:rsidP="00FE0FF1">
            <w:pPr>
              <w:pStyle w:val="BodyText1"/>
              <w:spacing w:line="240" w:lineRule="auto"/>
              <w:rPr>
                <w:rFonts w:ascii="Times New Roman" w:hAnsi="Times New Roman"/>
                <w:bCs/>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V tejto bunke sa uvádza dodatočná hodnota, ktorú predstavuje potenciálna budúca expozícia</w:t>
            </w:r>
            <w:r w:rsidR="004E4BE4">
              <w:rPr>
                <w:rFonts w:ascii="Times New Roman" w:hAnsi="Times New Roman"/>
              </w:rPr>
              <w:t xml:space="preserve"> v </w:t>
            </w:r>
            <w:r w:rsidRPr="004E4BE4">
              <w:rPr>
                <w:rFonts w:ascii="Times New Roman" w:hAnsi="Times New Roman"/>
              </w:rPr>
              <w:t>rámci zmlúv uvedených</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w:t>
            </w:r>
            <w:r w:rsidR="004E4BE4">
              <w:rPr>
                <w:rFonts w:ascii="Times New Roman" w:hAnsi="Times New Roman"/>
              </w:rPr>
              <w:t xml:space="preserve"> a v </w:t>
            </w:r>
            <w:r w:rsidRPr="004E4BE4">
              <w:rPr>
                <w:rFonts w:ascii="Times New Roman" w:hAnsi="Times New Roman"/>
              </w:rPr>
              <w:t>rámci kreditných derivátov vrátane podsúvahových na základe výpočtu</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metódou oceňovania podľa trhovej hodnoty (článok 274 CRR pre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w:t>
            </w:r>
            <w:r w:rsidR="004E4BE4">
              <w:rPr>
                <w:rFonts w:ascii="Times New Roman" w:hAnsi="Times New Roman"/>
              </w:rPr>
              <w:t xml:space="preserve"> a </w:t>
            </w:r>
            <w:r w:rsidRPr="004E4BE4">
              <w:rPr>
                <w:rFonts w:ascii="Times New Roman" w:hAnsi="Times New Roman"/>
              </w:rPr>
              <w:t>článok 299 ods. 2 CRR pre kreditné deriváty)</w:t>
            </w:r>
            <w:r w:rsidR="004E4BE4">
              <w:rPr>
                <w:rFonts w:ascii="Times New Roman" w:hAnsi="Times New Roman"/>
              </w:rPr>
              <w:t xml:space="preserve"> a </w:t>
            </w:r>
            <w:r w:rsidRPr="004E4BE4">
              <w:rPr>
                <w:rFonts w:ascii="Times New Roman" w:hAnsi="Times New Roman"/>
              </w:rPr>
              <w:t>pri uplatňovaní pravidiel</w:t>
            </w:r>
            <w:r w:rsidR="004E4BE4">
              <w:rPr>
                <w:rFonts w:ascii="Times New Roman" w:hAnsi="Times New Roman"/>
              </w:rPr>
              <w:t xml:space="preserve"> o </w:t>
            </w:r>
            <w:r w:rsidRPr="004E4BE4">
              <w:rPr>
                <w:rFonts w:ascii="Times New Roman" w:hAnsi="Times New Roman"/>
              </w:rPr>
              <w:t>vzájomnom započítavaní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429a ods. 1 CRR. Pri určovaní hodnoty expozície uvedených zmlúv môžu inštitúcie zohľadňovať účinky zmlúv</w:t>
            </w:r>
            <w:r w:rsidR="004E4BE4">
              <w:rPr>
                <w:rFonts w:ascii="Times New Roman" w:hAnsi="Times New Roman"/>
              </w:rPr>
              <w:t xml:space="preserve"> o </w:t>
            </w:r>
            <w:r w:rsidRPr="004E4BE4">
              <w:rPr>
                <w:rFonts w:ascii="Times New Roman" w:hAnsi="Times New Roman"/>
              </w:rPr>
              <w:t>novácii</w:t>
            </w:r>
            <w:r w:rsidR="004E4BE4">
              <w:rPr>
                <w:rFonts w:ascii="Times New Roman" w:hAnsi="Times New Roman"/>
              </w:rPr>
              <w:t xml:space="preserve"> a </w:t>
            </w:r>
            <w:r w:rsidRPr="004E4BE4">
              <w:rPr>
                <w:rFonts w:ascii="Times New Roman" w:hAnsi="Times New Roman"/>
              </w:rPr>
              <w:t>iných dohôd</w:t>
            </w:r>
            <w:r w:rsidR="004E4BE4">
              <w:rPr>
                <w:rFonts w:ascii="Times New Roman" w:hAnsi="Times New Roman"/>
              </w:rPr>
              <w:t xml:space="preserve"> o </w:t>
            </w:r>
            <w:r w:rsidRPr="004E4BE4">
              <w:rPr>
                <w:rFonts w:ascii="Times New Roman" w:hAnsi="Times New Roman"/>
              </w:rPr>
              <w:t>vzájomnom započítavaní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295 CRR. Krížové vzájomné započítavanie produktov sa neuplatňuje. Inštitúcie však môžu využívať vzájomné započítavanie</w:t>
            </w:r>
            <w:r w:rsidR="004E4BE4">
              <w:rPr>
                <w:rFonts w:ascii="Times New Roman" w:hAnsi="Times New Roman"/>
              </w:rPr>
              <w:t xml:space="preserve"> v </w:t>
            </w:r>
            <w:r w:rsidRPr="004E4BE4">
              <w:rPr>
                <w:rFonts w:ascii="Times New Roman" w:hAnsi="Times New Roman"/>
              </w:rPr>
              <w:t>rámci kategórie produktov uvedenej</w:t>
            </w:r>
            <w:r w:rsidR="004E4BE4">
              <w:rPr>
                <w:rFonts w:ascii="Times New Roman" w:hAnsi="Times New Roman"/>
              </w:rPr>
              <w:t xml:space="preserve"> v </w:t>
            </w:r>
            <w:r w:rsidRPr="004E4BE4">
              <w:rPr>
                <w:rFonts w:ascii="Times New Roman" w:hAnsi="Times New Roman"/>
              </w:rPr>
              <w:t>článku 272 bode 25 písm. c) CRR</w:t>
            </w:r>
            <w:r w:rsidR="004E4BE4">
              <w:rPr>
                <w:rFonts w:ascii="Times New Roman" w:hAnsi="Times New Roman"/>
              </w:rPr>
              <w:t xml:space="preserve"> a v </w:t>
            </w:r>
            <w:r w:rsidRPr="004E4BE4">
              <w:rPr>
                <w:rFonts w:ascii="Times New Roman" w:hAnsi="Times New Roman"/>
              </w:rPr>
              <w:t>rámci kreditných derivátov, keď sú predmetom dohody</w:t>
            </w:r>
            <w:r w:rsidR="004E4BE4">
              <w:rPr>
                <w:rFonts w:ascii="Times New Roman" w:hAnsi="Times New Roman"/>
              </w:rPr>
              <w:t xml:space="preserve"> o </w:t>
            </w:r>
            <w:r w:rsidRPr="004E4BE4">
              <w:rPr>
                <w:rFonts w:ascii="Times New Roman" w:hAnsi="Times New Roman"/>
              </w:rPr>
              <w:t>krížovom vzájomnom započítavaní produktov uvedenej</w:t>
            </w:r>
            <w:r w:rsidR="004E4BE4">
              <w:rPr>
                <w:rFonts w:ascii="Times New Roman" w:hAnsi="Times New Roman"/>
              </w:rPr>
              <w:t xml:space="preserve"> v </w:t>
            </w:r>
            <w:r w:rsidRPr="004E4BE4">
              <w:rPr>
                <w:rFonts w:ascii="Times New Roman" w:hAnsi="Times New Roman"/>
              </w:rPr>
              <w:t>článku 295 písm. c) CRR</w:t>
            </w:r>
            <w:r w:rsidR="004E4BE4" w:rsidRPr="004E4BE4">
              <w:rPr>
                <w:rFonts w:ascii="Times New Roman" w:hAnsi="Times New Roman"/>
              </w:rPr>
              <w:t>.</w:t>
            </w:r>
          </w:p>
          <w:p w:rsidR="00AE2798" w:rsidRPr="004E4BE4" w:rsidRDefault="00AE2798" w:rsidP="00FE0FF1">
            <w:pPr>
              <w:pStyle w:val="BodyText1"/>
              <w:spacing w:line="240" w:lineRule="auto"/>
              <w:rPr>
                <w:rFonts w:ascii="Times New Roman" w:hAnsi="Times New Roman"/>
                <w:bCs/>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V súlade</w:t>
            </w:r>
            <w:r w:rsidR="004E4BE4">
              <w:rPr>
                <w:rFonts w:ascii="Times New Roman" w:hAnsi="Times New Roman"/>
              </w:rPr>
              <w:t xml:space="preserve"> s </w:t>
            </w:r>
            <w:r w:rsidRPr="004E4BE4">
              <w:rPr>
                <w:rFonts w:ascii="Times New Roman" w:hAnsi="Times New Roman"/>
              </w:rPr>
              <w:t>článkom 429a ods. 1 druhým pododsekom CRR inštitúcie pri určovaní potenciálnej budúcej expozície kreditných derivátov voči kreditným rizikám uplatňujú zásady stanovené</w:t>
            </w:r>
            <w:r w:rsidR="004E4BE4">
              <w:rPr>
                <w:rFonts w:ascii="Times New Roman" w:hAnsi="Times New Roman"/>
              </w:rPr>
              <w:t xml:space="preserve"> v </w:t>
            </w:r>
            <w:r w:rsidRPr="004E4BE4">
              <w:rPr>
                <w:rFonts w:ascii="Times New Roman" w:hAnsi="Times New Roman"/>
              </w:rPr>
              <w:t>článku 299 ods. 2 písm. a) CRR na všetky svoje kreditné deriváty,</w:t>
            </w:r>
            <w:r w:rsidR="004E4BE4">
              <w:rPr>
                <w:rFonts w:ascii="Times New Roman" w:hAnsi="Times New Roman"/>
              </w:rPr>
              <w:t xml:space="preserve"> a </w:t>
            </w:r>
            <w:r w:rsidRPr="004E4BE4">
              <w:rPr>
                <w:rFonts w:ascii="Times New Roman" w:hAnsi="Times New Roman"/>
              </w:rPr>
              <w:t>nie len na tie, ktoré sú zaradené do obchodnej knihy</w:t>
            </w:r>
            <w:r w:rsidR="004E4BE4" w:rsidRPr="004E4BE4">
              <w:rPr>
                <w:rFonts w:ascii="Times New Roman" w:hAnsi="Times New Roman"/>
              </w:rPr>
              <w:t>.</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rPr>
            </w:pPr>
            <w:r w:rsidRPr="004E4BE4">
              <w:rPr>
                <w:rFonts w:ascii="Times New Roman" w:hAnsi="Times New Roman"/>
              </w:rPr>
              <w:t>Inštitúcie do tejto bunky nezahŕňajú zmluvy oceňované uplatnením metódy pôvodnej expozície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429a ods. 8</w:t>
            </w:r>
            <w:r w:rsidR="004E4BE4">
              <w:rPr>
                <w:rFonts w:ascii="Times New Roman" w:hAnsi="Times New Roman"/>
              </w:rPr>
              <w:t xml:space="preserve"> a </w:t>
            </w:r>
            <w:r w:rsidRPr="004E4BE4">
              <w:rPr>
                <w:rFonts w:ascii="Times New Roman" w:hAnsi="Times New Roman"/>
              </w:rPr>
              <w:t>článkom 275 CRR.</w:t>
            </w:r>
          </w:p>
          <w:p w:rsidR="00AE2798" w:rsidRPr="00040D93" w:rsidRDefault="00AE2798" w:rsidP="00FE0FF1">
            <w:pPr>
              <w:pStyle w:val="BodyText1"/>
              <w:spacing w:line="240" w:lineRule="auto"/>
              <w:rPr>
                <w:rFonts w:ascii="Times New Roman" w:hAnsi="Times New Roman"/>
                <w:bCs/>
                <w:u w:val="single"/>
              </w:rPr>
            </w:pPr>
          </w:p>
        </w:tc>
      </w:tr>
      <w:tr w:rsidR="00AE2798" w:rsidRPr="004E4BE4" w:rsidTr="00FE0FF1">
        <w:trPr>
          <w:trHeight w:val="304"/>
        </w:trPr>
        <w:tc>
          <w:tcPr>
            <w:tcW w:w="1418" w:type="dxa"/>
          </w:tcPr>
          <w:p w:rsidR="00AE2798" w:rsidRPr="004E4BE4" w:rsidRDefault="00AE2798" w:rsidP="00F71081">
            <w:pPr>
              <w:pStyle w:val="BodyText1"/>
              <w:rPr>
                <w:rFonts w:ascii="Times New Roman" w:hAnsi="Times New Roman"/>
                <w:bCs/>
              </w:rPr>
            </w:pPr>
            <w:r w:rsidRPr="004E4BE4">
              <w:rPr>
                <w:rFonts w:ascii="Times New Roman" w:hAnsi="Times New Roman"/>
              </w:rPr>
              <w:t>{100;010}</w:t>
            </w:r>
          </w:p>
        </w:tc>
        <w:tc>
          <w:tcPr>
            <w:tcW w:w="7590" w:type="dxa"/>
          </w:tcPr>
          <w:p w:rsidR="00AE2798" w:rsidRPr="004E4BE4" w:rsidRDefault="005556DC" w:rsidP="00FE0FF1">
            <w:pPr>
              <w:pStyle w:val="BodyText1"/>
              <w:spacing w:line="240" w:lineRule="auto"/>
              <w:rPr>
                <w:rFonts w:ascii="Times New Roman" w:hAnsi="Times New Roman"/>
                <w:bCs/>
              </w:rPr>
            </w:pPr>
            <w:r w:rsidRPr="00ED4583">
              <w:rPr>
                <w:rFonts w:ascii="Times New Roman" w:hAnsi="Times New Roman"/>
                <w:b/>
              </w:rPr>
              <w:t>(–) Vyňatá časť klientských obchodných expozícií zúčtovávaných prostredníctvom centrálnej protistrany (potenciálna budúca expozícia)</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11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Potenciálna budúca expozícia vyňatých obchodných expozícií voči QCCP vyplývajúcich</w:t>
            </w:r>
            <w:r w:rsidR="004E4BE4">
              <w:rPr>
                <w:rFonts w:ascii="Times New Roman" w:hAnsi="Times New Roman"/>
              </w:rPr>
              <w:t xml:space="preserve"> z </w:t>
            </w:r>
            <w:r w:rsidRPr="004E4BE4">
              <w:rPr>
                <w:rFonts w:ascii="Times New Roman" w:hAnsi="Times New Roman"/>
              </w:rPr>
              <w:t>klientských derivátových transakcií zúčtovávaných prostredníctvom tejto QCCP za predpokladu, že uvedené položky spĺňajú podmienky stanovené</w:t>
            </w:r>
            <w:r w:rsidR="004E4BE4">
              <w:rPr>
                <w:rFonts w:ascii="Times New Roman" w:hAnsi="Times New Roman"/>
              </w:rPr>
              <w:t xml:space="preserve"> v </w:t>
            </w:r>
            <w:r w:rsidRPr="004E4BE4">
              <w:rPr>
                <w:rFonts w:ascii="Times New Roman" w:hAnsi="Times New Roman"/>
              </w:rPr>
              <w:t>článku 306 ods. 1 písm. c) CRR.</w:t>
            </w:r>
          </w:p>
          <w:p w:rsidR="001B3BF0" w:rsidRPr="004E4BE4" w:rsidRDefault="001B3BF0" w:rsidP="00FE0FF1">
            <w:pPr>
              <w:pStyle w:val="BodyText1"/>
              <w:spacing w:line="240" w:lineRule="auto"/>
              <w:rPr>
                <w:rFonts w:ascii="Times New Roman" w:hAnsi="Times New Roman"/>
                <w:bCs/>
              </w:rPr>
            </w:pPr>
          </w:p>
          <w:p w:rsidR="001B3BF0" w:rsidRPr="004E4BE4" w:rsidRDefault="001B3BF0" w:rsidP="00FE0FF1">
            <w:pPr>
              <w:pStyle w:val="BodyText1"/>
              <w:spacing w:line="240" w:lineRule="auto"/>
              <w:rPr>
                <w:rFonts w:ascii="Times New Roman" w:hAnsi="Times New Roman"/>
                <w:bCs/>
              </w:rPr>
            </w:pPr>
            <w:r w:rsidRPr="004E4BE4">
              <w:rPr>
                <w:rFonts w:ascii="Times New Roman" w:hAnsi="Times New Roman"/>
              </w:rPr>
              <w:t>Inštitúcie zahŕňajú sumu vykázanú</w:t>
            </w:r>
            <w:r w:rsidR="004E4BE4">
              <w:rPr>
                <w:rFonts w:ascii="Times New Roman" w:hAnsi="Times New Roman"/>
              </w:rPr>
              <w:t xml:space="preserve"> v </w:t>
            </w:r>
            <w:r w:rsidRPr="004E4BE4">
              <w:rPr>
                <w:rFonts w:ascii="Times New Roman" w:hAnsi="Times New Roman"/>
              </w:rPr>
              <w:t>tejto bunke aj do {090;010}, ako keby sa neuplatnilo žiadne vyňatie.</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{110;010}</w:t>
            </w:r>
          </w:p>
          <w:p w:rsidR="00AE2798" w:rsidRPr="004E4BE4" w:rsidRDefault="00AE2798" w:rsidP="00FE0FF1">
            <w:pPr>
              <w:pStyle w:val="BodyText1"/>
              <w:rPr>
                <w:rFonts w:ascii="Times New Roman" w:hAnsi="Times New Roman"/>
                <w:bCs/>
              </w:rPr>
            </w:pPr>
          </w:p>
        </w:tc>
        <w:tc>
          <w:tcPr>
            <w:tcW w:w="7590" w:type="dxa"/>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Odchýlka pre deriváty: metóda pôvodnej expozície</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429a ods. 8</w:t>
            </w:r>
            <w:r w:rsidR="004E4BE4">
              <w:rPr>
                <w:rFonts w:ascii="Times New Roman" w:hAnsi="Times New Roman"/>
              </w:rPr>
              <w:t xml:space="preserve"> a </w:t>
            </w:r>
            <w:r w:rsidRPr="004E4BE4">
              <w:rPr>
                <w:rFonts w:ascii="Times New Roman" w:hAnsi="Times New Roman"/>
              </w:rPr>
              <w:t>článok 275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 tejto bunke sa uvádza veľkosť expozície</w:t>
            </w:r>
            <w:r w:rsidR="004E4BE4">
              <w:rPr>
                <w:rFonts w:ascii="Times New Roman" w:hAnsi="Times New Roman"/>
              </w:rPr>
              <w:t xml:space="preserve"> v </w:t>
            </w:r>
            <w:r w:rsidRPr="004E4BE4">
              <w:rPr>
                <w:rFonts w:ascii="Times New Roman" w:hAnsi="Times New Roman"/>
              </w:rPr>
              <w:t>súvislosti so zmluvami uvedenými</w:t>
            </w:r>
            <w:r w:rsidR="004E4BE4">
              <w:rPr>
                <w:rFonts w:ascii="Times New Roman" w:hAnsi="Times New Roman"/>
              </w:rPr>
              <w:t xml:space="preserve"> v </w:t>
            </w:r>
            <w:r w:rsidRPr="004E4BE4">
              <w:rPr>
                <w:rFonts w:ascii="Times New Roman" w:hAnsi="Times New Roman"/>
              </w:rPr>
              <w:t>bodoch 1</w:t>
            </w:r>
            <w:r w:rsidR="004E4BE4">
              <w:rPr>
                <w:rFonts w:ascii="Times New Roman" w:hAnsi="Times New Roman"/>
              </w:rPr>
              <w:t xml:space="preserve"> a </w:t>
            </w:r>
            <w:r w:rsidRPr="004E4BE4">
              <w:rPr>
                <w:rFonts w:ascii="Times New Roman" w:hAnsi="Times New Roman"/>
              </w:rPr>
              <w:t>2 prílohy II</w:t>
            </w:r>
            <w:r w:rsidR="004E4BE4">
              <w:rPr>
                <w:rFonts w:ascii="Times New Roman" w:hAnsi="Times New Roman"/>
              </w:rPr>
              <w:t xml:space="preserve"> k </w:t>
            </w:r>
            <w:r w:rsidRPr="004E4BE4">
              <w:rPr>
                <w:rFonts w:ascii="Times New Roman" w:hAnsi="Times New Roman"/>
              </w:rPr>
              <w:t>CRR vypočítaná</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metódou pôvodnej expozície podľa článku 275 CRR.</w:t>
            </w:r>
          </w:p>
          <w:p w:rsidR="00AE2798" w:rsidRPr="004E4BE4" w:rsidRDefault="00AE2798" w:rsidP="00FE0FF1">
            <w:pPr>
              <w:pStyle w:val="BodyText1"/>
              <w:spacing w:line="240" w:lineRule="auto"/>
              <w:rPr>
                <w:rFonts w:ascii="Times New Roman" w:hAnsi="Times New Roman"/>
                <w:bCs/>
              </w:rPr>
            </w:pPr>
          </w:p>
          <w:p w:rsidR="00AE2798" w:rsidRPr="004E4BE4" w:rsidRDefault="003F598C" w:rsidP="00FE0FF1">
            <w:pPr>
              <w:pStyle w:val="BodyText1"/>
              <w:spacing w:line="240" w:lineRule="auto"/>
              <w:rPr>
                <w:rFonts w:ascii="Times New Roman" w:hAnsi="Times New Roman"/>
                <w:bCs/>
              </w:rPr>
            </w:pPr>
            <w:r w:rsidRPr="004E4BE4">
              <w:rPr>
                <w:rFonts w:ascii="Times New Roman" w:hAnsi="Times New Roman"/>
              </w:rPr>
              <w:t>Inštitúcie, ktoré uplatňujú metódu pôvodnej expozície, neznižujú veľkosť expozície</w:t>
            </w:r>
            <w:r w:rsidR="004E4BE4">
              <w:rPr>
                <w:rFonts w:ascii="Times New Roman" w:hAnsi="Times New Roman"/>
              </w:rPr>
              <w:t xml:space="preserve"> o </w:t>
            </w:r>
            <w:r w:rsidRPr="004E4BE4">
              <w:rPr>
                <w:rFonts w:ascii="Times New Roman" w:hAnsi="Times New Roman"/>
              </w:rPr>
              <w:t>sumu variačnej marže prijatej</w:t>
            </w:r>
            <w:r w:rsidR="004E4BE4">
              <w:rPr>
                <w:rFonts w:ascii="Times New Roman" w:hAnsi="Times New Roman"/>
              </w:rPr>
              <w:t xml:space="preserve"> v </w:t>
            </w:r>
            <w:r w:rsidRPr="004E4BE4">
              <w:rPr>
                <w:rFonts w:ascii="Times New Roman" w:hAnsi="Times New Roman"/>
              </w:rPr>
              <w:t>hotovosti</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429a ods. 8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 ktoré nepoužívajú metódu pôvodnej expozície, túto bunku nevykazujú.</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oceňované uplatnením metódy oceňovania podľa trhovej hodnoty</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429a ods. 1</w:t>
            </w:r>
            <w:r w:rsidR="004E4BE4">
              <w:rPr>
                <w:rFonts w:ascii="Times New Roman" w:hAnsi="Times New Roman"/>
              </w:rPr>
              <w:t xml:space="preserve"> a </w:t>
            </w:r>
            <w:r w:rsidRPr="004E4BE4">
              <w:rPr>
                <w:rFonts w:ascii="Times New Roman" w:hAnsi="Times New Roman"/>
              </w:rPr>
              <w:t>článkom 274 CRR.</w:t>
            </w:r>
          </w:p>
          <w:p w:rsidR="00AE2798" w:rsidRPr="00040D93" w:rsidRDefault="00AE2798" w:rsidP="00FE0FF1">
            <w:pPr>
              <w:pStyle w:val="BodyText1"/>
              <w:spacing w:line="240" w:lineRule="auto"/>
              <w:rPr>
                <w:rFonts w:ascii="Times New Roman" w:hAnsi="Times New Roman"/>
                <w:bCs/>
                <w:u w:val="single"/>
              </w:rPr>
            </w:pPr>
          </w:p>
        </w:tc>
      </w:tr>
      <w:tr w:rsidR="00AE2798" w:rsidRPr="004E4BE4" w:rsidTr="00FE0FF1">
        <w:trPr>
          <w:trHeight w:val="304"/>
        </w:trPr>
        <w:tc>
          <w:tcPr>
            <w:tcW w:w="1418" w:type="dxa"/>
          </w:tcPr>
          <w:p w:rsidR="00AE2798" w:rsidRPr="004E4BE4" w:rsidRDefault="00AE2798" w:rsidP="00F71081">
            <w:pPr>
              <w:pStyle w:val="BodyText1"/>
              <w:rPr>
                <w:rFonts w:ascii="Times New Roman" w:hAnsi="Times New Roman"/>
                <w:bCs/>
              </w:rPr>
            </w:pPr>
            <w:r w:rsidRPr="004E4BE4">
              <w:rPr>
                <w:rFonts w:ascii="Times New Roman" w:hAnsi="Times New Roman"/>
              </w:rPr>
              <w:t>{120;010}</w:t>
            </w:r>
          </w:p>
        </w:tc>
        <w:tc>
          <w:tcPr>
            <w:tcW w:w="7590" w:type="dxa"/>
          </w:tcPr>
          <w:p w:rsidR="00AE2798" w:rsidRPr="004E4BE4" w:rsidRDefault="00422C76" w:rsidP="00FE0FF1">
            <w:pPr>
              <w:pStyle w:val="BodyText1"/>
              <w:spacing w:line="240" w:lineRule="auto"/>
              <w:rPr>
                <w:rFonts w:ascii="Times New Roman" w:hAnsi="Times New Roman"/>
                <w:bCs/>
              </w:rPr>
            </w:pPr>
            <w:r w:rsidRPr="00ED4583">
              <w:rPr>
                <w:rFonts w:ascii="Times New Roman" w:hAnsi="Times New Roman"/>
                <w:b/>
              </w:rPr>
              <w:t>(–) Vyňatá časť klientských obchodných expozícií zúčtovávaných prostredníctvom centrálnej protistrany (metóda pôvodnej expozície)</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11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Vyňatá časť klientských obchodných expozícií zúčtovávaných prostredníctvom centrálnej protistrany pri uplatnení metódy pôvodnej expozície stanovenej</w:t>
            </w:r>
            <w:r w:rsidR="004E4BE4">
              <w:rPr>
                <w:rFonts w:ascii="Times New Roman" w:hAnsi="Times New Roman"/>
              </w:rPr>
              <w:t xml:space="preserve"> v </w:t>
            </w:r>
            <w:r w:rsidRPr="004E4BE4">
              <w:rPr>
                <w:rFonts w:ascii="Times New Roman" w:hAnsi="Times New Roman"/>
              </w:rPr>
              <w:t>článku 275 CRR za predpokladu, že uvedené položky spĺňajú podmienky stanovené</w:t>
            </w:r>
            <w:r w:rsidR="004E4BE4">
              <w:rPr>
                <w:rFonts w:ascii="Times New Roman" w:hAnsi="Times New Roman"/>
              </w:rPr>
              <w:t xml:space="preserve"> v </w:t>
            </w:r>
            <w:r w:rsidRPr="004E4BE4">
              <w:rPr>
                <w:rFonts w:ascii="Times New Roman" w:hAnsi="Times New Roman"/>
              </w:rPr>
              <w:t>článku 306 ods. 1 písm. c) CRR.</w:t>
            </w:r>
          </w:p>
          <w:p w:rsidR="001B3BF0" w:rsidRPr="004E4BE4" w:rsidRDefault="001B3BF0" w:rsidP="00FE0FF1">
            <w:pPr>
              <w:pStyle w:val="BodyText1"/>
              <w:spacing w:line="240" w:lineRule="auto"/>
              <w:rPr>
                <w:rFonts w:ascii="Times New Roman" w:hAnsi="Times New Roman"/>
                <w:bCs/>
              </w:rPr>
            </w:pPr>
          </w:p>
          <w:p w:rsidR="001B3BF0" w:rsidRPr="004E4BE4" w:rsidRDefault="001B3BF0" w:rsidP="00FE0FF1">
            <w:pPr>
              <w:pStyle w:val="BodyText1"/>
              <w:spacing w:line="240" w:lineRule="auto"/>
              <w:rPr>
                <w:rFonts w:ascii="Times New Roman" w:hAnsi="Times New Roman"/>
                <w:bCs/>
              </w:rPr>
            </w:pPr>
            <w:r w:rsidRPr="004E4BE4">
              <w:rPr>
                <w:rFonts w:ascii="Times New Roman" w:hAnsi="Times New Roman"/>
              </w:rPr>
              <w:t>Inštitúcie zahŕňajú sumu vykázanú</w:t>
            </w:r>
            <w:r w:rsidR="004E4BE4">
              <w:rPr>
                <w:rFonts w:ascii="Times New Roman" w:hAnsi="Times New Roman"/>
              </w:rPr>
              <w:t xml:space="preserve"> v </w:t>
            </w:r>
            <w:r w:rsidRPr="004E4BE4">
              <w:rPr>
                <w:rFonts w:ascii="Times New Roman" w:hAnsi="Times New Roman"/>
              </w:rPr>
              <w:t>tejto bunke aj do {110;010}, ako keby sa neuplatnilo žiadne vyňatie.</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{130;010}</w:t>
            </w:r>
          </w:p>
        </w:tc>
        <w:tc>
          <w:tcPr>
            <w:tcW w:w="7590" w:type="dxa"/>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Zhora ohraničená pomyselná hodnota vypísaných kreditných derivátov</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429a ods. 5 až 7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Zhora ohraničená pomyselná hodnota vypísaných kreditných derivátov (t. j. keď inštitúcia poskytuje protistrane kreditné zabezpečenie), ako je stanovené</w:t>
            </w:r>
            <w:r w:rsidR="004E4BE4">
              <w:rPr>
                <w:rFonts w:ascii="Times New Roman" w:hAnsi="Times New Roman"/>
              </w:rPr>
              <w:t xml:space="preserve"> v </w:t>
            </w:r>
            <w:r w:rsidRPr="004E4BE4">
              <w:rPr>
                <w:rFonts w:ascii="Times New Roman" w:hAnsi="Times New Roman"/>
              </w:rPr>
              <w:t>článku 429a ods. 5 až 7 CRR.</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{140;010}</w:t>
            </w:r>
          </w:p>
        </w:tc>
        <w:tc>
          <w:tcPr>
            <w:tcW w:w="7590" w:type="dxa"/>
          </w:tcPr>
          <w:p w:rsidR="00AE2798" w:rsidRPr="004E4BE4" w:rsidRDefault="00422C76" w:rsidP="00FE0FF1">
            <w:pPr>
              <w:pStyle w:val="BodyText1"/>
              <w:spacing w:line="240" w:lineRule="auto"/>
              <w:rPr>
                <w:rFonts w:ascii="Times New Roman" w:hAnsi="Times New Roman"/>
                <w:bCs/>
              </w:rPr>
            </w:pPr>
            <w:r w:rsidRPr="00ED4583">
              <w:rPr>
                <w:rFonts w:ascii="Times New Roman" w:hAnsi="Times New Roman"/>
                <w:b/>
              </w:rPr>
              <w:t>(–) Prípustné kúpené kreditné deriváty započítané oproti vypísaným kreditným derivátom</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429a ods. 5 až 7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Zhora ohraničená pomyselná hodnota kúpených kreditných derivátov (t. j. keď inštitúcia kupuje od protistrany kreditné zabezpečenie) na rovnaké referenčné názvy, ako sú tie kreditné deriváty, ktoré inštitúcia vypísala, ak sa zostatková splatnosť kúpeného zabezpečenia rovná alebo je väčšia než zostatková splatnosť predaného zabezpečenia. Takže hodnota za jednotlivé referenčné názvy nesmie byť väčšia než hodnota uvedená</w:t>
            </w:r>
            <w:r w:rsidR="004E4BE4">
              <w:rPr>
                <w:rFonts w:ascii="Times New Roman" w:hAnsi="Times New Roman"/>
              </w:rPr>
              <w:t xml:space="preserve"> v </w:t>
            </w:r>
            <w:r w:rsidRPr="004E4BE4">
              <w:rPr>
                <w:rFonts w:ascii="Times New Roman" w:hAnsi="Times New Roman"/>
              </w:rPr>
              <w:t>{130;010}.</w:t>
            </w:r>
          </w:p>
          <w:p w:rsidR="00AE2798" w:rsidRPr="004E4BE4" w:rsidRDefault="00AE2798" w:rsidP="00FE0FF1">
            <w:pPr>
              <w:pStyle w:val="BodyText1"/>
              <w:spacing w:line="240" w:lineRule="auto"/>
              <w:rPr>
                <w:rFonts w:ascii="Times New Roman" w:hAnsi="Times New Roman"/>
                <w:bCs/>
              </w:rPr>
            </w:pPr>
          </w:p>
        </w:tc>
      </w:tr>
      <w:tr w:rsidR="00AE2798" w:rsidRPr="004E4BE4" w:rsidTr="006E259E">
        <w:trPr>
          <w:trHeight w:val="983"/>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{150;010}</w:t>
            </w:r>
          </w:p>
          <w:p w:rsidR="00AE2798" w:rsidRPr="004E4BE4" w:rsidRDefault="00AE2798" w:rsidP="00FE0FF1">
            <w:pPr>
              <w:pStyle w:val="BodyText1"/>
              <w:rPr>
                <w:rFonts w:ascii="Times New Roman" w:hAnsi="Times New Roman"/>
                <w:bCs/>
              </w:rPr>
            </w:pPr>
          </w:p>
        </w:tc>
        <w:tc>
          <w:tcPr>
            <w:tcW w:w="7590" w:type="dxa"/>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Podsúvahové položky</w:t>
            </w:r>
            <w:r w:rsidR="004E4BE4" w:rsidRPr="00ED4583">
              <w:rPr>
                <w:rFonts w:ascii="Times New Roman" w:hAnsi="Times New Roman"/>
                <w:b/>
              </w:rPr>
              <w:t xml:space="preserve"> s </w:t>
            </w:r>
            <w:r w:rsidRPr="00ED4583">
              <w:rPr>
                <w:rFonts w:ascii="Times New Roman" w:hAnsi="Times New Roman"/>
                <w:b/>
              </w:rPr>
              <w:t>konverzným faktorom úverov 10</w:t>
            </w:r>
            <w:r w:rsidR="004E4BE4" w:rsidRPr="00ED4583">
              <w:rPr>
                <w:rFonts w:ascii="Times New Roman" w:hAnsi="Times New Roman"/>
                <w:b/>
              </w:rPr>
              <w:t> %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 ods. 10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10, článok 111 ods. 1 písm. d)</w:t>
            </w:r>
            <w:r w:rsidR="004E4BE4">
              <w:rPr>
                <w:rFonts w:ascii="Times New Roman" w:hAnsi="Times New Roman"/>
              </w:rPr>
              <w:t xml:space="preserve"> a </w:t>
            </w:r>
            <w:r w:rsidRPr="004E4BE4">
              <w:rPr>
                <w:rFonts w:ascii="Times New Roman" w:hAnsi="Times New Roman"/>
              </w:rPr>
              <w:t>článok 166 ods. 9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Hodnota expozície nízkorizikových podsúvahových položiek,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w:t>
            </w:r>
            <w:r w:rsidR="004E4BE4">
              <w:rPr>
                <w:rFonts w:ascii="Times New Roman" w:hAnsi="Times New Roman"/>
              </w:rPr>
              <w:t xml:space="preserve"> a </w:t>
            </w:r>
            <w:r w:rsidRPr="004E4BE4">
              <w:rPr>
                <w:rFonts w:ascii="Times New Roman" w:hAnsi="Times New Roman"/>
              </w:rPr>
              <w:t>článkom 111 ods. 1 písm. d) CRR, ktorým by bol priradený konverzný faktor úverov 0</w:t>
            </w:r>
            <w:r w:rsidR="004E4BE4">
              <w:rPr>
                <w:rFonts w:ascii="Times New Roman" w:hAnsi="Times New Roman"/>
              </w:rPr>
              <w:t> %</w:t>
            </w:r>
            <w:r w:rsidRPr="004E4BE4">
              <w:rPr>
                <w:rFonts w:ascii="Times New Roman" w:hAnsi="Times New Roman"/>
              </w:rPr>
              <w:t>, uvedených</w:t>
            </w:r>
            <w:r w:rsidR="004E4BE4">
              <w:rPr>
                <w:rFonts w:ascii="Times New Roman" w:hAnsi="Times New Roman"/>
              </w:rPr>
              <w:t xml:space="preserve"> v </w:t>
            </w:r>
            <w:r w:rsidRPr="004E4BE4">
              <w:rPr>
                <w:rFonts w:ascii="Times New Roman" w:hAnsi="Times New Roman"/>
              </w:rPr>
              <w:t>bode 4 písm. a) až c) prílohy I</w:t>
            </w:r>
            <w:r w:rsidR="004E4BE4">
              <w:rPr>
                <w:rFonts w:ascii="Times New Roman" w:hAnsi="Times New Roman"/>
              </w:rPr>
              <w:t xml:space="preserve"> k </w:t>
            </w:r>
            <w:r w:rsidRPr="004E4BE4">
              <w:rPr>
                <w:rFonts w:ascii="Times New Roman" w:hAnsi="Times New Roman"/>
              </w:rPr>
              <w:t>CRR (treba pripomenúť, že hodnota expozície</w:t>
            </w:r>
            <w:r w:rsidR="004E4BE4">
              <w:rPr>
                <w:rFonts w:ascii="Times New Roman" w:hAnsi="Times New Roman"/>
              </w:rPr>
              <w:t xml:space="preserve"> v </w:t>
            </w:r>
            <w:r w:rsidRPr="004E4BE4">
              <w:rPr>
                <w:rFonts w:ascii="Times New Roman" w:hAnsi="Times New Roman"/>
              </w:rPr>
              <w:t>tomto prípade je 10</w:t>
            </w:r>
            <w:r w:rsidR="004E4BE4">
              <w:rPr>
                <w:rFonts w:ascii="Times New Roman" w:hAnsi="Times New Roman"/>
              </w:rPr>
              <w:t> %</w:t>
            </w:r>
            <w:r w:rsidRPr="004E4BE4">
              <w:rPr>
                <w:rFonts w:ascii="Times New Roman" w:hAnsi="Times New Roman"/>
              </w:rPr>
              <w:t xml:space="preserve"> nominálnej hodnoty). Ide</w:t>
            </w:r>
            <w:r w:rsidR="004E4BE4">
              <w:rPr>
                <w:rFonts w:ascii="Times New Roman" w:hAnsi="Times New Roman"/>
              </w:rPr>
              <w:t xml:space="preserve"> o </w:t>
            </w:r>
            <w:r w:rsidRPr="004E4BE4">
              <w:rPr>
                <w:rFonts w:ascii="Times New Roman" w:hAnsi="Times New Roman"/>
              </w:rPr>
              <w:t>prísľuby, ktoré môžu byť kedykoľvek bezpodmienečne zrušené bez výpovede alebo ktoré efektívne umožňujú automatické zrušenie</w:t>
            </w:r>
            <w:r w:rsidR="004E4BE4">
              <w:rPr>
                <w:rFonts w:ascii="Times New Roman" w:hAnsi="Times New Roman"/>
              </w:rPr>
              <w:t xml:space="preserve"> z </w:t>
            </w:r>
            <w:r w:rsidRPr="004E4BE4">
              <w:rPr>
                <w:rFonts w:ascii="Times New Roman" w:hAnsi="Times New Roman"/>
              </w:rPr>
              <w:t>dôvodu zhoršenia úverovej bonity dlžníka.</w:t>
            </w:r>
            <w:r w:rsidRPr="004E4BE4">
              <w:t xml:space="preserve"> </w:t>
            </w:r>
            <w:r w:rsidRPr="004E4BE4">
              <w:rPr>
                <w:rFonts w:ascii="Times New Roman" w:hAnsi="Times New Roman"/>
              </w:rPr>
              <w:t>Treba pripomenúť, že nominálna hodnota sa neznižuje</w:t>
            </w:r>
            <w:r w:rsidR="004E4BE4">
              <w:rPr>
                <w:rFonts w:ascii="Times New Roman" w:hAnsi="Times New Roman"/>
              </w:rPr>
              <w:t xml:space="preserve"> o </w:t>
            </w:r>
            <w:r w:rsidRPr="004E4BE4">
              <w:rPr>
                <w:rFonts w:ascii="Times New Roman" w:hAnsi="Times New Roman"/>
              </w:rPr>
              <w:t>špecifické úpravy kreditného rizika.</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Ak sa nejaký prísľub vzťahuje na predĺženie iného prísľubu,</w:t>
            </w:r>
            <w:r w:rsidR="004E4BE4">
              <w:rPr>
                <w:rFonts w:ascii="Times New Roman" w:hAnsi="Times New Roman"/>
              </w:rPr>
              <w:t xml:space="preserve"> z </w:t>
            </w:r>
            <w:r w:rsidRPr="004E4BE4">
              <w:rPr>
                <w:rFonts w:ascii="Times New Roman" w:hAnsi="Times New Roman"/>
              </w:rPr>
              <w:t>dvoch konverzných faktorov spojených</w:t>
            </w:r>
            <w:r w:rsidR="004E4BE4">
              <w:rPr>
                <w:rFonts w:ascii="Times New Roman" w:hAnsi="Times New Roman"/>
              </w:rPr>
              <w:t xml:space="preserve"> s </w:t>
            </w:r>
            <w:r w:rsidRPr="004E4BE4">
              <w:rPr>
                <w:rFonts w:ascii="Times New Roman" w:hAnsi="Times New Roman"/>
              </w:rPr>
              <w:t>jednotlivými prísľubmi sa použije ten, ktorý je nižší,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166 ods. 9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AE2798" w:rsidRPr="00040D93" w:rsidRDefault="00AE2798" w:rsidP="00FE0FF1">
            <w:pPr>
              <w:pStyle w:val="BodyText1"/>
              <w:spacing w:line="240" w:lineRule="auto"/>
              <w:rPr>
                <w:rFonts w:ascii="Times New Roman" w:hAnsi="Times New Roman"/>
                <w:bCs/>
                <w:u w:val="single"/>
              </w:rPr>
            </w:pPr>
          </w:p>
        </w:tc>
      </w:tr>
      <w:tr w:rsidR="00AE2798" w:rsidRPr="004E4BE4" w:rsidTr="00FD2C06">
        <w:trPr>
          <w:trHeight w:val="712"/>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{160;010}</w:t>
            </w:r>
          </w:p>
        </w:tc>
        <w:tc>
          <w:tcPr>
            <w:tcW w:w="7590" w:type="dxa"/>
          </w:tcPr>
          <w:p w:rsidR="00AE2798" w:rsidRPr="00ED4583" w:rsidRDefault="00AE2798" w:rsidP="00FE0FF1">
            <w:pPr>
              <w:pStyle w:val="BodyText1"/>
              <w:spacing w:line="240" w:lineRule="auto"/>
              <w:rPr>
                <w:rFonts w:ascii="Times New Roman" w:hAnsi="Times New Roman"/>
                <w:b/>
                <w:bCs/>
              </w:rPr>
            </w:pPr>
            <w:r w:rsidRPr="00ED4583">
              <w:rPr>
                <w:rFonts w:ascii="Times New Roman" w:hAnsi="Times New Roman"/>
                <w:b/>
              </w:rPr>
              <w:t>Podsúvahové položky</w:t>
            </w:r>
            <w:r w:rsidR="004E4BE4" w:rsidRPr="00ED4583">
              <w:rPr>
                <w:rFonts w:ascii="Times New Roman" w:hAnsi="Times New Roman"/>
                <w:b/>
              </w:rPr>
              <w:t xml:space="preserve"> s </w:t>
            </w:r>
            <w:r w:rsidRPr="00ED4583">
              <w:rPr>
                <w:rFonts w:ascii="Times New Roman" w:hAnsi="Times New Roman"/>
                <w:b/>
              </w:rPr>
              <w:t>konverzným faktorom úverov 20</w:t>
            </w:r>
            <w:r w:rsidR="004E4BE4" w:rsidRPr="00ED4583">
              <w:rPr>
                <w:rFonts w:ascii="Times New Roman" w:hAnsi="Times New Roman"/>
                <w:b/>
              </w:rPr>
              <w:t> %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 ods. 10 CRR</w:t>
            </w:r>
          </w:p>
          <w:p w:rsidR="00AE2798" w:rsidRPr="00ED4583" w:rsidRDefault="00AE2798" w:rsidP="00FE0FF1">
            <w:pPr>
              <w:pStyle w:val="BodyText1"/>
              <w:spacing w:line="240" w:lineRule="auto"/>
              <w:rPr>
                <w:rFonts w:ascii="Times New Roman" w:hAnsi="Times New Roman"/>
                <w:b/>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10, článok 111 ods. 1 písm. c)</w:t>
            </w:r>
            <w:r w:rsidR="004E4BE4">
              <w:rPr>
                <w:rFonts w:ascii="Times New Roman" w:hAnsi="Times New Roman"/>
              </w:rPr>
              <w:t xml:space="preserve"> a </w:t>
            </w:r>
            <w:r w:rsidRPr="004E4BE4">
              <w:rPr>
                <w:rFonts w:ascii="Times New Roman" w:hAnsi="Times New Roman"/>
              </w:rPr>
              <w:t>článok 166 ods. 9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Hodnota expozície stredne rizikových/nízkorizikových podsúvahových položiek,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w:t>
            </w:r>
            <w:r w:rsidR="004E4BE4">
              <w:rPr>
                <w:rFonts w:ascii="Times New Roman" w:hAnsi="Times New Roman"/>
              </w:rPr>
              <w:t xml:space="preserve"> a </w:t>
            </w:r>
            <w:r w:rsidRPr="004E4BE4">
              <w:rPr>
                <w:rFonts w:ascii="Times New Roman" w:hAnsi="Times New Roman"/>
              </w:rPr>
              <w:t>článkom 111 ods. 1 písm. c) CRR, ktorým by bol priradený konverzný faktor úverov 20</w:t>
            </w:r>
            <w:r w:rsidR="004E4BE4">
              <w:rPr>
                <w:rFonts w:ascii="Times New Roman" w:hAnsi="Times New Roman"/>
              </w:rPr>
              <w:t> %</w:t>
            </w:r>
            <w:r w:rsidRPr="004E4BE4">
              <w:rPr>
                <w:rFonts w:ascii="Times New Roman" w:hAnsi="Times New Roman"/>
              </w:rPr>
              <w:t>, uvedených</w:t>
            </w:r>
            <w:r w:rsidR="004E4BE4">
              <w:rPr>
                <w:rFonts w:ascii="Times New Roman" w:hAnsi="Times New Roman"/>
              </w:rPr>
              <w:t xml:space="preserve"> v </w:t>
            </w:r>
            <w:r w:rsidRPr="004E4BE4">
              <w:rPr>
                <w:rFonts w:ascii="Times New Roman" w:hAnsi="Times New Roman"/>
              </w:rPr>
              <w:t>bode 3 písm. a)</w:t>
            </w:r>
            <w:r w:rsidR="004E4BE4">
              <w:rPr>
                <w:rFonts w:ascii="Times New Roman" w:hAnsi="Times New Roman"/>
              </w:rPr>
              <w:t xml:space="preserve"> a </w:t>
            </w:r>
            <w:r w:rsidRPr="004E4BE4">
              <w:rPr>
                <w:rFonts w:ascii="Times New Roman" w:hAnsi="Times New Roman"/>
              </w:rPr>
              <w:t>b) prílohy I</w:t>
            </w:r>
            <w:r w:rsidR="004E4BE4">
              <w:rPr>
                <w:rFonts w:ascii="Times New Roman" w:hAnsi="Times New Roman"/>
              </w:rPr>
              <w:t xml:space="preserve"> k </w:t>
            </w:r>
            <w:r w:rsidRPr="004E4BE4">
              <w:rPr>
                <w:rFonts w:ascii="Times New Roman" w:hAnsi="Times New Roman"/>
              </w:rPr>
              <w:t>CRR (treba pripomenúť, že hodnota expozície</w:t>
            </w:r>
            <w:r w:rsidR="004E4BE4">
              <w:rPr>
                <w:rFonts w:ascii="Times New Roman" w:hAnsi="Times New Roman"/>
              </w:rPr>
              <w:t xml:space="preserve"> v </w:t>
            </w:r>
            <w:r w:rsidRPr="004E4BE4">
              <w:rPr>
                <w:rFonts w:ascii="Times New Roman" w:hAnsi="Times New Roman"/>
              </w:rPr>
              <w:t>tomto prípade je 20</w:t>
            </w:r>
            <w:r w:rsidR="004E4BE4">
              <w:rPr>
                <w:rFonts w:ascii="Times New Roman" w:hAnsi="Times New Roman"/>
              </w:rPr>
              <w:t> %</w:t>
            </w:r>
            <w:r w:rsidRPr="004E4BE4">
              <w:rPr>
                <w:rFonts w:ascii="Times New Roman" w:hAnsi="Times New Roman"/>
              </w:rPr>
              <w:t xml:space="preserve"> nominálnej hodnoty).</w:t>
            </w:r>
            <w:r w:rsidRPr="004E4BE4">
              <w:t xml:space="preserve"> </w:t>
            </w:r>
            <w:r w:rsidRPr="004E4BE4">
              <w:rPr>
                <w:rFonts w:ascii="Times New Roman" w:hAnsi="Times New Roman"/>
              </w:rPr>
              <w:t>Treba pripomenúť, že nominálna hodnota sa neznižuje</w:t>
            </w:r>
            <w:r w:rsidR="004E4BE4">
              <w:rPr>
                <w:rFonts w:ascii="Times New Roman" w:hAnsi="Times New Roman"/>
              </w:rPr>
              <w:t xml:space="preserve"> o </w:t>
            </w:r>
            <w:r w:rsidRPr="004E4BE4">
              <w:rPr>
                <w:rFonts w:ascii="Times New Roman" w:hAnsi="Times New Roman"/>
              </w:rPr>
              <w:t>špecifické úpravy kreditného rizika.</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Ak sa nejaký prísľub vzťahuje na predĺženie iného prísľubu,</w:t>
            </w:r>
            <w:r w:rsidR="004E4BE4">
              <w:rPr>
                <w:rFonts w:ascii="Times New Roman" w:hAnsi="Times New Roman"/>
              </w:rPr>
              <w:t xml:space="preserve"> z </w:t>
            </w:r>
            <w:r w:rsidRPr="004E4BE4">
              <w:rPr>
                <w:rFonts w:ascii="Times New Roman" w:hAnsi="Times New Roman"/>
              </w:rPr>
              <w:t>dvoch konverzných faktorov spojených</w:t>
            </w:r>
            <w:r w:rsidR="004E4BE4">
              <w:rPr>
                <w:rFonts w:ascii="Times New Roman" w:hAnsi="Times New Roman"/>
              </w:rPr>
              <w:t xml:space="preserve"> s </w:t>
            </w:r>
            <w:r w:rsidRPr="004E4BE4">
              <w:rPr>
                <w:rFonts w:ascii="Times New Roman" w:hAnsi="Times New Roman"/>
              </w:rPr>
              <w:t>jednotlivými prísľubmi sa použije ten, ktorý je nižší,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166 ods. 9 CRR.</w:t>
            </w:r>
          </w:p>
          <w:p w:rsidR="00AE2798" w:rsidRPr="004E4BE4" w:rsidRDefault="00AE2798" w:rsidP="00FE0FF1">
            <w:pPr>
              <w:pStyle w:val="BodyText1"/>
              <w:spacing w:line="240" w:lineRule="auto"/>
              <w:rPr>
                <w:rFonts w:ascii="Times New Roman" w:hAnsi="Times New Roman"/>
                <w:bCs/>
              </w:rPr>
            </w:pPr>
          </w:p>
          <w:p w:rsidR="00AE2798" w:rsidRPr="00ED4583" w:rsidRDefault="00AE2798" w:rsidP="00433E1A">
            <w:pPr>
              <w:pStyle w:val="BodyText1"/>
              <w:spacing w:line="240" w:lineRule="auto"/>
              <w:rPr>
                <w:rFonts w:ascii="Times New Roman" w:hAnsi="Times New Roman"/>
                <w:b/>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tc>
      </w:tr>
      <w:tr w:rsidR="00AE2798" w:rsidRPr="004E4BE4" w:rsidTr="00FE0FF1">
        <w:trPr>
          <w:trHeight w:val="304"/>
        </w:trPr>
        <w:tc>
          <w:tcPr>
            <w:tcW w:w="1418" w:type="dxa"/>
          </w:tcPr>
          <w:p w:rsidR="00AE2798" w:rsidRPr="004E4BE4" w:rsidRDefault="00AE2798" w:rsidP="00FE0FF1">
            <w:pPr>
              <w:pStyle w:val="BodyText1"/>
              <w:rPr>
                <w:rFonts w:ascii="Times New Roman" w:hAnsi="Times New Roman"/>
                <w:bCs/>
              </w:rPr>
            </w:pPr>
            <w:r w:rsidRPr="004E4BE4">
              <w:rPr>
                <w:rFonts w:ascii="Times New Roman" w:hAnsi="Times New Roman"/>
              </w:rPr>
              <w:t>{170;010}</w:t>
            </w:r>
          </w:p>
          <w:p w:rsidR="00AE2798" w:rsidRPr="004E4BE4" w:rsidRDefault="00AE2798" w:rsidP="00FE0FF1">
            <w:pPr>
              <w:pStyle w:val="BodyText1"/>
              <w:rPr>
                <w:rFonts w:ascii="Times New Roman" w:hAnsi="Times New Roman"/>
                <w:bCs/>
              </w:rPr>
            </w:pPr>
          </w:p>
        </w:tc>
        <w:tc>
          <w:tcPr>
            <w:tcW w:w="7590" w:type="dxa"/>
          </w:tcPr>
          <w:p w:rsidR="00AE2798" w:rsidRPr="00ED4583" w:rsidRDefault="00AE2798" w:rsidP="00FE0FF1">
            <w:pPr>
              <w:pStyle w:val="BodyText1"/>
              <w:spacing w:line="240" w:lineRule="auto"/>
              <w:rPr>
                <w:rFonts w:ascii="Times New Roman" w:hAnsi="Times New Roman"/>
                <w:b/>
                <w:bCs/>
              </w:rPr>
            </w:pPr>
            <w:r w:rsidRPr="00ED4583">
              <w:rPr>
                <w:rFonts w:ascii="Times New Roman" w:hAnsi="Times New Roman"/>
                <w:b/>
              </w:rPr>
              <w:t>Podsúvahové položky</w:t>
            </w:r>
            <w:r w:rsidR="004E4BE4" w:rsidRPr="00ED4583">
              <w:rPr>
                <w:rFonts w:ascii="Times New Roman" w:hAnsi="Times New Roman"/>
                <w:b/>
              </w:rPr>
              <w:t xml:space="preserve"> s </w:t>
            </w:r>
            <w:r w:rsidRPr="00ED4583">
              <w:rPr>
                <w:rFonts w:ascii="Times New Roman" w:hAnsi="Times New Roman"/>
                <w:b/>
              </w:rPr>
              <w:t>konverzným faktorom úverov 50</w:t>
            </w:r>
            <w:r w:rsidR="004E4BE4" w:rsidRPr="00ED4583">
              <w:rPr>
                <w:rFonts w:ascii="Times New Roman" w:hAnsi="Times New Roman"/>
                <w:b/>
              </w:rPr>
              <w:t> %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 ods. 10 CRR</w:t>
            </w:r>
          </w:p>
          <w:p w:rsidR="00AE2798" w:rsidRPr="00ED4583" w:rsidRDefault="00AE2798" w:rsidP="00FE0FF1">
            <w:pPr>
              <w:pStyle w:val="BodyText1"/>
              <w:spacing w:line="240" w:lineRule="auto"/>
              <w:rPr>
                <w:rFonts w:ascii="Times New Roman" w:hAnsi="Times New Roman"/>
                <w:b/>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10, článok 111 ods. 1 písm. b)</w:t>
            </w:r>
            <w:r w:rsidR="004E4BE4">
              <w:rPr>
                <w:rFonts w:ascii="Times New Roman" w:hAnsi="Times New Roman"/>
              </w:rPr>
              <w:t xml:space="preserve"> a </w:t>
            </w:r>
            <w:r w:rsidRPr="004E4BE4">
              <w:rPr>
                <w:rFonts w:ascii="Times New Roman" w:hAnsi="Times New Roman"/>
              </w:rPr>
              <w:t>článok 166 ods. 9 CRR</w:t>
            </w:r>
          </w:p>
          <w:p w:rsidR="00AE2798" w:rsidRPr="004E4BE4" w:rsidRDefault="00AE2798" w:rsidP="00FE0FF1">
            <w:pPr>
              <w:pStyle w:val="BodyText1"/>
              <w:spacing w:line="240" w:lineRule="auto"/>
              <w:rPr>
                <w:rFonts w:ascii="Times New Roman" w:hAnsi="Times New Roman"/>
                <w:bCs/>
              </w:rPr>
            </w:pPr>
          </w:p>
          <w:p w:rsidR="008C7B98" w:rsidRPr="004E4BE4" w:rsidRDefault="00AE2798" w:rsidP="00FE0FF1">
            <w:pPr>
              <w:pStyle w:val="BodyText1"/>
              <w:spacing w:line="240" w:lineRule="auto"/>
              <w:rPr>
                <w:rFonts w:ascii="Times New Roman" w:hAnsi="Times New Roman"/>
                <w:bCs/>
              </w:rPr>
            </w:pPr>
            <w:r w:rsidRPr="004E4BE4">
              <w:rPr>
                <w:rFonts w:ascii="Times New Roman" w:hAnsi="Times New Roman"/>
              </w:rPr>
              <w:t>Hodnota expozície stredne rizikových podsúvahových položiek,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w:t>
            </w:r>
            <w:r w:rsidR="004E4BE4">
              <w:rPr>
                <w:rFonts w:ascii="Times New Roman" w:hAnsi="Times New Roman"/>
              </w:rPr>
              <w:t xml:space="preserve"> a </w:t>
            </w:r>
            <w:r w:rsidRPr="004E4BE4">
              <w:rPr>
                <w:rFonts w:ascii="Times New Roman" w:hAnsi="Times New Roman"/>
              </w:rPr>
              <w:t>článkom 111 ods. 1 písm. b) CRR, ktorým by bol priradený konverzný faktor úverov 50</w:t>
            </w:r>
            <w:r w:rsidR="004E4BE4">
              <w:rPr>
                <w:rFonts w:ascii="Times New Roman" w:hAnsi="Times New Roman"/>
              </w:rPr>
              <w:t> % v </w:t>
            </w:r>
            <w:r w:rsidRPr="004E4BE4">
              <w:rPr>
                <w:rFonts w:ascii="Times New Roman" w:hAnsi="Times New Roman"/>
              </w:rPr>
              <w:t>zmysle vymedzenia podľa štandardizovaného prístupu pre kreditné riziko, uvedených</w:t>
            </w:r>
            <w:r w:rsidR="004E4BE4">
              <w:rPr>
                <w:rFonts w:ascii="Times New Roman" w:hAnsi="Times New Roman"/>
              </w:rPr>
              <w:t xml:space="preserve"> v </w:t>
            </w:r>
            <w:r w:rsidRPr="004E4BE4">
              <w:rPr>
                <w:rFonts w:ascii="Times New Roman" w:hAnsi="Times New Roman"/>
              </w:rPr>
              <w:t>bode 2 písm. a)</w:t>
            </w:r>
            <w:r w:rsidR="004E4BE4">
              <w:rPr>
                <w:rFonts w:ascii="Times New Roman" w:hAnsi="Times New Roman"/>
              </w:rPr>
              <w:t xml:space="preserve"> a </w:t>
            </w:r>
            <w:r w:rsidRPr="004E4BE4">
              <w:rPr>
                <w:rFonts w:ascii="Times New Roman" w:hAnsi="Times New Roman"/>
              </w:rPr>
              <w:t>b) prílohy I</w:t>
            </w:r>
            <w:r w:rsidR="004E4BE4">
              <w:rPr>
                <w:rFonts w:ascii="Times New Roman" w:hAnsi="Times New Roman"/>
              </w:rPr>
              <w:t xml:space="preserve"> k </w:t>
            </w:r>
            <w:r w:rsidRPr="004E4BE4">
              <w:rPr>
                <w:rFonts w:ascii="Times New Roman" w:hAnsi="Times New Roman"/>
              </w:rPr>
              <w:t>CRR (treba pripomenúť, že hodnota expozície</w:t>
            </w:r>
            <w:r w:rsidR="004E4BE4">
              <w:rPr>
                <w:rFonts w:ascii="Times New Roman" w:hAnsi="Times New Roman"/>
              </w:rPr>
              <w:t xml:space="preserve"> v </w:t>
            </w:r>
            <w:r w:rsidRPr="004E4BE4">
              <w:rPr>
                <w:rFonts w:ascii="Times New Roman" w:hAnsi="Times New Roman"/>
              </w:rPr>
              <w:t>tomto prípade je 50</w:t>
            </w:r>
            <w:r w:rsidR="004E4BE4">
              <w:rPr>
                <w:rFonts w:ascii="Times New Roman" w:hAnsi="Times New Roman"/>
              </w:rPr>
              <w:t> %</w:t>
            </w:r>
            <w:r w:rsidRPr="004E4BE4">
              <w:rPr>
                <w:rFonts w:ascii="Times New Roman" w:hAnsi="Times New Roman"/>
              </w:rPr>
              <w:t xml:space="preserve"> nominálnej hodnoty). Treba pripomenúť, že nominálna hodnota sa neznižuje</w:t>
            </w:r>
            <w:r w:rsidR="004E4BE4">
              <w:rPr>
                <w:rFonts w:ascii="Times New Roman" w:hAnsi="Times New Roman"/>
              </w:rPr>
              <w:t xml:space="preserve"> o </w:t>
            </w:r>
            <w:r w:rsidRPr="004E4BE4">
              <w:rPr>
                <w:rFonts w:ascii="Times New Roman" w:hAnsi="Times New Roman"/>
              </w:rPr>
              <w:t>špecifické úpravy kreditného rizika.</w:t>
            </w:r>
          </w:p>
          <w:p w:rsidR="008C7B98" w:rsidRPr="004E4BE4" w:rsidRDefault="008C7B98" w:rsidP="00FE0FF1">
            <w:pPr>
              <w:pStyle w:val="BodyText1"/>
              <w:spacing w:line="240" w:lineRule="auto"/>
              <w:rPr>
                <w:rFonts w:ascii="Times New Roman" w:hAnsi="Times New Roman"/>
                <w:bCs/>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Táto bunka zahŕňa facility likvidity</w:t>
            </w:r>
            <w:r w:rsidR="004E4BE4">
              <w:rPr>
                <w:rFonts w:ascii="Times New Roman" w:hAnsi="Times New Roman"/>
              </w:rPr>
              <w:t xml:space="preserve"> a </w:t>
            </w:r>
            <w:r w:rsidRPr="004E4BE4">
              <w:rPr>
                <w:rFonts w:ascii="Times New Roman" w:hAnsi="Times New Roman"/>
              </w:rPr>
              <w:t>iné prísľuby pre sekuritizácie. Inými slovami, konverzný faktor úverov pre všetky facility likvidity</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255 CRR je 50</w:t>
            </w:r>
            <w:r w:rsidR="004E4BE4">
              <w:rPr>
                <w:rFonts w:ascii="Times New Roman" w:hAnsi="Times New Roman"/>
              </w:rPr>
              <w:t> %</w:t>
            </w:r>
            <w:r w:rsidRPr="004E4BE4">
              <w:rPr>
                <w:rFonts w:ascii="Times New Roman" w:hAnsi="Times New Roman"/>
              </w:rPr>
              <w:t xml:space="preserve"> bez ohľadu na splatnosť</w:t>
            </w:r>
            <w:r w:rsidR="004E4BE4" w:rsidRPr="004E4BE4">
              <w:rPr>
                <w:rFonts w:ascii="Times New Roman" w:hAnsi="Times New Roman"/>
              </w:rPr>
              <w:t>.</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Ak sa nejaký prísľub vzťahuje na predĺženie iného prísľubu,</w:t>
            </w:r>
            <w:r w:rsidR="004E4BE4">
              <w:rPr>
                <w:rFonts w:ascii="Times New Roman" w:hAnsi="Times New Roman"/>
              </w:rPr>
              <w:t xml:space="preserve"> z </w:t>
            </w:r>
            <w:r w:rsidRPr="004E4BE4">
              <w:rPr>
                <w:rFonts w:ascii="Times New Roman" w:hAnsi="Times New Roman"/>
              </w:rPr>
              <w:t>dvoch konverzných faktorov spojených</w:t>
            </w:r>
            <w:r w:rsidR="004E4BE4">
              <w:rPr>
                <w:rFonts w:ascii="Times New Roman" w:hAnsi="Times New Roman"/>
              </w:rPr>
              <w:t xml:space="preserve"> s </w:t>
            </w:r>
            <w:r w:rsidRPr="004E4BE4">
              <w:rPr>
                <w:rFonts w:ascii="Times New Roman" w:hAnsi="Times New Roman"/>
              </w:rPr>
              <w:t>jednotlivými prísľubmi sa použije ten, ktorý je nižší,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166 ods. 9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AE2798" w:rsidRPr="00ED4583" w:rsidRDefault="00AE2798" w:rsidP="00FE0FF1">
            <w:pPr>
              <w:pStyle w:val="BodyText1"/>
              <w:spacing w:line="240" w:lineRule="auto"/>
              <w:rPr>
                <w:rFonts w:ascii="Times New Roman" w:hAnsi="Times New Roman"/>
                <w:b/>
                <w:bCs/>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{180;010}</w:t>
            </w:r>
          </w:p>
          <w:p w:rsidR="00AE2798" w:rsidRPr="004E4BE4" w:rsidRDefault="00AE2798" w:rsidP="00FE0FF1">
            <w:pPr>
              <w:pStyle w:val="BodyText1"/>
              <w:rPr>
                <w:rFonts w:ascii="Times New Roman" w:hAnsi="Times New Roman"/>
                <w:bCs/>
              </w:rPr>
            </w:pPr>
          </w:p>
        </w:tc>
        <w:tc>
          <w:tcPr>
            <w:tcW w:w="7590" w:type="dxa"/>
            <w:tcBorders>
              <w:bottom w:val="single" w:sz="4" w:space="0" w:color="auto"/>
            </w:tcBorders>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Podsúvahové položky</w:t>
            </w:r>
            <w:r w:rsidR="004E4BE4" w:rsidRPr="00ED4583">
              <w:rPr>
                <w:rFonts w:ascii="Times New Roman" w:hAnsi="Times New Roman"/>
                <w:b/>
              </w:rPr>
              <w:t xml:space="preserve"> s </w:t>
            </w:r>
            <w:r w:rsidRPr="00ED4583">
              <w:rPr>
                <w:rFonts w:ascii="Times New Roman" w:hAnsi="Times New Roman"/>
                <w:b/>
              </w:rPr>
              <w:t>konverzným faktorom úverov 100</w:t>
            </w:r>
            <w:r w:rsidR="004E4BE4" w:rsidRPr="00ED4583">
              <w:rPr>
                <w:rFonts w:ascii="Times New Roman" w:hAnsi="Times New Roman"/>
                <w:b/>
              </w:rPr>
              <w:t> %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 ods. 10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10, článok 111 ods. 1 písm. a)</w:t>
            </w:r>
            <w:r w:rsidR="004E4BE4">
              <w:rPr>
                <w:rFonts w:ascii="Times New Roman" w:hAnsi="Times New Roman"/>
              </w:rPr>
              <w:t xml:space="preserve"> a </w:t>
            </w:r>
            <w:r w:rsidRPr="004E4BE4">
              <w:rPr>
                <w:rFonts w:ascii="Times New Roman" w:hAnsi="Times New Roman"/>
              </w:rPr>
              <w:t>článok 166 ods. 9 CRR</w:t>
            </w:r>
          </w:p>
          <w:p w:rsidR="00AE2798" w:rsidRPr="004E4BE4" w:rsidRDefault="00AE2798" w:rsidP="00FE0FF1">
            <w:pPr>
              <w:pStyle w:val="BodyText1"/>
              <w:spacing w:line="240" w:lineRule="auto"/>
              <w:rPr>
                <w:rFonts w:ascii="Times New Roman" w:hAnsi="Times New Roman"/>
                <w:bCs/>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Hodnota expozície vysoko rizikových podsúvahových položiek,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w:t>
            </w:r>
            <w:r w:rsidR="004E4BE4">
              <w:rPr>
                <w:rFonts w:ascii="Times New Roman" w:hAnsi="Times New Roman"/>
              </w:rPr>
              <w:t xml:space="preserve"> a </w:t>
            </w:r>
            <w:r w:rsidRPr="004E4BE4">
              <w:rPr>
                <w:rFonts w:ascii="Times New Roman" w:hAnsi="Times New Roman"/>
              </w:rPr>
              <w:t>článkom 111 ods. 1 písm. a) CRR, ktorým by bol priradený konverzný faktor úverov 100</w:t>
            </w:r>
            <w:r w:rsidR="004E4BE4">
              <w:rPr>
                <w:rFonts w:ascii="Times New Roman" w:hAnsi="Times New Roman"/>
              </w:rPr>
              <w:t> %</w:t>
            </w:r>
            <w:r w:rsidRPr="004E4BE4">
              <w:rPr>
                <w:rFonts w:ascii="Times New Roman" w:hAnsi="Times New Roman"/>
              </w:rPr>
              <w:t>, uvedených</w:t>
            </w:r>
            <w:r w:rsidR="004E4BE4">
              <w:rPr>
                <w:rFonts w:ascii="Times New Roman" w:hAnsi="Times New Roman"/>
              </w:rPr>
              <w:t xml:space="preserve"> v </w:t>
            </w:r>
            <w:r w:rsidRPr="004E4BE4">
              <w:rPr>
                <w:rFonts w:ascii="Times New Roman" w:hAnsi="Times New Roman"/>
              </w:rPr>
              <w:t>prílohe I bode 1 písm. a) až k) CRR (je potrebné pripomenúť, že hodnota expozície</w:t>
            </w:r>
            <w:r w:rsidR="004E4BE4">
              <w:rPr>
                <w:rFonts w:ascii="Times New Roman" w:hAnsi="Times New Roman"/>
              </w:rPr>
              <w:t xml:space="preserve"> v </w:t>
            </w:r>
            <w:r w:rsidRPr="004E4BE4">
              <w:rPr>
                <w:rFonts w:ascii="Times New Roman" w:hAnsi="Times New Roman"/>
              </w:rPr>
              <w:t>tomto prípade je 100</w:t>
            </w:r>
            <w:r w:rsidR="004E4BE4">
              <w:rPr>
                <w:rFonts w:ascii="Times New Roman" w:hAnsi="Times New Roman"/>
              </w:rPr>
              <w:t> %</w:t>
            </w:r>
            <w:r w:rsidRPr="004E4BE4">
              <w:rPr>
                <w:rFonts w:ascii="Times New Roman" w:hAnsi="Times New Roman"/>
              </w:rPr>
              <w:t xml:space="preserve"> nominálnej hodnoty). Treba pripomenúť, že nominálna hodnota sa neznižuje</w:t>
            </w:r>
            <w:r w:rsidR="004E4BE4">
              <w:rPr>
                <w:rFonts w:ascii="Times New Roman" w:hAnsi="Times New Roman"/>
              </w:rPr>
              <w:t xml:space="preserve"> o </w:t>
            </w:r>
            <w:r w:rsidRPr="004E4BE4">
              <w:rPr>
                <w:rFonts w:ascii="Times New Roman" w:hAnsi="Times New Roman"/>
              </w:rPr>
              <w:t>špecifické úpravy kreditného rizika</w:t>
            </w:r>
            <w:r w:rsidR="004E4BE4" w:rsidRPr="004E4BE4">
              <w:rPr>
                <w:rFonts w:ascii="Times New Roman" w:hAnsi="Times New Roman"/>
              </w:rPr>
              <w:t>.</w:t>
            </w:r>
          </w:p>
          <w:p w:rsidR="008C7B98" w:rsidRPr="004E4BE4" w:rsidRDefault="008C7B98" w:rsidP="00FE0FF1">
            <w:pPr>
              <w:pStyle w:val="BodyText1"/>
              <w:spacing w:line="240" w:lineRule="auto"/>
              <w:rPr>
                <w:rFonts w:ascii="Times New Roman" w:hAnsi="Times New Roman"/>
                <w:bCs/>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Táto bunka zahŕňa facility likvidity</w:t>
            </w:r>
            <w:r w:rsidR="004E4BE4">
              <w:rPr>
                <w:rFonts w:ascii="Times New Roman" w:hAnsi="Times New Roman"/>
              </w:rPr>
              <w:t xml:space="preserve"> a </w:t>
            </w:r>
            <w:r w:rsidRPr="004E4BE4">
              <w:rPr>
                <w:rFonts w:ascii="Times New Roman" w:hAnsi="Times New Roman"/>
              </w:rPr>
              <w:t>iné prísľuby pre sekuritizácie</w:t>
            </w:r>
            <w:r w:rsidR="004E4BE4" w:rsidRPr="004E4BE4">
              <w:rPr>
                <w:rFonts w:ascii="Times New Roman" w:hAnsi="Times New Roman"/>
              </w:rPr>
              <w:t>.</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Ak sa nejaký prísľub vzťahuje na predĺženie iného prísľubu,</w:t>
            </w:r>
            <w:r w:rsidR="004E4BE4">
              <w:rPr>
                <w:rFonts w:ascii="Times New Roman" w:hAnsi="Times New Roman"/>
              </w:rPr>
              <w:t xml:space="preserve"> z </w:t>
            </w:r>
            <w:r w:rsidRPr="004E4BE4">
              <w:rPr>
                <w:rFonts w:ascii="Times New Roman" w:hAnsi="Times New Roman"/>
              </w:rPr>
              <w:t>dvoch konverzných faktorov spojených</w:t>
            </w:r>
            <w:r w:rsidR="004E4BE4">
              <w:rPr>
                <w:rFonts w:ascii="Times New Roman" w:hAnsi="Times New Roman"/>
              </w:rPr>
              <w:t xml:space="preserve"> s </w:t>
            </w:r>
            <w:r w:rsidRPr="004E4BE4">
              <w:rPr>
                <w:rFonts w:ascii="Times New Roman" w:hAnsi="Times New Roman"/>
              </w:rPr>
              <w:t>jednotlivými prísľubmi sa použije ten, ktorý je nižší,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166 ods. 9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AE2798" w:rsidRPr="00040D93" w:rsidRDefault="00AE2798" w:rsidP="00FE0FF1">
            <w:pPr>
              <w:pStyle w:val="BodyText1"/>
              <w:spacing w:line="240" w:lineRule="auto"/>
              <w:rPr>
                <w:rFonts w:ascii="Times New Roman" w:hAnsi="Times New Roman"/>
                <w:bCs/>
                <w:u w:val="single"/>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{190;010}</w:t>
            </w:r>
          </w:p>
          <w:p w:rsidR="00AE2798" w:rsidRPr="004E4BE4" w:rsidRDefault="00AE2798" w:rsidP="00FE0FF1">
            <w:pPr>
              <w:pStyle w:val="BodyText1"/>
              <w:rPr>
                <w:rFonts w:ascii="Times New Roman" w:hAnsi="Times New Roman"/>
                <w:bCs/>
              </w:rPr>
            </w:pPr>
          </w:p>
        </w:tc>
        <w:tc>
          <w:tcPr>
            <w:tcW w:w="7590" w:type="dxa"/>
            <w:tcBorders>
              <w:bottom w:val="single" w:sz="4" w:space="0" w:color="auto"/>
            </w:tcBorders>
          </w:tcPr>
          <w:p w:rsidR="004E4BE4" w:rsidRPr="00ED4583" w:rsidRDefault="00AE2798" w:rsidP="00FE0FF1">
            <w:pPr>
              <w:pStyle w:val="BodyText1"/>
              <w:spacing w:line="240" w:lineRule="auto"/>
              <w:rPr>
                <w:rFonts w:ascii="Times New Roman" w:hAnsi="Times New Roman"/>
                <w:b/>
              </w:rPr>
            </w:pPr>
            <w:r w:rsidRPr="00ED4583">
              <w:rPr>
                <w:rFonts w:ascii="Times New Roman" w:hAnsi="Times New Roman"/>
                <w:b/>
              </w:rPr>
              <w:t>Iné aktíva</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5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Všetky aktíva iné ako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 (medzi iné aktíva, ktoré sa majú vykazovať</w:t>
            </w:r>
            <w:r w:rsidR="004E4BE4">
              <w:rPr>
                <w:rFonts w:ascii="Times New Roman" w:hAnsi="Times New Roman"/>
              </w:rPr>
              <w:t xml:space="preserve"> v </w:t>
            </w:r>
            <w:r w:rsidRPr="004E4BE4">
              <w:rPr>
                <w:rFonts w:ascii="Times New Roman" w:hAnsi="Times New Roman"/>
              </w:rPr>
              <w:t>tejto bunke, patria napríklad pohľadávky pri poskytnutej hotovostnej variačnej marži, ak boli vykázané podľa prevádzkového účtovného rámca, likvidné aktíva</w:t>
            </w:r>
            <w:r w:rsidR="004E4BE4">
              <w:rPr>
                <w:rFonts w:ascii="Times New Roman" w:hAnsi="Times New Roman"/>
              </w:rPr>
              <w:t xml:space="preserve"> v </w:t>
            </w:r>
            <w:r w:rsidRPr="004E4BE4">
              <w:rPr>
                <w:rFonts w:ascii="Times New Roman" w:hAnsi="Times New Roman"/>
              </w:rPr>
              <w:t>zmysle vymedzenia podľa ukazovateľa krytia likvidity, neúspešné transakcie</w:t>
            </w:r>
            <w:r w:rsidR="004E4BE4">
              <w:rPr>
                <w:rFonts w:ascii="Times New Roman" w:hAnsi="Times New Roman"/>
              </w:rPr>
              <w:t xml:space="preserve"> a </w:t>
            </w:r>
            <w:r w:rsidRPr="004E4BE4">
              <w:rPr>
                <w:rFonts w:ascii="Times New Roman" w:hAnsi="Times New Roman"/>
              </w:rPr>
              <w:t>nevyrovnané transakcie). Inštitúcie vychádzajú pri oceňovaní zo zásad stanovených</w:t>
            </w:r>
            <w:r w:rsidR="004E4BE4">
              <w:rPr>
                <w:rFonts w:ascii="Times New Roman" w:hAnsi="Times New Roman"/>
              </w:rPr>
              <w:t xml:space="preserve"> v </w:t>
            </w:r>
            <w:r w:rsidRPr="004E4BE4">
              <w:rPr>
                <w:rFonts w:ascii="Times New Roman" w:hAnsi="Times New Roman"/>
              </w:rPr>
              <w:t>článku 429 ods. 5 CRR.</w:t>
            </w:r>
          </w:p>
          <w:p w:rsidR="00AE2798" w:rsidRPr="004E4BE4" w:rsidRDefault="00AE2798" w:rsidP="00FE0FF1">
            <w:pPr>
              <w:pStyle w:val="BodyText1"/>
              <w:spacing w:line="240" w:lineRule="auto"/>
              <w:rPr>
                <w:rFonts w:ascii="Times New Roman" w:hAnsi="Times New Roman"/>
                <w:bCs/>
              </w:rPr>
            </w:pPr>
          </w:p>
          <w:p w:rsidR="004E4BE4" w:rsidRPr="004E4BE4" w:rsidRDefault="00AE2798" w:rsidP="00FE0FF1">
            <w:pPr>
              <w:pStyle w:val="BodyText1"/>
              <w:spacing w:line="240" w:lineRule="auto"/>
              <w:rPr>
                <w:rFonts w:ascii="Times New Roman" w:hAnsi="Times New Roman"/>
              </w:rPr>
            </w:pPr>
            <w:r w:rsidRPr="004E4BE4">
              <w:rPr>
                <w:rFonts w:ascii="Times New Roman" w:hAnsi="Times New Roman"/>
              </w:rPr>
              <w:t>Inštitúcie do tejto bunky zahŕňajú prijatú peňažnú hotovosť alebo akýkoľvek cenný papier, ktorý je poskytnutý protistrane prostredníctvom SFT</w:t>
            </w:r>
            <w:r w:rsidR="004E4BE4">
              <w:rPr>
                <w:rFonts w:ascii="Times New Roman" w:hAnsi="Times New Roman"/>
              </w:rPr>
              <w:t xml:space="preserve"> a </w:t>
            </w:r>
            <w:r w:rsidRPr="004E4BE4">
              <w:rPr>
                <w:rFonts w:ascii="Times New Roman" w:hAnsi="Times New Roman"/>
              </w:rPr>
              <w:t>ktorý sa ponechal</w:t>
            </w:r>
            <w:r w:rsidR="004E4BE4">
              <w:rPr>
                <w:rFonts w:ascii="Times New Roman" w:hAnsi="Times New Roman"/>
              </w:rPr>
              <w:t xml:space="preserve"> v </w:t>
            </w:r>
            <w:r w:rsidRPr="004E4BE4">
              <w:rPr>
                <w:rFonts w:ascii="Times New Roman" w:hAnsi="Times New Roman"/>
              </w:rPr>
              <w:t>súvahe (t. j. nie sú splnené účtovné kritériá pre ukončenie vykazovania). Okrem toho tu inštitúcie vykazujú položky, ktoré sa odpočítavajú od vlastného kapitálu Tier 1,</w:t>
            </w:r>
            <w:r w:rsidR="004E4BE4">
              <w:rPr>
                <w:rFonts w:ascii="Times New Roman" w:hAnsi="Times New Roman"/>
              </w:rPr>
              <w:t xml:space="preserve"> a </w:t>
            </w:r>
            <w:r w:rsidRPr="004E4BE4">
              <w:rPr>
                <w:rFonts w:ascii="Times New Roman" w:hAnsi="Times New Roman"/>
              </w:rPr>
              <w:t>položky dodatočného kapitálu Tier 1 (napr. nehmotné aktíva, odložené daňové pohľadávky atď.)</w:t>
            </w:r>
            <w:r w:rsidR="004E4BE4" w:rsidRPr="004E4BE4">
              <w:rPr>
                <w:rFonts w:ascii="Times New Roman" w:hAnsi="Times New Roman"/>
              </w:rPr>
              <w:t>.</w:t>
            </w:r>
          </w:p>
          <w:p w:rsidR="00AE2798" w:rsidRPr="00040D93" w:rsidRDefault="00AE2798" w:rsidP="00FE0FF1">
            <w:pPr>
              <w:pStyle w:val="BodyText1"/>
              <w:spacing w:line="240" w:lineRule="auto"/>
              <w:rPr>
                <w:rFonts w:ascii="Times New Roman" w:hAnsi="Times New Roman"/>
                <w:bCs/>
                <w:u w:val="single"/>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{200;010}</w:t>
            </w:r>
          </w:p>
        </w:tc>
        <w:tc>
          <w:tcPr>
            <w:tcW w:w="7590" w:type="dxa"/>
            <w:tcBorders>
              <w:bottom w:val="single" w:sz="4" w:space="0" w:color="auto"/>
            </w:tcBorders>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Navýšenie</w:t>
            </w:r>
            <w:r w:rsidR="004E4BE4" w:rsidRPr="00ED4583">
              <w:rPr>
                <w:rFonts w:ascii="Times New Roman" w:hAnsi="Times New Roman"/>
                <w:b/>
              </w:rPr>
              <w:t xml:space="preserve"> o </w:t>
            </w:r>
            <w:r w:rsidRPr="00ED4583">
              <w:rPr>
                <w:rFonts w:ascii="Times New Roman" w:hAnsi="Times New Roman"/>
                <w:b/>
              </w:rPr>
              <w:t>poskytnutý kolaterál súvisiaci</w:t>
            </w:r>
            <w:r w:rsidR="004E4BE4" w:rsidRPr="00ED4583">
              <w:rPr>
                <w:rFonts w:ascii="Times New Roman" w:hAnsi="Times New Roman"/>
                <w:b/>
              </w:rPr>
              <w:t xml:space="preserve"> s </w:t>
            </w:r>
            <w:r w:rsidRPr="00ED4583">
              <w:rPr>
                <w:rFonts w:ascii="Times New Roman" w:hAnsi="Times New Roman"/>
                <w:b/>
              </w:rPr>
              <w:t>derivátmi</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429a ods. 2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Výška akéhokoľvek poskytnutého kolaterálu súvisiaceho</w:t>
            </w:r>
            <w:r w:rsidR="004E4BE4">
              <w:rPr>
                <w:rFonts w:ascii="Times New Roman" w:hAnsi="Times New Roman"/>
              </w:rPr>
              <w:t xml:space="preserve"> s </w:t>
            </w:r>
            <w:r w:rsidRPr="004E4BE4">
              <w:rPr>
                <w:rFonts w:ascii="Times New Roman" w:hAnsi="Times New Roman"/>
              </w:rPr>
              <w:t>derivátmi, ak sa poskytnutím tohto kolaterálu znižuje výška aktív podľa uplatniteľného účtovného rámca, ako je stanovené</w:t>
            </w:r>
            <w:r w:rsidR="004E4BE4">
              <w:rPr>
                <w:rFonts w:ascii="Times New Roman" w:hAnsi="Times New Roman"/>
              </w:rPr>
              <w:t xml:space="preserve"> v </w:t>
            </w:r>
            <w:r w:rsidRPr="004E4BE4">
              <w:rPr>
                <w:rFonts w:ascii="Times New Roman" w:hAnsi="Times New Roman"/>
              </w:rPr>
              <w:t>článku 429a ods. 2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Inštitúcie do tejto bunky nezahŕňajú počiatočnú maržu pri klientských derivátových transakciách zúčtovávaných prostredníctvom kvalifikovanej centrálnej protistrany (QCCP) ani prípustnú hotovostnú variačnú maržu</w:t>
            </w:r>
            <w:r w:rsidR="004E4BE4">
              <w:rPr>
                <w:rFonts w:ascii="Times New Roman" w:hAnsi="Times New Roman"/>
              </w:rPr>
              <w:t xml:space="preserve"> v </w:t>
            </w:r>
            <w:r w:rsidRPr="004E4BE4">
              <w:rPr>
                <w:rFonts w:ascii="Times New Roman" w:hAnsi="Times New Roman"/>
              </w:rPr>
              <w:t>zmysle vymedzenia</w:t>
            </w:r>
            <w:r w:rsidR="004E4BE4">
              <w:rPr>
                <w:rFonts w:ascii="Times New Roman" w:hAnsi="Times New Roman"/>
              </w:rPr>
              <w:t xml:space="preserve"> v </w:t>
            </w:r>
            <w:r w:rsidRPr="004E4BE4">
              <w:rPr>
                <w:rFonts w:ascii="Times New Roman" w:hAnsi="Times New Roman"/>
              </w:rPr>
              <w:t>článku 429a ods. 3 CRR.</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{210;010}</w:t>
            </w:r>
          </w:p>
        </w:tc>
        <w:tc>
          <w:tcPr>
            <w:tcW w:w="7590" w:type="dxa"/>
            <w:tcBorders>
              <w:bottom w:val="single" w:sz="4" w:space="0" w:color="auto"/>
            </w:tcBorders>
          </w:tcPr>
          <w:p w:rsidR="00AE2798" w:rsidRPr="004E4BE4" w:rsidRDefault="00422C76" w:rsidP="00FE0FF1">
            <w:pPr>
              <w:pStyle w:val="BodyText1"/>
              <w:spacing w:line="240" w:lineRule="auto"/>
              <w:rPr>
                <w:rFonts w:ascii="Times New Roman" w:hAnsi="Times New Roman"/>
                <w:bCs/>
              </w:rPr>
            </w:pPr>
            <w:r w:rsidRPr="00ED4583">
              <w:rPr>
                <w:rFonts w:ascii="Times New Roman" w:hAnsi="Times New Roman"/>
                <w:b/>
              </w:rPr>
              <w:t>(–) Pohľadávky pri hotovostnej variačnej marži poskytnutej</w:t>
            </w:r>
            <w:r w:rsidR="004E4BE4" w:rsidRPr="00ED4583">
              <w:rPr>
                <w:rFonts w:ascii="Times New Roman" w:hAnsi="Times New Roman"/>
                <w:b/>
              </w:rPr>
              <w:t xml:space="preserve"> v </w:t>
            </w:r>
            <w:r w:rsidRPr="00ED4583">
              <w:rPr>
                <w:rFonts w:ascii="Times New Roman" w:hAnsi="Times New Roman"/>
                <w:b/>
              </w:rPr>
              <w:t>derivátových transakciách</w:t>
            </w:r>
          </w:p>
          <w:p w:rsidR="00AE2798" w:rsidRPr="004E4BE4" w:rsidRDefault="00AE2798" w:rsidP="00FE0FF1">
            <w:pPr>
              <w:pStyle w:val="BodyText1"/>
              <w:spacing w:line="240" w:lineRule="auto"/>
              <w:rPr>
                <w:rFonts w:ascii="Times New Roman" w:hAnsi="Times New Roman"/>
                <w:bCs/>
              </w:rPr>
            </w:pPr>
          </w:p>
          <w:p w:rsidR="00AE2798" w:rsidRPr="004E4BE4" w:rsidRDefault="006D3F98" w:rsidP="00FE0FF1">
            <w:pPr>
              <w:pStyle w:val="BodyText1"/>
              <w:spacing w:line="240" w:lineRule="auto"/>
              <w:rPr>
                <w:rFonts w:ascii="Times New Roman" w:hAnsi="Times New Roman"/>
                <w:bCs/>
              </w:rPr>
            </w:pPr>
            <w:r w:rsidRPr="004E4BE4">
              <w:rPr>
                <w:rFonts w:ascii="Times New Roman" w:hAnsi="Times New Roman"/>
              </w:rPr>
              <w:t>Článok 429a ods. 3 tretí pododsek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Pohľadávky pri variačnej marži zaplatenej</w:t>
            </w:r>
            <w:r w:rsidR="004E4BE4">
              <w:rPr>
                <w:rFonts w:ascii="Times New Roman" w:hAnsi="Times New Roman"/>
              </w:rPr>
              <w:t xml:space="preserve"> v </w:t>
            </w:r>
            <w:r w:rsidRPr="004E4BE4">
              <w:rPr>
                <w:rFonts w:ascii="Times New Roman" w:hAnsi="Times New Roman"/>
              </w:rPr>
              <w:t>hotovosti protistrane</w:t>
            </w:r>
            <w:r w:rsidR="004E4BE4">
              <w:rPr>
                <w:rFonts w:ascii="Times New Roman" w:hAnsi="Times New Roman"/>
              </w:rPr>
              <w:t xml:space="preserve"> v </w:t>
            </w:r>
            <w:r w:rsidRPr="004E4BE4">
              <w:rPr>
                <w:rFonts w:ascii="Times New Roman" w:hAnsi="Times New Roman"/>
              </w:rPr>
              <w:t>derivátových transakciách, ak sa od inštitúcie na základe uplatniteľného účtovného rámca vyžaduje, aby tieto pohľadávky vykázala ako aktívum, za predpokladu, že sú splnené podmienky uvedené</w:t>
            </w:r>
            <w:r w:rsidR="004E4BE4">
              <w:rPr>
                <w:rFonts w:ascii="Times New Roman" w:hAnsi="Times New Roman"/>
              </w:rPr>
              <w:t xml:space="preserve"> v </w:t>
            </w:r>
            <w:r w:rsidRPr="004E4BE4">
              <w:rPr>
                <w:rFonts w:ascii="Times New Roman" w:hAnsi="Times New Roman"/>
              </w:rPr>
              <w:t>článku 429a ods. 3 písm. a) až e)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Vykázaná suma sa musí zahrnúť aj do iných aktív vykázaných</w:t>
            </w:r>
            <w:r w:rsidR="004E4BE4">
              <w:rPr>
                <w:rFonts w:ascii="Times New Roman" w:hAnsi="Times New Roman"/>
              </w:rPr>
              <w:t xml:space="preserve"> v </w:t>
            </w:r>
            <w:r w:rsidRPr="004E4BE4">
              <w:rPr>
                <w:rFonts w:ascii="Times New Roman" w:hAnsi="Times New Roman"/>
              </w:rPr>
              <w:t>{190, 010}.</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{220;010}</w:t>
            </w:r>
          </w:p>
        </w:tc>
        <w:tc>
          <w:tcPr>
            <w:tcW w:w="7590" w:type="dxa"/>
            <w:tcBorders>
              <w:bottom w:val="single" w:sz="4" w:space="0" w:color="auto"/>
            </w:tcBorders>
          </w:tcPr>
          <w:p w:rsidR="00AE2798" w:rsidRPr="004E4BE4" w:rsidRDefault="00422C76" w:rsidP="00FE0FF1">
            <w:pPr>
              <w:pStyle w:val="BodyText1"/>
              <w:spacing w:line="240" w:lineRule="auto"/>
              <w:rPr>
                <w:rFonts w:ascii="Times New Roman" w:hAnsi="Times New Roman"/>
                <w:bCs/>
              </w:rPr>
            </w:pPr>
            <w:r w:rsidRPr="00ED4583">
              <w:rPr>
                <w:rFonts w:ascii="Times New Roman" w:hAnsi="Times New Roman"/>
                <w:b/>
              </w:rPr>
              <w:t>(–) Vyňatá časť klientských obchodných expozícií zúčtovávaných prostredníctvom centrálnej protistrany (počiatočná marža)</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11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Podiel (zloženej) počiatočnej marže vyňatých obchodných expozícií voči QCCP vyplývajúcich</w:t>
            </w:r>
            <w:r w:rsidR="004E4BE4">
              <w:rPr>
                <w:rFonts w:ascii="Times New Roman" w:hAnsi="Times New Roman"/>
              </w:rPr>
              <w:t xml:space="preserve"> z </w:t>
            </w:r>
            <w:r w:rsidRPr="004E4BE4">
              <w:rPr>
                <w:rFonts w:ascii="Times New Roman" w:hAnsi="Times New Roman"/>
              </w:rPr>
              <w:t>klientských derivátových transakcií zúčtovávaných prostredníctvom tejto QCCP za predpokladu, že uvedené položky spĺňajú podmienky stanovené</w:t>
            </w:r>
            <w:r w:rsidR="004E4BE4">
              <w:rPr>
                <w:rFonts w:ascii="Times New Roman" w:hAnsi="Times New Roman"/>
              </w:rPr>
              <w:t xml:space="preserve"> v </w:t>
            </w:r>
            <w:r w:rsidRPr="004E4BE4">
              <w:rPr>
                <w:rFonts w:ascii="Times New Roman" w:hAnsi="Times New Roman"/>
              </w:rPr>
              <w:t>článku 306 ods. 1 písm. c)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Vykázaná suma sa musí zahrnúť aj do iných aktív vykázaných</w:t>
            </w:r>
            <w:r w:rsidR="004E4BE4">
              <w:rPr>
                <w:rFonts w:ascii="Times New Roman" w:hAnsi="Times New Roman"/>
              </w:rPr>
              <w:t xml:space="preserve"> v </w:t>
            </w:r>
            <w:r w:rsidRPr="004E4BE4">
              <w:rPr>
                <w:rFonts w:ascii="Times New Roman" w:hAnsi="Times New Roman"/>
              </w:rPr>
              <w:t>{190, 010}.</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{230;010}</w:t>
            </w:r>
          </w:p>
        </w:tc>
        <w:tc>
          <w:tcPr>
            <w:tcW w:w="7590" w:type="dxa"/>
            <w:tcBorders>
              <w:bottom w:val="single" w:sz="4" w:space="0" w:color="auto"/>
            </w:tcBorders>
          </w:tcPr>
          <w:p w:rsidR="00AE2798" w:rsidRPr="004E4BE4" w:rsidRDefault="00AE2798" w:rsidP="00FE0FF1">
            <w:pPr>
              <w:pStyle w:val="BodyText1"/>
              <w:spacing w:line="240" w:lineRule="auto"/>
              <w:rPr>
                <w:rFonts w:ascii="Times New Roman" w:hAnsi="Times New Roman"/>
                <w:bCs/>
              </w:rPr>
            </w:pPr>
            <w:r w:rsidRPr="00ED4583">
              <w:rPr>
                <w:rFonts w:ascii="Times New Roman" w:hAnsi="Times New Roman"/>
                <w:b/>
              </w:rPr>
              <w:t>Úpravy</w:t>
            </w:r>
            <w:r w:rsidR="004E4BE4" w:rsidRPr="00ED4583">
              <w:rPr>
                <w:rFonts w:ascii="Times New Roman" w:hAnsi="Times New Roman"/>
                <w:b/>
              </w:rPr>
              <w:t xml:space="preserve"> o </w:t>
            </w:r>
            <w:r w:rsidRPr="00ED4583">
              <w:rPr>
                <w:rFonts w:ascii="Times New Roman" w:hAnsi="Times New Roman"/>
                <w:b/>
              </w:rPr>
              <w:t>SFT na základe účtovania predajov</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429b ods. 5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Hodnota cenných papierov požičaných</w:t>
            </w:r>
            <w:r w:rsidR="004E4BE4">
              <w:rPr>
                <w:rFonts w:ascii="Times New Roman" w:hAnsi="Times New Roman"/>
              </w:rPr>
              <w:t xml:space="preserve"> v </w:t>
            </w:r>
            <w:r w:rsidRPr="004E4BE4">
              <w:rPr>
                <w:rFonts w:ascii="Times New Roman" w:hAnsi="Times New Roman"/>
              </w:rPr>
              <w:t>repo transakcii, ktorých vykazovanie sa ukončilo</w:t>
            </w:r>
            <w:r w:rsidR="004E4BE4">
              <w:rPr>
                <w:rFonts w:ascii="Times New Roman" w:hAnsi="Times New Roman"/>
              </w:rPr>
              <w:t xml:space="preserve"> z </w:t>
            </w:r>
            <w:r w:rsidRPr="004E4BE4">
              <w:rPr>
                <w:rFonts w:ascii="Times New Roman" w:hAnsi="Times New Roman"/>
              </w:rPr>
              <w:t>dôvodu transakcie na základe účtovania predajov podľa uplatniteľného účtovného rámca.</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{240;010}</w:t>
            </w:r>
          </w:p>
        </w:tc>
        <w:tc>
          <w:tcPr>
            <w:tcW w:w="7590" w:type="dxa"/>
            <w:tcBorders>
              <w:bottom w:val="single" w:sz="4" w:space="0" w:color="auto"/>
            </w:tcBorders>
          </w:tcPr>
          <w:p w:rsidR="00AE2798" w:rsidRPr="004E4BE4" w:rsidRDefault="00422C76" w:rsidP="00FE0FF1">
            <w:pPr>
              <w:pStyle w:val="BodyText1"/>
              <w:spacing w:line="240" w:lineRule="auto"/>
              <w:rPr>
                <w:rFonts w:ascii="Times New Roman" w:hAnsi="Times New Roman"/>
                <w:bCs/>
              </w:rPr>
            </w:pPr>
            <w:r w:rsidRPr="00ED4583">
              <w:rPr>
                <w:rFonts w:ascii="Times New Roman" w:hAnsi="Times New Roman"/>
                <w:b/>
              </w:rPr>
              <w:t>(–) Spravované aktíva</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13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Hodnota spravovaných aktív, ktoré spĺňajú kritéria IAS 39 pre ukončenie vykazovania</w:t>
            </w:r>
            <w:r w:rsidR="004E4BE4">
              <w:rPr>
                <w:rFonts w:ascii="Times New Roman" w:hAnsi="Times New Roman"/>
              </w:rPr>
              <w:t xml:space="preserve"> a </w:t>
            </w:r>
            <w:r w:rsidRPr="004E4BE4">
              <w:rPr>
                <w:rFonts w:ascii="Times New Roman" w:hAnsi="Times New Roman"/>
              </w:rPr>
              <w:t>prípadne IFRS 10 pre dekonsolidáciu,</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13 CRR, bez zohľadnenia účinkov účtovného vzájomného započítavania alebo CRM (t. j. stornujú sa všetky účinky účtovného vzájomného započítavania alebo CRM, ktoré ovplyvnili účtovnú hodnotu).</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Vykázaná suma sa musí zahrnúť aj do iných aktív vykázaných</w:t>
            </w:r>
            <w:r w:rsidR="004E4BE4">
              <w:rPr>
                <w:rFonts w:ascii="Times New Roman" w:hAnsi="Times New Roman"/>
              </w:rPr>
              <w:t xml:space="preserve"> v </w:t>
            </w:r>
            <w:r w:rsidRPr="004E4BE4">
              <w:rPr>
                <w:rFonts w:ascii="Times New Roman" w:hAnsi="Times New Roman"/>
              </w:rPr>
              <w:t>{190, 010}.</w:t>
            </w:r>
          </w:p>
          <w:p w:rsidR="00AE2798" w:rsidRPr="004E4BE4" w:rsidRDefault="00AE2798" w:rsidP="00FE0FF1">
            <w:pPr>
              <w:pStyle w:val="BodyText1"/>
              <w:spacing w:line="240" w:lineRule="auto"/>
              <w:rPr>
                <w:rFonts w:ascii="Times New Roman" w:hAnsi="Times New Roman"/>
                <w:bCs/>
              </w:rPr>
            </w:pPr>
          </w:p>
        </w:tc>
      </w:tr>
      <w:tr w:rsidR="00AE2798" w:rsidRPr="004E4BE4" w:rsidTr="00FE0FF1">
        <w:trPr>
          <w:trHeight w:val="304"/>
        </w:trPr>
        <w:tc>
          <w:tcPr>
            <w:tcW w:w="1418" w:type="dxa"/>
            <w:tcBorders>
              <w:bottom w:val="single" w:sz="4" w:space="0" w:color="auto"/>
            </w:tcBorders>
          </w:tcPr>
          <w:p w:rsidR="00AE2798" w:rsidRPr="004E4BE4" w:rsidRDefault="00AE2798" w:rsidP="00FE0FF1">
            <w:pPr>
              <w:pStyle w:val="BodyText1"/>
              <w:rPr>
                <w:rFonts w:ascii="Times New Roman" w:hAnsi="Times New Roman"/>
                <w:bCs/>
              </w:rPr>
            </w:pPr>
            <w:r w:rsidRPr="004E4BE4">
              <w:rPr>
                <w:rFonts w:ascii="Times New Roman" w:hAnsi="Times New Roman"/>
              </w:rPr>
              <w:t>{250;010}</w:t>
            </w:r>
          </w:p>
        </w:tc>
        <w:tc>
          <w:tcPr>
            <w:tcW w:w="7590" w:type="dxa"/>
            <w:tcBorders>
              <w:bottom w:val="single" w:sz="4" w:space="0" w:color="auto"/>
            </w:tcBorders>
          </w:tcPr>
          <w:p w:rsidR="00AE2798" w:rsidRPr="004E4BE4" w:rsidRDefault="00422C76" w:rsidP="00FE0FF1">
            <w:pPr>
              <w:pStyle w:val="BodyText1"/>
              <w:spacing w:line="240" w:lineRule="auto"/>
              <w:rPr>
                <w:rFonts w:ascii="Times New Roman" w:hAnsi="Times New Roman"/>
                <w:bCs/>
              </w:rPr>
            </w:pPr>
            <w:r w:rsidRPr="00ED4583">
              <w:rPr>
                <w:rFonts w:ascii="Times New Roman" w:hAnsi="Times New Roman"/>
                <w:b/>
              </w:rPr>
              <w:t>(–) Vnútroskupinové expozície (na jednotlivom základe) vyňaté</w:t>
            </w:r>
            <w:r w:rsidR="004E4BE4" w:rsidRPr="00ED4583">
              <w:rPr>
                <w:rFonts w:ascii="Times New Roman" w:hAnsi="Times New Roman"/>
                <w:b/>
              </w:rPr>
              <w:t xml:space="preserve">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 ods. 7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Článok 429 ods. 7</w:t>
            </w:r>
            <w:r w:rsidR="004E4BE4">
              <w:rPr>
                <w:rFonts w:ascii="Times New Roman" w:hAnsi="Times New Roman"/>
              </w:rPr>
              <w:t xml:space="preserve"> a </w:t>
            </w:r>
            <w:r w:rsidRPr="004E4BE4">
              <w:rPr>
                <w:rFonts w:ascii="Times New Roman" w:hAnsi="Times New Roman"/>
              </w:rPr>
              <w:t>článok 113 ods. 6 CRR</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Expozície, ktoré neboli konsolidované na uplatniteľnej úrovni konsolidácie</w:t>
            </w:r>
            <w:r w:rsidR="004E4BE4">
              <w:rPr>
                <w:rFonts w:ascii="Times New Roman" w:hAnsi="Times New Roman"/>
              </w:rPr>
              <w:t xml:space="preserve"> a s </w:t>
            </w:r>
            <w:r w:rsidRPr="004E4BE4">
              <w:rPr>
                <w:rFonts w:ascii="Times New Roman" w:hAnsi="Times New Roman"/>
              </w:rPr>
              <w:t>ktorými sa môže zaobchádzať podľa článku 113 ods. 6 CRR, za predpokladu, že sú splnené všetky podmienky stanovené</w:t>
            </w:r>
            <w:r w:rsidR="004E4BE4">
              <w:rPr>
                <w:rFonts w:ascii="Times New Roman" w:hAnsi="Times New Roman"/>
              </w:rPr>
              <w:t xml:space="preserve"> v </w:t>
            </w:r>
            <w:r w:rsidRPr="004E4BE4">
              <w:rPr>
                <w:rFonts w:ascii="Times New Roman" w:hAnsi="Times New Roman"/>
              </w:rPr>
              <w:t>článku 113 ods. 6 písm. a) až e) CRR,</w:t>
            </w:r>
            <w:r w:rsidR="004E4BE4">
              <w:rPr>
                <w:rFonts w:ascii="Times New Roman" w:hAnsi="Times New Roman"/>
              </w:rPr>
              <w:t xml:space="preserve"> a </w:t>
            </w:r>
            <w:r w:rsidRPr="004E4BE4">
              <w:rPr>
                <w:rFonts w:ascii="Times New Roman" w:hAnsi="Times New Roman"/>
              </w:rPr>
              <w:t>ak príslušné orgány udelili svoj súhlas.</w:t>
            </w:r>
          </w:p>
          <w:p w:rsidR="00AE2798" w:rsidRPr="004E4BE4" w:rsidRDefault="00AE2798" w:rsidP="00FE0FF1">
            <w:pPr>
              <w:pStyle w:val="BodyText1"/>
              <w:spacing w:line="240" w:lineRule="auto"/>
              <w:rPr>
                <w:rFonts w:ascii="Times New Roman" w:hAnsi="Times New Roman"/>
                <w:bCs/>
              </w:rPr>
            </w:pPr>
          </w:p>
          <w:p w:rsidR="00AE2798" w:rsidRPr="004E4BE4" w:rsidRDefault="00AE2798" w:rsidP="00FE0FF1">
            <w:pPr>
              <w:pStyle w:val="BodyText1"/>
              <w:spacing w:line="240" w:lineRule="auto"/>
              <w:rPr>
                <w:rFonts w:ascii="Times New Roman" w:hAnsi="Times New Roman"/>
                <w:bCs/>
              </w:rPr>
            </w:pPr>
            <w:r w:rsidRPr="004E4BE4">
              <w:rPr>
                <w:rFonts w:ascii="Times New Roman" w:hAnsi="Times New Roman"/>
              </w:rPr>
              <w:t>Vykázaná suma musí byť zahrnutá aj</w:t>
            </w:r>
            <w:r w:rsidR="004E4BE4">
              <w:rPr>
                <w:rFonts w:ascii="Times New Roman" w:hAnsi="Times New Roman"/>
              </w:rPr>
              <w:t xml:space="preserve"> v </w:t>
            </w:r>
            <w:r w:rsidRPr="004E4BE4">
              <w:rPr>
                <w:rFonts w:ascii="Times New Roman" w:hAnsi="Times New Roman"/>
              </w:rPr>
              <w:t>uplatniteľných vyššie uvedených bunkách, ako keby sa neuplatnilo žiadne vyňatie.</w:t>
            </w:r>
          </w:p>
          <w:p w:rsidR="00AE2798" w:rsidRPr="004E4BE4" w:rsidRDefault="00AE2798" w:rsidP="00FE0FF1">
            <w:pPr>
              <w:pStyle w:val="BodyText1"/>
              <w:spacing w:line="240" w:lineRule="auto"/>
              <w:rPr>
                <w:rFonts w:ascii="Times New Roman" w:hAnsi="Times New Roman"/>
                <w:bCs/>
              </w:rPr>
            </w:pPr>
          </w:p>
        </w:tc>
      </w:tr>
      <w:tr w:rsidR="004A1A27" w:rsidRPr="004E4BE4" w:rsidTr="00FE0FF1">
        <w:trPr>
          <w:trHeight w:val="304"/>
        </w:trPr>
        <w:tc>
          <w:tcPr>
            <w:tcW w:w="1418" w:type="dxa"/>
            <w:tcBorders>
              <w:bottom w:val="single" w:sz="4" w:space="0" w:color="auto"/>
            </w:tcBorders>
          </w:tcPr>
          <w:p w:rsidR="004A1A27" w:rsidRPr="004E4BE4" w:rsidRDefault="004A1A27" w:rsidP="00FE0FF1">
            <w:pPr>
              <w:pStyle w:val="BodyText1"/>
              <w:rPr>
                <w:rFonts w:ascii="Times New Roman" w:hAnsi="Times New Roman"/>
                <w:bCs/>
              </w:rPr>
            </w:pPr>
            <w:r w:rsidRPr="004E4BE4">
              <w:rPr>
                <w:rFonts w:ascii="Times New Roman" w:hAnsi="Times New Roman"/>
              </w:rPr>
              <w:t>{260;010}</w:t>
            </w:r>
          </w:p>
        </w:tc>
        <w:tc>
          <w:tcPr>
            <w:tcW w:w="7590" w:type="dxa"/>
            <w:tcBorders>
              <w:bottom w:val="single" w:sz="4" w:space="0" w:color="auto"/>
            </w:tcBorders>
          </w:tcPr>
          <w:p w:rsidR="004A1A27" w:rsidRPr="004E4BE4" w:rsidRDefault="00422C76" w:rsidP="003113EE">
            <w:pPr>
              <w:pStyle w:val="BodyText1"/>
              <w:spacing w:line="240" w:lineRule="auto"/>
              <w:rPr>
                <w:rFonts w:ascii="Times New Roman" w:hAnsi="Times New Roman"/>
                <w:bCs/>
              </w:rPr>
            </w:pPr>
            <w:r w:rsidRPr="00ED4583">
              <w:rPr>
                <w:rFonts w:ascii="Times New Roman" w:hAnsi="Times New Roman"/>
                <w:b/>
              </w:rPr>
              <w:t>(–) Expozície vyňaté</w:t>
            </w:r>
            <w:r w:rsidR="004E4BE4" w:rsidRPr="00ED4583">
              <w:rPr>
                <w:rFonts w:ascii="Times New Roman" w:hAnsi="Times New Roman"/>
                <w:b/>
              </w:rPr>
              <w:t xml:space="preserve"> v </w:t>
            </w:r>
            <w:r w:rsidRPr="00ED4583">
              <w:rPr>
                <w:rFonts w:ascii="Times New Roman" w:hAnsi="Times New Roman"/>
                <w:b/>
              </w:rPr>
              <w:t>súlade</w:t>
            </w:r>
            <w:r w:rsidR="004E4BE4" w:rsidRPr="00ED4583">
              <w:rPr>
                <w:rFonts w:ascii="Times New Roman" w:hAnsi="Times New Roman"/>
                <w:b/>
              </w:rPr>
              <w:t xml:space="preserve"> s </w:t>
            </w:r>
            <w:r w:rsidRPr="00ED4583">
              <w:rPr>
                <w:rFonts w:ascii="Times New Roman" w:hAnsi="Times New Roman"/>
                <w:b/>
              </w:rPr>
              <w:t>článkom 429 ods. 14 CRR</w:t>
            </w:r>
          </w:p>
          <w:p w:rsidR="004A1A27" w:rsidRPr="004E4BE4" w:rsidRDefault="004A1A27" w:rsidP="003113EE">
            <w:pPr>
              <w:pStyle w:val="BodyText1"/>
              <w:spacing w:line="240" w:lineRule="auto"/>
              <w:rPr>
                <w:rFonts w:ascii="Times New Roman" w:hAnsi="Times New Roman"/>
                <w:bCs/>
              </w:rPr>
            </w:pPr>
          </w:p>
          <w:p w:rsidR="004A1A27" w:rsidRPr="004E4BE4" w:rsidRDefault="004A1A27" w:rsidP="003113EE">
            <w:pPr>
              <w:pStyle w:val="BodyText1"/>
              <w:spacing w:line="240" w:lineRule="auto"/>
              <w:rPr>
                <w:rFonts w:ascii="Times New Roman" w:hAnsi="Times New Roman"/>
                <w:bCs/>
              </w:rPr>
            </w:pPr>
            <w:r w:rsidRPr="004E4BE4">
              <w:rPr>
                <w:rFonts w:ascii="Times New Roman" w:hAnsi="Times New Roman"/>
              </w:rPr>
              <w:t>Článok 429 ods. 14 CRR</w:t>
            </w:r>
          </w:p>
          <w:p w:rsidR="004A1A27" w:rsidRPr="004E4BE4" w:rsidRDefault="004A1A27" w:rsidP="003113EE">
            <w:pPr>
              <w:pStyle w:val="BodyText1"/>
              <w:spacing w:line="240" w:lineRule="auto"/>
              <w:rPr>
                <w:rFonts w:ascii="Times New Roman" w:hAnsi="Times New Roman"/>
                <w:bCs/>
              </w:rPr>
            </w:pPr>
          </w:p>
          <w:p w:rsidR="004A1A27" w:rsidRPr="004E4BE4" w:rsidRDefault="004A1A27" w:rsidP="003113EE">
            <w:pPr>
              <w:pStyle w:val="BodyText1"/>
              <w:spacing w:line="240" w:lineRule="auto"/>
              <w:rPr>
                <w:rFonts w:ascii="Times New Roman" w:hAnsi="Times New Roman"/>
                <w:bCs/>
              </w:rPr>
            </w:pPr>
            <w:r w:rsidRPr="004E4BE4">
              <w:rPr>
                <w:rFonts w:ascii="Times New Roman" w:hAnsi="Times New Roman"/>
              </w:rPr>
              <w:t>Expozície vyňaté</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14 CRR za predpokladu splnenia</w:t>
            </w:r>
            <w:r w:rsidR="004E4BE4">
              <w:rPr>
                <w:rFonts w:ascii="Times New Roman" w:hAnsi="Times New Roman"/>
              </w:rPr>
              <w:t xml:space="preserve"> v </w:t>
            </w:r>
            <w:r w:rsidRPr="004E4BE4">
              <w:rPr>
                <w:rFonts w:ascii="Times New Roman" w:hAnsi="Times New Roman"/>
              </w:rPr>
              <w:t>ňom uvedených podmienok</w:t>
            </w:r>
            <w:r w:rsidR="004E4BE4">
              <w:rPr>
                <w:rFonts w:ascii="Times New Roman" w:hAnsi="Times New Roman"/>
              </w:rPr>
              <w:t xml:space="preserve"> a </w:t>
            </w:r>
            <w:r w:rsidRPr="004E4BE4">
              <w:rPr>
                <w:rFonts w:ascii="Times New Roman" w:hAnsi="Times New Roman"/>
              </w:rPr>
              <w:t>ak príslušné orgány udelili svoj súhlas.</w:t>
            </w:r>
          </w:p>
          <w:p w:rsidR="004A1A27" w:rsidRPr="004E4BE4" w:rsidRDefault="004A1A27" w:rsidP="003113EE">
            <w:pPr>
              <w:pStyle w:val="BodyText1"/>
              <w:spacing w:line="240" w:lineRule="auto"/>
              <w:rPr>
                <w:rFonts w:ascii="Times New Roman" w:hAnsi="Times New Roman"/>
                <w:bCs/>
              </w:rPr>
            </w:pPr>
          </w:p>
          <w:p w:rsidR="004A1A27" w:rsidRPr="004E4BE4" w:rsidRDefault="004A1A27" w:rsidP="003113EE">
            <w:pPr>
              <w:pStyle w:val="BodyText1"/>
              <w:spacing w:line="240" w:lineRule="auto"/>
              <w:rPr>
                <w:rFonts w:ascii="Times New Roman" w:hAnsi="Times New Roman"/>
                <w:bCs/>
              </w:rPr>
            </w:pPr>
            <w:r w:rsidRPr="004E4BE4">
              <w:rPr>
                <w:rFonts w:ascii="Times New Roman" w:hAnsi="Times New Roman"/>
              </w:rPr>
              <w:t>Vykázaná suma musí byť zahrnutá aj</w:t>
            </w:r>
            <w:r w:rsidR="004E4BE4">
              <w:rPr>
                <w:rFonts w:ascii="Times New Roman" w:hAnsi="Times New Roman"/>
              </w:rPr>
              <w:t xml:space="preserve"> v </w:t>
            </w:r>
            <w:r w:rsidRPr="004E4BE4">
              <w:rPr>
                <w:rFonts w:ascii="Times New Roman" w:hAnsi="Times New Roman"/>
              </w:rPr>
              <w:t>uplatniteľných vyššie uvedených bunkách, ako keby sa neuplatnilo žiadne vyňatie.</w:t>
            </w:r>
          </w:p>
          <w:p w:rsidR="004A1A27" w:rsidRPr="00ED4583" w:rsidRDefault="004A1A27" w:rsidP="00FE0FF1">
            <w:pPr>
              <w:pStyle w:val="BodyText1"/>
              <w:spacing w:line="240" w:lineRule="auto"/>
              <w:rPr>
                <w:rFonts w:ascii="Times New Roman" w:hAnsi="Times New Roman"/>
                <w:b/>
                <w:bCs/>
              </w:rPr>
            </w:pPr>
          </w:p>
        </w:tc>
      </w:tr>
      <w:tr w:rsidR="009264ED" w:rsidRPr="004E4BE4" w:rsidTr="00FE0FF1">
        <w:trPr>
          <w:trHeight w:val="304"/>
        </w:trPr>
        <w:tc>
          <w:tcPr>
            <w:tcW w:w="1418" w:type="dxa"/>
            <w:tcBorders>
              <w:bottom w:val="single" w:sz="4" w:space="0" w:color="auto"/>
            </w:tcBorders>
          </w:tcPr>
          <w:p w:rsidR="009264ED" w:rsidRPr="004E4BE4" w:rsidRDefault="009264ED" w:rsidP="009264ED">
            <w:pPr>
              <w:pStyle w:val="BodyText1"/>
              <w:rPr>
                <w:rFonts w:ascii="Times New Roman" w:hAnsi="Times New Roman"/>
                <w:bCs/>
              </w:rPr>
            </w:pPr>
            <w:r w:rsidRPr="004E4BE4">
              <w:rPr>
                <w:rFonts w:ascii="Times New Roman" w:hAnsi="Times New Roman"/>
              </w:rPr>
              <w:t>{270;010}</w:t>
            </w:r>
          </w:p>
          <w:p w:rsidR="009264ED" w:rsidRPr="004E4BE4" w:rsidRDefault="009264ED" w:rsidP="00FE0FF1">
            <w:pPr>
              <w:pStyle w:val="BodyText1"/>
              <w:rPr>
                <w:rFonts w:ascii="Times New Roman" w:hAnsi="Times New Roman"/>
                <w:bCs/>
              </w:rPr>
            </w:pPr>
          </w:p>
        </w:tc>
        <w:tc>
          <w:tcPr>
            <w:tcW w:w="7590" w:type="dxa"/>
            <w:tcBorders>
              <w:bottom w:val="single" w:sz="4" w:space="0" w:color="auto"/>
            </w:tcBorders>
          </w:tcPr>
          <w:p w:rsidR="009264ED" w:rsidRPr="004E4BE4" w:rsidRDefault="009264ED" w:rsidP="009264ED">
            <w:pPr>
              <w:pStyle w:val="BodyText1"/>
              <w:spacing w:line="240" w:lineRule="auto"/>
              <w:rPr>
                <w:rFonts w:ascii="Times New Roman" w:hAnsi="Times New Roman"/>
              </w:rPr>
            </w:pPr>
            <w:r w:rsidRPr="00ED4583">
              <w:rPr>
                <w:rFonts w:ascii="Times New Roman" w:hAnsi="Times New Roman"/>
                <w:b/>
              </w:rPr>
              <w:t>(–) Odpočítaná suma aktíva – kapitál Tier 1 – úplne zavedené vymedzenie</w:t>
            </w:r>
          </w:p>
          <w:p w:rsidR="009264ED" w:rsidRPr="004E4BE4" w:rsidRDefault="009264ED" w:rsidP="009264ED">
            <w:pPr>
              <w:pStyle w:val="BodyText1"/>
              <w:spacing w:line="240" w:lineRule="auto"/>
              <w:rPr>
                <w:rFonts w:ascii="Times New Roman" w:hAnsi="Times New Roman"/>
              </w:rPr>
            </w:pPr>
          </w:p>
          <w:p w:rsidR="009264ED" w:rsidRPr="004E4BE4" w:rsidRDefault="009264ED" w:rsidP="009264ED">
            <w:pPr>
              <w:pStyle w:val="BodyText1"/>
              <w:spacing w:line="240" w:lineRule="auto"/>
              <w:rPr>
                <w:rFonts w:ascii="Times New Roman" w:hAnsi="Times New Roman"/>
              </w:rPr>
            </w:pPr>
            <w:r w:rsidRPr="004E4BE4">
              <w:rPr>
                <w:rFonts w:ascii="Times New Roman" w:hAnsi="Times New Roman"/>
              </w:rPr>
              <w:t>Článok 429 ods. 4 písm. a)</w:t>
            </w:r>
            <w:r w:rsidR="004E4BE4">
              <w:rPr>
                <w:rFonts w:ascii="Times New Roman" w:hAnsi="Times New Roman"/>
              </w:rPr>
              <w:t xml:space="preserve"> a </w:t>
            </w:r>
            <w:r w:rsidRPr="004E4BE4">
              <w:rPr>
                <w:rFonts w:ascii="Times New Roman" w:hAnsi="Times New Roman"/>
              </w:rPr>
              <w:t>článok 499 ods. 1 písm. a) CRR</w:t>
            </w:r>
          </w:p>
          <w:p w:rsidR="009264ED" w:rsidRPr="004E4BE4" w:rsidRDefault="009264ED" w:rsidP="009264ED">
            <w:pPr>
              <w:pStyle w:val="BodyText1"/>
              <w:spacing w:line="240" w:lineRule="auto"/>
              <w:rPr>
                <w:rFonts w:ascii="Times New Roman" w:hAnsi="Times New Roman"/>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Zahŕňa všetky úpravy, ktoré sú zamerané na hodnotu aktíva</w:t>
            </w:r>
            <w:r w:rsidR="004E4BE4">
              <w:rPr>
                <w:rFonts w:ascii="Times New Roman" w:hAnsi="Times New Roman"/>
              </w:rPr>
              <w:t xml:space="preserve"> a </w:t>
            </w:r>
            <w:r w:rsidRPr="004E4BE4">
              <w:rPr>
                <w:rFonts w:ascii="Times New Roman" w:hAnsi="Times New Roman"/>
              </w:rPr>
              <w:t>ktoré sa vyžadujú na základe:</w:t>
            </w: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w:t>
            </w:r>
            <w:r w:rsidRPr="004E4BE4">
              <w:tab/>
            </w:r>
            <w:r w:rsidRPr="004E4BE4">
              <w:rPr>
                <w:rFonts w:ascii="Times New Roman" w:hAnsi="Times New Roman"/>
              </w:rPr>
              <w:t>článkov 32 až 35 CRR alebo</w:t>
            </w:r>
          </w:p>
          <w:p w:rsidR="009264ED" w:rsidRPr="004E4BE4" w:rsidRDefault="00500508" w:rsidP="00500508">
            <w:pPr>
              <w:pStyle w:val="BodyText1"/>
              <w:spacing w:line="240" w:lineRule="auto"/>
              <w:ind w:left="72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článkov 36 až 47 CRR alebo</w:t>
            </w:r>
          </w:p>
          <w:p w:rsidR="009264ED" w:rsidRPr="004E4BE4" w:rsidRDefault="00500508" w:rsidP="00500508">
            <w:pPr>
              <w:pStyle w:val="BodyText1"/>
              <w:spacing w:line="240" w:lineRule="auto"/>
              <w:ind w:left="72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článkov 56 až 60 CRR,</w:t>
            </w:r>
          </w:p>
          <w:p w:rsidR="006D3F98" w:rsidRPr="004E4BE4" w:rsidRDefault="006D3F98" w:rsidP="002573FC">
            <w:pPr>
              <w:pStyle w:val="BodyText1"/>
              <w:spacing w:line="240" w:lineRule="auto"/>
              <w:rPr>
                <w:rFonts w:ascii="Times New Roman" w:hAnsi="Times New Roman"/>
                <w:bCs/>
              </w:rPr>
            </w:pPr>
            <w:r w:rsidRPr="004E4BE4">
              <w:rPr>
                <w:rFonts w:ascii="Times New Roman" w:hAnsi="Times New Roman"/>
              </w:rPr>
              <w:t>podľa konkrétneho prípadu.</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Inštitúcie zohľadňujú výnimky, alternatívy</w:t>
            </w:r>
            <w:r w:rsidR="004E4BE4">
              <w:rPr>
                <w:rFonts w:ascii="Times New Roman" w:hAnsi="Times New Roman"/>
              </w:rPr>
              <w:t xml:space="preserve"> a </w:t>
            </w:r>
            <w:r w:rsidRPr="004E4BE4">
              <w:rPr>
                <w:rFonts w:ascii="Times New Roman" w:hAnsi="Times New Roman"/>
              </w:rPr>
              <w:t>vyňatia</w:t>
            </w:r>
            <w:r w:rsidR="004E4BE4">
              <w:rPr>
                <w:rFonts w:ascii="Times New Roman" w:hAnsi="Times New Roman"/>
              </w:rPr>
              <w:t xml:space="preserve"> z </w:t>
            </w:r>
            <w:r w:rsidRPr="004E4BE4">
              <w:rPr>
                <w:rFonts w:ascii="Times New Roman" w:hAnsi="Times New Roman"/>
              </w:rPr>
              <w:t>takýchto odpočítaní stanovené</w:t>
            </w:r>
            <w:r w:rsidR="004E4BE4">
              <w:rPr>
                <w:rFonts w:ascii="Times New Roman" w:hAnsi="Times New Roman"/>
              </w:rPr>
              <w:t xml:space="preserve"> v </w:t>
            </w:r>
            <w:r w:rsidRPr="004E4BE4">
              <w:rPr>
                <w:rFonts w:ascii="Times New Roman" w:hAnsi="Times New Roman"/>
              </w:rPr>
              <w:t>článkoch 48, 49</w:t>
            </w:r>
            <w:r w:rsidR="004E4BE4">
              <w:rPr>
                <w:rFonts w:ascii="Times New Roman" w:hAnsi="Times New Roman"/>
              </w:rPr>
              <w:t xml:space="preserve"> a </w:t>
            </w:r>
            <w:r w:rsidRPr="004E4BE4">
              <w:rPr>
                <w:rFonts w:ascii="Times New Roman" w:hAnsi="Times New Roman"/>
              </w:rPr>
              <w:t>79 CRR bez toho, aby zohľadňovali odchýlku stanovenú</w:t>
            </w:r>
            <w:r w:rsidR="004E4BE4">
              <w:rPr>
                <w:rFonts w:ascii="Times New Roman" w:hAnsi="Times New Roman"/>
              </w:rPr>
              <w:t xml:space="preserve"> v </w:t>
            </w:r>
            <w:r w:rsidRPr="004E4BE4">
              <w:rPr>
                <w:rFonts w:ascii="Times New Roman" w:hAnsi="Times New Roman"/>
              </w:rPr>
              <w:t>desiatej časti hlave I kapitolách 1</w:t>
            </w:r>
            <w:r w:rsidR="004E4BE4">
              <w:rPr>
                <w:rFonts w:ascii="Times New Roman" w:hAnsi="Times New Roman"/>
              </w:rPr>
              <w:t xml:space="preserve"> a </w:t>
            </w:r>
            <w:r w:rsidRPr="004E4BE4">
              <w:rPr>
                <w:rFonts w:ascii="Times New Roman" w:hAnsi="Times New Roman"/>
              </w:rPr>
              <w:t>2 CRR. Aby sa predišlo dvojitému započítaniu, inštitúcie nevykazujú úpravy už uplatnené podľa článku 111 CRR, keď vypočítavajú hodnotu expozície</w:t>
            </w:r>
            <w:r w:rsidR="004E4BE4">
              <w:rPr>
                <w:rFonts w:ascii="Times New Roman" w:hAnsi="Times New Roman"/>
              </w:rPr>
              <w:t xml:space="preserve"> v </w:t>
            </w:r>
            <w:r w:rsidRPr="004E4BE4">
              <w:rPr>
                <w:rFonts w:ascii="Times New Roman" w:hAnsi="Times New Roman"/>
              </w:rPr>
              <w:t>{010;010} až {260;010},</w:t>
            </w:r>
            <w:r w:rsidR="004E4BE4">
              <w:rPr>
                <w:rFonts w:ascii="Times New Roman" w:hAnsi="Times New Roman"/>
              </w:rPr>
              <w:t xml:space="preserve"> a </w:t>
            </w:r>
            <w:r w:rsidRPr="004E4BE4">
              <w:rPr>
                <w:rFonts w:ascii="Times New Roman" w:hAnsi="Times New Roman"/>
              </w:rPr>
              <w:t>ani nevykazujú žiadnu úpravu, ktorou sa neodpočítava hodnota určitého aktíva</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Keďže tieto sumy sú už odpočítané od miery kapitálu, znižujú expozíciu ukazovateľa finančnej páky</w:t>
            </w:r>
            <w:r w:rsidR="004E4BE4">
              <w:rPr>
                <w:rFonts w:ascii="Times New Roman" w:hAnsi="Times New Roman"/>
              </w:rPr>
              <w:t xml:space="preserve"> a </w:t>
            </w:r>
            <w:r w:rsidRPr="004E4BE4">
              <w:rPr>
                <w:rFonts w:ascii="Times New Roman" w:hAnsi="Times New Roman"/>
              </w:rPr>
              <w:t>vykazujú sa ako záporné číslo.</w:t>
            </w:r>
          </w:p>
          <w:p w:rsidR="009264ED" w:rsidRPr="00ED4583" w:rsidRDefault="009264ED" w:rsidP="003113EE">
            <w:pPr>
              <w:pStyle w:val="BodyText1"/>
              <w:spacing w:line="240" w:lineRule="auto"/>
              <w:rPr>
                <w:rFonts w:ascii="Times New Roman" w:hAnsi="Times New Roman"/>
                <w:b/>
                <w:bCs/>
              </w:rPr>
            </w:pPr>
          </w:p>
        </w:tc>
      </w:tr>
      <w:tr w:rsidR="009264ED" w:rsidRPr="004E4BE4" w:rsidTr="00FE0FF1">
        <w:trPr>
          <w:trHeight w:val="304"/>
        </w:trPr>
        <w:tc>
          <w:tcPr>
            <w:tcW w:w="1418" w:type="dxa"/>
            <w:tcBorders>
              <w:bottom w:val="single" w:sz="4" w:space="0" w:color="auto"/>
            </w:tcBorders>
          </w:tcPr>
          <w:p w:rsidR="009264ED" w:rsidRPr="004E4BE4" w:rsidRDefault="009264ED" w:rsidP="009264ED">
            <w:pPr>
              <w:pStyle w:val="BodyText1"/>
              <w:rPr>
                <w:rFonts w:ascii="Times New Roman" w:hAnsi="Times New Roman"/>
                <w:bCs/>
              </w:rPr>
            </w:pPr>
            <w:r w:rsidRPr="004E4BE4">
              <w:rPr>
                <w:rFonts w:ascii="Times New Roman" w:hAnsi="Times New Roman"/>
              </w:rPr>
              <w:t>{280;010}</w:t>
            </w:r>
          </w:p>
          <w:p w:rsidR="009264ED" w:rsidRPr="004E4BE4" w:rsidRDefault="009264ED" w:rsidP="00FE0FF1">
            <w:pPr>
              <w:pStyle w:val="BodyText1"/>
              <w:rPr>
                <w:rFonts w:ascii="Times New Roman" w:hAnsi="Times New Roman"/>
                <w:bCs/>
              </w:rPr>
            </w:pPr>
          </w:p>
        </w:tc>
        <w:tc>
          <w:tcPr>
            <w:tcW w:w="7590" w:type="dxa"/>
            <w:tcBorders>
              <w:bottom w:val="single" w:sz="4" w:space="0" w:color="auto"/>
            </w:tcBorders>
          </w:tcPr>
          <w:p w:rsidR="009264ED" w:rsidRPr="004E4BE4" w:rsidRDefault="009264ED" w:rsidP="009264ED">
            <w:pPr>
              <w:pStyle w:val="BodyText1"/>
              <w:spacing w:line="240" w:lineRule="auto"/>
              <w:rPr>
                <w:rFonts w:ascii="Times New Roman" w:hAnsi="Times New Roman"/>
                <w:bCs/>
              </w:rPr>
            </w:pPr>
            <w:r w:rsidRPr="00ED4583">
              <w:rPr>
                <w:rFonts w:ascii="Times New Roman" w:hAnsi="Times New Roman"/>
                <w:b/>
              </w:rPr>
              <w:t>(–) Odpočítaná suma aktíva – kapitál Tier 1 – prechodné vymedzenie</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Článok 429 ods. 4 písm. a)</w:t>
            </w:r>
            <w:r w:rsidR="004E4BE4">
              <w:rPr>
                <w:rFonts w:ascii="Times New Roman" w:hAnsi="Times New Roman"/>
              </w:rPr>
              <w:t xml:space="preserve"> a </w:t>
            </w:r>
            <w:r w:rsidRPr="004E4BE4">
              <w:rPr>
                <w:rFonts w:ascii="Times New Roman" w:hAnsi="Times New Roman"/>
              </w:rPr>
              <w:t>článok 499 ods. 1 písm. b) CRR</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Zahŕňa všetky úpravy, ktorými sa upravuje hodnota aktíva</w:t>
            </w:r>
            <w:r w:rsidR="004E4BE4">
              <w:rPr>
                <w:rFonts w:ascii="Times New Roman" w:hAnsi="Times New Roman"/>
              </w:rPr>
              <w:t xml:space="preserve"> a </w:t>
            </w:r>
            <w:r w:rsidRPr="004E4BE4">
              <w:rPr>
                <w:rFonts w:ascii="Times New Roman" w:hAnsi="Times New Roman"/>
              </w:rPr>
              <w:t>ktoré sa vyžadujú na základe:</w:t>
            </w: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w:t>
            </w:r>
            <w:r w:rsidRPr="004E4BE4">
              <w:tab/>
            </w:r>
            <w:r w:rsidRPr="004E4BE4">
              <w:rPr>
                <w:rFonts w:ascii="Times New Roman" w:hAnsi="Times New Roman"/>
              </w:rPr>
              <w:t>článkov 32 až 35 CRR alebo</w:t>
            </w: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w:t>
            </w:r>
            <w:r w:rsidRPr="004E4BE4">
              <w:tab/>
            </w:r>
            <w:r w:rsidRPr="004E4BE4">
              <w:rPr>
                <w:rFonts w:ascii="Times New Roman" w:hAnsi="Times New Roman"/>
              </w:rPr>
              <w:t>článkov 36 až 47 CRR alebo</w:t>
            </w:r>
          </w:p>
          <w:p w:rsidR="00316050" w:rsidRPr="004E4BE4" w:rsidRDefault="00500508" w:rsidP="00500508">
            <w:pPr>
              <w:pStyle w:val="BodyText1"/>
              <w:spacing w:line="240" w:lineRule="auto"/>
              <w:ind w:left="72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článkov 56 až 60 CRR,</w:t>
            </w:r>
          </w:p>
          <w:p w:rsidR="009264ED" w:rsidRPr="004E4BE4" w:rsidRDefault="00316050" w:rsidP="002573FC">
            <w:pPr>
              <w:pStyle w:val="BodyText1"/>
              <w:spacing w:line="240" w:lineRule="auto"/>
              <w:rPr>
                <w:rFonts w:ascii="Times New Roman" w:hAnsi="Times New Roman"/>
                <w:bCs/>
              </w:rPr>
            </w:pPr>
            <w:r w:rsidRPr="004E4BE4">
              <w:rPr>
                <w:rFonts w:ascii="Times New Roman" w:hAnsi="Times New Roman"/>
              </w:rPr>
              <w:t>podľa konkrétneho prípadu.</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Inštitúcie zohľadňujú výnimky, alternatívy</w:t>
            </w:r>
            <w:r w:rsidR="004E4BE4">
              <w:rPr>
                <w:rFonts w:ascii="Times New Roman" w:hAnsi="Times New Roman"/>
              </w:rPr>
              <w:t xml:space="preserve"> a </w:t>
            </w:r>
            <w:r w:rsidRPr="004E4BE4">
              <w:rPr>
                <w:rFonts w:ascii="Times New Roman" w:hAnsi="Times New Roman"/>
              </w:rPr>
              <w:t>vyňatia</w:t>
            </w:r>
            <w:r w:rsidR="004E4BE4">
              <w:rPr>
                <w:rFonts w:ascii="Times New Roman" w:hAnsi="Times New Roman"/>
              </w:rPr>
              <w:t xml:space="preserve"> z </w:t>
            </w:r>
            <w:r w:rsidRPr="004E4BE4">
              <w:rPr>
                <w:rFonts w:ascii="Times New Roman" w:hAnsi="Times New Roman"/>
              </w:rPr>
              <w:t>takýchto odpočítaní stanovené</w:t>
            </w:r>
            <w:r w:rsidR="004E4BE4">
              <w:rPr>
                <w:rFonts w:ascii="Times New Roman" w:hAnsi="Times New Roman"/>
              </w:rPr>
              <w:t xml:space="preserve"> v </w:t>
            </w:r>
            <w:r w:rsidRPr="004E4BE4">
              <w:rPr>
                <w:rFonts w:ascii="Times New Roman" w:hAnsi="Times New Roman"/>
              </w:rPr>
              <w:t>článkoch 48, 49</w:t>
            </w:r>
            <w:r w:rsidR="004E4BE4">
              <w:rPr>
                <w:rFonts w:ascii="Times New Roman" w:hAnsi="Times New Roman"/>
              </w:rPr>
              <w:t xml:space="preserve"> a </w:t>
            </w:r>
            <w:r w:rsidRPr="004E4BE4">
              <w:rPr>
                <w:rFonts w:ascii="Times New Roman" w:hAnsi="Times New Roman"/>
              </w:rPr>
              <w:t>79 CRR navyše</w:t>
            </w:r>
            <w:r w:rsidR="004E4BE4">
              <w:rPr>
                <w:rFonts w:ascii="Times New Roman" w:hAnsi="Times New Roman"/>
              </w:rPr>
              <w:t xml:space="preserve"> k </w:t>
            </w:r>
            <w:r w:rsidRPr="004E4BE4">
              <w:rPr>
                <w:rFonts w:ascii="Times New Roman" w:hAnsi="Times New Roman"/>
              </w:rPr>
              <w:t>odchýlkam stanoveným</w:t>
            </w:r>
            <w:r w:rsidR="004E4BE4">
              <w:rPr>
                <w:rFonts w:ascii="Times New Roman" w:hAnsi="Times New Roman"/>
              </w:rPr>
              <w:t xml:space="preserve"> v </w:t>
            </w:r>
            <w:r w:rsidRPr="004E4BE4">
              <w:rPr>
                <w:rFonts w:ascii="Times New Roman" w:hAnsi="Times New Roman"/>
              </w:rPr>
              <w:t>desiatej časti hlave I kapitolách 1</w:t>
            </w:r>
            <w:r w:rsidR="004E4BE4">
              <w:rPr>
                <w:rFonts w:ascii="Times New Roman" w:hAnsi="Times New Roman"/>
              </w:rPr>
              <w:t xml:space="preserve"> a </w:t>
            </w:r>
            <w:r w:rsidRPr="004E4BE4">
              <w:rPr>
                <w:rFonts w:ascii="Times New Roman" w:hAnsi="Times New Roman"/>
              </w:rPr>
              <w:t>2 CRR. Aby sa predišlo dvojitému započítaniu, inštitúcie nevykazujú úpravy už uplatnené podľa článku 111 CRR, keď vypočítavajú hodnotu expozície</w:t>
            </w:r>
            <w:r w:rsidR="004E4BE4">
              <w:rPr>
                <w:rFonts w:ascii="Times New Roman" w:hAnsi="Times New Roman"/>
              </w:rPr>
              <w:t xml:space="preserve"> v </w:t>
            </w:r>
            <w:r w:rsidRPr="004E4BE4">
              <w:rPr>
                <w:rFonts w:ascii="Times New Roman" w:hAnsi="Times New Roman"/>
              </w:rPr>
              <w:t>{010;010} až {260;010},</w:t>
            </w:r>
            <w:r w:rsidR="004E4BE4">
              <w:rPr>
                <w:rFonts w:ascii="Times New Roman" w:hAnsi="Times New Roman"/>
              </w:rPr>
              <w:t xml:space="preserve"> a </w:t>
            </w:r>
            <w:r w:rsidRPr="004E4BE4">
              <w:rPr>
                <w:rFonts w:ascii="Times New Roman" w:hAnsi="Times New Roman"/>
              </w:rPr>
              <w:t>ani nevykazujú žiadnu úpravu, ktorou sa neodpočítava hodnota určitého aktíva.</w:t>
            </w:r>
          </w:p>
          <w:p w:rsidR="009264ED" w:rsidRPr="004E4BE4" w:rsidRDefault="009264ED" w:rsidP="009264ED">
            <w:pPr>
              <w:pStyle w:val="BodyText1"/>
              <w:spacing w:line="240" w:lineRule="auto"/>
              <w:rPr>
                <w:rFonts w:ascii="Times New Roman" w:hAnsi="Times New Roman"/>
                <w:bCs/>
              </w:rPr>
            </w:pPr>
          </w:p>
          <w:p w:rsidR="00F2347A" w:rsidRPr="004E4BE4" w:rsidRDefault="00F2347A" w:rsidP="00F2347A">
            <w:pPr>
              <w:pStyle w:val="BodyText1"/>
              <w:spacing w:line="240" w:lineRule="auto"/>
              <w:rPr>
                <w:rFonts w:ascii="Times New Roman" w:hAnsi="Times New Roman"/>
                <w:bCs/>
              </w:rPr>
            </w:pPr>
            <w:r w:rsidRPr="004E4BE4">
              <w:rPr>
                <w:rFonts w:ascii="Times New Roman" w:hAnsi="Times New Roman"/>
              </w:rPr>
              <w:t>Keďže tieto sumy sú už odpočítané od miery kapitálu, znižujú expozíciu ukazovateľa finančnej páky</w:t>
            </w:r>
            <w:r w:rsidR="004E4BE4">
              <w:rPr>
                <w:rFonts w:ascii="Times New Roman" w:hAnsi="Times New Roman"/>
              </w:rPr>
              <w:t xml:space="preserve"> a </w:t>
            </w:r>
            <w:r w:rsidRPr="004E4BE4">
              <w:rPr>
                <w:rFonts w:ascii="Times New Roman" w:hAnsi="Times New Roman"/>
              </w:rPr>
              <w:t>vykazujú sa ako záporné číslo.</w:t>
            </w:r>
          </w:p>
          <w:p w:rsidR="009264ED" w:rsidRPr="00ED4583" w:rsidRDefault="009264ED" w:rsidP="003113EE">
            <w:pPr>
              <w:pStyle w:val="BodyText1"/>
              <w:spacing w:line="240" w:lineRule="auto"/>
              <w:rPr>
                <w:rFonts w:ascii="Times New Roman" w:hAnsi="Times New Roman"/>
                <w:b/>
                <w:bCs/>
              </w:rPr>
            </w:pPr>
          </w:p>
        </w:tc>
      </w:tr>
      <w:tr w:rsidR="009264ED" w:rsidRPr="004E4BE4" w:rsidTr="00FE0FF1">
        <w:trPr>
          <w:trHeight w:val="304"/>
        </w:trPr>
        <w:tc>
          <w:tcPr>
            <w:tcW w:w="1418" w:type="dxa"/>
            <w:tcBorders>
              <w:bottom w:val="single" w:sz="4" w:space="0" w:color="auto"/>
            </w:tcBorders>
          </w:tcPr>
          <w:p w:rsidR="009264ED" w:rsidRPr="004E4BE4" w:rsidRDefault="009264ED" w:rsidP="009264ED">
            <w:pPr>
              <w:pStyle w:val="BodyText1"/>
              <w:rPr>
                <w:rFonts w:ascii="Times New Roman" w:hAnsi="Times New Roman"/>
                <w:bCs/>
              </w:rPr>
            </w:pPr>
            <w:r w:rsidRPr="004E4BE4">
              <w:rPr>
                <w:rFonts w:ascii="Times New Roman" w:hAnsi="Times New Roman"/>
              </w:rPr>
              <w:t>{290;010}</w:t>
            </w:r>
          </w:p>
          <w:p w:rsidR="009264ED" w:rsidRPr="004E4BE4" w:rsidRDefault="009264ED" w:rsidP="009264ED">
            <w:pPr>
              <w:pStyle w:val="BodyText1"/>
              <w:rPr>
                <w:rFonts w:ascii="Times New Roman" w:hAnsi="Times New Roman"/>
                <w:bCs/>
              </w:rPr>
            </w:pPr>
          </w:p>
        </w:tc>
        <w:tc>
          <w:tcPr>
            <w:tcW w:w="7590" w:type="dxa"/>
            <w:tcBorders>
              <w:bottom w:val="single" w:sz="4" w:space="0" w:color="auto"/>
            </w:tcBorders>
          </w:tcPr>
          <w:p w:rsidR="009264ED" w:rsidRPr="00ED4583" w:rsidRDefault="009264ED" w:rsidP="009264ED">
            <w:pPr>
              <w:pStyle w:val="BodyText1"/>
              <w:spacing w:line="240" w:lineRule="auto"/>
              <w:rPr>
                <w:rFonts w:ascii="Times New Roman" w:hAnsi="Times New Roman"/>
                <w:b/>
                <w:bCs/>
              </w:rPr>
            </w:pPr>
            <w:r w:rsidRPr="00ED4583">
              <w:rPr>
                <w:rFonts w:ascii="Times New Roman" w:hAnsi="Times New Roman"/>
                <w:b/>
              </w:rPr>
              <w:t>Celková expozícia ukazovateľa finančnej páky –</w:t>
            </w:r>
            <w:r w:rsidR="004E4BE4" w:rsidRPr="00ED4583">
              <w:rPr>
                <w:rFonts w:ascii="Times New Roman" w:hAnsi="Times New Roman"/>
                <w:b/>
              </w:rPr>
              <w:t xml:space="preserve"> s </w:t>
            </w:r>
            <w:r w:rsidRPr="00ED4583">
              <w:rPr>
                <w:rFonts w:ascii="Times New Roman" w:hAnsi="Times New Roman"/>
                <w:b/>
              </w:rPr>
              <w:t>použitím úplne zavedeného vymedzenia kapitálu Tier 1</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Inštitúcie vykazujú túto sumu:</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Pr="00ED4583" w:rsidRDefault="009264ED" w:rsidP="009264ED">
            <w:pPr>
              <w:pStyle w:val="BodyText1"/>
              <w:spacing w:line="240" w:lineRule="auto"/>
              <w:rPr>
                <w:rFonts w:ascii="Times New Roman" w:hAnsi="Times New Roman"/>
                <w:b/>
                <w:bCs/>
              </w:rPr>
            </w:pPr>
          </w:p>
        </w:tc>
      </w:tr>
      <w:tr w:rsidR="009264ED" w:rsidRPr="004E4BE4" w:rsidTr="00FE0FF1">
        <w:trPr>
          <w:trHeight w:val="304"/>
        </w:trPr>
        <w:tc>
          <w:tcPr>
            <w:tcW w:w="1418" w:type="dxa"/>
            <w:tcBorders>
              <w:bottom w:val="single" w:sz="4" w:space="0" w:color="auto"/>
            </w:tcBorders>
          </w:tcPr>
          <w:p w:rsidR="009264ED" w:rsidRPr="004E4BE4" w:rsidRDefault="009264ED" w:rsidP="009264ED">
            <w:pPr>
              <w:pStyle w:val="BodyText1"/>
              <w:rPr>
                <w:rFonts w:ascii="Times New Roman" w:hAnsi="Times New Roman"/>
                <w:bCs/>
              </w:rPr>
            </w:pPr>
            <w:r w:rsidRPr="004E4BE4">
              <w:rPr>
                <w:rFonts w:ascii="Times New Roman" w:hAnsi="Times New Roman"/>
              </w:rPr>
              <w:t>{300;010}</w:t>
            </w:r>
          </w:p>
          <w:p w:rsidR="009264ED" w:rsidRPr="004E4BE4" w:rsidRDefault="009264ED" w:rsidP="009264ED">
            <w:pPr>
              <w:pStyle w:val="BodyText1"/>
              <w:rPr>
                <w:rFonts w:ascii="Times New Roman" w:hAnsi="Times New Roman"/>
                <w:bCs/>
              </w:rPr>
            </w:pPr>
          </w:p>
        </w:tc>
        <w:tc>
          <w:tcPr>
            <w:tcW w:w="7590" w:type="dxa"/>
            <w:tcBorders>
              <w:bottom w:val="single" w:sz="4" w:space="0" w:color="auto"/>
            </w:tcBorders>
          </w:tcPr>
          <w:p w:rsidR="009264ED" w:rsidRPr="00ED4583" w:rsidRDefault="009264ED" w:rsidP="009264ED">
            <w:pPr>
              <w:pStyle w:val="BodyText1"/>
              <w:spacing w:line="240" w:lineRule="auto"/>
              <w:rPr>
                <w:rFonts w:ascii="Times New Roman" w:hAnsi="Times New Roman"/>
                <w:b/>
                <w:bCs/>
              </w:rPr>
            </w:pPr>
            <w:r w:rsidRPr="00ED4583">
              <w:rPr>
                <w:rFonts w:ascii="Times New Roman" w:hAnsi="Times New Roman"/>
                <w:b/>
              </w:rPr>
              <w:t>Celková expozícia ukazovateľa finančnej páky –</w:t>
            </w:r>
            <w:r w:rsidR="004E4BE4" w:rsidRPr="00ED4583">
              <w:rPr>
                <w:rFonts w:ascii="Times New Roman" w:hAnsi="Times New Roman"/>
                <w:b/>
              </w:rPr>
              <w:t xml:space="preserve"> s </w:t>
            </w:r>
            <w:r w:rsidRPr="00ED4583">
              <w:rPr>
                <w:rFonts w:ascii="Times New Roman" w:hAnsi="Times New Roman"/>
                <w:b/>
              </w:rPr>
              <w:t>použitím prechodného vymedzenia kapitálu Tier 1</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Inštitúcie vykazujú túto sumu:</w:t>
            </w:r>
          </w:p>
          <w:p w:rsidR="009264ED" w:rsidRPr="004E4BE4" w:rsidRDefault="009264ED" w:rsidP="009264ED">
            <w:pPr>
              <w:pStyle w:val="BodyText1"/>
              <w:spacing w:line="240" w:lineRule="auto"/>
              <w:rPr>
                <w:rFonts w:ascii="Times New Roman" w:hAnsi="Times New Roman"/>
                <w:bCs/>
              </w:rPr>
            </w:pPr>
          </w:p>
          <w:p w:rsidR="009264ED" w:rsidRPr="004E4BE4" w:rsidRDefault="009264ED" w:rsidP="009264ED">
            <w:pPr>
              <w:pStyle w:val="BodyText1"/>
              <w:spacing w:line="240" w:lineRule="auto"/>
              <w:rPr>
                <w:rFonts w:ascii="Times New Roman" w:hAnsi="Times New Roman"/>
                <w:bCs/>
              </w:rPr>
            </w:pPr>
            <w:r w:rsidRPr="004E4BE4">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Pr="00ED4583" w:rsidRDefault="009264ED" w:rsidP="009264ED">
            <w:pPr>
              <w:pStyle w:val="BodyText1"/>
              <w:spacing w:line="240" w:lineRule="auto"/>
              <w:rPr>
                <w:rFonts w:ascii="Times New Roman" w:hAnsi="Times New Roman"/>
                <w:b/>
                <w:bCs/>
              </w:rPr>
            </w:pPr>
          </w:p>
        </w:tc>
      </w:tr>
      <w:tr w:rsidR="009264ED" w:rsidRPr="004E4BE4" w:rsidTr="00FE0FF1">
        <w:trPr>
          <w:trHeight w:val="304"/>
        </w:trPr>
        <w:tc>
          <w:tcPr>
            <w:tcW w:w="1418" w:type="dxa"/>
            <w:shd w:val="pct25" w:color="auto" w:fill="auto"/>
          </w:tcPr>
          <w:p w:rsidR="004E4BE4" w:rsidRPr="00ED4583" w:rsidRDefault="009264ED" w:rsidP="00FE0FF1">
            <w:pPr>
              <w:pStyle w:val="BodyText1"/>
              <w:rPr>
                <w:rFonts w:ascii="Times New Roman" w:hAnsi="Times New Roman"/>
                <w:b/>
              </w:rPr>
            </w:pPr>
            <w:r w:rsidRPr="00ED4583">
              <w:rPr>
                <w:rFonts w:ascii="Times New Roman" w:hAnsi="Times New Roman"/>
                <w:b/>
              </w:rPr>
              <w:t>Riadok</w:t>
            </w:r>
          </w:p>
          <w:p w:rsidR="009264ED" w:rsidRPr="004E4BE4" w:rsidRDefault="009264ED" w:rsidP="00FE0FF1">
            <w:pPr>
              <w:pStyle w:val="BodyText1"/>
              <w:rPr>
                <w:rFonts w:ascii="Times New Roman" w:hAnsi="Times New Roman"/>
                <w:b/>
                <w:bCs/>
              </w:rPr>
            </w:pPr>
            <w:r w:rsidRPr="00ED4583">
              <w:rPr>
                <w:rFonts w:ascii="Times New Roman" w:hAnsi="Times New Roman"/>
                <w:b/>
              </w:rPr>
              <w:t>a stĺpec</w:t>
            </w:r>
          </w:p>
        </w:tc>
        <w:tc>
          <w:tcPr>
            <w:tcW w:w="7590" w:type="dxa"/>
            <w:shd w:val="pct25" w:color="auto" w:fill="auto"/>
          </w:tcPr>
          <w:p w:rsidR="009264ED" w:rsidRPr="00ED4583" w:rsidRDefault="009264ED" w:rsidP="00970A0D">
            <w:pPr>
              <w:pStyle w:val="BodyText1"/>
              <w:spacing w:line="240" w:lineRule="auto"/>
              <w:rPr>
                <w:rFonts w:ascii="Times New Roman" w:hAnsi="Times New Roman"/>
                <w:b/>
                <w:bCs/>
              </w:rPr>
            </w:pPr>
            <w:r w:rsidRPr="00ED4583">
              <w:rPr>
                <w:rFonts w:ascii="Times New Roman" w:hAnsi="Times New Roman"/>
                <w:b/>
              </w:rPr>
              <w:t xml:space="preserve">Kapitál </w:t>
            </w:r>
          </w:p>
        </w:tc>
      </w:tr>
      <w:tr w:rsidR="009264ED" w:rsidRPr="004E4BE4" w:rsidTr="00FE0FF1">
        <w:trPr>
          <w:trHeight w:val="304"/>
        </w:trPr>
        <w:tc>
          <w:tcPr>
            <w:tcW w:w="1418" w:type="dxa"/>
          </w:tcPr>
          <w:p w:rsidR="009264ED" w:rsidRPr="004E4BE4" w:rsidRDefault="009264ED" w:rsidP="00FE0FF1">
            <w:pPr>
              <w:pStyle w:val="BodyText1"/>
              <w:rPr>
                <w:rFonts w:ascii="Times New Roman" w:hAnsi="Times New Roman"/>
                <w:bCs/>
              </w:rPr>
            </w:pPr>
            <w:r w:rsidRPr="004E4BE4">
              <w:rPr>
                <w:rFonts w:ascii="Times New Roman" w:hAnsi="Times New Roman"/>
              </w:rPr>
              <w:t>{310;010}</w:t>
            </w:r>
          </w:p>
          <w:p w:rsidR="009264ED" w:rsidRPr="004E4BE4" w:rsidRDefault="009264ED" w:rsidP="00FE0FF1">
            <w:pPr>
              <w:pStyle w:val="BodyText1"/>
              <w:rPr>
                <w:rFonts w:ascii="Times New Roman" w:hAnsi="Times New Roman"/>
                <w:bCs/>
              </w:rPr>
            </w:pPr>
          </w:p>
        </w:tc>
        <w:tc>
          <w:tcPr>
            <w:tcW w:w="7590" w:type="dxa"/>
          </w:tcPr>
          <w:p w:rsidR="009264ED" w:rsidRPr="004E4BE4" w:rsidRDefault="009264ED" w:rsidP="00FE0FF1">
            <w:pPr>
              <w:pStyle w:val="BodyText1"/>
              <w:spacing w:line="240" w:lineRule="auto"/>
              <w:rPr>
                <w:rFonts w:ascii="Times New Roman" w:hAnsi="Times New Roman"/>
                <w:bCs/>
              </w:rPr>
            </w:pPr>
            <w:r w:rsidRPr="00ED4583">
              <w:rPr>
                <w:rFonts w:ascii="Times New Roman" w:hAnsi="Times New Roman"/>
                <w:b/>
              </w:rPr>
              <w:t>Kapitál Tier 1 – úplne zavedené vymedzenie</w:t>
            </w:r>
          </w:p>
          <w:p w:rsidR="009264ED" w:rsidRPr="004E4BE4" w:rsidRDefault="009264ED" w:rsidP="00FE0FF1">
            <w:pPr>
              <w:pStyle w:val="BodyText1"/>
              <w:spacing w:line="240" w:lineRule="auto"/>
              <w:rPr>
                <w:rFonts w:ascii="Times New Roman" w:hAnsi="Times New Roman"/>
                <w:bCs/>
              </w:rPr>
            </w:pPr>
          </w:p>
          <w:p w:rsidR="009264ED" w:rsidRPr="004E4BE4" w:rsidRDefault="009264ED" w:rsidP="00FE0FF1">
            <w:pPr>
              <w:pStyle w:val="BodyText1"/>
              <w:spacing w:line="240" w:lineRule="auto"/>
              <w:rPr>
                <w:rFonts w:ascii="Times New Roman" w:hAnsi="Times New Roman"/>
                <w:bCs/>
              </w:rPr>
            </w:pPr>
            <w:r w:rsidRPr="004E4BE4">
              <w:rPr>
                <w:rFonts w:ascii="Times New Roman" w:hAnsi="Times New Roman"/>
              </w:rPr>
              <w:t>Článok 429 ods. 3</w:t>
            </w:r>
            <w:r w:rsidR="004E4BE4">
              <w:rPr>
                <w:rFonts w:ascii="Times New Roman" w:hAnsi="Times New Roman"/>
              </w:rPr>
              <w:t xml:space="preserve"> a </w:t>
            </w:r>
            <w:r w:rsidRPr="004E4BE4">
              <w:rPr>
                <w:rFonts w:ascii="Times New Roman" w:hAnsi="Times New Roman"/>
              </w:rPr>
              <w:t>článok 499 ods. 1 CRR</w:t>
            </w:r>
          </w:p>
          <w:p w:rsidR="009264ED" w:rsidRPr="004E4BE4" w:rsidRDefault="009264ED" w:rsidP="00FE0FF1">
            <w:pPr>
              <w:pStyle w:val="BodyText1"/>
              <w:spacing w:line="240" w:lineRule="auto"/>
              <w:rPr>
                <w:rFonts w:ascii="Times New Roman" w:hAnsi="Times New Roman"/>
                <w:bCs/>
              </w:rPr>
            </w:pPr>
          </w:p>
          <w:p w:rsidR="009264ED" w:rsidRPr="004E4BE4" w:rsidRDefault="009264ED" w:rsidP="00FE0FF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výšku kapitálu Tier 1 vypočítanú</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25 CRR bez zohľadnenia odchýlky stanovenej</w:t>
            </w:r>
            <w:r w:rsidR="004E4BE4">
              <w:rPr>
                <w:rFonts w:ascii="Times New Roman" w:hAnsi="Times New Roman"/>
              </w:rPr>
              <w:t xml:space="preserve"> v </w:t>
            </w:r>
            <w:r w:rsidRPr="004E4BE4">
              <w:rPr>
                <w:rFonts w:ascii="Times New Roman" w:hAnsi="Times New Roman"/>
              </w:rPr>
              <w:t>desiatej časti hlave I kapitolách 1</w:t>
            </w:r>
            <w:r w:rsidR="004E4BE4">
              <w:rPr>
                <w:rFonts w:ascii="Times New Roman" w:hAnsi="Times New Roman"/>
              </w:rPr>
              <w:t xml:space="preserve"> a </w:t>
            </w:r>
            <w:r w:rsidRPr="004E4BE4">
              <w:rPr>
                <w:rFonts w:ascii="Times New Roman" w:hAnsi="Times New Roman"/>
              </w:rPr>
              <w:t>2 CRR.</w:t>
            </w:r>
          </w:p>
          <w:p w:rsidR="009264ED" w:rsidRPr="004E4BE4" w:rsidRDefault="009264ED" w:rsidP="00FE0FF1">
            <w:pPr>
              <w:pStyle w:val="BodyText1"/>
              <w:spacing w:line="240" w:lineRule="auto"/>
              <w:rPr>
                <w:rFonts w:ascii="Times New Roman" w:hAnsi="Times New Roman"/>
                <w:bCs/>
              </w:rPr>
            </w:pPr>
          </w:p>
        </w:tc>
      </w:tr>
      <w:tr w:rsidR="009264ED" w:rsidRPr="004E4BE4" w:rsidTr="00FE0FF1">
        <w:trPr>
          <w:trHeight w:val="304"/>
        </w:trPr>
        <w:tc>
          <w:tcPr>
            <w:tcW w:w="1418" w:type="dxa"/>
          </w:tcPr>
          <w:p w:rsidR="009264ED" w:rsidRPr="004E4BE4" w:rsidRDefault="009264ED" w:rsidP="00FE0FF1">
            <w:pPr>
              <w:pStyle w:val="BodyText1"/>
              <w:rPr>
                <w:rFonts w:ascii="Times New Roman" w:hAnsi="Times New Roman"/>
                <w:bCs/>
              </w:rPr>
            </w:pPr>
            <w:r w:rsidRPr="004E4BE4">
              <w:rPr>
                <w:rFonts w:ascii="Times New Roman" w:hAnsi="Times New Roman"/>
              </w:rPr>
              <w:t>{320;010}</w:t>
            </w:r>
          </w:p>
          <w:p w:rsidR="009264ED" w:rsidRPr="004E4BE4" w:rsidRDefault="009264ED" w:rsidP="00FE0FF1">
            <w:pPr>
              <w:pStyle w:val="BodyText1"/>
              <w:rPr>
                <w:rFonts w:ascii="Times New Roman" w:hAnsi="Times New Roman"/>
                <w:bCs/>
              </w:rPr>
            </w:pPr>
          </w:p>
        </w:tc>
        <w:tc>
          <w:tcPr>
            <w:tcW w:w="7590" w:type="dxa"/>
          </w:tcPr>
          <w:p w:rsidR="009264ED" w:rsidRPr="00ED4583" w:rsidRDefault="009264ED" w:rsidP="00FE0FF1">
            <w:pPr>
              <w:pStyle w:val="BodyText1"/>
              <w:spacing w:line="240" w:lineRule="auto"/>
              <w:rPr>
                <w:rFonts w:ascii="Times New Roman" w:hAnsi="Times New Roman"/>
                <w:b/>
                <w:bCs/>
              </w:rPr>
            </w:pPr>
            <w:r w:rsidRPr="00ED4583">
              <w:rPr>
                <w:rFonts w:ascii="Times New Roman" w:hAnsi="Times New Roman"/>
                <w:b/>
              </w:rPr>
              <w:t>Kapitál Tier 1 – prechodné vymedzenie</w:t>
            </w:r>
          </w:p>
          <w:p w:rsidR="009264ED" w:rsidRPr="004E4BE4" w:rsidRDefault="009264ED" w:rsidP="00FE0FF1">
            <w:pPr>
              <w:pStyle w:val="BodyText1"/>
              <w:spacing w:line="240" w:lineRule="auto"/>
              <w:rPr>
                <w:rFonts w:ascii="Times New Roman" w:hAnsi="Times New Roman"/>
                <w:bCs/>
              </w:rPr>
            </w:pPr>
          </w:p>
          <w:p w:rsidR="009264ED" w:rsidRPr="004E4BE4" w:rsidRDefault="009264ED" w:rsidP="00FE0FF1">
            <w:pPr>
              <w:pStyle w:val="BodyText1"/>
              <w:spacing w:line="240" w:lineRule="auto"/>
              <w:rPr>
                <w:rFonts w:ascii="Times New Roman" w:hAnsi="Times New Roman"/>
                <w:bCs/>
              </w:rPr>
            </w:pPr>
            <w:r w:rsidRPr="004E4BE4">
              <w:rPr>
                <w:rFonts w:ascii="Times New Roman" w:hAnsi="Times New Roman"/>
              </w:rPr>
              <w:t>Článok 429 ods. 3</w:t>
            </w:r>
            <w:r w:rsidR="004E4BE4">
              <w:rPr>
                <w:rFonts w:ascii="Times New Roman" w:hAnsi="Times New Roman"/>
              </w:rPr>
              <w:t xml:space="preserve"> a </w:t>
            </w:r>
            <w:r w:rsidRPr="004E4BE4">
              <w:rPr>
                <w:rFonts w:ascii="Times New Roman" w:hAnsi="Times New Roman"/>
              </w:rPr>
              <w:t>článok 499 ods. 1 CRR</w:t>
            </w:r>
          </w:p>
          <w:p w:rsidR="009264ED" w:rsidRPr="004E4BE4" w:rsidRDefault="009264ED" w:rsidP="00FE0FF1">
            <w:pPr>
              <w:pStyle w:val="BodyText1"/>
              <w:spacing w:line="240" w:lineRule="auto"/>
              <w:rPr>
                <w:rFonts w:ascii="Times New Roman" w:hAnsi="Times New Roman"/>
                <w:bCs/>
              </w:rPr>
            </w:pPr>
          </w:p>
          <w:p w:rsidR="009264ED" w:rsidRPr="004E4BE4" w:rsidRDefault="009264ED" w:rsidP="00FE0FF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výšku kapitálu Tier 1 vypočítanú</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25 CRR po zohľadnení odchýlky stanovenej</w:t>
            </w:r>
            <w:r w:rsidR="004E4BE4">
              <w:rPr>
                <w:rFonts w:ascii="Times New Roman" w:hAnsi="Times New Roman"/>
              </w:rPr>
              <w:t xml:space="preserve"> v </w:t>
            </w:r>
            <w:r w:rsidRPr="004E4BE4">
              <w:rPr>
                <w:rFonts w:ascii="Times New Roman" w:hAnsi="Times New Roman"/>
              </w:rPr>
              <w:t>desiatej časti hlave I kapitolách 1</w:t>
            </w:r>
            <w:r w:rsidR="004E4BE4">
              <w:rPr>
                <w:rFonts w:ascii="Times New Roman" w:hAnsi="Times New Roman"/>
              </w:rPr>
              <w:t xml:space="preserve"> a </w:t>
            </w:r>
            <w:r w:rsidRPr="004E4BE4">
              <w:rPr>
                <w:rFonts w:ascii="Times New Roman" w:hAnsi="Times New Roman"/>
              </w:rPr>
              <w:t>2 CRR.</w:t>
            </w:r>
          </w:p>
          <w:p w:rsidR="009264ED" w:rsidRPr="004E4BE4" w:rsidRDefault="009264ED" w:rsidP="00FE0FF1">
            <w:pPr>
              <w:pStyle w:val="BodyText1"/>
              <w:spacing w:line="240" w:lineRule="auto"/>
              <w:rPr>
                <w:rFonts w:ascii="Times New Roman" w:hAnsi="Times New Roman"/>
                <w:bCs/>
              </w:rPr>
            </w:pPr>
          </w:p>
        </w:tc>
      </w:tr>
      <w:tr w:rsidR="009264ED" w:rsidRPr="004E4BE4" w:rsidTr="00FE0FF1">
        <w:trPr>
          <w:trHeight w:val="304"/>
        </w:trPr>
        <w:tc>
          <w:tcPr>
            <w:tcW w:w="1418" w:type="dxa"/>
            <w:shd w:val="clear" w:color="auto" w:fill="A6A6A6" w:themeFill="background1" w:themeFillShade="A6"/>
          </w:tcPr>
          <w:p w:rsidR="004E4BE4" w:rsidRPr="00ED4583" w:rsidRDefault="009264ED" w:rsidP="00FE0FF1">
            <w:pPr>
              <w:pStyle w:val="BodyText1"/>
              <w:rPr>
                <w:rFonts w:ascii="Times New Roman" w:hAnsi="Times New Roman"/>
                <w:b/>
              </w:rPr>
            </w:pPr>
            <w:r w:rsidRPr="00ED4583">
              <w:rPr>
                <w:rFonts w:ascii="Times New Roman" w:hAnsi="Times New Roman"/>
                <w:b/>
              </w:rPr>
              <w:t>Riadok</w:t>
            </w:r>
          </w:p>
          <w:p w:rsidR="009264ED" w:rsidRPr="004E4BE4" w:rsidRDefault="009264ED" w:rsidP="00FE0FF1">
            <w:pPr>
              <w:pStyle w:val="BodyText1"/>
              <w:rPr>
                <w:rFonts w:ascii="Times New Roman" w:hAnsi="Times New Roman"/>
                <w:b/>
                <w:bCs/>
              </w:rPr>
            </w:pPr>
            <w:r w:rsidRPr="00ED4583">
              <w:rPr>
                <w:rFonts w:ascii="Times New Roman" w:hAnsi="Times New Roman"/>
                <w:b/>
              </w:rPr>
              <w:t>a stĺpec</w:t>
            </w:r>
          </w:p>
        </w:tc>
        <w:tc>
          <w:tcPr>
            <w:tcW w:w="7590" w:type="dxa"/>
            <w:shd w:val="clear" w:color="auto" w:fill="A6A6A6" w:themeFill="background1" w:themeFillShade="A6"/>
          </w:tcPr>
          <w:p w:rsidR="009264ED" w:rsidRPr="00ED4583" w:rsidRDefault="009264ED" w:rsidP="00FE0FF1">
            <w:pPr>
              <w:pStyle w:val="BodyText1"/>
              <w:spacing w:line="240" w:lineRule="auto"/>
              <w:rPr>
                <w:rFonts w:ascii="Times New Roman" w:hAnsi="Times New Roman"/>
                <w:b/>
                <w:bCs/>
              </w:rPr>
            </w:pPr>
            <w:r w:rsidRPr="00ED4583">
              <w:rPr>
                <w:rFonts w:ascii="Times New Roman" w:hAnsi="Times New Roman"/>
                <w:b/>
              </w:rPr>
              <w:t>Ukazovateľ finančnej páky</w:t>
            </w:r>
          </w:p>
        </w:tc>
      </w:tr>
      <w:tr w:rsidR="009264ED" w:rsidRPr="004E4BE4" w:rsidTr="00FE0FF1">
        <w:trPr>
          <w:trHeight w:val="304"/>
        </w:trPr>
        <w:tc>
          <w:tcPr>
            <w:tcW w:w="1418" w:type="dxa"/>
          </w:tcPr>
          <w:p w:rsidR="009264ED" w:rsidRPr="004E4BE4" w:rsidRDefault="009264ED" w:rsidP="00FF01D7">
            <w:pPr>
              <w:pStyle w:val="BodyText1"/>
              <w:rPr>
                <w:rFonts w:ascii="Times New Roman" w:hAnsi="Times New Roman"/>
                <w:bCs/>
              </w:rPr>
            </w:pPr>
            <w:r w:rsidRPr="004E4BE4">
              <w:rPr>
                <w:rFonts w:ascii="Times New Roman" w:hAnsi="Times New Roman"/>
              </w:rPr>
              <w:t>{330;010}</w:t>
            </w:r>
          </w:p>
        </w:tc>
        <w:tc>
          <w:tcPr>
            <w:tcW w:w="7590" w:type="dxa"/>
          </w:tcPr>
          <w:p w:rsidR="009264ED" w:rsidRPr="00ED4583" w:rsidRDefault="009264ED" w:rsidP="00FE0FF1">
            <w:pPr>
              <w:pStyle w:val="BodyText1"/>
              <w:spacing w:line="240" w:lineRule="auto"/>
              <w:rPr>
                <w:rFonts w:ascii="Times New Roman" w:hAnsi="Times New Roman"/>
                <w:b/>
                <w:bCs/>
              </w:rPr>
            </w:pPr>
            <w:r w:rsidRPr="00ED4583">
              <w:rPr>
                <w:rFonts w:ascii="Times New Roman" w:hAnsi="Times New Roman"/>
                <w:b/>
              </w:rPr>
              <w:t>Ukazovateľ finančnej páky –</w:t>
            </w:r>
            <w:r w:rsidR="004E4BE4" w:rsidRPr="00ED4583">
              <w:rPr>
                <w:rFonts w:ascii="Times New Roman" w:hAnsi="Times New Roman"/>
                <w:b/>
              </w:rPr>
              <w:t xml:space="preserve"> s </w:t>
            </w:r>
            <w:r w:rsidRPr="00ED4583">
              <w:rPr>
                <w:rFonts w:ascii="Times New Roman" w:hAnsi="Times New Roman"/>
                <w:b/>
              </w:rPr>
              <w:t>použitím úplne zavedeného vymedzenia kapitálu Tier 1</w:t>
            </w:r>
          </w:p>
          <w:p w:rsidR="009264ED" w:rsidRPr="004E4BE4" w:rsidRDefault="009264ED" w:rsidP="00FE0FF1">
            <w:pPr>
              <w:pStyle w:val="BodyText1"/>
              <w:spacing w:line="240" w:lineRule="auto"/>
              <w:rPr>
                <w:rFonts w:ascii="Times New Roman" w:hAnsi="Times New Roman"/>
                <w:bCs/>
              </w:rPr>
            </w:pPr>
          </w:p>
          <w:p w:rsidR="009264ED" w:rsidRPr="004E4BE4" w:rsidRDefault="009264ED" w:rsidP="00FE0FF1">
            <w:pPr>
              <w:pStyle w:val="BodyText1"/>
              <w:spacing w:line="240" w:lineRule="auto"/>
              <w:rPr>
                <w:rFonts w:ascii="Times New Roman" w:hAnsi="Times New Roman"/>
                <w:bCs/>
              </w:rPr>
            </w:pPr>
            <w:r w:rsidRPr="004E4BE4">
              <w:rPr>
                <w:rFonts w:ascii="Times New Roman" w:hAnsi="Times New Roman"/>
              </w:rPr>
              <w:t>Článok 429 ods. 2</w:t>
            </w:r>
            <w:r w:rsidR="004E4BE4">
              <w:rPr>
                <w:rFonts w:ascii="Times New Roman" w:hAnsi="Times New Roman"/>
              </w:rPr>
              <w:t xml:space="preserve"> a </w:t>
            </w:r>
            <w:r w:rsidRPr="004E4BE4">
              <w:rPr>
                <w:rFonts w:ascii="Times New Roman" w:hAnsi="Times New Roman"/>
              </w:rPr>
              <w:t>článok 499 ods. 1 CRR</w:t>
            </w:r>
          </w:p>
          <w:p w:rsidR="009264ED" w:rsidRPr="004E4BE4" w:rsidRDefault="009264ED" w:rsidP="00FE0FF1">
            <w:pPr>
              <w:pStyle w:val="BodyText1"/>
              <w:spacing w:line="240" w:lineRule="auto"/>
              <w:rPr>
                <w:rFonts w:ascii="Times New Roman" w:hAnsi="Times New Roman"/>
                <w:bCs/>
              </w:rPr>
            </w:pPr>
          </w:p>
          <w:p w:rsidR="004E4BE4" w:rsidRPr="004E4BE4" w:rsidRDefault="009264ED" w:rsidP="00FE0FF1">
            <w:pPr>
              <w:pStyle w:val="BodyText1"/>
              <w:spacing w:line="240" w:lineRule="auto"/>
              <w:rPr>
                <w:rFonts w:ascii="Times New Roman" w:hAnsi="Times New Roman"/>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ukazovateľ finančnej páky vypočítaný podľa časti II odseku 4 tejto prílohy</w:t>
            </w:r>
            <w:r w:rsidR="004E4BE4" w:rsidRPr="004E4BE4">
              <w:rPr>
                <w:rFonts w:ascii="Times New Roman" w:hAnsi="Times New Roman"/>
              </w:rPr>
              <w:t>.</w:t>
            </w:r>
          </w:p>
          <w:p w:rsidR="009264ED" w:rsidRPr="00ED4583" w:rsidRDefault="009264ED" w:rsidP="00FE0FF1">
            <w:pPr>
              <w:pStyle w:val="BodyText1"/>
              <w:spacing w:line="240" w:lineRule="auto"/>
              <w:rPr>
                <w:rFonts w:ascii="Times New Roman" w:hAnsi="Times New Roman"/>
                <w:b/>
                <w:bCs/>
              </w:rPr>
            </w:pPr>
          </w:p>
        </w:tc>
      </w:tr>
      <w:tr w:rsidR="009264ED" w:rsidRPr="004E4BE4" w:rsidTr="00FE0FF1">
        <w:trPr>
          <w:trHeight w:val="304"/>
        </w:trPr>
        <w:tc>
          <w:tcPr>
            <w:tcW w:w="1418" w:type="dxa"/>
          </w:tcPr>
          <w:p w:rsidR="009264ED" w:rsidRPr="004E4BE4" w:rsidRDefault="009264ED" w:rsidP="009264ED">
            <w:pPr>
              <w:pStyle w:val="BodyText1"/>
              <w:rPr>
                <w:rFonts w:ascii="Times New Roman" w:hAnsi="Times New Roman"/>
                <w:bCs/>
              </w:rPr>
            </w:pPr>
            <w:r w:rsidRPr="004E4BE4">
              <w:rPr>
                <w:rFonts w:ascii="Times New Roman" w:hAnsi="Times New Roman"/>
              </w:rPr>
              <w:t>{340;010}</w:t>
            </w:r>
          </w:p>
        </w:tc>
        <w:tc>
          <w:tcPr>
            <w:tcW w:w="7590" w:type="dxa"/>
          </w:tcPr>
          <w:p w:rsidR="009264ED" w:rsidRPr="00ED4583" w:rsidRDefault="009264ED" w:rsidP="00FE0FF1">
            <w:pPr>
              <w:pStyle w:val="BodyText1"/>
              <w:spacing w:line="240" w:lineRule="auto"/>
              <w:rPr>
                <w:rFonts w:ascii="Times New Roman" w:hAnsi="Times New Roman"/>
                <w:b/>
                <w:bCs/>
              </w:rPr>
            </w:pPr>
            <w:r w:rsidRPr="00ED4583">
              <w:rPr>
                <w:rFonts w:ascii="Times New Roman" w:hAnsi="Times New Roman"/>
                <w:b/>
              </w:rPr>
              <w:t>Ukazovateľ finančnej páky –</w:t>
            </w:r>
            <w:r w:rsidR="004E4BE4" w:rsidRPr="00ED4583">
              <w:rPr>
                <w:rFonts w:ascii="Times New Roman" w:hAnsi="Times New Roman"/>
                <w:b/>
              </w:rPr>
              <w:t xml:space="preserve"> s </w:t>
            </w:r>
            <w:r w:rsidRPr="00ED4583">
              <w:rPr>
                <w:rFonts w:ascii="Times New Roman" w:hAnsi="Times New Roman"/>
                <w:b/>
              </w:rPr>
              <w:t>použitím prechodného vymedzenia kapitálu Tier 1</w:t>
            </w:r>
          </w:p>
          <w:p w:rsidR="009264ED" w:rsidRPr="004E4BE4" w:rsidRDefault="009264ED" w:rsidP="00FE0FF1">
            <w:pPr>
              <w:pStyle w:val="BodyText1"/>
              <w:spacing w:line="240" w:lineRule="auto"/>
              <w:rPr>
                <w:rFonts w:ascii="Times New Roman" w:hAnsi="Times New Roman"/>
                <w:bCs/>
              </w:rPr>
            </w:pPr>
          </w:p>
          <w:p w:rsidR="009264ED" w:rsidRPr="004E4BE4" w:rsidRDefault="009264ED" w:rsidP="00FE0FF1">
            <w:pPr>
              <w:pStyle w:val="BodyText1"/>
              <w:spacing w:line="240" w:lineRule="auto"/>
              <w:rPr>
                <w:rFonts w:ascii="Times New Roman" w:hAnsi="Times New Roman"/>
                <w:bCs/>
              </w:rPr>
            </w:pPr>
            <w:r w:rsidRPr="004E4BE4">
              <w:rPr>
                <w:rFonts w:ascii="Times New Roman" w:hAnsi="Times New Roman"/>
              </w:rPr>
              <w:t>Článok 429 ods. 2</w:t>
            </w:r>
            <w:r w:rsidR="004E4BE4">
              <w:rPr>
                <w:rFonts w:ascii="Times New Roman" w:hAnsi="Times New Roman"/>
              </w:rPr>
              <w:t xml:space="preserve"> a </w:t>
            </w:r>
            <w:r w:rsidRPr="004E4BE4">
              <w:rPr>
                <w:rFonts w:ascii="Times New Roman" w:hAnsi="Times New Roman"/>
              </w:rPr>
              <w:t>článok 499 ods. 1 CRR</w:t>
            </w:r>
          </w:p>
          <w:p w:rsidR="009264ED" w:rsidRPr="004E4BE4" w:rsidRDefault="009264ED" w:rsidP="00FE0FF1">
            <w:pPr>
              <w:pStyle w:val="BodyText1"/>
              <w:spacing w:line="240" w:lineRule="auto"/>
              <w:rPr>
                <w:rFonts w:ascii="Times New Roman" w:hAnsi="Times New Roman"/>
                <w:bCs/>
              </w:rPr>
            </w:pPr>
          </w:p>
          <w:p w:rsidR="009264ED" w:rsidRPr="004E4BE4" w:rsidRDefault="009264ED" w:rsidP="00FE0FF1">
            <w:pPr>
              <w:pStyle w:val="BodyText1"/>
              <w:spacing w:line="240" w:lineRule="auto"/>
              <w:rPr>
                <w:rFonts w:ascii="Times New Roman" w:hAnsi="Times New Roman"/>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ukazovateľ finančnej páky vypočítaný podľa časti II odseku 5 tejto prílohy.</w:t>
            </w:r>
          </w:p>
          <w:p w:rsidR="009264ED" w:rsidRPr="00ED4583" w:rsidRDefault="009264ED" w:rsidP="00FE0FF1">
            <w:pPr>
              <w:pStyle w:val="BodyText1"/>
              <w:spacing w:line="240" w:lineRule="auto"/>
              <w:rPr>
                <w:rFonts w:ascii="Times New Roman" w:hAnsi="Times New Roman"/>
                <w:b/>
                <w:bCs/>
              </w:rPr>
            </w:pPr>
          </w:p>
        </w:tc>
      </w:tr>
    </w:tbl>
    <w:p w:rsidR="00AE2798" w:rsidRPr="004E4BE4" w:rsidRDefault="00AE2798" w:rsidP="00AE2798">
      <w:pPr>
        <w:pStyle w:val="BodyText1"/>
        <w:rPr>
          <w:rFonts w:ascii="Times New Roman" w:hAnsi="Times New Roman"/>
        </w:rPr>
      </w:pPr>
    </w:p>
    <w:p w:rsidR="00AE2798" w:rsidRPr="004E4BE4" w:rsidRDefault="00AE2798" w:rsidP="00F4754B">
      <w:pPr>
        <w:pStyle w:val="BodyText1"/>
        <w:rPr>
          <w:rFonts w:ascii="Times New Roman" w:hAnsi="Times New Roman"/>
        </w:rPr>
      </w:pPr>
    </w:p>
    <w:p w:rsidR="00AE2798" w:rsidRPr="004E4BE4" w:rsidRDefault="00AE2798" w:rsidP="00F4754B">
      <w:pPr>
        <w:pStyle w:val="BodyText1"/>
        <w:rPr>
          <w:rFonts w:ascii="Times New Roman" w:hAnsi="Times New Roman"/>
        </w:rPr>
      </w:pPr>
    </w:p>
    <w:p w:rsidR="00700DA6" w:rsidRPr="00ED4583" w:rsidRDefault="00500508" w:rsidP="00500508">
      <w:pPr>
        <w:pStyle w:val="BodyText1"/>
        <w:ind w:left="357" w:hanging="357"/>
        <w:outlineLvl w:val="1"/>
        <w:rPr>
          <w:rFonts w:ascii="Times New Roman" w:hAnsi="Times New Roman"/>
          <w:b/>
        </w:rPr>
      </w:pPr>
      <w:bookmarkStart w:id="48" w:name="_Toc351048507"/>
      <w:bookmarkStart w:id="49" w:name="_Toc359414286"/>
      <w:bookmarkStart w:id="50" w:name="_Toc524086724"/>
      <w:r w:rsidRPr="00ED4583">
        <w:rPr>
          <w:rFonts w:ascii="Times New Roman" w:hAnsi="Times New Roman"/>
          <w:b/>
        </w:rPr>
        <w:t>5.</w:t>
      </w:r>
      <w:r w:rsidRPr="004E4BE4">
        <w:tab/>
      </w:r>
      <w:r w:rsidRPr="00ED4583">
        <w:rPr>
          <w:rFonts w:ascii="Times New Roman" w:hAnsi="Times New Roman"/>
          <w:b/>
        </w:rPr>
        <w:t>C 40.00 – Alternatívne zaobchádzanie</w:t>
      </w:r>
      <w:r w:rsidR="004E4BE4" w:rsidRPr="00ED4583">
        <w:rPr>
          <w:rFonts w:ascii="Times New Roman" w:hAnsi="Times New Roman"/>
          <w:b/>
        </w:rPr>
        <w:t xml:space="preserve"> s </w:t>
      </w:r>
      <w:r w:rsidRPr="00ED4583">
        <w:rPr>
          <w:rFonts w:ascii="Times New Roman" w:hAnsi="Times New Roman"/>
          <w:b/>
        </w:rPr>
        <w:t>veľkosťou expozície</w:t>
      </w:r>
      <w:bookmarkEnd w:id="44"/>
      <w:bookmarkEnd w:id="48"/>
      <w:bookmarkEnd w:id="49"/>
      <w:r w:rsidRPr="00ED4583">
        <w:rPr>
          <w:rFonts w:ascii="Times New Roman" w:hAnsi="Times New Roman"/>
          <w:b/>
        </w:rPr>
        <w:t xml:space="preserve"> (LR1)</w:t>
      </w:r>
      <w:bookmarkEnd w:id="50"/>
    </w:p>
    <w:p w:rsidR="006033AB" w:rsidRPr="004E4BE4" w:rsidRDefault="006033AB" w:rsidP="006033AB">
      <w:pPr>
        <w:pStyle w:val="BodyText1"/>
        <w:spacing w:line="240" w:lineRule="auto"/>
        <w:ind w:left="720"/>
        <w:rPr>
          <w:rFonts w:ascii="Times New Roman" w:hAnsi="Times New Roman"/>
        </w:rPr>
      </w:pP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21.</w:t>
      </w:r>
      <w:r w:rsidRPr="004E4BE4">
        <w:tab/>
      </w:r>
      <w:r w:rsidRPr="004E4BE4">
        <w:rPr>
          <w:rFonts w:ascii="Times New Roman" w:hAnsi="Times New Roman"/>
        </w:rPr>
        <w:t>V tejto časti vykazovania sa zhromažďujú údaje</w:t>
      </w:r>
      <w:r w:rsidR="004E4BE4">
        <w:rPr>
          <w:rFonts w:ascii="Times New Roman" w:hAnsi="Times New Roman"/>
        </w:rPr>
        <w:t xml:space="preserve"> o </w:t>
      </w:r>
      <w:r w:rsidRPr="004E4BE4">
        <w:rPr>
          <w:rFonts w:ascii="Times New Roman" w:hAnsi="Times New Roman"/>
        </w:rPr>
        <w:t>alternatívnom zaobchádzaní</w:t>
      </w:r>
      <w:r w:rsidR="004E4BE4">
        <w:rPr>
          <w:rFonts w:ascii="Times New Roman" w:hAnsi="Times New Roman"/>
        </w:rPr>
        <w:t xml:space="preserve"> s </w:t>
      </w:r>
      <w:r w:rsidRPr="004E4BE4">
        <w:rPr>
          <w:rFonts w:ascii="Times New Roman" w:hAnsi="Times New Roman"/>
        </w:rPr>
        <w:t>derivátmi, SFT</w:t>
      </w:r>
      <w:r w:rsidR="004E4BE4">
        <w:rPr>
          <w:rFonts w:ascii="Times New Roman" w:hAnsi="Times New Roman"/>
        </w:rPr>
        <w:t xml:space="preserve"> a </w:t>
      </w:r>
      <w:r w:rsidRPr="004E4BE4">
        <w:rPr>
          <w:rFonts w:ascii="Times New Roman" w:hAnsi="Times New Roman"/>
        </w:rPr>
        <w:t>podsúvahovými položkami</w:t>
      </w:r>
      <w:r w:rsidR="004E4BE4" w:rsidRPr="004E4BE4">
        <w:rPr>
          <w:rFonts w:ascii="Times New Roman" w:hAnsi="Times New Roman"/>
        </w:rPr>
        <w:t>.</w:t>
      </w:r>
    </w:p>
    <w:p w:rsidR="00FC2664" w:rsidRPr="004E4BE4" w:rsidRDefault="00FC2664" w:rsidP="007E2A41">
      <w:pPr>
        <w:pStyle w:val="BodyText1"/>
        <w:spacing w:line="240" w:lineRule="auto"/>
        <w:rPr>
          <w:rFonts w:ascii="Times New Roman" w:hAnsi="Times New Roman"/>
        </w:rPr>
      </w:pP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22.</w:t>
      </w:r>
      <w:r w:rsidRPr="004E4BE4">
        <w:tab/>
      </w:r>
      <w:r w:rsidRPr="004E4BE4">
        <w:rPr>
          <w:rFonts w:ascii="Times New Roman" w:hAnsi="Times New Roman"/>
        </w:rPr>
        <w:t>Inštitúcie určia „účtovné hodnoty</w:t>
      </w:r>
      <w:r w:rsidR="004E4BE4">
        <w:rPr>
          <w:rFonts w:ascii="Times New Roman" w:hAnsi="Times New Roman"/>
        </w:rPr>
        <w:t xml:space="preserve"> v </w:t>
      </w:r>
      <w:r w:rsidRPr="004E4BE4">
        <w:rPr>
          <w:rFonts w:ascii="Times New Roman" w:hAnsi="Times New Roman"/>
        </w:rPr>
        <w:t>súvahe“</w:t>
      </w:r>
      <w:r w:rsidR="004E4BE4">
        <w:rPr>
          <w:rFonts w:ascii="Times New Roman" w:hAnsi="Times New Roman"/>
        </w:rPr>
        <w:t xml:space="preserve"> v </w:t>
      </w:r>
      <w:r w:rsidRPr="004E4BE4">
        <w:rPr>
          <w:rFonts w:ascii="Times New Roman" w:hAnsi="Times New Roman"/>
        </w:rPr>
        <w:t>LR1 na základe uplatniteľného účtovného rámca</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 ods. 1 bodom 77 CRR. „Účtovná hodnota bez zohľadnenia vzájomného započítavania alebo iného CRM“ je účtovná hodnota</w:t>
      </w:r>
      <w:r w:rsidR="004E4BE4">
        <w:rPr>
          <w:rFonts w:ascii="Times New Roman" w:hAnsi="Times New Roman"/>
        </w:rPr>
        <w:t xml:space="preserve"> v </w:t>
      </w:r>
      <w:r w:rsidRPr="004E4BE4">
        <w:rPr>
          <w:rFonts w:ascii="Times New Roman" w:hAnsi="Times New Roman"/>
        </w:rPr>
        <w:t>súvahe bez zohľadnenia akýchkoľvek účinkov vzájomného započítavania alebo iného zmierňovania kreditného rizika</w:t>
      </w:r>
      <w:r w:rsidR="004E4BE4" w:rsidRPr="004E4BE4">
        <w:rPr>
          <w:rFonts w:ascii="Times New Roman" w:hAnsi="Times New Roman"/>
        </w:rPr>
        <w:t>.</w:t>
      </w:r>
    </w:p>
    <w:p w:rsidR="005556DC" w:rsidRPr="004E4BE4" w:rsidRDefault="005556DC" w:rsidP="00FD2C06">
      <w:pPr>
        <w:pStyle w:val="BodyText1"/>
        <w:spacing w:line="240" w:lineRule="auto"/>
        <w:rPr>
          <w:rFonts w:ascii="Times New Roman" w:hAnsi="Times New Roman"/>
        </w:rPr>
      </w:pPr>
    </w:p>
    <w:p w:rsidR="005556DC"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23.</w:t>
      </w:r>
      <w:r w:rsidRPr="004E4BE4">
        <w:tab/>
      </w:r>
      <w:r w:rsidRPr="004E4BE4">
        <w:rPr>
          <w:rFonts w:ascii="Times New Roman" w:hAnsi="Times New Roman"/>
        </w:rPr>
        <w:t>Až na {250;120}</w:t>
      </w:r>
      <w:r w:rsidR="004E4BE4">
        <w:rPr>
          <w:rFonts w:ascii="Times New Roman" w:hAnsi="Times New Roman"/>
        </w:rPr>
        <w:t xml:space="preserve"> a </w:t>
      </w:r>
      <w:r w:rsidRPr="004E4BE4">
        <w:rPr>
          <w:rFonts w:ascii="Times New Roman" w:hAnsi="Times New Roman"/>
        </w:rPr>
        <w:t>{260;120} inštitúcie vykazujú LR1 tak, ako keby sa vyňatia uvedené</w:t>
      </w:r>
      <w:r w:rsidR="004E4BE4">
        <w:rPr>
          <w:rFonts w:ascii="Times New Roman" w:hAnsi="Times New Roman"/>
        </w:rPr>
        <w:t xml:space="preserve"> v </w:t>
      </w:r>
      <w:r w:rsidRPr="004E4BE4">
        <w:rPr>
          <w:rFonts w:ascii="Times New Roman" w:hAnsi="Times New Roman"/>
        </w:rPr>
        <w:t>bunkách vzoru LRCalc {050;010}, {080;010}, {100;010}, {120;010}, {220;010}, {250;010}</w:t>
      </w:r>
      <w:r w:rsidR="004E4BE4">
        <w:rPr>
          <w:rFonts w:ascii="Times New Roman" w:hAnsi="Times New Roman"/>
        </w:rPr>
        <w:t xml:space="preserve"> a </w:t>
      </w:r>
      <w:r w:rsidRPr="004E4BE4">
        <w:rPr>
          <w:rFonts w:ascii="Times New Roman" w:hAnsi="Times New Roman"/>
        </w:rPr>
        <w:t>{260;010} neuplatnili.</w:t>
      </w:r>
    </w:p>
    <w:p w:rsidR="005556DC" w:rsidRPr="004E4BE4" w:rsidRDefault="005556DC" w:rsidP="005556DC">
      <w:pPr>
        <w:pStyle w:val="BodyText1"/>
        <w:spacing w:line="240" w:lineRule="auto"/>
        <w:ind w:left="720"/>
        <w:rPr>
          <w:rFonts w:ascii="Times New Roman" w:hAnsi="Times New Roman"/>
        </w:rPr>
      </w:pPr>
    </w:p>
    <w:p w:rsidR="00675587" w:rsidRPr="004E4BE4"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E4BE4" w:rsidTr="00FC2664">
        <w:tc>
          <w:tcPr>
            <w:tcW w:w="1418" w:type="dxa"/>
            <w:shd w:val="clear" w:color="auto" w:fill="D9D9D9"/>
          </w:tcPr>
          <w:p w:rsidR="004E4BE4" w:rsidRPr="00ED4583" w:rsidRDefault="00F4754B" w:rsidP="00F4754B">
            <w:pPr>
              <w:pStyle w:val="BodyText1"/>
              <w:rPr>
                <w:rFonts w:ascii="Times New Roman" w:hAnsi="Times New Roman"/>
                <w:b/>
              </w:rPr>
            </w:pPr>
            <w:r w:rsidRPr="00ED4583">
              <w:rPr>
                <w:rFonts w:ascii="Times New Roman" w:hAnsi="Times New Roman"/>
                <w:b/>
              </w:rPr>
              <w:t>Riadok</w:t>
            </w:r>
          </w:p>
          <w:p w:rsidR="00F4754B" w:rsidRPr="004E4BE4" w:rsidRDefault="00F4754B" w:rsidP="00F4754B">
            <w:pPr>
              <w:pStyle w:val="BodyText1"/>
              <w:rPr>
                <w:rFonts w:ascii="Times New Roman" w:hAnsi="Times New Roman"/>
                <w:b/>
              </w:rPr>
            </w:pPr>
            <w:r w:rsidRPr="00ED4583">
              <w:rPr>
                <w:rFonts w:ascii="Times New Roman" w:hAnsi="Times New Roman"/>
                <w:b/>
              </w:rPr>
              <w:t>a stĺpec</w:t>
            </w:r>
          </w:p>
        </w:tc>
        <w:tc>
          <w:tcPr>
            <w:tcW w:w="7620" w:type="dxa"/>
            <w:shd w:val="clear" w:color="auto" w:fill="D9D9D9"/>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Odkazy na právne predpisy</w:t>
            </w:r>
            <w:r w:rsidR="004E4BE4" w:rsidRPr="00ED4583">
              <w:rPr>
                <w:rFonts w:ascii="Times New Roman" w:hAnsi="Times New Roman"/>
                <w:b/>
              </w:rPr>
              <w:t xml:space="preserve"> a </w:t>
            </w:r>
            <w:r w:rsidRPr="00ED4583">
              <w:rPr>
                <w:rFonts w:ascii="Times New Roman" w:hAnsi="Times New Roman"/>
                <w:b/>
              </w:rPr>
              <w:t>pokyny</w:t>
            </w: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{010;010}</w:t>
            </w:r>
          </w:p>
        </w:tc>
        <w:tc>
          <w:tcPr>
            <w:tcW w:w="7620" w:type="dxa"/>
          </w:tcPr>
          <w:p w:rsidR="00F4754B" w:rsidRPr="00040D93" w:rsidRDefault="00F4754B" w:rsidP="007E2A41">
            <w:pPr>
              <w:pStyle w:val="BodyText1"/>
              <w:spacing w:line="240" w:lineRule="auto"/>
              <w:rPr>
                <w:rFonts w:ascii="Times New Roman" w:hAnsi="Times New Roman"/>
                <w:bCs/>
                <w:u w:val="single"/>
              </w:rPr>
            </w:pPr>
            <w:r w:rsidRPr="00ED4583">
              <w:rPr>
                <w:rFonts w:ascii="Times New Roman" w:hAnsi="Times New Roman"/>
                <w:b/>
              </w:rPr>
              <w:t>Deriváty – účtovná hodnota</w:t>
            </w:r>
            <w:r w:rsidR="004E4BE4" w:rsidRPr="00ED4583">
              <w:rPr>
                <w:rFonts w:ascii="Times New Roman" w:hAnsi="Times New Roman"/>
                <w:b/>
              </w:rPr>
              <w:t xml:space="preserve"> v </w:t>
            </w:r>
            <w:r w:rsidRPr="00ED4583">
              <w:rPr>
                <w:rFonts w:ascii="Times New Roman" w:hAnsi="Times New Roman"/>
                <w:b/>
              </w:rPr>
              <w:t>súvahe</w:t>
            </w:r>
          </w:p>
          <w:p w:rsidR="00F4754B" w:rsidRPr="00ED4583" w:rsidRDefault="00F4754B"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{020;010}, {050;010}</w:t>
            </w:r>
            <w:r w:rsidR="004E4BE4">
              <w:rPr>
                <w:rFonts w:ascii="Times New Roman" w:hAnsi="Times New Roman"/>
              </w:rPr>
              <w:t xml:space="preserve"> a </w:t>
            </w:r>
            <w:r w:rsidRPr="004E4BE4">
              <w:rPr>
                <w:rFonts w:ascii="Times New Roman" w:hAnsi="Times New Roman"/>
              </w:rPr>
              <w:t>{060;010}.</w:t>
            </w:r>
          </w:p>
          <w:p w:rsidR="000A6437" w:rsidRPr="00040D93" w:rsidRDefault="000A6437" w:rsidP="007E2A41">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{010;020}</w:t>
            </w: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Deriváty – účtovná hodnota bez zohľadnenia vzájomného započítavania alebo iného CRM</w:t>
            </w:r>
          </w:p>
          <w:p w:rsidR="00F4754B" w:rsidRPr="00ED4583" w:rsidRDefault="00F4754B"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{020;020}, {050;020}</w:t>
            </w:r>
            <w:r w:rsidR="004E4BE4">
              <w:rPr>
                <w:rFonts w:ascii="Times New Roman" w:hAnsi="Times New Roman"/>
              </w:rPr>
              <w:t xml:space="preserve"> a </w:t>
            </w:r>
            <w:r w:rsidRPr="004E4BE4">
              <w:rPr>
                <w:rFonts w:ascii="Times New Roman" w:hAnsi="Times New Roman"/>
              </w:rPr>
              <w:t>{060;020}.</w:t>
            </w:r>
          </w:p>
          <w:p w:rsidR="00FF3AC1" w:rsidRPr="00040D93" w:rsidRDefault="00FF3AC1" w:rsidP="007E2A41">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{010;050}</w:t>
            </w:r>
          </w:p>
          <w:p w:rsidR="00F4754B" w:rsidRPr="004E4BE4" w:rsidRDefault="00F4754B" w:rsidP="00F4754B">
            <w:pPr>
              <w:pStyle w:val="BodyText1"/>
              <w:rPr>
                <w:rFonts w:ascii="Times New Roman" w:hAnsi="Times New Roman"/>
                <w:bCs/>
              </w:rPr>
            </w:pP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Deriváty – dodatočná hodnota podľa metódy oceňovania podľa trhovej hodnoty (bez zohľadnenia vzájomného započítavania alebo iného CRM)</w:t>
            </w:r>
          </w:p>
          <w:p w:rsidR="00F4754B" w:rsidRPr="00ED4583" w:rsidRDefault="00F4754B"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{020;050}, {050;050}</w:t>
            </w:r>
            <w:r w:rsidR="004E4BE4">
              <w:rPr>
                <w:rFonts w:ascii="Times New Roman" w:hAnsi="Times New Roman"/>
              </w:rPr>
              <w:t xml:space="preserve"> a </w:t>
            </w:r>
            <w:r w:rsidRPr="004E4BE4">
              <w:rPr>
                <w:rFonts w:ascii="Times New Roman" w:hAnsi="Times New Roman"/>
              </w:rPr>
              <w:t>{060;050}.</w:t>
            </w:r>
          </w:p>
          <w:p w:rsidR="00F4754B" w:rsidRPr="00040D93" w:rsidRDefault="00F4754B" w:rsidP="007E2A41">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70A83">
            <w:pPr>
              <w:pStyle w:val="BodyText1"/>
              <w:rPr>
                <w:rFonts w:ascii="Times New Roman" w:hAnsi="Times New Roman"/>
                <w:bCs/>
              </w:rPr>
            </w:pPr>
            <w:r w:rsidRPr="004E4BE4">
              <w:rPr>
                <w:rFonts w:ascii="Times New Roman" w:hAnsi="Times New Roman"/>
              </w:rPr>
              <w:t>{010;070}</w:t>
            </w: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Deriváty – pomyselná hodnota</w:t>
            </w:r>
          </w:p>
          <w:p w:rsidR="00F4754B" w:rsidRPr="00ED4583" w:rsidRDefault="00F4754B"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{020;070}, {050;070}</w:t>
            </w:r>
            <w:r w:rsidR="004E4BE4">
              <w:rPr>
                <w:rFonts w:ascii="Times New Roman" w:hAnsi="Times New Roman"/>
              </w:rPr>
              <w:t xml:space="preserve"> a </w:t>
            </w:r>
            <w:r w:rsidRPr="004E4BE4">
              <w:rPr>
                <w:rFonts w:ascii="Times New Roman" w:hAnsi="Times New Roman"/>
              </w:rPr>
              <w:t>{060;070}.</w:t>
            </w:r>
          </w:p>
          <w:p w:rsidR="00F4754B" w:rsidRPr="00040D93" w:rsidRDefault="00F4754B" w:rsidP="007E2A41">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{020;010}</w:t>
            </w: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 účtovná hodnota</w:t>
            </w:r>
            <w:r w:rsidR="004E4BE4" w:rsidRPr="00ED4583">
              <w:rPr>
                <w:rFonts w:ascii="Times New Roman" w:hAnsi="Times New Roman"/>
                <w:b/>
              </w:rPr>
              <w:t xml:space="preserve"> v </w:t>
            </w:r>
            <w:r w:rsidRPr="00ED4583">
              <w:rPr>
                <w:rFonts w:ascii="Times New Roman" w:hAnsi="Times New Roman"/>
                <w:b/>
              </w:rPr>
              <w:t>súvahe</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Článok 4 ods. 1 bod 77 CRR</w:t>
            </w:r>
          </w:p>
          <w:p w:rsidR="00F4754B" w:rsidRPr="004E4BE4" w:rsidRDefault="00F4754B"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kreditných derivátov, keď inštitúcia predáva kreditné zabezpečenie protistrane</w:t>
            </w:r>
            <w:r w:rsidR="004E4BE4">
              <w:rPr>
                <w:rFonts w:ascii="Times New Roman" w:hAnsi="Times New Roman"/>
              </w:rPr>
              <w:t xml:space="preserve"> a </w:t>
            </w:r>
            <w:r w:rsidRPr="004E4BE4">
              <w:rPr>
                <w:rFonts w:ascii="Times New Roman" w:hAnsi="Times New Roman"/>
              </w:rPr>
              <w:t>zmluva je vykázaná</w:t>
            </w:r>
            <w:r w:rsidR="004E4BE4">
              <w:rPr>
                <w:rFonts w:ascii="Times New Roman" w:hAnsi="Times New Roman"/>
              </w:rPr>
              <w:t xml:space="preserve"> v </w:t>
            </w:r>
            <w:r w:rsidRPr="004E4BE4">
              <w:rPr>
                <w:rFonts w:ascii="Times New Roman" w:hAnsi="Times New Roman"/>
              </w:rPr>
              <w:t>súvahe ako aktívum.</w:t>
            </w:r>
          </w:p>
          <w:p w:rsidR="00F4754B" w:rsidRPr="00040D93" w:rsidRDefault="00F4754B" w:rsidP="007E2A41">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{020;020}</w:t>
            </w: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 účtovná hodnota bez zohľadnenia vzájomného započítavania alebo iného CRM</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Článok 4 ods. 1 bod 77 CRR</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kreditných derivátov, keď inštitúcia predáva kreditné zabezpečenie protistrane</w:t>
            </w:r>
            <w:r w:rsidR="004E4BE4">
              <w:rPr>
                <w:rFonts w:ascii="Times New Roman" w:hAnsi="Times New Roman"/>
              </w:rPr>
              <w:t xml:space="preserve"> a </w:t>
            </w:r>
            <w:r w:rsidRPr="004E4BE4">
              <w:rPr>
                <w:rFonts w:ascii="Times New Roman" w:hAnsi="Times New Roman"/>
              </w:rPr>
              <w:t>zmluva je vykázaná</w:t>
            </w:r>
            <w:r w:rsidR="004E4BE4">
              <w:rPr>
                <w:rFonts w:ascii="Times New Roman" w:hAnsi="Times New Roman"/>
              </w:rPr>
              <w:t xml:space="preserve"> v </w:t>
            </w:r>
            <w:r w:rsidRPr="004E4BE4">
              <w:rPr>
                <w:rFonts w:ascii="Times New Roman" w:hAnsi="Times New Roman"/>
              </w:rPr>
              <w:t>súvahe ako aktívum, bez zohľadnenia účinkov prudenciálneho alebo účtovného vzájomného započítavania alebo iného CRM (t. j. stornujú sa všetky účinky účtovného vzájomného započítavania alebo CRM, ktoré ovplyvnili účtovnú hodnotu).</w:t>
            </w:r>
          </w:p>
          <w:p w:rsidR="00F4754B" w:rsidRPr="00040D93" w:rsidRDefault="00F4754B" w:rsidP="007E2A41">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70A83">
            <w:pPr>
              <w:pStyle w:val="BodyText1"/>
              <w:rPr>
                <w:rFonts w:ascii="Times New Roman" w:hAnsi="Times New Roman"/>
                <w:bCs/>
              </w:rPr>
            </w:pPr>
            <w:r w:rsidRPr="004E4BE4">
              <w:rPr>
                <w:rFonts w:ascii="Times New Roman" w:hAnsi="Times New Roman"/>
              </w:rPr>
              <w:t>{020;050}</w:t>
            </w: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 dodatočná hodnota podľa metódy oceňovania podľa trhovej hodnoty (bez zohľadnenia vzájomného započítavania alebo iného CRM)</w:t>
            </w:r>
          </w:p>
          <w:p w:rsidR="00F4754B" w:rsidRPr="00ED4583" w:rsidRDefault="00F4754B"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{030;050}</w:t>
            </w:r>
            <w:r w:rsidR="004E4BE4">
              <w:rPr>
                <w:rFonts w:ascii="Times New Roman" w:hAnsi="Times New Roman"/>
              </w:rPr>
              <w:t xml:space="preserve"> a </w:t>
            </w:r>
            <w:r w:rsidRPr="004E4BE4">
              <w:rPr>
                <w:rFonts w:ascii="Times New Roman" w:hAnsi="Times New Roman"/>
              </w:rPr>
              <w:t>{040;050}.</w:t>
            </w:r>
          </w:p>
          <w:p w:rsidR="00F4754B" w:rsidRPr="00040D93" w:rsidRDefault="00F4754B" w:rsidP="007E2A41">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70A83">
            <w:pPr>
              <w:pStyle w:val="BodyText1"/>
              <w:rPr>
                <w:rFonts w:ascii="Times New Roman" w:hAnsi="Times New Roman"/>
                <w:bCs/>
              </w:rPr>
            </w:pPr>
            <w:r w:rsidRPr="004E4BE4">
              <w:rPr>
                <w:rFonts w:ascii="Times New Roman" w:hAnsi="Times New Roman"/>
              </w:rPr>
              <w:t>{020;070}</w:t>
            </w: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 pomyselná hodnota</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 {030;070}</w:t>
            </w:r>
            <w:r w:rsidR="004E4BE4">
              <w:rPr>
                <w:rFonts w:ascii="Times New Roman" w:hAnsi="Times New Roman"/>
              </w:rPr>
              <w:t xml:space="preserve"> a </w:t>
            </w:r>
            <w:r w:rsidRPr="004E4BE4">
              <w:rPr>
                <w:rFonts w:ascii="Times New Roman" w:hAnsi="Times New Roman"/>
              </w:rPr>
              <w:t>{040;070}.</w:t>
            </w:r>
          </w:p>
          <w:p w:rsidR="00F4754B" w:rsidRPr="00040D93" w:rsidRDefault="00F4754B"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1081">
            <w:pPr>
              <w:pStyle w:val="BodyText1"/>
              <w:rPr>
                <w:rFonts w:ascii="Times New Roman" w:hAnsi="Times New Roman"/>
                <w:bCs/>
              </w:rPr>
            </w:pPr>
            <w:r w:rsidRPr="004E4BE4">
              <w:rPr>
                <w:rFonts w:ascii="Times New Roman" w:hAnsi="Times New Roman"/>
              </w:rPr>
              <w:t>{020;075}</w:t>
            </w:r>
          </w:p>
        </w:tc>
        <w:tc>
          <w:tcPr>
            <w:tcW w:w="7620" w:type="dxa"/>
          </w:tcPr>
          <w:p w:rsidR="00410E47" w:rsidRPr="00ED4583" w:rsidRDefault="00410E47" w:rsidP="006B5E42">
            <w:pPr>
              <w:pStyle w:val="BodyText1"/>
              <w:spacing w:line="240" w:lineRule="auto"/>
              <w:rPr>
                <w:rFonts w:ascii="Times New Roman" w:hAnsi="Times New Roman"/>
                <w:b/>
                <w:bCs/>
              </w:rPr>
            </w:pPr>
            <w:r w:rsidRPr="00ED4583">
              <w:rPr>
                <w:rFonts w:ascii="Times New Roman" w:hAnsi="Times New Roman"/>
                <w:b/>
              </w:rPr>
              <w:t>Kreditné deriváty (zabezpečenie predané) – zhora ohraničená pomyselná hodnota</w:t>
            </w:r>
          </w:p>
          <w:p w:rsidR="00410E47" w:rsidRPr="004E4BE4" w:rsidRDefault="00410E47" w:rsidP="006B5E42">
            <w:pPr>
              <w:pStyle w:val="BodyText1"/>
              <w:spacing w:line="240" w:lineRule="auto"/>
              <w:rPr>
                <w:rFonts w:ascii="Times New Roman" w:hAnsi="Times New Roman"/>
                <w:bCs/>
              </w:rPr>
            </w:pPr>
          </w:p>
          <w:p w:rsidR="00410E47" w:rsidRPr="004E4BE4" w:rsidRDefault="00410E47" w:rsidP="006B5E42">
            <w:pPr>
              <w:pStyle w:val="BodyText1"/>
              <w:spacing w:line="240" w:lineRule="auto"/>
              <w:rPr>
                <w:rFonts w:ascii="Times New Roman" w:hAnsi="Times New Roman"/>
                <w:bCs/>
              </w:rPr>
            </w:pPr>
            <w:r w:rsidRPr="004E4BE4">
              <w:rPr>
                <w:rFonts w:ascii="Times New Roman" w:hAnsi="Times New Roman"/>
              </w:rPr>
              <w:t>V tejto bunke sa uvádza pomyselná hodnota uvádzaná</w:t>
            </w:r>
            <w:r w:rsidR="004E4BE4">
              <w:rPr>
                <w:rFonts w:ascii="Times New Roman" w:hAnsi="Times New Roman"/>
              </w:rPr>
              <w:t xml:space="preserve"> v </w:t>
            </w:r>
            <w:r w:rsidRPr="004E4BE4">
              <w:rPr>
                <w:rFonts w:ascii="Times New Roman" w:hAnsi="Times New Roman"/>
              </w:rPr>
              <w:t>kreditných derivátoch (zabezpečenie predané), ako je uvedená</w:t>
            </w:r>
            <w:r w:rsidR="004E4BE4">
              <w:rPr>
                <w:rFonts w:ascii="Times New Roman" w:hAnsi="Times New Roman"/>
              </w:rPr>
              <w:t xml:space="preserve"> v </w:t>
            </w:r>
            <w:r w:rsidRPr="004E4BE4">
              <w:rPr>
                <w:rFonts w:ascii="Times New Roman" w:hAnsi="Times New Roman"/>
              </w:rPr>
              <w:t>{020; 070}, po znížení</w:t>
            </w:r>
            <w:r w:rsidR="004E4BE4">
              <w:rPr>
                <w:rFonts w:ascii="Times New Roman" w:hAnsi="Times New Roman"/>
              </w:rPr>
              <w:t xml:space="preserve"> o </w:t>
            </w:r>
            <w:r w:rsidRPr="004E4BE4">
              <w:rPr>
                <w:rFonts w:ascii="Times New Roman" w:hAnsi="Times New Roman"/>
              </w:rPr>
              <w:t>prípadné zmeny zápornej reálnej hodnoty, ktoré boli zahrnuté do kapitálu Tier 1</w:t>
            </w:r>
            <w:r w:rsidR="004E4BE4">
              <w:rPr>
                <w:rFonts w:ascii="Times New Roman" w:hAnsi="Times New Roman"/>
              </w:rPr>
              <w:t xml:space="preserve"> s </w:t>
            </w:r>
            <w:r w:rsidRPr="004E4BE4">
              <w:rPr>
                <w:rFonts w:ascii="Times New Roman" w:hAnsi="Times New Roman"/>
              </w:rPr>
              <w:t>ohľadom na vypísaný kreditný derivát.</w:t>
            </w:r>
          </w:p>
          <w:p w:rsidR="00410E47" w:rsidRPr="00040D93" w:rsidRDefault="00410E47" w:rsidP="006B5E42">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{030;050}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podliehajúce ustanoveniu</w:t>
            </w:r>
            <w:r w:rsidR="004E4BE4" w:rsidRPr="00ED4583">
              <w:rPr>
                <w:rFonts w:ascii="Times New Roman" w:hAnsi="Times New Roman"/>
                <w:b/>
              </w:rPr>
              <w:t xml:space="preserve"> o </w:t>
            </w:r>
            <w:r w:rsidRPr="00ED4583">
              <w:rPr>
                <w:rFonts w:ascii="Times New Roman" w:hAnsi="Times New Roman"/>
                <w:b/>
              </w:rPr>
              <w:t>zavretí – dodatočná hodnota podľa metódy oceňovania podľa trhovej hodnoty (bez zohľadnenia vzájomného započítavania alebo iného CRM)</w:t>
            </w:r>
          </w:p>
          <w:p w:rsidR="00410E47" w:rsidRPr="00ED4583" w:rsidRDefault="00410E47" w:rsidP="00406605">
            <w:pPr>
              <w:pStyle w:val="BodyText1"/>
              <w:spacing w:line="240" w:lineRule="auto"/>
              <w:jc w:val="center"/>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299 ods. 2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potenciálna budúca expozícia kreditných derivátov, keď inštitúcia predáva kreditné zabezpečenie protistrane, ktorá podlieha ustanoveniu</w:t>
            </w:r>
            <w:r w:rsidR="004E4BE4">
              <w:rPr>
                <w:rFonts w:ascii="Times New Roman" w:hAnsi="Times New Roman"/>
              </w:rPr>
              <w:t xml:space="preserve"> o </w:t>
            </w:r>
            <w:r w:rsidRPr="004E4BE4">
              <w:rPr>
                <w:rFonts w:ascii="Times New Roman" w:hAnsi="Times New Roman"/>
              </w:rPr>
              <w:t>zavretí, bez zohľadnenia vzájomného započítavania alebo iného CRM. Inštitúcie do tejto bunky nezahŕňajú dodatočnú hodnotu pre kreditné deriváty, keď inštitúcia predáva kreditné zabezpečenie protistrane, ktorá nepodlieha ustanoveniu</w:t>
            </w:r>
            <w:r w:rsidR="004E4BE4">
              <w:rPr>
                <w:rFonts w:ascii="Times New Roman" w:hAnsi="Times New Roman"/>
              </w:rPr>
              <w:t xml:space="preserve"> o </w:t>
            </w:r>
            <w:r w:rsidRPr="004E4BE4">
              <w:rPr>
                <w:rFonts w:ascii="Times New Roman" w:hAnsi="Times New Roman"/>
              </w:rPr>
              <w:t>zavretí. Inštitúcie miesto toho uvádzajú tento údaj v{LR1;040;050}.</w:t>
            </w:r>
          </w:p>
          <w:p w:rsidR="00994DCE" w:rsidRPr="004E4BE4" w:rsidRDefault="00994DCE"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Ustanovenie</w:t>
            </w:r>
            <w:r w:rsidR="004E4BE4">
              <w:rPr>
                <w:rFonts w:ascii="Times New Roman" w:hAnsi="Times New Roman"/>
              </w:rPr>
              <w:t xml:space="preserve"> o </w:t>
            </w:r>
            <w:r w:rsidRPr="004E4BE4">
              <w:rPr>
                <w:rFonts w:ascii="Times New Roman" w:hAnsi="Times New Roman"/>
              </w:rPr>
              <w:t>zavretí sa vymedzuje ako ustanovenie, ktorým sa poskytuje strane, ktorá nezlyhala, právo ukončiť</w:t>
            </w:r>
            <w:r w:rsidR="004E4BE4">
              <w:rPr>
                <w:rFonts w:ascii="Times New Roman" w:hAnsi="Times New Roman"/>
              </w:rPr>
              <w:t xml:space="preserve"> a </w:t>
            </w:r>
            <w:r w:rsidRPr="004E4BE4">
              <w:rPr>
                <w:rFonts w:ascii="Times New Roman" w:hAnsi="Times New Roman"/>
              </w:rPr>
              <w:t>zavrieť včas všetky transakcie podľa tejto dohody</w:t>
            </w:r>
            <w:r w:rsidR="004E4BE4">
              <w:rPr>
                <w:rFonts w:ascii="Times New Roman" w:hAnsi="Times New Roman"/>
              </w:rPr>
              <w:t xml:space="preserve"> v </w:t>
            </w:r>
            <w:r w:rsidRPr="004E4BE4">
              <w:rPr>
                <w:rFonts w:ascii="Times New Roman" w:hAnsi="Times New Roman"/>
              </w:rPr>
              <w:t>prípade zlyhania protistrany,</w:t>
            </w:r>
            <w:r w:rsidR="004E4BE4">
              <w:rPr>
                <w:rFonts w:ascii="Times New Roman" w:hAnsi="Times New Roman"/>
              </w:rPr>
              <w:t xml:space="preserve"> a </w:t>
            </w:r>
            <w:r w:rsidRPr="004E4BE4">
              <w:rPr>
                <w:rFonts w:ascii="Times New Roman" w:hAnsi="Times New Roman"/>
              </w:rPr>
              <w:t>to aj</w:t>
            </w:r>
            <w:r w:rsidR="004E4BE4">
              <w:rPr>
                <w:rFonts w:ascii="Times New Roman" w:hAnsi="Times New Roman"/>
              </w:rPr>
              <w:t xml:space="preserve"> v </w:t>
            </w:r>
            <w:r w:rsidRPr="004E4BE4">
              <w:rPr>
                <w:rFonts w:ascii="Times New Roman" w:hAnsi="Times New Roman"/>
              </w:rPr>
              <w:t>prípade platobnej neschopnosti alebo konkurzu tejto protistrany.</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Inštitúcie zohľadňujú všetky kreditné deriváty, nielen tie, ktoré sú zaradené do obchodnej knihy</w:t>
            </w:r>
            <w:r w:rsidR="004E4BE4" w:rsidRPr="004E4BE4">
              <w:rPr>
                <w:rFonts w:ascii="Times New Roman" w:hAnsi="Times New Roman"/>
              </w:rPr>
              <w:t>.</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1081">
            <w:pPr>
              <w:pStyle w:val="BodyText1"/>
              <w:rPr>
                <w:rFonts w:ascii="Times New Roman" w:hAnsi="Times New Roman"/>
                <w:bCs/>
              </w:rPr>
            </w:pPr>
            <w:r w:rsidRPr="004E4BE4">
              <w:rPr>
                <w:rFonts w:ascii="Times New Roman" w:hAnsi="Times New Roman"/>
              </w:rPr>
              <w:t>{030;070}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podliehajúce ustanoveniu</w:t>
            </w:r>
            <w:r w:rsidR="004E4BE4" w:rsidRPr="00ED4583">
              <w:rPr>
                <w:rFonts w:ascii="Times New Roman" w:hAnsi="Times New Roman"/>
                <w:b/>
              </w:rPr>
              <w:t xml:space="preserve"> o </w:t>
            </w:r>
            <w:r w:rsidRPr="00ED4583">
              <w:rPr>
                <w:rFonts w:ascii="Times New Roman" w:hAnsi="Times New Roman"/>
                <w:b/>
              </w:rPr>
              <w:t>zavretí – pomyselná hodnota</w:t>
            </w:r>
          </w:p>
          <w:p w:rsidR="00410E47" w:rsidRPr="00ED4583" w:rsidRDefault="00410E47" w:rsidP="007E2A41">
            <w:pPr>
              <w:pStyle w:val="BodyText1"/>
              <w:spacing w:line="240" w:lineRule="auto"/>
              <w:rPr>
                <w:rFonts w:ascii="Times New Roman" w:hAnsi="Times New Roman"/>
                <w:b/>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V tejto bunke sa uvádza pomyselná hodnota uvádzaná</w:t>
            </w:r>
            <w:r w:rsidR="004E4BE4">
              <w:rPr>
                <w:rFonts w:ascii="Times New Roman" w:hAnsi="Times New Roman"/>
              </w:rPr>
              <w:t xml:space="preserve"> v </w:t>
            </w:r>
            <w:r w:rsidRPr="004E4BE4">
              <w:rPr>
                <w:rFonts w:ascii="Times New Roman" w:hAnsi="Times New Roman"/>
              </w:rPr>
              <w:t>kreditných derivátoch, keď inštitúcia predáva kreditné zabezpečenie protistrane, ktorá podlieha ustanoveniu</w:t>
            </w:r>
            <w:r w:rsidR="004E4BE4">
              <w:rPr>
                <w:rFonts w:ascii="Times New Roman" w:hAnsi="Times New Roman"/>
              </w:rPr>
              <w:t xml:space="preserve"> o </w:t>
            </w:r>
            <w:r w:rsidRPr="004E4BE4">
              <w:rPr>
                <w:rFonts w:ascii="Times New Roman" w:hAnsi="Times New Roman"/>
              </w:rPr>
              <w:t>zavretí</w:t>
            </w:r>
            <w:r w:rsidR="004E4BE4" w:rsidRPr="004E4BE4">
              <w:rPr>
                <w:rFonts w:ascii="Times New Roman" w:hAnsi="Times New Roman"/>
              </w:rPr>
              <w:t>.</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rPr>
            </w:pPr>
            <w:r w:rsidRPr="004E4BE4">
              <w:rPr>
                <w:rFonts w:ascii="Times New Roman" w:hAnsi="Times New Roman"/>
              </w:rPr>
              <w:t>Ustanovenie</w:t>
            </w:r>
            <w:r w:rsidR="004E4BE4">
              <w:rPr>
                <w:rFonts w:ascii="Times New Roman" w:hAnsi="Times New Roman"/>
              </w:rPr>
              <w:t xml:space="preserve"> o </w:t>
            </w:r>
            <w:r w:rsidRPr="004E4BE4">
              <w:rPr>
                <w:rFonts w:ascii="Times New Roman" w:hAnsi="Times New Roman"/>
              </w:rPr>
              <w:t>zavretí sa vymedzuje ako ustanovenie, ktorým sa poskytuje strane, ktorá nezlyhala, právo ukončiť</w:t>
            </w:r>
            <w:r w:rsidR="004E4BE4">
              <w:rPr>
                <w:rFonts w:ascii="Times New Roman" w:hAnsi="Times New Roman"/>
              </w:rPr>
              <w:t xml:space="preserve"> a </w:t>
            </w:r>
            <w:r w:rsidRPr="004E4BE4">
              <w:rPr>
                <w:rFonts w:ascii="Times New Roman" w:hAnsi="Times New Roman"/>
              </w:rPr>
              <w:t>zavrieť včas všetky transakcie podľa tejto dohody</w:t>
            </w:r>
            <w:r w:rsidR="004E4BE4">
              <w:rPr>
                <w:rFonts w:ascii="Times New Roman" w:hAnsi="Times New Roman"/>
              </w:rPr>
              <w:t xml:space="preserve"> v </w:t>
            </w:r>
            <w:r w:rsidRPr="004E4BE4">
              <w:rPr>
                <w:rFonts w:ascii="Times New Roman" w:hAnsi="Times New Roman"/>
              </w:rPr>
              <w:t>prípade zlyhania protistrany,</w:t>
            </w:r>
            <w:r w:rsidR="004E4BE4">
              <w:rPr>
                <w:rFonts w:ascii="Times New Roman" w:hAnsi="Times New Roman"/>
              </w:rPr>
              <w:t xml:space="preserve"> a </w:t>
            </w:r>
            <w:r w:rsidRPr="004E4BE4">
              <w:rPr>
                <w:rFonts w:ascii="Times New Roman" w:hAnsi="Times New Roman"/>
              </w:rPr>
              <w:t>to aj</w:t>
            </w:r>
            <w:r w:rsidR="004E4BE4">
              <w:rPr>
                <w:rFonts w:ascii="Times New Roman" w:hAnsi="Times New Roman"/>
              </w:rPr>
              <w:t xml:space="preserve"> v </w:t>
            </w:r>
            <w:r w:rsidRPr="004E4BE4">
              <w:rPr>
                <w:rFonts w:ascii="Times New Roman" w:hAnsi="Times New Roman"/>
              </w:rPr>
              <w:t>prípade platobnej neschopnosti alebo konkurzu tejto protistrany.</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Inštitúcie zohľadňujú všetky kreditné deriváty, nielen tie, ktoré sú zaradené do obchodnej knihy</w:t>
            </w:r>
            <w:r w:rsidR="004E4BE4" w:rsidRPr="004E4BE4">
              <w:rPr>
                <w:rFonts w:ascii="Times New Roman" w:hAnsi="Times New Roman"/>
              </w:rPr>
              <w:t>.</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{040;050}</w:t>
            </w:r>
          </w:p>
          <w:p w:rsidR="00410E47" w:rsidRPr="004E4BE4" w:rsidRDefault="00410E47" w:rsidP="00F4754B">
            <w:pPr>
              <w:pStyle w:val="BodyText1"/>
              <w:rPr>
                <w:rFonts w:ascii="Times New Roman" w:hAnsi="Times New Roman"/>
                <w:bCs/>
              </w:rPr>
            </w:pP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nepodliehajúce ustanoveniu</w:t>
            </w:r>
            <w:r w:rsidR="004E4BE4" w:rsidRPr="00ED4583">
              <w:rPr>
                <w:rFonts w:ascii="Times New Roman" w:hAnsi="Times New Roman"/>
                <w:b/>
              </w:rPr>
              <w:t xml:space="preserve"> o </w:t>
            </w:r>
            <w:r w:rsidRPr="00ED4583">
              <w:rPr>
                <w:rFonts w:ascii="Times New Roman" w:hAnsi="Times New Roman"/>
                <w:b/>
              </w:rPr>
              <w:t>zavretí – dodatočná hodnota podľa metódy oceňovania podľa trhovej hodnoty (bez zohľadnenia vzájomného započítavania alebo iného CRM)</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299 ods. 2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tabs>
                <w:tab w:val="center" w:pos="4153"/>
                <w:tab w:val="right" w:pos="8306"/>
              </w:tabs>
              <w:spacing w:line="240" w:lineRule="auto"/>
              <w:rPr>
                <w:rFonts w:ascii="Times New Roman" w:hAnsi="Times New Roman"/>
                <w:bCs/>
              </w:rPr>
            </w:pPr>
            <w:r w:rsidRPr="004E4BE4">
              <w:rPr>
                <w:rFonts w:ascii="Times New Roman" w:hAnsi="Times New Roman"/>
              </w:rPr>
              <w:t xml:space="preserve">V tejto bunke sa uvádza potenciálna budúca expozícia kreditných derivátov, keď inštitúcia predáva kreditné zabezpečenie protistrane, ktorá </w:t>
            </w:r>
            <w:r w:rsidRPr="00040D93">
              <w:rPr>
                <w:rFonts w:ascii="Times New Roman" w:hAnsi="Times New Roman"/>
                <w:b/>
                <w:u w:val="single"/>
              </w:rPr>
              <w:t>nepodlieha</w:t>
            </w:r>
            <w:r w:rsidRPr="004E4BE4">
              <w:rPr>
                <w:rFonts w:ascii="Times New Roman" w:hAnsi="Times New Roman"/>
              </w:rPr>
              <w:t xml:space="preserve"> ustanoveniu</w:t>
            </w:r>
            <w:r w:rsidR="004E4BE4">
              <w:rPr>
                <w:rFonts w:ascii="Times New Roman" w:hAnsi="Times New Roman"/>
              </w:rPr>
              <w:t xml:space="preserve"> o </w:t>
            </w:r>
            <w:r w:rsidRPr="004E4BE4">
              <w:rPr>
                <w:rFonts w:ascii="Times New Roman" w:hAnsi="Times New Roman"/>
              </w:rPr>
              <w:t>zavretí, bez zohľadnenia vzájomného započítavania alebo iného CRM.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rPr>
            </w:pPr>
            <w:r w:rsidRPr="004E4BE4">
              <w:rPr>
                <w:rFonts w:ascii="Times New Roman" w:hAnsi="Times New Roman"/>
              </w:rPr>
              <w:t>Ustanovenie</w:t>
            </w:r>
            <w:r w:rsidR="004E4BE4">
              <w:rPr>
                <w:rFonts w:ascii="Times New Roman" w:hAnsi="Times New Roman"/>
              </w:rPr>
              <w:t xml:space="preserve"> o </w:t>
            </w:r>
            <w:r w:rsidRPr="004E4BE4">
              <w:rPr>
                <w:rFonts w:ascii="Times New Roman" w:hAnsi="Times New Roman"/>
              </w:rPr>
              <w:t>zavretí sa vymedzuje ako ustanovenie, ktorým sa poskytuje strane, ktorá nezlyhala, právo ukončiť</w:t>
            </w:r>
            <w:r w:rsidR="004E4BE4">
              <w:rPr>
                <w:rFonts w:ascii="Times New Roman" w:hAnsi="Times New Roman"/>
              </w:rPr>
              <w:t xml:space="preserve"> a </w:t>
            </w:r>
            <w:r w:rsidRPr="004E4BE4">
              <w:rPr>
                <w:rFonts w:ascii="Times New Roman" w:hAnsi="Times New Roman"/>
              </w:rPr>
              <w:t>zavrieť včas všetky transakcie podľa tejto dohody</w:t>
            </w:r>
            <w:r w:rsidR="004E4BE4">
              <w:rPr>
                <w:rFonts w:ascii="Times New Roman" w:hAnsi="Times New Roman"/>
              </w:rPr>
              <w:t xml:space="preserve"> v </w:t>
            </w:r>
            <w:r w:rsidRPr="004E4BE4">
              <w:rPr>
                <w:rFonts w:ascii="Times New Roman" w:hAnsi="Times New Roman"/>
              </w:rPr>
              <w:t>prípade zlyhania protistrany,</w:t>
            </w:r>
            <w:r w:rsidR="004E4BE4">
              <w:rPr>
                <w:rFonts w:ascii="Times New Roman" w:hAnsi="Times New Roman"/>
              </w:rPr>
              <w:t xml:space="preserve"> a </w:t>
            </w:r>
            <w:r w:rsidRPr="004E4BE4">
              <w:rPr>
                <w:rFonts w:ascii="Times New Roman" w:hAnsi="Times New Roman"/>
              </w:rPr>
              <w:t>to aj</w:t>
            </w:r>
            <w:r w:rsidR="004E4BE4">
              <w:rPr>
                <w:rFonts w:ascii="Times New Roman" w:hAnsi="Times New Roman"/>
              </w:rPr>
              <w:t xml:space="preserve"> v </w:t>
            </w:r>
            <w:r w:rsidRPr="004E4BE4">
              <w:rPr>
                <w:rFonts w:ascii="Times New Roman" w:hAnsi="Times New Roman"/>
              </w:rPr>
              <w:t>prípade platobnej neschopnosti alebo konkurzu tejto protistrany.</w:t>
            </w:r>
          </w:p>
          <w:p w:rsidR="00410E47" w:rsidRPr="00ED4583" w:rsidRDefault="00410E47" w:rsidP="007E2A41">
            <w:pPr>
              <w:pStyle w:val="BodyText1"/>
              <w:spacing w:line="240" w:lineRule="auto"/>
              <w:rPr>
                <w:rFonts w:ascii="Times New Roman" w:hAnsi="Times New Roman"/>
                <w:b/>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Inštitúcie zohľadňujú všetky kreditné deriváty, nielen tie, ktoré sú zaradené do obchodnej knihy</w:t>
            </w:r>
            <w:r w:rsidR="004E4BE4" w:rsidRPr="004E4BE4">
              <w:rPr>
                <w:rFonts w:ascii="Times New Roman" w:hAnsi="Times New Roman"/>
              </w:rPr>
              <w:t>.</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{040;070}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predané) nepodliehajúce ustanoveniu</w:t>
            </w:r>
            <w:r w:rsidR="004E4BE4" w:rsidRPr="00ED4583">
              <w:rPr>
                <w:rFonts w:ascii="Times New Roman" w:hAnsi="Times New Roman"/>
                <w:b/>
              </w:rPr>
              <w:t xml:space="preserve"> o </w:t>
            </w:r>
            <w:r w:rsidRPr="00ED4583">
              <w:rPr>
                <w:rFonts w:ascii="Times New Roman" w:hAnsi="Times New Roman"/>
                <w:b/>
              </w:rPr>
              <w:t>zavretí – pomyselná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rPr>
            </w:pPr>
            <w:r w:rsidRPr="004E4BE4">
              <w:rPr>
                <w:rFonts w:ascii="Times New Roman" w:hAnsi="Times New Roman"/>
              </w:rPr>
              <w:t>V tejto bunke sa uvádza pomyselná hodnota uvádzaná</w:t>
            </w:r>
            <w:r w:rsidR="004E4BE4">
              <w:rPr>
                <w:rFonts w:ascii="Times New Roman" w:hAnsi="Times New Roman"/>
              </w:rPr>
              <w:t xml:space="preserve"> v </w:t>
            </w:r>
            <w:r w:rsidRPr="004E4BE4">
              <w:rPr>
                <w:rFonts w:ascii="Times New Roman" w:hAnsi="Times New Roman"/>
              </w:rPr>
              <w:t xml:space="preserve">kreditných derivátoch, keď inštitúcia predáva kreditné zabezpečenie protistrane, ktorá </w:t>
            </w:r>
            <w:r w:rsidRPr="00040D93">
              <w:rPr>
                <w:rFonts w:ascii="Times New Roman" w:hAnsi="Times New Roman"/>
                <w:b/>
                <w:u w:val="single"/>
              </w:rPr>
              <w:t>nepodlieha</w:t>
            </w:r>
            <w:r w:rsidRPr="004E4BE4">
              <w:rPr>
                <w:rFonts w:ascii="Times New Roman" w:hAnsi="Times New Roman"/>
              </w:rPr>
              <w:t xml:space="preserve"> „ustanoveniu</w:t>
            </w:r>
            <w:r w:rsidR="004E4BE4">
              <w:rPr>
                <w:rFonts w:ascii="Times New Roman" w:hAnsi="Times New Roman"/>
              </w:rPr>
              <w:t xml:space="preserve"> o </w:t>
            </w:r>
            <w:r w:rsidRPr="004E4BE4">
              <w:rPr>
                <w:rFonts w:ascii="Times New Roman" w:hAnsi="Times New Roman"/>
              </w:rPr>
              <w:t>zavretí“.</w:t>
            </w:r>
          </w:p>
          <w:p w:rsidR="00410E47" w:rsidRPr="004E4BE4" w:rsidRDefault="00410E47" w:rsidP="007E2A41">
            <w:pPr>
              <w:pStyle w:val="BodyText1"/>
              <w:spacing w:line="240" w:lineRule="auto"/>
              <w:rPr>
                <w:rFonts w:ascii="Times New Roman" w:hAnsi="Times New Roman"/>
              </w:rPr>
            </w:pPr>
          </w:p>
          <w:p w:rsidR="00410E47" w:rsidRPr="004E4BE4" w:rsidRDefault="00410E47" w:rsidP="007E2A41">
            <w:pPr>
              <w:pStyle w:val="BodyText1"/>
              <w:spacing w:line="240" w:lineRule="auto"/>
              <w:rPr>
                <w:rFonts w:ascii="Times New Roman" w:hAnsi="Times New Roman"/>
              </w:rPr>
            </w:pPr>
            <w:r w:rsidRPr="004E4BE4">
              <w:rPr>
                <w:rFonts w:ascii="Times New Roman" w:hAnsi="Times New Roman"/>
              </w:rPr>
              <w:t>Ustanovenie</w:t>
            </w:r>
            <w:r w:rsidR="004E4BE4">
              <w:rPr>
                <w:rFonts w:ascii="Times New Roman" w:hAnsi="Times New Roman"/>
              </w:rPr>
              <w:t xml:space="preserve"> o </w:t>
            </w:r>
            <w:r w:rsidRPr="004E4BE4">
              <w:rPr>
                <w:rFonts w:ascii="Times New Roman" w:hAnsi="Times New Roman"/>
              </w:rPr>
              <w:t>zavretí sa vymedzuje ako ustanovenie, ktorým sa poskytuje strane, ktorá nezlyhala, právo ukončiť</w:t>
            </w:r>
            <w:r w:rsidR="004E4BE4">
              <w:rPr>
                <w:rFonts w:ascii="Times New Roman" w:hAnsi="Times New Roman"/>
              </w:rPr>
              <w:t xml:space="preserve"> a </w:t>
            </w:r>
            <w:r w:rsidRPr="004E4BE4">
              <w:rPr>
                <w:rFonts w:ascii="Times New Roman" w:hAnsi="Times New Roman"/>
              </w:rPr>
              <w:t>zavrieť včas všetky transakcie podľa tejto dohody</w:t>
            </w:r>
            <w:r w:rsidR="004E4BE4">
              <w:rPr>
                <w:rFonts w:ascii="Times New Roman" w:hAnsi="Times New Roman"/>
              </w:rPr>
              <w:t xml:space="preserve"> v </w:t>
            </w:r>
            <w:r w:rsidRPr="004E4BE4">
              <w:rPr>
                <w:rFonts w:ascii="Times New Roman" w:hAnsi="Times New Roman"/>
              </w:rPr>
              <w:t>prípade zlyhania protistrany,</w:t>
            </w:r>
            <w:r w:rsidR="004E4BE4">
              <w:rPr>
                <w:rFonts w:ascii="Times New Roman" w:hAnsi="Times New Roman"/>
              </w:rPr>
              <w:t xml:space="preserve"> a </w:t>
            </w:r>
            <w:r w:rsidRPr="004E4BE4">
              <w:rPr>
                <w:rFonts w:ascii="Times New Roman" w:hAnsi="Times New Roman"/>
              </w:rPr>
              <w:t>to aj</w:t>
            </w:r>
            <w:r w:rsidR="004E4BE4">
              <w:rPr>
                <w:rFonts w:ascii="Times New Roman" w:hAnsi="Times New Roman"/>
              </w:rPr>
              <w:t xml:space="preserve"> v </w:t>
            </w:r>
            <w:r w:rsidRPr="004E4BE4">
              <w:rPr>
                <w:rFonts w:ascii="Times New Roman" w:hAnsi="Times New Roman"/>
              </w:rPr>
              <w:t>prípade platobnej neschopnosti alebo konkurzu tejto protistrany.</w:t>
            </w:r>
          </w:p>
          <w:p w:rsidR="00410E47" w:rsidRPr="004E4BE4" w:rsidRDefault="00410E47" w:rsidP="007E2A41">
            <w:pPr>
              <w:pStyle w:val="BodyText1"/>
              <w:spacing w:line="240" w:lineRule="auto"/>
              <w:rPr>
                <w:rFonts w:ascii="Times New Roman" w:hAnsi="Times New Roman"/>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zohľadňujú všetky kreditné deriváty, nielen tie, ktoré sú zaradené do obchodnej knihy.</w:t>
            </w:r>
          </w:p>
          <w:p w:rsidR="00410E47" w:rsidRPr="00040D93" w:rsidRDefault="00410E47" w:rsidP="007E2A41">
            <w:pPr>
              <w:pStyle w:val="BodyText1"/>
              <w:spacing w:line="240" w:lineRule="auto"/>
              <w:rPr>
                <w:rFonts w:ascii="Times New Roman" w:hAnsi="Times New Roman"/>
                <w:b/>
                <w:bCs/>
                <w:u w:val="single"/>
              </w:rPr>
            </w:pPr>
            <w:r w:rsidRPr="00040D93">
              <w:rPr>
                <w:rFonts w:ascii="Times New Roman" w:hAnsi="Times New Roman"/>
                <w:b/>
                <w:u w:val="single"/>
              </w:rPr>
              <w:t xml:space="preserve"> </w:t>
            </w: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{050;010}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kúpené) – účtovná hodnota</w:t>
            </w:r>
            <w:r w:rsidR="004E4BE4" w:rsidRPr="00ED4583">
              <w:rPr>
                <w:rFonts w:ascii="Times New Roman" w:hAnsi="Times New Roman"/>
                <w:b/>
              </w:rPr>
              <w:t xml:space="preserve"> v </w:t>
            </w:r>
            <w:r w:rsidRPr="00ED4583">
              <w:rPr>
                <w:rFonts w:ascii="Times New Roman" w:hAnsi="Times New Roman"/>
                <w:b/>
              </w:rPr>
              <w:t>súvahe</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kreditných derivátov, keď inštitúcia kupuje kreditné zabezpečenie od protistrany</w:t>
            </w:r>
            <w:r w:rsidR="004E4BE4">
              <w:rPr>
                <w:rFonts w:ascii="Times New Roman" w:hAnsi="Times New Roman"/>
              </w:rPr>
              <w:t xml:space="preserve"> a </w:t>
            </w:r>
            <w:r w:rsidRPr="004E4BE4">
              <w:rPr>
                <w:rFonts w:ascii="Times New Roman" w:hAnsi="Times New Roman"/>
              </w:rPr>
              <w:t>zmluva je vykázaná</w:t>
            </w:r>
            <w:r w:rsidR="004E4BE4">
              <w:rPr>
                <w:rFonts w:ascii="Times New Roman" w:hAnsi="Times New Roman"/>
              </w:rPr>
              <w:t xml:space="preserve"> v </w:t>
            </w:r>
            <w:r w:rsidRPr="004E4BE4">
              <w:rPr>
                <w:rFonts w:ascii="Times New Roman" w:hAnsi="Times New Roman"/>
              </w:rPr>
              <w:t>súvahe ako aktívum.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zohľadňujú všetky kreditné deriváty, nielen tie, ktoré sú zaradené do obchodnej knihy.</w:t>
            </w:r>
          </w:p>
          <w:p w:rsidR="00410E47" w:rsidRPr="00040D93" w:rsidRDefault="00410E47" w:rsidP="007E2A41">
            <w:pPr>
              <w:pStyle w:val="BodyText1"/>
              <w:spacing w:line="240" w:lineRule="auto"/>
              <w:rPr>
                <w:rFonts w:ascii="Times New Roman" w:hAnsi="Times New Roman"/>
                <w:b/>
                <w:bCs/>
                <w:u w:val="single"/>
              </w:rPr>
            </w:pPr>
            <w:r w:rsidRPr="00040D93">
              <w:rPr>
                <w:rFonts w:ascii="Times New Roman" w:hAnsi="Times New Roman"/>
                <w:b/>
                <w:u w:val="single"/>
              </w:rPr>
              <w:t xml:space="preserve"> </w:t>
            </w: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{050;020}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kúpené) – účtovná hodnota bez zohľadnenia vzájomného započítavania alebo iného CRM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kreditných derivátov, keď inštitúcia kupuje kreditné zabezpečenie od protistrany</w:t>
            </w:r>
            <w:r w:rsidR="004E4BE4">
              <w:rPr>
                <w:rFonts w:ascii="Times New Roman" w:hAnsi="Times New Roman"/>
              </w:rPr>
              <w:t xml:space="preserve"> a </w:t>
            </w:r>
            <w:r w:rsidRPr="004E4BE4">
              <w:rPr>
                <w:rFonts w:ascii="Times New Roman" w:hAnsi="Times New Roman"/>
              </w:rPr>
              <w:t>zmluva je vykázaná</w:t>
            </w:r>
            <w:r w:rsidR="004E4BE4">
              <w:rPr>
                <w:rFonts w:ascii="Times New Roman" w:hAnsi="Times New Roman"/>
              </w:rPr>
              <w:t xml:space="preserve"> v </w:t>
            </w:r>
            <w:r w:rsidRPr="004E4BE4">
              <w:rPr>
                <w:rFonts w:ascii="Times New Roman" w:hAnsi="Times New Roman"/>
              </w:rPr>
              <w:t>súvahe ako aktívum, bez zohľadnenia účinkov prudenciálneho alebo účtovného vzájomného započítavania alebo CRM (t. j. stornujú sa všetky účinky účtovného vzájomného započítavania alebo CRM, ktoré ovplyvnili účtovnú hodnotu).</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zohľadňujú všetky kreditné deriváty, nielen tie, ktoré sú zaradené do obchodnej knihy.</w:t>
            </w:r>
          </w:p>
          <w:p w:rsidR="00410E47" w:rsidRPr="00040D93" w:rsidRDefault="00410E47" w:rsidP="007E2A41">
            <w:pPr>
              <w:pStyle w:val="BodyText1"/>
              <w:spacing w:line="240" w:lineRule="auto"/>
              <w:rPr>
                <w:rFonts w:ascii="Times New Roman" w:hAnsi="Times New Roman"/>
                <w:b/>
                <w:bCs/>
                <w:u w:val="single"/>
              </w:rPr>
            </w:pPr>
            <w:r w:rsidRPr="00040D93">
              <w:rPr>
                <w:rFonts w:ascii="Times New Roman" w:hAnsi="Times New Roman"/>
                <w:b/>
                <w:u w:val="single"/>
              </w:rPr>
              <w:t xml:space="preserve"> </w:t>
            </w: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{050;050}</w:t>
            </w:r>
          </w:p>
          <w:p w:rsidR="00410E47" w:rsidRPr="004E4BE4" w:rsidRDefault="00410E47" w:rsidP="00F4754B">
            <w:pPr>
              <w:pStyle w:val="BodyText1"/>
              <w:rPr>
                <w:rFonts w:ascii="Times New Roman" w:hAnsi="Times New Roman"/>
                <w:bCs/>
              </w:rPr>
            </w:pP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kúpené) – dodatočná hodnota podľa metódy oceňovania podľa trhovej hodnoty (bez zohľadnenia vzájomného započítavania alebo iného CRM)</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299 ods. 2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potenciálna budúca expozícia kreditných derivátov, keď inštitúcia kupuje kreditné zabezpečenie od protistrany, bez zohľadnenia vzájomného započítavania alebo iného CRM.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zohľadňujú všetky kreditné deriváty, nielen tie, ktoré sú zaradené do obchodnej knihy.</w:t>
            </w:r>
          </w:p>
          <w:p w:rsidR="00410E47" w:rsidRPr="00040D93" w:rsidRDefault="00410E47" w:rsidP="007E2A41">
            <w:pPr>
              <w:pStyle w:val="BodyText1"/>
              <w:spacing w:line="240" w:lineRule="auto"/>
              <w:rPr>
                <w:rFonts w:ascii="Times New Roman" w:hAnsi="Times New Roman"/>
                <w:b/>
                <w:bCs/>
                <w:u w:val="single"/>
              </w:rPr>
            </w:pPr>
            <w:r w:rsidRPr="00040D93">
              <w:rPr>
                <w:rFonts w:ascii="Times New Roman" w:hAnsi="Times New Roman"/>
                <w:b/>
                <w:u w:val="single"/>
              </w:rPr>
              <w:t xml:space="preserve"> </w:t>
            </w: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{050;070}</w:t>
            </w:r>
          </w:p>
          <w:p w:rsidR="00410E47" w:rsidRPr="004E4BE4" w:rsidRDefault="00410E47" w:rsidP="00F4754B">
            <w:pPr>
              <w:pStyle w:val="BodyText1"/>
              <w:rPr>
                <w:rFonts w:ascii="Times New Roman" w:hAnsi="Times New Roman"/>
                <w:bCs/>
              </w:rPr>
            </w:pP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kúpené) – pomyselná hodnota</w:t>
            </w:r>
          </w:p>
          <w:p w:rsidR="00410E47" w:rsidRPr="00ED4583" w:rsidRDefault="00410E47" w:rsidP="007E2A41">
            <w:pPr>
              <w:pStyle w:val="BodyText1"/>
              <w:spacing w:line="240" w:lineRule="auto"/>
              <w:rPr>
                <w:rFonts w:ascii="Times New Roman" w:hAnsi="Times New Roman"/>
                <w:b/>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V tejto bunke sa uvádza pomyselná hodnota uvádzaná</w:t>
            </w:r>
            <w:r w:rsidR="004E4BE4">
              <w:rPr>
                <w:rFonts w:ascii="Times New Roman" w:hAnsi="Times New Roman"/>
              </w:rPr>
              <w:t xml:space="preserve"> v </w:t>
            </w:r>
            <w:r w:rsidRPr="004E4BE4">
              <w:rPr>
                <w:rFonts w:ascii="Times New Roman" w:hAnsi="Times New Roman"/>
              </w:rPr>
              <w:t>kreditných derivátoch, keď inštitúcia kupuje kreditné zabezpečenie od protistrany</w:t>
            </w:r>
            <w:r w:rsidR="004E4BE4" w:rsidRPr="004E4BE4">
              <w:rPr>
                <w:rFonts w:ascii="Times New Roman" w:hAnsi="Times New Roman"/>
              </w:rPr>
              <w:t>.</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zohľadňujú všetky kreditné deriváty, nielen tie, ktoré sú zaradené do obchodnej knihy.</w:t>
            </w:r>
          </w:p>
          <w:p w:rsidR="00410E47" w:rsidRPr="00040D93" w:rsidRDefault="00410E47" w:rsidP="007E2A41">
            <w:pPr>
              <w:pStyle w:val="BodyText1"/>
              <w:spacing w:line="240" w:lineRule="auto"/>
              <w:rPr>
                <w:rFonts w:ascii="Times New Roman" w:hAnsi="Times New Roman"/>
                <w:b/>
                <w:bCs/>
                <w:u w:val="single"/>
              </w:rPr>
            </w:pPr>
            <w:r w:rsidRPr="00040D93">
              <w:rPr>
                <w:rFonts w:ascii="Times New Roman" w:hAnsi="Times New Roman"/>
                <w:b/>
                <w:u w:val="single"/>
              </w:rPr>
              <w:t xml:space="preserve"> </w:t>
            </w:r>
          </w:p>
        </w:tc>
      </w:tr>
      <w:tr w:rsidR="00410E47" w:rsidRPr="004E4BE4" w:rsidTr="00FC2664">
        <w:tc>
          <w:tcPr>
            <w:tcW w:w="1418" w:type="dxa"/>
          </w:tcPr>
          <w:p w:rsidR="00410E47" w:rsidRPr="004E4BE4" w:rsidRDefault="00410E47" w:rsidP="00F71081">
            <w:pPr>
              <w:pStyle w:val="BodyText1"/>
              <w:rPr>
                <w:rFonts w:ascii="Times New Roman" w:hAnsi="Times New Roman"/>
                <w:bCs/>
              </w:rPr>
            </w:pPr>
            <w:r w:rsidRPr="004E4BE4">
              <w:rPr>
                <w:rFonts w:ascii="Times New Roman" w:hAnsi="Times New Roman"/>
              </w:rPr>
              <w:t>{050;075}</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Kreditné deriváty (zabezpečenie kúpené) – zhora ohraničená pomyselná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410E47">
            <w:pPr>
              <w:pStyle w:val="BodyText1"/>
              <w:spacing w:line="240" w:lineRule="auto"/>
              <w:rPr>
                <w:rFonts w:ascii="Times New Roman" w:hAnsi="Times New Roman"/>
                <w:bCs/>
              </w:rPr>
            </w:pPr>
            <w:r w:rsidRPr="004E4BE4">
              <w:rPr>
                <w:rFonts w:ascii="Times New Roman" w:hAnsi="Times New Roman"/>
              </w:rPr>
              <w:t>V tejto bunke sa uvádza pomyselná hodnota uvádzaná</w:t>
            </w:r>
            <w:r w:rsidR="004E4BE4">
              <w:rPr>
                <w:rFonts w:ascii="Times New Roman" w:hAnsi="Times New Roman"/>
              </w:rPr>
              <w:t xml:space="preserve"> v </w:t>
            </w:r>
            <w:r w:rsidRPr="004E4BE4">
              <w:rPr>
                <w:rFonts w:ascii="Times New Roman" w:hAnsi="Times New Roman"/>
              </w:rPr>
              <w:t>kreditných derivátoch (zabezpečenie kúpené), ako je uvedená</w:t>
            </w:r>
            <w:r w:rsidR="004E4BE4">
              <w:rPr>
                <w:rFonts w:ascii="Times New Roman" w:hAnsi="Times New Roman"/>
              </w:rPr>
              <w:t xml:space="preserve"> v </w:t>
            </w:r>
            <w:r w:rsidRPr="004E4BE4">
              <w:rPr>
                <w:rFonts w:ascii="Times New Roman" w:hAnsi="Times New Roman"/>
              </w:rPr>
              <w:t>{050;050}, po znížení</w:t>
            </w:r>
            <w:r w:rsidR="004E4BE4">
              <w:rPr>
                <w:rFonts w:ascii="Times New Roman" w:hAnsi="Times New Roman"/>
              </w:rPr>
              <w:t xml:space="preserve"> o </w:t>
            </w:r>
            <w:r w:rsidRPr="004E4BE4">
              <w:rPr>
                <w:rFonts w:ascii="Times New Roman" w:hAnsi="Times New Roman"/>
              </w:rPr>
              <w:t>prípadné zmeny kladnej reálnej hodnoty, ktoré boli zahrnuté do kapitálu Tier 1</w:t>
            </w:r>
            <w:r w:rsidR="004E4BE4">
              <w:rPr>
                <w:rFonts w:ascii="Times New Roman" w:hAnsi="Times New Roman"/>
              </w:rPr>
              <w:t xml:space="preserve"> s </w:t>
            </w:r>
            <w:r w:rsidRPr="004E4BE4">
              <w:rPr>
                <w:rFonts w:ascii="Times New Roman" w:hAnsi="Times New Roman"/>
              </w:rPr>
              <w:t>ohľadom na kúpený kreditný derivát.</w:t>
            </w:r>
          </w:p>
          <w:p w:rsidR="00410E47" w:rsidRPr="00ED4583" w:rsidRDefault="00410E47" w:rsidP="007E2A41">
            <w:pPr>
              <w:pStyle w:val="BodyText1"/>
              <w:spacing w:line="240" w:lineRule="auto"/>
              <w:rPr>
                <w:rFonts w:ascii="Times New Roman" w:hAnsi="Times New Roman"/>
                <w:b/>
                <w:bCs/>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{050;085}</w:t>
            </w:r>
          </w:p>
          <w:p w:rsidR="00410E47" w:rsidRPr="004E4BE4" w:rsidRDefault="00410E47" w:rsidP="00F4754B">
            <w:pPr>
              <w:pStyle w:val="BodyText1"/>
              <w:rPr>
                <w:rFonts w:ascii="Times New Roman" w:hAnsi="Times New Roman"/>
                <w:bCs/>
              </w:rPr>
            </w:pPr>
          </w:p>
        </w:tc>
        <w:tc>
          <w:tcPr>
            <w:tcW w:w="7620" w:type="dxa"/>
          </w:tcPr>
          <w:p w:rsidR="00410E47" w:rsidRPr="00ED4583" w:rsidRDefault="00ED7412" w:rsidP="007E2A41">
            <w:pPr>
              <w:pStyle w:val="BodyText1"/>
              <w:spacing w:line="240" w:lineRule="auto"/>
              <w:rPr>
                <w:rFonts w:ascii="Times New Roman" w:hAnsi="Times New Roman"/>
                <w:b/>
                <w:bCs/>
              </w:rPr>
            </w:pPr>
            <w:r w:rsidRPr="00ED4583">
              <w:rPr>
                <w:rFonts w:ascii="Times New Roman" w:hAnsi="Times New Roman"/>
                <w:b/>
              </w:rPr>
              <w:t>Kreditné deriváty (zabezpečenie kúpené) – zhora ohraničená pomyselná hodnota (rovnaký referenčný názov)</w:t>
            </w:r>
          </w:p>
          <w:p w:rsidR="00410E47" w:rsidRPr="00040D93" w:rsidRDefault="00410E47" w:rsidP="007E2A41">
            <w:pPr>
              <w:pStyle w:val="BodyText1"/>
              <w:spacing w:line="240" w:lineRule="auto"/>
              <w:rPr>
                <w:rFonts w:ascii="Times New Roman" w:hAnsi="Times New Roman"/>
                <w:b/>
                <w:bCs/>
                <w:u w:val="single"/>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Pomyselná hodnota uvádzaná</w:t>
            </w:r>
            <w:r w:rsidR="004E4BE4">
              <w:rPr>
                <w:rFonts w:ascii="Times New Roman" w:hAnsi="Times New Roman"/>
              </w:rPr>
              <w:t xml:space="preserve"> v </w:t>
            </w:r>
            <w:r w:rsidRPr="004E4BE4">
              <w:rPr>
                <w:rFonts w:ascii="Times New Roman" w:hAnsi="Times New Roman"/>
              </w:rPr>
              <w:t>kreditných derivátoch, keď inštitúcia kupuje kreditné zabezpečenie na rovnaký podkladový referenčný názov ako</w:t>
            </w:r>
            <w:r w:rsidR="004E4BE4">
              <w:rPr>
                <w:rFonts w:ascii="Times New Roman" w:hAnsi="Times New Roman"/>
              </w:rPr>
              <w:t xml:space="preserve"> v </w:t>
            </w:r>
            <w:r w:rsidRPr="004E4BE4">
              <w:rPr>
                <w:rFonts w:ascii="Times New Roman" w:hAnsi="Times New Roman"/>
              </w:rPr>
              <w:t>prípade kreditných derivátov vypísaných vykazujúcou inštitúciou.</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Na účely vykazovania hodnoty tejto bunky sa podkladové referenčné názvy považujú za rovnaké, ak sa vzťahujú na rovnaký právny subjekt</w:t>
            </w:r>
            <w:r w:rsidR="004E4BE4">
              <w:rPr>
                <w:rFonts w:ascii="Times New Roman" w:hAnsi="Times New Roman"/>
              </w:rPr>
              <w:t xml:space="preserve"> a </w:t>
            </w:r>
            <w:r w:rsidRPr="004E4BE4">
              <w:rPr>
                <w:rFonts w:ascii="Times New Roman" w:hAnsi="Times New Roman"/>
              </w:rPr>
              <w:t>úroveň nadriadenosti</w:t>
            </w:r>
            <w:r w:rsidR="004E4BE4" w:rsidRPr="004E4BE4">
              <w:rPr>
                <w:rFonts w:ascii="Times New Roman" w:hAnsi="Times New Roman"/>
              </w:rPr>
              <w:t>.</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Kreditné zabezpečenie kúpené na skupinu referenčných subjektov sa považuje za rovnaké, ak toto zabezpečenie je ekonomicky rovnocenné kupovaniu zabezpečenia samostatne na každý</w:t>
            </w:r>
            <w:r w:rsidR="004E4BE4">
              <w:rPr>
                <w:rFonts w:ascii="Times New Roman" w:hAnsi="Times New Roman"/>
              </w:rPr>
              <w:t xml:space="preserve"> z </w:t>
            </w:r>
            <w:r w:rsidRPr="004E4BE4">
              <w:rPr>
                <w:rFonts w:ascii="Times New Roman" w:hAnsi="Times New Roman"/>
              </w:rPr>
              <w:t>jednotlivých názvov</w:t>
            </w:r>
            <w:r w:rsidR="004E4BE4">
              <w:rPr>
                <w:rFonts w:ascii="Times New Roman" w:hAnsi="Times New Roman"/>
              </w:rPr>
              <w:t xml:space="preserve"> v </w:t>
            </w:r>
            <w:r w:rsidRPr="004E4BE4">
              <w:rPr>
                <w:rFonts w:ascii="Times New Roman" w:hAnsi="Times New Roman"/>
              </w:rPr>
              <w:t>skupine.</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Ak inštitúcia kupuje kreditné zabezpečenie na skupinu referenčných názvov, toto kreditné zabezpečenie sa považuje za rovnaké len</w:t>
            </w:r>
            <w:r w:rsidR="004E4BE4">
              <w:rPr>
                <w:rFonts w:ascii="Times New Roman" w:hAnsi="Times New Roman"/>
              </w:rPr>
              <w:t xml:space="preserve"> v </w:t>
            </w:r>
            <w:r w:rsidRPr="004E4BE4">
              <w:rPr>
                <w:rFonts w:ascii="Times New Roman" w:hAnsi="Times New Roman"/>
              </w:rPr>
              <w:t>prípade, ak kúpené kreditné zabezpečenie kryje všetky podsúbory skupiny, na ktorú bolo kreditné zabezpečenie predané. Inými slovami, kompenzácia môže byť vykázaná len vtedy, keď je skupina referenčných subjektov</w:t>
            </w:r>
            <w:r w:rsidR="004E4BE4">
              <w:rPr>
                <w:rFonts w:ascii="Times New Roman" w:hAnsi="Times New Roman"/>
              </w:rPr>
              <w:t xml:space="preserve"> a </w:t>
            </w:r>
            <w:r w:rsidRPr="004E4BE4">
              <w:rPr>
                <w:rFonts w:ascii="Times New Roman" w:hAnsi="Times New Roman"/>
              </w:rPr>
              <w:t>úroveň podriadenosti pri oboch transakciách totožná</w:t>
            </w:r>
            <w:r w:rsidR="004E4BE4" w:rsidRPr="004E4BE4">
              <w:rPr>
                <w:rFonts w:ascii="Times New Roman" w:hAnsi="Times New Roman"/>
              </w:rPr>
              <w:t>.</w:t>
            </w:r>
          </w:p>
          <w:p w:rsidR="006B3B83" w:rsidRPr="004E4BE4" w:rsidRDefault="006B3B83"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prípade žiadneho referenčného názvu nesmú pomyselné hodnoty kúpeného kreditného zabezpečenia, ktoré sú zohľadnené</w:t>
            </w:r>
            <w:r w:rsidR="004E4BE4">
              <w:rPr>
                <w:rFonts w:ascii="Times New Roman" w:hAnsi="Times New Roman"/>
              </w:rPr>
              <w:t xml:space="preserve"> v </w:t>
            </w:r>
            <w:r w:rsidRPr="004E4BE4">
              <w:rPr>
                <w:rFonts w:ascii="Times New Roman" w:hAnsi="Times New Roman"/>
              </w:rPr>
              <w:t>tejto bunke, presiahnuť hodnoty vykázané</w:t>
            </w:r>
            <w:r w:rsidR="004E4BE4">
              <w:rPr>
                <w:rFonts w:ascii="Times New Roman" w:hAnsi="Times New Roman"/>
              </w:rPr>
              <w:t xml:space="preserve"> v </w:t>
            </w:r>
            <w:r w:rsidRPr="004E4BE4">
              <w:rPr>
                <w:rFonts w:ascii="Times New Roman" w:hAnsi="Times New Roman"/>
              </w:rPr>
              <w:t>{020;075}</w:t>
            </w:r>
            <w:r w:rsidR="004E4BE4">
              <w:rPr>
                <w:rFonts w:ascii="Times New Roman" w:hAnsi="Times New Roman"/>
              </w:rPr>
              <w:t xml:space="preserve"> a </w:t>
            </w:r>
            <w:r w:rsidRPr="004E4BE4">
              <w:rPr>
                <w:rFonts w:ascii="Times New Roman" w:hAnsi="Times New Roman"/>
              </w:rPr>
              <w:t>{050;075}.</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{060;010}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Finančné deriváty – Účtovná hodnota</w:t>
            </w:r>
            <w:r w:rsidR="004E4BE4" w:rsidRPr="00ED4583">
              <w:rPr>
                <w:rFonts w:ascii="Times New Roman" w:hAnsi="Times New Roman"/>
                <w:b/>
              </w:rPr>
              <w:t xml:space="preserve"> v </w:t>
            </w:r>
            <w:r w:rsidRPr="00ED4583">
              <w:rPr>
                <w:rFonts w:ascii="Times New Roman" w:hAnsi="Times New Roman"/>
                <w:b/>
              </w:rPr>
              <w:t>súvahe</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zmlúv uvedených</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ak sú zmluvy vykázané</w:t>
            </w:r>
            <w:r w:rsidR="004E4BE4">
              <w:rPr>
                <w:rFonts w:ascii="Times New Roman" w:hAnsi="Times New Roman"/>
              </w:rPr>
              <w:t xml:space="preserve"> v </w:t>
            </w:r>
            <w:r w:rsidRPr="004E4BE4">
              <w:rPr>
                <w:rFonts w:ascii="Times New Roman" w:hAnsi="Times New Roman"/>
              </w:rPr>
              <w:t>súvahe ako aktíva.</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{060;020}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Finančné deriváty – účtovná hodnota bez zohľadnenia vzájomného započítavania alebo iného CRM</w:t>
            </w:r>
          </w:p>
          <w:p w:rsidR="00410E47" w:rsidRPr="004E4BE4" w:rsidRDefault="00410E47" w:rsidP="006162F0">
            <w:pPr>
              <w:pStyle w:val="BodyText1"/>
              <w:spacing w:line="240" w:lineRule="auto"/>
              <w:ind w:firstLine="720"/>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zmlúv uvedených</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ak sú zmluvy vykázané</w:t>
            </w:r>
            <w:r w:rsidR="004E4BE4">
              <w:rPr>
                <w:rFonts w:ascii="Times New Roman" w:hAnsi="Times New Roman"/>
              </w:rPr>
              <w:t xml:space="preserve"> v </w:t>
            </w:r>
            <w:r w:rsidRPr="004E4BE4">
              <w:rPr>
                <w:rFonts w:ascii="Times New Roman" w:hAnsi="Times New Roman"/>
              </w:rPr>
              <w:t>súvahe ako aktíva, bez zohľadnenia účinkov prudenciálneho alebo účtovného vzájomného započítavania alebo iného CRM (t. j. stornujú sa všetky účinky účtovného vzájomného započítavania alebo CRM, ktoré ovplyvnili účtovnú hodnotu).</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{060;050}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Finančné deriváty – dodatočná hodnota podľa metódy oceňovania podľa trhovej hodnoty (bez zohľadnenia vzájomného započítavania alebo iného CRM)</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274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regulačná potenciálna budúca expozícia zmlúv uvedených</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bez zohľadnenia vzájomného započítavania alebo iného CRM.</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1081">
            <w:pPr>
              <w:pStyle w:val="BodyText1"/>
              <w:rPr>
                <w:rFonts w:ascii="Times New Roman" w:hAnsi="Times New Roman"/>
                <w:bCs/>
              </w:rPr>
            </w:pPr>
            <w:r w:rsidRPr="004E4BE4">
              <w:rPr>
                <w:rFonts w:ascii="Times New Roman" w:hAnsi="Times New Roman"/>
              </w:rPr>
              <w:t>{060;070}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Finančné deriváty – pomyselná hodnota</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pomyselná hodnota uvádzaná</w:t>
            </w:r>
            <w:r w:rsidR="004E4BE4">
              <w:rPr>
                <w:rFonts w:ascii="Times New Roman" w:hAnsi="Times New Roman"/>
              </w:rPr>
              <w:t xml:space="preserve"> v </w:t>
            </w:r>
            <w:r w:rsidRPr="004E4BE4">
              <w:rPr>
                <w:rFonts w:ascii="Times New Roman" w:hAnsi="Times New Roman"/>
              </w:rPr>
              <w:t>zmluvách uvedených</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{070;010}</w:t>
            </w:r>
          </w:p>
        </w:tc>
        <w:tc>
          <w:tcPr>
            <w:tcW w:w="7620" w:type="dxa"/>
          </w:tcPr>
          <w:p w:rsidR="00410E47" w:rsidRPr="00ED4583" w:rsidRDefault="00A36A43" w:rsidP="007E2A41">
            <w:pPr>
              <w:pStyle w:val="BodyText1"/>
              <w:spacing w:line="240" w:lineRule="auto"/>
              <w:rPr>
                <w:rFonts w:ascii="Times New Roman" w:hAnsi="Times New Roman"/>
                <w:b/>
                <w:bCs/>
              </w:rPr>
            </w:pPr>
            <w:r w:rsidRPr="00ED4583">
              <w:rPr>
                <w:rFonts w:ascii="Times New Roman" w:hAnsi="Times New Roman"/>
                <w:b/>
              </w:rPr>
              <w:t>SFT, na ktoré sa vzťahuje rámcová dohoda</w:t>
            </w:r>
            <w:r w:rsidR="004E4BE4" w:rsidRPr="00ED4583">
              <w:rPr>
                <w:rFonts w:ascii="Times New Roman" w:hAnsi="Times New Roman"/>
                <w:b/>
              </w:rPr>
              <w:t xml:space="preserve"> o </w:t>
            </w:r>
            <w:r w:rsidRPr="00ED4583">
              <w:rPr>
                <w:rFonts w:ascii="Times New Roman" w:hAnsi="Times New Roman"/>
                <w:b/>
              </w:rPr>
              <w:t>vzájomnom započítavaní – účtovná hodnota</w:t>
            </w:r>
            <w:r w:rsidR="004E4BE4" w:rsidRPr="00ED4583">
              <w:rPr>
                <w:rFonts w:ascii="Times New Roman" w:hAnsi="Times New Roman"/>
                <w:b/>
              </w:rPr>
              <w:t xml:space="preserve"> v </w:t>
            </w:r>
            <w:r w:rsidRPr="00ED4583">
              <w:rPr>
                <w:rFonts w:ascii="Times New Roman" w:hAnsi="Times New Roman"/>
                <w:b/>
              </w:rPr>
              <w:t>súvahe</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w:t>
            </w:r>
            <w:r w:rsidR="004E4BE4" w:rsidRPr="00ED4583">
              <w:rPr>
                <w:rFonts w:ascii="Times New Roman" w:hAnsi="Times New Roman"/>
                <w:b/>
              </w:rPr>
              <w:t xml:space="preserve"> </w:t>
            </w:r>
            <w:r w:rsidR="004E4BE4" w:rsidRPr="00ED4583">
              <w:rPr>
                <w:rFonts w:ascii="Times New Roman" w:hAnsi="Times New Roman"/>
              </w:rPr>
              <w:t>a</w:t>
            </w:r>
            <w:r w:rsidR="004E4BE4" w:rsidRPr="00ED4583">
              <w:rPr>
                <w:rFonts w:ascii="Times New Roman" w:hAnsi="Times New Roman"/>
                <w:b/>
              </w:rPr>
              <w:t> </w:t>
            </w:r>
            <w:r w:rsidRPr="004E4BE4">
              <w:rPr>
                <w:rFonts w:ascii="Times New Roman" w:hAnsi="Times New Roman"/>
              </w:rPr>
              <w:t>článok 206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SFT, na ktoré sa vzťahuje rámcová dohoda</w:t>
            </w:r>
            <w:r w:rsidR="004E4BE4">
              <w:rPr>
                <w:rFonts w:ascii="Times New Roman" w:hAnsi="Times New Roman"/>
              </w:rPr>
              <w:t xml:space="preserve"> o </w:t>
            </w:r>
            <w:r w:rsidRPr="004E4BE4">
              <w:rPr>
                <w:rFonts w:ascii="Times New Roman" w:hAnsi="Times New Roman"/>
              </w:rPr>
              <w:t>vzájomnom započítavaní prípustná podľa článku 206 CRR.</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Inštitúcie do tejto bunky nezahŕňajú prijatú peňažnú hotovosť ani akýkoľvek cenný papier, ktorý je poskytnutý protistrane prostredníctvom uvedených transakcií</w:t>
            </w:r>
            <w:r w:rsidR="004E4BE4">
              <w:rPr>
                <w:rFonts w:ascii="Times New Roman" w:hAnsi="Times New Roman"/>
              </w:rPr>
              <w:t xml:space="preserve"> a </w:t>
            </w:r>
            <w:r w:rsidRPr="004E4BE4">
              <w:rPr>
                <w:rFonts w:ascii="Times New Roman" w:hAnsi="Times New Roman"/>
              </w:rPr>
              <w:t>ktorý sa ponechal</w:t>
            </w:r>
            <w:r w:rsidR="004E4BE4">
              <w:rPr>
                <w:rFonts w:ascii="Times New Roman" w:hAnsi="Times New Roman"/>
              </w:rPr>
              <w:t xml:space="preserve"> v </w:t>
            </w:r>
            <w:r w:rsidRPr="004E4BE4">
              <w:rPr>
                <w:rFonts w:ascii="Times New Roman" w:hAnsi="Times New Roman"/>
              </w:rPr>
              <w:t>súvahe (t. j. nie sú splnené účtovné kritériá pre ukončenie vykazovania). Inštitúcie miesto toho uvádzajú tento údaj</w:t>
            </w:r>
            <w:r w:rsidR="004E4BE4">
              <w:rPr>
                <w:rFonts w:ascii="Times New Roman" w:hAnsi="Times New Roman"/>
              </w:rPr>
              <w:t xml:space="preserve"> v </w:t>
            </w:r>
            <w:r w:rsidRPr="004E4BE4">
              <w:rPr>
                <w:rFonts w:ascii="Times New Roman" w:hAnsi="Times New Roman"/>
              </w:rPr>
              <w:t>{090,010}</w:t>
            </w:r>
            <w:r w:rsidR="004E4BE4" w:rsidRPr="004E4BE4">
              <w:rPr>
                <w:rFonts w:ascii="Times New Roman" w:hAnsi="Times New Roman"/>
              </w:rPr>
              <w:t>.</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{070;020}</w:t>
            </w:r>
          </w:p>
        </w:tc>
        <w:tc>
          <w:tcPr>
            <w:tcW w:w="7620" w:type="dxa"/>
          </w:tcPr>
          <w:p w:rsidR="00410E47" w:rsidRPr="00ED4583" w:rsidRDefault="00A36A43" w:rsidP="007E2A41">
            <w:pPr>
              <w:pStyle w:val="BodyText1"/>
              <w:spacing w:line="240" w:lineRule="auto"/>
              <w:rPr>
                <w:rFonts w:ascii="Times New Roman" w:hAnsi="Times New Roman"/>
                <w:b/>
                <w:bCs/>
              </w:rPr>
            </w:pPr>
            <w:r w:rsidRPr="00ED4583">
              <w:rPr>
                <w:rFonts w:ascii="Times New Roman" w:hAnsi="Times New Roman"/>
                <w:b/>
              </w:rPr>
              <w:t>SFT, na ktoré sa vzťahuje rámcová dohoda</w:t>
            </w:r>
            <w:r w:rsidR="004E4BE4" w:rsidRPr="00ED4583">
              <w:rPr>
                <w:rFonts w:ascii="Times New Roman" w:hAnsi="Times New Roman"/>
                <w:b/>
              </w:rPr>
              <w:t xml:space="preserve"> o </w:t>
            </w:r>
            <w:r w:rsidRPr="00ED4583">
              <w:rPr>
                <w:rFonts w:ascii="Times New Roman" w:hAnsi="Times New Roman"/>
                <w:b/>
              </w:rPr>
              <w:t>vzájomnom započítavaní – účtovná hodnota bez zohľadnenia vzájomného započítavania alebo iného CRM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bod 77</w:t>
            </w:r>
            <w:r w:rsidR="004E4BE4">
              <w:rPr>
                <w:rFonts w:ascii="Times New Roman" w:hAnsi="Times New Roman"/>
              </w:rPr>
              <w:t xml:space="preserve"> a </w:t>
            </w:r>
            <w:r w:rsidRPr="004E4BE4">
              <w:rPr>
                <w:rFonts w:ascii="Times New Roman" w:hAnsi="Times New Roman"/>
              </w:rPr>
              <w:t>článok 206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SFT, na ktoré sa vzťahuje rámcová dohoda</w:t>
            </w:r>
            <w:r w:rsidR="004E4BE4">
              <w:rPr>
                <w:rFonts w:ascii="Times New Roman" w:hAnsi="Times New Roman"/>
              </w:rPr>
              <w:t xml:space="preserve"> o </w:t>
            </w:r>
            <w:r w:rsidRPr="004E4BE4">
              <w:rPr>
                <w:rFonts w:ascii="Times New Roman" w:hAnsi="Times New Roman"/>
              </w:rPr>
              <w:t>vzájomnom započítavaní prípustná podľa článku 206 CRR, ak sú zmluvy vykázané</w:t>
            </w:r>
            <w:r w:rsidR="004E4BE4">
              <w:rPr>
                <w:rFonts w:ascii="Times New Roman" w:hAnsi="Times New Roman"/>
              </w:rPr>
              <w:t xml:space="preserve"> v </w:t>
            </w:r>
            <w:r w:rsidRPr="004E4BE4">
              <w:rPr>
                <w:rFonts w:ascii="Times New Roman" w:hAnsi="Times New Roman"/>
              </w:rPr>
              <w:t>súvahe ako aktíva, bez zohľadnenia účinkov prudenciálneho alebo účtovného vzájomného započítavania alebo iného CRM (t. j. stornujú sa všetky účinky účtovného vzájomného započítavania alebo CRM, ktoré ovplyvnili účtovnú hodnotu). Okrem toho, ak sa pre SFT dosiahlo účtovanie predaja podľa uplatniteľného účtovného rámca, inštitúcie vykonajú reverzne všetky účtovné záznamy súvisiace</w:t>
            </w:r>
            <w:r w:rsidR="004E4BE4">
              <w:rPr>
                <w:rFonts w:ascii="Times New Roman" w:hAnsi="Times New Roman"/>
              </w:rPr>
              <w:t xml:space="preserve"> s </w:t>
            </w:r>
            <w:r w:rsidRPr="004E4BE4">
              <w:rPr>
                <w:rFonts w:ascii="Times New Roman" w:hAnsi="Times New Roman"/>
              </w:rPr>
              <w:t>predajom.</w:t>
            </w:r>
          </w:p>
          <w:p w:rsidR="00410E47" w:rsidRPr="00040D93" w:rsidRDefault="00410E47" w:rsidP="007E2A41">
            <w:pPr>
              <w:pStyle w:val="BodyText1"/>
              <w:spacing w:line="240" w:lineRule="auto"/>
              <w:rPr>
                <w:rFonts w:ascii="Times New Roman" w:hAnsi="Times New Roman"/>
                <w:b/>
                <w:bCs/>
                <w:u w:val="single"/>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do tejto bunky nezahŕňajú prijatú peňažnú hotovosť ani akýkoľvek cenný papier, ktorý je poskytnutý protistrane prostredníctvom uvedených transakcií</w:t>
            </w:r>
            <w:r w:rsidR="004E4BE4">
              <w:rPr>
                <w:rFonts w:ascii="Times New Roman" w:hAnsi="Times New Roman"/>
              </w:rPr>
              <w:t xml:space="preserve"> a </w:t>
            </w:r>
            <w:r w:rsidRPr="004E4BE4">
              <w:rPr>
                <w:rFonts w:ascii="Times New Roman" w:hAnsi="Times New Roman"/>
              </w:rPr>
              <w:t>ktorý sa ponechal</w:t>
            </w:r>
            <w:r w:rsidR="004E4BE4">
              <w:rPr>
                <w:rFonts w:ascii="Times New Roman" w:hAnsi="Times New Roman"/>
              </w:rPr>
              <w:t xml:space="preserve"> v </w:t>
            </w:r>
            <w:r w:rsidRPr="004E4BE4">
              <w:rPr>
                <w:rFonts w:ascii="Times New Roman" w:hAnsi="Times New Roman"/>
              </w:rPr>
              <w:t>súvahe (t. j. nie sú splnené účtovné kritériá pre ukončenie vykazovania). Inštitúcie miesto toho uvádzajú tento údaj</w:t>
            </w:r>
            <w:r w:rsidR="004E4BE4">
              <w:rPr>
                <w:rFonts w:ascii="Times New Roman" w:hAnsi="Times New Roman"/>
              </w:rPr>
              <w:t xml:space="preserve"> v </w:t>
            </w:r>
            <w:r w:rsidRPr="004E4BE4">
              <w:rPr>
                <w:rFonts w:ascii="Times New Roman" w:hAnsi="Times New Roman"/>
              </w:rPr>
              <w:t>{090 020}.</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1081">
            <w:pPr>
              <w:pStyle w:val="BodyText1"/>
              <w:rPr>
                <w:rFonts w:ascii="Times New Roman" w:hAnsi="Times New Roman"/>
                <w:bCs/>
              </w:rPr>
            </w:pPr>
            <w:r w:rsidRPr="004E4BE4">
              <w:rPr>
                <w:rFonts w:ascii="Times New Roman" w:hAnsi="Times New Roman"/>
              </w:rPr>
              <w:t>{070;040}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Transakcie financovania prostredníctvom cenných papierov, na ktoré sa vzťahuje rámcová dohoda</w:t>
            </w:r>
            <w:r w:rsidR="004E4BE4" w:rsidRPr="00ED4583">
              <w:rPr>
                <w:rFonts w:ascii="Times New Roman" w:hAnsi="Times New Roman"/>
                <w:b/>
              </w:rPr>
              <w:t xml:space="preserve"> o </w:t>
            </w:r>
            <w:r w:rsidRPr="00ED4583">
              <w:rPr>
                <w:rFonts w:ascii="Times New Roman" w:hAnsi="Times New Roman"/>
                <w:b/>
              </w:rPr>
              <w:t>vzájomnom započítavaní – dodatočná hodnota pre SFT</w:t>
            </w: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206 CRR</w:t>
            </w:r>
          </w:p>
          <w:p w:rsidR="00410E47" w:rsidRPr="004E4BE4" w:rsidRDefault="00410E47" w:rsidP="007E2A41">
            <w:pPr>
              <w:pStyle w:val="BodyText1"/>
              <w:spacing w:line="240" w:lineRule="auto"/>
              <w:rPr>
                <w:rFonts w:ascii="Times New Roman" w:hAnsi="Times New Roman"/>
                <w:bCs/>
              </w:rPr>
            </w:pPr>
          </w:p>
          <w:p w:rsidR="00410E47" w:rsidRPr="00ED4583" w:rsidRDefault="00410E47" w:rsidP="007E2A41">
            <w:pPr>
              <w:pStyle w:val="BodyText1"/>
              <w:spacing w:line="240" w:lineRule="auto"/>
              <w:rPr>
                <w:rFonts w:ascii="Times New Roman" w:hAnsi="Times New Roman"/>
                <w:b/>
                <w:bCs/>
              </w:rPr>
            </w:pPr>
            <w:r w:rsidRPr="004E4BE4">
              <w:rPr>
                <w:rFonts w:ascii="Times New Roman" w:hAnsi="Times New Roman"/>
              </w:rPr>
              <w:t>Pre SFT vrátane tých, ktoré sú podsúvahové, na ktoré sa vzťahuje dohoda</w:t>
            </w:r>
            <w:r w:rsidR="004E4BE4">
              <w:rPr>
                <w:rFonts w:ascii="Times New Roman" w:hAnsi="Times New Roman"/>
              </w:rPr>
              <w:t xml:space="preserve"> o </w:t>
            </w:r>
            <w:r w:rsidRPr="004E4BE4">
              <w:rPr>
                <w:rFonts w:ascii="Times New Roman" w:hAnsi="Times New Roman"/>
              </w:rPr>
              <w:t>vzájomnom započítavaní, ktorá spĺňa požiadavky stanovené</w:t>
            </w:r>
            <w:r w:rsidR="004E4BE4">
              <w:rPr>
                <w:rFonts w:ascii="Times New Roman" w:hAnsi="Times New Roman"/>
              </w:rPr>
              <w:t xml:space="preserve"> v </w:t>
            </w:r>
            <w:r w:rsidRPr="004E4BE4">
              <w:rPr>
                <w:rFonts w:ascii="Times New Roman" w:hAnsi="Times New Roman"/>
              </w:rPr>
              <w:t xml:space="preserve">článku 206 CRR, inštitúcie vytvoria súbory vzájomného započítavania. Pre každý súbor vzájomného započítavania inštitúcie vypočítavajú dodatočnú hodnotu pre aktuálnu expozíciu protistrany (CCE, </w:t>
            </w:r>
            <w:r w:rsidRPr="00ED4583">
              <w:rPr>
                <w:rFonts w:ascii="Times New Roman" w:hAnsi="Times New Roman"/>
                <w:i/>
              </w:rPr>
              <w:t>current counterparty exposure</w:t>
            </w:r>
            <w:r w:rsidRPr="004E4BE4">
              <w:rPr>
                <w:rFonts w:ascii="Times New Roman" w:hAnsi="Times New Roman"/>
              </w:rPr>
              <w:t>) podľa vzorca</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7E2A41">
            <w:pPr>
              <w:pStyle w:val="BodyText1"/>
              <w:spacing w:line="240" w:lineRule="auto"/>
              <w:rPr>
                <w:rFonts w:ascii="Times New Roman" w:hAnsi="Times New Roman"/>
              </w:rPr>
            </w:pPr>
            <m:oMathPara>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Cambria Math" w:hAnsi="Cambria Math"/>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m:oMathPara>
          </w:p>
          <w:p w:rsidR="004E4BE4" w:rsidRPr="004E4BE4" w:rsidRDefault="004E4BE4" w:rsidP="007E2A41">
            <w:pPr>
              <w:pStyle w:val="BodyText1"/>
              <w:spacing w:line="240" w:lineRule="auto"/>
              <w:rPr>
                <w:rFonts w:ascii="Times New Roman" w:hAnsi="Times New Roman"/>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Kde</w:t>
            </w: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 = každá transakcia zahrnutá do súboru vzájomného započítavania.</w:t>
            </w: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E</w:t>
            </w:r>
            <w:r w:rsidRPr="004E4BE4">
              <w:rPr>
                <w:rFonts w:ascii="Times New Roman" w:hAnsi="Times New Roman"/>
                <w:vertAlign w:val="subscript"/>
              </w:rPr>
              <w:t>i</w:t>
            </w:r>
            <w:r w:rsidRPr="004E4BE4">
              <w:rPr>
                <w:rFonts w:ascii="Times New Roman" w:hAnsi="Times New Roman"/>
              </w:rPr>
              <w:t xml:space="preserve"> = pre transakciu</w:t>
            </w:r>
            <w:r w:rsidR="004E4BE4">
              <w:rPr>
                <w:rFonts w:ascii="Times New Roman" w:hAnsi="Times New Roman"/>
              </w:rPr>
              <w:t xml:space="preserve"> i </w:t>
            </w:r>
            <w:r w:rsidRPr="004E4BE4">
              <w:rPr>
                <w:rFonts w:ascii="Times New Roman" w:hAnsi="Times New Roman"/>
              </w:rPr>
              <w:t>hodnota E</w:t>
            </w:r>
            <w:r w:rsidRPr="004E4BE4">
              <w:rPr>
                <w:rFonts w:ascii="Times New Roman" w:hAnsi="Times New Roman"/>
                <w:vertAlign w:val="subscript"/>
              </w:rPr>
              <w:t>i</w:t>
            </w:r>
            <w:r w:rsidRPr="004E4BE4">
              <w:rPr>
                <w:rFonts w:ascii="Times New Roman" w:hAnsi="Times New Roman"/>
              </w:rPr>
              <w:t xml:space="preserve"> vymedzená</w:t>
            </w:r>
            <w:r w:rsidR="004E4BE4">
              <w:rPr>
                <w:rFonts w:ascii="Times New Roman" w:hAnsi="Times New Roman"/>
              </w:rPr>
              <w:t xml:space="preserve"> v </w:t>
            </w:r>
            <w:r w:rsidRPr="004E4BE4">
              <w:rPr>
                <w:rFonts w:ascii="Times New Roman" w:hAnsi="Times New Roman"/>
              </w:rPr>
              <w:t>článku 220 ods. 3 CRR.</w:t>
            </w: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C</w:t>
            </w:r>
            <w:r w:rsidRPr="004E4BE4">
              <w:rPr>
                <w:rFonts w:ascii="Times New Roman" w:hAnsi="Times New Roman"/>
                <w:vertAlign w:val="subscript"/>
              </w:rPr>
              <w:t>i</w:t>
            </w:r>
            <w:r w:rsidRPr="004E4BE4">
              <w:rPr>
                <w:rFonts w:ascii="Times New Roman" w:hAnsi="Times New Roman"/>
              </w:rPr>
              <w:t xml:space="preserve"> = pre transakciu</w:t>
            </w:r>
            <w:r w:rsidR="004E4BE4">
              <w:rPr>
                <w:rFonts w:ascii="Times New Roman" w:hAnsi="Times New Roman"/>
              </w:rPr>
              <w:t xml:space="preserve"> i </w:t>
            </w:r>
            <w:r w:rsidRPr="004E4BE4">
              <w:rPr>
                <w:rFonts w:ascii="Times New Roman" w:hAnsi="Times New Roman"/>
              </w:rPr>
              <w:t>hodnota C</w:t>
            </w:r>
            <w:r w:rsidRPr="004E4BE4">
              <w:rPr>
                <w:rFonts w:ascii="Times New Roman" w:hAnsi="Times New Roman"/>
                <w:vertAlign w:val="subscript"/>
              </w:rPr>
              <w:t>i</w:t>
            </w:r>
            <w:r w:rsidRPr="004E4BE4">
              <w:rPr>
                <w:rFonts w:ascii="Times New Roman" w:hAnsi="Times New Roman"/>
              </w:rPr>
              <w:t xml:space="preserve"> vymedzená</w:t>
            </w:r>
            <w:r w:rsidR="004E4BE4">
              <w:rPr>
                <w:rFonts w:ascii="Times New Roman" w:hAnsi="Times New Roman"/>
              </w:rPr>
              <w:t xml:space="preserve"> v </w:t>
            </w:r>
            <w:r w:rsidRPr="004E4BE4">
              <w:rPr>
                <w:rFonts w:ascii="Times New Roman" w:hAnsi="Times New Roman"/>
              </w:rPr>
              <w:t>článku 220 ods. 3 CRR.</w:t>
            </w:r>
          </w:p>
          <w:p w:rsidR="00410E47" w:rsidRPr="00ED4583" w:rsidRDefault="00410E47" w:rsidP="007E2A41">
            <w:pPr>
              <w:pStyle w:val="BodyText1"/>
              <w:spacing w:line="240" w:lineRule="auto"/>
              <w:rPr>
                <w:rFonts w:ascii="Times New Roman" w:hAnsi="Times New Roman"/>
                <w:b/>
                <w:bCs/>
              </w:rPr>
            </w:pPr>
          </w:p>
          <w:p w:rsidR="00410E47" w:rsidRPr="00ED4583" w:rsidRDefault="00410E47" w:rsidP="007E2A41">
            <w:pPr>
              <w:pStyle w:val="BodyText1"/>
              <w:spacing w:line="240" w:lineRule="auto"/>
              <w:rPr>
                <w:rFonts w:ascii="Times New Roman" w:hAnsi="Times New Roman"/>
                <w:b/>
                <w:bCs/>
              </w:rPr>
            </w:pPr>
            <w:r w:rsidRPr="004E4BE4">
              <w:rPr>
                <w:rFonts w:ascii="Times New Roman" w:hAnsi="Times New Roman"/>
              </w:rPr>
              <w:t>Inštitúcie agregujú výsledok tohto vzorca pre všetky súbory vzájomného započítavania</w:t>
            </w:r>
            <w:r w:rsidR="004E4BE4">
              <w:rPr>
                <w:rFonts w:ascii="Times New Roman" w:hAnsi="Times New Roman"/>
              </w:rPr>
              <w:t xml:space="preserve"> a </w:t>
            </w:r>
            <w:r w:rsidRPr="004E4BE4">
              <w:rPr>
                <w:rFonts w:ascii="Times New Roman" w:hAnsi="Times New Roman"/>
              </w:rPr>
              <w:t>výsledok vykazujú</w:t>
            </w:r>
            <w:r w:rsidR="004E4BE4">
              <w:rPr>
                <w:rFonts w:ascii="Times New Roman" w:hAnsi="Times New Roman"/>
              </w:rPr>
              <w:t xml:space="preserve"> v </w:t>
            </w:r>
            <w:r w:rsidRPr="004E4BE4">
              <w:rPr>
                <w:rFonts w:ascii="Times New Roman" w:hAnsi="Times New Roman"/>
              </w:rPr>
              <w:t>tejto bunke.</w:t>
            </w:r>
          </w:p>
          <w:p w:rsidR="00410E47" w:rsidRPr="00ED4583" w:rsidRDefault="00410E47" w:rsidP="007E2A41">
            <w:pPr>
              <w:pStyle w:val="BodyText1"/>
              <w:spacing w:line="240" w:lineRule="auto"/>
              <w:rPr>
                <w:rFonts w:ascii="Times New Roman" w:hAnsi="Times New Roman"/>
                <w:b/>
                <w:bCs/>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{080;010}</w:t>
            </w:r>
          </w:p>
        </w:tc>
        <w:tc>
          <w:tcPr>
            <w:tcW w:w="7620" w:type="dxa"/>
          </w:tcPr>
          <w:p w:rsidR="00410E47" w:rsidRPr="00ED4583" w:rsidRDefault="00CF66B5" w:rsidP="007E2A41">
            <w:pPr>
              <w:pStyle w:val="BodyText1"/>
              <w:spacing w:line="240" w:lineRule="auto"/>
              <w:rPr>
                <w:rFonts w:ascii="Times New Roman" w:hAnsi="Times New Roman"/>
                <w:b/>
                <w:bCs/>
              </w:rPr>
            </w:pPr>
            <w:r w:rsidRPr="00ED4583">
              <w:rPr>
                <w:rFonts w:ascii="Times New Roman" w:hAnsi="Times New Roman"/>
                <w:b/>
              </w:rPr>
              <w:t>SFT, na ktoré sa nevzťahuje rámcová dohoda</w:t>
            </w:r>
            <w:r w:rsidR="004E4BE4" w:rsidRPr="00ED4583">
              <w:rPr>
                <w:rFonts w:ascii="Times New Roman" w:hAnsi="Times New Roman"/>
                <w:b/>
              </w:rPr>
              <w:t xml:space="preserve"> o </w:t>
            </w:r>
            <w:r w:rsidRPr="00ED4583">
              <w:rPr>
                <w:rFonts w:ascii="Times New Roman" w:hAnsi="Times New Roman"/>
                <w:b/>
              </w:rPr>
              <w:t>vzájomnom započítavaní – účtovná hodnota</w:t>
            </w:r>
            <w:r w:rsidR="004E4BE4" w:rsidRPr="00ED4583">
              <w:rPr>
                <w:rFonts w:ascii="Times New Roman" w:hAnsi="Times New Roman"/>
                <w:b/>
              </w:rPr>
              <w:t xml:space="preserve"> v </w:t>
            </w:r>
            <w:r w:rsidRPr="00ED4583">
              <w:rPr>
                <w:rFonts w:ascii="Times New Roman" w:hAnsi="Times New Roman"/>
                <w:b/>
              </w:rPr>
              <w:t>súvahe</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 xml:space="preserve">súvahe podľa uplatniteľného účtovného rámca týkajúca sa SFT, na ktoré sa </w:t>
            </w:r>
            <w:r w:rsidRPr="00040D93">
              <w:rPr>
                <w:rFonts w:ascii="Times New Roman" w:hAnsi="Times New Roman"/>
                <w:b/>
                <w:u w:val="single"/>
              </w:rPr>
              <w:t>nevzťahuje</w:t>
            </w:r>
            <w:r w:rsidRPr="004E4BE4">
              <w:rPr>
                <w:rFonts w:ascii="Times New Roman" w:hAnsi="Times New Roman"/>
              </w:rPr>
              <w:t xml:space="preserve"> rámcová dohoda</w:t>
            </w:r>
            <w:r w:rsidR="004E4BE4">
              <w:rPr>
                <w:rFonts w:ascii="Times New Roman" w:hAnsi="Times New Roman"/>
              </w:rPr>
              <w:t xml:space="preserve"> o </w:t>
            </w:r>
            <w:r w:rsidRPr="004E4BE4">
              <w:rPr>
                <w:rFonts w:ascii="Times New Roman" w:hAnsi="Times New Roman"/>
              </w:rPr>
              <w:t>vzájomnom započítavaní prípustná podľa článku 206 CRR, ak sú zmluvy vykázané</w:t>
            </w:r>
            <w:r w:rsidR="004E4BE4">
              <w:rPr>
                <w:rFonts w:ascii="Times New Roman" w:hAnsi="Times New Roman"/>
              </w:rPr>
              <w:t xml:space="preserve"> v </w:t>
            </w:r>
            <w:r w:rsidRPr="004E4BE4">
              <w:rPr>
                <w:rFonts w:ascii="Times New Roman" w:hAnsi="Times New Roman"/>
              </w:rPr>
              <w:t>súvahe ako aktíva.</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7E2A41">
            <w:pPr>
              <w:pStyle w:val="BodyText1"/>
              <w:spacing w:line="240" w:lineRule="auto"/>
              <w:rPr>
                <w:rFonts w:ascii="Times New Roman" w:hAnsi="Times New Roman"/>
              </w:rPr>
            </w:pPr>
            <w:r w:rsidRPr="004E4BE4">
              <w:rPr>
                <w:rFonts w:ascii="Times New Roman" w:hAnsi="Times New Roman"/>
              </w:rPr>
              <w:t>Inštitúcie do tejto bunky nezahŕňajú prijatú peňažnú hotovosť ani akýkoľvek cenný papier, ktorý je poskytnutý protistrane prostredníctvom uvedených transakcií</w:t>
            </w:r>
            <w:r w:rsidR="004E4BE4">
              <w:rPr>
                <w:rFonts w:ascii="Times New Roman" w:hAnsi="Times New Roman"/>
              </w:rPr>
              <w:t xml:space="preserve"> a </w:t>
            </w:r>
            <w:r w:rsidRPr="004E4BE4">
              <w:rPr>
                <w:rFonts w:ascii="Times New Roman" w:hAnsi="Times New Roman"/>
              </w:rPr>
              <w:t>ktorý sa ponechal</w:t>
            </w:r>
            <w:r w:rsidR="004E4BE4">
              <w:rPr>
                <w:rFonts w:ascii="Times New Roman" w:hAnsi="Times New Roman"/>
              </w:rPr>
              <w:t xml:space="preserve"> v </w:t>
            </w:r>
            <w:r w:rsidRPr="004E4BE4">
              <w:rPr>
                <w:rFonts w:ascii="Times New Roman" w:hAnsi="Times New Roman"/>
              </w:rPr>
              <w:t>súvahe (t. j. nie sú splnené účtovné kritériá pre ukončenie vykazovania). Inštitúcie miesto toho uvádzajú tento údaj</w:t>
            </w:r>
            <w:r w:rsidR="004E4BE4">
              <w:rPr>
                <w:rFonts w:ascii="Times New Roman" w:hAnsi="Times New Roman"/>
              </w:rPr>
              <w:t xml:space="preserve"> v </w:t>
            </w:r>
            <w:r w:rsidRPr="004E4BE4">
              <w:rPr>
                <w:rFonts w:ascii="Times New Roman" w:hAnsi="Times New Roman"/>
              </w:rPr>
              <w:t>{090,010}</w:t>
            </w:r>
            <w:r w:rsidR="004E4BE4" w:rsidRPr="004E4BE4">
              <w:rPr>
                <w:rFonts w:ascii="Times New Roman" w:hAnsi="Times New Roman"/>
              </w:rPr>
              <w:t>.</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{080;020}</w:t>
            </w:r>
          </w:p>
        </w:tc>
        <w:tc>
          <w:tcPr>
            <w:tcW w:w="7620" w:type="dxa"/>
          </w:tcPr>
          <w:p w:rsidR="00410E47" w:rsidRPr="00ED4583" w:rsidRDefault="00CF66B5" w:rsidP="007E2A41">
            <w:pPr>
              <w:pStyle w:val="BodyText1"/>
              <w:spacing w:line="240" w:lineRule="auto"/>
              <w:rPr>
                <w:rFonts w:ascii="Times New Roman" w:hAnsi="Times New Roman"/>
                <w:b/>
                <w:bCs/>
              </w:rPr>
            </w:pPr>
            <w:r w:rsidRPr="00ED4583">
              <w:rPr>
                <w:rFonts w:ascii="Times New Roman" w:hAnsi="Times New Roman"/>
                <w:b/>
              </w:rPr>
              <w:t>SFT, na ktoré sa nevzťahuje rámcová dohoda</w:t>
            </w:r>
            <w:r w:rsidR="004E4BE4" w:rsidRPr="00ED4583">
              <w:rPr>
                <w:rFonts w:ascii="Times New Roman" w:hAnsi="Times New Roman"/>
                <w:b/>
              </w:rPr>
              <w:t xml:space="preserve"> o </w:t>
            </w:r>
            <w:r w:rsidRPr="00ED4583">
              <w:rPr>
                <w:rFonts w:ascii="Times New Roman" w:hAnsi="Times New Roman"/>
                <w:b/>
              </w:rPr>
              <w:t>vzájomnom započítavaní – účtovná hodnota bez zohľadnenia vzájomného započítavania alebo iného CRM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 xml:space="preserve">súvahe podľa uplatniteľného účtovného rámca týkajúca sa SFT, na ktoré sa </w:t>
            </w:r>
            <w:r w:rsidRPr="00040D93">
              <w:rPr>
                <w:rFonts w:ascii="Times New Roman" w:hAnsi="Times New Roman"/>
                <w:b/>
                <w:u w:val="single"/>
              </w:rPr>
              <w:t>nevzťahuje</w:t>
            </w:r>
            <w:r w:rsidRPr="004E4BE4">
              <w:rPr>
                <w:rFonts w:ascii="Times New Roman" w:hAnsi="Times New Roman"/>
              </w:rPr>
              <w:t xml:space="preserve"> rámcová dohoda</w:t>
            </w:r>
            <w:r w:rsidR="004E4BE4">
              <w:rPr>
                <w:rFonts w:ascii="Times New Roman" w:hAnsi="Times New Roman"/>
              </w:rPr>
              <w:t xml:space="preserve"> o </w:t>
            </w:r>
            <w:r w:rsidRPr="004E4BE4">
              <w:rPr>
                <w:rFonts w:ascii="Times New Roman" w:hAnsi="Times New Roman"/>
              </w:rPr>
              <w:t>vzájomnom započítavaní prípustná podľa článku 206 CRR, ak sú zmluvy vykázané</w:t>
            </w:r>
            <w:r w:rsidR="004E4BE4">
              <w:rPr>
                <w:rFonts w:ascii="Times New Roman" w:hAnsi="Times New Roman"/>
              </w:rPr>
              <w:t xml:space="preserve"> v </w:t>
            </w:r>
            <w:r w:rsidRPr="004E4BE4">
              <w:rPr>
                <w:rFonts w:ascii="Times New Roman" w:hAnsi="Times New Roman"/>
              </w:rPr>
              <w:t>súvahe ako aktíva, bez zohľadnenia účinkov účtovného vzájomného započítavania alebo iného CRM (t. j. stornujú sa všetky účinky účtovného vzájomného započítavania alebo CRM, ktoré ovplyvnili účtovnú hodnotu). Okrem toho, ak sa pre SFT dosiahlo účtovanie predaja podľa uplatniteľného účtovného rámca, inštitúcie vykonajú reverzne všetky účtovné záznamy súvisiace</w:t>
            </w:r>
            <w:r w:rsidR="004E4BE4">
              <w:rPr>
                <w:rFonts w:ascii="Times New Roman" w:hAnsi="Times New Roman"/>
              </w:rPr>
              <w:t xml:space="preserve"> s </w:t>
            </w:r>
            <w:r w:rsidRPr="004E4BE4">
              <w:rPr>
                <w:rFonts w:ascii="Times New Roman" w:hAnsi="Times New Roman"/>
              </w:rPr>
              <w:t>predajom.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do tejto bunky nezahŕňajú prijatú peňažnú hotovosť ani akýkoľvek cenný papier, ktorý je poskytnutý protistrane prostredníctvom uvedených transakcií</w:t>
            </w:r>
            <w:r w:rsidR="004E4BE4">
              <w:rPr>
                <w:rFonts w:ascii="Times New Roman" w:hAnsi="Times New Roman"/>
              </w:rPr>
              <w:t xml:space="preserve"> a </w:t>
            </w:r>
            <w:r w:rsidRPr="004E4BE4">
              <w:rPr>
                <w:rFonts w:ascii="Times New Roman" w:hAnsi="Times New Roman"/>
              </w:rPr>
              <w:t>ktorý sa ponechal</w:t>
            </w:r>
            <w:r w:rsidR="004E4BE4">
              <w:rPr>
                <w:rFonts w:ascii="Times New Roman" w:hAnsi="Times New Roman"/>
              </w:rPr>
              <w:t xml:space="preserve"> v </w:t>
            </w:r>
            <w:r w:rsidRPr="004E4BE4">
              <w:rPr>
                <w:rFonts w:ascii="Times New Roman" w:hAnsi="Times New Roman"/>
              </w:rPr>
              <w:t>súvahe (t. j. nie sú splnené účtovné kritériá pre ukončenie vykazovania). Inštitúcie miesto toho uvádzajú tento údaj</w:t>
            </w:r>
            <w:r w:rsidR="004E4BE4">
              <w:rPr>
                <w:rFonts w:ascii="Times New Roman" w:hAnsi="Times New Roman"/>
              </w:rPr>
              <w:t xml:space="preserve"> v </w:t>
            </w:r>
            <w:r w:rsidRPr="004E4BE4">
              <w:rPr>
                <w:rFonts w:ascii="Times New Roman" w:hAnsi="Times New Roman"/>
              </w:rPr>
              <w:t>{090 020}.</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{080;040}</w:t>
            </w:r>
          </w:p>
        </w:tc>
        <w:tc>
          <w:tcPr>
            <w:tcW w:w="7620" w:type="dxa"/>
          </w:tcPr>
          <w:p w:rsidR="00410E47" w:rsidRPr="00ED4583" w:rsidRDefault="00CF66B5" w:rsidP="007E2A41">
            <w:pPr>
              <w:pStyle w:val="BodyText1"/>
              <w:spacing w:line="240" w:lineRule="auto"/>
              <w:rPr>
                <w:rFonts w:ascii="Times New Roman" w:hAnsi="Times New Roman"/>
                <w:b/>
                <w:bCs/>
              </w:rPr>
            </w:pPr>
            <w:r w:rsidRPr="00ED4583">
              <w:rPr>
                <w:rFonts w:ascii="Times New Roman" w:hAnsi="Times New Roman"/>
                <w:b/>
              </w:rPr>
              <w:t>SFT, na ktoré sa nevzťahuje rámcová dohoda</w:t>
            </w:r>
            <w:r w:rsidR="004E4BE4" w:rsidRPr="00ED4583">
              <w:rPr>
                <w:rFonts w:ascii="Times New Roman" w:hAnsi="Times New Roman"/>
                <w:b/>
              </w:rPr>
              <w:t xml:space="preserve"> o </w:t>
            </w:r>
            <w:r w:rsidRPr="00ED4583">
              <w:rPr>
                <w:rFonts w:ascii="Times New Roman" w:hAnsi="Times New Roman"/>
                <w:b/>
              </w:rPr>
              <w:t>vzájomnom započítavaní – dodatočná hodnota pre SFT</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206 CRR</w:t>
            </w:r>
          </w:p>
          <w:p w:rsidR="00410E47" w:rsidRPr="004E4BE4" w:rsidRDefault="00410E47" w:rsidP="007E2A41">
            <w:pPr>
              <w:pStyle w:val="BodyText1"/>
              <w:spacing w:line="240" w:lineRule="auto"/>
              <w:rPr>
                <w:rFonts w:ascii="Times New Roman" w:hAnsi="Times New Roman"/>
                <w:bCs/>
              </w:rPr>
            </w:pPr>
          </w:p>
          <w:p w:rsidR="004E4BE4" w:rsidRPr="004E4BE4" w:rsidRDefault="00410E47" w:rsidP="00217B44">
            <w:pPr>
              <w:pStyle w:val="BodyText1"/>
              <w:spacing w:line="240" w:lineRule="auto"/>
              <w:rPr>
                <w:rFonts w:ascii="Times New Roman" w:hAnsi="Times New Roman"/>
              </w:rPr>
            </w:pPr>
            <w:r w:rsidRPr="004E4BE4">
              <w:rPr>
                <w:rFonts w:ascii="Times New Roman" w:hAnsi="Times New Roman"/>
              </w:rPr>
              <w:t xml:space="preserve">Pre SFT vrátane tých, ktoré sú podsúvahové, na ktoré sa </w:t>
            </w:r>
            <w:r w:rsidRPr="00040D93">
              <w:rPr>
                <w:rFonts w:ascii="Times New Roman" w:hAnsi="Times New Roman"/>
                <w:b/>
                <w:u w:val="single"/>
              </w:rPr>
              <w:t>nevzťahuje</w:t>
            </w:r>
            <w:r w:rsidRPr="004E4BE4">
              <w:rPr>
                <w:rFonts w:ascii="Times New Roman" w:hAnsi="Times New Roman"/>
              </w:rPr>
              <w:t xml:space="preserve"> rámcová dohoda</w:t>
            </w:r>
            <w:r w:rsidR="004E4BE4">
              <w:rPr>
                <w:rFonts w:ascii="Times New Roman" w:hAnsi="Times New Roman"/>
              </w:rPr>
              <w:t xml:space="preserve"> o </w:t>
            </w:r>
            <w:r w:rsidRPr="004E4BE4">
              <w:rPr>
                <w:rFonts w:ascii="Times New Roman" w:hAnsi="Times New Roman"/>
              </w:rPr>
              <w:t>vzájomnom započítavaní prípustná podľa článku 206 CRR, inštitúcie vytvoria súbory, ktoré pozostávajú zo všetkých aktív zahrnutých</w:t>
            </w:r>
            <w:r w:rsidR="004E4BE4">
              <w:rPr>
                <w:rFonts w:ascii="Times New Roman" w:hAnsi="Times New Roman"/>
              </w:rPr>
              <w:t xml:space="preserve"> v </w:t>
            </w:r>
            <w:r w:rsidRPr="004E4BE4">
              <w:rPr>
                <w:rFonts w:ascii="Times New Roman" w:hAnsi="Times New Roman"/>
              </w:rPr>
              <w:t>transakcii (t. j.</w:t>
            </w:r>
            <w:r w:rsidR="004E4BE4">
              <w:rPr>
                <w:rFonts w:ascii="Times New Roman" w:hAnsi="Times New Roman"/>
              </w:rPr>
              <w:t xml:space="preserve"> s </w:t>
            </w:r>
            <w:r w:rsidRPr="004E4BE4">
              <w:rPr>
                <w:rFonts w:ascii="Times New Roman" w:hAnsi="Times New Roman"/>
              </w:rPr>
              <w:t>každou SFT sa zaobchádza ako</w:t>
            </w:r>
            <w:r w:rsidR="004E4BE4">
              <w:rPr>
                <w:rFonts w:ascii="Times New Roman" w:hAnsi="Times New Roman"/>
              </w:rPr>
              <w:t xml:space="preserve"> s </w:t>
            </w:r>
            <w:r w:rsidRPr="004E4BE4">
              <w:rPr>
                <w:rFonts w:ascii="Times New Roman" w:hAnsi="Times New Roman"/>
              </w:rPr>
              <w:t>jej vlastným súborom),</w:t>
            </w:r>
            <w:r w:rsidR="004E4BE4">
              <w:rPr>
                <w:rFonts w:ascii="Times New Roman" w:hAnsi="Times New Roman"/>
              </w:rPr>
              <w:t xml:space="preserve"> a </w:t>
            </w:r>
            <w:r w:rsidRPr="004E4BE4">
              <w:rPr>
                <w:rFonts w:ascii="Times New Roman" w:hAnsi="Times New Roman"/>
              </w:rPr>
              <w:t>pre každý súbor určia dodatočnú hodnotu pre aktuálnu expozíciu protistrany (CCE) podľa vzorca</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CCE = max {(E – C); 0}</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Kde</w:t>
            </w: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E = hodnota E</w:t>
            </w:r>
            <w:r w:rsidRPr="004E4BE4">
              <w:rPr>
                <w:rFonts w:ascii="Times New Roman" w:hAnsi="Times New Roman"/>
                <w:vertAlign w:val="subscript"/>
              </w:rPr>
              <w:t>i</w:t>
            </w:r>
            <w:r w:rsidRPr="004E4BE4">
              <w:rPr>
                <w:rFonts w:ascii="Times New Roman" w:hAnsi="Times New Roman"/>
              </w:rPr>
              <w:t xml:space="preserve"> vymedzená</w:t>
            </w:r>
            <w:r w:rsidR="004E4BE4">
              <w:rPr>
                <w:rFonts w:ascii="Times New Roman" w:hAnsi="Times New Roman"/>
              </w:rPr>
              <w:t xml:space="preserve"> v </w:t>
            </w:r>
            <w:r w:rsidRPr="004E4BE4">
              <w:rPr>
                <w:rFonts w:ascii="Times New Roman" w:hAnsi="Times New Roman"/>
              </w:rPr>
              <w:t>článku 220 ods. 3 CRR.</w:t>
            </w: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C = hodnota C</w:t>
            </w:r>
            <w:r w:rsidRPr="004E4BE4">
              <w:rPr>
                <w:rFonts w:ascii="Times New Roman" w:hAnsi="Times New Roman"/>
                <w:vertAlign w:val="subscript"/>
              </w:rPr>
              <w:t>i</w:t>
            </w:r>
            <w:r w:rsidRPr="004E4BE4">
              <w:rPr>
                <w:rFonts w:ascii="Times New Roman" w:hAnsi="Times New Roman"/>
              </w:rPr>
              <w:t xml:space="preserve"> vymedzená</w:t>
            </w:r>
            <w:r w:rsidR="004E4BE4">
              <w:rPr>
                <w:rFonts w:ascii="Times New Roman" w:hAnsi="Times New Roman"/>
              </w:rPr>
              <w:t xml:space="preserve"> v </w:t>
            </w:r>
            <w:r w:rsidRPr="004E4BE4">
              <w:rPr>
                <w:rFonts w:ascii="Times New Roman" w:hAnsi="Times New Roman"/>
              </w:rPr>
              <w:t>článku 220 ods. 3 CRR.</w:t>
            </w:r>
          </w:p>
          <w:p w:rsidR="00410E47" w:rsidRPr="00040D93" w:rsidRDefault="00410E47" w:rsidP="007E2A41">
            <w:pPr>
              <w:pStyle w:val="BodyText1"/>
              <w:spacing w:line="240" w:lineRule="auto"/>
              <w:rPr>
                <w:rFonts w:ascii="Times New Roman" w:hAnsi="Times New Roman"/>
                <w:b/>
                <w:bCs/>
                <w:u w:val="single"/>
              </w:rPr>
            </w:pPr>
          </w:p>
          <w:p w:rsidR="00410E47" w:rsidRPr="00ED4583" w:rsidRDefault="00410E47" w:rsidP="007E2A41">
            <w:pPr>
              <w:pStyle w:val="BodyText1"/>
              <w:spacing w:line="240" w:lineRule="auto"/>
              <w:rPr>
                <w:rFonts w:ascii="Times New Roman" w:hAnsi="Times New Roman"/>
                <w:b/>
                <w:bCs/>
              </w:rPr>
            </w:pPr>
            <w:r w:rsidRPr="004E4BE4">
              <w:rPr>
                <w:rFonts w:ascii="Times New Roman" w:hAnsi="Times New Roman"/>
              </w:rPr>
              <w:t>Inštitúcie agregujú výsledok tohto vzorca pre všetky uvedené súbory</w:t>
            </w:r>
            <w:r w:rsidR="004E4BE4">
              <w:rPr>
                <w:rFonts w:ascii="Times New Roman" w:hAnsi="Times New Roman"/>
              </w:rPr>
              <w:t xml:space="preserve"> a </w:t>
            </w:r>
            <w:r w:rsidRPr="004E4BE4">
              <w:rPr>
                <w:rFonts w:ascii="Times New Roman" w:hAnsi="Times New Roman"/>
              </w:rPr>
              <w:t>výsledok vykazujú</w:t>
            </w:r>
            <w:r w:rsidR="004E4BE4">
              <w:rPr>
                <w:rFonts w:ascii="Times New Roman" w:hAnsi="Times New Roman"/>
              </w:rPr>
              <w:t xml:space="preserve"> v </w:t>
            </w:r>
            <w:r w:rsidRPr="004E4BE4">
              <w:rPr>
                <w:rFonts w:ascii="Times New Roman" w:hAnsi="Times New Roman"/>
              </w:rPr>
              <w:t>tejto bunke.</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{090;010}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Iné aktíva – účtovná hodnota</w:t>
            </w:r>
            <w:r w:rsidR="004E4BE4" w:rsidRPr="00ED4583">
              <w:rPr>
                <w:rFonts w:ascii="Times New Roman" w:hAnsi="Times New Roman"/>
                <w:b/>
              </w:rPr>
              <w:t xml:space="preserve"> v </w:t>
            </w:r>
            <w:r w:rsidRPr="00ED4583">
              <w:rPr>
                <w:rFonts w:ascii="Times New Roman" w:hAnsi="Times New Roman"/>
                <w:b/>
              </w:rPr>
              <w:t>súvahe</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všetkých aktív okrem zmlúv uvedených</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kreditných derivátov</w:t>
            </w:r>
            <w:r w:rsidR="004E4BE4">
              <w:rPr>
                <w:rFonts w:ascii="Times New Roman" w:hAnsi="Times New Roman"/>
              </w:rPr>
              <w:t xml:space="preserve"> a </w:t>
            </w:r>
            <w:r w:rsidRPr="004E4BE4">
              <w:rPr>
                <w:rFonts w:ascii="Times New Roman" w:hAnsi="Times New Roman"/>
              </w:rPr>
              <w:t>SFT.</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4754B">
            <w:pPr>
              <w:pStyle w:val="BodyText1"/>
              <w:rPr>
                <w:rFonts w:ascii="Times New Roman" w:hAnsi="Times New Roman"/>
                <w:bCs/>
              </w:rPr>
            </w:pPr>
            <w:r w:rsidRPr="004E4BE4">
              <w:rPr>
                <w:rFonts w:ascii="Times New Roman" w:hAnsi="Times New Roman"/>
              </w:rPr>
              <w:t>{090;020}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Iné aktíva – účtovná hodnota bez zohľadnenia vzájomného započítavania alebo iného CRM</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4 ods. 1 bod 77 CRR</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všetkých aktív okrem zmlúv uvedených</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kreditných derivátov</w:t>
            </w:r>
            <w:r w:rsidR="004E4BE4">
              <w:rPr>
                <w:rFonts w:ascii="Times New Roman" w:hAnsi="Times New Roman"/>
              </w:rPr>
              <w:t xml:space="preserve"> a </w:t>
            </w:r>
            <w:r w:rsidRPr="004E4BE4">
              <w:rPr>
                <w:rFonts w:ascii="Times New Roman" w:hAnsi="Times New Roman"/>
              </w:rPr>
              <w:t>SFT, bez zohľadnenia účinkov účtovného vzájomného započítavania alebo iného CRM (t. j. stornujú sa všetky účinky účtovného vzájomného započítavania alebo CRM, ktoré ovplyvnili účtovnú hodnotu).</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{100;070}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Nízkorizikové podsúvahové položky podľa RSA;</w:t>
            </w:r>
            <w:r w:rsidR="004E4BE4" w:rsidRPr="00ED4583">
              <w:rPr>
                <w:rFonts w:ascii="Times New Roman" w:hAnsi="Times New Roman"/>
                <w:b/>
              </w:rPr>
              <w:t xml:space="preserve"> z </w:t>
            </w:r>
            <w:r w:rsidRPr="00ED4583">
              <w:rPr>
                <w:rFonts w:ascii="Times New Roman" w:hAnsi="Times New Roman"/>
                <w:b/>
              </w:rPr>
              <w:t>čoho – nominálna hodnota</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nominálna hodnota podsúvahových položiek, ktorým by sa podľa štandardizovaného prístupu ku kreditnému riziku priradil 0</w:t>
            </w:r>
            <w:r w:rsidR="004E4BE4">
              <w:rPr>
                <w:rFonts w:ascii="Times New Roman" w:hAnsi="Times New Roman"/>
              </w:rPr>
              <w:t> %</w:t>
            </w:r>
            <w:r w:rsidRPr="004E4BE4">
              <w:rPr>
                <w:rFonts w:ascii="Times New Roman" w:hAnsi="Times New Roman"/>
              </w:rPr>
              <w:t xml:space="preserve"> konverzný faktor úverov.</w:t>
            </w:r>
            <w:r w:rsidRPr="004E4BE4">
              <w:t xml:space="preserve"> </w:t>
            </w:r>
            <w:r w:rsidRPr="004E4BE4">
              <w:rPr>
                <w:rFonts w:ascii="Times New Roman" w:hAnsi="Times New Roman"/>
              </w:rPr>
              <w:t>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4D36F1" w:rsidRPr="004E4BE4" w:rsidRDefault="004D36F1" w:rsidP="007E2A41">
            <w:pPr>
              <w:pStyle w:val="BodyText1"/>
              <w:spacing w:line="240" w:lineRule="auto"/>
              <w:rPr>
                <w:rFonts w:ascii="Times New Roman" w:hAnsi="Times New Roman"/>
                <w:bCs/>
              </w:rPr>
            </w:pPr>
          </w:p>
          <w:p w:rsidR="004D36F1" w:rsidRPr="004E4BE4" w:rsidRDefault="004D36F1" w:rsidP="007E2A4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{110;070}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Revolvingové retailové expozície;</w:t>
            </w:r>
            <w:r w:rsidR="004E4BE4" w:rsidRPr="00ED4583">
              <w:rPr>
                <w:rFonts w:ascii="Times New Roman" w:hAnsi="Times New Roman"/>
                <w:b/>
              </w:rPr>
              <w:t xml:space="preserve"> z </w:t>
            </w:r>
            <w:r w:rsidRPr="00ED4583">
              <w:rPr>
                <w:rFonts w:ascii="Times New Roman" w:hAnsi="Times New Roman"/>
                <w:b/>
              </w:rPr>
              <w:t>čoho – nominálna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w:t>
            </w:r>
            <w:r w:rsidR="004E4BE4">
              <w:rPr>
                <w:rFonts w:ascii="Times New Roman" w:hAnsi="Times New Roman"/>
              </w:rPr>
              <w:t xml:space="preserve"> a </w:t>
            </w:r>
            <w:r w:rsidRPr="004E4BE4">
              <w:rPr>
                <w:rFonts w:ascii="Times New Roman" w:hAnsi="Times New Roman"/>
              </w:rPr>
              <w:t>článok 154 ods. 4 CRR</w:t>
            </w:r>
          </w:p>
          <w:p w:rsidR="00410E47" w:rsidRPr="004E4BE4" w:rsidRDefault="00410E47" w:rsidP="007E2A41">
            <w:pPr>
              <w:pStyle w:val="BodyText1"/>
              <w:spacing w:line="240" w:lineRule="auto"/>
              <w:rPr>
                <w:rFonts w:ascii="Times New Roman" w:hAnsi="Times New Roman"/>
                <w:bCs/>
              </w:rPr>
            </w:pPr>
          </w:p>
          <w:p w:rsidR="00CF66B5"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nominálna hodnota podsúvahových kvalifikovaných revolvingových retailových expozícií, ktoré spĺňajú podmienky stanovené</w:t>
            </w:r>
            <w:r w:rsidR="004E4BE4">
              <w:rPr>
                <w:rFonts w:ascii="Times New Roman" w:hAnsi="Times New Roman"/>
              </w:rPr>
              <w:t xml:space="preserve"> v </w:t>
            </w:r>
            <w:r w:rsidRPr="004E4BE4">
              <w:rPr>
                <w:rFonts w:ascii="Times New Roman" w:hAnsi="Times New Roman"/>
              </w:rPr>
              <w:t>článku 154 ods. 4 písm. a) až c) CRR. 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CF66B5" w:rsidRPr="004E4BE4" w:rsidRDefault="00CF66B5"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Zahŕňa všetky expozície voči fyzickým osobám, ktoré sú revolvingové</w:t>
            </w:r>
            <w:r w:rsidR="004E4BE4">
              <w:rPr>
                <w:rFonts w:ascii="Times New Roman" w:hAnsi="Times New Roman"/>
              </w:rPr>
              <w:t xml:space="preserve"> a </w:t>
            </w:r>
            <w:r w:rsidRPr="004E4BE4">
              <w:rPr>
                <w:rFonts w:ascii="Times New Roman" w:hAnsi="Times New Roman"/>
              </w:rPr>
              <w:t>bezpodmienečne zrušiteľné, ako sa opisuje</w:t>
            </w:r>
            <w:r w:rsidR="004E4BE4">
              <w:rPr>
                <w:rFonts w:ascii="Times New Roman" w:hAnsi="Times New Roman"/>
              </w:rPr>
              <w:t xml:space="preserve"> v </w:t>
            </w:r>
            <w:r w:rsidRPr="004E4BE4">
              <w:rPr>
                <w:rFonts w:ascii="Times New Roman" w:hAnsi="Times New Roman"/>
              </w:rPr>
              <w:t>článku 149 písm. b) CRR,</w:t>
            </w:r>
            <w:r w:rsidR="004E4BE4">
              <w:rPr>
                <w:rFonts w:ascii="Times New Roman" w:hAnsi="Times New Roman"/>
              </w:rPr>
              <w:t xml:space="preserve"> a </w:t>
            </w:r>
            <w:r w:rsidRPr="004E4BE4">
              <w:rPr>
                <w:rFonts w:ascii="Times New Roman" w:hAnsi="Times New Roman"/>
              </w:rPr>
              <w:t>ich celková výška je obmedzená na 100 000 EUR na dlžníka.</w:t>
            </w:r>
          </w:p>
          <w:p w:rsidR="004D36F1" w:rsidRPr="004E4BE4" w:rsidRDefault="004D36F1" w:rsidP="007E2A41">
            <w:pPr>
              <w:pStyle w:val="BodyText1"/>
              <w:spacing w:line="240" w:lineRule="auto"/>
              <w:rPr>
                <w:rFonts w:ascii="Times New Roman" w:hAnsi="Times New Roman"/>
                <w:bCs/>
              </w:rPr>
            </w:pPr>
          </w:p>
          <w:p w:rsidR="004D36F1" w:rsidRPr="004E4BE4" w:rsidRDefault="004D36F1" w:rsidP="007E2A4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{120;070}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Bezpodmienečne zrušiteľné prísľuby</w:t>
            </w:r>
            <w:r w:rsidR="004E4BE4" w:rsidRPr="00ED4583">
              <w:rPr>
                <w:rFonts w:ascii="Times New Roman" w:hAnsi="Times New Roman"/>
                <w:b/>
              </w:rPr>
              <w:t xml:space="preserve"> z </w:t>
            </w:r>
            <w:r w:rsidRPr="00ED4583">
              <w:rPr>
                <w:rFonts w:ascii="Times New Roman" w:hAnsi="Times New Roman"/>
                <w:b/>
              </w:rPr>
              <w:t>kreditných kariet – nominálna hodnota</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w:t>
            </w:r>
            <w:r w:rsidR="004E4BE4">
              <w:rPr>
                <w:rFonts w:ascii="Times New Roman" w:hAnsi="Times New Roman"/>
              </w:rPr>
              <w:t xml:space="preserve"> a </w:t>
            </w:r>
            <w:r w:rsidRPr="004E4BE4">
              <w:rPr>
                <w:rFonts w:ascii="Times New Roman" w:hAnsi="Times New Roman"/>
              </w:rPr>
              <w:t>článok 154 ods. 4 CRR</w:t>
            </w:r>
          </w:p>
          <w:p w:rsidR="00410E47" w:rsidRPr="004E4BE4" w:rsidRDefault="00410E47" w:rsidP="007E2A41">
            <w:pPr>
              <w:pStyle w:val="BodyText1"/>
              <w:spacing w:line="240" w:lineRule="auto"/>
              <w:rPr>
                <w:rFonts w:ascii="Times New Roman" w:hAnsi="Times New Roman"/>
                <w:bCs/>
              </w:rPr>
            </w:pPr>
          </w:p>
          <w:p w:rsidR="00A51BD1" w:rsidRPr="004E4BE4" w:rsidRDefault="001005A7" w:rsidP="007E2A41">
            <w:pPr>
              <w:pStyle w:val="BodyText1"/>
              <w:spacing w:line="240" w:lineRule="auto"/>
              <w:rPr>
                <w:rFonts w:ascii="Times New Roman" w:hAnsi="Times New Roman"/>
                <w:bCs/>
              </w:rPr>
            </w:pPr>
            <w:r w:rsidRPr="004E4BE4">
              <w:rPr>
                <w:rFonts w:ascii="Times New Roman" w:hAnsi="Times New Roman"/>
              </w:rPr>
              <w:t>V tejto bunke sa uvádza nominálna hodnota prísľubov</w:t>
            </w:r>
            <w:r w:rsidR="004E4BE4">
              <w:rPr>
                <w:rFonts w:ascii="Times New Roman" w:hAnsi="Times New Roman"/>
              </w:rPr>
              <w:t xml:space="preserve"> z </w:t>
            </w:r>
            <w:r w:rsidRPr="004E4BE4">
              <w:rPr>
                <w:rFonts w:ascii="Times New Roman" w:hAnsi="Times New Roman"/>
              </w:rPr>
              <w:t>kreditných kariet, ktoré sú kedykoľvek bezpodmienečne zrušiteľné inštitúciou bez výpovede (UCC), ktorým by bol podľa štandardizovaného prístupu ku kreditnému riziku pridelený 0</w:t>
            </w:r>
            <w:r w:rsidR="004E4BE4">
              <w:rPr>
                <w:rFonts w:ascii="Times New Roman" w:hAnsi="Times New Roman"/>
              </w:rPr>
              <w:t> %</w:t>
            </w:r>
            <w:r w:rsidRPr="004E4BE4">
              <w:rPr>
                <w:rFonts w:ascii="Times New Roman" w:hAnsi="Times New Roman"/>
              </w:rPr>
              <w:t xml:space="preserve"> konverzný faktor úverov.</w:t>
            </w:r>
            <w:r w:rsidRPr="004E4BE4">
              <w:t xml:space="preserve"> </w:t>
            </w:r>
            <w:r w:rsidRPr="004E4BE4">
              <w:rPr>
                <w:rFonts w:ascii="Times New Roman" w:hAnsi="Times New Roman"/>
              </w:rPr>
              <w:t>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A51BD1" w:rsidRPr="004E4BE4" w:rsidRDefault="00A51BD1"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do tejto bunky nezahŕňajú kreditné prísľuby, ktoré účinne umožňujú automatické zrušenie</w:t>
            </w:r>
            <w:r w:rsidR="004E4BE4">
              <w:rPr>
                <w:rFonts w:ascii="Times New Roman" w:hAnsi="Times New Roman"/>
              </w:rPr>
              <w:t xml:space="preserve"> z </w:t>
            </w:r>
            <w:r w:rsidRPr="004E4BE4">
              <w:rPr>
                <w:rFonts w:ascii="Times New Roman" w:hAnsi="Times New Roman"/>
              </w:rPr>
              <w:t>dôvodu zhoršenia úverovej bonity dlžníka, ale nie sú UCC.</w:t>
            </w:r>
          </w:p>
          <w:p w:rsidR="004D36F1" w:rsidRPr="004E4BE4" w:rsidRDefault="004D36F1" w:rsidP="007E2A41">
            <w:pPr>
              <w:pStyle w:val="BodyText1"/>
              <w:spacing w:line="240" w:lineRule="auto"/>
              <w:rPr>
                <w:rFonts w:ascii="Times New Roman" w:hAnsi="Times New Roman"/>
                <w:bCs/>
              </w:rPr>
            </w:pPr>
          </w:p>
          <w:p w:rsidR="004D36F1" w:rsidRPr="004E4BE4" w:rsidRDefault="004D36F1" w:rsidP="007E2A4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{130;070}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Nerevolvingové bezpodmienečne zrušiteľné prísľuby – nominálna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w:t>
            </w:r>
            <w:r w:rsidR="004E4BE4">
              <w:rPr>
                <w:rFonts w:ascii="Times New Roman" w:hAnsi="Times New Roman"/>
              </w:rPr>
              <w:t xml:space="preserve"> a </w:t>
            </w:r>
            <w:r w:rsidRPr="004E4BE4">
              <w:rPr>
                <w:rFonts w:ascii="Times New Roman" w:hAnsi="Times New Roman"/>
              </w:rPr>
              <w:t>článok 154 ods. 4 CRR</w:t>
            </w:r>
          </w:p>
          <w:p w:rsidR="00410E47" w:rsidRPr="00ED4583" w:rsidRDefault="00410E47" w:rsidP="007E2A41">
            <w:pPr>
              <w:pStyle w:val="BodyText1"/>
              <w:spacing w:line="240" w:lineRule="auto"/>
              <w:rPr>
                <w:rFonts w:ascii="Times New Roman" w:hAnsi="Times New Roman"/>
                <w:b/>
                <w:bCs/>
              </w:rPr>
            </w:pPr>
          </w:p>
          <w:p w:rsidR="00A51BD1" w:rsidRPr="004E4BE4" w:rsidRDefault="00410E47" w:rsidP="007E2A41">
            <w:pPr>
              <w:pStyle w:val="BodyText1"/>
              <w:spacing w:line="240" w:lineRule="auto"/>
              <w:rPr>
                <w:rFonts w:ascii="Times New Roman" w:hAnsi="Times New Roman"/>
                <w:bCs/>
              </w:rPr>
            </w:pPr>
            <w:r w:rsidRPr="004E4BE4">
              <w:rPr>
                <w:rFonts w:ascii="Times New Roman" w:hAnsi="Times New Roman"/>
              </w:rPr>
              <w:t>Uvádza sa nominálna hodnota ostatných prísľubov, ktoré sú kedykoľvek bezpodmienečne zrušiteľné inštitúciou bez výpovede (UCC)</w:t>
            </w:r>
            <w:r w:rsidR="004E4BE4">
              <w:rPr>
                <w:rFonts w:ascii="Times New Roman" w:hAnsi="Times New Roman"/>
              </w:rPr>
              <w:t xml:space="preserve"> a </w:t>
            </w:r>
            <w:r w:rsidRPr="004E4BE4">
              <w:rPr>
                <w:rFonts w:ascii="Times New Roman" w:hAnsi="Times New Roman"/>
              </w:rPr>
              <w:t>ktorým by bol podľa štandardizovaného prístupu ku kreditnému riziku pridelený 0</w:t>
            </w:r>
            <w:r w:rsidR="004E4BE4">
              <w:rPr>
                <w:rFonts w:ascii="Times New Roman" w:hAnsi="Times New Roman"/>
              </w:rPr>
              <w:t> %</w:t>
            </w:r>
            <w:r w:rsidRPr="004E4BE4">
              <w:rPr>
                <w:rFonts w:ascii="Times New Roman" w:hAnsi="Times New Roman"/>
              </w:rPr>
              <w:t xml:space="preserve"> konverzný faktor úverov. 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A51BD1" w:rsidRPr="004E4BE4" w:rsidRDefault="00A51BD1"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Inštitúcie do tejto bunky nezahŕňajú kreditné prísľuby, ktoré účinne umožňujú automatické zrušenie</w:t>
            </w:r>
            <w:r w:rsidR="004E4BE4">
              <w:rPr>
                <w:rFonts w:ascii="Times New Roman" w:hAnsi="Times New Roman"/>
              </w:rPr>
              <w:t xml:space="preserve"> z </w:t>
            </w:r>
            <w:r w:rsidRPr="004E4BE4">
              <w:rPr>
                <w:rFonts w:ascii="Times New Roman" w:hAnsi="Times New Roman"/>
              </w:rPr>
              <w:t>dôvodu zhoršenia úverovej bonity dlžníka, ale nie sú UCC.</w:t>
            </w:r>
          </w:p>
          <w:p w:rsidR="004D36F1" w:rsidRPr="004E4BE4" w:rsidRDefault="004D36F1" w:rsidP="007E2A41">
            <w:pPr>
              <w:pStyle w:val="BodyText1"/>
              <w:spacing w:line="240" w:lineRule="auto"/>
              <w:rPr>
                <w:rFonts w:ascii="Times New Roman" w:hAnsi="Times New Roman"/>
                <w:bCs/>
              </w:rPr>
            </w:pPr>
          </w:p>
          <w:p w:rsidR="004D36F1" w:rsidRPr="004E4BE4" w:rsidRDefault="004D36F1" w:rsidP="007E2A4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{140;070}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Stredne/nízkorizikové podsúvahové položky podľa RSA – nominálna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nominálna hodnota podsúvahových položiek, ktorým by sa podľa štandardizovaného prístupu ku kreditnému riziku priradil 20</w:t>
            </w:r>
            <w:r w:rsidR="004E4BE4">
              <w:rPr>
                <w:rFonts w:ascii="Times New Roman" w:hAnsi="Times New Roman"/>
              </w:rPr>
              <w:t> %</w:t>
            </w:r>
            <w:r w:rsidRPr="004E4BE4">
              <w:rPr>
                <w:rFonts w:ascii="Times New Roman" w:hAnsi="Times New Roman"/>
              </w:rPr>
              <w:t xml:space="preserve"> konverzný faktor úverov.</w:t>
            </w:r>
            <w:r w:rsidRPr="004E4BE4">
              <w:t xml:space="preserve"> </w:t>
            </w:r>
            <w:r w:rsidRPr="004E4BE4">
              <w:rPr>
                <w:rFonts w:ascii="Times New Roman" w:hAnsi="Times New Roman"/>
              </w:rPr>
              <w:t>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4D36F1" w:rsidRPr="004E4BE4" w:rsidRDefault="004D36F1" w:rsidP="007E2A41">
            <w:pPr>
              <w:pStyle w:val="BodyText1"/>
              <w:spacing w:line="240" w:lineRule="auto"/>
              <w:rPr>
                <w:rFonts w:ascii="Times New Roman" w:hAnsi="Times New Roman"/>
                <w:bCs/>
              </w:rPr>
            </w:pPr>
          </w:p>
          <w:p w:rsidR="004D36F1" w:rsidRPr="004E4BE4" w:rsidRDefault="004D36F1" w:rsidP="007E2A4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1081">
            <w:pPr>
              <w:pStyle w:val="BodyText1"/>
              <w:rPr>
                <w:rFonts w:ascii="Times New Roman" w:hAnsi="Times New Roman"/>
                <w:bCs/>
              </w:rPr>
            </w:pPr>
            <w:r w:rsidRPr="004E4BE4">
              <w:rPr>
                <w:rFonts w:ascii="Times New Roman" w:hAnsi="Times New Roman"/>
              </w:rPr>
              <w:t>{150;070}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Stredne rizikové podsúvahové položky podľa RSA – nominálna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nominálna hodnota podsúvahových položiek, ktorým by sa podľa štandardizovaného prístupu ku kreditnému riziku priradil 50</w:t>
            </w:r>
            <w:r w:rsidR="004E4BE4">
              <w:rPr>
                <w:rFonts w:ascii="Times New Roman" w:hAnsi="Times New Roman"/>
              </w:rPr>
              <w:t> %</w:t>
            </w:r>
            <w:r w:rsidRPr="004E4BE4">
              <w:rPr>
                <w:rFonts w:ascii="Times New Roman" w:hAnsi="Times New Roman"/>
              </w:rPr>
              <w:t xml:space="preserve"> konverzný faktor úverov.</w:t>
            </w:r>
            <w:r w:rsidRPr="004E4BE4">
              <w:t xml:space="preserve"> </w:t>
            </w:r>
            <w:r w:rsidRPr="004E4BE4">
              <w:rPr>
                <w:rFonts w:ascii="Times New Roman" w:hAnsi="Times New Roman"/>
              </w:rPr>
              <w:t>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4D36F1" w:rsidRPr="004E4BE4" w:rsidRDefault="004D36F1" w:rsidP="007E2A41">
            <w:pPr>
              <w:pStyle w:val="BodyText1"/>
              <w:spacing w:line="240" w:lineRule="auto"/>
              <w:rPr>
                <w:rFonts w:ascii="Times New Roman" w:hAnsi="Times New Roman"/>
                <w:bCs/>
              </w:rPr>
            </w:pPr>
          </w:p>
          <w:p w:rsidR="004D36F1" w:rsidRPr="004E4BE4" w:rsidRDefault="004D36F1" w:rsidP="007E2A4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{160;070}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Plne rizikové podsúvahové položky podľa RSA – nominálna hodnota</w:t>
            </w:r>
          </w:p>
          <w:p w:rsidR="00410E47" w:rsidRPr="004E4BE4" w:rsidRDefault="00410E47" w:rsidP="007E2A41">
            <w:pPr>
              <w:pStyle w:val="BodyText1"/>
              <w:spacing w:line="240" w:lineRule="auto"/>
              <w:rPr>
                <w:rFonts w:ascii="Times New Roman" w:hAnsi="Times New Roman"/>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 CRR</w:t>
            </w:r>
          </w:p>
          <w:p w:rsidR="00410E47" w:rsidRPr="00ED4583" w:rsidRDefault="00410E47" w:rsidP="007E2A41">
            <w:pPr>
              <w:pStyle w:val="BodyText1"/>
              <w:spacing w:line="240" w:lineRule="auto"/>
              <w:rPr>
                <w:rFonts w:ascii="Times New Roman" w:hAnsi="Times New Roman"/>
                <w:b/>
                <w:bCs/>
              </w:rPr>
            </w:pPr>
          </w:p>
          <w:p w:rsidR="00A51BD1" w:rsidRPr="004E4BE4" w:rsidRDefault="00410E47" w:rsidP="00A51BD1">
            <w:pPr>
              <w:pStyle w:val="BodyText1"/>
              <w:spacing w:line="240" w:lineRule="auto"/>
              <w:rPr>
                <w:rFonts w:ascii="Times New Roman" w:hAnsi="Times New Roman"/>
                <w:bCs/>
              </w:rPr>
            </w:pPr>
            <w:r w:rsidRPr="004E4BE4">
              <w:rPr>
                <w:rFonts w:ascii="Times New Roman" w:hAnsi="Times New Roman"/>
              </w:rPr>
              <w:t>V tejto bunke sa uvádza nominálna hodnota podsúvahových položiek, ktorým by sa podľa štandardizovaného prístupu ku kreditnému riziku priradil 100</w:t>
            </w:r>
            <w:r w:rsidR="004E4BE4">
              <w:rPr>
                <w:rFonts w:ascii="Times New Roman" w:hAnsi="Times New Roman"/>
              </w:rPr>
              <w:t> %</w:t>
            </w:r>
            <w:r w:rsidRPr="004E4BE4">
              <w:rPr>
                <w:rFonts w:ascii="Times New Roman" w:hAnsi="Times New Roman"/>
              </w:rPr>
              <w:t xml:space="preserve"> konverzný faktor úverov. 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410E47" w:rsidRPr="004E4BE4" w:rsidRDefault="00410E47" w:rsidP="007E2A41">
            <w:pPr>
              <w:pStyle w:val="BodyText1"/>
              <w:spacing w:line="240" w:lineRule="auto"/>
              <w:rPr>
                <w:rFonts w:ascii="Times New Roman" w:hAnsi="Times New Roman"/>
                <w:bCs/>
              </w:rPr>
            </w:pPr>
          </w:p>
          <w:p w:rsidR="00410E47" w:rsidRPr="004E4BE4" w:rsidRDefault="0034348F" w:rsidP="007E2A41">
            <w:pPr>
              <w:pStyle w:val="BodyText1"/>
              <w:spacing w:line="240" w:lineRule="auto"/>
              <w:rPr>
                <w:rFonts w:ascii="Times New Roman" w:hAnsi="Times New Roman"/>
                <w:bCs/>
              </w:rPr>
            </w:pPr>
            <w:r w:rsidRPr="004E4BE4">
              <w:rPr>
                <w:rFonts w:ascii="Times New Roman" w:hAnsi="Times New Roman"/>
              </w:rPr>
              <w:t>Inštitúcie</w:t>
            </w:r>
            <w:r w:rsidR="004E4BE4">
              <w:rPr>
                <w:rFonts w:ascii="Times New Roman" w:hAnsi="Times New Roman"/>
              </w:rPr>
              <w:t xml:space="preserve"> v </w:t>
            </w:r>
            <w:r w:rsidRPr="004E4BE4">
              <w:rPr>
                <w:rFonts w:ascii="Times New Roman" w:hAnsi="Times New Roman"/>
              </w:rPr>
              <w:t>tejto bunke nezohľadňujú zmluvy uvedené</w:t>
            </w:r>
            <w:r w:rsidR="004E4BE4">
              <w:rPr>
                <w:rFonts w:ascii="Times New Roman" w:hAnsi="Times New Roman"/>
              </w:rPr>
              <w:t xml:space="preserve"> v </w:t>
            </w:r>
            <w:r w:rsidRPr="004E4BE4">
              <w:rPr>
                <w:rFonts w:ascii="Times New Roman" w:hAnsi="Times New Roman"/>
              </w:rPr>
              <w:t>prílohe II</w:t>
            </w:r>
            <w:r w:rsidR="004E4BE4">
              <w:rPr>
                <w:rFonts w:ascii="Times New Roman" w:hAnsi="Times New Roman"/>
              </w:rPr>
              <w:t xml:space="preserve"> k </w:t>
            </w:r>
            <w:r w:rsidRPr="004E4BE4">
              <w:rPr>
                <w:rFonts w:ascii="Times New Roman" w:hAnsi="Times New Roman"/>
              </w:rPr>
              <w:t>CRR, kreditné deriváty</w:t>
            </w:r>
            <w:r w:rsidR="004E4BE4">
              <w:rPr>
                <w:rFonts w:ascii="Times New Roman" w:hAnsi="Times New Roman"/>
              </w:rPr>
              <w:t xml:space="preserve"> a </w:t>
            </w:r>
            <w:r w:rsidRPr="004E4BE4">
              <w:rPr>
                <w:rFonts w:ascii="Times New Roman" w:hAnsi="Times New Roman"/>
              </w:rPr>
              <w:t>SFT</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10 CRR.</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{170;070}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(Doplňujúca položka) Čerpané sumy revolvingových retailových expozícií – nominálna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154 ods. 4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nominálna hodnota súm čerpaných</w:t>
            </w:r>
            <w:r w:rsidR="004E4BE4">
              <w:rPr>
                <w:rFonts w:ascii="Times New Roman" w:hAnsi="Times New Roman"/>
              </w:rPr>
              <w:t xml:space="preserve"> v </w:t>
            </w:r>
            <w:r w:rsidRPr="004E4BE4">
              <w:rPr>
                <w:rFonts w:ascii="Times New Roman" w:hAnsi="Times New Roman"/>
              </w:rPr>
              <w:t>rámci podsúvahových revolvingových retailových expozícií.</w:t>
            </w:r>
            <w:r w:rsidRPr="004E4BE4">
              <w:t xml:space="preserve"> </w:t>
            </w:r>
            <w:r w:rsidRPr="004E4BE4">
              <w:rPr>
                <w:rFonts w:ascii="Times New Roman" w:hAnsi="Times New Roman"/>
              </w:rPr>
              <w:t>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{180;070}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(Doplňujúca položka) Čerpané sumy bezpodmienečne zrušiteľných prísľubov</w:t>
            </w:r>
            <w:r w:rsidR="004E4BE4" w:rsidRPr="00ED4583">
              <w:rPr>
                <w:rFonts w:ascii="Times New Roman" w:hAnsi="Times New Roman"/>
                <w:b/>
              </w:rPr>
              <w:t xml:space="preserve"> z </w:t>
            </w:r>
            <w:r w:rsidRPr="00ED4583">
              <w:rPr>
                <w:rFonts w:ascii="Times New Roman" w:hAnsi="Times New Roman"/>
                <w:b/>
              </w:rPr>
              <w:t>kreditných kariet – nominálna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w:t>
            </w:r>
            <w:r w:rsidR="004E4BE4">
              <w:rPr>
                <w:rFonts w:ascii="Times New Roman" w:hAnsi="Times New Roman"/>
              </w:rPr>
              <w:t xml:space="preserve"> a </w:t>
            </w:r>
            <w:r w:rsidRPr="004E4BE4">
              <w:rPr>
                <w:rFonts w:ascii="Times New Roman" w:hAnsi="Times New Roman"/>
              </w:rPr>
              <w:t>článok 154 ods. 4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nominálna hodnota súm čerpaných</w:t>
            </w:r>
            <w:r w:rsidR="004E4BE4">
              <w:rPr>
                <w:rFonts w:ascii="Times New Roman" w:hAnsi="Times New Roman"/>
              </w:rPr>
              <w:t xml:space="preserve"> v </w:t>
            </w:r>
            <w:r w:rsidRPr="004E4BE4">
              <w:rPr>
                <w:rFonts w:ascii="Times New Roman" w:hAnsi="Times New Roman"/>
              </w:rPr>
              <w:t>rámci bezpodmienečne zrušiteľných prísľubov</w:t>
            </w:r>
            <w:r w:rsidR="004E4BE4">
              <w:rPr>
                <w:rFonts w:ascii="Times New Roman" w:hAnsi="Times New Roman"/>
              </w:rPr>
              <w:t xml:space="preserve"> z </w:t>
            </w:r>
            <w:r w:rsidRPr="004E4BE4">
              <w:rPr>
                <w:rFonts w:ascii="Times New Roman" w:hAnsi="Times New Roman"/>
              </w:rPr>
              <w:t>kreditných kariet. 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{190;070}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(Doplňujúca položka) Čerpané sumy nerevolvingových bezpodmienečne zrušiteľných prísľubov – nominálna hodnota</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Článok 111</w:t>
            </w:r>
            <w:r w:rsidR="004E4BE4">
              <w:rPr>
                <w:rFonts w:ascii="Times New Roman" w:hAnsi="Times New Roman"/>
              </w:rPr>
              <w:t xml:space="preserve"> a </w:t>
            </w:r>
            <w:r w:rsidRPr="004E4BE4">
              <w:rPr>
                <w:rFonts w:ascii="Times New Roman" w:hAnsi="Times New Roman"/>
              </w:rPr>
              <w:t>článok 154 ods. 4 CRR</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V tejto bunke sa uvádza nominálna hodnota súm čerpaných</w:t>
            </w:r>
            <w:r w:rsidR="004E4BE4">
              <w:rPr>
                <w:rFonts w:ascii="Times New Roman" w:hAnsi="Times New Roman"/>
              </w:rPr>
              <w:t xml:space="preserve"> v </w:t>
            </w:r>
            <w:r w:rsidRPr="004E4BE4">
              <w:rPr>
                <w:rFonts w:ascii="Times New Roman" w:hAnsi="Times New Roman"/>
              </w:rPr>
              <w:t>rámci nerevolvingových bezpodmienečne zrušiteľných prísľubov</w:t>
            </w:r>
            <w:r w:rsidR="004E4BE4">
              <w:rPr>
                <w:rFonts w:ascii="Times New Roman" w:hAnsi="Times New Roman"/>
              </w:rPr>
              <w:t xml:space="preserve"> z </w:t>
            </w:r>
            <w:r w:rsidRPr="004E4BE4">
              <w:rPr>
                <w:rFonts w:ascii="Times New Roman" w:hAnsi="Times New Roman"/>
              </w:rPr>
              <w:t>kreditných kariet.</w:t>
            </w:r>
            <w:r w:rsidRPr="004E4BE4">
              <w:t xml:space="preserve"> </w:t>
            </w:r>
            <w:r w:rsidRPr="004E4BE4">
              <w:rPr>
                <w:rFonts w:ascii="Times New Roman" w:hAnsi="Times New Roman"/>
              </w:rPr>
              <w:t>Táto hodnota sa neznižuje</w:t>
            </w:r>
            <w:r w:rsidR="004E4BE4">
              <w:rPr>
                <w:rFonts w:ascii="Times New Roman" w:hAnsi="Times New Roman"/>
              </w:rPr>
              <w:t xml:space="preserve"> o </w:t>
            </w:r>
            <w:r w:rsidRPr="004E4BE4">
              <w:rPr>
                <w:rFonts w:ascii="Times New Roman" w:hAnsi="Times New Roman"/>
              </w:rPr>
              <w:t>špecifické úpravy kreditného rizika.</w:t>
            </w:r>
          </w:p>
          <w:p w:rsidR="00410E47" w:rsidRPr="00040D93" w:rsidRDefault="00410E47" w:rsidP="007E2A41">
            <w:pPr>
              <w:pStyle w:val="BodyText1"/>
              <w:spacing w:line="240" w:lineRule="auto"/>
              <w:rPr>
                <w:rFonts w:ascii="Times New Roman" w:hAnsi="Times New Roman"/>
                <w:b/>
                <w:bCs/>
                <w:u w:val="single"/>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{210;020}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Peňažný kolaterál prijatý</w:t>
            </w:r>
            <w:r w:rsidR="004E4BE4" w:rsidRPr="00ED4583">
              <w:rPr>
                <w:rFonts w:ascii="Times New Roman" w:hAnsi="Times New Roman"/>
                <w:b/>
              </w:rPr>
              <w:t xml:space="preserve"> v </w:t>
            </w:r>
            <w:r w:rsidRPr="00ED4583">
              <w:rPr>
                <w:rFonts w:ascii="Times New Roman" w:hAnsi="Times New Roman"/>
                <w:b/>
              </w:rPr>
              <w:t>rámci derivátových transakcií – účtovná hodnota bez zohľadnenia vzájomného započítavania alebo iného CRM</w:t>
            </w:r>
          </w:p>
          <w:p w:rsidR="00410E47" w:rsidRPr="00ED4583" w:rsidRDefault="00410E47" w:rsidP="007E2A41">
            <w:pPr>
              <w:pStyle w:val="BodyText1"/>
              <w:spacing w:line="240" w:lineRule="auto"/>
              <w:rPr>
                <w:rFonts w:ascii="Times New Roman" w:hAnsi="Times New Roman"/>
                <w:b/>
                <w:bCs/>
              </w:rPr>
            </w:pPr>
          </w:p>
          <w:p w:rsidR="00410E47" w:rsidRPr="004E4BE4" w:rsidRDefault="00410E47" w:rsidP="007E2A41">
            <w:pPr>
              <w:pStyle w:val="BodyText1"/>
              <w:spacing w:line="240" w:lineRule="auto"/>
              <w:rPr>
                <w:rFonts w:ascii="Times New Roman" w:hAnsi="Times New Roman"/>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peňažného kolaterálu prijatého</w:t>
            </w:r>
            <w:r w:rsidR="004E4BE4">
              <w:rPr>
                <w:rFonts w:ascii="Times New Roman" w:hAnsi="Times New Roman"/>
              </w:rPr>
              <w:t xml:space="preserve"> v </w:t>
            </w:r>
            <w:r w:rsidRPr="004E4BE4">
              <w:rPr>
                <w:rFonts w:ascii="Times New Roman" w:hAnsi="Times New Roman"/>
              </w:rPr>
              <w:t>rámci derivátových transakcií bez zohľadnenia účinkov účtovného vzájomného započítavania alebo iného CRM (t. j. stornujú sa všetky účinky účtovného vzájomného započítavania alebo CRM, ktoré ovplyvnili účtovnú hodnotu).</w:t>
            </w:r>
          </w:p>
          <w:p w:rsidR="00410E47" w:rsidRPr="004E4BE4" w:rsidRDefault="00410E47" w:rsidP="007E2A41">
            <w:pPr>
              <w:pStyle w:val="BodyText1"/>
              <w:spacing w:line="240" w:lineRule="auto"/>
              <w:rPr>
                <w:rFonts w:ascii="Times New Roman" w:hAnsi="Times New Roman"/>
                <w:bCs/>
              </w:rPr>
            </w:pPr>
          </w:p>
          <w:p w:rsidR="00410E47" w:rsidRPr="00ED4583" w:rsidRDefault="00410E47" w:rsidP="00217B44">
            <w:pPr>
              <w:pStyle w:val="BodyText1"/>
              <w:tabs>
                <w:tab w:val="left" w:pos="4755"/>
              </w:tabs>
              <w:spacing w:line="240" w:lineRule="auto"/>
              <w:rPr>
                <w:rFonts w:ascii="Times New Roman" w:hAnsi="Times New Roman"/>
                <w:b/>
                <w:bCs/>
              </w:rPr>
            </w:pPr>
            <w:r w:rsidRPr="004E4BE4">
              <w:rPr>
                <w:rFonts w:ascii="Times New Roman" w:hAnsi="Times New Roman"/>
              </w:rPr>
              <w:t>Na účely tejto bunky je peňažná hotovosť vymedzená ako celková výška peňažnej hotovosti vrátane mincí</w:t>
            </w:r>
            <w:r w:rsidR="004E4BE4">
              <w:rPr>
                <w:rFonts w:ascii="Times New Roman" w:hAnsi="Times New Roman"/>
              </w:rPr>
              <w:t xml:space="preserve"> a </w:t>
            </w:r>
            <w:r w:rsidRPr="004E4BE4">
              <w:rPr>
                <w:rFonts w:ascii="Times New Roman" w:hAnsi="Times New Roman"/>
              </w:rPr>
              <w:t>bankoviek/mena. Celková výška vkladov držaných</w:t>
            </w:r>
            <w:r w:rsidR="004E4BE4">
              <w:rPr>
                <w:rFonts w:ascii="Times New Roman" w:hAnsi="Times New Roman"/>
              </w:rPr>
              <w:t xml:space="preserve"> v </w:t>
            </w:r>
            <w:r w:rsidRPr="004E4BE4">
              <w:rPr>
                <w:rFonts w:ascii="Times New Roman" w:hAnsi="Times New Roman"/>
              </w:rPr>
              <w:t>centrálnych bankách sa zahŕňa</w:t>
            </w:r>
            <w:r w:rsidR="004E4BE4">
              <w:rPr>
                <w:rFonts w:ascii="Times New Roman" w:hAnsi="Times New Roman"/>
              </w:rPr>
              <w:t xml:space="preserve"> v </w:t>
            </w:r>
            <w:r w:rsidRPr="004E4BE4">
              <w:rPr>
                <w:rFonts w:ascii="Times New Roman" w:hAnsi="Times New Roman"/>
              </w:rPr>
              <w:t>prípade, ak tieto vklady možno vybrať</w:t>
            </w:r>
            <w:r w:rsidR="004E4BE4">
              <w:rPr>
                <w:rFonts w:ascii="Times New Roman" w:hAnsi="Times New Roman"/>
              </w:rPr>
              <w:t xml:space="preserve"> v </w:t>
            </w:r>
            <w:r w:rsidRPr="004E4BE4">
              <w:rPr>
                <w:rFonts w:ascii="Times New Roman" w:hAnsi="Times New Roman"/>
              </w:rPr>
              <w:t>čase stresu. Inštitúcie</w:t>
            </w:r>
            <w:r w:rsidR="004E4BE4">
              <w:rPr>
                <w:rFonts w:ascii="Times New Roman" w:hAnsi="Times New Roman"/>
              </w:rPr>
              <w:t xml:space="preserve"> v </w:t>
            </w:r>
            <w:r w:rsidRPr="004E4BE4">
              <w:rPr>
                <w:rFonts w:ascii="Times New Roman" w:hAnsi="Times New Roman"/>
              </w:rPr>
              <w:t>tejto bunke nevykazujú peňažné vklady</w:t>
            </w:r>
            <w:r w:rsidR="004E4BE4">
              <w:rPr>
                <w:rFonts w:ascii="Times New Roman" w:hAnsi="Times New Roman"/>
              </w:rPr>
              <w:t xml:space="preserve"> v </w:t>
            </w:r>
            <w:r w:rsidRPr="004E4BE4">
              <w:rPr>
                <w:rFonts w:ascii="Times New Roman" w:hAnsi="Times New Roman"/>
              </w:rPr>
              <w:t>iných inštitúciách.</w:t>
            </w:r>
          </w:p>
          <w:p w:rsidR="00410E47" w:rsidRPr="00ED4583" w:rsidRDefault="00410E47" w:rsidP="007E2A41">
            <w:pPr>
              <w:pStyle w:val="BodyText1"/>
              <w:spacing w:line="240" w:lineRule="auto"/>
              <w:rPr>
                <w:rFonts w:ascii="Times New Roman" w:hAnsi="Times New Roman"/>
                <w:b/>
                <w:bCs/>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{220;020}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Pohľadávky</w:t>
            </w:r>
            <w:r w:rsidR="004E4BE4" w:rsidRPr="00ED4583">
              <w:rPr>
                <w:rFonts w:ascii="Times New Roman" w:hAnsi="Times New Roman"/>
                <w:b/>
              </w:rPr>
              <w:t xml:space="preserve"> z </w:t>
            </w:r>
            <w:r w:rsidRPr="00ED4583">
              <w:rPr>
                <w:rFonts w:ascii="Times New Roman" w:hAnsi="Times New Roman"/>
                <w:b/>
              </w:rPr>
              <w:t>peňažného kolaterálu zloženého</w:t>
            </w:r>
            <w:r w:rsidR="004E4BE4" w:rsidRPr="00ED4583">
              <w:rPr>
                <w:rFonts w:ascii="Times New Roman" w:hAnsi="Times New Roman"/>
                <w:b/>
              </w:rPr>
              <w:t xml:space="preserve"> v </w:t>
            </w:r>
            <w:r w:rsidRPr="00ED4583">
              <w:rPr>
                <w:rFonts w:ascii="Times New Roman" w:hAnsi="Times New Roman"/>
                <w:b/>
              </w:rPr>
              <w:t>derivátových transakciách – účtovná hodnota bez zohľadnenia vzájomného započítavania alebo iného CRM</w:t>
            </w:r>
          </w:p>
          <w:p w:rsidR="00410E47" w:rsidRPr="00ED4583" w:rsidRDefault="00410E47" w:rsidP="007E2A41">
            <w:pPr>
              <w:pStyle w:val="BodyText1"/>
              <w:spacing w:line="240" w:lineRule="auto"/>
              <w:rPr>
                <w:rFonts w:ascii="Times New Roman" w:hAnsi="Times New Roman"/>
                <w:b/>
                <w:bCs/>
              </w:rPr>
            </w:pPr>
          </w:p>
          <w:p w:rsidR="00410E47" w:rsidRPr="00ED4583" w:rsidRDefault="00410E47" w:rsidP="007E2A41">
            <w:pPr>
              <w:pStyle w:val="BodyText1"/>
              <w:spacing w:line="240" w:lineRule="auto"/>
              <w:rPr>
                <w:rFonts w:ascii="Times New Roman" w:hAnsi="Times New Roman"/>
                <w:b/>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pohľadávok</w:t>
            </w:r>
            <w:r w:rsidR="004E4BE4">
              <w:rPr>
                <w:rFonts w:ascii="Times New Roman" w:hAnsi="Times New Roman"/>
              </w:rPr>
              <w:t xml:space="preserve"> z </w:t>
            </w:r>
            <w:r w:rsidRPr="004E4BE4">
              <w:rPr>
                <w:rFonts w:ascii="Times New Roman" w:hAnsi="Times New Roman"/>
              </w:rPr>
              <w:t>peňažného kolaterálu zloženého proti derivátovým transakciám bez zohľadnenia účinkov účtovného vzájomného započítavania alebo CRM (t. j. stornujú sa všetky účinky účtovného vzájomného započítavania alebo CRM, ktoré ovplyvnili účtovnú hodnotu). Inštitúcie, ktoré majú podľa uplatniteľného účtovného rámca povolené vzájomne započítať pohľadávky zo zloženého peňažného kolaterálu proti súvisiacim derivátovým záväzkom (záporná reálna hodnota)</w:t>
            </w:r>
            <w:r w:rsidR="004E4BE4">
              <w:rPr>
                <w:rFonts w:ascii="Times New Roman" w:hAnsi="Times New Roman"/>
              </w:rPr>
              <w:t xml:space="preserve"> a </w:t>
            </w:r>
            <w:r w:rsidRPr="004E4BE4">
              <w:rPr>
                <w:rFonts w:ascii="Times New Roman" w:hAnsi="Times New Roman"/>
              </w:rPr>
              <w:t>ktoré sa rozhodnú tak urobiť, musia stornovať vzájomné započítanie</w:t>
            </w:r>
            <w:r w:rsidR="004E4BE4">
              <w:rPr>
                <w:rFonts w:ascii="Times New Roman" w:hAnsi="Times New Roman"/>
              </w:rPr>
              <w:t xml:space="preserve"> a </w:t>
            </w:r>
            <w:r w:rsidRPr="004E4BE4">
              <w:rPr>
                <w:rFonts w:ascii="Times New Roman" w:hAnsi="Times New Roman"/>
              </w:rPr>
              <w:t>vykázať čistú peňažnú pohľadávku.</w:t>
            </w:r>
          </w:p>
          <w:p w:rsidR="00410E47" w:rsidRPr="00ED4583" w:rsidRDefault="00410E47" w:rsidP="007E2A41">
            <w:pPr>
              <w:pStyle w:val="BodyText1"/>
              <w:spacing w:line="240" w:lineRule="auto"/>
              <w:rPr>
                <w:rFonts w:ascii="Times New Roman" w:hAnsi="Times New Roman"/>
                <w:b/>
                <w:bCs/>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{230;020}</w:t>
            </w:r>
          </w:p>
        </w:tc>
        <w:tc>
          <w:tcPr>
            <w:tcW w:w="7620" w:type="dxa"/>
          </w:tcPr>
          <w:p w:rsidR="00410E47" w:rsidRPr="00ED4583" w:rsidRDefault="00410E47" w:rsidP="007E2A41">
            <w:pPr>
              <w:pStyle w:val="BodyText1"/>
              <w:spacing w:line="240" w:lineRule="auto"/>
              <w:rPr>
                <w:rFonts w:ascii="Times New Roman" w:hAnsi="Times New Roman"/>
                <w:b/>
                <w:bCs/>
              </w:rPr>
            </w:pPr>
            <w:r w:rsidRPr="00ED4583">
              <w:rPr>
                <w:rFonts w:ascii="Times New Roman" w:hAnsi="Times New Roman"/>
                <w:b/>
              </w:rPr>
              <w:t>Cenné papiere prijaté</w:t>
            </w:r>
            <w:r w:rsidR="004E4BE4" w:rsidRPr="00ED4583">
              <w:rPr>
                <w:rFonts w:ascii="Times New Roman" w:hAnsi="Times New Roman"/>
                <w:b/>
              </w:rPr>
              <w:t xml:space="preserve"> v </w:t>
            </w:r>
            <w:r w:rsidRPr="00ED4583">
              <w:rPr>
                <w:rFonts w:ascii="Times New Roman" w:hAnsi="Times New Roman"/>
                <w:b/>
              </w:rPr>
              <w:t>rámci SFT, ktoré sú vykázané ako aktívum – účtovná hodnota bez zohľadnenia vzájomného započítavania alebo iného CRM</w:t>
            </w:r>
          </w:p>
          <w:p w:rsidR="00410E47" w:rsidRPr="00ED4583" w:rsidRDefault="00410E47" w:rsidP="007E2A41">
            <w:pPr>
              <w:pStyle w:val="BodyText1"/>
              <w:spacing w:line="240" w:lineRule="auto"/>
              <w:rPr>
                <w:rFonts w:ascii="Times New Roman" w:hAnsi="Times New Roman"/>
                <w:b/>
                <w:bCs/>
              </w:rPr>
            </w:pPr>
          </w:p>
          <w:p w:rsidR="00410E47" w:rsidRPr="00ED4583" w:rsidRDefault="00410E47" w:rsidP="007E2A41">
            <w:pPr>
              <w:pStyle w:val="BodyText1"/>
              <w:spacing w:line="240" w:lineRule="auto"/>
              <w:rPr>
                <w:rFonts w:ascii="Times New Roman" w:hAnsi="Times New Roman"/>
                <w:b/>
                <w:bCs/>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cenných papierov prijatých</w:t>
            </w:r>
            <w:r w:rsidR="004E4BE4">
              <w:rPr>
                <w:rFonts w:ascii="Times New Roman" w:hAnsi="Times New Roman"/>
              </w:rPr>
              <w:t xml:space="preserve"> v </w:t>
            </w:r>
            <w:r w:rsidRPr="004E4BE4">
              <w:rPr>
                <w:rFonts w:ascii="Times New Roman" w:hAnsi="Times New Roman"/>
              </w:rPr>
              <w:t>rámci SFT, ktoré sú vykázané ako aktívum, bez zohľadnenia účinkov účtovného vzájomného započítavania alebo iného CRM (t. j. stornujú sa všetky účinky účtovného vzájomného započítavania alebo CRM, ktoré ovplyvnili účtovnú hodnotu).</w:t>
            </w:r>
          </w:p>
          <w:p w:rsidR="00410E47" w:rsidRPr="00ED4583" w:rsidRDefault="00410E47" w:rsidP="007E2A41">
            <w:pPr>
              <w:pStyle w:val="BodyText1"/>
              <w:spacing w:line="240" w:lineRule="auto"/>
              <w:rPr>
                <w:rFonts w:ascii="Times New Roman" w:hAnsi="Times New Roman"/>
                <w:b/>
                <w:bCs/>
              </w:rPr>
            </w:pPr>
          </w:p>
        </w:tc>
      </w:tr>
      <w:tr w:rsidR="00410E47" w:rsidRPr="004E4BE4" w:rsidTr="00FC2664">
        <w:tc>
          <w:tcPr>
            <w:tcW w:w="1418" w:type="dxa"/>
          </w:tcPr>
          <w:p w:rsidR="00410E47" w:rsidRPr="004E4BE4" w:rsidRDefault="00410E47" w:rsidP="00F70A83">
            <w:pPr>
              <w:pStyle w:val="BodyText1"/>
              <w:rPr>
                <w:rFonts w:ascii="Times New Roman" w:hAnsi="Times New Roman"/>
                <w:bCs/>
              </w:rPr>
            </w:pPr>
            <w:r w:rsidRPr="004E4BE4">
              <w:rPr>
                <w:rFonts w:ascii="Times New Roman" w:hAnsi="Times New Roman"/>
              </w:rPr>
              <w:t>{240;020}</w:t>
            </w:r>
          </w:p>
        </w:tc>
        <w:tc>
          <w:tcPr>
            <w:tcW w:w="7620" w:type="dxa"/>
          </w:tcPr>
          <w:p w:rsidR="00410E47" w:rsidRPr="00ED4583" w:rsidRDefault="00410E47" w:rsidP="007E2A41">
            <w:pPr>
              <w:pStyle w:val="BodyText1"/>
              <w:tabs>
                <w:tab w:val="left" w:pos="4755"/>
              </w:tabs>
              <w:spacing w:line="240" w:lineRule="auto"/>
              <w:rPr>
                <w:rFonts w:ascii="Times New Roman" w:hAnsi="Times New Roman"/>
                <w:b/>
                <w:bCs/>
              </w:rPr>
            </w:pPr>
            <w:r w:rsidRPr="00ED4583">
              <w:rPr>
                <w:rFonts w:ascii="Times New Roman" w:hAnsi="Times New Roman"/>
                <w:b/>
              </w:rPr>
              <w:t xml:space="preserve">SFT zahŕňajúce požičiavanie peňažnej hotovosti (tzv. </w:t>
            </w:r>
            <w:r w:rsidRPr="00ED4583">
              <w:rPr>
                <w:rFonts w:ascii="Times New Roman" w:hAnsi="Times New Roman"/>
                <w:b/>
                <w:i/>
              </w:rPr>
              <w:t>cash conduit lending</w:t>
            </w:r>
            <w:r w:rsidRPr="00ED4583">
              <w:rPr>
                <w:rFonts w:ascii="Times New Roman" w:hAnsi="Times New Roman"/>
                <w:b/>
              </w:rPr>
              <w:t>) (peňažné pohľadávky) – účtovná hodnota bez zohľadnenia vzájomného započítavania alebo iného CRM</w:t>
            </w:r>
          </w:p>
          <w:p w:rsidR="00410E47" w:rsidRPr="00ED4583" w:rsidRDefault="00410E47" w:rsidP="007E2A41">
            <w:pPr>
              <w:pStyle w:val="BodyText1"/>
              <w:tabs>
                <w:tab w:val="left" w:pos="4755"/>
              </w:tabs>
              <w:spacing w:line="240" w:lineRule="auto"/>
              <w:rPr>
                <w:rFonts w:ascii="Times New Roman" w:hAnsi="Times New Roman"/>
                <w:b/>
                <w:bCs/>
              </w:rPr>
            </w:pPr>
          </w:p>
          <w:p w:rsidR="00410E47" w:rsidRPr="004E4BE4" w:rsidRDefault="00410E47" w:rsidP="007E2A41">
            <w:pPr>
              <w:pStyle w:val="BodyText1"/>
              <w:tabs>
                <w:tab w:val="left" w:pos="4755"/>
              </w:tabs>
              <w:spacing w:line="240" w:lineRule="auto"/>
              <w:rPr>
                <w:rFonts w:ascii="Times New Roman" w:hAnsi="Times New Roman"/>
              </w:rPr>
            </w:pPr>
            <w:r w:rsidRPr="004E4BE4">
              <w:rPr>
                <w:rFonts w:ascii="Times New Roman" w:hAnsi="Times New Roman"/>
              </w:rPr>
              <w:t>Účtovná hodnota</w:t>
            </w:r>
            <w:r w:rsidR="004E4BE4">
              <w:rPr>
                <w:rFonts w:ascii="Times New Roman" w:hAnsi="Times New Roman"/>
              </w:rPr>
              <w:t xml:space="preserve"> v </w:t>
            </w:r>
            <w:r w:rsidRPr="004E4BE4">
              <w:rPr>
                <w:rFonts w:ascii="Times New Roman" w:hAnsi="Times New Roman"/>
              </w:rPr>
              <w:t>súvahe podľa uplatniteľného účtovného rámca týkajúca sa peňažnej pohľadávky za peňažnú hotovosť prepožičanú vlastníkovi cenných papierov</w:t>
            </w:r>
            <w:r w:rsidR="004E4BE4">
              <w:rPr>
                <w:rFonts w:ascii="Times New Roman" w:hAnsi="Times New Roman"/>
              </w:rPr>
              <w:t xml:space="preserve"> v </w:t>
            </w:r>
            <w:r w:rsidRPr="004E4BE4">
              <w:rPr>
                <w:rFonts w:ascii="Times New Roman" w:hAnsi="Times New Roman"/>
              </w:rPr>
              <w:t xml:space="preserve">kvalifikovanej transakcii požičiavania peňažnej hotovosti (CCLT, </w:t>
            </w:r>
            <w:r w:rsidRPr="00ED4583">
              <w:rPr>
                <w:rFonts w:ascii="Times New Roman" w:hAnsi="Times New Roman"/>
                <w:i/>
              </w:rPr>
              <w:t>cash conduit lending transaction</w:t>
            </w:r>
            <w:r w:rsidRPr="004E4BE4">
              <w:rPr>
                <w:rFonts w:ascii="Times New Roman" w:hAnsi="Times New Roman"/>
              </w:rPr>
              <w:t>) bez zohľadnenia účinkov účtovného vzájomného započítavania alebo iného CRM (t. j. stornujú sa všetky účinky účtovného vzájomného započítavania alebo CRM, ktoré ovplyvnili účtovnú hodnotu).</w:t>
            </w:r>
          </w:p>
          <w:p w:rsidR="00410E47" w:rsidRPr="004E4BE4" w:rsidRDefault="00410E47" w:rsidP="007E2A41">
            <w:pPr>
              <w:pStyle w:val="BodyText1"/>
              <w:tabs>
                <w:tab w:val="left" w:pos="4755"/>
              </w:tabs>
              <w:spacing w:line="240" w:lineRule="auto"/>
              <w:rPr>
                <w:rFonts w:ascii="Times New Roman" w:hAnsi="Times New Roman"/>
              </w:rPr>
            </w:pPr>
          </w:p>
          <w:p w:rsidR="00410E47" w:rsidRPr="004E4BE4" w:rsidRDefault="00410E47" w:rsidP="007E2A41">
            <w:pPr>
              <w:pStyle w:val="BodyText1"/>
              <w:tabs>
                <w:tab w:val="left" w:pos="4755"/>
              </w:tabs>
              <w:spacing w:line="240" w:lineRule="auto"/>
              <w:rPr>
                <w:rFonts w:ascii="Times New Roman" w:hAnsi="Times New Roman"/>
              </w:rPr>
            </w:pPr>
            <w:r w:rsidRPr="004E4BE4">
              <w:rPr>
                <w:rFonts w:ascii="Times New Roman" w:hAnsi="Times New Roman"/>
              </w:rPr>
              <w:t>Na účely tejto bunky je peňažná hotovosť vymedzená ako celková výška peňažnej hotovosti vrátane mincí</w:t>
            </w:r>
            <w:r w:rsidR="004E4BE4">
              <w:rPr>
                <w:rFonts w:ascii="Times New Roman" w:hAnsi="Times New Roman"/>
              </w:rPr>
              <w:t xml:space="preserve"> a </w:t>
            </w:r>
            <w:r w:rsidRPr="004E4BE4">
              <w:rPr>
                <w:rFonts w:ascii="Times New Roman" w:hAnsi="Times New Roman"/>
              </w:rPr>
              <w:t>bankoviek/mena. Celková výška vkladov držaných</w:t>
            </w:r>
            <w:r w:rsidR="004E4BE4">
              <w:rPr>
                <w:rFonts w:ascii="Times New Roman" w:hAnsi="Times New Roman"/>
              </w:rPr>
              <w:t xml:space="preserve"> v </w:t>
            </w:r>
            <w:r w:rsidRPr="004E4BE4">
              <w:rPr>
                <w:rFonts w:ascii="Times New Roman" w:hAnsi="Times New Roman"/>
              </w:rPr>
              <w:t>centrálnych bankách sa zahŕňa</w:t>
            </w:r>
            <w:r w:rsidR="004E4BE4">
              <w:rPr>
                <w:rFonts w:ascii="Times New Roman" w:hAnsi="Times New Roman"/>
              </w:rPr>
              <w:t xml:space="preserve"> v </w:t>
            </w:r>
            <w:r w:rsidRPr="004E4BE4">
              <w:rPr>
                <w:rFonts w:ascii="Times New Roman" w:hAnsi="Times New Roman"/>
              </w:rPr>
              <w:t>prípade, ak tieto vklady možno vybrať</w:t>
            </w:r>
            <w:r w:rsidR="004E4BE4">
              <w:rPr>
                <w:rFonts w:ascii="Times New Roman" w:hAnsi="Times New Roman"/>
              </w:rPr>
              <w:t xml:space="preserve"> v </w:t>
            </w:r>
            <w:r w:rsidRPr="004E4BE4">
              <w:rPr>
                <w:rFonts w:ascii="Times New Roman" w:hAnsi="Times New Roman"/>
              </w:rPr>
              <w:t>čase stresu. Inštitúcie</w:t>
            </w:r>
            <w:r w:rsidR="004E4BE4">
              <w:rPr>
                <w:rFonts w:ascii="Times New Roman" w:hAnsi="Times New Roman"/>
              </w:rPr>
              <w:t xml:space="preserve"> v </w:t>
            </w:r>
            <w:r w:rsidRPr="004E4BE4">
              <w:rPr>
                <w:rFonts w:ascii="Times New Roman" w:hAnsi="Times New Roman"/>
              </w:rPr>
              <w:t>tejto bunke nevykazujú peňažné vklady</w:t>
            </w:r>
            <w:r w:rsidR="004E4BE4">
              <w:rPr>
                <w:rFonts w:ascii="Times New Roman" w:hAnsi="Times New Roman"/>
              </w:rPr>
              <w:t xml:space="preserve"> v </w:t>
            </w:r>
            <w:r w:rsidRPr="004E4BE4">
              <w:rPr>
                <w:rFonts w:ascii="Times New Roman" w:hAnsi="Times New Roman"/>
              </w:rPr>
              <w:t>iných inštitúciách.</w:t>
            </w:r>
          </w:p>
          <w:p w:rsidR="00410E47" w:rsidRPr="004E4BE4" w:rsidRDefault="00410E47" w:rsidP="007E2A41">
            <w:pPr>
              <w:pStyle w:val="BodyText1"/>
              <w:tabs>
                <w:tab w:val="left" w:pos="4755"/>
              </w:tabs>
              <w:spacing w:line="240" w:lineRule="auto"/>
              <w:rPr>
                <w:rFonts w:ascii="Times New Roman" w:hAnsi="Times New Roman"/>
              </w:rPr>
            </w:pPr>
          </w:p>
          <w:p w:rsidR="00410E47" w:rsidRPr="004E4BE4" w:rsidRDefault="00410E47" w:rsidP="007E2A41">
            <w:pPr>
              <w:pStyle w:val="BodyText1"/>
              <w:tabs>
                <w:tab w:val="left" w:pos="4755"/>
              </w:tabs>
              <w:spacing w:line="240" w:lineRule="auto"/>
              <w:rPr>
                <w:rFonts w:ascii="Times New Roman" w:hAnsi="Times New Roman"/>
              </w:rPr>
            </w:pPr>
            <w:r w:rsidRPr="004E4BE4">
              <w:rPr>
                <w:rFonts w:ascii="Times New Roman" w:hAnsi="Times New Roman"/>
              </w:rPr>
              <w:t>CCLT je vymedzená ako kombinácia dvoch transakcií, keď si inštitúcia vypožičia cenné papiere od vlastníka cenných papierov</w:t>
            </w:r>
            <w:r w:rsidR="004E4BE4">
              <w:rPr>
                <w:rFonts w:ascii="Times New Roman" w:hAnsi="Times New Roman"/>
              </w:rPr>
              <w:t xml:space="preserve"> a </w:t>
            </w:r>
            <w:r w:rsidRPr="004E4BE4">
              <w:rPr>
                <w:rFonts w:ascii="Times New Roman" w:hAnsi="Times New Roman"/>
              </w:rPr>
              <w:t>prepožičia cenné papiere vypožičiavateľovi cenných papierov. Zároveň inštitúcia dostane od vypožičiavateľa cenných papierov peňažný kolaterál</w:t>
            </w:r>
            <w:r w:rsidR="004E4BE4">
              <w:rPr>
                <w:rFonts w:ascii="Times New Roman" w:hAnsi="Times New Roman"/>
              </w:rPr>
              <w:t xml:space="preserve"> a </w:t>
            </w:r>
            <w:r w:rsidRPr="004E4BE4">
              <w:rPr>
                <w:rFonts w:ascii="Times New Roman" w:hAnsi="Times New Roman"/>
              </w:rPr>
              <w:t>prijatú peňažnú hotovosť prepožičiava vlastníkovi cenných papierov. Kvalifikovaná CCLT spĺňa všetky tieto podmienky:</w:t>
            </w:r>
          </w:p>
          <w:p w:rsidR="00410E47" w:rsidRPr="004E4BE4" w:rsidRDefault="00410E47" w:rsidP="007E2A41">
            <w:pPr>
              <w:pStyle w:val="BodyText1"/>
              <w:tabs>
                <w:tab w:val="left" w:pos="4755"/>
              </w:tabs>
              <w:spacing w:line="240" w:lineRule="auto"/>
              <w:rPr>
                <w:rFonts w:ascii="Times New Roman" w:hAnsi="Times New Roman"/>
              </w:rPr>
            </w:pPr>
          </w:p>
          <w:p w:rsidR="00410E47" w:rsidRPr="004E4BE4" w:rsidRDefault="00500508" w:rsidP="00500508">
            <w:pPr>
              <w:pStyle w:val="Paragraph"/>
              <w:ind w:left="794" w:hanging="794"/>
              <w:rPr>
                <w:rFonts w:ascii="Times New Roman" w:hAnsi="Times New Roman"/>
                <w:color w:val="000000"/>
              </w:rPr>
            </w:pPr>
            <w:r w:rsidRPr="004E4BE4">
              <w:rPr>
                <w:rFonts w:ascii="Times New Roman" w:hAnsi="Times New Roman"/>
                <w:color w:val="000000"/>
              </w:rPr>
              <w:t>a)</w:t>
            </w:r>
            <w:r w:rsidRPr="004E4BE4">
              <w:tab/>
            </w:r>
            <w:r w:rsidRPr="004E4BE4">
              <w:rPr>
                <w:rFonts w:ascii="Times New Roman" w:hAnsi="Times New Roman"/>
                <w:color w:val="000000"/>
              </w:rPr>
              <w:t>obe jednotlivé transakcie,</w:t>
            </w:r>
            <w:r w:rsidR="004E4BE4">
              <w:rPr>
                <w:rFonts w:ascii="Times New Roman" w:hAnsi="Times New Roman"/>
                <w:color w:val="000000"/>
              </w:rPr>
              <w:t xml:space="preserve"> z </w:t>
            </w:r>
            <w:r w:rsidRPr="004E4BE4">
              <w:rPr>
                <w:rFonts w:ascii="Times New Roman" w:hAnsi="Times New Roman"/>
                <w:color w:val="000000"/>
              </w:rPr>
              <w:t>ktorých pozostáva kvalifikovaná CCLT, musia byť vykonané</w:t>
            </w:r>
            <w:r w:rsidR="004E4BE4">
              <w:rPr>
                <w:rFonts w:ascii="Times New Roman" w:hAnsi="Times New Roman"/>
                <w:color w:val="000000"/>
              </w:rPr>
              <w:t xml:space="preserve"> v </w:t>
            </w:r>
            <w:r w:rsidRPr="004E4BE4">
              <w:rPr>
                <w:rFonts w:ascii="Times New Roman" w:hAnsi="Times New Roman"/>
                <w:color w:val="000000"/>
              </w:rPr>
              <w:t>rovnaký obchodný deň, alebo</w:t>
            </w:r>
            <w:r w:rsidR="004E4BE4">
              <w:rPr>
                <w:rFonts w:ascii="Times New Roman" w:hAnsi="Times New Roman"/>
                <w:color w:val="000000"/>
              </w:rPr>
              <w:t xml:space="preserve"> v </w:t>
            </w:r>
            <w:r w:rsidRPr="004E4BE4">
              <w:rPr>
                <w:rFonts w:ascii="Times New Roman" w:hAnsi="Times New Roman"/>
                <w:color w:val="000000"/>
              </w:rPr>
              <w:t>prípade medzinárodných transakcií</w:t>
            </w:r>
            <w:r w:rsidR="004E4BE4">
              <w:rPr>
                <w:rFonts w:ascii="Times New Roman" w:hAnsi="Times New Roman"/>
                <w:color w:val="000000"/>
              </w:rPr>
              <w:t xml:space="preserve"> v </w:t>
            </w:r>
            <w:r w:rsidRPr="004E4BE4">
              <w:rPr>
                <w:rFonts w:ascii="Times New Roman" w:hAnsi="Times New Roman"/>
                <w:color w:val="000000"/>
              </w:rPr>
              <w:t>bezprostredne za sebou nasledujúcich obchodných dňoch;</w:t>
            </w:r>
          </w:p>
          <w:p w:rsidR="00410E47" w:rsidRPr="004E4BE4" w:rsidRDefault="00500508" w:rsidP="00500508">
            <w:pPr>
              <w:pStyle w:val="Paragraph"/>
              <w:ind w:left="794" w:hanging="794"/>
              <w:rPr>
                <w:rFonts w:ascii="Times New Roman" w:hAnsi="Times New Roman"/>
                <w:color w:val="000000"/>
              </w:rPr>
            </w:pPr>
            <w:r w:rsidRPr="004E4BE4">
              <w:rPr>
                <w:rFonts w:ascii="Times New Roman" w:hAnsi="Times New Roman"/>
                <w:color w:val="000000"/>
              </w:rPr>
              <w:t>b)</w:t>
            </w:r>
            <w:r w:rsidRPr="004E4BE4">
              <w:tab/>
            </w:r>
            <w:r w:rsidRPr="004E4BE4">
              <w:rPr>
                <w:rFonts w:ascii="Times New Roman" w:hAnsi="Times New Roman"/>
                <w:color w:val="000000"/>
              </w:rPr>
              <w:t>ak transakcie,</w:t>
            </w:r>
            <w:r w:rsidR="004E4BE4">
              <w:rPr>
                <w:rFonts w:ascii="Times New Roman" w:hAnsi="Times New Roman"/>
                <w:color w:val="000000"/>
              </w:rPr>
              <w:t xml:space="preserve"> z </w:t>
            </w:r>
            <w:r w:rsidRPr="004E4BE4">
              <w:rPr>
                <w:rFonts w:ascii="Times New Roman" w:hAnsi="Times New Roman"/>
                <w:color w:val="000000"/>
              </w:rPr>
              <w:t>ktorých pozostáva CCLT, nemajú uvedený termín splatnosti, inštitúcia musí mať právny nárok kedykoľvek</w:t>
            </w:r>
            <w:r w:rsidR="004E4BE4">
              <w:rPr>
                <w:rFonts w:ascii="Times New Roman" w:hAnsi="Times New Roman"/>
                <w:color w:val="000000"/>
              </w:rPr>
              <w:t xml:space="preserve"> a </w:t>
            </w:r>
            <w:r w:rsidRPr="004E4BE4">
              <w:rPr>
                <w:rFonts w:ascii="Times New Roman" w:hAnsi="Times New Roman"/>
                <w:color w:val="000000"/>
              </w:rPr>
              <w:t>bez predchádzajúceho oznámenia zatvoriť ktorúkoľvek zo strán CCLT, to znamená obe transakcie,</w:t>
            </w:r>
            <w:r w:rsidR="004E4BE4">
              <w:rPr>
                <w:rFonts w:ascii="Times New Roman" w:hAnsi="Times New Roman"/>
                <w:color w:val="000000"/>
              </w:rPr>
              <w:t xml:space="preserve"> z </w:t>
            </w:r>
            <w:r w:rsidRPr="004E4BE4">
              <w:rPr>
                <w:rFonts w:ascii="Times New Roman" w:hAnsi="Times New Roman"/>
                <w:color w:val="000000"/>
              </w:rPr>
              <w:t>ktorých CCLT pozostáva;</w:t>
            </w:r>
          </w:p>
          <w:p w:rsidR="00410E47" w:rsidRPr="004E4BE4" w:rsidRDefault="00500508" w:rsidP="00500508">
            <w:pPr>
              <w:pStyle w:val="Paragraph"/>
              <w:ind w:left="794" w:hanging="794"/>
              <w:rPr>
                <w:rFonts w:ascii="Times New Roman" w:hAnsi="Times New Roman"/>
                <w:color w:val="000000"/>
              </w:rPr>
            </w:pPr>
            <w:r w:rsidRPr="004E4BE4">
              <w:rPr>
                <w:rFonts w:ascii="Times New Roman" w:hAnsi="Times New Roman"/>
                <w:color w:val="000000"/>
              </w:rPr>
              <w:t>c)</w:t>
            </w:r>
            <w:r w:rsidRPr="004E4BE4">
              <w:tab/>
            </w:r>
            <w:r w:rsidRPr="004E4BE4">
              <w:rPr>
                <w:rFonts w:ascii="Times New Roman" w:hAnsi="Times New Roman"/>
                <w:color w:val="000000"/>
              </w:rPr>
              <w:t>ak transakcie,</w:t>
            </w:r>
            <w:r w:rsidR="004E4BE4">
              <w:rPr>
                <w:rFonts w:ascii="Times New Roman" w:hAnsi="Times New Roman"/>
                <w:color w:val="000000"/>
              </w:rPr>
              <w:t xml:space="preserve"> z </w:t>
            </w:r>
            <w:r w:rsidRPr="004E4BE4">
              <w:rPr>
                <w:rFonts w:ascii="Times New Roman" w:hAnsi="Times New Roman"/>
                <w:color w:val="000000"/>
              </w:rPr>
              <w:t>ktorých pozostáva CCLT, majú uvedený termín splatnosti,</w:t>
            </w:r>
            <w:r w:rsidR="004E4BE4">
              <w:rPr>
                <w:rFonts w:ascii="Times New Roman" w:hAnsi="Times New Roman"/>
                <w:color w:val="000000"/>
              </w:rPr>
              <w:t xml:space="preserve"> z </w:t>
            </w:r>
            <w:r w:rsidRPr="004E4BE4">
              <w:rPr>
                <w:rFonts w:ascii="Times New Roman" w:hAnsi="Times New Roman"/>
                <w:color w:val="000000"/>
              </w:rPr>
              <w:t>CCLT pre danú inštitúciu nevyplýva nesúlad splatností; inštitúcia musí mať právny nárok kedykoľvek</w:t>
            </w:r>
            <w:r w:rsidR="004E4BE4">
              <w:rPr>
                <w:rFonts w:ascii="Times New Roman" w:hAnsi="Times New Roman"/>
                <w:color w:val="000000"/>
              </w:rPr>
              <w:t xml:space="preserve"> a </w:t>
            </w:r>
            <w:r w:rsidRPr="004E4BE4">
              <w:rPr>
                <w:rFonts w:ascii="Times New Roman" w:hAnsi="Times New Roman"/>
                <w:color w:val="000000"/>
              </w:rPr>
              <w:t>bez predchádzajúceho oznámenia zatvoriť ktorúkoľvek zo strán CCLT, to znamená obe transakcie,</w:t>
            </w:r>
            <w:r w:rsidR="004E4BE4">
              <w:rPr>
                <w:rFonts w:ascii="Times New Roman" w:hAnsi="Times New Roman"/>
                <w:color w:val="000000"/>
              </w:rPr>
              <w:t xml:space="preserve"> z </w:t>
            </w:r>
            <w:r w:rsidRPr="004E4BE4">
              <w:rPr>
                <w:rFonts w:ascii="Times New Roman" w:hAnsi="Times New Roman"/>
                <w:color w:val="000000"/>
              </w:rPr>
              <w:t>ktorých CCLT pozostáva;</w:t>
            </w:r>
          </w:p>
          <w:p w:rsidR="00410E47" w:rsidRPr="004E4BE4" w:rsidRDefault="00500508" w:rsidP="00500508">
            <w:pPr>
              <w:pStyle w:val="Paragraph"/>
              <w:ind w:left="794" w:hanging="794"/>
              <w:rPr>
                <w:rFonts w:ascii="Times New Roman" w:hAnsi="Times New Roman"/>
                <w:color w:val="000000"/>
              </w:rPr>
            </w:pPr>
            <w:r w:rsidRPr="004E4BE4">
              <w:rPr>
                <w:rFonts w:ascii="Times New Roman" w:hAnsi="Times New Roman"/>
                <w:color w:val="000000"/>
              </w:rPr>
              <w:t>d)</w:t>
            </w:r>
            <w:r w:rsidRPr="004E4BE4">
              <w:tab/>
            </w:r>
            <w:r w:rsidRPr="004E4BE4">
              <w:rPr>
                <w:rFonts w:ascii="Times New Roman" w:hAnsi="Times New Roman"/>
                <w:color w:val="000000"/>
              </w:rPr>
              <w:t>nevyplývajú</w:t>
            </w:r>
            <w:r w:rsidR="004E4BE4">
              <w:rPr>
                <w:rFonts w:ascii="Times New Roman" w:hAnsi="Times New Roman"/>
                <w:color w:val="000000"/>
              </w:rPr>
              <w:t xml:space="preserve"> z </w:t>
            </w:r>
            <w:r w:rsidRPr="004E4BE4">
              <w:rPr>
                <w:rFonts w:ascii="Times New Roman" w:hAnsi="Times New Roman"/>
                <w:color w:val="000000"/>
              </w:rPr>
              <w:t>nej žiadne ďalšie dodatočné expozície.</w:t>
            </w:r>
          </w:p>
          <w:p w:rsidR="00410E47" w:rsidRPr="00ED4583" w:rsidRDefault="00410E47" w:rsidP="007E2A41">
            <w:pPr>
              <w:pStyle w:val="BodyText1"/>
              <w:spacing w:line="240" w:lineRule="auto"/>
              <w:rPr>
                <w:rFonts w:ascii="Times New Roman" w:hAnsi="Times New Roman"/>
                <w:b/>
                <w:bCs/>
              </w:rPr>
            </w:pPr>
          </w:p>
        </w:tc>
      </w:tr>
      <w:tr w:rsidR="004B5877" w:rsidRPr="004E4BE4" w:rsidTr="004B5877">
        <w:tc>
          <w:tcPr>
            <w:tcW w:w="1418" w:type="dxa"/>
          </w:tcPr>
          <w:p w:rsidR="004B5877" w:rsidRPr="004E4BE4" w:rsidRDefault="004B5877" w:rsidP="004178C8">
            <w:pPr>
              <w:pStyle w:val="BodyText1"/>
              <w:rPr>
                <w:rFonts w:ascii="Times New Roman" w:hAnsi="Times New Roman"/>
                <w:bCs/>
              </w:rPr>
            </w:pPr>
            <w:bookmarkStart w:id="51" w:name="_Toc322687882"/>
            <w:bookmarkEnd w:id="45"/>
            <w:r w:rsidRPr="004E4BE4">
              <w:rPr>
                <w:rFonts w:ascii="Times New Roman" w:hAnsi="Times New Roman"/>
              </w:rPr>
              <w:t>{250;120}</w:t>
            </w:r>
          </w:p>
        </w:tc>
        <w:tc>
          <w:tcPr>
            <w:tcW w:w="7620" w:type="dxa"/>
          </w:tcPr>
          <w:p w:rsidR="004B5877" w:rsidRPr="004E4BE4" w:rsidRDefault="004B5877" w:rsidP="004B5877">
            <w:pPr>
              <w:pStyle w:val="BodyText1"/>
              <w:tabs>
                <w:tab w:val="left" w:pos="4755"/>
              </w:tabs>
              <w:spacing w:line="240" w:lineRule="auto"/>
              <w:rPr>
                <w:rFonts w:ascii="Times New Roman" w:hAnsi="Times New Roman"/>
                <w:bCs/>
              </w:rPr>
            </w:pPr>
            <w:r w:rsidRPr="00ED4583">
              <w:rPr>
                <w:rFonts w:ascii="Times New Roman" w:hAnsi="Times New Roman"/>
                <w:b/>
              </w:rPr>
              <w:t>Expozície, ktoré môžu využiť zaobchádzanie podľa článku 113 ods. 6 CRR – hypoteticky vyňatá hodnota expozície ukazovateľa finančnej páky</w:t>
            </w:r>
          </w:p>
          <w:p w:rsidR="00A46F6B" w:rsidRPr="004E4BE4" w:rsidRDefault="00A46F6B" w:rsidP="004178C8">
            <w:pPr>
              <w:pStyle w:val="BodyText1"/>
              <w:tabs>
                <w:tab w:val="left" w:pos="4755"/>
              </w:tabs>
              <w:spacing w:line="240" w:lineRule="auto"/>
              <w:rPr>
                <w:rFonts w:ascii="Times New Roman" w:hAnsi="Times New Roman"/>
                <w:bCs/>
              </w:rPr>
            </w:pPr>
          </w:p>
          <w:p w:rsidR="004B5877" w:rsidRPr="004E4BE4" w:rsidRDefault="004B5877" w:rsidP="004178C8">
            <w:pPr>
              <w:pStyle w:val="BodyText1"/>
              <w:tabs>
                <w:tab w:val="left" w:pos="4755"/>
              </w:tabs>
              <w:spacing w:line="240" w:lineRule="auto"/>
              <w:rPr>
                <w:rFonts w:ascii="Times New Roman" w:hAnsi="Times New Roman"/>
                <w:bCs/>
              </w:rPr>
            </w:pPr>
            <w:r w:rsidRPr="004E4BE4">
              <w:rPr>
                <w:rFonts w:ascii="Times New Roman" w:hAnsi="Times New Roman"/>
              </w:rPr>
              <w:t>Hodnota celkovej expozície ukazovateľa finančnej páky, ktorá by bola vyňatá, ak by príslušné orgány udelili povolenie</w:t>
            </w:r>
            <w:r w:rsidR="004E4BE4">
              <w:rPr>
                <w:rFonts w:ascii="Times New Roman" w:hAnsi="Times New Roman"/>
              </w:rPr>
              <w:t xml:space="preserve"> v </w:t>
            </w:r>
            <w:r w:rsidRPr="004E4BE4">
              <w:rPr>
                <w:rFonts w:ascii="Times New Roman" w:hAnsi="Times New Roman"/>
              </w:rPr>
              <w:t>plnej miere vyňať expozície, ktoré spĺňajú všetky podmienky stanovené</w:t>
            </w:r>
            <w:r w:rsidR="004E4BE4">
              <w:rPr>
                <w:rFonts w:ascii="Times New Roman" w:hAnsi="Times New Roman"/>
              </w:rPr>
              <w:t xml:space="preserve"> v </w:t>
            </w:r>
            <w:r w:rsidRPr="004E4BE4">
              <w:rPr>
                <w:rFonts w:ascii="Times New Roman" w:hAnsi="Times New Roman"/>
              </w:rPr>
              <w:t>článku 113 ods. 6 písm. a) až e) CRR</w:t>
            </w:r>
            <w:r w:rsidR="004E4BE4">
              <w:rPr>
                <w:rFonts w:ascii="Times New Roman" w:hAnsi="Times New Roman"/>
              </w:rPr>
              <w:t xml:space="preserve"> a </w:t>
            </w:r>
            <w:r w:rsidRPr="004E4BE4">
              <w:rPr>
                <w:rFonts w:ascii="Times New Roman" w:hAnsi="Times New Roman"/>
              </w:rPr>
              <w:t>pre ktoré bol udelený súhlas podľa článku 113 ods. 6 CRR. Ak príslušný orgán už udelil súhlas</w:t>
            </w:r>
            <w:r w:rsidR="004E4BE4">
              <w:rPr>
                <w:rFonts w:ascii="Times New Roman" w:hAnsi="Times New Roman"/>
              </w:rPr>
              <w:t xml:space="preserve"> v </w:t>
            </w:r>
            <w:r w:rsidRPr="004E4BE4">
              <w:rPr>
                <w:rFonts w:ascii="Times New Roman" w:hAnsi="Times New Roman"/>
              </w:rPr>
              <w:t>plnej miere, potom sa hodnota</w:t>
            </w:r>
            <w:r w:rsidR="004E4BE4">
              <w:rPr>
                <w:rFonts w:ascii="Times New Roman" w:hAnsi="Times New Roman"/>
              </w:rPr>
              <w:t xml:space="preserve"> v </w:t>
            </w:r>
            <w:r w:rsidRPr="004E4BE4">
              <w:rPr>
                <w:rFonts w:ascii="Times New Roman" w:hAnsi="Times New Roman"/>
              </w:rPr>
              <w:t>tejto bunke rovná hodnote</w:t>
            </w:r>
            <w:r w:rsidR="004E4BE4">
              <w:rPr>
                <w:rFonts w:ascii="Times New Roman" w:hAnsi="Times New Roman"/>
              </w:rPr>
              <w:t xml:space="preserve"> v </w:t>
            </w:r>
            <w:r w:rsidRPr="004E4BE4">
              <w:rPr>
                <w:rFonts w:ascii="Times New Roman" w:hAnsi="Times New Roman"/>
              </w:rPr>
              <w:t>{LRCalc;250;010}.</w:t>
            </w:r>
          </w:p>
          <w:p w:rsidR="004B5877" w:rsidRPr="00ED4583" w:rsidRDefault="004B5877" w:rsidP="006A32F5">
            <w:pPr>
              <w:pStyle w:val="Paragraph"/>
              <w:ind w:firstLine="0"/>
              <w:rPr>
                <w:rFonts w:ascii="Times New Roman" w:hAnsi="Times New Roman"/>
                <w:b/>
                <w:bCs/>
              </w:rPr>
            </w:pPr>
          </w:p>
        </w:tc>
      </w:tr>
      <w:tr w:rsidR="004B5877" w:rsidRPr="004E4BE4" w:rsidTr="004B5877">
        <w:tc>
          <w:tcPr>
            <w:tcW w:w="1418" w:type="dxa"/>
          </w:tcPr>
          <w:p w:rsidR="004B5877" w:rsidRPr="004E4BE4" w:rsidRDefault="004B5877" w:rsidP="004178C8">
            <w:pPr>
              <w:pStyle w:val="BodyText1"/>
              <w:rPr>
                <w:rFonts w:ascii="Times New Roman" w:hAnsi="Times New Roman"/>
                <w:bCs/>
              </w:rPr>
            </w:pPr>
            <w:r w:rsidRPr="004E4BE4">
              <w:rPr>
                <w:rFonts w:ascii="Times New Roman" w:hAnsi="Times New Roman"/>
              </w:rPr>
              <w:t>{260;120}</w:t>
            </w:r>
          </w:p>
        </w:tc>
        <w:tc>
          <w:tcPr>
            <w:tcW w:w="7620" w:type="dxa"/>
          </w:tcPr>
          <w:p w:rsidR="004B5877" w:rsidRPr="00ED4583" w:rsidRDefault="004B5877" w:rsidP="004B5877">
            <w:pPr>
              <w:pStyle w:val="BodyText1"/>
              <w:tabs>
                <w:tab w:val="left" w:pos="4755"/>
              </w:tabs>
              <w:spacing w:line="240" w:lineRule="auto"/>
              <w:rPr>
                <w:rFonts w:ascii="Times New Roman" w:hAnsi="Times New Roman"/>
                <w:b/>
                <w:bCs/>
              </w:rPr>
            </w:pPr>
            <w:r w:rsidRPr="00ED4583">
              <w:rPr>
                <w:rFonts w:ascii="Times New Roman" w:hAnsi="Times New Roman"/>
                <w:b/>
              </w:rPr>
              <w:t>Expozície, ktoré spĺňajú podmienky uvedené</w:t>
            </w:r>
            <w:r w:rsidR="004E4BE4" w:rsidRPr="00ED4583">
              <w:rPr>
                <w:rFonts w:ascii="Times New Roman" w:hAnsi="Times New Roman"/>
                <w:b/>
              </w:rPr>
              <w:t xml:space="preserve"> v </w:t>
            </w:r>
            <w:r w:rsidRPr="00ED4583">
              <w:rPr>
                <w:rFonts w:ascii="Times New Roman" w:hAnsi="Times New Roman"/>
                <w:b/>
              </w:rPr>
              <w:t>článku 429 ods. 14 písm. a) až c) CRR – hypoteticky vyňatá hodnota expozície ukazovateľa finančnej páky</w:t>
            </w:r>
          </w:p>
          <w:p w:rsidR="004B5877" w:rsidRPr="004E4BE4" w:rsidRDefault="004B5877" w:rsidP="004B5877">
            <w:pPr>
              <w:pStyle w:val="BodyText1"/>
              <w:tabs>
                <w:tab w:val="left" w:pos="4755"/>
              </w:tabs>
              <w:spacing w:line="240" w:lineRule="auto"/>
              <w:rPr>
                <w:rFonts w:ascii="Times New Roman" w:hAnsi="Times New Roman"/>
                <w:bCs/>
              </w:rPr>
            </w:pPr>
          </w:p>
          <w:p w:rsidR="00214D62" w:rsidRPr="004E4BE4" w:rsidRDefault="00214D62" w:rsidP="004B5877">
            <w:pPr>
              <w:pStyle w:val="BodyText1"/>
              <w:tabs>
                <w:tab w:val="left" w:pos="4755"/>
              </w:tabs>
              <w:spacing w:line="240" w:lineRule="auto"/>
              <w:rPr>
                <w:rFonts w:ascii="Times New Roman" w:hAnsi="Times New Roman"/>
                <w:bCs/>
              </w:rPr>
            </w:pPr>
            <w:r w:rsidRPr="004E4BE4">
              <w:rPr>
                <w:rFonts w:ascii="Times New Roman" w:hAnsi="Times New Roman"/>
              </w:rPr>
              <w:t>Hodnota celkovej expozície ukazovateľa finančnej páky, ktorá by bola vyňatá, ak by príslušné orgány udelili povolenie</w:t>
            </w:r>
            <w:r w:rsidR="004E4BE4">
              <w:rPr>
                <w:rFonts w:ascii="Times New Roman" w:hAnsi="Times New Roman"/>
              </w:rPr>
              <w:t xml:space="preserve"> v </w:t>
            </w:r>
            <w:r w:rsidRPr="004E4BE4">
              <w:rPr>
                <w:rFonts w:ascii="Times New Roman" w:hAnsi="Times New Roman"/>
              </w:rPr>
              <w:t>plnej miere vyňať expozície, ktoré spĺňajú podmienky uvedené</w:t>
            </w:r>
            <w:r w:rsidR="004E4BE4">
              <w:rPr>
                <w:rFonts w:ascii="Times New Roman" w:hAnsi="Times New Roman"/>
              </w:rPr>
              <w:t xml:space="preserve"> v </w:t>
            </w:r>
            <w:r w:rsidRPr="004E4BE4">
              <w:rPr>
                <w:rFonts w:ascii="Times New Roman" w:hAnsi="Times New Roman"/>
              </w:rPr>
              <w:t>článku 429 ods. 14 písm. a) až c) CRR. Ak príslušný orgán už udelil súhlas</w:t>
            </w:r>
            <w:r w:rsidR="004E4BE4">
              <w:rPr>
                <w:rFonts w:ascii="Times New Roman" w:hAnsi="Times New Roman"/>
              </w:rPr>
              <w:t xml:space="preserve"> v </w:t>
            </w:r>
            <w:r w:rsidRPr="004E4BE4">
              <w:rPr>
                <w:rFonts w:ascii="Times New Roman" w:hAnsi="Times New Roman"/>
              </w:rPr>
              <w:t>plnej miere, potom sa hodnota</w:t>
            </w:r>
            <w:r w:rsidR="004E4BE4">
              <w:rPr>
                <w:rFonts w:ascii="Times New Roman" w:hAnsi="Times New Roman"/>
              </w:rPr>
              <w:t xml:space="preserve"> v </w:t>
            </w:r>
            <w:r w:rsidRPr="004E4BE4">
              <w:rPr>
                <w:rFonts w:ascii="Times New Roman" w:hAnsi="Times New Roman"/>
              </w:rPr>
              <w:t>tejto bunke rovná hodnote</w:t>
            </w:r>
            <w:r w:rsidR="004E4BE4">
              <w:rPr>
                <w:rFonts w:ascii="Times New Roman" w:hAnsi="Times New Roman"/>
              </w:rPr>
              <w:t xml:space="preserve"> v </w:t>
            </w:r>
            <w:r w:rsidRPr="004E4BE4">
              <w:rPr>
                <w:rFonts w:ascii="Times New Roman" w:hAnsi="Times New Roman"/>
              </w:rPr>
              <w:t>{LRCalc;260;010}.</w:t>
            </w:r>
          </w:p>
          <w:p w:rsidR="004B5877" w:rsidRPr="00ED4583" w:rsidRDefault="004B5877" w:rsidP="006A32F5">
            <w:pPr>
              <w:pStyle w:val="Paragraph"/>
              <w:ind w:left="794" w:firstLine="0"/>
              <w:rPr>
                <w:rFonts w:ascii="Times New Roman" w:hAnsi="Times New Roman"/>
                <w:b/>
                <w:bCs/>
              </w:rPr>
            </w:pPr>
          </w:p>
        </w:tc>
      </w:tr>
    </w:tbl>
    <w:p w:rsidR="00F4754B" w:rsidRPr="00ED4583" w:rsidRDefault="00F4754B" w:rsidP="00F4754B">
      <w:pPr>
        <w:pStyle w:val="BodyText1"/>
        <w:rPr>
          <w:rFonts w:ascii="Times New Roman" w:hAnsi="Times New Roman"/>
          <w:b/>
        </w:rPr>
      </w:pPr>
    </w:p>
    <w:p w:rsidR="00217D1F" w:rsidRPr="00ED4583" w:rsidRDefault="00500508" w:rsidP="00500508">
      <w:pPr>
        <w:pStyle w:val="BodyText1"/>
        <w:ind w:left="357" w:hanging="357"/>
        <w:outlineLvl w:val="1"/>
        <w:rPr>
          <w:rFonts w:ascii="Times New Roman" w:hAnsi="Times New Roman"/>
          <w:b/>
        </w:rPr>
      </w:pPr>
      <w:bookmarkStart w:id="52" w:name="_Toc338669914"/>
      <w:bookmarkStart w:id="53" w:name="_Toc338669915"/>
      <w:bookmarkStart w:id="54" w:name="_Toc338669918"/>
      <w:bookmarkStart w:id="55" w:name="_Toc351048508"/>
      <w:bookmarkStart w:id="56" w:name="_Toc359414287"/>
      <w:bookmarkStart w:id="57" w:name="_Toc524086725"/>
      <w:bookmarkEnd w:id="52"/>
      <w:bookmarkEnd w:id="53"/>
      <w:bookmarkEnd w:id="54"/>
      <w:r w:rsidRPr="00ED4583">
        <w:rPr>
          <w:rFonts w:ascii="Times New Roman" w:hAnsi="Times New Roman"/>
          <w:b/>
        </w:rPr>
        <w:t>6.</w:t>
      </w:r>
      <w:r w:rsidRPr="004E4BE4">
        <w:tab/>
      </w:r>
      <w:r w:rsidRPr="00ED4583">
        <w:rPr>
          <w:rFonts w:ascii="Times New Roman" w:hAnsi="Times New Roman"/>
          <w:b/>
        </w:rPr>
        <w:t>C 41.00 – Súvahové</w:t>
      </w:r>
      <w:r w:rsidR="004E4BE4" w:rsidRPr="00ED4583">
        <w:rPr>
          <w:rFonts w:ascii="Times New Roman" w:hAnsi="Times New Roman"/>
          <w:b/>
        </w:rPr>
        <w:t xml:space="preserve"> a </w:t>
      </w:r>
      <w:r w:rsidRPr="00ED4583">
        <w:rPr>
          <w:rFonts w:ascii="Times New Roman" w:hAnsi="Times New Roman"/>
          <w:b/>
        </w:rPr>
        <w:t>podsúvahové položky – ďalšie rozčlenenie expozícií</w:t>
      </w:r>
      <w:bookmarkEnd w:id="55"/>
      <w:bookmarkEnd w:id="56"/>
      <w:r w:rsidRPr="00ED4583">
        <w:rPr>
          <w:rFonts w:ascii="Times New Roman" w:hAnsi="Times New Roman"/>
          <w:b/>
        </w:rPr>
        <w:t xml:space="preserve"> (LR2)</w:t>
      </w:r>
      <w:bookmarkEnd w:id="57"/>
    </w:p>
    <w:p w:rsidR="00675587" w:rsidRPr="004E4BE4" w:rsidRDefault="00675587" w:rsidP="007E2A41">
      <w:pPr>
        <w:pStyle w:val="BodyText1"/>
        <w:spacing w:line="240" w:lineRule="auto"/>
        <w:ind w:left="720"/>
        <w:rPr>
          <w:rFonts w:ascii="Times New Roman" w:hAnsi="Times New Roman"/>
          <w:bCs/>
        </w:rPr>
      </w:pP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24.</w:t>
      </w:r>
      <w:r w:rsidRPr="004E4BE4">
        <w:tab/>
      </w:r>
      <w:r w:rsidRPr="004E4BE4">
        <w:rPr>
          <w:rFonts w:ascii="Times New Roman" w:hAnsi="Times New Roman"/>
        </w:rPr>
        <w:t>Vzor LR2 obsahuje informácie</w:t>
      </w:r>
      <w:r w:rsidR="004E4BE4">
        <w:rPr>
          <w:rFonts w:ascii="Times New Roman" w:hAnsi="Times New Roman"/>
        </w:rPr>
        <w:t xml:space="preserve"> o </w:t>
      </w:r>
      <w:r w:rsidRPr="004E4BE4">
        <w:rPr>
          <w:rFonts w:ascii="Times New Roman" w:hAnsi="Times New Roman"/>
        </w:rPr>
        <w:t>položkách ďalšieho rozčlenenia všetkých súvahových</w:t>
      </w:r>
      <w:r w:rsidR="004E4BE4">
        <w:rPr>
          <w:rFonts w:ascii="Times New Roman" w:hAnsi="Times New Roman"/>
        </w:rPr>
        <w:t xml:space="preserve"> a </w:t>
      </w:r>
      <w:r w:rsidRPr="004E4BE4">
        <w:rPr>
          <w:rFonts w:ascii="Times New Roman" w:hAnsi="Times New Roman"/>
        </w:rPr>
        <w:t>podsúvahových expozícií</w:t>
      </w:r>
      <w:r w:rsidRPr="004E4BE4">
        <w:rPr>
          <w:rFonts w:ascii="Times New Roman" w:hAnsi="Times New Roman"/>
          <w:vertAlign w:val="superscript"/>
        </w:rPr>
        <w:footnoteReference w:id="2"/>
      </w:r>
      <w:r w:rsidRPr="004E4BE4">
        <w:rPr>
          <w:rFonts w:ascii="Times New Roman" w:hAnsi="Times New Roman"/>
        </w:rPr>
        <w:t>, ktoré patria do neobchodnej knihy,</w:t>
      </w:r>
      <w:r w:rsidR="004E4BE4">
        <w:rPr>
          <w:rFonts w:ascii="Times New Roman" w:hAnsi="Times New Roman"/>
        </w:rPr>
        <w:t xml:space="preserve"> a </w:t>
      </w:r>
      <w:r w:rsidRPr="004E4BE4">
        <w:rPr>
          <w:rFonts w:ascii="Times New Roman" w:hAnsi="Times New Roman"/>
        </w:rPr>
        <w:t>všetkých expozícií obchodnej knihy, ktoré podliehajú kreditnému riziku protistrany. Rozčlenenie je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rizikovými váhami používanými</w:t>
      </w:r>
      <w:r w:rsidR="004E4BE4">
        <w:rPr>
          <w:rFonts w:ascii="Times New Roman" w:hAnsi="Times New Roman"/>
        </w:rPr>
        <w:t xml:space="preserve"> v </w:t>
      </w:r>
      <w:r w:rsidRPr="004E4BE4">
        <w:rPr>
          <w:rFonts w:ascii="Times New Roman" w:hAnsi="Times New Roman"/>
        </w:rPr>
        <w:t>oddiele</w:t>
      </w:r>
      <w:r w:rsidR="004E4BE4">
        <w:rPr>
          <w:rFonts w:ascii="Times New Roman" w:hAnsi="Times New Roman"/>
        </w:rPr>
        <w:t xml:space="preserve"> o </w:t>
      </w:r>
      <w:r w:rsidRPr="004E4BE4">
        <w:rPr>
          <w:rFonts w:ascii="Times New Roman" w:hAnsi="Times New Roman"/>
        </w:rPr>
        <w:t>kreditnom riziku CRR. Informácie sa odvodzujú odlišne pre expozície podľa štandardizovaného prístupu</w:t>
      </w:r>
      <w:r w:rsidR="004E4BE4">
        <w:rPr>
          <w:rFonts w:ascii="Times New Roman" w:hAnsi="Times New Roman"/>
        </w:rPr>
        <w:t xml:space="preserve"> a </w:t>
      </w:r>
      <w:r w:rsidRPr="004E4BE4">
        <w:rPr>
          <w:rFonts w:ascii="Times New Roman" w:hAnsi="Times New Roman"/>
        </w:rPr>
        <w:t>podľa prístupu IRB</w:t>
      </w:r>
      <w:r w:rsidR="004E4BE4" w:rsidRPr="004E4BE4">
        <w:rPr>
          <w:rFonts w:ascii="Times New Roman" w:hAnsi="Times New Roman"/>
        </w:rPr>
        <w:t>.</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25.</w:t>
      </w:r>
      <w:r w:rsidRPr="004E4BE4">
        <w:tab/>
      </w:r>
      <w:r w:rsidRPr="004E4BE4">
        <w:rPr>
          <w:rFonts w:ascii="Times New Roman" w:hAnsi="Times New Roman"/>
        </w:rPr>
        <w:t>V prípade expozícií podporených postupmi CRM,</w:t>
      </w:r>
      <w:r w:rsidR="004E4BE4">
        <w:rPr>
          <w:rFonts w:ascii="Times New Roman" w:hAnsi="Times New Roman"/>
        </w:rPr>
        <w:t xml:space="preserve"> z </w:t>
      </w:r>
      <w:r w:rsidRPr="004E4BE4">
        <w:rPr>
          <w:rFonts w:ascii="Times New Roman" w:hAnsi="Times New Roman"/>
        </w:rPr>
        <w:t>ktorých vyplýva nahradenie rizikového váženia protistrany rizikovým vážením záruky, inštitúcie používajú rizikovú váhu po substitučnom účinku. Podľa prístupu IRB inštitúcie vykonajú tento výpočet:</w:t>
      </w:r>
      <w:r w:rsidR="004E4BE4">
        <w:rPr>
          <w:rFonts w:ascii="Times New Roman" w:hAnsi="Times New Roman"/>
        </w:rPr>
        <w:t xml:space="preserve"> v </w:t>
      </w:r>
      <w:r w:rsidRPr="004E4BE4">
        <w:rPr>
          <w:rFonts w:ascii="Times New Roman" w:hAnsi="Times New Roman"/>
        </w:rPr>
        <w:t>prípade expozícií (okrem tých, pre ktoré sú stanovené osobitné regulačné rizikové váhy) patriacich do jednotlivých ratingových stupňov dlžníka sa riziková váha odvodzuje vydelením rizikovo váženej expozície získanej zo vzorca rizikovej váhy alebo vzorca stanoveného orgánom dohľadu (pre expozície voči kreditnému riziku, resp. sekuritizačné expozície) hodnotou expozície po zohľadnení kladných</w:t>
      </w:r>
      <w:r w:rsidR="004E4BE4">
        <w:rPr>
          <w:rFonts w:ascii="Times New Roman" w:hAnsi="Times New Roman"/>
        </w:rPr>
        <w:t xml:space="preserve"> a </w:t>
      </w:r>
      <w:r w:rsidRPr="004E4BE4">
        <w:rPr>
          <w:rFonts w:ascii="Times New Roman" w:hAnsi="Times New Roman"/>
        </w:rPr>
        <w:t>záporných peňažných tokov</w:t>
      </w:r>
      <w:r w:rsidR="004E4BE4">
        <w:rPr>
          <w:rFonts w:ascii="Times New Roman" w:hAnsi="Times New Roman"/>
        </w:rPr>
        <w:t xml:space="preserve"> z </w:t>
      </w:r>
      <w:r w:rsidRPr="004E4BE4">
        <w:rPr>
          <w:rFonts w:ascii="Times New Roman" w:hAnsi="Times New Roman"/>
        </w:rPr>
        <w:t>dôvodu postupov CRM so substitučným účinkom na expozíciu. Podľa prístupu IRB sa expozície klasifikované ako</w:t>
      </w:r>
      <w:r w:rsidR="004E4BE4">
        <w:rPr>
          <w:rFonts w:ascii="Times New Roman" w:hAnsi="Times New Roman"/>
        </w:rPr>
        <w:t xml:space="preserve"> v </w:t>
      </w:r>
      <w:r w:rsidRPr="004E4BE4">
        <w:rPr>
          <w:rFonts w:ascii="Times New Roman" w:hAnsi="Times New Roman"/>
        </w:rPr>
        <w:t>stave zlyhania vylúčia</w:t>
      </w:r>
      <w:r w:rsidR="004E4BE4">
        <w:rPr>
          <w:rFonts w:ascii="Times New Roman" w:hAnsi="Times New Roman"/>
        </w:rPr>
        <w:t xml:space="preserve"> z </w:t>
      </w:r>
      <w:r w:rsidRPr="004E4BE4">
        <w:rPr>
          <w:rFonts w:ascii="Times New Roman" w:hAnsi="Times New Roman"/>
        </w:rPr>
        <w:t>{020;010} až {090;010}</w:t>
      </w:r>
      <w:r w:rsidR="004E4BE4">
        <w:rPr>
          <w:rFonts w:ascii="Times New Roman" w:hAnsi="Times New Roman"/>
        </w:rPr>
        <w:t xml:space="preserve"> a </w:t>
      </w:r>
      <w:r w:rsidRPr="004E4BE4">
        <w:rPr>
          <w:rFonts w:ascii="Times New Roman" w:hAnsi="Times New Roman"/>
        </w:rPr>
        <w:t>zahrnú do {100;010}. Podľa štandardizovaného prístupu sa expozície patriace pod článok 112 písm. j) CRR vylúčia</w:t>
      </w:r>
      <w:r w:rsidR="004E4BE4">
        <w:rPr>
          <w:rFonts w:ascii="Times New Roman" w:hAnsi="Times New Roman"/>
        </w:rPr>
        <w:t xml:space="preserve"> z </w:t>
      </w:r>
      <w:r w:rsidRPr="004E4BE4">
        <w:rPr>
          <w:rFonts w:ascii="Times New Roman" w:hAnsi="Times New Roman"/>
        </w:rPr>
        <w:t>{020;020} až {090;020}</w:t>
      </w:r>
      <w:r w:rsidR="004E4BE4">
        <w:rPr>
          <w:rFonts w:ascii="Times New Roman" w:hAnsi="Times New Roman"/>
        </w:rPr>
        <w:t xml:space="preserve"> a </w:t>
      </w:r>
      <w:r w:rsidRPr="004E4BE4">
        <w:rPr>
          <w:rFonts w:ascii="Times New Roman" w:hAnsi="Times New Roman"/>
        </w:rPr>
        <w:t>zahrnú do {100;020}.</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26.</w:t>
      </w:r>
      <w:r w:rsidRPr="004E4BE4">
        <w:tab/>
      </w:r>
      <w:r w:rsidRPr="004E4BE4">
        <w:rPr>
          <w:rFonts w:ascii="Times New Roman" w:hAnsi="Times New Roman"/>
        </w:rPr>
        <w:t>Podľa oboch prístupov inštitúcie zohľadňujú expozície odpočítané od regulatórneho kapitálu tak, akoby sa uplatnila 1250</w:t>
      </w:r>
      <w:r w:rsidR="004E4BE4">
        <w:rPr>
          <w:rFonts w:ascii="Times New Roman" w:hAnsi="Times New Roman"/>
        </w:rPr>
        <w:t> %</w:t>
      </w:r>
      <w:r w:rsidRPr="004E4BE4">
        <w:rPr>
          <w:rFonts w:ascii="Times New Roman" w:hAnsi="Times New Roman"/>
        </w:rPr>
        <w:t xml:space="preserve"> riziková váha.</w:t>
      </w:r>
    </w:p>
    <w:p w:rsidR="00675587" w:rsidRPr="004E4BE4"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E4BE4" w:rsidTr="00FC2664">
        <w:tc>
          <w:tcPr>
            <w:tcW w:w="1418" w:type="dxa"/>
            <w:shd w:val="clear" w:color="auto" w:fill="D9D9D9"/>
          </w:tcPr>
          <w:p w:rsidR="004E4BE4" w:rsidRPr="00ED4583" w:rsidRDefault="00F4754B" w:rsidP="00F0756A">
            <w:pPr>
              <w:pStyle w:val="BodyText1"/>
              <w:spacing w:line="240" w:lineRule="auto"/>
              <w:rPr>
                <w:rFonts w:ascii="Times New Roman" w:hAnsi="Times New Roman"/>
                <w:b/>
              </w:rPr>
            </w:pPr>
            <w:r w:rsidRPr="00ED4583">
              <w:rPr>
                <w:rFonts w:ascii="Times New Roman" w:hAnsi="Times New Roman"/>
                <w:b/>
              </w:rPr>
              <w:t>Riadok</w:t>
            </w:r>
          </w:p>
          <w:p w:rsidR="00F4754B" w:rsidRPr="004E4BE4"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ED4583" w:rsidRDefault="00F4754B" w:rsidP="00F0756A">
            <w:pPr>
              <w:pStyle w:val="BodyText1"/>
              <w:spacing w:line="240" w:lineRule="auto"/>
              <w:rPr>
                <w:rFonts w:ascii="Times New Roman" w:hAnsi="Times New Roman"/>
                <w:b/>
                <w:bCs/>
              </w:rPr>
            </w:pPr>
            <w:r w:rsidRPr="00ED4583">
              <w:rPr>
                <w:rFonts w:ascii="Times New Roman" w:hAnsi="Times New Roman"/>
                <w:b/>
              </w:rPr>
              <w:t>Odkazy na právne predpisy</w:t>
            </w:r>
            <w:r w:rsidR="004E4BE4" w:rsidRPr="00ED4583">
              <w:rPr>
                <w:rFonts w:ascii="Times New Roman" w:hAnsi="Times New Roman"/>
                <w:b/>
              </w:rPr>
              <w:t xml:space="preserve"> a </w:t>
            </w:r>
            <w:r w:rsidRPr="00ED4583">
              <w:rPr>
                <w:rFonts w:ascii="Times New Roman" w:hAnsi="Times New Roman"/>
                <w:b/>
              </w:rPr>
              <w:t>pokyny</w:t>
            </w:r>
          </w:p>
          <w:p w:rsidR="00F4754B" w:rsidRPr="00040D93" w:rsidRDefault="00F4754B" w:rsidP="00F0756A">
            <w:pPr>
              <w:pStyle w:val="BodyText1"/>
              <w:spacing w:line="240" w:lineRule="auto"/>
              <w:rPr>
                <w:rFonts w:ascii="Times New Roman" w:hAnsi="Times New Roman"/>
                <w:b/>
                <w:bCs/>
                <w:u w:val="single"/>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010</w:t>
            </w:r>
          </w:p>
          <w:p w:rsidR="00F4754B" w:rsidRPr="004E4BE4" w:rsidRDefault="00F4754B" w:rsidP="00F4754B">
            <w:pPr>
              <w:pStyle w:val="BodyText1"/>
              <w:rPr>
                <w:rFonts w:ascii="Times New Roman" w:hAnsi="Times New Roman"/>
                <w:bCs/>
              </w:rPr>
            </w:pPr>
          </w:p>
        </w:tc>
        <w:tc>
          <w:tcPr>
            <w:tcW w:w="7620" w:type="dxa"/>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Celkové súvahové</w:t>
            </w:r>
            <w:r w:rsidR="004E4BE4" w:rsidRPr="00ED4583">
              <w:rPr>
                <w:rFonts w:ascii="Times New Roman" w:hAnsi="Times New Roman"/>
                <w:b/>
              </w:rPr>
              <w:t xml:space="preserve"> a </w:t>
            </w:r>
            <w:r w:rsidRPr="00ED4583">
              <w:rPr>
                <w:rFonts w:ascii="Times New Roman" w:hAnsi="Times New Roman"/>
                <w:b/>
              </w:rPr>
              <w:t>podsúvahové expozície patriace do neobchodnej knihy, ako aj expozície obchodnej knihy, ktoré sú vystavené kreditnému riziku protistrany (rozčlenenie podľa rizikovej váhy):</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{020:*} až {100;*}.</w:t>
            </w:r>
          </w:p>
          <w:p w:rsidR="002509B1" w:rsidRPr="004E4BE4" w:rsidRDefault="002509B1" w:rsidP="007E2A41">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020</w:t>
            </w:r>
          </w:p>
          <w:p w:rsidR="00F4754B" w:rsidRPr="00040D93" w:rsidRDefault="00F4754B" w:rsidP="00F4754B">
            <w:pPr>
              <w:pStyle w:val="BodyText1"/>
              <w:rPr>
                <w:rFonts w:ascii="Times New Roman" w:hAnsi="Times New Roman"/>
                <w:b/>
                <w:bCs/>
                <w:u w:val="single"/>
              </w:rPr>
            </w:pPr>
          </w:p>
        </w:tc>
        <w:tc>
          <w:tcPr>
            <w:tcW w:w="7620" w:type="dxa"/>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 0</w:t>
            </w:r>
            <w:r w:rsidR="004E4BE4" w:rsidRPr="00ED4583">
              <w:rPr>
                <w:rFonts w:ascii="Times New Roman" w:hAnsi="Times New Roman"/>
                <w:b/>
              </w:rPr>
              <w:t> %</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0</w:t>
            </w:r>
            <w:r w:rsidR="004E4BE4">
              <w:rPr>
                <w:rFonts w:ascii="Times New Roman" w:hAnsi="Times New Roman"/>
              </w:rPr>
              <w:t> %</w:t>
            </w:r>
            <w:r w:rsidRPr="004E4BE4">
              <w:rPr>
                <w:rFonts w:ascii="Times New Roman" w:hAnsi="Times New Roman"/>
              </w:rPr>
              <w:t xml:space="preserve"> rizikovou váhou.</w:t>
            </w:r>
          </w:p>
          <w:p w:rsidR="002509B1" w:rsidRPr="004E4BE4" w:rsidRDefault="002509B1" w:rsidP="007E2A41">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030</w:t>
            </w:r>
          </w:p>
        </w:tc>
        <w:tc>
          <w:tcPr>
            <w:tcW w:w="7620" w:type="dxa"/>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&gt; 0</w:t>
            </w:r>
            <w:r w:rsidR="004E4BE4" w:rsidRPr="00ED4583">
              <w:rPr>
                <w:rFonts w:ascii="Times New Roman" w:hAnsi="Times New Roman"/>
                <w:b/>
              </w:rPr>
              <w:t> % a </w:t>
            </w:r>
            <w:r w:rsidRPr="00ED4583">
              <w:rPr>
                <w:rFonts w:ascii="Times New Roman" w:hAnsi="Times New Roman"/>
                <w:b/>
              </w:rPr>
              <w:t>≤ 12</w:t>
            </w:r>
            <w:r w:rsidR="004E4BE4" w:rsidRPr="00ED4583">
              <w:rPr>
                <w:rFonts w:ascii="Times New Roman" w:hAnsi="Times New Roman"/>
                <w:b/>
              </w:rPr>
              <w:t> %</w:t>
            </w:r>
          </w:p>
          <w:p w:rsidR="00F4754B" w:rsidRPr="004E4BE4" w:rsidRDefault="00F4754B"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rizikovou váhou pohybujúcou sa</w:t>
            </w:r>
            <w:r w:rsidR="004E4BE4">
              <w:rPr>
                <w:rFonts w:ascii="Times New Roman" w:hAnsi="Times New Roman"/>
              </w:rPr>
              <w:t xml:space="preserve"> v </w:t>
            </w:r>
            <w:r w:rsidRPr="004E4BE4">
              <w:rPr>
                <w:rFonts w:ascii="Times New Roman" w:hAnsi="Times New Roman"/>
              </w:rPr>
              <w:t>rozmedzí rizikových váh striktne väčších ako 0</w:t>
            </w:r>
            <w:r w:rsidR="004E4BE4">
              <w:rPr>
                <w:rFonts w:ascii="Times New Roman" w:hAnsi="Times New Roman"/>
              </w:rPr>
              <w:t> % a </w:t>
            </w:r>
            <w:r w:rsidRPr="004E4BE4">
              <w:rPr>
                <w:rFonts w:ascii="Times New Roman" w:hAnsi="Times New Roman"/>
              </w:rPr>
              <w:t>menších alebo rovných 12</w:t>
            </w:r>
            <w:r w:rsidR="004E4BE4">
              <w:rPr>
                <w:rFonts w:ascii="Times New Roman" w:hAnsi="Times New Roman"/>
              </w:rPr>
              <w:t> %</w:t>
            </w:r>
            <w:r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rPr>
            </w:pPr>
          </w:p>
        </w:tc>
      </w:tr>
      <w:tr w:rsidR="00F4754B" w:rsidRPr="004E4BE4" w:rsidTr="00FC2664">
        <w:tc>
          <w:tcPr>
            <w:tcW w:w="1418" w:type="dxa"/>
            <w:tcBorders>
              <w:bottom w:val="single" w:sz="4" w:space="0" w:color="auto"/>
            </w:tcBorders>
          </w:tcPr>
          <w:p w:rsidR="00F4754B" w:rsidRPr="004E4BE4" w:rsidRDefault="00F4754B" w:rsidP="00F4754B">
            <w:pPr>
              <w:pStyle w:val="BodyText1"/>
              <w:rPr>
                <w:rFonts w:ascii="Times New Roman" w:hAnsi="Times New Roman"/>
                <w:bCs/>
              </w:rPr>
            </w:pPr>
            <w:r w:rsidRPr="004E4BE4">
              <w:rPr>
                <w:rFonts w:ascii="Times New Roman" w:hAnsi="Times New Roman"/>
              </w:rPr>
              <w:t>040</w:t>
            </w:r>
          </w:p>
        </w:tc>
        <w:tc>
          <w:tcPr>
            <w:tcW w:w="7620" w:type="dxa"/>
            <w:tcBorders>
              <w:bottom w:val="single" w:sz="4" w:space="0" w:color="auto"/>
            </w:tcBorders>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&gt; 12</w:t>
            </w:r>
            <w:r w:rsidR="004E4BE4" w:rsidRPr="00ED4583">
              <w:rPr>
                <w:rFonts w:ascii="Times New Roman" w:hAnsi="Times New Roman"/>
                <w:b/>
              </w:rPr>
              <w:t> % a </w:t>
            </w:r>
            <w:r w:rsidRPr="00ED4583">
              <w:rPr>
                <w:rFonts w:ascii="Times New Roman" w:hAnsi="Times New Roman"/>
                <w:b/>
              </w:rPr>
              <w:t>≤ 20</w:t>
            </w:r>
            <w:r w:rsidR="004E4BE4" w:rsidRPr="00ED4583">
              <w:rPr>
                <w:rFonts w:ascii="Times New Roman" w:hAnsi="Times New Roman"/>
                <w:b/>
              </w:rPr>
              <w:t> %</w:t>
            </w:r>
          </w:p>
          <w:p w:rsidR="00F4754B" w:rsidRPr="004E4BE4" w:rsidRDefault="00F4754B" w:rsidP="007E2A41">
            <w:pPr>
              <w:pStyle w:val="BodyText1"/>
              <w:spacing w:line="240" w:lineRule="auto"/>
              <w:rPr>
                <w:rFonts w:ascii="Times New Roman" w:hAnsi="Times New Roman"/>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rizikovou váhou pohybujúcou sa</w:t>
            </w:r>
            <w:r w:rsidR="004E4BE4">
              <w:rPr>
                <w:rFonts w:ascii="Times New Roman" w:hAnsi="Times New Roman"/>
              </w:rPr>
              <w:t xml:space="preserve"> v </w:t>
            </w:r>
            <w:r w:rsidRPr="004E4BE4">
              <w:rPr>
                <w:rFonts w:ascii="Times New Roman" w:hAnsi="Times New Roman"/>
              </w:rPr>
              <w:t>rozmedzí rizikových váh striktne väčších ako 12</w:t>
            </w:r>
            <w:r w:rsidR="004E4BE4">
              <w:rPr>
                <w:rFonts w:ascii="Times New Roman" w:hAnsi="Times New Roman"/>
              </w:rPr>
              <w:t> % a </w:t>
            </w:r>
            <w:r w:rsidRPr="004E4BE4">
              <w:rPr>
                <w:rFonts w:ascii="Times New Roman" w:hAnsi="Times New Roman"/>
              </w:rPr>
              <w:t>menších alebo rovných 20</w:t>
            </w:r>
            <w:r w:rsidR="004E4BE4">
              <w:rPr>
                <w:rFonts w:ascii="Times New Roman" w:hAnsi="Times New Roman"/>
              </w:rPr>
              <w:t> %</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050</w:t>
            </w:r>
          </w:p>
        </w:tc>
        <w:tc>
          <w:tcPr>
            <w:tcW w:w="7620" w:type="dxa"/>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&gt; 20</w:t>
            </w:r>
            <w:r w:rsidR="004E4BE4" w:rsidRPr="00ED4583">
              <w:rPr>
                <w:rFonts w:ascii="Times New Roman" w:hAnsi="Times New Roman"/>
                <w:b/>
              </w:rPr>
              <w:t> % a </w:t>
            </w:r>
            <w:r w:rsidRPr="00ED4583">
              <w:rPr>
                <w:rFonts w:ascii="Times New Roman" w:hAnsi="Times New Roman"/>
                <w:b/>
              </w:rPr>
              <w:t>≤ 50</w:t>
            </w:r>
            <w:r w:rsidR="004E4BE4" w:rsidRPr="00ED4583">
              <w:rPr>
                <w:rFonts w:ascii="Times New Roman" w:hAnsi="Times New Roman"/>
                <w:b/>
              </w:rPr>
              <w:t> %</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rizikovou váhou pohybujúcou sa</w:t>
            </w:r>
            <w:r w:rsidR="004E4BE4">
              <w:rPr>
                <w:rFonts w:ascii="Times New Roman" w:hAnsi="Times New Roman"/>
              </w:rPr>
              <w:t xml:space="preserve"> v </w:t>
            </w:r>
            <w:r w:rsidRPr="004E4BE4">
              <w:rPr>
                <w:rFonts w:ascii="Times New Roman" w:hAnsi="Times New Roman"/>
              </w:rPr>
              <w:t>rozmedzí rizikových váh striktne väčších ako 20</w:t>
            </w:r>
            <w:r w:rsidR="004E4BE4">
              <w:rPr>
                <w:rFonts w:ascii="Times New Roman" w:hAnsi="Times New Roman"/>
              </w:rPr>
              <w:t> % a </w:t>
            </w:r>
            <w:r w:rsidRPr="004E4BE4">
              <w:rPr>
                <w:rFonts w:ascii="Times New Roman" w:hAnsi="Times New Roman"/>
              </w:rPr>
              <w:t>menších alebo rovných 50</w:t>
            </w:r>
            <w:r w:rsidR="004E4BE4">
              <w:rPr>
                <w:rFonts w:ascii="Times New Roman" w:hAnsi="Times New Roman"/>
              </w:rPr>
              <w:t> %</w:t>
            </w:r>
            <w:r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060</w:t>
            </w:r>
          </w:p>
          <w:p w:rsidR="00F4754B" w:rsidRPr="004E4BE4" w:rsidRDefault="00F4754B" w:rsidP="00F4754B">
            <w:pPr>
              <w:pStyle w:val="BodyText1"/>
              <w:rPr>
                <w:rFonts w:ascii="Times New Roman" w:hAnsi="Times New Roman"/>
                <w:bCs/>
              </w:rPr>
            </w:pPr>
          </w:p>
        </w:tc>
        <w:tc>
          <w:tcPr>
            <w:tcW w:w="7620" w:type="dxa"/>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&gt; 50</w:t>
            </w:r>
            <w:r w:rsidR="004E4BE4" w:rsidRPr="00ED4583">
              <w:rPr>
                <w:rFonts w:ascii="Times New Roman" w:hAnsi="Times New Roman"/>
                <w:b/>
              </w:rPr>
              <w:t> % a </w:t>
            </w:r>
            <w:r w:rsidRPr="00ED4583">
              <w:rPr>
                <w:rFonts w:ascii="Times New Roman" w:hAnsi="Times New Roman"/>
                <w:b/>
              </w:rPr>
              <w:t>≤ 75</w:t>
            </w:r>
            <w:r w:rsidR="004E4BE4" w:rsidRPr="00ED4583">
              <w:rPr>
                <w:rFonts w:ascii="Times New Roman" w:hAnsi="Times New Roman"/>
                <w:b/>
              </w:rPr>
              <w:t> %</w:t>
            </w:r>
          </w:p>
          <w:p w:rsidR="004E4BE4" w:rsidRPr="004E4BE4" w:rsidRDefault="004E4BE4"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rizikovou váhou pohybujúcou sa</w:t>
            </w:r>
            <w:r w:rsidR="004E4BE4">
              <w:rPr>
                <w:rFonts w:ascii="Times New Roman" w:hAnsi="Times New Roman"/>
              </w:rPr>
              <w:t xml:space="preserve"> v </w:t>
            </w:r>
            <w:r w:rsidRPr="004E4BE4">
              <w:rPr>
                <w:rFonts w:ascii="Times New Roman" w:hAnsi="Times New Roman"/>
              </w:rPr>
              <w:t>rozmedzí rizikových váh striktne väčších ako 50</w:t>
            </w:r>
            <w:r w:rsidR="004E4BE4">
              <w:rPr>
                <w:rFonts w:ascii="Times New Roman" w:hAnsi="Times New Roman"/>
              </w:rPr>
              <w:t> % a </w:t>
            </w:r>
            <w:r w:rsidRPr="004E4BE4">
              <w:rPr>
                <w:rFonts w:ascii="Times New Roman" w:hAnsi="Times New Roman"/>
              </w:rPr>
              <w:t>menších alebo rovných 75</w:t>
            </w:r>
            <w:r w:rsidR="004E4BE4">
              <w:rPr>
                <w:rFonts w:ascii="Times New Roman" w:hAnsi="Times New Roman"/>
              </w:rPr>
              <w:t> %</w:t>
            </w:r>
            <w:r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070</w:t>
            </w:r>
          </w:p>
          <w:p w:rsidR="00F4754B" w:rsidRPr="004E4BE4" w:rsidRDefault="00F4754B" w:rsidP="00F4754B">
            <w:pPr>
              <w:pStyle w:val="BodyText1"/>
              <w:rPr>
                <w:rFonts w:ascii="Times New Roman" w:hAnsi="Times New Roman"/>
                <w:bCs/>
              </w:rPr>
            </w:pPr>
          </w:p>
        </w:tc>
        <w:tc>
          <w:tcPr>
            <w:tcW w:w="7620" w:type="dxa"/>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&gt; 75</w:t>
            </w:r>
            <w:r w:rsidR="004E4BE4" w:rsidRPr="00ED4583">
              <w:rPr>
                <w:rFonts w:ascii="Times New Roman" w:hAnsi="Times New Roman"/>
                <w:b/>
              </w:rPr>
              <w:t> % a </w:t>
            </w:r>
            <w:r w:rsidRPr="00ED4583">
              <w:rPr>
                <w:rFonts w:ascii="Times New Roman" w:hAnsi="Times New Roman"/>
                <w:b/>
              </w:rPr>
              <w:t>≤ 100</w:t>
            </w:r>
            <w:r w:rsidR="004E4BE4" w:rsidRPr="00ED4583">
              <w:rPr>
                <w:rFonts w:ascii="Times New Roman" w:hAnsi="Times New Roman"/>
                <w:b/>
              </w:rPr>
              <w:t> %</w:t>
            </w:r>
          </w:p>
          <w:p w:rsidR="004E4BE4" w:rsidRPr="004E4BE4" w:rsidRDefault="004E4BE4"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rizikovou váhou pohybujúcou sa</w:t>
            </w:r>
            <w:r w:rsidR="004E4BE4">
              <w:rPr>
                <w:rFonts w:ascii="Times New Roman" w:hAnsi="Times New Roman"/>
              </w:rPr>
              <w:t xml:space="preserve"> v </w:t>
            </w:r>
            <w:r w:rsidRPr="004E4BE4">
              <w:rPr>
                <w:rFonts w:ascii="Times New Roman" w:hAnsi="Times New Roman"/>
              </w:rPr>
              <w:t>rozmedzí rizikových váh striktne väčších ako 75</w:t>
            </w:r>
            <w:r w:rsidR="004E4BE4">
              <w:rPr>
                <w:rFonts w:ascii="Times New Roman" w:hAnsi="Times New Roman"/>
              </w:rPr>
              <w:t> % a </w:t>
            </w:r>
            <w:r w:rsidRPr="004E4BE4">
              <w:rPr>
                <w:rFonts w:ascii="Times New Roman" w:hAnsi="Times New Roman"/>
              </w:rPr>
              <w:t>menších alebo rovných 100</w:t>
            </w:r>
            <w:r w:rsidR="004E4BE4">
              <w:rPr>
                <w:rFonts w:ascii="Times New Roman" w:hAnsi="Times New Roman"/>
              </w:rPr>
              <w:t> %</w:t>
            </w:r>
            <w:r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080</w:t>
            </w:r>
          </w:p>
          <w:p w:rsidR="00F4754B" w:rsidRPr="004E4BE4" w:rsidRDefault="00F4754B" w:rsidP="00F4754B">
            <w:pPr>
              <w:pStyle w:val="BodyText1"/>
              <w:rPr>
                <w:rFonts w:ascii="Times New Roman" w:hAnsi="Times New Roman"/>
                <w:bCs/>
              </w:rPr>
            </w:pPr>
          </w:p>
        </w:tc>
        <w:tc>
          <w:tcPr>
            <w:tcW w:w="7620" w:type="dxa"/>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&gt; 100</w:t>
            </w:r>
            <w:r w:rsidR="004E4BE4" w:rsidRPr="00ED4583">
              <w:rPr>
                <w:rFonts w:ascii="Times New Roman" w:hAnsi="Times New Roman"/>
                <w:b/>
              </w:rPr>
              <w:t> % a </w:t>
            </w:r>
            <w:r w:rsidRPr="00ED4583">
              <w:rPr>
                <w:rFonts w:ascii="Times New Roman" w:hAnsi="Times New Roman"/>
                <w:b/>
              </w:rPr>
              <w:t>≤ 425</w:t>
            </w:r>
            <w:r w:rsidR="004E4BE4" w:rsidRPr="00ED4583">
              <w:rPr>
                <w:rFonts w:ascii="Times New Roman" w:hAnsi="Times New Roman"/>
                <w:b/>
              </w:rPr>
              <w:t> %</w:t>
            </w:r>
          </w:p>
          <w:p w:rsidR="00F4754B" w:rsidRPr="004E4BE4" w:rsidRDefault="00F4754B"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rizikovou váhou pohybujúcou sa</w:t>
            </w:r>
            <w:r w:rsidR="004E4BE4">
              <w:rPr>
                <w:rFonts w:ascii="Times New Roman" w:hAnsi="Times New Roman"/>
              </w:rPr>
              <w:t xml:space="preserve"> v </w:t>
            </w:r>
            <w:r w:rsidRPr="004E4BE4">
              <w:rPr>
                <w:rFonts w:ascii="Times New Roman" w:hAnsi="Times New Roman"/>
              </w:rPr>
              <w:t>rozmedzí rizikových váh striktne väčších ako 100</w:t>
            </w:r>
            <w:r w:rsidR="004E4BE4">
              <w:rPr>
                <w:rFonts w:ascii="Times New Roman" w:hAnsi="Times New Roman"/>
              </w:rPr>
              <w:t> % a </w:t>
            </w:r>
            <w:r w:rsidRPr="004E4BE4">
              <w:rPr>
                <w:rFonts w:ascii="Times New Roman" w:hAnsi="Times New Roman"/>
              </w:rPr>
              <w:t>menších alebo rovných 425</w:t>
            </w:r>
            <w:r w:rsidR="004E4BE4">
              <w:rPr>
                <w:rFonts w:ascii="Times New Roman" w:hAnsi="Times New Roman"/>
              </w:rPr>
              <w:t> %</w:t>
            </w:r>
            <w:r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rPr>
            </w:pP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090</w:t>
            </w:r>
          </w:p>
        </w:tc>
        <w:tc>
          <w:tcPr>
            <w:tcW w:w="7620" w:type="dxa"/>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&gt; 425</w:t>
            </w:r>
            <w:r w:rsidR="004E4BE4" w:rsidRPr="00ED4583">
              <w:rPr>
                <w:rFonts w:ascii="Times New Roman" w:hAnsi="Times New Roman"/>
                <w:b/>
              </w:rPr>
              <w:t> % a </w:t>
            </w:r>
            <w:r w:rsidRPr="00ED4583">
              <w:rPr>
                <w:rFonts w:ascii="Times New Roman" w:hAnsi="Times New Roman"/>
                <w:b/>
              </w:rPr>
              <w:t>≤ 1250</w:t>
            </w:r>
            <w:r w:rsidR="004E4BE4" w:rsidRPr="00ED4583">
              <w:rPr>
                <w:rFonts w:ascii="Times New Roman" w:hAnsi="Times New Roman"/>
                <w:b/>
              </w:rPr>
              <w:t> %</w:t>
            </w:r>
          </w:p>
          <w:p w:rsidR="004E4BE4" w:rsidRPr="004E4BE4" w:rsidRDefault="004E4BE4"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Expozície</w:t>
            </w:r>
            <w:r w:rsidR="004E4BE4">
              <w:rPr>
                <w:rFonts w:ascii="Times New Roman" w:hAnsi="Times New Roman"/>
              </w:rPr>
              <w:t xml:space="preserve"> s </w:t>
            </w:r>
            <w:r w:rsidRPr="004E4BE4">
              <w:rPr>
                <w:rFonts w:ascii="Times New Roman" w:hAnsi="Times New Roman"/>
              </w:rPr>
              <w:t>rizikovou váhou pohybujúcou sa</w:t>
            </w:r>
            <w:r w:rsidR="004E4BE4">
              <w:rPr>
                <w:rFonts w:ascii="Times New Roman" w:hAnsi="Times New Roman"/>
              </w:rPr>
              <w:t xml:space="preserve"> v </w:t>
            </w:r>
            <w:r w:rsidRPr="004E4BE4">
              <w:rPr>
                <w:rFonts w:ascii="Times New Roman" w:hAnsi="Times New Roman"/>
              </w:rPr>
              <w:t>rozmedzí rizikových váh striktne väčších ako 425</w:t>
            </w:r>
            <w:r w:rsidR="004E4BE4">
              <w:rPr>
                <w:rFonts w:ascii="Times New Roman" w:hAnsi="Times New Roman"/>
              </w:rPr>
              <w:t> % a </w:t>
            </w:r>
            <w:r w:rsidRPr="004E4BE4">
              <w:rPr>
                <w:rFonts w:ascii="Times New Roman" w:hAnsi="Times New Roman"/>
              </w:rPr>
              <w:t>menších alebo rovných 1250</w:t>
            </w:r>
            <w:r w:rsidR="004E4BE4">
              <w:rPr>
                <w:rFonts w:ascii="Times New Roman" w:hAnsi="Times New Roman"/>
              </w:rPr>
              <w:t> %</w:t>
            </w:r>
            <w:r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rPr>
            </w:pPr>
          </w:p>
        </w:tc>
      </w:tr>
      <w:tr w:rsidR="00F4754B" w:rsidRPr="004E4BE4" w:rsidTr="00FC2664">
        <w:tc>
          <w:tcPr>
            <w:tcW w:w="1418" w:type="dxa"/>
            <w:tcBorders>
              <w:top w:val="single" w:sz="4" w:space="0" w:color="auto"/>
              <w:left w:val="single" w:sz="4" w:space="0" w:color="auto"/>
              <w:bottom w:val="single" w:sz="4" w:space="0" w:color="auto"/>
              <w:right w:val="single" w:sz="4" w:space="0" w:color="auto"/>
            </w:tcBorders>
          </w:tcPr>
          <w:p w:rsidR="00F4754B" w:rsidRPr="004E4BE4" w:rsidRDefault="00F4754B" w:rsidP="00F4754B">
            <w:pPr>
              <w:pStyle w:val="BodyText1"/>
              <w:rPr>
                <w:rFonts w:ascii="Times New Roman" w:hAnsi="Times New Roman"/>
                <w:bCs/>
              </w:rPr>
            </w:pPr>
            <w:r w:rsidRPr="004E4BE4">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v </w:t>
            </w:r>
            <w:r w:rsidRPr="00ED4583">
              <w:rPr>
                <w:rFonts w:ascii="Times New Roman" w:hAnsi="Times New Roman"/>
                <w:b/>
              </w:rPr>
              <w:t>stave zlyhania</w:t>
            </w:r>
          </w:p>
          <w:p w:rsidR="00F4754B" w:rsidRPr="00040D93" w:rsidRDefault="00F4754B" w:rsidP="007E2A41">
            <w:pPr>
              <w:pStyle w:val="BodyText1"/>
              <w:spacing w:line="240" w:lineRule="auto"/>
              <w:rPr>
                <w:rFonts w:ascii="Times New Roman" w:hAnsi="Times New Roman"/>
                <w:b/>
                <w:bCs/>
                <w:u w:val="single"/>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Podľa štandardizovaného prístupu expozície patriace pod článok 112 písm. j) CRR.</w:t>
            </w:r>
          </w:p>
          <w:p w:rsidR="00F4754B" w:rsidRPr="004E4BE4" w:rsidRDefault="00F4754B" w:rsidP="007E2A41">
            <w:pPr>
              <w:pStyle w:val="BodyText1"/>
              <w:spacing w:line="240" w:lineRule="auto"/>
              <w:rPr>
                <w:rFonts w:ascii="Times New Roman" w:hAnsi="Times New Roman"/>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Podľa prístupu IRB sú všetky expozície, ktorých pravdepodobnosť zlyhania (PD) je 100</w:t>
            </w:r>
            <w:r w:rsidR="004E4BE4">
              <w:rPr>
                <w:rFonts w:ascii="Times New Roman" w:hAnsi="Times New Roman"/>
              </w:rPr>
              <w:t> %</w:t>
            </w:r>
            <w:r w:rsidRPr="004E4BE4">
              <w:rPr>
                <w:rFonts w:ascii="Times New Roman" w:hAnsi="Times New Roman"/>
              </w:rPr>
              <w:t>, expozíciami</w:t>
            </w:r>
            <w:r w:rsidR="004E4BE4">
              <w:rPr>
                <w:rFonts w:ascii="Times New Roman" w:hAnsi="Times New Roman"/>
              </w:rPr>
              <w:t xml:space="preserve"> v </w:t>
            </w:r>
            <w:r w:rsidRPr="004E4BE4">
              <w:rPr>
                <w:rFonts w:ascii="Times New Roman" w:hAnsi="Times New Roman"/>
              </w:rPr>
              <w:t>stave zlyhania</w:t>
            </w:r>
            <w:r w:rsidR="004E4BE4" w:rsidRPr="004E4BE4">
              <w:rPr>
                <w:rFonts w:ascii="Times New Roman" w:hAnsi="Times New Roman"/>
              </w:rPr>
              <w:t>.</w:t>
            </w:r>
          </w:p>
          <w:p w:rsidR="00F4754B" w:rsidRPr="00040D93" w:rsidRDefault="00F4754B" w:rsidP="007E2A41">
            <w:pPr>
              <w:pStyle w:val="BodyText1"/>
              <w:spacing w:line="240" w:lineRule="auto"/>
              <w:rPr>
                <w:rFonts w:ascii="Times New Roman" w:hAnsi="Times New Roman"/>
                <w:bCs/>
                <w:u w:val="single"/>
              </w:rPr>
            </w:pPr>
          </w:p>
        </w:tc>
      </w:tr>
      <w:tr w:rsidR="00F4754B" w:rsidRPr="004E4BE4" w:rsidTr="00FC2664">
        <w:tc>
          <w:tcPr>
            <w:tcW w:w="1418" w:type="dxa"/>
            <w:tcBorders>
              <w:top w:val="single" w:sz="4" w:space="0" w:color="auto"/>
              <w:left w:val="single" w:sz="4" w:space="0" w:color="auto"/>
              <w:bottom w:val="single" w:sz="4" w:space="0" w:color="auto"/>
              <w:right w:val="single" w:sz="4" w:space="0" w:color="auto"/>
            </w:tcBorders>
          </w:tcPr>
          <w:p w:rsidR="00F4754B" w:rsidRPr="004E4BE4" w:rsidRDefault="00F4754B" w:rsidP="00F4754B">
            <w:pPr>
              <w:pStyle w:val="BodyText1"/>
              <w:rPr>
                <w:rFonts w:ascii="Times New Roman" w:hAnsi="Times New Roman"/>
                <w:bCs/>
              </w:rPr>
            </w:pPr>
            <w:r w:rsidRPr="004E4BE4">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ED4583" w:rsidRDefault="00F0756A" w:rsidP="007E2A41">
            <w:pPr>
              <w:pStyle w:val="BodyText1"/>
              <w:spacing w:line="240" w:lineRule="auto"/>
              <w:rPr>
                <w:rFonts w:ascii="Times New Roman" w:hAnsi="Times New Roman"/>
                <w:b/>
                <w:bCs/>
              </w:rPr>
            </w:pPr>
            <w:r w:rsidRPr="00ED4583">
              <w:rPr>
                <w:rFonts w:ascii="Times New Roman" w:hAnsi="Times New Roman"/>
                <w:b/>
              </w:rPr>
              <w:t>(Doplňujúca položka) Nízkorizikové podsúvahové položky alebo podsúvahové položky, na ktoré sa vzťahuje 0</w:t>
            </w:r>
            <w:r w:rsidR="004E4BE4" w:rsidRPr="00ED4583">
              <w:rPr>
                <w:rFonts w:ascii="Times New Roman" w:hAnsi="Times New Roman"/>
                <w:b/>
              </w:rPr>
              <w:t> %</w:t>
            </w:r>
            <w:r w:rsidRPr="00ED4583">
              <w:rPr>
                <w:rFonts w:ascii="Times New Roman" w:hAnsi="Times New Roman"/>
                <w:b/>
              </w:rPr>
              <w:t xml:space="preserve"> konverzný faktor podľa pomeru platobnej schopnosti.</w:t>
            </w:r>
          </w:p>
          <w:p w:rsidR="00F4754B" w:rsidRPr="00040D93" w:rsidRDefault="00F4754B" w:rsidP="007E2A41">
            <w:pPr>
              <w:pStyle w:val="BodyText1"/>
              <w:spacing w:line="240" w:lineRule="auto"/>
              <w:rPr>
                <w:rFonts w:ascii="Times New Roman" w:hAnsi="Times New Roman"/>
                <w:b/>
                <w:bCs/>
                <w:u w:val="single"/>
              </w:rPr>
            </w:pPr>
          </w:p>
          <w:p w:rsidR="00F4754B" w:rsidRPr="004E4BE4" w:rsidRDefault="00F4754B" w:rsidP="007E2A41">
            <w:pPr>
              <w:pStyle w:val="BodyText1"/>
              <w:spacing w:line="240" w:lineRule="auto"/>
              <w:rPr>
                <w:rFonts w:ascii="Times New Roman" w:hAnsi="Times New Roman"/>
              </w:rPr>
            </w:pPr>
            <w:r w:rsidRPr="004E4BE4">
              <w:rPr>
                <w:rFonts w:ascii="Times New Roman" w:hAnsi="Times New Roman"/>
              </w:rPr>
              <w:t>Nízkorizikové podsúvahové položky</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111 CRR</w:t>
            </w:r>
            <w:r w:rsidR="004E4BE4">
              <w:rPr>
                <w:rFonts w:ascii="Times New Roman" w:hAnsi="Times New Roman"/>
              </w:rPr>
              <w:t xml:space="preserve"> a </w:t>
            </w:r>
            <w:r w:rsidRPr="004E4BE4">
              <w:rPr>
                <w:rFonts w:ascii="Times New Roman" w:hAnsi="Times New Roman"/>
              </w:rPr>
              <w:t>podsúvahové položky, na ktoré sa vzťahuje 0</w:t>
            </w:r>
            <w:r w:rsidR="004E4BE4">
              <w:rPr>
                <w:rFonts w:ascii="Times New Roman" w:hAnsi="Times New Roman"/>
              </w:rPr>
              <w:t> %</w:t>
            </w:r>
            <w:r w:rsidRPr="004E4BE4">
              <w:rPr>
                <w:rFonts w:ascii="Times New Roman" w:hAnsi="Times New Roman"/>
              </w:rPr>
              <w:t xml:space="preserve"> konverzný faktor</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166 CRR.</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ED4583" w:rsidRDefault="00F4754B" w:rsidP="00F0756A">
            <w:pPr>
              <w:pStyle w:val="BodyText1"/>
              <w:spacing w:line="240" w:lineRule="auto"/>
              <w:rPr>
                <w:rFonts w:ascii="Times New Roman" w:hAnsi="Times New Roman"/>
                <w:b/>
                <w:bCs/>
              </w:rPr>
            </w:pPr>
            <w:r w:rsidRPr="00ED4583">
              <w:rPr>
                <w:rFonts w:ascii="Times New Roman" w:hAnsi="Times New Roman"/>
                <w:b/>
              </w:rPr>
              <w:t>Stĺpec</w:t>
            </w:r>
          </w:p>
          <w:p w:rsidR="00F0756A" w:rsidRPr="004E4BE4"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ED4583" w:rsidRDefault="00F4754B" w:rsidP="00F0756A">
            <w:pPr>
              <w:pStyle w:val="BodyText1"/>
              <w:spacing w:line="240" w:lineRule="auto"/>
              <w:rPr>
                <w:rFonts w:ascii="Times New Roman" w:hAnsi="Times New Roman"/>
                <w:b/>
                <w:bCs/>
              </w:rPr>
            </w:pPr>
            <w:r w:rsidRPr="00ED4583">
              <w:rPr>
                <w:rFonts w:ascii="Times New Roman" w:hAnsi="Times New Roman"/>
                <w:b/>
              </w:rPr>
              <w:t>Odkazy na právne predpisy</w:t>
            </w:r>
            <w:r w:rsidR="004E4BE4" w:rsidRPr="00ED4583">
              <w:rPr>
                <w:rFonts w:ascii="Times New Roman" w:hAnsi="Times New Roman"/>
                <w:b/>
              </w:rPr>
              <w:t xml:space="preserve"> a </w:t>
            </w:r>
            <w:r w:rsidRPr="00ED4583">
              <w:rPr>
                <w:rFonts w:ascii="Times New Roman" w:hAnsi="Times New Roman"/>
                <w:b/>
              </w:rPr>
              <w:t>pokyny</w:t>
            </w:r>
          </w:p>
          <w:p w:rsidR="002509B1" w:rsidRPr="00ED4583" w:rsidRDefault="002509B1" w:rsidP="00BE6AC4">
            <w:pPr>
              <w:pStyle w:val="BodyText1"/>
              <w:spacing w:line="240" w:lineRule="auto"/>
              <w:rPr>
                <w:rFonts w:ascii="Times New Roman" w:hAnsi="Times New Roman"/>
                <w:b/>
                <w:bCs/>
              </w:rPr>
            </w:pPr>
          </w:p>
        </w:tc>
      </w:tr>
      <w:tr w:rsidR="00F4754B" w:rsidRPr="004E4BE4" w:rsidTr="00FC2664">
        <w:tc>
          <w:tcPr>
            <w:tcW w:w="1418" w:type="dxa"/>
            <w:tcBorders>
              <w:top w:val="single" w:sz="4" w:space="0" w:color="auto"/>
              <w:left w:val="single" w:sz="4" w:space="0" w:color="auto"/>
              <w:bottom w:val="single" w:sz="4" w:space="0" w:color="auto"/>
              <w:right w:val="single" w:sz="4" w:space="0" w:color="auto"/>
            </w:tcBorders>
          </w:tcPr>
          <w:p w:rsidR="00F4754B" w:rsidRPr="004E4BE4" w:rsidRDefault="00513244" w:rsidP="00F4754B">
            <w:pPr>
              <w:pStyle w:val="BodyText1"/>
              <w:rPr>
                <w:rFonts w:ascii="Times New Roman" w:hAnsi="Times New Roman"/>
                <w:bCs/>
              </w:rPr>
            </w:pPr>
            <w:r w:rsidRPr="004E4BE4">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Súvahové</w:t>
            </w:r>
            <w:r w:rsidR="004E4BE4" w:rsidRPr="00ED4583">
              <w:rPr>
                <w:rFonts w:ascii="Times New Roman" w:hAnsi="Times New Roman"/>
                <w:b/>
              </w:rPr>
              <w:t xml:space="preserve"> a </w:t>
            </w:r>
            <w:r w:rsidRPr="00ED4583">
              <w:rPr>
                <w:rFonts w:ascii="Times New Roman" w:hAnsi="Times New Roman"/>
                <w:b/>
              </w:rPr>
              <w:t>podsúvahové expozície (expozície podľa SA)</w:t>
            </w:r>
          </w:p>
          <w:p w:rsidR="00F4754B" w:rsidRPr="00ED4583" w:rsidRDefault="00F4754B"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Hodnoty súvahových</w:t>
            </w:r>
            <w:r w:rsidR="004E4BE4">
              <w:rPr>
                <w:rFonts w:ascii="Times New Roman" w:hAnsi="Times New Roman"/>
              </w:rPr>
              <w:t xml:space="preserve"> a </w:t>
            </w:r>
            <w:r w:rsidRPr="004E4BE4">
              <w:rPr>
                <w:rFonts w:ascii="Times New Roman" w:hAnsi="Times New Roman"/>
              </w:rPr>
              <w:t>podsúvahových expozícií po zohľadnení úprav ocenenia, všetkých CRM</w:t>
            </w:r>
            <w:r w:rsidR="004E4BE4">
              <w:rPr>
                <w:rFonts w:ascii="Times New Roman" w:hAnsi="Times New Roman"/>
              </w:rPr>
              <w:t xml:space="preserve"> a </w:t>
            </w:r>
            <w:r w:rsidRPr="004E4BE4">
              <w:rPr>
                <w:rFonts w:ascii="Times New Roman" w:hAnsi="Times New Roman"/>
              </w:rPr>
              <w:t>konverzných faktorov úverov podľa výpočtu podľa tretej časti hlavy II kapitoly 2 CRR</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rPr>
            </w:pPr>
          </w:p>
        </w:tc>
      </w:tr>
      <w:tr w:rsidR="00F4754B" w:rsidRPr="004E4BE4" w:rsidTr="00FC2664">
        <w:tc>
          <w:tcPr>
            <w:tcW w:w="1418" w:type="dxa"/>
            <w:tcBorders>
              <w:top w:val="single" w:sz="4" w:space="0" w:color="auto"/>
              <w:left w:val="single" w:sz="4" w:space="0" w:color="auto"/>
              <w:bottom w:val="single" w:sz="4" w:space="0" w:color="auto"/>
              <w:right w:val="single" w:sz="4" w:space="0" w:color="auto"/>
            </w:tcBorders>
          </w:tcPr>
          <w:p w:rsidR="00F4754B" w:rsidRPr="004E4BE4" w:rsidRDefault="00513244" w:rsidP="00F4754B">
            <w:pPr>
              <w:pStyle w:val="BodyText1"/>
              <w:rPr>
                <w:rFonts w:ascii="Times New Roman" w:hAnsi="Times New Roman"/>
                <w:bCs/>
              </w:rPr>
            </w:pPr>
            <w:r w:rsidRPr="004E4BE4">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Súvahové</w:t>
            </w:r>
            <w:r w:rsidR="004E4BE4" w:rsidRPr="00ED4583">
              <w:rPr>
                <w:rFonts w:ascii="Times New Roman" w:hAnsi="Times New Roman"/>
                <w:b/>
              </w:rPr>
              <w:t xml:space="preserve"> a </w:t>
            </w:r>
            <w:r w:rsidRPr="00ED4583">
              <w:rPr>
                <w:rFonts w:ascii="Times New Roman" w:hAnsi="Times New Roman"/>
                <w:b/>
              </w:rPr>
              <w:t>podsúvahové expozície (expozície podľa IRB)</w:t>
            </w:r>
          </w:p>
          <w:p w:rsidR="00F4754B" w:rsidRPr="004E4BE4" w:rsidRDefault="00F4754B"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rPr>
            </w:pPr>
            <w:r w:rsidRPr="004E4BE4">
              <w:rPr>
                <w:rFonts w:ascii="Times New Roman" w:hAnsi="Times New Roman"/>
              </w:rPr>
              <w:t>Hodnoty súvahových</w:t>
            </w:r>
            <w:r w:rsidR="004E4BE4">
              <w:rPr>
                <w:rFonts w:ascii="Times New Roman" w:hAnsi="Times New Roman"/>
              </w:rPr>
              <w:t xml:space="preserve"> a </w:t>
            </w:r>
            <w:r w:rsidRPr="004E4BE4">
              <w:rPr>
                <w:rFonts w:ascii="Times New Roman" w:hAnsi="Times New Roman"/>
              </w:rPr>
              <w:t>podsúvahových expozícií</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166 CRR</w:t>
            </w:r>
            <w:r w:rsidR="004E4BE4">
              <w:rPr>
                <w:rFonts w:ascii="Times New Roman" w:hAnsi="Times New Roman"/>
              </w:rPr>
              <w:t xml:space="preserve"> a </w:t>
            </w:r>
            <w:r w:rsidRPr="004E4BE4">
              <w:rPr>
                <w:rFonts w:ascii="Times New Roman" w:hAnsi="Times New Roman"/>
              </w:rPr>
              <w:t>článkom 230 ods. 1 druhým pododsekom prvou vetou CRR po zohľadnení záporných</w:t>
            </w:r>
            <w:r w:rsidR="004E4BE4">
              <w:rPr>
                <w:rFonts w:ascii="Times New Roman" w:hAnsi="Times New Roman"/>
              </w:rPr>
              <w:t xml:space="preserve"> a </w:t>
            </w:r>
            <w:r w:rsidRPr="004E4BE4">
              <w:rPr>
                <w:rFonts w:ascii="Times New Roman" w:hAnsi="Times New Roman"/>
              </w:rPr>
              <w:t>kladných peňažných tokov</w:t>
            </w:r>
            <w:r w:rsidR="004E4BE4">
              <w:rPr>
                <w:rFonts w:ascii="Times New Roman" w:hAnsi="Times New Roman"/>
              </w:rPr>
              <w:t xml:space="preserve"> z </w:t>
            </w:r>
            <w:r w:rsidRPr="004E4BE4">
              <w:rPr>
                <w:rFonts w:ascii="Times New Roman" w:hAnsi="Times New Roman"/>
              </w:rPr>
              <w:t>dôvodu postupov zmierňovania kreditného rizika so substitučnými účinkami na expozíciu.</w:t>
            </w:r>
          </w:p>
          <w:p w:rsidR="00F4754B" w:rsidRPr="004E4BE4" w:rsidRDefault="00F4754B"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rPr>
            </w:pPr>
            <w:r w:rsidRPr="004E4BE4">
              <w:rPr>
                <w:rFonts w:ascii="Times New Roman" w:hAnsi="Times New Roman"/>
              </w:rPr>
              <w:t>V prípade podsúvahových položiek inštitúcie uplatňujú konverzné faktory podľa vymedzenia</w:t>
            </w:r>
            <w:r w:rsidR="004E4BE4">
              <w:rPr>
                <w:rFonts w:ascii="Times New Roman" w:hAnsi="Times New Roman"/>
              </w:rPr>
              <w:t xml:space="preserve"> v </w:t>
            </w:r>
            <w:r w:rsidRPr="004E4BE4">
              <w:rPr>
                <w:rFonts w:ascii="Times New Roman" w:hAnsi="Times New Roman"/>
              </w:rPr>
              <w:t>článku 166 ods. 8 až 10 CRR.</w:t>
            </w:r>
          </w:p>
          <w:p w:rsidR="002509B1" w:rsidRPr="00ED4583" w:rsidRDefault="002509B1" w:rsidP="007E2A41">
            <w:pPr>
              <w:pStyle w:val="BodyText1"/>
              <w:spacing w:line="240" w:lineRule="auto"/>
              <w:rPr>
                <w:rFonts w:ascii="Times New Roman" w:hAnsi="Times New Roman"/>
                <w:b/>
                <w:bCs/>
              </w:rPr>
            </w:pPr>
          </w:p>
        </w:tc>
      </w:tr>
      <w:tr w:rsidR="00F4754B" w:rsidRPr="004E4BE4" w:rsidTr="00FC2664">
        <w:tc>
          <w:tcPr>
            <w:tcW w:w="1418" w:type="dxa"/>
            <w:tcBorders>
              <w:top w:val="single" w:sz="4" w:space="0" w:color="auto"/>
              <w:left w:val="single" w:sz="4" w:space="0" w:color="auto"/>
              <w:bottom w:val="single" w:sz="4" w:space="0" w:color="auto"/>
              <w:right w:val="single" w:sz="4" w:space="0" w:color="auto"/>
            </w:tcBorders>
          </w:tcPr>
          <w:p w:rsidR="00F4754B" w:rsidRPr="004E4BE4" w:rsidRDefault="00513244" w:rsidP="00F4754B">
            <w:pPr>
              <w:pStyle w:val="BodyText1"/>
              <w:rPr>
                <w:rFonts w:ascii="Times New Roman" w:hAnsi="Times New Roman"/>
                <w:bCs/>
              </w:rPr>
            </w:pPr>
            <w:r w:rsidRPr="004E4BE4">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Nominálna hodnota</w:t>
            </w:r>
          </w:p>
          <w:p w:rsidR="00F4754B" w:rsidRPr="00ED4583" w:rsidRDefault="00F4754B"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Hodnoty expozície podsúvahových položiek podľa vymedzenia</w:t>
            </w:r>
            <w:r w:rsidR="004E4BE4">
              <w:rPr>
                <w:rFonts w:ascii="Times New Roman" w:hAnsi="Times New Roman"/>
              </w:rPr>
              <w:t xml:space="preserve"> v </w:t>
            </w:r>
            <w:r w:rsidRPr="004E4BE4">
              <w:rPr>
                <w:rFonts w:ascii="Times New Roman" w:hAnsi="Times New Roman"/>
              </w:rPr>
              <w:t>článkoch 111</w:t>
            </w:r>
            <w:r w:rsidR="004E4BE4">
              <w:rPr>
                <w:rFonts w:ascii="Times New Roman" w:hAnsi="Times New Roman"/>
              </w:rPr>
              <w:t xml:space="preserve"> a </w:t>
            </w:r>
            <w:r w:rsidRPr="004E4BE4">
              <w:rPr>
                <w:rFonts w:ascii="Times New Roman" w:hAnsi="Times New Roman"/>
              </w:rPr>
              <w:t>166 CRR bez uplatnenia konverzných faktorov</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tc>
      </w:tr>
    </w:tbl>
    <w:p w:rsidR="00F4754B" w:rsidRPr="004E4BE4" w:rsidRDefault="00F4754B" w:rsidP="00F4754B">
      <w:pPr>
        <w:pStyle w:val="BodyText1"/>
        <w:rPr>
          <w:rFonts w:ascii="Times New Roman" w:hAnsi="Times New Roman"/>
        </w:rPr>
      </w:pPr>
    </w:p>
    <w:p w:rsidR="004E4BE4" w:rsidRPr="00ED4583" w:rsidRDefault="00500508" w:rsidP="00ED4583">
      <w:pPr>
        <w:pStyle w:val="BodyText1"/>
        <w:keepNext/>
        <w:keepLines/>
        <w:ind w:left="357" w:hanging="357"/>
        <w:outlineLvl w:val="1"/>
        <w:rPr>
          <w:rFonts w:ascii="Times New Roman" w:hAnsi="Times New Roman"/>
          <w:b/>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Start w:id="65" w:name="_Toc351048509"/>
      <w:bookmarkStart w:id="66" w:name="_Toc359414288"/>
      <w:bookmarkStart w:id="67" w:name="_Toc322687894"/>
      <w:bookmarkStart w:id="68" w:name="_Toc524086726"/>
      <w:bookmarkEnd w:id="51"/>
      <w:bookmarkEnd w:id="58"/>
      <w:bookmarkEnd w:id="59"/>
      <w:bookmarkEnd w:id="60"/>
      <w:bookmarkEnd w:id="61"/>
      <w:bookmarkEnd w:id="62"/>
      <w:bookmarkEnd w:id="63"/>
      <w:bookmarkEnd w:id="64"/>
      <w:r w:rsidRPr="00ED4583">
        <w:rPr>
          <w:rFonts w:ascii="Times New Roman" w:hAnsi="Times New Roman"/>
          <w:b/>
        </w:rPr>
        <w:t>7.</w:t>
      </w:r>
      <w:r w:rsidRPr="004E4BE4">
        <w:tab/>
      </w:r>
      <w:r w:rsidRPr="00ED4583">
        <w:rPr>
          <w:rFonts w:ascii="Times New Roman" w:hAnsi="Times New Roman"/>
          <w:b/>
        </w:rPr>
        <w:t>C 42.00 – Alternatívne vymedzenie kapitálu</w:t>
      </w:r>
      <w:bookmarkEnd w:id="65"/>
      <w:bookmarkEnd w:id="66"/>
      <w:r w:rsidRPr="00ED4583">
        <w:rPr>
          <w:rFonts w:ascii="Times New Roman" w:hAnsi="Times New Roman"/>
          <w:b/>
        </w:rPr>
        <w:t xml:space="preserve"> (LR3)</w:t>
      </w:r>
      <w:bookmarkEnd w:id="68"/>
      <w:bookmarkEnd w:id="67"/>
    </w:p>
    <w:p w:rsidR="00675587" w:rsidRPr="004E4BE4" w:rsidRDefault="00675587" w:rsidP="00ED4583">
      <w:pPr>
        <w:pStyle w:val="BodyText1"/>
        <w:keepNext/>
        <w:keepLines/>
        <w:ind w:left="720"/>
        <w:rPr>
          <w:rFonts w:ascii="Times New Roman" w:hAnsi="Times New Roman"/>
        </w:rPr>
      </w:pPr>
    </w:p>
    <w:p w:rsidR="00675587"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27.</w:t>
      </w:r>
      <w:r w:rsidRPr="004E4BE4">
        <w:tab/>
      </w:r>
      <w:r w:rsidRPr="004E4BE4">
        <w:rPr>
          <w:rFonts w:ascii="Times New Roman" w:hAnsi="Times New Roman"/>
        </w:rPr>
        <w:t>Vzor LR3 uvádza informácie</w:t>
      </w:r>
      <w:r w:rsidR="004E4BE4">
        <w:rPr>
          <w:rFonts w:ascii="Times New Roman" w:hAnsi="Times New Roman"/>
        </w:rPr>
        <w:t xml:space="preserve"> o </w:t>
      </w:r>
      <w:r w:rsidRPr="004E4BE4">
        <w:rPr>
          <w:rFonts w:ascii="Times New Roman" w:hAnsi="Times New Roman"/>
        </w:rPr>
        <w:t>miere kapitálu potrebné pre preskúmanie podľa článku 511 CRR.</w:t>
      </w:r>
    </w:p>
    <w:p w:rsidR="00F4754B" w:rsidRPr="004E4BE4" w:rsidRDefault="00F4754B" w:rsidP="007E2A41">
      <w:pPr>
        <w:pStyle w:val="BodyText1"/>
        <w:spacing w:line="240" w:lineRule="auto"/>
        <w:ind w:left="720"/>
        <w:rPr>
          <w:rFonts w:ascii="Times New Roman" w:hAnsi="Times New Roman"/>
        </w:rPr>
      </w:pPr>
      <w:r w:rsidRPr="004E4BE4">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E4BE4" w:rsidTr="00FC2664">
        <w:tc>
          <w:tcPr>
            <w:tcW w:w="1418" w:type="dxa"/>
            <w:shd w:val="clear" w:color="auto" w:fill="D9D9D9"/>
          </w:tcPr>
          <w:p w:rsidR="004E4BE4" w:rsidRPr="00ED4583" w:rsidRDefault="00F4754B" w:rsidP="00F4754B">
            <w:pPr>
              <w:pStyle w:val="BodyText1"/>
              <w:rPr>
                <w:rFonts w:ascii="Times New Roman" w:hAnsi="Times New Roman"/>
                <w:b/>
              </w:rPr>
            </w:pPr>
            <w:r w:rsidRPr="00ED4583">
              <w:rPr>
                <w:rFonts w:ascii="Times New Roman" w:hAnsi="Times New Roman"/>
                <w:b/>
              </w:rPr>
              <w:t>Riadok</w:t>
            </w:r>
          </w:p>
          <w:p w:rsidR="00F4754B" w:rsidRPr="00040D93" w:rsidRDefault="00F4754B" w:rsidP="00F4754B">
            <w:pPr>
              <w:pStyle w:val="BodyText1"/>
              <w:rPr>
                <w:rFonts w:ascii="Times New Roman" w:hAnsi="Times New Roman"/>
                <w:b/>
                <w:bCs/>
                <w:u w:val="single"/>
              </w:rPr>
            </w:pPr>
            <w:r w:rsidRPr="00ED4583">
              <w:rPr>
                <w:rFonts w:ascii="Times New Roman" w:hAnsi="Times New Roman"/>
                <w:b/>
              </w:rPr>
              <w:t>a stĺpec</w:t>
            </w:r>
          </w:p>
        </w:tc>
        <w:tc>
          <w:tcPr>
            <w:tcW w:w="7620" w:type="dxa"/>
            <w:shd w:val="clear" w:color="auto" w:fill="D9D9D9"/>
          </w:tcPr>
          <w:p w:rsidR="00F4754B" w:rsidRPr="00040D93" w:rsidRDefault="00F4754B" w:rsidP="00F4754B">
            <w:pPr>
              <w:pStyle w:val="BodyText1"/>
              <w:rPr>
                <w:rFonts w:ascii="Times New Roman" w:hAnsi="Times New Roman"/>
                <w:b/>
                <w:bCs/>
                <w:u w:val="single"/>
              </w:rPr>
            </w:pPr>
            <w:r w:rsidRPr="00ED4583">
              <w:rPr>
                <w:rFonts w:ascii="Times New Roman" w:hAnsi="Times New Roman"/>
                <w:b/>
              </w:rPr>
              <w:t>Odkazy na právne predpisy</w:t>
            </w:r>
            <w:r w:rsidR="004E4BE4" w:rsidRPr="00ED4583">
              <w:rPr>
                <w:rFonts w:ascii="Times New Roman" w:hAnsi="Times New Roman"/>
                <w:b/>
              </w:rPr>
              <w:t xml:space="preserve"> a </w:t>
            </w:r>
            <w:r w:rsidRPr="00ED4583">
              <w:rPr>
                <w:rFonts w:ascii="Times New Roman" w:hAnsi="Times New Roman"/>
                <w:b/>
              </w:rPr>
              <w:t>pokyny</w:t>
            </w:r>
          </w:p>
        </w:tc>
      </w:tr>
      <w:tr w:rsidR="00F4754B" w:rsidRPr="004E4BE4" w:rsidTr="00FC2664">
        <w:trPr>
          <w:trHeight w:val="1561"/>
        </w:trPr>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{010;010}</w:t>
            </w:r>
          </w:p>
        </w:tc>
        <w:tc>
          <w:tcPr>
            <w:tcW w:w="7620" w:type="dxa"/>
          </w:tcPr>
          <w:p w:rsidR="004E4BE4" w:rsidRPr="00ED4583" w:rsidRDefault="00F4754B" w:rsidP="007E2A41">
            <w:pPr>
              <w:pStyle w:val="BodyText1"/>
              <w:spacing w:line="240" w:lineRule="auto"/>
              <w:rPr>
                <w:rFonts w:ascii="Times New Roman" w:hAnsi="Times New Roman"/>
                <w:b/>
              </w:rPr>
            </w:pPr>
            <w:r w:rsidRPr="00ED4583">
              <w:rPr>
                <w:rFonts w:ascii="Times New Roman" w:hAnsi="Times New Roman"/>
                <w:b/>
              </w:rPr>
              <w:t>Vlastný kapitál Tier 1 – úplne zavedené vymedzenie</w:t>
            </w:r>
          </w:p>
          <w:p w:rsidR="00F4754B" w:rsidRPr="00ED4583" w:rsidRDefault="00F4754B"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Článok 50 CRR</w:t>
            </w:r>
          </w:p>
          <w:p w:rsidR="00F4754B" w:rsidRPr="004E4BE4" w:rsidRDefault="00F4754B" w:rsidP="007E2A41">
            <w:pPr>
              <w:pStyle w:val="BodyText1"/>
              <w:spacing w:line="240" w:lineRule="auto"/>
              <w:rPr>
                <w:rFonts w:ascii="Times New Roman" w:hAnsi="Times New Roman"/>
              </w:rPr>
            </w:pPr>
          </w:p>
          <w:p w:rsidR="00F4754B" w:rsidRPr="00ED4583" w:rsidRDefault="00F4754B" w:rsidP="007A0E3A">
            <w:pPr>
              <w:pStyle w:val="BodyText1"/>
              <w:spacing w:line="240" w:lineRule="auto"/>
              <w:rPr>
                <w:rFonts w:ascii="Times New Roman" w:hAnsi="Times New Roman"/>
                <w:bCs/>
                <w:i/>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výšku vlastného kapitálu Tier 1 podľa vymedzenia</w:t>
            </w:r>
            <w:r w:rsidR="004E4BE4">
              <w:rPr>
                <w:rFonts w:ascii="Times New Roman" w:hAnsi="Times New Roman"/>
              </w:rPr>
              <w:t xml:space="preserve"> v </w:t>
            </w:r>
            <w:r w:rsidRPr="004E4BE4">
              <w:rPr>
                <w:rFonts w:ascii="Times New Roman" w:hAnsi="Times New Roman"/>
              </w:rPr>
              <w:t>článku 50 CRR bez zohľadnenia odchýlky stanovenej</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w:t>
            </w:r>
            <w:r w:rsidRPr="00ED4583">
              <w:rPr>
                <w:rFonts w:ascii="Times New Roman" w:hAnsi="Times New Roman"/>
                <w:b/>
              </w:rPr>
              <w:t xml:space="preserve"> </w:t>
            </w:r>
          </w:p>
        </w:tc>
      </w:tr>
      <w:tr w:rsidR="00F4754B" w:rsidRPr="004E4BE4" w:rsidTr="00FC2664">
        <w:trPr>
          <w:trHeight w:val="1561"/>
        </w:trPr>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{020;010}</w:t>
            </w:r>
          </w:p>
        </w:tc>
        <w:tc>
          <w:tcPr>
            <w:tcW w:w="7620" w:type="dxa"/>
          </w:tcPr>
          <w:p w:rsidR="00F4754B" w:rsidRPr="00ED4583" w:rsidRDefault="00F4754B" w:rsidP="007E2A41">
            <w:pPr>
              <w:pStyle w:val="BodyText1"/>
              <w:spacing w:line="240" w:lineRule="auto"/>
              <w:rPr>
                <w:rFonts w:ascii="Times New Roman" w:hAnsi="Times New Roman"/>
                <w:i/>
              </w:rPr>
            </w:pPr>
            <w:r w:rsidRPr="00ED4583">
              <w:rPr>
                <w:rFonts w:ascii="Times New Roman" w:hAnsi="Times New Roman"/>
                <w:b/>
              </w:rPr>
              <w:t>Vlastný kapitál Tier 1 – prechodné vymedzenie</w:t>
            </w:r>
          </w:p>
          <w:p w:rsidR="00F4754B" w:rsidRPr="004E4BE4" w:rsidRDefault="00F4754B" w:rsidP="007E2A41">
            <w:pPr>
              <w:pStyle w:val="BodyText1"/>
              <w:spacing w:line="240" w:lineRule="auto"/>
              <w:rPr>
                <w:rFonts w:ascii="Times New Roman" w:hAnsi="Times New Roman"/>
              </w:rPr>
            </w:pPr>
          </w:p>
          <w:p w:rsidR="00F4754B" w:rsidRPr="004E4BE4" w:rsidRDefault="00F4754B" w:rsidP="007E2A41">
            <w:pPr>
              <w:pStyle w:val="BodyText1"/>
              <w:spacing w:line="240" w:lineRule="auto"/>
              <w:rPr>
                <w:rFonts w:ascii="Times New Roman" w:hAnsi="Times New Roman"/>
              </w:rPr>
            </w:pPr>
            <w:r w:rsidRPr="004E4BE4">
              <w:rPr>
                <w:rFonts w:ascii="Times New Roman" w:hAnsi="Times New Roman"/>
              </w:rPr>
              <w:t>Článok 50 CRR</w:t>
            </w:r>
          </w:p>
          <w:p w:rsidR="00F4754B" w:rsidRPr="004E4BE4" w:rsidRDefault="00F4754B" w:rsidP="007E2A41">
            <w:pPr>
              <w:pStyle w:val="BodyText1"/>
              <w:spacing w:line="240" w:lineRule="auto"/>
              <w:rPr>
                <w:rFonts w:ascii="Times New Roman" w:hAnsi="Times New Roman"/>
              </w:rPr>
            </w:pPr>
          </w:p>
          <w:p w:rsidR="00F4754B" w:rsidRPr="004E4BE4" w:rsidRDefault="00F4754B" w:rsidP="007A0E3A">
            <w:pPr>
              <w:pStyle w:val="BodyText1"/>
              <w:spacing w:line="240" w:lineRule="auto"/>
              <w:rPr>
                <w:rFonts w:ascii="Times New Roman" w:hAnsi="Times New Roman"/>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výšku vlastného kapitálu Tier 1 podľa článku 50 CRR po zohľadnení odchýlky stanovenej</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w:t>
            </w:r>
          </w:p>
        </w:tc>
      </w:tr>
      <w:tr w:rsidR="00F4754B" w:rsidRPr="004E4BE4" w:rsidTr="00FC2664">
        <w:tc>
          <w:tcPr>
            <w:tcW w:w="1418" w:type="dxa"/>
            <w:tcBorders>
              <w:bottom w:val="single" w:sz="4" w:space="0" w:color="auto"/>
            </w:tcBorders>
          </w:tcPr>
          <w:p w:rsidR="00F4754B" w:rsidRPr="00040D93" w:rsidRDefault="00F4754B" w:rsidP="00F4754B">
            <w:pPr>
              <w:pStyle w:val="BodyText1"/>
              <w:rPr>
                <w:rFonts w:ascii="Times New Roman" w:hAnsi="Times New Roman"/>
                <w:bCs/>
                <w:u w:val="single"/>
              </w:rPr>
            </w:pPr>
            <w:r w:rsidRPr="004E4BE4">
              <w:rPr>
                <w:rFonts w:ascii="Times New Roman" w:hAnsi="Times New Roman"/>
              </w:rPr>
              <w:t>{030;010}</w:t>
            </w:r>
          </w:p>
        </w:tc>
        <w:tc>
          <w:tcPr>
            <w:tcW w:w="7620" w:type="dxa"/>
            <w:tcBorders>
              <w:bottom w:val="single" w:sz="4" w:space="0" w:color="auto"/>
            </w:tcBorders>
          </w:tcPr>
          <w:p w:rsidR="00F4754B" w:rsidRPr="00ED4583" w:rsidRDefault="00F4754B" w:rsidP="007E2A41">
            <w:pPr>
              <w:pStyle w:val="BodyText1"/>
              <w:spacing w:line="240" w:lineRule="auto"/>
              <w:rPr>
                <w:rFonts w:ascii="Times New Roman" w:hAnsi="Times New Roman"/>
                <w:i/>
              </w:rPr>
            </w:pPr>
            <w:r w:rsidRPr="00ED4583">
              <w:rPr>
                <w:rFonts w:ascii="Times New Roman" w:hAnsi="Times New Roman"/>
                <w:b/>
              </w:rPr>
              <w:t>Celkové vlastné zdroje – úplne zavedené vymedzenie</w:t>
            </w:r>
          </w:p>
          <w:p w:rsidR="00F4754B" w:rsidRPr="00040D93" w:rsidRDefault="00F4754B" w:rsidP="007E2A41">
            <w:pPr>
              <w:pStyle w:val="BodyText1"/>
              <w:spacing w:line="240" w:lineRule="auto"/>
              <w:rPr>
                <w:rFonts w:ascii="Times New Roman" w:hAnsi="Times New Roman"/>
                <w:i/>
                <w:u w:val="single"/>
              </w:rPr>
            </w:pPr>
          </w:p>
          <w:p w:rsidR="00F4754B" w:rsidRPr="00ED4583" w:rsidRDefault="00F4754B" w:rsidP="007E2A41">
            <w:pPr>
              <w:pStyle w:val="BodyText1"/>
              <w:spacing w:line="240" w:lineRule="auto"/>
              <w:rPr>
                <w:rFonts w:ascii="Times New Roman" w:hAnsi="Times New Roman"/>
                <w:i/>
              </w:rPr>
            </w:pPr>
            <w:r w:rsidRPr="004E4BE4">
              <w:rPr>
                <w:rFonts w:ascii="Times New Roman" w:hAnsi="Times New Roman"/>
              </w:rPr>
              <w:t>Článok 72 CRR</w:t>
            </w:r>
          </w:p>
          <w:p w:rsidR="00F4754B" w:rsidRPr="00040D93" w:rsidRDefault="00F4754B" w:rsidP="007E2A41">
            <w:pPr>
              <w:pStyle w:val="BodyText1"/>
              <w:spacing w:line="240" w:lineRule="auto"/>
              <w:rPr>
                <w:rFonts w:ascii="Times New Roman" w:hAnsi="Times New Roman"/>
                <w:i/>
                <w:u w:val="single"/>
              </w:rPr>
            </w:pPr>
          </w:p>
          <w:p w:rsidR="00F4754B" w:rsidRPr="00ED4583" w:rsidRDefault="00F4754B" w:rsidP="007E2A41">
            <w:pPr>
              <w:pStyle w:val="BodyText1"/>
              <w:spacing w:line="240" w:lineRule="auto"/>
              <w:rPr>
                <w:rFonts w:ascii="Times New Roman" w:hAnsi="Times New Roman"/>
                <w:i/>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výšku vlastných zdrojov podľa vymedzenia</w:t>
            </w:r>
            <w:r w:rsidR="004E4BE4">
              <w:rPr>
                <w:rFonts w:ascii="Times New Roman" w:hAnsi="Times New Roman"/>
              </w:rPr>
              <w:t xml:space="preserve"> v </w:t>
            </w:r>
            <w:r w:rsidRPr="004E4BE4">
              <w:rPr>
                <w:rFonts w:ascii="Times New Roman" w:hAnsi="Times New Roman"/>
              </w:rPr>
              <w:t>článku 72 CRR bez zohľadnenia odchýlky stanovenej</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w:t>
            </w:r>
          </w:p>
          <w:p w:rsidR="00F4754B" w:rsidRPr="00040D93" w:rsidRDefault="00F4754B" w:rsidP="007E2A41">
            <w:pPr>
              <w:pStyle w:val="BodyText1"/>
              <w:spacing w:line="240" w:lineRule="auto"/>
              <w:rPr>
                <w:rFonts w:ascii="Times New Roman" w:hAnsi="Times New Roman"/>
                <w:i/>
                <w:u w:val="single"/>
              </w:rPr>
            </w:pPr>
          </w:p>
        </w:tc>
      </w:tr>
      <w:tr w:rsidR="00F4754B" w:rsidRPr="004E4BE4" w:rsidTr="00FC2664">
        <w:tc>
          <w:tcPr>
            <w:tcW w:w="1418" w:type="dxa"/>
            <w:tcBorders>
              <w:bottom w:val="single" w:sz="4" w:space="0" w:color="auto"/>
            </w:tcBorders>
          </w:tcPr>
          <w:p w:rsidR="00F4754B" w:rsidRPr="004E4BE4" w:rsidRDefault="00F4754B" w:rsidP="00F4754B">
            <w:pPr>
              <w:pStyle w:val="BodyText1"/>
              <w:rPr>
                <w:rFonts w:ascii="Times New Roman" w:hAnsi="Times New Roman"/>
                <w:bCs/>
              </w:rPr>
            </w:pPr>
            <w:r w:rsidRPr="004E4BE4">
              <w:rPr>
                <w:rFonts w:ascii="Times New Roman" w:hAnsi="Times New Roman"/>
              </w:rPr>
              <w:t>{040;010}</w:t>
            </w:r>
          </w:p>
        </w:tc>
        <w:tc>
          <w:tcPr>
            <w:tcW w:w="7620" w:type="dxa"/>
            <w:tcBorders>
              <w:bottom w:val="single" w:sz="4" w:space="0" w:color="auto"/>
            </w:tcBorders>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Celkové vlastné zdroje – prechodné vymedzenie</w:t>
            </w:r>
          </w:p>
          <w:p w:rsidR="00F4754B" w:rsidRPr="00040D93" w:rsidRDefault="00F4754B" w:rsidP="007E2A41">
            <w:pPr>
              <w:pStyle w:val="BodyText1"/>
              <w:spacing w:line="240" w:lineRule="auto"/>
              <w:rPr>
                <w:rFonts w:ascii="Times New Roman" w:hAnsi="Times New Roman"/>
                <w:bCs/>
                <w:u w:val="single"/>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Článok 72 CRR</w:t>
            </w:r>
          </w:p>
          <w:p w:rsidR="00F4754B" w:rsidRPr="004E4BE4" w:rsidRDefault="00F4754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výšku vlastných zdrojov podľa vymedzenia</w:t>
            </w:r>
            <w:r w:rsidR="004E4BE4">
              <w:rPr>
                <w:rFonts w:ascii="Times New Roman" w:hAnsi="Times New Roman"/>
              </w:rPr>
              <w:t xml:space="preserve"> v </w:t>
            </w:r>
            <w:r w:rsidRPr="004E4BE4">
              <w:rPr>
                <w:rFonts w:ascii="Times New Roman" w:hAnsi="Times New Roman"/>
              </w:rPr>
              <w:t>článku 72 CRR po zohľadnení odchýlky stanovenej</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w:t>
            </w:r>
          </w:p>
          <w:p w:rsidR="00F4754B" w:rsidRPr="00040D93" w:rsidRDefault="00F4754B" w:rsidP="007E2A41">
            <w:pPr>
              <w:pStyle w:val="BodyText1"/>
              <w:spacing w:line="240" w:lineRule="auto"/>
              <w:rPr>
                <w:rFonts w:ascii="Times New Roman" w:hAnsi="Times New Roman"/>
                <w:bCs/>
                <w:u w:val="single"/>
              </w:rPr>
            </w:pPr>
          </w:p>
        </w:tc>
      </w:tr>
      <w:tr w:rsidR="00F4754B" w:rsidRPr="004E4BE4" w:rsidTr="00FC2664">
        <w:tc>
          <w:tcPr>
            <w:tcW w:w="1418" w:type="dxa"/>
          </w:tcPr>
          <w:p w:rsidR="00F4754B" w:rsidRPr="004E4BE4" w:rsidRDefault="00F4754B" w:rsidP="00F70A83">
            <w:pPr>
              <w:pStyle w:val="BodyText1"/>
              <w:rPr>
                <w:rFonts w:ascii="Times New Roman" w:hAnsi="Times New Roman"/>
                <w:bCs/>
              </w:rPr>
            </w:pPr>
            <w:r w:rsidRPr="004E4BE4">
              <w:rPr>
                <w:rFonts w:ascii="Times New Roman" w:hAnsi="Times New Roman"/>
              </w:rPr>
              <w:t>{055;010}</w:t>
            </w:r>
          </w:p>
        </w:tc>
        <w:tc>
          <w:tcPr>
            <w:tcW w:w="7620" w:type="dxa"/>
          </w:tcPr>
          <w:p w:rsidR="00F4754B" w:rsidRPr="00ED4583" w:rsidRDefault="00E818E9" w:rsidP="007E2A41">
            <w:pPr>
              <w:pStyle w:val="BodyText1"/>
              <w:spacing w:line="240" w:lineRule="auto"/>
              <w:rPr>
                <w:rFonts w:ascii="Times New Roman" w:hAnsi="Times New Roman"/>
                <w:b/>
                <w:bCs/>
              </w:rPr>
            </w:pPr>
            <w:r w:rsidRPr="00ED4583">
              <w:rPr>
                <w:rFonts w:ascii="Times New Roman" w:hAnsi="Times New Roman"/>
                <w:b/>
              </w:rPr>
              <w:t>Odpočítaná suma aktíva – od položiek vlastného kapitálu Tier 1 – úplne zavedené vymedzenie</w:t>
            </w:r>
          </w:p>
          <w:p w:rsidR="00F4754B" w:rsidRPr="00040D93" w:rsidRDefault="00F4754B" w:rsidP="007E2A41">
            <w:pPr>
              <w:pStyle w:val="BodyText1"/>
              <w:spacing w:line="240" w:lineRule="auto"/>
              <w:rPr>
                <w:rFonts w:ascii="Times New Roman" w:hAnsi="Times New Roman"/>
                <w:bCs/>
                <w:u w:val="single"/>
              </w:rPr>
            </w:pPr>
          </w:p>
          <w:p w:rsidR="00C81710" w:rsidRPr="004E4BE4" w:rsidRDefault="00F4754B" w:rsidP="007E2A41">
            <w:pPr>
              <w:pStyle w:val="BodyText1"/>
              <w:spacing w:line="240" w:lineRule="auto"/>
              <w:rPr>
                <w:rFonts w:ascii="Times New Roman" w:hAnsi="Times New Roman"/>
                <w:bCs/>
              </w:rPr>
            </w:pPr>
            <w:r w:rsidRPr="004E4BE4">
              <w:rPr>
                <w:rFonts w:ascii="Times New Roman" w:hAnsi="Times New Roman"/>
              </w:rPr>
              <w:t>Zahŕňa sumu regulačných úprav položiek vlastného kapitálu Tier 1, ktorými sa upravuje hodnota aktíva</w:t>
            </w:r>
            <w:r w:rsidR="004E4BE4">
              <w:rPr>
                <w:rFonts w:ascii="Times New Roman" w:hAnsi="Times New Roman"/>
              </w:rPr>
              <w:t xml:space="preserve"> a </w:t>
            </w:r>
            <w:r w:rsidRPr="004E4BE4">
              <w:rPr>
                <w:rFonts w:ascii="Times New Roman" w:hAnsi="Times New Roman"/>
              </w:rPr>
              <w:t>ktoré sa vyžadujú na základe:</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32 až 35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36 až 47 CRR,</w:t>
            </w:r>
          </w:p>
          <w:p w:rsidR="007A0E3A" w:rsidRPr="00ED4583" w:rsidRDefault="007A0E3A" w:rsidP="006914A2">
            <w:pPr>
              <w:pStyle w:val="BodyText1"/>
              <w:spacing w:line="240" w:lineRule="auto"/>
              <w:rPr>
                <w:rFonts w:ascii="Times New Roman" w:hAnsi="Times New Roman"/>
                <w:b/>
                <w:bCs/>
              </w:rPr>
            </w:pPr>
            <w:r w:rsidRPr="004E4BE4">
              <w:rPr>
                <w:rFonts w:ascii="Times New Roman" w:hAnsi="Times New Roman"/>
              </w:rPr>
              <w:t>podľa konkrétneho prípadu.</w:t>
            </w:r>
          </w:p>
          <w:p w:rsidR="00C81710" w:rsidRPr="004E4BE4" w:rsidRDefault="00C81710" w:rsidP="005556DC">
            <w:pPr>
              <w:pStyle w:val="BodyText1"/>
              <w:spacing w:line="240" w:lineRule="auto"/>
              <w:rPr>
                <w:rFonts w:ascii="Times New Roman" w:hAnsi="Times New Roman"/>
                <w:bCs/>
              </w:rPr>
            </w:pPr>
          </w:p>
          <w:p w:rsidR="004E4BE4" w:rsidRPr="004E4BE4" w:rsidRDefault="00C81710" w:rsidP="00422C76">
            <w:pPr>
              <w:pStyle w:val="BodyText1"/>
              <w:spacing w:line="240" w:lineRule="auto"/>
              <w:rPr>
                <w:rFonts w:ascii="Times New Roman" w:hAnsi="Times New Roman"/>
              </w:rPr>
            </w:pPr>
            <w:r w:rsidRPr="004E4BE4">
              <w:rPr>
                <w:rFonts w:ascii="Times New Roman" w:hAnsi="Times New Roman"/>
              </w:rPr>
              <w:t>Inštitúcie zohľadňujú výnimky, alternatívy</w:t>
            </w:r>
            <w:r w:rsidR="004E4BE4">
              <w:rPr>
                <w:rFonts w:ascii="Times New Roman" w:hAnsi="Times New Roman"/>
              </w:rPr>
              <w:t xml:space="preserve"> a </w:t>
            </w:r>
            <w:r w:rsidRPr="004E4BE4">
              <w:rPr>
                <w:rFonts w:ascii="Times New Roman" w:hAnsi="Times New Roman"/>
              </w:rPr>
              <w:t>vyňatia</w:t>
            </w:r>
            <w:r w:rsidR="004E4BE4">
              <w:rPr>
                <w:rFonts w:ascii="Times New Roman" w:hAnsi="Times New Roman"/>
              </w:rPr>
              <w:t xml:space="preserve"> z </w:t>
            </w:r>
            <w:r w:rsidRPr="004E4BE4">
              <w:rPr>
                <w:rFonts w:ascii="Times New Roman" w:hAnsi="Times New Roman"/>
              </w:rPr>
              <w:t>takýchto odpočítaní stanovené</w:t>
            </w:r>
            <w:r w:rsidR="004E4BE4">
              <w:rPr>
                <w:rFonts w:ascii="Times New Roman" w:hAnsi="Times New Roman"/>
              </w:rPr>
              <w:t xml:space="preserve"> v </w:t>
            </w:r>
            <w:r w:rsidRPr="004E4BE4">
              <w:rPr>
                <w:rFonts w:ascii="Times New Roman" w:hAnsi="Times New Roman"/>
              </w:rPr>
              <w:t>článkoch 48, 49</w:t>
            </w:r>
            <w:r w:rsidR="004E4BE4">
              <w:rPr>
                <w:rFonts w:ascii="Times New Roman" w:hAnsi="Times New Roman"/>
              </w:rPr>
              <w:t xml:space="preserve"> a </w:t>
            </w:r>
            <w:r w:rsidRPr="004E4BE4">
              <w:rPr>
                <w:rFonts w:ascii="Times New Roman" w:hAnsi="Times New Roman"/>
              </w:rPr>
              <w:t>79 CRR bez zohľadnenia odchýlky stanovenej</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 Aby sa predišlo dvojitému započítaniu, inštitúcie nevykazujú úpravy už uplatnené podľa článku 111 CRR, keď vypočítavajú hodnotu expozície</w:t>
            </w:r>
            <w:r w:rsidR="004E4BE4">
              <w:rPr>
                <w:rFonts w:ascii="Times New Roman" w:hAnsi="Times New Roman"/>
              </w:rPr>
              <w:t xml:space="preserve"> v </w:t>
            </w:r>
            <w:r w:rsidRPr="004E4BE4">
              <w:rPr>
                <w:rFonts w:ascii="Times New Roman" w:hAnsi="Times New Roman"/>
              </w:rPr>
              <w:t>{LRCalc;10;10} až {LRCalc;260;10},</w:t>
            </w:r>
            <w:r w:rsidR="004E4BE4">
              <w:rPr>
                <w:rFonts w:ascii="Times New Roman" w:hAnsi="Times New Roman"/>
              </w:rPr>
              <w:t xml:space="preserve"> a </w:t>
            </w:r>
            <w:r w:rsidRPr="004E4BE4">
              <w:rPr>
                <w:rFonts w:ascii="Times New Roman" w:hAnsi="Times New Roman"/>
              </w:rPr>
              <w:t>ani nevykazujú žiadnu úpravu, ktorou sa neodpočítava hodnota určitého aktíva</w:t>
            </w:r>
            <w:r w:rsidR="004E4BE4" w:rsidRPr="004E4BE4">
              <w:rPr>
                <w:rFonts w:ascii="Times New Roman" w:hAnsi="Times New Roman"/>
              </w:rPr>
              <w:t>.</w:t>
            </w:r>
          </w:p>
          <w:p w:rsidR="00C81710" w:rsidRPr="00ED4583" w:rsidRDefault="00C81710" w:rsidP="007E2A41">
            <w:pPr>
              <w:pStyle w:val="BodyText1"/>
              <w:spacing w:line="240" w:lineRule="auto"/>
              <w:rPr>
                <w:rFonts w:ascii="Times New Roman" w:hAnsi="Times New Roman"/>
                <w:b/>
                <w:bCs/>
              </w:rPr>
            </w:pPr>
          </w:p>
          <w:p w:rsidR="004E4BE4" w:rsidRPr="004E4BE4" w:rsidRDefault="00C81710" w:rsidP="00C81710">
            <w:pPr>
              <w:pStyle w:val="BodyText1"/>
              <w:spacing w:line="240" w:lineRule="auto"/>
              <w:rPr>
                <w:rFonts w:ascii="Times New Roman" w:hAnsi="Times New Roman"/>
              </w:rPr>
            </w:pPr>
            <w:r w:rsidRPr="004E4BE4">
              <w:rPr>
                <w:rFonts w:ascii="Times New Roman" w:hAnsi="Times New Roman"/>
              </w:rPr>
              <w:t>Keďže sa týmito úpravami znižujú celkové vlastné zdroje, vykazujú sa ako záporné číslo</w:t>
            </w:r>
            <w:r w:rsidR="004E4BE4" w:rsidRPr="004E4BE4">
              <w:rPr>
                <w:rFonts w:ascii="Times New Roman" w:hAnsi="Times New Roman"/>
              </w:rPr>
              <w:t>.</w:t>
            </w:r>
          </w:p>
          <w:p w:rsidR="00F4754B" w:rsidRPr="004E4BE4" w:rsidRDefault="00F4754B" w:rsidP="007E2A41">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70A83">
            <w:pPr>
              <w:pStyle w:val="BodyText1"/>
              <w:rPr>
                <w:rFonts w:ascii="Times New Roman" w:hAnsi="Times New Roman"/>
                <w:bCs/>
              </w:rPr>
            </w:pPr>
            <w:r w:rsidRPr="004E4BE4">
              <w:rPr>
                <w:rFonts w:ascii="Times New Roman" w:hAnsi="Times New Roman"/>
              </w:rPr>
              <w:t>{065;010}</w:t>
            </w:r>
          </w:p>
        </w:tc>
        <w:tc>
          <w:tcPr>
            <w:tcW w:w="7620" w:type="dxa"/>
          </w:tcPr>
          <w:p w:rsidR="00F4754B" w:rsidRPr="004E4BE4" w:rsidRDefault="00E818E9" w:rsidP="007E2A41">
            <w:pPr>
              <w:pStyle w:val="BodyText1"/>
              <w:spacing w:line="240" w:lineRule="auto"/>
              <w:rPr>
                <w:rFonts w:ascii="Times New Roman" w:hAnsi="Times New Roman"/>
                <w:bCs/>
              </w:rPr>
            </w:pPr>
            <w:r w:rsidRPr="00ED4583">
              <w:rPr>
                <w:rFonts w:ascii="Times New Roman" w:hAnsi="Times New Roman"/>
                <w:b/>
              </w:rPr>
              <w:t>Odpočítaná suma aktíva – od položiek vlastného kapitálu Tier 1 – prechodné vymedzenie</w:t>
            </w:r>
          </w:p>
          <w:p w:rsidR="00F4754B" w:rsidRPr="004E4BE4" w:rsidRDefault="00F4754B" w:rsidP="007E2A41">
            <w:pPr>
              <w:pStyle w:val="BodyText1"/>
              <w:spacing w:line="240" w:lineRule="auto"/>
              <w:rPr>
                <w:rFonts w:ascii="Times New Roman" w:hAnsi="Times New Roman"/>
                <w:bCs/>
              </w:rPr>
            </w:pPr>
          </w:p>
          <w:p w:rsidR="00C81710" w:rsidRPr="004E4BE4" w:rsidRDefault="00C81710" w:rsidP="00C81710">
            <w:pPr>
              <w:pStyle w:val="BodyText1"/>
              <w:spacing w:line="240" w:lineRule="auto"/>
              <w:rPr>
                <w:rFonts w:ascii="Times New Roman" w:hAnsi="Times New Roman"/>
                <w:bCs/>
              </w:rPr>
            </w:pPr>
            <w:r w:rsidRPr="004E4BE4">
              <w:rPr>
                <w:rFonts w:ascii="Times New Roman" w:hAnsi="Times New Roman"/>
              </w:rPr>
              <w:t>Zahŕňa sumu regulačných úprav vlastného kapitálu Tier 1, ktorými sa upravuje hodnota aktíva</w:t>
            </w:r>
            <w:r w:rsidR="004E4BE4">
              <w:rPr>
                <w:rFonts w:ascii="Times New Roman" w:hAnsi="Times New Roman"/>
              </w:rPr>
              <w:t xml:space="preserve"> a </w:t>
            </w:r>
            <w:r w:rsidRPr="004E4BE4">
              <w:rPr>
                <w:rFonts w:ascii="Times New Roman" w:hAnsi="Times New Roman"/>
              </w:rPr>
              <w:t>ktoré sa vyžadujú na základe:</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32 až 35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36 až 47 CRR,</w:t>
            </w:r>
          </w:p>
          <w:p w:rsidR="007A0E3A" w:rsidRPr="00ED4583" w:rsidRDefault="007A0E3A" w:rsidP="006914A2">
            <w:pPr>
              <w:pStyle w:val="BodyText1"/>
              <w:spacing w:line="240" w:lineRule="auto"/>
              <w:rPr>
                <w:rFonts w:ascii="Times New Roman" w:hAnsi="Times New Roman"/>
                <w:b/>
                <w:bCs/>
              </w:rPr>
            </w:pPr>
            <w:r w:rsidRPr="004E4BE4">
              <w:rPr>
                <w:rFonts w:ascii="Times New Roman" w:hAnsi="Times New Roman"/>
              </w:rPr>
              <w:t>podľa konkrétneho prípadu.</w:t>
            </w:r>
          </w:p>
          <w:p w:rsidR="00C81710" w:rsidRPr="004E4BE4" w:rsidRDefault="00C81710" w:rsidP="007E2A41">
            <w:pPr>
              <w:pStyle w:val="BodyText1"/>
              <w:spacing w:line="240" w:lineRule="auto"/>
              <w:rPr>
                <w:rFonts w:ascii="Times New Roman" w:hAnsi="Times New Roman"/>
                <w:bCs/>
              </w:rPr>
            </w:pPr>
          </w:p>
          <w:p w:rsidR="004E4BE4" w:rsidRPr="004E4BE4" w:rsidRDefault="00C81710" w:rsidP="00C81710">
            <w:pPr>
              <w:pStyle w:val="BodyText1"/>
              <w:spacing w:line="240" w:lineRule="auto"/>
              <w:rPr>
                <w:rFonts w:ascii="Times New Roman" w:hAnsi="Times New Roman"/>
              </w:rPr>
            </w:pPr>
            <w:r w:rsidRPr="004E4BE4">
              <w:rPr>
                <w:rFonts w:ascii="Times New Roman" w:hAnsi="Times New Roman"/>
              </w:rPr>
              <w:t>Inštitúcie zohľadňujú výnimky, alternatívy</w:t>
            </w:r>
            <w:r w:rsidR="004E4BE4">
              <w:rPr>
                <w:rFonts w:ascii="Times New Roman" w:hAnsi="Times New Roman"/>
              </w:rPr>
              <w:t xml:space="preserve"> a </w:t>
            </w:r>
            <w:r w:rsidRPr="004E4BE4">
              <w:rPr>
                <w:rFonts w:ascii="Times New Roman" w:hAnsi="Times New Roman"/>
              </w:rPr>
              <w:t>vyňatia</w:t>
            </w:r>
            <w:r w:rsidR="004E4BE4">
              <w:rPr>
                <w:rFonts w:ascii="Times New Roman" w:hAnsi="Times New Roman"/>
              </w:rPr>
              <w:t xml:space="preserve"> z </w:t>
            </w:r>
            <w:r w:rsidRPr="004E4BE4">
              <w:rPr>
                <w:rFonts w:ascii="Times New Roman" w:hAnsi="Times New Roman"/>
              </w:rPr>
              <w:t>takýchto odpočítaní stanovené</w:t>
            </w:r>
            <w:r w:rsidR="004E4BE4">
              <w:rPr>
                <w:rFonts w:ascii="Times New Roman" w:hAnsi="Times New Roman"/>
              </w:rPr>
              <w:t xml:space="preserve"> v </w:t>
            </w:r>
            <w:r w:rsidRPr="004E4BE4">
              <w:rPr>
                <w:rFonts w:ascii="Times New Roman" w:hAnsi="Times New Roman"/>
              </w:rPr>
              <w:t>článkoch 48, 49</w:t>
            </w:r>
            <w:r w:rsidR="004E4BE4">
              <w:rPr>
                <w:rFonts w:ascii="Times New Roman" w:hAnsi="Times New Roman"/>
              </w:rPr>
              <w:t xml:space="preserve"> a </w:t>
            </w:r>
            <w:r w:rsidRPr="004E4BE4">
              <w:rPr>
                <w:rFonts w:ascii="Times New Roman" w:hAnsi="Times New Roman"/>
              </w:rPr>
              <w:t>79 CRR</w:t>
            </w:r>
            <w:r w:rsidR="004E4BE4">
              <w:rPr>
                <w:rFonts w:ascii="Times New Roman" w:hAnsi="Times New Roman"/>
              </w:rPr>
              <w:t xml:space="preserve"> a </w:t>
            </w:r>
            <w:r w:rsidRPr="004E4BE4">
              <w:rPr>
                <w:rFonts w:ascii="Times New Roman" w:hAnsi="Times New Roman"/>
              </w:rPr>
              <w:t>navyše zohľadňujú odchýlku stanovenú</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 Aby sa predišlo dvojitému započítaniu, inštitúcie nevykazujú úpravy už uplatnené podľa článku 111 CRR, keď vypočítavajú hodnotu expozície</w:t>
            </w:r>
            <w:r w:rsidR="004E4BE4">
              <w:rPr>
                <w:rFonts w:ascii="Times New Roman" w:hAnsi="Times New Roman"/>
              </w:rPr>
              <w:t xml:space="preserve"> v </w:t>
            </w:r>
            <w:r w:rsidRPr="004E4BE4">
              <w:rPr>
                <w:rFonts w:ascii="Times New Roman" w:hAnsi="Times New Roman"/>
              </w:rPr>
              <w:t>{LRCalc;10;10} až {LRCalc;260;10},</w:t>
            </w:r>
            <w:r w:rsidR="004E4BE4">
              <w:rPr>
                <w:rFonts w:ascii="Times New Roman" w:hAnsi="Times New Roman"/>
              </w:rPr>
              <w:t xml:space="preserve"> a </w:t>
            </w:r>
            <w:r w:rsidRPr="004E4BE4">
              <w:rPr>
                <w:rFonts w:ascii="Times New Roman" w:hAnsi="Times New Roman"/>
              </w:rPr>
              <w:t>ani nevykazujú žiadnu úpravu, ktorou sa neodpočítava hodnota určitého aktíva</w:t>
            </w:r>
            <w:r w:rsidR="004E4BE4" w:rsidRPr="004E4BE4">
              <w:rPr>
                <w:rFonts w:ascii="Times New Roman" w:hAnsi="Times New Roman"/>
              </w:rPr>
              <w:t>.</w:t>
            </w:r>
          </w:p>
          <w:p w:rsidR="00C81710" w:rsidRPr="00ED4583" w:rsidRDefault="00C81710" w:rsidP="00C81710">
            <w:pPr>
              <w:pStyle w:val="BodyText1"/>
              <w:spacing w:line="240" w:lineRule="auto"/>
              <w:rPr>
                <w:rFonts w:ascii="Times New Roman" w:hAnsi="Times New Roman"/>
                <w:b/>
                <w:bCs/>
              </w:rPr>
            </w:pPr>
          </w:p>
          <w:p w:rsidR="00C81710" w:rsidRPr="00040D93" w:rsidRDefault="00C81710" w:rsidP="007E2A41">
            <w:pPr>
              <w:pStyle w:val="BodyText1"/>
              <w:spacing w:line="240" w:lineRule="auto"/>
              <w:rPr>
                <w:rFonts w:ascii="Times New Roman" w:hAnsi="Times New Roman"/>
                <w:bCs/>
                <w:u w:val="single"/>
              </w:rPr>
            </w:pPr>
            <w:r w:rsidRPr="004E4BE4">
              <w:rPr>
                <w:rFonts w:ascii="Times New Roman" w:hAnsi="Times New Roman"/>
              </w:rPr>
              <w:t>Keďže sa týmito úpravami znižujú celkové vlastné zdroje, vykazujú sa ako záporné číslo.</w:t>
            </w:r>
          </w:p>
        </w:tc>
      </w:tr>
      <w:tr w:rsidR="00F4754B" w:rsidRPr="004E4BE4" w:rsidTr="00FC2664">
        <w:tc>
          <w:tcPr>
            <w:tcW w:w="1418" w:type="dxa"/>
          </w:tcPr>
          <w:p w:rsidR="00F4754B" w:rsidRPr="004E4BE4" w:rsidRDefault="00F4754B" w:rsidP="00F70A83">
            <w:pPr>
              <w:pStyle w:val="BodyText1"/>
              <w:rPr>
                <w:rFonts w:ascii="Times New Roman" w:hAnsi="Times New Roman"/>
                <w:bCs/>
              </w:rPr>
            </w:pPr>
            <w:r w:rsidRPr="004E4BE4">
              <w:rPr>
                <w:rFonts w:ascii="Times New Roman" w:hAnsi="Times New Roman"/>
              </w:rPr>
              <w:t>{075;010}</w:t>
            </w:r>
          </w:p>
        </w:tc>
        <w:tc>
          <w:tcPr>
            <w:tcW w:w="7620" w:type="dxa"/>
          </w:tcPr>
          <w:p w:rsidR="00F4754B" w:rsidRPr="00ED4583" w:rsidRDefault="00E818E9" w:rsidP="007E2A41">
            <w:pPr>
              <w:pStyle w:val="BodyText1"/>
              <w:spacing w:line="240" w:lineRule="auto"/>
              <w:rPr>
                <w:rFonts w:ascii="Times New Roman" w:hAnsi="Times New Roman"/>
                <w:b/>
                <w:bCs/>
              </w:rPr>
            </w:pPr>
            <w:r w:rsidRPr="00ED4583">
              <w:rPr>
                <w:rFonts w:ascii="Times New Roman" w:hAnsi="Times New Roman"/>
                <w:b/>
              </w:rPr>
              <w:t>Odpočítaná suma aktíva – od položiek vlastných zdrojov – úplne zavedené vymedzenie</w:t>
            </w:r>
          </w:p>
          <w:p w:rsidR="00F4754B" w:rsidRPr="004E4BE4" w:rsidRDefault="00F4754B" w:rsidP="007E2A41">
            <w:pPr>
              <w:pStyle w:val="BodyText1"/>
              <w:spacing w:line="240" w:lineRule="auto"/>
              <w:rPr>
                <w:rFonts w:ascii="Times New Roman" w:hAnsi="Times New Roman"/>
                <w:bCs/>
              </w:rPr>
            </w:pPr>
          </w:p>
          <w:p w:rsidR="00C81710" w:rsidRPr="004E4BE4" w:rsidRDefault="00C81710" w:rsidP="00C81710">
            <w:pPr>
              <w:pStyle w:val="BodyText1"/>
              <w:spacing w:line="240" w:lineRule="auto"/>
              <w:rPr>
                <w:rFonts w:ascii="Times New Roman" w:hAnsi="Times New Roman"/>
                <w:bCs/>
              </w:rPr>
            </w:pPr>
            <w:r w:rsidRPr="004E4BE4">
              <w:rPr>
                <w:rFonts w:ascii="Times New Roman" w:hAnsi="Times New Roman"/>
              </w:rPr>
              <w:t>Zahŕňa sumu regulačných úprav položiek vlastných zdrojov, ktorými sa upravuje hodnota aktíva</w:t>
            </w:r>
            <w:r w:rsidR="004E4BE4">
              <w:rPr>
                <w:rFonts w:ascii="Times New Roman" w:hAnsi="Times New Roman"/>
              </w:rPr>
              <w:t xml:space="preserve"> a </w:t>
            </w:r>
            <w:r w:rsidRPr="004E4BE4">
              <w:rPr>
                <w:rFonts w:ascii="Times New Roman" w:hAnsi="Times New Roman"/>
              </w:rPr>
              <w:t>ktoré sa vyžadujú na základe:</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32 až 35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36 až 47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56 až 60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66 až 70 CRR,</w:t>
            </w:r>
          </w:p>
          <w:p w:rsidR="007A0E3A" w:rsidRPr="00ED4583" w:rsidRDefault="007A0E3A" w:rsidP="00877186">
            <w:pPr>
              <w:pStyle w:val="BodyText1"/>
              <w:spacing w:line="240" w:lineRule="auto"/>
              <w:rPr>
                <w:rFonts w:ascii="Times New Roman" w:hAnsi="Times New Roman"/>
                <w:b/>
                <w:bCs/>
              </w:rPr>
            </w:pPr>
            <w:r w:rsidRPr="004E4BE4">
              <w:rPr>
                <w:rFonts w:ascii="Times New Roman" w:hAnsi="Times New Roman"/>
              </w:rPr>
              <w:t>podľa konkrétneho prípadu.</w:t>
            </w:r>
          </w:p>
          <w:p w:rsidR="00C81710" w:rsidRPr="004E4BE4" w:rsidRDefault="00C81710" w:rsidP="00C81710">
            <w:pPr>
              <w:pStyle w:val="BodyText1"/>
              <w:spacing w:line="240" w:lineRule="auto"/>
              <w:rPr>
                <w:rFonts w:ascii="Times New Roman" w:hAnsi="Times New Roman"/>
                <w:bCs/>
              </w:rPr>
            </w:pPr>
          </w:p>
          <w:p w:rsidR="004E4BE4" w:rsidRPr="004E4BE4" w:rsidRDefault="00C81710" w:rsidP="00C81710">
            <w:pPr>
              <w:pStyle w:val="BodyText1"/>
              <w:spacing w:line="240" w:lineRule="auto"/>
              <w:rPr>
                <w:rFonts w:ascii="Times New Roman" w:hAnsi="Times New Roman"/>
              </w:rPr>
            </w:pPr>
            <w:r w:rsidRPr="004E4BE4">
              <w:rPr>
                <w:rFonts w:ascii="Times New Roman" w:hAnsi="Times New Roman"/>
              </w:rPr>
              <w:t>Inštitúcie zohľadňujú výnimky, alternatívy</w:t>
            </w:r>
            <w:r w:rsidR="004E4BE4">
              <w:rPr>
                <w:rFonts w:ascii="Times New Roman" w:hAnsi="Times New Roman"/>
              </w:rPr>
              <w:t xml:space="preserve"> a </w:t>
            </w:r>
            <w:r w:rsidRPr="004E4BE4">
              <w:rPr>
                <w:rFonts w:ascii="Times New Roman" w:hAnsi="Times New Roman"/>
              </w:rPr>
              <w:t>vyňatia</w:t>
            </w:r>
            <w:r w:rsidR="004E4BE4">
              <w:rPr>
                <w:rFonts w:ascii="Times New Roman" w:hAnsi="Times New Roman"/>
              </w:rPr>
              <w:t xml:space="preserve"> z </w:t>
            </w:r>
            <w:r w:rsidRPr="004E4BE4">
              <w:rPr>
                <w:rFonts w:ascii="Times New Roman" w:hAnsi="Times New Roman"/>
              </w:rPr>
              <w:t>takýchto odpočítaní stanovené</w:t>
            </w:r>
            <w:r w:rsidR="004E4BE4">
              <w:rPr>
                <w:rFonts w:ascii="Times New Roman" w:hAnsi="Times New Roman"/>
              </w:rPr>
              <w:t xml:space="preserve"> v </w:t>
            </w:r>
            <w:r w:rsidRPr="004E4BE4">
              <w:rPr>
                <w:rFonts w:ascii="Times New Roman" w:hAnsi="Times New Roman"/>
              </w:rPr>
              <w:t>článkoch 48, 49</w:t>
            </w:r>
            <w:r w:rsidR="004E4BE4">
              <w:rPr>
                <w:rFonts w:ascii="Times New Roman" w:hAnsi="Times New Roman"/>
              </w:rPr>
              <w:t xml:space="preserve"> a </w:t>
            </w:r>
            <w:r w:rsidRPr="004E4BE4">
              <w:rPr>
                <w:rFonts w:ascii="Times New Roman" w:hAnsi="Times New Roman"/>
              </w:rPr>
              <w:t>79 CRR bez zohľadnenia odchýlky stanovenej</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 Aby sa predišlo dvojitému započítaniu, inštitúcie nevykazujú úpravy už uplatnené podľa článku 111 CRR, keď vypočítavajú hodnotu expozície</w:t>
            </w:r>
            <w:r w:rsidR="004E4BE4">
              <w:rPr>
                <w:rFonts w:ascii="Times New Roman" w:hAnsi="Times New Roman"/>
              </w:rPr>
              <w:t xml:space="preserve"> v </w:t>
            </w:r>
            <w:r w:rsidRPr="004E4BE4">
              <w:rPr>
                <w:rFonts w:ascii="Times New Roman" w:hAnsi="Times New Roman"/>
              </w:rPr>
              <w:t>riadkoch {LRCalc;10;10} až {LRCalc;260;10},</w:t>
            </w:r>
            <w:r w:rsidR="004E4BE4">
              <w:rPr>
                <w:rFonts w:ascii="Times New Roman" w:hAnsi="Times New Roman"/>
              </w:rPr>
              <w:t xml:space="preserve"> a </w:t>
            </w:r>
            <w:r w:rsidRPr="004E4BE4">
              <w:rPr>
                <w:rFonts w:ascii="Times New Roman" w:hAnsi="Times New Roman"/>
              </w:rPr>
              <w:t>ani nevykazujú žiadnu úpravu, ktorou sa neodpočítava hodnota určitého aktíva</w:t>
            </w:r>
            <w:r w:rsidR="004E4BE4" w:rsidRPr="004E4BE4">
              <w:rPr>
                <w:rFonts w:ascii="Times New Roman" w:hAnsi="Times New Roman"/>
              </w:rPr>
              <w:t>.</w:t>
            </w:r>
          </w:p>
          <w:p w:rsidR="00C81710" w:rsidRPr="00ED4583" w:rsidRDefault="00C81710" w:rsidP="00C81710">
            <w:pPr>
              <w:pStyle w:val="BodyText1"/>
              <w:spacing w:line="240" w:lineRule="auto"/>
              <w:rPr>
                <w:rFonts w:ascii="Times New Roman" w:hAnsi="Times New Roman"/>
                <w:b/>
                <w:bCs/>
              </w:rPr>
            </w:pPr>
          </w:p>
          <w:p w:rsidR="004E4BE4" w:rsidRPr="004E4BE4" w:rsidRDefault="00C81710" w:rsidP="00C81710">
            <w:pPr>
              <w:pStyle w:val="BodyText1"/>
              <w:spacing w:line="240" w:lineRule="auto"/>
              <w:rPr>
                <w:rFonts w:ascii="Times New Roman" w:hAnsi="Times New Roman"/>
              </w:rPr>
            </w:pPr>
            <w:r w:rsidRPr="004E4BE4">
              <w:rPr>
                <w:rFonts w:ascii="Times New Roman" w:hAnsi="Times New Roman"/>
              </w:rPr>
              <w:t>Keďže sa týmito úpravami znižujú celkové vlastné zdroje, vykazujú sa ako záporné číslo</w:t>
            </w:r>
            <w:r w:rsidR="004E4BE4" w:rsidRPr="004E4BE4">
              <w:rPr>
                <w:rFonts w:ascii="Times New Roman" w:hAnsi="Times New Roman"/>
              </w:rPr>
              <w:t>.</w:t>
            </w:r>
          </w:p>
          <w:p w:rsidR="00F4754B" w:rsidRPr="00040D93" w:rsidRDefault="00F4754B" w:rsidP="005556DC">
            <w:pPr>
              <w:pStyle w:val="BodyText1"/>
              <w:spacing w:line="240" w:lineRule="auto"/>
              <w:rPr>
                <w:rFonts w:ascii="Times New Roman" w:hAnsi="Times New Roman"/>
                <w:bCs/>
                <w:u w:val="single"/>
              </w:rPr>
            </w:pPr>
          </w:p>
        </w:tc>
      </w:tr>
      <w:tr w:rsidR="00F4754B" w:rsidRPr="004E4BE4" w:rsidTr="00FC2664">
        <w:tc>
          <w:tcPr>
            <w:tcW w:w="1418" w:type="dxa"/>
          </w:tcPr>
          <w:p w:rsidR="00F4754B" w:rsidRPr="004E4BE4" w:rsidRDefault="00F4754B" w:rsidP="00F70A83">
            <w:pPr>
              <w:pStyle w:val="BodyText1"/>
              <w:rPr>
                <w:rFonts w:ascii="Times New Roman" w:hAnsi="Times New Roman"/>
                <w:bCs/>
              </w:rPr>
            </w:pPr>
            <w:r w:rsidRPr="004E4BE4">
              <w:rPr>
                <w:rFonts w:ascii="Times New Roman" w:hAnsi="Times New Roman"/>
              </w:rPr>
              <w:t>{085,010}</w:t>
            </w:r>
          </w:p>
        </w:tc>
        <w:tc>
          <w:tcPr>
            <w:tcW w:w="7620" w:type="dxa"/>
          </w:tcPr>
          <w:p w:rsidR="00F4754B" w:rsidRPr="004E4BE4" w:rsidRDefault="00E818E9" w:rsidP="007E2A41">
            <w:pPr>
              <w:pStyle w:val="BodyText1"/>
              <w:spacing w:line="240" w:lineRule="auto"/>
              <w:rPr>
                <w:rFonts w:ascii="Times New Roman" w:hAnsi="Times New Roman"/>
                <w:bCs/>
              </w:rPr>
            </w:pPr>
            <w:r w:rsidRPr="00ED4583">
              <w:rPr>
                <w:rFonts w:ascii="Times New Roman" w:hAnsi="Times New Roman"/>
                <w:b/>
              </w:rPr>
              <w:t>Odpočítaná suma aktíva – od položiek vlastných zdrojov – prechodné vymedzenie</w:t>
            </w:r>
          </w:p>
          <w:p w:rsidR="00F4754B" w:rsidRPr="004E4BE4" w:rsidRDefault="00F4754B" w:rsidP="007E2A41">
            <w:pPr>
              <w:pStyle w:val="BodyText1"/>
              <w:spacing w:line="240" w:lineRule="auto"/>
              <w:rPr>
                <w:rFonts w:ascii="Times New Roman" w:hAnsi="Times New Roman"/>
                <w:bCs/>
              </w:rPr>
            </w:pPr>
          </w:p>
          <w:p w:rsidR="00C81710" w:rsidRPr="004E4BE4" w:rsidRDefault="00C81710" w:rsidP="00C81710">
            <w:pPr>
              <w:pStyle w:val="BodyText1"/>
              <w:spacing w:line="240" w:lineRule="auto"/>
              <w:rPr>
                <w:rFonts w:ascii="Times New Roman" w:hAnsi="Times New Roman"/>
                <w:bCs/>
              </w:rPr>
            </w:pPr>
            <w:r w:rsidRPr="004E4BE4">
              <w:rPr>
                <w:rFonts w:ascii="Times New Roman" w:hAnsi="Times New Roman"/>
              </w:rPr>
              <w:t>Zahŕňa sumu regulačných úprav položiek vlastných zdrojov, ktorými sa upravuje hodnota aktíva</w:t>
            </w:r>
            <w:r w:rsidR="004E4BE4">
              <w:rPr>
                <w:rFonts w:ascii="Times New Roman" w:hAnsi="Times New Roman"/>
              </w:rPr>
              <w:t xml:space="preserve"> a </w:t>
            </w:r>
            <w:r w:rsidRPr="004E4BE4">
              <w:rPr>
                <w:rFonts w:ascii="Times New Roman" w:hAnsi="Times New Roman"/>
              </w:rPr>
              <w:t>ktoré sa vyžadujú na základe:</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32 až 35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36 až 47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56 až 60 CRR alebo</w:t>
            </w:r>
          </w:p>
          <w:p w:rsidR="00C81710" w:rsidRPr="00ED4583" w:rsidRDefault="00500508" w:rsidP="00500508">
            <w:pPr>
              <w:pStyle w:val="BodyText1"/>
              <w:spacing w:line="240" w:lineRule="auto"/>
              <w:ind w:left="720" w:hanging="360"/>
              <w:rPr>
                <w:rFonts w:ascii="Times New Roman" w:hAnsi="Times New Roman"/>
                <w:b/>
                <w:bCs/>
              </w:rPr>
            </w:pPr>
            <w:r w:rsidRPr="004E4BE4">
              <w:rPr>
                <w:rFonts w:ascii="Times New Roman" w:hAnsi="Times New Roman"/>
              </w:rPr>
              <w:t>–</w:t>
            </w:r>
            <w:r w:rsidRPr="004E4BE4">
              <w:tab/>
            </w:r>
            <w:r w:rsidRPr="004E4BE4">
              <w:rPr>
                <w:rFonts w:ascii="Times New Roman" w:hAnsi="Times New Roman"/>
              </w:rPr>
              <w:t>článkov 66 až 70 CRR,</w:t>
            </w:r>
          </w:p>
          <w:p w:rsidR="007A0E3A" w:rsidRPr="00ED4583" w:rsidRDefault="007A0E3A" w:rsidP="00877186">
            <w:pPr>
              <w:pStyle w:val="BodyText1"/>
              <w:spacing w:line="240" w:lineRule="auto"/>
              <w:rPr>
                <w:rFonts w:ascii="Times New Roman" w:hAnsi="Times New Roman"/>
                <w:b/>
                <w:bCs/>
              </w:rPr>
            </w:pPr>
            <w:r w:rsidRPr="004E4BE4">
              <w:rPr>
                <w:rFonts w:ascii="Times New Roman" w:hAnsi="Times New Roman"/>
              </w:rPr>
              <w:t>podľa konkrétneho prípadu.</w:t>
            </w:r>
          </w:p>
          <w:p w:rsidR="00C81710" w:rsidRPr="004E4BE4" w:rsidRDefault="00C81710" w:rsidP="00C81710">
            <w:pPr>
              <w:pStyle w:val="BodyText1"/>
              <w:spacing w:line="240" w:lineRule="auto"/>
              <w:rPr>
                <w:rFonts w:ascii="Times New Roman" w:hAnsi="Times New Roman"/>
                <w:bCs/>
              </w:rPr>
            </w:pPr>
          </w:p>
          <w:p w:rsidR="004E4BE4" w:rsidRPr="004E4BE4" w:rsidRDefault="00C81710" w:rsidP="00C81710">
            <w:pPr>
              <w:pStyle w:val="BodyText1"/>
              <w:spacing w:line="240" w:lineRule="auto"/>
              <w:rPr>
                <w:rFonts w:ascii="Times New Roman" w:hAnsi="Times New Roman"/>
              </w:rPr>
            </w:pPr>
            <w:r w:rsidRPr="004E4BE4">
              <w:rPr>
                <w:rFonts w:ascii="Times New Roman" w:hAnsi="Times New Roman"/>
              </w:rPr>
              <w:t>Inštitúcie zohľadňujú výnimky, alternatívy</w:t>
            </w:r>
            <w:r w:rsidR="004E4BE4">
              <w:rPr>
                <w:rFonts w:ascii="Times New Roman" w:hAnsi="Times New Roman"/>
              </w:rPr>
              <w:t xml:space="preserve"> a </w:t>
            </w:r>
            <w:r w:rsidRPr="004E4BE4">
              <w:rPr>
                <w:rFonts w:ascii="Times New Roman" w:hAnsi="Times New Roman"/>
              </w:rPr>
              <w:t>vyňatia</w:t>
            </w:r>
            <w:r w:rsidR="004E4BE4">
              <w:rPr>
                <w:rFonts w:ascii="Times New Roman" w:hAnsi="Times New Roman"/>
              </w:rPr>
              <w:t xml:space="preserve"> z </w:t>
            </w:r>
            <w:r w:rsidRPr="004E4BE4">
              <w:rPr>
                <w:rFonts w:ascii="Times New Roman" w:hAnsi="Times New Roman"/>
              </w:rPr>
              <w:t>takýchto odpočítaní stanovené</w:t>
            </w:r>
            <w:r w:rsidR="004E4BE4">
              <w:rPr>
                <w:rFonts w:ascii="Times New Roman" w:hAnsi="Times New Roman"/>
              </w:rPr>
              <w:t xml:space="preserve"> v </w:t>
            </w:r>
            <w:r w:rsidRPr="004E4BE4">
              <w:rPr>
                <w:rFonts w:ascii="Times New Roman" w:hAnsi="Times New Roman"/>
              </w:rPr>
              <w:t>článkoch 48, 49</w:t>
            </w:r>
            <w:r w:rsidR="004E4BE4">
              <w:rPr>
                <w:rFonts w:ascii="Times New Roman" w:hAnsi="Times New Roman"/>
              </w:rPr>
              <w:t xml:space="preserve"> a </w:t>
            </w:r>
            <w:r w:rsidRPr="004E4BE4">
              <w:rPr>
                <w:rFonts w:ascii="Times New Roman" w:hAnsi="Times New Roman"/>
              </w:rPr>
              <w:t>79 CRR</w:t>
            </w:r>
            <w:r w:rsidR="004E4BE4">
              <w:rPr>
                <w:rFonts w:ascii="Times New Roman" w:hAnsi="Times New Roman"/>
              </w:rPr>
              <w:t xml:space="preserve"> a </w:t>
            </w:r>
            <w:r w:rsidRPr="004E4BE4">
              <w:rPr>
                <w:rFonts w:ascii="Times New Roman" w:hAnsi="Times New Roman"/>
              </w:rPr>
              <w:t>navyše zohľadňujú odchýlku stanovenú</w:t>
            </w:r>
            <w:r w:rsidR="004E4BE4">
              <w:rPr>
                <w:rFonts w:ascii="Times New Roman" w:hAnsi="Times New Roman"/>
              </w:rPr>
              <w:t xml:space="preserve"> v </w:t>
            </w:r>
            <w:r w:rsidRPr="004E4BE4">
              <w:rPr>
                <w:rFonts w:ascii="Times New Roman" w:hAnsi="Times New Roman"/>
              </w:rPr>
              <w:t>desiatej časti kapitolách 1</w:t>
            </w:r>
            <w:r w:rsidR="004E4BE4">
              <w:rPr>
                <w:rFonts w:ascii="Times New Roman" w:hAnsi="Times New Roman"/>
              </w:rPr>
              <w:t xml:space="preserve"> a </w:t>
            </w:r>
            <w:r w:rsidRPr="004E4BE4">
              <w:rPr>
                <w:rFonts w:ascii="Times New Roman" w:hAnsi="Times New Roman"/>
              </w:rPr>
              <w:t>2 CRR. Aby sa predišlo dvojitému započítaniu, inštitúcie nevykazujú úpravy už uplatnené podľa článku 111 CRR, keď vypočítavajú hodnotu expozície</w:t>
            </w:r>
            <w:r w:rsidR="004E4BE4">
              <w:rPr>
                <w:rFonts w:ascii="Times New Roman" w:hAnsi="Times New Roman"/>
              </w:rPr>
              <w:t xml:space="preserve"> v </w:t>
            </w:r>
            <w:r w:rsidRPr="004E4BE4">
              <w:rPr>
                <w:rFonts w:ascii="Times New Roman" w:hAnsi="Times New Roman"/>
              </w:rPr>
              <w:t>{LRCalc;10;10} až {LRCalc;260;10},</w:t>
            </w:r>
            <w:r w:rsidR="004E4BE4">
              <w:rPr>
                <w:rFonts w:ascii="Times New Roman" w:hAnsi="Times New Roman"/>
              </w:rPr>
              <w:t xml:space="preserve"> a </w:t>
            </w:r>
            <w:r w:rsidRPr="004E4BE4">
              <w:rPr>
                <w:rFonts w:ascii="Times New Roman" w:hAnsi="Times New Roman"/>
              </w:rPr>
              <w:t>ani nevykazujú žiadnu úpravu, ktorou sa neodpočítava hodnota určitého aktíva</w:t>
            </w:r>
            <w:r w:rsidR="004E4BE4" w:rsidRPr="004E4BE4">
              <w:rPr>
                <w:rFonts w:ascii="Times New Roman" w:hAnsi="Times New Roman"/>
              </w:rPr>
              <w:t>.</w:t>
            </w:r>
          </w:p>
          <w:p w:rsidR="00C81710" w:rsidRPr="00ED4583" w:rsidRDefault="00C81710" w:rsidP="00C81710">
            <w:pPr>
              <w:pStyle w:val="BodyText1"/>
              <w:spacing w:line="240" w:lineRule="auto"/>
              <w:rPr>
                <w:rFonts w:ascii="Times New Roman" w:hAnsi="Times New Roman"/>
                <w:b/>
                <w:bCs/>
              </w:rPr>
            </w:pPr>
          </w:p>
          <w:p w:rsidR="004E4BE4" w:rsidRPr="004E4BE4" w:rsidRDefault="00C81710" w:rsidP="00C81710">
            <w:pPr>
              <w:pStyle w:val="BodyText1"/>
              <w:spacing w:line="240" w:lineRule="auto"/>
              <w:rPr>
                <w:rFonts w:ascii="Times New Roman" w:hAnsi="Times New Roman"/>
              </w:rPr>
            </w:pPr>
            <w:r w:rsidRPr="004E4BE4">
              <w:rPr>
                <w:rFonts w:ascii="Times New Roman" w:hAnsi="Times New Roman"/>
              </w:rPr>
              <w:t>Keďže sa týmito úpravami znižujú celkové vlastné zdroje, vykazujú sa ako záporné číslo</w:t>
            </w:r>
            <w:r w:rsidR="004E4BE4" w:rsidRPr="004E4BE4">
              <w:rPr>
                <w:rFonts w:ascii="Times New Roman" w:hAnsi="Times New Roman"/>
              </w:rPr>
              <w:t>.</w:t>
            </w:r>
          </w:p>
          <w:p w:rsidR="002509B1" w:rsidRPr="004E4BE4" w:rsidRDefault="002509B1" w:rsidP="005556DC">
            <w:pPr>
              <w:pStyle w:val="BodyText1"/>
              <w:spacing w:line="240" w:lineRule="auto"/>
              <w:rPr>
                <w:rFonts w:ascii="Times New Roman" w:hAnsi="Times New Roman"/>
                <w:bCs/>
              </w:rPr>
            </w:pPr>
          </w:p>
        </w:tc>
      </w:tr>
    </w:tbl>
    <w:p w:rsidR="00217D1F" w:rsidRPr="00ED4583" w:rsidRDefault="00217D1F" w:rsidP="00217D1F">
      <w:pPr>
        <w:pStyle w:val="BodyText1"/>
        <w:ind w:left="567"/>
        <w:rPr>
          <w:rFonts w:ascii="Times New Roman" w:hAnsi="Times New Roman"/>
          <w:b/>
        </w:rPr>
      </w:pPr>
      <w:bookmarkStart w:id="69" w:name="_Toc322687900"/>
      <w:bookmarkStart w:id="70" w:name="_Toc322533879"/>
    </w:p>
    <w:p w:rsidR="00217D1F" w:rsidRPr="00ED4583" w:rsidRDefault="00500508" w:rsidP="00500508">
      <w:pPr>
        <w:pStyle w:val="BodyText1"/>
        <w:ind w:left="357" w:hanging="357"/>
        <w:outlineLvl w:val="1"/>
        <w:rPr>
          <w:rFonts w:ascii="Times New Roman" w:hAnsi="Times New Roman"/>
          <w:b/>
        </w:rPr>
      </w:pPr>
      <w:bookmarkStart w:id="71" w:name="_Toc351048510"/>
      <w:bookmarkStart w:id="72" w:name="_Toc359414289"/>
      <w:bookmarkStart w:id="73" w:name="_Toc524086727"/>
      <w:r w:rsidRPr="00ED4583">
        <w:rPr>
          <w:rFonts w:ascii="Times New Roman" w:hAnsi="Times New Roman"/>
          <w:b/>
        </w:rPr>
        <w:t>8.</w:t>
      </w:r>
      <w:r w:rsidRPr="004E4BE4">
        <w:tab/>
      </w:r>
      <w:r w:rsidRPr="00ED4583">
        <w:rPr>
          <w:rFonts w:ascii="Times New Roman" w:hAnsi="Times New Roman"/>
          <w:b/>
        </w:rPr>
        <w:t>C 43.00 – Alternatívne rozčlenenie zložiek veľkosti expozície ukazovateľa finančnej páky</w:t>
      </w:r>
      <w:bookmarkEnd w:id="69"/>
      <w:bookmarkEnd w:id="71"/>
      <w:bookmarkEnd w:id="72"/>
      <w:r w:rsidRPr="00ED4583">
        <w:rPr>
          <w:rFonts w:ascii="Times New Roman" w:hAnsi="Times New Roman"/>
          <w:b/>
        </w:rPr>
        <w:t xml:space="preserve"> (LR4)</w:t>
      </w:r>
      <w:bookmarkEnd w:id="73"/>
    </w:p>
    <w:p w:rsidR="00675587" w:rsidRPr="004E4BE4" w:rsidRDefault="00675587" w:rsidP="00675587">
      <w:pPr>
        <w:pStyle w:val="BodyText1"/>
        <w:ind w:left="720"/>
        <w:rPr>
          <w:rFonts w:ascii="Times New Roman" w:hAnsi="Times New Roman"/>
        </w:rPr>
      </w:pPr>
    </w:p>
    <w:p w:rsidR="004E437E" w:rsidRPr="004E4BE4" w:rsidRDefault="00500508" w:rsidP="00500508">
      <w:pPr>
        <w:pStyle w:val="BodyText1"/>
        <w:ind w:left="720" w:hanging="360"/>
        <w:rPr>
          <w:rFonts w:ascii="Times New Roman" w:hAnsi="Times New Roman"/>
        </w:rPr>
      </w:pPr>
      <w:r w:rsidRPr="004E4BE4">
        <w:rPr>
          <w:rFonts w:ascii="Times New Roman" w:hAnsi="Times New Roman"/>
        </w:rPr>
        <w:t>28.</w:t>
      </w:r>
      <w:r w:rsidRPr="004E4BE4">
        <w:tab/>
      </w:r>
      <w:r w:rsidRPr="004E4BE4">
        <w:rPr>
          <w:rFonts w:ascii="Times New Roman" w:hAnsi="Times New Roman"/>
        </w:rPr>
        <w:t>Inštitúcie vykazujú hodnoty expozície ukazovateľa finančnej páky</w:t>
      </w:r>
      <w:r w:rsidR="004E4BE4">
        <w:rPr>
          <w:rFonts w:ascii="Times New Roman" w:hAnsi="Times New Roman"/>
        </w:rPr>
        <w:t xml:space="preserve"> v </w:t>
      </w:r>
      <w:r w:rsidRPr="004E4BE4">
        <w:rPr>
          <w:rFonts w:ascii="Times New Roman" w:hAnsi="Times New Roman"/>
        </w:rPr>
        <w:t>LR4 po uplatnení vyňatí uvedených</w:t>
      </w:r>
      <w:r w:rsidR="004E4BE4">
        <w:rPr>
          <w:rFonts w:ascii="Times New Roman" w:hAnsi="Times New Roman"/>
        </w:rPr>
        <w:t xml:space="preserve"> v </w:t>
      </w:r>
      <w:r w:rsidRPr="004E4BE4">
        <w:rPr>
          <w:rFonts w:ascii="Times New Roman" w:hAnsi="Times New Roman"/>
        </w:rPr>
        <w:t>týchto bunkách LRCalc, podľa konkrétneho prípadu: {050;010}, {080;010}, {100;010}, {120;010}, {220; 010}, {250;010}</w:t>
      </w:r>
      <w:r w:rsidR="004E4BE4">
        <w:rPr>
          <w:rFonts w:ascii="Times New Roman" w:hAnsi="Times New Roman"/>
        </w:rPr>
        <w:t xml:space="preserve"> a </w:t>
      </w:r>
      <w:r w:rsidRPr="004E4BE4">
        <w:rPr>
          <w:rFonts w:ascii="Times New Roman" w:hAnsi="Times New Roman"/>
        </w:rPr>
        <w:t>{260;010}.</w:t>
      </w:r>
    </w:p>
    <w:p w:rsidR="004E437E" w:rsidRPr="004E4BE4" w:rsidRDefault="004E437E" w:rsidP="00FD2C06">
      <w:pPr>
        <w:pStyle w:val="BodyText1"/>
        <w:ind w:left="720"/>
        <w:rPr>
          <w:rFonts w:ascii="Times New Roman" w:hAnsi="Times New Roman"/>
        </w:rPr>
      </w:pPr>
    </w:p>
    <w:p w:rsidR="004E4BE4"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29.</w:t>
      </w:r>
      <w:r w:rsidRPr="004E4BE4">
        <w:tab/>
      </w:r>
      <w:r w:rsidRPr="004E4BE4">
        <w:rPr>
          <w:rFonts w:ascii="Times New Roman" w:hAnsi="Times New Roman"/>
        </w:rPr>
        <w:t>S cieľom predísť dvojitému započítaniu inštitúcie dodržujú rovnicu uvedenú</w:t>
      </w:r>
      <w:r w:rsidR="004E4BE4">
        <w:rPr>
          <w:rFonts w:ascii="Times New Roman" w:hAnsi="Times New Roman"/>
        </w:rPr>
        <w:t xml:space="preserve"> v </w:t>
      </w:r>
      <w:r w:rsidRPr="004E4BE4">
        <w:rPr>
          <w:rFonts w:ascii="Times New Roman" w:hAnsi="Times New Roman"/>
        </w:rPr>
        <w:t>nasledujúcom odseku</w:t>
      </w:r>
      <w:r w:rsidR="004E4BE4" w:rsidRPr="004E4BE4">
        <w:rPr>
          <w:rFonts w:ascii="Times New Roman" w:hAnsi="Times New Roman"/>
        </w:rPr>
        <w:t>:</w:t>
      </w:r>
    </w:p>
    <w:p w:rsidR="00FC2664" w:rsidRPr="004E4BE4" w:rsidRDefault="00FC2664" w:rsidP="007E2A41">
      <w:pPr>
        <w:pStyle w:val="BodyText1"/>
        <w:spacing w:line="240" w:lineRule="auto"/>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30.</w:t>
      </w:r>
      <w:r w:rsidRPr="004E4BE4">
        <w:tab/>
      </w:r>
      <w:r w:rsidRPr="004E4BE4">
        <w:rPr>
          <w:rFonts w:ascii="Times New Roman" w:hAnsi="Times New Roman"/>
        </w:rPr>
        <w:t>Rovnica, ktorú inštitúcie musia dodržať podľa odseku 29, je táto: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4E4BE4"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4E4BE4" w:rsidTr="0053335C">
        <w:trPr>
          <w:trHeight w:val="297"/>
        </w:trPr>
        <w:tc>
          <w:tcPr>
            <w:tcW w:w="1111" w:type="dxa"/>
            <w:shd w:val="clear" w:color="auto" w:fill="BFBFBF" w:themeFill="background1" w:themeFillShade="BF"/>
          </w:tcPr>
          <w:p w:rsidR="00F4754B" w:rsidRPr="00ED4583" w:rsidRDefault="00F4754B" w:rsidP="00F4754B">
            <w:pPr>
              <w:pStyle w:val="BodyText1"/>
              <w:rPr>
                <w:rFonts w:ascii="Times New Roman" w:hAnsi="Times New Roman"/>
                <w:b/>
                <w:bCs/>
                <w:i/>
              </w:rPr>
            </w:pPr>
            <w:r w:rsidRPr="00ED4583">
              <w:rPr>
                <w:rFonts w:ascii="Times New Roman" w:hAnsi="Times New Roman"/>
                <w:b/>
              </w:rPr>
              <w:t>Riadok</w:t>
            </w:r>
            <w:r w:rsidR="004E4BE4" w:rsidRPr="00ED4583">
              <w:rPr>
                <w:rFonts w:ascii="Times New Roman" w:hAnsi="Times New Roman"/>
                <w:b/>
              </w:rPr>
              <w:t xml:space="preserve"> a </w:t>
            </w:r>
            <w:r w:rsidRPr="00ED4583">
              <w:rPr>
                <w:rFonts w:ascii="Times New Roman" w:hAnsi="Times New Roman"/>
                <w:b/>
              </w:rPr>
              <w:t>stĺpec</w:t>
            </w:r>
          </w:p>
        </w:tc>
        <w:tc>
          <w:tcPr>
            <w:tcW w:w="8133" w:type="dxa"/>
            <w:shd w:val="clear" w:color="auto" w:fill="BFBFBF" w:themeFill="background1" w:themeFillShade="BF"/>
          </w:tcPr>
          <w:p w:rsidR="00F4754B" w:rsidRPr="00ED4583" w:rsidRDefault="00F4754B" w:rsidP="00F4754B">
            <w:pPr>
              <w:pStyle w:val="BodyText1"/>
              <w:rPr>
                <w:rFonts w:ascii="Times New Roman" w:hAnsi="Times New Roman"/>
                <w:b/>
                <w:bCs/>
                <w:i/>
              </w:rPr>
            </w:pPr>
            <w:r w:rsidRPr="00ED4583">
              <w:rPr>
                <w:rFonts w:ascii="Times New Roman" w:hAnsi="Times New Roman"/>
                <w:b/>
              </w:rPr>
              <w:t>Odkazy na právne predpisy</w:t>
            </w:r>
            <w:r w:rsidR="004E4BE4" w:rsidRPr="00ED4583">
              <w:rPr>
                <w:rFonts w:ascii="Times New Roman" w:hAnsi="Times New Roman"/>
                <w:b/>
              </w:rPr>
              <w:t xml:space="preserve"> a </w:t>
            </w:r>
            <w:r w:rsidRPr="00ED4583">
              <w:rPr>
                <w:rFonts w:ascii="Times New Roman" w:hAnsi="Times New Roman"/>
                <w:b/>
              </w:rPr>
              <w:t>pokyny</w:t>
            </w:r>
          </w:p>
        </w:tc>
      </w:tr>
      <w:tr w:rsidR="00F4754B" w:rsidRPr="004E4BE4" w:rsidTr="0053335C">
        <w:trPr>
          <w:trHeight w:val="445"/>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{010;010}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Podsúvahové položky;</w:t>
            </w:r>
            <w:r w:rsidR="004E4BE4" w:rsidRPr="00ED4583">
              <w:rPr>
                <w:rFonts w:ascii="Times New Roman" w:hAnsi="Times New Roman"/>
                <w:b/>
              </w:rPr>
              <w:t xml:space="preserve"> z </w:t>
            </w:r>
            <w:r w:rsidRPr="00ED4583">
              <w:rPr>
                <w:rFonts w:ascii="Times New Roman" w:hAnsi="Times New Roman"/>
                <w:b/>
              </w:rPr>
              <w:t>čoho – hodnota expozície ukazovateľa finančnej páky</w:t>
            </w:r>
          </w:p>
          <w:p w:rsidR="002509B1" w:rsidRPr="00ED4583" w:rsidRDefault="002509B1" w:rsidP="007E2A41">
            <w:pPr>
              <w:pStyle w:val="BodyText1"/>
              <w:spacing w:line="240" w:lineRule="auto"/>
              <w:rPr>
                <w:rFonts w:ascii="Times New Roman" w:hAnsi="Times New Roman"/>
                <w:b/>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vypočítaná ako súčet {LRCalc;150;010}, {LRCalc;160;010}, {LRCalc;170;010}</w:t>
            </w:r>
            <w:r w:rsidR="004E4BE4">
              <w:rPr>
                <w:rFonts w:ascii="Times New Roman" w:hAnsi="Times New Roman"/>
              </w:rPr>
              <w:t xml:space="preserve"> a </w:t>
            </w:r>
            <w:r w:rsidRPr="004E4BE4">
              <w:rPr>
                <w:rFonts w:ascii="Times New Roman" w:hAnsi="Times New Roman"/>
              </w:rPr>
              <w:t>{LRCalc;180;010} bez príslušných vnútroskupinových expozícií (na jednotlivom základe) vyňatých</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7 CRR.</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1179"/>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{010;020}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Podsúvahové položky;</w:t>
            </w:r>
            <w:r w:rsidR="004E4BE4" w:rsidRPr="00ED4583">
              <w:rPr>
                <w:rFonts w:ascii="Times New Roman" w:hAnsi="Times New Roman"/>
                <w:b/>
              </w:rPr>
              <w:t xml:space="preserve"> z </w:t>
            </w:r>
            <w:r w:rsidRPr="00ED4583">
              <w:rPr>
                <w:rFonts w:ascii="Times New Roman" w:hAnsi="Times New Roman"/>
                <w:b/>
              </w:rPr>
              <w:t>čoho – RWA</w:t>
            </w:r>
          </w:p>
          <w:p w:rsidR="002509B1" w:rsidRPr="00ED4583" w:rsidRDefault="002509B1" w:rsidP="007E2A41">
            <w:pPr>
              <w:pStyle w:val="BodyText1"/>
              <w:spacing w:line="240" w:lineRule="auto"/>
              <w:rPr>
                <w:rFonts w:ascii="Times New Roman" w:hAnsi="Times New Roman"/>
                <w:b/>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podsúvahových položiek –</w:t>
            </w:r>
            <w:r w:rsidR="004E4BE4">
              <w:rPr>
                <w:rFonts w:ascii="Times New Roman" w:hAnsi="Times New Roman"/>
              </w:rPr>
              <w:t xml:space="preserve"> s </w:t>
            </w:r>
            <w:r w:rsidRPr="004E4BE4">
              <w:rPr>
                <w:rFonts w:ascii="Times New Roman" w:hAnsi="Times New Roman"/>
              </w:rPr>
              <w:t>výnimkou SFT</w:t>
            </w:r>
            <w:r w:rsidR="004E4BE4">
              <w:rPr>
                <w:rFonts w:ascii="Times New Roman" w:hAnsi="Times New Roman"/>
              </w:rPr>
              <w:t xml:space="preserve"> a </w:t>
            </w:r>
            <w:r w:rsidRPr="004E4BE4">
              <w:rPr>
                <w:rFonts w:ascii="Times New Roman" w:hAnsi="Times New Roman"/>
              </w:rPr>
              <w:t>derivátov – podľa štandardizovaného prístupu</w:t>
            </w:r>
            <w:r w:rsidR="004E4BE4">
              <w:rPr>
                <w:rFonts w:ascii="Times New Roman" w:hAnsi="Times New Roman"/>
              </w:rPr>
              <w:t xml:space="preserve"> a </w:t>
            </w:r>
            <w:r w:rsidRPr="004E4BE4">
              <w:rPr>
                <w:rFonts w:ascii="Times New Roman" w:hAnsi="Times New Roman"/>
              </w:rPr>
              <w:t>prístupu IRB. Pre expozície podľa štandardizovaného prístupu inštitúcie určia hodnotu rizikovo váženej expozície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treťou časťou hlavou II kapitolou 2 CRR. Pre expozície podľa prístupu IRB inštitúcie určia hodnotu rizikovo váženej expozície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treťou časťou hlavou II kapitolou 3 CRR.</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4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{020;010}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Obchodné financovanie;</w:t>
            </w:r>
            <w:r w:rsidR="004E4BE4" w:rsidRPr="00ED4583">
              <w:rPr>
                <w:rFonts w:ascii="Times New Roman" w:hAnsi="Times New Roman"/>
                <w:b/>
              </w:rPr>
              <w:t xml:space="preserve"> z </w:t>
            </w:r>
            <w:r w:rsidRPr="00ED4583">
              <w:rPr>
                <w:rFonts w:ascii="Times New Roman" w:hAnsi="Times New Roman"/>
                <w:b/>
              </w:rPr>
              <w:t>čoho – hodnota expozície ukazovateľa finančnej páky</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podsúvahových položiek týkajúcich sa obchodného financovania. Na účely vykazovania</w:t>
            </w:r>
            <w:r w:rsidR="004E4BE4">
              <w:rPr>
                <w:rFonts w:ascii="Times New Roman" w:hAnsi="Times New Roman"/>
              </w:rPr>
              <w:t xml:space="preserve"> v </w:t>
            </w:r>
            <w:r w:rsidRPr="004E4BE4">
              <w:rPr>
                <w:rFonts w:ascii="Times New Roman" w:hAnsi="Times New Roman"/>
              </w:rPr>
              <w:t>LR4 podsúvahové položky týkajúce sa obchodného financovania sa musia vzťahovať na vydané</w:t>
            </w:r>
            <w:r w:rsidR="004E4BE4">
              <w:rPr>
                <w:rFonts w:ascii="Times New Roman" w:hAnsi="Times New Roman"/>
              </w:rPr>
              <w:t xml:space="preserve"> a </w:t>
            </w:r>
            <w:r w:rsidRPr="004E4BE4">
              <w:rPr>
                <w:rFonts w:ascii="Times New Roman" w:hAnsi="Times New Roman"/>
              </w:rPr>
              <w:t>potvrdené dovozné</w:t>
            </w:r>
            <w:r w:rsidR="004E4BE4">
              <w:rPr>
                <w:rFonts w:ascii="Times New Roman" w:hAnsi="Times New Roman"/>
              </w:rPr>
              <w:t xml:space="preserve"> a </w:t>
            </w:r>
            <w:r w:rsidRPr="004E4BE4">
              <w:rPr>
                <w:rFonts w:ascii="Times New Roman" w:hAnsi="Times New Roman"/>
              </w:rPr>
              <w:t>vývozné akreditívy, ktoré sú krátkodobé</w:t>
            </w:r>
            <w:r w:rsidR="004E4BE4">
              <w:rPr>
                <w:rFonts w:ascii="Times New Roman" w:hAnsi="Times New Roman"/>
              </w:rPr>
              <w:t xml:space="preserve"> a </w:t>
            </w:r>
            <w:r w:rsidRPr="004E4BE4">
              <w:rPr>
                <w:rFonts w:ascii="Times New Roman" w:hAnsi="Times New Roman"/>
              </w:rPr>
              <w:t>samolikvidné,</w:t>
            </w:r>
            <w:r w:rsidR="004E4BE4">
              <w:rPr>
                <w:rFonts w:ascii="Times New Roman" w:hAnsi="Times New Roman"/>
              </w:rPr>
              <w:t xml:space="preserve"> a </w:t>
            </w:r>
            <w:r w:rsidRPr="004E4BE4">
              <w:rPr>
                <w:rFonts w:ascii="Times New Roman" w:hAnsi="Times New Roman"/>
              </w:rPr>
              <w:t>podobné transakcie.</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1038"/>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{020;020}</w:t>
            </w:r>
          </w:p>
        </w:tc>
        <w:tc>
          <w:tcPr>
            <w:tcW w:w="8133" w:type="dxa"/>
            <w:shd w:val="clear" w:color="auto" w:fill="FFFFFF"/>
          </w:tcPr>
          <w:p w:rsidR="004E4BE4" w:rsidRPr="00ED4583" w:rsidRDefault="00F4754B" w:rsidP="007E2A41">
            <w:pPr>
              <w:pStyle w:val="BodyText1"/>
              <w:spacing w:line="240" w:lineRule="auto"/>
              <w:rPr>
                <w:rFonts w:ascii="Times New Roman" w:hAnsi="Times New Roman"/>
                <w:b/>
              </w:rPr>
            </w:pPr>
            <w:r w:rsidRPr="00ED4583">
              <w:rPr>
                <w:rFonts w:ascii="Times New Roman" w:hAnsi="Times New Roman"/>
                <w:b/>
              </w:rPr>
              <w:t>Obchodné financovanie;</w:t>
            </w:r>
            <w:r w:rsidR="004E4BE4" w:rsidRPr="00ED4583">
              <w:rPr>
                <w:rFonts w:ascii="Times New Roman" w:hAnsi="Times New Roman"/>
                <w:b/>
              </w:rPr>
              <w:t xml:space="preserve"> z </w:t>
            </w:r>
            <w:r w:rsidRPr="00ED4583">
              <w:rPr>
                <w:rFonts w:ascii="Times New Roman" w:hAnsi="Times New Roman"/>
                <w:b/>
              </w:rPr>
              <w:t>čoho – RWA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podsúvahových položiek –</w:t>
            </w:r>
            <w:r w:rsidR="004E4BE4">
              <w:rPr>
                <w:rFonts w:ascii="Times New Roman" w:hAnsi="Times New Roman"/>
              </w:rPr>
              <w:t xml:space="preserve"> s </w:t>
            </w:r>
            <w:r w:rsidRPr="004E4BE4">
              <w:rPr>
                <w:rFonts w:ascii="Times New Roman" w:hAnsi="Times New Roman"/>
              </w:rPr>
              <w:t>výnimkou SFT</w:t>
            </w:r>
            <w:r w:rsidR="004E4BE4">
              <w:rPr>
                <w:rFonts w:ascii="Times New Roman" w:hAnsi="Times New Roman"/>
              </w:rPr>
              <w:t xml:space="preserve"> a </w:t>
            </w:r>
            <w:r w:rsidRPr="004E4BE4">
              <w:rPr>
                <w:rFonts w:ascii="Times New Roman" w:hAnsi="Times New Roman"/>
              </w:rPr>
              <w:t>derivátov – týkajúcich sa obchodného financovania. Na účely vykazovania</w:t>
            </w:r>
            <w:r w:rsidR="004E4BE4">
              <w:rPr>
                <w:rFonts w:ascii="Times New Roman" w:hAnsi="Times New Roman"/>
              </w:rPr>
              <w:t xml:space="preserve"> v </w:t>
            </w:r>
            <w:r w:rsidRPr="004E4BE4">
              <w:rPr>
                <w:rFonts w:ascii="Times New Roman" w:hAnsi="Times New Roman"/>
              </w:rPr>
              <w:t>LR4 podsúvahové položky týkajúce sa obchodného financovania sa musia vzťahovať na vydané</w:t>
            </w:r>
            <w:r w:rsidR="004E4BE4">
              <w:rPr>
                <w:rFonts w:ascii="Times New Roman" w:hAnsi="Times New Roman"/>
              </w:rPr>
              <w:t xml:space="preserve"> a </w:t>
            </w:r>
            <w:r w:rsidRPr="004E4BE4">
              <w:rPr>
                <w:rFonts w:ascii="Times New Roman" w:hAnsi="Times New Roman"/>
              </w:rPr>
              <w:t>potvrdené dovozné</w:t>
            </w:r>
            <w:r w:rsidR="004E4BE4">
              <w:rPr>
                <w:rFonts w:ascii="Times New Roman" w:hAnsi="Times New Roman"/>
              </w:rPr>
              <w:t xml:space="preserve"> a </w:t>
            </w:r>
            <w:r w:rsidRPr="004E4BE4">
              <w:rPr>
                <w:rFonts w:ascii="Times New Roman" w:hAnsi="Times New Roman"/>
              </w:rPr>
              <w:t>vývozné akreditívy, ktoré sú krátkodobé</w:t>
            </w:r>
            <w:r w:rsidR="004E4BE4">
              <w:rPr>
                <w:rFonts w:ascii="Times New Roman" w:hAnsi="Times New Roman"/>
              </w:rPr>
              <w:t xml:space="preserve"> a </w:t>
            </w:r>
            <w:r w:rsidRPr="004E4BE4">
              <w:rPr>
                <w:rFonts w:ascii="Times New Roman" w:hAnsi="Times New Roman"/>
              </w:rPr>
              <w:t>samolikvidné,</w:t>
            </w:r>
            <w:r w:rsidR="004E4BE4">
              <w:rPr>
                <w:rFonts w:ascii="Times New Roman" w:hAnsi="Times New Roman"/>
              </w:rPr>
              <w:t xml:space="preserve"> a </w:t>
            </w:r>
            <w:r w:rsidRPr="004E4BE4">
              <w:rPr>
                <w:rFonts w:ascii="Times New Roman" w:hAnsi="Times New Roman"/>
              </w:rPr>
              <w:t>podobné transakcie.</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1030"/>
        </w:trPr>
        <w:tc>
          <w:tcPr>
            <w:tcW w:w="1111" w:type="dxa"/>
            <w:shd w:val="clear" w:color="auto" w:fill="FFFFFF"/>
          </w:tcPr>
          <w:p w:rsidR="00F4754B" w:rsidRPr="004E4BE4" w:rsidRDefault="00F4754B" w:rsidP="00F4754B">
            <w:pPr>
              <w:pStyle w:val="BodyText1"/>
              <w:rPr>
                <w:rFonts w:ascii="Times New Roman" w:hAnsi="Times New Roman"/>
                <w:bCs/>
              </w:rPr>
            </w:pPr>
            <w:r w:rsidRPr="004E4BE4">
              <w:rPr>
                <w:rFonts w:ascii="Times New Roman" w:hAnsi="Times New Roman"/>
              </w:rPr>
              <w:t>{030;010}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V rámci oficiálnej schémy poistenia exportných úverov – hodnota expozície ukazovateľa finančnej páky</w:t>
            </w:r>
          </w:p>
          <w:p w:rsidR="002509B1" w:rsidRPr="00ED4583" w:rsidRDefault="002509B1" w:rsidP="007E2A41">
            <w:pPr>
              <w:pStyle w:val="BodyText1"/>
              <w:spacing w:line="240" w:lineRule="auto"/>
              <w:rPr>
                <w:rFonts w:ascii="Times New Roman" w:hAnsi="Times New Roman"/>
                <w:b/>
                <w:bCs/>
              </w:rPr>
            </w:pPr>
          </w:p>
          <w:p w:rsidR="001F28E7"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podsúvahových položiek týkajúcich sa obchodného financovania</w:t>
            </w:r>
            <w:r w:rsidR="004E4BE4">
              <w:rPr>
                <w:rFonts w:ascii="Times New Roman" w:hAnsi="Times New Roman"/>
              </w:rPr>
              <w:t xml:space="preserve"> v </w:t>
            </w:r>
            <w:r w:rsidRPr="004E4BE4">
              <w:rPr>
                <w:rFonts w:ascii="Times New Roman" w:hAnsi="Times New Roman"/>
              </w:rPr>
              <w:t>rámci oficiálnej schémy poistenia exportných úverov.</w:t>
            </w:r>
          </w:p>
          <w:p w:rsidR="001F28E7" w:rsidRPr="004E4BE4" w:rsidRDefault="001F28E7" w:rsidP="007E2A41">
            <w:pPr>
              <w:pStyle w:val="BodyText1"/>
              <w:spacing w:line="240" w:lineRule="auto"/>
              <w:rPr>
                <w:rFonts w:ascii="Times New Roman" w:hAnsi="Times New Roman"/>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Na účely vykazovania</w:t>
            </w:r>
            <w:r w:rsidR="004E4BE4">
              <w:rPr>
                <w:rFonts w:ascii="Times New Roman" w:hAnsi="Times New Roman"/>
              </w:rPr>
              <w:t xml:space="preserve"> v </w:t>
            </w:r>
            <w:r w:rsidRPr="004E4BE4">
              <w:rPr>
                <w:rFonts w:ascii="Times New Roman" w:hAnsi="Times New Roman"/>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4E4BE4">
              <w:rPr>
                <w:rFonts w:ascii="Times New Roman" w:hAnsi="Times New Roman"/>
              </w:rPr>
              <w:t xml:space="preserve"> a </w:t>
            </w:r>
            <w:r w:rsidRPr="004E4BE4">
              <w:rPr>
                <w:rFonts w:ascii="Times New Roman" w:hAnsi="Times New Roman"/>
              </w:rPr>
              <w:t>granty), poistenia</w:t>
            </w:r>
            <w:r w:rsidR="004E4BE4">
              <w:rPr>
                <w:rFonts w:ascii="Times New Roman" w:hAnsi="Times New Roman"/>
              </w:rPr>
              <w:t xml:space="preserve"> a </w:t>
            </w:r>
            <w:r w:rsidRPr="004E4BE4">
              <w:rPr>
                <w:rFonts w:ascii="Times New Roman" w:hAnsi="Times New Roman"/>
              </w:rPr>
              <w:t>záruk exportných úverov</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601"/>
        </w:trPr>
        <w:tc>
          <w:tcPr>
            <w:tcW w:w="1111" w:type="dxa"/>
            <w:shd w:val="clear" w:color="auto" w:fill="FFFFFF"/>
          </w:tcPr>
          <w:p w:rsidR="00F4754B" w:rsidRPr="004E4BE4" w:rsidRDefault="00F4754B" w:rsidP="00F4754B">
            <w:pPr>
              <w:pStyle w:val="BodyText1"/>
              <w:rPr>
                <w:rFonts w:ascii="Times New Roman" w:hAnsi="Times New Roman"/>
                <w:bCs/>
              </w:rPr>
            </w:pPr>
            <w:r w:rsidRPr="004E4BE4">
              <w:rPr>
                <w:rFonts w:ascii="Times New Roman" w:hAnsi="Times New Roman"/>
              </w:rPr>
              <w:t>{030;020}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V rámci oficiálnej schémy poistenia exportných úverov – RWA</w:t>
            </w:r>
          </w:p>
          <w:p w:rsidR="002509B1" w:rsidRPr="00ED4583" w:rsidRDefault="002509B1" w:rsidP="007E2A41">
            <w:pPr>
              <w:pStyle w:val="BodyText1"/>
              <w:spacing w:line="240" w:lineRule="auto"/>
              <w:rPr>
                <w:rFonts w:ascii="Times New Roman" w:hAnsi="Times New Roman"/>
                <w:b/>
                <w:bCs/>
              </w:rPr>
            </w:pPr>
          </w:p>
          <w:p w:rsidR="001F28E7"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podsúvahových položiek –</w:t>
            </w:r>
            <w:r w:rsidR="004E4BE4">
              <w:rPr>
                <w:rFonts w:ascii="Times New Roman" w:hAnsi="Times New Roman"/>
              </w:rPr>
              <w:t xml:space="preserve"> s </w:t>
            </w:r>
            <w:r w:rsidRPr="004E4BE4">
              <w:rPr>
                <w:rFonts w:ascii="Times New Roman" w:hAnsi="Times New Roman"/>
              </w:rPr>
              <w:t>výnimkou SFT</w:t>
            </w:r>
            <w:r w:rsidR="004E4BE4">
              <w:rPr>
                <w:rFonts w:ascii="Times New Roman" w:hAnsi="Times New Roman"/>
              </w:rPr>
              <w:t xml:space="preserve"> a </w:t>
            </w:r>
            <w:r w:rsidRPr="004E4BE4">
              <w:rPr>
                <w:rFonts w:ascii="Times New Roman" w:hAnsi="Times New Roman"/>
              </w:rPr>
              <w:t>derivátov – týkajúcich sa obchodného financovania</w:t>
            </w:r>
            <w:r w:rsidR="004E4BE4">
              <w:rPr>
                <w:rFonts w:ascii="Times New Roman" w:hAnsi="Times New Roman"/>
              </w:rPr>
              <w:t xml:space="preserve"> v </w:t>
            </w:r>
            <w:r w:rsidRPr="004E4BE4">
              <w:rPr>
                <w:rFonts w:ascii="Times New Roman" w:hAnsi="Times New Roman"/>
              </w:rPr>
              <w:t>rámci oficiálnej schémy poistenia exportných úverov.</w:t>
            </w:r>
          </w:p>
          <w:p w:rsidR="001F28E7" w:rsidRPr="004E4BE4" w:rsidRDefault="001F28E7" w:rsidP="007E2A41">
            <w:pPr>
              <w:pStyle w:val="BodyText1"/>
              <w:spacing w:line="240" w:lineRule="auto"/>
              <w:rPr>
                <w:rFonts w:ascii="Times New Roman" w:hAnsi="Times New Roman"/>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Na účely vykazovania</w:t>
            </w:r>
            <w:r w:rsidR="004E4BE4">
              <w:rPr>
                <w:rFonts w:ascii="Times New Roman" w:hAnsi="Times New Roman"/>
              </w:rPr>
              <w:t xml:space="preserve"> v </w:t>
            </w:r>
            <w:r w:rsidRPr="004E4BE4">
              <w:rPr>
                <w:rFonts w:ascii="Times New Roman" w:hAnsi="Times New Roman"/>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4E4BE4">
              <w:rPr>
                <w:rFonts w:ascii="Times New Roman" w:hAnsi="Times New Roman"/>
              </w:rPr>
              <w:t xml:space="preserve"> a </w:t>
            </w:r>
            <w:r w:rsidRPr="004E4BE4">
              <w:rPr>
                <w:rFonts w:ascii="Times New Roman" w:hAnsi="Times New Roman"/>
              </w:rPr>
              <w:t>granty), poistenia</w:t>
            </w:r>
            <w:r w:rsidR="004E4BE4">
              <w:rPr>
                <w:rFonts w:ascii="Times New Roman" w:hAnsi="Times New Roman"/>
              </w:rPr>
              <w:t xml:space="preserve"> a </w:t>
            </w:r>
            <w:r w:rsidRPr="004E4BE4">
              <w:rPr>
                <w:rFonts w:ascii="Times New Roman" w:hAnsi="Times New Roman"/>
              </w:rPr>
              <w:t>záruk exportných úverov</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{040;010}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Deriváty</w:t>
            </w:r>
            <w:r w:rsidR="004E4BE4" w:rsidRPr="00ED4583">
              <w:rPr>
                <w:rFonts w:ascii="Times New Roman" w:hAnsi="Times New Roman"/>
                <w:b/>
              </w:rPr>
              <w:t xml:space="preserve"> a </w:t>
            </w:r>
            <w:r w:rsidRPr="00ED4583">
              <w:rPr>
                <w:rFonts w:ascii="Times New Roman" w:hAnsi="Times New Roman"/>
                <w:b/>
              </w:rPr>
              <w:t>SFT podliehajúce dohode</w:t>
            </w:r>
            <w:r w:rsidR="004E4BE4" w:rsidRPr="00ED4583">
              <w:rPr>
                <w:rFonts w:ascii="Times New Roman" w:hAnsi="Times New Roman"/>
                <w:b/>
              </w:rPr>
              <w:t xml:space="preserve"> o </w:t>
            </w:r>
            <w:r w:rsidRPr="00ED4583">
              <w:rPr>
                <w:rFonts w:ascii="Times New Roman" w:hAnsi="Times New Roman"/>
                <w:b/>
              </w:rPr>
              <w:t>vzájomnom krížovom započítavaní produktov – hodnota expozície ukazovateľa finančnej páky</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derivátov</w:t>
            </w:r>
            <w:r w:rsidR="004E4BE4">
              <w:rPr>
                <w:rFonts w:ascii="Times New Roman" w:hAnsi="Times New Roman"/>
              </w:rPr>
              <w:t xml:space="preserve"> a </w:t>
            </w:r>
            <w:r w:rsidRPr="004E4BE4">
              <w:rPr>
                <w:rFonts w:ascii="Times New Roman" w:hAnsi="Times New Roman"/>
              </w:rPr>
              <w:t>SFT, ak podliehajú dohode</w:t>
            </w:r>
            <w:r w:rsidR="004E4BE4">
              <w:rPr>
                <w:rFonts w:ascii="Times New Roman" w:hAnsi="Times New Roman"/>
              </w:rPr>
              <w:t xml:space="preserve"> o </w:t>
            </w:r>
            <w:r w:rsidRPr="004E4BE4">
              <w:rPr>
                <w:rFonts w:ascii="Times New Roman" w:hAnsi="Times New Roman"/>
              </w:rPr>
              <w:t>vzájomnom krížovom započítavaní produktov podľa vymedzenia</w:t>
            </w:r>
            <w:r w:rsidR="004E4BE4">
              <w:rPr>
                <w:rFonts w:ascii="Times New Roman" w:hAnsi="Times New Roman"/>
              </w:rPr>
              <w:t xml:space="preserve"> v </w:t>
            </w:r>
            <w:r w:rsidRPr="004E4BE4">
              <w:rPr>
                <w:rFonts w:ascii="Times New Roman" w:hAnsi="Times New Roman"/>
              </w:rPr>
              <w:t>článku 272 ods. 25 CRR.</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{040;020}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Deriváty</w:t>
            </w:r>
            <w:r w:rsidR="004E4BE4" w:rsidRPr="00ED4583">
              <w:rPr>
                <w:rFonts w:ascii="Times New Roman" w:hAnsi="Times New Roman"/>
                <w:b/>
              </w:rPr>
              <w:t xml:space="preserve"> a </w:t>
            </w:r>
            <w:r w:rsidRPr="00ED4583">
              <w:rPr>
                <w:rFonts w:ascii="Times New Roman" w:hAnsi="Times New Roman"/>
                <w:b/>
              </w:rPr>
              <w:t>SFT podliehajúce dohode</w:t>
            </w:r>
            <w:r w:rsidR="004E4BE4" w:rsidRPr="00ED4583">
              <w:rPr>
                <w:rFonts w:ascii="Times New Roman" w:hAnsi="Times New Roman"/>
                <w:b/>
              </w:rPr>
              <w:t xml:space="preserve"> o </w:t>
            </w:r>
            <w:r w:rsidRPr="00ED4583">
              <w:rPr>
                <w:rFonts w:ascii="Times New Roman" w:hAnsi="Times New Roman"/>
                <w:b/>
              </w:rPr>
              <w:t>vzájomnom krížovom započítavaní produktov – RWA</w:t>
            </w:r>
          </w:p>
          <w:p w:rsidR="002509B1" w:rsidRPr="00ED4583" w:rsidRDefault="002509B1" w:rsidP="007E2A41">
            <w:pPr>
              <w:pStyle w:val="BodyText1"/>
              <w:spacing w:line="240" w:lineRule="auto"/>
              <w:rPr>
                <w:rFonts w:ascii="Times New Roman" w:hAnsi="Times New Roman"/>
                <w:b/>
                <w:bCs/>
              </w:rPr>
            </w:pPr>
          </w:p>
          <w:p w:rsidR="002509B1" w:rsidRPr="004E4BE4" w:rsidRDefault="00F4754B" w:rsidP="007E2A41">
            <w:pPr>
              <w:pStyle w:val="BodyText1"/>
              <w:spacing w:line="240" w:lineRule="auto"/>
              <w:rPr>
                <w:rFonts w:ascii="Times New Roman" w:hAnsi="Times New Roman"/>
                <w:bCs/>
              </w:rPr>
            </w:pPr>
            <w:r w:rsidRPr="004E4BE4">
              <w:rPr>
                <w:rFonts w:ascii="Times New Roman" w:hAnsi="Times New Roman"/>
              </w:rPr>
              <w:t>Hodnoty rizikovo vážených expozícií voči kreditnému riziku</w:t>
            </w:r>
            <w:r w:rsidR="004E4BE4">
              <w:rPr>
                <w:rFonts w:ascii="Times New Roman" w:hAnsi="Times New Roman"/>
              </w:rPr>
              <w:t xml:space="preserve"> a </w:t>
            </w:r>
            <w:r w:rsidRPr="004E4BE4">
              <w:rPr>
                <w:rFonts w:ascii="Times New Roman" w:hAnsi="Times New Roman"/>
              </w:rPr>
              <w:t>kreditnému riziku protistrany derivátov</w:t>
            </w:r>
            <w:r w:rsidR="004E4BE4">
              <w:rPr>
                <w:rFonts w:ascii="Times New Roman" w:hAnsi="Times New Roman"/>
              </w:rPr>
              <w:t xml:space="preserve"> a </w:t>
            </w:r>
            <w:r w:rsidRPr="004E4BE4">
              <w:rPr>
                <w:rFonts w:ascii="Times New Roman" w:hAnsi="Times New Roman"/>
              </w:rPr>
              <w:t>SFT vypočítané podľa tretej časti hlavy II CRR, vrátane podsúvahových, ak podliehajú dohode</w:t>
            </w:r>
            <w:r w:rsidR="004E4BE4">
              <w:rPr>
                <w:rFonts w:ascii="Times New Roman" w:hAnsi="Times New Roman"/>
              </w:rPr>
              <w:t xml:space="preserve"> o </w:t>
            </w:r>
            <w:r w:rsidRPr="004E4BE4">
              <w:rPr>
                <w:rFonts w:ascii="Times New Roman" w:hAnsi="Times New Roman"/>
              </w:rPr>
              <w:t>vzájomnom krížovom započítavaní produktov podľa vymedzenia</w:t>
            </w:r>
            <w:r w:rsidR="004E4BE4">
              <w:rPr>
                <w:rFonts w:ascii="Times New Roman" w:hAnsi="Times New Roman"/>
              </w:rPr>
              <w:t xml:space="preserve"> v </w:t>
            </w:r>
            <w:r w:rsidRPr="004E4BE4">
              <w:rPr>
                <w:rFonts w:ascii="Times New Roman" w:hAnsi="Times New Roman"/>
              </w:rPr>
              <w:t>článku 272 ods. 25 CRR.</w:t>
            </w:r>
          </w:p>
          <w:p w:rsidR="00F4754B" w:rsidRPr="004E4BE4" w:rsidRDefault="00F4754B"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{050;010}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Deriváty nepodliehajúce dohode</w:t>
            </w:r>
            <w:r w:rsidR="004E4BE4" w:rsidRPr="00ED4583">
              <w:rPr>
                <w:rFonts w:ascii="Times New Roman" w:hAnsi="Times New Roman"/>
                <w:b/>
              </w:rPr>
              <w:t xml:space="preserve"> o </w:t>
            </w:r>
            <w:r w:rsidRPr="00ED4583">
              <w:rPr>
                <w:rFonts w:ascii="Times New Roman" w:hAnsi="Times New Roman"/>
                <w:b/>
              </w:rPr>
              <w:t>vzájomnom krížovom započítavaní produktov – hodnota expozície ukazovateľa finančnej páky</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 xml:space="preserve">Hodnota expozície ukazovateľa finančnej páky derivátov, ak </w:t>
            </w:r>
            <w:r w:rsidRPr="00040D93">
              <w:rPr>
                <w:rFonts w:ascii="Times New Roman" w:hAnsi="Times New Roman"/>
                <w:b/>
                <w:u w:val="single"/>
              </w:rPr>
              <w:t>nepodliehajú</w:t>
            </w:r>
            <w:r w:rsidRPr="004E4BE4">
              <w:rPr>
                <w:rFonts w:ascii="Times New Roman" w:hAnsi="Times New Roman"/>
              </w:rPr>
              <w:t xml:space="preserve"> dohode</w:t>
            </w:r>
            <w:r w:rsidR="004E4BE4">
              <w:rPr>
                <w:rFonts w:ascii="Times New Roman" w:hAnsi="Times New Roman"/>
              </w:rPr>
              <w:t xml:space="preserve"> o </w:t>
            </w:r>
            <w:r w:rsidRPr="004E4BE4">
              <w:rPr>
                <w:rFonts w:ascii="Times New Roman" w:hAnsi="Times New Roman"/>
              </w:rPr>
              <w:t>vzájomnom krížovom započítavaní produktov podľa vymedzenia</w:t>
            </w:r>
            <w:r w:rsidR="004E4BE4">
              <w:rPr>
                <w:rFonts w:ascii="Times New Roman" w:hAnsi="Times New Roman"/>
              </w:rPr>
              <w:t xml:space="preserve"> v </w:t>
            </w:r>
            <w:r w:rsidRPr="004E4BE4">
              <w:rPr>
                <w:rFonts w:ascii="Times New Roman" w:hAnsi="Times New Roman"/>
              </w:rPr>
              <w:t>článku 272 ods. 25 CRR.</w:t>
            </w:r>
          </w:p>
          <w:p w:rsidR="002509B1" w:rsidRPr="00ED4583" w:rsidRDefault="002509B1" w:rsidP="007E2A41">
            <w:pPr>
              <w:pStyle w:val="BodyText1"/>
              <w:spacing w:line="240" w:lineRule="auto"/>
              <w:rPr>
                <w:rFonts w:ascii="Times New Roman" w:hAnsi="Times New Roman"/>
                <w:b/>
                <w:bCs/>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{050;020}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Deriváty nepodliehajúce dohode</w:t>
            </w:r>
            <w:r w:rsidR="004E4BE4" w:rsidRPr="00ED4583">
              <w:rPr>
                <w:rFonts w:ascii="Times New Roman" w:hAnsi="Times New Roman"/>
                <w:b/>
              </w:rPr>
              <w:t xml:space="preserve"> o </w:t>
            </w:r>
            <w:r w:rsidRPr="00ED4583">
              <w:rPr>
                <w:rFonts w:ascii="Times New Roman" w:hAnsi="Times New Roman"/>
                <w:b/>
              </w:rPr>
              <w:t>vzájomnom krížovom započítavaní produktov – RWA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Hodnoty rizikovo vážených expozícií voči kreditnému riziku</w:t>
            </w:r>
            <w:r w:rsidR="004E4BE4">
              <w:rPr>
                <w:rFonts w:ascii="Times New Roman" w:hAnsi="Times New Roman"/>
              </w:rPr>
              <w:t xml:space="preserve"> a </w:t>
            </w:r>
            <w:r w:rsidRPr="004E4BE4">
              <w:rPr>
                <w:rFonts w:ascii="Times New Roman" w:hAnsi="Times New Roman"/>
              </w:rPr>
              <w:t>kreditnému riziku protistrany derivátov vypočítané podľa tretej časti hlavy II CRR, vrátane podsúvahových, ak nepodliehajú dohode</w:t>
            </w:r>
            <w:r w:rsidR="004E4BE4">
              <w:rPr>
                <w:rFonts w:ascii="Times New Roman" w:hAnsi="Times New Roman"/>
              </w:rPr>
              <w:t xml:space="preserve"> o </w:t>
            </w:r>
            <w:r w:rsidRPr="004E4BE4">
              <w:rPr>
                <w:rFonts w:ascii="Times New Roman" w:hAnsi="Times New Roman"/>
              </w:rPr>
              <w:t>vzájomnom krížovom započítavaní produktov podľa vymedzenia</w:t>
            </w:r>
            <w:r w:rsidR="004E4BE4">
              <w:rPr>
                <w:rFonts w:ascii="Times New Roman" w:hAnsi="Times New Roman"/>
              </w:rPr>
              <w:t xml:space="preserve"> v </w:t>
            </w:r>
            <w:r w:rsidRPr="004E4BE4">
              <w:rPr>
                <w:rFonts w:ascii="Times New Roman" w:hAnsi="Times New Roman"/>
              </w:rPr>
              <w:t>článku 272 ods. 25 CRR</w:t>
            </w:r>
            <w:r w:rsidR="004E4BE4" w:rsidRPr="004E4BE4">
              <w:rPr>
                <w:rFonts w:ascii="Times New Roman" w:hAnsi="Times New Roman"/>
              </w:rPr>
              <w:t>.</w:t>
            </w:r>
          </w:p>
          <w:p w:rsidR="002509B1" w:rsidRPr="00ED4583" w:rsidRDefault="002509B1" w:rsidP="007E2A41">
            <w:pPr>
              <w:pStyle w:val="BodyText1"/>
              <w:spacing w:line="240" w:lineRule="auto"/>
              <w:rPr>
                <w:rFonts w:ascii="Times New Roman" w:hAnsi="Times New Roman"/>
                <w:b/>
                <w:bCs/>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{060;010}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SFT nepodliehajúce dohode</w:t>
            </w:r>
            <w:r w:rsidR="004E4BE4" w:rsidRPr="00ED4583">
              <w:rPr>
                <w:rFonts w:ascii="Times New Roman" w:hAnsi="Times New Roman"/>
                <w:b/>
              </w:rPr>
              <w:t xml:space="preserve"> o </w:t>
            </w:r>
            <w:r w:rsidRPr="00ED4583">
              <w:rPr>
                <w:rFonts w:ascii="Times New Roman" w:hAnsi="Times New Roman"/>
                <w:b/>
              </w:rPr>
              <w:t>vzájomnom krížovom započítavaní produktov – hodnota expozície ukazovateľa finančnej páky</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 xml:space="preserve">Hodnota expozície ukazovateľa finančnej páky expozícií SFT, ak </w:t>
            </w:r>
            <w:r w:rsidRPr="00040D93">
              <w:rPr>
                <w:rFonts w:ascii="Times New Roman" w:hAnsi="Times New Roman"/>
                <w:b/>
                <w:u w:val="single"/>
              </w:rPr>
              <w:t>nepodliehajú</w:t>
            </w:r>
            <w:r w:rsidRPr="004E4BE4">
              <w:rPr>
                <w:rFonts w:ascii="Times New Roman" w:hAnsi="Times New Roman"/>
              </w:rPr>
              <w:t xml:space="preserve"> dohode</w:t>
            </w:r>
            <w:r w:rsidR="004E4BE4">
              <w:rPr>
                <w:rFonts w:ascii="Times New Roman" w:hAnsi="Times New Roman"/>
              </w:rPr>
              <w:t xml:space="preserve"> o </w:t>
            </w:r>
            <w:r w:rsidRPr="004E4BE4">
              <w:rPr>
                <w:rFonts w:ascii="Times New Roman" w:hAnsi="Times New Roman"/>
              </w:rPr>
              <w:t>vzájomnom krížovom započítavaní produktov podľa vymedzenia</w:t>
            </w:r>
            <w:r w:rsidR="004E4BE4">
              <w:rPr>
                <w:rFonts w:ascii="Times New Roman" w:hAnsi="Times New Roman"/>
              </w:rPr>
              <w:t xml:space="preserve"> v </w:t>
            </w:r>
            <w:r w:rsidRPr="004E4BE4">
              <w:rPr>
                <w:rFonts w:ascii="Times New Roman" w:hAnsi="Times New Roman"/>
              </w:rPr>
              <w:t>článku 272 ods. 25 CRR.</w:t>
            </w:r>
          </w:p>
          <w:p w:rsidR="002509B1" w:rsidRPr="00ED4583" w:rsidRDefault="002509B1" w:rsidP="007E2A41">
            <w:pPr>
              <w:pStyle w:val="BodyText1"/>
              <w:spacing w:line="240" w:lineRule="auto"/>
              <w:rPr>
                <w:rFonts w:ascii="Times New Roman" w:hAnsi="Times New Roman"/>
                <w:b/>
                <w:bCs/>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{060;020}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SFT nepodliehajúce dohode</w:t>
            </w:r>
            <w:r w:rsidR="004E4BE4" w:rsidRPr="00ED4583">
              <w:rPr>
                <w:rFonts w:ascii="Times New Roman" w:hAnsi="Times New Roman"/>
                <w:b/>
              </w:rPr>
              <w:t xml:space="preserve"> o </w:t>
            </w:r>
            <w:r w:rsidRPr="00ED4583">
              <w:rPr>
                <w:rFonts w:ascii="Times New Roman" w:hAnsi="Times New Roman"/>
                <w:b/>
              </w:rPr>
              <w:t>vzájomnom krížovom započítavaní produktov – RWA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Hodnoty rizikovo vážených expozícií voči kreditnému riziku</w:t>
            </w:r>
            <w:r w:rsidR="004E4BE4">
              <w:rPr>
                <w:rFonts w:ascii="Times New Roman" w:hAnsi="Times New Roman"/>
              </w:rPr>
              <w:t xml:space="preserve"> a </w:t>
            </w:r>
            <w:r w:rsidRPr="004E4BE4">
              <w:rPr>
                <w:rFonts w:ascii="Times New Roman" w:hAnsi="Times New Roman"/>
              </w:rPr>
              <w:t xml:space="preserve">kreditnému riziku protistrany SFT vypočítané podľa tretej časti hlavy II CRR, vrátane podsúvahových, ak </w:t>
            </w:r>
            <w:r w:rsidRPr="00040D93">
              <w:rPr>
                <w:rFonts w:ascii="Times New Roman" w:hAnsi="Times New Roman"/>
                <w:b/>
                <w:u w:val="single"/>
              </w:rPr>
              <w:t>nepodliehajú</w:t>
            </w:r>
            <w:r w:rsidRPr="004E4BE4">
              <w:rPr>
                <w:rFonts w:ascii="Times New Roman" w:hAnsi="Times New Roman"/>
              </w:rPr>
              <w:t xml:space="preserve"> dohode</w:t>
            </w:r>
            <w:r w:rsidR="004E4BE4">
              <w:rPr>
                <w:rFonts w:ascii="Times New Roman" w:hAnsi="Times New Roman"/>
              </w:rPr>
              <w:t xml:space="preserve"> o </w:t>
            </w:r>
            <w:r w:rsidRPr="004E4BE4">
              <w:rPr>
                <w:rFonts w:ascii="Times New Roman" w:hAnsi="Times New Roman"/>
              </w:rPr>
              <w:t>vzájomnom krížovom započítavaní produktov podľa vymedzenia</w:t>
            </w:r>
            <w:r w:rsidR="004E4BE4">
              <w:rPr>
                <w:rFonts w:ascii="Times New Roman" w:hAnsi="Times New Roman"/>
              </w:rPr>
              <w:t xml:space="preserve"> v </w:t>
            </w:r>
            <w:r w:rsidRPr="004E4BE4">
              <w:rPr>
                <w:rFonts w:ascii="Times New Roman" w:hAnsi="Times New Roman"/>
              </w:rPr>
              <w:t>článku 272 ods. 25 CRR</w:t>
            </w:r>
            <w:r w:rsidR="004E4BE4" w:rsidRPr="004E4BE4">
              <w:rPr>
                <w:rFonts w:ascii="Times New Roman" w:hAnsi="Times New Roman"/>
              </w:rPr>
              <w:t>.</w:t>
            </w:r>
          </w:p>
          <w:p w:rsidR="002509B1" w:rsidRPr="00ED4583" w:rsidRDefault="002509B1" w:rsidP="007E2A41">
            <w:pPr>
              <w:pStyle w:val="BodyText1"/>
              <w:spacing w:line="240" w:lineRule="auto"/>
              <w:rPr>
                <w:rFonts w:ascii="Times New Roman" w:hAnsi="Times New Roman"/>
                <w:b/>
                <w:bCs/>
              </w:rPr>
            </w:pPr>
          </w:p>
        </w:tc>
      </w:tr>
      <w:tr w:rsidR="00465521" w:rsidRPr="004E4BE4" w:rsidTr="0053335C">
        <w:trPr>
          <w:trHeight w:val="71"/>
        </w:trPr>
        <w:tc>
          <w:tcPr>
            <w:tcW w:w="1111" w:type="dxa"/>
            <w:shd w:val="clear" w:color="auto" w:fill="FFFFFF"/>
          </w:tcPr>
          <w:p w:rsidR="00465521" w:rsidRPr="004E4BE4" w:rsidRDefault="00465521" w:rsidP="00F70A83">
            <w:pPr>
              <w:pStyle w:val="BodyText1"/>
              <w:rPr>
                <w:rFonts w:ascii="Times New Roman" w:hAnsi="Times New Roman"/>
                <w:bCs/>
              </w:rPr>
            </w:pPr>
            <w:r w:rsidRPr="004E4BE4">
              <w:rPr>
                <w:rFonts w:ascii="Times New Roman" w:hAnsi="Times New Roman"/>
              </w:rPr>
              <w:t>{065;010}</w:t>
            </w:r>
          </w:p>
        </w:tc>
        <w:tc>
          <w:tcPr>
            <w:tcW w:w="8133" w:type="dxa"/>
            <w:shd w:val="clear" w:color="auto" w:fill="FFFFFF"/>
          </w:tcPr>
          <w:p w:rsidR="00465521" w:rsidRPr="00ED4583" w:rsidRDefault="004968DF" w:rsidP="007E2A41">
            <w:pPr>
              <w:pStyle w:val="BodyText1"/>
              <w:spacing w:line="240" w:lineRule="auto"/>
              <w:rPr>
                <w:rFonts w:ascii="Times New Roman" w:hAnsi="Times New Roman"/>
                <w:b/>
                <w:bCs/>
              </w:rPr>
            </w:pPr>
            <w:r w:rsidRPr="00ED4583">
              <w:rPr>
                <w:rFonts w:ascii="Times New Roman" w:hAnsi="Times New Roman"/>
                <w:b/>
              </w:rPr>
              <w:t>Hodnoty expozícií vyplývajúce</w:t>
            </w:r>
            <w:r w:rsidR="004E4BE4" w:rsidRPr="00ED4583">
              <w:rPr>
                <w:rFonts w:ascii="Times New Roman" w:hAnsi="Times New Roman"/>
                <w:b/>
              </w:rPr>
              <w:t xml:space="preserve"> z </w:t>
            </w:r>
            <w:r w:rsidRPr="00ED4583">
              <w:rPr>
                <w:rFonts w:ascii="Times New Roman" w:hAnsi="Times New Roman"/>
                <w:b/>
              </w:rPr>
              <w:t>dodatočného zaobchádzania pre kreditné deriváty – hodnota expozície ukazovateľa finančnej páky</w:t>
            </w:r>
          </w:p>
          <w:p w:rsidR="004968DF" w:rsidRPr="00ED4583" w:rsidRDefault="004968DF" w:rsidP="007E2A41">
            <w:pPr>
              <w:pStyle w:val="BodyText1"/>
              <w:spacing w:line="240" w:lineRule="auto"/>
              <w:rPr>
                <w:rFonts w:ascii="Times New Roman" w:hAnsi="Times New Roman"/>
                <w:b/>
                <w:bCs/>
              </w:rPr>
            </w:pPr>
          </w:p>
          <w:p w:rsidR="004E4BE4" w:rsidRPr="004E4BE4" w:rsidRDefault="000D3973" w:rsidP="00DB61A5">
            <w:pPr>
              <w:pStyle w:val="BodyText1"/>
              <w:spacing w:line="240" w:lineRule="auto"/>
              <w:rPr>
                <w:rFonts w:ascii="Times New Roman" w:hAnsi="Times New Roman"/>
              </w:rPr>
            </w:pPr>
            <w:r w:rsidRPr="004E4BE4">
              <w:rPr>
                <w:rFonts w:ascii="Times New Roman" w:hAnsi="Times New Roman"/>
              </w:rPr>
              <w:t>Táto bunka sa rovná rozdielu medzi {LRCalc;130;010}</w:t>
            </w:r>
            <w:r w:rsidR="004E4BE4">
              <w:rPr>
                <w:rFonts w:ascii="Times New Roman" w:hAnsi="Times New Roman"/>
              </w:rPr>
              <w:t xml:space="preserve"> a </w:t>
            </w:r>
            <w:r w:rsidRPr="004E4BE4">
              <w:rPr>
                <w:rFonts w:ascii="Times New Roman" w:hAnsi="Times New Roman"/>
              </w:rPr>
              <w:t>{LRCalc;140;010} bez príslušných vnútroskupinových expozícií (na jednotlivom základe) vyňatých</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429 ods. 7 CRR</w:t>
            </w:r>
            <w:r w:rsidR="004E4BE4" w:rsidRPr="004E4BE4">
              <w:rPr>
                <w:rFonts w:ascii="Times New Roman" w:hAnsi="Times New Roman"/>
              </w:rPr>
              <w:t>.</w:t>
            </w:r>
          </w:p>
          <w:p w:rsidR="00EC2C14" w:rsidRPr="00ED4583" w:rsidRDefault="00EC2C14" w:rsidP="00DB61A5">
            <w:pPr>
              <w:pStyle w:val="BodyText1"/>
              <w:spacing w:line="240" w:lineRule="auto"/>
              <w:rPr>
                <w:rFonts w:ascii="Times New Roman" w:hAnsi="Times New Roman"/>
                <w:b/>
                <w:bCs/>
              </w:rPr>
            </w:pPr>
          </w:p>
        </w:tc>
      </w:tr>
      <w:tr w:rsidR="00F4754B" w:rsidRPr="004E4BE4" w:rsidTr="0053335C">
        <w:trPr>
          <w:trHeight w:val="71"/>
        </w:trPr>
        <w:tc>
          <w:tcPr>
            <w:tcW w:w="1111" w:type="dxa"/>
            <w:shd w:val="clear" w:color="auto" w:fill="FFFFFF"/>
          </w:tcPr>
          <w:p w:rsidR="00F4754B" w:rsidRPr="004E4BE4" w:rsidRDefault="00F4754B" w:rsidP="00F70A83">
            <w:pPr>
              <w:pStyle w:val="BodyText1"/>
              <w:rPr>
                <w:rFonts w:ascii="Times New Roman" w:hAnsi="Times New Roman"/>
              </w:rPr>
            </w:pPr>
            <w:r w:rsidRPr="004E4BE4">
              <w:rPr>
                <w:rFonts w:ascii="Times New Roman" w:hAnsi="Times New Roman"/>
              </w:rPr>
              <w:t>{070;010}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Iné aktíva patriace do obchodnej knihy – hodnota expozície ukazovateľa finančnej páky</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položiek vykázaných</w:t>
            </w:r>
            <w:r w:rsidR="004E4BE4">
              <w:rPr>
                <w:rFonts w:ascii="Times New Roman" w:hAnsi="Times New Roman"/>
              </w:rPr>
              <w:t xml:space="preserve"> v </w:t>
            </w:r>
            <w:r w:rsidRPr="004E4BE4">
              <w:rPr>
                <w:rFonts w:ascii="Times New Roman" w:hAnsi="Times New Roman"/>
              </w:rPr>
              <w:t>{LRCalc;190;010} bez položiek neobchodnej knihy.</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465521">
            <w:pPr>
              <w:pStyle w:val="BodyText1"/>
              <w:rPr>
                <w:rFonts w:ascii="Times New Roman" w:hAnsi="Times New Roman"/>
                <w:bCs/>
              </w:rPr>
            </w:pPr>
            <w:r w:rsidRPr="004E4BE4">
              <w:rPr>
                <w:rFonts w:ascii="Times New Roman" w:hAnsi="Times New Roman"/>
              </w:rPr>
              <w:t>{070;020}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Iné aktíva patriace do obchodnej knihy – RWA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Požiadavky na vlastné zdroje vynásobené 12,5</w:t>
            </w:r>
            <w:r w:rsidR="004E4BE4">
              <w:rPr>
                <w:rFonts w:ascii="Times New Roman" w:hAnsi="Times New Roman"/>
              </w:rPr>
              <w:t xml:space="preserve"> s </w:t>
            </w:r>
            <w:r w:rsidRPr="004E4BE4">
              <w:rPr>
                <w:rFonts w:ascii="Times New Roman" w:hAnsi="Times New Roman"/>
              </w:rPr>
              <w:t>ohľadom na položky podľa tretej časti hlavy IV CRR.</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{080;010}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Kryté dlhopisy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 forme krytých dlhopisov podľa vymedzenia</w:t>
            </w:r>
            <w:r w:rsidR="004E4BE4">
              <w:rPr>
                <w:rFonts w:ascii="Times New Roman" w:hAnsi="Times New Roman"/>
              </w:rPr>
              <w:t xml:space="preserve"> v </w:t>
            </w:r>
            <w:r w:rsidRPr="004E4BE4">
              <w:rPr>
                <w:rFonts w:ascii="Times New Roman" w:hAnsi="Times New Roman"/>
              </w:rPr>
              <w:t>článku 129 CRR</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086A8A" w:rsidRPr="004E4BE4" w:rsidRDefault="00086A8A"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{080;020}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Kryté dlhopisy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 forme krytých dlhopisov podľa vymedzenia</w:t>
            </w:r>
            <w:r w:rsidR="004E4BE4">
              <w:rPr>
                <w:rFonts w:ascii="Times New Roman" w:hAnsi="Times New Roman"/>
              </w:rPr>
              <w:t xml:space="preserve"> v </w:t>
            </w:r>
            <w:r w:rsidRPr="004E4BE4">
              <w:rPr>
                <w:rFonts w:ascii="Times New Roman" w:hAnsi="Times New Roman"/>
              </w:rPr>
              <w:t>článku 161 ods. 1 písm. d)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{080;030}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Kryté dlhopisy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 forme krytých dlhopisov podľa článku 129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2509B1" w:rsidRPr="00040D93" w:rsidRDefault="00086A8A" w:rsidP="007E2A41">
            <w:pPr>
              <w:pStyle w:val="BodyText1"/>
              <w:spacing w:line="240" w:lineRule="auto"/>
              <w:rPr>
                <w:rFonts w:ascii="Times New Roman" w:hAnsi="Times New Roman"/>
                <w:b/>
                <w:bCs/>
                <w:u w:val="single"/>
              </w:rPr>
            </w:pPr>
            <w:r w:rsidRPr="004E4BE4">
              <w:rPr>
                <w:rFonts w:ascii="Times New Roman" w:hAnsi="Times New Roman"/>
              </w:rPr>
              <w:t>Inštitúcie vykazujú hodnoty po odpočítaní zlyhaných expozícií.</w:t>
            </w:r>
          </w:p>
          <w:p w:rsidR="00086A8A" w:rsidRPr="00040D93" w:rsidRDefault="00086A8A"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{080;040}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Kryté dlhopisy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 forme krytých dlhopisov podľa článku 161 ods. 1 písm. d) CRR</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4E4BE4" w:rsidRDefault="009C4E79"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{090,010}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{100,010} až {130,010}.</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{090;020}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{100 020} až {130 020}.</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{090;030}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{100 030} až {130 030}.</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{090;040}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{100 040} až {130 040}.</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{100;010}</w:t>
            </w:r>
          </w:p>
        </w:tc>
        <w:tc>
          <w:tcPr>
            <w:tcW w:w="8133" w:type="dxa"/>
            <w:shd w:val="clear" w:color="auto" w:fill="FFFFFF"/>
          </w:tcPr>
          <w:p w:rsidR="00F4754B" w:rsidRPr="004E4BE4" w:rsidRDefault="00F4754B" w:rsidP="007E2A41">
            <w:pPr>
              <w:pStyle w:val="BodyText1"/>
              <w:spacing w:line="240" w:lineRule="auto"/>
              <w:rPr>
                <w:rFonts w:ascii="Times New Roman" w:hAnsi="Times New Roman"/>
              </w:rPr>
            </w:pPr>
            <w:r w:rsidRPr="00ED4583">
              <w:rPr>
                <w:rFonts w:ascii="Times New Roman" w:hAnsi="Times New Roman"/>
                <w:b/>
              </w:rPr>
              <w:t>Ústredné vlády</w:t>
            </w:r>
            <w:r w:rsidR="004E4BE4" w:rsidRPr="00ED4583">
              <w:rPr>
                <w:rFonts w:ascii="Times New Roman" w:hAnsi="Times New Roman"/>
                <w:b/>
              </w:rPr>
              <w:t xml:space="preserve"> a </w:t>
            </w:r>
            <w:r w:rsidRPr="00ED4583">
              <w:rPr>
                <w:rFonts w:ascii="Times New Roman" w:hAnsi="Times New Roman"/>
                <w:b/>
              </w:rPr>
              <w:t>centrálne banky</w:t>
            </w:r>
            <w:r w:rsidRPr="004E4BE4">
              <w:rPr>
                <w:rFonts w:ascii="Times New Roman" w:hAnsi="Times New Roman"/>
              </w:rPr>
              <w:t xml:space="preserve"> </w:t>
            </w:r>
            <w:r w:rsidRPr="00ED4583">
              <w:rPr>
                <w:rFonts w:ascii="Times New Roman" w:hAnsi="Times New Roman"/>
                <w:b/>
              </w:rPr>
              <w:t>– hodnota expozície ukazovateľa finančnej páky – expozície podľa SA</w:t>
            </w:r>
          </w:p>
          <w:p w:rsidR="002509B1" w:rsidRPr="004E4BE4" w:rsidRDefault="002509B1" w:rsidP="007E2A41">
            <w:pPr>
              <w:pStyle w:val="BodyText1"/>
              <w:spacing w:line="240" w:lineRule="auto"/>
              <w:rPr>
                <w:rFonts w:ascii="Times New Roman" w:hAnsi="Times New Roman"/>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ústredným vládam alebo centrálnym bankám podľa vymedzenia</w:t>
            </w:r>
            <w:r w:rsidR="004E4BE4">
              <w:rPr>
                <w:rFonts w:ascii="Times New Roman" w:hAnsi="Times New Roman"/>
              </w:rPr>
              <w:t xml:space="preserve"> v </w:t>
            </w:r>
            <w:r w:rsidRPr="004E4BE4">
              <w:rPr>
                <w:rFonts w:ascii="Times New Roman" w:hAnsi="Times New Roman"/>
              </w:rPr>
              <w:t>článku 114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{100;020}</w:t>
            </w:r>
          </w:p>
        </w:tc>
        <w:tc>
          <w:tcPr>
            <w:tcW w:w="8133" w:type="dxa"/>
            <w:shd w:val="clear" w:color="auto" w:fill="FFFFFF"/>
          </w:tcPr>
          <w:p w:rsidR="00F4754B" w:rsidRPr="004E4BE4" w:rsidRDefault="00F4754B" w:rsidP="007E2A41">
            <w:pPr>
              <w:pStyle w:val="BodyText1"/>
              <w:spacing w:line="240" w:lineRule="auto"/>
              <w:rPr>
                <w:rFonts w:ascii="Times New Roman" w:hAnsi="Times New Roman"/>
              </w:rPr>
            </w:pPr>
            <w:r w:rsidRPr="00ED4583">
              <w:rPr>
                <w:rFonts w:ascii="Times New Roman" w:hAnsi="Times New Roman"/>
                <w:b/>
              </w:rPr>
              <w:t>Ústredné vlády</w:t>
            </w:r>
            <w:r w:rsidR="004E4BE4" w:rsidRPr="00ED4583">
              <w:rPr>
                <w:rFonts w:ascii="Times New Roman" w:hAnsi="Times New Roman"/>
                <w:b/>
              </w:rPr>
              <w:t xml:space="preserve"> a </w:t>
            </w:r>
            <w:r w:rsidRPr="00ED4583">
              <w:rPr>
                <w:rFonts w:ascii="Times New Roman" w:hAnsi="Times New Roman"/>
                <w:b/>
              </w:rPr>
              <w:t>centrálne banky</w:t>
            </w:r>
            <w:r w:rsidRPr="004E4BE4">
              <w:rPr>
                <w:rFonts w:ascii="Times New Roman" w:hAnsi="Times New Roman"/>
              </w:rPr>
              <w:t xml:space="preserve"> </w:t>
            </w:r>
            <w:r w:rsidRPr="00ED4583">
              <w:rPr>
                <w:rFonts w:ascii="Times New Roman" w:hAnsi="Times New Roman"/>
                <w:b/>
              </w:rPr>
              <w:t>– hodnota expozície ukazovateľa finančnej páky – expozície podľa IRB</w:t>
            </w:r>
          </w:p>
          <w:p w:rsidR="002509B1" w:rsidRPr="004E4BE4" w:rsidRDefault="002509B1" w:rsidP="007E2A41">
            <w:pPr>
              <w:pStyle w:val="BodyText1"/>
              <w:spacing w:line="240" w:lineRule="auto"/>
              <w:rPr>
                <w:rFonts w:ascii="Times New Roman" w:hAnsi="Times New Roman"/>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ústredným vládam alebo centrálnym bankám podľa vymedzenia</w:t>
            </w:r>
            <w:r w:rsidR="004E4BE4">
              <w:rPr>
                <w:rFonts w:ascii="Times New Roman" w:hAnsi="Times New Roman"/>
              </w:rPr>
              <w:t xml:space="preserve"> v </w:t>
            </w:r>
            <w:r w:rsidRPr="004E4BE4">
              <w:rPr>
                <w:rFonts w:ascii="Times New Roman" w:hAnsi="Times New Roman"/>
              </w:rPr>
              <w:t>článku 147 ods. 2 písm. a)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{100;030}</w:t>
            </w:r>
          </w:p>
        </w:tc>
        <w:tc>
          <w:tcPr>
            <w:tcW w:w="8133" w:type="dxa"/>
            <w:shd w:val="clear" w:color="auto" w:fill="FFFFFF"/>
          </w:tcPr>
          <w:p w:rsidR="00F4754B" w:rsidRPr="004E4BE4" w:rsidRDefault="00F4754B" w:rsidP="007E2A41">
            <w:pPr>
              <w:pStyle w:val="BodyText1"/>
              <w:spacing w:line="240" w:lineRule="auto"/>
              <w:rPr>
                <w:rFonts w:ascii="Times New Roman" w:hAnsi="Times New Roman"/>
              </w:rPr>
            </w:pPr>
            <w:r w:rsidRPr="00ED4583">
              <w:rPr>
                <w:rFonts w:ascii="Times New Roman" w:hAnsi="Times New Roman"/>
                <w:b/>
              </w:rPr>
              <w:t>Ústredné vlády</w:t>
            </w:r>
            <w:r w:rsidR="004E4BE4" w:rsidRPr="00ED4583">
              <w:rPr>
                <w:rFonts w:ascii="Times New Roman" w:hAnsi="Times New Roman"/>
                <w:b/>
              </w:rPr>
              <w:t xml:space="preserve"> a </w:t>
            </w:r>
            <w:r w:rsidRPr="00ED4583">
              <w:rPr>
                <w:rFonts w:ascii="Times New Roman" w:hAnsi="Times New Roman"/>
                <w:b/>
              </w:rPr>
              <w:t>centrálne banky</w:t>
            </w:r>
            <w:r w:rsidRPr="004E4BE4">
              <w:rPr>
                <w:rFonts w:ascii="Times New Roman" w:hAnsi="Times New Roman"/>
              </w:rPr>
              <w:t xml:space="preserve"> </w:t>
            </w:r>
            <w:r w:rsidRPr="00ED4583">
              <w:rPr>
                <w:rFonts w:ascii="Times New Roman" w:hAnsi="Times New Roman"/>
                <w:b/>
              </w:rPr>
              <w:t>– RWA – expozície podľa SA</w:t>
            </w:r>
          </w:p>
          <w:p w:rsidR="002509B1" w:rsidRPr="004E4BE4" w:rsidRDefault="002509B1" w:rsidP="007E2A41">
            <w:pPr>
              <w:pStyle w:val="BodyText1"/>
              <w:spacing w:line="240" w:lineRule="auto"/>
              <w:rPr>
                <w:rFonts w:ascii="Times New Roman" w:hAnsi="Times New Roman"/>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ústredným vládam alebo centrálnym bankám podľa vymedzenia</w:t>
            </w:r>
            <w:r w:rsidR="004E4BE4">
              <w:rPr>
                <w:rFonts w:ascii="Times New Roman" w:hAnsi="Times New Roman"/>
              </w:rPr>
              <w:t xml:space="preserve"> v </w:t>
            </w:r>
            <w:r w:rsidRPr="004E4BE4">
              <w:rPr>
                <w:rFonts w:ascii="Times New Roman" w:hAnsi="Times New Roman"/>
              </w:rPr>
              <w:t>článku 114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{100;040}</w:t>
            </w:r>
          </w:p>
        </w:tc>
        <w:tc>
          <w:tcPr>
            <w:tcW w:w="8133" w:type="dxa"/>
            <w:shd w:val="clear" w:color="auto" w:fill="FFFFFF"/>
          </w:tcPr>
          <w:p w:rsidR="00F4754B" w:rsidRPr="004E4BE4" w:rsidRDefault="00F4754B" w:rsidP="007E2A41">
            <w:pPr>
              <w:pStyle w:val="BodyText1"/>
              <w:spacing w:line="240" w:lineRule="auto"/>
              <w:rPr>
                <w:rFonts w:ascii="Times New Roman" w:hAnsi="Times New Roman"/>
              </w:rPr>
            </w:pPr>
            <w:r w:rsidRPr="00ED4583">
              <w:rPr>
                <w:rFonts w:ascii="Times New Roman" w:hAnsi="Times New Roman"/>
                <w:b/>
              </w:rPr>
              <w:t>Ústredné vlády</w:t>
            </w:r>
            <w:r w:rsidR="004E4BE4" w:rsidRPr="00ED4583">
              <w:rPr>
                <w:rFonts w:ascii="Times New Roman" w:hAnsi="Times New Roman"/>
                <w:b/>
              </w:rPr>
              <w:t xml:space="preserve"> a </w:t>
            </w:r>
            <w:r w:rsidRPr="00ED4583">
              <w:rPr>
                <w:rFonts w:ascii="Times New Roman" w:hAnsi="Times New Roman"/>
                <w:b/>
              </w:rPr>
              <w:t>centrálne banky</w:t>
            </w:r>
            <w:r w:rsidRPr="004E4BE4">
              <w:rPr>
                <w:rFonts w:ascii="Times New Roman" w:hAnsi="Times New Roman"/>
              </w:rPr>
              <w:t xml:space="preserve"> </w:t>
            </w:r>
            <w:r w:rsidRPr="00ED4583">
              <w:rPr>
                <w:rFonts w:ascii="Times New Roman" w:hAnsi="Times New Roman"/>
                <w:b/>
              </w:rPr>
              <w:t>– RWA – expozície podľa IRB</w:t>
            </w:r>
          </w:p>
          <w:p w:rsidR="002509B1" w:rsidRPr="004E4BE4" w:rsidRDefault="002509B1" w:rsidP="007E2A41">
            <w:pPr>
              <w:pStyle w:val="BodyText1"/>
              <w:spacing w:line="240" w:lineRule="auto"/>
              <w:rPr>
                <w:rFonts w:ascii="Times New Roman" w:hAnsi="Times New Roman"/>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ústredným vládam alebo centrálnym bankám podľa vymedzenia</w:t>
            </w:r>
            <w:r w:rsidR="004E4BE4">
              <w:rPr>
                <w:rFonts w:ascii="Times New Roman" w:hAnsi="Times New Roman"/>
              </w:rPr>
              <w:t xml:space="preserve"> v </w:t>
            </w:r>
            <w:r w:rsidRPr="004E4BE4">
              <w:rPr>
                <w:rFonts w:ascii="Times New Roman" w:hAnsi="Times New Roman"/>
              </w:rPr>
              <w:t>článku 147 ods. 2 písm. a)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{110;010}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regionálnym vládam</w:t>
            </w:r>
            <w:r w:rsidR="004E4BE4">
              <w:rPr>
                <w:rFonts w:ascii="Times New Roman" w:hAnsi="Times New Roman"/>
              </w:rPr>
              <w:t xml:space="preserve"> a </w:t>
            </w:r>
            <w:r w:rsidRPr="004E4BE4">
              <w:rPr>
                <w:rFonts w:ascii="Times New Roman" w:hAnsi="Times New Roman"/>
              </w:rPr>
              <w:t>miestnym orgánom,</w:t>
            </w:r>
            <w:r w:rsidR="004E4BE4">
              <w:rPr>
                <w:rFonts w:ascii="Times New Roman" w:hAnsi="Times New Roman"/>
              </w:rPr>
              <w:t xml:space="preserve"> s </w:t>
            </w:r>
            <w:r w:rsidRPr="004E4BE4">
              <w:rPr>
                <w:rFonts w:ascii="Times New Roman" w:hAnsi="Times New Roman"/>
              </w:rPr>
              <w:t>ktorými sa zaobchádza ako so štátmi, na ktoré sa vzťahuje článok 115 ods. 2</w:t>
            </w:r>
            <w:r w:rsidR="004E4BE4">
              <w:rPr>
                <w:rFonts w:ascii="Times New Roman" w:hAnsi="Times New Roman"/>
              </w:rPr>
              <w:t xml:space="preserve"> a </w:t>
            </w:r>
            <w:r w:rsidRPr="004E4BE4">
              <w:rPr>
                <w:rFonts w:ascii="Times New Roman" w:hAnsi="Times New Roman"/>
              </w:rPr>
              <w:t>4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{110;020}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regionálnym vládam</w:t>
            </w:r>
            <w:r w:rsidR="004E4BE4">
              <w:rPr>
                <w:rFonts w:ascii="Times New Roman" w:hAnsi="Times New Roman"/>
              </w:rPr>
              <w:t xml:space="preserve"> a </w:t>
            </w:r>
            <w:r w:rsidRPr="004E4BE4">
              <w:rPr>
                <w:rFonts w:ascii="Times New Roman" w:hAnsi="Times New Roman"/>
              </w:rPr>
              <w:t>miestnym orgánom, na ktoré sa vzťahuje článok 147 ods. 3 písm. a) CRR</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p w:rsidR="009C4E79" w:rsidRPr="00040D93" w:rsidRDefault="009C4E79" w:rsidP="007E2A41">
            <w:pPr>
              <w:pStyle w:val="BodyText1"/>
              <w:spacing w:line="240" w:lineRule="auto"/>
              <w:rPr>
                <w:rFonts w:ascii="Times New Roman" w:hAnsi="Times New Roman"/>
                <w:b/>
                <w:bCs/>
                <w:u w:val="single"/>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{110;030}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ktoré sú expozíciami voči regionálnym vládam</w:t>
            </w:r>
            <w:r w:rsidR="004E4BE4">
              <w:rPr>
                <w:rFonts w:ascii="Times New Roman" w:hAnsi="Times New Roman"/>
              </w:rPr>
              <w:t xml:space="preserve"> a </w:t>
            </w:r>
            <w:r w:rsidRPr="004E4BE4">
              <w:rPr>
                <w:rFonts w:ascii="Times New Roman" w:hAnsi="Times New Roman"/>
              </w:rPr>
              <w:t>miestnym orgánom,</w:t>
            </w:r>
            <w:r w:rsidR="004E4BE4">
              <w:rPr>
                <w:rFonts w:ascii="Times New Roman" w:hAnsi="Times New Roman"/>
              </w:rPr>
              <w:t xml:space="preserve"> s </w:t>
            </w:r>
            <w:r w:rsidRPr="004E4BE4">
              <w:rPr>
                <w:rFonts w:ascii="Times New Roman" w:hAnsi="Times New Roman"/>
              </w:rPr>
              <w:t>ktorými sa zaobchádza ako so štátmi, na ktoré sa vzťahuje článok 115 ods. 2</w:t>
            </w:r>
            <w:r w:rsidR="004E4BE4">
              <w:rPr>
                <w:rFonts w:ascii="Times New Roman" w:hAnsi="Times New Roman"/>
              </w:rPr>
              <w:t xml:space="preserve"> a </w:t>
            </w:r>
            <w:r w:rsidRPr="004E4BE4">
              <w:rPr>
                <w:rFonts w:ascii="Times New Roman" w:hAnsi="Times New Roman"/>
              </w:rPr>
              <w:t>4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{110;040}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regionálnym vládam</w:t>
            </w:r>
            <w:r w:rsidR="004E4BE4">
              <w:rPr>
                <w:rFonts w:ascii="Times New Roman" w:hAnsi="Times New Roman"/>
              </w:rPr>
              <w:t xml:space="preserve"> a </w:t>
            </w:r>
            <w:r w:rsidRPr="004E4BE4">
              <w:rPr>
                <w:rFonts w:ascii="Times New Roman" w:hAnsi="Times New Roman"/>
              </w:rPr>
              <w:t>miestnym orgánom, na ktoré sa vzťahuje článok 147 ods. 3 písm. a)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{120;010}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Multilaterálne rozvojové banky</w:t>
            </w:r>
            <w:r w:rsidR="004E4BE4" w:rsidRPr="00ED4583">
              <w:rPr>
                <w:rFonts w:ascii="Times New Roman" w:hAnsi="Times New Roman"/>
                <w:b/>
              </w:rPr>
              <w:t xml:space="preserve"> a </w:t>
            </w:r>
            <w:r w:rsidRPr="00ED4583">
              <w:rPr>
                <w:rFonts w:ascii="Times New Roman" w:hAnsi="Times New Roman"/>
                <w:b/>
              </w:rPr>
              <w:t>medzinárodné organizácie,</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multilaterálnym rozvojovým bankám</w:t>
            </w:r>
            <w:r w:rsidR="004E4BE4">
              <w:rPr>
                <w:rFonts w:ascii="Times New Roman" w:hAnsi="Times New Roman"/>
              </w:rPr>
              <w:t xml:space="preserve"> a </w:t>
            </w:r>
            <w:r w:rsidRPr="004E4BE4">
              <w:rPr>
                <w:rFonts w:ascii="Times New Roman" w:hAnsi="Times New Roman"/>
              </w:rPr>
              <w:t>medzinárodným organizáciám, na ktoré sa vzťahuje článok 117 ods. 2</w:t>
            </w:r>
            <w:r w:rsidR="004E4BE4">
              <w:rPr>
                <w:rFonts w:ascii="Times New Roman" w:hAnsi="Times New Roman"/>
              </w:rPr>
              <w:t xml:space="preserve"> a </w:t>
            </w:r>
            <w:r w:rsidRPr="004E4BE4">
              <w:rPr>
                <w:rFonts w:ascii="Times New Roman" w:hAnsi="Times New Roman"/>
              </w:rPr>
              <w:t>článok 118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{120;020}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Multilaterálne rozvojové banky</w:t>
            </w:r>
            <w:r w:rsidR="004E4BE4" w:rsidRPr="00ED4583">
              <w:rPr>
                <w:rFonts w:ascii="Times New Roman" w:hAnsi="Times New Roman"/>
                <w:b/>
              </w:rPr>
              <w:t xml:space="preserve"> a </w:t>
            </w:r>
            <w:r w:rsidRPr="00ED4583">
              <w:rPr>
                <w:rFonts w:ascii="Times New Roman" w:hAnsi="Times New Roman"/>
                <w:b/>
              </w:rPr>
              <w:t>medzinárodné organizácie,</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IRB</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multilaterálnym rozvojovým bankám</w:t>
            </w:r>
            <w:r w:rsidR="004E4BE4">
              <w:rPr>
                <w:rFonts w:ascii="Times New Roman" w:hAnsi="Times New Roman"/>
              </w:rPr>
              <w:t xml:space="preserve"> a </w:t>
            </w:r>
            <w:r w:rsidRPr="004E4BE4">
              <w:rPr>
                <w:rFonts w:ascii="Times New Roman" w:hAnsi="Times New Roman"/>
              </w:rPr>
              <w:t>medzinárodným organizáciám, na ktoré sa vzťahuje článok 147 ods. 3 písm. b)</w:t>
            </w:r>
            <w:r w:rsidR="004E4BE4">
              <w:rPr>
                <w:rFonts w:ascii="Times New Roman" w:hAnsi="Times New Roman"/>
              </w:rPr>
              <w:t xml:space="preserve"> a </w:t>
            </w:r>
            <w:r w:rsidRPr="004E4BE4">
              <w:rPr>
                <w:rFonts w:ascii="Times New Roman" w:hAnsi="Times New Roman"/>
              </w:rPr>
              <w:t>c)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{120;030}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Multilaterálne rozvojové banky</w:t>
            </w:r>
            <w:r w:rsidR="004E4BE4" w:rsidRPr="00ED4583">
              <w:rPr>
                <w:rFonts w:ascii="Times New Roman" w:hAnsi="Times New Roman"/>
                <w:b/>
              </w:rPr>
              <w:t xml:space="preserve"> a </w:t>
            </w:r>
            <w:r w:rsidRPr="00ED4583">
              <w:rPr>
                <w:rFonts w:ascii="Times New Roman" w:hAnsi="Times New Roman"/>
                <w:b/>
              </w:rPr>
              <w:t>medzinárodné organizácie,</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SA</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multilaterálnym rozvojovým bankám</w:t>
            </w:r>
            <w:r w:rsidR="004E4BE4">
              <w:rPr>
                <w:rFonts w:ascii="Times New Roman" w:hAnsi="Times New Roman"/>
              </w:rPr>
              <w:t xml:space="preserve"> a </w:t>
            </w:r>
            <w:r w:rsidRPr="004E4BE4">
              <w:rPr>
                <w:rFonts w:ascii="Times New Roman" w:hAnsi="Times New Roman"/>
              </w:rPr>
              <w:t>medzinárodným organizáciám</w:t>
            </w:r>
            <w:r w:rsidR="004E4BE4">
              <w:rPr>
                <w:rFonts w:ascii="Times New Roman" w:hAnsi="Times New Roman"/>
              </w:rPr>
              <w:t xml:space="preserve"> a </w:t>
            </w:r>
            <w:r w:rsidRPr="004E4BE4">
              <w:rPr>
                <w:rFonts w:ascii="Times New Roman" w:hAnsi="Times New Roman"/>
              </w:rPr>
              <w:t>na ktoré sa vzťahuje článok 117 ods. 2</w:t>
            </w:r>
            <w:r w:rsidR="004E4BE4">
              <w:rPr>
                <w:rFonts w:ascii="Times New Roman" w:hAnsi="Times New Roman"/>
              </w:rPr>
              <w:t xml:space="preserve"> a </w:t>
            </w:r>
            <w:r w:rsidRPr="004E4BE4">
              <w:rPr>
                <w:rFonts w:ascii="Times New Roman" w:hAnsi="Times New Roman"/>
              </w:rPr>
              <w:t>článok 118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bCs/>
              </w:rPr>
            </w:pPr>
            <w:r w:rsidRPr="004E4BE4">
              <w:rPr>
                <w:rFonts w:ascii="Times New Roman" w:hAnsi="Times New Roman"/>
              </w:rPr>
              <w:t>{120;040}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Multilaterálne rozvojové banky</w:t>
            </w:r>
            <w:r w:rsidR="004E4BE4" w:rsidRPr="00ED4583">
              <w:rPr>
                <w:rFonts w:ascii="Times New Roman" w:hAnsi="Times New Roman"/>
                <w:b/>
              </w:rPr>
              <w:t xml:space="preserve"> a </w:t>
            </w:r>
            <w:r w:rsidRPr="00ED4583">
              <w:rPr>
                <w:rFonts w:ascii="Times New Roman" w:hAnsi="Times New Roman"/>
                <w:b/>
              </w:rPr>
              <w:t>medzinárodné organizácie,</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IRB</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multilaterálnym rozvojovým bankám</w:t>
            </w:r>
            <w:r w:rsidR="004E4BE4">
              <w:rPr>
                <w:rFonts w:ascii="Times New Roman" w:hAnsi="Times New Roman"/>
              </w:rPr>
              <w:t xml:space="preserve"> a </w:t>
            </w:r>
            <w:r w:rsidRPr="004E4BE4">
              <w:rPr>
                <w:rFonts w:ascii="Times New Roman" w:hAnsi="Times New Roman"/>
              </w:rPr>
              <w:t>medzinárodným organizáciám, na ktoré sa vzťahuje článok 147 ods. 3 písm. b)</w:t>
            </w:r>
            <w:r w:rsidR="004E4BE4">
              <w:rPr>
                <w:rFonts w:ascii="Times New Roman" w:hAnsi="Times New Roman"/>
              </w:rPr>
              <w:t xml:space="preserve"> a </w:t>
            </w:r>
            <w:r w:rsidRPr="004E4BE4">
              <w:rPr>
                <w:rFonts w:ascii="Times New Roman" w:hAnsi="Times New Roman"/>
              </w:rPr>
              <w:t>c)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ED4583" w:rsidRDefault="002509B1" w:rsidP="007E2A41">
            <w:pPr>
              <w:pStyle w:val="BodyText1"/>
              <w:spacing w:line="240" w:lineRule="auto"/>
              <w:rPr>
                <w:rFonts w:ascii="Times New Roman" w:hAnsi="Times New Roman"/>
                <w:b/>
                <w:bCs/>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rPr>
            </w:pPr>
            <w:r w:rsidRPr="004E4BE4">
              <w:rPr>
                <w:rFonts w:ascii="Times New Roman" w:hAnsi="Times New Roman"/>
              </w:rPr>
              <w:t>{130;010}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subjektom verejného sektora, na ktoré sa vzťahuje článok 116 ods. 4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ED4583" w:rsidRDefault="002509B1" w:rsidP="007E2A41">
            <w:pPr>
              <w:pStyle w:val="BodyText1"/>
              <w:spacing w:line="240" w:lineRule="auto"/>
              <w:rPr>
                <w:rFonts w:ascii="Times New Roman" w:hAnsi="Times New Roman"/>
                <w:b/>
                <w:bCs/>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rPr>
            </w:pPr>
            <w:r w:rsidRPr="004E4BE4">
              <w:rPr>
                <w:rFonts w:ascii="Times New Roman" w:hAnsi="Times New Roman"/>
              </w:rPr>
              <w:t>{130;020}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ktorými sa zaobchádza ako so štátmi – hodnota expozície ukazovateľa finančnej páky – expozície podľa IRB</w:t>
            </w:r>
          </w:p>
          <w:p w:rsidR="002509B1" w:rsidRPr="00ED4583" w:rsidRDefault="002509B1" w:rsidP="007E2A41">
            <w:pPr>
              <w:pStyle w:val="BodyText1"/>
              <w:spacing w:line="240" w:lineRule="auto"/>
              <w:rPr>
                <w:rFonts w:ascii="Times New Roman" w:hAnsi="Times New Roman"/>
                <w:b/>
              </w:rPr>
            </w:pPr>
          </w:p>
          <w:p w:rsidR="002509B1"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voči subjektom verejného sektora, na ktoré sa vzťahuje článok 147 ods. 3 písm. a) CRR.</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4E4BE4" w:rsidRDefault="009C4E79"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{130;030}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SA</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subjektom verejného sektora, na ktoré sa vzťahuje článok 116 ods. 4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{130;040}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ktorými sa zaobchádza ako so štátmi – RWA – expozície podľa IRB</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subjektom verejného sektora, na ktoré sa vzťahuje článok 147 ods. 3 písm. a)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{140;010}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regionálnym vládam, multilaterálnym rozvojovým bankám, medzinárodným organizáciám</w:t>
            </w:r>
            <w:r w:rsidR="004E4BE4" w:rsidRPr="00ED4583">
              <w:rPr>
                <w:rFonts w:ascii="Times New Roman" w:hAnsi="Times New Roman"/>
                <w:b/>
              </w:rPr>
              <w:t xml:space="preserve"> a </w:t>
            </w:r>
            <w:r w:rsidRPr="00ED4583">
              <w:rPr>
                <w:rFonts w:ascii="Times New Roman" w:hAnsi="Times New Roman"/>
                <w:b/>
              </w:rPr>
              <w:t>subjektom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{150 010} až {170 010}.</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{140;020}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regionálnym vládam, multilaterálnym rozvojovým bankám, medzinárodným organizáciám</w:t>
            </w:r>
            <w:r w:rsidR="004E4BE4" w:rsidRPr="00ED4583">
              <w:rPr>
                <w:rFonts w:ascii="Times New Roman" w:hAnsi="Times New Roman"/>
                <w:b/>
              </w:rPr>
              <w:t xml:space="preserve"> a </w:t>
            </w:r>
            <w:r w:rsidRPr="00ED4583">
              <w:rPr>
                <w:rFonts w:ascii="Times New Roman" w:hAnsi="Times New Roman"/>
                <w:b/>
              </w:rPr>
              <w:t>subjektom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{150 020} až {170 020}.</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{140;030}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regionálnym vládam, multilaterálnym rozvojovým bankám, medzinárodným organizáciám</w:t>
            </w:r>
            <w:r w:rsidR="004E4BE4" w:rsidRPr="00ED4583">
              <w:rPr>
                <w:rFonts w:ascii="Times New Roman" w:hAnsi="Times New Roman"/>
                <w:b/>
              </w:rPr>
              <w:t xml:space="preserve"> a </w:t>
            </w:r>
            <w:r w:rsidRPr="00ED4583">
              <w:rPr>
                <w:rFonts w:ascii="Times New Roman" w:hAnsi="Times New Roman"/>
                <w:b/>
              </w:rPr>
              <w:t>subjektom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{150 030} až {170 030}.</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{140;040}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regionálnym vládam, multilaterálnym rozvojovým bankám, medzinárodným organizáciám</w:t>
            </w:r>
            <w:r w:rsidR="004E4BE4" w:rsidRPr="00ED4583">
              <w:rPr>
                <w:rFonts w:ascii="Times New Roman" w:hAnsi="Times New Roman"/>
                <w:b/>
              </w:rPr>
              <w:t xml:space="preserve"> a </w:t>
            </w:r>
            <w:r w:rsidRPr="00ED4583">
              <w:rPr>
                <w:rFonts w:ascii="Times New Roman" w:hAnsi="Times New Roman"/>
                <w:b/>
              </w:rPr>
              <w:t>subjektom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buniek</w:t>
            </w:r>
            <w:r w:rsidR="004E4BE4">
              <w:rPr>
                <w:rFonts w:ascii="Times New Roman" w:hAnsi="Times New Roman"/>
              </w:rPr>
              <w:t xml:space="preserve"> z </w:t>
            </w:r>
            <w:r w:rsidRPr="004E4BE4">
              <w:rPr>
                <w:rFonts w:ascii="Times New Roman" w:hAnsi="Times New Roman"/>
              </w:rPr>
              <w:t>{150 040} až {170 040}.</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{150;010}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regionálnym vládam</w:t>
            </w:r>
            <w:r w:rsidR="004E4BE4">
              <w:rPr>
                <w:rFonts w:ascii="Times New Roman" w:hAnsi="Times New Roman"/>
              </w:rPr>
              <w:t xml:space="preserve"> a </w:t>
            </w:r>
            <w:r w:rsidRPr="004E4BE4">
              <w:rPr>
                <w:rFonts w:ascii="Times New Roman" w:hAnsi="Times New Roman"/>
              </w:rPr>
              <w:t>miestnym orgánom,</w:t>
            </w:r>
            <w:r w:rsidR="004E4BE4">
              <w:rPr>
                <w:rFonts w:ascii="Times New Roman" w:hAnsi="Times New Roman"/>
              </w:rPr>
              <w:t xml:space="preserve"> s </w:t>
            </w:r>
            <w:r w:rsidRPr="004E4BE4">
              <w:rPr>
                <w:rFonts w:ascii="Times New Roman" w:hAnsi="Times New Roman"/>
              </w:rPr>
              <w:t>ktorými sa nezaobchádza ako so štátmi, na ktoré sa vzťahuje článok 115 ods. 1, 3</w:t>
            </w:r>
            <w:r w:rsidR="004E4BE4">
              <w:rPr>
                <w:rFonts w:ascii="Times New Roman" w:hAnsi="Times New Roman"/>
              </w:rPr>
              <w:t xml:space="preserve"> a </w:t>
            </w:r>
            <w:r w:rsidRPr="004E4BE4">
              <w:rPr>
                <w:rFonts w:ascii="Times New Roman" w:hAnsi="Times New Roman"/>
              </w:rPr>
              <w:t>5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{150;020}</w:t>
            </w:r>
          </w:p>
        </w:tc>
        <w:tc>
          <w:tcPr>
            <w:tcW w:w="8133" w:type="dxa"/>
            <w:shd w:val="clear" w:color="auto" w:fill="FFFFFF"/>
          </w:tcPr>
          <w:p w:rsidR="002509B1" w:rsidRPr="00ED4583" w:rsidRDefault="00F4754B" w:rsidP="007E2A41">
            <w:pPr>
              <w:pStyle w:val="BodyText1"/>
              <w:spacing w:line="240" w:lineRule="auto"/>
              <w:rPr>
                <w:rFonts w:ascii="Times New Roman" w:hAnsi="Times New Roman"/>
                <w:b/>
                <w:bCs/>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IRB</w:t>
            </w:r>
          </w:p>
          <w:p w:rsidR="004E4BE4" w:rsidRPr="00ED4583" w:rsidRDefault="004E4BE4"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regionálnym vládam</w:t>
            </w:r>
            <w:r w:rsidR="004E4BE4">
              <w:rPr>
                <w:rFonts w:ascii="Times New Roman" w:hAnsi="Times New Roman"/>
              </w:rPr>
              <w:t xml:space="preserve"> a </w:t>
            </w:r>
            <w:r w:rsidRPr="004E4BE4">
              <w:rPr>
                <w:rFonts w:ascii="Times New Roman" w:hAnsi="Times New Roman"/>
              </w:rPr>
              <w:t>miestnym orgánom,</w:t>
            </w:r>
            <w:r w:rsidR="004E4BE4">
              <w:rPr>
                <w:rFonts w:ascii="Times New Roman" w:hAnsi="Times New Roman"/>
              </w:rPr>
              <w:t xml:space="preserve"> s </w:t>
            </w:r>
            <w:r w:rsidRPr="004E4BE4">
              <w:rPr>
                <w:rFonts w:ascii="Times New Roman" w:hAnsi="Times New Roman"/>
              </w:rPr>
              <w:t>ktorými sa nezaobchádza ako so štátmi, na ktoré sa vzťahuje článok 147 ods. 4 písm. a)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F4754B" w:rsidRPr="00040D93" w:rsidDel="00F559E6" w:rsidRDefault="00F4754B" w:rsidP="007E2A41">
            <w:pPr>
              <w:pStyle w:val="BodyText1"/>
              <w:spacing w:line="240" w:lineRule="auto"/>
              <w:rPr>
                <w:rFonts w:ascii="Times New Roman" w:hAnsi="Times New Roman"/>
                <w:b/>
                <w:bCs/>
                <w:u w:val="single"/>
              </w:rPr>
            </w:pPr>
            <w:r w:rsidRPr="004E4BE4">
              <w:rPr>
                <w:rFonts w:ascii="Times New Roman" w:hAnsi="Times New Roman"/>
              </w:rPr>
              <w:t xml:space="preserve"> </w:t>
            </w: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{150;030}</w:t>
            </w:r>
          </w:p>
        </w:tc>
        <w:tc>
          <w:tcPr>
            <w:tcW w:w="8133" w:type="dxa"/>
            <w:shd w:val="clear" w:color="auto" w:fill="FFFFFF"/>
          </w:tcPr>
          <w:p w:rsidR="004E4BE4" w:rsidRPr="00ED4583" w:rsidRDefault="00F4754B" w:rsidP="007E2A41">
            <w:pPr>
              <w:pStyle w:val="BodyText1"/>
              <w:spacing w:line="240" w:lineRule="auto"/>
              <w:rPr>
                <w:rFonts w:ascii="Times New Roman" w:hAnsi="Times New Roman"/>
                <w:b/>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regionálnym vládam</w:t>
            </w:r>
            <w:r w:rsidR="004E4BE4">
              <w:rPr>
                <w:rFonts w:ascii="Times New Roman" w:hAnsi="Times New Roman"/>
              </w:rPr>
              <w:t xml:space="preserve"> a </w:t>
            </w:r>
            <w:r w:rsidRPr="004E4BE4">
              <w:rPr>
                <w:rFonts w:ascii="Times New Roman" w:hAnsi="Times New Roman"/>
              </w:rPr>
              <w:t>miestnym orgánom,</w:t>
            </w:r>
            <w:r w:rsidR="004E4BE4">
              <w:rPr>
                <w:rFonts w:ascii="Times New Roman" w:hAnsi="Times New Roman"/>
              </w:rPr>
              <w:t xml:space="preserve"> s </w:t>
            </w:r>
            <w:r w:rsidRPr="004E4BE4">
              <w:rPr>
                <w:rFonts w:ascii="Times New Roman" w:hAnsi="Times New Roman"/>
              </w:rPr>
              <w:t>ktorými sa nezaobchádza ako so štátmi, na ktoré sa vzťahuje článok 115 ods. 1, 3</w:t>
            </w:r>
            <w:r w:rsidR="004E4BE4">
              <w:rPr>
                <w:rFonts w:ascii="Times New Roman" w:hAnsi="Times New Roman"/>
              </w:rPr>
              <w:t xml:space="preserve"> a </w:t>
            </w:r>
            <w:r w:rsidRPr="004E4BE4">
              <w:rPr>
                <w:rFonts w:ascii="Times New Roman" w:hAnsi="Times New Roman"/>
              </w:rPr>
              <w:t>5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{150;040}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Regionálne vlády</w:t>
            </w:r>
            <w:r w:rsidR="004E4BE4" w:rsidRPr="00ED4583">
              <w:rPr>
                <w:rFonts w:ascii="Times New Roman" w:hAnsi="Times New Roman"/>
                <w:b/>
              </w:rPr>
              <w:t xml:space="preserve"> a </w:t>
            </w:r>
            <w:r w:rsidRPr="00ED4583">
              <w:rPr>
                <w:rFonts w:ascii="Times New Roman" w:hAnsi="Times New Roman"/>
                <w:b/>
              </w:rPr>
              <w:t>miestne orgány,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ktoré sú expozíciami voči regionálnym vládam</w:t>
            </w:r>
            <w:r w:rsidR="004E4BE4">
              <w:rPr>
                <w:rFonts w:ascii="Times New Roman" w:hAnsi="Times New Roman"/>
              </w:rPr>
              <w:t xml:space="preserve"> a </w:t>
            </w:r>
            <w:r w:rsidRPr="004E4BE4">
              <w:rPr>
                <w:rFonts w:ascii="Times New Roman" w:hAnsi="Times New Roman"/>
              </w:rPr>
              <w:t>miestnym orgánom,</w:t>
            </w:r>
            <w:r w:rsidR="004E4BE4">
              <w:rPr>
                <w:rFonts w:ascii="Times New Roman" w:hAnsi="Times New Roman"/>
              </w:rPr>
              <w:t xml:space="preserve"> s </w:t>
            </w:r>
            <w:r w:rsidRPr="004E4BE4">
              <w:rPr>
                <w:rFonts w:ascii="Times New Roman" w:hAnsi="Times New Roman"/>
              </w:rPr>
              <w:t>ktorými sa nezaobchádza ako so štátmi, na ktoré sa vzťahuje článok 147 ods. 4 písm. a) CRR.</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{160;010}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Multilaterálne rozvojové banky,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multilaterálnym rozvojovým bankám, na ktoré sa vzťahuje článok 117 ods. 1</w:t>
            </w:r>
            <w:r w:rsidR="004E4BE4">
              <w:rPr>
                <w:rFonts w:ascii="Times New Roman" w:hAnsi="Times New Roman"/>
              </w:rPr>
              <w:t xml:space="preserve"> a </w:t>
            </w:r>
            <w:r w:rsidRPr="004E4BE4">
              <w:rPr>
                <w:rFonts w:ascii="Times New Roman" w:hAnsi="Times New Roman"/>
              </w:rPr>
              <w:t>3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{160;020}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Multilaterálne rozvojové banky,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IRB</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multilaterálnym rozvojovým bankám,</w:t>
            </w:r>
            <w:r w:rsidR="004E4BE4">
              <w:rPr>
                <w:rFonts w:ascii="Times New Roman" w:hAnsi="Times New Roman"/>
              </w:rPr>
              <w:t xml:space="preserve"> s </w:t>
            </w:r>
            <w:r w:rsidRPr="004E4BE4">
              <w:rPr>
                <w:rFonts w:ascii="Times New Roman" w:hAnsi="Times New Roman"/>
              </w:rPr>
              <w:t>ktorými sa nezaobchádza ako so štátmi, na ktoré sa vzťahuje článok 147 ods. 4 písm. c) CRR</w:t>
            </w:r>
            <w:r w:rsidR="004E4BE4" w:rsidRPr="004E4BE4">
              <w:rPr>
                <w:rFonts w:ascii="Times New Roman" w:hAnsi="Times New Roman"/>
              </w:rPr>
              <w:t>.</w:t>
            </w:r>
          </w:p>
          <w:p w:rsidR="00315160" w:rsidRPr="00040D93" w:rsidRDefault="00315160"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Del="009A4B38"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{160;030}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Multilaterálne rozvojové banky,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ktoré sú expozíciami voči multilaterálnym rozvojovým bankám, na ktoré sa vzťahuje článok 117 ods. 1</w:t>
            </w:r>
            <w:r w:rsidR="004E4BE4">
              <w:rPr>
                <w:rFonts w:ascii="Times New Roman" w:hAnsi="Times New Roman"/>
              </w:rPr>
              <w:t xml:space="preserve"> a </w:t>
            </w:r>
            <w:r w:rsidRPr="004E4BE4">
              <w:rPr>
                <w:rFonts w:ascii="Times New Roman" w:hAnsi="Times New Roman"/>
              </w:rPr>
              <w:t>3 CRR.</w:t>
            </w:r>
          </w:p>
          <w:p w:rsidR="002509B1" w:rsidRPr="00040D93" w:rsidRDefault="002509B1" w:rsidP="007E2A41">
            <w:pPr>
              <w:pStyle w:val="BodyText1"/>
              <w:spacing w:line="240" w:lineRule="auto"/>
              <w:rPr>
                <w:rFonts w:ascii="Times New Roman" w:hAnsi="Times New Roman"/>
                <w:b/>
                <w:bCs/>
                <w:u w:val="single"/>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086A8A" w:rsidRPr="00040D93" w:rsidRDefault="00086A8A"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{160;040}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Multilaterálne rozvojové banky,</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multilaterálnym rozvojovým bankám,</w:t>
            </w:r>
            <w:r w:rsidR="004E4BE4">
              <w:rPr>
                <w:rFonts w:ascii="Times New Roman" w:hAnsi="Times New Roman"/>
              </w:rPr>
              <w:t xml:space="preserve"> s </w:t>
            </w:r>
            <w:r w:rsidRPr="004E4BE4">
              <w:rPr>
                <w:rFonts w:ascii="Times New Roman" w:hAnsi="Times New Roman"/>
              </w:rPr>
              <w:t>ktorými sa nezaobchádza ako so štátmi, na ktoré sa vzťahuje článok 147 ods. 4 písm. c)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{170;010}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subjektom verejného sektora, na ktoré sa vzťahuje článok 116 ods. 1, 2, 3</w:t>
            </w:r>
            <w:r w:rsidR="004E4BE4">
              <w:rPr>
                <w:rFonts w:ascii="Times New Roman" w:hAnsi="Times New Roman"/>
              </w:rPr>
              <w:t xml:space="preserve"> a </w:t>
            </w:r>
            <w:r w:rsidRPr="004E4BE4">
              <w:rPr>
                <w:rFonts w:ascii="Times New Roman" w:hAnsi="Times New Roman"/>
              </w:rPr>
              <w:t>5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{170;020}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hodnota expozície ukazovateľa finančnej páky – expozície podľa IRB</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subjektom verejného sektora,</w:t>
            </w:r>
            <w:r w:rsidR="004E4BE4">
              <w:rPr>
                <w:rFonts w:ascii="Times New Roman" w:hAnsi="Times New Roman"/>
              </w:rPr>
              <w:t xml:space="preserve"> s </w:t>
            </w:r>
            <w:r w:rsidRPr="004E4BE4">
              <w:rPr>
                <w:rFonts w:ascii="Times New Roman" w:hAnsi="Times New Roman"/>
              </w:rPr>
              <w:t>ktorými sa nezaobchádza ako so štátmi, na ktoré sa vzťahuje článok 147 ods. 4 písm. b)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Del="00973F19"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{170;030}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subjektom verejného sektora, na ktoré sa vzťahuje článok 116 ods. 1, 2, 3</w:t>
            </w:r>
            <w:r w:rsidR="004E4BE4">
              <w:rPr>
                <w:rFonts w:ascii="Times New Roman" w:hAnsi="Times New Roman"/>
              </w:rPr>
              <w:t xml:space="preserve"> a </w:t>
            </w:r>
            <w:r w:rsidRPr="004E4BE4">
              <w:rPr>
                <w:rFonts w:ascii="Times New Roman" w:hAnsi="Times New Roman"/>
              </w:rPr>
              <w:t>5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{170;040}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Subjekty verejného sektora,</w:t>
            </w:r>
            <w:r w:rsidR="004E4BE4" w:rsidRPr="00ED4583">
              <w:rPr>
                <w:rFonts w:ascii="Times New Roman" w:hAnsi="Times New Roman"/>
                <w:b/>
              </w:rPr>
              <w:t xml:space="preserve"> s </w:t>
            </w:r>
            <w:r w:rsidRPr="00ED4583">
              <w:rPr>
                <w:rFonts w:ascii="Times New Roman" w:hAnsi="Times New Roman"/>
                <w:b/>
              </w:rPr>
              <w:t xml:space="preserve">ktorými sa </w:t>
            </w:r>
            <w:r w:rsidRPr="00040D93">
              <w:rPr>
                <w:rFonts w:ascii="Times New Roman" w:hAnsi="Times New Roman"/>
                <w:b/>
                <w:u w:val="single"/>
              </w:rPr>
              <w:t>nezaobchádza</w:t>
            </w:r>
            <w:r w:rsidRPr="00ED4583">
              <w:rPr>
                <w:rFonts w:ascii="Times New Roman" w:hAnsi="Times New Roman"/>
                <w:b/>
              </w:rPr>
              <w:t xml:space="preserve"> ako so štátmi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subjektom verejného sektora,</w:t>
            </w:r>
            <w:r w:rsidR="004E4BE4">
              <w:rPr>
                <w:rFonts w:ascii="Times New Roman" w:hAnsi="Times New Roman"/>
              </w:rPr>
              <w:t xml:space="preserve"> s </w:t>
            </w:r>
            <w:r w:rsidRPr="004E4BE4">
              <w:rPr>
                <w:rFonts w:ascii="Times New Roman" w:hAnsi="Times New Roman"/>
              </w:rPr>
              <w:t>ktorými sa nezaobchádza ako so štátmi, na ktoré sa vzťahuje článok 147 ods. 4 písm. b) CRR</w:t>
            </w:r>
            <w:r w:rsidR="004E4BE4" w:rsidRPr="004E4BE4">
              <w:rPr>
                <w:rFonts w:ascii="Times New Roman" w:hAnsi="Times New Roman"/>
              </w:rPr>
              <w:t>.</w:t>
            </w:r>
          </w:p>
          <w:p w:rsidR="009C4E79" w:rsidRPr="00040D93" w:rsidRDefault="009C4E79"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{180;010}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Inštitúcie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inštitúciám, na ktoré sa vzťahujú články 119 až 121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{180;020}</w:t>
            </w:r>
          </w:p>
        </w:tc>
        <w:tc>
          <w:tcPr>
            <w:tcW w:w="8133" w:type="dxa"/>
            <w:shd w:val="clear" w:color="auto" w:fill="FFFFFF"/>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Inštitúcie</w:t>
            </w:r>
            <w:r w:rsidRPr="004E4BE4">
              <w:rPr>
                <w:rFonts w:ascii="Times New Roman" w:hAnsi="Times New Roman"/>
              </w:rPr>
              <w:t xml:space="preserve"> </w:t>
            </w:r>
            <w:r w:rsidRPr="00ED4583">
              <w:rPr>
                <w:rFonts w:ascii="Times New Roman" w:hAnsi="Times New Roman"/>
                <w:b/>
              </w:rPr>
              <w:t>– hodnota expozície ukazovateľa finančnej páky – expozície podľa IRB</w:t>
            </w:r>
          </w:p>
          <w:p w:rsidR="002509B1" w:rsidRPr="004E4BE4" w:rsidRDefault="002509B1"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voči inštitúciám, na ktoré sa vzťahuje článok 147 ods. 2 písm. b) CRR,</w:t>
            </w:r>
            <w:r w:rsidR="004E4BE4">
              <w:rPr>
                <w:rFonts w:ascii="Times New Roman" w:hAnsi="Times New Roman"/>
              </w:rPr>
              <w:t xml:space="preserve"> a </w:t>
            </w:r>
            <w:r w:rsidRPr="00040D93">
              <w:rPr>
                <w:rFonts w:ascii="Times New Roman" w:hAnsi="Times New Roman"/>
                <w:b/>
                <w:u w:val="single"/>
              </w:rPr>
              <w:t>nie sú</w:t>
            </w:r>
            <w:r w:rsidRPr="004E4BE4">
              <w:rPr>
                <w:rFonts w:ascii="Times New Roman" w:hAnsi="Times New Roman"/>
              </w:rPr>
              <w:t xml:space="preserve"> expozíciami vo forme krytých dlhopisov podľa článku 161 ods. 1 písm. d) CRR</w:t>
            </w:r>
            <w:r w:rsidR="004E4BE4">
              <w:rPr>
                <w:rFonts w:ascii="Times New Roman" w:hAnsi="Times New Roman"/>
              </w:rPr>
              <w:t xml:space="preserve"> a </w:t>
            </w:r>
            <w:r w:rsidRPr="00040D93">
              <w:rPr>
                <w:rFonts w:ascii="Times New Roman" w:hAnsi="Times New Roman"/>
                <w:b/>
                <w:u w:val="single"/>
              </w:rPr>
              <w:t>nevzťahuje sa</w:t>
            </w:r>
            <w:r w:rsidRPr="004E4BE4">
              <w:rPr>
                <w:rFonts w:ascii="Times New Roman" w:hAnsi="Times New Roman"/>
              </w:rPr>
              <w:t xml:space="preserve"> na ne článok 147 ods. 4 písm. a) až c) CRR.</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{180;030}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Inštitúcie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inštitúciám, na ktoré sa vzťahujú články 119 až 121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{180;040}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Inštitúcie – RWA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ktoré sú expozíciami voči inštitúciám, na ktoré sa vzťahuje článok 147 ods. 2 písm. b) CRR,</w:t>
            </w:r>
            <w:r w:rsidR="004E4BE4">
              <w:rPr>
                <w:rFonts w:ascii="Times New Roman" w:hAnsi="Times New Roman"/>
              </w:rPr>
              <w:t xml:space="preserve"> a </w:t>
            </w:r>
            <w:r w:rsidRPr="00040D93">
              <w:rPr>
                <w:rFonts w:ascii="Times New Roman" w:hAnsi="Times New Roman"/>
                <w:b/>
                <w:u w:val="single"/>
              </w:rPr>
              <w:t>nie sú</w:t>
            </w:r>
            <w:r w:rsidRPr="004E4BE4">
              <w:rPr>
                <w:rFonts w:ascii="Times New Roman" w:hAnsi="Times New Roman"/>
              </w:rPr>
              <w:t xml:space="preserve"> expozíciami vo forme krytých dlhopisov podľa článku 161 ods. 1 písm. d) CRR</w:t>
            </w:r>
            <w:r w:rsidR="004E4BE4">
              <w:rPr>
                <w:rFonts w:ascii="Times New Roman" w:hAnsi="Times New Roman"/>
              </w:rPr>
              <w:t xml:space="preserve"> a </w:t>
            </w:r>
            <w:r w:rsidRPr="00040D93">
              <w:rPr>
                <w:rFonts w:ascii="Times New Roman" w:hAnsi="Times New Roman"/>
                <w:b/>
                <w:u w:val="single"/>
              </w:rPr>
              <w:t>nevzťahuje sa</w:t>
            </w:r>
            <w:r w:rsidRPr="004E4BE4">
              <w:rPr>
                <w:rFonts w:ascii="Times New Roman" w:hAnsi="Times New Roman"/>
              </w:rPr>
              <w:t xml:space="preserve"> na ne článok 147 ods. 4 písm. a) až c) CRR.</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{190;010}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Zabezpečené hypotékami na nehnuteľný majetok;</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zabezpečenými hypotékami na nehnuteľný majetok, na ktoré sa vzťahuje článok 124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{190;020}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Zabezpečené hypotékami na nehnuteľný majetok;</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voči podnikateľským subjektom podľa článku 147 ods. 2 písm. c) alebo retailovými expozíciami podľa článku 147 ods. 2 písm. d) CRR, ak sú tieto expozície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p>
          <w:p w:rsidR="002509B1" w:rsidRPr="004E4BE4" w:rsidRDefault="002509B1"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4E4BE4" w:rsidRDefault="009C4E79"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{190;030}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Zabezpečené hypotékami na nehnuteľný majetok;</w:t>
            </w:r>
            <w:r w:rsidR="004E4BE4" w:rsidRPr="00ED4583">
              <w:rPr>
                <w:rFonts w:ascii="Times New Roman" w:hAnsi="Times New Roman"/>
                <w:b/>
              </w:rPr>
              <w:t xml:space="preserve"> z </w:t>
            </w:r>
            <w:r w:rsidRPr="00ED4583">
              <w:rPr>
                <w:rFonts w:ascii="Times New Roman" w:hAnsi="Times New Roman"/>
                <w:b/>
              </w:rPr>
              <w:t>čoho – RWA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ktoré sú expozíciami zabezpečenými hypotékami na nehnuteľný majetok, na ktoré sa vzťahuje článok 124 CRR.</w:t>
            </w:r>
          </w:p>
          <w:p w:rsidR="002509B1" w:rsidRPr="00040D93" w:rsidRDefault="002509B1" w:rsidP="007E2A41">
            <w:pPr>
              <w:pStyle w:val="BodyText1"/>
              <w:spacing w:line="240" w:lineRule="auto"/>
              <w:rPr>
                <w:rFonts w:ascii="Times New Roman" w:hAnsi="Times New Roman"/>
                <w:b/>
                <w:bCs/>
                <w:u w:val="single"/>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086A8A" w:rsidRPr="00040D93" w:rsidRDefault="00086A8A"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{190;040}</w:t>
            </w:r>
          </w:p>
        </w:tc>
        <w:tc>
          <w:tcPr>
            <w:tcW w:w="8133" w:type="dxa"/>
            <w:shd w:val="clear" w:color="auto" w:fill="FFFFFF"/>
          </w:tcPr>
          <w:p w:rsidR="00F4754B" w:rsidRPr="00ED4583" w:rsidRDefault="00F4754B" w:rsidP="00706750">
            <w:pPr>
              <w:pStyle w:val="BodyText1"/>
              <w:tabs>
                <w:tab w:val="left" w:pos="6382"/>
              </w:tabs>
              <w:spacing w:line="240" w:lineRule="auto"/>
              <w:rPr>
                <w:rFonts w:ascii="Times New Roman" w:hAnsi="Times New Roman"/>
                <w:b/>
                <w:bCs/>
              </w:rPr>
            </w:pPr>
            <w:r w:rsidRPr="00ED4583">
              <w:rPr>
                <w:rFonts w:ascii="Times New Roman" w:hAnsi="Times New Roman"/>
                <w:b/>
              </w:rPr>
              <w:t>Zabezpečené hypotékami na nehnuteľný majetok;</w:t>
            </w:r>
            <w:r w:rsidR="004E4BE4" w:rsidRPr="00ED4583">
              <w:rPr>
                <w:rFonts w:ascii="Times New Roman" w:hAnsi="Times New Roman"/>
                <w:b/>
              </w:rPr>
              <w:t xml:space="preserve"> z </w:t>
            </w:r>
            <w:r w:rsidRPr="00ED4583">
              <w:rPr>
                <w:rFonts w:ascii="Times New Roman" w:hAnsi="Times New Roman"/>
                <w:b/>
              </w:rPr>
              <w:t>čoho – RWA – expozície podľa IRB</w:t>
            </w:r>
            <w:r w:rsidRPr="004E4BE4">
              <w:tab/>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ktoré sú expozíciami voči podnikateľským subjektom podľa článku 147 ods. 2 písm. c) alebo retailovými expozíciami podľa článku 147 ods. 2 písm. d) CRR, ak sú tieto expozície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rPr>
            </w:pPr>
            <w:r w:rsidRPr="004E4BE4">
              <w:rPr>
                <w:rFonts w:ascii="Times New Roman" w:hAnsi="Times New Roman"/>
              </w:rPr>
              <w:t>{200;010}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Zabezpečené hypotékami na nehnuteľný majetok určený na bývanie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plne zabezpečenými hypotékami na nehnuteľný majetok určený na bývanie, na ktoré sa vzťahuje článok 125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{200;020}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rPr>
            </w:pPr>
            <w:r w:rsidRPr="00ED4583">
              <w:rPr>
                <w:rFonts w:ascii="Times New Roman" w:hAnsi="Times New Roman"/>
                <w:b/>
              </w:rPr>
              <w:t>Zabezpečené hypotékami na nehnuteľný majetok určený na bývanie – hodnota expozície ukazovateľa finančnej páky – expozície podľa IRB</w:t>
            </w:r>
          </w:p>
          <w:p w:rsidR="002509B1" w:rsidRPr="00ED4583" w:rsidRDefault="002509B1" w:rsidP="007E2A41">
            <w:pPr>
              <w:pStyle w:val="BodyText1"/>
              <w:spacing w:line="240" w:lineRule="auto"/>
              <w:rPr>
                <w:rFonts w:ascii="Times New Roman" w:hAnsi="Times New Roman"/>
                <w:b/>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voči podnikateľským subjektom podľa článku 147 ods. 2 písm. c) alebo retailovými expozíciami podľa článku 147 ods. 2 písm. d) CRR, ak sú tieto expozície zabezpečené hypotékami na nehnuteľný majetok určený na bývanie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p>
          <w:p w:rsidR="009C4E79" w:rsidRPr="004E4BE4" w:rsidRDefault="009C4E79" w:rsidP="007E2A41">
            <w:pPr>
              <w:pStyle w:val="BodyText1"/>
              <w:spacing w:line="240" w:lineRule="auto"/>
              <w:rPr>
                <w:rFonts w:ascii="Times New Roman" w:hAnsi="Times New Roman"/>
                <w:bCs/>
              </w:rPr>
            </w:pPr>
          </w:p>
          <w:p w:rsidR="002509B1" w:rsidRPr="00040D93" w:rsidDel="003A59D6" w:rsidRDefault="009C4E79" w:rsidP="007E2A41">
            <w:pPr>
              <w:pStyle w:val="BodyText1"/>
              <w:spacing w:line="240" w:lineRule="auto"/>
              <w:rPr>
                <w:rFonts w:ascii="Times New Roman" w:hAnsi="Times New Roman"/>
                <w:b/>
                <w:bCs/>
                <w:u w:val="single"/>
              </w:rPr>
            </w:pPr>
            <w:r w:rsidRPr="004E4BE4">
              <w:rPr>
                <w:rFonts w:ascii="Times New Roman" w:hAnsi="Times New Roman"/>
              </w:rPr>
              <w:t>Inštitúcie vykazujú hodnoty po odpočítaní zlyhaných expozícií.</w:t>
            </w: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{200;030}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Zabezpečené hypotékami na nehnuteľný majetok určený na bývanie – RWA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ktoré sú expozíciami plne zabezpečenými hypotékami na nehnuteľný majetok určený na bývanie, na ktoré sa vzťahuje článok 125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{200;040}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Zabezpečené hypotékami na nehnuteľný majetok určený na bývanie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podnikateľským subjektom podľa článku 147 ods. 2 písm. c) alebo retailovými expozíciami podľa článku 147 ods. 2 písm. d) CRR, ak sú tieto expozície zabezpečené hypotékami na nehnuteľný majetok určený na bývanie</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2509B1" w:rsidRPr="00040D93" w:rsidRDefault="009C4E79" w:rsidP="007E2A41">
            <w:pPr>
              <w:pStyle w:val="BodyText1"/>
              <w:spacing w:line="240" w:lineRule="auto"/>
              <w:rPr>
                <w:rFonts w:ascii="Times New Roman" w:hAnsi="Times New Roman"/>
                <w:b/>
                <w:bCs/>
                <w:u w:val="single"/>
              </w:rPr>
            </w:pPr>
            <w:r w:rsidRPr="004E4BE4">
              <w:rPr>
                <w:rFonts w:ascii="Times New Roman" w:hAnsi="Times New Roman"/>
              </w:rPr>
              <w:t>Inštitúcie vykazujú hodnoty po odpočítaní zlyhaných expozícií.</w:t>
            </w: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{210;010}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retailovými expozíciami, ktoré patria pod článok 123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{210;020}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expozície ukazovateľa finančnej páky aktív, ktoré sú retailovými expozíciami podľa článku 147 ods. 2 písm. d) CRR, ak tieto expozície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086A8A"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{210;030}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w:t>
            </w:r>
            <w:r w:rsidR="004E4BE4" w:rsidRPr="00ED4583">
              <w:rPr>
                <w:rFonts w:ascii="Times New Roman" w:hAnsi="Times New Roman"/>
                <w:b/>
              </w:rPr>
              <w:t xml:space="preserve"> z </w:t>
            </w:r>
            <w:r w:rsidRPr="00ED4583">
              <w:rPr>
                <w:rFonts w:ascii="Times New Roman" w:hAnsi="Times New Roman"/>
                <w:b/>
              </w:rPr>
              <w:t>čoho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retailovými expozíciami, na ktoré sa vzťahuje článok 123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{210;040}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w:t>
            </w:r>
            <w:r w:rsidR="004E4BE4" w:rsidRPr="00ED4583">
              <w:rPr>
                <w:rFonts w:ascii="Times New Roman" w:hAnsi="Times New Roman"/>
                <w:b/>
              </w:rPr>
              <w:t xml:space="preserve"> z </w:t>
            </w:r>
            <w:r w:rsidRPr="00ED4583">
              <w:rPr>
                <w:rFonts w:ascii="Times New Roman" w:hAnsi="Times New Roman"/>
                <w:b/>
              </w:rPr>
              <w:t>čoho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rizikovo váženej expozície aktív, ktoré sú retailovými expozíciami podľa článku 147 ods. 2 písm. d) CRR, ak tieto expozície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{220;010}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 voči MSP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retailovými expozíciami voči malým</w:t>
            </w:r>
            <w:r w:rsidR="004E4BE4">
              <w:rPr>
                <w:rFonts w:ascii="Times New Roman" w:hAnsi="Times New Roman"/>
              </w:rPr>
              <w:t xml:space="preserve"> a </w:t>
            </w:r>
            <w:r w:rsidRPr="004E4BE4">
              <w:rPr>
                <w:rFonts w:ascii="Times New Roman" w:hAnsi="Times New Roman"/>
              </w:rPr>
              <w:t>stredným podnikom, na ktoré sa vzťahuje článok 123 CRR</w:t>
            </w:r>
            <w:r w:rsidR="004E4BE4" w:rsidRPr="004E4BE4">
              <w:rPr>
                <w:rFonts w:ascii="Times New Roman" w:hAnsi="Times New Roman"/>
              </w:rPr>
              <w:t>.</w:t>
            </w:r>
          </w:p>
          <w:p w:rsidR="00BB5324" w:rsidRPr="004E4BE4" w:rsidRDefault="00BB5324" w:rsidP="007E2A41">
            <w:pPr>
              <w:pStyle w:val="BodyText1"/>
              <w:spacing w:line="240" w:lineRule="auto"/>
              <w:rPr>
                <w:rFonts w:ascii="Times New Roman" w:hAnsi="Times New Roman"/>
                <w:bCs/>
              </w:rPr>
            </w:pPr>
          </w:p>
          <w:p w:rsidR="004B653A" w:rsidRPr="004E4BE4" w:rsidRDefault="004B653A" w:rsidP="007E2A41">
            <w:pPr>
              <w:pStyle w:val="BodyText1"/>
              <w:spacing w:line="240" w:lineRule="auto"/>
              <w:rPr>
                <w:rFonts w:ascii="Times New Roman" w:hAnsi="Times New Roman"/>
                <w:bCs/>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 vymedzený</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ED4583" w:rsidRDefault="002509B1" w:rsidP="007E2A41">
            <w:pPr>
              <w:pStyle w:val="BodyText1"/>
              <w:spacing w:line="240" w:lineRule="auto"/>
              <w:rPr>
                <w:rFonts w:ascii="Times New Roman" w:hAnsi="Times New Roman"/>
                <w:b/>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{220;020}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 voči MSP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315160"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retailovými expozíciami podľa článku 147 ods. 2 písm. d) CRR, ak sú tieto expozície expozíciami voči malým</w:t>
            </w:r>
            <w:r w:rsidR="004E4BE4">
              <w:rPr>
                <w:rFonts w:ascii="Times New Roman" w:hAnsi="Times New Roman"/>
              </w:rPr>
              <w:t xml:space="preserve"> a </w:t>
            </w:r>
            <w:r w:rsidRPr="004E4BE4">
              <w:rPr>
                <w:rFonts w:ascii="Times New Roman" w:hAnsi="Times New Roman"/>
              </w:rPr>
              <w:t>stredným podnikom</w:t>
            </w:r>
            <w:r w:rsidR="004E4BE4">
              <w:rPr>
                <w:rFonts w:ascii="Times New Roman" w:hAnsi="Times New Roman"/>
              </w:rPr>
              <w:t xml:space="preserve"> a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p>
          <w:p w:rsidR="004E4BE4" w:rsidRPr="004E4BE4" w:rsidRDefault="004E4BE4" w:rsidP="007E2A41">
            <w:pPr>
              <w:pStyle w:val="BodyText1"/>
              <w:spacing w:line="240" w:lineRule="auto"/>
              <w:rPr>
                <w:rFonts w:ascii="Times New Roman" w:hAnsi="Times New Roman"/>
              </w:rPr>
            </w:pPr>
          </w:p>
          <w:p w:rsidR="004B653A" w:rsidRPr="004E4BE4" w:rsidRDefault="004B653A" w:rsidP="007E2A41">
            <w:pPr>
              <w:pStyle w:val="BodyText1"/>
              <w:spacing w:line="240" w:lineRule="auto"/>
              <w:rPr>
                <w:rFonts w:ascii="Times New Roman" w:hAnsi="Times New Roman"/>
                <w:bCs/>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 vymedzený</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9C4E79" w:rsidRPr="004E4BE4" w:rsidRDefault="009C4E79" w:rsidP="009C4E79">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Del="00EC6E42"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{220;030}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 voči MSP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retailovými expozíciami voči malým</w:t>
            </w:r>
            <w:r w:rsidR="004E4BE4">
              <w:rPr>
                <w:rFonts w:ascii="Times New Roman" w:hAnsi="Times New Roman"/>
              </w:rPr>
              <w:t xml:space="preserve"> a </w:t>
            </w:r>
            <w:r w:rsidRPr="004E4BE4">
              <w:rPr>
                <w:rFonts w:ascii="Times New Roman" w:hAnsi="Times New Roman"/>
              </w:rPr>
              <w:t>stredným podnikom, na ktoré sa vzťahuje článok 123 CRR</w:t>
            </w:r>
            <w:r w:rsidR="004E4BE4" w:rsidRPr="004E4BE4">
              <w:rPr>
                <w:rFonts w:ascii="Times New Roman" w:hAnsi="Times New Roman"/>
              </w:rPr>
              <w:t>.</w:t>
            </w:r>
          </w:p>
          <w:p w:rsidR="00BB5324" w:rsidRPr="004E4BE4" w:rsidRDefault="00BB5324" w:rsidP="007E2A41">
            <w:pPr>
              <w:pStyle w:val="BodyText1"/>
              <w:spacing w:line="240" w:lineRule="auto"/>
              <w:rPr>
                <w:rFonts w:ascii="Times New Roman" w:hAnsi="Times New Roman"/>
                <w:bCs/>
              </w:rPr>
            </w:pPr>
          </w:p>
          <w:p w:rsidR="004B653A" w:rsidRPr="004E4BE4" w:rsidRDefault="004B653A" w:rsidP="007E2A41">
            <w:pPr>
              <w:pStyle w:val="BodyText1"/>
              <w:spacing w:line="240" w:lineRule="auto"/>
              <w:rPr>
                <w:rFonts w:ascii="Times New Roman" w:hAnsi="Times New Roman"/>
                <w:bCs/>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 vymedzený</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{220;040}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Retailové expozície voči MSP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retailovými expozíciami podľa článku 147 ods. 2 písm. d) CRR, ak sú tieto expozície expozíciami voči malým</w:t>
            </w:r>
            <w:r w:rsidR="004E4BE4">
              <w:rPr>
                <w:rFonts w:ascii="Times New Roman" w:hAnsi="Times New Roman"/>
              </w:rPr>
              <w:t xml:space="preserve"> a </w:t>
            </w:r>
            <w:r w:rsidRPr="004E4BE4">
              <w:rPr>
                <w:rFonts w:ascii="Times New Roman" w:hAnsi="Times New Roman"/>
              </w:rPr>
              <w:t>stredným podnikom</w:t>
            </w:r>
            <w:r w:rsidR="004E4BE4">
              <w:rPr>
                <w:rFonts w:ascii="Times New Roman" w:hAnsi="Times New Roman"/>
              </w:rPr>
              <w:t xml:space="preserve"> a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sidRPr="004E4BE4">
              <w:rPr>
                <w:rFonts w:ascii="Times New Roman" w:hAnsi="Times New Roman"/>
              </w:rPr>
              <w:t>.</w:t>
            </w:r>
          </w:p>
          <w:p w:rsidR="00BB5324" w:rsidRPr="004E4BE4" w:rsidRDefault="00BB5324" w:rsidP="007E2A41">
            <w:pPr>
              <w:pStyle w:val="BodyText1"/>
              <w:spacing w:line="240" w:lineRule="auto"/>
              <w:rPr>
                <w:rFonts w:ascii="Times New Roman" w:hAnsi="Times New Roman"/>
                <w:bCs/>
              </w:rPr>
            </w:pPr>
          </w:p>
          <w:p w:rsidR="004B653A" w:rsidRPr="004E4BE4" w:rsidRDefault="004B653A" w:rsidP="007E2A41">
            <w:pPr>
              <w:pStyle w:val="BodyText1"/>
              <w:spacing w:line="240" w:lineRule="auto"/>
              <w:rPr>
                <w:rFonts w:ascii="Times New Roman" w:hAnsi="Times New Roman"/>
                <w:bCs/>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 vymedzený</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9C4E79" w:rsidRPr="00040D93" w:rsidRDefault="009C4E79"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{230;010}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Podnikateľské subjekty;</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{240,010}</w:t>
            </w:r>
            <w:r w:rsidR="004E4BE4">
              <w:rPr>
                <w:rFonts w:ascii="Times New Roman" w:hAnsi="Times New Roman"/>
              </w:rPr>
              <w:t xml:space="preserve"> a </w:t>
            </w:r>
            <w:r w:rsidRPr="004E4BE4">
              <w:rPr>
                <w:rFonts w:ascii="Times New Roman" w:hAnsi="Times New Roman"/>
              </w:rPr>
              <w:t>{250,010}.</w:t>
            </w:r>
          </w:p>
          <w:p w:rsidR="00086A8A" w:rsidRPr="004E4BE4" w:rsidRDefault="00086A8A" w:rsidP="007E2A41">
            <w:pPr>
              <w:pStyle w:val="BodyText1"/>
              <w:spacing w:line="240" w:lineRule="auto"/>
              <w:rPr>
                <w:rFonts w:ascii="Times New Roman" w:hAnsi="Times New Roman"/>
              </w:rPr>
            </w:pPr>
          </w:p>
          <w:p w:rsidR="00086A8A" w:rsidRPr="004E4BE4" w:rsidRDefault="00086A8A" w:rsidP="007E2A41">
            <w:pPr>
              <w:pStyle w:val="BodyText1"/>
              <w:spacing w:line="240" w:lineRule="auto"/>
              <w:rPr>
                <w:rFonts w:ascii="Times New Roman" w:hAnsi="Times New Roman"/>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{230;020}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Podnikateľské subjekty;</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{240 020}</w:t>
            </w:r>
            <w:r w:rsidR="004E4BE4">
              <w:rPr>
                <w:rFonts w:ascii="Times New Roman" w:hAnsi="Times New Roman"/>
              </w:rPr>
              <w:t xml:space="preserve"> a </w:t>
            </w:r>
            <w:r w:rsidRPr="004E4BE4">
              <w:rPr>
                <w:rFonts w:ascii="Times New Roman" w:hAnsi="Times New Roman"/>
              </w:rPr>
              <w:t>{250 020}.</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{230;030}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Podnikateľské subjekty;</w:t>
            </w:r>
            <w:r w:rsidR="004E4BE4" w:rsidRPr="00ED4583">
              <w:rPr>
                <w:rFonts w:ascii="Times New Roman" w:hAnsi="Times New Roman"/>
                <w:b/>
              </w:rPr>
              <w:t xml:space="preserve"> z </w:t>
            </w:r>
            <w:r w:rsidRPr="00ED4583">
              <w:rPr>
                <w:rFonts w:ascii="Times New Roman" w:hAnsi="Times New Roman"/>
                <w:b/>
              </w:rPr>
              <w:t>čoho – RWA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{240 030}</w:t>
            </w:r>
            <w:r w:rsidR="004E4BE4">
              <w:rPr>
                <w:rFonts w:ascii="Times New Roman" w:hAnsi="Times New Roman"/>
              </w:rPr>
              <w:t xml:space="preserve"> a </w:t>
            </w:r>
            <w:r w:rsidRPr="004E4BE4">
              <w:rPr>
                <w:rFonts w:ascii="Times New Roman" w:hAnsi="Times New Roman"/>
              </w:rPr>
              <w:t>{250 030}.</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{230;040}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Podnikateľské subjekty;</w:t>
            </w:r>
            <w:r w:rsidR="004E4BE4" w:rsidRPr="00ED4583">
              <w:rPr>
                <w:rFonts w:ascii="Times New Roman" w:hAnsi="Times New Roman"/>
                <w:b/>
              </w:rPr>
              <w:t xml:space="preserve"> z </w:t>
            </w:r>
            <w:r w:rsidRPr="00ED4583">
              <w:rPr>
                <w:rFonts w:ascii="Times New Roman" w:hAnsi="Times New Roman"/>
                <w:b/>
              </w:rPr>
              <w:t>čoho – RWA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{240 040}</w:t>
            </w:r>
            <w:r w:rsidR="004E4BE4">
              <w:rPr>
                <w:rFonts w:ascii="Times New Roman" w:hAnsi="Times New Roman"/>
              </w:rPr>
              <w:t xml:space="preserve"> a </w:t>
            </w:r>
            <w:r w:rsidRPr="004E4BE4">
              <w:rPr>
                <w:rFonts w:ascii="Times New Roman" w:hAnsi="Times New Roman"/>
              </w:rPr>
              <w:t>{250 040}.</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{240;010}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Finančné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finančným podnikateľským subjektom, na ktoré sa vzťahuje článok 122 CRR. Na účely vykazovania</w:t>
            </w:r>
            <w:r w:rsidR="004E4BE4">
              <w:rPr>
                <w:rFonts w:ascii="Times New Roman" w:hAnsi="Times New Roman"/>
              </w:rPr>
              <w:t xml:space="preserve"> v </w:t>
            </w:r>
            <w:r w:rsidRPr="004E4BE4">
              <w:rPr>
                <w:rFonts w:ascii="Times New Roman" w:hAnsi="Times New Roman"/>
              </w:rPr>
              <w:t>LR4 sú finančné podnikateľské subjekty regulované</w:t>
            </w:r>
            <w:r w:rsidR="004E4BE4">
              <w:rPr>
                <w:rFonts w:ascii="Times New Roman" w:hAnsi="Times New Roman"/>
              </w:rPr>
              <w:t xml:space="preserve"> a </w:t>
            </w:r>
            <w:r w:rsidRPr="004E4BE4">
              <w:rPr>
                <w:rFonts w:ascii="Times New Roman" w:hAnsi="Times New Roman"/>
              </w:rPr>
              <w:t>neregulované podniky, ktoré nie sú inštitúciami uvedenými</w:t>
            </w:r>
            <w:r w:rsidR="004E4BE4">
              <w:rPr>
                <w:rFonts w:ascii="Times New Roman" w:hAnsi="Times New Roman"/>
              </w:rPr>
              <w:t xml:space="preserve"> v </w:t>
            </w:r>
            <w:r w:rsidRPr="004E4BE4">
              <w:rPr>
                <w:rFonts w:ascii="Times New Roman" w:hAnsi="Times New Roman"/>
              </w:rPr>
              <w:t>{180;10},</w:t>
            </w:r>
            <w:r w:rsidR="004E4BE4">
              <w:rPr>
                <w:rFonts w:ascii="Times New Roman" w:hAnsi="Times New Roman"/>
              </w:rPr>
              <w:t xml:space="preserve"> a </w:t>
            </w:r>
            <w:r w:rsidRPr="004E4BE4">
              <w:rPr>
                <w:rFonts w:ascii="Times New Roman" w:hAnsi="Times New Roman"/>
              </w:rPr>
              <w:t>ktorých hlavným predmetom činnosti je nadobúdanie podielov alebo vykonávanie jednej alebo viacerých činností uvedených</w:t>
            </w:r>
            <w:r w:rsidR="004E4BE4">
              <w:rPr>
                <w:rFonts w:ascii="Times New Roman" w:hAnsi="Times New Roman"/>
              </w:rPr>
              <w:t xml:space="preserve"> v </w:t>
            </w:r>
            <w:r w:rsidRPr="004E4BE4">
              <w:rPr>
                <w:rFonts w:ascii="Times New Roman" w:hAnsi="Times New Roman"/>
              </w:rPr>
              <w:t>prílohe I</w:t>
            </w:r>
            <w:r w:rsidR="004E4BE4">
              <w:rPr>
                <w:rFonts w:ascii="Times New Roman" w:hAnsi="Times New Roman"/>
              </w:rPr>
              <w:t xml:space="preserve"> k </w:t>
            </w:r>
            <w:r w:rsidRPr="004E4BE4">
              <w:rPr>
                <w:rFonts w:ascii="Times New Roman" w:hAnsi="Times New Roman"/>
              </w:rPr>
              <w:t>smernici 2013/36/EÚ, ako aj podniky vymedzené</w:t>
            </w:r>
            <w:r w:rsidR="004E4BE4">
              <w:rPr>
                <w:rFonts w:ascii="Times New Roman" w:hAnsi="Times New Roman"/>
              </w:rPr>
              <w:t xml:space="preserve"> v </w:t>
            </w:r>
            <w:r w:rsidRPr="004E4BE4">
              <w:rPr>
                <w:rFonts w:ascii="Times New Roman" w:hAnsi="Times New Roman"/>
              </w:rPr>
              <w:t>článku 4 ods. 1 bode 27 CRR, ktoré nie sú inštitúciami, na ktoré sa odkazuje</w:t>
            </w:r>
            <w:r w:rsidR="004E4BE4">
              <w:rPr>
                <w:rFonts w:ascii="Times New Roman" w:hAnsi="Times New Roman"/>
              </w:rPr>
              <w:t xml:space="preserve"> v </w:t>
            </w:r>
            <w:r w:rsidRPr="004E4BE4">
              <w:rPr>
                <w:rFonts w:ascii="Times New Roman" w:hAnsi="Times New Roman"/>
              </w:rPr>
              <w:t>{180;10}</w:t>
            </w:r>
            <w:r w:rsidR="004E4BE4" w:rsidRPr="004E4BE4">
              <w:rPr>
                <w:rFonts w:ascii="Times New Roman" w:hAnsi="Times New Roman"/>
              </w:rPr>
              <w:t>.</w:t>
            </w:r>
          </w:p>
          <w:p w:rsidR="00086A8A" w:rsidRPr="004E4BE4" w:rsidRDefault="00BB5324" w:rsidP="007E2A41">
            <w:pPr>
              <w:pStyle w:val="BodyText1"/>
              <w:spacing w:line="240" w:lineRule="auto"/>
              <w:rPr>
                <w:rFonts w:ascii="Times New Roman" w:hAnsi="Times New Roman"/>
                <w:bCs/>
              </w:rPr>
            </w:pPr>
            <w:r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rPr>
            </w:pPr>
            <w:r w:rsidRPr="004E4BE4">
              <w:rPr>
                <w:rFonts w:ascii="Times New Roman" w:hAnsi="Times New Roman"/>
              </w:rPr>
              <w:t>{240;020}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Finančné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expozície ukazovateľa finančnej páky aktív, ktoré sú expozíciami voči finančným podnikateľským subjektom podľa článku 147 ods. 2 písm. c) CRR, ak tieto expozície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 Na účely vykazovania</w:t>
            </w:r>
            <w:r w:rsidR="004E4BE4">
              <w:rPr>
                <w:rFonts w:ascii="Times New Roman" w:hAnsi="Times New Roman"/>
              </w:rPr>
              <w:t xml:space="preserve"> v </w:t>
            </w:r>
            <w:r w:rsidRPr="004E4BE4">
              <w:rPr>
                <w:rFonts w:ascii="Times New Roman" w:hAnsi="Times New Roman"/>
              </w:rPr>
              <w:t>LR4 sú finančné podnikateľské subjekty regulované</w:t>
            </w:r>
            <w:r w:rsidR="004E4BE4">
              <w:rPr>
                <w:rFonts w:ascii="Times New Roman" w:hAnsi="Times New Roman"/>
              </w:rPr>
              <w:t xml:space="preserve"> a </w:t>
            </w:r>
            <w:r w:rsidRPr="004E4BE4">
              <w:rPr>
                <w:rFonts w:ascii="Times New Roman" w:hAnsi="Times New Roman"/>
              </w:rPr>
              <w:t>neregulované podniky, ktoré nie sú inštitúciami uvedenými</w:t>
            </w:r>
            <w:r w:rsidR="004E4BE4">
              <w:rPr>
                <w:rFonts w:ascii="Times New Roman" w:hAnsi="Times New Roman"/>
              </w:rPr>
              <w:t xml:space="preserve"> v </w:t>
            </w:r>
            <w:r w:rsidRPr="004E4BE4">
              <w:rPr>
                <w:rFonts w:ascii="Times New Roman" w:hAnsi="Times New Roman"/>
              </w:rPr>
              <w:t>{180;10},</w:t>
            </w:r>
            <w:r w:rsidR="004E4BE4">
              <w:rPr>
                <w:rFonts w:ascii="Times New Roman" w:hAnsi="Times New Roman"/>
              </w:rPr>
              <w:t xml:space="preserve"> a </w:t>
            </w:r>
            <w:r w:rsidRPr="004E4BE4">
              <w:rPr>
                <w:rFonts w:ascii="Times New Roman" w:hAnsi="Times New Roman"/>
              </w:rPr>
              <w:t>ktorých hlavným predmetom činnosti je nadobúdanie podielov alebo vykonávanie jednej alebo viacerých činností uvedených</w:t>
            </w:r>
            <w:r w:rsidR="004E4BE4">
              <w:rPr>
                <w:rFonts w:ascii="Times New Roman" w:hAnsi="Times New Roman"/>
              </w:rPr>
              <w:t xml:space="preserve"> v </w:t>
            </w:r>
            <w:r w:rsidRPr="004E4BE4">
              <w:rPr>
                <w:rFonts w:ascii="Times New Roman" w:hAnsi="Times New Roman"/>
              </w:rPr>
              <w:t>prílohe I</w:t>
            </w:r>
            <w:r w:rsidR="004E4BE4">
              <w:rPr>
                <w:rFonts w:ascii="Times New Roman" w:hAnsi="Times New Roman"/>
              </w:rPr>
              <w:t xml:space="preserve"> k </w:t>
            </w:r>
            <w:r w:rsidRPr="004E4BE4">
              <w:rPr>
                <w:rFonts w:ascii="Times New Roman" w:hAnsi="Times New Roman"/>
              </w:rPr>
              <w:t>smernici 2013/36/EÚ, ako aj podniky vymedzené</w:t>
            </w:r>
            <w:r w:rsidR="004E4BE4">
              <w:rPr>
                <w:rFonts w:ascii="Times New Roman" w:hAnsi="Times New Roman"/>
              </w:rPr>
              <w:t xml:space="preserve"> v </w:t>
            </w:r>
            <w:r w:rsidRPr="004E4BE4">
              <w:rPr>
                <w:rFonts w:ascii="Times New Roman" w:hAnsi="Times New Roman"/>
              </w:rPr>
              <w:t>článku 4 ods. 1 bode 27 CRR, ktoré nie sú inštitúciami, na ktoré sa odkazuje</w:t>
            </w:r>
            <w:r w:rsidR="004E4BE4">
              <w:rPr>
                <w:rFonts w:ascii="Times New Roman" w:hAnsi="Times New Roman"/>
              </w:rPr>
              <w:t xml:space="preserve"> v </w:t>
            </w:r>
            <w:r w:rsidRPr="004E4BE4">
              <w:rPr>
                <w:rFonts w:ascii="Times New Roman" w:hAnsi="Times New Roman"/>
              </w:rPr>
              <w:t>{180;10}</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{240;030}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Finančné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finančným podnikateľským subjektom, na ktoré sa vzťahuje článok 122 CRR. Na účely vykazovania</w:t>
            </w:r>
            <w:r w:rsidR="004E4BE4">
              <w:rPr>
                <w:rFonts w:ascii="Times New Roman" w:hAnsi="Times New Roman"/>
              </w:rPr>
              <w:t xml:space="preserve"> v </w:t>
            </w:r>
            <w:r w:rsidRPr="004E4BE4">
              <w:rPr>
                <w:rFonts w:ascii="Times New Roman" w:hAnsi="Times New Roman"/>
              </w:rPr>
              <w:t>LR4 sú finančné podnikateľské subjekty regulované</w:t>
            </w:r>
            <w:r w:rsidR="004E4BE4">
              <w:rPr>
                <w:rFonts w:ascii="Times New Roman" w:hAnsi="Times New Roman"/>
              </w:rPr>
              <w:t xml:space="preserve"> a </w:t>
            </w:r>
            <w:r w:rsidRPr="004E4BE4">
              <w:rPr>
                <w:rFonts w:ascii="Times New Roman" w:hAnsi="Times New Roman"/>
              </w:rPr>
              <w:t>neregulované podniky, ktoré nie sú inštitúciami uvedenými</w:t>
            </w:r>
            <w:r w:rsidR="004E4BE4">
              <w:rPr>
                <w:rFonts w:ascii="Times New Roman" w:hAnsi="Times New Roman"/>
              </w:rPr>
              <w:t xml:space="preserve"> v </w:t>
            </w:r>
            <w:r w:rsidRPr="004E4BE4">
              <w:rPr>
                <w:rFonts w:ascii="Times New Roman" w:hAnsi="Times New Roman"/>
              </w:rPr>
              <w:t>{180;10},</w:t>
            </w:r>
            <w:r w:rsidR="004E4BE4">
              <w:rPr>
                <w:rFonts w:ascii="Times New Roman" w:hAnsi="Times New Roman"/>
              </w:rPr>
              <w:t xml:space="preserve"> a </w:t>
            </w:r>
            <w:r w:rsidRPr="004E4BE4">
              <w:rPr>
                <w:rFonts w:ascii="Times New Roman" w:hAnsi="Times New Roman"/>
              </w:rPr>
              <w:t>ktorých hlavným predmetom činnosti je nadobúdanie podielov alebo vykonávanie jednej alebo viacerých činností uvedených</w:t>
            </w:r>
            <w:r w:rsidR="004E4BE4">
              <w:rPr>
                <w:rFonts w:ascii="Times New Roman" w:hAnsi="Times New Roman"/>
              </w:rPr>
              <w:t xml:space="preserve"> v </w:t>
            </w:r>
            <w:r w:rsidRPr="004E4BE4">
              <w:rPr>
                <w:rFonts w:ascii="Times New Roman" w:hAnsi="Times New Roman"/>
              </w:rPr>
              <w:t>prílohe I</w:t>
            </w:r>
            <w:r w:rsidR="004E4BE4">
              <w:rPr>
                <w:rFonts w:ascii="Times New Roman" w:hAnsi="Times New Roman"/>
              </w:rPr>
              <w:t xml:space="preserve"> k </w:t>
            </w:r>
            <w:r w:rsidRPr="004E4BE4">
              <w:rPr>
                <w:rFonts w:ascii="Times New Roman" w:hAnsi="Times New Roman"/>
              </w:rPr>
              <w:t>smernici 2013/36/EÚ, ako aj podniky vymedzené</w:t>
            </w:r>
            <w:r w:rsidR="004E4BE4">
              <w:rPr>
                <w:rFonts w:ascii="Times New Roman" w:hAnsi="Times New Roman"/>
              </w:rPr>
              <w:t xml:space="preserve"> v </w:t>
            </w:r>
            <w:r w:rsidRPr="004E4BE4">
              <w:rPr>
                <w:rFonts w:ascii="Times New Roman" w:hAnsi="Times New Roman"/>
              </w:rPr>
              <w:t>článku 4 ods. 1 bode 27 CRR, ktoré nie sú inštitúciami, na ktoré sa odkazuje</w:t>
            </w:r>
            <w:r w:rsidR="004E4BE4">
              <w:rPr>
                <w:rFonts w:ascii="Times New Roman" w:hAnsi="Times New Roman"/>
              </w:rPr>
              <w:t xml:space="preserve"> v </w:t>
            </w:r>
            <w:r w:rsidRPr="004E4BE4">
              <w:rPr>
                <w:rFonts w:ascii="Times New Roman" w:hAnsi="Times New Roman"/>
              </w:rPr>
              <w:t>{180;10}</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{240;040}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Finančné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rizikovo váženej expozície aktív, ktoré sú expozíciami voči finančným podnikateľským subjektom podľa článku 147 ods. 2 písm. c) CRR, ak tieto expozície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 Na účely vykazovania</w:t>
            </w:r>
            <w:r w:rsidR="004E4BE4">
              <w:rPr>
                <w:rFonts w:ascii="Times New Roman" w:hAnsi="Times New Roman"/>
              </w:rPr>
              <w:t xml:space="preserve"> v </w:t>
            </w:r>
            <w:r w:rsidRPr="004E4BE4">
              <w:rPr>
                <w:rFonts w:ascii="Times New Roman" w:hAnsi="Times New Roman"/>
              </w:rPr>
              <w:t>LR4 sú finančné podnikateľské subjekty regulované</w:t>
            </w:r>
            <w:r w:rsidR="004E4BE4">
              <w:rPr>
                <w:rFonts w:ascii="Times New Roman" w:hAnsi="Times New Roman"/>
              </w:rPr>
              <w:t xml:space="preserve"> a </w:t>
            </w:r>
            <w:r w:rsidRPr="004E4BE4">
              <w:rPr>
                <w:rFonts w:ascii="Times New Roman" w:hAnsi="Times New Roman"/>
              </w:rPr>
              <w:t>neregulované podniky, ktoré nie sú inštitúciami uvedenými</w:t>
            </w:r>
            <w:r w:rsidR="004E4BE4">
              <w:rPr>
                <w:rFonts w:ascii="Times New Roman" w:hAnsi="Times New Roman"/>
              </w:rPr>
              <w:t xml:space="preserve"> v </w:t>
            </w:r>
            <w:r w:rsidRPr="004E4BE4">
              <w:rPr>
                <w:rFonts w:ascii="Times New Roman" w:hAnsi="Times New Roman"/>
              </w:rPr>
              <w:t>{180;10},</w:t>
            </w:r>
            <w:r w:rsidR="004E4BE4">
              <w:rPr>
                <w:rFonts w:ascii="Times New Roman" w:hAnsi="Times New Roman"/>
              </w:rPr>
              <w:t xml:space="preserve"> a </w:t>
            </w:r>
            <w:r w:rsidRPr="004E4BE4">
              <w:rPr>
                <w:rFonts w:ascii="Times New Roman" w:hAnsi="Times New Roman"/>
              </w:rPr>
              <w:t>ktorých hlavným predmetom činnosti je nadobúdanie podielov alebo vykonávanie jednej alebo viacerých činností uvedených</w:t>
            </w:r>
            <w:r w:rsidR="004E4BE4">
              <w:rPr>
                <w:rFonts w:ascii="Times New Roman" w:hAnsi="Times New Roman"/>
              </w:rPr>
              <w:t xml:space="preserve"> v </w:t>
            </w:r>
            <w:r w:rsidRPr="004E4BE4">
              <w:rPr>
                <w:rFonts w:ascii="Times New Roman" w:hAnsi="Times New Roman"/>
              </w:rPr>
              <w:t>prílohe I</w:t>
            </w:r>
            <w:r w:rsidR="004E4BE4">
              <w:rPr>
                <w:rFonts w:ascii="Times New Roman" w:hAnsi="Times New Roman"/>
              </w:rPr>
              <w:t xml:space="preserve"> k </w:t>
            </w:r>
            <w:r w:rsidRPr="004E4BE4">
              <w:rPr>
                <w:rFonts w:ascii="Times New Roman" w:hAnsi="Times New Roman"/>
              </w:rPr>
              <w:t>smernici 2013/36/EÚ, ako aj podniky vymedzené</w:t>
            </w:r>
            <w:r w:rsidR="004E4BE4">
              <w:rPr>
                <w:rFonts w:ascii="Times New Roman" w:hAnsi="Times New Roman"/>
              </w:rPr>
              <w:t xml:space="preserve"> v </w:t>
            </w:r>
            <w:r w:rsidRPr="004E4BE4">
              <w:rPr>
                <w:rFonts w:ascii="Times New Roman" w:hAnsi="Times New Roman"/>
              </w:rPr>
              <w:t>článku 4 ods. 1 bode 27 CRR, ktoré nie sú inštitúciami, na ktoré sa odkazuje</w:t>
            </w:r>
            <w:r w:rsidR="004E4BE4">
              <w:rPr>
                <w:rFonts w:ascii="Times New Roman" w:hAnsi="Times New Roman"/>
              </w:rPr>
              <w:t xml:space="preserve"> v </w:t>
            </w:r>
            <w:r w:rsidRPr="004E4BE4">
              <w:rPr>
                <w:rFonts w:ascii="Times New Roman" w:hAnsi="Times New Roman"/>
              </w:rPr>
              <w:t>{180;10}</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{250;010}</w:t>
            </w:r>
          </w:p>
        </w:tc>
        <w:tc>
          <w:tcPr>
            <w:tcW w:w="8133" w:type="dxa"/>
            <w:shd w:val="clear" w:color="auto" w:fill="FFFFFF"/>
          </w:tcPr>
          <w:p w:rsidR="00F4754B" w:rsidRPr="00ED4583" w:rsidRDefault="00CD1DA1" w:rsidP="007E2A41">
            <w:pPr>
              <w:pStyle w:val="BodyText1"/>
              <w:spacing w:line="240" w:lineRule="auto"/>
              <w:rPr>
                <w:rFonts w:ascii="Times New Roman" w:hAnsi="Times New Roman"/>
                <w:b/>
                <w:bCs/>
              </w:rPr>
            </w:pPr>
            <w:r w:rsidRPr="00ED4583">
              <w:rPr>
                <w:rFonts w:ascii="Times New Roman" w:hAnsi="Times New Roman"/>
                <w:b/>
              </w:rPr>
              <w:t>Nefinančné;</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expozície ukazovateľa finančnej páky aktív, ktoré sú expozíciami voči </w:t>
            </w:r>
            <w:r w:rsidRPr="00ED4583">
              <w:rPr>
                <w:rFonts w:ascii="Times New Roman" w:hAnsi="Times New Roman"/>
                <w:b/>
              </w:rPr>
              <w:t>nefinančným</w:t>
            </w:r>
            <w:r w:rsidRPr="004E4BE4">
              <w:rPr>
                <w:rFonts w:ascii="Times New Roman" w:hAnsi="Times New Roman"/>
              </w:rPr>
              <w:t xml:space="preserve"> podnikateľským subjektom, na ktoré sa vzťahuje článok 122 CRR</w:t>
            </w:r>
            <w:r w:rsidR="004E4BE4" w:rsidRPr="004E4BE4">
              <w:rPr>
                <w:rFonts w:ascii="Times New Roman" w:hAnsi="Times New Roman"/>
              </w:rPr>
              <w:t>.</w:t>
            </w:r>
          </w:p>
          <w:p w:rsidR="00FA71DB" w:rsidRPr="004E4BE4" w:rsidRDefault="00FA71D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{260 010}</w:t>
            </w:r>
            <w:r w:rsidR="004E4BE4">
              <w:rPr>
                <w:rFonts w:ascii="Times New Roman" w:hAnsi="Times New Roman"/>
              </w:rPr>
              <w:t xml:space="preserve"> a </w:t>
            </w:r>
            <w:r w:rsidRPr="004E4BE4">
              <w:rPr>
                <w:rFonts w:ascii="Times New Roman" w:hAnsi="Times New Roman"/>
              </w:rPr>
              <w:t>{270 010}.</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{250;020}</w:t>
            </w:r>
          </w:p>
        </w:tc>
        <w:tc>
          <w:tcPr>
            <w:tcW w:w="8133" w:type="dxa"/>
            <w:shd w:val="clear" w:color="auto" w:fill="FFFFFF"/>
          </w:tcPr>
          <w:p w:rsidR="00F4754B" w:rsidRPr="00ED4583" w:rsidRDefault="00CD1DA1" w:rsidP="007E2A41">
            <w:pPr>
              <w:pStyle w:val="BodyText1"/>
              <w:spacing w:line="240" w:lineRule="auto"/>
              <w:rPr>
                <w:rFonts w:ascii="Times New Roman" w:hAnsi="Times New Roman"/>
                <w:b/>
                <w:bCs/>
              </w:rPr>
            </w:pPr>
            <w:r w:rsidRPr="00ED4583">
              <w:rPr>
                <w:rFonts w:ascii="Times New Roman" w:hAnsi="Times New Roman"/>
                <w:b/>
              </w:rPr>
              <w:t>Nefinančné;</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expozície ukazovateľa finančnej páky aktív, ktoré sú expozíciami voči </w:t>
            </w:r>
            <w:r w:rsidRPr="00ED4583">
              <w:rPr>
                <w:rFonts w:ascii="Times New Roman" w:hAnsi="Times New Roman"/>
                <w:b/>
              </w:rPr>
              <w:t>nefinančným</w:t>
            </w:r>
            <w:r w:rsidRPr="004E4BE4">
              <w:rPr>
                <w:rFonts w:ascii="Times New Roman" w:hAnsi="Times New Roman"/>
              </w:rPr>
              <w:t xml:space="preserve"> podnikateľským subjektom podľa článku 147 ods. 2 písm. c) CRR, ak tieto expozície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sidRPr="004E4BE4">
              <w:rPr>
                <w:rFonts w:ascii="Times New Roman" w:hAnsi="Times New Roman"/>
              </w:rPr>
              <w:t>.</w:t>
            </w:r>
          </w:p>
          <w:p w:rsidR="00BE6AC4" w:rsidRPr="004E4BE4" w:rsidRDefault="00BE6AC4"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{260 020}</w:t>
            </w:r>
            <w:r w:rsidR="004E4BE4">
              <w:rPr>
                <w:rFonts w:ascii="Times New Roman" w:hAnsi="Times New Roman"/>
              </w:rPr>
              <w:t xml:space="preserve"> a </w:t>
            </w:r>
            <w:r w:rsidRPr="004E4BE4">
              <w:rPr>
                <w:rFonts w:ascii="Times New Roman" w:hAnsi="Times New Roman"/>
              </w:rPr>
              <w:t>{270 020}.</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{250;030}</w:t>
            </w:r>
          </w:p>
        </w:tc>
        <w:tc>
          <w:tcPr>
            <w:tcW w:w="8133" w:type="dxa"/>
            <w:shd w:val="clear" w:color="auto" w:fill="FFFFFF"/>
          </w:tcPr>
          <w:p w:rsidR="00F4754B" w:rsidRPr="00ED4583" w:rsidRDefault="00CD1DA1" w:rsidP="007E2A41">
            <w:pPr>
              <w:pStyle w:val="BodyText1"/>
              <w:spacing w:line="240" w:lineRule="auto"/>
              <w:rPr>
                <w:rFonts w:ascii="Times New Roman" w:hAnsi="Times New Roman"/>
                <w:b/>
                <w:bCs/>
              </w:rPr>
            </w:pPr>
            <w:r w:rsidRPr="00ED4583">
              <w:rPr>
                <w:rFonts w:ascii="Times New Roman" w:hAnsi="Times New Roman"/>
                <w:b/>
              </w:rPr>
              <w:t>Nefinančné;</w:t>
            </w:r>
            <w:r w:rsidR="004E4BE4" w:rsidRPr="00ED4583">
              <w:rPr>
                <w:rFonts w:ascii="Times New Roman" w:hAnsi="Times New Roman"/>
                <w:b/>
              </w:rPr>
              <w:t xml:space="preserve"> z </w:t>
            </w:r>
            <w:r w:rsidRPr="00ED4583">
              <w:rPr>
                <w:rFonts w:ascii="Times New Roman" w:hAnsi="Times New Roman"/>
                <w:b/>
              </w:rPr>
              <w:t>čoho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rizikovo váženej expozície aktív, ktoré sú expozíciami voči </w:t>
            </w:r>
            <w:r w:rsidRPr="00ED4583">
              <w:rPr>
                <w:rFonts w:ascii="Times New Roman" w:hAnsi="Times New Roman"/>
                <w:b/>
              </w:rPr>
              <w:t>nefinančným</w:t>
            </w:r>
            <w:r w:rsidRPr="004E4BE4">
              <w:rPr>
                <w:rFonts w:ascii="Times New Roman" w:hAnsi="Times New Roman"/>
              </w:rPr>
              <w:t xml:space="preserve"> podnikateľským subjektom, na ktoré sa vzťahuje článok 122 CRR</w:t>
            </w:r>
            <w:r w:rsidR="004E4BE4" w:rsidRPr="004E4BE4">
              <w:rPr>
                <w:rFonts w:ascii="Times New Roman" w:hAnsi="Times New Roman"/>
              </w:rPr>
              <w:t>.</w:t>
            </w:r>
          </w:p>
          <w:p w:rsidR="00FA71DB" w:rsidRPr="004E4BE4" w:rsidRDefault="00FA71D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{260 030}</w:t>
            </w:r>
            <w:r w:rsidR="004E4BE4">
              <w:rPr>
                <w:rFonts w:ascii="Times New Roman" w:hAnsi="Times New Roman"/>
              </w:rPr>
              <w:t xml:space="preserve"> a </w:t>
            </w:r>
            <w:r w:rsidRPr="004E4BE4">
              <w:rPr>
                <w:rFonts w:ascii="Times New Roman" w:hAnsi="Times New Roman"/>
              </w:rPr>
              <w:t>{270 030}.</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Del="00504CFF"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bCs/>
              </w:rPr>
            </w:pPr>
            <w:r w:rsidRPr="004E4BE4">
              <w:rPr>
                <w:rFonts w:ascii="Times New Roman" w:hAnsi="Times New Roman"/>
              </w:rPr>
              <w:t>{250;040}</w:t>
            </w:r>
          </w:p>
        </w:tc>
        <w:tc>
          <w:tcPr>
            <w:tcW w:w="8133" w:type="dxa"/>
            <w:shd w:val="clear" w:color="auto" w:fill="FFFFFF"/>
          </w:tcPr>
          <w:p w:rsidR="00F4754B" w:rsidRPr="00ED4583" w:rsidRDefault="00CD1DA1" w:rsidP="007E2A41">
            <w:pPr>
              <w:pStyle w:val="BodyText1"/>
              <w:spacing w:line="240" w:lineRule="auto"/>
              <w:rPr>
                <w:rFonts w:ascii="Times New Roman" w:hAnsi="Times New Roman"/>
                <w:b/>
                <w:bCs/>
              </w:rPr>
            </w:pPr>
            <w:r w:rsidRPr="00ED4583">
              <w:rPr>
                <w:rFonts w:ascii="Times New Roman" w:hAnsi="Times New Roman"/>
                <w:b/>
              </w:rPr>
              <w:t>Nefinančné;</w:t>
            </w:r>
            <w:r w:rsidR="004E4BE4" w:rsidRPr="00ED4583">
              <w:rPr>
                <w:rFonts w:ascii="Times New Roman" w:hAnsi="Times New Roman"/>
                <w:b/>
              </w:rPr>
              <w:t xml:space="preserve"> z </w:t>
            </w:r>
            <w:r w:rsidRPr="00ED4583">
              <w:rPr>
                <w:rFonts w:ascii="Times New Roman" w:hAnsi="Times New Roman"/>
                <w:b/>
              </w:rPr>
              <w:t>čoho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rizikovo váženej expozície aktív, ktoré sú expozíciami voči </w:t>
            </w:r>
            <w:r w:rsidRPr="00ED4583">
              <w:rPr>
                <w:rFonts w:ascii="Times New Roman" w:hAnsi="Times New Roman"/>
                <w:b/>
              </w:rPr>
              <w:t>nefinančným</w:t>
            </w:r>
            <w:r w:rsidRPr="004E4BE4">
              <w:rPr>
                <w:rFonts w:ascii="Times New Roman" w:hAnsi="Times New Roman"/>
              </w:rPr>
              <w:t xml:space="preserve"> podnikateľským subjektom podľa článku 147 ods. 2 písm. c) CRR, ak tieto expozície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sidRPr="004E4BE4">
              <w:rPr>
                <w:rFonts w:ascii="Times New Roman" w:hAnsi="Times New Roman"/>
              </w:rPr>
              <w:t>.</w:t>
            </w:r>
          </w:p>
          <w:p w:rsidR="00FA71DB" w:rsidRPr="004E4BE4" w:rsidRDefault="00FA71DB"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Ide</w:t>
            </w:r>
            <w:r w:rsidR="004E4BE4">
              <w:rPr>
                <w:rFonts w:ascii="Times New Roman" w:hAnsi="Times New Roman"/>
              </w:rPr>
              <w:t xml:space="preserve"> o </w:t>
            </w:r>
            <w:r w:rsidRPr="004E4BE4">
              <w:rPr>
                <w:rFonts w:ascii="Times New Roman" w:hAnsi="Times New Roman"/>
              </w:rPr>
              <w:t>súčet {260 040}</w:t>
            </w:r>
            <w:r w:rsidR="004E4BE4">
              <w:rPr>
                <w:rFonts w:ascii="Times New Roman" w:hAnsi="Times New Roman"/>
              </w:rPr>
              <w:t xml:space="preserve"> a </w:t>
            </w:r>
            <w:r w:rsidRPr="004E4BE4">
              <w:rPr>
                <w:rFonts w:ascii="Times New Roman" w:hAnsi="Times New Roman"/>
              </w:rPr>
              <w:t>{270 040}.</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Del="00504CFF"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{260;010}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MSP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podnikateľským subjektom vo forme malých</w:t>
            </w:r>
            <w:r w:rsidR="004E4BE4">
              <w:rPr>
                <w:rFonts w:ascii="Times New Roman" w:hAnsi="Times New Roman"/>
              </w:rPr>
              <w:t xml:space="preserve"> a </w:t>
            </w:r>
            <w:r w:rsidRPr="004E4BE4">
              <w:rPr>
                <w:rFonts w:ascii="Times New Roman" w:hAnsi="Times New Roman"/>
              </w:rPr>
              <w:t>stredných podnikov, na ktoré sa vzťahuje článok 122 CRR</w:t>
            </w:r>
            <w:r w:rsidR="004E4BE4" w:rsidRPr="004E4BE4">
              <w:rPr>
                <w:rFonts w:ascii="Times New Roman" w:hAnsi="Times New Roman"/>
              </w:rPr>
              <w:t>.</w:t>
            </w:r>
          </w:p>
          <w:p w:rsidR="00FA71DB" w:rsidRPr="004E4BE4" w:rsidRDefault="00FA71DB" w:rsidP="007E2A41">
            <w:pPr>
              <w:pStyle w:val="BodyText1"/>
              <w:spacing w:line="240" w:lineRule="auto"/>
              <w:rPr>
                <w:rFonts w:ascii="Times New Roman" w:hAnsi="Times New Roman"/>
                <w:bCs/>
              </w:rPr>
            </w:pPr>
          </w:p>
          <w:p w:rsidR="004F39F5" w:rsidRPr="004E4BE4" w:rsidRDefault="004F39F5" w:rsidP="007E2A41">
            <w:pPr>
              <w:pStyle w:val="BodyText1"/>
              <w:spacing w:line="240" w:lineRule="auto"/>
              <w:rPr>
                <w:rFonts w:ascii="Times New Roman" w:hAnsi="Times New Roman"/>
                <w:bCs/>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{260;020}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MSP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voči podnikateľským subjektom podľa článku 147 ods. 2 písm. c) CRR, ak sú tieto expozície expozíciami voči malým</w:t>
            </w:r>
            <w:r w:rsidR="004E4BE4">
              <w:rPr>
                <w:rFonts w:ascii="Times New Roman" w:hAnsi="Times New Roman"/>
              </w:rPr>
              <w:t xml:space="preserve"> a </w:t>
            </w:r>
            <w:r w:rsidRPr="004E4BE4">
              <w:rPr>
                <w:rFonts w:ascii="Times New Roman" w:hAnsi="Times New Roman"/>
              </w:rPr>
              <w:t>stredným podnikom</w:t>
            </w:r>
            <w:r w:rsidR="004E4BE4">
              <w:rPr>
                <w:rFonts w:ascii="Times New Roman" w:hAnsi="Times New Roman"/>
              </w:rPr>
              <w:t xml:space="preserve"> a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p>
          <w:p w:rsidR="00FA71DB" w:rsidRPr="004E4BE4" w:rsidRDefault="00FA71DB" w:rsidP="007E2A41">
            <w:pPr>
              <w:pStyle w:val="BodyText1"/>
              <w:spacing w:line="240" w:lineRule="auto"/>
              <w:rPr>
                <w:rFonts w:ascii="Times New Roman" w:hAnsi="Times New Roman"/>
                <w:bCs/>
              </w:rPr>
            </w:pPr>
          </w:p>
          <w:p w:rsidR="002509B1" w:rsidRPr="00040D93" w:rsidRDefault="004F39F5" w:rsidP="007E2A41">
            <w:pPr>
              <w:pStyle w:val="BodyText1"/>
              <w:spacing w:line="240" w:lineRule="auto"/>
              <w:rPr>
                <w:rFonts w:ascii="Times New Roman" w:hAnsi="Times New Roman"/>
                <w:b/>
                <w:bCs/>
                <w:u w:val="single"/>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 vymedzený</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9C4E79" w:rsidRPr="00040D93" w:rsidRDefault="009C4E79"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Del="00504CFF"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{260;030}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MSP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podnikateľským subjektom vo forme malých</w:t>
            </w:r>
            <w:r w:rsidR="004E4BE4">
              <w:rPr>
                <w:rFonts w:ascii="Times New Roman" w:hAnsi="Times New Roman"/>
              </w:rPr>
              <w:t xml:space="preserve"> a </w:t>
            </w:r>
            <w:r w:rsidRPr="004E4BE4">
              <w:rPr>
                <w:rFonts w:ascii="Times New Roman" w:hAnsi="Times New Roman"/>
              </w:rPr>
              <w:t>stredných podnikov, na ktoré sa vzťahuje článok 122 CRR</w:t>
            </w:r>
            <w:r w:rsidR="004E4BE4" w:rsidRPr="004E4BE4">
              <w:rPr>
                <w:rFonts w:ascii="Times New Roman" w:hAnsi="Times New Roman"/>
              </w:rPr>
              <w:t>.</w:t>
            </w:r>
          </w:p>
          <w:p w:rsidR="00FA71DB" w:rsidRPr="004E4BE4" w:rsidRDefault="00FA71DB" w:rsidP="007E2A41">
            <w:pPr>
              <w:pStyle w:val="BodyText1"/>
              <w:spacing w:line="240" w:lineRule="auto"/>
              <w:rPr>
                <w:rFonts w:ascii="Times New Roman" w:hAnsi="Times New Roman"/>
                <w:bCs/>
              </w:rPr>
            </w:pPr>
          </w:p>
          <w:p w:rsidR="004F39F5" w:rsidRPr="004E4BE4" w:rsidRDefault="004F39F5" w:rsidP="007E2A41">
            <w:pPr>
              <w:pStyle w:val="BodyText1"/>
              <w:spacing w:line="240" w:lineRule="auto"/>
              <w:rPr>
                <w:rFonts w:ascii="Times New Roman" w:hAnsi="Times New Roman"/>
                <w:bCs/>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 vymedzený</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{260;040}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 voči MSP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podnikateľským subjektom podľa článku 147 ods. 2 písm. c) CRR, ak sú tieto expozície expozíciami voči malým</w:t>
            </w:r>
            <w:r w:rsidR="004E4BE4">
              <w:rPr>
                <w:rFonts w:ascii="Times New Roman" w:hAnsi="Times New Roman"/>
              </w:rPr>
              <w:t xml:space="preserve"> a </w:t>
            </w:r>
            <w:r w:rsidRPr="004E4BE4">
              <w:rPr>
                <w:rFonts w:ascii="Times New Roman" w:hAnsi="Times New Roman"/>
              </w:rPr>
              <w:t>stredným podnikom</w:t>
            </w:r>
            <w:r w:rsidR="004E4BE4">
              <w:rPr>
                <w:rFonts w:ascii="Times New Roman" w:hAnsi="Times New Roman"/>
              </w:rPr>
              <w:t xml:space="preserve"> a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sidRPr="004E4BE4">
              <w:rPr>
                <w:rFonts w:ascii="Times New Roman" w:hAnsi="Times New Roman"/>
              </w:rPr>
              <w:t>.</w:t>
            </w:r>
          </w:p>
          <w:p w:rsidR="00FA71DB" w:rsidRPr="004E4BE4" w:rsidRDefault="00FA71DB" w:rsidP="007E2A41">
            <w:pPr>
              <w:pStyle w:val="BodyText1"/>
              <w:spacing w:line="240" w:lineRule="auto"/>
              <w:rPr>
                <w:rFonts w:ascii="Times New Roman" w:hAnsi="Times New Roman"/>
                <w:bCs/>
              </w:rPr>
            </w:pPr>
          </w:p>
          <w:p w:rsidR="004F39F5" w:rsidRPr="004E4BE4" w:rsidRDefault="004F39F5" w:rsidP="007E2A41">
            <w:pPr>
              <w:pStyle w:val="BodyText1"/>
              <w:spacing w:line="240" w:lineRule="auto"/>
              <w:rPr>
                <w:rFonts w:ascii="Times New Roman" w:hAnsi="Times New Roman"/>
                <w:bCs/>
              </w:rPr>
            </w:pPr>
            <w:r w:rsidRPr="004E4BE4">
              <w:rPr>
                <w:rFonts w:ascii="Times New Roman" w:hAnsi="Times New Roman"/>
              </w:rPr>
              <w:t>Na účely tejto bunky je pojem „malý</w:t>
            </w:r>
            <w:r w:rsidR="004E4BE4">
              <w:rPr>
                <w:rFonts w:ascii="Times New Roman" w:hAnsi="Times New Roman"/>
              </w:rPr>
              <w:t xml:space="preserve"> a </w:t>
            </w:r>
            <w:r w:rsidRPr="004E4BE4">
              <w:rPr>
                <w:rFonts w:ascii="Times New Roman" w:hAnsi="Times New Roman"/>
              </w:rPr>
              <w:t>stredný podnik“ vymedzený</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501 ods. 2 písm. b) CRR.</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{270;010}</w:t>
            </w:r>
          </w:p>
        </w:tc>
        <w:tc>
          <w:tcPr>
            <w:tcW w:w="8133" w:type="dxa"/>
            <w:shd w:val="clear" w:color="auto" w:fill="FFFFFF"/>
          </w:tcPr>
          <w:p w:rsidR="00F4754B" w:rsidRPr="00ED4583" w:rsidRDefault="00BE6AC4" w:rsidP="007E2A41">
            <w:pPr>
              <w:pStyle w:val="BodyText1"/>
              <w:spacing w:line="240" w:lineRule="auto"/>
              <w:rPr>
                <w:rFonts w:ascii="Times New Roman" w:hAnsi="Times New Roman"/>
                <w:b/>
              </w:rPr>
            </w:pPr>
            <w:r w:rsidRPr="00ED4583">
              <w:rPr>
                <w:rFonts w:ascii="Times New Roman" w:hAnsi="Times New Roman"/>
                <w:b/>
              </w:rPr>
              <w:t>Expozície iné než expozície voči MSP – hodnota expozície ukazovateľa finančnej páky – expozície podľa SA</w:t>
            </w:r>
          </w:p>
          <w:p w:rsidR="002509B1" w:rsidRPr="00ED4583" w:rsidRDefault="002509B1" w:rsidP="007E2A41">
            <w:pPr>
              <w:pStyle w:val="BodyText1"/>
              <w:spacing w:line="240" w:lineRule="auto"/>
              <w:rPr>
                <w:rFonts w:ascii="Times New Roman" w:hAnsi="Times New Roman"/>
                <w:b/>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expozícií ukazovateľa finančnej páky aktív, ktoré sú expozíciami voči podnikateľským subjektom, na ktoré sa vzťahuje článok 122 CRR</w:t>
            </w:r>
            <w:r w:rsidR="004E4BE4">
              <w:rPr>
                <w:rFonts w:ascii="Times New Roman" w:hAnsi="Times New Roman"/>
              </w:rPr>
              <w:t xml:space="preserve"> a </w:t>
            </w:r>
            <w:r w:rsidRPr="004E4BE4">
              <w:rPr>
                <w:rFonts w:ascii="Times New Roman" w:hAnsi="Times New Roman"/>
              </w:rPr>
              <w:t>ktoré sa nevykazujú</w:t>
            </w:r>
            <w:r w:rsidR="004E4BE4">
              <w:rPr>
                <w:rFonts w:ascii="Times New Roman" w:hAnsi="Times New Roman"/>
              </w:rPr>
              <w:t xml:space="preserve"> v </w:t>
            </w:r>
            <w:r w:rsidRPr="004E4BE4">
              <w:rPr>
                <w:rFonts w:ascii="Times New Roman" w:hAnsi="Times New Roman"/>
              </w:rPr>
              <w:t>{230;040}</w:t>
            </w:r>
            <w:r w:rsidR="004E4BE4">
              <w:rPr>
                <w:rFonts w:ascii="Times New Roman" w:hAnsi="Times New Roman"/>
              </w:rPr>
              <w:t xml:space="preserve"> a </w:t>
            </w:r>
            <w:r w:rsidRPr="004E4BE4">
              <w:rPr>
                <w:rFonts w:ascii="Times New Roman" w:hAnsi="Times New Roman"/>
              </w:rPr>
              <w:t>{250;040}</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{270;020}</w:t>
            </w:r>
          </w:p>
        </w:tc>
        <w:tc>
          <w:tcPr>
            <w:tcW w:w="8133" w:type="dxa"/>
            <w:shd w:val="clear" w:color="auto" w:fill="FFFFFF"/>
          </w:tcPr>
          <w:p w:rsidR="00F4754B" w:rsidRPr="00ED4583" w:rsidRDefault="00BE6AC4" w:rsidP="007E2A41">
            <w:pPr>
              <w:pStyle w:val="BodyText1"/>
              <w:spacing w:line="240" w:lineRule="auto"/>
              <w:rPr>
                <w:rFonts w:ascii="Times New Roman" w:hAnsi="Times New Roman"/>
                <w:b/>
                <w:bCs/>
              </w:rPr>
            </w:pPr>
            <w:r w:rsidRPr="00ED4583">
              <w:rPr>
                <w:rFonts w:ascii="Times New Roman" w:hAnsi="Times New Roman"/>
                <w:b/>
              </w:rPr>
              <w:t>Expozície iné než expozície voči MSP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 xml:space="preserve">Hodnota expozície ukazovateľa finančnej páky aktív, ktoré sú expozíciami voči podnikateľským subjektom podľa článku 147 ods. 2 písm. c) CRR, ak tieto expozície </w:t>
            </w:r>
            <w:r w:rsidRPr="00040D93">
              <w:rPr>
                <w:rFonts w:ascii="Times New Roman" w:hAnsi="Times New Roman"/>
                <w:b/>
                <w:u w:val="single"/>
              </w:rPr>
              <w:t>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Pr>
                <w:rFonts w:ascii="Times New Roman" w:hAnsi="Times New Roman"/>
              </w:rPr>
              <w:t xml:space="preserve"> a </w:t>
            </w:r>
            <w:r w:rsidRPr="004E4BE4">
              <w:rPr>
                <w:rFonts w:ascii="Times New Roman" w:hAnsi="Times New Roman"/>
              </w:rPr>
              <w:t>ktoré sa nevykazujú</w:t>
            </w:r>
            <w:r w:rsidR="004E4BE4">
              <w:rPr>
                <w:rFonts w:ascii="Times New Roman" w:hAnsi="Times New Roman"/>
              </w:rPr>
              <w:t xml:space="preserve"> v </w:t>
            </w:r>
            <w:r w:rsidRPr="004E4BE4">
              <w:rPr>
                <w:rFonts w:ascii="Times New Roman" w:hAnsi="Times New Roman"/>
              </w:rPr>
              <w:t>{230;040}</w:t>
            </w:r>
            <w:r w:rsidR="004E4BE4">
              <w:rPr>
                <w:rFonts w:ascii="Times New Roman" w:hAnsi="Times New Roman"/>
              </w:rPr>
              <w:t xml:space="preserve"> a </w:t>
            </w:r>
            <w:r w:rsidRPr="004E4BE4">
              <w:rPr>
                <w:rFonts w:ascii="Times New Roman" w:hAnsi="Times New Roman"/>
              </w:rPr>
              <w:t>{250;040}</w:t>
            </w:r>
            <w:r w:rsidR="004E4BE4" w:rsidRPr="004E4BE4">
              <w:rPr>
                <w:rFonts w:ascii="Times New Roman" w:hAnsi="Times New Roman"/>
              </w:rPr>
              <w:t>.</w:t>
            </w:r>
          </w:p>
          <w:p w:rsidR="009C4E79" w:rsidRPr="00040D93" w:rsidRDefault="009C4E79"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{270;030}</w:t>
            </w:r>
          </w:p>
        </w:tc>
        <w:tc>
          <w:tcPr>
            <w:tcW w:w="8133" w:type="dxa"/>
            <w:shd w:val="clear" w:color="auto" w:fill="FFFFFF"/>
          </w:tcPr>
          <w:p w:rsidR="00F4754B" w:rsidRPr="00ED4583" w:rsidRDefault="00BE6AC4" w:rsidP="007E2A41">
            <w:pPr>
              <w:pStyle w:val="BodyText1"/>
              <w:spacing w:line="240" w:lineRule="auto"/>
              <w:rPr>
                <w:rFonts w:ascii="Times New Roman" w:hAnsi="Times New Roman"/>
                <w:b/>
                <w:bCs/>
              </w:rPr>
            </w:pPr>
            <w:r w:rsidRPr="00ED4583">
              <w:rPr>
                <w:rFonts w:ascii="Times New Roman" w:hAnsi="Times New Roman"/>
                <w:b/>
              </w:rPr>
              <w:t>Expozície iné než expozície voči MSP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podnikateľským subjektom, na ktoré sa vzťahuje článok 122 CRR</w:t>
            </w:r>
            <w:r w:rsidR="004E4BE4">
              <w:rPr>
                <w:rFonts w:ascii="Times New Roman" w:hAnsi="Times New Roman"/>
              </w:rPr>
              <w:t xml:space="preserve"> a </w:t>
            </w:r>
            <w:r w:rsidRPr="004E4BE4">
              <w:rPr>
                <w:rFonts w:ascii="Times New Roman" w:hAnsi="Times New Roman"/>
              </w:rPr>
              <w:t>ktoré sa nevykazujú</w:t>
            </w:r>
            <w:r w:rsidR="004E4BE4">
              <w:rPr>
                <w:rFonts w:ascii="Times New Roman" w:hAnsi="Times New Roman"/>
              </w:rPr>
              <w:t xml:space="preserve"> v </w:t>
            </w:r>
            <w:r w:rsidRPr="004E4BE4">
              <w:rPr>
                <w:rFonts w:ascii="Times New Roman" w:hAnsi="Times New Roman"/>
              </w:rPr>
              <w:t>{230;040}</w:t>
            </w:r>
            <w:r w:rsidR="004E4BE4">
              <w:rPr>
                <w:rFonts w:ascii="Times New Roman" w:hAnsi="Times New Roman"/>
              </w:rPr>
              <w:t xml:space="preserve"> a </w:t>
            </w:r>
            <w:r w:rsidRPr="004E4BE4">
              <w:rPr>
                <w:rFonts w:ascii="Times New Roman" w:hAnsi="Times New Roman"/>
              </w:rPr>
              <w:t>{250;040}</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{270;040}</w:t>
            </w:r>
          </w:p>
        </w:tc>
        <w:tc>
          <w:tcPr>
            <w:tcW w:w="8133" w:type="dxa"/>
            <w:shd w:val="clear" w:color="auto" w:fill="FFFFFF"/>
          </w:tcPr>
          <w:p w:rsidR="00F4754B" w:rsidRPr="00ED4583" w:rsidRDefault="00BE6AC4" w:rsidP="007E2A41">
            <w:pPr>
              <w:pStyle w:val="BodyText1"/>
              <w:spacing w:line="240" w:lineRule="auto"/>
              <w:rPr>
                <w:rFonts w:ascii="Times New Roman" w:hAnsi="Times New Roman"/>
                <w:b/>
                <w:bCs/>
              </w:rPr>
            </w:pPr>
            <w:r w:rsidRPr="00ED4583">
              <w:rPr>
                <w:rFonts w:ascii="Times New Roman" w:hAnsi="Times New Roman"/>
                <w:b/>
              </w:rPr>
              <w:t>Expozície iné než expozície voči MSP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podnikateľským subjektom podľa článku 147 ods. 2 písm. c) CRR, ak tieto expozície</w:t>
            </w:r>
            <w:r w:rsidRPr="00040D93">
              <w:rPr>
                <w:rFonts w:ascii="Times New Roman" w:hAnsi="Times New Roman"/>
                <w:b/>
                <w:u w:val="single"/>
              </w:rPr>
              <w:t xml:space="preserve"> nie sú</w:t>
            </w:r>
            <w:r w:rsidRPr="004E4BE4">
              <w:rPr>
                <w:rFonts w:ascii="Times New Roman" w:hAnsi="Times New Roman"/>
              </w:rPr>
              <w:t xml:space="preserve"> zabezpečené hypotékami na nehnuteľný majetok</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199 ods. 1 písm. a) CRR</w:t>
            </w:r>
            <w:r w:rsidR="004E4BE4">
              <w:rPr>
                <w:rFonts w:ascii="Times New Roman" w:hAnsi="Times New Roman"/>
              </w:rPr>
              <w:t xml:space="preserve"> a </w:t>
            </w:r>
            <w:r w:rsidRPr="004E4BE4">
              <w:rPr>
                <w:rFonts w:ascii="Times New Roman" w:hAnsi="Times New Roman"/>
              </w:rPr>
              <w:t>ktoré sa nevykazujú</w:t>
            </w:r>
            <w:r w:rsidR="004E4BE4">
              <w:rPr>
                <w:rFonts w:ascii="Times New Roman" w:hAnsi="Times New Roman"/>
              </w:rPr>
              <w:t xml:space="preserve"> v </w:t>
            </w:r>
            <w:r w:rsidRPr="004E4BE4">
              <w:rPr>
                <w:rFonts w:ascii="Times New Roman" w:hAnsi="Times New Roman"/>
              </w:rPr>
              <w:t>{230;040}</w:t>
            </w:r>
            <w:r w:rsidR="004E4BE4">
              <w:rPr>
                <w:rFonts w:ascii="Times New Roman" w:hAnsi="Times New Roman"/>
              </w:rPr>
              <w:t xml:space="preserve"> a </w:t>
            </w:r>
            <w:r w:rsidRPr="004E4BE4">
              <w:rPr>
                <w:rFonts w:ascii="Times New Roman" w:hAnsi="Times New Roman"/>
              </w:rPr>
              <w:t>{250;040}</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rPr>
            </w:pPr>
            <w:r w:rsidRPr="004E4BE4">
              <w:rPr>
                <w:rFonts w:ascii="Times New Roman" w:hAnsi="Times New Roman"/>
              </w:rPr>
              <w:t>{280;010}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v </w:t>
            </w:r>
            <w:r w:rsidRPr="00ED4583">
              <w:rPr>
                <w:rFonts w:ascii="Times New Roman" w:hAnsi="Times New Roman"/>
                <w:b/>
              </w:rPr>
              <w:t>stave zlyhania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w:t>
            </w:r>
            <w:r w:rsidR="004E4BE4">
              <w:rPr>
                <w:rFonts w:ascii="Times New Roman" w:hAnsi="Times New Roman"/>
              </w:rPr>
              <w:t xml:space="preserve"> v </w:t>
            </w:r>
            <w:r w:rsidRPr="004E4BE4">
              <w:rPr>
                <w:rFonts w:ascii="Times New Roman" w:hAnsi="Times New Roman"/>
              </w:rPr>
              <w:t>stave zlyhania,</w:t>
            </w:r>
            <w:r w:rsidR="004E4BE4">
              <w:rPr>
                <w:rFonts w:ascii="Times New Roman" w:hAnsi="Times New Roman"/>
              </w:rPr>
              <w:t xml:space="preserve"> a </w:t>
            </w:r>
            <w:r w:rsidRPr="004E4BE4">
              <w:rPr>
                <w:rFonts w:ascii="Times New Roman" w:hAnsi="Times New Roman"/>
              </w:rPr>
              <w:t>vzťahuje sa teda na ne článok 127 CRR</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{280;020}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v </w:t>
            </w:r>
            <w:r w:rsidRPr="00ED4583">
              <w:rPr>
                <w:rFonts w:ascii="Times New Roman" w:hAnsi="Times New Roman"/>
                <w:b/>
              </w:rPr>
              <w:t>stave zlyhania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zaradených do tried expozícií uvedených</w:t>
            </w:r>
            <w:r w:rsidR="004E4BE4">
              <w:rPr>
                <w:rFonts w:ascii="Times New Roman" w:hAnsi="Times New Roman"/>
              </w:rPr>
              <w:t xml:space="preserve"> v </w:t>
            </w:r>
            <w:r w:rsidRPr="004E4BE4">
              <w:rPr>
                <w:rFonts w:ascii="Times New Roman" w:hAnsi="Times New Roman"/>
              </w:rPr>
              <w:t>článku 147 ods. 2 CRR, ak došlo</w:t>
            </w:r>
            <w:r w:rsidR="004E4BE4">
              <w:rPr>
                <w:rFonts w:ascii="Times New Roman" w:hAnsi="Times New Roman"/>
              </w:rPr>
              <w:t xml:space="preserve"> k </w:t>
            </w:r>
            <w:r w:rsidRPr="004E4BE4">
              <w:rPr>
                <w:rFonts w:ascii="Times New Roman" w:hAnsi="Times New Roman"/>
              </w:rPr>
              <w:t>zlyhaniu</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178 CRR</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{280;030}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v </w:t>
            </w:r>
            <w:r w:rsidRPr="00ED4583">
              <w:rPr>
                <w:rFonts w:ascii="Times New Roman" w:hAnsi="Times New Roman"/>
                <w:b/>
              </w:rPr>
              <w:t>stave zlyhania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w:t>
            </w:r>
            <w:r w:rsidR="004E4BE4">
              <w:rPr>
                <w:rFonts w:ascii="Times New Roman" w:hAnsi="Times New Roman"/>
              </w:rPr>
              <w:t xml:space="preserve"> v </w:t>
            </w:r>
            <w:r w:rsidRPr="004E4BE4">
              <w:rPr>
                <w:rFonts w:ascii="Times New Roman" w:hAnsi="Times New Roman"/>
              </w:rPr>
              <w:t>stave zlyhania,</w:t>
            </w:r>
            <w:r w:rsidR="004E4BE4">
              <w:rPr>
                <w:rFonts w:ascii="Times New Roman" w:hAnsi="Times New Roman"/>
              </w:rPr>
              <w:t xml:space="preserve"> a </w:t>
            </w:r>
            <w:r w:rsidRPr="004E4BE4">
              <w:rPr>
                <w:rFonts w:ascii="Times New Roman" w:hAnsi="Times New Roman"/>
              </w:rPr>
              <w:t>vzťahuje sa teda na ne článok 127 CRR</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{280;040}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Expozície</w:t>
            </w:r>
            <w:r w:rsidR="004E4BE4" w:rsidRPr="00ED4583">
              <w:rPr>
                <w:rFonts w:ascii="Times New Roman" w:hAnsi="Times New Roman"/>
                <w:b/>
              </w:rPr>
              <w:t xml:space="preserve"> v </w:t>
            </w:r>
            <w:r w:rsidRPr="00ED4583">
              <w:rPr>
                <w:rFonts w:ascii="Times New Roman" w:hAnsi="Times New Roman"/>
                <w:b/>
              </w:rPr>
              <w:t>stave zlyhania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zaradených do tried expozícií uvedených</w:t>
            </w:r>
            <w:r w:rsidR="004E4BE4">
              <w:rPr>
                <w:rFonts w:ascii="Times New Roman" w:hAnsi="Times New Roman"/>
              </w:rPr>
              <w:t xml:space="preserve"> v </w:t>
            </w:r>
            <w:r w:rsidRPr="004E4BE4">
              <w:rPr>
                <w:rFonts w:ascii="Times New Roman" w:hAnsi="Times New Roman"/>
              </w:rPr>
              <w:t>článku 147 ods. 2 CRR, ak došlo</w:t>
            </w:r>
            <w:r w:rsidR="004E4BE4">
              <w:rPr>
                <w:rFonts w:ascii="Times New Roman" w:hAnsi="Times New Roman"/>
              </w:rPr>
              <w:t xml:space="preserve"> k </w:t>
            </w:r>
            <w:r w:rsidRPr="004E4BE4">
              <w:rPr>
                <w:rFonts w:ascii="Times New Roman" w:hAnsi="Times New Roman"/>
              </w:rPr>
              <w:t>zlyhaniu</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článkom 178 CRR</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F4754B">
            <w:pPr>
              <w:pStyle w:val="BodyText1"/>
              <w:rPr>
                <w:rFonts w:ascii="Times New Roman" w:hAnsi="Times New Roman"/>
              </w:rPr>
            </w:pPr>
            <w:r w:rsidRPr="004E4BE4">
              <w:rPr>
                <w:rFonts w:ascii="Times New Roman" w:hAnsi="Times New Roman"/>
              </w:rPr>
              <w:t>{290;010}</w:t>
            </w:r>
          </w:p>
          <w:p w:rsidR="00F4754B" w:rsidRPr="004E4BE4" w:rsidRDefault="00F4754B" w:rsidP="00F4754B">
            <w:pPr>
              <w:pStyle w:val="BodyText1"/>
              <w:rPr>
                <w:rFonts w:ascii="Times New Roman" w:hAnsi="Times New Roman"/>
              </w:rPr>
            </w:pP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Iné expozície;</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SA</w:t>
            </w:r>
          </w:p>
          <w:p w:rsidR="002509B1" w:rsidRPr="004E4BE4" w:rsidRDefault="002509B1" w:rsidP="007E2A41">
            <w:pPr>
              <w:pStyle w:val="BodyText1"/>
              <w:spacing w:line="240" w:lineRule="auto"/>
              <w:rPr>
                <w:rFonts w:ascii="Times New Roman" w:hAnsi="Times New Roman"/>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zaradených do tried expozícií uvedených</w:t>
            </w:r>
            <w:r w:rsidR="004E4BE4">
              <w:rPr>
                <w:rFonts w:ascii="Times New Roman" w:hAnsi="Times New Roman"/>
              </w:rPr>
              <w:t xml:space="preserve"> v </w:t>
            </w:r>
            <w:r w:rsidRPr="004E4BE4">
              <w:rPr>
                <w:rFonts w:ascii="Times New Roman" w:hAnsi="Times New Roman"/>
              </w:rPr>
              <w:t>článku 112 písm. k), m), n), o), p)</w:t>
            </w:r>
            <w:r w:rsidR="004E4BE4">
              <w:rPr>
                <w:rFonts w:ascii="Times New Roman" w:hAnsi="Times New Roman"/>
              </w:rPr>
              <w:t xml:space="preserve"> a </w:t>
            </w:r>
            <w:r w:rsidRPr="004E4BE4">
              <w:rPr>
                <w:rFonts w:ascii="Times New Roman" w:hAnsi="Times New Roman"/>
              </w:rPr>
              <w:t>q) CRR</w:t>
            </w:r>
            <w:r w:rsidR="004E4BE4" w:rsidRPr="004E4BE4">
              <w:rPr>
                <w:rFonts w:ascii="Times New Roman" w:hAnsi="Times New Roman"/>
              </w:rPr>
              <w:t>.</w:t>
            </w:r>
          </w:p>
          <w:p w:rsidR="00482670" w:rsidRPr="004E4BE4" w:rsidRDefault="00482670" w:rsidP="007E2A41">
            <w:pPr>
              <w:pStyle w:val="BodyText1"/>
              <w:spacing w:line="240" w:lineRule="auto"/>
              <w:rPr>
                <w:rFonts w:ascii="Times New Roman" w:hAnsi="Times New Roman"/>
                <w:bCs/>
              </w:rPr>
            </w:pPr>
          </w:p>
          <w:p w:rsidR="00482670" w:rsidRPr="004E4BE4" w:rsidRDefault="00482670" w:rsidP="007E2A41">
            <w:pPr>
              <w:pStyle w:val="BodyText1"/>
              <w:spacing w:line="240" w:lineRule="auto"/>
              <w:rPr>
                <w:rFonts w:ascii="Times New Roman" w:hAnsi="Times New Roman"/>
                <w:bCs/>
              </w:rPr>
            </w:pPr>
            <w:r w:rsidRPr="004E4BE4">
              <w:rPr>
                <w:rFonts w:ascii="Times New Roman" w:hAnsi="Times New Roman"/>
              </w:rPr>
              <w:t>Inštitúcie vykazujú aktíva, ktoré sú odpočítané od vlastných zdrojov (napr. nehmotné aktíva), avšak nedajú sa sem zaradiť inak, aj keď také zatriedenie sa nevyžaduje na určenie požiadaviek na vlastné zdroje založené na riziku</w:t>
            </w:r>
            <w:r w:rsidR="004E4BE4">
              <w:rPr>
                <w:rFonts w:ascii="Times New Roman" w:hAnsi="Times New Roman"/>
              </w:rPr>
              <w:t xml:space="preserve"> v </w:t>
            </w:r>
            <w:r w:rsidRPr="004E4BE4">
              <w:rPr>
                <w:rFonts w:ascii="Times New Roman" w:hAnsi="Times New Roman"/>
              </w:rPr>
              <w:t>stĺpcoch {*; 030}</w:t>
            </w:r>
            <w:r w:rsidR="004E4BE4">
              <w:rPr>
                <w:rFonts w:ascii="Times New Roman" w:hAnsi="Times New Roman"/>
              </w:rPr>
              <w:t xml:space="preserve"> a </w:t>
            </w:r>
            <w:r w:rsidRPr="004E4BE4">
              <w:rPr>
                <w:rFonts w:ascii="Times New Roman" w:hAnsi="Times New Roman"/>
              </w:rPr>
              <w:t>{*; 040}.</w:t>
            </w:r>
          </w:p>
          <w:p w:rsidR="002509B1" w:rsidRPr="004E4BE4" w:rsidRDefault="002509B1"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086A8A" w:rsidRPr="004E4BE4" w:rsidRDefault="00086A8A"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{290;020}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Iné expozície;</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IRB</w:t>
            </w:r>
          </w:p>
          <w:p w:rsidR="002509B1" w:rsidRPr="004E4BE4" w:rsidRDefault="002509B1" w:rsidP="007E2A41">
            <w:pPr>
              <w:pStyle w:val="BodyText1"/>
              <w:spacing w:line="240" w:lineRule="auto"/>
              <w:rPr>
                <w:rFonts w:ascii="Times New Roman" w:hAnsi="Times New Roman"/>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zaradených do tried expozícií uvedených</w:t>
            </w:r>
            <w:r w:rsidR="004E4BE4">
              <w:rPr>
                <w:rFonts w:ascii="Times New Roman" w:hAnsi="Times New Roman"/>
              </w:rPr>
              <w:t xml:space="preserve"> v </w:t>
            </w:r>
            <w:r w:rsidRPr="004E4BE4">
              <w:rPr>
                <w:rFonts w:ascii="Times New Roman" w:hAnsi="Times New Roman"/>
              </w:rPr>
              <w:t>článku 147 ods. 2 písm. e), f)</w:t>
            </w:r>
            <w:r w:rsidR="004E4BE4">
              <w:rPr>
                <w:rFonts w:ascii="Times New Roman" w:hAnsi="Times New Roman"/>
              </w:rPr>
              <w:t xml:space="preserve"> a </w:t>
            </w:r>
            <w:r w:rsidRPr="004E4BE4">
              <w:rPr>
                <w:rFonts w:ascii="Times New Roman" w:hAnsi="Times New Roman"/>
              </w:rPr>
              <w:t>g) CRR</w:t>
            </w:r>
            <w:r w:rsidR="004E4BE4" w:rsidRPr="004E4BE4">
              <w:rPr>
                <w:rFonts w:ascii="Times New Roman" w:hAnsi="Times New Roman"/>
              </w:rPr>
              <w:t>.</w:t>
            </w:r>
          </w:p>
          <w:p w:rsidR="00482670" w:rsidRPr="004E4BE4" w:rsidRDefault="00482670" w:rsidP="007E2A41">
            <w:pPr>
              <w:pStyle w:val="BodyText1"/>
              <w:spacing w:line="240" w:lineRule="auto"/>
              <w:rPr>
                <w:rFonts w:ascii="Times New Roman" w:hAnsi="Times New Roman"/>
                <w:bCs/>
              </w:rPr>
            </w:pPr>
          </w:p>
          <w:p w:rsidR="00482670" w:rsidRPr="004E4BE4" w:rsidRDefault="00482670" w:rsidP="007E2A41">
            <w:pPr>
              <w:pStyle w:val="BodyText1"/>
              <w:spacing w:line="240" w:lineRule="auto"/>
              <w:rPr>
                <w:rFonts w:ascii="Times New Roman" w:hAnsi="Times New Roman"/>
                <w:bCs/>
              </w:rPr>
            </w:pPr>
            <w:r w:rsidRPr="004E4BE4">
              <w:rPr>
                <w:rFonts w:ascii="Times New Roman" w:hAnsi="Times New Roman"/>
              </w:rPr>
              <w:t>Inštitúcie vykazujú aktíva, ktoré sú odpočítané od vlastných zdrojov (napr. nehmotné aktíva), avšak nedajú sa sem zaradiť inak, aj keď také zatriedenie sa nevyžaduje na určenie požiadaviek na vlastné zdroje založené na riziku</w:t>
            </w:r>
            <w:r w:rsidR="004E4BE4">
              <w:rPr>
                <w:rFonts w:ascii="Times New Roman" w:hAnsi="Times New Roman"/>
              </w:rPr>
              <w:t xml:space="preserve"> v </w:t>
            </w:r>
            <w:r w:rsidRPr="004E4BE4">
              <w:rPr>
                <w:rFonts w:ascii="Times New Roman" w:hAnsi="Times New Roman"/>
              </w:rPr>
              <w:t>stĺpcoch {*; 030}</w:t>
            </w:r>
            <w:r w:rsidR="004E4BE4">
              <w:rPr>
                <w:rFonts w:ascii="Times New Roman" w:hAnsi="Times New Roman"/>
              </w:rPr>
              <w:t xml:space="preserve"> a </w:t>
            </w:r>
            <w:r w:rsidRPr="004E4BE4">
              <w:rPr>
                <w:rFonts w:ascii="Times New Roman" w:hAnsi="Times New Roman"/>
              </w:rPr>
              <w:t>{*; 040}.</w:t>
            </w:r>
          </w:p>
          <w:p w:rsidR="00BB388D" w:rsidRPr="004E4BE4" w:rsidRDefault="00BB388D" w:rsidP="007E2A41">
            <w:pPr>
              <w:pStyle w:val="BodyText1"/>
              <w:spacing w:line="240" w:lineRule="auto"/>
              <w:rPr>
                <w:rFonts w:ascii="Times New Roman" w:hAnsi="Times New Roman"/>
                <w:bCs/>
              </w:rPr>
            </w:pPr>
          </w:p>
          <w:p w:rsidR="00BB388D" w:rsidRPr="004E4BE4" w:rsidRDefault="00BB388D"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{290;030}</w:t>
            </w:r>
          </w:p>
        </w:tc>
        <w:tc>
          <w:tcPr>
            <w:tcW w:w="8133" w:type="dxa"/>
            <w:shd w:val="clear" w:color="auto" w:fill="FFFFFF"/>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Iné expozície;</w:t>
            </w:r>
            <w:r w:rsidR="004E4BE4" w:rsidRPr="00ED4583">
              <w:rPr>
                <w:rFonts w:ascii="Times New Roman" w:hAnsi="Times New Roman"/>
                <w:b/>
              </w:rPr>
              <w:t xml:space="preserve"> z </w:t>
            </w:r>
            <w:r w:rsidRPr="00ED4583">
              <w:rPr>
                <w:rFonts w:ascii="Times New Roman" w:hAnsi="Times New Roman"/>
                <w:b/>
              </w:rPr>
              <w:t>čoho</w:t>
            </w:r>
            <w:r w:rsidRPr="004E4BE4">
              <w:rPr>
                <w:rFonts w:ascii="Times New Roman" w:hAnsi="Times New Roman"/>
              </w:rPr>
              <w:t xml:space="preserve"> </w:t>
            </w:r>
            <w:r w:rsidRPr="00ED4583">
              <w:rPr>
                <w:rFonts w:ascii="Times New Roman" w:hAnsi="Times New Roman"/>
                <w:b/>
              </w:rPr>
              <w:t>– RWA – expozície podľa SA</w:t>
            </w:r>
          </w:p>
          <w:p w:rsidR="002509B1" w:rsidRPr="004E4BE4" w:rsidRDefault="002509B1" w:rsidP="007E2A41">
            <w:pPr>
              <w:pStyle w:val="BodyText1"/>
              <w:spacing w:line="240" w:lineRule="auto"/>
              <w:rPr>
                <w:rFonts w:ascii="Times New Roman" w:hAnsi="Times New Roman"/>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rizikovo váženej expozície aktív zaradených do tried expozícií uvedených</w:t>
            </w:r>
            <w:r w:rsidR="004E4BE4">
              <w:rPr>
                <w:rFonts w:ascii="Times New Roman" w:hAnsi="Times New Roman"/>
              </w:rPr>
              <w:t xml:space="preserve"> v </w:t>
            </w:r>
            <w:r w:rsidRPr="004E4BE4">
              <w:rPr>
                <w:rFonts w:ascii="Times New Roman" w:hAnsi="Times New Roman"/>
              </w:rPr>
              <w:t>článku 112 písm. k), m), n), o), p)</w:t>
            </w:r>
            <w:r w:rsidR="004E4BE4">
              <w:rPr>
                <w:rFonts w:ascii="Times New Roman" w:hAnsi="Times New Roman"/>
              </w:rPr>
              <w:t xml:space="preserve"> a </w:t>
            </w:r>
            <w:r w:rsidRPr="004E4BE4">
              <w:rPr>
                <w:rFonts w:ascii="Times New Roman" w:hAnsi="Times New Roman"/>
              </w:rPr>
              <w:t>q) CRR.</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rPr>
            </w:pPr>
            <w:r w:rsidRPr="004E4BE4">
              <w:rPr>
                <w:rFonts w:ascii="Times New Roman" w:hAnsi="Times New Roman"/>
              </w:rPr>
              <w:t>{290;040}</w:t>
            </w:r>
          </w:p>
        </w:tc>
        <w:tc>
          <w:tcPr>
            <w:tcW w:w="8133" w:type="dxa"/>
            <w:shd w:val="clear" w:color="auto" w:fill="FFFFFF"/>
          </w:tcPr>
          <w:p w:rsidR="00F4754B" w:rsidRPr="004E4BE4" w:rsidRDefault="00F4754B" w:rsidP="007E2A41">
            <w:pPr>
              <w:pStyle w:val="BodyText1"/>
              <w:spacing w:line="240" w:lineRule="auto"/>
              <w:rPr>
                <w:rFonts w:ascii="Times New Roman" w:hAnsi="Times New Roman"/>
                <w:bCs/>
              </w:rPr>
            </w:pPr>
            <w:r w:rsidRPr="00ED4583">
              <w:rPr>
                <w:rFonts w:ascii="Times New Roman" w:hAnsi="Times New Roman"/>
                <w:b/>
              </w:rPr>
              <w:t>Iné expozície;</w:t>
            </w:r>
            <w:r w:rsidR="004E4BE4" w:rsidRPr="00ED4583">
              <w:rPr>
                <w:rFonts w:ascii="Times New Roman" w:hAnsi="Times New Roman"/>
                <w:b/>
              </w:rPr>
              <w:t xml:space="preserve"> z </w:t>
            </w:r>
            <w:r w:rsidRPr="00ED4583">
              <w:rPr>
                <w:rFonts w:ascii="Times New Roman" w:hAnsi="Times New Roman"/>
                <w:b/>
              </w:rPr>
              <w:t>čoho</w:t>
            </w:r>
            <w:r w:rsidRPr="004E4BE4">
              <w:rPr>
                <w:rFonts w:ascii="Times New Roman" w:hAnsi="Times New Roman"/>
              </w:rPr>
              <w:t xml:space="preserve"> </w:t>
            </w:r>
            <w:r w:rsidRPr="00ED4583">
              <w:rPr>
                <w:rFonts w:ascii="Times New Roman" w:hAnsi="Times New Roman"/>
                <w:b/>
              </w:rPr>
              <w:t>– expozície podľa IRB</w:t>
            </w:r>
          </w:p>
          <w:p w:rsidR="002509B1" w:rsidRPr="004E4BE4" w:rsidRDefault="002509B1" w:rsidP="007E2A41">
            <w:pPr>
              <w:pStyle w:val="BodyText1"/>
              <w:spacing w:line="240" w:lineRule="auto"/>
              <w:rPr>
                <w:rFonts w:ascii="Times New Roman" w:hAnsi="Times New Roman"/>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zaradených do tried expozícií uvedených</w:t>
            </w:r>
            <w:r w:rsidR="004E4BE4">
              <w:rPr>
                <w:rFonts w:ascii="Times New Roman" w:hAnsi="Times New Roman"/>
              </w:rPr>
              <w:t xml:space="preserve"> v </w:t>
            </w:r>
            <w:r w:rsidRPr="004E4BE4">
              <w:rPr>
                <w:rFonts w:ascii="Times New Roman" w:hAnsi="Times New Roman"/>
              </w:rPr>
              <w:t>článku 147 ods. 2 písm. e), f)</w:t>
            </w:r>
            <w:r w:rsidR="004E4BE4">
              <w:rPr>
                <w:rFonts w:ascii="Times New Roman" w:hAnsi="Times New Roman"/>
              </w:rPr>
              <w:t xml:space="preserve"> a </w:t>
            </w:r>
            <w:r w:rsidRPr="004E4BE4">
              <w:rPr>
                <w:rFonts w:ascii="Times New Roman" w:hAnsi="Times New Roman"/>
              </w:rPr>
              <w:t>g) CRR</w:t>
            </w:r>
            <w:r w:rsidR="004E4BE4" w:rsidRPr="004E4BE4">
              <w:rPr>
                <w:rFonts w:ascii="Times New Roman" w:hAnsi="Times New Roman"/>
              </w:rPr>
              <w:t>.</w:t>
            </w:r>
          </w:p>
          <w:p w:rsidR="00BB388D" w:rsidRPr="004E4BE4" w:rsidRDefault="00BB388D" w:rsidP="007E2A41">
            <w:pPr>
              <w:pStyle w:val="BodyText1"/>
              <w:spacing w:line="240" w:lineRule="auto"/>
              <w:rPr>
                <w:rFonts w:ascii="Times New Roman" w:hAnsi="Times New Roman"/>
                <w:bCs/>
              </w:rPr>
            </w:pPr>
          </w:p>
          <w:p w:rsidR="00BB388D" w:rsidRPr="004E4BE4" w:rsidRDefault="00BB388D"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{300;010}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Sekuritizačné expozície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F4754B" w:rsidRPr="004E4BE4" w:rsidRDefault="00F4754B" w:rsidP="007E2A41">
            <w:pPr>
              <w:pStyle w:val="BodyText1"/>
              <w:spacing w:line="240" w:lineRule="auto"/>
              <w:rPr>
                <w:rFonts w:ascii="Times New Roman" w:hAnsi="Times New Roman"/>
                <w:bCs/>
              </w:rPr>
            </w:pPr>
            <w:r w:rsidRPr="004E4BE4">
              <w:rPr>
                <w:rFonts w:ascii="Times New Roman" w:hAnsi="Times New Roman"/>
              </w:rPr>
              <w:t>Hodnota expozície ukazovateľa finančnej páky aktív, ktoré sú expozíciami voči sekuritizáciám, na ktoré sa vzťahuje článok 112 písm. m) CRR.</w:t>
            </w:r>
          </w:p>
          <w:p w:rsidR="00086A8A" w:rsidRPr="004E4BE4" w:rsidRDefault="00086A8A" w:rsidP="007E2A41">
            <w:pPr>
              <w:pStyle w:val="BodyText1"/>
              <w:spacing w:line="240" w:lineRule="auto"/>
              <w:rPr>
                <w:rFonts w:ascii="Times New Roman" w:hAnsi="Times New Roman"/>
                <w:bCs/>
              </w:rPr>
            </w:pPr>
          </w:p>
          <w:p w:rsidR="002509B1"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4E4BE4" w:rsidRDefault="009C4E79"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{300;020}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Sekuritizačné expozície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aktív, ktoré sú expozíciami voči sekuritizáciám</w:t>
            </w:r>
            <w:r w:rsidR="004E4BE4">
              <w:rPr>
                <w:rFonts w:ascii="Times New Roman" w:hAnsi="Times New Roman"/>
              </w:rPr>
              <w:t xml:space="preserve"> a </w:t>
            </w:r>
            <w:r w:rsidRPr="004E4BE4">
              <w:rPr>
                <w:rFonts w:ascii="Times New Roman" w:hAnsi="Times New Roman"/>
              </w:rPr>
              <w:t>vzťahuje sa na ne článok 147 ods. 2 písm. f) CRR</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bCs/>
              </w:rPr>
            </w:pPr>
          </w:p>
          <w:p w:rsidR="009C4E79" w:rsidRPr="004E4BE4" w:rsidRDefault="009C4E79"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4E4BE4" w:rsidDel="00B9734C"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{300;030}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Sekuritizačné expozície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sekuritizáciám, na ktoré sa vzťahuje článok 112 písm. m) CRR</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{300;040}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Sekuritizačné expozície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aktív, ktoré sú expozíciami voči sekuritizáciám</w:t>
            </w:r>
            <w:r w:rsidR="004E4BE4">
              <w:rPr>
                <w:rFonts w:ascii="Times New Roman" w:hAnsi="Times New Roman"/>
              </w:rPr>
              <w:t xml:space="preserve"> a </w:t>
            </w:r>
            <w:r w:rsidRPr="004E4BE4">
              <w:rPr>
                <w:rFonts w:ascii="Times New Roman" w:hAnsi="Times New Roman"/>
              </w:rPr>
              <w:t>vzťahuje sa na ne článok 147 ods. 2 písm. f) CRR</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EA3F88">
            <w:pPr>
              <w:pStyle w:val="BodyText1"/>
              <w:rPr>
                <w:rFonts w:ascii="Times New Roman" w:hAnsi="Times New Roman"/>
              </w:rPr>
            </w:pPr>
            <w:r w:rsidRPr="004E4BE4">
              <w:rPr>
                <w:rFonts w:ascii="Times New Roman" w:hAnsi="Times New Roman"/>
              </w:rPr>
              <w:t>{310;010}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Obchodné financovanie (doplňujúca položka);</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súvahových položiek týkajúcich sa poskytovania úverov vývozcovi alebo dovozcovi tovarov alebo služieb prostredníctvom dovozných</w:t>
            </w:r>
            <w:r w:rsidR="004E4BE4">
              <w:rPr>
                <w:rFonts w:ascii="Times New Roman" w:hAnsi="Times New Roman"/>
              </w:rPr>
              <w:t xml:space="preserve"> a </w:t>
            </w:r>
            <w:r w:rsidRPr="004E4BE4">
              <w:rPr>
                <w:rFonts w:ascii="Times New Roman" w:hAnsi="Times New Roman"/>
              </w:rPr>
              <w:t>vývozných úverov</w:t>
            </w:r>
            <w:r w:rsidR="004E4BE4">
              <w:rPr>
                <w:rFonts w:ascii="Times New Roman" w:hAnsi="Times New Roman"/>
              </w:rPr>
              <w:t xml:space="preserve"> a </w:t>
            </w:r>
            <w:r w:rsidRPr="004E4BE4">
              <w:rPr>
                <w:rFonts w:ascii="Times New Roman" w:hAnsi="Times New Roman"/>
              </w:rPr>
              <w:t>podobných transakcií</w:t>
            </w:r>
            <w:r w:rsidR="004E4BE4" w:rsidRPr="004E4BE4">
              <w:rPr>
                <w:rFonts w:ascii="Times New Roman" w:hAnsi="Times New Roman"/>
              </w:rPr>
              <w:t>.</w:t>
            </w:r>
          </w:p>
          <w:p w:rsidR="002509B1" w:rsidRPr="004E4BE4" w:rsidRDefault="002509B1"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086A8A" w:rsidRPr="004E4BE4" w:rsidRDefault="00086A8A"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{310;020}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Obchodné financovanie (doplňujúca položka);</w:t>
            </w:r>
            <w:r w:rsidR="004E4BE4" w:rsidRPr="00ED4583">
              <w:rPr>
                <w:rFonts w:ascii="Times New Roman" w:hAnsi="Times New Roman"/>
                <w:b/>
              </w:rPr>
              <w:t xml:space="preserve"> z </w:t>
            </w:r>
            <w:r w:rsidRPr="00ED4583">
              <w:rPr>
                <w:rFonts w:ascii="Times New Roman" w:hAnsi="Times New Roman"/>
                <w:b/>
              </w:rPr>
              <w:t>čoho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súvahových položiek týkajúcich sa poskytovania úverov vývozcovi alebo dovozcovi tovarov alebo služieb prostredníctvom dovozných</w:t>
            </w:r>
            <w:r w:rsidR="004E4BE4">
              <w:rPr>
                <w:rFonts w:ascii="Times New Roman" w:hAnsi="Times New Roman"/>
              </w:rPr>
              <w:t xml:space="preserve"> a </w:t>
            </w:r>
            <w:r w:rsidRPr="004E4BE4">
              <w:rPr>
                <w:rFonts w:ascii="Times New Roman" w:hAnsi="Times New Roman"/>
              </w:rPr>
              <w:t>vývozných úverov</w:t>
            </w:r>
            <w:r w:rsidR="004E4BE4">
              <w:rPr>
                <w:rFonts w:ascii="Times New Roman" w:hAnsi="Times New Roman"/>
              </w:rPr>
              <w:t xml:space="preserve"> a </w:t>
            </w:r>
            <w:r w:rsidRPr="004E4BE4">
              <w:rPr>
                <w:rFonts w:ascii="Times New Roman" w:hAnsi="Times New Roman"/>
              </w:rPr>
              <w:t>podobných transakcií</w:t>
            </w:r>
            <w:r w:rsidR="004E4BE4" w:rsidRPr="004E4BE4">
              <w:rPr>
                <w:rFonts w:ascii="Times New Roman" w:hAnsi="Times New Roman"/>
              </w:rPr>
              <w:t>.</w:t>
            </w:r>
          </w:p>
          <w:p w:rsidR="00BE6AC4" w:rsidRPr="004E4BE4" w:rsidRDefault="00BE6AC4" w:rsidP="009C4E79">
            <w:pPr>
              <w:pStyle w:val="BodyText1"/>
              <w:spacing w:line="240" w:lineRule="auto"/>
              <w:rPr>
                <w:rFonts w:ascii="Times New Roman" w:hAnsi="Times New Roman"/>
                <w:bCs/>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{310;030}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Obchodné financovanie (doplňujúca položka);</w:t>
            </w:r>
            <w:r w:rsidR="004E4BE4" w:rsidRPr="00ED4583">
              <w:rPr>
                <w:rFonts w:ascii="Times New Roman" w:hAnsi="Times New Roman"/>
                <w:b/>
              </w:rPr>
              <w:t xml:space="preserve"> z </w:t>
            </w:r>
            <w:r w:rsidRPr="00ED4583">
              <w:rPr>
                <w:rFonts w:ascii="Times New Roman" w:hAnsi="Times New Roman"/>
                <w:b/>
              </w:rPr>
              <w:t>čoho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súvahových položiek týkajúcich sa poskytovania úverov vývozcovi alebo dovozcovi tovarov alebo služieb prostredníctvom dovozných</w:t>
            </w:r>
            <w:r w:rsidR="004E4BE4">
              <w:rPr>
                <w:rFonts w:ascii="Times New Roman" w:hAnsi="Times New Roman"/>
              </w:rPr>
              <w:t xml:space="preserve"> a </w:t>
            </w:r>
            <w:r w:rsidRPr="004E4BE4">
              <w:rPr>
                <w:rFonts w:ascii="Times New Roman" w:hAnsi="Times New Roman"/>
              </w:rPr>
              <w:t>vývozných úverov</w:t>
            </w:r>
            <w:r w:rsidR="004E4BE4">
              <w:rPr>
                <w:rFonts w:ascii="Times New Roman" w:hAnsi="Times New Roman"/>
              </w:rPr>
              <w:t xml:space="preserve"> a </w:t>
            </w:r>
            <w:r w:rsidRPr="004E4BE4">
              <w:rPr>
                <w:rFonts w:ascii="Times New Roman" w:hAnsi="Times New Roman"/>
              </w:rPr>
              <w:t>podobných transakcií</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bCs/>
              </w:rPr>
            </w:pPr>
          </w:p>
          <w:p w:rsidR="00086A8A" w:rsidRPr="004E4BE4" w:rsidRDefault="00086A8A" w:rsidP="007E2A41">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{310;040}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Obchodné financovanie (doplňujúca položka);</w:t>
            </w:r>
            <w:r w:rsidR="004E4BE4" w:rsidRPr="00ED4583">
              <w:rPr>
                <w:rFonts w:ascii="Times New Roman" w:hAnsi="Times New Roman"/>
                <w:b/>
              </w:rPr>
              <w:t xml:space="preserve"> z </w:t>
            </w:r>
            <w:r w:rsidRPr="00ED4583">
              <w:rPr>
                <w:rFonts w:ascii="Times New Roman" w:hAnsi="Times New Roman"/>
                <w:b/>
              </w:rPr>
              <w:t>čoho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súvahových položiek týkajúcich sa poskytovania úverov vývozcovi alebo dovozcovi tovarov alebo služieb prostredníctvom dovozných</w:t>
            </w:r>
            <w:r w:rsidR="004E4BE4">
              <w:rPr>
                <w:rFonts w:ascii="Times New Roman" w:hAnsi="Times New Roman"/>
              </w:rPr>
              <w:t xml:space="preserve"> a </w:t>
            </w:r>
            <w:r w:rsidRPr="004E4BE4">
              <w:rPr>
                <w:rFonts w:ascii="Times New Roman" w:hAnsi="Times New Roman"/>
              </w:rPr>
              <w:t>vývozných úverov</w:t>
            </w:r>
            <w:r w:rsidR="004E4BE4">
              <w:rPr>
                <w:rFonts w:ascii="Times New Roman" w:hAnsi="Times New Roman"/>
              </w:rPr>
              <w:t xml:space="preserve"> a </w:t>
            </w:r>
            <w:r w:rsidRPr="004E4BE4">
              <w:rPr>
                <w:rFonts w:ascii="Times New Roman" w:hAnsi="Times New Roman"/>
              </w:rPr>
              <w:t>podobných transakcií</w:t>
            </w:r>
            <w:r w:rsidR="004E4BE4" w:rsidRPr="004E4BE4">
              <w:rPr>
                <w:rFonts w:ascii="Times New Roman" w:hAnsi="Times New Roman"/>
              </w:rPr>
              <w:t>.</w:t>
            </w:r>
          </w:p>
          <w:p w:rsidR="002509B1" w:rsidRPr="00040D93" w:rsidRDefault="002509B1" w:rsidP="007E2A41">
            <w:pPr>
              <w:pStyle w:val="BodyText1"/>
              <w:spacing w:line="240" w:lineRule="auto"/>
              <w:rPr>
                <w:rFonts w:ascii="Times New Roman" w:hAnsi="Times New Roman"/>
                <w:b/>
                <w:bCs/>
                <w:u w:val="single"/>
              </w:rPr>
            </w:pPr>
          </w:p>
          <w:p w:rsidR="009C4E79" w:rsidRPr="004E4BE4" w:rsidRDefault="009C4E79" w:rsidP="009C4E79">
            <w:pPr>
              <w:pStyle w:val="BodyText1"/>
              <w:spacing w:line="240" w:lineRule="auto"/>
              <w:rPr>
                <w:rFonts w:ascii="Times New Roman" w:hAnsi="Times New Roman"/>
                <w:bCs/>
              </w:rPr>
            </w:pPr>
            <w:r w:rsidRPr="004E4BE4">
              <w:rPr>
                <w:rFonts w:ascii="Times New Roman" w:hAnsi="Times New Roman"/>
              </w:rPr>
              <w:t>Inštitúcie vykazujú hodnoty po odpočítaní zlyhaných expozícií.</w:t>
            </w:r>
          </w:p>
          <w:p w:rsidR="009C4E79" w:rsidRPr="00040D93" w:rsidRDefault="009C4E79"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A60C43">
            <w:pPr>
              <w:pStyle w:val="BodyText1"/>
              <w:rPr>
                <w:rFonts w:ascii="Times New Roman" w:hAnsi="Times New Roman"/>
              </w:rPr>
            </w:pPr>
            <w:r w:rsidRPr="004E4BE4">
              <w:rPr>
                <w:rFonts w:ascii="Times New Roman" w:hAnsi="Times New Roman"/>
              </w:rPr>
              <w:t>{320;010}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V rámci oficiálnej schémy poistenia exportných úverov – hodnota expozície ukazovateľa finančnej páky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súvahových položiek týkajúcich sa obchodného financovania</w:t>
            </w:r>
            <w:r w:rsidR="004E4BE4">
              <w:rPr>
                <w:rFonts w:ascii="Times New Roman" w:hAnsi="Times New Roman"/>
              </w:rPr>
              <w:t xml:space="preserve"> v </w:t>
            </w:r>
            <w:r w:rsidRPr="004E4BE4">
              <w:rPr>
                <w:rFonts w:ascii="Times New Roman" w:hAnsi="Times New Roman"/>
              </w:rPr>
              <w:t>rámci oficiálnej schémy poistenia exportných úverov. Na účely vykazovania</w:t>
            </w:r>
            <w:r w:rsidR="004E4BE4">
              <w:rPr>
                <w:rFonts w:ascii="Times New Roman" w:hAnsi="Times New Roman"/>
              </w:rPr>
              <w:t xml:space="preserve"> v </w:t>
            </w:r>
            <w:r w:rsidRPr="004E4BE4">
              <w:rPr>
                <w:rFonts w:ascii="Times New Roman" w:hAnsi="Times New Roman"/>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4E4BE4">
              <w:rPr>
                <w:rFonts w:ascii="Times New Roman" w:hAnsi="Times New Roman"/>
              </w:rPr>
              <w:t xml:space="preserve"> a </w:t>
            </w:r>
            <w:r w:rsidRPr="004E4BE4">
              <w:rPr>
                <w:rFonts w:ascii="Times New Roman" w:hAnsi="Times New Roman"/>
              </w:rPr>
              <w:t>granty), poistenia</w:t>
            </w:r>
            <w:r w:rsidR="004E4BE4">
              <w:rPr>
                <w:rFonts w:ascii="Times New Roman" w:hAnsi="Times New Roman"/>
              </w:rPr>
              <w:t xml:space="preserve"> a </w:t>
            </w:r>
            <w:r w:rsidRPr="004E4BE4">
              <w:rPr>
                <w:rFonts w:ascii="Times New Roman" w:hAnsi="Times New Roman"/>
              </w:rPr>
              <w:t>záruk exportných úverov</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rPr>
            </w:pPr>
          </w:p>
          <w:p w:rsidR="00086A8A" w:rsidRPr="004E4BE4" w:rsidRDefault="00086A8A" w:rsidP="007E2A41">
            <w:pPr>
              <w:pStyle w:val="BodyText1"/>
              <w:spacing w:line="240" w:lineRule="auto"/>
              <w:rPr>
                <w:rFonts w:ascii="Times New Roman" w:hAnsi="Times New Roman"/>
              </w:rPr>
            </w:pPr>
            <w:r w:rsidRPr="004E4BE4">
              <w:rPr>
                <w:rFonts w:ascii="Times New Roman" w:hAnsi="Times New Roman"/>
              </w:rPr>
              <w:t>Inštitúcie vykazujú hodnoty po odpočítaní zlyhaných expozícií.</w:t>
            </w:r>
          </w:p>
          <w:p w:rsidR="002509B1" w:rsidRPr="004E4BE4" w:rsidRDefault="002509B1" w:rsidP="007E2A41">
            <w:pPr>
              <w:pStyle w:val="BodyText1"/>
              <w:spacing w:line="240" w:lineRule="auto"/>
              <w:rPr>
                <w:rFonts w:ascii="Times New Roman" w:hAnsi="Times New Roman"/>
                <w:bCs/>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bCs/>
              </w:rPr>
            </w:pPr>
            <w:r w:rsidRPr="004E4BE4">
              <w:rPr>
                <w:rFonts w:ascii="Times New Roman" w:hAnsi="Times New Roman"/>
              </w:rPr>
              <w:t>{320;020}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V rámci oficiálnej schémy poistenia exportných úverov – hodnota expozície ukazovateľa finančnej páky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expozície ukazovateľa finančnej páky súvahových položiek týkajúcich sa obchodného financovania</w:t>
            </w:r>
            <w:r w:rsidR="004E4BE4">
              <w:rPr>
                <w:rFonts w:ascii="Times New Roman" w:hAnsi="Times New Roman"/>
              </w:rPr>
              <w:t xml:space="preserve"> v </w:t>
            </w:r>
            <w:r w:rsidRPr="004E4BE4">
              <w:rPr>
                <w:rFonts w:ascii="Times New Roman" w:hAnsi="Times New Roman"/>
              </w:rPr>
              <w:t>rámci oficiálnej schémy poistenia exportných úverov. Na účely vykazovania</w:t>
            </w:r>
            <w:r w:rsidR="004E4BE4">
              <w:rPr>
                <w:rFonts w:ascii="Times New Roman" w:hAnsi="Times New Roman"/>
              </w:rPr>
              <w:t xml:space="preserve"> v </w:t>
            </w:r>
            <w:r w:rsidRPr="004E4BE4">
              <w:rPr>
                <w:rFonts w:ascii="Times New Roman" w:hAnsi="Times New Roman"/>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4E4BE4">
              <w:rPr>
                <w:rFonts w:ascii="Times New Roman" w:hAnsi="Times New Roman"/>
              </w:rPr>
              <w:t xml:space="preserve"> a </w:t>
            </w:r>
            <w:r w:rsidRPr="004E4BE4">
              <w:rPr>
                <w:rFonts w:ascii="Times New Roman" w:hAnsi="Times New Roman"/>
              </w:rPr>
              <w:t>granty), poistenia</w:t>
            </w:r>
            <w:r w:rsidR="004E4BE4">
              <w:rPr>
                <w:rFonts w:ascii="Times New Roman" w:hAnsi="Times New Roman"/>
              </w:rPr>
              <w:t xml:space="preserve"> a </w:t>
            </w:r>
            <w:r w:rsidRPr="004E4BE4">
              <w:rPr>
                <w:rFonts w:ascii="Times New Roman" w:hAnsi="Times New Roman"/>
              </w:rPr>
              <w:t>záruk exportných úverov</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rPr>
            </w:pPr>
          </w:p>
          <w:p w:rsidR="009C4E79" w:rsidRPr="004E4BE4" w:rsidRDefault="009C4E79" w:rsidP="007E2A41">
            <w:pPr>
              <w:pStyle w:val="BodyText1"/>
              <w:spacing w:line="240" w:lineRule="auto"/>
              <w:rPr>
                <w:rFonts w:ascii="Times New Roman" w:hAnsi="Times New Roman"/>
              </w:rPr>
            </w:pPr>
            <w:r w:rsidRPr="004E4BE4">
              <w:rPr>
                <w:rFonts w:ascii="Times New Roman" w:hAnsi="Times New Roman"/>
              </w:rPr>
              <w:t>Inštitúcie vykazujú hodnoty po odpočítaní zlyhaných expozícií.</w:t>
            </w:r>
          </w:p>
          <w:p w:rsidR="002509B1" w:rsidRPr="00040D93" w:rsidDel="00600AB1"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{320;030}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V rámci oficiálnej schémy poistenia exportných úverov – RWA – expozície podľa SA</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súvahových položiek týkajúcich sa obchodného financovania</w:t>
            </w:r>
            <w:r w:rsidR="004E4BE4">
              <w:rPr>
                <w:rFonts w:ascii="Times New Roman" w:hAnsi="Times New Roman"/>
              </w:rPr>
              <w:t xml:space="preserve"> v </w:t>
            </w:r>
            <w:r w:rsidRPr="004E4BE4">
              <w:rPr>
                <w:rFonts w:ascii="Times New Roman" w:hAnsi="Times New Roman"/>
              </w:rPr>
              <w:t>rámci oficiálnej schémy poistenia exportných úverov. Na účely vykazovania</w:t>
            </w:r>
            <w:r w:rsidR="004E4BE4">
              <w:rPr>
                <w:rFonts w:ascii="Times New Roman" w:hAnsi="Times New Roman"/>
              </w:rPr>
              <w:t xml:space="preserve"> v </w:t>
            </w:r>
            <w:r w:rsidRPr="004E4BE4">
              <w:rPr>
                <w:rFonts w:ascii="Times New Roman" w:hAnsi="Times New Roman"/>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4E4BE4">
              <w:rPr>
                <w:rFonts w:ascii="Times New Roman" w:hAnsi="Times New Roman"/>
              </w:rPr>
              <w:t xml:space="preserve"> a </w:t>
            </w:r>
            <w:r w:rsidRPr="004E4BE4">
              <w:rPr>
                <w:rFonts w:ascii="Times New Roman" w:hAnsi="Times New Roman"/>
              </w:rPr>
              <w:t>granty), poistenia</w:t>
            </w:r>
            <w:r w:rsidR="004E4BE4">
              <w:rPr>
                <w:rFonts w:ascii="Times New Roman" w:hAnsi="Times New Roman"/>
              </w:rPr>
              <w:t xml:space="preserve"> a </w:t>
            </w:r>
            <w:r w:rsidRPr="004E4BE4">
              <w:rPr>
                <w:rFonts w:ascii="Times New Roman" w:hAnsi="Times New Roman"/>
              </w:rPr>
              <w:t>záruk exportných úverov</w:t>
            </w:r>
            <w:r w:rsidR="004E4BE4" w:rsidRPr="004E4BE4">
              <w:rPr>
                <w:rFonts w:ascii="Times New Roman" w:hAnsi="Times New Roman"/>
              </w:rPr>
              <w:t>.</w:t>
            </w:r>
          </w:p>
          <w:p w:rsidR="00086A8A" w:rsidRPr="004E4BE4" w:rsidRDefault="00086A8A" w:rsidP="007E2A41">
            <w:pPr>
              <w:pStyle w:val="BodyText1"/>
              <w:spacing w:line="240" w:lineRule="auto"/>
              <w:rPr>
                <w:rFonts w:ascii="Times New Roman" w:hAnsi="Times New Roman"/>
              </w:rPr>
            </w:pPr>
          </w:p>
          <w:p w:rsidR="00086A8A" w:rsidRPr="004E4BE4" w:rsidRDefault="00086A8A" w:rsidP="007E2A41">
            <w:pPr>
              <w:pStyle w:val="BodyText1"/>
              <w:spacing w:line="240" w:lineRule="auto"/>
              <w:rPr>
                <w:rFonts w:ascii="Times New Roman" w:hAnsi="Times New Roman"/>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tr w:rsidR="00F4754B" w:rsidRPr="004E4BE4" w:rsidTr="0053335C">
        <w:trPr>
          <w:trHeight w:val="71"/>
        </w:trPr>
        <w:tc>
          <w:tcPr>
            <w:tcW w:w="1111" w:type="dxa"/>
            <w:shd w:val="clear" w:color="auto" w:fill="FFFFFF"/>
          </w:tcPr>
          <w:p w:rsidR="00F4754B" w:rsidRPr="004E4BE4" w:rsidRDefault="00F4754B" w:rsidP="006423CC">
            <w:pPr>
              <w:pStyle w:val="BodyText1"/>
              <w:rPr>
                <w:rFonts w:ascii="Times New Roman" w:hAnsi="Times New Roman"/>
              </w:rPr>
            </w:pPr>
            <w:r w:rsidRPr="004E4BE4">
              <w:rPr>
                <w:rFonts w:ascii="Times New Roman" w:hAnsi="Times New Roman"/>
              </w:rPr>
              <w:t>{320;040}</w:t>
            </w:r>
          </w:p>
        </w:tc>
        <w:tc>
          <w:tcPr>
            <w:tcW w:w="8133" w:type="dxa"/>
            <w:shd w:val="clear" w:color="auto" w:fill="FFFFFF"/>
          </w:tcPr>
          <w:p w:rsidR="00F4754B" w:rsidRPr="00ED4583" w:rsidRDefault="00F4754B" w:rsidP="007E2A41">
            <w:pPr>
              <w:pStyle w:val="BodyText1"/>
              <w:spacing w:line="240" w:lineRule="auto"/>
              <w:rPr>
                <w:rFonts w:ascii="Times New Roman" w:hAnsi="Times New Roman"/>
                <w:b/>
                <w:bCs/>
              </w:rPr>
            </w:pPr>
            <w:r w:rsidRPr="00ED4583">
              <w:rPr>
                <w:rFonts w:ascii="Times New Roman" w:hAnsi="Times New Roman"/>
                <w:b/>
              </w:rPr>
              <w:t>V rámci oficiálnej schémy poistenia exportných úverov – RWA – expozície podľa IRB</w:t>
            </w:r>
          </w:p>
          <w:p w:rsidR="002509B1" w:rsidRPr="00ED4583" w:rsidRDefault="002509B1" w:rsidP="007E2A41">
            <w:pPr>
              <w:pStyle w:val="BodyText1"/>
              <w:spacing w:line="240" w:lineRule="auto"/>
              <w:rPr>
                <w:rFonts w:ascii="Times New Roman" w:hAnsi="Times New Roman"/>
                <w:b/>
                <w:bCs/>
              </w:rPr>
            </w:pPr>
          </w:p>
          <w:p w:rsidR="004E4BE4" w:rsidRPr="004E4BE4" w:rsidRDefault="00F4754B" w:rsidP="007E2A41">
            <w:pPr>
              <w:pStyle w:val="BodyText1"/>
              <w:spacing w:line="240" w:lineRule="auto"/>
              <w:rPr>
                <w:rFonts w:ascii="Times New Roman" w:hAnsi="Times New Roman"/>
              </w:rPr>
            </w:pPr>
            <w:r w:rsidRPr="004E4BE4">
              <w:rPr>
                <w:rFonts w:ascii="Times New Roman" w:hAnsi="Times New Roman"/>
              </w:rPr>
              <w:t>Hodnota rizikovo váženej expozície súvahových položiek týkajúcich sa obchodného financovania</w:t>
            </w:r>
            <w:r w:rsidR="004E4BE4">
              <w:rPr>
                <w:rFonts w:ascii="Times New Roman" w:hAnsi="Times New Roman"/>
              </w:rPr>
              <w:t xml:space="preserve"> v </w:t>
            </w:r>
            <w:r w:rsidRPr="004E4BE4">
              <w:rPr>
                <w:rFonts w:ascii="Times New Roman" w:hAnsi="Times New Roman"/>
              </w:rPr>
              <w:t>rámci oficiálnej schémy poistenia exportných úverov. Na účely vykazovania</w:t>
            </w:r>
            <w:r w:rsidR="004E4BE4">
              <w:rPr>
                <w:rFonts w:ascii="Times New Roman" w:hAnsi="Times New Roman"/>
              </w:rPr>
              <w:t xml:space="preserve"> v </w:t>
            </w:r>
            <w:r w:rsidRPr="004E4BE4">
              <w:rPr>
                <w:rFonts w:ascii="Times New Roman" w:hAnsi="Times New Roman"/>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4E4BE4">
              <w:rPr>
                <w:rFonts w:ascii="Times New Roman" w:hAnsi="Times New Roman"/>
              </w:rPr>
              <w:t xml:space="preserve"> a </w:t>
            </w:r>
            <w:r w:rsidRPr="004E4BE4">
              <w:rPr>
                <w:rFonts w:ascii="Times New Roman" w:hAnsi="Times New Roman"/>
              </w:rPr>
              <w:t>granty), poistenia</w:t>
            </w:r>
            <w:r w:rsidR="004E4BE4">
              <w:rPr>
                <w:rFonts w:ascii="Times New Roman" w:hAnsi="Times New Roman"/>
              </w:rPr>
              <w:t xml:space="preserve"> a </w:t>
            </w:r>
            <w:r w:rsidRPr="004E4BE4">
              <w:rPr>
                <w:rFonts w:ascii="Times New Roman" w:hAnsi="Times New Roman"/>
              </w:rPr>
              <w:t>záruk exportných úverov</w:t>
            </w:r>
            <w:r w:rsidR="004E4BE4" w:rsidRPr="004E4BE4">
              <w:rPr>
                <w:rFonts w:ascii="Times New Roman" w:hAnsi="Times New Roman"/>
              </w:rPr>
              <w:t>.</w:t>
            </w:r>
          </w:p>
          <w:p w:rsidR="009C4E79" w:rsidRPr="004E4BE4" w:rsidRDefault="009C4E79" w:rsidP="007E2A41">
            <w:pPr>
              <w:pStyle w:val="BodyText1"/>
              <w:spacing w:line="240" w:lineRule="auto"/>
              <w:rPr>
                <w:rFonts w:ascii="Times New Roman" w:hAnsi="Times New Roman"/>
              </w:rPr>
            </w:pPr>
          </w:p>
          <w:p w:rsidR="00F4754B" w:rsidRPr="004E4BE4" w:rsidRDefault="009C4E79" w:rsidP="007E2A41">
            <w:pPr>
              <w:pStyle w:val="BodyText1"/>
              <w:spacing w:line="240" w:lineRule="auto"/>
              <w:rPr>
                <w:rFonts w:ascii="Times New Roman" w:hAnsi="Times New Roman"/>
              </w:rPr>
            </w:pPr>
            <w:r w:rsidRPr="004E4BE4">
              <w:rPr>
                <w:rFonts w:ascii="Times New Roman" w:hAnsi="Times New Roman"/>
              </w:rPr>
              <w:t>Inštitúcie vykazujú hodnoty po odpočítaní zlyhaných expozícií.</w:t>
            </w:r>
          </w:p>
          <w:p w:rsidR="002509B1" w:rsidRPr="00040D93" w:rsidRDefault="002509B1" w:rsidP="007E2A41">
            <w:pPr>
              <w:pStyle w:val="BodyText1"/>
              <w:spacing w:line="240" w:lineRule="auto"/>
              <w:rPr>
                <w:rFonts w:ascii="Times New Roman" w:hAnsi="Times New Roman"/>
                <w:b/>
                <w:bCs/>
                <w:u w:val="single"/>
              </w:rPr>
            </w:pPr>
          </w:p>
        </w:tc>
      </w:tr>
      <w:bookmarkEnd w:id="70"/>
    </w:tbl>
    <w:p w:rsidR="00217D1F" w:rsidRPr="00ED4583" w:rsidRDefault="00F4754B" w:rsidP="00500508">
      <w:pPr>
        <w:pStyle w:val="BodyText1"/>
        <w:ind w:left="357" w:hanging="357"/>
        <w:outlineLvl w:val="1"/>
        <w:rPr>
          <w:rFonts w:ascii="Times New Roman" w:hAnsi="Times New Roman"/>
          <w:b/>
        </w:rPr>
      </w:pPr>
      <w:r w:rsidRPr="004E4BE4">
        <w:br w:type="page"/>
      </w:r>
      <w:bookmarkStart w:id="74" w:name="_Toc351048511"/>
      <w:bookmarkStart w:id="75" w:name="_Toc359414290"/>
      <w:bookmarkStart w:id="76" w:name="_Toc524086728"/>
      <w:r w:rsidRPr="00ED4583">
        <w:rPr>
          <w:rFonts w:ascii="Times New Roman" w:hAnsi="Times New Roman"/>
          <w:b/>
        </w:rPr>
        <w:t>9.</w:t>
      </w:r>
      <w:r w:rsidRPr="004E4BE4">
        <w:tab/>
      </w:r>
      <w:r w:rsidRPr="00ED4583">
        <w:rPr>
          <w:rFonts w:ascii="Times New Roman" w:hAnsi="Times New Roman"/>
          <w:b/>
        </w:rPr>
        <w:t>C 44.00 – Všeobecné informácie</w:t>
      </w:r>
      <w:bookmarkEnd w:id="74"/>
      <w:bookmarkEnd w:id="75"/>
      <w:r w:rsidRPr="00ED4583">
        <w:rPr>
          <w:rFonts w:ascii="Times New Roman" w:hAnsi="Times New Roman"/>
          <w:b/>
        </w:rPr>
        <w:t xml:space="preserve"> (LR5)</w:t>
      </w:r>
      <w:bookmarkEnd w:id="76"/>
    </w:p>
    <w:p w:rsidR="00675587" w:rsidRPr="004E4BE4" w:rsidRDefault="00675587" w:rsidP="00675587">
      <w:pPr>
        <w:pStyle w:val="BodyText1"/>
        <w:ind w:left="720"/>
        <w:rPr>
          <w:rFonts w:ascii="Times New Roman" w:hAnsi="Times New Roman"/>
        </w:rPr>
      </w:pPr>
    </w:p>
    <w:p w:rsidR="00F4754B" w:rsidRPr="004E4BE4" w:rsidRDefault="00500508" w:rsidP="00500508">
      <w:pPr>
        <w:pStyle w:val="BodyText1"/>
        <w:spacing w:line="240" w:lineRule="auto"/>
        <w:ind w:left="720" w:hanging="360"/>
        <w:rPr>
          <w:rFonts w:ascii="Times New Roman" w:hAnsi="Times New Roman"/>
        </w:rPr>
      </w:pPr>
      <w:r w:rsidRPr="004E4BE4">
        <w:rPr>
          <w:rFonts w:ascii="Times New Roman" w:hAnsi="Times New Roman"/>
        </w:rPr>
        <w:t>31.</w:t>
      </w:r>
      <w:r w:rsidRPr="004E4BE4">
        <w:tab/>
      </w:r>
      <w:r w:rsidRPr="004E4BE4">
        <w:rPr>
          <w:rFonts w:ascii="Times New Roman" w:hAnsi="Times New Roman"/>
        </w:rPr>
        <w:t>Tu sa zhromažďujú doplňujúce informácie na účely kategorizácie činností inštitúcie</w:t>
      </w:r>
      <w:r w:rsidR="004E4BE4">
        <w:rPr>
          <w:rFonts w:ascii="Times New Roman" w:hAnsi="Times New Roman"/>
        </w:rPr>
        <w:t xml:space="preserve"> a </w:t>
      </w:r>
      <w:r w:rsidRPr="004E4BE4">
        <w:rPr>
          <w:rFonts w:ascii="Times New Roman" w:hAnsi="Times New Roman"/>
        </w:rPr>
        <w:t>regulatórnych možností, ktoré si inštitúcia zvolila.</w:t>
      </w:r>
    </w:p>
    <w:p w:rsidR="00675587" w:rsidRPr="004E4BE4"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E4BE4" w:rsidTr="00FC2664">
        <w:tc>
          <w:tcPr>
            <w:tcW w:w="1418" w:type="dxa"/>
            <w:shd w:val="clear" w:color="auto" w:fill="D9D9D9"/>
          </w:tcPr>
          <w:p w:rsidR="004E4BE4" w:rsidRPr="00ED4583" w:rsidRDefault="00F4754B" w:rsidP="00F4754B">
            <w:pPr>
              <w:pStyle w:val="BodyText1"/>
              <w:rPr>
                <w:rFonts w:ascii="Times New Roman" w:hAnsi="Times New Roman"/>
                <w:b/>
              </w:rPr>
            </w:pPr>
            <w:r w:rsidRPr="00ED4583">
              <w:rPr>
                <w:rFonts w:ascii="Times New Roman" w:hAnsi="Times New Roman"/>
                <w:b/>
              </w:rPr>
              <w:t>Riadok</w:t>
            </w:r>
          </w:p>
          <w:p w:rsidR="00F4754B" w:rsidRPr="004E4BE4" w:rsidRDefault="00F4754B" w:rsidP="00F4754B">
            <w:pPr>
              <w:pStyle w:val="BodyText1"/>
              <w:rPr>
                <w:rFonts w:ascii="Times New Roman" w:hAnsi="Times New Roman"/>
                <w:b/>
                <w:bCs/>
              </w:rPr>
            </w:pPr>
            <w:r w:rsidRPr="00ED4583">
              <w:rPr>
                <w:rFonts w:ascii="Times New Roman" w:hAnsi="Times New Roman"/>
                <w:b/>
              </w:rPr>
              <w:t>a stĺpec</w:t>
            </w:r>
          </w:p>
        </w:tc>
        <w:tc>
          <w:tcPr>
            <w:tcW w:w="7620" w:type="dxa"/>
            <w:shd w:val="clear" w:color="auto" w:fill="D9D9D9"/>
          </w:tcPr>
          <w:p w:rsidR="00F4754B" w:rsidRPr="00ED4583" w:rsidRDefault="00F4754B" w:rsidP="00F4754B">
            <w:pPr>
              <w:pStyle w:val="BodyText1"/>
              <w:rPr>
                <w:rFonts w:ascii="Times New Roman" w:hAnsi="Times New Roman"/>
                <w:b/>
                <w:bCs/>
              </w:rPr>
            </w:pPr>
            <w:r w:rsidRPr="00ED4583">
              <w:rPr>
                <w:rFonts w:ascii="Times New Roman" w:hAnsi="Times New Roman"/>
                <w:b/>
              </w:rPr>
              <w:t>Pokyny</w:t>
            </w:r>
          </w:p>
        </w:tc>
      </w:tr>
      <w:tr w:rsidR="00F4754B" w:rsidRPr="004E4BE4" w:rsidTr="00FC2664">
        <w:tc>
          <w:tcPr>
            <w:tcW w:w="1418" w:type="dxa"/>
          </w:tcPr>
          <w:p w:rsidR="00F4754B" w:rsidRPr="004E4BE4" w:rsidRDefault="00F4754B" w:rsidP="00F4754B">
            <w:pPr>
              <w:pStyle w:val="BodyText1"/>
              <w:rPr>
                <w:rFonts w:ascii="Times New Roman" w:hAnsi="Times New Roman"/>
                <w:bCs/>
              </w:rPr>
            </w:pPr>
            <w:r w:rsidRPr="004E4BE4">
              <w:rPr>
                <w:rFonts w:ascii="Times New Roman" w:hAnsi="Times New Roman"/>
              </w:rPr>
              <w:t>{010;010}</w:t>
            </w:r>
          </w:p>
        </w:tc>
        <w:tc>
          <w:tcPr>
            <w:tcW w:w="7620" w:type="dxa"/>
          </w:tcPr>
          <w:p w:rsidR="00F4754B" w:rsidRPr="00ED4583" w:rsidRDefault="00F4754B" w:rsidP="002509B1">
            <w:pPr>
              <w:pStyle w:val="BodyText1"/>
              <w:spacing w:line="240" w:lineRule="auto"/>
              <w:rPr>
                <w:rFonts w:ascii="Times New Roman" w:hAnsi="Times New Roman"/>
                <w:b/>
                <w:bCs/>
              </w:rPr>
            </w:pPr>
            <w:r w:rsidRPr="00ED4583">
              <w:rPr>
                <w:rFonts w:ascii="Times New Roman" w:hAnsi="Times New Roman"/>
                <w:b/>
              </w:rPr>
              <w:t>Podniková štruktúra inštitúcie</w:t>
            </w:r>
          </w:p>
          <w:p w:rsidR="00F4754B" w:rsidRPr="004E4BE4" w:rsidRDefault="00F4754B" w:rsidP="002509B1">
            <w:pPr>
              <w:pStyle w:val="BodyText1"/>
              <w:spacing w:line="240" w:lineRule="auto"/>
              <w:rPr>
                <w:rFonts w:ascii="Times New Roman" w:hAnsi="Times New Roman"/>
                <w:bCs/>
              </w:rPr>
            </w:pPr>
          </w:p>
          <w:p w:rsidR="00F4754B" w:rsidRPr="004E4BE4" w:rsidRDefault="00F4754B" w:rsidP="002509B1">
            <w:pPr>
              <w:pStyle w:val="BodyText1"/>
              <w:spacing w:line="240" w:lineRule="auto"/>
              <w:rPr>
                <w:rFonts w:ascii="Times New Roman" w:hAnsi="Times New Roman"/>
                <w:bCs/>
              </w:rPr>
            </w:pPr>
            <w:r w:rsidRPr="004E4BE4">
              <w:rPr>
                <w:rFonts w:ascii="Times New Roman" w:hAnsi="Times New Roman"/>
              </w:rPr>
              <w:t>Inštitúcia klasifikuje svoju podnikovú štruktúru</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týmito kategóriami:</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akciová spoločnosť,</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vzájomná spoločnosť/družstvo,</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ostatné spoločnosti iné ako akciové.</w:t>
            </w:r>
          </w:p>
          <w:p w:rsidR="00BE6AC4" w:rsidRPr="004E4BE4" w:rsidRDefault="00BE6AC4" w:rsidP="00BE6AC4">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A1A9C">
            <w:pPr>
              <w:pStyle w:val="BodyText1"/>
              <w:rPr>
                <w:rFonts w:ascii="Times New Roman" w:hAnsi="Times New Roman"/>
                <w:bCs/>
              </w:rPr>
            </w:pPr>
            <w:r w:rsidRPr="004E4BE4">
              <w:rPr>
                <w:rFonts w:ascii="Times New Roman" w:hAnsi="Times New Roman"/>
              </w:rPr>
              <w:t>{020;010}</w:t>
            </w:r>
          </w:p>
        </w:tc>
        <w:tc>
          <w:tcPr>
            <w:tcW w:w="7620" w:type="dxa"/>
          </w:tcPr>
          <w:p w:rsidR="00F4754B" w:rsidRPr="00ED4583" w:rsidRDefault="00F4754B" w:rsidP="002509B1">
            <w:pPr>
              <w:pStyle w:val="BodyText1"/>
              <w:spacing w:line="240" w:lineRule="auto"/>
              <w:rPr>
                <w:rFonts w:ascii="Times New Roman" w:hAnsi="Times New Roman"/>
                <w:b/>
                <w:bCs/>
              </w:rPr>
            </w:pPr>
            <w:r w:rsidRPr="00ED4583">
              <w:rPr>
                <w:rFonts w:ascii="Times New Roman" w:hAnsi="Times New Roman"/>
                <w:b/>
              </w:rPr>
              <w:t>Zaobchádzanie</w:t>
            </w:r>
            <w:r w:rsidR="004E4BE4" w:rsidRPr="00ED4583">
              <w:rPr>
                <w:rFonts w:ascii="Times New Roman" w:hAnsi="Times New Roman"/>
                <w:b/>
              </w:rPr>
              <w:t xml:space="preserve"> s </w:t>
            </w:r>
            <w:r w:rsidRPr="00ED4583">
              <w:rPr>
                <w:rFonts w:ascii="Times New Roman" w:hAnsi="Times New Roman"/>
                <w:b/>
              </w:rPr>
              <w:t>derivátmi</w:t>
            </w:r>
          </w:p>
          <w:p w:rsidR="00F4754B" w:rsidRPr="004E4BE4" w:rsidRDefault="00F4754B" w:rsidP="002509B1">
            <w:pPr>
              <w:pStyle w:val="BodyText1"/>
              <w:spacing w:line="240" w:lineRule="auto"/>
              <w:rPr>
                <w:rFonts w:ascii="Times New Roman" w:hAnsi="Times New Roman"/>
                <w:bCs/>
              </w:rPr>
            </w:pPr>
          </w:p>
          <w:p w:rsidR="00F4754B" w:rsidRPr="004E4BE4" w:rsidRDefault="00F4754B" w:rsidP="002509B1">
            <w:pPr>
              <w:pStyle w:val="BodyText1"/>
              <w:spacing w:line="240" w:lineRule="auto"/>
              <w:rPr>
                <w:rFonts w:ascii="Times New Roman" w:hAnsi="Times New Roman"/>
                <w:bCs/>
              </w:rPr>
            </w:pPr>
            <w:r w:rsidRPr="004E4BE4">
              <w:rPr>
                <w:rFonts w:ascii="Times New Roman" w:hAnsi="Times New Roman"/>
              </w:rPr>
              <w:t>Inštitúcia spresní regulatórne zaobchádzanie</w:t>
            </w:r>
            <w:r w:rsidR="004E4BE4">
              <w:rPr>
                <w:rFonts w:ascii="Times New Roman" w:hAnsi="Times New Roman"/>
              </w:rPr>
              <w:t xml:space="preserve"> s </w:t>
            </w:r>
            <w:r w:rsidRPr="004E4BE4">
              <w:rPr>
                <w:rFonts w:ascii="Times New Roman" w:hAnsi="Times New Roman"/>
              </w:rPr>
              <w:t>derivátmi</w:t>
            </w:r>
            <w:r w:rsidR="004E4BE4">
              <w:rPr>
                <w:rFonts w:ascii="Times New Roman" w:hAnsi="Times New Roman"/>
              </w:rPr>
              <w:t xml:space="preserve"> v </w:t>
            </w:r>
            <w:r w:rsidRPr="004E4BE4">
              <w:rPr>
                <w:rFonts w:ascii="Times New Roman" w:hAnsi="Times New Roman"/>
              </w:rPr>
              <w:t>súlade</w:t>
            </w:r>
            <w:r w:rsidR="004E4BE4">
              <w:rPr>
                <w:rFonts w:ascii="Times New Roman" w:hAnsi="Times New Roman"/>
              </w:rPr>
              <w:t xml:space="preserve"> s </w:t>
            </w:r>
            <w:r w:rsidRPr="004E4BE4">
              <w:rPr>
                <w:rFonts w:ascii="Times New Roman" w:hAnsi="Times New Roman"/>
              </w:rPr>
              <w:t>týmito kategóriami:</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metóda pôvodnej expozície,</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metóda oceňovania podľa trhovej hodnoty.</w:t>
            </w:r>
          </w:p>
          <w:p w:rsidR="00BE6AC4" w:rsidRPr="004E4BE4" w:rsidRDefault="00BE6AC4" w:rsidP="00BE6AC4">
            <w:pPr>
              <w:pStyle w:val="BodyText1"/>
              <w:spacing w:line="240" w:lineRule="auto"/>
              <w:rPr>
                <w:rFonts w:ascii="Times New Roman" w:hAnsi="Times New Roman"/>
                <w:bCs/>
              </w:rPr>
            </w:pPr>
          </w:p>
        </w:tc>
      </w:tr>
      <w:tr w:rsidR="00F4754B" w:rsidRPr="004E4BE4" w:rsidTr="00FC2664">
        <w:tc>
          <w:tcPr>
            <w:tcW w:w="1418" w:type="dxa"/>
          </w:tcPr>
          <w:p w:rsidR="00F4754B" w:rsidRPr="004E4BE4" w:rsidRDefault="00F4754B" w:rsidP="00FA1A9C">
            <w:pPr>
              <w:pStyle w:val="BodyText1"/>
              <w:rPr>
                <w:rFonts w:ascii="Times New Roman" w:hAnsi="Times New Roman"/>
                <w:bCs/>
              </w:rPr>
            </w:pPr>
            <w:r w:rsidRPr="004E4BE4">
              <w:rPr>
                <w:rFonts w:ascii="Times New Roman" w:hAnsi="Times New Roman"/>
              </w:rPr>
              <w:t>{040;010}</w:t>
            </w:r>
          </w:p>
        </w:tc>
        <w:tc>
          <w:tcPr>
            <w:tcW w:w="7620" w:type="dxa"/>
          </w:tcPr>
          <w:p w:rsidR="00F4754B" w:rsidRPr="00ED4583" w:rsidRDefault="00F4754B" w:rsidP="002509B1">
            <w:pPr>
              <w:pStyle w:val="BodyText1"/>
              <w:spacing w:line="240" w:lineRule="auto"/>
              <w:rPr>
                <w:rFonts w:ascii="Times New Roman" w:hAnsi="Times New Roman"/>
                <w:b/>
                <w:bCs/>
              </w:rPr>
            </w:pPr>
            <w:r w:rsidRPr="00ED4583">
              <w:rPr>
                <w:rFonts w:ascii="Times New Roman" w:hAnsi="Times New Roman"/>
                <w:b/>
              </w:rPr>
              <w:t>Druh inštitúcie</w:t>
            </w:r>
          </w:p>
          <w:p w:rsidR="00F4754B" w:rsidRPr="004E4BE4" w:rsidRDefault="00F4754B" w:rsidP="002509B1">
            <w:pPr>
              <w:pStyle w:val="BodyText1"/>
              <w:spacing w:line="240" w:lineRule="auto"/>
              <w:rPr>
                <w:rFonts w:ascii="Times New Roman" w:hAnsi="Times New Roman"/>
                <w:bCs/>
              </w:rPr>
            </w:pPr>
          </w:p>
          <w:p w:rsidR="00F4754B" w:rsidRPr="004E4BE4" w:rsidRDefault="00F4754B" w:rsidP="002509B1">
            <w:pPr>
              <w:pStyle w:val="BodyText1"/>
              <w:spacing w:line="240" w:lineRule="auto"/>
              <w:rPr>
                <w:rFonts w:ascii="Times New Roman" w:hAnsi="Times New Roman"/>
                <w:bCs/>
              </w:rPr>
            </w:pPr>
            <w:r w:rsidRPr="004E4BE4">
              <w:rPr>
                <w:rFonts w:ascii="Times New Roman" w:hAnsi="Times New Roman"/>
              </w:rPr>
              <w:t>Inštitúcia uvádza, do ktorej</w:t>
            </w:r>
            <w:r w:rsidR="004E4BE4">
              <w:rPr>
                <w:rFonts w:ascii="Times New Roman" w:hAnsi="Times New Roman"/>
              </w:rPr>
              <w:t xml:space="preserve"> z </w:t>
            </w:r>
            <w:r w:rsidRPr="004E4BE4">
              <w:rPr>
                <w:rFonts w:ascii="Times New Roman" w:hAnsi="Times New Roman"/>
              </w:rPr>
              <w:t>týchto kategórií patrí:</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univerzálne bankovníctvo (retailové/komerčné</w:t>
            </w:r>
            <w:r w:rsidR="004E4BE4">
              <w:rPr>
                <w:rFonts w:ascii="Times New Roman" w:hAnsi="Times New Roman"/>
              </w:rPr>
              <w:t xml:space="preserve"> a </w:t>
            </w:r>
            <w:r w:rsidRPr="004E4BE4">
              <w:rPr>
                <w:rFonts w:ascii="Times New Roman" w:hAnsi="Times New Roman"/>
              </w:rPr>
              <w:t>investičné bankovníctvo),</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retailové/komerčné bankovníctvo,</w:t>
            </w:r>
          </w:p>
          <w:p w:rsidR="00F4754B"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investičné bankovníctvo,</w:t>
            </w:r>
          </w:p>
          <w:p w:rsidR="00875832" w:rsidRPr="004E4BE4" w:rsidRDefault="00500508"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špecializovaný veriteľ,</w:t>
            </w:r>
          </w:p>
          <w:p w:rsidR="00F4754B" w:rsidRPr="004E4BE4" w:rsidRDefault="00875832" w:rsidP="0077269C">
            <w:pPr>
              <w:pStyle w:val="BodyText1"/>
              <w:spacing w:line="240" w:lineRule="auto"/>
              <w:ind w:left="360" w:hanging="360"/>
              <w:rPr>
                <w:rFonts w:ascii="Times New Roman" w:hAnsi="Times New Roman"/>
                <w:bCs/>
              </w:rPr>
            </w:pPr>
            <w:r w:rsidRPr="004E4BE4">
              <w:rPr>
                <w:rFonts w:ascii="Times New Roman" w:hAnsi="Times New Roman"/>
              </w:rPr>
              <w:t>–</w:t>
            </w:r>
            <w:r w:rsidRPr="004E4BE4">
              <w:tab/>
            </w:r>
            <w:r w:rsidRPr="004E4BE4">
              <w:rPr>
                <w:rFonts w:ascii="Times New Roman" w:hAnsi="Times New Roman"/>
              </w:rPr>
              <w:t>iný obchodný model.</w:t>
            </w:r>
          </w:p>
          <w:p w:rsidR="00BE6AC4" w:rsidRPr="004E4BE4" w:rsidRDefault="00BE6AC4" w:rsidP="00BE6AC4">
            <w:pPr>
              <w:pStyle w:val="BodyText1"/>
              <w:spacing w:line="240" w:lineRule="auto"/>
              <w:rPr>
                <w:rFonts w:ascii="Times New Roman" w:hAnsi="Times New Roman"/>
                <w:bCs/>
              </w:rPr>
            </w:pPr>
          </w:p>
        </w:tc>
      </w:tr>
    </w:tbl>
    <w:p w:rsidR="00565261" w:rsidRPr="004E4BE4" w:rsidRDefault="006D1C09" w:rsidP="008717E3">
      <w:pPr>
        <w:pStyle w:val="BodyText1"/>
        <w:ind w:left="567"/>
        <w:rPr>
          <w:rFonts w:ascii="Times New Roman" w:hAnsi="Times New Roman"/>
        </w:rPr>
      </w:pPr>
      <w:r w:rsidRPr="004E4BE4">
        <w:rPr>
          <w:rFonts w:ascii="Times New Roman" w:hAnsi="Times New Roman"/>
          <w:sz w:val="24"/>
        </w:rPr>
        <w:t>“</w:t>
      </w:r>
    </w:p>
    <w:sectPr w:rsidR="00565261" w:rsidRPr="004E4BE4"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583" w:rsidRDefault="00ED4583">
      <w:r>
        <w:separator/>
      </w:r>
    </w:p>
  </w:endnote>
  <w:endnote w:type="continuationSeparator" w:id="0">
    <w:p w:rsidR="00ED4583" w:rsidRDefault="00ED4583">
      <w:r>
        <w:continuationSeparator/>
      </w:r>
    </w:p>
  </w:endnote>
  <w:endnote w:type="continuationNotice" w:id="1">
    <w:p w:rsidR="00ED4583" w:rsidRDefault="00ED4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83" w:rsidRPr="00A772B4" w:rsidRDefault="00ED458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ED4583" w:rsidRDefault="00ED45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450627"/>
      <w:docPartObj>
        <w:docPartGallery w:val="Page Numbers (Bottom of Page)"/>
        <w:docPartUnique/>
      </w:docPartObj>
    </w:sdtPr>
    <w:sdtEndPr>
      <w:rPr>
        <w:noProof/>
      </w:rPr>
    </w:sdtEndPr>
    <w:sdtContent>
      <w:p w:rsidR="00ED4583" w:rsidRDefault="00ED4583">
        <w:pPr>
          <w:pStyle w:val="Footer"/>
          <w:jc w:val="center"/>
        </w:pPr>
        <w:r>
          <w:fldChar w:fldCharType="begin"/>
        </w:r>
        <w:r>
          <w:instrText xml:space="preserve"> PAGE   \* MERGEFORMAT </w:instrText>
        </w:r>
        <w:r>
          <w:fldChar w:fldCharType="separate"/>
        </w:r>
        <w:r w:rsidR="00A57AF5">
          <w:rPr>
            <w:noProof/>
          </w:rPr>
          <w:t>1</w:t>
        </w:r>
        <w:r>
          <w:rPr>
            <w:noProof/>
          </w:rPr>
          <w:fldChar w:fldCharType="end"/>
        </w:r>
      </w:p>
    </w:sdtContent>
  </w:sdt>
  <w:p w:rsidR="00ED4583" w:rsidRDefault="00ED45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Content>
      <w:p w:rsidR="00ED4583" w:rsidRPr="009A78F0" w:rsidRDefault="00ED4583"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040D93">
          <w:rPr>
            <w:rFonts w:ascii="Times New Roman" w:hAnsi="Times New Roman"/>
            <w:noProof/>
            <w:sz w:val="20"/>
          </w:rPr>
          <w:t>25</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Content>
      <w:p w:rsidR="00ED4583" w:rsidRDefault="00ED4583">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ED4583" w:rsidRDefault="00ED45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583" w:rsidRPr="004D223F" w:rsidRDefault="00ED4583" w:rsidP="00C7701D">
      <w:r>
        <w:continuationSeparator/>
      </w:r>
    </w:p>
  </w:footnote>
  <w:footnote w:type="continuationSeparator" w:id="0">
    <w:p w:rsidR="00ED4583" w:rsidRDefault="00ED4583">
      <w:r>
        <w:continuationSeparator/>
      </w:r>
    </w:p>
  </w:footnote>
  <w:footnote w:type="continuationNotice" w:id="1">
    <w:p w:rsidR="00ED4583" w:rsidRDefault="00ED4583"/>
  </w:footnote>
  <w:footnote w:id="2">
    <w:p w:rsidR="00ED4583" w:rsidRPr="004E4BE4" w:rsidRDefault="00ED4583" w:rsidP="00F4754B">
      <w:pPr>
        <w:pStyle w:val="FootnoteText"/>
        <w:rPr>
          <w:sz w:val="12"/>
          <w:szCs w:val="12"/>
        </w:rPr>
      </w:pPr>
      <w:r w:rsidRPr="004E4BE4">
        <w:rPr>
          <w:rStyle w:val="FootnoteReference"/>
        </w:rPr>
        <w:footnoteRef/>
      </w:r>
      <w:r w:rsidRPr="004E4BE4">
        <w:t xml:space="preserve"> </w:t>
      </w:r>
      <w:r w:rsidRPr="004E4BE4">
        <w:rPr>
          <w:sz w:val="12"/>
        </w:rPr>
        <w:t>To zahŕňa sekuritizácie</w:t>
      </w:r>
      <w:r>
        <w:rPr>
          <w:sz w:val="12"/>
        </w:rPr>
        <w:t xml:space="preserve"> a </w:t>
      </w:r>
      <w:r w:rsidRPr="004E4BE4">
        <w:rPr>
          <w:sz w:val="12"/>
        </w:rPr>
        <w:t>kapitálové expozície vystavené kreditnému riziku.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83" w:rsidRDefault="00ED4583">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0CBE784" wp14:editId="297D6B9A">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83" w:rsidRDefault="00ED4583">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63207EE3" wp14:editId="70B0ABF2">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ED4583" w:rsidRDefault="00ED4583">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2F7999"/>
    <w:multiLevelType w:val="hybridMultilevel"/>
    <w:tmpl w:val="6A2478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nsid w:val="09F8249A"/>
    <w:multiLevelType w:val="hybridMultilevel"/>
    <w:tmpl w:val="E61C58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5">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4">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6">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8">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D1F7B3D"/>
    <w:multiLevelType w:val="hybridMultilevel"/>
    <w:tmpl w:val="675465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9">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4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1">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0"/>
  </w:num>
  <w:num w:numId="3">
    <w:abstractNumId w:val="17"/>
  </w:num>
  <w:num w:numId="4">
    <w:abstractNumId w:val="9"/>
  </w:num>
  <w:num w:numId="5">
    <w:abstractNumId w:val="3"/>
  </w:num>
  <w:num w:numId="6">
    <w:abstractNumId w:val="39"/>
  </w:num>
  <w:num w:numId="7">
    <w:abstractNumId w:val="2"/>
  </w:num>
  <w:num w:numId="8">
    <w:abstractNumId w:val="26"/>
  </w:num>
  <w:num w:numId="9">
    <w:abstractNumId w:val="38"/>
  </w:num>
  <w:num w:numId="10">
    <w:abstractNumId w:val="18"/>
  </w:num>
  <w:num w:numId="11">
    <w:abstractNumId w:val="32"/>
  </w:num>
  <w:num w:numId="12">
    <w:abstractNumId w:val="16"/>
  </w:num>
  <w:num w:numId="13">
    <w:abstractNumId w:val="37"/>
  </w:num>
  <w:num w:numId="14">
    <w:abstractNumId w:val="8"/>
  </w:num>
  <w:num w:numId="15">
    <w:abstractNumId w:val="27"/>
  </w:num>
  <w:num w:numId="16">
    <w:abstractNumId w:val="15"/>
  </w:num>
  <w:num w:numId="17">
    <w:abstractNumId w:val="23"/>
  </w:num>
  <w:num w:numId="18">
    <w:abstractNumId w:val="13"/>
  </w:num>
  <w:num w:numId="19">
    <w:abstractNumId w:val="30"/>
  </w:num>
  <w:num w:numId="20">
    <w:abstractNumId w:val="25"/>
  </w:num>
  <w:num w:numId="21">
    <w:abstractNumId w:val="14"/>
  </w:num>
  <w:num w:numId="22">
    <w:abstractNumId w:val="22"/>
  </w:num>
  <w:num w:numId="23">
    <w:abstractNumId w:val="33"/>
  </w:num>
  <w:num w:numId="24">
    <w:abstractNumId w:val="6"/>
  </w:num>
  <w:num w:numId="25">
    <w:abstractNumId w:val="28"/>
  </w:num>
  <w:num w:numId="26">
    <w:abstractNumId w:val="40"/>
  </w:num>
  <w:num w:numId="27">
    <w:abstractNumId w:val="31"/>
  </w:num>
  <w:num w:numId="28">
    <w:abstractNumId w:val="20"/>
  </w:num>
  <w:num w:numId="29">
    <w:abstractNumId w:val="29"/>
  </w:num>
  <w:num w:numId="30">
    <w:abstractNumId w:val="41"/>
  </w:num>
  <w:num w:numId="31">
    <w:abstractNumId w:val="12"/>
  </w:num>
  <w:num w:numId="32">
    <w:abstractNumId w:val="21"/>
  </w:num>
  <w:num w:numId="33">
    <w:abstractNumId w:val="14"/>
  </w:num>
  <w:num w:numId="34">
    <w:abstractNumId w:val="14"/>
  </w:num>
  <w:num w:numId="35">
    <w:abstractNumId w:val="14"/>
  </w:num>
  <w:num w:numId="36">
    <w:abstractNumId w:val="35"/>
  </w:num>
  <w:num w:numId="37">
    <w:abstractNumId w:val="14"/>
  </w:num>
  <w:num w:numId="38">
    <w:abstractNumId w:val="34"/>
  </w:num>
  <w:num w:numId="39">
    <w:abstractNumId w:val="19"/>
  </w:num>
  <w:num w:numId="40">
    <w:abstractNumId w:val="11"/>
  </w:num>
  <w:num w:numId="41">
    <w:abstractNumId w:val="14"/>
  </w:num>
  <w:num w:numId="42">
    <w:abstractNumId w:val="14"/>
  </w:num>
  <w:num w:numId="43">
    <w:abstractNumId w:val="5"/>
  </w:num>
  <w:num w:numId="44">
    <w:abstractNumId w:val="24"/>
  </w:num>
  <w:num w:numId="45">
    <w:abstractNumId w:val="7"/>
  </w:num>
  <w:num w:numId="46">
    <w:abstractNumId w:val="14"/>
  </w:num>
  <w:num w:numId="47">
    <w:abstractNumId w:val="36"/>
  </w:num>
  <w:num w:numId="48">
    <w:abstractNumId w:val="4"/>
  </w:num>
  <w:num w:numId="49">
    <w:abstractNumId w:val="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revisionView w:markup="0"/>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0D93"/>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E4BE4"/>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6"/>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AF5"/>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2EBC"/>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37CFA"/>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4583"/>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2BAB"/>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sk-S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sk-SK"/>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sk-SK"/>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sk-SK"/>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sk-SK"/>
    </w:rPr>
  </w:style>
  <w:style w:type="character" w:customStyle="1" w:styleId="Heading6Char">
    <w:name w:val="Heading 6 Char"/>
    <w:basedOn w:val="DefaultParagraphFont"/>
    <w:link w:val="Heading6"/>
    <w:rsid w:val="00F4754B"/>
    <w:rPr>
      <w:b/>
      <w:bCs/>
      <w:szCs w:val="22"/>
      <w:lang w:eastAsia="sk-SK"/>
    </w:rPr>
  </w:style>
  <w:style w:type="character" w:customStyle="1" w:styleId="Heading7Char">
    <w:name w:val="Heading 7 Char"/>
    <w:basedOn w:val="DefaultParagraphFont"/>
    <w:link w:val="Heading7"/>
    <w:rsid w:val="00F4754B"/>
    <w:rPr>
      <w:sz w:val="24"/>
      <w:szCs w:val="24"/>
      <w:lang w:eastAsia="sk-SK"/>
    </w:rPr>
  </w:style>
  <w:style w:type="character" w:customStyle="1" w:styleId="Heading8Char">
    <w:name w:val="Heading 8 Char"/>
    <w:basedOn w:val="DefaultParagraphFont"/>
    <w:link w:val="Heading8"/>
    <w:rsid w:val="00F4754B"/>
    <w:rPr>
      <w:i/>
      <w:iCs/>
      <w:sz w:val="24"/>
      <w:szCs w:val="24"/>
      <w:lang w:eastAsia="sk-SK"/>
    </w:rPr>
  </w:style>
  <w:style w:type="character" w:customStyle="1" w:styleId="Heading9Char">
    <w:name w:val="Heading 9 Char"/>
    <w:basedOn w:val="DefaultParagraphFont"/>
    <w:link w:val="Heading9"/>
    <w:rsid w:val="00F4754B"/>
    <w:rPr>
      <w:rFonts w:ascii="Verdana" w:hAnsi="Verdana" w:cs="Arial"/>
      <w:szCs w:val="22"/>
      <w:lang w:eastAsia="sk-SK"/>
    </w:rPr>
  </w:style>
  <w:style w:type="character" w:customStyle="1" w:styleId="Heading1Char">
    <w:name w:val="Heading 1 Char"/>
    <w:basedOn w:val="DefaultParagraphFont"/>
    <w:link w:val="Heading1"/>
    <w:rsid w:val="00F4754B"/>
    <w:rPr>
      <w:rFonts w:ascii="Arial" w:hAnsi="Arial"/>
      <w:color w:val="48748F" w:themeColor="accent1"/>
      <w:sz w:val="36"/>
      <w:lang w:eastAsia="sk-SK"/>
    </w:rPr>
  </w:style>
  <w:style w:type="character" w:customStyle="1" w:styleId="Heading2Char">
    <w:name w:val="Heading 2 Char"/>
    <w:basedOn w:val="DefaultParagraphFont"/>
    <w:link w:val="Heading2"/>
    <w:rsid w:val="00F4754B"/>
    <w:rPr>
      <w:rFonts w:ascii="Arial" w:hAnsi="Arial"/>
      <w:color w:val="48748F" w:themeColor="accent1"/>
      <w:sz w:val="24"/>
      <w:lang w:eastAsia="sk-SK"/>
    </w:rPr>
  </w:style>
  <w:style w:type="character" w:customStyle="1" w:styleId="Heading3Char">
    <w:name w:val="Heading 3 Char"/>
    <w:basedOn w:val="DefaultParagraphFont"/>
    <w:link w:val="Heading3"/>
    <w:rsid w:val="00F4754B"/>
    <w:rPr>
      <w:rFonts w:ascii="Arial" w:hAnsi="Arial"/>
      <w:b/>
      <w:color w:val="48748F" w:themeColor="accent1"/>
      <w:szCs w:val="22"/>
      <w:lang w:eastAsia="sk-SK"/>
    </w:rPr>
  </w:style>
  <w:style w:type="character" w:customStyle="1" w:styleId="Heading4Char">
    <w:name w:val="Heading 4 Char"/>
    <w:basedOn w:val="DefaultParagraphFont"/>
    <w:link w:val="Heading4"/>
    <w:rsid w:val="00F4754B"/>
    <w:rPr>
      <w:rFonts w:ascii="Arial" w:hAnsi="Arial"/>
      <w:color w:val="48748F" w:themeColor="accent1"/>
      <w:lang w:eastAsia="sk-SK"/>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sk-SK"/>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sk-SK"/>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sk-SK"/>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sk-SK"/>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sk-SK"/>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sk-SK"/>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sk-SK"/>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sk-SK"/>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sk-SK"/>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sk-SK" w:eastAsia="sk-SK"/>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sk-SK"/>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k-SK" w:eastAsia="sk-SK" w:bidi="sk-SK"/>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sk-SK"/>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sk-SK"/>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sk-SK"/>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sk-SK"/>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sk-SK"/>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sk-S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sk-SK"/>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sk-SK"/>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sk-SK"/>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sk-SK"/>
    </w:rPr>
  </w:style>
  <w:style w:type="character" w:customStyle="1" w:styleId="Heading6Char">
    <w:name w:val="Heading 6 Char"/>
    <w:basedOn w:val="DefaultParagraphFont"/>
    <w:link w:val="Heading6"/>
    <w:rsid w:val="00F4754B"/>
    <w:rPr>
      <w:b/>
      <w:bCs/>
      <w:szCs w:val="22"/>
      <w:lang w:eastAsia="sk-SK"/>
    </w:rPr>
  </w:style>
  <w:style w:type="character" w:customStyle="1" w:styleId="Heading7Char">
    <w:name w:val="Heading 7 Char"/>
    <w:basedOn w:val="DefaultParagraphFont"/>
    <w:link w:val="Heading7"/>
    <w:rsid w:val="00F4754B"/>
    <w:rPr>
      <w:sz w:val="24"/>
      <w:szCs w:val="24"/>
      <w:lang w:eastAsia="sk-SK"/>
    </w:rPr>
  </w:style>
  <w:style w:type="character" w:customStyle="1" w:styleId="Heading8Char">
    <w:name w:val="Heading 8 Char"/>
    <w:basedOn w:val="DefaultParagraphFont"/>
    <w:link w:val="Heading8"/>
    <w:rsid w:val="00F4754B"/>
    <w:rPr>
      <w:i/>
      <w:iCs/>
      <w:sz w:val="24"/>
      <w:szCs w:val="24"/>
      <w:lang w:eastAsia="sk-SK"/>
    </w:rPr>
  </w:style>
  <w:style w:type="character" w:customStyle="1" w:styleId="Heading9Char">
    <w:name w:val="Heading 9 Char"/>
    <w:basedOn w:val="DefaultParagraphFont"/>
    <w:link w:val="Heading9"/>
    <w:rsid w:val="00F4754B"/>
    <w:rPr>
      <w:rFonts w:ascii="Verdana" w:hAnsi="Verdana" w:cs="Arial"/>
      <w:szCs w:val="22"/>
      <w:lang w:eastAsia="sk-SK"/>
    </w:rPr>
  </w:style>
  <w:style w:type="character" w:customStyle="1" w:styleId="Heading1Char">
    <w:name w:val="Heading 1 Char"/>
    <w:basedOn w:val="DefaultParagraphFont"/>
    <w:link w:val="Heading1"/>
    <w:rsid w:val="00F4754B"/>
    <w:rPr>
      <w:rFonts w:ascii="Arial" w:hAnsi="Arial"/>
      <w:color w:val="48748F" w:themeColor="accent1"/>
      <w:sz w:val="36"/>
      <w:lang w:eastAsia="sk-SK"/>
    </w:rPr>
  </w:style>
  <w:style w:type="character" w:customStyle="1" w:styleId="Heading2Char">
    <w:name w:val="Heading 2 Char"/>
    <w:basedOn w:val="DefaultParagraphFont"/>
    <w:link w:val="Heading2"/>
    <w:rsid w:val="00F4754B"/>
    <w:rPr>
      <w:rFonts w:ascii="Arial" w:hAnsi="Arial"/>
      <w:color w:val="48748F" w:themeColor="accent1"/>
      <w:sz w:val="24"/>
      <w:lang w:eastAsia="sk-SK"/>
    </w:rPr>
  </w:style>
  <w:style w:type="character" w:customStyle="1" w:styleId="Heading3Char">
    <w:name w:val="Heading 3 Char"/>
    <w:basedOn w:val="DefaultParagraphFont"/>
    <w:link w:val="Heading3"/>
    <w:rsid w:val="00F4754B"/>
    <w:rPr>
      <w:rFonts w:ascii="Arial" w:hAnsi="Arial"/>
      <w:b/>
      <w:color w:val="48748F" w:themeColor="accent1"/>
      <w:szCs w:val="22"/>
      <w:lang w:eastAsia="sk-SK"/>
    </w:rPr>
  </w:style>
  <w:style w:type="character" w:customStyle="1" w:styleId="Heading4Char">
    <w:name w:val="Heading 4 Char"/>
    <w:basedOn w:val="DefaultParagraphFont"/>
    <w:link w:val="Heading4"/>
    <w:rsid w:val="00F4754B"/>
    <w:rPr>
      <w:rFonts w:ascii="Arial" w:hAnsi="Arial"/>
      <w:color w:val="48748F" w:themeColor="accent1"/>
      <w:lang w:eastAsia="sk-SK"/>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sk-SK"/>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sk-SK"/>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sk-SK"/>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sk-SK"/>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sk-SK"/>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sk-SK"/>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sk-SK"/>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sk-SK"/>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sk-SK"/>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sk-SK" w:eastAsia="sk-SK"/>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sk-SK"/>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k-SK" w:eastAsia="sk-SK" w:bidi="sk-SK"/>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sk-SK"/>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sk-SK"/>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sk-SK"/>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sk-SK"/>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sk-SK"/>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26311-556D-4BA9-92C7-6D4E4A7197AC}">
  <ds:schemaRefs>
    <ds:schemaRef ds:uri="http://schemas.openxmlformats.org/officeDocument/2006/bibliography"/>
  </ds:schemaRefs>
</ds:datastoreItem>
</file>

<file path=customXml/itemProps2.xml><?xml version="1.0" encoding="utf-8"?>
<ds:datastoreItem xmlns:ds="http://schemas.openxmlformats.org/officeDocument/2006/customXml" ds:itemID="{18C852FD-5414-4D1E-8B94-B94626BF6944}">
  <ds:schemaRefs>
    <ds:schemaRef ds:uri="http://schemas.openxmlformats.org/officeDocument/2006/bibliography"/>
  </ds:schemaRefs>
</ds:datastoreItem>
</file>

<file path=customXml/itemProps3.xml><?xml version="1.0" encoding="utf-8"?>
<ds:datastoreItem xmlns:ds="http://schemas.openxmlformats.org/officeDocument/2006/customXml" ds:itemID="{B8ABF02D-5596-447F-8E7B-BB2933C0E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45</Pages>
  <Words>15989</Words>
  <Characters>99373</Characters>
  <Application>Microsoft Office Word</Application>
  <DocSecurity>0</DocSecurity>
  <Lines>2839</Lines>
  <Paragraphs>1296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114066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STANCIKOVA Marianna (DGT)</cp:lastModifiedBy>
  <cp:revision>16</cp:revision>
  <cp:lastPrinted>2015-04-10T08:05:00Z</cp:lastPrinted>
  <dcterms:created xsi:type="dcterms:W3CDTF">2018-02-06T16:20:00Z</dcterms:created>
  <dcterms:modified xsi:type="dcterms:W3CDTF">2018-09-07T12:53:00Z</dcterms:modified>
</cp:coreProperties>
</file>