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2E9" w:rsidRPr="00E83F90" w:rsidRDefault="009502E9" w:rsidP="00A33695">
      <w:pPr>
        <w:jc w:val="center"/>
        <w:rPr>
          <w:rFonts w:ascii="Times New Roman" w:hAnsi="Times New Roman"/>
          <w:b/>
          <w:sz w:val="24"/>
        </w:rPr>
      </w:pPr>
      <w:bookmarkStart w:id="0" w:name="_Toc262568021"/>
      <w:bookmarkStart w:id="1" w:name="_Toc295829847"/>
      <w:r>
        <w:rPr>
          <w:rFonts w:ascii="Times New Roman" w:hAnsi="Times New Roman"/>
          <w:b/>
          <w:sz w:val="24"/>
        </w:rPr>
        <w:t>LT</w:t>
      </w:r>
    </w:p>
    <w:p w:rsidR="00FF3ED5" w:rsidRDefault="00FF3ED5" w:rsidP="00A33695">
      <w:pPr>
        <w:jc w:val="center"/>
        <w:rPr>
          <w:rFonts w:ascii="Times New Roman" w:hAnsi="Times New Roman"/>
          <w:b/>
          <w:sz w:val="24"/>
        </w:rPr>
      </w:pPr>
      <w:r>
        <w:rPr>
          <w:rFonts w:ascii="Times New Roman" w:hAnsi="Times New Roman"/>
          <w:b/>
          <w:sz w:val="24"/>
        </w:rPr>
        <w:t>IV PRIEDAS</w:t>
      </w:r>
    </w:p>
    <w:p w:rsidR="008F53AF" w:rsidRPr="00E83F90" w:rsidRDefault="008F53AF" w:rsidP="00A33695">
      <w:pPr>
        <w:jc w:val="center"/>
        <w:rPr>
          <w:rFonts w:ascii="Times New Roman" w:hAnsi="Times New Roman"/>
          <w:b/>
          <w:sz w:val="24"/>
        </w:rPr>
      </w:pPr>
    </w:p>
    <w:p w:rsidR="00C87CEE" w:rsidRPr="00C81874" w:rsidRDefault="00530C90" w:rsidP="00A33695">
      <w:pPr>
        <w:jc w:val="center"/>
        <w:rPr>
          <w:rFonts w:ascii="Times New Roman" w:hAnsi="Times New Roman"/>
          <w:b/>
          <w:sz w:val="24"/>
          <w:u w:val="single"/>
        </w:rPr>
      </w:pPr>
      <w:r>
        <w:rPr>
          <w:rFonts w:ascii="Times New Roman" w:hAnsi="Times New Roman"/>
          <w:b/>
          <w:sz w:val="24"/>
          <w:u w:val="single"/>
        </w:rPr>
        <w:t>IX PRIEDAS</w:t>
      </w:r>
    </w:p>
    <w:p w:rsidR="00DD58A5" w:rsidRDefault="00F41B3A" w:rsidP="00C87CEE">
      <w:pPr>
        <w:jc w:val="center"/>
        <w:rPr>
          <w:rFonts w:ascii="Times New Roman" w:hAnsi="Times New Roman"/>
          <w:b/>
          <w:sz w:val="24"/>
        </w:rPr>
      </w:pPr>
      <w:r>
        <w:rPr>
          <w:rFonts w:ascii="Times New Roman" w:hAnsi="Times New Roman"/>
          <w:b/>
          <w:sz w:val="24"/>
        </w:rPr>
        <w:t xml:space="preserve">INFORMACIJOS APIE DIDELES POZICIJAS IR KONCENTRACIJOS RIZIKĄ </w:t>
      </w:r>
    </w:p>
    <w:p w:rsidR="00C87CEE" w:rsidRPr="00EF13C2" w:rsidRDefault="00F41B3A" w:rsidP="00C87CEE">
      <w:pPr>
        <w:jc w:val="center"/>
        <w:rPr>
          <w:rFonts w:ascii="Times New Roman" w:hAnsi="Times New Roman"/>
          <w:b/>
          <w:sz w:val="24"/>
        </w:rPr>
      </w:pPr>
      <w:r>
        <w:rPr>
          <w:rFonts w:ascii="Times New Roman" w:hAnsi="Times New Roman"/>
          <w:b/>
          <w:sz w:val="24"/>
        </w:rPr>
        <w:t>TEIKIMO NURODYMAI</w:t>
      </w:r>
    </w:p>
    <w:p w:rsidR="00224E73" w:rsidRPr="00384ADB" w:rsidRDefault="00224E73" w:rsidP="00317768">
      <w:pPr>
        <w:pStyle w:val="Heading6"/>
        <w:rPr>
          <w:sz w:val="24"/>
          <w:szCs w:val="24"/>
        </w:rPr>
      </w:pPr>
    </w:p>
    <w:p w:rsidR="00224E73" w:rsidRPr="00384ADB" w:rsidRDefault="00224E73" w:rsidP="00317768">
      <w:pPr>
        <w:pStyle w:val="Heading6"/>
        <w:rPr>
          <w:sz w:val="24"/>
          <w:szCs w:val="24"/>
        </w:rPr>
      </w:pPr>
    </w:p>
    <w:p w:rsidR="001D23F1" w:rsidRPr="00384ADB" w:rsidRDefault="001D23F1" w:rsidP="001D23F1">
      <w:pPr>
        <w:rPr>
          <w:rFonts w:ascii="Times New Roman" w:hAnsi="Times New Roman"/>
          <w:sz w:val="24"/>
        </w:rPr>
      </w:pPr>
    </w:p>
    <w:p w:rsidR="00D64B66" w:rsidRPr="00384ADB" w:rsidRDefault="003105C6" w:rsidP="00317768">
      <w:pPr>
        <w:pStyle w:val="Heading6"/>
        <w:rPr>
          <w:sz w:val="24"/>
          <w:szCs w:val="24"/>
        </w:rPr>
      </w:pPr>
      <w:r>
        <w:rPr>
          <w:sz w:val="24"/>
        </w:rPr>
        <w:t>Turinys</w:t>
      </w:r>
    </w:p>
    <w:p w:rsidR="0077431D" w:rsidRDefault="0077431D">
      <w:pPr>
        <w:pStyle w:val="TOC2"/>
        <w:rPr>
          <w:rFonts w:asciiTheme="minorHAnsi" w:eastAsiaTheme="minorEastAsia" w:hAnsiTheme="minorHAnsi" w:cstheme="minorBidi"/>
          <w:b w:val="0"/>
          <w:smallCaps w:val="0"/>
          <w:sz w:val="22"/>
          <w:lang w:val="en-GB" w:eastAsia="en-GB" w:bidi="ar-SA"/>
        </w:rPr>
      </w:pPr>
      <w:r>
        <w:rPr>
          <w:rFonts w:ascii="Times New Roman" w:hAnsi="Times New Roman"/>
          <w:noProof w:val="0"/>
          <w:sz w:val="24"/>
          <w:szCs w:val="24"/>
        </w:rPr>
        <w:fldChar w:fldCharType="begin"/>
      </w:r>
      <w:r w:rsidR="00621F98">
        <w:rPr>
          <w:rFonts w:ascii="Times New Roman" w:hAnsi="Times New Roman"/>
          <w:noProof w:val="0"/>
          <w:sz w:val="24"/>
          <w:szCs w:val="24"/>
        </w:rPr>
        <w:instrText xml:space="preserve"> TOC \o "1-3" \h \z \u </w:instrText>
      </w:r>
      <w:r>
        <w:rPr>
          <w:rFonts w:ascii="Times New Roman" w:hAnsi="Times New Roman"/>
          <w:noProof w:val="0"/>
          <w:sz w:val="24"/>
          <w:szCs w:val="24"/>
        </w:rPr>
        <w:fldChar w:fldCharType="separate"/>
      </w:r>
      <w:hyperlink w:anchor="_Toc524082056" w:history="1">
        <w:r w:rsidRPr="00F84A7E">
          <w:rPr>
            <w:rStyle w:val="Hyperlink"/>
            <w:rFonts w:ascii="Times New Roman" w:hAnsi="Times New Roman"/>
          </w:rPr>
          <w:t>I DALIS. BENDRIEJI NURODYMAI</w:t>
        </w:r>
        <w:r>
          <w:rPr>
            <w:webHidden/>
          </w:rPr>
          <w:tab/>
        </w:r>
        <w:r>
          <w:rPr>
            <w:webHidden/>
          </w:rPr>
          <w:fldChar w:fldCharType="begin"/>
        </w:r>
        <w:r>
          <w:rPr>
            <w:webHidden/>
          </w:rPr>
          <w:instrText xml:space="preserve"> PAGEREF _Toc524082056 \h </w:instrText>
        </w:r>
        <w:r>
          <w:rPr>
            <w:webHidden/>
          </w:rPr>
        </w:r>
        <w:r>
          <w:rPr>
            <w:webHidden/>
          </w:rPr>
          <w:fldChar w:fldCharType="separate"/>
        </w:r>
        <w:r>
          <w:rPr>
            <w:webHidden/>
          </w:rPr>
          <w:t>2</w:t>
        </w:r>
        <w:r>
          <w:rPr>
            <w:webHidden/>
          </w:rPr>
          <w:fldChar w:fldCharType="end"/>
        </w:r>
      </w:hyperlink>
    </w:p>
    <w:p w:rsidR="0077431D" w:rsidRDefault="0077431D">
      <w:pPr>
        <w:pStyle w:val="TOC2"/>
        <w:rPr>
          <w:rFonts w:asciiTheme="minorHAnsi" w:eastAsiaTheme="minorEastAsia" w:hAnsiTheme="minorHAnsi" w:cstheme="minorBidi"/>
          <w:b w:val="0"/>
          <w:smallCaps w:val="0"/>
          <w:sz w:val="22"/>
          <w:lang w:val="en-GB" w:eastAsia="en-GB" w:bidi="ar-SA"/>
        </w:rPr>
      </w:pPr>
      <w:hyperlink w:anchor="_Toc524082057" w:history="1">
        <w:r w:rsidRPr="00F84A7E">
          <w:rPr>
            <w:rStyle w:val="Hyperlink"/>
            <w:rFonts w:ascii="Times New Roman" w:hAnsi="Times New Roman"/>
          </w:rPr>
          <w:t>1.</w:t>
        </w:r>
        <w:r>
          <w:rPr>
            <w:rFonts w:asciiTheme="minorHAnsi" w:eastAsiaTheme="minorEastAsia" w:hAnsiTheme="minorHAnsi" w:cstheme="minorBidi"/>
            <w:b w:val="0"/>
            <w:smallCaps w:val="0"/>
            <w:sz w:val="22"/>
            <w:lang w:val="en-GB" w:eastAsia="en-GB" w:bidi="ar-SA"/>
          </w:rPr>
          <w:tab/>
        </w:r>
        <w:r w:rsidRPr="00F84A7E">
          <w:rPr>
            <w:rStyle w:val="Hyperlink"/>
            <w:rFonts w:ascii="Times New Roman" w:hAnsi="Times New Roman"/>
          </w:rPr>
          <w:t>Struktūra ir tvarka</w:t>
        </w:r>
        <w:r>
          <w:rPr>
            <w:webHidden/>
          </w:rPr>
          <w:tab/>
        </w:r>
        <w:r>
          <w:rPr>
            <w:webHidden/>
          </w:rPr>
          <w:fldChar w:fldCharType="begin"/>
        </w:r>
        <w:r>
          <w:rPr>
            <w:webHidden/>
          </w:rPr>
          <w:instrText xml:space="preserve"> PAGEREF _Toc524082057 \h </w:instrText>
        </w:r>
        <w:r>
          <w:rPr>
            <w:webHidden/>
          </w:rPr>
        </w:r>
        <w:r>
          <w:rPr>
            <w:webHidden/>
          </w:rPr>
          <w:fldChar w:fldCharType="separate"/>
        </w:r>
        <w:r>
          <w:rPr>
            <w:webHidden/>
          </w:rPr>
          <w:t>2</w:t>
        </w:r>
        <w:r>
          <w:rPr>
            <w:webHidden/>
          </w:rPr>
          <w:fldChar w:fldCharType="end"/>
        </w:r>
      </w:hyperlink>
    </w:p>
    <w:p w:rsidR="0077431D" w:rsidRDefault="0077431D">
      <w:pPr>
        <w:pStyle w:val="TOC2"/>
        <w:rPr>
          <w:rFonts w:asciiTheme="minorHAnsi" w:eastAsiaTheme="minorEastAsia" w:hAnsiTheme="minorHAnsi" w:cstheme="minorBidi"/>
          <w:b w:val="0"/>
          <w:smallCaps w:val="0"/>
          <w:sz w:val="22"/>
          <w:lang w:val="en-GB" w:eastAsia="en-GB" w:bidi="ar-SA"/>
        </w:rPr>
      </w:pPr>
      <w:hyperlink w:anchor="_Toc524082058" w:history="1">
        <w:r w:rsidRPr="00F84A7E">
          <w:rPr>
            <w:rStyle w:val="Hyperlink"/>
          </w:rPr>
          <w:t>2.</w:t>
        </w:r>
        <w:r>
          <w:rPr>
            <w:rFonts w:asciiTheme="minorHAnsi" w:eastAsiaTheme="minorEastAsia" w:hAnsiTheme="minorHAnsi" w:cstheme="minorBidi"/>
            <w:b w:val="0"/>
            <w:smallCaps w:val="0"/>
            <w:sz w:val="22"/>
            <w:lang w:val="en-GB" w:eastAsia="en-GB" w:bidi="ar-SA"/>
          </w:rPr>
          <w:tab/>
        </w:r>
        <w:r w:rsidRPr="00F84A7E">
          <w:rPr>
            <w:rStyle w:val="Hyperlink"/>
            <w:rFonts w:ascii="Times New Roman" w:hAnsi="Times New Roman"/>
          </w:rPr>
          <w:t>Santrumpos</w:t>
        </w:r>
        <w:r>
          <w:rPr>
            <w:webHidden/>
          </w:rPr>
          <w:tab/>
        </w:r>
        <w:r>
          <w:rPr>
            <w:webHidden/>
          </w:rPr>
          <w:fldChar w:fldCharType="begin"/>
        </w:r>
        <w:r>
          <w:rPr>
            <w:webHidden/>
          </w:rPr>
          <w:instrText xml:space="preserve"> PAGEREF _Toc524082058 \h </w:instrText>
        </w:r>
        <w:r>
          <w:rPr>
            <w:webHidden/>
          </w:rPr>
        </w:r>
        <w:r>
          <w:rPr>
            <w:webHidden/>
          </w:rPr>
          <w:fldChar w:fldCharType="separate"/>
        </w:r>
        <w:r>
          <w:rPr>
            <w:webHidden/>
          </w:rPr>
          <w:t>2</w:t>
        </w:r>
        <w:r>
          <w:rPr>
            <w:webHidden/>
          </w:rPr>
          <w:fldChar w:fldCharType="end"/>
        </w:r>
      </w:hyperlink>
    </w:p>
    <w:p w:rsidR="0077431D" w:rsidRDefault="0077431D">
      <w:pPr>
        <w:pStyle w:val="TOC2"/>
        <w:rPr>
          <w:rFonts w:asciiTheme="minorHAnsi" w:eastAsiaTheme="minorEastAsia" w:hAnsiTheme="minorHAnsi" w:cstheme="minorBidi"/>
          <w:b w:val="0"/>
          <w:smallCaps w:val="0"/>
          <w:sz w:val="22"/>
          <w:lang w:val="en-GB" w:eastAsia="en-GB" w:bidi="ar-SA"/>
        </w:rPr>
      </w:pPr>
      <w:hyperlink w:anchor="_Toc524082059" w:history="1">
        <w:r w:rsidRPr="00F84A7E">
          <w:rPr>
            <w:rStyle w:val="Hyperlink"/>
            <w:rFonts w:ascii="Times New Roman" w:hAnsi="Times New Roman"/>
          </w:rPr>
          <w:t>II DALIS. SU FORMA SUSIJĘ NURODYMAI</w:t>
        </w:r>
        <w:r>
          <w:rPr>
            <w:webHidden/>
          </w:rPr>
          <w:tab/>
        </w:r>
        <w:r>
          <w:rPr>
            <w:webHidden/>
          </w:rPr>
          <w:fldChar w:fldCharType="begin"/>
        </w:r>
        <w:r>
          <w:rPr>
            <w:webHidden/>
          </w:rPr>
          <w:instrText xml:space="preserve"> PAGEREF _Toc524082059 \h </w:instrText>
        </w:r>
        <w:r>
          <w:rPr>
            <w:webHidden/>
          </w:rPr>
        </w:r>
        <w:r>
          <w:rPr>
            <w:webHidden/>
          </w:rPr>
          <w:fldChar w:fldCharType="separate"/>
        </w:r>
        <w:r>
          <w:rPr>
            <w:webHidden/>
          </w:rPr>
          <w:t>3</w:t>
        </w:r>
        <w:r>
          <w:rPr>
            <w:webHidden/>
          </w:rPr>
          <w:fldChar w:fldCharType="end"/>
        </w:r>
      </w:hyperlink>
    </w:p>
    <w:p w:rsidR="0077431D" w:rsidRDefault="0077431D">
      <w:pPr>
        <w:pStyle w:val="TOC2"/>
        <w:rPr>
          <w:rFonts w:asciiTheme="minorHAnsi" w:eastAsiaTheme="minorEastAsia" w:hAnsiTheme="minorHAnsi" w:cstheme="minorBidi"/>
          <w:b w:val="0"/>
          <w:smallCaps w:val="0"/>
          <w:sz w:val="22"/>
          <w:lang w:val="en-GB" w:eastAsia="en-GB" w:bidi="ar-SA"/>
        </w:rPr>
      </w:pPr>
      <w:hyperlink w:anchor="_Toc524082060" w:history="1">
        <w:r w:rsidRPr="00F84A7E">
          <w:rPr>
            <w:rStyle w:val="Hyperlink"/>
            <w:rFonts w:ascii="Times New Roman" w:hAnsi="Times New Roman"/>
          </w:rPr>
          <w:t>1.</w:t>
        </w:r>
        <w:r>
          <w:rPr>
            <w:rFonts w:asciiTheme="minorHAnsi" w:eastAsiaTheme="minorEastAsia" w:hAnsiTheme="minorHAnsi" w:cstheme="minorBidi"/>
            <w:b w:val="0"/>
            <w:smallCaps w:val="0"/>
            <w:sz w:val="22"/>
            <w:lang w:val="en-GB" w:eastAsia="en-GB" w:bidi="ar-SA"/>
          </w:rPr>
          <w:tab/>
        </w:r>
        <w:r w:rsidRPr="00F84A7E">
          <w:rPr>
            <w:rStyle w:val="Hyperlink"/>
            <w:rFonts w:ascii="Times New Roman" w:hAnsi="Times New Roman"/>
          </w:rPr>
          <w:t>Su didelėmis pozicijomis susijusios atskaitomybės aprėptis ir lygmuo</w:t>
        </w:r>
        <w:r>
          <w:rPr>
            <w:webHidden/>
          </w:rPr>
          <w:tab/>
        </w:r>
        <w:r>
          <w:rPr>
            <w:webHidden/>
          </w:rPr>
          <w:fldChar w:fldCharType="begin"/>
        </w:r>
        <w:r>
          <w:rPr>
            <w:webHidden/>
          </w:rPr>
          <w:instrText xml:space="preserve"> PAGEREF _Toc524082060 \h </w:instrText>
        </w:r>
        <w:r>
          <w:rPr>
            <w:webHidden/>
          </w:rPr>
        </w:r>
        <w:r>
          <w:rPr>
            <w:webHidden/>
          </w:rPr>
          <w:fldChar w:fldCharType="separate"/>
        </w:r>
        <w:r>
          <w:rPr>
            <w:webHidden/>
          </w:rPr>
          <w:t>3</w:t>
        </w:r>
        <w:r>
          <w:rPr>
            <w:webHidden/>
          </w:rPr>
          <w:fldChar w:fldCharType="end"/>
        </w:r>
      </w:hyperlink>
    </w:p>
    <w:p w:rsidR="0077431D" w:rsidRDefault="0077431D">
      <w:pPr>
        <w:pStyle w:val="TOC2"/>
        <w:rPr>
          <w:rFonts w:asciiTheme="minorHAnsi" w:eastAsiaTheme="minorEastAsia" w:hAnsiTheme="minorHAnsi" w:cstheme="minorBidi"/>
          <w:b w:val="0"/>
          <w:smallCaps w:val="0"/>
          <w:sz w:val="22"/>
          <w:lang w:val="en-GB" w:eastAsia="en-GB" w:bidi="ar-SA"/>
        </w:rPr>
      </w:pPr>
      <w:hyperlink w:anchor="_Toc524082061" w:history="1">
        <w:r w:rsidRPr="00F84A7E">
          <w:rPr>
            <w:rStyle w:val="Hyperlink"/>
            <w:rFonts w:ascii="Times New Roman" w:hAnsi="Times New Roman"/>
          </w:rPr>
          <w:t>2.</w:t>
        </w:r>
        <w:r>
          <w:rPr>
            <w:rFonts w:asciiTheme="minorHAnsi" w:eastAsiaTheme="minorEastAsia" w:hAnsiTheme="minorHAnsi" w:cstheme="minorBidi"/>
            <w:b w:val="0"/>
            <w:smallCaps w:val="0"/>
            <w:sz w:val="22"/>
            <w:lang w:val="en-GB" w:eastAsia="en-GB" w:bidi="ar-SA"/>
          </w:rPr>
          <w:tab/>
        </w:r>
        <w:r w:rsidRPr="00F84A7E">
          <w:rPr>
            <w:rStyle w:val="Hyperlink"/>
            <w:rFonts w:ascii="Times New Roman" w:hAnsi="Times New Roman"/>
          </w:rPr>
          <w:t>LE formos struktūra</w:t>
        </w:r>
        <w:bookmarkStart w:id="2" w:name="_GoBack"/>
        <w:bookmarkEnd w:id="2"/>
        <w:r>
          <w:rPr>
            <w:webHidden/>
          </w:rPr>
          <w:tab/>
        </w:r>
        <w:r>
          <w:rPr>
            <w:webHidden/>
          </w:rPr>
          <w:fldChar w:fldCharType="begin"/>
        </w:r>
        <w:r>
          <w:rPr>
            <w:webHidden/>
          </w:rPr>
          <w:instrText xml:space="preserve"> PAGEREF _Toc524082061 \h </w:instrText>
        </w:r>
        <w:r>
          <w:rPr>
            <w:webHidden/>
          </w:rPr>
        </w:r>
        <w:r>
          <w:rPr>
            <w:webHidden/>
          </w:rPr>
          <w:fldChar w:fldCharType="separate"/>
        </w:r>
        <w:r>
          <w:rPr>
            <w:webHidden/>
          </w:rPr>
          <w:t>3</w:t>
        </w:r>
        <w:r>
          <w:rPr>
            <w:webHidden/>
          </w:rPr>
          <w:fldChar w:fldCharType="end"/>
        </w:r>
      </w:hyperlink>
    </w:p>
    <w:p w:rsidR="0077431D" w:rsidRDefault="0077431D">
      <w:pPr>
        <w:pStyle w:val="TOC2"/>
        <w:rPr>
          <w:rFonts w:asciiTheme="minorHAnsi" w:eastAsiaTheme="minorEastAsia" w:hAnsiTheme="minorHAnsi" w:cstheme="minorBidi"/>
          <w:b w:val="0"/>
          <w:smallCaps w:val="0"/>
          <w:sz w:val="22"/>
          <w:lang w:val="en-GB" w:eastAsia="en-GB" w:bidi="ar-SA"/>
        </w:rPr>
      </w:pPr>
      <w:hyperlink w:anchor="_Toc524082062" w:history="1">
        <w:r w:rsidRPr="00F84A7E">
          <w:rPr>
            <w:rStyle w:val="Hyperlink"/>
            <w:rFonts w:ascii="Times New Roman" w:eastAsia="Arial" w:hAnsi="Times New Roman"/>
          </w:rPr>
          <w:t>3.</w:t>
        </w:r>
        <w:r>
          <w:rPr>
            <w:rFonts w:asciiTheme="minorHAnsi" w:eastAsiaTheme="minorEastAsia" w:hAnsiTheme="minorHAnsi" w:cstheme="minorBidi"/>
            <w:b w:val="0"/>
            <w:smallCaps w:val="0"/>
            <w:sz w:val="22"/>
            <w:lang w:val="en-GB" w:eastAsia="en-GB" w:bidi="ar-SA"/>
          </w:rPr>
          <w:tab/>
        </w:r>
        <w:r w:rsidRPr="00F84A7E">
          <w:rPr>
            <w:rStyle w:val="Hyperlink"/>
            <w:rFonts w:ascii="Times New Roman" w:hAnsi="Times New Roman"/>
          </w:rPr>
          <w:t>LE ataskaitoje vartojamos apibrėžtys ir bendrieji nurodymai</w:t>
        </w:r>
        <w:r>
          <w:rPr>
            <w:webHidden/>
          </w:rPr>
          <w:tab/>
        </w:r>
        <w:r>
          <w:rPr>
            <w:webHidden/>
          </w:rPr>
          <w:fldChar w:fldCharType="begin"/>
        </w:r>
        <w:r>
          <w:rPr>
            <w:webHidden/>
          </w:rPr>
          <w:instrText xml:space="preserve"> PAGEREF _Toc524082062 \h </w:instrText>
        </w:r>
        <w:r>
          <w:rPr>
            <w:webHidden/>
          </w:rPr>
        </w:r>
        <w:r>
          <w:rPr>
            <w:webHidden/>
          </w:rPr>
          <w:fldChar w:fldCharType="separate"/>
        </w:r>
        <w:r>
          <w:rPr>
            <w:webHidden/>
          </w:rPr>
          <w:t>4</w:t>
        </w:r>
        <w:r>
          <w:rPr>
            <w:webHidden/>
          </w:rPr>
          <w:fldChar w:fldCharType="end"/>
        </w:r>
      </w:hyperlink>
    </w:p>
    <w:p w:rsidR="0077431D" w:rsidRDefault="0077431D">
      <w:pPr>
        <w:pStyle w:val="TOC2"/>
        <w:rPr>
          <w:rFonts w:asciiTheme="minorHAnsi" w:eastAsiaTheme="minorEastAsia" w:hAnsiTheme="minorHAnsi" w:cstheme="minorBidi"/>
          <w:b w:val="0"/>
          <w:smallCaps w:val="0"/>
          <w:sz w:val="22"/>
          <w:lang w:val="en-GB" w:eastAsia="en-GB" w:bidi="ar-SA"/>
        </w:rPr>
      </w:pPr>
      <w:hyperlink w:anchor="_Toc524082063" w:history="1">
        <w:r w:rsidRPr="00F84A7E">
          <w:rPr>
            <w:rStyle w:val="Hyperlink"/>
            <w:rFonts w:ascii="Times New Roman" w:hAnsi="Times New Roman"/>
          </w:rPr>
          <w:t>4.</w:t>
        </w:r>
        <w:r>
          <w:rPr>
            <w:rFonts w:asciiTheme="minorHAnsi" w:eastAsiaTheme="minorEastAsia" w:hAnsiTheme="minorHAnsi" w:cstheme="minorBidi"/>
            <w:b w:val="0"/>
            <w:smallCaps w:val="0"/>
            <w:sz w:val="22"/>
            <w:lang w:val="en-GB" w:eastAsia="en-GB" w:bidi="ar-SA"/>
          </w:rPr>
          <w:tab/>
        </w:r>
        <w:r w:rsidRPr="00F84A7E">
          <w:rPr>
            <w:rStyle w:val="Hyperlink"/>
            <w:rFonts w:ascii="Times New Roman" w:hAnsi="Times New Roman"/>
          </w:rPr>
          <w:t xml:space="preserve">C 26.00. Didelių pozicijų ribų forma (LE </w:t>
        </w:r>
        <w:r w:rsidRPr="00F84A7E">
          <w:rPr>
            <w:rStyle w:val="Hyperlink"/>
            <w:rFonts w:ascii="Times New Roman" w:hAnsi="Times New Roman"/>
            <w:i/>
          </w:rPr>
          <w:t>Limits</w:t>
        </w:r>
        <w:r w:rsidRPr="00F84A7E">
          <w:rPr>
            <w:rStyle w:val="Hyperlink"/>
            <w:rFonts w:ascii="Times New Roman" w:hAnsi="Times New Roman"/>
          </w:rPr>
          <w:t>)</w:t>
        </w:r>
        <w:r>
          <w:rPr>
            <w:webHidden/>
          </w:rPr>
          <w:tab/>
        </w:r>
        <w:r>
          <w:rPr>
            <w:webHidden/>
          </w:rPr>
          <w:fldChar w:fldCharType="begin"/>
        </w:r>
        <w:r>
          <w:rPr>
            <w:webHidden/>
          </w:rPr>
          <w:instrText xml:space="preserve"> PAGEREF _Toc524082063 \h </w:instrText>
        </w:r>
        <w:r>
          <w:rPr>
            <w:webHidden/>
          </w:rPr>
        </w:r>
        <w:r>
          <w:rPr>
            <w:webHidden/>
          </w:rPr>
          <w:fldChar w:fldCharType="separate"/>
        </w:r>
        <w:r>
          <w:rPr>
            <w:webHidden/>
          </w:rPr>
          <w:t>5</w:t>
        </w:r>
        <w:r>
          <w:rPr>
            <w:webHidden/>
          </w:rPr>
          <w:fldChar w:fldCharType="end"/>
        </w:r>
      </w:hyperlink>
    </w:p>
    <w:p w:rsidR="0077431D" w:rsidRDefault="0077431D">
      <w:pPr>
        <w:pStyle w:val="TOC2"/>
        <w:rPr>
          <w:rFonts w:asciiTheme="minorHAnsi" w:eastAsiaTheme="minorEastAsia" w:hAnsiTheme="minorHAnsi" w:cstheme="minorBidi"/>
          <w:b w:val="0"/>
          <w:smallCaps w:val="0"/>
          <w:sz w:val="22"/>
          <w:lang w:val="en-GB" w:eastAsia="en-GB" w:bidi="ar-SA"/>
        </w:rPr>
      </w:pPr>
      <w:hyperlink w:anchor="_Toc524082064" w:history="1">
        <w:r w:rsidRPr="00F84A7E">
          <w:rPr>
            <w:rStyle w:val="Hyperlink"/>
            <w:rFonts w:ascii="Times New Roman" w:hAnsi="Times New Roman"/>
          </w:rPr>
          <w:t>4.1.</w:t>
        </w:r>
        <w:r>
          <w:rPr>
            <w:rFonts w:asciiTheme="minorHAnsi" w:eastAsiaTheme="minorEastAsia" w:hAnsiTheme="minorHAnsi" w:cstheme="minorBidi"/>
            <w:b w:val="0"/>
            <w:smallCaps w:val="0"/>
            <w:sz w:val="22"/>
            <w:lang w:val="en-GB" w:eastAsia="en-GB" w:bidi="ar-SA"/>
          </w:rPr>
          <w:tab/>
        </w:r>
        <w:r w:rsidRPr="00F84A7E">
          <w:rPr>
            <w:rStyle w:val="Hyperlink"/>
            <w:rFonts w:ascii="Times New Roman" w:hAnsi="Times New Roman"/>
          </w:rPr>
          <w:t>Nurodymai dėl konkrečių eilučių</w:t>
        </w:r>
        <w:r>
          <w:rPr>
            <w:webHidden/>
          </w:rPr>
          <w:tab/>
        </w:r>
        <w:r>
          <w:rPr>
            <w:webHidden/>
          </w:rPr>
          <w:fldChar w:fldCharType="begin"/>
        </w:r>
        <w:r>
          <w:rPr>
            <w:webHidden/>
          </w:rPr>
          <w:instrText xml:space="preserve"> PAGEREF _Toc524082064 \h </w:instrText>
        </w:r>
        <w:r>
          <w:rPr>
            <w:webHidden/>
          </w:rPr>
        </w:r>
        <w:r>
          <w:rPr>
            <w:webHidden/>
          </w:rPr>
          <w:fldChar w:fldCharType="separate"/>
        </w:r>
        <w:r>
          <w:rPr>
            <w:webHidden/>
          </w:rPr>
          <w:t>5</w:t>
        </w:r>
        <w:r>
          <w:rPr>
            <w:webHidden/>
          </w:rPr>
          <w:fldChar w:fldCharType="end"/>
        </w:r>
      </w:hyperlink>
    </w:p>
    <w:p w:rsidR="0077431D" w:rsidRDefault="0077431D">
      <w:pPr>
        <w:pStyle w:val="TOC2"/>
        <w:rPr>
          <w:rFonts w:asciiTheme="minorHAnsi" w:eastAsiaTheme="minorEastAsia" w:hAnsiTheme="minorHAnsi" w:cstheme="minorBidi"/>
          <w:b w:val="0"/>
          <w:smallCaps w:val="0"/>
          <w:sz w:val="22"/>
          <w:lang w:val="en-GB" w:eastAsia="en-GB" w:bidi="ar-SA"/>
        </w:rPr>
      </w:pPr>
      <w:hyperlink w:anchor="_Toc524082065" w:history="1">
        <w:r w:rsidRPr="00F84A7E">
          <w:rPr>
            <w:rStyle w:val="Hyperlink"/>
            <w:rFonts w:ascii="Times New Roman" w:hAnsi="Times New Roman"/>
          </w:rPr>
          <w:t>5.</w:t>
        </w:r>
        <w:r>
          <w:rPr>
            <w:rFonts w:asciiTheme="minorHAnsi" w:eastAsiaTheme="minorEastAsia" w:hAnsiTheme="minorHAnsi" w:cstheme="minorBidi"/>
            <w:b w:val="0"/>
            <w:smallCaps w:val="0"/>
            <w:sz w:val="22"/>
            <w:lang w:val="en-GB" w:eastAsia="en-GB" w:bidi="ar-SA"/>
          </w:rPr>
          <w:tab/>
        </w:r>
        <w:r w:rsidRPr="00F84A7E">
          <w:rPr>
            <w:rStyle w:val="Hyperlink"/>
            <w:rFonts w:ascii="Times New Roman" w:hAnsi="Times New Roman"/>
          </w:rPr>
          <w:t>C 27.00. Sandorio šalies identifikavimas (LE1)</w:t>
        </w:r>
        <w:r>
          <w:rPr>
            <w:webHidden/>
          </w:rPr>
          <w:tab/>
        </w:r>
        <w:r>
          <w:rPr>
            <w:webHidden/>
          </w:rPr>
          <w:fldChar w:fldCharType="begin"/>
        </w:r>
        <w:r>
          <w:rPr>
            <w:webHidden/>
          </w:rPr>
          <w:instrText xml:space="preserve"> PAGEREF _Toc524082065 \h </w:instrText>
        </w:r>
        <w:r>
          <w:rPr>
            <w:webHidden/>
          </w:rPr>
        </w:r>
        <w:r>
          <w:rPr>
            <w:webHidden/>
          </w:rPr>
          <w:fldChar w:fldCharType="separate"/>
        </w:r>
        <w:r>
          <w:rPr>
            <w:webHidden/>
          </w:rPr>
          <w:t>6</w:t>
        </w:r>
        <w:r>
          <w:rPr>
            <w:webHidden/>
          </w:rPr>
          <w:fldChar w:fldCharType="end"/>
        </w:r>
      </w:hyperlink>
    </w:p>
    <w:p w:rsidR="0077431D" w:rsidRDefault="0077431D">
      <w:pPr>
        <w:pStyle w:val="TOC2"/>
        <w:rPr>
          <w:rFonts w:asciiTheme="minorHAnsi" w:eastAsiaTheme="minorEastAsia" w:hAnsiTheme="minorHAnsi" w:cstheme="minorBidi"/>
          <w:b w:val="0"/>
          <w:smallCaps w:val="0"/>
          <w:sz w:val="22"/>
          <w:lang w:val="en-GB" w:eastAsia="en-GB" w:bidi="ar-SA"/>
        </w:rPr>
      </w:pPr>
      <w:hyperlink w:anchor="_Toc524082066" w:history="1">
        <w:r w:rsidRPr="00F84A7E">
          <w:rPr>
            <w:rStyle w:val="Hyperlink"/>
            <w:rFonts w:ascii="Times New Roman" w:hAnsi="Times New Roman"/>
          </w:rPr>
          <w:t>5.1.</w:t>
        </w:r>
        <w:r>
          <w:rPr>
            <w:rFonts w:asciiTheme="minorHAnsi" w:eastAsiaTheme="minorEastAsia" w:hAnsiTheme="minorHAnsi" w:cstheme="minorBidi"/>
            <w:b w:val="0"/>
            <w:smallCaps w:val="0"/>
            <w:sz w:val="22"/>
            <w:lang w:val="en-GB" w:eastAsia="en-GB" w:bidi="ar-SA"/>
          </w:rPr>
          <w:tab/>
        </w:r>
        <w:r w:rsidRPr="00F84A7E">
          <w:rPr>
            <w:rStyle w:val="Hyperlink"/>
            <w:rFonts w:ascii="Times New Roman" w:hAnsi="Times New Roman"/>
          </w:rPr>
          <w:t>Nurodymai dėl konkrečių skilčių</w:t>
        </w:r>
        <w:r>
          <w:rPr>
            <w:webHidden/>
          </w:rPr>
          <w:tab/>
        </w:r>
        <w:r>
          <w:rPr>
            <w:webHidden/>
          </w:rPr>
          <w:fldChar w:fldCharType="begin"/>
        </w:r>
        <w:r>
          <w:rPr>
            <w:webHidden/>
          </w:rPr>
          <w:instrText xml:space="preserve"> PAGEREF _Toc524082066 \h </w:instrText>
        </w:r>
        <w:r>
          <w:rPr>
            <w:webHidden/>
          </w:rPr>
        </w:r>
        <w:r>
          <w:rPr>
            <w:webHidden/>
          </w:rPr>
          <w:fldChar w:fldCharType="separate"/>
        </w:r>
        <w:r>
          <w:rPr>
            <w:webHidden/>
          </w:rPr>
          <w:t>6</w:t>
        </w:r>
        <w:r>
          <w:rPr>
            <w:webHidden/>
          </w:rPr>
          <w:fldChar w:fldCharType="end"/>
        </w:r>
      </w:hyperlink>
    </w:p>
    <w:p w:rsidR="0077431D" w:rsidRDefault="0077431D">
      <w:pPr>
        <w:pStyle w:val="TOC2"/>
        <w:rPr>
          <w:rFonts w:asciiTheme="minorHAnsi" w:eastAsiaTheme="minorEastAsia" w:hAnsiTheme="minorHAnsi" w:cstheme="minorBidi"/>
          <w:b w:val="0"/>
          <w:smallCaps w:val="0"/>
          <w:sz w:val="22"/>
          <w:lang w:val="en-GB" w:eastAsia="en-GB" w:bidi="ar-SA"/>
        </w:rPr>
      </w:pPr>
      <w:hyperlink w:anchor="_Toc524082067" w:history="1">
        <w:r w:rsidRPr="00F84A7E">
          <w:rPr>
            <w:rStyle w:val="Hyperlink"/>
            <w:rFonts w:ascii="Times New Roman" w:hAnsi="Times New Roman"/>
          </w:rPr>
          <w:t>6.</w:t>
        </w:r>
        <w:r>
          <w:rPr>
            <w:rFonts w:asciiTheme="minorHAnsi" w:eastAsiaTheme="minorEastAsia" w:hAnsiTheme="minorHAnsi" w:cstheme="minorBidi"/>
            <w:b w:val="0"/>
            <w:smallCaps w:val="0"/>
            <w:sz w:val="22"/>
            <w:lang w:val="en-GB" w:eastAsia="en-GB" w:bidi="ar-SA"/>
          </w:rPr>
          <w:tab/>
        </w:r>
        <w:r w:rsidRPr="00F84A7E">
          <w:rPr>
            <w:rStyle w:val="Hyperlink"/>
            <w:rFonts w:ascii="Times New Roman" w:hAnsi="Times New Roman"/>
          </w:rPr>
          <w:t>C 28.00. Ne prekybos knygos ir prekybos knygos pozicijos (LE2)</w:t>
        </w:r>
        <w:r>
          <w:rPr>
            <w:webHidden/>
          </w:rPr>
          <w:tab/>
        </w:r>
        <w:r>
          <w:rPr>
            <w:webHidden/>
          </w:rPr>
          <w:fldChar w:fldCharType="begin"/>
        </w:r>
        <w:r>
          <w:rPr>
            <w:webHidden/>
          </w:rPr>
          <w:instrText xml:space="preserve"> PAGEREF _Toc524082067 \h </w:instrText>
        </w:r>
        <w:r>
          <w:rPr>
            <w:webHidden/>
          </w:rPr>
        </w:r>
        <w:r>
          <w:rPr>
            <w:webHidden/>
          </w:rPr>
          <w:fldChar w:fldCharType="separate"/>
        </w:r>
        <w:r>
          <w:rPr>
            <w:webHidden/>
          </w:rPr>
          <w:t>8</w:t>
        </w:r>
        <w:r>
          <w:rPr>
            <w:webHidden/>
          </w:rPr>
          <w:fldChar w:fldCharType="end"/>
        </w:r>
      </w:hyperlink>
    </w:p>
    <w:p w:rsidR="0077431D" w:rsidRDefault="0077431D">
      <w:pPr>
        <w:pStyle w:val="TOC2"/>
        <w:rPr>
          <w:rFonts w:asciiTheme="minorHAnsi" w:eastAsiaTheme="minorEastAsia" w:hAnsiTheme="minorHAnsi" w:cstheme="minorBidi"/>
          <w:b w:val="0"/>
          <w:smallCaps w:val="0"/>
          <w:sz w:val="22"/>
          <w:lang w:val="en-GB" w:eastAsia="en-GB" w:bidi="ar-SA"/>
        </w:rPr>
      </w:pPr>
      <w:hyperlink w:anchor="_Toc524082068" w:history="1">
        <w:r w:rsidRPr="00F84A7E">
          <w:rPr>
            <w:rStyle w:val="Hyperlink"/>
            <w:rFonts w:ascii="Times New Roman" w:hAnsi="Times New Roman"/>
          </w:rPr>
          <w:t>6.1.</w:t>
        </w:r>
        <w:r>
          <w:rPr>
            <w:rFonts w:asciiTheme="minorHAnsi" w:eastAsiaTheme="minorEastAsia" w:hAnsiTheme="minorHAnsi" w:cstheme="minorBidi"/>
            <w:b w:val="0"/>
            <w:smallCaps w:val="0"/>
            <w:sz w:val="22"/>
            <w:lang w:val="en-GB" w:eastAsia="en-GB" w:bidi="ar-SA"/>
          </w:rPr>
          <w:tab/>
        </w:r>
        <w:r w:rsidRPr="00F84A7E">
          <w:rPr>
            <w:rStyle w:val="Hyperlink"/>
            <w:rFonts w:ascii="Times New Roman" w:hAnsi="Times New Roman"/>
          </w:rPr>
          <w:t>Nurodymai dėl konkrečių skilčių</w:t>
        </w:r>
        <w:r>
          <w:rPr>
            <w:webHidden/>
          </w:rPr>
          <w:tab/>
        </w:r>
        <w:r>
          <w:rPr>
            <w:webHidden/>
          </w:rPr>
          <w:fldChar w:fldCharType="begin"/>
        </w:r>
        <w:r>
          <w:rPr>
            <w:webHidden/>
          </w:rPr>
          <w:instrText xml:space="preserve"> PAGEREF _Toc524082068 \h </w:instrText>
        </w:r>
        <w:r>
          <w:rPr>
            <w:webHidden/>
          </w:rPr>
        </w:r>
        <w:r>
          <w:rPr>
            <w:webHidden/>
          </w:rPr>
          <w:fldChar w:fldCharType="separate"/>
        </w:r>
        <w:r>
          <w:rPr>
            <w:webHidden/>
          </w:rPr>
          <w:t>8</w:t>
        </w:r>
        <w:r>
          <w:rPr>
            <w:webHidden/>
          </w:rPr>
          <w:fldChar w:fldCharType="end"/>
        </w:r>
      </w:hyperlink>
    </w:p>
    <w:p w:rsidR="0077431D" w:rsidRDefault="0077431D">
      <w:pPr>
        <w:pStyle w:val="TOC2"/>
        <w:rPr>
          <w:rFonts w:asciiTheme="minorHAnsi" w:eastAsiaTheme="minorEastAsia" w:hAnsiTheme="minorHAnsi" w:cstheme="minorBidi"/>
          <w:b w:val="0"/>
          <w:smallCaps w:val="0"/>
          <w:sz w:val="22"/>
          <w:lang w:val="en-GB" w:eastAsia="en-GB" w:bidi="ar-SA"/>
        </w:rPr>
      </w:pPr>
      <w:hyperlink w:anchor="_Toc524082069" w:history="1">
        <w:r w:rsidRPr="00F84A7E">
          <w:rPr>
            <w:rStyle w:val="Hyperlink"/>
            <w:rFonts w:ascii="Times New Roman" w:hAnsi="Times New Roman"/>
          </w:rPr>
          <w:t>7.</w:t>
        </w:r>
        <w:r>
          <w:rPr>
            <w:rFonts w:asciiTheme="minorHAnsi" w:eastAsiaTheme="minorEastAsia" w:hAnsiTheme="minorHAnsi" w:cstheme="minorBidi"/>
            <w:b w:val="0"/>
            <w:smallCaps w:val="0"/>
            <w:sz w:val="22"/>
            <w:lang w:val="en-GB" w:eastAsia="en-GB" w:bidi="ar-SA"/>
          </w:rPr>
          <w:tab/>
        </w:r>
        <w:r w:rsidRPr="00F84A7E">
          <w:rPr>
            <w:rStyle w:val="Hyperlink"/>
            <w:rFonts w:ascii="Times New Roman" w:hAnsi="Times New Roman"/>
          </w:rPr>
          <w:t>C 29.00. Duomenys apie atskirų klientų pozicijas susijusių klientų grupėse (LE3)</w:t>
        </w:r>
        <w:r>
          <w:rPr>
            <w:webHidden/>
          </w:rPr>
          <w:tab/>
        </w:r>
        <w:r>
          <w:rPr>
            <w:webHidden/>
          </w:rPr>
          <w:fldChar w:fldCharType="begin"/>
        </w:r>
        <w:r>
          <w:rPr>
            <w:webHidden/>
          </w:rPr>
          <w:instrText xml:space="preserve"> PAGEREF _Toc524082069 \h </w:instrText>
        </w:r>
        <w:r>
          <w:rPr>
            <w:webHidden/>
          </w:rPr>
        </w:r>
        <w:r>
          <w:rPr>
            <w:webHidden/>
          </w:rPr>
          <w:fldChar w:fldCharType="separate"/>
        </w:r>
        <w:r>
          <w:rPr>
            <w:webHidden/>
          </w:rPr>
          <w:t>16</w:t>
        </w:r>
        <w:r>
          <w:rPr>
            <w:webHidden/>
          </w:rPr>
          <w:fldChar w:fldCharType="end"/>
        </w:r>
      </w:hyperlink>
    </w:p>
    <w:p w:rsidR="0077431D" w:rsidRDefault="0077431D">
      <w:pPr>
        <w:pStyle w:val="TOC2"/>
        <w:rPr>
          <w:rFonts w:asciiTheme="minorHAnsi" w:eastAsiaTheme="minorEastAsia" w:hAnsiTheme="minorHAnsi" w:cstheme="minorBidi"/>
          <w:b w:val="0"/>
          <w:smallCaps w:val="0"/>
          <w:sz w:val="22"/>
          <w:lang w:val="en-GB" w:eastAsia="en-GB" w:bidi="ar-SA"/>
        </w:rPr>
      </w:pPr>
      <w:hyperlink w:anchor="_Toc524082070" w:history="1">
        <w:r w:rsidRPr="00F84A7E">
          <w:rPr>
            <w:rStyle w:val="Hyperlink"/>
            <w:rFonts w:ascii="Times New Roman" w:hAnsi="Times New Roman"/>
          </w:rPr>
          <w:t>7.1.</w:t>
        </w:r>
        <w:r>
          <w:rPr>
            <w:rFonts w:asciiTheme="minorHAnsi" w:eastAsiaTheme="minorEastAsia" w:hAnsiTheme="minorHAnsi" w:cstheme="minorBidi"/>
            <w:b w:val="0"/>
            <w:smallCaps w:val="0"/>
            <w:sz w:val="22"/>
            <w:lang w:val="en-GB" w:eastAsia="en-GB" w:bidi="ar-SA"/>
          </w:rPr>
          <w:tab/>
        </w:r>
        <w:r w:rsidRPr="00F84A7E">
          <w:rPr>
            <w:rStyle w:val="Hyperlink"/>
            <w:rFonts w:ascii="Times New Roman" w:hAnsi="Times New Roman"/>
          </w:rPr>
          <w:t>Nurodymai dėl konkrečių skilčių</w:t>
        </w:r>
        <w:r>
          <w:rPr>
            <w:webHidden/>
          </w:rPr>
          <w:tab/>
        </w:r>
        <w:r>
          <w:rPr>
            <w:webHidden/>
          </w:rPr>
          <w:fldChar w:fldCharType="begin"/>
        </w:r>
        <w:r>
          <w:rPr>
            <w:webHidden/>
          </w:rPr>
          <w:instrText xml:space="preserve"> PAGEREF _Toc524082070 \h </w:instrText>
        </w:r>
        <w:r>
          <w:rPr>
            <w:webHidden/>
          </w:rPr>
        </w:r>
        <w:r>
          <w:rPr>
            <w:webHidden/>
          </w:rPr>
          <w:fldChar w:fldCharType="separate"/>
        </w:r>
        <w:r>
          <w:rPr>
            <w:webHidden/>
          </w:rPr>
          <w:t>16</w:t>
        </w:r>
        <w:r>
          <w:rPr>
            <w:webHidden/>
          </w:rPr>
          <w:fldChar w:fldCharType="end"/>
        </w:r>
      </w:hyperlink>
    </w:p>
    <w:p w:rsidR="0077431D" w:rsidRDefault="0077431D">
      <w:pPr>
        <w:pStyle w:val="TOC2"/>
        <w:rPr>
          <w:rFonts w:asciiTheme="minorHAnsi" w:eastAsiaTheme="minorEastAsia" w:hAnsiTheme="minorHAnsi" w:cstheme="minorBidi"/>
          <w:b w:val="0"/>
          <w:smallCaps w:val="0"/>
          <w:sz w:val="22"/>
          <w:lang w:val="en-GB" w:eastAsia="en-GB" w:bidi="ar-SA"/>
        </w:rPr>
      </w:pPr>
      <w:hyperlink w:anchor="_Toc524082071" w:history="1">
        <w:r w:rsidRPr="00F84A7E">
          <w:rPr>
            <w:rStyle w:val="Hyperlink"/>
            <w:rFonts w:ascii="Times New Roman" w:hAnsi="Times New Roman"/>
          </w:rPr>
          <w:t>8.</w:t>
        </w:r>
        <w:r>
          <w:rPr>
            <w:rFonts w:asciiTheme="minorHAnsi" w:eastAsiaTheme="minorEastAsia" w:hAnsiTheme="minorHAnsi" w:cstheme="minorBidi"/>
            <w:b w:val="0"/>
            <w:smallCaps w:val="0"/>
            <w:sz w:val="22"/>
            <w:lang w:val="en-GB" w:eastAsia="en-GB" w:bidi="ar-SA"/>
          </w:rPr>
          <w:tab/>
        </w:r>
        <w:r w:rsidRPr="00F84A7E">
          <w:rPr>
            <w:rStyle w:val="Hyperlink"/>
            <w:rFonts w:ascii="Times New Roman" w:hAnsi="Times New Roman"/>
          </w:rPr>
          <w:t>C 30.00. Dešimties didžiausių įstaigų pozicijų ir dešimties didžiausių nereguliuojamųjų finansų sektoriaus subjektų pozicijų terminų intervalai (LE4 forma)</w:t>
        </w:r>
        <w:r>
          <w:rPr>
            <w:webHidden/>
          </w:rPr>
          <w:tab/>
        </w:r>
        <w:r>
          <w:rPr>
            <w:webHidden/>
          </w:rPr>
          <w:fldChar w:fldCharType="begin"/>
        </w:r>
        <w:r>
          <w:rPr>
            <w:webHidden/>
          </w:rPr>
          <w:instrText xml:space="preserve"> PAGEREF _Toc524082071 \h </w:instrText>
        </w:r>
        <w:r>
          <w:rPr>
            <w:webHidden/>
          </w:rPr>
        </w:r>
        <w:r>
          <w:rPr>
            <w:webHidden/>
          </w:rPr>
          <w:fldChar w:fldCharType="separate"/>
        </w:r>
        <w:r>
          <w:rPr>
            <w:webHidden/>
          </w:rPr>
          <w:t>17</w:t>
        </w:r>
        <w:r>
          <w:rPr>
            <w:webHidden/>
          </w:rPr>
          <w:fldChar w:fldCharType="end"/>
        </w:r>
      </w:hyperlink>
    </w:p>
    <w:p w:rsidR="0077431D" w:rsidRDefault="0077431D">
      <w:pPr>
        <w:pStyle w:val="TOC2"/>
        <w:rPr>
          <w:rFonts w:asciiTheme="minorHAnsi" w:eastAsiaTheme="minorEastAsia" w:hAnsiTheme="minorHAnsi" w:cstheme="minorBidi"/>
          <w:b w:val="0"/>
          <w:smallCaps w:val="0"/>
          <w:sz w:val="22"/>
          <w:lang w:val="en-GB" w:eastAsia="en-GB" w:bidi="ar-SA"/>
        </w:rPr>
      </w:pPr>
      <w:hyperlink w:anchor="_Toc524082072" w:history="1">
        <w:r w:rsidRPr="00F84A7E">
          <w:rPr>
            <w:rStyle w:val="Hyperlink"/>
            <w:rFonts w:ascii="Times New Roman" w:hAnsi="Times New Roman"/>
          </w:rPr>
          <w:t>8.1.</w:t>
        </w:r>
        <w:r>
          <w:rPr>
            <w:rFonts w:asciiTheme="minorHAnsi" w:eastAsiaTheme="minorEastAsia" w:hAnsiTheme="minorHAnsi" w:cstheme="minorBidi"/>
            <w:b w:val="0"/>
            <w:smallCaps w:val="0"/>
            <w:sz w:val="22"/>
            <w:lang w:val="en-GB" w:eastAsia="en-GB" w:bidi="ar-SA"/>
          </w:rPr>
          <w:tab/>
        </w:r>
        <w:r w:rsidRPr="00F84A7E">
          <w:rPr>
            <w:rStyle w:val="Hyperlink"/>
            <w:rFonts w:ascii="Times New Roman" w:hAnsi="Times New Roman"/>
          </w:rPr>
          <w:t>Nurodymai dėl konkrečių skilčių</w:t>
        </w:r>
        <w:r>
          <w:rPr>
            <w:webHidden/>
          </w:rPr>
          <w:tab/>
        </w:r>
        <w:r>
          <w:rPr>
            <w:webHidden/>
          </w:rPr>
          <w:fldChar w:fldCharType="begin"/>
        </w:r>
        <w:r>
          <w:rPr>
            <w:webHidden/>
          </w:rPr>
          <w:instrText xml:space="preserve"> PAGEREF _Toc524082072 \h </w:instrText>
        </w:r>
        <w:r>
          <w:rPr>
            <w:webHidden/>
          </w:rPr>
        </w:r>
        <w:r>
          <w:rPr>
            <w:webHidden/>
          </w:rPr>
          <w:fldChar w:fldCharType="separate"/>
        </w:r>
        <w:r>
          <w:rPr>
            <w:webHidden/>
          </w:rPr>
          <w:t>17</w:t>
        </w:r>
        <w:r>
          <w:rPr>
            <w:webHidden/>
          </w:rPr>
          <w:fldChar w:fldCharType="end"/>
        </w:r>
      </w:hyperlink>
    </w:p>
    <w:p w:rsidR="0077431D" w:rsidRDefault="0077431D">
      <w:pPr>
        <w:pStyle w:val="TOC2"/>
        <w:rPr>
          <w:rFonts w:asciiTheme="minorHAnsi" w:eastAsiaTheme="minorEastAsia" w:hAnsiTheme="minorHAnsi" w:cstheme="minorBidi"/>
          <w:b w:val="0"/>
          <w:smallCaps w:val="0"/>
          <w:sz w:val="22"/>
          <w:lang w:val="en-GB" w:eastAsia="en-GB" w:bidi="ar-SA"/>
        </w:rPr>
      </w:pPr>
      <w:hyperlink w:anchor="_Toc524082073" w:history="1">
        <w:r w:rsidRPr="00F84A7E">
          <w:rPr>
            <w:rStyle w:val="Hyperlink"/>
            <w:rFonts w:ascii="Times New Roman" w:hAnsi="Times New Roman"/>
          </w:rPr>
          <w:t>9.</w:t>
        </w:r>
        <w:r>
          <w:rPr>
            <w:rFonts w:asciiTheme="minorHAnsi" w:eastAsiaTheme="minorEastAsia" w:hAnsiTheme="minorHAnsi" w:cstheme="minorBidi"/>
            <w:b w:val="0"/>
            <w:smallCaps w:val="0"/>
            <w:sz w:val="22"/>
            <w:lang w:val="en-GB" w:eastAsia="en-GB" w:bidi="ar-SA"/>
          </w:rPr>
          <w:tab/>
        </w:r>
        <w:r w:rsidRPr="00F84A7E">
          <w:rPr>
            <w:rStyle w:val="Hyperlink"/>
            <w:rFonts w:ascii="Times New Roman" w:hAnsi="Times New Roman"/>
          </w:rPr>
          <w:t>C 31.00. Dešimties didžiausių įstaigų pozicijų ir dešimties didžiausių nereguliuojamųjų finansų sektoriaus subjektų pozicijų terminų intervalai. Duomenys apie atskirų klientų pozicijas susijusių klientų grupėse (LE5 forma)</w:t>
        </w:r>
        <w:r>
          <w:rPr>
            <w:webHidden/>
          </w:rPr>
          <w:tab/>
        </w:r>
        <w:r>
          <w:rPr>
            <w:webHidden/>
          </w:rPr>
          <w:fldChar w:fldCharType="begin"/>
        </w:r>
        <w:r>
          <w:rPr>
            <w:webHidden/>
          </w:rPr>
          <w:instrText xml:space="preserve"> PAGEREF _Toc524082073 \h </w:instrText>
        </w:r>
        <w:r>
          <w:rPr>
            <w:webHidden/>
          </w:rPr>
        </w:r>
        <w:r>
          <w:rPr>
            <w:webHidden/>
          </w:rPr>
          <w:fldChar w:fldCharType="separate"/>
        </w:r>
        <w:r>
          <w:rPr>
            <w:webHidden/>
          </w:rPr>
          <w:t>18</w:t>
        </w:r>
        <w:r>
          <w:rPr>
            <w:webHidden/>
          </w:rPr>
          <w:fldChar w:fldCharType="end"/>
        </w:r>
      </w:hyperlink>
    </w:p>
    <w:p w:rsidR="0077431D" w:rsidRDefault="0077431D">
      <w:pPr>
        <w:pStyle w:val="TOC2"/>
        <w:rPr>
          <w:rFonts w:asciiTheme="minorHAnsi" w:eastAsiaTheme="minorEastAsia" w:hAnsiTheme="minorHAnsi" w:cstheme="minorBidi"/>
          <w:b w:val="0"/>
          <w:smallCaps w:val="0"/>
          <w:sz w:val="22"/>
          <w:lang w:val="en-GB" w:eastAsia="en-GB" w:bidi="ar-SA"/>
        </w:rPr>
      </w:pPr>
      <w:hyperlink w:anchor="_Toc524082074" w:history="1">
        <w:r w:rsidRPr="00F84A7E">
          <w:rPr>
            <w:rStyle w:val="Hyperlink"/>
            <w:rFonts w:ascii="Times New Roman" w:hAnsi="Times New Roman"/>
          </w:rPr>
          <w:t>9.1.</w:t>
        </w:r>
        <w:r>
          <w:rPr>
            <w:rFonts w:asciiTheme="minorHAnsi" w:eastAsiaTheme="minorEastAsia" w:hAnsiTheme="minorHAnsi" w:cstheme="minorBidi"/>
            <w:b w:val="0"/>
            <w:smallCaps w:val="0"/>
            <w:sz w:val="22"/>
            <w:lang w:val="en-GB" w:eastAsia="en-GB" w:bidi="ar-SA"/>
          </w:rPr>
          <w:tab/>
        </w:r>
        <w:r w:rsidRPr="00F84A7E">
          <w:rPr>
            <w:rStyle w:val="Hyperlink"/>
            <w:rFonts w:ascii="Times New Roman" w:hAnsi="Times New Roman"/>
          </w:rPr>
          <w:t>Nurodymai dėl konkrečių skilčių</w:t>
        </w:r>
        <w:r>
          <w:rPr>
            <w:webHidden/>
          </w:rPr>
          <w:tab/>
        </w:r>
        <w:r>
          <w:rPr>
            <w:webHidden/>
          </w:rPr>
          <w:fldChar w:fldCharType="begin"/>
        </w:r>
        <w:r>
          <w:rPr>
            <w:webHidden/>
          </w:rPr>
          <w:instrText xml:space="preserve"> PAGEREF _Toc524082074 \h </w:instrText>
        </w:r>
        <w:r>
          <w:rPr>
            <w:webHidden/>
          </w:rPr>
        </w:r>
        <w:r>
          <w:rPr>
            <w:webHidden/>
          </w:rPr>
          <w:fldChar w:fldCharType="separate"/>
        </w:r>
        <w:r>
          <w:rPr>
            <w:webHidden/>
          </w:rPr>
          <w:t>18</w:t>
        </w:r>
        <w:r>
          <w:rPr>
            <w:webHidden/>
          </w:rPr>
          <w:fldChar w:fldCharType="end"/>
        </w:r>
      </w:hyperlink>
    </w:p>
    <w:p w:rsidR="00A34D7E" w:rsidRDefault="0077431D">
      <w:pPr>
        <w:rPr>
          <w:rFonts w:ascii="Times New Roman" w:eastAsia="SimSun" w:hAnsi="Times New Roman"/>
          <w:sz w:val="24"/>
        </w:rPr>
        <w:sectPr w:rsidR="00A34D7E" w:rsidSect="00A772B4">
          <w:footerReference w:type="default" r:id="rId10"/>
          <w:footerReference w:type="first" r:id="rId11"/>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rsidR="009777FB" w:rsidRPr="009777FB" w:rsidRDefault="003105C6" w:rsidP="0093135A">
      <w:pPr>
        <w:pStyle w:val="Heading2"/>
        <w:rPr>
          <w:bCs/>
        </w:rPr>
      </w:pPr>
      <w:bookmarkStart w:id="3" w:name="_Toc264038394"/>
      <w:bookmarkStart w:id="4" w:name="_Toc393461951"/>
      <w:bookmarkStart w:id="5" w:name="_Toc524082056"/>
      <w:r>
        <w:rPr>
          <w:rFonts w:ascii="Times New Roman" w:hAnsi="Times New Roman"/>
        </w:rPr>
        <w:lastRenderedPageBreak/>
        <w:t>I DALIS.</w:t>
      </w:r>
      <w:bookmarkEnd w:id="3"/>
      <w:r>
        <w:rPr>
          <w:rFonts w:ascii="Times New Roman" w:hAnsi="Times New Roman"/>
        </w:rPr>
        <w:t xml:space="preserve"> BENDRIEJI NURODYMAI</w:t>
      </w:r>
      <w:bookmarkEnd w:id="4"/>
      <w:bookmarkEnd w:id="5"/>
    </w:p>
    <w:p w:rsidR="003105C6" w:rsidRPr="00384ADB" w:rsidRDefault="003105C6" w:rsidP="00C52CE2">
      <w:pPr>
        <w:pStyle w:val="Instructionsberschrift2"/>
        <w:numPr>
          <w:ilvl w:val="0"/>
          <w:numId w:val="20"/>
        </w:numPr>
        <w:rPr>
          <w:rFonts w:ascii="Times New Roman" w:hAnsi="Times New Roman" w:cs="Times New Roman"/>
          <w:b/>
          <w:sz w:val="24"/>
          <w:u w:val="none"/>
        </w:rPr>
      </w:pPr>
      <w:bookmarkStart w:id="6" w:name="_Toc393461952"/>
      <w:bookmarkStart w:id="7" w:name="_Toc524082057"/>
      <w:r>
        <w:rPr>
          <w:rFonts w:ascii="Times New Roman" w:hAnsi="Times New Roman"/>
          <w:b/>
          <w:sz w:val="24"/>
          <w:u w:val="none"/>
        </w:rPr>
        <w:t>Struktūra ir tvarka</w:t>
      </w:r>
      <w:bookmarkEnd w:id="6"/>
      <w:bookmarkEnd w:id="7"/>
    </w:p>
    <w:p w:rsidR="00393539" w:rsidRPr="0039317F" w:rsidRDefault="00D40975" w:rsidP="0039317F">
      <w:pPr>
        <w:pStyle w:val="InstructionsText2"/>
      </w:pPr>
      <w:bookmarkStart w:id="8" w:name="_Toc264038399"/>
      <w:bookmarkStart w:id="9" w:name="_Toc294018834"/>
      <w:r>
        <w:t>Didelėms pozicijoms (LE) skirtą atskaitomybės sistemą sudaro šešios formos, į kurias įtraukiama ši informacija:</w:t>
      </w:r>
    </w:p>
    <w:p w:rsidR="00DA54E3" w:rsidRPr="0039317F" w:rsidRDefault="00CC2429" w:rsidP="0039317F">
      <w:pPr>
        <w:pStyle w:val="InstructionsText2"/>
        <w:numPr>
          <w:ilvl w:val="1"/>
          <w:numId w:val="15"/>
        </w:numPr>
        <w:rPr>
          <w:rFonts w:eastAsia="Arial"/>
        </w:rPr>
      </w:pPr>
      <w:r>
        <w:t>didelių pozicijų ribos,</w:t>
      </w:r>
    </w:p>
    <w:p w:rsidR="00DA54E3" w:rsidRPr="0039317F" w:rsidRDefault="00CC2429" w:rsidP="0039317F">
      <w:pPr>
        <w:pStyle w:val="InstructionsText2"/>
        <w:numPr>
          <w:ilvl w:val="1"/>
          <w:numId w:val="15"/>
        </w:numPr>
        <w:rPr>
          <w:rFonts w:eastAsia="Arial"/>
        </w:rPr>
      </w:pPr>
      <w:r>
        <w:t>sandorio šalies identifikavimas (LE1 forma),</w:t>
      </w:r>
    </w:p>
    <w:p w:rsidR="00393539" w:rsidRPr="0039317F" w:rsidRDefault="00CC2429" w:rsidP="0039317F">
      <w:pPr>
        <w:pStyle w:val="InstructionsText2"/>
        <w:numPr>
          <w:ilvl w:val="1"/>
          <w:numId w:val="15"/>
        </w:numPr>
        <w:rPr>
          <w:rFonts w:eastAsia="Arial"/>
        </w:rPr>
      </w:pPr>
      <w:r>
        <w:t xml:space="preserve">ne prekybos knygos ir prekybos knygos pozicijos (LE2 forma), </w:t>
      </w:r>
    </w:p>
    <w:p w:rsidR="00393539" w:rsidRPr="0039317F" w:rsidRDefault="00CC2429" w:rsidP="0039317F">
      <w:pPr>
        <w:pStyle w:val="InstructionsText2"/>
        <w:numPr>
          <w:ilvl w:val="1"/>
          <w:numId w:val="15"/>
        </w:numPr>
        <w:rPr>
          <w:rFonts w:eastAsia="Arial"/>
        </w:rPr>
      </w:pPr>
      <w:r>
        <w:t>duomenys apie atskirų klientų pozicijas susijusių klientų grupėse (LE3 forma),</w:t>
      </w:r>
    </w:p>
    <w:p w:rsidR="00627430" w:rsidRPr="0039317F" w:rsidRDefault="00CC2429" w:rsidP="0039317F">
      <w:pPr>
        <w:pStyle w:val="InstructionsText2"/>
        <w:numPr>
          <w:ilvl w:val="1"/>
          <w:numId w:val="15"/>
        </w:numPr>
        <w:rPr>
          <w:rFonts w:eastAsia="Arial"/>
        </w:rPr>
      </w:pPr>
      <w:r>
        <w:t xml:space="preserve">dešimties didžiausių įstaigų pozicijų ir dešimties didžiausių nereguliuojamųjų finansų sektoriaus subjektų pozicijų terminų intervalai (LE4 forma), </w:t>
      </w:r>
    </w:p>
    <w:p w:rsidR="00DA54E3" w:rsidRPr="0039317F" w:rsidRDefault="00CC2429" w:rsidP="0039317F">
      <w:pPr>
        <w:pStyle w:val="InstructionsText2"/>
        <w:numPr>
          <w:ilvl w:val="1"/>
          <w:numId w:val="15"/>
        </w:numPr>
        <w:rPr>
          <w:rFonts w:eastAsia="Arial"/>
        </w:rPr>
      </w:pPr>
      <w:r>
        <w:t>dešimties didžiausių įstaigų pozicijų ir dešimties didžiausių nereguliuojamųjų finansų sektoriaus subjektų pozicijų terminų intervalai: pateikiami duomenys apie atskirų klientų pozicijas susijusių klientų grupėse (LE5 forma).</w:t>
      </w:r>
    </w:p>
    <w:p w:rsidR="003D56DE" w:rsidRPr="0039317F" w:rsidRDefault="00756759" w:rsidP="0039317F">
      <w:pPr>
        <w:pStyle w:val="InstructionsText2"/>
      </w:pPr>
      <w:r>
        <w:t>Į nurodymus įtraukiamos nuorodos į teisės aktus, taip pat išsami informacija apie duomenis, kuriuos reikia pateikti kiekvienoje formoje.</w:t>
      </w:r>
    </w:p>
    <w:p w:rsidR="00B0191A" w:rsidRPr="0039317F" w:rsidRDefault="003105C6" w:rsidP="0039317F">
      <w:pPr>
        <w:pStyle w:val="InstructionsText2"/>
      </w:pPr>
      <w:r>
        <w:t>Nurodymuose ir patvirtinimo taisyklėse nurodant formų skiltis, eilutes ir langelius la</w:t>
      </w:r>
      <w:r>
        <w:t>i</w:t>
      </w:r>
      <w:r>
        <w:t xml:space="preserve">komasi tolesnėse dalyse nurodytos žymėjimo tvarkos. </w:t>
      </w:r>
    </w:p>
    <w:p w:rsidR="00B0191A" w:rsidRPr="0039317F" w:rsidRDefault="00F36707" w:rsidP="0039317F">
      <w:pPr>
        <w:pStyle w:val="InstructionsText2"/>
      </w:pPr>
      <w:r>
        <w:t>Nurodymuose ir patvirtinimo taisyklėse paprastai taikoma tokia tvarka: {fo</w:t>
      </w:r>
      <w:r>
        <w:t>r</w:t>
      </w:r>
      <w:r>
        <w:t>ma;eilutė;skiltis}. Norint nurodyti, kad tvirtinamos visos eilutės, apie kurias pranešta, naudojamas žvaigždutės ženklas.</w:t>
      </w:r>
    </w:p>
    <w:p w:rsidR="00B0191A" w:rsidRPr="0039317F" w:rsidRDefault="003105C6" w:rsidP="0039317F">
      <w:pPr>
        <w:pStyle w:val="InstructionsText2"/>
        <w:rPr>
          <w:rFonts w:eastAsia="Arial"/>
        </w:rPr>
      </w:pPr>
      <w:r>
        <w:t>Kai tvirtinimas atliekamas formoje ir naudojami tik tos formos duomenų vienetai, forma nenurodoma: {eilutė;skiltis}.</w:t>
      </w:r>
    </w:p>
    <w:p w:rsidR="00B0191A" w:rsidRDefault="006217F1" w:rsidP="0039317F">
      <w:pPr>
        <w:pStyle w:val="InstructionsText2"/>
      </w:pPr>
      <w:r>
        <w:t xml:space="preserve">ABS(vertė): absoliučioji vertė be ženklo. </w:t>
      </w:r>
      <w:bookmarkEnd w:id="8"/>
      <w:bookmarkEnd w:id="9"/>
      <w:r>
        <w:t>Kiekviena suma, dėl kurios padidėja pozic</w:t>
      </w:r>
      <w:r>
        <w:t>i</w:t>
      </w:r>
      <w:r>
        <w:t>jos, nurodoma kaip teigiamas skaičius. Ir priešingai – kiekviena suma, dėl kurios poz</w:t>
      </w:r>
      <w:r>
        <w:t>i</w:t>
      </w:r>
      <w:r>
        <w:t>cijos sumažėja, nurodoma kaip neigiamas skaičius. Jei prieš straipsnio žymę yra min</w:t>
      </w:r>
      <w:r>
        <w:t>u</w:t>
      </w:r>
      <w:r>
        <w:t>so ženklas (–), neturi būti nurodomi teigiami to straipsnio skaičiai.</w:t>
      </w:r>
    </w:p>
    <w:p w:rsidR="0093135A" w:rsidRPr="0078562D" w:rsidRDefault="0078562D" w:rsidP="0078562D">
      <w:pPr>
        <w:pStyle w:val="Instructionsberschrift2"/>
        <w:numPr>
          <w:ilvl w:val="0"/>
          <w:numId w:val="20"/>
        </w:numPr>
        <w:rPr>
          <w:b/>
        </w:rPr>
      </w:pPr>
      <w:bookmarkStart w:id="10" w:name="_Toc524082058"/>
      <w:r>
        <w:rPr>
          <w:rFonts w:ascii="Times New Roman" w:hAnsi="Times New Roman"/>
          <w:b/>
          <w:sz w:val="24"/>
          <w:u w:val="none"/>
        </w:rPr>
        <w:t>Santrumpos</w:t>
      </w:r>
      <w:bookmarkEnd w:id="10"/>
    </w:p>
    <w:p w:rsidR="0093135A" w:rsidRDefault="0093135A" w:rsidP="0093135A">
      <w:pPr>
        <w:pStyle w:val="InstructionsText2"/>
      </w:pPr>
      <w:r>
        <w:t>Šiame priede darant nuorodą į Reglamentą (ES) Nr. 575/2013 vartojama santrumpa KRR.</w:t>
      </w:r>
    </w:p>
    <w:p w:rsidR="0093135A" w:rsidRPr="0039317F" w:rsidRDefault="0093135A" w:rsidP="0078562D">
      <w:pPr>
        <w:pStyle w:val="InstructionsText2"/>
        <w:numPr>
          <w:ilvl w:val="0"/>
          <w:numId w:val="0"/>
        </w:numPr>
        <w:ind w:left="720" w:hanging="360"/>
      </w:pPr>
    </w:p>
    <w:p w:rsidR="00A801A9" w:rsidRPr="00384ADB" w:rsidRDefault="00A801A9" w:rsidP="00005FFC">
      <w:pPr>
        <w:rPr>
          <w:rFonts w:ascii="Times New Roman" w:hAnsi="Times New Roman"/>
          <w:sz w:val="24"/>
        </w:rPr>
        <w:sectPr w:rsidR="00A801A9" w:rsidRPr="00384ADB" w:rsidSect="00C41ABD">
          <w:endnotePr>
            <w:numFmt w:val="decimal"/>
          </w:endnotePr>
          <w:pgSz w:w="11906" w:h="16838"/>
          <w:pgMar w:top="1417" w:right="1417" w:bottom="1134" w:left="1417" w:header="708" w:footer="708" w:gutter="0"/>
          <w:pgNumType w:start="2"/>
          <w:cols w:space="708"/>
          <w:docGrid w:linePitch="360"/>
        </w:sectPr>
      </w:pPr>
      <w:bookmarkStart w:id="11" w:name="_Toc264033192"/>
      <w:bookmarkEnd w:id="11"/>
    </w:p>
    <w:p w:rsidR="00A801A9" w:rsidRPr="00F40CD9" w:rsidRDefault="003105C6" w:rsidP="00D64B66">
      <w:pPr>
        <w:pStyle w:val="Heading2"/>
        <w:rPr>
          <w:rFonts w:ascii="Times New Roman" w:hAnsi="Times New Roman"/>
        </w:rPr>
      </w:pPr>
      <w:bookmarkStart w:id="12" w:name="_Toc393461953"/>
      <w:bookmarkStart w:id="13" w:name="_Toc524082059"/>
      <w:r>
        <w:rPr>
          <w:rFonts w:ascii="Times New Roman" w:hAnsi="Times New Roman"/>
        </w:rPr>
        <w:lastRenderedPageBreak/>
        <w:t>II DALIS. SU FORMA SUSIJĘ NURODYMAI</w:t>
      </w:r>
      <w:bookmarkEnd w:id="12"/>
      <w:bookmarkEnd w:id="13"/>
    </w:p>
    <w:p w:rsidR="00F41B3A" w:rsidRPr="00384ADB" w:rsidRDefault="00F41B3A" w:rsidP="00EA549E">
      <w:pPr>
        <w:rPr>
          <w:rFonts w:ascii="Times New Roman" w:hAnsi="Times New Roman"/>
          <w:sz w:val="24"/>
        </w:rPr>
      </w:pPr>
      <w:r>
        <w:rPr>
          <w:rFonts w:ascii="Times New Roman" w:hAnsi="Times New Roman"/>
          <w:sz w:val="24"/>
        </w:rPr>
        <w:t>Šiame priede pateikti informacijos apie dideles pozicijas teikimo nurodymai taip pat taikomi teikiant informaciją apie reikšmingas pozicijas, kurios reikalaujama pagal 9 ir 11 straipsnius, atsižvelgiant į tuose straipsniuose nustatytą aprėptį.</w:t>
      </w:r>
    </w:p>
    <w:p w:rsidR="003105C6" w:rsidRPr="00384ADB" w:rsidRDefault="006443CC" w:rsidP="00C52CE2">
      <w:pPr>
        <w:pStyle w:val="Instructionsberschrift2"/>
        <w:numPr>
          <w:ilvl w:val="0"/>
          <w:numId w:val="22"/>
        </w:numPr>
        <w:rPr>
          <w:rFonts w:ascii="Times New Roman" w:hAnsi="Times New Roman" w:cs="Times New Roman"/>
          <w:b/>
          <w:sz w:val="24"/>
          <w:u w:val="none"/>
        </w:rPr>
      </w:pPr>
      <w:bookmarkStart w:id="14" w:name="_Toc393461954"/>
      <w:bookmarkStart w:id="15" w:name="_Toc524082060"/>
      <w:r>
        <w:rPr>
          <w:rFonts w:ascii="Times New Roman" w:hAnsi="Times New Roman"/>
          <w:b/>
          <w:sz w:val="24"/>
          <w:u w:val="none"/>
        </w:rPr>
        <w:t>Su didelėmis pozicijomis susijusios atskaitomybės aprėptis ir lygmuo</w:t>
      </w:r>
      <w:bookmarkEnd w:id="14"/>
      <w:bookmarkEnd w:id="15"/>
    </w:p>
    <w:p w:rsidR="000F13EA" w:rsidRPr="0039317F" w:rsidRDefault="000F13EA" w:rsidP="0039317F">
      <w:pPr>
        <w:pStyle w:val="InstructionsText2"/>
        <w:numPr>
          <w:ilvl w:val="0"/>
          <w:numId w:val="27"/>
        </w:numPr>
        <w:rPr>
          <w:rFonts w:eastAsia="Arial"/>
        </w:rPr>
      </w:pPr>
      <w:r>
        <w:t>Informaciją apie dideles atskirų klientų arba susijusių klientų grupių pozicijas pagal Reglamento (ES) Nr. 575/2013 (KRR) 394 straipsnio 1 dalį įstaigos teikia naudod</w:t>
      </w:r>
      <w:r>
        <w:t>a</w:t>
      </w:r>
      <w:r>
        <w:t xml:space="preserve">mos LE1, LE2 ir LE3 formas. </w:t>
      </w:r>
    </w:p>
    <w:p w:rsidR="00B0191A" w:rsidRPr="0039317F" w:rsidRDefault="000F13EA" w:rsidP="0039317F">
      <w:pPr>
        <w:pStyle w:val="InstructionsText2"/>
        <w:rPr>
          <w:rFonts w:eastAsia="Arial"/>
        </w:rPr>
      </w:pPr>
      <w:r>
        <w:t xml:space="preserve">Informaciją apie dideles konsoliduotas klientų arba susijusių klientų grupių pozicijas pagal KRR 394 straipsnio 1 dalį patronuojančiosios įstaigos valstybėje narėje teikia naudodamos LE1, LE2 ir LE3 formas. </w:t>
      </w:r>
    </w:p>
    <w:p w:rsidR="00B0191A" w:rsidRPr="0039317F" w:rsidRDefault="00A11FB0" w:rsidP="000F0ADE">
      <w:pPr>
        <w:pStyle w:val="InstructionsText2"/>
        <w:rPr>
          <w:rFonts w:eastAsia="Arial"/>
        </w:rPr>
      </w:pPr>
      <w:r>
        <w:t>Nurodoma kiekviena didelė pozicija, apibrėžta pagal KRR 392 straipsnį, įskaitant d</w:t>
      </w:r>
      <w:r>
        <w:t>i</w:t>
      </w:r>
      <w:r>
        <w:t>deles pozicijas, į kurių atitiktį KRR 395 straipsnyje nustatytoms didelių pozicijų r</w:t>
      </w:r>
      <w:r>
        <w:t>i</w:t>
      </w:r>
      <w:r>
        <w:t xml:space="preserve">boms neatsižvelgiama. </w:t>
      </w:r>
    </w:p>
    <w:p w:rsidR="00B0191A" w:rsidRPr="0039317F" w:rsidRDefault="001C7BF0" w:rsidP="000F0ADE">
      <w:pPr>
        <w:pStyle w:val="InstructionsText2"/>
        <w:rPr>
          <w:rFonts w:eastAsia="Arial"/>
        </w:rPr>
      </w:pPr>
      <w:r>
        <w:t>Informaciją apie klientų arba susijusių klientų grupių 20 didžiausių konsoliduotų poz</w:t>
      </w:r>
      <w:r>
        <w:t>i</w:t>
      </w:r>
      <w:r>
        <w:t>cijų pagal paskutinį KRR 394 straipsnio 1 dalies sakinį valstybėje narėje esančios pa</w:t>
      </w:r>
      <w:r>
        <w:t>t</w:t>
      </w:r>
      <w:r>
        <w:t>ronuojančiosios įstaigos, kurioms taikomas KRR trečios dalies II antraštinės dalies 3 skyrius, teikia naudodamos LE1, LE2 ir LE3 formas. Šios 20 didžiausių pozicijų n</w:t>
      </w:r>
      <w:r>
        <w:t>u</w:t>
      </w:r>
      <w:r>
        <w:t xml:space="preserve">statomos naudojant pozicijos vertės sumą, gautą iš LE2 formos 210 skilties („Iš viso“) sumos atėmus tos pačios formos 320 skilties („Sumos, kurioms taikomos išimtys“) sumą. </w:t>
      </w:r>
    </w:p>
    <w:p w:rsidR="00B0191A" w:rsidRPr="0039317F" w:rsidRDefault="00C1644D">
      <w:pPr>
        <w:pStyle w:val="InstructionsText2"/>
        <w:rPr>
          <w:rFonts w:eastAsia="Arial"/>
        </w:rPr>
      </w:pPr>
      <w:r>
        <w:t>Informaciją apie įstaigų dešimt didžiausių konsoliduotų pozicijų ir nereguliuojamųjų finansų sektoriaus subjektų dešimt didžiausių konsoliduotų pozicijų pagal KRR 394 straipsnio 2 dalies a–d punktus valstybėje narėje esančios patronuojančiosios įstaigos teikia naudodamos LE1, LE2 ir LE3 formas. Informaciją apie šių pozicijų terminų struktūrą pagal KRR 394 straipsnio 2 dalies e punktą valstybėje narėje esa</w:t>
      </w:r>
      <w:r>
        <w:t>n</w:t>
      </w:r>
      <w:r>
        <w:t>čios patronuojančiosios įstaigos teikia naudodamos LE4 ir LE5 formas. Šios 20 didžiausių pozicijų nustatomos naudojant sumą, atitinkančią LE2 formos 210 skiltyje („Iš viso“) apskaičiuotą pozicijos vertę.</w:t>
      </w:r>
    </w:p>
    <w:p w:rsidR="00B0191A" w:rsidRPr="0039317F" w:rsidRDefault="001E0F83">
      <w:pPr>
        <w:pStyle w:val="InstructionsText2"/>
        <w:rPr>
          <w:rFonts w:eastAsia="Arial"/>
        </w:rPr>
      </w:pPr>
      <w:r>
        <w:t xml:space="preserve">Duomenys apie dideles ir atitinkamas didžiausias susijusių klientų grupių ir susijusių klientų grupei nepriklausančių atskirų klientų pozicijas pateikiami LE2 formoje (joje susijusių klientų grupė nurodoma kaip viena pozicija). </w:t>
      </w:r>
    </w:p>
    <w:p w:rsidR="00B0191A" w:rsidRPr="0039317F" w:rsidRDefault="008A4511">
      <w:pPr>
        <w:pStyle w:val="InstructionsText2"/>
        <w:rPr>
          <w:rFonts w:eastAsia="Arial"/>
        </w:rPr>
      </w:pPr>
      <w:r>
        <w:t>LE3 formoje įstaigos pateikia duomenis apie susijusių klientų grupėms, kurių duom</w:t>
      </w:r>
      <w:r>
        <w:t>e</w:t>
      </w:r>
      <w:r>
        <w:t>nys pateikiami LE2 formoje, priklausančių atskirų klientų pozicijas. LE2 formoje p</w:t>
      </w:r>
      <w:r>
        <w:t>a</w:t>
      </w:r>
      <w:r>
        <w:t>teikiami duomenys apie atskirų klientų poziciją neturi dubliuotis su LE3 formos du</w:t>
      </w:r>
      <w:r>
        <w:t>o</w:t>
      </w:r>
      <w:r>
        <w:t xml:space="preserve">menimis. </w:t>
      </w:r>
    </w:p>
    <w:p w:rsidR="00DA54E3" w:rsidRPr="00384ADB" w:rsidRDefault="00B945FE" w:rsidP="00C52CE2">
      <w:pPr>
        <w:pStyle w:val="Instructionsberschrift2"/>
        <w:numPr>
          <w:ilvl w:val="0"/>
          <w:numId w:val="22"/>
        </w:numPr>
        <w:rPr>
          <w:rFonts w:ascii="Times New Roman" w:hAnsi="Times New Roman" w:cs="Times New Roman"/>
          <w:b/>
          <w:sz w:val="24"/>
          <w:u w:val="none"/>
        </w:rPr>
      </w:pPr>
      <w:bookmarkStart w:id="16" w:name="_Toc393461955"/>
      <w:bookmarkStart w:id="17" w:name="_Toc524082061"/>
      <w:r>
        <w:rPr>
          <w:rFonts w:ascii="Times New Roman" w:hAnsi="Times New Roman"/>
          <w:b/>
          <w:sz w:val="24"/>
          <w:u w:val="none"/>
        </w:rPr>
        <w:t>LE formos struktūra</w:t>
      </w:r>
      <w:bookmarkEnd w:id="16"/>
      <w:bookmarkEnd w:id="17"/>
    </w:p>
    <w:p w:rsidR="00A11EC0" w:rsidRPr="0039317F" w:rsidRDefault="00B945FE" w:rsidP="0039317F">
      <w:pPr>
        <w:pStyle w:val="InstructionsText2"/>
        <w:rPr>
          <w:rFonts w:eastAsia="Arial"/>
        </w:rPr>
      </w:pPr>
      <w:r>
        <w:t>LE1 formos skiltyse pateikiama informacija, susijusi su atskirų klientų arba susijusių klientų grupių, kurių atžvilgiu įstaiga turi poziciją, tapatybe.</w:t>
      </w:r>
    </w:p>
    <w:p w:rsidR="00B0191A" w:rsidRPr="0039317F" w:rsidRDefault="009362E7" w:rsidP="0039317F">
      <w:pPr>
        <w:pStyle w:val="InstructionsText2"/>
        <w:rPr>
          <w:rFonts w:eastAsia="Arial"/>
        </w:rPr>
      </w:pPr>
      <w:r>
        <w:lastRenderedPageBreak/>
        <w:t xml:space="preserve">LE2 ir LE3 formų skiltyse pateikiama ši informacija:   </w:t>
      </w:r>
    </w:p>
    <w:p w:rsidR="00B0191A" w:rsidRPr="0039317F" w:rsidRDefault="001E0F83" w:rsidP="000F0ADE">
      <w:pPr>
        <w:pStyle w:val="InstructionsText2"/>
        <w:numPr>
          <w:ilvl w:val="1"/>
          <w:numId w:val="15"/>
        </w:numPr>
        <w:rPr>
          <w:rFonts w:eastAsia="Arial"/>
        </w:rPr>
      </w:pPr>
      <w:r>
        <w:t>pozicijos vertė prieš pritaikant išimtis ir prieš atsižvelgiant į kredito rizikos mažinimo poveikį, įskaitant tiesioginę, netiesioginę poziciją ir papildomas p</w:t>
      </w:r>
      <w:r>
        <w:t>o</w:t>
      </w:r>
      <w:r>
        <w:t>zicijas, atsirandančias dėl sandorių, susijusių su pagrindinio turto pozicija;</w:t>
      </w:r>
    </w:p>
    <w:p w:rsidR="00B0191A" w:rsidRPr="0039317F" w:rsidRDefault="001E0F83" w:rsidP="000F0ADE">
      <w:pPr>
        <w:pStyle w:val="InstructionsText2"/>
        <w:numPr>
          <w:ilvl w:val="1"/>
          <w:numId w:val="15"/>
        </w:numPr>
        <w:rPr>
          <w:rFonts w:eastAsia="Arial"/>
        </w:rPr>
      </w:pPr>
      <w:r>
        <w:t>išimčių ir kredito rizikos mažinimo priemonių poveikis;</w:t>
      </w:r>
    </w:p>
    <w:p w:rsidR="00B0191A" w:rsidRPr="0039317F" w:rsidRDefault="001E0F83">
      <w:pPr>
        <w:pStyle w:val="InstructionsText2"/>
        <w:numPr>
          <w:ilvl w:val="1"/>
          <w:numId w:val="15"/>
        </w:numPr>
        <w:rPr>
          <w:rFonts w:eastAsia="Arial"/>
        </w:rPr>
      </w:pPr>
      <w:r>
        <w:t xml:space="preserve">taikant KRR 395 straipsnio 1 dalį apskaičiuota pozicijos vertė pritaikius išimtis ir atsižvelgus į kredito rizikos mažinimo poveikį. </w:t>
      </w:r>
    </w:p>
    <w:p w:rsidR="00B0191A" w:rsidRPr="0039317F" w:rsidRDefault="00B4530A" w:rsidP="0039317F">
      <w:pPr>
        <w:pStyle w:val="InstructionsText2"/>
        <w:rPr>
          <w:rFonts w:eastAsia="Arial"/>
        </w:rPr>
      </w:pPr>
      <w:r>
        <w:t xml:space="preserve">LE4 ir LE5 formų skiltyse pateikiama informacija apie terminų intervalus, prie kurių priskiriamos numatomos dešimties didžiausių įstaigų pozicijų ir dešimties didžiausių nereguliuojamųjų finansų sektoriaus subjektų pozicijų terminų sumos. </w:t>
      </w:r>
    </w:p>
    <w:p w:rsidR="006443CC" w:rsidRPr="00384ADB" w:rsidRDefault="00B945FE" w:rsidP="00C52CE2">
      <w:pPr>
        <w:pStyle w:val="Instructionsberschrift2"/>
        <w:numPr>
          <w:ilvl w:val="0"/>
          <w:numId w:val="22"/>
        </w:numPr>
        <w:rPr>
          <w:rFonts w:ascii="Times New Roman" w:eastAsia="Arial" w:hAnsi="Times New Roman" w:cs="Times New Roman"/>
          <w:b/>
          <w:sz w:val="24"/>
          <w:u w:val="none"/>
        </w:rPr>
      </w:pPr>
      <w:bookmarkStart w:id="18" w:name="_Toc393461956"/>
      <w:bookmarkStart w:id="19" w:name="_Toc524082062"/>
      <w:r>
        <w:rPr>
          <w:rFonts w:ascii="Times New Roman" w:hAnsi="Times New Roman"/>
          <w:b/>
          <w:sz w:val="24"/>
          <w:u w:val="none"/>
        </w:rPr>
        <w:t>LE ataskaitoje vartojamos apibrėžtys ir bendrieji nurodymai</w:t>
      </w:r>
      <w:bookmarkEnd w:id="18"/>
      <w:bookmarkEnd w:id="19"/>
    </w:p>
    <w:p w:rsidR="001E0F83" w:rsidRPr="0039317F" w:rsidRDefault="00B945FE" w:rsidP="0039317F">
      <w:pPr>
        <w:pStyle w:val="InstructionsText2"/>
        <w:rPr>
          <w:rFonts w:eastAsia="Arial"/>
        </w:rPr>
      </w:pPr>
      <w:r>
        <w:t>Susijusių klientų grupė apibrėžta KRR 4 straipsnio 1 dalies 39 punkte.</w:t>
      </w:r>
    </w:p>
    <w:p w:rsidR="00B0191A" w:rsidRPr="0039317F" w:rsidRDefault="00915A9C" w:rsidP="0039317F">
      <w:pPr>
        <w:pStyle w:val="InstructionsText2"/>
        <w:rPr>
          <w:rFonts w:eastAsia="Arial"/>
        </w:rPr>
      </w:pPr>
      <w:r>
        <w:t xml:space="preserve">Nereguliuojamasis finansų sektoriaus subjektas apibrėžtas KRR 142 straipsnio 1 dalies 5 punkte.  </w:t>
      </w:r>
    </w:p>
    <w:p w:rsidR="00B0191A" w:rsidRPr="0039317F" w:rsidRDefault="00D441A7" w:rsidP="0039317F">
      <w:pPr>
        <w:pStyle w:val="InstructionsText2"/>
        <w:rPr>
          <w:rFonts w:eastAsia="Arial"/>
        </w:rPr>
      </w:pPr>
      <w:r>
        <w:t xml:space="preserve">Įstaiga apibrėžta KRR 4 straipsnio 1 dalies 3 punkte.  </w:t>
      </w:r>
    </w:p>
    <w:p w:rsidR="00B0191A" w:rsidRPr="0039317F" w:rsidRDefault="009B34D1" w:rsidP="0039317F">
      <w:pPr>
        <w:pStyle w:val="InstructionsText2"/>
        <w:rPr>
          <w:rFonts w:eastAsia="Arial"/>
        </w:rPr>
      </w:pPr>
      <w:r>
        <w:t>Nurodomos „civilinės teisės reglamentuojamų asociacijų“ pozicijos. Be to, įstaigos prie kiekvieno partnerio įsiskolinimo prideda civilinės teisės reglamentuojamų asoci</w:t>
      </w:r>
      <w:r>
        <w:t>a</w:t>
      </w:r>
      <w:r>
        <w:t>cijų kredito sumas. Civilinės teisės reglamentuojamų asociacijų, kurioms taikomos kvotos, pozicijos suskirstomos arba priskiriamos partneriams atsižvelgiant į atitink</w:t>
      </w:r>
      <w:r>
        <w:t>a</w:t>
      </w:r>
      <w:r>
        <w:t>mas jų kvotas. Informacija apie tam tikrus darinius (pvz., bendras sąskaitas, paveldėt</w:t>
      </w:r>
      <w:r>
        <w:t>o</w:t>
      </w:r>
      <w:r>
        <w:t>jų bendrijas, kito asmens vardu teikiamas paskolas), kurie iš tikrųjų veikia kaip civil</w:t>
      </w:r>
      <w:r>
        <w:t>i</w:t>
      </w:r>
      <w:r>
        <w:t>nės teisės reglamentuojamos asociacijos, turi būti pranešama lygiai taip pat kaip ir i</w:t>
      </w:r>
      <w:r>
        <w:t>n</w:t>
      </w:r>
      <w:r>
        <w:t xml:space="preserve">formacija apie asociacijas. </w:t>
      </w:r>
    </w:p>
    <w:p w:rsidR="00910E26" w:rsidRPr="0039317F" w:rsidRDefault="00D441A7" w:rsidP="0039317F">
      <w:pPr>
        <w:pStyle w:val="InstructionsText2"/>
        <w:rPr>
          <w:rFonts w:eastAsia="Arial"/>
        </w:rPr>
      </w:pPr>
      <w:r>
        <w:t>Pagal KRR 389 straipsnį turtas ir nebalansiniai straipsniai naudojami netaikant nei r</w:t>
      </w:r>
      <w:r>
        <w:t>i</w:t>
      </w:r>
      <w:r>
        <w:t>zikos koeficientų, nei rizikos laipsnių. Konkrečiai nebalansiniams straipsniams kredito perskaičiavimo koeficientai netaikomi.</w:t>
      </w:r>
    </w:p>
    <w:p w:rsidR="00B0191A" w:rsidRPr="0039317F" w:rsidRDefault="0039317F" w:rsidP="0039317F">
      <w:pPr>
        <w:pStyle w:val="InstructionsText2"/>
        <w:rPr>
          <w:rFonts w:eastAsia="Arial"/>
        </w:rPr>
      </w:pPr>
      <w:r>
        <w:t xml:space="preserve"> Pozicijos apibrėžtos KRR 389 straipsnyje: </w:t>
      </w:r>
    </w:p>
    <w:p w:rsidR="00B0191A" w:rsidRPr="0039317F" w:rsidRDefault="001243C8" w:rsidP="0039317F">
      <w:pPr>
        <w:pStyle w:val="InstructionsText2"/>
        <w:numPr>
          <w:ilvl w:val="1"/>
          <w:numId w:val="15"/>
        </w:numPr>
        <w:rPr>
          <w:rFonts w:eastAsia="Arial"/>
        </w:rPr>
      </w:pPr>
      <w:r>
        <w:t>bet kokie turto arba nebalansiniai ne prekybos knygos ir prekybos knygos straipsniai, įskaitant KRR 400 straipsnyje nurodytus straipsnius, tačiau išsk</w:t>
      </w:r>
      <w:r>
        <w:t>y</w:t>
      </w:r>
      <w:r>
        <w:t xml:space="preserve">rus straipsnius, patenkančius į KRR 390 straipsnio 6 dalies a–d punktų taikymo sritį; </w:t>
      </w:r>
    </w:p>
    <w:p w:rsidR="00B0191A" w:rsidRPr="0039317F" w:rsidRDefault="00AB5AE4" w:rsidP="000F0ADE">
      <w:pPr>
        <w:pStyle w:val="InstructionsText2"/>
        <w:numPr>
          <w:ilvl w:val="1"/>
          <w:numId w:val="15"/>
        </w:numPr>
        <w:rPr>
          <w:rFonts w:eastAsia="Arial"/>
        </w:rPr>
      </w:pPr>
      <w:r>
        <w:t>netiesioginės pozicijos – pozicijos, pagal KRR 403 straipsnį priskirtos ne ti</w:t>
      </w:r>
      <w:r>
        <w:t>e</w:t>
      </w:r>
      <w:r>
        <w:t>sioginiam skolininkui, bet garantui arba užtikrinimo priemonės emitentui. [</w:t>
      </w:r>
      <w:r>
        <w:rPr>
          <w:i/>
        </w:rPr>
        <w:t>Čia pateiktos apibrėžtys jokiais galimais aspektais negali skirtis nuo pagrindini</w:t>
      </w:r>
      <w:r>
        <w:rPr>
          <w:i/>
        </w:rPr>
        <w:t>a</w:t>
      </w:r>
      <w:r>
        <w:rPr>
          <w:i/>
        </w:rPr>
        <w:t>me akte pateiktų apibrėžčių</w:t>
      </w:r>
      <w:r>
        <w:t>.]</w:t>
      </w:r>
    </w:p>
    <w:p w:rsidR="00B0191A" w:rsidRPr="0039317F" w:rsidRDefault="00F40CD9" w:rsidP="0039317F">
      <w:pPr>
        <w:pStyle w:val="InstructionsText2"/>
        <w:rPr>
          <w:rFonts w:eastAsia="Arial"/>
        </w:rPr>
      </w:pPr>
      <w:r>
        <w:t>Susijusių klientų grupių pozicijos apskaičiuojamos pagal 390 straipsnio 5 dalį.</w:t>
      </w:r>
    </w:p>
    <w:p w:rsidR="0008722B" w:rsidRPr="0039317F" w:rsidRDefault="008645CF" w:rsidP="0039317F">
      <w:pPr>
        <w:pStyle w:val="InstructionsText2"/>
        <w:rPr>
          <w:rFonts w:eastAsia="Arial"/>
        </w:rPr>
      </w:pPr>
      <w:r>
        <w:lastRenderedPageBreak/>
        <w:t>Apskaičiuojant didelių pozicijų vertę, kaip nustatyta KRR 390 straipsnio 1, 2 ir 3 dalyse, leidžiama atsižvelgti į užskaitos susitarimus. KRR II priede nurodytos išve</w:t>
      </w:r>
      <w:r>
        <w:t>s</w:t>
      </w:r>
      <w:r>
        <w:t>tinės finansinės priemonės pozicijos vertė nustatoma pagal KRR trečios dalies II antraštinės dalies 6 skyrių, tų metodų tikslais atsižvelgiant į novacijos sutarčių ir k</w:t>
      </w:r>
      <w:r>
        <w:t>i</w:t>
      </w:r>
      <w:r>
        <w:t>tų užskaitos susitarimų poveikį, kaip numatyta KRR trečios dalies II antraštinės dalies 6 skyriuje. Atpirkimo sandorių, vertybinių popierių arba biržos prekių skolinimo arba skolinimosi sandorių, ilgalaikių atsiskaitymo sandorių ir garantinės įmokos skolinimo sandorių pozicijos vertė gali būti nustatoma pagal KRR trečios dalies II antraštinės d</w:t>
      </w:r>
      <w:r>
        <w:t>a</w:t>
      </w:r>
      <w:r>
        <w:t>lies 4 arba 6 skyrių. Pagal KRR 296 straipsnį su informacija teikiančia įstaiga sudarytu sutartinės kryžminės produktų užskaitos susitarimu sukurto vieno teisinio įsipareig</w:t>
      </w:r>
      <w:r>
        <w:t>o</w:t>
      </w:r>
      <w:r>
        <w:t>jimo pozicijos vertė LE formose nurodoma kaip „kiti įsipareigojimai“.</w:t>
      </w:r>
    </w:p>
    <w:p w:rsidR="00AB28E2" w:rsidRPr="0039317F" w:rsidRDefault="001E0F83" w:rsidP="0039317F">
      <w:pPr>
        <w:pStyle w:val="InstructionsText2"/>
        <w:rPr>
          <w:rFonts w:eastAsia="Arial"/>
        </w:rPr>
      </w:pPr>
      <w:r>
        <w:t>Pozicijos vertė apskaičiuojama pagal KRR 390 straipsnį.</w:t>
      </w:r>
    </w:p>
    <w:p w:rsidR="00B0191A" w:rsidRPr="0039317F" w:rsidRDefault="001E0F83" w:rsidP="0039317F">
      <w:pPr>
        <w:pStyle w:val="InstructionsText2"/>
        <w:rPr>
          <w:rFonts w:eastAsia="Arial"/>
        </w:rPr>
      </w:pPr>
      <w:r>
        <w:t xml:space="preserve">Visapusiško arba dalinio išimčių ir reikalavimus atitinkančių kredito rizikos mažinimo (KRM) priemonių taikymo apskaičiuojant pozicijas pagal KRR 395 straipsnio 1 dalį poveikis aprašytas KRR 399–403 straipsniuose. </w:t>
      </w:r>
    </w:p>
    <w:p w:rsidR="00AB28E2" w:rsidRPr="0039317F" w:rsidRDefault="0017740A" w:rsidP="0039317F">
      <w:pPr>
        <w:pStyle w:val="InstructionsText2"/>
        <w:rPr>
          <w:rFonts w:eastAsia="Arial"/>
        </w:rPr>
      </w:pPr>
      <w:r>
        <w:t>Apie atvirkštinio atpirkimo sandorius, apie kuriuos reikia pranešti teikiant informaciją apie dideles pozicijas, pranešama pagal KRR 402 straipsnio 3 dalį. Jei įvykdyti KRR 402 straipsnio 3 dalies kriterijai, nurodydama kiekvienos trečiosios šalies dideles poz</w:t>
      </w:r>
      <w:r>
        <w:t>i</w:t>
      </w:r>
      <w:r>
        <w:t>cijas įstaiga nurodo ne sandorio šalies pozicijos sumą, bet reikalavimo, kurį sandorio šalis turi tos trečiosios šalies atžvilgiu, sumą.</w:t>
      </w:r>
    </w:p>
    <w:p w:rsidR="00B0191A" w:rsidRPr="00384ADB" w:rsidRDefault="00B0191A" w:rsidP="00FD4656">
      <w:pPr>
        <w:rPr>
          <w:rFonts w:eastAsia="Arial"/>
        </w:rPr>
      </w:pPr>
    </w:p>
    <w:p w:rsidR="00C83135" w:rsidRPr="00384ADB" w:rsidRDefault="00296D72" w:rsidP="00C52CE2">
      <w:pPr>
        <w:pStyle w:val="Instructionsberschrift2"/>
        <w:numPr>
          <w:ilvl w:val="0"/>
          <w:numId w:val="22"/>
        </w:numPr>
        <w:rPr>
          <w:rFonts w:ascii="Times New Roman" w:hAnsi="Times New Roman" w:cs="Times New Roman"/>
          <w:b/>
          <w:sz w:val="24"/>
          <w:u w:val="none"/>
        </w:rPr>
      </w:pPr>
      <w:bookmarkStart w:id="20" w:name="_Toc393461957"/>
      <w:bookmarkStart w:id="21" w:name="_Toc524082063"/>
      <w:r>
        <w:rPr>
          <w:rFonts w:ascii="Times New Roman" w:hAnsi="Times New Roman"/>
          <w:b/>
          <w:sz w:val="24"/>
          <w:u w:val="none"/>
        </w:rPr>
        <w:t xml:space="preserve">C 26.00. Didelių pozicijų ribų forma (LE </w:t>
      </w:r>
      <w:r>
        <w:rPr>
          <w:rFonts w:ascii="Times New Roman" w:hAnsi="Times New Roman"/>
          <w:b/>
          <w:i/>
          <w:sz w:val="24"/>
          <w:u w:val="none"/>
        </w:rPr>
        <w:t>Limits</w:t>
      </w:r>
      <w:r>
        <w:rPr>
          <w:rFonts w:ascii="Times New Roman" w:hAnsi="Times New Roman"/>
          <w:b/>
          <w:sz w:val="24"/>
          <w:u w:val="none"/>
        </w:rPr>
        <w:t>)</w:t>
      </w:r>
      <w:bookmarkEnd w:id="20"/>
      <w:bookmarkEnd w:id="21"/>
    </w:p>
    <w:p w:rsidR="00C83135" w:rsidRPr="00384ADB" w:rsidRDefault="00C83135" w:rsidP="00C52CE2">
      <w:pPr>
        <w:pStyle w:val="Instructionsberschrift2"/>
        <w:numPr>
          <w:ilvl w:val="1"/>
          <w:numId w:val="22"/>
        </w:numPr>
        <w:rPr>
          <w:rFonts w:ascii="Times New Roman" w:hAnsi="Times New Roman" w:cs="Times New Roman"/>
          <w:sz w:val="24"/>
        </w:rPr>
      </w:pPr>
      <w:bookmarkStart w:id="22" w:name="_Toc393461958"/>
      <w:bookmarkStart w:id="23" w:name="_Toc524082064"/>
      <w:r>
        <w:rPr>
          <w:rFonts w:ascii="Times New Roman" w:hAnsi="Times New Roman"/>
          <w:sz w:val="24"/>
        </w:rPr>
        <w:t>Nurodymai dėl konkrečių eilučių</w:t>
      </w:r>
      <w:bookmarkEnd w:id="22"/>
      <w:bookmarkEnd w:id="23"/>
    </w:p>
    <w:p w:rsidR="00C83135" w:rsidRPr="00384ADB" w:rsidRDefault="00C83135" w:rsidP="0039317F">
      <w:pPr>
        <w:pStyle w:val="InstructionsText"/>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C83135" w:rsidRPr="00384ADB" w:rsidTr="00C83135">
        <w:tc>
          <w:tcPr>
            <w:tcW w:w="1418" w:type="dxa"/>
            <w:shd w:val="clear" w:color="auto" w:fill="D9D9D9"/>
          </w:tcPr>
          <w:p w:rsidR="00C83135" w:rsidRPr="00384ADB" w:rsidRDefault="00C83135" w:rsidP="0039317F">
            <w:pPr>
              <w:pStyle w:val="InstructionsText"/>
              <w:rPr>
                <w:rStyle w:val="InstructionsTabelleText"/>
                <w:rFonts w:ascii="Times New Roman" w:hAnsi="Times New Roman"/>
                <w:b/>
                <w:sz w:val="24"/>
              </w:rPr>
            </w:pPr>
            <w:r>
              <w:rPr>
                <w:rStyle w:val="InstructionsTabelleText"/>
                <w:rFonts w:ascii="Times New Roman" w:hAnsi="Times New Roman"/>
                <w:b/>
                <w:sz w:val="24"/>
              </w:rPr>
              <w:t>Eilutės</w:t>
            </w:r>
          </w:p>
        </w:tc>
        <w:tc>
          <w:tcPr>
            <w:tcW w:w="7620" w:type="dxa"/>
            <w:shd w:val="clear" w:color="auto" w:fill="D9D9D9"/>
          </w:tcPr>
          <w:p w:rsidR="00B0191A" w:rsidRPr="00384ADB" w:rsidRDefault="00C83135" w:rsidP="0039317F">
            <w:pPr>
              <w:pStyle w:val="InstructionsText"/>
              <w:rPr>
                <w:rStyle w:val="InstructionsTabelleText"/>
                <w:rFonts w:ascii="Times New Roman" w:hAnsi="Times New Roman"/>
                <w:b/>
                <w:bCs/>
                <w:sz w:val="24"/>
              </w:rPr>
            </w:pPr>
            <w:r>
              <w:rPr>
                <w:rStyle w:val="InstructionsTabelleText"/>
                <w:rFonts w:ascii="Times New Roman" w:hAnsi="Times New Roman"/>
                <w:b/>
                <w:sz w:val="24"/>
              </w:rPr>
              <w:t>Nuorodos į teisės aktus ir nurodymai</w:t>
            </w:r>
          </w:p>
        </w:tc>
      </w:tr>
      <w:tr w:rsidR="00C83135" w:rsidRPr="00384ADB" w:rsidTr="00C83135">
        <w:tc>
          <w:tcPr>
            <w:tcW w:w="1418" w:type="dxa"/>
          </w:tcPr>
          <w:p w:rsidR="00C83135" w:rsidRPr="00384ADB" w:rsidRDefault="00C83135"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tc>
        <w:tc>
          <w:tcPr>
            <w:tcW w:w="7620" w:type="dxa"/>
          </w:tcPr>
          <w:p w:rsidR="00702E1B" w:rsidRPr="00384ADB" w:rsidRDefault="00702E1B"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Ne įstaigos</w:t>
            </w:r>
          </w:p>
          <w:p w:rsidR="00B0191A" w:rsidRPr="00384ADB" w:rsidRDefault="00B0191A" w:rsidP="0039317F">
            <w:pPr>
              <w:pStyle w:val="InstructionsText"/>
              <w:rPr>
                <w:rStyle w:val="FormatvorlageInstructionsTabelleText"/>
                <w:rFonts w:ascii="Times New Roman" w:hAnsi="Times New Roman"/>
                <w:b/>
                <w:sz w:val="24"/>
              </w:rPr>
            </w:pPr>
          </w:p>
          <w:p w:rsidR="00B0191A" w:rsidRPr="00384ADB" w:rsidRDefault="002F1033"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395 straipsnio 1 dalis, 458 straipsnio 2 dalies d punkto ii papunktis, 458 straipsnio 10 dalis ir 459 straipsnio b punktas.</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702E1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Nurodoma sandorio šalims, išskyrus įstaigas, taikytinos ribos suma. Ši suma sudaro 25 % reikalavimus atitinkančio kapitalo, kuris nurodomas I priedo 4 formos 226 eilutėje, nebent dėl nacionalinių priemonių, taikomų pagal KRR 458 straipsnį arba pagal KRR 459 straipsnio b punktą priimtus deleguotu</w:t>
            </w:r>
            <w:r>
              <w:rPr>
                <w:rStyle w:val="FormatvorlageInstructionsTabelleText"/>
                <w:rFonts w:ascii="Times New Roman" w:hAnsi="Times New Roman"/>
                <w:sz w:val="24"/>
              </w:rPr>
              <w:t>o</w:t>
            </w:r>
            <w:r>
              <w:rPr>
                <w:rStyle w:val="FormatvorlageInstructionsTabelleText"/>
                <w:rFonts w:ascii="Times New Roman" w:hAnsi="Times New Roman"/>
                <w:sz w:val="24"/>
              </w:rPr>
              <w:t xml:space="preserve">sius aktus, taikoma mažesnė procentinė dalis. </w:t>
            </w:r>
          </w:p>
          <w:p w:rsidR="00B0191A" w:rsidRPr="00384ADB" w:rsidRDefault="002F4A3D">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 </w:t>
            </w:r>
          </w:p>
        </w:tc>
      </w:tr>
      <w:tr w:rsidR="00C83135" w:rsidRPr="00384ADB" w:rsidTr="00C83135">
        <w:tc>
          <w:tcPr>
            <w:tcW w:w="1418" w:type="dxa"/>
          </w:tcPr>
          <w:p w:rsidR="00C83135" w:rsidRPr="00384ADB" w:rsidRDefault="00C83135"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rsidR="00C83135" w:rsidRPr="00384ADB" w:rsidRDefault="001A4F56"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Įstaigos</w:t>
            </w:r>
          </w:p>
          <w:p w:rsidR="00B0191A" w:rsidRPr="00384ADB" w:rsidRDefault="00B0191A" w:rsidP="0039317F">
            <w:pPr>
              <w:pStyle w:val="InstructionsText"/>
              <w:rPr>
                <w:rStyle w:val="FormatvorlageInstructionsTabelleText"/>
                <w:rFonts w:ascii="Times New Roman" w:hAnsi="Times New Roman"/>
                <w:b/>
                <w:sz w:val="24"/>
              </w:rPr>
            </w:pPr>
          </w:p>
          <w:p w:rsidR="00B0191A" w:rsidRPr="00384ADB" w:rsidRDefault="001A4F56"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395 straipsnio 1 dalis, 458 straipsnio 2 dalies d punkto ii papunktis, 458 straipsnio 10 dalis ir 459 straipsnio b punktas.</w:t>
            </w:r>
          </w:p>
          <w:p w:rsidR="00B0191A" w:rsidRPr="00384ADB" w:rsidRDefault="00B0191A" w:rsidP="000F0ADE">
            <w:pPr>
              <w:pStyle w:val="InstructionsText"/>
              <w:rPr>
                <w:rStyle w:val="FormatvorlageInstructionsTabelleText"/>
                <w:rFonts w:ascii="Times New Roman" w:hAnsi="Times New Roman"/>
                <w:sz w:val="24"/>
              </w:rPr>
            </w:pPr>
          </w:p>
          <w:p w:rsidR="00B0191A" w:rsidRPr="00384ADB" w:rsidRDefault="001A4F5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Nurodoma sandorio šalims, kurios yra įstaigos, taikytinos ribos suma. Pagal KRR 395 straipsnio 1 dalį šią sumą sudaro:</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F7508F">
            <w:pPr>
              <w:pStyle w:val="InstructionsText"/>
              <w:numPr>
                <w:ilvl w:val="0"/>
                <w:numId w:val="26"/>
              </w:num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jei 25 % reikalavimus atitinkančio kapitalo viršija 150 mln. EUR (arba kompetentingos institucijos pagal KRR 395 straipsnio 1 dalies trečią pastraipą nustatytą žemesnę nei 150 mln. EUR ribą), nurod</w:t>
            </w:r>
            <w:r>
              <w:rPr>
                <w:rStyle w:val="FormatvorlageInstructionsTabelleText"/>
                <w:rFonts w:ascii="Times New Roman" w:hAnsi="Times New Roman"/>
                <w:sz w:val="24"/>
              </w:rPr>
              <w:t>o</w:t>
            </w:r>
            <w:r>
              <w:rPr>
                <w:rStyle w:val="FormatvorlageInstructionsTabelleText"/>
                <w:rFonts w:ascii="Times New Roman" w:hAnsi="Times New Roman"/>
                <w:sz w:val="24"/>
              </w:rPr>
              <w:t>ma 25 % reikalavimus atitinkančio kapitalo;</w:t>
            </w:r>
          </w:p>
          <w:p w:rsidR="00704405" w:rsidRPr="00384ADB" w:rsidRDefault="00704405">
            <w:pPr>
              <w:pStyle w:val="InstructionsText"/>
              <w:rPr>
                <w:rStyle w:val="FormatvorlageInstructionsTabelleText"/>
                <w:rFonts w:ascii="Times New Roman" w:hAnsi="Times New Roman"/>
                <w:sz w:val="24"/>
              </w:rPr>
            </w:pPr>
          </w:p>
          <w:p w:rsidR="00B0191A" w:rsidRPr="00384ADB" w:rsidRDefault="00F7508F">
            <w:pPr>
              <w:pStyle w:val="InstructionsText"/>
              <w:numPr>
                <w:ilvl w:val="0"/>
                <w:numId w:val="26"/>
              </w:numPr>
              <w:rPr>
                <w:rStyle w:val="FormatvorlageInstructionsTabelleText"/>
                <w:rFonts w:ascii="Times New Roman" w:hAnsi="Times New Roman"/>
                <w:sz w:val="24"/>
              </w:rPr>
            </w:pPr>
            <w:r>
              <w:rPr>
                <w:rStyle w:val="FormatvorlageInstructionsTabelleText"/>
                <w:rFonts w:ascii="Times New Roman" w:hAnsi="Times New Roman"/>
                <w:sz w:val="24"/>
              </w:rPr>
              <w:t>jei 150 mln. EUR (arba kompetentingos institucijos pagal KRR 395 straipsnio 1 dalies trečią pastraipą nustatyta žemesnė nei 150 mln. EUR riba) viršija 25 % reikalavimus atitinkančio įstaigos kapitalo, nurodoma 150 mln. EUR (arba žemesnė riba, jei kompetentinga in</w:t>
            </w:r>
            <w:r>
              <w:rPr>
                <w:rStyle w:val="FormatvorlageInstructionsTabelleText"/>
                <w:rFonts w:ascii="Times New Roman" w:hAnsi="Times New Roman"/>
                <w:sz w:val="24"/>
              </w:rPr>
              <w:t>s</w:t>
            </w:r>
            <w:r>
              <w:rPr>
                <w:rStyle w:val="FormatvorlageInstructionsTabelleText"/>
                <w:rFonts w:ascii="Times New Roman" w:hAnsi="Times New Roman"/>
                <w:sz w:val="24"/>
              </w:rPr>
              <w:t>titucija yra ją nustačiusi). Jei įstaiga nustatė žemesnę reikalavimus atitinkančio kapitalo ribą, kaip reikalaujama pagal KRR 395 straip</w:t>
            </w:r>
            <w:r>
              <w:rPr>
                <w:rStyle w:val="FormatvorlageInstructionsTabelleText"/>
                <w:rFonts w:ascii="Times New Roman" w:hAnsi="Times New Roman"/>
                <w:sz w:val="24"/>
              </w:rPr>
              <w:t>s</w:t>
            </w:r>
            <w:r>
              <w:rPr>
                <w:rStyle w:val="FormatvorlageInstructionsTabelleText"/>
                <w:rFonts w:ascii="Times New Roman" w:hAnsi="Times New Roman"/>
                <w:sz w:val="24"/>
              </w:rPr>
              <w:t xml:space="preserve">nio 1 dalies antrą pastraipą, nurodoma ta riba. </w:t>
            </w:r>
          </w:p>
          <w:p w:rsidR="007F3F93" w:rsidRPr="00384ADB" w:rsidRDefault="007F3F93">
            <w:pPr>
              <w:pStyle w:val="InstructionsText"/>
              <w:rPr>
                <w:rStyle w:val="FormatvorlageInstructionsTabelleText"/>
                <w:rFonts w:ascii="Times New Roman" w:hAnsi="Times New Roman"/>
                <w:sz w:val="24"/>
              </w:rPr>
            </w:pPr>
          </w:p>
          <w:p w:rsidR="007F3F93" w:rsidRPr="00384ADB" w:rsidRDefault="002F4A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Šios ribos gali būti griežtesnės, jeigu taikomos nacionalinės priemonės pagal KRR 395 straipsnio 6 dalį ar 458 straipsnį arba pagal KRR 459 straipsnio b punktą priimtus deleguotuosius aktus.</w:t>
            </w:r>
          </w:p>
          <w:p w:rsidR="00B0191A" w:rsidRPr="00384ADB" w:rsidRDefault="00B0191A">
            <w:pPr>
              <w:pStyle w:val="InstructionsText"/>
              <w:rPr>
                <w:rStyle w:val="FormatvorlageInstructionsTabelleText"/>
                <w:rFonts w:ascii="Times New Roman" w:hAnsi="Times New Roman"/>
                <w:sz w:val="24"/>
              </w:rPr>
            </w:pPr>
          </w:p>
        </w:tc>
      </w:tr>
      <w:tr w:rsidR="00C83135" w:rsidRPr="00384ADB" w:rsidTr="00C83135">
        <w:tc>
          <w:tcPr>
            <w:tcW w:w="1418" w:type="dxa"/>
          </w:tcPr>
          <w:p w:rsidR="00C83135" w:rsidRPr="00384ADB" w:rsidRDefault="00C83135"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030</w:t>
            </w:r>
          </w:p>
        </w:tc>
        <w:tc>
          <w:tcPr>
            <w:tcW w:w="7620" w:type="dxa"/>
          </w:tcPr>
          <w:p w:rsidR="00702E1B" w:rsidRPr="00384ADB" w:rsidRDefault="001A4F56"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Įstaigų dalis %</w:t>
            </w:r>
          </w:p>
          <w:p w:rsidR="00B0191A" w:rsidRPr="00384ADB" w:rsidRDefault="00B0191A" w:rsidP="0039317F">
            <w:pPr>
              <w:pStyle w:val="InstructionsText"/>
              <w:rPr>
                <w:rStyle w:val="FormatvorlageInstructionsTabelleText"/>
                <w:rFonts w:ascii="Times New Roman" w:hAnsi="Times New Roman"/>
                <w:b/>
                <w:sz w:val="24"/>
              </w:rPr>
            </w:pPr>
          </w:p>
          <w:p w:rsidR="00B0191A" w:rsidRPr="00384ADB" w:rsidRDefault="001A4F56"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395 straipsnio 1 dalis ir 459 straipsnio a punktas.</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586D8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Nurodoma suma yra absoliučioji riba (nurodoma 020 eilutėje), išreikšta pr</w:t>
            </w:r>
            <w:r>
              <w:rPr>
                <w:rStyle w:val="FormatvorlageInstructionsTabelleText"/>
                <w:rFonts w:ascii="Times New Roman" w:hAnsi="Times New Roman"/>
                <w:sz w:val="24"/>
              </w:rPr>
              <w:t>o</w:t>
            </w:r>
            <w:r>
              <w:rPr>
                <w:rStyle w:val="FormatvorlageInstructionsTabelleText"/>
                <w:rFonts w:ascii="Times New Roman" w:hAnsi="Times New Roman"/>
                <w:sz w:val="24"/>
              </w:rPr>
              <w:t>centine reikalavimus atitinkančio kapitalo dalimi.</w:t>
            </w:r>
          </w:p>
          <w:p w:rsidR="00B0191A" w:rsidRPr="00384ADB" w:rsidRDefault="00B0191A">
            <w:pPr>
              <w:pStyle w:val="InstructionsText"/>
              <w:rPr>
                <w:rStyle w:val="FormatvorlageInstructionsTabelleText"/>
                <w:rFonts w:ascii="Times New Roman" w:hAnsi="Times New Roman"/>
                <w:b/>
                <w:sz w:val="24"/>
              </w:rPr>
            </w:pPr>
          </w:p>
        </w:tc>
      </w:tr>
    </w:tbl>
    <w:p w:rsidR="00C83135" w:rsidRPr="00384ADB" w:rsidRDefault="00C83135" w:rsidP="0039317F">
      <w:pPr>
        <w:pStyle w:val="InstructionsText"/>
      </w:pPr>
    </w:p>
    <w:p w:rsidR="00634B45" w:rsidRPr="00384ADB" w:rsidRDefault="00296D72" w:rsidP="00C52CE2">
      <w:pPr>
        <w:pStyle w:val="Instructionsberschrift2"/>
        <w:numPr>
          <w:ilvl w:val="0"/>
          <w:numId w:val="22"/>
        </w:numPr>
        <w:rPr>
          <w:rFonts w:ascii="Times New Roman" w:hAnsi="Times New Roman" w:cs="Times New Roman"/>
          <w:b/>
          <w:sz w:val="24"/>
          <w:u w:val="none"/>
        </w:rPr>
      </w:pPr>
      <w:bookmarkStart w:id="24" w:name="_Toc393461959"/>
      <w:bookmarkStart w:id="25" w:name="_Toc524082065"/>
      <w:r>
        <w:rPr>
          <w:rFonts w:ascii="Times New Roman" w:hAnsi="Times New Roman"/>
          <w:b/>
          <w:sz w:val="24"/>
          <w:u w:val="none"/>
        </w:rPr>
        <w:t>C 27.00. Sandorio šalies identifikavimas (LE1)</w:t>
      </w:r>
      <w:bookmarkEnd w:id="24"/>
      <w:bookmarkEnd w:id="25"/>
    </w:p>
    <w:p w:rsidR="00634B45" w:rsidRPr="00384ADB" w:rsidRDefault="00634B45" w:rsidP="00C52CE2">
      <w:pPr>
        <w:pStyle w:val="Instructionsberschrift2"/>
        <w:numPr>
          <w:ilvl w:val="1"/>
          <w:numId w:val="22"/>
        </w:numPr>
        <w:rPr>
          <w:rFonts w:ascii="Times New Roman" w:hAnsi="Times New Roman" w:cs="Times New Roman"/>
          <w:sz w:val="24"/>
        </w:rPr>
      </w:pPr>
      <w:bookmarkStart w:id="26" w:name="_Toc393461960"/>
      <w:bookmarkStart w:id="27" w:name="_Toc524082066"/>
      <w:r>
        <w:rPr>
          <w:rFonts w:ascii="Times New Roman" w:hAnsi="Times New Roman"/>
          <w:sz w:val="24"/>
        </w:rPr>
        <w:t>Nurodymai dėl konkrečių skilčių</w:t>
      </w:r>
      <w:bookmarkEnd w:id="26"/>
      <w:bookmarkEnd w:id="27"/>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634B45" w:rsidRPr="00384ADB" w:rsidTr="00634B45">
        <w:tc>
          <w:tcPr>
            <w:tcW w:w="1418" w:type="dxa"/>
            <w:shd w:val="clear" w:color="auto" w:fill="D9D9D9"/>
          </w:tcPr>
          <w:p w:rsidR="00634B45" w:rsidRPr="00384ADB" w:rsidRDefault="00634B45" w:rsidP="0039317F">
            <w:pPr>
              <w:pStyle w:val="InstructionsText"/>
              <w:rPr>
                <w:rStyle w:val="InstructionsTabelleText"/>
                <w:rFonts w:ascii="Times New Roman" w:hAnsi="Times New Roman"/>
                <w:b/>
                <w:sz w:val="24"/>
              </w:rPr>
            </w:pPr>
            <w:r>
              <w:rPr>
                <w:rStyle w:val="InstructionsTabelleText"/>
                <w:rFonts w:ascii="Times New Roman" w:hAnsi="Times New Roman"/>
                <w:b/>
                <w:sz w:val="24"/>
              </w:rPr>
              <w:t>Skiltis</w:t>
            </w:r>
          </w:p>
        </w:tc>
        <w:tc>
          <w:tcPr>
            <w:tcW w:w="7620" w:type="dxa"/>
            <w:shd w:val="clear" w:color="auto" w:fill="D9D9D9"/>
          </w:tcPr>
          <w:p w:rsidR="00634B45" w:rsidRPr="00384ADB" w:rsidRDefault="00634B45" w:rsidP="0039317F">
            <w:pPr>
              <w:pStyle w:val="InstructionsText"/>
              <w:rPr>
                <w:rStyle w:val="InstructionsTabelleText"/>
                <w:rFonts w:ascii="Times New Roman" w:hAnsi="Times New Roman"/>
                <w:b/>
                <w:bCs/>
                <w:sz w:val="24"/>
              </w:rPr>
            </w:pPr>
            <w:r>
              <w:rPr>
                <w:rStyle w:val="InstructionsTabelleText"/>
                <w:rFonts w:ascii="Times New Roman" w:hAnsi="Times New Roman"/>
                <w:b/>
                <w:sz w:val="24"/>
              </w:rPr>
              <w:t>Nuorodos į teisės aktus ir nurodymai</w:t>
            </w:r>
          </w:p>
        </w:tc>
      </w:tr>
      <w:tr w:rsidR="00634B45" w:rsidRPr="00384ADB" w:rsidTr="00634B45">
        <w:tc>
          <w:tcPr>
            <w:tcW w:w="1418" w:type="dxa"/>
          </w:tcPr>
          <w:p w:rsidR="00634B45" w:rsidRPr="00384ADB" w:rsidRDefault="00634B45"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010–070</w:t>
            </w:r>
          </w:p>
        </w:tc>
        <w:tc>
          <w:tcPr>
            <w:tcW w:w="7620" w:type="dxa"/>
          </w:tcPr>
          <w:p w:rsidR="00634B45" w:rsidRPr="00384ADB" w:rsidRDefault="00634B45"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Sandorio šalies identifikavimas</w:t>
            </w:r>
          </w:p>
          <w:p w:rsidR="00B0191A" w:rsidRPr="0039317F" w:rsidRDefault="00B0191A" w:rsidP="0039317F">
            <w:pPr>
              <w:pStyle w:val="InstructionsText"/>
              <w:rPr>
                <w:rStyle w:val="FormatvorlageInstructionsTabelleText"/>
                <w:rFonts w:ascii="Times New Roman" w:hAnsi="Times New Roman"/>
                <w:b/>
                <w:sz w:val="24"/>
              </w:rPr>
            </w:pPr>
          </w:p>
          <w:p w:rsidR="00290EFB" w:rsidRPr="0039317F" w:rsidRDefault="0031054B"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Įstaigos nurodo kiekvienos sandorio šalies, apie kurią teikiama informacija bet kurioje iš C 28.00–C 31.00 formų, identifikavimo duomenis. Susijusių klientų grupės identifikavimo duomenys nenurodomi, nebent susijusių klie</w:t>
            </w:r>
            <w:r>
              <w:rPr>
                <w:rStyle w:val="FormatvorlageInstructionsTabelleText"/>
                <w:rFonts w:ascii="Times New Roman" w:hAnsi="Times New Roman"/>
                <w:sz w:val="24"/>
              </w:rPr>
              <w:t>n</w:t>
            </w:r>
            <w:r>
              <w:rPr>
                <w:rStyle w:val="FormatvorlageInstructionsTabelleText"/>
                <w:rFonts w:ascii="Times New Roman" w:hAnsi="Times New Roman"/>
                <w:sz w:val="24"/>
              </w:rPr>
              <w:t>tų grupei nacionalinėje informacijos teikimo sistemoje suteikiamas unikalus kodas.</w:t>
            </w:r>
          </w:p>
          <w:p w:rsidR="00B0191A" w:rsidRPr="0039317F" w:rsidRDefault="00B0191A">
            <w:pPr>
              <w:pStyle w:val="InstructionsText"/>
              <w:rPr>
                <w:rStyle w:val="FormatvorlageInstructionsTabelleText"/>
                <w:rFonts w:ascii="Times New Roman" w:hAnsi="Times New Roman"/>
                <w:sz w:val="24"/>
              </w:rPr>
            </w:pPr>
          </w:p>
          <w:p w:rsidR="00B0191A" w:rsidRPr="0039317F" w:rsidRDefault="00634B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Pagal KRR 394 straipsnio 1 dalies a punktą įstaigos nurodo sandorio šalies, kurios atžvilgiu jos turi KRR 392 straipsnyje apibrėžtą didelę poziciją, tap</w:t>
            </w:r>
            <w:r>
              <w:rPr>
                <w:rStyle w:val="FormatvorlageInstructionsTabelleText"/>
                <w:rFonts w:ascii="Times New Roman" w:hAnsi="Times New Roman"/>
                <w:sz w:val="24"/>
              </w:rPr>
              <w:t>a</w:t>
            </w:r>
            <w:r>
              <w:rPr>
                <w:rStyle w:val="FormatvorlageInstructionsTabelleText"/>
                <w:rFonts w:ascii="Times New Roman" w:hAnsi="Times New Roman"/>
                <w:sz w:val="24"/>
              </w:rPr>
              <w:t xml:space="preserve">tybę. </w:t>
            </w:r>
          </w:p>
          <w:p w:rsidR="00B0191A" w:rsidRPr="0039317F" w:rsidRDefault="00B0191A">
            <w:pPr>
              <w:pStyle w:val="InstructionsText"/>
              <w:rPr>
                <w:rStyle w:val="FormatvorlageInstructionsTabelleText"/>
                <w:rFonts w:ascii="Times New Roman" w:hAnsi="Times New Roman"/>
                <w:sz w:val="24"/>
              </w:rPr>
            </w:pPr>
          </w:p>
          <w:p w:rsidR="00B0191A" w:rsidRPr="0039317F" w:rsidRDefault="00634B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Pagal KRR 394 straipsnio 2 dalies a punktą įstaigos nurodo sandorio šalies, kurios atžvilgiu jos turi didžiausias pozicijas, tapatybę (tais atvejais, kai sa</w:t>
            </w:r>
            <w:r>
              <w:rPr>
                <w:rStyle w:val="FormatvorlageInstructionsTabelleText"/>
                <w:rFonts w:ascii="Times New Roman" w:hAnsi="Times New Roman"/>
                <w:sz w:val="24"/>
              </w:rPr>
              <w:t>n</w:t>
            </w:r>
            <w:r>
              <w:rPr>
                <w:rStyle w:val="FormatvorlageInstructionsTabelleText"/>
                <w:rFonts w:ascii="Times New Roman" w:hAnsi="Times New Roman"/>
                <w:sz w:val="24"/>
              </w:rPr>
              <w:t>dorio šalis yra įstaiga arba nereguliuojamasis finansų sektoriaus subjektas).</w:t>
            </w:r>
          </w:p>
          <w:p w:rsidR="00B0191A" w:rsidRPr="00384ADB" w:rsidRDefault="00B0191A">
            <w:pPr>
              <w:pStyle w:val="InstructionsText"/>
              <w:rPr>
                <w:rStyle w:val="InstructionsTabelleberschrift"/>
                <w:rFonts w:ascii="Times New Roman" w:hAnsi="Times New Roman"/>
                <w:b w:val="0"/>
                <w:sz w:val="24"/>
                <w:u w:val="none"/>
              </w:rPr>
            </w:pPr>
          </w:p>
        </w:tc>
      </w:tr>
      <w:tr w:rsidR="00CA42A9" w:rsidRPr="00384ADB" w:rsidTr="00186D4E">
        <w:trPr>
          <w:trHeight w:val="992"/>
        </w:trPr>
        <w:tc>
          <w:tcPr>
            <w:tcW w:w="1418" w:type="dxa"/>
          </w:tcPr>
          <w:p w:rsidR="00CA42A9"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010</w:t>
            </w:r>
          </w:p>
        </w:tc>
        <w:tc>
          <w:tcPr>
            <w:tcW w:w="7620" w:type="dxa"/>
          </w:tcPr>
          <w:p w:rsidR="00CA42A9" w:rsidRPr="00384ADB" w:rsidRDefault="00CA42A9"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Kodas</w:t>
            </w:r>
          </w:p>
          <w:p w:rsidR="00B0191A" w:rsidRPr="00384ADB" w:rsidRDefault="00B0191A" w:rsidP="0039317F">
            <w:pPr>
              <w:pStyle w:val="InstructionsText"/>
              <w:rPr>
                <w:rStyle w:val="FormatvorlageInstructionsTabelleText"/>
                <w:rFonts w:ascii="Times New Roman" w:hAnsi="Times New Roman"/>
                <w:sz w:val="24"/>
              </w:rPr>
            </w:pPr>
          </w:p>
          <w:p w:rsidR="00296D72" w:rsidRPr="00384ADB" w:rsidRDefault="00296D72"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Kodas yra eilutės identifikatorius ir kiekvienai lentelės eilutei turi būti un</w:t>
            </w:r>
            <w:r>
              <w:rPr>
                <w:rStyle w:val="FormatvorlageInstructionsTabelleText"/>
                <w:rFonts w:ascii="Times New Roman" w:hAnsi="Times New Roman"/>
                <w:sz w:val="24"/>
              </w:rPr>
              <w:t>i</w:t>
            </w:r>
            <w:r>
              <w:rPr>
                <w:rStyle w:val="FormatvorlageInstructionsTabelleText"/>
                <w:rFonts w:ascii="Times New Roman" w:hAnsi="Times New Roman"/>
                <w:sz w:val="24"/>
              </w:rPr>
              <w:t>kalus.</w:t>
            </w:r>
          </w:p>
          <w:p w:rsidR="00296D72" w:rsidRDefault="00296D72">
            <w:pPr>
              <w:pStyle w:val="InstructionsText"/>
              <w:rPr>
                <w:rStyle w:val="FormatvorlageInstructionsTabelleText"/>
                <w:rFonts w:ascii="Times New Roman" w:hAnsi="Times New Roman"/>
                <w:sz w:val="24"/>
              </w:rPr>
            </w:pPr>
          </w:p>
          <w:p w:rsidR="00290EFB" w:rsidRPr="00384ADB" w:rsidRDefault="00290EF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Kodas naudojamas atskirai sandorio šaliai identifikuoti. Tačiau šios skilties paskirtis – C 27.00 formoje nurodytus sandorio šalies duomenis susieti su C 28.00–C 31.00 formose nurodytomis pozicijomis. Susijusių klientų grupės kodas nenurodomas, nebent susijusių klientų grupei nacionalinėje informac</w:t>
            </w:r>
            <w:r>
              <w:rPr>
                <w:rStyle w:val="FormatvorlageInstructionsTabelleText"/>
                <w:rFonts w:ascii="Times New Roman" w:hAnsi="Times New Roman"/>
                <w:sz w:val="24"/>
              </w:rPr>
              <w:t>i</w:t>
            </w:r>
            <w:r>
              <w:rPr>
                <w:rStyle w:val="FormatvorlageInstructionsTabelleText"/>
                <w:rFonts w:ascii="Times New Roman" w:hAnsi="Times New Roman"/>
                <w:sz w:val="24"/>
              </w:rPr>
              <w:t>jos teikimo sistemoje suteikiamas unikalus kodas. Šie kodai nuosekliai na</w:t>
            </w:r>
            <w:r>
              <w:rPr>
                <w:rStyle w:val="FormatvorlageInstructionsTabelleText"/>
                <w:rFonts w:ascii="Times New Roman" w:hAnsi="Times New Roman"/>
                <w:sz w:val="24"/>
              </w:rPr>
              <w:t>u</w:t>
            </w:r>
            <w:r>
              <w:rPr>
                <w:rStyle w:val="FormatvorlageInstructionsTabelleText"/>
                <w:rFonts w:ascii="Times New Roman" w:hAnsi="Times New Roman"/>
                <w:sz w:val="24"/>
              </w:rPr>
              <w:t>dojami visą laiką.</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CA42A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Kodo sandara skiriasi atsižvelgiant į nacionalinę informacijos teikimo sist</w:t>
            </w:r>
            <w:r>
              <w:rPr>
                <w:rStyle w:val="FormatvorlageInstructionsTabelleText"/>
                <w:rFonts w:ascii="Times New Roman" w:hAnsi="Times New Roman"/>
                <w:sz w:val="24"/>
              </w:rPr>
              <w:t>e</w:t>
            </w:r>
            <w:r>
              <w:rPr>
                <w:rStyle w:val="FormatvorlageInstructionsTabelleText"/>
                <w:rFonts w:ascii="Times New Roman" w:hAnsi="Times New Roman"/>
                <w:sz w:val="24"/>
              </w:rPr>
              <w:t>mą, nebent Sąjungoje taikomi vienodi kodai.</w:t>
            </w:r>
          </w:p>
          <w:p w:rsidR="00264B52" w:rsidRPr="00384ADB" w:rsidRDefault="00264B52">
            <w:pPr>
              <w:pStyle w:val="InstructionsText"/>
              <w:rPr>
                <w:rStyle w:val="InstructionsTabelleberschrift"/>
                <w:rFonts w:ascii="Times New Roman" w:hAnsi="Times New Roman"/>
                <w:sz w:val="24"/>
              </w:rPr>
            </w:pPr>
          </w:p>
        </w:tc>
      </w:tr>
      <w:tr w:rsidR="00634B45" w:rsidRPr="00384ADB" w:rsidTr="0039317F">
        <w:trPr>
          <w:trHeight w:val="60"/>
        </w:trPr>
        <w:tc>
          <w:tcPr>
            <w:tcW w:w="1418" w:type="dxa"/>
          </w:tcPr>
          <w:p w:rsidR="00634B45" w:rsidRPr="00384ADB" w:rsidRDefault="00634B45"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rsidR="00634B45" w:rsidRPr="00384ADB" w:rsidRDefault="00634B45"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Pavadinimas</w:t>
            </w:r>
          </w:p>
          <w:p w:rsidR="00B0191A" w:rsidRPr="00384ADB" w:rsidRDefault="00B0191A" w:rsidP="0039317F">
            <w:pPr>
              <w:pStyle w:val="InstructionsText"/>
              <w:rPr>
                <w:rStyle w:val="FormatvorlageInstructionsTabelleText"/>
                <w:rFonts w:ascii="Times New Roman" w:hAnsi="Times New Roman"/>
                <w:b/>
                <w:sz w:val="24"/>
              </w:rPr>
            </w:pPr>
          </w:p>
          <w:p w:rsidR="00B0191A" w:rsidRPr="00384ADB" w:rsidRDefault="00634B45"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Jei nurodoma susijusių klientų grupė, nurodomas grupės pavadinimas. V</w:t>
            </w:r>
            <w:r>
              <w:rPr>
                <w:rStyle w:val="FormatvorlageInstructionsTabelleText"/>
                <w:rFonts w:ascii="Times New Roman" w:hAnsi="Times New Roman"/>
                <w:sz w:val="24"/>
              </w:rPr>
              <w:t>i</w:t>
            </w:r>
            <w:r>
              <w:rPr>
                <w:rStyle w:val="FormatvorlageInstructionsTabelleText"/>
                <w:rFonts w:ascii="Times New Roman" w:hAnsi="Times New Roman"/>
                <w:sz w:val="24"/>
              </w:rPr>
              <w:t>sais kitais atvejais nurodomas atskiros sandorio šalies pavadinimas.</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634B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Jei tai yra susijusių klientų grupė, nurodomas patronuojančiosios įmonės p</w:t>
            </w:r>
            <w:r>
              <w:rPr>
                <w:rStyle w:val="FormatvorlageInstructionsTabelleText"/>
                <w:rFonts w:ascii="Times New Roman" w:hAnsi="Times New Roman"/>
                <w:sz w:val="24"/>
              </w:rPr>
              <w:t>a</w:t>
            </w:r>
            <w:r>
              <w:rPr>
                <w:rStyle w:val="FormatvorlageInstructionsTabelleText"/>
                <w:rFonts w:ascii="Times New Roman" w:hAnsi="Times New Roman"/>
                <w:sz w:val="24"/>
              </w:rPr>
              <w:t>vadinimas arba, jei susijusių klientų grupė tokios įmonės neturi, grupės k</w:t>
            </w:r>
            <w:r>
              <w:rPr>
                <w:rStyle w:val="FormatvorlageInstructionsTabelleText"/>
                <w:rFonts w:ascii="Times New Roman" w:hAnsi="Times New Roman"/>
                <w:sz w:val="24"/>
              </w:rPr>
              <w:t>o</w:t>
            </w:r>
            <w:r>
              <w:rPr>
                <w:rStyle w:val="FormatvorlageInstructionsTabelleText"/>
                <w:rFonts w:ascii="Times New Roman" w:hAnsi="Times New Roman"/>
                <w:sz w:val="24"/>
              </w:rPr>
              <w:t>mercinis pavadinimas.</w:t>
            </w:r>
          </w:p>
          <w:p w:rsidR="00B0191A" w:rsidRPr="00384ADB" w:rsidRDefault="00B0191A">
            <w:pPr>
              <w:pStyle w:val="InstructionsText"/>
              <w:rPr>
                <w:rStyle w:val="FormatvorlageInstructionsTabelleText"/>
                <w:rFonts w:ascii="Times New Roman" w:hAnsi="Times New Roman"/>
                <w:b/>
                <w:sz w:val="24"/>
              </w:rPr>
            </w:pPr>
          </w:p>
        </w:tc>
      </w:tr>
      <w:tr w:rsidR="00965DED" w:rsidRPr="00384ADB" w:rsidTr="00634B45">
        <w:tc>
          <w:tcPr>
            <w:tcW w:w="1418" w:type="dxa"/>
          </w:tcPr>
          <w:p w:rsidR="00965DED"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rsidR="00965DED" w:rsidRPr="00384ADB" w:rsidRDefault="00965DED"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LEI kodas</w:t>
            </w:r>
          </w:p>
          <w:p w:rsidR="00B0191A" w:rsidRPr="00384ADB" w:rsidRDefault="00B0191A" w:rsidP="0039317F">
            <w:pPr>
              <w:pStyle w:val="InstructionsText"/>
              <w:rPr>
                <w:rStyle w:val="InstructionsTabelleberschrift"/>
                <w:rFonts w:ascii="Times New Roman" w:hAnsi="Times New Roman"/>
                <w:sz w:val="24"/>
              </w:rPr>
            </w:pPr>
          </w:p>
          <w:p w:rsidR="00B0191A" w:rsidRPr="00384ADB" w:rsidRDefault="00965DED"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Sandorio šalies juridinio asmens identifikatorius. </w:t>
            </w:r>
          </w:p>
          <w:p w:rsidR="00B0191A" w:rsidRPr="00384ADB" w:rsidRDefault="00B0191A">
            <w:pPr>
              <w:pStyle w:val="InstructionsText"/>
              <w:rPr>
                <w:rStyle w:val="InstructionsTabelleberschrift"/>
                <w:rFonts w:ascii="Times New Roman" w:hAnsi="Times New Roman"/>
                <w:sz w:val="24"/>
              </w:rPr>
            </w:pPr>
          </w:p>
        </w:tc>
      </w:tr>
      <w:tr w:rsidR="00965DED" w:rsidRPr="00384ADB" w:rsidTr="00634B45">
        <w:tc>
          <w:tcPr>
            <w:tcW w:w="1418" w:type="dxa"/>
          </w:tcPr>
          <w:p w:rsidR="00965DED"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w:t>
            </w:r>
          </w:p>
        </w:tc>
        <w:tc>
          <w:tcPr>
            <w:tcW w:w="7620" w:type="dxa"/>
          </w:tcPr>
          <w:p w:rsidR="00965DED" w:rsidRPr="00384ADB" w:rsidRDefault="00965DED"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Sandorio šalies įsisteigimo vieta</w:t>
            </w:r>
          </w:p>
          <w:p w:rsidR="00B0191A" w:rsidRPr="00384ADB" w:rsidRDefault="00B0191A" w:rsidP="0039317F">
            <w:pPr>
              <w:pStyle w:val="InstructionsText"/>
              <w:rPr>
                <w:rStyle w:val="FormatvorlageInstructionsTabelleText"/>
                <w:rFonts w:ascii="Times New Roman" w:hAnsi="Times New Roman"/>
                <w:b/>
                <w:sz w:val="24"/>
              </w:rPr>
            </w:pPr>
          </w:p>
          <w:p w:rsidR="00B0191A" w:rsidRPr="00384ADB" w:rsidRDefault="008927C3"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Nurodomas sandorio šalies įsisteigimo šalies ISO 3166-1 dviraidis kodas (įskaitant paskutiniame Eurostato „Mokėjimų balanso vadovo“ leidime n</w:t>
            </w:r>
            <w:r>
              <w:rPr>
                <w:rStyle w:val="FormatvorlageInstructionsTabelleText"/>
                <w:rFonts w:ascii="Times New Roman" w:hAnsi="Times New Roman"/>
                <w:sz w:val="24"/>
              </w:rPr>
              <w:t>u</w:t>
            </w:r>
            <w:r>
              <w:rPr>
                <w:rStyle w:val="FormatvorlageInstructionsTabelleText"/>
                <w:rFonts w:ascii="Times New Roman" w:hAnsi="Times New Roman"/>
                <w:sz w:val="24"/>
              </w:rPr>
              <w:t xml:space="preserve">rodytus tarptautinių organizacijų ISO pseudokodus). </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Jei tai yra susijusių klientų grupė, įsisteigimo vieta nenurodoma. </w:t>
            </w:r>
          </w:p>
          <w:p w:rsidR="00B0191A" w:rsidRPr="00384ADB" w:rsidRDefault="00B0191A">
            <w:pPr>
              <w:pStyle w:val="InstructionsText"/>
              <w:rPr>
                <w:rStyle w:val="FormatvorlageInstructionsTabelleText"/>
                <w:rFonts w:ascii="Times New Roman" w:hAnsi="Times New Roman"/>
                <w:b/>
                <w:sz w:val="24"/>
              </w:rPr>
            </w:pPr>
          </w:p>
        </w:tc>
      </w:tr>
      <w:tr w:rsidR="00965DED" w:rsidRPr="00384ADB" w:rsidTr="00634B45">
        <w:tc>
          <w:tcPr>
            <w:tcW w:w="1418" w:type="dxa"/>
          </w:tcPr>
          <w:p w:rsidR="00965DED"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w:t>
            </w:r>
          </w:p>
        </w:tc>
        <w:tc>
          <w:tcPr>
            <w:tcW w:w="7620" w:type="dxa"/>
          </w:tcPr>
          <w:p w:rsidR="00965DED" w:rsidRPr="00384ADB" w:rsidRDefault="00965DED"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Sandorio šalies sektorius</w:t>
            </w:r>
          </w:p>
          <w:p w:rsidR="00B0191A" w:rsidRPr="00384ADB" w:rsidRDefault="00B0191A" w:rsidP="0039317F">
            <w:pPr>
              <w:pStyle w:val="InstructionsText"/>
              <w:rPr>
                <w:rStyle w:val="FormatvorlageInstructionsTabelleText"/>
                <w:rFonts w:ascii="Times New Roman" w:hAnsi="Times New Roman"/>
                <w:b/>
                <w:sz w:val="24"/>
              </w:rPr>
            </w:pPr>
          </w:p>
          <w:p w:rsidR="00B0191A" w:rsidRPr="00384ADB" w:rsidRDefault="00965DED"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Atsižvelgiant į finansinės informacijos teikimo sistemos FINREP ekonom</w:t>
            </w:r>
            <w:r>
              <w:rPr>
                <w:rStyle w:val="FormatvorlageInstructionsTabelleText"/>
                <w:rFonts w:ascii="Times New Roman" w:hAnsi="Times New Roman"/>
                <w:sz w:val="24"/>
              </w:rPr>
              <w:t>i</w:t>
            </w:r>
            <w:r>
              <w:rPr>
                <w:rStyle w:val="FormatvorlageInstructionsTabelleText"/>
                <w:rFonts w:ascii="Times New Roman" w:hAnsi="Times New Roman"/>
                <w:sz w:val="24"/>
              </w:rPr>
              <w:t>kos sektorių klases, kiekviena sandorio šalis priskiriama prie vieno sekt</w:t>
            </w:r>
            <w:r>
              <w:rPr>
                <w:rStyle w:val="FormatvorlageInstructionsTabelleText"/>
                <w:rFonts w:ascii="Times New Roman" w:hAnsi="Times New Roman"/>
                <w:sz w:val="24"/>
              </w:rPr>
              <w:t>o</w:t>
            </w:r>
            <w:r>
              <w:rPr>
                <w:rStyle w:val="FormatvorlageInstructionsTabelleText"/>
                <w:rFonts w:ascii="Times New Roman" w:hAnsi="Times New Roman"/>
                <w:sz w:val="24"/>
              </w:rPr>
              <w:t>riaus:</w:t>
            </w:r>
          </w:p>
          <w:p w:rsidR="00B0191A" w:rsidRPr="00384ADB" w:rsidRDefault="00B0191A">
            <w:pPr>
              <w:pStyle w:val="InstructionsText"/>
              <w:rPr>
                <w:rStyle w:val="FormatvorlageInstructionsTabelleText"/>
                <w:rFonts w:ascii="Times New Roman" w:hAnsi="Times New Roman"/>
                <w:sz w:val="24"/>
              </w:rPr>
            </w:pPr>
          </w:p>
          <w:p w:rsidR="00470630" w:rsidRDefault="00965DED"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centriniai bankai;</w:t>
            </w:r>
          </w:p>
          <w:p w:rsidR="00470630" w:rsidRDefault="00965DED"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ii)</w:t>
            </w:r>
            <w:r>
              <w:tab/>
            </w:r>
            <w:r>
              <w:rPr>
                <w:rStyle w:val="FormatvorlageInstructionsTabelleText"/>
                <w:rFonts w:ascii="Times New Roman" w:hAnsi="Times New Roman"/>
                <w:sz w:val="24"/>
              </w:rPr>
              <w:t>valdžios sektoriaus institucijos;</w:t>
            </w:r>
          </w:p>
          <w:p w:rsidR="00470630" w:rsidRDefault="00965DED"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iii)</w:t>
            </w:r>
            <w:r>
              <w:tab/>
            </w:r>
            <w:r>
              <w:rPr>
                <w:rStyle w:val="FormatvorlageInstructionsTabelleText"/>
                <w:rFonts w:ascii="Times New Roman" w:hAnsi="Times New Roman"/>
                <w:sz w:val="24"/>
              </w:rPr>
              <w:t>kredito įstaigos;</w:t>
            </w:r>
          </w:p>
          <w:p w:rsidR="00470630" w:rsidRDefault="00965DED"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iv)</w:t>
            </w:r>
            <w:r>
              <w:tab/>
            </w:r>
            <w:r>
              <w:rPr>
                <w:rStyle w:val="FormatvorlageInstructionsTabelleText"/>
                <w:rFonts w:ascii="Times New Roman" w:hAnsi="Times New Roman"/>
                <w:sz w:val="24"/>
              </w:rPr>
              <w:t>KRR 4 straipsnio 1 dalies 2 punkte apibrėžtos investicinės įmonės;</w:t>
            </w:r>
          </w:p>
          <w:p w:rsidR="00470630" w:rsidRDefault="00470630"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w:t>
            </w:r>
            <w:r>
              <w:tab/>
            </w:r>
            <w:r>
              <w:rPr>
                <w:rStyle w:val="FormatvorlageInstructionsTabelleText"/>
                <w:rFonts w:ascii="Times New Roman" w:hAnsi="Times New Roman"/>
                <w:sz w:val="24"/>
              </w:rPr>
              <w:t>kitos finansų bendrovės (išskyrus investicines įmones);</w:t>
            </w:r>
          </w:p>
          <w:p w:rsidR="00470630" w:rsidRDefault="00965DED"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w:t>
            </w:r>
            <w:r>
              <w:tab/>
            </w:r>
            <w:r>
              <w:rPr>
                <w:rStyle w:val="FormatvorlageInstructionsTabelleText"/>
                <w:rFonts w:ascii="Times New Roman" w:hAnsi="Times New Roman"/>
                <w:sz w:val="24"/>
              </w:rPr>
              <w:t>ne finansų bendrovės;</w:t>
            </w:r>
          </w:p>
          <w:p w:rsidR="00B0191A" w:rsidRPr="00384ADB" w:rsidRDefault="00965DED"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vii)</w:t>
            </w:r>
            <w:r>
              <w:tab/>
            </w:r>
            <w:r>
              <w:rPr>
                <w:rStyle w:val="FormatvorlageInstructionsTabelleText"/>
                <w:rFonts w:ascii="Times New Roman" w:hAnsi="Times New Roman"/>
                <w:sz w:val="24"/>
              </w:rPr>
              <w:t xml:space="preserve">namų ūkiai. </w:t>
            </w:r>
          </w:p>
          <w:p w:rsidR="00B0191A" w:rsidRDefault="00B0191A" w:rsidP="0039317F">
            <w:pPr>
              <w:pStyle w:val="InstructionsText"/>
              <w:rPr>
                <w:rStyle w:val="FormatvorlageInstructionsTabelleText"/>
                <w:rFonts w:ascii="Times New Roman" w:hAnsi="Times New Roman"/>
                <w:sz w:val="24"/>
              </w:rPr>
            </w:pPr>
          </w:p>
          <w:p w:rsidR="00B0191A" w:rsidRPr="00384ADB" w:rsidRDefault="00965DED" w:rsidP="000F0ADE">
            <w:pPr>
              <w:pStyle w:val="InstructionsText"/>
              <w:rPr>
                <w:rStyle w:val="FormatvorlageInstructionsTabelleText"/>
                <w:rFonts w:ascii="Times New Roman" w:hAnsi="Times New Roman"/>
                <w:i/>
                <w:sz w:val="24"/>
              </w:rPr>
            </w:pPr>
            <w:r>
              <w:rPr>
                <w:rStyle w:val="FormatvorlageInstructionsTabelleText"/>
                <w:rFonts w:ascii="Times New Roman" w:hAnsi="Times New Roman"/>
                <w:sz w:val="24"/>
              </w:rPr>
              <w:lastRenderedPageBreak/>
              <w:t>Jei tai yra susijusių klientų grupė, sektorius nenurodomas.</w:t>
            </w:r>
          </w:p>
          <w:p w:rsidR="00B0191A" w:rsidRPr="00384ADB" w:rsidRDefault="00B0191A">
            <w:pPr>
              <w:pStyle w:val="InstructionsText"/>
              <w:rPr>
                <w:rStyle w:val="FormatvorlageInstructionsTabelleText"/>
                <w:rFonts w:ascii="Times New Roman" w:hAnsi="Times New Roman"/>
                <w:b/>
                <w:sz w:val="24"/>
              </w:rPr>
            </w:pPr>
          </w:p>
        </w:tc>
      </w:tr>
      <w:tr w:rsidR="00965DED" w:rsidRPr="00384ADB" w:rsidTr="00634B45">
        <w:tc>
          <w:tcPr>
            <w:tcW w:w="1418" w:type="dxa"/>
          </w:tcPr>
          <w:p w:rsidR="00965DED"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060</w:t>
            </w:r>
          </w:p>
        </w:tc>
        <w:tc>
          <w:tcPr>
            <w:tcW w:w="7620" w:type="dxa"/>
          </w:tcPr>
          <w:p w:rsidR="00965DED" w:rsidRPr="00384ADB" w:rsidRDefault="00965DED"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NACE kodas</w:t>
            </w:r>
          </w:p>
          <w:p w:rsidR="00B0191A" w:rsidRPr="00384ADB" w:rsidRDefault="00B0191A" w:rsidP="0039317F">
            <w:pPr>
              <w:pStyle w:val="InstructionsText"/>
              <w:rPr>
                <w:rStyle w:val="FormatvorlageInstructionsTabelleText"/>
                <w:rFonts w:ascii="Times New Roman" w:hAnsi="Times New Roman"/>
                <w:sz w:val="24"/>
              </w:rPr>
            </w:pPr>
          </w:p>
          <w:p w:rsidR="00B0191A" w:rsidRPr="00384ADB" w:rsidRDefault="00965DED"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Ekonomikos sektoriams nurodyti naudojami NACE (Europos Sąjungos ek</w:t>
            </w:r>
            <w:r>
              <w:rPr>
                <w:rStyle w:val="FormatvorlageInstructionsTabelleText"/>
                <w:rFonts w:ascii="Times New Roman" w:hAnsi="Times New Roman"/>
                <w:sz w:val="24"/>
              </w:rPr>
              <w:t>o</w:t>
            </w:r>
            <w:r>
              <w:rPr>
                <w:rStyle w:val="FormatvorlageInstructionsTabelleText"/>
                <w:rFonts w:ascii="Times New Roman" w:hAnsi="Times New Roman"/>
                <w:sz w:val="24"/>
              </w:rPr>
              <w:t xml:space="preserve">nominės veiklos rūšių statistinio klasifikatoriaus, pranc. </w:t>
            </w:r>
            <w:r>
              <w:rPr>
                <w:rStyle w:val="FormatvorlageInstructionsTabelleText"/>
                <w:rFonts w:ascii="Times New Roman" w:hAnsi="Times New Roman"/>
                <w:i/>
                <w:sz w:val="24"/>
              </w:rPr>
              <w:t>Nomenclature statistique des activités économiques dans l’Union européenne</w:t>
            </w:r>
            <w:r>
              <w:rPr>
                <w:rStyle w:val="FormatvorlageInstructionsTabelleText"/>
                <w:rFonts w:ascii="Times New Roman" w:hAnsi="Times New Roman"/>
                <w:sz w:val="24"/>
              </w:rPr>
              <w:t xml:space="preserve">) kodai. </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Ši skiltis taikoma tik sandorių šalims, kurios yra „kitos finansų bendrovės“ ir „ne finansų bendrovės“.  Ne finansų bendrovių NACE kodai nurodomi vi</w:t>
            </w:r>
            <w:r>
              <w:rPr>
                <w:rStyle w:val="FormatvorlageInstructionsTabelleText"/>
                <w:rFonts w:ascii="Times New Roman" w:hAnsi="Times New Roman"/>
                <w:sz w:val="24"/>
              </w:rPr>
              <w:t>e</w:t>
            </w:r>
            <w:r>
              <w:rPr>
                <w:rStyle w:val="FormatvorlageInstructionsTabelleText"/>
                <w:rFonts w:ascii="Times New Roman" w:hAnsi="Times New Roman"/>
                <w:sz w:val="24"/>
              </w:rPr>
              <w:t>no lygmens tikslumu (pvz., „F – Statyba“), o kitų finansų bendrovių – dviejų lygmenų tikslumu, atskirai pateikiant informaciją apie draudimo veiklą (pvz., „K65 – Draudimo, perdraudimo ir pensijų lėšų kaupimo, išskyrus pr</w:t>
            </w:r>
            <w:r>
              <w:rPr>
                <w:rStyle w:val="FormatvorlageInstructionsTabelleText"/>
                <w:rFonts w:ascii="Times New Roman" w:hAnsi="Times New Roman"/>
                <w:sz w:val="24"/>
              </w:rPr>
              <w:t>i</w:t>
            </w:r>
            <w:r>
              <w:rPr>
                <w:rStyle w:val="FormatvorlageInstructionsTabelleText"/>
                <w:rFonts w:ascii="Times New Roman" w:hAnsi="Times New Roman"/>
                <w:sz w:val="24"/>
              </w:rPr>
              <w:t xml:space="preserve">valomąjį socialinį draudimą, veikla“). “ </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Kitų finansų bendrovių ir ne finansų bendrovių ekonomikos sektoriai klas</w:t>
            </w:r>
            <w:r>
              <w:rPr>
                <w:rStyle w:val="FormatvorlageInstructionsTabelleText"/>
                <w:rFonts w:ascii="Times New Roman" w:hAnsi="Times New Roman"/>
                <w:sz w:val="24"/>
              </w:rPr>
              <w:t>i</w:t>
            </w:r>
            <w:r>
              <w:rPr>
                <w:rStyle w:val="FormatvorlageInstructionsTabelleText"/>
                <w:rFonts w:ascii="Times New Roman" w:hAnsi="Times New Roman"/>
                <w:sz w:val="24"/>
              </w:rPr>
              <w:t>fikuojami remiantis FINREP sandorių šalių suskirstymu.</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Jei tai yra susijusių klientų grupė, NACE kodas nenurodomas.</w:t>
            </w:r>
          </w:p>
          <w:p w:rsidR="00B0191A" w:rsidRPr="00384ADB" w:rsidRDefault="00B0191A">
            <w:pPr>
              <w:pStyle w:val="InstructionsText"/>
              <w:rPr>
                <w:rStyle w:val="FormatvorlageInstructionsTabelleText"/>
                <w:rFonts w:ascii="Times New Roman" w:hAnsi="Times New Roman"/>
                <w:b/>
                <w:sz w:val="24"/>
              </w:rPr>
            </w:pPr>
          </w:p>
        </w:tc>
      </w:tr>
      <w:tr w:rsidR="00965DED" w:rsidRPr="00384ADB" w:rsidTr="00634B45">
        <w:tc>
          <w:tcPr>
            <w:tcW w:w="1418" w:type="dxa"/>
          </w:tcPr>
          <w:p w:rsidR="00965DED"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070</w:t>
            </w:r>
          </w:p>
        </w:tc>
        <w:tc>
          <w:tcPr>
            <w:tcW w:w="7620" w:type="dxa"/>
          </w:tcPr>
          <w:p w:rsidR="00965DED" w:rsidRPr="00384ADB" w:rsidRDefault="00965DED"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Sandorio šalies tipas </w:t>
            </w:r>
          </w:p>
          <w:p w:rsidR="00B0191A" w:rsidRPr="00384ADB" w:rsidRDefault="00B0191A" w:rsidP="0039317F">
            <w:pPr>
              <w:pStyle w:val="InstructionsText"/>
              <w:rPr>
                <w:rStyle w:val="FormatvorlageInstructionsTabelleText"/>
                <w:rFonts w:ascii="Times New Roman" w:hAnsi="Times New Roman"/>
                <w:sz w:val="24"/>
              </w:rPr>
            </w:pPr>
          </w:p>
          <w:p w:rsidR="00B0191A" w:rsidRPr="00384ADB" w:rsidRDefault="00965DED" w:rsidP="000F0ADE">
            <w:pPr>
              <w:pStyle w:val="InstructionsText"/>
              <w:rPr>
                <w:rFonts w:eastAsia="Arial"/>
              </w:rPr>
            </w:pPr>
            <w:r>
              <w:t xml:space="preserve">KRR 394 straipsnio 2 dalis </w:t>
            </w:r>
            <w:r>
              <w:rPr>
                <w:i/>
              </w:rPr>
              <w:t xml:space="preserve"> </w:t>
            </w:r>
          </w:p>
          <w:p w:rsidR="00B0191A" w:rsidRPr="00384ADB" w:rsidRDefault="00B0191A">
            <w:pPr>
              <w:pStyle w:val="InstructionsText"/>
              <w:rPr>
                <w:rFonts w:eastAsia="Arial"/>
              </w:rPr>
            </w:pPr>
          </w:p>
          <w:p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Dešimties didžiausių įstaigų pozicijų ir dešimties didžiausių nereguliuoj</w:t>
            </w:r>
            <w:r>
              <w:rPr>
                <w:rStyle w:val="FormatvorlageInstructionsTabelleText"/>
                <w:rFonts w:ascii="Times New Roman" w:hAnsi="Times New Roman"/>
                <w:sz w:val="24"/>
              </w:rPr>
              <w:t>a</w:t>
            </w:r>
            <w:r>
              <w:rPr>
                <w:rStyle w:val="FormatvorlageInstructionsTabelleText"/>
                <w:rFonts w:ascii="Times New Roman" w:hAnsi="Times New Roman"/>
                <w:sz w:val="24"/>
              </w:rPr>
              <w:t xml:space="preserve">mųjų finansų sektoriaus pozicijų subjektų sandorio šalies tipas nurodomas raide „I“ (įstaigos, angl. </w:t>
            </w:r>
            <w:r>
              <w:rPr>
                <w:rStyle w:val="FormatvorlageInstructionsTabelleText"/>
                <w:rFonts w:ascii="Times New Roman" w:hAnsi="Times New Roman"/>
                <w:i/>
                <w:sz w:val="24"/>
              </w:rPr>
              <w:t>institutions</w:t>
            </w:r>
            <w:r>
              <w:rPr>
                <w:rStyle w:val="FormatvorlageInstructionsTabelleText"/>
                <w:rFonts w:ascii="Times New Roman" w:hAnsi="Times New Roman"/>
                <w:sz w:val="24"/>
              </w:rPr>
              <w:t xml:space="preserve">) arba „U“ (nereguliuojamieji finansų sektoriaus subjektai, angl. </w:t>
            </w:r>
            <w:r>
              <w:rPr>
                <w:rStyle w:val="FormatvorlageInstructionsTabelleText"/>
                <w:rFonts w:ascii="Times New Roman" w:hAnsi="Times New Roman"/>
                <w:i/>
                <w:sz w:val="24"/>
              </w:rPr>
              <w:t>unregulated financial sector entities</w:t>
            </w:r>
            <w:r>
              <w:rPr>
                <w:rStyle w:val="FormatvorlageInstructionsTabelleText"/>
                <w:rFonts w:ascii="Times New Roman" w:hAnsi="Times New Roman"/>
                <w:sz w:val="24"/>
              </w:rPr>
              <w:t xml:space="preserve">). </w:t>
            </w:r>
          </w:p>
          <w:p w:rsidR="00B0191A" w:rsidRPr="00384ADB" w:rsidRDefault="00B0191A">
            <w:pPr>
              <w:pStyle w:val="InstructionsText"/>
              <w:rPr>
                <w:rStyle w:val="InstructionsTabelleberschrift"/>
                <w:rFonts w:ascii="Times New Roman" w:hAnsi="Times New Roman"/>
                <w:sz w:val="24"/>
              </w:rPr>
            </w:pPr>
          </w:p>
        </w:tc>
      </w:tr>
    </w:tbl>
    <w:p w:rsidR="00634B45" w:rsidRPr="00384ADB" w:rsidRDefault="00634B45" w:rsidP="0039317F"/>
    <w:p w:rsidR="003105C6" w:rsidRPr="00384ADB" w:rsidRDefault="00296D72" w:rsidP="00C52CE2">
      <w:pPr>
        <w:pStyle w:val="Instructionsberschrift2"/>
        <w:numPr>
          <w:ilvl w:val="0"/>
          <w:numId w:val="22"/>
        </w:numPr>
        <w:rPr>
          <w:rFonts w:ascii="Times New Roman" w:hAnsi="Times New Roman" w:cs="Times New Roman"/>
          <w:sz w:val="24"/>
          <w:u w:val="none"/>
        </w:rPr>
      </w:pPr>
      <w:bookmarkStart w:id="28" w:name="_Toc393461961"/>
      <w:bookmarkStart w:id="29" w:name="_Toc524082067"/>
      <w:r>
        <w:rPr>
          <w:rFonts w:ascii="Times New Roman" w:hAnsi="Times New Roman"/>
          <w:b/>
          <w:sz w:val="24"/>
          <w:u w:val="none"/>
        </w:rPr>
        <w:t>C 28.00. Ne prekybos knygos ir prekybos knygos pozicijos (LE2)</w:t>
      </w:r>
      <w:bookmarkEnd w:id="28"/>
      <w:bookmarkEnd w:id="29"/>
    </w:p>
    <w:p w:rsidR="003105C6" w:rsidRPr="00384ADB" w:rsidRDefault="003105C6" w:rsidP="00C52CE2">
      <w:pPr>
        <w:pStyle w:val="Instructionsberschrift2"/>
        <w:numPr>
          <w:ilvl w:val="1"/>
          <w:numId w:val="22"/>
        </w:numPr>
        <w:rPr>
          <w:rFonts w:ascii="Times New Roman" w:hAnsi="Times New Roman" w:cs="Times New Roman"/>
          <w:sz w:val="24"/>
        </w:rPr>
      </w:pPr>
      <w:bookmarkStart w:id="30" w:name="_Toc308175821"/>
      <w:bookmarkStart w:id="31" w:name="_Toc310414968"/>
      <w:bookmarkStart w:id="32" w:name="_Toc393461962"/>
      <w:bookmarkStart w:id="33" w:name="_Toc524082068"/>
      <w:r>
        <w:rPr>
          <w:rFonts w:ascii="Times New Roman" w:hAnsi="Times New Roman"/>
          <w:sz w:val="24"/>
        </w:rPr>
        <w:t>Nurodymai dėl konkrečių</w:t>
      </w:r>
      <w:bookmarkEnd w:id="30"/>
      <w:bookmarkEnd w:id="31"/>
      <w:r>
        <w:rPr>
          <w:rFonts w:ascii="Times New Roman" w:hAnsi="Times New Roman"/>
          <w:sz w:val="24"/>
        </w:rPr>
        <w:t xml:space="preserve"> skilčių</w:t>
      </w:r>
      <w:bookmarkEnd w:id="32"/>
      <w:bookmarkEnd w:id="33"/>
    </w:p>
    <w:p w:rsidR="00D946DB" w:rsidRPr="00384ADB" w:rsidRDefault="00D946DB" w:rsidP="0039317F">
      <w:pPr>
        <w:pStyle w:val="InstructionsText"/>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D946DB" w:rsidRPr="00384ADB" w:rsidTr="00E17043">
        <w:tc>
          <w:tcPr>
            <w:tcW w:w="1418" w:type="dxa"/>
            <w:shd w:val="clear" w:color="auto" w:fill="D9D9D9"/>
          </w:tcPr>
          <w:p w:rsidR="00D946DB" w:rsidRPr="00384ADB" w:rsidRDefault="005E7263" w:rsidP="0039317F">
            <w:pPr>
              <w:pStyle w:val="InstructionsText"/>
              <w:rPr>
                <w:rStyle w:val="InstructionsTabelleText"/>
                <w:rFonts w:ascii="Times New Roman" w:hAnsi="Times New Roman"/>
                <w:b/>
                <w:sz w:val="24"/>
              </w:rPr>
            </w:pPr>
            <w:r>
              <w:rPr>
                <w:rStyle w:val="InstructionsTabelleText"/>
                <w:rFonts w:ascii="Times New Roman" w:hAnsi="Times New Roman"/>
                <w:b/>
                <w:sz w:val="24"/>
              </w:rPr>
              <w:t>Skiltis</w:t>
            </w:r>
          </w:p>
        </w:tc>
        <w:tc>
          <w:tcPr>
            <w:tcW w:w="7620" w:type="dxa"/>
            <w:shd w:val="clear" w:color="auto" w:fill="D9D9D9"/>
          </w:tcPr>
          <w:p w:rsidR="00B0191A" w:rsidRPr="00384ADB" w:rsidRDefault="003105C6" w:rsidP="0039317F">
            <w:pPr>
              <w:pStyle w:val="InstructionsText"/>
              <w:rPr>
                <w:rStyle w:val="InstructionsTabelleText"/>
                <w:rFonts w:ascii="Times New Roman" w:hAnsi="Times New Roman"/>
                <w:b/>
                <w:bCs/>
                <w:sz w:val="24"/>
              </w:rPr>
            </w:pPr>
            <w:r>
              <w:rPr>
                <w:rStyle w:val="InstructionsTabelleText"/>
                <w:rFonts w:ascii="Times New Roman" w:hAnsi="Times New Roman"/>
                <w:b/>
                <w:sz w:val="24"/>
              </w:rPr>
              <w:t>Nuorodos į teisės aktus ir nurodymai</w:t>
            </w:r>
          </w:p>
        </w:tc>
      </w:tr>
      <w:tr w:rsidR="00D946DB" w:rsidRPr="00384ADB" w:rsidTr="00E17043">
        <w:tc>
          <w:tcPr>
            <w:tcW w:w="1418" w:type="dxa"/>
          </w:tcPr>
          <w:p w:rsidR="00D946DB"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p w:rsidR="00CA42A9" w:rsidRPr="00384ADB" w:rsidRDefault="00CA42A9" w:rsidP="0039317F">
            <w:pPr>
              <w:pStyle w:val="InstructionsText"/>
              <w:rPr>
                <w:rStyle w:val="FormatvorlageInstructionsTabelleText"/>
                <w:rFonts w:ascii="Times New Roman" w:hAnsi="Times New Roman"/>
                <w:b/>
                <w:sz w:val="24"/>
              </w:rPr>
            </w:pPr>
          </w:p>
        </w:tc>
        <w:tc>
          <w:tcPr>
            <w:tcW w:w="7620" w:type="dxa"/>
          </w:tcPr>
          <w:p w:rsidR="00B0191A" w:rsidRPr="00384ADB" w:rsidRDefault="00394753"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Kodas</w:t>
            </w:r>
          </w:p>
          <w:p w:rsidR="00B0191A" w:rsidRPr="00384ADB" w:rsidRDefault="00B0191A" w:rsidP="000F0ADE">
            <w:pPr>
              <w:pStyle w:val="InstructionsText"/>
              <w:rPr>
                <w:rStyle w:val="FormatvorlageInstructionsTabelleText"/>
                <w:rFonts w:ascii="Times New Roman" w:hAnsi="Times New Roman"/>
                <w:b/>
                <w:sz w:val="24"/>
              </w:rPr>
            </w:pPr>
          </w:p>
          <w:p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Jeigu susijusių klientų grupė turi nacionalinio lygmens unikalų kodą, šis k</w:t>
            </w:r>
            <w:r>
              <w:rPr>
                <w:rStyle w:val="FormatvorlageInstructionsTabelleText"/>
                <w:rFonts w:ascii="Times New Roman" w:hAnsi="Times New Roman"/>
                <w:sz w:val="24"/>
              </w:rPr>
              <w:t>o</w:t>
            </w:r>
            <w:r>
              <w:rPr>
                <w:rStyle w:val="FormatvorlageInstructionsTabelleText"/>
                <w:rFonts w:ascii="Times New Roman" w:hAnsi="Times New Roman"/>
                <w:sz w:val="24"/>
              </w:rPr>
              <w:t>das nurodomas kaip susijusių klientų grupės kodas. Jeigu nacionalinio ly</w:t>
            </w:r>
            <w:r>
              <w:rPr>
                <w:rStyle w:val="FormatvorlageInstructionsTabelleText"/>
                <w:rFonts w:ascii="Times New Roman" w:hAnsi="Times New Roman"/>
                <w:sz w:val="24"/>
              </w:rPr>
              <w:t>g</w:t>
            </w:r>
            <w:r>
              <w:rPr>
                <w:rStyle w:val="FormatvorlageInstructionsTabelleText"/>
                <w:rFonts w:ascii="Times New Roman" w:hAnsi="Times New Roman"/>
                <w:sz w:val="24"/>
              </w:rPr>
              <w:t>mens unikalaus kodo nėra, nurodomas patronuojančiosios įmonės kodas, p</w:t>
            </w:r>
            <w:r>
              <w:rPr>
                <w:rStyle w:val="FormatvorlageInstructionsTabelleText"/>
                <w:rFonts w:ascii="Times New Roman" w:hAnsi="Times New Roman"/>
                <w:sz w:val="24"/>
              </w:rPr>
              <w:t>a</w:t>
            </w:r>
            <w:r>
              <w:rPr>
                <w:rStyle w:val="FormatvorlageInstructionsTabelleText"/>
                <w:rFonts w:ascii="Times New Roman" w:hAnsi="Times New Roman"/>
                <w:sz w:val="24"/>
              </w:rPr>
              <w:t>teiktas C 27.00 formoje.</w:t>
            </w:r>
          </w:p>
          <w:p w:rsidR="007449CB" w:rsidRPr="007449CB" w:rsidRDefault="007449CB">
            <w:pPr>
              <w:pStyle w:val="InstructionsText"/>
              <w:rPr>
                <w:rStyle w:val="FormatvorlageInstructionsTabelleText"/>
                <w:rFonts w:ascii="Times New Roman" w:hAnsi="Times New Roman"/>
                <w:sz w:val="24"/>
              </w:rPr>
            </w:pPr>
          </w:p>
          <w:p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Tais atvejais, kai susijusių klientų grupėje patronuojančiosios įmonės nėra, nurodomas atskiro subjekto, kurį įstaiga laiko svarbiausiu susijusių klientų grupėje, kodas. Visais kitais atvejais nurodomas atskiros sandorio šalies k</w:t>
            </w:r>
            <w:r>
              <w:rPr>
                <w:rStyle w:val="FormatvorlageInstructionsTabelleText"/>
                <w:rFonts w:ascii="Times New Roman" w:hAnsi="Times New Roman"/>
                <w:sz w:val="24"/>
              </w:rPr>
              <w:t>o</w:t>
            </w:r>
            <w:r>
              <w:rPr>
                <w:rStyle w:val="FormatvorlageInstructionsTabelleText"/>
                <w:rFonts w:ascii="Times New Roman" w:hAnsi="Times New Roman"/>
                <w:sz w:val="24"/>
              </w:rPr>
              <w:t>das.</w:t>
            </w:r>
          </w:p>
          <w:p w:rsidR="007449CB" w:rsidRPr="007449CB" w:rsidRDefault="007449CB">
            <w:pPr>
              <w:pStyle w:val="InstructionsText"/>
              <w:rPr>
                <w:rStyle w:val="FormatvorlageInstructionsTabelleText"/>
                <w:rFonts w:ascii="Times New Roman" w:hAnsi="Times New Roman"/>
                <w:sz w:val="24"/>
              </w:rPr>
            </w:pPr>
          </w:p>
          <w:p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Šie kodai nuosekliai naudojami visą laiką. </w:t>
            </w:r>
          </w:p>
          <w:p w:rsidR="007449CB" w:rsidRPr="007449CB" w:rsidRDefault="007449CB">
            <w:pPr>
              <w:pStyle w:val="InstructionsText"/>
              <w:rPr>
                <w:rStyle w:val="FormatvorlageInstructionsTabelleText"/>
                <w:rFonts w:ascii="Times New Roman" w:hAnsi="Times New Roman"/>
                <w:sz w:val="24"/>
              </w:rPr>
            </w:pPr>
          </w:p>
          <w:p w:rsid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Kodo sandara skiriasi atsižvelgiant į nacionalinę informacijos teikimo sist</w:t>
            </w:r>
            <w:r>
              <w:rPr>
                <w:rStyle w:val="FormatvorlageInstructionsTabelleText"/>
                <w:rFonts w:ascii="Times New Roman" w:hAnsi="Times New Roman"/>
                <w:sz w:val="24"/>
              </w:rPr>
              <w:t>e</w:t>
            </w:r>
            <w:r>
              <w:rPr>
                <w:rStyle w:val="FormatvorlageInstructionsTabelleText"/>
                <w:rFonts w:ascii="Times New Roman" w:hAnsi="Times New Roman"/>
                <w:sz w:val="24"/>
              </w:rPr>
              <w:t>mą, nebent ES taikomi vienodi kodai.</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020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Grupė ar atskiras klientas</w:t>
            </w:r>
          </w:p>
          <w:p w:rsidR="00B0191A" w:rsidRPr="00384ADB" w:rsidRDefault="00B0191A" w:rsidP="0039317F">
            <w:pPr>
              <w:pStyle w:val="InstructionsText"/>
              <w:rPr>
                <w:rStyle w:val="FormatvorlageInstructionsTabelleText"/>
                <w:rFonts w:ascii="Times New Roman" w:hAnsi="Times New Roman"/>
                <w:b/>
                <w:sz w:val="24"/>
              </w:rPr>
            </w:pPr>
          </w:p>
          <w:p w:rsidR="00B0191A"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Teikdama informaciją apie atskirų klientų pozicijas įstaiga nurodo „1“, o apie susijusių klientų grupių pozicijas – „2“.</w:t>
            </w:r>
          </w:p>
          <w:p w:rsidR="00B0191A" w:rsidRPr="00384ADB" w:rsidRDefault="00B0191A" w:rsidP="000F0ADE">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Sandoriai, susiję su pagrindinio turto pozicija </w:t>
            </w:r>
          </w:p>
          <w:p w:rsidR="00B0191A" w:rsidRPr="00384ADB" w:rsidRDefault="00B0191A" w:rsidP="0039317F">
            <w:pPr>
              <w:pStyle w:val="InstructionsText"/>
              <w:rPr>
                <w:rStyle w:val="FormatvorlageInstructionsTabelleText"/>
                <w:rFonts w:ascii="Times New Roman" w:hAnsi="Times New Roman"/>
                <w:sz w:val="24"/>
              </w:rPr>
            </w:pPr>
          </w:p>
          <w:p w:rsidR="00B0191A"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390 straipsnio 7 dalis</w:t>
            </w:r>
          </w:p>
          <w:p w:rsidR="00B0191A" w:rsidRPr="00384ADB" w:rsidRDefault="00B0191A" w:rsidP="000F0ADE">
            <w:pPr>
              <w:pStyle w:val="InstructionsText"/>
              <w:rPr>
                <w:rStyle w:val="FormatvorlageInstructionsTabelleText"/>
                <w:rFonts w:ascii="Times New Roman" w:hAnsi="Times New Roman"/>
                <w:sz w:val="24"/>
              </w:rPr>
            </w:pPr>
          </w:p>
          <w:p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Remiantis kitomis nacionalinių kompetentingų institucijų techninėmis spec</w:t>
            </w:r>
            <w:r>
              <w:rPr>
                <w:rStyle w:val="FormatvorlageInstructionsTabelleText"/>
                <w:rFonts w:ascii="Times New Roman" w:hAnsi="Times New Roman"/>
                <w:sz w:val="24"/>
              </w:rPr>
              <w:t>i</w:t>
            </w:r>
            <w:r>
              <w:rPr>
                <w:rStyle w:val="FormatvorlageInstructionsTabelleText"/>
                <w:rFonts w:ascii="Times New Roman" w:hAnsi="Times New Roman"/>
                <w:sz w:val="24"/>
              </w:rPr>
              <w:t xml:space="preserve">fikacijomis, jeigu įstaiga turi nurodytos sandorio šalies pozicijų dėl sandorio, susijusio su pagrindinio turto pozicija, nurodomas „Taip“, kitu atveju – „Ne“ atitikmuo. </w:t>
            </w:r>
          </w:p>
          <w:p w:rsidR="00B0191A" w:rsidRPr="00384ADB" w:rsidRDefault="00B0191A">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040–180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Pradinės pozicijos</w:t>
            </w:r>
          </w:p>
          <w:p w:rsidR="00B0191A" w:rsidRPr="00384ADB" w:rsidRDefault="00B0191A" w:rsidP="0039317F">
            <w:pPr>
              <w:pStyle w:val="InstructionsText"/>
              <w:rPr>
                <w:rStyle w:val="InstructionsTabelleberschrift"/>
                <w:rFonts w:ascii="Times New Roman" w:hAnsi="Times New Roman"/>
                <w:b w:val="0"/>
                <w:sz w:val="24"/>
                <w:u w:val="none"/>
              </w:rPr>
            </w:pPr>
          </w:p>
          <w:p w:rsidR="00B0191A" w:rsidRPr="00384ADB" w:rsidRDefault="00BB3751" w:rsidP="000F0ADE">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KRR</w:t>
            </w:r>
            <w:r>
              <w:rPr>
                <w:rStyle w:val="InstructionsTabelleberschrift"/>
                <w:rFonts w:ascii="Times New Roman" w:hAnsi="Times New Roman"/>
                <w:b w:val="0"/>
                <w:sz w:val="24"/>
                <w:u w:val="none"/>
              </w:rPr>
              <w:t xml:space="preserve"> 24, 389, 390 ir 392 straipsniai.</w:t>
            </w:r>
          </w:p>
          <w:p w:rsidR="00B0191A" w:rsidRPr="00384ADB" w:rsidRDefault="00B0191A" w:rsidP="000F0ADE">
            <w:pPr>
              <w:pStyle w:val="InstructionsText"/>
              <w:rPr>
                <w:rStyle w:val="InstructionsTabelleberschrift"/>
                <w:rFonts w:ascii="Times New Roman" w:hAnsi="Times New Roman"/>
                <w:b w:val="0"/>
                <w:sz w:val="24"/>
                <w:u w:val="none"/>
              </w:rPr>
            </w:pPr>
          </w:p>
          <w:p w:rsidR="00B0191A" w:rsidRPr="0039317F" w:rsidRDefault="00C92E09">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Šioje skilčių grupėje įstaiga nurodo tiesioginių pozicijų, netiesioginių pozic</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jų ir papildomų pozicijų, atsirandančių dėl sandorių, susijusių su pagrindinio turto pozicija, pradines pozicijas.</w:t>
            </w:r>
          </w:p>
          <w:p w:rsidR="00B0191A" w:rsidRPr="0039317F" w:rsidRDefault="00B0191A">
            <w:pPr>
              <w:pStyle w:val="InstructionsText"/>
              <w:rPr>
                <w:rStyle w:val="InstructionsTabelleberschrift"/>
                <w:rFonts w:ascii="Times New Roman" w:hAnsi="Times New Roman"/>
                <w:b w:val="0"/>
                <w:bCs w:val="0"/>
                <w:sz w:val="24"/>
                <w:u w:val="none"/>
              </w:rPr>
            </w:pPr>
          </w:p>
          <w:p w:rsidR="00B0191A" w:rsidRPr="0039317F" w:rsidRDefault="00BB3751" w:rsidP="0039317F">
            <w:pPr>
              <w:pStyle w:val="InstructionsText"/>
            </w:pPr>
            <w:r>
              <w:t xml:space="preserve">Pagal </w:t>
            </w:r>
            <w:r>
              <w:rPr>
                <w:rStyle w:val="FormatvorlageInstructionsTabelleText"/>
                <w:rFonts w:ascii="Times New Roman" w:hAnsi="Times New Roman"/>
                <w:sz w:val="24"/>
              </w:rPr>
              <w:t>KRR</w:t>
            </w:r>
            <w:r>
              <w:t xml:space="preserve"> 389 straipsnį turtas ir nebalansiniai straipsniai naudojami neta</w:t>
            </w:r>
            <w:r>
              <w:t>i</w:t>
            </w:r>
            <w:r>
              <w:t xml:space="preserve">kant nei rizikos koeficientų, nei rizikos laipsnių. Konkrečiai nebalansiniams straipsniams kredito perskaičiavimo koeficientai netaikomi.  </w:t>
            </w:r>
          </w:p>
          <w:p w:rsidR="00B0191A" w:rsidRPr="0039317F" w:rsidRDefault="00B0191A" w:rsidP="0039317F">
            <w:pPr>
              <w:pStyle w:val="InstructionsText"/>
            </w:pPr>
          </w:p>
          <w:p w:rsidR="00B0191A" w:rsidRPr="0039317F" w:rsidRDefault="00BB3751" w:rsidP="0039317F">
            <w:pPr>
              <w:pStyle w:val="InstructionsText"/>
            </w:pPr>
            <w:r>
              <w:t>Šiose skiltyse nurodoma pradinė pozicija, t. y. pozicijos vertė neatsižvelgiant į 210 skiltyje atskaitomus vertės koregavimus ir atidėjinius.</w:t>
            </w:r>
          </w:p>
          <w:p w:rsidR="00B0191A" w:rsidRPr="0039317F" w:rsidRDefault="00B0191A" w:rsidP="0039317F">
            <w:pPr>
              <w:pStyle w:val="InstructionsText"/>
            </w:pPr>
          </w:p>
          <w:p w:rsidR="00B0191A" w:rsidRPr="0039317F" w:rsidRDefault="00C92E09" w:rsidP="0039317F">
            <w:pPr>
              <w:pStyle w:val="InstructionsText"/>
            </w:pPr>
            <w:r>
              <w:t xml:space="preserve">Pozicijos vertės apibrėžtis ir apskaičiavimas pateiktas </w:t>
            </w:r>
            <w:r>
              <w:rPr>
                <w:rStyle w:val="FormatvorlageInstructionsTabelleText"/>
                <w:rFonts w:ascii="Times New Roman" w:hAnsi="Times New Roman"/>
                <w:sz w:val="24"/>
              </w:rPr>
              <w:t>KRR</w:t>
            </w:r>
            <w:r>
              <w:t xml:space="preserve"> 389 ir 390 straipsniuose. Kaip nustatyta </w:t>
            </w:r>
            <w:r>
              <w:rPr>
                <w:rStyle w:val="FormatvorlageInstructionsTabelleText"/>
                <w:rFonts w:ascii="Times New Roman" w:hAnsi="Times New Roman"/>
                <w:sz w:val="24"/>
              </w:rPr>
              <w:t>KRR</w:t>
            </w:r>
            <w:r>
              <w:t xml:space="preserve"> 24 straipsnyje, turto ir nebalansinių straipsnių vertinimas atliekamas pagal įstaigai taikomą apskaitos sistemą.</w:t>
            </w:r>
          </w:p>
          <w:p w:rsidR="00B0191A" w:rsidRPr="0039317F" w:rsidRDefault="00B0191A" w:rsidP="0039317F">
            <w:pPr>
              <w:pStyle w:val="InstructionsText"/>
            </w:pPr>
          </w:p>
          <w:p w:rsidR="00B0191A" w:rsidRPr="0039317F" w:rsidRDefault="00BB3751" w:rsidP="0039317F">
            <w:pPr>
              <w:pStyle w:val="InstructionsText"/>
            </w:pPr>
            <w:r>
              <w:t>Į šias skiltis įtraukiamos iš nuosavų lėšų atskaitytos pozicijos, išskyrus poz</w:t>
            </w:r>
            <w:r>
              <w:t>i</w:t>
            </w:r>
            <w:r>
              <w:t>cijas pagal 390 straipsnio 6 dalies e punktą. Šios pozicijos atskaitomos 200 skiltyje.</w:t>
            </w:r>
          </w:p>
          <w:p w:rsidR="00B0191A" w:rsidRPr="0039317F" w:rsidRDefault="00B0191A" w:rsidP="0039317F">
            <w:pPr>
              <w:pStyle w:val="InstructionsText"/>
            </w:pPr>
          </w:p>
          <w:p w:rsidR="00B0191A" w:rsidRPr="0039317F" w:rsidRDefault="00BB3751" w:rsidP="0039317F">
            <w:pPr>
              <w:pStyle w:val="InstructionsText"/>
            </w:pPr>
            <w:r>
              <w:t xml:space="preserve">Į šias skiltis neįtraukiamos </w:t>
            </w:r>
            <w:r>
              <w:rPr>
                <w:rStyle w:val="FormatvorlageInstructionsTabelleText"/>
                <w:rFonts w:ascii="Times New Roman" w:hAnsi="Times New Roman"/>
                <w:sz w:val="24"/>
              </w:rPr>
              <w:t>KRR</w:t>
            </w:r>
            <w:r>
              <w:t xml:space="preserve"> 390 straipsnio 6 dalies a–d punktuose nur</w:t>
            </w:r>
            <w:r>
              <w:t>o</w:t>
            </w:r>
            <w:r>
              <w:t xml:space="preserve">dytos pozicijos. </w:t>
            </w:r>
          </w:p>
          <w:p w:rsidR="00B0191A" w:rsidRPr="0039317F" w:rsidRDefault="00B0191A" w:rsidP="0039317F">
            <w:pPr>
              <w:pStyle w:val="InstructionsText"/>
            </w:pPr>
          </w:p>
          <w:p w:rsidR="00B0191A" w:rsidRPr="0039317F" w:rsidRDefault="00BB3751" w:rsidP="0039317F">
            <w:pPr>
              <w:pStyle w:val="InstructionsText"/>
              <w:rPr>
                <w:rFonts w:eastAsia="Arial"/>
              </w:rPr>
            </w:pPr>
            <w:r>
              <w:t xml:space="preserve">Į pradines pozicijas įtraukiamas bet koks turtas ir nebalansiniai straipsniai pagal </w:t>
            </w:r>
            <w:r>
              <w:rPr>
                <w:rStyle w:val="FormatvorlageInstructionsTabelleText"/>
                <w:rFonts w:ascii="Times New Roman" w:hAnsi="Times New Roman"/>
                <w:sz w:val="24"/>
              </w:rPr>
              <w:t>KRR</w:t>
            </w:r>
            <w:r>
              <w:t xml:space="preserve"> 400 straipsnį. Taikant </w:t>
            </w:r>
            <w:r>
              <w:rPr>
                <w:rStyle w:val="FormatvorlageInstructionsTabelleText"/>
                <w:rFonts w:ascii="Times New Roman" w:hAnsi="Times New Roman"/>
                <w:sz w:val="24"/>
              </w:rPr>
              <w:t>KRR</w:t>
            </w:r>
            <w:r>
              <w:t xml:space="preserve"> 395 straipsnio 1 dalį 320 skiltyje a</w:t>
            </w:r>
            <w:r>
              <w:t>t</w:t>
            </w:r>
            <w:r>
              <w:t>skaitomos išimtys.</w:t>
            </w:r>
          </w:p>
          <w:p w:rsidR="00B0191A" w:rsidRPr="00384ADB" w:rsidRDefault="00B0191A" w:rsidP="0039317F">
            <w:pPr>
              <w:pStyle w:val="InstructionsText"/>
              <w:rPr>
                <w:rFonts w:eastAsia="Arial"/>
              </w:rPr>
            </w:pPr>
          </w:p>
          <w:p w:rsidR="00B0191A" w:rsidRPr="00384ADB" w:rsidRDefault="00BB3751" w:rsidP="000F0ADE">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Įtraukiamos ne prekybos knygos ir prekybos knygos pozicijos.</w:t>
            </w:r>
          </w:p>
          <w:p w:rsidR="00B0191A" w:rsidRPr="00384ADB" w:rsidRDefault="00B0191A">
            <w:pPr>
              <w:pStyle w:val="InstructionsText"/>
              <w:rPr>
                <w:rStyle w:val="InstructionsTabelleberschrift"/>
                <w:rFonts w:ascii="Times New Roman" w:hAnsi="Times New Roman"/>
                <w:b w:val="0"/>
                <w:bCs w:val="0"/>
                <w:sz w:val="24"/>
                <w:u w:val="none"/>
              </w:rPr>
            </w:pPr>
          </w:p>
          <w:p w:rsidR="00B0191A" w:rsidRPr="00384ADB" w:rsidRDefault="00BB3751">
            <w:pPr>
              <w:pStyle w:val="InstructionsText"/>
            </w:pPr>
            <w:r>
              <w:rPr>
                <w:rStyle w:val="InstructionsTabelleberschrift"/>
                <w:rFonts w:ascii="Times New Roman" w:hAnsi="Times New Roman"/>
                <w:b w:val="0"/>
                <w:sz w:val="24"/>
                <w:u w:val="none"/>
              </w:rPr>
              <w:lastRenderedPageBreak/>
              <w:t>Jei skirstant pozicijas pagal finansines priemones dėl užskaitos susitarimų atsirandančios skirtingos pozicijos sudaro vieną poziciją, ji priskiriama prie finansinės priemonės, atitinkančios pagrindinį į užskaitos susitarimą įtrauktą turtą (taip pat žr. įvadinį skirsnį).</w:t>
            </w:r>
          </w:p>
          <w:p w:rsidR="00B0191A" w:rsidRPr="00384ADB" w:rsidRDefault="00B0191A">
            <w:pPr>
              <w:pStyle w:val="InstructionsText"/>
              <w:rPr>
                <w:rStyle w:val="InstructionsTabelleberschrift"/>
                <w:rFonts w:ascii="Times New Roman" w:hAnsi="Times New Roman"/>
                <w:b w:val="0"/>
                <w:sz w:val="24"/>
                <w:u w:val="none"/>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040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Visa pradinė pozicija</w:t>
            </w:r>
          </w:p>
          <w:p w:rsidR="00B0191A" w:rsidRPr="00384ADB" w:rsidRDefault="00B0191A" w:rsidP="0039317F">
            <w:pPr>
              <w:pStyle w:val="InstructionsText"/>
            </w:pPr>
          </w:p>
          <w:p w:rsidR="00B0191A" w:rsidRPr="00384ADB" w:rsidRDefault="00BB3751"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Įstaiga nurodo tiesioginių ir netiesioginių pozicijų sumą, taip pat</w:t>
            </w:r>
            <w:r>
              <w:t xml:space="preserve"> </w:t>
            </w:r>
            <w:r>
              <w:rPr>
                <w:rStyle w:val="FormatvorlageInstructionsTabelleText"/>
                <w:rFonts w:ascii="Times New Roman" w:hAnsi="Times New Roman"/>
                <w:sz w:val="24"/>
              </w:rPr>
              <w:t>papildomas pozicijas, atsirandančias dėl sandorių, susijusių su pagrindinio turto pozicija</w:t>
            </w:r>
            <w:r>
              <w:rPr>
                <w:rStyle w:val="InstructionsTabelleberschrift"/>
                <w:rFonts w:ascii="Times New Roman" w:hAnsi="Times New Roman"/>
                <w:b w:val="0"/>
                <w:sz w:val="24"/>
                <w:u w:val="none"/>
              </w:rPr>
              <w:t>.</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Iš jos: pozicijos esant įsipareigojimų neįvykdymui</w:t>
            </w:r>
          </w:p>
          <w:p w:rsidR="00B0191A" w:rsidRPr="00384ADB" w:rsidRDefault="00B0191A" w:rsidP="0039317F">
            <w:pPr>
              <w:pStyle w:val="InstructionsText"/>
              <w:rPr>
                <w:rStyle w:val="FormatvorlageInstructionsTabelleText"/>
                <w:rFonts w:ascii="Times New Roman" w:hAnsi="Times New Roman"/>
                <w:sz w:val="24"/>
              </w:rPr>
            </w:pPr>
          </w:p>
          <w:p w:rsidR="00B0191A"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178 straipsnis.</w:t>
            </w:r>
          </w:p>
          <w:p w:rsidR="00B0191A" w:rsidRPr="00384ADB" w:rsidRDefault="00B0191A">
            <w:pPr>
              <w:pStyle w:val="InstructionsText"/>
              <w:rPr>
                <w:rStyle w:val="FormatvorlageInstructionsTabelleText"/>
                <w:rFonts w:ascii="Times New Roman" w:hAnsi="Times New Roman"/>
                <w:b/>
                <w:sz w:val="24"/>
              </w:rPr>
            </w:pPr>
          </w:p>
          <w:p w:rsidR="00B0191A" w:rsidRPr="00384ADB" w:rsidRDefault="009B2EE9">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Įstaiga nurodo visos pradinės pozicijos dalį</w:t>
            </w:r>
            <w:r>
              <w:rPr>
                <w:rStyle w:val="FormatvorlageInstructionsTabelleText"/>
                <w:rFonts w:ascii="Times New Roman" w:hAnsi="Times New Roman"/>
                <w:sz w:val="24"/>
              </w:rPr>
              <w:t>, kurią sudaro neįvykdytos poz</w:t>
            </w:r>
            <w:r>
              <w:rPr>
                <w:rStyle w:val="FormatvorlageInstructionsTabelleText"/>
                <w:rFonts w:ascii="Times New Roman" w:hAnsi="Times New Roman"/>
                <w:sz w:val="24"/>
              </w:rPr>
              <w:t>i</w:t>
            </w:r>
            <w:r>
              <w:rPr>
                <w:rStyle w:val="FormatvorlageInstructionsTabelleText"/>
                <w:rFonts w:ascii="Times New Roman" w:hAnsi="Times New Roman"/>
                <w:sz w:val="24"/>
              </w:rPr>
              <w:t xml:space="preserve">cijos. </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060–110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Tiesioginės pozicijos</w:t>
            </w:r>
          </w:p>
          <w:p w:rsidR="00B0191A" w:rsidRPr="00384ADB" w:rsidRDefault="00B0191A" w:rsidP="0039317F">
            <w:pPr>
              <w:pStyle w:val="InstructionsText"/>
              <w:rPr>
                <w:rStyle w:val="InstructionsTabelleberschrift"/>
                <w:rFonts w:ascii="Times New Roman" w:hAnsi="Times New Roman"/>
                <w:sz w:val="24"/>
                <w:u w:val="none"/>
              </w:rPr>
            </w:pPr>
          </w:p>
          <w:p w:rsidR="00B0191A" w:rsidRPr="00384ADB" w:rsidRDefault="00BB3751"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Tiesioginės pozicijos – tiesioginio skolininko pagrindu atsirandančios poz</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cijos.</w:t>
            </w:r>
          </w:p>
          <w:p w:rsidR="00B0191A" w:rsidRPr="00384ADB" w:rsidRDefault="00B0191A">
            <w:pPr>
              <w:pStyle w:val="InstructionsText"/>
              <w:rPr>
                <w:rStyle w:val="InstructionsTabelleberschrift"/>
                <w:rFonts w:ascii="Times New Roman" w:hAnsi="Times New Roman"/>
                <w:sz w:val="24"/>
                <w:u w:val="none"/>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060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Skolos priemonės</w:t>
            </w:r>
          </w:p>
          <w:p w:rsidR="00B0191A" w:rsidRPr="00384ADB" w:rsidRDefault="00B0191A" w:rsidP="0039317F">
            <w:pPr>
              <w:pStyle w:val="InstructionsText"/>
            </w:pPr>
          </w:p>
          <w:p w:rsidR="00B0191A" w:rsidRPr="0039317F" w:rsidRDefault="00193DDC" w:rsidP="0039317F">
            <w:pPr>
              <w:pStyle w:val="InstructionsText"/>
            </w:pPr>
            <w:r>
              <w:t>Reglamento (ES) Nr. 1071/2013 (ECB/2013/33) II priedo 2 dalies lentelės 2 ir 3 kategorijos.</w:t>
            </w:r>
          </w:p>
          <w:p w:rsidR="00B0191A" w:rsidRPr="0039317F" w:rsidRDefault="00B0191A" w:rsidP="0039317F">
            <w:pPr>
              <w:pStyle w:val="InstructionsText"/>
            </w:pPr>
          </w:p>
          <w:p w:rsidR="00B0191A" w:rsidRPr="0039317F" w:rsidRDefault="00BB3751"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Į skolos priemones įtraukiami skolos vertybiniai popieriai, paskolos ir i</w:t>
            </w:r>
            <w:r>
              <w:rPr>
                <w:rStyle w:val="FormatvorlageInstructionsTabelleText"/>
                <w:rFonts w:ascii="Times New Roman" w:hAnsi="Times New Roman"/>
                <w:sz w:val="24"/>
              </w:rPr>
              <w:t>š</w:t>
            </w:r>
            <w:r>
              <w:rPr>
                <w:rStyle w:val="FormatvorlageInstructionsTabelleText"/>
                <w:rFonts w:ascii="Times New Roman" w:hAnsi="Times New Roman"/>
                <w:sz w:val="24"/>
              </w:rPr>
              <w:t xml:space="preserve">ankstiniai mokėjimai. </w:t>
            </w:r>
          </w:p>
          <w:p w:rsidR="00B0191A" w:rsidRPr="0039317F" w:rsidRDefault="00B0191A" w:rsidP="0039317F">
            <w:pPr>
              <w:pStyle w:val="InstructionsText"/>
              <w:rPr>
                <w:rStyle w:val="FormatvorlageInstructionsTabelleText"/>
                <w:rFonts w:ascii="Times New Roman" w:hAnsi="Times New Roman"/>
                <w:sz w:val="24"/>
              </w:rPr>
            </w:pPr>
          </w:p>
          <w:p w:rsidR="00B0191A" w:rsidRPr="0039317F" w:rsidRDefault="00BB3751" w:rsidP="0039317F">
            <w:pPr>
              <w:pStyle w:val="InstructionsText"/>
            </w:pPr>
            <w:r>
              <w:rPr>
                <w:rStyle w:val="FormatvorlageInstructionsTabelleText"/>
                <w:rFonts w:ascii="Times New Roman" w:hAnsi="Times New Roman"/>
                <w:sz w:val="24"/>
              </w:rPr>
              <w:t>Į šią skiltį įtraukiamos tos finansinės priemonės, kurios pagal ECB/2013/33</w:t>
            </w:r>
            <w:r>
              <w:t xml:space="preserve"> priskiriamos prie kategorijos „Paskolos, kurių pradinis terminas – iki vien</w:t>
            </w:r>
            <w:r>
              <w:t>e</w:t>
            </w:r>
            <w:r>
              <w:t>rių metų imtinai / nuo vienerių metų ir iki penkerių metų imtinai / nuo pe</w:t>
            </w:r>
            <w:r>
              <w:t>n</w:t>
            </w:r>
            <w:r>
              <w:t xml:space="preserve">kerių metų“ </w:t>
            </w:r>
            <w:r>
              <w:rPr>
                <w:rStyle w:val="FormatvorlageInstructionsTabelleText"/>
                <w:rFonts w:ascii="Times New Roman" w:hAnsi="Times New Roman"/>
                <w:sz w:val="24"/>
              </w:rPr>
              <w:t>arba prie</w:t>
            </w:r>
            <w:r>
              <w:t xml:space="preserve"> kategorijos „Skolos vertybiniai popieriai“.</w:t>
            </w:r>
          </w:p>
          <w:p w:rsidR="00B0191A" w:rsidRPr="0039317F" w:rsidRDefault="00B0191A" w:rsidP="0039317F">
            <w:pPr>
              <w:pStyle w:val="InstructionsText"/>
              <w:rPr>
                <w:rStyle w:val="FormatvorlageInstructionsTabelleText"/>
                <w:rFonts w:ascii="Times New Roman" w:hAnsi="Times New Roman"/>
                <w:sz w:val="24"/>
              </w:rPr>
            </w:pPr>
          </w:p>
          <w:p w:rsidR="00B0191A" w:rsidRPr="0039317F" w:rsidRDefault="00D95A62"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Į šią skiltį įtraukiami atpirkimo sandoriai</w:t>
            </w:r>
            <w:r>
              <w:t>, vertybinių popierių arba biržos prekių skolinimo arba skolinimosi sandoriai (vertybinių popierių finansav</w:t>
            </w:r>
            <w:r>
              <w:t>i</w:t>
            </w:r>
            <w:r>
              <w:t>mo sandoriai) ir garantinės įmokos skolinimo sandoriai.</w:t>
            </w:r>
          </w:p>
          <w:p w:rsidR="00B0191A" w:rsidRPr="00384ADB" w:rsidRDefault="00B0191A" w:rsidP="0039317F">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070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Nuosavybės priemonės</w:t>
            </w:r>
          </w:p>
          <w:p w:rsidR="00B0191A" w:rsidRPr="0039317F" w:rsidRDefault="00B0191A" w:rsidP="0039317F">
            <w:pPr>
              <w:pStyle w:val="InstructionsText"/>
              <w:rPr>
                <w:rStyle w:val="FormatvorlageInstructionsTabelleText"/>
                <w:rFonts w:ascii="Times New Roman" w:hAnsi="Times New Roman"/>
                <w:b/>
                <w:sz w:val="24"/>
              </w:rPr>
            </w:pPr>
          </w:p>
          <w:p w:rsidR="00B0191A" w:rsidRPr="0039317F" w:rsidRDefault="00DF008D" w:rsidP="0039317F">
            <w:pPr>
              <w:pStyle w:val="InstructionsText"/>
            </w:pPr>
            <w:r>
              <w:t>ECB/2013/33 II priedo 2 dalies lentelės 4 ir 5 kategorijos.</w:t>
            </w:r>
          </w:p>
          <w:p w:rsidR="00B0191A" w:rsidRPr="0039317F" w:rsidRDefault="00B0191A" w:rsidP="0039317F">
            <w:pPr>
              <w:pStyle w:val="InstructionsText"/>
            </w:pPr>
          </w:p>
          <w:p w:rsidR="00B0191A" w:rsidRPr="0039317F" w:rsidRDefault="00BB3751" w:rsidP="0039317F">
            <w:pPr>
              <w:pStyle w:val="InstructionsText"/>
            </w:pPr>
            <w:r>
              <w:rPr>
                <w:rStyle w:val="FormatvorlageInstructionsTabelleText"/>
                <w:rFonts w:ascii="Times New Roman" w:hAnsi="Times New Roman"/>
                <w:sz w:val="24"/>
              </w:rPr>
              <w:t>Į šią skiltį įtraukiamos tos finansinės priemonės, kurios pagal ECB/2013/33 priskiriamos prie kategorijos „Nuosavybės priemonės“ arba prie kategorijos</w:t>
            </w:r>
            <w:r>
              <w:t xml:space="preserve"> „Investicinio fondo akcijos (vienetai)“.</w:t>
            </w:r>
          </w:p>
          <w:p w:rsidR="00B0191A" w:rsidRPr="00384ADB" w:rsidRDefault="00B0191A" w:rsidP="000F0ADE">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080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Išvestinės finansinės priemonės </w:t>
            </w:r>
          </w:p>
          <w:p w:rsidR="00B0191A" w:rsidRPr="0039317F" w:rsidRDefault="00B0191A" w:rsidP="0039317F">
            <w:pPr>
              <w:pStyle w:val="InstructionsText"/>
              <w:rPr>
                <w:rStyle w:val="FormatvorlageInstructionsTabelleText"/>
                <w:rFonts w:ascii="Times New Roman" w:hAnsi="Times New Roman"/>
                <w:b/>
                <w:sz w:val="24"/>
              </w:rPr>
            </w:pPr>
          </w:p>
          <w:p w:rsidR="00B0191A" w:rsidRPr="0039317F" w:rsidRDefault="00BB3751"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w:t>
            </w:r>
            <w:r>
              <w:t xml:space="preserve"> 272 straipsnio 2 dalis ir II priedas.</w:t>
            </w:r>
          </w:p>
          <w:p w:rsidR="00B0191A" w:rsidRPr="0039317F" w:rsidRDefault="00B0191A" w:rsidP="000F0ADE">
            <w:pPr>
              <w:pStyle w:val="InstructionsText"/>
            </w:pPr>
          </w:p>
          <w:p w:rsidR="00B0191A" w:rsidRPr="0039317F" w:rsidRDefault="009E58B0">
            <w:pPr>
              <w:pStyle w:val="InstructionsText"/>
            </w:pPr>
            <w:r>
              <w:t xml:space="preserve">Į šioje skiltyje nurodomas finansines priemones įtraukiamos </w:t>
            </w:r>
            <w:r>
              <w:rPr>
                <w:rStyle w:val="FormatvorlageInstructionsTabelleText"/>
                <w:rFonts w:ascii="Times New Roman" w:hAnsi="Times New Roman"/>
                <w:sz w:val="24"/>
              </w:rPr>
              <w:t>KRR</w:t>
            </w:r>
            <w:r>
              <w:t xml:space="preserve"> II priede nurodytos išvestinės finansinės priemonės ir </w:t>
            </w:r>
            <w:r>
              <w:rPr>
                <w:rStyle w:val="FormatvorlageInstructionsTabelleText"/>
                <w:rFonts w:ascii="Times New Roman" w:hAnsi="Times New Roman"/>
                <w:sz w:val="24"/>
              </w:rPr>
              <w:t>KRR</w:t>
            </w:r>
            <w:r>
              <w:t xml:space="preserve"> 272 straipsnio 2 dalyje apibrėžti ilgalaikiai atsiskaitymo sandoriai. </w:t>
            </w:r>
          </w:p>
          <w:p w:rsidR="00B0191A" w:rsidRPr="0039317F" w:rsidRDefault="00B0191A">
            <w:pPr>
              <w:pStyle w:val="InstructionsText"/>
            </w:pPr>
          </w:p>
          <w:p w:rsidR="00B0191A" w:rsidRPr="0039317F" w:rsidRDefault="00BB3751">
            <w:pPr>
              <w:pStyle w:val="InstructionsText"/>
            </w:pPr>
            <w:r>
              <w:t>Į šią skiltį įtraukiamos kredito išvestinės finansinės priemonės, susijusios su sandorio šalies kredito rizika.</w:t>
            </w:r>
          </w:p>
          <w:p w:rsidR="00B0191A" w:rsidRPr="00384ADB" w:rsidRDefault="00B0191A">
            <w:pPr>
              <w:pStyle w:val="InstructionsText"/>
              <w:rPr>
                <w:rStyle w:val="FormatvorlageInstructionsTabelleTex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090–110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Nebalansiniai straipsniai</w:t>
            </w:r>
          </w:p>
          <w:p w:rsidR="00BB3751" w:rsidRPr="00384ADB" w:rsidRDefault="00BB3751" w:rsidP="004675B7">
            <w:pPr>
              <w:spacing w:before="0" w:after="0"/>
              <w:rPr>
                <w:rFonts w:ascii="Times New Roman" w:hAnsi="Times New Roman"/>
                <w:b/>
                <w:bCs/>
                <w:sz w:val="24"/>
              </w:rPr>
            </w:pPr>
          </w:p>
          <w:p w:rsidR="00BB3751" w:rsidRPr="00384ADB" w:rsidRDefault="00BB3751" w:rsidP="004675B7">
            <w:pPr>
              <w:spacing w:before="0" w:after="0"/>
              <w:rPr>
                <w:rFonts w:ascii="Times New Roman" w:hAnsi="Times New Roman"/>
                <w:sz w:val="24"/>
              </w:rPr>
            </w:pPr>
            <w:r>
              <w:rPr>
                <w:rStyle w:val="FormatvorlageInstructionsTabelleText"/>
                <w:rFonts w:ascii="Times New Roman" w:hAnsi="Times New Roman"/>
                <w:sz w:val="24"/>
              </w:rPr>
              <w:t>KRR</w:t>
            </w:r>
            <w:r>
              <w:rPr>
                <w:rFonts w:ascii="Times New Roman" w:hAnsi="Times New Roman"/>
                <w:sz w:val="24"/>
              </w:rPr>
              <w:t xml:space="preserve"> I priedas.</w:t>
            </w:r>
          </w:p>
          <w:p w:rsidR="00BB3751" w:rsidRPr="00384ADB" w:rsidRDefault="00BB3751" w:rsidP="004675B7">
            <w:pPr>
              <w:spacing w:before="0" w:after="0"/>
              <w:rPr>
                <w:rFonts w:ascii="Times New Roman" w:hAnsi="Times New Roman"/>
                <w:bCs/>
                <w:sz w:val="24"/>
              </w:rPr>
            </w:pPr>
          </w:p>
          <w:p w:rsidR="00BB3751" w:rsidRPr="00384ADB" w:rsidRDefault="00BB3751" w:rsidP="004675B7">
            <w:pPr>
              <w:spacing w:before="0" w:after="0"/>
              <w:rPr>
                <w:rFonts w:ascii="Times New Roman" w:hAnsi="Times New Roman"/>
                <w:bCs/>
                <w:sz w:val="24"/>
              </w:rPr>
            </w:pPr>
            <w:r>
              <w:rPr>
                <w:rFonts w:ascii="Times New Roman" w:hAnsi="Times New Roman"/>
                <w:sz w:val="24"/>
              </w:rPr>
              <w:t>Šiose skiltyse nurodoma vertė yra nominalioji vertė prieš bet kokį sumaž</w:t>
            </w:r>
            <w:r>
              <w:rPr>
                <w:rFonts w:ascii="Times New Roman" w:hAnsi="Times New Roman"/>
                <w:sz w:val="24"/>
              </w:rPr>
              <w:t>i</w:t>
            </w:r>
            <w:r>
              <w:rPr>
                <w:rFonts w:ascii="Times New Roman" w:hAnsi="Times New Roman"/>
                <w:sz w:val="24"/>
              </w:rPr>
              <w:t>nimą dėl specifinės kredito rizikos koregavimo ir netaikant perskaičiavimo koeficientų.</w:t>
            </w:r>
          </w:p>
          <w:p w:rsidR="00BB3751" w:rsidRPr="00384ADB" w:rsidRDefault="00BB3751" w:rsidP="00A51E27">
            <w:pPr>
              <w:spacing w:before="0" w:after="0"/>
              <w:rPr>
                <w:rStyle w:val="InstructionsTabelleberschrift"/>
                <w:rFonts w:ascii="Times New Roman" w:hAnsi="Times New Roman"/>
                <w:b w:val="0"/>
                <w:sz w:val="24"/>
                <w:u w:val="none"/>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090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Kreditavimo įsipareigojimai</w:t>
            </w:r>
          </w:p>
          <w:p w:rsidR="00BB3751" w:rsidRPr="00384ADB" w:rsidRDefault="00BB3751" w:rsidP="0039317F">
            <w:pPr>
              <w:pStyle w:val="InstructionsText"/>
              <w:rPr>
                <w:rStyle w:val="FormatvorlageInstructionsTabelleText"/>
                <w:rFonts w:ascii="Times New Roman" w:hAnsi="Times New Roman"/>
                <w:b/>
                <w:sz w:val="24"/>
              </w:rPr>
            </w:pPr>
          </w:p>
          <w:p w:rsidR="009A7666" w:rsidRPr="0039317F" w:rsidRDefault="0045752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KRR I priedo 1 punkto c ir h papunkčiai, 2 punkto b papunkčio ii dalis, 3 punkto b papunkčio i dalis ir 4 punkto a papunktis. </w:t>
            </w:r>
          </w:p>
          <w:p w:rsidR="00B0191A" w:rsidRPr="0039317F" w:rsidRDefault="00B0191A">
            <w:pPr>
              <w:pStyle w:val="InstructionsText"/>
            </w:pPr>
          </w:p>
          <w:p w:rsidR="00B0191A" w:rsidRPr="0039317F" w:rsidRDefault="00BB3751">
            <w:pPr>
              <w:pStyle w:val="InstructionsText"/>
            </w:pPr>
            <w:r>
              <w:t>Kreditavimo įsipareigojimai – tvirtas įsipareigojimas teikti kreditą pagal iš anksto nustatytus terminus ir sąlygas, išskyrus išvestines finansines priem</w:t>
            </w:r>
            <w:r>
              <w:t>o</w:t>
            </w:r>
            <w:r>
              <w:t>nes, nes įsipareigojimus dėl jų galima įvykdyti grynąja verte sumokant gr</w:t>
            </w:r>
            <w:r>
              <w:t>y</w:t>
            </w:r>
            <w:r>
              <w:t xml:space="preserve">naisiais pinigais arba pateikiant ar išleidžiant kitą finansinę priemonę. </w:t>
            </w:r>
          </w:p>
          <w:p w:rsidR="00B0191A" w:rsidRPr="00384ADB" w:rsidRDefault="00B0191A">
            <w:pPr>
              <w:pStyle w:val="InstructionsText"/>
              <w:rPr>
                <w:rStyle w:val="FormatvorlageInstructionsTabelleTex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100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Finansinės garantijos</w:t>
            </w:r>
          </w:p>
          <w:p w:rsidR="009A7666" w:rsidRPr="00384ADB" w:rsidRDefault="009A7666" w:rsidP="0039317F">
            <w:pPr>
              <w:pStyle w:val="InstructionsText"/>
              <w:rPr>
                <w:rStyle w:val="FormatvorlageInstructionsTabelleText"/>
                <w:rFonts w:ascii="Times New Roman" w:hAnsi="Times New Roman"/>
                <w:b/>
                <w:sz w:val="24"/>
              </w:rPr>
            </w:pPr>
          </w:p>
          <w:p w:rsidR="00BB3751" w:rsidRPr="00384ADB" w:rsidRDefault="00965D5D"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KRR I priedo 1 punkto a, b ir f papunkčiai. </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Finansinės garantijos – sutartys, pagal kurias reikalaujama, kad garantijos suteikėjas sumokėtų konkrečias sumas garantijos turėtojui, kad atlygintų nuostolius, kuriuos šis patiria dėl konkretaus skolininko laiku nesumokėtos įmokos pagal pradines ar pakeistas skolos priemonės sąlygas. Šioje skiltyje nurodomos kredito išvestinės finansinės priemonės, neįtrauktos į skiltį „I</w:t>
            </w:r>
            <w:r>
              <w:rPr>
                <w:rStyle w:val="FormatvorlageInstructionsTabelleText"/>
                <w:rFonts w:ascii="Times New Roman" w:hAnsi="Times New Roman"/>
                <w:sz w:val="24"/>
              </w:rPr>
              <w:t>š</w:t>
            </w:r>
            <w:r>
              <w:rPr>
                <w:rStyle w:val="FormatvorlageInstructionsTabelleText"/>
                <w:rFonts w:ascii="Times New Roman" w:hAnsi="Times New Roman"/>
                <w:sz w:val="24"/>
              </w:rPr>
              <w:t>vestinės finansinės priemonės“.</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110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Kiti įsipareigojimai</w:t>
            </w:r>
          </w:p>
          <w:p w:rsidR="00B0191A" w:rsidRPr="00384ADB" w:rsidRDefault="00B0191A" w:rsidP="0039317F">
            <w:pPr>
              <w:pStyle w:val="InstructionsText"/>
              <w:rPr>
                <w:rStyle w:val="FormatvorlageInstructionsTabelleText"/>
                <w:rFonts w:ascii="Times New Roman" w:hAnsi="Times New Roman"/>
                <w:b/>
                <w:sz w:val="24"/>
              </w:rPr>
            </w:pPr>
          </w:p>
          <w:p w:rsidR="00BB3751" w:rsidRPr="00384ADB" w:rsidRDefault="00BB3751" w:rsidP="00704405">
            <w:pPr>
              <w:autoSpaceDE w:val="0"/>
              <w:autoSpaceDN w:val="0"/>
              <w:adjustRightInd w:val="0"/>
              <w:spacing w:before="0" w:after="0"/>
              <w:jc w:val="left"/>
              <w:rPr>
                <w:rStyle w:val="FormatvorlageInstructionsTabelleText"/>
                <w:rFonts w:ascii="Times New Roman" w:hAnsi="Times New Roman"/>
                <w:b/>
                <w:sz w:val="24"/>
              </w:rPr>
            </w:pPr>
            <w:r>
              <w:rPr>
                <w:rStyle w:val="FormatvorlageInstructionsTabelleText"/>
                <w:rFonts w:ascii="Times New Roman" w:hAnsi="Times New Roman"/>
                <w:sz w:val="24"/>
              </w:rPr>
              <w:t xml:space="preserve">Kiti įsipareigojimai – į pirmiau nurodytas kategorijas neįtraukti KRR I priede nurodyti straipsniai. </w:t>
            </w:r>
            <w:r>
              <w:rPr>
                <w:rFonts w:ascii="Times New Roman" w:hAnsi="Times New Roman"/>
                <w:sz w:val="24"/>
              </w:rPr>
              <w:t>Šioje skiltyje nurodoma vieno teisinio įsipare</w:t>
            </w:r>
            <w:r>
              <w:rPr>
                <w:rFonts w:ascii="Times New Roman" w:hAnsi="Times New Roman"/>
                <w:sz w:val="24"/>
              </w:rPr>
              <w:t>i</w:t>
            </w:r>
            <w:r>
              <w:rPr>
                <w:rFonts w:ascii="Times New Roman" w:hAnsi="Times New Roman"/>
                <w:sz w:val="24"/>
              </w:rPr>
              <w:t>gojimo, atsirandančio dėl su įstaigos sandorio šalimi sudaryto sutartinės ab</w:t>
            </w:r>
            <w:r>
              <w:rPr>
                <w:rFonts w:ascii="Times New Roman" w:hAnsi="Times New Roman"/>
                <w:sz w:val="24"/>
              </w:rPr>
              <w:t>i</w:t>
            </w:r>
            <w:r>
              <w:rPr>
                <w:rFonts w:ascii="Times New Roman" w:hAnsi="Times New Roman"/>
                <w:sz w:val="24"/>
              </w:rPr>
              <w:t>pusės produktų užskaitos susitarimo, pozicijos vertė.</w:t>
            </w:r>
            <w:r>
              <w:rPr>
                <w:rStyle w:val="InstructionsTabelleberschrift"/>
                <w:rFonts w:ascii="Times New Roman" w:hAnsi="Times New Roman"/>
                <w:b w:val="0"/>
                <w:sz w:val="24"/>
                <w:u w:val="none"/>
              </w:rPr>
              <w:t xml:space="preserve"> </w:t>
            </w:r>
          </w:p>
          <w:p w:rsidR="00BB3751" w:rsidRPr="00384ADB" w:rsidRDefault="00BB3751" w:rsidP="0039317F">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120–180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Netiesioginės pozicijos</w:t>
            </w:r>
          </w:p>
          <w:p w:rsidR="00BB3751" w:rsidRPr="00384ADB" w:rsidRDefault="00BB3751" w:rsidP="0039317F">
            <w:pPr>
              <w:pStyle w:val="InstructionsText"/>
              <w:rPr>
                <w:rStyle w:val="InstructionsTabelleberschrift"/>
                <w:rFonts w:ascii="Times New Roman" w:hAnsi="Times New Roman"/>
                <w:sz w:val="24"/>
                <w:u w:val="none"/>
              </w:rPr>
            </w:pPr>
          </w:p>
          <w:p w:rsidR="00B0191A" w:rsidRPr="00384ADB" w:rsidRDefault="00BB3751" w:rsidP="000F0ADE">
            <w:pPr>
              <w:pStyle w:val="InstructionsText"/>
            </w:pPr>
            <w:r>
              <w:rPr>
                <w:rStyle w:val="FormatvorlageInstructionsTabelleText"/>
                <w:rFonts w:ascii="Times New Roman" w:hAnsi="Times New Roman"/>
                <w:sz w:val="24"/>
              </w:rPr>
              <w:t>KRR</w:t>
            </w:r>
            <w:r>
              <w:t xml:space="preserve"> 403 straipsnis.</w:t>
            </w:r>
          </w:p>
          <w:p w:rsidR="00B0191A" w:rsidRPr="00384ADB" w:rsidRDefault="00B0191A">
            <w:pPr>
              <w:pStyle w:val="InstructionsText"/>
              <w:rPr>
                <w:rStyle w:val="InstructionsTabelleberschrift"/>
                <w:rFonts w:ascii="Times New Roman" w:hAnsi="Times New Roman"/>
                <w:b w:val="0"/>
                <w:bCs w:val="0"/>
                <w:sz w:val="24"/>
                <w:u w:val="none"/>
              </w:rPr>
            </w:pPr>
          </w:p>
          <w:p w:rsidR="00B0191A" w:rsidRPr="00384ADB" w:rsidRDefault="00BB3751">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Kai kliento poziciją garantuoja</w:t>
            </w:r>
            <w:r>
              <w:t xml:space="preserve"> </w:t>
            </w:r>
            <w:r>
              <w:rPr>
                <w:rStyle w:val="InstructionsTabelleberschrift"/>
                <w:rFonts w:ascii="Times New Roman" w:hAnsi="Times New Roman"/>
                <w:b w:val="0"/>
                <w:sz w:val="24"/>
                <w:u w:val="none"/>
              </w:rPr>
              <w:t>trečioji šalis arba kai kliento pozicija yra u</w:t>
            </w:r>
            <w:r>
              <w:rPr>
                <w:rStyle w:val="InstructionsTabelleberschrift"/>
                <w:rFonts w:ascii="Times New Roman" w:hAnsi="Times New Roman"/>
                <w:b w:val="0"/>
                <w:sz w:val="24"/>
                <w:u w:val="none"/>
              </w:rPr>
              <w:t>ž</w:t>
            </w:r>
            <w:r>
              <w:rPr>
                <w:rStyle w:val="InstructionsTabelleberschrift"/>
                <w:rFonts w:ascii="Times New Roman" w:hAnsi="Times New Roman"/>
                <w:b w:val="0"/>
                <w:sz w:val="24"/>
                <w:u w:val="none"/>
              </w:rPr>
              <w:t xml:space="preserve">tikrinta trečiosios šalies išleista užtikrinimo priemone, kredito įstaiga pagal </w:t>
            </w:r>
            <w:r>
              <w:rPr>
                <w:rStyle w:val="FormatvorlageInstructionsTabelleText"/>
                <w:rFonts w:ascii="Times New Roman" w:hAnsi="Times New Roman"/>
                <w:sz w:val="24"/>
              </w:rPr>
              <w:lastRenderedPageBreak/>
              <w:t xml:space="preserve">KRR </w:t>
            </w:r>
            <w:r>
              <w:rPr>
                <w:rStyle w:val="InstructionsTabelleberschrift"/>
                <w:rFonts w:ascii="Times New Roman" w:hAnsi="Times New Roman"/>
                <w:b w:val="0"/>
                <w:sz w:val="24"/>
                <w:u w:val="none"/>
              </w:rPr>
              <w:t xml:space="preserve">403 straipsnį gali taikyti pakeitimo metodą. </w:t>
            </w:r>
          </w:p>
          <w:p w:rsidR="00B0191A" w:rsidRPr="00384ADB" w:rsidRDefault="00B0191A">
            <w:pPr>
              <w:pStyle w:val="InstructionsText"/>
              <w:rPr>
                <w:rStyle w:val="InstructionsTabelleberschrift"/>
                <w:rFonts w:ascii="Times New Roman" w:hAnsi="Times New Roman"/>
                <w:b w:val="0"/>
                <w:bCs w:val="0"/>
                <w:sz w:val="24"/>
                <w:u w:val="none"/>
              </w:rPr>
            </w:pPr>
          </w:p>
          <w:p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Šioje skilčių grupėje įstaiga nurodo tiesioginių pozicijų sumas, kurios iš na</w:t>
            </w:r>
            <w:r>
              <w:rPr>
                <w:rStyle w:val="InstructionsTabelleberschrift"/>
                <w:rFonts w:ascii="Times New Roman" w:hAnsi="Times New Roman"/>
                <w:b w:val="0"/>
                <w:sz w:val="24"/>
                <w:u w:val="none"/>
              </w:rPr>
              <w:t>u</w:t>
            </w:r>
            <w:r>
              <w:rPr>
                <w:rStyle w:val="InstructionsTabelleberschrift"/>
                <w:rFonts w:ascii="Times New Roman" w:hAnsi="Times New Roman"/>
                <w:b w:val="0"/>
                <w:sz w:val="24"/>
                <w:u w:val="none"/>
              </w:rPr>
              <w:t>jo priskirtos garantui arba užtikrinimo priemonės emitentui, jei jam būtų pr</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skirtas toks pat rizikos koeficientas, koks pagal KRR trečios dalies II antraštinės dalies 2 skyrių būtų priskirtas trečiajai šaliai, arba už jį maže</w:t>
            </w:r>
            <w:r>
              <w:rPr>
                <w:rStyle w:val="InstructionsTabelleberschrift"/>
                <w:rFonts w:ascii="Times New Roman" w:hAnsi="Times New Roman"/>
                <w:b w:val="0"/>
                <w:sz w:val="24"/>
                <w:u w:val="none"/>
              </w:rPr>
              <w:t>s</w:t>
            </w:r>
            <w:r>
              <w:rPr>
                <w:rStyle w:val="InstructionsTabelleberschrift"/>
                <w:rFonts w:ascii="Times New Roman" w:hAnsi="Times New Roman"/>
                <w:b w:val="0"/>
                <w:sz w:val="24"/>
                <w:u w:val="none"/>
              </w:rPr>
              <w:t>nis. Užtikrinta referencinė pradinė pozicija</w:t>
            </w:r>
            <w:r>
              <w:t xml:space="preserve"> </w:t>
            </w:r>
            <w:r>
              <w:rPr>
                <w:rStyle w:val="InstructionsTabelleberschrift"/>
                <w:rFonts w:ascii="Times New Roman" w:hAnsi="Times New Roman"/>
                <w:b w:val="0"/>
                <w:sz w:val="24"/>
                <w:u w:val="none"/>
              </w:rPr>
              <w:t>(tiesioginė pozicija) iš pradinio skolininko pozicijos atskaitoma skiltyse „Reikalavimus atitinkančios kredito rizikos mažinimo priemonės“</w:t>
            </w:r>
            <w:r>
              <w:t>.</w:t>
            </w:r>
            <w:r>
              <w:rPr>
                <w:rStyle w:val="InstructionsTabelleberschrift"/>
                <w:rFonts w:ascii="Times New Roman" w:hAnsi="Times New Roman"/>
                <w:b w:val="0"/>
                <w:sz w:val="24"/>
                <w:u w:val="none"/>
              </w:rPr>
              <w:t xml:space="preserve"> Atsižvelgiant į pakeitimo poveikį, dėl neti</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sioginės pozicijos padidėja garanto arba užtikrinimo priemonės emitento p</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zicija. Tai taikoma ir susijusių klientų grupėje teikiamoms garantijoms.</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Netiesioginių pozicijų pradinę sumą įstaiga nurodo skiltyje, atitinkančioje garantuotos arba užtikrinimo priemone apsaugotos tiesioginės pozicijos rūšį, pvz., jei garantuota tiesioginė pozicija yra skolos priemonė, „Netiesioginės pozicijos“ suma, priskiriama garantui, nurodoma skiltyje „Skolos priem</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nės“.</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BB3751">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Pagal </w:t>
            </w:r>
            <w:r>
              <w:rPr>
                <w:rStyle w:val="FormatvorlageInstructionsTabelleText"/>
                <w:rFonts w:ascii="Times New Roman" w:hAnsi="Times New Roman"/>
                <w:sz w:val="24"/>
              </w:rPr>
              <w:t>KRR</w:t>
            </w:r>
            <w:r>
              <w:rPr>
                <w:rStyle w:val="InstructionsTabelleberschrift"/>
                <w:rFonts w:ascii="Times New Roman" w:hAnsi="Times New Roman"/>
                <w:b w:val="0"/>
                <w:sz w:val="24"/>
                <w:u w:val="none"/>
              </w:rPr>
              <w:t xml:space="preserve"> 399 straipsnį šioje skilčių grupėje taip pat nurodomos pozicijos, atsirandančios dėl su kreditu susijusių vekselių.</w:t>
            </w:r>
          </w:p>
          <w:p w:rsidR="00B0191A" w:rsidRPr="00384ADB" w:rsidRDefault="00B0191A">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120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Skolos priemonės</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Žr. 060 skiltį.</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AE2F75">
        <w:tc>
          <w:tcPr>
            <w:tcW w:w="1418" w:type="dxa"/>
            <w:shd w:val="clear" w:color="auto" w:fill="FFFFFF"/>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130</w:t>
            </w:r>
          </w:p>
        </w:tc>
        <w:tc>
          <w:tcPr>
            <w:tcW w:w="7620" w:type="dxa"/>
            <w:shd w:val="clear" w:color="auto" w:fill="FFFFFF"/>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Nuosavybės priemonės</w:t>
            </w:r>
          </w:p>
          <w:p w:rsidR="00BB3751" w:rsidRPr="00384ADB" w:rsidRDefault="00BB3751" w:rsidP="0039317F">
            <w:pPr>
              <w:pStyle w:val="InstructionsText"/>
              <w:rPr>
                <w:rStyle w:val="InstructionsTabelleberschrift"/>
                <w:rFonts w:ascii="Times New Roman" w:hAnsi="Times New Roman"/>
                <w:b w:val="0"/>
                <w:sz w:val="24"/>
                <w:u w:val="none"/>
              </w:rPr>
            </w:pPr>
          </w:p>
          <w:p w:rsidR="00BB3751" w:rsidRPr="00384ADB" w:rsidRDefault="00BB3751"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Žr. 070 skiltį.</w:t>
            </w:r>
          </w:p>
          <w:p w:rsidR="00B0191A" w:rsidRPr="00384ADB" w:rsidRDefault="00B0191A">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140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Išvestinės finansinės priemonės</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Žr. 080 skiltį.</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150-170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Nebalansiniai straipsniai</w:t>
            </w:r>
          </w:p>
          <w:p w:rsidR="00BB3751" w:rsidRPr="00384ADB" w:rsidRDefault="00BB3751" w:rsidP="0039317F">
            <w:pPr>
              <w:pStyle w:val="InstructionsText"/>
              <w:rPr>
                <w:rStyle w:val="InstructionsTabelleberschrift"/>
                <w:rFonts w:ascii="Times New Roman" w:hAnsi="Times New Roman"/>
                <w:sz w:val="24"/>
              </w:rPr>
            </w:pPr>
          </w:p>
          <w:p w:rsidR="00BB3751" w:rsidRPr="00384ADB" w:rsidRDefault="00BB3751" w:rsidP="00B9340F">
            <w:pPr>
              <w:spacing w:before="0" w:after="0"/>
              <w:rPr>
                <w:rFonts w:ascii="Times New Roman" w:hAnsi="Times New Roman"/>
                <w:bCs/>
                <w:sz w:val="24"/>
              </w:rPr>
            </w:pPr>
            <w:r>
              <w:rPr>
                <w:rFonts w:ascii="Times New Roman" w:hAnsi="Times New Roman"/>
                <w:sz w:val="24"/>
              </w:rPr>
              <w:t>Šių skilčių vertė yra nominalioji vertė prieš bet kokį sumažinimą pritaikius specifinės kredito rizikos koregavimą ir perskaičiavimo koeficientus.</w:t>
            </w:r>
          </w:p>
          <w:p w:rsidR="00BB3751" w:rsidRPr="00384ADB" w:rsidRDefault="00BB3751" w:rsidP="0039317F">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150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Kreditavimo įsipareigojimai</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Žr. 090 skiltį.</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160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Finansinės garantijos</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Žr. 100 skiltį.</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170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Kiti įsipareigojimai</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Žr. 110 skiltį.</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180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Papildomos pozicijos, atsirandančios dėl sandorių, susijusių su pagri</w:t>
            </w:r>
            <w:r>
              <w:rPr>
                <w:rStyle w:val="InstructionsTabelleberschrift"/>
                <w:rFonts w:ascii="Times New Roman" w:hAnsi="Times New Roman"/>
                <w:sz w:val="24"/>
              </w:rPr>
              <w:t>n</w:t>
            </w:r>
            <w:r>
              <w:rPr>
                <w:rStyle w:val="InstructionsTabelleberschrift"/>
                <w:rFonts w:ascii="Times New Roman" w:hAnsi="Times New Roman"/>
                <w:sz w:val="24"/>
              </w:rPr>
              <w:t>dinio turto pozicija</w:t>
            </w:r>
          </w:p>
          <w:p w:rsidR="00BB3751" w:rsidRPr="00384ADB" w:rsidRDefault="00BB3751" w:rsidP="0039317F">
            <w:pPr>
              <w:pStyle w:val="InstructionsText"/>
              <w:rPr>
                <w:rStyle w:val="FormatvorlageInstructionsTabelleText"/>
                <w:rFonts w:ascii="Times New Roman" w:hAnsi="Times New Roman"/>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390 straipsnio 7 dalis.</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Papildomos pozicijos, kurios atsiranda dėl sandorių, susijusių su pagrindinio turto pozicija.</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190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Vertės koregavimai ir atidėjiniai</w:t>
            </w:r>
          </w:p>
          <w:p w:rsidR="00BB3751" w:rsidRPr="00384ADB" w:rsidRDefault="00BB3751" w:rsidP="004675B7">
            <w:pPr>
              <w:pStyle w:val="Default"/>
              <w:jc w:val="both"/>
              <w:rPr>
                <w:rStyle w:val="FormatvorlageInstructionsTabelleText"/>
                <w:rFonts w:ascii="Times New Roman" w:eastAsia="Times New Roman" w:hAnsi="Times New Roman"/>
                <w:b/>
                <w:color w:val="auto"/>
                <w:sz w:val="24"/>
              </w:rPr>
            </w:pPr>
          </w:p>
          <w:p w:rsidR="00BB3751" w:rsidRPr="00384ADB" w:rsidRDefault="00BB3751" w:rsidP="004675B7">
            <w:pPr>
              <w:pStyle w:val="Default"/>
              <w:jc w:val="both"/>
              <w:rPr>
                <w:rStyle w:val="FormatvorlageInstructionsTabelleText"/>
                <w:rFonts w:ascii="Times New Roman" w:eastAsia="Times New Roman" w:hAnsi="Times New Roman"/>
                <w:color w:val="auto"/>
                <w:sz w:val="24"/>
              </w:rPr>
            </w:pPr>
            <w:r>
              <w:rPr>
                <w:rStyle w:val="FormatvorlageInstructionsTabelleText"/>
                <w:rFonts w:ascii="Times New Roman" w:hAnsi="Times New Roman"/>
                <w:color w:val="auto"/>
                <w:sz w:val="24"/>
              </w:rPr>
              <w:t>KRR 34, 24, 110 ir 111 straipsniai.</w:t>
            </w:r>
          </w:p>
          <w:p w:rsidR="00BB3751" w:rsidRPr="00384ADB" w:rsidRDefault="00BB3751" w:rsidP="004675B7">
            <w:pPr>
              <w:pStyle w:val="Default"/>
              <w:jc w:val="both"/>
              <w:rPr>
                <w:rStyle w:val="FormatvorlageInstructionsTabelleText"/>
                <w:rFonts w:ascii="Times New Roman" w:eastAsia="Times New Roman" w:hAnsi="Times New Roman"/>
                <w:color w:val="auto"/>
                <w:sz w:val="24"/>
              </w:rPr>
            </w:pPr>
          </w:p>
          <w:p w:rsidR="00BB3751" w:rsidRPr="00384ADB" w:rsidRDefault="00BB3751" w:rsidP="00502BDF">
            <w:pPr>
              <w:pStyle w:val="Default"/>
              <w:jc w:val="both"/>
              <w:rPr>
                <w:rFonts w:ascii="Times New Roman" w:hAnsi="Times New Roman" w:cs="Times New Roman"/>
              </w:rPr>
            </w:pPr>
            <w:r>
              <w:rPr>
                <w:rStyle w:val="FormatvorlageInstructionsTabelleText"/>
                <w:rFonts w:ascii="Times New Roman" w:hAnsi="Times New Roman"/>
                <w:color w:val="auto"/>
                <w:sz w:val="24"/>
              </w:rPr>
              <w:t>Į atitinkamą apskaitos sistemą įtrauktas vertės koregavimas ir atidėjiniai (D</w:t>
            </w:r>
            <w:r>
              <w:rPr>
                <w:rStyle w:val="FormatvorlageInstructionsTabelleText"/>
                <w:rFonts w:ascii="Times New Roman" w:hAnsi="Times New Roman"/>
                <w:color w:val="auto"/>
                <w:sz w:val="24"/>
              </w:rPr>
              <w:t>i</w:t>
            </w:r>
            <w:r>
              <w:rPr>
                <w:rStyle w:val="FormatvorlageInstructionsTabelleText"/>
                <w:rFonts w:ascii="Times New Roman" w:hAnsi="Times New Roman"/>
                <w:color w:val="auto"/>
                <w:sz w:val="24"/>
              </w:rPr>
              <w:t xml:space="preserve">rektyva 86/635/EEB arba Reglamentas (EB) Nr. 1606/2002), pagal </w:t>
            </w:r>
            <w:r>
              <w:rPr>
                <w:rStyle w:val="FormatvorlageInstructionsTabelleText"/>
                <w:rFonts w:ascii="Times New Roman" w:hAnsi="Times New Roman"/>
                <w:sz w:val="24"/>
              </w:rPr>
              <w:t>KRR</w:t>
            </w:r>
            <w:r>
              <w:rPr>
                <w:rStyle w:val="FormatvorlageInstructionsTabelleText"/>
                <w:rFonts w:ascii="Times New Roman" w:hAnsi="Times New Roman"/>
                <w:color w:val="auto"/>
                <w:sz w:val="24"/>
              </w:rPr>
              <w:t xml:space="preserve"> 24 ir 110 straipsnius turintys įtakos pozicijų vertinimui.</w:t>
            </w:r>
            <w:r>
              <w:rPr>
                <w:rFonts w:ascii="Times New Roman" w:hAnsi="Times New Roman"/>
              </w:rPr>
              <w:t xml:space="preserve"> </w:t>
            </w:r>
          </w:p>
          <w:p w:rsidR="00BB3751" w:rsidRPr="00384ADB" w:rsidRDefault="00BB3751" w:rsidP="004675B7">
            <w:pPr>
              <w:pStyle w:val="Default"/>
              <w:jc w:val="both"/>
              <w:rPr>
                <w:rStyle w:val="FormatvorlageInstructionsTabelleText"/>
                <w:rFonts w:ascii="Times New Roman" w:eastAsia="Times New Roman" w:hAnsi="Times New Roman"/>
                <w:color w:val="auto"/>
                <w:sz w:val="24"/>
              </w:rPr>
            </w:pPr>
          </w:p>
          <w:p w:rsidR="00BB3751" w:rsidRPr="00384ADB" w:rsidRDefault="00BB3751" w:rsidP="004675B7">
            <w:pPr>
              <w:pStyle w:val="Default"/>
              <w:jc w:val="both"/>
              <w:rPr>
                <w:rStyle w:val="FormatvorlageInstructionsTabelleText"/>
                <w:rFonts w:ascii="Times New Roman" w:eastAsia="Times New Roman" w:hAnsi="Times New Roman"/>
                <w:sz w:val="24"/>
              </w:rPr>
            </w:pPr>
            <w:r>
              <w:rPr>
                <w:rStyle w:val="FormatvorlageInstructionsTabelleText"/>
                <w:rFonts w:ascii="Times New Roman" w:hAnsi="Times New Roman"/>
                <w:color w:val="auto"/>
                <w:sz w:val="24"/>
              </w:rPr>
              <w:t>Šioje skiltyje nurodomi 040 skiltyje nurodytos bendrosios</w:t>
            </w:r>
            <w:r>
              <w:rPr>
                <w:rStyle w:val="FormatvorlageInstructionsTabelleText"/>
                <w:rFonts w:ascii="Times New Roman" w:hAnsi="Times New Roman"/>
                <w:sz w:val="24"/>
              </w:rPr>
              <w:t xml:space="preserve"> pozicijos vertės koregavimai ir atidėjiniai</w:t>
            </w:r>
            <w:r>
              <w:rPr>
                <w:rStyle w:val="FormatvorlageInstructionsTabelleText"/>
                <w:rFonts w:ascii="Times New Roman" w:hAnsi="Times New Roman"/>
                <w:color w:val="auto"/>
                <w:sz w:val="24"/>
              </w:rPr>
              <w:t>.</w:t>
            </w:r>
            <w:r>
              <w:rPr>
                <w:rStyle w:val="FormatvorlageInstructionsTabelleText"/>
                <w:rFonts w:ascii="Times New Roman" w:hAnsi="Times New Roman"/>
                <w:sz w:val="24"/>
              </w:rPr>
              <w:t xml:space="preserve"> </w:t>
            </w:r>
          </w:p>
          <w:p w:rsidR="00BB3751" w:rsidRPr="00384ADB" w:rsidRDefault="00BB3751" w:rsidP="00751BC8">
            <w:pPr>
              <w:pStyle w:val="Default"/>
              <w:jc w:val="both"/>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200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Iš nuosavų lėšų atskaitytos pozicijos</w:t>
            </w:r>
          </w:p>
          <w:p w:rsidR="00BB3751" w:rsidRPr="00384ADB" w:rsidRDefault="00BB3751" w:rsidP="0039317F">
            <w:pPr>
              <w:pStyle w:val="InstructionsText"/>
              <w:rPr>
                <w:rStyle w:val="InstructionsTabelleberschrift"/>
                <w:rFonts w:ascii="Times New Roman" w:hAnsi="Times New Roman"/>
                <w:b w:val="0"/>
                <w:sz w:val="24"/>
                <w:u w:val="none"/>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w:t>
            </w:r>
            <w:r>
              <w:rPr>
                <w:rStyle w:val="InstructionsTabelleberschrift"/>
                <w:rFonts w:ascii="Times New Roman" w:hAnsi="Times New Roman"/>
                <w:b w:val="0"/>
                <w:sz w:val="24"/>
                <w:u w:val="none"/>
              </w:rPr>
              <w:t xml:space="preserve"> 390 straipsnio 6 dalies e punktas</w:t>
            </w:r>
            <w:r>
              <w:t>.</w:t>
            </w:r>
            <w:r>
              <w:rPr>
                <w:rStyle w:val="FormatvorlageInstructionsTabelleText"/>
                <w:rFonts w:ascii="Times New Roman" w:hAnsi="Times New Roman"/>
                <w:sz w:val="24"/>
              </w:rPr>
              <w:t xml:space="preserve"> </w:t>
            </w:r>
          </w:p>
          <w:p w:rsidR="00B0191A" w:rsidRPr="00384ADB" w:rsidRDefault="00B0191A">
            <w:pPr>
              <w:pStyle w:val="InstructionsText"/>
              <w:rPr>
                <w:rStyle w:val="FormatvorlageInstructionsTabelleText"/>
                <w:rFonts w:ascii="Times New Roman" w:eastAsia="Calibri" w:hAnsi="Times New Roman"/>
                <w:color w:val="000000"/>
                <w:sz w:val="24"/>
              </w:rPr>
            </w:pPr>
          </w:p>
          <w:p w:rsidR="00B0191A" w:rsidRPr="00384ADB" w:rsidRDefault="00BB3751">
            <w:pPr>
              <w:pStyle w:val="InstructionsText"/>
              <w:rPr>
                <w:rStyle w:val="FormatvorlageInstructionsTabelleText"/>
                <w:rFonts w:ascii="Times New Roman" w:eastAsia="Calibri" w:hAnsi="Times New Roman"/>
                <w:color w:val="000000"/>
                <w:sz w:val="24"/>
              </w:rPr>
            </w:pPr>
            <w:r>
              <w:rPr>
                <w:rStyle w:val="FormatvorlageInstructionsTabelleText"/>
                <w:rFonts w:ascii="Times New Roman" w:hAnsi="Times New Roman"/>
                <w:sz w:val="24"/>
              </w:rPr>
              <w:t xml:space="preserve">Nurodomos iš nuosavų lėšų atskaitytos pozicijos, įtraukiamos į įvairias visos pradinės pozicijos skiltis. </w:t>
            </w:r>
          </w:p>
          <w:p w:rsidR="00BB3751" w:rsidRPr="00F40CD9" w:rsidRDefault="00BB3751" w:rsidP="001E6FAF">
            <w:pPr>
              <w:pStyle w:val="Default"/>
              <w:jc w:val="both"/>
              <w:rPr>
                <w:rStyle w:val="FormatvorlageInstructionsTabelleText"/>
                <w:rFonts w:ascii="Times New Roman" w:hAnsi="Times New Roman"/>
                <w:b/>
                <w:sz w:val="24"/>
              </w:rPr>
            </w:pPr>
          </w:p>
        </w:tc>
      </w:tr>
      <w:tr w:rsidR="00BB3751" w:rsidRPr="00384ADB" w:rsidTr="00E17043">
        <w:tc>
          <w:tcPr>
            <w:tcW w:w="1418" w:type="dxa"/>
            <w:vAlign w:val="center"/>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210-230</w:t>
            </w:r>
          </w:p>
        </w:tc>
        <w:tc>
          <w:tcPr>
            <w:tcW w:w="7620" w:type="dxa"/>
            <w:vAlign w:val="center"/>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Pozicijos vertė prieš taikant išimtis ir KRM</w:t>
            </w:r>
          </w:p>
          <w:p w:rsidR="00BB3751" w:rsidRPr="00384ADB" w:rsidRDefault="00BB3751" w:rsidP="005149C1">
            <w:pPr>
              <w:pStyle w:val="Default"/>
              <w:rPr>
                <w:rFonts w:ascii="Times New Roman" w:hAnsi="Times New Roman" w:cs="Times New Roman"/>
                <w:b/>
              </w:rPr>
            </w:pPr>
          </w:p>
          <w:p w:rsidR="00BB3751" w:rsidRPr="00384ADB" w:rsidRDefault="00BB3751" w:rsidP="0039317F">
            <w:pPr>
              <w:pStyle w:val="InstructionsText"/>
            </w:pPr>
            <w:r>
              <w:rPr>
                <w:rStyle w:val="FormatvorlageInstructionsTabelleText"/>
                <w:rFonts w:ascii="Times New Roman" w:hAnsi="Times New Roman"/>
                <w:sz w:val="24"/>
              </w:rPr>
              <w:t>KRR</w:t>
            </w:r>
            <w:r>
              <w:t xml:space="preserve"> 394 straipsnio 1 dalies b punktas.</w:t>
            </w:r>
          </w:p>
          <w:p w:rsidR="00BB3751" w:rsidRPr="00384ADB" w:rsidRDefault="00BB3751" w:rsidP="0039317F">
            <w:pPr>
              <w:pStyle w:val="InstructionsText"/>
            </w:pPr>
          </w:p>
          <w:p w:rsidR="00BB3751" w:rsidRPr="00384ADB" w:rsidRDefault="008A4511" w:rsidP="0039317F">
            <w:pPr>
              <w:pStyle w:val="InstructionsText"/>
            </w:pPr>
            <w:r>
              <w:t>Įstaigos nurodo pozicijos vertę, jei taikoma, prieš atsižvelgdamos į kredito rizikos mažinimo poveikį.</w:t>
            </w:r>
          </w:p>
          <w:p w:rsidR="00BB3751" w:rsidRPr="00384ADB" w:rsidRDefault="00BB3751" w:rsidP="000F0ADE">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210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Iš viso</w:t>
            </w:r>
          </w:p>
          <w:p w:rsidR="00BB3751" w:rsidRPr="0039317F" w:rsidRDefault="00BB3751" w:rsidP="0039317F">
            <w:pPr>
              <w:pStyle w:val="InstructionsText"/>
            </w:pPr>
          </w:p>
          <w:p w:rsidR="00BB3751" w:rsidRPr="0039317F" w:rsidRDefault="00BB3751" w:rsidP="0039317F">
            <w:pPr>
              <w:pStyle w:val="InstructionsText"/>
            </w:pPr>
            <w:r>
              <w:t xml:space="preserve">Šioje skiltyje nurodoma pozicijos vertė yra suma, naudojama nustatant, ar pozicija pagal </w:t>
            </w:r>
            <w:r>
              <w:rPr>
                <w:rStyle w:val="FormatvorlageInstructionsTabelleText"/>
                <w:rFonts w:ascii="Times New Roman" w:hAnsi="Times New Roman"/>
                <w:sz w:val="24"/>
              </w:rPr>
              <w:t xml:space="preserve">KRR </w:t>
            </w:r>
            <w:r>
              <w:t>392 straipsnyje pateiktą apibrėžtį yra didelė pozicija.</w:t>
            </w:r>
          </w:p>
          <w:p w:rsidR="00B0191A" w:rsidRPr="0039317F" w:rsidRDefault="00B0191A" w:rsidP="000F0ADE">
            <w:pPr>
              <w:pStyle w:val="InstructionsText"/>
            </w:pPr>
          </w:p>
          <w:p w:rsidR="00B0191A" w:rsidRPr="0039317F" w:rsidRDefault="00BB3751">
            <w:pPr>
              <w:pStyle w:val="InstructionsText"/>
            </w:pPr>
            <w:r>
              <w:t>Šioje skiltyje nurodoma pradinė pozicija, atėmus vertės koregavimus, atid</w:t>
            </w:r>
            <w:r>
              <w:t>ė</w:t>
            </w:r>
            <w:r>
              <w:t>jinius ir iš nuosavų lėšų atskaitytų pozicijų sumą.</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220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Iš jos: ne prekybos knygos</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4675B7">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Visos pozicijos ne prekybos knygai priskirta suma prieš taikant išimtis ir KRM. </w:t>
            </w:r>
          </w:p>
          <w:p w:rsidR="00BB3751" w:rsidRPr="00384ADB" w:rsidRDefault="00BB3751" w:rsidP="0039317F">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230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Reikalavimus atitinkančio kapitalo dalis %</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395EED">
            <w:pPr>
              <w:spacing w:before="0" w:after="0"/>
              <w:rPr>
                <w:rStyle w:val="InstructionsTabelleberschrift"/>
                <w:rFonts w:ascii="Times New Roman" w:hAnsi="Times New Roman"/>
                <w:b w:val="0"/>
                <w:sz w:val="24"/>
                <w:u w:val="none"/>
              </w:rPr>
            </w:pPr>
            <w:r>
              <w:rPr>
                <w:rStyle w:val="FormatvorlageInstructionsTabelleText"/>
                <w:rFonts w:ascii="Times New Roman" w:hAnsi="Times New Roman"/>
                <w:sz w:val="24"/>
              </w:rPr>
              <w:lastRenderedPageBreak/>
              <w:t>KRR</w:t>
            </w:r>
            <w:r>
              <w:rPr>
                <w:rStyle w:val="InstructionsTabelleberschrift"/>
                <w:rFonts w:ascii="Times New Roman" w:hAnsi="Times New Roman"/>
                <w:b w:val="0"/>
                <w:sz w:val="24"/>
                <w:u w:val="none"/>
              </w:rPr>
              <w:t xml:space="preserve"> 4 straipsnio 1 dalies 71 punkto b papunktis ir 395 straipsnis.</w:t>
            </w:r>
          </w:p>
          <w:p w:rsidR="00BB3751" w:rsidRPr="00384ADB" w:rsidRDefault="00BB3751" w:rsidP="004675B7">
            <w:pPr>
              <w:spacing w:before="0" w:after="0"/>
              <w:rPr>
                <w:rStyle w:val="InstructionsTabelleberschrift"/>
                <w:rFonts w:ascii="Times New Roman" w:hAnsi="Times New Roman"/>
                <w:b w:val="0"/>
                <w:bCs w:val="0"/>
                <w:sz w:val="24"/>
                <w:u w:val="none"/>
              </w:rPr>
            </w:pPr>
          </w:p>
          <w:p w:rsidR="00BB3751" w:rsidRPr="00384ADB" w:rsidRDefault="00BB3751" w:rsidP="0061723E">
            <w:pPr>
              <w:spacing w:before="0" w:after="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Nurodoma suma yra su KRR 4 straipsnio 1 dalies 71 punkto b papunktyje apibrėžtu įstaigos reikalavimus atitinkančiu kapitalu susijusi procentinė p</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 xml:space="preserve">zicijos vertės dalis prieš taikant išimtis ir </w:t>
            </w:r>
            <w:r>
              <w:rPr>
                <w:rStyle w:val="FormatvorlageInstructionsTabelleText"/>
                <w:rFonts w:ascii="Times New Roman" w:hAnsi="Times New Roman"/>
                <w:sz w:val="24"/>
              </w:rPr>
              <w:t>KRM</w:t>
            </w:r>
            <w:r>
              <w:rPr>
                <w:rStyle w:val="InstructionsTabelleberschrift"/>
                <w:rFonts w:ascii="Times New Roman" w:hAnsi="Times New Roman"/>
                <w:b w:val="0"/>
                <w:sz w:val="24"/>
                <w:u w:val="none"/>
              </w:rPr>
              <w:t>.</w:t>
            </w:r>
          </w:p>
          <w:p w:rsidR="00BB3751" w:rsidRPr="00384ADB" w:rsidRDefault="00BB3751" w:rsidP="00151B6A">
            <w:pPr>
              <w:spacing w:before="0" w:after="0"/>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240–310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Reikalavimus atitinkančios kredito rizikos mažinimo (KRM) pri</w:t>
            </w:r>
            <w:r>
              <w:rPr>
                <w:rStyle w:val="InstructionsTabelleberschrift"/>
                <w:rFonts w:ascii="Times New Roman" w:hAnsi="Times New Roman"/>
                <w:sz w:val="24"/>
              </w:rPr>
              <w:t>e</w:t>
            </w:r>
            <w:r>
              <w:rPr>
                <w:rStyle w:val="InstructionsTabelleberschrift"/>
                <w:rFonts w:ascii="Times New Roman" w:hAnsi="Times New Roman"/>
                <w:sz w:val="24"/>
              </w:rPr>
              <w:t>monės</w:t>
            </w:r>
          </w:p>
          <w:p w:rsidR="00BB3751" w:rsidRPr="00384ADB" w:rsidRDefault="00BB3751" w:rsidP="004675B7">
            <w:pPr>
              <w:spacing w:before="0" w:after="0"/>
              <w:rPr>
                <w:rStyle w:val="InstructionsTabelleberschrift"/>
                <w:rFonts w:ascii="Times New Roman" w:hAnsi="Times New Roman"/>
                <w:sz w:val="24"/>
                <w:u w:val="none"/>
              </w:rPr>
            </w:pPr>
          </w:p>
          <w:p w:rsidR="00BB3751" w:rsidRPr="00384ADB" w:rsidRDefault="00BB3751" w:rsidP="004675B7">
            <w:pPr>
              <w:spacing w:before="0" w:after="0"/>
              <w:rPr>
                <w:rStyle w:val="InstructionsTabelleberschrift"/>
                <w:rFonts w:ascii="Times New Roman" w:hAnsi="Times New Roman"/>
                <w:b w:val="0"/>
                <w:sz w:val="24"/>
                <w:u w:val="none"/>
              </w:rPr>
            </w:pPr>
            <w:r>
              <w:rPr>
                <w:rStyle w:val="FormatvorlageInstructionsTabelleText"/>
                <w:rFonts w:ascii="Times New Roman" w:hAnsi="Times New Roman"/>
                <w:sz w:val="24"/>
              </w:rPr>
              <w:t>KRR</w:t>
            </w:r>
            <w:r>
              <w:rPr>
                <w:rStyle w:val="InstructionsTabelleberschrift"/>
                <w:rFonts w:ascii="Times New Roman" w:hAnsi="Times New Roman"/>
                <w:b w:val="0"/>
                <w:sz w:val="24"/>
                <w:u w:val="none"/>
              </w:rPr>
              <w:t xml:space="preserve"> 399 ir 401–403 straipsniai.</w:t>
            </w:r>
          </w:p>
          <w:p w:rsidR="00BB3751" w:rsidRPr="00384ADB" w:rsidRDefault="00BB3751" w:rsidP="004675B7">
            <w:pPr>
              <w:spacing w:before="0" w:after="0"/>
              <w:rPr>
                <w:rStyle w:val="InstructionsTabelleberschrift"/>
                <w:rFonts w:ascii="Times New Roman" w:hAnsi="Times New Roman"/>
                <w:sz w:val="24"/>
                <w:u w:val="none"/>
              </w:rPr>
            </w:pPr>
          </w:p>
          <w:p w:rsidR="00BB3751" w:rsidRPr="00384ADB" w:rsidRDefault="00BB3751" w:rsidP="004675B7">
            <w:pPr>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KRR 4 straipsnio 1 dalies 57 punkte apibrėžtos KRM priemonės.</w:t>
            </w:r>
          </w:p>
          <w:p w:rsidR="00BB3751" w:rsidRPr="00384ADB" w:rsidRDefault="00BB3751" w:rsidP="004675B7">
            <w:pPr>
              <w:spacing w:before="0" w:after="0"/>
              <w:rPr>
                <w:rStyle w:val="FormatvorlageInstructionsTabelleText"/>
                <w:rFonts w:ascii="Times New Roman" w:hAnsi="Times New Roman"/>
                <w:sz w:val="24"/>
              </w:rPr>
            </w:pPr>
          </w:p>
          <w:p w:rsidR="00BB3751" w:rsidRPr="00384ADB" w:rsidRDefault="00BB3751" w:rsidP="004675B7">
            <w:pPr>
              <w:spacing w:before="0" w:after="0"/>
              <w:rPr>
                <w:rStyle w:val="InstructionsTabelleberschrift"/>
                <w:rFonts w:ascii="Times New Roman" w:hAnsi="Times New Roman"/>
                <w:b w:val="0"/>
                <w:sz w:val="24"/>
                <w:u w:val="none"/>
              </w:rPr>
            </w:pPr>
            <w:r>
              <w:rPr>
                <w:rStyle w:val="FormatvorlageInstructionsTabelleText"/>
                <w:rFonts w:ascii="Times New Roman" w:hAnsi="Times New Roman"/>
                <w:sz w:val="24"/>
              </w:rPr>
              <w:t>Šioje ataskaitoje pagal KRR 401–403 straipsnius taikomos KRR trečios d</w:t>
            </w:r>
            <w:r>
              <w:rPr>
                <w:rStyle w:val="FormatvorlageInstructionsTabelleText"/>
                <w:rFonts w:ascii="Times New Roman" w:hAnsi="Times New Roman"/>
                <w:sz w:val="24"/>
              </w:rPr>
              <w:t>a</w:t>
            </w:r>
            <w:r>
              <w:rPr>
                <w:rStyle w:val="FormatvorlageInstructionsTabelleText"/>
                <w:rFonts w:ascii="Times New Roman" w:hAnsi="Times New Roman"/>
                <w:sz w:val="24"/>
              </w:rPr>
              <w:t>lies II antraštinės dalies 3 ir 4 skyriuose pripažintos KRM priemonės</w:t>
            </w:r>
            <w:r>
              <w:rPr>
                <w:rStyle w:val="InstructionsTabelleberschrift"/>
                <w:rFonts w:ascii="Times New Roman" w:hAnsi="Times New Roman"/>
                <w:b w:val="0"/>
                <w:sz w:val="24"/>
                <w:u w:val="none"/>
              </w:rPr>
              <w:t xml:space="preserve">. </w:t>
            </w:r>
          </w:p>
          <w:p w:rsidR="00BB3751" w:rsidRPr="00384ADB" w:rsidRDefault="00BB3751" w:rsidP="004675B7">
            <w:pPr>
              <w:spacing w:before="0" w:after="0"/>
              <w:rPr>
                <w:rStyle w:val="InstructionsTabelleberschrift"/>
                <w:rFonts w:ascii="Times New Roman" w:hAnsi="Times New Roman"/>
                <w:b w:val="0"/>
                <w:sz w:val="24"/>
                <w:u w:val="none"/>
              </w:rPr>
            </w:pPr>
          </w:p>
          <w:p w:rsidR="00BB3751" w:rsidRPr="00384ADB" w:rsidRDefault="00BB3751" w:rsidP="004675B7">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KRM priemonių poveikis didelių pozicijų režimui gali pasireikšti trejopai: kaip pakeitimo poveikis, tiesioginis kredito užtikrinimas (išskyrus pakeitimo poveikį) ir nekilnojamojo turto vertinimas.</w:t>
            </w:r>
          </w:p>
          <w:p w:rsidR="00BB3751" w:rsidRPr="00384ADB" w:rsidRDefault="00BB3751" w:rsidP="00E02226">
            <w:pPr>
              <w:spacing w:before="0" w:after="0"/>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240-290</w:t>
            </w:r>
          </w:p>
        </w:tc>
        <w:tc>
          <w:tcPr>
            <w:tcW w:w="7620" w:type="dxa"/>
          </w:tcPr>
          <w:p w:rsidR="00BB3751" w:rsidRPr="00384ADB" w:rsidRDefault="00BB3751" w:rsidP="0039317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Reikalavimus atitinkančių kredito rizikos mažinimo priemonių p</w:t>
            </w:r>
            <w:r>
              <w:rPr>
                <w:rStyle w:val="InstructionsTabelleberschrift"/>
                <w:rFonts w:ascii="Times New Roman" w:hAnsi="Times New Roman"/>
                <w:sz w:val="24"/>
              </w:rPr>
              <w:t>a</w:t>
            </w:r>
            <w:r>
              <w:rPr>
                <w:rStyle w:val="InstructionsTabelleberschrift"/>
                <w:rFonts w:ascii="Times New Roman" w:hAnsi="Times New Roman"/>
                <w:sz w:val="24"/>
              </w:rPr>
              <w:t>keitimo poveikis</w:t>
            </w:r>
          </w:p>
          <w:p w:rsidR="00BB3751" w:rsidRPr="00384ADB" w:rsidRDefault="00BB3751" w:rsidP="0039317F">
            <w:pPr>
              <w:pStyle w:val="InstructionsText"/>
              <w:rPr>
                <w:rStyle w:val="InstructionsTabelleberschrift"/>
                <w:rFonts w:ascii="Times New Roman" w:hAnsi="Times New Roman"/>
                <w:b w:val="0"/>
                <w:sz w:val="24"/>
                <w:u w:val="none"/>
              </w:rPr>
            </w:pPr>
          </w:p>
          <w:p w:rsidR="00BB3751" w:rsidRPr="0039317F" w:rsidRDefault="00BB3751" w:rsidP="0039317F">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KRR</w:t>
            </w:r>
            <w:r>
              <w:rPr>
                <w:rStyle w:val="InstructionsTabelleberschrift"/>
                <w:rFonts w:ascii="Times New Roman" w:hAnsi="Times New Roman"/>
                <w:b w:val="0"/>
                <w:sz w:val="24"/>
                <w:u w:val="none"/>
              </w:rPr>
              <w:t xml:space="preserve"> 403 straipsnis.</w:t>
            </w:r>
          </w:p>
          <w:p w:rsidR="00B0191A" w:rsidRPr="0039317F" w:rsidRDefault="00B0191A" w:rsidP="000F0ADE">
            <w:pPr>
              <w:pStyle w:val="InstructionsText"/>
              <w:rPr>
                <w:rStyle w:val="InstructionsTabelleberschrift"/>
                <w:rFonts w:ascii="Times New Roman" w:hAnsi="Times New Roman"/>
                <w:b w:val="0"/>
                <w:sz w:val="24"/>
                <w:u w:val="none"/>
              </w:rPr>
            </w:pPr>
          </w:p>
          <w:p w:rsidR="00B0191A" w:rsidRPr="0039317F" w:rsidRDefault="00BB3751" w:rsidP="000F0ADE">
            <w:pPr>
              <w:pStyle w:val="InstructionsText"/>
            </w:pPr>
            <w:r>
              <w:rPr>
                <w:rStyle w:val="InstructionsTabelleberschrift"/>
                <w:rFonts w:ascii="Times New Roman" w:hAnsi="Times New Roman"/>
                <w:b w:val="0"/>
                <w:sz w:val="24"/>
                <w:u w:val="none"/>
              </w:rPr>
              <w:t>Šiose skiltyse nurodoma tiesioginio ir netiesioginio kredito užtikrinimo s</w:t>
            </w:r>
            <w:r>
              <w:rPr>
                <w:rStyle w:val="InstructionsTabelleberschrift"/>
                <w:rFonts w:ascii="Times New Roman" w:hAnsi="Times New Roman"/>
                <w:b w:val="0"/>
                <w:sz w:val="24"/>
                <w:u w:val="none"/>
              </w:rPr>
              <w:t>u</w:t>
            </w:r>
            <w:r>
              <w:rPr>
                <w:rStyle w:val="InstructionsTabelleberschrift"/>
                <w:rFonts w:ascii="Times New Roman" w:hAnsi="Times New Roman"/>
                <w:b w:val="0"/>
                <w:sz w:val="24"/>
                <w:u w:val="none"/>
              </w:rPr>
              <w:t>ma atitinka trečiosios šalies garantuojamas arba trečiosios šalies išleistas u</w:t>
            </w:r>
            <w:r>
              <w:rPr>
                <w:rStyle w:val="InstructionsTabelleberschrift"/>
                <w:rFonts w:ascii="Times New Roman" w:hAnsi="Times New Roman"/>
                <w:b w:val="0"/>
                <w:sz w:val="24"/>
                <w:u w:val="none"/>
              </w:rPr>
              <w:t>ž</w:t>
            </w:r>
            <w:r>
              <w:rPr>
                <w:rStyle w:val="InstructionsTabelleberschrift"/>
                <w:rFonts w:ascii="Times New Roman" w:hAnsi="Times New Roman"/>
                <w:b w:val="0"/>
                <w:sz w:val="24"/>
                <w:u w:val="none"/>
              </w:rPr>
              <w:t xml:space="preserve">tikrinimo priemone </w:t>
            </w:r>
            <w:r>
              <w:t>užtikrintas pozicijas, kai įstaiga poziciją nusprendžia vertinti kaip garanto arba užtikrinimo priemonės emitento poziciją.</w:t>
            </w:r>
          </w:p>
          <w:p w:rsidR="00B0191A" w:rsidRPr="00384ADB" w:rsidRDefault="00B0191A">
            <w:pPr>
              <w:pStyle w:val="InstructionsText"/>
              <w:rPr>
                <w:rStyle w:val="InstructionsTabelleberschrift"/>
                <w:rFonts w:ascii="Times New Roman" w:hAnsi="Times New Roman"/>
                <w:b w:val="0"/>
                <w:bCs w:val="0"/>
                <w:sz w:val="24"/>
                <w:u w:val="none"/>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240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Skolos priemonės</w:t>
            </w:r>
          </w:p>
          <w:p w:rsidR="00BB3751" w:rsidRPr="00384ADB" w:rsidRDefault="00BB3751" w:rsidP="0039317F">
            <w:pPr>
              <w:pStyle w:val="InstructionsText"/>
              <w:rPr>
                <w:rStyle w:val="InstructionsTabelleberschrift"/>
                <w:rFonts w:ascii="Times New Roman" w:hAnsi="Times New Roman"/>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Žr. 060 skiltį.</w:t>
            </w:r>
          </w:p>
          <w:p w:rsidR="00B0191A" w:rsidRPr="00384ADB" w:rsidRDefault="00B0191A" w:rsidP="000F0ADE">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250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Nuosavybės priemonės</w:t>
            </w:r>
          </w:p>
          <w:p w:rsidR="00BB3751" w:rsidRPr="00384ADB" w:rsidRDefault="00BB3751" w:rsidP="0039317F">
            <w:pPr>
              <w:pStyle w:val="InstructionsText"/>
              <w:rPr>
                <w:rStyle w:val="InstructionsTabelleberschrift"/>
                <w:rFonts w:ascii="Times New Roman" w:hAnsi="Times New Roman"/>
                <w:b w:val="0"/>
                <w:sz w:val="24"/>
                <w:u w:val="none"/>
              </w:rPr>
            </w:pPr>
          </w:p>
          <w:p w:rsidR="00BB3751" w:rsidRPr="00384ADB" w:rsidRDefault="00BB3751"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Žr. 070 skiltį.</w:t>
            </w:r>
          </w:p>
          <w:p w:rsidR="00B0191A" w:rsidRPr="00384ADB" w:rsidRDefault="00B0191A" w:rsidP="000F0ADE">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260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Išvestinės finansinės priemonės</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Žr. 080 skiltį.</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270-290</w:t>
            </w:r>
          </w:p>
        </w:tc>
        <w:tc>
          <w:tcPr>
            <w:tcW w:w="7620" w:type="dxa"/>
          </w:tcPr>
          <w:p w:rsidR="00BB3751" w:rsidRPr="00384ADB" w:rsidRDefault="00BB3751" w:rsidP="0039317F">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 Nebalansiniai straipsniai</w:t>
            </w:r>
          </w:p>
          <w:p w:rsidR="00BB3751" w:rsidRPr="00384ADB" w:rsidRDefault="00BB3751" w:rsidP="0039317F">
            <w:pPr>
              <w:pStyle w:val="InstructionsText"/>
              <w:rPr>
                <w:rStyle w:val="InstructionsTabelleberschrift"/>
                <w:rFonts w:ascii="Times New Roman" w:hAnsi="Times New Roman"/>
                <w:b w:val="0"/>
                <w:sz w:val="24"/>
              </w:rPr>
            </w:pPr>
          </w:p>
          <w:p w:rsidR="00BB3751" w:rsidRPr="00384ADB" w:rsidRDefault="00BB3751" w:rsidP="00B9340F">
            <w:pPr>
              <w:spacing w:before="0" w:after="0"/>
              <w:rPr>
                <w:rFonts w:ascii="Times New Roman" w:hAnsi="Times New Roman"/>
                <w:bCs/>
                <w:sz w:val="24"/>
              </w:rPr>
            </w:pPr>
            <w:r>
              <w:rPr>
                <w:rFonts w:ascii="Times New Roman" w:hAnsi="Times New Roman"/>
                <w:sz w:val="24"/>
              </w:rPr>
              <w:t>Šiose skiltyse nurodoma vertė nepritaikius perskaičiavimo koeficientų.</w:t>
            </w:r>
          </w:p>
          <w:p w:rsidR="00BB3751" w:rsidRPr="00384ADB" w:rsidRDefault="00BB3751" w:rsidP="0039317F">
            <w:pPr>
              <w:pStyle w:val="InstructionsText"/>
              <w:rPr>
                <w:rStyle w:val="InstructionsTabelleberschrift"/>
                <w:rFonts w:ascii="Times New Roman" w:hAnsi="Times New Roman"/>
                <w:b w:val="0"/>
                <w:sz w:val="24"/>
                <w:u w:val="none"/>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270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Kreditavimo įsipareigojimai</w:t>
            </w:r>
          </w:p>
          <w:p w:rsidR="00BB3751" w:rsidRPr="00384ADB" w:rsidRDefault="00BB3751" w:rsidP="0039317F">
            <w:pPr>
              <w:pStyle w:val="InstructionsText"/>
              <w:rPr>
                <w:rStyle w:val="FormatvorlageInstructionsTabelleText"/>
                <w:rFonts w:ascii="Times New Roman" w:hAnsi="Times New Roman"/>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Žr. 090 skiltį.</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280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Finansinės garantijos</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Žr. 100 skiltį.</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290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Kiti įsipareigojimai</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Žr. 110 skiltį.</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300</w:t>
            </w:r>
          </w:p>
        </w:tc>
        <w:tc>
          <w:tcPr>
            <w:tcW w:w="7620" w:type="dxa"/>
          </w:tcPr>
          <w:p w:rsidR="00BB3751" w:rsidRPr="00384ADB" w:rsidRDefault="00BB3751" w:rsidP="0039317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Tiesioginis kredito užtikrinimas, išskyrus pakeitimo poveikį</w:t>
            </w:r>
          </w:p>
          <w:p w:rsidR="00BB3751" w:rsidRPr="00384ADB" w:rsidRDefault="00BB3751" w:rsidP="0039317F">
            <w:pPr>
              <w:pStyle w:val="InstructionsText"/>
              <w:rPr>
                <w:rStyle w:val="InstructionsTabelleberschrift"/>
                <w:rFonts w:ascii="Times New Roman" w:hAnsi="Times New Roman"/>
                <w:b w:val="0"/>
                <w:sz w:val="24"/>
                <w:u w:val="none"/>
              </w:rPr>
            </w:pPr>
          </w:p>
          <w:p w:rsidR="00BB3751" w:rsidRPr="00384ADB" w:rsidRDefault="00BB3751" w:rsidP="000F0ADE">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KRR</w:t>
            </w:r>
            <w:r>
              <w:rPr>
                <w:rStyle w:val="InstructionsTabelleberschrift"/>
                <w:rFonts w:ascii="Times New Roman" w:hAnsi="Times New Roman"/>
                <w:b w:val="0"/>
                <w:sz w:val="24"/>
                <w:u w:val="none"/>
              </w:rPr>
              <w:t xml:space="preserve"> 401 straipsnis.</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54768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Įstaiga nurodo </w:t>
            </w:r>
            <w:r>
              <w:rPr>
                <w:rStyle w:val="FormatvorlageInstructionsTabelleText"/>
                <w:rFonts w:ascii="Times New Roman" w:hAnsi="Times New Roman"/>
                <w:sz w:val="24"/>
              </w:rPr>
              <w:t>KRR</w:t>
            </w:r>
            <w:r>
              <w:rPr>
                <w:rStyle w:val="InstructionsTabelleberschrift"/>
                <w:rFonts w:ascii="Times New Roman" w:hAnsi="Times New Roman"/>
                <w:b w:val="0"/>
                <w:sz w:val="24"/>
                <w:u w:val="none"/>
              </w:rPr>
              <w:t xml:space="preserve"> 4 straipsnio 1 dalies 58 punkte apibrėžto tiesioginio kredito užtikrinimo sumas, taikant </w:t>
            </w:r>
            <w:r>
              <w:rPr>
                <w:rStyle w:val="FormatvorlageInstructionsTabelleText"/>
                <w:rFonts w:ascii="Times New Roman" w:hAnsi="Times New Roman"/>
                <w:sz w:val="24"/>
              </w:rPr>
              <w:t xml:space="preserve">KRR </w:t>
            </w:r>
            <w:r>
              <w:rPr>
                <w:rStyle w:val="InstructionsTabelleberschrift"/>
                <w:rFonts w:ascii="Times New Roman" w:hAnsi="Times New Roman"/>
                <w:b w:val="0"/>
                <w:sz w:val="24"/>
                <w:u w:val="none"/>
              </w:rPr>
              <w:t>401 straipsnį atimtas iš pozicijos vertės.</w:t>
            </w:r>
          </w:p>
          <w:p w:rsidR="00B0191A" w:rsidRPr="00384ADB" w:rsidRDefault="00B0191A">
            <w:pPr>
              <w:pStyle w:val="InstructionsText"/>
              <w:rPr>
                <w:rStyle w:val="InstructionsTabelleberschrift"/>
                <w:rFonts w:ascii="Times New Roman" w:hAnsi="Times New Roman"/>
                <w:b w:val="0"/>
                <w:sz w:val="24"/>
                <w:u w:val="none"/>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310</w:t>
            </w:r>
          </w:p>
        </w:tc>
        <w:tc>
          <w:tcPr>
            <w:tcW w:w="7620" w:type="dxa"/>
          </w:tcPr>
          <w:p w:rsidR="00BB3751" w:rsidRPr="00384ADB" w:rsidRDefault="00BB3751" w:rsidP="0039317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Nekilnojamasis turtas</w:t>
            </w:r>
          </w:p>
          <w:p w:rsidR="00BB3751" w:rsidRPr="00384ADB" w:rsidRDefault="00BB3751" w:rsidP="0039317F">
            <w:pPr>
              <w:pStyle w:val="InstructionsText"/>
              <w:rPr>
                <w:rStyle w:val="InstructionsTabelleberschrift"/>
                <w:rFonts w:ascii="Times New Roman" w:hAnsi="Times New Roman"/>
                <w:b w:val="0"/>
                <w:sz w:val="24"/>
                <w:u w:val="none"/>
              </w:rPr>
            </w:pPr>
          </w:p>
          <w:p w:rsidR="00BB3751" w:rsidRPr="00384ADB" w:rsidRDefault="00BB3751" w:rsidP="000F0ADE">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KRR</w:t>
            </w:r>
            <w:r>
              <w:rPr>
                <w:rStyle w:val="InstructionsTabelleberschrift"/>
                <w:rFonts w:ascii="Times New Roman" w:hAnsi="Times New Roman"/>
                <w:b w:val="0"/>
                <w:sz w:val="24"/>
                <w:u w:val="none"/>
              </w:rPr>
              <w:t xml:space="preserve"> 402 straipsnis.</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54768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Įstaiga nurodo sumas, taikant </w:t>
            </w:r>
            <w:r>
              <w:rPr>
                <w:rStyle w:val="FormatvorlageInstructionsTabelleText"/>
                <w:rFonts w:ascii="Times New Roman" w:hAnsi="Times New Roman"/>
                <w:sz w:val="24"/>
              </w:rPr>
              <w:t>KRR</w:t>
            </w:r>
            <w:r>
              <w:rPr>
                <w:rStyle w:val="InstructionsTabelleberschrift"/>
                <w:rFonts w:ascii="Times New Roman" w:hAnsi="Times New Roman"/>
                <w:b w:val="0"/>
                <w:sz w:val="24"/>
                <w:u w:val="none"/>
              </w:rPr>
              <w:t xml:space="preserve"> 402 straipsnį atimtas iš pozicijos vertės.</w:t>
            </w:r>
          </w:p>
          <w:p w:rsidR="00B0191A" w:rsidRPr="00384ADB" w:rsidRDefault="00B0191A">
            <w:pPr>
              <w:pStyle w:val="InstructionsText"/>
              <w:rPr>
                <w:rStyle w:val="InstructionsTabelleberschrift"/>
                <w:rFonts w:ascii="Times New Roman" w:hAnsi="Times New Roman"/>
                <w:b w:val="0"/>
                <w:sz w:val="24"/>
                <w:u w:val="none"/>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320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Sumos, kurioms taikomos išimtys</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54652">
            <w:pPr>
              <w:spacing w:before="0" w:after="0"/>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KRR</w:t>
            </w:r>
            <w:r>
              <w:rPr>
                <w:rStyle w:val="InstructionsTabelleberschrift"/>
                <w:rFonts w:ascii="Times New Roman" w:hAnsi="Times New Roman"/>
                <w:b w:val="0"/>
                <w:sz w:val="24"/>
                <w:u w:val="none"/>
              </w:rPr>
              <w:t xml:space="preserve"> 400 straipsnis.</w:t>
            </w:r>
          </w:p>
          <w:p w:rsidR="00BB3751" w:rsidRPr="00384ADB" w:rsidRDefault="00BB3751" w:rsidP="00054652">
            <w:pPr>
              <w:spacing w:before="0" w:after="0"/>
              <w:rPr>
                <w:rStyle w:val="FormatvorlageInstructionsTabelleText"/>
                <w:rFonts w:ascii="Times New Roman" w:hAnsi="Times New Roman"/>
                <w:sz w:val="24"/>
              </w:rPr>
            </w:pPr>
          </w:p>
          <w:p w:rsidR="00BB3751" w:rsidRPr="00384ADB" w:rsidRDefault="0054768B" w:rsidP="00054652">
            <w:pPr>
              <w:spacing w:before="0" w:after="0"/>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Įstaiga nurodo sumas, </w:t>
            </w:r>
            <w:r>
              <w:rPr>
                <w:rStyle w:val="FormatvorlageInstructionsTabelleText"/>
                <w:rFonts w:ascii="Times New Roman" w:hAnsi="Times New Roman"/>
                <w:sz w:val="24"/>
              </w:rPr>
              <w:t>kurioms netaikomas didelių pozicijų režimas.</w:t>
            </w:r>
          </w:p>
          <w:p w:rsidR="00BB3751" w:rsidRPr="00384ADB" w:rsidRDefault="00BB3751" w:rsidP="006344BC">
            <w:pPr>
              <w:spacing w:before="0" w:after="0"/>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330-350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Pozicijos vertė pritaikius išimtis ir KRM</w:t>
            </w:r>
          </w:p>
          <w:p w:rsidR="00BB3751" w:rsidRPr="0039317F" w:rsidRDefault="00BB3751" w:rsidP="0039317F">
            <w:pPr>
              <w:pStyle w:val="InstructionsText"/>
            </w:pPr>
          </w:p>
          <w:p w:rsidR="00BB3751" w:rsidRPr="0039317F" w:rsidRDefault="00BB3751" w:rsidP="0039317F">
            <w:pPr>
              <w:pStyle w:val="InstructionsText"/>
            </w:pPr>
            <w:r>
              <w:rPr>
                <w:rStyle w:val="FormatvorlageInstructionsTabelleText"/>
                <w:rFonts w:ascii="Times New Roman" w:hAnsi="Times New Roman"/>
                <w:sz w:val="24"/>
              </w:rPr>
              <w:t>KRR</w:t>
            </w:r>
            <w:r>
              <w:t xml:space="preserve"> 394 straipsnio 1 dalies d punktas.</w:t>
            </w:r>
          </w:p>
          <w:p w:rsidR="00B0191A" w:rsidRPr="0039317F" w:rsidRDefault="00B0191A" w:rsidP="000F0ADE">
            <w:pPr>
              <w:pStyle w:val="InstructionsText"/>
            </w:pPr>
          </w:p>
          <w:p w:rsidR="00B0191A" w:rsidRPr="0039317F" w:rsidRDefault="0054768B">
            <w:pPr>
              <w:pStyle w:val="InstructionsText"/>
            </w:pPr>
            <w:r>
              <w:t xml:space="preserve">Įstaiga nurodo taikant </w:t>
            </w:r>
            <w:r>
              <w:rPr>
                <w:rStyle w:val="FormatvorlageInstructionsTabelleText"/>
                <w:rFonts w:ascii="Times New Roman" w:hAnsi="Times New Roman"/>
                <w:sz w:val="24"/>
              </w:rPr>
              <w:t>KRR</w:t>
            </w:r>
            <w:r>
              <w:t xml:space="preserve"> 395 straipsnio 1 dalį apskaičiuotą pozicijos ve</w:t>
            </w:r>
            <w:r>
              <w:t>r</w:t>
            </w:r>
            <w:r>
              <w:t>tę, atsižvelgusi į išimčių ir kredito rizikos mažinimo poveikį.</w:t>
            </w:r>
          </w:p>
          <w:p w:rsidR="00B0191A" w:rsidRPr="00384ADB" w:rsidRDefault="00B0191A">
            <w:pPr>
              <w:pStyle w:val="InstructionsText"/>
              <w:rPr>
                <w:rStyle w:val="InstructionsTabelleberschrift"/>
                <w:rFonts w:ascii="Times New Roman" w:hAnsi="Times New Roman"/>
                <w:bCs w:val="0"/>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330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Iš viso</w:t>
            </w:r>
          </w:p>
          <w:p w:rsidR="00BB3751" w:rsidRPr="00384ADB" w:rsidRDefault="00BB3751" w:rsidP="0039317F">
            <w:pPr>
              <w:pStyle w:val="InstructionsText"/>
            </w:pPr>
          </w:p>
          <w:p w:rsidR="00BB3751" w:rsidRPr="0039317F" w:rsidRDefault="00BB3751" w:rsidP="000F0ADE">
            <w:pPr>
              <w:pStyle w:val="InstructionsText"/>
            </w:pPr>
            <w:r>
              <w:t>Šioje skiltyje nurodoma suma, į kurią turi būti atsižvelgiama siekiant laikytis KRR 395 straipsnyje nustatytos didelių pozicijų ribos.</w:t>
            </w:r>
          </w:p>
          <w:p w:rsidR="00B0191A" w:rsidRPr="00384ADB" w:rsidRDefault="00B0191A">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340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Iš jos: ne prekybos knygos</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54768B"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Įstaiga nurodo visą į ne prekybos knygą įtrauktą poziciją pritaikius išimtis ir atsižvelgus į KRM poveikį.</w:t>
            </w:r>
          </w:p>
          <w:p w:rsidR="00BB3751" w:rsidRPr="00384ADB" w:rsidRDefault="00BB3751">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350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Reikalavimus atitinkančio kapitalo dalis %</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54768B" w:rsidP="00BE2D91">
            <w:pPr>
              <w:spacing w:before="0" w:after="0"/>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 xml:space="preserve">Įstaiga nurodo su KRR 4 straipsnio 1 dalies 71 punkto b papunktyje </w:t>
            </w:r>
            <w:r>
              <w:rPr>
                <w:rStyle w:val="InstructionsTabelleberschrift"/>
                <w:rFonts w:ascii="Times New Roman" w:hAnsi="Times New Roman"/>
                <w:b w:val="0"/>
                <w:sz w:val="24"/>
                <w:u w:val="none"/>
              </w:rPr>
              <w:t>apibrė</w:t>
            </w:r>
            <w:r>
              <w:rPr>
                <w:rStyle w:val="InstructionsTabelleberschrift"/>
                <w:rFonts w:ascii="Times New Roman" w:hAnsi="Times New Roman"/>
                <w:b w:val="0"/>
                <w:sz w:val="24"/>
                <w:u w:val="none"/>
              </w:rPr>
              <w:t>ž</w:t>
            </w:r>
            <w:r>
              <w:rPr>
                <w:rStyle w:val="InstructionsTabelleberschrift"/>
                <w:rFonts w:ascii="Times New Roman" w:hAnsi="Times New Roman"/>
                <w:b w:val="0"/>
                <w:sz w:val="24"/>
                <w:u w:val="none"/>
              </w:rPr>
              <w:lastRenderedPageBreak/>
              <w:t>tu reikalavimus atitinkančiu įstaigos kapitalu susijusios pozicijos vertės pr</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centinę dalį, pritaikius išimtis ir KRM.</w:t>
            </w:r>
          </w:p>
          <w:p w:rsidR="00BB3751" w:rsidRPr="00384ADB" w:rsidRDefault="00BB3751" w:rsidP="0039317F">
            <w:pPr>
              <w:pStyle w:val="InstructionsText"/>
              <w:rPr>
                <w:rStyle w:val="InstructionsTabelleberschrift"/>
                <w:rFonts w:ascii="Times New Roman" w:hAnsi="Times New Roman"/>
                <w:sz w:val="24"/>
              </w:rPr>
            </w:pPr>
          </w:p>
        </w:tc>
      </w:tr>
    </w:tbl>
    <w:p w:rsidR="003105C6" w:rsidRPr="00384ADB" w:rsidRDefault="00BD0674" w:rsidP="00C52CE2">
      <w:pPr>
        <w:pStyle w:val="Instructionsberschrift2"/>
        <w:numPr>
          <w:ilvl w:val="0"/>
          <w:numId w:val="22"/>
        </w:numPr>
        <w:rPr>
          <w:rFonts w:ascii="Times New Roman" w:hAnsi="Times New Roman" w:cs="Times New Roman"/>
          <w:b/>
          <w:sz w:val="24"/>
          <w:u w:val="none"/>
        </w:rPr>
      </w:pPr>
      <w:bookmarkStart w:id="34" w:name="_Toc358305157"/>
      <w:bookmarkStart w:id="35" w:name="_Toc393461963"/>
      <w:bookmarkStart w:id="36" w:name="_Toc524082069"/>
      <w:r>
        <w:rPr>
          <w:rFonts w:ascii="Times New Roman" w:hAnsi="Times New Roman"/>
          <w:b/>
          <w:sz w:val="24"/>
          <w:u w:val="none"/>
        </w:rPr>
        <w:lastRenderedPageBreak/>
        <w:t>C 29.00. Duomenys apie atskirų klientų pozicijas susijusių klientų grupėse</w:t>
      </w:r>
      <w:bookmarkEnd w:id="34"/>
      <w:r>
        <w:rPr>
          <w:rFonts w:ascii="Times New Roman" w:hAnsi="Times New Roman"/>
          <w:b/>
          <w:sz w:val="24"/>
          <w:u w:val="none"/>
        </w:rPr>
        <w:t xml:space="preserve"> (LE3)</w:t>
      </w:r>
      <w:bookmarkEnd w:id="35"/>
      <w:bookmarkEnd w:id="36"/>
    </w:p>
    <w:p w:rsidR="003105C6" w:rsidRPr="00384ADB" w:rsidRDefault="003105C6" w:rsidP="00C52CE2">
      <w:pPr>
        <w:pStyle w:val="Instructionsberschrift2"/>
        <w:numPr>
          <w:ilvl w:val="1"/>
          <w:numId w:val="22"/>
        </w:numPr>
        <w:rPr>
          <w:rFonts w:ascii="Times New Roman" w:hAnsi="Times New Roman" w:cs="Times New Roman"/>
          <w:sz w:val="24"/>
        </w:rPr>
      </w:pPr>
      <w:bookmarkStart w:id="37" w:name="_Toc308175824"/>
      <w:bookmarkStart w:id="38" w:name="_Toc310414970"/>
      <w:bookmarkStart w:id="39" w:name="_Toc358305158"/>
      <w:bookmarkStart w:id="40" w:name="_Toc393461964"/>
      <w:bookmarkStart w:id="41" w:name="_Toc524082070"/>
      <w:r>
        <w:rPr>
          <w:rFonts w:ascii="Times New Roman" w:hAnsi="Times New Roman"/>
          <w:sz w:val="24"/>
        </w:rPr>
        <w:t>Nurodymai dėl konkrečių</w:t>
      </w:r>
      <w:bookmarkEnd w:id="37"/>
      <w:bookmarkEnd w:id="38"/>
      <w:r>
        <w:rPr>
          <w:rFonts w:ascii="Times New Roman" w:hAnsi="Times New Roman"/>
          <w:sz w:val="24"/>
        </w:rPr>
        <w:t xml:space="preserve"> skilčių</w:t>
      </w:r>
      <w:bookmarkEnd w:id="39"/>
      <w:bookmarkEnd w:id="40"/>
      <w:bookmarkEnd w:id="41"/>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5514AF" w:rsidRPr="00384ADB" w:rsidTr="00E17043">
        <w:tc>
          <w:tcPr>
            <w:tcW w:w="1418" w:type="dxa"/>
            <w:shd w:val="clear" w:color="auto" w:fill="D9D9D9"/>
          </w:tcPr>
          <w:p w:rsidR="005514AF" w:rsidRPr="00384ADB" w:rsidRDefault="005514AF" w:rsidP="0039317F">
            <w:pPr>
              <w:pStyle w:val="InstructionsText"/>
              <w:rPr>
                <w:rStyle w:val="InstructionsTabelleText"/>
                <w:rFonts w:ascii="Times New Roman" w:hAnsi="Times New Roman"/>
                <w:b/>
                <w:sz w:val="24"/>
              </w:rPr>
            </w:pPr>
            <w:r>
              <w:rPr>
                <w:rStyle w:val="InstructionsTabelleText"/>
                <w:rFonts w:ascii="Times New Roman" w:hAnsi="Times New Roman"/>
                <w:b/>
                <w:sz w:val="24"/>
              </w:rPr>
              <w:t>Skiltis</w:t>
            </w:r>
          </w:p>
        </w:tc>
        <w:tc>
          <w:tcPr>
            <w:tcW w:w="7620" w:type="dxa"/>
            <w:shd w:val="clear" w:color="auto" w:fill="D9D9D9"/>
          </w:tcPr>
          <w:p w:rsidR="005514AF" w:rsidRPr="00384ADB" w:rsidRDefault="005514AF" w:rsidP="0039317F">
            <w:pPr>
              <w:pStyle w:val="InstructionsText"/>
              <w:rPr>
                <w:rStyle w:val="InstructionsTabelleText"/>
                <w:rFonts w:ascii="Times New Roman" w:hAnsi="Times New Roman"/>
                <w:b/>
                <w:bCs/>
                <w:sz w:val="24"/>
              </w:rPr>
            </w:pPr>
            <w:r>
              <w:rPr>
                <w:rStyle w:val="InstructionsTabelleText"/>
                <w:rFonts w:ascii="Times New Roman" w:hAnsi="Times New Roman"/>
                <w:b/>
                <w:sz w:val="24"/>
              </w:rPr>
              <w:t>Nuorodos į teisės aktus ir nurodymai</w:t>
            </w:r>
          </w:p>
        </w:tc>
      </w:tr>
      <w:tr w:rsidR="005514AF" w:rsidRPr="00384ADB" w:rsidTr="00E17043">
        <w:tc>
          <w:tcPr>
            <w:tcW w:w="1418" w:type="dxa"/>
          </w:tcPr>
          <w:p w:rsidR="005514AF"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010-360</w:t>
            </w:r>
          </w:p>
        </w:tc>
        <w:tc>
          <w:tcPr>
            <w:tcW w:w="7620" w:type="dxa"/>
          </w:tcPr>
          <w:p w:rsidR="00704405" w:rsidRPr="00384ADB" w:rsidRDefault="00704405" w:rsidP="0039317F">
            <w:pPr>
              <w:pStyle w:val="InstructionsText"/>
            </w:pPr>
          </w:p>
          <w:p w:rsidR="005514AF" w:rsidRPr="00384ADB" w:rsidRDefault="00BA7374" w:rsidP="0039317F">
            <w:pPr>
              <w:pStyle w:val="InstructionsText"/>
              <w:rPr>
                <w:rStyle w:val="FormatvorlageInstructionsTabelleText"/>
                <w:rFonts w:ascii="Times New Roman" w:hAnsi="Times New Roman"/>
                <w:sz w:val="24"/>
              </w:rPr>
            </w:pPr>
            <w:r>
              <w:t>LE3 formoje įstaiga pateikia į LE2 formos eilutes įtrauktoms susijusių klie</w:t>
            </w:r>
            <w:r>
              <w:t>n</w:t>
            </w:r>
            <w:r>
              <w:t xml:space="preserve">tų grupėms priklausančių atskirų klientų duomenis. </w:t>
            </w:r>
          </w:p>
          <w:p w:rsidR="009F75EC" w:rsidRPr="00384ADB" w:rsidRDefault="009F75EC" w:rsidP="000F0ADE">
            <w:pPr>
              <w:pStyle w:val="InstructionsText"/>
              <w:rPr>
                <w:rStyle w:val="InstructionsTabelleberschrift"/>
                <w:rFonts w:ascii="Times New Roman" w:hAnsi="Times New Roman"/>
                <w:b w:val="0"/>
                <w:sz w:val="24"/>
                <w:u w:val="none"/>
              </w:rPr>
            </w:pPr>
          </w:p>
        </w:tc>
      </w:tr>
      <w:tr w:rsidR="006E7C46" w:rsidRPr="00384ADB" w:rsidTr="00383747">
        <w:trPr>
          <w:trHeight w:val="1203"/>
        </w:trPr>
        <w:tc>
          <w:tcPr>
            <w:tcW w:w="1418" w:type="dxa"/>
          </w:tcPr>
          <w:p w:rsidR="006E7C46"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tc>
        <w:tc>
          <w:tcPr>
            <w:tcW w:w="7620" w:type="dxa"/>
          </w:tcPr>
          <w:p w:rsidR="006E7C46" w:rsidRPr="00384ADB" w:rsidRDefault="006E7C46"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Kodas</w:t>
            </w:r>
          </w:p>
          <w:p w:rsidR="006E7C46" w:rsidRPr="00384ADB" w:rsidRDefault="006E7C46" w:rsidP="0039317F">
            <w:pPr>
              <w:pStyle w:val="InstructionsText"/>
              <w:rPr>
                <w:rStyle w:val="InstructionsTabelleberschrift"/>
                <w:rFonts w:ascii="Times New Roman" w:hAnsi="Times New Roman"/>
                <w:b w:val="0"/>
                <w:sz w:val="24"/>
                <w:u w:val="none"/>
              </w:rPr>
            </w:pPr>
          </w:p>
          <w:p w:rsidR="00BD0674" w:rsidRPr="00384ADB" w:rsidRDefault="00BD0674"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 ir 020 skiltys yra sudėtinis eilutės identifikatorius ir kiekvienai lentelės eilutei jos kartu turi būti unikalios.</w:t>
            </w:r>
          </w:p>
          <w:p w:rsidR="00C53963" w:rsidRPr="00384ADB" w:rsidRDefault="00C53963">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Nurodomas susijusių klientų grupėms priklausančios atskiros sandorio šalies kodas.</w:t>
            </w:r>
          </w:p>
          <w:p w:rsidR="00C53963" w:rsidRPr="00384ADB" w:rsidRDefault="00C53963">
            <w:pPr>
              <w:pStyle w:val="InstructionsText"/>
              <w:rPr>
                <w:rStyle w:val="InstructionsTabelleberschrift"/>
                <w:rFonts w:ascii="Times New Roman" w:hAnsi="Times New Roman"/>
                <w:sz w:val="24"/>
              </w:rPr>
            </w:pPr>
          </w:p>
        </w:tc>
      </w:tr>
      <w:tr w:rsidR="00FC221F" w:rsidRPr="00384ADB" w:rsidTr="00383747">
        <w:trPr>
          <w:trHeight w:val="1203"/>
        </w:trPr>
        <w:tc>
          <w:tcPr>
            <w:tcW w:w="1418" w:type="dxa"/>
          </w:tcPr>
          <w:p w:rsidR="00FC221F"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rsidR="00FC221F" w:rsidRPr="00384ADB" w:rsidRDefault="00FC221F"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Grupės kodas</w:t>
            </w:r>
          </w:p>
          <w:p w:rsidR="00FC221F" w:rsidRPr="00384ADB" w:rsidRDefault="00FC221F" w:rsidP="0039317F">
            <w:pPr>
              <w:pStyle w:val="InstructionsText"/>
              <w:rPr>
                <w:rStyle w:val="InstructionsTabelleberschrift"/>
                <w:rFonts w:ascii="Times New Roman" w:hAnsi="Times New Roman"/>
                <w:sz w:val="24"/>
              </w:rPr>
            </w:pPr>
          </w:p>
          <w:p w:rsidR="00BD0674" w:rsidRDefault="00BD0674"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 ir 020 skiltys yra sudėtinis eilutės identifikatorius ir kiekvienai lentelės eilutei jos kartu turi būti unikalios.</w:t>
            </w:r>
          </w:p>
          <w:p w:rsidR="007449CB" w:rsidRPr="00384ADB" w:rsidRDefault="007449C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Jeigu susijusių klientų grupė turi nacionalinio lygmens unikalų kodą, nur</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domas šis kodas. Jeigu nacionalinio lygmens unikalaus kodo nėra, nurod</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mas kodas, naudojamas susijusių klientų grupės pozicijoms nurodyti C 28.00 formoje (LE2).</w:t>
            </w:r>
          </w:p>
          <w:p w:rsidR="00B0191A" w:rsidRPr="00384ADB" w:rsidRDefault="00D46F08">
            <w:pPr>
              <w:pStyle w:val="InstructionsText"/>
              <w:rPr>
                <w:rStyle w:val="InstructionsTabelleberschrift"/>
                <w:rFonts w:ascii="Times New Roman" w:hAnsi="Times New Roman"/>
                <w:b w:val="0"/>
                <w:sz w:val="24"/>
                <w:u w:val="none"/>
              </w:rPr>
            </w:pPr>
            <w:r>
              <w:t>Jei klientas priklauso kelioms susijusių klientų grupėms, jis nurodomas kaip visų susijusių klientų grupių narys.</w:t>
            </w:r>
            <w:r>
              <w:rPr>
                <w:rStyle w:val="InstructionsTabelleberschrift"/>
                <w:rFonts w:ascii="Times New Roman" w:hAnsi="Times New Roman"/>
                <w:b w:val="0"/>
                <w:sz w:val="24"/>
                <w:u w:val="none"/>
              </w:rPr>
              <w:t xml:space="preserve"> </w:t>
            </w:r>
          </w:p>
          <w:p w:rsidR="00B0191A" w:rsidRPr="00384ADB" w:rsidRDefault="00B0191A">
            <w:pPr>
              <w:pStyle w:val="InstructionsText"/>
              <w:rPr>
                <w:rStyle w:val="InstructionsTabelleberschrift"/>
                <w:rFonts w:ascii="Times New Roman" w:hAnsi="Times New Roman"/>
                <w:sz w:val="24"/>
              </w:rPr>
            </w:pPr>
          </w:p>
        </w:tc>
      </w:tr>
      <w:tr w:rsidR="006E7C46" w:rsidRPr="00384ADB" w:rsidTr="00E17043">
        <w:tc>
          <w:tcPr>
            <w:tcW w:w="1418" w:type="dxa"/>
          </w:tcPr>
          <w:p w:rsidR="006E7C46"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rsidR="006E7C46" w:rsidRPr="00384ADB" w:rsidRDefault="006E7C46"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Sandoriai, susiję su pagrindinio turto pozicija </w:t>
            </w:r>
          </w:p>
          <w:p w:rsidR="006E7C46" w:rsidRPr="00384ADB" w:rsidRDefault="006E7C46" w:rsidP="0039317F">
            <w:pPr>
              <w:pStyle w:val="InstructionsText"/>
              <w:rPr>
                <w:rStyle w:val="FormatvorlageInstructionsTabelleText"/>
                <w:rFonts w:ascii="Times New Roman" w:hAnsi="Times New Roman"/>
                <w:sz w:val="24"/>
              </w:rPr>
            </w:pPr>
          </w:p>
          <w:p w:rsidR="003D3140" w:rsidRPr="00384ADB" w:rsidRDefault="003D3140"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Žr. LE2 formos 030 skiltį.</w:t>
            </w:r>
          </w:p>
          <w:p w:rsidR="00B0191A" w:rsidRPr="00384ADB" w:rsidRDefault="00B0191A">
            <w:pPr>
              <w:pStyle w:val="InstructionsText"/>
              <w:rPr>
                <w:rStyle w:val="InstructionsTabelleberschrift"/>
                <w:rFonts w:ascii="Times New Roman" w:hAnsi="Times New Roman"/>
                <w:sz w:val="24"/>
              </w:rPr>
            </w:pPr>
          </w:p>
        </w:tc>
      </w:tr>
      <w:tr w:rsidR="005514AF" w:rsidRPr="00384ADB" w:rsidTr="00E17043">
        <w:tc>
          <w:tcPr>
            <w:tcW w:w="1418" w:type="dxa"/>
          </w:tcPr>
          <w:p w:rsidR="005514AF"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w:t>
            </w:r>
          </w:p>
        </w:tc>
        <w:tc>
          <w:tcPr>
            <w:tcW w:w="7620" w:type="dxa"/>
          </w:tcPr>
          <w:p w:rsidR="005514AF" w:rsidRPr="00384ADB" w:rsidRDefault="00FC221F"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Ryšio tipas</w:t>
            </w:r>
          </w:p>
          <w:p w:rsidR="005514AF" w:rsidRPr="00384ADB" w:rsidRDefault="005514AF" w:rsidP="0039317F">
            <w:pPr>
              <w:pStyle w:val="InstructionsText"/>
              <w:rPr>
                <w:rStyle w:val="FormatvorlageInstructionsTabelleText"/>
                <w:rFonts w:ascii="Times New Roman" w:hAnsi="Times New Roman"/>
                <w:b/>
                <w:sz w:val="24"/>
              </w:rPr>
            </w:pPr>
          </w:p>
          <w:p w:rsidR="00B05254" w:rsidRPr="00384ADB" w:rsidRDefault="00D46F08"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Atskiro subjekto ir susijusių klientų ryšio tipas nurodomas šiomis raidėmis:</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B052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 kaip apibrėžta KRR 4 straipsnio 1 dalies 39 punkto a papunktyje (kontr</w:t>
            </w:r>
            <w:r>
              <w:rPr>
                <w:rStyle w:val="FormatvorlageInstructionsTabelleText"/>
                <w:rFonts w:ascii="Times New Roman" w:hAnsi="Times New Roman"/>
                <w:sz w:val="24"/>
              </w:rPr>
              <w:t>o</w:t>
            </w:r>
            <w:r>
              <w:rPr>
                <w:rStyle w:val="FormatvorlageInstructionsTabelleText"/>
                <w:rFonts w:ascii="Times New Roman" w:hAnsi="Times New Roman"/>
                <w:sz w:val="24"/>
              </w:rPr>
              <w:t>lė) arba</w:t>
            </w:r>
          </w:p>
          <w:p w:rsidR="00B0191A" w:rsidRPr="00384ADB" w:rsidRDefault="00B052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 – kaip apibrėžta KRR 4 straipsnio 1 dalies 39 punkto b papunktyje (tarp</w:t>
            </w:r>
            <w:r>
              <w:rPr>
                <w:rStyle w:val="FormatvorlageInstructionsTabelleText"/>
                <w:rFonts w:ascii="Times New Roman" w:hAnsi="Times New Roman"/>
                <w:sz w:val="24"/>
              </w:rPr>
              <w:t>u</w:t>
            </w:r>
            <w:r>
              <w:rPr>
                <w:rStyle w:val="FormatvorlageInstructionsTabelleText"/>
                <w:rFonts w:ascii="Times New Roman" w:hAnsi="Times New Roman"/>
                <w:sz w:val="24"/>
              </w:rPr>
              <w:t>savio sąsaja).</w:t>
            </w:r>
          </w:p>
          <w:p w:rsidR="00B0191A" w:rsidRPr="00384ADB" w:rsidRDefault="00B0191A">
            <w:pPr>
              <w:pStyle w:val="InstructionsText"/>
              <w:rPr>
                <w:rStyle w:val="FormatvorlageInstructionsTabelleText"/>
                <w:rFonts w:ascii="Times New Roman" w:hAnsi="Times New Roman"/>
                <w:b/>
                <w:sz w:val="24"/>
              </w:rPr>
            </w:pPr>
          </w:p>
        </w:tc>
      </w:tr>
      <w:tr w:rsidR="009F75EC" w:rsidRPr="00384ADB" w:rsidTr="009F75EC">
        <w:tc>
          <w:tcPr>
            <w:tcW w:w="1418" w:type="dxa"/>
          </w:tcPr>
          <w:p w:rsidR="009F75EC"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050–360</w:t>
            </w:r>
          </w:p>
        </w:tc>
        <w:tc>
          <w:tcPr>
            <w:tcW w:w="7620" w:type="dxa"/>
          </w:tcPr>
          <w:p w:rsidR="00464111" w:rsidRPr="00384ADB" w:rsidRDefault="00464111" w:rsidP="0039317F">
            <w:pPr>
              <w:pStyle w:val="InstructionsText"/>
              <w:rPr>
                <w:rStyle w:val="InstructionsTabelleberschrift"/>
                <w:rFonts w:ascii="Times New Roman" w:hAnsi="Times New Roman"/>
                <w:b w:val="0"/>
                <w:sz w:val="24"/>
                <w:u w:val="none"/>
              </w:rPr>
            </w:pPr>
          </w:p>
          <w:p w:rsidR="00464111" w:rsidRPr="00384ADB" w:rsidRDefault="00464111" w:rsidP="0039317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Jei LE2 formoje nurodomos visos susijusių klientų grupės finansinės pri</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monės, LE3 formoje taikant įstaigos veiklos kriterijus jos priskiriamos atsk</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 xml:space="preserve">roms sandorio šalims. </w:t>
            </w:r>
          </w:p>
          <w:p w:rsidR="00667F2D" w:rsidRPr="00384ADB" w:rsidRDefault="00667F2D" w:rsidP="000F0ADE">
            <w:pPr>
              <w:pStyle w:val="InstructionsText"/>
              <w:rPr>
                <w:rStyle w:val="InstructionsTabelleberschrift"/>
                <w:rFonts w:ascii="Times New Roman" w:hAnsi="Times New Roman"/>
                <w:sz w:val="24"/>
              </w:rPr>
            </w:pPr>
          </w:p>
          <w:p w:rsidR="00B0191A" w:rsidRPr="00384ADB" w:rsidRDefault="00667F2D">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Kiti nurodymai tokie pat kaip LE2 formos.</w:t>
            </w:r>
          </w:p>
          <w:p w:rsidR="00B0191A" w:rsidRPr="00384ADB" w:rsidRDefault="00B0191A">
            <w:pPr>
              <w:pStyle w:val="InstructionsText"/>
              <w:rPr>
                <w:rStyle w:val="InstructionsTabelleberschrift"/>
                <w:rFonts w:ascii="Times New Roman" w:hAnsi="Times New Roman"/>
                <w:sz w:val="24"/>
              </w:rPr>
            </w:pPr>
          </w:p>
        </w:tc>
      </w:tr>
    </w:tbl>
    <w:p w:rsidR="00915A9C" w:rsidRPr="00384ADB" w:rsidRDefault="00BD0674" w:rsidP="00C52CE2">
      <w:pPr>
        <w:pStyle w:val="Instructionsberschrift2"/>
        <w:numPr>
          <w:ilvl w:val="0"/>
          <w:numId w:val="22"/>
        </w:numPr>
        <w:rPr>
          <w:rFonts w:ascii="Times New Roman" w:hAnsi="Times New Roman" w:cs="Times New Roman"/>
          <w:b/>
          <w:sz w:val="24"/>
          <w:u w:val="none"/>
        </w:rPr>
      </w:pPr>
      <w:bookmarkStart w:id="42" w:name="_Toc358305159"/>
      <w:bookmarkStart w:id="43" w:name="_Toc393461965"/>
      <w:bookmarkStart w:id="44" w:name="_Toc524082071"/>
      <w:bookmarkEnd w:id="0"/>
      <w:bookmarkEnd w:id="1"/>
      <w:r>
        <w:rPr>
          <w:rFonts w:ascii="Times New Roman" w:hAnsi="Times New Roman"/>
          <w:b/>
          <w:sz w:val="24"/>
          <w:u w:val="none"/>
        </w:rPr>
        <w:lastRenderedPageBreak/>
        <w:t>C 30.00. Dešimties didžiausių įstaigų pozicijų ir dešimties didžiausių nereguliuoj</w:t>
      </w:r>
      <w:r>
        <w:rPr>
          <w:rFonts w:ascii="Times New Roman" w:hAnsi="Times New Roman"/>
          <w:b/>
          <w:sz w:val="24"/>
          <w:u w:val="none"/>
        </w:rPr>
        <w:t>a</w:t>
      </w:r>
      <w:r>
        <w:rPr>
          <w:rFonts w:ascii="Times New Roman" w:hAnsi="Times New Roman"/>
          <w:b/>
          <w:sz w:val="24"/>
          <w:u w:val="none"/>
        </w:rPr>
        <w:t>mųjų finansų sektoriaus subjektų pozicijų terminų intervalai</w:t>
      </w:r>
      <w:bookmarkEnd w:id="42"/>
      <w:r>
        <w:rPr>
          <w:rFonts w:ascii="Times New Roman" w:hAnsi="Times New Roman"/>
          <w:b/>
          <w:sz w:val="24"/>
          <w:u w:val="none"/>
        </w:rPr>
        <w:t xml:space="preserve"> (LE4 forma)</w:t>
      </w:r>
      <w:bookmarkEnd w:id="43"/>
      <w:bookmarkEnd w:id="44"/>
    </w:p>
    <w:p w:rsidR="00915A9C" w:rsidRPr="00384ADB" w:rsidRDefault="00915A9C" w:rsidP="00C52CE2">
      <w:pPr>
        <w:pStyle w:val="Instructionsberschrift2"/>
        <w:numPr>
          <w:ilvl w:val="1"/>
          <w:numId w:val="22"/>
        </w:numPr>
        <w:rPr>
          <w:rFonts w:ascii="Times New Roman" w:hAnsi="Times New Roman" w:cs="Times New Roman"/>
          <w:sz w:val="24"/>
        </w:rPr>
      </w:pPr>
      <w:bookmarkStart w:id="45" w:name="_Toc358305160"/>
      <w:bookmarkStart w:id="46" w:name="_Toc393461966"/>
      <w:bookmarkStart w:id="47" w:name="_Toc524082072"/>
      <w:r>
        <w:rPr>
          <w:rFonts w:ascii="Times New Roman" w:hAnsi="Times New Roman"/>
          <w:sz w:val="24"/>
        </w:rPr>
        <w:t>Nurodymai dėl konkrečių skilčių</w:t>
      </w:r>
      <w:bookmarkEnd w:id="45"/>
      <w:bookmarkEnd w:id="46"/>
      <w:bookmarkEnd w:id="47"/>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915A9C" w:rsidRPr="00384ADB" w:rsidTr="00915A9C">
        <w:tc>
          <w:tcPr>
            <w:tcW w:w="1418" w:type="dxa"/>
            <w:shd w:val="clear" w:color="auto" w:fill="D9D9D9"/>
          </w:tcPr>
          <w:p w:rsidR="00915A9C" w:rsidRPr="00384ADB" w:rsidRDefault="00915A9C" w:rsidP="0039317F">
            <w:pPr>
              <w:pStyle w:val="InstructionsText"/>
              <w:rPr>
                <w:rStyle w:val="InstructionsTabelleText"/>
                <w:rFonts w:ascii="Times New Roman" w:hAnsi="Times New Roman"/>
                <w:b/>
                <w:sz w:val="24"/>
              </w:rPr>
            </w:pPr>
            <w:r>
              <w:rPr>
                <w:rStyle w:val="InstructionsTabelleText"/>
                <w:rFonts w:ascii="Times New Roman" w:hAnsi="Times New Roman"/>
                <w:b/>
                <w:sz w:val="24"/>
              </w:rPr>
              <w:t>Skiltis</w:t>
            </w:r>
          </w:p>
        </w:tc>
        <w:tc>
          <w:tcPr>
            <w:tcW w:w="7620" w:type="dxa"/>
            <w:shd w:val="clear" w:color="auto" w:fill="D9D9D9"/>
          </w:tcPr>
          <w:p w:rsidR="00915A9C" w:rsidRPr="00384ADB" w:rsidRDefault="00915A9C" w:rsidP="0039317F">
            <w:pPr>
              <w:pStyle w:val="InstructionsText"/>
              <w:rPr>
                <w:rStyle w:val="InstructionsTabelleText"/>
                <w:rFonts w:ascii="Times New Roman" w:hAnsi="Times New Roman"/>
                <w:b/>
                <w:bCs/>
                <w:sz w:val="24"/>
              </w:rPr>
            </w:pPr>
            <w:r>
              <w:rPr>
                <w:rStyle w:val="InstructionsTabelleText"/>
                <w:rFonts w:ascii="Times New Roman" w:hAnsi="Times New Roman"/>
                <w:b/>
                <w:sz w:val="24"/>
              </w:rPr>
              <w:t>Nuorodos į teisės aktus ir nurodymai</w:t>
            </w:r>
          </w:p>
        </w:tc>
      </w:tr>
      <w:tr w:rsidR="00915A9C" w:rsidRPr="00384ADB" w:rsidTr="00915A9C">
        <w:tc>
          <w:tcPr>
            <w:tcW w:w="1418" w:type="dxa"/>
          </w:tcPr>
          <w:p w:rsidR="00915A9C"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tc>
        <w:tc>
          <w:tcPr>
            <w:tcW w:w="7620" w:type="dxa"/>
          </w:tcPr>
          <w:p w:rsidR="00915A9C" w:rsidRPr="00384ADB" w:rsidRDefault="00915A9C"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Kodas</w:t>
            </w:r>
          </w:p>
          <w:p w:rsidR="00915A9C" w:rsidRPr="00384ADB" w:rsidRDefault="00915A9C" w:rsidP="0039317F">
            <w:pPr>
              <w:pStyle w:val="InstructionsText"/>
              <w:rPr>
                <w:rStyle w:val="FormatvorlageInstructionsTabelleText"/>
                <w:rFonts w:ascii="Times New Roman" w:hAnsi="Times New Roman"/>
                <w:sz w:val="24"/>
              </w:rPr>
            </w:pPr>
          </w:p>
          <w:p w:rsidR="00BD0674" w:rsidRPr="00384ADB" w:rsidRDefault="00BD0674"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Kodas yra eilutės identifikatorius ir kiekvienai lentelės eilutei turi būti un</w:t>
            </w:r>
            <w:r>
              <w:rPr>
                <w:rStyle w:val="FormatvorlageInstructionsTabelleText"/>
                <w:rFonts w:ascii="Times New Roman" w:hAnsi="Times New Roman"/>
                <w:sz w:val="24"/>
              </w:rPr>
              <w:t>i</w:t>
            </w:r>
            <w:r>
              <w:rPr>
                <w:rStyle w:val="FormatvorlageInstructionsTabelleText"/>
                <w:rFonts w:ascii="Times New Roman" w:hAnsi="Times New Roman"/>
                <w:sz w:val="24"/>
              </w:rPr>
              <w:t>kalus.</w:t>
            </w:r>
          </w:p>
          <w:p w:rsidR="00B0191A" w:rsidRPr="00384ADB" w:rsidRDefault="00915A9C">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Žr. LE1 formos 010 skiltį.</w:t>
            </w:r>
          </w:p>
          <w:p w:rsidR="00B0191A" w:rsidRPr="00384ADB" w:rsidRDefault="00B0191A">
            <w:pPr>
              <w:pStyle w:val="InstructionsText"/>
              <w:rPr>
                <w:rStyle w:val="FormatvorlageInstructionsTabelleText"/>
                <w:rFonts w:ascii="Times New Roman" w:hAnsi="Times New Roman"/>
                <w:b/>
                <w:sz w:val="24"/>
              </w:rPr>
            </w:pPr>
          </w:p>
        </w:tc>
      </w:tr>
      <w:tr w:rsidR="00915A9C" w:rsidRPr="00384ADB" w:rsidTr="00915A9C">
        <w:tc>
          <w:tcPr>
            <w:tcW w:w="1418" w:type="dxa"/>
          </w:tcPr>
          <w:p w:rsidR="00915A9C"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020–250</w:t>
            </w:r>
          </w:p>
        </w:tc>
        <w:tc>
          <w:tcPr>
            <w:tcW w:w="7620" w:type="dxa"/>
          </w:tcPr>
          <w:p w:rsidR="00915A9C" w:rsidRPr="00384ADB" w:rsidRDefault="00915A9C"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Pozicijos terminų intervalai</w:t>
            </w:r>
          </w:p>
          <w:p w:rsidR="00915A9C" w:rsidRPr="00384ADB" w:rsidRDefault="00915A9C" w:rsidP="0039317F">
            <w:pPr>
              <w:pStyle w:val="InstructionsText"/>
              <w:rPr>
                <w:rStyle w:val="InstructionsTabelleberschrift"/>
                <w:rFonts w:ascii="Times New Roman" w:hAnsi="Times New Roman"/>
                <w:sz w:val="24"/>
              </w:rPr>
            </w:pPr>
          </w:p>
          <w:p w:rsidR="00ED1EF3" w:rsidRPr="00384ADB" w:rsidRDefault="00915A9C" w:rsidP="000F0ADE">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KRR</w:t>
            </w:r>
            <w:r>
              <w:rPr>
                <w:rStyle w:val="InstructionsTabelleberschrift"/>
                <w:rFonts w:ascii="Times New Roman" w:hAnsi="Times New Roman"/>
                <w:b w:val="0"/>
                <w:sz w:val="24"/>
                <w:u w:val="none"/>
              </w:rPr>
              <w:t xml:space="preserve"> 394 straipsnio 2 dalies e punktas</w:t>
            </w:r>
            <w:r>
              <w:t>.</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9E6A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Įstaiga šią informaciją teikia apie dešimt didžiausių įstaigų pozicijų ir d</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 xml:space="preserve">šimt didžiausių nereguliuojamųjų finansų sektoriaus subjektų pozicijų.  </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ED1EF3">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Terminų intervalai nustatomi kaip mėnesinis intervalas iki vienų metų, ke</w:t>
            </w:r>
            <w:r>
              <w:rPr>
                <w:rStyle w:val="InstructionsTabelleberschrift"/>
                <w:rFonts w:ascii="Times New Roman" w:hAnsi="Times New Roman"/>
                <w:b w:val="0"/>
                <w:sz w:val="24"/>
                <w:u w:val="none"/>
              </w:rPr>
              <w:t>t</w:t>
            </w:r>
            <w:r>
              <w:rPr>
                <w:rStyle w:val="InstructionsTabelleberschrift"/>
                <w:rFonts w:ascii="Times New Roman" w:hAnsi="Times New Roman"/>
                <w:b w:val="0"/>
                <w:sz w:val="24"/>
                <w:u w:val="none"/>
              </w:rPr>
              <w:t xml:space="preserve">virčio intervalas – nuo vienų iki trejų metų, o didesni intervalai – nuo trejų metų. </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7449C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Nurodant kiekvieną pozicijos vertę prieš taikant išimtis ir KRM (LE2 formos 210 skiltis), nurodoma jos numatomo likutinio termino atiti</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kamo intervalo visa neapmokėta suma. Jeigu kliento poziciją sudaro keli a</w:t>
            </w:r>
            <w:r>
              <w:rPr>
                <w:rStyle w:val="InstructionsTabelleberschrift"/>
                <w:rFonts w:ascii="Times New Roman" w:hAnsi="Times New Roman"/>
                <w:b w:val="0"/>
                <w:sz w:val="24"/>
                <w:u w:val="none"/>
              </w:rPr>
              <w:t>t</w:t>
            </w:r>
            <w:r>
              <w:rPr>
                <w:rStyle w:val="InstructionsTabelleberschrift"/>
                <w:rFonts w:ascii="Times New Roman" w:hAnsi="Times New Roman"/>
                <w:b w:val="0"/>
                <w:sz w:val="24"/>
                <w:u w:val="none"/>
              </w:rPr>
              <w:t>skiri ryšiai, nurodant kiekvieną iš šių pozicijos dalių, nurodoma jos num</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tomo likutinio termino atitinkamo intervalo visa neapmokėta suma.  Priem</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nės, kurių terminas nenustatytas, pvz., nuosavybės priemonės, įtraukiamos į skiltį „Neapibrėžtas terminas“.</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915A9C">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Nurodomas numatomas ir tiesioginių, ir netiesioginių pozicijų terminas.</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915A9C" w:rsidP="0039317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Tiesioginių pozicijų atveju numatomos skolos priemonių ir išvestinių fina</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sinių priemonių sumos priskiriamos prie įvairių šios formos terminų interv</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lų laikantis papildomų likvidumo parametrų terminų atitikimo formos nur</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 xml:space="preserve">dymų (žr. šio reglamento XXIII priedą). </w:t>
            </w:r>
          </w:p>
          <w:p w:rsidR="00B0191A" w:rsidRPr="00384ADB" w:rsidRDefault="00B0191A" w:rsidP="000F0ADE">
            <w:pPr>
              <w:pStyle w:val="InstructionsText"/>
              <w:rPr>
                <w:rStyle w:val="InstructionsTabelleberschrift"/>
                <w:rFonts w:ascii="Times New Roman" w:hAnsi="Times New Roman"/>
                <w:b w:val="0"/>
                <w:sz w:val="24"/>
                <w:u w:val="none"/>
              </w:rPr>
            </w:pPr>
          </w:p>
          <w:p w:rsidR="00B0191A" w:rsidRPr="00384ADB" w:rsidRDefault="00915A9C">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Nebalansinių straipsnių atveju numatomos sumos priskiriamos prie terminų intervalų atsižvelgiant į susijusios rizikos terminą. Konkrečiau kalbant, i</w:t>
            </w:r>
            <w:r>
              <w:rPr>
                <w:rStyle w:val="InstructionsTabelleberschrift"/>
                <w:rFonts w:ascii="Times New Roman" w:hAnsi="Times New Roman"/>
                <w:b w:val="0"/>
                <w:sz w:val="24"/>
                <w:u w:val="none"/>
              </w:rPr>
              <w:t>š</w:t>
            </w:r>
            <w:r>
              <w:rPr>
                <w:rStyle w:val="InstructionsTabelleberschrift"/>
                <w:rFonts w:ascii="Times New Roman" w:hAnsi="Times New Roman"/>
                <w:b w:val="0"/>
                <w:sz w:val="24"/>
                <w:u w:val="none"/>
              </w:rPr>
              <w:t>ankstiniams sandoriams dėl indėlių taikoma indėlio, finansinėms garant</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joms – pagrindinio finansinio turto, nepanaudotoms kreditavimo įsipareig</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jimų priemonėms – paskolos, o kitiems įsipareigojimams – tų įsipareigojimų terminų struktūra.</w:t>
            </w:r>
          </w:p>
          <w:p w:rsidR="00B0191A" w:rsidRPr="00384ADB" w:rsidRDefault="00B0191A">
            <w:pPr>
              <w:pStyle w:val="InstructionsText"/>
              <w:rPr>
                <w:rStyle w:val="InstructionsTabelleberschrift"/>
                <w:rFonts w:ascii="Times New Roman" w:hAnsi="Times New Roman"/>
                <w:b w:val="0"/>
                <w:sz w:val="24"/>
                <w:u w:val="none"/>
              </w:rPr>
            </w:pPr>
          </w:p>
          <w:p w:rsidR="00B0191A" w:rsidRDefault="00915A9C">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Netiesioginių pozicijų priskyrimas prie terminų intervalų grindžiamas gara</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tuotų operacijų, dėl kurių susidaro tiesioginė pozicija, terminu.</w:t>
            </w:r>
          </w:p>
          <w:p w:rsidR="001D319A" w:rsidRPr="000448EA" w:rsidRDefault="001D319A">
            <w:pPr>
              <w:pStyle w:val="InstructionsText"/>
              <w:rPr>
                <w:rStyle w:val="InstructionsTabelleberschrift"/>
                <w:rFonts w:ascii="Times New Roman" w:hAnsi="Times New Roman"/>
                <w:b w:val="0"/>
                <w:sz w:val="24"/>
                <w:u w:val="none"/>
              </w:rPr>
            </w:pPr>
          </w:p>
          <w:p w:rsidR="001D319A" w:rsidRPr="000448EA" w:rsidRDefault="001D319A">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Jeigu pozicija arba pozicijos dalis turi būti laikoma pozicija esant įsipareig</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jimų neįvykdymui ir todėl turi būti nurodoma C 28.00 formoje (LE 2 formos 050 skiltyje) ir C 29.00 formoje (LE 3 formos 060 skiltyje), tikėtinas pozic</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jos esant įsipareigojimų neįvykdymui likvidavimas turi būti priskirtas atiti</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kamiems terminų intervalams toliau nurodytu būdu:</w:t>
            </w:r>
          </w:p>
          <w:p w:rsidR="001D319A" w:rsidRPr="000448EA" w:rsidRDefault="001D319A" w:rsidP="001D319A">
            <w:pPr>
              <w:pStyle w:val="ListParagraph"/>
              <w:numPr>
                <w:ilvl w:val="0"/>
                <w:numId w:val="30"/>
              </w:numPr>
              <w:spacing w:before="0" w:after="200" w:line="276" w:lineRule="auto"/>
              <w:contextualSpacing/>
              <w:jc w:val="lef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jeigu, nepaisant įsipareigojimų neįvykdymo, informaciją teikiantis subjektas turi tikslų tikėtino pozicijos padengimo mokėjimų tvark</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raštį, jis pagal jį priskiria mokėjimus atitinkamiems intervalams;</w:t>
            </w:r>
          </w:p>
          <w:p w:rsidR="001D319A" w:rsidRPr="000448EA" w:rsidRDefault="001D319A" w:rsidP="001D319A">
            <w:pPr>
              <w:pStyle w:val="ListParagraph"/>
              <w:numPr>
                <w:ilvl w:val="0"/>
                <w:numId w:val="30"/>
              </w:numPr>
              <w:spacing w:before="0" w:after="200" w:line="276" w:lineRule="auto"/>
              <w:contextualSpacing/>
              <w:jc w:val="lef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jeigu informaciją teikiantis subjektas pagrįstai nenumato, kada n</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sumokėtos sumos bus padengtos (jei apskritai bus padengtos), jis jas priskiria prie neapibrėžto termino kategorijos.</w:t>
            </w:r>
          </w:p>
          <w:p w:rsidR="00B0191A" w:rsidRPr="00384ADB" w:rsidRDefault="00B0191A" w:rsidP="000F0ADE">
            <w:pPr>
              <w:pStyle w:val="InstructionsText"/>
              <w:rPr>
                <w:rStyle w:val="InstructionsTabelleberschrift"/>
                <w:rFonts w:ascii="Times New Roman" w:hAnsi="Times New Roman"/>
                <w:sz w:val="24"/>
              </w:rPr>
            </w:pPr>
          </w:p>
        </w:tc>
      </w:tr>
    </w:tbl>
    <w:p w:rsidR="00915A9C" w:rsidRPr="00384ADB" w:rsidRDefault="00915A9C" w:rsidP="009A77CD">
      <w:pPr>
        <w:spacing w:after="0"/>
        <w:rPr>
          <w:rFonts w:ascii="Times New Roman" w:hAnsi="Times New Roman"/>
          <w:b/>
          <w:sz w:val="24"/>
        </w:rPr>
      </w:pPr>
    </w:p>
    <w:p w:rsidR="003D3140" w:rsidRPr="00384ADB" w:rsidRDefault="00BD0674" w:rsidP="00C52CE2">
      <w:pPr>
        <w:pStyle w:val="Instructionsberschrift2"/>
        <w:numPr>
          <w:ilvl w:val="0"/>
          <w:numId w:val="22"/>
        </w:numPr>
        <w:rPr>
          <w:rFonts w:ascii="Times New Roman" w:hAnsi="Times New Roman" w:cs="Times New Roman"/>
          <w:b/>
          <w:sz w:val="24"/>
          <w:u w:val="none"/>
        </w:rPr>
      </w:pPr>
      <w:bookmarkStart w:id="48" w:name="_Toc393461967"/>
      <w:bookmarkStart w:id="49" w:name="_Toc524082073"/>
      <w:r>
        <w:rPr>
          <w:rFonts w:ascii="Times New Roman" w:hAnsi="Times New Roman"/>
          <w:b/>
          <w:sz w:val="24"/>
          <w:u w:val="none"/>
        </w:rPr>
        <w:t>C 31.00. Dešimties didžiausių įstaigų pozicijų ir dešimties didžiausių nereguliuoj</w:t>
      </w:r>
      <w:r>
        <w:rPr>
          <w:rFonts w:ascii="Times New Roman" w:hAnsi="Times New Roman"/>
          <w:b/>
          <w:sz w:val="24"/>
          <w:u w:val="none"/>
        </w:rPr>
        <w:t>a</w:t>
      </w:r>
      <w:r>
        <w:rPr>
          <w:rFonts w:ascii="Times New Roman" w:hAnsi="Times New Roman"/>
          <w:b/>
          <w:sz w:val="24"/>
          <w:u w:val="none"/>
        </w:rPr>
        <w:t>mųjų finansų sektoriaus subjektų pozicijų terminų intervalai. Duomenys apie atsk</w:t>
      </w:r>
      <w:r>
        <w:rPr>
          <w:rFonts w:ascii="Times New Roman" w:hAnsi="Times New Roman"/>
          <w:b/>
          <w:sz w:val="24"/>
          <w:u w:val="none"/>
        </w:rPr>
        <w:t>i</w:t>
      </w:r>
      <w:r>
        <w:rPr>
          <w:rFonts w:ascii="Times New Roman" w:hAnsi="Times New Roman"/>
          <w:b/>
          <w:sz w:val="24"/>
          <w:u w:val="none"/>
        </w:rPr>
        <w:t>rų klientų pozicijas susijusių klientų grupėse (LE5 forma)</w:t>
      </w:r>
      <w:bookmarkEnd w:id="48"/>
      <w:bookmarkEnd w:id="49"/>
    </w:p>
    <w:p w:rsidR="003D3140" w:rsidRPr="00384ADB" w:rsidRDefault="003D3140" w:rsidP="00C52CE2">
      <w:pPr>
        <w:pStyle w:val="Instructionsberschrift2"/>
        <w:numPr>
          <w:ilvl w:val="1"/>
          <w:numId w:val="22"/>
        </w:numPr>
        <w:rPr>
          <w:rFonts w:ascii="Times New Roman" w:hAnsi="Times New Roman" w:cs="Times New Roman"/>
          <w:sz w:val="24"/>
        </w:rPr>
      </w:pPr>
      <w:bookmarkStart w:id="50" w:name="_Toc393461968"/>
      <w:bookmarkStart w:id="51" w:name="_Toc524082074"/>
      <w:r>
        <w:rPr>
          <w:rFonts w:ascii="Times New Roman" w:hAnsi="Times New Roman"/>
          <w:sz w:val="24"/>
        </w:rPr>
        <w:t>Nurodymai dėl konkrečių skilčių</w:t>
      </w:r>
      <w:bookmarkEnd w:id="50"/>
      <w:bookmarkEnd w:id="51"/>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3D3140" w:rsidRPr="00384ADB" w:rsidTr="00AF0271">
        <w:tc>
          <w:tcPr>
            <w:tcW w:w="1418" w:type="dxa"/>
            <w:shd w:val="clear" w:color="auto" w:fill="D9D9D9"/>
          </w:tcPr>
          <w:p w:rsidR="003D3140" w:rsidRPr="00384ADB" w:rsidRDefault="003D3140" w:rsidP="0039317F">
            <w:pPr>
              <w:pStyle w:val="InstructionsText"/>
              <w:rPr>
                <w:rStyle w:val="InstructionsTabelleText"/>
                <w:rFonts w:ascii="Times New Roman" w:hAnsi="Times New Roman"/>
                <w:b/>
                <w:sz w:val="24"/>
              </w:rPr>
            </w:pPr>
            <w:r>
              <w:rPr>
                <w:rStyle w:val="InstructionsTabelleText"/>
                <w:rFonts w:ascii="Times New Roman" w:hAnsi="Times New Roman"/>
                <w:b/>
                <w:sz w:val="24"/>
              </w:rPr>
              <w:t>Skiltis</w:t>
            </w:r>
          </w:p>
        </w:tc>
        <w:tc>
          <w:tcPr>
            <w:tcW w:w="7620" w:type="dxa"/>
            <w:shd w:val="clear" w:color="auto" w:fill="D9D9D9"/>
          </w:tcPr>
          <w:p w:rsidR="003D3140" w:rsidRPr="00384ADB" w:rsidRDefault="003D3140" w:rsidP="0039317F">
            <w:pPr>
              <w:pStyle w:val="InstructionsText"/>
              <w:rPr>
                <w:rStyle w:val="InstructionsTabelleText"/>
                <w:rFonts w:ascii="Times New Roman" w:hAnsi="Times New Roman"/>
                <w:b/>
                <w:bCs/>
                <w:sz w:val="24"/>
              </w:rPr>
            </w:pPr>
            <w:r>
              <w:rPr>
                <w:rStyle w:val="InstructionsTabelleText"/>
                <w:rFonts w:ascii="Times New Roman" w:hAnsi="Times New Roman"/>
                <w:b/>
                <w:sz w:val="24"/>
              </w:rPr>
              <w:t>Nuorodos į teisės aktus ir nurodymai</w:t>
            </w:r>
          </w:p>
        </w:tc>
      </w:tr>
      <w:tr w:rsidR="00B80B0E" w:rsidRPr="00384ADB" w:rsidTr="00AF0271">
        <w:tc>
          <w:tcPr>
            <w:tcW w:w="1418" w:type="dxa"/>
          </w:tcPr>
          <w:p w:rsidR="00B80B0E"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010–260</w:t>
            </w:r>
          </w:p>
        </w:tc>
        <w:tc>
          <w:tcPr>
            <w:tcW w:w="7620" w:type="dxa"/>
          </w:tcPr>
          <w:p w:rsidR="00B80B0E" w:rsidRPr="00384ADB" w:rsidRDefault="00B80B0E" w:rsidP="0039317F">
            <w:pPr>
              <w:pStyle w:val="InstructionsText"/>
            </w:pPr>
          </w:p>
          <w:p w:rsidR="00B80B0E" w:rsidRPr="00384ADB" w:rsidRDefault="00186D4E" w:rsidP="0039317F">
            <w:pPr>
              <w:pStyle w:val="InstructionsText"/>
            </w:pPr>
            <w:r>
              <w:t>LE5 formoje įstaiga pateikia į LE4 formos eilutes įtrauktoms susijusių klie</w:t>
            </w:r>
            <w:r>
              <w:t>n</w:t>
            </w:r>
            <w:r>
              <w:t>tų grupėms priklausančių atskirų sandorio šalių duomenis.</w:t>
            </w:r>
          </w:p>
          <w:p w:rsidR="00B80B0E" w:rsidRPr="00384ADB" w:rsidRDefault="00B80B0E" w:rsidP="000F0ADE">
            <w:pPr>
              <w:pStyle w:val="InstructionsText"/>
              <w:rPr>
                <w:rStyle w:val="InstructionsTabelleberschrift"/>
                <w:rFonts w:ascii="Times New Roman" w:hAnsi="Times New Roman"/>
                <w:sz w:val="24"/>
              </w:rPr>
            </w:pPr>
          </w:p>
        </w:tc>
      </w:tr>
      <w:tr w:rsidR="003D3140" w:rsidRPr="00384ADB" w:rsidTr="00AF0271">
        <w:tc>
          <w:tcPr>
            <w:tcW w:w="1418" w:type="dxa"/>
          </w:tcPr>
          <w:p w:rsidR="003D3140"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tc>
        <w:tc>
          <w:tcPr>
            <w:tcW w:w="7620" w:type="dxa"/>
          </w:tcPr>
          <w:p w:rsidR="003D3140" w:rsidRPr="00384ADB" w:rsidRDefault="003D3140"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Kodas</w:t>
            </w:r>
          </w:p>
          <w:p w:rsidR="003D3140" w:rsidRPr="00384ADB" w:rsidRDefault="003D3140" w:rsidP="0039317F">
            <w:pPr>
              <w:pStyle w:val="InstructionsText"/>
              <w:rPr>
                <w:rStyle w:val="FormatvorlageInstructionsTabelleText"/>
                <w:rFonts w:ascii="Times New Roman" w:hAnsi="Times New Roman"/>
                <w:sz w:val="24"/>
              </w:rPr>
            </w:pPr>
          </w:p>
          <w:p w:rsidR="00BD0674" w:rsidRPr="00384ADB" w:rsidRDefault="00BD0674"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 ir 020 skiltys yra sudėtinis eilutės identifikatorius ir kiekvienai lentelės eilutei jos kartu turi būti unikalios.</w:t>
            </w:r>
          </w:p>
          <w:p w:rsidR="003D3140" w:rsidRPr="00384ADB" w:rsidRDefault="003D314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Žr. LE3 formos 010 skiltį.</w:t>
            </w:r>
          </w:p>
          <w:p w:rsidR="00B0191A" w:rsidRPr="00384ADB" w:rsidRDefault="00B0191A" w:rsidP="000F0ADE">
            <w:pPr>
              <w:pStyle w:val="InstructionsText"/>
              <w:rPr>
                <w:rStyle w:val="FormatvorlageInstructionsTabelleText"/>
                <w:rFonts w:ascii="Times New Roman" w:hAnsi="Times New Roman"/>
                <w:b/>
                <w:sz w:val="24"/>
              </w:rPr>
            </w:pPr>
          </w:p>
        </w:tc>
      </w:tr>
      <w:tr w:rsidR="003D3140" w:rsidRPr="00384ADB" w:rsidTr="00AF0271">
        <w:tc>
          <w:tcPr>
            <w:tcW w:w="1418" w:type="dxa"/>
          </w:tcPr>
          <w:p w:rsidR="003D3140"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rsidR="00B80B0E" w:rsidRPr="00384ADB" w:rsidRDefault="00B80B0E"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Grupės kodas</w:t>
            </w:r>
          </w:p>
          <w:p w:rsidR="00BD0674" w:rsidRPr="00384ADB" w:rsidRDefault="00BD0674" w:rsidP="0039317F">
            <w:pPr>
              <w:pStyle w:val="InstructionsText"/>
              <w:rPr>
                <w:rStyle w:val="FormatvorlageInstructionsTabelleText"/>
                <w:rFonts w:ascii="Times New Roman" w:hAnsi="Times New Roman"/>
                <w:sz w:val="24"/>
              </w:rPr>
            </w:pPr>
          </w:p>
          <w:p w:rsidR="00BD0674" w:rsidRPr="00384ADB" w:rsidRDefault="00BD0674"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 ir 020 skiltys yra sudėtinis eilutės identifikatorius ir kiekvienai lentelės eilutei jos kartu turi būti unikalios.</w:t>
            </w:r>
          </w:p>
          <w:p w:rsidR="00B80B0E" w:rsidRPr="00384ADB" w:rsidRDefault="00B80B0E" w:rsidP="000F0ADE">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Žr. LE3 formos 020 skiltį.</w:t>
            </w:r>
          </w:p>
          <w:p w:rsidR="00B0191A" w:rsidRPr="00384ADB" w:rsidRDefault="00B0191A">
            <w:pPr>
              <w:pStyle w:val="InstructionsText"/>
              <w:rPr>
                <w:rStyle w:val="InstructionsTabelleberschrift"/>
                <w:rFonts w:ascii="Times New Roman" w:hAnsi="Times New Roman"/>
                <w:sz w:val="24"/>
              </w:rPr>
            </w:pPr>
          </w:p>
        </w:tc>
      </w:tr>
      <w:tr w:rsidR="003D3140" w:rsidRPr="00384ADB" w:rsidTr="00AF0271">
        <w:tc>
          <w:tcPr>
            <w:tcW w:w="1418" w:type="dxa"/>
          </w:tcPr>
          <w:p w:rsidR="003D3140"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030–260</w:t>
            </w:r>
          </w:p>
        </w:tc>
        <w:tc>
          <w:tcPr>
            <w:tcW w:w="7620" w:type="dxa"/>
          </w:tcPr>
          <w:p w:rsidR="003D3140" w:rsidRPr="00384ADB" w:rsidRDefault="003D3140"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Pozicijų terminų intervalai</w:t>
            </w:r>
          </w:p>
          <w:p w:rsidR="003D3140" w:rsidRPr="00384ADB" w:rsidRDefault="003D3140" w:rsidP="0039317F">
            <w:pPr>
              <w:pStyle w:val="InstructionsText"/>
              <w:rPr>
                <w:rStyle w:val="InstructionsTabelleberschrift"/>
                <w:rFonts w:ascii="Times New Roman" w:hAnsi="Times New Roman"/>
                <w:sz w:val="24"/>
              </w:rPr>
            </w:pPr>
          </w:p>
          <w:p w:rsidR="003D3140" w:rsidRPr="00384ADB" w:rsidRDefault="00B80B0E"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Žr. LE4 formos 020–250 skiltis.</w:t>
            </w:r>
          </w:p>
          <w:p w:rsidR="00264B52" w:rsidRPr="00384ADB" w:rsidRDefault="00264B52" w:rsidP="000F0ADE">
            <w:pPr>
              <w:pStyle w:val="InstructionsText"/>
              <w:rPr>
                <w:rStyle w:val="InstructionsTabelleberschrift"/>
                <w:rFonts w:ascii="Times New Roman" w:hAnsi="Times New Roman"/>
                <w:sz w:val="24"/>
              </w:rPr>
            </w:pPr>
          </w:p>
        </w:tc>
      </w:tr>
    </w:tbl>
    <w:p w:rsidR="003D3140" w:rsidRPr="00E83F90" w:rsidRDefault="003D3140" w:rsidP="0078562D">
      <w:pPr>
        <w:spacing w:after="0"/>
        <w:rPr>
          <w:rFonts w:ascii="Times New Roman" w:hAnsi="Times New Roman"/>
          <w:sz w:val="24"/>
        </w:rPr>
      </w:pPr>
    </w:p>
    <w:sectPr w:rsidR="003D3140" w:rsidRPr="00E83F90" w:rsidSect="00B51F42">
      <w:footerReference w:type="even" r:id="rId12"/>
      <w:footerReference w:type="default" r:id="rId13"/>
      <w:headerReference w:type="first" r:id="rId14"/>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2E40" w:rsidRDefault="005A2E40" w:rsidP="00D946DB">
      <w:pPr>
        <w:spacing w:before="0" w:after="0"/>
      </w:pPr>
      <w:r>
        <w:separator/>
      </w:r>
    </w:p>
  </w:endnote>
  <w:endnote w:type="continuationSeparator" w:id="0">
    <w:p w:rsidR="005A2E40" w:rsidRDefault="005A2E40"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17F" w:rsidRPr="00A772B4" w:rsidRDefault="0039317F">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sidR="0077431D">
      <w:rPr>
        <w:rFonts w:ascii="Times New Roman" w:hAnsi="Times New Roman"/>
        <w:noProof/>
      </w:rPr>
      <w:t>2</w:t>
    </w:r>
    <w:r w:rsidRPr="00A772B4">
      <w:rPr>
        <w:rFonts w:ascii="Times New Roman" w:hAnsi="Times New Roman"/>
      </w:rPr>
      <w:fldChar w:fldCharType="end"/>
    </w:r>
  </w:p>
  <w:p w:rsidR="0039317F" w:rsidRDefault="0039317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17F" w:rsidRDefault="0039317F">
    <w:pPr>
      <w:pStyle w:val="Footer"/>
      <w:jc w:val="right"/>
    </w:pPr>
    <w:r>
      <w:fldChar w:fldCharType="begin"/>
    </w:r>
    <w:r>
      <w:instrText xml:space="preserve"> PAGE   \* MERGEFORMAT </w:instrText>
    </w:r>
    <w:r>
      <w:fldChar w:fldCharType="separate"/>
    </w:r>
    <w:r w:rsidR="0077431D">
      <w:rPr>
        <w:noProof/>
      </w:rPr>
      <w:t>1</w:t>
    </w:r>
    <w:r>
      <w:rPr>
        <w:noProof/>
      </w:rPr>
      <w:fldChar w:fldCharType="end"/>
    </w:r>
  </w:p>
  <w:p w:rsidR="0039317F" w:rsidRDefault="0039317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17F" w:rsidRDefault="0039317F">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9317F" w:rsidRDefault="0039317F">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17F" w:rsidRPr="00A772B4" w:rsidRDefault="0039317F">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sidR="0077431D">
      <w:rPr>
        <w:rFonts w:ascii="Times New Roman" w:hAnsi="Times New Roman"/>
        <w:noProof/>
      </w:rPr>
      <w:t>18</w:t>
    </w:r>
    <w:r w:rsidRPr="00A772B4">
      <w:rPr>
        <w:rFonts w:ascii="Times New Roman" w:hAnsi="Times New Roman"/>
      </w:rPr>
      <w:fldChar w:fldCharType="end"/>
    </w:r>
  </w:p>
  <w:p w:rsidR="0039317F" w:rsidRPr="00A772B4" w:rsidRDefault="0039317F" w:rsidP="00A772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2E40" w:rsidRDefault="005A2E40" w:rsidP="00D946DB">
      <w:pPr>
        <w:spacing w:before="0" w:after="0"/>
      </w:pPr>
      <w:r>
        <w:separator/>
      </w:r>
    </w:p>
  </w:footnote>
  <w:footnote w:type="continuationSeparator" w:id="0">
    <w:p w:rsidR="005A2E40" w:rsidRDefault="005A2E40" w:rsidP="00D946DB">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17F" w:rsidRDefault="0039317F">
    <w:pP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
    <w:nsid w:val="298D3E4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nsid w:val="2B0A6035"/>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6">
    <w:nsid w:val="2E7D3286"/>
    <w:multiLevelType w:val="hybridMultilevel"/>
    <w:tmpl w:val="1730D754"/>
    <w:lvl w:ilvl="0" w:tplc="08090017">
      <w:start w:val="1"/>
      <w:numFmt w:val="lowerLetter"/>
      <w:lvlText w:val="%1)"/>
      <w:lvlJc w:val="left"/>
      <w:pPr>
        <w:ind w:left="1776" w:hanging="360"/>
      </w:pPr>
      <w:rPr>
        <w:rFonts w:hint="default"/>
      </w:rPr>
    </w:lvl>
    <w:lvl w:ilvl="1" w:tplc="08090019" w:tentative="1">
      <w:start w:val="1"/>
      <w:numFmt w:val="lowerLetter"/>
      <w:lvlText w:val="%2."/>
      <w:lvlJc w:val="left"/>
      <w:pPr>
        <w:ind w:left="2496" w:hanging="360"/>
      </w:pPr>
    </w:lvl>
    <w:lvl w:ilvl="2" w:tplc="0809001B" w:tentative="1">
      <w:start w:val="1"/>
      <w:numFmt w:val="lowerRoman"/>
      <w:lvlText w:val="%3."/>
      <w:lvlJc w:val="right"/>
      <w:pPr>
        <w:ind w:left="3216" w:hanging="180"/>
      </w:pPr>
    </w:lvl>
    <w:lvl w:ilvl="3" w:tplc="0809000F" w:tentative="1">
      <w:start w:val="1"/>
      <w:numFmt w:val="decimal"/>
      <w:lvlText w:val="%4."/>
      <w:lvlJc w:val="left"/>
      <w:pPr>
        <w:ind w:left="3936" w:hanging="360"/>
      </w:pPr>
    </w:lvl>
    <w:lvl w:ilvl="4" w:tplc="08090019" w:tentative="1">
      <w:start w:val="1"/>
      <w:numFmt w:val="lowerLetter"/>
      <w:lvlText w:val="%5."/>
      <w:lvlJc w:val="left"/>
      <w:pPr>
        <w:ind w:left="4656" w:hanging="360"/>
      </w:pPr>
    </w:lvl>
    <w:lvl w:ilvl="5" w:tplc="0809001B" w:tentative="1">
      <w:start w:val="1"/>
      <w:numFmt w:val="lowerRoman"/>
      <w:lvlText w:val="%6."/>
      <w:lvlJc w:val="right"/>
      <w:pPr>
        <w:ind w:left="5376" w:hanging="180"/>
      </w:pPr>
    </w:lvl>
    <w:lvl w:ilvl="6" w:tplc="0809000F" w:tentative="1">
      <w:start w:val="1"/>
      <w:numFmt w:val="decimal"/>
      <w:lvlText w:val="%7."/>
      <w:lvlJc w:val="left"/>
      <w:pPr>
        <w:ind w:left="6096" w:hanging="360"/>
      </w:pPr>
    </w:lvl>
    <w:lvl w:ilvl="7" w:tplc="08090019" w:tentative="1">
      <w:start w:val="1"/>
      <w:numFmt w:val="lowerLetter"/>
      <w:lvlText w:val="%8."/>
      <w:lvlJc w:val="left"/>
      <w:pPr>
        <w:ind w:left="6816" w:hanging="360"/>
      </w:pPr>
    </w:lvl>
    <w:lvl w:ilvl="8" w:tplc="0809001B" w:tentative="1">
      <w:start w:val="1"/>
      <w:numFmt w:val="lowerRoman"/>
      <w:lvlText w:val="%9."/>
      <w:lvlJc w:val="right"/>
      <w:pPr>
        <w:ind w:left="7536" w:hanging="180"/>
      </w:pPr>
    </w:lvl>
  </w:abstractNum>
  <w:abstractNum w:abstractNumId="7">
    <w:nsid w:val="2F7D7F02"/>
    <w:multiLevelType w:val="multilevel"/>
    <w:tmpl w:val="0407001D"/>
    <w:numStyleLink w:val="Formatvorlage3"/>
  </w:abstractNum>
  <w:abstractNum w:abstractNumId="8">
    <w:nsid w:val="33057CB8"/>
    <w:multiLevelType w:val="hybridMultilevel"/>
    <w:tmpl w:val="4824077A"/>
    <w:lvl w:ilvl="0" w:tplc="236EA62C">
      <w:start w:val="1"/>
      <w:numFmt w:val="decimal"/>
      <w:pStyle w:val="InstructionsText2"/>
      <w:lvlText w:val="%1."/>
      <w:lvlJc w:val="left"/>
      <w:pPr>
        <w:ind w:left="720" w:hanging="360"/>
      </w:pPr>
    </w:lvl>
    <w:lvl w:ilvl="1" w:tplc="5F56F3B6">
      <w:start w:val="1"/>
      <w:numFmt w:val="lowerLetter"/>
      <w:lvlText w:val="(%2)"/>
      <w:lvlJc w:val="left"/>
      <w:pPr>
        <w:ind w:left="1440" w:hanging="360"/>
      </w:pPr>
      <w:rPr>
        <w:rFonts w:cs="Times New Roman"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9">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1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2">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nsid w:val="55FC723E"/>
    <w:multiLevelType w:val="hybridMultilevel"/>
    <w:tmpl w:val="96E450D2"/>
    <w:lvl w:ilvl="0" w:tplc="FA32F8F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6">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17">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658A2408"/>
    <w:multiLevelType w:val="hybridMultilevel"/>
    <w:tmpl w:val="E30272B0"/>
    <w:lvl w:ilvl="0" w:tplc="061CD03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2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2">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4">
    <w:nsid w:val="73740233"/>
    <w:multiLevelType w:val="hybridMultilevel"/>
    <w:tmpl w:val="E71498F6"/>
    <w:lvl w:ilvl="0" w:tplc="AD6A509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77F553D7"/>
    <w:multiLevelType w:val="hybridMultilevel"/>
    <w:tmpl w:val="73867754"/>
    <w:lvl w:ilvl="0" w:tplc="9A2AD48A">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6"/>
  </w:num>
  <w:num w:numId="3">
    <w:abstractNumId w:val="23"/>
  </w:num>
  <w:num w:numId="4">
    <w:abstractNumId w:val="11"/>
  </w:num>
  <w:num w:numId="5">
    <w:abstractNumId w:val="20"/>
  </w:num>
  <w:num w:numId="6">
    <w:abstractNumId w:val="10"/>
  </w:num>
  <w:num w:numId="7">
    <w:abstractNumId w:val="22"/>
  </w:num>
  <w:num w:numId="8">
    <w:abstractNumId w:val="2"/>
  </w:num>
  <w:num w:numId="9">
    <w:abstractNumId w:val="17"/>
  </w:num>
  <w:num w:numId="10">
    <w:abstractNumId w:val="9"/>
  </w:num>
  <w:num w:numId="11">
    <w:abstractNumId w:val="13"/>
  </w:num>
  <w:num w:numId="12">
    <w:abstractNumId w:val="4"/>
  </w:num>
  <w:num w:numId="13">
    <w:abstractNumId w:val="19"/>
  </w:num>
  <w:num w:numId="14">
    <w:abstractNumId w:val="15"/>
  </w:num>
  <w:num w:numId="15">
    <w:abstractNumId w:val="8"/>
  </w:num>
  <w:num w:numId="16">
    <w:abstractNumId w:val="12"/>
  </w:num>
  <w:num w:numId="17">
    <w:abstractNumId w:val="7"/>
  </w:num>
  <w:num w:numId="18">
    <w:abstractNumId w:val="21"/>
  </w:num>
  <w:num w:numId="19">
    <w:abstractNumId w:val="1"/>
  </w:num>
  <w:num w:numId="20">
    <w:abstractNumId w:val="3"/>
  </w:num>
  <w:num w:numId="21">
    <w:abstractNumId w:val="6"/>
  </w:num>
  <w:num w:numId="22">
    <w:abstractNumId w:val="5"/>
  </w:num>
  <w:num w:numId="23">
    <w:abstractNumId w:val="8"/>
    <w:lvlOverride w:ilvl="0">
      <w:startOverride w:val="1"/>
    </w:lvlOverride>
  </w:num>
  <w:num w:numId="24">
    <w:abstractNumId w:val="8"/>
    <w:lvlOverride w:ilvl="0">
      <w:startOverride w:val="1"/>
    </w:lvlOverride>
  </w:num>
  <w:num w:numId="25">
    <w:abstractNumId w:val="14"/>
  </w:num>
  <w:num w:numId="26">
    <w:abstractNumId w:val="18"/>
  </w:num>
  <w:num w:numId="27">
    <w:abstractNumId w:val="8"/>
    <w:lvlOverride w:ilvl="0">
      <w:startOverride w:val="1"/>
    </w:lvlOverride>
  </w:num>
  <w:num w:numId="28">
    <w:abstractNumId w:val="8"/>
  </w:num>
  <w:num w:numId="29">
    <w:abstractNumId w:val="8"/>
  </w:num>
  <w:num w:numId="30">
    <w:abstractNumId w:val="25"/>
  </w:num>
  <w:num w:numId="31">
    <w:abstractNumId w:val="24"/>
  </w:num>
  <w:num w:numId="32">
    <w:abstractNumId w:val="1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90"/>
  <w:proofState w:spelling="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84FEB"/>
    <w:rsid w:val="00000989"/>
    <w:rsid w:val="000010C7"/>
    <w:rsid w:val="00001BFB"/>
    <w:rsid w:val="000020E5"/>
    <w:rsid w:val="00004FE8"/>
    <w:rsid w:val="00005765"/>
    <w:rsid w:val="00005FFC"/>
    <w:rsid w:val="00007D0D"/>
    <w:rsid w:val="00011BD0"/>
    <w:rsid w:val="00012901"/>
    <w:rsid w:val="00013A2D"/>
    <w:rsid w:val="00014890"/>
    <w:rsid w:val="00014C1D"/>
    <w:rsid w:val="00017A25"/>
    <w:rsid w:val="00020516"/>
    <w:rsid w:val="00021AFC"/>
    <w:rsid w:val="00022B30"/>
    <w:rsid w:val="000232E2"/>
    <w:rsid w:val="000243CE"/>
    <w:rsid w:val="0002657F"/>
    <w:rsid w:val="00026A0E"/>
    <w:rsid w:val="000326C1"/>
    <w:rsid w:val="00037093"/>
    <w:rsid w:val="000417C3"/>
    <w:rsid w:val="000428BA"/>
    <w:rsid w:val="0004324E"/>
    <w:rsid w:val="000448EA"/>
    <w:rsid w:val="00047903"/>
    <w:rsid w:val="0005400A"/>
    <w:rsid w:val="00054652"/>
    <w:rsid w:val="0005609F"/>
    <w:rsid w:val="00057362"/>
    <w:rsid w:val="00060493"/>
    <w:rsid w:val="00060C8F"/>
    <w:rsid w:val="00061E48"/>
    <w:rsid w:val="00062C41"/>
    <w:rsid w:val="00063085"/>
    <w:rsid w:val="00076091"/>
    <w:rsid w:val="00076880"/>
    <w:rsid w:val="000828C6"/>
    <w:rsid w:val="00083F35"/>
    <w:rsid w:val="0008578E"/>
    <w:rsid w:val="000858A9"/>
    <w:rsid w:val="0008722B"/>
    <w:rsid w:val="00087415"/>
    <w:rsid w:val="000903FA"/>
    <w:rsid w:val="0009490B"/>
    <w:rsid w:val="00095702"/>
    <w:rsid w:val="00097F16"/>
    <w:rsid w:val="000A27BA"/>
    <w:rsid w:val="000A4EAF"/>
    <w:rsid w:val="000A63A8"/>
    <w:rsid w:val="000B0EBE"/>
    <w:rsid w:val="000B1C14"/>
    <w:rsid w:val="000B6880"/>
    <w:rsid w:val="000B6A14"/>
    <w:rsid w:val="000B7CB9"/>
    <w:rsid w:val="000C0208"/>
    <w:rsid w:val="000C14C3"/>
    <w:rsid w:val="000C7E9F"/>
    <w:rsid w:val="000D220D"/>
    <w:rsid w:val="000D44E0"/>
    <w:rsid w:val="000D65D1"/>
    <w:rsid w:val="000D702E"/>
    <w:rsid w:val="000D735D"/>
    <w:rsid w:val="000E1572"/>
    <w:rsid w:val="000E29C9"/>
    <w:rsid w:val="000E657C"/>
    <w:rsid w:val="000E7BA8"/>
    <w:rsid w:val="000F0519"/>
    <w:rsid w:val="000F0ADE"/>
    <w:rsid w:val="000F13EA"/>
    <w:rsid w:val="000F2F09"/>
    <w:rsid w:val="000F4702"/>
    <w:rsid w:val="000F6A80"/>
    <w:rsid w:val="000F6B25"/>
    <w:rsid w:val="000F7A95"/>
    <w:rsid w:val="001047F8"/>
    <w:rsid w:val="00106801"/>
    <w:rsid w:val="00107B30"/>
    <w:rsid w:val="00111654"/>
    <w:rsid w:val="00117214"/>
    <w:rsid w:val="0012049B"/>
    <w:rsid w:val="001243C8"/>
    <w:rsid w:val="00124B85"/>
    <w:rsid w:val="001273B5"/>
    <w:rsid w:val="00127E0D"/>
    <w:rsid w:val="00133AC1"/>
    <w:rsid w:val="001345B4"/>
    <w:rsid w:val="0013570A"/>
    <w:rsid w:val="00136316"/>
    <w:rsid w:val="001402DB"/>
    <w:rsid w:val="00141565"/>
    <w:rsid w:val="00142154"/>
    <w:rsid w:val="00142B80"/>
    <w:rsid w:val="001432EE"/>
    <w:rsid w:val="001441C5"/>
    <w:rsid w:val="00147FA5"/>
    <w:rsid w:val="00151B6A"/>
    <w:rsid w:val="001557FE"/>
    <w:rsid w:val="001570C4"/>
    <w:rsid w:val="0015766F"/>
    <w:rsid w:val="00163DBA"/>
    <w:rsid w:val="001668F3"/>
    <w:rsid w:val="001719E2"/>
    <w:rsid w:val="001721BD"/>
    <w:rsid w:val="001735B9"/>
    <w:rsid w:val="0017440D"/>
    <w:rsid w:val="00175957"/>
    <w:rsid w:val="0017699A"/>
    <w:rsid w:val="0017740A"/>
    <w:rsid w:val="00183B7A"/>
    <w:rsid w:val="00184E8A"/>
    <w:rsid w:val="001854F6"/>
    <w:rsid w:val="00185877"/>
    <w:rsid w:val="00186D4E"/>
    <w:rsid w:val="001919E9"/>
    <w:rsid w:val="00192323"/>
    <w:rsid w:val="00192C81"/>
    <w:rsid w:val="00192FAC"/>
    <w:rsid w:val="00193DDC"/>
    <w:rsid w:val="00194742"/>
    <w:rsid w:val="00194DB0"/>
    <w:rsid w:val="001957C3"/>
    <w:rsid w:val="00195B92"/>
    <w:rsid w:val="00196DE8"/>
    <w:rsid w:val="001A241E"/>
    <w:rsid w:val="001A44B3"/>
    <w:rsid w:val="001A4F56"/>
    <w:rsid w:val="001A6BFD"/>
    <w:rsid w:val="001B195A"/>
    <w:rsid w:val="001B4EA5"/>
    <w:rsid w:val="001B58FB"/>
    <w:rsid w:val="001C1392"/>
    <w:rsid w:val="001C653B"/>
    <w:rsid w:val="001C787E"/>
    <w:rsid w:val="001C7BF0"/>
    <w:rsid w:val="001D018B"/>
    <w:rsid w:val="001D23F1"/>
    <w:rsid w:val="001D319A"/>
    <w:rsid w:val="001D47C6"/>
    <w:rsid w:val="001D65B8"/>
    <w:rsid w:val="001E01BA"/>
    <w:rsid w:val="001E0F83"/>
    <w:rsid w:val="001E3351"/>
    <w:rsid w:val="001E5519"/>
    <w:rsid w:val="001E5A75"/>
    <w:rsid w:val="001E6B9D"/>
    <w:rsid w:val="001E6FAF"/>
    <w:rsid w:val="001F2920"/>
    <w:rsid w:val="001F488E"/>
    <w:rsid w:val="001F5AC3"/>
    <w:rsid w:val="002021E2"/>
    <w:rsid w:val="00206E56"/>
    <w:rsid w:val="0021104F"/>
    <w:rsid w:val="0021389C"/>
    <w:rsid w:val="00213DC3"/>
    <w:rsid w:val="00215C5A"/>
    <w:rsid w:val="0021767A"/>
    <w:rsid w:val="00221103"/>
    <w:rsid w:val="0022244D"/>
    <w:rsid w:val="00222596"/>
    <w:rsid w:val="00222AC6"/>
    <w:rsid w:val="00223787"/>
    <w:rsid w:val="00223CA3"/>
    <w:rsid w:val="00224E73"/>
    <w:rsid w:val="00225D42"/>
    <w:rsid w:val="002273C8"/>
    <w:rsid w:val="0023488F"/>
    <w:rsid w:val="002357EA"/>
    <w:rsid w:val="00237276"/>
    <w:rsid w:val="002413AE"/>
    <w:rsid w:val="00245325"/>
    <w:rsid w:val="00245670"/>
    <w:rsid w:val="00245BDE"/>
    <w:rsid w:val="00250176"/>
    <w:rsid w:val="002506A3"/>
    <w:rsid w:val="002514E5"/>
    <w:rsid w:val="00253022"/>
    <w:rsid w:val="00254DF6"/>
    <w:rsid w:val="00262C1B"/>
    <w:rsid w:val="00264B52"/>
    <w:rsid w:val="00266178"/>
    <w:rsid w:val="002664C7"/>
    <w:rsid w:val="00271C8B"/>
    <w:rsid w:val="00276B41"/>
    <w:rsid w:val="002775CC"/>
    <w:rsid w:val="00280FC6"/>
    <w:rsid w:val="00285E2F"/>
    <w:rsid w:val="00290AA2"/>
    <w:rsid w:val="00290EFB"/>
    <w:rsid w:val="00291346"/>
    <w:rsid w:val="002920FF"/>
    <w:rsid w:val="00292678"/>
    <w:rsid w:val="0029325B"/>
    <w:rsid w:val="00294411"/>
    <w:rsid w:val="00296D72"/>
    <w:rsid w:val="002A04D3"/>
    <w:rsid w:val="002A08BC"/>
    <w:rsid w:val="002A2A16"/>
    <w:rsid w:val="002A499D"/>
    <w:rsid w:val="002B705F"/>
    <w:rsid w:val="002C0029"/>
    <w:rsid w:val="002C41F1"/>
    <w:rsid w:val="002C42C2"/>
    <w:rsid w:val="002C6263"/>
    <w:rsid w:val="002D42A8"/>
    <w:rsid w:val="002D4E10"/>
    <w:rsid w:val="002D6B9E"/>
    <w:rsid w:val="002E053A"/>
    <w:rsid w:val="002E2061"/>
    <w:rsid w:val="002E3720"/>
    <w:rsid w:val="002E3822"/>
    <w:rsid w:val="002E4EB7"/>
    <w:rsid w:val="002E587F"/>
    <w:rsid w:val="002F1033"/>
    <w:rsid w:val="002F170E"/>
    <w:rsid w:val="002F277D"/>
    <w:rsid w:val="002F2A34"/>
    <w:rsid w:val="002F2E19"/>
    <w:rsid w:val="002F39A7"/>
    <w:rsid w:val="002F4A3D"/>
    <w:rsid w:val="00300224"/>
    <w:rsid w:val="0030392E"/>
    <w:rsid w:val="00303B64"/>
    <w:rsid w:val="00306AD1"/>
    <w:rsid w:val="00306F71"/>
    <w:rsid w:val="003104B3"/>
    <w:rsid w:val="003104F4"/>
    <w:rsid w:val="0031054B"/>
    <w:rsid w:val="003105C6"/>
    <w:rsid w:val="00310F05"/>
    <w:rsid w:val="00311729"/>
    <w:rsid w:val="00311B2D"/>
    <w:rsid w:val="003137B9"/>
    <w:rsid w:val="003154FF"/>
    <w:rsid w:val="00317768"/>
    <w:rsid w:val="003209F9"/>
    <w:rsid w:val="00331FE6"/>
    <w:rsid w:val="00333A44"/>
    <w:rsid w:val="00335A13"/>
    <w:rsid w:val="00337738"/>
    <w:rsid w:val="00340901"/>
    <w:rsid w:val="003455BC"/>
    <w:rsid w:val="00345E53"/>
    <w:rsid w:val="003462BE"/>
    <w:rsid w:val="003472A8"/>
    <w:rsid w:val="00347FF9"/>
    <w:rsid w:val="00350F29"/>
    <w:rsid w:val="0035181B"/>
    <w:rsid w:val="00352D3A"/>
    <w:rsid w:val="00353D6B"/>
    <w:rsid w:val="00353F4C"/>
    <w:rsid w:val="003572D8"/>
    <w:rsid w:val="00357F63"/>
    <w:rsid w:val="0036045A"/>
    <w:rsid w:val="00361699"/>
    <w:rsid w:val="003616A1"/>
    <w:rsid w:val="003618E5"/>
    <w:rsid w:val="00363E1B"/>
    <w:rsid w:val="00364B2F"/>
    <w:rsid w:val="00371593"/>
    <w:rsid w:val="00382DA8"/>
    <w:rsid w:val="00383747"/>
    <w:rsid w:val="00383FF2"/>
    <w:rsid w:val="00384ADB"/>
    <w:rsid w:val="00387E40"/>
    <w:rsid w:val="00390A6B"/>
    <w:rsid w:val="00390DDA"/>
    <w:rsid w:val="003912BF"/>
    <w:rsid w:val="0039317F"/>
    <w:rsid w:val="00393539"/>
    <w:rsid w:val="00394753"/>
    <w:rsid w:val="00394FF1"/>
    <w:rsid w:val="00395EED"/>
    <w:rsid w:val="003A0C05"/>
    <w:rsid w:val="003A200A"/>
    <w:rsid w:val="003A449C"/>
    <w:rsid w:val="003A5D8C"/>
    <w:rsid w:val="003A67FF"/>
    <w:rsid w:val="003B09B9"/>
    <w:rsid w:val="003B28ED"/>
    <w:rsid w:val="003B3DBB"/>
    <w:rsid w:val="003C0FB5"/>
    <w:rsid w:val="003C227A"/>
    <w:rsid w:val="003C2566"/>
    <w:rsid w:val="003C4D23"/>
    <w:rsid w:val="003C60B9"/>
    <w:rsid w:val="003D10E9"/>
    <w:rsid w:val="003D24A1"/>
    <w:rsid w:val="003D2721"/>
    <w:rsid w:val="003D3140"/>
    <w:rsid w:val="003D431C"/>
    <w:rsid w:val="003D56DE"/>
    <w:rsid w:val="003D6268"/>
    <w:rsid w:val="003E1667"/>
    <w:rsid w:val="003E5145"/>
    <w:rsid w:val="003E6D37"/>
    <w:rsid w:val="003E79B9"/>
    <w:rsid w:val="003F0D24"/>
    <w:rsid w:val="003F15BB"/>
    <w:rsid w:val="003F1C2D"/>
    <w:rsid w:val="003F2734"/>
    <w:rsid w:val="00401111"/>
    <w:rsid w:val="004012D1"/>
    <w:rsid w:val="00402F1D"/>
    <w:rsid w:val="00412D44"/>
    <w:rsid w:val="00414FB3"/>
    <w:rsid w:val="00415A1B"/>
    <w:rsid w:val="004201CB"/>
    <w:rsid w:val="00420322"/>
    <w:rsid w:val="00423ADC"/>
    <w:rsid w:val="00424AD4"/>
    <w:rsid w:val="00426E6A"/>
    <w:rsid w:val="0043001B"/>
    <w:rsid w:val="00433DC8"/>
    <w:rsid w:val="00434B3C"/>
    <w:rsid w:val="004351CC"/>
    <w:rsid w:val="004377DA"/>
    <w:rsid w:val="004377E2"/>
    <w:rsid w:val="004408E7"/>
    <w:rsid w:val="00443003"/>
    <w:rsid w:val="00444394"/>
    <w:rsid w:val="00445B97"/>
    <w:rsid w:val="00445E06"/>
    <w:rsid w:val="00446CDE"/>
    <w:rsid w:val="00450232"/>
    <w:rsid w:val="0045025C"/>
    <w:rsid w:val="00452FEF"/>
    <w:rsid w:val="00453169"/>
    <w:rsid w:val="00455364"/>
    <w:rsid w:val="004560B2"/>
    <w:rsid w:val="00456976"/>
    <w:rsid w:val="00457521"/>
    <w:rsid w:val="00457B7E"/>
    <w:rsid w:val="00461936"/>
    <w:rsid w:val="00461A5A"/>
    <w:rsid w:val="00464111"/>
    <w:rsid w:val="00464459"/>
    <w:rsid w:val="004675B7"/>
    <w:rsid w:val="00470630"/>
    <w:rsid w:val="0047209E"/>
    <w:rsid w:val="0047503C"/>
    <w:rsid w:val="004760FD"/>
    <w:rsid w:val="00476C53"/>
    <w:rsid w:val="0048116C"/>
    <w:rsid w:val="0048284E"/>
    <w:rsid w:val="00484A6F"/>
    <w:rsid w:val="00484DDA"/>
    <w:rsid w:val="00484EDB"/>
    <w:rsid w:val="004867E5"/>
    <w:rsid w:val="004901BE"/>
    <w:rsid w:val="00490746"/>
    <w:rsid w:val="004969CB"/>
    <w:rsid w:val="00496F5D"/>
    <w:rsid w:val="004A2728"/>
    <w:rsid w:val="004A4555"/>
    <w:rsid w:val="004A5880"/>
    <w:rsid w:val="004A6C52"/>
    <w:rsid w:val="004B2A17"/>
    <w:rsid w:val="004B4DF9"/>
    <w:rsid w:val="004C285B"/>
    <w:rsid w:val="004D2F50"/>
    <w:rsid w:val="004D3678"/>
    <w:rsid w:val="004D71FD"/>
    <w:rsid w:val="004E04BF"/>
    <w:rsid w:val="004E4FFB"/>
    <w:rsid w:val="004E672C"/>
    <w:rsid w:val="004F0828"/>
    <w:rsid w:val="004F4EAC"/>
    <w:rsid w:val="004F50AF"/>
    <w:rsid w:val="005020DE"/>
    <w:rsid w:val="005027FA"/>
    <w:rsid w:val="00502BDF"/>
    <w:rsid w:val="00502FC6"/>
    <w:rsid w:val="0050399F"/>
    <w:rsid w:val="0050588B"/>
    <w:rsid w:val="005067A1"/>
    <w:rsid w:val="005068E6"/>
    <w:rsid w:val="005135D6"/>
    <w:rsid w:val="005147D5"/>
    <w:rsid w:val="005149C1"/>
    <w:rsid w:val="00517633"/>
    <w:rsid w:val="00523687"/>
    <w:rsid w:val="00524120"/>
    <w:rsid w:val="005248A6"/>
    <w:rsid w:val="00524CD5"/>
    <w:rsid w:val="00530A76"/>
    <w:rsid w:val="00530C90"/>
    <w:rsid w:val="00530FC7"/>
    <w:rsid w:val="0053327A"/>
    <w:rsid w:val="00533D6A"/>
    <w:rsid w:val="00536484"/>
    <w:rsid w:val="005429A0"/>
    <w:rsid w:val="00543869"/>
    <w:rsid w:val="0054768B"/>
    <w:rsid w:val="005511AD"/>
    <w:rsid w:val="005514AF"/>
    <w:rsid w:val="005523E5"/>
    <w:rsid w:val="00552E3E"/>
    <w:rsid w:val="0055357B"/>
    <w:rsid w:val="00553F7B"/>
    <w:rsid w:val="0055791B"/>
    <w:rsid w:val="00563313"/>
    <w:rsid w:val="00564A89"/>
    <w:rsid w:val="00565031"/>
    <w:rsid w:val="005666F4"/>
    <w:rsid w:val="00570953"/>
    <w:rsid w:val="00571BF6"/>
    <w:rsid w:val="00574DEE"/>
    <w:rsid w:val="00583AD3"/>
    <w:rsid w:val="00585466"/>
    <w:rsid w:val="00586D84"/>
    <w:rsid w:val="00590D39"/>
    <w:rsid w:val="005911AC"/>
    <w:rsid w:val="00593E1F"/>
    <w:rsid w:val="005A18FB"/>
    <w:rsid w:val="005A2363"/>
    <w:rsid w:val="005A2E40"/>
    <w:rsid w:val="005A6305"/>
    <w:rsid w:val="005A682F"/>
    <w:rsid w:val="005B02DE"/>
    <w:rsid w:val="005B0C8D"/>
    <w:rsid w:val="005B13A0"/>
    <w:rsid w:val="005C1BC9"/>
    <w:rsid w:val="005C287F"/>
    <w:rsid w:val="005C2A35"/>
    <w:rsid w:val="005C2ADF"/>
    <w:rsid w:val="005C6DEB"/>
    <w:rsid w:val="005C7A91"/>
    <w:rsid w:val="005D4CF2"/>
    <w:rsid w:val="005E456E"/>
    <w:rsid w:val="005E6669"/>
    <w:rsid w:val="005E7263"/>
    <w:rsid w:val="005E7B06"/>
    <w:rsid w:val="005F2B02"/>
    <w:rsid w:val="005F5B6B"/>
    <w:rsid w:val="005F6C23"/>
    <w:rsid w:val="005F6FDF"/>
    <w:rsid w:val="00600198"/>
    <w:rsid w:val="00601450"/>
    <w:rsid w:val="0060520C"/>
    <w:rsid w:val="006108B8"/>
    <w:rsid w:val="00611073"/>
    <w:rsid w:val="00611819"/>
    <w:rsid w:val="006128D7"/>
    <w:rsid w:val="0061482E"/>
    <w:rsid w:val="0061552A"/>
    <w:rsid w:val="00616264"/>
    <w:rsid w:val="00616690"/>
    <w:rsid w:val="00616E90"/>
    <w:rsid w:val="0061723E"/>
    <w:rsid w:val="00617700"/>
    <w:rsid w:val="006204A8"/>
    <w:rsid w:val="006217F1"/>
    <w:rsid w:val="00621F98"/>
    <w:rsid w:val="00623A72"/>
    <w:rsid w:val="00627143"/>
    <w:rsid w:val="00627430"/>
    <w:rsid w:val="006317A9"/>
    <w:rsid w:val="0063275A"/>
    <w:rsid w:val="006340C6"/>
    <w:rsid w:val="006344BC"/>
    <w:rsid w:val="00634B45"/>
    <w:rsid w:val="00641181"/>
    <w:rsid w:val="00643011"/>
    <w:rsid w:val="00643F3B"/>
    <w:rsid w:val="006443CC"/>
    <w:rsid w:val="006455BC"/>
    <w:rsid w:val="0064641B"/>
    <w:rsid w:val="00650DB8"/>
    <w:rsid w:val="00651C18"/>
    <w:rsid w:val="00652A45"/>
    <w:rsid w:val="00652DF7"/>
    <w:rsid w:val="00652F11"/>
    <w:rsid w:val="00655444"/>
    <w:rsid w:val="0066173C"/>
    <w:rsid w:val="00662957"/>
    <w:rsid w:val="006644E6"/>
    <w:rsid w:val="00667F2D"/>
    <w:rsid w:val="006746DB"/>
    <w:rsid w:val="00675DA2"/>
    <w:rsid w:val="006771CE"/>
    <w:rsid w:val="006778A2"/>
    <w:rsid w:val="00677A1D"/>
    <w:rsid w:val="006834A9"/>
    <w:rsid w:val="006916CC"/>
    <w:rsid w:val="006916DC"/>
    <w:rsid w:val="00695E99"/>
    <w:rsid w:val="00696F12"/>
    <w:rsid w:val="006A01F5"/>
    <w:rsid w:val="006A0C55"/>
    <w:rsid w:val="006A210B"/>
    <w:rsid w:val="006A3382"/>
    <w:rsid w:val="006A483F"/>
    <w:rsid w:val="006A5132"/>
    <w:rsid w:val="006A5184"/>
    <w:rsid w:val="006B0FE2"/>
    <w:rsid w:val="006B19A0"/>
    <w:rsid w:val="006B2A31"/>
    <w:rsid w:val="006B55D6"/>
    <w:rsid w:val="006B5BA8"/>
    <w:rsid w:val="006B68BC"/>
    <w:rsid w:val="006B6945"/>
    <w:rsid w:val="006B7228"/>
    <w:rsid w:val="006B72EF"/>
    <w:rsid w:val="006C0915"/>
    <w:rsid w:val="006C11BB"/>
    <w:rsid w:val="006C399A"/>
    <w:rsid w:val="006C3FF9"/>
    <w:rsid w:val="006C4174"/>
    <w:rsid w:val="006C45C6"/>
    <w:rsid w:val="006D49F3"/>
    <w:rsid w:val="006D6677"/>
    <w:rsid w:val="006E3FCC"/>
    <w:rsid w:val="006E52E7"/>
    <w:rsid w:val="006E7C46"/>
    <w:rsid w:val="006F1806"/>
    <w:rsid w:val="006F4E86"/>
    <w:rsid w:val="006F50E2"/>
    <w:rsid w:val="006F773D"/>
    <w:rsid w:val="00702E1B"/>
    <w:rsid w:val="00704405"/>
    <w:rsid w:val="00704B2D"/>
    <w:rsid w:val="0070633D"/>
    <w:rsid w:val="007063C4"/>
    <w:rsid w:val="0070714B"/>
    <w:rsid w:val="00707659"/>
    <w:rsid w:val="007111B3"/>
    <w:rsid w:val="00711E1C"/>
    <w:rsid w:val="00711F3A"/>
    <w:rsid w:val="00712B6C"/>
    <w:rsid w:val="00721227"/>
    <w:rsid w:val="00721A22"/>
    <w:rsid w:val="00721C5C"/>
    <w:rsid w:val="00721CEA"/>
    <w:rsid w:val="007247ED"/>
    <w:rsid w:val="00727756"/>
    <w:rsid w:val="0073581C"/>
    <w:rsid w:val="00736AD5"/>
    <w:rsid w:val="00736D27"/>
    <w:rsid w:val="007420C6"/>
    <w:rsid w:val="007433DF"/>
    <w:rsid w:val="007434D0"/>
    <w:rsid w:val="0074362F"/>
    <w:rsid w:val="007449CB"/>
    <w:rsid w:val="00746AE6"/>
    <w:rsid w:val="00747646"/>
    <w:rsid w:val="007503D4"/>
    <w:rsid w:val="00751BC8"/>
    <w:rsid w:val="007535D4"/>
    <w:rsid w:val="0075517F"/>
    <w:rsid w:val="00756759"/>
    <w:rsid w:val="00761234"/>
    <w:rsid w:val="00761BD9"/>
    <w:rsid w:val="0076257F"/>
    <w:rsid w:val="00763360"/>
    <w:rsid w:val="00763A4B"/>
    <w:rsid w:val="00764E61"/>
    <w:rsid w:val="00767423"/>
    <w:rsid w:val="0077061D"/>
    <w:rsid w:val="0077431D"/>
    <w:rsid w:val="00775951"/>
    <w:rsid w:val="00775AA6"/>
    <w:rsid w:val="0078015D"/>
    <w:rsid w:val="00781160"/>
    <w:rsid w:val="007827A3"/>
    <w:rsid w:val="007846BD"/>
    <w:rsid w:val="0078562D"/>
    <w:rsid w:val="00785E60"/>
    <w:rsid w:val="00785E90"/>
    <w:rsid w:val="007864CA"/>
    <w:rsid w:val="00787CDE"/>
    <w:rsid w:val="007A1D61"/>
    <w:rsid w:val="007A4CFD"/>
    <w:rsid w:val="007A6B64"/>
    <w:rsid w:val="007B0068"/>
    <w:rsid w:val="007B025E"/>
    <w:rsid w:val="007B0AC3"/>
    <w:rsid w:val="007B0B53"/>
    <w:rsid w:val="007B5523"/>
    <w:rsid w:val="007B693F"/>
    <w:rsid w:val="007B7F68"/>
    <w:rsid w:val="007C1912"/>
    <w:rsid w:val="007C4C33"/>
    <w:rsid w:val="007C796B"/>
    <w:rsid w:val="007D0BDE"/>
    <w:rsid w:val="007D1FD8"/>
    <w:rsid w:val="007D2AEF"/>
    <w:rsid w:val="007D2CE6"/>
    <w:rsid w:val="007D4A96"/>
    <w:rsid w:val="007D5AD0"/>
    <w:rsid w:val="007D6D2D"/>
    <w:rsid w:val="007E087E"/>
    <w:rsid w:val="007E18BB"/>
    <w:rsid w:val="007E1EDF"/>
    <w:rsid w:val="007E33D4"/>
    <w:rsid w:val="007E3813"/>
    <w:rsid w:val="007E475F"/>
    <w:rsid w:val="007E4B02"/>
    <w:rsid w:val="007E7097"/>
    <w:rsid w:val="007E7384"/>
    <w:rsid w:val="007F0442"/>
    <w:rsid w:val="007F0E32"/>
    <w:rsid w:val="007F3F93"/>
    <w:rsid w:val="007F41EE"/>
    <w:rsid w:val="007F6D99"/>
    <w:rsid w:val="007F7A60"/>
    <w:rsid w:val="008004DF"/>
    <w:rsid w:val="008010EA"/>
    <w:rsid w:val="008024B2"/>
    <w:rsid w:val="00803A7B"/>
    <w:rsid w:val="00804EE8"/>
    <w:rsid w:val="00816B32"/>
    <w:rsid w:val="00820E23"/>
    <w:rsid w:val="0082105B"/>
    <w:rsid w:val="00822FDF"/>
    <w:rsid w:val="00823FC1"/>
    <w:rsid w:val="00826F85"/>
    <w:rsid w:val="0083444D"/>
    <w:rsid w:val="008420D9"/>
    <w:rsid w:val="008427C5"/>
    <w:rsid w:val="0084379F"/>
    <w:rsid w:val="00845545"/>
    <w:rsid w:val="008551B9"/>
    <w:rsid w:val="00855342"/>
    <w:rsid w:val="0085621E"/>
    <w:rsid w:val="00856854"/>
    <w:rsid w:val="00860094"/>
    <w:rsid w:val="00861ECE"/>
    <w:rsid w:val="008645CF"/>
    <w:rsid w:val="008662E0"/>
    <w:rsid w:val="00866E26"/>
    <w:rsid w:val="008707F8"/>
    <w:rsid w:val="00872488"/>
    <w:rsid w:val="0087489F"/>
    <w:rsid w:val="00875044"/>
    <w:rsid w:val="00875C7F"/>
    <w:rsid w:val="008761B4"/>
    <w:rsid w:val="00880323"/>
    <w:rsid w:val="008815DE"/>
    <w:rsid w:val="0088172D"/>
    <w:rsid w:val="0088232A"/>
    <w:rsid w:val="00884B2C"/>
    <w:rsid w:val="00884FEB"/>
    <w:rsid w:val="0088630E"/>
    <w:rsid w:val="00891DBA"/>
    <w:rsid w:val="008927C3"/>
    <w:rsid w:val="00894520"/>
    <w:rsid w:val="00895503"/>
    <w:rsid w:val="008A4511"/>
    <w:rsid w:val="008A49E8"/>
    <w:rsid w:val="008A5292"/>
    <w:rsid w:val="008A53B5"/>
    <w:rsid w:val="008A66B9"/>
    <w:rsid w:val="008A76C7"/>
    <w:rsid w:val="008A7A5D"/>
    <w:rsid w:val="008A7C50"/>
    <w:rsid w:val="008B2F5E"/>
    <w:rsid w:val="008B6066"/>
    <w:rsid w:val="008B7267"/>
    <w:rsid w:val="008C11CD"/>
    <w:rsid w:val="008C122C"/>
    <w:rsid w:val="008C624D"/>
    <w:rsid w:val="008C62D0"/>
    <w:rsid w:val="008C6E0B"/>
    <w:rsid w:val="008D1E70"/>
    <w:rsid w:val="008D2210"/>
    <w:rsid w:val="008D6194"/>
    <w:rsid w:val="008D68F4"/>
    <w:rsid w:val="008D6D5B"/>
    <w:rsid w:val="008E0BAF"/>
    <w:rsid w:val="008E0E86"/>
    <w:rsid w:val="008E0F08"/>
    <w:rsid w:val="008E3CA9"/>
    <w:rsid w:val="008E416F"/>
    <w:rsid w:val="008E47D2"/>
    <w:rsid w:val="008E6B72"/>
    <w:rsid w:val="008F024A"/>
    <w:rsid w:val="008F1D51"/>
    <w:rsid w:val="008F53AF"/>
    <w:rsid w:val="008F5876"/>
    <w:rsid w:val="009007C6"/>
    <w:rsid w:val="00900C1D"/>
    <w:rsid w:val="00903390"/>
    <w:rsid w:val="00906D99"/>
    <w:rsid w:val="009079AD"/>
    <w:rsid w:val="00910E26"/>
    <w:rsid w:val="00915A15"/>
    <w:rsid w:val="00915A9C"/>
    <w:rsid w:val="00917FAE"/>
    <w:rsid w:val="00920EBF"/>
    <w:rsid w:val="00924EEF"/>
    <w:rsid w:val="0093135A"/>
    <w:rsid w:val="00931490"/>
    <w:rsid w:val="00934B81"/>
    <w:rsid w:val="009362E7"/>
    <w:rsid w:val="009371BA"/>
    <w:rsid w:val="00942368"/>
    <w:rsid w:val="00945316"/>
    <w:rsid w:val="00946F8D"/>
    <w:rsid w:val="009502E9"/>
    <w:rsid w:val="00950950"/>
    <w:rsid w:val="0095231B"/>
    <w:rsid w:val="00955F25"/>
    <w:rsid w:val="009637EA"/>
    <w:rsid w:val="009641EA"/>
    <w:rsid w:val="00965272"/>
    <w:rsid w:val="00965D5D"/>
    <w:rsid w:val="00965DED"/>
    <w:rsid w:val="009660C0"/>
    <w:rsid w:val="00971A2C"/>
    <w:rsid w:val="0097361F"/>
    <w:rsid w:val="00974222"/>
    <w:rsid w:val="0097529F"/>
    <w:rsid w:val="009770DD"/>
    <w:rsid w:val="009777FB"/>
    <w:rsid w:val="00981993"/>
    <w:rsid w:val="0098245F"/>
    <w:rsid w:val="00983EE0"/>
    <w:rsid w:val="00985397"/>
    <w:rsid w:val="0098778D"/>
    <w:rsid w:val="009900AD"/>
    <w:rsid w:val="00991C37"/>
    <w:rsid w:val="0099328D"/>
    <w:rsid w:val="00994ECA"/>
    <w:rsid w:val="00995730"/>
    <w:rsid w:val="00995EC9"/>
    <w:rsid w:val="0099694B"/>
    <w:rsid w:val="009A0845"/>
    <w:rsid w:val="009A1317"/>
    <w:rsid w:val="009A2E43"/>
    <w:rsid w:val="009A4B3E"/>
    <w:rsid w:val="009A6E08"/>
    <w:rsid w:val="009A7666"/>
    <w:rsid w:val="009A77CD"/>
    <w:rsid w:val="009B2EE9"/>
    <w:rsid w:val="009B34D1"/>
    <w:rsid w:val="009B6CE4"/>
    <w:rsid w:val="009C0018"/>
    <w:rsid w:val="009C001E"/>
    <w:rsid w:val="009C0800"/>
    <w:rsid w:val="009C212D"/>
    <w:rsid w:val="009C273D"/>
    <w:rsid w:val="009C2C58"/>
    <w:rsid w:val="009C3801"/>
    <w:rsid w:val="009C4291"/>
    <w:rsid w:val="009C7D6A"/>
    <w:rsid w:val="009D3244"/>
    <w:rsid w:val="009D3500"/>
    <w:rsid w:val="009E250B"/>
    <w:rsid w:val="009E44AD"/>
    <w:rsid w:val="009E58B0"/>
    <w:rsid w:val="009E6A9F"/>
    <w:rsid w:val="009F3AD0"/>
    <w:rsid w:val="009F75EC"/>
    <w:rsid w:val="00A01C72"/>
    <w:rsid w:val="00A02743"/>
    <w:rsid w:val="00A02850"/>
    <w:rsid w:val="00A03C89"/>
    <w:rsid w:val="00A03DC9"/>
    <w:rsid w:val="00A0483F"/>
    <w:rsid w:val="00A0649B"/>
    <w:rsid w:val="00A11EC0"/>
    <w:rsid w:val="00A11FB0"/>
    <w:rsid w:val="00A1286F"/>
    <w:rsid w:val="00A136CD"/>
    <w:rsid w:val="00A14B7E"/>
    <w:rsid w:val="00A21A2C"/>
    <w:rsid w:val="00A24751"/>
    <w:rsid w:val="00A27BA8"/>
    <w:rsid w:val="00A320B1"/>
    <w:rsid w:val="00A32542"/>
    <w:rsid w:val="00A33695"/>
    <w:rsid w:val="00A34D7E"/>
    <w:rsid w:val="00A35C0D"/>
    <w:rsid w:val="00A36D27"/>
    <w:rsid w:val="00A36D70"/>
    <w:rsid w:val="00A4309F"/>
    <w:rsid w:val="00A431AF"/>
    <w:rsid w:val="00A449A6"/>
    <w:rsid w:val="00A45C17"/>
    <w:rsid w:val="00A469C9"/>
    <w:rsid w:val="00A46B32"/>
    <w:rsid w:val="00A51E27"/>
    <w:rsid w:val="00A60BA6"/>
    <w:rsid w:val="00A61994"/>
    <w:rsid w:val="00A64421"/>
    <w:rsid w:val="00A72569"/>
    <w:rsid w:val="00A72DF3"/>
    <w:rsid w:val="00A76A5D"/>
    <w:rsid w:val="00A772B4"/>
    <w:rsid w:val="00A801A9"/>
    <w:rsid w:val="00A80A02"/>
    <w:rsid w:val="00A81836"/>
    <w:rsid w:val="00A827EF"/>
    <w:rsid w:val="00A83F80"/>
    <w:rsid w:val="00A85CE0"/>
    <w:rsid w:val="00A86139"/>
    <w:rsid w:val="00A8655C"/>
    <w:rsid w:val="00A90BDF"/>
    <w:rsid w:val="00A91DBC"/>
    <w:rsid w:val="00A921D0"/>
    <w:rsid w:val="00A9707B"/>
    <w:rsid w:val="00A97B12"/>
    <w:rsid w:val="00AA02BE"/>
    <w:rsid w:val="00AA0B7E"/>
    <w:rsid w:val="00AA21F3"/>
    <w:rsid w:val="00AA2AD2"/>
    <w:rsid w:val="00AA40D1"/>
    <w:rsid w:val="00AB233A"/>
    <w:rsid w:val="00AB28E2"/>
    <w:rsid w:val="00AB2F46"/>
    <w:rsid w:val="00AB4E51"/>
    <w:rsid w:val="00AB5AE4"/>
    <w:rsid w:val="00AB5E31"/>
    <w:rsid w:val="00AB62B3"/>
    <w:rsid w:val="00AC14E2"/>
    <w:rsid w:val="00AC2688"/>
    <w:rsid w:val="00AC5975"/>
    <w:rsid w:val="00AC5F45"/>
    <w:rsid w:val="00AC69C3"/>
    <w:rsid w:val="00AD061B"/>
    <w:rsid w:val="00AD1C09"/>
    <w:rsid w:val="00AD4571"/>
    <w:rsid w:val="00AE1CD7"/>
    <w:rsid w:val="00AE2F75"/>
    <w:rsid w:val="00AE34DF"/>
    <w:rsid w:val="00AE5923"/>
    <w:rsid w:val="00AF0271"/>
    <w:rsid w:val="00AF06DB"/>
    <w:rsid w:val="00AF172A"/>
    <w:rsid w:val="00AF62BC"/>
    <w:rsid w:val="00AF672F"/>
    <w:rsid w:val="00AF7FA5"/>
    <w:rsid w:val="00B01163"/>
    <w:rsid w:val="00B0191A"/>
    <w:rsid w:val="00B0468D"/>
    <w:rsid w:val="00B05254"/>
    <w:rsid w:val="00B057CA"/>
    <w:rsid w:val="00B063D0"/>
    <w:rsid w:val="00B12EA6"/>
    <w:rsid w:val="00B141BC"/>
    <w:rsid w:val="00B15280"/>
    <w:rsid w:val="00B1595E"/>
    <w:rsid w:val="00B17100"/>
    <w:rsid w:val="00B200D4"/>
    <w:rsid w:val="00B207F4"/>
    <w:rsid w:val="00B22A44"/>
    <w:rsid w:val="00B244CF"/>
    <w:rsid w:val="00B2596F"/>
    <w:rsid w:val="00B27616"/>
    <w:rsid w:val="00B27865"/>
    <w:rsid w:val="00B27962"/>
    <w:rsid w:val="00B33244"/>
    <w:rsid w:val="00B35C1A"/>
    <w:rsid w:val="00B36BA6"/>
    <w:rsid w:val="00B414D0"/>
    <w:rsid w:val="00B42ABA"/>
    <w:rsid w:val="00B439B1"/>
    <w:rsid w:val="00B4530A"/>
    <w:rsid w:val="00B50194"/>
    <w:rsid w:val="00B51F42"/>
    <w:rsid w:val="00B53030"/>
    <w:rsid w:val="00B65F23"/>
    <w:rsid w:val="00B679C2"/>
    <w:rsid w:val="00B7024C"/>
    <w:rsid w:val="00B70632"/>
    <w:rsid w:val="00B80B0E"/>
    <w:rsid w:val="00B822A4"/>
    <w:rsid w:val="00B82A3A"/>
    <w:rsid w:val="00B83DD6"/>
    <w:rsid w:val="00B85081"/>
    <w:rsid w:val="00B9340F"/>
    <w:rsid w:val="00B945FE"/>
    <w:rsid w:val="00BA066A"/>
    <w:rsid w:val="00BA1DC1"/>
    <w:rsid w:val="00BA2252"/>
    <w:rsid w:val="00BA362E"/>
    <w:rsid w:val="00BA3827"/>
    <w:rsid w:val="00BA577F"/>
    <w:rsid w:val="00BA623F"/>
    <w:rsid w:val="00BA6E03"/>
    <w:rsid w:val="00BA7374"/>
    <w:rsid w:val="00BB105B"/>
    <w:rsid w:val="00BB235F"/>
    <w:rsid w:val="00BB29F2"/>
    <w:rsid w:val="00BB2FB4"/>
    <w:rsid w:val="00BB3751"/>
    <w:rsid w:val="00BB50BB"/>
    <w:rsid w:val="00BB55B9"/>
    <w:rsid w:val="00BB6397"/>
    <w:rsid w:val="00BB665E"/>
    <w:rsid w:val="00BB6DEA"/>
    <w:rsid w:val="00BB74BC"/>
    <w:rsid w:val="00BC068F"/>
    <w:rsid w:val="00BC131B"/>
    <w:rsid w:val="00BC2C58"/>
    <w:rsid w:val="00BC47F7"/>
    <w:rsid w:val="00BC72FD"/>
    <w:rsid w:val="00BD0674"/>
    <w:rsid w:val="00BD26B2"/>
    <w:rsid w:val="00BD2B86"/>
    <w:rsid w:val="00BE0698"/>
    <w:rsid w:val="00BE1311"/>
    <w:rsid w:val="00BE2D91"/>
    <w:rsid w:val="00BE3226"/>
    <w:rsid w:val="00BE358B"/>
    <w:rsid w:val="00BE6DFE"/>
    <w:rsid w:val="00BF27C4"/>
    <w:rsid w:val="00BF3C7F"/>
    <w:rsid w:val="00BF4825"/>
    <w:rsid w:val="00BF4DBA"/>
    <w:rsid w:val="00BF640E"/>
    <w:rsid w:val="00BF666D"/>
    <w:rsid w:val="00BF67A2"/>
    <w:rsid w:val="00C000FD"/>
    <w:rsid w:val="00C01264"/>
    <w:rsid w:val="00C02143"/>
    <w:rsid w:val="00C029BC"/>
    <w:rsid w:val="00C04D37"/>
    <w:rsid w:val="00C0662F"/>
    <w:rsid w:val="00C066B8"/>
    <w:rsid w:val="00C07304"/>
    <w:rsid w:val="00C074C4"/>
    <w:rsid w:val="00C101C6"/>
    <w:rsid w:val="00C12FEB"/>
    <w:rsid w:val="00C15B08"/>
    <w:rsid w:val="00C1644D"/>
    <w:rsid w:val="00C16AD7"/>
    <w:rsid w:val="00C2230F"/>
    <w:rsid w:val="00C25670"/>
    <w:rsid w:val="00C2609F"/>
    <w:rsid w:val="00C2636B"/>
    <w:rsid w:val="00C277FB"/>
    <w:rsid w:val="00C3194E"/>
    <w:rsid w:val="00C338A5"/>
    <w:rsid w:val="00C356C8"/>
    <w:rsid w:val="00C367B4"/>
    <w:rsid w:val="00C368A1"/>
    <w:rsid w:val="00C36B2D"/>
    <w:rsid w:val="00C4072C"/>
    <w:rsid w:val="00C40D60"/>
    <w:rsid w:val="00C41ABD"/>
    <w:rsid w:val="00C43339"/>
    <w:rsid w:val="00C43A7D"/>
    <w:rsid w:val="00C46DB1"/>
    <w:rsid w:val="00C47BD3"/>
    <w:rsid w:val="00C50300"/>
    <w:rsid w:val="00C521E5"/>
    <w:rsid w:val="00C52B89"/>
    <w:rsid w:val="00C52CE2"/>
    <w:rsid w:val="00C53963"/>
    <w:rsid w:val="00C54763"/>
    <w:rsid w:val="00C563A1"/>
    <w:rsid w:val="00C569F8"/>
    <w:rsid w:val="00C57601"/>
    <w:rsid w:val="00C57B68"/>
    <w:rsid w:val="00C624CC"/>
    <w:rsid w:val="00C635CF"/>
    <w:rsid w:val="00C65806"/>
    <w:rsid w:val="00C707EE"/>
    <w:rsid w:val="00C71A90"/>
    <w:rsid w:val="00C8129D"/>
    <w:rsid w:val="00C81874"/>
    <w:rsid w:val="00C81D53"/>
    <w:rsid w:val="00C83135"/>
    <w:rsid w:val="00C83BED"/>
    <w:rsid w:val="00C840B4"/>
    <w:rsid w:val="00C8442F"/>
    <w:rsid w:val="00C84BAF"/>
    <w:rsid w:val="00C87CEE"/>
    <w:rsid w:val="00C92415"/>
    <w:rsid w:val="00C92E09"/>
    <w:rsid w:val="00C941FF"/>
    <w:rsid w:val="00C960CE"/>
    <w:rsid w:val="00C973FB"/>
    <w:rsid w:val="00CA1AAB"/>
    <w:rsid w:val="00CA2E80"/>
    <w:rsid w:val="00CA42A9"/>
    <w:rsid w:val="00CA61EE"/>
    <w:rsid w:val="00CA6CFB"/>
    <w:rsid w:val="00CB484B"/>
    <w:rsid w:val="00CB4E0C"/>
    <w:rsid w:val="00CB5059"/>
    <w:rsid w:val="00CB554D"/>
    <w:rsid w:val="00CB6C8D"/>
    <w:rsid w:val="00CB6CF3"/>
    <w:rsid w:val="00CC05E7"/>
    <w:rsid w:val="00CC2429"/>
    <w:rsid w:val="00CC3B68"/>
    <w:rsid w:val="00CC604B"/>
    <w:rsid w:val="00CC6811"/>
    <w:rsid w:val="00CC6B3A"/>
    <w:rsid w:val="00CD4331"/>
    <w:rsid w:val="00CD4E73"/>
    <w:rsid w:val="00CD52C6"/>
    <w:rsid w:val="00CD7ED8"/>
    <w:rsid w:val="00CE019C"/>
    <w:rsid w:val="00CE0F46"/>
    <w:rsid w:val="00CE32FA"/>
    <w:rsid w:val="00CE5ACF"/>
    <w:rsid w:val="00CF06F7"/>
    <w:rsid w:val="00CF4742"/>
    <w:rsid w:val="00CF4894"/>
    <w:rsid w:val="00CF48DE"/>
    <w:rsid w:val="00D02770"/>
    <w:rsid w:val="00D03C12"/>
    <w:rsid w:val="00D054C0"/>
    <w:rsid w:val="00D06F70"/>
    <w:rsid w:val="00D07BD7"/>
    <w:rsid w:val="00D10700"/>
    <w:rsid w:val="00D10C3F"/>
    <w:rsid w:val="00D115F3"/>
    <w:rsid w:val="00D12FB2"/>
    <w:rsid w:val="00D14A32"/>
    <w:rsid w:val="00D2018B"/>
    <w:rsid w:val="00D20309"/>
    <w:rsid w:val="00D204FD"/>
    <w:rsid w:val="00D207BF"/>
    <w:rsid w:val="00D209F9"/>
    <w:rsid w:val="00D20C67"/>
    <w:rsid w:val="00D2506C"/>
    <w:rsid w:val="00D268D8"/>
    <w:rsid w:val="00D27F99"/>
    <w:rsid w:val="00D27FAC"/>
    <w:rsid w:val="00D30BE6"/>
    <w:rsid w:val="00D311E6"/>
    <w:rsid w:val="00D31C7A"/>
    <w:rsid w:val="00D32E09"/>
    <w:rsid w:val="00D34FAB"/>
    <w:rsid w:val="00D35220"/>
    <w:rsid w:val="00D35C30"/>
    <w:rsid w:val="00D36501"/>
    <w:rsid w:val="00D36546"/>
    <w:rsid w:val="00D37C40"/>
    <w:rsid w:val="00D40229"/>
    <w:rsid w:val="00D4061C"/>
    <w:rsid w:val="00D40975"/>
    <w:rsid w:val="00D4194D"/>
    <w:rsid w:val="00D441A7"/>
    <w:rsid w:val="00D45A48"/>
    <w:rsid w:val="00D46F08"/>
    <w:rsid w:val="00D47551"/>
    <w:rsid w:val="00D52B83"/>
    <w:rsid w:val="00D52FEA"/>
    <w:rsid w:val="00D533DD"/>
    <w:rsid w:val="00D56439"/>
    <w:rsid w:val="00D56773"/>
    <w:rsid w:val="00D56AF5"/>
    <w:rsid w:val="00D57A8E"/>
    <w:rsid w:val="00D60795"/>
    <w:rsid w:val="00D60F96"/>
    <w:rsid w:val="00D62DF8"/>
    <w:rsid w:val="00D6494A"/>
    <w:rsid w:val="00D64B66"/>
    <w:rsid w:val="00D711F2"/>
    <w:rsid w:val="00D72193"/>
    <w:rsid w:val="00D77799"/>
    <w:rsid w:val="00D80537"/>
    <w:rsid w:val="00D8096D"/>
    <w:rsid w:val="00D832B0"/>
    <w:rsid w:val="00D8369E"/>
    <w:rsid w:val="00D83979"/>
    <w:rsid w:val="00D84EB7"/>
    <w:rsid w:val="00D86BA2"/>
    <w:rsid w:val="00D87BAB"/>
    <w:rsid w:val="00D90FE3"/>
    <w:rsid w:val="00D91DC3"/>
    <w:rsid w:val="00D92396"/>
    <w:rsid w:val="00D946DB"/>
    <w:rsid w:val="00D94E50"/>
    <w:rsid w:val="00D95A62"/>
    <w:rsid w:val="00DA0764"/>
    <w:rsid w:val="00DA3B36"/>
    <w:rsid w:val="00DA4B64"/>
    <w:rsid w:val="00DA54E3"/>
    <w:rsid w:val="00DA62B2"/>
    <w:rsid w:val="00DA77E1"/>
    <w:rsid w:val="00DB0F07"/>
    <w:rsid w:val="00DB2DD0"/>
    <w:rsid w:val="00DB40CA"/>
    <w:rsid w:val="00DB4B27"/>
    <w:rsid w:val="00DB7260"/>
    <w:rsid w:val="00DB7A5E"/>
    <w:rsid w:val="00DC2D05"/>
    <w:rsid w:val="00DC40DA"/>
    <w:rsid w:val="00DD12B7"/>
    <w:rsid w:val="00DD1906"/>
    <w:rsid w:val="00DD2C19"/>
    <w:rsid w:val="00DD58A5"/>
    <w:rsid w:val="00DD72AA"/>
    <w:rsid w:val="00DE0962"/>
    <w:rsid w:val="00DE230A"/>
    <w:rsid w:val="00DE35BA"/>
    <w:rsid w:val="00DE4035"/>
    <w:rsid w:val="00DE4821"/>
    <w:rsid w:val="00DE4EF2"/>
    <w:rsid w:val="00DE55EC"/>
    <w:rsid w:val="00DE5729"/>
    <w:rsid w:val="00DE6063"/>
    <w:rsid w:val="00DF008D"/>
    <w:rsid w:val="00DF6633"/>
    <w:rsid w:val="00DF7226"/>
    <w:rsid w:val="00E02226"/>
    <w:rsid w:val="00E02A1B"/>
    <w:rsid w:val="00E02C8A"/>
    <w:rsid w:val="00E050F3"/>
    <w:rsid w:val="00E052A9"/>
    <w:rsid w:val="00E07C8E"/>
    <w:rsid w:val="00E108C2"/>
    <w:rsid w:val="00E11F7B"/>
    <w:rsid w:val="00E12946"/>
    <w:rsid w:val="00E143FD"/>
    <w:rsid w:val="00E1696D"/>
    <w:rsid w:val="00E17043"/>
    <w:rsid w:val="00E1750A"/>
    <w:rsid w:val="00E2063E"/>
    <w:rsid w:val="00E21328"/>
    <w:rsid w:val="00E25528"/>
    <w:rsid w:val="00E27969"/>
    <w:rsid w:val="00E27CC9"/>
    <w:rsid w:val="00E32DA2"/>
    <w:rsid w:val="00E33B0C"/>
    <w:rsid w:val="00E33BF7"/>
    <w:rsid w:val="00E41415"/>
    <w:rsid w:val="00E417A7"/>
    <w:rsid w:val="00E41A58"/>
    <w:rsid w:val="00E42511"/>
    <w:rsid w:val="00E457D2"/>
    <w:rsid w:val="00E45FB9"/>
    <w:rsid w:val="00E4605F"/>
    <w:rsid w:val="00E46936"/>
    <w:rsid w:val="00E479DE"/>
    <w:rsid w:val="00E47CCD"/>
    <w:rsid w:val="00E5098D"/>
    <w:rsid w:val="00E509EA"/>
    <w:rsid w:val="00E528E4"/>
    <w:rsid w:val="00E543B2"/>
    <w:rsid w:val="00E54B05"/>
    <w:rsid w:val="00E5608A"/>
    <w:rsid w:val="00E56E29"/>
    <w:rsid w:val="00E57916"/>
    <w:rsid w:val="00E60049"/>
    <w:rsid w:val="00E60B50"/>
    <w:rsid w:val="00E63DC8"/>
    <w:rsid w:val="00E66040"/>
    <w:rsid w:val="00E669ED"/>
    <w:rsid w:val="00E70299"/>
    <w:rsid w:val="00E7112F"/>
    <w:rsid w:val="00E73B3F"/>
    <w:rsid w:val="00E748E2"/>
    <w:rsid w:val="00E75993"/>
    <w:rsid w:val="00E80172"/>
    <w:rsid w:val="00E802E3"/>
    <w:rsid w:val="00E804CC"/>
    <w:rsid w:val="00E83D25"/>
    <w:rsid w:val="00E83F90"/>
    <w:rsid w:val="00E84465"/>
    <w:rsid w:val="00E93275"/>
    <w:rsid w:val="00E9580A"/>
    <w:rsid w:val="00E96FFE"/>
    <w:rsid w:val="00EA3219"/>
    <w:rsid w:val="00EA3FEF"/>
    <w:rsid w:val="00EA419C"/>
    <w:rsid w:val="00EA549E"/>
    <w:rsid w:val="00EB154B"/>
    <w:rsid w:val="00EB24B3"/>
    <w:rsid w:val="00EB3D2B"/>
    <w:rsid w:val="00EB5804"/>
    <w:rsid w:val="00EB6AF6"/>
    <w:rsid w:val="00EB6B66"/>
    <w:rsid w:val="00EB7B94"/>
    <w:rsid w:val="00EC0D9E"/>
    <w:rsid w:val="00EC43A5"/>
    <w:rsid w:val="00EC5046"/>
    <w:rsid w:val="00EC5298"/>
    <w:rsid w:val="00EC69A1"/>
    <w:rsid w:val="00ED1EF3"/>
    <w:rsid w:val="00ED55F7"/>
    <w:rsid w:val="00ED7234"/>
    <w:rsid w:val="00ED7C8E"/>
    <w:rsid w:val="00EE2205"/>
    <w:rsid w:val="00EE2934"/>
    <w:rsid w:val="00EE385F"/>
    <w:rsid w:val="00EE651E"/>
    <w:rsid w:val="00EE6B9E"/>
    <w:rsid w:val="00EF0BD5"/>
    <w:rsid w:val="00EF0DA4"/>
    <w:rsid w:val="00EF13C2"/>
    <w:rsid w:val="00EF253C"/>
    <w:rsid w:val="00EF39E3"/>
    <w:rsid w:val="00EF735A"/>
    <w:rsid w:val="00F015E6"/>
    <w:rsid w:val="00F0322C"/>
    <w:rsid w:val="00F04906"/>
    <w:rsid w:val="00F04F29"/>
    <w:rsid w:val="00F12EA3"/>
    <w:rsid w:val="00F1455C"/>
    <w:rsid w:val="00F150E9"/>
    <w:rsid w:val="00F174C5"/>
    <w:rsid w:val="00F20C92"/>
    <w:rsid w:val="00F21A1B"/>
    <w:rsid w:val="00F24AD1"/>
    <w:rsid w:val="00F276A6"/>
    <w:rsid w:val="00F30076"/>
    <w:rsid w:val="00F30757"/>
    <w:rsid w:val="00F325B9"/>
    <w:rsid w:val="00F33A0C"/>
    <w:rsid w:val="00F33AD3"/>
    <w:rsid w:val="00F356CE"/>
    <w:rsid w:val="00F35FFD"/>
    <w:rsid w:val="00F360BF"/>
    <w:rsid w:val="00F36707"/>
    <w:rsid w:val="00F40CD9"/>
    <w:rsid w:val="00F41952"/>
    <w:rsid w:val="00F41B3A"/>
    <w:rsid w:val="00F423F0"/>
    <w:rsid w:val="00F44F8A"/>
    <w:rsid w:val="00F4557F"/>
    <w:rsid w:val="00F463F5"/>
    <w:rsid w:val="00F51302"/>
    <w:rsid w:val="00F5381F"/>
    <w:rsid w:val="00F5524C"/>
    <w:rsid w:val="00F56926"/>
    <w:rsid w:val="00F60F37"/>
    <w:rsid w:val="00F61095"/>
    <w:rsid w:val="00F620A2"/>
    <w:rsid w:val="00F63BA7"/>
    <w:rsid w:val="00F7508F"/>
    <w:rsid w:val="00F7650D"/>
    <w:rsid w:val="00F777C7"/>
    <w:rsid w:val="00F800B6"/>
    <w:rsid w:val="00F84B2D"/>
    <w:rsid w:val="00F91572"/>
    <w:rsid w:val="00F93B5F"/>
    <w:rsid w:val="00F940AE"/>
    <w:rsid w:val="00F94F7D"/>
    <w:rsid w:val="00F94FFF"/>
    <w:rsid w:val="00F966F4"/>
    <w:rsid w:val="00FB199D"/>
    <w:rsid w:val="00FB1C26"/>
    <w:rsid w:val="00FB1D44"/>
    <w:rsid w:val="00FB2C3F"/>
    <w:rsid w:val="00FB3348"/>
    <w:rsid w:val="00FB4960"/>
    <w:rsid w:val="00FB5258"/>
    <w:rsid w:val="00FC0907"/>
    <w:rsid w:val="00FC1580"/>
    <w:rsid w:val="00FC1FF4"/>
    <w:rsid w:val="00FC221F"/>
    <w:rsid w:val="00FC24AC"/>
    <w:rsid w:val="00FC2882"/>
    <w:rsid w:val="00FC3295"/>
    <w:rsid w:val="00FC371D"/>
    <w:rsid w:val="00FC40E0"/>
    <w:rsid w:val="00FC4D06"/>
    <w:rsid w:val="00FC6DE4"/>
    <w:rsid w:val="00FC787E"/>
    <w:rsid w:val="00FD0B03"/>
    <w:rsid w:val="00FD1186"/>
    <w:rsid w:val="00FD4656"/>
    <w:rsid w:val="00FD569F"/>
    <w:rsid w:val="00FD5893"/>
    <w:rsid w:val="00FD6766"/>
    <w:rsid w:val="00FD7524"/>
    <w:rsid w:val="00FE103A"/>
    <w:rsid w:val="00FE2B2D"/>
    <w:rsid w:val="00FE4AE0"/>
    <w:rsid w:val="00FE4D22"/>
    <w:rsid w:val="00FF0EEE"/>
    <w:rsid w:val="00FF28DF"/>
    <w:rsid w:val="00FF3A9F"/>
    <w:rsid w:val="00FF3ED5"/>
    <w:rsid w:val="00FF62F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Times New Roman"/>
        <w:lang w:val="lt-LT" w:eastAsia="lt-LT" w:bidi="lt-L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1"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table of figures" w:uiPriority="0"/>
    <w:lsdException w:name="footnote reference" w:uiPriority="0"/>
    <w:lsdException w:name="endnote reference" w:semiHidden="0" w:uiPriority="1" w:unhideWhenUsed="0"/>
    <w:lsdException w:name="endnote text" w:semiHidden="0" w:uiPriority="1"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884FEB"/>
    <w:pPr>
      <w:spacing w:before="120" w:after="120"/>
      <w:jc w:val="both"/>
    </w:pPr>
    <w:rPr>
      <w:rFonts w:ascii="Verdana" w:eastAsia="Times New Roman" w:hAnsi="Verdana"/>
      <w:szCs w:val="24"/>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b/>
      <w:sz w:val="24"/>
    </w:rPr>
  </w:style>
  <w:style w:type="paragraph" w:styleId="Heading3">
    <w:name w:val="heading 3"/>
    <w:basedOn w:val="Normal"/>
    <w:next w:val="Normal"/>
    <w:link w:val="Heading3Char1"/>
    <w:autoRedefine/>
    <w:uiPriority w:val="99"/>
    <w:qFormat/>
    <w:rsid w:val="001E5A75"/>
    <w:pPr>
      <w:keepNext/>
      <w:spacing w:before="180"/>
      <w:outlineLvl w:val="2"/>
    </w:pPr>
    <w:rPr>
      <w:b/>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b/>
      <w:i/>
    </w:rPr>
  </w:style>
  <w:style w:type="paragraph" w:styleId="Heading6">
    <w:name w:val="heading 6"/>
    <w:basedOn w:val="Normal"/>
    <w:next w:val="Normal"/>
    <w:link w:val="Heading6Char"/>
    <w:qFormat/>
    <w:rsid w:val="001E5A75"/>
    <w:pPr>
      <w:spacing w:before="240" w:after="60"/>
      <w:outlineLvl w:val="5"/>
    </w:pPr>
    <w:rPr>
      <w:rFonts w:ascii="Times New Roman" w:hAnsi="Times New Roman"/>
      <w:b/>
      <w:bCs/>
      <w:szCs w:val="22"/>
    </w:rPr>
  </w:style>
  <w:style w:type="paragraph" w:styleId="Heading7">
    <w:name w:val="heading 7"/>
    <w:basedOn w:val="Normal"/>
    <w:next w:val="Normal"/>
    <w:link w:val="Heading7Char"/>
    <w:qFormat/>
    <w:rsid w:val="001E5A75"/>
    <w:pPr>
      <w:spacing w:before="240" w:after="60"/>
      <w:outlineLvl w:val="6"/>
    </w:pPr>
    <w:rPr>
      <w:rFonts w:ascii="Times New Roman" w:hAnsi="Times New Roman"/>
      <w:sz w:val="24"/>
    </w:rPr>
  </w:style>
  <w:style w:type="paragraph" w:styleId="Heading8">
    <w:name w:val="heading 8"/>
    <w:basedOn w:val="Normal"/>
    <w:next w:val="Normal"/>
    <w:link w:val="Heading8Char"/>
    <w:qFormat/>
    <w:rsid w:val="001E5A75"/>
    <w:p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1E5A75"/>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lt-LT"/>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sz w:val="16"/>
      <w:szCs w:val="16"/>
    </w:rPr>
  </w:style>
  <w:style w:type="character" w:customStyle="1" w:styleId="FootnoteTextChar">
    <w:name w:val="Footnote Text Char"/>
    <w:link w:val="FootnoteText"/>
    <w:rsid w:val="00C2636B"/>
    <w:rPr>
      <w:rFonts w:ascii="Arial" w:hAnsi="Arial"/>
      <w:sz w:val="16"/>
      <w:szCs w:val="16"/>
      <w:lang w:eastAsia="lt-LT"/>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szCs w:val="14"/>
    </w:rPr>
  </w:style>
  <w:style w:type="character" w:customStyle="1" w:styleId="FooterChar">
    <w:name w:val="Footer Char"/>
    <w:link w:val="Footer"/>
    <w:uiPriority w:val="99"/>
    <w:rsid w:val="001E5A75"/>
    <w:rPr>
      <w:rFonts w:ascii="Arial" w:hAnsi="Arial"/>
      <w:szCs w:val="14"/>
      <w:lang w:eastAsia="lt-LT"/>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style>
  <w:style w:type="character" w:customStyle="1" w:styleId="HeaderChar">
    <w:name w:val="Header Char"/>
    <w:link w:val="Header"/>
    <w:uiPriority w:val="99"/>
    <w:rsid w:val="001E5A75"/>
    <w:rPr>
      <w:rFonts w:ascii="Arial" w:hAnsi="Arial"/>
      <w:szCs w:val="20"/>
      <w:lang w:eastAsia="lt-LT"/>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lt-LT"/>
    </w:rPr>
  </w:style>
  <w:style w:type="character" w:customStyle="1" w:styleId="Heading3Char1">
    <w:name w:val="Heading 3 Char1"/>
    <w:link w:val="Heading3"/>
    <w:uiPriority w:val="99"/>
    <w:rsid w:val="001E5A75"/>
    <w:rPr>
      <w:rFonts w:ascii="Arial" w:hAnsi="Arial"/>
      <w:b/>
      <w:szCs w:val="20"/>
      <w:lang w:eastAsia="lt-LT"/>
    </w:rPr>
  </w:style>
  <w:style w:type="character" w:customStyle="1" w:styleId="Heading4Char">
    <w:name w:val="Heading 4 Char"/>
    <w:link w:val="Heading4"/>
    <w:uiPriority w:val="99"/>
    <w:rsid w:val="00DE0962"/>
    <w:rPr>
      <w:rFonts w:ascii="Verdana" w:eastAsia="Times New Roman" w:hAnsi="Verdana"/>
      <w:b/>
      <w:szCs w:val="24"/>
      <w:u w:val="single"/>
      <w:lang w:eastAsia="lt-LT"/>
    </w:rPr>
  </w:style>
  <w:style w:type="character" w:customStyle="1" w:styleId="Heading5Char">
    <w:name w:val="Heading 5 Char"/>
    <w:link w:val="Heading5"/>
    <w:uiPriority w:val="1"/>
    <w:rsid w:val="001E5A75"/>
    <w:rPr>
      <w:rFonts w:ascii="Arial" w:hAnsi="Arial"/>
      <w:b/>
      <w:i/>
      <w:szCs w:val="20"/>
      <w:lang w:eastAsia="lt-LT"/>
    </w:rPr>
  </w:style>
  <w:style w:type="character" w:customStyle="1" w:styleId="Heading6Char">
    <w:name w:val="Heading 6 Char"/>
    <w:link w:val="Heading6"/>
    <w:semiHidden/>
    <w:rsid w:val="001E5A75"/>
    <w:rPr>
      <w:rFonts w:ascii="Times New Roman" w:hAnsi="Times New Roman"/>
      <w:b/>
      <w:bCs/>
      <w:lang w:eastAsia="lt-LT"/>
    </w:rPr>
  </w:style>
  <w:style w:type="character" w:customStyle="1" w:styleId="Heading7Char">
    <w:name w:val="Heading 7 Char"/>
    <w:link w:val="Heading7"/>
    <w:semiHidden/>
    <w:rsid w:val="001E5A75"/>
    <w:rPr>
      <w:rFonts w:ascii="Times New Roman" w:hAnsi="Times New Roman"/>
      <w:sz w:val="24"/>
      <w:szCs w:val="20"/>
      <w:lang w:eastAsia="lt-LT"/>
    </w:rPr>
  </w:style>
  <w:style w:type="character" w:customStyle="1" w:styleId="Heading8Char">
    <w:name w:val="Heading 8 Char"/>
    <w:link w:val="Heading8"/>
    <w:semiHidden/>
    <w:rsid w:val="001E5A75"/>
    <w:rPr>
      <w:rFonts w:ascii="Times New Roman" w:hAnsi="Times New Roman"/>
      <w:i/>
      <w:iCs/>
      <w:sz w:val="24"/>
      <w:szCs w:val="20"/>
      <w:lang w:eastAsia="lt-LT"/>
    </w:rPr>
  </w:style>
  <w:style w:type="character" w:customStyle="1" w:styleId="Heading9Char">
    <w:name w:val="Heading 9 Char"/>
    <w:link w:val="Heading9"/>
    <w:semiHidden/>
    <w:rsid w:val="001E5A75"/>
    <w:rPr>
      <w:rFonts w:ascii="Arial" w:hAnsi="Arial" w:cs="Arial"/>
      <w:lang w:eastAsia="lt-LT"/>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i/>
      <w:iCs/>
      <w:color w:val="000000"/>
    </w:rPr>
  </w:style>
  <w:style w:type="character" w:customStyle="1" w:styleId="QuoteChar">
    <w:name w:val="Quote Char"/>
    <w:link w:val="Quote"/>
    <w:uiPriority w:val="29"/>
    <w:semiHidden/>
    <w:rsid w:val="001E5A75"/>
    <w:rPr>
      <w:rFonts w:ascii="Arial" w:hAnsi="Arial"/>
      <w:i/>
      <w:iCs/>
      <w:color w:val="000000"/>
      <w:szCs w:val="20"/>
      <w:lang w:eastAsia="lt-LT"/>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sz w:val="16"/>
    </w:rPr>
  </w:style>
  <w:style w:type="character" w:customStyle="1" w:styleId="EndnoteTextChar">
    <w:name w:val="Endnote Text Char"/>
    <w:link w:val="EndnoteText"/>
    <w:uiPriority w:val="1"/>
    <w:rsid w:val="001E5A75"/>
    <w:rPr>
      <w:rFonts w:ascii="Arial" w:hAnsi="Arial"/>
      <w:sz w:val="16"/>
      <w:szCs w:val="20"/>
      <w:lang w:eastAsia="lt-LT"/>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lt-LT" w:eastAsia="lt-LT"/>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lt-LT"/>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cs="Tahoma"/>
      <w:sz w:val="16"/>
      <w:szCs w:val="16"/>
    </w:rPr>
  </w:style>
  <w:style w:type="character" w:customStyle="1" w:styleId="BalloonTextChar">
    <w:name w:val="Balloon Text Char"/>
    <w:link w:val="BalloonText"/>
    <w:uiPriority w:val="99"/>
    <w:rsid w:val="00884FEB"/>
    <w:rPr>
      <w:rFonts w:ascii="Tahoma" w:eastAsia="Times New Roman" w:hAnsi="Tahoma" w:cs="Tahoma"/>
      <w:sz w:val="16"/>
      <w:szCs w:val="16"/>
      <w:lang w:val="lt-LT"/>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lt-LT"/>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lt-LT"/>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u w:val="single"/>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cs="Arial"/>
      <w:b w:val="0"/>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eastAsia="lt-LT"/>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39317F"/>
    <w:pPr>
      <w:tabs>
        <w:tab w:val="left" w:pos="477"/>
      </w:tabs>
      <w:spacing w:before="0" w:after="0"/>
    </w:pPr>
    <w:rPr>
      <w:rFonts w:ascii="Times New Roman" w:hAnsi="Times New Roman"/>
      <w:sz w:val="24"/>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lt-LT"/>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97422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rFonts w:cs="Times New Roman"/>
      <w:szCs w:val="20"/>
    </w:rPr>
  </w:style>
  <w:style w:type="paragraph" w:customStyle="1" w:styleId="Texte2">
    <w:name w:val="Texte 2"/>
    <w:basedOn w:val="Normal"/>
    <w:uiPriority w:val="99"/>
    <w:rsid w:val="00884FEB"/>
    <w:pPr>
      <w:spacing w:after="0"/>
      <w:ind w:left="567"/>
    </w:pPr>
    <w:rPr>
      <w:sz w:val="22"/>
      <w:szCs w:val="20"/>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rPr>
  </w:style>
  <w:style w:type="character" w:customStyle="1" w:styleId="PlainTextChar">
    <w:name w:val="Plain Text Char"/>
    <w:link w:val="PlainText"/>
    <w:uiPriority w:val="99"/>
    <w:rsid w:val="00884FEB"/>
    <w:rPr>
      <w:rFonts w:ascii="Verdana" w:eastAsia="Times New Roman" w:hAnsi="Verdana" w:cs="Times New Roman"/>
      <w:sz w:val="20"/>
      <w:szCs w:val="20"/>
      <w:lang w:val="lt-LT" w:eastAsia="lt-LT"/>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39317F"/>
    <w:rPr>
      <w:rFonts w:ascii="Times New Roman" w:eastAsia="Times New Roman" w:hAnsi="Times New Roman"/>
      <w:sz w:val="24"/>
      <w:szCs w:val="24"/>
      <w:lang w:eastAsia="lt-LT"/>
    </w:rPr>
  </w:style>
  <w:style w:type="paragraph" w:styleId="Revision">
    <w:name w:val="Revision"/>
    <w:hidden/>
    <w:uiPriority w:val="99"/>
    <w:semiHidden/>
    <w:rsid w:val="00884FEB"/>
    <w:rPr>
      <w:rFonts w:ascii="Verdana" w:eastAsia="Times New Roman" w:hAnsi="Verdana"/>
      <w:szCs w:val="24"/>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5"/>
      </w:numPr>
      <w:spacing w:after="240"/>
    </w:pPr>
  </w:style>
  <w:style w:type="character" w:customStyle="1" w:styleId="Instructionsberschrift3Char">
    <w:name w:val="Instructions Überschrift 3 Char"/>
    <w:locked/>
    <w:rsid w:val="003B3DBB"/>
    <w:rPr>
      <w:rFonts w:ascii="Verdana" w:hAnsi="Verdana" w:cs="Arial"/>
      <w:b/>
      <w:bCs/>
      <w:szCs w:val="26"/>
      <w:u w:val="single"/>
      <w:lang w:val="lt-LT" w:eastAsia="lt-LT" w:bidi="lt-LT"/>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6"/>
      </w:numPr>
    </w:pPr>
  </w:style>
  <w:style w:type="paragraph" w:styleId="DocumentMap">
    <w:name w:val="Document Map"/>
    <w:basedOn w:val="Normal"/>
    <w:link w:val="DocumentMapChar"/>
    <w:uiPriority w:val="99"/>
    <w:semiHidden/>
    <w:unhideWhenUsed/>
    <w:rsid w:val="0088630E"/>
    <w:pPr>
      <w:spacing w:before="0" w:after="0"/>
    </w:pPr>
    <w:rPr>
      <w:rFonts w:ascii="Tahoma" w:hAnsi="Tahoma" w:cs="Tahoma"/>
      <w:sz w:val="16"/>
      <w:szCs w:val="16"/>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lt-LT"/>
    </w:rPr>
  </w:style>
  <w:style w:type="numbering" w:customStyle="1" w:styleId="Formatvorlage4">
    <w:name w:val="Formatvorlage4"/>
    <w:uiPriority w:val="99"/>
    <w:rsid w:val="00FB1D44"/>
    <w:pPr>
      <w:numPr>
        <w:numId w:val="18"/>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hAnsi="Times New Roman"/>
      <w:sz w:val="24"/>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rPr>
  </w:style>
  <w:style w:type="character" w:customStyle="1" w:styleId="style461">
    <w:name w:val="style461"/>
    <w:rsid w:val="00600198"/>
    <w:rPr>
      <w:color w:val="FF5A00"/>
    </w:rPr>
  </w:style>
  <w:style w:type="paragraph" w:customStyle="1" w:styleId="Default">
    <w:name w:val="Default"/>
    <w:rsid w:val="004675B7"/>
    <w:pPr>
      <w:autoSpaceDE w:val="0"/>
      <w:autoSpaceDN w:val="0"/>
      <w:adjustRightInd w:val="0"/>
    </w:pPr>
    <w:rPr>
      <w:rFonts w:ascii="Verdana" w:eastAsia="Calibri" w:hAnsi="Verdana" w:cs="Verdan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Times New Roman"/>
        <w:lang w:val="lt-LT" w:eastAsia="lt-LT" w:bidi="lt-L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1"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table of figures" w:uiPriority="0"/>
    <w:lsdException w:name="footnote reference" w:uiPriority="0"/>
    <w:lsdException w:name="endnote reference" w:semiHidden="0" w:uiPriority="1" w:unhideWhenUsed="0"/>
    <w:lsdException w:name="endnote text" w:semiHidden="0" w:uiPriority="1"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884FEB"/>
    <w:pPr>
      <w:spacing w:before="120" w:after="120"/>
      <w:jc w:val="both"/>
    </w:pPr>
    <w:rPr>
      <w:rFonts w:ascii="Verdana" w:eastAsia="Times New Roman" w:hAnsi="Verdana"/>
      <w:szCs w:val="24"/>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b/>
      <w:sz w:val="24"/>
    </w:rPr>
  </w:style>
  <w:style w:type="paragraph" w:styleId="Heading3">
    <w:name w:val="heading 3"/>
    <w:basedOn w:val="Normal"/>
    <w:next w:val="Normal"/>
    <w:link w:val="Heading3Char1"/>
    <w:autoRedefine/>
    <w:uiPriority w:val="99"/>
    <w:qFormat/>
    <w:rsid w:val="001E5A75"/>
    <w:pPr>
      <w:keepNext/>
      <w:spacing w:before="180"/>
      <w:outlineLvl w:val="2"/>
    </w:pPr>
    <w:rPr>
      <w:b/>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b/>
      <w:i/>
    </w:rPr>
  </w:style>
  <w:style w:type="paragraph" w:styleId="Heading6">
    <w:name w:val="heading 6"/>
    <w:basedOn w:val="Normal"/>
    <w:next w:val="Normal"/>
    <w:link w:val="Heading6Char"/>
    <w:qFormat/>
    <w:rsid w:val="001E5A75"/>
    <w:pPr>
      <w:spacing w:before="240" w:after="60"/>
      <w:outlineLvl w:val="5"/>
    </w:pPr>
    <w:rPr>
      <w:rFonts w:ascii="Times New Roman" w:hAnsi="Times New Roman"/>
      <w:b/>
      <w:bCs/>
      <w:szCs w:val="22"/>
    </w:rPr>
  </w:style>
  <w:style w:type="paragraph" w:styleId="Heading7">
    <w:name w:val="heading 7"/>
    <w:basedOn w:val="Normal"/>
    <w:next w:val="Normal"/>
    <w:link w:val="Heading7Char"/>
    <w:qFormat/>
    <w:rsid w:val="001E5A75"/>
    <w:pPr>
      <w:spacing w:before="240" w:after="60"/>
      <w:outlineLvl w:val="6"/>
    </w:pPr>
    <w:rPr>
      <w:rFonts w:ascii="Times New Roman" w:hAnsi="Times New Roman"/>
      <w:sz w:val="24"/>
    </w:rPr>
  </w:style>
  <w:style w:type="paragraph" w:styleId="Heading8">
    <w:name w:val="heading 8"/>
    <w:basedOn w:val="Normal"/>
    <w:next w:val="Normal"/>
    <w:link w:val="Heading8Char"/>
    <w:qFormat/>
    <w:rsid w:val="001E5A75"/>
    <w:p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1E5A75"/>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lt-LT"/>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sz w:val="16"/>
      <w:szCs w:val="16"/>
    </w:rPr>
  </w:style>
  <w:style w:type="character" w:customStyle="1" w:styleId="FootnoteTextChar">
    <w:name w:val="Footnote Text Char"/>
    <w:link w:val="FootnoteText"/>
    <w:rsid w:val="00C2636B"/>
    <w:rPr>
      <w:rFonts w:ascii="Arial" w:hAnsi="Arial"/>
      <w:sz w:val="16"/>
      <w:szCs w:val="16"/>
      <w:lang w:eastAsia="lt-LT"/>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szCs w:val="14"/>
    </w:rPr>
  </w:style>
  <w:style w:type="character" w:customStyle="1" w:styleId="FooterChar">
    <w:name w:val="Footer Char"/>
    <w:link w:val="Footer"/>
    <w:uiPriority w:val="99"/>
    <w:rsid w:val="001E5A75"/>
    <w:rPr>
      <w:rFonts w:ascii="Arial" w:hAnsi="Arial"/>
      <w:szCs w:val="14"/>
      <w:lang w:eastAsia="lt-LT"/>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style>
  <w:style w:type="character" w:customStyle="1" w:styleId="HeaderChar">
    <w:name w:val="Header Char"/>
    <w:link w:val="Header"/>
    <w:uiPriority w:val="99"/>
    <w:rsid w:val="001E5A75"/>
    <w:rPr>
      <w:rFonts w:ascii="Arial" w:hAnsi="Arial"/>
      <w:szCs w:val="20"/>
      <w:lang w:eastAsia="lt-LT"/>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lt-LT"/>
    </w:rPr>
  </w:style>
  <w:style w:type="character" w:customStyle="1" w:styleId="Heading3Char1">
    <w:name w:val="Heading 3 Char1"/>
    <w:link w:val="Heading3"/>
    <w:uiPriority w:val="99"/>
    <w:rsid w:val="001E5A75"/>
    <w:rPr>
      <w:rFonts w:ascii="Arial" w:hAnsi="Arial"/>
      <w:b/>
      <w:szCs w:val="20"/>
      <w:lang w:eastAsia="lt-LT"/>
    </w:rPr>
  </w:style>
  <w:style w:type="character" w:customStyle="1" w:styleId="Heading4Char">
    <w:name w:val="Heading 4 Char"/>
    <w:link w:val="Heading4"/>
    <w:uiPriority w:val="99"/>
    <w:rsid w:val="00DE0962"/>
    <w:rPr>
      <w:rFonts w:ascii="Verdana" w:eastAsia="Times New Roman" w:hAnsi="Verdana"/>
      <w:b/>
      <w:szCs w:val="24"/>
      <w:u w:val="single"/>
      <w:lang w:eastAsia="lt-LT"/>
    </w:rPr>
  </w:style>
  <w:style w:type="character" w:customStyle="1" w:styleId="Heading5Char">
    <w:name w:val="Heading 5 Char"/>
    <w:link w:val="Heading5"/>
    <w:uiPriority w:val="1"/>
    <w:rsid w:val="001E5A75"/>
    <w:rPr>
      <w:rFonts w:ascii="Arial" w:hAnsi="Arial"/>
      <w:b/>
      <w:i/>
      <w:szCs w:val="20"/>
      <w:lang w:eastAsia="lt-LT"/>
    </w:rPr>
  </w:style>
  <w:style w:type="character" w:customStyle="1" w:styleId="Heading6Char">
    <w:name w:val="Heading 6 Char"/>
    <w:link w:val="Heading6"/>
    <w:semiHidden/>
    <w:rsid w:val="001E5A75"/>
    <w:rPr>
      <w:rFonts w:ascii="Times New Roman" w:hAnsi="Times New Roman"/>
      <w:b/>
      <w:bCs/>
      <w:lang w:eastAsia="lt-LT"/>
    </w:rPr>
  </w:style>
  <w:style w:type="character" w:customStyle="1" w:styleId="Heading7Char">
    <w:name w:val="Heading 7 Char"/>
    <w:link w:val="Heading7"/>
    <w:semiHidden/>
    <w:rsid w:val="001E5A75"/>
    <w:rPr>
      <w:rFonts w:ascii="Times New Roman" w:hAnsi="Times New Roman"/>
      <w:sz w:val="24"/>
      <w:szCs w:val="20"/>
      <w:lang w:eastAsia="lt-LT"/>
    </w:rPr>
  </w:style>
  <w:style w:type="character" w:customStyle="1" w:styleId="Heading8Char">
    <w:name w:val="Heading 8 Char"/>
    <w:link w:val="Heading8"/>
    <w:semiHidden/>
    <w:rsid w:val="001E5A75"/>
    <w:rPr>
      <w:rFonts w:ascii="Times New Roman" w:hAnsi="Times New Roman"/>
      <w:i/>
      <w:iCs/>
      <w:sz w:val="24"/>
      <w:szCs w:val="20"/>
      <w:lang w:eastAsia="lt-LT"/>
    </w:rPr>
  </w:style>
  <w:style w:type="character" w:customStyle="1" w:styleId="Heading9Char">
    <w:name w:val="Heading 9 Char"/>
    <w:link w:val="Heading9"/>
    <w:semiHidden/>
    <w:rsid w:val="001E5A75"/>
    <w:rPr>
      <w:rFonts w:ascii="Arial" w:hAnsi="Arial" w:cs="Arial"/>
      <w:lang w:eastAsia="lt-LT"/>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i/>
      <w:iCs/>
      <w:color w:val="000000"/>
    </w:rPr>
  </w:style>
  <w:style w:type="character" w:customStyle="1" w:styleId="QuoteChar">
    <w:name w:val="Quote Char"/>
    <w:link w:val="Quote"/>
    <w:uiPriority w:val="29"/>
    <w:semiHidden/>
    <w:rsid w:val="001E5A75"/>
    <w:rPr>
      <w:rFonts w:ascii="Arial" w:hAnsi="Arial"/>
      <w:i/>
      <w:iCs/>
      <w:color w:val="000000"/>
      <w:szCs w:val="20"/>
      <w:lang w:eastAsia="lt-LT"/>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sz w:val="16"/>
    </w:rPr>
  </w:style>
  <w:style w:type="character" w:customStyle="1" w:styleId="EndnoteTextChar">
    <w:name w:val="Endnote Text Char"/>
    <w:link w:val="EndnoteText"/>
    <w:uiPriority w:val="1"/>
    <w:rsid w:val="001E5A75"/>
    <w:rPr>
      <w:rFonts w:ascii="Arial" w:hAnsi="Arial"/>
      <w:sz w:val="16"/>
      <w:szCs w:val="20"/>
      <w:lang w:eastAsia="lt-LT"/>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lt-LT" w:eastAsia="lt-LT"/>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lt-LT"/>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cs="Tahoma"/>
      <w:sz w:val="16"/>
      <w:szCs w:val="16"/>
    </w:rPr>
  </w:style>
  <w:style w:type="character" w:customStyle="1" w:styleId="BalloonTextChar">
    <w:name w:val="Balloon Text Char"/>
    <w:link w:val="BalloonText"/>
    <w:uiPriority w:val="99"/>
    <w:rsid w:val="00884FEB"/>
    <w:rPr>
      <w:rFonts w:ascii="Tahoma" w:eastAsia="Times New Roman" w:hAnsi="Tahoma" w:cs="Tahoma"/>
      <w:sz w:val="16"/>
      <w:szCs w:val="16"/>
      <w:lang w:val="lt-LT"/>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lt-LT"/>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lt-LT"/>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u w:val="single"/>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cs="Arial"/>
      <w:b w:val="0"/>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eastAsia="lt-LT"/>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39317F"/>
    <w:pPr>
      <w:tabs>
        <w:tab w:val="left" w:pos="477"/>
      </w:tabs>
      <w:spacing w:before="0" w:after="0"/>
    </w:pPr>
    <w:rPr>
      <w:rFonts w:ascii="Times New Roman" w:hAnsi="Times New Roman"/>
      <w:sz w:val="24"/>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lt-LT"/>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97422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rFonts w:cs="Times New Roman"/>
      <w:szCs w:val="20"/>
    </w:rPr>
  </w:style>
  <w:style w:type="paragraph" w:customStyle="1" w:styleId="Texte2">
    <w:name w:val="Texte 2"/>
    <w:basedOn w:val="Normal"/>
    <w:uiPriority w:val="99"/>
    <w:rsid w:val="00884FEB"/>
    <w:pPr>
      <w:spacing w:after="0"/>
      <w:ind w:left="567"/>
    </w:pPr>
    <w:rPr>
      <w:sz w:val="22"/>
      <w:szCs w:val="20"/>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rPr>
  </w:style>
  <w:style w:type="character" w:customStyle="1" w:styleId="PlainTextChar">
    <w:name w:val="Plain Text Char"/>
    <w:link w:val="PlainText"/>
    <w:uiPriority w:val="99"/>
    <w:rsid w:val="00884FEB"/>
    <w:rPr>
      <w:rFonts w:ascii="Verdana" w:eastAsia="Times New Roman" w:hAnsi="Verdana" w:cs="Times New Roman"/>
      <w:sz w:val="20"/>
      <w:szCs w:val="20"/>
      <w:lang w:val="lt-LT" w:eastAsia="lt-LT"/>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39317F"/>
    <w:rPr>
      <w:rFonts w:ascii="Times New Roman" w:eastAsia="Times New Roman" w:hAnsi="Times New Roman"/>
      <w:sz w:val="24"/>
      <w:szCs w:val="24"/>
      <w:lang w:eastAsia="lt-LT"/>
    </w:rPr>
  </w:style>
  <w:style w:type="paragraph" w:styleId="Revision">
    <w:name w:val="Revision"/>
    <w:hidden/>
    <w:uiPriority w:val="99"/>
    <w:semiHidden/>
    <w:rsid w:val="00884FEB"/>
    <w:rPr>
      <w:rFonts w:ascii="Verdana" w:eastAsia="Times New Roman" w:hAnsi="Verdana"/>
      <w:szCs w:val="24"/>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5"/>
      </w:numPr>
      <w:spacing w:after="240"/>
    </w:pPr>
  </w:style>
  <w:style w:type="character" w:customStyle="1" w:styleId="Instructionsberschrift3Char">
    <w:name w:val="Instructions Überschrift 3 Char"/>
    <w:locked/>
    <w:rsid w:val="003B3DBB"/>
    <w:rPr>
      <w:rFonts w:ascii="Verdana" w:hAnsi="Verdana" w:cs="Arial"/>
      <w:b/>
      <w:bCs/>
      <w:szCs w:val="26"/>
      <w:u w:val="single"/>
      <w:lang w:val="lt-LT" w:eastAsia="lt-LT" w:bidi="lt-LT"/>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6"/>
      </w:numPr>
    </w:pPr>
  </w:style>
  <w:style w:type="paragraph" w:styleId="DocumentMap">
    <w:name w:val="Document Map"/>
    <w:basedOn w:val="Normal"/>
    <w:link w:val="DocumentMapChar"/>
    <w:uiPriority w:val="99"/>
    <w:semiHidden/>
    <w:unhideWhenUsed/>
    <w:rsid w:val="0088630E"/>
    <w:pPr>
      <w:spacing w:before="0" w:after="0"/>
    </w:pPr>
    <w:rPr>
      <w:rFonts w:ascii="Tahoma" w:hAnsi="Tahoma" w:cs="Tahoma"/>
      <w:sz w:val="16"/>
      <w:szCs w:val="16"/>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lt-LT"/>
    </w:rPr>
  </w:style>
  <w:style w:type="numbering" w:customStyle="1" w:styleId="Formatvorlage4">
    <w:name w:val="Formatvorlage4"/>
    <w:uiPriority w:val="99"/>
    <w:rsid w:val="00FB1D44"/>
    <w:pPr>
      <w:numPr>
        <w:numId w:val="18"/>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hAnsi="Times New Roman"/>
      <w:sz w:val="24"/>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rPr>
  </w:style>
  <w:style w:type="character" w:customStyle="1" w:styleId="style461">
    <w:name w:val="style461"/>
    <w:rsid w:val="00600198"/>
    <w:rPr>
      <w:color w:val="FF5A00"/>
    </w:rPr>
  </w:style>
  <w:style w:type="paragraph" w:customStyle="1" w:styleId="Default">
    <w:name w:val="Default"/>
    <w:rsid w:val="004675B7"/>
    <w:pPr>
      <w:autoSpaceDE w:val="0"/>
      <w:autoSpaceDN w:val="0"/>
      <w:adjustRightInd w:val="0"/>
    </w:pPr>
    <w:rPr>
      <w:rFonts w:ascii="Verdana" w:eastAsia="Calibri"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509484">
      <w:bodyDiv w:val="1"/>
      <w:marLeft w:val="0"/>
      <w:marRight w:val="0"/>
      <w:marTop w:val="0"/>
      <w:marBottom w:val="0"/>
      <w:divBdr>
        <w:top w:val="none" w:sz="0" w:space="0" w:color="auto"/>
        <w:left w:val="none" w:sz="0" w:space="0" w:color="auto"/>
        <w:bottom w:val="none" w:sz="0" w:space="0" w:color="auto"/>
        <w:right w:val="none" w:sz="0" w:space="0" w:color="auto"/>
      </w:divBdr>
    </w:div>
    <w:div w:id="284894159">
      <w:bodyDiv w:val="1"/>
      <w:marLeft w:val="0"/>
      <w:marRight w:val="0"/>
      <w:marTop w:val="0"/>
      <w:marBottom w:val="0"/>
      <w:divBdr>
        <w:top w:val="none" w:sz="0" w:space="0" w:color="auto"/>
        <w:left w:val="none" w:sz="0" w:space="0" w:color="auto"/>
        <w:bottom w:val="none" w:sz="0" w:space="0" w:color="auto"/>
        <w:right w:val="none" w:sz="0" w:space="0" w:color="auto"/>
      </w:divBdr>
    </w:div>
    <w:div w:id="958219797">
      <w:bodyDiv w:val="1"/>
      <w:marLeft w:val="0"/>
      <w:marRight w:val="0"/>
      <w:marTop w:val="0"/>
      <w:marBottom w:val="0"/>
      <w:divBdr>
        <w:top w:val="none" w:sz="0" w:space="0" w:color="auto"/>
        <w:left w:val="none" w:sz="0" w:space="0" w:color="auto"/>
        <w:bottom w:val="none" w:sz="0" w:space="0" w:color="auto"/>
        <w:right w:val="none" w:sz="0" w:space="0" w:color="auto"/>
      </w:divBdr>
    </w:div>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222331217">
      <w:bodyDiv w:val="1"/>
      <w:marLeft w:val="0"/>
      <w:marRight w:val="0"/>
      <w:marTop w:val="0"/>
      <w:marBottom w:val="0"/>
      <w:divBdr>
        <w:top w:val="none" w:sz="0" w:space="0" w:color="auto"/>
        <w:left w:val="none" w:sz="0" w:space="0" w:color="auto"/>
        <w:bottom w:val="none" w:sz="0" w:space="0" w:color="auto"/>
        <w:right w:val="none" w:sz="0" w:space="0" w:color="auto"/>
      </w:divBdr>
    </w:div>
    <w:div w:id="1628706379">
      <w:bodyDiv w:val="1"/>
      <w:marLeft w:val="0"/>
      <w:marRight w:val="0"/>
      <w:marTop w:val="0"/>
      <w:marBottom w:val="0"/>
      <w:divBdr>
        <w:top w:val="none" w:sz="0" w:space="0" w:color="auto"/>
        <w:left w:val="none" w:sz="0" w:space="0" w:color="auto"/>
        <w:bottom w:val="none" w:sz="0" w:space="0" w:color="auto"/>
        <w:right w:val="none" w:sz="0" w:space="0" w:color="auto"/>
      </w:divBdr>
    </w:div>
    <w:div w:id="1642036673">
      <w:bodyDiv w:val="1"/>
      <w:marLeft w:val="0"/>
      <w:marRight w:val="0"/>
      <w:marTop w:val="0"/>
      <w:marBottom w:val="0"/>
      <w:divBdr>
        <w:top w:val="none" w:sz="0" w:space="0" w:color="auto"/>
        <w:left w:val="none" w:sz="0" w:space="0" w:color="auto"/>
        <w:bottom w:val="none" w:sz="0" w:space="0" w:color="auto"/>
        <w:right w:val="none" w:sz="0" w:space="0" w:color="auto"/>
      </w:divBdr>
    </w:div>
    <w:div w:id="1696996921">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 w:id="1971592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4.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92DC38-0031-4243-ACD4-5A2E76C5961A}">
  <ds:schemaRefs>
    <ds:schemaRef ds:uri="http://schemas.openxmlformats.org/officeDocument/2006/bibliography"/>
  </ds:schemaRefs>
</ds:datastoreItem>
</file>

<file path=customXml/itemProps2.xml><?xml version="1.0" encoding="utf-8"?>
<ds:datastoreItem xmlns:ds="http://schemas.openxmlformats.org/officeDocument/2006/customXml" ds:itemID="{C1518EFE-745A-48A4-B1F5-799B984D8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18</Pages>
  <Words>5164</Words>
  <Characters>29438</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34533</CharactersWithSpaces>
  <SharedDoc>false</SharedDoc>
  <HLinks>
    <vt:vector size="108" baseType="variant">
      <vt:variant>
        <vt:i4>1900607</vt:i4>
      </vt:variant>
      <vt:variant>
        <vt:i4>104</vt:i4>
      </vt:variant>
      <vt:variant>
        <vt:i4>0</vt:i4>
      </vt:variant>
      <vt:variant>
        <vt:i4>5</vt:i4>
      </vt:variant>
      <vt:variant>
        <vt:lpwstr/>
      </vt:variant>
      <vt:variant>
        <vt:lpwstr>_Toc393461968</vt:lpwstr>
      </vt:variant>
      <vt:variant>
        <vt:i4>1900607</vt:i4>
      </vt:variant>
      <vt:variant>
        <vt:i4>98</vt:i4>
      </vt:variant>
      <vt:variant>
        <vt:i4>0</vt:i4>
      </vt:variant>
      <vt:variant>
        <vt:i4>5</vt:i4>
      </vt:variant>
      <vt:variant>
        <vt:lpwstr/>
      </vt:variant>
      <vt:variant>
        <vt:lpwstr>_Toc393461967</vt:lpwstr>
      </vt:variant>
      <vt:variant>
        <vt:i4>1900607</vt:i4>
      </vt:variant>
      <vt:variant>
        <vt:i4>92</vt:i4>
      </vt:variant>
      <vt:variant>
        <vt:i4>0</vt:i4>
      </vt:variant>
      <vt:variant>
        <vt:i4>5</vt:i4>
      </vt:variant>
      <vt:variant>
        <vt:lpwstr/>
      </vt:variant>
      <vt:variant>
        <vt:lpwstr>_Toc393461966</vt:lpwstr>
      </vt:variant>
      <vt:variant>
        <vt:i4>1900607</vt:i4>
      </vt:variant>
      <vt:variant>
        <vt:i4>86</vt:i4>
      </vt:variant>
      <vt:variant>
        <vt:i4>0</vt:i4>
      </vt:variant>
      <vt:variant>
        <vt:i4>5</vt:i4>
      </vt:variant>
      <vt:variant>
        <vt:lpwstr/>
      </vt:variant>
      <vt:variant>
        <vt:lpwstr>_Toc393461965</vt:lpwstr>
      </vt:variant>
      <vt:variant>
        <vt:i4>1900607</vt:i4>
      </vt:variant>
      <vt:variant>
        <vt:i4>80</vt:i4>
      </vt:variant>
      <vt:variant>
        <vt:i4>0</vt:i4>
      </vt:variant>
      <vt:variant>
        <vt:i4>5</vt:i4>
      </vt:variant>
      <vt:variant>
        <vt:lpwstr/>
      </vt:variant>
      <vt:variant>
        <vt:lpwstr>_Toc393461964</vt:lpwstr>
      </vt:variant>
      <vt:variant>
        <vt:i4>1900607</vt:i4>
      </vt:variant>
      <vt:variant>
        <vt:i4>74</vt:i4>
      </vt:variant>
      <vt:variant>
        <vt:i4>0</vt:i4>
      </vt:variant>
      <vt:variant>
        <vt:i4>5</vt:i4>
      </vt:variant>
      <vt:variant>
        <vt:lpwstr/>
      </vt:variant>
      <vt:variant>
        <vt:lpwstr>_Toc393461963</vt:lpwstr>
      </vt:variant>
      <vt:variant>
        <vt:i4>1900607</vt:i4>
      </vt:variant>
      <vt:variant>
        <vt:i4>68</vt:i4>
      </vt:variant>
      <vt:variant>
        <vt:i4>0</vt:i4>
      </vt:variant>
      <vt:variant>
        <vt:i4>5</vt:i4>
      </vt:variant>
      <vt:variant>
        <vt:lpwstr/>
      </vt:variant>
      <vt:variant>
        <vt:lpwstr>_Toc393461962</vt:lpwstr>
      </vt:variant>
      <vt:variant>
        <vt:i4>1900607</vt:i4>
      </vt:variant>
      <vt:variant>
        <vt:i4>62</vt:i4>
      </vt:variant>
      <vt:variant>
        <vt:i4>0</vt:i4>
      </vt:variant>
      <vt:variant>
        <vt:i4>5</vt:i4>
      </vt:variant>
      <vt:variant>
        <vt:lpwstr/>
      </vt:variant>
      <vt:variant>
        <vt:lpwstr>_Toc393461961</vt:lpwstr>
      </vt:variant>
      <vt:variant>
        <vt:i4>1900607</vt:i4>
      </vt:variant>
      <vt:variant>
        <vt:i4>56</vt:i4>
      </vt:variant>
      <vt:variant>
        <vt:i4>0</vt:i4>
      </vt:variant>
      <vt:variant>
        <vt:i4>5</vt:i4>
      </vt:variant>
      <vt:variant>
        <vt:lpwstr/>
      </vt:variant>
      <vt:variant>
        <vt:lpwstr>_Toc393461960</vt:lpwstr>
      </vt:variant>
      <vt:variant>
        <vt:i4>1966143</vt:i4>
      </vt:variant>
      <vt:variant>
        <vt:i4>50</vt:i4>
      </vt:variant>
      <vt:variant>
        <vt:i4>0</vt:i4>
      </vt:variant>
      <vt:variant>
        <vt:i4>5</vt:i4>
      </vt:variant>
      <vt:variant>
        <vt:lpwstr/>
      </vt:variant>
      <vt:variant>
        <vt:lpwstr>_Toc393461959</vt:lpwstr>
      </vt:variant>
      <vt:variant>
        <vt:i4>1966143</vt:i4>
      </vt:variant>
      <vt:variant>
        <vt:i4>44</vt:i4>
      </vt:variant>
      <vt:variant>
        <vt:i4>0</vt:i4>
      </vt:variant>
      <vt:variant>
        <vt:i4>5</vt:i4>
      </vt:variant>
      <vt:variant>
        <vt:lpwstr/>
      </vt:variant>
      <vt:variant>
        <vt:lpwstr>_Toc393461958</vt:lpwstr>
      </vt:variant>
      <vt:variant>
        <vt:i4>1966143</vt:i4>
      </vt:variant>
      <vt:variant>
        <vt:i4>38</vt:i4>
      </vt:variant>
      <vt:variant>
        <vt:i4>0</vt:i4>
      </vt:variant>
      <vt:variant>
        <vt:i4>5</vt:i4>
      </vt:variant>
      <vt:variant>
        <vt:lpwstr/>
      </vt:variant>
      <vt:variant>
        <vt:lpwstr>_Toc393461957</vt:lpwstr>
      </vt:variant>
      <vt:variant>
        <vt:i4>1966143</vt:i4>
      </vt:variant>
      <vt:variant>
        <vt:i4>32</vt:i4>
      </vt:variant>
      <vt:variant>
        <vt:i4>0</vt:i4>
      </vt:variant>
      <vt:variant>
        <vt:i4>5</vt:i4>
      </vt:variant>
      <vt:variant>
        <vt:lpwstr/>
      </vt:variant>
      <vt:variant>
        <vt:lpwstr>_Toc393461956</vt:lpwstr>
      </vt:variant>
      <vt:variant>
        <vt:i4>1966143</vt:i4>
      </vt:variant>
      <vt:variant>
        <vt:i4>26</vt:i4>
      </vt:variant>
      <vt:variant>
        <vt:i4>0</vt:i4>
      </vt:variant>
      <vt:variant>
        <vt:i4>5</vt:i4>
      </vt:variant>
      <vt:variant>
        <vt:lpwstr/>
      </vt:variant>
      <vt:variant>
        <vt:lpwstr>_Toc393461955</vt:lpwstr>
      </vt:variant>
      <vt:variant>
        <vt:i4>1966143</vt:i4>
      </vt:variant>
      <vt:variant>
        <vt:i4>20</vt:i4>
      </vt:variant>
      <vt:variant>
        <vt:i4>0</vt:i4>
      </vt:variant>
      <vt:variant>
        <vt:i4>5</vt:i4>
      </vt:variant>
      <vt:variant>
        <vt:lpwstr/>
      </vt:variant>
      <vt:variant>
        <vt:lpwstr>_Toc393461954</vt:lpwstr>
      </vt:variant>
      <vt:variant>
        <vt:i4>1966143</vt:i4>
      </vt:variant>
      <vt:variant>
        <vt:i4>14</vt:i4>
      </vt:variant>
      <vt:variant>
        <vt:i4>0</vt:i4>
      </vt:variant>
      <vt:variant>
        <vt:i4>5</vt:i4>
      </vt:variant>
      <vt:variant>
        <vt:lpwstr/>
      </vt:variant>
      <vt:variant>
        <vt:lpwstr>_Toc393461953</vt:lpwstr>
      </vt:variant>
      <vt:variant>
        <vt:i4>1966143</vt:i4>
      </vt:variant>
      <vt:variant>
        <vt:i4>8</vt:i4>
      </vt:variant>
      <vt:variant>
        <vt:i4>0</vt:i4>
      </vt:variant>
      <vt:variant>
        <vt:i4>5</vt:i4>
      </vt:variant>
      <vt:variant>
        <vt:lpwstr/>
      </vt:variant>
      <vt:variant>
        <vt:lpwstr>_Toc393461952</vt:lpwstr>
      </vt:variant>
      <vt:variant>
        <vt:i4>1966143</vt:i4>
      </vt:variant>
      <vt:variant>
        <vt:i4>2</vt:i4>
      </vt:variant>
      <vt:variant>
        <vt:i4>0</vt:i4>
      </vt:variant>
      <vt:variant>
        <vt:i4>5</vt:i4>
      </vt:variant>
      <vt:variant>
        <vt:lpwstr/>
      </vt:variant>
      <vt:variant>
        <vt:lpwstr>_Toc393461951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EBA staff</dc:creator>
  <cp:lastModifiedBy>TERLECKYTE Vanda (DGT)</cp:lastModifiedBy>
  <cp:revision>4</cp:revision>
  <dcterms:created xsi:type="dcterms:W3CDTF">2018-06-13T13:34:00Z</dcterms:created>
  <dcterms:modified xsi:type="dcterms:W3CDTF">2018-09-07T09:12:00Z</dcterms:modified>
</cp:coreProperties>
</file>