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E83F90" w:rsidRDefault="009502E9"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FR</w:t>
      </w:r>
    </w:p>
    <w:p w:rsidR="00FF3ED5" w:rsidRDefault="00FF3ED5" w:rsidP="00A33695">
      <w:pPr>
        <w:jc w:val="center"/>
        <w:rPr>
          <w:rFonts w:ascii="Times New Roman" w:hAnsi="Times New Roman"/>
          <w:b/>
          <w:sz w:val="24"/>
        </w:rPr>
      </w:pPr>
      <w:r>
        <w:rPr>
          <w:rFonts w:ascii="Times New Roman" w:hAnsi="Times New Roman"/>
          <w:b/>
          <w:sz w:val="24"/>
        </w:rPr>
        <w:t>ANNEXE IV</w:t>
      </w:r>
    </w:p>
    <w:p w:rsidR="008F53AF" w:rsidRPr="00E83F90" w:rsidRDefault="008F53AF" w:rsidP="00A33695">
      <w:pPr>
        <w:jc w:val="center"/>
        <w:rPr>
          <w:rFonts w:ascii="Times New Roman" w:hAnsi="Times New Roman"/>
          <w:b/>
          <w:sz w:val="24"/>
        </w:rPr>
      </w:pPr>
    </w:p>
    <w:p w:rsidR="00C87CEE" w:rsidRPr="00C81874" w:rsidRDefault="00530C90" w:rsidP="00A33695">
      <w:pPr>
        <w:jc w:val="center"/>
        <w:rPr>
          <w:rFonts w:ascii="Times New Roman" w:hAnsi="Times New Roman"/>
          <w:b/>
          <w:sz w:val="24"/>
          <w:u w:val="single"/>
        </w:rPr>
      </w:pPr>
      <w:r>
        <w:rPr>
          <w:rFonts w:ascii="Times New Roman" w:hAnsi="Times New Roman"/>
          <w:b/>
          <w:sz w:val="24"/>
          <w:u w:val="single"/>
        </w:rPr>
        <w:t>ANNEXE IX</w:t>
      </w:r>
    </w:p>
    <w:p w:rsidR="00DD58A5" w:rsidRDefault="00F41B3A" w:rsidP="00C87CEE">
      <w:pPr>
        <w:jc w:val="center"/>
        <w:rPr>
          <w:rFonts w:ascii="Times New Roman" w:hAnsi="Times New Roman"/>
          <w:b/>
          <w:sz w:val="24"/>
        </w:rPr>
      </w:pPr>
      <w:r>
        <w:rPr>
          <w:rFonts w:ascii="Times New Roman" w:hAnsi="Times New Roman"/>
          <w:b/>
          <w:sz w:val="24"/>
        </w:rPr>
        <w:t xml:space="preserve">INSTRUCTIONS POUR LA DÉCLARATION DE GRANDS RISQUES ET </w:t>
      </w:r>
    </w:p>
    <w:p w:rsidR="00C87CEE" w:rsidRPr="00EF13C2" w:rsidRDefault="00F41B3A" w:rsidP="00C87CEE">
      <w:pPr>
        <w:jc w:val="center"/>
        <w:rPr>
          <w:rFonts w:ascii="Times New Roman" w:hAnsi="Times New Roman"/>
          <w:b/>
          <w:sz w:val="24"/>
        </w:rPr>
      </w:pPr>
      <w:r>
        <w:rPr>
          <w:rFonts w:ascii="Times New Roman" w:hAnsi="Times New Roman"/>
          <w:b/>
          <w:sz w:val="24"/>
        </w:rPr>
        <w:t>DU RISQUE DE CONCENTRATION</w:t>
      </w:r>
    </w:p>
    <w:p w:rsidR="00224E73" w:rsidRPr="00384ADB" w:rsidRDefault="00224E73" w:rsidP="00317768">
      <w:pPr>
        <w:pStyle w:val="Heading6"/>
        <w:rPr>
          <w:sz w:val="24"/>
          <w:szCs w:val="24"/>
        </w:rPr>
      </w:pPr>
    </w:p>
    <w:p w:rsidR="00224E73" w:rsidRPr="00384ADB" w:rsidRDefault="00224E73" w:rsidP="00317768">
      <w:pPr>
        <w:pStyle w:val="Heading6"/>
        <w:rPr>
          <w:sz w:val="24"/>
          <w:szCs w:val="24"/>
        </w:rPr>
      </w:pPr>
    </w:p>
    <w:p w:rsidR="00D64B66" w:rsidRPr="00384ADB" w:rsidRDefault="003105C6" w:rsidP="00317768">
      <w:pPr>
        <w:pStyle w:val="Heading6"/>
        <w:rPr>
          <w:sz w:val="24"/>
          <w:szCs w:val="24"/>
        </w:rPr>
      </w:pPr>
      <w:r>
        <w:rPr>
          <w:sz w:val="24"/>
        </w:rPr>
        <w:t>Table des matières</w:t>
      </w:r>
    </w:p>
    <w:p w:rsidR="00EB62BE" w:rsidRPr="005F4F9B" w:rsidRDefault="00EB62BE">
      <w:pPr>
        <w:pStyle w:val="TOC2"/>
        <w:rPr>
          <w:rFonts w:ascii="Times New Roman" w:eastAsiaTheme="minorEastAsia" w:hAnsi="Times New Roman"/>
          <w:b w:val="0"/>
          <w:smallCaps w:val="0"/>
          <w:sz w:val="24"/>
          <w:szCs w:val="24"/>
          <w:lang w:val="en-GB" w:eastAsia="en-GB" w:bidi="ar-SA"/>
        </w:rPr>
      </w:pPr>
      <w:r w:rsidRPr="005F4F9B">
        <w:rPr>
          <w:rFonts w:ascii="Times New Roman" w:hAnsi="Times New Roman"/>
          <w:noProof w:val="0"/>
          <w:sz w:val="24"/>
          <w:szCs w:val="24"/>
        </w:rPr>
        <w:fldChar w:fldCharType="begin"/>
      </w:r>
      <w:r w:rsidR="00621F98" w:rsidRPr="005F4F9B">
        <w:rPr>
          <w:rFonts w:ascii="Times New Roman" w:hAnsi="Times New Roman"/>
          <w:noProof w:val="0"/>
          <w:sz w:val="24"/>
          <w:szCs w:val="24"/>
        </w:rPr>
        <w:instrText xml:space="preserve"> TOC \o "1-3" \h \z \u </w:instrText>
      </w:r>
      <w:r w:rsidRPr="005F4F9B">
        <w:rPr>
          <w:rFonts w:ascii="Times New Roman" w:hAnsi="Times New Roman"/>
          <w:noProof w:val="0"/>
          <w:sz w:val="24"/>
          <w:szCs w:val="24"/>
        </w:rPr>
        <w:fldChar w:fldCharType="separate"/>
      </w:r>
      <w:hyperlink w:anchor="_Toc522191003" w:history="1">
        <w:r w:rsidRPr="005F4F9B">
          <w:rPr>
            <w:rStyle w:val="Hyperlink"/>
            <w:rFonts w:ascii="Times New Roman" w:hAnsi="Times New Roman"/>
            <w:sz w:val="24"/>
            <w:szCs w:val="24"/>
          </w:rPr>
          <w:t>PARTIE I: INSTRUCTIONS GÉNÉRALES</w:t>
        </w:r>
        <w:r w:rsidRPr="005F4F9B">
          <w:rPr>
            <w:rFonts w:ascii="Times New Roman" w:hAnsi="Times New Roman"/>
            <w:webHidden/>
            <w:sz w:val="24"/>
            <w:szCs w:val="24"/>
          </w:rPr>
          <w:tab/>
        </w:r>
        <w:r w:rsidRPr="005F4F9B">
          <w:rPr>
            <w:rFonts w:ascii="Times New Roman" w:hAnsi="Times New Roman"/>
            <w:webHidden/>
            <w:sz w:val="24"/>
            <w:szCs w:val="24"/>
          </w:rPr>
          <w:fldChar w:fldCharType="begin"/>
        </w:r>
        <w:r w:rsidRPr="005F4F9B">
          <w:rPr>
            <w:rFonts w:ascii="Times New Roman" w:hAnsi="Times New Roman"/>
            <w:webHidden/>
            <w:sz w:val="24"/>
            <w:szCs w:val="24"/>
          </w:rPr>
          <w:instrText xml:space="preserve"> PAGEREF _Toc522191003 \h </w:instrText>
        </w:r>
        <w:r w:rsidRPr="005F4F9B">
          <w:rPr>
            <w:rFonts w:ascii="Times New Roman" w:hAnsi="Times New Roman"/>
            <w:webHidden/>
            <w:sz w:val="24"/>
            <w:szCs w:val="24"/>
          </w:rPr>
        </w:r>
        <w:r w:rsidRPr="005F4F9B">
          <w:rPr>
            <w:rFonts w:ascii="Times New Roman" w:hAnsi="Times New Roman"/>
            <w:webHidden/>
            <w:sz w:val="24"/>
            <w:szCs w:val="24"/>
          </w:rPr>
          <w:fldChar w:fldCharType="separate"/>
        </w:r>
        <w:r w:rsidRPr="000D1548">
          <w:rPr>
            <w:rFonts w:ascii="Times New Roman" w:hAnsi="Times New Roman"/>
            <w:webHidden/>
            <w:sz w:val="24"/>
            <w:szCs w:val="24"/>
          </w:rPr>
          <w:t>2</w:t>
        </w:r>
        <w:r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04" w:history="1">
        <w:r w:rsidR="00EB62BE" w:rsidRPr="000D1548">
          <w:rPr>
            <w:rStyle w:val="Hyperlink"/>
            <w:rFonts w:ascii="Times New Roman" w:hAnsi="Times New Roman"/>
            <w:sz w:val="24"/>
            <w:szCs w:val="24"/>
          </w:rPr>
          <w:t>1</w:t>
        </w:r>
        <w:r w:rsidR="00EB62BE" w:rsidRPr="005F4F9B">
          <w:rPr>
            <w:rStyle w:val="Hyperlink"/>
            <w:rFonts w:ascii="Times New Roman" w:hAnsi="Times New Roman"/>
            <w:sz w:val="24"/>
            <w:szCs w:val="24"/>
          </w:rPr>
          <w:t>.</w:t>
        </w:r>
        <w:r w:rsidR="00EB62BE" w:rsidRPr="005F4F9B">
          <w:rPr>
            <w:rFonts w:ascii="Times New Roman" w:eastAsiaTheme="minorEastAsia" w:hAnsi="Times New Roman"/>
            <w:b w:val="0"/>
            <w:smallCaps w:val="0"/>
            <w:sz w:val="24"/>
            <w:szCs w:val="24"/>
            <w:lang w:val="en-GB" w:eastAsia="en-GB" w:bidi="ar-SA"/>
          </w:rPr>
          <w:tab/>
        </w:r>
        <w:r w:rsidR="00EB62BE" w:rsidRPr="005F4F9B">
          <w:rPr>
            <w:rStyle w:val="Hyperlink"/>
            <w:rFonts w:ascii="Times New Roman" w:hAnsi="Times New Roman"/>
            <w:sz w:val="24"/>
            <w:szCs w:val="24"/>
          </w:rPr>
          <w:t>Structure et conventions</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_Toc522191004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2</w:t>
        </w:r>
        <w:r w:rsidR="00EB62BE"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06" w:history="1">
        <w:r w:rsidR="00EB62BE" w:rsidRPr="005F4F9B">
          <w:rPr>
            <w:rStyle w:val="Hyperlink"/>
            <w:rFonts w:ascii="Times New Roman" w:hAnsi="Times New Roman"/>
            <w:sz w:val="24"/>
            <w:szCs w:val="24"/>
          </w:rPr>
          <w:t>PARTIE II: INSTRUCTIONS CONCERNANT LES MODÈLES</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_Toc522191006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3</w:t>
        </w:r>
        <w:r w:rsidR="00EB62BE"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07" w:history="1">
        <w:r w:rsidR="00EB62BE" w:rsidRPr="000D1548">
          <w:rPr>
            <w:rStyle w:val="Hyperlink"/>
            <w:rFonts w:ascii="Times New Roman" w:hAnsi="Times New Roman"/>
            <w:sz w:val="24"/>
            <w:szCs w:val="24"/>
          </w:rPr>
          <w:t>1</w:t>
        </w:r>
        <w:r w:rsidR="00EB62BE" w:rsidRPr="005F4F9B">
          <w:rPr>
            <w:rStyle w:val="Hyperlink"/>
            <w:rFonts w:ascii="Times New Roman" w:hAnsi="Times New Roman"/>
            <w:sz w:val="24"/>
            <w:szCs w:val="24"/>
          </w:rPr>
          <w:t>.</w:t>
        </w:r>
        <w:r w:rsidR="00EB62BE" w:rsidRPr="005F4F9B">
          <w:rPr>
            <w:rFonts w:ascii="Times New Roman" w:eastAsiaTheme="minorEastAsia" w:hAnsi="Times New Roman"/>
            <w:b w:val="0"/>
            <w:smallCaps w:val="0"/>
            <w:sz w:val="24"/>
            <w:szCs w:val="24"/>
            <w:lang w:val="en-GB" w:eastAsia="en-GB" w:bidi="ar-SA"/>
          </w:rPr>
          <w:tab/>
        </w:r>
        <w:r w:rsidR="00EB62BE" w:rsidRPr="005F4F9B">
          <w:rPr>
            <w:rStyle w:val="Hyperlink"/>
            <w:rFonts w:ascii="Times New Roman" w:hAnsi="Times New Roman"/>
            <w:sz w:val="24"/>
            <w:szCs w:val="24"/>
          </w:rPr>
          <w:t>Portée et niveau de la déclaration de grands risques</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_Toc522191007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3</w:t>
        </w:r>
        <w:r w:rsidR="00EB62BE"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08" w:history="1">
        <w:r w:rsidR="00EB62BE" w:rsidRPr="000D1548">
          <w:rPr>
            <w:rStyle w:val="Hyperlink"/>
            <w:rFonts w:ascii="Times New Roman" w:hAnsi="Times New Roman"/>
            <w:sz w:val="24"/>
            <w:szCs w:val="24"/>
          </w:rPr>
          <w:t>2</w:t>
        </w:r>
        <w:r w:rsidR="00EB62BE" w:rsidRPr="005F4F9B">
          <w:rPr>
            <w:rStyle w:val="Hyperlink"/>
            <w:rFonts w:ascii="Times New Roman" w:hAnsi="Times New Roman"/>
            <w:sz w:val="24"/>
            <w:szCs w:val="24"/>
          </w:rPr>
          <w:t>.</w:t>
        </w:r>
        <w:r w:rsidR="00EB62BE" w:rsidRPr="005F4F9B">
          <w:rPr>
            <w:rFonts w:ascii="Times New Roman" w:eastAsiaTheme="minorEastAsia" w:hAnsi="Times New Roman"/>
            <w:b w:val="0"/>
            <w:smallCaps w:val="0"/>
            <w:sz w:val="24"/>
            <w:szCs w:val="24"/>
            <w:lang w:val="en-GB" w:eastAsia="en-GB" w:bidi="ar-SA"/>
          </w:rPr>
          <w:tab/>
        </w:r>
        <w:r w:rsidR="00EB62BE" w:rsidRPr="005F4F9B">
          <w:rPr>
            <w:rStyle w:val="Hyperlink"/>
            <w:rFonts w:ascii="Times New Roman" w:hAnsi="Times New Roman"/>
            <w:sz w:val="24"/>
            <w:szCs w:val="24"/>
          </w:rPr>
          <w:t>Structure des modèles LE</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_Toc522191008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4</w:t>
        </w:r>
        <w:r w:rsidR="00EB62BE"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09" w:history="1">
        <w:r w:rsidR="00EB62BE" w:rsidRPr="000D1548">
          <w:rPr>
            <w:rStyle w:val="Hyperlink"/>
            <w:rFonts w:ascii="Times New Roman" w:eastAsia="Arial" w:hAnsi="Times New Roman"/>
            <w:sz w:val="24"/>
            <w:szCs w:val="24"/>
          </w:rPr>
          <w:t>3</w:t>
        </w:r>
        <w:r w:rsidR="00EB62BE" w:rsidRPr="005F4F9B">
          <w:rPr>
            <w:rStyle w:val="Hyperlink"/>
            <w:rFonts w:ascii="Times New Roman" w:eastAsia="Arial" w:hAnsi="Times New Roman"/>
            <w:sz w:val="24"/>
            <w:szCs w:val="24"/>
          </w:rPr>
          <w:t>.</w:t>
        </w:r>
        <w:r w:rsidR="00EB62BE" w:rsidRPr="005F4F9B">
          <w:rPr>
            <w:rFonts w:ascii="Times New Roman" w:eastAsiaTheme="minorEastAsia" w:hAnsi="Times New Roman"/>
            <w:b w:val="0"/>
            <w:smallCaps w:val="0"/>
            <w:sz w:val="24"/>
            <w:szCs w:val="24"/>
            <w:lang w:val="en-GB" w:eastAsia="en-GB" w:bidi="ar-SA"/>
          </w:rPr>
          <w:tab/>
        </w:r>
        <w:r w:rsidR="00EB62BE" w:rsidRPr="005F4F9B">
          <w:rPr>
            <w:rStyle w:val="Hyperlink"/>
            <w:rFonts w:ascii="Times New Roman" w:hAnsi="Times New Roman"/>
            <w:sz w:val="24"/>
            <w:szCs w:val="24"/>
          </w:rPr>
          <w:t>Définitions et instructions générales aux fins de la déclaration de grands risques</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_Toc522191009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4</w:t>
        </w:r>
        <w:r w:rsidR="00EB62BE"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10" w:history="1">
        <w:r w:rsidR="00EB62BE" w:rsidRPr="000D1548">
          <w:rPr>
            <w:rStyle w:val="Hyperlink"/>
            <w:rFonts w:ascii="Times New Roman" w:hAnsi="Times New Roman"/>
            <w:sz w:val="24"/>
            <w:szCs w:val="24"/>
          </w:rPr>
          <w:t>4</w:t>
        </w:r>
        <w:r w:rsidR="00EB62BE" w:rsidRPr="005F4F9B">
          <w:rPr>
            <w:rStyle w:val="Hyperlink"/>
            <w:rFonts w:ascii="Times New Roman" w:hAnsi="Times New Roman"/>
            <w:sz w:val="24"/>
            <w:szCs w:val="24"/>
          </w:rPr>
          <w:t>.</w:t>
        </w:r>
        <w:r w:rsidR="00EB62BE" w:rsidRPr="005F4F9B">
          <w:rPr>
            <w:rFonts w:ascii="Times New Roman" w:eastAsiaTheme="minorEastAsia" w:hAnsi="Times New Roman"/>
            <w:b w:val="0"/>
            <w:smallCaps w:val="0"/>
            <w:sz w:val="24"/>
            <w:szCs w:val="24"/>
            <w:lang w:val="en-GB" w:eastAsia="en-GB" w:bidi="ar-SA"/>
          </w:rPr>
          <w:tab/>
        </w:r>
        <w:r w:rsidR="00EB62BE" w:rsidRPr="005F4F9B">
          <w:rPr>
            <w:rStyle w:val="Hyperlink"/>
            <w:rFonts w:ascii="Times New Roman" w:hAnsi="Times New Roman"/>
            <w:sz w:val="24"/>
            <w:szCs w:val="24"/>
          </w:rPr>
          <w:t xml:space="preserve">C </w:t>
        </w:r>
        <w:r w:rsidR="00EB62BE" w:rsidRPr="000D1548">
          <w:rPr>
            <w:rStyle w:val="Hyperlink"/>
            <w:rFonts w:ascii="Times New Roman" w:hAnsi="Times New Roman"/>
            <w:sz w:val="24"/>
            <w:szCs w:val="24"/>
          </w:rPr>
          <w:t>26</w:t>
        </w:r>
        <w:r w:rsidR="00EB62BE" w:rsidRPr="005F4F9B">
          <w:rPr>
            <w:rStyle w:val="Hyperlink"/>
            <w:rFonts w:ascii="Times New Roman" w:hAnsi="Times New Roman"/>
            <w:sz w:val="24"/>
            <w:szCs w:val="24"/>
          </w:rPr>
          <w:t>.</w:t>
        </w:r>
        <w:r w:rsidR="00EB62BE" w:rsidRPr="000D1548">
          <w:rPr>
            <w:rStyle w:val="Hyperlink"/>
            <w:rFonts w:ascii="Times New Roman" w:hAnsi="Times New Roman"/>
            <w:sz w:val="24"/>
            <w:szCs w:val="24"/>
          </w:rPr>
          <w:t>00</w:t>
        </w:r>
        <w:r w:rsidR="00EB62BE" w:rsidRPr="005F4F9B">
          <w:rPr>
            <w:rStyle w:val="Hyperlink"/>
            <w:rFonts w:ascii="Times New Roman" w:hAnsi="Times New Roman"/>
            <w:sz w:val="24"/>
            <w:szCs w:val="24"/>
          </w:rPr>
          <w:t xml:space="preserve"> - Modèle relatif aux limites aux grands risques (LE Limits)</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_Toc522191010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5</w:t>
        </w:r>
        <w:r w:rsidR="00EB62BE"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11" w:history="1">
        <w:r w:rsidR="00EB62BE" w:rsidRPr="000D1548">
          <w:rPr>
            <w:rStyle w:val="Hyperlink"/>
            <w:rFonts w:ascii="Times New Roman" w:hAnsi="Times New Roman"/>
            <w:sz w:val="24"/>
            <w:szCs w:val="24"/>
          </w:rPr>
          <w:t>4</w:t>
        </w:r>
        <w:r w:rsidR="00EB62BE" w:rsidRPr="005F4F9B">
          <w:rPr>
            <w:rStyle w:val="Hyperlink"/>
            <w:rFonts w:ascii="Times New Roman" w:hAnsi="Times New Roman"/>
            <w:sz w:val="24"/>
            <w:szCs w:val="24"/>
          </w:rPr>
          <w:t>.</w:t>
        </w:r>
        <w:r w:rsidR="00EB62BE" w:rsidRPr="000D1548">
          <w:rPr>
            <w:rStyle w:val="Hyperlink"/>
            <w:rFonts w:ascii="Times New Roman" w:hAnsi="Times New Roman"/>
            <w:sz w:val="24"/>
            <w:szCs w:val="24"/>
          </w:rPr>
          <w:t>1</w:t>
        </w:r>
        <w:r w:rsidR="00EB62BE" w:rsidRPr="005F4F9B">
          <w:rPr>
            <w:rStyle w:val="Hyperlink"/>
            <w:rFonts w:ascii="Times New Roman" w:hAnsi="Times New Roman"/>
            <w:sz w:val="24"/>
            <w:szCs w:val="24"/>
          </w:rPr>
          <w:t>.</w:t>
        </w:r>
        <w:r w:rsidR="00EB62BE" w:rsidRPr="005F4F9B">
          <w:rPr>
            <w:rFonts w:ascii="Times New Roman" w:eastAsiaTheme="minorEastAsia" w:hAnsi="Times New Roman"/>
            <w:b w:val="0"/>
            <w:smallCaps w:val="0"/>
            <w:sz w:val="24"/>
            <w:szCs w:val="24"/>
            <w:lang w:val="en-GB" w:eastAsia="en-GB" w:bidi="ar-SA"/>
          </w:rPr>
          <w:tab/>
        </w:r>
        <w:r w:rsidR="00EB62BE" w:rsidRPr="005F4F9B">
          <w:rPr>
            <w:rStyle w:val="Hyperlink"/>
            <w:rFonts w:ascii="Times New Roman" w:hAnsi="Times New Roman"/>
            <w:sz w:val="24"/>
            <w:szCs w:val="24"/>
          </w:rPr>
          <w:t>Instructions concernant certaines lignes</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_Toc522191011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5</w:t>
        </w:r>
        <w:r w:rsidR="00EB62BE"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12" w:history="1">
        <w:r w:rsidR="00EB62BE" w:rsidRPr="000D1548">
          <w:rPr>
            <w:rStyle w:val="Hyperlink"/>
            <w:rFonts w:ascii="Times New Roman" w:hAnsi="Times New Roman"/>
            <w:sz w:val="24"/>
            <w:szCs w:val="24"/>
          </w:rPr>
          <w:t>5</w:t>
        </w:r>
        <w:r w:rsidR="00EB62BE" w:rsidRPr="005F4F9B">
          <w:rPr>
            <w:rStyle w:val="Hyperlink"/>
            <w:rFonts w:ascii="Times New Roman" w:hAnsi="Times New Roman"/>
            <w:sz w:val="24"/>
            <w:szCs w:val="24"/>
          </w:rPr>
          <w:t>.</w:t>
        </w:r>
        <w:r w:rsidR="00EB62BE" w:rsidRPr="005F4F9B">
          <w:rPr>
            <w:rFonts w:ascii="Times New Roman" w:eastAsiaTheme="minorEastAsia" w:hAnsi="Times New Roman"/>
            <w:b w:val="0"/>
            <w:smallCaps w:val="0"/>
            <w:sz w:val="24"/>
            <w:szCs w:val="24"/>
            <w:lang w:val="en-GB" w:eastAsia="en-GB" w:bidi="ar-SA"/>
          </w:rPr>
          <w:tab/>
        </w:r>
        <w:r w:rsidR="00EB62BE" w:rsidRPr="005F4F9B">
          <w:rPr>
            <w:rStyle w:val="Hyperlink"/>
            <w:rFonts w:ascii="Times New Roman" w:hAnsi="Times New Roman"/>
            <w:sz w:val="24"/>
            <w:szCs w:val="24"/>
          </w:rPr>
          <w:t xml:space="preserve">C </w:t>
        </w:r>
        <w:r w:rsidR="00EB62BE" w:rsidRPr="000D1548">
          <w:rPr>
            <w:rStyle w:val="Hyperlink"/>
            <w:rFonts w:ascii="Times New Roman" w:hAnsi="Times New Roman"/>
            <w:sz w:val="24"/>
            <w:szCs w:val="24"/>
          </w:rPr>
          <w:t>27</w:t>
        </w:r>
        <w:r w:rsidR="00EB62BE" w:rsidRPr="005F4F9B">
          <w:rPr>
            <w:rStyle w:val="Hyperlink"/>
            <w:rFonts w:ascii="Times New Roman" w:hAnsi="Times New Roman"/>
            <w:sz w:val="24"/>
            <w:szCs w:val="24"/>
          </w:rPr>
          <w:t>.</w:t>
        </w:r>
        <w:r w:rsidR="00EB62BE" w:rsidRPr="000D1548">
          <w:rPr>
            <w:rStyle w:val="Hyperlink"/>
            <w:rFonts w:ascii="Times New Roman" w:hAnsi="Times New Roman"/>
            <w:sz w:val="24"/>
            <w:szCs w:val="24"/>
          </w:rPr>
          <w:t>00</w:t>
        </w:r>
        <w:r w:rsidR="00EB62BE" w:rsidRPr="005F4F9B">
          <w:rPr>
            <w:rStyle w:val="Hyperlink"/>
            <w:rFonts w:ascii="Times New Roman" w:hAnsi="Times New Roman"/>
            <w:sz w:val="24"/>
            <w:szCs w:val="24"/>
          </w:rPr>
          <w:t xml:space="preserve"> - Identification de la contrepartie (LE</w:t>
        </w:r>
        <w:r w:rsidR="00EB62BE" w:rsidRPr="000D1548">
          <w:rPr>
            <w:rStyle w:val="Hyperlink"/>
            <w:rFonts w:ascii="Times New Roman" w:hAnsi="Times New Roman"/>
            <w:sz w:val="24"/>
            <w:szCs w:val="24"/>
          </w:rPr>
          <w:t>1</w:t>
        </w:r>
        <w:r w:rsidR="00EB62BE" w:rsidRPr="005F4F9B">
          <w:rPr>
            <w:rStyle w:val="Hyperlink"/>
            <w:rFonts w:ascii="Times New Roman" w:hAnsi="Times New Roman"/>
            <w:sz w:val="24"/>
            <w:szCs w:val="24"/>
          </w:rPr>
          <w:t>)</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_Toc522191012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6</w:t>
        </w:r>
        <w:r w:rsidR="00EB62BE"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13" w:history="1">
        <w:r w:rsidR="00EB62BE" w:rsidRPr="000D1548">
          <w:rPr>
            <w:rStyle w:val="Hyperlink"/>
            <w:rFonts w:ascii="Times New Roman" w:hAnsi="Times New Roman"/>
            <w:sz w:val="24"/>
            <w:szCs w:val="24"/>
          </w:rPr>
          <w:t>5</w:t>
        </w:r>
        <w:r w:rsidR="00EB62BE" w:rsidRPr="005F4F9B">
          <w:rPr>
            <w:rStyle w:val="Hyperlink"/>
            <w:rFonts w:ascii="Times New Roman" w:hAnsi="Times New Roman"/>
            <w:sz w:val="24"/>
            <w:szCs w:val="24"/>
          </w:rPr>
          <w:t>.</w:t>
        </w:r>
        <w:r w:rsidR="00EB62BE" w:rsidRPr="000D1548">
          <w:rPr>
            <w:rStyle w:val="Hyperlink"/>
            <w:rFonts w:ascii="Times New Roman" w:hAnsi="Times New Roman"/>
            <w:sz w:val="24"/>
            <w:szCs w:val="24"/>
          </w:rPr>
          <w:t>1</w:t>
        </w:r>
        <w:r w:rsidR="00EB62BE" w:rsidRPr="005F4F9B">
          <w:rPr>
            <w:rStyle w:val="Hyperlink"/>
            <w:rFonts w:ascii="Times New Roman" w:hAnsi="Times New Roman"/>
            <w:sz w:val="24"/>
            <w:szCs w:val="24"/>
          </w:rPr>
          <w:t>.</w:t>
        </w:r>
        <w:r w:rsidR="00EB62BE" w:rsidRPr="005F4F9B">
          <w:rPr>
            <w:rFonts w:ascii="Times New Roman" w:eastAsiaTheme="minorEastAsia" w:hAnsi="Times New Roman"/>
            <w:b w:val="0"/>
            <w:smallCaps w:val="0"/>
            <w:sz w:val="24"/>
            <w:szCs w:val="24"/>
            <w:lang w:val="en-GB" w:eastAsia="en-GB" w:bidi="ar-SA"/>
          </w:rPr>
          <w:tab/>
        </w:r>
        <w:r w:rsidR="00EB62BE" w:rsidRPr="005F4F9B">
          <w:rPr>
            <w:rStyle w:val="Hyperlink"/>
            <w:rFonts w:ascii="Times New Roman" w:hAnsi="Times New Roman"/>
            <w:sz w:val="24"/>
            <w:szCs w:val="24"/>
          </w:rPr>
          <w:t>Instructions concernant certaines colonnes</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_Toc522191013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6</w:t>
        </w:r>
        <w:r w:rsidR="00EB62BE"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14" w:history="1">
        <w:r w:rsidR="00EB62BE" w:rsidRPr="000D1548">
          <w:rPr>
            <w:rStyle w:val="Hyperlink"/>
            <w:rFonts w:ascii="Times New Roman" w:hAnsi="Times New Roman"/>
            <w:sz w:val="24"/>
            <w:szCs w:val="24"/>
          </w:rPr>
          <w:t>6</w:t>
        </w:r>
        <w:r w:rsidR="00EB62BE" w:rsidRPr="005F4F9B">
          <w:rPr>
            <w:rStyle w:val="Hyperlink"/>
            <w:rFonts w:ascii="Times New Roman" w:hAnsi="Times New Roman"/>
            <w:sz w:val="24"/>
            <w:szCs w:val="24"/>
          </w:rPr>
          <w:t>.</w:t>
        </w:r>
        <w:r w:rsidR="00EB62BE" w:rsidRPr="005F4F9B">
          <w:rPr>
            <w:rFonts w:ascii="Times New Roman" w:eastAsiaTheme="minorEastAsia" w:hAnsi="Times New Roman"/>
            <w:b w:val="0"/>
            <w:smallCaps w:val="0"/>
            <w:sz w:val="24"/>
            <w:szCs w:val="24"/>
            <w:lang w:val="en-GB" w:eastAsia="en-GB" w:bidi="ar-SA"/>
          </w:rPr>
          <w:tab/>
        </w:r>
        <w:r w:rsidR="00EB62BE" w:rsidRPr="005F4F9B">
          <w:rPr>
            <w:rStyle w:val="Hyperlink"/>
            <w:rFonts w:ascii="Times New Roman" w:hAnsi="Times New Roman"/>
            <w:sz w:val="24"/>
            <w:szCs w:val="24"/>
          </w:rPr>
          <w:t xml:space="preserve">C </w:t>
        </w:r>
        <w:r w:rsidR="00EB62BE" w:rsidRPr="000D1548">
          <w:rPr>
            <w:rStyle w:val="Hyperlink"/>
            <w:rFonts w:ascii="Times New Roman" w:hAnsi="Times New Roman"/>
            <w:sz w:val="24"/>
            <w:szCs w:val="24"/>
          </w:rPr>
          <w:t>28</w:t>
        </w:r>
        <w:r w:rsidR="00EB62BE" w:rsidRPr="005F4F9B">
          <w:rPr>
            <w:rStyle w:val="Hyperlink"/>
            <w:rFonts w:ascii="Times New Roman" w:hAnsi="Times New Roman"/>
            <w:sz w:val="24"/>
            <w:szCs w:val="24"/>
          </w:rPr>
          <w:t>.</w:t>
        </w:r>
        <w:r w:rsidR="00EB62BE" w:rsidRPr="000D1548">
          <w:rPr>
            <w:rStyle w:val="Hyperlink"/>
            <w:rFonts w:ascii="Times New Roman" w:hAnsi="Times New Roman"/>
            <w:sz w:val="24"/>
            <w:szCs w:val="24"/>
          </w:rPr>
          <w:t>00</w:t>
        </w:r>
        <w:r w:rsidR="00EB62BE" w:rsidRPr="005F4F9B">
          <w:rPr>
            <w:rStyle w:val="Hyperlink"/>
            <w:rFonts w:ascii="Times New Roman" w:hAnsi="Times New Roman"/>
            <w:sz w:val="24"/>
            <w:szCs w:val="24"/>
          </w:rPr>
          <w:t xml:space="preserve"> - Expositions dans le portefeuille hors négociation et le portefeuille de négociation (LE</w:t>
        </w:r>
        <w:r w:rsidR="00EB62BE" w:rsidRPr="000D1548">
          <w:rPr>
            <w:rStyle w:val="Hyperlink"/>
            <w:rFonts w:ascii="Times New Roman" w:hAnsi="Times New Roman"/>
            <w:sz w:val="24"/>
            <w:szCs w:val="24"/>
          </w:rPr>
          <w:t>2</w:t>
        </w:r>
        <w:r w:rsidR="00EB62BE" w:rsidRPr="005F4F9B">
          <w:rPr>
            <w:rStyle w:val="Hyperlink"/>
            <w:rFonts w:ascii="Times New Roman" w:hAnsi="Times New Roman"/>
            <w:sz w:val="24"/>
            <w:szCs w:val="24"/>
          </w:rPr>
          <w:t>)</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_Toc522191014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9</w:t>
        </w:r>
        <w:r w:rsidR="00EB62BE"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15" w:history="1">
        <w:r w:rsidR="00EB62BE" w:rsidRPr="000D1548">
          <w:rPr>
            <w:rStyle w:val="Hyperlink"/>
            <w:rFonts w:ascii="Times New Roman" w:hAnsi="Times New Roman"/>
            <w:sz w:val="24"/>
            <w:szCs w:val="24"/>
          </w:rPr>
          <w:t>6</w:t>
        </w:r>
        <w:r w:rsidR="00EB62BE" w:rsidRPr="005F4F9B">
          <w:rPr>
            <w:rStyle w:val="Hyperlink"/>
            <w:rFonts w:ascii="Times New Roman" w:hAnsi="Times New Roman"/>
            <w:sz w:val="24"/>
            <w:szCs w:val="24"/>
          </w:rPr>
          <w:t>.</w:t>
        </w:r>
        <w:r w:rsidR="00EB62BE" w:rsidRPr="000D1548">
          <w:rPr>
            <w:rStyle w:val="Hyperlink"/>
            <w:rFonts w:ascii="Times New Roman" w:hAnsi="Times New Roman"/>
            <w:sz w:val="24"/>
            <w:szCs w:val="24"/>
          </w:rPr>
          <w:t>1</w:t>
        </w:r>
        <w:r w:rsidR="00EB62BE" w:rsidRPr="005F4F9B">
          <w:rPr>
            <w:rStyle w:val="Hyperlink"/>
            <w:rFonts w:ascii="Times New Roman" w:hAnsi="Times New Roman"/>
            <w:sz w:val="24"/>
            <w:szCs w:val="24"/>
          </w:rPr>
          <w:t>.</w:t>
        </w:r>
        <w:r w:rsidR="00EB62BE" w:rsidRPr="005F4F9B">
          <w:rPr>
            <w:rFonts w:ascii="Times New Roman" w:eastAsiaTheme="minorEastAsia" w:hAnsi="Times New Roman"/>
            <w:b w:val="0"/>
            <w:smallCaps w:val="0"/>
            <w:sz w:val="24"/>
            <w:szCs w:val="24"/>
            <w:lang w:val="en-GB" w:eastAsia="en-GB" w:bidi="ar-SA"/>
          </w:rPr>
          <w:tab/>
        </w:r>
        <w:r w:rsidR="00EB62BE" w:rsidRPr="005F4F9B">
          <w:rPr>
            <w:rStyle w:val="Hyperlink"/>
            <w:rFonts w:ascii="Times New Roman" w:hAnsi="Times New Roman"/>
            <w:sz w:val="24"/>
            <w:szCs w:val="24"/>
          </w:rPr>
          <w:t>Instructions concernant certaines colonnes</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_Toc522191015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9</w:t>
        </w:r>
        <w:r w:rsidR="00EB62BE"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16" w:history="1">
        <w:r w:rsidR="00EB62BE" w:rsidRPr="000D1548">
          <w:rPr>
            <w:rStyle w:val="Hyperlink"/>
            <w:rFonts w:ascii="Times New Roman" w:hAnsi="Times New Roman"/>
            <w:sz w:val="24"/>
            <w:szCs w:val="24"/>
          </w:rPr>
          <w:t>7</w:t>
        </w:r>
        <w:r w:rsidR="00EB62BE" w:rsidRPr="005F4F9B">
          <w:rPr>
            <w:rStyle w:val="Hyperlink"/>
            <w:rFonts w:ascii="Times New Roman" w:hAnsi="Times New Roman"/>
            <w:sz w:val="24"/>
            <w:szCs w:val="24"/>
          </w:rPr>
          <w:t>.</w:t>
        </w:r>
        <w:r w:rsidR="00EB62BE" w:rsidRPr="005F4F9B">
          <w:rPr>
            <w:rFonts w:ascii="Times New Roman" w:eastAsiaTheme="minorEastAsia" w:hAnsi="Times New Roman"/>
            <w:b w:val="0"/>
            <w:smallCaps w:val="0"/>
            <w:sz w:val="24"/>
            <w:szCs w:val="24"/>
            <w:lang w:val="en-GB" w:eastAsia="en-GB" w:bidi="ar-SA"/>
          </w:rPr>
          <w:tab/>
        </w:r>
        <w:r w:rsidR="00EB62BE" w:rsidRPr="005F4F9B">
          <w:rPr>
            <w:rStyle w:val="Hyperlink"/>
            <w:rFonts w:ascii="Times New Roman" w:hAnsi="Times New Roman"/>
            <w:sz w:val="24"/>
            <w:szCs w:val="24"/>
          </w:rPr>
          <w:t xml:space="preserve">C </w:t>
        </w:r>
        <w:r w:rsidR="00EB62BE" w:rsidRPr="000D1548">
          <w:rPr>
            <w:rStyle w:val="Hyperlink"/>
            <w:rFonts w:ascii="Times New Roman" w:hAnsi="Times New Roman"/>
            <w:sz w:val="24"/>
            <w:szCs w:val="24"/>
          </w:rPr>
          <w:t>29</w:t>
        </w:r>
        <w:r w:rsidR="00EB62BE" w:rsidRPr="005F4F9B">
          <w:rPr>
            <w:rStyle w:val="Hyperlink"/>
            <w:rFonts w:ascii="Times New Roman" w:hAnsi="Times New Roman"/>
            <w:sz w:val="24"/>
            <w:szCs w:val="24"/>
          </w:rPr>
          <w:t>.</w:t>
        </w:r>
        <w:r w:rsidR="00EB62BE" w:rsidRPr="000D1548">
          <w:rPr>
            <w:rStyle w:val="Hyperlink"/>
            <w:rFonts w:ascii="Times New Roman" w:hAnsi="Times New Roman"/>
            <w:sz w:val="24"/>
            <w:szCs w:val="24"/>
          </w:rPr>
          <w:t>00</w:t>
        </w:r>
        <w:r w:rsidR="00EB62BE" w:rsidRPr="005F4F9B">
          <w:rPr>
            <w:rStyle w:val="Hyperlink"/>
            <w:rFonts w:ascii="Times New Roman" w:hAnsi="Times New Roman"/>
            <w:sz w:val="24"/>
            <w:szCs w:val="24"/>
          </w:rPr>
          <w:t xml:space="preserve"> - Détail des expositions sur clients individuels au sein de groupes de clients liés (LE</w:t>
        </w:r>
        <w:r w:rsidR="00EB62BE" w:rsidRPr="000D1548">
          <w:rPr>
            <w:rStyle w:val="Hyperlink"/>
            <w:rFonts w:ascii="Times New Roman" w:hAnsi="Times New Roman"/>
            <w:sz w:val="24"/>
            <w:szCs w:val="24"/>
          </w:rPr>
          <w:t>3</w:t>
        </w:r>
        <w:r w:rsidR="00EB62BE" w:rsidRPr="005F4F9B">
          <w:rPr>
            <w:rStyle w:val="Hyperlink"/>
            <w:rFonts w:ascii="Times New Roman" w:hAnsi="Times New Roman"/>
            <w:sz w:val="24"/>
            <w:szCs w:val="24"/>
          </w:rPr>
          <w:t>)</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_Toc522191016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17</w:t>
        </w:r>
        <w:r w:rsidR="00EB62BE"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17" w:history="1">
        <w:r w:rsidR="00EB62BE" w:rsidRPr="000D1548">
          <w:rPr>
            <w:rStyle w:val="Hyperlink"/>
            <w:rFonts w:ascii="Times New Roman" w:hAnsi="Times New Roman"/>
            <w:sz w:val="24"/>
            <w:szCs w:val="24"/>
          </w:rPr>
          <w:t>7</w:t>
        </w:r>
        <w:r w:rsidR="00EB62BE" w:rsidRPr="005F4F9B">
          <w:rPr>
            <w:rStyle w:val="Hyperlink"/>
            <w:rFonts w:ascii="Times New Roman" w:hAnsi="Times New Roman"/>
            <w:sz w:val="24"/>
            <w:szCs w:val="24"/>
          </w:rPr>
          <w:t>.</w:t>
        </w:r>
        <w:r w:rsidR="00EB62BE" w:rsidRPr="000D1548">
          <w:rPr>
            <w:rStyle w:val="Hyperlink"/>
            <w:rFonts w:ascii="Times New Roman" w:hAnsi="Times New Roman"/>
            <w:sz w:val="24"/>
            <w:szCs w:val="24"/>
          </w:rPr>
          <w:t>1</w:t>
        </w:r>
        <w:r w:rsidR="00EB62BE" w:rsidRPr="005F4F9B">
          <w:rPr>
            <w:rStyle w:val="Hyperlink"/>
            <w:rFonts w:ascii="Times New Roman" w:hAnsi="Times New Roman"/>
            <w:sz w:val="24"/>
            <w:szCs w:val="24"/>
          </w:rPr>
          <w:t>.</w:t>
        </w:r>
        <w:r w:rsidR="00EB62BE" w:rsidRPr="005F4F9B">
          <w:rPr>
            <w:rFonts w:ascii="Times New Roman" w:eastAsiaTheme="minorEastAsia" w:hAnsi="Times New Roman"/>
            <w:b w:val="0"/>
            <w:smallCaps w:val="0"/>
            <w:sz w:val="24"/>
            <w:szCs w:val="24"/>
            <w:lang w:val="en-GB" w:eastAsia="en-GB" w:bidi="ar-SA"/>
          </w:rPr>
          <w:tab/>
        </w:r>
        <w:r w:rsidR="00EB62BE" w:rsidRPr="005F4F9B">
          <w:rPr>
            <w:rStyle w:val="Hyperlink"/>
            <w:rFonts w:ascii="Times New Roman" w:hAnsi="Times New Roman"/>
            <w:sz w:val="24"/>
            <w:szCs w:val="24"/>
          </w:rPr>
          <w:t>Instructions concernant certaines colonnes</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_Toc522191017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17</w:t>
        </w:r>
        <w:r w:rsidR="00EB62BE"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18" w:history="1">
        <w:r w:rsidR="00EB62BE" w:rsidRPr="000D1548">
          <w:rPr>
            <w:rStyle w:val="Hyperlink"/>
            <w:rFonts w:ascii="Times New Roman" w:hAnsi="Times New Roman"/>
            <w:sz w:val="24"/>
            <w:szCs w:val="24"/>
          </w:rPr>
          <w:t>8</w:t>
        </w:r>
        <w:r w:rsidR="00EB62BE" w:rsidRPr="005F4F9B">
          <w:rPr>
            <w:rStyle w:val="Hyperlink"/>
            <w:rFonts w:ascii="Times New Roman" w:hAnsi="Times New Roman"/>
            <w:sz w:val="24"/>
            <w:szCs w:val="24"/>
          </w:rPr>
          <w:t>.</w:t>
        </w:r>
        <w:r w:rsidR="00EB62BE" w:rsidRPr="005F4F9B">
          <w:rPr>
            <w:rFonts w:ascii="Times New Roman" w:eastAsiaTheme="minorEastAsia" w:hAnsi="Times New Roman"/>
            <w:b w:val="0"/>
            <w:smallCaps w:val="0"/>
            <w:sz w:val="24"/>
            <w:szCs w:val="24"/>
            <w:lang w:val="en-GB" w:eastAsia="en-GB" w:bidi="ar-SA"/>
          </w:rPr>
          <w:tab/>
        </w:r>
        <w:r w:rsidR="00EB62BE" w:rsidRPr="005F4F9B">
          <w:rPr>
            <w:rStyle w:val="Hyperlink"/>
            <w:rFonts w:ascii="Times New Roman" w:hAnsi="Times New Roman"/>
            <w:sz w:val="24"/>
            <w:szCs w:val="24"/>
          </w:rPr>
          <w:t xml:space="preserve">C </w:t>
        </w:r>
        <w:r w:rsidR="00EB62BE" w:rsidRPr="000D1548">
          <w:rPr>
            <w:rStyle w:val="Hyperlink"/>
            <w:rFonts w:ascii="Times New Roman" w:hAnsi="Times New Roman"/>
            <w:sz w:val="24"/>
            <w:szCs w:val="24"/>
          </w:rPr>
          <w:t>30</w:t>
        </w:r>
        <w:r w:rsidR="00EB62BE" w:rsidRPr="005F4F9B">
          <w:rPr>
            <w:rStyle w:val="Hyperlink"/>
            <w:rFonts w:ascii="Times New Roman" w:hAnsi="Times New Roman"/>
            <w:sz w:val="24"/>
            <w:szCs w:val="24"/>
          </w:rPr>
          <w:t>.</w:t>
        </w:r>
        <w:r w:rsidR="00EB62BE" w:rsidRPr="000D1548">
          <w:rPr>
            <w:rStyle w:val="Hyperlink"/>
            <w:rFonts w:ascii="Times New Roman" w:hAnsi="Times New Roman"/>
            <w:sz w:val="24"/>
            <w:szCs w:val="24"/>
          </w:rPr>
          <w:t>00</w:t>
        </w:r>
        <w:r w:rsidR="00EB62BE" w:rsidRPr="005F4F9B">
          <w:rPr>
            <w:rStyle w:val="Hyperlink"/>
            <w:rFonts w:ascii="Times New Roman" w:hAnsi="Times New Roman"/>
            <w:sz w:val="24"/>
            <w:szCs w:val="24"/>
          </w:rPr>
          <w:t xml:space="preserve"> - Catégories d’échéance des dix risques les plus grands vis-à-vis d’établissements et des dix risques les plus grands vis-à-vis d’entités du secteur financier non réglementées (modèle LE</w:t>
        </w:r>
        <w:r w:rsidR="00EB62BE" w:rsidRPr="000D1548">
          <w:rPr>
            <w:rStyle w:val="Hyperlink"/>
            <w:rFonts w:ascii="Times New Roman" w:hAnsi="Times New Roman"/>
            <w:sz w:val="24"/>
            <w:szCs w:val="24"/>
          </w:rPr>
          <w:t>4</w:t>
        </w:r>
        <w:r w:rsidR="00EB62BE" w:rsidRPr="005F4F9B">
          <w:rPr>
            <w:rStyle w:val="Hyperlink"/>
            <w:rFonts w:ascii="Times New Roman" w:hAnsi="Times New Roman"/>
            <w:sz w:val="24"/>
            <w:szCs w:val="24"/>
          </w:rPr>
          <w:t>)</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_Toc522191018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18</w:t>
        </w:r>
        <w:r w:rsidR="00EB62BE"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19" w:history="1">
        <w:r w:rsidR="00EB62BE" w:rsidRPr="000D1548">
          <w:rPr>
            <w:rStyle w:val="Hyperlink"/>
            <w:rFonts w:ascii="Times New Roman" w:hAnsi="Times New Roman"/>
            <w:sz w:val="24"/>
            <w:szCs w:val="24"/>
          </w:rPr>
          <w:t>8</w:t>
        </w:r>
        <w:r w:rsidR="00EB62BE" w:rsidRPr="005F4F9B">
          <w:rPr>
            <w:rStyle w:val="Hyperlink"/>
            <w:rFonts w:ascii="Times New Roman" w:hAnsi="Times New Roman"/>
            <w:sz w:val="24"/>
            <w:szCs w:val="24"/>
          </w:rPr>
          <w:t>.</w:t>
        </w:r>
        <w:r w:rsidR="00EB62BE" w:rsidRPr="000D1548">
          <w:rPr>
            <w:rStyle w:val="Hyperlink"/>
            <w:rFonts w:ascii="Times New Roman" w:hAnsi="Times New Roman"/>
            <w:sz w:val="24"/>
            <w:szCs w:val="24"/>
          </w:rPr>
          <w:t>1</w:t>
        </w:r>
        <w:r w:rsidR="00EB62BE" w:rsidRPr="005F4F9B">
          <w:rPr>
            <w:rStyle w:val="Hyperlink"/>
            <w:rFonts w:ascii="Times New Roman" w:hAnsi="Times New Roman"/>
            <w:sz w:val="24"/>
            <w:szCs w:val="24"/>
          </w:rPr>
          <w:t>.</w:t>
        </w:r>
        <w:r w:rsidR="00EB62BE" w:rsidRPr="005F4F9B">
          <w:rPr>
            <w:rFonts w:ascii="Times New Roman" w:eastAsiaTheme="minorEastAsia" w:hAnsi="Times New Roman"/>
            <w:b w:val="0"/>
            <w:smallCaps w:val="0"/>
            <w:sz w:val="24"/>
            <w:szCs w:val="24"/>
            <w:lang w:val="en-GB" w:eastAsia="en-GB" w:bidi="ar-SA"/>
          </w:rPr>
          <w:tab/>
        </w:r>
        <w:r w:rsidR="00EB62BE" w:rsidRPr="005F4F9B">
          <w:rPr>
            <w:rStyle w:val="Hyperlink"/>
            <w:rFonts w:ascii="Times New Roman" w:hAnsi="Times New Roman"/>
            <w:sz w:val="24"/>
            <w:szCs w:val="24"/>
          </w:rPr>
          <w:t>Instructions concernant certaines colonnes</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_Toc522191019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18</w:t>
        </w:r>
        <w:r w:rsidR="00EB62BE"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20" w:history="1">
        <w:r w:rsidR="00EB62BE" w:rsidRPr="000D1548">
          <w:rPr>
            <w:rStyle w:val="Hyperlink"/>
            <w:rFonts w:ascii="Times New Roman" w:hAnsi="Times New Roman"/>
            <w:sz w:val="24"/>
            <w:szCs w:val="24"/>
          </w:rPr>
          <w:t>9</w:t>
        </w:r>
        <w:r w:rsidR="00EB62BE" w:rsidRPr="005F4F9B">
          <w:rPr>
            <w:rStyle w:val="Hyperlink"/>
            <w:rFonts w:ascii="Times New Roman" w:hAnsi="Times New Roman"/>
            <w:sz w:val="24"/>
            <w:szCs w:val="24"/>
          </w:rPr>
          <w:t>.</w:t>
        </w:r>
        <w:r w:rsidR="00EB62BE" w:rsidRPr="005F4F9B">
          <w:rPr>
            <w:rFonts w:ascii="Times New Roman" w:eastAsiaTheme="minorEastAsia" w:hAnsi="Times New Roman"/>
            <w:b w:val="0"/>
            <w:smallCaps w:val="0"/>
            <w:sz w:val="24"/>
            <w:szCs w:val="24"/>
            <w:lang w:val="en-GB" w:eastAsia="en-GB" w:bidi="ar-SA"/>
          </w:rPr>
          <w:tab/>
        </w:r>
        <w:r w:rsidR="00EB62BE" w:rsidRPr="005F4F9B">
          <w:rPr>
            <w:rStyle w:val="Hyperlink"/>
            <w:rFonts w:ascii="Times New Roman" w:hAnsi="Times New Roman"/>
            <w:sz w:val="24"/>
            <w:szCs w:val="24"/>
          </w:rPr>
          <w:t xml:space="preserve">C </w:t>
        </w:r>
        <w:r w:rsidR="00EB62BE" w:rsidRPr="000D1548">
          <w:rPr>
            <w:rStyle w:val="Hyperlink"/>
            <w:rFonts w:ascii="Times New Roman" w:hAnsi="Times New Roman"/>
            <w:sz w:val="24"/>
            <w:szCs w:val="24"/>
          </w:rPr>
          <w:t>31</w:t>
        </w:r>
        <w:r w:rsidR="00EB62BE" w:rsidRPr="005F4F9B">
          <w:rPr>
            <w:rStyle w:val="Hyperlink"/>
            <w:rFonts w:ascii="Times New Roman" w:hAnsi="Times New Roman"/>
            <w:sz w:val="24"/>
            <w:szCs w:val="24"/>
          </w:rPr>
          <w:t>.</w:t>
        </w:r>
        <w:r w:rsidR="00EB62BE" w:rsidRPr="000D1548">
          <w:rPr>
            <w:rStyle w:val="Hyperlink"/>
            <w:rFonts w:ascii="Times New Roman" w:hAnsi="Times New Roman"/>
            <w:sz w:val="24"/>
            <w:szCs w:val="24"/>
          </w:rPr>
          <w:t>00</w:t>
        </w:r>
        <w:r w:rsidR="00EB62BE" w:rsidRPr="005F4F9B">
          <w:rPr>
            <w:rStyle w:val="Hyperlink"/>
            <w:rFonts w:ascii="Times New Roman" w:hAnsi="Times New Roman"/>
            <w:sz w:val="24"/>
            <w:szCs w:val="24"/>
          </w:rPr>
          <w:t xml:space="preserve"> - Catégories d’échéance des dix risques les plus grands vis-à-vis d’établissements et des dix risques les plus grands vis-à-vis d’entités du secteur financier non réglementées: détail des expositions sur les clients individuels composant les groupes de clients liés (modèle LE</w:t>
        </w:r>
        <w:r w:rsidR="00EB62BE" w:rsidRPr="000D1548">
          <w:rPr>
            <w:rStyle w:val="Hyperlink"/>
            <w:rFonts w:ascii="Times New Roman" w:hAnsi="Times New Roman"/>
            <w:sz w:val="24"/>
            <w:szCs w:val="24"/>
          </w:rPr>
          <w:t>5</w:t>
        </w:r>
        <w:r w:rsidR="00EB62BE" w:rsidRPr="005F4F9B">
          <w:rPr>
            <w:rStyle w:val="Hyperlink"/>
            <w:rFonts w:ascii="Times New Roman" w:hAnsi="Times New Roman"/>
            <w:sz w:val="24"/>
            <w:szCs w:val="24"/>
          </w:rPr>
          <w:t>).</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_Toc522191020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19</w:t>
        </w:r>
        <w:r w:rsidR="00EB62BE" w:rsidRPr="005F4F9B">
          <w:rPr>
            <w:rFonts w:ascii="Times New Roman" w:hAnsi="Times New Roman"/>
            <w:webHidden/>
            <w:sz w:val="24"/>
            <w:szCs w:val="24"/>
          </w:rPr>
          <w:fldChar w:fldCharType="end"/>
        </w:r>
      </w:hyperlink>
    </w:p>
    <w:p w:rsidR="00EB62BE" w:rsidRPr="005F4F9B" w:rsidRDefault="00BE4F67">
      <w:pPr>
        <w:pStyle w:val="TOC2"/>
        <w:rPr>
          <w:rFonts w:ascii="Times New Roman" w:eastAsiaTheme="minorEastAsia" w:hAnsi="Times New Roman"/>
          <w:b w:val="0"/>
          <w:smallCaps w:val="0"/>
          <w:sz w:val="24"/>
          <w:szCs w:val="24"/>
          <w:lang w:val="en-GB" w:eastAsia="en-GB" w:bidi="ar-SA"/>
        </w:rPr>
      </w:pPr>
      <w:hyperlink w:anchor="_Toc522191021" w:history="1">
        <w:r w:rsidR="00EB62BE" w:rsidRPr="000D1548">
          <w:rPr>
            <w:rStyle w:val="Hyperlink"/>
            <w:rFonts w:ascii="Times New Roman" w:hAnsi="Times New Roman"/>
            <w:sz w:val="24"/>
            <w:szCs w:val="24"/>
          </w:rPr>
          <w:t>9</w:t>
        </w:r>
        <w:r w:rsidR="00EB62BE" w:rsidRPr="005F4F9B">
          <w:rPr>
            <w:rStyle w:val="Hyperlink"/>
            <w:rFonts w:ascii="Times New Roman" w:hAnsi="Times New Roman"/>
            <w:sz w:val="24"/>
            <w:szCs w:val="24"/>
          </w:rPr>
          <w:t>.</w:t>
        </w:r>
        <w:r w:rsidR="00EB62BE" w:rsidRPr="000D1548">
          <w:rPr>
            <w:rStyle w:val="Hyperlink"/>
            <w:rFonts w:ascii="Times New Roman" w:hAnsi="Times New Roman"/>
            <w:sz w:val="24"/>
            <w:szCs w:val="24"/>
          </w:rPr>
          <w:t>1</w:t>
        </w:r>
        <w:r w:rsidR="00EB62BE" w:rsidRPr="005F4F9B">
          <w:rPr>
            <w:rStyle w:val="Hyperlink"/>
            <w:rFonts w:ascii="Times New Roman" w:hAnsi="Times New Roman"/>
            <w:sz w:val="24"/>
            <w:szCs w:val="24"/>
          </w:rPr>
          <w:t>.</w:t>
        </w:r>
        <w:r w:rsidR="00EB62BE" w:rsidRPr="005F4F9B">
          <w:rPr>
            <w:rFonts w:ascii="Times New Roman" w:eastAsiaTheme="minorEastAsia" w:hAnsi="Times New Roman"/>
            <w:b w:val="0"/>
            <w:smallCaps w:val="0"/>
            <w:sz w:val="24"/>
            <w:szCs w:val="24"/>
            <w:lang w:val="en-GB" w:eastAsia="en-GB" w:bidi="ar-SA"/>
          </w:rPr>
          <w:tab/>
        </w:r>
        <w:r w:rsidR="00EB62BE" w:rsidRPr="005F4F9B">
          <w:rPr>
            <w:rStyle w:val="Hyperlink"/>
            <w:rFonts w:ascii="Times New Roman" w:hAnsi="Times New Roman"/>
            <w:sz w:val="24"/>
            <w:szCs w:val="24"/>
          </w:rPr>
          <w:t>Instructions concernant certaines colonnes</w:t>
        </w:r>
        <w:r w:rsidR="00EB62BE" w:rsidRPr="005F4F9B">
          <w:rPr>
            <w:rFonts w:ascii="Times New Roman" w:hAnsi="Times New Roman"/>
            <w:webHidden/>
            <w:sz w:val="24"/>
            <w:szCs w:val="24"/>
          </w:rPr>
          <w:tab/>
        </w:r>
        <w:r w:rsidR="00EB62BE" w:rsidRPr="005F4F9B">
          <w:rPr>
            <w:rFonts w:ascii="Times New Roman" w:hAnsi="Times New Roman"/>
            <w:webHidden/>
            <w:sz w:val="24"/>
            <w:szCs w:val="24"/>
          </w:rPr>
          <w:fldChar w:fldCharType="begin"/>
        </w:r>
        <w:r w:rsidR="00EB62BE" w:rsidRPr="005F4F9B">
          <w:rPr>
            <w:rFonts w:ascii="Times New Roman" w:hAnsi="Times New Roman"/>
            <w:webHidden/>
            <w:sz w:val="24"/>
            <w:szCs w:val="24"/>
          </w:rPr>
          <w:instrText xml:space="preserve"> PAGEREF _Toc522191021 \h </w:instrText>
        </w:r>
        <w:r w:rsidR="00EB62BE" w:rsidRPr="005F4F9B">
          <w:rPr>
            <w:rFonts w:ascii="Times New Roman" w:hAnsi="Times New Roman"/>
            <w:webHidden/>
            <w:sz w:val="24"/>
            <w:szCs w:val="24"/>
          </w:rPr>
        </w:r>
        <w:r w:rsidR="00EB62BE" w:rsidRPr="005F4F9B">
          <w:rPr>
            <w:rFonts w:ascii="Times New Roman" w:hAnsi="Times New Roman"/>
            <w:webHidden/>
            <w:sz w:val="24"/>
            <w:szCs w:val="24"/>
          </w:rPr>
          <w:fldChar w:fldCharType="separate"/>
        </w:r>
        <w:r w:rsidR="00EB62BE" w:rsidRPr="000D1548">
          <w:rPr>
            <w:rFonts w:ascii="Times New Roman" w:hAnsi="Times New Roman"/>
            <w:webHidden/>
            <w:sz w:val="24"/>
            <w:szCs w:val="24"/>
          </w:rPr>
          <w:t>19</w:t>
        </w:r>
        <w:r w:rsidR="00EB62BE" w:rsidRPr="005F4F9B">
          <w:rPr>
            <w:rFonts w:ascii="Times New Roman" w:hAnsi="Times New Roman"/>
            <w:webHidden/>
            <w:sz w:val="24"/>
            <w:szCs w:val="24"/>
          </w:rPr>
          <w:fldChar w:fldCharType="end"/>
        </w:r>
      </w:hyperlink>
    </w:p>
    <w:p w:rsidR="00A03D8D" w:rsidRPr="005F4F9B" w:rsidRDefault="00EB62BE">
      <w:pPr>
        <w:rPr>
          <w:rFonts w:ascii="Times New Roman" w:eastAsia="SimSun" w:hAnsi="Times New Roman"/>
          <w:sz w:val="24"/>
        </w:rPr>
        <w:sectPr w:rsidR="00A03D8D" w:rsidRPr="005F4F9B"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sidRPr="005F4F9B">
        <w:rPr>
          <w:rFonts w:ascii="Times New Roman" w:hAnsi="Times New Roman"/>
          <w:sz w:val="24"/>
        </w:rPr>
        <w:fldChar w:fldCharType="end"/>
      </w:r>
    </w:p>
    <w:p w:rsidR="009777FB" w:rsidRPr="009777FB" w:rsidRDefault="003105C6" w:rsidP="0093135A">
      <w:pPr>
        <w:pStyle w:val="Heading2"/>
        <w:rPr>
          <w:bCs/>
        </w:rPr>
      </w:pPr>
      <w:bookmarkStart w:id="3" w:name="_Toc264038394"/>
      <w:bookmarkStart w:id="4" w:name="_Toc393461951"/>
      <w:bookmarkStart w:id="5" w:name="_Toc522191003"/>
      <w:r>
        <w:rPr>
          <w:rFonts w:ascii="Times New Roman" w:hAnsi="Times New Roman"/>
        </w:rPr>
        <w:lastRenderedPageBreak/>
        <w:t>PARTIE I:</w:t>
      </w:r>
      <w:bookmarkEnd w:id="3"/>
      <w:r>
        <w:rPr>
          <w:rFonts w:ascii="Times New Roman" w:hAnsi="Times New Roman"/>
        </w:rPr>
        <w:t xml:space="preserve"> INSTRUCTIONS GÉNÉRALES</w:t>
      </w:r>
      <w:bookmarkEnd w:id="4"/>
      <w:bookmarkEnd w:id="5"/>
    </w:p>
    <w:p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6" w:name="_Toc393461952"/>
      <w:bookmarkStart w:id="7" w:name="_Toc522191004"/>
      <w:r>
        <w:rPr>
          <w:rFonts w:ascii="Times New Roman" w:hAnsi="Times New Roman"/>
          <w:b/>
          <w:sz w:val="24"/>
          <w:u w:val="none"/>
        </w:rPr>
        <w:t>Structure et conventions</w:t>
      </w:r>
      <w:bookmarkEnd w:id="6"/>
      <w:bookmarkEnd w:id="7"/>
    </w:p>
    <w:p w:rsidR="00393539" w:rsidRPr="0039317F" w:rsidRDefault="00D40975" w:rsidP="0039317F">
      <w:pPr>
        <w:pStyle w:val="InstructionsText2"/>
      </w:pPr>
      <w:bookmarkStart w:id="8" w:name="_Toc264038399"/>
      <w:bookmarkStart w:id="9" w:name="_Toc294018834"/>
      <w:r>
        <w:t>Le cadre de déclaration de grands risques («LE», ou «large exposures» en anglais) se compose de six modèles contenant les informations suivantes:</w:t>
      </w:r>
    </w:p>
    <w:p w:rsidR="00DA54E3" w:rsidRPr="0039317F" w:rsidRDefault="00CC2429" w:rsidP="0039317F">
      <w:pPr>
        <w:pStyle w:val="InstructionsText2"/>
        <w:numPr>
          <w:ilvl w:val="1"/>
          <w:numId w:val="15"/>
        </w:numPr>
        <w:rPr>
          <w:rFonts w:eastAsia="Arial"/>
        </w:rPr>
      </w:pPr>
      <w:r>
        <w:t>limites aux grands risques;</w:t>
      </w:r>
    </w:p>
    <w:p w:rsidR="00DA54E3" w:rsidRPr="0039317F" w:rsidRDefault="00CC2429" w:rsidP="0039317F">
      <w:pPr>
        <w:pStyle w:val="InstructionsText2"/>
        <w:numPr>
          <w:ilvl w:val="1"/>
          <w:numId w:val="15"/>
        </w:numPr>
        <w:rPr>
          <w:rFonts w:eastAsia="Arial"/>
        </w:rPr>
      </w:pPr>
      <w:r>
        <w:t>identification de la contrepartie (modèle LE</w:t>
      </w:r>
      <w:r w:rsidRPr="000D1548">
        <w:t>1</w:t>
      </w:r>
      <w:r>
        <w:t>);</w:t>
      </w:r>
    </w:p>
    <w:p w:rsidR="00393539" w:rsidRPr="0039317F" w:rsidRDefault="00CC2429" w:rsidP="0039317F">
      <w:pPr>
        <w:pStyle w:val="InstructionsText2"/>
        <w:numPr>
          <w:ilvl w:val="1"/>
          <w:numId w:val="15"/>
        </w:numPr>
        <w:rPr>
          <w:rFonts w:eastAsia="Arial"/>
        </w:rPr>
      </w:pPr>
      <w:r>
        <w:t>expositions dans le portefeuille hors négociation et le portefeuille de négoci</w:t>
      </w:r>
      <w:r>
        <w:t>a</w:t>
      </w:r>
      <w:r>
        <w:t>tion (modèle LE</w:t>
      </w:r>
      <w:r w:rsidRPr="000D1548">
        <w:t>2</w:t>
      </w:r>
      <w:r>
        <w:t xml:space="preserve">); </w:t>
      </w:r>
    </w:p>
    <w:p w:rsidR="00393539" w:rsidRPr="0039317F" w:rsidRDefault="00CC2429" w:rsidP="0039317F">
      <w:pPr>
        <w:pStyle w:val="InstructionsText2"/>
        <w:numPr>
          <w:ilvl w:val="1"/>
          <w:numId w:val="15"/>
        </w:numPr>
        <w:rPr>
          <w:rFonts w:eastAsia="Arial"/>
        </w:rPr>
      </w:pPr>
      <w:r>
        <w:t>détail des expositions sur clients individuels au sein de groupes de clients liés (modèle LE</w:t>
      </w:r>
      <w:r w:rsidRPr="000D1548">
        <w:t>3</w:t>
      </w:r>
      <w:r>
        <w:t>)</w:t>
      </w:r>
    </w:p>
    <w:p w:rsidR="00627430" w:rsidRPr="0039317F" w:rsidRDefault="00CC2429" w:rsidP="0039317F">
      <w:pPr>
        <w:pStyle w:val="InstructionsText2"/>
        <w:numPr>
          <w:ilvl w:val="1"/>
          <w:numId w:val="15"/>
        </w:numPr>
        <w:rPr>
          <w:rFonts w:eastAsia="Arial"/>
        </w:rPr>
      </w:pPr>
      <w:r>
        <w:t>catégories d’échéance des dix risques les plus grands vis-à-vis d’établissements et des dix risques les plus grands vis-à-vis d’entités du secteur financier non réglementées (modèle LE</w:t>
      </w:r>
      <w:r w:rsidRPr="000D1548">
        <w:t>4</w:t>
      </w:r>
      <w:r>
        <w:t xml:space="preserve">); </w:t>
      </w:r>
    </w:p>
    <w:p w:rsidR="00DA54E3" w:rsidRPr="0039317F" w:rsidRDefault="00CC2429" w:rsidP="0039317F">
      <w:pPr>
        <w:pStyle w:val="InstructionsText2"/>
        <w:numPr>
          <w:ilvl w:val="1"/>
          <w:numId w:val="15"/>
        </w:numPr>
        <w:rPr>
          <w:rFonts w:eastAsia="Arial"/>
        </w:rPr>
      </w:pPr>
      <w:r>
        <w:t>catégories d’échéance des dix risques les plus grands vis-à-vis d’établissements et des dix risques les plus grands vis-à-vis d’entités du secteur financier non réglementées: détail des expositions sur les clients individuels composant les groupes de clients liés (modèle LE</w:t>
      </w:r>
      <w:r w:rsidRPr="000D1548">
        <w:t>5</w:t>
      </w:r>
      <w:r>
        <w:t>).</w:t>
      </w:r>
    </w:p>
    <w:p w:rsidR="003D56DE" w:rsidRPr="0039317F" w:rsidRDefault="00756759" w:rsidP="0039317F">
      <w:pPr>
        <w:pStyle w:val="InstructionsText2"/>
      </w:pPr>
      <w:r>
        <w:t>Les instructions contiennent des références juridiques ainsi que des informations d</w:t>
      </w:r>
      <w:r>
        <w:t>é</w:t>
      </w:r>
      <w:r>
        <w:t>taillées sur les données qui seront déclarées dans chaque modèle.</w:t>
      </w:r>
    </w:p>
    <w:p w:rsidR="00B0191A" w:rsidRPr="0039317F" w:rsidRDefault="003105C6" w:rsidP="0039317F">
      <w:pPr>
        <w:pStyle w:val="InstructionsText2"/>
      </w:pPr>
      <w:r>
        <w:t>Dans le cas de références à des colonnes, des lignes et des cellules de modèles, les in</w:t>
      </w:r>
      <w:r>
        <w:t>s</w:t>
      </w:r>
      <w:r>
        <w:t xml:space="preserve">tructions et les règles de validation suivent la convention de dénomination définie dans les paragraphes ci-après. </w:t>
      </w:r>
    </w:p>
    <w:p w:rsidR="00B0191A" w:rsidRPr="0039317F" w:rsidRDefault="00F36707" w:rsidP="0039317F">
      <w:pPr>
        <w:pStyle w:val="InstructionsText2"/>
      </w:pPr>
      <w:r>
        <w:t>Les instructions et les règles de validation suivent généralement la convention su</w:t>
      </w:r>
      <w:r>
        <w:t>i</w:t>
      </w:r>
      <w:r>
        <w:t>vante: {Modèle;Ligne;Colonne}. Un astérisque sert à indiquer que la validation est faite pour toutes les lignes déclarées.</w:t>
      </w:r>
    </w:p>
    <w:p w:rsidR="00B0191A" w:rsidRPr="0039317F" w:rsidRDefault="003105C6" w:rsidP="0039317F">
      <w:pPr>
        <w:pStyle w:val="InstructionsText2"/>
        <w:rPr>
          <w:rFonts w:eastAsia="Arial"/>
        </w:rPr>
      </w:pPr>
      <w:r>
        <w:t>En cas de validations dans un modèle pour lesquelles seuls les points de données de ce modèle sont utilisés, les notations ne se rapportent pas à un modèle: {Ligne;Colonne}.</w:t>
      </w:r>
    </w:p>
    <w:p w:rsidR="00B0191A" w:rsidRDefault="006217F1" w:rsidP="0039317F">
      <w:pPr>
        <w:pStyle w:val="InstructionsText2"/>
      </w:pPr>
      <w:r>
        <w:t xml:space="preserve">ABS(Valeur): la valeur absolue, sans signe. </w:t>
      </w:r>
      <w:bookmarkEnd w:id="8"/>
      <w:bookmarkEnd w:id="9"/>
      <w:r>
        <w:t>Tout montant augmentant les expositions est déclaré en tant que valeur positive. Inversement, tout montant réduisant les expos</w:t>
      </w:r>
      <w:r>
        <w:t>i</w:t>
      </w:r>
      <w:r>
        <w:t>tions est déclaré en tant que valeur négative. Lorsqu’un signe négatif (-) précède l’intitulé d’un poste, aucune valeur positive ne pourra figurer à ce poste.</w:t>
      </w:r>
    </w:p>
    <w:p w:rsidR="0093135A" w:rsidRPr="0078562D" w:rsidRDefault="0078562D" w:rsidP="0078562D">
      <w:pPr>
        <w:pStyle w:val="Instructionsberschrift2"/>
        <w:numPr>
          <w:ilvl w:val="0"/>
          <w:numId w:val="20"/>
        </w:numPr>
        <w:rPr>
          <w:b/>
        </w:rPr>
      </w:pPr>
      <w:bookmarkStart w:id="10" w:name="_Toc522191005"/>
      <w:r>
        <w:rPr>
          <w:rFonts w:ascii="Times New Roman" w:hAnsi="Times New Roman"/>
          <w:b/>
          <w:sz w:val="24"/>
          <w:u w:val="none"/>
        </w:rPr>
        <w:t>Abréviations</w:t>
      </w:r>
      <w:bookmarkEnd w:id="10"/>
    </w:p>
    <w:p w:rsidR="0093135A" w:rsidRDefault="0093135A" w:rsidP="0093135A">
      <w:pPr>
        <w:pStyle w:val="InstructionsText2"/>
      </w:pPr>
      <w:r>
        <w:t>Aux fins de la présente annexe, le règlement (UE) nº </w:t>
      </w:r>
      <w:r w:rsidRPr="000D1548">
        <w:t>575</w:t>
      </w:r>
      <w:r>
        <w:t>/</w:t>
      </w:r>
      <w:r w:rsidRPr="000D1548">
        <w:t>2013</w:t>
      </w:r>
      <w:r>
        <w:t xml:space="preserve"> est désigné par le sigle «CRR».</w:t>
      </w:r>
    </w:p>
    <w:p w:rsidR="0093135A" w:rsidRPr="0039317F" w:rsidRDefault="0093135A" w:rsidP="0078562D">
      <w:pPr>
        <w:pStyle w:val="InstructionsText2"/>
        <w:numPr>
          <w:ilvl w:val="0"/>
          <w:numId w:val="0"/>
        </w:numPr>
        <w:ind w:left="720" w:hanging="360"/>
      </w:pPr>
    </w:p>
    <w:p w:rsidR="00A801A9" w:rsidRPr="00384ADB" w:rsidRDefault="00A801A9" w:rsidP="00005FFC">
      <w:pPr>
        <w:rPr>
          <w:rFonts w:ascii="Times New Roman" w:hAnsi="Times New Roman"/>
          <w:sz w:val="24"/>
        </w:rPr>
        <w:sectPr w:rsidR="00A801A9" w:rsidRPr="00384ADB" w:rsidSect="00C41ABD">
          <w:endnotePr>
            <w:numFmt w:val="decimal"/>
          </w:endnotePr>
          <w:pgSz w:w="11906" w:h="16838"/>
          <w:pgMar w:top="1417" w:right="1417" w:bottom="1134" w:left="1417" w:header="708" w:footer="708" w:gutter="0"/>
          <w:pgNumType w:start="2"/>
          <w:cols w:space="708"/>
          <w:docGrid w:linePitch="360"/>
        </w:sectPr>
      </w:pPr>
      <w:bookmarkStart w:id="11" w:name="_Toc264033192"/>
      <w:bookmarkEnd w:id="11"/>
    </w:p>
    <w:p w:rsidR="00A801A9" w:rsidRPr="00F40CD9" w:rsidRDefault="003105C6" w:rsidP="00D64B66">
      <w:pPr>
        <w:pStyle w:val="Heading2"/>
        <w:rPr>
          <w:rFonts w:ascii="Times New Roman" w:hAnsi="Times New Roman"/>
        </w:rPr>
      </w:pPr>
      <w:bookmarkStart w:id="12" w:name="_Toc393461953"/>
      <w:bookmarkStart w:id="13" w:name="_Toc522191006"/>
      <w:r>
        <w:rPr>
          <w:rFonts w:ascii="Times New Roman" w:hAnsi="Times New Roman"/>
        </w:rPr>
        <w:lastRenderedPageBreak/>
        <w:t>PARTIE II: INSTRUCTIONS CONCERNANT LES MODÈLES</w:t>
      </w:r>
      <w:bookmarkEnd w:id="12"/>
      <w:bookmarkEnd w:id="13"/>
    </w:p>
    <w:p w:rsidR="00F41B3A" w:rsidRPr="00384ADB" w:rsidRDefault="00F41B3A" w:rsidP="00EA549E">
      <w:pPr>
        <w:rPr>
          <w:rFonts w:ascii="Times New Roman" w:hAnsi="Times New Roman"/>
          <w:sz w:val="24"/>
        </w:rPr>
      </w:pPr>
      <w:r>
        <w:rPr>
          <w:rFonts w:ascii="Times New Roman" w:hAnsi="Times New Roman"/>
          <w:sz w:val="24"/>
        </w:rPr>
        <w:t xml:space="preserve">Dans la présente annexe, les instructions relatives à la déclaration de grands risques s’appliquent aussi à la déclaration d’expositions significatives requise par les articles </w:t>
      </w:r>
      <w:r w:rsidRPr="000D1548">
        <w:rPr>
          <w:rFonts w:ascii="Times New Roman" w:hAnsi="Times New Roman"/>
          <w:sz w:val="24"/>
        </w:rPr>
        <w:t>9</w:t>
      </w:r>
      <w:r>
        <w:rPr>
          <w:rFonts w:ascii="Times New Roman" w:hAnsi="Times New Roman"/>
          <w:sz w:val="24"/>
        </w:rPr>
        <w:t xml:space="preserve"> et </w:t>
      </w:r>
      <w:r w:rsidRPr="000D1548">
        <w:rPr>
          <w:rFonts w:ascii="Times New Roman" w:hAnsi="Times New Roman"/>
          <w:sz w:val="24"/>
        </w:rPr>
        <w:t>11</w:t>
      </w:r>
      <w:r>
        <w:rPr>
          <w:rFonts w:ascii="Times New Roman" w:hAnsi="Times New Roman"/>
          <w:sz w:val="24"/>
        </w:rPr>
        <w:t>, conformément à la portée définie auxdits articles.</w:t>
      </w:r>
    </w:p>
    <w:p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4" w:name="_Toc393461954"/>
      <w:bookmarkStart w:id="15" w:name="_Toc522191007"/>
      <w:r>
        <w:rPr>
          <w:rFonts w:ascii="Times New Roman" w:hAnsi="Times New Roman"/>
          <w:b/>
          <w:sz w:val="24"/>
          <w:u w:val="none"/>
        </w:rPr>
        <w:t>Portée et niveau de la déclaration de grands risques</w:t>
      </w:r>
      <w:bookmarkEnd w:id="14"/>
      <w:bookmarkEnd w:id="15"/>
    </w:p>
    <w:p w:rsidR="000F13EA" w:rsidRPr="0039317F" w:rsidRDefault="000F13EA" w:rsidP="0039317F">
      <w:pPr>
        <w:pStyle w:val="InstructionsText2"/>
        <w:numPr>
          <w:ilvl w:val="0"/>
          <w:numId w:val="27"/>
        </w:numPr>
        <w:rPr>
          <w:rFonts w:eastAsia="Arial"/>
        </w:rPr>
      </w:pPr>
      <w:r>
        <w:t xml:space="preserve">Pour déclarer sur une base individuelle des informations relatives aux grands risques vis-à-vis de clients ou de groupes de clients liés, conformément à l’article </w:t>
      </w:r>
      <w:r w:rsidRPr="000D1548">
        <w:t>394</w:t>
      </w:r>
      <w:r>
        <w:t>, par</w:t>
      </w:r>
      <w:r>
        <w:t>a</w:t>
      </w:r>
      <w:r>
        <w:t xml:space="preserve">graphe </w:t>
      </w:r>
      <w:r w:rsidRPr="000D1548">
        <w:t>1</w:t>
      </w:r>
      <w:r>
        <w:t>, du règlement (UE) nº </w:t>
      </w:r>
      <w:r w:rsidRPr="000D1548">
        <w:t>575</w:t>
      </w:r>
      <w:r>
        <w:t>/</w:t>
      </w:r>
      <w:r w:rsidRPr="000D1548">
        <w:t>2013</w:t>
      </w:r>
      <w:r>
        <w:t xml:space="preserve"> (ci-après le «CRR»), les établissements ut</w:t>
      </w:r>
      <w:r>
        <w:t>i</w:t>
      </w:r>
      <w:r>
        <w:t>lisent les modèles LE</w:t>
      </w:r>
      <w:r w:rsidRPr="000D1548">
        <w:t>1</w:t>
      </w:r>
      <w:r>
        <w:t>, LE</w:t>
      </w:r>
      <w:r w:rsidRPr="000D1548">
        <w:t>2</w:t>
      </w:r>
      <w:r>
        <w:t xml:space="preserve"> et LE</w:t>
      </w:r>
      <w:r w:rsidRPr="000D1548">
        <w:t>3</w:t>
      </w:r>
      <w:r>
        <w:t xml:space="preserve">. </w:t>
      </w:r>
    </w:p>
    <w:p w:rsidR="00B0191A" w:rsidRPr="0039317F" w:rsidRDefault="000F13EA" w:rsidP="0039317F">
      <w:pPr>
        <w:pStyle w:val="InstructionsText2"/>
        <w:rPr>
          <w:rFonts w:eastAsia="Arial"/>
        </w:rPr>
      </w:pPr>
      <w:r>
        <w:t xml:space="preserve">Pour déclarer sur une base consolidée des informations relatives aux grands risques vis-à-vis de clients ou de groupes de clients liés, conformément à l’article </w:t>
      </w:r>
      <w:r w:rsidRPr="000D1548">
        <w:t>394</w:t>
      </w:r>
      <w:r>
        <w:t>, par</w:t>
      </w:r>
      <w:r>
        <w:t>a</w:t>
      </w:r>
      <w:r>
        <w:t xml:space="preserve">graphe </w:t>
      </w:r>
      <w:r w:rsidRPr="000D1548">
        <w:t>1</w:t>
      </w:r>
      <w:r>
        <w:t>, du CRR, les établissements mères dans un État membre utilisent les modèles LE</w:t>
      </w:r>
      <w:r w:rsidRPr="000D1548">
        <w:t>1</w:t>
      </w:r>
      <w:r>
        <w:t>, LE</w:t>
      </w:r>
      <w:r w:rsidRPr="000D1548">
        <w:t>2</w:t>
      </w:r>
      <w:r>
        <w:t xml:space="preserve"> et LE</w:t>
      </w:r>
      <w:r w:rsidRPr="000D1548">
        <w:t>3</w:t>
      </w:r>
      <w:r>
        <w:t xml:space="preserve">. </w:t>
      </w:r>
    </w:p>
    <w:p w:rsidR="00B0191A" w:rsidRPr="0039317F" w:rsidRDefault="00A11FB0" w:rsidP="000F0ADE">
      <w:pPr>
        <w:pStyle w:val="InstructionsText2"/>
        <w:rPr>
          <w:rFonts w:eastAsia="Arial"/>
        </w:rPr>
      </w:pPr>
      <w:r>
        <w:t xml:space="preserve">Chaque grand risque défini conformément à l’article </w:t>
      </w:r>
      <w:r w:rsidRPr="000D1548">
        <w:t>392</w:t>
      </w:r>
      <w:r>
        <w:t xml:space="preserve"> du CRR est déclaré, y co</w:t>
      </w:r>
      <w:r>
        <w:t>m</w:t>
      </w:r>
      <w:r>
        <w:t xml:space="preserve">pris les grands risques qui ne sont pas pris en compte pour le respect de la limite aux grands risques fixée par l’article </w:t>
      </w:r>
      <w:r w:rsidRPr="000D1548">
        <w:t>395</w:t>
      </w:r>
      <w:r>
        <w:t xml:space="preserve"> du CRR. </w:t>
      </w:r>
    </w:p>
    <w:p w:rsidR="00B0191A" w:rsidRPr="0039317F" w:rsidRDefault="001C7BF0" w:rsidP="000F0ADE">
      <w:pPr>
        <w:pStyle w:val="InstructionsText2"/>
        <w:rPr>
          <w:rFonts w:eastAsia="Arial"/>
        </w:rPr>
      </w:pPr>
      <w:r>
        <w:t xml:space="preserve">Pour déclarer sur une base consolidée des informations relatives aux </w:t>
      </w:r>
      <w:r w:rsidRPr="000D1548">
        <w:t>20</w:t>
      </w:r>
      <w:r>
        <w:t xml:space="preserve"> risques les plus grands vis-à-vis de clients ou de groupes de clients liés, conformément à la de</w:t>
      </w:r>
      <w:r>
        <w:t>r</w:t>
      </w:r>
      <w:r>
        <w:t xml:space="preserve">nière phrase de l’article </w:t>
      </w:r>
      <w:r w:rsidRPr="000D1548">
        <w:t>394</w:t>
      </w:r>
      <w:r>
        <w:t xml:space="preserve">, paragraphe </w:t>
      </w:r>
      <w:r w:rsidRPr="000D1548">
        <w:t>1</w:t>
      </w:r>
      <w:r>
        <w:t xml:space="preserve">, du CRR, les établissements mères dans un État membre qui relèvent de la troisième partie, titre II, chapitre </w:t>
      </w:r>
      <w:r w:rsidRPr="000D1548">
        <w:t>3</w:t>
      </w:r>
      <w:r>
        <w:t xml:space="preserve"> du CRR utilisent les modèles LE</w:t>
      </w:r>
      <w:r w:rsidRPr="000D1548">
        <w:t>1</w:t>
      </w:r>
      <w:r>
        <w:t>, LE</w:t>
      </w:r>
      <w:r w:rsidRPr="000D1548">
        <w:t>2</w:t>
      </w:r>
      <w:r>
        <w:t xml:space="preserve"> et LE</w:t>
      </w:r>
      <w:r w:rsidRPr="000D1548">
        <w:t>3</w:t>
      </w:r>
      <w:r>
        <w:t>. Pour obtenir la valeur exposée au risque qui servira à d</w:t>
      </w:r>
      <w:r>
        <w:t>é</w:t>
      </w:r>
      <w:r>
        <w:t xml:space="preserve">terminer ces </w:t>
      </w:r>
      <w:r w:rsidRPr="000D1548">
        <w:t>20</w:t>
      </w:r>
      <w:r>
        <w:t xml:space="preserve"> plus grands risques, il convient de soustraire le montant inscrit dans la colonne </w:t>
      </w:r>
      <w:r w:rsidRPr="000D1548">
        <w:t>320</w:t>
      </w:r>
      <w:r>
        <w:t xml:space="preserve"> («Montants exonérés») du modèle LE</w:t>
      </w:r>
      <w:r w:rsidRPr="000D1548">
        <w:t>2</w:t>
      </w:r>
      <w:r>
        <w:t xml:space="preserve"> du montant de la colonne </w:t>
      </w:r>
      <w:r w:rsidRPr="000D1548">
        <w:t>210</w:t>
      </w:r>
      <w:r>
        <w:t xml:space="preserve"> («Total») de ce même modèle. </w:t>
      </w:r>
    </w:p>
    <w:p w:rsidR="00B0191A" w:rsidRPr="0039317F" w:rsidRDefault="00C1644D">
      <w:pPr>
        <w:pStyle w:val="InstructionsText2"/>
        <w:rPr>
          <w:rFonts w:eastAsia="Arial"/>
        </w:rPr>
      </w:pPr>
      <w:r>
        <w:t xml:space="preserve">Pour déclarer sur une base consolidée des informations relatives aux dix risques les plus grands vis-à-vis d’établissements, ainsi que les dix risques les plus grands vis-à-vis d’entités du secteur financier non réglementées, conformément à l’article </w:t>
      </w:r>
      <w:r w:rsidRPr="000D1548">
        <w:t>394</w:t>
      </w:r>
      <w:r>
        <w:t>, p</w:t>
      </w:r>
      <w:r>
        <w:t>a</w:t>
      </w:r>
      <w:r>
        <w:t xml:space="preserve">ragraphe </w:t>
      </w:r>
      <w:r w:rsidRPr="000D1548">
        <w:t>2</w:t>
      </w:r>
      <w:r>
        <w:t>, points a) à d), du CRR, les établissements mères dans un État membre ut</w:t>
      </w:r>
      <w:r>
        <w:t>i</w:t>
      </w:r>
      <w:r>
        <w:t>lisent les modèles LE</w:t>
      </w:r>
      <w:r w:rsidRPr="000D1548">
        <w:t>1</w:t>
      </w:r>
      <w:r>
        <w:t>, LE</w:t>
      </w:r>
      <w:r w:rsidRPr="000D1548">
        <w:t>2</w:t>
      </w:r>
      <w:r>
        <w:t xml:space="preserve"> et LE</w:t>
      </w:r>
      <w:r w:rsidRPr="000D1548">
        <w:t>3</w:t>
      </w:r>
      <w:r>
        <w:t xml:space="preserve">. Pour déclarer la structure des échéances de ces risques conformément à l’article </w:t>
      </w:r>
      <w:r w:rsidRPr="000D1548">
        <w:t>394</w:t>
      </w:r>
      <w:r>
        <w:t xml:space="preserve">, paragraphe </w:t>
      </w:r>
      <w:r w:rsidRPr="000D1548">
        <w:t>2</w:t>
      </w:r>
      <w:r>
        <w:t>, point e), du CRR, les établiss</w:t>
      </w:r>
      <w:r>
        <w:t>e</w:t>
      </w:r>
      <w:r>
        <w:t>ments mères dans un État membre utilisent les modèles LE</w:t>
      </w:r>
      <w:r w:rsidRPr="000D1548">
        <w:t>4</w:t>
      </w:r>
      <w:r>
        <w:t xml:space="preserve"> et LE</w:t>
      </w:r>
      <w:r w:rsidRPr="000D1548">
        <w:t>5</w:t>
      </w:r>
      <w:r>
        <w:t>. La valeur exp</w:t>
      </w:r>
      <w:r>
        <w:t>o</w:t>
      </w:r>
      <w:r>
        <w:t xml:space="preserve">sée au risque calculée dans la colonne </w:t>
      </w:r>
      <w:r w:rsidRPr="000D1548">
        <w:t>210</w:t>
      </w:r>
      <w:r>
        <w:t xml:space="preserve"> («Total») du modèle LE</w:t>
      </w:r>
      <w:r w:rsidRPr="000D1548">
        <w:t>2</w:t>
      </w:r>
      <w:r>
        <w:t xml:space="preserve"> est le montant qui sera utilisé pour déterminer ces </w:t>
      </w:r>
      <w:r w:rsidRPr="000D1548">
        <w:t>20</w:t>
      </w:r>
      <w:r>
        <w:t xml:space="preserve"> plus grands risques.</w:t>
      </w:r>
    </w:p>
    <w:p w:rsidR="00B0191A" w:rsidRPr="0039317F" w:rsidRDefault="001E0F83">
      <w:pPr>
        <w:pStyle w:val="InstructionsText2"/>
        <w:rPr>
          <w:rFonts w:eastAsia="Arial"/>
        </w:rPr>
      </w:pPr>
      <w:r>
        <w:t>Les données sur les grands risques, ainsi que sur les plus grands risques pertinents vis-à-vis de groupes de clients liés et de clients individuels n’appartenant pas à un groupe de clients liés, sont déclarées dans le modèle LE</w:t>
      </w:r>
      <w:r w:rsidRPr="000D1548">
        <w:t>2</w:t>
      </w:r>
      <w:r>
        <w:t xml:space="preserve"> (où un groupe de clients liés sera déclaré comme un risque unique). </w:t>
      </w:r>
    </w:p>
    <w:p w:rsidR="00B0191A" w:rsidRPr="0039317F" w:rsidRDefault="008A4511">
      <w:pPr>
        <w:pStyle w:val="InstructionsText2"/>
        <w:rPr>
          <w:rFonts w:eastAsia="Arial"/>
        </w:rPr>
      </w:pPr>
      <w:r>
        <w:t>Dans le modèle LE</w:t>
      </w:r>
      <w:r w:rsidRPr="000D1548">
        <w:t>3</w:t>
      </w:r>
      <w:r>
        <w:t>, les établissements déclarent les données qui concernent les risques vis-à-vis de clients individuels appartenant aux groupes de clients liés qui sont déclarés dans le modèle LE</w:t>
      </w:r>
      <w:r w:rsidRPr="000D1548">
        <w:t>2</w:t>
      </w:r>
      <w:r>
        <w:t>. La déclaration d’un risque vis-à-vis d’un client indiv</w:t>
      </w:r>
      <w:r>
        <w:t>i</w:t>
      </w:r>
      <w:r>
        <w:t>duel dans le modèle LE</w:t>
      </w:r>
      <w:r w:rsidRPr="000D1548">
        <w:t>2</w:t>
      </w:r>
      <w:r>
        <w:t xml:space="preserve"> n’est pas répétée dans le modèle LE</w:t>
      </w:r>
      <w:r w:rsidRPr="000D1548">
        <w:t>3</w:t>
      </w:r>
      <w:r>
        <w:t xml:space="preserve">. </w:t>
      </w:r>
    </w:p>
    <w:p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6" w:name="_Toc393461955"/>
      <w:bookmarkStart w:id="17" w:name="_Toc522191008"/>
      <w:r>
        <w:rPr>
          <w:rFonts w:ascii="Times New Roman" w:hAnsi="Times New Roman"/>
          <w:b/>
          <w:sz w:val="24"/>
          <w:u w:val="none"/>
        </w:rPr>
        <w:lastRenderedPageBreak/>
        <w:t>Structure des modèles LE</w:t>
      </w:r>
      <w:bookmarkEnd w:id="16"/>
      <w:bookmarkEnd w:id="17"/>
    </w:p>
    <w:p w:rsidR="00A11EC0" w:rsidRPr="0039317F" w:rsidRDefault="00B945FE" w:rsidP="0039317F">
      <w:pPr>
        <w:pStyle w:val="InstructionsText2"/>
        <w:rPr>
          <w:rFonts w:eastAsia="Arial"/>
        </w:rPr>
      </w:pPr>
      <w:r>
        <w:t>Les colonnes du modèle LE</w:t>
      </w:r>
      <w:r w:rsidRPr="000D1548">
        <w:t>1</w:t>
      </w:r>
      <w:r>
        <w:t xml:space="preserve"> contiennent les informations relatives à l’identification des clients individuels, ou des groupes de clients liés, sur lesquels un établissement a une exposition.</w:t>
      </w:r>
    </w:p>
    <w:p w:rsidR="00B0191A" w:rsidRPr="0039317F" w:rsidRDefault="009362E7" w:rsidP="0039317F">
      <w:pPr>
        <w:pStyle w:val="InstructionsText2"/>
        <w:rPr>
          <w:rFonts w:eastAsia="Arial"/>
        </w:rPr>
      </w:pPr>
      <w:r>
        <w:t>Les colonnes des modèles LE</w:t>
      </w:r>
      <w:r w:rsidRPr="000D1548">
        <w:t>2</w:t>
      </w:r>
      <w:r>
        <w:t xml:space="preserve"> et LE</w:t>
      </w:r>
      <w:r w:rsidRPr="000D1548">
        <w:t>3</w:t>
      </w:r>
      <w:r>
        <w:t xml:space="preserve"> contiennent les blocs d’informations suivants:   </w:t>
      </w:r>
    </w:p>
    <w:p w:rsidR="00B0191A" w:rsidRPr="0039317F" w:rsidRDefault="001E0F83" w:rsidP="000F0ADE">
      <w:pPr>
        <w:pStyle w:val="InstructionsText2"/>
        <w:numPr>
          <w:ilvl w:val="1"/>
          <w:numId w:val="15"/>
        </w:numPr>
        <w:rPr>
          <w:rFonts w:eastAsia="Arial"/>
        </w:rPr>
      </w:pPr>
      <w:r>
        <w:t>la valeur exposée au risque avant application des exemptions et avant prise en compte de l’effet de l’atténuation du risque de crédit, y inclus les expositions directes et indirectes ainsi que les expositions additionnelles provenant d’opérations où il existe une exposition sur des actifs sous-jacents;</w:t>
      </w:r>
    </w:p>
    <w:p w:rsidR="00B0191A" w:rsidRPr="0039317F" w:rsidRDefault="001E0F83" w:rsidP="000F0ADE">
      <w:pPr>
        <w:pStyle w:val="InstructionsText2"/>
        <w:numPr>
          <w:ilvl w:val="1"/>
          <w:numId w:val="15"/>
        </w:numPr>
        <w:rPr>
          <w:rFonts w:eastAsia="Arial"/>
        </w:rPr>
      </w:pPr>
      <w:r>
        <w:t>l’effet des exemptions et des techniques d’atténuation du risque de crédit;</w:t>
      </w:r>
    </w:p>
    <w:p w:rsidR="00B0191A" w:rsidRPr="0039317F" w:rsidRDefault="001E0F83">
      <w:pPr>
        <w:pStyle w:val="InstructionsText2"/>
        <w:numPr>
          <w:ilvl w:val="1"/>
          <w:numId w:val="15"/>
        </w:numPr>
        <w:rPr>
          <w:rFonts w:eastAsia="Arial"/>
        </w:rPr>
      </w:pPr>
      <w:r>
        <w:t xml:space="preserve">la valeur exposée au risque après application des exemptions et après prise en compte de l’effet de l’atténuation du risque de crédit, tel que calculée aux fins de l’article </w:t>
      </w:r>
      <w:r w:rsidRPr="000D1548">
        <w:t>395</w:t>
      </w:r>
      <w:r>
        <w:t xml:space="preserve">, paragraphe </w:t>
      </w:r>
      <w:r w:rsidRPr="000D1548">
        <w:t>1</w:t>
      </w:r>
      <w:r>
        <w:t xml:space="preserve">, du CRR. </w:t>
      </w:r>
    </w:p>
    <w:p w:rsidR="00B0191A" w:rsidRPr="0039317F" w:rsidRDefault="00B4530A" w:rsidP="0039317F">
      <w:pPr>
        <w:pStyle w:val="InstructionsText2"/>
        <w:rPr>
          <w:rFonts w:eastAsia="Arial"/>
        </w:rPr>
      </w:pPr>
      <w:r>
        <w:t>Les colonnes des modèles LE</w:t>
      </w:r>
      <w:r w:rsidRPr="000D1548">
        <w:t>4</w:t>
      </w:r>
      <w:r>
        <w:t xml:space="preserve"> et LE</w:t>
      </w:r>
      <w:r w:rsidRPr="000D1548">
        <w:t>5</w:t>
      </w:r>
      <w:r>
        <w:t xml:space="preserve"> présentent les informations concernant les cat</w:t>
      </w:r>
      <w:r>
        <w:t>é</w:t>
      </w:r>
      <w:r>
        <w:t xml:space="preserve">gories d’échéance auxquelles sont attribués les montants escomptés arrivant à échéance des dix plus grands risques vis-à-vis d’établissements et des dix plus grands risques vis-à-vis d’entités du secteur financier non réglementées. </w:t>
      </w:r>
    </w:p>
    <w:p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8" w:name="_Toc393461956"/>
      <w:bookmarkStart w:id="19" w:name="_Toc522191009"/>
      <w:r>
        <w:rPr>
          <w:rFonts w:ascii="Times New Roman" w:hAnsi="Times New Roman"/>
          <w:b/>
          <w:sz w:val="24"/>
          <w:u w:val="none"/>
        </w:rPr>
        <w:t>Définitions et instructions générales aux fins de la déclaration de grands risques</w:t>
      </w:r>
      <w:bookmarkEnd w:id="18"/>
      <w:bookmarkEnd w:id="19"/>
    </w:p>
    <w:p w:rsidR="001E0F83" w:rsidRPr="0039317F" w:rsidRDefault="00B945FE" w:rsidP="0039317F">
      <w:pPr>
        <w:pStyle w:val="InstructionsText2"/>
        <w:rPr>
          <w:rFonts w:eastAsia="Arial"/>
        </w:rPr>
      </w:pPr>
      <w:r>
        <w:t xml:space="preserve">Le «Groupe de clients liés» est défini à l’article </w:t>
      </w:r>
      <w:r w:rsidRPr="000D1548">
        <w:t>4</w:t>
      </w:r>
      <w:r>
        <w:t xml:space="preserve">, paragraphe </w:t>
      </w:r>
      <w:r w:rsidRPr="000D1548">
        <w:t>1</w:t>
      </w:r>
      <w:r>
        <w:t xml:space="preserve">, point </w:t>
      </w:r>
      <w:r w:rsidRPr="000D1548">
        <w:t>39</w:t>
      </w:r>
      <w:r>
        <w:t>, du CRR.</w:t>
      </w:r>
    </w:p>
    <w:p w:rsidR="00B0191A" w:rsidRPr="0039317F" w:rsidRDefault="00915A9C" w:rsidP="0039317F">
      <w:pPr>
        <w:pStyle w:val="InstructionsText2"/>
        <w:rPr>
          <w:rFonts w:eastAsia="Arial"/>
        </w:rPr>
      </w:pPr>
      <w:r>
        <w:t xml:space="preserve">Les «entités du secteur financier non réglementées» sont définies à l’article </w:t>
      </w:r>
      <w:r w:rsidRPr="000D1548">
        <w:t>142</w:t>
      </w:r>
      <w:r>
        <w:t>, par</w:t>
      </w:r>
      <w:r>
        <w:t>a</w:t>
      </w:r>
      <w:r>
        <w:t xml:space="preserve">graphe </w:t>
      </w:r>
      <w:r w:rsidRPr="000D1548">
        <w:t>1</w:t>
      </w:r>
      <w:r>
        <w:t xml:space="preserve">, point </w:t>
      </w:r>
      <w:r w:rsidRPr="000D1548">
        <w:t>5</w:t>
      </w:r>
      <w:r>
        <w:t xml:space="preserve">, du CRR.  </w:t>
      </w:r>
    </w:p>
    <w:p w:rsidR="00B0191A" w:rsidRPr="0039317F" w:rsidRDefault="00D441A7" w:rsidP="0039317F">
      <w:pPr>
        <w:pStyle w:val="InstructionsText2"/>
        <w:rPr>
          <w:rFonts w:eastAsia="Arial"/>
        </w:rPr>
      </w:pPr>
      <w:r>
        <w:t xml:space="preserve">Les «établissements» sont définis à l’article </w:t>
      </w:r>
      <w:r w:rsidRPr="000D1548">
        <w:t>4</w:t>
      </w:r>
      <w:r>
        <w:t xml:space="preserve">, paragraphe </w:t>
      </w:r>
      <w:r w:rsidRPr="000D1548">
        <w:t>1</w:t>
      </w:r>
      <w:r>
        <w:t xml:space="preserve">, point </w:t>
      </w:r>
      <w:r w:rsidRPr="000D1548">
        <w:t>3</w:t>
      </w:r>
      <w:r>
        <w:t xml:space="preserve">, du CRR.  </w:t>
      </w:r>
    </w:p>
    <w:p w:rsidR="00B0191A" w:rsidRPr="0039317F" w:rsidRDefault="009B34D1" w:rsidP="0039317F">
      <w:pPr>
        <w:pStyle w:val="InstructionsText2"/>
        <w:rPr>
          <w:rFonts w:eastAsia="Arial"/>
        </w:rPr>
      </w:pPr>
      <w:r>
        <w:t>Les expositions sur des «associations de droit civil» sont déclarées. En outre, les ét</w:t>
      </w:r>
      <w:r>
        <w:t>a</w:t>
      </w:r>
      <w:r>
        <w:t xml:space="preserve">blissements ajoutent les montants des crédits de l’association de droit civil à l’endettement de chaque partenaire. Les expositions sur des associations de droit civil assorties de quotas seront divisées ou attribuées aux partenaires, en fonction de leurs quotas respectifs. Certains montages (par ex. comptes communs, communautés d’héritiers, emprunts via prête-nom) exerçant en tant qu’associations de droit civil doivent être déclarés de même. </w:t>
      </w:r>
    </w:p>
    <w:p w:rsidR="00910E26" w:rsidRPr="0039317F" w:rsidRDefault="00D441A7" w:rsidP="0039317F">
      <w:pPr>
        <w:pStyle w:val="InstructionsText2"/>
        <w:rPr>
          <w:rFonts w:eastAsia="Arial"/>
        </w:rPr>
      </w:pPr>
      <w:r>
        <w:t xml:space="preserve">Les actifs et les éléments de hors bilan sont utilisés sans application de pondérations de risque ni de degrés de risque, conformément à l’article </w:t>
      </w:r>
      <w:r w:rsidRPr="000D1548">
        <w:t>389</w:t>
      </w:r>
      <w:r>
        <w:t xml:space="preserve"> du CRR. Plus spécial</w:t>
      </w:r>
      <w:r>
        <w:t>e</w:t>
      </w:r>
      <w:r>
        <w:t>ment, les facteurs de conversion de crédit ne sont pas appliqués aux éléments de hors bilan.</w:t>
      </w:r>
    </w:p>
    <w:p w:rsidR="00B0191A" w:rsidRPr="0039317F" w:rsidRDefault="0039317F" w:rsidP="0039317F">
      <w:pPr>
        <w:pStyle w:val="InstructionsText2"/>
        <w:rPr>
          <w:rFonts w:eastAsia="Arial"/>
        </w:rPr>
      </w:pPr>
      <w:r>
        <w:t xml:space="preserve"> Les «expositions» sont définies à l’article </w:t>
      </w:r>
      <w:r w:rsidRPr="000D1548">
        <w:t>389</w:t>
      </w:r>
      <w:r>
        <w:t xml:space="preserve"> du CRR. </w:t>
      </w:r>
    </w:p>
    <w:p w:rsidR="00B0191A" w:rsidRPr="0039317F" w:rsidRDefault="001243C8" w:rsidP="0039317F">
      <w:pPr>
        <w:pStyle w:val="InstructionsText2"/>
        <w:numPr>
          <w:ilvl w:val="1"/>
          <w:numId w:val="15"/>
        </w:numPr>
        <w:rPr>
          <w:rFonts w:eastAsia="Arial"/>
        </w:rPr>
      </w:pPr>
      <w:r>
        <w:t xml:space="preserve">tout actif ou élément de hors bilan dans le portefeuille hors négociation et dans le portefeuille de négociation, y compris les éléments précisés à l’article </w:t>
      </w:r>
      <w:r w:rsidRPr="000D1548">
        <w:t>400</w:t>
      </w:r>
      <w:r>
        <w:t xml:space="preserve"> du CRR, à l’exclusion des éléments relevant de l’article </w:t>
      </w:r>
      <w:r w:rsidRPr="000D1548">
        <w:t>390</w:t>
      </w:r>
      <w:r>
        <w:t xml:space="preserve">, paragraphe </w:t>
      </w:r>
      <w:r w:rsidRPr="000D1548">
        <w:t>6</w:t>
      </w:r>
      <w:r>
        <w:t xml:space="preserve">, points a) à d), du CRR. </w:t>
      </w:r>
    </w:p>
    <w:p w:rsidR="00B0191A" w:rsidRPr="0039317F" w:rsidRDefault="00AB5AE4" w:rsidP="000F0ADE">
      <w:pPr>
        <w:pStyle w:val="InstructionsText2"/>
        <w:numPr>
          <w:ilvl w:val="1"/>
          <w:numId w:val="15"/>
        </w:numPr>
        <w:rPr>
          <w:rFonts w:eastAsia="Arial"/>
        </w:rPr>
      </w:pPr>
      <w:r>
        <w:lastRenderedPageBreak/>
        <w:t xml:space="preserve">Les «expositions indirectes» sont les expositions affectées au garant ou à l’émetteur des sûretés plutôt qu’à l’emprunteur direct, conformément à l’article </w:t>
      </w:r>
      <w:r w:rsidRPr="000D1548">
        <w:t>403</w:t>
      </w:r>
      <w:r>
        <w:t xml:space="preserve"> du CRR. </w:t>
      </w:r>
      <w:r>
        <w:rPr>
          <w:i/>
        </w:rPr>
        <w:t>Les présentes définitions ne peuvent s’écarter à aucun égard des définitions énoncées dans l’acte de base.</w:t>
      </w:r>
      <w:r>
        <w:t>]</w:t>
      </w:r>
    </w:p>
    <w:p w:rsidR="00B0191A" w:rsidRPr="0039317F" w:rsidRDefault="00F40CD9" w:rsidP="0039317F">
      <w:pPr>
        <w:pStyle w:val="InstructionsText2"/>
        <w:rPr>
          <w:rFonts w:eastAsia="Arial"/>
        </w:rPr>
      </w:pPr>
      <w:r>
        <w:t xml:space="preserve">Les expositions sur des groupes de clients liés sont calculées conformément à l’article </w:t>
      </w:r>
      <w:r w:rsidRPr="000D1548">
        <w:t>390</w:t>
      </w:r>
      <w:r>
        <w:t xml:space="preserve">, paragraphe </w:t>
      </w:r>
      <w:r w:rsidRPr="000D1548">
        <w:t>5</w:t>
      </w:r>
      <w:r>
        <w:t>.</w:t>
      </w:r>
    </w:p>
    <w:p w:rsidR="0008722B" w:rsidRPr="0039317F" w:rsidRDefault="008645CF" w:rsidP="0039317F">
      <w:pPr>
        <w:pStyle w:val="InstructionsText2"/>
        <w:rPr>
          <w:rFonts w:eastAsia="Arial"/>
        </w:rPr>
      </w:pPr>
      <w:r>
        <w:t xml:space="preserve">Les «conventions de compensation» peuvent être prises en considération aux fins de la valeur d’exposition des grands risques, comme prévu à l’article </w:t>
      </w:r>
      <w:r w:rsidRPr="000D1548">
        <w:t>390</w:t>
      </w:r>
      <w:r>
        <w:t xml:space="preserve">, paragraphes </w:t>
      </w:r>
      <w:r w:rsidRPr="000D1548">
        <w:t>1</w:t>
      </w:r>
      <w:r>
        <w:t xml:space="preserve">, </w:t>
      </w:r>
      <w:r w:rsidRPr="000D1548">
        <w:t>2</w:t>
      </w:r>
      <w:r>
        <w:t xml:space="preserve">, et </w:t>
      </w:r>
      <w:r w:rsidRPr="000D1548">
        <w:t>3</w:t>
      </w:r>
      <w:r>
        <w:t xml:space="preserve">, du CRR. La valeur exposée au risque d’un instrument dérivé figurant à l’annexe II du CRR est déterminée conformément aux dispositions de la troisième partie, titre II, chapitre </w:t>
      </w:r>
      <w:r w:rsidRPr="000D1548">
        <w:t>6</w:t>
      </w:r>
      <w:r>
        <w:t xml:space="preserve">, du CRR, les effets de contrats de novation et autres conventions de compensation étant pris en considération aux fins de ces méthodes conformément à la troisième partie, titre II, chapitre </w:t>
      </w:r>
      <w:r w:rsidRPr="000D1548">
        <w:t>6</w:t>
      </w:r>
      <w:r>
        <w:t xml:space="preserve"> du CRR. La valeur exposée au risque des opér</w:t>
      </w:r>
      <w:r>
        <w:t>a</w:t>
      </w:r>
      <w:r>
        <w:t>tions de pension, des opérations de prêt ou d’emprunt de titres ou de matières pr</w:t>
      </w:r>
      <w:r>
        <w:t>e</w:t>
      </w:r>
      <w:r>
        <w:t xml:space="preserve">mières, des opérations à règlement différé et des opérations de prêt avec appel de marge peut être déterminée soit conformément aux dispositions de la troisième partie, titre II, chapitre </w:t>
      </w:r>
      <w:r w:rsidRPr="000D1548">
        <w:t>4</w:t>
      </w:r>
      <w:r>
        <w:t xml:space="preserve">, soit à celles de la troisième partie, titre II, chapitre </w:t>
      </w:r>
      <w:r w:rsidRPr="000D1548">
        <w:t>6</w:t>
      </w:r>
      <w:r>
        <w:t>, du CRR. Co</w:t>
      </w:r>
      <w:r>
        <w:t>n</w:t>
      </w:r>
      <w:r>
        <w:t xml:space="preserve">formément à l’article </w:t>
      </w:r>
      <w:r w:rsidRPr="000D1548">
        <w:t>296</w:t>
      </w:r>
      <w:r>
        <w:t xml:space="preserve"> du CRR, la valeur exposée au risque d’une obligation jur</w:t>
      </w:r>
      <w:r>
        <w:t>i</w:t>
      </w:r>
      <w:r>
        <w:t>dique unique créée par une convention de compensation multiproduits conclue avec une contrepartie de l’établissement déclarant est déclarée au titre d’«autres engag</w:t>
      </w:r>
      <w:r>
        <w:t>e</w:t>
      </w:r>
      <w:r>
        <w:t>ments» dans les modèles LE.</w:t>
      </w:r>
    </w:p>
    <w:p w:rsidR="00AB28E2" w:rsidRPr="0039317F" w:rsidRDefault="001E0F83" w:rsidP="0039317F">
      <w:pPr>
        <w:pStyle w:val="InstructionsText2"/>
        <w:rPr>
          <w:rFonts w:eastAsia="Arial"/>
        </w:rPr>
      </w:pPr>
      <w:r>
        <w:t xml:space="preserve">La «valeur d’une exposition» est calculée conformément à l’article </w:t>
      </w:r>
      <w:r w:rsidRPr="000D1548">
        <w:t>390</w:t>
      </w:r>
      <w:r>
        <w:t xml:space="preserve"> du CRR.</w:t>
      </w:r>
    </w:p>
    <w:p w:rsidR="00B0191A" w:rsidRPr="0039317F" w:rsidRDefault="001E0F83" w:rsidP="0039317F">
      <w:pPr>
        <w:pStyle w:val="InstructionsText2"/>
        <w:rPr>
          <w:rFonts w:eastAsia="Arial"/>
        </w:rPr>
      </w:pPr>
      <w:r>
        <w:t xml:space="preserve">L’effet de l’application totale ou partielle des exemptions et des techniques d’atténuation du risque de crédit éligibles pour le calcul des expositions aux fins de l’article </w:t>
      </w:r>
      <w:r w:rsidRPr="000D1548">
        <w:t>395</w:t>
      </w:r>
      <w:r>
        <w:t xml:space="preserve">, paragraphe </w:t>
      </w:r>
      <w:r w:rsidRPr="000D1548">
        <w:t>1</w:t>
      </w:r>
      <w:r>
        <w:t xml:space="preserve">, du CRR est décrit aux articles </w:t>
      </w:r>
      <w:r w:rsidRPr="000D1548">
        <w:t>399</w:t>
      </w:r>
      <w:r>
        <w:t xml:space="preserve"> à </w:t>
      </w:r>
      <w:r w:rsidRPr="000D1548">
        <w:t>403</w:t>
      </w:r>
      <w:r>
        <w:t xml:space="preserve"> du CRR. </w:t>
      </w:r>
    </w:p>
    <w:p w:rsidR="00AB28E2" w:rsidRPr="0039317F" w:rsidRDefault="0017740A" w:rsidP="0039317F">
      <w:pPr>
        <w:pStyle w:val="InstructionsText2"/>
        <w:rPr>
          <w:rFonts w:eastAsia="Arial"/>
        </w:rPr>
      </w:pPr>
      <w:r>
        <w:t>Les accords de prise en pension relevant de la déclaration des grands risques sont d</w:t>
      </w:r>
      <w:r>
        <w:t>é</w:t>
      </w:r>
      <w:r>
        <w:t xml:space="preserve">clarés conformément à l’article </w:t>
      </w:r>
      <w:r w:rsidRPr="000D1548">
        <w:t>402</w:t>
      </w:r>
      <w:r>
        <w:t xml:space="preserve">, paragraphe </w:t>
      </w:r>
      <w:r w:rsidRPr="000D1548">
        <w:t>3</w:t>
      </w:r>
      <w:r>
        <w:t>, du CRR. Sous réserve que les cr</w:t>
      </w:r>
      <w:r>
        <w:t>i</w:t>
      </w:r>
      <w:r>
        <w:t xml:space="preserve">tères de l’article </w:t>
      </w:r>
      <w:r w:rsidRPr="000D1548">
        <w:t>402</w:t>
      </w:r>
      <w:r>
        <w:t xml:space="preserve">, paragraphe </w:t>
      </w:r>
      <w:r w:rsidRPr="000D1548">
        <w:t>3</w:t>
      </w:r>
      <w:r>
        <w:t>, du CRR soient remplis, l’établissement déclare les grands risques vis-à-vis de chaque tiers à concurrence du montant de la créance que la contrepartie a vis-à-vis de ce tiers et non du montant de l’exposition sur cette contr</w:t>
      </w:r>
      <w:r>
        <w:t>e</w:t>
      </w:r>
      <w:r>
        <w:t>partie.</w:t>
      </w:r>
    </w:p>
    <w:p w:rsidR="00B0191A" w:rsidRPr="00384ADB" w:rsidRDefault="00B0191A" w:rsidP="00FD4656">
      <w:pPr>
        <w:rPr>
          <w:rFonts w:eastAsia="Arial"/>
        </w:rPr>
      </w:pPr>
    </w:p>
    <w:p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20" w:name="_Toc393461957"/>
      <w:bookmarkStart w:id="21" w:name="_Toc522191010"/>
      <w:r>
        <w:rPr>
          <w:rFonts w:ascii="Times New Roman" w:hAnsi="Times New Roman"/>
          <w:b/>
          <w:sz w:val="24"/>
          <w:u w:val="none"/>
        </w:rPr>
        <w:t xml:space="preserve">C </w:t>
      </w:r>
      <w:r w:rsidRPr="000D1548">
        <w:rPr>
          <w:rFonts w:ascii="Times New Roman" w:hAnsi="Times New Roman"/>
          <w:b/>
          <w:sz w:val="24"/>
          <w:u w:val="none"/>
        </w:rPr>
        <w:t>26</w:t>
      </w:r>
      <w:r>
        <w:rPr>
          <w:rFonts w:ascii="Times New Roman" w:hAnsi="Times New Roman"/>
          <w:b/>
          <w:sz w:val="24"/>
          <w:u w:val="none"/>
        </w:rPr>
        <w:t>.</w:t>
      </w:r>
      <w:r w:rsidRPr="000D1548">
        <w:rPr>
          <w:rFonts w:ascii="Times New Roman" w:hAnsi="Times New Roman"/>
          <w:b/>
          <w:sz w:val="24"/>
          <w:u w:val="none"/>
        </w:rPr>
        <w:t>00</w:t>
      </w:r>
      <w:r>
        <w:rPr>
          <w:rFonts w:ascii="Times New Roman" w:hAnsi="Times New Roman"/>
          <w:b/>
          <w:sz w:val="24"/>
          <w:u w:val="none"/>
        </w:rPr>
        <w:t xml:space="preserve"> - Modèle relatif aux limites aux grands risques (LE Limits)</w:t>
      </w:r>
      <w:bookmarkEnd w:id="20"/>
      <w:bookmarkEnd w:id="21"/>
    </w:p>
    <w:p w:rsidR="00C83135" w:rsidRPr="00384ADB" w:rsidRDefault="00C83135" w:rsidP="00C52CE2">
      <w:pPr>
        <w:pStyle w:val="Instructionsberschrift2"/>
        <w:numPr>
          <w:ilvl w:val="1"/>
          <w:numId w:val="22"/>
        </w:numPr>
        <w:rPr>
          <w:rFonts w:ascii="Times New Roman" w:hAnsi="Times New Roman" w:cs="Times New Roman"/>
          <w:sz w:val="24"/>
        </w:rPr>
      </w:pPr>
      <w:bookmarkStart w:id="22" w:name="_Toc393461958"/>
      <w:bookmarkStart w:id="23" w:name="_Toc522191011"/>
      <w:r>
        <w:rPr>
          <w:rFonts w:ascii="Times New Roman" w:hAnsi="Times New Roman"/>
          <w:sz w:val="24"/>
        </w:rPr>
        <w:t>Instructions concernant certaines lignes</w:t>
      </w:r>
      <w:bookmarkEnd w:id="22"/>
      <w:bookmarkEnd w:id="23"/>
    </w:p>
    <w:p w:rsidR="00C83135" w:rsidRPr="00384ADB"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rsidTr="00C83135">
        <w:tc>
          <w:tcPr>
            <w:tcW w:w="1418" w:type="dxa"/>
            <w:shd w:val="clear" w:color="auto" w:fill="D9D9D9"/>
          </w:tcPr>
          <w:p w:rsidR="00C83135" w:rsidRPr="00384ADB" w:rsidRDefault="00C8313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Lignes</w:t>
            </w:r>
          </w:p>
        </w:tc>
        <w:tc>
          <w:tcPr>
            <w:tcW w:w="7620" w:type="dxa"/>
            <w:shd w:val="clear" w:color="auto" w:fill="D9D9D9"/>
          </w:tcPr>
          <w:p w:rsidR="00B0191A" w:rsidRPr="00384ADB" w:rsidRDefault="00C8313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Références juridiques et instructions</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010</w:t>
            </w:r>
          </w:p>
        </w:tc>
        <w:tc>
          <w:tcPr>
            <w:tcW w:w="7620" w:type="dxa"/>
          </w:tcPr>
          <w:p w:rsidR="00702E1B" w:rsidRPr="00384ADB" w:rsidRDefault="00702E1B"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Non-établissements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2F103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w:t>
            </w:r>
            <w:r w:rsidRPr="000D1548">
              <w:rPr>
                <w:rStyle w:val="FormatvorlageInstructionsTabelleText"/>
                <w:rFonts w:ascii="Times New Roman" w:hAnsi="Times New Roman"/>
                <w:sz w:val="24"/>
              </w:rPr>
              <w:t>395</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 xml:space="preserve">, article </w:t>
            </w:r>
            <w:r w:rsidRPr="000D1548">
              <w:rPr>
                <w:rStyle w:val="FormatvorlageInstructionsTabelleText"/>
                <w:rFonts w:ascii="Times New Roman" w:hAnsi="Times New Roman"/>
                <w:sz w:val="24"/>
              </w:rPr>
              <w:t>458</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2</w:t>
            </w:r>
            <w:r>
              <w:rPr>
                <w:rStyle w:val="FormatvorlageInstructionsTabelleText"/>
                <w:rFonts w:ascii="Times New Roman" w:hAnsi="Times New Roman"/>
                <w:sz w:val="24"/>
              </w:rPr>
              <w:t xml:space="preserve">, point d) ii), article </w:t>
            </w:r>
            <w:r w:rsidRPr="000D1548">
              <w:rPr>
                <w:rStyle w:val="FormatvorlageInstructionsTabelleText"/>
                <w:rFonts w:ascii="Times New Roman" w:hAnsi="Times New Roman"/>
                <w:sz w:val="24"/>
              </w:rPr>
              <w:t>458</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10</w:t>
            </w:r>
            <w:r>
              <w:rPr>
                <w:rStyle w:val="FormatvorlageInstructionsTabelleText"/>
                <w:rFonts w:ascii="Times New Roman" w:hAnsi="Times New Roman"/>
                <w:sz w:val="24"/>
              </w:rPr>
              <w:t xml:space="preserve">, et article </w:t>
            </w:r>
            <w:r w:rsidRPr="000D1548">
              <w:rPr>
                <w:rStyle w:val="FormatvorlageInstructionsTabelleText"/>
                <w:rFonts w:ascii="Times New Roman" w:hAnsi="Times New Roman"/>
                <w:sz w:val="24"/>
              </w:rPr>
              <w:t>459</w:t>
            </w:r>
            <w:r>
              <w:rPr>
                <w:rStyle w:val="FormatvorlageInstructionsTabelleText"/>
                <w:rFonts w:ascii="Times New Roman" w:hAnsi="Times New Roman"/>
                <w:sz w:val="24"/>
              </w:rPr>
              <w:t>, point b), du CRR.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702E1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 la limite applicable pour les contreparties autres que des ét</w:t>
            </w:r>
            <w:r>
              <w:rPr>
                <w:rStyle w:val="FormatvorlageInstructionsTabelleText"/>
                <w:rFonts w:ascii="Times New Roman" w:hAnsi="Times New Roman"/>
                <w:sz w:val="24"/>
              </w:rPr>
              <w:t>a</w:t>
            </w:r>
            <w:r>
              <w:rPr>
                <w:rStyle w:val="FormatvorlageInstructionsTabelleText"/>
                <w:rFonts w:ascii="Times New Roman" w:hAnsi="Times New Roman"/>
                <w:sz w:val="24"/>
              </w:rPr>
              <w:lastRenderedPageBreak/>
              <w:t xml:space="preserve">blissements est déclaré. Ce montant s’élève à </w:t>
            </w:r>
            <w:r w:rsidRPr="000D1548">
              <w:rPr>
                <w:rStyle w:val="FormatvorlageInstructionsTabelleText"/>
                <w:rFonts w:ascii="Times New Roman" w:hAnsi="Times New Roman"/>
                <w:sz w:val="24"/>
              </w:rPr>
              <w:t>25</w:t>
            </w:r>
            <w:r>
              <w:rPr>
                <w:rStyle w:val="FormatvorlageInstructionsTabelleText"/>
                <w:rFonts w:ascii="Times New Roman" w:hAnsi="Times New Roman"/>
                <w:sz w:val="24"/>
              </w:rPr>
              <w:t> % des fonds propres él</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gibles, déclarés à la ligne </w:t>
            </w:r>
            <w:r w:rsidRPr="000D1548">
              <w:rPr>
                <w:rStyle w:val="FormatvorlageInstructionsTabelleText"/>
                <w:rFonts w:ascii="Times New Roman" w:hAnsi="Times New Roman"/>
                <w:sz w:val="24"/>
              </w:rPr>
              <w:t>226</w:t>
            </w:r>
            <w:r>
              <w:rPr>
                <w:rStyle w:val="FormatvorlageInstructionsTabelleText"/>
                <w:rFonts w:ascii="Times New Roman" w:hAnsi="Times New Roman"/>
                <w:sz w:val="24"/>
              </w:rPr>
              <w:t xml:space="preserve"> du modèle </w:t>
            </w:r>
            <w:r w:rsidRPr="000D1548">
              <w:rPr>
                <w:rStyle w:val="FormatvorlageInstructionsTabelleText"/>
                <w:rFonts w:ascii="Times New Roman" w:hAnsi="Times New Roman"/>
                <w:sz w:val="24"/>
              </w:rPr>
              <w:t>4</w:t>
            </w:r>
            <w:r>
              <w:rPr>
                <w:rStyle w:val="FormatvorlageInstructionsTabelleText"/>
                <w:rFonts w:ascii="Times New Roman" w:hAnsi="Times New Roman"/>
                <w:sz w:val="24"/>
              </w:rPr>
              <w:t xml:space="preserve"> de l’annexe I, sauf si un pource</w:t>
            </w:r>
            <w:r>
              <w:rPr>
                <w:rStyle w:val="FormatvorlageInstructionsTabelleText"/>
                <w:rFonts w:ascii="Times New Roman" w:hAnsi="Times New Roman"/>
                <w:sz w:val="24"/>
              </w:rPr>
              <w:t>n</w:t>
            </w:r>
            <w:r>
              <w:rPr>
                <w:rStyle w:val="FormatvorlageInstructionsTabelleText"/>
                <w:rFonts w:ascii="Times New Roman" w:hAnsi="Times New Roman"/>
                <w:sz w:val="24"/>
              </w:rPr>
              <w:t>tage plus restrictif s’applique en raison de l’application de mesures nati</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nales en vertu de l’article </w:t>
            </w:r>
            <w:r w:rsidRPr="000D1548">
              <w:rPr>
                <w:rStyle w:val="FormatvorlageInstructionsTabelleText"/>
                <w:rFonts w:ascii="Times New Roman" w:hAnsi="Times New Roman"/>
                <w:sz w:val="24"/>
              </w:rPr>
              <w:t>458</w:t>
            </w:r>
            <w:r>
              <w:rPr>
                <w:rStyle w:val="FormatvorlageInstructionsTabelleText"/>
                <w:rFonts w:ascii="Times New Roman" w:hAnsi="Times New Roman"/>
                <w:sz w:val="24"/>
              </w:rPr>
              <w:t xml:space="preserve"> du CRR ou des actes délégués adoptés en ve</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tu de l’article </w:t>
            </w:r>
            <w:r w:rsidRPr="000D1548">
              <w:rPr>
                <w:rStyle w:val="FormatvorlageInstructionsTabelleText"/>
                <w:rFonts w:ascii="Times New Roman" w:hAnsi="Times New Roman"/>
                <w:sz w:val="24"/>
              </w:rPr>
              <w:t>459</w:t>
            </w:r>
            <w:r>
              <w:rPr>
                <w:rStyle w:val="FormatvorlageInstructionsTabelleText"/>
                <w:rFonts w:ascii="Times New Roman" w:hAnsi="Times New Roman"/>
                <w:sz w:val="24"/>
              </w:rPr>
              <w:t xml:space="preserve">, point b), du CRR. </w:t>
            </w:r>
          </w:p>
          <w:p w:rsidR="00B0191A" w:rsidRPr="00384ADB" w:rsidRDefault="002F4A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 </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lastRenderedPageBreak/>
              <w:t>020</w:t>
            </w:r>
          </w:p>
        </w:tc>
        <w:tc>
          <w:tcPr>
            <w:tcW w:w="7620" w:type="dxa"/>
          </w:tcPr>
          <w:p w:rsidR="00C83135"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Établissements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w:t>
            </w:r>
            <w:r w:rsidRPr="000D1548">
              <w:rPr>
                <w:rStyle w:val="FormatvorlageInstructionsTabelleText"/>
                <w:rFonts w:ascii="Times New Roman" w:hAnsi="Times New Roman"/>
                <w:sz w:val="24"/>
              </w:rPr>
              <w:t>395</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 xml:space="preserve">, article </w:t>
            </w:r>
            <w:r w:rsidRPr="000D1548">
              <w:rPr>
                <w:rStyle w:val="FormatvorlageInstructionsTabelleText"/>
                <w:rFonts w:ascii="Times New Roman" w:hAnsi="Times New Roman"/>
                <w:sz w:val="24"/>
              </w:rPr>
              <w:t>458</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2</w:t>
            </w:r>
            <w:r>
              <w:rPr>
                <w:rStyle w:val="FormatvorlageInstructionsTabelleText"/>
                <w:rFonts w:ascii="Times New Roman" w:hAnsi="Times New Roman"/>
                <w:sz w:val="24"/>
              </w:rPr>
              <w:t xml:space="preserve">, point d) ii), article </w:t>
            </w:r>
            <w:r w:rsidRPr="000D1548">
              <w:rPr>
                <w:rStyle w:val="FormatvorlageInstructionsTabelleText"/>
                <w:rFonts w:ascii="Times New Roman" w:hAnsi="Times New Roman"/>
                <w:sz w:val="24"/>
              </w:rPr>
              <w:t>458</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10</w:t>
            </w:r>
            <w:r>
              <w:rPr>
                <w:rStyle w:val="FormatvorlageInstructionsTabelleText"/>
                <w:rFonts w:ascii="Times New Roman" w:hAnsi="Times New Roman"/>
                <w:sz w:val="24"/>
              </w:rPr>
              <w:t xml:space="preserve">, et article </w:t>
            </w:r>
            <w:r w:rsidRPr="000D1548">
              <w:rPr>
                <w:rStyle w:val="FormatvorlageInstructionsTabelleText"/>
                <w:rFonts w:ascii="Times New Roman" w:hAnsi="Times New Roman"/>
                <w:sz w:val="24"/>
              </w:rPr>
              <w:t>459</w:t>
            </w:r>
            <w:r>
              <w:rPr>
                <w:rStyle w:val="FormatvorlageInstructionsTabelleText"/>
                <w:rFonts w:ascii="Times New Roman" w:hAnsi="Times New Roman"/>
                <w:sz w:val="24"/>
              </w:rPr>
              <w:t>, point b), du CRR.</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 la limite applicable pour les contreparties qui sont des établi</w:t>
            </w:r>
            <w:r>
              <w:rPr>
                <w:rStyle w:val="FormatvorlageInstructionsTabelleText"/>
                <w:rFonts w:ascii="Times New Roman" w:hAnsi="Times New Roman"/>
                <w:sz w:val="24"/>
              </w:rPr>
              <w:t>s</w:t>
            </w:r>
            <w:r>
              <w:rPr>
                <w:rStyle w:val="FormatvorlageInstructionsTabelleText"/>
                <w:rFonts w:ascii="Times New Roman" w:hAnsi="Times New Roman"/>
                <w:sz w:val="24"/>
              </w:rPr>
              <w:t xml:space="preserve">sements est déclaré. Conformément à l’article </w:t>
            </w:r>
            <w:r w:rsidRPr="000D1548">
              <w:rPr>
                <w:rStyle w:val="FormatvorlageInstructionsTabelleText"/>
                <w:rFonts w:ascii="Times New Roman" w:hAnsi="Times New Roman"/>
                <w:sz w:val="24"/>
              </w:rPr>
              <w:t>395</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 du CRR, ce montant est fixé comme suit:</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 xml:space="preserve">si le montant de </w:t>
            </w:r>
            <w:r w:rsidRPr="000D1548">
              <w:rPr>
                <w:rStyle w:val="FormatvorlageInstructionsTabelleText"/>
                <w:rFonts w:ascii="Times New Roman" w:hAnsi="Times New Roman"/>
                <w:sz w:val="24"/>
              </w:rPr>
              <w:t>25</w:t>
            </w:r>
            <w:r>
              <w:rPr>
                <w:rStyle w:val="FormatvorlageInstructionsTabelleText"/>
                <w:rFonts w:ascii="Times New Roman" w:hAnsi="Times New Roman"/>
                <w:sz w:val="24"/>
              </w:rPr>
              <w:t xml:space="preserve"> % des fonds propres éligibles excède </w:t>
            </w:r>
            <w:r w:rsidRPr="000D1548">
              <w:rPr>
                <w:rStyle w:val="FormatvorlageInstructionsTabelleText"/>
                <w:rFonts w:ascii="Times New Roman" w:hAnsi="Times New Roman"/>
                <w:sz w:val="24"/>
              </w:rPr>
              <w:t>150</w:t>
            </w:r>
            <w:r>
              <w:rPr>
                <w:rStyle w:val="FormatvorlageInstructionsTabelleText"/>
                <w:rFonts w:ascii="Times New Roman" w:hAnsi="Times New Roman"/>
                <w:sz w:val="24"/>
              </w:rPr>
              <w:t xml:space="preserve"> mi</w:t>
            </w:r>
            <w:r>
              <w:rPr>
                <w:rStyle w:val="FormatvorlageInstructionsTabelleText"/>
                <w:rFonts w:ascii="Times New Roman" w:hAnsi="Times New Roman"/>
                <w:sz w:val="24"/>
              </w:rPr>
              <w:t>l</w:t>
            </w:r>
            <w:r>
              <w:rPr>
                <w:rStyle w:val="FormatvorlageInstructionsTabelleText"/>
                <w:rFonts w:ascii="Times New Roman" w:hAnsi="Times New Roman"/>
                <w:sz w:val="24"/>
              </w:rPr>
              <w:t xml:space="preserve">lions d’EUR (ou une limite inférieure à </w:t>
            </w:r>
            <w:r w:rsidRPr="000D1548">
              <w:rPr>
                <w:rStyle w:val="FormatvorlageInstructionsTabelleText"/>
                <w:rFonts w:ascii="Times New Roman" w:hAnsi="Times New Roman"/>
                <w:sz w:val="24"/>
              </w:rPr>
              <w:t>150</w:t>
            </w:r>
            <w:r>
              <w:rPr>
                <w:rStyle w:val="FormatvorlageInstructionsTabelleText"/>
                <w:rFonts w:ascii="Times New Roman" w:hAnsi="Times New Roman"/>
                <w:sz w:val="24"/>
              </w:rPr>
              <w:t xml:space="preserve"> millions d’EUR fixée par l’autorité compétente en vertu de l’article </w:t>
            </w:r>
            <w:r w:rsidRPr="000D1548">
              <w:rPr>
                <w:rStyle w:val="FormatvorlageInstructionsTabelleText"/>
                <w:rFonts w:ascii="Times New Roman" w:hAnsi="Times New Roman"/>
                <w:sz w:val="24"/>
              </w:rPr>
              <w:t>395</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 tro</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sième alinéa, du CRR), </w:t>
            </w:r>
            <w:r w:rsidRPr="000D1548">
              <w:rPr>
                <w:rStyle w:val="FormatvorlageInstructionsTabelleText"/>
                <w:rFonts w:ascii="Times New Roman" w:hAnsi="Times New Roman"/>
                <w:sz w:val="24"/>
              </w:rPr>
              <w:t>25</w:t>
            </w:r>
            <w:r>
              <w:rPr>
                <w:rStyle w:val="FormatvorlageInstructionsTabelleText"/>
                <w:rFonts w:ascii="Times New Roman" w:hAnsi="Times New Roman"/>
                <w:sz w:val="24"/>
              </w:rPr>
              <w:t> % des fonds propres éligibles sont décl</w:t>
            </w:r>
            <w:r>
              <w:rPr>
                <w:rStyle w:val="FormatvorlageInstructionsTabelleText"/>
                <w:rFonts w:ascii="Times New Roman" w:hAnsi="Times New Roman"/>
                <w:sz w:val="24"/>
              </w:rPr>
              <w:t>a</w:t>
            </w:r>
            <w:r>
              <w:rPr>
                <w:rStyle w:val="FormatvorlageInstructionsTabelleText"/>
                <w:rFonts w:ascii="Times New Roman" w:hAnsi="Times New Roman"/>
                <w:sz w:val="24"/>
              </w:rPr>
              <w:t>rés;</w:t>
            </w:r>
          </w:p>
          <w:p w:rsidR="00704405" w:rsidRPr="00384ADB" w:rsidRDefault="00704405">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 xml:space="preserve">si le montant de </w:t>
            </w:r>
            <w:r w:rsidRPr="000D1548">
              <w:rPr>
                <w:rStyle w:val="FormatvorlageInstructionsTabelleText"/>
                <w:rFonts w:ascii="Times New Roman" w:hAnsi="Times New Roman"/>
                <w:sz w:val="24"/>
              </w:rPr>
              <w:t>150</w:t>
            </w:r>
            <w:r>
              <w:rPr>
                <w:rStyle w:val="FormatvorlageInstructionsTabelleText"/>
                <w:rFonts w:ascii="Times New Roman" w:hAnsi="Times New Roman"/>
                <w:sz w:val="24"/>
              </w:rPr>
              <w:t xml:space="preserve"> millions d’EUR (ou une limite inférieure fixée par l’autorité compétente conformément à l’article </w:t>
            </w:r>
            <w:r w:rsidRPr="000D1548">
              <w:rPr>
                <w:rStyle w:val="FormatvorlageInstructionsTabelleText"/>
                <w:rFonts w:ascii="Times New Roman" w:hAnsi="Times New Roman"/>
                <w:sz w:val="24"/>
              </w:rPr>
              <w:t>395</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 xml:space="preserve">, troisième alinéa, du CRR) est supérieur à </w:t>
            </w:r>
            <w:r w:rsidRPr="000D1548">
              <w:rPr>
                <w:rStyle w:val="FormatvorlageInstructionsTabelleText"/>
                <w:rFonts w:ascii="Times New Roman" w:hAnsi="Times New Roman"/>
                <w:sz w:val="24"/>
              </w:rPr>
              <w:t>25</w:t>
            </w:r>
            <w:r>
              <w:rPr>
                <w:rStyle w:val="FormatvorlageInstructionsTabelleText"/>
                <w:rFonts w:ascii="Times New Roman" w:hAnsi="Times New Roman"/>
                <w:sz w:val="24"/>
              </w:rPr>
              <w:t xml:space="preserve"> % des fonds propres éligibles de l’établissement, le montant de </w:t>
            </w:r>
            <w:r w:rsidRPr="000D1548">
              <w:rPr>
                <w:rStyle w:val="FormatvorlageInstructionsTabelleText"/>
                <w:rFonts w:ascii="Times New Roman" w:hAnsi="Times New Roman"/>
                <w:sz w:val="24"/>
              </w:rPr>
              <w:t>150</w:t>
            </w:r>
            <w:r>
              <w:rPr>
                <w:rStyle w:val="FormatvorlageInstructionsTabelleText"/>
                <w:rFonts w:ascii="Times New Roman" w:hAnsi="Times New Roman"/>
                <w:sz w:val="24"/>
              </w:rPr>
              <w:t xml:space="preserve"> millions d’EUR (ou la limite inférieure fixée par l’autorité compétente) est déclaré. Si l’établissement a déterminé une limite inférieure concernant ses fonds propres éligibles, requise par l’article </w:t>
            </w:r>
            <w:r w:rsidRPr="000D1548">
              <w:rPr>
                <w:rStyle w:val="FormatvorlageInstructionsTabelleText"/>
                <w:rFonts w:ascii="Times New Roman" w:hAnsi="Times New Roman"/>
                <w:sz w:val="24"/>
              </w:rPr>
              <w:t>395</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 de</w:t>
            </w:r>
            <w:r>
              <w:rPr>
                <w:rStyle w:val="FormatvorlageInstructionsTabelleText"/>
                <w:rFonts w:ascii="Times New Roman" w:hAnsi="Times New Roman"/>
                <w:sz w:val="24"/>
              </w:rPr>
              <w:t>u</w:t>
            </w:r>
            <w:r>
              <w:rPr>
                <w:rStyle w:val="FormatvorlageInstructionsTabelleText"/>
                <w:rFonts w:ascii="Times New Roman" w:hAnsi="Times New Roman"/>
                <w:sz w:val="24"/>
              </w:rPr>
              <w:t xml:space="preserve">xième alinéa, du CRR, cette limite est déclarée.  </w:t>
            </w:r>
          </w:p>
          <w:p w:rsidR="007F3F93" w:rsidRPr="00384ADB" w:rsidRDefault="007F3F93">
            <w:pPr>
              <w:pStyle w:val="InstructionsText"/>
              <w:rPr>
                <w:rStyle w:val="FormatvorlageInstructionsTabelleText"/>
                <w:rFonts w:ascii="Times New Roman" w:hAnsi="Times New Roman"/>
                <w:sz w:val="24"/>
              </w:rPr>
            </w:pPr>
          </w:p>
          <w:p w:rsidR="007F3F93"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Ces limites peuvent être plus strictes en cas d’application de mesures nati</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nales conformément à l’article </w:t>
            </w:r>
            <w:r w:rsidRPr="000D1548">
              <w:rPr>
                <w:rStyle w:val="FormatvorlageInstructionsTabelleText"/>
                <w:rFonts w:ascii="Times New Roman" w:hAnsi="Times New Roman"/>
                <w:sz w:val="24"/>
              </w:rPr>
              <w:t>395</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6</w:t>
            </w:r>
            <w:r>
              <w:rPr>
                <w:rStyle w:val="FormatvorlageInstructionsTabelleText"/>
                <w:rFonts w:ascii="Times New Roman" w:hAnsi="Times New Roman"/>
                <w:sz w:val="24"/>
              </w:rPr>
              <w:t xml:space="preserve">, ou à l’article </w:t>
            </w:r>
            <w:r w:rsidRPr="000D1548">
              <w:rPr>
                <w:rStyle w:val="FormatvorlageInstructionsTabelleText"/>
                <w:rFonts w:ascii="Times New Roman" w:hAnsi="Times New Roman"/>
                <w:sz w:val="24"/>
              </w:rPr>
              <w:t>458</w:t>
            </w:r>
            <w:r>
              <w:rPr>
                <w:rStyle w:val="FormatvorlageInstructionsTabelleText"/>
                <w:rFonts w:ascii="Times New Roman" w:hAnsi="Times New Roman"/>
                <w:sz w:val="24"/>
              </w:rPr>
              <w:t xml:space="preserve"> du CRR ou aux actes délégués adoptés en vertu de l’article </w:t>
            </w:r>
            <w:r w:rsidRPr="000D1548">
              <w:rPr>
                <w:rStyle w:val="FormatvorlageInstructionsTabelleText"/>
                <w:rFonts w:ascii="Times New Roman" w:hAnsi="Times New Roman"/>
                <w:sz w:val="24"/>
              </w:rPr>
              <w:t>459</w:t>
            </w:r>
            <w:r>
              <w:rPr>
                <w:rStyle w:val="FormatvorlageInstructionsTabelleText"/>
                <w:rFonts w:ascii="Times New Roman" w:hAnsi="Times New Roman"/>
                <w:sz w:val="24"/>
              </w:rPr>
              <w:t>, point b), du CRR.</w:t>
            </w:r>
          </w:p>
          <w:p w:rsidR="00B0191A" w:rsidRPr="00384ADB" w:rsidRDefault="00B0191A">
            <w:pPr>
              <w:pStyle w:val="InstructionsText"/>
              <w:rPr>
                <w:rStyle w:val="FormatvorlageInstructionsTabelleText"/>
                <w:rFonts w:ascii="Times New Roman" w:hAnsi="Times New Roman"/>
                <w:sz w:val="24"/>
              </w:rPr>
            </w:pP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030</w:t>
            </w:r>
          </w:p>
        </w:tc>
        <w:tc>
          <w:tcPr>
            <w:tcW w:w="7620" w:type="dxa"/>
          </w:tcPr>
          <w:p w:rsidR="00702E1B"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Établissements, en %</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w:t>
            </w:r>
            <w:r w:rsidRPr="000D1548">
              <w:rPr>
                <w:rStyle w:val="FormatvorlageInstructionsTabelleText"/>
                <w:rFonts w:ascii="Times New Roman" w:hAnsi="Times New Roman"/>
                <w:sz w:val="24"/>
              </w:rPr>
              <w:t>395</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 xml:space="preserve">, et article </w:t>
            </w:r>
            <w:r w:rsidRPr="000D1548">
              <w:rPr>
                <w:rStyle w:val="FormatvorlageInstructionsTabelleText"/>
                <w:rFonts w:ascii="Times New Roman" w:hAnsi="Times New Roman"/>
                <w:sz w:val="24"/>
              </w:rPr>
              <w:t>459</w:t>
            </w:r>
            <w:r>
              <w:rPr>
                <w:rStyle w:val="FormatvorlageInstructionsTabelleText"/>
                <w:rFonts w:ascii="Times New Roman" w:hAnsi="Times New Roman"/>
                <w:sz w:val="24"/>
              </w:rPr>
              <w:t>, point a), du CRR.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586D8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qui sera déclaré est la limite absolue (déclarée à la ligne </w:t>
            </w:r>
            <w:r w:rsidRPr="000D1548">
              <w:rPr>
                <w:rStyle w:val="FormatvorlageInstructionsTabelleText"/>
                <w:rFonts w:ascii="Times New Roman" w:hAnsi="Times New Roman"/>
                <w:sz w:val="24"/>
              </w:rPr>
              <w:t>020</w:t>
            </w:r>
            <w:r>
              <w:rPr>
                <w:rStyle w:val="FormatvorlageInstructionsTabelleText"/>
                <w:rFonts w:ascii="Times New Roman" w:hAnsi="Times New Roman"/>
                <w:sz w:val="24"/>
              </w:rPr>
              <w:t>) exprimée en pourcentage des fonds propres éligibles.</w:t>
            </w:r>
          </w:p>
          <w:p w:rsidR="00B0191A" w:rsidRPr="00384ADB" w:rsidRDefault="00B0191A">
            <w:pPr>
              <w:pStyle w:val="InstructionsText"/>
              <w:rPr>
                <w:rStyle w:val="FormatvorlageInstructionsTabelleText"/>
                <w:rFonts w:ascii="Times New Roman" w:hAnsi="Times New Roman"/>
                <w:b/>
                <w:sz w:val="24"/>
              </w:rPr>
            </w:pPr>
          </w:p>
        </w:tc>
      </w:tr>
    </w:tbl>
    <w:p w:rsidR="00C83135" w:rsidRPr="00384ADB" w:rsidRDefault="00C83135" w:rsidP="0039317F">
      <w:pPr>
        <w:pStyle w:val="InstructionsText"/>
      </w:pPr>
    </w:p>
    <w:p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24" w:name="_Toc393461959"/>
      <w:bookmarkStart w:id="25" w:name="_Toc522191012"/>
      <w:r>
        <w:rPr>
          <w:rFonts w:ascii="Times New Roman" w:hAnsi="Times New Roman"/>
          <w:b/>
          <w:sz w:val="24"/>
          <w:u w:val="none"/>
        </w:rPr>
        <w:t xml:space="preserve">C </w:t>
      </w:r>
      <w:r w:rsidRPr="000D1548">
        <w:rPr>
          <w:rFonts w:ascii="Times New Roman" w:hAnsi="Times New Roman"/>
          <w:b/>
          <w:sz w:val="24"/>
          <w:u w:val="none"/>
        </w:rPr>
        <w:t>27</w:t>
      </w:r>
      <w:r>
        <w:rPr>
          <w:rFonts w:ascii="Times New Roman" w:hAnsi="Times New Roman"/>
          <w:b/>
          <w:sz w:val="24"/>
          <w:u w:val="none"/>
        </w:rPr>
        <w:t>.</w:t>
      </w:r>
      <w:r w:rsidRPr="000D1548">
        <w:rPr>
          <w:rFonts w:ascii="Times New Roman" w:hAnsi="Times New Roman"/>
          <w:b/>
          <w:sz w:val="24"/>
          <w:u w:val="none"/>
        </w:rPr>
        <w:t>00</w:t>
      </w:r>
      <w:r>
        <w:rPr>
          <w:rFonts w:ascii="Times New Roman" w:hAnsi="Times New Roman"/>
          <w:b/>
          <w:sz w:val="24"/>
          <w:u w:val="none"/>
        </w:rPr>
        <w:t xml:space="preserve"> - Identification de la contrepartie (LE</w:t>
      </w:r>
      <w:r w:rsidRPr="000D1548">
        <w:rPr>
          <w:rFonts w:ascii="Times New Roman" w:hAnsi="Times New Roman"/>
          <w:b/>
          <w:sz w:val="24"/>
          <w:u w:val="none"/>
        </w:rPr>
        <w:t>1</w:t>
      </w:r>
      <w:r>
        <w:rPr>
          <w:rFonts w:ascii="Times New Roman" w:hAnsi="Times New Roman"/>
          <w:b/>
          <w:sz w:val="24"/>
          <w:u w:val="none"/>
        </w:rPr>
        <w:t>)</w:t>
      </w:r>
      <w:bookmarkEnd w:id="24"/>
      <w:bookmarkEnd w:id="25"/>
    </w:p>
    <w:p w:rsidR="00634B45" w:rsidRPr="00384ADB" w:rsidRDefault="00634B45" w:rsidP="00C52CE2">
      <w:pPr>
        <w:pStyle w:val="Instructionsberschrift2"/>
        <w:numPr>
          <w:ilvl w:val="1"/>
          <w:numId w:val="22"/>
        </w:numPr>
        <w:rPr>
          <w:rFonts w:ascii="Times New Roman" w:hAnsi="Times New Roman" w:cs="Times New Roman"/>
          <w:sz w:val="24"/>
        </w:rPr>
      </w:pPr>
      <w:bookmarkStart w:id="26" w:name="_Toc393461960"/>
      <w:bookmarkStart w:id="27" w:name="_Toc522191013"/>
      <w:r>
        <w:rPr>
          <w:rFonts w:ascii="Times New Roman" w:hAnsi="Times New Roman"/>
          <w:sz w:val="24"/>
        </w:rPr>
        <w:t>Instructions concernant certaines colonnes</w:t>
      </w:r>
      <w:bookmarkEnd w:id="26"/>
      <w:bookmarkEnd w:id="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rsidTr="00634B45">
        <w:tc>
          <w:tcPr>
            <w:tcW w:w="1418" w:type="dxa"/>
            <w:shd w:val="clear" w:color="auto" w:fill="D9D9D9"/>
          </w:tcPr>
          <w:p w:rsidR="00634B45" w:rsidRPr="00384ADB" w:rsidRDefault="00634B4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Colonne</w:t>
            </w:r>
          </w:p>
        </w:tc>
        <w:tc>
          <w:tcPr>
            <w:tcW w:w="7620" w:type="dxa"/>
            <w:shd w:val="clear" w:color="auto" w:fill="D9D9D9"/>
          </w:tcPr>
          <w:p w:rsidR="00634B45" w:rsidRPr="00384ADB" w:rsidRDefault="00634B4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Références juridiques et instructions</w:t>
            </w:r>
          </w:p>
        </w:tc>
      </w:tr>
      <w:tr w:rsidR="00634B45" w:rsidRPr="00384ADB" w:rsidTr="00634B45">
        <w:tc>
          <w:tcPr>
            <w:tcW w:w="1418" w:type="dxa"/>
          </w:tcPr>
          <w:p w:rsidR="00634B45" w:rsidRPr="00384ADB" w:rsidRDefault="00634B45"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010</w:t>
            </w:r>
            <w:r>
              <w:rPr>
                <w:rStyle w:val="FormatvorlageInstructionsTabelleText"/>
                <w:rFonts w:ascii="Times New Roman" w:hAnsi="Times New Roman"/>
                <w:b/>
                <w:sz w:val="24"/>
              </w:rPr>
              <w:t>-</w:t>
            </w:r>
            <w:r w:rsidRPr="000D1548">
              <w:rPr>
                <w:rStyle w:val="FormatvorlageInstructionsTabelleText"/>
                <w:rFonts w:ascii="Times New Roman" w:hAnsi="Times New Roman"/>
                <w:b/>
                <w:sz w:val="24"/>
              </w:rPr>
              <w:t>070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Identification de la contrepartie:</w:t>
            </w:r>
          </w:p>
          <w:p w:rsidR="00B0191A" w:rsidRPr="0039317F" w:rsidRDefault="00B0191A" w:rsidP="0039317F">
            <w:pPr>
              <w:pStyle w:val="InstructionsText"/>
              <w:rPr>
                <w:rStyle w:val="FormatvorlageInstructionsTabelleText"/>
                <w:rFonts w:ascii="Times New Roman" w:hAnsi="Times New Roman"/>
                <w:b/>
                <w:sz w:val="24"/>
              </w:rPr>
            </w:pPr>
          </w:p>
          <w:p w:rsidR="00290EFB" w:rsidRPr="0039317F" w:rsidRDefault="0031054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Les établissements déclarent l’identification de toutes les contreparties pour lesquelles des informations sont communiquées dans l’un des modèles C </w:t>
            </w:r>
            <w:r w:rsidRPr="000D1548">
              <w:rPr>
                <w:rStyle w:val="FormatvorlageInstructionsTabelleText"/>
                <w:rFonts w:ascii="Times New Roman" w:hAnsi="Times New Roman"/>
                <w:sz w:val="24"/>
              </w:rPr>
              <w:t>28</w:t>
            </w:r>
            <w:r>
              <w:rPr>
                <w:rStyle w:val="FormatvorlageInstructionsTabelleText"/>
                <w:rFonts w:ascii="Times New Roman" w:hAnsi="Times New Roman"/>
                <w:sz w:val="24"/>
              </w:rPr>
              <w:t>.</w:t>
            </w:r>
            <w:r w:rsidRPr="000D1548">
              <w:rPr>
                <w:rStyle w:val="FormatvorlageInstructionsTabelleText"/>
                <w:rFonts w:ascii="Times New Roman" w:hAnsi="Times New Roman"/>
                <w:sz w:val="24"/>
              </w:rPr>
              <w:t>00</w:t>
            </w:r>
            <w:r>
              <w:rPr>
                <w:rStyle w:val="FormatvorlageInstructionsTabelleText"/>
                <w:rFonts w:ascii="Times New Roman" w:hAnsi="Times New Roman"/>
                <w:sz w:val="24"/>
              </w:rPr>
              <w:t xml:space="preserve"> à C </w:t>
            </w:r>
            <w:r w:rsidRPr="000D1548">
              <w:rPr>
                <w:rStyle w:val="FormatvorlageInstructionsTabelleText"/>
                <w:rFonts w:ascii="Times New Roman" w:hAnsi="Times New Roman"/>
                <w:sz w:val="24"/>
              </w:rPr>
              <w:t>31</w:t>
            </w:r>
            <w:r>
              <w:rPr>
                <w:rStyle w:val="FormatvorlageInstructionsTabelleText"/>
                <w:rFonts w:ascii="Times New Roman" w:hAnsi="Times New Roman"/>
                <w:sz w:val="24"/>
              </w:rPr>
              <w:t>.</w:t>
            </w:r>
            <w:r w:rsidRPr="000D1548">
              <w:rPr>
                <w:rStyle w:val="FormatvorlageInstructionsTabelleText"/>
                <w:rFonts w:ascii="Times New Roman" w:hAnsi="Times New Roman"/>
                <w:sz w:val="24"/>
              </w:rPr>
              <w:t>00</w:t>
            </w:r>
            <w:r>
              <w:rPr>
                <w:rStyle w:val="FormatvorlageInstructionsTabelleText"/>
                <w:rFonts w:ascii="Times New Roman" w:hAnsi="Times New Roman"/>
                <w:sz w:val="24"/>
              </w:rPr>
              <w:t>. L’identification du groupe de clients liés n’est pas déclarée, à moins que le système national de déclaration ne prévoie un code unique pour le groupe de clients liés.</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Conformément à l’article </w:t>
            </w:r>
            <w:r w:rsidRPr="000D1548">
              <w:rPr>
                <w:rStyle w:val="FormatvorlageInstructionsTabelleText"/>
                <w:rFonts w:ascii="Times New Roman" w:hAnsi="Times New Roman"/>
                <w:sz w:val="24"/>
              </w:rPr>
              <w:t>394</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 point a), du CRR, les établi</w:t>
            </w:r>
            <w:r>
              <w:rPr>
                <w:rStyle w:val="FormatvorlageInstructionsTabelleText"/>
                <w:rFonts w:ascii="Times New Roman" w:hAnsi="Times New Roman"/>
                <w:sz w:val="24"/>
              </w:rPr>
              <w:t>s</w:t>
            </w:r>
            <w:r>
              <w:rPr>
                <w:rStyle w:val="FormatvorlageInstructionsTabelleText"/>
                <w:rFonts w:ascii="Times New Roman" w:hAnsi="Times New Roman"/>
                <w:sz w:val="24"/>
              </w:rPr>
              <w:t xml:space="preserve">sements déclarent l’identification de toute contrepartie à l’égard de laquelle ils sont exposés à un grand risque, tel que défini à l’article </w:t>
            </w:r>
            <w:r w:rsidRPr="000D1548">
              <w:rPr>
                <w:rStyle w:val="FormatvorlageInstructionsTabelleText"/>
                <w:rFonts w:ascii="Times New Roman" w:hAnsi="Times New Roman"/>
                <w:sz w:val="24"/>
              </w:rPr>
              <w:t>392</w:t>
            </w:r>
            <w:r>
              <w:rPr>
                <w:rStyle w:val="FormatvorlageInstructionsTabelleText"/>
                <w:rFonts w:ascii="Times New Roman" w:hAnsi="Times New Roman"/>
                <w:sz w:val="24"/>
              </w:rPr>
              <w:t xml:space="preserve"> du CRR. </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Conformément à l’article </w:t>
            </w:r>
            <w:r w:rsidRPr="000D1548">
              <w:rPr>
                <w:rStyle w:val="FormatvorlageInstructionsTabelleText"/>
                <w:rFonts w:ascii="Times New Roman" w:hAnsi="Times New Roman"/>
                <w:sz w:val="24"/>
              </w:rPr>
              <w:t>394</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2</w:t>
            </w:r>
            <w:r>
              <w:rPr>
                <w:rStyle w:val="FormatvorlageInstructionsTabelleText"/>
                <w:rFonts w:ascii="Times New Roman" w:hAnsi="Times New Roman"/>
                <w:sz w:val="24"/>
              </w:rPr>
              <w:t>, point a), du CRR, les établi</w:t>
            </w:r>
            <w:r>
              <w:rPr>
                <w:rStyle w:val="FormatvorlageInstructionsTabelleText"/>
                <w:rFonts w:ascii="Times New Roman" w:hAnsi="Times New Roman"/>
                <w:sz w:val="24"/>
              </w:rPr>
              <w:t>s</w:t>
            </w:r>
            <w:r>
              <w:rPr>
                <w:rStyle w:val="FormatvorlageInstructionsTabelleText"/>
                <w:rFonts w:ascii="Times New Roman" w:hAnsi="Times New Roman"/>
                <w:sz w:val="24"/>
              </w:rPr>
              <w:t>sements déclarent l’identification de la contrepartie à l’égard de laquelle ils sont exposés aux risques les plus grands (lorsque la contrepartie est un ét</w:t>
            </w:r>
            <w:r>
              <w:rPr>
                <w:rStyle w:val="FormatvorlageInstructionsTabelleText"/>
                <w:rFonts w:ascii="Times New Roman" w:hAnsi="Times New Roman"/>
                <w:sz w:val="24"/>
              </w:rPr>
              <w:t>a</w:t>
            </w:r>
            <w:r>
              <w:rPr>
                <w:rStyle w:val="FormatvorlageInstructionsTabelleText"/>
                <w:rFonts w:ascii="Times New Roman" w:hAnsi="Times New Roman"/>
                <w:sz w:val="24"/>
              </w:rPr>
              <w:t>blissement ou une entité du secteur financier non réglementée).</w:t>
            </w:r>
          </w:p>
          <w:p w:rsidR="00B0191A" w:rsidRPr="00384ADB" w:rsidRDefault="00B0191A">
            <w:pPr>
              <w:pStyle w:val="InstructionsText"/>
              <w:rPr>
                <w:rStyle w:val="InstructionsTabelleberschrift"/>
                <w:rFonts w:ascii="Times New Roman" w:hAnsi="Times New Roman"/>
                <w:b w:val="0"/>
                <w:sz w:val="24"/>
                <w:u w:val="none"/>
              </w:rPr>
            </w:pPr>
          </w:p>
        </w:tc>
      </w:tr>
      <w:tr w:rsidR="00CA42A9" w:rsidRPr="00384ADB" w:rsidTr="00186D4E">
        <w:trPr>
          <w:trHeight w:val="992"/>
        </w:trPr>
        <w:tc>
          <w:tcPr>
            <w:tcW w:w="1418" w:type="dxa"/>
          </w:tcPr>
          <w:p w:rsidR="00CA42A9"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lastRenderedPageBreak/>
              <w:t>010</w:t>
            </w:r>
          </w:p>
        </w:tc>
        <w:tc>
          <w:tcPr>
            <w:tcW w:w="7620" w:type="dxa"/>
          </w:tcPr>
          <w:p w:rsidR="00CA42A9" w:rsidRPr="00384ADB" w:rsidRDefault="00CA42A9"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rsidR="00B0191A" w:rsidRPr="00384ADB" w:rsidRDefault="00B0191A" w:rsidP="0039317F">
            <w:pPr>
              <w:pStyle w:val="InstructionsText"/>
              <w:rPr>
                <w:rStyle w:val="FormatvorlageInstructionsTabelleText"/>
                <w:rFonts w:ascii="Times New Roman" w:hAnsi="Times New Roman"/>
                <w:sz w:val="24"/>
              </w:rPr>
            </w:pPr>
          </w:p>
          <w:p w:rsidR="00296D72" w:rsidRPr="00384ADB" w:rsidRDefault="00296D72"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code est un identifiant de la ligne, et doit être propre à chaque ligne du tableau.</w:t>
            </w:r>
          </w:p>
          <w:p w:rsidR="00296D72" w:rsidRDefault="00296D72">
            <w:pPr>
              <w:pStyle w:val="InstructionsText"/>
              <w:rPr>
                <w:rStyle w:val="FormatvorlageInstructionsTabelleText"/>
                <w:rFonts w:ascii="Times New Roman" w:hAnsi="Times New Roman"/>
                <w:sz w:val="24"/>
              </w:rPr>
            </w:pPr>
          </w:p>
          <w:p w:rsidR="00290EFB" w:rsidRPr="00384ADB" w:rsidRDefault="00290EF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code est utilisé pour identifier chaque contrepartie. Cependant, l’objectif de cette colonne est de lier l’identification de la contrepartie qui figure dans le modèle C </w:t>
            </w:r>
            <w:r w:rsidRPr="000D1548">
              <w:rPr>
                <w:rStyle w:val="FormatvorlageInstructionsTabelleText"/>
                <w:rFonts w:ascii="Times New Roman" w:hAnsi="Times New Roman"/>
                <w:sz w:val="24"/>
              </w:rPr>
              <w:t>27</w:t>
            </w:r>
            <w:r>
              <w:rPr>
                <w:rStyle w:val="FormatvorlageInstructionsTabelleText"/>
                <w:rFonts w:ascii="Times New Roman" w:hAnsi="Times New Roman"/>
                <w:sz w:val="24"/>
              </w:rPr>
              <w:t>.</w:t>
            </w:r>
            <w:r w:rsidRPr="000D1548">
              <w:rPr>
                <w:rStyle w:val="FormatvorlageInstructionsTabelleText"/>
                <w:rFonts w:ascii="Times New Roman" w:hAnsi="Times New Roman"/>
                <w:sz w:val="24"/>
              </w:rPr>
              <w:t>00</w:t>
            </w:r>
            <w:r>
              <w:rPr>
                <w:rStyle w:val="FormatvorlageInstructionsTabelleText"/>
                <w:rFonts w:ascii="Times New Roman" w:hAnsi="Times New Roman"/>
                <w:sz w:val="24"/>
              </w:rPr>
              <w:t xml:space="preserve"> aux expositions déclarées dans les modèles C </w:t>
            </w:r>
            <w:r w:rsidRPr="000D1548">
              <w:rPr>
                <w:rStyle w:val="FormatvorlageInstructionsTabelleText"/>
                <w:rFonts w:ascii="Times New Roman" w:hAnsi="Times New Roman"/>
                <w:sz w:val="24"/>
              </w:rPr>
              <w:t>28</w:t>
            </w:r>
            <w:r>
              <w:rPr>
                <w:rStyle w:val="FormatvorlageInstructionsTabelleText"/>
                <w:rFonts w:ascii="Times New Roman" w:hAnsi="Times New Roman"/>
                <w:sz w:val="24"/>
              </w:rPr>
              <w:t>.</w:t>
            </w:r>
            <w:r w:rsidRPr="000D1548">
              <w:rPr>
                <w:rStyle w:val="FormatvorlageInstructionsTabelleText"/>
                <w:rFonts w:ascii="Times New Roman" w:hAnsi="Times New Roman"/>
                <w:sz w:val="24"/>
              </w:rPr>
              <w:t>00</w:t>
            </w:r>
            <w:r>
              <w:rPr>
                <w:rStyle w:val="FormatvorlageInstructionsTabelleText"/>
                <w:rFonts w:ascii="Times New Roman" w:hAnsi="Times New Roman"/>
                <w:sz w:val="24"/>
              </w:rPr>
              <w:t xml:space="preserve"> à C </w:t>
            </w:r>
            <w:r w:rsidRPr="000D1548">
              <w:rPr>
                <w:rStyle w:val="FormatvorlageInstructionsTabelleText"/>
                <w:rFonts w:ascii="Times New Roman" w:hAnsi="Times New Roman"/>
                <w:sz w:val="24"/>
              </w:rPr>
              <w:t>31</w:t>
            </w:r>
            <w:r>
              <w:rPr>
                <w:rStyle w:val="FormatvorlageInstructionsTabelleText"/>
                <w:rFonts w:ascii="Times New Roman" w:hAnsi="Times New Roman"/>
                <w:sz w:val="24"/>
              </w:rPr>
              <w:t>.</w:t>
            </w:r>
            <w:r w:rsidRPr="000D1548">
              <w:rPr>
                <w:rStyle w:val="FormatvorlageInstructionsTabelleText"/>
                <w:rFonts w:ascii="Times New Roman" w:hAnsi="Times New Roman"/>
                <w:sz w:val="24"/>
              </w:rPr>
              <w:t>00</w:t>
            </w:r>
            <w:r>
              <w:rPr>
                <w:rStyle w:val="FormatvorlageInstructionsTabelleText"/>
                <w:rFonts w:ascii="Times New Roman" w:hAnsi="Times New Roman"/>
                <w:sz w:val="24"/>
              </w:rPr>
              <w:t>. Le code du groupe de clients liés n’est pas déclaré, à moins que le système national de déclaration ne prévoie un code unique pour le groupe de clients liés. Les codes seront utilisés de manière coh</w:t>
            </w:r>
            <w:r>
              <w:rPr>
                <w:rStyle w:val="FormatvorlageInstructionsTabelleText"/>
                <w:rFonts w:ascii="Times New Roman" w:hAnsi="Times New Roman"/>
                <w:sz w:val="24"/>
              </w:rPr>
              <w:t>é</w:t>
            </w:r>
            <w:r>
              <w:rPr>
                <w:rStyle w:val="FormatvorlageInstructionsTabelleText"/>
                <w:rFonts w:ascii="Times New Roman" w:hAnsi="Times New Roman"/>
                <w:sz w:val="24"/>
              </w:rPr>
              <w:t>rente dans le temps.</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CA42A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composition du code dépend du système national de déclaration, à moins qu’une codification uniforme s’applique dans l’Union.</w:t>
            </w:r>
          </w:p>
          <w:p w:rsidR="00264B52" w:rsidRPr="00384ADB" w:rsidRDefault="00264B52">
            <w:pPr>
              <w:pStyle w:val="InstructionsText"/>
              <w:rPr>
                <w:rStyle w:val="InstructionsTabelleberschrift"/>
                <w:rFonts w:ascii="Times New Roman" w:hAnsi="Times New Roman"/>
                <w:sz w:val="24"/>
              </w:rPr>
            </w:pPr>
          </w:p>
        </w:tc>
      </w:tr>
      <w:tr w:rsidR="00634B45" w:rsidRPr="00384ADB" w:rsidTr="0039317F">
        <w:trPr>
          <w:trHeight w:val="60"/>
        </w:trPr>
        <w:tc>
          <w:tcPr>
            <w:tcW w:w="1418" w:type="dxa"/>
          </w:tcPr>
          <w:p w:rsidR="00634B45" w:rsidRPr="00384ADB" w:rsidRDefault="00634B45"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020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Nom</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634B45"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nom correspond au nom du groupe dès lors qu’un groupe de clients liés est déclaré. Dans tous les autres cas, il se rapporte à une seule contrepartie.</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un groupe de clients liés, le nom à déclarer est celui de l’entreprise mère. Il s’agira du nom commercial du groupe de clients liés si ce groupe n’a pas d’entreprise mère.</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030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 LEI</w:t>
            </w:r>
          </w:p>
          <w:p w:rsidR="00B0191A" w:rsidRPr="00384ADB" w:rsidRDefault="00B0191A" w:rsidP="0039317F">
            <w:pPr>
              <w:pStyle w:val="InstructionsText"/>
              <w:rPr>
                <w:rStyle w:val="InstructionsTabelleberschrif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 s’agit de l’identifiant d’entité juridique de la contrepartie. </w:t>
            </w:r>
          </w:p>
          <w:p w:rsidR="00B0191A" w:rsidRPr="00384ADB" w:rsidRDefault="00B0191A">
            <w:pPr>
              <w:pStyle w:val="InstructionsText"/>
              <w:rPr>
                <w:rStyle w:val="InstructionsTabelleberschrift"/>
                <w:rFonts w:ascii="Times New Roman" w:hAnsi="Times New Roman"/>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040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Résidence de la contrepartie</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8927C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code ISO </w:t>
            </w:r>
            <w:r w:rsidRPr="000D1548">
              <w:rPr>
                <w:rStyle w:val="FormatvorlageInstructionsTabelleText"/>
                <w:rFonts w:ascii="Times New Roman" w:hAnsi="Times New Roman"/>
                <w:sz w:val="24"/>
              </w:rPr>
              <w:t>3166</w:t>
            </w:r>
            <w:r>
              <w:rPr>
                <w:rStyle w:val="FormatvorlageInstructionsTabelleText"/>
                <w:rFonts w:ascii="Times New Roman" w:hAnsi="Times New Roman"/>
                <w:sz w:val="24"/>
              </w:rPr>
              <w:t>-</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-alpha-</w:t>
            </w:r>
            <w:r w:rsidRPr="000D1548">
              <w:rPr>
                <w:rStyle w:val="FormatvorlageInstructionsTabelleText"/>
                <w:rFonts w:ascii="Times New Roman" w:hAnsi="Times New Roman"/>
                <w:sz w:val="24"/>
              </w:rPr>
              <w:t>2</w:t>
            </w:r>
            <w:r>
              <w:rPr>
                <w:rStyle w:val="FormatvorlageInstructionsTabelleText"/>
                <w:rFonts w:ascii="Times New Roman" w:hAnsi="Times New Roman"/>
                <w:sz w:val="24"/>
              </w:rPr>
              <w:t xml:space="preserve"> du pays dans lequel la contrepartie a été const</w:t>
            </w:r>
            <w:r>
              <w:rPr>
                <w:rStyle w:val="FormatvorlageInstructionsTabelleText"/>
                <w:rFonts w:ascii="Times New Roman" w:hAnsi="Times New Roman"/>
                <w:sz w:val="24"/>
              </w:rPr>
              <w:t>i</w:t>
            </w:r>
            <w:r>
              <w:rPr>
                <w:rStyle w:val="FormatvorlageInstructionsTabelleText"/>
                <w:rFonts w:ascii="Times New Roman" w:hAnsi="Times New Roman"/>
                <w:sz w:val="24"/>
              </w:rPr>
              <w:t>tuée est utilisé (en ce compris les pseudo–codes ISO des organisations inte</w:t>
            </w:r>
            <w:r>
              <w:rPr>
                <w:rStyle w:val="FormatvorlageInstructionsTabelleText"/>
                <w:rFonts w:ascii="Times New Roman" w:hAnsi="Times New Roman"/>
                <w:sz w:val="24"/>
              </w:rPr>
              <w:t>r</w:t>
            </w:r>
            <w:r>
              <w:rPr>
                <w:rStyle w:val="FormatvorlageInstructionsTabelleText"/>
                <w:rFonts w:ascii="Times New Roman" w:hAnsi="Times New Roman"/>
                <w:sz w:val="24"/>
              </w:rPr>
              <w:t>nationales, disponibles dans la dernière édition du «Vademecum de la b</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lance des paiements»)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Aucune résidence n’apparaîtra pour les groupes de clients liés. </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lastRenderedPageBreak/>
              <w:t>050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Secteur de la contrepartie</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 secteur sera attribué à chaque contrepartie, sur la base des catégories de secteurs économiques FINREP:</w:t>
            </w:r>
          </w:p>
          <w:p w:rsidR="00B0191A" w:rsidRPr="00384ADB" w:rsidRDefault="00B0191A">
            <w:pPr>
              <w:pStyle w:val="InstructionsText"/>
              <w:rPr>
                <w:rStyle w:val="FormatvorlageInstructionsTabelleText"/>
                <w:rFonts w:ascii="Times New Roman" w:hAnsi="Times New Roman"/>
                <w:sz w:val="24"/>
              </w:rPr>
            </w:pP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banques centrales;</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w:t>
            </w:r>
            <w:r>
              <w:tab/>
            </w:r>
            <w:r>
              <w:rPr>
                <w:rStyle w:val="FormatvorlageInstructionsTabelleText"/>
                <w:rFonts w:ascii="Times New Roman" w:hAnsi="Times New Roman"/>
                <w:sz w:val="24"/>
              </w:rPr>
              <w:t>administrations publiques;</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w:t>
            </w:r>
            <w:r>
              <w:tab/>
            </w:r>
            <w:r>
              <w:rPr>
                <w:rStyle w:val="FormatvorlageInstructionsTabelleText"/>
                <w:rFonts w:ascii="Times New Roman" w:hAnsi="Times New Roman"/>
                <w:sz w:val="24"/>
              </w:rPr>
              <w:t>établissements de crédit;</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 xml:space="preserve">entreprises d’investissement au sens de l’article </w:t>
            </w:r>
            <w:r w:rsidRPr="000D154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 xml:space="preserve">, point </w:t>
            </w:r>
            <w:r w:rsidRPr="000D1548">
              <w:rPr>
                <w:rStyle w:val="FormatvorlageInstructionsTabelleText"/>
                <w:rFonts w:ascii="Times New Roman" w:hAnsi="Times New Roman"/>
                <w:sz w:val="24"/>
              </w:rPr>
              <w:t>2</w:t>
            </w:r>
            <w:r>
              <w:rPr>
                <w:rStyle w:val="FormatvorlageInstructionsTabelleText"/>
                <w:rFonts w:ascii="Times New Roman" w:hAnsi="Times New Roman"/>
                <w:sz w:val="24"/>
              </w:rPr>
              <w:t>), du CRR;</w:t>
            </w:r>
          </w:p>
          <w:p w:rsidR="00470630" w:rsidRDefault="00470630"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autres entreprises financières (à l’exclusion des entreprises d’investissement);</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entreprises non financières;</w:t>
            </w:r>
          </w:p>
          <w:p w:rsidR="00B0191A" w:rsidRPr="00384ADB"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ménages. </w:t>
            </w:r>
          </w:p>
          <w:p w:rsidR="00B0191A"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Aucun secteur n’apparaîtra pour les groupes de clients liés.</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060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 NACE</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Pour le secteur économique, les codes NACE (Nomenclature statistique des activités économiques dans la Communauté européenne) sont utilisés.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Cette colonne ne s’applique qu’aux contreparties «Autres entreprises fina</w:t>
            </w:r>
            <w:r>
              <w:rPr>
                <w:rStyle w:val="FormatvorlageInstructionsTabelleText"/>
                <w:rFonts w:ascii="Times New Roman" w:hAnsi="Times New Roman"/>
                <w:sz w:val="24"/>
              </w:rPr>
              <w:t>n</w:t>
            </w:r>
            <w:r>
              <w:rPr>
                <w:rStyle w:val="FormatvorlageInstructionsTabelleText"/>
                <w:rFonts w:ascii="Times New Roman" w:hAnsi="Times New Roman"/>
                <w:sz w:val="24"/>
              </w:rPr>
              <w:t>cières» et «Entreprises non financières».  Les codes NACE sont utilisés pour les «Entreprises non financières» avec un seul niveau de détail (par ex. «F – Construction»), tandis que pour les «Autres entreprises financières», deux niveaux de détail seront employés, permettant de distinguer les activités d’assurance (par ex. «K</w:t>
            </w:r>
            <w:r w:rsidRPr="000D1548">
              <w:rPr>
                <w:rStyle w:val="FormatvorlageInstructionsTabelleText"/>
                <w:rFonts w:ascii="Times New Roman" w:hAnsi="Times New Roman"/>
                <w:sz w:val="24"/>
              </w:rPr>
              <w:t>65</w:t>
            </w:r>
            <w:r>
              <w:rPr>
                <w:rStyle w:val="FormatvorlageInstructionsTabelleText"/>
                <w:rFonts w:ascii="Times New Roman" w:hAnsi="Times New Roman"/>
                <w:sz w:val="24"/>
              </w:rPr>
              <w:t xml:space="preserve"> – Assurance, réassurance et caisses de retraite, à l’exception de la sécurité sociale obligatoire»). »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secteurs économiques «Autres entreprises financières» et «Entreprises non financières» seront classés sur la base de la répartition des contrepa</w:t>
            </w:r>
            <w:r>
              <w:rPr>
                <w:rStyle w:val="FormatvorlageInstructionsTabelleText"/>
                <w:rFonts w:ascii="Times New Roman" w:hAnsi="Times New Roman"/>
                <w:sz w:val="24"/>
              </w:rPr>
              <w:t>r</w:t>
            </w:r>
            <w:r>
              <w:rPr>
                <w:rStyle w:val="FormatvorlageInstructionsTabelleText"/>
                <w:rFonts w:ascii="Times New Roman" w:hAnsi="Times New Roman"/>
                <w:sz w:val="24"/>
              </w:rPr>
              <w:t>ties FINREP.</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Aucun code NACE n’apparaîtra pour les groupes de clients liés.</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070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Catégorie de contrepartie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Fonts w:eastAsia="Arial"/>
              </w:rPr>
            </w:pPr>
            <w:r>
              <w:t xml:space="preserve">Article </w:t>
            </w:r>
            <w:r w:rsidRPr="000D1548">
              <w:t>394</w:t>
            </w:r>
            <w:r>
              <w:t xml:space="preserve">, point </w:t>
            </w:r>
            <w:r w:rsidRPr="000D1548">
              <w:t>2</w:t>
            </w:r>
            <w:r>
              <w:t xml:space="preserve">, du CRR </w:t>
            </w:r>
            <w:r>
              <w:rPr>
                <w:i/>
              </w:rPr>
              <w:t xml:space="preserve"> </w:t>
            </w:r>
          </w:p>
          <w:p w:rsidR="00B0191A" w:rsidRPr="00384ADB" w:rsidRDefault="00B0191A">
            <w:pPr>
              <w:pStyle w:val="InstructionsText"/>
              <w:rPr>
                <w:rFonts w:eastAsia="Arial"/>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distinguer la catégorie de contrepartie des dix risques les plus grands vis-à-vis d’établissements et des dix risques les plus grands vis-à-vis d’entités du secteur financier non réglementées, on utilisera la lettre «I» pour les établissements et «U» pour les entités du secteur financier non régleme</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tées. </w:t>
            </w:r>
          </w:p>
          <w:p w:rsidR="00B0191A" w:rsidRPr="00384ADB" w:rsidRDefault="00B0191A">
            <w:pPr>
              <w:pStyle w:val="InstructionsText"/>
              <w:rPr>
                <w:rStyle w:val="InstructionsTabelleberschrift"/>
                <w:rFonts w:ascii="Times New Roman" w:hAnsi="Times New Roman"/>
                <w:sz w:val="24"/>
              </w:rPr>
            </w:pPr>
          </w:p>
        </w:tc>
      </w:tr>
    </w:tbl>
    <w:p w:rsidR="00634B45" w:rsidRPr="00384ADB" w:rsidRDefault="00634B45" w:rsidP="0039317F"/>
    <w:p w:rsidR="003105C6" w:rsidRPr="00384ADB" w:rsidRDefault="00296D72" w:rsidP="00C52CE2">
      <w:pPr>
        <w:pStyle w:val="Instructionsberschrift2"/>
        <w:numPr>
          <w:ilvl w:val="0"/>
          <w:numId w:val="22"/>
        </w:numPr>
        <w:rPr>
          <w:rFonts w:ascii="Times New Roman" w:hAnsi="Times New Roman" w:cs="Times New Roman"/>
          <w:sz w:val="24"/>
          <w:u w:val="none"/>
        </w:rPr>
      </w:pPr>
      <w:bookmarkStart w:id="28" w:name="_Toc393461961"/>
      <w:bookmarkStart w:id="29" w:name="_Toc522191014"/>
      <w:r>
        <w:rPr>
          <w:rFonts w:ascii="Times New Roman" w:hAnsi="Times New Roman"/>
          <w:b/>
          <w:sz w:val="24"/>
          <w:u w:val="none"/>
        </w:rPr>
        <w:lastRenderedPageBreak/>
        <w:t xml:space="preserve">C </w:t>
      </w:r>
      <w:r w:rsidRPr="000D1548">
        <w:rPr>
          <w:rFonts w:ascii="Times New Roman" w:hAnsi="Times New Roman"/>
          <w:b/>
          <w:sz w:val="24"/>
          <w:u w:val="none"/>
        </w:rPr>
        <w:t>28</w:t>
      </w:r>
      <w:r>
        <w:rPr>
          <w:rFonts w:ascii="Times New Roman" w:hAnsi="Times New Roman"/>
          <w:b/>
          <w:sz w:val="24"/>
          <w:u w:val="none"/>
        </w:rPr>
        <w:t>.</w:t>
      </w:r>
      <w:r w:rsidRPr="000D1548">
        <w:rPr>
          <w:rFonts w:ascii="Times New Roman" w:hAnsi="Times New Roman"/>
          <w:b/>
          <w:sz w:val="24"/>
          <w:u w:val="none"/>
        </w:rPr>
        <w:t>00</w:t>
      </w:r>
      <w:r>
        <w:rPr>
          <w:rFonts w:ascii="Times New Roman" w:hAnsi="Times New Roman"/>
          <w:b/>
          <w:sz w:val="24"/>
          <w:u w:val="none"/>
        </w:rPr>
        <w:t xml:space="preserve"> - Expositions dans le portefeuille hors négociation et le portefeuille de nég</w:t>
      </w:r>
      <w:r>
        <w:rPr>
          <w:rFonts w:ascii="Times New Roman" w:hAnsi="Times New Roman"/>
          <w:b/>
          <w:sz w:val="24"/>
          <w:u w:val="none"/>
        </w:rPr>
        <w:t>o</w:t>
      </w:r>
      <w:r>
        <w:rPr>
          <w:rFonts w:ascii="Times New Roman" w:hAnsi="Times New Roman"/>
          <w:b/>
          <w:sz w:val="24"/>
          <w:u w:val="none"/>
        </w:rPr>
        <w:t>ciation (LE</w:t>
      </w:r>
      <w:r w:rsidRPr="000D1548">
        <w:rPr>
          <w:rFonts w:ascii="Times New Roman" w:hAnsi="Times New Roman"/>
          <w:b/>
          <w:sz w:val="24"/>
          <w:u w:val="none"/>
        </w:rPr>
        <w:t>2</w:t>
      </w:r>
      <w:r>
        <w:rPr>
          <w:rFonts w:ascii="Times New Roman" w:hAnsi="Times New Roman"/>
          <w:b/>
          <w:sz w:val="24"/>
          <w:u w:val="none"/>
        </w:rPr>
        <w:t>)</w:t>
      </w:r>
      <w:bookmarkEnd w:id="28"/>
      <w:bookmarkEnd w:id="29"/>
    </w:p>
    <w:p w:rsidR="003105C6" w:rsidRPr="00384ADB" w:rsidRDefault="003105C6" w:rsidP="00C52CE2">
      <w:pPr>
        <w:pStyle w:val="Instructionsberschrift2"/>
        <w:numPr>
          <w:ilvl w:val="1"/>
          <w:numId w:val="22"/>
        </w:numPr>
        <w:rPr>
          <w:rFonts w:ascii="Times New Roman" w:hAnsi="Times New Roman" w:cs="Times New Roman"/>
          <w:sz w:val="24"/>
        </w:rPr>
      </w:pPr>
      <w:bookmarkStart w:id="30" w:name="_Toc308175821"/>
      <w:bookmarkStart w:id="31" w:name="_Toc310414968"/>
      <w:bookmarkStart w:id="32" w:name="_Toc393461962"/>
      <w:bookmarkStart w:id="33" w:name="_Toc522191015"/>
      <w:r>
        <w:rPr>
          <w:rFonts w:ascii="Times New Roman" w:hAnsi="Times New Roman"/>
          <w:sz w:val="24"/>
        </w:rPr>
        <w:t xml:space="preserve">Instructions concernant certaines </w:t>
      </w:r>
      <w:bookmarkEnd w:id="30"/>
      <w:bookmarkEnd w:id="31"/>
      <w:r>
        <w:rPr>
          <w:rFonts w:ascii="Times New Roman" w:hAnsi="Times New Roman"/>
          <w:sz w:val="24"/>
        </w:rPr>
        <w:t>colonnes</w:t>
      </w:r>
      <w:bookmarkEnd w:id="32"/>
      <w:bookmarkEnd w:id="33"/>
    </w:p>
    <w:p w:rsidR="00D946DB" w:rsidRPr="00384ADB"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rsidTr="00E17043">
        <w:tc>
          <w:tcPr>
            <w:tcW w:w="1418" w:type="dxa"/>
            <w:shd w:val="clear" w:color="auto" w:fill="D9D9D9"/>
          </w:tcPr>
          <w:p w:rsidR="00D946DB" w:rsidRPr="00384ADB" w:rsidRDefault="005E7263"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Colonne</w:t>
            </w:r>
          </w:p>
        </w:tc>
        <w:tc>
          <w:tcPr>
            <w:tcW w:w="7620" w:type="dxa"/>
            <w:shd w:val="clear" w:color="auto" w:fill="D9D9D9"/>
          </w:tcPr>
          <w:p w:rsidR="00B0191A" w:rsidRPr="00384ADB" w:rsidRDefault="003105C6"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Références juridiques et instructions</w:t>
            </w:r>
          </w:p>
        </w:tc>
      </w:tr>
      <w:tr w:rsidR="00D946DB" w:rsidRPr="00384ADB" w:rsidTr="00E17043">
        <w:tc>
          <w:tcPr>
            <w:tcW w:w="1418" w:type="dxa"/>
          </w:tcPr>
          <w:p w:rsidR="00D946DB"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010</w:t>
            </w:r>
          </w:p>
          <w:p w:rsidR="00CA42A9" w:rsidRPr="00384ADB" w:rsidRDefault="00CA42A9" w:rsidP="0039317F">
            <w:pPr>
              <w:pStyle w:val="InstructionsText"/>
              <w:rPr>
                <w:rStyle w:val="FormatvorlageInstructionsTabelleText"/>
                <w:rFonts w:ascii="Times New Roman" w:hAnsi="Times New Roman"/>
                <w:b/>
                <w:sz w:val="24"/>
              </w:rPr>
            </w:pPr>
          </w:p>
        </w:tc>
        <w:tc>
          <w:tcPr>
            <w:tcW w:w="7620" w:type="dxa"/>
          </w:tcPr>
          <w:p w:rsidR="00B0191A" w:rsidRPr="00384ADB" w:rsidRDefault="00394753"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rsidR="00B0191A" w:rsidRPr="00384ADB" w:rsidRDefault="00B0191A" w:rsidP="000F0ADE">
            <w:pPr>
              <w:pStyle w:val="InstructionsText"/>
              <w:rPr>
                <w:rStyle w:val="FormatvorlageInstructionsTabelleText"/>
                <w:rFonts w:ascii="Times New Roman" w:hAnsi="Times New Roman"/>
                <w:b/>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Pour un groupe de clients liés, si un code unique existe au niveau national, ce code est déclaré en tant que code du groupe de clients liés. Lorsqu’il n’existe pas de code unique au niveau national, le code à déclarer est le code de l’entreprise mère qui figure au modèle C </w:t>
            </w:r>
            <w:r w:rsidRPr="000D1548">
              <w:rPr>
                <w:rStyle w:val="FormatvorlageInstructionsTabelleText"/>
                <w:rFonts w:ascii="Times New Roman" w:hAnsi="Times New Roman"/>
                <w:sz w:val="24"/>
              </w:rPr>
              <w:t>27</w:t>
            </w:r>
            <w:r>
              <w:rPr>
                <w:rStyle w:val="FormatvorlageInstructionsTabelleText"/>
                <w:rFonts w:ascii="Times New Roman" w:hAnsi="Times New Roman"/>
                <w:sz w:val="24"/>
              </w:rPr>
              <w:t>.</w:t>
            </w:r>
            <w:r w:rsidRPr="000D1548">
              <w:rPr>
                <w:rStyle w:val="FormatvorlageInstructionsTabelleText"/>
                <w:rFonts w:ascii="Times New Roman" w:hAnsi="Times New Roman"/>
                <w:sz w:val="24"/>
              </w:rPr>
              <w:t>00</w:t>
            </w:r>
            <w:r>
              <w:rPr>
                <w:rStyle w:val="FormatvorlageInstructionsTabelleText"/>
                <w:rFonts w:ascii="Times New Roman" w:hAnsi="Times New Roman"/>
                <w:sz w:val="24"/>
              </w:rPr>
              <w:t>.</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Lorsque le groupe de clients liés n’a pas d’entreprise mère, le code à décl</w:t>
            </w:r>
            <w:r>
              <w:rPr>
                <w:rStyle w:val="FormatvorlageInstructionsTabelleText"/>
                <w:rFonts w:ascii="Times New Roman" w:hAnsi="Times New Roman"/>
                <w:sz w:val="24"/>
              </w:rPr>
              <w:t>a</w:t>
            </w:r>
            <w:r>
              <w:rPr>
                <w:rStyle w:val="FormatvorlageInstructionsTabelleText"/>
                <w:rFonts w:ascii="Times New Roman" w:hAnsi="Times New Roman"/>
                <w:sz w:val="24"/>
              </w:rPr>
              <w:t>rer est celui de l’entité considérée par l’établissement comme étant la plus importante au sein du groupe de clients liés. Dans tous les autres cas, il se rapporte à une seule contrepartie.</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Les codes seront utilisés de manière cohérente dans le temps. </w:t>
            </w:r>
          </w:p>
          <w:p w:rsidR="007449CB" w:rsidRPr="007449CB" w:rsidRDefault="007449CB">
            <w:pPr>
              <w:pStyle w:val="InstructionsText"/>
              <w:rPr>
                <w:rStyle w:val="FormatvorlageInstructionsTabelleText"/>
                <w:rFonts w:ascii="Times New Roman" w:hAnsi="Times New Roman"/>
                <w:sz w:val="24"/>
              </w:rPr>
            </w:pPr>
          </w:p>
          <w:p w:rsid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composition du code dépend du système national de déclaration, à moins qu’une codification uniforme s’applique dans l’Union européenne.</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Groupe ou individuel</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L’établissement indique «</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 pour la déclaration d’expositions sur des clients individuels ou «</w:t>
            </w:r>
            <w:r w:rsidRPr="000D1548">
              <w:rPr>
                <w:rStyle w:val="FormatvorlageInstructionsTabelleText"/>
                <w:rFonts w:ascii="Times New Roman" w:hAnsi="Times New Roman"/>
                <w:sz w:val="24"/>
              </w:rPr>
              <w:t>2</w:t>
            </w:r>
            <w:r>
              <w:rPr>
                <w:rStyle w:val="FormatvorlageInstructionsTabelleText"/>
                <w:rFonts w:ascii="Times New Roman" w:hAnsi="Times New Roman"/>
                <w:sz w:val="24"/>
              </w:rPr>
              <w:t>» pour la déclaration d’expositions sur des groupes de clients liés.</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Opérations où il existe une exposition sur des actifs sous-jacents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w:t>
            </w:r>
            <w:r w:rsidRPr="000D1548">
              <w:rPr>
                <w:rStyle w:val="FormatvorlageInstructionsTabelleText"/>
                <w:rFonts w:ascii="Times New Roman" w:hAnsi="Times New Roman"/>
                <w:sz w:val="24"/>
              </w:rPr>
              <w:t>390</w:t>
            </w:r>
            <w:r>
              <w:rPr>
                <w:rStyle w:val="FormatvorlageInstructionsTabelleText"/>
                <w:rFonts w:ascii="Times New Roman" w:hAnsi="Times New Roman"/>
                <w:sz w:val="24"/>
              </w:rPr>
              <w:t xml:space="preserve">, point </w:t>
            </w:r>
            <w:r w:rsidRPr="000D1548">
              <w:rPr>
                <w:rStyle w:val="FormatvorlageInstructionsTabelleText"/>
                <w:rFonts w:ascii="Times New Roman" w:hAnsi="Times New Roman"/>
                <w:sz w:val="24"/>
              </w:rPr>
              <w:t>7</w:t>
            </w:r>
            <w:r>
              <w:rPr>
                <w:rStyle w:val="FormatvorlageInstructionsTabelleText"/>
                <w:rFonts w:ascii="Times New Roman" w:hAnsi="Times New Roman"/>
                <w:sz w:val="24"/>
              </w:rPr>
              <w:t>, du CRR</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Conformément à des spécifications techniques complémentaires émanant des autorités nationales compétentes, lorsque l’établissement a des expos</w:t>
            </w:r>
            <w:r>
              <w:rPr>
                <w:rStyle w:val="FormatvorlageInstructionsTabelleText"/>
                <w:rFonts w:ascii="Times New Roman" w:hAnsi="Times New Roman"/>
                <w:sz w:val="24"/>
              </w:rPr>
              <w:t>i</w:t>
            </w:r>
            <w:r>
              <w:rPr>
                <w:rStyle w:val="FormatvorlageInstructionsTabelleText"/>
                <w:rFonts w:ascii="Times New Roman" w:hAnsi="Times New Roman"/>
                <w:sz w:val="24"/>
              </w:rPr>
              <w:t>tions sur la contrepartie déclarée dans le cadre d’une opération où il existe une exposition sur des actifs sous-jacents, l’équivalent du terme «Oui» devra être déclaré. Dans le cas contraire, il conviendra d’indiquer le terme équiv</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lant à «Non». </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040</w:t>
            </w:r>
            <w:r>
              <w:rPr>
                <w:rStyle w:val="FormatvorlageInstructionsTabelleText"/>
                <w:rFonts w:ascii="Times New Roman" w:hAnsi="Times New Roman"/>
                <w:b/>
                <w:sz w:val="24"/>
              </w:rPr>
              <w:t>-</w:t>
            </w:r>
            <w:r w:rsidRPr="000D1548">
              <w:rPr>
                <w:rStyle w:val="FormatvorlageInstructionsTabelleText"/>
                <w:rFonts w:ascii="Times New Roman" w:hAnsi="Times New Roman"/>
                <w:b/>
                <w:sz w:val="24"/>
              </w:rPr>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initiales</w:t>
            </w:r>
          </w:p>
          <w:p w:rsidR="00B0191A" w:rsidRPr="00384ADB" w:rsidRDefault="00B0191A" w:rsidP="0039317F">
            <w:pPr>
              <w:pStyle w:val="InstructionsText"/>
              <w:rPr>
                <w:rStyle w:val="InstructionsTabelleberschrift"/>
                <w:rFonts w:ascii="Times New Roman" w:hAnsi="Times New Roman"/>
                <w:b w:val="0"/>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Articles </w:t>
            </w:r>
            <w:r w:rsidRPr="000D1548">
              <w:rPr>
                <w:rStyle w:val="InstructionsTabelleberschrift"/>
                <w:rFonts w:ascii="Times New Roman" w:hAnsi="Times New Roman"/>
                <w:b w:val="0"/>
                <w:sz w:val="24"/>
                <w:u w:val="none"/>
              </w:rPr>
              <w:t>24</w:t>
            </w:r>
            <w:r>
              <w:rPr>
                <w:rStyle w:val="InstructionsTabelleberschrift"/>
                <w:rFonts w:ascii="Times New Roman" w:hAnsi="Times New Roman"/>
                <w:b w:val="0"/>
                <w:sz w:val="24"/>
                <w:u w:val="none"/>
              </w:rPr>
              <w:t xml:space="preserve">, </w:t>
            </w:r>
            <w:r w:rsidRPr="000D1548">
              <w:rPr>
                <w:rStyle w:val="InstructionsTabelleberschrift"/>
                <w:rFonts w:ascii="Times New Roman" w:hAnsi="Times New Roman"/>
                <w:b w:val="0"/>
                <w:sz w:val="24"/>
                <w:u w:val="none"/>
              </w:rPr>
              <w:t>389</w:t>
            </w:r>
            <w:r>
              <w:rPr>
                <w:rStyle w:val="InstructionsTabelleberschrift"/>
                <w:rFonts w:ascii="Times New Roman" w:hAnsi="Times New Roman"/>
                <w:b w:val="0"/>
                <w:sz w:val="24"/>
                <w:u w:val="none"/>
              </w:rPr>
              <w:t xml:space="preserve">, </w:t>
            </w:r>
            <w:r w:rsidRPr="000D1548">
              <w:rPr>
                <w:rStyle w:val="InstructionsTabelleberschrift"/>
                <w:rFonts w:ascii="Times New Roman" w:hAnsi="Times New Roman"/>
                <w:b w:val="0"/>
                <w:sz w:val="24"/>
                <w:u w:val="none"/>
              </w:rPr>
              <w:t>390</w:t>
            </w:r>
            <w:r>
              <w:rPr>
                <w:rStyle w:val="InstructionsTabelleberschrift"/>
                <w:rFonts w:ascii="Times New Roman" w:hAnsi="Times New Roman"/>
                <w:b w:val="0"/>
                <w:sz w:val="24"/>
                <w:u w:val="none"/>
              </w:rPr>
              <w:t xml:space="preserve"> et </w:t>
            </w:r>
            <w:r w:rsidRPr="000D1548">
              <w:rPr>
                <w:rStyle w:val="InstructionsTabelleberschrift"/>
                <w:rFonts w:ascii="Times New Roman" w:hAnsi="Times New Roman"/>
                <w:b w:val="0"/>
                <w:sz w:val="24"/>
                <w:u w:val="none"/>
              </w:rPr>
              <w:t>392</w:t>
            </w:r>
            <w:r>
              <w:rPr>
                <w:rStyle w:val="InstructionsTabelleberschrift"/>
                <w:rFonts w:ascii="Times New Roman" w:hAnsi="Times New Roman"/>
                <w:b w:val="0"/>
                <w:sz w:val="24"/>
                <w:u w:val="none"/>
              </w:rPr>
              <w:t xml:space="preserve">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9317F" w:rsidRDefault="00C92E0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Dans ce bloc de colonnes, l’établissement déclare les expositions initiales des expositions directes, des expositions indirectes et des expositions su</w:t>
            </w:r>
            <w:r>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plémentaires découlant d’opérations où il existe une exposition sur des actifs sous-jacents.</w:t>
            </w:r>
          </w:p>
          <w:p w:rsidR="00B0191A" w:rsidRPr="0039317F" w:rsidRDefault="00B0191A">
            <w:pPr>
              <w:pStyle w:val="InstructionsText"/>
              <w:rPr>
                <w:rStyle w:val="InstructionsTabelleberschrift"/>
                <w:rFonts w:ascii="Times New Roman" w:hAnsi="Times New Roman"/>
                <w:b w:val="0"/>
                <w:bCs w:val="0"/>
                <w:sz w:val="24"/>
                <w:u w:val="none"/>
              </w:rPr>
            </w:pPr>
          </w:p>
          <w:p w:rsidR="00B0191A" w:rsidRPr="0039317F" w:rsidRDefault="00BB3751" w:rsidP="0039317F">
            <w:pPr>
              <w:pStyle w:val="InstructionsText"/>
            </w:pPr>
            <w:r>
              <w:lastRenderedPageBreak/>
              <w:t xml:space="preserve">En vertu de l’article </w:t>
            </w:r>
            <w:r w:rsidRPr="000D1548">
              <w:t>389</w:t>
            </w:r>
            <w:r>
              <w:t xml:space="preserve"> du </w:t>
            </w:r>
            <w:r>
              <w:rPr>
                <w:rStyle w:val="FormatvorlageInstructionsTabelleText"/>
                <w:rFonts w:ascii="Times New Roman" w:hAnsi="Times New Roman"/>
                <w:sz w:val="24"/>
              </w:rPr>
              <w:t>CRR</w:t>
            </w:r>
            <w:r>
              <w:t xml:space="preserve">, on n’applique pas de pondération de risque ni de degré de risque aux actifs et aux éléments de hors bilan. Plus spécialement, les facteurs de conversion de crédit ne sont pas appliqués aux éléments de hors bilan.  </w:t>
            </w:r>
          </w:p>
          <w:p w:rsidR="00B0191A" w:rsidRPr="0039317F" w:rsidRDefault="00B0191A" w:rsidP="0039317F">
            <w:pPr>
              <w:pStyle w:val="InstructionsText"/>
            </w:pPr>
          </w:p>
          <w:p w:rsidR="00B0191A" w:rsidRPr="0039317F" w:rsidRDefault="00BB3751" w:rsidP="0039317F">
            <w:pPr>
              <w:pStyle w:val="InstructionsText"/>
            </w:pPr>
            <w:r>
              <w:t xml:space="preserve">Ces colonnes contiennent l’exposition initiale, c’est-à-dire la valeur exposée au risque hors corrections de valeur et provisions, qui seront déduites à la colonne </w:t>
            </w:r>
            <w:r w:rsidRPr="000D1548">
              <w:t>210</w:t>
            </w:r>
            <w:r>
              <w:t>.</w:t>
            </w:r>
          </w:p>
          <w:p w:rsidR="00B0191A" w:rsidRPr="0039317F" w:rsidRDefault="00B0191A" w:rsidP="0039317F">
            <w:pPr>
              <w:pStyle w:val="InstructionsText"/>
            </w:pPr>
          </w:p>
          <w:p w:rsidR="00B0191A" w:rsidRPr="0039317F" w:rsidRDefault="00C92E09" w:rsidP="0039317F">
            <w:pPr>
              <w:pStyle w:val="InstructionsText"/>
            </w:pPr>
            <w:r>
              <w:t xml:space="preserve">La définition et le calcul de la valeur exposée au risque figurent aux articles </w:t>
            </w:r>
            <w:r w:rsidRPr="000D1548">
              <w:t>389</w:t>
            </w:r>
            <w:r>
              <w:t xml:space="preserve"> et </w:t>
            </w:r>
            <w:r w:rsidRPr="000D1548">
              <w:t>390</w:t>
            </w:r>
            <w:r>
              <w:t xml:space="preserve"> du </w:t>
            </w:r>
            <w:r>
              <w:rPr>
                <w:rStyle w:val="FormatvorlageInstructionsTabelleText"/>
                <w:rFonts w:ascii="Times New Roman" w:hAnsi="Times New Roman"/>
                <w:sz w:val="24"/>
              </w:rPr>
              <w:t>CRR</w:t>
            </w:r>
            <w:r>
              <w:t xml:space="preserve">. L’évaluation des actifs et des éléments de hors bilan est effectuée conformément au référentiel comptable auquel l’établissement est soumis, conformément à l’article </w:t>
            </w:r>
            <w:r w:rsidRPr="000D1548">
              <w:t>24</w:t>
            </w:r>
            <w:r>
              <w:t xml:space="preserve"> du </w:t>
            </w:r>
            <w:r>
              <w:rPr>
                <w:rStyle w:val="FormatvorlageInstructionsTabelleText"/>
                <w:rFonts w:ascii="Times New Roman" w:hAnsi="Times New Roman"/>
                <w:sz w:val="24"/>
              </w:rPr>
              <w:t>CRR</w:t>
            </w:r>
            <w:r>
              <w:t>.</w:t>
            </w:r>
          </w:p>
          <w:p w:rsidR="00B0191A" w:rsidRPr="0039317F" w:rsidRDefault="00B0191A" w:rsidP="0039317F">
            <w:pPr>
              <w:pStyle w:val="InstructionsText"/>
            </w:pPr>
          </w:p>
          <w:p w:rsidR="00B0191A" w:rsidRPr="0039317F" w:rsidRDefault="00BB3751" w:rsidP="0039317F">
            <w:pPr>
              <w:pStyle w:val="InstructionsText"/>
            </w:pPr>
            <w:r>
              <w:t xml:space="preserve">Les expositions déduites des fonds propres, qui, conformément à l’article </w:t>
            </w:r>
            <w:r w:rsidRPr="000D1548">
              <w:t>390</w:t>
            </w:r>
            <w:r>
              <w:t xml:space="preserve">, paragraphe </w:t>
            </w:r>
            <w:r w:rsidRPr="000D1548">
              <w:t>6</w:t>
            </w:r>
            <w:r>
              <w:t xml:space="preserve">, point e), ne sont pas comprises dans les expositions, sont incluses dans ces colonnes. Ces expositions sont déduites dans la colonne </w:t>
            </w:r>
            <w:r w:rsidRPr="000D1548">
              <w:t>200</w:t>
            </w:r>
            <w:r>
              <w:t>.</w:t>
            </w:r>
          </w:p>
          <w:p w:rsidR="00B0191A" w:rsidRPr="0039317F" w:rsidRDefault="00B0191A" w:rsidP="0039317F">
            <w:pPr>
              <w:pStyle w:val="InstructionsText"/>
            </w:pPr>
          </w:p>
          <w:p w:rsidR="00B0191A" w:rsidRPr="0039317F" w:rsidRDefault="00BB3751" w:rsidP="0039317F">
            <w:pPr>
              <w:pStyle w:val="InstructionsText"/>
            </w:pPr>
            <w:r>
              <w:t xml:space="preserve">Les expositions visées à l’article </w:t>
            </w:r>
            <w:r w:rsidRPr="000D1548">
              <w:t>390</w:t>
            </w:r>
            <w:r>
              <w:t xml:space="preserve">, paragraphe </w:t>
            </w:r>
            <w:r w:rsidRPr="000D1548">
              <w:t>6</w:t>
            </w:r>
            <w:r>
              <w:t xml:space="preserve">, points a) à d), du </w:t>
            </w:r>
            <w:r>
              <w:rPr>
                <w:rStyle w:val="FormatvorlageInstructionsTabelleText"/>
                <w:rFonts w:ascii="Times New Roman" w:hAnsi="Times New Roman"/>
                <w:sz w:val="24"/>
              </w:rPr>
              <w:t>CRR</w:t>
            </w:r>
            <w:r>
              <w:t xml:space="preserve"> ne sont pas incluses dans ces colonnes. </w:t>
            </w:r>
          </w:p>
          <w:p w:rsidR="00B0191A" w:rsidRPr="0039317F" w:rsidRDefault="00B0191A" w:rsidP="0039317F">
            <w:pPr>
              <w:pStyle w:val="InstructionsText"/>
            </w:pPr>
          </w:p>
          <w:p w:rsidR="00B0191A" w:rsidRPr="0039317F" w:rsidRDefault="00BB3751" w:rsidP="0039317F">
            <w:pPr>
              <w:pStyle w:val="InstructionsText"/>
              <w:rPr>
                <w:rFonts w:eastAsia="Arial"/>
              </w:rPr>
            </w:pPr>
            <w:r>
              <w:t>Les expositions initiales comprennent tous les actifs et éléments de hors b</w:t>
            </w:r>
            <w:r>
              <w:t>i</w:t>
            </w:r>
            <w:r>
              <w:t xml:space="preserve">lan conformément à l’article </w:t>
            </w:r>
            <w:r w:rsidRPr="000D1548">
              <w:t>400</w:t>
            </w:r>
            <w:r>
              <w:t xml:space="preserve"> du </w:t>
            </w:r>
            <w:r>
              <w:rPr>
                <w:rStyle w:val="FormatvorlageInstructionsTabelleText"/>
                <w:rFonts w:ascii="Times New Roman" w:hAnsi="Times New Roman"/>
                <w:sz w:val="24"/>
              </w:rPr>
              <w:t>CRR</w:t>
            </w:r>
            <w:r>
              <w:t xml:space="preserve">. Les exemptions sont déduites dans la colonne </w:t>
            </w:r>
            <w:r w:rsidRPr="000D1548">
              <w:t>320</w:t>
            </w:r>
            <w:r>
              <w:t xml:space="preserve">, aux fins de l’article </w:t>
            </w:r>
            <w:r w:rsidRPr="000D1548">
              <w:t>395</w:t>
            </w:r>
            <w:r>
              <w:t xml:space="preserve">, paragraphe </w:t>
            </w:r>
            <w:r w:rsidRPr="000D1548">
              <w:t>1</w:t>
            </w:r>
            <w:r>
              <w:t xml:space="preserve">, du </w:t>
            </w:r>
            <w:r>
              <w:rPr>
                <w:rStyle w:val="FormatvorlageInstructionsTabelleText"/>
                <w:rFonts w:ascii="Times New Roman" w:hAnsi="Times New Roman"/>
                <w:sz w:val="24"/>
              </w:rPr>
              <w:t>CRR</w:t>
            </w:r>
            <w:r>
              <w:t>.</w:t>
            </w:r>
          </w:p>
          <w:p w:rsidR="00B0191A" w:rsidRPr="00384ADB" w:rsidRDefault="00B0191A" w:rsidP="0039317F">
            <w:pPr>
              <w:pStyle w:val="InstructionsText"/>
              <w:rPr>
                <w:rFonts w:eastAsia="Arial"/>
              </w:rPr>
            </w:pPr>
          </w:p>
          <w:p w:rsidR="00B0191A" w:rsidRPr="00384ADB" w:rsidRDefault="00BB3751" w:rsidP="000F0ADE">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expositions du portefeuille hors négociation ainsi que du portefeuille de négociation sont incluses.</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pPr>
            <w:r>
              <w:rPr>
                <w:rStyle w:val="InstructionsTabelleberschrift"/>
                <w:rFonts w:ascii="Times New Roman" w:hAnsi="Times New Roman"/>
                <w:b w:val="0"/>
                <w:sz w:val="24"/>
                <w:u w:val="none"/>
              </w:rPr>
              <w:t>Pour la ventilation des expositions entre les différents instruments financiers, lorsque différentes expositions provenant de conventions de compensation ne font qu’une, cette exposition unique est attribuée à l’instrument financier correspondant à l’actif principal de la convention de compensation (voir ég</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lement l’introduction).</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lastRenderedPageBreak/>
              <w:t>040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 initiale totale</w:t>
            </w:r>
          </w:p>
          <w:p w:rsidR="00B0191A" w:rsidRPr="00384ADB" w:rsidRDefault="00B0191A" w:rsidP="0039317F">
            <w:pPr>
              <w:pStyle w:val="InstructionsText"/>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L’établissement déclare la somme des expositions directes et des expositions indirectes, ainsi que les </w:t>
            </w:r>
            <w:r>
              <w:rPr>
                <w:rStyle w:val="FormatvorlageInstructionsTabelleText"/>
                <w:rFonts w:ascii="Times New Roman" w:hAnsi="Times New Roman"/>
                <w:sz w:val="24"/>
              </w:rPr>
              <w:t>expositions supplémentaires découlant de l’exposition sur des opérations où il existe une exposition sur des actifs sous-jacents</w:t>
            </w:r>
            <w:r>
              <w:rPr>
                <w:rStyle w:val="InstructionsTabelleberschrift"/>
                <w:rFonts w:ascii="Times New Roman" w:hAnsi="Times New Roman"/>
                <w:b w:val="0"/>
                <w:sz w:val="24"/>
                <w:u w:val="none"/>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en défaut</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w:t>
            </w:r>
            <w:r w:rsidRPr="000D1548">
              <w:rPr>
                <w:rStyle w:val="FormatvorlageInstructionsTabelleText"/>
                <w:rFonts w:ascii="Times New Roman" w:hAnsi="Times New Roman"/>
                <w:sz w:val="24"/>
              </w:rPr>
              <w:t>178</w:t>
            </w:r>
            <w:r>
              <w:rPr>
                <w:rStyle w:val="FormatvorlageInstructionsTabelleText"/>
                <w:rFonts w:ascii="Times New Roman" w:hAnsi="Times New Roman"/>
                <w:sz w:val="24"/>
              </w:rPr>
              <w:t xml:space="preserve"> du CRR.</w:t>
            </w:r>
          </w:p>
          <w:p w:rsidR="00B0191A" w:rsidRPr="00384ADB" w:rsidRDefault="00B0191A">
            <w:pPr>
              <w:pStyle w:val="InstructionsText"/>
              <w:rPr>
                <w:rStyle w:val="FormatvorlageInstructionsTabelleText"/>
                <w:rFonts w:ascii="Times New Roman" w:hAnsi="Times New Roman"/>
                <w:b/>
                <w:sz w:val="24"/>
              </w:rPr>
            </w:pPr>
          </w:p>
          <w:p w:rsidR="00B0191A" w:rsidRPr="00384ADB" w:rsidRDefault="009B2EE9">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L’établissement déclare</w:t>
            </w:r>
            <w:r>
              <w:rPr>
                <w:rStyle w:val="FormatvorlageInstructionsTabelleText"/>
                <w:rFonts w:ascii="Times New Roman" w:hAnsi="Times New Roman"/>
                <w:sz w:val="24"/>
              </w:rPr>
              <w:t xml:space="preserve"> la part du total des expositions initiales correspo</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dant aux expositions en défaut. </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060</w:t>
            </w:r>
            <w:r>
              <w:rPr>
                <w:rStyle w:val="FormatvorlageInstructionsTabelleText"/>
                <w:rFonts w:ascii="Times New Roman" w:hAnsi="Times New Roman"/>
                <w:b/>
                <w:sz w:val="24"/>
              </w:rPr>
              <w:t>-</w:t>
            </w:r>
            <w:r w:rsidRPr="000D1548">
              <w:rPr>
                <w:rStyle w:val="FormatvorlageInstructionsTabelleText"/>
                <w:rFonts w:ascii="Times New Roman" w:hAnsi="Times New Roman"/>
                <w:b/>
                <w:sz w:val="24"/>
              </w:rPr>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directes</w:t>
            </w:r>
          </w:p>
          <w:p w:rsidR="00B0191A" w:rsidRPr="00384ADB" w:rsidRDefault="00B0191A"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expositions directes désignent les expositions sur la base d’un «empru</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teur direct».</w:t>
            </w:r>
          </w:p>
          <w:p w:rsidR="00B0191A" w:rsidRPr="00384ADB" w:rsidRDefault="00B0191A">
            <w:pPr>
              <w:pStyle w:val="InstructionsText"/>
              <w:rPr>
                <w:rStyle w:val="InstructionsTabelleberschrift"/>
                <w:rFonts w:ascii="Times New Roman" w:hAnsi="Times New Roman"/>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lastRenderedPageBreak/>
              <w:t>060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 dette</w:t>
            </w:r>
          </w:p>
          <w:p w:rsidR="00B0191A" w:rsidRPr="00384ADB" w:rsidRDefault="00B0191A" w:rsidP="0039317F">
            <w:pPr>
              <w:pStyle w:val="InstructionsText"/>
            </w:pPr>
          </w:p>
          <w:p w:rsidR="00B0191A" w:rsidRPr="0039317F" w:rsidRDefault="00193DDC" w:rsidP="0039317F">
            <w:pPr>
              <w:pStyle w:val="InstructionsText"/>
            </w:pPr>
            <w:r>
              <w:t>Règlement (UE) nº </w:t>
            </w:r>
            <w:r w:rsidRPr="000D1548">
              <w:t>1071</w:t>
            </w:r>
            <w:r>
              <w:t>/</w:t>
            </w:r>
            <w:r w:rsidRPr="000D1548">
              <w:t>2013</w:t>
            </w:r>
            <w:r>
              <w:t xml:space="preserve"> («BCE/</w:t>
            </w:r>
            <w:r w:rsidRPr="000D1548">
              <w:t>2013</w:t>
            </w:r>
            <w:r>
              <w:t>/</w:t>
            </w:r>
            <w:r w:rsidRPr="000D1548">
              <w:t>33</w:t>
            </w:r>
            <w:r>
              <w:t>»), annexe II, deuxième pa</w:t>
            </w:r>
            <w:r>
              <w:t>r</w:t>
            </w:r>
            <w:r>
              <w:t xml:space="preserve">tie, tableau, catégories </w:t>
            </w:r>
            <w:r w:rsidRPr="000D1548">
              <w:t>2</w:t>
            </w:r>
            <w:r>
              <w:t xml:space="preserve"> et </w:t>
            </w:r>
            <w:r w:rsidRPr="000D1548">
              <w:t>3</w:t>
            </w:r>
            <w:r>
              <w:t>.</w:t>
            </w:r>
          </w:p>
          <w:p w:rsidR="00B0191A" w:rsidRPr="0039317F" w:rsidRDefault="00B0191A" w:rsidP="0039317F">
            <w:pPr>
              <w:pStyle w:val="InstructionsText"/>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Les instruments de dette comprennent les titres de créances, les prêts et les avances. </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BB3751" w:rsidP="0039317F">
            <w:pPr>
              <w:pStyle w:val="InstructionsText"/>
            </w:pPr>
            <w:r>
              <w:rPr>
                <w:rStyle w:val="FormatvorlageInstructionsTabelleText"/>
                <w:rFonts w:ascii="Times New Roman" w:hAnsi="Times New Roman"/>
                <w:sz w:val="24"/>
              </w:rPr>
              <w:t>Les instruments inclus dans cette colonne sont ceux qualifiés de «</w:t>
            </w:r>
            <w:r>
              <w:t>crédits d’une durée initiale inférieure ou égale à un an/supérieure à un an et inf</w:t>
            </w:r>
            <w:r>
              <w:t>é</w:t>
            </w:r>
            <w:r>
              <w:t>rieure ou égale à cinq ans/supérieure à cinq ans</w:t>
            </w:r>
            <w:r>
              <w:rPr>
                <w:rStyle w:val="FormatvorlageInstructionsTabelleText"/>
                <w:rFonts w:ascii="Times New Roman" w:hAnsi="Times New Roman"/>
                <w:sz w:val="24"/>
              </w:rPr>
              <w:t>», ou de «titres</w:t>
            </w:r>
            <w:r>
              <w:t xml:space="preserve"> de créance</w:t>
            </w:r>
            <w:r>
              <w:rPr>
                <w:rStyle w:val="FormatvorlageInstructionsTabelleText"/>
                <w:rFonts w:ascii="Times New Roman" w:hAnsi="Times New Roman"/>
                <w:sz w:val="24"/>
              </w:rPr>
              <w:t>», conformément au règlement</w:t>
            </w:r>
            <w:r>
              <w:t xml:space="preserve"> BCE/</w:t>
            </w:r>
            <w:r w:rsidRPr="000D1548">
              <w:t>2013</w:t>
            </w:r>
            <w:r>
              <w:t>/</w:t>
            </w:r>
            <w:r w:rsidRPr="000D1548">
              <w:t>33</w:t>
            </w:r>
            <w:r>
              <w:t>.</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D95A62"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t>es opérations de pension, les opérations de prêt ou d’emprunt de titres ou de matières premières (opérations de financement sur titres), ainsi que les opérations de prêt avec appel de marge sont indiquées dans cette colonne.</w:t>
            </w:r>
          </w:p>
          <w:p w:rsidR="00B0191A" w:rsidRPr="00384ADB" w:rsidRDefault="00B0191A"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DF008D" w:rsidP="0039317F">
            <w:pPr>
              <w:pStyle w:val="InstructionsText"/>
            </w:pPr>
            <w:r>
              <w:t>BCE/</w:t>
            </w:r>
            <w:r w:rsidRPr="000D1548">
              <w:t>2013</w:t>
            </w:r>
            <w:r>
              <w:t>/</w:t>
            </w:r>
            <w:r w:rsidRPr="000D1548">
              <w:t>33</w:t>
            </w:r>
            <w:r>
              <w:t xml:space="preserve">, annexe II, deuxième partie, tableau, catégories </w:t>
            </w:r>
            <w:r w:rsidRPr="000D1548">
              <w:t>4</w:t>
            </w:r>
            <w:r>
              <w:t xml:space="preserve"> et </w:t>
            </w:r>
            <w:r w:rsidRPr="000D1548">
              <w:t>5</w:t>
            </w:r>
            <w:r>
              <w:t>.</w:t>
            </w:r>
          </w:p>
          <w:p w:rsidR="00B0191A" w:rsidRPr="0039317F" w:rsidRDefault="00B0191A" w:rsidP="0039317F">
            <w:pPr>
              <w:pStyle w:val="InstructionsText"/>
            </w:pPr>
          </w:p>
          <w:p w:rsidR="00B0191A" w:rsidRPr="0039317F" w:rsidRDefault="00BB3751" w:rsidP="0039317F">
            <w:pPr>
              <w:pStyle w:val="InstructionsText"/>
            </w:pPr>
            <w:r>
              <w:rPr>
                <w:rStyle w:val="FormatvorlageInstructionsTabelleText"/>
                <w:rFonts w:ascii="Times New Roman" w:hAnsi="Times New Roman"/>
                <w:sz w:val="24"/>
              </w:rPr>
              <w:t xml:space="preserve">Les instruments inclus dans cette colonne sont ceux qualifiés d’«actions» ou de «titres de fonds d'investissement» conformément au règlement </w:t>
            </w:r>
            <w:r>
              <w:t>BCE/</w:t>
            </w:r>
            <w:r w:rsidRPr="000D1548">
              <w:t>2013</w:t>
            </w:r>
            <w:r>
              <w:t>/</w:t>
            </w:r>
            <w:r w:rsidRPr="000D1548">
              <w:t>33</w:t>
            </w:r>
            <w:r>
              <w:t>.</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Dérivés </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BB3751" w:rsidP="0039317F">
            <w:pPr>
              <w:pStyle w:val="InstructionsText"/>
              <w:rPr>
                <w:rStyle w:val="FormatvorlageInstructionsTabelleText"/>
                <w:rFonts w:ascii="Times New Roman" w:hAnsi="Times New Roman"/>
                <w:sz w:val="24"/>
              </w:rPr>
            </w:pPr>
            <w:r>
              <w:t xml:space="preserve">Article </w:t>
            </w:r>
            <w:r w:rsidRPr="000D1548">
              <w:t>272</w:t>
            </w:r>
            <w:r>
              <w:t xml:space="preserve">, paragraphe </w:t>
            </w:r>
            <w:r w:rsidRPr="000D1548">
              <w:t>2</w:t>
            </w:r>
            <w:r>
              <w:t xml:space="preserve">, et annexe II du </w:t>
            </w:r>
            <w:r>
              <w:rPr>
                <w:rStyle w:val="FormatvorlageInstructionsTabelleText"/>
                <w:rFonts w:ascii="Times New Roman" w:hAnsi="Times New Roman"/>
                <w:sz w:val="24"/>
              </w:rPr>
              <w:t>CRR</w:t>
            </w:r>
            <w:r>
              <w:t>.</w:t>
            </w:r>
          </w:p>
          <w:p w:rsidR="00B0191A" w:rsidRPr="0039317F" w:rsidRDefault="00B0191A" w:rsidP="000F0ADE">
            <w:pPr>
              <w:pStyle w:val="InstructionsText"/>
            </w:pPr>
          </w:p>
          <w:p w:rsidR="00B0191A" w:rsidRPr="0039317F" w:rsidRDefault="009E58B0">
            <w:pPr>
              <w:pStyle w:val="InstructionsText"/>
            </w:pPr>
            <w:r>
              <w:t xml:space="preserve">Les instruments à déclarer dans cette colonne incluent les dérivés repris dans l’annexe II du </w:t>
            </w:r>
            <w:r>
              <w:rPr>
                <w:rStyle w:val="FormatvorlageInstructionsTabelleText"/>
                <w:rFonts w:ascii="Times New Roman" w:hAnsi="Times New Roman"/>
                <w:sz w:val="24"/>
              </w:rPr>
              <w:t>CRR</w:t>
            </w:r>
            <w:r>
              <w:t xml:space="preserve">, ainsi que les opérations à règlement différé, telles que définies à l’article </w:t>
            </w:r>
            <w:r w:rsidRPr="000D1548">
              <w:t>272</w:t>
            </w:r>
            <w:r>
              <w:t xml:space="preserve">, point </w:t>
            </w:r>
            <w:r w:rsidRPr="000D1548">
              <w:t>2</w:t>
            </w:r>
            <w:r>
              <w:t xml:space="preserve">, du </w:t>
            </w:r>
            <w:r>
              <w:rPr>
                <w:rStyle w:val="FormatvorlageInstructionsTabelleText"/>
                <w:rFonts w:ascii="Times New Roman" w:hAnsi="Times New Roman"/>
                <w:sz w:val="24"/>
              </w:rPr>
              <w:t>CRR</w:t>
            </w:r>
            <w:r>
              <w:t xml:space="preserve">. </w:t>
            </w:r>
          </w:p>
          <w:p w:rsidR="00B0191A" w:rsidRPr="0039317F" w:rsidRDefault="00B0191A">
            <w:pPr>
              <w:pStyle w:val="InstructionsText"/>
            </w:pPr>
          </w:p>
          <w:p w:rsidR="00B0191A" w:rsidRPr="0039317F" w:rsidRDefault="00BB3751">
            <w:pPr>
              <w:pStyle w:val="InstructionsText"/>
            </w:pPr>
            <w:r>
              <w:t>Les dérivés de crédit soumis à un risque de crédit de contrepartie seront d</w:t>
            </w:r>
            <w:r>
              <w:t>é</w:t>
            </w:r>
            <w:r>
              <w:t>clarés dans cette colonne.</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090</w:t>
            </w:r>
            <w:r>
              <w:rPr>
                <w:rStyle w:val="FormatvorlageInstructionsTabelleText"/>
                <w:rFonts w:ascii="Times New Roman" w:hAnsi="Times New Roman"/>
                <w:b/>
                <w:sz w:val="24"/>
              </w:rPr>
              <w:t>-</w:t>
            </w:r>
            <w:r w:rsidRPr="000D1548">
              <w:rPr>
                <w:rStyle w:val="FormatvorlageInstructionsTabelleText"/>
                <w:rFonts w:ascii="Times New Roman" w:hAnsi="Times New Roman"/>
                <w:b/>
                <w:sz w:val="24"/>
              </w:rPr>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Éléments de hors bilan</w:t>
            </w:r>
          </w:p>
          <w:p w:rsidR="00BB3751" w:rsidRPr="00384ADB" w:rsidRDefault="00BB3751" w:rsidP="004675B7">
            <w:pPr>
              <w:spacing w:before="0" w:after="0"/>
              <w:rPr>
                <w:rFonts w:ascii="Times New Roman" w:hAnsi="Times New Roman"/>
                <w:b/>
                <w:bCs/>
                <w:sz w:val="24"/>
              </w:rPr>
            </w:pPr>
          </w:p>
          <w:p w:rsidR="00BB3751" w:rsidRPr="00384ADB" w:rsidRDefault="00BB3751" w:rsidP="004675B7">
            <w:pPr>
              <w:spacing w:before="0" w:after="0"/>
              <w:rPr>
                <w:rFonts w:ascii="Times New Roman" w:hAnsi="Times New Roman"/>
                <w:sz w:val="24"/>
              </w:rPr>
            </w:pPr>
            <w:r>
              <w:rPr>
                <w:rFonts w:ascii="Times New Roman" w:hAnsi="Times New Roman"/>
                <w:sz w:val="24"/>
              </w:rPr>
              <w:t xml:space="preserve">Annexe I du </w:t>
            </w:r>
            <w:r>
              <w:rPr>
                <w:rStyle w:val="FormatvorlageInstructionsTabelleText"/>
                <w:rFonts w:ascii="Times New Roman" w:hAnsi="Times New Roman"/>
                <w:sz w:val="24"/>
              </w:rPr>
              <w:t>CRR</w:t>
            </w:r>
            <w:r>
              <w:rPr>
                <w:rFonts w:ascii="Times New Roman" w:hAnsi="Times New Roman"/>
                <w:sz w:val="24"/>
              </w:rPr>
              <w:t>.</w:t>
            </w:r>
          </w:p>
          <w:p w:rsidR="00BB3751" w:rsidRPr="00384ADB" w:rsidRDefault="00BB3751" w:rsidP="004675B7">
            <w:pPr>
              <w:spacing w:before="0" w:after="0"/>
              <w:rPr>
                <w:rFonts w:ascii="Times New Roman" w:hAnsi="Times New Roman"/>
                <w:bCs/>
                <w:sz w:val="24"/>
              </w:rPr>
            </w:pPr>
          </w:p>
          <w:p w:rsidR="00BB3751" w:rsidRPr="00384ADB" w:rsidRDefault="00BB3751" w:rsidP="004675B7">
            <w:pPr>
              <w:spacing w:before="0" w:after="0"/>
              <w:rPr>
                <w:rFonts w:ascii="Times New Roman" w:hAnsi="Times New Roman"/>
                <w:bCs/>
                <w:sz w:val="24"/>
              </w:rPr>
            </w:pPr>
            <w:r>
              <w:rPr>
                <w:rFonts w:ascii="Times New Roman" w:hAnsi="Times New Roman"/>
                <w:sz w:val="24"/>
              </w:rPr>
              <w:t>La valeur à indiquer dans ces colonnes est la valeur nominale avant toute déduction des ajustements pour risque de crédit spécifique et sans applic</w:t>
            </w:r>
            <w:r>
              <w:rPr>
                <w:rFonts w:ascii="Times New Roman" w:hAnsi="Times New Roman"/>
                <w:sz w:val="24"/>
              </w:rPr>
              <w:t>a</w:t>
            </w:r>
            <w:r>
              <w:rPr>
                <w:rFonts w:ascii="Times New Roman" w:hAnsi="Times New Roman"/>
                <w:sz w:val="24"/>
              </w:rPr>
              <w:t>tion de facteurs de conversion.</w:t>
            </w:r>
          </w:p>
          <w:p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de prêts</w:t>
            </w:r>
          </w:p>
          <w:p w:rsidR="00BB3751" w:rsidRPr="00384ADB" w:rsidRDefault="00BB3751" w:rsidP="0039317F">
            <w:pPr>
              <w:pStyle w:val="InstructionsText"/>
              <w:rPr>
                <w:rStyle w:val="FormatvorlageInstructionsTabelleText"/>
                <w:rFonts w:ascii="Times New Roman" w:hAnsi="Times New Roman"/>
                <w:b/>
                <w:sz w:val="24"/>
              </w:rPr>
            </w:pPr>
          </w:p>
          <w:p w:rsidR="009A7666" w:rsidRPr="0039317F" w:rsidRDefault="0045752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Annexe I, points </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 xml:space="preserve"> c), </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 xml:space="preserve"> h), </w:t>
            </w:r>
            <w:r w:rsidRPr="000D1548">
              <w:rPr>
                <w:rStyle w:val="FormatvorlageInstructionsTabelleText"/>
                <w:rFonts w:ascii="Times New Roman" w:hAnsi="Times New Roman"/>
                <w:sz w:val="24"/>
              </w:rPr>
              <w:t>2</w:t>
            </w:r>
            <w:r>
              <w:rPr>
                <w:rStyle w:val="FormatvorlageInstructionsTabelleText"/>
                <w:rFonts w:ascii="Times New Roman" w:hAnsi="Times New Roman"/>
                <w:sz w:val="24"/>
              </w:rPr>
              <w:t xml:space="preserve"> b) ii), </w:t>
            </w:r>
            <w:r w:rsidRPr="000D1548">
              <w:rPr>
                <w:rStyle w:val="FormatvorlageInstructionsTabelleText"/>
                <w:rFonts w:ascii="Times New Roman" w:hAnsi="Times New Roman"/>
                <w:sz w:val="24"/>
              </w:rPr>
              <w:t>3</w:t>
            </w:r>
            <w:r>
              <w:rPr>
                <w:rStyle w:val="FormatvorlageInstructionsTabelleText"/>
                <w:rFonts w:ascii="Times New Roman" w:hAnsi="Times New Roman"/>
                <w:sz w:val="24"/>
              </w:rPr>
              <w:t xml:space="preserve"> b) i) et </w:t>
            </w:r>
            <w:r w:rsidRPr="000D1548">
              <w:rPr>
                <w:rStyle w:val="FormatvorlageInstructionsTabelleText"/>
                <w:rFonts w:ascii="Times New Roman" w:hAnsi="Times New Roman"/>
                <w:sz w:val="24"/>
              </w:rPr>
              <w:t>4</w:t>
            </w:r>
            <w:r>
              <w:rPr>
                <w:rStyle w:val="FormatvorlageInstructionsTabelleText"/>
                <w:rFonts w:ascii="Times New Roman" w:hAnsi="Times New Roman"/>
                <w:sz w:val="24"/>
              </w:rPr>
              <w:t xml:space="preserve"> a), du CRR. </w:t>
            </w:r>
          </w:p>
          <w:p w:rsidR="00B0191A" w:rsidRPr="0039317F" w:rsidRDefault="00B0191A">
            <w:pPr>
              <w:pStyle w:val="InstructionsText"/>
            </w:pPr>
          </w:p>
          <w:p w:rsidR="00B0191A" w:rsidRPr="0039317F" w:rsidRDefault="00BB3751">
            <w:pPr>
              <w:pStyle w:val="InstructionsText"/>
            </w:pPr>
            <w:r>
              <w:t>Les engagements de prêts sont des engagements fermes d’octroyer un crédit selon des conditions prédéfinies, à l’exception de ceux constituant des dér</w:t>
            </w:r>
            <w:r>
              <w:t>i</w:t>
            </w:r>
            <w:r>
              <w:t>vés, car ils peuvent faire l’objet d’un règlement net en espèces ou par la l</w:t>
            </w:r>
            <w:r>
              <w:t>i</w:t>
            </w:r>
            <w:r>
              <w:t xml:space="preserve">vraison ou l’émission d’un autre instrument financier. </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lastRenderedPageBreak/>
              <w:t>100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Garanties financières</w:t>
            </w:r>
          </w:p>
          <w:p w:rsidR="009A7666" w:rsidRPr="00384ADB" w:rsidRDefault="009A7666" w:rsidP="0039317F">
            <w:pPr>
              <w:pStyle w:val="InstructionsText"/>
              <w:rPr>
                <w:rStyle w:val="FormatvorlageInstructionsTabelleText"/>
                <w:rFonts w:ascii="Times New Roman" w:hAnsi="Times New Roman"/>
                <w:b/>
                <w:sz w:val="24"/>
              </w:rPr>
            </w:pPr>
          </w:p>
          <w:p w:rsidR="00BB3751" w:rsidRPr="00384ADB" w:rsidRDefault="00965D5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Annexe I, points </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 xml:space="preserve">) a), b) et f), du CRR.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Une garantie financière est un contrat qui impose à l’émetteur d’effectuer des paiements déterminés pour rembourser au porteur une perte qu’il subit en raison de la défaillance d’un débiteur donné à la date d’exigibilité d’un paiement selon les termes initiaux ou modifiés de l’instrument de dette. Les dérivés de crédit qui ne figurent pas dans la colonne «dérivés» apparaîtront dans cette colonne.</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engagements</w:t>
            </w:r>
          </w:p>
          <w:p w:rsidR="00B0191A" w:rsidRPr="00384ADB" w:rsidRDefault="00B0191A" w:rsidP="0039317F">
            <w:pPr>
              <w:pStyle w:val="InstructionsText"/>
              <w:rPr>
                <w:rStyle w:val="FormatvorlageInstructionsTabelleText"/>
                <w:rFonts w:ascii="Times New Roman" w:hAnsi="Times New Roman"/>
                <w:b/>
                <w:sz w:val="24"/>
              </w:rPr>
            </w:pPr>
          </w:p>
          <w:p w:rsidR="00BB3751" w:rsidRPr="00384ADB" w:rsidRDefault="00BB3751" w:rsidP="0070440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Les autres engagements sont les éléments de l’annexe I du CRR qui ne sont pas inclus dans les catégories précédentes. L</w:t>
            </w:r>
            <w:r>
              <w:rPr>
                <w:rFonts w:ascii="Times New Roman" w:hAnsi="Times New Roman"/>
                <w:sz w:val="24"/>
              </w:rPr>
              <w:t>a valeur exposée au risque d’une obligation juridique unique créée par une convention de compensation multiproduits conclue avec une contrepartie de l’établissement sera déclarée dans cette colonne.</w:t>
            </w:r>
            <w:r>
              <w:rPr>
                <w:rStyle w:val="InstructionsTabelleberschrift"/>
                <w:rFonts w:ascii="Times New Roman" w:hAnsi="Times New Roman"/>
                <w:b w:val="0"/>
                <w:sz w:val="24"/>
                <w:u w:val="none"/>
              </w:rPr>
              <w:t xml:space="preserve">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120</w:t>
            </w:r>
            <w:r>
              <w:rPr>
                <w:rStyle w:val="FormatvorlageInstructionsTabelleText"/>
                <w:rFonts w:ascii="Times New Roman" w:hAnsi="Times New Roman"/>
                <w:b/>
                <w:sz w:val="24"/>
              </w:rPr>
              <w:t>-</w:t>
            </w:r>
            <w:r w:rsidRPr="000D1548">
              <w:rPr>
                <w:rStyle w:val="FormatvorlageInstructionsTabelleText"/>
                <w:rFonts w:ascii="Times New Roman" w:hAnsi="Times New Roman"/>
                <w:b/>
                <w:sz w:val="24"/>
              </w:rPr>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indirectes</w:t>
            </w:r>
          </w:p>
          <w:p w:rsidR="00BB3751" w:rsidRPr="00384ADB" w:rsidRDefault="00BB3751"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pPr>
            <w:r>
              <w:t xml:space="preserve">Article </w:t>
            </w:r>
            <w:r w:rsidRPr="000D1548">
              <w:t>403</w:t>
            </w:r>
            <w:r>
              <w:t xml:space="preserve"> du </w:t>
            </w:r>
            <w:r>
              <w:rPr>
                <w:rStyle w:val="FormatvorlageInstructionsTabelleText"/>
                <w:rFonts w:ascii="Times New Roman" w:hAnsi="Times New Roman"/>
                <w:sz w:val="24"/>
              </w:rPr>
              <w:t>CRR</w:t>
            </w:r>
            <w:r>
              <w:t>.</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Conformément à l’article </w:t>
            </w:r>
            <w:r w:rsidRPr="000D1548">
              <w:rPr>
                <w:rStyle w:val="InstructionsTabelleberschrift"/>
                <w:rFonts w:ascii="Times New Roman" w:hAnsi="Times New Roman"/>
                <w:b w:val="0"/>
                <w:sz w:val="24"/>
                <w:u w:val="none"/>
              </w:rPr>
              <w:t>403</w:t>
            </w:r>
            <w:r>
              <w:rPr>
                <w:rStyle w:val="InstructionsTabelleberschrift"/>
                <w:rFonts w:ascii="Times New Roman" w:hAnsi="Times New Roman"/>
                <w:b w:val="0"/>
                <w:sz w:val="24"/>
                <w:u w:val="none"/>
              </w:rPr>
              <w:t xml:space="preserve">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un établissement de crédit peut ado</w:t>
            </w:r>
            <w:r>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ter l’approche par substitution lorsqu’une exposition sur un client est gara</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tie par un tiers, ou par une sûreté émise par un tiers. </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Dans ce bloc de colonnes, l’établissement déclare le montant des expositions directes réaffectées au garant ou à l’émetteur de sûretés, à condition que celles-ci reçoivent une pondération de risque inférieure ou égale à celle qui serait retenue pour le tiers conformément à la troisième partie, titre II, ch</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pitre </w:t>
            </w:r>
            <w:r w:rsidRPr="000D1548">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du CRR. L’exposition initiale de référence protégée (exposition d</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recte) sera déduite de l’exposition sur l’emprunteur initial dans les colonnes «Techniques d’atténuation du risque de crédit éligibles». L’exposition ind</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recte augmente l’exposition sur le garant ou l’émetteur de sûretés par effet de substitution. Il en va de même pour les garanties données au sein d’un groupe de clients liés.</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L’établissement déclare le montant initial des expositions indirectes dans la colonne qui correspond à la catégorie d’exposition directe garantie ou co</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verte par une sûreté. Par exemple, lorsque l’exposition directe garantie est un instrument de dette, le montant de l’«exposition indirecte» attribuée au g</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rant est déclaré dans la colonne «Instruments de dette».</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Les expositions découlant de titres liés à un crédit sont également déclarées dans ce bloc de colonnes, conformément à l’article </w:t>
            </w:r>
            <w:r w:rsidRPr="000D1548">
              <w:rPr>
                <w:rStyle w:val="InstructionsTabelleberschrift"/>
                <w:rFonts w:ascii="Times New Roman" w:hAnsi="Times New Roman"/>
                <w:b w:val="0"/>
                <w:sz w:val="24"/>
                <w:u w:val="none"/>
              </w:rPr>
              <w:t>399</w:t>
            </w:r>
            <w:r>
              <w:rPr>
                <w:rStyle w:val="InstructionsTabelleberschrift"/>
                <w:rFonts w:ascii="Times New Roman" w:hAnsi="Times New Roman"/>
                <w:b w:val="0"/>
                <w:sz w:val="24"/>
                <w:u w:val="none"/>
              </w:rPr>
              <w:t xml:space="preserve">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lastRenderedPageBreak/>
              <w:t>120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 dette</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Voir colonne </w:t>
            </w:r>
            <w:r w:rsidRPr="000D1548">
              <w:rPr>
                <w:rStyle w:val="FormatvorlageInstructionsTabelleText"/>
                <w:rFonts w:ascii="Times New Roman" w:hAnsi="Times New Roman"/>
                <w:sz w:val="24"/>
              </w:rPr>
              <w:t>060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AE2F75">
        <w:tc>
          <w:tcPr>
            <w:tcW w:w="1418" w:type="dxa"/>
            <w:shd w:val="clear" w:color="auto" w:fill="FFFFFF"/>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130</w:t>
            </w:r>
          </w:p>
        </w:tc>
        <w:tc>
          <w:tcPr>
            <w:tcW w:w="7620" w:type="dxa"/>
            <w:shd w:val="clear" w:color="auto" w:fill="FFFFFF"/>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Voir colonne </w:t>
            </w:r>
            <w:r w:rsidRPr="000D1548">
              <w:rPr>
                <w:rStyle w:val="InstructionsTabelleberschrift"/>
                <w:rFonts w:ascii="Times New Roman" w:hAnsi="Times New Roman"/>
                <w:b w:val="0"/>
                <w:sz w:val="24"/>
                <w:u w:val="none"/>
              </w:rPr>
              <w:t>070</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140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Dérivés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Voir colonne </w:t>
            </w:r>
            <w:r w:rsidRPr="000D1548">
              <w:rPr>
                <w:rStyle w:val="FormatvorlageInstructionsTabelleText"/>
                <w:rFonts w:ascii="Times New Roman" w:hAnsi="Times New Roman"/>
                <w:sz w:val="24"/>
              </w:rPr>
              <w:t>080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150</w:t>
            </w:r>
            <w:r>
              <w:rPr>
                <w:rStyle w:val="FormatvorlageInstructionsTabelleText"/>
                <w:rFonts w:ascii="Times New Roman" w:hAnsi="Times New Roman"/>
                <w:b/>
                <w:sz w:val="24"/>
              </w:rPr>
              <w:t>-</w:t>
            </w:r>
            <w:r w:rsidRPr="000D1548">
              <w:rPr>
                <w:rStyle w:val="FormatvorlageInstructionsTabelleText"/>
                <w:rFonts w:ascii="Times New Roman" w:hAnsi="Times New Roman"/>
                <w:b/>
                <w:sz w:val="24"/>
              </w:rPr>
              <w:t>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Éléments de hors bilan</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La valeur à indiquer dans ces colonnes est la valeur nominale avant toute déduction des ajustements pour risque de crédit spécifique et sans applic</w:t>
            </w:r>
            <w:r>
              <w:rPr>
                <w:rFonts w:ascii="Times New Roman" w:hAnsi="Times New Roman"/>
                <w:sz w:val="24"/>
              </w:rPr>
              <w:t>a</w:t>
            </w:r>
            <w:r>
              <w:rPr>
                <w:rFonts w:ascii="Times New Roman" w:hAnsi="Times New Roman"/>
                <w:sz w:val="24"/>
              </w:rPr>
              <w:t>tion de facteurs de conversion.</w:t>
            </w:r>
          </w:p>
          <w:p w:rsidR="00BB3751" w:rsidRPr="00384ADB" w:rsidRDefault="00BB3751" w:rsidP="0039317F">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150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de prêts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Voir colonne </w:t>
            </w:r>
            <w:r w:rsidRPr="000D1548">
              <w:rPr>
                <w:rStyle w:val="FormatvorlageInstructionsTabelleText"/>
                <w:rFonts w:ascii="Times New Roman" w:hAnsi="Times New Roman"/>
                <w:sz w:val="24"/>
              </w:rPr>
              <w:t>090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160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Garanties financières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Voir colonne </w:t>
            </w:r>
            <w:r w:rsidRPr="000D1548">
              <w:rPr>
                <w:rStyle w:val="FormatvorlageInstructionsTabelleText"/>
                <w:rFonts w:ascii="Times New Roman" w:hAnsi="Times New Roman"/>
                <w:sz w:val="24"/>
              </w:rPr>
              <w:t>100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engagements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Voir colonne </w:t>
            </w:r>
            <w:r w:rsidRPr="000D1548">
              <w:rPr>
                <w:rStyle w:val="FormatvorlageInstructionsTabelleText"/>
                <w:rFonts w:ascii="Times New Roman" w:hAnsi="Times New Roman"/>
                <w:sz w:val="24"/>
              </w:rPr>
              <w:t>110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supplémentaires découlant d’opérations où il existe une e</w:t>
            </w:r>
            <w:r>
              <w:rPr>
                <w:rStyle w:val="InstructionsTabelleberschrift"/>
                <w:rFonts w:ascii="Times New Roman" w:hAnsi="Times New Roman"/>
                <w:sz w:val="24"/>
              </w:rPr>
              <w:t>x</w:t>
            </w:r>
            <w:r>
              <w:rPr>
                <w:rStyle w:val="InstructionsTabelleberschrift"/>
                <w:rFonts w:ascii="Times New Roman" w:hAnsi="Times New Roman"/>
                <w:sz w:val="24"/>
              </w:rPr>
              <w:t>position sur des actifs sous-jacents</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w:t>
            </w:r>
            <w:r w:rsidRPr="000D1548">
              <w:rPr>
                <w:rStyle w:val="FormatvorlageInstructionsTabelleText"/>
                <w:rFonts w:ascii="Times New Roman" w:hAnsi="Times New Roman"/>
                <w:sz w:val="24"/>
              </w:rPr>
              <w:t>390</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7</w:t>
            </w:r>
            <w:r>
              <w:rPr>
                <w:rStyle w:val="FormatvorlageInstructionsTabelleText"/>
                <w:rFonts w:ascii="Times New Roman" w:hAnsi="Times New Roman"/>
                <w:sz w:val="24"/>
              </w:rPr>
              <w:t>, du CRR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Expositions supplémentaires découlant d’opérations pour lesquelles il y a une exposition sur des actifs sous-jacents.</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190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Corrections de valeur et provisions</w:t>
            </w:r>
          </w:p>
          <w:p w:rsidR="00BB3751" w:rsidRPr="00384ADB" w:rsidRDefault="00BB3751" w:rsidP="004675B7">
            <w:pPr>
              <w:pStyle w:val="Default"/>
              <w:jc w:val="both"/>
              <w:rPr>
                <w:rStyle w:val="FormatvorlageInstructionsTabelleText"/>
                <w:rFonts w:ascii="Times New Roman" w:eastAsia="Times New Roman" w:hAnsi="Times New Roman"/>
                <w:b/>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 xml:space="preserve">Articles </w:t>
            </w:r>
            <w:r w:rsidRPr="000D1548">
              <w:rPr>
                <w:rStyle w:val="FormatvorlageInstructionsTabelleText"/>
                <w:rFonts w:ascii="Times New Roman" w:hAnsi="Times New Roman"/>
                <w:color w:val="auto"/>
                <w:sz w:val="24"/>
              </w:rPr>
              <w:t>34</w:t>
            </w:r>
            <w:r>
              <w:rPr>
                <w:rStyle w:val="FormatvorlageInstructionsTabelleText"/>
                <w:rFonts w:ascii="Times New Roman" w:hAnsi="Times New Roman"/>
                <w:color w:val="auto"/>
                <w:sz w:val="24"/>
              </w:rPr>
              <w:t xml:space="preserve">, </w:t>
            </w:r>
            <w:r w:rsidRPr="000D1548">
              <w:rPr>
                <w:rStyle w:val="FormatvorlageInstructionsTabelleText"/>
                <w:rFonts w:ascii="Times New Roman" w:hAnsi="Times New Roman"/>
                <w:color w:val="auto"/>
                <w:sz w:val="24"/>
              </w:rPr>
              <w:t>24</w:t>
            </w:r>
            <w:r>
              <w:rPr>
                <w:rStyle w:val="FormatvorlageInstructionsTabelleText"/>
                <w:rFonts w:ascii="Times New Roman" w:hAnsi="Times New Roman"/>
                <w:color w:val="auto"/>
                <w:sz w:val="24"/>
              </w:rPr>
              <w:t xml:space="preserve">, </w:t>
            </w:r>
            <w:r w:rsidRPr="000D1548">
              <w:rPr>
                <w:rStyle w:val="FormatvorlageInstructionsTabelleText"/>
                <w:rFonts w:ascii="Times New Roman" w:hAnsi="Times New Roman"/>
                <w:color w:val="auto"/>
                <w:sz w:val="24"/>
              </w:rPr>
              <w:t>110</w:t>
            </w:r>
            <w:r>
              <w:rPr>
                <w:rStyle w:val="FormatvorlageInstructionsTabelleText"/>
                <w:rFonts w:ascii="Times New Roman" w:hAnsi="Times New Roman"/>
                <w:color w:val="auto"/>
                <w:sz w:val="24"/>
              </w:rPr>
              <w:t xml:space="preserve"> et </w:t>
            </w:r>
            <w:r w:rsidRPr="000D1548">
              <w:rPr>
                <w:rStyle w:val="FormatvorlageInstructionsTabelleText"/>
                <w:rFonts w:ascii="Times New Roman" w:hAnsi="Times New Roman"/>
                <w:color w:val="auto"/>
                <w:sz w:val="24"/>
              </w:rPr>
              <w:t>111</w:t>
            </w:r>
            <w:r>
              <w:rPr>
                <w:rStyle w:val="FormatvorlageInstructionsTabelleText"/>
                <w:rFonts w:ascii="Times New Roman" w:hAnsi="Times New Roman"/>
                <w:color w:val="auto"/>
                <w:sz w:val="24"/>
              </w:rPr>
              <w:t xml:space="preserve"> du CRR.</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 xml:space="preserve">Corrections de valeur et provisions incluses dans le référentiel comptable correspondant (directive </w:t>
            </w:r>
            <w:r w:rsidRPr="000D1548">
              <w:rPr>
                <w:rStyle w:val="FormatvorlageInstructionsTabelleText"/>
                <w:rFonts w:ascii="Times New Roman" w:hAnsi="Times New Roman"/>
                <w:color w:val="auto"/>
                <w:sz w:val="24"/>
              </w:rPr>
              <w:t>86</w:t>
            </w:r>
            <w:r>
              <w:rPr>
                <w:rStyle w:val="FormatvorlageInstructionsTabelleText"/>
                <w:rFonts w:ascii="Times New Roman" w:hAnsi="Times New Roman"/>
                <w:color w:val="auto"/>
                <w:sz w:val="24"/>
              </w:rPr>
              <w:t>/</w:t>
            </w:r>
            <w:r w:rsidRPr="000D1548">
              <w:rPr>
                <w:rStyle w:val="FormatvorlageInstructionsTabelleText"/>
                <w:rFonts w:ascii="Times New Roman" w:hAnsi="Times New Roman"/>
                <w:color w:val="auto"/>
                <w:sz w:val="24"/>
              </w:rPr>
              <w:t>635</w:t>
            </w:r>
            <w:r>
              <w:rPr>
                <w:rStyle w:val="FormatvorlageInstructionsTabelleText"/>
                <w:rFonts w:ascii="Times New Roman" w:hAnsi="Times New Roman"/>
                <w:color w:val="auto"/>
                <w:sz w:val="24"/>
              </w:rPr>
              <w:t xml:space="preserve">/CEE ou règlement (CE) no </w:t>
            </w:r>
            <w:r w:rsidRPr="000D1548">
              <w:rPr>
                <w:rStyle w:val="FormatvorlageInstructionsTabelleText"/>
                <w:rFonts w:ascii="Times New Roman" w:hAnsi="Times New Roman"/>
                <w:color w:val="auto"/>
                <w:sz w:val="24"/>
              </w:rPr>
              <w:t>1606</w:t>
            </w:r>
            <w:r>
              <w:rPr>
                <w:rStyle w:val="FormatvorlageInstructionsTabelleText"/>
                <w:rFonts w:ascii="Times New Roman" w:hAnsi="Times New Roman"/>
                <w:color w:val="auto"/>
                <w:sz w:val="24"/>
              </w:rPr>
              <w:t>/</w:t>
            </w:r>
            <w:r w:rsidRPr="000D1548">
              <w:rPr>
                <w:rStyle w:val="FormatvorlageInstructionsTabelleText"/>
                <w:rFonts w:ascii="Times New Roman" w:hAnsi="Times New Roman"/>
                <w:color w:val="auto"/>
                <w:sz w:val="24"/>
              </w:rPr>
              <w:t>2002</w:t>
            </w:r>
            <w:r>
              <w:rPr>
                <w:rStyle w:val="FormatvorlageInstructionsTabelleText"/>
                <w:rFonts w:ascii="Times New Roman" w:hAnsi="Times New Roman"/>
                <w:color w:val="auto"/>
                <w:sz w:val="24"/>
              </w:rPr>
              <w:t>) qui ont une incidence sur l’évaluation des expositions conformément aux a</w:t>
            </w:r>
            <w:r>
              <w:rPr>
                <w:rStyle w:val="FormatvorlageInstructionsTabelleText"/>
                <w:rFonts w:ascii="Times New Roman" w:hAnsi="Times New Roman"/>
                <w:color w:val="auto"/>
                <w:sz w:val="24"/>
              </w:rPr>
              <w:t>r</w:t>
            </w:r>
            <w:r>
              <w:rPr>
                <w:rStyle w:val="FormatvorlageInstructionsTabelleText"/>
                <w:rFonts w:ascii="Times New Roman" w:hAnsi="Times New Roman"/>
                <w:color w:val="auto"/>
                <w:sz w:val="24"/>
              </w:rPr>
              <w:lastRenderedPageBreak/>
              <w:t xml:space="preserve">ticles </w:t>
            </w:r>
            <w:r w:rsidRPr="000D1548">
              <w:rPr>
                <w:rStyle w:val="FormatvorlageInstructionsTabelleText"/>
                <w:rFonts w:ascii="Times New Roman" w:hAnsi="Times New Roman"/>
                <w:color w:val="auto"/>
                <w:sz w:val="24"/>
              </w:rPr>
              <w:t>24</w:t>
            </w:r>
            <w:r>
              <w:rPr>
                <w:rStyle w:val="FormatvorlageInstructionsTabelleText"/>
                <w:rFonts w:ascii="Times New Roman" w:hAnsi="Times New Roman"/>
                <w:color w:val="auto"/>
                <w:sz w:val="24"/>
              </w:rPr>
              <w:t xml:space="preserve"> et </w:t>
            </w:r>
            <w:r w:rsidRPr="000D1548">
              <w:rPr>
                <w:rStyle w:val="FormatvorlageInstructionsTabelleText"/>
                <w:rFonts w:ascii="Times New Roman" w:hAnsi="Times New Roman"/>
                <w:color w:val="auto"/>
                <w:sz w:val="24"/>
              </w:rPr>
              <w:t>110</w:t>
            </w:r>
            <w:r>
              <w:rPr>
                <w:rStyle w:val="FormatvorlageInstructionsTabelleText"/>
                <w:rFonts w:ascii="Times New Roman" w:hAnsi="Times New Roman"/>
                <w:color w:val="auto"/>
                <w:sz w:val="24"/>
              </w:rPr>
              <w:t xml:space="preserve"> du </w:t>
            </w:r>
            <w:r>
              <w:rPr>
                <w:rStyle w:val="FormatvorlageInstructionsTabelleText"/>
                <w:rFonts w:ascii="Times New Roman" w:hAnsi="Times New Roman"/>
                <w:sz w:val="24"/>
              </w:rPr>
              <w:t>CRR</w:t>
            </w:r>
            <w:r>
              <w:rPr>
                <w:rStyle w:val="FormatvorlageInstructionsTabelleText"/>
                <w:rFonts w:ascii="Times New Roman" w:hAnsi="Times New Roman"/>
                <w:color w:val="auto"/>
                <w:sz w:val="24"/>
              </w:rPr>
              <w:t>.</w:t>
            </w:r>
            <w:r>
              <w:rPr>
                <w:rFonts w:ascii="Times New Roman" w:hAnsi="Times New Roman"/>
              </w:rPr>
              <w:t xml:space="preserve"> </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 xml:space="preserve">Les corrections de valeur et les provisions concernant l’exposition brute de la colonne </w:t>
            </w:r>
            <w:r w:rsidRPr="000D1548">
              <w:rPr>
                <w:rStyle w:val="FormatvorlageInstructionsTabelleText"/>
                <w:rFonts w:ascii="Times New Roman" w:hAnsi="Times New Roman"/>
                <w:color w:val="auto"/>
                <w:sz w:val="24"/>
              </w:rPr>
              <w:t>040</w:t>
            </w:r>
            <w:r>
              <w:rPr>
                <w:rStyle w:val="FormatvorlageInstructionsTabelleText"/>
                <w:rFonts w:ascii="Times New Roman" w:hAnsi="Times New Roman"/>
                <w:color w:val="auto"/>
                <w:sz w:val="24"/>
              </w:rPr>
              <w:t xml:space="preserve"> sont</w:t>
            </w:r>
            <w:r>
              <w:rPr>
                <w:rStyle w:val="FormatvorlageInstructionsTabelleText"/>
                <w:rFonts w:ascii="Times New Roman" w:hAnsi="Times New Roman"/>
                <w:sz w:val="24"/>
              </w:rPr>
              <w:t xml:space="preserve"> déclarées dans cette colonne. </w:t>
            </w:r>
          </w:p>
          <w:p w:rsidR="00BB3751" w:rsidRPr="00384ADB" w:rsidRDefault="00BB3751" w:rsidP="00751BC8">
            <w:pPr>
              <w:pStyle w:val="Default"/>
              <w:jc w:val="both"/>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lastRenderedPageBreak/>
              <w:t>200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Expositions déduites des fonds propres</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Article </w:t>
            </w:r>
            <w:r w:rsidRPr="000D1548">
              <w:rPr>
                <w:rStyle w:val="InstructionsTabelleberschrift"/>
                <w:rFonts w:ascii="Times New Roman" w:hAnsi="Times New Roman"/>
                <w:b w:val="0"/>
                <w:sz w:val="24"/>
                <w:u w:val="none"/>
              </w:rPr>
              <w:t>390</w:t>
            </w:r>
            <w:r>
              <w:rPr>
                <w:rStyle w:val="InstructionsTabelleberschrift"/>
                <w:rFonts w:ascii="Times New Roman" w:hAnsi="Times New Roman"/>
                <w:b w:val="0"/>
                <w:sz w:val="24"/>
                <w:u w:val="none"/>
              </w:rPr>
              <w:t xml:space="preserve">, paragraphe </w:t>
            </w:r>
            <w:r w:rsidRPr="000D1548">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 point e), du </w:t>
            </w:r>
            <w:r>
              <w:rPr>
                <w:rStyle w:val="FormatvorlageInstructionsTabelleText"/>
                <w:rFonts w:ascii="Times New Roman" w:hAnsi="Times New Roman"/>
                <w:sz w:val="24"/>
              </w:rPr>
              <w:t xml:space="preserve">CRR. </w:t>
            </w:r>
          </w:p>
          <w:p w:rsidR="00B0191A" w:rsidRPr="00384ADB" w:rsidRDefault="00B0191A">
            <w:pPr>
              <w:pStyle w:val="InstructionsText"/>
              <w:rPr>
                <w:rStyle w:val="FormatvorlageInstructionsTabelleText"/>
                <w:rFonts w:ascii="Times New Roman" w:eastAsia="Calibri" w:hAnsi="Times New Roman"/>
                <w:color w:val="000000"/>
                <w:sz w:val="24"/>
              </w:rPr>
            </w:pPr>
          </w:p>
          <w:p w:rsidR="00B0191A" w:rsidRPr="00384ADB" w:rsidRDefault="00BB3751">
            <w:pPr>
              <w:pStyle w:val="InstructionsText"/>
              <w:rPr>
                <w:rStyle w:val="FormatvorlageInstructionsTabelleText"/>
                <w:rFonts w:ascii="Times New Roman" w:eastAsia="Calibri" w:hAnsi="Times New Roman"/>
                <w:color w:val="000000"/>
                <w:sz w:val="24"/>
              </w:rPr>
            </w:pPr>
            <w:r>
              <w:rPr>
                <w:rStyle w:val="FormatvorlageInstructionsTabelleText"/>
                <w:rFonts w:ascii="Times New Roman" w:hAnsi="Times New Roman"/>
                <w:sz w:val="24"/>
              </w:rPr>
              <w:t>Les expositions déduites des fonds propres, qui sont incluses dans les diff</w:t>
            </w:r>
            <w:r>
              <w:rPr>
                <w:rStyle w:val="FormatvorlageInstructionsTabelleText"/>
                <w:rFonts w:ascii="Times New Roman" w:hAnsi="Times New Roman"/>
                <w:sz w:val="24"/>
              </w:rPr>
              <w:t>é</w:t>
            </w:r>
            <w:r>
              <w:rPr>
                <w:rStyle w:val="FormatvorlageInstructionsTabelleText"/>
                <w:rFonts w:ascii="Times New Roman" w:hAnsi="Times New Roman"/>
                <w:sz w:val="24"/>
              </w:rPr>
              <w:t xml:space="preserve">rentes colonnes du Total des expositions initiales, sont déclarées. </w:t>
            </w:r>
          </w:p>
          <w:p w:rsidR="00BB3751" w:rsidRPr="00F40CD9" w:rsidRDefault="00BB3751" w:rsidP="001E6FAF">
            <w:pPr>
              <w:pStyle w:val="Default"/>
              <w:jc w:val="both"/>
              <w:rPr>
                <w:rStyle w:val="FormatvorlageInstructionsTabelleText"/>
                <w:rFonts w:ascii="Times New Roman" w:hAnsi="Times New Roman"/>
                <w:b/>
                <w:sz w:val="24"/>
              </w:rPr>
            </w:pPr>
          </w:p>
        </w:tc>
      </w:tr>
      <w:tr w:rsidR="00BB3751" w:rsidRPr="00384ADB" w:rsidTr="00E17043">
        <w:tc>
          <w:tcPr>
            <w:tcW w:w="1418" w:type="dxa"/>
            <w:vAlign w:val="center"/>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210</w:t>
            </w:r>
            <w:r>
              <w:rPr>
                <w:rStyle w:val="FormatvorlageInstructionsTabelleText"/>
                <w:rFonts w:ascii="Times New Roman" w:hAnsi="Times New Roman"/>
                <w:b/>
                <w:sz w:val="24"/>
              </w:rPr>
              <w:t>-</w:t>
            </w:r>
            <w:r w:rsidRPr="000D1548">
              <w:rPr>
                <w:rStyle w:val="FormatvorlageInstructionsTabelleText"/>
                <w:rFonts w:ascii="Times New Roman" w:hAnsi="Times New Roman"/>
                <w:b/>
                <w:sz w:val="24"/>
              </w:rPr>
              <w:t>230</w:t>
            </w:r>
          </w:p>
        </w:tc>
        <w:tc>
          <w:tcPr>
            <w:tcW w:w="7620" w:type="dxa"/>
            <w:vAlign w:val="center"/>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Valeur exposée au risque avant application des exemptions et de l’ARC</w:t>
            </w:r>
          </w:p>
          <w:p w:rsidR="00BB3751" w:rsidRPr="00384ADB" w:rsidRDefault="00BB3751" w:rsidP="005149C1">
            <w:pPr>
              <w:pStyle w:val="Default"/>
              <w:rPr>
                <w:rFonts w:ascii="Times New Roman" w:hAnsi="Times New Roman" w:cs="Times New Roman"/>
                <w:b/>
              </w:rPr>
            </w:pPr>
          </w:p>
          <w:p w:rsidR="00BB3751" w:rsidRPr="00384ADB" w:rsidRDefault="00BB3751" w:rsidP="0039317F">
            <w:pPr>
              <w:pStyle w:val="InstructionsText"/>
            </w:pPr>
            <w:r>
              <w:t xml:space="preserve">Article </w:t>
            </w:r>
            <w:r w:rsidRPr="000D1548">
              <w:t>394</w:t>
            </w:r>
            <w:r>
              <w:t xml:space="preserve">, paragraphe </w:t>
            </w:r>
            <w:r w:rsidRPr="000D1548">
              <w:t>1</w:t>
            </w:r>
            <w:r>
              <w:t xml:space="preserve">, point b), du </w:t>
            </w:r>
            <w:r>
              <w:rPr>
                <w:rStyle w:val="FormatvorlageInstructionsTabelleText"/>
                <w:rFonts w:ascii="Times New Roman" w:hAnsi="Times New Roman"/>
                <w:sz w:val="24"/>
              </w:rPr>
              <w:t>CRR</w:t>
            </w:r>
            <w:r>
              <w:t>.</w:t>
            </w:r>
          </w:p>
          <w:p w:rsidR="00BB3751" w:rsidRPr="00384ADB" w:rsidRDefault="00BB3751" w:rsidP="0039317F">
            <w:pPr>
              <w:pStyle w:val="InstructionsText"/>
            </w:pPr>
          </w:p>
          <w:p w:rsidR="00BB3751" w:rsidRPr="00384ADB" w:rsidRDefault="008A4511" w:rsidP="0039317F">
            <w:pPr>
              <w:pStyle w:val="InstructionsText"/>
            </w:pPr>
            <w:r>
              <w:t>Les établissements déclarent la valeur exposée au risque avant prise en co</w:t>
            </w:r>
            <w:r>
              <w:t>n</w:t>
            </w:r>
            <w:r>
              <w:t>sidération de l’effet de l’atténuation du risque de crédit, le cas échéant.</w:t>
            </w:r>
          </w:p>
          <w:p w:rsidR="00BB3751" w:rsidRPr="00384ADB" w:rsidRDefault="00BB3751"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210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w:t>
            </w:r>
          </w:p>
          <w:p w:rsidR="00BB3751" w:rsidRPr="0039317F" w:rsidRDefault="00BB3751" w:rsidP="0039317F">
            <w:pPr>
              <w:pStyle w:val="InstructionsText"/>
            </w:pPr>
          </w:p>
          <w:p w:rsidR="00BB3751" w:rsidRPr="0039317F" w:rsidRDefault="00BB3751" w:rsidP="0039317F">
            <w:pPr>
              <w:pStyle w:val="InstructionsText"/>
            </w:pPr>
            <w:r>
              <w:t>La valeur exposée au risque à déclarer dans cette colonne est le montant ut</w:t>
            </w:r>
            <w:r>
              <w:t>i</w:t>
            </w:r>
            <w:r>
              <w:t xml:space="preserve">lisé pour déterminer si une exposition est considérée comme un grand risque au sens de l’article </w:t>
            </w:r>
            <w:r w:rsidRPr="000D1548">
              <w:t>392</w:t>
            </w:r>
            <w:r>
              <w:t xml:space="preserve"> du </w:t>
            </w:r>
            <w:r>
              <w:rPr>
                <w:rStyle w:val="FormatvorlageInstructionsTabelleText"/>
                <w:rFonts w:ascii="Times New Roman" w:hAnsi="Times New Roman"/>
                <w:sz w:val="24"/>
              </w:rPr>
              <w:t>CRR</w:t>
            </w:r>
            <w:r>
              <w:t>.</w:t>
            </w:r>
          </w:p>
          <w:p w:rsidR="00B0191A" w:rsidRPr="0039317F" w:rsidRDefault="00B0191A" w:rsidP="000F0ADE">
            <w:pPr>
              <w:pStyle w:val="InstructionsText"/>
            </w:pPr>
          </w:p>
          <w:p w:rsidR="00B0191A" w:rsidRPr="0039317F" w:rsidRDefault="00BB3751">
            <w:pPr>
              <w:pStyle w:val="InstructionsText"/>
            </w:pPr>
            <w:r>
              <w:t>Cela inclut l’exposition initiale après avoir déduit les corrections de valeur et les provisions et le montant des expositions déduites des fonds propres.</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220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Portefeuille hors négociation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 montant de l’exposition totale avant exemptions et atténuation du risque de crédit correspondant au portefeuille hors négociation.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230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des fonds propres éligibles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w:t>
            </w:r>
            <w:r w:rsidRPr="000D154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paragraphe </w:t>
            </w:r>
            <w:r w:rsidRPr="000D154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point </w:t>
            </w:r>
            <w:r w:rsidRPr="000D1548">
              <w:rPr>
                <w:rStyle w:val="InstructionsTabelleberschrift"/>
                <w:rFonts w:ascii="Times New Roman" w:hAnsi="Times New Roman"/>
                <w:b w:val="0"/>
                <w:sz w:val="24"/>
                <w:u w:val="none"/>
              </w:rPr>
              <w:t>71</w:t>
            </w:r>
            <w:r>
              <w:rPr>
                <w:rStyle w:val="InstructionsTabelleberschrift"/>
                <w:rFonts w:ascii="Times New Roman" w:hAnsi="Times New Roman"/>
                <w:b w:val="0"/>
                <w:sz w:val="24"/>
                <w:u w:val="none"/>
              </w:rPr>
              <w:t xml:space="preserve"> b), et article </w:t>
            </w:r>
            <w:r w:rsidRPr="000D1548">
              <w:rPr>
                <w:rStyle w:val="InstructionsTabelleberschrift"/>
                <w:rFonts w:ascii="Times New Roman" w:hAnsi="Times New Roman"/>
                <w:b w:val="0"/>
                <w:sz w:val="24"/>
                <w:u w:val="none"/>
              </w:rPr>
              <w:t>395</w:t>
            </w:r>
            <w:r>
              <w:rPr>
                <w:rStyle w:val="InstructionsTabelleberschrift"/>
                <w:rFonts w:ascii="Times New Roman" w:hAnsi="Times New Roman"/>
                <w:b w:val="0"/>
                <w:sz w:val="24"/>
                <w:u w:val="none"/>
              </w:rPr>
              <w:t xml:space="preserve">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B3751" w:rsidRPr="00384ADB" w:rsidRDefault="00BB3751" w:rsidP="004675B7">
            <w:pPr>
              <w:spacing w:before="0" w:after="0"/>
              <w:rPr>
                <w:rStyle w:val="InstructionsTabelleberschrift"/>
                <w:rFonts w:ascii="Times New Roman" w:hAnsi="Times New Roman"/>
                <w:b w:val="0"/>
                <w:bCs w:val="0"/>
                <w:sz w:val="24"/>
                <w:u w:val="none"/>
              </w:rPr>
            </w:pPr>
          </w:p>
          <w:p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 montant à déclarer est le pourcentage de la valeur exposée au risque avant application des exemptions et de l’atténuation du risque de crédit ra</w:t>
            </w:r>
            <w:r>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 xml:space="preserve">portée aux fonds propres éligibles de l’établissement, tels que définis à l’article </w:t>
            </w:r>
            <w:r w:rsidRPr="000D154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paragraphe </w:t>
            </w:r>
            <w:r w:rsidRPr="000D154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point </w:t>
            </w:r>
            <w:r w:rsidRPr="000D1548">
              <w:rPr>
                <w:rStyle w:val="InstructionsTabelleberschrift"/>
                <w:rFonts w:ascii="Times New Roman" w:hAnsi="Times New Roman"/>
                <w:b w:val="0"/>
                <w:sz w:val="24"/>
                <w:u w:val="none"/>
              </w:rPr>
              <w:t>71</w:t>
            </w:r>
            <w:r>
              <w:rPr>
                <w:rStyle w:val="InstructionsTabelleberschrift"/>
                <w:rFonts w:ascii="Times New Roman" w:hAnsi="Times New Roman"/>
                <w:b w:val="0"/>
                <w:sz w:val="24"/>
                <w:u w:val="none"/>
              </w:rPr>
              <w:t xml:space="preserve"> b),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B3751" w:rsidRPr="00384ADB" w:rsidRDefault="00BB3751" w:rsidP="00151B6A">
            <w:pPr>
              <w:spacing w:before="0" w:after="0"/>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240</w:t>
            </w:r>
            <w:r>
              <w:rPr>
                <w:rStyle w:val="FormatvorlageInstructionsTabelleText"/>
                <w:rFonts w:ascii="Times New Roman" w:hAnsi="Times New Roman"/>
                <w:b/>
                <w:sz w:val="24"/>
              </w:rPr>
              <w:t>-</w:t>
            </w:r>
            <w:r w:rsidRPr="000D1548">
              <w:rPr>
                <w:rStyle w:val="FormatvorlageInstructionsTabelleText"/>
                <w:rFonts w:ascii="Times New Roman" w:hAnsi="Times New Roman"/>
                <w:b/>
                <w:sz w:val="24"/>
              </w:rPr>
              <w:t>310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Techniques d’atténuation du risque de crédit (ARC) éligibles</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w:t>
            </w:r>
            <w:r w:rsidRPr="000D1548">
              <w:rPr>
                <w:rStyle w:val="InstructionsTabelleberschrift"/>
                <w:rFonts w:ascii="Times New Roman" w:hAnsi="Times New Roman"/>
                <w:b w:val="0"/>
                <w:sz w:val="24"/>
                <w:u w:val="none"/>
              </w:rPr>
              <w:t>399</w:t>
            </w:r>
            <w:r>
              <w:rPr>
                <w:rStyle w:val="InstructionsTabelleberschrift"/>
                <w:rFonts w:ascii="Times New Roman" w:hAnsi="Times New Roman"/>
                <w:b w:val="0"/>
                <w:sz w:val="24"/>
                <w:u w:val="none"/>
              </w:rPr>
              <w:t xml:space="preserve"> et article </w:t>
            </w:r>
            <w:r w:rsidRPr="000D1548">
              <w:rPr>
                <w:rStyle w:val="InstructionsTabelleberschrift"/>
                <w:rFonts w:ascii="Times New Roman" w:hAnsi="Times New Roman"/>
                <w:b w:val="0"/>
                <w:sz w:val="24"/>
                <w:u w:val="none"/>
              </w:rPr>
              <w:t>401</w:t>
            </w:r>
            <w:r>
              <w:rPr>
                <w:rStyle w:val="InstructionsTabelleberschrift"/>
                <w:rFonts w:ascii="Times New Roman" w:hAnsi="Times New Roman"/>
                <w:b w:val="0"/>
                <w:sz w:val="24"/>
                <w:u w:val="none"/>
              </w:rPr>
              <w:t xml:space="preserve"> à </w:t>
            </w:r>
            <w:r w:rsidRPr="000D1548">
              <w:rPr>
                <w:rStyle w:val="InstructionsTabelleberschrift"/>
                <w:rFonts w:ascii="Times New Roman" w:hAnsi="Times New Roman"/>
                <w:b w:val="0"/>
                <w:sz w:val="24"/>
                <w:u w:val="none"/>
              </w:rPr>
              <w:t>403</w:t>
            </w:r>
            <w:r>
              <w:rPr>
                <w:rStyle w:val="InstructionsTabelleberschrift"/>
                <w:rFonts w:ascii="Times New Roman" w:hAnsi="Times New Roman"/>
                <w:b w:val="0"/>
                <w:sz w:val="24"/>
                <w:u w:val="none"/>
              </w:rPr>
              <w:t xml:space="preserve">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Techniques d’ARC telles que définies à l’article </w:t>
            </w:r>
            <w:r w:rsidRPr="000D154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 xml:space="preserve">, point </w:t>
            </w:r>
            <w:r w:rsidRPr="000D1548">
              <w:rPr>
                <w:rStyle w:val="FormatvorlageInstructionsTabelleText"/>
                <w:rFonts w:ascii="Times New Roman" w:hAnsi="Times New Roman"/>
                <w:sz w:val="24"/>
              </w:rPr>
              <w:t>57</w:t>
            </w:r>
            <w:r>
              <w:rPr>
                <w:rStyle w:val="FormatvorlageInstructionsTabelleText"/>
                <w:rFonts w:ascii="Times New Roman" w:hAnsi="Times New Roman"/>
                <w:sz w:val="24"/>
              </w:rPr>
              <w:t>, du CRR.</w:t>
            </w:r>
          </w:p>
          <w:p w:rsidR="00BB3751" w:rsidRPr="00384ADB" w:rsidRDefault="00BB3751" w:rsidP="004675B7">
            <w:pPr>
              <w:spacing w:before="0" w:after="0"/>
              <w:rPr>
                <w:rStyle w:val="FormatvorlageInstructionsTabelleText"/>
                <w:rFonts w:ascii="Times New Roman" w:hAnsi="Times New Roman"/>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Pour les besoins de cette déclaration, les techniques d’ARC reconnues dans </w:t>
            </w:r>
            <w:r>
              <w:rPr>
                <w:rStyle w:val="FormatvorlageInstructionsTabelleText"/>
                <w:rFonts w:ascii="Times New Roman" w:hAnsi="Times New Roman"/>
                <w:sz w:val="24"/>
              </w:rPr>
              <w:lastRenderedPageBreak/>
              <w:t xml:space="preserve">la troisième partie, titre II, chapitres </w:t>
            </w:r>
            <w:r w:rsidRPr="000D1548">
              <w:rPr>
                <w:rStyle w:val="FormatvorlageInstructionsTabelleText"/>
                <w:rFonts w:ascii="Times New Roman" w:hAnsi="Times New Roman"/>
                <w:sz w:val="24"/>
              </w:rPr>
              <w:t>3</w:t>
            </w:r>
            <w:r>
              <w:rPr>
                <w:rStyle w:val="FormatvorlageInstructionsTabelleText"/>
                <w:rFonts w:ascii="Times New Roman" w:hAnsi="Times New Roman"/>
                <w:sz w:val="24"/>
              </w:rPr>
              <w:t xml:space="preserve"> et </w:t>
            </w:r>
            <w:r w:rsidRPr="000D1548">
              <w:rPr>
                <w:rStyle w:val="FormatvorlageInstructionsTabelleText"/>
                <w:rFonts w:ascii="Times New Roman" w:hAnsi="Times New Roman"/>
                <w:sz w:val="24"/>
              </w:rPr>
              <w:t>4</w:t>
            </w:r>
            <w:r>
              <w:rPr>
                <w:rStyle w:val="FormatvorlageInstructionsTabelleText"/>
                <w:rFonts w:ascii="Times New Roman" w:hAnsi="Times New Roman"/>
                <w:sz w:val="24"/>
              </w:rPr>
              <w:t>, du CRR sont utilisées c</w:t>
            </w:r>
            <w:r>
              <w:rPr>
                <w:rStyle w:val="InstructionsTabelleberschrift"/>
                <w:rFonts w:ascii="Times New Roman" w:hAnsi="Times New Roman"/>
                <w:b w:val="0"/>
                <w:sz w:val="24"/>
                <w:u w:val="none"/>
              </w:rPr>
              <w:t>onfo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mément aux articles </w:t>
            </w:r>
            <w:r w:rsidRPr="000D1548">
              <w:rPr>
                <w:rStyle w:val="InstructionsTabelleberschrift"/>
                <w:rFonts w:ascii="Times New Roman" w:hAnsi="Times New Roman"/>
                <w:b w:val="0"/>
                <w:sz w:val="24"/>
                <w:u w:val="none"/>
              </w:rPr>
              <w:t>401</w:t>
            </w:r>
            <w:r>
              <w:rPr>
                <w:rStyle w:val="InstructionsTabelleberschrift"/>
                <w:rFonts w:ascii="Times New Roman" w:hAnsi="Times New Roman"/>
                <w:b w:val="0"/>
                <w:sz w:val="24"/>
                <w:u w:val="none"/>
              </w:rPr>
              <w:t xml:space="preserve"> à </w:t>
            </w:r>
            <w:r w:rsidRPr="000D1548">
              <w:rPr>
                <w:rStyle w:val="InstructionsTabelleberschrift"/>
                <w:rFonts w:ascii="Times New Roman" w:hAnsi="Times New Roman"/>
                <w:b w:val="0"/>
                <w:sz w:val="24"/>
                <w:u w:val="none"/>
              </w:rPr>
              <w:t>403</w:t>
            </w:r>
            <w:r>
              <w:rPr>
                <w:rStyle w:val="InstructionsTabelleberschrift"/>
                <w:rFonts w:ascii="Times New Roman" w:hAnsi="Times New Roman"/>
                <w:b w:val="0"/>
                <w:sz w:val="24"/>
                <w:u w:val="none"/>
              </w:rPr>
              <w:t xml:space="preserve">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w:t>
            </w:r>
          </w:p>
          <w:p w:rsidR="00BB3751" w:rsidRPr="00384ADB" w:rsidRDefault="00BB3751" w:rsidP="004675B7">
            <w:pPr>
              <w:spacing w:before="0" w:after="0"/>
              <w:rPr>
                <w:rStyle w:val="InstructionsTabelleberschrift"/>
                <w:rFonts w:ascii="Times New Roman" w:hAnsi="Times New Roman"/>
                <w:b w:val="0"/>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Dans le cadre du régime des grands risques, ces techniques peuvent exercer trois effets: effet de substitution; protection de crédit financée autre que l’effet de substitution; traitement des biens immobiliers.</w:t>
            </w:r>
          </w:p>
          <w:p w:rsidR="00BB3751" w:rsidRPr="00384ADB" w:rsidRDefault="00BB3751" w:rsidP="00E02226">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lastRenderedPageBreak/>
              <w:t>240</w:t>
            </w:r>
            <w:r>
              <w:rPr>
                <w:rStyle w:val="FormatvorlageInstructionsTabelleText"/>
                <w:rFonts w:ascii="Times New Roman" w:hAnsi="Times New Roman"/>
                <w:b/>
                <w:sz w:val="24"/>
              </w:rPr>
              <w:t>-</w:t>
            </w:r>
            <w:r w:rsidRPr="000D1548">
              <w:rPr>
                <w:rStyle w:val="FormatvorlageInstructionsTabelleText"/>
                <w:rFonts w:ascii="Times New Roman" w:hAnsi="Times New Roman"/>
                <w:b/>
                <w:sz w:val="24"/>
              </w:rPr>
              <w:t>290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Effet de substitution des techniques d’atténuation du risque de crédit éligibles</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9317F"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w:t>
            </w:r>
            <w:r w:rsidRPr="000D1548">
              <w:rPr>
                <w:rStyle w:val="InstructionsTabelleberschrift"/>
                <w:rFonts w:ascii="Times New Roman" w:hAnsi="Times New Roman"/>
                <w:b w:val="0"/>
                <w:sz w:val="24"/>
                <w:u w:val="none"/>
              </w:rPr>
              <w:t>403</w:t>
            </w:r>
            <w:r>
              <w:rPr>
                <w:rStyle w:val="InstructionsTabelleberschrift"/>
                <w:rFonts w:ascii="Times New Roman" w:hAnsi="Times New Roman"/>
                <w:b w:val="0"/>
                <w:sz w:val="24"/>
                <w:u w:val="none"/>
              </w:rPr>
              <w:t xml:space="preserve">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0191A" w:rsidRPr="0039317F" w:rsidRDefault="00B0191A" w:rsidP="000F0ADE">
            <w:pPr>
              <w:pStyle w:val="InstructionsText"/>
              <w:rPr>
                <w:rStyle w:val="InstructionsTabelleberschrift"/>
                <w:rFonts w:ascii="Times New Roman" w:hAnsi="Times New Roman"/>
                <w:b w:val="0"/>
                <w:sz w:val="24"/>
                <w:u w:val="none"/>
              </w:rPr>
            </w:pPr>
          </w:p>
          <w:p w:rsidR="00B0191A" w:rsidRPr="0039317F" w:rsidRDefault="00BB3751" w:rsidP="000F0ADE">
            <w:pPr>
              <w:pStyle w:val="InstructionsText"/>
            </w:pPr>
            <w:r>
              <w:rPr>
                <w:rStyle w:val="InstructionsTabelleberschrift"/>
                <w:rFonts w:ascii="Times New Roman" w:hAnsi="Times New Roman"/>
                <w:b w:val="0"/>
                <w:sz w:val="24"/>
                <w:u w:val="none"/>
              </w:rPr>
              <w:t>Le montant de la protection de crédit financée et non financée à déclarer dans ces colonnes correspond aux expositions garanties par un tiers ou par une sûreté émise p</w:t>
            </w:r>
            <w:r>
              <w:t>ar un tiers, lorsque l’établissement décide de traiter l’exposition comme ayant été prise sur le garant ou l’émetteur de sûretés.</w:t>
            </w:r>
          </w:p>
          <w:p w:rsidR="00B0191A" w:rsidRPr="00384ADB" w:rsidRDefault="00B0191A">
            <w:pPr>
              <w:pStyle w:val="InstructionsText"/>
              <w:rPr>
                <w:rStyle w:val="InstructionsTabelleberschrift"/>
                <w:rFonts w:ascii="Times New Roman" w:hAnsi="Times New Roman"/>
                <w:b w:val="0"/>
                <w:bCs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240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Instruments de dette</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Voir colonne </w:t>
            </w:r>
            <w:r w:rsidRPr="000D1548">
              <w:rPr>
                <w:rStyle w:val="FormatvorlageInstructionsTabelleText"/>
                <w:rFonts w:ascii="Times New Roman" w:hAnsi="Times New Roman"/>
                <w:sz w:val="24"/>
              </w:rPr>
              <w:t>060</w:t>
            </w:r>
            <w:r>
              <w:rPr>
                <w:rStyle w:val="FormatvorlageInstructionsTabelleText"/>
                <w:rFonts w:ascii="Times New Roman" w:hAnsi="Times New Roman"/>
                <w:sz w:val="24"/>
              </w:rPr>
              <w:t>.</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250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Instruments de capitaux propres</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Voir colonne </w:t>
            </w:r>
            <w:r w:rsidRPr="000D1548">
              <w:rPr>
                <w:rStyle w:val="InstructionsTabelleberschrift"/>
                <w:rFonts w:ascii="Times New Roman" w:hAnsi="Times New Roman"/>
                <w:b w:val="0"/>
                <w:sz w:val="24"/>
                <w:u w:val="none"/>
              </w:rPr>
              <w:t>070</w:t>
            </w:r>
            <w:r>
              <w:rPr>
                <w:rStyle w:val="InstructionsTabelleberschrift"/>
                <w:rFonts w:ascii="Times New Roman" w:hAnsi="Times New Roman"/>
                <w:b w:val="0"/>
                <w:sz w:val="24"/>
                <w:u w:val="none"/>
              </w:rPr>
              <w:t>.</w:t>
            </w:r>
          </w:p>
          <w:p w:rsidR="00B0191A" w:rsidRPr="00384ADB" w:rsidRDefault="00B0191A"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260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Dérivés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Voir colonne </w:t>
            </w:r>
            <w:r w:rsidRPr="000D1548">
              <w:rPr>
                <w:rStyle w:val="FormatvorlageInstructionsTabelleText"/>
                <w:rFonts w:ascii="Times New Roman" w:hAnsi="Times New Roman"/>
                <w:sz w:val="24"/>
              </w:rPr>
              <w:t>080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270</w:t>
            </w:r>
            <w:r>
              <w:rPr>
                <w:rStyle w:val="FormatvorlageInstructionsTabelleText"/>
                <w:rFonts w:ascii="Times New Roman" w:hAnsi="Times New Roman"/>
                <w:b/>
                <w:sz w:val="24"/>
              </w:rPr>
              <w:t>-</w:t>
            </w:r>
            <w:r w:rsidRPr="000D1548">
              <w:rPr>
                <w:rStyle w:val="FormatvorlageInstructionsTabelleText"/>
                <w:rFonts w:ascii="Times New Roman" w:hAnsi="Times New Roman"/>
                <w:b/>
                <w:sz w:val="24"/>
              </w:rPr>
              <w:t>290</w:t>
            </w:r>
          </w:p>
        </w:tc>
        <w:tc>
          <w:tcPr>
            <w:tcW w:w="7620" w:type="dxa"/>
          </w:tcPr>
          <w:p w:rsidR="00BB3751" w:rsidRPr="00384ADB" w:rsidRDefault="00BB3751" w:rsidP="0039317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Éléments de hors bilan</w:t>
            </w:r>
          </w:p>
          <w:p w:rsidR="00BB3751" w:rsidRPr="00384ADB" w:rsidRDefault="00BB3751" w:rsidP="0039317F">
            <w:pPr>
              <w:pStyle w:val="InstructionsText"/>
              <w:rPr>
                <w:rStyle w:val="InstructionsTabelleberschrift"/>
                <w:rFonts w:ascii="Times New Roman" w:hAnsi="Times New Roman"/>
                <w:b w:val="0"/>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La valeur de ces colonnes ne tient pas compte de l’application des facteurs de conversion.</w:t>
            </w:r>
          </w:p>
          <w:p w:rsidR="00BB3751" w:rsidRPr="00384ADB" w:rsidRDefault="00BB3751" w:rsidP="0039317F">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270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Engagements de prêts</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Voir colonne </w:t>
            </w:r>
            <w:r w:rsidRPr="000D1548">
              <w:rPr>
                <w:rStyle w:val="FormatvorlageInstructionsTabelleText"/>
                <w:rFonts w:ascii="Times New Roman" w:hAnsi="Times New Roman"/>
                <w:sz w:val="24"/>
              </w:rPr>
              <w:t>090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280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Garanties financières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Voir colonne </w:t>
            </w:r>
            <w:r w:rsidRPr="000D1548">
              <w:rPr>
                <w:rStyle w:val="FormatvorlageInstructionsTabelleText"/>
                <w:rFonts w:ascii="Times New Roman" w:hAnsi="Times New Roman"/>
                <w:sz w:val="24"/>
              </w:rPr>
              <w:t>100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290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Autres engagements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Voir colonne </w:t>
            </w:r>
            <w:r w:rsidRPr="000D1548">
              <w:rPr>
                <w:rStyle w:val="FormatvorlageInstructionsTabelleText"/>
                <w:rFonts w:ascii="Times New Roman" w:hAnsi="Times New Roman"/>
                <w:sz w:val="24"/>
              </w:rPr>
              <w:t>110</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300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Protection de crédit financée autre qu’effet de substitution</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w:t>
            </w:r>
            <w:r w:rsidRPr="000D1548">
              <w:rPr>
                <w:rStyle w:val="InstructionsTabelleberschrift"/>
                <w:rFonts w:ascii="Times New Roman" w:hAnsi="Times New Roman"/>
                <w:b w:val="0"/>
                <w:sz w:val="24"/>
                <w:u w:val="none"/>
              </w:rPr>
              <w:t>401</w:t>
            </w:r>
            <w:r>
              <w:rPr>
                <w:rStyle w:val="InstructionsTabelleberschrift"/>
                <w:rFonts w:ascii="Times New Roman" w:hAnsi="Times New Roman"/>
                <w:b w:val="0"/>
                <w:sz w:val="24"/>
                <w:u w:val="none"/>
              </w:rPr>
              <w:t xml:space="preserve">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L’établissement déclare les montants de protection de crédit financée, telle que définie à l’article </w:t>
            </w:r>
            <w:r w:rsidRPr="000D154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paragraphe </w:t>
            </w:r>
            <w:r w:rsidRPr="000D154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point </w:t>
            </w:r>
            <w:r w:rsidRPr="000D1548">
              <w:rPr>
                <w:rStyle w:val="InstructionsTabelleberschrift"/>
                <w:rFonts w:ascii="Times New Roman" w:hAnsi="Times New Roman"/>
                <w:b w:val="0"/>
                <w:sz w:val="24"/>
                <w:u w:val="none"/>
              </w:rPr>
              <w:t>58</w:t>
            </w:r>
            <w:r>
              <w:rPr>
                <w:rStyle w:val="InstructionsTabelleberschrift"/>
                <w:rFonts w:ascii="Times New Roman" w:hAnsi="Times New Roman"/>
                <w:b w:val="0"/>
                <w:sz w:val="24"/>
                <w:u w:val="none"/>
              </w:rPr>
              <w:t xml:space="preserve">,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qui sont déduits de la valeur exposée au risque en raison de l’application de l’article </w:t>
            </w:r>
            <w:r w:rsidRPr="000D1548">
              <w:rPr>
                <w:rStyle w:val="InstructionsTabelleberschrift"/>
                <w:rFonts w:ascii="Times New Roman" w:hAnsi="Times New Roman"/>
                <w:b w:val="0"/>
                <w:sz w:val="24"/>
                <w:u w:val="none"/>
              </w:rPr>
              <w:t>401</w:t>
            </w:r>
            <w:r>
              <w:rPr>
                <w:rStyle w:val="InstructionsTabelleberschrift"/>
                <w:rFonts w:ascii="Times New Roman" w:hAnsi="Times New Roman"/>
                <w:b w:val="0"/>
                <w:sz w:val="24"/>
                <w:u w:val="none"/>
              </w:rPr>
              <w:t xml:space="preserve">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lastRenderedPageBreak/>
              <w:t>310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Biens immobiliers</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w:t>
            </w:r>
            <w:r w:rsidRPr="000D1548">
              <w:rPr>
                <w:rStyle w:val="InstructionsTabelleberschrift"/>
                <w:rFonts w:ascii="Times New Roman" w:hAnsi="Times New Roman"/>
                <w:b w:val="0"/>
                <w:sz w:val="24"/>
                <w:u w:val="none"/>
              </w:rPr>
              <w:t>402</w:t>
            </w:r>
            <w:r>
              <w:rPr>
                <w:rStyle w:val="InstructionsTabelleberschrift"/>
                <w:rFonts w:ascii="Times New Roman" w:hAnsi="Times New Roman"/>
                <w:b w:val="0"/>
                <w:sz w:val="24"/>
                <w:u w:val="none"/>
              </w:rPr>
              <w:t xml:space="preserve">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L’établissement déclare les montants déduits de la valeur exposée au risque en raison de l’application de l’article </w:t>
            </w:r>
            <w:r w:rsidRPr="000D1548">
              <w:rPr>
                <w:rStyle w:val="InstructionsTabelleberschrift"/>
                <w:rFonts w:ascii="Times New Roman" w:hAnsi="Times New Roman"/>
                <w:b w:val="0"/>
                <w:sz w:val="24"/>
                <w:u w:val="none"/>
              </w:rPr>
              <w:t>402</w:t>
            </w:r>
            <w:r>
              <w:rPr>
                <w:rStyle w:val="InstructionsTabelleberschrift"/>
                <w:rFonts w:ascii="Times New Roman" w:hAnsi="Times New Roman"/>
                <w:b w:val="0"/>
                <w:sz w:val="24"/>
                <w:u w:val="none"/>
              </w:rPr>
              <w:t xml:space="preserve">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320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Montants exemptés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Article </w:t>
            </w:r>
            <w:r w:rsidRPr="000D1548">
              <w:rPr>
                <w:rStyle w:val="InstructionsTabelleberschrift"/>
                <w:rFonts w:ascii="Times New Roman" w:hAnsi="Times New Roman"/>
                <w:b w:val="0"/>
                <w:sz w:val="24"/>
                <w:u w:val="none"/>
              </w:rPr>
              <w:t>400</w:t>
            </w:r>
            <w:r>
              <w:rPr>
                <w:rStyle w:val="InstructionsTabelleberschrift"/>
                <w:rFonts w:ascii="Times New Roman" w:hAnsi="Times New Roman"/>
                <w:b w:val="0"/>
                <w:sz w:val="24"/>
                <w:u w:val="none"/>
              </w:rPr>
              <w:t xml:space="preserve">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B3751" w:rsidRPr="00384ADB" w:rsidRDefault="00BB3751" w:rsidP="00054652">
            <w:pPr>
              <w:spacing w:before="0" w:after="0"/>
              <w:rPr>
                <w:rStyle w:val="FormatvorlageInstructionsTabelleText"/>
                <w:rFonts w:ascii="Times New Roman" w:hAnsi="Times New Roman"/>
                <w:sz w:val="24"/>
              </w:rPr>
            </w:pPr>
          </w:p>
          <w:p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L’établissement déclare les </w:t>
            </w:r>
            <w:r>
              <w:rPr>
                <w:rStyle w:val="FormatvorlageInstructionsTabelleText"/>
                <w:rFonts w:ascii="Times New Roman" w:hAnsi="Times New Roman"/>
                <w:sz w:val="24"/>
              </w:rPr>
              <w:t>montants exemptés du régime des grands risques.</w:t>
            </w:r>
          </w:p>
          <w:p w:rsidR="00BB3751" w:rsidRPr="00384ADB" w:rsidRDefault="00BB3751" w:rsidP="006344BC">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330</w:t>
            </w:r>
            <w:r>
              <w:rPr>
                <w:rStyle w:val="FormatvorlageInstructionsTabelleText"/>
                <w:rFonts w:ascii="Times New Roman" w:hAnsi="Times New Roman"/>
                <w:b/>
                <w:sz w:val="24"/>
              </w:rPr>
              <w:t>-</w:t>
            </w:r>
            <w:r w:rsidRPr="000D1548">
              <w:rPr>
                <w:rStyle w:val="FormatvorlageInstructionsTabelleText"/>
                <w:rFonts w:ascii="Times New Roman" w:hAnsi="Times New Roman"/>
                <w:b/>
                <w:sz w:val="24"/>
              </w:rPr>
              <w:t>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Valeur exposée au risque après application des exemptions et de l’ARC</w:t>
            </w:r>
          </w:p>
          <w:p w:rsidR="00BB3751" w:rsidRPr="0039317F" w:rsidRDefault="00BB3751" w:rsidP="0039317F">
            <w:pPr>
              <w:pStyle w:val="InstructionsText"/>
            </w:pPr>
          </w:p>
          <w:p w:rsidR="00BB3751" w:rsidRPr="0039317F" w:rsidRDefault="00BB3751" w:rsidP="0039317F">
            <w:pPr>
              <w:pStyle w:val="InstructionsText"/>
            </w:pPr>
            <w:r>
              <w:t xml:space="preserve">Article </w:t>
            </w:r>
            <w:r w:rsidRPr="000D1548">
              <w:t>394</w:t>
            </w:r>
            <w:r>
              <w:t xml:space="preserve">, paragraphe </w:t>
            </w:r>
            <w:r w:rsidRPr="000D1548">
              <w:t>1</w:t>
            </w:r>
            <w:r>
              <w:t xml:space="preserve">, point d), du </w:t>
            </w:r>
            <w:r>
              <w:rPr>
                <w:rStyle w:val="FormatvorlageInstructionsTabelleText"/>
                <w:rFonts w:ascii="Times New Roman" w:hAnsi="Times New Roman"/>
                <w:sz w:val="24"/>
              </w:rPr>
              <w:t>CRR</w:t>
            </w:r>
            <w:r>
              <w:t>.</w:t>
            </w:r>
          </w:p>
          <w:p w:rsidR="00B0191A" w:rsidRPr="0039317F" w:rsidRDefault="00B0191A" w:rsidP="000F0ADE">
            <w:pPr>
              <w:pStyle w:val="InstructionsText"/>
            </w:pPr>
          </w:p>
          <w:p w:rsidR="00B0191A" w:rsidRPr="0039317F" w:rsidRDefault="0054768B">
            <w:pPr>
              <w:pStyle w:val="InstructionsText"/>
            </w:pPr>
            <w:r>
              <w:t>L’établissement déclare la valeur exposée au risque après prise en considér</w:t>
            </w:r>
            <w:r>
              <w:t>a</w:t>
            </w:r>
            <w:r>
              <w:t xml:space="preserve">tion de l’effet des exemptions et de l’atténuation du risque de crédit, tel que calculée aux fins de l’article </w:t>
            </w:r>
            <w:r w:rsidRPr="000D1548">
              <w:t>395</w:t>
            </w:r>
            <w:r>
              <w:t xml:space="preserve">, paragraphe </w:t>
            </w:r>
            <w:r w:rsidRPr="000D1548">
              <w:t>1</w:t>
            </w:r>
            <w:r>
              <w:t xml:space="preserve">, du </w:t>
            </w:r>
            <w:r>
              <w:rPr>
                <w:rStyle w:val="FormatvorlageInstructionsTabelleText"/>
                <w:rFonts w:ascii="Times New Roman" w:hAnsi="Times New Roman"/>
                <w:sz w:val="24"/>
              </w:rPr>
              <w:t>CRR</w:t>
            </w:r>
            <w:r>
              <w:t>.</w:t>
            </w:r>
          </w:p>
          <w:p w:rsidR="00B0191A" w:rsidRPr="00384ADB" w:rsidRDefault="00B0191A">
            <w:pPr>
              <w:pStyle w:val="InstructionsText"/>
              <w:rPr>
                <w:rStyle w:val="InstructionsTabelleberschrift"/>
                <w:rFonts w:ascii="Times New Roman" w:hAnsi="Times New Roman"/>
                <w:bCs w:val="0"/>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330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w:t>
            </w:r>
          </w:p>
          <w:p w:rsidR="00BB3751" w:rsidRPr="00384ADB" w:rsidRDefault="00BB3751" w:rsidP="0039317F">
            <w:pPr>
              <w:pStyle w:val="InstructionsText"/>
            </w:pPr>
          </w:p>
          <w:p w:rsidR="00BB3751" w:rsidRPr="0039317F" w:rsidRDefault="00BB3751" w:rsidP="000F0ADE">
            <w:pPr>
              <w:pStyle w:val="InstructionsText"/>
            </w:pPr>
            <w:r>
              <w:t xml:space="preserve">Cette colonne inclut le montant à prendre en considération pour respecter la limite aux grands risques fixée à l’article </w:t>
            </w:r>
            <w:r w:rsidRPr="000D1548">
              <w:t>395</w:t>
            </w:r>
            <w:r>
              <w:t xml:space="preserve"> du CRR.</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340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Portefeuille hors négociation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L’établissement déclare l’exposition totale après application des exemptions et prise en compte de l’effet de l’ARC appartenant au portefeuille hors n</w:t>
            </w:r>
            <w:r>
              <w:rPr>
                <w:rStyle w:val="FormatvorlageInstructionsTabelleText"/>
                <w:rFonts w:ascii="Times New Roman" w:hAnsi="Times New Roman"/>
                <w:sz w:val="24"/>
              </w:rPr>
              <w:t>é</w:t>
            </w:r>
            <w:r>
              <w:rPr>
                <w:rStyle w:val="FormatvorlageInstructionsTabelleText"/>
                <w:rFonts w:ascii="Times New Roman" w:hAnsi="Times New Roman"/>
                <w:sz w:val="24"/>
              </w:rPr>
              <w:t>gociation.</w:t>
            </w:r>
          </w:p>
          <w:p w:rsidR="00BB3751" w:rsidRPr="00384ADB" w:rsidRDefault="00BB3751">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des fonds propres éligibles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BE2D91">
            <w:pPr>
              <w:spacing w:before="0" w:after="0"/>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L’établissement déclare</w:t>
            </w:r>
            <w:r>
              <w:t xml:space="preserve"> </w:t>
            </w:r>
            <w:r>
              <w:rPr>
                <w:rStyle w:val="InstructionsTabelleberschrift"/>
                <w:rFonts w:ascii="Times New Roman" w:hAnsi="Times New Roman"/>
                <w:b w:val="0"/>
                <w:sz w:val="24"/>
                <w:u w:val="none"/>
              </w:rPr>
              <w:t>le pourcentage de la valeur exposée au risque après application des exemptions et de l’ARC rapportée aux fonds propres él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gibles de l’établissement, tels que définis à l’article </w:t>
            </w:r>
            <w:r w:rsidRPr="000D154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paragraphe </w:t>
            </w:r>
            <w:r w:rsidRPr="000D154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point </w:t>
            </w:r>
            <w:r w:rsidRPr="000D1548">
              <w:rPr>
                <w:rStyle w:val="InstructionsTabelleberschrift"/>
                <w:rFonts w:ascii="Times New Roman" w:hAnsi="Times New Roman"/>
                <w:b w:val="0"/>
                <w:sz w:val="24"/>
                <w:u w:val="none"/>
              </w:rPr>
              <w:t>71</w:t>
            </w:r>
            <w:r>
              <w:rPr>
                <w:rStyle w:val="InstructionsTabelleberschrift"/>
                <w:rFonts w:ascii="Times New Roman" w:hAnsi="Times New Roman"/>
                <w:b w:val="0"/>
                <w:sz w:val="24"/>
                <w:u w:val="none"/>
              </w:rPr>
              <w:t xml:space="preserve"> b), du</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rsidR="00BB3751" w:rsidRPr="00384ADB" w:rsidRDefault="00BB3751" w:rsidP="0039317F">
            <w:pPr>
              <w:pStyle w:val="InstructionsText"/>
              <w:rPr>
                <w:rStyle w:val="InstructionsTabelleberschrift"/>
                <w:rFonts w:ascii="Times New Roman" w:hAnsi="Times New Roman"/>
                <w:sz w:val="24"/>
              </w:rPr>
            </w:pPr>
          </w:p>
        </w:tc>
      </w:tr>
    </w:tbl>
    <w:p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34" w:name="_Toc358305157"/>
      <w:bookmarkStart w:id="35" w:name="_Toc393461963"/>
      <w:bookmarkStart w:id="36" w:name="_Toc522191016"/>
      <w:r>
        <w:rPr>
          <w:rFonts w:ascii="Times New Roman" w:hAnsi="Times New Roman"/>
          <w:b/>
          <w:sz w:val="24"/>
          <w:u w:val="none"/>
        </w:rPr>
        <w:lastRenderedPageBreak/>
        <w:t xml:space="preserve">C </w:t>
      </w:r>
      <w:r w:rsidRPr="000D1548">
        <w:rPr>
          <w:rFonts w:ascii="Times New Roman" w:hAnsi="Times New Roman"/>
          <w:b/>
          <w:sz w:val="24"/>
          <w:u w:val="none"/>
        </w:rPr>
        <w:t>29</w:t>
      </w:r>
      <w:r>
        <w:rPr>
          <w:rFonts w:ascii="Times New Roman" w:hAnsi="Times New Roman"/>
          <w:b/>
          <w:sz w:val="24"/>
          <w:u w:val="none"/>
        </w:rPr>
        <w:t>.</w:t>
      </w:r>
      <w:r w:rsidRPr="000D1548">
        <w:rPr>
          <w:rFonts w:ascii="Times New Roman" w:hAnsi="Times New Roman"/>
          <w:b/>
          <w:sz w:val="24"/>
          <w:u w:val="none"/>
        </w:rPr>
        <w:t>00</w:t>
      </w:r>
      <w:r>
        <w:rPr>
          <w:rFonts w:ascii="Times New Roman" w:hAnsi="Times New Roman"/>
          <w:b/>
          <w:sz w:val="24"/>
          <w:u w:val="none"/>
        </w:rPr>
        <w:t xml:space="preserve"> - Détail des expositions sur clients individuels au sein de groupes de clients liés</w:t>
      </w:r>
      <w:bookmarkEnd w:id="34"/>
      <w:r>
        <w:rPr>
          <w:rFonts w:ascii="Times New Roman" w:hAnsi="Times New Roman"/>
          <w:b/>
          <w:sz w:val="24"/>
          <w:u w:val="none"/>
        </w:rPr>
        <w:t xml:space="preserve"> (LE</w:t>
      </w:r>
      <w:r w:rsidRPr="000D1548">
        <w:rPr>
          <w:rFonts w:ascii="Times New Roman" w:hAnsi="Times New Roman"/>
          <w:b/>
          <w:sz w:val="24"/>
          <w:u w:val="none"/>
        </w:rPr>
        <w:t>3</w:t>
      </w:r>
      <w:r>
        <w:rPr>
          <w:rFonts w:ascii="Times New Roman" w:hAnsi="Times New Roman"/>
          <w:b/>
          <w:sz w:val="24"/>
          <w:u w:val="none"/>
        </w:rPr>
        <w:t>)</w:t>
      </w:r>
      <w:bookmarkEnd w:id="35"/>
      <w:bookmarkEnd w:id="36"/>
    </w:p>
    <w:p w:rsidR="003105C6" w:rsidRPr="00384ADB" w:rsidRDefault="003105C6" w:rsidP="00C52CE2">
      <w:pPr>
        <w:pStyle w:val="Instructionsberschrift2"/>
        <w:numPr>
          <w:ilvl w:val="1"/>
          <w:numId w:val="22"/>
        </w:numPr>
        <w:rPr>
          <w:rFonts w:ascii="Times New Roman" w:hAnsi="Times New Roman" w:cs="Times New Roman"/>
          <w:sz w:val="24"/>
        </w:rPr>
      </w:pPr>
      <w:bookmarkStart w:id="37" w:name="_Toc308175824"/>
      <w:bookmarkStart w:id="38" w:name="_Toc310414970"/>
      <w:bookmarkStart w:id="39" w:name="_Toc358305158"/>
      <w:bookmarkStart w:id="40" w:name="_Toc393461964"/>
      <w:bookmarkStart w:id="41" w:name="_Toc522191017"/>
      <w:r>
        <w:rPr>
          <w:rFonts w:ascii="Times New Roman" w:hAnsi="Times New Roman"/>
          <w:sz w:val="24"/>
        </w:rPr>
        <w:t xml:space="preserve">Instructions concernant certaines </w:t>
      </w:r>
      <w:bookmarkEnd w:id="37"/>
      <w:bookmarkEnd w:id="38"/>
      <w:r>
        <w:rPr>
          <w:rFonts w:ascii="Times New Roman" w:hAnsi="Times New Roman"/>
          <w:sz w:val="24"/>
        </w:rPr>
        <w:t>colonnes</w:t>
      </w:r>
      <w:bookmarkEnd w:id="39"/>
      <w:bookmarkEnd w:id="40"/>
      <w:bookmarkEnd w:id="4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rsidTr="00E17043">
        <w:tc>
          <w:tcPr>
            <w:tcW w:w="1418" w:type="dxa"/>
            <w:shd w:val="clear" w:color="auto" w:fill="D9D9D9"/>
          </w:tcPr>
          <w:p w:rsidR="005514AF" w:rsidRPr="00384ADB" w:rsidRDefault="005514AF"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Colonne</w:t>
            </w:r>
          </w:p>
        </w:tc>
        <w:tc>
          <w:tcPr>
            <w:tcW w:w="7620" w:type="dxa"/>
            <w:shd w:val="clear" w:color="auto" w:fill="D9D9D9"/>
          </w:tcPr>
          <w:p w:rsidR="005514AF" w:rsidRPr="00384ADB" w:rsidRDefault="005514AF"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Références juridiques et instructions</w:t>
            </w: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010</w:t>
            </w:r>
            <w:r>
              <w:rPr>
                <w:rStyle w:val="FormatvorlageInstructionsTabelleText"/>
                <w:rFonts w:ascii="Times New Roman" w:hAnsi="Times New Roman"/>
                <w:b/>
                <w:sz w:val="24"/>
              </w:rPr>
              <w:t>-</w:t>
            </w:r>
            <w:r w:rsidRPr="000D1548">
              <w:rPr>
                <w:rStyle w:val="FormatvorlageInstructionsTabelleText"/>
                <w:rFonts w:ascii="Times New Roman" w:hAnsi="Times New Roman"/>
                <w:b/>
                <w:sz w:val="24"/>
              </w:rPr>
              <w:t>360</w:t>
            </w:r>
          </w:p>
        </w:tc>
        <w:tc>
          <w:tcPr>
            <w:tcW w:w="7620" w:type="dxa"/>
          </w:tcPr>
          <w:p w:rsidR="00704405" w:rsidRPr="00384ADB" w:rsidRDefault="00704405" w:rsidP="0039317F">
            <w:pPr>
              <w:pStyle w:val="InstructionsText"/>
            </w:pPr>
          </w:p>
          <w:p w:rsidR="005514AF" w:rsidRPr="00384ADB" w:rsidRDefault="00BA7374" w:rsidP="0039317F">
            <w:pPr>
              <w:pStyle w:val="InstructionsText"/>
              <w:rPr>
                <w:rStyle w:val="FormatvorlageInstructionsTabelleText"/>
                <w:rFonts w:ascii="Times New Roman" w:hAnsi="Times New Roman"/>
                <w:sz w:val="24"/>
              </w:rPr>
            </w:pPr>
            <w:r>
              <w:t>Dans le modèle LE</w:t>
            </w:r>
            <w:r w:rsidRPr="000D1548">
              <w:t>3</w:t>
            </w:r>
            <w:r>
              <w:t>, l’établissement déclare les données qui concernent les clients individuels appartenant aux groupes de clients liés inclus dans les lignes du modèle LE</w:t>
            </w:r>
            <w:r w:rsidRPr="000D1548">
              <w:t>2</w:t>
            </w:r>
            <w:r>
              <w:t xml:space="preserve">. </w:t>
            </w:r>
          </w:p>
          <w:p w:rsidR="009F75EC" w:rsidRPr="00384ADB" w:rsidRDefault="009F75EC" w:rsidP="000F0ADE">
            <w:pPr>
              <w:pStyle w:val="InstructionsText"/>
              <w:rPr>
                <w:rStyle w:val="InstructionsTabelleberschrift"/>
                <w:rFonts w:ascii="Times New Roman" w:hAnsi="Times New Roman"/>
                <w:b w:val="0"/>
                <w:sz w:val="24"/>
                <w:u w:val="none"/>
              </w:rPr>
            </w:pPr>
          </w:p>
        </w:tc>
      </w:tr>
      <w:tr w:rsidR="006E7C46" w:rsidRPr="00384ADB" w:rsidTr="00383747">
        <w:trPr>
          <w:trHeight w:val="1203"/>
        </w:trPr>
        <w:tc>
          <w:tcPr>
            <w:tcW w:w="1418" w:type="dxa"/>
          </w:tcPr>
          <w:p w:rsidR="006E7C46" w:rsidRPr="00384ADB" w:rsidRDefault="008A4511"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010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rsidR="006E7C46" w:rsidRPr="00384ADB" w:rsidRDefault="006E7C46" w:rsidP="0039317F">
            <w:pPr>
              <w:pStyle w:val="InstructionsText"/>
              <w:rPr>
                <w:rStyle w:val="InstructionsTabelleberschrift"/>
                <w:rFonts w:ascii="Times New Roman" w:hAnsi="Times New Roman"/>
                <w:b w:val="0"/>
                <w:sz w:val="24"/>
                <w:u w:val="none"/>
              </w:rPr>
            </w:pPr>
          </w:p>
          <w:p w:rsidR="00BD0674" w:rsidRPr="00384ADB"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Les colonnes </w:t>
            </w:r>
            <w:r w:rsidRPr="000D1548">
              <w:rPr>
                <w:rStyle w:val="InstructionsTabelleberschrift"/>
                <w:rFonts w:ascii="Times New Roman" w:hAnsi="Times New Roman"/>
                <w:b w:val="0"/>
                <w:sz w:val="24"/>
                <w:u w:val="none"/>
              </w:rPr>
              <w:t>010</w:t>
            </w:r>
            <w:r>
              <w:rPr>
                <w:rStyle w:val="InstructionsTabelleberschrift"/>
                <w:rFonts w:ascii="Times New Roman" w:hAnsi="Times New Roman"/>
                <w:b w:val="0"/>
                <w:sz w:val="24"/>
                <w:u w:val="none"/>
              </w:rPr>
              <w:t xml:space="preserve"> et </w:t>
            </w:r>
            <w:r w:rsidRPr="000D1548">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 xml:space="preserve"> constituent un identifiant de ligne composite et do</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vent, ensemble, être propres à chaque ligne du tableau.</w:t>
            </w:r>
          </w:p>
          <w:p w:rsidR="00C53963" w:rsidRPr="00384ADB"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code de la contrepartie individuelle appartenant aux groupes de clients liés doit être déclaré.</w:t>
            </w:r>
          </w:p>
          <w:p w:rsidR="00C53963" w:rsidRPr="00384ADB" w:rsidRDefault="00C53963">
            <w:pPr>
              <w:pStyle w:val="InstructionsText"/>
              <w:rPr>
                <w:rStyle w:val="InstructionsTabelleberschrift"/>
                <w:rFonts w:ascii="Times New Roman" w:hAnsi="Times New Roman"/>
                <w:sz w:val="24"/>
              </w:rPr>
            </w:pPr>
          </w:p>
        </w:tc>
      </w:tr>
      <w:tr w:rsidR="00FC221F" w:rsidRPr="00384ADB" w:rsidTr="00383747">
        <w:trPr>
          <w:trHeight w:val="1203"/>
        </w:trPr>
        <w:tc>
          <w:tcPr>
            <w:tcW w:w="1418" w:type="dxa"/>
          </w:tcPr>
          <w:p w:rsidR="00FC221F" w:rsidRPr="00384ADB" w:rsidRDefault="008A4511"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020</w:t>
            </w:r>
          </w:p>
        </w:tc>
        <w:tc>
          <w:tcPr>
            <w:tcW w:w="7620" w:type="dxa"/>
          </w:tcPr>
          <w:p w:rsidR="00FC221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 du groupe</w:t>
            </w:r>
          </w:p>
          <w:p w:rsidR="00FC221F" w:rsidRPr="00384ADB" w:rsidRDefault="00FC221F" w:rsidP="0039317F">
            <w:pPr>
              <w:pStyle w:val="InstructionsText"/>
              <w:rPr>
                <w:rStyle w:val="InstructionsTabelleberschrift"/>
                <w:rFonts w:ascii="Times New Roman" w:hAnsi="Times New Roman"/>
                <w:sz w:val="24"/>
              </w:rPr>
            </w:pPr>
          </w:p>
          <w:p w:rsidR="00BD0674"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Les colonnes </w:t>
            </w:r>
            <w:r w:rsidRPr="000D1548">
              <w:rPr>
                <w:rStyle w:val="InstructionsTabelleberschrift"/>
                <w:rFonts w:ascii="Times New Roman" w:hAnsi="Times New Roman"/>
                <w:b w:val="0"/>
                <w:sz w:val="24"/>
                <w:u w:val="none"/>
              </w:rPr>
              <w:t>010</w:t>
            </w:r>
            <w:r>
              <w:rPr>
                <w:rStyle w:val="InstructionsTabelleberschrift"/>
                <w:rFonts w:ascii="Times New Roman" w:hAnsi="Times New Roman"/>
                <w:b w:val="0"/>
                <w:sz w:val="24"/>
                <w:u w:val="none"/>
              </w:rPr>
              <w:t xml:space="preserve"> et </w:t>
            </w:r>
            <w:r w:rsidRPr="000D1548">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 xml:space="preserve"> constituent un identifiant de ligne composite et do</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vent, ensemble, être propres à chaque ligne du tableau.</w:t>
            </w:r>
          </w:p>
          <w:p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un code unique pour un groupe de clients liés existe au niveau national, ce code est déclaré. Lorsqu’il n’existe pas de code unique au niveau nati</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nal, le code à déclarer est le code utilisé pour la déclaration d’expositions sur le groupe de clients liés qui figure au modèle C </w:t>
            </w:r>
            <w:r w:rsidRPr="000D1548">
              <w:rPr>
                <w:rStyle w:val="InstructionsTabelleberschrift"/>
                <w:rFonts w:ascii="Times New Roman" w:hAnsi="Times New Roman"/>
                <w:b w:val="0"/>
                <w:sz w:val="24"/>
                <w:u w:val="none"/>
              </w:rPr>
              <w:t>28</w:t>
            </w:r>
            <w:r>
              <w:rPr>
                <w:rStyle w:val="InstructionsTabelleberschrift"/>
                <w:rFonts w:ascii="Times New Roman" w:hAnsi="Times New Roman"/>
                <w:b w:val="0"/>
                <w:sz w:val="24"/>
                <w:u w:val="none"/>
              </w:rPr>
              <w:t>.</w:t>
            </w:r>
            <w:r w:rsidRPr="000D1548">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(LE</w:t>
            </w:r>
            <w:r w:rsidRPr="000D1548">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w:t>
            </w:r>
          </w:p>
          <w:p w:rsidR="00B0191A" w:rsidRPr="00384ADB" w:rsidRDefault="00D46F08">
            <w:pPr>
              <w:pStyle w:val="InstructionsText"/>
              <w:rPr>
                <w:rStyle w:val="InstructionsTabelleberschrift"/>
                <w:rFonts w:ascii="Times New Roman" w:hAnsi="Times New Roman"/>
                <w:b w:val="0"/>
                <w:sz w:val="24"/>
                <w:u w:val="none"/>
              </w:rPr>
            </w:pPr>
            <w:r>
              <w:t>Lorsqu’un client appartient à plusieurs groupes de clients liés, il est déclaré en tant que membre de tous ces groupes de clients liés.</w:t>
            </w:r>
            <w:r>
              <w:rPr>
                <w:rStyle w:val="InstructionsTabelleberschrift"/>
                <w:rFonts w:ascii="Times New Roman" w:hAnsi="Times New Roman"/>
                <w:b w:val="0"/>
                <w:sz w:val="24"/>
                <w:u w:val="none"/>
              </w:rPr>
              <w:t xml:space="preserve"> </w:t>
            </w:r>
          </w:p>
          <w:p w:rsidR="00B0191A" w:rsidRPr="00384ADB" w:rsidRDefault="00B0191A">
            <w:pPr>
              <w:pStyle w:val="InstructionsText"/>
              <w:rPr>
                <w:rStyle w:val="InstructionsTabelleberschrift"/>
                <w:rFonts w:ascii="Times New Roman" w:hAnsi="Times New Roman"/>
                <w:sz w:val="24"/>
              </w:rPr>
            </w:pPr>
          </w:p>
        </w:tc>
      </w:tr>
      <w:tr w:rsidR="006E7C46" w:rsidRPr="00384ADB" w:rsidTr="00E17043">
        <w:tc>
          <w:tcPr>
            <w:tcW w:w="1418" w:type="dxa"/>
          </w:tcPr>
          <w:p w:rsidR="006E7C46" w:rsidRPr="00384ADB" w:rsidRDefault="008A4511"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030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Opérations où il existe une exposition sur des actifs sous-jacents </w:t>
            </w:r>
          </w:p>
          <w:p w:rsidR="006E7C46" w:rsidRPr="00384ADB" w:rsidRDefault="006E7C46" w:rsidP="0039317F">
            <w:pPr>
              <w:pStyle w:val="InstructionsText"/>
              <w:rPr>
                <w:rStyle w:val="FormatvorlageInstructionsTabelleText"/>
                <w:rFonts w:ascii="Times New Roman" w:hAnsi="Times New Roman"/>
                <w:sz w:val="24"/>
              </w:rPr>
            </w:pPr>
          </w:p>
          <w:p w:rsidR="003D3140" w:rsidRPr="00384ADB" w:rsidRDefault="003D3140"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Voir la colonne </w:t>
            </w:r>
            <w:r w:rsidRPr="000D1548">
              <w:rPr>
                <w:rStyle w:val="FormatvorlageInstructionsTabelleText"/>
                <w:rFonts w:ascii="Times New Roman" w:hAnsi="Times New Roman"/>
                <w:sz w:val="24"/>
              </w:rPr>
              <w:t>030</w:t>
            </w:r>
            <w:r>
              <w:rPr>
                <w:rStyle w:val="FormatvorlageInstructionsTabelleText"/>
                <w:rFonts w:ascii="Times New Roman" w:hAnsi="Times New Roman"/>
                <w:sz w:val="24"/>
              </w:rPr>
              <w:t xml:space="preserve"> du modèle LE</w:t>
            </w:r>
            <w:r w:rsidRPr="000D1548">
              <w:rPr>
                <w:rStyle w:val="FormatvorlageInstructionsTabelleText"/>
                <w:rFonts w:ascii="Times New Roman" w:hAnsi="Times New Roman"/>
                <w:sz w:val="24"/>
              </w:rPr>
              <w:t>2</w:t>
            </w:r>
            <w:r>
              <w:rPr>
                <w:rStyle w:val="FormatvorlageInstructionsTabelleText"/>
                <w:rFonts w:ascii="Times New Roman" w:hAnsi="Times New Roman"/>
                <w:sz w:val="24"/>
              </w:rPr>
              <w:t>.</w:t>
            </w:r>
          </w:p>
          <w:p w:rsidR="00B0191A" w:rsidRPr="00384ADB" w:rsidRDefault="00B0191A">
            <w:pPr>
              <w:pStyle w:val="InstructionsText"/>
              <w:rPr>
                <w:rStyle w:val="InstructionsTabelleberschrift"/>
                <w:rFonts w:ascii="Times New Roman" w:hAnsi="Times New Roman"/>
                <w:sz w:val="24"/>
              </w:rPr>
            </w:pP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040</w:t>
            </w:r>
          </w:p>
        </w:tc>
        <w:tc>
          <w:tcPr>
            <w:tcW w:w="7620" w:type="dxa"/>
          </w:tcPr>
          <w:p w:rsidR="005514A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Catégorie de lien</w:t>
            </w:r>
          </w:p>
          <w:p w:rsidR="005514AF" w:rsidRPr="00384ADB" w:rsidRDefault="005514AF" w:rsidP="0039317F">
            <w:pPr>
              <w:pStyle w:val="InstructionsText"/>
              <w:rPr>
                <w:rStyle w:val="FormatvorlageInstructionsTabelleText"/>
                <w:rFonts w:ascii="Times New Roman" w:hAnsi="Times New Roman"/>
                <w:b/>
                <w:sz w:val="24"/>
              </w:rPr>
            </w:pPr>
          </w:p>
          <w:p w:rsidR="00B05254" w:rsidRPr="00384ADB" w:rsidRDefault="00D46F08"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type de lien entre l’entité individuelle et le groupe de clients liés sera pr</w:t>
            </w:r>
            <w:r>
              <w:rPr>
                <w:rStyle w:val="FormatvorlageInstructionsTabelleText"/>
                <w:rFonts w:ascii="Times New Roman" w:hAnsi="Times New Roman"/>
                <w:sz w:val="24"/>
              </w:rPr>
              <w:t>é</w:t>
            </w:r>
            <w:r>
              <w:rPr>
                <w:rStyle w:val="FormatvorlageInstructionsTabelleText"/>
                <w:rFonts w:ascii="Times New Roman" w:hAnsi="Times New Roman"/>
                <w:sz w:val="24"/>
              </w:rPr>
              <w:t>cisé en utilisant soit:</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au sens de l’article </w:t>
            </w:r>
            <w:r w:rsidRPr="000D154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 xml:space="preserve">, point </w:t>
            </w:r>
            <w:r w:rsidRPr="000D1548">
              <w:rPr>
                <w:rStyle w:val="FormatvorlageInstructionsTabelleText"/>
                <w:rFonts w:ascii="Times New Roman" w:hAnsi="Times New Roman"/>
                <w:sz w:val="24"/>
              </w:rPr>
              <w:t>39</w:t>
            </w:r>
            <w:r>
              <w:rPr>
                <w:rStyle w:val="FormatvorlageInstructionsTabelleText"/>
                <w:rFonts w:ascii="Times New Roman" w:hAnsi="Times New Roman"/>
                <w:sz w:val="24"/>
              </w:rPr>
              <w:t xml:space="preserve"> a), du CRR (contrôle);  soit</w:t>
            </w: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au sens de l’article </w:t>
            </w:r>
            <w:r w:rsidRPr="000D154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paragraphe </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 xml:space="preserve">, point </w:t>
            </w:r>
            <w:r w:rsidRPr="000D1548">
              <w:rPr>
                <w:rStyle w:val="FormatvorlageInstructionsTabelleText"/>
                <w:rFonts w:ascii="Times New Roman" w:hAnsi="Times New Roman"/>
                <w:sz w:val="24"/>
              </w:rPr>
              <w:t>39</w:t>
            </w:r>
            <w:r>
              <w:rPr>
                <w:rStyle w:val="FormatvorlageInstructionsTabelleText"/>
                <w:rFonts w:ascii="Times New Roman" w:hAnsi="Times New Roman"/>
                <w:sz w:val="24"/>
              </w:rPr>
              <w:t xml:space="preserve"> b), du CRR (interco</w:t>
            </w:r>
            <w:r>
              <w:rPr>
                <w:rStyle w:val="FormatvorlageInstructionsTabelleText"/>
                <w:rFonts w:ascii="Times New Roman" w:hAnsi="Times New Roman"/>
                <w:sz w:val="24"/>
              </w:rPr>
              <w:t>n</w:t>
            </w:r>
            <w:r>
              <w:rPr>
                <w:rStyle w:val="FormatvorlageInstructionsTabelleText"/>
                <w:rFonts w:ascii="Times New Roman" w:hAnsi="Times New Roman"/>
                <w:sz w:val="24"/>
              </w:rPr>
              <w:t>nexion).</w:t>
            </w:r>
          </w:p>
          <w:p w:rsidR="00B0191A" w:rsidRPr="00384ADB" w:rsidRDefault="00B0191A">
            <w:pPr>
              <w:pStyle w:val="InstructionsText"/>
              <w:rPr>
                <w:rStyle w:val="FormatvorlageInstructionsTabelleText"/>
                <w:rFonts w:ascii="Times New Roman" w:hAnsi="Times New Roman"/>
                <w:b/>
                <w:sz w:val="24"/>
              </w:rPr>
            </w:pPr>
          </w:p>
        </w:tc>
      </w:tr>
      <w:tr w:rsidR="009F75EC" w:rsidRPr="00384ADB" w:rsidTr="009F75EC">
        <w:tc>
          <w:tcPr>
            <w:tcW w:w="1418" w:type="dxa"/>
          </w:tcPr>
          <w:p w:rsidR="009F75EC" w:rsidRPr="00384ADB" w:rsidRDefault="008A4511"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050</w:t>
            </w:r>
            <w:r>
              <w:rPr>
                <w:rStyle w:val="FormatvorlageInstructionsTabelleText"/>
                <w:rFonts w:ascii="Times New Roman" w:hAnsi="Times New Roman"/>
                <w:b/>
                <w:sz w:val="24"/>
              </w:rPr>
              <w:t>-</w:t>
            </w:r>
            <w:r w:rsidRPr="000D1548">
              <w:rPr>
                <w:rStyle w:val="FormatvorlageInstructionsTabelleText"/>
                <w:rFonts w:ascii="Times New Roman" w:hAnsi="Times New Roman"/>
                <w:b/>
                <w:sz w:val="24"/>
              </w:rPr>
              <w:t>360</w:t>
            </w:r>
          </w:p>
        </w:tc>
        <w:tc>
          <w:tcPr>
            <w:tcW w:w="7620" w:type="dxa"/>
          </w:tcPr>
          <w:p w:rsidR="00464111" w:rsidRPr="00384ADB" w:rsidRDefault="00464111" w:rsidP="0039317F">
            <w:pPr>
              <w:pStyle w:val="InstructionsText"/>
              <w:rPr>
                <w:rStyle w:val="InstructionsTabelleberschrift"/>
                <w:rFonts w:ascii="Times New Roman" w:hAnsi="Times New Roman"/>
                <w:b w:val="0"/>
                <w:sz w:val="24"/>
                <w:u w:val="none"/>
              </w:rPr>
            </w:pPr>
          </w:p>
          <w:p w:rsidR="00464111" w:rsidRPr="00384ADB" w:rsidRDefault="0046411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Lorsque des instruments financiers figurant dans le modèle LE</w:t>
            </w:r>
            <w:r w:rsidRPr="000D1548">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sont fournis à l’ensemble du groupe de clients liés, ces instruments sont affectés aux di</w:t>
            </w:r>
            <w:r>
              <w:rPr>
                <w:rStyle w:val="InstructionsTabelleberschrift"/>
                <w:rFonts w:ascii="Times New Roman" w:hAnsi="Times New Roman"/>
                <w:b w:val="0"/>
                <w:sz w:val="24"/>
                <w:u w:val="none"/>
              </w:rPr>
              <w:t>f</w:t>
            </w:r>
            <w:r>
              <w:rPr>
                <w:rStyle w:val="InstructionsTabelleberschrift"/>
                <w:rFonts w:ascii="Times New Roman" w:hAnsi="Times New Roman"/>
                <w:b w:val="0"/>
                <w:sz w:val="24"/>
                <w:u w:val="none"/>
              </w:rPr>
              <w:t>férentes contreparties dans le modèle LE</w:t>
            </w:r>
            <w:r w:rsidRPr="000D154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en fonction des critères d’activité de l’établissement. </w:t>
            </w:r>
          </w:p>
          <w:p w:rsidR="00667F2D" w:rsidRPr="00384ADB" w:rsidRDefault="00667F2D" w:rsidP="000F0ADE">
            <w:pPr>
              <w:pStyle w:val="InstructionsText"/>
              <w:rPr>
                <w:rStyle w:val="InstructionsTabelleberschrift"/>
                <w:rFonts w:ascii="Times New Roman" w:hAnsi="Times New Roman"/>
                <w:sz w:val="24"/>
              </w:rPr>
            </w:pPr>
          </w:p>
          <w:p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autres instructions sont identiques à celles du modèle LE</w:t>
            </w:r>
            <w:r w:rsidRPr="000D1548">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sz w:val="24"/>
              </w:rPr>
            </w:pPr>
          </w:p>
        </w:tc>
      </w:tr>
    </w:tbl>
    <w:p w:rsidR="00915A9C" w:rsidRPr="00384ADB" w:rsidRDefault="00BD0674" w:rsidP="00C52CE2">
      <w:pPr>
        <w:pStyle w:val="Instructionsberschrift2"/>
        <w:numPr>
          <w:ilvl w:val="0"/>
          <w:numId w:val="22"/>
        </w:numPr>
        <w:rPr>
          <w:rFonts w:ascii="Times New Roman" w:hAnsi="Times New Roman" w:cs="Times New Roman"/>
          <w:b/>
          <w:sz w:val="24"/>
          <w:u w:val="none"/>
        </w:rPr>
      </w:pPr>
      <w:bookmarkStart w:id="42" w:name="_Toc358305159"/>
      <w:bookmarkStart w:id="43" w:name="_Toc393461965"/>
      <w:bookmarkStart w:id="44" w:name="_Toc522191018"/>
      <w:bookmarkEnd w:id="0"/>
      <w:bookmarkEnd w:id="1"/>
      <w:r>
        <w:rPr>
          <w:rFonts w:ascii="Times New Roman" w:hAnsi="Times New Roman"/>
          <w:b/>
          <w:sz w:val="24"/>
          <w:u w:val="none"/>
        </w:rPr>
        <w:lastRenderedPageBreak/>
        <w:t xml:space="preserve">C </w:t>
      </w:r>
      <w:r w:rsidRPr="000D1548">
        <w:rPr>
          <w:rFonts w:ascii="Times New Roman" w:hAnsi="Times New Roman"/>
          <w:b/>
          <w:sz w:val="24"/>
          <w:u w:val="none"/>
        </w:rPr>
        <w:t>30</w:t>
      </w:r>
      <w:r>
        <w:rPr>
          <w:rFonts w:ascii="Times New Roman" w:hAnsi="Times New Roman"/>
          <w:b/>
          <w:sz w:val="24"/>
          <w:u w:val="none"/>
        </w:rPr>
        <w:t>.</w:t>
      </w:r>
      <w:r w:rsidRPr="000D1548">
        <w:rPr>
          <w:rFonts w:ascii="Times New Roman" w:hAnsi="Times New Roman"/>
          <w:b/>
          <w:sz w:val="24"/>
          <w:u w:val="none"/>
        </w:rPr>
        <w:t>00</w:t>
      </w:r>
      <w:r>
        <w:rPr>
          <w:rFonts w:ascii="Times New Roman" w:hAnsi="Times New Roman"/>
          <w:b/>
          <w:sz w:val="24"/>
          <w:u w:val="none"/>
        </w:rPr>
        <w:t xml:space="preserve"> - Catégories d’échéance des dix risques les plus grands vis-à-vis d’établissements et des dix risques les plus grands vis-à-vis d’entités du secteur f</w:t>
      </w:r>
      <w:r>
        <w:rPr>
          <w:rFonts w:ascii="Times New Roman" w:hAnsi="Times New Roman"/>
          <w:b/>
          <w:sz w:val="24"/>
          <w:u w:val="none"/>
        </w:rPr>
        <w:t>i</w:t>
      </w:r>
      <w:r>
        <w:rPr>
          <w:rFonts w:ascii="Times New Roman" w:hAnsi="Times New Roman"/>
          <w:b/>
          <w:sz w:val="24"/>
          <w:u w:val="none"/>
        </w:rPr>
        <w:t>nancier non réglementées</w:t>
      </w:r>
      <w:bookmarkEnd w:id="42"/>
      <w:r>
        <w:rPr>
          <w:rFonts w:ascii="Times New Roman" w:hAnsi="Times New Roman"/>
          <w:b/>
          <w:sz w:val="24"/>
          <w:u w:val="none"/>
        </w:rPr>
        <w:t xml:space="preserve"> (modèle LE</w:t>
      </w:r>
      <w:r w:rsidRPr="000D1548">
        <w:rPr>
          <w:rFonts w:ascii="Times New Roman" w:hAnsi="Times New Roman"/>
          <w:b/>
          <w:sz w:val="24"/>
          <w:u w:val="none"/>
        </w:rPr>
        <w:t>4</w:t>
      </w:r>
      <w:r>
        <w:rPr>
          <w:rFonts w:ascii="Times New Roman" w:hAnsi="Times New Roman"/>
          <w:b/>
          <w:sz w:val="24"/>
          <w:u w:val="none"/>
        </w:rPr>
        <w:t>)</w:t>
      </w:r>
      <w:bookmarkEnd w:id="43"/>
      <w:bookmarkEnd w:id="44"/>
    </w:p>
    <w:p w:rsidR="00915A9C" w:rsidRPr="00384ADB" w:rsidRDefault="00915A9C" w:rsidP="00C52CE2">
      <w:pPr>
        <w:pStyle w:val="Instructionsberschrift2"/>
        <w:numPr>
          <w:ilvl w:val="1"/>
          <w:numId w:val="22"/>
        </w:numPr>
        <w:rPr>
          <w:rFonts w:ascii="Times New Roman" w:hAnsi="Times New Roman" w:cs="Times New Roman"/>
          <w:sz w:val="24"/>
        </w:rPr>
      </w:pPr>
      <w:bookmarkStart w:id="45" w:name="_Toc358305160"/>
      <w:bookmarkStart w:id="46" w:name="_Toc393461966"/>
      <w:bookmarkStart w:id="47" w:name="_Toc522191019"/>
      <w:r>
        <w:rPr>
          <w:rFonts w:ascii="Times New Roman" w:hAnsi="Times New Roman"/>
          <w:sz w:val="24"/>
        </w:rPr>
        <w:t>Instructions concernant certaines colonnes</w:t>
      </w:r>
      <w:bookmarkEnd w:id="45"/>
      <w:bookmarkEnd w:id="46"/>
      <w:bookmarkEnd w:id="4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384ADB" w:rsidTr="00915A9C">
        <w:tc>
          <w:tcPr>
            <w:tcW w:w="1418" w:type="dxa"/>
            <w:shd w:val="clear" w:color="auto" w:fill="D9D9D9"/>
          </w:tcPr>
          <w:p w:rsidR="00915A9C" w:rsidRPr="00384ADB" w:rsidRDefault="00915A9C"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Colonne</w:t>
            </w:r>
          </w:p>
        </w:tc>
        <w:tc>
          <w:tcPr>
            <w:tcW w:w="7620" w:type="dxa"/>
            <w:shd w:val="clear" w:color="auto" w:fill="D9D9D9"/>
          </w:tcPr>
          <w:p w:rsidR="00915A9C" w:rsidRPr="00384ADB" w:rsidRDefault="00915A9C"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Références juridiques et instructions</w:t>
            </w: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010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rsidR="00915A9C" w:rsidRPr="00384ADB" w:rsidRDefault="00915A9C"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code est un identifiant de ligne, et doit être propre à chaque ligne du t</w:t>
            </w:r>
            <w:r>
              <w:rPr>
                <w:rStyle w:val="FormatvorlageInstructionsTabelleText"/>
                <w:rFonts w:ascii="Times New Roman" w:hAnsi="Times New Roman"/>
                <w:sz w:val="24"/>
              </w:rPr>
              <w:t>a</w:t>
            </w:r>
            <w:r>
              <w:rPr>
                <w:rStyle w:val="FormatvorlageInstructionsTabelleText"/>
                <w:rFonts w:ascii="Times New Roman" w:hAnsi="Times New Roman"/>
                <w:sz w:val="24"/>
              </w:rPr>
              <w:t>bleau.</w:t>
            </w:r>
          </w:p>
          <w:p w:rsidR="00B0191A" w:rsidRPr="00384ADB" w:rsidRDefault="00915A9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Voir la colonne </w:t>
            </w:r>
            <w:r w:rsidRPr="000D1548">
              <w:rPr>
                <w:rStyle w:val="FormatvorlageInstructionsTabelleText"/>
                <w:rFonts w:ascii="Times New Roman" w:hAnsi="Times New Roman"/>
                <w:sz w:val="24"/>
              </w:rPr>
              <w:t>010</w:t>
            </w:r>
            <w:r>
              <w:rPr>
                <w:rStyle w:val="FormatvorlageInstructionsTabelleText"/>
                <w:rFonts w:ascii="Times New Roman" w:hAnsi="Times New Roman"/>
                <w:sz w:val="24"/>
              </w:rPr>
              <w:t xml:space="preserve"> du modèle LE</w:t>
            </w:r>
            <w:r w:rsidRPr="000D1548">
              <w:rPr>
                <w:rStyle w:val="FormatvorlageInstructionsTabelleText"/>
                <w:rFonts w:ascii="Times New Roman" w:hAnsi="Times New Roman"/>
                <w:sz w:val="24"/>
              </w:rPr>
              <w:t>1</w:t>
            </w:r>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020</w:t>
            </w:r>
            <w:r>
              <w:rPr>
                <w:rStyle w:val="FormatvorlageInstructionsTabelleText"/>
                <w:rFonts w:ascii="Times New Roman" w:hAnsi="Times New Roman"/>
                <w:b/>
                <w:sz w:val="24"/>
              </w:rPr>
              <w:t>-</w:t>
            </w:r>
            <w:r w:rsidRPr="000D1548">
              <w:rPr>
                <w:rStyle w:val="FormatvorlageInstructionsTabelleText"/>
                <w:rFonts w:ascii="Times New Roman" w:hAnsi="Times New Roman"/>
                <w:b/>
                <w:sz w:val="24"/>
              </w:rPr>
              <w:t>250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Catégories d’échéances de l’exposition</w:t>
            </w:r>
          </w:p>
          <w:p w:rsidR="00915A9C" w:rsidRPr="00384ADB" w:rsidRDefault="00915A9C" w:rsidP="0039317F">
            <w:pPr>
              <w:pStyle w:val="InstructionsText"/>
              <w:rPr>
                <w:rStyle w:val="InstructionsTabelleberschrift"/>
                <w:rFonts w:ascii="Times New Roman" w:hAnsi="Times New Roman"/>
                <w:sz w:val="24"/>
              </w:rPr>
            </w:pPr>
          </w:p>
          <w:p w:rsidR="00ED1EF3" w:rsidRPr="00384ADB" w:rsidRDefault="00915A9C"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w:t>
            </w:r>
            <w:r w:rsidRPr="000D1548">
              <w:rPr>
                <w:rStyle w:val="InstructionsTabelleberschrift"/>
                <w:rFonts w:ascii="Times New Roman" w:hAnsi="Times New Roman"/>
                <w:b w:val="0"/>
                <w:sz w:val="24"/>
                <w:u w:val="none"/>
              </w:rPr>
              <w:t>394</w:t>
            </w:r>
            <w:r>
              <w:rPr>
                <w:rStyle w:val="InstructionsTabelleberschrift"/>
                <w:rFonts w:ascii="Times New Roman" w:hAnsi="Times New Roman"/>
                <w:b w:val="0"/>
                <w:sz w:val="24"/>
                <w:u w:val="none"/>
              </w:rPr>
              <w:t xml:space="preserve">, paragraphe </w:t>
            </w:r>
            <w:r w:rsidRPr="000D1548">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point e), du </w:t>
            </w:r>
            <w:r>
              <w:rPr>
                <w:rStyle w:val="FormatvorlageInstructionsTabelleText"/>
                <w:rFonts w:ascii="Times New Roman" w:hAnsi="Times New Roman"/>
                <w:sz w:val="24"/>
              </w:rPr>
              <w:t>CRR.</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E6A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L’établissement déclare ces informations pour les dix risques les plus grands vis-à-vis d’établissements et pour les dix risques les plus grands vis-à-vis d’entités du secteur financier non réglementées.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ED1EF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Les catégories d’échéance sont définies par intervalles mensuels jusqu’à un an, par intervalles trimestriels de </w:t>
            </w:r>
            <w:r w:rsidRPr="000D154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an à </w:t>
            </w:r>
            <w:r w:rsidRPr="000D154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ans, et par intervalles plus impo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tants à partir de </w:t>
            </w:r>
            <w:r w:rsidRPr="000D154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ans.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Chaque valeur exposée au risque avant application des exemptions et des techniques CRM (colonne </w:t>
            </w:r>
            <w:r w:rsidRPr="000D1548">
              <w:rPr>
                <w:rStyle w:val="InstructionsTabelleberschrift"/>
                <w:rFonts w:ascii="Times New Roman" w:hAnsi="Times New Roman"/>
                <w:b w:val="0"/>
                <w:sz w:val="24"/>
                <w:u w:val="none"/>
              </w:rPr>
              <w:t>210</w:t>
            </w:r>
            <w:r>
              <w:rPr>
                <w:rStyle w:val="InstructionsTabelleberschrift"/>
                <w:rFonts w:ascii="Times New Roman" w:hAnsi="Times New Roman"/>
                <w:b w:val="0"/>
                <w:sz w:val="24"/>
                <w:u w:val="none"/>
              </w:rPr>
              <w:t xml:space="preserve"> du modèle LE</w:t>
            </w:r>
            <w:r w:rsidRPr="000D1548">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est déclarée pour le montant total de l’encours dans la catégorie d’échéance correspondant à son échéance résiduelle escomptée. Dans le cas où plusieurs liens distincts constituent une exposition sur un client, chacune de ces parties de l’exposition est déclarée pour le montant total de l’encours dans la catégorie d’échéance correspo</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dant à son échéance résiduelle escomptée.  Les instruments dépourvus d’échéance fixe, tels que les actions, seront déclarés dans la colonne «Échéance indéterminée».</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L’échéance attendue de l’exposition doit être communiquée, qu’il s’agisse d’une exposition directe ou indirecte.</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ce qui concerne les expositions directes, lorsqu’il s’agit de répartir les montants escomptés pour des instruments de dette et des produits dérivés dans les différentes catégories d’échéance de ce modèle, on emploiera les instructions relatives au modèle du tableau d’échéances des indicateurs complémentaires relatifs à la liquidité (voir l'annexe XXIII du présent r</w:t>
            </w:r>
            <w:r>
              <w:rPr>
                <w:rStyle w:val="InstructionsTabelleberschrift"/>
                <w:rFonts w:ascii="Times New Roman" w:hAnsi="Times New Roman"/>
                <w:b w:val="0"/>
                <w:sz w:val="24"/>
                <w:u w:val="none"/>
              </w:rPr>
              <w:t>è</w:t>
            </w:r>
            <w:r>
              <w:rPr>
                <w:rStyle w:val="InstructionsTabelleberschrift"/>
                <w:rFonts w:ascii="Times New Roman" w:hAnsi="Times New Roman"/>
                <w:b w:val="0"/>
                <w:sz w:val="24"/>
                <w:u w:val="none"/>
              </w:rPr>
              <w:t xml:space="preserve">glement). </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Dans le cas d’éléments de hors bilan, on utilisera l’échéance du risque sous-jacent pour la répartition des montants escomptés dans les différentes cat</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gories d’échéances. Ainsi, pour les dépôts terme contre terme (forward d</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 xml:space="preserve">posits), il s’agira de la structure des échéances du dépôt; pour les garanties financières, la structure des échéances de l’actif financier sous-jacent; pour </w:t>
            </w:r>
            <w:r>
              <w:rPr>
                <w:rStyle w:val="InstructionsTabelleberschrift"/>
                <w:rFonts w:ascii="Times New Roman" w:hAnsi="Times New Roman"/>
                <w:b w:val="0"/>
                <w:sz w:val="24"/>
                <w:u w:val="none"/>
              </w:rPr>
              <w:lastRenderedPageBreak/>
              <w:t>la part non tirée des engagements de prêts, la structure des échéances du prêt; pour les autres engagements, la structure des échéances de l’engagement.</w:t>
            </w:r>
          </w:p>
          <w:p w:rsidR="00B0191A" w:rsidRPr="00384ADB" w:rsidRDefault="00B0191A">
            <w:pPr>
              <w:pStyle w:val="InstructionsText"/>
              <w:rPr>
                <w:rStyle w:val="InstructionsTabelleberschrift"/>
                <w:rFonts w:ascii="Times New Roman" w:hAnsi="Times New Roman"/>
                <w:b w:val="0"/>
                <w:sz w:val="24"/>
                <w:u w:val="none"/>
              </w:rPr>
            </w:pPr>
          </w:p>
          <w:p w:rsidR="00B0191A"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ce qui est des expositions indirectes, la répartition entre les catégories d’échéance se fera sur la base de l’échéance des opérations garanties qui g</w:t>
            </w:r>
            <w:r>
              <w:rPr>
                <w:rStyle w:val="InstructionsTabelleberschrift"/>
                <w:rFonts w:ascii="Times New Roman" w:hAnsi="Times New Roman"/>
                <w:b w:val="0"/>
                <w:sz w:val="24"/>
                <w:u w:val="none"/>
              </w:rPr>
              <w:t>é</w:t>
            </w:r>
            <w:r>
              <w:rPr>
                <w:rStyle w:val="InstructionsTabelleberschrift"/>
                <w:rFonts w:ascii="Times New Roman" w:hAnsi="Times New Roman"/>
                <w:b w:val="0"/>
                <w:sz w:val="24"/>
                <w:u w:val="none"/>
              </w:rPr>
              <w:t>nèrent l’exposition directe.</w:t>
            </w:r>
          </w:p>
          <w:p w:rsidR="001D319A" w:rsidRPr="000448EA" w:rsidRDefault="001D319A">
            <w:pPr>
              <w:pStyle w:val="InstructionsText"/>
              <w:rPr>
                <w:rStyle w:val="InstructionsTabelleberschrift"/>
                <w:rFonts w:ascii="Times New Roman" w:hAnsi="Times New Roman"/>
                <w:b w:val="0"/>
                <w:sz w:val="24"/>
                <w:u w:val="none"/>
              </w:rPr>
            </w:pPr>
          </w:p>
          <w:p w:rsidR="001D319A" w:rsidRPr="000448EA" w:rsidRDefault="001D3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Dans l’hypothèse où une exposition ou une partie d’une exposition est à considérer comme en défaut et est déclarée comme telle dans le modèle C </w:t>
            </w:r>
            <w:r w:rsidRPr="000D1548">
              <w:rPr>
                <w:rStyle w:val="InstructionsTabelleberschrift"/>
                <w:rFonts w:ascii="Times New Roman" w:hAnsi="Times New Roman"/>
                <w:b w:val="0"/>
                <w:sz w:val="24"/>
                <w:u w:val="none"/>
              </w:rPr>
              <w:t>28</w:t>
            </w:r>
            <w:r>
              <w:rPr>
                <w:rStyle w:val="InstructionsTabelleberschrift"/>
                <w:rFonts w:ascii="Times New Roman" w:hAnsi="Times New Roman"/>
                <w:b w:val="0"/>
                <w:sz w:val="24"/>
                <w:u w:val="none"/>
              </w:rPr>
              <w:t>.</w:t>
            </w:r>
            <w:r w:rsidRPr="000D1548">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(LE </w:t>
            </w:r>
            <w:r w:rsidRPr="000D1548">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colonne </w:t>
            </w:r>
            <w:r w:rsidRPr="000D1548">
              <w:rPr>
                <w:rStyle w:val="InstructionsTabelleberschrift"/>
                <w:rFonts w:ascii="Times New Roman" w:hAnsi="Times New Roman"/>
                <w:b w:val="0"/>
                <w:sz w:val="24"/>
                <w:u w:val="none"/>
              </w:rPr>
              <w:t>050</w:t>
            </w:r>
            <w:r>
              <w:rPr>
                <w:rStyle w:val="InstructionsTabelleberschrift"/>
                <w:rFonts w:ascii="Times New Roman" w:hAnsi="Times New Roman"/>
                <w:b w:val="0"/>
                <w:sz w:val="24"/>
                <w:u w:val="none"/>
              </w:rPr>
              <w:t xml:space="preserve">) et C </w:t>
            </w:r>
            <w:r w:rsidRPr="000D1548">
              <w:rPr>
                <w:rStyle w:val="InstructionsTabelleberschrift"/>
                <w:rFonts w:ascii="Times New Roman" w:hAnsi="Times New Roman"/>
                <w:b w:val="0"/>
                <w:sz w:val="24"/>
                <w:u w:val="none"/>
              </w:rPr>
              <w:t>29</w:t>
            </w:r>
            <w:r>
              <w:rPr>
                <w:rStyle w:val="InstructionsTabelleberschrift"/>
                <w:rFonts w:ascii="Times New Roman" w:hAnsi="Times New Roman"/>
                <w:b w:val="0"/>
                <w:sz w:val="24"/>
                <w:u w:val="none"/>
              </w:rPr>
              <w:t>.</w:t>
            </w:r>
            <w:r w:rsidRPr="000D1548">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(LE </w:t>
            </w:r>
            <w:r w:rsidRPr="000D154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colonne </w:t>
            </w:r>
            <w:r w:rsidRPr="000D1548">
              <w:rPr>
                <w:rStyle w:val="InstructionsTabelleberschrift"/>
                <w:rFonts w:ascii="Times New Roman" w:hAnsi="Times New Roman"/>
                <w:b w:val="0"/>
                <w:sz w:val="24"/>
                <w:u w:val="none"/>
              </w:rPr>
              <w:t>060</w:t>
            </w:r>
            <w:r>
              <w:rPr>
                <w:rStyle w:val="InstructionsTabelleberschrift"/>
                <w:rFonts w:ascii="Times New Roman" w:hAnsi="Times New Roman"/>
                <w:b w:val="0"/>
                <w:sz w:val="24"/>
                <w:u w:val="none"/>
              </w:rPr>
              <w:t>), la liquidation a</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tendue de l’exposition en défaut </w:t>
            </w:r>
            <w:r w:rsidRPr="000D1548">
              <w:rPr>
                <w:rStyle w:val="InstructionsTabelleberschrift"/>
                <w:rFonts w:ascii="Times New Roman" w:hAnsi="Times New Roman"/>
                <w:b w:val="0"/>
                <w:sz w:val="24"/>
                <w:u w:val="none"/>
              </w:rPr>
              <w:t>doit être affectée</w:t>
            </w:r>
            <w:r>
              <w:rPr>
                <w:rStyle w:val="InstructionsTabelleberschrift"/>
                <w:rFonts w:ascii="Times New Roman" w:hAnsi="Times New Roman"/>
                <w:b w:val="0"/>
                <w:sz w:val="24"/>
                <w:u w:val="none"/>
              </w:rPr>
              <w:t xml:space="preserve"> aux différentes catégories d’échéance comme suit:</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Lorsque l’entité déclarante, malgré le défaut de paiement, dispose d’un calendrier précis des remboursements attendus de l’exposition, il les répartit en conséquence dans les catégories respectives.</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Lorsque l’entité déclarante ne dispose pas d’une perspective claire des dates auxquelles les remboursements seront effectués (ou qu’elle s’attend à ce qu’ils n’aient jamais lieu), elle les affecte à la catégorie «Échéance non définie».</w:t>
            </w:r>
          </w:p>
          <w:p w:rsidR="00B0191A" w:rsidRPr="00384ADB" w:rsidRDefault="00B0191A" w:rsidP="000F0ADE">
            <w:pPr>
              <w:pStyle w:val="InstructionsText"/>
              <w:rPr>
                <w:rStyle w:val="InstructionsTabelleberschrift"/>
                <w:rFonts w:ascii="Times New Roman" w:hAnsi="Times New Roman"/>
                <w:sz w:val="24"/>
              </w:rPr>
            </w:pPr>
          </w:p>
        </w:tc>
      </w:tr>
    </w:tbl>
    <w:p w:rsidR="00915A9C" w:rsidRPr="00384ADB" w:rsidRDefault="00915A9C" w:rsidP="009A77CD">
      <w:pPr>
        <w:spacing w:after="0"/>
        <w:rPr>
          <w:rFonts w:ascii="Times New Roman" w:hAnsi="Times New Roman"/>
          <w:b/>
          <w:sz w:val="24"/>
        </w:rPr>
      </w:pPr>
    </w:p>
    <w:p w:rsidR="003D3140" w:rsidRPr="00384ADB" w:rsidRDefault="00BD0674" w:rsidP="00C52CE2">
      <w:pPr>
        <w:pStyle w:val="Instructionsberschrift2"/>
        <w:numPr>
          <w:ilvl w:val="0"/>
          <w:numId w:val="22"/>
        </w:numPr>
        <w:rPr>
          <w:rFonts w:ascii="Times New Roman" w:hAnsi="Times New Roman" w:cs="Times New Roman"/>
          <w:b/>
          <w:sz w:val="24"/>
          <w:u w:val="none"/>
        </w:rPr>
      </w:pPr>
      <w:bookmarkStart w:id="48" w:name="_Toc393461967"/>
      <w:bookmarkStart w:id="49" w:name="_Toc522191020"/>
      <w:r>
        <w:rPr>
          <w:rFonts w:ascii="Times New Roman" w:hAnsi="Times New Roman"/>
          <w:b/>
          <w:sz w:val="24"/>
          <w:u w:val="none"/>
        </w:rPr>
        <w:t xml:space="preserve">C </w:t>
      </w:r>
      <w:r w:rsidRPr="000D1548">
        <w:rPr>
          <w:rFonts w:ascii="Times New Roman" w:hAnsi="Times New Roman"/>
          <w:b/>
          <w:sz w:val="24"/>
          <w:u w:val="none"/>
        </w:rPr>
        <w:t>31</w:t>
      </w:r>
      <w:r>
        <w:rPr>
          <w:rFonts w:ascii="Times New Roman" w:hAnsi="Times New Roman"/>
          <w:b/>
          <w:sz w:val="24"/>
          <w:u w:val="none"/>
        </w:rPr>
        <w:t>.</w:t>
      </w:r>
      <w:r w:rsidRPr="000D1548">
        <w:rPr>
          <w:rFonts w:ascii="Times New Roman" w:hAnsi="Times New Roman"/>
          <w:b/>
          <w:sz w:val="24"/>
          <w:u w:val="none"/>
        </w:rPr>
        <w:t>00</w:t>
      </w:r>
      <w:r>
        <w:rPr>
          <w:rFonts w:ascii="Times New Roman" w:hAnsi="Times New Roman"/>
          <w:b/>
          <w:sz w:val="24"/>
          <w:u w:val="none"/>
        </w:rPr>
        <w:t xml:space="preserve"> - Catégories d’échéance des dix risques les plus grands vis-à-vis d’établissements et des dix risques les plus grands vis-à-vis d’entités du secteur f</w:t>
      </w:r>
      <w:r>
        <w:rPr>
          <w:rFonts w:ascii="Times New Roman" w:hAnsi="Times New Roman"/>
          <w:b/>
          <w:sz w:val="24"/>
          <w:u w:val="none"/>
        </w:rPr>
        <w:t>i</w:t>
      </w:r>
      <w:r>
        <w:rPr>
          <w:rFonts w:ascii="Times New Roman" w:hAnsi="Times New Roman"/>
          <w:b/>
          <w:sz w:val="24"/>
          <w:u w:val="none"/>
        </w:rPr>
        <w:t>nancier non réglementées: détail des expositions sur les clients individuels composant les groupes de clients liés (modèle LE</w:t>
      </w:r>
      <w:r w:rsidRPr="000D1548">
        <w:rPr>
          <w:rFonts w:ascii="Times New Roman" w:hAnsi="Times New Roman"/>
          <w:b/>
          <w:sz w:val="24"/>
          <w:u w:val="none"/>
        </w:rPr>
        <w:t>5</w:t>
      </w:r>
      <w:r>
        <w:rPr>
          <w:rFonts w:ascii="Times New Roman" w:hAnsi="Times New Roman"/>
          <w:b/>
          <w:sz w:val="24"/>
          <w:u w:val="none"/>
        </w:rPr>
        <w:t>).</w:t>
      </w:r>
      <w:bookmarkEnd w:id="48"/>
      <w:bookmarkEnd w:id="49"/>
    </w:p>
    <w:p w:rsidR="003D3140" w:rsidRPr="00384ADB"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2191021"/>
      <w:r>
        <w:rPr>
          <w:rFonts w:ascii="Times New Roman" w:hAnsi="Times New Roman"/>
          <w:sz w:val="24"/>
        </w:rPr>
        <w:t>Instructions concernant certaines colonnes</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384ADB" w:rsidTr="00AF0271">
        <w:tc>
          <w:tcPr>
            <w:tcW w:w="1418" w:type="dxa"/>
            <w:shd w:val="clear" w:color="auto" w:fill="D9D9D9"/>
          </w:tcPr>
          <w:p w:rsidR="003D3140" w:rsidRPr="00384ADB" w:rsidRDefault="003D3140"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Colonne</w:t>
            </w:r>
          </w:p>
        </w:tc>
        <w:tc>
          <w:tcPr>
            <w:tcW w:w="7620" w:type="dxa"/>
            <w:shd w:val="clear" w:color="auto" w:fill="D9D9D9"/>
          </w:tcPr>
          <w:p w:rsidR="003D3140" w:rsidRPr="00384ADB" w:rsidRDefault="003D3140"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Références juridiques et instructions</w:t>
            </w:r>
          </w:p>
        </w:tc>
      </w:tr>
      <w:tr w:rsidR="00B80B0E" w:rsidRPr="00384ADB" w:rsidTr="00AF0271">
        <w:tc>
          <w:tcPr>
            <w:tcW w:w="1418" w:type="dxa"/>
          </w:tcPr>
          <w:p w:rsidR="00B80B0E" w:rsidRPr="00384ADB" w:rsidRDefault="008A4511"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010</w:t>
            </w:r>
            <w:r>
              <w:rPr>
                <w:rStyle w:val="FormatvorlageInstructionsTabelleText"/>
                <w:rFonts w:ascii="Times New Roman" w:hAnsi="Times New Roman"/>
                <w:b/>
                <w:sz w:val="24"/>
              </w:rPr>
              <w:t>-</w:t>
            </w:r>
            <w:r w:rsidRPr="000D1548">
              <w:rPr>
                <w:rStyle w:val="FormatvorlageInstructionsTabelleText"/>
                <w:rFonts w:ascii="Times New Roman" w:hAnsi="Times New Roman"/>
                <w:b/>
                <w:sz w:val="24"/>
              </w:rPr>
              <w:t>260</w:t>
            </w:r>
          </w:p>
        </w:tc>
        <w:tc>
          <w:tcPr>
            <w:tcW w:w="7620" w:type="dxa"/>
          </w:tcPr>
          <w:p w:rsidR="00B80B0E" w:rsidRPr="00384ADB" w:rsidRDefault="00B80B0E" w:rsidP="0039317F">
            <w:pPr>
              <w:pStyle w:val="InstructionsText"/>
            </w:pPr>
          </w:p>
          <w:p w:rsidR="00B80B0E" w:rsidRPr="00384ADB" w:rsidRDefault="00186D4E" w:rsidP="0039317F">
            <w:pPr>
              <w:pStyle w:val="InstructionsText"/>
            </w:pPr>
            <w:r>
              <w:t>Dans le modèle LE</w:t>
            </w:r>
            <w:r w:rsidRPr="000D1548">
              <w:t>5</w:t>
            </w:r>
            <w:r>
              <w:t>, l’établissement déclare les données qui concernent les contreparties individuelles appartenant aux groupes de clients liés inclus dans les lignes du modèle LE</w:t>
            </w:r>
            <w:r w:rsidRPr="000D1548">
              <w:t>4</w:t>
            </w:r>
            <w:r>
              <w:t>.</w:t>
            </w:r>
          </w:p>
          <w:p w:rsidR="00B80B0E" w:rsidRPr="00384ADB" w:rsidRDefault="00B80B0E" w:rsidP="000F0ADE">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010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rsidR="003D3140" w:rsidRPr="00384ADB" w:rsidRDefault="003D3140"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Les colonnes </w:t>
            </w:r>
            <w:r w:rsidRPr="000D1548">
              <w:rPr>
                <w:rStyle w:val="FormatvorlageInstructionsTabelleText"/>
                <w:rFonts w:ascii="Times New Roman" w:hAnsi="Times New Roman"/>
                <w:sz w:val="24"/>
              </w:rPr>
              <w:t>010</w:t>
            </w:r>
            <w:r>
              <w:rPr>
                <w:rStyle w:val="FormatvorlageInstructionsTabelleText"/>
                <w:rFonts w:ascii="Times New Roman" w:hAnsi="Times New Roman"/>
                <w:sz w:val="24"/>
              </w:rPr>
              <w:t xml:space="preserve"> et </w:t>
            </w:r>
            <w:r w:rsidRPr="000D1548">
              <w:rPr>
                <w:rStyle w:val="FormatvorlageInstructionsTabelleText"/>
                <w:rFonts w:ascii="Times New Roman" w:hAnsi="Times New Roman"/>
                <w:sz w:val="24"/>
              </w:rPr>
              <w:t>020</w:t>
            </w:r>
            <w:r>
              <w:rPr>
                <w:rStyle w:val="FormatvorlageInstructionsTabelleText"/>
                <w:rFonts w:ascii="Times New Roman" w:hAnsi="Times New Roman"/>
                <w:sz w:val="24"/>
              </w:rPr>
              <w:t xml:space="preserve"> constituent un identifiant de ligne composite et do</w:t>
            </w:r>
            <w:r>
              <w:rPr>
                <w:rStyle w:val="FormatvorlageInstructionsTabelleText"/>
                <w:rFonts w:ascii="Times New Roman" w:hAnsi="Times New Roman"/>
                <w:sz w:val="24"/>
              </w:rPr>
              <w:t>i</w:t>
            </w:r>
            <w:r>
              <w:rPr>
                <w:rStyle w:val="FormatvorlageInstructionsTabelleText"/>
                <w:rFonts w:ascii="Times New Roman" w:hAnsi="Times New Roman"/>
                <w:sz w:val="24"/>
              </w:rPr>
              <w:t>vent, ensemble, être propres à chaque ligne du tableau.</w:t>
            </w:r>
          </w:p>
          <w:p w:rsidR="003D3140" w:rsidRPr="00384ADB" w:rsidRDefault="003D314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Voir la colonne </w:t>
            </w:r>
            <w:r w:rsidRPr="000D1548">
              <w:rPr>
                <w:rStyle w:val="FormatvorlageInstructionsTabelleText"/>
                <w:rFonts w:ascii="Times New Roman" w:hAnsi="Times New Roman"/>
                <w:sz w:val="24"/>
              </w:rPr>
              <w:t>010</w:t>
            </w:r>
            <w:r>
              <w:rPr>
                <w:rStyle w:val="FormatvorlageInstructionsTabelleText"/>
                <w:rFonts w:ascii="Times New Roman" w:hAnsi="Times New Roman"/>
                <w:sz w:val="24"/>
              </w:rPr>
              <w:t xml:space="preserve"> du modèle LE</w:t>
            </w:r>
            <w:r w:rsidRPr="000D1548">
              <w:rPr>
                <w:rStyle w:val="FormatvorlageInstructionsTabelleText"/>
                <w:rFonts w:ascii="Times New Roman" w:hAnsi="Times New Roman"/>
                <w:sz w:val="24"/>
              </w:rPr>
              <w:t>3</w:t>
            </w:r>
            <w:r>
              <w:rPr>
                <w:rStyle w:val="FormatvorlageInstructionsTabelleText"/>
                <w:rFonts w:ascii="Times New Roman" w:hAnsi="Times New Roman"/>
                <w:sz w:val="24"/>
              </w:rPr>
              <w:t>.</w:t>
            </w:r>
          </w:p>
          <w:p w:rsidR="00B0191A" w:rsidRPr="00384ADB" w:rsidRDefault="00B0191A" w:rsidP="000F0ADE">
            <w:pPr>
              <w:pStyle w:val="InstructionsText"/>
              <w:rPr>
                <w:rStyle w:val="FormatvorlageInstructionsTabelleText"/>
                <w:rFonts w:ascii="Times New Roman" w:hAnsi="Times New Roman"/>
                <w:b/>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t>020</w:t>
            </w:r>
          </w:p>
        </w:tc>
        <w:tc>
          <w:tcPr>
            <w:tcW w:w="7620" w:type="dxa"/>
          </w:tcPr>
          <w:p w:rsidR="00B80B0E" w:rsidRPr="00384ADB" w:rsidRDefault="00B80B0E"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 du groupe</w:t>
            </w:r>
          </w:p>
          <w:p w:rsidR="00BD0674" w:rsidRPr="00384ADB" w:rsidRDefault="00BD0674"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Les colonnes </w:t>
            </w:r>
            <w:r w:rsidRPr="000D1548">
              <w:rPr>
                <w:rStyle w:val="FormatvorlageInstructionsTabelleText"/>
                <w:rFonts w:ascii="Times New Roman" w:hAnsi="Times New Roman"/>
                <w:sz w:val="24"/>
              </w:rPr>
              <w:t>010</w:t>
            </w:r>
            <w:r>
              <w:rPr>
                <w:rStyle w:val="FormatvorlageInstructionsTabelleText"/>
                <w:rFonts w:ascii="Times New Roman" w:hAnsi="Times New Roman"/>
                <w:sz w:val="24"/>
              </w:rPr>
              <w:t xml:space="preserve"> et </w:t>
            </w:r>
            <w:r w:rsidRPr="000D1548">
              <w:rPr>
                <w:rStyle w:val="FormatvorlageInstructionsTabelleText"/>
                <w:rFonts w:ascii="Times New Roman" w:hAnsi="Times New Roman"/>
                <w:sz w:val="24"/>
              </w:rPr>
              <w:t>020</w:t>
            </w:r>
            <w:r>
              <w:rPr>
                <w:rStyle w:val="FormatvorlageInstructionsTabelleText"/>
                <w:rFonts w:ascii="Times New Roman" w:hAnsi="Times New Roman"/>
                <w:sz w:val="24"/>
              </w:rPr>
              <w:t xml:space="preserve"> constituent un identifiant de ligne composite et do</w:t>
            </w:r>
            <w:r>
              <w:rPr>
                <w:rStyle w:val="FormatvorlageInstructionsTabelleText"/>
                <w:rFonts w:ascii="Times New Roman" w:hAnsi="Times New Roman"/>
                <w:sz w:val="24"/>
              </w:rPr>
              <w:t>i</w:t>
            </w:r>
            <w:r>
              <w:rPr>
                <w:rStyle w:val="FormatvorlageInstructionsTabelleText"/>
                <w:rFonts w:ascii="Times New Roman" w:hAnsi="Times New Roman"/>
                <w:sz w:val="24"/>
              </w:rPr>
              <w:t>vent, ensemble, être propres à chaque ligne du tableau.</w:t>
            </w:r>
          </w:p>
          <w:p w:rsidR="00B80B0E" w:rsidRPr="00384ADB" w:rsidRDefault="00B80B0E" w:rsidP="000F0AD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Voir la colonne </w:t>
            </w:r>
            <w:r w:rsidRPr="000D1548">
              <w:rPr>
                <w:rStyle w:val="FormatvorlageInstructionsTabelleText"/>
                <w:rFonts w:ascii="Times New Roman" w:hAnsi="Times New Roman"/>
                <w:sz w:val="24"/>
              </w:rPr>
              <w:t>020</w:t>
            </w:r>
            <w:r>
              <w:rPr>
                <w:rStyle w:val="FormatvorlageInstructionsTabelleText"/>
                <w:rFonts w:ascii="Times New Roman" w:hAnsi="Times New Roman"/>
                <w:sz w:val="24"/>
              </w:rPr>
              <w:t xml:space="preserve"> du modèle LE</w:t>
            </w:r>
            <w:r w:rsidRPr="000D1548">
              <w:rPr>
                <w:rStyle w:val="FormatvorlageInstructionsTabelleText"/>
                <w:rFonts w:ascii="Times New Roman" w:hAnsi="Times New Roman"/>
                <w:sz w:val="24"/>
              </w:rPr>
              <w:t>3</w:t>
            </w:r>
            <w:r>
              <w:rPr>
                <w:rStyle w:val="FormatvorlageInstructionsTabelleText"/>
                <w:rFonts w:ascii="Times New Roman" w:hAnsi="Times New Roman"/>
                <w:sz w:val="24"/>
              </w:rPr>
              <w:t>.</w:t>
            </w:r>
          </w:p>
          <w:p w:rsidR="00B0191A" w:rsidRPr="00384ADB" w:rsidRDefault="00B0191A">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sidRPr="000D1548">
              <w:rPr>
                <w:rStyle w:val="FormatvorlageInstructionsTabelleText"/>
                <w:rFonts w:ascii="Times New Roman" w:hAnsi="Times New Roman"/>
                <w:b/>
                <w:sz w:val="24"/>
              </w:rPr>
              <w:lastRenderedPageBreak/>
              <w:t>030</w:t>
            </w:r>
            <w:r>
              <w:rPr>
                <w:rStyle w:val="FormatvorlageInstructionsTabelleText"/>
                <w:rFonts w:ascii="Times New Roman" w:hAnsi="Times New Roman"/>
                <w:b/>
                <w:sz w:val="24"/>
              </w:rPr>
              <w:t>-</w:t>
            </w:r>
            <w:r w:rsidRPr="000D1548">
              <w:rPr>
                <w:rStyle w:val="FormatvorlageInstructionsTabelleText"/>
                <w:rFonts w:ascii="Times New Roman" w:hAnsi="Times New Roman"/>
                <w:b/>
                <w:sz w:val="24"/>
              </w:rPr>
              <w:t>260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Catégories d’échéance des expositions</w:t>
            </w:r>
          </w:p>
          <w:p w:rsidR="003D3140" w:rsidRPr="00384ADB" w:rsidRDefault="003D3140" w:rsidP="0039317F">
            <w:pPr>
              <w:pStyle w:val="InstructionsText"/>
              <w:rPr>
                <w:rStyle w:val="InstructionsTabelleberschrift"/>
                <w:rFonts w:ascii="Times New Roman" w:hAnsi="Times New Roman"/>
                <w:sz w:val="24"/>
              </w:rPr>
            </w:pPr>
          </w:p>
          <w:p w:rsidR="003D3140" w:rsidRPr="00384ADB" w:rsidRDefault="00B80B0E"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Voir les colonnes </w:t>
            </w:r>
            <w:r w:rsidRPr="000D1548">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w:t>
            </w:r>
            <w:r w:rsidRPr="000D1548">
              <w:rPr>
                <w:rStyle w:val="InstructionsTabelleberschrift"/>
                <w:rFonts w:ascii="Times New Roman" w:hAnsi="Times New Roman"/>
                <w:b w:val="0"/>
                <w:sz w:val="24"/>
                <w:u w:val="none"/>
              </w:rPr>
              <w:t>250</w:t>
            </w:r>
            <w:r>
              <w:rPr>
                <w:rStyle w:val="InstructionsTabelleberschrift"/>
                <w:rFonts w:ascii="Times New Roman" w:hAnsi="Times New Roman"/>
                <w:b w:val="0"/>
                <w:sz w:val="24"/>
                <w:u w:val="none"/>
              </w:rPr>
              <w:t xml:space="preserve"> du modèle LE</w:t>
            </w:r>
            <w:r w:rsidRPr="000D154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w:t>
            </w:r>
          </w:p>
          <w:p w:rsidR="00264B52" w:rsidRPr="00384ADB" w:rsidRDefault="00264B52" w:rsidP="000F0ADE">
            <w:pPr>
              <w:pStyle w:val="InstructionsText"/>
              <w:rPr>
                <w:rStyle w:val="InstructionsTabelleberschrift"/>
                <w:rFonts w:ascii="Times New Roman" w:hAnsi="Times New Roman"/>
                <w:sz w:val="24"/>
              </w:rPr>
            </w:pPr>
          </w:p>
        </w:tc>
      </w:tr>
    </w:tbl>
    <w:p w:rsidR="003D3140" w:rsidRPr="00E83F90" w:rsidRDefault="003D3140" w:rsidP="0078562D">
      <w:pPr>
        <w:spacing w:after="0"/>
        <w:rPr>
          <w:rFonts w:ascii="Times New Roman" w:hAnsi="Times New Roman"/>
          <w:sz w:val="24"/>
        </w:rPr>
      </w:pPr>
    </w:p>
    <w:sectPr w:rsidR="003D3140" w:rsidRPr="00E83F90"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F67" w:rsidRDefault="00BE4F67" w:rsidP="00D946DB">
      <w:pPr>
        <w:spacing w:before="0" w:after="0"/>
      </w:pPr>
      <w:r>
        <w:separator/>
      </w:r>
    </w:p>
  </w:endnote>
  <w:endnote w:type="continuationSeparator" w:id="0">
    <w:p w:rsidR="00BE4F67" w:rsidRDefault="00BE4F67"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F67" w:rsidRPr="00A772B4" w:rsidRDefault="00BE4F67">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0D1548">
      <w:rPr>
        <w:rFonts w:ascii="Times New Roman" w:hAnsi="Times New Roman"/>
        <w:noProof/>
      </w:rPr>
      <w:t>2</w:t>
    </w:r>
    <w:r w:rsidRPr="00A772B4">
      <w:rPr>
        <w:rFonts w:ascii="Times New Roman" w:hAnsi="Times New Roman"/>
      </w:rPr>
      <w:fldChar w:fldCharType="end"/>
    </w:r>
  </w:p>
  <w:p w:rsidR="00BE4F67" w:rsidRDefault="00BE4F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F67" w:rsidRDefault="00BE4F67">
    <w:pPr>
      <w:pStyle w:val="Footer"/>
      <w:jc w:val="right"/>
    </w:pPr>
    <w:r>
      <w:fldChar w:fldCharType="begin"/>
    </w:r>
    <w:r>
      <w:instrText xml:space="preserve"> PAGE   \* MERGEFORMAT </w:instrText>
    </w:r>
    <w:r>
      <w:fldChar w:fldCharType="separate"/>
    </w:r>
    <w:r w:rsidR="000D1548">
      <w:rPr>
        <w:noProof/>
      </w:rPr>
      <w:t>1</w:t>
    </w:r>
    <w:r>
      <w:rPr>
        <w:noProof/>
      </w:rPr>
      <w:fldChar w:fldCharType="end"/>
    </w:r>
  </w:p>
  <w:p w:rsidR="00BE4F67" w:rsidRDefault="00BE4F6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F67" w:rsidRDefault="00BE4F67">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4F67" w:rsidRDefault="00BE4F67">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F67" w:rsidRPr="00A772B4" w:rsidRDefault="00BE4F67">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0D1548">
      <w:rPr>
        <w:rFonts w:ascii="Times New Roman" w:hAnsi="Times New Roman"/>
        <w:noProof/>
      </w:rPr>
      <w:t>20</w:t>
    </w:r>
    <w:r w:rsidRPr="00A772B4">
      <w:rPr>
        <w:rFonts w:ascii="Times New Roman" w:hAnsi="Times New Roman"/>
      </w:rPr>
      <w:fldChar w:fldCharType="end"/>
    </w:r>
  </w:p>
  <w:p w:rsidR="00BE4F67" w:rsidRPr="00A772B4" w:rsidRDefault="00BE4F67"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F67" w:rsidRDefault="00BE4F67" w:rsidP="00D946DB">
      <w:pPr>
        <w:spacing w:before="0" w:after="0"/>
      </w:pPr>
      <w:r>
        <w:separator/>
      </w:r>
    </w:p>
  </w:footnote>
  <w:footnote w:type="continuationSeparator" w:id="0">
    <w:p w:rsidR="00BE4F67" w:rsidRDefault="00BE4F67"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F67" w:rsidRDefault="00BE4F67">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1548"/>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6CEA"/>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4F9B"/>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46E21"/>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65"/>
    <w:rsid w:val="00920EBF"/>
    <w:rsid w:val="00924EEF"/>
    <w:rsid w:val="0093135A"/>
    <w:rsid w:val="00931490"/>
    <w:rsid w:val="00934B81"/>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8D"/>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271"/>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4F67"/>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2BE"/>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4AD1"/>
    <w:rsid w:val="00F276A6"/>
    <w:rsid w:val="00F30076"/>
    <w:rsid w:val="00F3075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fr-F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fr-FR"/>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fr-FR"/>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fr-FR"/>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fr-FR"/>
    </w:rPr>
  </w:style>
  <w:style w:type="character" w:customStyle="1" w:styleId="Heading3Char1">
    <w:name w:val="Heading 3 Char1"/>
    <w:link w:val="Heading3"/>
    <w:uiPriority w:val="99"/>
    <w:rsid w:val="001E5A75"/>
    <w:rPr>
      <w:rFonts w:ascii="Arial" w:hAnsi="Arial"/>
      <w:b/>
      <w:szCs w:val="20"/>
      <w:lang w:eastAsia="fr-FR"/>
    </w:rPr>
  </w:style>
  <w:style w:type="character" w:customStyle="1" w:styleId="Heading4Char">
    <w:name w:val="Heading 4 Char"/>
    <w:link w:val="Heading4"/>
    <w:uiPriority w:val="99"/>
    <w:rsid w:val="00DE0962"/>
    <w:rPr>
      <w:rFonts w:ascii="Verdana" w:eastAsia="Times New Roman" w:hAnsi="Verdana"/>
      <w:b/>
      <w:szCs w:val="24"/>
      <w:u w:val="single"/>
      <w:lang w:eastAsia="fr-FR"/>
    </w:rPr>
  </w:style>
  <w:style w:type="character" w:customStyle="1" w:styleId="Heading5Char">
    <w:name w:val="Heading 5 Char"/>
    <w:link w:val="Heading5"/>
    <w:uiPriority w:val="1"/>
    <w:rsid w:val="001E5A75"/>
    <w:rPr>
      <w:rFonts w:ascii="Arial" w:hAnsi="Arial"/>
      <w:b/>
      <w:i/>
      <w:szCs w:val="20"/>
      <w:lang w:eastAsia="fr-FR"/>
    </w:rPr>
  </w:style>
  <w:style w:type="character" w:customStyle="1" w:styleId="Heading6Char">
    <w:name w:val="Heading 6 Char"/>
    <w:link w:val="Heading6"/>
    <w:semiHidden/>
    <w:rsid w:val="001E5A75"/>
    <w:rPr>
      <w:rFonts w:ascii="Times New Roman" w:hAnsi="Times New Roman"/>
      <w:b/>
      <w:bCs/>
      <w:lang w:eastAsia="fr-FR"/>
    </w:rPr>
  </w:style>
  <w:style w:type="character" w:customStyle="1" w:styleId="Heading7Char">
    <w:name w:val="Heading 7 Char"/>
    <w:link w:val="Heading7"/>
    <w:semiHidden/>
    <w:rsid w:val="001E5A75"/>
    <w:rPr>
      <w:rFonts w:ascii="Times New Roman" w:hAnsi="Times New Roman"/>
      <w:sz w:val="24"/>
      <w:szCs w:val="20"/>
      <w:lang w:eastAsia="fr-FR"/>
    </w:rPr>
  </w:style>
  <w:style w:type="character" w:customStyle="1" w:styleId="Heading8Char">
    <w:name w:val="Heading 8 Char"/>
    <w:link w:val="Heading8"/>
    <w:semiHidden/>
    <w:rsid w:val="001E5A75"/>
    <w:rPr>
      <w:rFonts w:ascii="Times New Roman" w:hAnsi="Times New Roman"/>
      <w:i/>
      <w:iCs/>
      <w:sz w:val="24"/>
      <w:szCs w:val="20"/>
      <w:lang w:eastAsia="fr-FR"/>
    </w:rPr>
  </w:style>
  <w:style w:type="character" w:customStyle="1" w:styleId="Heading9Char">
    <w:name w:val="Heading 9 Char"/>
    <w:link w:val="Heading9"/>
    <w:semiHidden/>
    <w:rsid w:val="001E5A75"/>
    <w:rPr>
      <w:rFonts w:ascii="Arial" w:hAnsi="Arial" w:cs="Arial"/>
      <w:lang w:eastAsia="fr-FR"/>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fr-FR"/>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fr-FR"/>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fr-FR" w:eastAsia="fr-FR"/>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fr-FR"/>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fr-FR"/>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fr-FR"/>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fr-FR" w:eastAsia="fr-FR"/>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fr-FR"/>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fr-FR" w:eastAsia="fr-FR" w:bidi="fr-FR"/>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fr-FR"/>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fr-F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fr-FR"/>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fr-FR"/>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fr-FR"/>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fr-FR"/>
    </w:rPr>
  </w:style>
  <w:style w:type="character" w:customStyle="1" w:styleId="Heading3Char1">
    <w:name w:val="Heading 3 Char1"/>
    <w:link w:val="Heading3"/>
    <w:uiPriority w:val="99"/>
    <w:rsid w:val="001E5A75"/>
    <w:rPr>
      <w:rFonts w:ascii="Arial" w:hAnsi="Arial"/>
      <w:b/>
      <w:szCs w:val="20"/>
      <w:lang w:eastAsia="fr-FR"/>
    </w:rPr>
  </w:style>
  <w:style w:type="character" w:customStyle="1" w:styleId="Heading4Char">
    <w:name w:val="Heading 4 Char"/>
    <w:link w:val="Heading4"/>
    <w:uiPriority w:val="99"/>
    <w:rsid w:val="00DE0962"/>
    <w:rPr>
      <w:rFonts w:ascii="Verdana" w:eastAsia="Times New Roman" w:hAnsi="Verdana"/>
      <w:b/>
      <w:szCs w:val="24"/>
      <w:u w:val="single"/>
      <w:lang w:eastAsia="fr-FR"/>
    </w:rPr>
  </w:style>
  <w:style w:type="character" w:customStyle="1" w:styleId="Heading5Char">
    <w:name w:val="Heading 5 Char"/>
    <w:link w:val="Heading5"/>
    <w:uiPriority w:val="1"/>
    <w:rsid w:val="001E5A75"/>
    <w:rPr>
      <w:rFonts w:ascii="Arial" w:hAnsi="Arial"/>
      <w:b/>
      <w:i/>
      <w:szCs w:val="20"/>
      <w:lang w:eastAsia="fr-FR"/>
    </w:rPr>
  </w:style>
  <w:style w:type="character" w:customStyle="1" w:styleId="Heading6Char">
    <w:name w:val="Heading 6 Char"/>
    <w:link w:val="Heading6"/>
    <w:semiHidden/>
    <w:rsid w:val="001E5A75"/>
    <w:rPr>
      <w:rFonts w:ascii="Times New Roman" w:hAnsi="Times New Roman"/>
      <w:b/>
      <w:bCs/>
      <w:lang w:eastAsia="fr-FR"/>
    </w:rPr>
  </w:style>
  <w:style w:type="character" w:customStyle="1" w:styleId="Heading7Char">
    <w:name w:val="Heading 7 Char"/>
    <w:link w:val="Heading7"/>
    <w:semiHidden/>
    <w:rsid w:val="001E5A75"/>
    <w:rPr>
      <w:rFonts w:ascii="Times New Roman" w:hAnsi="Times New Roman"/>
      <w:sz w:val="24"/>
      <w:szCs w:val="20"/>
      <w:lang w:eastAsia="fr-FR"/>
    </w:rPr>
  </w:style>
  <w:style w:type="character" w:customStyle="1" w:styleId="Heading8Char">
    <w:name w:val="Heading 8 Char"/>
    <w:link w:val="Heading8"/>
    <w:semiHidden/>
    <w:rsid w:val="001E5A75"/>
    <w:rPr>
      <w:rFonts w:ascii="Times New Roman" w:hAnsi="Times New Roman"/>
      <w:i/>
      <w:iCs/>
      <w:sz w:val="24"/>
      <w:szCs w:val="20"/>
      <w:lang w:eastAsia="fr-FR"/>
    </w:rPr>
  </w:style>
  <w:style w:type="character" w:customStyle="1" w:styleId="Heading9Char">
    <w:name w:val="Heading 9 Char"/>
    <w:link w:val="Heading9"/>
    <w:semiHidden/>
    <w:rsid w:val="001E5A75"/>
    <w:rPr>
      <w:rFonts w:ascii="Arial" w:hAnsi="Arial" w:cs="Arial"/>
      <w:lang w:eastAsia="fr-FR"/>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fr-FR"/>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fr-FR"/>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fr-FR" w:eastAsia="fr-FR"/>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fr-FR"/>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fr-FR"/>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fr-FR"/>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fr-FR" w:eastAsia="fr-FR"/>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fr-FR"/>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fr-FR" w:eastAsia="fr-FR" w:bidi="fr-FR"/>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fr-FR"/>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099A7-8319-44E1-A949-BC5596E65F8A}">
  <ds:schemaRefs>
    <ds:schemaRef ds:uri="http://schemas.openxmlformats.org/officeDocument/2006/bibliography"/>
  </ds:schemaRefs>
</ds:datastoreItem>
</file>

<file path=customXml/itemProps2.xml><?xml version="1.0" encoding="utf-8"?>
<ds:datastoreItem xmlns:ds="http://schemas.openxmlformats.org/officeDocument/2006/customXml" ds:itemID="{AFEC4F97-5D03-4094-8895-2693EDA3F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20</Pages>
  <Words>5991</Words>
  <Characters>32853</Characters>
  <Application>Microsoft Office Word</Application>
  <DocSecurity>0</DocSecurity>
  <Lines>952</Lines>
  <Paragraphs>381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38533</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BENT BOUDJEMAA Atika (DGT)</cp:lastModifiedBy>
  <cp:revision>6</cp:revision>
  <dcterms:created xsi:type="dcterms:W3CDTF">2018-06-13T13:34:00Z</dcterms:created>
  <dcterms:modified xsi:type="dcterms:W3CDTF">2018-08-21T10:25:00Z</dcterms:modified>
</cp:coreProperties>
</file>