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E9" w:rsidRPr="00E83F90" w:rsidRDefault="009502E9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b/>
          <w:sz w:val="24"/>
        </w:rPr>
        <w:t>MT</w:t>
      </w:r>
    </w:p>
    <w:p w:rsidR="00FF3ED5" w:rsidRDefault="00FF3ED5" w:rsidP="00A33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ANNESS IV</w:t>
      </w:r>
    </w:p>
    <w:p w:rsidR="008F53AF" w:rsidRPr="00E83F90" w:rsidRDefault="008F53AF" w:rsidP="00A33695">
      <w:pPr>
        <w:jc w:val="center"/>
        <w:rPr>
          <w:rFonts w:ascii="Times New Roman" w:hAnsi="Times New Roman"/>
          <w:b/>
          <w:sz w:val="24"/>
        </w:rPr>
      </w:pPr>
    </w:p>
    <w:p w:rsidR="00C87CEE" w:rsidRPr="00C81874" w:rsidRDefault="00530C90" w:rsidP="00A33695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ANNESS IX</w:t>
      </w:r>
    </w:p>
    <w:p w:rsidR="00DD58A5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STRUZZJONIJIET GĦAL RAPPURTAR DWAR SKOPERTURI KBAR U </w:t>
      </w:r>
    </w:p>
    <w:p w:rsidR="00C87CEE" w:rsidRPr="00EF13C2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RISKJU TA’ KONĊENTRAZZJONI</w:t>
      </w:r>
    </w:p>
    <w:p w:rsidR="00224E73" w:rsidRPr="00384ADB" w:rsidRDefault="00224E73" w:rsidP="00317768">
      <w:pPr>
        <w:pStyle w:val="Heading6"/>
        <w:rPr>
          <w:sz w:val="24"/>
          <w:szCs w:val="24"/>
        </w:rPr>
      </w:pPr>
    </w:p>
    <w:p w:rsidR="00224E73" w:rsidRPr="00384ADB" w:rsidRDefault="00224E73" w:rsidP="00317768">
      <w:pPr>
        <w:pStyle w:val="Heading6"/>
        <w:rPr>
          <w:sz w:val="24"/>
          <w:szCs w:val="24"/>
        </w:rPr>
      </w:pPr>
    </w:p>
    <w:p w:rsidR="001D23F1" w:rsidRPr="00384ADB" w:rsidRDefault="001D23F1" w:rsidP="001D23F1">
      <w:pPr>
        <w:rPr>
          <w:rFonts w:ascii="Times New Roman" w:hAnsi="Times New Roman"/>
          <w:sz w:val="24"/>
        </w:rPr>
      </w:pPr>
      <w:bookmarkStart w:id="2" w:name="_GoBack"/>
      <w:bookmarkEnd w:id="2"/>
    </w:p>
    <w:p w:rsidR="00D64B66" w:rsidRPr="00384ADB" w:rsidRDefault="003105C6" w:rsidP="00317768">
      <w:pPr>
        <w:pStyle w:val="Heading6"/>
        <w:rPr>
          <w:sz w:val="24"/>
          <w:szCs w:val="24"/>
        </w:rPr>
      </w:pPr>
      <w:r>
        <w:rPr>
          <w:sz w:val="24"/>
        </w:rPr>
        <w:t>Werrej</w:t>
      </w:r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r>
        <w:rPr>
          <w:rFonts w:ascii="Times New Roman" w:hAnsi="Times New Roman"/>
          <w:noProof w:val="0"/>
          <w:sz w:val="24"/>
          <w:szCs w:val="24"/>
        </w:rPr>
        <w:fldChar w:fldCharType="begin"/>
      </w:r>
      <w:r w:rsidR="00621F98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523899726" w:history="1">
        <w:r w:rsidRPr="003365F6">
          <w:rPr>
            <w:rStyle w:val="Hyperlink"/>
            <w:rFonts w:ascii="Times New Roman" w:hAnsi="Times New Roman"/>
          </w:rPr>
          <w:t>PARTI I: STRUZZJONIJIET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27" w:history="1">
        <w:r w:rsidRPr="003365F6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Struttura u konvenzjonijiet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28" w:history="1">
        <w:r w:rsidRPr="003365F6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Abbrevjazzjonijiet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29" w:history="1">
        <w:r w:rsidRPr="003365F6">
          <w:rPr>
            <w:rStyle w:val="Hyperlink"/>
            <w:rFonts w:ascii="Times New Roman" w:hAnsi="Times New Roman"/>
          </w:rPr>
          <w:t>PARTI II: STRUZZJONIJIET RELATATI MAL-FORMOLA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0" w:history="1">
        <w:r w:rsidRPr="003365F6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Ambitu u livell ta' rappurtar 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1" w:history="1">
        <w:r w:rsidRPr="003365F6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L-istruttura tal-formola 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2" w:history="1">
        <w:r w:rsidRPr="003365F6">
          <w:rPr>
            <w:rStyle w:val="Hyperlink"/>
            <w:rFonts w:ascii="Times New Roman" w:eastAsia="Arial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Definizzjonijiet u struzzjonijiet ġenerali għall-iskopijiet tar-rappurtar 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3" w:history="1">
        <w:r w:rsidRPr="003365F6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C 26.00 - Formola tal-Limiti 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4" w:history="1">
        <w:r w:rsidRPr="003365F6">
          <w:rPr>
            <w:rStyle w:val="Hyperlink"/>
            <w:rFonts w:ascii="Times New Roman" w:hAnsi="Times New Roman"/>
          </w:rPr>
          <w:t>4.1.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Struzzjonijiet dwar ringieli speċifiċi: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5" w:history="1">
        <w:r w:rsidRPr="003365F6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C 27.00 - Identifikazzjoni tal-kontroparti (LE1)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6" w:history="1">
        <w:r w:rsidRPr="003365F6">
          <w:rPr>
            <w:rStyle w:val="Hyperlink"/>
            <w:rFonts w:ascii="Times New Roman" w:hAnsi="Times New Roman"/>
          </w:rPr>
          <w:t>5.1.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7" w:history="1">
        <w:r w:rsidRPr="003365F6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C 28.00 Skoperturi fil-portafoll tal-kummerċ u mhux tal-kummerċ (LE2)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8" w:history="1">
        <w:r w:rsidRPr="003365F6">
          <w:rPr>
            <w:rStyle w:val="Hyperlink"/>
            <w:rFonts w:ascii="Times New Roman" w:hAnsi="Times New Roman"/>
          </w:rPr>
          <w:t>6.1.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39" w:history="1">
        <w:r w:rsidRPr="003365F6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C 29.00 - Dettalji tal-iskoperturi għal klijenti individwali fi gruppi ta’ klijenti konnessi (LE3)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40" w:history="1">
        <w:r w:rsidRPr="003365F6">
          <w:rPr>
            <w:rStyle w:val="Hyperlink"/>
            <w:rFonts w:ascii="Times New Roman" w:hAnsi="Times New Roman"/>
          </w:rPr>
          <w:t>7.1.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41" w:history="1">
        <w:r w:rsidRPr="003365F6">
          <w:rPr>
            <w:rStyle w:val="Hyperlink"/>
            <w:rFonts w:ascii="Times New Roman" w:hAnsi="Times New Roman"/>
          </w:rPr>
          <w:t>8.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C 30.00 - Il-meded ta’ maturità tal-għaxar l-akbar skoperturi għall-istituzzjonijiet u l-għaxar l-akbar skoperturi għal entitajiet finanzjarji mhux regolati (formola LE4);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42" w:history="1">
        <w:r w:rsidRPr="003365F6">
          <w:rPr>
            <w:rStyle w:val="Hyperlink"/>
            <w:rFonts w:ascii="Times New Roman" w:hAnsi="Times New Roman"/>
          </w:rPr>
          <w:t>8.1.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43" w:history="1">
        <w:r w:rsidRPr="003365F6">
          <w:rPr>
            <w:rStyle w:val="Hyperlink"/>
            <w:rFonts w:ascii="Times New Roman" w:hAnsi="Times New Roman"/>
          </w:rPr>
          <w:t>9.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C 31.00- Meded ta’ maturità tal-akbar għaxar skoperturi għall-istituzzjonijiet u l-akbar għaxar skoperturi għal entitajiet finanzjarji mhux regolati: dettall tal-iskoperturi għal klijenti individwali fi ħdan gruppi ta' klijenti konnessi (formola LE5).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E44CC7" w:rsidRDefault="00E44CC7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3899744" w:history="1">
        <w:r w:rsidRPr="003365F6">
          <w:rPr>
            <w:rStyle w:val="Hyperlink"/>
            <w:rFonts w:ascii="Times New Roman" w:hAnsi="Times New Roman"/>
          </w:rPr>
          <w:t>9.1.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Pr="003365F6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_Toc523899744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910E8A" w:rsidRDefault="00E44CC7">
      <w:pPr>
        <w:rPr>
          <w:rFonts w:ascii="Times New Roman" w:eastAsia="SimSun" w:hAnsi="Times New Roman"/>
          <w:sz w:val="24"/>
        </w:rPr>
        <w:sectPr w:rsidR="00910E8A" w:rsidSect="00A772B4">
          <w:footerReference w:type="default" r:id="rId10"/>
          <w:footerReference w:type="first" r:id="rId11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:rsidR="009777FB" w:rsidRPr="009777FB" w:rsidRDefault="003105C6" w:rsidP="0093135A">
      <w:pPr>
        <w:pStyle w:val="Heading2"/>
        <w:rPr>
          <w:bCs/>
        </w:rPr>
      </w:pPr>
      <w:bookmarkStart w:id="3" w:name="_Toc264038394"/>
      <w:bookmarkStart w:id="4" w:name="_Toc393461951"/>
      <w:bookmarkStart w:id="5" w:name="_Toc523899726"/>
      <w:r>
        <w:rPr>
          <w:rFonts w:ascii="Times New Roman" w:hAnsi="Times New Roman"/>
        </w:rPr>
        <w:lastRenderedPageBreak/>
        <w:t>PARTI I:</w:t>
      </w:r>
      <w:bookmarkEnd w:id="3"/>
      <w:r>
        <w:rPr>
          <w:rFonts w:ascii="Times New Roman" w:hAnsi="Times New Roman"/>
        </w:rPr>
        <w:t xml:space="preserve"> STRUZZJONIJIET ĠENERALI</w:t>
      </w:r>
      <w:bookmarkEnd w:id="4"/>
      <w:bookmarkEnd w:id="5"/>
    </w:p>
    <w:p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6" w:name="_Toc393461952"/>
      <w:bookmarkStart w:id="7" w:name="_Toc523899727"/>
      <w:r>
        <w:rPr>
          <w:rFonts w:ascii="Times New Roman" w:hAnsi="Times New Roman"/>
          <w:b/>
          <w:sz w:val="24"/>
          <w:u w:val="none"/>
        </w:rPr>
        <w:t>Struttura u konvenzjonijiet</w:t>
      </w:r>
      <w:bookmarkEnd w:id="6"/>
      <w:bookmarkEnd w:id="7"/>
    </w:p>
    <w:p w:rsidR="00393539" w:rsidRPr="0039317F" w:rsidRDefault="00D40975" w:rsidP="0039317F">
      <w:pPr>
        <w:pStyle w:val="InstructionsText2"/>
      </w:pPr>
      <w:bookmarkStart w:id="8" w:name="_Toc264038399"/>
      <w:bookmarkStart w:id="9" w:name="_Toc294018834"/>
      <w:r>
        <w:t>Il-qafas tar-rappurtar fuq riskji kbar (‘large exposures — LE’) jikkonsisti f'sitt formoli li jinkludu l-informazzjoni li ġejja:</w:t>
      </w:r>
    </w:p>
    <w:p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limiti tal-iskoperturi l-kbar;</w:t>
      </w:r>
    </w:p>
    <w:p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identifikazzjoni tal-kontroparti (formola LE1);</w:t>
      </w:r>
    </w:p>
    <w:p w:rsidR="00393539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skoperturi fil-portafoll mhux tal-kummerċ u dak tal-kummerċ (formola LE2); </w:t>
      </w:r>
    </w:p>
    <w:p w:rsidR="00393539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dettall tal-iskoperturi għal klijenti individwali fi ħdan gruppi ta' klijenti konnessi (formola LE3).</w:t>
      </w:r>
    </w:p>
    <w:p w:rsidR="00627430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meded ta' maturità tal-għaxar l-akbar skoperturi għall-istituzzjonijiet u l-għaxar l-akbar skoperturi għal entitajiet finanzjarji mhux regolati (formola LE4); </w:t>
      </w:r>
    </w:p>
    <w:p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meded ta' maturità tal-għaxar l-akbar skoperturi għall-istituzzjonijiet u l-għaxar l-akbar skoperturi għal entitajiet finanzjarji mhux regolati: dettall tal-iskoperturi għal klijenti individwali fi ħdan gruppi ta' klijenti konnessi (formola LE5).</w:t>
      </w:r>
    </w:p>
    <w:p w:rsidR="003D56DE" w:rsidRPr="0039317F" w:rsidRDefault="00756759" w:rsidP="0039317F">
      <w:pPr>
        <w:pStyle w:val="InstructionsText2"/>
      </w:pPr>
      <w:r>
        <w:t>L-istruzzjonijiet jinkludu referenzi legali kif ukoll informazzjoni dettaljata dwar id-dejta li tiġi rappurtata f'kull formola.</w:t>
      </w:r>
    </w:p>
    <w:p w:rsidR="00B0191A" w:rsidRPr="0039317F" w:rsidRDefault="003105C6" w:rsidP="0039317F">
      <w:pPr>
        <w:pStyle w:val="InstructionsText2"/>
      </w:pPr>
      <w:r>
        <w:t xml:space="preserve">L-istruzzjonijiet u r-regoli dwar il-validazzjoni jsegwu l-konvenzjoni tal-ittikkettjar stabbilita fil-paragrafi li ġejjin, meta jirreferu għal kolonni, ringieli u ċelloli tal-formoli. </w:t>
      </w:r>
    </w:p>
    <w:p w:rsidR="00B0191A" w:rsidRPr="0039317F" w:rsidRDefault="00F36707" w:rsidP="0039317F">
      <w:pPr>
        <w:pStyle w:val="InstructionsText2"/>
      </w:pPr>
      <w:r>
        <w:t>Il-konvenzjoni segwenti ġeneralment tintuża fl-istruzzjonijiet u r-regoli ta' validazzjoni: {Formola;Ringiela;Kolonna}. Sinjal ta' asterisk jintuża biex jesprimi li l-validazzjoni hija magħmula għar-ringieli kollha rrappurtati.</w:t>
      </w:r>
    </w:p>
    <w:p w:rsidR="00B0191A" w:rsidRPr="0039317F" w:rsidRDefault="003105C6" w:rsidP="0039317F">
      <w:pPr>
        <w:pStyle w:val="InstructionsText2"/>
        <w:rPr>
          <w:rFonts w:eastAsia="Arial"/>
        </w:rPr>
      </w:pPr>
      <w:r>
        <w:t>Fil-każ ta' validazzjonijiet f'formola, li fiha jintużaw biss punti ta' dejta ta' dik il-formola, in-notamenti ma jirreferux għal formola: {Ringiela;Kolonna}.</w:t>
      </w:r>
    </w:p>
    <w:p w:rsidR="00B0191A" w:rsidRDefault="006217F1" w:rsidP="0039317F">
      <w:pPr>
        <w:pStyle w:val="InstructionsText2"/>
      </w:pPr>
      <w:r>
        <w:t xml:space="preserve">ABS (Valur): il-valur assolut mingħajr sinjal. </w:t>
      </w:r>
      <w:bookmarkEnd w:id="8"/>
      <w:bookmarkEnd w:id="9"/>
      <w:r>
        <w:t xml:space="preserve"> Kwalunkwe ammont li jżid l-iskoperturi jiġi rrappurtat bħala ċifra pożittiva. Għall-kuntrarju, kwalunkwe ammont li jnaqqas l-iskoperturi jiġi rrappurtat bħala ċifra negattiva. Fejn hemm sinjal negattiv (-) qabel it-tikketta ta’ entrata, l-ebda ċifra pożittiva ma tiġi rrappurtata għal dak il-punt.</w:t>
      </w:r>
    </w:p>
    <w:p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10" w:name="_Toc523899728"/>
      <w:r>
        <w:rPr>
          <w:rFonts w:ascii="Times New Roman" w:hAnsi="Times New Roman"/>
          <w:b/>
          <w:sz w:val="24"/>
          <w:u w:val="none"/>
        </w:rPr>
        <w:t>Abbrevjazzjonijiet</w:t>
      </w:r>
      <w:bookmarkEnd w:id="10"/>
    </w:p>
    <w:p w:rsidR="0093135A" w:rsidRDefault="0093135A" w:rsidP="0093135A">
      <w:pPr>
        <w:pStyle w:val="InstructionsText2"/>
      </w:pPr>
      <w:r>
        <w:t>Għall-finijiet ta’ dan l-Anness, ir-Regolament (UE) Nru 575/2013 huwa msejjaħ bħala “s-CRR”.</w:t>
      </w:r>
    </w:p>
    <w:p w:rsidR="0093135A" w:rsidRPr="0039317F" w:rsidRDefault="0093135A" w:rsidP="0078562D">
      <w:pPr>
        <w:pStyle w:val="InstructionsText2"/>
        <w:numPr>
          <w:ilvl w:val="0"/>
          <w:numId w:val="0"/>
        </w:numPr>
        <w:ind w:left="720" w:hanging="360"/>
      </w:pPr>
    </w:p>
    <w:p w:rsidR="00A801A9" w:rsidRPr="00384ADB" w:rsidRDefault="00A801A9" w:rsidP="00005FFC">
      <w:pPr>
        <w:rPr>
          <w:rFonts w:ascii="Times New Roman" w:hAnsi="Times New Roman"/>
          <w:sz w:val="24"/>
        </w:rPr>
        <w:sectPr w:rsidR="00A801A9" w:rsidRPr="00384ADB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11" w:name="_Toc264033192"/>
      <w:bookmarkEnd w:id="11"/>
    </w:p>
    <w:p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12" w:name="_Toc393461953"/>
      <w:bookmarkStart w:id="13" w:name="_Toc523899729"/>
      <w:r>
        <w:rPr>
          <w:rFonts w:ascii="Times New Roman" w:hAnsi="Times New Roman"/>
        </w:rPr>
        <w:lastRenderedPageBreak/>
        <w:t>PARTI II: STRUZZJONIJIET RELATATI MAL-FORMOLA</w:t>
      </w:r>
      <w:bookmarkEnd w:id="12"/>
      <w:bookmarkEnd w:id="13"/>
    </w:p>
    <w:p w:rsidR="00F41B3A" w:rsidRPr="00384ADB" w:rsidRDefault="00F41B3A" w:rsidP="00EA549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F'Dan l-Anness, l-istruzzjonijiet relatati mar-rappurtar ta' Skoperturi Kbar għandhom japplikaw ukoll għar-rappurtar ta' skoperturi sinifikanti meħtieġa mill-Artikoli 9 u 11, skont l-iskop definit f'dawk l-Artikoli.</w:t>
      </w:r>
    </w:p>
    <w:p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4" w:name="_Toc393461954"/>
      <w:bookmarkStart w:id="15" w:name="_Toc523899730"/>
      <w:r>
        <w:rPr>
          <w:rFonts w:ascii="Times New Roman" w:hAnsi="Times New Roman"/>
          <w:b/>
          <w:sz w:val="24"/>
          <w:u w:val="none"/>
        </w:rPr>
        <w:t>Ambitu u livell ta' rappurtar LE</w:t>
      </w:r>
      <w:bookmarkEnd w:id="14"/>
      <w:bookmarkEnd w:id="15"/>
    </w:p>
    <w:p w:rsidR="000F13EA" w:rsidRPr="0039317F" w:rsidRDefault="000F13EA" w:rsidP="0039317F">
      <w:pPr>
        <w:pStyle w:val="InstructionsText2"/>
        <w:numPr>
          <w:ilvl w:val="0"/>
          <w:numId w:val="27"/>
        </w:numPr>
        <w:rPr>
          <w:rFonts w:eastAsia="Arial"/>
        </w:rPr>
      </w:pPr>
      <w:r>
        <w:t xml:space="preserve">Sabiex tiġi rappurtata informazzjoni dwar skoperturi kbar għal klijenti jew gruppi ta’ klijenti konnessi skont l-Artikolu 394(1) tar-Regolament (UE) Nru 575/2013(‘CRR’) fuq bażi waħdanija, l-istituzzjonijiet jużaw il-formoli LE1, LE2 u LE3. </w:t>
      </w:r>
    </w:p>
    <w:p w:rsidR="00B0191A" w:rsidRPr="0039317F" w:rsidRDefault="000F13EA" w:rsidP="0039317F">
      <w:pPr>
        <w:pStyle w:val="InstructionsText2"/>
        <w:rPr>
          <w:rFonts w:eastAsia="Arial"/>
        </w:rPr>
      </w:pPr>
      <w:r>
        <w:t xml:space="preserve">Sabiex tiġi rappurtata informazzjoni dwar skoperturi kbar lil klijenti jew gruppi ta’ klijenti konnessi skont l-Artikolu 394(1) tas-CRR fuq bażi waħdanija, l-istituzzjonijiet prinċipali fi Stat Membru jużaw il-formoli LE1, LE2 u LE3. </w:t>
      </w:r>
    </w:p>
    <w:p w:rsidR="00B0191A" w:rsidRPr="0039317F" w:rsidRDefault="00A11FB0" w:rsidP="000F0ADE">
      <w:pPr>
        <w:pStyle w:val="InstructionsText2"/>
        <w:rPr>
          <w:rFonts w:eastAsia="Arial"/>
        </w:rPr>
      </w:pPr>
      <w:r>
        <w:t xml:space="preserve">Kull skopertura kbira definita skont l-Artikolu 392 tas-CRR tiġi rrappurtata, inklużi l-iskoperturi kbar li ma għandhomx jitqiesu għall-konformità mal-limitu ta’ skopertura kbira stabbiliti fl-Artikolu 395 tas-CRR. </w:t>
      </w:r>
    </w:p>
    <w:p w:rsidR="00B0191A" w:rsidRPr="0039317F" w:rsidRDefault="001C7BF0" w:rsidP="000F0ADE">
      <w:pPr>
        <w:pStyle w:val="InstructionsText2"/>
        <w:rPr>
          <w:rFonts w:eastAsia="Arial"/>
        </w:rPr>
      </w:pPr>
      <w:r>
        <w:t xml:space="preserve">Sabiex tiġi rappurtata informazzjoni dwar l-akbar 20 skopertura għal klijenti jew gruppi ta’ klijenti konnessi skont l-aħħar sentenza tal-Artikolu 394(1) tas-CRR fuq bażi konsolidata, l-istituzzjonijiet prinċipali fi Stat Membru li huma soġġetti għall-Parti Tlieta, it-Titolu II, Kapitolu 3 tas-CRR, jużaw il-formoli LE1, LE2 u LE3. Il-valur tal-iskopertura li jirriżulta minn meta jitnaqqas l-ammont fil-kolonna 320 (‘Ammonti eżentati’) tal-formola LE2 mill-ammont fil-kolonna 210 (‘Total’) ta' dik l-istess formola huwa l-ammont li jintuża għad-determinazzjoni ta' dawn l-akbar 20 skopertura. </w:t>
      </w:r>
    </w:p>
    <w:p w:rsidR="00B0191A" w:rsidRPr="0039317F" w:rsidRDefault="00C1644D">
      <w:pPr>
        <w:pStyle w:val="InstructionsText2"/>
        <w:rPr>
          <w:rFonts w:eastAsia="Arial"/>
        </w:rPr>
      </w:pPr>
      <w:r>
        <w:t>Sabiex tiġi rappurtata informazzjoni dwar l-akbar 394 skopertura lil istituzzjonijiet kif ukoll dwar l-akbar għaxar skoperturi għal entitajiet finanzjarji mhux regolati skont punti (a) sa (d) tal-Artikolu 394(2) tas-CRR fuq bażi konsolidata, l-istituzzjonijiet prinċipali fi Stat Membru jużaw il-formoli LE1, LE2 u LE3. Għar-rappurtar tal-istruttura tal-maturità ta’ dawn l-iskoperturi skont l-Artikolu 394(2)(e) tas-CRR, l-istituzzjonijiet prinċipali fi Stat Membru jużaw il-formoli LE4 u LE5. Il-valur tal-iskopertura kkalkolat fil-kolonna 210 (‘Total’) tal-formola LE2 huwa l-ammont li jintuża għad-determinazzjoni ta' dawn l-akbar 20 skopertura.</w:t>
      </w:r>
    </w:p>
    <w:p w:rsidR="00B0191A" w:rsidRPr="0039317F" w:rsidRDefault="001E0F83">
      <w:pPr>
        <w:pStyle w:val="InstructionsText2"/>
        <w:rPr>
          <w:rFonts w:eastAsia="Arial"/>
        </w:rPr>
      </w:pPr>
      <w:r>
        <w:t xml:space="preserve">Id-dejta dwar l-iskoperturi kbar u l-akbar skoperturi rilevanti għal gruppi ta’ klijenti konnessi u klijenti individwali li ma jappartjenux għal grupp ta’ klijenti konnessi tiġi rrappurtata fil-formola LE2 (li fih grupp ta’ klijenti konnessi jkun irrappurtat bħala skopertura waħda). </w:t>
      </w:r>
    </w:p>
    <w:p w:rsidR="00B0191A" w:rsidRPr="0039317F" w:rsidRDefault="008A4511">
      <w:pPr>
        <w:pStyle w:val="InstructionsText2"/>
        <w:rPr>
          <w:rFonts w:eastAsia="Arial"/>
        </w:rPr>
      </w:pPr>
      <w:r>
        <w:t xml:space="preserve">L-istituzzjonijiet jirrappurtaw fil-formoli ta' dejta LE3 dwar l-iskoperturi għal klijenti individwali li jappartjenu għall-gruppi ta' klijenti konnessi, li jkunu rappurtati fil-formola LE2. Ir-rappurtar ta' skopertura għal klijent individwali fil-formola LE2 ma jiġix idduplikat fil-formola LE3. </w:t>
      </w:r>
    </w:p>
    <w:p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6" w:name="_Toc393461955"/>
      <w:bookmarkStart w:id="17" w:name="_Toc523899731"/>
      <w:r>
        <w:rPr>
          <w:rFonts w:ascii="Times New Roman" w:hAnsi="Times New Roman"/>
          <w:b/>
          <w:sz w:val="24"/>
          <w:u w:val="none"/>
        </w:rPr>
        <w:lastRenderedPageBreak/>
        <w:t>L-istruttura tal-formola LE</w:t>
      </w:r>
      <w:bookmarkEnd w:id="16"/>
      <w:bookmarkEnd w:id="17"/>
    </w:p>
    <w:p w:rsidR="00A11EC0" w:rsidRPr="0039317F" w:rsidRDefault="00B945FE" w:rsidP="0039317F">
      <w:pPr>
        <w:pStyle w:val="InstructionsText2"/>
        <w:rPr>
          <w:rFonts w:eastAsia="Arial"/>
        </w:rPr>
      </w:pPr>
      <w:r>
        <w:t>Il-kolonni tal-formola LE1 jippreżentaw l-informazzjoni relatata mal-identifikazzjoni ta’ klijenti individwali jew gruppi ta’ klijenti konnessi li istituzzjoni jkollha skopertura għalihom.</w:t>
      </w:r>
    </w:p>
    <w:p w:rsidR="00B0191A" w:rsidRPr="0039317F" w:rsidRDefault="009362E7" w:rsidP="0039317F">
      <w:pPr>
        <w:pStyle w:val="InstructionsText2"/>
        <w:rPr>
          <w:rFonts w:eastAsia="Arial"/>
        </w:rPr>
      </w:pPr>
      <w:r>
        <w:t xml:space="preserve">Il-kolonni tal-formoli LE2 u LE3 jippreżentaw dawn il-blokki ta’ informazzjoni:   </w:t>
      </w:r>
    </w:p>
    <w:p w:rsidR="00B0191A" w:rsidRPr="0039317F" w:rsidRDefault="001E0F83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>
        <w:t>il-valur tal-iskopertura qabel l-applikazzjoni ta' eżenzjonijiet u qabel ma jitqies l-effett tal-mitigazzjoni tar-riskju tal-kreditu, inkluż skoperturi addizzjonali diretti, indiretti u l-iskoperturi addizzjonali li jirriżultaw mit-tranżazzjonijiet fejn ikun hemm skopertura għal assi sottostanti;</w:t>
      </w:r>
    </w:p>
    <w:p w:rsidR="00B0191A" w:rsidRPr="0039317F" w:rsidRDefault="001E0F83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>
        <w:t>l-effett tal-eżenzjonijiet u tat-tekniki tal-mitigazzjoni tar-riskju tal-kreditu;</w:t>
      </w:r>
    </w:p>
    <w:p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il-valur tal-iskopertura wara li l-applikazzjoni tal-eżenzjonijiet u wara li jitqies l-effett tal-mitigazzjoni tar-riskju tal-kreditu kkalkulat għall-finijiet tal-Artikolu 395(1) tas-CRR. </w:t>
      </w:r>
    </w:p>
    <w:p w:rsidR="00B0191A" w:rsidRPr="0039317F" w:rsidRDefault="00B4530A" w:rsidP="0039317F">
      <w:pPr>
        <w:pStyle w:val="InstructionsText2"/>
        <w:rPr>
          <w:rFonts w:eastAsia="Arial"/>
        </w:rPr>
      </w:pPr>
      <w:r>
        <w:t xml:space="preserve">Il-kolonni tal-formoli LE4 u LE5 jippreżentaw l-informazzjoni dwar il-meded ta’ maturità li għalihom l-ammonti mistennija ta’ maturità tal-ikbar għaxar skoperturi għal istituzzjonijiet kif ukoll l-akbar għaxar skoperturi għal entitajiet mis-settur finanzjarju mhux regolati jiġu allokati. </w:t>
      </w:r>
    </w:p>
    <w:p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8" w:name="_Toc393461956"/>
      <w:bookmarkStart w:id="19" w:name="_Toc523899732"/>
      <w:r>
        <w:rPr>
          <w:rFonts w:ascii="Times New Roman" w:hAnsi="Times New Roman"/>
          <w:b/>
          <w:sz w:val="24"/>
          <w:u w:val="none"/>
        </w:rPr>
        <w:t>Definizzjonijiet u struzzjonijiet ġenerali għall-iskopijiet tar-rappurtar LE</w:t>
      </w:r>
      <w:bookmarkEnd w:id="18"/>
      <w:bookmarkEnd w:id="19"/>
    </w:p>
    <w:p w:rsidR="001E0F83" w:rsidRPr="0039317F" w:rsidRDefault="00B945FE" w:rsidP="0039317F">
      <w:pPr>
        <w:pStyle w:val="InstructionsText2"/>
        <w:rPr>
          <w:rFonts w:eastAsia="Arial"/>
        </w:rPr>
      </w:pPr>
      <w:r>
        <w:t>''Grupp ta' klijenti marbutin' hija definita fl-Artikolu 4(1)(39) tas-CRR.</w:t>
      </w:r>
    </w:p>
    <w:p w:rsidR="00B0191A" w:rsidRPr="0039317F" w:rsidRDefault="00915A9C" w:rsidP="0039317F">
      <w:pPr>
        <w:pStyle w:val="InstructionsText2"/>
        <w:rPr>
          <w:rFonts w:eastAsia="Arial"/>
        </w:rPr>
      </w:pPr>
      <w:r>
        <w:t xml:space="preserve">‘Entitajiet finanzjarji mhux regolati’ hija definita fl-Artikolu 142(1)(5) tas-CRR.  </w:t>
      </w:r>
    </w:p>
    <w:p w:rsidR="00B0191A" w:rsidRPr="0039317F" w:rsidRDefault="00D441A7" w:rsidP="0039317F">
      <w:pPr>
        <w:pStyle w:val="InstructionsText2"/>
        <w:rPr>
          <w:rFonts w:eastAsia="Arial"/>
        </w:rPr>
      </w:pPr>
      <w:r>
        <w:t xml:space="preserve">‘Istituzzjonijiet’ hija definita fl-Artikolu 4(1)(3) tas-CRR  </w:t>
      </w:r>
    </w:p>
    <w:p w:rsidR="00B0191A" w:rsidRPr="0039317F" w:rsidRDefault="009B34D1" w:rsidP="0039317F">
      <w:pPr>
        <w:pStyle w:val="InstructionsText2"/>
        <w:rPr>
          <w:rFonts w:eastAsia="Arial"/>
        </w:rPr>
      </w:pPr>
      <w:r>
        <w:t xml:space="preserve">Skoperturi għal ‘assoċjazzjonijiet taħt id-dritt ċivili’ jiġu rrappurtati. Barra minn hekk, l-istituzzjonijiet iżidu l-ammonti ta' kreditu tal-assoċjazzjoni taħt id-dritt ċivili għad-dejn ta' kull sieħeb. Skoperturi lejn l-assoċjazzjonijiet tad-dritt ċivili li jkollhom kwoti jiġu diviżi jew allokati lis-sħab skont il-kwoti rispettivi tagħhom. Ċerti kostruzzjonijiet (eż. kontijiet konġunti, komunitajiet tal-werrieta, teħid ta’ self f’isem ħaddieħor) li jaħdmu bħala assoċjazzjonijiet tad-dritt ċivili jridu jiġu rrappurtati bħalhom. </w:t>
      </w:r>
    </w:p>
    <w:p w:rsidR="00910E26" w:rsidRPr="0039317F" w:rsidRDefault="00D441A7" w:rsidP="0039317F">
      <w:pPr>
        <w:pStyle w:val="InstructionsText2"/>
        <w:rPr>
          <w:rFonts w:eastAsia="Arial"/>
        </w:rPr>
      </w:pPr>
      <w:r>
        <w:t>Assi u entrati li ma jidhrux fuq il-karta tal-bilanċ jintużaw mingħajr ponderazzjonijiet ta’ riskju jew gradi ta’ riskju skont l-Artikolu 389 tas-CRR. Speċifikament, fatturi tal-konverżjoni ta' kreditu ma għandhomx ikunu applikati għal entrati li huma barra mill-karta tal-bilanċ.</w:t>
      </w:r>
    </w:p>
    <w:p w:rsidR="00B0191A" w:rsidRPr="0039317F" w:rsidRDefault="0039317F" w:rsidP="0039317F">
      <w:pPr>
        <w:pStyle w:val="InstructionsText2"/>
        <w:rPr>
          <w:rFonts w:eastAsia="Arial"/>
        </w:rPr>
      </w:pPr>
      <w:r>
        <w:t xml:space="preserve"> ‘Skoperturi’ huma definiti fl-Artikolu 389 tas-CRR. </w:t>
      </w:r>
    </w:p>
    <w:p w:rsidR="00B0191A" w:rsidRPr="0039317F" w:rsidRDefault="001243C8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kwalunkwe assi jew entrati li ma jidhrux fil-karta tal-bilanċ fil-portafoll tan-negozjar u mhux tan-negozjar inklużi entrati stipulati fl-Artikolu 400 tas-CRR, iżda esklużi entrati li jaqgħu taħt il-punti (a) sa (d) ta’ Artikolu 390(6) tas-CRR. </w:t>
      </w:r>
    </w:p>
    <w:p w:rsidR="00B0191A" w:rsidRPr="0039317F" w:rsidRDefault="00AB5AE4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>
        <w:lastRenderedPageBreak/>
        <w:t xml:space="preserve">‘skoperturi indiretti’ huma dawk l-iskoperturi allokati lill-garanti jew lill-emittent tal-kollateral minflok lill-mutwatarju immedjat skont l-Artikolu 403 tas-CRR. </w:t>
      </w:r>
      <w:r>
        <w:rPr>
          <w:i/>
        </w:rPr>
        <w:t>Id-definizzjonijiet t'hawn fl-ebda rispett ma jistgħu ikunu differenti mid-definizzjonijiet provduti fl-att bażiku.</w:t>
      </w:r>
      <w:r>
        <w:t>]</w:t>
      </w:r>
    </w:p>
    <w:p w:rsidR="00B0191A" w:rsidRPr="0039317F" w:rsidRDefault="00F40CD9" w:rsidP="0039317F">
      <w:pPr>
        <w:pStyle w:val="InstructionsText2"/>
        <w:rPr>
          <w:rFonts w:eastAsia="Arial"/>
        </w:rPr>
      </w:pPr>
      <w:r>
        <w:t>L-iskoperturi għal gruppi ta’ klijenti konnessi jkunu kkalkulati f’konformità mal-Artikolu 390(5).</w:t>
      </w:r>
    </w:p>
    <w:p w:rsidR="0008722B" w:rsidRPr="0039317F" w:rsidRDefault="008645CF" w:rsidP="0039317F">
      <w:pPr>
        <w:pStyle w:val="InstructionsText2"/>
        <w:rPr>
          <w:rFonts w:eastAsia="Arial"/>
        </w:rPr>
      </w:pPr>
      <w:r>
        <w:t>Ikun permess li jittieħed kont ta' 'ftehim ta’ netting' għall-effetti tal-valur ta' skoperturi kbar kif stipulat fl-Artikolu 390(1), (2) u (3) tas-CRR Il-valur tal-iskopertura ta' strument derivattiv elenkat fl-Anness II tas-CRR ikun determinat skont il-Parti Tlieta, Titolu II, Kapitolu 6 tas-CRR bl-effetti tal-kuntratti ta' novazzjoni u ftehim ta’ netting ieħor meħud inkonsiderazzjoni għall-finijiet ta' dawn il-metodi skont Parti Tlieta, Titolu II, Kapitolu 6, tas-CRR. Il-valur tal-iskopertura ta' transazzjonijiet ta' riakkwist, tranżazzjonijiet ta' self ta' titoli jew komoditajiet, transazzjonijiet b'saldu fit-tul u transazzjonijiet ta' self b'marġni jista' jiġi ddeterminat jew skont Parti Tlieta, Titolu II, Kapitolu 4 jew Kapitolu 6, tas-CRR. Skont l-Artikolu 296 tas-CRR, il-valur tal-iskopertura ta’ obbligu legali wieħed li jirriżulta minn ftehim kuntrattwali ta’ netting inkroċat bejn prodotti ma’ kontroparti tal-istituzzjoni relatriċi jiġi rrappurtat bħala ‘impenji oħra’ fil-formoli LE.</w:t>
      </w:r>
    </w:p>
    <w:p w:rsidR="00AB28E2" w:rsidRPr="0039317F" w:rsidRDefault="001E0F83" w:rsidP="0039317F">
      <w:pPr>
        <w:pStyle w:val="InstructionsText2"/>
        <w:rPr>
          <w:rFonts w:eastAsia="Arial"/>
        </w:rPr>
      </w:pPr>
      <w:r>
        <w:t>Il-‘valur ta' skopertura’ jiġi kkalkulat skont l-Artikolu 390 tas-CRR.</w:t>
      </w:r>
    </w:p>
    <w:p w:rsidR="00B0191A" w:rsidRPr="0039317F" w:rsidRDefault="001E0F83" w:rsidP="0039317F">
      <w:pPr>
        <w:pStyle w:val="InstructionsText2"/>
        <w:rPr>
          <w:rFonts w:eastAsia="Arial"/>
        </w:rPr>
      </w:pPr>
      <w:r>
        <w:t xml:space="preserve">L-effett tal-applikazzjoni sħiħa jew parzjali tal-eżenzjonijiet u l-mitigazzjoni tar-riskju ta’ kreditu eliġibbli (CRM) għall-fini tal-kalkolu ta’ skoperturi għall-fini tal-Artikolu 395(1) huwa deskritt fl-Artikoli minn 399 sa 403 tas-CRR. </w:t>
      </w:r>
    </w:p>
    <w:p w:rsidR="00AB28E2" w:rsidRPr="0039317F" w:rsidRDefault="0017740A" w:rsidP="0039317F">
      <w:pPr>
        <w:pStyle w:val="InstructionsText2"/>
        <w:rPr>
          <w:rFonts w:eastAsia="Arial"/>
        </w:rPr>
      </w:pPr>
      <w:r>
        <w:t>It-treġġigħ lura ta' ftehim ta' riakkwist li jaqa' taħt ir-rappurtar għal skoperturi kbar jiġi rappurtat skont l-Artikolu 402(3) tas-CRR. Sakemm il-kriterji fl-Artikolu 402(3) tas-CRR huma ssodisfati, l-istituzzjoni tirrapporta skoperturi kbar lil kull parti terza għall-ammont tal-pretensjoni li dik il-kontroparti għat-tranżazzjoni għandha fuq din il-parti terza u mhux għall-ammont tal-iskopertura għall-kontroparti.</w:t>
      </w:r>
    </w:p>
    <w:p w:rsidR="00B0191A" w:rsidRPr="00384ADB" w:rsidRDefault="00B0191A" w:rsidP="00FD4656">
      <w:pPr>
        <w:rPr>
          <w:rFonts w:eastAsia="Arial"/>
        </w:rPr>
      </w:pPr>
    </w:p>
    <w:p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0" w:name="_Toc393461957"/>
      <w:bookmarkStart w:id="21" w:name="_Toc523899733"/>
      <w:r>
        <w:rPr>
          <w:rFonts w:ascii="Times New Roman" w:hAnsi="Times New Roman"/>
          <w:b/>
          <w:sz w:val="24"/>
          <w:u w:val="none"/>
        </w:rPr>
        <w:t>C 26.00 - Formola tal-Limiti LE</w:t>
      </w:r>
      <w:bookmarkEnd w:id="20"/>
      <w:bookmarkEnd w:id="21"/>
    </w:p>
    <w:p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2" w:name="_Toc393461958"/>
      <w:bookmarkStart w:id="23" w:name="_Toc523899734"/>
      <w:r>
        <w:rPr>
          <w:rFonts w:ascii="Times New Roman" w:hAnsi="Times New Roman"/>
          <w:sz w:val="24"/>
        </w:rPr>
        <w:t>Struzzjonijiet dwar ringieli speċifiċi:</w:t>
      </w:r>
      <w:bookmarkEnd w:id="22"/>
      <w:bookmarkEnd w:id="23"/>
    </w:p>
    <w:p w:rsidR="00C83135" w:rsidRPr="00384ADB" w:rsidRDefault="00C83135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:rsidTr="00C83135">
        <w:tc>
          <w:tcPr>
            <w:tcW w:w="1418" w:type="dxa"/>
            <w:shd w:val="clear" w:color="auto" w:fill="D9D9D9"/>
          </w:tcPr>
          <w:p w:rsidR="00C83135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Ringieli</w:t>
            </w:r>
          </w:p>
        </w:tc>
        <w:tc>
          <w:tcPr>
            <w:tcW w:w="7620" w:type="dxa"/>
            <w:shd w:val="clear" w:color="auto" w:fill="D9D9D9"/>
          </w:tcPr>
          <w:p w:rsidR="00B0191A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Ir-referenzi ġuridiċi u l-istruzzjonijiet</w:t>
            </w: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702E1B" w:rsidRPr="00384ADB" w:rsidRDefault="00702E1B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Nonistituzzjonijiet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2F103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L-Artikoli 395(1), 458(2)(d)(ii), 458(10) u 459(b) tas-CRR.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702E1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tal-limitu applikabbli għal kontropartijiet minbarra l-istituzzjonijiet jiġi rrappurtat. Dan l-ammont huwa 25 % tal-kapital eliġibbli, li huwa rrappurtat fir-ringiela 226 tal-formola 4 tal-Anness I, sakemm ma jkunx hemm perċentwal iktar restrittiv li japplika minħabba l-applikazzjoni tal-miżuri nazzjonali skont l-Artikolu 458 tas-CRR jew atti delegati adottati konformi mal-Artikolu 459(b) tas-CRR. </w:t>
            </w:r>
          </w:p>
          <w:p w:rsidR="00B0191A" w:rsidRPr="00384ADB" w:rsidRDefault="002F4A3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 </w:t>
            </w: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:rsidR="00C83135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Istituzzjonijiet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L-Artikoli 395(1), 458(2)(d)(ii), 458(10) u 459(b) tas-CRR.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tal-limitu applikabbli għal kontropartijiet li huma istituzzjonijiet jiġi rrappurtat. Skont l-Artikolu 395(1) tas-CRR, dan l-ammont ikun li ġej: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jekk 25% tal-kapital eliġibbli huwa ikbar minn EUR 150 miljun (jew limitu aktar baxx minn EUR 150 miljun stabbilit mill-awtorità kompetenti f’konformità mat-tielet paragrafu tal-Artikolu 395(1) tas-CRR, 25% tal-kapital eliġibbli għandu jiġi rrappurtat.</w:t>
            </w:r>
          </w:p>
          <w:p w:rsidR="00704405" w:rsidRPr="00384ADB" w:rsidRDefault="0070440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jekk EUR 150 miljun (jew limitu iktar baxx stabbilit mill-awtorità kompetenti konformi mat-tielet paragrafu tal-Artikolu 395(1) tas-CRR huwa ikbar minn 25% tal-kapital eliġibbli tal-istituzzjoni, EUR 150 miljun (jew il-limitu iktar baxx jekk stabbilit mill-awtorità kompetenti) jiġi rrapurtat. Jekk l-istituzzjoni stabbiliet limitu iktar baxx f'termini tal-kapital eliġibbli tagħha, meħtieġ mit-tieni subparagrafu tal-Artikolu 395(1) tas-CRR, dak il-limitu għandu jiġi rrapurtat. </w:t>
            </w:r>
          </w:p>
          <w:p w:rsidR="007F3F93" w:rsidRPr="00384ADB" w:rsidRDefault="007F3F9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F3F93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Dawn il-limiti jistgħu jkunu iktar stretti f'każ ta' applikazzjoni ta' miżuri nazzjonali skont l-Artikolu 395(6) jew l-Artikolu 458 tas-CRR jew l-atti delegati stabbiliti skont l-Artikoli 459(b) tas-CRR.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702E1B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L-istituzzjonijiet f'%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L-Artikoli 395(1) u 459(a) tas-CRR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jiġi rrappurtat ikun il-limitu assolut (irrappurtat fir-ringiela 020) espress bħala perċentwal tal-kapital eliġibbli.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</w:tbl>
    <w:p w:rsidR="00C83135" w:rsidRPr="00384ADB" w:rsidRDefault="00C83135" w:rsidP="0039317F">
      <w:pPr>
        <w:pStyle w:val="InstructionsText"/>
      </w:pPr>
    </w:p>
    <w:p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4" w:name="_Toc393461959"/>
      <w:bookmarkStart w:id="25" w:name="_Toc523899735"/>
      <w:r>
        <w:rPr>
          <w:rFonts w:ascii="Times New Roman" w:hAnsi="Times New Roman"/>
          <w:b/>
          <w:sz w:val="24"/>
          <w:u w:val="none"/>
        </w:rPr>
        <w:t>C 27.00 - Identifikazzjoni tal-kontroparti (LE1)</w:t>
      </w:r>
      <w:bookmarkEnd w:id="24"/>
      <w:bookmarkEnd w:id="25"/>
    </w:p>
    <w:p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6" w:name="_Toc393461960"/>
      <w:bookmarkStart w:id="27" w:name="_Toc523899736"/>
      <w:r>
        <w:rPr>
          <w:rFonts w:ascii="Times New Roman" w:hAnsi="Times New Roman"/>
          <w:sz w:val="24"/>
        </w:rPr>
        <w:t>Struzzjonijiet dwar kolonni speċifiċi</w:t>
      </w:r>
      <w:bookmarkEnd w:id="26"/>
      <w:bookmarkEnd w:id="27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:rsidTr="00634B45">
        <w:tc>
          <w:tcPr>
            <w:tcW w:w="1418" w:type="dxa"/>
            <w:shd w:val="clear" w:color="auto" w:fill="D9D9D9"/>
          </w:tcPr>
          <w:p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Ir-referenzi ġuridiċi u l-istruzzjonijiet</w:t>
            </w:r>
          </w:p>
        </w:tc>
      </w:tr>
      <w:tr w:rsidR="00634B45" w:rsidRPr="00384ADB" w:rsidTr="00634B45">
        <w:tc>
          <w:tcPr>
            <w:tcW w:w="1418" w:type="dxa"/>
          </w:tcPr>
          <w:p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010-070</w:t>
            </w:r>
          </w:p>
        </w:tc>
        <w:tc>
          <w:tcPr>
            <w:tcW w:w="7620" w:type="dxa"/>
          </w:tcPr>
          <w:p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Identifikazzjoni tal-Kontroparti: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290EFB" w:rsidRPr="0039317F" w:rsidRDefault="0031054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L-istituzzjonijiet jirrappurtaw l-identifikazzjoni ta’ kwalunkwe kontroparti għal liema informazzjoni qed tiġi mressqa f’kwalunkwe mill-formoli C 28.00 sa C 31.00. L-identifikazzjoni tal-grupp ta' klijenti konnessi ma għandhiex tiġi rrappurtata, sakemm is-sistema ta' rappurtar nazzjonali tipprovdi kodiċi unika għal grupp ta' klijenti konnessi.</w:t>
            </w:r>
          </w:p>
          <w:p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Skont l-Artikolu 394(1)(a) tas-CRR, l-istituzzjonijiet jirrappurtaw l-identifikazzjoni tal-kontroparti li għaliha jkollhom skopertura kbira kif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definit fl-Artikolu 392 tas-CRR. </w:t>
            </w:r>
          </w:p>
          <w:p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Skont l-Artikolu 394(2)(a) tas-CRR, l-istituzzjonijiet jirrappurtaw l-identifikazzjoni tal-kontroparti li għaliha jkollhom l-ikbar skoperturi (f'każijiet fejn il-kontroparti tkun istituzzjoni jew entità finanzjarja mhux regolata).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CA42A9" w:rsidRPr="00384ADB" w:rsidTr="00186D4E">
        <w:trPr>
          <w:trHeight w:val="992"/>
        </w:trPr>
        <w:tc>
          <w:tcPr>
            <w:tcW w:w="1418" w:type="dxa"/>
          </w:tcPr>
          <w:p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010</w:t>
            </w:r>
          </w:p>
        </w:tc>
        <w:tc>
          <w:tcPr>
            <w:tcW w:w="7620" w:type="dxa"/>
          </w:tcPr>
          <w:p w:rsidR="00CA42A9" w:rsidRPr="00384ADB" w:rsidRDefault="00CA42A9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Il-kodiċi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6D72" w:rsidRPr="00384ADB" w:rsidRDefault="00296D72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Il-kodiċi hija identifikatur tar-ringiela u trid tkun unika għal kull ringiela fit-tabella.</w:t>
            </w:r>
          </w:p>
          <w:p w:rsidR="00296D72" w:rsidRDefault="00296D7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0EFB" w:rsidRPr="00384ADB" w:rsidRDefault="00290EF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Il-kodiċi għandha tintuża biex tidentifika kontroparti individwali. Madankollu, l-għan ta’ din il-kolonna huwa biex tgħaqqad dettalji tal-kontroparti f’C 27.00 mal-iskoperturi rrappurtati f’C 28.00 - C 31.00. Il-kodiċi tal-grupp ta' klijenti konnessi m'għandhiex tiġi rrappurtata, sakemm is-sistema ta' rappurtar nazzjonali tipprovdi kodiċi unika għal grupp ta' klijenti konnessi. Din il-kodiċi tintuża b'mod konsistenti tul iż-żmien.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Il-kompożizzjoni tal-kodiċi tiddependi fuq is-sistema ta' rappurtar nazzjonali, sakemm ma jkunx hemm kodifikazzjoni uniformi disponibbli fl-Unjoni.</w:t>
            </w:r>
          </w:p>
          <w:p w:rsidR="00264B52" w:rsidRPr="00384ADB" w:rsidRDefault="00264B5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34B45" w:rsidRPr="00384ADB" w:rsidTr="0039317F">
        <w:trPr>
          <w:trHeight w:val="60"/>
        </w:trPr>
        <w:tc>
          <w:tcPr>
            <w:tcW w:w="1418" w:type="dxa"/>
          </w:tcPr>
          <w:p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Isem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634B45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L-isem se jikkorrispondi għall-isem tal-grupp kull meta jiġi rrappurtat grupp ta' klijenti konnessi. Fi kwalunkwe każ ieħor, l-isem jikkorrispondi għal kontroparti individwali.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 grupp ta’ klijenti konnessi, l-isem li jiġi rrappurtat ikun l-isem tal-kumpanija prinċipali jew, meta l-grupp ta’ klijenti konnessi ma jkollux kumpanija prinċipali, ikun l-isem kummerċjali tal-grupp.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Il-Kodiċi LEI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Il-kodiċi ta’ identifikazzjoni ġuridika tal-entità tal-kontroparti.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Residenza tal-kontroparti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8927C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Il-kodiċi ISO 3166-1-alfa-2 tal-pajjiż ta’ inkorporazzjoni tal-kontroparti tintuża (inklużi kodiċijiet pseudo-ISO għal organizzazzjonijiet internazzjonali,, disponibbli fl-aħħar edizzjoni ta’ ‘Vademecum Bilanċ tal-Pagamenti’ tal-Eurostat)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Għal gruppi ta' klijenti konnessi, l-ebda residenza ma tiġi rrappurtata.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Settur tal-kontroparti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Settur wieħed jiġi allokat lil kull kontroparti fuq il-bażi ta’ klassijiet tas-settur ekonomiku FINREP: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(i) Banek Ċentrali;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(ii)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Gvernijiet Ġenerali;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(iii)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Istituzzjonijiet ta' kreditu;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(iv)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ditti tal-investiment kif definiti fl-Artikolu 4(1)(2) tas-CRR;</w:t>
            </w:r>
          </w:p>
          <w:p w:rsidR="00470630" w:rsidRDefault="0047063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Korporazzjonijiet finanzjarji oħrajn (eskluż ditti tal-investiment);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(vi)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Korporazzjonijiet mhux finanzjarji;</w:t>
            </w:r>
          </w:p>
          <w:p w:rsidR="00B0191A" w:rsidRPr="00384ADB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(vii)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Unitajiet domestiċi. </w:t>
            </w:r>
          </w:p>
          <w:p w:rsidR="00B0191A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 gruppi ta' klijenti konnessi, l-ebda settur ma jiġi rrapportat.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060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 NACE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Għas-settur ekonomiku, jintużaw il-kodiċijiet tan-NACE (Nomenclature statistique des activités économiques dans la Communauté européenne = Klassifikazzjoni Statistika ta' Attivitajiet Ekonomiċi tal-UE).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Din il-kolonna tapplika biss għall-kontrapartijiet ‘Korporazzjonijiet finanzjarji oħra’ u ‘Korporazzjonijiet mhux finanzjarji’.  Il-kodiċijiet NACE jintużaw għal "Korporazzjonijiet mhux finanzjarji" b'livell wieħed ta' dettall (pereżempju "F – Kostruzzjoni") u għal "Korporazzjonijiet finanzjarji oħra" b'żewġ livelli ta' dettali li jipprovdu informazzjoni separata dwar attivitajiet ta' assigurazzjoni (pereżempju "K65 - Assigurazzjoni, riassigurazzjoni u finanzjament tal-pensjoni, apparti sigurtà soċjali obbligatorja"). "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Is-setturi ekonomiċi ‘Korporazzjonijiet finanzjarji oħra’ u ‘Korporazzjonijiet mhux finanzjarji’ jiġu kklassifikati abbażi ta’ analiżi tal-kontroparti FINREP.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 gruppi ta' klijenti konnessi, l-ebda kodiċi NACE ma għandha tiġi rrappurtata.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Tip ta' kontroparti 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Fonts w:eastAsia="Arial"/>
              </w:rPr>
            </w:pPr>
            <w:r>
              <w:t xml:space="preserve">L-Artikolu 394 (2) CRR. </w:t>
            </w:r>
            <w:r>
              <w:rPr>
                <w:i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Fonts w:eastAsia="Arial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It-tip ta’ kontroparti tal-akbar għaxar skoperturi għall-istituzzjonijiet u l-akbar għaxar skoperturi għal entitajiet finanzjarji li mhumiex regolati jiġu speċifikati bl-użu ta’ ‘I’ għall-istituzzjonijiet jew ‘U’ għal entitajiet finanzjarji li ma jkunux regolati.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634B45" w:rsidRPr="00384ADB" w:rsidRDefault="00634B45" w:rsidP="0039317F"/>
    <w:p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28" w:name="_Toc393461961"/>
      <w:bookmarkStart w:id="29" w:name="_Toc523899737"/>
      <w:r>
        <w:rPr>
          <w:rFonts w:ascii="Times New Roman" w:hAnsi="Times New Roman"/>
          <w:b/>
          <w:sz w:val="24"/>
          <w:u w:val="none"/>
        </w:rPr>
        <w:t>C 28.00 Skoperturi fil-portafoll tal-kummerċ u mhux tal-kummerċ (LE2)</w:t>
      </w:r>
      <w:bookmarkEnd w:id="28"/>
      <w:bookmarkEnd w:id="29"/>
    </w:p>
    <w:p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30" w:name="_Toc308175821"/>
      <w:bookmarkStart w:id="31" w:name="_Toc310414968"/>
      <w:bookmarkStart w:id="32" w:name="_Toc393461962"/>
      <w:bookmarkStart w:id="33" w:name="_Toc523899738"/>
      <w:r>
        <w:rPr>
          <w:rFonts w:ascii="Times New Roman" w:hAnsi="Times New Roman"/>
          <w:sz w:val="24"/>
        </w:rPr>
        <w:t xml:space="preserve">Struzzjonijiet dwar kolonni </w:t>
      </w:r>
      <w:bookmarkEnd w:id="30"/>
      <w:bookmarkEnd w:id="31"/>
      <w:r>
        <w:rPr>
          <w:rFonts w:ascii="Times New Roman" w:hAnsi="Times New Roman"/>
          <w:sz w:val="24"/>
        </w:rPr>
        <w:t>speċifiċi</w:t>
      </w:r>
      <w:bookmarkEnd w:id="32"/>
      <w:bookmarkEnd w:id="33"/>
    </w:p>
    <w:p w:rsidR="00D946DB" w:rsidRPr="00384ADB" w:rsidRDefault="00D946DB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:rsidTr="00E17043">
        <w:tc>
          <w:tcPr>
            <w:tcW w:w="1418" w:type="dxa"/>
            <w:shd w:val="clear" w:color="auto" w:fill="D9D9D9"/>
          </w:tcPr>
          <w:p w:rsidR="00D946DB" w:rsidRPr="00384ADB" w:rsidRDefault="005E7263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:rsidR="00B0191A" w:rsidRPr="00384ADB" w:rsidRDefault="003105C6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Ir-referenzi ġuridiċi u l-istruzzjonijiet</w:t>
            </w:r>
          </w:p>
        </w:tc>
      </w:tr>
      <w:tr w:rsidR="00D946DB" w:rsidRPr="00384ADB" w:rsidTr="00E17043">
        <w:tc>
          <w:tcPr>
            <w:tcW w:w="1418" w:type="dxa"/>
          </w:tcPr>
          <w:p w:rsidR="00D946DB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:rsidR="00B0191A" w:rsidRPr="00384ADB" w:rsidRDefault="00394753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Il-kodiċi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 grupp ta' klijenti konnessi, jekk kodiċi unika hi disponibbli fuq livell nazzjonali, din il-kodiċi tiġi rrapportata bħala l-kodiċi tal-grupp ta' klijenti konnessi. Fejn m’hemm l-ebda kodiċi unika fil-livell nazzjonali, il-kodiċi li għandha tiġi rrappurtata għandha tkun il-kodiċi tal-kumpanija prinċipali f’C 27.00.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Fil-każijiet fejn grupp ta' klijenti konnessi ma jkollux kumpanija prinċipali, il-kodiċi li tiġi rrappurtata tkun il-kodiċi tal-entità individwali li tkun meqjusa mill-istituzzjoni bħala l-iżjed sinifikanti fil-grupp ta' klijenti konnessi. Fi kwalunkwe każ ieħor, il-kodiċi tikkorrispondi għall-kontroparti individwali.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Din il-kodiċi tintuża b'mod konsistenti tul iż-żmien. 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Il-kompożizzjoni tal-kodiċi tiddependi fuq is-sistema ta’ rappurtar nazzjonali, sakemm ma jkunx hemm kodifikazzjoni uniformi disponibbli fl-UE.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Grupp jew individwu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L-istituzzjoni tirrapporta “1” għar-rappurtar ta’ skoperturi għal klijenti individwali jew “2” għar-rappurtar ta’ skoperturi għal gruppi ta’ klijenti konnessi.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Tranżazzjonijiet fejn ikun hemm skopertura għal assi sottostanti 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390(7) tas-CR.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Skont speċifikazzjonijiet tekniċi ulterjuri mill-awtoritajiet kompetenti nazzjonali, meta l-istituzzjoni jkollha skoperturi għall-kontroparti rrappurtata permezz ta' tranżazzjoni fejn ikun hemm skopertura għal assi sottostanti, tiġi rrappurtata ekwivalenti għal ‘Iva’; inkella tiġi rrappurtata ekwivalenti għal ‘Le’.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oriġinali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L-Artikoli 24, 389, 390 u 392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tirrapporta f'dan il-blokk ta' kolonni l-iskoperturi oriġinali ta' skoperturi diretti, skoperturi indiretti, u skoperturi addizzjonali li jirriżultaw mit-tranżazzjonijiet fejn ikun hemm skopertura għal assi sottostanti.</w:t>
            </w:r>
          </w:p>
          <w:p w:rsidR="00B0191A" w:rsidRPr="0039317F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9317F" w:rsidRDefault="00BB3751" w:rsidP="0039317F">
            <w:pPr>
              <w:pStyle w:val="InstructionsText"/>
            </w:pPr>
            <w:r>
              <w:t>Skont l-Artikolu 389 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, assi u entrati li ma jidhrux fuq il-karta tal-bilanċ jintużaw mingħajr ponderazzjonijiet ta’ riskju jew gradi ta’ riskju. Speċifikament, fatturi tal-konverżjoni ta' kreditu ma għandhomx ikunu applikati għal entrati li huma barra mill-karta tal-bilanċ.  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t xml:space="preserve">Dawn il-kolonni jinkludu l-iskopertura oriġinali, jiġifieri l-valur tal-iskopertura mingħajr ma jitqiesu aġġustamenti fil-valur u provvedimenti, li </w:t>
            </w:r>
            <w:r>
              <w:lastRenderedPageBreak/>
              <w:t>jiġu mnaqqsa fil-kolonna 210.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C92E09" w:rsidP="0039317F">
            <w:pPr>
              <w:pStyle w:val="InstructionsText"/>
            </w:pPr>
            <w:r>
              <w:t>Id-definizzjoni u l-kalkolu tal-valur tal-iskopertura huma stabbiliti fl-Artikoli 389 u 390 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 Il-valwazzjoni tal-assi u ta' entrati li ma jidhrux fuq il-karta tal-bilanċ għandha ssir skont il-qafas kontabilistiku li għalih l-istituzzjoni tkun soġġetta skont l-Artikolu 24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t>Skoperturi mnaqqsa minn fondi proprji, li mhumiex l-iskoperturi skont l-Artikolu 390(6)(e), jiġu inklużi f'dawn il-kolonni. Dawn l-iskoperturi għandhom jiġu mnaqqsa fil-kolonna 200.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t>Skoperturi li ssir referenza għalihom f'punti (a) sa (d) tal-Artikolu 390(6)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 ma jiġux inklużi f'dawn il-kolonni. 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  <w:rPr>
                <w:rFonts w:eastAsia="Arial"/>
              </w:rPr>
            </w:pPr>
            <w:r>
              <w:t>Skoperturi oriġinali għandhom jinkludu kull assi u entrati barra l-karta tal-bilanċ skont l-Artikolu 400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 L-eżenzjonijiet għandhom jitnaqqsu għall-iskop tal-Artikolu 395(1)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 fil-kolonna 320.</w:t>
            </w:r>
          </w:p>
          <w:p w:rsidR="00B0191A" w:rsidRPr="00384ADB" w:rsidRDefault="00B0191A" w:rsidP="0039317F">
            <w:pPr>
              <w:pStyle w:val="InstructionsText"/>
              <w:rPr>
                <w:rFonts w:eastAsia="Arial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 mill-portafoll tan-negozjar u mhux tan-negozjar ikunu inklużi.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Għad-diżaggregazzjoni ta' skoperturi fi strumenti finanzjarji, fejn skoperturi differenti li jirriżultaw minn ftehim ta' netting jikkostitwixxu skopertura waħda, din tal-aħħar għandha tiġi allokata lill-istrument finanzjarju korrispondenti mal-assi prinċipali inkluż fil-ftehim ta' netting (barra minn dan, ara s-sezzjoni introduttorja).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Skopertura oriġinali totali</w:t>
            </w:r>
          </w:p>
          <w:p w:rsidR="00B0191A" w:rsidRPr="00384ADB" w:rsidRDefault="00B0191A" w:rsidP="0039317F">
            <w:pPr>
              <w:pStyle w:val="InstructionsText"/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għandha tirrapporta s-somma ta' skoperturi diretti u skoperturi indiretti kif ukoll skoperturi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addizzjonali li jirriżultaw minn skopertura għal tranżazzjonijiet fejn ikun hemm skopertura għal assi sottostanti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inadempjenti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178 tas-CRR.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għandha tirrapporta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l-parti tal-iskopertura oriġinali totali li tikkorrispondi għal skoperturi inadempjenti.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060-110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diretti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 diretti għandha tfisser l-iskoperturi fuq il-bażi ta’ ‘min jissellef immedjatament’.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dejn</w:t>
            </w:r>
          </w:p>
          <w:p w:rsidR="00B0191A" w:rsidRPr="00384ADB" w:rsidRDefault="00B0191A" w:rsidP="0039317F">
            <w:pPr>
              <w:pStyle w:val="InstructionsText"/>
            </w:pPr>
          </w:p>
          <w:p w:rsidR="00B0191A" w:rsidRPr="0039317F" w:rsidRDefault="00193DDC" w:rsidP="0039317F">
            <w:pPr>
              <w:pStyle w:val="InstructionsText"/>
            </w:pPr>
            <w:r>
              <w:t>Regolament (KE) Nru 1071/2013 ('ECB/2013/33') Anness II, Parti 2, tabella, kategoriji 2 u 3.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Strumenti ta' dejn għandhom jinkludu titoli ta' dejn, u self u avvanzi. 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BB3751" w:rsidP="0039317F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inklużi f'din il-kolonna jkunu dawk ikkwalifikati bħala “</w:t>
            </w:r>
            <w:r>
              <w:t xml:space="preserve">self li jdum sa u li jinkludi sena/aktar minn sena u sa u li jinkludi ħames snin/ta' aktar minn ħames snin ta' maturità oriġinali”,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jew bħala “titoli</w:t>
            </w:r>
            <w:r>
              <w:t xml:space="preserve"> ta’ dejn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”, skont</w:t>
            </w:r>
            <w:r>
              <w:t xml:space="preserve"> BĊE/2013/33.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D95A62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>
              <w:t>ranżazzjonijiet ta' riakkwist, tranżazzjonijiet ta' għoti jew teħid b'self ta' titoli jew kommoditajiet (tranżazzjonijiet ta' finanzjament tat-titoli) u tranżazzjonijiet ta' għoti ta' self marġinali jitniżżlu f'din il-kolonna.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ekwità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9317F" w:rsidRDefault="00DF008D" w:rsidP="0039317F">
            <w:pPr>
              <w:pStyle w:val="InstructionsText"/>
            </w:pPr>
            <w:r>
              <w:t>BĊE/2013/33 Anness II Parti 2, tabella, kategoriji 4 u 5.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inklużi f’din il-kolonna jkunu dawk ikkwalifikati bħala “Ekwita” jew bħala “Ishma/unitajiet ta’ fond ta’ investiment” skont</w:t>
            </w:r>
            <w:r>
              <w:t xml:space="preserve"> BĊE/2013/33.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Derivattivi 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L-Artikolu 272(2) u l-Anness II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9E58B0">
            <w:pPr>
              <w:pStyle w:val="InstructionsText"/>
            </w:pPr>
            <w:r>
              <w:t>L-istrumenti li jiġu rrappurtati f'din il-kolonna jinkludu derivattivi elenkati fl-Anness II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 u tranżazzjonijiet ta' saldu fit-tul, kif definit fl-Artikolu 272(2)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. </w:t>
            </w:r>
          </w:p>
          <w:p w:rsidR="00B0191A" w:rsidRPr="0039317F" w:rsidRDefault="00B0191A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>
              <w:t>Derivattivi ta' kreditu li huma soġġetti għal riskju ta' kreditu tal-kontroparti jiddaħħlu f'din il-kolonna.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090-110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Barra l-Karta Bilanċjali</w:t>
            </w: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/>
                <w:bCs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Anness I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li għandu jiġi rrappurtat f'dawn il-kolonni jkun il-valur nominali qabel kwalunkwe tnaqqis tal-aġġustamenti speċifiċi għar-riskju ta' kreditu u mingħajr l-applikazzjoni ta' fatturi ta' konverżjoni.</w:t>
            </w:r>
          </w:p>
          <w:p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Impenji ta' self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9A7666" w:rsidRPr="0039317F" w:rsidRDefault="0045752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Anness I, punti 1(c) u (h), 2(b)(ii), 3(b)(i) u 4(a) tas-CRR. </w:t>
            </w:r>
          </w:p>
          <w:p w:rsidR="00B0191A" w:rsidRPr="0039317F" w:rsidRDefault="00B0191A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>
              <w:t xml:space="preserve">‘Impenji ta' self’ huma impenji sodi biex jiġi pprovdut kreditu b'termini u kundizzjonijiet speċifikati minn qabel, ħlief dawk li huma derivattivi għaliex jistgħu jiġu saldati netti fi flus jew billi jiġi fornit jew jinħareġ strument finanzjarju ieħor.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Garanziji finanzjarji</w:t>
            </w:r>
          </w:p>
          <w:p w:rsidR="009A7666" w:rsidRPr="00384ADB" w:rsidRDefault="009A766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965D5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Anness I, punti 1(a),(b) u (f), tas-CRR.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Garanziji finanzjarji huma kuntratti li jeħtieġu li l-emittent jagħmel pagamenti speċifiċi biex jirrimborsa lid-detentur għal telf li jsofri minħabba li debitur speċifiku jonqos milli jagħmel pagament meta dovut taħt it-termini oriġinali jew modifikati ta' strument ta' debitu. Derivati ta’ kreditu li mhumiex inklużi fil-kolonna ‘derivattivi’ jiġu rrappurtati f’din il-kolonna.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Impenji oħrajn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70440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Impenji oħra huma l-entrati fl-Anness I tas-CRR li mhumiex inklużi fil-kategoriji preċedenti. I</w:t>
            </w:r>
            <w:r>
              <w:t>l-</w:t>
            </w:r>
            <w:r>
              <w:rPr>
                <w:rFonts w:ascii="Times New Roman" w:hAnsi="Times New Roman"/>
                <w:sz w:val="24"/>
              </w:rPr>
              <w:t>valur tal-iskopertura ta' obbligu legali wieħed li jirriżulta minn ftehim kontrattwali ta' netting inkroċat bejn prodotti ma' kontroparti tal-istituzzjoni jiġi rrapportat f'din il-kolonna.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120-180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indiretti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</w:pPr>
            <w:r>
              <w:t>L-Artikolu 403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Skont l-Artikolu 403 tas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istituzzjoni ta' kreditu tista' tuża approċċ ta' sostituzzjoni f'każ fejn skopertura għal klijent hija ggarantita minn parti terza jew tkun iggarantita b'kollateral maħruġ minn parti terza.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tirrapporta f’dan il-blokk ta’ kolonni l-ammonti ta’ skoperturi diretti li jkunu riassenjati lill-garanti jew l-emittent tal-kollaterali, basta li tal-aħħar ikun assenjat piż ta’ riskju daqs jew inqas mill-ponderazzjoni ta’ riskju li kieku jiġi applikat lil parti terza skont il-Parti Tlieta, it-Titolu II, il-Kapitolu 2 tas-CRR. L-iskopertura oriġinarja ta' referenza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protetta (skopertura diretta) titnaqqas mill-iskopertura lill-mutwatarju oriġinali fil-kolonni ‘Tekniki ta' mitigazzjoni tar-riskju tal-kreditu eliġibbli’. L-espożizzjoni indiretta żżid l-iskopertura għall-garanti jew l-emittent ta' kollateral permezz tal-effett ta' sostituzzjoni. Dan japplika wkoll għal garanziji mogħtijin fi grupp ta' klijenti konnessi.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tirrapporta l-ammont oriġinali ta’ skoperturi indiretti fil-kolonna li tikkorrispondi mat-tip ta’ esponiment dirett garantit jew assigurat minn kollateral bħal, meta l-esponiment dirett ikun strument ta’ dejn garantit, l-ammont ta’ “Skopertura indiretta” assenjat lill-garanti jkun irrappurtat taħt il-kolonna “Strumenti ta’ dejn”.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 li jirriżultaw minn noti marbuta ma' kreditu wkoll jiġu rrappurtati f'dan il-blokk ta' kolonni, skont l-Artikolu 399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tas-CRR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dejn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060.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AE2F75">
        <w:tc>
          <w:tcPr>
            <w:tcW w:w="1418" w:type="dxa"/>
            <w:shd w:val="clear" w:color="auto" w:fill="FFFFFF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ekwità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l-kolonna 070.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080.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150-170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Barra l-Karta Bilanċjali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ta’ dawn il-kolonni jkun il-valur nominali qabel ma jiġi applikat kwalunkwe tnaqqis tal-aġġustamenti speċifiċi għar-riskju u ta' fatturi ta’ konverżjoni.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Impenji ta' self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090.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Garanziji finanzjarji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100.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Impenji oħrajn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110.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Tranżazzjonijiet addizzjonali li jirriżultaw meta jkun hemm skopertura għal assi sottostanti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390(7) CRR.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Skoperturi addizzjonali li jinħolqu minn transazzjonijiet fejn ikun hemm skopertura għal assi sottostanti.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Provvedimenti u aġġustamenti tal-valur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b/>
                <w:color w:val="auto"/>
                <w:sz w:val="24"/>
              </w:rPr>
            </w:pP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L-Artikoli 34, 24, 110 u 111 CRR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</w:p>
          <w:p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Il-provvedimenti u l-aġġustament tal-valur inklużi fil-qafas tal-kontabbiltà korrispondenti (id-Direttiva 86/635/KEE jew ir-Regolament 24/2002) li jaffettwaw il-valwazzjoni ta’ skoperturi skont l-Artikoli 24 u 110 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Il-provvedimenti u l-aġġustament tal-valur kontra skopertura gross mogħtija fil-kolonna 040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għandhom jiġu rrappurtati f’din il-kolonna. </w:t>
            </w:r>
          </w:p>
          <w:p w:rsidR="00BB3751" w:rsidRPr="00384ADB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Skoperturi mnaqqsin minn fondi proprji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L-Artikolu 390(6)(e)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Skoperturi mnaqqsa minn fondi proprji, li jiġu inklużi f'kolonni differenti ta' Skopertura oriġinali totali, ikunu rrappurtati. </w:t>
            </w:r>
          </w:p>
          <w:p w:rsidR="00BB3751" w:rsidRPr="00F40CD9" w:rsidRDefault="00BB3751" w:rsidP="001E6FAF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  <w:vAlign w:val="center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210-230</w:t>
            </w:r>
          </w:p>
        </w:tc>
        <w:tc>
          <w:tcPr>
            <w:tcW w:w="7620" w:type="dxa"/>
            <w:vAlign w:val="center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Il-valur tal-iskopertura qabel l-applikazzjoni ta' eżenzjonijiet u s-CRM</w:t>
            </w:r>
          </w:p>
          <w:p w:rsidR="00BB3751" w:rsidRPr="00384ADB" w:rsidRDefault="00BB3751" w:rsidP="005149C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BB3751" w:rsidRPr="00384ADB" w:rsidRDefault="00BB3751" w:rsidP="0039317F">
            <w:pPr>
              <w:pStyle w:val="InstructionsText"/>
            </w:pPr>
            <w:r>
              <w:lastRenderedPageBreak/>
              <w:t>L-Artikolu 394(1)(b)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B3751" w:rsidRPr="00384ADB" w:rsidRDefault="00BB3751" w:rsidP="0039317F">
            <w:pPr>
              <w:pStyle w:val="InstructionsText"/>
            </w:pPr>
          </w:p>
          <w:p w:rsidR="00BB3751" w:rsidRPr="00384ADB" w:rsidRDefault="008A4511" w:rsidP="0039317F">
            <w:pPr>
              <w:pStyle w:val="InstructionsText"/>
            </w:pPr>
            <w:r>
              <w:t>L-istituzzjonijiet jirrappurtaw il-valur tal-iskopertura qabel ma jittieħed kont tal-effett tal-mitigazzjoni tar-riskju tal-kreditu, meta applikabbli.</w:t>
            </w: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Totali</w:t>
            </w:r>
          </w:p>
          <w:p w:rsidR="00BB3751" w:rsidRPr="0039317F" w:rsidRDefault="00BB3751" w:rsidP="0039317F">
            <w:pPr>
              <w:pStyle w:val="InstructionsText"/>
            </w:pPr>
          </w:p>
          <w:p w:rsidR="00BB3751" w:rsidRPr="0039317F" w:rsidRDefault="00BB3751" w:rsidP="0039317F">
            <w:pPr>
              <w:pStyle w:val="InstructionsText"/>
            </w:pPr>
            <w:r>
              <w:t>Il-valur tal-iskopertura li jiġi rrappurtat f’din il-kolonna jkun l-ammont użat għad-determinazzjoni ta’ jekk l-iskopertura hijiex skopertura kbira skont id-definizzjoni fl-Artikolu 392 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>
              <w:t>Dan jinkludi l-Iskopertura oriġinarja wara li jitnaqqsu l-proviżjonijiet u l-aġġustamenti tal-valur u u l-ammont ta' skoperturi mnaqqsa minn fondi proprji.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Portafoll mhux tan-negozjar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tal-portafoll mhux tan-negozjar mill-iskopertura totali qabel l-eżenzjonijiet u s-CRM. 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tal-kapital eliġibbli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L-Artikoli 4(1)(71)(b) u 395 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li għandu jiġi rrappurtat huwa l-perċentwal tal-valur tal-iskopertura qabel l-applikazzjoni tal-eżenzjonijiet u s-CRM relatat mal-kapital eliġibbli tal-istituzzjoni, kif definit fl-Artikolu 4(1)(71)(b)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240-310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Tekniki tal-mitigazzjoni tar-riskju tal-kreditu eliġibbli (CRM)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L-Artikoli 399 u 401 sa 403 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Tekniki CRM kif definiti fl-Artikolu 4(1)(57) tas-CRR.</w:t>
            </w:r>
          </w:p>
          <w:p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Għall-finijiet ta’ dan ir-rapport, it-tekniki CRM rikonoxxuti fil-Parti Tlieta, it-Titolu II, il-Kapitolu 3 u 4 jkunu użati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skont l-Artikoli 401 sa 403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It-tekniki CRM jista' jkollhom tliet effetti differenti fir-reġim LE: effett tas-sostituzzjoni; protezzjoni ta' kreditu ffinanzjat li mhix l-effett ta' sostituzzjoni; u trattament tal-proprjetà immobbli.</w:t>
            </w:r>
          </w:p>
          <w:p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Effett ta’ sostituzzjoni ta’ tekniki ta’ mitigazzjoni tar-riskju tal-kreditu eliġibbli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9317F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L-Artikolu 403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9317F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9317F" w:rsidRDefault="00BB3751" w:rsidP="000F0AD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ta' protezzjoni tal-kreditu finanzjat jew mhux finanzjat li jiġi rrappurtat f'dawn il-kolonni jikkorrispondi għall-iskoperturi garantiti</w:t>
            </w:r>
            <w:r>
              <w:t xml:space="preserve"> minn parti terza, jew abbażi ta' kollateral maħruġ minn parti terza, fejn l-</w:t>
            </w:r>
            <w:r>
              <w:lastRenderedPageBreak/>
              <w:t>istituzzjoni tiddeċiedi li tikkunsidra l-iskopertura bħala mġarrba mill-garanti jew l-emittent tal-kollateral.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Strumenti ta’ dejn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060.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Strumenti ta’ ekwità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l-kolonna 070.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Derivattivi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080.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Entrati barra l-karta bilanċjali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</w:p>
          <w:p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ta' dawn il-kolonni jkun mingħajr l-applikazzjoni ta' fatturi ta' konverżjoni.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Impenji ta’ self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090.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Garanziji finanzjarji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100.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Impenji oħra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110.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Protezzjoni ta’ kreditu ffinanzjat minbarra l-effett ta’ sostituzzjoni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L-Artikolu 401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tirrapporta l-ammonti ta’ protezzjoni ffinanzjata ta’ kreditu, kif definit fl-Artikolu 4(1)(58)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li huma mnaqqsa mill-valur tal-iskopertura minħabba l-applikazzjoni tal-Artikolu 401 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Proprjetà immobbli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L-Artikolu 402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tirrapporta l-ammonti mnaqqsa mill-valur tal-iskopertura minħabba l-applikazzjoni tal-Artikolu 402 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Ammonti eżentati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L-Artikolu 400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għandha tirrapporta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eżentati mir-reġim LE.</w:t>
            </w:r>
          </w:p>
          <w:p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330-350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Il-valur tal-iskopertura wara l-applikazzjoni tal-eżenzjonijiet u s-CRM</w:t>
            </w:r>
          </w:p>
          <w:p w:rsidR="00BB3751" w:rsidRPr="0039317F" w:rsidRDefault="00BB3751" w:rsidP="0039317F">
            <w:pPr>
              <w:pStyle w:val="InstructionsText"/>
            </w:pPr>
          </w:p>
          <w:p w:rsidR="00BB3751" w:rsidRPr="0039317F" w:rsidRDefault="00BB3751" w:rsidP="0039317F">
            <w:pPr>
              <w:pStyle w:val="InstructionsText"/>
            </w:pPr>
            <w:r>
              <w:t>L-Artikolu 394(1)d)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54768B">
            <w:pPr>
              <w:pStyle w:val="InstructionsText"/>
            </w:pPr>
            <w:r>
              <w:t>L-istituzzjoni tirrapporta l-valur tal-iskopertura wara li jittieħed kont tal-effett tal-eżenzjonijiet u tal-mitigazzjoni tar-riskju tal-kreditu kkalkulat għall-iskop tal-Artikolu 395(1)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Totali</w:t>
            </w:r>
          </w:p>
          <w:p w:rsidR="00BB3751" w:rsidRPr="00384ADB" w:rsidRDefault="00BB3751" w:rsidP="0039317F">
            <w:pPr>
              <w:pStyle w:val="InstructionsText"/>
            </w:pPr>
          </w:p>
          <w:p w:rsidR="00BB3751" w:rsidRPr="0039317F" w:rsidRDefault="00BB3751" w:rsidP="000F0ADE">
            <w:pPr>
              <w:pStyle w:val="InstructionsText"/>
            </w:pPr>
            <w:r>
              <w:t>Din il-kolonna tinkludi l-ammont li jittieħed inkonsiderazzjoni sabiex ikun hemm konformità mal-limitu tal-iskoperturi kbar stipulat fl-Artikolu 395 tas-CRR.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Portafoll mhux tan-negozjar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54768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L-istituzzjoni tirrapporta l-iskopertura totali wara l-applikazzjoni tal-eżenzjonijiet u wara li jitqies l-effett tas-CRM li jappartjenu għall-portafoll mhux tan-negozjar.</w:t>
            </w:r>
          </w:p>
          <w:p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tal-kapital eliġibbli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54768B" w:rsidP="00BE2D91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L-istituzzjoni għandha tirrapporta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l-perċentwal tal-valur tal-iskopertura qabel l-applikazzjoni tal-eżenzjonijiet u s-CRM relatat mal-kapital eliġibbli tal-istituzzjoni, kif definit fl-Artikolu 4(1)(71)(b)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34" w:name="_Toc358305157"/>
      <w:bookmarkStart w:id="35" w:name="_Toc393461963"/>
      <w:bookmarkStart w:id="36" w:name="_Toc523899739"/>
      <w:r>
        <w:rPr>
          <w:rFonts w:ascii="Times New Roman" w:hAnsi="Times New Roman"/>
          <w:b/>
          <w:sz w:val="24"/>
          <w:u w:val="none"/>
        </w:rPr>
        <w:t>C 29.00 - Dettalji tal-iskoperturi għal klijenti individwali fi gruppi ta’ klijenti konnessi</w:t>
      </w:r>
      <w:bookmarkEnd w:id="34"/>
      <w:r>
        <w:rPr>
          <w:rFonts w:ascii="Times New Roman" w:hAnsi="Times New Roman"/>
          <w:b/>
          <w:sz w:val="24"/>
          <w:u w:val="none"/>
        </w:rPr>
        <w:t xml:space="preserve"> (LE3)</w:t>
      </w:r>
      <w:bookmarkEnd w:id="35"/>
      <w:bookmarkEnd w:id="36"/>
    </w:p>
    <w:p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37" w:name="_Toc308175824"/>
      <w:bookmarkStart w:id="38" w:name="_Toc310414970"/>
      <w:bookmarkStart w:id="39" w:name="_Toc358305158"/>
      <w:bookmarkStart w:id="40" w:name="_Toc393461964"/>
      <w:bookmarkStart w:id="41" w:name="_Toc523899740"/>
      <w:r>
        <w:rPr>
          <w:rFonts w:ascii="Times New Roman" w:hAnsi="Times New Roman"/>
          <w:sz w:val="24"/>
        </w:rPr>
        <w:t xml:space="preserve">Struzzjonijiet dwar kolonni </w:t>
      </w:r>
      <w:bookmarkEnd w:id="37"/>
      <w:bookmarkEnd w:id="38"/>
      <w:r>
        <w:rPr>
          <w:rFonts w:ascii="Times New Roman" w:hAnsi="Times New Roman"/>
          <w:sz w:val="24"/>
        </w:rPr>
        <w:t>speċifiċi</w:t>
      </w:r>
      <w:bookmarkEnd w:id="39"/>
      <w:bookmarkEnd w:id="40"/>
      <w:bookmarkEnd w:id="41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:rsidTr="00E17043">
        <w:tc>
          <w:tcPr>
            <w:tcW w:w="1418" w:type="dxa"/>
            <w:shd w:val="clear" w:color="auto" w:fill="D9D9D9"/>
          </w:tcPr>
          <w:p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Ir-referenzi ġuridiċi u l-istruzzjonijiet</w:t>
            </w:r>
          </w:p>
        </w:tc>
      </w:tr>
      <w:tr w:rsidR="005514AF" w:rsidRPr="00384ADB" w:rsidTr="00E17043">
        <w:tc>
          <w:tcPr>
            <w:tcW w:w="1418" w:type="dxa"/>
          </w:tcPr>
          <w:p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:rsidR="00704405" w:rsidRPr="00384ADB" w:rsidRDefault="00704405" w:rsidP="0039317F">
            <w:pPr>
              <w:pStyle w:val="InstructionsText"/>
            </w:pPr>
          </w:p>
          <w:p w:rsidR="005514AF" w:rsidRPr="00384ADB" w:rsidRDefault="00BA73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 xml:space="preserve">L-istituzzjoni tirrapporta fil-formola LE3 id-dejta tal-klijenti individwali li jappartjenu għall-gruppi ta' klijenti konnessi inklużi fir-ringieli tal-formola LE2. </w:t>
            </w:r>
          </w:p>
          <w:p w:rsidR="009F75EC" w:rsidRPr="00384ADB" w:rsidRDefault="009F75E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6E7C46" w:rsidRPr="00384ADB" w:rsidTr="00383747">
        <w:trPr>
          <w:trHeight w:val="1203"/>
        </w:trPr>
        <w:tc>
          <w:tcPr>
            <w:tcW w:w="1418" w:type="dxa"/>
          </w:tcPr>
          <w:p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Il-kodiċi</w:t>
            </w:r>
          </w:p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Il-kolonni 010 u 020 huma identifkatur kompost tar-ringieli, u flimkien iridu jkunu uniċi għal kull ringiela fit-tabella.</w:t>
            </w:r>
          </w:p>
          <w:p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Il-kodiċi tal-kontroparti individwali li tappartjeni għall-gruppi tal-klijenti konnessi tiġi rrapportata.</w:t>
            </w:r>
          </w:p>
          <w:p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FC221F" w:rsidRPr="00384ADB" w:rsidTr="00383747">
        <w:trPr>
          <w:trHeight w:val="1203"/>
        </w:trPr>
        <w:tc>
          <w:tcPr>
            <w:tcW w:w="1418" w:type="dxa"/>
          </w:tcPr>
          <w:p w:rsidR="00FC221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 tal-grupp</w:t>
            </w:r>
          </w:p>
          <w:p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D0674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Il-kolonni 010 u 020 huma identifkatur kompost tar-ringieli, u flimkien iridu jkunu uniċi għal kull ringiela fit-tabella.</w:t>
            </w:r>
          </w:p>
          <w:p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kodiċi unika għal grupp ta' klijenti konnessi tkun disponibbli fil-livell nazzjonali, din il-kodiċi tiġi rrapportata. Fejn m’hemm l-ebda kodiċi unika fil-livell nazzjonali, il-kodiċi li tiġi rrappurtata għandha tkun il-kodiċi użata għar-rappurtar ta’ skoperturi għal grupp ta’ Klijenti konnessi f’C 28.00 (LE2).</w:t>
            </w:r>
          </w:p>
          <w:p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Meta klijent jkun jappartjeni għal diversi gruppi ta' klijenti konnessi, ikun irrappurtat bħala membru fil-gruppi kollha ta' klijenti konnessi.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E7C46" w:rsidRPr="00384ADB" w:rsidTr="00E17043">
        <w:tc>
          <w:tcPr>
            <w:tcW w:w="1418" w:type="dxa"/>
          </w:tcPr>
          <w:p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Tranżazzjonijiet fejn ikun hemm skopertura għal assi sottostanti </w:t>
            </w:r>
          </w:p>
          <w:p w:rsidR="006E7C46" w:rsidRPr="00384ADB" w:rsidRDefault="006E7C4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3D3140" w:rsidRPr="00384ADB" w:rsidRDefault="003D3140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030 tal-formola LE3.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5514AF" w:rsidRPr="00384ADB" w:rsidTr="00E17043">
        <w:tc>
          <w:tcPr>
            <w:tcW w:w="1418" w:type="dxa"/>
          </w:tcPr>
          <w:p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5514A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 ta' konnessjoni</w:t>
            </w:r>
          </w:p>
          <w:p w:rsidR="005514AF" w:rsidRPr="00384ADB" w:rsidRDefault="005514AF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5254" w:rsidRPr="00384ADB" w:rsidRDefault="00D46F08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It-tip ta' konnessjoni bejn entità individwali u l-grupp ta' klijenti konnessi jiġi speċifikat bl-użu ta' jew: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‘a’ bit-tifsira skont l-Artikolu 4(1)(39)(a) tas-CRR (kontroll); jew</w:t>
            </w:r>
          </w:p>
          <w:p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‘b’ bit-tifsira skont l-Artikolu 4(1)(39)(a) tas-CRR (interkonnessjoni);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F75EC" w:rsidRPr="00384ADB" w:rsidTr="009F75EC">
        <w:tc>
          <w:tcPr>
            <w:tcW w:w="1418" w:type="dxa"/>
          </w:tcPr>
          <w:p w:rsidR="009F75E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050-360</w:t>
            </w:r>
          </w:p>
        </w:tc>
        <w:tc>
          <w:tcPr>
            <w:tcW w:w="7620" w:type="dxa"/>
          </w:tcPr>
          <w:p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Meta strumenti finanzjarji fil-formola LE2 jkunu pprovduti għall-grupp kollu ta' klijenti konnessi dawn jiġu allokati lill-kontropartijiet individwali fil-formola LE3 skont il-kriterji tan-negozju tal-istituzzjoni. </w:t>
            </w:r>
          </w:p>
          <w:p w:rsidR="00667F2D" w:rsidRPr="00384ADB" w:rsidRDefault="00667F2D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Il-bqija tal-istruzzjonijiet huma l-istess bħal għal LE2.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42" w:name="_Toc358305159"/>
      <w:bookmarkStart w:id="43" w:name="_Toc393461965"/>
      <w:bookmarkStart w:id="44" w:name="_Toc523899741"/>
      <w:bookmarkEnd w:id="0"/>
      <w:bookmarkEnd w:id="1"/>
      <w:r>
        <w:rPr>
          <w:rFonts w:ascii="Times New Roman" w:hAnsi="Times New Roman"/>
          <w:b/>
          <w:sz w:val="24"/>
          <w:u w:val="none"/>
        </w:rPr>
        <w:t>C 30.00 - Il-meded ta’ maturità tal-għaxar l-akbar skoperturi għall-istituzzjonijiet u l-għaxar l-akbar skoperturi għal entitajiet finanzjarji mhux regolati</w:t>
      </w:r>
      <w:bookmarkEnd w:id="42"/>
      <w:r>
        <w:rPr>
          <w:rFonts w:ascii="Times New Roman" w:hAnsi="Times New Roman"/>
          <w:b/>
          <w:sz w:val="24"/>
          <w:u w:val="none"/>
        </w:rPr>
        <w:t xml:space="preserve"> (formola LE4);</w:t>
      </w:r>
      <w:bookmarkEnd w:id="43"/>
      <w:bookmarkEnd w:id="44"/>
    </w:p>
    <w:p w:rsidR="00915A9C" w:rsidRPr="00384ADB" w:rsidRDefault="00915A9C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45" w:name="_Toc358305160"/>
      <w:bookmarkStart w:id="46" w:name="_Toc393461966"/>
      <w:bookmarkStart w:id="47" w:name="_Toc523899742"/>
      <w:r>
        <w:rPr>
          <w:rFonts w:ascii="Times New Roman" w:hAnsi="Times New Roman"/>
          <w:sz w:val="24"/>
        </w:rPr>
        <w:t>Struzzjonijiet dwar kolonni speċifiċi</w:t>
      </w:r>
      <w:bookmarkEnd w:id="45"/>
      <w:bookmarkEnd w:id="46"/>
      <w:bookmarkEnd w:id="47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915A9C" w:rsidRPr="00384ADB" w:rsidTr="00915A9C">
        <w:tc>
          <w:tcPr>
            <w:tcW w:w="1418" w:type="dxa"/>
            <w:shd w:val="clear" w:color="auto" w:fill="D9D9D9"/>
          </w:tcPr>
          <w:p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Ir-referenzi ġuridiċi u l-istruzzjonijiet</w:t>
            </w:r>
          </w:p>
        </w:tc>
      </w:tr>
      <w:tr w:rsidR="00915A9C" w:rsidRPr="00384ADB" w:rsidTr="00915A9C">
        <w:tc>
          <w:tcPr>
            <w:tcW w:w="1418" w:type="dxa"/>
          </w:tcPr>
          <w:p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Il-kodiċi</w:t>
            </w:r>
          </w:p>
          <w:p w:rsidR="00915A9C" w:rsidRPr="00384ADB" w:rsidRDefault="00915A9C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Il-kodiċi hija identifikatur tar-ringiela u trid tkun unika għal kull ringiela fit-tabella.</w:t>
            </w:r>
          </w:p>
          <w:p w:rsidR="00B0191A" w:rsidRPr="00384ADB" w:rsidRDefault="00915A9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010 tal-formola LE1.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15A9C" w:rsidRPr="00384ADB" w:rsidTr="00915A9C">
        <w:tc>
          <w:tcPr>
            <w:tcW w:w="1418" w:type="dxa"/>
          </w:tcPr>
          <w:p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020-250</w:t>
            </w:r>
          </w:p>
        </w:tc>
        <w:tc>
          <w:tcPr>
            <w:tcW w:w="7620" w:type="dxa"/>
          </w:tcPr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Meded tal-maturità tal-iskopertura</w:t>
            </w:r>
          </w:p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ED1EF3" w:rsidRPr="00384ADB" w:rsidRDefault="00915A9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L-Artikolu 394(2)(e) tas-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E6A9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 tirrapporta din l-informazzjoni għall-ikbar għaxar skoperturi għall-istituzzjonijiet u l-akbar għaxar skoperturi għal entitajiet finanzjarji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mhux regolati. 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ED1EF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Il-meded ta' maturità huma ddefiniti b'intervall ta' kull xahar sa sena, b'intervall minn sena sa tliet snin u b'intervalli akbar minn tliet snin 'il quddiem.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Kull valur tal-iskopertura qabel l-applikazzjoni ta' eżenzjonijiet u s-CRM (il-kolonna 210 tal-formola LE2) jiġi rrappurtat bl-ammont pendenti kollu rispettiv tiegħu ta' maturità mistennija tal-maturità residwa tiegħu. F'każ ta' diversi relazzjonijiet separati li jikkostitwixxu skopertura għal klijent, kull waħda minn dawn il-partijiet tal-espożizzjoni tiġi rappurtata bl-ammont pendenti kollu rispettiv tagħha ta' maturità mistennija ta' maturità residwa.  Strumenti li ma jkollhomx maturità fissa, bħal ekwità, jiġu inklużi fil-kolonna ‘maturità mhux definita’.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Il-maturità mistennija tal-iskopertura tiġi rrappurtata għal skoperturi kemm diretti kif ukoll indiretti.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 skoperturi diretti, meta jiġu allokati ammonti mistennija ta’  strumenti ta’ dejn u derivattivi fil-meded differenti ta’ maturità ta’ din il-formula, jintużaw l-istruzzjonijiet tal-formola tal-maturità tal-metriċi addizzjonali dwar il-likwidità (ara l-Anness XXIII għal dan ir-Regolament). 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tal-entrati li ma jidhrux fil-karta tal-bilanċ, il-maturità tar-riskju sottostanti tintuża fl-allokazzjoni ta' ammonti mistennija għall-meded tal-maturità. B'mod aktar speċifiku, għal depożiti forward dan ifisser l-istruttura tal-maturità tad-depożitu; għall-garanziji finanzjarji, l-istruttura tal-maturità tal-assi finanzjarji sottostanti; għal faċilitajiet mhux użati ta' impenji ta' self, l-istruttura tal-maturità tas-self; u għal impenji oħra, l-istruttura tal-maturità tal-impenn.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ta' skoperturi indiretti, l-allokazzjoni għall-meded tal-maturità tkun ibbażata fuq il-maturità tal-operazzjonijiet garantiti li jiġġeneraw l-iskopertura diretta.</w:t>
            </w:r>
          </w:p>
          <w:p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F’każ li skopertura jew parti minn skopertura għandha tiġi kkunsidrata bħala inadempjenti u tiġi rrappurtata bħala tali fil-formola C 28.00 (LE2, il-kolonna 050) u c 29.00 (LE3, il-kolonna 060), il-likwidazzjoni mistennija tal-iskopertura fl-inadempjenza għandha tiġi allokata għall-meded ta' maturità rispettivi kif ġej:</w:t>
            </w:r>
          </w:p>
          <w:p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l-entità relatriċi, minkejja l-inadempjenza, ikollha kalendarju ċar ta’ rimborżi mistennija tal-iskopertura, din għandha talloka dawn il-meded rispettivi kif xieraq.</w:t>
            </w:r>
          </w:p>
          <w:p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Meta l-entità tar-rappurtar ma jkollhiex opinjoni motivata ta’ meta jitħallas lura l-ammonti li ma tħallsux (jekk qatt), għandhom jiġu allokati fil-kategorija “Maturità mhux definita”.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384ADB" w:rsidRDefault="00915A9C" w:rsidP="009A77CD">
      <w:pPr>
        <w:spacing w:after="0"/>
        <w:rPr>
          <w:rFonts w:ascii="Times New Roman" w:hAnsi="Times New Roman"/>
          <w:b/>
          <w:sz w:val="24"/>
        </w:rPr>
      </w:pPr>
    </w:p>
    <w:p w:rsidR="003D3140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48" w:name="_Toc393461967"/>
      <w:bookmarkStart w:id="49" w:name="_Toc523899743"/>
      <w:r>
        <w:rPr>
          <w:rFonts w:ascii="Times New Roman" w:hAnsi="Times New Roman"/>
          <w:b/>
          <w:sz w:val="24"/>
          <w:u w:val="none"/>
        </w:rPr>
        <w:lastRenderedPageBreak/>
        <w:t>C 31.00- Meded ta’ maturità tal-akbar għaxar skoperturi għall-istituzzjonijiet u l-akbar għaxar skoperturi għal entitajiet finanzjarji mhux regolati: dettall tal-iskoperturi għal klijenti individwali fi ħdan gruppi ta' klijenti konnessi (formola LE5).</w:t>
      </w:r>
      <w:bookmarkEnd w:id="48"/>
      <w:bookmarkEnd w:id="49"/>
    </w:p>
    <w:p w:rsidR="003D3140" w:rsidRPr="00384ADB" w:rsidRDefault="003D3140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50" w:name="_Toc393461968"/>
      <w:bookmarkStart w:id="51" w:name="_Toc523899744"/>
      <w:r>
        <w:rPr>
          <w:rFonts w:ascii="Times New Roman" w:hAnsi="Times New Roman"/>
          <w:sz w:val="24"/>
        </w:rPr>
        <w:t>Struzzjonijiet dwar kolonni speċifiċi</w:t>
      </w:r>
      <w:bookmarkEnd w:id="50"/>
      <w:bookmarkEnd w:id="51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3D3140" w:rsidRPr="00384ADB" w:rsidTr="00AF0271">
        <w:tc>
          <w:tcPr>
            <w:tcW w:w="1418" w:type="dxa"/>
            <w:shd w:val="clear" w:color="auto" w:fill="D9D9D9"/>
          </w:tcPr>
          <w:p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Ir-referenzi ġuridiċi u l-istruzzjonijiet</w:t>
            </w:r>
          </w:p>
        </w:tc>
      </w:tr>
      <w:tr w:rsidR="00B80B0E" w:rsidRPr="00384ADB" w:rsidTr="00AF0271">
        <w:tc>
          <w:tcPr>
            <w:tcW w:w="1418" w:type="dxa"/>
          </w:tcPr>
          <w:p w:rsidR="00B80B0E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010-260</w:t>
            </w:r>
          </w:p>
        </w:tc>
        <w:tc>
          <w:tcPr>
            <w:tcW w:w="7620" w:type="dxa"/>
          </w:tcPr>
          <w:p w:rsidR="00B80B0E" w:rsidRPr="00384ADB" w:rsidRDefault="00B80B0E" w:rsidP="0039317F">
            <w:pPr>
              <w:pStyle w:val="InstructionsText"/>
            </w:pPr>
          </w:p>
          <w:p w:rsidR="00B80B0E" w:rsidRPr="00384ADB" w:rsidRDefault="00186D4E" w:rsidP="0039317F">
            <w:pPr>
              <w:pStyle w:val="InstructionsText"/>
            </w:pPr>
            <w:r>
              <w:t>L-istituzzjoni għandha tirrapporta f'formola LE5 id-dejta tal-kontroparti individwali li jappartjenu għall-gruppi ta' klijenti konnessi inklużi fir-ringieli tal-formola LE4.</w:t>
            </w:r>
          </w:p>
          <w:p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Il-kodiċi</w:t>
            </w:r>
          </w:p>
          <w:p w:rsidR="003D3140" w:rsidRPr="00384ADB" w:rsidRDefault="003D314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Kolonni 010 u 020 huma identifkatur kompost tar-ringieli, u flimkien iridu jkunu uniċi għal kull ringiela fit-tabella.</w:t>
            </w:r>
          </w:p>
          <w:p w:rsidR="003D3140" w:rsidRPr="00384ADB" w:rsidRDefault="003D314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010 tal-formola LE3.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B80B0E" w:rsidRPr="00384ADB" w:rsidRDefault="00B80B0E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 tal-grupp</w:t>
            </w:r>
          </w:p>
          <w:p w:rsidR="00BD0674" w:rsidRPr="00384ADB" w:rsidRDefault="00BD06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Kolonni 010 u 020 huma identifkatur kompost tar-ringieli, u flimkien iridu jkunu uniċi għal kull ringiela fit-tabella.</w:t>
            </w:r>
          </w:p>
          <w:p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020 tal-mudell LE3.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030-260</w:t>
            </w:r>
          </w:p>
        </w:tc>
        <w:tc>
          <w:tcPr>
            <w:tcW w:w="7620" w:type="dxa"/>
          </w:tcPr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Meded tal-maturità tal-iskoperturi</w:t>
            </w:r>
          </w:p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3D3140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l-kolonna 020-250 tal-mudell LE4.</w:t>
            </w:r>
          </w:p>
          <w:p w:rsidR="00264B52" w:rsidRPr="00384ADB" w:rsidRDefault="00264B52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</w:p>
    <w:sectPr w:rsidR="003D3140" w:rsidRPr="00E83F90" w:rsidSect="00B51F42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E40" w:rsidRDefault="005A2E40" w:rsidP="00D946DB">
      <w:pPr>
        <w:spacing w:before="0" w:after="0"/>
      </w:pPr>
      <w:r>
        <w:separator/>
      </w:r>
    </w:p>
  </w:endnote>
  <w:endnote w:type="continuationSeparator" w:id="0">
    <w:p w:rsidR="005A2E40" w:rsidRDefault="005A2E40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Pr="00A772B4" w:rsidRDefault="0039317F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E44CC7"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:rsidR="0039317F" w:rsidRDefault="003931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Default="0039317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4CC7">
      <w:rPr>
        <w:noProof/>
      </w:rPr>
      <w:t>1</w:t>
    </w:r>
    <w:r>
      <w:rPr>
        <w:noProof/>
      </w:rPr>
      <w:fldChar w:fldCharType="end"/>
    </w:r>
  </w:p>
  <w:p w:rsidR="0039317F" w:rsidRDefault="003931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Default="0039317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317F" w:rsidRDefault="0039317F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Pr="00A772B4" w:rsidRDefault="0039317F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E44CC7">
      <w:rPr>
        <w:rFonts w:ascii="Times New Roman" w:hAnsi="Times New Roman"/>
        <w:noProof/>
      </w:rPr>
      <w:t>4</w:t>
    </w:r>
    <w:r w:rsidRPr="00A772B4">
      <w:rPr>
        <w:rFonts w:ascii="Times New Roman" w:hAnsi="Times New Roman"/>
      </w:rPr>
      <w:fldChar w:fldCharType="end"/>
    </w:r>
  </w:p>
  <w:p w:rsidR="0039317F" w:rsidRPr="00A772B4" w:rsidRDefault="0039317F" w:rsidP="00A77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E40" w:rsidRDefault="005A2E40" w:rsidP="00D946DB">
      <w:pPr>
        <w:spacing w:before="0" w:after="0"/>
      </w:pPr>
      <w:r>
        <w:separator/>
      </w:r>
    </w:p>
  </w:footnote>
  <w:footnote w:type="continuationSeparator" w:id="0">
    <w:p w:rsidR="005A2E40" w:rsidRDefault="005A2E40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Default="0039317F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F7D7F02"/>
    <w:multiLevelType w:val="multilevel"/>
    <w:tmpl w:val="0407001D"/>
    <w:numStyleLink w:val="Formatvorlage3"/>
  </w:abstractNum>
  <w:abstractNum w:abstractNumId="8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2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11"/>
  </w:num>
  <w:num w:numId="5">
    <w:abstractNumId w:val="20"/>
  </w:num>
  <w:num w:numId="6">
    <w:abstractNumId w:val="10"/>
  </w:num>
  <w:num w:numId="7">
    <w:abstractNumId w:val="22"/>
  </w:num>
  <w:num w:numId="8">
    <w:abstractNumId w:val="2"/>
  </w:num>
  <w:num w:numId="9">
    <w:abstractNumId w:val="17"/>
  </w:num>
  <w:num w:numId="10">
    <w:abstractNumId w:val="9"/>
  </w:num>
  <w:num w:numId="11">
    <w:abstractNumId w:val="13"/>
  </w:num>
  <w:num w:numId="12">
    <w:abstractNumId w:val="4"/>
  </w:num>
  <w:num w:numId="13">
    <w:abstractNumId w:val="19"/>
  </w:num>
  <w:num w:numId="14">
    <w:abstractNumId w:val="15"/>
  </w:num>
  <w:num w:numId="15">
    <w:abstractNumId w:val="8"/>
  </w:num>
  <w:num w:numId="16">
    <w:abstractNumId w:val="12"/>
  </w:num>
  <w:num w:numId="17">
    <w:abstractNumId w:val="7"/>
  </w:num>
  <w:num w:numId="18">
    <w:abstractNumId w:val="21"/>
  </w:num>
  <w:num w:numId="19">
    <w:abstractNumId w:val="1"/>
  </w:num>
  <w:num w:numId="20">
    <w:abstractNumId w:val="3"/>
  </w:num>
  <w:num w:numId="21">
    <w:abstractNumId w:val="6"/>
  </w:num>
  <w:num w:numId="22">
    <w:abstractNumId w:val="5"/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14"/>
  </w:num>
  <w:num w:numId="26">
    <w:abstractNumId w:val="18"/>
  </w:num>
  <w:num w:numId="27">
    <w:abstractNumId w:val="8"/>
    <w:lvlOverride w:ilvl="0">
      <w:startOverride w:val="1"/>
    </w:lvlOverride>
  </w:num>
  <w:num w:numId="28">
    <w:abstractNumId w:val="8"/>
  </w:num>
  <w:num w:numId="29">
    <w:abstractNumId w:val="8"/>
  </w:num>
  <w:num w:numId="30">
    <w:abstractNumId w:val="25"/>
  </w:num>
  <w:num w:numId="31">
    <w:abstractNumId w:val="24"/>
  </w:num>
  <w:num w:numId="32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84FEB"/>
    <w:rsid w:val="00000989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43CE"/>
    <w:rsid w:val="0002657F"/>
    <w:rsid w:val="00026A0E"/>
    <w:rsid w:val="000326C1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76091"/>
    <w:rsid w:val="00076880"/>
    <w:rsid w:val="000828C6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7E9F"/>
    <w:rsid w:val="000D220D"/>
    <w:rsid w:val="000D44E0"/>
    <w:rsid w:val="000D65D1"/>
    <w:rsid w:val="000D702E"/>
    <w:rsid w:val="000D735D"/>
    <w:rsid w:val="000E1572"/>
    <w:rsid w:val="000E29C9"/>
    <w:rsid w:val="000E657C"/>
    <w:rsid w:val="000E7BA8"/>
    <w:rsid w:val="000F0519"/>
    <w:rsid w:val="000F0ADE"/>
    <w:rsid w:val="000F13EA"/>
    <w:rsid w:val="000F2F09"/>
    <w:rsid w:val="000F4702"/>
    <w:rsid w:val="000F6A80"/>
    <w:rsid w:val="000F6B25"/>
    <w:rsid w:val="000F7A95"/>
    <w:rsid w:val="001047F8"/>
    <w:rsid w:val="00106801"/>
    <w:rsid w:val="00107B30"/>
    <w:rsid w:val="00111654"/>
    <w:rsid w:val="00117214"/>
    <w:rsid w:val="0012049B"/>
    <w:rsid w:val="001243C8"/>
    <w:rsid w:val="00124B85"/>
    <w:rsid w:val="001273B5"/>
    <w:rsid w:val="00127E0D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3351"/>
    <w:rsid w:val="001E5519"/>
    <w:rsid w:val="001E5A75"/>
    <w:rsid w:val="001E6B9D"/>
    <w:rsid w:val="001E6FAF"/>
    <w:rsid w:val="001F2920"/>
    <w:rsid w:val="001F488E"/>
    <w:rsid w:val="001F5AC3"/>
    <w:rsid w:val="002021E2"/>
    <w:rsid w:val="00206E56"/>
    <w:rsid w:val="0021104F"/>
    <w:rsid w:val="0021389C"/>
    <w:rsid w:val="00213DC3"/>
    <w:rsid w:val="00215C5A"/>
    <w:rsid w:val="0021767A"/>
    <w:rsid w:val="00221103"/>
    <w:rsid w:val="0022244D"/>
    <w:rsid w:val="00222596"/>
    <w:rsid w:val="00222AC6"/>
    <w:rsid w:val="00223787"/>
    <w:rsid w:val="00223CA3"/>
    <w:rsid w:val="00224E73"/>
    <w:rsid w:val="00225D42"/>
    <w:rsid w:val="002273C8"/>
    <w:rsid w:val="0023488F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2C1B"/>
    <w:rsid w:val="00264B52"/>
    <w:rsid w:val="00266178"/>
    <w:rsid w:val="002664C7"/>
    <w:rsid w:val="00271C8B"/>
    <w:rsid w:val="00276B41"/>
    <w:rsid w:val="002775CC"/>
    <w:rsid w:val="00280FC6"/>
    <w:rsid w:val="00285E2F"/>
    <w:rsid w:val="00290AA2"/>
    <w:rsid w:val="00290EFB"/>
    <w:rsid w:val="00291346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729"/>
    <w:rsid w:val="00311B2D"/>
    <w:rsid w:val="003137B9"/>
    <w:rsid w:val="003154FF"/>
    <w:rsid w:val="00317768"/>
    <w:rsid w:val="003209F9"/>
    <w:rsid w:val="00331FE6"/>
    <w:rsid w:val="00333A44"/>
    <w:rsid w:val="00335A13"/>
    <w:rsid w:val="00337738"/>
    <w:rsid w:val="00340901"/>
    <w:rsid w:val="003455BC"/>
    <w:rsid w:val="00345E53"/>
    <w:rsid w:val="003462BE"/>
    <w:rsid w:val="003472A8"/>
    <w:rsid w:val="00347FF9"/>
    <w:rsid w:val="00350F29"/>
    <w:rsid w:val="0035181B"/>
    <w:rsid w:val="00352D3A"/>
    <w:rsid w:val="00353D6B"/>
    <w:rsid w:val="00353F4C"/>
    <w:rsid w:val="003572D8"/>
    <w:rsid w:val="00357F63"/>
    <w:rsid w:val="0036045A"/>
    <w:rsid w:val="00361699"/>
    <w:rsid w:val="003616A1"/>
    <w:rsid w:val="003618E5"/>
    <w:rsid w:val="00363E1B"/>
    <w:rsid w:val="00364B2F"/>
    <w:rsid w:val="00371593"/>
    <w:rsid w:val="00382DA8"/>
    <w:rsid w:val="00383747"/>
    <w:rsid w:val="00383FF2"/>
    <w:rsid w:val="00384ADB"/>
    <w:rsid w:val="00387E40"/>
    <w:rsid w:val="00390A6B"/>
    <w:rsid w:val="00390DDA"/>
    <w:rsid w:val="003912BF"/>
    <w:rsid w:val="0039317F"/>
    <w:rsid w:val="00393539"/>
    <w:rsid w:val="00394753"/>
    <w:rsid w:val="00394FF1"/>
    <w:rsid w:val="00395EED"/>
    <w:rsid w:val="003A0C05"/>
    <w:rsid w:val="003A200A"/>
    <w:rsid w:val="003A449C"/>
    <w:rsid w:val="003A5D8C"/>
    <w:rsid w:val="003A67FF"/>
    <w:rsid w:val="003B09B9"/>
    <w:rsid w:val="003B28ED"/>
    <w:rsid w:val="003B3DBB"/>
    <w:rsid w:val="003C0FB5"/>
    <w:rsid w:val="003C227A"/>
    <w:rsid w:val="003C2566"/>
    <w:rsid w:val="003C4D23"/>
    <w:rsid w:val="003C60B9"/>
    <w:rsid w:val="003D10E9"/>
    <w:rsid w:val="003D24A1"/>
    <w:rsid w:val="003D2721"/>
    <w:rsid w:val="003D3140"/>
    <w:rsid w:val="003D431C"/>
    <w:rsid w:val="003D56DE"/>
    <w:rsid w:val="003D6268"/>
    <w:rsid w:val="003E1667"/>
    <w:rsid w:val="003E5145"/>
    <w:rsid w:val="003E6D37"/>
    <w:rsid w:val="003E79B9"/>
    <w:rsid w:val="003F0D24"/>
    <w:rsid w:val="003F15BB"/>
    <w:rsid w:val="003F1C2D"/>
    <w:rsid w:val="003F2734"/>
    <w:rsid w:val="00401111"/>
    <w:rsid w:val="004012D1"/>
    <w:rsid w:val="00402F1D"/>
    <w:rsid w:val="00412D44"/>
    <w:rsid w:val="00414FB3"/>
    <w:rsid w:val="00415A1B"/>
    <w:rsid w:val="004201CB"/>
    <w:rsid w:val="00420322"/>
    <w:rsid w:val="00423ADC"/>
    <w:rsid w:val="00424AD4"/>
    <w:rsid w:val="00426E6A"/>
    <w:rsid w:val="0043001B"/>
    <w:rsid w:val="00433DC8"/>
    <w:rsid w:val="00434B3C"/>
    <w:rsid w:val="004351CC"/>
    <w:rsid w:val="004377DA"/>
    <w:rsid w:val="004377E2"/>
    <w:rsid w:val="004408E7"/>
    <w:rsid w:val="00443003"/>
    <w:rsid w:val="00444394"/>
    <w:rsid w:val="00445B97"/>
    <w:rsid w:val="00445E06"/>
    <w:rsid w:val="00446CDE"/>
    <w:rsid w:val="00450232"/>
    <w:rsid w:val="0045025C"/>
    <w:rsid w:val="00452FEF"/>
    <w:rsid w:val="00453169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284E"/>
    <w:rsid w:val="00484A6F"/>
    <w:rsid w:val="00484DDA"/>
    <w:rsid w:val="00484EDB"/>
    <w:rsid w:val="004867E5"/>
    <w:rsid w:val="004901BE"/>
    <w:rsid w:val="00490746"/>
    <w:rsid w:val="004969CB"/>
    <w:rsid w:val="00496F5D"/>
    <w:rsid w:val="004A2728"/>
    <w:rsid w:val="004A4555"/>
    <w:rsid w:val="004A5880"/>
    <w:rsid w:val="004A6C52"/>
    <w:rsid w:val="004B2A17"/>
    <w:rsid w:val="004B4DF9"/>
    <w:rsid w:val="004C285B"/>
    <w:rsid w:val="004D2F50"/>
    <w:rsid w:val="004D3678"/>
    <w:rsid w:val="004D71FD"/>
    <w:rsid w:val="004E04BF"/>
    <w:rsid w:val="004E4FFB"/>
    <w:rsid w:val="004E672C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57B"/>
    <w:rsid w:val="00553F7B"/>
    <w:rsid w:val="0055791B"/>
    <w:rsid w:val="00563313"/>
    <w:rsid w:val="00564A89"/>
    <w:rsid w:val="00565031"/>
    <w:rsid w:val="005666F4"/>
    <w:rsid w:val="00570953"/>
    <w:rsid w:val="00571BF6"/>
    <w:rsid w:val="00574DEE"/>
    <w:rsid w:val="00583AD3"/>
    <w:rsid w:val="00585466"/>
    <w:rsid w:val="00586D84"/>
    <w:rsid w:val="00590D39"/>
    <w:rsid w:val="005911AC"/>
    <w:rsid w:val="00593E1F"/>
    <w:rsid w:val="005A18FB"/>
    <w:rsid w:val="005A2363"/>
    <w:rsid w:val="005A2E40"/>
    <w:rsid w:val="005A6305"/>
    <w:rsid w:val="005A682F"/>
    <w:rsid w:val="005B02DE"/>
    <w:rsid w:val="005B0C8D"/>
    <w:rsid w:val="005B13A0"/>
    <w:rsid w:val="005C1BC9"/>
    <w:rsid w:val="005C287F"/>
    <w:rsid w:val="005C2A35"/>
    <w:rsid w:val="005C2ADF"/>
    <w:rsid w:val="005C6DEB"/>
    <w:rsid w:val="005C7A91"/>
    <w:rsid w:val="005D4CF2"/>
    <w:rsid w:val="005E456E"/>
    <w:rsid w:val="005E6669"/>
    <w:rsid w:val="005E7263"/>
    <w:rsid w:val="005E7B06"/>
    <w:rsid w:val="005F2B02"/>
    <w:rsid w:val="005F5B6B"/>
    <w:rsid w:val="005F6C23"/>
    <w:rsid w:val="005F6FDF"/>
    <w:rsid w:val="00600198"/>
    <w:rsid w:val="00601450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23E"/>
    <w:rsid w:val="00617700"/>
    <w:rsid w:val="006204A8"/>
    <w:rsid w:val="006217F1"/>
    <w:rsid w:val="00621F98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6173C"/>
    <w:rsid w:val="00662957"/>
    <w:rsid w:val="006644E6"/>
    <w:rsid w:val="00667F2D"/>
    <w:rsid w:val="006746DB"/>
    <w:rsid w:val="00675DA2"/>
    <w:rsid w:val="006771CE"/>
    <w:rsid w:val="006778A2"/>
    <w:rsid w:val="00677A1D"/>
    <w:rsid w:val="006834A9"/>
    <w:rsid w:val="006916CC"/>
    <w:rsid w:val="006916DC"/>
    <w:rsid w:val="00695E99"/>
    <w:rsid w:val="00696F12"/>
    <w:rsid w:val="006A01F5"/>
    <w:rsid w:val="006A0C55"/>
    <w:rsid w:val="006A210B"/>
    <w:rsid w:val="006A3382"/>
    <w:rsid w:val="006A483F"/>
    <w:rsid w:val="006A5132"/>
    <w:rsid w:val="006A5184"/>
    <w:rsid w:val="006B0FE2"/>
    <w:rsid w:val="006B19A0"/>
    <w:rsid w:val="006B2A31"/>
    <w:rsid w:val="006B55D6"/>
    <w:rsid w:val="006B5BA8"/>
    <w:rsid w:val="006B68BC"/>
    <w:rsid w:val="006B6945"/>
    <w:rsid w:val="006B7228"/>
    <w:rsid w:val="006B72EF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4E86"/>
    <w:rsid w:val="006F50E2"/>
    <w:rsid w:val="006F773D"/>
    <w:rsid w:val="00702E1B"/>
    <w:rsid w:val="00704405"/>
    <w:rsid w:val="00704B2D"/>
    <w:rsid w:val="0070633D"/>
    <w:rsid w:val="007063C4"/>
    <w:rsid w:val="0070714B"/>
    <w:rsid w:val="00707659"/>
    <w:rsid w:val="007111B3"/>
    <w:rsid w:val="00711E1C"/>
    <w:rsid w:val="00711F3A"/>
    <w:rsid w:val="00712B6C"/>
    <w:rsid w:val="00721227"/>
    <w:rsid w:val="00721A22"/>
    <w:rsid w:val="00721C5C"/>
    <w:rsid w:val="00721CEA"/>
    <w:rsid w:val="007247ED"/>
    <w:rsid w:val="00727756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57F"/>
    <w:rsid w:val="00763360"/>
    <w:rsid w:val="00763A4B"/>
    <w:rsid w:val="00764E61"/>
    <w:rsid w:val="00767423"/>
    <w:rsid w:val="0077061D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CFD"/>
    <w:rsid w:val="007A6B64"/>
    <w:rsid w:val="007B0068"/>
    <w:rsid w:val="007B025E"/>
    <w:rsid w:val="007B0AC3"/>
    <w:rsid w:val="007B0B53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24B2"/>
    <w:rsid w:val="00803A7B"/>
    <w:rsid w:val="00804EE8"/>
    <w:rsid w:val="00816B32"/>
    <w:rsid w:val="00820E23"/>
    <w:rsid w:val="0082105B"/>
    <w:rsid w:val="00822FDF"/>
    <w:rsid w:val="00823FC1"/>
    <w:rsid w:val="00826F85"/>
    <w:rsid w:val="0083444D"/>
    <w:rsid w:val="008420D9"/>
    <w:rsid w:val="008427C5"/>
    <w:rsid w:val="0084379F"/>
    <w:rsid w:val="00845545"/>
    <w:rsid w:val="008551B9"/>
    <w:rsid w:val="00855342"/>
    <w:rsid w:val="0085621E"/>
    <w:rsid w:val="00856854"/>
    <w:rsid w:val="00860094"/>
    <w:rsid w:val="00861ECE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2F5E"/>
    <w:rsid w:val="008B6066"/>
    <w:rsid w:val="008B7267"/>
    <w:rsid w:val="008C11CD"/>
    <w:rsid w:val="008C122C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3CA9"/>
    <w:rsid w:val="008E416F"/>
    <w:rsid w:val="008E47D2"/>
    <w:rsid w:val="008E6B72"/>
    <w:rsid w:val="008F024A"/>
    <w:rsid w:val="008F1D51"/>
    <w:rsid w:val="008F53AF"/>
    <w:rsid w:val="008F5876"/>
    <w:rsid w:val="009007C6"/>
    <w:rsid w:val="00900C1D"/>
    <w:rsid w:val="00903390"/>
    <w:rsid w:val="00906D99"/>
    <w:rsid w:val="009079AD"/>
    <w:rsid w:val="00910E26"/>
    <w:rsid w:val="00910E8A"/>
    <w:rsid w:val="00915A15"/>
    <w:rsid w:val="00915A9C"/>
    <w:rsid w:val="00917FAE"/>
    <w:rsid w:val="00920EBF"/>
    <w:rsid w:val="00924EEF"/>
    <w:rsid w:val="0093135A"/>
    <w:rsid w:val="00931490"/>
    <w:rsid w:val="00934B81"/>
    <w:rsid w:val="009362E7"/>
    <w:rsid w:val="009371BA"/>
    <w:rsid w:val="00942368"/>
    <w:rsid w:val="00945316"/>
    <w:rsid w:val="00946F8D"/>
    <w:rsid w:val="009502E9"/>
    <w:rsid w:val="00950950"/>
    <w:rsid w:val="0095231B"/>
    <w:rsid w:val="00955F25"/>
    <w:rsid w:val="009637EA"/>
    <w:rsid w:val="009641EA"/>
    <w:rsid w:val="00965272"/>
    <w:rsid w:val="00965D5D"/>
    <w:rsid w:val="00965DED"/>
    <w:rsid w:val="009660C0"/>
    <w:rsid w:val="00971A2C"/>
    <w:rsid w:val="0097361F"/>
    <w:rsid w:val="00974222"/>
    <w:rsid w:val="0097529F"/>
    <w:rsid w:val="009770DD"/>
    <w:rsid w:val="009777FB"/>
    <w:rsid w:val="00981993"/>
    <w:rsid w:val="0098245F"/>
    <w:rsid w:val="00983EE0"/>
    <w:rsid w:val="00985397"/>
    <w:rsid w:val="0098778D"/>
    <w:rsid w:val="009900AD"/>
    <w:rsid w:val="00991C37"/>
    <w:rsid w:val="0099328D"/>
    <w:rsid w:val="00994ECA"/>
    <w:rsid w:val="00995730"/>
    <w:rsid w:val="00995EC9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44AD"/>
    <w:rsid w:val="009E58B0"/>
    <w:rsid w:val="009E6A9F"/>
    <w:rsid w:val="009F3AD0"/>
    <w:rsid w:val="009F75EC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21A2C"/>
    <w:rsid w:val="00A24751"/>
    <w:rsid w:val="00A27BA8"/>
    <w:rsid w:val="00A320B1"/>
    <w:rsid w:val="00A32542"/>
    <w:rsid w:val="00A33695"/>
    <w:rsid w:val="00A35C0D"/>
    <w:rsid w:val="00A36D27"/>
    <w:rsid w:val="00A36D70"/>
    <w:rsid w:val="00A4309F"/>
    <w:rsid w:val="00A431AF"/>
    <w:rsid w:val="00A449A6"/>
    <w:rsid w:val="00A45C17"/>
    <w:rsid w:val="00A469C9"/>
    <w:rsid w:val="00A46B32"/>
    <w:rsid w:val="00A51E27"/>
    <w:rsid w:val="00A60BA6"/>
    <w:rsid w:val="00A61994"/>
    <w:rsid w:val="00A64421"/>
    <w:rsid w:val="00A72569"/>
    <w:rsid w:val="00A72DF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DBC"/>
    <w:rsid w:val="00A921D0"/>
    <w:rsid w:val="00A9707B"/>
    <w:rsid w:val="00A97B12"/>
    <w:rsid w:val="00AA02BE"/>
    <w:rsid w:val="00AA0B7E"/>
    <w:rsid w:val="00AA21F3"/>
    <w:rsid w:val="00AA2AD2"/>
    <w:rsid w:val="00AA40D1"/>
    <w:rsid w:val="00AB233A"/>
    <w:rsid w:val="00AB28E2"/>
    <w:rsid w:val="00AB2F46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CD7"/>
    <w:rsid w:val="00AE2F75"/>
    <w:rsid w:val="00AE34DF"/>
    <w:rsid w:val="00AE5923"/>
    <w:rsid w:val="00AF0271"/>
    <w:rsid w:val="00AF06DB"/>
    <w:rsid w:val="00AF172A"/>
    <w:rsid w:val="00AF62BC"/>
    <w:rsid w:val="00AF672F"/>
    <w:rsid w:val="00AF7FA5"/>
    <w:rsid w:val="00B01163"/>
    <w:rsid w:val="00B0191A"/>
    <w:rsid w:val="00B0468D"/>
    <w:rsid w:val="00B05254"/>
    <w:rsid w:val="00B057CA"/>
    <w:rsid w:val="00B063D0"/>
    <w:rsid w:val="00B12EA6"/>
    <w:rsid w:val="00B141BC"/>
    <w:rsid w:val="00B15280"/>
    <w:rsid w:val="00B1595E"/>
    <w:rsid w:val="00B17100"/>
    <w:rsid w:val="00B200D4"/>
    <w:rsid w:val="00B207F4"/>
    <w:rsid w:val="00B22A44"/>
    <w:rsid w:val="00B244CF"/>
    <w:rsid w:val="00B2596F"/>
    <w:rsid w:val="00B27616"/>
    <w:rsid w:val="00B27865"/>
    <w:rsid w:val="00B27962"/>
    <w:rsid w:val="00B33244"/>
    <w:rsid w:val="00B35C1A"/>
    <w:rsid w:val="00B36BA6"/>
    <w:rsid w:val="00B414D0"/>
    <w:rsid w:val="00B42ABA"/>
    <w:rsid w:val="00B439B1"/>
    <w:rsid w:val="00B4530A"/>
    <w:rsid w:val="00B50194"/>
    <w:rsid w:val="00B51F42"/>
    <w:rsid w:val="00B53030"/>
    <w:rsid w:val="00B65F23"/>
    <w:rsid w:val="00B679C2"/>
    <w:rsid w:val="00B7024C"/>
    <w:rsid w:val="00B70632"/>
    <w:rsid w:val="00B80B0E"/>
    <w:rsid w:val="00B822A4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D0674"/>
    <w:rsid w:val="00BD26B2"/>
    <w:rsid w:val="00BD2B86"/>
    <w:rsid w:val="00BE0698"/>
    <w:rsid w:val="00BE1311"/>
    <w:rsid w:val="00BE2D91"/>
    <w:rsid w:val="00BE3226"/>
    <w:rsid w:val="00BE358B"/>
    <w:rsid w:val="00BE6DFE"/>
    <w:rsid w:val="00BF27C4"/>
    <w:rsid w:val="00BF3C7F"/>
    <w:rsid w:val="00BF4825"/>
    <w:rsid w:val="00BF4DBA"/>
    <w:rsid w:val="00BF640E"/>
    <w:rsid w:val="00BF666D"/>
    <w:rsid w:val="00BF67A2"/>
    <w:rsid w:val="00C000FD"/>
    <w:rsid w:val="00C01264"/>
    <w:rsid w:val="00C02143"/>
    <w:rsid w:val="00C029BC"/>
    <w:rsid w:val="00C04D37"/>
    <w:rsid w:val="00C0662F"/>
    <w:rsid w:val="00C066B8"/>
    <w:rsid w:val="00C07304"/>
    <w:rsid w:val="00C074C4"/>
    <w:rsid w:val="00C101C6"/>
    <w:rsid w:val="00C12FEB"/>
    <w:rsid w:val="00C15B08"/>
    <w:rsid w:val="00C1644D"/>
    <w:rsid w:val="00C16AD7"/>
    <w:rsid w:val="00C2230F"/>
    <w:rsid w:val="00C25670"/>
    <w:rsid w:val="00C2609F"/>
    <w:rsid w:val="00C2636B"/>
    <w:rsid w:val="00C277FB"/>
    <w:rsid w:val="00C3194E"/>
    <w:rsid w:val="00C338A5"/>
    <w:rsid w:val="00C356C8"/>
    <w:rsid w:val="00C367B4"/>
    <w:rsid w:val="00C368A1"/>
    <w:rsid w:val="00C36B2D"/>
    <w:rsid w:val="00C4072C"/>
    <w:rsid w:val="00C40D60"/>
    <w:rsid w:val="00C41ABD"/>
    <w:rsid w:val="00C43339"/>
    <w:rsid w:val="00C43A7D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4CC"/>
    <w:rsid w:val="00C635CF"/>
    <w:rsid w:val="00C65806"/>
    <w:rsid w:val="00C707EE"/>
    <w:rsid w:val="00C71A90"/>
    <w:rsid w:val="00C8129D"/>
    <w:rsid w:val="00C81874"/>
    <w:rsid w:val="00C81D53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604B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3C12"/>
    <w:rsid w:val="00D054C0"/>
    <w:rsid w:val="00D06F70"/>
    <w:rsid w:val="00D07BD7"/>
    <w:rsid w:val="00D10700"/>
    <w:rsid w:val="00D10C3F"/>
    <w:rsid w:val="00D115F3"/>
    <w:rsid w:val="00D12FB2"/>
    <w:rsid w:val="00D14A32"/>
    <w:rsid w:val="00D2018B"/>
    <w:rsid w:val="00D20309"/>
    <w:rsid w:val="00D204FD"/>
    <w:rsid w:val="00D207BF"/>
    <w:rsid w:val="00D209F9"/>
    <w:rsid w:val="00D20C67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2D05"/>
    <w:rsid w:val="00DC40DA"/>
    <w:rsid w:val="00DD12B7"/>
    <w:rsid w:val="00DD1906"/>
    <w:rsid w:val="00DD2C19"/>
    <w:rsid w:val="00DD58A5"/>
    <w:rsid w:val="00DD72AA"/>
    <w:rsid w:val="00DE0962"/>
    <w:rsid w:val="00DE230A"/>
    <w:rsid w:val="00DE35BA"/>
    <w:rsid w:val="00DE4035"/>
    <w:rsid w:val="00DE4821"/>
    <w:rsid w:val="00DE4EF2"/>
    <w:rsid w:val="00DE55EC"/>
    <w:rsid w:val="00DE5729"/>
    <w:rsid w:val="00DE6063"/>
    <w:rsid w:val="00DF008D"/>
    <w:rsid w:val="00DF6633"/>
    <w:rsid w:val="00DF7226"/>
    <w:rsid w:val="00E02226"/>
    <w:rsid w:val="00E02A1B"/>
    <w:rsid w:val="00E02C8A"/>
    <w:rsid w:val="00E050F3"/>
    <w:rsid w:val="00E052A9"/>
    <w:rsid w:val="00E07C8E"/>
    <w:rsid w:val="00E108C2"/>
    <w:rsid w:val="00E11F7B"/>
    <w:rsid w:val="00E12946"/>
    <w:rsid w:val="00E143FD"/>
    <w:rsid w:val="00E1696D"/>
    <w:rsid w:val="00E17043"/>
    <w:rsid w:val="00E1750A"/>
    <w:rsid w:val="00E2063E"/>
    <w:rsid w:val="00E21328"/>
    <w:rsid w:val="00E25528"/>
    <w:rsid w:val="00E27969"/>
    <w:rsid w:val="00E27CC9"/>
    <w:rsid w:val="00E32DA2"/>
    <w:rsid w:val="00E33B0C"/>
    <w:rsid w:val="00E33BF7"/>
    <w:rsid w:val="00E41415"/>
    <w:rsid w:val="00E417A7"/>
    <w:rsid w:val="00E41A58"/>
    <w:rsid w:val="00E42511"/>
    <w:rsid w:val="00E44CC7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43B2"/>
    <w:rsid w:val="00E54B05"/>
    <w:rsid w:val="00E5608A"/>
    <w:rsid w:val="00E56E29"/>
    <w:rsid w:val="00E57916"/>
    <w:rsid w:val="00E60049"/>
    <w:rsid w:val="00E60B50"/>
    <w:rsid w:val="00E63DC8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3D25"/>
    <w:rsid w:val="00E83F90"/>
    <w:rsid w:val="00E84465"/>
    <w:rsid w:val="00E93275"/>
    <w:rsid w:val="00E9580A"/>
    <w:rsid w:val="00E96FFE"/>
    <w:rsid w:val="00EA3219"/>
    <w:rsid w:val="00EA3FEF"/>
    <w:rsid w:val="00EA419C"/>
    <w:rsid w:val="00EA549E"/>
    <w:rsid w:val="00EB154B"/>
    <w:rsid w:val="00EB24B3"/>
    <w:rsid w:val="00EB3D2B"/>
    <w:rsid w:val="00EB5804"/>
    <w:rsid w:val="00EB6AF6"/>
    <w:rsid w:val="00EB6B66"/>
    <w:rsid w:val="00EB7B94"/>
    <w:rsid w:val="00EC0D9E"/>
    <w:rsid w:val="00EC43A5"/>
    <w:rsid w:val="00EC5046"/>
    <w:rsid w:val="00EC5298"/>
    <w:rsid w:val="00EC69A1"/>
    <w:rsid w:val="00ED1EF3"/>
    <w:rsid w:val="00ED55F7"/>
    <w:rsid w:val="00ED7234"/>
    <w:rsid w:val="00ED7C8E"/>
    <w:rsid w:val="00EE2205"/>
    <w:rsid w:val="00EE2934"/>
    <w:rsid w:val="00EE385F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4AD1"/>
    <w:rsid w:val="00F276A6"/>
    <w:rsid w:val="00F30076"/>
    <w:rsid w:val="00F30757"/>
    <w:rsid w:val="00F325B9"/>
    <w:rsid w:val="00F33A0C"/>
    <w:rsid w:val="00F33AD3"/>
    <w:rsid w:val="00F356CE"/>
    <w:rsid w:val="00F35FFD"/>
    <w:rsid w:val="00F360BF"/>
    <w:rsid w:val="00F36707"/>
    <w:rsid w:val="00F40CD9"/>
    <w:rsid w:val="00F41952"/>
    <w:rsid w:val="00F41B3A"/>
    <w:rsid w:val="00F423F0"/>
    <w:rsid w:val="00F44F8A"/>
    <w:rsid w:val="00F4557F"/>
    <w:rsid w:val="00F463F5"/>
    <w:rsid w:val="00F51302"/>
    <w:rsid w:val="00F5381F"/>
    <w:rsid w:val="00F5524C"/>
    <w:rsid w:val="00F56926"/>
    <w:rsid w:val="00F60F37"/>
    <w:rsid w:val="00F61095"/>
    <w:rsid w:val="00F620A2"/>
    <w:rsid w:val="00F63BA7"/>
    <w:rsid w:val="00F7508F"/>
    <w:rsid w:val="00F7650D"/>
    <w:rsid w:val="00F777C7"/>
    <w:rsid w:val="00F800B6"/>
    <w:rsid w:val="00F84B2D"/>
    <w:rsid w:val="00F91572"/>
    <w:rsid w:val="00F93B5F"/>
    <w:rsid w:val="00F940AE"/>
    <w:rsid w:val="00F94F7D"/>
    <w:rsid w:val="00F94FFF"/>
    <w:rsid w:val="00F966F4"/>
    <w:rsid w:val="00FB199D"/>
    <w:rsid w:val="00FB1C26"/>
    <w:rsid w:val="00FB1D44"/>
    <w:rsid w:val="00FB2C3F"/>
    <w:rsid w:val="00FB3348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B2D"/>
    <w:rsid w:val="00FE4AE0"/>
    <w:rsid w:val="00FE4D22"/>
    <w:rsid w:val="00FF0EEE"/>
    <w:rsid w:val="00FF28DF"/>
    <w:rsid w:val="00FF3A9F"/>
    <w:rsid w:val="00FF3ED5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endnote reference" w:semiHidden="0" w:uiPriority="1" w:unhideWhenUsed="0"/>
    <w:lsdException w:name="endnote text" w:semiHidden="0" w:uiPriority="1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mt-MT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mt-MT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mt-MT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mt-MT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mt-MT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mt-MT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mt-MT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mt-MT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mt-MT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mt-MT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mt-MT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mt-MT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mt-MT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mt-MT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mt-MT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mt-MT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mt-MT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9317F"/>
    <w:pPr>
      <w:tabs>
        <w:tab w:val="left" w:pos="477"/>
      </w:tabs>
      <w:spacing w:before="0" w:after="0"/>
    </w:pPr>
    <w:rPr>
      <w:rFonts w:ascii="Times New Roman" w:hAnsi="Times New Roman"/>
      <w:sz w:val="24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mt-MT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mt-MT" w:eastAsia="mt-MT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9317F"/>
    <w:rPr>
      <w:rFonts w:ascii="Times New Roman" w:eastAsia="Times New Roman" w:hAnsi="Times New Roman"/>
      <w:sz w:val="24"/>
      <w:szCs w:val="24"/>
      <w:lang w:eastAsia="mt-MT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mt-MT" w:eastAsia="mt-MT" w:bidi="mt-MT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mt-MT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endnote reference" w:semiHidden="0" w:uiPriority="1" w:unhideWhenUsed="0"/>
    <w:lsdException w:name="endnote text" w:semiHidden="0" w:uiPriority="1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mt-MT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mt-MT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mt-MT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mt-MT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mt-MT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mt-MT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mt-MT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mt-MT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mt-MT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mt-MT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mt-MT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mt-MT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mt-MT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mt-MT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mt-MT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mt-MT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mt-MT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9317F"/>
    <w:pPr>
      <w:tabs>
        <w:tab w:val="left" w:pos="477"/>
      </w:tabs>
      <w:spacing w:before="0" w:after="0"/>
    </w:pPr>
    <w:rPr>
      <w:rFonts w:ascii="Times New Roman" w:hAnsi="Times New Roman"/>
      <w:sz w:val="24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mt-MT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mt-MT" w:eastAsia="mt-MT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9317F"/>
    <w:rPr>
      <w:rFonts w:ascii="Times New Roman" w:eastAsia="Times New Roman" w:hAnsi="Times New Roman"/>
      <w:sz w:val="24"/>
      <w:szCs w:val="24"/>
      <w:lang w:eastAsia="mt-MT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mt-MT" w:eastAsia="mt-MT" w:bidi="mt-MT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mt-MT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5AF58-983C-4143-B2DA-90B6A43560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182FD5-8472-414E-B12B-64F935B4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4519</Words>
  <Characters>32242</Characters>
  <Application>Microsoft Office Word</Application>
  <DocSecurity>0</DocSecurity>
  <Lines>921</Lines>
  <Paragraphs>382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36450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GATT Stephen (DGT)</cp:lastModifiedBy>
  <cp:revision>4</cp:revision>
  <dcterms:created xsi:type="dcterms:W3CDTF">2018-06-13T13:34:00Z</dcterms:created>
  <dcterms:modified xsi:type="dcterms:W3CDTF">2018-09-05T06:33:00Z</dcterms:modified>
</cp:coreProperties>
</file>