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Default="006B08A5" w:rsidP="00A33695">
      <w:pPr>
        <w:jc w:val="center"/>
        <w:rPr>
          <w:rFonts w:ascii="Times New Roman" w:hAnsi="Times New Roman"/>
          <w:b/>
          <w:sz w:val="24"/>
        </w:rPr>
      </w:pPr>
      <w:bookmarkStart w:id="0" w:name="_Toc262568021"/>
      <w:bookmarkStart w:id="1" w:name="_Toc295829847"/>
      <w:r>
        <w:rPr>
          <w:rFonts w:ascii="Times New Roman" w:hAnsi="Times New Roman"/>
          <w:b/>
          <w:sz w:val="24"/>
        </w:rPr>
        <w:t>HU</w:t>
      </w:r>
    </w:p>
    <w:p w:rsidR="00453999" w:rsidRDefault="00453999" w:rsidP="00A33695">
      <w:pPr>
        <w:jc w:val="center"/>
        <w:rPr>
          <w:rFonts w:ascii="Times New Roman" w:hAnsi="Times New Roman"/>
          <w:b/>
          <w:sz w:val="24"/>
        </w:rPr>
      </w:pPr>
      <w:r>
        <w:rPr>
          <w:rFonts w:ascii="Times New Roman" w:hAnsi="Times New Roman"/>
          <w:b/>
          <w:sz w:val="24"/>
        </w:rPr>
        <w:t>II. MELLÉKLET</w:t>
      </w:r>
    </w:p>
    <w:p w:rsidR="007676ED" w:rsidRDefault="007676ED" w:rsidP="00A33695">
      <w:pPr>
        <w:jc w:val="center"/>
        <w:rPr>
          <w:rFonts w:ascii="Times New Roman" w:hAnsi="Times New Roman"/>
          <w:b/>
          <w:sz w:val="24"/>
        </w:rPr>
      </w:pPr>
    </w:p>
    <w:p w:rsidR="007676ED" w:rsidRPr="00392FFD" w:rsidRDefault="007676ED" w:rsidP="00A33695">
      <w:pPr>
        <w:jc w:val="center"/>
        <w:rPr>
          <w:rFonts w:ascii="Times New Roman" w:hAnsi="Times New Roman"/>
          <w:b/>
          <w:sz w:val="24"/>
        </w:rPr>
      </w:pPr>
    </w:p>
    <w:p w:rsidR="002648B0" w:rsidRPr="00732D6D" w:rsidRDefault="002648B0" w:rsidP="00A33695">
      <w:pPr>
        <w:jc w:val="center"/>
        <w:rPr>
          <w:rFonts w:ascii="Times New Roman" w:hAnsi="Times New Roman"/>
          <w:b/>
          <w:sz w:val="24"/>
          <w:u w:val="single"/>
        </w:rPr>
      </w:pPr>
      <w:r>
        <w:rPr>
          <w:rFonts w:ascii="Times New Roman" w:hAnsi="Times New Roman"/>
          <w:b/>
          <w:sz w:val="24"/>
          <w:u w:val="single"/>
        </w:rPr>
        <w:t>„II. MELLÉKLET</w:t>
      </w:r>
    </w:p>
    <w:p w:rsidR="002648B0" w:rsidRPr="00392FFD" w:rsidRDefault="002648B0" w:rsidP="00C87CEE">
      <w:pPr>
        <w:jc w:val="center"/>
        <w:rPr>
          <w:rFonts w:ascii="Times New Roman" w:hAnsi="Times New Roman"/>
          <w:b/>
          <w:sz w:val="24"/>
        </w:rPr>
      </w:pPr>
      <w:r>
        <w:rPr>
          <w:rFonts w:ascii="Times New Roman" w:hAnsi="Times New Roman"/>
          <w:b/>
          <w:sz w:val="24"/>
        </w:rPr>
        <w:t xml:space="preserve">A SZAVATOLÓ TŐKÉRE </w:t>
      </w:r>
      <w:proofErr w:type="gramStart"/>
      <w:r>
        <w:rPr>
          <w:rFonts w:ascii="Times New Roman" w:hAnsi="Times New Roman"/>
          <w:b/>
          <w:sz w:val="24"/>
        </w:rPr>
        <w:t>ÉS</w:t>
      </w:r>
      <w:proofErr w:type="gramEnd"/>
      <w:r>
        <w:rPr>
          <w:rFonts w:ascii="Times New Roman" w:hAnsi="Times New Roman"/>
          <w:b/>
          <w:sz w:val="24"/>
        </w:rPr>
        <w:t xml:space="preserve"> A SZAVATOLÓTŐKE-KÖVETELMÉNYEKRE V</w:t>
      </w:r>
      <w:r>
        <w:rPr>
          <w:rFonts w:ascii="Times New Roman" w:hAnsi="Times New Roman"/>
          <w:b/>
          <w:sz w:val="24"/>
        </w:rPr>
        <w:t>O</w:t>
      </w:r>
      <w:r>
        <w:rPr>
          <w:rFonts w:ascii="Times New Roman" w:hAnsi="Times New Roman"/>
          <w:b/>
          <w:sz w:val="24"/>
        </w:rPr>
        <w:t>NATKOZÓ ADATSZOLGÁLTATÁS</w:t>
      </w:r>
    </w:p>
    <w:p w:rsidR="00436204" w:rsidRPr="00392FFD" w:rsidRDefault="00436204" w:rsidP="00C87CEE">
      <w:pPr>
        <w:jc w:val="center"/>
        <w:rPr>
          <w:rFonts w:ascii="Times New Roman" w:hAnsi="Times New Roman"/>
          <w:b/>
          <w:sz w:val="24"/>
        </w:rPr>
      </w:pPr>
    </w:p>
    <w:p w:rsidR="00783881" w:rsidRPr="00392FFD" w:rsidRDefault="002648B0" w:rsidP="00FD239F">
      <w:pPr>
        <w:pStyle w:val="InstructionsText"/>
      </w:pPr>
      <w:r>
        <w:t>Tartalomjegyzék</w:t>
      </w:r>
    </w:p>
    <w:p w:rsidR="00F96D28" w:rsidRDefault="00F96D28">
      <w:pPr>
        <w:pStyle w:val="TOC2"/>
        <w:rPr>
          <w:rFonts w:asciiTheme="minorHAnsi" w:eastAsiaTheme="minorEastAsia" w:hAnsiTheme="minorHAnsi" w:cstheme="minorBidi"/>
          <w:b w:val="0"/>
          <w:smallCaps w:val="0"/>
          <w:sz w:val="22"/>
          <w:lang w:val="en-GB" w:eastAsia="en-GB" w:bidi="ar-SA"/>
        </w:rPr>
      </w:pPr>
      <w:r>
        <w:rPr>
          <w:rFonts w:ascii="Times New Roman" w:hAnsi="Times New Roman"/>
          <w:sz w:val="24"/>
          <w:szCs w:val="24"/>
        </w:rPr>
        <w:fldChar w:fldCharType="begin"/>
      </w:r>
      <w:r w:rsidR="00745369">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24014658" w:history="1">
        <w:r w:rsidRPr="00107CFA">
          <w:rPr>
            <w:rStyle w:val="Hyperlink"/>
            <w:rFonts w:ascii="Times New Roman" w:hAnsi="Times New Roman"/>
          </w:rPr>
          <w:t>I. RÉSZ: ÁLTALÁNOS ÚTMUTATÓ</w:t>
        </w:r>
        <w:r>
          <w:rPr>
            <w:webHidden/>
          </w:rPr>
          <w:tab/>
        </w:r>
        <w:r>
          <w:rPr>
            <w:webHidden/>
          </w:rPr>
          <w:fldChar w:fldCharType="begin"/>
        </w:r>
        <w:r>
          <w:rPr>
            <w:webHidden/>
          </w:rPr>
          <w:instrText xml:space="preserve"> PAGEREF _Toc524014658 \h </w:instrText>
        </w:r>
        <w:r>
          <w:rPr>
            <w:webHidden/>
          </w:rPr>
        </w:r>
        <w:r>
          <w:rPr>
            <w:webHidden/>
          </w:rPr>
          <w:fldChar w:fldCharType="separate"/>
        </w:r>
        <w:r>
          <w:rPr>
            <w:webHidden/>
          </w:rPr>
          <w:t>5</w:t>
        </w:r>
        <w:r>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59" w:history="1">
        <w:r w:rsidR="00F96D28" w:rsidRPr="00107CFA">
          <w:rPr>
            <w:rStyle w:val="Hyperlink"/>
            <w:rFonts w:ascii="Times New Roman" w:hAnsi="Times New Roman"/>
          </w:rPr>
          <w:t>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Felépítés és szabályok</w:t>
        </w:r>
        <w:r w:rsidR="00F96D28">
          <w:rPr>
            <w:webHidden/>
          </w:rPr>
          <w:tab/>
        </w:r>
        <w:r w:rsidR="00F96D28">
          <w:rPr>
            <w:webHidden/>
          </w:rPr>
          <w:fldChar w:fldCharType="begin"/>
        </w:r>
        <w:r w:rsidR="00F96D28">
          <w:rPr>
            <w:webHidden/>
          </w:rPr>
          <w:instrText xml:space="preserve"> PAGEREF _Toc524014659 \h </w:instrText>
        </w:r>
        <w:r w:rsidR="00F96D28">
          <w:rPr>
            <w:webHidden/>
          </w:rPr>
        </w:r>
        <w:r w:rsidR="00F96D28">
          <w:rPr>
            <w:webHidden/>
          </w:rPr>
          <w:fldChar w:fldCharType="separate"/>
        </w:r>
        <w:r w:rsidR="00F96D28">
          <w:rPr>
            <w:webHidden/>
          </w:rPr>
          <w:t>5</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60" w:history="1">
        <w:r w:rsidR="00F96D28" w:rsidRPr="00107CFA">
          <w:rPr>
            <w:rStyle w:val="Hyperlink"/>
            <w:rFonts w:ascii="Times New Roman" w:hAnsi="Times New Roman"/>
          </w:rPr>
          <w:t>1.1.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Felépítés</w:t>
        </w:r>
        <w:r w:rsidR="00F96D28">
          <w:rPr>
            <w:webHidden/>
          </w:rPr>
          <w:tab/>
        </w:r>
        <w:r w:rsidR="00F96D28">
          <w:rPr>
            <w:webHidden/>
          </w:rPr>
          <w:fldChar w:fldCharType="begin"/>
        </w:r>
        <w:r w:rsidR="00F96D28">
          <w:rPr>
            <w:webHidden/>
          </w:rPr>
          <w:instrText xml:space="preserve"> PAGEREF _Toc524014660 \h </w:instrText>
        </w:r>
        <w:r w:rsidR="00F96D28">
          <w:rPr>
            <w:webHidden/>
          </w:rPr>
        </w:r>
        <w:r w:rsidR="00F96D28">
          <w:rPr>
            <w:webHidden/>
          </w:rPr>
          <w:fldChar w:fldCharType="separate"/>
        </w:r>
        <w:r w:rsidR="00F96D28">
          <w:rPr>
            <w:webHidden/>
          </w:rPr>
          <w:t>5</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61" w:history="1">
        <w:r w:rsidR="00F96D28" w:rsidRPr="00107CFA">
          <w:rPr>
            <w:rStyle w:val="Hyperlink"/>
            <w:rFonts w:ascii="Times New Roman" w:hAnsi="Times New Roman"/>
          </w:rPr>
          <w:t>1.2.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Számozási szabályok</w:t>
        </w:r>
        <w:r w:rsidR="00F96D28">
          <w:rPr>
            <w:webHidden/>
          </w:rPr>
          <w:tab/>
        </w:r>
        <w:r w:rsidR="00F96D28">
          <w:rPr>
            <w:webHidden/>
          </w:rPr>
          <w:fldChar w:fldCharType="begin"/>
        </w:r>
        <w:r w:rsidR="00F96D28">
          <w:rPr>
            <w:webHidden/>
          </w:rPr>
          <w:instrText xml:space="preserve"> PAGEREF _Toc524014661 \h </w:instrText>
        </w:r>
        <w:r w:rsidR="00F96D28">
          <w:rPr>
            <w:webHidden/>
          </w:rPr>
        </w:r>
        <w:r w:rsidR="00F96D28">
          <w:rPr>
            <w:webHidden/>
          </w:rPr>
          <w:fldChar w:fldCharType="separate"/>
        </w:r>
        <w:r w:rsidR="00F96D28">
          <w:rPr>
            <w:webHidden/>
          </w:rPr>
          <w:t>5</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62" w:history="1">
        <w:r w:rsidR="00F96D28" w:rsidRPr="00107CFA">
          <w:rPr>
            <w:rStyle w:val="Hyperlink"/>
            <w:rFonts w:ascii="Times New Roman" w:hAnsi="Times New Roman"/>
          </w:rPr>
          <w:t>1.3.</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Előjelre vonatkozó szabályok</w:t>
        </w:r>
        <w:r w:rsidR="00F96D28">
          <w:rPr>
            <w:webHidden/>
          </w:rPr>
          <w:tab/>
        </w:r>
        <w:r w:rsidR="00F96D28">
          <w:rPr>
            <w:webHidden/>
          </w:rPr>
          <w:fldChar w:fldCharType="begin"/>
        </w:r>
        <w:r w:rsidR="00F96D28">
          <w:rPr>
            <w:webHidden/>
          </w:rPr>
          <w:instrText xml:space="preserve"> PAGEREF _Toc524014662 \h </w:instrText>
        </w:r>
        <w:r w:rsidR="00F96D28">
          <w:rPr>
            <w:webHidden/>
          </w:rPr>
        </w:r>
        <w:r w:rsidR="00F96D28">
          <w:rPr>
            <w:webHidden/>
          </w:rPr>
          <w:fldChar w:fldCharType="separate"/>
        </w:r>
        <w:r w:rsidR="00F96D28">
          <w:rPr>
            <w:webHidden/>
          </w:rPr>
          <w:t>6</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63" w:history="1">
        <w:r w:rsidR="00F96D28" w:rsidRPr="00107CFA">
          <w:rPr>
            <w:rStyle w:val="Hyperlink"/>
            <w:rFonts w:ascii="Times New Roman" w:hAnsi="Times New Roman"/>
          </w:rPr>
          <w:t>1.4.</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Rövidítések</w:t>
        </w:r>
        <w:r w:rsidR="00F96D28">
          <w:rPr>
            <w:webHidden/>
          </w:rPr>
          <w:tab/>
        </w:r>
        <w:r w:rsidR="00F96D28">
          <w:rPr>
            <w:webHidden/>
          </w:rPr>
          <w:fldChar w:fldCharType="begin"/>
        </w:r>
        <w:r w:rsidR="00F96D28">
          <w:rPr>
            <w:webHidden/>
          </w:rPr>
          <w:instrText xml:space="preserve"> PAGEREF _Toc524014663 \h </w:instrText>
        </w:r>
        <w:r w:rsidR="00F96D28">
          <w:rPr>
            <w:webHidden/>
          </w:rPr>
        </w:r>
        <w:r w:rsidR="00F96D28">
          <w:rPr>
            <w:webHidden/>
          </w:rPr>
          <w:fldChar w:fldCharType="separate"/>
        </w:r>
        <w:r w:rsidR="00F96D28">
          <w:rPr>
            <w:webHidden/>
          </w:rPr>
          <w:t>6</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64" w:history="1">
        <w:r w:rsidR="00F96D28" w:rsidRPr="00107CFA">
          <w:rPr>
            <w:rStyle w:val="Hyperlink"/>
            <w:rFonts w:ascii="Times New Roman" w:hAnsi="Times New Roman"/>
          </w:rPr>
          <w:t>II. RÉSZ: A TÁBLÁHOZ KAPCSOLÓDÓ ÚTMUTATÓ</w:t>
        </w:r>
        <w:r w:rsidR="00F96D28">
          <w:rPr>
            <w:webHidden/>
          </w:rPr>
          <w:tab/>
        </w:r>
        <w:r w:rsidR="00F96D28">
          <w:rPr>
            <w:webHidden/>
          </w:rPr>
          <w:fldChar w:fldCharType="begin"/>
        </w:r>
        <w:r w:rsidR="00F96D28">
          <w:rPr>
            <w:webHidden/>
          </w:rPr>
          <w:instrText xml:space="preserve"> PAGEREF _Toc524014664 \h </w:instrText>
        </w:r>
        <w:r w:rsidR="00F96D28">
          <w:rPr>
            <w:webHidden/>
          </w:rPr>
        </w:r>
        <w:r w:rsidR="00F96D28">
          <w:rPr>
            <w:webHidden/>
          </w:rPr>
          <w:fldChar w:fldCharType="separate"/>
        </w:r>
        <w:r w:rsidR="00F96D28">
          <w:rPr>
            <w:webHidden/>
          </w:rPr>
          <w:t>7</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65" w:history="1">
        <w:r w:rsidR="00F96D28" w:rsidRPr="00107CFA">
          <w:rPr>
            <w:rStyle w:val="Hyperlink"/>
            <w:rFonts w:ascii="Times New Roman" w:hAnsi="Times New Roman"/>
          </w:rPr>
          <w:t>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Tőkemegfelelési áttekintés (CA)</w:t>
        </w:r>
        <w:r w:rsidR="00F96D28">
          <w:rPr>
            <w:webHidden/>
          </w:rPr>
          <w:tab/>
        </w:r>
        <w:r w:rsidR="00F96D28">
          <w:rPr>
            <w:webHidden/>
          </w:rPr>
          <w:fldChar w:fldCharType="begin"/>
        </w:r>
        <w:r w:rsidR="00F96D28">
          <w:rPr>
            <w:webHidden/>
          </w:rPr>
          <w:instrText xml:space="preserve"> PAGEREF _Toc524014665 \h </w:instrText>
        </w:r>
        <w:r w:rsidR="00F96D28">
          <w:rPr>
            <w:webHidden/>
          </w:rPr>
        </w:r>
        <w:r w:rsidR="00F96D28">
          <w:rPr>
            <w:webHidden/>
          </w:rPr>
          <w:fldChar w:fldCharType="separate"/>
        </w:r>
        <w:r w:rsidR="00F96D28">
          <w:rPr>
            <w:webHidden/>
          </w:rPr>
          <w:t>7</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66" w:history="1">
        <w:r w:rsidR="00F96D28" w:rsidRPr="00107CFA">
          <w:rPr>
            <w:rStyle w:val="Hyperlink"/>
            <w:rFonts w:ascii="Times New Roman" w:hAnsi="Times New Roman"/>
          </w:rPr>
          <w:t>1.1.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_Toc524014666 \h </w:instrText>
        </w:r>
        <w:r w:rsidR="00F96D28">
          <w:rPr>
            <w:webHidden/>
          </w:rPr>
        </w:r>
        <w:r w:rsidR="00F96D28">
          <w:rPr>
            <w:webHidden/>
          </w:rPr>
          <w:fldChar w:fldCharType="separate"/>
        </w:r>
        <w:r w:rsidR="00F96D28">
          <w:rPr>
            <w:webHidden/>
          </w:rPr>
          <w:t>7</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67" w:history="1">
        <w:r w:rsidR="00F96D28" w:rsidRPr="00107CFA">
          <w:rPr>
            <w:rStyle w:val="Hyperlink"/>
            <w:rFonts w:ascii="Times New Roman" w:hAnsi="Times New Roman"/>
          </w:rPr>
          <w:t>1.2.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01.00 – SZAVATOLÓ TŐKE (CA1)</w:t>
        </w:r>
        <w:r w:rsidR="00F96D28">
          <w:rPr>
            <w:webHidden/>
          </w:rPr>
          <w:tab/>
        </w:r>
        <w:r w:rsidR="00F96D28">
          <w:rPr>
            <w:webHidden/>
          </w:rPr>
          <w:fldChar w:fldCharType="begin"/>
        </w:r>
        <w:r w:rsidR="00F96D28">
          <w:rPr>
            <w:webHidden/>
          </w:rPr>
          <w:instrText xml:space="preserve"> PAGEREF _Toc524014667 \h </w:instrText>
        </w:r>
        <w:r w:rsidR="00F96D28">
          <w:rPr>
            <w:webHidden/>
          </w:rPr>
        </w:r>
        <w:r w:rsidR="00F96D28">
          <w:rPr>
            <w:webHidden/>
          </w:rPr>
          <w:fldChar w:fldCharType="separate"/>
        </w:r>
        <w:r w:rsidR="00F96D28">
          <w:rPr>
            <w:webHidden/>
          </w:rPr>
          <w:t>8</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68" w:history="1">
        <w:r w:rsidR="00F96D28" w:rsidRPr="00107CFA">
          <w:rPr>
            <w:rStyle w:val="Hyperlink"/>
            <w:rFonts w:ascii="Times New Roman" w:hAnsi="Times New Roman"/>
          </w:rPr>
          <w:t>1.2.1.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_Toc524014668 \h </w:instrText>
        </w:r>
        <w:r w:rsidR="00F96D28">
          <w:rPr>
            <w:webHidden/>
          </w:rPr>
        </w:r>
        <w:r w:rsidR="00F96D28">
          <w:rPr>
            <w:webHidden/>
          </w:rPr>
          <w:fldChar w:fldCharType="separate"/>
        </w:r>
        <w:r w:rsidR="00F96D28">
          <w:rPr>
            <w:webHidden/>
          </w:rPr>
          <w:t>8</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69" w:history="1">
        <w:r w:rsidR="00F96D28" w:rsidRPr="00107CFA">
          <w:rPr>
            <w:rStyle w:val="Hyperlink"/>
            <w:rFonts w:ascii="Times New Roman" w:hAnsi="Times New Roman"/>
          </w:rPr>
          <w:t>1.3.</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02.00 – SZAVATOLÓTŐKE-KÖVETELMÉNY (CA2)</w:t>
        </w:r>
        <w:r w:rsidR="00F96D28">
          <w:rPr>
            <w:webHidden/>
          </w:rPr>
          <w:tab/>
        </w:r>
        <w:r w:rsidR="00F96D28">
          <w:rPr>
            <w:webHidden/>
          </w:rPr>
          <w:fldChar w:fldCharType="begin"/>
        </w:r>
        <w:r w:rsidR="00F96D28">
          <w:rPr>
            <w:webHidden/>
          </w:rPr>
          <w:instrText xml:space="preserve"> PAGEREF _Toc524014669 \h </w:instrText>
        </w:r>
        <w:r w:rsidR="00F96D28">
          <w:rPr>
            <w:webHidden/>
          </w:rPr>
        </w:r>
        <w:r w:rsidR="00F96D28">
          <w:rPr>
            <w:webHidden/>
          </w:rPr>
          <w:fldChar w:fldCharType="separate"/>
        </w:r>
        <w:r w:rsidR="00F96D28">
          <w:rPr>
            <w:webHidden/>
          </w:rPr>
          <w:t>25</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70" w:history="1">
        <w:r w:rsidR="00F96D28" w:rsidRPr="00107CFA">
          <w:rPr>
            <w:rStyle w:val="Hyperlink"/>
            <w:rFonts w:ascii="Times New Roman" w:hAnsi="Times New Roman"/>
          </w:rPr>
          <w:t>1.3.1.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_Toc524014670 \h </w:instrText>
        </w:r>
        <w:r w:rsidR="00F96D28">
          <w:rPr>
            <w:webHidden/>
          </w:rPr>
        </w:r>
        <w:r w:rsidR="00F96D28">
          <w:rPr>
            <w:webHidden/>
          </w:rPr>
          <w:fldChar w:fldCharType="separate"/>
        </w:r>
        <w:r w:rsidR="00F96D28">
          <w:rPr>
            <w:webHidden/>
          </w:rPr>
          <w:t>25</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71" w:history="1">
        <w:r w:rsidR="00F96D28" w:rsidRPr="00107CFA">
          <w:rPr>
            <w:rStyle w:val="Hyperlink"/>
            <w:rFonts w:ascii="Times New Roman" w:hAnsi="Times New Roman"/>
          </w:rPr>
          <w:t>1.4.</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03.00 – TŐKEMEGFELELÉSI MUTATÓK ÉS TŐKESZINTEK (CA3)</w:t>
        </w:r>
        <w:r w:rsidR="00F96D28">
          <w:rPr>
            <w:webHidden/>
          </w:rPr>
          <w:tab/>
        </w:r>
        <w:r w:rsidR="00F96D28">
          <w:rPr>
            <w:webHidden/>
          </w:rPr>
          <w:fldChar w:fldCharType="begin"/>
        </w:r>
        <w:r w:rsidR="00F96D28">
          <w:rPr>
            <w:webHidden/>
          </w:rPr>
          <w:instrText xml:space="preserve"> PAGEREF _Toc524014671 \h </w:instrText>
        </w:r>
        <w:r w:rsidR="00F96D28">
          <w:rPr>
            <w:webHidden/>
          </w:rPr>
        </w:r>
        <w:r w:rsidR="00F96D28">
          <w:rPr>
            <w:webHidden/>
          </w:rPr>
          <w:fldChar w:fldCharType="separate"/>
        </w:r>
        <w:r w:rsidR="00F96D28">
          <w:rPr>
            <w:webHidden/>
          </w:rPr>
          <w:t>36</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72" w:history="1">
        <w:r w:rsidR="00F96D28" w:rsidRPr="00107CFA">
          <w:rPr>
            <w:rStyle w:val="Hyperlink"/>
            <w:rFonts w:ascii="Times New Roman" w:hAnsi="Times New Roman"/>
          </w:rPr>
          <w:t>1.4.1.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_Toc524014672 \h </w:instrText>
        </w:r>
        <w:r w:rsidR="00F96D28">
          <w:rPr>
            <w:webHidden/>
          </w:rPr>
        </w:r>
        <w:r w:rsidR="00F96D28">
          <w:rPr>
            <w:webHidden/>
          </w:rPr>
          <w:fldChar w:fldCharType="separate"/>
        </w:r>
        <w:r w:rsidR="00F96D28">
          <w:rPr>
            <w:webHidden/>
          </w:rPr>
          <w:t>36</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73" w:history="1">
        <w:r w:rsidR="00F96D28" w:rsidRPr="00107CFA">
          <w:rPr>
            <w:rStyle w:val="Hyperlink"/>
            <w:rFonts w:ascii="Times New Roman" w:hAnsi="Times New Roman"/>
          </w:rPr>
          <w:t>1.5.</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04.00 – TÁJÉKOZTATÓ ADATOK (CA4)</w:t>
        </w:r>
        <w:r w:rsidR="00F96D28">
          <w:rPr>
            <w:webHidden/>
          </w:rPr>
          <w:tab/>
        </w:r>
        <w:r w:rsidR="00F96D28">
          <w:rPr>
            <w:webHidden/>
          </w:rPr>
          <w:fldChar w:fldCharType="begin"/>
        </w:r>
        <w:r w:rsidR="00F96D28">
          <w:rPr>
            <w:webHidden/>
          </w:rPr>
          <w:instrText xml:space="preserve"> PAGEREF _Toc524014673 \h </w:instrText>
        </w:r>
        <w:r w:rsidR="00F96D28">
          <w:rPr>
            <w:webHidden/>
          </w:rPr>
        </w:r>
        <w:r w:rsidR="00F96D28">
          <w:rPr>
            <w:webHidden/>
          </w:rPr>
          <w:fldChar w:fldCharType="separate"/>
        </w:r>
        <w:r w:rsidR="00F96D28">
          <w:rPr>
            <w:webHidden/>
          </w:rPr>
          <w:t>39</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74" w:history="1">
        <w:r w:rsidR="00F96D28" w:rsidRPr="00107CFA">
          <w:rPr>
            <w:rStyle w:val="Hyperlink"/>
            <w:rFonts w:ascii="Times New Roman" w:hAnsi="Times New Roman"/>
          </w:rPr>
          <w:t>1.5.1.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_Toc524014674 \h </w:instrText>
        </w:r>
        <w:r w:rsidR="00F96D28">
          <w:rPr>
            <w:webHidden/>
          </w:rPr>
        </w:r>
        <w:r w:rsidR="00F96D28">
          <w:rPr>
            <w:webHidden/>
          </w:rPr>
          <w:fldChar w:fldCharType="separate"/>
        </w:r>
        <w:r w:rsidR="00F96D28">
          <w:rPr>
            <w:webHidden/>
          </w:rPr>
          <w:t>39</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75" w:history="1">
        <w:r w:rsidR="00F96D28" w:rsidRPr="00107CFA">
          <w:rPr>
            <w:rStyle w:val="Hyperlink"/>
            <w:rFonts w:ascii="Times New Roman" w:hAnsi="Times New Roman"/>
          </w:rPr>
          <w:t>1.6.</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ÁTMENETI RENDELKEZÉSEK ÉS SZERZETT JOGOK ALAPJÁN FIGYELEMBE VETT TŐKEINSTRUMENTUMOK: ÁLLAMI TÁMOGATÁSNAK NEM MINŐSÜLŐ INSTRUMENTUMOK (CA5)</w:t>
        </w:r>
        <w:r w:rsidR="00F96D28">
          <w:rPr>
            <w:webHidden/>
          </w:rPr>
          <w:tab/>
        </w:r>
        <w:r w:rsidR="00F96D28">
          <w:rPr>
            <w:webHidden/>
          </w:rPr>
          <w:fldChar w:fldCharType="begin"/>
        </w:r>
        <w:r w:rsidR="00F96D28">
          <w:rPr>
            <w:webHidden/>
          </w:rPr>
          <w:instrText xml:space="preserve"> PAGEREF _Toc524014675 \h </w:instrText>
        </w:r>
        <w:r w:rsidR="00F96D28">
          <w:rPr>
            <w:webHidden/>
          </w:rPr>
        </w:r>
        <w:r w:rsidR="00F96D28">
          <w:rPr>
            <w:webHidden/>
          </w:rPr>
          <w:fldChar w:fldCharType="separate"/>
        </w:r>
        <w:r w:rsidR="00F96D28">
          <w:rPr>
            <w:webHidden/>
          </w:rPr>
          <w:t>57</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76" w:history="1">
        <w:r w:rsidR="00F96D28" w:rsidRPr="00107CFA">
          <w:rPr>
            <w:rStyle w:val="Hyperlink"/>
            <w:rFonts w:ascii="Times New Roman" w:hAnsi="Times New Roman"/>
          </w:rPr>
          <w:t>1.6.1.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_Toc524014676 \h </w:instrText>
        </w:r>
        <w:r w:rsidR="00F96D28">
          <w:rPr>
            <w:webHidden/>
          </w:rPr>
        </w:r>
        <w:r w:rsidR="00F96D28">
          <w:rPr>
            <w:webHidden/>
          </w:rPr>
          <w:fldChar w:fldCharType="separate"/>
        </w:r>
        <w:r w:rsidR="00F96D28">
          <w:rPr>
            <w:webHidden/>
          </w:rPr>
          <w:t>57</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77" w:history="1">
        <w:r w:rsidR="00F96D28" w:rsidRPr="00107CFA">
          <w:rPr>
            <w:rStyle w:val="Hyperlink"/>
            <w:rFonts w:ascii="Times New Roman" w:hAnsi="Times New Roman"/>
          </w:rPr>
          <w:t>1.6.2.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05.01 – ÁTMENETI RENDELKEZÉSEK (CA5.1)</w:t>
        </w:r>
        <w:r w:rsidR="00F96D28">
          <w:rPr>
            <w:webHidden/>
          </w:rPr>
          <w:tab/>
        </w:r>
        <w:r w:rsidR="00F96D28">
          <w:rPr>
            <w:webHidden/>
          </w:rPr>
          <w:fldChar w:fldCharType="begin"/>
        </w:r>
        <w:r w:rsidR="00F96D28">
          <w:rPr>
            <w:webHidden/>
          </w:rPr>
          <w:instrText xml:space="preserve"> PAGEREF _Toc524014677 \h </w:instrText>
        </w:r>
        <w:r w:rsidR="00F96D28">
          <w:rPr>
            <w:webHidden/>
          </w:rPr>
        </w:r>
        <w:r w:rsidR="00F96D28">
          <w:rPr>
            <w:webHidden/>
          </w:rPr>
          <w:fldChar w:fldCharType="separate"/>
        </w:r>
        <w:r w:rsidR="00F96D28">
          <w:rPr>
            <w:webHidden/>
          </w:rPr>
          <w:t>58</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78" w:history="1">
        <w:r w:rsidR="00F96D28" w:rsidRPr="00107CFA">
          <w:rPr>
            <w:rStyle w:val="Hyperlink"/>
            <w:rFonts w:ascii="Times New Roman" w:hAnsi="Times New Roman"/>
          </w:rPr>
          <w:t>1.6.2.1.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_Toc524014678 \h </w:instrText>
        </w:r>
        <w:r w:rsidR="00F96D28">
          <w:rPr>
            <w:webHidden/>
          </w:rPr>
        </w:r>
        <w:r w:rsidR="00F96D28">
          <w:rPr>
            <w:webHidden/>
          </w:rPr>
          <w:fldChar w:fldCharType="separate"/>
        </w:r>
        <w:r w:rsidR="00F96D28">
          <w:rPr>
            <w:webHidden/>
          </w:rPr>
          <w:t>58</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79" w:history="1">
        <w:r w:rsidR="00F96D28" w:rsidRPr="00107CFA">
          <w:rPr>
            <w:rStyle w:val="Hyperlink"/>
            <w:rFonts w:ascii="Times New Roman" w:hAnsi="Times New Roman"/>
          </w:rPr>
          <w:t>1.6.3.</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05.02 – SZERZETT JOGOK ALAPJÁN FIGYELEMBE VETT TŐKEINSTRUMENTUMOK: ÁLLAMI TÁMOGATÁSNAK NEM MINŐSÜLŐ INSTRUMENTUMOK (CA5.2)</w:t>
        </w:r>
        <w:r w:rsidR="00F96D28">
          <w:rPr>
            <w:webHidden/>
          </w:rPr>
          <w:tab/>
        </w:r>
        <w:r w:rsidR="00F96D28">
          <w:rPr>
            <w:webHidden/>
          </w:rPr>
          <w:fldChar w:fldCharType="begin"/>
        </w:r>
        <w:r w:rsidR="00F96D28">
          <w:rPr>
            <w:webHidden/>
          </w:rPr>
          <w:instrText xml:space="preserve"> PAGEREF _Toc524014679 \h </w:instrText>
        </w:r>
        <w:r w:rsidR="00F96D28">
          <w:rPr>
            <w:webHidden/>
          </w:rPr>
        </w:r>
        <w:r w:rsidR="00F96D28">
          <w:rPr>
            <w:webHidden/>
          </w:rPr>
          <w:fldChar w:fldCharType="separate"/>
        </w:r>
        <w:r w:rsidR="00F96D28">
          <w:rPr>
            <w:webHidden/>
          </w:rPr>
          <w:t>68</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80" w:history="1">
        <w:r w:rsidR="00F96D28" w:rsidRPr="00107CFA">
          <w:rPr>
            <w:rStyle w:val="Hyperlink"/>
            <w:rFonts w:ascii="Times New Roman" w:hAnsi="Times New Roman"/>
          </w:rPr>
          <w:t>1.6.3.1.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_Toc524014680 \h </w:instrText>
        </w:r>
        <w:r w:rsidR="00F96D28">
          <w:rPr>
            <w:webHidden/>
          </w:rPr>
        </w:r>
        <w:r w:rsidR="00F96D28">
          <w:rPr>
            <w:webHidden/>
          </w:rPr>
          <w:fldChar w:fldCharType="separate"/>
        </w:r>
        <w:r w:rsidR="00F96D28">
          <w:rPr>
            <w:webHidden/>
          </w:rPr>
          <w:t>68</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81" w:history="1">
        <w:r w:rsidR="00F96D28" w:rsidRPr="00107CFA">
          <w:rPr>
            <w:rStyle w:val="Hyperlink"/>
            <w:rFonts w:ascii="Times New Roman" w:hAnsi="Times New Roman"/>
          </w:rPr>
          <w:t>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CSOPORTSZINTŰ SZAVATOLÓTŐKE-MEGFELELÉS: INFORMÁCIÓK A CSOPORTBA TARTOZÓ SZERVEZETEKRŐL (GS)</w:t>
        </w:r>
        <w:r w:rsidR="00F96D28">
          <w:rPr>
            <w:webHidden/>
          </w:rPr>
          <w:tab/>
        </w:r>
        <w:r w:rsidR="00F96D28">
          <w:rPr>
            <w:webHidden/>
          </w:rPr>
          <w:fldChar w:fldCharType="begin"/>
        </w:r>
        <w:r w:rsidR="00F96D28">
          <w:rPr>
            <w:webHidden/>
          </w:rPr>
          <w:instrText xml:space="preserve"> PAGEREF _Toc524014681 \h </w:instrText>
        </w:r>
        <w:r w:rsidR="00F96D28">
          <w:rPr>
            <w:webHidden/>
          </w:rPr>
        </w:r>
        <w:r w:rsidR="00F96D28">
          <w:rPr>
            <w:webHidden/>
          </w:rPr>
          <w:fldChar w:fldCharType="separate"/>
        </w:r>
        <w:r w:rsidR="00F96D28">
          <w:rPr>
            <w:webHidden/>
          </w:rPr>
          <w:t>70</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82" w:history="1">
        <w:r w:rsidR="00F96D28" w:rsidRPr="00107CFA">
          <w:rPr>
            <w:rStyle w:val="Hyperlink"/>
            <w:rFonts w:ascii="Times New Roman" w:hAnsi="Times New Roman"/>
          </w:rPr>
          <w:t>2.1.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_Toc524014682 \h </w:instrText>
        </w:r>
        <w:r w:rsidR="00F96D28">
          <w:rPr>
            <w:webHidden/>
          </w:rPr>
        </w:r>
        <w:r w:rsidR="00F96D28">
          <w:rPr>
            <w:webHidden/>
          </w:rPr>
          <w:fldChar w:fldCharType="separate"/>
        </w:r>
        <w:r w:rsidR="00F96D28">
          <w:rPr>
            <w:webHidden/>
          </w:rPr>
          <w:t>70</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83" w:history="1">
        <w:r w:rsidR="00F96D28" w:rsidRPr="00107CFA">
          <w:rPr>
            <w:rStyle w:val="Hyperlink"/>
            <w:rFonts w:ascii="Times New Roman" w:hAnsi="Times New Roman"/>
          </w:rPr>
          <w:t>2.2.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Részletes információk a csoportszintű szavatolótőke-megfelelésről</w:t>
        </w:r>
        <w:r w:rsidR="00F96D28">
          <w:rPr>
            <w:webHidden/>
          </w:rPr>
          <w:tab/>
        </w:r>
        <w:r w:rsidR="00F96D28">
          <w:rPr>
            <w:webHidden/>
          </w:rPr>
          <w:fldChar w:fldCharType="begin"/>
        </w:r>
        <w:r w:rsidR="00F96D28">
          <w:rPr>
            <w:webHidden/>
          </w:rPr>
          <w:instrText xml:space="preserve"> PAGEREF _Toc524014683 \h </w:instrText>
        </w:r>
        <w:r w:rsidR="00F96D28">
          <w:rPr>
            <w:webHidden/>
          </w:rPr>
        </w:r>
        <w:r w:rsidR="00F96D28">
          <w:rPr>
            <w:webHidden/>
          </w:rPr>
          <w:fldChar w:fldCharType="separate"/>
        </w:r>
        <w:r w:rsidR="00F96D28">
          <w:rPr>
            <w:webHidden/>
          </w:rPr>
          <w:t>71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84" w:history="1">
        <w:r w:rsidR="00F96D28" w:rsidRPr="00107CFA">
          <w:rPr>
            <w:rStyle w:val="Hyperlink"/>
            <w:rFonts w:ascii="Times New Roman" w:hAnsi="Times New Roman"/>
          </w:rPr>
          <w:t>2.3.</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Az egyes szervezeteknek a csoportszintű szavatolótőke-megfeleléshez való hozzájárulásával kapcsolatos információk</w:t>
        </w:r>
        <w:r w:rsidR="00F96D28">
          <w:rPr>
            <w:webHidden/>
          </w:rPr>
          <w:tab/>
        </w:r>
        <w:r w:rsidR="00F96D28">
          <w:rPr>
            <w:webHidden/>
          </w:rPr>
          <w:fldChar w:fldCharType="begin"/>
        </w:r>
        <w:r w:rsidR="00F96D28">
          <w:rPr>
            <w:webHidden/>
          </w:rPr>
          <w:instrText xml:space="preserve"> PAGEREF _Toc524014684 \h </w:instrText>
        </w:r>
        <w:r w:rsidR="00F96D28">
          <w:rPr>
            <w:webHidden/>
          </w:rPr>
        </w:r>
        <w:r w:rsidR="00F96D28">
          <w:rPr>
            <w:webHidden/>
          </w:rPr>
          <w:fldChar w:fldCharType="separate"/>
        </w:r>
        <w:r w:rsidR="00F96D28">
          <w:rPr>
            <w:webHidden/>
          </w:rPr>
          <w:t>71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85" w:history="1">
        <w:r w:rsidR="00F96D28" w:rsidRPr="00107CFA">
          <w:rPr>
            <w:rStyle w:val="Hyperlink"/>
            <w:rFonts w:ascii="Times New Roman" w:hAnsi="Times New Roman"/>
          </w:rPr>
          <w:t>2.4.</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06.01 – CSOPORTSZINTŰ SZAVATOLÓTŐKE-MEGFELELÉS: INFORMÁCIÓK A CSOPORTBA TARTOZÓ SZERVEZETEKRŐL – ÖSSZESEN (GS TOTAL)</w:t>
        </w:r>
        <w:r w:rsidR="00F96D28">
          <w:rPr>
            <w:webHidden/>
          </w:rPr>
          <w:tab/>
        </w:r>
        <w:r w:rsidR="00F96D28">
          <w:rPr>
            <w:webHidden/>
          </w:rPr>
          <w:fldChar w:fldCharType="begin"/>
        </w:r>
        <w:r w:rsidR="00F96D28">
          <w:rPr>
            <w:webHidden/>
          </w:rPr>
          <w:instrText xml:space="preserve"> PAGEREF _Toc524014685 \h </w:instrText>
        </w:r>
        <w:r w:rsidR="00F96D28">
          <w:rPr>
            <w:webHidden/>
          </w:rPr>
        </w:r>
        <w:r w:rsidR="00F96D28">
          <w:rPr>
            <w:webHidden/>
          </w:rPr>
          <w:fldChar w:fldCharType="separate"/>
        </w:r>
        <w:r w:rsidR="00F96D28">
          <w:rPr>
            <w:webHidden/>
          </w:rPr>
          <w:t>72</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86" w:history="1">
        <w:r w:rsidR="00F96D28" w:rsidRPr="00107CFA">
          <w:rPr>
            <w:rStyle w:val="Hyperlink"/>
            <w:rFonts w:ascii="Times New Roman" w:hAnsi="Times New Roman"/>
          </w:rPr>
          <w:t>2.5.</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06.02 – CSOPORTSZINTŰ SZAVATOLÓTŐKE-MEGFELELÉS: INFORMÁCIÓK A CSOPORTBA TARTOZÓ SZERVEZETEKRŐL (GS)</w:t>
        </w:r>
        <w:r w:rsidR="00F96D28">
          <w:rPr>
            <w:webHidden/>
          </w:rPr>
          <w:tab/>
        </w:r>
        <w:r w:rsidR="00F96D28">
          <w:rPr>
            <w:webHidden/>
          </w:rPr>
          <w:fldChar w:fldCharType="begin"/>
        </w:r>
        <w:r w:rsidR="00F96D28">
          <w:rPr>
            <w:webHidden/>
          </w:rPr>
          <w:instrText xml:space="preserve"> PAGEREF _Toc524014686 \h </w:instrText>
        </w:r>
        <w:r w:rsidR="00F96D28">
          <w:rPr>
            <w:webHidden/>
          </w:rPr>
        </w:r>
        <w:r w:rsidR="00F96D28">
          <w:rPr>
            <w:webHidden/>
          </w:rPr>
          <w:fldChar w:fldCharType="separate"/>
        </w:r>
        <w:r w:rsidR="00F96D28">
          <w:rPr>
            <w:webHidden/>
          </w:rPr>
          <w:t>72</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87" w:history="1">
        <w:r w:rsidR="00F96D28" w:rsidRPr="00107CFA">
          <w:rPr>
            <w:rStyle w:val="Hyperlink"/>
            <w:rFonts w:ascii="Times New Roman" w:hAnsi="Times New Roman"/>
          </w:rPr>
          <w:t>3.</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Hitelkockázati táblacsoport</w:t>
        </w:r>
        <w:r w:rsidR="00F96D28">
          <w:rPr>
            <w:webHidden/>
          </w:rPr>
          <w:tab/>
        </w:r>
        <w:r w:rsidR="00F96D28">
          <w:rPr>
            <w:webHidden/>
          </w:rPr>
          <w:fldChar w:fldCharType="begin"/>
        </w:r>
        <w:r w:rsidR="00F96D28">
          <w:rPr>
            <w:webHidden/>
          </w:rPr>
          <w:instrText xml:space="preserve"> PAGEREF _Toc524014687 \h </w:instrText>
        </w:r>
        <w:r w:rsidR="00F96D28">
          <w:rPr>
            <w:webHidden/>
          </w:rPr>
        </w:r>
        <w:r w:rsidR="00F96D28">
          <w:rPr>
            <w:webHidden/>
          </w:rPr>
          <w:fldChar w:fldCharType="separate"/>
        </w:r>
        <w:r w:rsidR="00F96D28">
          <w:rPr>
            <w:webHidden/>
          </w:rPr>
          <w:t>81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88" w:history="1">
        <w:r w:rsidR="00F96D28" w:rsidRPr="00107CFA">
          <w:rPr>
            <w:rStyle w:val="Hyperlink"/>
            <w:rFonts w:ascii="Times New Roman" w:hAnsi="Times New Roman"/>
          </w:rPr>
          <w:t>3.1.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_Toc524014688 \h </w:instrText>
        </w:r>
        <w:r w:rsidR="00F96D28">
          <w:rPr>
            <w:webHidden/>
          </w:rPr>
        </w:r>
        <w:r w:rsidR="00F96D28">
          <w:rPr>
            <w:webHidden/>
          </w:rPr>
          <w:fldChar w:fldCharType="separate"/>
        </w:r>
        <w:r w:rsidR="00F96D28">
          <w:rPr>
            <w:webHidden/>
          </w:rPr>
          <w:t>81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89" w:history="1">
        <w:r w:rsidR="00F96D28" w:rsidRPr="00107CFA">
          <w:rPr>
            <w:rStyle w:val="Hyperlink"/>
            <w:rFonts w:ascii="Times New Roman" w:hAnsi="Times New Roman"/>
          </w:rPr>
          <w:t>3.1.1.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Helyettesítési hatással járó hitelkockázat-mérséklési technikák</w:t>
        </w:r>
        <w:r w:rsidR="00F96D28">
          <w:rPr>
            <w:webHidden/>
          </w:rPr>
          <w:tab/>
        </w:r>
        <w:r w:rsidR="00F96D28">
          <w:rPr>
            <w:webHidden/>
          </w:rPr>
          <w:fldChar w:fldCharType="begin"/>
        </w:r>
        <w:r w:rsidR="00F96D28">
          <w:rPr>
            <w:webHidden/>
          </w:rPr>
          <w:instrText xml:space="preserve"> PAGEREF _Toc524014689 \h </w:instrText>
        </w:r>
        <w:r w:rsidR="00F96D28">
          <w:rPr>
            <w:webHidden/>
          </w:rPr>
        </w:r>
        <w:r w:rsidR="00F96D28">
          <w:rPr>
            <w:webHidden/>
          </w:rPr>
          <w:fldChar w:fldCharType="separate"/>
        </w:r>
        <w:r w:rsidR="00F96D28">
          <w:rPr>
            <w:webHidden/>
          </w:rPr>
          <w:t>81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90" w:history="1">
        <w:r w:rsidR="00F96D28" w:rsidRPr="00107CFA">
          <w:rPr>
            <w:rStyle w:val="Hyperlink"/>
            <w:rFonts w:ascii="Times New Roman" w:hAnsi="Times New Roman"/>
          </w:rPr>
          <w:t>3.1.2.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partnerkockázattal kapcsolatos adatszolgáltatás</w:t>
        </w:r>
        <w:r w:rsidR="00F96D28">
          <w:rPr>
            <w:webHidden/>
          </w:rPr>
          <w:tab/>
        </w:r>
        <w:r w:rsidR="00F96D28">
          <w:rPr>
            <w:webHidden/>
          </w:rPr>
          <w:fldChar w:fldCharType="begin"/>
        </w:r>
        <w:r w:rsidR="00F96D28">
          <w:rPr>
            <w:webHidden/>
          </w:rPr>
          <w:instrText xml:space="preserve"> PAGEREF _Toc524014690 \h </w:instrText>
        </w:r>
        <w:r w:rsidR="00F96D28">
          <w:rPr>
            <w:webHidden/>
          </w:rPr>
        </w:r>
        <w:r w:rsidR="00F96D28">
          <w:rPr>
            <w:webHidden/>
          </w:rPr>
          <w:fldChar w:fldCharType="separate"/>
        </w:r>
        <w:r w:rsidR="00F96D28">
          <w:rPr>
            <w:webHidden/>
          </w:rPr>
          <w:t>82</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91" w:history="1">
        <w:r w:rsidR="00F96D28" w:rsidRPr="00107CFA">
          <w:rPr>
            <w:rStyle w:val="Hyperlink"/>
            <w:rFonts w:ascii="Times New Roman" w:hAnsi="Times New Roman"/>
          </w:rPr>
          <w:t>3.2.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07.00 – Hitelkockázat, partnerkockázat és nyitva szállítások: a sztenderd módszer szerinti tőkekövetelmény (CR SA)</w:t>
        </w:r>
        <w:r w:rsidR="00F96D28">
          <w:rPr>
            <w:webHidden/>
          </w:rPr>
          <w:tab/>
        </w:r>
        <w:r w:rsidR="00F96D28">
          <w:rPr>
            <w:webHidden/>
          </w:rPr>
          <w:fldChar w:fldCharType="begin"/>
        </w:r>
        <w:r w:rsidR="00F96D28">
          <w:rPr>
            <w:webHidden/>
          </w:rPr>
          <w:instrText xml:space="preserve"> PAGEREF _Toc524014691 \h </w:instrText>
        </w:r>
        <w:r w:rsidR="00F96D28">
          <w:rPr>
            <w:webHidden/>
          </w:rPr>
        </w:r>
        <w:r w:rsidR="00F96D28">
          <w:rPr>
            <w:webHidden/>
          </w:rPr>
          <w:fldChar w:fldCharType="separate"/>
        </w:r>
        <w:r w:rsidR="00F96D28">
          <w:rPr>
            <w:webHidden/>
          </w:rPr>
          <w:t>82</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92" w:history="1">
        <w:r w:rsidR="00F96D28" w:rsidRPr="00107CFA">
          <w:rPr>
            <w:rStyle w:val="Hyperlink"/>
            <w:rFonts w:ascii="Times New Roman" w:hAnsi="Times New Roman"/>
          </w:rPr>
          <w:t>3.2.1.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_Toc524014692 \h </w:instrText>
        </w:r>
        <w:r w:rsidR="00F96D28">
          <w:rPr>
            <w:webHidden/>
          </w:rPr>
        </w:r>
        <w:r w:rsidR="00F96D28">
          <w:rPr>
            <w:webHidden/>
          </w:rPr>
          <w:fldChar w:fldCharType="separate"/>
        </w:r>
        <w:r w:rsidR="00F96D28">
          <w:rPr>
            <w:webHidden/>
          </w:rPr>
          <w:t>82</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93" w:history="1">
        <w:r w:rsidR="00F96D28" w:rsidRPr="00107CFA">
          <w:rPr>
            <w:rStyle w:val="Hyperlink"/>
            <w:rFonts w:ascii="Times New Roman" w:hAnsi="Times New Roman"/>
          </w:rPr>
          <w:t>3.2.2.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CR SA tábla alkalmazási köre</w:t>
        </w:r>
        <w:r w:rsidR="00F96D28">
          <w:rPr>
            <w:webHidden/>
          </w:rPr>
          <w:tab/>
        </w:r>
        <w:r w:rsidR="00F96D28">
          <w:rPr>
            <w:webHidden/>
          </w:rPr>
          <w:fldChar w:fldCharType="begin"/>
        </w:r>
        <w:r w:rsidR="00F96D28">
          <w:rPr>
            <w:webHidden/>
          </w:rPr>
          <w:instrText xml:space="preserve"> PAGEREF _Toc524014693 \h </w:instrText>
        </w:r>
        <w:r w:rsidR="00F96D28">
          <w:rPr>
            <w:webHidden/>
          </w:rPr>
        </w:r>
        <w:r w:rsidR="00F96D28">
          <w:rPr>
            <w:webHidden/>
          </w:rPr>
          <w:fldChar w:fldCharType="separate"/>
        </w:r>
        <w:r w:rsidR="00F96D28">
          <w:rPr>
            <w:webHidden/>
          </w:rPr>
          <w:t>82</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94" w:history="1">
        <w:r w:rsidR="00F96D28" w:rsidRPr="00107CFA">
          <w:rPr>
            <w:rStyle w:val="Hyperlink"/>
            <w:rFonts w:ascii="Times New Roman" w:hAnsi="Times New Roman"/>
          </w:rPr>
          <w:t>3.2.3.</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 xml:space="preserve"> A kitettségek kitettségi osztályba sorolása a sztenderd módszerrel</w:t>
        </w:r>
        <w:r w:rsidR="00F96D28">
          <w:rPr>
            <w:webHidden/>
          </w:rPr>
          <w:tab/>
        </w:r>
        <w:r w:rsidR="00F96D28">
          <w:rPr>
            <w:webHidden/>
          </w:rPr>
          <w:fldChar w:fldCharType="begin"/>
        </w:r>
        <w:r w:rsidR="00F96D28">
          <w:rPr>
            <w:webHidden/>
          </w:rPr>
          <w:instrText xml:space="preserve"> PAGEREF _Toc524014694 \h </w:instrText>
        </w:r>
        <w:r w:rsidR="00F96D28">
          <w:rPr>
            <w:webHidden/>
          </w:rPr>
        </w:r>
        <w:r w:rsidR="00F96D28">
          <w:rPr>
            <w:webHidden/>
          </w:rPr>
          <w:fldChar w:fldCharType="separate"/>
        </w:r>
        <w:r w:rsidR="00F96D28">
          <w:rPr>
            <w:webHidden/>
          </w:rPr>
          <w:t>84</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95" w:history="1">
        <w:r w:rsidR="00F96D28" w:rsidRPr="00107CFA">
          <w:rPr>
            <w:rStyle w:val="Hyperlink"/>
            <w:rFonts w:ascii="Times New Roman" w:hAnsi="Times New Roman"/>
          </w:rPr>
          <w:t>3.2.4.</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CRR 112. cikkében említett egyes kitettségi osztályok terjedelmének magyarázata</w:t>
        </w:r>
        <w:r w:rsidR="00F96D28">
          <w:rPr>
            <w:webHidden/>
          </w:rPr>
          <w:tab/>
        </w:r>
        <w:r w:rsidR="00F96D28">
          <w:rPr>
            <w:webHidden/>
          </w:rPr>
          <w:fldChar w:fldCharType="begin"/>
        </w:r>
        <w:r w:rsidR="00F96D28">
          <w:rPr>
            <w:webHidden/>
          </w:rPr>
          <w:instrText xml:space="preserve"> PAGEREF _Toc524014695 \h </w:instrText>
        </w:r>
        <w:r w:rsidR="00F96D28">
          <w:rPr>
            <w:webHidden/>
          </w:rPr>
        </w:r>
        <w:r w:rsidR="00F96D28">
          <w:rPr>
            <w:webHidden/>
          </w:rPr>
          <w:fldChar w:fldCharType="separate"/>
        </w:r>
        <w:r w:rsidR="00F96D28">
          <w:rPr>
            <w:webHidden/>
          </w:rPr>
          <w:t>90</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96" w:history="1">
        <w:r w:rsidR="00F96D28" w:rsidRPr="00107CFA">
          <w:rPr>
            <w:rStyle w:val="Hyperlink"/>
            <w:rFonts w:ascii="Times New Roman" w:hAnsi="Times New Roman"/>
          </w:rPr>
          <w:t>3.2.4.1.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Az „intézmények” kitettségi osztály</w:t>
        </w:r>
        <w:r w:rsidR="00F96D28">
          <w:rPr>
            <w:webHidden/>
          </w:rPr>
          <w:tab/>
        </w:r>
        <w:r w:rsidR="00F96D28">
          <w:rPr>
            <w:webHidden/>
          </w:rPr>
          <w:fldChar w:fldCharType="begin"/>
        </w:r>
        <w:r w:rsidR="00F96D28">
          <w:rPr>
            <w:webHidden/>
          </w:rPr>
          <w:instrText xml:space="preserve"> PAGEREF _Toc524014696 \h </w:instrText>
        </w:r>
        <w:r w:rsidR="00F96D28">
          <w:rPr>
            <w:webHidden/>
          </w:rPr>
        </w:r>
        <w:r w:rsidR="00F96D28">
          <w:rPr>
            <w:webHidden/>
          </w:rPr>
          <w:fldChar w:fldCharType="separate"/>
        </w:r>
        <w:r w:rsidR="00F96D28">
          <w:rPr>
            <w:webHidden/>
          </w:rPr>
          <w:t>90</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97" w:history="1">
        <w:r w:rsidR="00F96D28" w:rsidRPr="00107CFA">
          <w:rPr>
            <w:rStyle w:val="Hyperlink"/>
            <w:rFonts w:ascii="Times New Roman" w:hAnsi="Times New Roman"/>
          </w:rPr>
          <w:t>3.2.4.2.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„fedezett kötvények” kitettségi osztály</w:t>
        </w:r>
        <w:r w:rsidR="00F96D28">
          <w:rPr>
            <w:webHidden/>
          </w:rPr>
          <w:tab/>
        </w:r>
        <w:r w:rsidR="00F96D28">
          <w:rPr>
            <w:webHidden/>
          </w:rPr>
          <w:fldChar w:fldCharType="begin"/>
        </w:r>
        <w:r w:rsidR="00F96D28">
          <w:rPr>
            <w:webHidden/>
          </w:rPr>
          <w:instrText xml:space="preserve"> PAGEREF _Toc524014697 \h </w:instrText>
        </w:r>
        <w:r w:rsidR="00F96D28">
          <w:rPr>
            <w:webHidden/>
          </w:rPr>
        </w:r>
        <w:r w:rsidR="00F96D28">
          <w:rPr>
            <w:webHidden/>
          </w:rPr>
          <w:fldChar w:fldCharType="separate"/>
        </w:r>
        <w:r w:rsidR="00F96D28">
          <w:rPr>
            <w:webHidden/>
          </w:rPr>
          <w:t>90</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98" w:history="1">
        <w:r w:rsidR="00F96D28" w:rsidRPr="00107CFA">
          <w:rPr>
            <w:rStyle w:val="Hyperlink"/>
            <w:rFonts w:ascii="Times New Roman" w:hAnsi="Times New Roman"/>
          </w:rPr>
          <w:t>3.2.4.3.</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„kollektív befektetési formák” kitettségi osztály</w:t>
        </w:r>
        <w:r w:rsidR="00F96D28">
          <w:rPr>
            <w:webHidden/>
          </w:rPr>
          <w:tab/>
        </w:r>
        <w:r w:rsidR="00F96D28">
          <w:rPr>
            <w:webHidden/>
          </w:rPr>
          <w:fldChar w:fldCharType="begin"/>
        </w:r>
        <w:r w:rsidR="00F96D28">
          <w:rPr>
            <w:webHidden/>
          </w:rPr>
          <w:instrText xml:space="preserve"> PAGEREF _Toc524014698 \h </w:instrText>
        </w:r>
        <w:r w:rsidR="00F96D28">
          <w:rPr>
            <w:webHidden/>
          </w:rPr>
        </w:r>
        <w:r w:rsidR="00F96D28">
          <w:rPr>
            <w:webHidden/>
          </w:rPr>
          <w:fldChar w:fldCharType="separate"/>
        </w:r>
        <w:r w:rsidR="00F96D28">
          <w:rPr>
            <w:webHidden/>
          </w:rPr>
          <w:t>90</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699" w:history="1">
        <w:r w:rsidR="00F96D28" w:rsidRPr="00107CFA">
          <w:rPr>
            <w:rStyle w:val="Hyperlink"/>
            <w:rFonts w:ascii="Times New Roman" w:hAnsi="Times New Roman"/>
          </w:rPr>
          <w:t>3.2.5.</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_Toc524014699 \h </w:instrText>
        </w:r>
        <w:r w:rsidR="00F96D28">
          <w:rPr>
            <w:webHidden/>
          </w:rPr>
        </w:r>
        <w:r w:rsidR="00F96D28">
          <w:rPr>
            <w:webHidden/>
          </w:rPr>
          <w:fldChar w:fldCharType="separate"/>
        </w:r>
        <w:r w:rsidR="00F96D28">
          <w:rPr>
            <w:webHidden/>
          </w:rPr>
          <w:t>90</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00" w:history="1">
        <w:r w:rsidR="00F96D28" w:rsidRPr="00107CFA">
          <w:rPr>
            <w:rStyle w:val="Hyperlink"/>
            <w:rFonts w:ascii="Times New Roman" w:hAnsi="Times New Roman"/>
          </w:rPr>
          <w:t>3.3.</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Hitelkockázat, partnerkockázat és nyitva szállítások: az IRB-módszer szerinti szavatolótőke-követelmény (CR IRB)</w:t>
        </w:r>
        <w:r w:rsidR="00F96D28">
          <w:rPr>
            <w:webHidden/>
          </w:rPr>
          <w:tab/>
        </w:r>
        <w:r w:rsidR="00F96D28">
          <w:rPr>
            <w:webHidden/>
          </w:rPr>
          <w:fldChar w:fldCharType="begin"/>
        </w:r>
        <w:r w:rsidR="00F96D28">
          <w:rPr>
            <w:webHidden/>
          </w:rPr>
          <w:instrText xml:space="preserve"> PAGEREF _Toc524014700 \h </w:instrText>
        </w:r>
        <w:r w:rsidR="00F96D28">
          <w:rPr>
            <w:webHidden/>
          </w:rPr>
        </w:r>
        <w:r w:rsidR="00F96D28">
          <w:rPr>
            <w:webHidden/>
          </w:rPr>
          <w:fldChar w:fldCharType="separate"/>
        </w:r>
        <w:r w:rsidR="00F96D28">
          <w:rPr>
            <w:webHidden/>
          </w:rPr>
          <w:t>98</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01" w:history="1">
        <w:r w:rsidR="00F96D28" w:rsidRPr="00107CFA">
          <w:rPr>
            <w:rStyle w:val="Hyperlink"/>
            <w:rFonts w:ascii="Times New Roman" w:hAnsi="Times New Roman"/>
          </w:rPr>
          <w:t>3.3.1.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CR IRB tábla alkalmazási köre</w:t>
        </w:r>
        <w:r w:rsidR="00F96D28">
          <w:rPr>
            <w:webHidden/>
          </w:rPr>
          <w:tab/>
        </w:r>
        <w:r w:rsidR="00F96D28">
          <w:rPr>
            <w:webHidden/>
          </w:rPr>
          <w:fldChar w:fldCharType="begin"/>
        </w:r>
        <w:r w:rsidR="00F96D28">
          <w:rPr>
            <w:webHidden/>
          </w:rPr>
          <w:instrText xml:space="preserve"> PAGEREF _Toc524014701 \h </w:instrText>
        </w:r>
        <w:r w:rsidR="00F96D28">
          <w:rPr>
            <w:webHidden/>
          </w:rPr>
        </w:r>
        <w:r w:rsidR="00F96D28">
          <w:rPr>
            <w:webHidden/>
          </w:rPr>
          <w:fldChar w:fldCharType="separate"/>
        </w:r>
        <w:r w:rsidR="00F96D28">
          <w:rPr>
            <w:webHidden/>
          </w:rPr>
          <w:t>98</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02" w:history="1">
        <w:r w:rsidR="00F96D28" w:rsidRPr="00107CFA">
          <w:rPr>
            <w:rStyle w:val="Hyperlink"/>
            <w:rFonts w:ascii="Times New Roman" w:hAnsi="Times New Roman"/>
          </w:rPr>
          <w:t>3.3.2.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CR IRB táblacsoport felosztása</w:t>
        </w:r>
        <w:r w:rsidR="00F96D28">
          <w:rPr>
            <w:webHidden/>
          </w:rPr>
          <w:tab/>
        </w:r>
        <w:r w:rsidR="00F96D28">
          <w:rPr>
            <w:webHidden/>
          </w:rPr>
          <w:fldChar w:fldCharType="begin"/>
        </w:r>
        <w:r w:rsidR="00F96D28">
          <w:rPr>
            <w:webHidden/>
          </w:rPr>
          <w:instrText xml:space="preserve"> PAGEREF _Toc524014702 \h </w:instrText>
        </w:r>
        <w:r w:rsidR="00F96D28">
          <w:rPr>
            <w:webHidden/>
          </w:rPr>
        </w:r>
        <w:r w:rsidR="00F96D28">
          <w:rPr>
            <w:webHidden/>
          </w:rPr>
          <w:fldChar w:fldCharType="separate"/>
        </w:r>
        <w:r w:rsidR="00F96D28">
          <w:rPr>
            <w:webHidden/>
          </w:rPr>
          <w:t>99</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03" w:history="1">
        <w:r w:rsidR="00F96D28" w:rsidRPr="00107CFA">
          <w:rPr>
            <w:rStyle w:val="Hyperlink"/>
            <w:rFonts w:ascii="Times New Roman" w:hAnsi="Times New Roman"/>
          </w:rPr>
          <w:t>3.3.3.</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08.00 – Hitelkockázat, partnerkockázat és nyitva szállítások: az IRB-módszer szerinti tőkekövetelmény (CR IRB 1)</w:t>
        </w:r>
        <w:r w:rsidR="00F96D28">
          <w:rPr>
            <w:webHidden/>
          </w:rPr>
          <w:tab/>
        </w:r>
        <w:r w:rsidR="00F96D28">
          <w:rPr>
            <w:webHidden/>
          </w:rPr>
          <w:fldChar w:fldCharType="begin"/>
        </w:r>
        <w:r w:rsidR="00F96D28">
          <w:rPr>
            <w:webHidden/>
          </w:rPr>
          <w:instrText xml:space="preserve"> PAGEREF _Toc524014703 \h </w:instrText>
        </w:r>
        <w:r w:rsidR="00F96D28">
          <w:rPr>
            <w:webHidden/>
          </w:rPr>
        </w:r>
        <w:r w:rsidR="00F96D28">
          <w:rPr>
            <w:webHidden/>
          </w:rPr>
          <w:fldChar w:fldCharType="separate"/>
        </w:r>
        <w:r w:rsidR="00F96D28">
          <w:rPr>
            <w:webHidden/>
          </w:rPr>
          <w:t>100</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04" w:history="1">
        <w:r w:rsidR="00F96D28" w:rsidRPr="00107CFA">
          <w:rPr>
            <w:rStyle w:val="Hyperlink"/>
            <w:rFonts w:ascii="Times New Roman" w:hAnsi="Times New Roman"/>
          </w:rPr>
          <w:t>3.3.3.1.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_Toc524014704 \h </w:instrText>
        </w:r>
        <w:r w:rsidR="00F96D28">
          <w:rPr>
            <w:webHidden/>
          </w:rPr>
        </w:r>
        <w:r w:rsidR="00F96D28">
          <w:rPr>
            <w:webHidden/>
          </w:rPr>
          <w:fldChar w:fldCharType="separate"/>
        </w:r>
        <w:r w:rsidR="00F96D28">
          <w:rPr>
            <w:webHidden/>
          </w:rPr>
          <w:t>100</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05" w:history="1">
        <w:r w:rsidR="00F96D28" w:rsidRPr="00107CFA">
          <w:rPr>
            <w:rStyle w:val="Hyperlink"/>
            <w:rFonts w:ascii="Times New Roman" w:hAnsi="Times New Roman"/>
          </w:rPr>
          <w:t>3.3.4.</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08.02 – Hitelkockázat, partnerkockázat és nyitva szállítások: az IRB-módszer szerinti tőkekövetelmény (ügyfél-kategória vagy -halmaz [pool] szerint) (CR IRB 2 tábla)</w:t>
        </w:r>
        <w:r w:rsidR="00F96D28">
          <w:rPr>
            <w:webHidden/>
          </w:rPr>
          <w:tab/>
        </w:r>
        <w:r w:rsidR="00F96D28">
          <w:rPr>
            <w:webHidden/>
          </w:rPr>
          <w:fldChar w:fldCharType="begin"/>
        </w:r>
        <w:r w:rsidR="00F96D28">
          <w:rPr>
            <w:webHidden/>
          </w:rPr>
          <w:instrText xml:space="preserve"> PAGEREF _Toc524014705 \h </w:instrText>
        </w:r>
        <w:r w:rsidR="00F96D28">
          <w:rPr>
            <w:webHidden/>
          </w:rPr>
        </w:r>
        <w:r w:rsidR="00F96D28">
          <w:rPr>
            <w:webHidden/>
          </w:rPr>
          <w:fldChar w:fldCharType="separate"/>
        </w:r>
        <w:r w:rsidR="00F96D28">
          <w:rPr>
            <w:webHidden/>
          </w:rPr>
          <w:t>110</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06" w:history="1">
        <w:r w:rsidR="00F96D28" w:rsidRPr="00107CFA">
          <w:rPr>
            <w:rStyle w:val="Hyperlink"/>
            <w:rFonts w:ascii="Times New Roman" w:hAnsi="Times New Roman"/>
          </w:rPr>
          <w:t>3.4.</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Hitelkockázat, partnerkockázat és nyitva szállítások: földrajzi megoszlás</w:t>
        </w:r>
        <w:r w:rsidR="00F96D28">
          <w:rPr>
            <w:webHidden/>
          </w:rPr>
          <w:tab/>
        </w:r>
        <w:r w:rsidR="00F96D28">
          <w:rPr>
            <w:webHidden/>
          </w:rPr>
          <w:fldChar w:fldCharType="begin"/>
        </w:r>
        <w:r w:rsidR="00F96D28">
          <w:rPr>
            <w:webHidden/>
          </w:rPr>
          <w:instrText xml:space="preserve"> PAGEREF _Toc524014706 \h </w:instrText>
        </w:r>
        <w:r w:rsidR="00F96D28">
          <w:rPr>
            <w:webHidden/>
          </w:rPr>
        </w:r>
        <w:r w:rsidR="00F96D28">
          <w:rPr>
            <w:webHidden/>
          </w:rPr>
          <w:fldChar w:fldCharType="separate"/>
        </w:r>
        <w:r w:rsidR="00F96D28">
          <w:rPr>
            <w:webHidden/>
          </w:rPr>
          <w:t>110</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07" w:history="1">
        <w:r w:rsidR="00F96D28" w:rsidRPr="00107CFA">
          <w:rPr>
            <w:rStyle w:val="Hyperlink"/>
            <w:rFonts w:ascii="Times New Roman" w:hAnsi="Times New Roman"/>
          </w:rPr>
          <w:t>3.4.1.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09.01 – Kitettségek földrajzi bontása a kötelezett illetősége szerint: SA kitettségek (CR GB 1)</w:t>
        </w:r>
        <w:r w:rsidR="00F96D28">
          <w:rPr>
            <w:webHidden/>
          </w:rPr>
          <w:tab/>
        </w:r>
        <w:r w:rsidR="00F96D28">
          <w:rPr>
            <w:webHidden/>
          </w:rPr>
          <w:fldChar w:fldCharType="begin"/>
        </w:r>
        <w:r w:rsidR="00F96D28">
          <w:rPr>
            <w:webHidden/>
          </w:rPr>
          <w:instrText xml:space="preserve"> PAGEREF _Toc524014707 \h </w:instrText>
        </w:r>
        <w:r w:rsidR="00F96D28">
          <w:rPr>
            <w:webHidden/>
          </w:rPr>
        </w:r>
        <w:r w:rsidR="00F96D28">
          <w:rPr>
            <w:webHidden/>
          </w:rPr>
          <w:fldChar w:fldCharType="separate"/>
        </w:r>
        <w:r w:rsidR="00F96D28">
          <w:rPr>
            <w:webHidden/>
          </w:rPr>
          <w:t>111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08" w:history="1">
        <w:r w:rsidR="00F96D28" w:rsidRPr="00107CFA">
          <w:rPr>
            <w:rStyle w:val="Hyperlink"/>
            <w:rFonts w:ascii="Times New Roman" w:hAnsi="Times New Roman"/>
          </w:rPr>
          <w:t>3.4.1.1.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_Toc524014708 \h </w:instrText>
        </w:r>
        <w:r w:rsidR="00F96D28">
          <w:rPr>
            <w:webHidden/>
          </w:rPr>
        </w:r>
        <w:r w:rsidR="00F96D28">
          <w:rPr>
            <w:webHidden/>
          </w:rPr>
          <w:fldChar w:fldCharType="separate"/>
        </w:r>
        <w:r w:rsidR="00F96D28">
          <w:rPr>
            <w:webHidden/>
          </w:rPr>
          <w:t>111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09" w:history="1">
        <w:r w:rsidR="00F96D28" w:rsidRPr="00107CFA">
          <w:rPr>
            <w:rStyle w:val="Hyperlink"/>
            <w:rFonts w:ascii="Times New Roman" w:hAnsi="Times New Roman"/>
          </w:rPr>
          <w:t>3.4.2.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09.02 – Kitettségek földrajzi bontása a kötelezett illetősége szerint: IRB kitettségek (CR GB 2)</w:t>
        </w:r>
        <w:r w:rsidR="00F96D28">
          <w:rPr>
            <w:webHidden/>
          </w:rPr>
          <w:tab/>
        </w:r>
        <w:r w:rsidR="00F96D28">
          <w:rPr>
            <w:webHidden/>
          </w:rPr>
          <w:fldChar w:fldCharType="begin"/>
        </w:r>
        <w:r w:rsidR="00F96D28">
          <w:rPr>
            <w:webHidden/>
          </w:rPr>
          <w:instrText xml:space="preserve"> PAGEREF _Toc524014709 \h </w:instrText>
        </w:r>
        <w:r w:rsidR="00F96D28">
          <w:rPr>
            <w:webHidden/>
          </w:rPr>
        </w:r>
        <w:r w:rsidR="00F96D28">
          <w:rPr>
            <w:webHidden/>
          </w:rPr>
          <w:fldChar w:fldCharType="separate"/>
        </w:r>
        <w:r w:rsidR="00F96D28">
          <w:rPr>
            <w:webHidden/>
          </w:rPr>
          <w:t>113</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10" w:history="1">
        <w:r w:rsidR="00F96D28" w:rsidRPr="00107CFA">
          <w:rPr>
            <w:rStyle w:val="Hyperlink"/>
            <w:rFonts w:ascii="Times New Roman" w:hAnsi="Times New Roman"/>
          </w:rPr>
          <w:t>3.4.2.1.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_Toc524014710 \h </w:instrText>
        </w:r>
        <w:r w:rsidR="00F96D28">
          <w:rPr>
            <w:webHidden/>
          </w:rPr>
        </w:r>
        <w:r w:rsidR="00F96D28">
          <w:rPr>
            <w:webHidden/>
          </w:rPr>
          <w:fldChar w:fldCharType="separate"/>
        </w:r>
        <w:r w:rsidR="00F96D28">
          <w:rPr>
            <w:webHidden/>
          </w:rPr>
          <w:t>113</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11" w:history="1">
        <w:r w:rsidR="00F96D28" w:rsidRPr="00107CFA">
          <w:rPr>
            <w:rStyle w:val="Hyperlink"/>
            <w:rFonts w:ascii="Times New Roman" w:hAnsi="Times New Roman"/>
          </w:rPr>
          <w:t>3.4.3.</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09.04 – A lényeges hitelkockázati kitettségek országonkénti bontása az anticiklikus tőkepuffer és az intézményspecifikus anticiklikus tőkepuffer kiszámításához (CCB)</w:t>
        </w:r>
        <w:r w:rsidR="00F96D28">
          <w:rPr>
            <w:webHidden/>
          </w:rPr>
          <w:tab/>
        </w:r>
        <w:r w:rsidR="00F96D28">
          <w:rPr>
            <w:webHidden/>
          </w:rPr>
          <w:fldChar w:fldCharType="begin"/>
        </w:r>
        <w:r w:rsidR="00F96D28">
          <w:rPr>
            <w:webHidden/>
          </w:rPr>
          <w:instrText xml:space="preserve"> PAGEREF _Toc524014711 \h </w:instrText>
        </w:r>
        <w:r w:rsidR="00F96D28">
          <w:rPr>
            <w:webHidden/>
          </w:rPr>
        </w:r>
        <w:r w:rsidR="00F96D28">
          <w:rPr>
            <w:webHidden/>
          </w:rPr>
          <w:fldChar w:fldCharType="separate"/>
        </w:r>
        <w:r w:rsidR="00F96D28">
          <w:rPr>
            <w:webHidden/>
          </w:rPr>
          <w:t>116</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12" w:history="1">
        <w:r w:rsidR="00F96D28" w:rsidRPr="00107CFA">
          <w:rPr>
            <w:rStyle w:val="Hyperlink"/>
            <w:rFonts w:ascii="Times New Roman" w:hAnsi="Times New Roman"/>
          </w:rPr>
          <w:t>3.4.3.1.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_Toc524014712 \h </w:instrText>
        </w:r>
        <w:r w:rsidR="00F96D28">
          <w:rPr>
            <w:webHidden/>
          </w:rPr>
        </w:r>
        <w:r w:rsidR="00F96D28">
          <w:rPr>
            <w:webHidden/>
          </w:rPr>
          <w:fldChar w:fldCharType="separate"/>
        </w:r>
        <w:r w:rsidR="00F96D28">
          <w:rPr>
            <w:webHidden/>
          </w:rPr>
          <w:t>116</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13" w:history="1">
        <w:r w:rsidR="00F96D28" w:rsidRPr="00107CFA">
          <w:rPr>
            <w:rStyle w:val="Hyperlink"/>
            <w:rFonts w:ascii="Times New Roman" w:hAnsi="Times New Roman"/>
          </w:rPr>
          <w:t>3.4.3.2.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_Toc524014713 \h </w:instrText>
        </w:r>
        <w:r w:rsidR="00F96D28">
          <w:rPr>
            <w:webHidden/>
          </w:rPr>
        </w:r>
        <w:r w:rsidR="00F96D28">
          <w:rPr>
            <w:webHidden/>
          </w:rPr>
          <w:fldChar w:fldCharType="separate"/>
        </w:r>
        <w:r w:rsidR="00F96D28">
          <w:rPr>
            <w:webHidden/>
          </w:rPr>
          <w:t>117</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14" w:history="1">
        <w:r w:rsidR="00F96D28" w:rsidRPr="00107CFA">
          <w:rPr>
            <w:rStyle w:val="Hyperlink"/>
            <w:rFonts w:ascii="Times New Roman" w:hAnsi="Times New Roman"/>
          </w:rPr>
          <w:t>3.5.</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10.01 és C 10.02 – A belső minősítésen alapuló módszer szerinti részvényjellegű kitettségek (CR EQU IRB 1 és CR EQU IRB 2)</w:t>
        </w:r>
        <w:r w:rsidR="00F96D28">
          <w:rPr>
            <w:webHidden/>
          </w:rPr>
          <w:tab/>
        </w:r>
        <w:r w:rsidR="00F96D28">
          <w:rPr>
            <w:webHidden/>
          </w:rPr>
          <w:fldChar w:fldCharType="begin"/>
        </w:r>
        <w:r w:rsidR="00F96D28">
          <w:rPr>
            <w:webHidden/>
          </w:rPr>
          <w:instrText xml:space="preserve"> PAGEREF _Toc524014714 \h </w:instrText>
        </w:r>
        <w:r w:rsidR="00F96D28">
          <w:rPr>
            <w:webHidden/>
          </w:rPr>
        </w:r>
        <w:r w:rsidR="00F96D28">
          <w:rPr>
            <w:webHidden/>
          </w:rPr>
          <w:fldChar w:fldCharType="separate"/>
        </w:r>
        <w:r w:rsidR="00F96D28">
          <w:rPr>
            <w:webHidden/>
          </w:rPr>
          <w:t>122</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15" w:history="1">
        <w:r w:rsidR="00F96D28" w:rsidRPr="00107CFA">
          <w:rPr>
            <w:rStyle w:val="Hyperlink"/>
            <w:rFonts w:ascii="Times New Roman" w:hAnsi="Times New Roman"/>
          </w:rPr>
          <w:t>3.5.1.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_Toc524014715 \h </w:instrText>
        </w:r>
        <w:r w:rsidR="00F96D28">
          <w:rPr>
            <w:webHidden/>
          </w:rPr>
        </w:r>
        <w:r w:rsidR="00F96D28">
          <w:rPr>
            <w:webHidden/>
          </w:rPr>
          <w:fldChar w:fldCharType="separate"/>
        </w:r>
        <w:r w:rsidR="00F96D28">
          <w:rPr>
            <w:webHidden/>
          </w:rPr>
          <w:t>122</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16" w:history="1">
        <w:r w:rsidR="00F96D28" w:rsidRPr="00107CFA">
          <w:rPr>
            <w:rStyle w:val="Hyperlink"/>
            <w:rFonts w:ascii="Times New Roman" w:hAnsi="Times New Roman"/>
          </w:rPr>
          <w:t>3.5.2.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 (mind a CR EQU IRB 1, mind a CR EQU IRB 2 táblára alkalmazandó)</w:t>
        </w:r>
        <w:r w:rsidR="00F96D28">
          <w:rPr>
            <w:webHidden/>
          </w:rPr>
          <w:tab/>
        </w:r>
        <w:r w:rsidR="00F96D28">
          <w:rPr>
            <w:webHidden/>
          </w:rPr>
          <w:fldChar w:fldCharType="begin"/>
        </w:r>
        <w:r w:rsidR="00F96D28">
          <w:rPr>
            <w:webHidden/>
          </w:rPr>
          <w:instrText xml:space="preserve"> PAGEREF _Toc524014716 \h </w:instrText>
        </w:r>
        <w:r w:rsidR="00F96D28">
          <w:rPr>
            <w:webHidden/>
          </w:rPr>
        </w:r>
        <w:r w:rsidR="00F96D28">
          <w:rPr>
            <w:webHidden/>
          </w:rPr>
          <w:fldChar w:fldCharType="separate"/>
        </w:r>
        <w:r w:rsidR="00F96D28">
          <w:rPr>
            <w:webHidden/>
          </w:rPr>
          <w:t>123</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17" w:history="1">
        <w:r w:rsidR="00F96D28" w:rsidRPr="00107CFA">
          <w:rPr>
            <w:rStyle w:val="Hyperlink"/>
            <w:rFonts w:ascii="Times New Roman" w:hAnsi="Times New Roman"/>
          </w:rPr>
          <w:t>3.6.</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11.00 – Elszámolási/teljesítési kockázat (CR SETT)</w:t>
        </w:r>
        <w:r w:rsidR="00F96D28">
          <w:rPr>
            <w:webHidden/>
          </w:rPr>
          <w:tab/>
        </w:r>
        <w:r w:rsidR="00F96D28">
          <w:rPr>
            <w:webHidden/>
          </w:rPr>
          <w:fldChar w:fldCharType="begin"/>
        </w:r>
        <w:r w:rsidR="00F96D28">
          <w:rPr>
            <w:webHidden/>
          </w:rPr>
          <w:instrText xml:space="preserve"> PAGEREF _Toc524014717 \h </w:instrText>
        </w:r>
        <w:r w:rsidR="00F96D28">
          <w:rPr>
            <w:webHidden/>
          </w:rPr>
        </w:r>
        <w:r w:rsidR="00F96D28">
          <w:rPr>
            <w:webHidden/>
          </w:rPr>
          <w:fldChar w:fldCharType="separate"/>
        </w:r>
        <w:r w:rsidR="00F96D28">
          <w:rPr>
            <w:webHidden/>
          </w:rPr>
          <w:t>127</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18" w:history="1">
        <w:r w:rsidR="00F96D28" w:rsidRPr="00107CFA">
          <w:rPr>
            <w:rStyle w:val="Hyperlink"/>
            <w:rFonts w:ascii="Times New Roman" w:hAnsi="Times New Roman"/>
          </w:rPr>
          <w:t>3.6.1.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_Toc524014718 \h </w:instrText>
        </w:r>
        <w:r w:rsidR="00F96D28">
          <w:rPr>
            <w:webHidden/>
          </w:rPr>
        </w:r>
        <w:r w:rsidR="00F96D28">
          <w:rPr>
            <w:webHidden/>
          </w:rPr>
          <w:fldChar w:fldCharType="separate"/>
        </w:r>
        <w:r w:rsidR="00F96D28">
          <w:rPr>
            <w:webHidden/>
          </w:rPr>
          <w:t>127</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19" w:history="1">
        <w:r w:rsidR="00F96D28" w:rsidRPr="00107CFA">
          <w:rPr>
            <w:rStyle w:val="Hyperlink"/>
            <w:rFonts w:ascii="Times New Roman" w:hAnsi="Times New Roman"/>
          </w:rPr>
          <w:t>3.6.2.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_Toc524014719 \h </w:instrText>
        </w:r>
        <w:r w:rsidR="00F96D28">
          <w:rPr>
            <w:webHidden/>
          </w:rPr>
        </w:r>
        <w:r w:rsidR="00F96D28">
          <w:rPr>
            <w:webHidden/>
          </w:rPr>
          <w:fldChar w:fldCharType="separate"/>
        </w:r>
        <w:r w:rsidR="00F96D28">
          <w:rPr>
            <w:webHidden/>
          </w:rPr>
          <w:t>128</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20" w:history="1">
        <w:r w:rsidR="00F96D28" w:rsidRPr="00107CFA">
          <w:rPr>
            <w:rStyle w:val="Hyperlink"/>
            <w:rFonts w:ascii="Times New Roman" w:hAnsi="Times New Roman"/>
          </w:rPr>
          <w:t>3.7.</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12.00 – Hitelkockázat: értékpapírosítás – a sztenderd módszer szerinti szavatolótőke-követelmény (CR SEC SA)</w:t>
        </w:r>
        <w:r w:rsidR="00F96D28">
          <w:rPr>
            <w:webHidden/>
          </w:rPr>
          <w:tab/>
        </w:r>
        <w:r w:rsidR="00F96D28">
          <w:rPr>
            <w:webHidden/>
          </w:rPr>
          <w:fldChar w:fldCharType="begin"/>
        </w:r>
        <w:r w:rsidR="00F96D28">
          <w:rPr>
            <w:webHidden/>
          </w:rPr>
          <w:instrText xml:space="preserve"> PAGEREF _Toc524014720 \h </w:instrText>
        </w:r>
        <w:r w:rsidR="00F96D28">
          <w:rPr>
            <w:webHidden/>
          </w:rPr>
        </w:r>
        <w:r w:rsidR="00F96D28">
          <w:rPr>
            <w:webHidden/>
          </w:rPr>
          <w:fldChar w:fldCharType="separate"/>
        </w:r>
        <w:r w:rsidR="00F96D28">
          <w:rPr>
            <w:webHidden/>
          </w:rPr>
          <w:t>131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21" w:history="1">
        <w:r w:rsidR="00F96D28" w:rsidRPr="00107CFA">
          <w:rPr>
            <w:rStyle w:val="Hyperlink"/>
            <w:rFonts w:ascii="Times New Roman" w:hAnsi="Times New Roman"/>
          </w:rPr>
          <w:t>3.7.1.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_Toc524014721 \h </w:instrText>
        </w:r>
        <w:r w:rsidR="00F96D28">
          <w:rPr>
            <w:webHidden/>
          </w:rPr>
        </w:r>
        <w:r w:rsidR="00F96D28">
          <w:rPr>
            <w:webHidden/>
          </w:rPr>
          <w:fldChar w:fldCharType="separate"/>
        </w:r>
        <w:r w:rsidR="00F96D28">
          <w:rPr>
            <w:webHidden/>
          </w:rPr>
          <w:t>131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22" w:history="1">
        <w:r w:rsidR="00F96D28" w:rsidRPr="00107CFA">
          <w:rPr>
            <w:rStyle w:val="Hyperlink"/>
            <w:rFonts w:ascii="Times New Roman" w:hAnsi="Times New Roman"/>
          </w:rPr>
          <w:t>3.7.2.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_Toc524014722 \h </w:instrText>
        </w:r>
        <w:r w:rsidR="00F96D28">
          <w:rPr>
            <w:webHidden/>
          </w:rPr>
        </w:r>
        <w:r w:rsidR="00F96D28">
          <w:rPr>
            <w:webHidden/>
          </w:rPr>
          <w:fldChar w:fldCharType="separate"/>
        </w:r>
        <w:r w:rsidR="00F96D28">
          <w:rPr>
            <w:webHidden/>
          </w:rPr>
          <w:t>131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23" w:history="1">
        <w:r w:rsidR="00F96D28" w:rsidRPr="00107CFA">
          <w:rPr>
            <w:rStyle w:val="Hyperlink"/>
            <w:rFonts w:ascii="Times New Roman" w:hAnsi="Times New Roman"/>
          </w:rPr>
          <w:t>3.8.</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13.00 – Hitelkockázat: Értékpapírosítás – Az IRB-módszer szerinti szavatolótőke-követelmény (CR SEC IRB)</w:t>
        </w:r>
        <w:r w:rsidR="00F96D28">
          <w:rPr>
            <w:webHidden/>
          </w:rPr>
          <w:tab/>
        </w:r>
        <w:r w:rsidR="00F96D28">
          <w:rPr>
            <w:webHidden/>
          </w:rPr>
          <w:fldChar w:fldCharType="begin"/>
        </w:r>
        <w:r w:rsidR="00F96D28">
          <w:rPr>
            <w:webHidden/>
          </w:rPr>
          <w:instrText xml:space="preserve"> PAGEREF _Toc524014723 \h </w:instrText>
        </w:r>
        <w:r w:rsidR="00F96D28">
          <w:rPr>
            <w:webHidden/>
          </w:rPr>
        </w:r>
        <w:r w:rsidR="00F96D28">
          <w:rPr>
            <w:webHidden/>
          </w:rPr>
          <w:fldChar w:fldCharType="separate"/>
        </w:r>
        <w:r w:rsidR="00F96D28">
          <w:rPr>
            <w:webHidden/>
          </w:rPr>
          <w:t>141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24" w:history="1">
        <w:r w:rsidR="00F96D28" w:rsidRPr="00107CFA">
          <w:rPr>
            <w:rStyle w:val="Hyperlink"/>
            <w:rFonts w:ascii="Times New Roman" w:hAnsi="Times New Roman"/>
          </w:rPr>
          <w:t>3.8.1.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_Toc524014724 \h </w:instrText>
        </w:r>
        <w:r w:rsidR="00F96D28">
          <w:rPr>
            <w:webHidden/>
          </w:rPr>
        </w:r>
        <w:r w:rsidR="00F96D28">
          <w:rPr>
            <w:webHidden/>
          </w:rPr>
          <w:fldChar w:fldCharType="separate"/>
        </w:r>
        <w:r w:rsidR="00F96D28">
          <w:rPr>
            <w:webHidden/>
          </w:rPr>
          <w:t>141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25" w:history="1">
        <w:r w:rsidR="00F96D28" w:rsidRPr="00107CFA">
          <w:rPr>
            <w:rStyle w:val="Hyperlink"/>
            <w:rFonts w:ascii="Times New Roman" w:hAnsi="Times New Roman"/>
          </w:rPr>
          <w:t>3.8.2.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_Toc524014725 \h </w:instrText>
        </w:r>
        <w:r w:rsidR="00F96D28">
          <w:rPr>
            <w:webHidden/>
          </w:rPr>
        </w:r>
        <w:r w:rsidR="00F96D28">
          <w:rPr>
            <w:webHidden/>
          </w:rPr>
          <w:fldChar w:fldCharType="separate"/>
        </w:r>
        <w:r w:rsidR="00F96D28">
          <w:rPr>
            <w:webHidden/>
          </w:rPr>
          <w:t>141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26" w:history="1">
        <w:r w:rsidR="00F96D28" w:rsidRPr="00107CFA">
          <w:rPr>
            <w:rStyle w:val="Hyperlink"/>
            <w:rFonts w:ascii="Times New Roman" w:hAnsi="Times New Roman"/>
          </w:rPr>
          <w:t>3.9.</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14.00 – Az értékpapírosítással kapcsolatos részletes információk (SEC DETAILS)</w:t>
        </w:r>
        <w:r w:rsidR="00F96D28">
          <w:rPr>
            <w:webHidden/>
          </w:rPr>
          <w:tab/>
        </w:r>
        <w:r w:rsidR="00F96D28">
          <w:rPr>
            <w:webHidden/>
          </w:rPr>
          <w:fldChar w:fldCharType="begin"/>
        </w:r>
        <w:r w:rsidR="00F96D28">
          <w:rPr>
            <w:webHidden/>
          </w:rPr>
          <w:instrText xml:space="preserve"> PAGEREF _Toc524014726 \h </w:instrText>
        </w:r>
        <w:r w:rsidR="00F96D28">
          <w:rPr>
            <w:webHidden/>
          </w:rPr>
        </w:r>
        <w:r w:rsidR="00F96D28">
          <w:rPr>
            <w:webHidden/>
          </w:rPr>
          <w:fldChar w:fldCharType="separate"/>
        </w:r>
        <w:r w:rsidR="00F96D28">
          <w:rPr>
            <w:webHidden/>
          </w:rPr>
          <w:t>151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27" w:history="1">
        <w:r w:rsidR="00F96D28" w:rsidRPr="00107CFA">
          <w:rPr>
            <w:rStyle w:val="Hyperlink"/>
            <w:rFonts w:ascii="Times New Roman" w:hAnsi="Times New Roman"/>
          </w:rPr>
          <w:t>3.9.1.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_Toc524014727 \h </w:instrText>
        </w:r>
        <w:r w:rsidR="00F96D28">
          <w:rPr>
            <w:webHidden/>
          </w:rPr>
        </w:r>
        <w:r w:rsidR="00F96D28">
          <w:rPr>
            <w:webHidden/>
          </w:rPr>
          <w:fldChar w:fldCharType="separate"/>
        </w:r>
        <w:r w:rsidR="00F96D28">
          <w:rPr>
            <w:webHidden/>
          </w:rPr>
          <w:t>151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28" w:history="1">
        <w:r w:rsidR="00F96D28" w:rsidRPr="00107CFA">
          <w:rPr>
            <w:rStyle w:val="Hyperlink"/>
            <w:rFonts w:ascii="Times New Roman" w:hAnsi="Times New Roman"/>
          </w:rPr>
          <w:t>3.9.2.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_Toc524014728 \h </w:instrText>
        </w:r>
        <w:r w:rsidR="00F96D28">
          <w:rPr>
            <w:webHidden/>
          </w:rPr>
        </w:r>
        <w:r w:rsidR="00F96D28">
          <w:rPr>
            <w:webHidden/>
          </w:rPr>
          <w:fldChar w:fldCharType="separate"/>
        </w:r>
        <w:r w:rsidR="00F96D28">
          <w:rPr>
            <w:webHidden/>
          </w:rPr>
          <w:t>152</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29" w:history="1">
        <w:r w:rsidR="00F96D28" w:rsidRPr="00107CFA">
          <w:rPr>
            <w:rStyle w:val="Hyperlink"/>
            <w:rFonts w:ascii="Times New Roman" w:hAnsi="Times New Roman"/>
          </w:rPr>
          <w:t>4.</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Működési kockázati táblacsoport</w:t>
        </w:r>
        <w:r w:rsidR="00F96D28">
          <w:rPr>
            <w:webHidden/>
          </w:rPr>
          <w:tab/>
        </w:r>
        <w:r w:rsidR="00F96D28">
          <w:rPr>
            <w:webHidden/>
          </w:rPr>
          <w:fldChar w:fldCharType="begin"/>
        </w:r>
        <w:r w:rsidR="00F96D28">
          <w:rPr>
            <w:webHidden/>
          </w:rPr>
          <w:instrText xml:space="preserve"> PAGEREF _Toc524014729 \h </w:instrText>
        </w:r>
        <w:r w:rsidR="00F96D28">
          <w:rPr>
            <w:webHidden/>
          </w:rPr>
        </w:r>
        <w:r w:rsidR="00F96D28">
          <w:rPr>
            <w:webHidden/>
          </w:rPr>
          <w:fldChar w:fldCharType="separate"/>
        </w:r>
        <w:r w:rsidR="00F96D28">
          <w:rPr>
            <w:webHidden/>
          </w:rPr>
          <w:t>165</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30" w:history="1">
        <w:r w:rsidR="00F96D28" w:rsidRPr="00107CFA">
          <w:rPr>
            <w:rStyle w:val="Hyperlink"/>
            <w:rFonts w:ascii="Times New Roman" w:hAnsi="Times New Roman"/>
          </w:rPr>
          <w:t>4.1.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Pr>
          <w:t xml:space="preserve"> </w:t>
        </w:r>
        <w:r w:rsidR="00F96D28" w:rsidRPr="00107CFA">
          <w:rPr>
            <w:rStyle w:val="Hyperlink"/>
            <w:rFonts w:ascii="Times New Roman" w:hAnsi="Times New Roman"/>
          </w:rPr>
          <w:t>C 16.00 – Működési kockázat (OPR)</w:t>
        </w:r>
        <w:r w:rsidR="00F96D28">
          <w:rPr>
            <w:webHidden/>
          </w:rPr>
          <w:tab/>
        </w:r>
        <w:r w:rsidR="00F96D28">
          <w:rPr>
            <w:webHidden/>
          </w:rPr>
          <w:fldChar w:fldCharType="begin"/>
        </w:r>
        <w:r w:rsidR="00F96D28">
          <w:rPr>
            <w:webHidden/>
          </w:rPr>
          <w:instrText xml:space="preserve"> PAGEREF _Toc524014730 \h </w:instrText>
        </w:r>
        <w:r w:rsidR="00F96D28">
          <w:rPr>
            <w:webHidden/>
          </w:rPr>
        </w:r>
        <w:r w:rsidR="00F96D28">
          <w:rPr>
            <w:webHidden/>
          </w:rPr>
          <w:fldChar w:fldCharType="separate"/>
        </w:r>
        <w:r w:rsidR="00F96D28">
          <w:rPr>
            <w:webHidden/>
          </w:rPr>
          <w:t>165</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31" w:history="1">
        <w:r w:rsidR="00F96D28" w:rsidRPr="00107CFA">
          <w:rPr>
            <w:rStyle w:val="Hyperlink"/>
            <w:rFonts w:ascii="Times New Roman" w:hAnsi="Times New Roman"/>
          </w:rPr>
          <w:t>4.1.1.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_Toc524014731 \h </w:instrText>
        </w:r>
        <w:r w:rsidR="00F96D28">
          <w:rPr>
            <w:webHidden/>
          </w:rPr>
        </w:r>
        <w:r w:rsidR="00F96D28">
          <w:rPr>
            <w:webHidden/>
          </w:rPr>
          <w:fldChar w:fldCharType="separate"/>
        </w:r>
        <w:r w:rsidR="00F96D28">
          <w:rPr>
            <w:webHidden/>
          </w:rPr>
          <w:t>165</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32" w:history="1">
        <w:r w:rsidR="00F96D28" w:rsidRPr="00107CFA">
          <w:rPr>
            <w:rStyle w:val="Hyperlink"/>
            <w:rFonts w:ascii="Times New Roman" w:hAnsi="Times New Roman"/>
          </w:rPr>
          <w:t>4.1.2.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_Toc524014732 \h </w:instrText>
        </w:r>
        <w:r w:rsidR="00F96D28">
          <w:rPr>
            <w:webHidden/>
          </w:rPr>
        </w:r>
        <w:r w:rsidR="00F96D28">
          <w:rPr>
            <w:webHidden/>
          </w:rPr>
          <w:fldChar w:fldCharType="separate"/>
        </w:r>
        <w:r w:rsidR="00F96D28">
          <w:rPr>
            <w:webHidden/>
          </w:rPr>
          <w:t>166</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33" w:history="1">
        <w:r w:rsidR="00F96D28" w:rsidRPr="00107CFA">
          <w:rPr>
            <w:rStyle w:val="Hyperlink"/>
            <w:rFonts w:ascii="Times New Roman" w:hAnsi="Times New Roman"/>
          </w:rPr>
          <w:t>4.2.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Működési kockázat: Az előző évi veszteségekre vonatkozó részletes információk (OPR DEATILS)</w:t>
        </w:r>
        <w:r w:rsidR="00F96D28">
          <w:rPr>
            <w:webHidden/>
          </w:rPr>
          <w:tab/>
        </w:r>
        <w:r w:rsidR="00F96D28">
          <w:rPr>
            <w:webHidden/>
          </w:rPr>
          <w:fldChar w:fldCharType="begin"/>
        </w:r>
        <w:r w:rsidR="00F96D28">
          <w:rPr>
            <w:webHidden/>
          </w:rPr>
          <w:instrText xml:space="preserve"> PAGEREF _Toc524014733 \h </w:instrText>
        </w:r>
        <w:r w:rsidR="00F96D28">
          <w:rPr>
            <w:webHidden/>
          </w:rPr>
        </w:r>
        <w:r w:rsidR="00F96D28">
          <w:rPr>
            <w:webHidden/>
          </w:rPr>
          <w:fldChar w:fldCharType="separate"/>
        </w:r>
        <w:r w:rsidR="00F96D28">
          <w:rPr>
            <w:webHidden/>
          </w:rPr>
          <w:t>170</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34" w:history="1">
        <w:r w:rsidR="00F96D28" w:rsidRPr="00107CFA">
          <w:rPr>
            <w:rStyle w:val="Hyperlink"/>
            <w:rFonts w:ascii="Times New Roman" w:hAnsi="Times New Roman"/>
          </w:rPr>
          <w:t>4.2.1.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_Toc524014734 \h </w:instrText>
        </w:r>
        <w:r w:rsidR="00F96D28">
          <w:rPr>
            <w:webHidden/>
          </w:rPr>
        </w:r>
        <w:r w:rsidR="00F96D28">
          <w:rPr>
            <w:webHidden/>
          </w:rPr>
          <w:fldChar w:fldCharType="separate"/>
        </w:r>
        <w:r w:rsidR="00F96D28">
          <w:rPr>
            <w:webHidden/>
          </w:rPr>
          <w:t>170</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35" w:history="1">
        <w:r w:rsidR="00F96D28" w:rsidRPr="00107CFA">
          <w:rPr>
            <w:rStyle w:val="Hyperlink"/>
            <w:rFonts w:ascii="Times New Roman" w:hAnsi="Times New Roman"/>
          </w:rPr>
          <w:t>4.2.2.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17.01: Működési kockázat: Az előző évi veszteségek és megtérült veszteségek üzletáganként és eseménytípusonként (OPR DETAILS 1)</w:t>
        </w:r>
        <w:r w:rsidR="00F96D28">
          <w:rPr>
            <w:webHidden/>
          </w:rPr>
          <w:tab/>
        </w:r>
        <w:r w:rsidR="00F96D28">
          <w:rPr>
            <w:webHidden/>
          </w:rPr>
          <w:fldChar w:fldCharType="begin"/>
        </w:r>
        <w:r w:rsidR="00F96D28">
          <w:rPr>
            <w:webHidden/>
          </w:rPr>
          <w:instrText xml:space="preserve"> PAGEREF _Toc524014735 \h </w:instrText>
        </w:r>
        <w:r w:rsidR="00F96D28">
          <w:rPr>
            <w:webHidden/>
          </w:rPr>
        </w:r>
        <w:r w:rsidR="00F96D28">
          <w:rPr>
            <w:webHidden/>
          </w:rPr>
          <w:fldChar w:fldCharType="separate"/>
        </w:r>
        <w:r w:rsidR="00F96D28">
          <w:rPr>
            <w:webHidden/>
          </w:rPr>
          <w:t>171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36" w:history="1">
        <w:r w:rsidR="00F96D28" w:rsidRPr="00107CFA">
          <w:rPr>
            <w:rStyle w:val="Hyperlink"/>
            <w:rFonts w:ascii="Times New Roman" w:hAnsi="Times New Roman"/>
          </w:rPr>
          <w:t>4.2.2.1.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_Toc524014736 \h </w:instrText>
        </w:r>
        <w:r w:rsidR="00F96D28">
          <w:rPr>
            <w:webHidden/>
          </w:rPr>
        </w:r>
        <w:r w:rsidR="00F96D28">
          <w:rPr>
            <w:webHidden/>
          </w:rPr>
          <w:fldChar w:fldCharType="separate"/>
        </w:r>
        <w:r w:rsidR="00F96D28">
          <w:rPr>
            <w:webHidden/>
          </w:rPr>
          <w:t>171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37" w:history="1">
        <w:r w:rsidR="00F96D28" w:rsidRPr="00107CFA">
          <w:rPr>
            <w:rStyle w:val="Hyperlink"/>
            <w:rFonts w:ascii="Times New Roman" w:hAnsi="Times New Roman"/>
          </w:rPr>
          <w:t>4.2.2.2.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_Toc524014737 \h </w:instrText>
        </w:r>
        <w:r w:rsidR="00F96D28">
          <w:rPr>
            <w:webHidden/>
          </w:rPr>
        </w:r>
        <w:r w:rsidR="00F96D28">
          <w:rPr>
            <w:webHidden/>
          </w:rPr>
          <w:fldChar w:fldCharType="separate"/>
        </w:r>
        <w:r w:rsidR="00F96D28">
          <w:rPr>
            <w:webHidden/>
          </w:rPr>
          <w:t>172</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38" w:history="1">
        <w:r w:rsidR="00F96D28" w:rsidRPr="00107CFA">
          <w:rPr>
            <w:rStyle w:val="Hyperlink"/>
            <w:rFonts w:ascii="Times New Roman" w:hAnsi="Times New Roman"/>
          </w:rPr>
          <w:t>4.2.3.</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17.02: Működési kockázat: Az utolsó évi nagy veszteségeseményekre vonatkozó részletes információk (OPR DETAILS 2)</w:t>
        </w:r>
        <w:r w:rsidR="00F96D28">
          <w:rPr>
            <w:webHidden/>
          </w:rPr>
          <w:tab/>
        </w:r>
        <w:r w:rsidR="00F96D28">
          <w:rPr>
            <w:webHidden/>
          </w:rPr>
          <w:fldChar w:fldCharType="begin"/>
        </w:r>
        <w:r w:rsidR="00F96D28">
          <w:rPr>
            <w:webHidden/>
          </w:rPr>
          <w:instrText xml:space="preserve"> PAGEREF _Toc524014738 \h </w:instrText>
        </w:r>
        <w:r w:rsidR="00F96D28">
          <w:rPr>
            <w:webHidden/>
          </w:rPr>
        </w:r>
        <w:r w:rsidR="00F96D28">
          <w:rPr>
            <w:webHidden/>
          </w:rPr>
          <w:fldChar w:fldCharType="separate"/>
        </w:r>
        <w:r w:rsidR="00F96D28">
          <w:rPr>
            <w:webHidden/>
          </w:rPr>
          <w:t>178</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39" w:history="1">
        <w:r w:rsidR="00F96D28" w:rsidRPr="00107CFA">
          <w:rPr>
            <w:rStyle w:val="Hyperlink"/>
            <w:rFonts w:ascii="Times New Roman" w:hAnsi="Times New Roman"/>
          </w:rPr>
          <w:t>4.2.3.1.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_Toc524014739 \h </w:instrText>
        </w:r>
        <w:r w:rsidR="00F96D28">
          <w:rPr>
            <w:webHidden/>
          </w:rPr>
        </w:r>
        <w:r w:rsidR="00F96D28">
          <w:rPr>
            <w:webHidden/>
          </w:rPr>
          <w:fldChar w:fldCharType="separate"/>
        </w:r>
        <w:r w:rsidR="00F96D28">
          <w:rPr>
            <w:webHidden/>
          </w:rPr>
          <w:t>178</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40" w:history="1">
        <w:r w:rsidR="00F96D28" w:rsidRPr="00107CFA">
          <w:rPr>
            <w:rStyle w:val="Hyperlink"/>
            <w:rFonts w:ascii="Times New Roman" w:hAnsi="Times New Roman"/>
          </w:rPr>
          <w:t>4.2.3.2.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_Toc524014740 \h </w:instrText>
        </w:r>
        <w:r w:rsidR="00F96D28">
          <w:rPr>
            <w:webHidden/>
          </w:rPr>
        </w:r>
        <w:r w:rsidR="00F96D28">
          <w:rPr>
            <w:webHidden/>
          </w:rPr>
          <w:fldChar w:fldCharType="separate"/>
        </w:r>
        <w:r w:rsidR="00F96D28">
          <w:rPr>
            <w:webHidden/>
          </w:rPr>
          <w:t>179</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41" w:history="1">
        <w:r w:rsidR="00F96D28" w:rsidRPr="00107CFA">
          <w:rPr>
            <w:rStyle w:val="Hyperlink"/>
            <w:rFonts w:ascii="Times New Roman" w:hAnsi="Times New Roman"/>
          </w:rPr>
          <w:t>5.</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Piaci kockázati táblacsoport</w:t>
        </w:r>
        <w:r w:rsidR="00F96D28">
          <w:rPr>
            <w:webHidden/>
          </w:rPr>
          <w:tab/>
        </w:r>
        <w:r w:rsidR="00F96D28">
          <w:rPr>
            <w:webHidden/>
          </w:rPr>
          <w:fldChar w:fldCharType="begin"/>
        </w:r>
        <w:r w:rsidR="00F96D28">
          <w:rPr>
            <w:webHidden/>
          </w:rPr>
          <w:instrText xml:space="preserve"> PAGEREF _Toc524014741 \h </w:instrText>
        </w:r>
        <w:r w:rsidR="00F96D28">
          <w:rPr>
            <w:webHidden/>
          </w:rPr>
        </w:r>
        <w:r w:rsidR="00F96D28">
          <w:rPr>
            <w:webHidden/>
          </w:rPr>
          <w:fldChar w:fldCharType="separate"/>
        </w:r>
        <w:r w:rsidR="00F96D28">
          <w:rPr>
            <w:webHidden/>
          </w:rPr>
          <w:t>181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42" w:history="1">
        <w:r w:rsidR="00F96D28" w:rsidRPr="00107CFA">
          <w:rPr>
            <w:rStyle w:val="Hyperlink"/>
            <w:rFonts w:ascii="Times New Roman" w:hAnsi="Times New Roman"/>
          </w:rPr>
          <w:t>5.1.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18.00 – Piaci kockázat: A forgalmazott, hitelviszonyt megtestesítő értékpapírok pozíciókockázatának sztenderd módszere (MKR SA TDI)</w:t>
        </w:r>
        <w:r w:rsidR="00F96D28">
          <w:rPr>
            <w:webHidden/>
          </w:rPr>
          <w:tab/>
        </w:r>
        <w:r w:rsidR="00F96D28">
          <w:rPr>
            <w:webHidden/>
          </w:rPr>
          <w:fldChar w:fldCharType="begin"/>
        </w:r>
        <w:r w:rsidR="00F96D28">
          <w:rPr>
            <w:webHidden/>
          </w:rPr>
          <w:instrText xml:space="preserve"> PAGEREF _Toc524014742 \h </w:instrText>
        </w:r>
        <w:r w:rsidR="00F96D28">
          <w:rPr>
            <w:webHidden/>
          </w:rPr>
        </w:r>
        <w:r w:rsidR="00F96D28">
          <w:rPr>
            <w:webHidden/>
          </w:rPr>
          <w:fldChar w:fldCharType="separate"/>
        </w:r>
        <w:r w:rsidR="00F96D28">
          <w:rPr>
            <w:webHidden/>
          </w:rPr>
          <w:t>181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43" w:history="1">
        <w:r w:rsidR="00F96D28" w:rsidRPr="00107CFA">
          <w:rPr>
            <w:rStyle w:val="Hyperlink"/>
            <w:rFonts w:ascii="Times New Roman" w:hAnsi="Times New Roman"/>
          </w:rPr>
          <w:t>5.1.1.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_Toc524014743 \h </w:instrText>
        </w:r>
        <w:r w:rsidR="00F96D28">
          <w:rPr>
            <w:webHidden/>
          </w:rPr>
        </w:r>
        <w:r w:rsidR="00F96D28">
          <w:rPr>
            <w:webHidden/>
          </w:rPr>
          <w:fldChar w:fldCharType="separate"/>
        </w:r>
        <w:r w:rsidR="00F96D28">
          <w:rPr>
            <w:webHidden/>
          </w:rPr>
          <w:t>181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44" w:history="1">
        <w:r w:rsidR="00F96D28" w:rsidRPr="00107CFA">
          <w:rPr>
            <w:rStyle w:val="Hyperlink"/>
            <w:rFonts w:ascii="Times New Roman" w:hAnsi="Times New Roman"/>
          </w:rPr>
          <w:t>5.1.2.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_Toc524014744 \h </w:instrText>
        </w:r>
        <w:r w:rsidR="00F96D28">
          <w:rPr>
            <w:webHidden/>
          </w:rPr>
        </w:r>
        <w:r w:rsidR="00F96D28">
          <w:rPr>
            <w:webHidden/>
          </w:rPr>
          <w:fldChar w:fldCharType="separate"/>
        </w:r>
        <w:r w:rsidR="00F96D28">
          <w:rPr>
            <w:webHidden/>
          </w:rPr>
          <w:t>181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45" w:history="1">
        <w:r w:rsidR="00F96D28" w:rsidRPr="00107CFA">
          <w:rPr>
            <w:rStyle w:val="Hyperlink"/>
            <w:rFonts w:ascii="Times New Roman" w:hAnsi="Times New Roman"/>
          </w:rPr>
          <w:t>5.2.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19.00 – PIACI KOCKÁZAT: AZ ÉRTÉKPAPÍROSÍTÁSOK EGYEDI KOCKÁZATÁNAK SZTENDERD MÓDSZERE (MKR SA SEC)</w:t>
        </w:r>
        <w:r w:rsidR="00F96D28">
          <w:rPr>
            <w:webHidden/>
          </w:rPr>
          <w:tab/>
        </w:r>
        <w:r w:rsidR="00F96D28">
          <w:rPr>
            <w:webHidden/>
          </w:rPr>
          <w:fldChar w:fldCharType="begin"/>
        </w:r>
        <w:r w:rsidR="00F96D28">
          <w:rPr>
            <w:webHidden/>
          </w:rPr>
          <w:instrText xml:space="preserve"> PAGEREF _Toc524014745 \h </w:instrText>
        </w:r>
        <w:r w:rsidR="00F96D28">
          <w:rPr>
            <w:webHidden/>
          </w:rPr>
        </w:r>
        <w:r w:rsidR="00F96D28">
          <w:rPr>
            <w:webHidden/>
          </w:rPr>
          <w:fldChar w:fldCharType="separate"/>
        </w:r>
        <w:r w:rsidR="00F96D28">
          <w:rPr>
            <w:webHidden/>
          </w:rPr>
          <w:t>184</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46" w:history="1">
        <w:r w:rsidR="00F96D28" w:rsidRPr="00107CFA">
          <w:rPr>
            <w:rStyle w:val="Hyperlink"/>
            <w:rFonts w:ascii="Times New Roman" w:hAnsi="Times New Roman"/>
          </w:rPr>
          <w:t>5.2.1.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_Toc524014746 \h </w:instrText>
        </w:r>
        <w:r w:rsidR="00F96D28">
          <w:rPr>
            <w:webHidden/>
          </w:rPr>
        </w:r>
        <w:r w:rsidR="00F96D28">
          <w:rPr>
            <w:webHidden/>
          </w:rPr>
          <w:fldChar w:fldCharType="separate"/>
        </w:r>
        <w:r w:rsidR="00F96D28">
          <w:rPr>
            <w:webHidden/>
          </w:rPr>
          <w:t>184</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47" w:history="1">
        <w:r w:rsidR="00F96D28" w:rsidRPr="00107CFA">
          <w:rPr>
            <w:rStyle w:val="Hyperlink"/>
            <w:rFonts w:ascii="Times New Roman" w:hAnsi="Times New Roman"/>
          </w:rPr>
          <w:t>5.2.2.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_Toc524014747 \h </w:instrText>
        </w:r>
        <w:r w:rsidR="00F96D28">
          <w:rPr>
            <w:webHidden/>
          </w:rPr>
        </w:r>
        <w:r w:rsidR="00F96D28">
          <w:rPr>
            <w:webHidden/>
          </w:rPr>
          <w:fldChar w:fldCharType="separate"/>
        </w:r>
        <w:r w:rsidR="00F96D28">
          <w:rPr>
            <w:webHidden/>
          </w:rPr>
          <w:t>185</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48" w:history="1">
        <w:r w:rsidR="00F96D28" w:rsidRPr="00107CFA">
          <w:rPr>
            <w:rStyle w:val="Hyperlink"/>
            <w:rFonts w:ascii="Times New Roman" w:hAnsi="Times New Roman"/>
          </w:rPr>
          <w:t>5.3.</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20.00 – PIACI KOCKÁZAT: A KORRELÁCIÓKERESKEDÉSI PORTFÓLIÓBA SOROLT POZÍCIÓK EGYEDI KOCKÁZATÁNAK SZTENDERD MÓDSZERE (MKR SA CTP)</w:t>
        </w:r>
        <w:r w:rsidR="00F96D28">
          <w:rPr>
            <w:webHidden/>
          </w:rPr>
          <w:tab/>
        </w:r>
        <w:r w:rsidR="00F96D28">
          <w:rPr>
            <w:webHidden/>
          </w:rPr>
          <w:fldChar w:fldCharType="begin"/>
        </w:r>
        <w:r w:rsidR="00F96D28">
          <w:rPr>
            <w:webHidden/>
          </w:rPr>
          <w:instrText xml:space="preserve"> PAGEREF _Toc524014748 \h </w:instrText>
        </w:r>
        <w:r w:rsidR="00F96D28">
          <w:rPr>
            <w:webHidden/>
          </w:rPr>
        </w:r>
        <w:r w:rsidR="00F96D28">
          <w:rPr>
            <w:webHidden/>
          </w:rPr>
          <w:fldChar w:fldCharType="separate"/>
        </w:r>
        <w:r w:rsidR="00F96D28">
          <w:rPr>
            <w:webHidden/>
          </w:rPr>
          <w:t>188</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49" w:history="1">
        <w:r w:rsidR="00F96D28" w:rsidRPr="00107CFA">
          <w:rPr>
            <w:rStyle w:val="Hyperlink"/>
            <w:rFonts w:ascii="Times New Roman" w:hAnsi="Times New Roman"/>
          </w:rPr>
          <w:t>5.3.1.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_Toc524014749 \h </w:instrText>
        </w:r>
        <w:r w:rsidR="00F96D28">
          <w:rPr>
            <w:webHidden/>
          </w:rPr>
        </w:r>
        <w:r w:rsidR="00F96D28">
          <w:rPr>
            <w:webHidden/>
          </w:rPr>
          <w:fldChar w:fldCharType="separate"/>
        </w:r>
        <w:r w:rsidR="00F96D28">
          <w:rPr>
            <w:webHidden/>
          </w:rPr>
          <w:t>188</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50" w:history="1">
        <w:r w:rsidR="00F96D28" w:rsidRPr="00107CFA">
          <w:rPr>
            <w:rStyle w:val="Hyperlink"/>
            <w:rFonts w:ascii="Times New Roman" w:hAnsi="Times New Roman"/>
          </w:rPr>
          <w:t>5.3.2.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_Toc524014750 \h </w:instrText>
        </w:r>
        <w:r w:rsidR="00F96D28">
          <w:rPr>
            <w:webHidden/>
          </w:rPr>
        </w:r>
        <w:r w:rsidR="00F96D28">
          <w:rPr>
            <w:webHidden/>
          </w:rPr>
          <w:fldChar w:fldCharType="separate"/>
        </w:r>
        <w:r w:rsidR="00F96D28">
          <w:rPr>
            <w:webHidden/>
          </w:rPr>
          <w:t>188</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51" w:history="1">
        <w:r w:rsidR="00F96D28" w:rsidRPr="00107CFA">
          <w:rPr>
            <w:rStyle w:val="Hyperlink"/>
            <w:rFonts w:ascii="Times New Roman" w:hAnsi="Times New Roman"/>
          </w:rPr>
          <w:t>5.4.</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21.00 – Piaci kockázat: Az értékpapírosítások egyedi kockázatának sztenderd módszere (MKR SA SEC)</w:t>
        </w:r>
        <w:r w:rsidR="00F96D28">
          <w:rPr>
            <w:webHidden/>
          </w:rPr>
          <w:tab/>
        </w:r>
        <w:r w:rsidR="00F96D28">
          <w:rPr>
            <w:webHidden/>
          </w:rPr>
          <w:fldChar w:fldCharType="begin"/>
        </w:r>
        <w:r w:rsidR="00F96D28">
          <w:rPr>
            <w:webHidden/>
          </w:rPr>
          <w:instrText xml:space="preserve"> PAGEREF _Toc524014751 \h </w:instrText>
        </w:r>
        <w:r w:rsidR="00F96D28">
          <w:rPr>
            <w:webHidden/>
          </w:rPr>
        </w:r>
        <w:r w:rsidR="00F96D28">
          <w:rPr>
            <w:webHidden/>
          </w:rPr>
          <w:fldChar w:fldCharType="separate"/>
        </w:r>
        <w:r w:rsidR="00F96D28">
          <w:rPr>
            <w:webHidden/>
          </w:rPr>
          <w:t>191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52" w:history="1">
        <w:r w:rsidR="00F96D28" w:rsidRPr="00107CFA">
          <w:rPr>
            <w:rStyle w:val="Hyperlink"/>
            <w:rFonts w:ascii="Times New Roman" w:hAnsi="Times New Roman"/>
          </w:rPr>
          <w:t>5.4.1.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_Toc524014752 \h </w:instrText>
        </w:r>
        <w:r w:rsidR="00F96D28">
          <w:rPr>
            <w:webHidden/>
          </w:rPr>
        </w:r>
        <w:r w:rsidR="00F96D28">
          <w:rPr>
            <w:webHidden/>
          </w:rPr>
          <w:fldChar w:fldCharType="separate"/>
        </w:r>
        <w:r w:rsidR="00F96D28">
          <w:rPr>
            <w:webHidden/>
          </w:rPr>
          <w:t>191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53" w:history="1">
        <w:r w:rsidR="00F96D28" w:rsidRPr="00107CFA">
          <w:rPr>
            <w:rStyle w:val="Hyperlink"/>
            <w:rFonts w:ascii="Times New Roman" w:hAnsi="Times New Roman"/>
          </w:rPr>
          <w:t>5.4.2.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_Toc524014753 \h </w:instrText>
        </w:r>
        <w:r w:rsidR="00F96D28">
          <w:rPr>
            <w:webHidden/>
          </w:rPr>
        </w:r>
        <w:r w:rsidR="00F96D28">
          <w:rPr>
            <w:webHidden/>
          </w:rPr>
          <w:fldChar w:fldCharType="separate"/>
        </w:r>
        <w:r w:rsidR="00F96D28">
          <w:rPr>
            <w:webHidden/>
          </w:rPr>
          <w:t>192</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54" w:history="1">
        <w:r w:rsidR="00F96D28" w:rsidRPr="00107CFA">
          <w:rPr>
            <w:rStyle w:val="Hyperlink"/>
            <w:rFonts w:ascii="Times New Roman" w:hAnsi="Times New Roman"/>
          </w:rPr>
          <w:t>5.5.</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22.00 – Piaci kockázat: A devizaárfolyam-kockázat sztenderd módszerei (MKR SA FX)</w:t>
        </w:r>
        <w:r w:rsidR="00F96D28">
          <w:rPr>
            <w:webHidden/>
          </w:rPr>
          <w:tab/>
        </w:r>
        <w:r w:rsidR="00F96D28">
          <w:rPr>
            <w:webHidden/>
          </w:rPr>
          <w:fldChar w:fldCharType="begin"/>
        </w:r>
        <w:r w:rsidR="00F96D28">
          <w:rPr>
            <w:webHidden/>
          </w:rPr>
          <w:instrText xml:space="preserve"> PAGEREF _Toc524014754 \h </w:instrText>
        </w:r>
        <w:r w:rsidR="00F96D28">
          <w:rPr>
            <w:webHidden/>
          </w:rPr>
        </w:r>
        <w:r w:rsidR="00F96D28">
          <w:rPr>
            <w:webHidden/>
          </w:rPr>
          <w:fldChar w:fldCharType="separate"/>
        </w:r>
        <w:r w:rsidR="00F96D28">
          <w:rPr>
            <w:webHidden/>
          </w:rPr>
          <w:t>194</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55" w:history="1">
        <w:r w:rsidR="00F96D28" w:rsidRPr="00107CFA">
          <w:rPr>
            <w:rStyle w:val="Hyperlink"/>
            <w:rFonts w:ascii="Times New Roman" w:hAnsi="Times New Roman"/>
          </w:rPr>
          <w:t>5.5.1.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_Toc524014755 \h </w:instrText>
        </w:r>
        <w:r w:rsidR="00F96D28">
          <w:rPr>
            <w:webHidden/>
          </w:rPr>
        </w:r>
        <w:r w:rsidR="00F96D28">
          <w:rPr>
            <w:webHidden/>
          </w:rPr>
          <w:fldChar w:fldCharType="separate"/>
        </w:r>
        <w:r w:rsidR="00F96D28">
          <w:rPr>
            <w:webHidden/>
          </w:rPr>
          <w:t>194</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56" w:history="1">
        <w:r w:rsidR="00F96D28" w:rsidRPr="00107CFA">
          <w:rPr>
            <w:rStyle w:val="Hyperlink"/>
            <w:rFonts w:ascii="Times New Roman" w:hAnsi="Times New Roman"/>
          </w:rPr>
          <w:t>5.5.2.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_Toc524014756 \h </w:instrText>
        </w:r>
        <w:r w:rsidR="00F96D28">
          <w:rPr>
            <w:webHidden/>
          </w:rPr>
        </w:r>
        <w:r w:rsidR="00F96D28">
          <w:rPr>
            <w:webHidden/>
          </w:rPr>
          <w:fldChar w:fldCharType="separate"/>
        </w:r>
        <w:r w:rsidR="00F96D28">
          <w:rPr>
            <w:webHidden/>
          </w:rPr>
          <w:t>194</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57" w:history="1">
        <w:r w:rsidR="00F96D28" w:rsidRPr="00107CFA">
          <w:rPr>
            <w:rStyle w:val="Hyperlink"/>
            <w:rFonts w:ascii="Times New Roman" w:hAnsi="Times New Roman"/>
          </w:rPr>
          <w:t>5.6.</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23.00 – Piaci kockázat: Az árupozíciók sztenderd módszerei (MKR SA COM)</w:t>
        </w:r>
        <w:r w:rsidR="00F96D28">
          <w:rPr>
            <w:webHidden/>
          </w:rPr>
          <w:tab/>
        </w:r>
        <w:r w:rsidR="00F96D28">
          <w:rPr>
            <w:webHidden/>
          </w:rPr>
          <w:fldChar w:fldCharType="begin"/>
        </w:r>
        <w:r w:rsidR="00F96D28">
          <w:rPr>
            <w:webHidden/>
          </w:rPr>
          <w:instrText xml:space="preserve"> PAGEREF _Toc524014757 \h </w:instrText>
        </w:r>
        <w:r w:rsidR="00F96D28">
          <w:rPr>
            <w:webHidden/>
          </w:rPr>
        </w:r>
        <w:r w:rsidR="00F96D28">
          <w:rPr>
            <w:webHidden/>
          </w:rPr>
          <w:fldChar w:fldCharType="separate"/>
        </w:r>
        <w:r w:rsidR="00F96D28">
          <w:rPr>
            <w:webHidden/>
          </w:rPr>
          <w:t>197</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58" w:history="1">
        <w:r w:rsidR="00F96D28" w:rsidRPr="00107CFA">
          <w:rPr>
            <w:rStyle w:val="Hyperlink"/>
            <w:rFonts w:ascii="Times New Roman" w:hAnsi="Times New Roman"/>
          </w:rPr>
          <w:t>5.6.1.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_Toc524014758 \h </w:instrText>
        </w:r>
        <w:r w:rsidR="00F96D28">
          <w:rPr>
            <w:webHidden/>
          </w:rPr>
        </w:r>
        <w:r w:rsidR="00F96D28">
          <w:rPr>
            <w:webHidden/>
          </w:rPr>
          <w:fldChar w:fldCharType="separate"/>
        </w:r>
        <w:r w:rsidR="00F96D28">
          <w:rPr>
            <w:webHidden/>
          </w:rPr>
          <w:t>197</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59" w:history="1">
        <w:r w:rsidR="00F96D28" w:rsidRPr="00107CFA">
          <w:rPr>
            <w:rStyle w:val="Hyperlink"/>
            <w:rFonts w:ascii="Times New Roman" w:hAnsi="Times New Roman"/>
          </w:rPr>
          <w:t>5.6.2.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_Toc524014759 \h </w:instrText>
        </w:r>
        <w:r w:rsidR="00F96D28">
          <w:rPr>
            <w:webHidden/>
          </w:rPr>
        </w:r>
        <w:r w:rsidR="00F96D28">
          <w:rPr>
            <w:webHidden/>
          </w:rPr>
          <w:fldChar w:fldCharType="separate"/>
        </w:r>
        <w:r w:rsidR="00F96D28">
          <w:rPr>
            <w:webHidden/>
          </w:rPr>
          <w:t>197</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60" w:history="1">
        <w:r w:rsidR="00F96D28" w:rsidRPr="00107CFA">
          <w:rPr>
            <w:rStyle w:val="Hyperlink"/>
            <w:rFonts w:ascii="Times New Roman" w:hAnsi="Times New Roman"/>
          </w:rPr>
          <w:t>5.7.</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24.00 – Piaci kockázat: Belső modellek (MKR IM)</w:t>
        </w:r>
        <w:r w:rsidR="00F96D28">
          <w:rPr>
            <w:webHidden/>
          </w:rPr>
          <w:tab/>
        </w:r>
        <w:r w:rsidR="00F96D28">
          <w:rPr>
            <w:webHidden/>
          </w:rPr>
          <w:fldChar w:fldCharType="begin"/>
        </w:r>
        <w:r w:rsidR="00F96D28">
          <w:rPr>
            <w:webHidden/>
          </w:rPr>
          <w:instrText xml:space="preserve"> PAGEREF _Toc524014760 \h </w:instrText>
        </w:r>
        <w:r w:rsidR="00F96D28">
          <w:rPr>
            <w:webHidden/>
          </w:rPr>
        </w:r>
        <w:r w:rsidR="00F96D28">
          <w:rPr>
            <w:webHidden/>
          </w:rPr>
          <w:fldChar w:fldCharType="separate"/>
        </w:r>
        <w:r w:rsidR="00F96D28">
          <w:rPr>
            <w:webHidden/>
          </w:rPr>
          <w:t>198</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61" w:history="1">
        <w:r w:rsidR="00F96D28" w:rsidRPr="00107CFA">
          <w:rPr>
            <w:rStyle w:val="Hyperlink"/>
            <w:rFonts w:ascii="Times New Roman" w:hAnsi="Times New Roman"/>
          </w:rPr>
          <w:t>5.7.1.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_Toc524014761 \h </w:instrText>
        </w:r>
        <w:r w:rsidR="00F96D28">
          <w:rPr>
            <w:webHidden/>
          </w:rPr>
        </w:r>
        <w:r w:rsidR="00F96D28">
          <w:rPr>
            <w:webHidden/>
          </w:rPr>
          <w:fldChar w:fldCharType="separate"/>
        </w:r>
        <w:r w:rsidR="00F96D28">
          <w:rPr>
            <w:webHidden/>
          </w:rPr>
          <w:t>198</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62" w:history="1">
        <w:r w:rsidR="00F96D28" w:rsidRPr="00107CFA">
          <w:rPr>
            <w:rStyle w:val="Hyperlink"/>
            <w:rFonts w:ascii="Times New Roman" w:hAnsi="Times New Roman"/>
          </w:rPr>
          <w:t>5.7.2.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_Toc524014762 \h </w:instrText>
        </w:r>
        <w:r w:rsidR="00F96D28">
          <w:rPr>
            <w:webHidden/>
          </w:rPr>
        </w:r>
        <w:r w:rsidR="00F96D28">
          <w:rPr>
            <w:webHidden/>
          </w:rPr>
          <w:fldChar w:fldCharType="separate"/>
        </w:r>
        <w:r w:rsidR="00F96D28">
          <w:rPr>
            <w:webHidden/>
          </w:rPr>
          <w:t>199</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63" w:history="1">
        <w:r w:rsidR="00F96D28" w:rsidRPr="00107CFA">
          <w:rPr>
            <w:rStyle w:val="Hyperlink"/>
            <w:rFonts w:ascii="Times New Roman" w:hAnsi="Times New Roman"/>
          </w:rPr>
          <w:t>5.8.</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25.00 – HITELÉRTÉKELÉSI KORREKCIÓK KOCKÁZATA (CVA)</w:t>
        </w:r>
        <w:r w:rsidR="00F96D28">
          <w:rPr>
            <w:webHidden/>
          </w:rPr>
          <w:tab/>
        </w:r>
        <w:r w:rsidR="00F96D28">
          <w:rPr>
            <w:webHidden/>
          </w:rPr>
          <w:fldChar w:fldCharType="begin"/>
        </w:r>
        <w:r w:rsidR="00F96D28">
          <w:rPr>
            <w:webHidden/>
          </w:rPr>
          <w:instrText xml:space="preserve"> PAGEREF _Toc524014763 \h </w:instrText>
        </w:r>
        <w:r w:rsidR="00F96D28">
          <w:rPr>
            <w:webHidden/>
          </w:rPr>
        </w:r>
        <w:r w:rsidR="00F96D28">
          <w:rPr>
            <w:webHidden/>
          </w:rPr>
          <w:fldChar w:fldCharType="separate"/>
        </w:r>
        <w:r w:rsidR="00F96D28">
          <w:rPr>
            <w:webHidden/>
          </w:rPr>
          <w:t>202</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64" w:history="1">
        <w:r w:rsidR="00F96D28" w:rsidRPr="00107CFA">
          <w:rPr>
            <w:rStyle w:val="Hyperlink"/>
            <w:rFonts w:ascii="Times New Roman" w:hAnsi="Times New Roman"/>
          </w:rPr>
          <w:t>5.8.1.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_Toc524014764 \h </w:instrText>
        </w:r>
        <w:r w:rsidR="00F96D28">
          <w:rPr>
            <w:webHidden/>
          </w:rPr>
        </w:r>
        <w:r w:rsidR="00F96D28">
          <w:rPr>
            <w:webHidden/>
          </w:rPr>
          <w:fldChar w:fldCharType="separate"/>
        </w:r>
        <w:r w:rsidR="00F96D28">
          <w:rPr>
            <w:webHidden/>
          </w:rPr>
          <w:t>202</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65" w:history="1">
        <w:r w:rsidR="00F96D28" w:rsidRPr="00107CFA">
          <w:rPr>
            <w:rStyle w:val="Hyperlink"/>
            <w:rFonts w:ascii="Times New Roman" w:hAnsi="Times New Roman"/>
          </w:rPr>
          <w:t>6.</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Prudens értékelés (PruVal)</w:t>
        </w:r>
        <w:r w:rsidR="00F96D28">
          <w:rPr>
            <w:webHidden/>
          </w:rPr>
          <w:tab/>
        </w:r>
        <w:r w:rsidR="00F96D28">
          <w:rPr>
            <w:webHidden/>
          </w:rPr>
          <w:fldChar w:fldCharType="begin"/>
        </w:r>
        <w:r w:rsidR="00F96D28">
          <w:rPr>
            <w:webHidden/>
          </w:rPr>
          <w:instrText xml:space="preserve"> PAGEREF _Toc524014765 \h </w:instrText>
        </w:r>
        <w:r w:rsidR="00F96D28">
          <w:rPr>
            <w:webHidden/>
          </w:rPr>
        </w:r>
        <w:r w:rsidR="00F96D28">
          <w:rPr>
            <w:webHidden/>
          </w:rPr>
          <w:fldChar w:fldCharType="separate"/>
        </w:r>
        <w:r w:rsidR="00F96D28">
          <w:rPr>
            <w:webHidden/>
          </w:rPr>
          <w:t>204</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66" w:history="1">
        <w:r w:rsidR="00F96D28" w:rsidRPr="00107CFA">
          <w:rPr>
            <w:rStyle w:val="Hyperlink"/>
            <w:rFonts w:ascii="Times New Roman" w:hAnsi="Times New Roman"/>
          </w:rPr>
          <w:t>6.1.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32.01 – Prudens értékelés: Valós értéken értékelt eszközök és kötelezettségek (PruVal 1)</w:t>
        </w:r>
        <w:r w:rsidR="00F96D28">
          <w:rPr>
            <w:webHidden/>
          </w:rPr>
          <w:tab/>
        </w:r>
        <w:r w:rsidR="00F96D28">
          <w:rPr>
            <w:webHidden/>
          </w:rPr>
          <w:fldChar w:fldCharType="begin"/>
        </w:r>
        <w:r w:rsidR="00F96D28">
          <w:rPr>
            <w:webHidden/>
          </w:rPr>
          <w:instrText xml:space="preserve"> PAGEREF _Toc524014766 \h </w:instrText>
        </w:r>
        <w:r w:rsidR="00F96D28">
          <w:rPr>
            <w:webHidden/>
          </w:rPr>
        </w:r>
        <w:r w:rsidR="00F96D28">
          <w:rPr>
            <w:webHidden/>
          </w:rPr>
          <w:fldChar w:fldCharType="separate"/>
        </w:r>
        <w:r w:rsidR="00F96D28">
          <w:rPr>
            <w:webHidden/>
          </w:rPr>
          <w:t>204</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67" w:history="1">
        <w:r w:rsidR="00F96D28" w:rsidRPr="00107CFA">
          <w:rPr>
            <w:rStyle w:val="Hyperlink"/>
            <w:rFonts w:ascii="Times New Roman" w:hAnsi="Times New Roman"/>
          </w:rPr>
          <w:t>6.1.1.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_Toc524014767 \h </w:instrText>
        </w:r>
        <w:r w:rsidR="00F96D28">
          <w:rPr>
            <w:webHidden/>
          </w:rPr>
        </w:r>
        <w:r w:rsidR="00F96D28">
          <w:rPr>
            <w:webHidden/>
          </w:rPr>
          <w:fldChar w:fldCharType="separate"/>
        </w:r>
        <w:r w:rsidR="00F96D28">
          <w:rPr>
            <w:webHidden/>
          </w:rPr>
          <w:t>204</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68" w:history="1">
        <w:r w:rsidR="00F96D28" w:rsidRPr="00107CFA">
          <w:rPr>
            <w:rStyle w:val="Hyperlink"/>
            <w:rFonts w:ascii="Times New Roman" w:hAnsi="Times New Roman"/>
          </w:rPr>
          <w:t>6.1.2.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_Toc524014768 \h </w:instrText>
        </w:r>
        <w:r w:rsidR="00F96D28">
          <w:rPr>
            <w:webHidden/>
          </w:rPr>
        </w:r>
        <w:r w:rsidR="00F96D28">
          <w:rPr>
            <w:webHidden/>
          </w:rPr>
          <w:fldChar w:fldCharType="separate"/>
        </w:r>
        <w:r w:rsidR="00F96D28">
          <w:rPr>
            <w:webHidden/>
          </w:rPr>
          <w:t>205</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69" w:history="1">
        <w:r w:rsidR="00F96D28" w:rsidRPr="00107CFA">
          <w:rPr>
            <w:rStyle w:val="Hyperlink"/>
            <w:rFonts w:ascii="Times New Roman" w:hAnsi="Times New Roman"/>
          </w:rPr>
          <w:t>6.2.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32.02 – Prudens értékelés: Alapvető módszer (PruVal 2)</w:t>
        </w:r>
        <w:r w:rsidR="00F96D28">
          <w:rPr>
            <w:webHidden/>
          </w:rPr>
          <w:tab/>
        </w:r>
        <w:r w:rsidR="00F96D28">
          <w:rPr>
            <w:webHidden/>
          </w:rPr>
          <w:fldChar w:fldCharType="begin"/>
        </w:r>
        <w:r w:rsidR="00F96D28">
          <w:rPr>
            <w:webHidden/>
          </w:rPr>
          <w:instrText xml:space="preserve"> PAGEREF _Toc524014769 \h </w:instrText>
        </w:r>
        <w:r w:rsidR="00F96D28">
          <w:rPr>
            <w:webHidden/>
          </w:rPr>
        </w:r>
        <w:r w:rsidR="00F96D28">
          <w:rPr>
            <w:webHidden/>
          </w:rPr>
          <w:fldChar w:fldCharType="separate"/>
        </w:r>
        <w:r w:rsidR="00F96D28">
          <w:rPr>
            <w:webHidden/>
          </w:rPr>
          <w:t>210</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70" w:history="1">
        <w:r w:rsidR="00F96D28" w:rsidRPr="00107CFA">
          <w:rPr>
            <w:rStyle w:val="Hyperlink"/>
            <w:rFonts w:ascii="Times New Roman" w:hAnsi="Times New Roman"/>
          </w:rPr>
          <w:t>6.2.1.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_Toc524014770 \h </w:instrText>
        </w:r>
        <w:r w:rsidR="00F96D28">
          <w:rPr>
            <w:webHidden/>
          </w:rPr>
        </w:r>
        <w:r w:rsidR="00F96D28">
          <w:rPr>
            <w:webHidden/>
          </w:rPr>
          <w:fldChar w:fldCharType="separate"/>
        </w:r>
        <w:r w:rsidR="00F96D28">
          <w:rPr>
            <w:webHidden/>
          </w:rPr>
          <w:t>210</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71" w:history="1">
        <w:r w:rsidR="00F96D28" w:rsidRPr="00107CFA">
          <w:rPr>
            <w:rStyle w:val="Hyperlink"/>
            <w:rFonts w:ascii="Times New Roman" w:hAnsi="Times New Roman"/>
          </w:rPr>
          <w:t>6.2.2.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_Toc524014771 \h </w:instrText>
        </w:r>
        <w:r w:rsidR="00F96D28">
          <w:rPr>
            <w:webHidden/>
          </w:rPr>
        </w:r>
        <w:r w:rsidR="00F96D28">
          <w:rPr>
            <w:webHidden/>
          </w:rPr>
          <w:fldChar w:fldCharType="separate"/>
        </w:r>
        <w:r w:rsidR="00F96D28">
          <w:rPr>
            <w:webHidden/>
          </w:rPr>
          <w:t>210</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72" w:history="1">
        <w:r w:rsidR="00F96D28" w:rsidRPr="00107CFA">
          <w:rPr>
            <w:rStyle w:val="Hyperlink"/>
            <w:rFonts w:ascii="Times New Roman" w:hAnsi="Times New Roman"/>
          </w:rPr>
          <w:t>6.3. C 32.03 – Prudens értékelés: Modellkockázat kiegészítő értékelési korrekciója (PruVal 3)</w:t>
        </w:r>
        <w:r w:rsidR="00F96D28">
          <w:rPr>
            <w:webHidden/>
          </w:rPr>
          <w:tab/>
        </w:r>
        <w:r w:rsidR="00F96D28">
          <w:rPr>
            <w:webHidden/>
          </w:rPr>
          <w:fldChar w:fldCharType="begin"/>
        </w:r>
        <w:r w:rsidR="00F96D28">
          <w:rPr>
            <w:webHidden/>
          </w:rPr>
          <w:instrText xml:space="preserve"> PAGEREF _Toc524014772 \h </w:instrText>
        </w:r>
        <w:r w:rsidR="00F96D28">
          <w:rPr>
            <w:webHidden/>
          </w:rPr>
        </w:r>
        <w:r w:rsidR="00F96D28">
          <w:rPr>
            <w:webHidden/>
          </w:rPr>
          <w:fldChar w:fldCharType="separate"/>
        </w:r>
        <w:r w:rsidR="00F96D28">
          <w:rPr>
            <w:webHidden/>
          </w:rPr>
          <w:t>221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73" w:history="1">
        <w:r w:rsidR="00F96D28" w:rsidRPr="00107CFA">
          <w:rPr>
            <w:rStyle w:val="Hyperlink"/>
            <w:rFonts w:ascii="Times New Roman" w:hAnsi="Times New Roman"/>
          </w:rPr>
          <w:t>6.3.1.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_Toc524014773 \h </w:instrText>
        </w:r>
        <w:r w:rsidR="00F96D28">
          <w:rPr>
            <w:webHidden/>
          </w:rPr>
        </w:r>
        <w:r w:rsidR="00F96D28">
          <w:rPr>
            <w:webHidden/>
          </w:rPr>
          <w:fldChar w:fldCharType="separate"/>
        </w:r>
        <w:r w:rsidR="00F96D28">
          <w:rPr>
            <w:webHidden/>
          </w:rPr>
          <w:t>221</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74" w:history="1">
        <w:r w:rsidR="00F96D28" w:rsidRPr="00107CFA">
          <w:rPr>
            <w:rStyle w:val="Hyperlink"/>
            <w:rFonts w:ascii="Times New Roman" w:hAnsi="Times New Roman"/>
          </w:rPr>
          <w:t>6.3.2.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_Toc524014774 \h </w:instrText>
        </w:r>
        <w:r w:rsidR="00F96D28">
          <w:rPr>
            <w:webHidden/>
          </w:rPr>
        </w:r>
        <w:r w:rsidR="00F96D28">
          <w:rPr>
            <w:webHidden/>
          </w:rPr>
          <w:fldChar w:fldCharType="separate"/>
        </w:r>
        <w:r w:rsidR="00F96D28">
          <w:rPr>
            <w:webHidden/>
          </w:rPr>
          <w:t>222</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75" w:history="1">
        <w:r w:rsidR="00F96D28" w:rsidRPr="00107CFA">
          <w:rPr>
            <w:rStyle w:val="Hyperlink"/>
            <w:rFonts w:ascii="Times New Roman" w:hAnsi="Times New Roman"/>
          </w:rPr>
          <w:t>6.4. C 32.04 – Prudens értékelés: koncentrált pozíciók kiegészítő értékelési korrekciója (PruVal 4)</w:t>
        </w:r>
        <w:r w:rsidR="00F96D28">
          <w:rPr>
            <w:webHidden/>
          </w:rPr>
          <w:tab/>
        </w:r>
        <w:r w:rsidR="00F96D28">
          <w:rPr>
            <w:webHidden/>
          </w:rPr>
          <w:fldChar w:fldCharType="begin"/>
        </w:r>
        <w:r w:rsidR="00F96D28">
          <w:rPr>
            <w:webHidden/>
          </w:rPr>
          <w:instrText xml:space="preserve"> PAGEREF _Toc524014775 \h </w:instrText>
        </w:r>
        <w:r w:rsidR="00F96D28">
          <w:rPr>
            <w:webHidden/>
          </w:rPr>
        </w:r>
        <w:r w:rsidR="00F96D28">
          <w:rPr>
            <w:webHidden/>
          </w:rPr>
          <w:fldChar w:fldCharType="separate"/>
        </w:r>
        <w:r w:rsidR="00F96D28">
          <w:rPr>
            <w:webHidden/>
          </w:rPr>
          <w:t>225</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76" w:history="1">
        <w:r w:rsidR="00F96D28" w:rsidRPr="00107CFA">
          <w:rPr>
            <w:rStyle w:val="Hyperlink"/>
            <w:rFonts w:ascii="Times New Roman" w:hAnsi="Times New Roman"/>
          </w:rPr>
          <w:t>6.4.1.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_Toc524014776 \h </w:instrText>
        </w:r>
        <w:r w:rsidR="00F96D28">
          <w:rPr>
            <w:webHidden/>
          </w:rPr>
        </w:r>
        <w:r w:rsidR="00F96D28">
          <w:rPr>
            <w:webHidden/>
          </w:rPr>
          <w:fldChar w:fldCharType="separate"/>
        </w:r>
        <w:r w:rsidR="00F96D28">
          <w:rPr>
            <w:webHidden/>
          </w:rPr>
          <w:t>225</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77" w:history="1">
        <w:r w:rsidR="00F96D28" w:rsidRPr="00107CFA">
          <w:rPr>
            <w:rStyle w:val="Hyperlink"/>
            <w:rFonts w:ascii="Times New Roman" w:hAnsi="Times New Roman"/>
          </w:rPr>
          <w:t>6.4.2.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_Toc524014777 \h </w:instrText>
        </w:r>
        <w:r w:rsidR="00F96D28">
          <w:rPr>
            <w:webHidden/>
          </w:rPr>
        </w:r>
        <w:r w:rsidR="00F96D28">
          <w:rPr>
            <w:webHidden/>
          </w:rPr>
          <w:fldChar w:fldCharType="separate"/>
        </w:r>
        <w:r w:rsidR="00F96D28">
          <w:rPr>
            <w:webHidden/>
          </w:rPr>
          <w:t>225</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78" w:history="1">
        <w:r w:rsidR="00F96D28" w:rsidRPr="00107CFA">
          <w:rPr>
            <w:rStyle w:val="Hyperlink"/>
            <w:rFonts w:ascii="Times New Roman" w:hAnsi="Times New Roman"/>
          </w:rPr>
          <w:t>7.</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C 33.00 – Államháztartásokkal szembeni kitettségek (GOV)</w:t>
        </w:r>
        <w:r w:rsidR="00F96D28">
          <w:rPr>
            <w:webHidden/>
          </w:rPr>
          <w:tab/>
        </w:r>
        <w:r w:rsidR="00F96D28">
          <w:rPr>
            <w:webHidden/>
          </w:rPr>
          <w:fldChar w:fldCharType="begin"/>
        </w:r>
        <w:r w:rsidR="00F96D28">
          <w:rPr>
            <w:webHidden/>
          </w:rPr>
          <w:instrText xml:space="preserve"> PAGEREF _Toc524014778 \h </w:instrText>
        </w:r>
        <w:r w:rsidR="00F96D28">
          <w:rPr>
            <w:webHidden/>
          </w:rPr>
        </w:r>
        <w:r w:rsidR="00F96D28">
          <w:rPr>
            <w:webHidden/>
          </w:rPr>
          <w:fldChar w:fldCharType="separate"/>
        </w:r>
        <w:r w:rsidR="00F96D28">
          <w:rPr>
            <w:webHidden/>
          </w:rPr>
          <w:t>227</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79" w:history="1">
        <w:r w:rsidR="00F96D28" w:rsidRPr="00107CFA">
          <w:rPr>
            <w:rStyle w:val="Hyperlink"/>
            <w:rFonts w:ascii="Times New Roman" w:hAnsi="Times New Roman"/>
          </w:rPr>
          <w:t>7.1.</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Általános megjegyzések</w:t>
        </w:r>
        <w:r w:rsidR="00F96D28">
          <w:rPr>
            <w:webHidden/>
          </w:rPr>
          <w:tab/>
        </w:r>
        <w:r w:rsidR="00F96D28">
          <w:rPr>
            <w:webHidden/>
          </w:rPr>
          <w:fldChar w:fldCharType="begin"/>
        </w:r>
        <w:r w:rsidR="00F96D28">
          <w:rPr>
            <w:webHidden/>
          </w:rPr>
          <w:instrText xml:space="preserve"> PAGEREF _Toc524014779 \h </w:instrText>
        </w:r>
        <w:r w:rsidR="00F96D28">
          <w:rPr>
            <w:webHidden/>
          </w:rPr>
        </w:r>
        <w:r w:rsidR="00F96D28">
          <w:rPr>
            <w:webHidden/>
          </w:rPr>
          <w:fldChar w:fldCharType="separate"/>
        </w:r>
        <w:r w:rsidR="00F96D28">
          <w:rPr>
            <w:webHidden/>
          </w:rPr>
          <w:t>227</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80" w:history="1">
        <w:r w:rsidR="00F96D28" w:rsidRPr="00107CFA">
          <w:rPr>
            <w:rStyle w:val="Hyperlink"/>
            <w:rFonts w:ascii="Times New Roman" w:hAnsi="Times New Roman"/>
          </w:rPr>
          <w:t>7.2.</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Az államháztartásokkal szembeni kitettségek tábla alkalmazási köre</w:t>
        </w:r>
        <w:r w:rsidR="00F96D28">
          <w:rPr>
            <w:webHidden/>
          </w:rPr>
          <w:tab/>
        </w:r>
        <w:r w:rsidR="00F96D28">
          <w:rPr>
            <w:webHidden/>
          </w:rPr>
          <w:fldChar w:fldCharType="begin"/>
        </w:r>
        <w:r w:rsidR="00F96D28">
          <w:rPr>
            <w:webHidden/>
          </w:rPr>
          <w:instrText xml:space="preserve"> PAGEREF _Toc524014780 \h </w:instrText>
        </w:r>
        <w:r w:rsidR="00F96D28">
          <w:rPr>
            <w:webHidden/>
          </w:rPr>
        </w:r>
        <w:r w:rsidR="00F96D28">
          <w:rPr>
            <w:webHidden/>
          </w:rPr>
          <w:fldChar w:fldCharType="separate"/>
        </w:r>
        <w:r w:rsidR="00F96D28">
          <w:rPr>
            <w:webHidden/>
          </w:rPr>
          <w:t>228</w:t>
        </w:r>
        <w:r w:rsidR="00F96D28">
          <w:rPr>
            <w:webHidden/>
          </w:rPr>
          <w:fldChar w:fldCharType="end"/>
        </w:r>
      </w:hyperlink>
    </w:p>
    <w:p w:rsidR="00F96D28" w:rsidRDefault="00657AC4">
      <w:pPr>
        <w:pStyle w:val="TOC2"/>
        <w:rPr>
          <w:rFonts w:asciiTheme="minorHAnsi" w:eastAsiaTheme="minorEastAsia" w:hAnsiTheme="minorHAnsi" w:cstheme="minorBidi"/>
          <w:b w:val="0"/>
          <w:smallCaps w:val="0"/>
          <w:sz w:val="22"/>
          <w:lang w:val="en-GB" w:eastAsia="en-GB" w:bidi="ar-SA"/>
        </w:rPr>
      </w:pPr>
      <w:hyperlink w:anchor="_Toc524014781" w:history="1">
        <w:r w:rsidR="00F96D28" w:rsidRPr="00107CFA">
          <w:rPr>
            <w:rStyle w:val="Hyperlink"/>
            <w:rFonts w:ascii="Times New Roman" w:hAnsi="Times New Roman"/>
          </w:rPr>
          <w:t>7.3.</w:t>
        </w:r>
        <w:r w:rsidR="00F96D28">
          <w:rPr>
            <w:rFonts w:asciiTheme="minorHAnsi" w:eastAsiaTheme="minorEastAsia" w:hAnsiTheme="minorHAnsi" w:cstheme="minorBidi"/>
            <w:b w:val="0"/>
            <w:smallCaps w:val="0"/>
            <w:sz w:val="22"/>
            <w:lang w:val="en-GB" w:eastAsia="en-GB" w:bidi="ar-SA"/>
          </w:rPr>
          <w:tab/>
        </w:r>
        <w:r w:rsidR="00F96D28" w:rsidRPr="00107CFA">
          <w:rPr>
            <w:rStyle w:val="Hyperlink"/>
            <w:rFonts w:ascii="Times New Roman" w:hAnsi="Times New Roman"/>
          </w:rPr>
          <w:t>A tábla egyes részeire vonatkozó útmutató</w:t>
        </w:r>
        <w:r w:rsidR="00F96D28">
          <w:rPr>
            <w:webHidden/>
          </w:rPr>
          <w:tab/>
        </w:r>
        <w:r w:rsidR="00F96D28">
          <w:rPr>
            <w:webHidden/>
          </w:rPr>
          <w:fldChar w:fldCharType="begin"/>
        </w:r>
        <w:r w:rsidR="00F96D28">
          <w:rPr>
            <w:webHidden/>
          </w:rPr>
          <w:instrText xml:space="preserve"> PAGEREF _Toc524014781 \h </w:instrText>
        </w:r>
        <w:r w:rsidR="00F96D28">
          <w:rPr>
            <w:webHidden/>
          </w:rPr>
        </w:r>
        <w:r w:rsidR="00F96D28">
          <w:rPr>
            <w:webHidden/>
          </w:rPr>
          <w:fldChar w:fldCharType="separate"/>
        </w:r>
        <w:r w:rsidR="00F96D28">
          <w:rPr>
            <w:webHidden/>
          </w:rPr>
          <w:t>228</w:t>
        </w:r>
        <w:r w:rsidR="00F96D28">
          <w:rPr>
            <w:webHidden/>
          </w:rPr>
          <w:fldChar w:fldCharType="end"/>
        </w:r>
      </w:hyperlink>
    </w:p>
    <w:p w:rsidR="00077515" w:rsidRDefault="00F96D28">
      <w:pPr>
        <w:rPr>
          <w:rFonts w:asciiTheme="minorHAnsi" w:eastAsiaTheme="minorEastAsia" w:hAnsiTheme="minorHAnsi" w:cstheme="minorBidi"/>
          <w:sz w:val="22"/>
        </w:rPr>
        <w:sectPr w:rsidR="00077515" w:rsidSect="004D4419">
          <w:headerReference w:type="default" r:id="rId9"/>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392FFD" w:rsidRDefault="007B4FD3" w:rsidP="00EC5046">
      <w:pPr>
        <w:rPr>
          <w:rFonts w:ascii="Times New Roman" w:hAnsi="Times New Roman"/>
          <w:sz w:val="24"/>
        </w:rPr>
      </w:pPr>
    </w:p>
    <w:p w:rsidR="002648B0" w:rsidRPr="00392FFD" w:rsidRDefault="002648B0" w:rsidP="00D64B66">
      <w:pPr>
        <w:pStyle w:val="Heading2"/>
        <w:rPr>
          <w:rFonts w:ascii="Times New Roman" w:hAnsi="Times New Roman"/>
        </w:rPr>
      </w:pPr>
      <w:bookmarkStart w:id="2" w:name="_Toc264038394"/>
      <w:bookmarkStart w:id="3" w:name="_Toc360188317"/>
      <w:bookmarkStart w:id="4" w:name="_Toc516210599"/>
      <w:bookmarkStart w:id="5" w:name="_Toc473560865"/>
      <w:bookmarkStart w:id="6" w:name="_Toc524014658"/>
      <w:r>
        <w:rPr>
          <w:rFonts w:ascii="Times New Roman" w:hAnsi="Times New Roman"/>
        </w:rPr>
        <w:t>I. RÉSZ:</w:t>
      </w:r>
      <w:bookmarkEnd w:id="2"/>
      <w:r>
        <w:rPr>
          <w:rFonts w:ascii="Times New Roman" w:hAnsi="Times New Roman"/>
        </w:rPr>
        <w:t xml:space="preserve"> ÁLTALÁNOS ÚTMUTATÓ</w:t>
      </w:r>
      <w:bookmarkEnd w:id="3"/>
      <w:bookmarkEnd w:id="4"/>
      <w:bookmarkEnd w:id="5"/>
      <w:bookmarkEnd w:id="6"/>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516210600"/>
      <w:bookmarkStart w:id="9" w:name="_Toc473560866"/>
      <w:bookmarkStart w:id="10" w:name="_Toc524014659"/>
      <w:r>
        <w:rPr>
          <w:rFonts w:ascii="Times New Roman" w:hAnsi="Times New Roman"/>
          <w:sz w:val="24"/>
          <w:u w:val="none"/>
        </w:rPr>
        <w:t>1.</w:t>
      </w:r>
      <w:r w:rsidRPr="00110DF5">
        <w:rPr>
          <w:u w:val="none"/>
        </w:rPr>
        <w:tab/>
      </w:r>
      <w:r>
        <w:rPr>
          <w:rFonts w:ascii="Times New Roman" w:hAnsi="Times New Roman"/>
          <w:sz w:val="24"/>
          <w:u w:val="none"/>
        </w:rPr>
        <w:t>Felépítés és szabályok</w:t>
      </w:r>
      <w:bookmarkEnd w:id="7"/>
      <w:bookmarkEnd w:id="8"/>
      <w:bookmarkEnd w:id="9"/>
      <w:bookmarkEnd w:id="10"/>
    </w:p>
    <w:p w:rsidR="002648B0" w:rsidRPr="00392FFD" w:rsidRDefault="00125707" w:rsidP="00304CA5">
      <w:pPr>
        <w:pStyle w:val="Instructionsberschrift2"/>
        <w:numPr>
          <w:ilvl w:val="0"/>
          <w:numId w:val="0"/>
        </w:numPr>
        <w:ind w:left="357" w:hanging="357"/>
        <w:rPr>
          <w:rFonts w:ascii="Times New Roman" w:hAnsi="Times New Roman" w:cs="Times New Roman"/>
          <w:sz w:val="24"/>
          <w:u w:val="none"/>
        </w:rPr>
      </w:pPr>
      <w:bookmarkStart w:id="11" w:name="_Toc360188319"/>
      <w:bookmarkStart w:id="12" w:name="_Toc516210601"/>
      <w:bookmarkStart w:id="13" w:name="_Toc473560867"/>
      <w:bookmarkStart w:id="14" w:name="_Toc524014660"/>
      <w:bookmarkStart w:id="15" w:name="_Toc264038399"/>
      <w:bookmarkStart w:id="16" w:name="_Toc294018834"/>
      <w:r>
        <w:rPr>
          <w:rFonts w:ascii="Times New Roman" w:hAnsi="Times New Roman"/>
          <w:sz w:val="24"/>
          <w:u w:val="none"/>
        </w:rPr>
        <w:t>1.1.</w:t>
      </w:r>
      <w:r w:rsidRPr="00110DF5">
        <w:rPr>
          <w:u w:val="none"/>
        </w:rPr>
        <w:tab/>
      </w:r>
      <w:r>
        <w:rPr>
          <w:rFonts w:ascii="Times New Roman" w:hAnsi="Times New Roman"/>
          <w:sz w:val="24"/>
          <w:u w:val="none"/>
        </w:rPr>
        <w:t>Felépítés</w:t>
      </w:r>
      <w:bookmarkEnd w:id="11"/>
      <w:bookmarkEnd w:id="12"/>
      <w:bookmarkEnd w:id="13"/>
      <w:bookmarkEnd w:id="14"/>
    </w:p>
    <w:p w:rsidR="002648B0" w:rsidRPr="00392FFD" w:rsidRDefault="00125707" w:rsidP="00C37B29">
      <w:pPr>
        <w:pStyle w:val="InstructionsText2"/>
        <w:numPr>
          <w:ilvl w:val="0"/>
          <w:numId w:val="0"/>
        </w:numPr>
        <w:ind w:left="993"/>
      </w:pPr>
      <w:r>
        <w:t>1.</w:t>
      </w:r>
      <w:r>
        <w:tab/>
        <w:t>Általánosságban a keretrendszer öt táblacsoportból áll:</w:t>
      </w:r>
    </w:p>
    <w:p w:rsidR="002648B0" w:rsidRPr="00392FFD" w:rsidRDefault="00125707" w:rsidP="00C37B29">
      <w:pPr>
        <w:pStyle w:val="InstructionsText2"/>
        <w:numPr>
          <w:ilvl w:val="0"/>
          <w:numId w:val="0"/>
        </w:numPr>
        <w:ind w:left="993"/>
      </w:pPr>
      <w:proofErr w:type="gramStart"/>
      <w:r>
        <w:t>a</w:t>
      </w:r>
      <w:proofErr w:type="gramEnd"/>
      <w:r>
        <w:t>)</w:t>
      </w:r>
      <w:r>
        <w:tab/>
        <w:t>tőkemegfelelés, a szavatoló tőke áttekintése; teljes kockázati kitettségérték;</w:t>
      </w:r>
    </w:p>
    <w:p w:rsidR="00436204" w:rsidRPr="00392FFD" w:rsidRDefault="00125707" w:rsidP="00C37B29">
      <w:pPr>
        <w:pStyle w:val="InstructionsText2"/>
        <w:numPr>
          <w:ilvl w:val="0"/>
          <w:numId w:val="0"/>
        </w:numPr>
        <w:ind w:left="993"/>
      </w:pPr>
      <w:r>
        <w:t>b)</w:t>
      </w:r>
      <w:r>
        <w:tab/>
        <w:t>csoportszintű szavatolótőke-megfelelés, áttekintés a tőkemegfelelési követe</w:t>
      </w:r>
      <w:r>
        <w:t>l</w:t>
      </w:r>
      <w:r>
        <w:t>ményeknek az adatszolgáltató intézmény konszolidációs körébe bevont valamennyi szervezet általi teljesítéséről;</w:t>
      </w:r>
    </w:p>
    <w:p w:rsidR="002648B0" w:rsidRPr="00392FFD" w:rsidRDefault="00125707" w:rsidP="00C37B29">
      <w:pPr>
        <w:pStyle w:val="InstructionsText2"/>
        <w:numPr>
          <w:ilvl w:val="0"/>
          <w:numId w:val="0"/>
        </w:numPr>
        <w:ind w:left="993"/>
      </w:pPr>
      <w:r>
        <w:t>c)</w:t>
      </w:r>
      <w:r>
        <w:tab/>
        <w:t>hitelkockázat (partner-, felhígulási és elszámolási kockázat);</w:t>
      </w:r>
    </w:p>
    <w:p w:rsidR="002648B0" w:rsidRPr="00392FFD" w:rsidRDefault="00125707" w:rsidP="00C37B29">
      <w:pPr>
        <w:pStyle w:val="InstructionsText2"/>
        <w:numPr>
          <w:ilvl w:val="0"/>
          <w:numId w:val="0"/>
        </w:numPr>
        <w:ind w:left="993"/>
      </w:pPr>
      <w:r>
        <w:t>d)</w:t>
      </w:r>
      <w:r>
        <w:tab/>
        <w:t>piaci kockázat (kereskedési könyvi pozíciókockázat, devizaárfolyam-kockázat, árukockázat, CVA-kockázat);</w:t>
      </w:r>
    </w:p>
    <w:p w:rsidR="002648B0" w:rsidRPr="00392FFD" w:rsidRDefault="00125707" w:rsidP="00C37B29">
      <w:pPr>
        <w:pStyle w:val="InstructionsText2"/>
        <w:numPr>
          <w:ilvl w:val="0"/>
          <w:numId w:val="0"/>
        </w:numPr>
        <w:ind w:left="993"/>
      </w:pPr>
      <w:proofErr w:type="gramStart"/>
      <w:r>
        <w:t>e</w:t>
      </w:r>
      <w:proofErr w:type="gramEnd"/>
      <w:r>
        <w:t>)</w:t>
      </w:r>
      <w:r>
        <w:tab/>
        <w:t>működési kockázat.</w:t>
      </w:r>
    </w:p>
    <w:p w:rsidR="002648B0" w:rsidRPr="00392FFD" w:rsidRDefault="00125707" w:rsidP="00C37B29">
      <w:pPr>
        <w:pStyle w:val="InstructionsText2"/>
        <w:numPr>
          <w:ilvl w:val="0"/>
          <w:numId w:val="0"/>
        </w:numPr>
        <w:ind w:left="993"/>
      </w:pPr>
      <w:r>
        <w:t>2.</w:t>
      </w:r>
      <w:r>
        <w:tab/>
        <w:t>Minden táblához biztosított a jogszabályi hivatkozás. Az egyes táblacsoportok felhasználásával történő adatközlés általános szempontjaival kapcsolatos további részletes információkat, a tábla egyes részeire vonatkozó útmutatót, valamint a validálási szabályokat a végrehajtás-technikai standard jelen része tartalmazza.</w:t>
      </w:r>
    </w:p>
    <w:p w:rsidR="005643EA" w:rsidRPr="00392FFD" w:rsidRDefault="00125707" w:rsidP="00C37B29">
      <w:pPr>
        <w:pStyle w:val="InstructionsText2"/>
        <w:numPr>
          <w:ilvl w:val="0"/>
          <w:numId w:val="0"/>
        </w:numPr>
        <w:ind w:left="993"/>
      </w:pPr>
      <w:r>
        <w:t>3.</w:t>
      </w:r>
      <w:r>
        <w:tab/>
        <w:t>Az intézményeknek kizárólag azokon a táblákon kell adatot szolgáltatniuk, amelyek a szavatolótőke-követelmények meghatározása során alkalmazott megk</w:t>
      </w:r>
      <w:r>
        <w:t>ö</w:t>
      </w:r>
      <w:r>
        <w:t>zelítés szempontjából relevánsak.</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0"/>
      <w:bookmarkStart w:id="18" w:name="_Toc516210602"/>
      <w:bookmarkStart w:id="19" w:name="_Toc473560868"/>
      <w:bookmarkStart w:id="20" w:name="_Toc524014661"/>
      <w:r>
        <w:rPr>
          <w:rFonts w:ascii="Times New Roman" w:hAnsi="Times New Roman"/>
          <w:sz w:val="24"/>
          <w:u w:val="none"/>
        </w:rPr>
        <w:t>1.2.</w:t>
      </w:r>
      <w:r w:rsidRPr="00110DF5">
        <w:rPr>
          <w:u w:val="none"/>
        </w:rPr>
        <w:tab/>
      </w:r>
      <w:r>
        <w:rPr>
          <w:rFonts w:ascii="Times New Roman" w:hAnsi="Times New Roman"/>
          <w:sz w:val="24"/>
          <w:u w:val="none"/>
        </w:rPr>
        <w:t>Számozási szabályok</w:t>
      </w:r>
      <w:bookmarkEnd w:id="17"/>
      <w:bookmarkEnd w:id="18"/>
      <w:bookmarkEnd w:id="19"/>
      <w:bookmarkEnd w:id="20"/>
    </w:p>
    <w:p w:rsidR="002648B0" w:rsidRPr="00392FFD" w:rsidRDefault="00125707" w:rsidP="00C37B29">
      <w:pPr>
        <w:pStyle w:val="InstructionsText2"/>
        <w:numPr>
          <w:ilvl w:val="0"/>
          <w:numId w:val="0"/>
        </w:numPr>
        <w:ind w:left="993"/>
      </w:pPr>
      <w:r>
        <w:t>4.</w:t>
      </w:r>
      <w:r>
        <w:tab/>
        <w:t>A táblák oszlopaira, soraira és celláira való hivatkozáskor a dokumentum a k</w:t>
      </w:r>
      <w:r>
        <w:t>ö</w:t>
      </w:r>
      <w:r>
        <w:t>vetkező táblázatban meghatározott jelölési szabályokat követi. Ezeket a numerikus kódokat kimerítően használják az ellenőrzési szabályok.</w:t>
      </w:r>
    </w:p>
    <w:p w:rsidR="005643EA" w:rsidRPr="00392FFD" w:rsidRDefault="00125707" w:rsidP="00C37B29">
      <w:pPr>
        <w:pStyle w:val="InstructionsText2"/>
        <w:numPr>
          <w:ilvl w:val="0"/>
          <w:numId w:val="0"/>
        </w:numPr>
        <w:ind w:left="993"/>
      </w:pPr>
      <w:r>
        <w:t>5.</w:t>
      </w:r>
      <w:r>
        <w:tab/>
        <w:t>Az útmutató a következő általános jelölést követi: {Tábla</w:t>
      </w:r>
      <w:proofErr w:type="gramStart"/>
      <w:r>
        <w:t>;Sor</w:t>
      </w:r>
      <w:proofErr w:type="gramEnd"/>
      <w:r>
        <w:t>;Oszlop}.</w:t>
      </w:r>
    </w:p>
    <w:p w:rsidR="002648B0" w:rsidRPr="00392FFD" w:rsidRDefault="00125707" w:rsidP="00C37B29">
      <w:pPr>
        <w:pStyle w:val="InstructionsText2"/>
        <w:numPr>
          <w:ilvl w:val="0"/>
          <w:numId w:val="0"/>
        </w:numPr>
        <w:ind w:left="993"/>
      </w:pPr>
      <w:r>
        <w:t>6.</w:t>
      </w:r>
      <w:r>
        <w:tab/>
        <w:t>Olyan táblán belüli validálás esetén, amelynél az adott táblából csak adatpo</w:t>
      </w:r>
      <w:r>
        <w:t>n</w:t>
      </w:r>
      <w:r>
        <w:t>tokat használunk, a jelölés nem hivatkozik a táblára: {Sor</w:t>
      </w:r>
      <w:proofErr w:type="gramStart"/>
      <w:r>
        <w:t>;Oszlop</w:t>
      </w:r>
      <w:proofErr w:type="gramEnd"/>
      <w:r>
        <w:t>}.</w:t>
      </w:r>
    </w:p>
    <w:p w:rsidR="005643EA" w:rsidRPr="00392FFD" w:rsidRDefault="00125707" w:rsidP="00C37B29">
      <w:pPr>
        <w:pStyle w:val="InstructionsText2"/>
        <w:numPr>
          <w:ilvl w:val="0"/>
          <w:numId w:val="0"/>
        </w:numPr>
        <w:ind w:left="993"/>
      </w:pPr>
      <w:r>
        <w:t>7.</w:t>
      </w:r>
      <w:r>
        <w:tab/>
        <w:t>Az olyan táblák esetében, amelyek csak egy oszlopot tartalmaznak, a jelölés csak a sorokra hivatkozik. {Tábla</w:t>
      </w:r>
      <w:proofErr w:type="gramStart"/>
      <w:r>
        <w:t>;Sor</w:t>
      </w:r>
      <w:proofErr w:type="gramEnd"/>
      <w:r>
        <w:t>}.</w:t>
      </w:r>
    </w:p>
    <w:p w:rsidR="002648B0" w:rsidRPr="00392FFD" w:rsidRDefault="00125707" w:rsidP="00C37B29">
      <w:pPr>
        <w:pStyle w:val="InstructionsText2"/>
        <w:numPr>
          <w:ilvl w:val="0"/>
          <w:numId w:val="0"/>
        </w:numPr>
        <w:ind w:left="993"/>
      </w:pPr>
      <w:r>
        <w:t>8.</w:t>
      </w:r>
      <w:r>
        <w:tab/>
        <w:t>Csillag jelöli, hogy a validálás a korábban meghatározott sorra vagy oszlopra megtörtént.</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21" w:name="_Toc360188321"/>
      <w:bookmarkStart w:id="22" w:name="_Toc516210603"/>
      <w:bookmarkStart w:id="23" w:name="_Toc473560869"/>
      <w:bookmarkStart w:id="24" w:name="_Toc524014662"/>
      <w:r>
        <w:rPr>
          <w:rFonts w:ascii="Times New Roman" w:hAnsi="Times New Roman"/>
          <w:sz w:val="24"/>
          <w:u w:val="none"/>
        </w:rPr>
        <w:lastRenderedPageBreak/>
        <w:t>1.3</w:t>
      </w:r>
      <w:r w:rsidRPr="00110DF5">
        <w:rPr>
          <w:rFonts w:ascii="Times New Roman" w:hAnsi="Times New Roman"/>
          <w:sz w:val="24"/>
          <w:u w:val="none"/>
        </w:rPr>
        <w:t>.</w:t>
      </w:r>
      <w:r w:rsidRPr="00110DF5">
        <w:rPr>
          <w:u w:val="none"/>
        </w:rPr>
        <w:tab/>
      </w:r>
      <w:r>
        <w:rPr>
          <w:rFonts w:ascii="Times New Roman" w:hAnsi="Times New Roman"/>
          <w:sz w:val="24"/>
          <w:u w:val="none"/>
        </w:rPr>
        <w:t>Előjelre vonatkozó szabályok</w:t>
      </w:r>
      <w:bookmarkEnd w:id="15"/>
      <w:bookmarkEnd w:id="16"/>
      <w:bookmarkEnd w:id="21"/>
      <w:bookmarkEnd w:id="22"/>
      <w:bookmarkEnd w:id="23"/>
      <w:bookmarkEnd w:id="24"/>
    </w:p>
    <w:p w:rsidR="002648B0" w:rsidRDefault="00125707" w:rsidP="00C37B29">
      <w:pPr>
        <w:pStyle w:val="InstructionsText2"/>
        <w:numPr>
          <w:ilvl w:val="0"/>
          <w:numId w:val="0"/>
        </w:numPr>
        <w:ind w:left="993"/>
      </w:pPr>
      <w:r>
        <w:t>9.</w:t>
      </w:r>
      <w:r>
        <w:tab/>
        <w:t>A szavatoló tőkét vagy a tőkekövetelményeket növelő összegeket pozitív számként kell feltüntetni. Ugyanakkor a szavatoló tőke teljes összegét vagy a tők</w:t>
      </w:r>
      <w:r>
        <w:t>e</w:t>
      </w:r>
      <w:r>
        <w:t>követelményeket csökkentő bármely összeg előjele negatív. Ha egy tétel megjelöl</w:t>
      </w:r>
      <w:r>
        <w:t>é</w:t>
      </w:r>
      <w:r>
        <w:t>se előtt mínuszjel (–) található, akkor az adott tételről nem szolgáltatható pozitív adat.</w:t>
      </w:r>
    </w:p>
    <w:p w:rsidR="00304CA5" w:rsidRPr="00392FFD" w:rsidRDefault="00304CA5" w:rsidP="00304CA5">
      <w:pPr>
        <w:pStyle w:val="Instructionsberschrift2"/>
        <w:numPr>
          <w:ilvl w:val="0"/>
          <w:numId w:val="0"/>
        </w:numPr>
        <w:ind w:left="357" w:hanging="357"/>
        <w:rPr>
          <w:rFonts w:ascii="Times New Roman" w:hAnsi="Times New Roman" w:cs="Times New Roman"/>
          <w:sz w:val="24"/>
          <w:u w:val="none"/>
        </w:rPr>
      </w:pPr>
      <w:bookmarkStart w:id="25" w:name="_Toc516210604"/>
      <w:bookmarkStart w:id="26" w:name="_Toc524014663"/>
      <w:r>
        <w:rPr>
          <w:rFonts w:ascii="Times New Roman" w:hAnsi="Times New Roman"/>
          <w:sz w:val="24"/>
          <w:u w:val="none"/>
        </w:rPr>
        <w:t>1.4.</w:t>
      </w:r>
      <w:r w:rsidRPr="00110DF5">
        <w:rPr>
          <w:u w:val="none"/>
        </w:rPr>
        <w:tab/>
      </w:r>
      <w:r>
        <w:rPr>
          <w:rFonts w:ascii="Times New Roman" w:hAnsi="Times New Roman"/>
          <w:sz w:val="24"/>
          <w:u w:val="none"/>
        </w:rPr>
        <w:t>Rövidítések</w:t>
      </w:r>
      <w:bookmarkEnd w:id="25"/>
      <w:bookmarkEnd w:id="26"/>
    </w:p>
    <w:p w:rsidR="00304CA5" w:rsidRPr="001F2830" w:rsidRDefault="00304CA5" w:rsidP="00C37B29">
      <w:pPr>
        <w:pStyle w:val="InstructionsText2"/>
        <w:numPr>
          <w:ilvl w:val="0"/>
          <w:numId w:val="0"/>
        </w:numPr>
        <w:ind w:left="993"/>
      </w:pPr>
      <w:r>
        <w:t xml:space="preserve">9a. E melléklet alkalmazásában az 575/2013/EU rendeletre „CRR”-ként, a 2013/36/EU európai parlamenti és tanácsi irányelvre </w:t>
      </w:r>
      <w:r>
        <w:rPr>
          <w:rStyle w:val="FormatvorlageInstructionsTabelleText"/>
          <w:rFonts w:ascii="Times New Roman" w:hAnsi="Times New Roman"/>
          <w:sz w:val="24"/>
        </w:rPr>
        <w:t>pedig</w:t>
      </w:r>
      <w:r>
        <w:t xml:space="preserve"> „CRD”-ként történik hivatkozás.</w:t>
      </w:r>
    </w:p>
    <w:p w:rsidR="00304CA5" w:rsidRPr="00392FFD" w:rsidRDefault="00304CA5" w:rsidP="00C37B29">
      <w:pPr>
        <w:pStyle w:val="InstructionsText2"/>
        <w:numPr>
          <w:ilvl w:val="0"/>
          <w:numId w:val="0"/>
        </w:numPr>
        <w:ind w:left="993"/>
      </w:pPr>
    </w:p>
    <w:p w:rsidR="002648B0" w:rsidRPr="00392FFD" w:rsidRDefault="002648B0" w:rsidP="00FD239F">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27" w:name="_Toc264033192"/>
      <w:bookmarkEnd w:id="27"/>
    </w:p>
    <w:p w:rsidR="002648B0" w:rsidRPr="00392FFD" w:rsidRDefault="002648B0" w:rsidP="00005FFC">
      <w:pPr>
        <w:rPr>
          <w:rFonts w:ascii="Times New Roman" w:hAnsi="Times New Roman"/>
          <w:sz w:val="24"/>
        </w:rPr>
      </w:pPr>
    </w:p>
    <w:p w:rsidR="002648B0" w:rsidRPr="00392FFD" w:rsidRDefault="002648B0" w:rsidP="00D64B66">
      <w:pPr>
        <w:pStyle w:val="Heading2"/>
        <w:rPr>
          <w:rFonts w:ascii="Times New Roman" w:hAnsi="Times New Roman"/>
        </w:rPr>
      </w:pPr>
      <w:bookmarkStart w:id="28" w:name="_Toc360188322"/>
      <w:bookmarkStart w:id="29" w:name="_Toc516210605"/>
      <w:bookmarkStart w:id="30" w:name="_Toc473560870"/>
      <w:bookmarkStart w:id="31" w:name="_Toc524014664"/>
      <w:r>
        <w:rPr>
          <w:rFonts w:ascii="Times New Roman" w:hAnsi="Times New Roman"/>
        </w:rPr>
        <w:t>II. RÉSZ: A TÁBLÁHOZ KAPCSOLÓDÓ ÚTMUTATÓ</w:t>
      </w:r>
      <w:bookmarkEnd w:id="28"/>
      <w:bookmarkEnd w:id="29"/>
      <w:bookmarkEnd w:id="30"/>
      <w:bookmarkEnd w:id="31"/>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2" w:name="_Toc360188323"/>
      <w:bookmarkStart w:id="33" w:name="_Toc516210606"/>
      <w:bookmarkStart w:id="34" w:name="_Toc473560871"/>
      <w:bookmarkStart w:id="35" w:name="_Toc524014665"/>
      <w:r>
        <w:rPr>
          <w:rFonts w:ascii="Times New Roman" w:hAnsi="Times New Roman"/>
          <w:sz w:val="24"/>
          <w:u w:val="none"/>
        </w:rPr>
        <w:t>1.</w:t>
      </w:r>
      <w:r w:rsidRPr="00110DF5">
        <w:rPr>
          <w:u w:val="none"/>
        </w:rPr>
        <w:tab/>
      </w:r>
      <w:r>
        <w:rPr>
          <w:rFonts w:ascii="Times New Roman" w:hAnsi="Times New Roman"/>
          <w:sz w:val="24"/>
          <w:u w:val="none"/>
        </w:rPr>
        <w:t>Tőkemegfelelési áttekintés</w:t>
      </w:r>
      <w:bookmarkEnd w:id="32"/>
      <w:r>
        <w:rPr>
          <w:rFonts w:ascii="Times New Roman" w:hAnsi="Times New Roman"/>
          <w:sz w:val="24"/>
          <w:u w:val="none"/>
        </w:rPr>
        <w:t xml:space="preserve"> (CA)</w:t>
      </w:r>
      <w:bookmarkEnd w:id="33"/>
      <w:bookmarkEnd w:id="34"/>
      <w:bookmarkEnd w:id="35"/>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6" w:name="_Toc308175819"/>
      <w:bookmarkStart w:id="37" w:name="_Toc360188324"/>
      <w:bookmarkStart w:id="38" w:name="_Toc516210607"/>
      <w:bookmarkStart w:id="39" w:name="_Toc473560872"/>
      <w:bookmarkStart w:id="40" w:name="_Toc524014666"/>
      <w:r>
        <w:rPr>
          <w:rFonts w:ascii="Times New Roman" w:hAnsi="Times New Roman"/>
          <w:sz w:val="24"/>
          <w:u w:val="none"/>
        </w:rPr>
        <w:t>1.1.</w:t>
      </w:r>
      <w:r w:rsidRPr="00110DF5">
        <w:rPr>
          <w:u w:val="none"/>
        </w:rPr>
        <w:tab/>
      </w:r>
      <w:r>
        <w:rPr>
          <w:rFonts w:ascii="Times New Roman" w:hAnsi="Times New Roman"/>
          <w:sz w:val="24"/>
          <w:u w:val="none"/>
        </w:rPr>
        <w:t>Általános megjegyzések</w:t>
      </w:r>
      <w:bookmarkEnd w:id="36"/>
      <w:bookmarkEnd w:id="37"/>
      <w:bookmarkEnd w:id="38"/>
      <w:bookmarkEnd w:id="39"/>
      <w:bookmarkEnd w:id="40"/>
    </w:p>
    <w:p w:rsidR="002648B0" w:rsidRPr="00392FFD" w:rsidRDefault="00125707" w:rsidP="00C37B29">
      <w:pPr>
        <w:pStyle w:val="InstructionsText2"/>
        <w:numPr>
          <w:ilvl w:val="0"/>
          <w:numId w:val="0"/>
        </w:numPr>
        <w:ind w:left="993"/>
      </w:pPr>
      <w:r>
        <w:t>10.</w:t>
      </w:r>
      <w:r>
        <w:tab/>
        <w:t xml:space="preserve">A CA táblacsoport az I. </w:t>
      </w:r>
      <w:proofErr w:type="gramStart"/>
      <w:r>
        <w:t>pillér mutatók</w:t>
      </w:r>
      <w:proofErr w:type="gramEnd"/>
      <w:r>
        <w:t xml:space="preserve"> számlálóiban szereplő tőketípusokra (szavatoló tőke, alapvető tőke [T1], elsődleges alapvető tőke [CET1]) és nevezőjére (szavatolótőke-követelmény), valamint az átmeneti rendelkezésekre vonatkozó i</w:t>
      </w:r>
      <w:r>
        <w:t>n</w:t>
      </w:r>
      <w:r>
        <w:t>formációkat tartalmazza. A CA táblacs</w:t>
      </w:r>
      <w:r w:rsidR="00110DF5">
        <w:t>oport öt táblát foglal magában:</w:t>
      </w:r>
    </w:p>
    <w:p w:rsidR="005643EA" w:rsidRPr="00392FFD" w:rsidRDefault="00125707" w:rsidP="00C37B29">
      <w:pPr>
        <w:pStyle w:val="InstructionsText2"/>
        <w:numPr>
          <w:ilvl w:val="0"/>
          <w:numId w:val="0"/>
        </w:numPr>
        <w:ind w:left="993"/>
      </w:pPr>
      <w:proofErr w:type="gramStart"/>
      <w:r>
        <w:t>a</w:t>
      </w:r>
      <w:proofErr w:type="gramEnd"/>
      <w:r>
        <w:t>)</w:t>
      </w:r>
      <w:r>
        <w:tab/>
        <w:t>A CA1 tábla az egyes intézmények szavatoló tőkéjének összegét tartalmazza, az összeg meghatározásához szükséges tételek szerinti bontásban. A szavatoló tőke számított értéke magában foglalja az egyes tőkeelemekre vonatkozó átmeneti re</w:t>
      </w:r>
      <w:r>
        <w:t>n</w:t>
      </w:r>
      <w:r>
        <w:t>delkezések összesített hatását is.</w:t>
      </w:r>
    </w:p>
    <w:p w:rsidR="005643EA" w:rsidRPr="00392FFD" w:rsidRDefault="00125707" w:rsidP="00C37B29">
      <w:pPr>
        <w:pStyle w:val="InstructionsText2"/>
        <w:numPr>
          <w:ilvl w:val="0"/>
          <w:numId w:val="0"/>
        </w:numPr>
        <w:ind w:left="993"/>
      </w:pPr>
      <w:r>
        <w:t>b)</w:t>
      </w:r>
      <w:r>
        <w:tab/>
      </w:r>
      <w:proofErr w:type="gramStart"/>
      <w:r>
        <w:t>A</w:t>
      </w:r>
      <w:proofErr w:type="gramEnd"/>
      <w:r>
        <w:t xml:space="preserve"> CA2 tábla a CRR 92. cikkének (3) bekezdése szerinti teljes kockázati kitettségértékeket foglalja össze.</w:t>
      </w:r>
    </w:p>
    <w:p w:rsidR="005643EA" w:rsidRPr="00392FFD" w:rsidRDefault="00125707" w:rsidP="00C37B29">
      <w:pPr>
        <w:pStyle w:val="InstructionsText2"/>
        <w:numPr>
          <w:ilvl w:val="0"/>
          <w:numId w:val="0"/>
        </w:numPr>
        <w:ind w:left="993"/>
      </w:pPr>
      <w:r>
        <w:t>c)</w:t>
      </w:r>
      <w:r>
        <w:tab/>
      </w:r>
      <w:proofErr w:type="gramStart"/>
      <w:r>
        <w:t>A</w:t>
      </w:r>
      <w:proofErr w:type="gramEnd"/>
      <w:r>
        <w:t xml:space="preserve"> CA3 tábla egyrészt azokat a mutatókat tartalmazza, amelyek minimális szintjét a CRR rögzíti, másrészt a mutatókhoz és a tőketípusokhoz kapcsolódó egyéb adatokat.</w:t>
      </w:r>
    </w:p>
    <w:p w:rsidR="005643EA" w:rsidRPr="00392FFD" w:rsidRDefault="00125707" w:rsidP="00C37B29">
      <w:pPr>
        <w:pStyle w:val="InstructionsText2"/>
        <w:numPr>
          <w:ilvl w:val="0"/>
          <w:numId w:val="0"/>
        </w:numPr>
        <w:ind w:left="993"/>
      </w:pPr>
      <w:r>
        <w:t>d)</w:t>
      </w:r>
      <w:r>
        <w:tab/>
      </w:r>
      <w:proofErr w:type="gramStart"/>
      <w:r>
        <w:t>A</w:t>
      </w:r>
      <w:proofErr w:type="gramEnd"/>
      <w:r>
        <w:t xml:space="preserve"> CA4 tábla a CA1 elemeinek kiszámításához szükséges tájékoztató adatokat, valamint a CRD szerinti tőkepufferekkel kapcsol</w:t>
      </w:r>
      <w:r w:rsidR="00110DF5">
        <w:t>atos információkat tartalmazza.</w:t>
      </w:r>
    </w:p>
    <w:p w:rsidR="005643EA" w:rsidRPr="00392FFD" w:rsidRDefault="00125707" w:rsidP="00C37B29">
      <w:pPr>
        <w:pStyle w:val="InstructionsText2"/>
        <w:numPr>
          <w:ilvl w:val="0"/>
          <w:numId w:val="0"/>
        </w:numPr>
        <w:ind w:left="993"/>
      </w:pPr>
      <w:proofErr w:type="gramStart"/>
      <w:r>
        <w:t>e</w:t>
      </w:r>
      <w:proofErr w:type="gramEnd"/>
      <w:r>
        <w:t>)</w:t>
      </w:r>
      <w:r>
        <w:tab/>
        <w:t>A CA5 tábla a szavatoló tőkét érintő átmeneti rendelkezések hatásának kisz</w:t>
      </w:r>
      <w:r>
        <w:t>á</w:t>
      </w:r>
      <w:r>
        <w:t>mításához szükséges adatokat tartalmazza. A CA5 tábla hatálya az átmeneti rende</w:t>
      </w:r>
      <w:r>
        <w:t>l</w:t>
      </w:r>
      <w:r>
        <w:t>kezések végső lejáratát követően megszűnik.</w:t>
      </w:r>
    </w:p>
    <w:p w:rsidR="00783881" w:rsidRPr="00392FFD" w:rsidRDefault="00125707" w:rsidP="00C37B29">
      <w:pPr>
        <w:pStyle w:val="InstructionsText2"/>
        <w:numPr>
          <w:ilvl w:val="0"/>
          <w:numId w:val="0"/>
        </w:numPr>
        <w:ind w:left="993"/>
      </w:pPr>
      <w:r>
        <w:t>11.</w:t>
      </w:r>
      <w:r>
        <w:tab/>
        <w:t>A táblákat valamennyi, a CRR szerint adatszolgáltatásra kötelezett intézmén</w:t>
      </w:r>
      <w:r>
        <w:t>y</w:t>
      </w:r>
      <w:r>
        <w:t>nek használnia kell, függetlenül az intézmény nemzeti jog szerint irányadó számv</w:t>
      </w:r>
      <w:r>
        <w:t>i</w:t>
      </w:r>
      <w:r>
        <w:t>telére, azonban a számláló egyes elemei kizárólag az IAS/IFRS típusú értékelési szabályokat alkalmazó intézményekre vonatkoznak. A nevezőben foglalt adatok kevés kivételtől eltekintve a teljes kockázati kitettségérték kiszámítására szolgáló, kockázati típusonkénti táblákban meghatározott végeredményekhez kapcsolódnak.</w:t>
      </w:r>
    </w:p>
    <w:p w:rsidR="005643EA" w:rsidRPr="00392FFD" w:rsidRDefault="00125707" w:rsidP="00C37B29">
      <w:pPr>
        <w:pStyle w:val="InstructionsText2"/>
        <w:numPr>
          <w:ilvl w:val="0"/>
          <w:numId w:val="0"/>
        </w:numPr>
        <w:ind w:left="993"/>
      </w:pPr>
      <w:r>
        <w:t>12.</w:t>
      </w:r>
      <w:r>
        <w:tab/>
        <w:t>A szavatoló tőke teljes összege különböző típusú tőketípusokból áll: az alapv</w:t>
      </w:r>
      <w:r>
        <w:t>e</w:t>
      </w:r>
      <w:r>
        <w:t>tő tőkéből (T1), amely az elsődleges alapvető tőke (CET1) és a kiegészítő alapvető tőke (AT1) összege, val</w:t>
      </w:r>
      <w:r w:rsidR="00110DF5">
        <w:t>amint a járulékos tőkéből (T2).</w:t>
      </w:r>
    </w:p>
    <w:p w:rsidR="00783881" w:rsidRPr="00392FFD" w:rsidRDefault="00125707" w:rsidP="00C37B29">
      <w:pPr>
        <w:pStyle w:val="InstructionsText2"/>
        <w:numPr>
          <w:ilvl w:val="0"/>
          <w:numId w:val="0"/>
        </w:numPr>
        <w:ind w:left="993"/>
      </w:pPr>
      <w:r>
        <w:t>13.</w:t>
      </w:r>
      <w:r>
        <w:tab/>
        <w:t>A CA táblák az átmeneti rendelkezéseket az alábbiak szerint kezelik:</w:t>
      </w:r>
    </w:p>
    <w:p w:rsidR="00783881" w:rsidRPr="00392FFD" w:rsidRDefault="00125707" w:rsidP="00C37B29">
      <w:pPr>
        <w:pStyle w:val="InstructionsText2"/>
        <w:numPr>
          <w:ilvl w:val="0"/>
          <w:numId w:val="0"/>
        </w:numPr>
        <w:ind w:left="993"/>
      </w:pPr>
      <w:proofErr w:type="gramStart"/>
      <w:r>
        <w:t>a</w:t>
      </w:r>
      <w:proofErr w:type="gramEnd"/>
      <w:r>
        <w:t>)</w:t>
      </w:r>
      <w:r>
        <w:tab/>
        <w:t>A CA1 elemei általában bruttó módon, az átmeneti kiigazítások előtti értéken szerepelnek. Ez azt jelenti, hogy a CA1-elemek adatait – az átmeneti rendelkezések hatását összesítő elemek adatainak kivételével – a végleges rendelkezések alapján úgy kell kiszámítani, mintha nem lennének átmeneti rendelkezések. Mindegyik t</w:t>
      </w:r>
      <w:r>
        <w:t>ő</w:t>
      </w:r>
      <w:r>
        <w:t>ketípus (CET1, AT1 és T2) esetében három olyan különböző elem van, amely m</w:t>
      </w:r>
      <w:r>
        <w:t>a</w:t>
      </w:r>
      <w:r>
        <w:t>gában foglalja az átmeneti rendelkezések miatti kiigazításokat.</w:t>
      </w:r>
    </w:p>
    <w:p w:rsidR="00113EA5" w:rsidRPr="00392FFD" w:rsidRDefault="00125707" w:rsidP="00C37B29">
      <w:pPr>
        <w:pStyle w:val="InstructionsText2"/>
        <w:numPr>
          <w:ilvl w:val="0"/>
          <w:numId w:val="0"/>
        </w:numPr>
        <w:ind w:left="993"/>
      </w:pPr>
      <w:r>
        <w:lastRenderedPageBreak/>
        <w:t>b)</w:t>
      </w:r>
      <w:r>
        <w:tab/>
        <w:t>Az átmeneti rendelkezések módosíthatják az AT1 tőke és a T2 tőke hiányát is (az AT1 tőke vagy a T2 tőke azon hiányát, amely a CRR 36. cikke (1) bekezdés</w:t>
      </w:r>
      <w:r>
        <w:t>é</w:t>
      </w:r>
      <w:r>
        <w:t>nek j) pontjában, illetve 56. cikkének e) pontjában leírtak szerint az adott tőketíp</w:t>
      </w:r>
      <w:r>
        <w:t>u</w:t>
      </w:r>
      <w:r>
        <w:t>sokba tartozó tőkeelemek összegét meghaladó levonások többlete miatt keletkezik.)</w:t>
      </w:r>
    </w:p>
    <w:p w:rsidR="005643EA" w:rsidRPr="00392FFD" w:rsidRDefault="00125707" w:rsidP="00C37B29">
      <w:pPr>
        <w:pStyle w:val="InstructionsText2"/>
        <w:numPr>
          <w:ilvl w:val="0"/>
          <w:numId w:val="0"/>
        </w:numPr>
        <w:ind w:left="993"/>
      </w:pPr>
      <w:r>
        <w:t>c)</w:t>
      </w:r>
      <w:r>
        <w:tab/>
      </w:r>
      <w:proofErr w:type="gramStart"/>
      <w:r>
        <w:t>A</w:t>
      </w:r>
      <w:proofErr w:type="gramEnd"/>
      <w:r>
        <w:t xml:space="preserve"> CA5 tábla kizárólag az átmeneti rendelkezésekkel kapcsolatos adatszolgált</w:t>
      </w:r>
      <w:r>
        <w:t>a</w:t>
      </w:r>
      <w:r w:rsidR="00110DF5">
        <w:t>tásra használható.</w:t>
      </w:r>
    </w:p>
    <w:p w:rsidR="00783881" w:rsidRPr="00392FFD" w:rsidRDefault="00125707" w:rsidP="00C37B29">
      <w:pPr>
        <w:pStyle w:val="InstructionsText2"/>
        <w:numPr>
          <w:ilvl w:val="0"/>
          <w:numId w:val="0"/>
        </w:numPr>
        <w:ind w:left="993"/>
      </w:pPr>
      <w:r>
        <w:t>14.</w:t>
      </w:r>
      <w:r>
        <w:tab/>
        <w:t>A II. pillér szerinti követelmények kezelése az EU-n belül eltérő lehet (a CRD 104. cikkének (2) bekezdését át kell ültetni a tagállami szabályozásba). A CRR alapján teljesített tőkemegfelelési adatszolgáltatás kizárólag a II. pillérben a szolvenciamutatóra vagy az elérendő arányra vonatkozóan rögzített követelmények hatására terjedhet ki. A II. pillér szerinti követelményekre vonatkozó részletes ada</w:t>
      </w:r>
      <w:r>
        <w:t>t</w:t>
      </w:r>
      <w:r>
        <w:t>szolgáltatásra a CRR 99. cikkében fog</w:t>
      </w:r>
      <w:r w:rsidR="00110DF5">
        <w:t>lalt előírások nem vonatkoznak.</w:t>
      </w:r>
    </w:p>
    <w:p w:rsidR="005643EA" w:rsidRPr="00392FFD" w:rsidRDefault="00125707" w:rsidP="00C37B29">
      <w:pPr>
        <w:pStyle w:val="InstructionsText2"/>
        <w:numPr>
          <w:ilvl w:val="0"/>
          <w:numId w:val="0"/>
        </w:numPr>
        <w:ind w:left="993"/>
      </w:pPr>
      <w:proofErr w:type="gramStart"/>
      <w:r>
        <w:t>a</w:t>
      </w:r>
      <w:proofErr w:type="gramEnd"/>
      <w:r>
        <w:t>)</w:t>
      </w:r>
      <w:r>
        <w:tab/>
        <w:t>A CA1, CA2 és CA5 tábla kizárólag az I. pillérrel kapcsolatos kérdésekre v</w:t>
      </w:r>
      <w:r>
        <w:t>o</w:t>
      </w:r>
      <w:r>
        <w:t>natkozó adatokat tartalmaz.</w:t>
      </w:r>
    </w:p>
    <w:p w:rsidR="005643EA" w:rsidRPr="00392FFD" w:rsidRDefault="00125707" w:rsidP="00C37B29">
      <w:pPr>
        <w:pStyle w:val="InstructionsText2"/>
        <w:numPr>
          <w:ilvl w:val="0"/>
          <w:numId w:val="0"/>
        </w:numPr>
        <w:ind w:left="993"/>
      </w:pPr>
      <w:r>
        <w:t>b)</w:t>
      </w:r>
      <w:r>
        <w:tab/>
      </w:r>
      <w:proofErr w:type="gramStart"/>
      <w:r>
        <w:t>A</w:t>
      </w:r>
      <w:proofErr w:type="gramEnd"/>
      <w:r>
        <w:t xml:space="preserve"> CA3 tábla a II. pillér szolvenciamutatóra vonatkozó egyéb követelménye</w:t>
      </w:r>
      <w:r>
        <w:t>i</w:t>
      </w:r>
      <w:r>
        <w:t>nek összesített hatását tartalmazza. Az egyik csoport az összegeknek az adott mut</w:t>
      </w:r>
      <w:r>
        <w:t>a</w:t>
      </w:r>
      <w:r>
        <w:t>tóra kifejtett hatásával, míg a másik csoport magával a mutatóval foglalkozik. Egyik mutatócsoport sem kapcsolódik egyéb módon a CA1, CA2 vagy CA5 tábl</w:t>
      </w:r>
      <w:r>
        <w:t>á</w:t>
      </w:r>
      <w:r w:rsidR="00110DF5">
        <w:t>hoz.</w:t>
      </w:r>
    </w:p>
    <w:p w:rsidR="005643EA" w:rsidRPr="00392FFD" w:rsidRDefault="00125707" w:rsidP="00C37B29">
      <w:pPr>
        <w:pStyle w:val="InstructionsText2"/>
        <w:numPr>
          <w:ilvl w:val="0"/>
          <w:numId w:val="0"/>
        </w:numPr>
        <w:ind w:left="993"/>
      </w:pPr>
      <w:r>
        <w:t>c)</w:t>
      </w:r>
      <w:r>
        <w:tab/>
      </w:r>
      <w:proofErr w:type="gramStart"/>
      <w:r>
        <w:t>A</w:t>
      </w:r>
      <w:proofErr w:type="gramEnd"/>
      <w:r>
        <w:t xml:space="preserve"> CA4 tábla egy cellát tartalmaz a II. pillérhez kapcsolódó pótlólagos szavatolótőke-követelményekre vonatkozóan. A cella nem kapcsolódik validálási szabályokon keresztül a CA3 tábla tőkemegfelelési mutatóihoz, és megfelel a CRD 104. cikke (2) bekezdésének, amely kifejezetten megemlíti a pótlólagos szavatolótőke-követelményeket mint a II. pillérre vonatkozó döntésekkel kapcsol</w:t>
      </w:r>
      <w:r>
        <w:t>a</w:t>
      </w:r>
      <w:r>
        <w:t>tos lehetőséget.</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1" w:name="_Toc516210608"/>
      <w:bookmarkStart w:id="42" w:name="_Toc473560873"/>
      <w:bookmarkStart w:id="43" w:name="_Toc524014667"/>
      <w:bookmarkStart w:id="44" w:name="_Toc308175820"/>
      <w:bookmarkStart w:id="45" w:name="_Toc360188325"/>
      <w:r>
        <w:rPr>
          <w:rFonts w:ascii="Times New Roman" w:hAnsi="Times New Roman"/>
          <w:sz w:val="24"/>
          <w:u w:val="none"/>
        </w:rPr>
        <w:t>1.2.</w:t>
      </w:r>
      <w:r>
        <w:tab/>
      </w:r>
      <w:r>
        <w:rPr>
          <w:rFonts w:ascii="Times New Roman" w:hAnsi="Times New Roman"/>
          <w:sz w:val="24"/>
        </w:rPr>
        <w:t>C 01.00 – SZAVATOLÓ TŐKE (CA1)</w:t>
      </w:r>
      <w:bookmarkEnd w:id="41"/>
      <w:bookmarkEnd w:id="42"/>
      <w:bookmarkEnd w:id="43"/>
      <w:bookmarkEnd w:id="44"/>
      <w:bookmarkEnd w:id="45"/>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6" w:name="_Toc308175821"/>
      <w:bookmarkStart w:id="47" w:name="_Toc310414968"/>
      <w:bookmarkStart w:id="48" w:name="_Toc360188326"/>
      <w:bookmarkStart w:id="49" w:name="_Toc516210609"/>
      <w:bookmarkStart w:id="50" w:name="_Toc473560874"/>
      <w:bookmarkStart w:id="51" w:name="_Toc524014668"/>
      <w:r>
        <w:rPr>
          <w:rFonts w:ascii="Times New Roman" w:hAnsi="Times New Roman"/>
          <w:sz w:val="24"/>
          <w:u w:val="none"/>
        </w:rPr>
        <w:t>1.2.1.</w:t>
      </w:r>
      <w:r>
        <w:tab/>
      </w:r>
      <w:r>
        <w:rPr>
          <w:rFonts w:ascii="Times New Roman" w:hAnsi="Times New Roman"/>
          <w:sz w:val="24"/>
        </w:rPr>
        <w:t xml:space="preserve">A tábla egyes </w:t>
      </w:r>
      <w:bookmarkEnd w:id="46"/>
      <w:bookmarkEnd w:id="47"/>
      <w:r>
        <w:rPr>
          <w:rFonts w:ascii="Times New Roman" w:hAnsi="Times New Roman"/>
          <w:sz w:val="24"/>
        </w:rPr>
        <w:t>részeire vonatkozó útmutató</w:t>
      </w:r>
      <w:bookmarkEnd w:id="48"/>
      <w:bookmarkEnd w:id="49"/>
      <w:bookmarkEnd w:id="50"/>
      <w:bookmarkEnd w:id="51"/>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rsidTr="00672D2A">
        <w:tc>
          <w:tcPr>
            <w:tcW w:w="1129"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Sor</w:t>
            </w:r>
          </w:p>
        </w:tc>
        <w:tc>
          <w:tcPr>
            <w:tcW w:w="7620"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útmutató</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w:t>
            </w:r>
          </w:p>
        </w:tc>
        <w:tc>
          <w:tcPr>
            <w:tcW w:w="7620" w:type="dxa"/>
          </w:tcPr>
          <w:p w:rsidR="00D7242F"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Pr="00110DF5">
              <w:rPr>
                <w:rStyle w:val="InstructionsTabelleberschrift"/>
                <w:rFonts w:ascii="Times New Roman" w:hAnsi="Times New Roman"/>
                <w:sz w:val="24"/>
              </w:rPr>
              <w:t>.</w:t>
            </w:r>
            <w:r w:rsidRPr="00110DF5">
              <w:rPr>
                <w:u w:val="single"/>
              </w:rPr>
              <w:tab/>
            </w:r>
            <w:r>
              <w:rPr>
                <w:rStyle w:val="InstructionsTabelleberschrift"/>
                <w:rFonts w:ascii="Times New Roman" w:hAnsi="Times New Roman"/>
                <w:sz w:val="24"/>
              </w:rPr>
              <w:t>Szavatoló tőke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118. pontja, valamint 72. cikke</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Egy </w:t>
            </w:r>
            <w:proofErr w:type="gramStart"/>
            <w:r>
              <w:rPr>
                <w:rStyle w:val="FormatvorlageInstructionsTabelleText"/>
                <w:rFonts w:ascii="Times New Roman" w:hAnsi="Times New Roman"/>
                <w:sz w:val="24"/>
              </w:rPr>
              <w:t>intézmény szavatoló</w:t>
            </w:r>
            <w:proofErr w:type="gramEnd"/>
            <w:r>
              <w:rPr>
                <w:rStyle w:val="FormatvorlageInstructionsTabelleText"/>
                <w:rFonts w:ascii="Times New Roman" w:hAnsi="Times New Roman"/>
                <w:sz w:val="24"/>
              </w:rPr>
              <w:t xml:space="preserve"> tőkéje alapvető tőkéjének és járulékos tőkéjének összegéből áll.</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Pr="00110DF5">
              <w:rPr>
                <w:u w:val="single"/>
              </w:rPr>
              <w:tab/>
            </w:r>
            <w:r>
              <w:rPr>
                <w:rStyle w:val="InstructionsTabelleberschrift"/>
                <w:rFonts w:ascii="Times New Roman" w:hAnsi="Times New Roman"/>
                <w:sz w:val="24"/>
              </w:rPr>
              <w:t>Alapvető tőke (Tier 1 vagy T1 tőke)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25. cikke</w:t>
            </w:r>
          </w:p>
          <w:p w:rsidR="005643EA" w:rsidRPr="00392FFD" w:rsidRDefault="00666996"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Az alapvető tőke az elsődleges alapvető tőke és a ki</w:t>
            </w:r>
            <w:r w:rsidR="00110DF5">
              <w:rPr>
                <w:rStyle w:val="FormatvorlageInstructionsTabelleText"/>
                <w:rFonts w:ascii="Times New Roman" w:hAnsi="Times New Roman"/>
                <w:sz w:val="24"/>
              </w:rPr>
              <w:t>egészítő alapvető tőke összege.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110DF5">
              <w:rPr>
                <w:u w:val="single"/>
              </w:rPr>
              <w:tab/>
            </w:r>
            <w:r>
              <w:rPr>
                <w:rStyle w:val="InstructionsTabelleberschrift"/>
                <w:rFonts w:ascii="Times New Roman" w:hAnsi="Times New Roman"/>
                <w:sz w:val="24"/>
              </w:rPr>
              <w:t>Elsődleges alapvető tőke (CET1 tőke)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50. cikke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w:t>
            </w:r>
          </w:p>
        </w:tc>
        <w:tc>
          <w:tcPr>
            <w:tcW w:w="7620" w:type="dxa"/>
          </w:tcPr>
          <w:p w:rsidR="005643EA" w:rsidRPr="0023700C" w:rsidRDefault="000120E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sidRPr="00110DF5">
              <w:rPr>
                <w:u w:val="single"/>
              </w:rPr>
              <w:tab/>
            </w:r>
            <w:r>
              <w:rPr>
                <w:rStyle w:val="InstructionsTabelleberschrift"/>
                <w:rFonts w:ascii="Times New Roman" w:hAnsi="Times New Roman"/>
                <w:sz w:val="24"/>
              </w:rPr>
              <w:t>CET1 tőkeelemként figyelembe vehető tőkeinstrument</w:t>
            </w:r>
            <w:r>
              <w:rPr>
                <w:rStyle w:val="InstructionsTabelleberschrift"/>
                <w:rFonts w:ascii="Times New Roman" w:hAnsi="Times New Roman"/>
                <w:sz w:val="24"/>
              </w:rPr>
              <w:t>u</w:t>
            </w:r>
            <w:r>
              <w:rPr>
                <w:rStyle w:val="InstructionsTabelleberschrift"/>
                <w:rFonts w:ascii="Times New Roman" w:hAnsi="Times New Roman"/>
                <w:sz w:val="24"/>
              </w:rPr>
              <w:t>mok</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26. cikke (1) bekezdésének a) és b) pontja, 27–30. cikke, 36. cikke (1) bekezdésének f) pontja, valamint 42. cikke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Pr="00110DF5">
              <w:rPr>
                <w:u w:val="single"/>
              </w:rPr>
              <w:tab/>
            </w:r>
            <w:r>
              <w:rPr>
                <w:rStyle w:val="InstructionsTabelleberschrift"/>
                <w:rFonts w:ascii="Times New Roman" w:hAnsi="Times New Roman"/>
                <w:sz w:val="24"/>
              </w:rPr>
              <w:t>Befizetett tőkeinstrumentumok</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26. cikke (1) bekezdésének a) pontja, valamint 27–31. cikke</w:t>
            </w:r>
          </w:p>
          <w:p w:rsidR="00FE3BD8"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Magában foglalja a kölcsönös biztosítók, szövetkezeti társaságok és hasonló intézmények tőkeinstrumentumait (a CRR 27. és 29. cikke).</w:t>
            </w:r>
          </w:p>
          <w:p w:rsidR="00FE3BD8"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Nem foglalhatja magában az instrumentumokhoz kapcsolódó ázsiót.</w:t>
            </w:r>
          </w:p>
          <w:p w:rsidR="005643EA"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sürgősségi helyzetekben állami hatóságok által lejegyzett tőkeinstrume</w:t>
            </w:r>
            <w:r>
              <w:rPr>
                <w:rStyle w:val="FormatvorlageInstructionsTabelleText"/>
                <w:rFonts w:ascii="Times New Roman" w:hAnsi="Times New Roman"/>
                <w:sz w:val="24"/>
              </w:rPr>
              <w:t>n</w:t>
            </w:r>
            <w:r>
              <w:rPr>
                <w:rStyle w:val="FormatvorlageInstructionsTabelleText"/>
                <w:rFonts w:ascii="Times New Roman" w:hAnsi="Times New Roman"/>
                <w:sz w:val="24"/>
              </w:rPr>
              <w:t>tumokat akkor tartalmazza, ha a CRR 31. cikkében foglalt minden feltétel teljesül.</w:t>
            </w:r>
          </w:p>
        </w:tc>
      </w:tr>
      <w:tr w:rsidR="00216D67" w:rsidRPr="00392FFD" w:rsidTr="00672D2A">
        <w:tc>
          <w:tcPr>
            <w:tcW w:w="1129" w:type="dxa"/>
          </w:tcPr>
          <w:p w:rsidR="00216D67" w:rsidRPr="00392FFD" w:rsidRDefault="00216D67"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w:t>
            </w:r>
          </w:p>
        </w:tc>
        <w:tc>
          <w:tcPr>
            <w:tcW w:w="7620" w:type="dxa"/>
          </w:tcPr>
          <w:p w:rsidR="00216D67" w:rsidRPr="00295225" w:rsidRDefault="00DD2C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Pr="00110DF5">
              <w:rPr>
                <w:u w:val="single"/>
              </w:rPr>
              <w:tab/>
            </w:r>
            <w:r>
              <w:rPr>
                <w:rStyle w:val="InstructionsTabelleberschrift"/>
                <w:rFonts w:ascii="Times New Roman" w:hAnsi="Times New Roman"/>
                <w:sz w:val="24"/>
              </w:rPr>
              <w:t>Ebből: Sürgősségi helyzetekben állami hatóságok által l</w:t>
            </w:r>
            <w:r>
              <w:rPr>
                <w:rStyle w:val="InstructionsTabelleberschrift"/>
                <w:rFonts w:ascii="Times New Roman" w:hAnsi="Times New Roman"/>
                <w:sz w:val="24"/>
              </w:rPr>
              <w:t>e</w:t>
            </w:r>
            <w:r>
              <w:rPr>
                <w:rStyle w:val="InstructionsTabelleberschrift"/>
                <w:rFonts w:ascii="Times New Roman" w:hAnsi="Times New Roman"/>
                <w:sz w:val="24"/>
              </w:rPr>
              <w:t>jegyzett tőkeinstrumentumok</w:t>
            </w:r>
          </w:p>
          <w:p w:rsidR="00216D67" w:rsidRPr="00392FFD" w:rsidRDefault="00216D67"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31. cikke</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sürgősségi helyzetekben állami hatóságok által lejegyzett tőkeinstrume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tumok akkor vehetők figyelembe CET1 tőkeelemként, ha a CRR 31. cikk</w:t>
            </w:r>
            <w:r>
              <w:rPr>
                <w:rStyle w:val="InstructionsTabelleberschrift"/>
                <w:rFonts w:ascii="Times New Roman" w:hAnsi="Times New Roman"/>
                <w:b w:val="0"/>
                <w:sz w:val="24"/>
                <w:u w:val="none"/>
              </w:rPr>
              <w:t>é</w:t>
            </w:r>
            <w:r>
              <w:rPr>
                <w:rStyle w:val="InstructionsTabelleberschrift"/>
                <w:rFonts w:ascii="Times New Roman" w:hAnsi="Times New Roman"/>
                <w:b w:val="0"/>
                <w:sz w:val="24"/>
                <w:u w:val="none"/>
              </w:rPr>
              <w:t>ben foglalt minden feltétel teljesül.</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Pr="00110DF5">
              <w:rPr>
                <w:u w:val="single"/>
              </w:rPr>
              <w:tab/>
            </w:r>
            <w:r>
              <w:rPr>
                <w:rStyle w:val="InstructionsTabelleberschrift"/>
                <w:rFonts w:ascii="Times New Roman" w:hAnsi="Times New Roman"/>
                <w:sz w:val="24"/>
              </w:rPr>
              <w:t>Tájékoztató adat: figyelembe nem vehető tőkeinstrume</w:t>
            </w:r>
            <w:r>
              <w:rPr>
                <w:rStyle w:val="InstructionsTabelleberschrift"/>
                <w:rFonts w:ascii="Times New Roman" w:hAnsi="Times New Roman"/>
                <w:sz w:val="24"/>
              </w:rPr>
              <w:t>n</w:t>
            </w:r>
            <w:r>
              <w:rPr>
                <w:rStyle w:val="InstructionsTabelleberschrift"/>
                <w:rFonts w:ascii="Times New Roman" w:hAnsi="Times New Roman"/>
                <w:sz w:val="24"/>
              </w:rPr>
              <w:t>tumok</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28. cikke (1) bekezdésének b), l) és m) pontja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 pontokban említett feltételek különböző visszafordítható tőkehelyzet</w:t>
            </w:r>
            <w:r>
              <w:rPr>
                <w:rStyle w:val="FormatvorlageInstructionsTabelleText"/>
                <w:rFonts w:ascii="Times New Roman" w:hAnsi="Times New Roman"/>
                <w:sz w:val="24"/>
              </w:rPr>
              <w:t>e</w:t>
            </w:r>
            <w:r>
              <w:rPr>
                <w:rStyle w:val="FormatvorlageInstructionsTabelleText"/>
                <w:rFonts w:ascii="Times New Roman" w:hAnsi="Times New Roman"/>
                <w:sz w:val="24"/>
              </w:rPr>
              <w:t>ket tükröznek, így az itt feltüntetett összeg a későbbi időszakokban figy</w:t>
            </w:r>
            <w:r>
              <w:rPr>
                <w:rStyle w:val="FormatvorlageInstructionsTabelleText"/>
                <w:rFonts w:ascii="Times New Roman" w:hAnsi="Times New Roman"/>
                <w:sz w:val="24"/>
              </w:rPr>
              <w:t>e</w:t>
            </w:r>
            <w:r>
              <w:rPr>
                <w:rStyle w:val="FormatvorlageInstructionsTabelleText"/>
                <w:rFonts w:ascii="Times New Roman" w:hAnsi="Times New Roman"/>
                <w:sz w:val="24"/>
              </w:rPr>
              <w:t>lembe vehető lehet.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nem foglalhatja magában az instrumentumokhoz ka</w:t>
            </w:r>
            <w:r>
              <w:rPr>
                <w:rStyle w:val="FormatvorlageInstructionsTabelleText"/>
                <w:rFonts w:ascii="Times New Roman" w:hAnsi="Times New Roman"/>
                <w:sz w:val="24"/>
              </w:rPr>
              <w:t>p</w:t>
            </w:r>
            <w:r>
              <w:rPr>
                <w:rStyle w:val="FormatvorlageInstructionsTabelleText"/>
                <w:rFonts w:ascii="Times New Roman" w:hAnsi="Times New Roman"/>
                <w:sz w:val="24"/>
              </w:rPr>
              <w:t>csolódó ázsiót.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Pr="00110DF5">
              <w:rPr>
                <w:u w:val="single"/>
              </w:rPr>
              <w:tab/>
            </w:r>
            <w:r>
              <w:rPr>
                <w:rStyle w:val="InstructionsTabelleberschrift"/>
                <w:rFonts w:ascii="Times New Roman" w:hAnsi="Times New Roman"/>
                <w:sz w:val="24"/>
              </w:rPr>
              <w:t>Névértéken felüli befizetés (ázsió)</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124. pontja és 26. cikke (1) bekezdésének b) pontja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ázsió jelentése egyezik az alkalmazandó számviteli sz</w:t>
            </w:r>
            <w:r w:rsidR="00110DF5">
              <w:rPr>
                <w:rStyle w:val="FormatvorlageInstructionsTabelleText"/>
                <w:rFonts w:ascii="Times New Roman" w:hAnsi="Times New Roman"/>
                <w:sz w:val="24"/>
              </w:rPr>
              <w:t>abályozás szerinti jelentéssel.</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ebben az elemben feltüntetendő érték a befizetett tőkeinstrumentumo</w:t>
            </w:r>
            <w:r>
              <w:rPr>
                <w:rStyle w:val="FormatvorlageInstructionsTabelleText"/>
                <w:rFonts w:ascii="Times New Roman" w:hAnsi="Times New Roman"/>
                <w:sz w:val="24"/>
              </w:rPr>
              <w:t>k</w:t>
            </w:r>
            <w:r w:rsidR="00110DF5">
              <w:rPr>
                <w:rStyle w:val="FormatvorlageInstructionsTabelleText"/>
                <w:rFonts w:ascii="Times New Roman" w:hAnsi="Times New Roman"/>
                <w:sz w:val="24"/>
              </w:rPr>
              <w:t>hoz kapcsolódó rész.</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Saját CET1 tőkeinstrumentumok</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36. cikke (1) bekezdésének f) pontja, valamint 42. cikke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adatot szolgáltató intézmény vagy csoport saját CET1 tőkéje az adatszo</w:t>
            </w:r>
            <w:r>
              <w:rPr>
                <w:rStyle w:val="FormatvorlageInstructionsTabelleText"/>
                <w:rFonts w:ascii="Times New Roman" w:hAnsi="Times New Roman"/>
                <w:sz w:val="24"/>
              </w:rPr>
              <w:t>l</w:t>
            </w:r>
            <w:r>
              <w:rPr>
                <w:rStyle w:val="FormatvorlageInstructionsTabelleText"/>
                <w:rFonts w:ascii="Times New Roman" w:hAnsi="Times New Roman"/>
                <w:sz w:val="24"/>
              </w:rPr>
              <w:t>gáltatás vonatkozási dátumának időpontjában. A CRR 42. cikkében említett kivételek figyelembevételével.</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Ebben a sorban nem tüntethetők fel a figyelembe nem vehető tőkeinstrume</w:t>
            </w:r>
            <w:r>
              <w:rPr>
                <w:rStyle w:val="FormatvorlageInstructionsTabelleText"/>
                <w:rFonts w:ascii="Times New Roman" w:hAnsi="Times New Roman"/>
                <w:sz w:val="24"/>
              </w:rPr>
              <w:t>n</w:t>
            </w:r>
            <w:r>
              <w:rPr>
                <w:rStyle w:val="FormatvorlageInstructionsTabelleText"/>
                <w:rFonts w:ascii="Times New Roman" w:hAnsi="Times New Roman"/>
                <w:sz w:val="24"/>
              </w:rPr>
              <w:t>tumként szerepeltetett részvények.</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feltüntetendő érték magában foglalja a saját részvényekhez kapcsolódó ázsiót.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1.1.1.1.4–1.1.1.1.4.3. tételek nem foglalják magukban a saját CET1 tők</w:t>
            </w:r>
            <w:r>
              <w:rPr>
                <w:rStyle w:val="FormatvorlageInstructionsTabelleText"/>
                <w:rFonts w:ascii="Times New Roman" w:hAnsi="Times New Roman"/>
                <w:sz w:val="24"/>
              </w:rPr>
              <w:t>e</w:t>
            </w:r>
            <w:r>
              <w:rPr>
                <w:rStyle w:val="FormatvorlageInstructionsTabelleText"/>
                <w:rFonts w:ascii="Times New Roman" w:hAnsi="Times New Roman"/>
                <w:sz w:val="24"/>
              </w:rPr>
              <w:t>instrumentumok megvásárlására vonatkozó tényleges vagy függő kötelezet</w:t>
            </w:r>
            <w:r>
              <w:rPr>
                <w:rStyle w:val="FormatvorlageInstructionsTabelleText"/>
                <w:rFonts w:ascii="Times New Roman" w:hAnsi="Times New Roman"/>
                <w:sz w:val="24"/>
              </w:rPr>
              <w:t>t</w:t>
            </w:r>
            <w:r>
              <w:rPr>
                <w:rStyle w:val="FormatvorlageInstructionsTabelleText"/>
                <w:rFonts w:ascii="Times New Roman" w:hAnsi="Times New Roman"/>
                <w:sz w:val="24"/>
              </w:rPr>
              <w:t>ségeket. A saját CET1 tőkeinstrumentumok megvásárlására vonatkozó tén</w:t>
            </w:r>
            <w:r>
              <w:rPr>
                <w:rStyle w:val="FormatvorlageInstructionsTabelleText"/>
                <w:rFonts w:ascii="Times New Roman" w:hAnsi="Times New Roman"/>
                <w:sz w:val="24"/>
              </w:rPr>
              <w:t>y</w:t>
            </w:r>
            <w:r>
              <w:rPr>
                <w:rStyle w:val="FormatvorlageInstructionsTabelleText"/>
                <w:rFonts w:ascii="Times New Roman" w:hAnsi="Times New Roman"/>
                <w:sz w:val="24"/>
              </w:rPr>
              <w:t>leges vagy függő kötelezettségeket külön kell feltüntetni az 1.1.1.1.5. téte</w:t>
            </w:r>
            <w:r>
              <w:rPr>
                <w:rStyle w:val="FormatvorlageInstructionsTabelleText"/>
                <w:rFonts w:ascii="Times New Roman" w:hAnsi="Times New Roman"/>
                <w:sz w:val="24"/>
              </w:rPr>
              <w:t>l</w:t>
            </w:r>
            <w:r>
              <w:rPr>
                <w:rStyle w:val="FormatvorlageInstructionsTabelleText"/>
                <w:rFonts w:ascii="Times New Roman" w:hAnsi="Times New Roman"/>
                <w:sz w:val="24"/>
              </w:rPr>
              <w:t>ben.</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Pr="00110DF5">
              <w:rPr>
                <w:u w:val="single"/>
              </w:rPr>
              <w:tab/>
            </w:r>
            <w:r>
              <w:rPr>
                <w:rStyle w:val="InstructionsTabelleberschrift"/>
                <w:rFonts w:ascii="Times New Roman" w:hAnsi="Times New Roman"/>
                <w:sz w:val="24"/>
              </w:rPr>
              <w:t>(–) Közvetlen részesedések CET1 tőkeinstrumentumo</w:t>
            </w:r>
            <w:r>
              <w:rPr>
                <w:rStyle w:val="InstructionsTabelleberschrift"/>
                <w:rFonts w:ascii="Times New Roman" w:hAnsi="Times New Roman"/>
                <w:sz w:val="24"/>
              </w:rPr>
              <w:t>k</w:t>
            </w:r>
            <w:r>
              <w:rPr>
                <w:rStyle w:val="InstructionsTabelleberschrift"/>
                <w:rFonts w:ascii="Times New Roman" w:hAnsi="Times New Roman"/>
                <w:sz w:val="24"/>
              </w:rPr>
              <w:t>ban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36. cikke (1) bekezdésének f) pontja, valamint 42. cikke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konszolidált csoportba tartozó intézmények tulajdonában lévő, az 1.1.1.1. tételnél megadott elsődleg</w:t>
            </w:r>
            <w:r w:rsidR="00110DF5">
              <w:rPr>
                <w:rStyle w:val="FormatvorlageInstructionsTabelleText"/>
                <w:rFonts w:ascii="Times New Roman" w:hAnsi="Times New Roman"/>
                <w:sz w:val="24"/>
              </w:rPr>
              <w:t>es alapvető tőkeinstrumentumok.</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magában foglalja a kereskedési könyvben nyilvánta</w:t>
            </w:r>
            <w:r>
              <w:rPr>
                <w:rStyle w:val="FormatvorlageInstructionsTabelleText"/>
                <w:rFonts w:ascii="Times New Roman" w:hAnsi="Times New Roman"/>
                <w:sz w:val="24"/>
              </w:rPr>
              <w:t>r</w:t>
            </w:r>
            <w:r>
              <w:rPr>
                <w:rStyle w:val="FormatvorlageInstructionsTabelleText"/>
                <w:rFonts w:ascii="Times New Roman" w:hAnsi="Times New Roman"/>
                <w:sz w:val="24"/>
              </w:rPr>
              <w:t>tott, a nettó hosszú pozíció alapján a CRR 42. cikkének a) pontja szerint számított részesedéseket.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Pr="00110DF5">
              <w:rPr>
                <w:u w:val="single"/>
              </w:rPr>
              <w:tab/>
            </w:r>
            <w:r>
              <w:rPr>
                <w:rStyle w:val="InstructionsTabelleberschrift"/>
                <w:rFonts w:ascii="Times New Roman" w:hAnsi="Times New Roman"/>
                <w:sz w:val="24"/>
              </w:rPr>
              <w:t>(–) Közvetett részesedések CET1 tőkeinstrumentumokban</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114. pontja, 36. cikke (1) bekezdésének f) pontja, valamint 42. cikke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Pr="00110DF5">
              <w:rPr>
                <w:u w:val="single"/>
              </w:rPr>
              <w:tab/>
            </w:r>
            <w:r>
              <w:rPr>
                <w:rStyle w:val="InstructionsTabelleberschrift"/>
                <w:rFonts w:ascii="Times New Roman" w:hAnsi="Times New Roman"/>
                <w:sz w:val="24"/>
              </w:rPr>
              <w:t>(–) Szintetikus részesedések CET1 tőkeinstrumentumo</w:t>
            </w:r>
            <w:r>
              <w:rPr>
                <w:rStyle w:val="InstructionsTabelleberschrift"/>
                <w:rFonts w:ascii="Times New Roman" w:hAnsi="Times New Roman"/>
                <w:sz w:val="24"/>
              </w:rPr>
              <w:t>k</w:t>
            </w:r>
            <w:r>
              <w:rPr>
                <w:rStyle w:val="InstructionsTabelleberschrift"/>
                <w:rFonts w:ascii="Times New Roman" w:hAnsi="Times New Roman"/>
                <w:sz w:val="24"/>
              </w:rPr>
              <w:t>ban</w:t>
            </w:r>
          </w:p>
          <w:p w:rsidR="005643EA" w:rsidRPr="00295225"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 CRR 4. cikke (1) bekezdésének 126. pontja, 36. cikke (1) bekezdésének f) pontja, valamint 42. cikke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sidRPr="00110DF5">
              <w:rPr>
                <w:u w:val="single"/>
              </w:rPr>
              <w:tab/>
            </w:r>
            <w:r>
              <w:rPr>
                <w:rStyle w:val="InstructionsTabelleberschrift"/>
                <w:rFonts w:ascii="Times New Roman" w:hAnsi="Times New Roman"/>
                <w:sz w:val="24"/>
              </w:rPr>
              <w:t>(–) Saját CET1 tőkeinstrumentumok megvásárlására v</w:t>
            </w:r>
            <w:r>
              <w:rPr>
                <w:rStyle w:val="InstructionsTabelleberschrift"/>
                <w:rFonts w:ascii="Times New Roman" w:hAnsi="Times New Roman"/>
                <w:sz w:val="24"/>
              </w:rPr>
              <w:t>o</w:t>
            </w:r>
            <w:r>
              <w:rPr>
                <w:rStyle w:val="InstructionsTabelleberschrift"/>
                <w:rFonts w:ascii="Times New Roman" w:hAnsi="Times New Roman"/>
                <w:sz w:val="24"/>
              </w:rPr>
              <w:t>natkozó tényleges vagy függő kötelezettségek</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36. cikke (1) bekezdésének f) pontja, valamint 42. cikke</w:t>
            </w:r>
          </w:p>
          <w:p w:rsidR="005643EA" w:rsidRPr="00295225"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CRR 36. cikke (1) bekezdésének f) pontja szerint</w:t>
            </w:r>
            <w:r>
              <w:t xml:space="preserve"> le kell vonni „az olyan elsődleges alapvető tőkeinstrumentumokat […], amelyek megvásárlására az intézménynek tényleges vagy függő kötelezettsége van egy hatályos szerz</w:t>
            </w:r>
            <w:r>
              <w:t>ő</w:t>
            </w:r>
            <w:r>
              <w:t>déses kötelezettség értelmében”.</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Pr="00110DF5">
              <w:rPr>
                <w:u w:val="single"/>
              </w:rPr>
              <w:tab/>
            </w:r>
            <w:r>
              <w:rPr>
                <w:rStyle w:val="InstructionsTabelleberschrift"/>
                <w:rFonts w:ascii="Times New Roman" w:hAnsi="Times New Roman"/>
                <w:sz w:val="24"/>
              </w:rPr>
              <w:t>Eredménytartalék</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26. cikke (1) bekezdésének c) pontja, valamint 26. cikkének (2) b</w:t>
            </w:r>
            <w:r>
              <w:rPr>
                <w:rStyle w:val="FormatvorlageInstructionsTabelleText"/>
                <w:rFonts w:ascii="Times New Roman" w:hAnsi="Times New Roman"/>
                <w:sz w:val="24"/>
              </w:rPr>
              <w:t>e</w:t>
            </w:r>
            <w:r>
              <w:rPr>
                <w:rStyle w:val="FormatvorlageInstructionsTabelleText"/>
                <w:rFonts w:ascii="Times New Roman" w:hAnsi="Times New Roman"/>
                <w:sz w:val="24"/>
              </w:rPr>
              <w:t>kezdése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eredménytartalék az előző évi eredménytartalékot és a figyelembe vehető évközi vagy év végi nyereséget vagy veszteséget foglalja magában.</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sidRPr="00657AC4">
              <w:rPr>
                <w:u w:val="single"/>
              </w:rPr>
              <w:tab/>
            </w:r>
            <w:r>
              <w:rPr>
                <w:rStyle w:val="InstructionsTabelleberschrift"/>
                <w:rFonts w:ascii="Times New Roman" w:hAnsi="Times New Roman"/>
                <w:sz w:val="24"/>
              </w:rPr>
              <w:t>Előző évek eredménytartaléka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123. pontja, valamint 26. cikke (1) beke</w:t>
            </w:r>
            <w:r>
              <w:rPr>
                <w:rStyle w:val="FormatvorlageInstructionsTabelleText"/>
                <w:rFonts w:ascii="Times New Roman" w:hAnsi="Times New Roman"/>
                <w:sz w:val="24"/>
              </w:rPr>
              <w:t>z</w:t>
            </w:r>
            <w:r>
              <w:rPr>
                <w:rStyle w:val="FormatvorlageInstructionsTabelleText"/>
                <w:rFonts w:ascii="Times New Roman" w:hAnsi="Times New Roman"/>
                <w:sz w:val="24"/>
              </w:rPr>
              <w:t>désének c) pontja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123. pontja szerint az eredménytartalék „az alkalmazandó számviteli szabályozás alapján az eredmény végső alka</w:t>
            </w:r>
            <w:r>
              <w:rPr>
                <w:rStyle w:val="FormatvorlageInstructionsTabelleText"/>
                <w:rFonts w:ascii="Times New Roman" w:hAnsi="Times New Roman"/>
                <w:sz w:val="24"/>
              </w:rPr>
              <w:t>l</w:t>
            </w:r>
            <w:r>
              <w:rPr>
                <w:rStyle w:val="FormatvorlageInstructionsTabelleText"/>
                <w:rFonts w:ascii="Times New Roman" w:hAnsi="Times New Roman"/>
                <w:sz w:val="24"/>
              </w:rPr>
              <w:t>mazásának következtében áthozott eredmény”.</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Pr="00657AC4">
              <w:rPr>
                <w:u w:val="single"/>
              </w:rPr>
              <w:tab/>
            </w:r>
            <w:r>
              <w:rPr>
                <w:rStyle w:val="InstructionsTabelleberschrift"/>
                <w:rFonts w:ascii="Times New Roman" w:hAnsi="Times New Roman"/>
                <w:sz w:val="24"/>
              </w:rPr>
              <w:t>Figyelembe vehető nyereség/veszteség</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CRR 4. cikke (1) bekezdésének 121. pontja, 26. cikkének (2) bekezdése, valamint 36. cikke (1) bekezdésének a) pontja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26. cikkének (2) bekezdése bizonyos feltételek teljesülése esetén megengedi az évközi vagy év végi nyereségnek az eredménytartalékba tö</w:t>
            </w:r>
            <w:r>
              <w:rPr>
                <w:rStyle w:val="FormatvorlageInstructionsTabelleText"/>
                <w:rFonts w:ascii="Times New Roman" w:hAnsi="Times New Roman"/>
                <w:sz w:val="24"/>
              </w:rPr>
              <w:t>r</w:t>
            </w:r>
            <w:r>
              <w:rPr>
                <w:rStyle w:val="FormatvorlageInstructionsTabelleText"/>
                <w:rFonts w:ascii="Times New Roman" w:hAnsi="Times New Roman"/>
                <w:sz w:val="24"/>
              </w:rPr>
              <w:t>ténő beszámítását, ha azt az illetékes hat</w:t>
            </w:r>
            <w:r w:rsidR="00657AC4">
              <w:rPr>
                <w:rStyle w:val="FormatvorlageInstructionsTabelleText"/>
                <w:rFonts w:ascii="Times New Roman" w:hAnsi="Times New Roman"/>
                <w:sz w:val="24"/>
              </w:rPr>
              <w:t>óságok előzetesen engedélyezik.</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Ugyanakkor a veszteségeket a CRR 36. cikke (1) bekezdésének a) pontja szerint le kell vonni a CET1 tőkéből.</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sidRPr="00657AC4">
              <w:rPr>
                <w:u w:val="single"/>
              </w:rPr>
              <w:tab/>
            </w:r>
            <w:r>
              <w:rPr>
                <w:rStyle w:val="InstructionsTabelleberschrift"/>
                <w:rFonts w:ascii="Times New Roman" w:hAnsi="Times New Roman"/>
                <w:sz w:val="24"/>
              </w:rPr>
              <w:t>Az anyavállalat tulajdonosainak tulajdonítható eredmény</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26. cikkének (2) bekezdése, valamint 36. cikke (1) bekezdésének a) pontja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a számviteli eredménykimutatásban szereplő ere</w:t>
            </w:r>
            <w:r>
              <w:rPr>
                <w:rStyle w:val="FormatvorlageInstructionsTabelleText"/>
                <w:rFonts w:ascii="Times New Roman" w:hAnsi="Times New Roman"/>
                <w:sz w:val="24"/>
              </w:rPr>
              <w:t>d</w:t>
            </w:r>
            <w:r>
              <w:rPr>
                <w:rStyle w:val="FormatvorlageInstructionsTabelleText"/>
                <w:rFonts w:ascii="Times New Roman" w:hAnsi="Times New Roman"/>
                <w:sz w:val="24"/>
              </w:rPr>
              <w:t>mény.</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sidRPr="00657AC4">
              <w:rPr>
                <w:u w:val="single"/>
              </w:rPr>
              <w:tab/>
            </w:r>
            <w:r>
              <w:rPr>
                <w:rStyle w:val="InstructionsTabelleberschrift"/>
                <w:rFonts w:ascii="Times New Roman" w:hAnsi="Times New Roman"/>
                <w:sz w:val="24"/>
              </w:rPr>
              <w:t>(–) Az évközi vagy év végi nyereség figyelembe nem vehető része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26. cikkének (2) bekezdése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Ebben a sorban nem szerepelhet adat akkor, ha az intézmény a referencia-időszakra veszteséget számolt el. Ennek az az oka, hogy a veszteségek teljes összegét le kell vonni a CET1 tőkéből.</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Ha az intézmény nyereséget számol el, akkor a CRR 26. cikkének (2) b</w:t>
            </w:r>
            <w:r>
              <w:rPr>
                <w:rStyle w:val="FormatvorlageInstructionsTabelleText"/>
                <w:rFonts w:ascii="Times New Roman" w:hAnsi="Times New Roman"/>
                <w:sz w:val="24"/>
              </w:rPr>
              <w:t>e</w:t>
            </w:r>
            <w:r>
              <w:rPr>
                <w:rStyle w:val="FormatvorlageInstructionsTabelleText"/>
                <w:rFonts w:ascii="Times New Roman" w:hAnsi="Times New Roman"/>
                <w:sz w:val="24"/>
              </w:rPr>
              <w:t>kezdése szerint figyelembe nem vehető részt (vagyis a nem auditált nyeres</w:t>
            </w:r>
            <w:r>
              <w:rPr>
                <w:rStyle w:val="FormatvorlageInstructionsTabelleText"/>
                <w:rFonts w:ascii="Times New Roman" w:hAnsi="Times New Roman"/>
                <w:sz w:val="24"/>
              </w:rPr>
              <w:t>é</w:t>
            </w:r>
            <w:r>
              <w:rPr>
                <w:rStyle w:val="FormatvorlageInstructionsTabelleText"/>
                <w:rFonts w:ascii="Times New Roman" w:hAnsi="Times New Roman"/>
                <w:sz w:val="24"/>
              </w:rPr>
              <w:t>get és az előre látható terhet vagy osztalékot) kell feltüntetni.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Ügyelni kell arra, hogy nyereség esetén legalább az évközi osztalék összege levonandó.</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sidRPr="00657AC4">
              <w:rPr>
                <w:u w:val="single"/>
              </w:rPr>
              <w:tab/>
            </w:r>
            <w:r>
              <w:rPr>
                <w:rStyle w:val="InstructionsTabelleberschrift"/>
                <w:rFonts w:ascii="Times New Roman" w:hAnsi="Times New Roman"/>
                <w:sz w:val="24"/>
              </w:rPr>
              <w:t>Halmozott egyéb átfogó jövedelem</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100.pontja, valamint 26. cikke (1) beke</w:t>
            </w:r>
            <w:r>
              <w:rPr>
                <w:rStyle w:val="FormatvorlageInstructionsTabelleText"/>
                <w:rFonts w:ascii="Times New Roman" w:hAnsi="Times New Roman"/>
                <w:sz w:val="24"/>
              </w:rPr>
              <w:t>z</w:t>
            </w:r>
            <w:r>
              <w:rPr>
                <w:rStyle w:val="FormatvorlageInstructionsTabelleText"/>
                <w:rFonts w:ascii="Times New Roman" w:hAnsi="Times New Roman"/>
                <w:sz w:val="24"/>
              </w:rPr>
              <w:t>désének d) pontja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a kiszámítás időpontjában előre látható adóterhek l</w:t>
            </w:r>
            <w:r>
              <w:rPr>
                <w:rStyle w:val="FormatvorlageInstructionsTabelleText"/>
                <w:rFonts w:ascii="Times New Roman" w:hAnsi="Times New Roman"/>
                <w:sz w:val="24"/>
              </w:rPr>
              <w:t>e</w:t>
            </w:r>
            <w:r>
              <w:rPr>
                <w:rStyle w:val="FormatvorlageInstructionsTabelleText"/>
                <w:rFonts w:ascii="Times New Roman" w:hAnsi="Times New Roman"/>
                <w:sz w:val="24"/>
              </w:rPr>
              <w:t>vonásával kapott, a prudenciális szűrők alkalmazása előtti összeg. A feltü</w:t>
            </w:r>
            <w:r>
              <w:rPr>
                <w:rStyle w:val="FormatvorlageInstructionsTabelleText"/>
                <w:rFonts w:ascii="Times New Roman" w:hAnsi="Times New Roman"/>
                <w:sz w:val="24"/>
              </w:rPr>
              <w:t>n</w:t>
            </w:r>
            <w:r>
              <w:rPr>
                <w:rStyle w:val="FormatvorlageInstructionsTabelleText"/>
                <w:rFonts w:ascii="Times New Roman" w:hAnsi="Times New Roman"/>
                <w:sz w:val="24"/>
              </w:rPr>
              <w:t>tetendő értéket a 241/2014/EU felhatalmazáson alapuló bizottsági rendelet 13. cikke (4) bekezdésének</w:t>
            </w:r>
            <w:r w:rsidR="00657AC4">
              <w:rPr>
                <w:rStyle w:val="FormatvorlageInstructionsTabelleText"/>
                <w:rFonts w:ascii="Times New Roman" w:hAnsi="Times New Roman"/>
                <w:sz w:val="24"/>
              </w:rPr>
              <w:t xml:space="preserve"> megfelelően kell meghatározni.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sidRPr="00657AC4">
              <w:rPr>
                <w:u w:val="single"/>
              </w:rPr>
              <w:tab/>
            </w:r>
            <w:r>
              <w:rPr>
                <w:rStyle w:val="InstructionsTabelleberschrift"/>
                <w:rFonts w:ascii="Times New Roman" w:hAnsi="Times New Roman"/>
                <w:sz w:val="24"/>
              </w:rPr>
              <w:t>Egyéb tartalékok</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117. pontja, valamint 26. cikke (1) beke</w:t>
            </w:r>
            <w:r>
              <w:rPr>
                <w:rStyle w:val="FormatvorlageInstructionsTabelleText"/>
                <w:rFonts w:ascii="Times New Roman" w:hAnsi="Times New Roman"/>
                <w:sz w:val="24"/>
              </w:rPr>
              <w:t>z</w:t>
            </w:r>
            <w:r>
              <w:rPr>
                <w:rStyle w:val="FormatvorlageInstructionsTabelleText"/>
                <w:rFonts w:ascii="Times New Roman" w:hAnsi="Times New Roman"/>
                <w:sz w:val="24"/>
              </w:rPr>
              <w:t>désének e) pontja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meghatározása szerint az egyéb tartalékok „az alkalmazandó szá</w:t>
            </w:r>
            <w:r>
              <w:rPr>
                <w:rStyle w:val="FormatvorlageInstructionsTabelleText"/>
                <w:rFonts w:ascii="Times New Roman" w:hAnsi="Times New Roman"/>
                <w:sz w:val="24"/>
              </w:rPr>
              <w:t>m</w:t>
            </w:r>
            <w:r>
              <w:rPr>
                <w:rStyle w:val="FormatvorlageInstructionsTabelleText"/>
                <w:rFonts w:ascii="Times New Roman" w:hAnsi="Times New Roman"/>
                <w:sz w:val="24"/>
              </w:rPr>
              <w:t>viteli szabályozás szerinti tartalékok, amelyeket az említett alkalmazandó számviteli standard alapján nyilvánosságra kell hozni, kivéve azokat az ö</w:t>
            </w:r>
            <w:r>
              <w:rPr>
                <w:rStyle w:val="FormatvorlageInstructionsTabelleText"/>
                <w:rFonts w:ascii="Times New Roman" w:hAnsi="Times New Roman"/>
                <w:sz w:val="24"/>
              </w:rPr>
              <w:t>s</w:t>
            </w:r>
            <w:r>
              <w:rPr>
                <w:rStyle w:val="FormatvorlageInstructionsTabelleText"/>
                <w:rFonts w:ascii="Times New Roman" w:hAnsi="Times New Roman"/>
                <w:sz w:val="24"/>
              </w:rPr>
              <w:t>szegeket, amelyeket már tartalmaz a halmozott egyéb átfogó jövedelem vagy az eredménytartalék”.</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a kiszámítás időpontjában előre látható adóterhek l</w:t>
            </w:r>
            <w:r>
              <w:rPr>
                <w:rStyle w:val="FormatvorlageInstructionsTabelleText"/>
                <w:rFonts w:ascii="Times New Roman" w:hAnsi="Times New Roman"/>
                <w:sz w:val="24"/>
              </w:rPr>
              <w:t>e</w:t>
            </w:r>
            <w:r>
              <w:rPr>
                <w:rStyle w:val="FormatvorlageInstructionsTabelleText"/>
                <w:rFonts w:ascii="Times New Roman" w:hAnsi="Times New Roman"/>
                <w:sz w:val="24"/>
              </w:rPr>
              <w:t>vonásával kapott összeg.</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sidRPr="00657AC4">
              <w:rPr>
                <w:u w:val="single"/>
              </w:rPr>
              <w:tab/>
            </w:r>
            <w:r>
              <w:rPr>
                <w:rStyle w:val="InstructionsTabelleberschrift"/>
                <w:rFonts w:ascii="Times New Roman" w:hAnsi="Times New Roman"/>
                <w:sz w:val="24"/>
              </w:rPr>
              <w:t>Általános banki kockázatok fedezetére képzett tartalékok</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112. pontja, valamint 26. cikke (1) beke</w:t>
            </w:r>
            <w:r>
              <w:rPr>
                <w:rStyle w:val="FormatvorlageInstructionsTabelleText"/>
                <w:rFonts w:ascii="Times New Roman" w:hAnsi="Times New Roman"/>
                <w:sz w:val="24"/>
              </w:rPr>
              <w:t>z</w:t>
            </w:r>
            <w:r>
              <w:rPr>
                <w:rStyle w:val="FormatvorlageInstructionsTabelleText"/>
                <w:rFonts w:ascii="Times New Roman" w:hAnsi="Times New Roman"/>
                <w:sz w:val="24"/>
              </w:rPr>
              <w:lastRenderedPageBreak/>
              <w:t>désének f) pontja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86/635/EGK irányelv 38. cikkének meghatározása szerint az általános banki kockázatok fedezetére képzett tartalékok olyan összegek, „amelye</w:t>
            </w:r>
            <w:r>
              <w:rPr>
                <w:rStyle w:val="FormatvorlageInstructionsTabelleText"/>
                <w:rFonts w:ascii="Times New Roman" w:hAnsi="Times New Roman"/>
                <w:sz w:val="24"/>
              </w:rPr>
              <w:t>k</w:t>
            </w:r>
            <w:r>
              <w:rPr>
                <w:rStyle w:val="FormatvorlageInstructionsTabelleText"/>
                <w:rFonts w:ascii="Times New Roman" w:hAnsi="Times New Roman"/>
                <w:sz w:val="24"/>
              </w:rPr>
              <w:t>nek elkülönítéséről a hitelintézet a szóban forgó kockázatok fedezetének bi</w:t>
            </w:r>
            <w:r>
              <w:rPr>
                <w:rStyle w:val="FormatvorlageInstructionsTabelleText"/>
                <w:rFonts w:ascii="Times New Roman" w:hAnsi="Times New Roman"/>
                <w:sz w:val="24"/>
              </w:rPr>
              <w:t>z</w:t>
            </w:r>
            <w:r>
              <w:rPr>
                <w:rStyle w:val="FormatvorlageInstructionsTabelleText"/>
                <w:rFonts w:ascii="Times New Roman" w:hAnsi="Times New Roman"/>
                <w:sz w:val="24"/>
              </w:rPr>
              <w:t>tosítása érdekében dönt, amennyiben ezt a banki ügyletekhez kapcsolódó k</w:t>
            </w:r>
            <w:r>
              <w:rPr>
                <w:rStyle w:val="FormatvorlageInstructionsTabelleText"/>
                <w:rFonts w:ascii="Times New Roman" w:hAnsi="Times New Roman"/>
                <w:sz w:val="24"/>
              </w:rPr>
              <w:t>ü</w:t>
            </w:r>
            <w:r>
              <w:rPr>
                <w:rStyle w:val="FormatvorlageInstructionsTabelleText"/>
                <w:rFonts w:ascii="Times New Roman" w:hAnsi="Times New Roman"/>
                <w:sz w:val="24"/>
              </w:rPr>
              <w:t>lönleges kockázat megköveteli.”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a kiszámítás időpontjában előre látható adóterhek l</w:t>
            </w:r>
            <w:r>
              <w:rPr>
                <w:rStyle w:val="FormatvorlageInstructionsTabelleText"/>
                <w:rFonts w:ascii="Times New Roman" w:hAnsi="Times New Roman"/>
                <w:sz w:val="24"/>
              </w:rPr>
              <w:t>e</w:t>
            </w:r>
            <w:r>
              <w:rPr>
                <w:rStyle w:val="FormatvorlageInstructionsTabelleText"/>
                <w:rFonts w:ascii="Times New Roman" w:hAnsi="Times New Roman"/>
                <w:sz w:val="24"/>
              </w:rPr>
              <w:t>vonásával kapott összeg.</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220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sidRPr="00657AC4">
              <w:rPr>
                <w:u w:val="single"/>
              </w:rPr>
              <w:tab/>
            </w:r>
            <w:r>
              <w:rPr>
                <w:rStyle w:val="InstructionsTabelleberschrift"/>
                <w:rFonts w:ascii="Times New Roman" w:hAnsi="Times New Roman"/>
                <w:sz w:val="24"/>
              </w:rPr>
              <w:t>Szerzett jogok alapján figyelembe vett CET1 tőkeinstr</w:t>
            </w:r>
            <w:r>
              <w:rPr>
                <w:rStyle w:val="InstructionsTabelleberschrift"/>
                <w:rFonts w:ascii="Times New Roman" w:hAnsi="Times New Roman"/>
                <w:sz w:val="24"/>
              </w:rPr>
              <w:t>u</w:t>
            </w:r>
            <w:r>
              <w:rPr>
                <w:rStyle w:val="InstructionsTabelleberschrift"/>
                <w:rFonts w:ascii="Times New Roman" w:hAnsi="Times New Roman"/>
                <w:sz w:val="24"/>
              </w:rPr>
              <w:t>mentumok miatti átmeneti kiigazítások</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483. cikkének (1)–(3) bekezdése, valamint 484–487. cikke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szerzett jogokkal kapcsolatos rendelkezések alapján átmenetileg CET1 t</w:t>
            </w:r>
            <w:r>
              <w:rPr>
                <w:rStyle w:val="FormatvorlageInstructionsTabelleText"/>
                <w:rFonts w:ascii="Times New Roman" w:hAnsi="Times New Roman"/>
                <w:sz w:val="24"/>
              </w:rPr>
              <w:t>ő</w:t>
            </w:r>
            <w:r>
              <w:rPr>
                <w:rStyle w:val="FormatvorlageInstructionsTabelleText"/>
                <w:rFonts w:ascii="Times New Roman" w:hAnsi="Times New Roman"/>
                <w:sz w:val="24"/>
              </w:rPr>
              <w:t>kének minősített tőkeinstrumentumok összege. A feltüntetendő értéket kö</w:t>
            </w:r>
            <w:r>
              <w:rPr>
                <w:rStyle w:val="FormatvorlageInstructionsTabelleText"/>
                <w:rFonts w:ascii="Times New Roman" w:hAnsi="Times New Roman"/>
                <w:sz w:val="24"/>
              </w:rPr>
              <w:t>z</w:t>
            </w:r>
            <w:r>
              <w:rPr>
                <w:rStyle w:val="FormatvorlageInstructionsTabelleText"/>
                <w:rFonts w:ascii="Times New Roman" w:hAnsi="Times New Roman"/>
                <w:sz w:val="24"/>
              </w:rPr>
              <w:t>vetlenül a CA5 tábláról kell átvezetni.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sidRPr="00657AC4">
              <w:rPr>
                <w:u w:val="single"/>
              </w:rPr>
              <w:tab/>
            </w:r>
            <w:r>
              <w:rPr>
                <w:rStyle w:val="InstructionsTabelleberschrift"/>
                <w:rFonts w:ascii="Times New Roman" w:hAnsi="Times New Roman"/>
                <w:sz w:val="24"/>
              </w:rPr>
              <w:t>CET1 tőkében megjelenített kisebbségi részesedés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120. pontja és 84. cikke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leányvállalatok összes kisebbségi részesedésének a konszolidált elsődl</w:t>
            </w:r>
            <w:r>
              <w:rPr>
                <w:rStyle w:val="FormatvorlageInstructionsTabelleText"/>
                <w:rFonts w:ascii="Times New Roman" w:hAnsi="Times New Roman"/>
                <w:sz w:val="24"/>
              </w:rPr>
              <w:t>e</w:t>
            </w:r>
            <w:r>
              <w:rPr>
                <w:rStyle w:val="FormatvorlageInstructionsTabelleText"/>
                <w:rFonts w:ascii="Times New Roman" w:hAnsi="Times New Roman"/>
                <w:sz w:val="24"/>
              </w:rPr>
              <w:t>ges alapvető tőkébe beszámított összege.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sidRPr="00657AC4">
              <w:rPr>
                <w:u w:val="single"/>
              </w:rPr>
              <w:tab/>
            </w:r>
            <w:r>
              <w:rPr>
                <w:rStyle w:val="InstructionsTabelleberschrift"/>
                <w:rFonts w:ascii="Times New Roman" w:hAnsi="Times New Roman"/>
                <w:sz w:val="24"/>
              </w:rPr>
              <w:t>Kisebbségi részesedések és megfelelőik miatti átmeneti k</w:t>
            </w:r>
            <w:r>
              <w:rPr>
                <w:rStyle w:val="InstructionsTabelleberschrift"/>
                <w:rFonts w:ascii="Times New Roman" w:hAnsi="Times New Roman"/>
                <w:sz w:val="24"/>
              </w:rPr>
              <w:t>i</w:t>
            </w:r>
            <w:r>
              <w:rPr>
                <w:rStyle w:val="InstructionsTabelleberschrift"/>
                <w:rFonts w:ascii="Times New Roman" w:hAnsi="Times New Roman"/>
                <w:sz w:val="24"/>
              </w:rPr>
              <w:t>igazítások</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479. és 480. cikke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kisebbségi részesedésekben az átmeneti rendelkezések miatt végrehajtott kiigazítások. A tételt közvetlenül a CA5 tábláról kell átvezetni.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sidRPr="00657AC4">
              <w:rPr>
                <w:u w:val="single"/>
              </w:rPr>
              <w:tab/>
            </w:r>
            <w:r>
              <w:rPr>
                <w:rStyle w:val="InstructionsTabelleberschrift"/>
                <w:rFonts w:ascii="Times New Roman" w:hAnsi="Times New Roman"/>
                <w:sz w:val="24"/>
              </w:rPr>
              <w:t>Prudenciális szűrők miatt végrehajtott kiigazítások a CET1 tőkében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CRR 32–35. cikke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sidRPr="00657AC4">
              <w:rPr>
                <w:u w:val="single"/>
              </w:rPr>
              <w:tab/>
            </w:r>
            <w:r>
              <w:rPr>
                <w:rStyle w:val="InstructionsTabelleberschrift"/>
                <w:rFonts w:ascii="Times New Roman" w:hAnsi="Times New Roman"/>
                <w:sz w:val="24"/>
              </w:rPr>
              <w:t>(–) Értékpapírosított eszközökből származó növekedés a saját tőkében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32. cikkének (1) bekezdése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az intézmény saját tőkéjének az alkalmazandó számv</w:t>
            </w:r>
            <w:r>
              <w:rPr>
                <w:rStyle w:val="FormatvorlageInstructionsTabelleText"/>
                <w:rFonts w:ascii="Times New Roman" w:hAnsi="Times New Roman"/>
                <w:sz w:val="24"/>
              </w:rPr>
              <w:t>i</w:t>
            </w:r>
            <w:r>
              <w:rPr>
                <w:rStyle w:val="FormatvorlageInstructionsTabelleText"/>
                <w:rFonts w:ascii="Times New Roman" w:hAnsi="Times New Roman"/>
                <w:sz w:val="24"/>
              </w:rPr>
              <w:t>teli szabályozás szerint az értékpapírosított eszközökből származó növek</w:t>
            </w:r>
            <w:r>
              <w:rPr>
                <w:rStyle w:val="FormatvorlageInstructionsTabelleText"/>
                <w:rFonts w:ascii="Times New Roman" w:hAnsi="Times New Roman"/>
                <w:sz w:val="24"/>
              </w:rPr>
              <w:t>e</w:t>
            </w:r>
            <w:r>
              <w:rPr>
                <w:rStyle w:val="FormatvorlageInstructionsTabelleText"/>
                <w:rFonts w:ascii="Times New Roman" w:hAnsi="Times New Roman"/>
                <w:sz w:val="24"/>
              </w:rPr>
              <w:t>dése.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 a tétel magában foglalja például azt a jövőbeli kamatjövedelmet, amely az intézmény számára értékesítésből származó nyereséget eredményez, vagy az értékpapírosítás kezdeményezője esetében az értékpapírosított eszközö</w:t>
            </w:r>
            <w:r>
              <w:rPr>
                <w:rStyle w:val="FormatvorlageInstructionsTabelleText"/>
                <w:rFonts w:ascii="Times New Roman" w:hAnsi="Times New Roman"/>
                <w:sz w:val="24"/>
              </w:rPr>
              <w:t>k</w:t>
            </w:r>
            <w:r>
              <w:rPr>
                <w:rStyle w:val="FormatvorlageInstructionsTabelleText"/>
                <w:rFonts w:ascii="Times New Roman" w:hAnsi="Times New Roman"/>
                <w:sz w:val="24"/>
              </w:rPr>
              <w:t>ből származó jövőbeni jövedelem tőkésítéséből származó és az értékpapír</w:t>
            </w:r>
            <w:r>
              <w:rPr>
                <w:rStyle w:val="FormatvorlageInstructionsTabelleText"/>
                <w:rFonts w:ascii="Times New Roman" w:hAnsi="Times New Roman"/>
                <w:sz w:val="24"/>
              </w:rPr>
              <w:t>o</w:t>
            </w:r>
            <w:r>
              <w:rPr>
                <w:rStyle w:val="FormatvorlageInstructionsTabelleText"/>
                <w:rFonts w:ascii="Times New Roman" w:hAnsi="Times New Roman"/>
                <w:sz w:val="24"/>
              </w:rPr>
              <w:t>sítás hitelminőségét javító nettó nyereséget.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62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sidRPr="00657AC4">
              <w:rPr>
                <w:u w:val="single"/>
              </w:rPr>
              <w:tab/>
            </w:r>
            <w:r>
              <w:rPr>
                <w:rStyle w:val="InstructionsTabelleberschrift"/>
                <w:rFonts w:ascii="Times New Roman" w:hAnsi="Times New Roman"/>
                <w:sz w:val="24"/>
              </w:rPr>
              <w:t>Cash flow fedezeti ügyletek tartaléka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33. cikke (1) bekezdésének a) pontja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feltüntetendő érték pozitív és negatív is lehet. Pozitív akkor, ha a cash flow fedezeti ügyleteken veszteség keletkezik (vagyis ha az csökkenti a </w:t>
            </w:r>
            <w:r>
              <w:rPr>
                <w:rStyle w:val="FormatvorlageInstructionsTabelleText"/>
                <w:rFonts w:ascii="Times New Roman" w:hAnsi="Times New Roman"/>
                <w:sz w:val="24"/>
              </w:rPr>
              <w:lastRenderedPageBreak/>
              <w:t xml:space="preserve">számviteli tőkét), és fordítva. </w:t>
            </w:r>
            <w:proofErr w:type="gramStart"/>
            <w:r>
              <w:rPr>
                <w:rStyle w:val="FormatvorlageInstructionsTabelleText"/>
                <w:rFonts w:ascii="Times New Roman" w:hAnsi="Times New Roman"/>
                <w:sz w:val="24"/>
              </w:rPr>
              <w:t>Ennélfogva</w:t>
            </w:r>
            <w:proofErr w:type="gramEnd"/>
            <w:r>
              <w:rPr>
                <w:rStyle w:val="FormatvorlageInstructionsTabelleText"/>
                <w:rFonts w:ascii="Times New Roman" w:hAnsi="Times New Roman"/>
                <w:sz w:val="24"/>
              </w:rPr>
              <w:t xml:space="preserve"> előjele ellentétes a számviteli k</w:t>
            </w:r>
            <w:r>
              <w:rPr>
                <w:rStyle w:val="FormatvorlageInstructionsTabelleText"/>
                <w:rFonts w:ascii="Times New Roman" w:hAnsi="Times New Roman"/>
                <w:sz w:val="24"/>
              </w:rPr>
              <w:t>i</w:t>
            </w:r>
            <w:r>
              <w:rPr>
                <w:rStyle w:val="FormatvorlageInstructionsTabelleText"/>
                <w:rFonts w:ascii="Times New Roman" w:hAnsi="Times New Roman"/>
                <w:sz w:val="24"/>
              </w:rPr>
              <w:t>mutatásokban szereplő tételek előjelével.</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összeg a kiszámítás időpontjában előre látható adóterhek levonásával k</w:t>
            </w:r>
            <w:r>
              <w:rPr>
                <w:rStyle w:val="FormatvorlageInstructionsTabelleText"/>
                <w:rFonts w:ascii="Times New Roman" w:hAnsi="Times New Roman"/>
                <w:sz w:val="24"/>
              </w:rPr>
              <w:t>a</w:t>
            </w:r>
            <w:r>
              <w:rPr>
                <w:rStyle w:val="FormatvorlageInstructionsTabelleText"/>
                <w:rFonts w:ascii="Times New Roman" w:hAnsi="Times New Roman"/>
                <w:sz w:val="24"/>
              </w:rPr>
              <w:t>pott összeg.</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280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sidRPr="00657AC4">
              <w:rPr>
                <w:u w:val="single"/>
              </w:rPr>
              <w:tab/>
            </w:r>
            <w:r>
              <w:rPr>
                <w:rStyle w:val="InstructionsTabelleberschrift"/>
                <w:rFonts w:ascii="Times New Roman" w:hAnsi="Times New Roman"/>
                <w:sz w:val="24"/>
              </w:rPr>
              <w:t>Valós értéken értékelt kötelezettségekben a saját hitelko</w:t>
            </w:r>
            <w:r>
              <w:rPr>
                <w:rStyle w:val="InstructionsTabelleberschrift"/>
                <w:rFonts w:ascii="Times New Roman" w:hAnsi="Times New Roman"/>
                <w:sz w:val="24"/>
              </w:rPr>
              <w:t>c</w:t>
            </w:r>
            <w:r>
              <w:rPr>
                <w:rStyle w:val="InstructionsTabelleberschrift"/>
                <w:rFonts w:ascii="Times New Roman" w:hAnsi="Times New Roman"/>
                <w:sz w:val="24"/>
              </w:rPr>
              <w:t>kázat változásából származó halmozott nyereség vagy veszteség</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33. cikke (1) bekezdésének b) pontja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pozitív és negatív is lehet. Pozitív akkor, ha a saját h</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telkockázat változásaiból veszteség származik (vagyis ha az csökkenti a számviteli tőkét), és fordítva. </w:t>
            </w:r>
            <w:proofErr w:type="gramStart"/>
            <w:r>
              <w:rPr>
                <w:rStyle w:val="FormatvorlageInstructionsTabelleText"/>
                <w:rFonts w:ascii="Times New Roman" w:hAnsi="Times New Roman"/>
                <w:sz w:val="24"/>
              </w:rPr>
              <w:t>Ennélfogva</w:t>
            </w:r>
            <w:proofErr w:type="gramEnd"/>
            <w:r>
              <w:rPr>
                <w:rStyle w:val="FormatvorlageInstructionsTabelleText"/>
                <w:rFonts w:ascii="Times New Roman" w:hAnsi="Times New Roman"/>
                <w:sz w:val="24"/>
              </w:rPr>
              <w:t xml:space="preserve"> előjele ellentétes a számviteli k</w:t>
            </w:r>
            <w:r>
              <w:rPr>
                <w:rStyle w:val="FormatvorlageInstructionsTabelleText"/>
                <w:rFonts w:ascii="Times New Roman" w:hAnsi="Times New Roman"/>
                <w:sz w:val="24"/>
              </w:rPr>
              <w:t>i</w:t>
            </w:r>
            <w:r>
              <w:rPr>
                <w:rStyle w:val="FormatvorlageInstructionsTabelleText"/>
                <w:rFonts w:ascii="Times New Roman" w:hAnsi="Times New Roman"/>
                <w:sz w:val="24"/>
              </w:rPr>
              <w:t>mutatásokban szereplő tételek előjelével.</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tétel nem tartalmazhat nem auditált nyereséget.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285</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sidRPr="00657AC4">
              <w:rPr>
                <w:u w:val="single"/>
              </w:rPr>
              <w:tab/>
            </w:r>
            <w:r>
              <w:rPr>
                <w:rStyle w:val="InstructionsTabelleberschrift"/>
                <w:rFonts w:ascii="Times New Roman" w:hAnsi="Times New Roman"/>
                <w:sz w:val="24"/>
              </w:rPr>
              <w:t>Származtatott ügyletekből eredő kötelezettségekhez ka</w:t>
            </w:r>
            <w:r>
              <w:rPr>
                <w:rStyle w:val="InstructionsTabelleberschrift"/>
                <w:rFonts w:ascii="Times New Roman" w:hAnsi="Times New Roman"/>
                <w:sz w:val="24"/>
              </w:rPr>
              <w:t>p</w:t>
            </w:r>
            <w:r>
              <w:rPr>
                <w:rStyle w:val="InstructionsTabelleberschrift"/>
                <w:rFonts w:ascii="Times New Roman" w:hAnsi="Times New Roman"/>
                <w:sz w:val="24"/>
              </w:rPr>
              <w:t>csolódó, az intézmény saját hitelkockázatából adódó valósérték-növekedés és -csökkenés</w:t>
            </w:r>
          </w:p>
          <w:p w:rsidR="005643EA" w:rsidRPr="00392FFD" w:rsidRDefault="00855D5F"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33. cikke (1) bekezdésének c) pontja, valamint 33. cikkének (2) b</w:t>
            </w:r>
            <w:r>
              <w:rPr>
                <w:rStyle w:val="FormatvorlageInstructionsTabelleText"/>
                <w:rFonts w:ascii="Times New Roman" w:hAnsi="Times New Roman"/>
                <w:sz w:val="24"/>
              </w:rPr>
              <w:t>e</w:t>
            </w:r>
            <w:r>
              <w:rPr>
                <w:rStyle w:val="FormatvorlageInstructionsTabelleText"/>
                <w:rFonts w:ascii="Times New Roman" w:hAnsi="Times New Roman"/>
                <w:sz w:val="24"/>
              </w:rPr>
              <w:t>kezdése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pozitív és negatív is lehet. Pozitív akkor, ha a saját h</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telkockázat változásaiból veszteség származik, és fordítva. </w:t>
            </w:r>
            <w:proofErr w:type="gramStart"/>
            <w:r>
              <w:rPr>
                <w:rStyle w:val="FormatvorlageInstructionsTabelleText"/>
                <w:rFonts w:ascii="Times New Roman" w:hAnsi="Times New Roman"/>
                <w:sz w:val="24"/>
              </w:rPr>
              <w:t>Ennélfogva</w:t>
            </w:r>
            <w:proofErr w:type="gramEnd"/>
            <w:r>
              <w:rPr>
                <w:rStyle w:val="FormatvorlageInstructionsTabelleText"/>
                <w:rFonts w:ascii="Times New Roman" w:hAnsi="Times New Roman"/>
                <w:sz w:val="24"/>
              </w:rPr>
              <w:t xml:space="preserve"> előj</w:t>
            </w:r>
            <w:r>
              <w:rPr>
                <w:rStyle w:val="FormatvorlageInstructionsTabelleText"/>
                <w:rFonts w:ascii="Times New Roman" w:hAnsi="Times New Roman"/>
                <w:sz w:val="24"/>
              </w:rPr>
              <w:t>e</w:t>
            </w:r>
            <w:r>
              <w:rPr>
                <w:rStyle w:val="FormatvorlageInstructionsTabelleText"/>
                <w:rFonts w:ascii="Times New Roman" w:hAnsi="Times New Roman"/>
                <w:sz w:val="24"/>
              </w:rPr>
              <w:t>le ellentétes a számviteli kimutatásokban szereplő tételek előjelével.</w:t>
            </w:r>
          </w:p>
          <w:p w:rsidR="005643EA" w:rsidRPr="00295225"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 tétel nem tartalmazhat nem auditált nyereséget.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sidRPr="00657AC4">
              <w:rPr>
                <w:i/>
                <w:u w:val="single"/>
              </w:rPr>
              <w:tab/>
            </w:r>
            <w:r>
              <w:rPr>
                <w:rStyle w:val="InstructionsTabelleberschrift"/>
                <w:rFonts w:ascii="Times New Roman" w:hAnsi="Times New Roman"/>
                <w:sz w:val="24"/>
              </w:rPr>
              <w:t>(–) Prudens értékelés követelményei miatti értékelési ko</w:t>
            </w:r>
            <w:r>
              <w:rPr>
                <w:rStyle w:val="InstructionsTabelleberschrift"/>
                <w:rFonts w:ascii="Times New Roman" w:hAnsi="Times New Roman"/>
                <w:sz w:val="24"/>
              </w:rPr>
              <w:t>r</w:t>
            </w:r>
            <w:r>
              <w:rPr>
                <w:rStyle w:val="InstructionsTabelleberschrift"/>
                <w:rFonts w:ascii="Times New Roman" w:hAnsi="Times New Roman"/>
                <w:sz w:val="24"/>
              </w:rPr>
              <w:t>rekció</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34. és 105. cikke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kereskedési könyvben vagy a nem kereskedési könyvben nyilvántartott k</w:t>
            </w:r>
            <w:r>
              <w:rPr>
                <w:rStyle w:val="FormatvorlageInstructionsTabelleText"/>
                <w:rFonts w:ascii="Times New Roman" w:hAnsi="Times New Roman"/>
                <w:sz w:val="24"/>
              </w:rPr>
              <w:t>i</w:t>
            </w:r>
            <w:r>
              <w:rPr>
                <w:rStyle w:val="FormatvorlageInstructionsTabelleText"/>
                <w:rFonts w:ascii="Times New Roman" w:hAnsi="Times New Roman"/>
                <w:sz w:val="24"/>
              </w:rPr>
              <w:t>tettségek valós értékének kiigazításai, amelyekre a CRR 105. cikkében a prudenciális értékelésre vonatkozóan előírt szigorúbb szabályok miatt kerül sor.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sidRPr="00657AC4">
              <w:rPr>
                <w:u w:val="single"/>
              </w:rPr>
              <w:tab/>
            </w:r>
            <w:r>
              <w:rPr>
                <w:rStyle w:val="InstructionsTabelleberschrift"/>
                <w:rFonts w:ascii="Times New Roman" w:hAnsi="Times New Roman"/>
                <w:sz w:val="24"/>
              </w:rPr>
              <w:t>(–) Cégérték (goodwill)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113. pontja, 36. cikke (1) bekezdésének b) pontja, valamint 37. cikke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Pr="00657AC4">
              <w:rPr>
                <w:u w:val="single"/>
              </w:rPr>
              <w:tab/>
            </w:r>
            <w:r>
              <w:rPr>
                <w:rStyle w:val="InstructionsTabelleberschrift"/>
                <w:rFonts w:ascii="Times New Roman" w:hAnsi="Times New Roman"/>
                <w:sz w:val="24"/>
              </w:rPr>
              <w:t>(–) Immateriális javak között elszámolt cégérték</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113 pontja, valamint 36. cikke (1) beke</w:t>
            </w:r>
            <w:r>
              <w:rPr>
                <w:rStyle w:val="FormatvorlageInstructionsTabelleText"/>
                <w:rFonts w:ascii="Times New Roman" w:hAnsi="Times New Roman"/>
                <w:sz w:val="24"/>
              </w:rPr>
              <w:t>z</w:t>
            </w:r>
            <w:r>
              <w:rPr>
                <w:rStyle w:val="FormatvorlageInstructionsTabelleText"/>
                <w:rFonts w:ascii="Times New Roman" w:hAnsi="Times New Roman"/>
                <w:sz w:val="24"/>
              </w:rPr>
              <w:t>désének b) pontja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cégérték jelentése egyezik az alkalmazandó számviteli szabályozás szeri</w:t>
            </w:r>
            <w:r>
              <w:rPr>
                <w:rStyle w:val="FormatvorlageInstructionsTabelleText"/>
                <w:rFonts w:ascii="Times New Roman" w:hAnsi="Times New Roman"/>
                <w:sz w:val="24"/>
              </w:rPr>
              <w:t>n</w:t>
            </w:r>
            <w:r>
              <w:rPr>
                <w:rStyle w:val="FormatvorlageInstructionsTabelleText"/>
                <w:rFonts w:ascii="Times New Roman" w:hAnsi="Times New Roman"/>
                <w:sz w:val="24"/>
              </w:rPr>
              <w:t>ti jelentéssel.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itt feltüntetendő érték azonos a mérlegben szerepeltetett összeggel.</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620" w:type="dxa"/>
          </w:tcPr>
          <w:p w:rsidR="005643EA" w:rsidRPr="00392FFD" w:rsidRDefault="00855D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sidRPr="00657AC4">
              <w:rPr>
                <w:u w:val="single"/>
              </w:rPr>
              <w:tab/>
            </w:r>
            <w:r>
              <w:rPr>
                <w:rStyle w:val="InstructionsTabelleberschrift"/>
                <w:rFonts w:ascii="Times New Roman" w:hAnsi="Times New Roman"/>
                <w:sz w:val="24"/>
              </w:rPr>
              <w:t>(–) Jelentős részesedések értékelésébe beszámított cégé</w:t>
            </w:r>
            <w:r>
              <w:rPr>
                <w:rStyle w:val="InstructionsTabelleberschrift"/>
                <w:rFonts w:ascii="Times New Roman" w:hAnsi="Times New Roman"/>
                <w:sz w:val="24"/>
              </w:rPr>
              <w:t>r</w:t>
            </w:r>
            <w:r>
              <w:rPr>
                <w:rStyle w:val="InstructionsTabelleberschrift"/>
                <w:rFonts w:ascii="Times New Roman" w:hAnsi="Times New Roman"/>
                <w:sz w:val="24"/>
              </w:rPr>
              <w:t>ték</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37. cikkének b) pontja, valamint 43. cikke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330</w:t>
            </w:r>
          </w:p>
        </w:tc>
        <w:tc>
          <w:tcPr>
            <w:tcW w:w="7620" w:type="dxa"/>
          </w:tcPr>
          <w:p w:rsidR="005643EA" w:rsidRPr="00295225"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sidRPr="00657AC4">
              <w:rPr>
                <w:u w:val="single"/>
              </w:rPr>
              <w:tab/>
            </w:r>
            <w:r>
              <w:rPr>
                <w:rStyle w:val="InstructionsTabelleberschrift"/>
                <w:rFonts w:ascii="Times New Roman" w:hAnsi="Times New Roman"/>
                <w:sz w:val="24"/>
              </w:rPr>
              <w:t>Cégértékhez kapcsolódó halasztott adókötelezettségek</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37. cikkének a) pontja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Azon halasztott adókötelezettségek összege, amelyek megszűnnének, ha a cégérték értékvesztést szenvedne el, vagy az alkalmazandó számviteli szab</w:t>
            </w:r>
            <w:r>
              <w:rPr>
                <w:rStyle w:val="FormatvorlageInstructionsTabelleText"/>
                <w:rFonts w:ascii="Times New Roman" w:hAnsi="Times New Roman"/>
                <w:sz w:val="24"/>
              </w:rPr>
              <w:t>á</w:t>
            </w:r>
            <w:r>
              <w:rPr>
                <w:rStyle w:val="FormatvorlageInstructionsTabelleText"/>
                <w:rFonts w:ascii="Times New Roman" w:hAnsi="Times New Roman"/>
                <w:sz w:val="24"/>
              </w:rPr>
              <w:t>lyozás szerint kivezetésre kerülne.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sidRPr="00657AC4">
              <w:rPr>
                <w:u w:val="single"/>
              </w:rPr>
              <w:tab/>
            </w:r>
            <w:r>
              <w:rPr>
                <w:rStyle w:val="InstructionsTabelleberschrift"/>
                <w:rFonts w:ascii="Times New Roman" w:hAnsi="Times New Roman"/>
                <w:sz w:val="24"/>
              </w:rPr>
              <w:t>(–) Egyéb immateriális javak</w:t>
            </w:r>
          </w:p>
          <w:p w:rsidR="009339C1"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115. pontja, 36. cikke (1) bekezdésének b) pontja, valamint 37. cikkének a) pontja</w:t>
            </w:r>
          </w:p>
          <w:p w:rsidR="005643EA" w:rsidRPr="00392FFD" w:rsidRDefault="009339C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egyéb immateriális javak értéke az alkalmazandó számviteli szabályozás szerint immateriális javaknak minősülő eszközök értéke, amelyet a cégérték az alkalmazandó számviteli szabályozás szerint csökkent.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sidRPr="00657AC4">
              <w:rPr>
                <w:u w:val="single"/>
              </w:rPr>
              <w:tab/>
            </w:r>
            <w:r>
              <w:rPr>
                <w:rStyle w:val="InstructionsTabelleberschrift"/>
                <w:rFonts w:ascii="Times New Roman" w:hAnsi="Times New Roman"/>
                <w:sz w:val="24"/>
              </w:rPr>
              <w:t>(–) Egyéb immateriális javak a halasztott adókötelezetts</w:t>
            </w:r>
            <w:r>
              <w:rPr>
                <w:rStyle w:val="InstructionsTabelleberschrift"/>
                <w:rFonts w:ascii="Times New Roman" w:hAnsi="Times New Roman"/>
                <w:sz w:val="24"/>
              </w:rPr>
              <w:t>é</w:t>
            </w:r>
            <w:r>
              <w:rPr>
                <w:rStyle w:val="InstructionsTabelleberschrift"/>
                <w:rFonts w:ascii="Times New Roman" w:hAnsi="Times New Roman"/>
                <w:sz w:val="24"/>
              </w:rPr>
              <w:t>gek levonása előtt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115 pontja, valamint 36. cikke (1) beke</w:t>
            </w:r>
            <w:r>
              <w:rPr>
                <w:rStyle w:val="FormatvorlageInstructionsTabelleText"/>
                <w:rFonts w:ascii="Times New Roman" w:hAnsi="Times New Roman"/>
                <w:sz w:val="24"/>
              </w:rPr>
              <w:t>z</w:t>
            </w:r>
            <w:r>
              <w:rPr>
                <w:rStyle w:val="FormatvorlageInstructionsTabelleText"/>
                <w:rFonts w:ascii="Times New Roman" w:hAnsi="Times New Roman"/>
                <w:sz w:val="24"/>
              </w:rPr>
              <w:t>désének b) pontja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egyéb immateriális javak értéke az alkalmazandó számviteli szabályozás szerint immateriális javaknak minősülő eszközök értéke, amelyet a cégérték az alkalmazandó számviteli szabályozás szerint csökkent.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itt feltüntetendő érték megegyezik a mérlegben szerepeltetett, a cégért</w:t>
            </w:r>
            <w:r>
              <w:rPr>
                <w:rStyle w:val="FormatvorlageInstructionsTabelleText"/>
                <w:rFonts w:ascii="Times New Roman" w:hAnsi="Times New Roman"/>
                <w:sz w:val="24"/>
              </w:rPr>
              <w:t>é</w:t>
            </w:r>
            <w:r>
              <w:rPr>
                <w:rStyle w:val="FormatvorlageInstructionsTabelleText"/>
                <w:rFonts w:ascii="Times New Roman" w:hAnsi="Times New Roman"/>
                <w:sz w:val="24"/>
              </w:rPr>
              <w:t>ken kívüli immateriális javak értékével.</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620" w:type="dxa"/>
          </w:tcPr>
          <w:p w:rsidR="005643EA" w:rsidRPr="00392FFD" w:rsidRDefault="00AD70F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sidRPr="00657AC4">
              <w:rPr>
                <w:u w:val="single"/>
              </w:rPr>
              <w:tab/>
            </w:r>
            <w:r>
              <w:rPr>
                <w:rStyle w:val="InstructionsTabelleberschrift"/>
                <w:rFonts w:ascii="Times New Roman" w:hAnsi="Times New Roman"/>
                <w:sz w:val="24"/>
              </w:rPr>
              <w:t>Egyéb immateriális javakhoz kapcsolódó halasztott ad</w:t>
            </w:r>
            <w:r>
              <w:rPr>
                <w:rStyle w:val="InstructionsTabelleberschrift"/>
                <w:rFonts w:ascii="Times New Roman" w:hAnsi="Times New Roman"/>
                <w:sz w:val="24"/>
              </w:rPr>
              <w:t>ó</w:t>
            </w:r>
            <w:r>
              <w:rPr>
                <w:rStyle w:val="InstructionsTabelleberschrift"/>
                <w:rFonts w:ascii="Times New Roman" w:hAnsi="Times New Roman"/>
                <w:sz w:val="24"/>
              </w:rPr>
              <w:t>kötelezettségek</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37. cikkének a) pontja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Azon halasztott adókötelezettségek összege, amelyek megszűnnének, ha a cégértéken kívüli immateriális javak értékvesztést szenvednének el, vagy az alkalmazandó számviteli szabályozás szerint kivezetésre kerülnének.</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Pr="00657AC4">
              <w:rPr>
                <w:u w:val="single"/>
              </w:rPr>
              <w:tab/>
            </w:r>
            <w:r>
              <w:rPr>
                <w:rStyle w:val="InstructionsTabelleberschrift"/>
                <w:rFonts w:ascii="Times New Roman" w:hAnsi="Times New Roman"/>
                <w:sz w:val="24"/>
              </w:rPr>
              <w:t>(–) Jövőbeli nyereségtől függően érvényesíthető, nem á</w:t>
            </w:r>
            <w:r>
              <w:rPr>
                <w:rStyle w:val="InstructionsTabelleberschrift"/>
                <w:rFonts w:ascii="Times New Roman" w:hAnsi="Times New Roman"/>
                <w:sz w:val="24"/>
              </w:rPr>
              <w:t>t</w:t>
            </w:r>
            <w:r>
              <w:rPr>
                <w:rStyle w:val="InstructionsTabelleberschrift"/>
                <w:rFonts w:ascii="Times New Roman" w:hAnsi="Times New Roman"/>
                <w:sz w:val="24"/>
              </w:rPr>
              <w:t>meneti különbözetből eredő halasztott adókövetelések kapcsolódó ad</w:t>
            </w:r>
            <w:r>
              <w:rPr>
                <w:rStyle w:val="InstructionsTabelleberschrift"/>
                <w:rFonts w:ascii="Times New Roman" w:hAnsi="Times New Roman"/>
                <w:sz w:val="24"/>
              </w:rPr>
              <w:t>ó</w:t>
            </w:r>
            <w:r>
              <w:rPr>
                <w:rStyle w:val="InstructionsTabelleberschrift"/>
                <w:rFonts w:ascii="Times New Roman" w:hAnsi="Times New Roman"/>
                <w:sz w:val="24"/>
              </w:rPr>
              <w:t>kötelezettségek nélkül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36. cikke (1) bekezdésének c) pontja, valamint 38. cikke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Pr="00657AC4">
              <w:rPr>
                <w:u w:val="single"/>
              </w:rPr>
              <w:tab/>
            </w:r>
            <w:r>
              <w:rPr>
                <w:rStyle w:val="InstructionsTabelleberschrift"/>
                <w:rFonts w:ascii="Times New Roman" w:hAnsi="Times New Roman"/>
                <w:sz w:val="24"/>
              </w:rPr>
              <w:t>(–) Hitelkockázati kiigazítások IRB-módszerrel számított hiánya a várható veszteséghez viszonyítva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36. cikke (1) bekezdésének d) pontja, valamint 40., 158. és 159. ci</w:t>
            </w:r>
            <w:r>
              <w:rPr>
                <w:rStyle w:val="FormatvorlageInstructionsTabelleText"/>
                <w:rFonts w:ascii="Times New Roman" w:hAnsi="Times New Roman"/>
                <w:sz w:val="24"/>
              </w:rPr>
              <w:t>k</w:t>
            </w:r>
            <w:r>
              <w:rPr>
                <w:rStyle w:val="FormatvorlageInstructionsTabelleText"/>
                <w:rFonts w:ascii="Times New Roman" w:hAnsi="Times New Roman"/>
                <w:sz w:val="24"/>
              </w:rPr>
              <w:t>ke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nem csökkenhet a jövőbeli nyereségtől függően érv</w:t>
            </w:r>
            <w:r>
              <w:rPr>
                <w:rStyle w:val="FormatvorlageInstructionsTabelleText"/>
                <w:rFonts w:ascii="Times New Roman" w:hAnsi="Times New Roman"/>
                <w:sz w:val="24"/>
              </w:rPr>
              <w:t>é</w:t>
            </w:r>
            <w:r>
              <w:rPr>
                <w:rStyle w:val="FormatvorlageInstructionsTabelleText"/>
                <w:rFonts w:ascii="Times New Roman" w:hAnsi="Times New Roman"/>
                <w:sz w:val="24"/>
              </w:rPr>
              <w:t>nyesíthető halasztott adókövetelések szintjének emelkedésével vagy egyéb kiegészítő adóhatással, amely akkor keletkezhet, ha a céltartalékok a várható veszteségek szintjére emelkednének (a CRR 40. cikke).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Pr="00657AC4">
              <w:rPr>
                <w:u w:val="single"/>
              </w:rPr>
              <w:tab/>
            </w:r>
            <w:r>
              <w:rPr>
                <w:rStyle w:val="InstructionsTabelleberschrift"/>
                <w:rFonts w:ascii="Times New Roman" w:hAnsi="Times New Roman"/>
                <w:sz w:val="24"/>
              </w:rPr>
              <w:t>(–) Meghatározott szolgáltatást nyújtó nyugdíjalapban l</w:t>
            </w:r>
            <w:r>
              <w:rPr>
                <w:rStyle w:val="InstructionsTabelleberschrift"/>
                <w:rFonts w:ascii="Times New Roman" w:hAnsi="Times New Roman"/>
                <w:sz w:val="24"/>
              </w:rPr>
              <w:t>é</w:t>
            </w:r>
            <w:r>
              <w:rPr>
                <w:rStyle w:val="InstructionsTabelleberschrift"/>
                <w:rFonts w:ascii="Times New Roman" w:hAnsi="Times New Roman"/>
                <w:sz w:val="24"/>
              </w:rPr>
              <w:t>vő eszközök</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CRR 4. cikke (1) bekezdésének 109. pontja, 36. cikke (1) bekezdésének e) </w:t>
            </w:r>
            <w:r>
              <w:rPr>
                <w:rStyle w:val="FormatvorlageInstructionsTabelleText"/>
                <w:rFonts w:ascii="Times New Roman" w:hAnsi="Times New Roman"/>
                <w:sz w:val="24"/>
              </w:rPr>
              <w:lastRenderedPageBreak/>
              <w:t>pontja, valamint 41. cikke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400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Pr="00657AC4">
              <w:rPr>
                <w:u w:val="single"/>
              </w:rPr>
              <w:tab/>
            </w:r>
            <w:r>
              <w:rPr>
                <w:rStyle w:val="InstructionsTabelleberschrift"/>
                <w:rFonts w:ascii="Times New Roman" w:hAnsi="Times New Roman"/>
                <w:sz w:val="24"/>
              </w:rPr>
              <w:t>(–) Meghatározott szolgáltatást nyújtó nyugdíjalapban l</w:t>
            </w:r>
            <w:r>
              <w:rPr>
                <w:rStyle w:val="InstructionsTabelleberschrift"/>
                <w:rFonts w:ascii="Times New Roman" w:hAnsi="Times New Roman"/>
                <w:sz w:val="24"/>
              </w:rPr>
              <w:t>é</w:t>
            </w:r>
            <w:r w:rsidR="00657AC4">
              <w:rPr>
                <w:rStyle w:val="InstructionsTabelleberschrift"/>
                <w:rFonts w:ascii="Times New Roman" w:hAnsi="Times New Roman"/>
                <w:sz w:val="24"/>
              </w:rPr>
              <w:t>vő eszközök</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109. pontja, valamint 36. cikke (1) beke</w:t>
            </w:r>
            <w:r>
              <w:rPr>
                <w:rStyle w:val="FormatvorlageInstructionsTabelleText"/>
                <w:rFonts w:ascii="Times New Roman" w:hAnsi="Times New Roman"/>
                <w:sz w:val="24"/>
              </w:rPr>
              <w:t>z</w:t>
            </w:r>
            <w:r>
              <w:rPr>
                <w:rStyle w:val="FormatvorlageInstructionsTabelleText"/>
                <w:rFonts w:ascii="Times New Roman" w:hAnsi="Times New Roman"/>
                <w:sz w:val="24"/>
              </w:rPr>
              <w:t>désének e) pontja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meghatározott szolgáltatást nyújtó nyugdíjalapban lévő eszközök egy meghatározott szolgáltatást nyújtó nyugdíjalap vagy adott esetben konstru</w:t>
            </w:r>
            <w:r>
              <w:rPr>
                <w:rStyle w:val="FormatvorlageInstructionsTabelleText"/>
                <w:rFonts w:ascii="Times New Roman" w:hAnsi="Times New Roman"/>
                <w:sz w:val="24"/>
              </w:rPr>
              <w:t>k</w:t>
            </w:r>
            <w:r>
              <w:rPr>
                <w:rStyle w:val="FormatvorlageInstructionsTabelleText"/>
                <w:rFonts w:ascii="Times New Roman" w:hAnsi="Times New Roman"/>
                <w:sz w:val="24"/>
              </w:rPr>
              <w:t>ció eszközei, az ugyanazon alap vagy konstrukció kötelezettségeinek össz</w:t>
            </w:r>
            <w:r>
              <w:rPr>
                <w:rStyle w:val="FormatvorlageInstructionsTabelleText"/>
                <w:rFonts w:ascii="Times New Roman" w:hAnsi="Times New Roman"/>
                <w:sz w:val="24"/>
              </w:rPr>
              <w:t>e</w:t>
            </w:r>
            <w:r>
              <w:rPr>
                <w:rStyle w:val="FormatvorlageInstructionsTabelleText"/>
                <w:rFonts w:ascii="Times New Roman" w:hAnsi="Times New Roman"/>
                <w:sz w:val="24"/>
              </w:rPr>
              <w:t>gével csökkentve.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itt feltüntetendő érték megegyezik a mérlegben szerepeltetett összeggel, ha ott is külön tüntették fel.</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Pr="00657AC4">
              <w:rPr>
                <w:u w:val="single"/>
              </w:rPr>
              <w:tab/>
            </w:r>
            <w:r>
              <w:rPr>
                <w:rStyle w:val="InstructionsTabelleberschrift"/>
                <w:rFonts w:ascii="Times New Roman" w:hAnsi="Times New Roman"/>
                <w:sz w:val="24"/>
              </w:rPr>
              <w:t>Meghatározott szolgáltatást nyújtó nyugdíjalapban lévő eszközökhöz kapcsolódó halasztott adókötelezettségek</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108. és 109. pontja, valamint 41. cikke (1) bekezdésének a) pontja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Azon halasztott adókötelezettségek összege, amelyek megszűnnének, ha a meghatározott szolgáltatást nyújtó nyugdíjalapban lévő eszközök értékves</w:t>
            </w:r>
            <w:r>
              <w:rPr>
                <w:rStyle w:val="FormatvorlageInstructionsTabelleText"/>
                <w:rFonts w:ascii="Times New Roman" w:hAnsi="Times New Roman"/>
                <w:sz w:val="24"/>
              </w:rPr>
              <w:t>z</w:t>
            </w:r>
            <w:r>
              <w:rPr>
                <w:rStyle w:val="FormatvorlageInstructionsTabelleText"/>
                <w:rFonts w:ascii="Times New Roman" w:hAnsi="Times New Roman"/>
                <w:sz w:val="24"/>
              </w:rPr>
              <w:t>tést szenvednének el, vagy az alkalmazandó számviteli szabályozás szerint kivezetésre kerülnének.</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Pr="00657AC4">
              <w:rPr>
                <w:u w:val="single"/>
              </w:rPr>
              <w:tab/>
            </w:r>
            <w:r>
              <w:rPr>
                <w:rStyle w:val="InstructionsTabelleberschrift"/>
                <w:rFonts w:ascii="Times New Roman" w:hAnsi="Times New Roman"/>
                <w:sz w:val="24"/>
              </w:rPr>
              <w:t>Meghatározott szolgáltatást nyújtó nyugdíjalapban lévő eszközök, amelyeket az intézmény korlátlanul képes felhasználni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109 pontja, valamint 41. cikke (1) beke</w:t>
            </w:r>
            <w:r>
              <w:rPr>
                <w:rStyle w:val="FormatvorlageInstructionsTabelleText"/>
                <w:rFonts w:ascii="Times New Roman" w:hAnsi="Times New Roman"/>
                <w:sz w:val="24"/>
              </w:rPr>
              <w:t>z</w:t>
            </w:r>
            <w:r>
              <w:rPr>
                <w:rStyle w:val="FormatvorlageInstructionsTabelleText"/>
                <w:rFonts w:ascii="Times New Roman" w:hAnsi="Times New Roman"/>
                <w:sz w:val="24"/>
              </w:rPr>
              <w:t>désének b) pontja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Ennél a tételnél akkor adható meg összeg, ha az illetékes hatóság előzetesen engedélyezte a meghatározott szolgáltatást nyújtó nyugdíjalapban lévő es</w:t>
            </w:r>
            <w:r>
              <w:rPr>
                <w:rStyle w:val="FormatvorlageInstructionsTabelleText"/>
                <w:rFonts w:ascii="Times New Roman" w:hAnsi="Times New Roman"/>
                <w:sz w:val="24"/>
              </w:rPr>
              <w:t>z</w:t>
            </w:r>
            <w:r>
              <w:rPr>
                <w:rStyle w:val="FormatvorlageInstructionsTabelleText"/>
                <w:rFonts w:ascii="Times New Roman" w:hAnsi="Times New Roman"/>
                <w:sz w:val="24"/>
              </w:rPr>
              <w:t>közök összegének csökkentését.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ebben a sorban szereplő eszközökhöz a hitelkockázati követelményeknek megfelelő kockázati súlyt kell rendelni.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sidRPr="00657AC4">
              <w:rPr>
                <w:u w:val="single"/>
              </w:rPr>
              <w:tab/>
            </w:r>
            <w:r>
              <w:rPr>
                <w:rStyle w:val="InstructionsTabelleberschrift"/>
                <w:rFonts w:ascii="Times New Roman" w:hAnsi="Times New Roman"/>
                <w:sz w:val="24"/>
              </w:rPr>
              <w:t>(–) Kölcsönös részesedések CET1 tőkeinstrumentumo</w:t>
            </w:r>
            <w:r>
              <w:rPr>
                <w:rStyle w:val="InstructionsTabelleberschrift"/>
                <w:rFonts w:ascii="Times New Roman" w:hAnsi="Times New Roman"/>
                <w:sz w:val="24"/>
              </w:rPr>
              <w:t>k</w:t>
            </w:r>
            <w:r>
              <w:rPr>
                <w:rStyle w:val="InstructionsTabelleberschrift"/>
                <w:rFonts w:ascii="Times New Roman" w:hAnsi="Times New Roman"/>
                <w:sz w:val="24"/>
              </w:rPr>
              <w:t>ban</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122. pontja, 36. cikke (1) bekezdésének g) pontja, valamint 44. cikke</w:t>
            </w:r>
          </w:p>
          <w:p w:rsid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pontjában meghatározott pénzügyi ágazatbeli szervezetek által kibocsátott CET1 tőkeinstrumentumok állom</w:t>
            </w:r>
            <w:r>
              <w:rPr>
                <w:rStyle w:val="FormatvorlageInstructionsTabelleText"/>
                <w:rFonts w:ascii="Times New Roman" w:hAnsi="Times New Roman"/>
                <w:sz w:val="24"/>
              </w:rPr>
              <w:t>á</w:t>
            </w:r>
            <w:r>
              <w:rPr>
                <w:rStyle w:val="FormatvorlageInstructionsTabelleText"/>
                <w:rFonts w:ascii="Times New Roman" w:hAnsi="Times New Roman"/>
                <w:sz w:val="24"/>
              </w:rPr>
              <w:t>nya olyan kölcsönös részesedés esetében, amelynek célja az illetékes hat</w:t>
            </w:r>
            <w:r>
              <w:rPr>
                <w:rStyle w:val="FormatvorlageInstructionsTabelleText"/>
                <w:rFonts w:ascii="Times New Roman" w:hAnsi="Times New Roman"/>
                <w:sz w:val="24"/>
              </w:rPr>
              <w:t>ó</w:t>
            </w:r>
            <w:r>
              <w:rPr>
                <w:rStyle w:val="FormatvorlageInstructionsTabelleText"/>
                <w:rFonts w:ascii="Times New Roman" w:hAnsi="Times New Roman"/>
                <w:sz w:val="24"/>
              </w:rPr>
              <w:t xml:space="preserve">ság véleménye szerint az </w:t>
            </w:r>
            <w:proofErr w:type="gramStart"/>
            <w:r>
              <w:rPr>
                <w:rStyle w:val="FormatvorlageInstructionsTabelleText"/>
                <w:rFonts w:ascii="Times New Roman" w:hAnsi="Times New Roman"/>
                <w:sz w:val="24"/>
              </w:rPr>
              <w:t>intézmény szavatoló</w:t>
            </w:r>
            <w:proofErr w:type="gramEnd"/>
            <w:r>
              <w:rPr>
                <w:rStyle w:val="FormatvorlageInstructionsTabelleText"/>
                <w:rFonts w:ascii="Times New Roman" w:hAnsi="Times New Roman"/>
                <w:sz w:val="24"/>
              </w:rPr>
              <w:t xml:space="preserve"> tőkéjének mesterséges me</w:t>
            </w:r>
            <w:r>
              <w:rPr>
                <w:rStyle w:val="FormatvorlageInstructionsTabelleText"/>
                <w:rFonts w:ascii="Times New Roman" w:hAnsi="Times New Roman"/>
                <w:sz w:val="24"/>
              </w:rPr>
              <w:t>g</w:t>
            </w:r>
            <w:r>
              <w:rPr>
                <w:rStyle w:val="FormatvorlageInstructionsTabelleText"/>
                <w:rFonts w:ascii="Times New Roman" w:hAnsi="Times New Roman"/>
                <w:sz w:val="24"/>
              </w:rPr>
              <w:t>emelése.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értéket a bruttó hosszú pozíciók alapján kell kiszámítani, és annak tartalmaznia kell a biztosítói 1. szintű szavatolótőke-elemeket.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sidRPr="00657AC4">
              <w:rPr>
                <w:u w:val="single"/>
              </w:rPr>
              <w:tab/>
            </w:r>
            <w:r>
              <w:rPr>
                <w:rStyle w:val="InstructionsTabelleberschrift"/>
                <w:rFonts w:ascii="Times New Roman" w:hAnsi="Times New Roman"/>
                <w:sz w:val="24"/>
              </w:rPr>
              <w:t>(–) AT1 tőkeelemek összegét m</w:t>
            </w:r>
            <w:r w:rsidR="00F62075">
              <w:rPr>
                <w:rStyle w:val="InstructionsTabelleberschrift"/>
                <w:rFonts w:ascii="Times New Roman" w:hAnsi="Times New Roman"/>
                <w:sz w:val="24"/>
              </w:rPr>
              <w:t>eghaladó AT1 levonások többlete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36. cikke (1) bekezdésének j) pontja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feltüntetendő értéket közvetlenül a CA1 tábla „AT1 tőkeelemek összegét meghaladó AT1 levonások többlete” tételéből kell átvezetni. Az összeget a CET1 tőkéből kell levonni.</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sidRPr="00F62075">
              <w:rPr>
                <w:u w:val="single"/>
              </w:rPr>
              <w:tab/>
            </w:r>
            <w:r>
              <w:rPr>
                <w:rStyle w:val="InstructionsTabelleberschrift"/>
                <w:rFonts w:ascii="Times New Roman" w:hAnsi="Times New Roman"/>
                <w:sz w:val="24"/>
              </w:rPr>
              <w:t>(–) A pénzügyi ágazaton kívüli befolyásoló részesedések, amelyekre alternatívaként 1 250 %-os kockázati súly alkalmazható</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36. pontja, 36. cikke (1) bekezdése k) pontjának i. alpontja, valamint 89–91. cikke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befolyásoló részesedés olyan „közvetlen vagy közvetett részesedés egy vállalkozásban, amely a tőke vagy a szavazati jogok legalább 10 %-át képv</w:t>
            </w:r>
            <w:r>
              <w:rPr>
                <w:rStyle w:val="FormatvorlageInstructionsTabelleText"/>
                <w:rFonts w:ascii="Times New Roman" w:hAnsi="Times New Roman"/>
                <w:sz w:val="24"/>
              </w:rPr>
              <w:t>i</w:t>
            </w:r>
            <w:r>
              <w:rPr>
                <w:rStyle w:val="FormatvorlageInstructionsTabelleText"/>
                <w:rFonts w:ascii="Times New Roman" w:hAnsi="Times New Roman"/>
                <w:sz w:val="24"/>
              </w:rPr>
              <w:t>seli, illetve amely lehetővé teszi számottevő befolyás gyakorlását annak a vállalkozásnak az irányítása felett”.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36. cikke (1) bekezdése k) pontjának i. alpontja szerint az ilyen r</w:t>
            </w:r>
            <w:r>
              <w:rPr>
                <w:rStyle w:val="FormatvorlageInstructionsTabelleText"/>
                <w:rFonts w:ascii="Times New Roman" w:hAnsi="Times New Roman"/>
                <w:sz w:val="24"/>
              </w:rPr>
              <w:t>é</w:t>
            </w:r>
            <w:r>
              <w:rPr>
                <w:rStyle w:val="FormatvorlageInstructionsTabelleText"/>
                <w:rFonts w:ascii="Times New Roman" w:hAnsi="Times New Roman"/>
                <w:sz w:val="24"/>
              </w:rPr>
              <w:t>szesedés (e tétel alapján) levonható a CET1 tőkéből, vagy arra 1 250 %-os kockázati súly alkalmazható.</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sidRPr="00F62075">
              <w:rPr>
                <w:u w:val="single"/>
              </w:rPr>
              <w:tab/>
            </w:r>
            <w:r>
              <w:rPr>
                <w:rStyle w:val="InstructionsTabelleberschrift"/>
                <w:rFonts w:ascii="Times New Roman" w:hAnsi="Times New Roman"/>
                <w:sz w:val="24"/>
              </w:rPr>
              <w:t>(–) Értékpapírosítási pozíciók, amelyekre alternatívaként 1 250 %-os kockázati súly alkalmazható</w:t>
            </w:r>
          </w:p>
          <w:p w:rsidR="005643EA" w:rsidRPr="008343BD" w:rsidRDefault="00666996" w:rsidP="00FD239F">
            <w:pPr>
              <w:pStyle w:val="InstructionsText"/>
              <w:rPr>
                <w:rStyle w:val="FormatvorlageInstructionsTabelleText"/>
                <w:rFonts w:ascii="Times New Roman" w:hAnsi="Times New Roman"/>
                <w:sz w:val="24"/>
              </w:rPr>
            </w:pPr>
            <w:proofErr w:type="gramStart"/>
            <w:r>
              <w:rPr>
                <w:rStyle w:val="FormatvorlageInstructionsTabelleText"/>
                <w:rFonts w:ascii="Times New Roman" w:hAnsi="Times New Roman"/>
                <w:sz w:val="24"/>
              </w:rPr>
              <w:t>A CRR 36. cikke (1) bekezdése k) pontjának ii. alpontja, 243. cikke (1) bekezdésének b) pontja, 244. cikke (1) bekezdésének b) pontja, 258. ci</w:t>
            </w:r>
            <w:r>
              <w:rPr>
                <w:rStyle w:val="FormatvorlageInstructionsTabelleText"/>
                <w:rFonts w:ascii="Times New Roman" w:hAnsi="Times New Roman"/>
                <w:sz w:val="24"/>
              </w:rPr>
              <w:t>k</w:t>
            </w:r>
            <w:r>
              <w:rPr>
                <w:rStyle w:val="FormatvorlageInstructionsTabelleText"/>
                <w:rFonts w:ascii="Times New Roman" w:hAnsi="Times New Roman"/>
                <w:sz w:val="24"/>
              </w:rPr>
              <w:t>ke, valamint 266. cikkének (3) bekezdése a 2018. december 31-én alkalm</w:t>
            </w:r>
            <w:r>
              <w:rPr>
                <w:rStyle w:val="FormatvorlageInstructionsTabelleText"/>
                <w:rFonts w:ascii="Times New Roman" w:hAnsi="Times New Roman"/>
                <w:sz w:val="24"/>
              </w:rPr>
              <w:t>a</w:t>
            </w:r>
            <w:r>
              <w:rPr>
                <w:rStyle w:val="FormatvorlageInstructionsTabelleText"/>
                <w:rFonts w:ascii="Times New Roman" w:hAnsi="Times New Roman"/>
                <w:sz w:val="24"/>
              </w:rPr>
              <w:t>zandó változatban, vagy adott esetben a CRR 244. cikke (1) bekezdésének b) pontja, 245. cikke (1) bekezdésének b) pontja, 253. cikkének (1) bekezd</w:t>
            </w:r>
            <w:r>
              <w:rPr>
                <w:rStyle w:val="FormatvorlageInstructionsTabelleText"/>
                <w:rFonts w:ascii="Times New Roman" w:hAnsi="Times New Roman"/>
                <w:sz w:val="24"/>
              </w:rPr>
              <w:t>é</w:t>
            </w:r>
            <w:r>
              <w:rPr>
                <w:rStyle w:val="FormatvorlageInstructionsTabelleText"/>
                <w:rFonts w:ascii="Times New Roman" w:hAnsi="Times New Roman"/>
                <w:sz w:val="24"/>
              </w:rPr>
              <w:t>se és 268. cikkén</w:t>
            </w:r>
            <w:r w:rsidR="00F62075">
              <w:rPr>
                <w:rStyle w:val="FormatvorlageInstructionsTabelleText"/>
                <w:rFonts w:ascii="Times New Roman" w:hAnsi="Times New Roman"/>
                <w:sz w:val="24"/>
              </w:rPr>
              <w:t>ek (4) bekezdése.</w:t>
            </w:r>
            <w:proofErr w:type="gramEnd"/>
          </w:p>
          <w:p w:rsidR="005643EA" w:rsidRPr="00392FFD" w:rsidRDefault="00666996" w:rsidP="00B04D2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olyan értékpapírosítási pozíciókat, amelyekre 1 250 %-os kockázati súly alkalmazható, vagy amelyek levonhatók a CET1 tőkéből (a CRR 36. cikke (1) bekezdése k) pontjának ii. alpontja), ebben a tételben kell feltüntetni.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sidRPr="0097511E">
              <w:rPr>
                <w:u w:val="single"/>
              </w:rPr>
              <w:tab/>
            </w:r>
            <w:r>
              <w:rPr>
                <w:rStyle w:val="InstructionsTabelleberschrift"/>
                <w:rFonts w:ascii="Times New Roman" w:hAnsi="Times New Roman"/>
                <w:sz w:val="24"/>
              </w:rPr>
              <w:t>(–) Nyitva szállítások, amelyekre alternatívaként 1 250 %-os kockázati súly alkalmazható</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36. cikke (1) bekezdése k) pontjának iii. alpontja, valamint 379. ci</w:t>
            </w:r>
            <w:r>
              <w:rPr>
                <w:rStyle w:val="FormatvorlageInstructionsTabelleText"/>
                <w:rFonts w:ascii="Times New Roman" w:hAnsi="Times New Roman"/>
                <w:sz w:val="24"/>
              </w:rPr>
              <w:t>k</w:t>
            </w:r>
            <w:r>
              <w:rPr>
                <w:rStyle w:val="FormatvorlageInstructionsTabelleText"/>
                <w:rFonts w:ascii="Times New Roman" w:hAnsi="Times New Roman"/>
                <w:sz w:val="24"/>
              </w:rPr>
              <w:t>kének (3) bekezdése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nyitva szállításokra a második szerződés szerinti fizetést vagy szállítási szakaszt követő 5. munkanaptól az ügylet megszűntéig 1 250 %-os kockáz</w:t>
            </w:r>
            <w:r>
              <w:rPr>
                <w:rStyle w:val="FormatvorlageInstructionsTabelleText"/>
                <w:rFonts w:ascii="Times New Roman" w:hAnsi="Times New Roman"/>
                <w:sz w:val="24"/>
              </w:rPr>
              <w:t>a</w:t>
            </w:r>
            <w:r>
              <w:rPr>
                <w:rStyle w:val="FormatvorlageInstructionsTabelleText"/>
                <w:rFonts w:ascii="Times New Roman" w:hAnsi="Times New Roman"/>
                <w:sz w:val="24"/>
              </w:rPr>
              <w:t>ti súlyt kell alkalmazni az elszámolási kockázatra vonatkozó szavatolótőke-követelményeknek megfelelően. Alternatívaként az ilyen szállítások levo</w:t>
            </w:r>
            <w:r>
              <w:rPr>
                <w:rStyle w:val="FormatvorlageInstructionsTabelleText"/>
                <w:rFonts w:ascii="Times New Roman" w:hAnsi="Times New Roman"/>
                <w:sz w:val="24"/>
              </w:rPr>
              <w:t>n</w:t>
            </w:r>
            <w:r>
              <w:rPr>
                <w:rStyle w:val="FormatvorlageInstructionsTabelleText"/>
                <w:rFonts w:ascii="Times New Roman" w:hAnsi="Times New Roman"/>
                <w:sz w:val="24"/>
              </w:rPr>
              <w:t>hatók a CET1 tőkéből (a CRR 36. cikke (1) bekezdésének k) pontjának iii. alpontja). Ez utóbbi esetben azokat ebben a tételben kell feltüntetni.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471</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sidRPr="0097511E">
              <w:rPr>
                <w:u w:val="single"/>
              </w:rPr>
              <w:tab/>
            </w:r>
            <w:r>
              <w:rPr>
                <w:rStyle w:val="InstructionsTabelleberschrift"/>
                <w:rFonts w:ascii="Times New Roman" w:hAnsi="Times New Roman"/>
                <w:sz w:val="24"/>
              </w:rPr>
              <w:t>(–) Egy kosárban lévő azon pozíciók, amelyekre az inté</w:t>
            </w:r>
            <w:r>
              <w:rPr>
                <w:rStyle w:val="InstructionsTabelleberschrift"/>
                <w:rFonts w:ascii="Times New Roman" w:hAnsi="Times New Roman"/>
                <w:sz w:val="24"/>
              </w:rPr>
              <w:t>z</w:t>
            </w:r>
            <w:r>
              <w:rPr>
                <w:rStyle w:val="InstructionsTabelleberschrift"/>
                <w:rFonts w:ascii="Times New Roman" w:hAnsi="Times New Roman"/>
                <w:sz w:val="24"/>
              </w:rPr>
              <w:t>mény nem tudja az IRB-módszer alapján meghatározni a kockázati súlyt, és amelyekre így alternatívaként 1 250 %-os kockázati súly a</w:t>
            </w:r>
            <w:r>
              <w:rPr>
                <w:rStyle w:val="InstructionsTabelleberschrift"/>
                <w:rFonts w:ascii="Times New Roman" w:hAnsi="Times New Roman"/>
                <w:sz w:val="24"/>
              </w:rPr>
              <w:t>l</w:t>
            </w:r>
            <w:r>
              <w:rPr>
                <w:rStyle w:val="InstructionsTabelleberschrift"/>
                <w:rFonts w:ascii="Times New Roman" w:hAnsi="Times New Roman"/>
                <w:sz w:val="24"/>
              </w:rPr>
              <w:t>kalmazható</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36. cikke (1) bekezdése k) pontjának iv. alpontja, valamint 153. ci</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kének (8) bekezdése</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 CRR 36. cikke (1) bekezdése k) pontjának iv. alpontja szerint az ilyen r</w:t>
            </w:r>
            <w:r>
              <w:rPr>
                <w:rStyle w:val="FormatvorlageInstructionsTabelleText"/>
                <w:rFonts w:ascii="Times New Roman" w:hAnsi="Times New Roman"/>
                <w:sz w:val="24"/>
              </w:rPr>
              <w:t>é</w:t>
            </w:r>
            <w:r>
              <w:rPr>
                <w:rStyle w:val="FormatvorlageInstructionsTabelleText"/>
                <w:rFonts w:ascii="Times New Roman" w:hAnsi="Times New Roman"/>
                <w:sz w:val="24"/>
              </w:rPr>
              <w:t>szesedés (e tétel alapján) levonható a CET1 tőkéből, vagy arra 1 250 %-os kockázati súly alkalmazható.</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472</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sidRPr="0097511E">
              <w:rPr>
                <w:u w:val="single"/>
              </w:rPr>
              <w:tab/>
            </w:r>
            <w:r>
              <w:rPr>
                <w:rStyle w:val="InstructionsTabelleberschrift"/>
                <w:rFonts w:ascii="Times New Roman" w:hAnsi="Times New Roman"/>
                <w:sz w:val="24"/>
              </w:rPr>
              <w:t>(–) Belsőmodell-módszer hatálya alá tartozó részvényje</w:t>
            </w:r>
            <w:r>
              <w:rPr>
                <w:rStyle w:val="InstructionsTabelleberschrift"/>
                <w:rFonts w:ascii="Times New Roman" w:hAnsi="Times New Roman"/>
                <w:sz w:val="24"/>
              </w:rPr>
              <w:t>l</w:t>
            </w:r>
            <w:r>
              <w:rPr>
                <w:rStyle w:val="InstructionsTabelleberschrift"/>
                <w:rFonts w:ascii="Times New Roman" w:hAnsi="Times New Roman"/>
                <w:sz w:val="24"/>
              </w:rPr>
              <w:t>legű kitettségek, amelyekre alternatívaként 1 250 %-os kockázati súly alkalmazható</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36. cikke (1) bekezdése k) pontjának v. alpontja, valamint 155. ci</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kének (4) bekezdése</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 CRR 36. cikke (1) bekezdése k) pontjának v. alpontja szerint az ilyen r</w:t>
            </w:r>
            <w:r>
              <w:rPr>
                <w:rStyle w:val="FormatvorlageInstructionsTabelleText"/>
                <w:rFonts w:ascii="Times New Roman" w:hAnsi="Times New Roman"/>
                <w:sz w:val="24"/>
              </w:rPr>
              <w:t>é</w:t>
            </w:r>
            <w:r>
              <w:rPr>
                <w:rStyle w:val="FormatvorlageInstructionsTabelleText"/>
                <w:rFonts w:ascii="Times New Roman" w:hAnsi="Times New Roman"/>
                <w:sz w:val="24"/>
              </w:rPr>
              <w:t>szesedés (e tétel alapján) levonható a CET1 tőkéből, vagy arra 1 250 %-os kockázati súly alkalmazható.</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Pr="0097511E">
              <w:rPr>
                <w:u w:val="single"/>
              </w:rPr>
              <w:tab/>
            </w:r>
            <w:r>
              <w:rPr>
                <w:rStyle w:val="InstructionsTabelleberschrift"/>
                <w:rFonts w:ascii="Times New Roman" w:hAnsi="Times New Roman"/>
                <w:sz w:val="24"/>
              </w:rPr>
              <w:t>(–) Pénzügyi ágazatbeli szervezetek által kibocsátott CET1 tőkeinstrumentumok, ha az intézmény nem rendelkezik jelentős rész</w:t>
            </w:r>
            <w:r>
              <w:rPr>
                <w:rStyle w:val="InstructionsTabelleberschrift"/>
                <w:rFonts w:ascii="Times New Roman" w:hAnsi="Times New Roman"/>
                <w:sz w:val="24"/>
              </w:rPr>
              <w:t>e</w:t>
            </w:r>
            <w:r>
              <w:rPr>
                <w:rStyle w:val="InstructionsTabelleberschrift"/>
                <w:rFonts w:ascii="Times New Roman" w:hAnsi="Times New Roman"/>
                <w:sz w:val="24"/>
              </w:rPr>
              <w:t>sedéssel az említett vállalkozásokban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pontja, 36. cikke (1) bekezdésének h) pontja, 43–46. cikke, 49. cikkének (2) és (3) bekezdése, valamint 79. cikke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pontjában meghatározott pénzügyi ágazatbeli szervezetek által kibocsátott instrumentumokban lévő intézményi részesedés, ha az intézmény nem rendelkezik a CET1 tőkéből levonandó j</w:t>
            </w:r>
            <w:r>
              <w:rPr>
                <w:rStyle w:val="FormatvorlageInstructionsTabelleText"/>
                <w:rFonts w:ascii="Times New Roman" w:hAnsi="Times New Roman"/>
                <w:sz w:val="24"/>
              </w:rPr>
              <w:t>e</w:t>
            </w:r>
            <w:r>
              <w:rPr>
                <w:rStyle w:val="FormatvorlageInstructionsTabelleText"/>
                <w:rFonts w:ascii="Times New Roman" w:hAnsi="Times New Roman"/>
                <w:sz w:val="24"/>
              </w:rPr>
              <w:t>lentős részesedéssel.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Levonás helyett konszolidáció esetén a 49. cikk (2) és (3) bekezdésében leírt alternatívák alkalmazhatók.</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sidRPr="0097511E">
              <w:rPr>
                <w:u w:val="single"/>
              </w:rPr>
              <w:tab/>
            </w:r>
            <w:r>
              <w:rPr>
                <w:rStyle w:val="InstructionsTabelleberschrift"/>
                <w:rFonts w:ascii="Times New Roman" w:hAnsi="Times New Roman"/>
                <w:sz w:val="24"/>
              </w:rPr>
              <w:t>(–) Levonható, jövőbeli nyereségtől függően érvényesíth</w:t>
            </w:r>
            <w:r>
              <w:rPr>
                <w:rStyle w:val="InstructionsTabelleberschrift"/>
                <w:rFonts w:ascii="Times New Roman" w:hAnsi="Times New Roman"/>
                <w:sz w:val="24"/>
              </w:rPr>
              <w:t>e</w:t>
            </w:r>
            <w:r>
              <w:rPr>
                <w:rStyle w:val="InstructionsTabelleberschrift"/>
                <w:rFonts w:ascii="Times New Roman" w:hAnsi="Times New Roman"/>
                <w:sz w:val="24"/>
              </w:rPr>
              <w:t>tő, átmeneti különbözetből eredő halasztott adókövetelések</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36. cikke (1) bekezdésének c) pontja; 38. cikke, valamint 48. cikke (1) bekezdésének a) pontja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átmeneti különbözetből eredő, jövőbeli nyereségtől függően érvényesí</w:t>
            </w:r>
            <w:r>
              <w:rPr>
                <w:rStyle w:val="FormatvorlageInstructionsTabelleText"/>
                <w:rFonts w:ascii="Times New Roman" w:hAnsi="Times New Roman"/>
                <w:sz w:val="24"/>
              </w:rPr>
              <w:t>t</w:t>
            </w:r>
            <w:r>
              <w:rPr>
                <w:rStyle w:val="FormatvorlageInstructionsTabelleText"/>
                <w:rFonts w:ascii="Times New Roman" w:hAnsi="Times New Roman"/>
                <w:sz w:val="24"/>
              </w:rPr>
              <w:t>hető halasztott adókövetelések azon része (a kapcsolódó halasztott adóköt</w:t>
            </w:r>
            <w:r>
              <w:rPr>
                <w:rStyle w:val="FormatvorlageInstructionsTabelleText"/>
                <w:rFonts w:ascii="Times New Roman" w:hAnsi="Times New Roman"/>
                <w:sz w:val="24"/>
              </w:rPr>
              <w:t>e</w:t>
            </w:r>
            <w:r>
              <w:rPr>
                <w:rStyle w:val="FormatvorlageInstructionsTabelleText"/>
                <w:rFonts w:ascii="Times New Roman" w:hAnsi="Times New Roman"/>
                <w:sz w:val="24"/>
              </w:rPr>
              <w:t>lezettségeknek a CRR 38. cikke (5) bekezdésének b) pontja szerint a halas</w:t>
            </w:r>
            <w:r>
              <w:rPr>
                <w:rStyle w:val="FormatvorlageInstructionsTabelleText"/>
                <w:rFonts w:ascii="Times New Roman" w:hAnsi="Times New Roman"/>
                <w:sz w:val="24"/>
              </w:rPr>
              <w:t>z</w:t>
            </w:r>
            <w:r>
              <w:rPr>
                <w:rStyle w:val="FormatvorlageInstructionsTabelleText"/>
                <w:rFonts w:ascii="Times New Roman" w:hAnsi="Times New Roman"/>
                <w:sz w:val="24"/>
              </w:rPr>
              <w:t>tott adókötelezettségekre jutó, átmeneti különbözetből eredő része nélkül), amelyet a CRR 48. cikke (1) bekezdésének a) pontjában rögzített 10 %-os küszöb alkalmazásával le kell vonni.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sidRPr="0097511E">
              <w:rPr>
                <w:u w:val="single"/>
              </w:rPr>
              <w:tab/>
            </w:r>
            <w:r>
              <w:rPr>
                <w:rStyle w:val="InstructionsTabelleberschrift"/>
                <w:rFonts w:ascii="Times New Roman" w:hAnsi="Times New Roman"/>
                <w:sz w:val="24"/>
              </w:rPr>
              <w:t xml:space="preserve">(–) Pénzügyi ágazatbeli szervezetek által kibocsátott CET1 tőkeinstrumentumok,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rendelk</w:t>
            </w:r>
            <w:r>
              <w:rPr>
                <w:rStyle w:val="InstructionsTabelleberschrift"/>
                <w:rFonts w:ascii="Times New Roman" w:hAnsi="Times New Roman"/>
                <w:sz w:val="24"/>
              </w:rPr>
              <w:t>e</w:t>
            </w:r>
            <w:r>
              <w:rPr>
                <w:rStyle w:val="InstructionsTabelleberschrift"/>
                <w:rFonts w:ascii="Times New Roman" w:hAnsi="Times New Roman"/>
                <w:sz w:val="24"/>
              </w:rPr>
              <w:t>zik az említett vállalkozásokban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pontja, 36. cikke (1) bekezdésének i) pontja, 43., 45. és 47. cikke, 48. cikke (1) bekezdésének b) pontja, 49. ci</w:t>
            </w:r>
            <w:r>
              <w:rPr>
                <w:rStyle w:val="FormatvorlageInstructionsTabelleText"/>
                <w:rFonts w:ascii="Times New Roman" w:hAnsi="Times New Roman"/>
                <w:sz w:val="24"/>
              </w:rPr>
              <w:t>k</w:t>
            </w:r>
            <w:r>
              <w:rPr>
                <w:rStyle w:val="FormatvorlageInstructionsTabelleText"/>
                <w:rFonts w:ascii="Times New Roman" w:hAnsi="Times New Roman"/>
                <w:sz w:val="24"/>
              </w:rPr>
              <w:t>kének (1)–(3) bekezdése és 79. cikke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pontjában meghatározott pénzügyi ágazatbeli szervezetek által kibocsátott CET1 tőkeinstrumentumokban lévő intézményi részesedés, ha az intézmény a CET1 tőkéből a CRR 48. cikke (1) bekezdésének b) pontja szerinti 10 %-os küszöb alkalmazásával levonandó jelentős részesedéssel rendelkezik.</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Levonás helyett konszolidáció esetén a 49. cikk (1), (2) és (3) bekezdésében leírt alternatívák alkalmazhatók.</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510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sidRPr="0097511E">
              <w:rPr>
                <w:u w:val="single"/>
              </w:rPr>
              <w:tab/>
            </w:r>
            <w:r>
              <w:rPr>
                <w:rStyle w:val="InstructionsTabelleberschrift"/>
                <w:rFonts w:ascii="Times New Roman" w:hAnsi="Times New Roman"/>
                <w:sz w:val="24"/>
              </w:rPr>
              <w:t>(–) A 17,65 %-os küszöbértéket meghaladó összeg</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48. cikkének (1) bekezdése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Átmeneti különbözetből eredő, jövőbeli nyereségtől függően érvényesíthető halasztott adókövetelések, valamint a CRR 4. cikke (1) bekezdésének 27. pontjában meghatározott pénzügyi ágazatbeli szervezetek által kibocsátott CET1 tőkeinstrumentumokban lévő közvetlen és közvetett intézményi r</w:t>
            </w:r>
            <w:r>
              <w:rPr>
                <w:rStyle w:val="FormatvorlageInstructionsTabelleText"/>
                <w:rFonts w:ascii="Times New Roman" w:hAnsi="Times New Roman"/>
                <w:sz w:val="24"/>
              </w:rPr>
              <w:t>é</w:t>
            </w:r>
            <w:r>
              <w:rPr>
                <w:rStyle w:val="FormatvorlageInstructionsTabelleText"/>
                <w:rFonts w:ascii="Times New Roman" w:hAnsi="Times New Roman"/>
                <w:sz w:val="24"/>
              </w:rPr>
              <w:t>szesedés, ha az intézmény a CET1 tőkéből a CRR 48. cikke (1) bekezdése szerinti 17,65 %-os küszöb alkalmazásával levonandó jelentős részesedéssel rendelkezik.</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sidRPr="0097511E">
              <w:rPr>
                <w:u w:val="single"/>
              </w:rPr>
              <w:tab/>
            </w:r>
            <w:r>
              <w:rPr>
                <w:rStyle w:val="InstructionsTabelleberschrift"/>
                <w:rFonts w:ascii="Times New Roman" w:hAnsi="Times New Roman"/>
                <w:sz w:val="24"/>
              </w:rPr>
              <w:t>CET1 tőke egyéb átmeneti kiigazításai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469–472</w:t>
            </w:r>
            <w:proofErr w:type="gramStart"/>
            <w:r>
              <w:rPr>
                <w:rStyle w:val="FormatvorlageInstructionsTabelleText"/>
                <w:rFonts w:ascii="Times New Roman" w:hAnsi="Times New Roman"/>
                <w:sz w:val="24"/>
              </w:rPr>
              <w:t>.,</w:t>
            </w:r>
            <w:proofErr w:type="gramEnd"/>
            <w:r>
              <w:rPr>
                <w:rStyle w:val="FormatvorlageInstructionsTabelleText"/>
                <w:rFonts w:ascii="Times New Roman" w:hAnsi="Times New Roman"/>
                <w:sz w:val="24"/>
              </w:rPr>
              <w:t xml:space="preserve"> 478, valamint 481. cikke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levonásokban az átmeneti rendelkezések miatt végrehajtott kiigazítások. A feltüntetendő értéket közvetlenül a CA5 tábláról kell átvezetni.</w:t>
            </w:r>
          </w:p>
        </w:tc>
      </w:tr>
      <w:tr w:rsidR="00A232F8"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sidRPr="0097511E">
              <w:rPr>
                <w:u w:val="single"/>
              </w:rPr>
              <w:tab/>
            </w:r>
            <w:r>
              <w:rPr>
                <w:rStyle w:val="InstructionsTabelleberschrift"/>
                <w:rFonts w:ascii="Times New Roman" w:hAnsi="Times New Roman"/>
                <w:sz w:val="24"/>
              </w:rPr>
              <w:t>(–) Pótlólagos levonások a CET1 tőkéből a CRR 3. cikke alapján</w:t>
            </w:r>
          </w:p>
          <w:p w:rsidR="005643EA" w:rsidRPr="00392FFD" w:rsidRDefault="00A232F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3. cikke</w:t>
            </w:r>
          </w:p>
        </w:tc>
      </w:tr>
      <w:tr w:rsidR="00666996" w:rsidRPr="00392FFD" w:rsidTr="00672D2A">
        <w:tc>
          <w:tcPr>
            <w:tcW w:w="1129" w:type="dxa"/>
          </w:tcPr>
          <w:p w:rsidR="005643EA" w:rsidRPr="00392FFD" w:rsidRDefault="00A232F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529</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sidRPr="0097511E">
              <w:rPr>
                <w:u w:val="single"/>
              </w:rPr>
              <w:tab/>
            </w:r>
            <w:r>
              <w:rPr>
                <w:rStyle w:val="InstructionsTabelleberschrift"/>
                <w:rFonts w:ascii="Times New Roman" w:hAnsi="Times New Roman"/>
                <w:sz w:val="24"/>
              </w:rPr>
              <w:t>CET1 tőkeelemek vagy levonások – egyéb</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 sor kizárólagos célja, hogy biztosítsa az adatszolgáltatás rugalmasságát. Csak azokban a ritka esetekben tölthető ki, amikor nincs végleges döntés az aktuális CA1 táblában szereplő egyes tőkeelemekkel vagy levonásokkal kapcsolatos adatszolgáltatásról. Következésképpen a sor csak akkor tölthető ki, ha egy CET1 tőkeelem, illetve egy CET1 tőkeelemet érintő levonás nem szerepeltethető </w:t>
            </w:r>
            <w:r w:rsidR="0097511E">
              <w:rPr>
                <w:rStyle w:val="InstructionsTabelleberschrift"/>
                <w:rFonts w:ascii="Times New Roman" w:hAnsi="Times New Roman"/>
                <w:b w:val="0"/>
                <w:sz w:val="24"/>
                <w:u w:val="none"/>
              </w:rPr>
              <w:t>a 020–524. sorok egyikében sem.</w:t>
            </w:r>
          </w:p>
          <w:p w:rsidR="005643EA" w:rsidRPr="007E39E6" w:rsidRDefault="00666996"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cella nem használható a CRR-ben nem szabályozott tőkeelemeknek, ille</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ve levonásoknak a szolvenciamutató kiszámításán belüli besorolásához (pl. olyan tagállami tőkeelemek vagy levonások besorolásához, amelyek a CRR hatályán kívül esnek).</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97511E">
              <w:rPr>
                <w:u w:val="single"/>
              </w:rPr>
              <w:tab/>
            </w:r>
            <w:r>
              <w:rPr>
                <w:rStyle w:val="InstructionsTabelleberschrift"/>
                <w:rFonts w:ascii="Times New Roman" w:hAnsi="Times New Roman"/>
                <w:sz w:val="24"/>
              </w:rPr>
              <w:t>KIEGÉSZÍTŐ ALAPVETŐ TŐKE (AT1 TŐKE)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61. cikke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sidRPr="0097511E">
              <w:rPr>
                <w:u w:val="single"/>
              </w:rPr>
              <w:tab/>
            </w:r>
            <w:r>
              <w:rPr>
                <w:rStyle w:val="InstructionsTabelleberschrift"/>
                <w:rFonts w:ascii="Times New Roman" w:hAnsi="Times New Roman"/>
                <w:sz w:val="24"/>
              </w:rPr>
              <w:t>Kiegészítő alapvető tőkeként figyelembe vehető tőkeins</w:t>
            </w:r>
            <w:r>
              <w:rPr>
                <w:rStyle w:val="InstructionsTabelleberschrift"/>
                <w:rFonts w:ascii="Times New Roman" w:hAnsi="Times New Roman"/>
                <w:sz w:val="24"/>
              </w:rPr>
              <w:t>t</w:t>
            </w:r>
            <w:r>
              <w:rPr>
                <w:rStyle w:val="InstructionsTabelleberschrift"/>
                <w:rFonts w:ascii="Times New Roman" w:hAnsi="Times New Roman"/>
                <w:sz w:val="24"/>
              </w:rPr>
              <w:t>rumentumok</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51. cikkének a) pontja, 52–54. cikke, 56. cikkének a) pontja, val</w:t>
            </w:r>
            <w:r>
              <w:rPr>
                <w:rStyle w:val="FormatvorlageInstructionsTabelleText"/>
                <w:rFonts w:ascii="Times New Roman" w:hAnsi="Times New Roman"/>
                <w:sz w:val="24"/>
              </w:rPr>
              <w:t>a</w:t>
            </w:r>
            <w:r>
              <w:rPr>
                <w:rStyle w:val="FormatvorlageInstructionsTabelleText"/>
                <w:rFonts w:ascii="Times New Roman" w:hAnsi="Times New Roman"/>
                <w:sz w:val="24"/>
              </w:rPr>
              <w:t>mint 57. cikke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sidRPr="0097511E">
              <w:rPr>
                <w:u w:val="single"/>
              </w:rPr>
              <w:tab/>
            </w:r>
            <w:r>
              <w:rPr>
                <w:rStyle w:val="InstructionsTabelleberschrift"/>
                <w:rFonts w:ascii="Times New Roman" w:hAnsi="Times New Roman"/>
                <w:sz w:val="24"/>
              </w:rPr>
              <w:t>Befizetett tőkeinstrumentumok</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51. cikkének a) pontja, valamint 52–54. cikke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nem foglalhatja magában az instrumentumokhoz ka</w:t>
            </w:r>
            <w:r>
              <w:rPr>
                <w:rStyle w:val="FormatvorlageInstructionsTabelleText"/>
                <w:rFonts w:ascii="Times New Roman" w:hAnsi="Times New Roman"/>
                <w:sz w:val="24"/>
              </w:rPr>
              <w:t>p</w:t>
            </w:r>
            <w:r>
              <w:rPr>
                <w:rStyle w:val="FormatvorlageInstructionsTabelleText"/>
                <w:rFonts w:ascii="Times New Roman" w:hAnsi="Times New Roman"/>
                <w:sz w:val="24"/>
              </w:rPr>
              <w:t>csolódó ázsiót.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rsidRPr="0097511E">
              <w:rPr>
                <w:u w:val="single"/>
              </w:rPr>
              <w:tab/>
            </w:r>
            <w:r>
              <w:rPr>
                <w:rStyle w:val="InstructionsTabelleberschrift"/>
                <w:rFonts w:ascii="Times New Roman" w:hAnsi="Times New Roman"/>
                <w:sz w:val="24"/>
              </w:rPr>
              <w:t>Tájékoztató adat: figyelembe nem vehető tőkeinstrume</w:t>
            </w:r>
            <w:r>
              <w:rPr>
                <w:rStyle w:val="InstructionsTabelleberschrift"/>
                <w:rFonts w:ascii="Times New Roman" w:hAnsi="Times New Roman"/>
                <w:sz w:val="24"/>
              </w:rPr>
              <w:t>n</w:t>
            </w:r>
            <w:r>
              <w:rPr>
                <w:rStyle w:val="InstructionsTabelleberschrift"/>
                <w:rFonts w:ascii="Times New Roman" w:hAnsi="Times New Roman"/>
                <w:sz w:val="24"/>
              </w:rPr>
              <w:t>tumok</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52. cikke (1) bekezdésének c), e) és f) pontja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 pontokban említett feltételek különböző visszafordítható tőkehelyzet</w:t>
            </w:r>
            <w:r>
              <w:rPr>
                <w:rStyle w:val="FormatvorlageInstructionsTabelleText"/>
                <w:rFonts w:ascii="Times New Roman" w:hAnsi="Times New Roman"/>
                <w:sz w:val="24"/>
              </w:rPr>
              <w:t>e</w:t>
            </w:r>
            <w:r>
              <w:rPr>
                <w:rStyle w:val="FormatvorlageInstructionsTabelleText"/>
                <w:rFonts w:ascii="Times New Roman" w:hAnsi="Times New Roman"/>
                <w:sz w:val="24"/>
              </w:rPr>
              <w:lastRenderedPageBreak/>
              <w:t>ket tükröznek, így az itt feltüntetett összeg a későbbi időszakokban figy</w:t>
            </w:r>
            <w:r>
              <w:rPr>
                <w:rStyle w:val="FormatvorlageInstructionsTabelleText"/>
                <w:rFonts w:ascii="Times New Roman" w:hAnsi="Times New Roman"/>
                <w:sz w:val="24"/>
              </w:rPr>
              <w:t>e</w:t>
            </w:r>
            <w:r>
              <w:rPr>
                <w:rStyle w:val="FormatvorlageInstructionsTabelleText"/>
                <w:rFonts w:ascii="Times New Roman" w:hAnsi="Times New Roman"/>
                <w:sz w:val="24"/>
              </w:rPr>
              <w:t>lembe vehető lehet.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nem foglalhatja magában az instrumentumokhoz ka</w:t>
            </w:r>
            <w:r>
              <w:rPr>
                <w:rStyle w:val="FormatvorlageInstructionsTabelleText"/>
                <w:rFonts w:ascii="Times New Roman" w:hAnsi="Times New Roman"/>
                <w:sz w:val="24"/>
              </w:rPr>
              <w:t>p</w:t>
            </w:r>
            <w:r>
              <w:rPr>
                <w:rStyle w:val="FormatvorlageInstructionsTabelleText"/>
                <w:rFonts w:ascii="Times New Roman" w:hAnsi="Times New Roman"/>
                <w:sz w:val="24"/>
              </w:rPr>
              <w:t>csolódó ázsiót.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sidRPr="0097511E">
              <w:rPr>
                <w:u w:val="single"/>
              </w:rPr>
              <w:tab/>
            </w:r>
            <w:r>
              <w:rPr>
                <w:rStyle w:val="InstructionsTabelleberschrift"/>
                <w:rFonts w:ascii="Times New Roman" w:hAnsi="Times New Roman"/>
                <w:sz w:val="24"/>
              </w:rPr>
              <w:t>Névértéken felüli befizetés (ázsió)</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51. cikkének b) pontja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ázsió jelentése egyezik az alkalmazandó számviteli szabályozás </w:t>
            </w:r>
            <w:r w:rsidR="0097511E">
              <w:rPr>
                <w:rStyle w:val="FormatvorlageInstructionsTabelleText"/>
                <w:rFonts w:ascii="Times New Roman" w:hAnsi="Times New Roman"/>
                <w:sz w:val="24"/>
              </w:rPr>
              <w:t>szerinti jelentéssel.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ebben az elemben feltüntetendő érték a befizetett tőkeinstrumentumo</w:t>
            </w:r>
            <w:r>
              <w:rPr>
                <w:rStyle w:val="FormatvorlageInstructionsTabelleText"/>
                <w:rFonts w:ascii="Times New Roman" w:hAnsi="Times New Roman"/>
                <w:sz w:val="24"/>
              </w:rPr>
              <w:t>k</w:t>
            </w:r>
            <w:r>
              <w:rPr>
                <w:rStyle w:val="FormatvorlageInstructionsTabelleText"/>
                <w:rFonts w:ascii="Times New Roman" w:hAnsi="Times New Roman"/>
                <w:sz w:val="24"/>
              </w:rPr>
              <w:t>hoz kapcsolódó rész.</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sidRPr="0097511E">
              <w:rPr>
                <w:u w:val="single"/>
              </w:rPr>
              <w:tab/>
            </w:r>
            <w:r>
              <w:rPr>
                <w:rStyle w:val="InstructionsTabelleberschrift"/>
                <w:rFonts w:ascii="Times New Roman" w:hAnsi="Times New Roman"/>
                <w:sz w:val="24"/>
              </w:rPr>
              <w:t>(–) Saját AT1 tőkeinstrumentumok</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52. cikke (1) bekezdésének b) pontja, 56. cikkének a) pontja, val</w:t>
            </w:r>
            <w:r>
              <w:rPr>
                <w:rStyle w:val="FormatvorlageInstructionsTabelleText"/>
                <w:rFonts w:ascii="Times New Roman" w:hAnsi="Times New Roman"/>
                <w:sz w:val="24"/>
              </w:rPr>
              <w:t>a</w:t>
            </w:r>
            <w:r>
              <w:rPr>
                <w:rStyle w:val="FormatvorlageInstructionsTabelleText"/>
                <w:rFonts w:ascii="Times New Roman" w:hAnsi="Times New Roman"/>
                <w:sz w:val="24"/>
              </w:rPr>
              <w:t>mint 57. cikke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adatot szolgáltató intézmény vagy csoport saját AT1 tőkéje az adatszo</w:t>
            </w:r>
            <w:r>
              <w:rPr>
                <w:rStyle w:val="FormatvorlageInstructionsTabelleText"/>
                <w:rFonts w:ascii="Times New Roman" w:hAnsi="Times New Roman"/>
                <w:sz w:val="24"/>
              </w:rPr>
              <w:t>l</w:t>
            </w:r>
            <w:r>
              <w:rPr>
                <w:rStyle w:val="FormatvorlageInstructionsTabelleText"/>
                <w:rFonts w:ascii="Times New Roman" w:hAnsi="Times New Roman"/>
                <w:sz w:val="24"/>
              </w:rPr>
              <w:t>gáltatás időpontjában. A CRR 57. cikkében említett kivételek figyelembev</w:t>
            </w:r>
            <w:r>
              <w:rPr>
                <w:rStyle w:val="FormatvorlageInstructionsTabelleText"/>
                <w:rFonts w:ascii="Times New Roman" w:hAnsi="Times New Roman"/>
                <w:sz w:val="24"/>
              </w:rPr>
              <w:t>é</w:t>
            </w:r>
            <w:r>
              <w:rPr>
                <w:rStyle w:val="FormatvorlageInstructionsTabelleText"/>
                <w:rFonts w:ascii="Times New Roman" w:hAnsi="Times New Roman"/>
                <w:sz w:val="24"/>
              </w:rPr>
              <w:t>telével.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Ebben a sorban nem tüntethetők fel a figyelembe nem vehető tőkeinstrume</w:t>
            </w:r>
            <w:r>
              <w:rPr>
                <w:rStyle w:val="FormatvorlageInstructionsTabelleText"/>
                <w:rFonts w:ascii="Times New Roman" w:hAnsi="Times New Roman"/>
                <w:sz w:val="24"/>
              </w:rPr>
              <w:t>n</w:t>
            </w:r>
            <w:r>
              <w:rPr>
                <w:rStyle w:val="FormatvorlageInstructionsTabelleText"/>
                <w:rFonts w:ascii="Times New Roman" w:hAnsi="Times New Roman"/>
                <w:sz w:val="24"/>
              </w:rPr>
              <w:t>tumként szerepeltetett részvények.</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magában foglalja a saját részvényekhez kapcsolódó ázsiót.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1.1.2.1.4–1.1.2.1.4.3. tételek nem foglalják magukban a saját CET1 tők</w:t>
            </w:r>
            <w:r>
              <w:rPr>
                <w:rStyle w:val="FormatvorlageInstructionsTabelleText"/>
                <w:rFonts w:ascii="Times New Roman" w:hAnsi="Times New Roman"/>
                <w:sz w:val="24"/>
              </w:rPr>
              <w:t>e</w:t>
            </w:r>
            <w:r>
              <w:rPr>
                <w:rStyle w:val="FormatvorlageInstructionsTabelleText"/>
                <w:rFonts w:ascii="Times New Roman" w:hAnsi="Times New Roman"/>
                <w:sz w:val="24"/>
              </w:rPr>
              <w:t>instrumentumok megvásárlására vonatkozó tényleges vagy függő kötelezet</w:t>
            </w:r>
            <w:r>
              <w:rPr>
                <w:rStyle w:val="FormatvorlageInstructionsTabelleText"/>
                <w:rFonts w:ascii="Times New Roman" w:hAnsi="Times New Roman"/>
                <w:sz w:val="24"/>
              </w:rPr>
              <w:t>t</w:t>
            </w:r>
            <w:r>
              <w:rPr>
                <w:rStyle w:val="FormatvorlageInstructionsTabelleText"/>
                <w:rFonts w:ascii="Times New Roman" w:hAnsi="Times New Roman"/>
                <w:sz w:val="24"/>
              </w:rPr>
              <w:t>ségeket. A saját AT1 tőkeinstrumentumok megvásárlására vonatkozó tén</w:t>
            </w:r>
            <w:r>
              <w:rPr>
                <w:rStyle w:val="FormatvorlageInstructionsTabelleText"/>
                <w:rFonts w:ascii="Times New Roman" w:hAnsi="Times New Roman"/>
                <w:sz w:val="24"/>
              </w:rPr>
              <w:t>y</w:t>
            </w:r>
            <w:r>
              <w:rPr>
                <w:rStyle w:val="FormatvorlageInstructionsTabelleText"/>
                <w:rFonts w:ascii="Times New Roman" w:hAnsi="Times New Roman"/>
                <w:sz w:val="24"/>
              </w:rPr>
              <w:t>leges vagy függő kötelezettségeket külön kell feltüntetni az 1.1.2.1.5. téte</w:t>
            </w:r>
            <w:r>
              <w:rPr>
                <w:rStyle w:val="FormatvorlageInstructionsTabelleText"/>
                <w:rFonts w:ascii="Times New Roman" w:hAnsi="Times New Roman"/>
                <w:sz w:val="24"/>
              </w:rPr>
              <w:t>l</w:t>
            </w:r>
            <w:r>
              <w:rPr>
                <w:rStyle w:val="FormatvorlageInstructionsTabelleText"/>
                <w:rFonts w:ascii="Times New Roman" w:hAnsi="Times New Roman"/>
                <w:sz w:val="24"/>
              </w:rPr>
              <w:t>ben.</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sidRPr="0097511E">
              <w:rPr>
                <w:u w:val="single"/>
              </w:rPr>
              <w:tab/>
            </w:r>
            <w:r>
              <w:rPr>
                <w:rStyle w:val="InstructionsTabelleberschrift"/>
                <w:rFonts w:ascii="Times New Roman" w:hAnsi="Times New Roman"/>
                <w:sz w:val="24"/>
              </w:rPr>
              <w:t>(–) Közvetlen részesedések AT1 tőkeinstrumentumokban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114. pontja, 52. cikke (1) bekezdésének b) pontja, 56. cikkének a) pontja, valamint 57. cikke</w:t>
            </w:r>
          </w:p>
          <w:p w:rsidR="005643EA" w:rsidRP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konszolidált csoportba tartozó intézmények tulajdonában lévő, az 1.1.2.1.1. tételnél megadott AT1 tőkeinstrumentumok.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sidRPr="0097511E">
              <w:rPr>
                <w:u w:val="single"/>
              </w:rPr>
              <w:tab/>
            </w:r>
            <w:r>
              <w:rPr>
                <w:rStyle w:val="InstructionsTabelleberschrift"/>
                <w:rFonts w:ascii="Times New Roman" w:hAnsi="Times New Roman"/>
                <w:sz w:val="24"/>
              </w:rPr>
              <w:t>(–) Közvetett részesedések AT1 tőkeinstrumentumokban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52. cikke (1) bekezdése b) pontjának ii. alpontja, 56. cikkének a) pontja, valamint 57. cikke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621</w:t>
            </w:r>
          </w:p>
        </w:tc>
        <w:tc>
          <w:tcPr>
            <w:tcW w:w="7620" w:type="dxa"/>
          </w:tcPr>
          <w:p w:rsidR="005643EA" w:rsidRPr="007E39E6" w:rsidRDefault="006455B0" w:rsidP="00FD239F">
            <w:pPr>
              <w:pStyle w:val="InstructionsText"/>
            </w:pPr>
            <w:r>
              <w:rPr>
                <w:rStyle w:val="InstructionsTabelleberschrift"/>
                <w:rFonts w:ascii="Times New Roman" w:hAnsi="Times New Roman"/>
                <w:sz w:val="24"/>
              </w:rPr>
              <w:t>1.1.2.1.4.3.</w:t>
            </w:r>
            <w:r w:rsidRPr="0097511E">
              <w:rPr>
                <w:u w:val="single"/>
              </w:rPr>
              <w:tab/>
            </w:r>
            <w:r>
              <w:rPr>
                <w:rStyle w:val="InstructionsTabelleberschrift"/>
                <w:rFonts w:ascii="Times New Roman" w:hAnsi="Times New Roman"/>
                <w:sz w:val="24"/>
              </w:rPr>
              <w:t>(–) Szintetikus részesedések AT1 tőkeinstrumentumokban</w:t>
            </w:r>
          </w:p>
          <w:p w:rsidR="005643EA" w:rsidRPr="007E39E6" w:rsidRDefault="00805255" w:rsidP="00FD239F">
            <w:pPr>
              <w:pStyle w:val="InstructionsText"/>
              <w:rPr>
                <w:rStyle w:val="InstructionsTabelleberschrift"/>
                <w:rFonts w:ascii="Times New Roman" w:hAnsi="Times New Roman"/>
                <w:b w:val="0"/>
                <w:bCs w:val="0"/>
                <w:sz w:val="24"/>
                <w:u w:val="none"/>
              </w:rPr>
            </w:pPr>
            <w:r>
              <w:t>A CRR 4. cikke (1) bekezdésének 126. pontja, 52. cikke (1) bekezdésének b) pontja, 56. cikkének a) pontja, valamint 57. cikke</w:t>
            </w:r>
          </w:p>
        </w:tc>
      </w:tr>
      <w:tr w:rsidR="00666996"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sidRPr="0097511E">
              <w:rPr>
                <w:u w:val="single"/>
              </w:rPr>
              <w:tab/>
            </w:r>
            <w:r>
              <w:rPr>
                <w:rStyle w:val="InstructionsTabelleberschrift"/>
                <w:rFonts w:ascii="Times New Roman" w:hAnsi="Times New Roman"/>
                <w:sz w:val="24"/>
              </w:rPr>
              <w:t>(–) Saját AT1 tőkeinstrumentumok megvásárlására v</w:t>
            </w:r>
            <w:r>
              <w:rPr>
                <w:rStyle w:val="InstructionsTabelleberschrift"/>
                <w:rFonts w:ascii="Times New Roman" w:hAnsi="Times New Roman"/>
                <w:sz w:val="24"/>
              </w:rPr>
              <w:t>o</w:t>
            </w:r>
            <w:r>
              <w:rPr>
                <w:rStyle w:val="InstructionsTabelleberschrift"/>
                <w:rFonts w:ascii="Times New Roman" w:hAnsi="Times New Roman"/>
                <w:sz w:val="24"/>
              </w:rPr>
              <w:t>natkozó tényleges vagy függő kötelezettségek</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56. cikkének a) pontja, valamint 57. cikke</w:t>
            </w:r>
          </w:p>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CRR 56. cikkének a) pontja szerint le kell vonni</w:t>
            </w:r>
            <w:r>
              <w:t xml:space="preserve"> „az olyan saját kiegészítő alapvető </w:t>
            </w:r>
            <w:proofErr w:type="gramStart"/>
            <w:r>
              <w:t>tőkeinstrumentumokat …</w:t>
            </w:r>
            <w:proofErr w:type="gramEnd"/>
            <w:r>
              <w:t>, amelyeket az intézmény hatályos sze</w:t>
            </w:r>
            <w:r>
              <w:t>r</w:t>
            </w:r>
            <w:r>
              <w:lastRenderedPageBreak/>
              <w:t>ződéses kötelezettségekből eredően köteles lehet megvásárolni”.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660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sidRPr="00FE5CA1">
              <w:rPr>
                <w:u w:val="single"/>
              </w:rPr>
              <w:tab/>
            </w:r>
            <w:r>
              <w:rPr>
                <w:rStyle w:val="InstructionsTabelleberschrift"/>
                <w:rFonts w:ascii="Times New Roman" w:hAnsi="Times New Roman"/>
                <w:sz w:val="24"/>
              </w:rPr>
              <w:t>Szerzett jogok alapján figyelembe vett AT1 tőkeinstr</w:t>
            </w:r>
            <w:r>
              <w:rPr>
                <w:rStyle w:val="InstructionsTabelleberschrift"/>
                <w:rFonts w:ascii="Times New Roman" w:hAnsi="Times New Roman"/>
                <w:sz w:val="24"/>
              </w:rPr>
              <w:t>u</w:t>
            </w:r>
            <w:r>
              <w:rPr>
                <w:rStyle w:val="InstructionsTabelleberschrift"/>
                <w:rFonts w:ascii="Times New Roman" w:hAnsi="Times New Roman"/>
                <w:sz w:val="24"/>
              </w:rPr>
              <w:t>mentumok miatti átmeneti kiigazítások</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483. cikkének (4) és (5) bekezdése, valamint 484–487</w:t>
            </w:r>
            <w:proofErr w:type="gramStart"/>
            <w:r>
              <w:rPr>
                <w:rStyle w:val="FormatvorlageInstructionsTabelleText"/>
                <w:rFonts w:ascii="Times New Roman" w:hAnsi="Times New Roman"/>
                <w:sz w:val="24"/>
              </w:rPr>
              <w:t>.,</w:t>
            </w:r>
            <w:proofErr w:type="gramEnd"/>
            <w:r>
              <w:rPr>
                <w:rStyle w:val="FormatvorlageInstructionsTabelleText"/>
                <w:rFonts w:ascii="Times New Roman" w:hAnsi="Times New Roman"/>
                <w:sz w:val="24"/>
              </w:rPr>
              <w:t xml:space="preserve"> 489. és 491. cikke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szerzett jogokkal kapcsolatos rendelkezések alapján átmenetileg AT1 t</w:t>
            </w:r>
            <w:r>
              <w:rPr>
                <w:rStyle w:val="FormatvorlageInstructionsTabelleText"/>
                <w:rFonts w:ascii="Times New Roman" w:hAnsi="Times New Roman"/>
                <w:sz w:val="24"/>
              </w:rPr>
              <w:t>ő</w:t>
            </w:r>
            <w:r>
              <w:rPr>
                <w:rStyle w:val="FormatvorlageInstructionsTabelleText"/>
                <w:rFonts w:ascii="Times New Roman" w:hAnsi="Times New Roman"/>
                <w:sz w:val="24"/>
              </w:rPr>
              <w:t>kének minősített tőkeinstrumentumok összege. A feltüntetendő értéket kö</w:t>
            </w:r>
            <w:r>
              <w:rPr>
                <w:rStyle w:val="FormatvorlageInstructionsTabelleText"/>
                <w:rFonts w:ascii="Times New Roman" w:hAnsi="Times New Roman"/>
                <w:sz w:val="24"/>
              </w:rPr>
              <w:t>z</w:t>
            </w:r>
            <w:r>
              <w:rPr>
                <w:rStyle w:val="FormatvorlageInstructionsTabelleText"/>
                <w:rFonts w:ascii="Times New Roman" w:hAnsi="Times New Roman"/>
                <w:sz w:val="24"/>
              </w:rPr>
              <w:t>vetlenül a CA5 tábláról kell átvezetni.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rsidRPr="00FE5CA1">
              <w:rPr>
                <w:u w:val="single"/>
              </w:rPr>
              <w:tab/>
            </w:r>
            <w:r>
              <w:rPr>
                <w:rStyle w:val="InstructionsTabelleberschrift"/>
                <w:rFonts w:ascii="Times New Roman" w:hAnsi="Times New Roman"/>
                <w:sz w:val="24"/>
              </w:rPr>
              <w:t>Leányvállalatok által kibocsátott, AT1 tőkeként megjel</w:t>
            </w:r>
            <w:r>
              <w:rPr>
                <w:rStyle w:val="InstructionsTabelleberschrift"/>
                <w:rFonts w:ascii="Times New Roman" w:hAnsi="Times New Roman"/>
                <w:sz w:val="24"/>
              </w:rPr>
              <w:t>e</w:t>
            </w:r>
            <w:r>
              <w:rPr>
                <w:rStyle w:val="InstructionsTabelleberschrift"/>
                <w:rFonts w:ascii="Times New Roman" w:hAnsi="Times New Roman"/>
                <w:sz w:val="24"/>
              </w:rPr>
              <w:t>nített instrumentumok</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83., 85. és 86. cikke</w:t>
            </w:r>
          </w:p>
          <w:p w:rsidR="00477CB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leányvállalatok T1 tőkéjébe beszámítható összes tőkeelemnek a konszol</w:t>
            </w:r>
            <w:r>
              <w:rPr>
                <w:rStyle w:val="FormatvorlageInstructionsTabelleText"/>
                <w:rFonts w:ascii="Times New Roman" w:hAnsi="Times New Roman"/>
                <w:sz w:val="24"/>
              </w:rPr>
              <w:t>i</w:t>
            </w:r>
            <w:r>
              <w:rPr>
                <w:rStyle w:val="FormatvorlageInstructionsTabelleText"/>
                <w:rFonts w:ascii="Times New Roman" w:hAnsi="Times New Roman"/>
                <w:sz w:val="24"/>
              </w:rPr>
              <w:t>dált AT1 tőke részét képező összege.</w:t>
            </w:r>
          </w:p>
          <w:p w:rsidR="00106FC5" w:rsidRPr="00392FFD" w:rsidRDefault="00106FC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Tartalmazza a különleges célú gazdasági egység által kibocsátott, AT1 tők</w:t>
            </w:r>
            <w:r>
              <w:rPr>
                <w:rStyle w:val="FormatvorlageInstructionsTabelleText"/>
                <w:rFonts w:ascii="Times New Roman" w:hAnsi="Times New Roman"/>
                <w:sz w:val="24"/>
              </w:rPr>
              <w:t>é</w:t>
            </w:r>
            <w:r>
              <w:rPr>
                <w:rStyle w:val="FormatvorlageInstructionsTabelleText"/>
                <w:rFonts w:ascii="Times New Roman" w:hAnsi="Times New Roman"/>
                <w:sz w:val="24"/>
              </w:rPr>
              <w:t>be beszámítható tőkeelemeket (a CRR 83. cikke).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680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sidRPr="00FE5CA1">
              <w:rPr>
                <w:u w:val="single"/>
              </w:rPr>
              <w:tab/>
            </w:r>
            <w:r>
              <w:rPr>
                <w:rStyle w:val="InstructionsTabelleberschrift"/>
                <w:rFonts w:ascii="Times New Roman" w:hAnsi="Times New Roman"/>
                <w:sz w:val="24"/>
              </w:rPr>
              <w:t>Átmeneti kiigazítások a leányvállalatok által kibocsátott instrumentumok AT1 tőkeként való pótlólagos megjelenítése miatt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480. cikke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T1 tőkébe beszámítható tőkeelemeknek a konszolidált AT1 tőke részét képező összegében az átmeneti rendelkezések miatt végrehajtott kiigazít</w:t>
            </w:r>
            <w:r>
              <w:rPr>
                <w:rStyle w:val="FormatvorlageInstructionsTabelleText"/>
                <w:rFonts w:ascii="Times New Roman" w:hAnsi="Times New Roman"/>
                <w:sz w:val="24"/>
              </w:rPr>
              <w:t>á</w:t>
            </w:r>
            <w:r>
              <w:rPr>
                <w:rStyle w:val="FormatvorlageInstructionsTabelleText"/>
                <w:rFonts w:ascii="Times New Roman" w:hAnsi="Times New Roman"/>
                <w:sz w:val="24"/>
              </w:rPr>
              <w:t>sok. A tételt közvetlenül a CA5 tábláról kell átvezetni.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rsidRPr="00FE5CA1">
              <w:rPr>
                <w:u w:val="single"/>
              </w:rPr>
              <w:tab/>
            </w:r>
            <w:r>
              <w:rPr>
                <w:rStyle w:val="InstructionsTabelleberschrift"/>
                <w:rFonts w:ascii="Times New Roman" w:hAnsi="Times New Roman"/>
                <w:sz w:val="24"/>
              </w:rPr>
              <w:t>(–) Kölcsönös részesedések AT1 tőkeinstrumentumokban</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122. pontja, 56. cikkének b) pontja, val</w:t>
            </w:r>
            <w:r>
              <w:rPr>
                <w:rStyle w:val="FormatvorlageInstructionsTabelleText"/>
                <w:rFonts w:ascii="Times New Roman" w:hAnsi="Times New Roman"/>
                <w:sz w:val="24"/>
              </w:rPr>
              <w:t>a</w:t>
            </w:r>
            <w:r>
              <w:rPr>
                <w:rStyle w:val="FormatvorlageInstructionsTabelleText"/>
                <w:rFonts w:ascii="Times New Roman" w:hAnsi="Times New Roman"/>
                <w:sz w:val="24"/>
              </w:rPr>
              <w:t>mint 58. cikke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pontjában meghatározott pénzügyi ágazatbeli szervezetek által kibocsátott AT1 tőkeinstrumentumok állománya olyan kölcsönös részesedés esetében, amelynek célja az illetékes hatóság v</w:t>
            </w:r>
            <w:r>
              <w:rPr>
                <w:rStyle w:val="FormatvorlageInstructionsTabelleText"/>
                <w:rFonts w:ascii="Times New Roman" w:hAnsi="Times New Roman"/>
                <w:sz w:val="24"/>
              </w:rPr>
              <w:t>é</w:t>
            </w:r>
            <w:r>
              <w:rPr>
                <w:rStyle w:val="FormatvorlageInstructionsTabelleText"/>
                <w:rFonts w:ascii="Times New Roman" w:hAnsi="Times New Roman"/>
                <w:sz w:val="24"/>
              </w:rPr>
              <w:t xml:space="preserve">leménye szerint az </w:t>
            </w:r>
            <w:proofErr w:type="gramStart"/>
            <w:r>
              <w:rPr>
                <w:rStyle w:val="FormatvorlageInstructionsTabelleText"/>
                <w:rFonts w:ascii="Times New Roman" w:hAnsi="Times New Roman"/>
                <w:sz w:val="24"/>
              </w:rPr>
              <w:t>intézmény szavatoló</w:t>
            </w:r>
            <w:proofErr w:type="gramEnd"/>
            <w:r>
              <w:rPr>
                <w:rStyle w:val="FormatvorlageInstructionsTabelleText"/>
                <w:rFonts w:ascii="Times New Roman" w:hAnsi="Times New Roman"/>
                <w:sz w:val="24"/>
              </w:rPr>
              <w:t xml:space="preserve"> tőkéjének mesterséges megemelése.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értéket a bruttó hosszú pozíciók alapján kell kiszámítani, és annak tartalmaznia kell a biztosítói AT1 szavatolótőke-elemeket.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rsidRPr="00FE5CA1">
              <w:rPr>
                <w:u w:val="single"/>
              </w:rPr>
              <w:tab/>
            </w:r>
            <w:r>
              <w:rPr>
                <w:rStyle w:val="InstructionsTabelleberschrift"/>
                <w:rFonts w:ascii="Times New Roman" w:hAnsi="Times New Roman"/>
                <w:sz w:val="24"/>
              </w:rPr>
              <w:t>(–) Pénzügyi ágazatbeli szervezetek által kibocsátott AT1 tőkeinstrumentumok, ha az intézmény nem rendelkezik jelentős rész</w:t>
            </w:r>
            <w:r>
              <w:rPr>
                <w:rStyle w:val="InstructionsTabelleberschrift"/>
                <w:rFonts w:ascii="Times New Roman" w:hAnsi="Times New Roman"/>
                <w:sz w:val="24"/>
              </w:rPr>
              <w:t>e</w:t>
            </w:r>
            <w:r>
              <w:rPr>
                <w:rStyle w:val="InstructionsTabelleberschrift"/>
                <w:rFonts w:ascii="Times New Roman" w:hAnsi="Times New Roman"/>
                <w:sz w:val="24"/>
              </w:rPr>
              <w:t>sedéssel az említett vállalkozásokban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pontja, 56. cikkének c) pontja, val</w:t>
            </w:r>
            <w:r>
              <w:rPr>
                <w:rStyle w:val="FormatvorlageInstructionsTabelleText"/>
                <w:rFonts w:ascii="Times New Roman" w:hAnsi="Times New Roman"/>
                <w:sz w:val="24"/>
              </w:rPr>
              <w:t>a</w:t>
            </w:r>
            <w:r>
              <w:rPr>
                <w:rStyle w:val="FormatvorlageInstructionsTabelleText"/>
                <w:rFonts w:ascii="Times New Roman" w:hAnsi="Times New Roman"/>
                <w:sz w:val="24"/>
              </w:rPr>
              <w:t>mint 59., 60. és 79. cikke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pontjában meghatározott pénzügyi ágazatbeli szervezetek által kibocsátott instrumentumokban lévő intézményi részesedés, ha az intézmény nem rendelkezik az AT1 tőkéből levonandó j</w:t>
            </w:r>
            <w:r>
              <w:rPr>
                <w:rStyle w:val="FormatvorlageInstructionsTabelleText"/>
                <w:rFonts w:ascii="Times New Roman" w:hAnsi="Times New Roman"/>
                <w:sz w:val="24"/>
              </w:rPr>
              <w:t>e</w:t>
            </w:r>
            <w:r>
              <w:rPr>
                <w:rStyle w:val="FormatvorlageInstructionsTabelleText"/>
                <w:rFonts w:ascii="Times New Roman" w:hAnsi="Times New Roman"/>
                <w:sz w:val="24"/>
              </w:rPr>
              <w:t>lentős részesedéssel.</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rsidRPr="00FE5CA1">
              <w:rPr>
                <w:u w:val="single"/>
              </w:rPr>
              <w:tab/>
            </w:r>
            <w:r>
              <w:rPr>
                <w:rStyle w:val="InstructionsTabelleberschrift"/>
                <w:rFonts w:ascii="Times New Roman" w:hAnsi="Times New Roman"/>
                <w:sz w:val="24"/>
              </w:rPr>
              <w:t xml:space="preserve">(–) Pénzügyi ágazatbeli szervezetek által kibocsátott AT1 tőkeinstrumentumok,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rendelk</w:t>
            </w:r>
            <w:r>
              <w:rPr>
                <w:rStyle w:val="InstructionsTabelleberschrift"/>
                <w:rFonts w:ascii="Times New Roman" w:hAnsi="Times New Roman"/>
                <w:sz w:val="24"/>
              </w:rPr>
              <w:t>e</w:t>
            </w:r>
            <w:r>
              <w:rPr>
                <w:rStyle w:val="InstructionsTabelleberschrift"/>
                <w:rFonts w:ascii="Times New Roman" w:hAnsi="Times New Roman"/>
                <w:sz w:val="24"/>
              </w:rPr>
              <w:t>zik az említett vállalkozásokban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CRR 4. cikke (1) bekezdésének 27. pontja, 56. cikkének d) pontja, val</w:t>
            </w:r>
            <w:r>
              <w:rPr>
                <w:rStyle w:val="FormatvorlageInstructionsTabelleText"/>
                <w:rFonts w:ascii="Times New Roman" w:hAnsi="Times New Roman"/>
                <w:sz w:val="24"/>
              </w:rPr>
              <w:t>a</w:t>
            </w:r>
            <w:r>
              <w:rPr>
                <w:rStyle w:val="FormatvorlageInstructionsTabelleText"/>
                <w:rFonts w:ascii="Times New Roman" w:hAnsi="Times New Roman"/>
                <w:sz w:val="24"/>
              </w:rPr>
              <w:t>mint 59. és 79. cikke</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pontjában meghatározott pénzügyi ágazatbeli szervezetek által kibocsátott AT1 tőkeinstrumentumokban lévő intézményi részesedést, ha az intézmény az elsődleges jelentős részesedéssel rendelkezik, teljes összegben le kell vonni.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sidRPr="00FE5CA1">
              <w:rPr>
                <w:u w:val="single"/>
              </w:rPr>
              <w:tab/>
            </w:r>
            <w:r>
              <w:rPr>
                <w:rStyle w:val="InstructionsTabelleberschrift"/>
                <w:rFonts w:ascii="Times New Roman" w:hAnsi="Times New Roman"/>
                <w:sz w:val="24"/>
              </w:rPr>
              <w:t>(–) T2 tőkeelemek összegét meghaladó T2 levonások töb</w:t>
            </w:r>
            <w:r>
              <w:rPr>
                <w:rStyle w:val="InstructionsTabelleberschrift"/>
                <w:rFonts w:ascii="Times New Roman" w:hAnsi="Times New Roman"/>
                <w:sz w:val="24"/>
              </w:rPr>
              <w:t>b</w:t>
            </w:r>
            <w:r w:rsidR="00FE5CA1">
              <w:rPr>
                <w:rStyle w:val="InstructionsTabelleberschrift"/>
                <w:rFonts w:ascii="Times New Roman" w:hAnsi="Times New Roman"/>
                <w:sz w:val="24"/>
              </w:rPr>
              <w:t>lete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56. cikkének e) pontja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értéket közvetlenül a CA1 tábla „T2 tőkeelemek összegét meghaladó T2 levonások többlete” tételéből kell átvezetni (levonás az AT1 tőkében).</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rsidRPr="00FE5CA1">
              <w:rPr>
                <w:u w:val="single"/>
              </w:rPr>
              <w:tab/>
            </w:r>
            <w:r>
              <w:rPr>
                <w:rStyle w:val="InstructionsTabelleberschrift"/>
                <w:rFonts w:ascii="Times New Roman" w:hAnsi="Times New Roman"/>
                <w:sz w:val="24"/>
              </w:rPr>
              <w:t>AT1 tőke egyéb átmeneti kiigazításai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474., 475., 478. és 481. cikke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átmeneti rendelkezések miatt végrehajtott kiigazítások. A feltüntetendő értéket közvetlenül a CA5 tábláról kell átvezetni.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sidRPr="00FE5CA1">
              <w:rPr>
                <w:u w:val="single"/>
              </w:rPr>
              <w:tab/>
            </w:r>
            <w:r>
              <w:rPr>
                <w:rStyle w:val="InstructionsTabelleberschrift"/>
                <w:rFonts w:ascii="Times New Roman" w:hAnsi="Times New Roman"/>
                <w:sz w:val="24"/>
              </w:rPr>
              <w:t>AT1 tőkeelemek összegét meghaladó AT1 levonások töb</w:t>
            </w:r>
            <w:r>
              <w:rPr>
                <w:rStyle w:val="InstructionsTabelleberschrift"/>
                <w:rFonts w:ascii="Times New Roman" w:hAnsi="Times New Roman"/>
                <w:sz w:val="24"/>
              </w:rPr>
              <w:t>b</w:t>
            </w:r>
            <w:r>
              <w:rPr>
                <w:rStyle w:val="InstructionsTabelleberschrift"/>
                <w:rFonts w:ascii="Times New Roman" w:hAnsi="Times New Roman"/>
                <w:sz w:val="24"/>
              </w:rPr>
              <w:t>lete (levonás a CET1 tőkében)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36. cikke (1) bekezdésének j) pontja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AT1 tőke nem lehet negatív, ugyanakkor lehetséges, hogy az AT1 tőkét érintő levonások összege meghaladja az AT1 tőke és a kapcsolódó ázsió együttes összegét. Ilyenkor az AT1 tőke összegét nullára kell csökkenteni, a levonásnak az eredeti tőkeösszeget meghaladó részét pedig a CET1 tőkéből kell levonni.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 tétel segítségével érhető el, hogy az 1.1.2.1–1.1.2.12. tételek összege egyetlen esetben se lehessen nullánál kisebb. Így ha e tétel értéke pozitív, akkor az 1.1.1.16. tételben ezzel megegyező, ellenkező előjelű számot kell feltüntetni.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744</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sidRPr="00FE5CA1">
              <w:rPr>
                <w:u w:val="single"/>
              </w:rPr>
              <w:tab/>
            </w:r>
            <w:r>
              <w:rPr>
                <w:rStyle w:val="InstructionsTabelleberschrift"/>
                <w:rFonts w:ascii="Times New Roman" w:hAnsi="Times New Roman"/>
                <w:sz w:val="24"/>
              </w:rPr>
              <w:t>(–) Pótlólagos levonások az AT1 tőkéből a CRR 3. cikke alapján</w:t>
            </w:r>
          </w:p>
          <w:p w:rsidR="005643EA" w:rsidRPr="007E39E6"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3. cikke</w:t>
            </w:r>
          </w:p>
        </w:tc>
      </w:tr>
      <w:tr w:rsidR="00A86EB4" w:rsidRPr="00392FFD" w:rsidTr="00672D2A">
        <w:tc>
          <w:tcPr>
            <w:tcW w:w="1129" w:type="dxa"/>
          </w:tcPr>
          <w:p w:rsidR="00A86EB4" w:rsidRPr="00392FFD" w:rsidRDefault="008F5B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748</w:t>
            </w:r>
          </w:p>
        </w:tc>
        <w:tc>
          <w:tcPr>
            <w:tcW w:w="7620" w:type="dxa"/>
          </w:tcPr>
          <w:p w:rsidR="005643EA" w:rsidRPr="007E39E6" w:rsidRDefault="008F5BFE"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sidRPr="00FE5CA1">
              <w:rPr>
                <w:u w:val="single"/>
              </w:rPr>
              <w:tab/>
            </w:r>
            <w:r>
              <w:rPr>
                <w:rStyle w:val="InstructionsTabelleberschrift"/>
                <w:rFonts w:ascii="Times New Roman" w:hAnsi="Times New Roman"/>
                <w:sz w:val="24"/>
              </w:rPr>
              <w:t>AT1 tőkeelemek vagy levonások – egyéb</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 sor kizárólagos célja, hogy biztosítsa az adatszolgáltatás rugalmasságát. Csak azokban a ritka esetekben tölthető ki, amikor nincs végleges döntés az aktuális CA1 táblában szereplő egyes tőkeelemekkel vagy levonásokkal kapcsolatos adatszolgáltatásról. Következésképpen a sor csak akkor tölthető ki, ha egy AT1 tőkeelem, illetve egy AT1 tőkeelemet érintő levonás nem szerepeltethető a</w:t>
            </w:r>
            <w:r w:rsidR="00FE5CA1">
              <w:rPr>
                <w:rStyle w:val="InstructionsTabelleberschrift"/>
                <w:rFonts w:ascii="Times New Roman" w:hAnsi="Times New Roman"/>
                <w:b w:val="0"/>
                <w:sz w:val="24"/>
                <w:u w:val="none"/>
              </w:rPr>
              <w:t>z 530–744. sorok egyikében sem.</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cella nem használható a CRR-ben nem szabályozott tőkeelemeknek, ille</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ve levonásoknak a szolvenciamutató kiszámításán belüli besorolásához (pl. olyan tagállami tőkeelemek vagy levonások besorolásához, amelyek a CRR hatályán kívül esnek).</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FE5CA1">
              <w:rPr>
                <w:u w:val="single"/>
              </w:rPr>
              <w:tab/>
            </w:r>
            <w:r>
              <w:rPr>
                <w:rStyle w:val="InstructionsTabelleberschrift"/>
                <w:rFonts w:ascii="Times New Roman" w:hAnsi="Times New Roman"/>
                <w:sz w:val="24"/>
              </w:rPr>
              <w:t>JÁRULÉKOS TŐKE (T2 TŐKE)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71. cikke</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Pr="00FE5CA1">
              <w:rPr>
                <w:u w:val="single"/>
              </w:rPr>
              <w:tab/>
            </w:r>
            <w:r>
              <w:rPr>
                <w:rStyle w:val="InstructionsTabelleberschrift"/>
                <w:rFonts w:ascii="Times New Roman" w:hAnsi="Times New Roman"/>
                <w:sz w:val="24"/>
              </w:rPr>
              <w:t>T2 tőkeként és alárendelt kölcsönként figyelembe vehető tők</w:t>
            </w:r>
            <w:r>
              <w:rPr>
                <w:rStyle w:val="InstructionsTabelleberschrift"/>
                <w:rFonts w:ascii="Times New Roman" w:hAnsi="Times New Roman"/>
                <w:sz w:val="24"/>
              </w:rPr>
              <w:t>e</w:t>
            </w:r>
            <w:r>
              <w:rPr>
                <w:rStyle w:val="InstructionsTabelleberschrift"/>
                <w:rFonts w:ascii="Times New Roman" w:hAnsi="Times New Roman"/>
                <w:sz w:val="24"/>
              </w:rPr>
              <w:t>instrumentumok</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62. cikkének a) pontja, 63–65. cikke, 66. cikkének a) pontja, val</w:t>
            </w:r>
            <w:r>
              <w:rPr>
                <w:rStyle w:val="FormatvorlageInstructionsTabelleText"/>
                <w:rFonts w:ascii="Times New Roman" w:hAnsi="Times New Roman"/>
                <w:sz w:val="24"/>
              </w:rPr>
              <w:t>a</w:t>
            </w:r>
            <w:r>
              <w:rPr>
                <w:rStyle w:val="FormatvorlageInstructionsTabelleText"/>
                <w:rFonts w:ascii="Times New Roman" w:hAnsi="Times New Roman"/>
                <w:sz w:val="24"/>
              </w:rPr>
              <w:t>mint 67. cikke</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sidRPr="00FE5CA1">
              <w:rPr>
                <w:u w:val="single"/>
              </w:rPr>
              <w:tab/>
            </w:r>
            <w:r>
              <w:rPr>
                <w:rStyle w:val="InstructionsTabelleberschrift"/>
                <w:rFonts w:ascii="Times New Roman" w:hAnsi="Times New Roman"/>
                <w:sz w:val="24"/>
              </w:rPr>
              <w:t>Befizetett tőkeinstrumentumok és alárendelt kölcsönök</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62. cikkének a) pontja, valamint 63. és 65. cikke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nem foglalhatja magában az instrumentumokhoz ka</w:t>
            </w:r>
            <w:r>
              <w:rPr>
                <w:rStyle w:val="FormatvorlageInstructionsTabelleText"/>
                <w:rFonts w:ascii="Times New Roman" w:hAnsi="Times New Roman"/>
                <w:sz w:val="24"/>
              </w:rPr>
              <w:t>p</w:t>
            </w:r>
            <w:r>
              <w:rPr>
                <w:rStyle w:val="FormatvorlageInstructionsTabelleText"/>
                <w:rFonts w:ascii="Times New Roman" w:hAnsi="Times New Roman"/>
                <w:sz w:val="24"/>
              </w:rPr>
              <w:t>csolódó ázsiót.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rsidRPr="00FE5CA1">
              <w:rPr>
                <w:u w:val="single"/>
              </w:rPr>
              <w:tab/>
            </w:r>
            <w:r>
              <w:rPr>
                <w:rStyle w:val="InstructionsTabelleberschrift"/>
                <w:rFonts w:ascii="Times New Roman" w:hAnsi="Times New Roman"/>
                <w:sz w:val="24"/>
              </w:rPr>
              <w:t>Tájékoztató adat: figyelembe nem vehető tőkeinstrume</w:t>
            </w:r>
            <w:r>
              <w:rPr>
                <w:rStyle w:val="InstructionsTabelleberschrift"/>
                <w:rFonts w:ascii="Times New Roman" w:hAnsi="Times New Roman"/>
                <w:sz w:val="24"/>
              </w:rPr>
              <w:t>n</w:t>
            </w:r>
            <w:r>
              <w:rPr>
                <w:rStyle w:val="InstructionsTabelleberschrift"/>
                <w:rFonts w:ascii="Times New Roman" w:hAnsi="Times New Roman"/>
                <w:sz w:val="24"/>
              </w:rPr>
              <w:t>tumok és alárendelt kölcsönök</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63. cikkének c), e) és f) pontja, valamint 64. cikke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 pontokban említett feltételek különböző visszafordítható tőkehelyzet</w:t>
            </w:r>
            <w:r>
              <w:rPr>
                <w:rStyle w:val="FormatvorlageInstructionsTabelleText"/>
                <w:rFonts w:ascii="Times New Roman" w:hAnsi="Times New Roman"/>
                <w:sz w:val="24"/>
              </w:rPr>
              <w:t>e</w:t>
            </w:r>
            <w:r>
              <w:rPr>
                <w:rStyle w:val="FormatvorlageInstructionsTabelleText"/>
                <w:rFonts w:ascii="Times New Roman" w:hAnsi="Times New Roman"/>
                <w:sz w:val="24"/>
              </w:rPr>
              <w:t>ket tükröznek, így az itt feltüntetett összeg a későbbi időszakokban figy</w:t>
            </w:r>
            <w:r>
              <w:rPr>
                <w:rStyle w:val="FormatvorlageInstructionsTabelleText"/>
                <w:rFonts w:ascii="Times New Roman" w:hAnsi="Times New Roman"/>
                <w:sz w:val="24"/>
              </w:rPr>
              <w:t>e</w:t>
            </w:r>
            <w:r>
              <w:rPr>
                <w:rStyle w:val="FormatvorlageInstructionsTabelleText"/>
                <w:rFonts w:ascii="Times New Roman" w:hAnsi="Times New Roman"/>
                <w:sz w:val="24"/>
              </w:rPr>
              <w:t>lembe vehető lehet.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nem foglalhatja magában az instrumentumokhoz ka</w:t>
            </w:r>
            <w:r>
              <w:rPr>
                <w:rStyle w:val="FormatvorlageInstructionsTabelleText"/>
                <w:rFonts w:ascii="Times New Roman" w:hAnsi="Times New Roman"/>
                <w:sz w:val="24"/>
              </w:rPr>
              <w:t>p</w:t>
            </w:r>
            <w:r>
              <w:rPr>
                <w:rStyle w:val="FormatvorlageInstructionsTabelleText"/>
                <w:rFonts w:ascii="Times New Roman" w:hAnsi="Times New Roman"/>
                <w:sz w:val="24"/>
              </w:rPr>
              <w:t>csolódó ázsiót.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sidRPr="00FE5CA1">
              <w:rPr>
                <w:u w:val="single"/>
              </w:rPr>
              <w:tab/>
            </w:r>
            <w:r>
              <w:rPr>
                <w:rStyle w:val="InstructionsTabelleberschrift"/>
                <w:rFonts w:ascii="Times New Roman" w:hAnsi="Times New Roman"/>
                <w:sz w:val="24"/>
              </w:rPr>
              <w:t>Névértéken felüli befizetés (ázsió)</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62. cikkének b) pontja, valamint 65. cikke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ázsió jelentése egyezik az alkalmazandó számviteli sz</w:t>
            </w:r>
            <w:r w:rsidR="00FE5CA1">
              <w:rPr>
                <w:rStyle w:val="FormatvorlageInstructionsTabelleText"/>
                <w:rFonts w:ascii="Times New Roman" w:hAnsi="Times New Roman"/>
                <w:sz w:val="24"/>
              </w:rPr>
              <w:t>abályozás szerinti jelentéssel.</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ebben az elemben feltüntetendő érték a befizetett tőkeinstrumentumo</w:t>
            </w:r>
            <w:r>
              <w:rPr>
                <w:rStyle w:val="FormatvorlageInstructionsTabelleText"/>
                <w:rFonts w:ascii="Times New Roman" w:hAnsi="Times New Roman"/>
                <w:sz w:val="24"/>
              </w:rPr>
              <w:t>k</w:t>
            </w:r>
            <w:r>
              <w:rPr>
                <w:rStyle w:val="FormatvorlageInstructionsTabelleText"/>
                <w:rFonts w:ascii="Times New Roman" w:hAnsi="Times New Roman"/>
                <w:sz w:val="24"/>
              </w:rPr>
              <w:t>hoz kapcsolódó rész.</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sidRPr="00FE5CA1">
              <w:rPr>
                <w:u w:val="single"/>
              </w:rPr>
              <w:tab/>
            </w:r>
            <w:r>
              <w:rPr>
                <w:rStyle w:val="InstructionsTabelleberschrift"/>
                <w:rFonts w:ascii="Times New Roman" w:hAnsi="Times New Roman"/>
                <w:sz w:val="24"/>
              </w:rPr>
              <w:t>(–) Saját T2 tőkeinstrumentumok</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63. cikke b) pontjának i. alpontja, 66. cikkének a) pontja, valamint 67. cikke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adatot szolgáltató intézmény vagy csoport saját T2 tőkéje az adatszolgá</w:t>
            </w:r>
            <w:r>
              <w:rPr>
                <w:rStyle w:val="FormatvorlageInstructionsTabelleText"/>
                <w:rFonts w:ascii="Times New Roman" w:hAnsi="Times New Roman"/>
                <w:sz w:val="24"/>
              </w:rPr>
              <w:t>l</w:t>
            </w:r>
            <w:r>
              <w:rPr>
                <w:rStyle w:val="FormatvorlageInstructionsTabelleText"/>
                <w:rFonts w:ascii="Times New Roman" w:hAnsi="Times New Roman"/>
                <w:sz w:val="24"/>
              </w:rPr>
              <w:t>tatás időpontjában. A CRR 67. cikkében említett kivételek figyelembevét</w:t>
            </w:r>
            <w:r>
              <w:rPr>
                <w:rStyle w:val="FormatvorlageInstructionsTabelleText"/>
                <w:rFonts w:ascii="Times New Roman" w:hAnsi="Times New Roman"/>
                <w:sz w:val="24"/>
              </w:rPr>
              <w:t>e</w:t>
            </w:r>
            <w:r>
              <w:rPr>
                <w:rStyle w:val="FormatvorlageInstructionsTabelleText"/>
                <w:rFonts w:ascii="Times New Roman" w:hAnsi="Times New Roman"/>
                <w:sz w:val="24"/>
              </w:rPr>
              <w:t>lével.</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Ebben a sorban nem tüntethetők fel a figyelembe nem vehető tőkeinstrume</w:t>
            </w:r>
            <w:r>
              <w:rPr>
                <w:rStyle w:val="FormatvorlageInstructionsTabelleText"/>
                <w:rFonts w:ascii="Times New Roman" w:hAnsi="Times New Roman"/>
                <w:sz w:val="24"/>
              </w:rPr>
              <w:t>n</w:t>
            </w:r>
            <w:r>
              <w:rPr>
                <w:rStyle w:val="FormatvorlageInstructionsTabelleText"/>
                <w:rFonts w:ascii="Times New Roman" w:hAnsi="Times New Roman"/>
                <w:sz w:val="24"/>
              </w:rPr>
              <w:t>tumként szerepeltetett részvények.</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magában foglalja a saját részvényekhez kapcsolódó ázsiót.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1.2.1.4–1.2.1.4.3. tételek nem foglalják magukban a saját T2 tőkeinstr</w:t>
            </w:r>
            <w:r>
              <w:rPr>
                <w:rStyle w:val="FormatvorlageInstructionsTabelleText"/>
                <w:rFonts w:ascii="Times New Roman" w:hAnsi="Times New Roman"/>
                <w:sz w:val="24"/>
              </w:rPr>
              <w:t>u</w:t>
            </w:r>
            <w:r>
              <w:rPr>
                <w:rStyle w:val="FormatvorlageInstructionsTabelleText"/>
                <w:rFonts w:ascii="Times New Roman" w:hAnsi="Times New Roman"/>
                <w:sz w:val="24"/>
              </w:rPr>
              <w:t>mentumok megvásárlására vonatkozó tényleges vagy függő kötelezettség</w:t>
            </w:r>
            <w:r>
              <w:rPr>
                <w:rStyle w:val="FormatvorlageInstructionsTabelleText"/>
                <w:rFonts w:ascii="Times New Roman" w:hAnsi="Times New Roman"/>
                <w:sz w:val="24"/>
              </w:rPr>
              <w:t>e</w:t>
            </w:r>
            <w:r>
              <w:rPr>
                <w:rStyle w:val="FormatvorlageInstructionsTabelleText"/>
                <w:rFonts w:ascii="Times New Roman" w:hAnsi="Times New Roman"/>
                <w:sz w:val="24"/>
              </w:rPr>
              <w:t>ket. Saját T2 tőkeinstrumentumok megvásárlására vonatkozó tényleges vagy függő kötelezettségeket külön kell feltüntetni az 1.2.1.5. tételben.</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sidRPr="00FE5CA1">
              <w:rPr>
                <w:u w:val="single"/>
              </w:rPr>
              <w:tab/>
            </w:r>
            <w:r>
              <w:rPr>
                <w:rStyle w:val="InstructionsTabelleberschrift"/>
                <w:rFonts w:ascii="Times New Roman" w:hAnsi="Times New Roman"/>
                <w:sz w:val="24"/>
              </w:rPr>
              <w:t>(–) Közvetlen részesedések T2 tőkeinstrumentumokban</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63. cikkének b) pontja, 66. cikkének a) pontja, valamint 67. cikke</w:t>
            </w:r>
          </w:p>
          <w:p w:rsidR="005643EA" w:rsidRPr="007E39E6"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 konszolidált csoportba tartozó intézmények tulajdonában lévő, az 1.2.1.1. tételnél megadott T2 tőkeinstrumentumok. </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sidRPr="00FE5CA1">
              <w:rPr>
                <w:u w:val="single"/>
              </w:rPr>
              <w:tab/>
            </w:r>
            <w:r>
              <w:rPr>
                <w:rStyle w:val="InstructionsTabelleberschrift"/>
                <w:rFonts w:ascii="Times New Roman" w:hAnsi="Times New Roman"/>
                <w:sz w:val="24"/>
              </w:rPr>
              <w:t>(–) Közvetett részesedések T2 tőkeinstrumentumokban</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114. pontja, 63. cikkének b) pontja, 66. cikkének a) pontja, valamint 67. cikke</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841</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sidRPr="00FE5CA1">
              <w:rPr>
                <w:u w:val="single"/>
              </w:rPr>
              <w:tab/>
            </w:r>
            <w:r>
              <w:rPr>
                <w:rStyle w:val="InstructionsTabelleberschrift"/>
                <w:rFonts w:ascii="Times New Roman" w:hAnsi="Times New Roman"/>
                <w:sz w:val="24"/>
              </w:rPr>
              <w:t>(–) Szintetikus részesedések T2 tőkeinstrumentumokban</w:t>
            </w:r>
          </w:p>
          <w:p w:rsidR="005643EA" w:rsidRPr="007E39E6"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 CRR 4. cikke (1) bekezdésének 126. pontja, 63. cikkének b) pontja, 66. cikkének a) pontja, valamint 67. cikke</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842</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sidRPr="00FE5CA1">
              <w:rPr>
                <w:u w:val="single"/>
              </w:rPr>
              <w:tab/>
            </w:r>
            <w:r>
              <w:rPr>
                <w:rStyle w:val="InstructionsTabelleberschrift"/>
                <w:rFonts w:ascii="Times New Roman" w:hAnsi="Times New Roman"/>
                <w:sz w:val="24"/>
              </w:rPr>
              <w:t>(–) Saját T2 tőkeinstrumentumok megvásárlására vona</w:t>
            </w:r>
            <w:r>
              <w:rPr>
                <w:rStyle w:val="InstructionsTabelleberschrift"/>
                <w:rFonts w:ascii="Times New Roman" w:hAnsi="Times New Roman"/>
                <w:sz w:val="24"/>
              </w:rPr>
              <w:t>t</w:t>
            </w:r>
            <w:r>
              <w:rPr>
                <w:rStyle w:val="InstructionsTabelleberschrift"/>
                <w:rFonts w:ascii="Times New Roman" w:hAnsi="Times New Roman"/>
                <w:sz w:val="24"/>
              </w:rPr>
              <w:t>kozó tényleges vagy függő kötelezettségek</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66. cikkének a) pontja, valamint 67. cikke</w:t>
            </w:r>
          </w:p>
          <w:p w:rsidR="005643EA" w:rsidRPr="007E39E6" w:rsidRDefault="00A86EB4"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CRR 66. cikkének a) pontja szerint</w:t>
            </w:r>
            <w:r>
              <w:t xml:space="preserve"> le kell vonni „az olyan saját T2 </w:t>
            </w:r>
            <w:proofErr w:type="gramStart"/>
            <w:r>
              <w:t>tők</w:t>
            </w:r>
            <w:r>
              <w:t>e</w:t>
            </w:r>
            <w:r>
              <w:t>instrumentumokat …</w:t>
            </w:r>
            <w:proofErr w:type="gramEnd"/>
            <w:r>
              <w:t>, amelyeket az intézmény hatályos szerződéses kötel</w:t>
            </w:r>
            <w:r>
              <w:t>e</w:t>
            </w:r>
            <w:r>
              <w:t>zettségekből eredően köteles lehet megvásárolni”.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sidRPr="00FE5CA1">
              <w:rPr>
                <w:u w:val="single"/>
              </w:rPr>
              <w:tab/>
            </w:r>
            <w:r>
              <w:rPr>
                <w:rStyle w:val="InstructionsTabelleberschrift"/>
                <w:rFonts w:ascii="Times New Roman" w:hAnsi="Times New Roman"/>
                <w:sz w:val="24"/>
              </w:rPr>
              <w:t>Szerzett jogok alapján figyelembe vett T2 tőkeinstrumentumok és alárendelt kölcsönök miatti átmeneti kiigazítások</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483. cikkének (6) és (7) bekezdése, valamint 484. 486., 488., 490. és 491. cikke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szerzett jogokkal kapcsolatos rendelkezések alapján átmenetileg T2 tők</w:t>
            </w:r>
            <w:r>
              <w:rPr>
                <w:rStyle w:val="FormatvorlageInstructionsTabelleText"/>
                <w:rFonts w:ascii="Times New Roman" w:hAnsi="Times New Roman"/>
                <w:sz w:val="24"/>
              </w:rPr>
              <w:t>é</w:t>
            </w:r>
            <w:r>
              <w:rPr>
                <w:rStyle w:val="FormatvorlageInstructionsTabelleText"/>
                <w:rFonts w:ascii="Times New Roman" w:hAnsi="Times New Roman"/>
                <w:sz w:val="24"/>
              </w:rPr>
              <w:t>nek minősített tőkeinstrumentumok összege. A feltüntetendő értéket közve</w:t>
            </w:r>
            <w:r>
              <w:rPr>
                <w:rStyle w:val="FormatvorlageInstructionsTabelleText"/>
                <w:rFonts w:ascii="Times New Roman" w:hAnsi="Times New Roman"/>
                <w:sz w:val="24"/>
              </w:rPr>
              <w:t>t</w:t>
            </w:r>
            <w:r>
              <w:rPr>
                <w:rStyle w:val="FormatvorlageInstructionsTabelleText"/>
                <w:rFonts w:ascii="Times New Roman" w:hAnsi="Times New Roman"/>
                <w:sz w:val="24"/>
              </w:rPr>
              <w:t>lenül a CA5 tábláról kell átvezetni.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sidRPr="00FE5CA1">
              <w:rPr>
                <w:u w:val="single"/>
              </w:rPr>
              <w:tab/>
            </w:r>
            <w:r>
              <w:rPr>
                <w:rStyle w:val="InstructionsTabelleberschrift"/>
                <w:rFonts w:ascii="Times New Roman" w:hAnsi="Times New Roman"/>
                <w:sz w:val="24"/>
              </w:rPr>
              <w:t>Leányvállalatok által kibocsátott, T2 tőkeként megjelenített ins</w:t>
            </w:r>
            <w:r>
              <w:rPr>
                <w:rStyle w:val="InstructionsTabelleberschrift"/>
                <w:rFonts w:ascii="Times New Roman" w:hAnsi="Times New Roman"/>
                <w:sz w:val="24"/>
              </w:rPr>
              <w:t>t</w:t>
            </w:r>
            <w:r>
              <w:rPr>
                <w:rStyle w:val="InstructionsTabelleberschrift"/>
                <w:rFonts w:ascii="Times New Roman" w:hAnsi="Times New Roman"/>
                <w:sz w:val="24"/>
              </w:rPr>
              <w:t>rumentumok</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83., 87. és 88. cikke</w:t>
            </w:r>
          </w:p>
          <w:p w:rsidR="00477CB6"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leányvállalatok szavatoló tőkéjébe beszámítható összes tőkeelemnek a konszolidált T2 tőke részét képező összege.</w:t>
            </w:r>
          </w:p>
          <w:p w:rsidR="00543DBD"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Tartalmazza a különleges célú gazdasági egység által kibocsátott, T2 tőkébe beszámítható tőkeelemeket (a CRR 83. cikke).</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sidRPr="00FE5CA1">
              <w:rPr>
                <w:u w:val="single"/>
              </w:rPr>
              <w:tab/>
            </w:r>
            <w:r>
              <w:rPr>
                <w:rStyle w:val="InstructionsTabelleberschrift"/>
                <w:rFonts w:ascii="Times New Roman" w:hAnsi="Times New Roman"/>
                <w:sz w:val="24"/>
              </w:rPr>
              <w:t>Átmeneti kiigazítások a leányvállalatok által kibocsátott instr</w:t>
            </w:r>
            <w:r>
              <w:rPr>
                <w:rStyle w:val="InstructionsTabelleberschrift"/>
                <w:rFonts w:ascii="Times New Roman" w:hAnsi="Times New Roman"/>
                <w:sz w:val="24"/>
              </w:rPr>
              <w:t>u</w:t>
            </w:r>
            <w:r>
              <w:rPr>
                <w:rStyle w:val="InstructionsTabelleberschrift"/>
                <w:rFonts w:ascii="Times New Roman" w:hAnsi="Times New Roman"/>
                <w:sz w:val="24"/>
              </w:rPr>
              <w:t>mentumok T2 tőkeként való pótlólagos megjelenítése miatt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480. cikke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szavatoló tőkébe beszámítható tőkeelemeknek a konszolidált T2 tőke r</w:t>
            </w:r>
            <w:r>
              <w:rPr>
                <w:rStyle w:val="FormatvorlageInstructionsTabelleText"/>
                <w:rFonts w:ascii="Times New Roman" w:hAnsi="Times New Roman"/>
                <w:sz w:val="24"/>
              </w:rPr>
              <w:t>é</w:t>
            </w:r>
            <w:r>
              <w:rPr>
                <w:rStyle w:val="FormatvorlageInstructionsTabelleText"/>
                <w:rFonts w:ascii="Times New Roman" w:hAnsi="Times New Roman"/>
                <w:sz w:val="24"/>
              </w:rPr>
              <w:t>szét képező összegében az átmeneti rendelkezések miatt végrehajtott kiigaz</w:t>
            </w:r>
            <w:r>
              <w:rPr>
                <w:rStyle w:val="FormatvorlageInstructionsTabelleText"/>
                <w:rFonts w:ascii="Times New Roman" w:hAnsi="Times New Roman"/>
                <w:sz w:val="24"/>
              </w:rPr>
              <w:t>í</w:t>
            </w:r>
            <w:r>
              <w:rPr>
                <w:rStyle w:val="FormatvorlageInstructionsTabelleText"/>
                <w:rFonts w:ascii="Times New Roman" w:hAnsi="Times New Roman"/>
                <w:sz w:val="24"/>
              </w:rPr>
              <w:t>tások. A tételt közvetlenül a CA5 tábláról kell átvezetni.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sidRPr="00FE5CA1">
              <w:rPr>
                <w:u w:val="single"/>
              </w:rPr>
              <w:tab/>
            </w:r>
            <w:r>
              <w:rPr>
                <w:rStyle w:val="InstructionsTabelleberschrift"/>
                <w:rFonts w:ascii="Times New Roman" w:hAnsi="Times New Roman"/>
                <w:sz w:val="24"/>
              </w:rPr>
              <w:t>Az IRB-módszerrel számított céltartalékok többlete a figyelembe vehető várható veszteségekhez viszonyítva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62. cikkének d) pontja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kockázattal súlyozott kitettség értékét IRB-módszerrel számító intézm</w:t>
            </w:r>
            <w:r>
              <w:rPr>
                <w:rStyle w:val="FormatvorlageInstructionsTabelleText"/>
                <w:rFonts w:ascii="Times New Roman" w:hAnsi="Times New Roman"/>
                <w:sz w:val="24"/>
              </w:rPr>
              <w:t>é</w:t>
            </w:r>
            <w:r>
              <w:rPr>
                <w:rStyle w:val="FormatvorlageInstructionsTabelleText"/>
                <w:rFonts w:ascii="Times New Roman" w:hAnsi="Times New Roman"/>
                <w:sz w:val="24"/>
              </w:rPr>
              <w:t>nyek esetében ez a tétel a céltartalékok és a T2 tőkeként figyelembe vehető várható veszteségek összehasonlításából adódó pozitív összeget tartalmazza.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sidRPr="00FE5CA1">
              <w:rPr>
                <w:u w:val="single"/>
              </w:rPr>
              <w:tab/>
            </w:r>
            <w:r>
              <w:rPr>
                <w:rStyle w:val="InstructionsTabelleberschrift"/>
                <w:rFonts w:ascii="Times New Roman" w:hAnsi="Times New Roman"/>
                <w:sz w:val="24"/>
              </w:rPr>
              <w:t>Általános hitelkockázati kiigazítások – sztenderd módszer (SA)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62. cikkének c) pontja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kockázattal súlyozott kitettség értékét sztenderd módszerrel számító i</w:t>
            </w:r>
            <w:r>
              <w:rPr>
                <w:rStyle w:val="FormatvorlageInstructionsTabelleText"/>
                <w:rFonts w:ascii="Times New Roman" w:hAnsi="Times New Roman"/>
                <w:sz w:val="24"/>
              </w:rPr>
              <w:t>n</w:t>
            </w:r>
            <w:r>
              <w:rPr>
                <w:rStyle w:val="FormatvorlageInstructionsTabelleText"/>
                <w:rFonts w:ascii="Times New Roman" w:hAnsi="Times New Roman"/>
                <w:sz w:val="24"/>
              </w:rPr>
              <w:t>tézmények esetében ez a tétel az általános hitelkockázati kiigazításoknak a T2 tőkeként figyelembe vehető összegét tartalmazza.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sidRPr="00FE5CA1">
              <w:rPr>
                <w:u w:val="single"/>
              </w:rPr>
              <w:tab/>
            </w:r>
            <w:r>
              <w:rPr>
                <w:rStyle w:val="InstructionsTabelleberschrift"/>
                <w:rFonts w:ascii="Times New Roman" w:hAnsi="Times New Roman"/>
                <w:sz w:val="24"/>
              </w:rPr>
              <w:t>(–) Kölcsönös részesedések T2 tőkeinstrumentumokban</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122. pontja, 66. cikkének b) pontja, val</w:t>
            </w:r>
            <w:r>
              <w:rPr>
                <w:rStyle w:val="FormatvorlageInstructionsTabelleText"/>
                <w:rFonts w:ascii="Times New Roman" w:hAnsi="Times New Roman"/>
                <w:sz w:val="24"/>
              </w:rPr>
              <w:t>a</w:t>
            </w:r>
            <w:r>
              <w:rPr>
                <w:rStyle w:val="FormatvorlageInstructionsTabelleText"/>
                <w:rFonts w:ascii="Times New Roman" w:hAnsi="Times New Roman"/>
                <w:sz w:val="24"/>
              </w:rPr>
              <w:t>mint 68. cikke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pontjában meghatározott pénzügyi ágazatbeli szervezetek által kibocsátott T2 tőkeinstrumentumok állománya olyan kölcsönös részesedés esetében, amelynek célja az illetékes hatóság v</w:t>
            </w:r>
            <w:r>
              <w:rPr>
                <w:rStyle w:val="FormatvorlageInstructionsTabelleText"/>
                <w:rFonts w:ascii="Times New Roman" w:hAnsi="Times New Roman"/>
                <w:sz w:val="24"/>
              </w:rPr>
              <w:t>é</w:t>
            </w:r>
            <w:r>
              <w:rPr>
                <w:rStyle w:val="FormatvorlageInstructionsTabelleText"/>
                <w:rFonts w:ascii="Times New Roman" w:hAnsi="Times New Roman"/>
                <w:sz w:val="24"/>
              </w:rPr>
              <w:t xml:space="preserve">leménye szerint az </w:t>
            </w:r>
            <w:proofErr w:type="gramStart"/>
            <w:r>
              <w:rPr>
                <w:rStyle w:val="FormatvorlageInstructionsTabelleText"/>
                <w:rFonts w:ascii="Times New Roman" w:hAnsi="Times New Roman"/>
                <w:sz w:val="24"/>
              </w:rPr>
              <w:t>intézmény szavatoló</w:t>
            </w:r>
            <w:proofErr w:type="gramEnd"/>
            <w:r>
              <w:rPr>
                <w:rStyle w:val="FormatvorlageInstructionsTabelleText"/>
                <w:rFonts w:ascii="Times New Roman" w:hAnsi="Times New Roman"/>
                <w:sz w:val="24"/>
              </w:rPr>
              <w:t xml:space="preserve"> tőkéjének mesterséges megemelése.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értéket a bruttó hosszú pozíciók alapján kell kiszámítani, és annak tartalmaznia kell a biztosítói 2. és 3. szintű szavatolótőke-elemeket.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rsidRPr="00FE5CA1">
              <w:rPr>
                <w:u w:val="single"/>
              </w:rPr>
              <w:tab/>
            </w:r>
            <w:r>
              <w:rPr>
                <w:rStyle w:val="InstructionsTabelleberschrift"/>
                <w:rFonts w:ascii="Times New Roman" w:hAnsi="Times New Roman"/>
                <w:sz w:val="24"/>
              </w:rPr>
              <w:t>(–) Pénzügyi ágazatbeli szervezetek által kibocsátott T2 tőkeins</w:t>
            </w:r>
            <w:r>
              <w:rPr>
                <w:rStyle w:val="InstructionsTabelleberschrift"/>
                <w:rFonts w:ascii="Times New Roman" w:hAnsi="Times New Roman"/>
                <w:sz w:val="24"/>
              </w:rPr>
              <w:t>t</w:t>
            </w:r>
            <w:r>
              <w:rPr>
                <w:rStyle w:val="InstructionsTabelleberschrift"/>
                <w:rFonts w:ascii="Times New Roman" w:hAnsi="Times New Roman"/>
                <w:sz w:val="24"/>
              </w:rPr>
              <w:t>rumentumok, ha az intézmény nem rendelkezik jelentős részesedéssel az említett vállalkozásokban</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pontja, 66. cikkének c) pontja, val</w:t>
            </w:r>
            <w:r>
              <w:rPr>
                <w:rStyle w:val="FormatvorlageInstructionsTabelleText"/>
                <w:rFonts w:ascii="Times New Roman" w:hAnsi="Times New Roman"/>
                <w:sz w:val="24"/>
              </w:rPr>
              <w:t>a</w:t>
            </w:r>
            <w:r>
              <w:rPr>
                <w:rStyle w:val="FormatvorlageInstructionsTabelleText"/>
                <w:rFonts w:ascii="Times New Roman" w:hAnsi="Times New Roman"/>
                <w:sz w:val="24"/>
              </w:rPr>
              <w:t>mint 68–70. és 79. cikke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pontjában meghatározott pénzügyi ágazatbeli szervezetek által kibocsátott instrumentumokban lévő intézményi részesedés, ha az intézmény nem rendelkezik a T2 tőkéből levonandó jele</w:t>
            </w:r>
            <w:r>
              <w:rPr>
                <w:rStyle w:val="FormatvorlageInstructionsTabelleText"/>
                <w:rFonts w:ascii="Times New Roman" w:hAnsi="Times New Roman"/>
                <w:sz w:val="24"/>
              </w:rPr>
              <w:t>n</w:t>
            </w:r>
            <w:r>
              <w:rPr>
                <w:rStyle w:val="FormatvorlageInstructionsTabelleText"/>
                <w:rFonts w:ascii="Times New Roman" w:hAnsi="Times New Roman"/>
                <w:sz w:val="24"/>
              </w:rPr>
              <w:t>tős részesedéssel.</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sidRPr="00FE5CA1">
              <w:rPr>
                <w:u w:val="single"/>
              </w:rPr>
              <w:tab/>
            </w:r>
            <w:r>
              <w:rPr>
                <w:rStyle w:val="InstructionsTabelleberschrift"/>
                <w:rFonts w:ascii="Times New Roman" w:hAnsi="Times New Roman"/>
                <w:sz w:val="24"/>
              </w:rPr>
              <w:t>(–) Pénzügyi ágazatbeli szervezetek által kibocsátott T2 tőkeins</w:t>
            </w:r>
            <w:r>
              <w:rPr>
                <w:rStyle w:val="InstructionsTabelleberschrift"/>
                <w:rFonts w:ascii="Times New Roman" w:hAnsi="Times New Roman"/>
                <w:sz w:val="24"/>
              </w:rPr>
              <w:t>t</w:t>
            </w:r>
            <w:r>
              <w:rPr>
                <w:rStyle w:val="InstructionsTabelleberschrift"/>
                <w:rFonts w:ascii="Times New Roman" w:hAnsi="Times New Roman"/>
                <w:sz w:val="24"/>
              </w:rPr>
              <w:t xml:space="preserve">rumentumok,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rendelkezik az e</w:t>
            </w:r>
            <w:r>
              <w:rPr>
                <w:rStyle w:val="InstructionsTabelleberschrift"/>
                <w:rFonts w:ascii="Times New Roman" w:hAnsi="Times New Roman"/>
                <w:sz w:val="24"/>
              </w:rPr>
              <w:t>m</w:t>
            </w:r>
            <w:r>
              <w:rPr>
                <w:rStyle w:val="InstructionsTabelleberschrift"/>
                <w:rFonts w:ascii="Times New Roman" w:hAnsi="Times New Roman"/>
                <w:sz w:val="24"/>
              </w:rPr>
              <w:t>lített vállalkozásokban</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pontja, 66. cikkének d) pontja, val</w:t>
            </w:r>
            <w:r>
              <w:rPr>
                <w:rStyle w:val="FormatvorlageInstructionsTabelleText"/>
                <w:rFonts w:ascii="Times New Roman" w:hAnsi="Times New Roman"/>
                <w:sz w:val="24"/>
              </w:rPr>
              <w:t>a</w:t>
            </w:r>
            <w:r>
              <w:rPr>
                <w:rStyle w:val="FormatvorlageInstructionsTabelleText"/>
                <w:rFonts w:ascii="Times New Roman" w:hAnsi="Times New Roman"/>
                <w:sz w:val="24"/>
              </w:rPr>
              <w:t>mint 68., 69. és 79. cikke</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pontjában meghatározott pénzügyi ágazatbeli szervezetek által kibocsátott T2 tőkeinstrumentumokban lévő i</w:t>
            </w:r>
            <w:r>
              <w:rPr>
                <w:rStyle w:val="FormatvorlageInstructionsTabelleText"/>
                <w:rFonts w:ascii="Times New Roman" w:hAnsi="Times New Roman"/>
                <w:sz w:val="24"/>
              </w:rPr>
              <w:t>n</w:t>
            </w:r>
            <w:r>
              <w:rPr>
                <w:rStyle w:val="FormatvorlageInstructionsTabelleText"/>
                <w:rFonts w:ascii="Times New Roman" w:hAnsi="Times New Roman"/>
                <w:sz w:val="24"/>
              </w:rPr>
              <w:t>tézményi részesedést, ha az intézmény az elsődleges jelentős részesedéssel rendelkezik, teljes összegben le kell vonni.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sidRPr="00FE5CA1">
              <w:rPr>
                <w:u w:val="single"/>
              </w:rPr>
              <w:tab/>
            </w:r>
            <w:r>
              <w:rPr>
                <w:rStyle w:val="InstructionsTabelleberschrift"/>
                <w:rFonts w:ascii="Times New Roman" w:hAnsi="Times New Roman"/>
                <w:sz w:val="24"/>
              </w:rPr>
              <w:t>T2 tőke egyéb átmeneti kiigazításai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476–478</w:t>
            </w:r>
            <w:proofErr w:type="gramStart"/>
            <w:r>
              <w:rPr>
                <w:rStyle w:val="FormatvorlageInstructionsTabelleText"/>
                <w:rFonts w:ascii="Times New Roman" w:hAnsi="Times New Roman"/>
                <w:sz w:val="24"/>
              </w:rPr>
              <w:t>.,</w:t>
            </w:r>
            <w:proofErr w:type="gramEnd"/>
            <w:r>
              <w:rPr>
                <w:rStyle w:val="FormatvorlageInstructionsTabelleText"/>
                <w:rFonts w:ascii="Times New Roman" w:hAnsi="Times New Roman"/>
                <w:sz w:val="24"/>
              </w:rPr>
              <w:t xml:space="preserve"> valamint 481. cikke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átmeneti rendelkezések miatt végrehajtott kiigazítások. A feltüntetendő értéket közvetlenül a CA5 tábláról kell átvezetni.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sidRPr="00FE5CA1">
              <w:rPr>
                <w:u w:val="single"/>
              </w:rPr>
              <w:tab/>
            </w:r>
            <w:r>
              <w:rPr>
                <w:rStyle w:val="InstructionsTabelleberschrift"/>
                <w:rFonts w:ascii="Times New Roman" w:hAnsi="Times New Roman"/>
                <w:sz w:val="24"/>
              </w:rPr>
              <w:t>T2 tőkeelemek összegét meghaladó T2 levonások többlete (lev</w:t>
            </w:r>
            <w:r>
              <w:rPr>
                <w:rStyle w:val="InstructionsTabelleberschrift"/>
                <w:rFonts w:ascii="Times New Roman" w:hAnsi="Times New Roman"/>
                <w:sz w:val="24"/>
              </w:rPr>
              <w:t>o</w:t>
            </w:r>
            <w:r>
              <w:rPr>
                <w:rStyle w:val="InstructionsTabelleberschrift"/>
                <w:rFonts w:ascii="Times New Roman" w:hAnsi="Times New Roman"/>
                <w:sz w:val="24"/>
              </w:rPr>
              <w:t>nás az AT1 tőkében)</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56. cikkének e) pontja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T2 tőke nem lehet negatív, ugyanakkor lehetséges, hogy a T2 tőkét érintő levonások összege meghaladja a T2 tőke és a kapcsolódó ázsió együttes ö</w:t>
            </w:r>
            <w:r>
              <w:rPr>
                <w:rStyle w:val="FormatvorlageInstructionsTabelleText"/>
                <w:rFonts w:ascii="Times New Roman" w:hAnsi="Times New Roman"/>
                <w:sz w:val="24"/>
              </w:rPr>
              <w:t>s</w:t>
            </w:r>
            <w:r>
              <w:rPr>
                <w:rStyle w:val="FormatvorlageInstructionsTabelleText"/>
                <w:rFonts w:ascii="Times New Roman" w:hAnsi="Times New Roman"/>
                <w:sz w:val="24"/>
              </w:rPr>
              <w:t xml:space="preserve">szegét. Ilyenkor a T2 tőke összegét nullára kell csökkenteni, a levonásnak az </w:t>
            </w:r>
            <w:r>
              <w:rPr>
                <w:rStyle w:val="FormatvorlageInstructionsTabelleText"/>
                <w:rFonts w:ascii="Times New Roman" w:hAnsi="Times New Roman"/>
                <w:sz w:val="24"/>
              </w:rPr>
              <w:lastRenderedPageBreak/>
              <w:t>eredeti tőkeösszeget meghaladó részét pedig az AT1 tőkéből kell levonni.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 tételnek köszönhetően az 1.2.1–1.2.13. tételek összege egyetlen esetben sem kisebb nullánál. Ha e tétel értéke pozitív, akkor az 1.1.2.8. tételben e</w:t>
            </w:r>
            <w:r>
              <w:rPr>
                <w:rStyle w:val="FormatvorlageInstructionsTabelleText"/>
                <w:rFonts w:ascii="Times New Roman" w:hAnsi="Times New Roman"/>
                <w:sz w:val="24"/>
              </w:rPr>
              <w:t>z</w:t>
            </w:r>
            <w:r>
              <w:rPr>
                <w:rStyle w:val="FormatvorlageInstructionsTabelleText"/>
                <w:rFonts w:ascii="Times New Roman" w:hAnsi="Times New Roman"/>
                <w:sz w:val="24"/>
              </w:rPr>
              <w:t>zel megegyező, ellenkező előjelű számot kell feltüntetni.</w:t>
            </w:r>
          </w:p>
        </w:tc>
      </w:tr>
      <w:tr w:rsidR="00BD687C" w:rsidRPr="00392FFD" w:rsidTr="00672D2A">
        <w:tc>
          <w:tcPr>
            <w:tcW w:w="1129" w:type="dxa"/>
          </w:tcPr>
          <w:p w:rsidR="00BD687C" w:rsidRPr="00392FFD" w:rsidDel="00BD687C"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974</w:t>
            </w:r>
          </w:p>
        </w:tc>
        <w:tc>
          <w:tcPr>
            <w:tcW w:w="7620" w:type="dxa"/>
          </w:tcPr>
          <w:p w:rsidR="005643EA" w:rsidRPr="00392FFD" w:rsidRDefault="00BD68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sidRPr="00FE5CA1">
              <w:rPr>
                <w:rStyle w:val="InstructionsTabelleberschrift"/>
                <w:rFonts w:ascii="Times New Roman" w:hAnsi="Times New Roman"/>
                <w:sz w:val="24"/>
              </w:rPr>
              <w:t>.</w:t>
            </w:r>
            <w:r w:rsidRPr="00FE5CA1">
              <w:rPr>
                <w:u w:val="single"/>
              </w:rPr>
              <w:tab/>
            </w:r>
            <w:r>
              <w:rPr>
                <w:rStyle w:val="InstructionsTabelleberschrift"/>
                <w:rFonts w:ascii="Times New Roman" w:hAnsi="Times New Roman"/>
                <w:sz w:val="24"/>
              </w:rPr>
              <w:t>(–) Pótlólagos levonások az T2 tőkéből a CRR 3. cikke alapján</w:t>
            </w:r>
          </w:p>
          <w:p w:rsidR="005643EA" w:rsidRPr="007E39E6" w:rsidRDefault="00BD68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3. cikke</w:t>
            </w:r>
          </w:p>
        </w:tc>
      </w:tr>
      <w:tr w:rsidR="00A86EB4" w:rsidRPr="00392FFD" w:rsidTr="00672D2A">
        <w:tc>
          <w:tcPr>
            <w:tcW w:w="1129" w:type="dxa"/>
          </w:tcPr>
          <w:p w:rsidR="00A86EB4" w:rsidRPr="00392FFD"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978</w:t>
            </w:r>
          </w:p>
        </w:tc>
        <w:tc>
          <w:tcPr>
            <w:tcW w:w="7620" w:type="dxa"/>
          </w:tcPr>
          <w:p w:rsidR="005643EA" w:rsidRPr="007E39E6"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sidRPr="00FE5CA1">
              <w:rPr>
                <w:u w:val="single"/>
              </w:rPr>
              <w:tab/>
            </w:r>
            <w:r>
              <w:rPr>
                <w:rStyle w:val="InstructionsTabelleberschrift"/>
                <w:rFonts w:ascii="Times New Roman" w:hAnsi="Times New Roman"/>
                <w:sz w:val="24"/>
              </w:rPr>
              <w:t>T2 tő</w:t>
            </w:r>
            <w:r w:rsidR="00FE5CA1">
              <w:rPr>
                <w:rStyle w:val="InstructionsTabelleberschrift"/>
                <w:rFonts w:ascii="Times New Roman" w:hAnsi="Times New Roman"/>
                <w:sz w:val="24"/>
              </w:rPr>
              <w:t>keelemek vagy levonások – egyéb</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 sor kizárólagos célja, hogy biztosítsa az adatszolgáltatás rugalmasságát. Csak azokban a ritka esetekben tölthető ki, amikor nincs végleges döntés az aktuális CA1 táblában szereplő egyes tőkeelemekkel vagy levonásokkal kapcsolatos adatszolgáltatásról. Következésképpen a sor csak akkor tölthető ki, ha egy T2 tőkeelem, illetve egy T2 tőkeelemet érintő levonás nem szer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peltethető </w:t>
            </w:r>
            <w:r w:rsidR="00FE5CA1">
              <w:rPr>
                <w:rStyle w:val="InstructionsTabelleberschrift"/>
                <w:rFonts w:ascii="Times New Roman" w:hAnsi="Times New Roman"/>
                <w:b w:val="0"/>
                <w:sz w:val="24"/>
                <w:u w:val="none"/>
              </w:rPr>
              <w:t>a 750–974. sorok egyikében sem.</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cella nem használható a CRR-ben nem szabályozott tőkeelemeknek, ille</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ve levonásoknak a szolvenciamutató kiszámításán belüli besorolásához (pl. olyan tagállami tőkeelemek vagy levonások besorolásához, amelyek a CRR hatályán kívül esnek).</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2" w:name="_Toc516210610"/>
      <w:bookmarkStart w:id="53" w:name="_Toc473560875"/>
      <w:bookmarkStart w:id="54" w:name="_Toc524014669"/>
      <w:bookmarkStart w:id="55" w:name="_Toc308175823"/>
      <w:bookmarkStart w:id="56" w:name="_Toc360188327"/>
      <w:r>
        <w:rPr>
          <w:rFonts w:ascii="Times New Roman" w:hAnsi="Times New Roman"/>
          <w:sz w:val="24"/>
          <w:u w:val="none"/>
        </w:rPr>
        <w:t>1.3.</w:t>
      </w:r>
      <w:r>
        <w:tab/>
      </w:r>
      <w:r>
        <w:rPr>
          <w:rFonts w:ascii="Times New Roman" w:hAnsi="Times New Roman"/>
          <w:sz w:val="24"/>
        </w:rPr>
        <w:t>C 02.00 – SZAVATOLÓTŐKE-KÖVETELMÉNY (CA2)</w:t>
      </w:r>
      <w:bookmarkEnd w:id="52"/>
      <w:bookmarkEnd w:id="53"/>
      <w:bookmarkEnd w:id="54"/>
      <w:bookmarkEnd w:id="55"/>
      <w:bookmarkEnd w:id="56"/>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7" w:name="_Toc308175824"/>
      <w:bookmarkStart w:id="58" w:name="_Toc310414970"/>
      <w:bookmarkStart w:id="59" w:name="_Toc360188328"/>
      <w:bookmarkStart w:id="60" w:name="_Toc516210611"/>
      <w:bookmarkStart w:id="61" w:name="_Toc473560876"/>
      <w:bookmarkStart w:id="62" w:name="_Toc524014670"/>
      <w:r>
        <w:rPr>
          <w:rFonts w:ascii="Times New Roman" w:hAnsi="Times New Roman"/>
          <w:sz w:val="24"/>
          <w:u w:val="none"/>
        </w:rPr>
        <w:t>1.3.1.</w:t>
      </w:r>
      <w:r>
        <w:tab/>
      </w:r>
      <w:r>
        <w:rPr>
          <w:rFonts w:ascii="Times New Roman" w:hAnsi="Times New Roman"/>
          <w:sz w:val="24"/>
        </w:rPr>
        <w:t xml:space="preserve">A tábla egyes </w:t>
      </w:r>
      <w:bookmarkEnd w:id="57"/>
      <w:bookmarkEnd w:id="58"/>
      <w:r>
        <w:rPr>
          <w:rFonts w:ascii="Times New Roman" w:hAnsi="Times New Roman"/>
          <w:sz w:val="24"/>
        </w:rPr>
        <w:t>részeire vonatkozó útmutató</w:t>
      </w:r>
      <w:bookmarkEnd w:id="59"/>
      <w:bookmarkEnd w:id="60"/>
      <w:bookmarkEnd w:id="61"/>
      <w:bookmarkEnd w:id="62"/>
    </w:p>
    <w:p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rsidTr="00672D2A">
        <w:tc>
          <w:tcPr>
            <w:tcW w:w="1591" w:type="dxa"/>
            <w:shd w:val="clear" w:color="auto" w:fill="D9D9D9"/>
          </w:tcPr>
          <w:p w:rsidR="002648B0" w:rsidRPr="00392FFD" w:rsidRDefault="002648B0" w:rsidP="00FD239F">
            <w:pPr>
              <w:pStyle w:val="InstructionsText"/>
            </w:pPr>
            <w:r>
              <w:t>Sor</w:t>
            </w:r>
          </w:p>
        </w:tc>
        <w:tc>
          <w:tcPr>
            <w:tcW w:w="7274" w:type="dxa"/>
            <w:shd w:val="clear" w:color="auto" w:fill="D9D9D9"/>
          </w:tcPr>
          <w:p w:rsidR="005643EA" w:rsidRPr="00392FFD" w:rsidRDefault="002648B0" w:rsidP="00FD239F">
            <w:pPr>
              <w:pStyle w:val="InstructionsText"/>
            </w:pPr>
            <w:r>
              <w:t>Jogszabályi hivatkozások és útmutató</w:t>
            </w:r>
          </w:p>
        </w:tc>
      </w:tr>
      <w:tr w:rsidR="002648B0" w:rsidRPr="00392FFD" w:rsidTr="00672D2A">
        <w:tc>
          <w:tcPr>
            <w:tcW w:w="1591" w:type="dxa"/>
          </w:tcPr>
          <w:p w:rsidR="002648B0" w:rsidRPr="00392FFD" w:rsidRDefault="002648B0" w:rsidP="00FD239F">
            <w:pPr>
              <w:pStyle w:val="InstructionsText"/>
            </w:pPr>
            <w:r>
              <w:t>010</w:t>
            </w:r>
          </w:p>
        </w:tc>
        <w:tc>
          <w:tcPr>
            <w:tcW w:w="7274" w:type="dxa"/>
          </w:tcPr>
          <w:p w:rsidR="005643EA" w:rsidRPr="007E39E6" w:rsidRDefault="00C66473" w:rsidP="00FD239F">
            <w:pPr>
              <w:pStyle w:val="InstructionsText"/>
            </w:pPr>
            <w:r>
              <w:rPr>
                <w:rStyle w:val="InstructionsTabelleberschrift"/>
                <w:rFonts w:ascii="Times New Roman" w:hAnsi="Times New Roman"/>
                <w:sz w:val="24"/>
              </w:rPr>
              <w:t>1.</w:t>
            </w:r>
            <w:r w:rsidRPr="00C27B3E">
              <w:rPr>
                <w:u w:val="single"/>
              </w:rPr>
              <w:tab/>
            </w:r>
            <w:r>
              <w:rPr>
                <w:rStyle w:val="InstructionsTabelleberschrift"/>
                <w:rFonts w:ascii="Times New Roman" w:hAnsi="Times New Roman"/>
                <w:sz w:val="24"/>
              </w:rPr>
              <w:t>TELJES KOCKÁZATI KITETTSÉGÉRTÉK</w:t>
            </w:r>
          </w:p>
          <w:p w:rsidR="002648B0" w:rsidRPr="00392FFD" w:rsidRDefault="002648B0" w:rsidP="00FD239F">
            <w:pPr>
              <w:pStyle w:val="InstructionsText"/>
            </w:pPr>
            <w:r>
              <w:t>A CRR 92. cikkének (3) bekezdése, valamint 95., 96. és 98. cikke</w:t>
            </w:r>
          </w:p>
        </w:tc>
      </w:tr>
      <w:tr w:rsidR="002648B0" w:rsidRPr="00392FFD" w:rsidTr="00672D2A">
        <w:tc>
          <w:tcPr>
            <w:tcW w:w="1591" w:type="dxa"/>
          </w:tcPr>
          <w:p w:rsidR="002648B0" w:rsidRPr="00392FFD" w:rsidRDefault="002648B0" w:rsidP="00FD239F">
            <w:pPr>
              <w:pStyle w:val="InstructionsText"/>
            </w:pPr>
            <w:r>
              <w:t>020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rsidRPr="00C27B3E">
              <w:rPr>
                <w:u w:val="single"/>
              </w:rPr>
              <w:tab/>
            </w:r>
            <w:r>
              <w:rPr>
                <w:rStyle w:val="InstructionsTabelleberschrift"/>
                <w:rFonts w:ascii="Times New Roman" w:hAnsi="Times New Roman"/>
                <w:sz w:val="24"/>
              </w:rPr>
              <w:t>Ebből: befektetési vállalkozások a CRR 95. cikkének (2) b</w:t>
            </w:r>
            <w:r>
              <w:rPr>
                <w:rStyle w:val="InstructionsTabelleberschrift"/>
                <w:rFonts w:ascii="Times New Roman" w:hAnsi="Times New Roman"/>
                <w:sz w:val="24"/>
              </w:rPr>
              <w:t>e</w:t>
            </w:r>
            <w:r>
              <w:rPr>
                <w:rStyle w:val="InstructionsTabelleberschrift"/>
                <w:rFonts w:ascii="Times New Roman" w:hAnsi="Times New Roman"/>
                <w:sz w:val="24"/>
              </w:rPr>
              <w:t>kezdése, valamint 98. cikke szerint</w:t>
            </w:r>
          </w:p>
          <w:p w:rsidR="005643EA" w:rsidRPr="00392FFD" w:rsidRDefault="002648B0" w:rsidP="00FD239F">
            <w:pPr>
              <w:pStyle w:val="InstructionsText"/>
            </w:pPr>
            <w:r>
              <w:t xml:space="preserve">A CRR 95. cikkének </w:t>
            </w:r>
            <w:r>
              <w:rPr>
                <w:rStyle w:val="FormatvorlageInstructionsTabelleText"/>
                <w:rFonts w:ascii="Times New Roman" w:hAnsi="Times New Roman"/>
                <w:sz w:val="24"/>
              </w:rPr>
              <w:t>(2)</w:t>
            </w:r>
            <w:r>
              <w:t xml:space="preserve"> bekezdése, valamint 98. cikke szerinti befekt</w:t>
            </w:r>
            <w:r>
              <w:t>e</w:t>
            </w:r>
            <w:r>
              <w:t>tési vállalkozások</w:t>
            </w:r>
          </w:p>
        </w:tc>
      </w:tr>
      <w:tr w:rsidR="002648B0" w:rsidRPr="00392FFD" w:rsidTr="00672D2A">
        <w:tc>
          <w:tcPr>
            <w:tcW w:w="1591" w:type="dxa"/>
          </w:tcPr>
          <w:p w:rsidR="002648B0" w:rsidRPr="00392FFD" w:rsidRDefault="002648B0" w:rsidP="00FD239F">
            <w:pPr>
              <w:pStyle w:val="InstructionsText"/>
            </w:pPr>
            <w:r>
              <w:t>030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rsidRPr="00C27B3E">
              <w:rPr>
                <w:u w:val="single"/>
              </w:rPr>
              <w:tab/>
            </w:r>
            <w:r>
              <w:rPr>
                <w:rStyle w:val="InstructionsTabelleberschrift"/>
                <w:rFonts w:ascii="Times New Roman" w:hAnsi="Times New Roman"/>
                <w:sz w:val="24"/>
              </w:rPr>
              <w:t>Ebből: befektetési vállalkozások a CRR 96. cikkének (2) b</w:t>
            </w:r>
            <w:r>
              <w:rPr>
                <w:rStyle w:val="InstructionsTabelleberschrift"/>
                <w:rFonts w:ascii="Times New Roman" w:hAnsi="Times New Roman"/>
                <w:sz w:val="24"/>
              </w:rPr>
              <w:t>e</w:t>
            </w:r>
            <w:r>
              <w:rPr>
                <w:rStyle w:val="InstructionsTabelleberschrift"/>
                <w:rFonts w:ascii="Times New Roman" w:hAnsi="Times New Roman"/>
                <w:sz w:val="24"/>
              </w:rPr>
              <w:t>kezdése, valamint 97. cikke szerint</w:t>
            </w:r>
          </w:p>
          <w:p w:rsidR="005643EA" w:rsidRPr="00392FFD" w:rsidRDefault="002648B0" w:rsidP="00FD239F">
            <w:pPr>
              <w:pStyle w:val="InstructionsText"/>
            </w:pPr>
            <w:r>
              <w:t xml:space="preserve">A CRR 96. cikkének </w:t>
            </w:r>
            <w:r>
              <w:rPr>
                <w:rStyle w:val="FormatvorlageInstructionsTabelleText"/>
                <w:rFonts w:ascii="Times New Roman" w:hAnsi="Times New Roman"/>
                <w:sz w:val="24"/>
              </w:rPr>
              <w:t>(2)</w:t>
            </w:r>
            <w:r>
              <w:t xml:space="preserve"> bekezdése, valamint 97. cikke szerinti befekt</w:t>
            </w:r>
            <w:r>
              <w:t>e</w:t>
            </w:r>
            <w:r>
              <w:t>tési vállalkozások</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Pr="00C27B3E">
              <w:rPr>
                <w:u w:val="single"/>
              </w:rPr>
              <w:tab/>
            </w:r>
            <w:r>
              <w:rPr>
                <w:rStyle w:val="InstructionsTabelleberschrift"/>
                <w:rFonts w:ascii="Times New Roman" w:hAnsi="Times New Roman"/>
                <w:sz w:val="24"/>
              </w:rPr>
              <w:t xml:space="preserve">HITELKOCKÁZATRA, PARTNERKOCKÁZATRA </w:t>
            </w:r>
            <w:proofErr w:type="gramStart"/>
            <w:r>
              <w:rPr>
                <w:rStyle w:val="InstructionsTabelleberschrift"/>
                <w:rFonts w:ascii="Times New Roman" w:hAnsi="Times New Roman"/>
                <w:sz w:val="24"/>
              </w:rPr>
              <w:t>ÉS</w:t>
            </w:r>
            <w:proofErr w:type="gramEnd"/>
            <w:r>
              <w:rPr>
                <w:rStyle w:val="InstructionsTabelleberschrift"/>
                <w:rFonts w:ascii="Times New Roman" w:hAnsi="Times New Roman"/>
                <w:sz w:val="24"/>
              </w:rPr>
              <w:t xml:space="preserve"> FELHÍGULÁSI KOCKÁZATRA, VALAMINT NYITVA SZÁLL</w:t>
            </w:r>
            <w:r>
              <w:rPr>
                <w:rStyle w:val="InstructionsTabelleberschrift"/>
                <w:rFonts w:ascii="Times New Roman" w:hAnsi="Times New Roman"/>
                <w:sz w:val="24"/>
              </w:rPr>
              <w:t>Í</w:t>
            </w:r>
            <w:r>
              <w:rPr>
                <w:rStyle w:val="InstructionsTabelleberschrift"/>
                <w:rFonts w:ascii="Times New Roman" w:hAnsi="Times New Roman"/>
                <w:sz w:val="24"/>
              </w:rPr>
              <w:t>TÁSOKRA VONATKOZÓ, KOCKÁZATTAL SÚLYOZOTT KITETTSÉGÉRTÉKEK</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92. cikke (3) bekezdésének a) és f) pontja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C27B3E">
              <w:rPr>
                <w:u w:val="single"/>
              </w:rPr>
              <w:tab/>
            </w:r>
            <w:r>
              <w:rPr>
                <w:rStyle w:val="InstructionsTabelleberschrift"/>
                <w:rFonts w:ascii="Times New Roman" w:hAnsi="Times New Roman"/>
                <w:sz w:val="24"/>
              </w:rPr>
              <w:t>Sztenderd módszer (SA)</w:t>
            </w:r>
          </w:p>
          <w:p w:rsidR="002648B0"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CR SA és SEC SA tábla az összesített kitettség szintjén.</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060</w:t>
            </w:r>
          </w:p>
        </w:tc>
        <w:tc>
          <w:tcPr>
            <w:tcW w:w="7274" w:type="dxa"/>
          </w:tcPr>
          <w:p w:rsidR="005643EA" w:rsidRPr="001C5CA8"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Pr="00C27B3E">
              <w:rPr>
                <w:u w:val="single"/>
              </w:rPr>
              <w:tab/>
            </w:r>
            <w:r>
              <w:rPr>
                <w:rStyle w:val="InstructionsTabelleberschrift"/>
                <w:rFonts w:ascii="Times New Roman" w:hAnsi="Times New Roman"/>
                <w:sz w:val="24"/>
              </w:rPr>
              <w:t>Sztenderd módszer (SA) szerinti kitettségi osztályok értékpapírosítási pozíciók nélkül</w:t>
            </w:r>
          </w:p>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CR SA tábla az összesített kitettség szintjén. A sztenderd módszer sz</w:t>
            </w:r>
            <w:r>
              <w:rPr>
                <w:rStyle w:val="FormatvorlageInstructionsTabelleText"/>
                <w:rFonts w:ascii="Times New Roman" w:hAnsi="Times New Roman"/>
                <w:sz w:val="24"/>
              </w:rPr>
              <w:t>e</w:t>
            </w:r>
            <w:r>
              <w:rPr>
                <w:rStyle w:val="FormatvorlageInstructionsTabelleText"/>
                <w:rFonts w:ascii="Times New Roman" w:hAnsi="Times New Roman"/>
                <w:sz w:val="24"/>
              </w:rPr>
              <w:t>rinti kitettségi osztályok közé a CRR 112. cikkében</w:t>
            </w:r>
            <w:r>
              <w:t xml:space="preserve"> </w:t>
            </w:r>
            <w:r>
              <w:rPr>
                <w:rStyle w:val="InstructionsTabelleberschrift"/>
                <w:rFonts w:ascii="Times New Roman" w:hAnsi="Times New Roman"/>
                <w:b w:val="0"/>
                <w:sz w:val="24"/>
                <w:u w:val="none"/>
              </w:rPr>
              <w:t>felsoroltak</w:t>
            </w:r>
            <w:r>
              <w:rPr>
                <w:rStyle w:val="FormatvorlageInstructionsTabelleText"/>
                <w:rFonts w:ascii="Times New Roman" w:hAnsi="Times New Roman"/>
                <w:sz w:val="24"/>
              </w:rPr>
              <w:t xml:space="preserve"> tartoznak, az értékpapírosítási pozíciók kivételével.</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Pr="00C27B3E">
              <w:rPr>
                <w:u w:val="single"/>
              </w:rPr>
              <w:tab/>
            </w:r>
            <w:r>
              <w:rPr>
                <w:rStyle w:val="InstructionsTabelleberschrift"/>
                <w:rFonts w:ascii="Times New Roman" w:hAnsi="Times New Roman"/>
                <w:sz w:val="24"/>
              </w:rPr>
              <w:t>Központi kormányzatok vagy központi bankok</w:t>
            </w:r>
          </w:p>
          <w:p w:rsidR="00496C53" w:rsidRPr="00392FFD" w:rsidRDefault="00D212F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Lásd a CR SA táblát</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sidRPr="00C27B3E">
              <w:rPr>
                <w:u w:val="single"/>
              </w:rPr>
              <w:tab/>
            </w:r>
            <w:r>
              <w:rPr>
                <w:rStyle w:val="InstructionsTabelleberschrift"/>
                <w:rFonts w:ascii="Times New Roman" w:hAnsi="Times New Roman"/>
                <w:sz w:val="24"/>
              </w:rPr>
              <w:t>Regionális kormányzatok vagy helyi hatóságok</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sidRPr="00C27B3E">
              <w:rPr>
                <w:u w:val="single"/>
              </w:rPr>
              <w:tab/>
            </w:r>
            <w:r>
              <w:rPr>
                <w:rStyle w:val="InstructionsTabelleberschrift"/>
                <w:rFonts w:ascii="Times New Roman" w:hAnsi="Times New Roman"/>
                <w:sz w:val="24"/>
              </w:rPr>
              <w:t>Közszektorbeli intézmények</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sidRPr="00C27B3E">
              <w:rPr>
                <w:u w:val="single"/>
              </w:rPr>
              <w:tab/>
            </w:r>
            <w:r>
              <w:rPr>
                <w:rStyle w:val="InstructionsTabelleberschrift"/>
                <w:rFonts w:ascii="Times New Roman" w:hAnsi="Times New Roman"/>
                <w:sz w:val="24"/>
              </w:rPr>
              <w:t>Multilaterális fejlesztési bankok</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Lásd a CR SA táblát </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110</w:t>
            </w:r>
          </w:p>
        </w:tc>
        <w:tc>
          <w:tcPr>
            <w:tcW w:w="7274" w:type="dxa"/>
          </w:tcPr>
          <w:p w:rsidR="005643EA" w:rsidRPr="0023700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sidRPr="00C27B3E">
              <w:rPr>
                <w:u w:val="single"/>
              </w:rPr>
              <w:tab/>
            </w:r>
            <w:r>
              <w:rPr>
                <w:rStyle w:val="InstructionsTabelleberschrift"/>
                <w:rFonts w:ascii="Times New Roman" w:hAnsi="Times New Roman"/>
                <w:sz w:val="24"/>
              </w:rPr>
              <w:t>Nemzetközi szervezetek</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120</w:t>
            </w:r>
          </w:p>
        </w:tc>
        <w:tc>
          <w:tcPr>
            <w:tcW w:w="7274" w:type="dxa"/>
          </w:tcPr>
          <w:p w:rsidR="005643EA" w:rsidRPr="0023700C" w:rsidRDefault="0078388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sidRPr="00C27B3E">
              <w:rPr>
                <w:u w:val="single"/>
              </w:rPr>
              <w:tab/>
            </w:r>
            <w:r>
              <w:rPr>
                <w:rStyle w:val="InstructionsTabelleberschrift"/>
                <w:rFonts w:ascii="Times New Roman" w:hAnsi="Times New Roman"/>
                <w:sz w:val="24"/>
              </w:rPr>
              <w:t>Intézmények</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rsidRPr="00C27B3E">
              <w:rPr>
                <w:u w:val="single"/>
              </w:rPr>
              <w:tab/>
            </w:r>
            <w:r>
              <w:rPr>
                <w:rStyle w:val="InstructionsTabelleberschrift"/>
                <w:rFonts w:ascii="Times New Roman" w:hAnsi="Times New Roman"/>
                <w:sz w:val="24"/>
              </w:rPr>
              <w:t>Vállalkozások</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sidRPr="00C27B3E">
              <w:rPr>
                <w:u w:val="single"/>
              </w:rPr>
              <w:tab/>
            </w:r>
            <w:r>
              <w:rPr>
                <w:rStyle w:val="InstructionsTabelleberschrift"/>
                <w:rFonts w:ascii="Times New Roman" w:hAnsi="Times New Roman"/>
                <w:sz w:val="24"/>
              </w:rPr>
              <w:t>Lakosság</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sidRPr="00C27B3E">
              <w:rPr>
                <w:u w:val="single"/>
              </w:rPr>
              <w:tab/>
            </w:r>
            <w:r>
              <w:rPr>
                <w:rStyle w:val="InstructionsTabelleberschrift"/>
                <w:rFonts w:ascii="Times New Roman" w:hAnsi="Times New Roman"/>
                <w:sz w:val="24"/>
              </w:rPr>
              <w:t>Ingatlanra bejegyzett zálogjoggal fedezett kitettségek</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sidRPr="00C27B3E">
              <w:rPr>
                <w:u w:val="single"/>
              </w:rPr>
              <w:tab/>
            </w:r>
            <w:r>
              <w:rPr>
                <w:rStyle w:val="InstructionsTabelleberschrift"/>
                <w:rFonts w:ascii="Times New Roman" w:hAnsi="Times New Roman"/>
                <w:sz w:val="24"/>
              </w:rPr>
              <w:t>Nemteljesítő kitettségek</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274" w:type="dxa"/>
          </w:tcPr>
          <w:p w:rsidR="00783881"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rsidRPr="00C27B3E">
              <w:rPr>
                <w:u w:val="single"/>
              </w:rPr>
              <w:tab/>
            </w:r>
            <w:r>
              <w:rPr>
                <w:rStyle w:val="InstructionsTabelleberschrift"/>
                <w:rFonts w:ascii="Times New Roman" w:hAnsi="Times New Roman"/>
                <w:sz w:val="24"/>
              </w:rPr>
              <w:t>Kiemelkedően magas kockázatú kitettségek</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sidRPr="00C27B3E">
              <w:rPr>
                <w:u w:val="single"/>
              </w:rPr>
              <w:tab/>
            </w:r>
            <w:r>
              <w:rPr>
                <w:rStyle w:val="InstructionsTabelleberschrift"/>
                <w:rFonts w:ascii="Times New Roman" w:hAnsi="Times New Roman"/>
                <w:sz w:val="24"/>
              </w:rPr>
              <w:t>Fedezett kötvények</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sidRPr="00C27B3E">
              <w:rPr>
                <w:u w:val="single"/>
              </w:rPr>
              <w:tab/>
            </w:r>
            <w:r>
              <w:rPr>
                <w:rStyle w:val="InstructionsTabelleberschrift"/>
                <w:rFonts w:ascii="Times New Roman" w:hAnsi="Times New Roman"/>
                <w:sz w:val="24"/>
              </w:rPr>
              <w:t>Rövid távú hitelminősítéssel rendelkező intézménye</w:t>
            </w:r>
            <w:r>
              <w:rPr>
                <w:rStyle w:val="InstructionsTabelleberschrift"/>
                <w:rFonts w:ascii="Times New Roman" w:hAnsi="Times New Roman"/>
                <w:sz w:val="24"/>
              </w:rPr>
              <w:t>k</w:t>
            </w:r>
            <w:r>
              <w:rPr>
                <w:rStyle w:val="InstructionsTabelleberschrift"/>
                <w:rFonts w:ascii="Times New Roman" w:hAnsi="Times New Roman"/>
                <w:sz w:val="24"/>
              </w:rPr>
              <w:t>kel és vállalkozásokkal szembeni követelések</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p w:rsidR="005643EA" w:rsidRPr="00392FFD" w:rsidRDefault="005643EA" w:rsidP="00FD239F">
            <w:pPr>
              <w:pStyle w:val="InstructionsText"/>
              <w:rPr>
                <w:rStyle w:val="FormatvorlageInstructionsTabelleText"/>
                <w:rFonts w:ascii="Times New Roman" w:hAnsi="Times New Roman"/>
                <w:bCs w:val="0"/>
                <w:sz w:val="24"/>
              </w:rPr>
            </w:pP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sidRPr="00C27B3E">
              <w:rPr>
                <w:u w:val="single"/>
              </w:rPr>
              <w:tab/>
            </w:r>
            <w:r>
              <w:rPr>
                <w:rStyle w:val="InstructionsTabelleberschrift"/>
                <w:rFonts w:ascii="Times New Roman" w:hAnsi="Times New Roman"/>
                <w:sz w:val="24"/>
              </w:rPr>
              <w:t>Kollektív befektetési formák (KBF)</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sidRPr="00C27B3E">
              <w:rPr>
                <w:u w:val="single"/>
              </w:rPr>
              <w:tab/>
            </w:r>
            <w:r>
              <w:rPr>
                <w:rStyle w:val="InstructionsTabelleberschrift"/>
                <w:rFonts w:ascii="Times New Roman" w:hAnsi="Times New Roman"/>
                <w:sz w:val="24"/>
              </w:rPr>
              <w:t>Részvényjellegű kitettségek</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211</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sidRPr="00C27B3E">
              <w:rPr>
                <w:u w:val="single"/>
              </w:rPr>
              <w:tab/>
            </w:r>
            <w:r>
              <w:rPr>
                <w:rStyle w:val="InstructionsTabelleberschrift"/>
                <w:rFonts w:ascii="Times New Roman" w:hAnsi="Times New Roman"/>
                <w:sz w:val="24"/>
              </w:rPr>
              <w:t>Egyéb tételek</w:t>
            </w:r>
          </w:p>
          <w:p w:rsidR="005643EA" w:rsidRPr="00392FFD" w:rsidRDefault="00D212FE" w:rsidP="00FD239F">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Lásd a CR SA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rsidRPr="00C27B3E">
              <w:rPr>
                <w:u w:val="single"/>
              </w:rPr>
              <w:tab/>
            </w:r>
            <w:r>
              <w:rPr>
                <w:rStyle w:val="InstructionsTabelleberschrift"/>
                <w:rFonts w:ascii="Times New Roman" w:hAnsi="Times New Roman"/>
                <w:sz w:val="24"/>
              </w:rPr>
              <w:t xml:space="preserve">Értékpapírosítási pozíciók (SA)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SEC SA tábla az összesített értékpapírosítási típusok szintjén.</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rsidRPr="00C27B3E">
              <w:rPr>
                <w:u w:val="single"/>
              </w:rPr>
              <w:tab/>
            </w:r>
            <w:r>
              <w:rPr>
                <w:rStyle w:val="InstructionsTabelleberschrift"/>
                <w:rFonts w:ascii="Times New Roman" w:hAnsi="Times New Roman"/>
                <w:sz w:val="24"/>
              </w:rPr>
              <w:t xml:space="preserve">Ebből: újra-értékpapírosítás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SEC SA tábla az összesített értékpapírosítási típusok szintjén.</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274" w:type="dxa"/>
          </w:tcPr>
          <w:p w:rsidR="005643EA"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sidRPr="00C27B3E">
              <w:rPr>
                <w:u w:val="single"/>
              </w:rPr>
              <w:tab/>
            </w:r>
            <w:r>
              <w:rPr>
                <w:rStyle w:val="InstructionsTabelleberschrift"/>
                <w:rFonts w:ascii="Times New Roman" w:hAnsi="Times New Roman"/>
                <w:sz w:val="24"/>
              </w:rPr>
              <w:t xml:space="preserve">Belső minősítésen alapuló módszer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sidRPr="00C27B3E">
              <w:rPr>
                <w:u w:val="single"/>
              </w:rPr>
              <w:tab/>
            </w:r>
            <w:r>
              <w:rPr>
                <w:rStyle w:val="InstructionsTabelleberschrift"/>
                <w:rFonts w:ascii="Times New Roman" w:hAnsi="Times New Roman"/>
                <w:sz w:val="24"/>
              </w:rPr>
              <w:t>IRB-módszer a nemteljesítéskori veszteségrátára (LGD) vonatkozó saját becslés és hitel-egyenértékesítési tényező (CCF) mellőzésekor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IRB tábla az összesített kitettség szintjén (saját LGD-becslés és/vagy CCF mellőzésével)</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sidRPr="00C27B3E">
              <w:rPr>
                <w:u w:val="single"/>
              </w:rPr>
              <w:tab/>
            </w:r>
            <w:r>
              <w:rPr>
                <w:rStyle w:val="InstructionsTabelleberschrift"/>
                <w:rFonts w:ascii="Times New Roman" w:hAnsi="Times New Roman"/>
                <w:sz w:val="24"/>
              </w:rPr>
              <w:t>Központi kormányzatok és központi bankok</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sidRPr="00C27B3E">
              <w:rPr>
                <w:u w:val="single"/>
              </w:rPr>
              <w:tab/>
            </w:r>
            <w:r>
              <w:rPr>
                <w:rStyle w:val="InstructionsTabelleberschrift"/>
                <w:rFonts w:ascii="Times New Roman" w:hAnsi="Times New Roman"/>
                <w:sz w:val="24"/>
              </w:rPr>
              <w:t>Intézmények</w:t>
            </w:r>
          </w:p>
          <w:p w:rsidR="002648B0" w:rsidRPr="00392FFD" w:rsidRDefault="00D212FE" w:rsidP="002F19BB">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rsidRPr="00C27B3E">
              <w:rPr>
                <w:u w:val="single"/>
              </w:rPr>
              <w:tab/>
            </w:r>
            <w:r>
              <w:rPr>
                <w:rStyle w:val="InstructionsTabelleberschrift"/>
                <w:rFonts w:ascii="Times New Roman" w:hAnsi="Times New Roman"/>
                <w:sz w:val="24"/>
              </w:rPr>
              <w:t>Vállalkozások – kkv</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sidRPr="00C27B3E">
              <w:rPr>
                <w:u w:val="single"/>
              </w:rPr>
              <w:tab/>
            </w:r>
            <w:r>
              <w:rPr>
                <w:rStyle w:val="InstructionsTabelleberschrift"/>
                <w:rFonts w:ascii="Times New Roman" w:hAnsi="Times New Roman"/>
                <w:sz w:val="24"/>
              </w:rPr>
              <w:t>Vállalkozások – speciális hitelezés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Lásd a CR IRB táblát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sidRPr="00C27B3E">
              <w:rPr>
                <w:u w:val="single"/>
              </w:rPr>
              <w:tab/>
            </w:r>
            <w:r>
              <w:rPr>
                <w:rStyle w:val="InstructionsTabelleberschrift"/>
                <w:rFonts w:ascii="Times New Roman" w:hAnsi="Times New Roman"/>
                <w:sz w:val="24"/>
              </w:rPr>
              <w:t>Vállalkozások – egyéb</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rsidRPr="00C27B3E">
              <w:rPr>
                <w:u w:val="single"/>
              </w:rPr>
              <w:tab/>
            </w:r>
            <w:r>
              <w:rPr>
                <w:rStyle w:val="InstructionsTabelleberschrift"/>
                <w:rFonts w:ascii="Times New Roman" w:hAnsi="Times New Roman"/>
                <w:sz w:val="24"/>
              </w:rPr>
              <w:t>IRB-módszer a nemteljesítéskori veszteségrátára (LGD) vonatkozó saját becslés és/vagy hitel-egyenértékesítési tény</w:t>
            </w:r>
            <w:r>
              <w:rPr>
                <w:rStyle w:val="InstructionsTabelleberschrift"/>
                <w:rFonts w:ascii="Times New Roman" w:hAnsi="Times New Roman"/>
                <w:sz w:val="24"/>
              </w:rPr>
              <w:t>e</w:t>
            </w:r>
            <w:r>
              <w:rPr>
                <w:rStyle w:val="InstructionsTabelleberschrift"/>
                <w:rFonts w:ascii="Times New Roman" w:hAnsi="Times New Roman"/>
                <w:sz w:val="24"/>
              </w:rPr>
              <w:t>ző (CCF) alkalmazásakor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IRB tábla az összesített kitettség szintjén (saját LGD-becslés és/vagy CCF alkalmazásával)</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sidRPr="00C27B3E">
              <w:rPr>
                <w:u w:val="single"/>
              </w:rPr>
              <w:tab/>
            </w:r>
            <w:r>
              <w:rPr>
                <w:rStyle w:val="InstructionsTabelleberschrift"/>
                <w:rFonts w:ascii="Times New Roman" w:hAnsi="Times New Roman"/>
                <w:sz w:val="24"/>
              </w:rPr>
              <w:t>Központi kormányzatok és központi bankok</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rsidRPr="00C27B3E">
              <w:rPr>
                <w:u w:val="single"/>
              </w:rPr>
              <w:tab/>
            </w:r>
            <w:r>
              <w:rPr>
                <w:rStyle w:val="InstructionsTabelleberschrift"/>
                <w:rFonts w:ascii="Times New Roman" w:hAnsi="Times New Roman"/>
                <w:sz w:val="24"/>
              </w:rPr>
              <w:t>Intézmények</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Lásd a CR IRB táblát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rsidRPr="00C27B3E">
              <w:rPr>
                <w:u w:val="single"/>
              </w:rPr>
              <w:tab/>
            </w:r>
            <w:r>
              <w:rPr>
                <w:rStyle w:val="InstructionsTabelleberschrift"/>
                <w:rFonts w:ascii="Times New Roman" w:hAnsi="Times New Roman"/>
                <w:sz w:val="24"/>
              </w:rPr>
              <w:t>Vállalkozások – kkv</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sidRPr="00C27B3E">
              <w:rPr>
                <w:u w:val="single"/>
              </w:rPr>
              <w:tab/>
            </w:r>
            <w:r>
              <w:rPr>
                <w:rStyle w:val="InstructionsTabelleberschrift"/>
                <w:rFonts w:ascii="Times New Roman" w:hAnsi="Times New Roman"/>
                <w:sz w:val="24"/>
              </w:rPr>
              <w:t>Vállalkozások – speciális hitelezés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sidRPr="00C27B3E">
              <w:rPr>
                <w:u w:val="single"/>
              </w:rPr>
              <w:tab/>
            </w:r>
            <w:r>
              <w:rPr>
                <w:rStyle w:val="InstructionsTabelleberschrift"/>
                <w:rFonts w:ascii="Times New Roman" w:hAnsi="Times New Roman"/>
                <w:sz w:val="24"/>
              </w:rPr>
              <w:t>Vállalkozások – egyéb</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Lásd a CR IRB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rsidRPr="00C27B3E">
              <w:rPr>
                <w:u w:val="single"/>
              </w:rPr>
              <w:tab/>
            </w:r>
            <w:r>
              <w:rPr>
                <w:rStyle w:val="InstructionsTabelleberschrift"/>
                <w:rFonts w:ascii="Times New Roman" w:hAnsi="Times New Roman"/>
                <w:sz w:val="24"/>
              </w:rPr>
              <w:t>Lakosság – ingatlannal fedezett (kkv)</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rsidRPr="00C27B3E">
              <w:rPr>
                <w:u w:val="single"/>
              </w:rPr>
              <w:tab/>
            </w:r>
            <w:r>
              <w:rPr>
                <w:rStyle w:val="InstructionsTabelleberschrift"/>
                <w:rFonts w:ascii="Times New Roman" w:hAnsi="Times New Roman"/>
                <w:sz w:val="24"/>
              </w:rPr>
              <w:t>Lakosság – ingatlannal fedezett (nem kkv)</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sidRPr="00C27B3E">
              <w:rPr>
                <w:u w:val="single"/>
              </w:rPr>
              <w:tab/>
            </w:r>
            <w:r>
              <w:rPr>
                <w:rStyle w:val="InstructionsTabelleberschrift"/>
                <w:rFonts w:ascii="Times New Roman" w:hAnsi="Times New Roman"/>
                <w:sz w:val="24"/>
              </w:rPr>
              <w:t>Lakosság – a rulírozó állományba beszámítható</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sidRPr="00C27B3E">
              <w:rPr>
                <w:u w:val="single"/>
              </w:rPr>
              <w:tab/>
            </w:r>
            <w:r>
              <w:rPr>
                <w:rStyle w:val="InstructionsTabelleberschrift"/>
                <w:rFonts w:ascii="Times New Roman" w:hAnsi="Times New Roman"/>
                <w:sz w:val="24"/>
              </w:rPr>
              <w:t>Lakosság – egyéb kkv</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rsidRPr="00C27B3E">
              <w:rPr>
                <w:u w:val="single"/>
              </w:rPr>
              <w:tab/>
            </w:r>
            <w:r>
              <w:rPr>
                <w:rStyle w:val="InstructionsTabelleberschrift"/>
                <w:rFonts w:ascii="Times New Roman" w:hAnsi="Times New Roman"/>
                <w:sz w:val="24"/>
              </w:rPr>
              <w:t>Lakosság – egyéb nem kkv</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sidRPr="00C27B3E">
              <w:rPr>
                <w:u w:val="single"/>
              </w:rPr>
              <w:tab/>
            </w:r>
            <w:r>
              <w:rPr>
                <w:rStyle w:val="InstructionsTabelleberschrift"/>
                <w:rFonts w:ascii="Times New Roman" w:hAnsi="Times New Roman"/>
                <w:sz w:val="24"/>
              </w:rPr>
              <w:t>Részvényjellegű kitettségek (IRB)</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 CR EQU IRB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rsidRPr="00C27B3E">
              <w:rPr>
                <w:u w:val="single"/>
              </w:rPr>
              <w:tab/>
            </w:r>
            <w:r>
              <w:rPr>
                <w:rStyle w:val="InstructionsTabelleberschrift"/>
                <w:rFonts w:ascii="Times New Roman" w:hAnsi="Times New Roman"/>
                <w:sz w:val="24"/>
              </w:rPr>
              <w:t>Értékpapírosítási pozíciók (IRB)</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SEC IRB tábla az összesített értékpapírosítási típusok szintjén.</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rsidRPr="00C27B3E">
              <w:rPr>
                <w:u w:val="single"/>
              </w:rPr>
              <w:tab/>
            </w:r>
            <w:r>
              <w:rPr>
                <w:rStyle w:val="InstructionsTabelleberschrift"/>
                <w:rFonts w:ascii="Times New Roman" w:hAnsi="Times New Roman"/>
                <w:sz w:val="24"/>
              </w:rPr>
              <w:t>Ebből: újra-értékpapírosítás</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SEC IRB tábla az összesített értékpapírosítási típusok szintjén.</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sidRPr="00C27B3E">
              <w:rPr>
                <w:u w:val="single"/>
              </w:rPr>
              <w:tab/>
            </w:r>
            <w:r>
              <w:rPr>
                <w:rStyle w:val="InstructionsTabelleberschrift"/>
                <w:rFonts w:ascii="Times New Roman" w:hAnsi="Times New Roman"/>
                <w:sz w:val="24"/>
              </w:rPr>
              <w:t>Egyéb, nem hitelkötelezettséget megtestesítő eszközök</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A feltüntetendő érték a CRR 156. cikke szerint kiszámított, kockázattal súlyozott kitettségérték. </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274" w:type="dxa"/>
          </w:tcPr>
          <w:p w:rsidR="005643EA" w:rsidRPr="00392FFD" w:rsidRDefault="0078388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sidRPr="00C27B3E">
              <w:rPr>
                <w:u w:val="single"/>
              </w:rPr>
              <w:tab/>
            </w:r>
            <w:r>
              <w:rPr>
                <w:rStyle w:val="InstructionsTabelleberschrift"/>
                <w:rFonts w:ascii="Times New Roman" w:hAnsi="Times New Roman"/>
                <w:sz w:val="24"/>
              </w:rPr>
              <w:t>Központi szerződő fél garanciaalapjába befizetett hozzájár</w:t>
            </w:r>
            <w:r>
              <w:rPr>
                <w:rStyle w:val="InstructionsTabelleberschrift"/>
                <w:rFonts w:ascii="Times New Roman" w:hAnsi="Times New Roman"/>
                <w:sz w:val="24"/>
              </w:rPr>
              <w:t>u</w:t>
            </w:r>
            <w:r>
              <w:rPr>
                <w:rStyle w:val="InstructionsTabelleberschrift"/>
                <w:rFonts w:ascii="Times New Roman" w:hAnsi="Times New Roman"/>
                <w:sz w:val="24"/>
              </w:rPr>
              <w:t>lások kockázati kitettségértéke</w:t>
            </w:r>
          </w:p>
          <w:p w:rsidR="002648B0" w:rsidRPr="00392FFD" w:rsidRDefault="00CD7D5B" w:rsidP="007106FB">
            <w:pPr>
              <w:rPr>
                <w:rStyle w:val="FormatvorlageInstructionsTabelleText"/>
                <w:rFonts w:ascii="Times New Roman" w:hAnsi="Times New Roman"/>
                <w:sz w:val="24"/>
              </w:rPr>
            </w:pPr>
            <w:r>
              <w:rPr>
                <w:rStyle w:val="FormatvorlageInstructionsTabelleText"/>
                <w:rFonts w:ascii="Times New Roman" w:hAnsi="Times New Roman"/>
                <w:sz w:val="24"/>
              </w:rPr>
              <w:t>A CRR 307–309. cikke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274" w:type="dxa"/>
          </w:tcPr>
          <w:p w:rsidR="005643EA" w:rsidRPr="00392FFD" w:rsidRDefault="002648B0" w:rsidP="00FD239F">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sidRPr="00C27B3E">
              <w:rPr>
                <w:u w:val="single"/>
              </w:rPr>
              <w:tab/>
            </w:r>
            <w:r>
              <w:rPr>
                <w:rStyle w:val="InstructionsTabelleberschrift"/>
                <w:rFonts w:ascii="Times New Roman" w:hAnsi="Times New Roman"/>
                <w:sz w:val="24"/>
              </w:rPr>
              <w:t>ELSZÁMOLÁSI/TELJESÍTÉSI KOCKÁZAT TELJES KOCKÁZATI KITETTSÉGÉRTÉKE</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A CRR 92. cikke (3) bekezdése c) pontjának ii. alpontja, valamint 92. cikke (4) bekezdésének b) pontja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Pr="00C27B3E">
              <w:rPr>
                <w:u w:val="single"/>
              </w:rPr>
              <w:tab/>
            </w:r>
            <w:r>
              <w:rPr>
                <w:rStyle w:val="InstructionsTabelleberschrift"/>
                <w:rFonts w:ascii="Times New Roman" w:hAnsi="Times New Roman"/>
                <w:sz w:val="24"/>
              </w:rPr>
              <w:t>Nem kereskedési könyvi elszámolási/teljesítési kockázat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 CR SETT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sidRPr="00C27B3E">
              <w:rPr>
                <w:u w:val="single"/>
              </w:rPr>
              <w:tab/>
            </w:r>
            <w:r>
              <w:rPr>
                <w:rStyle w:val="InstructionsTabelleberschrift"/>
                <w:rFonts w:ascii="Times New Roman" w:hAnsi="Times New Roman"/>
                <w:sz w:val="24"/>
              </w:rPr>
              <w:t>Kereskedési könyvi elszámolási/teljesítési kockázat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 CR SETT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Pr="00C27B3E">
              <w:rPr>
                <w:rStyle w:val="InstructionsTabelleberschrift"/>
                <w:rFonts w:ascii="Times New Roman" w:hAnsi="Times New Roman"/>
                <w:sz w:val="24"/>
              </w:rPr>
              <w:t>.</w:t>
            </w:r>
            <w:r w:rsidRPr="00C27B3E">
              <w:rPr>
                <w:u w:val="single"/>
              </w:rPr>
              <w:tab/>
            </w:r>
            <w:r>
              <w:rPr>
                <w:rStyle w:val="InstructionsTabelleberschrift"/>
                <w:rFonts w:ascii="Times New Roman" w:hAnsi="Times New Roman"/>
                <w:sz w:val="24"/>
              </w:rPr>
              <w:t xml:space="preserve">POZÍCIÓKOCKÁZAT, DEVIZAÁRFOLYAM-KOCKÁZAT </w:t>
            </w:r>
            <w:proofErr w:type="gramStart"/>
            <w:r>
              <w:rPr>
                <w:rStyle w:val="InstructionsTabelleberschrift"/>
                <w:rFonts w:ascii="Times New Roman" w:hAnsi="Times New Roman"/>
                <w:sz w:val="24"/>
              </w:rPr>
              <w:t>ÉS</w:t>
            </w:r>
            <w:proofErr w:type="gramEnd"/>
            <w:r>
              <w:rPr>
                <w:rStyle w:val="InstructionsTabelleberschrift"/>
                <w:rFonts w:ascii="Times New Roman" w:hAnsi="Times New Roman"/>
                <w:sz w:val="24"/>
              </w:rPr>
              <w:t xml:space="preserve"> ÁRUKOCKÁZAT T</w:t>
            </w:r>
            <w:r w:rsidR="00C27B3E">
              <w:rPr>
                <w:rStyle w:val="InstructionsTabelleberschrift"/>
                <w:rFonts w:ascii="Times New Roman" w:hAnsi="Times New Roman"/>
                <w:sz w:val="24"/>
              </w:rPr>
              <w:t>ELJES KOCKÁZATI KITETTSÉGÉRTÉKE</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 CRR 92. cikke (3) bekezdése b) pontjának i. alpontja, c) pontjának i. és iii. alpontja, valamint 92. cikke (4) bekezdésének b) pontja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530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sidRPr="00C27B3E">
              <w:rPr>
                <w:u w:val="single"/>
              </w:rPr>
              <w:tab/>
            </w:r>
            <w:r>
              <w:rPr>
                <w:rStyle w:val="InstructionsTabelleberschrift"/>
                <w:rFonts w:ascii="Times New Roman" w:hAnsi="Times New Roman"/>
                <w:sz w:val="24"/>
              </w:rPr>
              <w:t>Pozíciókockázat, devizaárfolyam-kockázat és árukockázat sztenderd módszer (SA) szerinti kockázati kitettségértéke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rsidRPr="00C27B3E">
              <w:rPr>
                <w:u w:val="single"/>
              </w:rPr>
              <w:tab/>
            </w:r>
            <w:r>
              <w:rPr>
                <w:rStyle w:val="InstructionsTabelleberschrift"/>
                <w:rFonts w:ascii="Times New Roman" w:hAnsi="Times New Roman"/>
                <w:sz w:val="24"/>
              </w:rPr>
              <w:t>Forgalmazott, hitelviszonyt megtestesítő értékpapírok</w:t>
            </w:r>
          </w:p>
          <w:p w:rsidR="002648B0" w:rsidRPr="007E39E6"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MKR SA TDI tábla az összesített devizanemek szintjén.</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rsidRPr="00C27B3E">
              <w:rPr>
                <w:u w:val="single"/>
              </w:rPr>
              <w:tab/>
            </w:r>
            <w:r>
              <w:rPr>
                <w:rStyle w:val="InstructionsTabelleberschrift"/>
                <w:rFonts w:ascii="Times New Roman" w:hAnsi="Times New Roman"/>
                <w:sz w:val="24"/>
              </w:rPr>
              <w:t>Részvényjellegű kitettségek</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MKR SA EQU tábla az összesített nemzeti piacok szintjén. </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555</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Pr="00C27B3E">
              <w:rPr>
                <w:u w:val="single"/>
              </w:rPr>
              <w:tab/>
            </w:r>
            <w:r>
              <w:rPr>
                <w:rStyle w:val="InstructionsTabelleberschrift"/>
                <w:rFonts w:ascii="Times New Roman" w:hAnsi="Times New Roman"/>
                <w:sz w:val="24"/>
              </w:rPr>
              <w:t>Egyedi módszer a kollektív befektetési formák poz</w:t>
            </w:r>
            <w:r>
              <w:rPr>
                <w:rStyle w:val="InstructionsTabelleberschrift"/>
                <w:rFonts w:ascii="Times New Roman" w:hAnsi="Times New Roman"/>
                <w:sz w:val="24"/>
              </w:rPr>
              <w:t>í</w:t>
            </w:r>
            <w:r>
              <w:rPr>
                <w:rStyle w:val="InstructionsTabelleberschrift"/>
                <w:rFonts w:ascii="Times New Roman" w:hAnsi="Times New Roman"/>
                <w:sz w:val="24"/>
              </w:rPr>
              <w:t>ciókockázatára</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A CRR 348. cikkének (1) bekezdése, 350. cikke (3) bekezdésének c) pontja, valamint 364. cikke (2) bekezdésének a) pontja</w:t>
            </w:r>
          </w:p>
          <w:p w:rsidR="00A76381"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A kollektív befektetési formákban lévő pozíciók teljes kockázati kitettségértéke, ha a tőkekövetelmény kiszámítása a CRR 348. cikke (1) bekezdésének megfelelően azonnal, vagy a CRR 350. cikke (3) bekezd</w:t>
            </w:r>
            <w:r>
              <w:rPr>
                <w:rStyle w:val="FormatvorlageInstructionsTabelleText"/>
                <w:rFonts w:ascii="Times New Roman" w:hAnsi="Times New Roman"/>
                <w:sz w:val="24"/>
              </w:rPr>
              <w:t>é</w:t>
            </w:r>
            <w:r>
              <w:rPr>
                <w:rStyle w:val="FormatvorlageInstructionsTabelleText"/>
                <w:rFonts w:ascii="Times New Roman" w:hAnsi="Times New Roman"/>
                <w:sz w:val="24"/>
              </w:rPr>
              <w:t>sének c) pontjában meghatározott korlátnak megfelelően történik. A CRR az ilyen pozíciókat nem rendeli kifejezetten sem kamatlábkock</w:t>
            </w:r>
            <w:r>
              <w:rPr>
                <w:rStyle w:val="FormatvorlageInstructionsTabelleText"/>
                <w:rFonts w:ascii="Times New Roman" w:hAnsi="Times New Roman"/>
                <w:sz w:val="24"/>
              </w:rPr>
              <w:t>á</w:t>
            </w:r>
            <w:r>
              <w:rPr>
                <w:rStyle w:val="FormatvorlageInstructionsTabelleText"/>
                <w:rFonts w:ascii="Times New Roman" w:hAnsi="Times New Roman"/>
                <w:sz w:val="24"/>
              </w:rPr>
              <w:t>zathoz, sem részvénypiaci kockázathoz.</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A CRR 348. cikke (1) bekezdésének első mondata szerinti egyedi mó</w:t>
            </w:r>
            <w:r>
              <w:rPr>
                <w:rStyle w:val="FormatvorlageInstructionsTabelleText"/>
                <w:rFonts w:ascii="Times New Roman" w:hAnsi="Times New Roman"/>
                <w:sz w:val="24"/>
              </w:rPr>
              <w:t>d</w:t>
            </w:r>
            <w:r>
              <w:rPr>
                <w:rStyle w:val="FormatvorlageInstructionsTabelleText"/>
                <w:rFonts w:ascii="Times New Roman" w:hAnsi="Times New Roman"/>
                <w:sz w:val="24"/>
              </w:rPr>
              <w:t>szer alkalmazásakor a feltüntetendő érték a kérdéses KBF-kitettség nettó pozíciójának 32 %-</w:t>
            </w:r>
            <w:proofErr w:type="gramStart"/>
            <w:r>
              <w:rPr>
                <w:rStyle w:val="FormatvorlageInstructionsTabelleText"/>
                <w:rFonts w:ascii="Times New Roman" w:hAnsi="Times New Roman"/>
                <w:sz w:val="24"/>
              </w:rPr>
              <w:t>a</w:t>
            </w:r>
            <w:proofErr w:type="gramEnd"/>
            <w:r>
              <w:rPr>
                <w:rStyle w:val="FormatvorlageInstructionsTabelleText"/>
                <w:rFonts w:ascii="Times New Roman" w:hAnsi="Times New Roman"/>
                <w:sz w:val="24"/>
              </w:rPr>
              <w:t>, szoroz</w:t>
            </w:r>
            <w:r w:rsidR="00C27B3E">
              <w:rPr>
                <w:rStyle w:val="FormatvorlageInstructionsTabelleText"/>
                <w:rFonts w:ascii="Times New Roman" w:hAnsi="Times New Roman"/>
                <w:sz w:val="24"/>
              </w:rPr>
              <w:t>va 12,5-del.</w:t>
            </w:r>
          </w:p>
          <w:p w:rsidR="00B97F1B"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A CRR 348. cikke (1) bekezdésének második mondata szerinti egyedi módszer alkalmazásakor a feltüntetendő érték a kérdéses KBF-kitettség nettó pozíciójának 32 %-</w:t>
            </w:r>
            <w:proofErr w:type="gramStart"/>
            <w:r>
              <w:rPr>
                <w:rStyle w:val="FormatvorlageInstructionsTabelleText"/>
                <w:rFonts w:ascii="Times New Roman" w:hAnsi="Times New Roman"/>
                <w:sz w:val="24"/>
              </w:rPr>
              <w:t>a</w:t>
            </w:r>
            <w:proofErr w:type="gramEnd"/>
            <w:r>
              <w:rPr>
                <w:rStyle w:val="FormatvorlageInstructionsTabelleText"/>
                <w:rFonts w:ascii="Times New Roman" w:hAnsi="Times New Roman"/>
                <w:sz w:val="24"/>
              </w:rPr>
              <w:t>, valamint e nettó pozíció 40 %-a és az adott KBF-kitettséghez kapcsolódó devizaárfolyam-kockázatból eredő szavatolótőke-követelmény különbözete közül az alacsonyabb érték, sz</w:t>
            </w:r>
            <w:r>
              <w:rPr>
                <w:rStyle w:val="FormatvorlageInstructionsTabelleText"/>
                <w:rFonts w:ascii="Times New Roman" w:hAnsi="Times New Roman"/>
                <w:sz w:val="24"/>
              </w:rPr>
              <w:t>o</w:t>
            </w:r>
            <w:r>
              <w:rPr>
                <w:rStyle w:val="FormatvorlageInstructionsTabelleText"/>
                <w:rFonts w:ascii="Times New Roman" w:hAnsi="Times New Roman"/>
                <w:sz w:val="24"/>
              </w:rPr>
              <w:t>rozva 12,5-del.</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556</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Pr="00C27B3E">
              <w:rPr>
                <w:u w:val="single"/>
              </w:rPr>
              <w:tab/>
            </w:r>
            <w:r>
              <w:rPr>
                <w:rStyle w:val="InstructionsTabelleberschrift"/>
                <w:rFonts w:ascii="Times New Roman" w:hAnsi="Times New Roman"/>
                <w:sz w:val="24"/>
              </w:rPr>
              <w:t>Tájékoztató adat: kizárólag forgalmazott, hitelviszonyt megtestesítő értékpapírokba befektetett kollektív befektetési formák</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Kollektív befektetési formákban lévő pozíciók teljes kockázati kitettségértéke, amennyiben a KBF eszközökbe való befektetése kizár</w:t>
            </w:r>
            <w:r>
              <w:rPr>
                <w:rStyle w:val="FormatvorlageInstructionsTabelleText"/>
                <w:rFonts w:ascii="Times New Roman" w:hAnsi="Times New Roman"/>
                <w:sz w:val="24"/>
              </w:rPr>
              <w:t>ó</w:t>
            </w:r>
            <w:r>
              <w:rPr>
                <w:rStyle w:val="FormatvorlageInstructionsTabelleText"/>
                <w:rFonts w:ascii="Times New Roman" w:hAnsi="Times New Roman"/>
                <w:sz w:val="24"/>
              </w:rPr>
              <w:t>lag a kamatlábkockázattól függ.</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557</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Pr="00C27B3E">
              <w:rPr>
                <w:u w:val="single"/>
              </w:rPr>
              <w:tab/>
            </w:r>
            <w:r>
              <w:rPr>
                <w:rStyle w:val="InstructionsTabelleberschrift"/>
                <w:rFonts w:ascii="Times New Roman" w:hAnsi="Times New Roman"/>
                <w:sz w:val="24"/>
              </w:rPr>
              <w:t>Kizárólag tulajdoni részesedést megtestesítő instr</w:t>
            </w:r>
            <w:r>
              <w:rPr>
                <w:rStyle w:val="InstructionsTabelleberschrift"/>
                <w:rFonts w:ascii="Times New Roman" w:hAnsi="Times New Roman"/>
                <w:sz w:val="24"/>
              </w:rPr>
              <w:t>u</w:t>
            </w:r>
            <w:r>
              <w:rPr>
                <w:rStyle w:val="InstructionsTabelleberschrift"/>
                <w:rFonts w:ascii="Times New Roman" w:hAnsi="Times New Roman"/>
                <w:sz w:val="24"/>
              </w:rPr>
              <w:t>mentumokba vagy vegyes eszközökbe befektetett kollektív befektet</w:t>
            </w:r>
            <w:r>
              <w:rPr>
                <w:rStyle w:val="InstructionsTabelleberschrift"/>
                <w:rFonts w:ascii="Times New Roman" w:hAnsi="Times New Roman"/>
                <w:sz w:val="24"/>
              </w:rPr>
              <w:t>é</w:t>
            </w:r>
            <w:r>
              <w:rPr>
                <w:rStyle w:val="InstructionsTabelleberschrift"/>
                <w:rFonts w:ascii="Times New Roman" w:hAnsi="Times New Roman"/>
                <w:sz w:val="24"/>
              </w:rPr>
              <w:t>si formák</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Kollektív befektetési formákban lévő pozíciók teljes kockázati kitettségértéke, amennyiben a KBF-et kizárólag részvénypiaci kockáza</w:t>
            </w:r>
            <w:r>
              <w:rPr>
                <w:rStyle w:val="FormatvorlageInstructionsTabelleText"/>
                <w:rFonts w:ascii="Times New Roman" w:hAnsi="Times New Roman"/>
                <w:sz w:val="24"/>
              </w:rPr>
              <w:t>t</w:t>
            </w:r>
            <w:r>
              <w:rPr>
                <w:rStyle w:val="FormatvorlageInstructionsTabelleText"/>
                <w:rFonts w:ascii="Times New Roman" w:hAnsi="Times New Roman"/>
                <w:sz w:val="24"/>
              </w:rPr>
              <w:t>tól függő instrumentumokba vagy vegyes instrumentumokba fektetik be vagy a KBF összetevői nem ismertek.</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sidRPr="00C27B3E">
              <w:rPr>
                <w:u w:val="single"/>
              </w:rPr>
              <w:tab/>
            </w:r>
            <w:r>
              <w:rPr>
                <w:rStyle w:val="InstructionsTabelleberschrift"/>
                <w:rFonts w:ascii="Times New Roman" w:hAnsi="Times New Roman"/>
                <w:sz w:val="24"/>
              </w:rPr>
              <w:t>Deviza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az MKR SA FX táblát</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rsidRPr="00C27B3E">
              <w:rPr>
                <w:u w:val="single"/>
              </w:rPr>
              <w:tab/>
            </w:r>
            <w:r>
              <w:rPr>
                <w:rStyle w:val="InstructionsTabelleberschrift"/>
                <w:rFonts w:ascii="Times New Roman" w:hAnsi="Times New Roman"/>
                <w:sz w:val="24"/>
              </w:rPr>
              <w:t>Áru</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az MKR SA COM táblát</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580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sidRPr="00C27B3E">
              <w:rPr>
                <w:u w:val="single"/>
              </w:rPr>
              <w:tab/>
            </w:r>
            <w:r>
              <w:rPr>
                <w:rStyle w:val="InstructionsTabelleberschrift"/>
                <w:rFonts w:ascii="Times New Roman" w:hAnsi="Times New Roman"/>
                <w:sz w:val="24"/>
              </w:rPr>
              <w:t>Pozíciókockázat, devizaárfolyam-kockázat és árukockázat belsőmodell-módszer (IM) szerinti kockázati kitettségértéke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az MKR IM táblát</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sidRPr="00C27B3E">
              <w:rPr>
                <w:u w:val="single"/>
              </w:rPr>
              <w:tab/>
            </w:r>
            <w:r>
              <w:rPr>
                <w:rStyle w:val="InstructionsTabelleberschrift"/>
                <w:rFonts w:ascii="Times New Roman" w:hAnsi="Times New Roman"/>
                <w:sz w:val="24"/>
              </w:rPr>
              <w:t>MŰKÖDÉSI KOCKÁZAT (OpR) TELJES KOCKÁZATI KITETTSÉGÉRTÉKE</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 CRR 92. cikke (3) bekezdésének e) pontja és 92. cikke (4) bekezdés</w:t>
            </w:r>
            <w:r>
              <w:rPr>
                <w:rStyle w:val="FormatvorlageInstructionsTabelleText"/>
                <w:rFonts w:ascii="Times New Roman" w:hAnsi="Times New Roman"/>
                <w:sz w:val="24"/>
              </w:rPr>
              <w:t>é</w:t>
            </w:r>
            <w:r>
              <w:rPr>
                <w:rStyle w:val="FormatvorlageInstructionsTabelleText"/>
                <w:rFonts w:ascii="Times New Roman" w:hAnsi="Times New Roman"/>
                <w:sz w:val="24"/>
              </w:rPr>
              <w:t>nek b) pontja</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A CRR 95. cikkének (2) bekezdése, 96. cikkének (2) bekezdése, val</w:t>
            </w:r>
            <w:r>
              <w:rPr>
                <w:rStyle w:val="FormatvorlageInstructionsTabelleText"/>
                <w:rFonts w:ascii="Times New Roman" w:hAnsi="Times New Roman"/>
                <w:sz w:val="24"/>
              </w:rPr>
              <w:t>a</w:t>
            </w:r>
            <w:r>
              <w:rPr>
                <w:rStyle w:val="FormatvorlageInstructionsTabelleText"/>
                <w:rFonts w:ascii="Times New Roman" w:hAnsi="Times New Roman"/>
                <w:sz w:val="24"/>
              </w:rPr>
              <w:t>mint 98. cikke szerinti befektetési vállalkozások esetében a tétel értéke nulla.</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600</w:t>
            </w: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rsidRPr="00C27B3E">
              <w:rPr>
                <w:u w:val="single"/>
              </w:rPr>
              <w:tab/>
            </w:r>
            <w:r>
              <w:rPr>
                <w:rStyle w:val="InstructionsTabelleberschrift"/>
                <w:rFonts w:ascii="Times New Roman" w:hAnsi="Times New Roman"/>
                <w:sz w:val="24"/>
              </w:rPr>
              <w:t>Működési kockázatra vonatkozó alapmutató módszere (BIA)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az OPR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rsidRPr="00C27B3E">
              <w:rPr>
                <w:u w:val="single"/>
              </w:rPr>
              <w:tab/>
            </w:r>
            <w:r>
              <w:rPr>
                <w:rStyle w:val="InstructionsTabelleberschrift"/>
                <w:rFonts w:ascii="Times New Roman" w:hAnsi="Times New Roman"/>
                <w:sz w:val="24"/>
              </w:rPr>
              <w:t>Működési kockázatra vonatkozó sztenderd (TSA)/alternatív sztenderd módszer (ASA)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az OPR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rsidRPr="00C27B3E">
              <w:rPr>
                <w:u w:val="single"/>
              </w:rPr>
              <w:tab/>
            </w:r>
            <w:r>
              <w:rPr>
                <w:rStyle w:val="InstructionsTabelleberschrift"/>
                <w:rFonts w:ascii="Times New Roman" w:hAnsi="Times New Roman"/>
                <w:sz w:val="24"/>
              </w:rPr>
              <w:t>Működési kockázatra vonatkozó fejlett mérési módszerek (AMA)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az OPR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sidRPr="00C27B3E">
              <w:rPr>
                <w:u w:val="single"/>
              </w:rPr>
              <w:tab/>
            </w:r>
            <w:r>
              <w:rPr>
                <w:rStyle w:val="InstructionsTabelleberschrift"/>
                <w:rFonts w:ascii="Times New Roman" w:hAnsi="Times New Roman"/>
                <w:sz w:val="24"/>
              </w:rPr>
              <w:t>FIX MŰKÖDÉSI KÖLTSÉGEKBŐL EREDŐ PÓTLÓL</w:t>
            </w:r>
            <w:r>
              <w:rPr>
                <w:rStyle w:val="InstructionsTabelleberschrift"/>
                <w:rFonts w:ascii="Times New Roman" w:hAnsi="Times New Roman"/>
                <w:sz w:val="24"/>
              </w:rPr>
              <w:t>A</w:t>
            </w:r>
            <w:r>
              <w:rPr>
                <w:rStyle w:val="InstructionsTabelleberschrift"/>
                <w:rFonts w:ascii="Times New Roman" w:hAnsi="Times New Roman"/>
                <w:sz w:val="24"/>
              </w:rPr>
              <w:t>GOS KOCKÁZATI KITETTSÉGÉRTÉK</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A CRR 95. cikkének (2) bekezdése, 96. cikkének (2) bekezdése, 97. ci</w:t>
            </w:r>
            <w:r>
              <w:rPr>
                <w:rStyle w:val="FormatvorlageInstructionsTabelleText"/>
                <w:rFonts w:ascii="Times New Roman" w:hAnsi="Times New Roman"/>
                <w:sz w:val="24"/>
              </w:rPr>
              <w:t>k</w:t>
            </w:r>
            <w:r>
              <w:rPr>
                <w:rStyle w:val="FormatvorlageInstructionsTabelleText"/>
                <w:rFonts w:ascii="Times New Roman" w:hAnsi="Times New Roman"/>
                <w:sz w:val="24"/>
              </w:rPr>
              <w:t>ke, valamint 98. cikke (1) bekezdésének a) pontja</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Kizárólag a CRR 95. cikkének (2) bekezdése, 96. cikkének (2) bekezd</w:t>
            </w:r>
            <w:r>
              <w:rPr>
                <w:rStyle w:val="FormatvorlageInstructionsTabelleText"/>
                <w:rFonts w:ascii="Times New Roman" w:hAnsi="Times New Roman"/>
                <w:sz w:val="24"/>
              </w:rPr>
              <w:t>é</w:t>
            </w:r>
            <w:r>
              <w:rPr>
                <w:rStyle w:val="FormatvorlageInstructionsTabelleText"/>
                <w:rFonts w:ascii="Times New Roman" w:hAnsi="Times New Roman"/>
                <w:sz w:val="24"/>
              </w:rPr>
              <w:t>se, valamint 98. cikke szerinti befektetési vállalkozások eseté</w:t>
            </w:r>
            <w:r w:rsidR="00807B7D">
              <w:rPr>
                <w:rStyle w:val="FormatvorlageInstructionsTabelleText"/>
                <w:rFonts w:ascii="Times New Roman" w:hAnsi="Times New Roman"/>
                <w:sz w:val="24"/>
              </w:rPr>
              <w:t>ben. Lásd még a CRR 97. cikkét.</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A CRR 96. cikke szerinti befektetési vállalkozásoknak a 97. cikkben meghatározott összeg 12,5-szeresét kell feltüntetniük.</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A CRR 95. cikke szerinti befektetési vállalkozásoknak az alábbi összeget kell feltüntetniük:</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Ha a</w:t>
            </w:r>
            <w:r>
              <w:t xml:space="preserve"> </w:t>
            </w:r>
            <w:r>
              <w:rPr>
                <w:rStyle w:val="FormatvorlageInstructionsTabelleText"/>
                <w:rFonts w:ascii="Times New Roman" w:hAnsi="Times New Roman"/>
                <w:sz w:val="24"/>
              </w:rPr>
              <w:t>CRR 95. cikke (2) bekezdésének a) pontjában említett ö</w:t>
            </w:r>
            <w:r>
              <w:rPr>
                <w:rStyle w:val="FormatvorlageInstructionsTabelleText"/>
                <w:rFonts w:ascii="Times New Roman" w:hAnsi="Times New Roman"/>
                <w:sz w:val="24"/>
              </w:rPr>
              <w:t>s</w:t>
            </w:r>
            <w:r>
              <w:rPr>
                <w:rStyle w:val="FormatvorlageInstructionsTabelleText"/>
                <w:rFonts w:ascii="Times New Roman" w:hAnsi="Times New Roman"/>
                <w:sz w:val="24"/>
              </w:rPr>
              <w:t>szeg meghaladja a CRR 95. cikke (2) bekezdésének b) pontjában említett összeget, akkor a feltüntetendő érték nulla.</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Ha a</w:t>
            </w:r>
            <w:r>
              <w:t xml:space="preserve"> </w:t>
            </w:r>
            <w:r>
              <w:rPr>
                <w:rStyle w:val="FormatvorlageInstructionsTabelleText"/>
                <w:rFonts w:ascii="Times New Roman" w:hAnsi="Times New Roman"/>
                <w:sz w:val="24"/>
              </w:rPr>
              <w:t>CRR 95. cikke (2) bekezdésének b) pontjában említett ö</w:t>
            </w:r>
            <w:r>
              <w:rPr>
                <w:rStyle w:val="FormatvorlageInstructionsTabelleText"/>
                <w:rFonts w:ascii="Times New Roman" w:hAnsi="Times New Roman"/>
                <w:sz w:val="24"/>
              </w:rPr>
              <w:t>s</w:t>
            </w:r>
            <w:r>
              <w:rPr>
                <w:rStyle w:val="FormatvorlageInstructionsTabelleText"/>
                <w:rFonts w:ascii="Times New Roman" w:hAnsi="Times New Roman"/>
                <w:sz w:val="24"/>
              </w:rPr>
              <w:t>szeg meghaladja a CRR 95. cikke (2) bekezdésének a) pontjában említett összeget, akkor a feltüntetendő érték az első és a második összeg külö</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bözete.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sidRPr="00807B7D">
              <w:rPr>
                <w:u w:val="single"/>
              </w:rPr>
              <w:tab/>
            </w:r>
            <w:r>
              <w:rPr>
                <w:rStyle w:val="InstructionsTabelleberschrift"/>
                <w:rFonts w:ascii="Times New Roman" w:hAnsi="Times New Roman"/>
                <w:sz w:val="24"/>
              </w:rPr>
              <w:t>A HITELÉRTÉKELÉSI KORREKCIÓ TELJES KOCK</w:t>
            </w:r>
            <w:r>
              <w:rPr>
                <w:rStyle w:val="InstructionsTabelleberschrift"/>
                <w:rFonts w:ascii="Times New Roman" w:hAnsi="Times New Roman"/>
                <w:sz w:val="24"/>
              </w:rPr>
              <w:t>Á</w:t>
            </w:r>
            <w:r>
              <w:rPr>
                <w:rStyle w:val="InstructionsTabelleberschrift"/>
                <w:rFonts w:ascii="Times New Roman" w:hAnsi="Times New Roman"/>
                <w:sz w:val="24"/>
              </w:rPr>
              <w:t>ZATI KITETTSÉGÉRTÉKE</w:t>
            </w:r>
          </w:p>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A CRR 92. cikke (3) bekezdésének d) pontja. Lásd a CVA táblát.</w:t>
            </w:r>
            <w:r>
              <w:rPr>
                <w:rStyle w:val="FormatvorlageInstructionsTabelleText"/>
                <w:rFonts w:ascii="Times New Roman" w:hAnsi="Times New Roman"/>
                <w:sz w:val="24"/>
              </w:rPr>
              <w:t xml:space="preserv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650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rsidRPr="00807B7D">
              <w:rPr>
                <w:u w:val="single"/>
              </w:rPr>
              <w:tab/>
            </w:r>
            <w:r>
              <w:rPr>
                <w:rStyle w:val="InstructionsTabelleberschrift"/>
                <w:rFonts w:ascii="Times New Roman" w:hAnsi="Times New Roman"/>
                <w:sz w:val="24"/>
              </w:rPr>
              <w:t>Fejlett módszer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A hitelértékelési korrekciós kockázathoz kapcsolódó szavatolótőke-</w:t>
            </w:r>
            <w:r>
              <w:rPr>
                <w:rStyle w:val="FormatvorlageInstructionsTabelleText"/>
                <w:rFonts w:ascii="Times New Roman" w:hAnsi="Times New Roman"/>
                <w:sz w:val="24"/>
              </w:rPr>
              <w:lastRenderedPageBreak/>
              <w:t>követelmény a CRR 383. cikke szerint. Lásd a CVA táblát.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660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rsidRPr="00807B7D">
              <w:rPr>
                <w:u w:val="single"/>
              </w:rPr>
              <w:tab/>
            </w:r>
            <w:r>
              <w:rPr>
                <w:rStyle w:val="InstructionsTabelleberschrift"/>
                <w:rFonts w:ascii="Times New Roman" w:hAnsi="Times New Roman"/>
                <w:sz w:val="24"/>
              </w:rPr>
              <w:t>Sztenderd módszer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A hitelértékelési korrekciós kockázathoz kapcsolódó szavatolótőke-követelmény a CRR 384. cikke szerint. Lásd a CVA táblát.</w:t>
            </w:r>
          </w:p>
        </w:tc>
      </w:tr>
      <w:tr w:rsidR="00836845" w:rsidRPr="00392FFD" w:rsidTr="00672D2A">
        <w:tc>
          <w:tcPr>
            <w:tcW w:w="1591" w:type="dxa"/>
          </w:tcPr>
          <w:p w:rsidR="00836845"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274" w:type="dxa"/>
          </w:tcPr>
          <w:p w:rsidR="005643EA" w:rsidRPr="00392FFD" w:rsidRDefault="00D33AA1"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rsidRPr="00807B7D">
              <w:rPr>
                <w:u w:val="single"/>
              </w:rPr>
              <w:tab/>
            </w:r>
            <w:r>
              <w:rPr>
                <w:rStyle w:val="InstructionsTabelleberschrift"/>
                <w:rFonts w:ascii="Times New Roman" w:hAnsi="Times New Roman"/>
                <w:sz w:val="24"/>
              </w:rPr>
              <w:t>Eredeti kitettség szerinti módszer (OEM) alapján</w:t>
            </w:r>
          </w:p>
          <w:p w:rsidR="00783881" w:rsidRPr="007E39E6" w:rsidRDefault="00D33AA1" w:rsidP="00FD239F">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A hitelértékelési korrekciós kockázathoz kapcsolódó szavatolótőke-követelmény a CRR 385. cikke szerint. Lásd a CVA táblát.</w:t>
            </w:r>
          </w:p>
        </w:tc>
      </w:tr>
      <w:tr w:rsidR="002648B0" w:rsidRPr="00392FFD" w:rsidTr="00672D2A">
        <w:tc>
          <w:tcPr>
            <w:tcW w:w="1591" w:type="dxa"/>
          </w:tcPr>
          <w:p w:rsidR="00783881" w:rsidRPr="00392FFD" w:rsidRDefault="00D33AA1"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680</w:t>
            </w:r>
          </w:p>
        </w:tc>
        <w:tc>
          <w:tcPr>
            <w:tcW w:w="7274" w:type="dxa"/>
          </w:tcPr>
          <w:p w:rsidR="00783881"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sidRPr="00807B7D">
              <w:rPr>
                <w:u w:val="single"/>
              </w:rPr>
              <w:tab/>
            </w:r>
            <w:r>
              <w:rPr>
                <w:rStyle w:val="InstructionsTabelleberschrift"/>
                <w:rFonts w:ascii="Times New Roman" w:hAnsi="Times New Roman"/>
                <w:sz w:val="24"/>
              </w:rPr>
              <w:t>KERESKEDÉSI KÖNYVBEN NYILVÁNTARTOTT NAGYKOCKÁZATOK TELJES KOCKÁZATI KITETTSÉGÉRTÉKE</w:t>
            </w:r>
          </w:p>
          <w:p w:rsidR="00783881"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 CRR 92. cikke (3) bekezdése b) pontjának ii. alpontja, valamint 395–401. cikke</w:t>
            </w:r>
          </w:p>
        </w:tc>
      </w:tr>
      <w:tr w:rsidR="002648B0" w:rsidRPr="00392FFD" w:rsidTr="00672D2A">
        <w:tc>
          <w:tcPr>
            <w:tcW w:w="1591" w:type="dxa"/>
          </w:tcPr>
          <w:p w:rsidR="002648B0"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sidRPr="00807B7D">
              <w:rPr>
                <w:u w:val="single"/>
              </w:rPr>
              <w:tab/>
            </w:r>
            <w:r>
              <w:rPr>
                <w:rStyle w:val="InstructionsTabelleberschrift"/>
                <w:rFonts w:ascii="Times New Roman" w:hAnsi="Times New Roman"/>
                <w:sz w:val="24"/>
              </w:rPr>
              <w:t>EGYÉB KOCKÁZATI KITETTSÉGÉRTÉKEK</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CRR 3</w:t>
            </w:r>
            <w:proofErr w:type="gramStart"/>
            <w:r>
              <w:rPr>
                <w:rStyle w:val="InstructionsTabelleberschrift"/>
                <w:rFonts w:ascii="Times New Roman" w:hAnsi="Times New Roman"/>
                <w:b w:val="0"/>
                <w:sz w:val="24"/>
                <w:u w:val="none"/>
              </w:rPr>
              <w:t>.,</w:t>
            </w:r>
            <w:proofErr w:type="gramEnd"/>
            <w:r>
              <w:rPr>
                <w:rStyle w:val="InstructionsTabelleberschrift"/>
                <w:rFonts w:ascii="Times New Roman" w:hAnsi="Times New Roman"/>
                <w:b w:val="0"/>
                <w:sz w:val="24"/>
                <w:u w:val="none"/>
              </w:rPr>
              <w:t xml:space="preserve"> 458. és 459. cikke szerint, valamint az olyan kockázati kitettségértékek, amelyek az 1.1–1.7. t</w:t>
            </w:r>
            <w:r w:rsidR="00807B7D">
              <w:rPr>
                <w:rStyle w:val="InstructionsTabelleberschrift"/>
                <w:rFonts w:ascii="Times New Roman" w:hAnsi="Times New Roman"/>
                <w:b w:val="0"/>
                <w:sz w:val="24"/>
                <w:u w:val="none"/>
              </w:rPr>
              <w:t>ételek egyikébe sem sorolhatók.</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intézményeknek az alábbi követelmények teljesítéséhez szükséges összegeket kell feltüntetniük:</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Bizottság által előírt szigorúbb prudenciális követelmények, a CRR 458</w:t>
            </w:r>
            <w:r w:rsidR="00807B7D">
              <w:rPr>
                <w:rStyle w:val="InstructionsTabelleberschrift"/>
                <w:rFonts w:ascii="Times New Roman" w:hAnsi="Times New Roman"/>
                <w:b w:val="0"/>
                <w:sz w:val="24"/>
                <w:u w:val="none"/>
              </w:rPr>
              <w:t>. és 459. cikkével összhangban;</w:t>
            </w:r>
          </w:p>
          <w:p w:rsidR="00783881" w:rsidRPr="00392FFD" w:rsidRDefault="00DA4727"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CRR 3. cikkéből eredő pótlólagos kockázati kitettségérték</w:t>
            </w:r>
          </w:p>
          <w:p w:rsidR="005643EA" w:rsidRPr="007E39E6" w:rsidRDefault="00DA4727" w:rsidP="00FD239F">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A tétel nem kapcsolódi</w:t>
            </w:r>
            <w:r w:rsidR="00807B7D">
              <w:rPr>
                <w:rStyle w:val="InstructionsTabelleberschrift"/>
                <w:rFonts w:ascii="Times New Roman" w:hAnsi="Times New Roman"/>
                <w:b w:val="0"/>
                <w:sz w:val="24"/>
                <w:u w:val="none"/>
              </w:rPr>
              <w:t>k részletes kockázati táblához.</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sidRPr="00807B7D">
              <w:rPr>
                <w:u w:val="single"/>
              </w:rPr>
              <w:tab/>
            </w:r>
            <w:r>
              <w:rPr>
                <w:rStyle w:val="InstructionsTabelleberschrift"/>
                <w:rFonts w:ascii="Times New Roman" w:hAnsi="Times New Roman"/>
                <w:sz w:val="24"/>
              </w:rPr>
              <w:t>Ebből: kiegészítő szigorúbb prudenciális követelmények a 458. cikk alapján</w:t>
            </w:r>
          </w:p>
          <w:p w:rsidR="005643EA" w:rsidRPr="007E39E6" w:rsidRDefault="002648B0"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 CRR 458. cikke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rsidRPr="00807B7D">
              <w:rPr>
                <w:u w:val="single"/>
              </w:rPr>
              <w:tab/>
            </w:r>
            <w:r>
              <w:rPr>
                <w:rStyle w:val="InstructionsTabelleberschrift"/>
                <w:rFonts w:ascii="Times New Roman" w:hAnsi="Times New Roman"/>
                <w:sz w:val="24"/>
              </w:rPr>
              <w:t>Ebből: nagykockázat-vállalással kapcsolatos követelmények</w:t>
            </w:r>
          </w:p>
          <w:p w:rsidR="005643EA" w:rsidRPr="00392FFD" w:rsidRDefault="002648B0" w:rsidP="00FD239F">
            <w:pPr>
              <w:pStyle w:val="InstructionsText"/>
              <w:rPr>
                <w:rStyle w:val="InstructionsTabelleberschrift"/>
                <w:rFonts w:ascii="Times New Roman" w:hAnsi="Times New Roman"/>
                <w:sz w:val="24"/>
              </w:rPr>
            </w:pPr>
            <w:r>
              <w:t>A CRR 458. cikke</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rsidRPr="00807B7D">
              <w:rPr>
                <w:u w:val="single"/>
              </w:rPr>
              <w:tab/>
            </w:r>
            <w:r>
              <w:rPr>
                <w:rStyle w:val="InstructionsTabelleberschrift"/>
                <w:rFonts w:ascii="Times New Roman" w:hAnsi="Times New Roman"/>
                <w:sz w:val="24"/>
              </w:rPr>
              <w:t>Ebből: a lakóingatlanok és kereskedelmi ingatlanok piacán jelentkező eszközbuborékok kezelését célzó kockázati súlyok módosításából eredő követelmények</w:t>
            </w:r>
          </w:p>
          <w:p w:rsidR="005643EA" w:rsidRPr="00392FFD" w:rsidRDefault="002648B0" w:rsidP="00FD239F">
            <w:pPr>
              <w:pStyle w:val="InstructionsText"/>
              <w:rPr>
                <w:rStyle w:val="InstructionsTabelleberschrift"/>
                <w:rFonts w:ascii="Times New Roman" w:hAnsi="Times New Roman"/>
                <w:sz w:val="24"/>
              </w:rPr>
            </w:pPr>
            <w:r>
              <w:t>A CRR 458. cikke</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rsidRPr="00807B7D">
              <w:rPr>
                <w:u w:val="single"/>
              </w:rPr>
              <w:tab/>
            </w:r>
            <w:r>
              <w:rPr>
                <w:rStyle w:val="InstructionsTabelleberschrift"/>
                <w:rFonts w:ascii="Times New Roman" w:hAnsi="Times New Roman"/>
                <w:sz w:val="24"/>
              </w:rPr>
              <w:t>Ebből: a pénzügyi szektoron belüli kitettségekből er</w:t>
            </w:r>
            <w:r>
              <w:rPr>
                <w:rStyle w:val="InstructionsTabelleberschrift"/>
                <w:rFonts w:ascii="Times New Roman" w:hAnsi="Times New Roman"/>
                <w:sz w:val="24"/>
              </w:rPr>
              <w:t>e</w:t>
            </w:r>
            <w:r>
              <w:rPr>
                <w:rStyle w:val="InstructionsTabelleberschrift"/>
                <w:rFonts w:ascii="Times New Roman" w:hAnsi="Times New Roman"/>
                <w:sz w:val="24"/>
              </w:rPr>
              <w:t>dő követelmények</w:t>
            </w:r>
          </w:p>
          <w:p w:rsidR="005643EA" w:rsidRPr="00392FFD" w:rsidRDefault="002648B0" w:rsidP="00FD239F">
            <w:pPr>
              <w:pStyle w:val="InstructionsText"/>
              <w:rPr>
                <w:rStyle w:val="InstructionsTabelleberschrift"/>
                <w:rFonts w:ascii="Times New Roman" w:hAnsi="Times New Roman"/>
                <w:sz w:val="24"/>
              </w:rPr>
            </w:pPr>
            <w:r>
              <w:t>A CRR 458. cikke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sidRPr="00807B7D">
              <w:rPr>
                <w:u w:val="single"/>
              </w:rPr>
              <w:tab/>
            </w:r>
            <w:r>
              <w:rPr>
                <w:rStyle w:val="InstructionsTabelleberschrift"/>
                <w:rFonts w:ascii="Times New Roman" w:hAnsi="Times New Roman"/>
                <w:sz w:val="24"/>
              </w:rPr>
              <w:t>Ebből: kiegészítő szigorúbb prudenciális követelmények a 459. cikk alapján</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CRR 459. cikke</w:t>
            </w:r>
          </w:p>
        </w:tc>
      </w:tr>
      <w:tr w:rsidR="00523DD6" w:rsidRPr="00392FFD" w:rsidTr="00672D2A">
        <w:tc>
          <w:tcPr>
            <w:tcW w:w="1591" w:type="dxa"/>
            <w:shd w:val="clear" w:color="auto" w:fill="auto"/>
          </w:tcPr>
          <w:p w:rsidR="00523DD6"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274" w:type="dxa"/>
          </w:tcPr>
          <w:p w:rsidR="005643EA" w:rsidRPr="00392FFD" w:rsidRDefault="00523DD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sidRPr="00807B7D">
              <w:rPr>
                <w:u w:val="single"/>
              </w:rPr>
              <w:tab/>
            </w:r>
            <w:r>
              <w:rPr>
                <w:rStyle w:val="InstructionsTabelleberschrift"/>
                <w:rFonts w:ascii="Times New Roman" w:hAnsi="Times New Roman"/>
                <w:sz w:val="24"/>
              </w:rPr>
              <w:t>Ebből: a CRR 3. cikkéből eredő pótlólagos kockázati kitettségérték</w:t>
            </w:r>
          </w:p>
          <w:p w:rsidR="005643EA"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 cikke</w:t>
            </w:r>
          </w:p>
          <w:p w:rsidR="005643EA" w:rsidRPr="00392FFD" w:rsidRDefault="00523DD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 pótlólagos kockázati kitettségértéket kell feltüntetni. A feltüntetett pó</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lólagos kockázati kitettségérték csak a pótlólagos értéket foglalhatja m</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gában (pl. ha 100 egységnyi kitettség kockázati súlya 20 % és az inté</w:t>
            </w:r>
            <w:r>
              <w:rPr>
                <w:rStyle w:val="InstructionsTabelleberschrift"/>
                <w:rFonts w:ascii="Times New Roman" w:hAnsi="Times New Roman"/>
                <w:b w:val="0"/>
                <w:sz w:val="24"/>
                <w:u w:val="none"/>
              </w:rPr>
              <w:t>z</w:t>
            </w:r>
            <w:r>
              <w:rPr>
                <w:rStyle w:val="InstructionsTabelleberschrift"/>
                <w:rFonts w:ascii="Times New Roman" w:hAnsi="Times New Roman"/>
                <w:b w:val="0"/>
                <w:sz w:val="24"/>
                <w:u w:val="none"/>
              </w:rPr>
              <w:t xml:space="preserve">mény a CRR 3. cikke alapján 50 %-os kockázati súlyt alkalmaz, akkor a feltüntetendő érték 30). </w:t>
            </w:r>
          </w:p>
        </w:tc>
      </w:tr>
      <w:tr w:rsidR="00FE6995"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241190" w:rsidRDefault="00FE6995" w:rsidP="00FD239F">
            <w:pPr>
              <w:pStyle w:val="InstructionsText"/>
              <w:rPr>
                <w:rStyle w:val="FormatvorlageInstructionsTabelleText"/>
                <w:rFonts w:ascii="Times New Roman" w:hAnsi="Times New Roman"/>
                <w:bCs w:val="0"/>
                <w:sz w:val="24"/>
              </w:rPr>
            </w:pPr>
            <w:bookmarkStart w:id="63" w:name="_Toc473560877"/>
            <w:bookmarkStart w:id="64" w:name="_Toc308175826"/>
            <w:bookmarkStart w:id="65" w:name="_Toc360188329"/>
            <w:r>
              <w:rPr>
                <w:rStyle w:val="FormatvorlageInstructionsTabelleText"/>
                <w:rFonts w:ascii="Times New Roman" w:hAnsi="Times New Roman"/>
                <w:sz w:val="24"/>
              </w:rPr>
              <w:lastRenderedPageBreak/>
              <w:t>770–900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Default="00394410" w:rsidP="00FE699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 Ebből: kockázattal súlyozott hitelkockázati kitettségérték: értékpapírosítási pozíciók (felülvizsgált értékpapírosítási szabály</w:t>
            </w:r>
            <w:r>
              <w:rPr>
                <w:rStyle w:val="InstructionsTabelleberschrift"/>
                <w:rFonts w:ascii="Times New Roman" w:hAnsi="Times New Roman"/>
                <w:sz w:val="24"/>
              </w:rPr>
              <w:t>o</w:t>
            </w:r>
            <w:r>
              <w:rPr>
                <w:rStyle w:val="InstructionsTabelleberschrift"/>
                <w:rFonts w:ascii="Times New Roman" w:hAnsi="Times New Roman"/>
                <w:sz w:val="24"/>
              </w:rPr>
              <w:t>zási keretrendszer)</w:t>
            </w:r>
          </w:p>
          <w:p w:rsidR="00FE6995" w:rsidRDefault="00FE6995" w:rsidP="00FE699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intézményeknek</w:t>
            </w:r>
            <w:r>
              <w:t xml:space="preserve"> a 770–900 sorban a 2019. január 1. utáni adatszo</w:t>
            </w:r>
            <w:r>
              <w:t>l</w:t>
            </w:r>
            <w:r>
              <w:t>gáltatási vonatkozási időpontokban kell információkat feltüntetniük.</w:t>
            </w:r>
          </w:p>
          <w:p w:rsidR="00FE6995" w:rsidRPr="0085692D" w:rsidRDefault="00FE6995" w:rsidP="00FE6995">
            <w:pPr>
              <w:pStyle w:val="InstructionsText"/>
            </w:pPr>
            <w:r>
              <w:rPr>
                <w:rStyle w:val="InstructionsTabelleberschrift"/>
                <w:rFonts w:ascii="Times New Roman" w:hAnsi="Times New Roman"/>
                <w:b w:val="0"/>
                <w:sz w:val="24"/>
                <w:u w:val="none"/>
              </w:rPr>
              <w:t>A</w:t>
            </w:r>
            <w:r>
              <w:t xml:space="preserve"> 770–900 sor a kockázattal súlyozott hitelkockázati kitettségértékeket jeleníti meg azon értékpapírosítási pozíciók esetében, amelyeknek ko</w:t>
            </w:r>
            <w:r>
              <w:t>c</w:t>
            </w:r>
            <w:r>
              <w:t>kázattal súlyozott kitettségértékét a CRR előírásai szerint kell kiszámít</w:t>
            </w:r>
            <w:r>
              <w:t>a</w:t>
            </w:r>
            <w:r>
              <w:t>ni.</w:t>
            </w:r>
          </w:p>
          <w:p w:rsidR="00FE6995" w:rsidRPr="00672D2A" w:rsidRDefault="00FE6995" w:rsidP="00FE6995">
            <w:pPr>
              <w:pStyle w:val="InstructionsText"/>
              <w:rPr>
                <w:rStyle w:val="InstructionsTabelleberschrift"/>
                <w:rFonts w:ascii="Times New Roman" w:hAnsi="Times New Roman"/>
                <w:sz w:val="24"/>
              </w:rPr>
            </w:pPr>
            <w:r>
              <w:t>A feltüntetett összegeknek meg kell felelniük a CRR harmadik része II. címének 5. fejezete szerint számított teljes kockázattal súlyozott kitettségértéknek, figyelembe véve a CRR 247. cikkének (6) bekezdés</w:t>
            </w:r>
            <w:r>
              <w:t>é</w:t>
            </w:r>
            <w:r>
              <w:t>vel összhangban alkalmazott teljes kockázati súlyt és a CRR harmadik része II. címe 5. fejezete 3. szakaszának 4. alszakaszában említett felső határokat.</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241190" w:rsidRDefault="009B591B"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rsidRPr="00807B7D">
              <w:rPr>
                <w:u w:val="single"/>
              </w:rPr>
              <w:tab/>
            </w:r>
            <w:r>
              <w:rPr>
                <w:rStyle w:val="InstructionsTabelleberschrift"/>
                <w:rFonts w:ascii="Times New Roman" w:hAnsi="Times New Roman"/>
                <w:sz w:val="24"/>
              </w:rPr>
              <w:t>Ebből: kockázattal súlyozott hitelkockázati kitettségérték: értékpapírosítási pozíciók (felülvizsgált értékpapírosítási szabály</w:t>
            </w:r>
            <w:r>
              <w:rPr>
                <w:rStyle w:val="InstructionsTabelleberschrift"/>
                <w:rFonts w:ascii="Times New Roman" w:hAnsi="Times New Roman"/>
                <w:sz w:val="24"/>
              </w:rPr>
              <w:t>o</w:t>
            </w:r>
            <w:r>
              <w:rPr>
                <w:rStyle w:val="InstructionsTabelleberschrift"/>
                <w:rFonts w:ascii="Times New Roman" w:hAnsi="Times New Roman"/>
                <w:sz w:val="24"/>
              </w:rPr>
              <w:t>zási keretrendszer)</w:t>
            </w:r>
          </w:p>
          <w:p w:rsidR="009B591B" w:rsidRPr="00241190" w:rsidRDefault="009B591B" w:rsidP="003B20D7">
            <w:pPr>
              <w:pStyle w:val="InstructionsText"/>
              <w:rPr>
                <w:rStyle w:val="InstructionsTabelleberschrift"/>
                <w:rFonts w:ascii="Times New Roman" w:hAnsi="Times New Roman"/>
                <w:bCs w:val="0"/>
                <w:sz w:val="24"/>
              </w:rPr>
            </w:pPr>
            <w:r>
              <w:t>A CRR 92. cikke (3) bekezdésének a) pontja, valamint harmadik része II. címének</w:t>
            </w:r>
            <w:r w:rsidR="00807B7D">
              <w:t xml:space="preserve"> 5. fejezete.</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w:t>
            </w:r>
            <w:r w:rsidRPr="00807B7D">
              <w:rPr>
                <w:u w:val="single"/>
              </w:rPr>
              <w:tab/>
            </w:r>
            <w:r>
              <w:rPr>
                <w:rStyle w:val="InstructionsTabelleberschrift"/>
                <w:rFonts w:ascii="Times New Roman" w:hAnsi="Times New Roman"/>
                <w:sz w:val="24"/>
              </w:rPr>
              <w:t xml:space="preserve"> Belső minősítésen alapuló módszer (SEC-IRBA)</w:t>
            </w:r>
          </w:p>
          <w:p w:rsidR="00BD661B" w:rsidRPr="0085692D" w:rsidRDefault="00BD661B" w:rsidP="00FD239F">
            <w:pPr>
              <w:pStyle w:val="InstructionsText"/>
              <w:rPr>
                <w:rStyle w:val="InstructionsTabelleberschrift"/>
                <w:rFonts w:ascii="Times New Roman" w:hAnsi="Times New Roman"/>
                <w:b w:val="0"/>
                <w:bCs w:val="0"/>
                <w:sz w:val="24"/>
                <w:u w:val="none"/>
              </w:rPr>
            </w:pPr>
            <w:r>
              <w:t>A CRR 254. cikke (1) bekezdésének a) pontja, 259. cikke és 260. cikke</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1.8.5.1.1.</w:t>
            </w:r>
            <w:r w:rsidRPr="00807B7D">
              <w:rPr>
                <w:u w:val="single"/>
              </w:rPr>
              <w:tab/>
            </w:r>
            <w:r>
              <w:rPr>
                <w:rStyle w:val="InstructionsTabelleberschrift"/>
                <w:rFonts w:ascii="Times New Roman" w:hAnsi="Times New Roman"/>
                <w:sz w:val="24"/>
              </w:rPr>
              <w:t>Differenciált tőkekövetelmény-megállapításra nem j</w:t>
            </w:r>
            <w:r>
              <w:rPr>
                <w:rStyle w:val="InstructionsTabelleberschrift"/>
                <w:rFonts w:ascii="Times New Roman" w:hAnsi="Times New Roman"/>
                <w:sz w:val="24"/>
              </w:rPr>
              <w:t>o</w:t>
            </w:r>
            <w:r>
              <w:rPr>
                <w:rStyle w:val="InstructionsTabelleberschrift"/>
                <w:rFonts w:ascii="Times New Roman" w:hAnsi="Times New Roman"/>
                <w:sz w:val="24"/>
              </w:rPr>
              <w:t>gosult értékpapírosítás</w:t>
            </w:r>
          </w:p>
          <w:p w:rsidR="003D7822" w:rsidRPr="0085692D" w:rsidRDefault="00924FE7" w:rsidP="003B20D7">
            <w:pPr>
              <w:pStyle w:val="InstructionsText"/>
              <w:rPr>
                <w:rStyle w:val="InstructionsTabelleberschrift"/>
                <w:rFonts w:ascii="Times New Roman" w:hAnsi="Times New Roman"/>
                <w:b w:val="0"/>
                <w:sz w:val="24"/>
              </w:rPr>
            </w:pPr>
            <w:r>
              <w:t>A CRR 254. cikke (1) bekezdésének a) pontja, 259. cikke</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1.8.5.1.2.</w:t>
            </w:r>
            <w:r w:rsidRPr="00807B7D">
              <w:rPr>
                <w:u w:val="single"/>
              </w:rPr>
              <w:tab/>
            </w:r>
            <w:r>
              <w:rPr>
                <w:rStyle w:val="InstructionsTabelleberschrift"/>
                <w:rFonts w:ascii="Times New Roman" w:hAnsi="Times New Roman"/>
                <w:sz w:val="24"/>
              </w:rPr>
              <w:t>Differenciált tőkekövetelmény-megállapításra jogosult STS értékpapírosítás</w:t>
            </w:r>
          </w:p>
          <w:p w:rsidR="00924FE7" w:rsidRPr="0085692D" w:rsidRDefault="00602FA5" w:rsidP="00FD239F">
            <w:pPr>
              <w:pStyle w:val="InstructionsText"/>
            </w:pPr>
            <w:r>
              <w:t>A CRR 254. cikke (1) bekezdésének a) pontja, 259. cikke és 260. cikke</w:t>
            </w:r>
          </w:p>
          <w:p w:rsidR="008B1A0F" w:rsidRPr="00241190" w:rsidRDefault="00366794" w:rsidP="003B20D7">
            <w:pPr>
              <w:pStyle w:val="InstructionsText"/>
              <w:rPr>
                <w:rStyle w:val="InstructionsTabelleberschrift"/>
                <w:rFonts w:ascii="Times New Roman" w:hAnsi="Times New Roman"/>
                <w:sz w:val="24"/>
              </w:rPr>
            </w:pPr>
            <w:r>
              <w:t>Mind a CRR 243. cikke szerint differenciált tőkekövetelmény-megállapításra jogosult STS értékpapírosítást, mind a CRR 270. cikke szerint differenciált tőkekövetelmény-megállapításra jogosult kkv-értékpapírosításban lévő előresorolt pozíciókat ebben a sorban kell fe</w:t>
            </w:r>
            <w:r>
              <w:t>l</w:t>
            </w:r>
            <w:r>
              <w:t>tüntetni.</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 Sztenderd módszer (SEC-SA)</w:t>
            </w:r>
          </w:p>
          <w:p w:rsidR="002625C0" w:rsidRPr="00241190" w:rsidRDefault="002625C0"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CRR</w:t>
            </w:r>
            <w:r>
              <w:t xml:space="preserve"> </w:t>
            </w:r>
            <w:r>
              <w:rPr>
                <w:rStyle w:val="FormatvorlageInstructionsTabelleText"/>
                <w:rFonts w:ascii="Times New Roman" w:hAnsi="Times New Roman"/>
                <w:sz w:val="24"/>
              </w:rPr>
              <w:t>254. cikke (1) bekezdésének b) pontja és (6) bekezdése, 261. cikke, 262. cikke és 269. cikke</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820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1.8.5.2.1.</w:t>
            </w:r>
            <w:r w:rsidRPr="00807B7D">
              <w:rPr>
                <w:u w:val="single"/>
              </w:rPr>
              <w:tab/>
            </w:r>
            <w:r>
              <w:rPr>
                <w:rStyle w:val="InstructionsTabelleberschrift"/>
                <w:rFonts w:ascii="Times New Roman" w:hAnsi="Times New Roman"/>
                <w:sz w:val="24"/>
              </w:rPr>
              <w:t>Differenciált tőkekövetelmény-megállapításra nem j</w:t>
            </w:r>
            <w:r>
              <w:rPr>
                <w:rStyle w:val="InstructionsTabelleberschrift"/>
                <w:rFonts w:ascii="Times New Roman" w:hAnsi="Times New Roman"/>
                <w:sz w:val="24"/>
              </w:rPr>
              <w:t>o</w:t>
            </w:r>
            <w:r>
              <w:rPr>
                <w:rStyle w:val="InstructionsTabelleberschrift"/>
                <w:rFonts w:ascii="Times New Roman" w:hAnsi="Times New Roman"/>
                <w:sz w:val="24"/>
              </w:rPr>
              <w:lastRenderedPageBreak/>
              <w:t>gosult értékpapírosítás</w:t>
            </w:r>
          </w:p>
          <w:p w:rsidR="004E6D5F" w:rsidRPr="00241190" w:rsidRDefault="004E6D5F"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CRR</w:t>
            </w:r>
            <w:r>
              <w:t xml:space="preserve"> </w:t>
            </w:r>
            <w:r>
              <w:rPr>
                <w:rStyle w:val="FormatvorlageInstructionsTabelleText"/>
                <w:rFonts w:ascii="Times New Roman" w:hAnsi="Times New Roman"/>
                <w:sz w:val="24"/>
              </w:rPr>
              <w:t>254. cikke (1) bekezdésének b) pontja és (6) bekezdése, 261. cikke és 269. cikke</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830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1.8.5.2.2.</w:t>
            </w:r>
            <w:r w:rsidRPr="00807B7D">
              <w:rPr>
                <w:u w:val="single"/>
              </w:rPr>
              <w:tab/>
            </w:r>
            <w:r>
              <w:rPr>
                <w:rStyle w:val="InstructionsTabelleberschrift"/>
                <w:rFonts w:ascii="Times New Roman" w:hAnsi="Times New Roman"/>
                <w:sz w:val="24"/>
              </w:rPr>
              <w:t>Differenciált tőkekövetelmény-megállapításra jogosult STS értékpapírosítás</w:t>
            </w:r>
          </w:p>
          <w:p w:rsidR="004E6D5F" w:rsidRPr="00220265" w:rsidRDefault="004E6D5F" w:rsidP="00FD239F">
            <w:pPr>
              <w:pStyle w:val="InstructionsText"/>
            </w:pPr>
            <w:r>
              <w:t>A CRR 254. cikke (1) bekezdésének b) pontja, 261. cikke és 262. cikke</w:t>
            </w:r>
          </w:p>
          <w:p w:rsidR="008B1A0F" w:rsidRPr="00241190" w:rsidRDefault="00366794" w:rsidP="003B20D7">
            <w:pPr>
              <w:pStyle w:val="InstructionsText"/>
              <w:rPr>
                <w:rStyle w:val="InstructionsTabelleberschrift"/>
                <w:rFonts w:ascii="Times New Roman" w:hAnsi="Times New Roman"/>
                <w:sz w:val="24"/>
              </w:rPr>
            </w:pPr>
            <w:r>
              <w:t>Mind a CRR 243. cikke szerint differenciált tőkekövetelmény-megállapításra jogosult STS értékpapírosítást, mind a CRR 270. cikke szerint differenciált tőkekövetelmény-megállapításra jogosult kkv-értékpapírosításban lévő előresorolt pozíciókat ebben a sorban kell fe</w:t>
            </w:r>
            <w:r>
              <w:t>l</w:t>
            </w:r>
            <w:r>
              <w:t>tüntetni.</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w:t>
            </w:r>
            <w:r w:rsidRPr="00807B7D">
              <w:rPr>
                <w:u w:val="single"/>
              </w:rPr>
              <w:tab/>
            </w:r>
            <w:r>
              <w:rPr>
                <w:rStyle w:val="InstructionsTabelleberschrift"/>
                <w:rFonts w:ascii="Times New Roman" w:hAnsi="Times New Roman"/>
                <w:sz w:val="24"/>
              </w:rPr>
              <w:t xml:space="preserve"> Külső minősítésen alapuló módszer (SEC-ERBA)</w:t>
            </w:r>
          </w:p>
          <w:p w:rsidR="009B591B" w:rsidRPr="00241190" w:rsidRDefault="009B591B" w:rsidP="003B20D7">
            <w:pPr>
              <w:pStyle w:val="InstructionsText"/>
              <w:rPr>
                <w:rStyle w:val="InstructionsTabelleberschrift"/>
                <w:rFonts w:ascii="Times New Roman" w:hAnsi="Times New Roman"/>
                <w:sz w:val="24"/>
              </w:rPr>
            </w:pPr>
            <w:r>
              <w:t>A CRR 254. cikke (1) bekezdésének c) pontja és (2), (3) és (4) bekezd</w:t>
            </w:r>
            <w:r>
              <w:t>é</w:t>
            </w:r>
            <w:r>
              <w:t>se, valamint 263. és 264. cikke</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1.8.5.3.1.</w:t>
            </w:r>
            <w:r w:rsidRPr="00807B7D">
              <w:rPr>
                <w:u w:val="single"/>
              </w:rPr>
              <w:tab/>
            </w:r>
            <w:r>
              <w:rPr>
                <w:rStyle w:val="InstructionsTabelleberschrift"/>
                <w:rFonts w:ascii="Times New Roman" w:hAnsi="Times New Roman"/>
                <w:sz w:val="24"/>
              </w:rPr>
              <w:t>Differenciált tőkekövetelmény-megállapításra nem j</w:t>
            </w:r>
            <w:r>
              <w:rPr>
                <w:rStyle w:val="InstructionsTabelleberschrift"/>
                <w:rFonts w:ascii="Times New Roman" w:hAnsi="Times New Roman"/>
                <w:sz w:val="24"/>
              </w:rPr>
              <w:t>o</w:t>
            </w:r>
            <w:r>
              <w:rPr>
                <w:rStyle w:val="InstructionsTabelleberschrift"/>
                <w:rFonts w:ascii="Times New Roman" w:hAnsi="Times New Roman"/>
                <w:sz w:val="24"/>
              </w:rPr>
              <w:t>gosult értékpapírosítás</w:t>
            </w:r>
          </w:p>
          <w:p w:rsidR="009B591B" w:rsidRPr="00241190" w:rsidRDefault="009B591B" w:rsidP="003B20D7">
            <w:pPr>
              <w:pStyle w:val="InstructionsText"/>
              <w:rPr>
                <w:rStyle w:val="InstructionsTabelleberschrift"/>
                <w:rFonts w:ascii="Times New Roman" w:hAnsi="Times New Roman"/>
                <w:sz w:val="24"/>
              </w:rPr>
            </w:pPr>
            <w:r>
              <w:t>A CRR 254. cikke (1) bekezdésének c) pontja és (2), (3) és (4) bekezd</w:t>
            </w:r>
            <w:r>
              <w:t>é</w:t>
            </w:r>
            <w:r>
              <w:t>se, valamint 263. cikke</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1.8.5.3.2.</w:t>
            </w:r>
            <w:r w:rsidRPr="00807B7D">
              <w:rPr>
                <w:u w:val="single"/>
              </w:rPr>
              <w:tab/>
            </w:r>
            <w:r>
              <w:rPr>
                <w:rStyle w:val="InstructionsTabelleberschrift"/>
                <w:rFonts w:ascii="Times New Roman" w:hAnsi="Times New Roman"/>
                <w:sz w:val="24"/>
              </w:rPr>
              <w:t>Differenciált tőkekövetelmény-megállapításra jogosult STS értékpapírosítás</w:t>
            </w:r>
          </w:p>
          <w:p w:rsidR="009B591B" w:rsidRPr="00220265" w:rsidRDefault="009B591B" w:rsidP="00FD239F">
            <w:pPr>
              <w:pStyle w:val="InstructionsText"/>
            </w:pPr>
            <w:r>
              <w:t>A CRR 254. cikke (1) bekezdésének c) pontja és (2), (3) és (4) bekezd</w:t>
            </w:r>
            <w:r>
              <w:t>é</w:t>
            </w:r>
            <w:r>
              <w:t>se, valamint 263. és 264. cikke</w:t>
            </w:r>
          </w:p>
          <w:p w:rsidR="009B591B" w:rsidRPr="00241190" w:rsidRDefault="009B591B" w:rsidP="003B20D7">
            <w:pPr>
              <w:pStyle w:val="InstructionsText"/>
              <w:rPr>
                <w:rStyle w:val="InstructionsTabelleberschrift"/>
                <w:rFonts w:ascii="Times New Roman" w:hAnsi="Times New Roman"/>
                <w:sz w:val="24"/>
              </w:rPr>
            </w:pPr>
            <w:r>
              <w:t>Mind a CRR 243. cikke szerint differenciált tőkekövetelmény-megállapításra jogosult STS értékpapírosítást, mind a CRR 270. cikke szerint differenciált tőkekövetelmény-megállapításra jogosult kkv-értékpapírosításban lévő előresorolt pozíciókat ebben a sorban kell fe</w:t>
            </w:r>
            <w:r>
              <w:t>l</w:t>
            </w:r>
            <w:r>
              <w:t>tüntetni.</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w:t>
            </w:r>
            <w:r w:rsidRPr="00807B7D">
              <w:rPr>
                <w:u w:val="single"/>
              </w:rPr>
              <w:tab/>
            </w:r>
            <w:r>
              <w:rPr>
                <w:rStyle w:val="InstructionsTabelleberschrift"/>
                <w:rFonts w:ascii="Times New Roman" w:hAnsi="Times New Roman"/>
                <w:sz w:val="24"/>
              </w:rPr>
              <w:t xml:space="preserve"> Belső értékelési módszer (IAA)</w:t>
            </w:r>
          </w:p>
          <w:p w:rsidR="009B591B" w:rsidRPr="00241190" w:rsidRDefault="009B591B" w:rsidP="003B20D7">
            <w:pPr>
              <w:pStyle w:val="InstructionsText"/>
              <w:rPr>
                <w:rStyle w:val="InstructionsTabelleberschrift"/>
                <w:rFonts w:ascii="Times New Roman" w:hAnsi="Times New Roman"/>
                <w:sz w:val="24"/>
              </w:rPr>
            </w:pPr>
            <w:r>
              <w:t>A CRR 254. cikkének (5) bekezdése, 265. cikke, valamint 266. cikke</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1.8.5.4.1.</w:t>
            </w:r>
            <w:r w:rsidRPr="00807B7D">
              <w:rPr>
                <w:u w:val="single"/>
              </w:rPr>
              <w:tab/>
            </w:r>
            <w:r>
              <w:rPr>
                <w:rStyle w:val="InstructionsTabelleberschrift"/>
                <w:rFonts w:ascii="Times New Roman" w:hAnsi="Times New Roman"/>
                <w:sz w:val="24"/>
              </w:rPr>
              <w:t>Differenciált tőkekövetelmény-megállapításra nem j</w:t>
            </w:r>
            <w:r>
              <w:rPr>
                <w:rStyle w:val="InstructionsTabelleberschrift"/>
                <w:rFonts w:ascii="Times New Roman" w:hAnsi="Times New Roman"/>
                <w:sz w:val="24"/>
              </w:rPr>
              <w:t>o</w:t>
            </w:r>
            <w:r>
              <w:rPr>
                <w:rStyle w:val="InstructionsTabelleberschrift"/>
                <w:rFonts w:ascii="Times New Roman" w:hAnsi="Times New Roman"/>
                <w:sz w:val="24"/>
              </w:rPr>
              <w:t>gosult értékpapírosítás</w:t>
            </w:r>
          </w:p>
          <w:p w:rsidR="009B591B" w:rsidRPr="00220265" w:rsidRDefault="009B591B" w:rsidP="003B20D7">
            <w:pPr>
              <w:pStyle w:val="InstructionsText"/>
              <w:rPr>
                <w:rStyle w:val="InstructionsTabelleberschrift"/>
                <w:rFonts w:ascii="Times New Roman" w:hAnsi="Times New Roman"/>
                <w:b w:val="0"/>
                <w:sz w:val="24"/>
                <w:u w:val="none"/>
              </w:rPr>
            </w:pPr>
            <w:r>
              <w:t>A CRR 254. cikkének (5) bekezdése, 265. cikke, valamint 266. cikke</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1.8.5.4.2.</w:t>
            </w:r>
            <w:r w:rsidRPr="00807B7D">
              <w:rPr>
                <w:u w:val="single"/>
              </w:rPr>
              <w:tab/>
            </w:r>
            <w:r>
              <w:rPr>
                <w:rStyle w:val="InstructionsTabelleberschrift"/>
                <w:rFonts w:ascii="Times New Roman" w:hAnsi="Times New Roman"/>
                <w:sz w:val="24"/>
              </w:rPr>
              <w:t>Differenciált tőkekövetelmény-megállapításra jogosult STS értékpapírosítás</w:t>
            </w:r>
          </w:p>
          <w:p w:rsidR="009B591B" w:rsidRPr="00220265" w:rsidRDefault="009B591B" w:rsidP="00FD239F">
            <w:pPr>
              <w:pStyle w:val="InstructionsText"/>
            </w:pPr>
            <w:r>
              <w:t>A CRR 254. cikkének (5) bekezdése, 265. cikke, valamint 266. cikke</w:t>
            </w:r>
          </w:p>
          <w:p w:rsidR="009B591B" w:rsidRPr="00241190" w:rsidRDefault="009B591B" w:rsidP="003B20D7">
            <w:pPr>
              <w:pStyle w:val="InstructionsText"/>
              <w:rPr>
                <w:rStyle w:val="InstructionsTabelleberschrift"/>
                <w:rFonts w:ascii="Times New Roman" w:hAnsi="Times New Roman"/>
                <w:sz w:val="24"/>
              </w:rPr>
            </w:pPr>
            <w:r>
              <w:t>Mind a CRR 243. cikke szerint differenciált tőkekövetelmény-megállapításra jogosult STS értékpapírosítást, mind a CRR 270. cikke szerint differenciált tőkekövetelmény-megállapításra jogosult kkv-értékpapírosításban lévő előresorolt pozíciókat ebben a sorban kell fe</w:t>
            </w:r>
            <w:r>
              <w:t>l</w:t>
            </w:r>
            <w:r>
              <w:t>tüntetni.</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1.8.5.5.</w:t>
            </w:r>
            <w:r w:rsidRPr="00807B7D">
              <w:rPr>
                <w:u w:val="single"/>
              </w:rPr>
              <w:tab/>
            </w:r>
            <w:r>
              <w:rPr>
                <w:rStyle w:val="InstructionsTabelleberschrift"/>
                <w:rFonts w:ascii="Times New Roman" w:hAnsi="Times New Roman"/>
                <w:sz w:val="24"/>
              </w:rPr>
              <w:t>Egyéb (kockázati súly = 1 250 %)</w:t>
            </w:r>
          </w:p>
          <w:p w:rsidR="009B591B" w:rsidRPr="00241190" w:rsidRDefault="009B591B" w:rsidP="003B20D7">
            <w:pPr>
              <w:pStyle w:val="InstructionsText"/>
              <w:rPr>
                <w:rStyle w:val="InstructionsTabelleberschrift"/>
                <w:rFonts w:ascii="Times New Roman" w:hAnsi="Times New Roman"/>
                <w:sz w:val="24"/>
              </w:rPr>
            </w:pPr>
            <w:r>
              <w:lastRenderedPageBreak/>
              <w:t>A CRR 254. cikkének (7) bekezdése</w:t>
            </w:r>
          </w:p>
        </w:tc>
      </w:tr>
      <w:tr w:rsidR="00BB3CBE"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241190" w:rsidRDefault="00BB3CB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910–1040</w:t>
            </w:r>
          </w:p>
        </w:tc>
        <w:tc>
          <w:tcPr>
            <w:tcW w:w="7274" w:type="dxa"/>
            <w:tcBorders>
              <w:top w:val="nil"/>
              <w:left w:val="nil"/>
              <w:bottom w:val="single" w:sz="4" w:space="0" w:color="auto"/>
              <w:right w:val="single" w:sz="4" w:space="0" w:color="auto"/>
            </w:tcBorders>
            <w:shd w:val="clear" w:color="auto" w:fill="auto"/>
            <w:vAlign w:val="center"/>
          </w:tcPr>
          <w:p w:rsidR="00153BEC" w:rsidRDefault="0039441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 Ebből: Pozíciókockázat teljes kockázati kitettségértéke: fo</w:t>
            </w:r>
            <w:r>
              <w:rPr>
                <w:rStyle w:val="InstructionsTabelleberschrift"/>
                <w:rFonts w:ascii="Times New Roman" w:hAnsi="Times New Roman"/>
                <w:sz w:val="24"/>
              </w:rPr>
              <w:t>r</w:t>
            </w:r>
            <w:r>
              <w:rPr>
                <w:rStyle w:val="InstructionsTabelleberschrift"/>
                <w:rFonts w:ascii="Times New Roman" w:hAnsi="Times New Roman"/>
                <w:sz w:val="24"/>
              </w:rPr>
              <w:t>galmazott, hitelviszonyt megtestesítő instrumentumok – értékpap</w:t>
            </w:r>
            <w:r>
              <w:rPr>
                <w:rStyle w:val="InstructionsTabelleberschrift"/>
                <w:rFonts w:ascii="Times New Roman" w:hAnsi="Times New Roman"/>
                <w:sz w:val="24"/>
              </w:rPr>
              <w:t>í</w:t>
            </w:r>
            <w:r>
              <w:rPr>
                <w:rStyle w:val="InstructionsTabelleberschrift"/>
                <w:rFonts w:ascii="Times New Roman" w:hAnsi="Times New Roman"/>
                <w:sz w:val="24"/>
              </w:rPr>
              <w:t>rosított eszközök egyedi kockázata (felülvizsgált értékpapírosítási szabályozási keretrendszer)</w:t>
            </w:r>
          </w:p>
          <w:p w:rsidR="002A6913" w:rsidRPr="002A6913" w:rsidRDefault="002A6913" w:rsidP="00FD239F">
            <w:pPr>
              <w:pStyle w:val="InstructionsText"/>
              <w:rPr>
                <w:bCs/>
              </w:rPr>
            </w:pPr>
            <w:r>
              <w:rPr>
                <w:rStyle w:val="InstructionsTabelleberschrift"/>
                <w:rFonts w:ascii="Times New Roman" w:hAnsi="Times New Roman"/>
                <w:b w:val="0"/>
                <w:sz w:val="24"/>
                <w:u w:val="none"/>
              </w:rPr>
              <w:t>Az intézményeknek</w:t>
            </w:r>
            <w:r>
              <w:t xml:space="preserve"> a 910–1040 sorban a 2019. január 1. utáni adatszo</w:t>
            </w:r>
            <w:r>
              <w:t>l</w:t>
            </w:r>
            <w:r>
              <w:t>gáltatási vonatkozási időpontokban kell információkat feltüntetniük.</w:t>
            </w:r>
          </w:p>
          <w:p w:rsidR="004E2BE7" w:rsidRPr="00220265" w:rsidRDefault="004E2BE7" w:rsidP="00FD239F">
            <w:pPr>
              <w:pStyle w:val="InstructionsText"/>
            </w:pPr>
            <w:r>
              <w:t>A 910–1040 sor a kockázattal súlyozott kitettségértékeket foglalja mag</w:t>
            </w:r>
            <w:r>
              <w:t>á</w:t>
            </w:r>
            <w:r>
              <w:t>ban a kereskedési könyvben lévő azon értékpapírosítási pozíciók eset</w:t>
            </w:r>
            <w:r>
              <w:t>é</w:t>
            </w:r>
            <w:r>
              <w:t>ben, amelyeknek teljes kockázati kitettségértékét a CRR előírásainak megfelelően kell kiszámítani. Ugyanakkor a módosított CRR 338. cikk</w:t>
            </w:r>
            <w:r>
              <w:t>é</w:t>
            </w:r>
            <w:r>
              <w:t>nek megfelelően a korrelációkereskedési portfólióra vonatkozó szavatolótőke-követelmény hatálya alá tartozó értékpapírosítási pozíci</w:t>
            </w:r>
            <w:r>
              <w:t>ó</w:t>
            </w:r>
            <w:r>
              <w:t>kat nem ezekben a sorokban, hanem a MKR SA CTP táblában kell fe</w:t>
            </w:r>
            <w:r>
              <w:t>l</w:t>
            </w:r>
            <w:r>
              <w:t>tüntetni.</w:t>
            </w:r>
          </w:p>
          <w:p w:rsidR="004E2BE7" w:rsidRPr="00220265" w:rsidRDefault="004E2BE7" w:rsidP="00FD239F">
            <w:pPr>
              <w:pStyle w:val="InstructionsText"/>
            </w:pPr>
            <w:r>
              <w:t>A feltüntetett összegeknek meg kell felelniük a teljes kockázati kitettségértéknek, amely a CRR 337. cikkének megfelelően kiszámított szavatolótőke-követelmény szorozva 12,5-del. A feltüntetett összegnek figyelembe kell vennie a CRR 337. cikkének (3) bekezdése szerint a</w:t>
            </w:r>
            <w:r>
              <w:t>l</w:t>
            </w:r>
            <w:r>
              <w:t>kalmazandó teljes kockázati súlyt, valamint a CRR 335. cikke szerint a nettó pozícióhoz kapcsolódó szavatolótőke-követelmény korlátozását.</w:t>
            </w:r>
          </w:p>
          <w:p w:rsidR="007A1E2E" w:rsidRPr="00241190" w:rsidRDefault="007A1E2E" w:rsidP="002A6913">
            <w:pPr>
              <w:pStyle w:val="InstructionsText"/>
              <w:rPr>
                <w:rStyle w:val="InstructionsTabelleberschrift"/>
                <w:rFonts w:ascii="Times New Roman" w:hAnsi="Times New Roman"/>
                <w:bCs w:val="0"/>
                <w:sz w:val="24"/>
              </w:rPr>
            </w:pPr>
            <w:r>
              <w:t>A kockázati súlyoknak a CRR 337. cikke szerinti meghatározásával összhangban a kereskedési könyvben lévő, értékpapírosítási pozíciót j</w:t>
            </w:r>
            <w:r>
              <w:t>e</w:t>
            </w:r>
            <w:r>
              <w:t>lentő eszközökre vonatkozó szavatolótőke-követelmények kiszámítás</w:t>
            </w:r>
            <w:r>
              <w:t>á</w:t>
            </w:r>
            <w:r>
              <w:t>hoz alkalmazott módszert azon módszerként kell meghatározni, amelyet az intézmény a nem kereskedési könyvi pozíciójára alkalmazna.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rsidRPr="00807B7D">
              <w:rPr>
                <w:u w:val="single"/>
              </w:rPr>
              <w:tab/>
            </w:r>
            <w:r>
              <w:rPr>
                <w:rStyle w:val="InstructionsTabelleberschrift"/>
                <w:rFonts w:ascii="Times New Roman" w:hAnsi="Times New Roman"/>
                <w:sz w:val="24"/>
              </w:rPr>
              <w:t>Ebből: Pozíciókockázat teljes kockázati kitettségértéke: fo</w:t>
            </w:r>
            <w:r>
              <w:rPr>
                <w:rStyle w:val="InstructionsTabelleberschrift"/>
                <w:rFonts w:ascii="Times New Roman" w:hAnsi="Times New Roman"/>
                <w:sz w:val="24"/>
              </w:rPr>
              <w:t>r</w:t>
            </w:r>
            <w:r>
              <w:rPr>
                <w:rStyle w:val="InstructionsTabelleberschrift"/>
                <w:rFonts w:ascii="Times New Roman" w:hAnsi="Times New Roman"/>
                <w:sz w:val="24"/>
              </w:rPr>
              <w:t>galmazott, hitelviszonyt megtestesítő instrumentumok – értékpap</w:t>
            </w:r>
            <w:r>
              <w:rPr>
                <w:rStyle w:val="InstructionsTabelleberschrift"/>
                <w:rFonts w:ascii="Times New Roman" w:hAnsi="Times New Roman"/>
                <w:sz w:val="24"/>
              </w:rPr>
              <w:t>í</w:t>
            </w:r>
            <w:r>
              <w:rPr>
                <w:rStyle w:val="InstructionsTabelleberschrift"/>
                <w:rFonts w:ascii="Times New Roman" w:hAnsi="Times New Roman"/>
                <w:sz w:val="24"/>
              </w:rPr>
              <w:t>rosított eszközök egyedi kockázata (felülvizsgált értékpapírosítási szabályozási keretrendszer)</w:t>
            </w:r>
          </w:p>
          <w:p w:rsidR="00BB3CBE" w:rsidRPr="00241190" w:rsidRDefault="00BB3CBE" w:rsidP="002A6913">
            <w:pPr>
              <w:pStyle w:val="InstructionsText"/>
              <w:rPr>
                <w:rStyle w:val="InstructionsTabelleberschrift"/>
                <w:rFonts w:ascii="Times New Roman" w:hAnsi="Times New Roman"/>
                <w:sz w:val="24"/>
              </w:rPr>
            </w:pPr>
            <w:r>
              <w:t>A CRR 92. cikke (3) bekezdése b) pontjának i. alpontja és (4) bekezdése, 335. cikke és 337. cikke</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w:t>
            </w:r>
            <w:r w:rsidRPr="00807B7D">
              <w:rPr>
                <w:u w:val="single"/>
              </w:rPr>
              <w:tab/>
            </w:r>
            <w:r>
              <w:rPr>
                <w:rStyle w:val="InstructionsTabelleberschrift"/>
                <w:rFonts w:ascii="Times New Roman" w:hAnsi="Times New Roman"/>
                <w:sz w:val="24"/>
              </w:rPr>
              <w:t>Belső minősítésen alapuló módszer (SEC-IRBA)</w:t>
            </w:r>
          </w:p>
          <w:p w:rsidR="007A1E2E" w:rsidRPr="00241190" w:rsidRDefault="007A1E2E" w:rsidP="002A6913">
            <w:pPr>
              <w:pStyle w:val="InstructionsText"/>
              <w:rPr>
                <w:rStyle w:val="InstructionsTabelleberschrift"/>
                <w:rFonts w:ascii="Times New Roman" w:hAnsi="Times New Roman"/>
                <w:sz w:val="24"/>
              </w:rPr>
            </w:pPr>
            <w:r>
              <w:t>A CRR 254. cikke (1) bekezdésének a) pontja, valamint 259. cikke, 260. cikke és 337. cikke</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1.8.6.1.1.</w:t>
            </w:r>
            <w:r w:rsidRPr="00807B7D">
              <w:rPr>
                <w:u w:val="single"/>
              </w:rPr>
              <w:tab/>
            </w:r>
            <w:r>
              <w:rPr>
                <w:rStyle w:val="InstructionsTabelleberschrift"/>
                <w:rFonts w:ascii="Times New Roman" w:hAnsi="Times New Roman"/>
                <w:sz w:val="24"/>
              </w:rPr>
              <w:t>Differenciált tőkekövetelmény-megállapításra nem j</w:t>
            </w:r>
            <w:r>
              <w:rPr>
                <w:rStyle w:val="InstructionsTabelleberschrift"/>
                <w:rFonts w:ascii="Times New Roman" w:hAnsi="Times New Roman"/>
                <w:sz w:val="24"/>
              </w:rPr>
              <w:t>o</w:t>
            </w:r>
            <w:r>
              <w:rPr>
                <w:rStyle w:val="InstructionsTabelleberschrift"/>
                <w:rFonts w:ascii="Times New Roman" w:hAnsi="Times New Roman"/>
                <w:sz w:val="24"/>
              </w:rPr>
              <w:t>gosult értékpapírosítás</w:t>
            </w:r>
          </w:p>
          <w:p w:rsidR="007A1E2E" w:rsidRPr="00241190" w:rsidRDefault="007A1E2E" w:rsidP="002A6913">
            <w:pPr>
              <w:pStyle w:val="InstructionsText"/>
              <w:rPr>
                <w:rStyle w:val="InstructionsTabelleberschrift"/>
                <w:rFonts w:ascii="Times New Roman" w:hAnsi="Times New Roman"/>
                <w:sz w:val="24"/>
              </w:rPr>
            </w:pPr>
            <w:r>
              <w:t>A CRR 254. cikke (1) bekezdésének a) pontja, 259. cikke és 337. cikke</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1.8.6.1.2.</w:t>
            </w:r>
            <w:r w:rsidRPr="00807B7D">
              <w:rPr>
                <w:u w:val="single"/>
              </w:rPr>
              <w:tab/>
            </w:r>
            <w:r>
              <w:rPr>
                <w:rStyle w:val="InstructionsTabelleberschrift"/>
                <w:rFonts w:ascii="Times New Roman" w:hAnsi="Times New Roman"/>
                <w:sz w:val="24"/>
              </w:rPr>
              <w:t>Differenciált tőkekövetelmény-megállapításra jogosult STS értékpapírosítás</w:t>
            </w:r>
          </w:p>
          <w:p w:rsidR="007A1E2E" w:rsidRPr="00220265" w:rsidRDefault="007A1E2E" w:rsidP="00FD239F">
            <w:pPr>
              <w:pStyle w:val="InstructionsText"/>
            </w:pPr>
            <w:r>
              <w:t>A CRR 254. cikke (1) bekezdésének a) pontja, valamint 259. cikke, 260. cikke és 337. cikke</w:t>
            </w:r>
          </w:p>
          <w:p w:rsidR="007A1E2E" w:rsidRPr="00241190" w:rsidRDefault="007A1E2E" w:rsidP="00FD239F">
            <w:pPr>
              <w:pStyle w:val="InstructionsText"/>
              <w:rPr>
                <w:rStyle w:val="InstructionsTabelleberschrift"/>
                <w:rFonts w:ascii="Times New Roman" w:hAnsi="Times New Roman"/>
                <w:sz w:val="24"/>
              </w:rPr>
            </w:pPr>
            <w:r>
              <w:t xml:space="preserve">Mind a CRR 243. cikke szerint differenciált tőkekövetelmény-megállapításra jogosult STS értékpapírosítást, mind a CRR 270. cikke </w:t>
            </w:r>
            <w:r>
              <w:lastRenderedPageBreak/>
              <w:t>szerint differenciált tőkekövetelmény-megállapításra jogosult kkv-értékpapírosításban lévő előresorolt pozíciókat ebben a sorban kell fe</w:t>
            </w:r>
            <w:r>
              <w:t>l</w:t>
            </w:r>
            <w:r>
              <w:t>tüntetni.</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w:t>
            </w:r>
            <w:r w:rsidRPr="00807B7D">
              <w:rPr>
                <w:u w:val="single"/>
              </w:rPr>
              <w:tab/>
            </w:r>
            <w:r>
              <w:rPr>
                <w:rStyle w:val="InstructionsTabelleberschrift"/>
                <w:rFonts w:ascii="Times New Roman" w:hAnsi="Times New Roman"/>
                <w:sz w:val="24"/>
              </w:rPr>
              <w:t>Sztenderd módszer (SEC-SA)</w:t>
            </w:r>
          </w:p>
          <w:p w:rsidR="007A1E2E" w:rsidRPr="00241190" w:rsidRDefault="007A1E2E" w:rsidP="002A6913">
            <w:pPr>
              <w:pStyle w:val="InstructionsText"/>
              <w:rPr>
                <w:rStyle w:val="InstructionsTabelleberschrift"/>
                <w:rFonts w:ascii="Times New Roman" w:hAnsi="Times New Roman"/>
                <w:sz w:val="24"/>
              </w:rPr>
            </w:pPr>
            <w:r>
              <w:t>A CRR 254. cikke (1) bekezdésének b) pontja és (6) bekezdése, valamint 261., 262., 269. és 337. cikke</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1.8.6.2.1.</w:t>
            </w:r>
            <w:r w:rsidRPr="00807B7D">
              <w:rPr>
                <w:u w:val="single"/>
              </w:rPr>
              <w:tab/>
            </w:r>
            <w:r>
              <w:rPr>
                <w:rStyle w:val="InstructionsTabelleberschrift"/>
                <w:rFonts w:ascii="Times New Roman" w:hAnsi="Times New Roman"/>
                <w:sz w:val="24"/>
              </w:rPr>
              <w:t>Differenciált tőkekövetelmény-megállapításra nem j</w:t>
            </w:r>
            <w:r>
              <w:rPr>
                <w:rStyle w:val="InstructionsTabelleberschrift"/>
                <w:rFonts w:ascii="Times New Roman" w:hAnsi="Times New Roman"/>
                <w:sz w:val="24"/>
              </w:rPr>
              <w:t>o</w:t>
            </w:r>
            <w:r>
              <w:rPr>
                <w:rStyle w:val="InstructionsTabelleberschrift"/>
                <w:rFonts w:ascii="Times New Roman" w:hAnsi="Times New Roman"/>
                <w:sz w:val="24"/>
              </w:rPr>
              <w:t>gosult értékpapírosítás</w:t>
            </w:r>
          </w:p>
          <w:p w:rsidR="007A1E2E" w:rsidRPr="00241190" w:rsidRDefault="007A1E2E" w:rsidP="002A6913">
            <w:pPr>
              <w:pStyle w:val="InstructionsText"/>
              <w:rPr>
                <w:rStyle w:val="InstructionsTabelleberschrift"/>
                <w:rFonts w:ascii="Times New Roman" w:hAnsi="Times New Roman"/>
                <w:sz w:val="24"/>
              </w:rPr>
            </w:pPr>
            <w:r>
              <w:t>A CRR 254. cikke (1) bekezdésének b) pontja és (6) bekezdése, 261. cikke, 269. cikke és 337. cikke</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1.8.6.2.2.</w:t>
            </w:r>
            <w:r w:rsidRPr="00807B7D">
              <w:rPr>
                <w:u w:val="single"/>
              </w:rPr>
              <w:tab/>
            </w:r>
            <w:r>
              <w:rPr>
                <w:rStyle w:val="InstructionsTabelleberschrift"/>
                <w:rFonts w:ascii="Times New Roman" w:hAnsi="Times New Roman"/>
                <w:sz w:val="24"/>
              </w:rPr>
              <w:t>Differenciált tőkekövetelmény-megállapításra jogosult STS értékpapírosítás</w:t>
            </w:r>
          </w:p>
          <w:p w:rsidR="007A1E2E" w:rsidRPr="00220265" w:rsidRDefault="007A1E2E" w:rsidP="00FD239F">
            <w:pPr>
              <w:pStyle w:val="InstructionsText"/>
            </w:pPr>
            <w:r>
              <w:t>A CRR 254. cikke (1) bekezdésének b) pontja, valamint 261., 262. és 337. cikke</w:t>
            </w:r>
          </w:p>
          <w:p w:rsidR="007A1E2E" w:rsidRPr="00241190" w:rsidRDefault="007A1E2E" w:rsidP="00FD239F">
            <w:pPr>
              <w:pStyle w:val="InstructionsText"/>
              <w:rPr>
                <w:rStyle w:val="InstructionsTabelleberschrift"/>
                <w:rFonts w:ascii="Times New Roman" w:hAnsi="Times New Roman"/>
                <w:sz w:val="24"/>
              </w:rPr>
            </w:pPr>
            <w:r>
              <w:t>Mind a CRR 243. cikke szerint differenciált tőkekövetelmény-megállapításra jogosult STS értékpapírosítást, mind a CRR 270. cikke szerint differenciált tőkekövetelmény-megállapításra jogosult kkv-értékpapírosításban lévő előresorolt pozíciókat ebben a sorban kell fe</w:t>
            </w:r>
            <w:r>
              <w:t>l</w:t>
            </w:r>
            <w:r>
              <w:t>tüntetni.</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w:t>
            </w:r>
            <w:r w:rsidRPr="00807B7D">
              <w:rPr>
                <w:u w:val="single"/>
              </w:rPr>
              <w:tab/>
            </w:r>
            <w:r>
              <w:rPr>
                <w:rStyle w:val="InstructionsTabelleberschrift"/>
                <w:rFonts w:ascii="Times New Roman" w:hAnsi="Times New Roman"/>
                <w:sz w:val="24"/>
              </w:rPr>
              <w:t>Külső minősítésen alapuló módszer (SEC-ERBA)</w:t>
            </w:r>
          </w:p>
          <w:p w:rsidR="007A1E2E" w:rsidRPr="00241190" w:rsidRDefault="007A1E2E" w:rsidP="002A6913">
            <w:pPr>
              <w:pStyle w:val="InstructionsText"/>
              <w:rPr>
                <w:rStyle w:val="InstructionsTabelleberschrift"/>
                <w:rFonts w:ascii="Times New Roman" w:hAnsi="Times New Roman"/>
                <w:sz w:val="24"/>
              </w:rPr>
            </w:pPr>
            <w:r>
              <w:t>A CRR 254. cikke (1) bekezdésének c) pontja és (2), (3) és (4) bekezd</w:t>
            </w:r>
            <w:r>
              <w:t>é</w:t>
            </w:r>
            <w:r>
              <w:t>se, valamint 263., 264. és 337. cikke</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1.8.6.3.1.</w:t>
            </w:r>
            <w:r w:rsidRPr="00807B7D">
              <w:rPr>
                <w:u w:val="single"/>
              </w:rPr>
              <w:tab/>
            </w:r>
            <w:r>
              <w:rPr>
                <w:rStyle w:val="InstructionsTabelleberschrift"/>
                <w:rFonts w:ascii="Times New Roman" w:hAnsi="Times New Roman"/>
                <w:sz w:val="24"/>
              </w:rPr>
              <w:t>Differenciált tőkekövetelmény-megállapításra nem j</w:t>
            </w:r>
            <w:r>
              <w:rPr>
                <w:rStyle w:val="InstructionsTabelleberschrift"/>
                <w:rFonts w:ascii="Times New Roman" w:hAnsi="Times New Roman"/>
                <w:sz w:val="24"/>
              </w:rPr>
              <w:t>o</w:t>
            </w:r>
            <w:r>
              <w:rPr>
                <w:rStyle w:val="InstructionsTabelleberschrift"/>
                <w:rFonts w:ascii="Times New Roman" w:hAnsi="Times New Roman"/>
                <w:sz w:val="24"/>
              </w:rPr>
              <w:t>gosult értékpapírosítás</w:t>
            </w:r>
          </w:p>
          <w:p w:rsidR="007A1E2E" w:rsidRPr="00241190" w:rsidRDefault="007A1E2E" w:rsidP="002A6913">
            <w:pPr>
              <w:pStyle w:val="InstructionsText"/>
              <w:rPr>
                <w:rStyle w:val="InstructionsTabelleberschrift"/>
                <w:rFonts w:ascii="Times New Roman" w:hAnsi="Times New Roman"/>
                <w:sz w:val="24"/>
              </w:rPr>
            </w:pPr>
            <w:r>
              <w:t>A CRR 254. cikke (1) bekezdésének c) pontja és (2), (3) és (4) bekezd</w:t>
            </w:r>
            <w:r>
              <w:t>é</w:t>
            </w:r>
            <w:r>
              <w:t>se, valamint 263. és 337. cikke</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1.8.6.3.2.</w:t>
            </w:r>
            <w:r w:rsidRPr="00807B7D">
              <w:rPr>
                <w:u w:val="single"/>
              </w:rPr>
              <w:tab/>
            </w:r>
            <w:r>
              <w:rPr>
                <w:rStyle w:val="InstructionsTabelleberschrift"/>
                <w:rFonts w:ascii="Times New Roman" w:hAnsi="Times New Roman"/>
                <w:sz w:val="24"/>
              </w:rPr>
              <w:t>Differenciált tőkekövetelmény-megállapításra jogosult STS értékpapírosítás</w:t>
            </w:r>
          </w:p>
          <w:p w:rsidR="007A1E2E" w:rsidRPr="00220265" w:rsidRDefault="007A1E2E" w:rsidP="00FD239F">
            <w:pPr>
              <w:pStyle w:val="InstructionsText"/>
            </w:pPr>
            <w:r>
              <w:t>A CRR 254. cikke (1) bekezdésének c) pontja és (2), (3) és (4) bekezd</w:t>
            </w:r>
            <w:r>
              <w:t>é</w:t>
            </w:r>
            <w:r>
              <w:t>se, valamint 263., 264. és 337. cikke</w:t>
            </w:r>
          </w:p>
          <w:p w:rsidR="007A1E2E" w:rsidRPr="00241190" w:rsidRDefault="007A1E2E" w:rsidP="002A6913">
            <w:pPr>
              <w:pStyle w:val="InstructionsText"/>
              <w:rPr>
                <w:rStyle w:val="InstructionsTabelleberschrift"/>
                <w:rFonts w:ascii="Times New Roman" w:hAnsi="Times New Roman"/>
                <w:sz w:val="24"/>
              </w:rPr>
            </w:pPr>
            <w:r>
              <w:t>Mind a CRR 243. cikke szerint differenciált tőkekövetelmény-megállapításra jogosult STS értékpapírosítást, mind a CRR 270. cikke szerint differenciált tőkekövetelmény-megállapításra jogosult kkv-értékpapírosításban lévő előresorolt pozíciókat ebben a sorban kell fe</w:t>
            </w:r>
            <w:r>
              <w:t>l</w:t>
            </w:r>
            <w:r>
              <w:t>tüntetni.</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1010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w:t>
            </w:r>
            <w:r w:rsidRPr="003B2F3E">
              <w:rPr>
                <w:u w:val="single"/>
              </w:rPr>
              <w:tab/>
            </w:r>
            <w:r>
              <w:rPr>
                <w:rStyle w:val="InstructionsTabelleberschrift"/>
                <w:rFonts w:ascii="Times New Roman" w:hAnsi="Times New Roman"/>
                <w:sz w:val="24"/>
              </w:rPr>
              <w:t>Belső értékelési módszer (IAA)</w:t>
            </w:r>
          </w:p>
          <w:p w:rsidR="007A1E2E" w:rsidRPr="00241190" w:rsidRDefault="007A1E2E" w:rsidP="002A6913">
            <w:pPr>
              <w:pStyle w:val="InstructionsText"/>
              <w:rPr>
                <w:rStyle w:val="InstructionsTabelleberschrift"/>
                <w:rFonts w:ascii="Times New Roman" w:hAnsi="Times New Roman"/>
                <w:sz w:val="24"/>
              </w:rPr>
            </w:pPr>
            <w:r>
              <w:t>A CRR 254. cikkének (5) bekezdése, valamint 265., 266. és 337. cikke</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1020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1.8.6.4.1.</w:t>
            </w:r>
            <w:r w:rsidRPr="003B2F3E">
              <w:rPr>
                <w:u w:val="single"/>
              </w:rPr>
              <w:tab/>
            </w:r>
            <w:r>
              <w:rPr>
                <w:rStyle w:val="InstructionsTabelleberschrift"/>
                <w:rFonts w:ascii="Times New Roman" w:hAnsi="Times New Roman"/>
                <w:sz w:val="24"/>
              </w:rPr>
              <w:t>Differenciált tőkekövetelmény-megállapításra nem j</w:t>
            </w:r>
            <w:r>
              <w:rPr>
                <w:rStyle w:val="InstructionsTabelleberschrift"/>
                <w:rFonts w:ascii="Times New Roman" w:hAnsi="Times New Roman"/>
                <w:sz w:val="24"/>
              </w:rPr>
              <w:t>o</w:t>
            </w:r>
            <w:r>
              <w:rPr>
                <w:rStyle w:val="InstructionsTabelleberschrift"/>
                <w:rFonts w:ascii="Times New Roman" w:hAnsi="Times New Roman"/>
                <w:sz w:val="24"/>
              </w:rPr>
              <w:t>gosult értékpapírosítás</w:t>
            </w:r>
          </w:p>
          <w:p w:rsidR="007A1E2E" w:rsidRPr="00241190" w:rsidRDefault="007A1E2E" w:rsidP="002A6913">
            <w:pPr>
              <w:pStyle w:val="InstructionsText"/>
              <w:rPr>
                <w:rStyle w:val="InstructionsTabelleberschrift"/>
                <w:rFonts w:ascii="Times New Roman" w:hAnsi="Times New Roman"/>
                <w:sz w:val="24"/>
              </w:rPr>
            </w:pPr>
            <w:r>
              <w:t>A CRR 254. cikkének (5) bekezdése, valamint 265., 266. és 337. cikke</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1030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1.8.6.4.2.</w:t>
            </w:r>
            <w:r w:rsidRPr="003B2F3E">
              <w:rPr>
                <w:u w:val="single"/>
              </w:rPr>
              <w:tab/>
            </w:r>
            <w:r>
              <w:rPr>
                <w:rStyle w:val="InstructionsTabelleberschrift"/>
                <w:rFonts w:ascii="Times New Roman" w:hAnsi="Times New Roman"/>
                <w:sz w:val="24"/>
              </w:rPr>
              <w:t xml:space="preserve">Differenciált tőkekövetelmény-megállapításra jogosult </w:t>
            </w:r>
            <w:r>
              <w:rPr>
                <w:rStyle w:val="InstructionsTabelleberschrift"/>
                <w:rFonts w:ascii="Times New Roman" w:hAnsi="Times New Roman"/>
                <w:sz w:val="24"/>
              </w:rPr>
              <w:lastRenderedPageBreak/>
              <w:t>STS értékpapírosítás</w:t>
            </w:r>
          </w:p>
          <w:p w:rsidR="007A1E2E" w:rsidRPr="00220265" w:rsidRDefault="007A1E2E" w:rsidP="00FD239F">
            <w:pPr>
              <w:pStyle w:val="InstructionsText"/>
            </w:pPr>
            <w:r>
              <w:t>A CRR 254. cikkének (5) bekezdése, valamint 265., 266. és 337. cikke</w:t>
            </w:r>
          </w:p>
          <w:p w:rsidR="007A1E2E" w:rsidRPr="00241190" w:rsidRDefault="007A1E2E" w:rsidP="002A6913">
            <w:pPr>
              <w:pStyle w:val="InstructionsText"/>
              <w:rPr>
                <w:rStyle w:val="InstructionsTabelleberschrift"/>
                <w:rFonts w:ascii="Times New Roman" w:hAnsi="Times New Roman"/>
                <w:sz w:val="24"/>
              </w:rPr>
            </w:pPr>
            <w:r>
              <w:t>Mind a CRR 243. cikke szerint differenciált tőkekövetelmény-megállapításra jogosult STS értékpapírosítást, mind a CRR 270. cikke szerint differenciált tőkekövetelmény-megállapításra jogosult kkv-értékpapírosításban lévő előresorolt pozíciókat ebben a sorban kell fe</w:t>
            </w:r>
            <w:r>
              <w:t>l</w:t>
            </w:r>
            <w:r>
              <w:t>tüntetni.</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1.8.6.5.</w:t>
            </w:r>
            <w:r w:rsidRPr="003B2F3E">
              <w:rPr>
                <w:u w:val="single"/>
              </w:rPr>
              <w:tab/>
            </w:r>
            <w:r>
              <w:rPr>
                <w:rStyle w:val="InstructionsTabelleberschrift"/>
                <w:rFonts w:ascii="Times New Roman" w:hAnsi="Times New Roman"/>
                <w:sz w:val="24"/>
              </w:rPr>
              <w:t>Egyéb (kockázati súly = 1 250 %)</w:t>
            </w:r>
          </w:p>
          <w:p w:rsidR="007A1E2E" w:rsidRPr="00241190" w:rsidRDefault="007A1E2E" w:rsidP="002A6913">
            <w:pPr>
              <w:pStyle w:val="InstructionsText"/>
              <w:rPr>
                <w:rStyle w:val="InstructionsTabelleberschrift"/>
                <w:rFonts w:ascii="Times New Roman" w:hAnsi="Times New Roman"/>
                <w:sz w:val="24"/>
              </w:rPr>
            </w:pPr>
            <w:r>
              <w:t>A CRR 254. cikkének (7) bekezdése, 337. cikke</w:t>
            </w:r>
          </w:p>
        </w:tc>
      </w:tr>
    </w:tbl>
    <w:p w:rsidR="002648B0" w:rsidRPr="0023700C" w:rsidRDefault="00936DD1" w:rsidP="0023700C">
      <w:pPr>
        <w:pStyle w:val="Instructionsberschrift2"/>
        <w:numPr>
          <w:ilvl w:val="0"/>
          <w:numId w:val="0"/>
        </w:numPr>
        <w:ind w:left="357" w:hanging="357"/>
        <w:rPr>
          <w:rFonts w:ascii="Times New Roman" w:hAnsi="Times New Roman" w:cs="Times New Roman"/>
          <w:sz w:val="24"/>
          <w:u w:val="none"/>
        </w:rPr>
      </w:pPr>
      <w:bookmarkStart w:id="66" w:name="_Toc516210612"/>
      <w:bookmarkStart w:id="67" w:name="_Toc524014671"/>
      <w:r>
        <w:rPr>
          <w:rFonts w:ascii="Times New Roman" w:hAnsi="Times New Roman"/>
          <w:sz w:val="24"/>
          <w:u w:val="none"/>
        </w:rPr>
        <w:t>1.4.</w:t>
      </w:r>
      <w:r w:rsidRPr="003B2F3E">
        <w:rPr>
          <w:u w:val="none"/>
        </w:rPr>
        <w:tab/>
      </w:r>
      <w:r>
        <w:rPr>
          <w:rFonts w:ascii="Times New Roman" w:hAnsi="Times New Roman"/>
          <w:sz w:val="24"/>
          <w:u w:val="none"/>
        </w:rPr>
        <w:t xml:space="preserve">C 03.00 – TŐKEMEGFELELÉSI MUTATÓK </w:t>
      </w:r>
      <w:proofErr w:type="gramStart"/>
      <w:r>
        <w:rPr>
          <w:rFonts w:ascii="Times New Roman" w:hAnsi="Times New Roman"/>
          <w:sz w:val="24"/>
          <w:u w:val="none"/>
        </w:rPr>
        <w:t>ÉS</w:t>
      </w:r>
      <w:proofErr w:type="gramEnd"/>
      <w:r>
        <w:rPr>
          <w:rFonts w:ascii="Times New Roman" w:hAnsi="Times New Roman"/>
          <w:sz w:val="24"/>
          <w:u w:val="none"/>
        </w:rPr>
        <w:t xml:space="preserve"> TŐKESZINTEK (CA3)</w:t>
      </w:r>
      <w:bookmarkEnd w:id="63"/>
      <w:bookmarkEnd w:id="64"/>
      <w:bookmarkEnd w:id="65"/>
      <w:bookmarkEnd w:id="66"/>
      <w:bookmarkEnd w:id="67"/>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68" w:name="_Toc308175827"/>
      <w:bookmarkStart w:id="69" w:name="_Toc310414972"/>
      <w:bookmarkStart w:id="70" w:name="_Toc360188330"/>
      <w:bookmarkStart w:id="71" w:name="_Toc516210613"/>
      <w:bookmarkStart w:id="72" w:name="_Toc473560878"/>
      <w:bookmarkStart w:id="73" w:name="_Toc524014672"/>
      <w:r>
        <w:rPr>
          <w:rFonts w:ascii="Times New Roman" w:hAnsi="Times New Roman"/>
          <w:sz w:val="24"/>
          <w:u w:val="none"/>
        </w:rPr>
        <w:t>1.4.1.</w:t>
      </w:r>
      <w:r>
        <w:tab/>
      </w:r>
      <w:r>
        <w:rPr>
          <w:rFonts w:ascii="Times New Roman" w:hAnsi="Times New Roman"/>
          <w:sz w:val="24"/>
        </w:rPr>
        <w:t xml:space="preserve">A tábla egyes </w:t>
      </w:r>
      <w:bookmarkEnd w:id="68"/>
      <w:bookmarkEnd w:id="69"/>
      <w:r>
        <w:rPr>
          <w:rFonts w:ascii="Times New Roman" w:hAnsi="Times New Roman"/>
          <w:sz w:val="24"/>
        </w:rPr>
        <w:t>részeire vonatkozó útmutató</w:t>
      </w:r>
      <w:bookmarkEnd w:id="70"/>
      <w:bookmarkEnd w:id="71"/>
      <w:bookmarkEnd w:id="72"/>
      <w:bookmarkEnd w:id="73"/>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rsidTr="00672D2A">
        <w:tc>
          <w:tcPr>
            <w:tcW w:w="8783" w:type="dxa"/>
            <w:gridSpan w:val="2"/>
            <w:shd w:val="clear" w:color="auto" w:fill="D9D9D9"/>
          </w:tcPr>
          <w:p w:rsidR="005643EA" w:rsidRPr="00392FFD" w:rsidRDefault="002648B0" w:rsidP="00FD239F">
            <w:pPr>
              <w:pStyle w:val="InstructionsText"/>
            </w:pPr>
            <w:r>
              <w:t>Sorok</w:t>
            </w:r>
          </w:p>
        </w:tc>
      </w:tr>
      <w:tr w:rsidR="002648B0" w:rsidRPr="00392FFD" w:rsidTr="00672D2A">
        <w:tc>
          <w:tcPr>
            <w:tcW w:w="703" w:type="dxa"/>
          </w:tcPr>
          <w:p w:rsidR="002648B0" w:rsidRPr="00392FFD" w:rsidRDefault="002648B0" w:rsidP="00FD239F">
            <w:pPr>
              <w:pStyle w:val="InstructionsText"/>
            </w:pPr>
            <w:r>
              <w:t>010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1.</w:t>
            </w:r>
            <w:r w:rsidRPr="003B2F3E">
              <w:rPr>
                <w:i/>
                <w:u w:val="single"/>
              </w:rPr>
              <w:tab/>
            </w:r>
            <w:r>
              <w:rPr>
                <w:rStyle w:val="InstructionsTabelleberschrift"/>
                <w:rFonts w:ascii="Times New Roman" w:hAnsi="Times New Roman"/>
                <w:sz w:val="24"/>
              </w:rPr>
              <w:t>CET1 tőkemegfelelési mutató</w:t>
            </w:r>
          </w:p>
          <w:p w:rsidR="005643EA" w:rsidRPr="00392FFD" w:rsidRDefault="002648B0" w:rsidP="00FD239F">
            <w:pPr>
              <w:pStyle w:val="InstructionsText"/>
            </w:pPr>
            <w:r>
              <w:t>A CRR 92. cikke (2) bekezdésének a) pontja</w:t>
            </w:r>
          </w:p>
          <w:p w:rsidR="005643EA" w:rsidRPr="00392FFD" w:rsidRDefault="002648B0" w:rsidP="00FD239F">
            <w:pPr>
              <w:pStyle w:val="InstructionsText"/>
            </w:pPr>
            <w:r>
              <w:t>A CET1 tőkemegfelelési mutató az intézmény CET1 tőkéje, a teljes kockázati kitettségérték százalékaként kifejezve.</w:t>
            </w:r>
          </w:p>
        </w:tc>
      </w:tr>
      <w:tr w:rsidR="002648B0" w:rsidRPr="00392FFD" w:rsidTr="00672D2A">
        <w:tc>
          <w:tcPr>
            <w:tcW w:w="703" w:type="dxa"/>
          </w:tcPr>
          <w:p w:rsidR="002648B0" w:rsidRPr="00392FFD" w:rsidRDefault="002648B0" w:rsidP="00FD239F">
            <w:pPr>
              <w:pStyle w:val="InstructionsText"/>
            </w:pPr>
            <w:r>
              <w:t>020</w:t>
            </w:r>
          </w:p>
        </w:tc>
        <w:tc>
          <w:tcPr>
            <w:tcW w:w="808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sidRPr="003B2F3E">
              <w:rPr>
                <w:i/>
                <w:u w:val="single"/>
              </w:rPr>
              <w:tab/>
            </w:r>
            <w:r>
              <w:rPr>
                <w:rStyle w:val="InstructionsTabelleberschrift"/>
                <w:rFonts w:ascii="Times New Roman" w:hAnsi="Times New Roman"/>
                <w:sz w:val="24"/>
              </w:rPr>
              <w:t>A CET1 tőke többlete (+)/hiánya (–)</w:t>
            </w:r>
          </w:p>
          <w:p w:rsidR="005643EA" w:rsidRPr="00392FFD" w:rsidRDefault="002648B0" w:rsidP="00FD239F">
            <w:pPr>
              <w:pStyle w:val="InstructionsText"/>
            </w:pPr>
            <w:r>
              <w:t>A tétel abszolút értéken jeleníti meg a CET1 tőkének a CRR 92. cikke (1) beke</w:t>
            </w:r>
            <w:r>
              <w:t>z</w:t>
            </w:r>
            <w:r>
              <w:t>désének a) pontjában rögzített követelményhez (4,5 %) viszonyított többletét vagy hiányát, vagyis nem veszi figyelembe a tőkepuffereket és a mutatóra vona</w:t>
            </w:r>
            <w:r>
              <w:t>t</w:t>
            </w:r>
            <w:r>
              <w:t>kozó átmeneti rendelkezéseket.</w:t>
            </w:r>
          </w:p>
        </w:tc>
      </w:tr>
      <w:tr w:rsidR="002648B0" w:rsidRPr="00392FFD" w:rsidTr="00672D2A">
        <w:tc>
          <w:tcPr>
            <w:tcW w:w="703" w:type="dxa"/>
          </w:tcPr>
          <w:p w:rsidR="002648B0" w:rsidRPr="00392FFD" w:rsidRDefault="002648B0" w:rsidP="00FD239F">
            <w:pPr>
              <w:pStyle w:val="InstructionsText"/>
            </w:pPr>
            <w:r>
              <w:t>030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3.</w:t>
            </w:r>
            <w:r w:rsidRPr="003B2F3E">
              <w:rPr>
                <w:u w:val="single"/>
              </w:rPr>
              <w:tab/>
            </w:r>
            <w:r>
              <w:rPr>
                <w:rStyle w:val="InstructionsTabelleberschrift"/>
                <w:rFonts w:ascii="Times New Roman" w:hAnsi="Times New Roman"/>
                <w:sz w:val="24"/>
              </w:rPr>
              <w:t>T1 tőkemegfelelési mutató</w:t>
            </w:r>
          </w:p>
          <w:p w:rsidR="005643EA" w:rsidRPr="00392FFD" w:rsidRDefault="002648B0" w:rsidP="00FD239F">
            <w:pPr>
              <w:pStyle w:val="InstructionsText"/>
            </w:pPr>
            <w:r>
              <w:t>A CRR 92. cikke (2) bekezdésének b) pontja</w:t>
            </w:r>
          </w:p>
          <w:p w:rsidR="005643EA" w:rsidRPr="00392FFD" w:rsidRDefault="002648B0" w:rsidP="00FD239F">
            <w:pPr>
              <w:pStyle w:val="InstructionsText"/>
            </w:pPr>
            <w:r>
              <w:t>A T1 tőkemegfelelési mutató az intézmény T1 tőkéje, a teljes kockázati kitettségérték százalékaként kifejezve.</w:t>
            </w:r>
          </w:p>
        </w:tc>
      </w:tr>
      <w:tr w:rsidR="002648B0" w:rsidRPr="00392FFD" w:rsidTr="00672D2A">
        <w:tc>
          <w:tcPr>
            <w:tcW w:w="703" w:type="dxa"/>
          </w:tcPr>
          <w:p w:rsidR="002648B0" w:rsidRPr="00392FFD" w:rsidRDefault="002648B0" w:rsidP="00FD239F">
            <w:pPr>
              <w:pStyle w:val="InstructionsText"/>
            </w:pPr>
            <w:r>
              <w:t>040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4.</w:t>
            </w:r>
            <w:r w:rsidRPr="003B2F3E">
              <w:rPr>
                <w:u w:val="single"/>
              </w:rPr>
              <w:tab/>
            </w:r>
            <w:r>
              <w:rPr>
                <w:rStyle w:val="InstructionsTabelleberschrift"/>
                <w:rFonts w:ascii="Times New Roman" w:hAnsi="Times New Roman"/>
                <w:sz w:val="24"/>
              </w:rPr>
              <w:t>A T1 tőke többlete (+)/hiánya (–)</w:t>
            </w:r>
          </w:p>
          <w:p w:rsidR="005643EA" w:rsidRPr="00392FFD" w:rsidRDefault="002648B0" w:rsidP="00FD239F">
            <w:pPr>
              <w:pStyle w:val="InstructionsText"/>
            </w:pPr>
            <w:r>
              <w:t>A tétel abszolút értéken jeleníti meg a T1 tőkének a CRR 92. cikke (1) bekezd</w:t>
            </w:r>
            <w:r>
              <w:t>é</w:t>
            </w:r>
            <w:r>
              <w:t>sének b) pontjában rögzített követelményhez (6 %) viszonyított többletét vagy hiányát, vagyis nem veszi figyelembe a tőkepuffereket és a mutatóra vonatkozó átmeneti rendelkezéseket.</w:t>
            </w:r>
          </w:p>
        </w:tc>
      </w:tr>
      <w:tr w:rsidR="002648B0" w:rsidRPr="00392FFD" w:rsidTr="00672D2A">
        <w:tc>
          <w:tcPr>
            <w:tcW w:w="703" w:type="dxa"/>
          </w:tcPr>
          <w:p w:rsidR="002648B0" w:rsidRPr="00392FFD" w:rsidRDefault="002648B0" w:rsidP="00FD239F">
            <w:pPr>
              <w:pStyle w:val="InstructionsText"/>
            </w:pPr>
            <w:r>
              <w:t>050</w:t>
            </w:r>
          </w:p>
        </w:tc>
        <w:tc>
          <w:tcPr>
            <w:tcW w:w="8080" w:type="dxa"/>
          </w:tcPr>
          <w:p w:rsidR="005643EA" w:rsidRPr="00392FFD" w:rsidRDefault="002648B0" w:rsidP="00FD239F">
            <w:pPr>
              <w:pStyle w:val="InstructionsText"/>
            </w:pPr>
            <w:r>
              <w:rPr>
                <w:rStyle w:val="InstructionsTabelleberschrift"/>
                <w:rFonts w:ascii="Times New Roman" w:hAnsi="Times New Roman"/>
                <w:sz w:val="24"/>
              </w:rPr>
              <w:t>5.</w:t>
            </w:r>
            <w:r w:rsidRPr="008A3CEF">
              <w:rPr>
                <w:u w:val="single"/>
              </w:rPr>
              <w:tab/>
            </w:r>
            <w:r>
              <w:rPr>
                <w:rStyle w:val="InstructionsTabelleberschrift"/>
                <w:rFonts w:ascii="Times New Roman" w:hAnsi="Times New Roman"/>
                <w:sz w:val="24"/>
              </w:rPr>
              <w:t>Teljes tőkemegfelelési mutató</w:t>
            </w:r>
          </w:p>
          <w:p w:rsidR="005643EA" w:rsidRPr="00392FFD" w:rsidRDefault="002648B0" w:rsidP="00FD239F">
            <w:pPr>
              <w:pStyle w:val="InstructionsText"/>
            </w:pPr>
            <w:r>
              <w:t>A CRR 92. cikke (2) bekezdésének c) pontja</w:t>
            </w:r>
          </w:p>
          <w:p w:rsidR="005643EA" w:rsidRPr="00392FFD" w:rsidRDefault="002648B0" w:rsidP="00FD239F">
            <w:pPr>
              <w:pStyle w:val="InstructionsText"/>
            </w:pPr>
            <w:r>
              <w:t xml:space="preserve">a teljes tőkemegfelelési mutató az </w:t>
            </w:r>
            <w:proofErr w:type="gramStart"/>
            <w:r>
              <w:t>intézmény szavatoló</w:t>
            </w:r>
            <w:proofErr w:type="gramEnd"/>
            <w:r>
              <w:t xml:space="preserve"> tőkéje, a teljes kockázati kitettségérték százalékaként kifejezve.</w:t>
            </w:r>
          </w:p>
        </w:tc>
      </w:tr>
      <w:tr w:rsidR="002648B0" w:rsidRPr="00392FFD" w:rsidTr="00672D2A">
        <w:tc>
          <w:tcPr>
            <w:tcW w:w="703" w:type="dxa"/>
          </w:tcPr>
          <w:p w:rsidR="002648B0" w:rsidRPr="00392FFD" w:rsidRDefault="002648B0" w:rsidP="00FD239F">
            <w:pPr>
              <w:pStyle w:val="InstructionsText"/>
            </w:pPr>
            <w:r>
              <w:t>060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6.</w:t>
            </w:r>
            <w:r w:rsidRPr="008A3CEF">
              <w:rPr>
                <w:u w:val="single"/>
              </w:rPr>
              <w:tab/>
            </w:r>
            <w:r>
              <w:rPr>
                <w:rStyle w:val="InstructionsTabelleberschrift"/>
                <w:rFonts w:ascii="Times New Roman" w:hAnsi="Times New Roman"/>
                <w:sz w:val="24"/>
              </w:rPr>
              <w:t>A teljes tőke többlete (+)/hiánya (–)</w:t>
            </w:r>
          </w:p>
          <w:p w:rsidR="005643EA" w:rsidRPr="00392FFD" w:rsidRDefault="002648B0" w:rsidP="00FD239F">
            <w:pPr>
              <w:pStyle w:val="InstructionsText"/>
            </w:pPr>
            <w:r>
              <w:t>A tétel abszolút értéken jeleníti meg a szavatoló tőkének a CRR 92. cikke (1) b</w:t>
            </w:r>
            <w:r>
              <w:t>e</w:t>
            </w:r>
            <w:r>
              <w:t>kezdésének c) pontjában rögzített követelményhez (8 %) viszonyított többletét vagy hiányát, vagyis nem veszi figyelembe a tőkepuffereket és a mutatóra vona</w:t>
            </w:r>
            <w:r>
              <w:t>t</w:t>
            </w:r>
            <w:r>
              <w:lastRenderedPageBreak/>
              <w:t>kozó átmeneti rendelkezéseket.</w:t>
            </w:r>
          </w:p>
        </w:tc>
      </w:tr>
      <w:tr w:rsidR="009C083D" w:rsidRPr="00392FFD" w:rsidTr="00672D2A">
        <w:tc>
          <w:tcPr>
            <w:tcW w:w="703" w:type="dxa"/>
          </w:tcPr>
          <w:p w:rsidR="009C083D" w:rsidRDefault="009C083D" w:rsidP="00FD239F">
            <w:pPr>
              <w:pStyle w:val="InstructionsText"/>
            </w:pPr>
            <w:r>
              <w:lastRenderedPageBreak/>
              <w:t>130</w:t>
            </w:r>
          </w:p>
          <w:p w:rsidR="009C083D" w:rsidRPr="00392FFD" w:rsidRDefault="009C083D" w:rsidP="00FD239F">
            <w:pPr>
              <w:pStyle w:val="InstructionsText"/>
            </w:pPr>
          </w:p>
        </w:tc>
        <w:tc>
          <w:tcPr>
            <w:tcW w:w="8080" w:type="dxa"/>
          </w:tcPr>
          <w:p w:rsidR="009C083D" w:rsidRPr="009E5DCC" w:rsidRDefault="009C083D"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Pr="008A3CEF">
              <w:rPr>
                <w:u w:val="single"/>
              </w:rPr>
              <w:tab/>
            </w:r>
            <w:r>
              <w:rPr>
                <w:rStyle w:val="InstructionsTabelleberschrift"/>
                <w:rFonts w:ascii="Times New Roman" w:hAnsi="Times New Roman"/>
                <w:sz w:val="24"/>
              </w:rPr>
              <w:t>Teljes-SREP-tőkekövetelmény-mutató (TSCR-mutató)</w:t>
            </w:r>
          </w:p>
          <w:p w:rsidR="009C083D" w:rsidRDefault="009C083D" w:rsidP="00FD239F">
            <w:pPr>
              <w:pStyle w:val="InstructionsText"/>
            </w:pPr>
            <w:r>
              <w:t>Az i. és ii. összege a következők szerint:</w:t>
            </w:r>
          </w:p>
          <w:p w:rsidR="009C083D" w:rsidRDefault="009C083D" w:rsidP="00FD239F">
            <w:pPr>
              <w:pStyle w:val="InstructionsText"/>
              <w:numPr>
                <w:ilvl w:val="0"/>
                <w:numId w:val="20"/>
              </w:numPr>
            </w:pPr>
            <w:r>
              <w:t>a CRR 92. cikke (1) bekezdésének c) pontjában meghatározott telje</w:t>
            </w:r>
            <w:r w:rsidR="008A3CEF">
              <w:t>s tőkemegfelelési mutató (8 %);</w:t>
            </w:r>
          </w:p>
          <w:p w:rsidR="009C083D" w:rsidRDefault="009C083D" w:rsidP="00FD239F">
            <w:pPr>
              <w:pStyle w:val="InstructionsText"/>
              <w:numPr>
                <w:ilvl w:val="0"/>
                <w:numId w:val="20"/>
              </w:numPr>
            </w:pPr>
            <w:r>
              <w:t xml:space="preserve">a </w:t>
            </w:r>
            <w:r>
              <w:rPr>
                <w:i/>
              </w:rPr>
              <w:t>felügyeleti felülvizsgálati és értékelési eljárásra vonatkozó egységes e</w:t>
            </w:r>
            <w:r>
              <w:rPr>
                <w:i/>
              </w:rPr>
              <w:t>l</w:t>
            </w:r>
            <w:r>
              <w:rPr>
                <w:i/>
              </w:rPr>
              <w:t>járásokról és módszerekről és a felügyeleti stressztesztekről szóló EBH-iránymutatásokban</w:t>
            </w:r>
            <w:r>
              <w:t xml:space="preserve"> (EBA SREP GL) meghatározott kritériumokkal öss</w:t>
            </w:r>
            <w:r>
              <w:t>z</w:t>
            </w:r>
            <w:r>
              <w:t>hangban meghatározott pótlólagos szavatolótőke-megfelelési (2. pillér szerinti követelmények – P2R) mutató.</w:t>
            </w:r>
          </w:p>
          <w:p w:rsidR="009C083D" w:rsidRDefault="009C083D" w:rsidP="00FD239F">
            <w:pPr>
              <w:pStyle w:val="InstructionsText"/>
            </w:pPr>
            <w:r>
              <w:t>Ebben a tételben a teljes-SREP-tőkekövetelmény-mutatót (TSCR) kell megjelen</w:t>
            </w:r>
            <w:r>
              <w:t>í</w:t>
            </w:r>
            <w:r>
              <w:t>teni, amint azt az illetékes hatóság az intézménnyel közölte. A TSCR fogalommeghatározása az EBA SREP GL 1.2. szakaszában található.</w:t>
            </w:r>
          </w:p>
          <w:p w:rsidR="00C9673B" w:rsidRPr="00201704" w:rsidRDefault="00236E33" w:rsidP="00FD239F">
            <w:pPr>
              <w:pStyle w:val="InstructionsText"/>
              <w:rPr>
                <w:rStyle w:val="InstructionsTabelleberschrift"/>
                <w:rFonts w:ascii="Times New Roman" w:hAnsi="Times New Roman"/>
                <w:b w:val="0"/>
                <w:bCs w:val="0"/>
                <w:sz w:val="24"/>
                <w:u w:val="none"/>
              </w:rPr>
            </w:pPr>
            <w:r>
              <w:t xml:space="preserve">Ha az illetékes hatóság nem közölt pótlólagos szavatolótőke-követelményt, csak az i. pontot kell feltüntetni. </w:t>
            </w:r>
          </w:p>
        </w:tc>
      </w:tr>
      <w:tr w:rsidR="009C083D" w:rsidRPr="00392FFD" w:rsidTr="00672D2A">
        <w:tc>
          <w:tcPr>
            <w:tcW w:w="703" w:type="dxa"/>
          </w:tcPr>
          <w:p w:rsidR="009C083D" w:rsidRDefault="009C083D" w:rsidP="00FD239F">
            <w:pPr>
              <w:pStyle w:val="InstructionsText"/>
            </w:pPr>
            <w:r>
              <w:t>140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Pr="008A3CEF">
              <w:rPr>
                <w:u w:val="single"/>
              </w:rPr>
              <w:tab/>
            </w:r>
            <w:r>
              <w:rPr>
                <w:rStyle w:val="InstructionsTabelleberschrift"/>
                <w:rFonts w:ascii="Times New Roman" w:hAnsi="Times New Roman"/>
                <w:sz w:val="24"/>
              </w:rPr>
              <w:t xml:space="preserve">TSCR: SREP-CET1 tőkekövetelmény-mutató </w:t>
            </w:r>
          </w:p>
          <w:p w:rsidR="009C083D" w:rsidRDefault="009C083D" w:rsidP="00FD239F">
            <w:pPr>
              <w:pStyle w:val="InstructionsText"/>
            </w:pPr>
            <w:r>
              <w:t>Az i. és ii. összege a következők szerint:</w:t>
            </w:r>
          </w:p>
          <w:p w:rsidR="009C083D" w:rsidRDefault="009C083D" w:rsidP="00FD239F">
            <w:pPr>
              <w:pStyle w:val="InstructionsText"/>
              <w:numPr>
                <w:ilvl w:val="0"/>
                <w:numId w:val="21"/>
              </w:numPr>
            </w:pPr>
            <w:r>
              <w:t>a CRR 92. cikke (1) bekezdésének a) pontjában meghatározott elsődleges alapvető tőke megfelelési mutató (4,5 %);</w:t>
            </w:r>
          </w:p>
          <w:p w:rsidR="0002157C" w:rsidRPr="009068C9" w:rsidRDefault="009C083D" w:rsidP="00FD239F">
            <w:pPr>
              <w:pStyle w:val="InstructionsText"/>
              <w:numPr>
                <w:ilvl w:val="0"/>
                <w:numId w:val="21"/>
              </w:numPr>
              <w:rPr>
                <w:b/>
                <w:bCs/>
                <w:u w:val="single"/>
              </w:rPr>
            </w:pPr>
            <w:r>
              <w:t>a 130 sor ii. pontjában említett P2R mutató azon része, amely az illetékes hatóság által előírtak szerint CET1 tőke formájában tartandó.</w:t>
            </w:r>
          </w:p>
          <w:p w:rsidR="009C083D" w:rsidRPr="00392FFD" w:rsidRDefault="005B54BB" w:rsidP="009068C9">
            <w:pPr>
              <w:pStyle w:val="InstructionsText"/>
              <w:rPr>
                <w:rStyle w:val="InstructionsTabelleberschrift"/>
                <w:rFonts w:ascii="Times New Roman" w:hAnsi="Times New Roman"/>
                <w:sz w:val="24"/>
              </w:rPr>
            </w:pPr>
            <w:r>
              <w:t>Ha az illetékes hatóság nem közölt CET1 tőke formájában tartandó pótlólagos szavatolótőke-követelményt, csak az i. pontot kell feltüntetni.</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Default="009C083D" w:rsidP="00FD239F">
            <w:pPr>
              <w:pStyle w:val="InstructionsText"/>
            </w:pPr>
            <w:r>
              <w:t>150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Pr="008A3CEF">
              <w:rPr>
                <w:u w:val="single"/>
              </w:rPr>
              <w:tab/>
            </w:r>
            <w:r>
              <w:rPr>
                <w:rStyle w:val="InstructionsTabelleberschrift"/>
                <w:rFonts w:ascii="Times New Roman" w:hAnsi="Times New Roman"/>
                <w:sz w:val="24"/>
              </w:rPr>
              <w:t>TSCR: SREP-T1 tőkekövetelmény-mutató</w:t>
            </w:r>
          </w:p>
          <w:p w:rsidR="009C083D" w:rsidRDefault="009C083D" w:rsidP="00FD239F">
            <w:pPr>
              <w:pStyle w:val="InstructionsText"/>
            </w:pPr>
            <w:r>
              <w:t>Az i. és ii. összege a következők szerint:</w:t>
            </w:r>
          </w:p>
          <w:p w:rsidR="009C083D" w:rsidRDefault="009C083D" w:rsidP="00FD239F">
            <w:pPr>
              <w:pStyle w:val="InstructionsText"/>
              <w:numPr>
                <w:ilvl w:val="0"/>
                <w:numId w:val="22"/>
              </w:numPr>
            </w:pPr>
            <w:r>
              <w:t>a CRR 92. cikke (1) bekezdésének b) pontjában meghatározott alapvető tőke megfelelési mutató (6 %);</w:t>
            </w:r>
          </w:p>
          <w:p w:rsidR="009C083D" w:rsidRPr="009068C9" w:rsidRDefault="009C083D" w:rsidP="00FD239F">
            <w:pPr>
              <w:pStyle w:val="InstructionsText"/>
              <w:numPr>
                <w:ilvl w:val="0"/>
                <w:numId w:val="22"/>
              </w:numPr>
              <w:rPr>
                <w:bCs/>
                <w:u w:val="single"/>
              </w:rPr>
            </w:pPr>
            <w:r>
              <w:t>a 130 sor ii. pontjában említett P2R mutató azon része, amely az illetékes hatóság által előírtak szerint alapvető tőke formájában tartandó.</w:t>
            </w:r>
          </w:p>
          <w:p w:rsidR="00DA6CB8" w:rsidRPr="007615A8" w:rsidRDefault="005B54BB" w:rsidP="009068C9">
            <w:pPr>
              <w:pStyle w:val="InstructionsText"/>
              <w:rPr>
                <w:rStyle w:val="InstructionsTabelleberschrift"/>
                <w:rFonts w:ascii="Times New Roman" w:hAnsi="Times New Roman"/>
                <w:b w:val="0"/>
                <w:sz w:val="24"/>
              </w:rPr>
            </w:pPr>
            <w:r>
              <w:t>Ha az illetékes hatóság nem közölt alapvető tőke formájában tartandó pótlólagos szavatolótőke-követelményt, csak az i. pontot kell feltüntetni.</w:t>
            </w:r>
          </w:p>
        </w:tc>
      </w:tr>
      <w:tr w:rsidR="009C083D" w:rsidRPr="00392FFD" w:rsidTr="00672D2A">
        <w:tc>
          <w:tcPr>
            <w:tcW w:w="703" w:type="dxa"/>
          </w:tcPr>
          <w:p w:rsidR="009C083D" w:rsidRPr="00392FFD" w:rsidRDefault="009C083D" w:rsidP="00FD239F">
            <w:pPr>
              <w:pStyle w:val="InstructionsText"/>
            </w:pPr>
            <w:r>
              <w:t>160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Pr="008A3CEF">
              <w:rPr>
                <w:u w:val="single"/>
              </w:rPr>
              <w:tab/>
            </w:r>
            <w:r>
              <w:rPr>
                <w:rStyle w:val="InstructionsTabelleberschrift"/>
                <w:rFonts w:ascii="Times New Roman" w:hAnsi="Times New Roman"/>
                <w:sz w:val="24"/>
              </w:rPr>
              <w:t>Teljestőkekövetelmény-mutató (OCR-mutató)</w:t>
            </w:r>
          </w:p>
          <w:p w:rsidR="009C083D" w:rsidRDefault="009C083D" w:rsidP="00FD239F">
            <w:pPr>
              <w:pStyle w:val="InstructionsText"/>
            </w:pPr>
            <w:r>
              <w:t>Az i. és ii. összege a következők szerint:</w:t>
            </w:r>
          </w:p>
          <w:p w:rsidR="009C083D" w:rsidRDefault="009C083D" w:rsidP="00FD239F">
            <w:pPr>
              <w:pStyle w:val="InstructionsText"/>
              <w:numPr>
                <w:ilvl w:val="0"/>
                <w:numId w:val="23"/>
              </w:numPr>
            </w:pPr>
            <w:r>
              <w:t>a 130. sorban említett TSCR mutató;</w:t>
            </w:r>
          </w:p>
          <w:p w:rsidR="009C083D" w:rsidRDefault="009C083D" w:rsidP="00FD239F">
            <w:pPr>
              <w:pStyle w:val="InstructionsText"/>
              <w:numPr>
                <w:ilvl w:val="0"/>
                <w:numId w:val="23"/>
              </w:numPr>
            </w:pPr>
            <w:r>
              <w:t>amennyiben jogilag alkalmazandó, a CRD 128. cikkének 6. pontjában említett kombinált pufferkövetelmény mutatója.</w:t>
            </w:r>
          </w:p>
          <w:p w:rsidR="005B54BB" w:rsidRDefault="009C083D" w:rsidP="00FD239F">
            <w:pPr>
              <w:pStyle w:val="InstructionsText"/>
            </w:pPr>
            <w:r>
              <w:t>Ebben a tételben az EBA SREP GL 1.2. szakaszában meghatározott teljestőkekövetelmény-mutatót (OCR) kell megjeleníteni.</w:t>
            </w:r>
          </w:p>
          <w:p w:rsidR="00645573" w:rsidRPr="00392FFD" w:rsidRDefault="007260DA" w:rsidP="00FD239F">
            <w:pPr>
              <w:pStyle w:val="InstructionsText"/>
              <w:rPr>
                <w:rStyle w:val="InstructionsTabelleberschrift"/>
                <w:rFonts w:ascii="Times New Roman" w:hAnsi="Times New Roman"/>
                <w:sz w:val="24"/>
              </w:rPr>
            </w:pPr>
            <w:r>
              <w:t>Ha nem alkalmazandó pufferkövetelmény, csak az i. pontot kell feltüntetni.</w:t>
            </w:r>
          </w:p>
        </w:tc>
      </w:tr>
      <w:tr w:rsidR="009C083D" w:rsidRPr="00392FFD" w:rsidTr="00672D2A">
        <w:tc>
          <w:tcPr>
            <w:tcW w:w="703" w:type="dxa"/>
          </w:tcPr>
          <w:p w:rsidR="009C083D" w:rsidRPr="00392FFD" w:rsidRDefault="009C083D" w:rsidP="00FD239F">
            <w:pPr>
              <w:pStyle w:val="InstructionsText"/>
            </w:pPr>
            <w:r>
              <w:lastRenderedPageBreak/>
              <w:t>170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Pr="008A3CEF">
              <w:rPr>
                <w:u w:val="single"/>
              </w:rPr>
              <w:tab/>
            </w:r>
            <w:r>
              <w:rPr>
                <w:rStyle w:val="InstructionsTabelleberschrift"/>
                <w:rFonts w:ascii="Times New Roman" w:hAnsi="Times New Roman"/>
                <w:sz w:val="24"/>
              </w:rPr>
              <w:t xml:space="preserve">OCR: CET1 tőkekövetelmény-mutató </w:t>
            </w:r>
          </w:p>
          <w:p w:rsidR="009C083D" w:rsidRDefault="009C083D" w:rsidP="00FD239F">
            <w:pPr>
              <w:pStyle w:val="InstructionsText"/>
            </w:pPr>
            <w:r>
              <w:t>Az i. és ii. összege a következők szerint:</w:t>
            </w:r>
          </w:p>
          <w:p w:rsidR="009C083D" w:rsidRDefault="009C083D" w:rsidP="00FD239F">
            <w:pPr>
              <w:pStyle w:val="InstructionsText"/>
              <w:numPr>
                <w:ilvl w:val="0"/>
                <w:numId w:val="24"/>
              </w:numPr>
            </w:pPr>
            <w:r>
              <w:t>a 140. sorban említett CET1 tőkéből képzendő TSCR mutató;</w:t>
            </w:r>
          </w:p>
          <w:p w:rsidR="009C083D" w:rsidRPr="009068C9" w:rsidRDefault="009C083D" w:rsidP="00FD239F">
            <w:pPr>
              <w:pStyle w:val="InstructionsText"/>
              <w:numPr>
                <w:ilvl w:val="0"/>
                <w:numId w:val="24"/>
              </w:numPr>
              <w:rPr>
                <w:bCs/>
                <w:u w:val="single"/>
              </w:rPr>
            </w:pPr>
            <w:r>
              <w:t>amennyiben jogilag alkalmazandó, a CRD 128. cikkének 6. pontjában említett kombinált pufferkövetelmény mutatója.</w:t>
            </w:r>
          </w:p>
          <w:p w:rsidR="00BA325A" w:rsidRPr="007615A8" w:rsidRDefault="00087E1A" w:rsidP="009068C9">
            <w:pPr>
              <w:pStyle w:val="InstructionsText"/>
              <w:rPr>
                <w:rStyle w:val="InstructionsTabelleberschrift"/>
                <w:rFonts w:ascii="Times New Roman" w:hAnsi="Times New Roman"/>
                <w:b w:val="0"/>
                <w:sz w:val="24"/>
              </w:rPr>
            </w:pPr>
            <w:r>
              <w:t>Ha nem alkalmazandó pufferkövetelmény, csak az i. pontot kell feltüntetni.</w:t>
            </w:r>
          </w:p>
        </w:tc>
      </w:tr>
      <w:tr w:rsidR="009C083D" w:rsidRPr="00392FFD" w:rsidTr="00672D2A">
        <w:tc>
          <w:tcPr>
            <w:tcW w:w="703" w:type="dxa"/>
          </w:tcPr>
          <w:p w:rsidR="009C083D" w:rsidRPr="00392FFD" w:rsidRDefault="009C083D" w:rsidP="00FD239F">
            <w:pPr>
              <w:pStyle w:val="InstructionsText"/>
            </w:pPr>
            <w:r>
              <w:t>180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Pr="008A3CEF">
              <w:rPr>
                <w:u w:val="single"/>
              </w:rPr>
              <w:tab/>
            </w:r>
            <w:r>
              <w:rPr>
                <w:rStyle w:val="InstructionsTabelleberschrift"/>
                <w:rFonts w:ascii="Times New Roman" w:hAnsi="Times New Roman"/>
                <w:sz w:val="24"/>
              </w:rPr>
              <w:t>OCR: T1 tőkekövetelmény-mutató</w:t>
            </w:r>
          </w:p>
          <w:p w:rsidR="009C083D" w:rsidRDefault="009C083D" w:rsidP="00FD239F">
            <w:pPr>
              <w:pStyle w:val="InstructionsText"/>
            </w:pPr>
            <w:r>
              <w:t>Az i. és ii. összege a következők szerint:</w:t>
            </w:r>
          </w:p>
          <w:p w:rsidR="009C083D" w:rsidRDefault="009C083D" w:rsidP="00FD239F">
            <w:pPr>
              <w:pStyle w:val="InstructionsText"/>
              <w:numPr>
                <w:ilvl w:val="0"/>
                <w:numId w:val="25"/>
              </w:numPr>
            </w:pPr>
            <w:r>
              <w:t>a 150. sorban említett alapvető tőkéből képzendő TSCR mutató;</w:t>
            </w:r>
          </w:p>
          <w:p w:rsidR="009C083D" w:rsidRPr="009068C9" w:rsidRDefault="009C083D" w:rsidP="00FD239F">
            <w:pPr>
              <w:pStyle w:val="InstructionsText"/>
              <w:numPr>
                <w:ilvl w:val="0"/>
                <w:numId w:val="25"/>
              </w:numPr>
              <w:rPr>
                <w:bCs/>
                <w:u w:val="single"/>
              </w:rPr>
            </w:pPr>
            <w:r>
              <w:t>amennyiben jogilag alkalmazandó, a CRD 128. cikkének 6. pontjában említett kombinált pufferkövetelmény mutatója.</w:t>
            </w:r>
          </w:p>
          <w:p w:rsidR="00BA325A" w:rsidRPr="007615A8" w:rsidRDefault="00087E1A" w:rsidP="009068C9">
            <w:pPr>
              <w:pStyle w:val="InstructionsText"/>
              <w:rPr>
                <w:rStyle w:val="InstructionsTabelleberschrift"/>
                <w:rFonts w:ascii="Times New Roman" w:hAnsi="Times New Roman"/>
                <w:b w:val="0"/>
                <w:sz w:val="24"/>
              </w:rPr>
            </w:pPr>
            <w:r>
              <w:t>Ha nem alkalmazandó pufferkövetelmény, csak az i. pontot kell feltüntetni.</w:t>
            </w:r>
          </w:p>
        </w:tc>
      </w:tr>
      <w:tr w:rsidR="009C083D" w:rsidRPr="00392FFD" w:rsidTr="00672D2A">
        <w:tc>
          <w:tcPr>
            <w:tcW w:w="703" w:type="dxa"/>
          </w:tcPr>
          <w:p w:rsidR="009C083D" w:rsidRPr="00392FFD" w:rsidRDefault="009C083D" w:rsidP="00FD239F">
            <w:pPr>
              <w:pStyle w:val="InstructionsText"/>
            </w:pPr>
            <w:r>
              <w:t>190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Pr="008A3CEF">
              <w:rPr>
                <w:u w:val="single"/>
              </w:rPr>
              <w:tab/>
            </w:r>
            <w:r>
              <w:rPr>
                <w:rStyle w:val="InstructionsTabelleberschrift"/>
                <w:rFonts w:ascii="Times New Roman" w:hAnsi="Times New Roman"/>
                <w:sz w:val="24"/>
              </w:rPr>
              <w:t>OCR és 2. pillér szerinti tőke-iránymutatás (P2G)</w:t>
            </w:r>
          </w:p>
          <w:p w:rsidR="009C083D" w:rsidRDefault="009C083D" w:rsidP="00FD239F">
            <w:pPr>
              <w:pStyle w:val="InstructionsText"/>
            </w:pPr>
            <w:r>
              <w:t>Az i. és ii. összege a következők szerint:</w:t>
            </w:r>
          </w:p>
          <w:p w:rsidR="009C083D" w:rsidRDefault="009C083D" w:rsidP="00FD239F">
            <w:pPr>
              <w:pStyle w:val="InstructionsText"/>
              <w:numPr>
                <w:ilvl w:val="0"/>
                <w:numId w:val="26"/>
              </w:numPr>
            </w:pPr>
            <w:r>
              <w:t>a 160. sorban említett OCR mutató;</w:t>
            </w:r>
          </w:p>
          <w:p w:rsidR="009C083D" w:rsidRPr="009068C9" w:rsidRDefault="009C083D" w:rsidP="00FD239F">
            <w:pPr>
              <w:pStyle w:val="InstructionsText"/>
              <w:numPr>
                <w:ilvl w:val="0"/>
                <w:numId w:val="26"/>
              </w:numPr>
              <w:rPr>
                <w:bCs/>
                <w:u w:val="single"/>
              </w:rPr>
            </w:pPr>
            <w:r>
              <w:t>ahol alkalmazandó, az EBA SREP GL-ben meghatározott 2. pillér szeri</w:t>
            </w:r>
            <w:r>
              <w:t>n</w:t>
            </w:r>
            <w:r>
              <w:t>ti tőke-iránymutatás (P2G). A P2G-t csak akkor kell feltüntetni, ha azt az illetékes hatóság közli az intézménnyel.</w:t>
            </w:r>
            <w:bookmarkStart w:id="74" w:name="_GoBack"/>
            <w:bookmarkEnd w:id="74"/>
          </w:p>
          <w:p w:rsidR="0047693D" w:rsidRPr="007615A8" w:rsidRDefault="005B54BB" w:rsidP="009068C9">
            <w:pPr>
              <w:pStyle w:val="InstructionsText"/>
              <w:rPr>
                <w:rStyle w:val="InstructionsTabelleberschrift"/>
                <w:rFonts w:ascii="Times New Roman" w:hAnsi="Times New Roman"/>
                <w:b w:val="0"/>
                <w:sz w:val="24"/>
              </w:rPr>
            </w:pPr>
            <w:r>
              <w:t>Ha az illetékes hatóság nem közöl P2G-t, csak</w:t>
            </w:r>
            <w:r w:rsidR="008D530A">
              <w:t xml:space="preserve"> az i. pontot kell feltüntetni.</w:t>
            </w:r>
          </w:p>
        </w:tc>
      </w:tr>
      <w:tr w:rsidR="009C083D" w:rsidRPr="00392FFD" w:rsidTr="00672D2A">
        <w:tc>
          <w:tcPr>
            <w:tcW w:w="703" w:type="dxa"/>
          </w:tcPr>
          <w:p w:rsidR="009C083D" w:rsidRPr="00392FFD" w:rsidRDefault="009C083D" w:rsidP="00FD239F">
            <w:pPr>
              <w:pStyle w:val="InstructionsText"/>
            </w:pPr>
            <w:r>
              <w:t>200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Pr="008A3CEF">
              <w:rPr>
                <w:u w:val="single"/>
              </w:rPr>
              <w:tab/>
            </w:r>
            <w:r>
              <w:rPr>
                <w:rStyle w:val="InstructionsTabelleberschrift"/>
                <w:rFonts w:ascii="Times New Roman" w:hAnsi="Times New Roman"/>
                <w:sz w:val="24"/>
              </w:rPr>
              <w:t xml:space="preserve">OCR és P2G: CET1 tőkekövetelmény-mutató </w:t>
            </w:r>
          </w:p>
          <w:p w:rsidR="009C083D" w:rsidRDefault="009C083D" w:rsidP="00FD239F">
            <w:pPr>
              <w:pStyle w:val="InstructionsText"/>
            </w:pPr>
            <w:r>
              <w:t>Az i. és ii. összege a következők szerint:</w:t>
            </w:r>
          </w:p>
          <w:p w:rsidR="009C083D" w:rsidRDefault="009C083D" w:rsidP="00FD239F">
            <w:pPr>
              <w:pStyle w:val="InstructionsText"/>
              <w:numPr>
                <w:ilvl w:val="0"/>
                <w:numId w:val="27"/>
              </w:numPr>
            </w:pPr>
            <w:r>
              <w:t>a 170. sorban említett CET1 tőkéből képzendő OCR mutató;</w:t>
            </w:r>
          </w:p>
          <w:p w:rsidR="009C083D" w:rsidRPr="009068C9" w:rsidRDefault="009C083D" w:rsidP="00FD239F">
            <w:pPr>
              <w:pStyle w:val="InstructionsText"/>
              <w:numPr>
                <w:ilvl w:val="0"/>
                <w:numId w:val="27"/>
              </w:numPr>
              <w:rPr>
                <w:bCs/>
                <w:u w:val="single"/>
              </w:rPr>
            </w:pPr>
            <w:r>
              <w:t>ahol alkalmazandó, a 190. sor ii. pontjában említett P2G azon része, amely az illetékes hatóság által előírtak szerint CET1 tőke formájában tartandó. A P2G-t csak akkor kell feltüntetni, ha azt az illetékes hatóság közli az intézménnyel.</w:t>
            </w:r>
          </w:p>
          <w:p w:rsidR="0047693D" w:rsidRPr="007615A8" w:rsidRDefault="005B54BB" w:rsidP="009068C9">
            <w:pPr>
              <w:pStyle w:val="InstructionsText"/>
              <w:rPr>
                <w:rStyle w:val="InstructionsTabelleberschrift"/>
                <w:rFonts w:ascii="Times New Roman" w:hAnsi="Times New Roman"/>
                <w:b w:val="0"/>
                <w:sz w:val="24"/>
              </w:rPr>
            </w:pPr>
            <w:r>
              <w:t>Ha az illetékes hatóság nem közöl P2G-t, csak az i. pontot kell feltüntetni.</w:t>
            </w:r>
          </w:p>
        </w:tc>
      </w:tr>
      <w:tr w:rsidR="009C083D" w:rsidRPr="00392FFD" w:rsidTr="00672D2A">
        <w:tc>
          <w:tcPr>
            <w:tcW w:w="703" w:type="dxa"/>
          </w:tcPr>
          <w:p w:rsidR="009C083D" w:rsidRPr="00392FFD" w:rsidRDefault="009C083D" w:rsidP="00FD239F">
            <w:pPr>
              <w:pStyle w:val="InstructionsText"/>
            </w:pPr>
            <w:r>
              <w:t>210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Pr="008A3CEF">
              <w:rPr>
                <w:u w:val="single"/>
              </w:rPr>
              <w:tab/>
            </w:r>
            <w:r>
              <w:rPr>
                <w:rStyle w:val="InstructionsTabelleberschrift"/>
                <w:rFonts w:ascii="Times New Roman" w:hAnsi="Times New Roman"/>
                <w:sz w:val="24"/>
              </w:rPr>
              <w:t>OCR és</w:t>
            </w:r>
            <w:r w:rsidR="008A3CEF">
              <w:rPr>
                <w:rStyle w:val="InstructionsTabelleberschrift"/>
                <w:rFonts w:ascii="Times New Roman" w:hAnsi="Times New Roman"/>
                <w:sz w:val="24"/>
              </w:rPr>
              <w:t xml:space="preserve"> P2G: T1 tőkekövetelmény-mutató</w:t>
            </w:r>
          </w:p>
          <w:p w:rsidR="009C083D" w:rsidRDefault="009C083D" w:rsidP="00FD239F">
            <w:pPr>
              <w:pStyle w:val="InstructionsText"/>
            </w:pPr>
            <w:r>
              <w:t>Az i. és ii. összege a következők szerint:</w:t>
            </w:r>
          </w:p>
          <w:p w:rsidR="009C083D" w:rsidRDefault="009C083D" w:rsidP="00FD239F">
            <w:pPr>
              <w:pStyle w:val="InstructionsText"/>
              <w:numPr>
                <w:ilvl w:val="0"/>
                <w:numId w:val="28"/>
              </w:numPr>
            </w:pPr>
            <w:r>
              <w:t>a 180. sorban említett alapvető tőkéből képzendő OCR mutató;</w:t>
            </w:r>
          </w:p>
          <w:p w:rsidR="009C083D" w:rsidRDefault="009C083D" w:rsidP="00FD239F">
            <w:pPr>
              <w:pStyle w:val="InstructionsText"/>
              <w:numPr>
                <w:ilvl w:val="0"/>
                <w:numId w:val="28"/>
              </w:numPr>
            </w:pPr>
            <w:r>
              <w:t>ahol alkalmazandó, a 190. sor ii. pontjában említett P2G azon része, amely az illetékes hatóság által előírtak szerint alapvető tőke formájában tartandó. A P2G-t csak akkor kell feltüntetni, ha azt az illetékes hatóság közli az intézménnyel.</w:t>
            </w:r>
          </w:p>
          <w:p w:rsidR="0047693D" w:rsidRPr="007615A8" w:rsidRDefault="005B54BB" w:rsidP="009068C9">
            <w:pPr>
              <w:pStyle w:val="InstructionsText"/>
              <w:rPr>
                <w:rStyle w:val="InstructionsTabelleberschrift"/>
                <w:rFonts w:ascii="Times New Roman" w:hAnsi="Times New Roman"/>
                <w:b w:val="0"/>
                <w:bCs w:val="0"/>
                <w:sz w:val="24"/>
                <w:u w:val="none"/>
              </w:rPr>
            </w:pPr>
            <w:r>
              <w:t>Ha az illetékes hatóság nem közöl P2G-t, csak az i. pontot kell feltüntetni.</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5" w:name="_Toc516210614"/>
      <w:bookmarkStart w:id="76" w:name="_Toc473560879"/>
      <w:bookmarkStart w:id="77" w:name="_Toc524014673"/>
      <w:bookmarkStart w:id="78" w:name="_Toc308175830"/>
      <w:bookmarkStart w:id="79" w:name="_Toc360188331"/>
      <w:r>
        <w:rPr>
          <w:rFonts w:ascii="Times New Roman" w:hAnsi="Times New Roman"/>
          <w:sz w:val="24"/>
          <w:u w:val="none"/>
        </w:rPr>
        <w:lastRenderedPageBreak/>
        <w:t>1.5.</w:t>
      </w:r>
      <w:r w:rsidRPr="008A3CEF">
        <w:rPr>
          <w:u w:val="none"/>
        </w:rPr>
        <w:tab/>
      </w:r>
      <w:r>
        <w:rPr>
          <w:rFonts w:ascii="Times New Roman" w:hAnsi="Times New Roman"/>
          <w:sz w:val="24"/>
        </w:rPr>
        <w:t>C 04.00 – TÁJÉKOZTATÓ ADATOK (CA4)</w:t>
      </w:r>
      <w:bookmarkEnd w:id="75"/>
      <w:bookmarkEnd w:id="76"/>
      <w:bookmarkEnd w:id="77"/>
      <w:r>
        <w:rPr>
          <w:rFonts w:ascii="Times New Roman" w:hAnsi="Times New Roman"/>
          <w:sz w:val="24"/>
        </w:rPr>
        <w:t xml:space="preserve"> </w:t>
      </w:r>
      <w:bookmarkEnd w:id="78"/>
      <w:bookmarkEnd w:id="79"/>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80" w:name="_Toc308175831"/>
      <w:bookmarkStart w:id="81" w:name="_Toc310414974"/>
      <w:bookmarkStart w:id="82" w:name="_Toc360188332"/>
      <w:bookmarkStart w:id="83" w:name="_Toc516210615"/>
      <w:bookmarkStart w:id="84" w:name="_Toc473560880"/>
      <w:bookmarkStart w:id="85" w:name="_Toc524014674"/>
      <w:r>
        <w:rPr>
          <w:rFonts w:ascii="Times New Roman" w:hAnsi="Times New Roman"/>
          <w:sz w:val="24"/>
          <w:u w:val="none"/>
        </w:rPr>
        <w:t>1.5.1.</w:t>
      </w:r>
      <w:r w:rsidRPr="008A3CEF">
        <w:rPr>
          <w:u w:val="none"/>
        </w:rPr>
        <w:tab/>
      </w:r>
      <w:r>
        <w:rPr>
          <w:rFonts w:ascii="Times New Roman" w:hAnsi="Times New Roman"/>
          <w:sz w:val="24"/>
        </w:rPr>
        <w:t xml:space="preserve">A tábla egyes </w:t>
      </w:r>
      <w:bookmarkEnd w:id="80"/>
      <w:bookmarkEnd w:id="81"/>
      <w:r>
        <w:rPr>
          <w:rFonts w:ascii="Times New Roman" w:hAnsi="Times New Roman"/>
          <w:sz w:val="24"/>
        </w:rPr>
        <w:t>részeire vonatkozó útmutató</w:t>
      </w:r>
      <w:bookmarkEnd w:id="82"/>
      <w:bookmarkEnd w:id="83"/>
      <w:bookmarkEnd w:id="84"/>
      <w:bookmarkEnd w:id="85"/>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392FFD" w:rsidTr="00672D2A">
        <w:tc>
          <w:tcPr>
            <w:tcW w:w="8749" w:type="dxa"/>
            <w:gridSpan w:val="2"/>
            <w:shd w:val="clear" w:color="auto" w:fill="D9D9D9"/>
          </w:tcPr>
          <w:p w:rsidR="005643EA" w:rsidRPr="00392FFD" w:rsidRDefault="002648B0" w:rsidP="00FD239F">
            <w:pPr>
              <w:pStyle w:val="InstructionsText"/>
            </w:pPr>
            <w:r>
              <w:t>Sorok</w:t>
            </w:r>
          </w:p>
        </w:tc>
      </w:tr>
      <w:tr w:rsidR="002648B0" w:rsidRPr="00392FFD" w:rsidTr="00672D2A">
        <w:tc>
          <w:tcPr>
            <w:tcW w:w="1506" w:type="dxa"/>
          </w:tcPr>
          <w:p w:rsidR="002648B0" w:rsidRPr="00392FFD" w:rsidRDefault="002648B0" w:rsidP="00FD239F">
            <w:pPr>
              <w:pStyle w:val="InstructionsText"/>
            </w:pPr>
            <w:r>
              <w:t>010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w:t>
            </w:r>
            <w:r w:rsidRPr="008A3CEF">
              <w:rPr>
                <w:u w:val="single"/>
              </w:rPr>
              <w:tab/>
            </w:r>
            <w:r>
              <w:rPr>
                <w:rStyle w:val="InstructionsTabelleberschrift"/>
                <w:rFonts w:ascii="Times New Roman" w:hAnsi="Times New Roman"/>
                <w:sz w:val="24"/>
              </w:rPr>
              <w:t>Halasztott adókövetelések összesen</w:t>
            </w:r>
          </w:p>
          <w:p w:rsidR="005643EA" w:rsidRPr="00392FFD" w:rsidRDefault="002648B0" w:rsidP="00FD239F">
            <w:pPr>
              <w:pStyle w:val="InstructionsText"/>
            </w:pPr>
            <w:r>
              <w:t>Az e tételben megadott érték megegyezik a legutóbbi ellenő</w:t>
            </w:r>
            <w:r>
              <w:t>r</w:t>
            </w:r>
            <w:r>
              <w:t>zött/hitelesített számviteli mérlegben szereplő összeggel.</w:t>
            </w:r>
          </w:p>
        </w:tc>
      </w:tr>
      <w:tr w:rsidR="002648B0" w:rsidRPr="00392FFD" w:rsidTr="00672D2A">
        <w:tc>
          <w:tcPr>
            <w:tcW w:w="1506" w:type="dxa"/>
          </w:tcPr>
          <w:p w:rsidR="002648B0" w:rsidRPr="00392FFD" w:rsidRDefault="002648B0" w:rsidP="00FD239F">
            <w:pPr>
              <w:pStyle w:val="InstructionsText"/>
            </w:pPr>
            <w:r>
              <w:t>020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1.1.</w:t>
            </w:r>
            <w:r w:rsidRPr="008A3CEF">
              <w:rPr>
                <w:u w:val="single"/>
              </w:rPr>
              <w:tab/>
            </w:r>
            <w:r>
              <w:rPr>
                <w:rStyle w:val="InstructionsTabelleberschrift"/>
                <w:rFonts w:ascii="Times New Roman" w:hAnsi="Times New Roman"/>
                <w:sz w:val="24"/>
              </w:rPr>
              <w:t>Nem a jövőbeli nyereségtől függően érvényesíthető halasztott adókövetelések</w:t>
            </w:r>
          </w:p>
          <w:p w:rsidR="005643EA" w:rsidRPr="00392FFD" w:rsidRDefault="002648B0" w:rsidP="00FD239F">
            <w:pPr>
              <w:pStyle w:val="InstructionsText"/>
            </w:pPr>
            <w:r>
              <w:t>A CRR 39. cikkének (2) bekezdése</w:t>
            </w:r>
          </w:p>
          <w:p w:rsidR="005643EA" w:rsidRPr="00392FFD" w:rsidRDefault="002648B0" w:rsidP="00FD239F">
            <w:pPr>
              <w:pStyle w:val="InstructionsText"/>
            </w:pPr>
            <w:r>
              <w:t>Nem a jövőbeli nyereségtől függően érvényesíthető halasztott adóköv</w:t>
            </w:r>
            <w:r>
              <w:t>e</w:t>
            </w:r>
            <w:r>
              <w:t>telések, amelyekre kockázati súlyt kell alkalmazni.</w:t>
            </w:r>
          </w:p>
        </w:tc>
      </w:tr>
      <w:tr w:rsidR="002648B0" w:rsidRPr="00392FFD" w:rsidTr="00672D2A">
        <w:tc>
          <w:tcPr>
            <w:tcW w:w="1506" w:type="dxa"/>
          </w:tcPr>
          <w:p w:rsidR="002648B0" w:rsidRPr="00392FFD" w:rsidRDefault="002648B0" w:rsidP="00FD239F">
            <w:pPr>
              <w:pStyle w:val="InstructionsText"/>
            </w:pPr>
            <w:r>
              <w:t>030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rsidRPr="008A3CEF">
              <w:rPr>
                <w:u w:val="single"/>
              </w:rPr>
              <w:tab/>
            </w:r>
            <w:r>
              <w:rPr>
                <w:rStyle w:val="InstructionsTabelleberschrift"/>
                <w:rFonts w:ascii="Times New Roman" w:hAnsi="Times New Roman"/>
                <w:sz w:val="24"/>
              </w:rPr>
              <w:t>Jövőbeli nyereségtől függően érvényesíthető, nem átmeneti különbözetből eredő halasztott adókövetelések</w:t>
            </w:r>
          </w:p>
          <w:p w:rsidR="005643EA" w:rsidRPr="00392FFD" w:rsidRDefault="002648B0" w:rsidP="00FD239F">
            <w:pPr>
              <w:pStyle w:val="InstructionsText"/>
            </w:pPr>
            <w:r>
              <w:t>A CRR 36. cikke (1) bekezdésének c) pontja, valamint 38. cikke</w:t>
            </w:r>
          </w:p>
          <w:p w:rsidR="005643EA" w:rsidRPr="00392FFD" w:rsidRDefault="002648B0" w:rsidP="00FD239F">
            <w:pPr>
              <w:pStyle w:val="InstructionsText"/>
            </w:pPr>
            <w:r>
              <w:t>Jövőbeli nyereségtől függően érvényesíthető halasztott adókövetelések, amelyek nem átmeneti különbözetből erednek, így küszöbérték nem v</w:t>
            </w:r>
            <w:r>
              <w:t>o</w:t>
            </w:r>
            <w:r>
              <w:t>natkozik rájuk, vagyis a CET1 tőkéből teljes összegben levonandók.</w:t>
            </w:r>
          </w:p>
        </w:tc>
      </w:tr>
      <w:tr w:rsidR="002648B0" w:rsidRPr="00392FFD" w:rsidTr="00672D2A">
        <w:tc>
          <w:tcPr>
            <w:tcW w:w="1506" w:type="dxa"/>
          </w:tcPr>
          <w:p w:rsidR="002648B0" w:rsidRPr="00392FFD" w:rsidRDefault="002648B0" w:rsidP="00FD239F">
            <w:pPr>
              <w:pStyle w:val="InstructionsText"/>
            </w:pPr>
            <w:r>
              <w:t>040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w:t>
            </w:r>
            <w:r w:rsidRPr="008A3CEF">
              <w:rPr>
                <w:u w:val="single"/>
              </w:rPr>
              <w:tab/>
            </w:r>
            <w:r>
              <w:rPr>
                <w:rStyle w:val="InstructionsTabelleberschrift"/>
                <w:rFonts w:ascii="Times New Roman" w:hAnsi="Times New Roman"/>
                <w:sz w:val="24"/>
              </w:rPr>
              <w:t>Jövőbeli nyereségtől függően érvényesíthető, átmeneti külö</w:t>
            </w:r>
            <w:r>
              <w:rPr>
                <w:rStyle w:val="InstructionsTabelleberschrift"/>
                <w:rFonts w:ascii="Times New Roman" w:hAnsi="Times New Roman"/>
                <w:sz w:val="24"/>
              </w:rPr>
              <w:t>n</w:t>
            </w:r>
            <w:r>
              <w:rPr>
                <w:rStyle w:val="InstructionsTabelleberschrift"/>
                <w:rFonts w:ascii="Times New Roman" w:hAnsi="Times New Roman"/>
                <w:sz w:val="24"/>
              </w:rPr>
              <w:t>bözetből eredő halasztott adókövetelések</w:t>
            </w:r>
          </w:p>
          <w:p w:rsidR="005643EA" w:rsidRPr="00392FFD" w:rsidRDefault="002648B0" w:rsidP="00FD239F">
            <w:pPr>
              <w:pStyle w:val="InstructionsText"/>
            </w:pPr>
            <w:r>
              <w:t>A CRR 36. cikke (1) bekezdésének c) pontja; 38. cikke, valamint 48. cikke (1) bekezdésének a) pontja</w:t>
            </w:r>
          </w:p>
          <w:p w:rsidR="005643EA" w:rsidRPr="00392FFD" w:rsidRDefault="002648B0" w:rsidP="00FD239F">
            <w:pPr>
              <w:pStyle w:val="InstructionsText"/>
            </w:pPr>
            <w:r>
              <w:t>Jövőbeli nyereségtől függően érvényesíthető halasztott adókövetelések, amelyek átmeneti különbözetből erednek, így a CET1 tőkéből való lev</w:t>
            </w:r>
            <w:r>
              <w:t>o</w:t>
            </w:r>
            <w:r>
              <w:t>násukkor a CRR 48. cikkében rögzített 10 %, illetve 17,65 %-os küsz</w:t>
            </w:r>
            <w:r>
              <w:t>ö</w:t>
            </w:r>
            <w:r>
              <w:t>böt kell alkalmazni.</w:t>
            </w:r>
          </w:p>
        </w:tc>
      </w:tr>
      <w:tr w:rsidR="002648B0" w:rsidRPr="00392FFD" w:rsidTr="00672D2A">
        <w:tc>
          <w:tcPr>
            <w:tcW w:w="1506" w:type="dxa"/>
          </w:tcPr>
          <w:p w:rsidR="002648B0" w:rsidRPr="00392FFD" w:rsidRDefault="002648B0" w:rsidP="00FD239F">
            <w:pPr>
              <w:pStyle w:val="InstructionsText"/>
            </w:pPr>
            <w:r>
              <w:t>050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 Halasztott adókötelezettségek összesen</w:t>
            </w:r>
          </w:p>
          <w:p w:rsidR="005643EA" w:rsidRPr="00392FFD" w:rsidRDefault="002648B0" w:rsidP="00FD239F">
            <w:pPr>
              <w:pStyle w:val="InstructionsText"/>
            </w:pPr>
            <w:r>
              <w:t>Az e tételben megadott érték megegyezik a legutóbbi ellenő</w:t>
            </w:r>
            <w:r>
              <w:t>r</w:t>
            </w:r>
            <w:r>
              <w:t>zött/hitelesített számviteli mérlegben szereplő összeggel.</w:t>
            </w:r>
          </w:p>
        </w:tc>
      </w:tr>
      <w:tr w:rsidR="002648B0" w:rsidRPr="00392FFD" w:rsidTr="00672D2A">
        <w:tc>
          <w:tcPr>
            <w:tcW w:w="1506" w:type="dxa"/>
          </w:tcPr>
          <w:p w:rsidR="002648B0" w:rsidRPr="00392FFD" w:rsidRDefault="002648B0" w:rsidP="00FD239F">
            <w:pPr>
              <w:pStyle w:val="InstructionsText"/>
            </w:pPr>
            <w:r>
              <w:t>060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rsidRPr="008A3CEF">
              <w:rPr>
                <w:u w:val="single"/>
              </w:rPr>
              <w:tab/>
            </w:r>
            <w:r>
              <w:rPr>
                <w:rStyle w:val="InstructionsTabelleberschrift"/>
                <w:rFonts w:ascii="Times New Roman" w:hAnsi="Times New Roman"/>
                <w:sz w:val="24"/>
              </w:rPr>
              <w:t>Jövőbeli nyereségtől függően érvényesíthető, halasztott ad</w:t>
            </w:r>
            <w:r>
              <w:rPr>
                <w:rStyle w:val="InstructionsTabelleberschrift"/>
                <w:rFonts w:ascii="Times New Roman" w:hAnsi="Times New Roman"/>
                <w:sz w:val="24"/>
              </w:rPr>
              <w:t>ó</w:t>
            </w:r>
            <w:r>
              <w:rPr>
                <w:rStyle w:val="InstructionsTabelleberschrift"/>
                <w:rFonts w:ascii="Times New Roman" w:hAnsi="Times New Roman"/>
                <w:sz w:val="24"/>
              </w:rPr>
              <w:t>követelésekhez kapcsolódó, nem levonható halasztott adókötelezet</w:t>
            </w:r>
            <w:r>
              <w:rPr>
                <w:rStyle w:val="InstructionsTabelleberschrift"/>
                <w:rFonts w:ascii="Times New Roman" w:hAnsi="Times New Roman"/>
                <w:sz w:val="24"/>
              </w:rPr>
              <w:t>t</w:t>
            </w:r>
            <w:r>
              <w:rPr>
                <w:rStyle w:val="InstructionsTabelleberschrift"/>
                <w:rFonts w:ascii="Times New Roman" w:hAnsi="Times New Roman"/>
                <w:sz w:val="24"/>
              </w:rPr>
              <w:t>ségek</w:t>
            </w:r>
          </w:p>
          <w:p w:rsidR="005643EA" w:rsidRPr="00392FFD" w:rsidRDefault="002648B0" w:rsidP="00FD239F">
            <w:pPr>
              <w:pStyle w:val="InstructionsText"/>
            </w:pPr>
            <w:r>
              <w:t>A CRR 38. cikkének (3) és (4) bekezdése</w:t>
            </w:r>
          </w:p>
          <w:p w:rsidR="005643EA" w:rsidRPr="00392FFD" w:rsidRDefault="002648B0" w:rsidP="00FD239F">
            <w:pPr>
              <w:pStyle w:val="InstructionsText"/>
            </w:pPr>
            <w:r>
              <w:t>Azok a halasztott adókötelezettségek, amelyek esetében a CRR 38. ci</w:t>
            </w:r>
            <w:r>
              <w:t>k</w:t>
            </w:r>
            <w:r>
              <w:t>kének (3) és (4) bekezdésében foglalt feltételek nem teljesülnek. Így a tétel magában foglalja az olyan halasztott adókötelezettségeket, amelyek csökkentik a levonandó cégérték, egyéb immateriális javak vagy megh</w:t>
            </w:r>
            <w:r>
              <w:t>a</w:t>
            </w:r>
            <w:r>
              <w:t>tározott szolgáltatást nyújtó nyugdíjalapban lévő eszközöknek az 1.1.1.10.3</w:t>
            </w:r>
            <w:proofErr w:type="gramStart"/>
            <w:r>
              <w:t>.,</w:t>
            </w:r>
            <w:proofErr w:type="gramEnd"/>
            <w:r>
              <w:t xml:space="preserve"> 1.1.1.11.2., illetve 1.1.1.14.2. CA1-tételben megadott össz</w:t>
            </w:r>
            <w:r>
              <w:t>e</w:t>
            </w:r>
            <w:r>
              <w:t>gét.</w:t>
            </w:r>
          </w:p>
        </w:tc>
      </w:tr>
      <w:tr w:rsidR="002648B0" w:rsidRPr="00392FFD" w:rsidTr="00672D2A">
        <w:tc>
          <w:tcPr>
            <w:tcW w:w="1506" w:type="dxa"/>
          </w:tcPr>
          <w:p w:rsidR="002648B0" w:rsidRPr="00392FFD" w:rsidRDefault="002648B0" w:rsidP="00FD239F">
            <w:pPr>
              <w:pStyle w:val="InstructionsText"/>
            </w:pPr>
            <w:r>
              <w:lastRenderedPageBreak/>
              <w:t>070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rsidRPr="008A3CEF">
              <w:rPr>
                <w:u w:val="single"/>
              </w:rPr>
              <w:tab/>
            </w:r>
            <w:r>
              <w:rPr>
                <w:rStyle w:val="InstructionsTabelleberschrift"/>
                <w:rFonts w:ascii="Times New Roman" w:hAnsi="Times New Roman"/>
                <w:sz w:val="24"/>
              </w:rPr>
              <w:t>Jövőbeli nyereségtől függően érvényesíthető, halasztott ad</w:t>
            </w:r>
            <w:r>
              <w:rPr>
                <w:rStyle w:val="InstructionsTabelleberschrift"/>
                <w:rFonts w:ascii="Times New Roman" w:hAnsi="Times New Roman"/>
                <w:sz w:val="24"/>
              </w:rPr>
              <w:t>ó</w:t>
            </w:r>
            <w:r>
              <w:rPr>
                <w:rStyle w:val="InstructionsTabelleberschrift"/>
                <w:rFonts w:ascii="Times New Roman" w:hAnsi="Times New Roman"/>
                <w:sz w:val="24"/>
              </w:rPr>
              <w:t>követelésekhez kapcsolódó, levonható halasztott adókötelezettségek</w:t>
            </w:r>
          </w:p>
          <w:p w:rsidR="005643EA" w:rsidRPr="00392FFD" w:rsidRDefault="002648B0" w:rsidP="00FD239F">
            <w:pPr>
              <w:pStyle w:val="InstructionsText"/>
            </w:pPr>
            <w:r>
              <w:t>A CRR 38. cikke</w:t>
            </w:r>
          </w:p>
        </w:tc>
      </w:tr>
      <w:tr w:rsidR="002648B0" w:rsidRPr="00392FFD" w:rsidTr="00672D2A">
        <w:tc>
          <w:tcPr>
            <w:tcW w:w="1506" w:type="dxa"/>
          </w:tcPr>
          <w:p w:rsidR="002648B0" w:rsidRPr="00392FFD" w:rsidRDefault="002648B0" w:rsidP="00FD239F">
            <w:pPr>
              <w:pStyle w:val="InstructionsText"/>
            </w:pPr>
            <w:r>
              <w:t>080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2.2.1.</w:t>
            </w:r>
            <w:r w:rsidRPr="008A3CEF">
              <w:rPr>
                <w:u w:val="single"/>
              </w:rPr>
              <w:tab/>
            </w:r>
            <w:r>
              <w:rPr>
                <w:rStyle w:val="InstructionsTabelleberschrift"/>
                <w:rFonts w:ascii="Times New Roman" w:hAnsi="Times New Roman"/>
                <w:sz w:val="24"/>
              </w:rPr>
              <w:t>Nem átmeneti különbözetből eredő, jövőbeli nyereségtől fü</w:t>
            </w:r>
            <w:r>
              <w:rPr>
                <w:rStyle w:val="InstructionsTabelleberschrift"/>
                <w:rFonts w:ascii="Times New Roman" w:hAnsi="Times New Roman"/>
                <w:sz w:val="24"/>
              </w:rPr>
              <w:t>g</w:t>
            </w:r>
            <w:r>
              <w:rPr>
                <w:rStyle w:val="InstructionsTabelleberschrift"/>
                <w:rFonts w:ascii="Times New Roman" w:hAnsi="Times New Roman"/>
                <w:sz w:val="24"/>
              </w:rPr>
              <w:t>gően érvényesíthető, halasztott adókövetelésekhez kapcsolódó, l</w:t>
            </w:r>
            <w:r>
              <w:rPr>
                <w:rStyle w:val="InstructionsTabelleberschrift"/>
                <w:rFonts w:ascii="Times New Roman" w:hAnsi="Times New Roman"/>
                <w:sz w:val="24"/>
              </w:rPr>
              <w:t>e</w:t>
            </w:r>
            <w:r>
              <w:rPr>
                <w:rStyle w:val="InstructionsTabelleberschrift"/>
                <w:rFonts w:ascii="Times New Roman" w:hAnsi="Times New Roman"/>
                <w:sz w:val="24"/>
              </w:rPr>
              <w:t>vonható halasztott adókötelezettségek</w:t>
            </w:r>
          </w:p>
          <w:p w:rsidR="005643EA" w:rsidRPr="00392FFD" w:rsidRDefault="002648B0" w:rsidP="00FD239F">
            <w:pPr>
              <w:pStyle w:val="InstructionsText"/>
            </w:pPr>
            <w:r>
              <w:t>A CRR 38. cikkének (3), (4) és (5) bekezdése</w:t>
            </w:r>
          </w:p>
          <w:p w:rsidR="005643EA" w:rsidRPr="00392FFD" w:rsidRDefault="002648B0" w:rsidP="00FD239F">
            <w:pPr>
              <w:pStyle w:val="InstructionsText"/>
            </w:pPr>
            <w:r>
              <w:t>Azon halasztott adókötelezettségek, amelyek a CRR 38. cikkének (3) és (4) bekezdése szerint csökkenthetik az átmeneti különbözetből eredő, jövőbeli nyereségtől függően érvényesíthető halasztott adókövetelések összegét, és a CRR 38. cikkének (5) bekezdése értelmében nem tarto</w:t>
            </w:r>
            <w:r>
              <w:t>z</w:t>
            </w:r>
            <w:r>
              <w:t>nak az átmeneti különbözetből eredő, jövőbeli nyereségtől függően é</w:t>
            </w:r>
            <w:r>
              <w:t>r</w:t>
            </w:r>
            <w:r>
              <w:t>vényesíthető halasztott adókövetelésekhez.</w:t>
            </w:r>
          </w:p>
        </w:tc>
      </w:tr>
      <w:tr w:rsidR="002648B0" w:rsidRPr="00392FFD" w:rsidTr="00672D2A">
        <w:tc>
          <w:tcPr>
            <w:tcW w:w="1506" w:type="dxa"/>
          </w:tcPr>
          <w:p w:rsidR="002648B0" w:rsidRPr="00392FFD" w:rsidRDefault="002648B0" w:rsidP="00FD239F">
            <w:pPr>
              <w:pStyle w:val="InstructionsText"/>
            </w:pPr>
            <w:r>
              <w:t>090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2.2.2.</w:t>
            </w:r>
            <w:r w:rsidRPr="008A3CEF">
              <w:rPr>
                <w:u w:val="single"/>
              </w:rPr>
              <w:tab/>
            </w:r>
            <w:r>
              <w:rPr>
                <w:rStyle w:val="InstructionsTabelleberschrift"/>
                <w:rFonts w:ascii="Times New Roman" w:hAnsi="Times New Roman"/>
                <w:sz w:val="24"/>
              </w:rPr>
              <w:t>Átmeneti különbözetből eredő, jövőbeli nyereségtől függően érvényesíthető, halasztott adókövetelésekhez kapcsolódó, levonható halasztott adókötelezettségek</w:t>
            </w:r>
          </w:p>
          <w:p w:rsidR="005643EA" w:rsidRPr="00392FFD" w:rsidRDefault="002648B0" w:rsidP="00FD239F">
            <w:pPr>
              <w:pStyle w:val="InstructionsText"/>
            </w:pPr>
            <w:r>
              <w:t>A CRR 38. cikkének (3), (4) és (5) bekezdése</w:t>
            </w:r>
          </w:p>
          <w:p w:rsidR="005643EA" w:rsidRPr="00392FFD" w:rsidRDefault="002648B0" w:rsidP="00FD239F">
            <w:pPr>
              <w:pStyle w:val="InstructionsText"/>
            </w:pPr>
            <w:r>
              <w:t>Azon halasztott adókötelezettségek, amelyek a CRR 38. cikkének (3) és (4) bekezdése szerint csökkenthetik az átmeneti különbözetből eredő, jövőbeli nyereségtől függően érvényesíthető halasztott adókövetelések összegét, és a CRR 38. cikkének (5) bekezdése értelmében az átmeneti különbözetből eredő, jövőbeli nyereségtől függően érvényesíthető h</w:t>
            </w:r>
            <w:r>
              <w:t>a</w:t>
            </w:r>
            <w:r>
              <w:t>lasztott adókövetelésekhez tartoznak.</w:t>
            </w:r>
          </w:p>
        </w:tc>
      </w:tr>
      <w:tr w:rsidR="00550113" w:rsidRPr="00392FFD" w:rsidTr="00672D2A">
        <w:tc>
          <w:tcPr>
            <w:tcW w:w="1506" w:type="dxa"/>
          </w:tcPr>
          <w:p w:rsidR="00550113" w:rsidRPr="00392FFD" w:rsidRDefault="00550113" w:rsidP="00FD239F">
            <w:pPr>
              <w:pStyle w:val="InstructionsText"/>
            </w:pPr>
            <w:r>
              <w:t>093</w:t>
            </w:r>
          </w:p>
        </w:tc>
        <w:tc>
          <w:tcPr>
            <w:tcW w:w="7243" w:type="dxa"/>
          </w:tcPr>
          <w:p w:rsidR="00550113" w:rsidRPr="00201704" w:rsidRDefault="00550113" w:rsidP="00FD239F">
            <w:pPr>
              <w:pStyle w:val="InstructionsText"/>
            </w:pPr>
            <w:r>
              <w:rPr>
                <w:rStyle w:val="InstructionsTabelleberschrift"/>
                <w:rFonts w:ascii="Times New Roman" w:hAnsi="Times New Roman"/>
                <w:sz w:val="24"/>
              </w:rPr>
              <w:t>2</w:t>
            </w:r>
            <w:proofErr w:type="gramStart"/>
            <w:r>
              <w:rPr>
                <w:rStyle w:val="InstructionsTabelleberschrift"/>
                <w:rFonts w:ascii="Times New Roman" w:hAnsi="Times New Roman"/>
                <w:sz w:val="24"/>
              </w:rPr>
              <w:t>A.</w:t>
            </w:r>
            <w:proofErr w:type="gramEnd"/>
            <w:r w:rsidRPr="008A3CEF">
              <w:rPr>
                <w:u w:val="single"/>
              </w:rPr>
              <w:tab/>
            </w:r>
            <w:r>
              <w:rPr>
                <w:rStyle w:val="InstructionsTabelleberschrift"/>
                <w:rFonts w:ascii="Times New Roman" w:hAnsi="Times New Roman"/>
                <w:sz w:val="24"/>
              </w:rPr>
              <w:t>Adótúlfizetések és negatív adóalaphoz kapcsolódó vissz</w:t>
            </w:r>
            <w:r>
              <w:rPr>
                <w:rStyle w:val="InstructionsTabelleberschrift"/>
                <w:rFonts w:ascii="Times New Roman" w:hAnsi="Times New Roman"/>
                <w:sz w:val="24"/>
              </w:rPr>
              <w:t>a</w:t>
            </w:r>
            <w:r>
              <w:rPr>
                <w:rStyle w:val="InstructionsTabelleberschrift"/>
                <w:rFonts w:ascii="Times New Roman" w:hAnsi="Times New Roman"/>
                <w:sz w:val="24"/>
              </w:rPr>
              <w:t>könyvelések</w:t>
            </w:r>
          </w:p>
          <w:p w:rsidR="00550113" w:rsidRPr="00392FFD" w:rsidRDefault="00201704" w:rsidP="00FD239F">
            <w:pPr>
              <w:pStyle w:val="InstructionsText"/>
            </w:pPr>
            <w:r>
              <w:t>A CRR 39. cikkének (1) bekezdése</w:t>
            </w:r>
          </w:p>
          <w:p w:rsidR="00550113" w:rsidRPr="00392FFD" w:rsidRDefault="00550113" w:rsidP="00FD239F">
            <w:pPr>
              <w:pStyle w:val="InstructionsText"/>
              <w:rPr>
                <w:rStyle w:val="InstructionsTabelleberschrift"/>
                <w:rFonts w:ascii="Times New Roman" w:hAnsi="Times New Roman"/>
                <w:b w:val="0"/>
                <w:bCs w:val="0"/>
                <w:sz w:val="24"/>
                <w:u w:val="none"/>
              </w:rPr>
            </w:pPr>
            <w:r>
              <w:t>Az adótúlfizetések és negatív adóalaphoz kapcsolódó visszakönyvelések azon összege, amelyet a CRR 39. cikke (1) bekezdésének megfelelően nem vonnak le a szavatoló tőkéből; a feltüntetett összeg a kockázati s</w:t>
            </w:r>
            <w:r>
              <w:t>ú</w:t>
            </w:r>
            <w:r>
              <w:t>lyok alkalmazása előtti összeg.</w:t>
            </w:r>
          </w:p>
        </w:tc>
      </w:tr>
      <w:tr w:rsidR="00DF65DF" w:rsidRPr="00392FFD" w:rsidTr="00672D2A">
        <w:tc>
          <w:tcPr>
            <w:tcW w:w="1506" w:type="dxa"/>
          </w:tcPr>
          <w:p w:rsidR="00DF65DF" w:rsidRPr="00392FFD" w:rsidRDefault="00DF65DF" w:rsidP="00FD239F">
            <w:pPr>
              <w:pStyle w:val="InstructionsText"/>
            </w:pPr>
            <w:r>
              <w:t>096</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2B.</w:t>
            </w:r>
            <w:r w:rsidRPr="008A3CEF">
              <w:rPr>
                <w:u w:val="single"/>
              </w:rPr>
              <w:tab/>
            </w:r>
            <w:r>
              <w:rPr>
                <w:rStyle w:val="InstructionsTabelleberschrift"/>
                <w:rFonts w:ascii="Times New Roman" w:hAnsi="Times New Roman"/>
                <w:sz w:val="24"/>
              </w:rPr>
              <w:t>250 %-os kockázati súlyú halasztott adókövetelések</w:t>
            </w:r>
          </w:p>
          <w:p w:rsidR="00DF65DF" w:rsidRPr="00392FFD" w:rsidRDefault="00201704" w:rsidP="00FD239F">
            <w:pPr>
              <w:pStyle w:val="InstructionsText"/>
            </w:pPr>
            <w:r>
              <w:t>A CRR 48. cikkének (4) bekezdése</w:t>
            </w:r>
          </w:p>
          <w:p w:rsidR="00DF65DF" w:rsidRPr="00201704" w:rsidRDefault="00DF65DF" w:rsidP="00FD239F">
            <w:pPr>
              <w:pStyle w:val="InstructionsText"/>
              <w:rPr>
                <w:rStyle w:val="InstructionsTabelleberschrift"/>
                <w:rFonts w:ascii="Times New Roman" w:hAnsi="Times New Roman"/>
                <w:b w:val="0"/>
                <w:bCs w:val="0"/>
                <w:sz w:val="24"/>
                <w:u w:val="none"/>
              </w:rPr>
            </w:pPr>
            <w:r>
              <w:t>Jövőbeli nyereségtől függően érvényesíthető és átmeneti különbözetből eredő azon halasztott adókövetelések összege, amelyeket a CRR 48. ci</w:t>
            </w:r>
            <w:r>
              <w:t>k</w:t>
            </w:r>
            <w:r>
              <w:t>ke (1) bekezdésének megfelelően nem vonnak le, de amelyekre a CRR 48. cikkének (4) bekezdése értelmében 250 %-os kockázati súly alka</w:t>
            </w:r>
            <w:r>
              <w:t>l</w:t>
            </w:r>
            <w:r>
              <w:t>mazható, figyelembe véve a CRR 470. cikkének a hatását. A feltüntetett összeg a halasztott adókövetelések kockázati súlyok alkalmazása előtti összege.</w:t>
            </w:r>
          </w:p>
        </w:tc>
      </w:tr>
      <w:tr w:rsidR="00DF65DF" w:rsidRPr="00392FFD" w:rsidTr="00672D2A">
        <w:tc>
          <w:tcPr>
            <w:tcW w:w="1506" w:type="dxa"/>
          </w:tcPr>
          <w:p w:rsidR="00DF65DF" w:rsidRPr="00392FFD" w:rsidRDefault="00DF65DF" w:rsidP="00FD239F">
            <w:pPr>
              <w:pStyle w:val="InstructionsText"/>
            </w:pPr>
            <w:r>
              <w:t>097</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2C.</w:t>
            </w:r>
            <w:r w:rsidRPr="008A3CEF">
              <w:rPr>
                <w:u w:val="single"/>
              </w:rPr>
              <w:tab/>
            </w:r>
            <w:r>
              <w:rPr>
                <w:rStyle w:val="InstructionsTabelleberschrift"/>
                <w:rFonts w:ascii="Times New Roman" w:hAnsi="Times New Roman"/>
                <w:sz w:val="24"/>
              </w:rPr>
              <w:t>0 %-os kockázati súlyú halasztott adókövetelések</w:t>
            </w:r>
          </w:p>
          <w:p w:rsidR="00DF65DF" w:rsidRPr="00392FFD" w:rsidRDefault="00DF65DF" w:rsidP="00FD239F">
            <w:pPr>
              <w:pStyle w:val="InstructionsText"/>
            </w:pPr>
            <w:r>
              <w:t>A CRR 469. cikke (1) bekezdésének d) pontja, 470. cikke, 472. cikkének (5) bekezdése, valamint 478. cikke</w:t>
            </w:r>
          </w:p>
          <w:p w:rsidR="00DF65DF" w:rsidRPr="00201704" w:rsidRDefault="00DF65DF" w:rsidP="00FD239F">
            <w:pPr>
              <w:pStyle w:val="InstructionsText"/>
              <w:rPr>
                <w:rStyle w:val="InstructionsTabelleberschrift"/>
                <w:rFonts w:ascii="Times New Roman" w:hAnsi="Times New Roman"/>
                <w:b w:val="0"/>
                <w:bCs w:val="0"/>
                <w:sz w:val="24"/>
                <w:u w:val="none"/>
              </w:rPr>
            </w:pPr>
            <w:r>
              <w:t xml:space="preserve">Jövőbeli nyereségtől függően érvényesíthető és átmeneti különbözetből </w:t>
            </w:r>
            <w:r>
              <w:lastRenderedPageBreak/>
              <w:t>eredő azon halasztott adókövetelések összege, amelyeket a CRR 469. cikke (1) bekezdése d) pontjának és 470. cikkének megfelelően nem vonnak le, de amelyekre a CRR 472. cikkének (5) bekezdése értelmében 0 %-os kockázati súly alkalmazható. A feltüntetett összeg a halasztott adókövetelések kockázati súlyok alkalmazása előtti összege.</w:t>
            </w:r>
          </w:p>
        </w:tc>
      </w:tr>
      <w:tr w:rsidR="002648B0" w:rsidRPr="00392FFD" w:rsidTr="00672D2A">
        <w:tc>
          <w:tcPr>
            <w:tcW w:w="1506" w:type="dxa"/>
          </w:tcPr>
          <w:p w:rsidR="002648B0" w:rsidRPr="00392FFD" w:rsidRDefault="002648B0" w:rsidP="00FD239F">
            <w:pPr>
              <w:pStyle w:val="InstructionsText"/>
            </w:pPr>
            <w:r>
              <w:lastRenderedPageBreak/>
              <w:t>100</w:t>
            </w:r>
          </w:p>
        </w:tc>
        <w:tc>
          <w:tcPr>
            <w:tcW w:w="7243" w:type="dxa"/>
          </w:tcPr>
          <w:p w:rsidR="005643EA" w:rsidRPr="00201704"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sidRPr="008A3CEF">
              <w:rPr>
                <w:u w:val="single"/>
              </w:rPr>
              <w:tab/>
            </w:r>
            <w:r>
              <w:rPr>
                <w:rStyle w:val="InstructionsTabelleberschrift"/>
                <w:rFonts w:ascii="Times New Roman" w:hAnsi="Times New Roman"/>
                <w:sz w:val="24"/>
              </w:rPr>
              <w:t>Hitelkockázati kiigazítások és a kiegészítő értékelési korre</w:t>
            </w:r>
            <w:r>
              <w:rPr>
                <w:rStyle w:val="InstructionsTabelleberschrift"/>
                <w:rFonts w:ascii="Times New Roman" w:hAnsi="Times New Roman"/>
                <w:sz w:val="24"/>
              </w:rPr>
              <w:t>k</w:t>
            </w:r>
            <w:r>
              <w:rPr>
                <w:rStyle w:val="InstructionsTabelleberschrift"/>
                <w:rFonts w:ascii="Times New Roman" w:hAnsi="Times New Roman"/>
                <w:sz w:val="24"/>
              </w:rPr>
              <w:t>ciók, valamint az egyéb szavatolótőke-csökkentések IRB-módszerrel számított többlete (+) vagy hiánya (–) a várható veszteséghez visz</w:t>
            </w:r>
            <w:r>
              <w:rPr>
                <w:rStyle w:val="InstructionsTabelleberschrift"/>
                <w:rFonts w:ascii="Times New Roman" w:hAnsi="Times New Roman"/>
                <w:sz w:val="24"/>
              </w:rPr>
              <w:t>o</w:t>
            </w:r>
            <w:r>
              <w:rPr>
                <w:rStyle w:val="InstructionsTabelleberschrift"/>
                <w:rFonts w:ascii="Times New Roman" w:hAnsi="Times New Roman"/>
                <w:sz w:val="24"/>
              </w:rPr>
              <w:t>nyítva, teljesítő kitettségek esetén</w:t>
            </w:r>
          </w:p>
          <w:p w:rsidR="005643EA" w:rsidRPr="00392FFD" w:rsidRDefault="002648B0" w:rsidP="00FD239F">
            <w:pPr>
              <w:pStyle w:val="InstructionsText"/>
            </w:pPr>
            <w:r>
              <w:t>A CRR 36. cikke (1) bekezdésének d) pontja, 62. cikkének d) pontja, v</w:t>
            </w:r>
            <w:r>
              <w:t>a</w:t>
            </w:r>
            <w:r>
              <w:t>lamint 158. és 159. cikke</w:t>
            </w:r>
          </w:p>
          <w:p w:rsidR="005643EA" w:rsidRPr="00392FFD" w:rsidRDefault="002648B0" w:rsidP="00FD239F">
            <w:pPr>
              <w:pStyle w:val="InstructionsText"/>
            </w:pPr>
            <w:r>
              <w:t>A tételt kizárólag az IRB-módszert alkalmazó intézményeknek kell megadniuk.</w:t>
            </w:r>
          </w:p>
        </w:tc>
      </w:tr>
      <w:tr w:rsidR="002648B0" w:rsidRPr="00392FFD" w:rsidTr="00672D2A">
        <w:tc>
          <w:tcPr>
            <w:tcW w:w="1506" w:type="dxa"/>
          </w:tcPr>
          <w:p w:rsidR="002648B0" w:rsidRPr="00392FFD" w:rsidRDefault="002648B0" w:rsidP="00FD239F">
            <w:pPr>
              <w:pStyle w:val="InstructionsText"/>
            </w:pPr>
            <w:r>
              <w:t>110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w:t>
            </w:r>
            <w:r w:rsidRPr="008A3CEF">
              <w:rPr>
                <w:u w:val="single"/>
              </w:rPr>
              <w:tab/>
            </w:r>
            <w:r>
              <w:rPr>
                <w:rStyle w:val="InstructionsTabelleberschrift"/>
                <w:rFonts w:ascii="Times New Roman" w:hAnsi="Times New Roman"/>
                <w:sz w:val="24"/>
              </w:rPr>
              <w:t>A hitelkockázati kiigazítások és a kiegészítő értékelési ko</w:t>
            </w:r>
            <w:r>
              <w:rPr>
                <w:rStyle w:val="InstructionsTabelleberschrift"/>
                <w:rFonts w:ascii="Times New Roman" w:hAnsi="Times New Roman"/>
                <w:sz w:val="24"/>
              </w:rPr>
              <w:t>r</w:t>
            </w:r>
            <w:r>
              <w:rPr>
                <w:rStyle w:val="InstructionsTabelleberschrift"/>
                <w:rFonts w:ascii="Times New Roman" w:hAnsi="Times New Roman"/>
                <w:sz w:val="24"/>
              </w:rPr>
              <w:t>rekciók, valamint az egyéb szavatolótőke-csökkentések teljes, a vá</w:t>
            </w:r>
            <w:r>
              <w:rPr>
                <w:rStyle w:val="InstructionsTabelleberschrift"/>
                <w:rFonts w:ascii="Times New Roman" w:hAnsi="Times New Roman"/>
                <w:sz w:val="24"/>
              </w:rPr>
              <w:t>r</w:t>
            </w:r>
            <w:r>
              <w:rPr>
                <w:rStyle w:val="InstructionsTabelleberschrift"/>
                <w:rFonts w:ascii="Times New Roman" w:hAnsi="Times New Roman"/>
                <w:sz w:val="24"/>
              </w:rPr>
              <w:t>ható veszteség kiszámításakor figyelembe vehető összege</w:t>
            </w:r>
          </w:p>
          <w:p w:rsidR="005643EA" w:rsidRPr="00392FFD" w:rsidRDefault="002648B0" w:rsidP="00FD239F">
            <w:pPr>
              <w:pStyle w:val="InstructionsText"/>
            </w:pPr>
            <w:r>
              <w:t>A CRR 159. cikke</w:t>
            </w:r>
          </w:p>
          <w:p w:rsidR="005643EA" w:rsidRPr="00392FFD" w:rsidRDefault="002648B0" w:rsidP="00FD239F">
            <w:pPr>
              <w:pStyle w:val="InstructionsText"/>
            </w:pPr>
            <w:r>
              <w:t>A tételt kizárólag az IRB-módszert alkalmazó intézményeknek kell megadniuk.</w:t>
            </w:r>
          </w:p>
        </w:tc>
      </w:tr>
      <w:tr w:rsidR="002648B0" w:rsidRPr="00392FFD" w:rsidTr="00672D2A">
        <w:tc>
          <w:tcPr>
            <w:tcW w:w="1506" w:type="dxa"/>
          </w:tcPr>
          <w:p w:rsidR="002648B0" w:rsidRPr="00392FFD" w:rsidRDefault="002648B0" w:rsidP="00FD239F">
            <w:pPr>
              <w:pStyle w:val="InstructionsText"/>
            </w:pPr>
            <w:r>
              <w:t>120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3.1.1.</w:t>
            </w:r>
            <w:r w:rsidRPr="008A3CEF">
              <w:rPr>
                <w:u w:val="single"/>
              </w:rPr>
              <w:tab/>
            </w:r>
            <w:r>
              <w:rPr>
                <w:rStyle w:val="InstructionsTabelleberschrift"/>
                <w:rFonts w:ascii="Times New Roman" w:hAnsi="Times New Roman"/>
                <w:sz w:val="24"/>
              </w:rPr>
              <w:t>Általános hitelkockázati kiigazítások</w:t>
            </w:r>
          </w:p>
          <w:p w:rsidR="005643EA" w:rsidRPr="00392FFD" w:rsidRDefault="002648B0" w:rsidP="00FD239F">
            <w:pPr>
              <w:pStyle w:val="InstructionsText"/>
            </w:pPr>
            <w:r>
              <w:t>A CRR 159. cikke</w:t>
            </w:r>
          </w:p>
          <w:p w:rsidR="005643EA" w:rsidRPr="00392FFD" w:rsidRDefault="002648B0" w:rsidP="00FD239F">
            <w:pPr>
              <w:pStyle w:val="InstructionsText"/>
            </w:pPr>
            <w:r>
              <w:t>A tételt kizárólag az IRB-módszert alkalmazó intézményeknek kell megadniuk.</w:t>
            </w:r>
          </w:p>
        </w:tc>
      </w:tr>
      <w:tr w:rsidR="002648B0" w:rsidRPr="00392FFD" w:rsidTr="00672D2A">
        <w:tc>
          <w:tcPr>
            <w:tcW w:w="1506" w:type="dxa"/>
          </w:tcPr>
          <w:p w:rsidR="002648B0" w:rsidRPr="00392FFD" w:rsidRDefault="002648B0" w:rsidP="00FD239F">
            <w:pPr>
              <w:pStyle w:val="InstructionsText"/>
            </w:pPr>
            <w:r>
              <w:t>130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3.1.2.</w:t>
            </w:r>
            <w:r w:rsidRPr="008A3CEF">
              <w:rPr>
                <w:u w:val="single"/>
              </w:rPr>
              <w:tab/>
            </w:r>
            <w:r>
              <w:rPr>
                <w:rStyle w:val="InstructionsTabelleberschrift"/>
                <w:rFonts w:ascii="Times New Roman" w:hAnsi="Times New Roman"/>
                <w:sz w:val="24"/>
              </w:rPr>
              <w:t>Egyedi hitelkockázati kiigazítások</w:t>
            </w:r>
          </w:p>
          <w:p w:rsidR="005643EA" w:rsidRPr="00392FFD" w:rsidRDefault="002648B0" w:rsidP="00FD239F">
            <w:pPr>
              <w:pStyle w:val="InstructionsText"/>
            </w:pPr>
            <w:r>
              <w:t>A CRR 159. cikke</w:t>
            </w:r>
          </w:p>
          <w:p w:rsidR="005643EA" w:rsidRPr="00392FFD" w:rsidRDefault="002648B0" w:rsidP="00FD239F">
            <w:pPr>
              <w:pStyle w:val="InstructionsText"/>
            </w:pPr>
            <w:r>
              <w:t>A tételt kizárólag az IRB-módszert alkalmazó intézményeknek kell megadniuk.</w:t>
            </w:r>
          </w:p>
        </w:tc>
      </w:tr>
      <w:tr w:rsidR="002648B0" w:rsidRPr="00392FFD" w:rsidTr="00672D2A">
        <w:tc>
          <w:tcPr>
            <w:tcW w:w="1506" w:type="dxa"/>
          </w:tcPr>
          <w:p w:rsidR="002648B0" w:rsidRPr="00392FFD" w:rsidRDefault="002648B0" w:rsidP="00FD239F">
            <w:pPr>
              <w:pStyle w:val="InstructionsText"/>
            </w:pPr>
            <w:r>
              <w:t>131</w:t>
            </w:r>
          </w:p>
          <w:p w:rsidR="005643EA" w:rsidRPr="00392FFD" w:rsidRDefault="005643EA" w:rsidP="00FD239F">
            <w:pPr>
              <w:pStyle w:val="InstructionsText"/>
            </w:pP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sidRPr="008A3CEF">
              <w:rPr>
                <w:u w:val="single"/>
              </w:rPr>
              <w:tab/>
            </w:r>
            <w:r>
              <w:rPr>
                <w:rStyle w:val="InstructionsTabelleberschrift"/>
                <w:rFonts w:ascii="Times New Roman" w:hAnsi="Times New Roman"/>
                <w:sz w:val="24"/>
              </w:rPr>
              <w:t>Kiegészítő értékelési korrekciók és egyéb szavatolótőke-csökkentések</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34</w:t>
            </w:r>
            <w:proofErr w:type="gramStart"/>
            <w:r>
              <w:rPr>
                <w:rStyle w:val="InstructionsTabelleberschrift"/>
                <w:rFonts w:ascii="Times New Roman" w:hAnsi="Times New Roman"/>
                <w:b w:val="0"/>
                <w:sz w:val="24"/>
                <w:u w:val="none"/>
              </w:rPr>
              <w:t>.,</w:t>
            </w:r>
            <w:proofErr w:type="gramEnd"/>
            <w:r>
              <w:rPr>
                <w:rStyle w:val="InstructionsTabelleberschrift"/>
                <w:rFonts w:ascii="Times New Roman" w:hAnsi="Times New Roman"/>
                <w:b w:val="0"/>
                <w:sz w:val="24"/>
                <w:u w:val="none"/>
              </w:rPr>
              <w:t xml:space="preserve"> 110. és 159. cikke</w:t>
            </w:r>
          </w:p>
          <w:p w:rsidR="005643EA" w:rsidRPr="00201704" w:rsidRDefault="002648B0" w:rsidP="00FD239F">
            <w:pPr>
              <w:pStyle w:val="InstructionsText"/>
              <w:rPr>
                <w:rStyle w:val="InstructionsTabelleberschrift"/>
                <w:rFonts w:ascii="Times New Roman" w:hAnsi="Times New Roman"/>
                <w:b w:val="0"/>
                <w:bCs w:val="0"/>
                <w:sz w:val="24"/>
                <w:u w:val="none"/>
              </w:rPr>
            </w:pPr>
            <w:r>
              <w:t>A tételt kizárólag az IRB-módszert alkalmazó intézményeknek kell megadniuk.</w:t>
            </w:r>
          </w:p>
        </w:tc>
      </w:tr>
      <w:tr w:rsidR="002648B0" w:rsidRPr="00392FFD" w:rsidTr="00672D2A">
        <w:tc>
          <w:tcPr>
            <w:tcW w:w="1506" w:type="dxa"/>
          </w:tcPr>
          <w:p w:rsidR="002648B0" w:rsidRPr="00392FFD" w:rsidRDefault="002648B0" w:rsidP="00FD239F">
            <w:pPr>
              <w:pStyle w:val="InstructionsText"/>
            </w:pPr>
            <w:r>
              <w:t>140</w:t>
            </w:r>
          </w:p>
        </w:tc>
        <w:tc>
          <w:tcPr>
            <w:tcW w:w="7243" w:type="dxa"/>
          </w:tcPr>
          <w:p w:rsidR="005643EA" w:rsidRPr="00392FFD" w:rsidRDefault="002648B0" w:rsidP="00FD239F">
            <w:pPr>
              <w:pStyle w:val="InstructionsText"/>
            </w:pPr>
            <w:r>
              <w:rPr>
                <w:rStyle w:val="InstructionsTabelleberschrift"/>
                <w:rFonts w:ascii="Times New Roman" w:hAnsi="Times New Roman"/>
                <w:sz w:val="24"/>
              </w:rPr>
              <w:t>3.2.</w:t>
            </w:r>
            <w:r w:rsidRPr="008A3CEF">
              <w:rPr>
                <w:u w:val="single"/>
              </w:rPr>
              <w:tab/>
            </w:r>
            <w:r>
              <w:rPr>
                <w:rStyle w:val="InstructionsTabelleberschrift"/>
                <w:rFonts w:ascii="Times New Roman" w:hAnsi="Times New Roman"/>
                <w:sz w:val="24"/>
              </w:rPr>
              <w:t>Figyelembe vehe</w:t>
            </w:r>
            <w:r w:rsidR="008A3CEF">
              <w:rPr>
                <w:rStyle w:val="InstructionsTabelleberschrift"/>
                <w:rFonts w:ascii="Times New Roman" w:hAnsi="Times New Roman"/>
                <w:sz w:val="24"/>
              </w:rPr>
              <w:t>tő várható veszteségek összesen</w:t>
            </w:r>
          </w:p>
          <w:p w:rsidR="005643EA" w:rsidRPr="00392FFD" w:rsidRDefault="002648B0" w:rsidP="00FD239F">
            <w:pPr>
              <w:pStyle w:val="InstructionsText"/>
            </w:pPr>
            <w:r>
              <w:t>A CRR 158. cikkének (5), (6) és (10) bekezdése, valamint 159. cikke</w:t>
            </w:r>
          </w:p>
          <w:p w:rsidR="005643EA" w:rsidRPr="00392FFD" w:rsidRDefault="00F11185" w:rsidP="00FD239F">
            <w:pPr>
              <w:pStyle w:val="InstructionsText"/>
            </w:pPr>
            <w:r>
              <w:t>A tételt kizárólag az IRB-módszert alkalmazó intézményeknek kell megadniuk. Kizárólag a teljesítő kitettségekhez kapcsolódó várható veszteségek adhatók meg.</w:t>
            </w:r>
          </w:p>
        </w:tc>
      </w:tr>
      <w:tr w:rsidR="00F11185" w:rsidRPr="00392FFD" w:rsidTr="00672D2A">
        <w:tc>
          <w:tcPr>
            <w:tcW w:w="1506" w:type="dxa"/>
          </w:tcPr>
          <w:p w:rsidR="00F11185" w:rsidRPr="00392FFD" w:rsidRDefault="00F11185" w:rsidP="00FD239F">
            <w:pPr>
              <w:pStyle w:val="InstructionsText"/>
            </w:pPr>
            <w:r>
              <w:t>145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Az egyedi hitelkockázati kiigazítások IRB-módszerrel számított többlete (+) vagy hiánya (–) a várható veszteséghez viszonyítva, nemteljesítő kitettségek esetén</w:t>
            </w:r>
          </w:p>
          <w:p w:rsidR="005643EA" w:rsidRPr="00392FFD" w:rsidRDefault="00630711" w:rsidP="00FD239F">
            <w:pPr>
              <w:pStyle w:val="InstructionsText"/>
            </w:pPr>
            <w:r>
              <w:t>A CRR 36. cikke (1) bekezdésének d) pontja, 62. cikkének d) pontja, v</w:t>
            </w:r>
            <w:r>
              <w:t>a</w:t>
            </w:r>
            <w:r>
              <w:lastRenderedPageBreak/>
              <w:t>lamint 158. és 159. cikke</w:t>
            </w:r>
          </w:p>
          <w:p w:rsidR="005643EA" w:rsidRPr="00201704" w:rsidRDefault="00630711" w:rsidP="00FD239F">
            <w:pPr>
              <w:pStyle w:val="InstructionsText"/>
              <w:rPr>
                <w:rStyle w:val="InstructionsTabelleberschrift"/>
                <w:rFonts w:ascii="Times New Roman" w:hAnsi="Times New Roman"/>
                <w:b w:val="0"/>
                <w:bCs w:val="0"/>
                <w:sz w:val="24"/>
                <w:u w:val="none"/>
              </w:rPr>
            </w:pPr>
            <w:r>
              <w:t>A tételt kizárólag az IRB-módszert alkalmazó intézményeknek kell megadniuk.</w:t>
            </w:r>
          </w:p>
        </w:tc>
      </w:tr>
      <w:tr w:rsidR="00F11185" w:rsidRPr="00392FFD" w:rsidTr="00672D2A">
        <w:tc>
          <w:tcPr>
            <w:tcW w:w="1506" w:type="dxa"/>
          </w:tcPr>
          <w:p w:rsidR="00F11185" w:rsidRPr="00392FFD" w:rsidRDefault="00F11185" w:rsidP="00FD239F">
            <w:pPr>
              <w:pStyle w:val="InstructionsText"/>
            </w:pPr>
            <w:r>
              <w:lastRenderedPageBreak/>
              <w:t>150</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sidRPr="008A3CEF">
              <w:rPr>
                <w:u w:val="single"/>
              </w:rPr>
              <w:tab/>
            </w:r>
            <w:r>
              <w:rPr>
                <w:rStyle w:val="InstructionsTabelleberschrift"/>
                <w:rFonts w:ascii="Times New Roman" w:hAnsi="Times New Roman"/>
                <w:sz w:val="24"/>
              </w:rPr>
              <w:t>Hasonló módon kezelt egyedi hitelkockázati kiigazítások és pozíciók</w:t>
            </w:r>
          </w:p>
          <w:p w:rsidR="005643EA" w:rsidRPr="00392FFD" w:rsidRDefault="00630711" w:rsidP="00FD239F">
            <w:pPr>
              <w:pStyle w:val="InstructionsText"/>
            </w:pPr>
            <w:r>
              <w:t>A CRR 159. cikke</w:t>
            </w:r>
          </w:p>
          <w:p w:rsidR="005643EA" w:rsidRPr="00201704" w:rsidRDefault="00630711" w:rsidP="00FD239F">
            <w:pPr>
              <w:pStyle w:val="InstructionsText"/>
              <w:rPr>
                <w:rStyle w:val="InstructionsTabelleberschrift"/>
                <w:rFonts w:ascii="Times New Roman" w:hAnsi="Times New Roman"/>
                <w:b w:val="0"/>
                <w:bCs w:val="0"/>
                <w:sz w:val="24"/>
                <w:u w:val="none"/>
              </w:rPr>
            </w:pPr>
            <w:r>
              <w:t>A tételt kizárólag az IRB-módszert alkalmazó intézményeknek kell megadniuk.</w:t>
            </w:r>
          </w:p>
        </w:tc>
      </w:tr>
      <w:tr w:rsidR="00F11185" w:rsidRPr="00392FFD" w:rsidTr="00672D2A">
        <w:tc>
          <w:tcPr>
            <w:tcW w:w="1506" w:type="dxa"/>
          </w:tcPr>
          <w:p w:rsidR="00F11185" w:rsidRPr="00392FFD" w:rsidRDefault="00F11185" w:rsidP="00FD239F">
            <w:pPr>
              <w:pStyle w:val="InstructionsText"/>
            </w:pPr>
            <w:r>
              <w:t>155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sidRPr="008A3CEF">
              <w:rPr>
                <w:u w:val="single"/>
              </w:rPr>
              <w:tab/>
            </w:r>
            <w:r>
              <w:rPr>
                <w:rStyle w:val="InstructionsTabelleberschrift"/>
                <w:rFonts w:ascii="Times New Roman" w:hAnsi="Times New Roman"/>
                <w:sz w:val="24"/>
              </w:rPr>
              <w:t>Figyelembe vehető várható veszteségek összesen</w:t>
            </w:r>
          </w:p>
          <w:p w:rsidR="005643EA" w:rsidRPr="00392FFD" w:rsidRDefault="00630711" w:rsidP="00FD239F">
            <w:pPr>
              <w:pStyle w:val="InstructionsText"/>
              <w:rPr>
                <w:rStyle w:val="InstructionsTabelleberschrift"/>
                <w:rFonts w:ascii="Times New Roman" w:hAnsi="Times New Roman"/>
                <w:sz w:val="24"/>
              </w:rPr>
            </w:pPr>
            <w:r>
              <w:t>A CRR 158. cikkének (5), (6) és (10) bekezdése, valamint 159. cikke</w:t>
            </w:r>
          </w:p>
          <w:p w:rsidR="005643EA" w:rsidRPr="00201704" w:rsidRDefault="00F11185" w:rsidP="00FD239F">
            <w:pPr>
              <w:pStyle w:val="InstructionsText"/>
              <w:rPr>
                <w:rStyle w:val="InstructionsTabelleberschrift"/>
                <w:rFonts w:ascii="Times New Roman" w:hAnsi="Times New Roman"/>
                <w:b w:val="0"/>
                <w:bCs w:val="0"/>
                <w:sz w:val="24"/>
                <w:u w:val="none"/>
              </w:rPr>
            </w:pPr>
            <w:r>
              <w:t>A tételt kizárólag az IRB-módszert alkalmazó intézményeknek kell megadniuk. Kizárólag a nemteljesítő kitettségekhez kapcsolódó várható veszteségek adhatók meg.</w:t>
            </w:r>
          </w:p>
        </w:tc>
      </w:tr>
      <w:tr w:rsidR="002648B0" w:rsidRPr="00392FFD" w:rsidTr="00672D2A">
        <w:tc>
          <w:tcPr>
            <w:tcW w:w="1506" w:type="dxa"/>
          </w:tcPr>
          <w:p w:rsidR="002648B0" w:rsidRPr="00392FFD" w:rsidRDefault="002648B0" w:rsidP="00FD239F">
            <w:pPr>
              <w:pStyle w:val="InstructionsText"/>
            </w:pPr>
            <w:r>
              <w:t>160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5.</w:t>
            </w:r>
            <w:r w:rsidRPr="008A3CEF">
              <w:rPr>
                <w:u w:val="single"/>
              </w:rPr>
              <w:tab/>
            </w:r>
            <w:r>
              <w:rPr>
                <w:rStyle w:val="InstructionsTabelleberschrift"/>
                <w:rFonts w:ascii="Times New Roman" w:hAnsi="Times New Roman"/>
                <w:sz w:val="24"/>
              </w:rPr>
              <w:t>Kockázattal súlyozott kitettségérték a T2 tőkeként figyelembe vehető céltartaléktöbblet felső határának kiszámításához</w:t>
            </w:r>
          </w:p>
          <w:p w:rsidR="005643EA" w:rsidRPr="00392FFD" w:rsidRDefault="002648B0" w:rsidP="00FD239F">
            <w:pPr>
              <w:pStyle w:val="InstructionsText"/>
            </w:pPr>
            <w:r>
              <w:t>A CRR 62. cikkének d) pontja</w:t>
            </w:r>
          </w:p>
          <w:p w:rsidR="005643EA" w:rsidRPr="00392FFD" w:rsidRDefault="002648B0" w:rsidP="00FD239F">
            <w:pPr>
              <w:pStyle w:val="InstructionsText"/>
            </w:pPr>
            <w:r>
              <w:t>A CRR 62. cikkének d) pontja alapján az IRB-módszert alkalmazó i</w:t>
            </w:r>
            <w:r>
              <w:t>n</w:t>
            </w:r>
            <w:r>
              <w:t>tézmények esetében a céltartalékoknak a várható veszteségek feletti ö</w:t>
            </w:r>
            <w:r>
              <w:t>s</w:t>
            </w:r>
            <w:r>
              <w:t>szege az IRB-módszerrel kiszámított kockázattal súlyozott kitettségértékek legfeljebb 0,6 %-áig számíthatók be a T2 tőkébe.</w:t>
            </w:r>
          </w:p>
          <w:p w:rsidR="005643EA" w:rsidRPr="00392FFD" w:rsidRDefault="002648B0" w:rsidP="00FD239F">
            <w:pPr>
              <w:pStyle w:val="InstructionsText"/>
            </w:pPr>
            <w:r>
              <w:t>Az ebben a tételben feltüntetendő érték a kockázattal súlyozott kitettségérték (a 0,6 %-os szorzó alkalmazása nélkül), amelyen a felső határ számítása alapul.</w:t>
            </w:r>
          </w:p>
        </w:tc>
      </w:tr>
      <w:tr w:rsidR="002648B0" w:rsidRPr="00392FFD" w:rsidTr="00672D2A">
        <w:tc>
          <w:tcPr>
            <w:tcW w:w="1506" w:type="dxa"/>
          </w:tcPr>
          <w:p w:rsidR="002648B0" w:rsidRPr="00392FFD" w:rsidRDefault="002648B0" w:rsidP="00FD239F">
            <w:pPr>
              <w:pStyle w:val="InstructionsText"/>
            </w:pPr>
            <w:r>
              <w:t>170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6.</w:t>
            </w:r>
            <w:r w:rsidRPr="008A3CEF">
              <w:rPr>
                <w:u w:val="single"/>
              </w:rPr>
              <w:tab/>
            </w:r>
            <w:r>
              <w:rPr>
                <w:rStyle w:val="InstructionsTabelleberschrift"/>
                <w:rFonts w:ascii="Times New Roman" w:hAnsi="Times New Roman"/>
                <w:sz w:val="24"/>
              </w:rPr>
              <w:t>A T2 tőkébe beszámítható bruttó céltartalékok összesen</w:t>
            </w:r>
          </w:p>
          <w:p w:rsidR="005643EA" w:rsidRPr="00392FFD" w:rsidRDefault="002648B0" w:rsidP="00FD239F">
            <w:pPr>
              <w:pStyle w:val="InstructionsText"/>
            </w:pPr>
            <w:r>
              <w:t>A CRR 62. cikkének c) pontja</w:t>
            </w:r>
          </w:p>
          <w:p w:rsidR="005643EA" w:rsidRPr="00392FFD" w:rsidRDefault="002648B0" w:rsidP="00FD239F">
            <w:pPr>
              <w:pStyle w:val="InstructionsText"/>
            </w:pPr>
            <w:r>
              <w:t>A tétel azokat az általános hitelkockázati kiigazításokat foglalja mag</w:t>
            </w:r>
            <w:r>
              <w:t>á</w:t>
            </w:r>
            <w:r>
              <w:t>ban, amelyeknek a felső határ alatti része beszámítható a T2 tőkébe.</w:t>
            </w:r>
          </w:p>
          <w:p w:rsidR="005643EA" w:rsidRPr="00392FFD" w:rsidRDefault="002648B0" w:rsidP="00FD239F">
            <w:pPr>
              <w:pStyle w:val="InstructionsText"/>
            </w:pPr>
            <w:r>
              <w:t>A feltüntetendő értéknek tartalmaznia kell az adóhatásokat is.</w:t>
            </w:r>
          </w:p>
        </w:tc>
      </w:tr>
      <w:tr w:rsidR="002648B0" w:rsidRPr="00392FFD" w:rsidTr="00672D2A">
        <w:tc>
          <w:tcPr>
            <w:tcW w:w="1506" w:type="dxa"/>
          </w:tcPr>
          <w:p w:rsidR="002648B0" w:rsidRPr="00392FFD" w:rsidRDefault="002648B0" w:rsidP="00FD239F">
            <w:pPr>
              <w:pStyle w:val="InstructionsText"/>
            </w:pPr>
            <w:r>
              <w:t>180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7.</w:t>
            </w:r>
            <w:r w:rsidRPr="008A3CEF">
              <w:rPr>
                <w:u w:val="single"/>
              </w:rPr>
              <w:tab/>
            </w:r>
            <w:r>
              <w:rPr>
                <w:rStyle w:val="InstructionsTabelleberschrift"/>
                <w:rFonts w:ascii="Times New Roman" w:hAnsi="Times New Roman"/>
                <w:sz w:val="24"/>
              </w:rPr>
              <w:t>Kockázattal súlyozott kitettségérték a T2 tőkeként figyelembe vehető céltartalék felső határának kiszámításához</w:t>
            </w:r>
          </w:p>
          <w:p w:rsidR="005643EA" w:rsidRPr="00392FFD" w:rsidRDefault="002648B0" w:rsidP="00FD239F">
            <w:pPr>
              <w:pStyle w:val="InstructionsText"/>
            </w:pPr>
            <w:r>
              <w:t>A CRR 62. cikkének c) pontja</w:t>
            </w:r>
          </w:p>
          <w:p w:rsidR="005643EA" w:rsidRPr="00392FFD" w:rsidRDefault="002648B0" w:rsidP="00FD239F">
            <w:pPr>
              <w:pStyle w:val="InstructionsText"/>
            </w:pPr>
            <w:r>
              <w:t>A CRR 62. cikkének c) pontja alapján a hitelkockázati kiigazítások a kockázattal súlyozott kitettségértékek legfeljebb 1,25 %-áig számíthatók be a T2 tőkébe.</w:t>
            </w:r>
          </w:p>
          <w:p w:rsidR="005643EA" w:rsidRPr="00392FFD" w:rsidRDefault="002648B0" w:rsidP="00FD239F">
            <w:pPr>
              <w:pStyle w:val="InstructionsText"/>
            </w:pPr>
            <w:r>
              <w:t>Az ebben a tételben feltüntetendő érték a kockázattal súlyozott kitettségérték (a 1,25 %-os szorzó alkalmazása nélkül), amelyen a felső határ számítása alapul.</w:t>
            </w:r>
          </w:p>
        </w:tc>
      </w:tr>
      <w:tr w:rsidR="002648B0" w:rsidRPr="00392FFD" w:rsidTr="00672D2A">
        <w:tc>
          <w:tcPr>
            <w:tcW w:w="1506" w:type="dxa"/>
          </w:tcPr>
          <w:p w:rsidR="002648B0" w:rsidRPr="00392FFD" w:rsidRDefault="002648B0" w:rsidP="00FD239F">
            <w:pPr>
              <w:pStyle w:val="InstructionsText"/>
            </w:pPr>
            <w:r>
              <w:t>190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8.</w:t>
            </w:r>
            <w:r w:rsidRPr="008A3CEF">
              <w:rPr>
                <w:u w:val="single"/>
              </w:rPr>
              <w:tab/>
            </w:r>
            <w:r>
              <w:rPr>
                <w:rStyle w:val="InstructionsTabelleberschrift"/>
                <w:rFonts w:ascii="Times New Roman" w:hAnsi="Times New Roman"/>
                <w:sz w:val="24"/>
              </w:rPr>
              <w:t>Pénzügyi ágazatbeli szervezetekben lévő részesedések nem l</w:t>
            </w:r>
            <w:r>
              <w:rPr>
                <w:rStyle w:val="InstructionsTabelleberschrift"/>
                <w:rFonts w:ascii="Times New Roman" w:hAnsi="Times New Roman"/>
                <w:sz w:val="24"/>
              </w:rPr>
              <w:t>e</w:t>
            </w:r>
            <w:r>
              <w:rPr>
                <w:rStyle w:val="InstructionsTabelleberschrift"/>
                <w:rFonts w:ascii="Times New Roman" w:hAnsi="Times New Roman"/>
                <w:sz w:val="24"/>
              </w:rPr>
              <w:t>vonható részének küszöbértéke, ha az intézmény nem rendelkezik jelentős részesedéssel az említett vállalkozásokban</w:t>
            </w:r>
          </w:p>
          <w:p w:rsidR="005643EA" w:rsidRPr="00392FFD" w:rsidRDefault="002648B0" w:rsidP="00FD239F">
            <w:pPr>
              <w:pStyle w:val="InstructionsText"/>
            </w:pPr>
            <w:r>
              <w:lastRenderedPageBreak/>
              <w:t>A CRR 46. cikke (1) bekezdésének a) pontja</w:t>
            </w:r>
          </w:p>
          <w:p w:rsidR="005643EA" w:rsidRPr="00392FFD" w:rsidRDefault="002648B0" w:rsidP="00FD239F">
            <w:pPr>
              <w:pStyle w:val="InstructionsText"/>
            </w:pPr>
            <w:r>
              <w:t>A tétel azt a küszöbértéket tartalmazza, amely alatt a pénzügyi ágazatb</w:t>
            </w:r>
            <w:r>
              <w:t>e</w:t>
            </w:r>
            <w:r>
              <w:t>li szervezetekben lévő részesedések levonására nem kerül sor, ha az i</w:t>
            </w:r>
            <w:r>
              <w:t>n</w:t>
            </w:r>
            <w:r>
              <w:t>tézmény nem rendelkezik jelentős részesedéssel az említett vállalkoz</w:t>
            </w:r>
            <w:r>
              <w:t>á</w:t>
            </w:r>
            <w:r>
              <w:t>sokban. Az érték a küszöb számításánál alapul vett értékek összege, sz</w:t>
            </w:r>
            <w:r>
              <w:t>o</w:t>
            </w:r>
            <w:r>
              <w:t>rozva 10 %-kal.</w:t>
            </w:r>
          </w:p>
        </w:tc>
      </w:tr>
      <w:tr w:rsidR="002648B0" w:rsidRPr="00392FFD" w:rsidTr="00672D2A">
        <w:tc>
          <w:tcPr>
            <w:tcW w:w="1506" w:type="dxa"/>
          </w:tcPr>
          <w:p w:rsidR="002648B0" w:rsidRPr="00392FFD" w:rsidRDefault="002648B0" w:rsidP="00FD239F">
            <w:pPr>
              <w:pStyle w:val="InstructionsText"/>
            </w:pPr>
            <w:r>
              <w:lastRenderedPageBreak/>
              <w:t>200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9.</w:t>
            </w:r>
            <w:r w:rsidRPr="008A3CEF">
              <w:rPr>
                <w:u w:val="single"/>
              </w:rPr>
              <w:tab/>
            </w:r>
            <w:r>
              <w:rPr>
                <w:rStyle w:val="InstructionsTabelleberschrift"/>
                <w:rFonts w:ascii="Times New Roman" w:hAnsi="Times New Roman"/>
                <w:sz w:val="24"/>
              </w:rPr>
              <w:t xml:space="preserve">A CET1 tőkére vonatkozóan rögzített 10 %-os küszöb </w:t>
            </w:r>
          </w:p>
          <w:p w:rsidR="005643EA" w:rsidRPr="00392FFD" w:rsidRDefault="002648B0" w:rsidP="00FD239F">
            <w:pPr>
              <w:pStyle w:val="InstructionsText"/>
            </w:pPr>
            <w:r>
              <w:t>A CRR 48. cikke (1) bekezdésének a) és b) pontja</w:t>
            </w:r>
          </w:p>
          <w:p w:rsidR="005643EA" w:rsidRPr="00392FFD" w:rsidRDefault="002648B0" w:rsidP="00FD239F">
            <w:pPr>
              <w:pStyle w:val="InstructionsText"/>
            </w:pPr>
            <w:r>
              <w:t>A tétel a pénzügyi ágazatbeli szervezetekben lévő jelentős intézményi részesedésekre, valamint a jövőbeni nyereségtől függően érvényesíthető és átmeneti különbözetekből eredő halasztott adókövetelésekre vonatk</w:t>
            </w:r>
            <w:r>
              <w:t>o</w:t>
            </w:r>
            <w:r>
              <w:t>zó 10 %-os küszöböt tartalmazza.</w:t>
            </w:r>
          </w:p>
          <w:p w:rsidR="005643EA" w:rsidRPr="00392FFD" w:rsidRDefault="003C7853" w:rsidP="00FD239F">
            <w:pPr>
              <w:pStyle w:val="InstructionsText"/>
            </w:pPr>
            <w:r>
              <w:t>Az érték a küszöb számításánál alapul vett értékek összege, szorozva 10 %-kal.</w:t>
            </w:r>
          </w:p>
        </w:tc>
      </w:tr>
      <w:tr w:rsidR="002648B0" w:rsidRPr="00392FFD" w:rsidTr="00672D2A">
        <w:tc>
          <w:tcPr>
            <w:tcW w:w="1506" w:type="dxa"/>
          </w:tcPr>
          <w:p w:rsidR="002648B0" w:rsidRPr="00392FFD" w:rsidRDefault="002648B0" w:rsidP="00FD239F">
            <w:pPr>
              <w:pStyle w:val="InstructionsText"/>
            </w:pPr>
            <w:r>
              <w:t>210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10.</w:t>
            </w:r>
            <w:r w:rsidRPr="008A3CEF">
              <w:rPr>
                <w:u w:val="single"/>
              </w:rPr>
              <w:tab/>
            </w:r>
            <w:r>
              <w:rPr>
                <w:rStyle w:val="InstructionsTabelleberschrift"/>
                <w:rFonts w:ascii="Times New Roman" w:hAnsi="Times New Roman"/>
                <w:sz w:val="24"/>
              </w:rPr>
              <w:t xml:space="preserve">A CET1 tőkére vonatkozóan rögzített 17,65 %-os küszöb </w:t>
            </w:r>
          </w:p>
          <w:p w:rsidR="005643EA" w:rsidRPr="00392FFD" w:rsidRDefault="002648B0" w:rsidP="00FD239F">
            <w:pPr>
              <w:pStyle w:val="InstructionsText"/>
            </w:pPr>
            <w:r>
              <w:t>A CRR 48. cikkének (1) bekezdése</w:t>
            </w:r>
          </w:p>
          <w:p w:rsidR="005643EA" w:rsidRPr="00392FFD" w:rsidRDefault="002648B0" w:rsidP="00FD239F">
            <w:pPr>
              <w:pStyle w:val="InstructionsText"/>
            </w:pPr>
            <w:r>
              <w:t>A tétel a pénzügyi ágazatbeli szervezetekben lévő jelentős intézményi részesedésekre, valamint a jövőbeni nyereségtől függően érvényesíthető és átmeneti különbözetekből eredő halasztott adókövetelésekre vonatk</w:t>
            </w:r>
            <w:r>
              <w:t>o</w:t>
            </w:r>
            <w:r>
              <w:t>zó 17,65 %-os küszöböt tartalmazza, amelyet a 10 %-os küszöb után kell alkalmazni.</w:t>
            </w:r>
          </w:p>
          <w:p w:rsidR="005643EA" w:rsidRPr="00392FFD" w:rsidRDefault="002648B0" w:rsidP="00FD239F">
            <w:pPr>
              <w:pStyle w:val="InstructionsText"/>
            </w:pPr>
            <w:r>
              <w:t>A küszöböt úgy kell kiszámítani, hogy a két megjelenített tétel összege nem haladhatja meg az összes levonás után, az átmeneti rendelkezése</w:t>
            </w:r>
            <w:r>
              <w:t>k</w:t>
            </w:r>
            <w:r>
              <w:t>ből eredő kiigazítások nélkül számított végső elsődleges alapvető tőke, azaz CET1 tőke 15 %-át.</w:t>
            </w:r>
          </w:p>
        </w:tc>
      </w:tr>
      <w:tr w:rsidR="00216D67" w:rsidRPr="00392FFD" w:rsidTr="00672D2A">
        <w:tc>
          <w:tcPr>
            <w:tcW w:w="1506" w:type="dxa"/>
          </w:tcPr>
          <w:p w:rsidR="00216D67" w:rsidRPr="00392FFD" w:rsidRDefault="00216D67" w:rsidP="00FD239F">
            <w:pPr>
              <w:pStyle w:val="InstructionsText"/>
            </w:pPr>
            <w:r>
              <w:t>225</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8A3CEF">
              <w:rPr>
                <w:u w:val="single"/>
              </w:rPr>
              <w:tab/>
            </w:r>
            <w:r>
              <w:rPr>
                <w:rStyle w:val="InstructionsTabelleberschrift"/>
                <w:rFonts w:ascii="Times New Roman" w:hAnsi="Times New Roman"/>
                <w:sz w:val="24"/>
              </w:rPr>
              <w:t>Pénzügyi ágazaton kívüli befolyásoló részesedés szempontj</w:t>
            </w:r>
            <w:r>
              <w:rPr>
                <w:rStyle w:val="InstructionsTabelleberschrift"/>
                <w:rFonts w:ascii="Times New Roman" w:hAnsi="Times New Roman"/>
                <w:sz w:val="24"/>
              </w:rPr>
              <w:t>á</w:t>
            </w:r>
            <w:r>
              <w:rPr>
                <w:rStyle w:val="InstructionsTabelleberschrift"/>
                <w:rFonts w:ascii="Times New Roman" w:hAnsi="Times New Roman"/>
                <w:sz w:val="24"/>
              </w:rPr>
              <w:t>ból figyelembe vehető szavatoló tőke</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CRR 4. cikke (1) bekezdése 71. pontjának a) alpontja</w:t>
            </w:r>
          </w:p>
        </w:tc>
      </w:tr>
      <w:tr w:rsidR="00216D67" w:rsidRPr="00392FFD" w:rsidTr="00672D2A">
        <w:tc>
          <w:tcPr>
            <w:tcW w:w="1506" w:type="dxa"/>
          </w:tcPr>
          <w:p w:rsidR="00216D67" w:rsidRPr="00392FFD" w:rsidRDefault="00216D67" w:rsidP="00FD239F">
            <w:pPr>
              <w:pStyle w:val="InstructionsText"/>
            </w:pPr>
            <w:r>
              <w:t>226</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Pr="008A3CEF">
              <w:rPr>
                <w:u w:val="single"/>
              </w:rPr>
              <w:tab/>
            </w:r>
            <w:r>
              <w:rPr>
                <w:rStyle w:val="InstructionsTabelleberschrift"/>
                <w:rFonts w:ascii="Times New Roman" w:hAnsi="Times New Roman"/>
                <w:sz w:val="24"/>
              </w:rPr>
              <w:t>Nagykockázat-vállalás korlátozása szempontjából figyelembe vehető szavatoló tőke</w:t>
            </w:r>
          </w:p>
          <w:p w:rsidR="00216D67" w:rsidRPr="00201704" w:rsidRDefault="00216D67" w:rsidP="00FD239F">
            <w:pPr>
              <w:pStyle w:val="InstructionsText"/>
              <w:rPr>
                <w:rStyle w:val="InstructionsTabelleberschrift"/>
                <w:rFonts w:ascii="Times New Roman" w:hAnsi="Times New Roman"/>
                <w:b w:val="0"/>
                <w:bCs w:val="0"/>
                <w:sz w:val="24"/>
                <w:u w:val="none"/>
              </w:rPr>
            </w:pPr>
            <w:r>
              <w:t>A CRR 4. cikke (1) bekezdése 71. pontjának b) alpontja</w:t>
            </w:r>
          </w:p>
        </w:tc>
      </w:tr>
      <w:tr w:rsidR="002648B0" w:rsidRPr="00392FFD" w:rsidTr="00672D2A">
        <w:tc>
          <w:tcPr>
            <w:tcW w:w="1506" w:type="dxa"/>
          </w:tcPr>
          <w:p w:rsidR="002648B0" w:rsidRPr="00392FFD" w:rsidRDefault="002648B0" w:rsidP="00FD239F">
            <w:pPr>
              <w:pStyle w:val="InstructionsText"/>
            </w:pPr>
            <w:r>
              <w:t>230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rsidRPr="008A3CEF">
              <w:rPr>
                <w:u w:val="single"/>
              </w:rPr>
              <w:tab/>
            </w:r>
            <w:r>
              <w:rPr>
                <w:rStyle w:val="InstructionsTabelleberschrift"/>
                <w:rFonts w:ascii="Times New Roman" w:hAnsi="Times New Roman"/>
                <w:sz w:val="24"/>
              </w:rPr>
              <w:t>Pénzügyi ágazatbeli szervezetek CET1 tőkéjében lévő rész</w:t>
            </w:r>
            <w:r>
              <w:rPr>
                <w:rStyle w:val="InstructionsTabelleberschrift"/>
                <w:rFonts w:ascii="Times New Roman" w:hAnsi="Times New Roman"/>
                <w:sz w:val="24"/>
              </w:rPr>
              <w:t>e</w:t>
            </w:r>
            <w:r>
              <w:rPr>
                <w:rStyle w:val="InstructionsTabelleberschrift"/>
                <w:rFonts w:ascii="Times New Roman" w:hAnsi="Times New Roman"/>
                <w:sz w:val="24"/>
              </w:rPr>
              <w:t>sedések, ha az intézmény nem rendelkezik jelentős részesedéssel az említett vállalkozásokban, a rövid pozíciók levonásával</w:t>
            </w:r>
          </w:p>
          <w:p w:rsidR="005643EA" w:rsidRPr="00392FFD" w:rsidRDefault="002648B0" w:rsidP="00FD239F">
            <w:pPr>
              <w:pStyle w:val="InstructionsText"/>
            </w:pPr>
            <w:r>
              <w:t>A CRR 44–46. és 49. cikke.</w:t>
            </w:r>
          </w:p>
        </w:tc>
      </w:tr>
      <w:tr w:rsidR="002648B0" w:rsidRPr="00392FFD" w:rsidTr="00672D2A">
        <w:tc>
          <w:tcPr>
            <w:tcW w:w="1506" w:type="dxa"/>
          </w:tcPr>
          <w:p w:rsidR="002648B0" w:rsidRPr="00392FFD" w:rsidRDefault="002648B0" w:rsidP="00FD239F">
            <w:pPr>
              <w:pStyle w:val="InstructionsText"/>
            </w:pPr>
            <w:r>
              <w:t>240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w:t>
            </w:r>
            <w:r w:rsidRPr="008A3CEF">
              <w:rPr>
                <w:u w:val="single"/>
              </w:rPr>
              <w:tab/>
            </w:r>
            <w:r>
              <w:rPr>
                <w:rStyle w:val="InstructionsTabelleberschrift"/>
                <w:rFonts w:ascii="Times New Roman" w:hAnsi="Times New Roman"/>
                <w:sz w:val="24"/>
              </w:rPr>
              <w:t>Pénzügyi ágazatbeli szervezetek CET1 tőkéjében lévő közve</w:t>
            </w:r>
            <w:r>
              <w:rPr>
                <w:rStyle w:val="InstructionsTabelleberschrift"/>
                <w:rFonts w:ascii="Times New Roman" w:hAnsi="Times New Roman"/>
                <w:sz w:val="24"/>
              </w:rPr>
              <w:t>t</w:t>
            </w:r>
            <w:r>
              <w:rPr>
                <w:rStyle w:val="InstructionsTabelleberschrift"/>
                <w:rFonts w:ascii="Times New Roman" w:hAnsi="Times New Roman"/>
                <w:sz w:val="24"/>
              </w:rPr>
              <w:t>len részesedések, ha az intézmény nem rendelkezik jelentős részes</w:t>
            </w:r>
            <w:r>
              <w:rPr>
                <w:rStyle w:val="InstructionsTabelleberschrift"/>
                <w:rFonts w:ascii="Times New Roman" w:hAnsi="Times New Roman"/>
                <w:sz w:val="24"/>
              </w:rPr>
              <w:t>e</w:t>
            </w:r>
            <w:r>
              <w:rPr>
                <w:rStyle w:val="InstructionsTabelleberschrift"/>
                <w:rFonts w:ascii="Times New Roman" w:hAnsi="Times New Roman"/>
                <w:sz w:val="24"/>
              </w:rPr>
              <w:t>déssel az említett vállalkozásokban</w:t>
            </w:r>
          </w:p>
          <w:p w:rsidR="005643EA" w:rsidRPr="00392FFD" w:rsidRDefault="002648B0" w:rsidP="00FD239F">
            <w:pPr>
              <w:pStyle w:val="InstructionsText"/>
            </w:pPr>
            <w:r>
              <w:t>A CRR 44., 45., 46. és 49. cikke</w:t>
            </w:r>
          </w:p>
        </w:tc>
      </w:tr>
      <w:tr w:rsidR="002648B0" w:rsidRPr="00392FFD" w:rsidTr="00672D2A">
        <w:tc>
          <w:tcPr>
            <w:tcW w:w="1506" w:type="dxa"/>
          </w:tcPr>
          <w:p w:rsidR="002648B0" w:rsidRPr="00392FFD" w:rsidRDefault="002648B0" w:rsidP="00FD239F">
            <w:pPr>
              <w:pStyle w:val="InstructionsText"/>
            </w:pPr>
            <w:r>
              <w:t>250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12.1.1.</w:t>
            </w:r>
            <w:r w:rsidRPr="008A3CEF">
              <w:rPr>
                <w:u w:val="single"/>
              </w:rPr>
              <w:tab/>
            </w:r>
            <w:r>
              <w:rPr>
                <w:rStyle w:val="InstructionsTabelleberschrift"/>
                <w:rFonts w:ascii="Times New Roman" w:hAnsi="Times New Roman"/>
                <w:sz w:val="24"/>
              </w:rPr>
              <w:t>Pénzügyi ágazatbeli szervezetek CET1 tőkéjében lévő bruttó közvetlen részesedések, ha az intézmény nem rendelkezik jelentős részesedéssel az említett vállalkozásokban</w:t>
            </w:r>
          </w:p>
          <w:p w:rsidR="005643EA" w:rsidRPr="00392FFD" w:rsidRDefault="002648B0" w:rsidP="00FD239F">
            <w:pPr>
              <w:pStyle w:val="InstructionsText"/>
            </w:pPr>
            <w:r>
              <w:lastRenderedPageBreak/>
              <w:t>A CRR 44., 46. és 49. cikke</w:t>
            </w:r>
          </w:p>
          <w:p w:rsidR="005643EA" w:rsidRPr="00392FFD" w:rsidRDefault="002648B0" w:rsidP="00FD239F">
            <w:pPr>
              <w:pStyle w:val="InstructionsText"/>
            </w:pPr>
            <w:r>
              <w:t>Pénzügyi ágazatbeli szervezetek elsődleges alapvető tőkéjében lévő közvetlen részesedések, ha az intézmény nem rendelkezik jelentős rész</w:t>
            </w:r>
            <w:r>
              <w:t>e</w:t>
            </w:r>
            <w:r>
              <w:t>sedéssel az említett vállalkozásokban, az alábbiak kivételével:</w:t>
            </w:r>
          </w:p>
          <w:p w:rsidR="005643EA" w:rsidRPr="00392FFD" w:rsidRDefault="002648B0" w:rsidP="00FD239F">
            <w:pPr>
              <w:pStyle w:val="InstructionsText"/>
            </w:pPr>
            <w:r>
              <w:t>a)</w:t>
            </w:r>
            <w:r>
              <w:tab/>
              <w:t>az öt munkanapig vagy annál rövidebb ideig tartott, jegyzési g</w:t>
            </w:r>
            <w:r>
              <w:t>a</w:t>
            </w:r>
            <w:r>
              <w:t xml:space="preserve">ranciavállalásból eredő pozíciók; </w:t>
            </w:r>
          </w:p>
          <w:p w:rsidR="005643EA" w:rsidRPr="00392FFD" w:rsidRDefault="002648B0" w:rsidP="00FD239F">
            <w:pPr>
              <w:pStyle w:val="InstructionsText"/>
            </w:pPr>
            <w:r>
              <w:t>b)</w:t>
            </w:r>
            <w:r>
              <w:tab/>
              <w:t>olyan befektetéshez kapcsolódó összegek, amelyekre a 49. cik</w:t>
            </w:r>
            <w:r>
              <w:t>k</w:t>
            </w:r>
            <w:r>
              <w:t>ben felsorolt alternatívák va</w:t>
            </w:r>
            <w:r w:rsidR="008A3CEF">
              <w:t>lamelyikét alkalmazzák; továbbá</w:t>
            </w:r>
          </w:p>
          <w:p w:rsidR="005643EA" w:rsidRPr="00392FFD" w:rsidRDefault="002648B0" w:rsidP="00FD239F">
            <w:pPr>
              <w:pStyle w:val="InstructionsText"/>
            </w:pPr>
            <w:r>
              <w:t>c)</w:t>
            </w:r>
            <w:r>
              <w:tab/>
              <w:t>a CRR 36. cikke (1) bekezdésének g) pontja alapján kölcsönös részesedésként kezelt részesedések.</w:t>
            </w:r>
          </w:p>
        </w:tc>
      </w:tr>
      <w:tr w:rsidR="002648B0" w:rsidRPr="00392FFD" w:rsidTr="00672D2A">
        <w:tc>
          <w:tcPr>
            <w:tcW w:w="1506" w:type="dxa"/>
          </w:tcPr>
          <w:p w:rsidR="002648B0" w:rsidRPr="00392FFD" w:rsidRDefault="002648B0" w:rsidP="00FD239F">
            <w:pPr>
              <w:pStyle w:val="InstructionsText"/>
            </w:pPr>
            <w:r>
              <w:lastRenderedPageBreak/>
              <w:t>260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12.1.2</w:t>
            </w:r>
            <w:r w:rsidRPr="008A3CEF">
              <w:rPr>
                <w:rStyle w:val="InstructionsTabelleberschrift"/>
                <w:rFonts w:ascii="Times New Roman" w:hAnsi="Times New Roman"/>
                <w:sz w:val="24"/>
              </w:rPr>
              <w:t>.</w:t>
            </w:r>
            <w:r w:rsidRPr="008A3CEF">
              <w:rPr>
                <w:u w:val="single"/>
              </w:rPr>
              <w:tab/>
            </w:r>
            <w:r w:rsidRPr="008A3CEF">
              <w:rPr>
                <w:rStyle w:val="InstructionsTabelleberschrift"/>
                <w:rFonts w:ascii="Times New Roman" w:hAnsi="Times New Roman"/>
                <w:sz w:val="24"/>
              </w:rPr>
              <w:t>(–)</w:t>
            </w:r>
            <w:r>
              <w:rPr>
                <w:rStyle w:val="InstructionsTabelleberschrift"/>
                <w:rFonts w:ascii="Times New Roman" w:hAnsi="Times New Roman"/>
                <w:sz w:val="24"/>
              </w:rPr>
              <w:t xml:space="preserve"> A fent figyelembe vett bruttó közvetlen részesedésekkel kapcsolatban megengedett kiegyenlítő rövid pozíciók</w:t>
            </w:r>
          </w:p>
          <w:p w:rsidR="005643EA" w:rsidRPr="00392FFD" w:rsidRDefault="002648B0" w:rsidP="00FD239F">
            <w:pPr>
              <w:pStyle w:val="InstructionsText"/>
            </w:pPr>
            <w:r>
              <w:t>A CRR 45. cikke</w:t>
            </w:r>
          </w:p>
          <w:p w:rsidR="005643EA" w:rsidRPr="00392FFD" w:rsidRDefault="002648B0" w:rsidP="00FD239F">
            <w:pPr>
              <w:pStyle w:val="InstructionsText"/>
            </w:pPr>
            <w:r>
              <w:t>A CRR 45. cikke megengedi az azonos alapul szolgáló kitettségen belüli kiegyenlítő rövid pozíciókat akkor, ha a rövid pozíció lejárata illeszkedik a hosszú pozíció lejáratához vagy legalább egy éves hátralévő futamid</w:t>
            </w:r>
            <w:r>
              <w:t>ő</w:t>
            </w:r>
            <w:r>
              <w:t>vel rendelkezik.</w:t>
            </w:r>
          </w:p>
        </w:tc>
      </w:tr>
      <w:tr w:rsidR="002648B0" w:rsidRPr="00392FFD" w:rsidTr="00672D2A">
        <w:tc>
          <w:tcPr>
            <w:tcW w:w="1506" w:type="dxa"/>
          </w:tcPr>
          <w:p w:rsidR="002648B0" w:rsidRPr="00392FFD" w:rsidRDefault="002648B0" w:rsidP="00FD239F">
            <w:pPr>
              <w:pStyle w:val="InstructionsText"/>
            </w:pPr>
            <w:r>
              <w:t>270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w:t>
            </w:r>
            <w:r w:rsidRPr="008A3CEF">
              <w:rPr>
                <w:u w:val="single"/>
              </w:rPr>
              <w:tab/>
            </w:r>
            <w:r>
              <w:rPr>
                <w:rStyle w:val="InstructionsTabelleberschrift"/>
                <w:rFonts w:ascii="Times New Roman" w:hAnsi="Times New Roman"/>
                <w:sz w:val="24"/>
              </w:rPr>
              <w:t>Pénzügyi ágazatbeli szervezetek CET1 tőkéjében lévő közv</w:t>
            </w:r>
            <w:r>
              <w:rPr>
                <w:rStyle w:val="InstructionsTabelleberschrift"/>
                <w:rFonts w:ascii="Times New Roman" w:hAnsi="Times New Roman"/>
                <w:sz w:val="24"/>
              </w:rPr>
              <w:t>e</w:t>
            </w:r>
            <w:r>
              <w:rPr>
                <w:rStyle w:val="InstructionsTabelleberschrift"/>
                <w:rFonts w:ascii="Times New Roman" w:hAnsi="Times New Roman"/>
                <w:sz w:val="24"/>
              </w:rPr>
              <w:t>tett részesedések, ha az intézmény nem rendelkezik jelentős részes</w:t>
            </w:r>
            <w:r>
              <w:rPr>
                <w:rStyle w:val="InstructionsTabelleberschrift"/>
                <w:rFonts w:ascii="Times New Roman" w:hAnsi="Times New Roman"/>
                <w:sz w:val="24"/>
              </w:rPr>
              <w:t>e</w:t>
            </w:r>
            <w:r>
              <w:rPr>
                <w:rStyle w:val="InstructionsTabelleberschrift"/>
                <w:rFonts w:ascii="Times New Roman" w:hAnsi="Times New Roman"/>
                <w:sz w:val="24"/>
              </w:rPr>
              <w:t>déssel az említett vállalkozásokban</w:t>
            </w:r>
          </w:p>
          <w:p w:rsidR="005643EA" w:rsidRPr="00392FFD" w:rsidRDefault="002648B0" w:rsidP="00FD239F">
            <w:pPr>
              <w:pStyle w:val="InstructionsText"/>
            </w:pPr>
            <w:r>
              <w:t>A CRR 4. cikke (1) bekezdésének 114. pontja, valamint 44. és 45. cikke</w:t>
            </w:r>
          </w:p>
        </w:tc>
      </w:tr>
      <w:tr w:rsidR="002648B0" w:rsidRPr="00392FFD" w:rsidTr="00672D2A">
        <w:tc>
          <w:tcPr>
            <w:tcW w:w="1506" w:type="dxa"/>
          </w:tcPr>
          <w:p w:rsidR="002648B0" w:rsidRPr="00392FFD" w:rsidRDefault="002648B0" w:rsidP="00FD239F">
            <w:pPr>
              <w:pStyle w:val="InstructionsText"/>
            </w:pPr>
            <w:r>
              <w:t>280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12.2.1.</w:t>
            </w:r>
            <w:r w:rsidRPr="008A3CEF">
              <w:rPr>
                <w:u w:val="single"/>
              </w:rPr>
              <w:tab/>
            </w:r>
            <w:r>
              <w:rPr>
                <w:rStyle w:val="InstructionsTabelleberschrift"/>
                <w:rFonts w:ascii="Times New Roman" w:hAnsi="Times New Roman"/>
                <w:sz w:val="24"/>
              </w:rPr>
              <w:t>Pénzügyi ágazatbeli szervezetek CET1 tőkéjében lévő bruttó közvetett részesedések, ha az intézmény nem rendelkezik jelentős részesedéssel az említett vállalkozásokban</w:t>
            </w:r>
          </w:p>
          <w:p w:rsidR="005643EA" w:rsidRPr="00392FFD" w:rsidRDefault="002648B0" w:rsidP="00FD239F">
            <w:pPr>
              <w:pStyle w:val="InstructionsText"/>
            </w:pPr>
            <w:r>
              <w:t>A CRR 4. cikke (1) bekezdésének 114. pontja, valamint 44. és 45. cikke</w:t>
            </w:r>
          </w:p>
          <w:p w:rsidR="005643EA" w:rsidRPr="00392FFD" w:rsidRDefault="002648B0" w:rsidP="00FD239F">
            <w:pPr>
              <w:pStyle w:val="InstructionsText"/>
            </w:pPr>
            <w:r>
              <w:t>A feltüntetendő érték a pénzügyi ágazatbeli szervezetek tőkeinstrume</w:t>
            </w:r>
            <w:r>
              <w:t>n</w:t>
            </w:r>
            <w:r>
              <w:t>tumaiban lévő, kereskedési könyvben nyilvántartott olyan közvetett r</w:t>
            </w:r>
            <w:r>
              <w:t>é</w:t>
            </w:r>
            <w:r>
              <w:t>szesedések értéke, amelyek indexhez kötött értékpapírokban lévő rész</w:t>
            </w:r>
            <w:r>
              <w:t>e</w:t>
            </w:r>
            <w:r>
              <w:t>sedés formáját öltik. Meghatározása a pénzügyi ágazatbeli szervezete</w:t>
            </w:r>
            <w:r>
              <w:t>k</w:t>
            </w:r>
            <w:r>
              <w:t>nek az adott indexekben foglalt tőkeinstrumentumaival szembeni, alapul szolgáló kitettség kiszámításával történik.</w:t>
            </w:r>
          </w:p>
          <w:p w:rsidR="005643EA" w:rsidRPr="00392FFD" w:rsidRDefault="002648B0" w:rsidP="00FD239F">
            <w:pPr>
              <w:pStyle w:val="InstructionsText"/>
            </w:pPr>
            <w:r>
              <w:t>A CRR 36. cikke (1) bekezdésének g) pontja alapján kölcsönös részes</w:t>
            </w:r>
            <w:r>
              <w:t>e</w:t>
            </w:r>
            <w:r>
              <w:t>désként kezelt részesedések nem számíthatók be.</w:t>
            </w:r>
          </w:p>
        </w:tc>
      </w:tr>
      <w:tr w:rsidR="002648B0" w:rsidRPr="00392FFD" w:rsidTr="00672D2A">
        <w:trPr>
          <w:trHeight w:val="850"/>
        </w:trPr>
        <w:tc>
          <w:tcPr>
            <w:tcW w:w="1506" w:type="dxa"/>
          </w:tcPr>
          <w:p w:rsidR="002648B0" w:rsidRPr="00392FFD" w:rsidRDefault="002648B0" w:rsidP="00FD239F">
            <w:pPr>
              <w:pStyle w:val="InstructionsText"/>
            </w:pPr>
            <w:r>
              <w:t>290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12.2.2</w:t>
            </w:r>
            <w:r w:rsidRPr="008A3CEF">
              <w:rPr>
                <w:rStyle w:val="InstructionsTabelleberschrift"/>
                <w:rFonts w:ascii="Times New Roman" w:hAnsi="Times New Roman"/>
                <w:sz w:val="24"/>
              </w:rPr>
              <w:t>.</w:t>
            </w:r>
            <w:r w:rsidRPr="008A3CEF">
              <w:rPr>
                <w:u w:val="single"/>
              </w:rPr>
              <w:tab/>
            </w:r>
            <w:r>
              <w:rPr>
                <w:rStyle w:val="InstructionsTabelleberschrift"/>
                <w:rFonts w:ascii="Times New Roman" w:hAnsi="Times New Roman"/>
                <w:sz w:val="24"/>
              </w:rPr>
              <w:t>(–) A fent figyelembe vett bruttó közvetett részesedésekkel kapcsolatban megengedett kiegyenlítő rövid pozíciók</w:t>
            </w:r>
          </w:p>
          <w:p w:rsidR="005643EA" w:rsidRPr="00392FFD" w:rsidRDefault="002648B0" w:rsidP="00FD239F">
            <w:pPr>
              <w:pStyle w:val="InstructionsText"/>
            </w:pPr>
            <w:r>
              <w:t>A CRR 4. cikke (1) bekezdésének 114. pontja, valamint 45. cikke</w:t>
            </w:r>
          </w:p>
          <w:p w:rsidR="005643EA" w:rsidRPr="00392FFD" w:rsidRDefault="002648B0" w:rsidP="00FD239F">
            <w:pPr>
              <w:pStyle w:val="InstructionsText"/>
            </w:pPr>
            <w:r>
              <w:t>A CRR 45. cikkének a) pontja megengedi az azonos alapul szolgáló k</w:t>
            </w:r>
            <w:r>
              <w:t>i</w:t>
            </w:r>
            <w:r>
              <w:t>tettségen belüli kiegyenlítő rövid pozíciókat akkor, ha a rövid pozíció l</w:t>
            </w:r>
            <w:r>
              <w:t>e</w:t>
            </w:r>
            <w:r>
              <w:t>járata illeszkedik a hosszú pozíció lejáratához vagy legalább egy éves hátralévő futamidővel rendelkezik.</w:t>
            </w:r>
          </w:p>
        </w:tc>
      </w:tr>
      <w:tr w:rsidR="002648B0" w:rsidRPr="00392FFD" w:rsidTr="00672D2A">
        <w:tc>
          <w:tcPr>
            <w:tcW w:w="1506" w:type="dxa"/>
          </w:tcPr>
          <w:p w:rsidR="002648B0" w:rsidRPr="00392FFD" w:rsidRDefault="002648B0" w:rsidP="00FD239F">
            <w:pPr>
              <w:pStyle w:val="InstructionsText"/>
            </w:pPr>
            <w:r>
              <w:t>291</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sidRPr="008A3CEF">
              <w:rPr>
                <w:rStyle w:val="InstructionsTabelleberschrift"/>
                <w:rFonts w:ascii="Times New Roman" w:hAnsi="Times New Roman"/>
                <w:sz w:val="24"/>
              </w:rPr>
              <w:t>.</w:t>
            </w:r>
            <w:r w:rsidRPr="008A3CEF">
              <w:rPr>
                <w:u w:val="single"/>
              </w:rPr>
              <w:tab/>
            </w:r>
            <w:r>
              <w:rPr>
                <w:rStyle w:val="InstructionsTabelleberschrift"/>
                <w:rFonts w:ascii="Times New Roman" w:hAnsi="Times New Roman"/>
                <w:sz w:val="24"/>
              </w:rPr>
              <w:t>Pénzügyi ágazatbeli szervezetek CET1 tőkéjében lévő szint</w:t>
            </w:r>
            <w:r>
              <w:rPr>
                <w:rStyle w:val="InstructionsTabelleberschrift"/>
                <w:rFonts w:ascii="Times New Roman" w:hAnsi="Times New Roman"/>
                <w:sz w:val="24"/>
              </w:rPr>
              <w:t>e</w:t>
            </w:r>
            <w:r>
              <w:rPr>
                <w:rStyle w:val="InstructionsTabelleberschrift"/>
                <w:rFonts w:ascii="Times New Roman" w:hAnsi="Times New Roman"/>
                <w:sz w:val="24"/>
              </w:rPr>
              <w:t>tikus részesedések, ha az intézmény nem rendelkezik jelentős rész</w:t>
            </w:r>
            <w:r>
              <w:rPr>
                <w:rStyle w:val="InstructionsTabelleberschrift"/>
                <w:rFonts w:ascii="Times New Roman" w:hAnsi="Times New Roman"/>
                <w:sz w:val="24"/>
              </w:rPr>
              <w:t>e</w:t>
            </w:r>
            <w:r>
              <w:rPr>
                <w:rStyle w:val="InstructionsTabelleberschrift"/>
                <w:rFonts w:ascii="Times New Roman" w:hAnsi="Times New Roman"/>
                <w:sz w:val="24"/>
              </w:rPr>
              <w:lastRenderedPageBreak/>
              <w:t>sedéssel az említett vállalkozásokban</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 cikke (1) bekezdésének 126. pontja, valamint 44. és 45. cikke</w:t>
            </w:r>
          </w:p>
        </w:tc>
      </w:tr>
      <w:tr w:rsidR="002648B0" w:rsidRPr="00392FFD" w:rsidTr="00672D2A">
        <w:tc>
          <w:tcPr>
            <w:tcW w:w="1506" w:type="dxa"/>
          </w:tcPr>
          <w:p w:rsidR="005643EA" w:rsidRPr="00392FFD" w:rsidRDefault="002648B0" w:rsidP="00FD239F">
            <w:pPr>
              <w:pStyle w:val="InstructionsText"/>
            </w:pPr>
            <w:r>
              <w:lastRenderedPageBreak/>
              <w:t>292</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sidRPr="008A3CEF">
              <w:rPr>
                <w:rStyle w:val="InstructionsTabelleberschrift"/>
                <w:rFonts w:ascii="Times New Roman" w:hAnsi="Times New Roman"/>
                <w:sz w:val="24"/>
              </w:rPr>
              <w:t>.</w:t>
            </w:r>
            <w:r w:rsidRPr="008A3CEF">
              <w:rPr>
                <w:u w:val="single"/>
              </w:rPr>
              <w:tab/>
            </w:r>
            <w:r>
              <w:rPr>
                <w:rStyle w:val="InstructionsTabelleberschrift"/>
                <w:rFonts w:ascii="Times New Roman" w:hAnsi="Times New Roman"/>
                <w:sz w:val="24"/>
              </w:rPr>
              <w:t>Pénzügyi ágazatbeli szervezetek CET1 tőkéjében lévő bruttó szintetikus részesedések, ha az intézmény nem rendelkezik jelentős részesedéssel az említett vállalkozásokban</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 cikke (1) bekezdésének 126. pontja, valamint 44. és 45. cikke</w:t>
            </w:r>
          </w:p>
        </w:tc>
      </w:tr>
      <w:tr w:rsidR="002648B0" w:rsidRPr="00392FFD" w:rsidTr="00672D2A">
        <w:tc>
          <w:tcPr>
            <w:tcW w:w="1506" w:type="dxa"/>
          </w:tcPr>
          <w:p w:rsidR="005643EA" w:rsidRPr="00392FFD" w:rsidRDefault="002648B0" w:rsidP="00FD239F">
            <w:pPr>
              <w:pStyle w:val="InstructionsText"/>
            </w:pPr>
            <w:r>
              <w:t>293</w:t>
            </w:r>
          </w:p>
        </w:tc>
        <w:tc>
          <w:tcPr>
            <w:tcW w:w="7243" w:type="dxa"/>
            <w:vAlign w:val="center"/>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sidRPr="008A3CEF">
              <w:rPr>
                <w:rStyle w:val="InstructionsTabelleberschrift"/>
                <w:rFonts w:ascii="Times New Roman" w:hAnsi="Times New Roman"/>
                <w:sz w:val="24"/>
              </w:rPr>
              <w:t>.</w:t>
            </w:r>
            <w:r w:rsidRPr="008A3CEF">
              <w:rPr>
                <w:u w:val="single"/>
              </w:rPr>
              <w:tab/>
            </w:r>
            <w:r>
              <w:rPr>
                <w:rStyle w:val="InstructionsTabelleberschrift"/>
                <w:rFonts w:ascii="Times New Roman" w:hAnsi="Times New Roman"/>
                <w:sz w:val="24"/>
              </w:rPr>
              <w:t>(–) A fent figyelembe vett bruttó szintetikus részesedésekkel kapcsolatban megengedett kiegyenlítő rövid pozíciók</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 cikke (1) bekezdésének 126. pontja, valamint 45. cikke</w:t>
            </w:r>
          </w:p>
        </w:tc>
      </w:tr>
      <w:tr w:rsidR="002648B0" w:rsidRPr="00392FFD" w:rsidTr="00672D2A">
        <w:tc>
          <w:tcPr>
            <w:tcW w:w="1506" w:type="dxa"/>
          </w:tcPr>
          <w:p w:rsidR="002648B0" w:rsidRPr="00392FFD" w:rsidRDefault="002648B0" w:rsidP="00FD239F">
            <w:pPr>
              <w:pStyle w:val="InstructionsText"/>
            </w:pPr>
            <w:r>
              <w:t>300</w:t>
            </w: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Pr="008A3CEF">
              <w:rPr>
                <w:u w:val="single"/>
              </w:rPr>
              <w:tab/>
            </w:r>
            <w:r>
              <w:rPr>
                <w:rStyle w:val="InstructionsTabelleberschrift"/>
                <w:rFonts w:ascii="Times New Roman" w:hAnsi="Times New Roman"/>
                <w:sz w:val="24"/>
              </w:rPr>
              <w:t>Pénzügyi ágazatbeli szervezetek AT1 tőkéjében lévő részes</w:t>
            </w:r>
            <w:r>
              <w:rPr>
                <w:rStyle w:val="InstructionsTabelleberschrift"/>
                <w:rFonts w:ascii="Times New Roman" w:hAnsi="Times New Roman"/>
                <w:sz w:val="24"/>
              </w:rPr>
              <w:t>e</w:t>
            </w:r>
            <w:r>
              <w:rPr>
                <w:rStyle w:val="InstructionsTabelleberschrift"/>
                <w:rFonts w:ascii="Times New Roman" w:hAnsi="Times New Roman"/>
                <w:sz w:val="24"/>
              </w:rPr>
              <w:t>dések, ha az intézmény nem rendelkezik jelentős részesedéssel az említett vállalkozásokban, a rövid pozíciók levonásával</w:t>
            </w:r>
          </w:p>
          <w:p w:rsidR="005643EA" w:rsidRPr="00392FFD" w:rsidRDefault="002648B0" w:rsidP="00FD239F">
            <w:pPr>
              <w:pStyle w:val="InstructionsText"/>
            </w:pPr>
            <w:r>
              <w:t>A CRR 58–60. cikke</w:t>
            </w:r>
          </w:p>
        </w:tc>
      </w:tr>
      <w:tr w:rsidR="002648B0" w:rsidRPr="00392FFD" w:rsidTr="00672D2A">
        <w:tc>
          <w:tcPr>
            <w:tcW w:w="1506" w:type="dxa"/>
          </w:tcPr>
          <w:p w:rsidR="002648B0" w:rsidRPr="00392FFD" w:rsidRDefault="002648B0" w:rsidP="00FD239F">
            <w:pPr>
              <w:pStyle w:val="InstructionsText"/>
            </w:pPr>
            <w:r>
              <w:t>310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w:t>
            </w:r>
            <w:r w:rsidRPr="008A3CEF">
              <w:rPr>
                <w:u w:val="single"/>
              </w:rPr>
              <w:tab/>
            </w:r>
            <w:r>
              <w:rPr>
                <w:rStyle w:val="InstructionsTabelleberschrift"/>
                <w:rFonts w:ascii="Times New Roman" w:hAnsi="Times New Roman"/>
                <w:sz w:val="24"/>
              </w:rPr>
              <w:t>Pénzügyi ágazatbeli szervezetek AT1 tőkéjében lévő közve</w:t>
            </w:r>
            <w:r>
              <w:rPr>
                <w:rStyle w:val="InstructionsTabelleberschrift"/>
                <w:rFonts w:ascii="Times New Roman" w:hAnsi="Times New Roman"/>
                <w:sz w:val="24"/>
              </w:rPr>
              <w:t>t</w:t>
            </w:r>
            <w:r>
              <w:rPr>
                <w:rStyle w:val="InstructionsTabelleberschrift"/>
                <w:rFonts w:ascii="Times New Roman" w:hAnsi="Times New Roman"/>
                <w:sz w:val="24"/>
              </w:rPr>
              <w:t>len részesedések, ha az intézmény nem rendelkezik jelentős részes</w:t>
            </w:r>
            <w:r>
              <w:rPr>
                <w:rStyle w:val="InstructionsTabelleberschrift"/>
                <w:rFonts w:ascii="Times New Roman" w:hAnsi="Times New Roman"/>
                <w:sz w:val="24"/>
              </w:rPr>
              <w:t>e</w:t>
            </w:r>
            <w:r>
              <w:rPr>
                <w:rStyle w:val="InstructionsTabelleberschrift"/>
                <w:rFonts w:ascii="Times New Roman" w:hAnsi="Times New Roman"/>
                <w:sz w:val="24"/>
              </w:rPr>
              <w:t>déssel az említett vállalkozásokban</w:t>
            </w:r>
          </w:p>
          <w:p w:rsidR="005643EA" w:rsidRPr="00392FFD" w:rsidRDefault="002648B0" w:rsidP="00FD239F">
            <w:pPr>
              <w:pStyle w:val="InstructionsText"/>
            </w:pPr>
            <w:r>
              <w:t>A CRR 58. és 59. cikke, valamint 60. cikkének (2) bekezdése</w:t>
            </w:r>
          </w:p>
        </w:tc>
      </w:tr>
      <w:tr w:rsidR="002648B0" w:rsidRPr="00392FFD" w:rsidTr="00672D2A">
        <w:tc>
          <w:tcPr>
            <w:tcW w:w="1506" w:type="dxa"/>
          </w:tcPr>
          <w:p w:rsidR="002648B0" w:rsidRPr="00392FFD" w:rsidRDefault="002648B0" w:rsidP="00FD239F">
            <w:pPr>
              <w:pStyle w:val="InstructionsText"/>
            </w:pPr>
            <w:r>
              <w:t>320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13.1.1.</w:t>
            </w:r>
            <w:r w:rsidRPr="008A3CEF">
              <w:rPr>
                <w:u w:val="single"/>
              </w:rPr>
              <w:tab/>
            </w:r>
            <w:r>
              <w:rPr>
                <w:rStyle w:val="InstructionsTabelleberschrift"/>
                <w:rFonts w:ascii="Times New Roman" w:hAnsi="Times New Roman"/>
                <w:sz w:val="24"/>
              </w:rPr>
              <w:t>Pénzügyi ágazatbeli szervezetek AT1 tőkéjében lévő bruttó közvetlen részesedések, ha az intézmény nem rendelkezik jelentős részesedéssel az említett vállalkozásokban</w:t>
            </w:r>
          </w:p>
          <w:p w:rsidR="005643EA" w:rsidRPr="00392FFD" w:rsidRDefault="002648B0" w:rsidP="00FD239F">
            <w:pPr>
              <w:pStyle w:val="InstructionsText"/>
            </w:pPr>
            <w:r>
              <w:t>A CRR 58. cikke, valamint 60. cikkének (2) bekezdése</w:t>
            </w:r>
          </w:p>
          <w:p w:rsidR="005643EA" w:rsidRPr="00392FFD" w:rsidRDefault="002648B0" w:rsidP="00FD239F">
            <w:pPr>
              <w:pStyle w:val="InstructionsText"/>
            </w:pPr>
            <w:r>
              <w:t>Pénzügyi ágazatbeli szervezetek AT1 tőkéjében lévő közvetlen részes</w:t>
            </w:r>
            <w:r>
              <w:t>e</w:t>
            </w:r>
            <w:r>
              <w:t>dések, ha az intézmény nem rendelkezik jelentős részesedéssel az eml</w:t>
            </w:r>
            <w:r>
              <w:t>í</w:t>
            </w:r>
            <w:r>
              <w:t>tett vállalkozásokban, az alábbiak kivételével:</w:t>
            </w:r>
          </w:p>
          <w:p w:rsidR="005643EA" w:rsidRPr="00392FFD" w:rsidRDefault="002648B0" w:rsidP="00FD239F">
            <w:pPr>
              <w:pStyle w:val="InstructionsText"/>
            </w:pPr>
            <w:r>
              <w:t>a)</w:t>
            </w:r>
            <w:r>
              <w:tab/>
              <w:t>az öt munkanapig vagy annál rövidebb ideig tartott, jegyzési g</w:t>
            </w:r>
            <w:r>
              <w:t>a</w:t>
            </w:r>
            <w:r>
              <w:t xml:space="preserve">ranciavállalásból eredő pozíciók; továbbá </w:t>
            </w:r>
          </w:p>
          <w:p w:rsidR="005643EA" w:rsidRPr="00392FFD" w:rsidRDefault="002648B0" w:rsidP="00FD239F">
            <w:pPr>
              <w:pStyle w:val="InstructionsText"/>
            </w:pPr>
            <w:r>
              <w:t>b)</w:t>
            </w:r>
            <w:r>
              <w:tab/>
              <w:t>a CRR 56. cikkének b) pontja alapján kölcsönös részesedésként kezelt részesedések.</w:t>
            </w:r>
          </w:p>
        </w:tc>
      </w:tr>
      <w:tr w:rsidR="002648B0" w:rsidRPr="00392FFD" w:rsidTr="00672D2A">
        <w:tc>
          <w:tcPr>
            <w:tcW w:w="1506" w:type="dxa"/>
          </w:tcPr>
          <w:p w:rsidR="002648B0" w:rsidRPr="00392FFD" w:rsidRDefault="002648B0" w:rsidP="00FD239F">
            <w:pPr>
              <w:pStyle w:val="InstructionsText"/>
            </w:pPr>
            <w:r>
              <w:t>330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13.1.2.</w:t>
            </w:r>
            <w:r w:rsidRPr="008A3CEF">
              <w:rPr>
                <w:u w:val="single"/>
              </w:rPr>
              <w:tab/>
            </w:r>
            <w:r>
              <w:rPr>
                <w:rStyle w:val="InstructionsTabelleberschrift"/>
                <w:rFonts w:ascii="Times New Roman" w:hAnsi="Times New Roman"/>
                <w:sz w:val="24"/>
              </w:rPr>
              <w:t>(–) A fent figyelembe vett bruttó közvetlen részesedésekkel kapcsolatban megengedett kiegyenlítő rövid pozíciók</w:t>
            </w:r>
          </w:p>
          <w:p w:rsidR="005643EA" w:rsidRPr="00392FFD" w:rsidRDefault="002648B0" w:rsidP="00FD239F">
            <w:pPr>
              <w:pStyle w:val="InstructionsText"/>
            </w:pPr>
            <w:r>
              <w:t>A CRR 59. cikke</w:t>
            </w:r>
          </w:p>
          <w:p w:rsidR="005643EA" w:rsidRPr="00392FFD" w:rsidRDefault="002648B0" w:rsidP="00FD239F">
            <w:pPr>
              <w:pStyle w:val="InstructionsText"/>
            </w:pPr>
            <w:r>
              <w:t>A CRR 59. cikkének a) pontja megengedi az azonos alapul szolgáló k</w:t>
            </w:r>
            <w:r>
              <w:t>i</w:t>
            </w:r>
            <w:r>
              <w:t>tettségen belüli kiegyenlítő rövid pozíciókat akkor, ha a rövid pozíció l</w:t>
            </w:r>
            <w:r>
              <w:t>e</w:t>
            </w:r>
            <w:r>
              <w:t>járata illeszkedik a hosszú pozíció lejáratához vagy legalább egy éves hátralévő futamidővel rendelkezik.</w:t>
            </w:r>
          </w:p>
        </w:tc>
      </w:tr>
      <w:tr w:rsidR="002648B0" w:rsidRPr="00392FFD" w:rsidTr="00672D2A">
        <w:tc>
          <w:tcPr>
            <w:tcW w:w="1506" w:type="dxa"/>
          </w:tcPr>
          <w:p w:rsidR="002648B0" w:rsidRPr="00392FFD" w:rsidRDefault="002648B0" w:rsidP="00FD239F">
            <w:pPr>
              <w:pStyle w:val="InstructionsText"/>
            </w:pPr>
            <w:r>
              <w:t>340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w:t>
            </w:r>
            <w:r w:rsidRPr="008A3CEF">
              <w:rPr>
                <w:u w:val="single"/>
              </w:rPr>
              <w:tab/>
            </w:r>
            <w:r>
              <w:rPr>
                <w:rStyle w:val="InstructionsTabelleberschrift"/>
                <w:rFonts w:ascii="Times New Roman" w:hAnsi="Times New Roman"/>
                <w:sz w:val="24"/>
              </w:rPr>
              <w:t>Pénzügyi ágazatbeli szervezetek AT1 tőkéjében lévő közvetett részesedések, ha az intézmény nem rendelkezik jelentős részesedé</w:t>
            </w:r>
            <w:r>
              <w:rPr>
                <w:rStyle w:val="InstructionsTabelleberschrift"/>
                <w:rFonts w:ascii="Times New Roman" w:hAnsi="Times New Roman"/>
                <w:sz w:val="24"/>
              </w:rPr>
              <w:t>s</w:t>
            </w:r>
            <w:r>
              <w:rPr>
                <w:rStyle w:val="InstructionsTabelleberschrift"/>
                <w:rFonts w:ascii="Times New Roman" w:hAnsi="Times New Roman"/>
                <w:sz w:val="24"/>
              </w:rPr>
              <w:t>sel az említett vállalkozásokban</w:t>
            </w:r>
          </w:p>
          <w:p w:rsidR="005643EA" w:rsidRPr="00392FFD" w:rsidRDefault="002648B0" w:rsidP="00FD239F">
            <w:pPr>
              <w:pStyle w:val="InstructionsText"/>
            </w:pPr>
            <w:r>
              <w:t>A CRR 4. cikke (1) bekezdésének 114. pontja, valamint 58. és 59. cikke</w:t>
            </w:r>
          </w:p>
        </w:tc>
      </w:tr>
      <w:tr w:rsidR="002648B0" w:rsidRPr="00392FFD" w:rsidTr="00672D2A">
        <w:tc>
          <w:tcPr>
            <w:tcW w:w="1506" w:type="dxa"/>
          </w:tcPr>
          <w:p w:rsidR="002648B0" w:rsidRPr="00392FFD" w:rsidRDefault="002648B0" w:rsidP="00FD239F">
            <w:pPr>
              <w:pStyle w:val="InstructionsText"/>
            </w:pPr>
            <w:r>
              <w:t>350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13.2.1.</w:t>
            </w:r>
            <w:r w:rsidRPr="008A3CEF">
              <w:rPr>
                <w:u w:val="single"/>
              </w:rPr>
              <w:tab/>
            </w:r>
            <w:r>
              <w:rPr>
                <w:rStyle w:val="InstructionsTabelleberschrift"/>
                <w:rFonts w:ascii="Times New Roman" w:hAnsi="Times New Roman"/>
                <w:sz w:val="24"/>
              </w:rPr>
              <w:t xml:space="preserve">Pénzügyi ágazatbeli szervezetek AT1 tőkéjében lévő bruttó közvetett részesedések, ha az intézmény nem rendelkezik jelentős </w:t>
            </w:r>
            <w:r>
              <w:rPr>
                <w:rStyle w:val="InstructionsTabelleberschrift"/>
                <w:rFonts w:ascii="Times New Roman" w:hAnsi="Times New Roman"/>
                <w:sz w:val="24"/>
              </w:rPr>
              <w:lastRenderedPageBreak/>
              <w:t>részesedéssel az említett vállalkozásokban</w:t>
            </w:r>
          </w:p>
          <w:p w:rsidR="005643EA" w:rsidRPr="00392FFD" w:rsidRDefault="002648B0" w:rsidP="00FD239F">
            <w:pPr>
              <w:pStyle w:val="InstructionsText"/>
            </w:pPr>
            <w:r>
              <w:t>A CRR 4. cikke (1) bekezdésének 114. pontja, valamint 58. és 59. cikke</w:t>
            </w:r>
          </w:p>
          <w:p w:rsidR="005643EA" w:rsidRPr="00392FFD" w:rsidRDefault="002648B0" w:rsidP="00FD239F">
            <w:pPr>
              <w:pStyle w:val="InstructionsText"/>
            </w:pPr>
            <w:r>
              <w:t>A feltüntetendő érték a pénzügyi ágazatbeli szervezetek tőkeinstrume</w:t>
            </w:r>
            <w:r>
              <w:t>n</w:t>
            </w:r>
            <w:r>
              <w:t>tumaiban lévő, kereskedési könyvben nyilvántartott olyan közvetett r</w:t>
            </w:r>
            <w:r>
              <w:t>é</w:t>
            </w:r>
            <w:r>
              <w:t>szesedések értéke, amelyek indexhez kötött értékpapírokban lévő rész</w:t>
            </w:r>
            <w:r>
              <w:t>e</w:t>
            </w:r>
            <w:r>
              <w:t>sedés formáját öltik. Meghatározása a pénzügyi ágazatbeli szervezete</w:t>
            </w:r>
            <w:r>
              <w:t>k</w:t>
            </w:r>
            <w:r>
              <w:t>nek az adott indexekben foglalt tőkeinstrumentumaival szembeni, alapul szolgáló kitettség kiszámításával történik.</w:t>
            </w:r>
          </w:p>
          <w:p w:rsidR="005643EA" w:rsidRPr="00392FFD" w:rsidRDefault="002648B0" w:rsidP="00FD239F">
            <w:pPr>
              <w:pStyle w:val="InstructionsText"/>
            </w:pPr>
            <w:r>
              <w:t>A CRR 56. cikkének b) pontja alapján kölcsönös részesedésként kezelt részesedések nem számíthatók be.</w:t>
            </w:r>
          </w:p>
        </w:tc>
      </w:tr>
      <w:tr w:rsidR="002648B0" w:rsidRPr="00392FFD" w:rsidTr="00672D2A">
        <w:tc>
          <w:tcPr>
            <w:tcW w:w="1506" w:type="dxa"/>
          </w:tcPr>
          <w:p w:rsidR="002648B0" w:rsidRPr="00392FFD" w:rsidRDefault="002648B0" w:rsidP="00FD239F">
            <w:pPr>
              <w:pStyle w:val="InstructionsText"/>
            </w:pPr>
            <w:r>
              <w:lastRenderedPageBreak/>
              <w:t>360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13.2.2.</w:t>
            </w:r>
            <w:r w:rsidRPr="008A3CEF">
              <w:rPr>
                <w:u w:val="single"/>
              </w:rPr>
              <w:tab/>
            </w:r>
            <w:r>
              <w:rPr>
                <w:rStyle w:val="InstructionsTabelleberschrift"/>
                <w:rFonts w:ascii="Times New Roman" w:hAnsi="Times New Roman"/>
                <w:sz w:val="24"/>
              </w:rPr>
              <w:t>(–) A fent figyelembe vett bruttó közvetett részesedésekkel kapcsolatban megengedett kiegyenlítő rövid pozíciók</w:t>
            </w:r>
          </w:p>
          <w:p w:rsidR="005643EA" w:rsidRPr="00392FFD" w:rsidRDefault="002648B0" w:rsidP="00FD239F">
            <w:pPr>
              <w:pStyle w:val="InstructionsText"/>
            </w:pPr>
            <w:r>
              <w:t>A CRR 4. cikke (1) bekezdésének 114. pontja, valamint 59. cikke</w:t>
            </w:r>
          </w:p>
          <w:p w:rsidR="005643EA" w:rsidRPr="00392FFD" w:rsidRDefault="002648B0" w:rsidP="00FD239F">
            <w:pPr>
              <w:pStyle w:val="InstructionsText"/>
            </w:pPr>
            <w:r>
              <w:t>A CRR 59. cikkének a) pontja megengedi az azonos alapul szolgáló k</w:t>
            </w:r>
            <w:r>
              <w:t>i</w:t>
            </w:r>
            <w:r>
              <w:t>tettségen belüli kiegyenlítő rövid pozíciókat akkor, ha a rövid pozíció l</w:t>
            </w:r>
            <w:r>
              <w:t>e</w:t>
            </w:r>
            <w:r>
              <w:t>járata illeszkedik a hosszú pozíció lejáratához vagy legalább egy éves hátralévő futamidővel rendelkezik.</w:t>
            </w:r>
          </w:p>
        </w:tc>
      </w:tr>
      <w:tr w:rsidR="002648B0" w:rsidRPr="00392FFD" w:rsidTr="00672D2A">
        <w:tc>
          <w:tcPr>
            <w:tcW w:w="1506" w:type="dxa"/>
          </w:tcPr>
          <w:p w:rsidR="002648B0" w:rsidRPr="00392FFD" w:rsidRDefault="002648B0" w:rsidP="00FD239F">
            <w:pPr>
              <w:pStyle w:val="InstructionsText"/>
            </w:pPr>
            <w:r>
              <w:t>361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w:t>
            </w:r>
            <w:r w:rsidRPr="008A3CEF">
              <w:rPr>
                <w:u w:val="single"/>
              </w:rPr>
              <w:tab/>
            </w:r>
            <w:r>
              <w:rPr>
                <w:rStyle w:val="InstructionsTabelleberschrift"/>
                <w:rFonts w:ascii="Times New Roman" w:hAnsi="Times New Roman"/>
                <w:sz w:val="24"/>
              </w:rPr>
              <w:t>Pénzügyi ágazatbeli szervezetek AT1 tőkéjében lévő szintet</w:t>
            </w:r>
            <w:r>
              <w:rPr>
                <w:rStyle w:val="InstructionsTabelleberschrift"/>
                <w:rFonts w:ascii="Times New Roman" w:hAnsi="Times New Roman"/>
                <w:sz w:val="24"/>
              </w:rPr>
              <w:t>i</w:t>
            </w:r>
            <w:r>
              <w:rPr>
                <w:rStyle w:val="InstructionsTabelleberschrift"/>
                <w:rFonts w:ascii="Times New Roman" w:hAnsi="Times New Roman"/>
                <w:sz w:val="24"/>
              </w:rPr>
              <w:t>kus részesedések, ha az intézmény nem rendelkezik jelentős részes</w:t>
            </w:r>
            <w:r>
              <w:rPr>
                <w:rStyle w:val="InstructionsTabelleberschrift"/>
                <w:rFonts w:ascii="Times New Roman" w:hAnsi="Times New Roman"/>
                <w:sz w:val="24"/>
              </w:rPr>
              <w:t>e</w:t>
            </w:r>
            <w:r>
              <w:rPr>
                <w:rStyle w:val="InstructionsTabelleberschrift"/>
                <w:rFonts w:ascii="Times New Roman" w:hAnsi="Times New Roman"/>
                <w:sz w:val="24"/>
              </w:rPr>
              <w:t>déssel az említett vállalkozásokban</w:t>
            </w:r>
          </w:p>
          <w:p w:rsidR="005643EA" w:rsidRPr="00201704" w:rsidRDefault="002648B0" w:rsidP="00FD239F">
            <w:pPr>
              <w:pStyle w:val="InstructionsText"/>
              <w:rPr>
                <w:rStyle w:val="InstructionsTabelleberschrift"/>
                <w:rFonts w:ascii="Times New Roman" w:hAnsi="Times New Roman"/>
                <w:b w:val="0"/>
                <w:bCs w:val="0"/>
                <w:sz w:val="24"/>
                <w:u w:val="none"/>
              </w:rPr>
            </w:pPr>
            <w:r>
              <w:t>A CRR 4. cikke (1) bekezdésének 126. pontja, valamint 58. és 59. cikke</w:t>
            </w:r>
          </w:p>
        </w:tc>
      </w:tr>
      <w:tr w:rsidR="002648B0" w:rsidRPr="00392FFD" w:rsidTr="00672D2A">
        <w:tc>
          <w:tcPr>
            <w:tcW w:w="1506" w:type="dxa"/>
          </w:tcPr>
          <w:p w:rsidR="002648B0" w:rsidRPr="00392FFD" w:rsidRDefault="002648B0" w:rsidP="00FD239F">
            <w:pPr>
              <w:pStyle w:val="InstructionsText"/>
            </w:pPr>
            <w:r>
              <w:t>362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13.3.1.</w:t>
            </w:r>
            <w:r w:rsidRPr="008A3CEF">
              <w:rPr>
                <w:u w:val="single"/>
              </w:rPr>
              <w:tab/>
            </w:r>
            <w:r>
              <w:rPr>
                <w:rStyle w:val="InstructionsTabelleberschrift"/>
                <w:rFonts w:ascii="Times New Roman" w:hAnsi="Times New Roman"/>
                <w:sz w:val="24"/>
              </w:rPr>
              <w:t>Pénzügyi ágazatbeli szervezetek AT1 tőkéjében lévő bruttó szintetikus részesedések, ha az intézmény nem rendelkezik jelentős részesedéssel az említett vállalkozásokban</w:t>
            </w:r>
          </w:p>
          <w:p w:rsidR="005643EA" w:rsidRPr="00201704" w:rsidRDefault="002648B0" w:rsidP="00FD239F">
            <w:pPr>
              <w:pStyle w:val="InstructionsText"/>
              <w:rPr>
                <w:rStyle w:val="InstructionsTabelleberschrift"/>
                <w:rFonts w:ascii="Times New Roman" w:hAnsi="Times New Roman"/>
                <w:b w:val="0"/>
                <w:bCs w:val="0"/>
                <w:sz w:val="24"/>
                <w:u w:val="none"/>
              </w:rPr>
            </w:pPr>
            <w:r>
              <w:t>A CRR 4. cikke (1) bekezdésének 126. pontja, valamint 58. és 59. cikke</w:t>
            </w:r>
          </w:p>
        </w:tc>
      </w:tr>
      <w:tr w:rsidR="002648B0" w:rsidRPr="00392FFD" w:rsidTr="00672D2A">
        <w:tc>
          <w:tcPr>
            <w:tcW w:w="1506" w:type="dxa"/>
          </w:tcPr>
          <w:p w:rsidR="002648B0" w:rsidRPr="00392FFD" w:rsidRDefault="002648B0" w:rsidP="00FD239F">
            <w:pPr>
              <w:pStyle w:val="InstructionsText"/>
            </w:pPr>
            <w:r>
              <w:t>363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13.3.2</w:t>
            </w:r>
            <w:r w:rsidRPr="008A3CEF">
              <w:rPr>
                <w:rStyle w:val="InstructionsTabelleberschrift"/>
                <w:rFonts w:ascii="Times New Roman" w:hAnsi="Times New Roman"/>
                <w:sz w:val="24"/>
              </w:rPr>
              <w:t>.</w:t>
            </w:r>
            <w:r w:rsidRPr="008A3CEF">
              <w:rPr>
                <w:u w:val="single"/>
              </w:rPr>
              <w:tab/>
            </w:r>
            <w:r>
              <w:rPr>
                <w:rStyle w:val="InstructionsTabelleberschrift"/>
                <w:rFonts w:ascii="Times New Roman" w:hAnsi="Times New Roman"/>
                <w:sz w:val="24"/>
              </w:rPr>
              <w:t>(–) A fent figyelembe vett bruttó szintetikus részesedésekkel kapcsolatban megengedett kiegyenlítő rövid pozíciók</w:t>
            </w:r>
          </w:p>
          <w:p w:rsidR="005643EA" w:rsidRPr="00201704" w:rsidRDefault="002648B0" w:rsidP="00FD239F">
            <w:pPr>
              <w:pStyle w:val="InstructionsText"/>
              <w:rPr>
                <w:rStyle w:val="InstructionsTabelleberschrift"/>
                <w:rFonts w:ascii="Times New Roman" w:hAnsi="Times New Roman"/>
                <w:b w:val="0"/>
                <w:bCs w:val="0"/>
                <w:sz w:val="24"/>
                <w:u w:val="none"/>
              </w:rPr>
            </w:pPr>
            <w:r>
              <w:t>A CRR 4. cikke (1) bekezdésének 126. pontja, valamint 59. cikke</w:t>
            </w:r>
          </w:p>
        </w:tc>
      </w:tr>
      <w:tr w:rsidR="002648B0" w:rsidRPr="00392FFD" w:rsidTr="00672D2A">
        <w:tc>
          <w:tcPr>
            <w:tcW w:w="1506" w:type="dxa"/>
          </w:tcPr>
          <w:p w:rsidR="002648B0" w:rsidRPr="00392FFD" w:rsidRDefault="002648B0" w:rsidP="00FD239F">
            <w:pPr>
              <w:pStyle w:val="InstructionsText"/>
            </w:pPr>
            <w:r>
              <w:t>370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14.</w:t>
            </w:r>
            <w:r w:rsidRPr="008A3CEF">
              <w:rPr>
                <w:u w:val="single"/>
              </w:rPr>
              <w:tab/>
            </w:r>
            <w:r>
              <w:rPr>
                <w:rStyle w:val="InstructionsTabelleberschrift"/>
                <w:rFonts w:ascii="Times New Roman" w:hAnsi="Times New Roman"/>
                <w:sz w:val="24"/>
              </w:rPr>
              <w:t>Pénzügyi ágazatbeli szervezetek T2 tőkéjében lévő részesed</w:t>
            </w:r>
            <w:r>
              <w:rPr>
                <w:rStyle w:val="InstructionsTabelleberschrift"/>
                <w:rFonts w:ascii="Times New Roman" w:hAnsi="Times New Roman"/>
                <w:sz w:val="24"/>
              </w:rPr>
              <w:t>é</w:t>
            </w:r>
            <w:r>
              <w:rPr>
                <w:rStyle w:val="InstructionsTabelleberschrift"/>
                <w:rFonts w:ascii="Times New Roman" w:hAnsi="Times New Roman"/>
                <w:sz w:val="24"/>
              </w:rPr>
              <w:t>sek, ha az intézmény nem rendelkezik jelentős részesedéssel az eml</w:t>
            </w:r>
            <w:r>
              <w:rPr>
                <w:rStyle w:val="InstructionsTabelleberschrift"/>
                <w:rFonts w:ascii="Times New Roman" w:hAnsi="Times New Roman"/>
                <w:sz w:val="24"/>
              </w:rPr>
              <w:t>í</w:t>
            </w:r>
            <w:r>
              <w:rPr>
                <w:rStyle w:val="InstructionsTabelleberschrift"/>
                <w:rFonts w:ascii="Times New Roman" w:hAnsi="Times New Roman"/>
                <w:sz w:val="24"/>
              </w:rPr>
              <w:t>tett vállalkozásokban, a rövid pozíciók levonásával</w:t>
            </w:r>
          </w:p>
          <w:p w:rsidR="005643EA" w:rsidRPr="00392FFD" w:rsidRDefault="002648B0" w:rsidP="00FD239F">
            <w:pPr>
              <w:pStyle w:val="InstructionsText"/>
            </w:pPr>
            <w:r>
              <w:t>A CRR 68–70. cikke</w:t>
            </w:r>
          </w:p>
        </w:tc>
      </w:tr>
      <w:tr w:rsidR="002648B0" w:rsidRPr="00392FFD" w:rsidTr="00672D2A">
        <w:tc>
          <w:tcPr>
            <w:tcW w:w="1506" w:type="dxa"/>
          </w:tcPr>
          <w:p w:rsidR="002648B0" w:rsidRPr="00392FFD" w:rsidRDefault="002648B0" w:rsidP="00FD239F">
            <w:pPr>
              <w:pStyle w:val="InstructionsText"/>
            </w:pPr>
            <w:r>
              <w:t>380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w:t>
            </w:r>
            <w:r w:rsidRPr="008A3CEF">
              <w:rPr>
                <w:u w:val="single"/>
              </w:rPr>
              <w:tab/>
            </w:r>
            <w:r>
              <w:rPr>
                <w:rStyle w:val="InstructionsTabelleberschrift"/>
                <w:rFonts w:ascii="Times New Roman" w:hAnsi="Times New Roman"/>
                <w:sz w:val="24"/>
              </w:rPr>
              <w:t>Pénzügyi ágazatbeli szervezetek T2 tőkéjében lévő közvetlen részesedések, ha az intézmény nem rendelkezik jelentős részesedé</w:t>
            </w:r>
            <w:r>
              <w:rPr>
                <w:rStyle w:val="InstructionsTabelleberschrift"/>
                <w:rFonts w:ascii="Times New Roman" w:hAnsi="Times New Roman"/>
                <w:sz w:val="24"/>
              </w:rPr>
              <w:t>s</w:t>
            </w:r>
            <w:r>
              <w:rPr>
                <w:rStyle w:val="InstructionsTabelleberschrift"/>
                <w:rFonts w:ascii="Times New Roman" w:hAnsi="Times New Roman"/>
                <w:sz w:val="24"/>
              </w:rPr>
              <w:t>sel az említett vállalkozásokban</w:t>
            </w:r>
          </w:p>
          <w:p w:rsidR="005643EA" w:rsidRPr="00392FFD" w:rsidRDefault="002648B0" w:rsidP="00FD239F">
            <w:pPr>
              <w:pStyle w:val="InstructionsText"/>
            </w:pPr>
            <w:r>
              <w:t>A CRR 68. és 69. cikke, valamint 70. cikkének (2) bekezdése</w:t>
            </w:r>
          </w:p>
        </w:tc>
      </w:tr>
      <w:tr w:rsidR="002648B0" w:rsidRPr="00392FFD" w:rsidTr="00672D2A">
        <w:tc>
          <w:tcPr>
            <w:tcW w:w="1506" w:type="dxa"/>
          </w:tcPr>
          <w:p w:rsidR="002648B0" w:rsidRPr="00392FFD" w:rsidRDefault="002648B0" w:rsidP="00FD239F">
            <w:pPr>
              <w:pStyle w:val="InstructionsText"/>
            </w:pPr>
            <w:r>
              <w:t>390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14.1.1.</w:t>
            </w:r>
            <w:r w:rsidRPr="008A3CEF">
              <w:rPr>
                <w:u w:val="single"/>
              </w:rPr>
              <w:tab/>
            </w:r>
            <w:r>
              <w:rPr>
                <w:rStyle w:val="InstructionsTabelleberschrift"/>
                <w:rFonts w:ascii="Times New Roman" w:hAnsi="Times New Roman"/>
                <w:sz w:val="24"/>
              </w:rPr>
              <w:t>Pénzügyi ágazatbeli szervezetek T2 tőkéjében lévő bruttó közvetlen részesedések, ha az intézmény nem rendelkezik jelentős részesedéssel az említett vállalkozásokban</w:t>
            </w:r>
          </w:p>
          <w:p w:rsidR="005643EA" w:rsidRPr="00392FFD" w:rsidRDefault="002648B0" w:rsidP="00FD239F">
            <w:pPr>
              <w:pStyle w:val="InstructionsText"/>
            </w:pPr>
            <w:r>
              <w:t>A CRR 68. cikke, valamint 70. cikkének (2) bekezdése</w:t>
            </w:r>
          </w:p>
          <w:p w:rsidR="005643EA" w:rsidRPr="00392FFD" w:rsidRDefault="002648B0" w:rsidP="00FD239F">
            <w:pPr>
              <w:pStyle w:val="InstructionsText"/>
            </w:pPr>
            <w:r>
              <w:t>Pénzügyi ágazatbeli szervezetek járulékos tőkéjében lévő közvetlen r</w:t>
            </w:r>
            <w:r>
              <w:t>é</w:t>
            </w:r>
            <w:r>
              <w:t xml:space="preserve">szesedések, ha az intézmény nem rendelkezik jelentős részesedéssel az </w:t>
            </w:r>
            <w:r>
              <w:lastRenderedPageBreak/>
              <w:t>említett vállalkozásokban, az alábbiak kivételével:</w:t>
            </w:r>
          </w:p>
          <w:p w:rsidR="005643EA" w:rsidRPr="00392FFD" w:rsidRDefault="002648B0" w:rsidP="00FD239F">
            <w:pPr>
              <w:pStyle w:val="InstructionsText"/>
            </w:pPr>
            <w:r>
              <w:t>a)</w:t>
            </w:r>
            <w:r>
              <w:tab/>
              <w:t>az öt munkanapig vagy annál rövidebb ideig tartott, jegyzési g</w:t>
            </w:r>
            <w:r>
              <w:t>a</w:t>
            </w:r>
            <w:r>
              <w:t xml:space="preserve">ranciavállalásból eredő pozíciók; továbbá </w:t>
            </w:r>
          </w:p>
          <w:p w:rsidR="005643EA" w:rsidRPr="00392FFD" w:rsidRDefault="002648B0" w:rsidP="00FD239F">
            <w:pPr>
              <w:pStyle w:val="InstructionsText"/>
            </w:pPr>
            <w:r>
              <w:t>b)</w:t>
            </w:r>
            <w:r>
              <w:tab/>
              <w:t>a CRR 66. cikkének b) pontja alapján kölcsönös részesedésként kezelt részesedések.</w:t>
            </w:r>
          </w:p>
        </w:tc>
      </w:tr>
      <w:tr w:rsidR="002648B0" w:rsidRPr="00392FFD" w:rsidTr="00672D2A">
        <w:tc>
          <w:tcPr>
            <w:tcW w:w="1506" w:type="dxa"/>
          </w:tcPr>
          <w:p w:rsidR="002648B0" w:rsidRPr="00392FFD" w:rsidRDefault="002648B0" w:rsidP="00FD239F">
            <w:pPr>
              <w:pStyle w:val="InstructionsText"/>
            </w:pPr>
            <w:r>
              <w:lastRenderedPageBreak/>
              <w:t>400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14.1.2.</w:t>
            </w:r>
            <w:r w:rsidRPr="008A3CEF">
              <w:rPr>
                <w:u w:val="single"/>
              </w:rPr>
              <w:tab/>
            </w:r>
            <w:r w:rsidRPr="008A3CEF">
              <w:rPr>
                <w:rStyle w:val="InstructionsTabelleberschrift"/>
                <w:rFonts w:ascii="Times New Roman" w:hAnsi="Times New Roman"/>
                <w:sz w:val="24"/>
              </w:rPr>
              <w:t>(</w:t>
            </w:r>
            <w:r>
              <w:rPr>
                <w:rStyle w:val="InstructionsTabelleberschrift"/>
                <w:rFonts w:ascii="Times New Roman" w:hAnsi="Times New Roman"/>
                <w:sz w:val="24"/>
              </w:rPr>
              <w:t>–) A fent figyelembe vett bruttó közvetlen részesedésekkel kapcsolatban megengedett kiegyenlítő rövid pozíciók</w:t>
            </w:r>
          </w:p>
          <w:p w:rsidR="005643EA" w:rsidRPr="00392FFD" w:rsidRDefault="002648B0" w:rsidP="00FD239F">
            <w:pPr>
              <w:pStyle w:val="InstructionsText"/>
            </w:pPr>
            <w:r>
              <w:t>A CRR 69. cikke</w:t>
            </w:r>
          </w:p>
          <w:p w:rsidR="005643EA" w:rsidRPr="00392FFD" w:rsidRDefault="002648B0" w:rsidP="00FD239F">
            <w:pPr>
              <w:pStyle w:val="InstructionsText"/>
            </w:pPr>
            <w:r>
              <w:t>A CRR 69. cikkének a) pontja megengedi az azonos alapul szolgáló k</w:t>
            </w:r>
            <w:r>
              <w:t>i</w:t>
            </w:r>
            <w:r>
              <w:t>tettségen belüli kiegyenlítő rövid pozíciókat akkor, ha a rövid pozíció l</w:t>
            </w:r>
            <w:r>
              <w:t>e</w:t>
            </w:r>
            <w:r>
              <w:t>járata illeszkedik a hosszú pozíció lejáratához vagy legalább egy éves hátralévő futamidővel rendelkezik.</w:t>
            </w:r>
          </w:p>
        </w:tc>
      </w:tr>
      <w:tr w:rsidR="002648B0" w:rsidRPr="00392FFD" w:rsidTr="00672D2A">
        <w:tc>
          <w:tcPr>
            <w:tcW w:w="1506" w:type="dxa"/>
          </w:tcPr>
          <w:p w:rsidR="002648B0" w:rsidRPr="00392FFD" w:rsidRDefault="002648B0" w:rsidP="00FD239F">
            <w:pPr>
              <w:pStyle w:val="InstructionsText"/>
            </w:pPr>
            <w:r>
              <w:t>410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w:t>
            </w:r>
            <w:r w:rsidRPr="008A3CEF">
              <w:rPr>
                <w:u w:val="single"/>
              </w:rPr>
              <w:tab/>
            </w:r>
            <w:r>
              <w:rPr>
                <w:rStyle w:val="InstructionsTabelleberschrift"/>
                <w:rFonts w:ascii="Times New Roman" w:hAnsi="Times New Roman"/>
                <w:sz w:val="24"/>
              </w:rPr>
              <w:t>Pénzügyi ágazatbeli szervezetek T2 tőkéjében lévő közvetett részesedések, ha az intézmény nem rendelkezik jelentős részesedé</w:t>
            </w:r>
            <w:r>
              <w:rPr>
                <w:rStyle w:val="InstructionsTabelleberschrift"/>
                <w:rFonts w:ascii="Times New Roman" w:hAnsi="Times New Roman"/>
                <w:sz w:val="24"/>
              </w:rPr>
              <w:t>s</w:t>
            </w:r>
            <w:r>
              <w:rPr>
                <w:rStyle w:val="InstructionsTabelleberschrift"/>
                <w:rFonts w:ascii="Times New Roman" w:hAnsi="Times New Roman"/>
                <w:sz w:val="24"/>
              </w:rPr>
              <w:t>sel az említett vállalkozásokban</w:t>
            </w:r>
          </w:p>
          <w:p w:rsidR="005643EA" w:rsidRPr="00392FFD" w:rsidRDefault="002648B0" w:rsidP="00FD239F">
            <w:pPr>
              <w:pStyle w:val="InstructionsText"/>
            </w:pPr>
            <w:r>
              <w:t>A CRR 4. cikke (1) bekezdésének 114. pontja, valamint 68. és 69. cikke</w:t>
            </w:r>
          </w:p>
        </w:tc>
      </w:tr>
      <w:tr w:rsidR="002648B0" w:rsidRPr="00392FFD" w:rsidTr="00672D2A">
        <w:tc>
          <w:tcPr>
            <w:tcW w:w="1506" w:type="dxa"/>
          </w:tcPr>
          <w:p w:rsidR="002648B0" w:rsidRPr="00392FFD" w:rsidRDefault="002648B0" w:rsidP="00FD239F">
            <w:pPr>
              <w:pStyle w:val="InstructionsText"/>
            </w:pPr>
            <w:r>
              <w:t>420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14.2.1.</w:t>
            </w:r>
            <w:r w:rsidRPr="008A3CEF">
              <w:rPr>
                <w:u w:val="single"/>
              </w:rPr>
              <w:tab/>
            </w:r>
            <w:r>
              <w:rPr>
                <w:rStyle w:val="InstructionsTabelleberschrift"/>
                <w:rFonts w:ascii="Times New Roman" w:hAnsi="Times New Roman"/>
                <w:sz w:val="24"/>
              </w:rPr>
              <w:t>Pénzügyi ágazatbeli szervezetek T2 tőkéjében lévő bruttó közvetett részesedések, ha az intézmény nem rendelkezik jelentős részesedéssel az említett vállalkozásokban</w:t>
            </w:r>
          </w:p>
          <w:p w:rsidR="005643EA" w:rsidRPr="00392FFD" w:rsidRDefault="002648B0" w:rsidP="00FD239F">
            <w:pPr>
              <w:pStyle w:val="InstructionsText"/>
            </w:pPr>
            <w:r>
              <w:t>A CRR 4. cikke (1) bekezdésének 114. pontja, valamint 68. és 69. cikke</w:t>
            </w:r>
          </w:p>
          <w:p w:rsidR="005643EA" w:rsidRPr="00392FFD" w:rsidRDefault="002648B0" w:rsidP="00FD239F">
            <w:pPr>
              <w:pStyle w:val="InstructionsText"/>
            </w:pPr>
            <w:r>
              <w:t>A feltüntetendő érték a pénzügyi ágazatbeli szervezetek tőkeinstrume</w:t>
            </w:r>
            <w:r>
              <w:t>n</w:t>
            </w:r>
            <w:r>
              <w:t>tumaiban lévő, kereskedési könyvben nyilvántartott olyan közvetett r</w:t>
            </w:r>
            <w:r>
              <w:t>é</w:t>
            </w:r>
            <w:r>
              <w:t>szesedések értéke, amelyek indexhez kötött értékpapírokban lévő rész</w:t>
            </w:r>
            <w:r>
              <w:t>e</w:t>
            </w:r>
            <w:r>
              <w:t>sedés formáját öltik. Meghatározása a pénzügyi ágazatbeli szervezete</w:t>
            </w:r>
            <w:r>
              <w:t>k</w:t>
            </w:r>
            <w:r>
              <w:t>nek az adott indexekben foglalt tőkeinstrumentumaival szembeni, alapul szolgáló kitettség kiszámításával történik.</w:t>
            </w:r>
          </w:p>
          <w:p w:rsidR="005643EA" w:rsidRPr="00392FFD" w:rsidRDefault="002648B0" w:rsidP="00FD239F">
            <w:pPr>
              <w:pStyle w:val="InstructionsText"/>
            </w:pPr>
            <w:r>
              <w:t>A CRR 66. cikkének b) pontja alapján kölcsönös részesedésként kezelt részesedések nem számíthatók be.</w:t>
            </w:r>
          </w:p>
        </w:tc>
      </w:tr>
      <w:tr w:rsidR="002648B0" w:rsidRPr="00392FFD" w:rsidTr="00672D2A">
        <w:tc>
          <w:tcPr>
            <w:tcW w:w="1506" w:type="dxa"/>
          </w:tcPr>
          <w:p w:rsidR="002648B0" w:rsidRPr="00392FFD" w:rsidRDefault="002648B0" w:rsidP="00FD239F">
            <w:pPr>
              <w:pStyle w:val="InstructionsText"/>
            </w:pPr>
            <w:r>
              <w:t>430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14.2.2.</w:t>
            </w:r>
            <w:r w:rsidRPr="008A3CEF">
              <w:rPr>
                <w:u w:val="single"/>
              </w:rPr>
              <w:tab/>
            </w:r>
            <w:r>
              <w:rPr>
                <w:rStyle w:val="InstructionsTabelleberschrift"/>
                <w:rFonts w:ascii="Times New Roman" w:hAnsi="Times New Roman"/>
                <w:sz w:val="24"/>
              </w:rPr>
              <w:t>(–) A fent figyelembe vett bruttó közvetett részesedésekkel kapcsolatban megengedett kiegyenlítő rövid pozíciók</w:t>
            </w:r>
          </w:p>
          <w:p w:rsidR="005643EA" w:rsidRPr="00392FFD" w:rsidRDefault="002648B0" w:rsidP="00FD239F">
            <w:pPr>
              <w:pStyle w:val="InstructionsText"/>
            </w:pPr>
            <w:r>
              <w:t>A CRR 4. cikke (1) bekezdésének 114. pontja, valamint 69. cikke</w:t>
            </w:r>
          </w:p>
          <w:p w:rsidR="005643EA" w:rsidRPr="00392FFD" w:rsidRDefault="002648B0" w:rsidP="00FD239F">
            <w:pPr>
              <w:pStyle w:val="InstructionsText"/>
            </w:pPr>
            <w:r>
              <w:t>A CRR 69. cikkének a) pontja megengedi az azonos alapul szolgáló k</w:t>
            </w:r>
            <w:r>
              <w:t>i</w:t>
            </w:r>
            <w:r>
              <w:t>tettségen belüli kiegyenlítő rövid pozíciókat akkor, ha a rövid pozíció l</w:t>
            </w:r>
            <w:r>
              <w:t>e</w:t>
            </w:r>
            <w:r>
              <w:t>járata illeszkedik a hosszú pozíció lejáratához vagy legalább egy éves hátralévő futamidővel rendelkezik.</w:t>
            </w:r>
          </w:p>
        </w:tc>
      </w:tr>
      <w:tr w:rsidR="00DE5A31" w:rsidRPr="00392FFD" w:rsidTr="00672D2A">
        <w:tc>
          <w:tcPr>
            <w:tcW w:w="1506" w:type="dxa"/>
          </w:tcPr>
          <w:p w:rsidR="00DE5A31" w:rsidRPr="00392FFD" w:rsidRDefault="00DE5A31" w:rsidP="00FD239F">
            <w:pPr>
              <w:pStyle w:val="InstructionsText"/>
            </w:pPr>
            <w:r>
              <w:t>431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w:t>
            </w:r>
            <w:r w:rsidRPr="008A3CEF">
              <w:rPr>
                <w:u w:val="single"/>
              </w:rPr>
              <w:tab/>
            </w:r>
            <w:r>
              <w:rPr>
                <w:rStyle w:val="InstructionsTabelleberschrift"/>
                <w:rFonts w:ascii="Times New Roman" w:hAnsi="Times New Roman"/>
                <w:sz w:val="24"/>
              </w:rPr>
              <w:t>Pénzügyi ágazatbeli szervezetek T2 tőkéjében lévő szintetikus részesedések, ha az intézmény nem rendelkezik jelentős részesedé</w:t>
            </w:r>
            <w:r>
              <w:rPr>
                <w:rStyle w:val="InstructionsTabelleberschrift"/>
                <w:rFonts w:ascii="Times New Roman" w:hAnsi="Times New Roman"/>
                <w:sz w:val="24"/>
              </w:rPr>
              <w:t>s</w:t>
            </w:r>
            <w:r>
              <w:rPr>
                <w:rStyle w:val="InstructionsTabelleberschrift"/>
                <w:rFonts w:ascii="Times New Roman" w:hAnsi="Times New Roman"/>
                <w:sz w:val="24"/>
              </w:rPr>
              <w:t>sel az említett vállalkozásokban</w:t>
            </w:r>
          </w:p>
          <w:p w:rsidR="005643EA" w:rsidRPr="00392FFD" w:rsidRDefault="00805255" w:rsidP="00FD239F">
            <w:pPr>
              <w:pStyle w:val="InstructionsText"/>
              <w:rPr>
                <w:rStyle w:val="InstructionsTabelleberschrift"/>
                <w:rFonts w:ascii="Times New Roman" w:hAnsi="Times New Roman"/>
                <w:sz w:val="24"/>
              </w:rPr>
            </w:pPr>
            <w:r>
              <w:t>A CRR 4. cikke (1) bekezdésének 126. pontja, valamint 68. és 69. cikke</w:t>
            </w:r>
          </w:p>
        </w:tc>
      </w:tr>
      <w:tr w:rsidR="00DE5A31" w:rsidRPr="00392FFD" w:rsidTr="00672D2A">
        <w:tc>
          <w:tcPr>
            <w:tcW w:w="1506" w:type="dxa"/>
          </w:tcPr>
          <w:p w:rsidR="00DE5A31" w:rsidRPr="00392FFD" w:rsidRDefault="00DE5A31" w:rsidP="00FD239F">
            <w:pPr>
              <w:pStyle w:val="InstructionsText"/>
            </w:pPr>
            <w:r>
              <w:t>432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14.3.1.</w:t>
            </w:r>
            <w:r w:rsidRPr="008A3CEF">
              <w:rPr>
                <w:u w:val="single"/>
              </w:rPr>
              <w:tab/>
            </w:r>
            <w:r>
              <w:rPr>
                <w:rStyle w:val="InstructionsTabelleberschrift"/>
                <w:rFonts w:ascii="Times New Roman" w:hAnsi="Times New Roman"/>
                <w:sz w:val="24"/>
              </w:rPr>
              <w:t>Pénzügyi ágazatbeli szervezetek T2 tőkéjében lévő bruttó szintetikus részesedések, ha az intézmény nem rendelkezik jelentős részesedéssel az említett vállalkozásokban</w:t>
            </w:r>
          </w:p>
          <w:p w:rsidR="005643EA" w:rsidRPr="00201704" w:rsidRDefault="00805255" w:rsidP="00FD239F">
            <w:pPr>
              <w:pStyle w:val="InstructionsText"/>
              <w:rPr>
                <w:rStyle w:val="InstructionsTabelleberschrift"/>
                <w:rFonts w:ascii="Times New Roman" w:hAnsi="Times New Roman"/>
                <w:b w:val="0"/>
                <w:bCs w:val="0"/>
                <w:sz w:val="24"/>
                <w:u w:val="none"/>
              </w:rPr>
            </w:pPr>
            <w:r>
              <w:lastRenderedPageBreak/>
              <w:t>A CRR 4. cikke (1) bekezdésének 126. pontja, valamint 68. és 69. cikke</w:t>
            </w:r>
          </w:p>
        </w:tc>
      </w:tr>
      <w:tr w:rsidR="00DE5A31" w:rsidRPr="00392FFD" w:rsidTr="00672D2A">
        <w:tc>
          <w:tcPr>
            <w:tcW w:w="1506" w:type="dxa"/>
          </w:tcPr>
          <w:p w:rsidR="00DE5A31" w:rsidRPr="00392FFD" w:rsidRDefault="00DE5A31" w:rsidP="00FD239F">
            <w:pPr>
              <w:pStyle w:val="InstructionsText"/>
            </w:pPr>
            <w:r>
              <w:lastRenderedPageBreak/>
              <w:t>433</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14.3.2.</w:t>
            </w:r>
            <w:r w:rsidRPr="008A3CEF">
              <w:rPr>
                <w:u w:val="single"/>
              </w:rPr>
              <w:tab/>
            </w:r>
            <w:r>
              <w:rPr>
                <w:rStyle w:val="InstructionsTabelleberschrift"/>
                <w:rFonts w:ascii="Times New Roman" w:hAnsi="Times New Roman"/>
                <w:sz w:val="24"/>
              </w:rPr>
              <w:t>(–) A fent figyelembe vett bruttó szintetikus részesedésekkel kapcsolatban megengedett kiegyenlítő rövid pozíciók</w:t>
            </w:r>
          </w:p>
          <w:p w:rsidR="005643EA" w:rsidRPr="00201704" w:rsidRDefault="00805255" w:rsidP="00FD239F">
            <w:pPr>
              <w:pStyle w:val="InstructionsText"/>
              <w:rPr>
                <w:rStyle w:val="InstructionsTabelleberschrift"/>
                <w:rFonts w:ascii="Times New Roman" w:hAnsi="Times New Roman"/>
                <w:b w:val="0"/>
                <w:bCs w:val="0"/>
                <w:sz w:val="24"/>
                <w:u w:val="none"/>
              </w:rPr>
            </w:pPr>
            <w:r>
              <w:t>A CRR 4. cikke (1) bekezdésének 126. pontja, valamint 69. cikke</w:t>
            </w:r>
          </w:p>
        </w:tc>
      </w:tr>
      <w:tr w:rsidR="002648B0" w:rsidRPr="00392FFD" w:rsidTr="00672D2A">
        <w:tc>
          <w:tcPr>
            <w:tcW w:w="1506" w:type="dxa"/>
          </w:tcPr>
          <w:p w:rsidR="002648B0" w:rsidRPr="00392FFD" w:rsidRDefault="002648B0" w:rsidP="00FD239F">
            <w:pPr>
              <w:pStyle w:val="InstructionsText"/>
            </w:pPr>
            <w:r>
              <w:t>440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w:t>
            </w:r>
            <w:r w:rsidRPr="008A3CEF">
              <w:rPr>
                <w:u w:val="single"/>
              </w:rPr>
              <w:tab/>
            </w:r>
            <w:r>
              <w:rPr>
                <w:rStyle w:val="InstructionsTabelleberschrift"/>
                <w:rFonts w:ascii="Times New Roman" w:hAnsi="Times New Roman"/>
                <w:sz w:val="24"/>
              </w:rPr>
              <w:t>Pénzügyi ágazatbeli szervezetek CET1 tőkéjében lévő rész</w:t>
            </w:r>
            <w:r>
              <w:rPr>
                <w:rStyle w:val="InstructionsTabelleberschrift"/>
                <w:rFonts w:ascii="Times New Roman" w:hAnsi="Times New Roman"/>
                <w:sz w:val="24"/>
              </w:rPr>
              <w:t>e</w:t>
            </w:r>
            <w:r>
              <w:rPr>
                <w:rStyle w:val="InstructionsTabelleberschrift"/>
                <w:rFonts w:ascii="Times New Roman" w:hAnsi="Times New Roman"/>
                <w:sz w:val="24"/>
              </w:rPr>
              <w:t xml:space="preserv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rendelkezik az eml</w:t>
            </w:r>
            <w:r>
              <w:rPr>
                <w:rStyle w:val="InstructionsTabelleberschrift"/>
                <w:rFonts w:ascii="Times New Roman" w:hAnsi="Times New Roman"/>
                <w:sz w:val="24"/>
              </w:rPr>
              <w:t>í</w:t>
            </w:r>
            <w:r>
              <w:rPr>
                <w:rStyle w:val="InstructionsTabelleberschrift"/>
                <w:rFonts w:ascii="Times New Roman" w:hAnsi="Times New Roman"/>
                <w:sz w:val="24"/>
              </w:rPr>
              <w:t>tett vállalkozásokban, a rövid pozíciók levonásával</w:t>
            </w:r>
          </w:p>
          <w:p w:rsidR="005643EA" w:rsidRPr="00392FFD" w:rsidRDefault="002648B0" w:rsidP="00FD239F">
            <w:pPr>
              <w:pStyle w:val="InstructionsText"/>
            </w:pPr>
            <w:r>
              <w:t>A CRR 44., 45., 47. és 49. cikke</w:t>
            </w:r>
          </w:p>
        </w:tc>
      </w:tr>
      <w:tr w:rsidR="002648B0" w:rsidRPr="00392FFD" w:rsidTr="00672D2A">
        <w:tc>
          <w:tcPr>
            <w:tcW w:w="1506" w:type="dxa"/>
          </w:tcPr>
          <w:p w:rsidR="002648B0" w:rsidRPr="00392FFD" w:rsidRDefault="008F54B0" w:rsidP="00FD239F">
            <w:pPr>
              <w:pStyle w:val="InstructionsText"/>
            </w:pPr>
            <w:r>
              <w:t>450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w:t>
            </w:r>
            <w:r w:rsidRPr="008A3CEF">
              <w:rPr>
                <w:u w:val="single"/>
              </w:rPr>
              <w:tab/>
            </w:r>
            <w:r>
              <w:rPr>
                <w:rStyle w:val="InstructionsTabelleberschrift"/>
                <w:rFonts w:ascii="Times New Roman" w:hAnsi="Times New Roman"/>
                <w:sz w:val="24"/>
              </w:rPr>
              <w:t>Pénzügyi ágazatbeli szervezetek CET1 tőkéjében lévő közve</w:t>
            </w:r>
            <w:r>
              <w:rPr>
                <w:rStyle w:val="InstructionsTabelleberschrift"/>
                <w:rFonts w:ascii="Times New Roman" w:hAnsi="Times New Roman"/>
                <w:sz w:val="24"/>
              </w:rPr>
              <w:t>t</w:t>
            </w:r>
            <w:r>
              <w:rPr>
                <w:rStyle w:val="InstructionsTabelleberschrift"/>
                <w:rFonts w:ascii="Times New Roman" w:hAnsi="Times New Roman"/>
                <w:sz w:val="24"/>
              </w:rPr>
              <w:t xml:space="preserve">len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rendelkezik az említett vállalkozásokban</w:t>
            </w:r>
          </w:p>
          <w:p w:rsidR="005643EA" w:rsidRPr="00392FFD" w:rsidRDefault="002648B0" w:rsidP="00FD239F">
            <w:pPr>
              <w:pStyle w:val="InstructionsText"/>
            </w:pPr>
            <w:r>
              <w:t>A CRR 44., 45., 47. és 49. cikke</w:t>
            </w:r>
          </w:p>
        </w:tc>
      </w:tr>
      <w:tr w:rsidR="002648B0" w:rsidRPr="00392FFD" w:rsidTr="00672D2A">
        <w:tc>
          <w:tcPr>
            <w:tcW w:w="1506" w:type="dxa"/>
          </w:tcPr>
          <w:p w:rsidR="002648B0" w:rsidRPr="00392FFD" w:rsidRDefault="008F54B0" w:rsidP="00FD239F">
            <w:pPr>
              <w:pStyle w:val="InstructionsText"/>
            </w:pPr>
            <w:r>
              <w:t>460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15.1.1.</w:t>
            </w:r>
            <w:r w:rsidRPr="008A3CEF">
              <w:rPr>
                <w:u w:val="single"/>
              </w:rPr>
              <w:tab/>
            </w:r>
            <w:r>
              <w:rPr>
                <w:rStyle w:val="InstructionsTabelleberschrift"/>
                <w:rFonts w:ascii="Times New Roman" w:hAnsi="Times New Roman"/>
                <w:sz w:val="24"/>
              </w:rPr>
              <w:t xml:space="preserve">Pénzügyi ágazatbeli szervezetek CET1 tőkéjében lévő bruttó közvetlen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w:t>
            </w:r>
            <w:r>
              <w:rPr>
                <w:rStyle w:val="InstructionsTabelleberschrift"/>
                <w:rFonts w:ascii="Times New Roman" w:hAnsi="Times New Roman"/>
                <w:sz w:val="24"/>
              </w:rPr>
              <w:t>n</w:t>
            </w:r>
            <w:r>
              <w:rPr>
                <w:rStyle w:val="InstructionsTabelleberschrift"/>
                <w:rFonts w:ascii="Times New Roman" w:hAnsi="Times New Roman"/>
                <w:sz w:val="24"/>
              </w:rPr>
              <w:t>delkezik az említett vállalkozásokban</w:t>
            </w:r>
          </w:p>
          <w:p w:rsidR="005643EA" w:rsidRPr="00392FFD" w:rsidRDefault="002648B0" w:rsidP="00FD239F">
            <w:pPr>
              <w:pStyle w:val="InstructionsText"/>
            </w:pPr>
            <w:r>
              <w:t>A CRR 44., 45., 47. és 49. cikke</w:t>
            </w:r>
          </w:p>
          <w:p w:rsidR="005643EA" w:rsidRPr="00392FFD" w:rsidRDefault="002648B0" w:rsidP="00FD239F">
            <w:pPr>
              <w:pStyle w:val="InstructionsText"/>
            </w:pPr>
            <w:r>
              <w:t>Pénzügyi ágazatbeli szervezetek CET1 tőkéjében lévő közvetlen rész</w:t>
            </w:r>
            <w:r>
              <w:t>e</w:t>
            </w:r>
            <w:r>
              <w:t xml:space="preserve">sedések, ha az </w:t>
            </w:r>
            <w:proofErr w:type="gramStart"/>
            <w:r>
              <w:t>intézmény jelentős</w:t>
            </w:r>
            <w:proofErr w:type="gramEnd"/>
            <w:r>
              <w:t xml:space="preserve"> részesedéssel rendelkezik az említett vállalkozásokban, az alábbiak kivételével:</w:t>
            </w:r>
          </w:p>
          <w:p w:rsidR="005643EA" w:rsidRPr="00392FFD" w:rsidRDefault="002648B0" w:rsidP="00FD239F">
            <w:pPr>
              <w:pStyle w:val="InstructionsText"/>
            </w:pPr>
            <w:r>
              <w:t>a)</w:t>
            </w:r>
            <w:r>
              <w:tab/>
              <w:t>az öt munkanapig vagy annál rövidebb ideig tartott, jegyzési g</w:t>
            </w:r>
            <w:r>
              <w:t>a</w:t>
            </w:r>
            <w:r>
              <w:t>ra</w:t>
            </w:r>
            <w:r w:rsidR="008A3CEF">
              <w:t>nciavállalásból eredő pozíciók;</w:t>
            </w:r>
          </w:p>
          <w:p w:rsidR="005643EA" w:rsidRPr="00392FFD" w:rsidRDefault="002648B0" w:rsidP="00FD239F">
            <w:pPr>
              <w:pStyle w:val="InstructionsText"/>
            </w:pPr>
            <w:r>
              <w:t>b)</w:t>
            </w:r>
            <w:r>
              <w:tab/>
              <w:t>olyan befektetéshez kapcsolódó összegek, amelyekre a 49. cik</w:t>
            </w:r>
            <w:r>
              <w:t>k</w:t>
            </w:r>
            <w:r>
              <w:t>ben felsorolt alternatívák va</w:t>
            </w:r>
            <w:r w:rsidR="008A3CEF">
              <w:t>lamelyikét alkalmazzák; továbbá</w:t>
            </w:r>
          </w:p>
          <w:p w:rsidR="005643EA" w:rsidRPr="00392FFD" w:rsidRDefault="002648B0" w:rsidP="00FD239F">
            <w:pPr>
              <w:pStyle w:val="InstructionsText"/>
            </w:pPr>
            <w:r>
              <w:t>c)</w:t>
            </w:r>
            <w:r>
              <w:tab/>
              <w:t>a CRR 36. cikke (1) bekezdésének g) pontja alapján kölcsönös részesedésként kezelt részesedések.</w:t>
            </w:r>
          </w:p>
        </w:tc>
      </w:tr>
      <w:tr w:rsidR="002648B0" w:rsidRPr="00392FFD" w:rsidTr="00672D2A">
        <w:tc>
          <w:tcPr>
            <w:tcW w:w="1506" w:type="dxa"/>
          </w:tcPr>
          <w:p w:rsidR="002648B0" w:rsidRPr="00392FFD" w:rsidRDefault="002648B0" w:rsidP="00FD239F">
            <w:pPr>
              <w:pStyle w:val="InstructionsText"/>
            </w:pPr>
            <w:r>
              <w:t>470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15.1.2.</w:t>
            </w:r>
            <w:r w:rsidRPr="008A3CEF">
              <w:rPr>
                <w:u w:val="single"/>
              </w:rPr>
              <w:tab/>
            </w:r>
            <w:r>
              <w:rPr>
                <w:rStyle w:val="InstructionsTabelleberschrift"/>
                <w:rFonts w:ascii="Times New Roman" w:hAnsi="Times New Roman"/>
                <w:sz w:val="24"/>
              </w:rPr>
              <w:t>(–) A fent figyelembe vett bruttó közvetlen részesedésekkel kapcsolatban megengedett kiegyenlítő rövid pozíciók</w:t>
            </w:r>
          </w:p>
          <w:p w:rsidR="005643EA" w:rsidRPr="00392FFD" w:rsidRDefault="002648B0" w:rsidP="00FD239F">
            <w:pPr>
              <w:pStyle w:val="InstructionsText"/>
            </w:pPr>
            <w:r>
              <w:t>A CRR 45. cikke</w:t>
            </w:r>
          </w:p>
          <w:p w:rsidR="005643EA" w:rsidRPr="00392FFD" w:rsidRDefault="002648B0" w:rsidP="00FD239F">
            <w:pPr>
              <w:pStyle w:val="InstructionsText"/>
            </w:pPr>
            <w:r>
              <w:t>A CRR 45. cikkének a) pontja megengedi az azonos alapul szolgáló k</w:t>
            </w:r>
            <w:r>
              <w:t>i</w:t>
            </w:r>
            <w:r>
              <w:t>tettségen belüli kiegyenlítő rövid pozíciókat akkor, ha a rövid pozíció l</w:t>
            </w:r>
            <w:r>
              <w:t>e</w:t>
            </w:r>
            <w:r>
              <w:t>járata illeszkedik a hosszú pozíció lejáratához vagy legalább egy éves hátralévő futamidővel rendelkezik.</w:t>
            </w:r>
          </w:p>
        </w:tc>
      </w:tr>
      <w:tr w:rsidR="002648B0" w:rsidRPr="00392FFD" w:rsidTr="00672D2A">
        <w:tc>
          <w:tcPr>
            <w:tcW w:w="1506" w:type="dxa"/>
          </w:tcPr>
          <w:p w:rsidR="002648B0" w:rsidRPr="00392FFD" w:rsidRDefault="002648B0" w:rsidP="00FD239F">
            <w:pPr>
              <w:pStyle w:val="InstructionsText"/>
            </w:pPr>
            <w:r>
              <w:t>480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w:t>
            </w:r>
            <w:r w:rsidRPr="008A3CEF">
              <w:rPr>
                <w:u w:val="single"/>
              </w:rPr>
              <w:tab/>
            </w:r>
            <w:r>
              <w:rPr>
                <w:rStyle w:val="InstructionsTabelleberschrift"/>
                <w:rFonts w:ascii="Times New Roman" w:hAnsi="Times New Roman"/>
                <w:sz w:val="24"/>
              </w:rPr>
              <w:t>Pénzügyi ágazatbeli szervezetek CET1 tőkéjében lévő közv</w:t>
            </w:r>
            <w:r>
              <w:rPr>
                <w:rStyle w:val="InstructionsTabelleberschrift"/>
                <w:rFonts w:ascii="Times New Roman" w:hAnsi="Times New Roman"/>
                <w:sz w:val="24"/>
              </w:rPr>
              <w:t>e</w:t>
            </w:r>
            <w:r>
              <w:rPr>
                <w:rStyle w:val="InstructionsTabelleberschrift"/>
                <w:rFonts w:ascii="Times New Roman" w:hAnsi="Times New Roman"/>
                <w:sz w:val="24"/>
              </w:rPr>
              <w:t xml:space="preserve">tett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rendelkezik az említett vállalkozásokban</w:t>
            </w:r>
          </w:p>
          <w:p w:rsidR="005643EA" w:rsidRPr="00392FFD" w:rsidRDefault="002648B0" w:rsidP="00FD239F">
            <w:pPr>
              <w:pStyle w:val="InstructionsText"/>
            </w:pPr>
            <w:r>
              <w:t>A CRR 4. cikke (1) bekezdésének 114. pontja, valamint 44. és 45. cikke</w:t>
            </w:r>
          </w:p>
        </w:tc>
      </w:tr>
      <w:tr w:rsidR="002648B0" w:rsidRPr="00392FFD" w:rsidTr="00672D2A">
        <w:tc>
          <w:tcPr>
            <w:tcW w:w="1506" w:type="dxa"/>
          </w:tcPr>
          <w:p w:rsidR="002648B0" w:rsidRPr="00392FFD" w:rsidRDefault="002648B0" w:rsidP="00FD239F">
            <w:pPr>
              <w:pStyle w:val="InstructionsText"/>
            </w:pPr>
            <w:r>
              <w:t>490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15.2.1.</w:t>
            </w:r>
            <w:r w:rsidRPr="008A3CEF">
              <w:rPr>
                <w:u w:val="single"/>
              </w:rPr>
              <w:tab/>
            </w:r>
            <w:r>
              <w:rPr>
                <w:rStyle w:val="InstructionsTabelleberschrift"/>
                <w:rFonts w:ascii="Times New Roman" w:hAnsi="Times New Roman"/>
                <w:sz w:val="24"/>
              </w:rPr>
              <w:t xml:space="preserve">Pénzügyi ágazatbeli szervezetek CET1 tőkéjében lévő bruttó közvetett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w:t>
            </w:r>
            <w:r>
              <w:rPr>
                <w:rStyle w:val="InstructionsTabelleberschrift"/>
                <w:rFonts w:ascii="Times New Roman" w:hAnsi="Times New Roman"/>
                <w:sz w:val="24"/>
              </w:rPr>
              <w:t>n</w:t>
            </w:r>
            <w:r>
              <w:rPr>
                <w:rStyle w:val="InstructionsTabelleberschrift"/>
                <w:rFonts w:ascii="Times New Roman" w:hAnsi="Times New Roman"/>
                <w:sz w:val="24"/>
              </w:rPr>
              <w:t>delkezik az említett vállalkozásokban</w:t>
            </w:r>
          </w:p>
          <w:p w:rsidR="005643EA" w:rsidRPr="00392FFD" w:rsidRDefault="002648B0" w:rsidP="00FD239F">
            <w:pPr>
              <w:pStyle w:val="InstructionsText"/>
            </w:pPr>
            <w:r>
              <w:t>A CRR 4. cikke (1) bekezdésének 114. pontja, valamint 44. és 45. cikke</w:t>
            </w:r>
          </w:p>
          <w:p w:rsidR="005643EA" w:rsidRPr="00392FFD" w:rsidRDefault="002648B0" w:rsidP="00FD239F">
            <w:pPr>
              <w:pStyle w:val="InstructionsText"/>
            </w:pPr>
            <w:r>
              <w:t>A feltüntetendő érték a pénzügyi ágazatbeli szervezetek tőkeinstrume</w:t>
            </w:r>
            <w:r>
              <w:t>n</w:t>
            </w:r>
            <w:r>
              <w:lastRenderedPageBreak/>
              <w:t>tumaiban lévő, kereskedési könyvben nyilvántartott olyan közvetett r</w:t>
            </w:r>
            <w:r>
              <w:t>é</w:t>
            </w:r>
            <w:r>
              <w:t>szesedések értéke, amelyek indexhez kötött értékpapírokban lévő rész</w:t>
            </w:r>
            <w:r>
              <w:t>e</w:t>
            </w:r>
            <w:r>
              <w:t>sedés formáját öltik. Meghatározása a pénzügyi ágazatbeli szervezete</w:t>
            </w:r>
            <w:r>
              <w:t>k</w:t>
            </w:r>
            <w:r>
              <w:t>nek az adott indexekben foglalt tőkeinstrumentumaival szembeni, alapul szolgáló kitettség kiszámításával történik.</w:t>
            </w:r>
          </w:p>
          <w:p w:rsidR="005643EA" w:rsidRPr="00392FFD" w:rsidRDefault="002648B0" w:rsidP="00FD239F">
            <w:pPr>
              <w:pStyle w:val="InstructionsText"/>
            </w:pPr>
            <w:r>
              <w:t>A CRR 36. cikke (1) bekezdésének g) pontja alapján kölcsönös részes</w:t>
            </w:r>
            <w:r>
              <w:t>e</w:t>
            </w:r>
            <w:r>
              <w:t>désként kezelt részesedések nem számíthatók be.</w:t>
            </w:r>
          </w:p>
        </w:tc>
      </w:tr>
      <w:tr w:rsidR="002648B0" w:rsidRPr="00392FFD" w:rsidTr="00672D2A">
        <w:tc>
          <w:tcPr>
            <w:tcW w:w="1506" w:type="dxa"/>
          </w:tcPr>
          <w:p w:rsidR="002648B0" w:rsidRPr="00392FFD" w:rsidRDefault="002648B0" w:rsidP="00FD239F">
            <w:pPr>
              <w:pStyle w:val="InstructionsText"/>
            </w:pPr>
            <w:r>
              <w:lastRenderedPageBreak/>
              <w:t>500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15.2.2.</w:t>
            </w:r>
            <w:r w:rsidRPr="008A3CEF">
              <w:rPr>
                <w:u w:val="single"/>
              </w:rPr>
              <w:tab/>
            </w:r>
            <w:r>
              <w:rPr>
                <w:rStyle w:val="InstructionsTabelleberschrift"/>
                <w:rFonts w:ascii="Times New Roman" w:hAnsi="Times New Roman"/>
                <w:sz w:val="24"/>
              </w:rPr>
              <w:t>(–) A fent figyelembe vett bruttó közvetett részesedésekkel kapcsolatban megengedett kiegyenlítő rövid pozíciók</w:t>
            </w:r>
          </w:p>
          <w:p w:rsidR="005643EA" w:rsidRPr="00392FFD" w:rsidRDefault="002648B0" w:rsidP="00FD239F">
            <w:pPr>
              <w:pStyle w:val="InstructionsText"/>
            </w:pPr>
            <w:r>
              <w:t>A CRR 4. cikke (1) bekezdésének 114. pontja, valamint 45. cikke</w:t>
            </w:r>
          </w:p>
          <w:p w:rsidR="005643EA" w:rsidRPr="00392FFD" w:rsidRDefault="002648B0" w:rsidP="00FD239F">
            <w:pPr>
              <w:pStyle w:val="InstructionsText"/>
            </w:pPr>
            <w:r>
              <w:t>A CRR 45. cikkének a) pontja megengedi az azonos alapul szolgáló k</w:t>
            </w:r>
            <w:r>
              <w:t>i</w:t>
            </w:r>
            <w:r>
              <w:t>tettségen belüli kiegyenlítő rövid pozíciókat akkor, ha a rövid pozíció l</w:t>
            </w:r>
            <w:r>
              <w:t>e</w:t>
            </w:r>
            <w:r>
              <w:t>járata illeszkedik a hosszú pozíció lejáratához vagy legalább egy éves hátralévő futamidővel rendelkezik.</w:t>
            </w:r>
          </w:p>
        </w:tc>
      </w:tr>
      <w:tr w:rsidR="00DE5A31" w:rsidRPr="00392FFD" w:rsidTr="00672D2A">
        <w:tc>
          <w:tcPr>
            <w:tcW w:w="1506" w:type="dxa"/>
          </w:tcPr>
          <w:p w:rsidR="00DE5A31" w:rsidRPr="00392FFD" w:rsidRDefault="00DE5A31" w:rsidP="00FD239F">
            <w:pPr>
              <w:pStyle w:val="InstructionsText"/>
            </w:pPr>
            <w:r>
              <w:t>501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w:t>
            </w:r>
            <w:r w:rsidRPr="008A3CEF">
              <w:rPr>
                <w:u w:val="single"/>
              </w:rPr>
              <w:tab/>
            </w:r>
            <w:r>
              <w:rPr>
                <w:rStyle w:val="InstructionsTabelleberschrift"/>
                <w:rFonts w:ascii="Times New Roman" w:hAnsi="Times New Roman"/>
                <w:sz w:val="24"/>
              </w:rPr>
              <w:t>Pénzügyi ágazatbeli szervezetek CET1 tőkéjében lévő szint</w:t>
            </w:r>
            <w:r>
              <w:rPr>
                <w:rStyle w:val="InstructionsTabelleberschrift"/>
                <w:rFonts w:ascii="Times New Roman" w:hAnsi="Times New Roman"/>
                <w:sz w:val="24"/>
              </w:rPr>
              <w:t>e</w:t>
            </w:r>
            <w:r>
              <w:rPr>
                <w:rStyle w:val="InstructionsTabelleberschrift"/>
                <w:rFonts w:ascii="Times New Roman" w:hAnsi="Times New Roman"/>
                <w:sz w:val="24"/>
              </w:rPr>
              <w:t xml:space="preserve">tikus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rendelk</w:t>
            </w:r>
            <w:r>
              <w:rPr>
                <w:rStyle w:val="InstructionsTabelleberschrift"/>
                <w:rFonts w:ascii="Times New Roman" w:hAnsi="Times New Roman"/>
                <w:sz w:val="24"/>
              </w:rPr>
              <w:t>e</w:t>
            </w:r>
            <w:r>
              <w:rPr>
                <w:rStyle w:val="InstructionsTabelleberschrift"/>
                <w:rFonts w:ascii="Times New Roman" w:hAnsi="Times New Roman"/>
                <w:sz w:val="24"/>
              </w:rPr>
              <w:t>zik az említett vállalkozásokban</w:t>
            </w:r>
          </w:p>
          <w:p w:rsidR="005643EA" w:rsidRPr="00392FFD" w:rsidRDefault="00805255" w:rsidP="00FD239F">
            <w:pPr>
              <w:pStyle w:val="InstructionsText"/>
            </w:pPr>
            <w:r>
              <w:t>A CRR 4. cikke (1) bekezdésének 126. pontja, valamint 44. és 45. cikke</w:t>
            </w:r>
          </w:p>
        </w:tc>
      </w:tr>
      <w:tr w:rsidR="00DE5A31" w:rsidRPr="00392FFD" w:rsidTr="00672D2A">
        <w:tc>
          <w:tcPr>
            <w:tcW w:w="1506" w:type="dxa"/>
          </w:tcPr>
          <w:p w:rsidR="00DE5A31" w:rsidRPr="00392FFD" w:rsidRDefault="00DE5A31" w:rsidP="00FD239F">
            <w:pPr>
              <w:pStyle w:val="InstructionsText"/>
            </w:pPr>
            <w:r>
              <w:t>502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15.3.1.</w:t>
            </w:r>
            <w:r w:rsidRPr="00F73674">
              <w:rPr>
                <w:u w:val="single"/>
              </w:rPr>
              <w:tab/>
            </w:r>
            <w:r>
              <w:rPr>
                <w:rStyle w:val="InstructionsTabelleberschrift"/>
                <w:rFonts w:ascii="Times New Roman" w:hAnsi="Times New Roman"/>
                <w:sz w:val="24"/>
              </w:rPr>
              <w:t xml:space="preserve">Pénzügyi ágazatbeli szervezetek CET1 tőkéjében lévő bruttó szintetikus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w:t>
            </w:r>
            <w:r>
              <w:rPr>
                <w:rStyle w:val="InstructionsTabelleberschrift"/>
                <w:rFonts w:ascii="Times New Roman" w:hAnsi="Times New Roman"/>
                <w:sz w:val="24"/>
              </w:rPr>
              <w:t>n</w:t>
            </w:r>
            <w:r>
              <w:rPr>
                <w:rStyle w:val="InstructionsTabelleberschrift"/>
                <w:rFonts w:ascii="Times New Roman" w:hAnsi="Times New Roman"/>
                <w:sz w:val="24"/>
              </w:rPr>
              <w:t>delkezik az említett vállalkozásokban</w:t>
            </w:r>
          </w:p>
          <w:p w:rsidR="005643EA" w:rsidRPr="00392FFD" w:rsidRDefault="00805255" w:rsidP="00FD239F">
            <w:pPr>
              <w:pStyle w:val="InstructionsText"/>
            </w:pPr>
            <w:r>
              <w:t>A CRR 4. cikke (1) bekezdésének 126. pontja, valamint 44. és 45. cikke</w:t>
            </w:r>
          </w:p>
        </w:tc>
      </w:tr>
      <w:tr w:rsidR="00DE5A31" w:rsidRPr="00392FFD" w:rsidTr="00672D2A">
        <w:tc>
          <w:tcPr>
            <w:tcW w:w="1506" w:type="dxa"/>
          </w:tcPr>
          <w:p w:rsidR="00DE5A31" w:rsidRPr="00392FFD" w:rsidRDefault="00E81DB9" w:rsidP="00FD239F">
            <w:pPr>
              <w:pStyle w:val="InstructionsText"/>
            </w:pPr>
            <w:r>
              <w:t>503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15.3.2.</w:t>
            </w:r>
            <w:r w:rsidRPr="00F73674">
              <w:rPr>
                <w:u w:val="single"/>
              </w:rPr>
              <w:tab/>
            </w:r>
            <w:r>
              <w:rPr>
                <w:rStyle w:val="InstructionsTabelleberschrift"/>
                <w:rFonts w:ascii="Times New Roman" w:hAnsi="Times New Roman"/>
                <w:sz w:val="24"/>
              </w:rPr>
              <w:t>(–) A fent figyelembe vett bruttó szintetikus részesedésekkel kapcsolatban megengedett kiegyenlítő rövid pozíciók</w:t>
            </w:r>
          </w:p>
          <w:p w:rsidR="005643EA" w:rsidRPr="00392FFD" w:rsidRDefault="00805255" w:rsidP="00FD239F">
            <w:pPr>
              <w:pStyle w:val="InstructionsText"/>
            </w:pPr>
            <w:r>
              <w:t>A CRR 4. cikke (1) bekezdésének 126. pontja, valamint 45. cikke</w:t>
            </w:r>
          </w:p>
        </w:tc>
      </w:tr>
      <w:tr w:rsidR="002648B0" w:rsidRPr="00392FFD" w:rsidTr="00672D2A">
        <w:tc>
          <w:tcPr>
            <w:tcW w:w="1506" w:type="dxa"/>
          </w:tcPr>
          <w:p w:rsidR="002648B0" w:rsidRPr="00392FFD" w:rsidRDefault="002648B0" w:rsidP="00FD239F">
            <w:pPr>
              <w:pStyle w:val="InstructionsText"/>
            </w:pPr>
            <w:r>
              <w:t>510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 Pénzügyi ágazatbeli szervezetek AT1 tőkéjében lévő részesed</w:t>
            </w:r>
            <w:r>
              <w:rPr>
                <w:rStyle w:val="InstructionsTabelleberschrift"/>
                <w:rFonts w:ascii="Times New Roman" w:hAnsi="Times New Roman"/>
                <w:sz w:val="24"/>
              </w:rPr>
              <w:t>é</w:t>
            </w:r>
            <w:r>
              <w:rPr>
                <w:rStyle w:val="InstructionsTabelleberschrift"/>
                <w:rFonts w:ascii="Times New Roman" w:hAnsi="Times New Roman"/>
                <w:sz w:val="24"/>
              </w:rPr>
              <w:t xml:space="preserve">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rendelkezik az említett vállalkozásokban, a rövid pozíciók levonásával</w:t>
            </w:r>
          </w:p>
          <w:p w:rsidR="005643EA" w:rsidRPr="00392FFD" w:rsidRDefault="002648B0" w:rsidP="00FD239F">
            <w:pPr>
              <w:pStyle w:val="InstructionsText"/>
            </w:pPr>
            <w:r>
              <w:t>A CRR 58. és 59. cikke</w:t>
            </w:r>
          </w:p>
        </w:tc>
      </w:tr>
      <w:tr w:rsidR="002648B0" w:rsidRPr="00392FFD" w:rsidTr="00672D2A">
        <w:tc>
          <w:tcPr>
            <w:tcW w:w="1506" w:type="dxa"/>
          </w:tcPr>
          <w:p w:rsidR="002648B0" w:rsidRPr="00392FFD" w:rsidRDefault="002648B0" w:rsidP="00FD239F">
            <w:pPr>
              <w:pStyle w:val="InstructionsText"/>
            </w:pPr>
            <w:r>
              <w:t>520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w:t>
            </w:r>
            <w:r w:rsidRPr="00F73674">
              <w:rPr>
                <w:u w:val="single"/>
              </w:rPr>
              <w:tab/>
            </w:r>
            <w:r>
              <w:rPr>
                <w:rStyle w:val="InstructionsTabelleberschrift"/>
                <w:rFonts w:ascii="Times New Roman" w:hAnsi="Times New Roman"/>
                <w:sz w:val="24"/>
              </w:rPr>
              <w:t>Pénzügyi ágazatbeli szervezetek AT1 tőkéjében lévő közve</w:t>
            </w:r>
            <w:r>
              <w:rPr>
                <w:rStyle w:val="InstructionsTabelleberschrift"/>
                <w:rFonts w:ascii="Times New Roman" w:hAnsi="Times New Roman"/>
                <w:sz w:val="24"/>
              </w:rPr>
              <w:t>t</w:t>
            </w:r>
            <w:r>
              <w:rPr>
                <w:rStyle w:val="InstructionsTabelleberschrift"/>
                <w:rFonts w:ascii="Times New Roman" w:hAnsi="Times New Roman"/>
                <w:sz w:val="24"/>
              </w:rPr>
              <w:t xml:space="preserve">len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rendelkezik az említett vállalkozásokban</w:t>
            </w:r>
          </w:p>
          <w:p w:rsidR="005643EA" w:rsidRPr="00392FFD" w:rsidRDefault="002648B0" w:rsidP="00FD239F">
            <w:pPr>
              <w:pStyle w:val="InstructionsText"/>
            </w:pPr>
            <w:r>
              <w:t>A CRR 58. és 59. cikke</w:t>
            </w:r>
          </w:p>
        </w:tc>
      </w:tr>
      <w:tr w:rsidR="002648B0" w:rsidRPr="00392FFD" w:rsidTr="00672D2A">
        <w:tc>
          <w:tcPr>
            <w:tcW w:w="1506" w:type="dxa"/>
          </w:tcPr>
          <w:p w:rsidR="002648B0" w:rsidRPr="00392FFD" w:rsidRDefault="002648B0" w:rsidP="00FD239F">
            <w:pPr>
              <w:pStyle w:val="InstructionsText"/>
            </w:pPr>
            <w:r>
              <w:t>530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16.1.1.</w:t>
            </w:r>
            <w:r w:rsidRPr="00F73674">
              <w:rPr>
                <w:u w:val="single"/>
              </w:rPr>
              <w:tab/>
            </w:r>
            <w:r>
              <w:rPr>
                <w:rStyle w:val="InstructionsTabelleberschrift"/>
                <w:rFonts w:ascii="Times New Roman" w:hAnsi="Times New Roman"/>
                <w:sz w:val="24"/>
              </w:rPr>
              <w:t xml:space="preserve">Pénzügyi ágazatbeli szervezetek AT1 tőkéjében lévő bruttó közvetlen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w:t>
            </w:r>
            <w:r>
              <w:rPr>
                <w:rStyle w:val="InstructionsTabelleberschrift"/>
                <w:rFonts w:ascii="Times New Roman" w:hAnsi="Times New Roman"/>
                <w:sz w:val="24"/>
              </w:rPr>
              <w:t>n</w:t>
            </w:r>
            <w:r>
              <w:rPr>
                <w:rStyle w:val="InstructionsTabelleberschrift"/>
                <w:rFonts w:ascii="Times New Roman" w:hAnsi="Times New Roman"/>
                <w:sz w:val="24"/>
              </w:rPr>
              <w:t>delkezik az említett vállalkozásokban</w:t>
            </w:r>
          </w:p>
          <w:p w:rsidR="005643EA" w:rsidRPr="00392FFD" w:rsidRDefault="002648B0" w:rsidP="00FD239F">
            <w:pPr>
              <w:pStyle w:val="InstructionsText"/>
            </w:pPr>
            <w:r>
              <w:t>A CRR 58. cikke</w:t>
            </w:r>
          </w:p>
          <w:p w:rsidR="005643EA" w:rsidRPr="00392FFD" w:rsidRDefault="002648B0" w:rsidP="00FD239F">
            <w:pPr>
              <w:pStyle w:val="InstructionsText"/>
            </w:pPr>
            <w:r>
              <w:t>Pénzügyi ágazatbeli szervezetek AT1 tőkéjében lévő közvetlen részes</w:t>
            </w:r>
            <w:r>
              <w:t>e</w:t>
            </w:r>
            <w:r>
              <w:t xml:space="preserve">dések, ha az </w:t>
            </w:r>
            <w:proofErr w:type="gramStart"/>
            <w:r>
              <w:t>intézmény jelentős</w:t>
            </w:r>
            <w:proofErr w:type="gramEnd"/>
            <w:r>
              <w:t xml:space="preserve"> részesedéssel rendelkezik az említett vállalkozásokban, az alábbiak kivételével:</w:t>
            </w:r>
          </w:p>
          <w:p w:rsidR="005643EA" w:rsidRPr="00392FFD" w:rsidRDefault="002648B0" w:rsidP="00FD239F">
            <w:pPr>
              <w:pStyle w:val="InstructionsText"/>
            </w:pPr>
            <w:r>
              <w:t>a)</w:t>
            </w:r>
            <w:r>
              <w:tab/>
              <w:t>az öt munkanapig vagy annál rövidebb ideig tartott, jegyzési g</w:t>
            </w:r>
            <w:r>
              <w:t>a</w:t>
            </w:r>
            <w:r>
              <w:t xml:space="preserve">ranciavállalásból eredő pozíciók (56. cikk, d) pont); továbbá </w:t>
            </w:r>
          </w:p>
          <w:p w:rsidR="005643EA" w:rsidRPr="00392FFD" w:rsidRDefault="002648B0" w:rsidP="00FD239F">
            <w:pPr>
              <w:pStyle w:val="InstructionsText"/>
            </w:pPr>
            <w:r>
              <w:lastRenderedPageBreak/>
              <w:t>b)</w:t>
            </w:r>
            <w:r>
              <w:tab/>
              <w:t>a CRR 56. cikkének b) pontja alapján kölcsönös részesedésként kezelt részesedések.</w:t>
            </w:r>
          </w:p>
        </w:tc>
      </w:tr>
      <w:tr w:rsidR="002648B0" w:rsidRPr="00392FFD" w:rsidTr="00672D2A">
        <w:tc>
          <w:tcPr>
            <w:tcW w:w="1506" w:type="dxa"/>
          </w:tcPr>
          <w:p w:rsidR="002648B0" w:rsidRPr="00392FFD" w:rsidRDefault="002648B0" w:rsidP="00FD239F">
            <w:pPr>
              <w:pStyle w:val="InstructionsText"/>
            </w:pPr>
            <w:r>
              <w:lastRenderedPageBreak/>
              <w:t>540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16.1.2.</w:t>
            </w:r>
            <w:r w:rsidRPr="00F73674">
              <w:rPr>
                <w:u w:val="single"/>
              </w:rPr>
              <w:tab/>
            </w:r>
            <w:r>
              <w:rPr>
                <w:rStyle w:val="InstructionsTabelleberschrift"/>
                <w:rFonts w:ascii="Times New Roman" w:hAnsi="Times New Roman"/>
                <w:sz w:val="24"/>
              </w:rPr>
              <w:t>(–) A fent figyelembe vett bruttó közvetlen részesedésekkel kapcsolatban megengedett kiegyenlítő rövid pozíciók</w:t>
            </w:r>
          </w:p>
          <w:p w:rsidR="005643EA" w:rsidRPr="00392FFD" w:rsidRDefault="002648B0" w:rsidP="00FD239F">
            <w:pPr>
              <w:pStyle w:val="InstructionsText"/>
            </w:pPr>
            <w:r>
              <w:t>A CRR 59. cikke</w:t>
            </w:r>
          </w:p>
          <w:p w:rsidR="005643EA" w:rsidRPr="00392FFD" w:rsidRDefault="002648B0" w:rsidP="00FD239F">
            <w:pPr>
              <w:pStyle w:val="InstructionsText"/>
            </w:pPr>
            <w:r>
              <w:t>A CRR 59. cikkének a) pontja megengedi az azonos alapul szolgáló k</w:t>
            </w:r>
            <w:r>
              <w:t>i</w:t>
            </w:r>
            <w:r>
              <w:t>tettségen belüli kiegyenlítő rövid pozíciókat akkor, ha a rövid pozíció l</w:t>
            </w:r>
            <w:r>
              <w:t>e</w:t>
            </w:r>
            <w:r>
              <w:t>járata illeszkedik a hosszú pozíció lejáratához vagy legalább egy éves hátralévő futamidővel rendelkezik.</w:t>
            </w:r>
          </w:p>
        </w:tc>
      </w:tr>
      <w:tr w:rsidR="002648B0" w:rsidRPr="00392FFD" w:rsidTr="00672D2A">
        <w:tc>
          <w:tcPr>
            <w:tcW w:w="1506" w:type="dxa"/>
          </w:tcPr>
          <w:p w:rsidR="002648B0" w:rsidRPr="00392FFD" w:rsidRDefault="002648B0" w:rsidP="00FD239F">
            <w:pPr>
              <w:pStyle w:val="InstructionsText"/>
            </w:pPr>
            <w:r>
              <w:t>550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w:t>
            </w:r>
            <w:r w:rsidRPr="00F73674">
              <w:rPr>
                <w:u w:val="single"/>
              </w:rPr>
              <w:tab/>
            </w:r>
            <w:r>
              <w:rPr>
                <w:rStyle w:val="InstructionsTabelleberschrift"/>
                <w:rFonts w:ascii="Times New Roman" w:hAnsi="Times New Roman"/>
                <w:sz w:val="24"/>
              </w:rPr>
              <w:t xml:space="preserve">Pénzügyi ágazatbeli szervezetek AT1 tőkéjében lévő közvetett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rendelkezik az említett vállalkozásokban</w:t>
            </w:r>
          </w:p>
          <w:p w:rsidR="005643EA" w:rsidRPr="00392FFD" w:rsidRDefault="002648B0" w:rsidP="00FD239F">
            <w:pPr>
              <w:pStyle w:val="InstructionsText"/>
            </w:pPr>
            <w:r>
              <w:t>A CRR 4. cikke (1) bekezdésének 114. pontja, valamint 58. és 59. cikke</w:t>
            </w:r>
          </w:p>
        </w:tc>
      </w:tr>
      <w:tr w:rsidR="002648B0" w:rsidRPr="00392FFD" w:rsidTr="00672D2A">
        <w:tc>
          <w:tcPr>
            <w:tcW w:w="1506" w:type="dxa"/>
          </w:tcPr>
          <w:p w:rsidR="002648B0" w:rsidRPr="00392FFD" w:rsidRDefault="002648B0" w:rsidP="00FD239F">
            <w:pPr>
              <w:pStyle w:val="InstructionsText"/>
            </w:pPr>
            <w:r>
              <w:t>560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16.2.1.</w:t>
            </w:r>
            <w:r w:rsidRPr="00F73674">
              <w:rPr>
                <w:u w:val="single"/>
              </w:rPr>
              <w:tab/>
            </w:r>
            <w:r>
              <w:rPr>
                <w:rStyle w:val="InstructionsTabelleberschrift"/>
                <w:rFonts w:ascii="Times New Roman" w:hAnsi="Times New Roman"/>
                <w:sz w:val="24"/>
              </w:rPr>
              <w:t xml:space="preserve">Pénzügyi ágazatbeli szervezetek AT1 tőkéjében lévő bruttó közvetett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w:t>
            </w:r>
            <w:r>
              <w:rPr>
                <w:rStyle w:val="InstructionsTabelleberschrift"/>
                <w:rFonts w:ascii="Times New Roman" w:hAnsi="Times New Roman"/>
                <w:sz w:val="24"/>
              </w:rPr>
              <w:t>n</w:t>
            </w:r>
            <w:r>
              <w:rPr>
                <w:rStyle w:val="InstructionsTabelleberschrift"/>
                <w:rFonts w:ascii="Times New Roman" w:hAnsi="Times New Roman"/>
                <w:sz w:val="24"/>
              </w:rPr>
              <w:t>delkezik az említett vállalkozásokban</w:t>
            </w:r>
          </w:p>
          <w:p w:rsidR="005643EA" w:rsidRPr="00392FFD" w:rsidRDefault="002648B0" w:rsidP="00FD239F">
            <w:pPr>
              <w:pStyle w:val="InstructionsText"/>
            </w:pPr>
            <w:r>
              <w:t>A CRR 4. cikke (1) bekezdésének 114. pontja, valamint 58. és 59. cikke</w:t>
            </w:r>
          </w:p>
          <w:p w:rsidR="005643EA" w:rsidRPr="00392FFD" w:rsidRDefault="002648B0" w:rsidP="00FD239F">
            <w:pPr>
              <w:pStyle w:val="InstructionsText"/>
            </w:pPr>
            <w:r>
              <w:t>A feltüntetendő érték a pénzügyi ágazatbeli szervezetek tőkeinstrume</w:t>
            </w:r>
            <w:r>
              <w:t>n</w:t>
            </w:r>
            <w:r>
              <w:t>tumaiban lévő, kereskedési könyvben nyilvántartott olyan közvetett r</w:t>
            </w:r>
            <w:r>
              <w:t>é</w:t>
            </w:r>
            <w:r>
              <w:t>szesedések értéke, amelyek indexhez kötött értékpapírokban lévő rész</w:t>
            </w:r>
            <w:r>
              <w:t>e</w:t>
            </w:r>
            <w:r>
              <w:t>sedés formáját öltik. Meghatározása a pénzügyi ágazatbeli szervezete</w:t>
            </w:r>
            <w:r>
              <w:t>k</w:t>
            </w:r>
            <w:r>
              <w:t>nek az adott indexekben foglalt tőkeinstrumentumaival szembeni, alapul szolgáló kitettség kiszámításával történik.</w:t>
            </w:r>
          </w:p>
          <w:p w:rsidR="005643EA" w:rsidRPr="00392FFD" w:rsidRDefault="002648B0" w:rsidP="00FD239F">
            <w:pPr>
              <w:pStyle w:val="InstructionsText"/>
            </w:pPr>
            <w:r>
              <w:t>A CRR 56. cikkének b) pontja alapján kölcsönös részesedésként kezelt részesedések nem számíthatók be.</w:t>
            </w:r>
          </w:p>
        </w:tc>
      </w:tr>
      <w:tr w:rsidR="002648B0" w:rsidRPr="00392FFD" w:rsidTr="00672D2A">
        <w:tc>
          <w:tcPr>
            <w:tcW w:w="1506" w:type="dxa"/>
          </w:tcPr>
          <w:p w:rsidR="002648B0" w:rsidRPr="00392FFD" w:rsidRDefault="002648B0" w:rsidP="00FD239F">
            <w:pPr>
              <w:pStyle w:val="InstructionsText"/>
            </w:pPr>
            <w:r>
              <w:t>570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16.2.2.</w:t>
            </w:r>
            <w:r w:rsidRPr="00F73674">
              <w:rPr>
                <w:u w:val="single"/>
              </w:rPr>
              <w:tab/>
            </w:r>
            <w:r>
              <w:rPr>
                <w:rStyle w:val="InstructionsTabelleberschrift"/>
                <w:rFonts w:ascii="Times New Roman" w:hAnsi="Times New Roman"/>
                <w:sz w:val="24"/>
              </w:rPr>
              <w:t>(–) A fent figyelembe vett bruttó közvetett részesedésekkel kapcsolatban megengedett kiegyenlítő rövid pozíciók</w:t>
            </w:r>
          </w:p>
          <w:p w:rsidR="005643EA" w:rsidRPr="00392FFD" w:rsidRDefault="002648B0" w:rsidP="00FD239F">
            <w:pPr>
              <w:pStyle w:val="InstructionsText"/>
            </w:pPr>
            <w:r>
              <w:t>A CRR 4. cikke (1) bekezdésének 114. pontja, valamint 59. cikke</w:t>
            </w:r>
          </w:p>
          <w:p w:rsidR="005643EA" w:rsidRPr="00392FFD" w:rsidRDefault="002648B0" w:rsidP="00FD239F">
            <w:pPr>
              <w:pStyle w:val="InstructionsText"/>
            </w:pPr>
            <w:r>
              <w:t>A CRR 59. cikkének a) pontja megengedi az azonos alapul szolgáló k</w:t>
            </w:r>
            <w:r>
              <w:t>i</w:t>
            </w:r>
            <w:r>
              <w:t>tettségen belüli kiegyenlítő rövid pozíciókat akkor, ha a rövid pozíció l</w:t>
            </w:r>
            <w:r>
              <w:t>e</w:t>
            </w:r>
            <w:r>
              <w:t>járata illeszkedik a hosszú pozíció lejáratához vagy legalább egy éves hátralévő futamidővel rendelkezik.</w:t>
            </w:r>
          </w:p>
        </w:tc>
      </w:tr>
      <w:tr w:rsidR="00E81DB9" w:rsidRPr="00392FFD" w:rsidTr="00672D2A">
        <w:tc>
          <w:tcPr>
            <w:tcW w:w="1506" w:type="dxa"/>
          </w:tcPr>
          <w:p w:rsidR="00E81DB9" w:rsidRPr="00392FFD" w:rsidRDefault="00E81DB9" w:rsidP="00FD239F">
            <w:pPr>
              <w:pStyle w:val="InstructionsText"/>
            </w:pPr>
            <w:r>
              <w:t>571</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w:t>
            </w:r>
            <w:r w:rsidRPr="00F73674">
              <w:rPr>
                <w:u w:val="single"/>
              </w:rPr>
              <w:tab/>
            </w:r>
            <w:r>
              <w:rPr>
                <w:rStyle w:val="InstructionsTabelleberschrift"/>
                <w:rFonts w:ascii="Times New Roman" w:hAnsi="Times New Roman"/>
                <w:sz w:val="24"/>
              </w:rPr>
              <w:t>Pénzügyi ágazatbeli szervezetek AT1 tőkéjében lévő szintet</w:t>
            </w:r>
            <w:r>
              <w:rPr>
                <w:rStyle w:val="InstructionsTabelleberschrift"/>
                <w:rFonts w:ascii="Times New Roman" w:hAnsi="Times New Roman"/>
                <w:sz w:val="24"/>
              </w:rPr>
              <w:t>i</w:t>
            </w:r>
            <w:r>
              <w:rPr>
                <w:rStyle w:val="InstructionsTabelleberschrift"/>
                <w:rFonts w:ascii="Times New Roman" w:hAnsi="Times New Roman"/>
                <w:sz w:val="24"/>
              </w:rPr>
              <w:t xml:space="preserve">kus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rendelkezik az említett vállalkozásokban</w:t>
            </w:r>
          </w:p>
          <w:p w:rsidR="005643EA" w:rsidRPr="00201704" w:rsidRDefault="00E81DB9" w:rsidP="00FD239F">
            <w:pPr>
              <w:pStyle w:val="InstructionsText"/>
              <w:rPr>
                <w:rStyle w:val="InstructionsTabelleberschrift"/>
                <w:rFonts w:ascii="Times New Roman" w:hAnsi="Times New Roman"/>
                <w:b w:val="0"/>
                <w:bCs w:val="0"/>
                <w:sz w:val="24"/>
                <w:u w:val="none"/>
              </w:rPr>
            </w:pPr>
            <w:r>
              <w:t>A CRR 4. cikke (1) bekezdésének 126. pontja, valamint 58. és 59. cikke</w:t>
            </w:r>
          </w:p>
        </w:tc>
      </w:tr>
      <w:tr w:rsidR="00E81DB9" w:rsidRPr="00392FFD" w:rsidTr="00672D2A">
        <w:tc>
          <w:tcPr>
            <w:tcW w:w="1506" w:type="dxa"/>
          </w:tcPr>
          <w:p w:rsidR="00E81DB9" w:rsidRPr="00392FFD" w:rsidRDefault="00E81DB9" w:rsidP="00FD239F">
            <w:pPr>
              <w:pStyle w:val="InstructionsText"/>
            </w:pPr>
            <w:r>
              <w:t>572</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16.3.1.</w:t>
            </w:r>
            <w:r w:rsidRPr="00F73674">
              <w:rPr>
                <w:u w:val="single"/>
              </w:rPr>
              <w:tab/>
            </w:r>
            <w:r>
              <w:rPr>
                <w:rStyle w:val="InstructionsTabelleberschrift"/>
                <w:rFonts w:ascii="Times New Roman" w:hAnsi="Times New Roman"/>
                <w:sz w:val="24"/>
              </w:rPr>
              <w:t xml:space="preserve">Pénzügyi ágazatbeli szervezetek AT1 tőkéjében lévő bruttó szintetikus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w:t>
            </w:r>
            <w:r>
              <w:rPr>
                <w:rStyle w:val="InstructionsTabelleberschrift"/>
                <w:rFonts w:ascii="Times New Roman" w:hAnsi="Times New Roman"/>
                <w:sz w:val="24"/>
              </w:rPr>
              <w:t>n</w:t>
            </w:r>
            <w:r>
              <w:rPr>
                <w:rStyle w:val="InstructionsTabelleberschrift"/>
                <w:rFonts w:ascii="Times New Roman" w:hAnsi="Times New Roman"/>
                <w:sz w:val="24"/>
              </w:rPr>
              <w:t>delkezik az említett vállalkozásokban</w:t>
            </w:r>
          </w:p>
          <w:p w:rsidR="005643EA" w:rsidRPr="00201704" w:rsidRDefault="00E81DB9" w:rsidP="00FD239F">
            <w:pPr>
              <w:pStyle w:val="InstructionsText"/>
              <w:rPr>
                <w:rStyle w:val="InstructionsTabelleberschrift"/>
                <w:rFonts w:ascii="Times New Roman" w:hAnsi="Times New Roman"/>
                <w:b w:val="0"/>
                <w:bCs w:val="0"/>
                <w:sz w:val="24"/>
                <w:u w:val="none"/>
              </w:rPr>
            </w:pPr>
            <w:r>
              <w:t>A CRR 4. cikke (1) bekezdésének 126. pontja, valamint 58. és 59. cikke</w:t>
            </w:r>
          </w:p>
        </w:tc>
      </w:tr>
      <w:tr w:rsidR="00E81DB9" w:rsidRPr="00392FFD" w:rsidTr="00672D2A">
        <w:tc>
          <w:tcPr>
            <w:tcW w:w="1506" w:type="dxa"/>
          </w:tcPr>
          <w:p w:rsidR="00E81DB9" w:rsidRPr="00392FFD" w:rsidRDefault="00E81DB9" w:rsidP="00FD239F">
            <w:pPr>
              <w:pStyle w:val="InstructionsText"/>
            </w:pPr>
            <w:r>
              <w:t>573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16.3.2.</w:t>
            </w:r>
            <w:r w:rsidRPr="00F73674">
              <w:rPr>
                <w:u w:val="single"/>
              </w:rPr>
              <w:tab/>
            </w:r>
            <w:r w:rsidRPr="00F73674">
              <w:rPr>
                <w:rStyle w:val="InstructionsTabelleberschrift"/>
                <w:rFonts w:ascii="Times New Roman" w:hAnsi="Times New Roman"/>
                <w:sz w:val="24"/>
              </w:rPr>
              <w:t>(</w:t>
            </w:r>
            <w:r>
              <w:rPr>
                <w:rStyle w:val="InstructionsTabelleberschrift"/>
                <w:rFonts w:ascii="Times New Roman" w:hAnsi="Times New Roman"/>
                <w:sz w:val="24"/>
              </w:rPr>
              <w:t>–) A fent figyelembe vett bruttó szintetikus részesedésekkel kapcsolatban megengedett kiegyenlítő rövid pozíciók</w:t>
            </w:r>
          </w:p>
          <w:p w:rsidR="005643EA" w:rsidRPr="00201704" w:rsidRDefault="00E81DB9" w:rsidP="00FD239F">
            <w:pPr>
              <w:pStyle w:val="InstructionsText"/>
              <w:rPr>
                <w:rStyle w:val="InstructionsTabelleberschrift"/>
                <w:rFonts w:ascii="Times New Roman" w:hAnsi="Times New Roman"/>
                <w:b w:val="0"/>
                <w:bCs w:val="0"/>
                <w:sz w:val="24"/>
                <w:u w:val="none"/>
              </w:rPr>
            </w:pPr>
            <w:r>
              <w:lastRenderedPageBreak/>
              <w:t>A CRR 4. cikke (1) bekezdésének 126. pontja, valamint 59. cikke</w:t>
            </w:r>
          </w:p>
        </w:tc>
      </w:tr>
      <w:tr w:rsidR="002648B0" w:rsidRPr="00392FFD" w:rsidTr="00672D2A">
        <w:tc>
          <w:tcPr>
            <w:tcW w:w="1506" w:type="dxa"/>
          </w:tcPr>
          <w:p w:rsidR="002648B0" w:rsidRPr="00392FFD" w:rsidRDefault="002648B0" w:rsidP="00FD239F">
            <w:pPr>
              <w:pStyle w:val="InstructionsText"/>
            </w:pPr>
            <w:r>
              <w:lastRenderedPageBreak/>
              <w:t>580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 xml:space="preserve">17. Pénzügyi ágazatbeli szervezetek T2 tőkéjében lévő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rendelkezik az említett válla</w:t>
            </w:r>
            <w:r>
              <w:rPr>
                <w:rStyle w:val="InstructionsTabelleberschrift"/>
                <w:rFonts w:ascii="Times New Roman" w:hAnsi="Times New Roman"/>
                <w:sz w:val="24"/>
              </w:rPr>
              <w:t>l</w:t>
            </w:r>
            <w:r>
              <w:rPr>
                <w:rStyle w:val="InstructionsTabelleberschrift"/>
                <w:rFonts w:ascii="Times New Roman" w:hAnsi="Times New Roman"/>
                <w:sz w:val="24"/>
              </w:rPr>
              <w:t>kozásokban, a rövid pozíciók levonásával</w:t>
            </w:r>
          </w:p>
          <w:p w:rsidR="005643EA" w:rsidRPr="00392FFD" w:rsidRDefault="002648B0" w:rsidP="00FD239F">
            <w:pPr>
              <w:pStyle w:val="InstructionsText"/>
            </w:pPr>
            <w:r>
              <w:t>A CRR 68. és 69. cikke</w:t>
            </w:r>
          </w:p>
        </w:tc>
      </w:tr>
      <w:tr w:rsidR="002648B0" w:rsidRPr="00392FFD" w:rsidTr="00672D2A">
        <w:tc>
          <w:tcPr>
            <w:tcW w:w="1506" w:type="dxa"/>
          </w:tcPr>
          <w:p w:rsidR="002648B0" w:rsidRPr="00392FFD" w:rsidRDefault="002648B0" w:rsidP="00FD239F">
            <w:pPr>
              <w:pStyle w:val="InstructionsText"/>
            </w:pPr>
            <w:r>
              <w:t>590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w:t>
            </w:r>
            <w:r w:rsidRPr="00F73674">
              <w:rPr>
                <w:u w:val="single"/>
              </w:rPr>
              <w:tab/>
            </w:r>
            <w:r>
              <w:rPr>
                <w:rStyle w:val="InstructionsTabelleberschrift"/>
                <w:rFonts w:ascii="Times New Roman" w:hAnsi="Times New Roman"/>
                <w:sz w:val="24"/>
              </w:rPr>
              <w:t xml:space="preserve">Pénzügyi ágazatbeli szervezetek T2 tőkéjében lévő közvetlen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rendelkezik az említett vállalkozásokban</w:t>
            </w:r>
          </w:p>
          <w:p w:rsidR="005643EA" w:rsidRPr="00392FFD" w:rsidRDefault="002648B0" w:rsidP="00FD239F">
            <w:pPr>
              <w:pStyle w:val="InstructionsText"/>
            </w:pPr>
            <w:r>
              <w:t>A CRR 68. és 69. cikke</w:t>
            </w:r>
          </w:p>
        </w:tc>
      </w:tr>
      <w:tr w:rsidR="002648B0" w:rsidRPr="00392FFD" w:rsidTr="00672D2A">
        <w:tc>
          <w:tcPr>
            <w:tcW w:w="1506" w:type="dxa"/>
          </w:tcPr>
          <w:p w:rsidR="002648B0" w:rsidRPr="00392FFD" w:rsidRDefault="002648B0" w:rsidP="00FD239F">
            <w:pPr>
              <w:pStyle w:val="InstructionsText"/>
            </w:pPr>
            <w:r>
              <w:t>600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17.1.1.</w:t>
            </w:r>
            <w:r w:rsidRPr="00F73674">
              <w:rPr>
                <w:u w:val="single"/>
              </w:rPr>
              <w:tab/>
            </w:r>
            <w:r>
              <w:rPr>
                <w:rStyle w:val="InstructionsTabelleberschrift"/>
                <w:rFonts w:ascii="Times New Roman" w:hAnsi="Times New Roman"/>
                <w:sz w:val="24"/>
              </w:rPr>
              <w:t xml:space="preserve">Pénzügyi ágazatbeli szervezetek T2 tőkéjében lévő bruttó közvetlen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w:t>
            </w:r>
            <w:r>
              <w:rPr>
                <w:rStyle w:val="InstructionsTabelleberschrift"/>
                <w:rFonts w:ascii="Times New Roman" w:hAnsi="Times New Roman"/>
                <w:sz w:val="24"/>
              </w:rPr>
              <w:t>n</w:t>
            </w:r>
            <w:r>
              <w:rPr>
                <w:rStyle w:val="InstructionsTabelleberschrift"/>
                <w:rFonts w:ascii="Times New Roman" w:hAnsi="Times New Roman"/>
                <w:sz w:val="24"/>
              </w:rPr>
              <w:t>delkezik az említett vállalkozásokban</w:t>
            </w:r>
          </w:p>
          <w:p w:rsidR="005643EA" w:rsidRPr="00392FFD" w:rsidRDefault="002648B0" w:rsidP="00FD239F">
            <w:pPr>
              <w:pStyle w:val="InstructionsText"/>
            </w:pPr>
            <w:r>
              <w:t>A CRR 68. cikke</w:t>
            </w:r>
          </w:p>
          <w:p w:rsidR="005643EA" w:rsidRPr="00392FFD" w:rsidRDefault="002648B0" w:rsidP="00FD239F">
            <w:pPr>
              <w:pStyle w:val="InstructionsText"/>
            </w:pPr>
            <w:r>
              <w:t>Pénzügyi ágazatbeli szervezetek T2 tőkéjében lévő közvetlen részesed</w:t>
            </w:r>
            <w:r>
              <w:t>é</w:t>
            </w:r>
            <w:r>
              <w:t xml:space="preserve">sek, ha az </w:t>
            </w:r>
            <w:proofErr w:type="gramStart"/>
            <w:r>
              <w:t>intézmény jelentős</w:t>
            </w:r>
            <w:proofErr w:type="gramEnd"/>
            <w:r>
              <w:t xml:space="preserve"> részesedéssel rendelkezik az említett vá</w:t>
            </w:r>
            <w:r>
              <w:t>l</w:t>
            </w:r>
            <w:r>
              <w:t>lalkozásokban, az alábbiak kivételével:</w:t>
            </w:r>
          </w:p>
          <w:p w:rsidR="005643EA" w:rsidRPr="00392FFD" w:rsidRDefault="002648B0" w:rsidP="00FD239F">
            <w:pPr>
              <w:pStyle w:val="InstructionsText"/>
            </w:pPr>
            <w:r>
              <w:t>a)</w:t>
            </w:r>
            <w:r>
              <w:tab/>
              <w:t>az öt munkanapig vagy annál rövidebb ideig tartott, jegyzési g</w:t>
            </w:r>
            <w:r>
              <w:t>a</w:t>
            </w:r>
            <w:r>
              <w:t xml:space="preserve">ranciavállalásból eredő pozíciók (66. cikk, d) pont); továbbá </w:t>
            </w:r>
          </w:p>
          <w:p w:rsidR="005643EA" w:rsidRPr="00392FFD" w:rsidRDefault="002648B0" w:rsidP="00FD239F">
            <w:pPr>
              <w:pStyle w:val="InstructionsText"/>
            </w:pPr>
            <w:r>
              <w:t>b)</w:t>
            </w:r>
            <w:r>
              <w:tab/>
              <w:t>a CRR 66. cikkének b) pontja alapján kölcsönös részesedésként kezelt részesedések.</w:t>
            </w:r>
          </w:p>
        </w:tc>
      </w:tr>
      <w:tr w:rsidR="002648B0" w:rsidRPr="00392FFD" w:rsidTr="00672D2A">
        <w:tc>
          <w:tcPr>
            <w:tcW w:w="1506" w:type="dxa"/>
          </w:tcPr>
          <w:p w:rsidR="002648B0" w:rsidRPr="00392FFD" w:rsidRDefault="002648B0" w:rsidP="00FD239F">
            <w:pPr>
              <w:pStyle w:val="InstructionsText"/>
            </w:pPr>
            <w:r>
              <w:t>610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17.1.2.</w:t>
            </w:r>
            <w:r w:rsidRPr="00F73674">
              <w:rPr>
                <w:u w:val="single"/>
              </w:rPr>
              <w:tab/>
            </w:r>
            <w:r>
              <w:rPr>
                <w:rStyle w:val="InstructionsTabelleberschrift"/>
                <w:rFonts w:ascii="Times New Roman" w:hAnsi="Times New Roman"/>
                <w:sz w:val="24"/>
              </w:rPr>
              <w:t>(–) A fent figyelembe vett bruttó közvetlen részesedésekkel kapcsolatban megengedett kiegyenlítő rövid pozíciók</w:t>
            </w:r>
          </w:p>
          <w:p w:rsidR="005643EA" w:rsidRPr="00392FFD" w:rsidRDefault="002648B0" w:rsidP="00FD239F">
            <w:pPr>
              <w:pStyle w:val="InstructionsText"/>
            </w:pPr>
            <w:r>
              <w:t>A CRR 69. cikke</w:t>
            </w:r>
          </w:p>
          <w:p w:rsidR="005643EA" w:rsidRPr="00392FFD" w:rsidRDefault="002648B0" w:rsidP="00FD239F">
            <w:pPr>
              <w:pStyle w:val="InstructionsText"/>
            </w:pPr>
            <w:r>
              <w:t>A CRR 69. cikkének a) pontja megengedi az azonos alapul szolgáló k</w:t>
            </w:r>
            <w:r>
              <w:t>i</w:t>
            </w:r>
            <w:r>
              <w:t>tettségen belüli kiegyenlítő rövid pozíciókat akkor, ha a rövid pozíció l</w:t>
            </w:r>
            <w:r>
              <w:t>e</w:t>
            </w:r>
            <w:r>
              <w:t>járata illeszkedik a hosszú pozíció lejáratához vagy legalább egy éves hátralévő futamidővel rendelkezik.</w:t>
            </w:r>
          </w:p>
        </w:tc>
      </w:tr>
      <w:tr w:rsidR="002648B0" w:rsidRPr="00392FFD" w:rsidTr="00672D2A">
        <w:tc>
          <w:tcPr>
            <w:tcW w:w="1506" w:type="dxa"/>
          </w:tcPr>
          <w:p w:rsidR="002648B0" w:rsidRPr="00392FFD" w:rsidRDefault="002648B0" w:rsidP="00FD239F">
            <w:pPr>
              <w:pStyle w:val="InstructionsText"/>
            </w:pPr>
            <w:r>
              <w:t>620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w:t>
            </w:r>
            <w:r w:rsidRPr="00F73674">
              <w:rPr>
                <w:u w:val="single"/>
              </w:rPr>
              <w:tab/>
            </w:r>
            <w:r>
              <w:rPr>
                <w:rStyle w:val="InstructionsTabelleberschrift"/>
                <w:rFonts w:ascii="Times New Roman" w:hAnsi="Times New Roman"/>
                <w:sz w:val="24"/>
              </w:rPr>
              <w:t xml:space="preserve">Pénzügyi ágazatbeli szervezetek T2 tőkéjében lévő közvetett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rendelkezik az említett vállalkozásokban</w:t>
            </w:r>
          </w:p>
          <w:p w:rsidR="005643EA" w:rsidRPr="00392FFD" w:rsidRDefault="002648B0" w:rsidP="00FD239F">
            <w:pPr>
              <w:pStyle w:val="InstructionsText"/>
            </w:pPr>
            <w:r>
              <w:t>A CRR 4. cikke (1) bekezdésének 114. pontja, valamint 68. és 69. cikke</w:t>
            </w:r>
          </w:p>
        </w:tc>
      </w:tr>
      <w:tr w:rsidR="002648B0" w:rsidRPr="00392FFD" w:rsidTr="00672D2A">
        <w:tc>
          <w:tcPr>
            <w:tcW w:w="1506" w:type="dxa"/>
          </w:tcPr>
          <w:p w:rsidR="002648B0" w:rsidRPr="00392FFD" w:rsidRDefault="002648B0" w:rsidP="00FD239F">
            <w:pPr>
              <w:pStyle w:val="InstructionsText"/>
            </w:pPr>
            <w:r>
              <w:t>630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17.2.1.</w:t>
            </w:r>
            <w:r w:rsidRPr="00F73674">
              <w:rPr>
                <w:u w:val="single"/>
              </w:rPr>
              <w:tab/>
            </w:r>
            <w:r>
              <w:rPr>
                <w:rStyle w:val="InstructionsTabelleberschrift"/>
                <w:rFonts w:ascii="Times New Roman" w:hAnsi="Times New Roman"/>
                <w:sz w:val="24"/>
              </w:rPr>
              <w:t xml:space="preserve">Pénzügyi ágazatbeli szervezetek T2 tőkéjében lévő bruttó közvetett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w:t>
            </w:r>
            <w:r>
              <w:rPr>
                <w:rStyle w:val="InstructionsTabelleberschrift"/>
                <w:rFonts w:ascii="Times New Roman" w:hAnsi="Times New Roman"/>
                <w:sz w:val="24"/>
              </w:rPr>
              <w:t>n</w:t>
            </w:r>
            <w:r>
              <w:rPr>
                <w:rStyle w:val="InstructionsTabelleberschrift"/>
                <w:rFonts w:ascii="Times New Roman" w:hAnsi="Times New Roman"/>
                <w:sz w:val="24"/>
              </w:rPr>
              <w:t>delkezik az említett vállalkozásokban</w:t>
            </w:r>
          </w:p>
          <w:p w:rsidR="005643EA" w:rsidRPr="00392FFD" w:rsidRDefault="002648B0" w:rsidP="00FD239F">
            <w:pPr>
              <w:pStyle w:val="InstructionsText"/>
            </w:pPr>
            <w:r>
              <w:t>A CRR 4. cikke (1) bekezdésének 114. pontja, valamint 68. és 69. cikke</w:t>
            </w:r>
          </w:p>
          <w:p w:rsidR="005643EA" w:rsidRPr="00392FFD" w:rsidRDefault="002648B0" w:rsidP="00FD239F">
            <w:pPr>
              <w:pStyle w:val="InstructionsText"/>
            </w:pPr>
            <w:r>
              <w:t>A feltüntetendő érték a pénzügyi ágazatbeli szervezetek tőkeinstrume</w:t>
            </w:r>
            <w:r>
              <w:t>n</w:t>
            </w:r>
            <w:r>
              <w:t>tumaiban lévő, kereskedési könyvben nyilvántartott olyan közvetett r</w:t>
            </w:r>
            <w:r>
              <w:t>é</w:t>
            </w:r>
            <w:r>
              <w:t>szesedések értéke, amelyek indexhez kötött értékpapírokban lévő rész</w:t>
            </w:r>
            <w:r>
              <w:t>e</w:t>
            </w:r>
            <w:r>
              <w:t>sedés formáját öltik. Meghatározása a pénzügyi ágazatbeli szervezete</w:t>
            </w:r>
            <w:r>
              <w:t>k</w:t>
            </w:r>
            <w:r>
              <w:t>nek az adott indexekben foglalt tőkeinstrumentumaival szembeni, alapul szolgáló kitettség kiszámításával történik.</w:t>
            </w:r>
          </w:p>
          <w:p w:rsidR="005643EA" w:rsidRPr="00392FFD" w:rsidRDefault="002648B0" w:rsidP="00FD239F">
            <w:pPr>
              <w:pStyle w:val="InstructionsText"/>
            </w:pPr>
            <w:r>
              <w:t xml:space="preserve">A CRR 66. cikkének b) pontja alapján kölcsönös részesedésként kezelt </w:t>
            </w:r>
            <w:r>
              <w:lastRenderedPageBreak/>
              <w:t>részesedések nem számíthatók be.</w:t>
            </w:r>
          </w:p>
        </w:tc>
      </w:tr>
      <w:tr w:rsidR="002648B0" w:rsidRPr="00392FFD" w:rsidTr="00672D2A">
        <w:tc>
          <w:tcPr>
            <w:tcW w:w="1506" w:type="dxa"/>
          </w:tcPr>
          <w:p w:rsidR="002648B0" w:rsidRPr="00392FFD" w:rsidRDefault="002648B0" w:rsidP="00FD239F">
            <w:pPr>
              <w:pStyle w:val="InstructionsText"/>
            </w:pPr>
            <w:r>
              <w:lastRenderedPageBreak/>
              <w:t>640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17.2.2</w:t>
            </w:r>
            <w:r w:rsidRPr="00F73674">
              <w:rPr>
                <w:rStyle w:val="InstructionsTabelleberschrift"/>
                <w:rFonts w:ascii="Times New Roman" w:hAnsi="Times New Roman"/>
                <w:sz w:val="24"/>
              </w:rPr>
              <w:t>.</w:t>
            </w:r>
            <w:r w:rsidRPr="00F73674">
              <w:rPr>
                <w:u w:val="single"/>
              </w:rPr>
              <w:tab/>
            </w:r>
            <w:r>
              <w:rPr>
                <w:rStyle w:val="InstructionsTabelleberschrift"/>
                <w:rFonts w:ascii="Times New Roman" w:hAnsi="Times New Roman"/>
                <w:sz w:val="24"/>
              </w:rPr>
              <w:t>(–) A fent figyelembe vett bruttó közvetett részesedésekkel kapcsolatban megengedett kiegyenlítő rövid pozíciók</w:t>
            </w:r>
          </w:p>
          <w:p w:rsidR="005643EA" w:rsidRPr="00392FFD" w:rsidRDefault="002648B0" w:rsidP="00FD239F">
            <w:pPr>
              <w:pStyle w:val="InstructionsText"/>
            </w:pPr>
            <w:r>
              <w:t>A CRR 4. cikke (1) bekezdésének 114. pontja, valamint 69. cikke</w:t>
            </w:r>
          </w:p>
          <w:p w:rsidR="005643EA" w:rsidRPr="00392FFD" w:rsidRDefault="002648B0" w:rsidP="00FD239F">
            <w:pPr>
              <w:pStyle w:val="InstructionsText"/>
            </w:pPr>
            <w:r>
              <w:t>A CRR 69. cikkének a) pontja megengedi az azonos alapul szolgáló k</w:t>
            </w:r>
            <w:r>
              <w:t>i</w:t>
            </w:r>
            <w:r>
              <w:t>tettségen belüli kiegyenlítő rövid pozíciókat akkor, ha a rövid pozíció l</w:t>
            </w:r>
            <w:r>
              <w:t>e</w:t>
            </w:r>
            <w:r>
              <w:t>járata illeszkedik a hosszú pozíció lejáratához vagy legalább egy éves hátralévő futamidővel rendelkezik.</w:t>
            </w:r>
          </w:p>
        </w:tc>
      </w:tr>
      <w:tr w:rsidR="002648B0" w:rsidRPr="00392FFD" w:rsidTr="00672D2A">
        <w:tc>
          <w:tcPr>
            <w:tcW w:w="1506" w:type="dxa"/>
          </w:tcPr>
          <w:p w:rsidR="002648B0" w:rsidRPr="00392FFD" w:rsidRDefault="002648B0" w:rsidP="00FD239F">
            <w:pPr>
              <w:pStyle w:val="InstructionsText"/>
            </w:pPr>
            <w:r>
              <w:t>641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w:t>
            </w:r>
            <w:r w:rsidRPr="00F73674">
              <w:rPr>
                <w:u w:val="single"/>
              </w:rPr>
              <w:tab/>
            </w:r>
            <w:r>
              <w:rPr>
                <w:rStyle w:val="InstructionsTabelleberschrift"/>
                <w:rFonts w:ascii="Times New Roman" w:hAnsi="Times New Roman"/>
                <w:sz w:val="24"/>
              </w:rPr>
              <w:t xml:space="preserve">Pénzügyi ágazatbeli szervezetek T2 tőkéjében lévő szintetikus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rendelkezik az említett vállalkozásokban</w:t>
            </w:r>
          </w:p>
          <w:p w:rsidR="005643EA" w:rsidRPr="00201704" w:rsidRDefault="00805255" w:rsidP="00FD239F">
            <w:pPr>
              <w:pStyle w:val="InstructionsText"/>
              <w:rPr>
                <w:rStyle w:val="InstructionsTabelleberschrift"/>
                <w:rFonts w:ascii="Times New Roman" w:hAnsi="Times New Roman"/>
                <w:b w:val="0"/>
                <w:bCs w:val="0"/>
                <w:sz w:val="24"/>
                <w:u w:val="none"/>
              </w:rPr>
            </w:pPr>
            <w:r>
              <w:t>A CRR 4. cikke (1) bekezdésének 126. pontja, valamint 68. és 69. cikke</w:t>
            </w:r>
          </w:p>
        </w:tc>
      </w:tr>
      <w:tr w:rsidR="002648B0" w:rsidRPr="00392FFD" w:rsidTr="00672D2A">
        <w:tc>
          <w:tcPr>
            <w:tcW w:w="1506" w:type="dxa"/>
          </w:tcPr>
          <w:p w:rsidR="002648B0" w:rsidRPr="00392FFD" w:rsidRDefault="002648B0" w:rsidP="00FD239F">
            <w:pPr>
              <w:pStyle w:val="InstructionsText"/>
            </w:pPr>
            <w:r>
              <w:t>642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17.3.1.</w:t>
            </w:r>
            <w:r w:rsidRPr="00F73674">
              <w:rPr>
                <w:u w:val="single"/>
              </w:rPr>
              <w:tab/>
            </w:r>
            <w:r>
              <w:rPr>
                <w:rStyle w:val="InstructionsTabelleberschrift"/>
                <w:rFonts w:ascii="Times New Roman" w:hAnsi="Times New Roman"/>
                <w:sz w:val="24"/>
              </w:rPr>
              <w:t xml:space="preserve">Pénzügyi ágazatbeli szervezetek T2 tőkéjében lévő bruttó szintetikus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w:t>
            </w:r>
            <w:r>
              <w:rPr>
                <w:rStyle w:val="InstructionsTabelleberschrift"/>
                <w:rFonts w:ascii="Times New Roman" w:hAnsi="Times New Roman"/>
                <w:sz w:val="24"/>
              </w:rPr>
              <w:t>n</w:t>
            </w:r>
            <w:r>
              <w:rPr>
                <w:rStyle w:val="InstructionsTabelleberschrift"/>
                <w:rFonts w:ascii="Times New Roman" w:hAnsi="Times New Roman"/>
                <w:sz w:val="24"/>
              </w:rPr>
              <w:t>delkezik az említett vállalkozásokban</w:t>
            </w:r>
          </w:p>
          <w:p w:rsidR="005643EA" w:rsidRPr="00201704" w:rsidRDefault="00805255" w:rsidP="00FD239F">
            <w:pPr>
              <w:pStyle w:val="InstructionsText"/>
              <w:rPr>
                <w:rStyle w:val="InstructionsTabelleberschrift"/>
                <w:rFonts w:ascii="Times New Roman" w:hAnsi="Times New Roman"/>
                <w:b w:val="0"/>
                <w:bCs w:val="0"/>
                <w:sz w:val="24"/>
                <w:u w:val="none"/>
              </w:rPr>
            </w:pPr>
            <w:r>
              <w:t>A CRR 4. cikke (1) bekezdésének 126. pontja, valamint 68. és 69. cikke</w:t>
            </w:r>
          </w:p>
        </w:tc>
      </w:tr>
      <w:tr w:rsidR="002648B0" w:rsidRPr="00392FFD" w:rsidTr="00672D2A">
        <w:tc>
          <w:tcPr>
            <w:tcW w:w="1506" w:type="dxa"/>
          </w:tcPr>
          <w:p w:rsidR="002648B0" w:rsidRPr="00392FFD" w:rsidRDefault="002648B0" w:rsidP="00FD239F">
            <w:pPr>
              <w:pStyle w:val="InstructionsText"/>
            </w:pPr>
            <w:r>
              <w:t>643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17.3.2.</w:t>
            </w:r>
            <w:r w:rsidRPr="00F73674">
              <w:rPr>
                <w:u w:val="single"/>
              </w:rPr>
              <w:tab/>
            </w:r>
            <w:r>
              <w:rPr>
                <w:rStyle w:val="InstructionsTabelleberschrift"/>
                <w:rFonts w:ascii="Times New Roman" w:hAnsi="Times New Roman"/>
                <w:sz w:val="24"/>
              </w:rPr>
              <w:t>(–) A fent figyelembe vett bruttó szintetikus részesedésekkel kapcsolatban megengedett kiegyenlítő rövid pozíciók</w:t>
            </w:r>
          </w:p>
          <w:p w:rsidR="005643EA" w:rsidRPr="00201704" w:rsidRDefault="00805255" w:rsidP="00FD239F">
            <w:pPr>
              <w:pStyle w:val="InstructionsText"/>
              <w:rPr>
                <w:rStyle w:val="InstructionsTabelleberschrift"/>
                <w:rFonts w:ascii="Times New Roman" w:hAnsi="Times New Roman"/>
                <w:b w:val="0"/>
                <w:bCs w:val="0"/>
                <w:sz w:val="24"/>
                <w:u w:val="none"/>
              </w:rPr>
            </w:pPr>
            <w:r>
              <w:t>A CRR 4. cikke (1) bekezdésének 126. pontja, valamint 69. cikke</w:t>
            </w:r>
          </w:p>
        </w:tc>
      </w:tr>
      <w:tr w:rsidR="002648B0" w:rsidRPr="00392FFD" w:rsidTr="00672D2A">
        <w:tc>
          <w:tcPr>
            <w:tcW w:w="1506" w:type="dxa"/>
          </w:tcPr>
          <w:p w:rsidR="002648B0" w:rsidRPr="00392FFD" w:rsidRDefault="002648B0" w:rsidP="00FD239F">
            <w:pPr>
              <w:pStyle w:val="InstructionsText"/>
            </w:pPr>
            <w:r>
              <w:t>650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18. Pénzügyi ágazatbeli szervezetek CET1 tőkéjében meglévő olyan részesedések kockázattal súlyozott kitettségei, amelyeket az inté</w:t>
            </w:r>
            <w:r>
              <w:rPr>
                <w:rStyle w:val="InstructionsTabelleberschrift"/>
                <w:rFonts w:ascii="Times New Roman" w:hAnsi="Times New Roman"/>
                <w:sz w:val="24"/>
              </w:rPr>
              <w:t>z</w:t>
            </w:r>
            <w:r>
              <w:rPr>
                <w:rStyle w:val="InstructionsTabelleberschrift"/>
                <w:rFonts w:ascii="Times New Roman" w:hAnsi="Times New Roman"/>
                <w:sz w:val="24"/>
              </w:rPr>
              <w:t>mény CET1 tőkéjéből nem vonnak le</w:t>
            </w:r>
          </w:p>
          <w:p w:rsidR="005643EA" w:rsidRPr="00392FFD" w:rsidRDefault="002648B0" w:rsidP="00FD239F">
            <w:pPr>
              <w:pStyle w:val="InstructionsText"/>
            </w:pPr>
            <w:r>
              <w:t>A CRR 46. cikkének (4) bekezdése, 48. cikkének (4) bekezdése és 49. cikkének (4) bekezdése</w:t>
            </w:r>
          </w:p>
        </w:tc>
      </w:tr>
      <w:tr w:rsidR="002648B0" w:rsidRPr="00392FFD" w:rsidTr="00672D2A">
        <w:tc>
          <w:tcPr>
            <w:tcW w:w="1506" w:type="dxa"/>
          </w:tcPr>
          <w:p w:rsidR="002648B0" w:rsidRPr="00392FFD" w:rsidRDefault="002648B0" w:rsidP="00FD239F">
            <w:pPr>
              <w:pStyle w:val="InstructionsText"/>
            </w:pPr>
            <w:r>
              <w:t>660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19. Pénzügyi ágazatbeli szervezetek AT1 tőkéjében meglévő olyan részesedések kockázattal súlyozott kitettségei, amelyeket az inté</w:t>
            </w:r>
            <w:r>
              <w:rPr>
                <w:rStyle w:val="InstructionsTabelleberschrift"/>
                <w:rFonts w:ascii="Times New Roman" w:hAnsi="Times New Roman"/>
                <w:sz w:val="24"/>
              </w:rPr>
              <w:t>z</w:t>
            </w:r>
            <w:r>
              <w:rPr>
                <w:rStyle w:val="InstructionsTabelleberschrift"/>
                <w:rFonts w:ascii="Times New Roman" w:hAnsi="Times New Roman"/>
                <w:sz w:val="24"/>
              </w:rPr>
              <w:t>mény AT1 tőkéjéből nem vonnak le</w:t>
            </w:r>
          </w:p>
          <w:p w:rsidR="005643EA" w:rsidRPr="00392FFD" w:rsidRDefault="002648B0" w:rsidP="00FD239F">
            <w:pPr>
              <w:pStyle w:val="InstructionsText"/>
            </w:pPr>
            <w:r>
              <w:t>A CRR 60. cikkének (4) bekezdése</w:t>
            </w:r>
          </w:p>
        </w:tc>
      </w:tr>
      <w:tr w:rsidR="002648B0" w:rsidRPr="00392FFD" w:rsidTr="00672D2A">
        <w:tc>
          <w:tcPr>
            <w:tcW w:w="1506" w:type="dxa"/>
          </w:tcPr>
          <w:p w:rsidR="002648B0" w:rsidRPr="00392FFD" w:rsidRDefault="002648B0" w:rsidP="00FD239F">
            <w:pPr>
              <w:pStyle w:val="InstructionsText"/>
            </w:pPr>
            <w:r>
              <w:t>670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20. Pénzügyi ágazatbeli szervezetek T2 tőkéjében meglévő olyan r</w:t>
            </w:r>
            <w:r>
              <w:rPr>
                <w:rStyle w:val="InstructionsTabelleberschrift"/>
                <w:rFonts w:ascii="Times New Roman" w:hAnsi="Times New Roman"/>
                <w:sz w:val="24"/>
              </w:rPr>
              <w:t>é</w:t>
            </w:r>
            <w:r>
              <w:rPr>
                <w:rStyle w:val="InstructionsTabelleberschrift"/>
                <w:rFonts w:ascii="Times New Roman" w:hAnsi="Times New Roman"/>
                <w:sz w:val="24"/>
              </w:rPr>
              <w:t>szesedések kockázattal súlyozott kitettségei, amelyeket az intézmény T2 tőkéjéből nem vonnak le</w:t>
            </w:r>
          </w:p>
          <w:p w:rsidR="005643EA" w:rsidRPr="00392FFD" w:rsidRDefault="002648B0" w:rsidP="00FD239F">
            <w:pPr>
              <w:pStyle w:val="InstructionsText"/>
            </w:pPr>
            <w:r>
              <w:t>A CRR 70. cikkének (4) bekezdése</w:t>
            </w:r>
          </w:p>
        </w:tc>
      </w:tr>
      <w:tr w:rsidR="002648B0" w:rsidRPr="00392FFD" w:rsidTr="00672D2A">
        <w:tc>
          <w:tcPr>
            <w:tcW w:w="1506" w:type="dxa"/>
          </w:tcPr>
          <w:p w:rsidR="002648B0" w:rsidRPr="00392FFD" w:rsidRDefault="002648B0" w:rsidP="00FD239F">
            <w:pPr>
              <w:pStyle w:val="InstructionsText"/>
            </w:pPr>
            <w:r>
              <w:t>680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rsidRPr="00F73674">
              <w:rPr>
                <w:u w:val="single"/>
              </w:rPr>
              <w:tab/>
            </w:r>
            <w:r>
              <w:rPr>
                <w:rStyle w:val="InstructionsTabelleberschrift"/>
                <w:rFonts w:ascii="Times New Roman" w:hAnsi="Times New Roman"/>
                <w:sz w:val="24"/>
              </w:rPr>
              <w:t>Pénzügyi ágazatbeli szervezetek által kibocsátott CET1 tők</w:t>
            </w:r>
            <w:r>
              <w:rPr>
                <w:rStyle w:val="InstructionsTabelleberschrift"/>
                <w:rFonts w:ascii="Times New Roman" w:hAnsi="Times New Roman"/>
                <w:sz w:val="24"/>
              </w:rPr>
              <w:t>e</w:t>
            </w:r>
            <w:r>
              <w:rPr>
                <w:rStyle w:val="InstructionsTabelleberschrift"/>
                <w:rFonts w:ascii="Times New Roman" w:hAnsi="Times New Roman"/>
                <w:sz w:val="24"/>
              </w:rPr>
              <w:t>instrumentumokban lévő részesedések, ha az intézmény nem re</w:t>
            </w:r>
            <w:r>
              <w:rPr>
                <w:rStyle w:val="InstructionsTabelleberschrift"/>
                <w:rFonts w:ascii="Times New Roman" w:hAnsi="Times New Roman"/>
                <w:sz w:val="24"/>
              </w:rPr>
              <w:t>n</w:t>
            </w:r>
            <w:r>
              <w:rPr>
                <w:rStyle w:val="InstructionsTabelleberschrift"/>
                <w:rFonts w:ascii="Times New Roman" w:hAnsi="Times New Roman"/>
                <w:sz w:val="24"/>
              </w:rPr>
              <w:t>delkezik átmenetileg mentesülő jelentős részesedéssel az említett vá</w:t>
            </w:r>
            <w:r>
              <w:rPr>
                <w:rStyle w:val="InstructionsTabelleberschrift"/>
                <w:rFonts w:ascii="Times New Roman" w:hAnsi="Times New Roman"/>
                <w:sz w:val="24"/>
              </w:rPr>
              <w:t>l</w:t>
            </w:r>
            <w:r>
              <w:rPr>
                <w:rStyle w:val="InstructionsTabelleberschrift"/>
                <w:rFonts w:ascii="Times New Roman" w:hAnsi="Times New Roman"/>
                <w:sz w:val="24"/>
              </w:rPr>
              <w:t>lalkozásokban</w:t>
            </w:r>
          </w:p>
          <w:p w:rsidR="005643EA" w:rsidRPr="00392FFD" w:rsidRDefault="002648B0" w:rsidP="00FD239F">
            <w:pPr>
              <w:pStyle w:val="InstructionsText"/>
            </w:pPr>
            <w:r>
              <w:t>A CRR 79. cikke</w:t>
            </w:r>
          </w:p>
          <w:p w:rsidR="005643EA" w:rsidRPr="00392FFD" w:rsidRDefault="002648B0" w:rsidP="00FD239F">
            <w:pPr>
              <w:pStyle w:val="InstructionsText"/>
            </w:pPr>
            <w:r>
              <w:t>Egy illetékes hatóság átmenetileg eltekinthet a CET1 tőkéből egy pén</w:t>
            </w:r>
            <w:r>
              <w:t>z</w:t>
            </w:r>
            <w:r>
              <w:t>ügyi ágazatbeli szervezet által kibocsátott instrumentumokban meglévő részesedések miatti levonásra vonatkozó rendelkezésektől, ha az illet</w:t>
            </w:r>
            <w:r>
              <w:t>é</w:t>
            </w:r>
            <w:r>
              <w:t>kes hatóság megítélése szerint ez a részesedés az adott szervezet reorg</w:t>
            </w:r>
            <w:r>
              <w:t>a</w:t>
            </w:r>
            <w:r>
              <w:t xml:space="preserve">nizációjára és megmentésére kialakított pénzügyi támogatási művelet </w:t>
            </w:r>
            <w:r>
              <w:lastRenderedPageBreak/>
              <w:t>célját szolgálja.</w:t>
            </w:r>
          </w:p>
          <w:p w:rsidR="005643EA" w:rsidRPr="00392FFD" w:rsidRDefault="002648B0" w:rsidP="00FD239F">
            <w:pPr>
              <w:pStyle w:val="InstructionsText"/>
            </w:pPr>
            <w:r>
              <w:t>Ügyelni kell arra, hogy az ilyen instrumentumokat a 12.1. tételben is szerepeltetni kell.</w:t>
            </w:r>
          </w:p>
        </w:tc>
      </w:tr>
      <w:tr w:rsidR="002648B0" w:rsidRPr="00392FFD" w:rsidTr="00672D2A">
        <w:tc>
          <w:tcPr>
            <w:tcW w:w="1506" w:type="dxa"/>
          </w:tcPr>
          <w:p w:rsidR="002648B0" w:rsidRPr="00392FFD" w:rsidRDefault="002648B0" w:rsidP="00FD239F">
            <w:pPr>
              <w:pStyle w:val="InstructionsText"/>
            </w:pPr>
            <w:r>
              <w:lastRenderedPageBreak/>
              <w:t>690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rsidRPr="00F73674">
              <w:rPr>
                <w:u w:val="single"/>
              </w:rPr>
              <w:tab/>
            </w:r>
            <w:r>
              <w:rPr>
                <w:rStyle w:val="InstructionsTabelleberschrift"/>
                <w:rFonts w:ascii="Times New Roman" w:hAnsi="Times New Roman"/>
                <w:sz w:val="24"/>
              </w:rPr>
              <w:t>Pénzügyi ágazatbeli szervezetek által kibocsátott CET1 tők</w:t>
            </w:r>
            <w:r>
              <w:rPr>
                <w:rStyle w:val="InstructionsTabelleberschrift"/>
                <w:rFonts w:ascii="Times New Roman" w:hAnsi="Times New Roman"/>
                <w:sz w:val="24"/>
              </w:rPr>
              <w:t>e</w:t>
            </w:r>
            <w:r>
              <w:rPr>
                <w:rStyle w:val="InstructionsTabelleberschrift"/>
                <w:rFonts w:ascii="Times New Roman" w:hAnsi="Times New Roman"/>
                <w:sz w:val="24"/>
              </w:rPr>
              <w:t>instrumentumokban lévő részesedések, ha az intézmény átmenetileg mentesülő jelentős részesedéssel rendelkezik az említett vállalkoz</w:t>
            </w:r>
            <w:r>
              <w:rPr>
                <w:rStyle w:val="InstructionsTabelleberschrift"/>
                <w:rFonts w:ascii="Times New Roman" w:hAnsi="Times New Roman"/>
                <w:sz w:val="24"/>
              </w:rPr>
              <w:t>á</w:t>
            </w:r>
            <w:r>
              <w:rPr>
                <w:rStyle w:val="InstructionsTabelleberschrift"/>
                <w:rFonts w:ascii="Times New Roman" w:hAnsi="Times New Roman"/>
                <w:sz w:val="24"/>
              </w:rPr>
              <w:t>sokban</w:t>
            </w:r>
          </w:p>
          <w:p w:rsidR="005643EA" w:rsidRPr="00392FFD" w:rsidRDefault="002648B0" w:rsidP="00FD239F">
            <w:pPr>
              <w:pStyle w:val="InstructionsText"/>
            </w:pPr>
            <w:r>
              <w:t>A CRR 79. cikke</w:t>
            </w:r>
          </w:p>
          <w:p w:rsidR="005643EA" w:rsidRPr="00392FFD" w:rsidRDefault="002648B0" w:rsidP="00FD239F">
            <w:pPr>
              <w:pStyle w:val="InstructionsText"/>
            </w:pPr>
            <w:r>
              <w:t>Egy illetékes hatóság átmenetileg eltekinthet a CET1 tőkéből egy pén</w:t>
            </w:r>
            <w:r>
              <w:t>z</w:t>
            </w:r>
            <w:r>
              <w:t>ügyi ágazatbeli szervezet által kibocsátott instrumentumokban meglévő részesedések miatti levonásra vonatkozó rendelkezésektől, ha az illet</w:t>
            </w:r>
            <w:r>
              <w:t>é</w:t>
            </w:r>
            <w:r>
              <w:t>kes hatóság megítélése szerint ez a részesedés az adott szervezet reorg</w:t>
            </w:r>
            <w:r>
              <w:t>a</w:t>
            </w:r>
            <w:r>
              <w:t>nizációjára és megmentésére kialakított pénzügyi támogatási művelet célját szolgálja.</w:t>
            </w:r>
          </w:p>
          <w:p w:rsidR="005643EA" w:rsidRPr="00392FFD" w:rsidRDefault="002648B0" w:rsidP="00FD239F">
            <w:pPr>
              <w:pStyle w:val="InstructionsText"/>
            </w:pPr>
            <w:r>
              <w:t>Ügyelni kell arra, hogy az ilyen instrumentumokat a 15.1. tételben is szerepeltetni kell.</w:t>
            </w:r>
          </w:p>
        </w:tc>
      </w:tr>
      <w:tr w:rsidR="002648B0" w:rsidRPr="00392FFD" w:rsidTr="00672D2A">
        <w:tc>
          <w:tcPr>
            <w:tcW w:w="1506" w:type="dxa"/>
          </w:tcPr>
          <w:p w:rsidR="002648B0" w:rsidRPr="00392FFD" w:rsidRDefault="002648B0" w:rsidP="00FD239F">
            <w:pPr>
              <w:pStyle w:val="InstructionsText"/>
            </w:pPr>
            <w:r>
              <w:t>700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23.</w:t>
            </w:r>
            <w:r w:rsidRPr="00F73674">
              <w:rPr>
                <w:u w:val="single"/>
              </w:rPr>
              <w:tab/>
            </w:r>
            <w:r>
              <w:rPr>
                <w:rStyle w:val="InstructionsTabelleberschrift"/>
                <w:rFonts w:ascii="Times New Roman" w:hAnsi="Times New Roman"/>
                <w:sz w:val="24"/>
              </w:rPr>
              <w:t>Pénzügyi ágazatbeli szervezetek által kibocsátott AT1 tők</w:t>
            </w:r>
            <w:r>
              <w:rPr>
                <w:rStyle w:val="InstructionsTabelleberschrift"/>
                <w:rFonts w:ascii="Times New Roman" w:hAnsi="Times New Roman"/>
                <w:sz w:val="24"/>
              </w:rPr>
              <w:t>e</w:t>
            </w:r>
            <w:r>
              <w:rPr>
                <w:rStyle w:val="InstructionsTabelleberschrift"/>
                <w:rFonts w:ascii="Times New Roman" w:hAnsi="Times New Roman"/>
                <w:sz w:val="24"/>
              </w:rPr>
              <w:t>instrumentumokban lévő részesedések, ha az intézmény nem re</w:t>
            </w:r>
            <w:r>
              <w:rPr>
                <w:rStyle w:val="InstructionsTabelleberschrift"/>
                <w:rFonts w:ascii="Times New Roman" w:hAnsi="Times New Roman"/>
                <w:sz w:val="24"/>
              </w:rPr>
              <w:t>n</w:t>
            </w:r>
            <w:r>
              <w:rPr>
                <w:rStyle w:val="InstructionsTabelleberschrift"/>
                <w:rFonts w:ascii="Times New Roman" w:hAnsi="Times New Roman"/>
                <w:sz w:val="24"/>
              </w:rPr>
              <w:t>delkezik átmenetileg mentesülő jelentős részesedéssel az említett vá</w:t>
            </w:r>
            <w:r>
              <w:rPr>
                <w:rStyle w:val="InstructionsTabelleberschrift"/>
                <w:rFonts w:ascii="Times New Roman" w:hAnsi="Times New Roman"/>
                <w:sz w:val="24"/>
              </w:rPr>
              <w:t>l</w:t>
            </w:r>
            <w:r>
              <w:rPr>
                <w:rStyle w:val="InstructionsTabelleberschrift"/>
                <w:rFonts w:ascii="Times New Roman" w:hAnsi="Times New Roman"/>
                <w:sz w:val="24"/>
              </w:rPr>
              <w:t>lalkozásokban</w:t>
            </w:r>
          </w:p>
          <w:p w:rsidR="005643EA" w:rsidRPr="00392FFD" w:rsidRDefault="002648B0" w:rsidP="00FD239F">
            <w:pPr>
              <w:pStyle w:val="InstructionsText"/>
            </w:pPr>
            <w:r>
              <w:t>A CRR 79. cikke</w:t>
            </w:r>
          </w:p>
          <w:p w:rsidR="005643EA" w:rsidRPr="00392FFD" w:rsidRDefault="002648B0" w:rsidP="00FD239F">
            <w:pPr>
              <w:pStyle w:val="InstructionsText"/>
            </w:pPr>
            <w:r>
              <w:t>Egy illetékes hatóság átmenetileg eltekinthet az AT1 tőkéből egy pén</w:t>
            </w:r>
            <w:r>
              <w:t>z</w:t>
            </w:r>
            <w:r>
              <w:t>ügyi ágazatbeli szervezet által kibocsátott instrumentumokban meglévő részesedések miatti levonásra vonatkozó rendelkezésektől, ha az illet</w:t>
            </w:r>
            <w:r>
              <w:t>é</w:t>
            </w:r>
            <w:r>
              <w:t>kes hatóság megítélése szerint ez a részesedés az adott szervezet reorg</w:t>
            </w:r>
            <w:r>
              <w:t>a</w:t>
            </w:r>
            <w:r>
              <w:t>nizációjára és megmentésére kialakított pénzügyi támogatási művelet célját szolgálja.</w:t>
            </w:r>
          </w:p>
          <w:p w:rsidR="005643EA" w:rsidRPr="00392FFD" w:rsidRDefault="002648B0" w:rsidP="00FD239F">
            <w:pPr>
              <w:pStyle w:val="InstructionsText"/>
            </w:pPr>
            <w:r>
              <w:t>Ügyelni kell arra, hogy az ilyen instrumentumokat a 13.1. tételben is szerepeltetni kell.</w:t>
            </w:r>
          </w:p>
        </w:tc>
      </w:tr>
      <w:tr w:rsidR="002648B0" w:rsidRPr="00392FFD" w:rsidTr="00672D2A">
        <w:tc>
          <w:tcPr>
            <w:tcW w:w="1506" w:type="dxa"/>
          </w:tcPr>
          <w:p w:rsidR="002648B0" w:rsidRPr="00392FFD" w:rsidRDefault="002648B0" w:rsidP="00FD239F">
            <w:pPr>
              <w:pStyle w:val="InstructionsText"/>
            </w:pPr>
            <w:r>
              <w:t>710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24.</w:t>
            </w:r>
            <w:r w:rsidRPr="00F73674">
              <w:rPr>
                <w:u w:val="single"/>
              </w:rPr>
              <w:tab/>
            </w:r>
            <w:r>
              <w:rPr>
                <w:rStyle w:val="InstructionsTabelleberschrift"/>
                <w:rFonts w:ascii="Times New Roman" w:hAnsi="Times New Roman"/>
                <w:sz w:val="24"/>
              </w:rPr>
              <w:t>Pénzügyi ágazatbeli szervezetek által kibocsátott AT1 tők</w:t>
            </w:r>
            <w:r>
              <w:rPr>
                <w:rStyle w:val="InstructionsTabelleberschrift"/>
                <w:rFonts w:ascii="Times New Roman" w:hAnsi="Times New Roman"/>
                <w:sz w:val="24"/>
              </w:rPr>
              <w:t>e</w:t>
            </w:r>
            <w:r>
              <w:rPr>
                <w:rStyle w:val="InstructionsTabelleberschrift"/>
                <w:rFonts w:ascii="Times New Roman" w:hAnsi="Times New Roman"/>
                <w:sz w:val="24"/>
              </w:rPr>
              <w:t>instrumentumokban lévő részesedések, ha az intézmény átmenetileg mentesülő jelentős részesedéssel rendelkezik az említett vállalkoz</w:t>
            </w:r>
            <w:r>
              <w:rPr>
                <w:rStyle w:val="InstructionsTabelleberschrift"/>
                <w:rFonts w:ascii="Times New Roman" w:hAnsi="Times New Roman"/>
                <w:sz w:val="24"/>
              </w:rPr>
              <w:t>á</w:t>
            </w:r>
            <w:r>
              <w:rPr>
                <w:rStyle w:val="InstructionsTabelleberschrift"/>
                <w:rFonts w:ascii="Times New Roman" w:hAnsi="Times New Roman"/>
                <w:sz w:val="24"/>
              </w:rPr>
              <w:t>sokban</w:t>
            </w:r>
          </w:p>
          <w:p w:rsidR="005643EA" w:rsidRPr="00392FFD" w:rsidRDefault="002648B0" w:rsidP="00FD239F">
            <w:pPr>
              <w:pStyle w:val="InstructionsText"/>
            </w:pPr>
            <w:r>
              <w:t>A CRR 79. cikke</w:t>
            </w:r>
          </w:p>
          <w:p w:rsidR="005643EA" w:rsidRPr="00392FFD" w:rsidRDefault="002648B0" w:rsidP="00FD239F">
            <w:pPr>
              <w:pStyle w:val="InstructionsText"/>
            </w:pPr>
            <w:r>
              <w:t xml:space="preserve">Egy illetékes hatóság átmenetileg eltekinthet </w:t>
            </w:r>
            <w:proofErr w:type="gramStart"/>
            <w:r>
              <w:t>a</w:t>
            </w:r>
            <w:proofErr w:type="gramEnd"/>
            <w:r>
              <w:t xml:space="preserve"> AT1 tőkéből egy pén</w:t>
            </w:r>
            <w:r>
              <w:t>z</w:t>
            </w:r>
            <w:r>
              <w:t>ügyi ágazatbeli szervezet által kibocsátott instrumentumokban meglévő részesedések miatti levonásra vonatkozó rendelkezésektől, ha az illet</w:t>
            </w:r>
            <w:r>
              <w:t>é</w:t>
            </w:r>
            <w:r>
              <w:t>kes hatóság megítélése szerint ez a részesedés az adott szervezet reorg</w:t>
            </w:r>
            <w:r>
              <w:t>a</w:t>
            </w:r>
            <w:r>
              <w:t>nizációjára és megmentésére kialakított pénzügyi támogatási művelet célját szolgálja.</w:t>
            </w:r>
          </w:p>
          <w:p w:rsidR="005643EA" w:rsidRPr="00392FFD" w:rsidRDefault="002648B0" w:rsidP="00FD239F">
            <w:pPr>
              <w:pStyle w:val="InstructionsText"/>
            </w:pPr>
            <w:r>
              <w:t>Ügyelni kell arra, hogy az ilyen instrumentumokat a 16.1. tételben is szerepeltetni kell.</w:t>
            </w:r>
          </w:p>
        </w:tc>
      </w:tr>
      <w:tr w:rsidR="002648B0" w:rsidRPr="00392FFD" w:rsidTr="00672D2A">
        <w:tc>
          <w:tcPr>
            <w:tcW w:w="1506" w:type="dxa"/>
          </w:tcPr>
          <w:p w:rsidR="002648B0" w:rsidRPr="00392FFD" w:rsidRDefault="002648B0" w:rsidP="00FD239F">
            <w:pPr>
              <w:pStyle w:val="InstructionsText"/>
            </w:pPr>
            <w:r>
              <w:t>720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25.</w:t>
            </w:r>
            <w:r w:rsidRPr="00F73674">
              <w:rPr>
                <w:u w:val="single"/>
              </w:rPr>
              <w:tab/>
            </w:r>
            <w:r>
              <w:rPr>
                <w:rStyle w:val="InstructionsTabelleberschrift"/>
                <w:rFonts w:ascii="Times New Roman" w:hAnsi="Times New Roman"/>
                <w:sz w:val="24"/>
              </w:rPr>
              <w:t>Pénzügyi ágazatbeli szervezetek által kibocsátott T2 tőkeins</w:t>
            </w:r>
            <w:r>
              <w:rPr>
                <w:rStyle w:val="InstructionsTabelleberschrift"/>
                <w:rFonts w:ascii="Times New Roman" w:hAnsi="Times New Roman"/>
                <w:sz w:val="24"/>
              </w:rPr>
              <w:t>t</w:t>
            </w:r>
            <w:r>
              <w:rPr>
                <w:rStyle w:val="InstructionsTabelleberschrift"/>
                <w:rFonts w:ascii="Times New Roman" w:hAnsi="Times New Roman"/>
                <w:sz w:val="24"/>
              </w:rPr>
              <w:t>rumentumokban lévő részesedések, ha az intézmény nem rendelk</w:t>
            </w:r>
            <w:r>
              <w:rPr>
                <w:rStyle w:val="InstructionsTabelleberschrift"/>
                <w:rFonts w:ascii="Times New Roman" w:hAnsi="Times New Roman"/>
                <w:sz w:val="24"/>
              </w:rPr>
              <w:t>e</w:t>
            </w:r>
            <w:r>
              <w:rPr>
                <w:rStyle w:val="InstructionsTabelleberschrift"/>
                <w:rFonts w:ascii="Times New Roman" w:hAnsi="Times New Roman"/>
                <w:sz w:val="24"/>
              </w:rPr>
              <w:lastRenderedPageBreak/>
              <w:t>zik átmenetileg mentesülő jelentős részesedéssel az említett vállalk</w:t>
            </w:r>
            <w:r>
              <w:rPr>
                <w:rStyle w:val="InstructionsTabelleberschrift"/>
                <w:rFonts w:ascii="Times New Roman" w:hAnsi="Times New Roman"/>
                <w:sz w:val="24"/>
              </w:rPr>
              <w:t>o</w:t>
            </w:r>
            <w:r>
              <w:rPr>
                <w:rStyle w:val="InstructionsTabelleberschrift"/>
                <w:rFonts w:ascii="Times New Roman" w:hAnsi="Times New Roman"/>
                <w:sz w:val="24"/>
              </w:rPr>
              <w:t>zásokban</w:t>
            </w:r>
          </w:p>
          <w:p w:rsidR="005643EA" w:rsidRPr="00392FFD" w:rsidRDefault="002648B0" w:rsidP="00FD239F">
            <w:pPr>
              <w:pStyle w:val="InstructionsText"/>
            </w:pPr>
            <w:r>
              <w:t>A CRR 79. cikke</w:t>
            </w:r>
          </w:p>
          <w:p w:rsidR="005643EA" w:rsidRPr="00392FFD" w:rsidRDefault="002648B0" w:rsidP="00FD239F">
            <w:pPr>
              <w:pStyle w:val="InstructionsText"/>
            </w:pPr>
            <w:r>
              <w:t>Egy illetékes hatóság átmenetileg eltekinthet a T2 tőkéből egy pénzügyi ágazatbeli szervezet által kibocsátott instrumentumokban meglévő rész</w:t>
            </w:r>
            <w:r>
              <w:t>e</w:t>
            </w:r>
            <w:r>
              <w:t>sedések miatti levonásra vonatkozó rendelkezésektől, ha az illetékes h</w:t>
            </w:r>
            <w:r>
              <w:t>a</w:t>
            </w:r>
            <w:r>
              <w:t>tóság megítélése szerint ez a részesedés az adott szervezet reorganizáci</w:t>
            </w:r>
            <w:r>
              <w:t>ó</w:t>
            </w:r>
            <w:r>
              <w:t>jára és megmentésére kialakított pénzügyi támogatási művelet célját szolgálja.</w:t>
            </w:r>
          </w:p>
          <w:p w:rsidR="005643EA" w:rsidRPr="00392FFD" w:rsidRDefault="002648B0" w:rsidP="00FD239F">
            <w:pPr>
              <w:pStyle w:val="InstructionsText"/>
            </w:pPr>
            <w:r>
              <w:t>Ügyelni kell arra, hogy az ilyen instrumentumokat a 14.1. tételben is szerepeltetni kell.</w:t>
            </w:r>
          </w:p>
        </w:tc>
      </w:tr>
      <w:tr w:rsidR="002648B0" w:rsidRPr="00392FFD" w:rsidTr="00672D2A">
        <w:tc>
          <w:tcPr>
            <w:tcW w:w="1506" w:type="dxa"/>
          </w:tcPr>
          <w:p w:rsidR="002648B0" w:rsidRPr="00392FFD" w:rsidRDefault="002648B0" w:rsidP="00FD239F">
            <w:pPr>
              <w:pStyle w:val="InstructionsText"/>
            </w:pPr>
            <w:r>
              <w:lastRenderedPageBreak/>
              <w:t>730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26.</w:t>
            </w:r>
            <w:r w:rsidRPr="00F73674">
              <w:rPr>
                <w:u w:val="single"/>
              </w:rPr>
              <w:tab/>
            </w:r>
            <w:r>
              <w:rPr>
                <w:rStyle w:val="InstructionsTabelleberschrift"/>
                <w:rFonts w:ascii="Times New Roman" w:hAnsi="Times New Roman"/>
                <w:sz w:val="24"/>
              </w:rPr>
              <w:t>Pénzügyi ágazatbeli szervezetek által kibocsátott T2 tőkeins</w:t>
            </w:r>
            <w:r>
              <w:rPr>
                <w:rStyle w:val="InstructionsTabelleberschrift"/>
                <w:rFonts w:ascii="Times New Roman" w:hAnsi="Times New Roman"/>
                <w:sz w:val="24"/>
              </w:rPr>
              <w:t>t</w:t>
            </w:r>
            <w:r>
              <w:rPr>
                <w:rStyle w:val="InstructionsTabelleberschrift"/>
                <w:rFonts w:ascii="Times New Roman" w:hAnsi="Times New Roman"/>
                <w:sz w:val="24"/>
              </w:rPr>
              <w:t>rumentumokban lévő részesedések, ha az intézmény átmenetileg mentesülő jelentős részesedéssel rendelkezik az említett vállalkoz</w:t>
            </w:r>
            <w:r>
              <w:rPr>
                <w:rStyle w:val="InstructionsTabelleberschrift"/>
                <w:rFonts w:ascii="Times New Roman" w:hAnsi="Times New Roman"/>
                <w:sz w:val="24"/>
              </w:rPr>
              <w:t>á</w:t>
            </w:r>
            <w:r>
              <w:rPr>
                <w:rStyle w:val="InstructionsTabelleberschrift"/>
                <w:rFonts w:ascii="Times New Roman" w:hAnsi="Times New Roman"/>
                <w:sz w:val="24"/>
              </w:rPr>
              <w:t>sokban</w:t>
            </w:r>
          </w:p>
          <w:p w:rsidR="005643EA" w:rsidRPr="00392FFD" w:rsidRDefault="002648B0" w:rsidP="00FD239F">
            <w:pPr>
              <w:pStyle w:val="InstructionsText"/>
            </w:pPr>
            <w:r>
              <w:t>A CRR 79. cikke</w:t>
            </w:r>
          </w:p>
          <w:p w:rsidR="005643EA" w:rsidRPr="00392FFD" w:rsidRDefault="002648B0" w:rsidP="00FD239F">
            <w:pPr>
              <w:pStyle w:val="InstructionsText"/>
            </w:pPr>
            <w:r>
              <w:t>Egy illetékes hatóság átmenetileg eltekinthet a T2 tőkéből egy pénzügyi ágazatbeli szervezet által kibocsátott instrumentumokban meglévő rész</w:t>
            </w:r>
            <w:r>
              <w:t>e</w:t>
            </w:r>
            <w:r>
              <w:t>sedések miatti levonásra vonatkozó rendelkezésektől, ha az illetékes h</w:t>
            </w:r>
            <w:r>
              <w:t>a</w:t>
            </w:r>
            <w:r>
              <w:t>tóság megítélése szerint ez a részesedés az adott szervezet reorganizáci</w:t>
            </w:r>
            <w:r>
              <w:t>ó</w:t>
            </w:r>
            <w:r>
              <w:t>jára és megmentésére kialakított pénzügyi támogatási művelet célját szolgálja.</w:t>
            </w:r>
          </w:p>
          <w:p w:rsidR="005643EA" w:rsidRPr="00392FFD" w:rsidRDefault="002648B0" w:rsidP="00FD239F">
            <w:pPr>
              <w:pStyle w:val="InstructionsText"/>
            </w:pPr>
            <w:r>
              <w:t>Ügyelni kell arra, hogy az ilyen instrumentumokat a 17.1. tételben is szerepeltetni kell.</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740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27.</w:t>
            </w:r>
            <w:r w:rsidRPr="00F73674">
              <w:rPr>
                <w:u w:val="single"/>
              </w:rPr>
              <w:tab/>
            </w:r>
            <w:r>
              <w:rPr>
                <w:rStyle w:val="InstructionsTabelleberschrift"/>
                <w:rFonts w:ascii="Times New Roman" w:hAnsi="Times New Roman"/>
                <w:sz w:val="24"/>
              </w:rPr>
              <w:t>Kombinált pufferkövetelmény</w:t>
            </w:r>
          </w:p>
          <w:p w:rsidR="005643EA" w:rsidRPr="00392FFD" w:rsidRDefault="002648B0" w:rsidP="00FD239F">
            <w:pPr>
              <w:pStyle w:val="InstructionsText"/>
            </w:pPr>
            <w:r>
              <w:t>A CRD 128. cikkének 6. pontja</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AC0F2C" w:rsidP="00FD239F">
            <w:pPr>
              <w:pStyle w:val="InstructionsText"/>
            </w:pPr>
            <w:r>
              <w:t>750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454139" w:rsidP="00FD239F">
            <w:pPr>
              <w:pStyle w:val="InstructionsText"/>
            </w:pPr>
            <w:r>
              <w:rPr>
                <w:rStyle w:val="InstructionsTabelleberschrift"/>
                <w:rFonts w:ascii="Times New Roman" w:hAnsi="Times New Roman"/>
                <w:sz w:val="24"/>
              </w:rPr>
              <w:t>Tőkefenntartási puffer</w:t>
            </w:r>
          </w:p>
          <w:p w:rsidR="005643EA" w:rsidRPr="00392FFD" w:rsidRDefault="002648B0" w:rsidP="00FD239F">
            <w:pPr>
              <w:pStyle w:val="InstructionsText"/>
            </w:pPr>
            <w:r>
              <w:t>A CRD 128. cikkének</w:t>
            </w:r>
            <w:r w:rsidR="00F73674">
              <w:t xml:space="preserve"> 1. pontja, valamint 129. cikke</w:t>
            </w:r>
          </w:p>
          <w:p w:rsidR="005643EA" w:rsidRPr="00392FFD" w:rsidRDefault="002648B0" w:rsidP="00FD239F">
            <w:pPr>
              <w:pStyle w:val="InstructionsText"/>
            </w:pPr>
            <w:r>
              <w:t>A CRD 129. cikkének (1) bekezdése szerint a tőkefenntartási puffer CET1 tőkén felüli CET1 tőkeelemekből áll. Mivel a tőkefenntartási pu</w:t>
            </w:r>
            <w:r>
              <w:t>f</w:t>
            </w:r>
            <w:r>
              <w:t>fer 2,5 %-os mértéke állandó, ebben a cellában összeget kell feltüntetni.</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760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A tagállamok szintjén azonosított makroprudenciális vagy ren</w:t>
            </w:r>
            <w:r>
              <w:rPr>
                <w:rStyle w:val="InstructionsTabelleberschrift"/>
                <w:rFonts w:ascii="Times New Roman" w:hAnsi="Times New Roman"/>
                <w:sz w:val="24"/>
              </w:rPr>
              <w:t>d</w:t>
            </w:r>
            <w:r>
              <w:rPr>
                <w:rStyle w:val="InstructionsTabelleberschrift"/>
                <w:rFonts w:ascii="Times New Roman" w:hAnsi="Times New Roman"/>
                <w:sz w:val="24"/>
              </w:rPr>
              <w:t xml:space="preserve">szerkockázatokra képzett tőkefenntartási puffer </w:t>
            </w:r>
          </w:p>
          <w:p w:rsidR="005643EA" w:rsidRPr="00392FFD" w:rsidRDefault="002648B0" w:rsidP="00FD239F">
            <w:pPr>
              <w:pStyle w:val="InstructionsText"/>
            </w:pPr>
            <w:r>
              <w:t>A CRR 458. cikke (2) bekezdése d) pontjának iv. alpontja</w:t>
            </w:r>
          </w:p>
          <w:p w:rsidR="00DF65DF" w:rsidRPr="00392FFD" w:rsidRDefault="002648B0" w:rsidP="00FD239F">
            <w:pPr>
              <w:pStyle w:val="InstructionsText"/>
            </w:pPr>
            <w:r>
              <w:t>Ebben a cellában a tagállamok szintjén azonosított makroprudenciális vagy rendszerkockázatokra képzett fenntartási puffer értékét kell feltü</w:t>
            </w:r>
            <w:r>
              <w:t>n</w:t>
            </w:r>
            <w:r>
              <w:t>tetni, amely a CRR 458. cikkével összhangban a tőkefenntartási pufferen felül kérhető.</w:t>
            </w:r>
          </w:p>
          <w:p w:rsidR="005643EA" w:rsidRPr="00392FFD" w:rsidRDefault="00DF65DF" w:rsidP="00FD239F">
            <w:pPr>
              <w:pStyle w:val="InstructionsText"/>
            </w:pPr>
            <w:r>
              <w:t>A feltüntetett összeg a vonatkozó tőkepuffer-követelményeknek az ada</w:t>
            </w:r>
            <w:r>
              <w:t>t</w:t>
            </w:r>
            <w:r>
              <w:t>szolgáltatás időpontjában való teljesítéséhez szükséges szavatoló tőke összege.</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770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10177C" w:rsidP="00FD239F">
            <w:pPr>
              <w:pStyle w:val="InstructionsText"/>
            </w:pPr>
            <w:r>
              <w:rPr>
                <w:rStyle w:val="InstructionsTabelleberschrift"/>
                <w:rFonts w:ascii="Times New Roman" w:hAnsi="Times New Roman"/>
                <w:sz w:val="24"/>
              </w:rPr>
              <w:t xml:space="preserve">Intézményspecifikus anticiklikus tőkepuffer </w:t>
            </w:r>
          </w:p>
          <w:p w:rsidR="00DF65DF" w:rsidRPr="00392FFD" w:rsidRDefault="002648B0" w:rsidP="00FD239F">
            <w:pPr>
              <w:pStyle w:val="InstructionsText"/>
            </w:pPr>
            <w:r>
              <w:lastRenderedPageBreak/>
              <w:t xml:space="preserve">A CRD 128. cikkének 2. pontja, valamint 130. és 135–140. cikke </w:t>
            </w:r>
          </w:p>
          <w:p w:rsidR="005643EA" w:rsidRPr="00392FFD" w:rsidRDefault="00DF65DF" w:rsidP="00FD239F">
            <w:pPr>
              <w:pStyle w:val="InstructionsText"/>
            </w:pPr>
            <w:r>
              <w:t>A feltüntetett összeg a vonatkozó tőkepuffer-követelményeknek az ada</w:t>
            </w:r>
            <w:r>
              <w:t>t</w:t>
            </w:r>
            <w:r>
              <w:t>szolgáltatás időpontjában való teljesítéséhez szükséges szavatoló tőke összege.</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lastRenderedPageBreak/>
              <w:t>780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 xml:space="preserve">Rendszerkockázati tőkepuffer </w:t>
            </w:r>
          </w:p>
          <w:p w:rsidR="00DF65DF" w:rsidRPr="00392FFD" w:rsidRDefault="002648B0" w:rsidP="00FD239F">
            <w:pPr>
              <w:pStyle w:val="InstructionsText"/>
            </w:pPr>
            <w:r>
              <w:t xml:space="preserve">A CRD 128. cikkének 5. pontja, valamint 133. és 134. cikke </w:t>
            </w:r>
          </w:p>
          <w:p w:rsidR="005643EA" w:rsidRPr="00392FFD" w:rsidRDefault="00DF65DF" w:rsidP="00FD239F">
            <w:pPr>
              <w:pStyle w:val="InstructionsText"/>
            </w:pPr>
            <w:r>
              <w:t>A feltüntetett összeg a vonatkozó tőkepuffer-követelményeknek az ada</w:t>
            </w:r>
            <w:r>
              <w:t>t</w:t>
            </w:r>
            <w:r>
              <w:t>szolgáltatás időpontjában való teljesítéséhez szükséges szavatoló tőke összege.</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800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Globálisan rendszerszinten jelentős intézményekre vonatkozó tőkepuffer</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CRD 128. cikkének 3. pontja, valamint 131. cikke</w:t>
            </w:r>
          </w:p>
          <w:p w:rsidR="005643EA" w:rsidRPr="00201704" w:rsidRDefault="00DF65DF" w:rsidP="00FD239F">
            <w:pPr>
              <w:pStyle w:val="InstructionsText"/>
              <w:rPr>
                <w:rStyle w:val="InstructionsTabelleberschrift"/>
                <w:rFonts w:ascii="Times New Roman" w:hAnsi="Times New Roman"/>
                <w:b w:val="0"/>
                <w:bCs w:val="0"/>
                <w:sz w:val="24"/>
                <w:u w:val="none"/>
              </w:rPr>
            </w:pPr>
            <w:r>
              <w:t>A feltüntetett összeg a vonatkozó tőkepuffer-követelményeknek az ada</w:t>
            </w:r>
            <w:r>
              <w:t>t</w:t>
            </w:r>
            <w:r>
              <w:t>szolgáltatás időpontjában való teljesítéséhez szükséges szavatoló tőke összege.</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810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Egyéb rendszerszinten jelentős intézményekre vonatkozó tőkepuffer </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CRD 128. cikkének 4. pontja, valamint 131. cikke</w:t>
            </w:r>
          </w:p>
          <w:p w:rsidR="005643EA" w:rsidRPr="00201704" w:rsidRDefault="00DF65DF" w:rsidP="00FD239F">
            <w:pPr>
              <w:pStyle w:val="InstructionsText"/>
              <w:rPr>
                <w:rStyle w:val="InstructionsTabelleberschrift"/>
                <w:rFonts w:ascii="Times New Roman" w:hAnsi="Times New Roman"/>
                <w:b w:val="0"/>
                <w:bCs w:val="0"/>
                <w:sz w:val="24"/>
                <w:u w:val="none"/>
              </w:rPr>
            </w:pPr>
            <w:r>
              <w:t>A feltüntetett összeg a vonatkozó tőkepuffer-követelményeknek az ada</w:t>
            </w:r>
            <w:r>
              <w:t>t</w:t>
            </w:r>
            <w:r>
              <w:t>szolgáltatás időpontjában való teljesítéséhez szükséges szavatoló tőke összege.</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820</w:t>
            </w:r>
          </w:p>
          <w:p w:rsidR="00E81DB9" w:rsidRPr="00392FFD"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E81DB9"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sidRPr="00F73674">
              <w:rPr>
                <w:u w:val="single"/>
              </w:rPr>
              <w:tab/>
            </w:r>
            <w:r>
              <w:rPr>
                <w:rStyle w:val="InstructionsTabelleberschrift"/>
                <w:rFonts w:ascii="Times New Roman" w:hAnsi="Times New Roman"/>
                <w:sz w:val="24"/>
              </w:rPr>
              <w:t>A II. pillérből eredő kiigazításokhoz kapcsolódó szavatolótőke-követelmények</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CRD 104. cikkének (2) bekezdése </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Ha az illetékes hatóság döntése szerint egy intézménynek a II. pillérrel összefüggő okból pótlólagos szavatolótőke-követelményt kell számít</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nia, akkor a pótlólagos szavatolótőke-követelményt ebben a cellában kell megadni. </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830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sidRPr="00F73674">
              <w:rPr>
                <w:u w:val="single"/>
              </w:rPr>
              <w:tab/>
            </w:r>
            <w:r>
              <w:rPr>
                <w:rStyle w:val="InstructionsTabelleberschrift"/>
                <w:rFonts w:ascii="Times New Roman" w:hAnsi="Times New Roman"/>
                <w:sz w:val="24"/>
              </w:rPr>
              <w:t>Induló tőke</w:t>
            </w:r>
          </w:p>
          <w:p w:rsidR="005643EA" w:rsidRPr="00392FFD"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CRD 12. és 28–31. cikke, valamint a CRR 93. cikke</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840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sidRPr="00F73674">
              <w:rPr>
                <w:u w:val="single"/>
              </w:rPr>
              <w:tab/>
            </w:r>
            <w:r>
              <w:rPr>
                <w:rStyle w:val="InstructionsTabelleberschrift"/>
                <w:rFonts w:ascii="Times New Roman" w:hAnsi="Times New Roman"/>
                <w:sz w:val="24"/>
              </w:rPr>
              <w:t>Fix működési költségeken alapuló szavatolótőke-követelmény</w:t>
            </w:r>
          </w:p>
          <w:p w:rsidR="005643EA" w:rsidRPr="00201704"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96. cikke (2) bekezdésének b) pontja, 97. cikke, valamint 98. cikke (1) bekezdésének a) pontja</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497D60" w:rsidP="00FD239F">
            <w:pPr>
              <w:pStyle w:val="InstructionsText"/>
            </w:pPr>
            <w:r>
              <w:t>850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sidRPr="00F73674">
              <w:rPr>
                <w:u w:val="single"/>
              </w:rPr>
              <w:tab/>
            </w:r>
            <w:r>
              <w:rPr>
                <w:rStyle w:val="InstructionsTabelleberschrift"/>
                <w:rFonts w:ascii="Times New Roman" w:hAnsi="Times New Roman"/>
                <w:sz w:val="24"/>
              </w:rPr>
              <w:t>Nem hazai eredeti kitettségek</w:t>
            </w:r>
          </w:p>
          <w:p w:rsidR="00DD5F87" w:rsidRPr="00392FFD" w:rsidRDefault="00A774C1"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 GB táblán történő adatszolgáltatásra vonatkozó küszöbértéknek az e rendelet 5. cikke a) pontjának 4. alpontja szerinti kiszámításához szü</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 xml:space="preserve">séges információk. A küszöbértéket a hitel-egyenértékesítési tényezők előtti eredeti kitettség alapján kell kiszámítani. </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kitettségek hazainak tekintendők, ha azok az intézmény helye szerinti tagállamban lévő partnerekkel szembeni kitettségek.</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A774C1" w:rsidP="00FD239F">
            <w:pPr>
              <w:pStyle w:val="InstructionsText"/>
            </w:pPr>
            <w:r>
              <w:t>860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sidRPr="00F73674">
              <w:rPr>
                <w:u w:val="single"/>
              </w:rPr>
              <w:tab/>
            </w:r>
            <w:r>
              <w:rPr>
                <w:rStyle w:val="InstructionsTabelleberschrift"/>
                <w:rFonts w:ascii="Times New Roman" w:hAnsi="Times New Roman"/>
                <w:sz w:val="24"/>
              </w:rPr>
              <w:t>Teljes eredeti kitettség</w:t>
            </w:r>
          </w:p>
          <w:p w:rsidR="00DD5F87" w:rsidRPr="00392FFD" w:rsidRDefault="00FA386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 CR GB táblán történő adatszolgáltatásra vonatkozó küszöbértéknek az e rendelet 5. cikke a) pontjának 4. alpontja szerinti kiszámításához szü</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séges információk. A küszöbértéket a hitel-egyenértékesítési tényezők előtti eredeti kitettség alapján kell kiszámítani.</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kitettségek hazainak tekintendők, ha azok az intézmény helye szerinti tagállamban lévő partnerekkel szembeni kitettségek.</w:t>
            </w:r>
          </w:p>
        </w:tc>
      </w:tr>
      <w:tr w:rsidR="00700DFD"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392FFD" w:rsidRDefault="007E16E5" w:rsidP="00FD239F">
            <w:pPr>
              <w:pStyle w:val="InstructionsText"/>
            </w:pPr>
            <w:r>
              <w:lastRenderedPageBreak/>
              <w:t>870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Szavatoló tőke teljes összegének kiigazítása</w:t>
            </w:r>
          </w:p>
          <w:p w:rsidR="00700DFD" w:rsidRPr="00392FFD" w:rsidRDefault="00700DFD"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500. cikkének (4) bekezdése</w:t>
            </w:r>
          </w:p>
          <w:p w:rsidR="00643362"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Ebben a cellában a 880-as cellában feltüntetett összeg és a CRR szerinti teljes tőkekövetelmény különbözetét kell megadni. </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sztenderd módszer (CRR 500. cikkének (2) bekezdése) alkalmazása esetén ezt a sort üresen kell hagyni.</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880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 szavatoló tőke Bázel I-es alsó korlátnak megfelelő teljes kiigazít</w:t>
            </w:r>
            <w:r>
              <w:rPr>
                <w:rStyle w:val="InstructionsTabelleberschrift"/>
                <w:rFonts w:ascii="Times New Roman" w:hAnsi="Times New Roman"/>
                <w:sz w:val="24"/>
              </w:rPr>
              <w:t>á</w:t>
            </w:r>
            <w:r>
              <w:rPr>
                <w:rStyle w:val="InstructionsTabelleberschrift"/>
                <w:rFonts w:ascii="Times New Roman" w:hAnsi="Times New Roman"/>
                <w:sz w:val="24"/>
              </w:rPr>
              <w:t>sa</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500. cikkének (4) bekezdése</w:t>
            </w:r>
          </w:p>
          <w:p w:rsidR="002540B2" w:rsidRPr="00392FFD" w:rsidRDefault="002540B2" w:rsidP="00FD239F">
            <w:pPr>
              <w:pStyle w:val="InstructionsText"/>
              <w:rPr>
                <w:rStyle w:val="InstructionsTabelleberschrift"/>
                <w:rFonts w:ascii="Times New Roman" w:hAnsi="Times New Roman"/>
                <w:b w:val="0"/>
                <w:sz w:val="24"/>
                <w:u w:val="none"/>
              </w:rPr>
            </w:pPr>
            <w:proofErr w:type="gramStart"/>
            <w:r>
              <w:rPr>
                <w:rStyle w:val="InstructionsTabelleberschrift"/>
                <w:rFonts w:ascii="Times New Roman" w:hAnsi="Times New Roman"/>
                <w:b w:val="0"/>
                <w:sz w:val="24"/>
                <w:u w:val="none"/>
              </w:rPr>
              <w:t>A CRR szerinti teljes tőkekövetelmény a CRR 500. cikkének (4) beke</w:t>
            </w:r>
            <w:r>
              <w:rPr>
                <w:rStyle w:val="InstructionsTabelleberschrift"/>
                <w:rFonts w:ascii="Times New Roman" w:hAnsi="Times New Roman"/>
                <w:b w:val="0"/>
                <w:sz w:val="24"/>
                <w:u w:val="none"/>
              </w:rPr>
              <w:t>z</w:t>
            </w:r>
            <w:r>
              <w:rPr>
                <w:rStyle w:val="InstructionsTabelleberschrift"/>
                <w:rFonts w:ascii="Times New Roman" w:hAnsi="Times New Roman"/>
                <w:b w:val="0"/>
                <w:sz w:val="24"/>
                <w:u w:val="none"/>
              </w:rPr>
              <w:t>désében előírtaknak megfelelően kiigazítva (vagyis teljes mértékben k</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igazítva, hogy tükrözze a szavatoló tőkének a 93/6/EGK és a 2000/12/EK irányelv 2007. január 1. előtt hatályos szövege szerinti sz</w:t>
            </w:r>
            <w:r>
              <w:rPr>
                <w:rStyle w:val="InstructionsTabelleberschrift"/>
                <w:rFonts w:ascii="Times New Roman" w:hAnsi="Times New Roman"/>
                <w:b w:val="0"/>
                <w:sz w:val="24"/>
                <w:u w:val="none"/>
              </w:rPr>
              <w:t>á</w:t>
            </w:r>
            <w:r>
              <w:rPr>
                <w:rStyle w:val="InstructionsTabelleberschrift"/>
                <w:rFonts w:ascii="Times New Roman" w:hAnsi="Times New Roman"/>
                <w:b w:val="0"/>
                <w:sz w:val="24"/>
                <w:u w:val="none"/>
              </w:rPr>
              <w:t>mítása, illetve a CRR szerinti szavatolótőke-számítás közötti mindazon különbségeket, amelyek abból adódnak, hogy a CRR harmadik része II. címének 3. fejezete értelmében a várható és a nem várható veszteséget elkülönítetten kell kezelni).</w:t>
            </w:r>
            <w:proofErr w:type="gramEnd"/>
            <w:r>
              <w:rPr>
                <w:rStyle w:val="InstructionsTabelleberschrift"/>
                <w:rFonts w:ascii="Times New Roman" w:hAnsi="Times New Roman"/>
                <w:b w:val="0"/>
                <w:sz w:val="24"/>
                <w:u w:val="none"/>
              </w:rPr>
              <w:t xml:space="preserve"> </w:t>
            </w:r>
          </w:p>
          <w:p w:rsidR="00DE48EF" w:rsidRPr="00201704"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sztenderd módszer (CRR 500. cikkének (2) bekezdése) alkalmazása esetén ezt a sort üresen kell hagyni.</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890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 Bázel I-es alsó korlátnak megfelelő szavatolótőke-követelmény</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500. c</w:t>
            </w:r>
            <w:r w:rsidR="00F73674">
              <w:rPr>
                <w:rStyle w:val="InstructionsTabelleberschrift"/>
                <w:rFonts w:ascii="Times New Roman" w:hAnsi="Times New Roman"/>
                <w:b w:val="0"/>
                <w:sz w:val="24"/>
                <w:u w:val="none"/>
              </w:rPr>
              <w:t>ikke (1) bekezdésének b) pontja</w:t>
            </w:r>
          </w:p>
          <w:p w:rsidR="00DE48EF" w:rsidRPr="00392FFD" w:rsidRDefault="002540B2" w:rsidP="00FD239F">
            <w:pPr>
              <w:pStyle w:val="InstructionsText"/>
              <w:rPr>
                <w:rStyle w:val="InstructionsTabelleberschrift"/>
                <w:rFonts w:ascii="Times New Roman" w:hAnsi="Times New Roman"/>
                <w:sz w:val="24"/>
              </w:rPr>
            </w:pPr>
            <w:proofErr w:type="gramStart"/>
            <w:r>
              <w:rPr>
                <w:rStyle w:val="InstructionsTabelleberschrift"/>
                <w:rFonts w:ascii="Times New Roman" w:hAnsi="Times New Roman"/>
                <w:b w:val="0"/>
                <w:sz w:val="24"/>
                <w:u w:val="none"/>
              </w:rPr>
              <w:t>Ebben a cellában a CRR 500. cikke (1) bekezdésének b) pontjában előí</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taknak megfelelően tartandó szavatolótőke összegét kell feltüntetni (ez azon szavatoló tőke teljes minimumösszegének 80 %-a, amelyet az 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tézmény a 93/6/EGK irányelv 4. cikke értelmében lenne köteles tartani, az említett irányelv, valamint a hitelintézetek tevékenységének megke</w:t>
            </w:r>
            <w:r>
              <w:rPr>
                <w:rStyle w:val="InstructionsTabelleberschrift"/>
                <w:rFonts w:ascii="Times New Roman" w:hAnsi="Times New Roman"/>
                <w:b w:val="0"/>
                <w:sz w:val="24"/>
                <w:u w:val="none"/>
              </w:rPr>
              <w:t>z</w:t>
            </w:r>
            <w:r>
              <w:rPr>
                <w:rStyle w:val="InstructionsTabelleberschrift"/>
                <w:rFonts w:ascii="Times New Roman" w:hAnsi="Times New Roman"/>
                <w:b w:val="0"/>
                <w:sz w:val="24"/>
                <w:u w:val="none"/>
              </w:rPr>
              <w:t>déséről és folytatásáról szóló, 2000. március 20-i 2000/12/EK európai parlamenti és tanácsi irányelv 2007. január 1. előtt hatályos rendelkez</w:t>
            </w:r>
            <w:r>
              <w:rPr>
                <w:rStyle w:val="InstructionsTabelleberschrift"/>
                <w:rFonts w:ascii="Times New Roman" w:hAnsi="Times New Roman"/>
                <w:b w:val="0"/>
                <w:sz w:val="24"/>
                <w:u w:val="none"/>
              </w:rPr>
              <w:t>é</w:t>
            </w:r>
            <w:r>
              <w:rPr>
                <w:rStyle w:val="InstructionsTabelleberschrift"/>
                <w:rFonts w:ascii="Times New Roman" w:hAnsi="Times New Roman"/>
                <w:b w:val="0"/>
                <w:sz w:val="24"/>
                <w:u w:val="none"/>
              </w:rPr>
              <w:t>seivel összhangban).</w:t>
            </w:r>
            <w:proofErr w:type="gramEnd"/>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900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 Bázel I-es alsó korlátnak megfelelő szavatolótőke-követelmény – Sztenderd módszer</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CRR 500. cikkének (2) és (3) bekezdése </w:t>
            </w:r>
          </w:p>
          <w:p w:rsidR="00DE48EF" w:rsidRPr="00201704" w:rsidRDefault="00DE48EF" w:rsidP="00FD239F">
            <w:pPr>
              <w:pStyle w:val="InstructionsText"/>
              <w:rPr>
                <w:rStyle w:val="InstructionsTabelleberschrift"/>
                <w:rFonts w:ascii="Times New Roman" w:hAnsi="Times New Roman"/>
                <w:b w:val="0"/>
                <w:sz w:val="24"/>
                <w:u w:val="none"/>
              </w:rPr>
            </w:pPr>
            <w:proofErr w:type="gramStart"/>
            <w:r>
              <w:rPr>
                <w:rStyle w:val="InstructionsTabelleberschrift"/>
                <w:rFonts w:ascii="Times New Roman" w:hAnsi="Times New Roman"/>
                <w:b w:val="0"/>
                <w:sz w:val="24"/>
                <w:u w:val="none"/>
              </w:rPr>
              <w:t>Ebben a cellában a CRR 500. cikkének (2) bekezdésében előírtaknak megfelelően tartandó szavatolótőke összegét kell feltüntetni (ez azon szavatoló tőke 80 %-a, amelyet az intézmény a 92. cikk értelmében le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ne köteles tartani, a kockázattal súlyozott kitettségértékeket a CRR ha</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madik része II. címe 3. fejezete vagy harmadik része III. címe 4. fejezete </w:t>
            </w:r>
            <w:r>
              <w:rPr>
                <w:rStyle w:val="InstructionsTabelleberschrift"/>
                <w:rFonts w:ascii="Times New Roman" w:hAnsi="Times New Roman"/>
                <w:b w:val="0"/>
                <w:sz w:val="24"/>
                <w:u w:val="none"/>
              </w:rPr>
              <w:lastRenderedPageBreak/>
              <w:t>helyett adott esetben a CRR harmadik része II. címe 2. fejezete és ha</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madik része III. címe 2. vagy 3. fejezete szerint számítva).</w:t>
            </w:r>
            <w:proofErr w:type="gramEnd"/>
          </w:p>
        </w:tc>
      </w:tr>
      <w:tr w:rsidR="00A840D5"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392FFD" w:rsidRDefault="00A840D5" w:rsidP="00FD239F">
            <w:pPr>
              <w:pStyle w:val="InstructionsText"/>
            </w:pPr>
            <w:r>
              <w:lastRenderedPageBreak/>
              <w:t>910</w:t>
            </w:r>
          </w:p>
        </w:tc>
        <w:tc>
          <w:tcPr>
            <w:tcW w:w="7243" w:type="dxa"/>
            <w:tcBorders>
              <w:top w:val="single" w:sz="4" w:space="0" w:color="auto"/>
              <w:left w:val="single" w:sz="4" w:space="0" w:color="auto"/>
              <w:bottom w:val="single" w:sz="4" w:space="0" w:color="auto"/>
              <w:right w:val="single" w:sz="4" w:space="0" w:color="auto"/>
            </w:tcBorders>
          </w:tcPr>
          <w:p w:rsidR="002540B2" w:rsidRPr="00201704"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 teljes szavatoló tőke hiánya a Bázel I-es alsó korlátnak (vagy sztenderd módszernek) megfelelő szavatolótőke-követelmények t</w:t>
            </w:r>
            <w:r>
              <w:rPr>
                <w:rStyle w:val="InstructionsTabelleberschrift"/>
                <w:rFonts w:ascii="Times New Roman" w:hAnsi="Times New Roman"/>
                <w:sz w:val="24"/>
              </w:rPr>
              <w:t>e</w:t>
            </w:r>
            <w:r>
              <w:rPr>
                <w:rStyle w:val="InstructionsTabelleberschrift"/>
                <w:rFonts w:ascii="Times New Roman" w:hAnsi="Times New Roman"/>
                <w:sz w:val="24"/>
              </w:rPr>
              <w:t>kintetében</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500. cikke (1) bekezdésének b) pontja, valamint 500.</w:t>
            </w:r>
            <w:r w:rsidR="00F73674">
              <w:rPr>
                <w:rStyle w:val="InstructionsTabelleberschrift"/>
                <w:rFonts w:ascii="Times New Roman" w:hAnsi="Times New Roman"/>
                <w:b w:val="0"/>
                <w:sz w:val="24"/>
                <w:u w:val="none"/>
              </w:rPr>
              <w:t xml:space="preserve"> cikkének (2) bekezdése</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Ezt a sort a következőképpen kell kitölteni:</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 xml:space="preserve">a CRR 500. cikke (1) bekezdése b) pontjának alkalmazása </w:t>
            </w:r>
            <w:proofErr w:type="gramStart"/>
            <w:r>
              <w:rPr>
                <w:rStyle w:val="InstructionsTabelleberschrift"/>
                <w:rFonts w:ascii="Times New Roman" w:hAnsi="Times New Roman"/>
                <w:b w:val="0"/>
                <w:sz w:val="24"/>
                <w:u w:val="none"/>
              </w:rPr>
              <w:t>esetén</w:t>
            </w:r>
            <w:proofErr w:type="gramEnd"/>
            <w:r>
              <w:rPr>
                <w:rStyle w:val="InstructionsTabelleberschrift"/>
                <w:rFonts w:ascii="Times New Roman" w:hAnsi="Times New Roman"/>
                <w:b w:val="0"/>
                <w:sz w:val="24"/>
                <w:u w:val="none"/>
              </w:rPr>
              <w:t xml:space="preserve"> és ha a 880-as sor &lt; a 890-es sor: a 890-es sor és a 880-as sor különbs</w:t>
            </w:r>
            <w:r>
              <w:rPr>
                <w:rStyle w:val="InstructionsTabelleberschrift"/>
                <w:rFonts w:ascii="Times New Roman" w:hAnsi="Times New Roman"/>
                <w:b w:val="0"/>
                <w:sz w:val="24"/>
                <w:u w:val="none"/>
              </w:rPr>
              <w:t>é</w:t>
            </w:r>
            <w:r>
              <w:rPr>
                <w:rStyle w:val="InstructionsTabelleberschrift"/>
                <w:rFonts w:ascii="Times New Roman" w:hAnsi="Times New Roman"/>
                <w:b w:val="0"/>
                <w:sz w:val="24"/>
                <w:u w:val="none"/>
              </w:rPr>
              <w:t xml:space="preserve">ge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 xml:space="preserve">vagy a CRR 500. cikke (2) bekezdésének alkalmazása </w:t>
            </w:r>
            <w:proofErr w:type="gramStart"/>
            <w:r>
              <w:rPr>
                <w:rStyle w:val="InstructionsTabelleberschrift"/>
                <w:rFonts w:ascii="Times New Roman" w:hAnsi="Times New Roman"/>
                <w:b w:val="0"/>
                <w:sz w:val="24"/>
                <w:u w:val="none"/>
              </w:rPr>
              <w:t>esetén</w:t>
            </w:r>
            <w:proofErr w:type="gramEnd"/>
            <w:r>
              <w:rPr>
                <w:rStyle w:val="InstructionsTabelleberschrift"/>
                <w:rFonts w:ascii="Times New Roman" w:hAnsi="Times New Roman"/>
                <w:b w:val="0"/>
                <w:sz w:val="24"/>
                <w:u w:val="none"/>
              </w:rPr>
              <w:t xml:space="preserve"> és ha a C 01.00. tábla 010-es sora &lt; a C 04.00-es tábla 900-as sora: a C 04.00-es tábla 900-as sora és a C 01.00-es tábla 010-es sora közötti k</w:t>
            </w:r>
            <w:r>
              <w:rPr>
                <w:rStyle w:val="InstructionsTabelleberschrift"/>
                <w:rFonts w:ascii="Times New Roman" w:hAnsi="Times New Roman"/>
                <w:b w:val="0"/>
                <w:sz w:val="24"/>
                <w:u w:val="none"/>
              </w:rPr>
              <w:t>ü</w:t>
            </w:r>
            <w:r>
              <w:rPr>
                <w:rStyle w:val="InstructionsTabelleberschrift"/>
                <w:rFonts w:ascii="Times New Roman" w:hAnsi="Times New Roman"/>
                <w:b w:val="0"/>
                <w:sz w:val="24"/>
                <w:u w:val="none"/>
              </w:rPr>
              <w:t>lönbség</w:t>
            </w:r>
          </w:p>
        </w:tc>
      </w:tr>
    </w:tbl>
    <w:p w:rsidR="002648B0" w:rsidRPr="00392FFD" w:rsidRDefault="002648B0" w:rsidP="00FD239F">
      <w:pPr>
        <w:pStyle w:val="InstructionsText"/>
      </w:pPr>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86" w:name="_Toc360188333"/>
      <w:bookmarkStart w:id="87" w:name="_Toc516210616"/>
      <w:bookmarkStart w:id="88" w:name="_Toc473560881"/>
      <w:bookmarkStart w:id="89" w:name="_Toc524014675"/>
      <w:bookmarkStart w:id="90" w:name="_Toc308175834"/>
      <w:r>
        <w:rPr>
          <w:rFonts w:ascii="Times New Roman" w:hAnsi="Times New Roman"/>
          <w:sz w:val="24"/>
          <w:u w:val="none"/>
        </w:rPr>
        <w:t>1.6.</w:t>
      </w:r>
      <w:r w:rsidRPr="00F73674">
        <w:rPr>
          <w:u w:val="none"/>
        </w:rPr>
        <w:tab/>
      </w:r>
      <w:r>
        <w:rPr>
          <w:rFonts w:ascii="Times New Roman" w:hAnsi="Times New Roman"/>
          <w:sz w:val="24"/>
        </w:rPr>
        <w:t xml:space="preserve">ÁTMENETI RENDELKEZÉSEK </w:t>
      </w:r>
      <w:proofErr w:type="gramStart"/>
      <w:r>
        <w:rPr>
          <w:rFonts w:ascii="Times New Roman" w:hAnsi="Times New Roman"/>
          <w:sz w:val="24"/>
        </w:rPr>
        <w:t>ÉS</w:t>
      </w:r>
      <w:proofErr w:type="gramEnd"/>
      <w:r>
        <w:rPr>
          <w:rFonts w:ascii="Times New Roman" w:hAnsi="Times New Roman"/>
          <w:sz w:val="24"/>
        </w:rPr>
        <w:t xml:space="preserve"> SZERZETT JOGOK ALAPJÁN FIGYELE</w:t>
      </w:r>
      <w:r>
        <w:rPr>
          <w:rFonts w:ascii="Times New Roman" w:hAnsi="Times New Roman"/>
          <w:sz w:val="24"/>
        </w:rPr>
        <w:t>M</w:t>
      </w:r>
      <w:r>
        <w:rPr>
          <w:rFonts w:ascii="Times New Roman" w:hAnsi="Times New Roman"/>
          <w:sz w:val="24"/>
        </w:rPr>
        <w:t>BE VETT TŐKEINSTRUMENTUMOK: ÁLLAMI TÁMOGATÁSNAK NEM MIN</w:t>
      </w:r>
      <w:r>
        <w:rPr>
          <w:rFonts w:ascii="Times New Roman" w:hAnsi="Times New Roman"/>
          <w:sz w:val="24"/>
        </w:rPr>
        <w:t>Ő</w:t>
      </w:r>
      <w:r>
        <w:rPr>
          <w:rFonts w:ascii="Times New Roman" w:hAnsi="Times New Roman"/>
          <w:sz w:val="24"/>
        </w:rPr>
        <w:t>SÜLŐ INSTRUMENTUMOK (CA5</w:t>
      </w:r>
      <w:bookmarkEnd w:id="86"/>
      <w:r>
        <w:rPr>
          <w:rFonts w:ascii="Times New Roman" w:hAnsi="Times New Roman"/>
          <w:sz w:val="24"/>
        </w:rPr>
        <w:t>)</w:t>
      </w:r>
      <w:bookmarkEnd w:id="87"/>
      <w:bookmarkEnd w:id="88"/>
      <w:bookmarkEnd w:id="89"/>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91" w:name="_Toc308175835"/>
      <w:bookmarkStart w:id="92" w:name="_Toc360188334"/>
      <w:bookmarkStart w:id="93" w:name="_Toc516210617"/>
      <w:bookmarkStart w:id="94" w:name="_Toc473560882"/>
      <w:bookmarkStart w:id="95" w:name="_Toc524014676"/>
      <w:bookmarkEnd w:id="90"/>
      <w:r>
        <w:rPr>
          <w:rFonts w:ascii="Times New Roman" w:hAnsi="Times New Roman"/>
          <w:sz w:val="24"/>
          <w:u w:val="none"/>
        </w:rPr>
        <w:t>1.6.1.</w:t>
      </w:r>
      <w:r w:rsidRPr="00F73674">
        <w:rPr>
          <w:u w:val="none"/>
        </w:rPr>
        <w:tab/>
      </w:r>
      <w:r>
        <w:rPr>
          <w:rFonts w:ascii="Times New Roman" w:hAnsi="Times New Roman"/>
          <w:sz w:val="24"/>
        </w:rPr>
        <w:t>Általános megjegyzések</w:t>
      </w:r>
      <w:bookmarkEnd w:id="91"/>
      <w:bookmarkEnd w:id="92"/>
      <w:bookmarkEnd w:id="93"/>
      <w:bookmarkEnd w:id="94"/>
      <w:bookmarkEnd w:id="95"/>
    </w:p>
    <w:p w:rsidR="00783881" w:rsidRPr="00392FFD" w:rsidRDefault="00B43C2A" w:rsidP="00C37B29">
      <w:pPr>
        <w:pStyle w:val="InstructionsText2"/>
        <w:numPr>
          <w:ilvl w:val="0"/>
          <w:numId w:val="0"/>
        </w:numPr>
        <w:ind w:left="993"/>
      </w:pPr>
      <w:r>
        <w:t>15.</w:t>
      </w:r>
      <w:r>
        <w:tab/>
        <w:t>A CA5 a CRR 465–491. cikkében foglalt átmeneti rendelkezések hatálya alá eső szavatolótőke-elemeket</w:t>
      </w:r>
      <w:r w:rsidR="00F73674">
        <w:t xml:space="preserve"> és levonásokat foglalja össze.</w:t>
      </w:r>
    </w:p>
    <w:p w:rsidR="00496C53" w:rsidRPr="00392FFD" w:rsidRDefault="00125707" w:rsidP="00C37B29">
      <w:pPr>
        <w:pStyle w:val="InstructionsText2"/>
        <w:numPr>
          <w:ilvl w:val="0"/>
          <w:numId w:val="0"/>
        </w:numPr>
        <w:ind w:left="993"/>
      </w:pPr>
      <w:r>
        <w:t>16.</w:t>
      </w:r>
      <w:r>
        <w:tab/>
        <w:t>A CA5 az alábbi szerkezetet követi:</w:t>
      </w:r>
    </w:p>
    <w:p w:rsidR="002648B0" w:rsidRPr="00392FFD" w:rsidRDefault="00125707" w:rsidP="00C37B29">
      <w:pPr>
        <w:pStyle w:val="InstructionsText2"/>
        <w:numPr>
          <w:ilvl w:val="0"/>
          <w:numId w:val="0"/>
        </w:numPr>
        <w:ind w:left="993"/>
      </w:pPr>
      <w:proofErr w:type="gramStart"/>
      <w:r>
        <w:t>a</w:t>
      </w:r>
      <w:proofErr w:type="gramEnd"/>
      <w:r>
        <w:t>)</w:t>
      </w:r>
      <w:r>
        <w:tab/>
        <w:t xml:space="preserve">Az </w:t>
      </w:r>
      <w:r>
        <w:rPr>
          <w:u w:val="single"/>
        </w:rPr>
        <w:t>5.1. tábla</w:t>
      </w:r>
      <w:r>
        <w:t xml:space="preserve"> azokat a kiigazításokat foglalja össze, amelyeket a végleges re</w:t>
      </w:r>
      <w:r>
        <w:t>n</w:t>
      </w:r>
      <w:r>
        <w:t>delkezésekkel összhangban a CA1 táblán megadott szavatolótőke-elemeket érint</w:t>
      </w:r>
      <w:r>
        <w:t>ő</w:t>
      </w:r>
      <w:r>
        <w:t xml:space="preserve">en az átmeneti rendelkezések alkalmazása miatt kell végrehajtani. E táblázat elemei a CA1 táblán </w:t>
      </w:r>
      <w:proofErr w:type="gramStart"/>
      <w:r>
        <w:t>szereplő különböző</w:t>
      </w:r>
      <w:proofErr w:type="gramEnd"/>
      <w:r>
        <w:t xml:space="preserve"> tőkeelemek „kiigazításaként” jelennek meg annak érdekében, hogy tükrözzék az átmeneti rendelkezések hatását a szavatoló tőke el</w:t>
      </w:r>
      <w:r>
        <w:t>e</w:t>
      </w:r>
      <w:r>
        <w:t>meire.</w:t>
      </w:r>
    </w:p>
    <w:p w:rsidR="002648B0" w:rsidRPr="00392FFD" w:rsidRDefault="00125707" w:rsidP="00C37B29">
      <w:pPr>
        <w:pStyle w:val="InstructionsText2"/>
        <w:numPr>
          <w:ilvl w:val="0"/>
          <w:numId w:val="0"/>
        </w:numPr>
        <w:ind w:left="993"/>
      </w:pPr>
      <w:r>
        <w:t>b)</w:t>
      </w:r>
      <w:r>
        <w:tab/>
        <w:t xml:space="preserve">Az </w:t>
      </w:r>
      <w:r>
        <w:rPr>
          <w:u w:val="single"/>
        </w:rPr>
        <w:t>5.2. tábla</w:t>
      </w:r>
      <w:r>
        <w:t xml:space="preserve"> a szerzett jogok alapján figyelembe vett, állami támogatásnak nem minősülő instrumentumok kiszá</w:t>
      </w:r>
      <w:r w:rsidR="00F73674">
        <w:t>mítását mutatja be részletesen.</w:t>
      </w:r>
    </w:p>
    <w:p w:rsidR="005643EA" w:rsidRPr="00392FFD" w:rsidRDefault="00125707" w:rsidP="00C37B29">
      <w:pPr>
        <w:pStyle w:val="InstructionsText2"/>
        <w:numPr>
          <w:ilvl w:val="0"/>
          <w:numId w:val="0"/>
        </w:numPr>
        <w:ind w:left="993"/>
      </w:pPr>
      <w:bookmarkStart w:id="96" w:name="_Toc307386943"/>
      <w:r>
        <w:t>17.</w:t>
      </w:r>
      <w:r>
        <w:tab/>
        <w:t>Az intézményeknek az első négy oszlopban a CET1 tőke, az AT1 tőke és a T2 tőke kiigazításait, valamint a teljes kockázati kitettségértéket kell megadni. Az i</w:t>
      </w:r>
      <w:r>
        <w:t>n</w:t>
      </w:r>
      <w:r>
        <w:t xml:space="preserve">tézményeknek </w:t>
      </w:r>
      <w:proofErr w:type="gramStart"/>
      <w:r>
        <w:t>ezenkívül</w:t>
      </w:r>
      <w:proofErr w:type="gramEnd"/>
      <w:r>
        <w:t xml:space="preserve"> meg kell adniuk az átmeneti rendelkezés szerint alkalm</w:t>
      </w:r>
      <w:r>
        <w:t>a</w:t>
      </w:r>
      <w:r>
        <w:t>zandó százalékos arányt (050. oszlop), valamint az átmeneti rendelkezések alka</w:t>
      </w:r>
      <w:r>
        <w:t>l</w:t>
      </w:r>
      <w:r>
        <w:t>mazása nélkül figyelembe vehető összeget (060. oszlop).</w:t>
      </w:r>
    </w:p>
    <w:p w:rsidR="005643EA" w:rsidRPr="00392FFD" w:rsidRDefault="00125707" w:rsidP="00C37B29">
      <w:pPr>
        <w:pStyle w:val="InstructionsText2"/>
        <w:numPr>
          <w:ilvl w:val="0"/>
          <w:numId w:val="0"/>
        </w:numPr>
        <w:ind w:left="993"/>
      </w:pPr>
      <w:r>
        <w:t>18.</w:t>
      </w:r>
      <w:r>
        <w:tab/>
        <w:t xml:space="preserve">Az intézmények a CA5. </w:t>
      </w:r>
      <w:proofErr w:type="gramStart"/>
      <w:r>
        <w:t>táblán</w:t>
      </w:r>
      <w:proofErr w:type="gramEnd"/>
      <w:r>
        <w:t xml:space="preserve"> kizárólag abban az időszakban szolgáltatnak adatot a tőkeelemekről, amelynek során a CRR tizedik részében foglalt átmeneti rendelkezéseket alkalmazni kell.</w:t>
      </w:r>
    </w:p>
    <w:p w:rsidR="005643EA" w:rsidRPr="00392FFD" w:rsidRDefault="00125707" w:rsidP="00C37B29">
      <w:pPr>
        <w:pStyle w:val="InstructionsText2"/>
        <w:numPr>
          <w:ilvl w:val="0"/>
          <w:numId w:val="0"/>
        </w:numPr>
        <w:ind w:left="993"/>
      </w:pPr>
      <w:r>
        <w:lastRenderedPageBreak/>
        <w:t>19.</w:t>
      </w:r>
      <w:r>
        <w:tab/>
        <w:t>Egyes átmeneti rendelkezések a T1 tőkét érintő levonást írnak elő. Ilyenkor a T1 tőkét érintő levonásnak vagy levonásoknak az AT1 tőkén felüli maradványö</w:t>
      </w:r>
      <w:r>
        <w:t>s</w:t>
      </w:r>
      <w:r>
        <w:t>szegét a CET1 tőkéből kell levonni.</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97" w:name="_Toc516210618"/>
      <w:bookmarkStart w:id="98" w:name="_Toc473560883"/>
      <w:bookmarkStart w:id="99" w:name="_Toc524014677"/>
      <w:bookmarkStart w:id="100" w:name="_Toc360188335"/>
      <w:bookmarkStart w:id="101" w:name="_Toc308175836"/>
      <w:bookmarkEnd w:id="96"/>
      <w:r>
        <w:rPr>
          <w:rFonts w:ascii="Times New Roman" w:hAnsi="Times New Roman"/>
          <w:sz w:val="24"/>
          <w:u w:val="none"/>
        </w:rPr>
        <w:t>1.6.2.</w:t>
      </w:r>
      <w:r>
        <w:tab/>
      </w:r>
      <w:r>
        <w:rPr>
          <w:rFonts w:ascii="Times New Roman" w:hAnsi="Times New Roman"/>
          <w:sz w:val="24"/>
        </w:rPr>
        <w:t>C 05.01 – ÁTMENETI RENDELKEZÉSEK (CA5.1)</w:t>
      </w:r>
      <w:bookmarkEnd w:id="97"/>
      <w:bookmarkEnd w:id="98"/>
      <w:bookmarkEnd w:id="99"/>
      <w:r>
        <w:rPr>
          <w:rFonts w:ascii="Times New Roman" w:hAnsi="Times New Roman"/>
          <w:sz w:val="24"/>
        </w:rPr>
        <w:t xml:space="preserve"> </w:t>
      </w:r>
      <w:bookmarkEnd w:id="100"/>
      <w:bookmarkEnd w:id="101"/>
    </w:p>
    <w:p w:rsidR="002648B0" w:rsidRPr="00392FFD" w:rsidRDefault="00125707" w:rsidP="00C37B29">
      <w:pPr>
        <w:pStyle w:val="InstructionsText2"/>
        <w:numPr>
          <w:ilvl w:val="0"/>
          <w:numId w:val="0"/>
        </w:numPr>
        <w:ind w:left="993"/>
      </w:pPr>
      <w:r>
        <w:t>20.</w:t>
      </w:r>
      <w:r>
        <w:tab/>
        <w:t>Az intézményeknek az 5.1. táblában a CRR 465–491. cikkében előírt átmeneti rendelkezéseknek a szavatolótőke-elemeket érintő alkalmazásáról kell adatot szo</w:t>
      </w:r>
      <w:r>
        <w:t>l</w:t>
      </w:r>
      <w:r>
        <w:t>gáltatniuk a CRR második része II. címében foglalt végleges rendelkezésekhez k</w:t>
      </w:r>
      <w:r>
        <w:t>é</w:t>
      </w:r>
      <w:r>
        <w:t xml:space="preserve">pest. </w:t>
      </w:r>
    </w:p>
    <w:p w:rsidR="00783881" w:rsidRPr="00392FFD" w:rsidRDefault="00125707" w:rsidP="00C37B29">
      <w:pPr>
        <w:pStyle w:val="InstructionsText2"/>
        <w:numPr>
          <w:ilvl w:val="0"/>
          <w:numId w:val="0"/>
        </w:numPr>
        <w:ind w:left="993"/>
      </w:pPr>
      <w:r>
        <w:t>21.</w:t>
      </w:r>
      <w:r>
        <w:tab/>
        <w:t>Az intézmények a 020–060. sorban az átmeneti rendelkezések értelmében a szerzett jogok alapján figyelembe vett instrumentumokrüól szolgáltatnak adatot. A CA 5.1. tábla 060. sorának 010–030. oszlopaiban feltüntetendő értékek, amelyek a CA 5.2. tábla megfelelő részeiből vezethetők le.</w:t>
      </w:r>
    </w:p>
    <w:p w:rsidR="00496C53" w:rsidRPr="00392FFD" w:rsidRDefault="00125707" w:rsidP="00C37B29">
      <w:pPr>
        <w:pStyle w:val="InstructionsText2"/>
        <w:numPr>
          <w:ilvl w:val="0"/>
          <w:numId w:val="0"/>
        </w:numPr>
        <w:ind w:left="993"/>
      </w:pPr>
      <w:r>
        <w:t>22.</w:t>
      </w:r>
      <w:r>
        <w:tab/>
        <w:t>Az intézmények a 070–092. sorban a kisebbségi részesedésekre, valamint a l</w:t>
      </w:r>
      <w:r>
        <w:t>e</w:t>
      </w:r>
      <w:r>
        <w:t>ányvállalatok által kibocsátott AT1 és T2 tőkeinstrumentumokra vonatkozó átm</w:t>
      </w:r>
      <w:r>
        <w:t>e</w:t>
      </w:r>
      <w:r>
        <w:t>neti rendelkezésekkel kapcsolatos adatokat szolgáltatnak a CRR 479. és 480. cikke szerint.</w:t>
      </w:r>
    </w:p>
    <w:p w:rsidR="00783881" w:rsidRPr="00392FFD" w:rsidRDefault="00125707" w:rsidP="00C37B29">
      <w:pPr>
        <w:pStyle w:val="InstructionsText2"/>
        <w:numPr>
          <w:ilvl w:val="0"/>
          <w:numId w:val="0"/>
        </w:numPr>
        <w:ind w:left="993"/>
      </w:pPr>
      <w:r>
        <w:t>23.</w:t>
      </w:r>
      <w:r>
        <w:tab/>
        <w:t>A 100. sortól kezdődően az intézmények a nem realizált nyereségre és veszt</w:t>
      </w:r>
      <w:r>
        <w:t>e</w:t>
      </w:r>
      <w:r>
        <w:t>ségre, a levonásokra, valamint a további szűrőkre és levonásokra vonatkozó átm</w:t>
      </w:r>
      <w:r>
        <w:t>e</w:t>
      </w:r>
      <w:r>
        <w:t>neti rendelkezésekkel összefüggésben szolgáltatnak adatot.</w:t>
      </w:r>
    </w:p>
    <w:p w:rsidR="005643EA" w:rsidRPr="00392FFD" w:rsidRDefault="00125707" w:rsidP="00C37B29">
      <w:pPr>
        <w:pStyle w:val="InstructionsText2"/>
        <w:numPr>
          <w:ilvl w:val="0"/>
          <w:numId w:val="0"/>
        </w:numPr>
        <w:ind w:left="993"/>
      </w:pPr>
      <w:r>
        <w:t>24.</w:t>
      </w:r>
      <w:r>
        <w:tab/>
        <w:t>Egyes esetekben a CET1 tőke, az AT1 tőke vagy a T2 tőke átmeneti levonásai meghaladják az adott intézmény CET1 tőkéjét, AT1 tőkéjét vagy T2 tőkéjét. Ezt a hatást – ha átmeneti rendelkezések eredménye – a CA1 tábla megfelelő celláiban kell kimutatni. Következésképpen a CA5 tábla oszlopaiban megadott kiigazítások nem foglalnak magukban áttételes hatásokat akkor, ha a rendelkezésre álló</w:t>
      </w:r>
      <w:r w:rsidR="006F13DE">
        <w:t xml:space="preserve"> tőke mennyisége nem elégséges.</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2" w:name="_Toc360188336"/>
      <w:bookmarkStart w:id="103" w:name="_Toc516210619"/>
      <w:bookmarkStart w:id="104" w:name="_Toc473560884"/>
      <w:bookmarkStart w:id="105" w:name="_Toc524014678"/>
      <w:r>
        <w:rPr>
          <w:rFonts w:ascii="Times New Roman" w:hAnsi="Times New Roman"/>
          <w:sz w:val="24"/>
          <w:u w:val="none"/>
        </w:rPr>
        <w:t>1.6.2.1.</w:t>
      </w:r>
      <w:r w:rsidRPr="006F13DE">
        <w:rPr>
          <w:u w:val="none"/>
        </w:rPr>
        <w:tab/>
      </w:r>
      <w:r>
        <w:rPr>
          <w:rFonts w:ascii="Times New Roman" w:hAnsi="Times New Roman"/>
          <w:sz w:val="24"/>
        </w:rPr>
        <w:t>A tábla egyes részeire vonatkozó útmutató</w:t>
      </w:r>
      <w:bookmarkEnd w:id="102"/>
      <w:bookmarkEnd w:id="103"/>
      <w:bookmarkEnd w:id="104"/>
      <w:bookmarkEnd w:id="105"/>
    </w:p>
    <w:p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rsidTr="00672D2A">
        <w:tc>
          <w:tcPr>
            <w:tcW w:w="8372" w:type="dxa"/>
            <w:gridSpan w:val="2"/>
            <w:shd w:val="clear" w:color="auto" w:fill="D9D9D9"/>
          </w:tcPr>
          <w:p w:rsidR="00783881" w:rsidRPr="00392FFD" w:rsidRDefault="002648B0" w:rsidP="00FD239F">
            <w:pPr>
              <w:pStyle w:val="InstructionsText"/>
            </w:pPr>
            <w:r>
              <w:t>Oszlopok</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 CET1 tőke kiigazításai</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Az AT1 tőke kiigazításai</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 T2 tőke kiigazításai</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 kockázattal súlyozott eszközértékekben figyelembe vett kiigazítások</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040-es oszlop tartalmazza azokat a megfelelő összegeket, amelyekkel a CRR 92. cikkének (3) bekezdése szerinti teljes kockázati kitettségértéket az átmeneti rendelkezések miatt kiigazítják. A feltüntetett összegeknél f</w:t>
            </w:r>
            <w:r>
              <w:rPr>
                <w:rStyle w:val="InstructionsTabelleText"/>
                <w:rFonts w:ascii="Times New Roman" w:hAnsi="Times New Roman"/>
                <w:sz w:val="24"/>
              </w:rPr>
              <w:t>i</w:t>
            </w:r>
            <w:r>
              <w:rPr>
                <w:rStyle w:val="InstructionsTabelleText"/>
                <w:rFonts w:ascii="Times New Roman" w:hAnsi="Times New Roman"/>
                <w:sz w:val="24"/>
              </w:rPr>
              <w:t>gyelembe kell venni a harmadik rész II. címének 2. vagy 3. fejezetében, vagy a harmadik rész IV. címében foglalt rendelkezések alkalmazását, a CRR 92. cikkének (4) bekezdésével összhangban. Ez azt jelenti, hogy a harmadik rész II. címének 2. vagy 3. fejezetében foglalt rendelkezések h</w:t>
            </w:r>
            <w:r>
              <w:rPr>
                <w:rStyle w:val="InstructionsTabelleText"/>
                <w:rFonts w:ascii="Times New Roman" w:hAnsi="Times New Roman"/>
                <w:sz w:val="24"/>
              </w:rPr>
              <w:t>a</w:t>
            </w:r>
            <w:r>
              <w:rPr>
                <w:rStyle w:val="InstructionsTabelleText"/>
                <w:rFonts w:ascii="Times New Roman" w:hAnsi="Times New Roman"/>
                <w:sz w:val="24"/>
              </w:rPr>
              <w:t xml:space="preserve">tálya alá tartozó átmeneti összegeket kockázattal súlyozott kitettségértékként kell feltüntetni, míg a harmadik rész IV. címének hatálya </w:t>
            </w:r>
            <w:r>
              <w:rPr>
                <w:rStyle w:val="InstructionsTabelleText"/>
                <w:rFonts w:ascii="Times New Roman" w:hAnsi="Times New Roman"/>
                <w:sz w:val="24"/>
              </w:rPr>
              <w:lastRenderedPageBreak/>
              <w:t>alá tartozó átmeneti összegek a 12,5-del megszorzott szavatolótőke-követelményt jelentik.</w:t>
            </w:r>
          </w:p>
          <w:p w:rsidR="005643EA" w:rsidRPr="00201704" w:rsidRDefault="00B4177D"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Míg a 010–030. oszlop közvetlenül kapcsolódik a CA1 táblához, a teljes kockázati kitettségérték kiigazításai nem kapcsolódnak közvetlenül a me</w:t>
            </w:r>
            <w:r>
              <w:rPr>
                <w:rStyle w:val="InstructionsTabelleText"/>
                <w:rFonts w:ascii="Times New Roman" w:hAnsi="Times New Roman"/>
                <w:sz w:val="24"/>
              </w:rPr>
              <w:t>g</w:t>
            </w:r>
            <w:r>
              <w:rPr>
                <w:rStyle w:val="InstructionsTabelleText"/>
                <w:rFonts w:ascii="Times New Roman" w:hAnsi="Times New Roman"/>
                <w:sz w:val="24"/>
              </w:rPr>
              <w:t>felelő hitelkockázati táblákhoz. A teljes kockázati kitettségértékre vona</w:t>
            </w:r>
            <w:r>
              <w:rPr>
                <w:rStyle w:val="InstructionsTabelleText"/>
                <w:rFonts w:ascii="Times New Roman" w:hAnsi="Times New Roman"/>
                <w:sz w:val="24"/>
              </w:rPr>
              <w:t>t</w:t>
            </w:r>
            <w:r>
              <w:rPr>
                <w:rStyle w:val="InstructionsTabelleText"/>
                <w:rFonts w:ascii="Times New Roman" w:hAnsi="Times New Roman"/>
                <w:sz w:val="24"/>
              </w:rPr>
              <w:t xml:space="preserve">kozó átmeneti rendelkezésekből eredő kiigazításokat – ha vannak ilyenek – közvetlenül a CR SA, CR IRB, CR EQU IRB, MKR SA TDI, MKR SA EQU illetve MKR IM tartalmazza. </w:t>
            </w:r>
            <w:proofErr w:type="gramStart"/>
            <w:r>
              <w:rPr>
                <w:rStyle w:val="InstructionsTabelleText"/>
                <w:rFonts w:ascii="Times New Roman" w:hAnsi="Times New Roman"/>
                <w:sz w:val="24"/>
              </w:rPr>
              <w:t>Ezenkívül</w:t>
            </w:r>
            <w:proofErr w:type="gramEnd"/>
            <w:r>
              <w:rPr>
                <w:rStyle w:val="InstructionsTabelleText"/>
                <w:rFonts w:ascii="Times New Roman" w:hAnsi="Times New Roman"/>
                <w:sz w:val="24"/>
              </w:rPr>
              <w:t xml:space="preserve"> e hatásokat a CA5.1 tábla 040. oszlopában is fel kell tüntetni. Ebből adódóan az ilyen értékek kizár</w:t>
            </w:r>
            <w:r>
              <w:rPr>
                <w:rStyle w:val="InstructionsTabelleText"/>
                <w:rFonts w:ascii="Times New Roman" w:hAnsi="Times New Roman"/>
                <w:sz w:val="24"/>
              </w:rPr>
              <w:t>ó</w:t>
            </w:r>
            <w:r>
              <w:rPr>
                <w:rStyle w:val="InstructionsTabelleText"/>
                <w:rFonts w:ascii="Times New Roman" w:hAnsi="Times New Roman"/>
                <w:sz w:val="24"/>
              </w:rPr>
              <w:t xml:space="preserve">lag tájékoztató adatok. </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Alkalmazandó százalékos arány</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Figyelembe vehető összeg az átmeneti rendelkezések nélkül</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060. oszlop az egyes instrumentumoknak az átmeneti rendelkezések a</w:t>
            </w:r>
            <w:r>
              <w:rPr>
                <w:rStyle w:val="InstructionsTabelleText"/>
                <w:rFonts w:ascii="Times New Roman" w:hAnsi="Times New Roman"/>
                <w:sz w:val="24"/>
              </w:rPr>
              <w:t>l</w:t>
            </w:r>
            <w:r>
              <w:rPr>
                <w:rStyle w:val="InstructionsTabelleText"/>
                <w:rFonts w:ascii="Times New Roman" w:hAnsi="Times New Roman"/>
                <w:sz w:val="24"/>
              </w:rPr>
              <w:t>kalmazása előtti értékét tartalmazza. Az itt megadott érték alapján számí</w:t>
            </w:r>
            <w:r>
              <w:rPr>
                <w:rStyle w:val="InstructionsTabelleText"/>
                <w:rFonts w:ascii="Times New Roman" w:hAnsi="Times New Roman"/>
                <w:sz w:val="24"/>
              </w:rPr>
              <w:t>t</w:t>
            </w:r>
            <w:r>
              <w:rPr>
                <w:rStyle w:val="InstructionsTabelleText"/>
                <w:rFonts w:ascii="Times New Roman" w:hAnsi="Times New Roman"/>
                <w:sz w:val="24"/>
              </w:rPr>
              <w:t>hatók a kiigazítások.</w:t>
            </w:r>
          </w:p>
        </w:tc>
      </w:tr>
    </w:tbl>
    <w:p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rsidTr="00672D2A">
        <w:tc>
          <w:tcPr>
            <w:tcW w:w="8490" w:type="dxa"/>
            <w:gridSpan w:val="2"/>
            <w:shd w:val="clear" w:color="auto" w:fill="D9D9D9"/>
          </w:tcPr>
          <w:p w:rsidR="002648B0" w:rsidRPr="00392FFD" w:rsidRDefault="002648B0" w:rsidP="00FD239F">
            <w:pPr>
              <w:pStyle w:val="InstructionsText"/>
            </w:pPr>
            <w:r>
              <w:t>Sorok</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201704" w:rsidRDefault="00C66473"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sidRPr="006F13DE">
              <w:rPr>
                <w:u w:val="single"/>
              </w:rPr>
              <w:tab/>
            </w:r>
            <w:r>
              <w:rPr>
                <w:rStyle w:val="InstructionsTabelleberschrift"/>
                <w:rFonts w:ascii="Times New Roman" w:hAnsi="Times New Roman"/>
                <w:sz w:val="24"/>
              </w:rPr>
              <w:t>Kiigazítások összesen</w:t>
            </w:r>
          </w:p>
          <w:p w:rsidR="002648B0" w:rsidRPr="00201704" w:rsidRDefault="002648B0" w:rsidP="007106FB">
            <w:pPr>
              <w:spacing w:before="0"/>
              <w:rPr>
                <w:rStyle w:val="FormatvorlageInstructionsTabelleText"/>
                <w:rFonts w:ascii="Times New Roman" w:hAnsi="Times New Roman"/>
                <w:bCs w:val="0"/>
                <w:sz w:val="24"/>
              </w:rPr>
            </w:pPr>
            <w:r>
              <w:rPr>
                <w:rStyle w:val="InstructionsTabelleText"/>
                <w:rFonts w:ascii="Times New Roman" w:hAnsi="Times New Roman"/>
                <w:sz w:val="24"/>
              </w:rPr>
              <w:t>Ez a sor az átmeneti kiigazítások általános hatását mutatja az egyes tőket</w:t>
            </w:r>
            <w:r>
              <w:rPr>
                <w:rStyle w:val="InstructionsTabelleText"/>
                <w:rFonts w:ascii="Times New Roman" w:hAnsi="Times New Roman"/>
                <w:sz w:val="24"/>
              </w:rPr>
              <w:t>í</w:t>
            </w:r>
            <w:r>
              <w:rPr>
                <w:rStyle w:val="InstructionsTabelleText"/>
                <w:rFonts w:ascii="Times New Roman" w:hAnsi="Times New Roman"/>
                <w:sz w:val="24"/>
              </w:rPr>
              <w:t>pusokon belül, valamint a megadott kiigazításokból eredő, kockázattal s</w:t>
            </w:r>
            <w:r>
              <w:rPr>
                <w:rStyle w:val="InstructionsTabelleText"/>
                <w:rFonts w:ascii="Times New Roman" w:hAnsi="Times New Roman"/>
                <w:sz w:val="24"/>
              </w:rPr>
              <w:t>ú</w:t>
            </w:r>
            <w:r>
              <w:rPr>
                <w:rStyle w:val="InstructionsTabelleText"/>
                <w:rFonts w:ascii="Times New Roman" w:hAnsi="Times New Roman"/>
                <w:sz w:val="24"/>
              </w:rPr>
              <w:t>lyozott összegeket.</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020 </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sidRPr="006F13DE">
              <w:rPr>
                <w:u w:val="single"/>
              </w:rPr>
              <w:tab/>
            </w:r>
            <w:r>
              <w:rPr>
                <w:rStyle w:val="InstructionsTabelleberschrift"/>
                <w:rFonts w:ascii="Times New Roman" w:hAnsi="Times New Roman"/>
                <w:sz w:val="24"/>
              </w:rPr>
              <w:t>Szerzett jogok alapján figyelembe vett tőkeinstrumentumok</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 CRR 483–491. cikke</w:t>
            </w:r>
          </w:p>
          <w:p w:rsidR="002648B0" w:rsidRPr="00392FFD"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Ez a sor az ideiglenesen a szerzett jogokkal kapcsolatos rendelkezések h</w:t>
            </w:r>
            <w:r>
              <w:rPr>
                <w:rStyle w:val="InstructionsTabelleText"/>
                <w:rFonts w:ascii="Times New Roman" w:hAnsi="Times New Roman"/>
                <w:sz w:val="24"/>
              </w:rPr>
              <w:t>a</w:t>
            </w:r>
            <w:r>
              <w:rPr>
                <w:rStyle w:val="InstructionsTabelleText"/>
                <w:rFonts w:ascii="Times New Roman" w:hAnsi="Times New Roman"/>
                <w:sz w:val="24"/>
              </w:rPr>
              <w:t>tálya alá tartozó instrumentumok általános hatását mutatja az egyes tőket</w:t>
            </w:r>
            <w:r>
              <w:rPr>
                <w:rStyle w:val="InstructionsTabelleText"/>
                <w:rFonts w:ascii="Times New Roman" w:hAnsi="Times New Roman"/>
                <w:sz w:val="24"/>
              </w:rPr>
              <w:t>í</w:t>
            </w:r>
            <w:r>
              <w:rPr>
                <w:rStyle w:val="InstructionsTabelleText"/>
                <w:rFonts w:ascii="Times New Roman" w:hAnsi="Times New Roman"/>
                <w:sz w:val="24"/>
              </w:rPr>
              <w:t>pusokon belül.</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w:t>
            </w:r>
            <w:r w:rsidRPr="006F13DE">
              <w:rPr>
                <w:u w:val="single"/>
              </w:rPr>
              <w:tab/>
            </w:r>
            <w:r>
              <w:rPr>
                <w:rStyle w:val="InstructionsTabelleberschrift"/>
                <w:rFonts w:ascii="Times New Roman" w:hAnsi="Times New Roman"/>
                <w:sz w:val="24"/>
              </w:rPr>
              <w:t>Szerzett jogok alapján figyelembe vett tőkeinstrumentumok: á</w:t>
            </w:r>
            <w:r>
              <w:rPr>
                <w:rStyle w:val="InstructionsTabelleberschrift"/>
                <w:rFonts w:ascii="Times New Roman" w:hAnsi="Times New Roman"/>
                <w:sz w:val="24"/>
              </w:rPr>
              <w:t>l</w:t>
            </w:r>
            <w:r>
              <w:rPr>
                <w:rStyle w:val="InstructionsTabelleberschrift"/>
                <w:rFonts w:ascii="Times New Roman" w:hAnsi="Times New Roman"/>
                <w:sz w:val="24"/>
              </w:rPr>
              <w:t>lami támogatásnak minősülő instrumentumok</w:t>
            </w:r>
          </w:p>
          <w:p w:rsidR="002648B0" w:rsidRPr="00392FFD" w:rsidRDefault="002648B0" w:rsidP="007106FB">
            <w:pPr>
              <w:spacing w:before="0"/>
              <w:rPr>
                <w:rStyle w:val="InstructionsTabelleberschrift"/>
                <w:rFonts w:ascii="Times New Roman" w:hAnsi="Times New Roman"/>
                <w:sz w:val="24"/>
              </w:rPr>
            </w:pPr>
            <w:r>
              <w:rPr>
                <w:rStyle w:val="InstructionsTabelleText"/>
                <w:rFonts w:ascii="Times New Roman" w:hAnsi="Times New Roman"/>
                <w:sz w:val="24"/>
              </w:rPr>
              <w:t>A CRR 483. cikke</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1.1.1.1.</w:t>
            </w:r>
            <w:r w:rsidRPr="006F13DE">
              <w:rPr>
                <w:u w:val="single"/>
              </w:rPr>
              <w:tab/>
            </w:r>
            <w:r>
              <w:rPr>
                <w:rStyle w:val="InstructionsTabelleberschrift"/>
                <w:rFonts w:ascii="Times New Roman" w:hAnsi="Times New Roman"/>
                <w:sz w:val="24"/>
              </w:rPr>
              <w:t>A 2006/48/EK irányelv értelmében szavatoló tőkének minősülő instrumentumok</w:t>
            </w:r>
          </w:p>
          <w:p w:rsidR="005643EA" w:rsidRPr="00201704" w:rsidRDefault="002648B0" w:rsidP="00FD239F">
            <w:pPr>
              <w:pStyle w:val="InstructionsText"/>
              <w:rPr>
                <w:bCs/>
              </w:rPr>
            </w:pPr>
            <w:r>
              <w:rPr>
                <w:rStyle w:val="InstructionsTabelleText"/>
                <w:rFonts w:ascii="Times New Roman" w:hAnsi="Times New Roman"/>
                <w:sz w:val="24"/>
              </w:rPr>
              <w:t>A CRR 483. cikkének (1), (2), (4) és (6) bekezdése</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1.1.1.2.</w:t>
            </w:r>
            <w:r w:rsidRPr="006F13DE">
              <w:rPr>
                <w:u w:val="single"/>
              </w:rPr>
              <w:tab/>
            </w:r>
            <w:r>
              <w:rPr>
                <w:rStyle w:val="InstructionsTabelleberschrift"/>
                <w:rFonts w:ascii="Times New Roman" w:hAnsi="Times New Roman"/>
                <w:sz w:val="24"/>
              </w:rPr>
              <w:t>Gazdasági kiigazítási programban részt vevő EU-tagállamban bejegyzett intézmények által a program keretében kib</w:t>
            </w:r>
            <w:r>
              <w:rPr>
                <w:rStyle w:val="InstructionsTabelleberschrift"/>
                <w:rFonts w:ascii="Times New Roman" w:hAnsi="Times New Roman"/>
                <w:sz w:val="24"/>
              </w:rPr>
              <w:t>o</w:t>
            </w:r>
            <w:r>
              <w:rPr>
                <w:rStyle w:val="InstructionsTabelleberschrift"/>
                <w:rFonts w:ascii="Times New Roman" w:hAnsi="Times New Roman"/>
                <w:sz w:val="24"/>
              </w:rPr>
              <w:t>csátott instrumentumok</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A CRR 483. cikkének (1), (3), (5), (7) és (8) bekezdése</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201704"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sidRPr="006F13DE">
              <w:rPr>
                <w:u w:val="single"/>
              </w:rPr>
              <w:tab/>
            </w:r>
            <w:r>
              <w:rPr>
                <w:rStyle w:val="InstructionsTabelleberschrift"/>
                <w:rFonts w:ascii="Times New Roman" w:hAnsi="Times New Roman"/>
                <w:sz w:val="24"/>
              </w:rPr>
              <w:t>Állami támogatásnak nem minősülő instrumentumok</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A feltüntetendő értékeket a CA5.2. tábla 060-as sorából kell átvezetni.</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sidRPr="006F13DE">
              <w:rPr>
                <w:u w:val="single"/>
              </w:rPr>
              <w:tab/>
            </w:r>
            <w:r>
              <w:rPr>
                <w:rStyle w:val="InstructionsTabelleberschrift"/>
                <w:rFonts w:ascii="Times New Roman" w:hAnsi="Times New Roman"/>
                <w:sz w:val="24"/>
              </w:rPr>
              <w:t>Kisebbségi részesedések és azok megfelelői</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 CRR 479. és 480. cikke</w:t>
            </w:r>
          </w:p>
          <w:p w:rsidR="002648B0" w:rsidRPr="00392FFD" w:rsidRDefault="00FC1030" w:rsidP="007106FB">
            <w:pPr>
              <w:spacing w:before="0"/>
              <w:rPr>
                <w:rStyle w:val="InstructionsTabelleText"/>
                <w:rFonts w:ascii="Times New Roman" w:hAnsi="Times New Roman"/>
                <w:sz w:val="24"/>
              </w:rPr>
            </w:pPr>
            <w:r>
              <w:rPr>
                <w:rStyle w:val="InstructionsTabelleText"/>
                <w:rFonts w:ascii="Times New Roman" w:hAnsi="Times New Roman"/>
                <w:sz w:val="24"/>
              </w:rPr>
              <w:lastRenderedPageBreak/>
              <w:t>Ez a sor az átmeneti rendelkezések hatásait mutatja a CET1 tőkeként figy</w:t>
            </w:r>
            <w:r>
              <w:rPr>
                <w:rStyle w:val="InstructionsTabelleText"/>
                <w:rFonts w:ascii="Times New Roman" w:hAnsi="Times New Roman"/>
                <w:sz w:val="24"/>
              </w:rPr>
              <w:t>e</w:t>
            </w:r>
            <w:r>
              <w:rPr>
                <w:rStyle w:val="InstructionsTabelleText"/>
                <w:rFonts w:ascii="Times New Roman" w:hAnsi="Times New Roman"/>
                <w:sz w:val="24"/>
              </w:rPr>
              <w:t>lembe vehető kisebbségi részesedésekben; a konszolidált AT1 tőke részét képező, a T1 tőkébe beszámítható instrumentumokban; valamint a konsz</w:t>
            </w:r>
            <w:r>
              <w:rPr>
                <w:rStyle w:val="InstructionsTabelleText"/>
                <w:rFonts w:ascii="Times New Roman" w:hAnsi="Times New Roman"/>
                <w:sz w:val="24"/>
              </w:rPr>
              <w:t>o</w:t>
            </w:r>
            <w:r>
              <w:rPr>
                <w:rStyle w:val="InstructionsTabelleText"/>
                <w:rFonts w:ascii="Times New Roman" w:hAnsi="Times New Roman"/>
                <w:sz w:val="24"/>
              </w:rPr>
              <w:t>lidált T2 tőkeként figyelembe vehető, a szavatoló tőkébe beszámítható t</w:t>
            </w:r>
            <w:r>
              <w:rPr>
                <w:rStyle w:val="InstructionsTabelleText"/>
                <w:rFonts w:ascii="Times New Roman" w:hAnsi="Times New Roman"/>
                <w:sz w:val="24"/>
              </w:rPr>
              <w:t>ő</w:t>
            </w:r>
            <w:r>
              <w:rPr>
                <w:rStyle w:val="InstructionsTabelleText"/>
                <w:rFonts w:ascii="Times New Roman" w:hAnsi="Times New Roman"/>
                <w:sz w:val="24"/>
              </w:rPr>
              <w:t>keelemekben.</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080</w:t>
            </w:r>
          </w:p>
        </w:tc>
        <w:tc>
          <w:tcPr>
            <w:tcW w:w="7478"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Pr="006F13DE">
              <w:rPr>
                <w:u w:val="single"/>
              </w:rPr>
              <w:tab/>
            </w:r>
            <w:r>
              <w:rPr>
                <w:rStyle w:val="InstructionsTabelleberschrift"/>
                <w:rFonts w:ascii="Times New Roman" w:hAnsi="Times New Roman"/>
                <w:sz w:val="24"/>
              </w:rPr>
              <w:t>Kisebbségi részesedésnek nem minősülő tőkeinstrumentumok és egyéb tőkeelemek</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 CRR 479. cikke</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 sor 060-as oszlopában feltüntetendő érték a korábbi szabályozás szerint konszolidált tartaléknak minősülő összeg. </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sidRPr="006F13DE">
              <w:rPr>
                <w:u w:val="single"/>
              </w:rPr>
              <w:tab/>
            </w:r>
            <w:r>
              <w:rPr>
                <w:rStyle w:val="InstructionsTabelleberschrift"/>
                <w:rFonts w:ascii="Times New Roman" w:hAnsi="Times New Roman"/>
                <w:sz w:val="24"/>
              </w:rPr>
              <w:t>A kisebbségi részesedések átmeneti figyelembevétele a konsz</w:t>
            </w:r>
            <w:r>
              <w:rPr>
                <w:rStyle w:val="InstructionsTabelleberschrift"/>
                <w:rFonts w:ascii="Times New Roman" w:hAnsi="Times New Roman"/>
                <w:sz w:val="24"/>
              </w:rPr>
              <w:t>o</w:t>
            </w:r>
            <w:r>
              <w:rPr>
                <w:rStyle w:val="InstructionsTabelleberschrift"/>
                <w:rFonts w:ascii="Times New Roman" w:hAnsi="Times New Roman"/>
                <w:sz w:val="24"/>
              </w:rPr>
              <w:t>lidált szavatoló tőkében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84. és 480. cikke</w:t>
            </w:r>
          </w:p>
          <w:p w:rsidR="005643EA" w:rsidRPr="00201704" w:rsidRDefault="002648B0"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 sor 060-as oszlopában feltüntetendő érték a figyelembe vehető összeg az átmeneti rendelkezések nélkül.</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091</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sidRPr="006F13DE">
              <w:rPr>
                <w:u w:val="single"/>
              </w:rPr>
              <w:tab/>
            </w:r>
            <w:r>
              <w:rPr>
                <w:rStyle w:val="InstructionsTabelleberschrift"/>
                <w:rFonts w:ascii="Times New Roman" w:hAnsi="Times New Roman"/>
                <w:sz w:val="24"/>
              </w:rPr>
              <w:t>Az AT1 tőkébe beszámítható elemek átmeneti figyelembevétele a konszolidált szavatoló tőkében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85. és 480. cikke</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060-as oszlopában feltüntetendő érték a figyelembe vehető összeg az átmeneti rendelkezések nélkül.</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092</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sidRPr="006F13DE">
              <w:rPr>
                <w:u w:val="single"/>
              </w:rPr>
              <w:tab/>
            </w:r>
            <w:r>
              <w:rPr>
                <w:rStyle w:val="InstructionsTabelleberschrift"/>
                <w:rFonts w:ascii="Times New Roman" w:hAnsi="Times New Roman"/>
                <w:sz w:val="24"/>
              </w:rPr>
              <w:t>A T2 tőkébe beszámítható elemek átmeneti figyelembevétele a konszolidált szavatoló tőkében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87. és 480. cikke</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060-as oszlopában feltüntetendő érték a figyelembe vehető összeg az átmeneti rendelkezések nélkül.</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sidRPr="006F13DE">
              <w:rPr>
                <w:u w:val="single"/>
              </w:rPr>
              <w:tab/>
            </w:r>
            <w:r>
              <w:rPr>
                <w:rStyle w:val="InstructionsTabelleberschrift"/>
                <w:rFonts w:ascii="Times New Roman" w:hAnsi="Times New Roman"/>
                <w:sz w:val="24"/>
              </w:rPr>
              <w:t>Egyéb átmeneti kiigazítások</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 CRR 467–478</w:t>
            </w:r>
            <w:proofErr w:type="gramStart"/>
            <w:r>
              <w:rPr>
                <w:rStyle w:val="InstructionsTabelleText"/>
                <w:rFonts w:ascii="Times New Roman" w:hAnsi="Times New Roman"/>
                <w:sz w:val="24"/>
              </w:rPr>
              <w:t>.,</w:t>
            </w:r>
            <w:proofErr w:type="gramEnd"/>
            <w:r>
              <w:rPr>
                <w:rStyle w:val="InstructionsTabelleText"/>
                <w:rFonts w:ascii="Times New Roman" w:hAnsi="Times New Roman"/>
                <w:sz w:val="24"/>
              </w:rPr>
              <w:t xml:space="preserve"> valamint 481. cikke</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Ez a sor az átmeneti kiigazítások általános hatását mutatja az egyes tőket</w:t>
            </w:r>
            <w:r>
              <w:rPr>
                <w:rStyle w:val="InstructionsTabelleText"/>
                <w:rFonts w:ascii="Times New Roman" w:hAnsi="Times New Roman"/>
                <w:sz w:val="24"/>
              </w:rPr>
              <w:t>í</w:t>
            </w:r>
            <w:r>
              <w:rPr>
                <w:rStyle w:val="InstructionsTabelleText"/>
                <w:rFonts w:ascii="Times New Roman" w:hAnsi="Times New Roman"/>
                <w:sz w:val="24"/>
              </w:rPr>
              <w:t>pusokon belüli levonásokban, a nem realizált nyereségben és veszteségben, valamint a további szűrőkben és levonásokban, továbbá a megadott kiig</w:t>
            </w:r>
            <w:r>
              <w:rPr>
                <w:rStyle w:val="InstructionsTabelleText"/>
                <w:rFonts w:ascii="Times New Roman" w:hAnsi="Times New Roman"/>
                <w:sz w:val="24"/>
              </w:rPr>
              <w:t>a</w:t>
            </w:r>
            <w:r>
              <w:rPr>
                <w:rStyle w:val="InstructionsTabelleText"/>
                <w:rFonts w:ascii="Times New Roman" w:hAnsi="Times New Roman"/>
                <w:sz w:val="24"/>
              </w:rPr>
              <w:t>zításokból eredő, kockázattal súlyozott összegeket.</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1.3.1.</w:t>
            </w:r>
            <w:r w:rsidRPr="006F13DE">
              <w:rPr>
                <w:u w:val="single"/>
              </w:rPr>
              <w:tab/>
            </w:r>
            <w:r>
              <w:rPr>
                <w:rStyle w:val="InstructionsTabelleberschrift"/>
                <w:rFonts w:ascii="Times New Roman" w:hAnsi="Times New Roman"/>
                <w:sz w:val="24"/>
              </w:rPr>
              <w:t>Nem realizált nyereség és veszteség</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 CRR 467. és 468. cikke</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Ez a sor a valós értéken értékelt nem realizált nyereségre és veszteségre vonatkozó átmeneti rendelkezések általános hatását mutatja.</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rsidRPr="006F13DE">
              <w:rPr>
                <w:u w:val="single"/>
              </w:rPr>
              <w:tab/>
            </w:r>
            <w:r>
              <w:rPr>
                <w:rStyle w:val="InstructionsTabelleberschrift"/>
                <w:rFonts w:ascii="Times New Roman" w:hAnsi="Times New Roman"/>
                <w:sz w:val="24"/>
              </w:rPr>
              <w:t>Nem realizált nyereség</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468. cikkének (1) bekezdése</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1.3.1.2.</w:t>
            </w:r>
            <w:r w:rsidRPr="006F13DE">
              <w:rPr>
                <w:u w:val="single"/>
              </w:rPr>
              <w:tab/>
            </w:r>
            <w:r>
              <w:rPr>
                <w:rStyle w:val="InstructionsTabelleberschrift"/>
                <w:rFonts w:ascii="Times New Roman" w:hAnsi="Times New Roman"/>
                <w:sz w:val="24"/>
              </w:rPr>
              <w:t>Nem realizált veszteség</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467. cikkének (1) bekezdése</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133</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Pr="006F13DE">
              <w:rPr>
                <w:u w:val="single"/>
              </w:rPr>
              <w:tab/>
            </w:r>
            <w:r>
              <w:rPr>
                <w:rStyle w:val="InstructionsTabelleberschrift"/>
                <w:rFonts w:ascii="Times New Roman" w:hAnsi="Times New Roman"/>
                <w:sz w:val="24"/>
              </w:rPr>
              <w:t>Az EU által jóváhagyott IAS 39 szerint az „értékesíth</w:t>
            </w:r>
            <w:r>
              <w:rPr>
                <w:rStyle w:val="InstructionsTabelleberschrift"/>
                <w:rFonts w:ascii="Times New Roman" w:hAnsi="Times New Roman"/>
                <w:sz w:val="24"/>
              </w:rPr>
              <w:t>e</w:t>
            </w:r>
            <w:r>
              <w:rPr>
                <w:rStyle w:val="InstructionsTabelleberschrift"/>
                <w:rFonts w:ascii="Times New Roman" w:hAnsi="Times New Roman"/>
                <w:sz w:val="24"/>
              </w:rPr>
              <w:t>tő” kategóriába sorolt, központi kormányzattal szembeni kitettségek nem realizált nyeresége</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468. cikke</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136</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1.3.1.4.</w:t>
            </w:r>
            <w:r w:rsidRPr="006F13DE">
              <w:rPr>
                <w:u w:val="single"/>
              </w:rPr>
              <w:tab/>
            </w:r>
            <w:r>
              <w:rPr>
                <w:rStyle w:val="InstructionsTabelleberschrift"/>
                <w:rFonts w:ascii="Times New Roman" w:hAnsi="Times New Roman"/>
                <w:sz w:val="24"/>
              </w:rPr>
              <w:t>A központi kormányzatokkal szembeni, az EU által j</w:t>
            </w:r>
            <w:r>
              <w:rPr>
                <w:rStyle w:val="InstructionsTabelleberschrift"/>
                <w:rFonts w:ascii="Times New Roman" w:hAnsi="Times New Roman"/>
                <w:sz w:val="24"/>
              </w:rPr>
              <w:t>ó</w:t>
            </w:r>
            <w:r>
              <w:rPr>
                <w:rStyle w:val="InstructionsTabelleberschrift"/>
                <w:rFonts w:ascii="Times New Roman" w:hAnsi="Times New Roman"/>
                <w:sz w:val="24"/>
              </w:rPr>
              <w:t>váhagyott IAS 39 szerint „értékesíthető” kategóriába sorolt kitettségek nem realizált vesztesége</w:t>
            </w:r>
          </w:p>
          <w:p w:rsidR="00E06628"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467. cikke</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138</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1.3.1.5.</w:t>
            </w:r>
            <w:r w:rsidRPr="006F13DE">
              <w:rPr>
                <w:u w:val="single"/>
              </w:rPr>
              <w:tab/>
            </w:r>
            <w:r>
              <w:rPr>
                <w:rStyle w:val="InstructionsTabelleberschrift"/>
                <w:rFonts w:ascii="Times New Roman" w:hAnsi="Times New Roman"/>
                <w:sz w:val="24"/>
              </w:rPr>
              <w:t>Származtatott ügyletekből eredő kötelezettségekhez ka</w:t>
            </w:r>
            <w:r>
              <w:rPr>
                <w:rStyle w:val="InstructionsTabelleberschrift"/>
                <w:rFonts w:ascii="Times New Roman" w:hAnsi="Times New Roman"/>
                <w:sz w:val="24"/>
              </w:rPr>
              <w:t>p</w:t>
            </w:r>
            <w:r>
              <w:rPr>
                <w:rStyle w:val="InstructionsTabelleberschrift"/>
                <w:rFonts w:ascii="Times New Roman" w:hAnsi="Times New Roman"/>
                <w:sz w:val="24"/>
              </w:rPr>
              <w:t>csolódó, az intézmény saját hitelkockázatából adódó valósérték-növekedés és -csökkenés</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468. cikke</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sidRPr="006F13DE">
              <w:rPr>
                <w:u w:val="single"/>
              </w:rPr>
              <w:tab/>
            </w:r>
            <w:r>
              <w:rPr>
                <w:rStyle w:val="InstructionsTabelleberschrift"/>
                <w:rFonts w:ascii="Times New Roman" w:hAnsi="Times New Roman"/>
                <w:sz w:val="24"/>
              </w:rPr>
              <w:t>Levonások</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 CRR 36. cikkének (1) bekezdése, valamint 469–478. cikke</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Ez a sor a levonásokra vonatkozó átmeneti rendelkezések általános hatását mutatja.</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1.3.2.1.</w:t>
            </w:r>
            <w:r w:rsidRPr="006F13DE">
              <w:rPr>
                <w:u w:val="single"/>
              </w:rPr>
              <w:tab/>
            </w:r>
            <w:r>
              <w:rPr>
                <w:rStyle w:val="InstructionsTabelleberschrift"/>
                <w:rFonts w:ascii="Times New Roman" w:hAnsi="Times New Roman"/>
                <w:sz w:val="24"/>
              </w:rPr>
              <w:t>Folyó üzleti év veszteségei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 CRR 36. cikke (1) bekezdésének a) pontja, 469. cikkének (1) bekezdése, 472. cikkének (3) bekezdése, valamint 478. cikke</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 sor 060-as oszlopában feltüntetendő érték a CRR 36. cikke (1) bekezd</w:t>
            </w:r>
            <w:r>
              <w:rPr>
                <w:rStyle w:val="InstructionsTabelleText"/>
                <w:rFonts w:ascii="Times New Roman" w:hAnsi="Times New Roman"/>
                <w:sz w:val="24"/>
              </w:rPr>
              <w:t>é</w:t>
            </w:r>
            <w:r>
              <w:rPr>
                <w:rStyle w:val="InstructionsTabelleText"/>
                <w:rFonts w:ascii="Times New Roman" w:hAnsi="Times New Roman"/>
                <w:sz w:val="24"/>
              </w:rPr>
              <w:t>sének a) pontja szerinti eredeti levonás.</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Akkor, ha a vállalkozásoknak csak a jelentős veszteségeket kell levonniuk:</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 ha a teljes nettó évközi </w:t>
            </w:r>
            <w:proofErr w:type="gramStart"/>
            <w:r>
              <w:rPr>
                <w:rStyle w:val="InstructionsTabelleText"/>
                <w:rFonts w:ascii="Times New Roman" w:hAnsi="Times New Roman"/>
                <w:sz w:val="24"/>
              </w:rPr>
              <w:t>veszteség jelentős</w:t>
            </w:r>
            <w:proofErr w:type="gramEnd"/>
            <w:r>
              <w:rPr>
                <w:rStyle w:val="InstructionsTabelleText"/>
                <w:rFonts w:ascii="Times New Roman" w:hAnsi="Times New Roman"/>
                <w:sz w:val="24"/>
              </w:rPr>
              <w:t>, akkor a teljes maradványö</w:t>
            </w:r>
            <w:r>
              <w:rPr>
                <w:rStyle w:val="InstructionsTabelleText"/>
                <w:rFonts w:ascii="Times New Roman" w:hAnsi="Times New Roman"/>
                <w:sz w:val="24"/>
              </w:rPr>
              <w:t>s</w:t>
            </w:r>
            <w:r>
              <w:rPr>
                <w:rStyle w:val="InstructionsTabelleText"/>
                <w:rFonts w:ascii="Times New Roman" w:hAnsi="Times New Roman"/>
                <w:sz w:val="24"/>
              </w:rPr>
              <w:t>szeget a T1 tőkéből kell levonni; vagy</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ha a teljes nettó évközi veszteség nem jelentős, akkor maradványösszeg levonására nem kerül sor.</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1.3.2.2.</w:t>
            </w:r>
            <w:r w:rsidRPr="006F13DE">
              <w:rPr>
                <w:u w:val="single"/>
              </w:rPr>
              <w:tab/>
            </w:r>
            <w:r>
              <w:rPr>
                <w:rStyle w:val="InstructionsTabelleberschrift"/>
                <w:rFonts w:ascii="Times New Roman" w:hAnsi="Times New Roman"/>
                <w:sz w:val="24"/>
              </w:rPr>
              <w:t>Immateriális javak</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36. cikke (1) bekezdésének b) pontja, 469. cikkének (1) bekezdése, 472. cikkének (4) bekezdése, valamint 478. cikke</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Az immateriális javak levonandó összegének meghatározásakor az inté</w:t>
            </w:r>
            <w:r>
              <w:rPr>
                <w:rStyle w:val="InstructionsTabelleText"/>
                <w:rFonts w:ascii="Times New Roman" w:hAnsi="Times New Roman"/>
                <w:sz w:val="24"/>
              </w:rPr>
              <w:t>z</w:t>
            </w:r>
            <w:r>
              <w:rPr>
                <w:rStyle w:val="InstructionsTabelleText"/>
                <w:rFonts w:ascii="Times New Roman" w:hAnsi="Times New Roman"/>
                <w:sz w:val="24"/>
              </w:rPr>
              <w:t>ményeknek figyelembe kell venniük a CRR 37. cikkének rendelkezéseit.</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060-as oszlopában feltüntetendő érték a CRR 36. cikke (1) bekezd</w:t>
            </w:r>
            <w:r>
              <w:rPr>
                <w:rStyle w:val="InstructionsTabelleText"/>
                <w:rFonts w:ascii="Times New Roman" w:hAnsi="Times New Roman"/>
                <w:sz w:val="24"/>
              </w:rPr>
              <w:t>é</w:t>
            </w:r>
            <w:r>
              <w:rPr>
                <w:rStyle w:val="InstructionsTabelleText"/>
                <w:rFonts w:ascii="Times New Roman" w:hAnsi="Times New Roman"/>
                <w:sz w:val="24"/>
              </w:rPr>
              <w:t>sének b) pontja szerinti eredeti levonás.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170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sidRPr="006F13DE">
              <w:rPr>
                <w:u w:val="single"/>
              </w:rPr>
              <w:tab/>
            </w:r>
            <w:r>
              <w:rPr>
                <w:rStyle w:val="InstructionsTabelleberschrift"/>
                <w:rFonts w:ascii="Times New Roman" w:hAnsi="Times New Roman"/>
                <w:sz w:val="24"/>
              </w:rPr>
              <w:t>Jövőbeli nyereségtől függően érvényesíthető, nem átm</w:t>
            </w:r>
            <w:r>
              <w:rPr>
                <w:rStyle w:val="InstructionsTabelleberschrift"/>
                <w:rFonts w:ascii="Times New Roman" w:hAnsi="Times New Roman"/>
                <w:sz w:val="24"/>
              </w:rPr>
              <w:t>e</w:t>
            </w:r>
            <w:r>
              <w:rPr>
                <w:rStyle w:val="InstructionsTabelleberschrift"/>
                <w:rFonts w:ascii="Times New Roman" w:hAnsi="Times New Roman"/>
                <w:sz w:val="24"/>
              </w:rPr>
              <w:t>neti különbözetből eredő halasztott adókövetelések</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36. cikke (1) bekezdésének c) pontja, 469. cikkének (1) bekezdése, 472. cikkének (5) bekezdése, valamint 478. cikke</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halasztott adókövetelések levonandó összegének meghatározásakor az intézményeknek figyelembe kell venniük a CRR 38. cikkének azon rende</w:t>
            </w:r>
            <w:r>
              <w:rPr>
                <w:rStyle w:val="InstructionsTabelleText"/>
                <w:rFonts w:ascii="Times New Roman" w:hAnsi="Times New Roman"/>
                <w:sz w:val="24"/>
              </w:rPr>
              <w:t>l</w:t>
            </w:r>
            <w:r>
              <w:rPr>
                <w:rStyle w:val="InstructionsTabelleText"/>
                <w:rFonts w:ascii="Times New Roman" w:hAnsi="Times New Roman"/>
                <w:sz w:val="24"/>
              </w:rPr>
              <w:t>kezéseit, amelyek a halasztott adóköveteléseknek a halasztott adókötel</w:t>
            </w:r>
            <w:r>
              <w:rPr>
                <w:rStyle w:val="InstructionsTabelleText"/>
                <w:rFonts w:ascii="Times New Roman" w:hAnsi="Times New Roman"/>
                <w:sz w:val="24"/>
              </w:rPr>
              <w:t>e</w:t>
            </w:r>
            <w:r>
              <w:rPr>
                <w:rStyle w:val="InstructionsTabelleText"/>
                <w:rFonts w:ascii="Times New Roman" w:hAnsi="Times New Roman"/>
                <w:sz w:val="24"/>
              </w:rPr>
              <w:lastRenderedPageBreak/>
              <w:t>zettségekkel való csökkentésére vonatkoznak.</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CRR 469. cikkének (1) b</w:t>
            </w:r>
            <w:r>
              <w:rPr>
                <w:rStyle w:val="InstructionsTabelleText"/>
                <w:rFonts w:ascii="Times New Roman" w:hAnsi="Times New Roman"/>
                <w:sz w:val="24"/>
              </w:rPr>
              <w:t>e</w:t>
            </w:r>
            <w:r>
              <w:rPr>
                <w:rStyle w:val="InstructionsTabelleText"/>
                <w:rFonts w:ascii="Times New Roman" w:hAnsi="Times New Roman"/>
                <w:sz w:val="24"/>
              </w:rPr>
              <w:t>kezdése szerinti teljes érték.</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180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1.3.2.4.</w:t>
            </w:r>
            <w:r w:rsidRPr="006F13DE">
              <w:rPr>
                <w:u w:val="single"/>
              </w:rPr>
              <w:tab/>
            </w:r>
            <w:r>
              <w:rPr>
                <w:rStyle w:val="InstructionsTabelleberschrift"/>
                <w:rFonts w:ascii="Times New Roman" w:hAnsi="Times New Roman"/>
                <w:sz w:val="24"/>
              </w:rPr>
              <w:t>Értékvesztés és céltartalékhiány az IRB szerinti várható veszteséghez viszonyítva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36. cikke (1) bekezdésének d) pontja, 469. cikkének (1) bekezdése, 472. cikkének (6) bekezdése, valamint 478. cikke</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céltartalékoknak a várható veszteséghez viszonyítva IRB-módszerrel számított hiányaként levonandó összeg meghatározásakor az intézménye</w:t>
            </w:r>
            <w:r>
              <w:rPr>
                <w:rStyle w:val="InstructionsTabelleText"/>
                <w:rFonts w:ascii="Times New Roman" w:hAnsi="Times New Roman"/>
                <w:sz w:val="24"/>
              </w:rPr>
              <w:t>k</w:t>
            </w:r>
            <w:r>
              <w:rPr>
                <w:rStyle w:val="InstructionsTabelleText"/>
                <w:rFonts w:ascii="Times New Roman" w:hAnsi="Times New Roman"/>
                <w:sz w:val="24"/>
              </w:rPr>
              <w:t>nek figyelembe kell venniük a CRR 40. cikkének rendelkezéseit.</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CRR 36. cikke (1) bekezdés</w:t>
            </w:r>
            <w:r>
              <w:rPr>
                <w:rStyle w:val="InstructionsTabelleText"/>
                <w:rFonts w:ascii="Times New Roman" w:hAnsi="Times New Roman"/>
                <w:sz w:val="24"/>
              </w:rPr>
              <w:t>é</w:t>
            </w:r>
            <w:r>
              <w:rPr>
                <w:rStyle w:val="InstructionsTabelleText"/>
                <w:rFonts w:ascii="Times New Roman" w:hAnsi="Times New Roman"/>
                <w:sz w:val="24"/>
              </w:rPr>
              <w:t>nek d) pontja szerinti eredeti levonás.</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sidRPr="006F13DE">
              <w:rPr>
                <w:u w:val="single"/>
              </w:rPr>
              <w:tab/>
            </w:r>
            <w:r>
              <w:rPr>
                <w:rStyle w:val="InstructionsTabelleberschrift"/>
                <w:rFonts w:ascii="Times New Roman" w:hAnsi="Times New Roman"/>
                <w:sz w:val="24"/>
              </w:rPr>
              <w:t>Meghatározott szolgáltatást nyújtó nyugdíjalapban lévő eszközök</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33. cikke (1) bekezdésének e) pontja, 469. cikkének (1) bekezdése, 472. cikkének (7) bekezdése, valamint 473. és 478. cikke</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meghatározott szolgáltatást nyújtó nyugdíjalapban lévő eszközök lev</w:t>
            </w:r>
            <w:r>
              <w:rPr>
                <w:rStyle w:val="InstructionsTabelleText"/>
                <w:rFonts w:ascii="Times New Roman" w:hAnsi="Times New Roman"/>
                <w:sz w:val="24"/>
              </w:rPr>
              <w:t>o</w:t>
            </w:r>
            <w:r>
              <w:rPr>
                <w:rStyle w:val="InstructionsTabelleText"/>
                <w:rFonts w:ascii="Times New Roman" w:hAnsi="Times New Roman"/>
                <w:sz w:val="24"/>
              </w:rPr>
              <w:t>nandó összegének meghatározásakor az intézményeknek figyelembe kell venniük a CRR 41. cikkének rendelkezéseit.</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CRR 36. cikke (1) bekezdés</w:t>
            </w:r>
            <w:r>
              <w:rPr>
                <w:rStyle w:val="InstructionsTabelleText"/>
                <w:rFonts w:ascii="Times New Roman" w:hAnsi="Times New Roman"/>
                <w:sz w:val="24"/>
              </w:rPr>
              <w:t>é</w:t>
            </w:r>
            <w:r>
              <w:rPr>
                <w:rStyle w:val="InstructionsTabelleText"/>
                <w:rFonts w:ascii="Times New Roman" w:hAnsi="Times New Roman"/>
                <w:sz w:val="24"/>
              </w:rPr>
              <w:t>nek e) pontja szerinti eredeti levonás.</w:t>
            </w:r>
          </w:p>
        </w:tc>
      </w:tr>
      <w:tr w:rsidR="00B11D0D" w:rsidRPr="00392FFD" w:rsidTr="00672D2A">
        <w:tc>
          <w:tcPr>
            <w:tcW w:w="1012" w:type="dxa"/>
          </w:tcPr>
          <w:p w:rsidR="00B11D0D" w:rsidRPr="00392FFD" w:rsidRDefault="00B11D0D"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194</w:t>
            </w:r>
          </w:p>
        </w:tc>
        <w:tc>
          <w:tcPr>
            <w:tcW w:w="7478" w:type="dxa"/>
          </w:tcPr>
          <w:p w:rsidR="00B11D0D" w:rsidRPr="00392FFD" w:rsidRDefault="00B11D0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sidRPr="006F13DE">
              <w:rPr>
                <w:u w:val="single"/>
              </w:rPr>
              <w:tab/>
            </w:r>
            <w:r>
              <w:rPr>
                <w:rStyle w:val="InstructionsTabelleberschrift"/>
                <w:rFonts w:ascii="Times New Roman" w:hAnsi="Times New Roman"/>
                <w:sz w:val="24"/>
              </w:rPr>
              <w:t>ebből: az IAS 19 módosításainak bevezetése – pozitív t</w:t>
            </w:r>
            <w:r>
              <w:rPr>
                <w:rStyle w:val="InstructionsTabelleberschrift"/>
                <w:rFonts w:ascii="Times New Roman" w:hAnsi="Times New Roman"/>
                <w:sz w:val="24"/>
              </w:rPr>
              <w:t>é</w:t>
            </w:r>
            <w:r>
              <w:rPr>
                <w:rStyle w:val="InstructionsTabelleberschrift"/>
                <w:rFonts w:ascii="Times New Roman" w:hAnsi="Times New Roman"/>
                <w:sz w:val="24"/>
              </w:rPr>
              <w:t>tel</w:t>
            </w:r>
          </w:p>
          <w:p w:rsidR="00B11D0D"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 CRR 473. cikke</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198</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sidRPr="006F13DE">
              <w:rPr>
                <w:u w:val="single"/>
              </w:rPr>
              <w:tab/>
            </w:r>
            <w:r>
              <w:rPr>
                <w:rStyle w:val="InstructionsTabelleberschrift"/>
                <w:rFonts w:ascii="Times New Roman" w:hAnsi="Times New Roman"/>
                <w:sz w:val="24"/>
              </w:rPr>
              <w:t>ebből: az IAS 19 módosításainak bevezetése – negatív t</w:t>
            </w:r>
            <w:r>
              <w:rPr>
                <w:rStyle w:val="InstructionsTabelleberschrift"/>
                <w:rFonts w:ascii="Times New Roman" w:hAnsi="Times New Roman"/>
                <w:sz w:val="24"/>
              </w:rPr>
              <w:t>é</w:t>
            </w:r>
            <w:r>
              <w:rPr>
                <w:rStyle w:val="InstructionsTabelleberschrift"/>
                <w:rFonts w:ascii="Times New Roman" w:hAnsi="Times New Roman"/>
                <w:sz w:val="24"/>
              </w:rPr>
              <w:t>tel</w:t>
            </w:r>
          </w:p>
          <w:p w:rsidR="00A60195"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 CRR 473. cikke</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w:t>
            </w:r>
            <w:r w:rsidRPr="006F13DE">
              <w:rPr>
                <w:u w:val="single"/>
              </w:rPr>
              <w:tab/>
            </w:r>
            <w:r>
              <w:rPr>
                <w:rStyle w:val="InstructionsTabelleberschrift"/>
                <w:rFonts w:ascii="Times New Roman" w:hAnsi="Times New Roman"/>
                <w:sz w:val="24"/>
              </w:rPr>
              <w:t>Saját tőkeinstrumentumok</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36. cikke (1) bekezdésének f) pontja, 469. cikkének (1) bekezdése, 472. cikkének (8) bekezdése, valamint 478. cikke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CRR 36. cikke (1) bekezdés</w:t>
            </w:r>
            <w:r>
              <w:rPr>
                <w:rStyle w:val="InstructionsTabelleText"/>
                <w:rFonts w:ascii="Times New Roman" w:hAnsi="Times New Roman"/>
                <w:sz w:val="24"/>
              </w:rPr>
              <w:t>é</w:t>
            </w:r>
            <w:r>
              <w:rPr>
                <w:rStyle w:val="InstructionsTabelleText"/>
                <w:rFonts w:ascii="Times New Roman" w:hAnsi="Times New Roman"/>
                <w:sz w:val="24"/>
              </w:rPr>
              <w:t>nek f) pontja szerinti eredeti levonás.</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rsidRPr="006F13DE">
              <w:rPr>
                <w:u w:val="single"/>
              </w:rPr>
              <w:tab/>
            </w:r>
            <w:r>
              <w:rPr>
                <w:rStyle w:val="InstructionsTabelleberschrift"/>
                <w:rFonts w:ascii="Times New Roman" w:hAnsi="Times New Roman"/>
                <w:sz w:val="24"/>
              </w:rPr>
              <w:t>Saját CET1 tőkeinstrumentumok</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36. cikke (1) bekezdésének f) pontja, 469. cikkének (1) bekezdése, 472. cikkének (8) bekezdése, valamint 478. cikke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saját CET1 tőkeinstrumentumok levonandó összegének meghatározás</w:t>
            </w:r>
            <w:r>
              <w:rPr>
                <w:rStyle w:val="InstructionsTabelleText"/>
                <w:rFonts w:ascii="Times New Roman" w:hAnsi="Times New Roman"/>
                <w:sz w:val="24"/>
              </w:rPr>
              <w:t>a</w:t>
            </w:r>
            <w:r>
              <w:rPr>
                <w:rStyle w:val="InstructionsTabelleText"/>
                <w:rFonts w:ascii="Times New Roman" w:hAnsi="Times New Roman"/>
                <w:sz w:val="24"/>
              </w:rPr>
              <w:t>kor az intézményeknek figyelembe kell venniük a CRR 42. cikkének re</w:t>
            </w:r>
            <w:r>
              <w:rPr>
                <w:rStyle w:val="InstructionsTabelleText"/>
                <w:rFonts w:ascii="Times New Roman" w:hAnsi="Times New Roman"/>
                <w:sz w:val="24"/>
              </w:rPr>
              <w:t>n</w:t>
            </w:r>
            <w:r>
              <w:rPr>
                <w:rStyle w:val="InstructionsTabelleText"/>
                <w:rFonts w:ascii="Times New Roman" w:hAnsi="Times New Roman"/>
                <w:sz w:val="24"/>
              </w:rPr>
              <w:t>delkezéseit.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Mivel a maradványösszeg kezelése az eszköz jellegétől függően változik, az intézményeknek a saját CET1 tőkeinstrumentumokban meglévő rész</w:t>
            </w:r>
            <w:r>
              <w:rPr>
                <w:rStyle w:val="InstructionsTabelleText"/>
                <w:rFonts w:ascii="Times New Roman" w:hAnsi="Times New Roman"/>
                <w:sz w:val="24"/>
              </w:rPr>
              <w:t>e</w:t>
            </w:r>
            <w:r>
              <w:rPr>
                <w:rStyle w:val="InstructionsTabelleText"/>
                <w:rFonts w:ascii="Times New Roman" w:hAnsi="Times New Roman"/>
                <w:sz w:val="24"/>
              </w:rPr>
              <w:t>sedéseiket közvetlen és közvetett részesedésre kell bontaniuk.</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A sor 060. oszlopában feltüntetendő érték: a CRR 36. cikke (1) bekezdés</w:t>
            </w:r>
            <w:r>
              <w:rPr>
                <w:rStyle w:val="InstructionsTabelleText"/>
                <w:rFonts w:ascii="Times New Roman" w:hAnsi="Times New Roman"/>
                <w:sz w:val="24"/>
              </w:rPr>
              <w:t>é</w:t>
            </w:r>
            <w:r>
              <w:rPr>
                <w:rStyle w:val="InstructionsTabelleText"/>
                <w:rFonts w:ascii="Times New Roman" w:hAnsi="Times New Roman"/>
                <w:sz w:val="24"/>
              </w:rPr>
              <w:t>nek f) pontja szerinti eredeti levonás.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211</w:t>
            </w:r>
          </w:p>
        </w:tc>
        <w:tc>
          <w:tcPr>
            <w:tcW w:w="7478" w:type="dxa"/>
          </w:tcPr>
          <w:p w:rsidR="00213E0E" w:rsidRPr="00201704" w:rsidRDefault="008A1A1E"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1.3.2.6.1**</w:t>
            </w:r>
            <w:r w:rsidRPr="006F13DE">
              <w:rPr>
                <w:u w:val="single"/>
              </w:rPr>
              <w:tab/>
            </w:r>
            <w:r>
              <w:rPr>
                <w:rStyle w:val="InstructionsTabelleberschrift"/>
                <w:rFonts w:ascii="Times New Roman" w:hAnsi="Times New Roman"/>
                <w:sz w:val="24"/>
              </w:rPr>
              <w:t>ebből: közvetlen részesedések</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469. cikke (1) bekezdésének b) pontja, 472. cikke (8) bekezdés</w:t>
            </w:r>
            <w:r>
              <w:rPr>
                <w:rStyle w:val="InstructionsTabelleText"/>
                <w:rFonts w:ascii="Times New Roman" w:hAnsi="Times New Roman"/>
                <w:sz w:val="24"/>
              </w:rPr>
              <w:t>é</w:t>
            </w:r>
            <w:r>
              <w:rPr>
                <w:rStyle w:val="InstructionsTabelleText"/>
                <w:rFonts w:ascii="Times New Roman" w:hAnsi="Times New Roman"/>
                <w:sz w:val="24"/>
              </w:rPr>
              <w:t>nek a) pontja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közvetlen részesedések teljes összege, ideértve az olyan instrumentumokat, amelyeket az intézmény h</w:t>
            </w:r>
            <w:r>
              <w:rPr>
                <w:rStyle w:val="InstructionsTabelleText"/>
                <w:rFonts w:ascii="Times New Roman" w:hAnsi="Times New Roman"/>
                <w:sz w:val="24"/>
              </w:rPr>
              <w:t>a</w:t>
            </w:r>
            <w:r>
              <w:rPr>
                <w:rStyle w:val="InstructionsTabelleText"/>
                <w:rFonts w:ascii="Times New Roman" w:hAnsi="Times New Roman"/>
                <w:sz w:val="24"/>
              </w:rPr>
              <w:t xml:space="preserve">tályos vagy függő szerződéses kötelezettségekből eredően köteles lehet megvásárolni. </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rsidRPr="006F13DE">
              <w:rPr>
                <w:u w:val="single"/>
              </w:rPr>
              <w:tab/>
            </w:r>
            <w:r>
              <w:rPr>
                <w:rStyle w:val="InstructionsTabelleberschrift"/>
                <w:rFonts w:ascii="Times New Roman" w:hAnsi="Times New Roman"/>
                <w:sz w:val="24"/>
              </w:rPr>
              <w:t>ebből: közvetett részesedések</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469. cikke (1) bekezdésének b) pontja, 472. cikke (8) bekezdés</w:t>
            </w:r>
            <w:r>
              <w:rPr>
                <w:rStyle w:val="InstructionsTabelleText"/>
                <w:rFonts w:ascii="Times New Roman" w:hAnsi="Times New Roman"/>
                <w:sz w:val="24"/>
              </w:rPr>
              <w:t>é</w:t>
            </w:r>
            <w:r>
              <w:rPr>
                <w:rStyle w:val="InstructionsTabelleText"/>
                <w:rFonts w:ascii="Times New Roman" w:hAnsi="Times New Roman"/>
                <w:sz w:val="24"/>
              </w:rPr>
              <w:t>nek b) pontja</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 sor 060. oszlopában feltüntetendő érték: a közvetett részesedések teljes összege, ideértve az olyan instrumentumokat, amelyeket az intézmény h</w:t>
            </w:r>
            <w:r>
              <w:rPr>
                <w:rStyle w:val="InstructionsTabelleText"/>
                <w:rFonts w:ascii="Times New Roman" w:hAnsi="Times New Roman"/>
                <w:sz w:val="24"/>
              </w:rPr>
              <w:t>a</w:t>
            </w:r>
            <w:r>
              <w:rPr>
                <w:rStyle w:val="InstructionsTabelleText"/>
                <w:rFonts w:ascii="Times New Roman" w:hAnsi="Times New Roman"/>
                <w:sz w:val="24"/>
              </w:rPr>
              <w:t>tályos vagy függő szerződéses kötelezettségekből eredően köteles lehet megvásárolni.</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Pr="006F13DE">
              <w:rPr>
                <w:u w:val="single"/>
              </w:rPr>
              <w:tab/>
            </w:r>
            <w:r>
              <w:rPr>
                <w:rStyle w:val="InstructionsTabelleberschrift"/>
                <w:rFonts w:ascii="Times New Roman" w:hAnsi="Times New Roman"/>
                <w:sz w:val="24"/>
              </w:rPr>
              <w:t>Saját AT1 tőkeinstrumentumok</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56. cikkének a) pontja, 474. cikke, 475. cikkének (2) bekezdése, valamint 478. cikke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fenti részesedések levonandó összegének meghatározásakor az intézm</w:t>
            </w:r>
            <w:r>
              <w:rPr>
                <w:rStyle w:val="InstructionsTabelleText"/>
                <w:rFonts w:ascii="Times New Roman" w:hAnsi="Times New Roman"/>
                <w:sz w:val="24"/>
              </w:rPr>
              <w:t>é</w:t>
            </w:r>
            <w:r>
              <w:rPr>
                <w:rStyle w:val="InstructionsTabelleText"/>
                <w:rFonts w:ascii="Times New Roman" w:hAnsi="Times New Roman"/>
                <w:sz w:val="24"/>
              </w:rPr>
              <w:t>nyeknek figyelembe kell venniük a CRR 57. cikkének rendelkezéseit.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Mivel a maradványösszeg kezelése az eszköz jellegétől függően változik (CRR 475. cikk, (2) bekezdés), az intézményeknek az említett részesedés</w:t>
            </w:r>
            <w:r>
              <w:rPr>
                <w:rStyle w:val="InstructionsTabelleText"/>
                <w:rFonts w:ascii="Times New Roman" w:hAnsi="Times New Roman"/>
                <w:sz w:val="24"/>
              </w:rPr>
              <w:t>e</w:t>
            </w:r>
            <w:r>
              <w:rPr>
                <w:rStyle w:val="InstructionsTabelleText"/>
                <w:rFonts w:ascii="Times New Roman" w:hAnsi="Times New Roman"/>
                <w:sz w:val="24"/>
              </w:rPr>
              <w:t>iket a saját AT1 tőkében lévő közvetlen és közvetett részesedésre kell bo</w:t>
            </w:r>
            <w:r>
              <w:rPr>
                <w:rStyle w:val="InstructionsTabelleText"/>
                <w:rFonts w:ascii="Times New Roman" w:hAnsi="Times New Roman"/>
                <w:sz w:val="24"/>
              </w:rPr>
              <w:t>n</w:t>
            </w:r>
            <w:r>
              <w:rPr>
                <w:rStyle w:val="InstructionsTabelleText"/>
                <w:rFonts w:ascii="Times New Roman" w:hAnsi="Times New Roman"/>
                <w:sz w:val="24"/>
              </w:rPr>
              <w:t>taniuk.</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CRR 56. cikkének a) pontja szerinti eredeti levonás.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221</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Pr="006F13DE">
              <w:rPr>
                <w:u w:val="single"/>
              </w:rPr>
              <w:tab/>
            </w:r>
            <w:r>
              <w:rPr>
                <w:rStyle w:val="InstructionsTabelleberschrift"/>
                <w:rFonts w:ascii="Times New Roman" w:hAnsi="Times New Roman"/>
                <w:sz w:val="24"/>
              </w:rPr>
              <w:t>ebből: közvetlen részesedések</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 sor 060. oszlopában feltüntetendő érték: a közvetlen részesedések teljes összege, ideértve az olyan instrumentumokat, amelyeket az intézmény h</w:t>
            </w:r>
            <w:r>
              <w:rPr>
                <w:rStyle w:val="InstructionsTabelleText"/>
                <w:rFonts w:ascii="Times New Roman" w:hAnsi="Times New Roman"/>
                <w:sz w:val="24"/>
              </w:rPr>
              <w:t>a</w:t>
            </w:r>
            <w:r>
              <w:rPr>
                <w:rStyle w:val="InstructionsTabelleText"/>
                <w:rFonts w:ascii="Times New Roman" w:hAnsi="Times New Roman"/>
                <w:sz w:val="24"/>
              </w:rPr>
              <w:t>tályos vagy függő szerződéses kötelezettségekből eredően köteles lehet megvásárolni; a CRR 474. cikkének b) pontja, valamint 475. cikke (2) b</w:t>
            </w:r>
            <w:r>
              <w:rPr>
                <w:rStyle w:val="InstructionsTabelleText"/>
                <w:rFonts w:ascii="Times New Roman" w:hAnsi="Times New Roman"/>
                <w:sz w:val="24"/>
              </w:rPr>
              <w:t>e</w:t>
            </w:r>
            <w:r>
              <w:rPr>
                <w:rStyle w:val="InstructionsTabelleText"/>
                <w:rFonts w:ascii="Times New Roman" w:hAnsi="Times New Roman"/>
                <w:sz w:val="24"/>
              </w:rPr>
              <w:t>kezdésének a) pontja.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Pr="006F13DE">
              <w:rPr>
                <w:u w:val="single"/>
              </w:rPr>
              <w:tab/>
            </w:r>
            <w:r>
              <w:rPr>
                <w:rStyle w:val="InstructionsTabelleberschrift"/>
                <w:rFonts w:ascii="Times New Roman" w:hAnsi="Times New Roman"/>
                <w:sz w:val="24"/>
              </w:rPr>
              <w:t>ebből: közvetett részesedések</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 sor 060. oszlopában feltüntetendő érték: a közvetett részesedések teljes összege, ideértve az olyan instrumentumokat, amelyeket az intézmény h</w:t>
            </w:r>
            <w:r>
              <w:rPr>
                <w:rStyle w:val="InstructionsTabelleText"/>
                <w:rFonts w:ascii="Times New Roman" w:hAnsi="Times New Roman"/>
                <w:sz w:val="24"/>
              </w:rPr>
              <w:t>a</w:t>
            </w:r>
            <w:r>
              <w:rPr>
                <w:rStyle w:val="InstructionsTabelleText"/>
                <w:rFonts w:ascii="Times New Roman" w:hAnsi="Times New Roman"/>
                <w:sz w:val="24"/>
              </w:rPr>
              <w:t>tályos vagy függő szerződéses kötelezettségekből eredően köteles lehet megvásárolni; a CRR 474. cikkének b) pontja, valamint 475. cikke (2) b</w:t>
            </w:r>
            <w:r>
              <w:rPr>
                <w:rStyle w:val="InstructionsTabelleText"/>
                <w:rFonts w:ascii="Times New Roman" w:hAnsi="Times New Roman"/>
                <w:sz w:val="24"/>
              </w:rPr>
              <w:t>e</w:t>
            </w:r>
            <w:r>
              <w:rPr>
                <w:rStyle w:val="InstructionsTabelleText"/>
                <w:rFonts w:ascii="Times New Roman" w:hAnsi="Times New Roman"/>
                <w:sz w:val="24"/>
              </w:rPr>
              <w:t>kezdésének b) pontja.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1.3.2.6.3.</w:t>
            </w:r>
            <w:r w:rsidRPr="006F13DE">
              <w:rPr>
                <w:u w:val="single"/>
              </w:rPr>
              <w:tab/>
            </w:r>
            <w:r>
              <w:rPr>
                <w:rStyle w:val="InstructionsTabelleberschrift"/>
                <w:rFonts w:ascii="Times New Roman" w:hAnsi="Times New Roman"/>
                <w:sz w:val="24"/>
              </w:rPr>
              <w:t>Saját T2 tőkeinstrumentumok</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66. cikkének a) pontja, 476. cikke, 477. cikkének (2) bekezdése, valamint 478. cikke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A részesedések levonandó összegének meghatározásakor az intézménye</w:t>
            </w:r>
            <w:r>
              <w:rPr>
                <w:rStyle w:val="InstructionsTabelleText"/>
                <w:rFonts w:ascii="Times New Roman" w:hAnsi="Times New Roman"/>
                <w:sz w:val="24"/>
              </w:rPr>
              <w:t>k</w:t>
            </w:r>
            <w:r>
              <w:rPr>
                <w:rStyle w:val="InstructionsTabelleText"/>
                <w:rFonts w:ascii="Times New Roman" w:hAnsi="Times New Roman"/>
                <w:sz w:val="24"/>
              </w:rPr>
              <w:t>nek figyelembe kell venniük a CRR 67. cikkének rendelkezéseit.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Mivel a maradványösszeg kezelése az eszköz jellegétől függően változik (CRR 477. cikk, (2) bekezdés), az intézményeknek az említett részesedés</w:t>
            </w:r>
            <w:r>
              <w:rPr>
                <w:rStyle w:val="InstructionsTabelleText"/>
                <w:rFonts w:ascii="Times New Roman" w:hAnsi="Times New Roman"/>
                <w:sz w:val="24"/>
              </w:rPr>
              <w:t>e</w:t>
            </w:r>
            <w:r>
              <w:rPr>
                <w:rStyle w:val="InstructionsTabelleText"/>
                <w:rFonts w:ascii="Times New Roman" w:hAnsi="Times New Roman"/>
                <w:sz w:val="24"/>
              </w:rPr>
              <w:t>iket a saját T2 tőkében lévő közvetlen és közvetett részesedésre kell bont</w:t>
            </w:r>
            <w:r>
              <w:rPr>
                <w:rStyle w:val="InstructionsTabelleText"/>
                <w:rFonts w:ascii="Times New Roman" w:hAnsi="Times New Roman"/>
                <w:sz w:val="24"/>
              </w:rPr>
              <w:t>a</w:t>
            </w:r>
            <w:r>
              <w:rPr>
                <w:rStyle w:val="InstructionsTabelleText"/>
                <w:rFonts w:ascii="Times New Roman" w:hAnsi="Times New Roman"/>
                <w:sz w:val="24"/>
              </w:rPr>
              <w:t>niuk.</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CRR 66. cikkének a) pontja szerinti eredeti levonás.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231</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közvetlen részesedések</w:t>
            </w:r>
          </w:p>
          <w:p w:rsidR="00A60195" w:rsidRPr="00392FFD" w:rsidRDefault="00A60195" w:rsidP="00FD239F">
            <w:pPr>
              <w:pStyle w:val="InstructionsText"/>
              <w:rPr>
                <w:rStyle w:val="InstructionsTabelleberschrift"/>
                <w:rFonts w:ascii="Times New Roman" w:hAnsi="Times New Roman"/>
                <w:sz w:val="24"/>
              </w:rPr>
            </w:pPr>
            <w:r>
              <w:rPr>
                <w:rStyle w:val="InstructionsTabelleText"/>
                <w:rFonts w:ascii="Times New Roman" w:hAnsi="Times New Roman"/>
                <w:sz w:val="24"/>
              </w:rPr>
              <w:t>A sor 060. oszlopában feltüntetendő érték: a közvetlen részesedések teljes összege, ideértve az olyan instrumentumokat, amelyeket az intézmény h</w:t>
            </w:r>
            <w:r>
              <w:rPr>
                <w:rStyle w:val="InstructionsTabelleText"/>
                <w:rFonts w:ascii="Times New Roman" w:hAnsi="Times New Roman"/>
                <w:sz w:val="24"/>
              </w:rPr>
              <w:t>a</w:t>
            </w:r>
            <w:r>
              <w:rPr>
                <w:rStyle w:val="InstructionsTabelleText"/>
                <w:rFonts w:ascii="Times New Roman" w:hAnsi="Times New Roman"/>
                <w:sz w:val="24"/>
              </w:rPr>
              <w:t>tályos vagy függő szerződéses kötelezettségekből eredően köteles lehet megvásárolni; a CRR 476. cikkének b) pontja, valamint 477. cikke (2) b</w:t>
            </w:r>
            <w:r>
              <w:rPr>
                <w:rStyle w:val="InstructionsTabelleText"/>
                <w:rFonts w:ascii="Times New Roman" w:hAnsi="Times New Roman"/>
                <w:sz w:val="24"/>
              </w:rPr>
              <w:t>e</w:t>
            </w:r>
            <w:r>
              <w:rPr>
                <w:rStyle w:val="InstructionsTabelleText"/>
                <w:rFonts w:ascii="Times New Roman" w:hAnsi="Times New Roman"/>
                <w:sz w:val="24"/>
              </w:rPr>
              <w:t>kezdésének a) pontja.</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232</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közvetett részesedések</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 sor 060. oszlopában feltüntetendő érték: a közvetett részesedések teljes összege, ideértve az olyan instrumentumokat, amelyeket az intézmény h</w:t>
            </w:r>
            <w:r>
              <w:rPr>
                <w:rStyle w:val="InstructionsTabelleText"/>
                <w:rFonts w:ascii="Times New Roman" w:hAnsi="Times New Roman"/>
                <w:sz w:val="24"/>
              </w:rPr>
              <w:t>a</w:t>
            </w:r>
            <w:r>
              <w:rPr>
                <w:rStyle w:val="InstructionsTabelleText"/>
                <w:rFonts w:ascii="Times New Roman" w:hAnsi="Times New Roman"/>
                <w:sz w:val="24"/>
              </w:rPr>
              <w:t>tályos vagy függő szerződéses kötelezettségekből eredően köteles lehet megvásárolni; a CRR 476. cikkének b) pontja, valamint 477. cikke (2) b</w:t>
            </w:r>
            <w:r>
              <w:rPr>
                <w:rStyle w:val="InstructionsTabelleText"/>
                <w:rFonts w:ascii="Times New Roman" w:hAnsi="Times New Roman"/>
                <w:sz w:val="24"/>
              </w:rPr>
              <w:t>e</w:t>
            </w:r>
            <w:r>
              <w:rPr>
                <w:rStyle w:val="InstructionsTabelleText"/>
                <w:rFonts w:ascii="Times New Roman" w:hAnsi="Times New Roman"/>
                <w:sz w:val="24"/>
              </w:rPr>
              <w:t>kezdésének b) pontja.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240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w:t>
            </w:r>
            <w:r w:rsidRPr="006F13DE">
              <w:rPr>
                <w:u w:val="single"/>
              </w:rPr>
              <w:tab/>
            </w:r>
            <w:r>
              <w:rPr>
                <w:rStyle w:val="InstructionsTabelleberschrift"/>
                <w:rFonts w:ascii="Times New Roman" w:hAnsi="Times New Roman"/>
                <w:sz w:val="24"/>
              </w:rPr>
              <w:t>Kölcsönös részesedések</w:t>
            </w:r>
          </w:p>
          <w:p w:rsidR="00A60195" w:rsidRPr="00201704" w:rsidRDefault="00A60195" w:rsidP="007106FB">
            <w:pPr>
              <w:spacing w:before="0"/>
              <w:rPr>
                <w:rStyle w:val="InstructionsTabelleberschrift"/>
                <w:rFonts w:ascii="Times New Roman" w:hAnsi="Times New Roman"/>
                <w:b w:val="0"/>
                <w:bCs w:val="0"/>
                <w:sz w:val="24"/>
                <w:u w:val="none"/>
              </w:rPr>
            </w:pPr>
            <w:r>
              <w:rPr>
                <w:rStyle w:val="InstructionsTabelleText"/>
                <w:rFonts w:ascii="Times New Roman" w:hAnsi="Times New Roman"/>
                <w:sz w:val="24"/>
              </w:rPr>
              <w:t>Mivel a maradványösszeg kezelése attól függően változik,</w:t>
            </w:r>
            <w:r>
              <w:rPr>
                <w:rFonts w:ascii="Times New Roman" w:hAnsi="Times New Roman"/>
                <w:sz w:val="24"/>
              </w:rPr>
              <w:t xml:space="preserve"> </w:t>
            </w:r>
            <w:r>
              <w:rPr>
                <w:rStyle w:val="InstructionsTabelleText"/>
                <w:rFonts w:ascii="Times New Roman" w:hAnsi="Times New Roman"/>
                <w:sz w:val="24"/>
              </w:rPr>
              <w:t>hogy a pénzügyi ágazatbeli szervezet CET1 tőkéjében, AT1 tőkéjében vagy járulékos tők</w:t>
            </w:r>
            <w:r>
              <w:rPr>
                <w:rStyle w:val="InstructionsTabelleText"/>
                <w:rFonts w:ascii="Times New Roman" w:hAnsi="Times New Roman"/>
                <w:sz w:val="24"/>
              </w:rPr>
              <w:t>é</w:t>
            </w:r>
            <w:r>
              <w:rPr>
                <w:rStyle w:val="InstructionsTabelleText"/>
                <w:rFonts w:ascii="Times New Roman" w:hAnsi="Times New Roman"/>
                <w:sz w:val="24"/>
              </w:rPr>
              <w:t>jében lévő részesedés jelentősnek minősül-e vagy sem (a CRR 472. cikk</w:t>
            </w:r>
            <w:r>
              <w:rPr>
                <w:rStyle w:val="InstructionsTabelleText"/>
                <w:rFonts w:ascii="Times New Roman" w:hAnsi="Times New Roman"/>
                <w:sz w:val="24"/>
              </w:rPr>
              <w:t>é</w:t>
            </w:r>
            <w:r>
              <w:rPr>
                <w:rStyle w:val="InstructionsTabelleText"/>
                <w:rFonts w:ascii="Times New Roman" w:hAnsi="Times New Roman"/>
                <w:sz w:val="24"/>
              </w:rPr>
              <w:t>nek (9) bekezdése, 475. cikkének (3) bekezdése, valamint 477. cikkének (3) bekezdése), az intézményeknek a kölcsönös részesedéseiket jelentős r</w:t>
            </w:r>
            <w:r>
              <w:rPr>
                <w:rStyle w:val="InstructionsTabelleText"/>
                <w:rFonts w:ascii="Times New Roman" w:hAnsi="Times New Roman"/>
                <w:sz w:val="24"/>
              </w:rPr>
              <w:t>é</w:t>
            </w:r>
            <w:r>
              <w:rPr>
                <w:rStyle w:val="InstructionsTabelleText"/>
                <w:rFonts w:ascii="Times New Roman" w:hAnsi="Times New Roman"/>
                <w:sz w:val="24"/>
              </w:rPr>
              <w:t>szesedésre és nem jelentős részesedésre kell lebontaniuk.</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250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1.3.2.7.1.</w:t>
            </w:r>
            <w:r w:rsidRPr="006F13DE">
              <w:rPr>
                <w:u w:val="single"/>
              </w:rPr>
              <w:tab/>
            </w:r>
            <w:r>
              <w:rPr>
                <w:rStyle w:val="InstructionsTabelleberschrift"/>
                <w:rFonts w:ascii="Times New Roman" w:hAnsi="Times New Roman"/>
                <w:sz w:val="24"/>
              </w:rPr>
              <w:t>Kölcsönös részesedések CET1 tőkeinstrumentumokban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36. cikke (1) bekezdésének g) pontja, 469. cikkének (1) bekezdése, 472. cikkének (9) bekezdése, valamint 478. cikke</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 sor 060. oszlopában feltüntetendő érték: a CRR 36. cikke (1) bekezdés</w:t>
            </w:r>
            <w:r>
              <w:rPr>
                <w:rStyle w:val="InstructionsTabelleText"/>
                <w:rFonts w:ascii="Times New Roman" w:hAnsi="Times New Roman"/>
                <w:sz w:val="24"/>
              </w:rPr>
              <w:t>é</w:t>
            </w:r>
            <w:r>
              <w:rPr>
                <w:rStyle w:val="InstructionsTabelleText"/>
                <w:rFonts w:ascii="Times New Roman" w:hAnsi="Times New Roman"/>
                <w:sz w:val="24"/>
              </w:rPr>
              <w:t>nek g) pontja szerinti eredeti levonás.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1.3.2.7.1.1.</w:t>
            </w:r>
            <w:r w:rsidRPr="006F13DE">
              <w:rPr>
                <w:u w:val="single"/>
              </w:rPr>
              <w:tab/>
            </w:r>
            <w:r>
              <w:rPr>
                <w:rStyle w:val="InstructionsTabelleberschrift"/>
                <w:rFonts w:ascii="Times New Roman" w:hAnsi="Times New Roman"/>
                <w:sz w:val="24"/>
              </w:rPr>
              <w:t>Pénzügyi ágazatbeli szervezetek CET1 tőkeinstrume</w:t>
            </w:r>
            <w:r>
              <w:rPr>
                <w:rStyle w:val="InstructionsTabelleberschrift"/>
                <w:rFonts w:ascii="Times New Roman" w:hAnsi="Times New Roman"/>
                <w:sz w:val="24"/>
              </w:rPr>
              <w:t>n</w:t>
            </w:r>
            <w:r>
              <w:rPr>
                <w:rStyle w:val="InstructionsTabelleberschrift"/>
                <w:rFonts w:ascii="Times New Roman" w:hAnsi="Times New Roman"/>
                <w:sz w:val="24"/>
              </w:rPr>
              <w:t>tumaiban lévő kölcsönös részesedések, ha az intézmény nem rendelk</w:t>
            </w:r>
            <w:r>
              <w:rPr>
                <w:rStyle w:val="InstructionsTabelleberschrift"/>
                <w:rFonts w:ascii="Times New Roman" w:hAnsi="Times New Roman"/>
                <w:sz w:val="24"/>
              </w:rPr>
              <w:t>e</w:t>
            </w:r>
            <w:r>
              <w:rPr>
                <w:rStyle w:val="InstructionsTabelleberschrift"/>
                <w:rFonts w:ascii="Times New Roman" w:hAnsi="Times New Roman"/>
                <w:sz w:val="24"/>
              </w:rPr>
              <w:t>zik jelentős részesedéssel az említett vállalkozásokban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36. cikke (1) bekezdésének g) pontja, 469. cikkének (1) bekezdése, 472. cikke (9) bekezdésének a) pontja, valamint 478. cikke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CRR 469. cikk (1) bekezdés</w:t>
            </w:r>
            <w:r>
              <w:rPr>
                <w:rStyle w:val="InstructionsTabelleText"/>
                <w:rFonts w:ascii="Times New Roman" w:hAnsi="Times New Roman"/>
                <w:sz w:val="24"/>
              </w:rPr>
              <w:t>é</w:t>
            </w:r>
            <w:r>
              <w:rPr>
                <w:rStyle w:val="InstructionsTabelleText"/>
                <w:rFonts w:ascii="Times New Roman" w:hAnsi="Times New Roman"/>
                <w:sz w:val="24"/>
              </w:rPr>
              <w:t>nek b) pontja szerinti maradványösszeg.</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1.3.2.7.1.2.</w:t>
            </w:r>
            <w:r w:rsidRPr="006F13DE">
              <w:rPr>
                <w:u w:val="single"/>
              </w:rPr>
              <w:tab/>
            </w:r>
            <w:r>
              <w:rPr>
                <w:rStyle w:val="InstructionsTabelleberschrift"/>
                <w:rFonts w:ascii="Times New Roman" w:hAnsi="Times New Roman"/>
                <w:sz w:val="24"/>
              </w:rPr>
              <w:t>Pénzügyi ágazatbeli szervezetek CET1 tőkeinstrume</w:t>
            </w:r>
            <w:r>
              <w:rPr>
                <w:rStyle w:val="InstructionsTabelleberschrift"/>
                <w:rFonts w:ascii="Times New Roman" w:hAnsi="Times New Roman"/>
                <w:sz w:val="24"/>
              </w:rPr>
              <w:t>n</w:t>
            </w:r>
            <w:r>
              <w:rPr>
                <w:rStyle w:val="InstructionsTabelleberschrift"/>
                <w:rFonts w:ascii="Times New Roman" w:hAnsi="Times New Roman"/>
                <w:sz w:val="24"/>
              </w:rPr>
              <w:t xml:space="preserve">tumaiban lévő kölcsönös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w:t>
            </w:r>
            <w:r>
              <w:rPr>
                <w:rStyle w:val="InstructionsTabelleberschrift"/>
                <w:rFonts w:ascii="Times New Roman" w:hAnsi="Times New Roman"/>
                <w:sz w:val="24"/>
              </w:rPr>
              <w:t>e</w:t>
            </w:r>
            <w:r>
              <w:rPr>
                <w:rStyle w:val="InstructionsTabelleberschrift"/>
                <w:rFonts w:ascii="Times New Roman" w:hAnsi="Times New Roman"/>
                <w:sz w:val="24"/>
              </w:rPr>
              <w:t>sedéssel rendelkezik az említett vállalkozásokban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 CRR 36. cikke (1) bekezdésének g) pontja, 469. cikkének (1) bekezdése, </w:t>
            </w:r>
            <w:r>
              <w:rPr>
                <w:rStyle w:val="InstructionsTabelleText"/>
                <w:rFonts w:ascii="Times New Roman" w:hAnsi="Times New Roman"/>
                <w:sz w:val="24"/>
              </w:rPr>
              <w:lastRenderedPageBreak/>
              <w:t>472. cikke (9) bekezdésének b) pontja, valamint 478. cikke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CRR 469. cikk (1) bekezdés</w:t>
            </w:r>
            <w:r>
              <w:rPr>
                <w:rStyle w:val="InstructionsTabelleText"/>
                <w:rFonts w:ascii="Times New Roman" w:hAnsi="Times New Roman"/>
                <w:sz w:val="24"/>
              </w:rPr>
              <w:t>é</w:t>
            </w:r>
            <w:r>
              <w:rPr>
                <w:rStyle w:val="InstructionsTabelleText"/>
                <w:rFonts w:ascii="Times New Roman" w:hAnsi="Times New Roman"/>
                <w:sz w:val="24"/>
              </w:rPr>
              <w:t>nek b) pontja szerinti maradványösszeg.</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280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1.3.2.7.2.</w:t>
            </w:r>
            <w:r w:rsidRPr="00F66592">
              <w:rPr>
                <w:u w:val="single"/>
              </w:rPr>
              <w:tab/>
            </w:r>
            <w:r>
              <w:rPr>
                <w:rStyle w:val="InstructionsTabelleberschrift"/>
                <w:rFonts w:ascii="Times New Roman" w:hAnsi="Times New Roman"/>
                <w:sz w:val="24"/>
              </w:rPr>
              <w:t>Kölcsönös részesedések AT1 tőkeinstrumentumokban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56. cikkének b) pontja, 474. cikke, 475. cikkének (3) bekezdése, valamint 478. cikke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CRR 56. cikkének b) pontja szerinti eredeti levonás.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1.3.2.7.2.1.</w:t>
            </w:r>
            <w:r w:rsidRPr="00F66592">
              <w:rPr>
                <w:u w:val="single"/>
              </w:rPr>
              <w:tab/>
            </w:r>
            <w:r>
              <w:rPr>
                <w:rStyle w:val="InstructionsTabelleberschrift"/>
                <w:rFonts w:ascii="Times New Roman" w:hAnsi="Times New Roman"/>
                <w:sz w:val="24"/>
              </w:rPr>
              <w:t>Pénzügyi ágazatbeli szervezetek AT1 tőkeinstrument</w:t>
            </w:r>
            <w:r>
              <w:rPr>
                <w:rStyle w:val="InstructionsTabelleberschrift"/>
                <w:rFonts w:ascii="Times New Roman" w:hAnsi="Times New Roman"/>
                <w:sz w:val="24"/>
              </w:rPr>
              <w:t>u</w:t>
            </w:r>
            <w:r>
              <w:rPr>
                <w:rStyle w:val="InstructionsTabelleberschrift"/>
                <w:rFonts w:ascii="Times New Roman" w:hAnsi="Times New Roman"/>
                <w:sz w:val="24"/>
              </w:rPr>
              <w:t>maiban lévő kölcsönös részesedések, ha az intézmény nem rendelkezik jelentős részesedéssel az említett vállalkozásokban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56. cikkének b) pontja, 474. cikke, 475. cikke (3) bekezdésének a) pontja, valamint 478. cikke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CRR 475. cikkének (3) b</w:t>
            </w:r>
            <w:r>
              <w:rPr>
                <w:rStyle w:val="InstructionsTabelleText"/>
                <w:rFonts w:ascii="Times New Roman" w:hAnsi="Times New Roman"/>
                <w:sz w:val="24"/>
              </w:rPr>
              <w:t>e</w:t>
            </w:r>
            <w:r>
              <w:rPr>
                <w:rStyle w:val="InstructionsTabelleText"/>
                <w:rFonts w:ascii="Times New Roman" w:hAnsi="Times New Roman"/>
                <w:sz w:val="24"/>
              </w:rPr>
              <w:t>kezdése szerinti maradványösszeg.</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1.3.2.7.2.2.</w:t>
            </w:r>
            <w:r w:rsidRPr="00F66592">
              <w:rPr>
                <w:u w:val="single"/>
              </w:rPr>
              <w:tab/>
            </w:r>
            <w:r>
              <w:rPr>
                <w:rStyle w:val="InstructionsTabelleberschrift"/>
                <w:rFonts w:ascii="Times New Roman" w:hAnsi="Times New Roman"/>
                <w:sz w:val="24"/>
              </w:rPr>
              <w:t>Pénzügyi ágazatbeli szervezetek AT1 tőkeinstrument</w:t>
            </w:r>
            <w:r>
              <w:rPr>
                <w:rStyle w:val="InstructionsTabelleberschrift"/>
                <w:rFonts w:ascii="Times New Roman" w:hAnsi="Times New Roman"/>
                <w:sz w:val="24"/>
              </w:rPr>
              <w:t>u</w:t>
            </w:r>
            <w:r>
              <w:rPr>
                <w:rStyle w:val="InstructionsTabelleberschrift"/>
                <w:rFonts w:ascii="Times New Roman" w:hAnsi="Times New Roman"/>
                <w:sz w:val="24"/>
              </w:rPr>
              <w:t xml:space="preserve">maiban lévő kölcsönös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w:t>
            </w:r>
            <w:r>
              <w:rPr>
                <w:rStyle w:val="InstructionsTabelleberschrift"/>
                <w:rFonts w:ascii="Times New Roman" w:hAnsi="Times New Roman"/>
                <w:sz w:val="24"/>
              </w:rPr>
              <w:t>e</w:t>
            </w:r>
            <w:r>
              <w:rPr>
                <w:rStyle w:val="InstructionsTabelleberschrift"/>
                <w:rFonts w:ascii="Times New Roman" w:hAnsi="Times New Roman"/>
                <w:sz w:val="24"/>
              </w:rPr>
              <w:t>déssel rendelkezik az említett vállalkozásokban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56. cikkének b) pontja, 474. cikke, 475. cikke (3) bekezdésének b) pontja, valamint 478. cikke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CRR 475. cikkének (3) b</w:t>
            </w:r>
            <w:r>
              <w:rPr>
                <w:rStyle w:val="InstructionsTabelleText"/>
                <w:rFonts w:ascii="Times New Roman" w:hAnsi="Times New Roman"/>
                <w:sz w:val="24"/>
              </w:rPr>
              <w:t>e</w:t>
            </w:r>
            <w:r>
              <w:rPr>
                <w:rStyle w:val="InstructionsTabelleText"/>
                <w:rFonts w:ascii="Times New Roman" w:hAnsi="Times New Roman"/>
                <w:sz w:val="24"/>
              </w:rPr>
              <w:t>kezdése szerinti maradványösszeg.</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w:t>
            </w:r>
            <w:r w:rsidRPr="00F66592">
              <w:rPr>
                <w:u w:val="single"/>
              </w:rPr>
              <w:tab/>
            </w:r>
            <w:r>
              <w:rPr>
                <w:rStyle w:val="InstructionsTabelleberschrift"/>
                <w:rFonts w:ascii="Times New Roman" w:hAnsi="Times New Roman"/>
                <w:sz w:val="24"/>
              </w:rPr>
              <w:t>Kölcsönös részesedések T2 tőkeinstrumentumokban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66. cikkének b) pontja, 476. cikke, 477. cikkének (3) bekezdése, valamint 478. cikke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w:t>
            </w:r>
            <w:r>
              <w:t xml:space="preserve"> </w:t>
            </w:r>
            <w:r>
              <w:rPr>
                <w:rStyle w:val="InstructionsTabelleText"/>
                <w:rFonts w:ascii="Times New Roman" w:hAnsi="Times New Roman"/>
                <w:sz w:val="24"/>
              </w:rPr>
              <w:t>a CRR 66. cikkének b) pontja szerinti eredeti levonás.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320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1.3.2.7.3.1.</w:t>
            </w:r>
            <w:r w:rsidRPr="00F66592">
              <w:rPr>
                <w:u w:val="single"/>
              </w:rPr>
              <w:tab/>
            </w:r>
            <w:r>
              <w:rPr>
                <w:rStyle w:val="InstructionsTabelleberschrift"/>
                <w:rFonts w:ascii="Times New Roman" w:hAnsi="Times New Roman"/>
                <w:sz w:val="24"/>
              </w:rPr>
              <w:t>Pénzügyi ágazatbeli szervezetek T2 tőkeinstrumentum</w:t>
            </w:r>
            <w:r>
              <w:rPr>
                <w:rStyle w:val="InstructionsTabelleberschrift"/>
                <w:rFonts w:ascii="Times New Roman" w:hAnsi="Times New Roman"/>
                <w:sz w:val="24"/>
              </w:rPr>
              <w:t>a</w:t>
            </w:r>
            <w:r>
              <w:rPr>
                <w:rStyle w:val="InstructionsTabelleberschrift"/>
                <w:rFonts w:ascii="Times New Roman" w:hAnsi="Times New Roman"/>
                <w:sz w:val="24"/>
              </w:rPr>
              <w:t>iban lévő kölcsönös részesedések, ha az intézmény nem rendelkezik j</w:t>
            </w:r>
            <w:r>
              <w:rPr>
                <w:rStyle w:val="InstructionsTabelleberschrift"/>
                <w:rFonts w:ascii="Times New Roman" w:hAnsi="Times New Roman"/>
                <w:sz w:val="24"/>
              </w:rPr>
              <w:t>e</w:t>
            </w:r>
            <w:r>
              <w:rPr>
                <w:rStyle w:val="InstructionsTabelleberschrift"/>
                <w:rFonts w:ascii="Times New Roman" w:hAnsi="Times New Roman"/>
                <w:sz w:val="24"/>
              </w:rPr>
              <w:t>lentős részesedéssel az említett vállalkozásokban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66. cikkének b) pontja, 476. cikke, 477. cikke (3) bekezdésének a) pontja, valamint 478. cikke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CRR 477. cikkének (3) b</w:t>
            </w:r>
            <w:r>
              <w:rPr>
                <w:rStyle w:val="InstructionsTabelleText"/>
                <w:rFonts w:ascii="Times New Roman" w:hAnsi="Times New Roman"/>
                <w:sz w:val="24"/>
              </w:rPr>
              <w:t>e</w:t>
            </w:r>
            <w:r>
              <w:rPr>
                <w:rStyle w:val="InstructionsTabelleText"/>
                <w:rFonts w:ascii="Times New Roman" w:hAnsi="Times New Roman"/>
                <w:sz w:val="24"/>
              </w:rPr>
              <w:t>kezdése szerinti maradványösszeg.</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330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1.3.2.7.3.2.</w:t>
            </w:r>
            <w:r w:rsidRPr="00F66592">
              <w:rPr>
                <w:u w:val="single"/>
              </w:rPr>
              <w:tab/>
            </w:r>
            <w:r>
              <w:rPr>
                <w:rStyle w:val="InstructionsTabelleberschrift"/>
                <w:rFonts w:ascii="Times New Roman" w:hAnsi="Times New Roman"/>
                <w:sz w:val="24"/>
              </w:rPr>
              <w:t>Pénzügyi ágazatbeli szervezetek T2 tőkeinstrumentum</w:t>
            </w:r>
            <w:r>
              <w:rPr>
                <w:rStyle w:val="InstructionsTabelleberschrift"/>
                <w:rFonts w:ascii="Times New Roman" w:hAnsi="Times New Roman"/>
                <w:sz w:val="24"/>
              </w:rPr>
              <w:t>a</w:t>
            </w:r>
            <w:r>
              <w:rPr>
                <w:rStyle w:val="InstructionsTabelleberschrift"/>
                <w:rFonts w:ascii="Times New Roman" w:hAnsi="Times New Roman"/>
                <w:sz w:val="24"/>
              </w:rPr>
              <w:t xml:space="preserve">iban lévő kölcsönös részesedések,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w:t>
            </w:r>
            <w:r>
              <w:rPr>
                <w:rStyle w:val="InstructionsTabelleberschrift"/>
                <w:rFonts w:ascii="Times New Roman" w:hAnsi="Times New Roman"/>
                <w:sz w:val="24"/>
              </w:rPr>
              <w:t>s</w:t>
            </w:r>
            <w:r>
              <w:rPr>
                <w:rStyle w:val="InstructionsTabelleberschrift"/>
                <w:rFonts w:ascii="Times New Roman" w:hAnsi="Times New Roman"/>
                <w:sz w:val="24"/>
              </w:rPr>
              <w:t>sel rendelkezik az említett vállalkozásokban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66. cikkének b) pontja, 476. cikke, 477. cikke (3) bekezdésének b) pontja, valamint 478. cikke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CRR 477. cikkének (3) b</w:t>
            </w:r>
            <w:r>
              <w:rPr>
                <w:rStyle w:val="InstructionsTabelleText"/>
                <w:rFonts w:ascii="Times New Roman" w:hAnsi="Times New Roman"/>
                <w:sz w:val="24"/>
              </w:rPr>
              <w:t>e</w:t>
            </w:r>
            <w:r>
              <w:rPr>
                <w:rStyle w:val="InstructionsTabelleText"/>
                <w:rFonts w:ascii="Times New Roman" w:hAnsi="Times New Roman"/>
                <w:sz w:val="24"/>
              </w:rPr>
              <w:t>kezdése szerinti maradványösszeg.</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340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1.3.2.8.</w:t>
            </w:r>
            <w:r w:rsidRPr="00F66592">
              <w:rPr>
                <w:u w:val="single"/>
              </w:rPr>
              <w:tab/>
            </w:r>
            <w:r>
              <w:rPr>
                <w:rStyle w:val="InstructionsTabelleberschrift"/>
                <w:rFonts w:ascii="Times New Roman" w:hAnsi="Times New Roman"/>
                <w:sz w:val="24"/>
              </w:rPr>
              <w:t>Pénzügyi ágazatbeli szervezetek által kibocsátott szavatolótőke-instrumentumok, ha az intézmény nem rendelkezik j</w:t>
            </w:r>
            <w:r>
              <w:rPr>
                <w:rStyle w:val="InstructionsTabelleberschrift"/>
                <w:rFonts w:ascii="Times New Roman" w:hAnsi="Times New Roman"/>
                <w:sz w:val="24"/>
              </w:rPr>
              <w:t>e</w:t>
            </w:r>
            <w:r>
              <w:rPr>
                <w:rStyle w:val="InstructionsTabelleberschrift"/>
                <w:rFonts w:ascii="Times New Roman" w:hAnsi="Times New Roman"/>
                <w:sz w:val="24"/>
              </w:rPr>
              <w:t>lentős részesedéssel az említett vállalkozásokban</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350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1.3.2.8.1.</w:t>
            </w:r>
            <w:r w:rsidRPr="00F66592">
              <w:rPr>
                <w:u w:val="single"/>
              </w:rPr>
              <w:tab/>
            </w:r>
            <w:r>
              <w:rPr>
                <w:rStyle w:val="InstructionsTabelleberschrift"/>
                <w:rFonts w:ascii="Times New Roman" w:hAnsi="Times New Roman"/>
                <w:sz w:val="24"/>
              </w:rPr>
              <w:t>Pénzügyi ágazatbeli szervezetek által kibocsátott CET1 tőkeinstrumentumok, ha az intézmény nem rendelkezik jelentős rész</w:t>
            </w:r>
            <w:r>
              <w:rPr>
                <w:rStyle w:val="InstructionsTabelleberschrift"/>
                <w:rFonts w:ascii="Times New Roman" w:hAnsi="Times New Roman"/>
                <w:sz w:val="24"/>
              </w:rPr>
              <w:t>e</w:t>
            </w:r>
            <w:r>
              <w:rPr>
                <w:rStyle w:val="InstructionsTabelleberschrift"/>
                <w:rFonts w:ascii="Times New Roman" w:hAnsi="Times New Roman"/>
                <w:sz w:val="24"/>
              </w:rPr>
              <w:t>sedéssel az említett vállalkozásokban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36. cikke (1) bekezdésének h) pontja, 469. cikkének (1) bekezdése, 472. cikkének (10) bekezdése, valamint 478. cikke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CRR 36. cikke (1) bekezdés</w:t>
            </w:r>
            <w:r>
              <w:rPr>
                <w:rStyle w:val="InstructionsTabelleText"/>
                <w:rFonts w:ascii="Times New Roman" w:hAnsi="Times New Roman"/>
                <w:sz w:val="24"/>
              </w:rPr>
              <w:t>é</w:t>
            </w:r>
            <w:r>
              <w:rPr>
                <w:rStyle w:val="InstructionsTabelleText"/>
                <w:rFonts w:ascii="Times New Roman" w:hAnsi="Times New Roman"/>
                <w:sz w:val="24"/>
              </w:rPr>
              <w:t>nek h) pontja szerinti eredeti levonás.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1.3.2.8.2.</w:t>
            </w:r>
            <w:r w:rsidRPr="00F66592">
              <w:rPr>
                <w:u w:val="single"/>
              </w:rPr>
              <w:tab/>
            </w:r>
            <w:r>
              <w:rPr>
                <w:rStyle w:val="InstructionsTabelleberschrift"/>
                <w:rFonts w:ascii="Times New Roman" w:hAnsi="Times New Roman"/>
                <w:sz w:val="24"/>
              </w:rPr>
              <w:t>Pénzügyi ágazatbeli szervezetek által kibocsátott AT1 tőkeinstrumentumok, ha az intézmény nem rendelkezik jelentős rész</w:t>
            </w:r>
            <w:r>
              <w:rPr>
                <w:rStyle w:val="InstructionsTabelleberschrift"/>
                <w:rFonts w:ascii="Times New Roman" w:hAnsi="Times New Roman"/>
                <w:sz w:val="24"/>
              </w:rPr>
              <w:t>e</w:t>
            </w:r>
            <w:r>
              <w:rPr>
                <w:rStyle w:val="InstructionsTabelleberschrift"/>
                <w:rFonts w:ascii="Times New Roman" w:hAnsi="Times New Roman"/>
                <w:sz w:val="24"/>
              </w:rPr>
              <w:t>sedéssel az említett vállalkozásokban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56. cikkének c) pontja, 474. cikke, 475. cikkének (4) bekezdése, valamint 478. cikke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CRR 56. cikkének c) pontja szerinti eredeti levonás.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1.3.2.8.3.</w:t>
            </w:r>
            <w:r w:rsidRPr="00F66592">
              <w:rPr>
                <w:u w:val="single"/>
              </w:rPr>
              <w:tab/>
            </w:r>
            <w:r>
              <w:rPr>
                <w:rStyle w:val="InstructionsTabelleberschrift"/>
                <w:rFonts w:ascii="Times New Roman" w:hAnsi="Times New Roman"/>
                <w:sz w:val="24"/>
              </w:rPr>
              <w:t>Pénzügyi ágazatbeli szervezetek által kibocsátott T2 t</w:t>
            </w:r>
            <w:r>
              <w:rPr>
                <w:rStyle w:val="InstructionsTabelleberschrift"/>
                <w:rFonts w:ascii="Times New Roman" w:hAnsi="Times New Roman"/>
                <w:sz w:val="24"/>
              </w:rPr>
              <w:t>ő</w:t>
            </w:r>
            <w:r>
              <w:rPr>
                <w:rStyle w:val="InstructionsTabelleberschrift"/>
                <w:rFonts w:ascii="Times New Roman" w:hAnsi="Times New Roman"/>
                <w:sz w:val="24"/>
              </w:rPr>
              <w:t>keinstrumentumok, ha az intézmény nem rendelkezik jelentős részes</w:t>
            </w:r>
            <w:r>
              <w:rPr>
                <w:rStyle w:val="InstructionsTabelleberschrift"/>
                <w:rFonts w:ascii="Times New Roman" w:hAnsi="Times New Roman"/>
                <w:sz w:val="24"/>
              </w:rPr>
              <w:t>e</w:t>
            </w:r>
            <w:r>
              <w:rPr>
                <w:rStyle w:val="InstructionsTabelleberschrift"/>
                <w:rFonts w:ascii="Times New Roman" w:hAnsi="Times New Roman"/>
                <w:sz w:val="24"/>
              </w:rPr>
              <w:t>déssel az említett vállalkozásokban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66. cikkének c) pontja, 476. cikke, 477. cikkének (4) bekezdése, valamint 478. cikke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CRR 66. cikkének c) pontja szerinti eredeti levonás.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380</w:t>
            </w: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rsidRPr="00F66592">
              <w:rPr>
                <w:u w:val="single"/>
              </w:rPr>
              <w:tab/>
            </w:r>
            <w:r>
              <w:rPr>
                <w:rStyle w:val="InstructionsTabelleberschrift"/>
                <w:rFonts w:ascii="Times New Roman" w:hAnsi="Times New Roman"/>
                <w:sz w:val="24"/>
              </w:rPr>
              <w:t>A jövőbeni nyereségtől függően érvényesíthető és átm</w:t>
            </w:r>
            <w:r>
              <w:rPr>
                <w:rStyle w:val="InstructionsTabelleberschrift"/>
                <w:rFonts w:ascii="Times New Roman" w:hAnsi="Times New Roman"/>
                <w:sz w:val="24"/>
              </w:rPr>
              <w:t>e</w:t>
            </w:r>
            <w:r>
              <w:rPr>
                <w:rStyle w:val="InstructionsTabelleberschrift"/>
                <w:rFonts w:ascii="Times New Roman" w:hAnsi="Times New Roman"/>
                <w:sz w:val="24"/>
              </w:rPr>
              <w:t>neti különbözetekből eredő halasztott adókövetelések, valamint a pénzügyi ágazatbeli szervezetek által kibocsátott CET1 tőkeinstr</w:t>
            </w:r>
            <w:r>
              <w:rPr>
                <w:rStyle w:val="InstructionsTabelleberschrift"/>
                <w:rFonts w:ascii="Times New Roman" w:hAnsi="Times New Roman"/>
                <w:sz w:val="24"/>
              </w:rPr>
              <w:t>u</w:t>
            </w:r>
            <w:r>
              <w:rPr>
                <w:rStyle w:val="InstructionsTabelleberschrift"/>
                <w:rFonts w:ascii="Times New Roman" w:hAnsi="Times New Roman"/>
                <w:sz w:val="24"/>
              </w:rPr>
              <w:t xml:space="preserve">mentumok,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rendelkezik az eml</w:t>
            </w:r>
            <w:r>
              <w:rPr>
                <w:rStyle w:val="InstructionsTabelleberschrift"/>
                <w:rFonts w:ascii="Times New Roman" w:hAnsi="Times New Roman"/>
                <w:sz w:val="24"/>
              </w:rPr>
              <w:t>í</w:t>
            </w:r>
            <w:r>
              <w:rPr>
                <w:rStyle w:val="InstructionsTabelleberschrift"/>
                <w:rFonts w:ascii="Times New Roman" w:hAnsi="Times New Roman"/>
                <w:sz w:val="24"/>
              </w:rPr>
              <w:t>tett vállalkozásokban</w:t>
            </w:r>
          </w:p>
          <w:p w:rsidR="00A60195" w:rsidRPr="00392FFD" w:rsidRDefault="000F1CEA"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470. cikkének (2) és (3) bekezdése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CRR 470. cikkének (1) b</w:t>
            </w:r>
            <w:r>
              <w:rPr>
                <w:rStyle w:val="InstructionsTabelleText"/>
                <w:rFonts w:ascii="Times New Roman" w:hAnsi="Times New Roman"/>
                <w:sz w:val="24"/>
              </w:rPr>
              <w:t>e</w:t>
            </w:r>
            <w:r>
              <w:rPr>
                <w:rStyle w:val="InstructionsTabelleText"/>
                <w:rFonts w:ascii="Times New Roman" w:hAnsi="Times New Roman"/>
                <w:sz w:val="24"/>
              </w:rPr>
              <w:t>kezdése</w:t>
            </w:r>
          </w:p>
        </w:tc>
      </w:tr>
      <w:tr w:rsidR="004A705D" w:rsidRPr="00392FFD" w:rsidTr="00672D2A">
        <w:tc>
          <w:tcPr>
            <w:tcW w:w="1012" w:type="dxa"/>
          </w:tcPr>
          <w:p w:rsidR="004A705D" w:rsidRPr="00392FFD" w:rsidRDefault="004A705D"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385</w:t>
            </w:r>
          </w:p>
        </w:tc>
        <w:tc>
          <w:tcPr>
            <w:tcW w:w="7478" w:type="dxa"/>
          </w:tcPr>
          <w:p w:rsidR="004A705D" w:rsidRPr="000F1CEA" w:rsidRDefault="004A705D"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Jövőbeli nyereségtől függően érvényesíthető és átmeneti különbözetből eredő halasztott adókövetelések</w:t>
            </w:r>
          </w:p>
          <w:p w:rsidR="004A705D" w:rsidRPr="00392FFD" w:rsidRDefault="004A705D"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 CRR 469. cikke (1) bekezdésének c) pontja, 478. cikke, valamint 472. cikkének (5) bekezdése</w:t>
            </w:r>
          </w:p>
          <w:p w:rsidR="004A705D" w:rsidRPr="000F1CEA" w:rsidRDefault="004A705D" w:rsidP="00FD239F">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A jövőbeli nyereségtől függően érvényesíthető és átmeneti különbözetből eredő halasztott adókövetelések azon része, amely meghaladja a CRR 470. cikke (2) bekezdésének a) pontjában foglalt 10 %-os küszöböt.</w:t>
            </w:r>
          </w:p>
        </w:tc>
      </w:tr>
      <w:tr w:rsidR="00A60195" w:rsidRPr="00392FFD" w:rsidTr="00672D2A">
        <w:trPr>
          <w:trHeight w:val="60"/>
        </w:trPr>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w:t>
            </w:r>
            <w:r w:rsidRPr="00F66592">
              <w:rPr>
                <w:u w:val="single"/>
              </w:rPr>
              <w:tab/>
            </w:r>
            <w:r>
              <w:rPr>
                <w:rStyle w:val="InstructionsTabelleberschrift"/>
                <w:rFonts w:ascii="Times New Roman" w:hAnsi="Times New Roman"/>
                <w:sz w:val="24"/>
              </w:rPr>
              <w:t xml:space="preserve">Pénzügyi ágazatbeli szervezetek által kibocsátott szavatolótőke-instrumentumok,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rendelkezik az említett vállalkozásokban</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400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1.3.2.10.1.</w:t>
            </w:r>
            <w:r w:rsidRPr="00F66592">
              <w:rPr>
                <w:u w:val="single"/>
              </w:rPr>
              <w:tab/>
            </w:r>
            <w:r>
              <w:rPr>
                <w:rStyle w:val="InstructionsTabelleberschrift"/>
                <w:rFonts w:ascii="Times New Roman" w:hAnsi="Times New Roman"/>
                <w:sz w:val="24"/>
              </w:rPr>
              <w:t xml:space="preserve">Pénzügyi ágazatbeli szervezetek által kibocsátott CET1 tőkeinstrumentumok,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rendelk</w:t>
            </w:r>
            <w:r>
              <w:rPr>
                <w:rStyle w:val="InstructionsTabelleberschrift"/>
                <w:rFonts w:ascii="Times New Roman" w:hAnsi="Times New Roman"/>
                <w:sz w:val="24"/>
              </w:rPr>
              <w:t>e</w:t>
            </w:r>
            <w:r>
              <w:rPr>
                <w:rStyle w:val="InstructionsTabelleberschrift"/>
                <w:rFonts w:ascii="Times New Roman" w:hAnsi="Times New Roman"/>
                <w:sz w:val="24"/>
              </w:rPr>
              <w:t>zik az említett vállalkozásokban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36. cikke (1) bekezdésének i) pontja, 469. cikkének (1) bekezdése, 472. cikkének (11) bekezdése, valamint 478. cikke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CRR 36. cikke (1) bekezdés</w:t>
            </w:r>
            <w:r>
              <w:rPr>
                <w:rStyle w:val="InstructionsTabelleText"/>
                <w:rFonts w:ascii="Times New Roman" w:hAnsi="Times New Roman"/>
                <w:sz w:val="24"/>
              </w:rPr>
              <w:t>é</w:t>
            </w:r>
            <w:r>
              <w:rPr>
                <w:rStyle w:val="InstructionsTabelleText"/>
                <w:rFonts w:ascii="Times New Roman" w:hAnsi="Times New Roman"/>
                <w:sz w:val="24"/>
              </w:rPr>
              <w:t>nek i) pontja szerinti eredeti levonás.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rsidRPr="00F66592">
              <w:rPr>
                <w:u w:val="single"/>
              </w:rPr>
              <w:tab/>
            </w:r>
            <w:r>
              <w:rPr>
                <w:rStyle w:val="InstructionsTabelleberschrift"/>
                <w:rFonts w:ascii="Times New Roman" w:hAnsi="Times New Roman"/>
                <w:sz w:val="24"/>
              </w:rPr>
              <w:t xml:space="preserve">Pénzügyi ágazatbeli szervezetek által kibocsátott AT1 tőkeinstrumentumok,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rendelk</w:t>
            </w:r>
            <w:r>
              <w:rPr>
                <w:rStyle w:val="InstructionsTabelleberschrift"/>
                <w:rFonts w:ascii="Times New Roman" w:hAnsi="Times New Roman"/>
                <w:sz w:val="24"/>
              </w:rPr>
              <w:t>e</w:t>
            </w:r>
            <w:r>
              <w:rPr>
                <w:rStyle w:val="InstructionsTabelleberschrift"/>
                <w:rFonts w:ascii="Times New Roman" w:hAnsi="Times New Roman"/>
                <w:sz w:val="24"/>
              </w:rPr>
              <w:t>zik az említett vállalkozásokban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56. cikkének d) pontja, 474. cikke, 475. cikkének (4) bekezdése, valamint 478. cikke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CRR 56. cikkének d) pontja szerinti eredeti levonás.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rsidRPr="00F66592">
              <w:rPr>
                <w:u w:val="single"/>
              </w:rPr>
              <w:tab/>
            </w:r>
            <w:r>
              <w:rPr>
                <w:rStyle w:val="InstructionsTabelleberschrift"/>
                <w:rFonts w:ascii="Times New Roman" w:hAnsi="Times New Roman"/>
                <w:sz w:val="24"/>
              </w:rPr>
              <w:t>Pénzügyi ágazatbeli szervezetek által kibocsátott T2 t</w:t>
            </w:r>
            <w:r>
              <w:rPr>
                <w:rStyle w:val="InstructionsTabelleberschrift"/>
                <w:rFonts w:ascii="Times New Roman" w:hAnsi="Times New Roman"/>
                <w:sz w:val="24"/>
              </w:rPr>
              <w:t>ő</w:t>
            </w:r>
            <w:r>
              <w:rPr>
                <w:rStyle w:val="InstructionsTabelleberschrift"/>
                <w:rFonts w:ascii="Times New Roman" w:hAnsi="Times New Roman"/>
                <w:sz w:val="24"/>
              </w:rPr>
              <w:t xml:space="preserve">keinstrumentumok, ha az </w:t>
            </w:r>
            <w:proofErr w:type="gramStart"/>
            <w:r>
              <w:rPr>
                <w:rStyle w:val="InstructionsTabelleberschrift"/>
                <w:rFonts w:ascii="Times New Roman" w:hAnsi="Times New Roman"/>
                <w:sz w:val="24"/>
              </w:rPr>
              <w:t>intézmény jelentős</w:t>
            </w:r>
            <w:proofErr w:type="gramEnd"/>
            <w:r>
              <w:rPr>
                <w:rStyle w:val="InstructionsTabelleberschrift"/>
                <w:rFonts w:ascii="Times New Roman" w:hAnsi="Times New Roman"/>
                <w:sz w:val="24"/>
              </w:rPr>
              <w:t xml:space="preserve"> részesedéssel rendelkezik az említett vállalkozásokban</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66. cikkének d) pontja, 476. cikke, 477. cikkének (4) bekezdése, valamint 478. cikke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sor 060. oszlopában feltüntetendő érték: a CRR 66. cikkének d) pontja szerinti eredeti levonás.</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425</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sidRPr="00F66592">
              <w:rPr>
                <w:u w:val="single"/>
              </w:rPr>
              <w:tab/>
            </w:r>
            <w:r>
              <w:rPr>
                <w:rStyle w:val="InstructionsTabelleberschrift"/>
                <w:rFonts w:ascii="Times New Roman" w:hAnsi="Times New Roman"/>
                <w:sz w:val="24"/>
              </w:rPr>
              <w:t>Mentesség a biztosítókban lévő tulajdoni részesedésnek a CET1 tőkeelemekből történő levonása alól</w:t>
            </w:r>
          </w:p>
          <w:p w:rsidR="00A60195" w:rsidRPr="00392FFD" w:rsidRDefault="000F1CE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471. cikke</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430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sidRPr="00F66592">
              <w:rPr>
                <w:u w:val="single"/>
              </w:rPr>
              <w:tab/>
            </w:r>
            <w:r>
              <w:rPr>
                <w:rStyle w:val="InstructionsTabelleberschrift"/>
                <w:rFonts w:ascii="Times New Roman" w:hAnsi="Times New Roman"/>
                <w:sz w:val="24"/>
              </w:rPr>
              <w:t>További szűrők és levonások</w:t>
            </w:r>
          </w:p>
          <w:p w:rsidR="00A60195" w:rsidRPr="00392FFD" w:rsidRDefault="00A60195" w:rsidP="007106FB">
            <w:pPr>
              <w:spacing w:before="0"/>
              <w:rPr>
                <w:rStyle w:val="InstructionsTabelleText"/>
                <w:rFonts w:ascii="Times New Roman" w:hAnsi="Times New Roman"/>
                <w:sz w:val="24"/>
              </w:rPr>
            </w:pPr>
            <w:r>
              <w:rPr>
                <w:rStyle w:val="InstructionsTabelleText"/>
                <w:rFonts w:ascii="Times New Roman" w:hAnsi="Times New Roman"/>
                <w:sz w:val="24"/>
              </w:rPr>
              <w:t>A CRR 481. cikke</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Ez a sor a további szűrőkre és levonásokra vonatkozó átmeneti rendelkez</w:t>
            </w:r>
            <w:r>
              <w:rPr>
                <w:rStyle w:val="InstructionsTabelleText"/>
                <w:rFonts w:ascii="Times New Roman" w:hAnsi="Times New Roman"/>
                <w:sz w:val="24"/>
              </w:rPr>
              <w:t>é</w:t>
            </w:r>
            <w:r>
              <w:rPr>
                <w:rStyle w:val="InstructionsTabelleText"/>
                <w:rFonts w:ascii="Times New Roman" w:hAnsi="Times New Roman"/>
                <w:sz w:val="24"/>
              </w:rPr>
              <w:t>sek általános hatását mutatja.</w:t>
            </w:r>
          </w:p>
          <w:p w:rsidR="00783881"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481. cikkével összhangban az intézmények az 1.3.3. tételben adatot szolgáltatnak a 2006/48/EK irányelv 57. és 66. cikkét, valamint a 2006/49/EK irányelv 13. és 16. cikkét átültető nemzeti intézkedések által előírt, a CRR második része szerint azonban elő nem írt szűrőkről és lev</w:t>
            </w:r>
            <w:r>
              <w:rPr>
                <w:rStyle w:val="InstructionsTabelleText"/>
                <w:rFonts w:ascii="Times New Roman" w:hAnsi="Times New Roman"/>
                <w:sz w:val="24"/>
              </w:rPr>
              <w:t>o</w:t>
            </w:r>
            <w:r>
              <w:rPr>
                <w:rStyle w:val="InstructionsTabelleText"/>
                <w:rFonts w:ascii="Times New Roman" w:hAnsi="Times New Roman"/>
                <w:sz w:val="24"/>
              </w:rPr>
              <w:t xml:space="preserve">násokról. </w:t>
            </w:r>
          </w:p>
        </w:tc>
      </w:tr>
      <w:tr w:rsidR="008B695F" w:rsidRPr="00392FFD" w:rsidTr="00672D2A">
        <w:tc>
          <w:tcPr>
            <w:tcW w:w="1012" w:type="dxa"/>
          </w:tcPr>
          <w:p w:rsidR="008B695F" w:rsidRPr="00392FFD" w:rsidRDefault="008B695F" w:rsidP="00FD239F">
            <w:pPr>
              <w:pStyle w:val="InstructionsText"/>
              <w:rPr>
                <w:rStyle w:val="InstructionsTabelleText"/>
                <w:rFonts w:ascii="Times New Roman" w:hAnsi="Times New Roman"/>
                <w:sz w:val="24"/>
              </w:rPr>
            </w:pPr>
            <w:r>
              <w:rPr>
                <w:rStyle w:val="InstructionsTabelleText"/>
                <w:rFonts w:ascii="Times New Roman" w:hAnsi="Times New Roman"/>
                <w:sz w:val="24"/>
              </w:rPr>
              <w:t>440</w:t>
            </w:r>
          </w:p>
        </w:tc>
        <w:tc>
          <w:tcPr>
            <w:tcW w:w="7478" w:type="dxa"/>
          </w:tcPr>
          <w:p w:rsidR="008B695F" w:rsidRDefault="008B69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rsidRPr="00F66592">
              <w:rPr>
                <w:u w:val="single"/>
              </w:rPr>
              <w:tab/>
            </w:r>
            <w:r>
              <w:rPr>
                <w:rStyle w:val="InstructionsTabelleberschrift"/>
                <w:rFonts w:ascii="Times New Roman" w:hAnsi="Times New Roman"/>
                <w:sz w:val="24"/>
              </w:rPr>
              <w:t>Az IFRS 9-hez kapcsolódó átmeneti intézkedések miatti kiigaz</w:t>
            </w:r>
            <w:r>
              <w:rPr>
                <w:rStyle w:val="InstructionsTabelleberschrift"/>
                <w:rFonts w:ascii="Times New Roman" w:hAnsi="Times New Roman"/>
                <w:sz w:val="24"/>
              </w:rPr>
              <w:t>í</w:t>
            </w:r>
            <w:r>
              <w:rPr>
                <w:rStyle w:val="InstructionsTabelleberschrift"/>
                <w:rFonts w:ascii="Times New Roman" w:hAnsi="Times New Roman"/>
                <w:sz w:val="24"/>
              </w:rPr>
              <w:t>tások</w:t>
            </w:r>
          </w:p>
          <w:p w:rsidR="008B695F" w:rsidRPr="008B695F" w:rsidRDefault="009247A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intézmények az IFRS 9 miatti átmeneti intézkedésekkel összefüggésben szolgáltatnak adatokat az alkalmazandó jogszabályi rendelkezéseknek megfelelően.</w:t>
            </w:r>
          </w:p>
        </w:tc>
      </w:tr>
    </w:tbl>
    <w:p w:rsidR="002648B0" w:rsidRPr="00392FFD" w:rsidRDefault="002648B0" w:rsidP="00D946DB">
      <w:pPr>
        <w:spacing w:after="0"/>
        <w:rPr>
          <w:rFonts w:ascii="Times New Roman" w:hAnsi="Times New Roman"/>
          <w:sz w:val="24"/>
        </w:rPr>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6" w:name="_Toc361666252"/>
      <w:bookmarkStart w:id="107" w:name="_Toc308175839"/>
      <w:bookmarkStart w:id="108" w:name="_Toc516210620"/>
      <w:bookmarkStart w:id="109" w:name="_Toc473560885"/>
      <w:bookmarkStart w:id="110" w:name="_Toc524014679"/>
      <w:bookmarkStart w:id="111" w:name="_Toc360188337"/>
      <w:bookmarkEnd w:id="106"/>
      <w:r>
        <w:rPr>
          <w:rFonts w:ascii="Times New Roman" w:hAnsi="Times New Roman"/>
          <w:sz w:val="24"/>
          <w:u w:val="none"/>
        </w:rPr>
        <w:lastRenderedPageBreak/>
        <w:t>1.6.3.</w:t>
      </w:r>
      <w:r w:rsidRPr="00F66592">
        <w:rPr>
          <w:u w:val="none"/>
        </w:rPr>
        <w:tab/>
      </w:r>
      <w:r>
        <w:rPr>
          <w:rFonts w:ascii="Times New Roman" w:hAnsi="Times New Roman"/>
          <w:sz w:val="24"/>
        </w:rPr>
        <w:t>C 05.02 – SZERZETT JOGOK ALAPJÁN FIGYELEMBE VETT TŐKEINSTR</w:t>
      </w:r>
      <w:r>
        <w:rPr>
          <w:rFonts w:ascii="Times New Roman" w:hAnsi="Times New Roman"/>
          <w:sz w:val="24"/>
        </w:rPr>
        <w:t>U</w:t>
      </w:r>
      <w:r>
        <w:rPr>
          <w:rFonts w:ascii="Times New Roman" w:hAnsi="Times New Roman"/>
          <w:sz w:val="24"/>
        </w:rPr>
        <w:t>MENTUMOK: ÁLLAMI TÁMOGATÁSNAK NEM MINŐSÜLŐ INSTRUMENT</w:t>
      </w:r>
      <w:r>
        <w:rPr>
          <w:rFonts w:ascii="Times New Roman" w:hAnsi="Times New Roman"/>
          <w:sz w:val="24"/>
        </w:rPr>
        <w:t>U</w:t>
      </w:r>
      <w:r>
        <w:rPr>
          <w:rFonts w:ascii="Times New Roman" w:hAnsi="Times New Roman"/>
          <w:sz w:val="24"/>
        </w:rPr>
        <w:t>MOK (CA5.2)</w:t>
      </w:r>
      <w:bookmarkEnd w:id="107"/>
      <w:bookmarkEnd w:id="108"/>
      <w:bookmarkEnd w:id="109"/>
      <w:bookmarkEnd w:id="110"/>
      <w:bookmarkEnd w:id="111"/>
    </w:p>
    <w:p w:rsidR="00783881" w:rsidRPr="00392FFD" w:rsidRDefault="00125707" w:rsidP="00C37B29">
      <w:pPr>
        <w:pStyle w:val="InstructionsText2"/>
        <w:numPr>
          <w:ilvl w:val="0"/>
          <w:numId w:val="0"/>
        </w:numPr>
        <w:ind w:left="993"/>
      </w:pPr>
      <w:r>
        <w:t>25.</w:t>
      </w:r>
      <w:r>
        <w:tab/>
        <w:t>Az intézmények a szerzett jogok alapján figyelembe vett, állami támogatásnak nem minősülő instrumentumokra vonatkozó átmeneti rendelkezésekkel összefü</w:t>
      </w:r>
      <w:r>
        <w:t>g</w:t>
      </w:r>
      <w:r>
        <w:t>gésben szolgáltatnak adatokat (a CRR 484–491. cikke).</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12" w:name="_Toc360188338"/>
      <w:bookmarkStart w:id="113" w:name="_Toc516210621"/>
      <w:bookmarkStart w:id="114" w:name="_Toc473560886"/>
      <w:bookmarkStart w:id="115" w:name="_Toc524014680"/>
      <w:r>
        <w:rPr>
          <w:rFonts w:ascii="Times New Roman" w:hAnsi="Times New Roman"/>
          <w:sz w:val="24"/>
          <w:u w:val="none"/>
        </w:rPr>
        <w:t>1.6.3.1.</w:t>
      </w:r>
      <w:r w:rsidRPr="00F66592">
        <w:rPr>
          <w:u w:val="none"/>
        </w:rPr>
        <w:tab/>
      </w:r>
      <w:r>
        <w:rPr>
          <w:rFonts w:ascii="Times New Roman" w:hAnsi="Times New Roman"/>
          <w:sz w:val="24"/>
        </w:rPr>
        <w:t>A tábla egyes részeire vonatkozó útmutató</w:t>
      </w:r>
      <w:bookmarkEnd w:id="112"/>
      <w:bookmarkEnd w:id="113"/>
      <w:bookmarkEnd w:id="114"/>
      <w:bookmarkEnd w:id="115"/>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Oszlopok</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Az instrumentumok kapcsolódó ázsióval növelt értéke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 CRR 484. cikkének (3)–(5) bekezdése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Az egyes sorokban figyelembe vehető instrumentumok a kapcsolódó ázs</w:t>
            </w:r>
            <w:r>
              <w:rPr>
                <w:rStyle w:val="InstructionsTabelleText"/>
                <w:rFonts w:ascii="Times New Roman" w:hAnsi="Times New Roman"/>
                <w:sz w:val="24"/>
              </w:rPr>
              <w:t>i</w:t>
            </w:r>
            <w:r>
              <w:rPr>
                <w:rStyle w:val="InstructionsTabelleText"/>
                <w:rFonts w:ascii="Times New Roman" w:hAnsi="Times New Roman"/>
                <w:sz w:val="24"/>
              </w:rPr>
              <w:t>óval együtt.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A korlátszámítás alapja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 CRR 486. cikkének (2)–(4) bekezdése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Alkalmazandó százalékos arány</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 CRR 486. cikkének (5) bekezdése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Korlát</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 CRR 486. cikkének (2)–(5) bekezdése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 A szerzett jogok figyelembevételének korlátját meghaladó összeg</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 CRR 486. cikkének (2)–(5) bekezdése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A szerzett jogok alapján figyelembe vett teljes összeg</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 feltüntetendő értékek megegyeznek a CA5.1. tábla 060-as sorának me</w:t>
            </w:r>
            <w:r>
              <w:rPr>
                <w:rStyle w:val="InstructionsTabelleText"/>
                <w:rFonts w:ascii="Times New Roman" w:hAnsi="Times New Roman"/>
                <w:sz w:val="24"/>
              </w:rPr>
              <w:t>g</w:t>
            </w:r>
            <w:r>
              <w:rPr>
                <w:rStyle w:val="InstructionsTabelleText"/>
                <w:rFonts w:ascii="Times New Roman" w:hAnsi="Times New Roman"/>
                <w:sz w:val="24"/>
              </w:rPr>
              <w:t>felelő oszlopaiban megadott összegekkel.</w:t>
            </w:r>
          </w:p>
        </w:tc>
      </w:tr>
    </w:tbl>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pPr>
            <w:r>
              <w:t>Sorok</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Pr="00F66592">
              <w:rPr>
                <w:u w:val="single"/>
              </w:rPr>
              <w:tab/>
            </w:r>
            <w:r>
              <w:rPr>
                <w:rStyle w:val="InstructionsTabelleberschrift"/>
                <w:rFonts w:ascii="Times New Roman" w:hAnsi="Times New Roman"/>
                <w:sz w:val="24"/>
              </w:rPr>
              <w:t>A 2006/48/EK irányelv 57. cikkének a) pontja értelmében a sz</w:t>
            </w:r>
            <w:r>
              <w:rPr>
                <w:rStyle w:val="InstructionsTabelleberschrift"/>
                <w:rFonts w:ascii="Times New Roman" w:hAnsi="Times New Roman"/>
                <w:sz w:val="24"/>
              </w:rPr>
              <w:t>a</w:t>
            </w:r>
            <w:r>
              <w:rPr>
                <w:rStyle w:val="InstructionsTabelleberschrift"/>
                <w:rFonts w:ascii="Times New Roman" w:hAnsi="Times New Roman"/>
                <w:sz w:val="24"/>
              </w:rPr>
              <w:t>vatoló tőkében figyelembe vett instrumentumok</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 CRR 484. cikkének (3) bekezdése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w:t>
            </w:r>
            <w:r w:rsidRPr="00F66592">
              <w:rPr>
                <w:u w:val="single"/>
              </w:rPr>
              <w:tab/>
            </w:r>
            <w:r>
              <w:rPr>
                <w:rStyle w:val="InstructionsTabelleberschrift"/>
                <w:rFonts w:ascii="Times New Roman" w:hAnsi="Times New Roman"/>
                <w:sz w:val="24"/>
              </w:rPr>
              <w:t>A 2006/48/EK irányelv 57. cikkének ca) pontja, valamint 154. cikkének (8) és (9) bekezdése értelmében figyelembe vett instrume</w:t>
            </w:r>
            <w:r>
              <w:rPr>
                <w:rStyle w:val="InstructionsTabelleberschrift"/>
                <w:rFonts w:ascii="Times New Roman" w:hAnsi="Times New Roman"/>
                <w:sz w:val="24"/>
              </w:rPr>
              <w:t>n</w:t>
            </w:r>
            <w:r>
              <w:rPr>
                <w:rStyle w:val="InstructionsTabelleberschrift"/>
                <w:rFonts w:ascii="Times New Roman" w:hAnsi="Times New Roman"/>
                <w:sz w:val="24"/>
              </w:rPr>
              <w:t>tumok, a 489. cikkben rögzített korlát alkalmazásával</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 CRR 484. cikkének (4) bekezdése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496C53"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2.1.</w:t>
            </w:r>
            <w:r w:rsidRPr="00F66592">
              <w:rPr>
                <w:u w:val="single"/>
              </w:rPr>
              <w:tab/>
            </w:r>
            <w:r>
              <w:rPr>
                <w:rStyle w:val="InstructionsTabelleberschrift"/>
                <w:rFonts w:ascii="Times New Roman" w:hAnsi="Times New Roman"/>
                <w:sz w:val="24"/>
              </w:rPr>
              <w:t>Visszavásárlásra nem ösztönző, visszahívási opciót nem tarta</w:t>
            </w:r>
            <w:r>
              <w:rPr>
                <w:rStyle w:val="InstructionsTabelleberschrift"/>
                <w:rFonts w:ascii="Times New Roman" w:hAnsi="Times New Roman"/>
                <w:sz w:val="24"/>
              </w:rPr>
              <w:t>l</w:t>
            </w:r>
            <w:r>
              <w:rPr>
                <w:rStyle w:val="InstructionsTabelleberschrift"/>
                <w:rFonts w:ascii="Times New Roman" w:hAnsi="Times New Roman"/>
                <w:sz w:val="24"/>
              </w:rPr>
              <w:t>mazó instrumentumok összesen</w:t>
            </w:r>
          </w:p>
          <w:p w:rsidR="002648B0" w:rsidRPr="000F1CEA"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lastRenderedPageBreak/>
              <w:t>A CRR 484. cikke (1) bekezdésének 4. pontja és 489. cikke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w:t>
            </w:r>
            <w:r w:rsidRPr="00F66592">
              <w:rPr>
                <w:u w:val="single"/>
              </w:rPr>
              <w:tab/>
            </w:r>
            <w:r>
              <w:rPr>
                <w:rStyle w:val="InstructionsTabelleberschrift"/>
                <w:rFonts w:ascii="Times New Roman" w:hAnsi="Times New Roman"/>
                <w:sz w:val="24"/>
              </w:rPr>
              <w:t>Visszavásárlásra ösztönző, visszahívási opciót tartalmazó, de a szerzett jogok alapján figyelembe vett instrumentumok</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 CRR 489. cikke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2.2.1.</w:t>
            </w:r>
            <w:r w:rsidRPr="00F66592">
              <w:rPr>
                <w:u w:val="single"/>
              </w:rPr>
              <w:tab/>
            </w:r>
            <w:r>
              <w:rPr>
                <w:rStyle w:val="InstructionsTabelleberschrift"/>
                <w:rFonts w:ascii="Times New Roman" w:hAnsi="Times New Roman"/>
                <w:sz w:val="24"/>
              </w:rPr>
              <w:t>Az adatszolgáltatás időpontja után érvényesíthető visszahívási opcióval rendelkező, a CRR 52. cikkében foglalt feltételeket a tényleges lejáratot követően teljesítő instrumentumok</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489. cikkének (3) bekezdése, valamint 491. cikkének a) pontja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2.2.2.</w:t>
            </w:r>
            <w:r w:rsidRPr="00F66592">
              <w:rPr>
                <w:u w:val="single"/>
              </w:rPr>
              <w:tab/>
            </w:r>
            <w:r>
              <w:rPr>
                <w:rStyle w:val="InstructionsTabelleberschrift"/>
                <w:rFonts w:ascii="Times New Roman" w:hAnsi="Times New Roman"/>
                <w:sz w:val="24"/>
              </w:rPr>
              <w:t>Az adatszolgáltatás időpontja után érvényesíthető visszahívási opcióval rendelkező, a CRR 52. cikkében foglalt feltételeket a tényleges lejáratot követően nem teljesítő instrumentumok</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 CRR 489. cikkének (5) bekezdése, valamint 491. cikkének a) pontja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2.2.3.</w:t>
            </w:r>
            <w:r w:rsidRPr="00F66592">
              <w:rPr>
                <w:u w:val="single"/>
              </w:rPr>
              <w:tab/>
            </w:r>
            <w:r>
              <w:rPr>
                <w:rStyle w:val="InstructionsTabelleberschrift"/>
                <w:rFonts w:ascii="Times New Roman" w:hAnsi="Times New Roman"/>
                <w:sz w:val="24"/>
              </w:rPr>
              <w:t>2011. július 20-ig érvényesíthető visszahívási opcióval rendelk</w:t>
            </w:r>
            <w:r>
              <w:rPr>
                <w:rStyle w:val="InstructionsTabelleberschrift"/>
                <w:rFonts w:ascii="Times New Roman" w:hAnsi="Times New Roman"/>
                <w:sz w:val="24"/>
              </w:rPr>
              <w:t>e</w:t>
            </w:r>
            <w:r>
              <w:rPr>
                <w:rStyle w:val="InstructionsTabelleberschrift"/>
                <w:rFonts w:ascii="Times New Roman" w:hAnsi="Times New Roman"/>
                <w:sz w:val="24"/>
              </w:rPr>
              <w:t>ző, a CRR 52. cikkében foglalt feltételeket a tényleges lejáratot követ</w:t>
            </w:r>
            <w:r>
              <w:rPr>
                <w:rStyle w:val="InstructionsTabelleberschrift"/>
                <w:rFonts w:ascii="Times New Roman" w:hAnsi="Times New Roman"/>
                <w:sz w:val="24"/>
              </w:rPr>
              <w:t>ő</w:t>
            </w:r>
            <w:r>
              <w:rPr>
                <w:rStyle w:val="InstructionsTabelleberschrift"/>
                <w:rFonts w:ascii="Times New Roman" w:hAnsi="Times New Roman"/>
                <w:sz w:val="24"/>
              </w:rPr>
              <w:t>en nem teljesítő instrumentumok</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 CRR 489. cikkének (6) bekezdése, valamint 491. cikkének c) pontja</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2.3.</w:t>
            </w:r>
            <w:r w:rsidRPr="00F66592">
              <w:rPr>
                <w:u w:val="single"/>
              </w:rPr>
              <w:tab/>
            </w:r>
            <w:r>
              <w:rPr>
                <w:rStyle w:val="InstructionsTabelleberschrift"/>
                <w:rFonts w:ascii="Times New Roman" w:hAnsi="Times New Roman"/>
                <w:sz w:val="24"/>
              </w:rPr>
              <w:t>A szerzett jogok alapján figyelembe vett CET1 tőkeinstrume</w:t>
            </w:r>
            <w:r>
              <w:rPr>
                <w:rStyle w:val="InstructionsTabelleberschrift"/>
                <w:rFonts w:ascii="Times New Roman" w:hAnsi="Times New Roman"/>
                <w:sz w:val="24"/>
              </w:rPr>
              <w:t>n</w:t>
            </w:r>
            <w:r>
              <w:rPr>
                <w:rStyle w:val="InstructionsTabelleberschrift"/>
                <w:rFonts w:ascii="Times New Roman" w:hAnsi="Times New Roman"/>
                <w:sz w:val="24"/>
              </w:rPr>
              <w:t>tumok korlátját meghaladó érték</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487. cikkének (1) bekezdése</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szerzett jogok alapján figyelembe vett CET1 tőkeinstrumentumok ko</w:t>
            </w:r>
            <w:r>
              <w:rPr>
                <w:rStyle w:val="InstructionsTabelleText"/>
                <w:rFonts w:ascii="Times New Roman" w:hAnsi="Times New Roman"/>
                <w:sz w:val="24"/>
              </w:rPr>
              <w:t>r</w:t>
            </w:r>
            <w:r>
              <w:rPr>
                <w:rStyle w:val="InstructionsTabelleText"/>
                <w:rFonts w:ascii="Times New Roman" w:hAnsi="Times New Roman"/>
                <w:sz w:val="24"/>
              </w:rPr>
              <w:t>látját meghaladó érték olyan eszközként kezelhető, amely az AT1 tőkén belül a szerzett jogok alapján figyelembe vehető.</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w:t>
            </w:r>
            <w:r w:rsidRPr="00F66592">
              <w:rPr>
                <w:u w:val="single"/>
              </w:rPr>
              <w:tab/>
            </w:r>
            <w:r>
              <w:rPr>
                <w:rStyle w:val="InstructionsTabelleberschrift"/>
                <w:rFonts w:ascii="Times New Roman" w:hAnsi="Times New Roman"/>
                <w:sz w:val="24"/>
              </w:rPr>
              <w:t>A 2006/48/EK irányelv 57. cikkének e), f), g) vagy h) pontja é</w:t>
            </w:r>
            <w:r>
              <w:rPr>
                <w:rStyle w:val="InstructionsTabelleberschrift"/>
                <w:rFonts w:ascii="Times New Roman" w:hAnsi="Times New Roman"/>
                <w:sz w:val="24"/>
              </w:rPr>
              <w:t>r</w:t>
            </w:r>
            <w:r>
              <w:rPr>
                <w:rStyle w:val="InstructionsTabelleberschrift"/>
                <w:rFonts w:ascii="Times New Roman" w:hAnsi="Times New Roman"/>
                <w:sz w:val="24"/>
              </w:rPr>
              <w:t>telmében figyelembe vett tételek, a 490. cikkben rögzített korlát alka</w:t>
            </w:r>
            <w:r>
              <w:rPr>
                <w:rStyle w:val="InstructionsTabelleberschrift"/>
                <w:rFonts w:ascii="Times New Roman" w:hAnsi="Times New Roman"/>
                <w:sz w:val="24"/>
              </w:rPr>
              <w:t>l</w:t>
            </w:r>
            <w:r>
              <w:rPr>
                <w:rStyle w:val="InstructionsTabelleberschrift"/>
                <w:rFonts w:ascii="Times New Roman" w:hAnsi="Times New Roman"/>
                <w:sz w:val="24"/>
              </w:rPr>
              <w:t>mazásával</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 CRR 484. cikkének (5) bekezdése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3.1.</w:t>
            </w:r>
            <w:r w:rsidRPr="00F66592">
              <w:rPr>
                <w:u w:val="single"/>
              </w:rPr>
              <w:tab/>
            </w:r>
            <w:r>
              <w:rPr>
                <w:rStyle w:val="InstructionsTabelleberschrift"/>
                <w:rFonts w:ascii="Times New Roman" w:hAnsi="Times New Roman"/>
                <w:sz w:val="24"/>
              </w:rPr>
              <w:t>Visszavásárlásra nem ösztönző tételek összesen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490. cikke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w:t>
            </w:r>
            <w:r w:rsidRPr="00F66592">
              <w:rPr>
                <w:u w:val="single"/>
              </w:rPr>
              <w:tab/>
            </w:r>
            <w:r>
              <w:rPr>
                <w:rStyle w:val="InstructionsTabelleberschrift"/>
                <w:rFonts w:ascii="Times New Roman" w:hAnsi="Times New Roman"/>
                <w:sz w:val="24"/>
              </w:rPr>
              <w:t>Visszavásárlásra ösztönző, a szerzett jogok alapján figyelembe vett tételek</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CRR 490. cikke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3.2.1.</w:t>
            </w:r>
            <w:r w:rsidRPr="00F66592">
              <w:rPr>
                <w:u w:val="single"/>
              </w:rPr>
              <w:tab/>
            </w:r>
            <w:r>
              <w:rPr>
                <w:rStyle w:val="InstructionsTabelleberschrift"/>
                <w:rFonts w:ascii="Times New Roman" w:hAnsi="Times New Roman"/>
                <w:sz w:val="24"/>
              </w:rPr>
              <w:t>Az adatszolgáltatás időpontja után érvényesíthető visszahívási opcióval rendelkező, a CRR 63. cikkében foglalt feltételeket a tényleges lejáratot követően teljesítő tételek</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 CRR 490. cikkének (3) bekezdése, valamint 491. cikkének a) pontja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lastRenderedPageBreak/>
              <w:t>A feltüntetendő érték magában foglalja a kapcsolódó ázsiót.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130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3.2.2.</w:t>
            </w:r>
            <w:r w:rsidRPr="00F66592">
              <w:rPr>
                <w:u w:val="single"/>
              </w:rPr>
              <w:tab/>
            </w:r>
            <w:r>
              <w:rPr>
                <w:rStyle w:val="InstructionsTabelleberschrift"/>
                <w:rFonts w:ascii="Times New Roman" w:hAnsi="Times New Roman"/>
                <w:sz w:val="24"/>
              </w:rPr>
              <w:t>Az adatszolgáltatás időpontja után érvényesíthető visszahívási opcióval rendelkező, a CRR 63. cikkében foglalt feltételeket a tényleges lejáratot követően nem teljesítő tételek</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 CRR 490. cikkének (5) bekezdése, valamint 491. cikkének a) pontja</w:t>
            </w:r>
          </w:p>
          <w:p w:rsidR="002648B0" w:rsidRPr="00392FFD" w:rsidRDefault="007C3B71" w:rsidP="007106FB">
            <w:pPr>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496C53"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3.2.3.</w:t>
            </w:r>
            <w:r w:rsidRPr="00F66592">
              <w:rPr>
                <w:u w:val="single"/>
              </w:rPr>
              <w:tab/>
            </w:r>
            <w:r>
              <w:rPr>
                <w:rStyle w:val="InstructionsTabelleberschrift"/>
                <w:rFonts w:ascii="Times New Roman" w:hAnsi="Times New Roman"/>
                <w:sz w:val="24"/>
              </w:rPr>
              <w:t>2011. július 20-ig érvényesíthető visszahívási opcióval rendelk</w:t>
            </w:r>
            <w:r>
              <w:rPr>
                <w:rStyle w:val="InstructionsTabelleberschrift"/>
                <w:rFonts w:ascii="Times New Roman" w:hAnsi="Times New Roman"/>
                <w:sz w:val="24"/>
              </w:rPr>
              <w:t>e</w:t>
            </w:r>
            <w:r>
              <w:rPr>
                <w:rStyle w:val="InstructionsTabelleberschrift"/>
                <w:rFonts w:ascii="Times New Roman" w:hAnsi="Times New Roman"/>
                <w:sz w:val="24"/>
              </w:rPr>
              <w:t>ző, a CRR 63. cikkében foglalt feltételeket a tényleges lejáratot követ</w:t>
            </w:r>
            <w:r>
              <w:rPr>
                <w:rStyle w:val="InstructionsTabelleberschrift"/>
                <w:rFonts w:ascii="Times New Roman" w:hAnsi="Times New Roman"/>
                <w:sz w:val="24"/>
              </w:rPr>
              <w:t>ő</w:t>
            </w:r>
            <w:r>
              <w:rPr>
                <w:rStyle w:val="InstructionsTabelleberschrift"/>
                <w:rFonts w:ascii="Times New Roman" w:hAnsi="Times New Roman"/>
                <w:sz w:val="24"/>
              </w:rPr>
              <w:t>en nem teljesítő tételek</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 CRR 490. cikkének (6) bekezdése, valamint 491. cikkének c) pontja </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3.3.</w:t>
            </w:r>
            <w:r w:rsidRPr="00F66592">
              <w:rPr>
                <w:u w:val="single"/>
              </w:rPr>
              <w:tab/>
            </w:r>
            <w:r>
              <w:rPr>
                <w:rStyle w:val="InstructionsTabelleberschrift"/>
                <w:rFonts w:ascii="Times New Roman" w:hAnsi="Times New Roman"/>
                <w:sz w:val="24"/>
              </w:rPr>
              <w:t>A szerzett jogok alapján figyelembe vett AT1 tőkeinstrume</w:t>
            </w:r>
            <w:r>
              <w:rPr>
                <w:rStyle w:val="InstructionsTabelleberschrift"/>
                <w:rFonts w:ascii="Times New Roman" w:hAnsi="Times New Roman"/>
                <w:sz w:val="24"/>
              </w:rPr>
              <w:t>n</w:t>
            </w:r>
            <w:r>
              <w:rPr>
                <w:rStyle w:val="InstructionsTabelleberschrift"/>
                <w:rFonts w:ascii="Times New Roman" w:hAnsi="Times New Roman"/>
                <w:sz w:val="24"/>
              </w:rPr>
              <w:t>tumok korlátját meghaladó érték</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 </w:t>
            </w:r>
            <w:r w:rsidR="00F66592">
              <w:rPr>
                <w:rStyle w:val="InstructionsTabelleText"/>
                <w:rFonts w:ascii="Times New Roman" w:hAnsi="Times New Roman"/>
                <w:sz w:val="24"/>
              </w:rPr>
              <w:t>CRR 487. cikkének (2) bekezdése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 szerzett jogok alapján figyelembe vett AT1 tőkeinstrumentumok korlá</w:t>
            </w:r>
            <w:r>
              <w:rPr>
                <w:rStyle w:val="InstructionsTabelleText"/>
                <w:rFonts w:ascii="Times New Roman" w:hAnsi="Times New Roman"/>
                <w:sz w:val="24"/>
              </w:rPr>
              <w:t>t</w:t>
            </w:r>
            <w:r>
              <w:rPr>
                <w:rStyle w:val="InstructionsTabelleText"/>
                <w:rFonts w:ascii="Times New Roman" w:hAnsi="Times New Roman"/>
                <w:sz w:val="24"/>
              </w:rPr>
              <w:t>ját meghaladó érték olyan eszközként kezelhető, amely a T2 tőkén belül a szerzett jogok alapján figyelembe vehető.</w:t>
            </w:r>
          </w:p>
        </w:tc>
      </w:tr>
    </w:tbl>
    <w:p w:rsidR="00464F34" w:rsidRPr="00392FFD" w:rsidRDefault="00464F34">
      <w:pPr>
        <w:spacing w:before="0" w:after="0"/>
        <w:jc w:val="left"/>
        <w:rPr>
          <w:rFonts w:ascii="Times New Roman" w:hAnsi="Times New Roman"/>
          <w:sz w:val="24"/>
          <w:u w:val="single"/>
        </w:rPr>
      </w:pPr>
      <w:bookmarkStart w:id="116" w:name="_Toc239157372"/>
      <w:bookmarkStart w:id="117" w:name="_Toc295829844"/>
      <w:bookmarkStart w:id="118" w:name="_Toc330394185"/>
      <w:bookmarkEnd w:id="0"/>
      <w:bookmarkEnd w:id="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19" w:name="_Toc360188339"/>
      <w:bookmarkStart w:id="120" w:name="_Toc516210622"/>
      <w:bookmarkStart w:id="121" w:name="_Toc473560887"/>
      <w:bookmarkStart w:id="122" w:name="_Toc524014681"/>
      <w:bookmarkEnd w:id="116"/>
      <w:bookmarkEnd w:id="117"/>
      <w:bookmarkEnd w:id="118"/>
      <w:r>
        <w:rPr>
          <w:rFonts w:ascii="Times New Roman" w:hAnsi="Times New Roman"/>
          <w:sz w:val="24"/>
          <w:u w:val="none"/>
        </w:rPr>
        <w:t>2.</w:t>
      </w:r>
      <w:r w:rsidRPr="00F66592">
        <w:rPr>
          <w:u w:val="none"/>
        </w:rPr>
        <w:tab/>
      </w:r>
      <w:r>
        <w:rPr>
          <w:rFonts w:ascii="Times New Roman" w:hAnsi="Times New Roman"/>
          <w:sz w:val="24"/>
        </w:rPr>
        <w:t xml:space="preserve">CSOPORTSZINTŰ SZAVATOLÓTŐKE-MEGFELELÉS: INFORMÁCIÓK </w:t>
      </w:r>
      <w:proofErr w:type="gramStart"/>
      <w:r>
        <w:rPr>
          <w:rFonts w:ascii="Times New Roman" w:hAnsi="Times New Roman"/>
          <w:sz w:val="24"/>
        </w:rPr>
        <w:t>A</w:t>
      </w:r>
      <w:proofErr w:type="gramEnd"/>
      <w:r>
        <w:rPr>
          <w:rFonts w:ascii="Times New Roman" w:hAnsi="Times New Roman"/>
          <w:sz w:val="24"/>
        </w:rPr>
        <w:t xml:space="preserve"> CS</w:t>
      </w:r>
      <w:r>
        <w:rPr>
          <w:rFonts w:ascii="Times New Roman" w:hAnsi="Times New Roman"/>
          <w:sz w:val="24"/>
        </w:rPr>
        <w:t>O</w:t>
      </w:r>
      <w:r>
        <w:rPr>
          <w:rFonts w:ascii="Times New Roman" w:hAnsi="Times New Roman"/>
          <w:sz w:val="24"/>
        </w:rPr>
        <w:t>PORTBA TARTOZÓ SZERVEZETEKRŐL (GS</w:t>
      </w:r>
      <w:bookmarkEnd w:id="119"/>
      <w:r>
        <w:rPr>
          <w:rFonts w:ascii="Times New Roman" w:hAnsi="Times New Roman"/>
          <w:sz w:val="24"/>
        </w:rPr>
        <w:t>)</w:t>
      </w:r>
      <w:bookmarkEnd w:id="120"/>
      <w:bookmarkEnd w:id="121"/>
      <w:bookmarkEnd w:id="122"/>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23" w:name="_Toc264038416"/>
      <w:bookmarkStart w:id="124" w:name="_Toc295829845"/>
      <w:bookmarkStart w:id="125" w:name="_Toc310415011"/>
      <w:bookmarkStart w:id="126" w:name="_Toc330394186"/>
      <w:bookmarkStart w:id="127" w:name="_Toc360188340"/>
      <w:bookmarkStart w:id="128" w:name="_Toc516210623"/>
      <w:bookmarkStart w:id="129" w:name="_Toc473560888"/>
      <w:bookmarkStart w:id="130" w:name="_Toc524014682"/>
      <w:r>
        <w:rPr>
          <w:rFonts w:ascii="Times New Roman" w:hAnsi="Times New Roman"/>
          <w:sz w:val="24"/>
          <w:u w:val="none"/>
        </w:rPr>
        <w:t>2.1.</w:t>
      </w:r>
      <w:r w:rsidRPr="00F66592">
        <w:rPr>
          <w:u w:val="none"/>
        </w:rPr>
        <w:tab/>
      </w:r>
      <w:r>
        <w:rPr>
          <w:rFonts w:ascii="Times New Roman" w:hAnsi="Times New Roman"/>
          <w:sz w:val="24"/>
        </w:rPr>
        <w:t>Általános megjegyzések</w:t>
      </w:r>
      <w:bookmarkEnd w:id="123"/>
      <w:bookmarkEnd w:id="124"/>
      <w:bookmarkEnd w:id="125"/>
      <w:bookmarkEnd w:id="126"/>
      <w:bookmarkEnd w:id="127"/>
      <w:bookmarkEnd w:id="128"/>
      <w:bookmarkEnd w:id="129"/>
      <w:bookmarkEnd w:id="130"/>
    </w:p>
    <w:p w:rsidR="00464F34" w:rsidRPr="00392FFD" w:rsidRDefault="00125707" w:rsidP="00C37B29">
      <w:pPr>
        <w:pStyle w:val="InstructionsText2"/>
        <w:numPr>
          <w:ilvl w:val="0"/>
          <w:numId w:val="0"/>
        </w:numPr>
        <w:ind w:left="993"/>
      </w:pPr>
      <w:r>
        <w:t>26.</w:t>
      </w:r>
      <w:r>
        <w:tab/>
        <w:t>A C 06.01-es és C 06.02-es táblán a szavatolótőke-követelmények konszolidált alapon történő számítása esetén kell adatot szolgáltatni. Ez a tábla négy részből áll, amelyek célja különböző információk gyűjtése a konszolidációs körbe bevont v</w:t>
      </w:r>
      <w:r>
        <w:t>a</w:t>
      </w:r>
      <w:r>
        <w:t>lamennyi szervezetről, ezen belül az adatot szolgáltató intézményről:</w:t>
      </w:r>
    </w:p>
    <w:p w:rsidR="00C93697" w:rsidRPr="000F1CEA" w:rsidRDefault="00125707" w:rsidP="00C37B29">
      <w:pPr>
        <w:pStyle w:val="InstructionsText2"/>
        <w:numPr>
          <w:ilvl w:val="0"/>
          <w:numId w:val="0"/>
        </w:numPr>
        <w:ind w:left="993"/>
      </w:pPr>
      <w:proofErr w:type="gramStart"/>
      <w:r>
        <w:t>a</w:t>
      </w:r>
      <w:proofErr w:type="gramEnd"/>
      <w:r>
        <w:t>)</w:t>
      </w:r>
      <w:r>
        <w:tab/>
        <w:t>a konszolidáció körébe bevont szervezetek;</w:t>
      </w:r>
    </w:p>
    <w:p w:rsidR="00C93697" w:rsidRPr="000F1CEA" w:rsidRDefault="00125707" w:rsidP="00C37B29">
      <w:pPr>
        <w:pStyle w:val="InstructionsText2"/>
        <w:numPr>
          <w:ilvl w:val="0"/>
          <w:numId w:val="0"/>
        </w:numPr>
        <w:ind w:left="993"/>
      </w:pPr>
      <w:r>
        <w:t>b)</w:t>
      </w:r>
      <w:r>
        <w:tab/>
        <w:t>részletes információk a csoportszintű szavatolótőke-megfelelésről;</w:t>
      </w:r>
    </w:p>
    <w:p w:rsidR="00C93697" w:rsidRPr="000F1CEA" w:rsidRDefault="00125707" w:rsidP="00C37B29">
      <w:pPr>
        <w:pStyle w:val="InstructionsText2"/>
        <w:numPr>
          <w:ilvl w:val="0"/>
          <w:numId w:val="0"/>
        </w:numPr>
        <w:ind w:left="993"/>
      </w:pPr>
      <w:r>
        <w:t>c)</w:t>
      </w:r>
      <w:r>
        <w:tab/>
        <w:t>az egyes szervezeteknek a csoportszintű szavatolótőke-megfeleléshez való hozzájárulásával kapcsolatos információk;</w:t>
      </w:r>
    </w:p>
    <w:p w:rsidR="00C93697" w:rsidRPr="000F1CEA" w:rsidRDefault="00125707" w:rsidP="00C37B29">
      <w:pPr>
        <w:pStyle w:val="InstructionsText2"/>
        <w:numPr>
          <w:ilvl w:val="0"/>
          <w:numId w:val="0"/>
        </w:numPr>
        <w:ind w:left="993"/>
      </w:pPr>
      <w:r>
        <w:t>d)</w:t>
      </w:r>
      <w:r>
        <w:tab/>
        <w:t>a tőkepufferekkel kapcsolatos információk.</w:t>
      </w:r>
    </w:p>
    <w:p w:rsidR="00464F34" w:rsidRPr="00392FFD" w:rsidRDefault="00125707" w:rsidP="00C37B29">
      <w:pPr>
        <w:pStyle w:val="InstructionsText2"/>
        <w:numPr>
          <w:ilvl w:val="0"/>
          <w:numId w:val="0"/>
        </w:numPr>
        <w:ind w:left="993"/>
        <w:rPr>
          <w:rStyle w:val="InstructionsTabelleText"/>
          <w:rFonts w:ascii="Times New Roman" w:hAnsi="Times New Roman"/>
          <w:sz w:val="24"/>
        </w:rPr>
      </w:pPr>
      <w:r>
        <w:rPr>
          <w:rStyle w:val="InstructionsTabelleText"/>
          <w:rFonts w:ascii="Times New Roman" w:hAnsi="Times New Roman"/>
          <w:sz w:val="24"/>
        </w:rPr>
        <w:t>27.</w:t>
      </w:r>
      <w:r>
        <w:tab/>
        <w:t xml:space="preserve">A </w:t>
      </w:r>
      <w:r>
        <w:rPr>
          <w:rStyle w:val="InstructionsTabelleText"/>
          <w:rFonts w:ascii="Times New Roman" w:hAnsi="Times New Roman"/>
          <w:sz w:val="24"/>
        </w:rPr>
        <w:t>CRR 7. cikke alapján mentesülő intézmények kizárólag</w:t>
      </w:r>
      <w:r>
        <w:t xml:space="preserve"> a 010</w:t>
      </w:r>
      <w:r>
        <w:rPr>
          <w:rStyle w:val="InstructionsTabelleText"/>
          <w:rFonts w:ascii="Times New Roman" w:hAnsi="Times New Roman"/>
          <w:sz w:val="24"/>
        </w:rPr>
        <w:t>–060-as és 250–400-as oszlopban szolgáltatnak adatot.</w:t>
      </w:r>
    </w:p>
    <w:p w:rsidR="004C0508" w:rsidRPr="00392FFD" w:rsidRDefault="00125707" w:rsidP="00C37B29">
      <w:pPr>
        <w:pStyle w:val="InstructionsText2"/>
        <w:numPr>
          <w:ilvl w:val="0"/>
          <w:numId w:val="0"/>
        </w:numPr>
        <w:ind w:left="993"/>
      </w:pPr>
      <w:r>
        <w:t>28.</w:t>
      </w:r>
      <w:r>
        <w:tab/>
        <w:t>A feltüntetett adatoknak figyelembe kell venniük a CRR összes olyan átmeneti rendelkezését, amely az adott adatszolgáltatási időpontban alkalmazandó volt.</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1" w:name="_Toc360188341"/>
      <w:bookmarkStart w:id="132" w:name="_Toc516210624"/>
      <w:bookmarkStart w:id="133" w:name="_Toc473560889"/>
      <w:bookmarkStart w:id="134" w:name="_Toc524014683"/>
      <w:r>
        <w:rPr>
          <w:rFonts w:ascii="Times New Roman" w:hAnsi="Times New Roman"/>
          <w:sz w:val="24"/>
          <w:u w:val="none"/>
        </w:rPr>
        <w:lastRenderedPageBreak/>
        <w:t>2.2.</w:t>
      </w:r>
      <w:r w:rsidRPr="00F66592">
        <w:rPr>
          <w:u w:val="none"/>
        </w:rPr>
        <w:tab/>
      </w:r>
      <w:r>
        <w:rPr>
          <w:rFonts w:ascii="Times New Roman" w:hAnsi="Times New Roman"/>
          <w:sz w:val="24"/>
        </w:rPr>
        <w:t>Részletes információk a csoportszintű szavatolótőke-megfelelésről</w:t>
      </w:r>
      <w:bookmarkEnd w:id="131"/>
      <w:bookmarkEnd w:id="132"/>
      <w:bookmarkEnd w:id="133"/>
      <w:bookmarkEnd w:id="134"/>
    </w:p>
    <w:p w:rsidR="00464F34" w:rsidRPr="00392FFD" w:rsidRDefault="00125707" w:rsidP="00C37B29">
      <w:pPr>
        <w:pStyle w:val="InstructionsText2"/>
        <w:numPr>
          <w:ilvl w:val="0"/>
          <w:numId w:val="0"/>
        </w:numPr>
        <w:ind w:left="993"/>
      </w:pPr>
      <w:r>
        <w:t>29.</w:t>
      </w:r>
      <w:r>
        <w:tab/>
        <w:t>A tábla második része (részletes információk a csoportszintű szavatolótőke-megfelelésről, 070–210-es oszlop) célja információk gyűjtése azon hitel- és egyéb szabályozott pénzügyi vállalkozásokról, amelyek egyedi alapon ténylegesen kon</w:t>
      </w:r>
      <w:r>
        <w:t>k</w:t>
      </w:r>
      <w:r>
        <w:t>rét tőkemegfelelési követelmények hatálya alá tartoznak. Az adatszolgáltatás kör</w:t>
      </w:r>
      <w:r>
        <w:t>é</w:t>
      </w:r>
      <w:r>
        <w:t>be tartozó valamennyi szervezetre vonatkozóan rögzíti az egyes kockázati kategór</w:t>
      </w:r>
      <w:r>
        <w:t>i</w:t>
      </w:r>
      <w:r>
        <w:t xml:space="preserve">ák szavatolótőke-követelményeit, valamint a tőkemegfelelés megállapításához szükséges szavatoló tőke mértékét. </w:t>
      </w:r>
    </w:p>
    <w:p w:rsidR="00464F34" w:rsidRPr="00392FFD" w:rsidRDefault="00125707" w:rsidP="00C37B29">
      <w:pPr>
        <w:pStyle w:val="InstructionsText2"/>
        <w:numPr>
          <w:ilvl w:val="0"/>
          <w:numId w:val="0"/>
        </w:numPr>
        <w:ind w:left="993"/>
      </w:pPr>
      <w:r>
        <w:t>30.</w:t>
      </w:r>
      <w:r>
        <w:tab/>
        <w:t>A részesedések arányos konszolidálása esetében a szavatolótőke-követelményekkel és a szavatoló tőkével kapcsolatos adatok az adott arányos ö</w:t>
      </w:r>
      <w:r>
        <w:t>s</w:t>
      </w:r>
      <w:r>
        <w:t>szegeknek felelnek meg.</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5" w:name="_Toc360188342"/>
      <w:bookmarkStart w:id="136" w:name="_Toc516210625"/>
      <w:bookmarkStart w:id="137" w:name="_Toc473560890"/>
      <w:bookmarkStart w:id="138" w:name="_Toc524014684"/>
      <w:r>
        <w:rPr>
          <w:rFonts w:ascii="Times New Roman" w:hAnsi="Times New Roman"/>
          <w:sz w:val="24"/>
          <w:u w:val="none"/>
        </w:rPr>
        <w:t>2.3.</w:t>
      </w:r>
      <w:r w:rsidRPr="00F66592">
        <w:rPr>
          <w:u w:val="none"/>
        </w:rPr>
        <w:tab/>
      </w:r>
      <w:r>
        <w:rPr>
          <w:rFonts w:ascii="Times New Roman" w:hAnsi="Times New Roman"/>
          <w:sz w:val="24"/>
        </w:rPr>
        <w:t>Az egyes szervezeteknek a csoportszintű szavatolótőke-megfeleléshez való hozzájár</w:t>
      </w:r>
      <w:r>
        <w:rPr>
          <w:rFonts w:ascii="Times New Roman" w:hAnsi="Times New Roman"/>
          <w:sz w:val="24"/>
        </w:rPr>
        <w:t>u</w:t>
      </w:r>
      <w:r>
        <w:rPr>
          <w:rFonts w:ascii="Times New Roman" w:hAnsi="Times New Roman"/>
          <w:sz w:val="24"/>
        </w:rPr>
        <w:t>lásával kapcsolatos információk</w:t>
      </w:r>
      <w:bookmarkEnd w:id="135"/>
      <w:bookmarkEnd w:id="136"/>
      <w:bookmarkEnd w:id="137"/>
      <w:bookmarkEnd w:id="138"/>
    </w:p>
    <w:p w:rsidR="00464F34" w:rsidRPr="00392FFD" w:rsidRDefault="00125707" w:rsidP="00C37B29">
      <w:pPr>
        <w:pStyle w:val="InstructionsText2"/>
        <w:numPr>
          <w:ilvl w:val="0"/>
          <w:numId w:val="0"/>
        </w:numPr>
        <w:ind w:left="993"/>
      </w:pPr>
      <w:r>
        <w:t>31.</w:t>
      </w:r>
      <w:r>
        <w:tab/>
      </w:r>
      <w:proofErr w:type="gramStart"/>
      <w:r>
        <w:t>A tábla harmadik része (a CRR szerinti konszolidációs körbe vont egyes sze</w:t>
      </w:r>
      <w:r>
        <w:t>r</w:t>
      </w:r>
      <w:r>
        <w:t>vezeteknek – ezen belül azoknak, amelyekre egyedi alapon nem vonatkoznak kon</w:t>
      </w:r>
      <w:r>
        <w:t>k</w:t>
      </w:r>
      <w:r>
        <w:t>rét tőkemegfelelési követelmények – a csoportszintű szavatolótőke-megfeleléshez való hozzájárulásával kapcsolatos információk, 250–400. oszlop) meghatározza, hogy a csoporton belül mely szervezetek generálják a kockázatokat és vonnak be szavatoló tőkét a piacról, amelyhez a könnyen hozzáférhető vagy könnyen újrafeldolgozható adatokat használja fel a tőkemegfelelési mutató egyedi vagy szubkonszolidált alapon történő rekonstruálása nélkül.</w:t>
      </w:r>
      <w:proofErr w:type="gramEnd"/>
      <w:r>
        <w:t xml:space="preserve"> A szervezet szintjén a ko</w:t>
      </w:r>
      <w:r>
        <w:t>c</w:t>
      </w:r>
      <w:r>
        <w:t>kázatra és a szavatoló tőkére vonatkozó adatok egyaránt a csoportszintű adatokhoz járulnak hozzá, és nem egyedi alapon számított szolvenciamutató részei, így eg</w:t>
      </w:r>
      <w:r>
        <w:t>y</w:t>
      </w:r>
      <w:r w:rsidR="00F66592">
        <w:t>mással nem hasonlíthatók össze.</w:t>
      </w:r>
    </w:p>
    <w:p w:rsidR="00464F34" w:rsidRPr="00392FFD" w:rsidRDefault="00125707" w:rsidP="00C37B29">
      <w:pPr>
        <w:pStyle w:val="InstructionsText2"/>
        <w:numPr>
          <w:ilvl w:val="0"/>
          <w:numId w:val="0"/>
        </w:numPr>
        <w:ind w:left="993"/>
      </w:pPr>
      <w:r>
        <w:t>32.</w:t>
      </w:r>
      <w:r>
        <w:tab/>
        <w:t xml:space="preserve">A harmadik rész </w:t>
      </w:r>
      <w:proofErr w:type="gramStart"/>
      <w:r>
        <w:t>ezenkívül</w:t>
      </w:r>
      <w:proofErr w:type="gramEnd"/>
      <w:r>
        <w:t xml:space="preserve"> magában foglalja a konszolidált szavatoló tőkében figyelembe vehető, a kisebbségi részesedésekbe, AT1 tőkébe és T2 tőkébe besz</w:t>
      </w:r>
      <w:r>
        <w:t>á</w:t>
      </w:r>
      <w:r>
        <w:t>mítható elemek összegét is.</w:t>
      </w:r>
    </w:p>
    <w:p w:rsidR="00464F34" w:rsidRPr="00392FFD" w:rsidRDefault="00125707" w:rsidP="00C37B29">
      <w:pPr>
        <w:pStyle w:val="InstructionsText2"/>
        <w:numPr>
          <w:ilvl w:val="0"/>
          <w:numId w:val="0"/>
        </w:numPr>
        <w:ind w:left="993"/>
      </w:pPr>
      <w:r>
        <w:t>33.</w:t>
      </w:r>
      <w:r>
        <w:tab/>
        <w:t>Mivel a tábla harmadik része „hozzájárulásokat” említ, az itt feltüntetendő ad</w:t>
      </w:r>
      <w:r>
        <w:t>a</w:t>
      </w:r>
      <w:r>
        <w:t>tok adott esetben elmaradnak a csoportszintű szavatolótőke-megfeleléssel kapcsol</w:t>
      </w:r>
      <w:r>
        <w:t>a</w:t>
      </w:r>
      <w:r>
        <w:t>tos részletes információkat tartalmazó oszlopokban megadott adatoktól.</w:t>
      </w:r>
    </w:p>
    <w:p w:rsidR="00464F34" w:rsidRPr="00392FFD" w:rsidRDefault="00125707" w:rsidP="00C37B29">
      <w:pPr>
        <w:pStyle w:val="InstructionsText2"/>
        <w:numPr>
          <w:ilvl w:val="0"/>
          <w:numId w:val="0"/>
        </w:numPr>
        <w:ind w:left="993"/>
      </w:pPr>
      <w:r>
        <w:t>34.</w:t>
      </w:r>
      <w:r>
        <w:tab/>
        <w:t>A követendő alapelv szerint mind a kockázatok, mind a szavatoló tőke sze</w:t>
      </w:r>
      <w:r>
        <w:t>m</w:t>
      </w:r>
      <w:r>
        <w:t>pontjából egységes módon kell kiküszöbölni az azonos csoporton belüli kölcsönös kitettségeket annak érdekében, hogy a csoport konszolidált CA táblában magadott értékek fedezete az egyes szervezetek csoportszintű szavatolótőke-megfelelésre v</w:t>
      </w:r>
      <w:r>
        <w:t>o</w:t>
      </w:r>
      <w:r>
        <w:t>natkozó táblában feltüntetett értékek hozzáadásával biztosítható legyen. Azokban az esetekben, amikor az 1 %-os küszöb túllépésére nem kerül sor, a CA táblához nem alkalmazható közvetlen kapcsolat.</w:t>
      </w:r>
    </w:p>
    <w:p w:rsidR="00464F34" w:rsidRPr="00392FFD" w:rsidRDefault="00125707" w:rsidP="00C37B29">
      <w:pPr>
        <w:pStyle w:val="InstructionsText2"/>
        <w:numPr>
          <w:ilvl w:val="0"/>
          <w:numId w:val="0"/>
        </w:numPr>
        <w:ind w:left="993"/>
      </w:pPr>
      <w:r>
        <w:t>35.</w:t>
      </w:r>
      <w:r>
        <w:tab/>
        <w:t xml:space="preserve">Az intézményeknek meg kell határozniuk a szervezetek közötti legcélszerűbb felosztási </w:t>
      </w:r>
      <w:proofErr w:type="gramStart"/>
      <w:r>
        <w:t>módszert</w:t>
      </w:r>
      <w:proofErr w:type="gramEnd"/>
      <w:r>
        <w:t xml:space="preserve"> a piaci kockázatot és működési kockázatot érintő esetleges d</w:t>
      </w:r>
      <w:r>
        <w:t>i</w:t>
      </w:r>
      <w:r>
        <w:t>verzifikációs hatások figyelembevétele céljából.</w:t>
      </w:r>
    </w:p>
    <w:p w:rsidR="00464F34" w:rsidRPr="00392FFD" w:rsidRDefault="00125707" w:rsidP="00C37B29">
      <w:pPr>
        <w:pStyle w:val="InstructionsText2"/>
        <w:numPr>
          <w:ilvl w:val="0"/>
          <w:numId w:val="0"/>
        </w:numPr>
        <w:ind w:left="993"/>
      </w:pPr>
      <w:r>
        <w:t>36.</w:t>
      </w:r>
      <w:r>
        <w:tab/>
        <w:t xml:space="preserve">Egy konszolidált csoport magában foglalhat egy másik konszolidált csoportot. Ez azt jelenti, hogy a részcsoportba tartozó szervezetekről külön-külön kell adatot </w:t>
      </w:r>
      <w:r>
        <w:lastRenderedPageBreak/>
        <w:t>szolgáltatni a teljes csoport GS tábláján, még akkor is, ha a részcsoportra magára is vonatkoznak adatszolgáltatási követelmények. Ha a részcsoportra adatszolgáltatási követelmények vonatkoznak, a részcsoport is benyújtja a GS táblát a csoportot a</w:t>
      </w:r>
      <w:r>
        <w:t>l</w:t>
      </w:r>
      <w:r>
        <w:t>kotó minden egyes szervezetre vonatkozóan külön-külön, annak ellenére, hogy ezeket az adatokat tartalmazza a magasabb szinten konszolidált csoportra vonatk</w:t>
      </w:r>
      <w:r>
        <w:t>o</w:t>
      </w:r>
      <w:r>
        <w:t xml:space="preserve">zó GS tábla. </w:t>
      </w:r>
    </w:p>
    <w:p w:rsidR="00464F34" w:rsidRPr="00392FFD" w:rsidRDefault="00125707" w:rsidP="00C37B29">
      <w:pPr>
        <w:pStyle w:val="InstructionsText2"/>
        <w:numPr>
          <w:ilvl w:val="0"/>
          <w:numId w:val="0"/>
        </w:numPr>
        <w:ind w:left="993"/>
      </w:pPr>
      <w:r>
        <w:t>37.</w:t>
      </w:r>
      <w:r>
        <w:tab/>
        <w:t>Az intézmény egy szervezetnek a teljes kockázati kitettségértékhez való hozz</w:t>
      </w:r>
      <w:r>
        <w:t>á</w:t>
      </w:r>
      <w:r>
        <w:t>járulásáról adatot szolgáltat akkor, ha szervezet teljes kockázati kitettségértéke meghaladja a csoport teljes kockázati kitettségértékének 1 %-át, vagy ha a szervezet teljes szavatoló tőkéje meghaladja a csoport teljes szavatoló tőkéjének 1 %-át. Ez a küszöbérték nem alkalmazandó olyan leányvállalatok vagy alcsoportok esetében, amelyek kisebbségi részesedés vagy a szavato lótőke részét képező, az AT1 tőkébe vagy T2 tőkébe beszámítható instrumentumok formájában szavatoló tőkét bocsát</w:t>
      </w:r>
      <w:r>
        <w:t>a</w:t>
      </w:r>
      <w:r>
        <w:t>nak a csoport rendelkezésére.</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39" w:name="_Toc516210626"/>
      <w:bookmarkStart w:id="140" w:name="_Toc473560891"/>
      <w:bookmarkStart w:id="141" w:name="_Toc524014685"/>
      <w:r>
        <w:rPr>
          <w:rFonts w:ascii="Times New Roman" w:hAnsi="Times New Roman"/>
          <w:sz w:val="24"/>
          <w:u w:val="none"/>
        </w:rPr>
        <w:t>2.4.</w:t>
      </w:r>
      <w:r w:rsidRPr="00F66592">
        <w:rPr>
          <w:u w:val="none"/>
        </w:rPr>
        <w:tab/>
      </w:r>
      <w:r>
        <w:rPr>
          <w:rFonts w:ascii="Times New Roman" w:hAnsi="Times New Roman"/>
          <w:sz w:val="24"/>
        </w:rPr>
        <w:t>C 06.01 – CSOPORTSZINTŰ SZAVATOLÓTŐKE-MEGFELELÉS: INFORMÁC</w:t>
      </w:r>
      <w:r>
        <w:rPr>
          <w:rFonts w:ascii="Times New Roman" w:hAnsi="Times New Roman"/>
          <w:sz w:val="24"/>
        </w:rPr>
        <w:t>I</w:t>
      </w:r>
      <w:r>
        <w:rPr>
          <w:rFonts w:ascii="Times New Roman" w:hAnsi="Times New Roman"/>
          <w:sz w:val="24"/>
        </w:rPr>
        <w:t xml:space="preserve">ÓK </w:t>
      </w:r>
      <w:proofErr w:type="gramStart"/>
      <w:r>
        <w:rPr>
          <w:rFonts w:ascii="Times New Roman" w:hAnsi="Times New Roman"/>
          <w:sz w:val="24"/>
        </w:rPr>
        <w:t>A</w:t>
      </w:r>
      <w:proofErr w:type="gramEnd"/>
      <w:r>
        <w:rPr>
          <w:rFonts w:ascii="Times New Roman" w:hAnsi="Times New Roman"/>
          <w:sz w:val="24"/>
        </w:rPr>
        <w:t xml:space="preserve"> CSOPORTBA TARTOZÓ SZERVEZETEKRŐL – ÖSSZESEN (GS TOTAL)</w:t>
      </w:r>
      <w:bookmarkEnd w:id="139"/>
      <w:bookmarkEnd w:id="140"/>
      <w:bookmarkEnd w:id="14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Oszlopok</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Útmutató</w:t>
            </w:r>
          </w:p>
        </w:tc>
      </w:tr>
      <w:tr w:rsidR="00D85AC7" w:rsidRPr="00392FFD" w:rsidTr="00672D2A">
        <w:tc>
          <w:tcPr>
            <w:tcW w:w="1188" w:type="dxa"/>
          </w:tcPr>
          <w:p w:rsidR="00D85AC7" w:rsidRPr="00392FFD" w:rsidRDefault="00D85AC7" w:rsidP="00F535E7">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A KONSZOLIDÁCIÓ KÖRÉBE BEVONT SZERVEZETEK</w:t>
            </w:r>
          </w:p>
          <w:p w:rsidR="00D85AC7" w:rsidRPr="00392FFD"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Lásd a 06.02-es táblához tartozó útmutatót.</w:t>
            </w:r>
          </w:p>
        </w:tc>
      </w:tr>
      <w:tr w:rsidR="00D85AC7" w:rsidRPr="00392FFD" w:rsidTr="00672D2A">
        <w:tc>
          <w:tcPr>
            <w:tcW w:w="1188"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TŐKEPUFFEREK</w:t>
            </w:r>
          </w:p>
          <w:p w:rsidR="00D85AC7" w:rsidRPr="00392FFD" w:rsidRDefault="00D85AC7" w:rsidP="00FF36A5">
            <w:pPr>
              <w:rPr>
                <w:rStyle w:val="InstructionsTabelleberschrift"/>
                <w:rFonts w:ascii="Times New Roman" w:hAnsi="Times New Roman"/>
                <w:sz w:val="24"/>
              </w:rPr>
            </w:pPr>
            <w:r>
              <w:rPr>
                <w:rStyle w:val="InstructionsTabelleText"/>
                <w:rFonts w:ascii="Times New Roman" w:hAnsi="Times New Roman"/>
                <w:sz w:val="24"/>
              </w:rPr>
              <w:t>Lásd a 06.02-es táblához tartozó útmutatót.</w:t>
            </w:r>
          </w:p>
        </w:tc>
      </w:tr>
    </w:tbl>
    <w:p w:rsidR="00D85AC7" w:rsidRPr="00392FFD"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Sorok</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Útmutató</w:t>
            </w:r>
          </w:p>
        </w:tc>
      </w:tr>
      <w:tr w:rsidR="00D85AC7" w:rsidRPr="00392FFD" w:rsidTr="00672D2A">
        <w:tc>
          <w:tcPr>
            <w:tcW w:w="1188" w:type="dxa"/>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ÖSSZESEN</w:t>
            </w:r>
          </w:p>
          <w:p w:rsidR="00D85AC7" w:rsidRPr="00392FFD"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Ebben a sorban a C 06.02-es tábla soraiban feltüntetett értékek összegét kell szerepe</w:t>
            </w:r>
            <w:r>
              <w:rPr>
                <w:rStyle w:val="InstructionsTabelleText"/>
                <w:rFonts w:ascii="Times New Roman" w:hAnsi="Times New Roman"/>
                <w:sz w:val="24"/>
              </w:rPr>
              <w:t>l</w:t>
            </w:r>
            <w:r>
              <w:rPr>
                <w:rStyle w:val="InstructionsTabelleText"/>
                <w:rFonts w:ascii="Times New Roman" w:hAnsi="Times New Roman"/>
                <w:sz w:val="24"/>
              </w:rPr>
              <w:t>tetni.</w:t>
            </w:r>
          </w:p>
        </w:tc>
      </w:tr>
    </w:tbl>
    <w:p w:rsidR="00D85AC7" w:rsidRPr="00392FFD" w:rsidRDefault="00D85AC7" w:rsidP="00FD239F">
      <w:pPr>
        <w:pStyle w:val="InstructionsText"/>
      </w:pPr>
    </w:p>
    <w:p w:rsidR="00D85AC7" w:rsidRPr="00392FFD" w:rsidRDefault="00125707" w:rsidP="0023700C">
      <w:pPr>
        <w:pStyle w:val="Instructionsberschrift2"/>
        <w:numPr>
          <w:ilvl w:val="0"/>
          <w:numId w:val="0"/>
        </w:numPr>
        <w:ind w:left="357" w:hanging="357"/>
        <w:rPr>
          <w:rFonts w:ascii="Times New Roman" w:hAnsi="Times New Roman" w:cs="Times New Roman"/>
          <w:sz w:val="24"/>
        </w:rPr>
      </w:pPr>
      <w:bookmarkStart w:id="142" w:name="_Toc516210627"/>
      <w:bookmarkStart w:id="143" w:name="_Toc473560892"/>
      <w:bookmarkStart w:id="144" w:name="_Toc524014686"/>
      <w:r>
        <w:rPr>
          <w:rFonts w:ascii="Times New Roman" w:hAnsi="Times New Roman"/>
          <w:sz w:val="24"/>
          <w:u w:val="none"/>
        </w:rPr>
        <w:t>2.5.</w:t>
      </w:r>
      <w:r w:rsidRPr="00F66592">
        <w:rPr>
          <w:u w:val="none"/>
        </w:rPr>
        <w:tab/>
      </w:r>
      <w:r>
        <w:rPr>
          <w:rFonts w:ascii="Times New Roman" w:hAnsi="Times New Roman"/>
          <w:sz w:val="24"/>
        </w:rPr>
        <w:t>C 06.02 – CSOPORTSZINTŰ SZAVATOLÓTŐKE-MEGFELELÉS: INFORMÁC</w:t>
      </w:r>
      <w:r>
        <w:rPr>
          <w:rFonts w:ascii="Times New Roman" w:hAnsi="Times New Roman"/>
          <w:sz w:val="24"/>
        </w:rPr>
        <w:t>I</w:t>
      </w:r>
      <w:r>
        <w:rPr>
          <w:rFonts w:ascii="Times New Roman" w:hAnsi="Times New Roman"/>
          <w:sz w:val="24"/>
        </w:rPr>
        <w:t xml:space="preserve">ÓK </w:t>
      </w:r>
      <w:proofErr w:type="gramStart"/>
      <w:r>
        <w:rPr>
          <w:rFonts w:ascii="Times New Roman" w:hAnsi="Times New Roman"/>
          <w:sz w:val="24"/>
        </w:rPr>
        <w:t>A</w:t>
      </w:r>
      <w:proofErr w:type="gramEnd"/>
      <w:r>
        <w:rPr>
          <w:rFonts w:ascii="Times New Roman" w:hAnsi="Times New Roman"/>
          <w:sz w:val="24"/>
        </w:rPr>
        <w:t xml:space="preserve"> CSOPORTBA TARTOZÓ SZERVEZETEKRŐL (GS)</w:t>
      </w:r>
      <w:bookmarkEnd w:id="142"/>
      <w:bookmarkEnd w:id="143"/>
      <w:bookmarkEnd w:id="14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c>
          <w:tcPr>
            <w:tcW w:w="1188"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Oszlopok</w:t>
            </w:r>
          </w:p>
        </w:tc>
        <w:tc>
          <w:tcPr>
            <w:tcW w:w="8640"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Útmutató</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 KONSZOLIDÁCIÓ KÖRÉBE BEVONT SZERVEZETEK</w:t>
            </w:r>
          </w:p>
          <w:p w:rsidR="00464F34" w:rsidRPr="00392FFD"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E tábla célja, hogy a</w:t>
            </w:r>
            <w:r>
              <w:rPr>
                <w:rFonts w:ascii="Times New Roman" w:hAnsi="Times New Roman"/>
                <w:sz w:val="24"/>
              </w:rPr>
              <w:t xml:space="preserve"> </w:t>
            </w:r>
            <w:r>
              <w:rPr>
                <w:rStyle w:val="InstructionsTabelleText"/>
                <w:rFonts w:ascii="Times New Roman" w:hAnsi="Times New Roman"/>
                <w:sz w:val="24"/>
              </w:rPr>
              <w:t>CRR</w:t>
            </w:r>
            <w:r>
              <w:rPr>
                <w:rFonts w:ascii="Times New Roman" w:hAnsi="Times New Roman"/>
                <w:sz w:val="24"/>
              </w:rPr>
              <w:t xml:space="preserve"> első része II. címének 2. fejezete szerinti konszolidációba bevont valamennyi szervezetről egyedileg gyűjtsön információkat.</w:t>
            </w:r>
            <w:r>
              <w:rPr>
                <w:rStyle w:val="InstructionsTabelleText"/>
                <w:rFonts w:ascii="Times New Roman" w:hAnsi="Times New Roman"/>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NÉV</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konszolidáció körébe bevont szervezet neve.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KÓD</w:t>
            </w:r>
          </w:p>
          <w:p w:rsidR="009A47E2" w:rsidRPr="00392FFD" w:rsidRDefault="009A47E2" w:rsidP="00464F34">
            <w:pPr>
              <w:rPr>
                <w:rStyle w:val="InstructionsTabelleText"/>
                <w:rFonts w:ascii="Times New Roman" w:hAnsi="Times New Roman"/>
                <w:sz w:val="24"/>
              </w:rPr>
            </w:pPr>
            <w:r>
              <w:rPr>
                <w:rStyle w:val="InstructionsTabelleText"/>
                <w:rFonts w:ascii="Times New Roman" w:hAnsi="Times New Roman"/>
                <w:sz w:val="24"/>
              </w:rPr>
              <w:t>Ez a kód egy sorazonosító, amely a tábla minden egyes sorát egyedileg azonosítja.</w:t>
            </w:r>
          </w:p>
          <w:p w:rsidR="002E136A"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konszolidáció körébe bevont szervezethez tartozó kód.</w:t>
            </w:r>
          </w:p>
          <w:p w:rsidR="00464F34" w:rsidRPr="00392FFD" w:rsidRDefault="00464F34" w:rsidP="00FD239F">
            <w:pPr>
              <w:pStyle w:val="InstructionsText"/>
              <w:rPr>
                <w:rStyle w:val="InstructionsTabelleText"/>
                <w:rFonts w:ascii="Times New Roman" w:hAnsi="Times New Roman"/>
                <w:sz w:val="24"/>
              </w:rPr>
            </w:pPr>
            <w:r>
              <w:rPr>
                <w:rStyle w:val="FormatvorlageInstructionsTabelleText"/>
                <w:rFonts w:ascii="Times New Roman" w:hAnsi="Times New Roman"/>
                <w:sz w:val="24"/>
              </w:rPr>
              <w:t>A kód összetétele a nemzeti adat</w:t>
            </w:r>
            <w:r w:rsidR="00F66592">
              <w:rPr>
                <w:rStyle w:val="FormatvorlageInstructionsTabelleText"/>
                <w:rFonts w:ascii="Times New Roman" w:hAnsi="Times New Roman"/>
                <w:sz w:val="24"/>
              </w:rPr>
              <w:t>szolgáltatási rendszertől függ.</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025</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LEI-KÓD</w:t>
            </w:r>
          </w:p>
          <w:p w:rsidR="00C504D3" w:rsidRPr="00392FFD" w:rsidRDefault="00C504D3" w:rsidP="00C504D3">
            <w:pPr>
              <w:rPr>
                <w:rStyle w:val="InstructionsTabelleText"/>
                <w:rFonts w:ascii="Times New Roman" w:hAnsi="Times New Roman"/>
                <w:sz w:val="24"/>
              </w:rPr>
            </w:pPr>
            <w:r>
              <w:rPr>
                <w:rStyle w:val="InstructionsTabelleText"/>
                <w:rFonts w:ascii="Times New Roman" w:hAnsi="Times New Roman"/>
                <w:sz w:val="24"/>
              </w:rPr>
              <w:t>A LEI a Pénzügyi Stabilitási Tanács (FSB) által referenciakódként javasolt, a G20 által elfogadott jogalany-azonosító, amely a pénzügyi tranzakciókban részt vevő felek egy</w:t>
            </w:r>
            <w:r>
              <w:rPr>
                <w:rStyle w:val="InstructionsTabelleText"/>
                <w:rFonts w:ascii="Times New Roman" w:hAnsi="Times New Roman"/>
                <w:sz w:val="24"/>
              </w:rPr>
              <w:t>e</w:t>
            </w:r>
            <w:r>
              <w:rPr>
                <w:rStyle w:val="InstructionsTabelleText"/>
                <w:rFonts w:ascii="Times New Roman" w:hAnsi="Times New Roman"/>
                <w:sz w:val="24"/>
              </w:rPr>
              <w:t>di és globális azonosítására szolgál.</w:t>
            </w:r>
          </w:p>
          <w:p w:rsidR="00A10C90" w:rsidRPr="00392FFD" w:rsidRDefault="00C504D3" w:rsidP="009A47E2">
            <w:pPr>
              <w:rPr>
                <w:rStyle w:val="InstructionsTabelleText"/>
                <w:rFonts w:ascii="Times New Roman" w:hAnsi="Times New Roman"/>
                <w:sz w:val="24"/>
              </w:rPr>
            </w:pPr>
            <w:r>
              <w:rPr>
                <w:rStyle w:val="InstructionsTabelleText"/>
                <w:rFonts w:ascii="Times New Roman" w:hAnsi="Times New Roman"/>
                <w:sz w:val="24"/>
              </w:rPr>
              <w:t>A LEI-rendszer teljes körű bevezetéséig a tranzakciós partnerekhez előzetes LEI kódot rendel a Szabályozói Felügyeleti Bizottság (ROC) által jóváhagyott Helyi Operatív Egység (LOU) (részletes információk a következő weboldalon találhatók: www.leiroc.org).</w:t>
            </w:r>
          </w:p>
          <w:p w:rsidR="00464F34" w:rsidRPr="00392FFD" w:rsidRDefault="009A47E2" w:rsidP="00DD2C1E">
            <w:pPr>
              <w:rPr>
                <w:rStyle w:val="InstructionsTabelleberschrift"/>
                <w:rFonts w:ascii="Times New Roman" w:hAnsi="Times New Roman"/>
                <w:sz w:val="24"/>
              </w:rPr>
            </w:pPr>
            <w:r>
              <w:rPr>
                <w:rStyle w:val="InstructionsTabelleText"/>
                <w:rFonts w:ascii="Times New Roman" w:hAnsi="Times New Roman"/>
                <w:sz w:val="24"/>
              </w:rPr>
              <w:t>Ha egy adott partner rendelkezik LEI-kóddal, akkor ezt a kódot kell feltüntetni a par</w:t>
            </w:r>
            <w:r>
              <w:rPr>
                <w:rStyle w:val="InstructionsTabelleText"/>
                <w:rFonts w:ascii="Times New Roman" w:hAnsi="Times New Roman"/>
                <w:sz w:val="24"/>
              </w:rPr>
              <w:t>t</w:t>
            </w:r>
            <w:r>
              <w:rPr>
                <w:rStyle w:val="InstructionsTabelleText"/>
                <w:rFonts w:ascii="Times New Roman" w:hAnsi="Times New Roman"/>
                <w:sz w:val="24"/>
              </w:rPr>
              <w:t xml:space="preserve">ner azonosítására.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INTÉZMÉNY VAGY ANNAK MEGFELELŐ (IGEN/NEM)</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Az IGEN értéket kell megadni akkor, ha a szervezetre a CRR és a CRD szerinti szavatolótőke-követelmények, vagy legalább a Bázel-szabályokkal egyenértékű re</w:t>
            </w:r>
            <w:r>
              <w:rPr>
                <w:rStyle w:val="InstructionsTabelleText"/>
                <w:rFonts w:ascii="Times New Roman" w:hAnsi="Times New Roman"/>
                <w:sz w:val="24"/>
              </w:rPr>
              <w:t>n</w:t>
            </w:r>
            <w:r>
              <w:rPr>
                <w:rStyle w:val="InstructionsTabelleText"/>
                <w:rFonts w:ascii="Times New Roman" w:hAnsi="Times New Roman"/>
                <w:sz w:val="24"/>
              </w:rPr>
              <w:t>delkezések vonatkoznak.</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Egyéb esetben a NEM értéket kell megadni.</w:t>
            </w:r>
          </w:p>
          <w:p w:rsidR="00464F34" w:rsidRPr="00392FFD" w:rsidRDefault="00464F34" w:rsidP="00464F34">
            <w:pPr>
              <w:rPr>
                <w:rStyle w:val="InstructionsTabelleText"/>
                <w:rFonts w:ascii="Times New Roman" w:hAnsi="Times New Roman"/>
                <w:sz w:val="24"/>
              </w:rPr>
            </w:pPr>
          </w:p>
          <w:p w:rsidR="00464F34" w:rsidRPr="00125707" w:rsidRDefault="00125707" w:rsidP="0023700C">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Kisebbségi részesedések:</w:t>
            </w:r>
          </w:p>
          <w:p w:rsidR="00464F34" w:rsidRPr="00392FFD" w:rsidRDefault="00417984" w:rsidP="00464F34">
            <w:pPr>
              <w:rPr>
                <w:rStyle w:val="InstructionsTabelleText"/>
                <w:rFonts w:ascii="Times New Roman" w:hAnsi="Times New Roman"/>
                <w:sz w:val="24"/>
              </w:rPr>
            </w:pPr>
            <w:r>
              <w:rPr>
                <w:rFonts w:ascii="Times New Roman" w:hAnsi="Times New Roman"/>
                <w:sz w:val="24"/>
              </w:rPr>
              <w:t>A CRR 81. cikke (1) bekezdése a) pontjának ii. alpontja, valamint 82. cikke (1) bekezdése a) pontjának ii. alpontja</w:t>
            </w:r>
          </w:p>
          <w:p w:rsidR="00464F34" w:rsidRPr="00392FFD" w:rsidRDefault="00464F34" w:rsidP="00464F34">
            <w:pPr>
              <w:rPr>
                <w:rStyle w:val="InstructionsTabelleText"/>
                <w:rFonts w:ascii="Times New Roman" w:hAnsi="Times New Roman"/>
                <w:sz w:val="24"/>
              </w:rPr>
            </w:pPr>
            <w:r>
              <w:rPr>
                <w:rFonts w:ascii="Times New Roman" w:hAnsi="Times New Roman"/>
                <w:sz w:val="24"/>
              </w:rPr>
              <w:t>A kisebbségi részesedések, valamint a leányvállalatok által kibocsátott AT1 tőke és T2 tőkeinstrumentumok szempontjából az olyan leányvállalatok instrumentumai vehetők figyelembe, amelyek az alkalmazandó nemzeti jognál fogva a CRR követelményeinek hatálya alá tartozó intézmények vagy vállalkozások.</w:t>
            </w:r>
          </w:p>
        </w:tc>
      </w:tr>
      <w:tr w:rsidR="00B47F0C" w:rsidRPr="00392FFD" w:rsidTr="00672D2A">
        <w:tc>
          <w:tcPr>
            <w:tcW w:w="1188" w:type="dxa"/>
          </w:tcPr>
          <w:p w:rsidR="00B47F0C" w:rsidRPr="00392FFD" w:rsidRDefault="00B47F0C" w:rsidP="00464F34">
            <w:pPr>
              <w:rPr>
                <w:rStyle w:val="InstructionsTabelleText"/>
                <w:rFonts w:ascii="Times New Roman" w:hAnsi="Times New Roman"/>
                <w:sz w:val="24"/>
              </w:rPr>
            </w:pPr>
            <w:r>
              <w:rPr>
                <w:rStyle w:val="InstructionsTabelleText"/>
                <w:rFonts w:ascii="Times New Roman" w:hAnsi="Times New Roman"/>
                <w:sz w:val="24"/>
              </w:rPr>
              <w:t>035</w:t>
            </w:r>
          </w:p>
        </w:tc>
        <w:tc>
          <w:tcPr>
            <w:tcW w:w="8640" w:type="dxa"/>
          </w:tcPr>
          <w:p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SZERVEZET TÍPUSA</w:t>
            </w:r>
          </w:p>
          <w:p w:rsidR="0071377A" w:rsidRDefault="0071377A" w:rsidP="00B47F0C">
            <w:pPr>
              <w:rPr>
                <w:rStyle w:val="InstructionsTabelleText"/>
                <w:rFonts w:ascii="Times New Roman" w:hAnsi="Times New Roman"/>
                <w:bCs/>
                <w:sz w:val="24"/>
              </w:rPr>
            </w:pPr>
            <w:r>
              <w:rPr>
                <w:rStyle w:val="InstructionsTabelleText"/>
                <w:rFonts w:ascii="Times New Roman" w:hAnsi="Times New Roman"/>
                <w:sz w:val="24"/>
              </w:rPr>
              <w:t>A szervezet típusát a következő kategóriák alapján kell feltüntetni:</w:t>
            </w:r>
          </w:p>
          <w:p w:rsidR="0071377A" w:rsidRPr="001C5CA8" w:rsidRDefault="0071377A"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hitelintézet</w:t>
            </w:r>
          </w:p>
          <w:p w:rsidR="0071377A" w:rsidRPr="001C5CA8" w:rsidRDefault="0071377A" w:rsidP="009B355E">
            <w:pPr>
              <w:tabs>
                <w:tab w:val="left" w:pos="372"/>
              </w:tabs>
              <w:rPr>
                <w:rStyle w:val="InstructionsTabelleText"/>
                <w:rFonts w:ascii="Times New Roman" w:hAnsi="Times New Roman"/>
                <w:sz w:val="24"/>
              </w:rPr>
            </w:pPr>
            <w:r>
              <w:tab/>
            </w:r>
            <w:r>
              <w:rPr>
                <w:rStyle w:val="InstructionsTabelleText"/>
                <w:rFonts w:ascii="Times New Roman" w:hAnsi="Times New Roman"/>
                <w:sz w:val="24"/>
              </w:rPr>
              <w:t>A CRR 4. cikke (1) bekezdésének 1. pontja;</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befektetési vállalkozás</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 CRR 4. cikke (1) bekezdésének 2. pontja;</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pénzügyi intézmény (egyéb)</w:t>
            </w:r>
          </w:p>
          <w:p w:rsidR="00965D27"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 CRR 4. cikke (1) bekezdésének 20</w:t>
            </w:r>
            <w:proofErr w:type="gramStart"/>
            <w:r>
              <w:rPr>
                <w:rStyle w:val="InstructionsTabelleText"/>
                <w:rFonts w:ascii="Times New Roman" w:hAnsi="Times New Roman"/>
                <w:sz w:val="24"/>
              </w:rPr>
              <w:t>.,</w:t>
            </w:r>
            <w:proofErr w:type="gramEnd"/>
            <w:r>
              <w:rPr>
                <w:rStyle w:val="InstructionsTabelleText"/>
                <w:rFonts w:ascii="Times New Roman" w:hAnsi="Times New Roman"/>
                <w:sz w:val="24"/>
              </w:rPr>
              <w:t xml:space="preserve"> 21. és 26. pontja</w:t>
            </w:r>
          </w:p>
          <w:p w:rsidR="0071377A" w:rsidRDefault="00965D27" w:rsidP="00965D2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A CRR 4. cikke (1) bekezdésének 26. pontja szerinti pénzügyi intézmények, am</w:t>
            </w:r>
            <w:r>
              <w:rPr>
                <w:rStyle w:val="InstructionsTabelleText"/>
                <w:rFonts w:ascii="Times New Roman" w:hAnsi="Times New Roman"/>
                <w:sz w:val="24"/>
              </w:rPr>
              <w:t>e</w:t>
            </w:r>
            <w:r>
              <w:rPr>
                <w:rStyle w:val="InstructionsTabelleText"/>
                <w:rFonts w:ascii="Times New Roman" w:hAnsi="Times New Roman"/>
                <w:sz w:val="24"/>
              </w:rPr>
              <w:t>lyek a d), f) vagy g) kategória egyikébe sem tartoznak;</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(vegyes) pénzügyi holdingtársaság</w:t>
            </w:r>
          </w:p>
          <w:p w:rsidR="0071377A" w:rsidRDefault="0071377A" w:rsidP="009B355E">
            <w:pPr>
              <w:tabs>
                <w:tab w:val="left" w:pos="372"/>
              </w:tabs>
              <w:rPr>
                <w:rStyle w:val="InstructionsTabelleText"/>
                <w:rFonts w:ascii="Times New Roman" w:hAnsi="Times New Roman"/>
                <w:bCs/>
                <w:sz w:val="24"/>
              </w:rPr>
            </w:pPr>
            <w:r>
              <w:lastRenderedPageBreak/>
              <w:tab/>
            </w:r>
            <w:r>
              <w:rPr>
                <w:rStyle w:val="InstructionsTabelleText"/>
                <w:rFonts w:ascii="Times New Roman" w:hAnsi="Times New Roman"/>
                <w:sz w:val="24"/>
              </w:rPr>
              <w:t>A CRR 4. cikke (1) bekezdésének 20. és 21. pontja</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kiegészítő szolgáltatásokat nyújtó (járulékos) vállalkozás</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 CRR 4. cikke (1) bekezdésének 18. pontja;</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különleges célú gazdasági egység</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 CRR 4. cikke (1) bekezdésének 66. pontja;</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fedezettkötvény-társaság</w:t>
            </w:r>
          </w:p>
          <w:p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Fedezett kötvények kibocsátása vagy fedezett kötvény fedezetéül szolgáló biztos</w:t>
            </w:r>
            <w:r>
              <w:rPr>
                <w:rStyle w:val="InstructionsTabelleText"/>
                <w:rFonts w:ascii="Times New Roman" w:hAnsi="Times New Roman"/>
                <w:sz w:val="24"/>
              </w:rPr>
              <w:t>í</w:t>
            </w:r>
            <w:r>
              <w:rPr>
                <w:rStyle w:val="InstructionsTabelleText"/>
                <w:rFonts w:ascii="Times New Roman" w:hAnsi="Times New Roman"/>
                <w:sz w:val="24"/>
              </w:rPr>
              <w:t>ték tartása céljából létrehozott szervezet, ha a fenti a), b) vagy d)–f) kategóriák egyikébe sem tartozik;</w:t>
            </w:r>
          </w:p>
          <w:p w:rsidR="0089010B" w:rsidRDefault="0089010B"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egyéb típusú szervezet</w:t>
            </w:r>
          </w:p>
          <w:p w:rsidR="00DA0DB4"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a)–g) pontban említettektől eltérő szervezet</w:t>
            </w:r>
          </w:p>
          <w:p w:rsidR="00965D27" w:rsidRPr="009B355E"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Amennyiben valamely szervezet nem tartozik a CRR és a CRD hatálya alá, de a bázeli előírásokkal legalább egyenértékű előírások hatálya alá tartozik, a vonatkozó kategóriát a legnagyobb gondosság elve alapján kell meghatározni.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040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AZ ADATOK TERJEDELME: </w:t>
            </w:r>
            <w:r>
              <w:rPr>
                <w:rFonts w:ascii="Times New Roman" w:hAnsi="Times New Roman"/>
                <w:b/>
                <w:caps/>
                <w:sz w:val="24"/>
                <w:u w:val="single"/>
              </w:rPr>
              <w:t>egyedi alapon teljeskörűen ko</w:t>
            </w:r>
            <w:r>
              <w:rPr>
                <w:rFonts w:ascii="Times New Roman" w:hAnsi="Times New Roman"/>
                <w:b/>
                <w:caps/>
                <w:sz w:val="24"/>
                <w:u w:val="single"/>
              </w:rPr>
              <w:t>n</w:t>
            </w:r>
            <w:r>
              <w:rPr>
                <w:rFonts w:ascii="Times New Roman" w:hAnsi="Times New Roman"/>
                <w:b/>
                <w:caps/>
                <w:sz w:val="24"/>
                <w:u w:val="single"/>
              </w:rPr>
              <w:t>szolidált (SF) vagy egyedi alapon részlegesen konszol</w:t>
            </w:r>
            <w:r>
              <w:rPr>
                <w:rFonts w:ascii="Times New Roman" w:hAnsi="Times New Roman"/>
                <w:b/>
                <w:caps/>
                <w:sz w:val="24"/>
                <w:u w:val="single"/>
              </w:rPr>
              <w:t>i</w:t>
            </w:r>
            <w:r>
              <w:rPr>
                <w:rFonts w:ascii="Times New Roman" w:hAnsi="Times New Roman"/>
                <w:b/>
                <w:caps/>
                <w:sz w:val="24"/>
                <w:u w:val="single"/>
              </w:rPr>
              <w:t>dált (SP)</w:t>
            </w:r>
          </w:p>
          <w:p w:rsidR="00464F34" w:rsidRPr="00392FFD" w:rsidRDefault="00464F34" w:rsidP="009E5DCC">
            <w:pPr>
              <w:rPr>
                <w:rStyle w:val="Heading1Char"/>
                <w:rFonts w:ascii="Times New Roman" w:hAnsi="Times New Roman"/>
                <w:sz w:val="24"/>
                <w:szCs w:val="24"/>
              </w:rPr>
            </w:pPr>
            <w:r>
              <w:rPr>
                <w:rStyle w:val="InstructionsTabelleText"/>
                <w:rFonts w:ascii="Times New Roman" w:hAnsi="Times New Roman"/>
                <w:sz w:val="24"/>
              </w:rPr>
              <w:t>Az SF értéket</w:t>
            </w:r>
            <w:r>
              <w:rPr>
                <w:rFonts w:ascii="Times New Roman" w:hAnsi="Times New Roman"/>
                <w:sz w:val="24"/>
              </w:rPr>
              <w:t xml:space="preserve"> teljeskörűen konszolidált egyedi leányvállalatok esetében kell megadni.</w:t>
            </w:r>
          </w:p>
          <w:p w:rsidR="00464F34" w:rsidRPr="00392FFD" w:rsidRDefault="009E5DCC" w:rsidP="00941843">
            <w:pPr>
              <w:rPr>
                <w:rStyle w:val="InstructionsTabelleText"/>
                <w:rFonts w:ascii="Times New Roman" w:hAnsi="Times New Roman"/>
                <w:smallCaps/>
                <w:sz w:val="24"/>
              </w:rPr>
            </w:pPr>
            <w:r>
              <w:rPr>
                <w:rStyle w:val="InstructionsTabelleText"/>
                <w:rFonts w:ascii="Times New Roman" w:hAnsi="Times New Roman"/>
                <w:sz w:val="24"/>
              </w:rPr>
              <w:t>Az SP értéket</w:t>
            </w:r>
            <w:r>
              <w:rPr>
                <w:rFonts w:ascii="Times New Roman" w:hAnsi="Times New Roman"/>
                <w:sz w:val="24"/>
              </w:rPr>
              <w:t xml:space="preserve"> részlegesen konszolidált egyedi leányvállalatok esetében kell megadni.</w:t>
            </w:r>
            <w:r>
              <w:rPr>
                <w:rStyle w:val="InstructionsTabelleText"/>
                <w:rFonts w:ascii="Times New Roman" w:hAnsi="Times New Roman"/>
                <w:i/>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050</w:t>
            </w:r>
          </w:p>
        </w:tc>
        <w:tc>
          <w:tcPr>
            <w:tcW w:w="8640" w:type="dxa"/>
          </w:tcPr>
          <w:p w:rsidR="00464F34" w:rsidRPr="00392FFD" w:rsidRDefault="00F66592" w:rsidP="00464F34">
            <w:pPr>
              <w:rPr>
                <w:rFonts w:ascii="Times New Roman" w:hAnsi="Times New Roman"/>
                <w:b/>
                <w:sz w:val="24"/>
                <w:u w:val="single"/>
              </w:rPr>
            </w:pPr>
            <w:r>
              <w:rPr>
                <w:rFonts w:ascii="Times New Roman" w:hAnsi="Times New Roman"/>
                <w:b/>
                <w:sz w:val="24"/>
                <w:u w:val="single"/>
              </w:rPr>
              <w:t>ORSZÁGKÓD</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Az intézményeknek a kétbetűs országkódot az ISO 3166-2 szabvány szerint kell me</w:t>
            </w:r>
            <w:r>
              <w:rPr>
                <w:rStyle w:val="InstructionsTabelleText"/>
                <w:rFonts w:ascii="Times New Roman" w:hAnsi="Times New Roman"/>
                <w:sz w:val="24"/>
              </w:rPr>
              <w:t>g</w:t>
            </w:r>
            <w:r w:rsidR="00F66592">
              <w:rPr>
                <w:rStyle w:val="InstructionsTabelleText"/>
                <w:rFonts w:ascii="Times New Roman" w:hAnsi="Times New Roman"/>
                <w:sz w:val="24"/>
              </w:rPr>
              <w:t>adniuk.</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RÉSZESEDÉS ARÁNYA (%)</w:t>
            </w:r>
          </w:p>
          <w:p w:rsidR="00464F34" w:rsidRPr="00392FFD" w:rsidRDefault="00464F34" w:rsidP="00417984">
            <w:pPr>
              <w:rPr>
                <w:rStyle w:val="InstructionsTabelleText"/>
                <w:rFonts w:ascii="Times New Roman" w:hAnsi="Times New Roman"/>
                <w:sz w:val="24"/>
              </w:rPr>
            </w:pPr>
            <w:r>
              <w:rPr>
                <w:rStyle w:val="InstructionsTabelleText"/>
                <w:rFonts w:ascii="Times New Roman" w:hAnsi="Times New Roman"/>
                <w:sz w:val="24"/>
              </w:rPr>
              <w:t>Az anyavállalat által a leányvállalatokban birtokolt tényleges tőkerészesedés. Közve</w:t>
            </w:r>
            <w:r>
              <w:rPr>
                <w:rStyle w:val="InstructionsTabelleText"/>
                <w:rFonts w:ascii="Times New Roman" w:hAnsi="Times New Roman"/>
                <w:sz w:val="24"/>
              </w:rPr>
              <w:t>t</w:t>
            </w:r>
            <w:r>
              <w:rPr>
                <w:rStyle w:val="InstructionsTabelleText"/>
                <w:rFonts w:ascii="Times New Roman" w:hAnsi="Times New Roman"/>
                <w:sz w:val="24"/>
              </w:rPr>
              <w:t>len leányvállalat teljes körű konszolidálása esetében a tényleges részesedés pl. 70 %. A CRR 4. cikke 16. pontjának megfelelően egy leányvállalat leányvállalatában birtokolt, feltüntetendő részesedés az érintett leányvállalatok közötti részesedések szorzataként adódik.</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070-240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SZAVATOLÓTŐKE-KÖVETELMÉNY HATÁLYA ALÁ TARTOZÓ SZE</w:t>
            </w:r>
            <w:r>
              <w:rPr>
                <w:rStyle w:val="InstructionsTabelleberschrift"/>
                <w:rFonts w:ascii="Times New Roman" w:hAnsi="Times New Roman"/>
                <w:sz w:val="24"/>
              </w:rPr>
              <w:t>R</w:t>
            </w:r>
            <w:r>
              <w:rPr>
                <w:rStyle w:val="InstructionsTabelleberschrift"/>
                <w:rFonts w:ascii="Times New Roman" w:hAnsi="Times New Roman"/>
                <w:sz w:val="24"/>
              </w:rPr>
              <w:t>VEZETEKKEL KAPCSOLATOS INFORMÁCIÓK</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részletes információkat tartalmazó rész (070–240-es oszlop) kizárólag az olyan sze</w:t>
            </w:r>
            <w:r>
              <w:rPr>
                <w:rStyle w:val="InstructionsTabelleText"/>
                <w:rFonts w:ascii="Times New Roman" w:hAnsi="Times New Roman"/>
                <w:sz w:val="24"/>
              </w:rPr>
              <w:t>r</w:t>
            </w:r>
            <w:r>
              <w:rPr>
                <w:rStyle w:val="InstructionsTabelleText"/>
                <w:rFonts w:ascii="Times New Roman" w:hAnsi="Times New Roman"/>
                <w:sz w:val="24"/>
              </w:rPr>
              <w:t>vezetekről és alcsoportokról gyűjt információkat, amelyekre – mivel</w:t>
            </w:r>
            <w:r>
              <w:rPr>
                <w:rFonts w:ascii="Times New Roman" w:hAnsi="Times New Roman"/>
                <w:sz w:val="24"/>
              </w:rPr>
              <w:t xml:space="preserve"> a CRR első része II. címének 2. fejezete szerinti konszolidáció körébe tartoznak – </w:t>
            </w:r>
            <w:r>
              <w:rPr>
                <w:rStyle w:val="InstructionsTabelleText"/>
                <w:rFonts w:ascii="Times New Roman" w:hAnsi="Times New Roman"/>
                <w:sz w:val="24"/>
              </w:rPr>
              <w:t>a CRR szerinti tőkemegfelelési követelmények, vagy legalább a Bázel-szabályokkal egyenértékű re</w:t>
            </w:r>
            <w:r>
              <w:rPr>
                <w:rStyle w:val="InstructionsTabelleText"/>
                <w:rFonts w:ascii="Times New Roman" w:hAnsi="Times New Roman"/>
                <w:sz w:val="24"/>
              </w:rPr>
              <w:t>n</w:t>
            </w:r>
            <w:r>
              <w:rPr>
                <w:rStyle w:val="InstructionsTabelleText"/>
                <w:rFonts w:ascii="Times New Roman" w:hAnsi="Times New Roman"/>
                <w:sz w:val="24"/>
              </w:rPr>
              <w:t xml:space="preserve">delkezések ténylegesen vonatkoznak (vagyis amelyeknél a 030-as oszlop értéke IGEN). </w:t>
            </w:r>
          </w:p>
          <w:p w:rsidR="00464F34" w:rsidRPr="00392FFD" w:rsidRDefault="00464F34" w:rsidP="00464F34">
            <w:pPr>
              <w:rPr>
                <w:rFonts w:ascii="Times New Roman" w:hAnsi="Times New Roman"/>
                <w:sz w:val="24"/>
              </w:rPr>
            </w:pPr>
            <w:r>
              <w:rPr>
                <w:rFonts w:ascii="Times New Roman" w:hAnsi="Times New Roman"/>
                <w:sz w:val="24"/>
              </w:rPr>
              <w:t>Egy konszolidált csoporton belüli valamennyi olyan egyedi intézményről, amelyre szavatolótőke-követelmények vonatkoznak, az intézmény helyétől függetlenül info</w:t>
            </w:r>
            <w:r>
              <w:rPr>
                <w:rFonts w:ascii="Times New Roman" w:hAnsi="Times New Roman"/>
                <w:sz w:val="24"/>
              </w:rPr>
              <w:t>r</w:t>
            </w:r>
            <w:r>
              <w:rPr>
                <w:rFonts w:ascii="Times New Roman" w:hAnsi="Times New Roman"/>
                <w:sz w:val="24"/>
              </w:rPr>
              <w:t xml:space="preserve">mációt kell adni. </w:t>
            </w:r>
          </w:p>
          <w:p w:rsidR="00464F34" w:rsidRPr="00392FFD" w:rsidRDefault="00464F34" w:rsidP="00464F34">
            <w:pPr>
              <w:rPr>
                <w:rFonts w:ascii="Times New Roman" w:hAnsi="Times New Roman"/>
                <w:sz w:val="24"/>
              </w:rPr>
            </w:pPr>
            <w:r>
              <w:rPr>
                <w:rFonts w:ascii="Times New Roman" w:hAnsi="Times New Roman"/>
                <w:sz w:val="24"/>
              </w:rPr>
              <w:lastRenderedPageBreak/>
              <w:t>Az adatokat az intézmény tevékenységének helye szerinti tőkemegfelelési szabályokkal összhangban kell megadni (ezért ehhez a táblához nem szükséges egyedi alapon az anyaintézmény szabályai szerinti kettős számítást végezni). A CRR-től eltérő helyi tőkemegfelelési szabályok esetén hasonló felosztás hiányában az információkat akkor kell megadni, ha a megfelelő tagoltságú adatok rendelkezésre állnak. Ez a rész tehát olyan konkrét adatokat tartalmazó tábla, amely a csoport egyedi intézményei által e</w:t>
            </w:r>
            <w:r>
              <w:rPr>
                <w:rFonts w:ascii="Times New Roman" w:hAnsi="Times New Roman"/>
                <w:sz w:val="24"/>
              </w:rPr>
              <w:t>l</w:t>
            </w:r>
            <w:r>
              <w:rPr>
                <w:rFonts w:ascii="Times New Roman" w:hAnsi="Times New Roman"/>
                <w:sz w:val="24"/>
              </w:rPr>
              <w:t>végzendő számításokat összegzi, figyelembe véve azt, hogy az intézmények közül egyesekre eltérő tőkemegfelelési szabályok vonatkozhatnak.</w:t>
            </w:r>
          </w:p>
          <w:p w:rsidR="00464F34" w:rsidRPr="00392FFD" w:rsidRDefault="00464F34" w:rsidP="00464F34">
            <w:pPr>
              <w:rPr>
                <w:rStyle w:val="InstructionsTabelleText"/>
                <w:rFonts w:ascii="Times New Roman" w:hAnsi="Times New Roman"/>
                <w:b/>
                <w:sz w:val="24"/>
                <w:u w:val="single"/>
              </w:rPr>
            </w:pPr>
            <w:r>
              <w:rPr>
                <w:rStyle w:val="InstructionsTabelleText"/>
                <w:rFonts w:ascii="Times New Roman" w:hAnsi="Times New Roman"/>
                <w:b/>
                <w:sz w:val="24"/>
                <w:u w:val="single"/>
              </w:rPr>
              <w:t>Adatszolgáltatás a befektetési vállalkozások fix működési költségeiről:</w:t>
            </w:r>
          </w:p>
          <w:p w:rsidR="00464F34" w:rsidRPr="00392FFD" w:rsidRDefault="00464F34" w:rsidP="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A befektetési vállalkozásoknak meg kell adniuk a tőkemegfelelési mutató CRR 95., 96., 97. és 98. cikke szerinti számításában figyelembe vett fix működési költségekkel kapcsolatos szavatolótőke-követelményeket.</w:t>
            </w:r>
          </w:p>
          <w:p w:rsidR="00464F34" w:rsidRPr="00392FFD" w:rsidRDefault="00464F34" w:rsidP="00941843">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A teljes kockázati kitettségértéknek a fix működési költségekhez kapcsolódó részét e tábla 2. részének 100. oszlopában kell megadni.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070</w:t>
            </w:r>
          </w:p>
        </w:tc>
        <w:tc>
          <w:tcPr>
            <w:tcW w:w="8640" w:type="dxa"/>
          </w:tcPr>
          <w:p w:rsidR="00464F34" w:rsidRPr="00392FFD" w:rsidRDefault="00F66592" w:rsidP="00464F34">
            <w:pPr>
              <w:rPr>
                <w:rStyle w:val="InstructionsTabelleberschrift"/>
                <w:rFonts w:ascii="Times New Roman" w:hAnsi="Times New Roman"/>
                <w:sz w:val="24"/>
              </w:rPr>
            </w:pPr>
            <w:r>
              <w:rPr>
                <w:rStyle w:val="InstructionsTabelleberschrift"/>
                <w:rFonts w:ascii="Times New Roman" w:hAnsi="Times New Roman"/>
                <w:sz w:val="24"/>
              </w:rPr>
              <w:t>TELJES KOCKÁZATI KITETTSÉGÉRTÉK</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 080–110-es oszlopok összegét kell megadni.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HITELKOCKÁZAT; PARTNERKOCKÁZAT; FELHÍGULÁSI KOCKÁZAT, NYITVA SZÁLLÍTÁSOK, ELSZÁMOLÁSI/TELJESÍTÉSI KOCKÁZAT</w:t>
            </w:r>
          </w:p>
          <w:p w:rsidR="00464F34" w:rsidRPr="00392FFD" w:rsidRDefault="00464F34" w:rsidP="00E871FE">
            <w:pPr>
              <w:rPr>
                <w:rStyle w:val="InstructionsTabelleText"/>
                <w:rFonts w:ascii="Times New Roman" w:hAnsi="Times New Roman"/>
                <w:sz w:val="24"/>
              </w:rPr>
            </w:pPr>
            <w:r>
              <w:rPr>
                <w:rStyle w:val="InstructionsTabelleText"/>
                <w:rFonts w:ascii="Times New Roman" w:hAnsi="Times New Roman"/>
                <w:sz w:val="24"/>
              </w:rPr>
              <w:t>Az ebben az oszlopban feltüntetendő érték a CA2 tábla 040. sorában</w:t>
            </w:r>
            <w:r>
              <w:rPr>
                <w:rStyle w:val="InstructionsTabelleberschrift"/>
                <w:rFonts w:ascii="Times New Roman" w:hAnsi="Times New Roman"/>
                <w:b w:val="0"/>
                <w:sz w:val="24"/>
                <w:u w:val="none"/>
              </w:rPr>
              <w:t xml:space="preserve"> (HITELKOCK</w:t>
            </w:r>
            <w:r>
              <w:rPr>
                <w:rStyle w:val="InstructionsTabelleberschrift"/>
                <w:rFonts w:ascii="Times New Roman" w:hAnsi="Times New Roman"/>
                <w:b w:val="0"/>
                <w:sz w:val="24"/>
                <w:u w:val="none"/>
              </w:rPr>
              <w:t>Á</w:t>
            </w:r>
            <w:r>
              <w:rPr>
                <w:rStyle w:val="InstructionsTabelleberschrift"/>
                <w:rFonts w:ascii="Times New Roman" w:hAnsi="Times New Roman"/>
                <w:b w:val="0"/>
                <w:sz w:val="24"/>
                <w:u w:val="none"/>
              </w:rPr>
              <w:t xml:space="preserve">ZATRA, PARTNERKOCKÁZATRA </w:t>
            </w:r>
            <w:proofErr w:type="gramStart"/>
            <w:r>
              <w:rPr>
                <w:rStyle w:val="InstructionsTabelleberschrift"/>
                <w:rFonts w:ascii="Times New Roman" w:hAnsi="Times New Roman"/>
                <w:b w:val="0"/>
                <w:sz w:val="24"/>
                <w:u w:val="none"/>
              </w:rPr>
              <w:t>ÉS</w:t>
            </w:r>
            <w:proofErr w:type="gramEnd"/>
            <w:r>
              <w:rPr>
                <w:rStyle w:val="InstructionsTabelleberschrift"/>
                <w:rFonts w:ascii="Times New Roman" w:hAnsi="Times New Roman"/>
                <w:b w:val="0"/>
                <w:sz w:val="24"/>
                <w:u w:val="none"/>
              </w:rPr>
              <w:t xml:space="preserve"> FELHÍGULÁSI KOCKÁZATRA, VAL</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MINT NYITVA SZÁLLÍTÁSOKRA VONATKOZÓ,</w:t>
            </w:r>
            <w:r>
              <w:rPr>
                <w:rStyle w:val="InstructionsTabelleText"/>
                <w:rFonts w:ascii="Times New Roman" w:hAnsi="Times New Roman"/>
                <w:sz w:val="24"/>
              </w:rPr>
              <w:t xml:space="preserve"> KOCKÁZATTAL SÚLY</w:t>
            </w:r>
            <w:r>
              <w:rPr>
                <w:rStyle w:val="InstructionsTabelleText"/>
                <w:rFonts w:ascii="Times New Roman" w:hAnsi="Times New Roman"/>
                <w:sz w:val="24"/>
              </w:rPr>
              <w:t>O</w:t>
            </w:r>
            <w:r>
              <w:rPr>
                <w:rStyle w:val="InstructionsTabelleText"/>
                <w:rFonts w:ascii="Times New Roman" w:hAnsi="Times New Roman"/>
                <w:sz w:val="24"/>
              </w:rPr>
              <w:t>ZOTT KITETTSÉGÉRTÉKEK) feltüntetendő értékekkel megegyező vagy egyenért</w:t>
            </w:r>
            <w:r>
              <w:rPr>
                <w:rStyle w:val="InstructionsTabelleText"/>
                <w:rFonts w:ascii="Times New Roman" w:hAnsi="Times New Roman"/>
                <w:sz w:val="24"/>
              </w:rPr>
              <w:t>é</w:t>
            </w:r>
            <w:r>
              <w:rPr>
                <w:rStyle w:val="InstructionsTabelleText"/>
                <w:rFonts w:ascii="Times New Roman" w:hAnsi="Times New Roman"/>
                <w:sz w:val="24"/>
              </w:rPr>
              <w:t>kű kockázattal súlyozott kitettségértékeknek, valamint a 490. sorában (AZ ELSZ</w:t>
            </w:r>
            <w:r>
              <w:rPr>
                <w:rStyle w:val="InstructionsTabelleText"/>
                <w:rFonts w:ascii="Times New Roman" w:hAnsi="Times New Roman"/>
                <w:sz w:val="24"/>
              </w:rPr>
              <w:t>Á</w:t>
            </w:r>
            <w:r>
              <w:rPr>
                <w:rStyle w:val="InstructionsTabelleText"/>
                <w:rFonts w:ascii="Times New Roman" w:hAnsi="Times New Roman"/>
                <w:sz w:val="24"/>
              </w:rPr>
              <w:t>MOLÁSI/TELJESÍTÉSI KOCKÁZAT TELJES KOCKÁZATI KITETTSÉGÉRTÉKE) feltüntetendő értékekkel megegyező vagy egyenértékű szavatolótőkekövetelmény-összegeknek az összege.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POZÍCIÓKOCKÁZAT, DEVIZAÁRFOLYAM-KOCKÁZAT </w:t>
            </w:r>
            <w:proofErr w:type="gramStart"/>
            <w:r>
              <w:rPr>
                <w:rStyle w:val="InstructionsTabelleberschrift"/>
                <w:rFonts w:ascii="Times New Roman" w:hAnsi="Times New Roman"/>
                <w:sz w:val="24"/>
              </w:rPr>
              <w:t>ÉS</w:t>
            </w:r>
            <w:proofErr w:type="gramEnd"/>
            <w:r>
              <w:rPr>
                <w:rStyle w:val="InstructionsTabelleberschrift"/>
                <w:rFonts w:ascii="Times New Roman" w:hAnsi="Times New Roman"/>
                <w:sz w:val="24"/>
              </w:rPr>
              <w:t xml:space="preserve"> ÁRUKOCK</w:t>
            </w:r>
            <w:r>
              <w:rPr>
                <w:rStyle w:val="InstructionsTabelleberschrift"/>
                <w:rFonts w:ascii="Times New Roman" w:hAnsi="Times New Roman"/>
                <w:sz w:val="24"/>
              </w:rPr>
              <w:t>Á</w:t>
            </w:r>
            <w:r>
              <w:rPr>
                <w:rStyle w:val="InstructionsTabelleberschrift"/>
                <w:rFonts w:ascii="Times New Roman" w:hAnsi="Times New Roman"/>
                <w:sz w:val="24"/>
              </w:rPr>
              <w:t>ZAT</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Az ebben az oszlopban feltüntetendő érték a CA2-es tábla 520-as sorában (A POZ</w:t>
            </w:r>
            <w:r>
              <w:rPr>
                <w:rStyle w:val="InstructionsTabelleText"/>
                <w:rFonts w:ascii="Times New Roman" w:hAnsi="Times New Roman"/>
                <w:sz w:val="24"/>
              </w:rPr>
              <w:t>Í</w:t>
            </w:r>
            <w:r>
              <w:rPr>
                <w:rStyle w:val="InstructionsTabelleText"/>
                <w:rFonts w:ascii="Times New Roman" w:hAnsi="Times New Roman"/>
                <w:sz w:val="24"/>
              </w:rPr>
              <w:t xml:space="preserve">CIÓKOCKÁZAT, DEVIZAÁRFOLYAM-KOCKÁZAT </w:t>
            </w:r>
            <w:proofErr w:type="gramStart"/>
            <w:r>
              <w:rPr>
                <w:rStyle w:val="InstructionsTabelleText"/>
                <w:rFonts w:ascii="Times New Roman" w:hAnsi="Times New Roman"/>
                <w:sz w:val="24"/>
              </w:rPr>
              <w:t>ÉS</w:t>
            </w:r>
            <w:proofErr w:type="gramEnd"/>
            <w:r>
              <w:rPr>
                <w:rStyle w:val="InstructionsTabelleText"/>
                <w:rFonts w:ascii="Times New Roman" w:hAnsi="Times New Roman"/>
                <w:sz w:val="24"/>
              </w:rPr>
              <w:t xml:space="preserve"> ÁRUKOCKÁZAT TE</w:t>
            </w:r>
            <w:r>
              <w:rPr>
                <w:rStyle w:val="InstructionsTabelleText"/>
                <w:rFonts w:ascii="Times New Roman" w:hAnsi="Times New Roman"/>
                <w:sz w:val="24"/>
              </w:rPr>
              <w:t>L</w:t>
            </w:r>
            <w:r>
              <w:rPr>
                <w:rStyle w:val="InstructionsTabelleText"/>
                <w:rFonts w:ascii="Times New Roman" w:hAnsi="Times New Roman"/>
                <w:sz w:val="24"/>
              </w:rPr>
              <w:t>JES KOCKÁZATI KITETTSÉGÉRTÉKE) megadott összeggel megegyező vagy egyenértékű tőkekövetelmény-összeg.</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MŰKÖDÉSI KOCKÁZAT</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Az ebben az oszlopban feltüntetendő érték a CA2-es tábla 590-es sorában (MŰKÖD</w:t>
            </w:r>
            <w:r>
              <w:rPr>
                <w:rStyle w:val="InstructionsTabelleText"/>
                <w:rFonts w:ascii="Times New Roman" w:hAnsi="Times New Roman"/>
                <w:sz w:val="24"/>
              </w:rPr>
              <w:t>É</w:t>
            </w:r>
            <w:r>
              <w:rPr>
                <w:rStyle w:val="InstructionsTabelleText"/>
                <w:rFonts w:ascii="Times New Roman" w:hAnsi="Times New Roman"/>
                <w:sz w:val="24"/>
              </w:rPr>
              <w:t>SI KOCKÁZAT (OpR) TELJES KOCKÁZATI KITETTSÉGÉRTÉKE) megadott ö</w:t>
            </w:r>
            <w:r>
              <w:rPr>
                <w:rStyle w:val="InstructionsTabelleText"/>
                <w:rFonts w:ascii="Times New Roman" w:hAnsi="Times New Roman"/>
                <w:sz w:val="24"/>
              </w:rPr>
              <w:t>s</w:t>
            </w:r>
            <w:r>
              <w:rPr>
                <w:rStyle w:val="InstructionsTabelleText"/>
                <w:rFonts w:ascii="Times New Roman" w:hAnsi="Times New Roman"/>
                <w:sz w:val="24"/>
              </w:rPr>
              <w:t>szeggel megegyező vagy egyenértékű kitettségérték.</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Ebben az oszlopban kell megadni a fix működési költségeket, ezen belül a CA2-es tá</w:t>
            </w:r>
            <w:r>
              <w:rPr>
                <w:rStyle w:val="InstructionsTabelleText"/>
                <w:rFonts w:ascii="Times New Roman" w:hAnsi="Times New Roman"/>
                <w:sz w:val="24"/>
              </w:rPr>
              <w:t>b</w:t>
            </w:r>
            <w:r>
              <w:rPr>
                <w:rStyle w:val="InstructionsTabelleText"/>
                <w:rFonts w:ascii="Times New Roman" w:hAnsi="Times New Roman"/>
                <w:sz w:val="24"/>
              </w:rPr>
              <w:t>la 630-as sorának értékét (FIX MŰKÖDÉSI KÖLTSÉGEKBŐL EREDŐ PÓTLÓL</w:t>
            </w:r>
            <w:r>
              <w:rPr>
                <w:rStyle w:val="InstructionsTabelleText"/>
                <w:rFonts w:ascii="Times New Roman" w:hAnsi="Times New Roman"/>
                <w:sz w:val="24"/>
              </w:rPr>
              <w:t>A</w:t>
            </w:r>
            <w:r>
              <w:rPr>
                <w:rStyle w:val="InstructionsTabelleText"/>
                <w:rFonts w:ascii="Times New Roman" w:hAnsi="Times New Roman"/>
                <w:sz w:val="24"/>
              </w:rPr>
              <w:t>GOS KOCKÁZATI KITETTSÉGÉRTÉK).</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EGYÉB KOCKÁZATI KITETTSÉGÉRTÉKEK</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Az ebben az oszlopban feltüntetendő érték az előzőekben külön nem említett kitettségértékeket foglalja magában. A CA2-es tábla 640-es, 680-as és 690-es sorában </w:t>
            </w:r>
            <w:r>
              <w:rPr>
                <w:rStyle w:val="InstructionsTabelleText"/>
                <w:rFonts w:ascii="Times New Roman" w:hAnsi="Times New Roman"/>
                <w:sz w:val="24"/>
              </w:rPr>
              <w:lastRenderedPageBreak/>
              <w:t>megadott értékek összege.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120-240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RÉSZLETES INFORMÁCIÓK </w:t>
            </w:r>
            <w:proofErr w:type="gramStart"/>
            <w:r>
              <w:rPr>
                <w:rStyle w:val="InstructionsTabelleberschrift"/>
                <w:rFonts w:ascii="Times New Roman" w:hAnsi="Times New Roman"/>
                <w:sz w:val="24"/>
              </w:rPr>
              <w:t>A</w:t>
            </w:r>
            <w:proofErr w:type="gramEnd"/>
            <w:r>
              <w:rPr>
                <w:rStyle w:val="InstructionsTabelleberschrift"/>
                <w:rFonts w:ascii="Times New Roman" w:hAnsi="Times New Roman"/>
                <w:sz w:val="24"/>
              </w:rPr>
              <w:t xml:space="preserve"> CSOPORTSZINTŰ SZAVATOLÓTŐKE-MEGFELELÉSRŐL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Az alábbi oszlopokban feltüntetett információkat a szervezet vagy alcsoport tevéken</w:t>
            </w:r>
            <w:r>
              <w:rPr>
                <w:rStyle w:val="InstructionsTabelleText"/>
                <w:rFonts w:ascii="Times New Roman" w:hAnsi="Times New Roman"/>
                <w:sz w:val="24"/>
              </w:rPr>
              <w:t>y</w:t>
            </w:r>
            <w:r>
              <w:rPr>
                <w:rStyle w:val="InstructionsTabelleText"/>
                <w:rFonts w:ascii="Times New Roman" w:hAnsi="Times New Roman"/>
                <w:sz w:val="24"/>
              </w:rPr>
              <w:t>ségi helye szerinti helyi tőkemegfelelési szabályok alapján kell megadni.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SZAVATOLÓ TŐKE</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Az ebben az oszlopban feltüntetendő érték a CA1-es tábla 010-es sorában (SZAV</w:t>
            </w:r>
            <w:r>
              <w:rPr>
                <w:rStyle w:val="InstructionsTabelleText"/>
                <w:rFonts w:ascii="Times New Roman" w:hAnsi="Times New Roman"/>
                <w:sz w:val="24"/>
              </w:rPr>
              <w:t>A</w:t>
            </w:r>
            <w:r>
              <w:rPr>
                <w:rStyle w:val="InstructionsTabelleText"/>
                <w:rFonts w:ascii="Times New Roman" w:hAnsi="Times New Roman"/>
                <w:sz w:val="24"/>
              </w:rPr>
              <w:t>TOLÓ TŐKE) megadott összeggel megegyező vagy egyenértékű szavatolótőke-összeg.</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EBBŐL: </w:t>
            </w:r>
            <w:r w:rsidR="00F66592">
              <w:rPr>
                <w:rStyle w:val="InstructionsTabelleberschrift"/>
                <w:rFonts w:ascii="Times New Roman" w:hAnsi="Times New Roman"/>
                <w:sz w:val="24"/>
              </w:rPr>
              <w:t>A SZAVATOLÓ TŐKÉBE BESZÁMÍTHATÓ</w:t>
            </w:r>
          </w:p>
          <w:p w:rsidR="00464F34" w:rsidRPr="00392FFD" w:rsidRDefault="00F66592" w:rsidP="00464F34">
            <w:pPr>
              <w:rPr>
                <w:rStyle w:val="InstructionsTabelleText"/>
                <w:rFonts w:ascii="Times New Roman" w:hAnsi="Times New Roman"/>
                <w:sz w:val="24"/>
              </w:rPr>
            </w:pPr>
            <w:r>
              <w:rPr>
                <w:rStyle w:val="InstructionsTabelleText"/>
                <w:rFonts w:ascii="Times New Roman" w:hAnsi="Times New Roman"/>
                <w:sz w:val="24"/>
              </w:rPr>
              <w:t>A CRR 82. cikke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Az oszlop csak az egyedi adatszolgáltatás hatálya alá tartozó, teljes mértékben konsz</w:t>
            </w:r>
            <w:r>
              <w:rPr>
                <w:rStyle w:val="InstructionsTabelleText"/>
                <w:rFonts w:ascii="Times New Roman" w:hAnsi="Times New Roman"/>
                <w:sz w:val="24"/>
              </w:rPr>
              <w:t>o</w:t>
            </w:r>
            <w:r>
              <w:rPr>
                <w:rStyle w:val="InstructionsTabelleText"/>
                <w:rFonts w:ascii="Times New Roman" w:hAnsi="Times New Roman"/>
                <w:sz w:val="24"/>
              </w:rPr>
              <w:t>lidált intézményi leány</w:t>
            </w:r>
            <w:r w:rsidR="00F66592">
              <w:rPr>
                <w:rStyle w:val="InstructionsTabelleText"/>
                <w:rFonts w:ascii="Times New Roman" w:hAnsi="Times New Roman"/>
                <w:sz w:val="24"/>
              </w:rPr>
              <w:t>vállalatok adatait tartalmazza.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fenti leányvállalatok esetében befolyásoló részesedésnek minősülnek a CRR szerinti konszolidáció körébe bevont vállalkozásokon kívüli személyek tulajdonában álló ins</w:t>
            </w:r>
            <w:r>
              <w:rPr>
                <w:rStyle w:val="InstructionsTabelleText"/>
                <w:rFonts w:ascii="Times New Roman" w:hAnsi="Times New Roman"/>
                <w:sz w:val="24"/>
              </w:rPr>
              <w:t>t</w:t>
            </w:r>
            <w:r>
              <w:rPr>
                <w:rStyle w:val="InstructionsTabelleText"/>
                <w:rFonts w:ascii="Times New Roman" w:hAnsi="Times New Roman"/>
                <w:sz w:val="24"/>
              </w:rPr>
              <w:t>rumentumok, valamint az ezekhez kapcsolódó eredménytartalékok, ázsió és egyéb ta</w:t>
            </w:r>
            <w:r>
              <w:rPr>
                <w:rStyle w:val="InstructionsTabelleText"/>
                <w:rFonts w:ascii="Times New Roman" w:hAnsi="Times New Roman"/>
                <w:sz w:val="24"/>
              </w:rPr>
              <w:t>r</w:t>
            </w:r>
            <w:r>
              <w:rPr>
                <w:rStyle w:val="InstructionsTabelleText"/>
                <w:rFonts w:ascii="Times New Roman" w:hAnsi="Times New Roman"/>
                <w:sz w:val="24"/>
              </w:rPr>
              <w:t>talékok.</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 feltüntetendő érték magában foglalja az átmeneti rendelkezések hatásait. Az ada</w:t>
            </w:r>
            <w:r>
              <w:rPr>
                <w:rStyle w:val="InstructionsTabelleText"/>
                <w:rFonts w:ascii="Times New Roman" w:hAnsi="Times New Roman"/>
                <w:sz w:val="24"/>
              </w:rPr>
              <w:t>t</w:t>
            </w:r>
            <w:r>
              <w:rPr>
                <w:rStyle w:val="InstructionsTabelleText"/>
                <w:rFonts w:ascii="Times New Roman" w:hAnsi="Times New Roman"/>
                <w:sz w:val="24"/>
              </w:rPr>
              <w:t>szolgáltatás időpontjában figyelembe vehető összeg.</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140</w:t>
            </w:r>
          </w:p>
        </w:tc>
        <w:tc>
          <w:tcPr>
            <w:tcW w:w="8640" w:type="dxa"/>
          </w:tcPr>
          <w:p w:rsidR="00464F34" w:rsidRPr="00392FFD" w:rsidRDefault="000044B7" w:rsidP="00464F34">
            <w:pPr>
              <w:rPr>
                <w:rStyle w:val="InstructionsTabelleberschrift"/>
                <w:rFonts w:ascii="Times New Roman" w:hAnsi="Times New Roman"/>
                <w:b w:val="0"/>
                <w:sz w:val="24"/>
              </w:rPr>
            </w:pPr>
            <w:r>
              <w:rPr>
                <w:rStyle w:val="InstructionsTabelleberschrift"/>
                <w:rFonts w:ascii="Times New Roman" w:hAnsi="Times New Roman"/>
                <w:sz w:val="24"/>
              </w:rPr>
              <w:t xml:space="preserve">KAPCSOLÓDÓ SZAVATOLÓTŐKE-INSTRUMENTUMOK, KAPCSOLÓDÓ EREDMÉNYTARTALÉKOK, NÉVÉRTÉKEN FELÜLI BEFIZETÉSEK </w:t>
            </w:r>
            <w:proofErr w:type="gramStart"/>
            <w:r>
              <w:rPr>
                <w:rStyle w:val="InstructionsTabelleberschrift"/>
                <w:rFonts w:ascii="Times New Roman" w:hAnsi="Times New Roman"/>
                <w:sz w:val="24"/>
              </w:rPr>
              <w:t>ÉS</w:t>
            </w:r>
            <w:proofErr w:type="gramEnd"/>
            <w:r>
              <w:rPr>
                <w:rStyle w:val="InstructionsTabelleberschrift"/>
                <w:rFonts w:ascii="Times New Roman" w:hAnsi="Times New Roman"/>
                <w:sz w:val="24"/>
              </w:rPr>
              <w:t xml:space="preserve"> EGYÉB TARTALÉKOK</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87. cikke (1) bekezdésének b) pontja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T1 TŐKE ÖSSZESEN</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 CRR 25. cikke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EBBŐL: A T1 TŐKÉBE BESZÁMÍTHATÓ</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CRR 82. cikke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Az oszlop csak az egyedi adatszolgáltatás hatálya alá tartozó, teljes mértékben konsz</w:t>
            </w:r>
            <w:r>
              <w:rPr>
                <w:rStyle w:val="InstructionsTabelleText"/>
                <w:rFonts w:ascii="Times New Roman" w:hAnsi="Times New Roman"/>
                <w:sz w:val="24"/>
              </w:rPr>
              <w:t>o</w:t>
            </w:r>
            <w:r>
              <w:rPr>
                <w:rStyle w:val="InstructionsTabelleText"/>
                <w:rFonts w:ascii="Times New Roman" w:hAnsi="Times New Roman"/>
                <w:sz w:val="24"/>
              </w:rPr>
              <w:t>lidált intézményi leányvállalatok adatait tartalmazza.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fenti leányvállalatok esetében befolyásoló részesedésnek minősülnek a CRR szerinti konszolidáció körébe bevont vállalkozásokon kívüli személyek tulajdonában álló ins</w:t>
            </w:r>
            <w:r>
              <w:rPr>
                <w:rStyle w:val="InstructionsTabelleText"/>
                <w:rFonts w:ascii="Times New Roman" w:hAnsi="Times New Roman"/>
                <w:sz w:val="24"/>
              </w:rPr>
              <w:t>t</w:t>
            </w:r>
            <w:r>
              <w:rPr>
                <w:rStyle w:val="InstructionsTabelleText"/>
                <w:rFonts w:ascii="Times New Roman" w:hAnsi="Times New Roman"/>
                <w:sz w:val="24"/>
              </w:rPr>
              <w:t>rumentumok, valamint az ezekhez kapcsolódó eredménytartalékok és ázsió.</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A feltüntetendő érték magában foglalja az átmeneti rendelkezések hatásait. Az ada</w:t>
            </w:r>
            <w:r>
              <w:rPr>
                <w:rStyle w:val="InstructionsTabelleText"/>
                <w:rFonts w:ascii="Times New Roman" w:hAnsi="Times New Roman"/>
                <w:sz w:val="24"/>
              </w:rPr>
              <w:t>t</w:t>
            </w:r>
            <w:r>
              <w:rPr>
                <w:rStyle w:val="InstructionsTabelleText"/>
                <w:rFonts w:ascii="Times New Roman" w:hAnsi="Times New Roman"/>
                <w:sz w:val="24"/>
              </w:rPr>
              <w:t>szolgáltatás időpontjában figyelembe vehető összeg.</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170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KAPCSOLÓDÓ T1 INSTRUMENTUMOK, KAPCSOLÓDÓ EREDMÉN</w:t>
            </w:r>
            <w:r>
              <w:rPr>
                <w:rStyle w:val="InstructionsTabelleberschrift"/>
                <w:rFonts w:ascii="Times New Roman" w:hAnsi="Times New Roman"/>
                <w:sz w:val="24"/>
              </w:rPr>
              <w:t>Y</w:t>
            </w:r>
            <w:r>
              <w:rPr>
                <w:rStyle w:val="InstructionsTabelleberschrift"/>
                <w:rFonts w:ascii="Times New Roman" w:hAnsi="Times New Roman"/>
                <w:sz w:val="24"/>
              </w:rPr>
              <w:t xml:space="preserve">TARTALÉKOK </w:t>
            </w:r>
            <w:proofErr w:type="gramStart"/>
            <w:r>
              <w:rPr>
                <w:rStyle w:val="InstructionsTabelleberschrift"/>
                <w:rFonts w:ascii="Times New Roman" w:hAnsi="Times New Roman"/>
                <w:sz w:val="24"/>
              </w:rPr>
              <w:t>ÉS</w:t>
            </w:r>
            <w:proofErr w:type="gramEnd"/>
            <w:r>
              <w:rPr>
                <w:rStyle w:val="InstructionsTabelleberschrift"/>
                <w:rFonts w:ascii="Times New Roman" w:hAnsi="Times New Roman"/>
                <w:sz w:val="24"/>
              </w:rPr>
              <w:t xml:space="preserve"> NÉVÉRTÉKEN FELÜLI BEFIZETÉSEK</w:t>
            </w:r>
          </w:p>
          <w:p w:rsidR="00464F34" w:rsidRPr="00392FFD" w:rsidRDefault="00144F03" w:rsidP="003C1BB1">
            <w:pPr>
              <w:rPr>
                <w:rStyle w:val="InstructionsTabelleberschrift"/>
                <w:rFonts w:ascii="Times New Roman" w:hAnsi="Times New Roman"/>
                <w:sz w:val="24"/>
              </w:rPr>
            </w:pPr>
            <w:r>
              <w:rPr>
                <w:rStyle w:val="InstructionsTabelleberschrift"/>
                <w:rFonts w:ascii="Times New Roman" w:hAnsi="Times New Roman"/>
                <w:b w:val="0"/>
                <w:sz w:val="24"/>
                <w:u w:val="none"/>
              </w:rPr>
              <w:t>A CRR 85. cikke (1) bekezdésének b) pontja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CET1 TŐKE</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A CRR 50. cikke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EBBŐL: KISEBBSÉGI RÉSZESEDÉSEK</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CRR 81. cikke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Az oszlop kizárólag a teljeskörűen konszolidált intézményi leányvállalatok adatait ta</w:t>
            </w:r>
            <w:r>
              <w:rPr>
                <w:rStyle w:val="InstructionsTabelleText"/>
                <w:rFonts w:ascii="Times New Roman" w:hAnsi="Times New Roman"/>
                <w:sz w:val="24"/>
              </w:rPr>
              <w:t>r</w:t>
            </w:r>
            <w:r>
              <w:rPr>
                <w:rStyle w:val="InstructionsTabelleText"/>
                <w:rFonts w:ascii="Times New Roman" w:hAnsi="Times New Roman"/>
                <w:sz w:val="24"/>
              </w:rPr>
              <w:t>talmazza, a CRR 84. cikkének (3) bekezdésében említett leányvállalatok kivételével. A CRR 84. cikkében előírt valamennyi számítás szempontjából az egyes leányvállalat</w:t>
            </w:r>
            <w:r>
              <w:rPr>
                <w:rStyle w:val="InstructionsTabelleText"/>
                <w:rFonts w:ascii="Times New Roman" w:hAnsi="Times New Roman"/>
                <w:sz w:val="24"/>
              </w:rPr>
              <w:t>o</w:t>
            </w:r>
            <w:r>
              <w:rPr>
                <w:rStyle w:val="InstructionsTabelleText"/>
                <w:rFonts w:ascii="Times New Roman" w:hAnsi="Times New Roman"/>
                <w:sz w:val="24"/>
              </w:rPr>
              <w:t>kat a 84. cikk (2) bekezdésének alkalmazásakor szubkonszolidált alapon, egyéb esete</w:t>
            </w:r>
            <w:r>
              <w:rPr>
                <w:rStyle w:val="InstructionsTabelleText"/>
                <w:rFonts w:ascii="Times New Roman" w:hAnsi="Times New Roman"/>
                <w:sz w:val="24"/>
              </w:rPr>
              <w:t>k</w:t>
            </w:r>
            <w:r>
              <w:rPr>
                <w:rStyle w:val="InstructionsTabelleText"/>
                <w:rFonts w:ascii="Times New Roman" w:hAnsi="Times New Roman"/>
                <w:sz w:val="24"/>
              </w:rPr>
              <w:t>ben egyedi alapon kell figyelembe venni.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CRR és e tábla szempontjából a fenti leányvállalatok esetében befolyásoló kisebbs</w:t>
            </w:r>
            <w:r>
              <w:rPr>
                <w:rStyle w:val="InstructionsTabelleText"/>
                <w:rFonts w:ascii="Times New Roman" w:hAnsi="Times New Roman"/>
                <w:sz w:val="24"/>
              </w:rPr>
              <w:t>é</w:t>
            </w:r>
            <w:r>
              <w:rPr>
                <w:rStyle w:val="InstructionsTabelleText"/>
                <w:rFonts w:ascii="Times New Roman" w:hAnsi="Times New Roman"/>
                <w:sz w:val="24"/>
              </w:rPr>
              <w:t>gi részesedésnek minősülnek a CRR szerinti konszolidáció körébe bevont vállalkoz</w:t>
            </w:r>
            <w:r>
              <w:rPr>
                <w:rStyle w:val="InstructionsTabelleText"/>
                <w:rFonts w:ascii="Times New Roman" w:hAnsi="Times New Roman"/>
                <w:sz w:val="24"/>
              </w:rPr>
              <w:t>á</w:t>
            </w:r>
            <w:r>
              <w:rPr>
                <w:rStyle w:val="InstructionsTabelleText"/>
                <w:rFonts w:ascii="Times New Roman" w:hAnsi="Times New Roman"/>
                <w:sz w:val="24"/>
              </w:rPr>
              <w:t>sokon kívüli személyek tulajdonában álló CET1 tőkeinstrumentumok, valamint az ezekhez kapcsolódó eredménytartalékok és ázsió.</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 feltüntetendő érték magában foglalja az átmeneti rendelkezések hatásait. Az ada</w:t>
            </w:r>
            <w:r>
              <w:rPr>
                <w:rStyle w:val="InstructionsTabelleText"/>
                <w:rFonts w:ascii="Times New Roman" w:hAnsi="Times New Roman"/>
                <w:sz w:val="24"/>
              </w:rPr>
              <w:t>t</w:t>
            </w:r>
            <w:r>
              <w:rPr>
                <w:rStyle w:val="InstructionsTabelleText"/>
                <w:rFonts w:ascii="Times New Roman" w:hAnsi="Times New Roman"/>
                <w:sz w:val="24"/>
              </w:rPr>
              <w:t>szolgáltatás időpontjában figyelembe vehető összeg.</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200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 xml:space="preserve">KAPCSOLÓDÓ SZAVATOLÓTŐKE-INSTRUMENTUMOK, KAPCSOLÓDÓ EREDMÉNYTARTALÉKOK, NÉVÉRTÉKEN FELÜLI BEFIZETÉSEK </w:t>
            </w:r>
            <w:proofErr w:type="gramStart"/>
            <w:r>
              <w:rPr>
                <w:rStyle w:val="InstructionsTabelleberschrift"/>
                <w:rFonts w:ascii="Times New Roman" w:hAnsi="Times New Roman"/>
                <w:sz w:val="24"/>
              </w:rPr>
              <w:t>ÉS</w:t>
            </w:r>
            <w:proofErr w:type="gramEnd"/>
            <w:r>
              <w:rPr>
                <w:rStyle w:val="InstructionsTabelleberschrift"/>
                <w:rFonts w:ascii="Times New Roman" w:hAnsi="Times New Roman"/>
                <w:sz w:val="24"/>
              </w:rPr>
              <w:t xml:space="preserve"> EGYÉB TARTALÉKOK</w:t>
            </w:r>
          </w:p>
          <w:p w:rsidR="00464F34" w:rsidRPr="00392FFD" w:rsidRDefault="00144F03" w:rsidP="000044B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84. cikke (1) bekezdésének b) pontja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AT1 TŐKE</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 CRR 61. cikke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EBBŐL: AZ AT1 TŐKÉBE BESZÁMÍTHATÓ</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CRR 82. és 83. cikke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Az oszlop csak az egyedi adatszolgáltatás hatálya alá tartozó, teljes mértékben konsz</w:t>
            </w:r>
            <w:r>
              <w:rPr>
                <w:rStyle w:val="InstructionsTabelleText"/>
                <w:rFonts w:ascii="Times New Roman" w:hAnsi="Times New Roman"/>
                <w:sz w:val="24"/>
              </w:rPr>
              <w:t>o</w:t>
            </w:r>
            <w:r>
              <w:rPr>
                <w:rStyle w:val="InstructionsTabelleText"/>
                <w:rFonts w:ascii="Times New Roman" w:hAnsi="Times New Roman"/>
                <w:sz w:val="24"/>
              </w:rPr>
              <w:t>lidált intézményi leányvállalatok adatait tartalmazza, a CRR 85. cikkének (2) bekezd</w:t>
            </w:r>
            <w:r>
              <w:rPr>
                <w:rStyle w:val="InstructionsTabelleText"/>
                <w:rFonts w:ascii="Times New Roman" w:hAnsi="Times New Roman"/>
                <w:sz w:val="24"/>
              </w:rPr>
              <w:t>é</w:t>
            </w:r>
            <w:r>
              <w:rPr>
                <w:rStyle w:val="InstructionsTabelleText"/>
                <w:rFonts w:ascii="Times New Roman" w:hAnsi="Times New Roman"/>
                <w:sz w:val="24"/>
              </w:rPr>
              <w:t>sében említett leányvállalatok kivételével. A CRR 85. cikkében előírt valamennyi sz</w:t>
            </w:r>
            <w:r>
              <w:rPr>
                <w:rStyle w:val="InstructionsTabelleText"/>
                <w:rFonts w:ascii="Times New Roman" w:hAnsi="Times New Roman"/>
                <w:sz w:val="24"/>
              </w:rPr>
              <w:t>á</w:t>
            </w:r>
            <w:r>
              <w:rPr>
                <w:rStyle w:val="InstructionsTabelleText"/>
                <w:rFonts w:ascii="Times New Roman" w:hAnsi="Times New Roman"/>
                <w:sz w:val="24"/>
              </w:rPr>
              <w:t>mítás szempontjából az egyes leányvállalatokat a 85. cikk (2) bekezdésének alkalmaz</w:t>
            </w:r>
            <w:r>
              <w:rPr>
                <w:rStyle w:val="InstructionsTabelleText"/>
                <w:rFonts w:ascii="Times New Roman" w:hAnsi="Times New Roman"/>
                <w:sz w:val="24"/>
              </w:rPr>
              <w:t>á</w:t>
            </w:r>
            <w:r>
              <w:rPr>
                <w:rStyle w:val="InstructionsTabelleText"/>
                <w:rFonts w:ascii="Times New Roman" w:hAnsi="Times New Roman"/>
                <w:sz w:val="24"/>
              </w:rPr>
              <w:t>sakor szubkonszolidált alapon, egyéb esetekben egyedi alapon kell figyelembe venni.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CRR és e tábla szempontjából a fenti leányvállalatok esetében befolyásoló kisebbs</w:t>
            </w:r>
            <w:r>
              <w:rPr>
                <w:rStyle w:val="InstructionsTabelleText"/>
                <w:rFonts w:ascii="Times New Roman" w:hAnsi="Times New Roman"/>
                <w:sz w:val="24"/>
              </w:rPr>
              <w:t>é</w:t>
            </w:r>
            <w:r>
              <w:rPr>
                <w:rStyle w:val="InstructionsTabelleText"/>
                <w:rFonts w:ascii="Times New Roman" w:hAnsi="Times New Roman"/>
                <w:sz w:val="24"/>
              </w:rPr>
              <w:t>gi részesedésnek minősülnek a CRR szerinti konszolidáció körébe bevont vállalkoz</w:t>
            </w:r>
            <w:r>
              <w:rPr>
                <w:rStyle w:val="InstructionsTabelleText"/>
                <w:rFonts w:ascii="Times New Roman" w:hAnsi="Times New Roman"/>
                <w:sz w:val="24"/>
              </w:rPr>
              <w:t>á</w:t>
            </w:r>
            <w:r>
              <w:rPr>
                <w:rStyle w:val="InstructionsTabelleText"/>
                <w:rFonts w:ascii="Times New Roman" w:hAnsi="Times New Roman"/>
                <w:sz w:val="24"/>
              </w:rPr>
              <w:t>sokon kívüli személyek tulajdonában álló AT1 tőkeinstrumentumok, valamint az eze</w:t>
            </w:r>
            <w:r>
              <w:rPr>
                <w:rStyle w:val="InstructionsTabelleText"/>
                <w:rFonts w:ascii="Times New Roman" w:hAnsi="Times New Roman"/>
                <w:sz w:val="24"/>
              </w:rPr>
              <w:t>k</w:t>
            </w:r>
            <w:r>
              <w:rPr>
                <w:rStyle w:val="InstructionsTabelleText"/>
                <w:rFonts w:ascii="Times New Roman" w:hAnsi="Times New Roman"/>
                <w:sz w:val="24"/>
              </w:rPr>
              <w:t>hez kapcsolódó eredménytartalékok és ázsió.</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 feltüntetendő érték magában foglalja az átmeneti rendelkezések hatásait. Az ada</w:t>
            </w:r>
            <w:r>
              <w:rPr>
                <w:rStyle w:val="InstructionsTabelleText"/>
                <w:rFonts w:ascii="Times New Roman" w:hAnsi="Times New Roman"/>
                <w:sz w:val="24"/>
              </w:rPr>
              <w:t>t</w:t>
            </w:r>
            <w:r>
              <w:rPr>
                <w:rStyle w:val="InstructionsTabelleText"/>
                <w:rFonts w:ascii="Times New Roman" w:hAnsi="Times New Roman"/>
                <w:sz w:val="24"/>
              </w:rPr>
              <w:t>szolgáltatás időpontjában figyelembe vehető összeg.</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T2 TŐKE</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 CRR 71. cikke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EBBŐL: A T2 TŐKÉBE BESZÁMÍTHATÓ</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CRR 82. és 83. cikke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Az oszlop csak az egyedi adatszolgáltatás hatálya alá tartozó, teljes mértékben konsz</w:t>
            </w:r>
            <w:r>
              <w:rPr>
                <w:rStyle w:val="InstructionsTabelleText"/>
                <w:rFonts w:ascii="Times New Roman" w:hAnsi="Times New Roman"/>
                <w:sz w:val="24"/>
              </w:rPr>
              <w:t>o</w:t>
            </w:r>
            <w:r>
              <w:rPr>
                <w:rStyle w:val="InstructionsTabelleText"/>
                <w:rFonts w:ascii="Times New Roman" w:hAnsi="Times New Roman"/>
                <w:sz w:val="24"/>
              </w:rPr>
              <w:t>lidált intézményi leányvállalatok adatait tartalmazza, a CRR 87. cikkének (2) bekezd</w:t>
            </w:r>
            <w:r>
              <w:rPr>
                <w:rStyle w:val="InstructionsTabelleText"/>
                <w:rFonts w:ascii="Times New Roman" w:hAnsi="Times New Roman"/>
                <w:sz w:val="24"/>
              </w:rPr>
              <w:t>é</w:t>
            </w:r>
            <w:r>
              <w:rPr>
                <w:rStyle w:val="InstructionsTabelleText"/>
                <w:rFonts w:ascii="Times New Roman" w:hAnsi="Times New Roman"/>
                <w:sz w:val="24"/>
              </w:rPr>
              <w:t>sében említett leányvállalatok kivételével. A CRR 87. cikkében előírt valamennyi sz</w:t>
            </w:r>
            <w:r>
              <w:rPr>
                <w:rStyle w:val="InstructionsTabelleText"/>
                <w:rFonts w:ascii="Times New Roman" w:hAnsi="Times New Roman"/>
                <w:sz w:val="24"/>
              </w:rPr>
              <w:t>á</w:t>
            </w:r>
            <w:r>
              <w:rPr>
                <w:rStyle w:val="InstructionsTabelleText"/>
                <w:rFonts w:ascii="Times New Roman" w:hAnsi="Times New Roman"/>
                <w:sz w:val="24"/>
              </w:rPr>
              <w:t>mítás szempontjából az egyes leányvállalatokat a CRR 87. cikke (2) bekezdésének a</w:t>
            </w:r>
            <w:r>
              <w:rPr>
                <w:rStyle w:val="InstructionsTabelleText"/>
                <w:rFonts w:ascii="Times New Roman" w:hAnsi="Times New Roman"/>
                <w:sz w:val="24"/>
              </w:rPr>
              <w:t>l</w:t>
            </w:r>
            <w:r>
              <w:rPr>
                <w:rStyle w:val="InstructionsTabelleText"/>
                <w:rFonts w:ascii="Times New Roman" w:hAnsi="Times New Roman"/>
                <w:sz w:val="24"/>
              </w:rPr>
              <w:t>kalmazásakor szubkonszolidált alapon, egyéb esetekben egyed</w:t>
            </w:r>
            <w:r w:rsidR="00F66592">
              <w:rPr>
                <w:rStyle w:val="InstructionsTabelleText"/>
                <w:rFonts w:ascii="Times New Roman" w:hAnsi="Times New Roman"/>
                <w:sz w:val="24"/>
              </w:rPr>
              <w:t>i alapon kell figyelembe venni.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CRR és e tábla szempontjából a fenti leányvállalatok esetében befolyásoló kisebbs</w:t>
            </w:r>
            <w:r>
              <w:rPr>
                <w:rStyle w:val="InstructionsTabelleText"/>
                <w:rFonts w:ascii="Times New Roman" w:hAnsi="Times New Roman"/>
                <w:sz w:val="24"/>
              </w:rPr>
              <w:t>é</w:t>
            </w:r>
            <w:r>
              <w:rPr>
                <w:rStyle w:val="InstructionsTabelleText"/>
                <w:rFonts w:ascii="Times New Roman" w:hAnsi="Times New Roman"/>
                <w:sz w:val="24"/>
              </w:rPr>
              <w:t>gi részesedésnek minősülnek a CRR szerinti konszolidáció körébe bevont vállalkoz</w:t>
            </w:r>
            <w:r>
              <w:rPr>
                <w:rStyle w:val="InstructionsTabelleText"/>
                <w:rFonts w:ascii="Times New Roman" w:hAnsi="Times New Roman"/>
                <w:sz w:val="24"/>
              </w:rPr>
              <w:t>á</w:t>
            </w:r>
            <w:r>
              <w:rPr>
                <w:rStyle w:val="InstructionsTabelleText"/>
                <w:rFonts w:ascii="Times New Roman" w:hAnsi="Times New Roman"/>
                <w:sz w:val="24"/>
              </w:rPr>
              <w:t>sokon kívüli személyek tulajdonában álló T2 tőkeinstrumentumok, valamint az eze</w:t>
            </w:r>
            <w:r>
              <w:rPr>
                <w:rStyle w:val="InstructionsTabelleText"/>
                <w:rFonts w:ascii="Times New Roman" w:hAnsi="Times New Roman"/>
                <w:sz w:val="24"/>
              </w:rPr>
              <w:t>k</w:t>
            </w:r>
            <w:r>
              <w:rPr>
                <w:rStyle w:val="InstructionsTabelleText"/>
                <w:rFonts w:ascii="Times New Roman" w:hAnsi="Times New Roman"/>
                <w:sz w:val="24"/>
              </w:rPr>
              <w:t>hez kapcsolódó eredménytartalékok és ázsió.</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feltüntetendő érték magában foglalja az átmeneti rendelkezések hatásait, vagyis az az adatszolgáltatás időpontjában figyelembe vehető összeg.</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250–400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AZ EGYES SZERVEZETEKNEK </w:t>
            </w:r>
            <w:proofErr w:type="gramStart"/>
            <w:r>
              <w:rPr>
                <w:rStyle w:val="InstructionsTabelleberschrift"/>
                <w:rFonts w:ascii="Times New Roman" w:hAnsi="Times New Roman"/>
                <w:sz w:val="24"/>
              </w:rPr>
              <w:t>A</w:t>
            </w:r>
            <w:proofErr w:type="gramEnd"/>
            <w:r>
              <w:rPr>
                <w:rStyle w:val="InstructionsTabelleberschrift"/>
                <w:rFonts w:ascii="Times New Roman" w:hAnsi="Times New Roman"/>
                <w:sz w:val="24"/>
              </w:rPr>
              <w:t xml:space="preserve"> CSOPORTSZINTŰ SZAVATOLÓTŐKE-MEGFELELÉSHEZ VALÓ HOZZÁJÁRULÁSÁVAL KAPCSOLATOS I</w:t>
            </w:r>
            <w:r>
              <w:rPr>
                <w:rStyle w:val="InstructionsTabelleberschrift"/>
                <w:rFonts w:ascii="Times New Roman" w:hAnsi="Times New Roman"/>
                <w:sz w:val="24"/>
              </w:rPr>
              <w:t>N</w:t>
            </w:r>
            <w:r>
              <w:rPr>
                <w:rStyle w:val="InstructionsTabelleberschrift"/>
                <w:rFonts w:ascii="Times New Roman" w:hAnsi="Times New Roman"/>
                <w:sz w:val="24"/>
              </w:rPr>
              <w:t>FORMÁCIÓK</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KOCKÁZATI HOZZÁJÁRULÁS</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Az alábbi oszlopokban feltüntetett információkat az adatot szolgáltató intézményre v</w:t>
            </w:r>
            <w:r>
              <w:rPr>
                <w:rFonts w:ascii="Times New Roman" w:hAnsi="Times New Roman"/>
                <w:sz w:val="24"/>
              </w:rPr>
              <w:t>o</w:t>
            </w:r>
            <w:r>
              <w:rPr>
                <w:rFonts w:ascii="Times New Roman" w:hAnsi="Times New Roman"/>
                <w:sz w:val="24"/>
              </w:rPr>
              <w:t>natkozó tőkemegfelelési szabályok alapján kell megadni.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TELJES KOCKÁZATI KITETTSÉGÉRTÉK</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 260–290. oszlopok összegét kell megadni.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HITELKOCKÁZAT; PARTNERKOCKÁZAT; FELHÍGULÁSI KOCKÁZAT, NYITVA SZÁLLÍTÁSOK, ELSZÁMOLÁSI/TELJESÍTÉSI KOCKÁZAT</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feltüntetendő érték a kockázattal súlyozott hitelkockázati kitettségérték, valamint az elszámolási/teljesítési kockázatra vonatkozó, CRR szerinti szavatolótőke-követelmények összege, a más szervezetekkel bonyolított ügyletekhez kapcsolódó, a csoportszintű konszolidált szolvenciamutató kiszámításakor figyelembe vett összegek nélkül.</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POZÍCIÓKOCKÁZAT, DEVIZAÁRFOLYAM-KOCKÁZAT </w:t>
            </w:r>
            <w:proofErr w:type="gramStart"/>
            <w:r>
              <w:rPr>
                <w:rStyle w:val="InstructionsTabelleberschrift"/>
                <w:rFonts w:ascii="Times New Roman" w:hAnsi="Times New Roman"/>
                <w:sz w:val="24"/>
              </w:rPr>
              <w:t>ÉS</w:t>
            </w:r>
            <w:proofErr w:type="gramEnd"/>
            <w:r>
              <w:rPr>
                <w:rStyle w:val="InstructionsTabelleberschrift"/>
                <w:rFonts w:ascii="Times New Roman" w:hAnsi="Times New Roman"/>
                <w:sz w:val="24"/>
              </w:rPr>
              <w:t xml:space="preserve"> ÁRUKOCK</w:t>
            </w:r>
            <w:r>
              <w:rPr>
                <w:rStyle w:val="InstructionsTabelleberschrift"/>
                <w:rFonts w:ascii="Times New Roman" w:hAnsi="Times New Roman"/>
                <w:sz w:val="24"/>
              </w:rPr>
              <w:t>Á</w:t>
            </w:r>
            <w:r>
              <w:rPr>
                <w:rStyle w:val="InstructionsTabelleberschrift"/>
                <w:rFonts w:ascii="Times New Roman" w:hAnsi="Times New Roman"/>
                <w:sz w:val="24"/>
              </w:rPr>
              <w:t>ZAT</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A piaci kockázatra vonatkozó kockázati kitettségértékeket az egyes szervezetek szin</w:t>
            </w:r>
            <w:r>
              <w:rPr>
                <w:rStyle w:val="InstructionsTabelleText"/>
                <w:rFonts w:ascii="Times New Roman" w:hAnsi="Times New Roman"/>
                <w:sz w:val="24"/>
              </w:rPr>
              <w:t>t</w:t>
            </w:r>
            <w:r>
              <w:rPr>
                <w:rStyle w:val="InstructionsTabelleText"/>
                <w:rFonts w:ascii="Times New Roman" w:hAnsi="Times New Roman"/>
                <w:sz w:val="24"/>
              </w:rPr>
              <w:t>jén a CRR szerint kell kiszámítani. A szervezeteknek a pozíciókockázat, devizaárf</w:t>
            </w:r>
            <w:r>
              <w:rPr>
                <w:rStyle w:val="InstructionsTabelleText"/>
                <w:rFonts w:ascii="Times New Roman" w:hAnsi="Times New Roman"/>
                <w:sz w:val="24"/>
              </w:rPr>
              <w:t>o</w:t>
            </w:r>
            <w:r>
              <w:rPr>
                <w:rStyle w:val="InstructionsTabelleText"/>
                <w:rFonts w:ascii="Times New Roman" w:hAnsi="Times New Roman"/>
                <w:sz w:val="24"/>
              </w:rPr>
              <w:t xml:space="preserve">lyam-kockázat és árukockázat csoportszintű teljes kockázati kitettségértékéhez való hozzájárulásukat kell megadniuk. Az itt feltüntetendő érték megegyezik a konszolidált jelentés 520-as sorában (A POZÍCIÓKOCKÁZAT, DEVIZAÁRFOLYAM-KOCKÁZAT </w:t>
            </w:r>
            <w:proofErr w:type="gramStart"/>
            <w:r>
              <w:rPr>
                <w:rStyle w:val="InstructionsTabelleText"/>
                <w:rFonts w:ascii="Times New Roman" w:hAnsi="Times New Roman"/>
                <w:sz w:val="24"/>
              </w:rPr>
              <w:t>ÉS</w:t>
            </w:r>
            <w:proofErr w:type="gramEnd"/>
            <w:r>
              <w:rPr>
                <w:rStyle w:val="InstructionsTabelleText"/>
                <w:rFonts w:ascii="Times New Roman" w:hAnsi="Times New Roman"/>
                <w:sz w:val="24"/>
              </w:rPr>
              <w:t xml:space="preserve"> ÁRUKOCKÁZAT TELJES KOCKÁZATI KITETTSÉGÉRTÉKE) megadott összeggel.</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MŰKÖDÉSI KOCKÁZAT</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Fejlett mérési módszerek (AMA) alkalmazásakor a működési kockázatra vonatkozóan megadott kockázati kitettségértékeknek magukban kell foglalniuk a diverzifikáció h</w:t>
            </w:r>
            <w:r>
              <w:rPr>
                <w:rStyle w:val="InstructionsTabelleText"/>
                <w:rFonts w:ascii="Times New Roman" w:hAnsi="Times New Roman"/>
                <w:sz w:val="24"/>
              </w:rPr>
              <w:t>a</w:t>
            </w:r>
            <w:r>
              <w:rPr>
                <w:rStyle w:val="InstructionsTabelleText"/>
                <w:rFonts w:ascii="Times New Roman" w:hAnsi="Times New Roman"/>
                <w:sz w:val="24"/>
              </w:rPr>
              <w:t>tásait is.</w:t>
            </w:r>
          </w:p>
          <w:p w:rsidR="00464F34" w:rsidRPr="00392FFD" w:rsidRDefault="00464F34" w:rsidP="00464F34">
            <w:pPr>
              <w:rPr>
                <w:rStyle w:val="InstructionsTabelleText"/>
                <w:rFonts w:ascii="Times New Roman" w:hAnsi="Times New Roman"/>
                <w:sz w:val="24"/>
              </w:rPr>
            </w:pPr>
            <w:r>
              <w:rPr>
                <w:rFonts w:ascii="Times New Roman" w:hAnsi="Times New Roman"/>
                <w:caps/>
                <w:sz w:val="24"/>
              </w:rPr>
              <w:t>A</w:t>
            </w:r>
            <w:r>
              <w:rPr>
                <w:rFonts w:ascii="Times New Roman" w:hAnsi="Times New Roman"/>
                <w:sz w:val="24"/>
              </w:rPr>
              <w:t xml:space="preserve"> fix működési költségeket ebben az oszlopban kell feltüntetni.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EGYÉB KOCKÁZATI KITETTSÉGÉRTÉKEK</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Az ebben az oszlopban feltüntetendő érték az előzőekben külön nem említett kitettségértékeket foglalja magában.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HOZZÁJÁRULÁS </w:t>
            </w:r>
            <w:proofErr w:type="gramStart"/>
            <w:r>
              <w:rPr>
                <w:rStyle w:val="InstructionsTabelleberschrift"/>
                <w:rFonts w:ascii="Times New Roman" w:hAnsi="Times New Roman"/>
                <w:sz w:val="24"/>
              </w:rPr>
              <w:t>A</w:t>
            </w:r>
            <w:proofErr w:type="gramEnd"/>
            <w:r>
              <w:rPr>
                <w:rStyle w:val="InstructionsTabelleberschrift"/>
                <w:rFonts w:ascii="Times New Roman" w:hAnsi="Times New Roman"/>
                <w:sz w:val="24"/>
              </w:rPr>
              <w:t xml:space="preserve"> SZAVATOLÓ TŐKÉHEZ</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A tábla e része nem írja elő az intézmények számára, hogy az egyes szervezetek szin</w:t>
            </w:r>
            <w:r>
              <w:rPr>
                <w:rStyle w:val="InstructionsTabelleText"/>
                <w:rFonts w:ascii="Times New Roman" w:hAnsi="Times New Roman"/>
                <w:sz w:val="24"/>
              </w:rPr>
              <w:t>t</w:t>
            </w:r>
            <w:r>
              <w:rPr>
                <w:rStyle w:val="InstructionsTabelleText"/>
                <w:rFonts w:ascii="Times New Roman" w:hAnsi="Times New Roman"/>
                <w:sz w:val="24"/>
              </w:rPr>
              <w:t>jén teljeskörűen kiszámí</w:t>
            </w:r>
            <w:r w:rsidR="00F66592">
              <w:rPr>
                <w:rStyle w:val="InstructionsTabelleText"/>
                <w:rFonts w:ascii="Times New Roman" w:hAnsi="Times New Roman"/>
                <w:sz w:val="24"/>
              </w:rPr>
              <w:t>tsák a tőkemegfelelési mutatót.</w:t>
            </w:r>
          </w:p>
          <w:p w:rsidR="00144F03" w:rsidRPr="00392FFD" w:rsidRDefault="00144F03" w:rsidP="00144F03">
            <w:pPr>
              <w:pStyle w:val="Texte2"/>
              <w:ind w:left="0"/>
              <w:rPr>
                <w:rStyle w:val="InstructionsTabelleText"/>
                <w:rFonts w:ascii="Times New Roman" w:hAnsi="Times New Roman"/>
                <w:sz w:val="24"/>
                <w:szCs w:val="24"/>
              </w:rPr>
            </w:pPr>
            <w:r>
              <w:rPr>
                <w:rFonts w:ascii="Times New Roman" w:hAnsi="Times New Roman"/>
                <w:sz w:val="24"/>
              </w:rPr>
              <w:t>A 300–350. oszlopot azon konszolidált szervezetek esetében kell kitölteni, amelyek a szavatoló tőkéhez kisebbségi részesedéssel, a T1 tőkébe beszámítható és/vagy a szav</w:t>
            </w:r>
            <w:r>
              <w:rPr>
                <w:rFonts w:ascii="Times New Roman" w:hAnsi="Times New Roman"/>
                <w:sz w:val="24"/>
              </w:rPr>
              <w:t>a</w:t>
            </w:r>
            <w:r>
              <w:rPr>
                <w:rFonts w:ascii="Times New Roman" w:hAnsi="Times New Roman"/>
                <w:sz w:val="24"/>
              </w:rPr>
              <w:t>toló tőkébe beszámítható tőkével járulnak hozzá. A II. rész 2.3. fejezetében meghatár</w:t>
            </w:r>
            <w:r>
              <w:rPr>
                <w:rFonts w:ascii="Times New Roman" w:hAnsi="Times New Roman"/>
                <w:sz w:val="24"/>
              </w:rPr>
              <w:t>o</w:t>
            </w:r>
            <w:r>
              <w:rPr>
                <w:rFonts w:ascii="Times New Roman" w:hAnsi="Times New Roman"/>
                <w:sz w:val="24"/>
              </w:rPr>
              <w:t>zott küszöb függvényében a 360–400. oszlopot minden olyan konszolidált szervezetre vonatkozóan ki kell tölteni, amely hozzájárul a konszolidált szavatoló tőkéhez.</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Egy szervezet számára az adatszolgáltató intézmény körébe vont egyéb szervezetek á</w:t>
            </w:r>
            <w:r>
              <w:rPr>
                <w:rStyle w:val="InstructionsTabelleText"/>
                <w:rFonts w:ascii="Times New Roman" w:hAnsi="Times New Roman"/>
                <w:sz w:val="24"/>
              </w:rPr>
              <w:t>l</w:t>
            </w:r>
            <w:r>
              <w:rPr>
                <w:rStyle w:val="InstructionsTabelleText"/>
                <w:rFonts w:ascii="Times New Roman" w:hAnsi="Times New Roman"/>
                <w:sz w:val="24"/>
              </w:rPr>
              <w:t xml:space="preserve">tal biztosított szavatoló tőke nem vehető figyelembe; az oszlopban kizárólag a </w:t>
            </w:r>
            <w:proofErr w:type="gramStart"/>
            <w:r>
              <w:rPr>
                <w:rStyle w:val="InstructionsTabelleText"/>
                <w:rFonts w:ascii="Times New Roman" w:hAnsi="Times New Roman"/>
                <w:sz w:val="24"/>
              </w:rPr>
              <w:t>csoport szavatoló</w:t>
            </w:r>
            <w:proofErr w:type="gramEnd"/>
            <w:r>
              <w:rPr>
                <w:rStyle w:val="InstructionsTabelleText"/>
                <w:rFonts w:ascii="Times New Roman" w:hAnsi="Times New Roman"/>
                <w:sz w:val="24"/>
              </w:rPr>
              <w:t xml:space="preserve"> tőkéjéhez való nettó hozzájárulás, vagyis főként a harmadik felektől és a fe</w:t>
            </w:r>
            <w:r>
              <w:rPr>
                <w:rStyle w:val="InstructionsTabelleText"/>
                <w:rFonts w:ascii="Times New Roman" w:hAnsi="Times New Roman"/>
                <w:sz w:val="24"/>
              </w:rPr>
              <w:t>l</w:t>
            </w:r>
            <w:r>
              <w:rPr>
                <w:rStyle w:val="InstructionsTabelleText"/>
                <w:rFonts w:ascii="Times New Roman" w:hAnsi="Times New Roman"/>
                <w:sz w:val="24"/>
              </w:rPr>
              <w:t>halmozott tartalékokból szár</w:t>
            </w:r>
            <w:r w:rsidR="00F66592">
              <w:rPr>
                <w:rStyle w:val="InstructionsTabelleText"/>
                <w:rFonts w:ascii="Times New Roman" w:hAnsi="Times New Roman"/>
                <w:sz w:val="24"/>
              </w:rPr>
              <w:t>mazó szavatoló tőke adható meg.</w:t>
            </w:r>
          </w:p>
          <w:p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Az alábbi oszlopokban feltüntetett információkat az adatot szolgáltató intézményre v</w:t>
            </w:r>
            <w:r>
              <w:rPr>
                <w:rStyle w:val="InstructionsTabelleText"/>
                <w:rFonts w:ascii="Times New Roman" w:hAnsi="Times New Roman"/>
                <w:sz w:val="24"/>
              </w:rPr>
              <w:t>o</w:t>
            </w:r>
            <w:r>
              <w:rPr>
                <w:rStyle w:val="InstructionsTabelleText"/>
                <w:rFonts w:ascii="Times New Roman" w:hAnsi="Times New Roman"/>
                <w:sz w:val="24"/>
              </w:rPr>
              <w:t>natkozó tőkemegfelelési szabályok alapján kell megadni.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300-350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A KONSZOLIDÁLT SZAVATOLÓ TŐKE RÉSZÉT KÉPEZŐ, </w:t>
            </w:r>
            <w:proofErr w:type="gramStart"/>
            <w:r>
              <w:rPr>
                <w:rStyle w:val="InstructionsTabelleberschrift"/>
                <w:rFonts w:ascii="Times New Roman" w:hAnsi="Times New Roman"/>
                <w:sz w:val="24"/>
              </w:rPr>
              <w:t>A</w:t>
            </w:r>
            <w:proofErr w:type="gramEnd"/>
            <w:r>
              <w:rPr>
                <w:rStyle w:val="InstructionsTabelleberschrift"/>
                <w:rFonts w:ascii="Times New Roman" w:hAnsi="Times New Roman"/>
                <w:sz w:val="24"/>
              </w:rPr>
              <w:t xml:space="preserve"> SZAVAT</w:t>
            </w:r>
            <w:r>
              <w:rPr>
                <w:rStyle w:val="InstructionsTabelleberschrift"/>
                <w:rFonts w:ascii="Times New Roman" w:hAnsi="Times New Roman"/>
                <w:sz w:val="24"/>
              </w:rPr>
              <w:t>O</w:t>
            </w:r>
            <w:r>
              <w:rPr>
                <w:rStyle w:val="InstructionsTabelleberschrift"/>
                <w:rFonts w:ascii="Times New Roman" w:hAnsi="Times New Roman"/>
                <w:sz w:val="24"/>
              </w:rPr>
              <w:t>LÓ TŐKÉBE BESZÁMÍTHATÓ TŐKE</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 xml:space="preserve">A KONSZOLIDÁLT SZAVATOLÓ TŐKE RÉSZÉT KÉPEZŐ, </w:t>
            </w:r>
            <w:proofErr w:type="gramStart"/>
            <w:r>
              <w:rPr>
                <w:rStyle w:val="InstructionsTabelleText"/>
                <w:rFonts w:ascii="Times New Roman" w:hAnsi="Times New Roman"/>
                <w:sz w:val="24"/>
              </w:rPr>
              <w:t>A</w:t>
            </w:r>
            <w:proofErr w:type="gramEnd"/>
            <w:r>
              <w:rPr>
                <w:rStyle w:val="InstructionsTabelleText"/>
                <w:rFonts w:ascii="Times New Roman" w:hAnsi="Times New Roman"/>
                <w:sz w:val="24"/>
              </w:rPr>
              <w:t xml:space="preserve"> SZAVATOLÓ TŐKÉBE BESZÁMÍTHATÓ TŐKE alatt feltüntetendő érték a CRR második részének II. címéből származó összeg, a csoport más szervezetei által rendelkezésre bocsátott források nélkül.</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A KONSZOLIDÁLT SZAVATOLÓ TŐKE RÉSZÉT KÉPEZŐ, </w:t>
            </w:r>
            <w:proofErr w:type="gramStart"/>
            <w:r>
              <w:rPr>
                <w:rStyle w:val="InstructionsTabelleberschrift"/>
                <w:rFonts w:ascii="Times New Roman" w:hAnsi="Times New Roman"/>
                <w:sz w:val="24"/>
              </w:rPr>
              <w:t>A</w:t>
            </w:r>
            <w:proofErr w:type="gramEnd"/>
            <w:r>
              <w:rPr>
                <w:rStyle w:val="InstructionsTabelleberschrift"/>
                <w:rFonts w:ascii="Times New Roman" w:hAnsi="Times New Roman"/>
                <w:sz w:val="24"/>
              </w:rPr>
              <w:t xml:space="preserve"> SZAVAT</w:t>
            </w:r>
            <w:r>
              <w:rPr>
                <w:rStyle w:val="InstructionsTabelleberschrift"/>
                <w:rFonts w:ascii="Times New Roman" w:hAnsi="Times New Roman"/>
                <w:sz w:val="24"/>
              </w:rPr>
              <w:t>O</w:t>
            </w:r>
            <w:r>
              <w:rPr>
                <w:rStyle w:val="InstructionsTabelleberschrift"/>
                <w:rFonts w:ascii="Times New Roman" w:hAnsi="Times New Roman"/>
                <w:sz w:val="24"/>
              </w:rPr>
              <w:t>LÓ TŐKÉBE BESZÁMÍTHATÓ TŐKE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CRR 87. cikke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A KONSZOLIDÁLT T1 TŐKE RÉSZÉT KÉPEZŐ, </w:t>
            </w:r>
            <w:proofErr w:type="gramStart"/>
            <w:r>
              <w:rPr>
                <w:rStyle w:val="InstructionsTabelleberschrift"/>
                <w:rFonts w:ascii="Times New Roman" w:hAnsi="Times New Roman"/>
                <w:sz w:val="24"/>
              </w:rPr>
              <w:t>A</w:t>
            </w:r>
            <w:proofErr w:type="gramEnd"/>
            <w:r>
              <w:rPr>
                <w:rStyle w:val="InstructionsTabelleberschrift"/>
                <w:rFonts w:ascii="Times New Roman" w:hAnsi="Times New Roman"/>
                <w:sz w:val="24"/>
              </w:rPr>
              <w:t xml:space="preserve"> T1 TŐKÉBE BESZ</w:t>
            </w:r>
            <w:r>
              <w:rPr>
                <w:rStyle w:val="InstructionsTabelleberschrift"/>
                <w:rFonts w:ascii="Times New Roman" w:hAnsi="Times New Roman"/>
                <w:sz w:val="24"/>
              </w:rPr>
              <w:t>Á</w:t>
            </w:r>
            <w:r>
              <w:rPr>
                <w:rStyle w:val="InstructionsTabelleberschrift"/>
                <w:rFonts w:ascii="Times New Roman" w:hAnsi="Times New Roman"/>
                <w:sz w:val="24"/>
              </w:rPr>
              <w:t>MÍTHATÓ INSTRUMENTUMOK</w:t>
            </w:r>
          </w:p>
          <w:p w:rsidR="00464F34" w:rsidRPr="00392FFD" w:rsidRDefault="00464F34" w:rsidP="00871877">
            <w:pPr>
              <w:rPr>
                <w:rStyle w:val="InstructionsTabelleText"/>
                <w:rFonts w:ascii="Times New Roman" w:hAnsi="Times New Roman"/>
                <w:sz w:val="24"/>
              </w:rPr>
            </w:pPr>
            <w:r>
              <w:rPr>
                <w:rStyle w:val="InstructionsTabelleText"/>
                <w:rFonts w:ascii="Times New Roman" w:hAnsi="Times New Roman"/>
                <w:sz w:val="24"/>
              </w:rPr>
              <w:t>A CRR 85. cikke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320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A KONSZOLIDÁLT CET1 TŐKE RÉSZÉT KÉPEZŐ KISEBBSÉGI RÉSZ</w:t>
            </w:r>
            <w:r>
              <w:rPr>
                <w:rStyle w:val="InstructionsTabelleberschrift"/>
                <w:rFonts w:ascii="Times New Roman" w:hAnsi="Times New Roman"/>
                <w:sz w:val="24"/>
              </w:rPr>
              <w:t>E</w:t>
            </w:r>
            <w:r>
              <w:rPr>
                <w:rStyle w:val="InstructionsTabelleberschrift"/>
                <w:rFonts w:ascii="Times New Roman" w:hAnsi="Times New Roman"/>
                <w:sz w:val="24"/>
              </w:rPr>
              <w:t>SEDÉSEK</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CRR 84. cikke</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A feltüntetendő érték a leányvállalat kisebbségi részesedésének CRR szerint a konsz</w:t>
            </w:r>
            <w:r>
              <w:rPr>
                <w:rStyle w:val="InstructionsTabelleText"/>
                <w:rFonts w:ascii="Times New Roman" w:hAnsi="Times New Roman"/>
                <w:sz w:val="24"/>
              </w:rPr>
              <w:t>o</w:t>
            </w:r>
            <w:r>
              <w:rPr>
                <w:rStyle w:val="InstructionsTabelleText"/>
                <w:rFonts w:ascii="Times New Roman" w:hAnsi="Times New Roman"/>
                <w:sz w:val="24"/>
              </w:rPr>
              <w:t xml:space="preserve">lidált CET1 tőkébe beszámított összege.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330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 xml:space="preserve">A KONSZOLIDÁLT AT1 TŐKE RÉSZÉT KÉPEZŐ, </w:t>
            </w:r>
            <w:proofErr w:type="gramStart"/>
            <w:r>
              <w:rPr>
                <w:rStyle w:val="InstructionsTabelleberschrift"/>
                <w:rFonts w:ascii="Times New Roman" w:hAnsi="Times New Roman"/>
                <w:sz w:val="24"/>
              </w:rPr>
              <w:t>A</w:t>
            </w:r>
            <w:proofErr w:type="gramEnd"/>
            <w:r>
              <w:rPr>
                <w:rStyle w:val="InstructionsTabelleberschrift"/>
                <w:rFonts w:ascii="Times New Roman" w:hAnsi="Times New Roman"/>
                <w:sz w:val="24"/>
              </w:rPr>
              <w:t xml:space="preserve"> T1 TŐKÉBE BESZ</w:t>
            </w:r>
            <w:r>
              <w:rPr>
                <w:rStyle w:val="InstructionsTabelleberschrift"/>
                <w:rFonts w:ascii="Times New Roman" w:hAnsi="Times New Roman"/>
                <w:sz w:val="24"/>
              </w:rPr>
              <w:t>Á</w:t>
            </w:r>
            <w:r>
              <w:rPr>
                <w:rStyle w:val="InstructionsTabelleberschrift"/>
                <w:rFonts w:ascii="Times New Roman" w:hAnsi="Times New Roman"/>
                <w:sz w:val="24"/>
              </w:rPr>
              <w:t>MÍTHATÓ INSTRUMENTUMOK</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CRR 86. cikke</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A feltüntetendő érték a leányvállalat T1 tőkébe beszámítható tőkéjének, a CRR szerint </w:t>
            </w:r>
            <w:r>
              <w:rPr>
                <w:rStyle w:val="InstructionsTabelleText"/>
                <w:rFonts w:ascii="Times New Roman" w:hAnsi="Times New Roman"/>
                <w:sz w:val="24"/>
              </w:rPr>
              <w:lastRenderedPageBreak/>
              <w:t xml:space="preserve">a konszolidált AT1 tőkébe beszámított összege.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lastRenderedPageBreak/>
              <w:t>340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A KONSZOLIDÁLT T2 TŐKE RÉSZÉT KÉPEZŐ, </w:t>
            </w:r>
            <w:proofErr w:type="gramStart"/>
            <w:r>
              <w:rPr>
                <w:rStyle w:val="InstructionsTabelleberschrift"/>
                <w:rFonts w:ascii="Times New Roman" w:hAnsi="Times New Roman"/>
                <w:sz w:val="24"/>
              </w:rPr>
              <w:t>A</w:t>
            </w:r>
            <w:proofErr w:type="gramEnd"/>
            <w:r>
              <w:rPr>
                <w:rStyle w:val="InstructionsTabelleberschrift"/>
                <w:rFonts w:ascii="Times New Roman" w:hAnsi="Times New Roman"/>
                <w:sz w:val="24"/>
              </w:rPr>
              <w:t xml:space="preserve"> SZAVATOLÓ TŐKÉBE BESZÁMÍTHATÓ INSTRUMENTUMOK</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CRR 88. cikke</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A feltüntetendő érték a leányvállalat szavatoló tőkébe beszámítható tőkéjének, a CRR szerint a konszolidált T2 tőkébe beszámított összege. </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350</w:t>
            </w:r>
          </w:p>
        </w:tc>
        <w:tc>
          <w:tcPr>
            <w:tcW w:w="8640" w:type="dxa"/>
          </w:tcPr>
          <w:p w:rsidR="00464F34" w:rsidRPr="00392FFD" w:rsidRDefault="00464F34" w:rsidP="00464F34">
            <w:pPr>
              <w:rPr>
                <w:rStyle w:val="InstructionsTabelleberschrift"/>
                <w:rFonts w:ascii="Times New Roman" w:hAnsi="Times New Roman"/>
                <w:b w:val="0"/>
                <w:sz w:val="24"/>
              </w:rPr>
            </w:pPr>
            <w:r>
              <w:rPr>
                <w:rStyle w:val="InstructionsTabelleberschrift"/>
                <w:rFonts w:ascii="Times New Roman" w:hAnsi="Times New Roman"/>
                <w:sz w:val="24"/>
              </w:rPr>
              <w:t>TÁJÉKOZTATÓ ADAT: (–) CÉGÉRTÉK / (+) NEGATÍV CÉGÉRTÉK</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KONSZOLIDÁLT SZAVATOLÓ TŐKE</w:t>
            </w:r>
          </w:p>
          <w:p w:rsidR="00144F03" w:rsidRPr="00392FFD" w:rsidRDefault="00144F03" w:rsidP="00464F34">
            <w:pPr>
              <w:rPr>
                <w:rStyle w:val="InstructionsTabelleText"/>
                <w:rFonts w:ascii="Times New Roman" w:hAnsi="Times New Roman"/>
                <w:sz w:val="24"/>
              </w:rPr>
            </w:pPr>
            <w:r>
              <w:rPr>
                <w:rStyle w:val="InstructionsTabelleText"/>
                <w:rFonts w:ascii="Times New Roman" w:hAnsi="Times New Roman"/>
                <w:sz w:val="24"/>
              </w:rPr>
              <w:t>A CRR 18. cikke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KONSZOLIDÁLT SZAVATOLÓ TŐKE alatt feltüntetendő érték a mérlegből származó összeg, a csoport más szervezetei által rendelkezésre bocsátott források né</w:t>
            </w:r>
            <w:r>
              <w:rPr>
                <w:rStyle w:val="InstructionsTabelleText"/>
                <w:rFonts w:ascii="Times New Roman" w:hAnsi="Times New Roman"/>
                <w:sz w:val="24"/>
              </w:rPr>
              <w:t>l</w:t>
            </w:r>
            <w:r>
              <w:rPr>
                <w:rStyle w:val="InstructionsTabelleText"/>
                <w:rFonts w:ascii="Times New Roman" w:hAnsi="Times New Roman"/>
                <w:sz w:val="24"/>
              </w:rPr>
              <w:t>kül.</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KONSZOLIDÁLT SZAVATOLÓ TŐKE</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EBBŐL: CET1 TŐKE</w:t>
            </w:r>
          </w:p>
        </w:tc>
      </w:tr>
      <w:tr w:rsidR="00464F34" w:rsidRPr="00392FFD" w:rsidTr="00672D2A">
        <w:tc>
          <w:tcPr>
            <w:tcW w:w="1188" w:type="dxa"/>
          </w:tcPr>
          <w:p w:rsidR="00464F34" w:rsidRPr="00392FFD" w:rsidDel="0081176B" w:rsidRDefault="00464F34" w:rsidP="00464F34">
            <w:pPr>
              <w:rPr>
                <w:rFonts w:ascii="Times New Roman" w:hAnsi="Times New Roman"/>
                <w:sz w:val="24"/>
              </w:rPr>
            </w:pPr>
            <w:r>
              <w:rPr>
                <w:rFonts w:ascii="Times New Roman" w:hAnsi="Times New Roman"/>
                <w:sz w:val="24"/>
              </w:rPr>
              <w:t>380</w:t>
            </w:r>
          </w:p>
        </w:tc>
        <w:tc>
          <w:tcPr>
            <w:tcW w:w="8640" w:type="dxa"/>
          </w:tcPr>
          <w:p w:rsidR="00464F34" w:rsidRPr="00392FFD" w:rsidDel="0081176B"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EBBŐL: AT1 TŐKE</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390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 xml:space="preserve">EBBŐL: HOZZÁJÁRULÁS </w:t>
            </w:r>
            <w:proofErr w:type="gramStart"/>
            <w:r>
              <w:rPr>
                <w:rStyle w:val="InstructionsTabelleberschrift"/>
                <w:rFonts w:ascii="Times New Roman" w:hAnsi="Times New Roman"/>
                <w:sz w:val="24"/>
              </w:rPr>
              <w:t>A</w:t>
            </w:r>
            <w:proofErr w:type="gramEnd"/>
            <w:r>
              <w:rPr>
                <w:rStyle w:val="InstructionsTabelleberschrift"/>
                <w:rFonts w:ascii="Times New Roman" w:hAnsi="Times New Roman"/>
                <w:sz w:val="24"/>
              </w:rPr>
              <w:t xml:space="preserve"> KONSZOLIDÁLT EREDMÉNYHEZ</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Itt az egyes szervezeteknek a konszolidált eredményhez való hozzájárulását (nyereség vagy (–) veszteség) kell feltüntetni. Ez magában foglalja a kisebbségi részesedéseknek tulajdonítható eredményt is.</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EBBŐL: (–) CÉGÉRTÉK / (+) NEGATÍV CÉGÉRTÉK</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Itt az adatszolgáltató intézménynek a leányvállalatban meglévő cégértékét vagy negatív cégértékét kell feltüntetni.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TŐKEPUFFEREK</w:t>
            </w:r>
          </w:p>
          <w:p w:rsidR="00464F34" w:rsidRPr="00392FFD" w:rsidRDefault="00464F34" w:rsidP="00096566">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GS táblában a tőkepufferekkel kapcsolatos adatszolgáltatás szerkezete a CA4-es tá</w:t>
            </w:r>
            <w:r>
              <w:rPr>
                <w:rStyle w:val="InstructionsTabelleberschrift"/>
                <w:rFonts w:ascii="Times New Roman" w:hAnsi="Times New Roman"/>
                <w:b w:val="0"/>
                <w:sz w:val="24"/>
                <w:u w:val="none"/>
              </w:rPr>
              <w:t>b</w:t>
            </w:r>
            <w:r>
              <w:rPr>
                <w:rStyle w:val="InstructionsTabelleberschrift"/>
                <w:rFonts w:ascii="Times New Roman" w:hAnsi="Times New Roman"/>
                <w:b w:val="0"/>
                <w:sz w:val="24"/>
                <w:u w:val="none"/>
              </w:rPr>
              <w:t>la általános felépítését követi, és azzal azonos adatszolgáltatási fogalmakat alkalmaz. A GS táblában a tőkepufferekkel kapcsolatos adatszolgáltatás során a megfelelő összeg</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ket a csoport konszolidált helyzetére vonatkozó pufferkövetelmény meghatározására alkalmazandó rendelkezéseknek megfelelően kell feltüntetni. Ezért a tőkepufferek fe</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tüntetett összegei az egyes szervezeteknek a csoportszintű tőkepufferekhez való hozz</w:t>
            </w:r>
            <w:r>
              <w:rPr>
                <w:rStyle w:val="InstructionsTabelleberschrift"/>
                <w:rFonts w:ascii="Times New Roman" w:hAnsi="Times New Roman"/>
                <w:b w:val="0"/>
                <w:sz w:val="24"/>
                <w:u w:val="none"/>
              </w:rPr>
              <w:t>á</w:t>
            </w:r>
            <w:r>
              <w:rPr>
                <w:rStyle w:val="InstructionsTabelleberschrift"/>
                <w:rFonts w:ascii="Times New Roman" w:hAnsi="Times New Roman"/>
                <w:b w:val="0"/>
                <w:sz w:val="24"/>
                <w:u w:val="none"/>
              </w:rPr>
              <w:t>járulását jelentik. A feltüntetett összegek a CRD-t átültető nemzeti intézkedéseken és a CRR-n alapulnak, beleértve minden azokban foglalt átmeneti rendelkezést is.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KOMBINÁLT PUFFERKÖVETELMÉNY</w:t>
            </w:r>
          </w:p>
          <w:p w:rsidR="00464F34" w:rsidRPr="00392FFD" w:rsidRDefault="00464F34" w:rsidP="00941843">
            <w:pPr>
              <w:tabs>
                <w:tab w:val="left" w:pos="3510"/>
              </w:tabs>
              <w:rPr>
                <w:rStyle w:val="InstructionsTabelleberschrift"/>
                <w:rFonts w:ascii="Times New Roman" w:hAnsi="Times New Roman"/>
                <w:sz w:val="24"/>
              </w:rPr>
            </w:pPr>
            <w:r>
              <w:rPr>
                <w:rStyle w:val="InstructionsTabelleText"/>
                <w:rFonts w:ascii="Times New Roman" w:hAnsi="Times New Roman"/>
                <w:sz w:val="24"/>
              </w:rPr>
              <w:t>A CRD 128. cikkének 6. pontja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TŐKEFENNTARTÁSI PUFFER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CRD 128. cikkének 1. pontja, valamint 129. cikke</w:t>
            </w:r>
          </w:p>
          <w:p w:rsidR="00464F34" w:rsidRPr="00392FFD" w:rsidRDefault="00464F34" w:rsidP="00FD239F">
            <w:pPr>
              <w:pStyle w:val="InstructionsText"/>
              <w:rPr>
                <w:rStyle w:val="InstructionsTabelleText"/>
                <w:rFonts w:ascii="Times New Roman" w:hAnsi="Times New Roman"/>
                <w:sz w:val="24"/>
              </w:rPr>
            </w:pPr>
            <w:r>
              <w:t xml:space="preserve">A CRD 129. cikkének (1) bekezdése szerint a tőkefenntartási puffer CET1 tőkén felüli </w:t>
            </w:r>
            <w:r>
              <w:lastRenderedPageBreak/>
              <w:t>CET1 tőkeelemekből áll. Mivel a tőkefenntartási puffer 2,5 %-os mértéke állandó, e</w:t>
            </w:r>
            <w:r>
              <w:t>b</w:t>
            </w:r>
            <w:r>
              <w:t>ben a cellában összeget kell feltüntetni.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430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INTÉZMÉNYSPECIFIKUS ANTICIKLIKUS TŐKEPUFFER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CRD 128. cikkének 2. pontja, valamint 130. és 135–140. cikke</w:t>
            </w:r>
          </w:p>
          <w:p w:rsidR="00464F34" w:rsidRPr="00392FFD" w:rsidRDefault="00464F34" w:rsidP="00FD239F">
            <w:pPr>
              <w:pStyle w:val="InstructionsText"/>
              <w:rPr>
                <w:rStyle w:val="InstructionsTabelleText"/>
                <w:rFonts w:ascii="Times New Roman" w:hAnsi="Times New Roman"/>
                <w:sz w:val="24"/>
              </w:rPr>
            </w:pPr>
            <w:r>
              <w:t>Ebben a cellában az anticiklikus puffer konkrét összegét kell megadni.</w:t>
            </w:r>
          </w:p>
        </w:tc>
      </w:tr>
      <w:tr w:rsidR="00464F34" w:rsidRPr="00392FFD" w:rsidTr="00672D2A">
        <w:tc>
          <w:tcPr>
            <w:tcW w:w="1188" w:type="dxa"/>
          </w:tcPr>
          <w:p w:rsidR="00464F34" w:rsidRPr="00392FFD" w:rsidDel="00D70027" w:rsidRDefault="00464F34" w:rsidP="00464F34">
            <w:pPr>
              <w:rPr>
                <w:rStyle w:val="InstructionsTabelleText"/>
                <w:rFonts w:ascii="Times New Roman" w:hAnsi="Times New Roman"/>
                <w:sz w:val="24"/>
              </w:rPr>
            </w:pPr>
            <w:r>
              <w:rPr>
                <w:rStyle w:val="InstructionsTabelleText"/>
                <w:rFonts w:ascii="Times New Roman" w:hAnsi="Times New Roman"/>
                <w:sz w:val="24"/>
              </w:rPr>
              <w:t>440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 TAGÁLLAMOK SZINTJÉN AZONOSÍTOTT MAKROPRUDENCIÁLIS VAGY RENDSZERKOCKÁZATOKRA KÉPZETT FENNTARTÁSI PUFFER</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458. cikke (2) bekezdése d) pontjának iv. alpontja</w:t>
            </w:r>
          </w:p>
          <w:p w:rsidR="00464F34" w:rsidRPr="00392FFD" w:rsidRDefault="00464F34" w:rsidP="00FD239F">
            <w:pPr>
              <w:pStyle w:val="InstructionsText"/>
              <w:rPr>
                <w:rStyle w:val="InstructionsTabelleberschrift"/>
                <w:rFonts w:ascii="Times New Roman" w:hAnsi="Times New Roman"/>
                <w:sz w:val="24"/>
              </w:rPr>
            </w:pPr>
            <w:r>
              <w:t>Ebben a cellában a tagállamok szintjén azonosított makroprudenciális vagy rendsze</w:t>
            </w:r>
            <w:r>
              <w:t>r</w:t>
            </w:r>
            <w:r>
              <w:t>kockázatokra képzett fenntartási puffer értékét kell feltüntetni, amely a CRR 458. ci</w:t>
            </w:r>
            <w:r>
              <w:t>k</w:t>
            </w:r>
            <w:r>
              <w:t>kével összhangban a tőkefenntartási pufferen felül kérhető.</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RENDSZERKOCKÁZATI TŐKEPUFFER</w:t>
            </w:r>
          </w:p>
          <w:p w:rsidR="00464F34" w:rsidRPr="00392FFD" w:rsidRDefault="00464F34" w:rsidP="00FD239F">
            <w:pPr>
              <w:pStyle w:val="InstructionsText"/>
            </w:pPr>
            <w:r>
              <w:t xml:space="preserve">A CRD 128. cikkének 5. pontja, valamint 133. és 134. cikke </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Ebben a cellában a rendszerkockázati tőkepuffer összegét kell megadni.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470</w:t>
            </w:r>
          </w:p>
        </w:tc>
        <w:tc>
          <w:tcPr>
            <w:tcW w:w="8640" w:type="dxa"/>
          </w:tcPr>
          <w:p w:rsidR="00464F34" w:rsidRPr="00392FFD" w:rsidRDefault="00464F34" w:rsidP="00464F34">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GLOBÁLISAN RENDSZERSZINTEN JELENTŐS INTÉZMÉNYEKRE V</w:t>
            </w:r>
            <w:r>
              <w:rPr>
                <w:rStyle w:val="InstructionsTabelleberschrift"/>
                <w:rFonts w:ascii="Times New Roman" w:hAnsi="Times New Roman"/>
                <w:sz w:val="24"/>
              </w:rPr>
              <w:t>O</w:t>
            </w:r>
            <w:r>
              <w:rPr>
                <w:rStyle w:val="InstructionsTabelleberschrift"/>
                <w:rFonts w:ascii="Times New Roman" w:hAnsi="Times New Roman"/>
                <w:sz w:val="24"/>
              </w:rPr>
              <w:t>NATKOZÓ TŐKEPUFFER</w:t>
            </w:r>
            <w:r>
              <w:tab/>
            </w:r>
          </w:p>
          <w:p w:rsidR="00464F34" w:rsidRPr="00392FFD" w:rsidRDefault="00464F3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CRD 128. cikkének 3. pontja, valamint 131. cikke</w:t>
            </w:r>
          </w:p>
          <w:p w:rsidR="00483FC9" w:rsidRPr="00392FFD" w:rsidRDefault="00464F34" w:rsidP="00FD239F">
            <w:pPr>
              <w:pStyle w:val="InstructionsText"/>
              <w:rPr>
                <w:rStyle w:val="InstructionsTabelleberschrift"/>
                <w:rFonts w:ascii="Times New Roman" w:hAnsi="Times New Roman"/>
                <w:sz w:val="24"/>
              </w:rPr>
            </w:pPr>
            <w:r>
              <w:t>Ebben a cellában a globális rendszerszinten jelentős intézményekre vonatkozó tőkepuffer összegét kell megadni.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480</w:t>
            </w:r>
          </w:p>
        </w:tc>
        <w:tc>
          <w:tcPr>
            <w:tcW w:w="8640" w:type="dxa"/>
          </w:tcPr>
          <w:p w:rsidR="00464F34" w:rsidRPr="00392FFD" w:rsidRDefault="00464F34" w:rsidP="00464F34">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EGYÉB RENDSZERSZINTEN JELENTŐS INTÉZMÉNYEKRE VONATK</w:t>
            </w:r>
            <w:r>
              <w:rPr>
                <w:rStyle w:val="InstructionsTabelleberschrift"/>
                <w:rFonts w:ascii="Times New Roman" w:hAnsi="Times New Roman"/>
                <w:sz w:val="24"/>
              </w:rPr>
              <w:t>O</w:t>
            </w:r>
            <w:r>
              <w:rPr>
                <w:rStyle w:val="InstructionsTabelleberschrift"/>
                <w:rFonts w:ascii="Times New Roman" w:hAnsi="Times New Roman"/>
                <w:sz w:val="24"/>
              </w:rPr>
              <w:t>ZÓ TŐKEPUFFER</w:t>
            </w:r>
            <w:r>
              <w:tab/>
            </w:r>
          </w:p>
          <w:p w:rsidR="00464F34" w:rsidRPr="00392FFD" w:rsidRDefault="00464F34" w:rsidP="00FD239F">
            <w:pPr>
              <w:pStyle w:val="InstructionsText"/>
            </w:pPr>
            <w:r>
              <w:t>A CRD 128. cikkének 4. pontja, valamint 131. cikke</w:t>
            </w:r>
          </w:p>
          <w:p w:rsidR="00464F34" w:rsidRPr="00392FFD" w:rsidRDefault="00464F34" w:rsidP="00FD239F">
            <w:pPr>
              <w:pStyle w:val="InstructionsText"/>
              <w:rPr>
                <w:rStyle w:val="InstructionsTabelleberschrift"/>
                <w:rFonts w:ascii="Times New Roman" w:hAnsi="Times New Roman"/>
                <w:sz w:val="24"/>
              </w:rPr>
            </w:pPr>
            <w:r>
              <w:t>Ebben a cellában az egyéb rendszerszinten jelentős intézményekre vonatkozó tőkepuffer összegét kell megadni.</w:t>
            </w:r>
          </w:p>
        </w:tc>
      </w:tr>
    </w:tbl>
    <w:p w:rsidR="00FC1030" w:rsidRPr="00392FFD" w:rsidRDefault="00FC1030" w:rsidP="00FD239F">
      <w:pPr>
        <w:pStyle w:val="InstructionsText"/>
      </w:pPr>
    </w:p>
    <w:p w:rsidR="00464F34" w:rsidRPr="00392FFD" w:rsidRDefault="00B43C2A" w:rsidP="0023700C">
      <w:pPr>
        <w:pStyle w:val="Instructionsberschrift2"/>
        <w:numPr>
          <w:ilvl w:val="0"/>
          <w:numId w:val="0"/>
        </w:numPr>
        <w:ind w:left="357" w:hanging="357"/>
        <w:rPr>
          <w:rFonts w:ascii="Times New Roman" w:hAnsi="Times New Roman" w:cs="Times New Roman"/>
          <w:sz w:val="24"/>
        </w:rPr>
      </w:pPr>
      <w:bookmarkStart w:id="145" w:name="_Toc310415013"/>
      <w:bookmarkStart w:id="146" w:name="_Toc360188344"/>
      <w:bookmarkStart w:id="147" w:name="_Toc516210628"/>
      <w:bookmarkStart w:id="148" w:name="_Toc473560893"/>
      <w:bookmarkStart w:id="149" w:name="_Toc524014687"/>
      <w:r>
        <w:rPr>
          <w:rFonts w:ascii="Times New Roman" w:hAnsi="Times New Roman"/>
          <w:sz w:val="24"/>
          <w:u w:val="none"/>
        </w:rPr>
        <w:t>3.</w:t>
      </w:r>
      <w:r w:rsidRPr="00F66592">
        <w:rPr>
          <w:u w:val="none"/>
        </w:rPr>
        <w:tab/>
      </w:r>
      <w:r>
        <w:rPr>
          <w:rFonts w:ascii="Times New Roman" w:hAnsi="Times New Roman"/>
          <w:sz w:val="24"/>
        </w:rPr>
        <w:t>Hitelkockázati táblacsoport</w:t>
      </w:r>
      <w:bookmarkEnd w:id="145"/>
      <w:bookmarkEnd w:id="146"/>
      <w:bookmarkEnd w:id="147"/>
      <w:bookmarkEnd w:id="148"/>
      <w:bookmarkEnd w:id="149"/>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0" w:name="_Toc360188345"/>
      <w:bookmarkStart w:id="151" w:name="_Toc516210629"/>
      <w:bookmarkStart w:id="152" w:name="_Toc473560894"/>
      <w:bookmarkStart w:id="153" w:name="_Toc524014688"/>
      <w:bookmarkStart w:id="154" w:name="_Toc262568022"/>
      <w:bookmarkStart w:id="155" w:name="_Toc295829848"/>
      <w:bookmarkStart w:id="156" w:name="_Toc310415014"/>
      <w:r>
        <w:rPr>
          <w:rFonts w:ascii="Times New Roman" w:hAnsi="Times New Roman"/>
          <w:sz w:val="24"/>
          <w:u w:val="none"/>
        </w:rPr>
        <w:t>3.1.</w:t>
      </w:r>
      <w:r w:rsidRPr="00F66592">
        <w:rPr>
          <w:u w:val="none"/>
        </w:rPr>
        <w:tab/>
      </w:r>
      <w:r>
        <w:rPr>
          <w:rFonts w:ascii="Times New Roman" w:hAnsi="Times New Roman"/>
          <w:sz w:val="24"/>
        </w:rPr>
        <w:t>Általános megjegyzések</w:t>
      </w:r>
      <w:bookmarkEnd w:id="150"/>
      <w:bookmarkEnd w:id="151"/>
      <w:bookmarkEnd w:id="152"/>
      <w:bookmarkEnd w:id="153"/>
      <w:r>
        <w:rPr>
          <w:rFonts w:ascii="Times New Roman" w:hAnsi="Times New Roman"/>
          <w:sz w:val="24"/>
        </w:rPr>
        <w:t xml:space="preserve"> </w:t>
      </w:r>
      <w:bookmarkEnd w:id="154"/>
      <w:bookmarkEnd w:id="155"/>
      <w:bookmarkEnd w:id="156"/>
    </w:p>
    <w:p w:rsidR="00464F34" w:rsidRPr="00392FFD" w:rsidRDefault="00125707" w:rsidP="00C37B29">
      <w:pPr>
        <w:pStyle w:val="InstructionsText2"/>
        <w:numPr>
          <w:ilvl w:val="0"/>
          <w:numId w:val="0"/>
        </w:numPr>
        <w:ind w:left="993"/>
      </w:pPr>
      <w:r>
        <w:t>38.</w:t>
      </w:r>
      <w:r>
        <w:tab/>
        <w:t xml:space="preserve">A hitelkockázat kiszámításakor alkalmazott sztenderd módszerhez és IRB-módszerhez külön táblacsoport tartozik. </w:t>
      </w:r>
      <w:proofErr w:type="gramStart"/>
      <w:r>
        <w:t>Ezenkívül</w:t>
      </w:r>
      <w:proofErr w:type="gramEnd"/>
      <w:r>
        <w:t xml:space="preserve"> az 5. cikk a) pontjának 4. a</w:t>
      </w:r>
      <w:r>
        <w:t>l</w:t>
      </w:r>
      <w:r>
        <w:t>pontjában rögzített küszöbérték túllépése esetén a hitelkockázattal érintett pozíciók földrajzi bontásához külön táb</w:t>
      </w:r>
      <w:r w:rsidR="00F66592">
        <w:t>lákon kell adatot szolgáltatni.</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7" w:name="_Toc262568023"/>
      <w:bookmarkStart w:id="158" w:name="_Toc295829849"/>
      <w:bookmarkStart w:id="159" w:name="_Toc310415015"/>
      <w:bookmarkStart w:id="160" w:name="_Toc360188346"/>
      <w:bookmarkStart w:id="161" w:name="_Toc516210630"/>
      <w:bookmarkStart w:id="162" w:name="_Toc473560895"/>
      <w:bookmarkStart w:id="163" w:name="_Toc524014689"/>
      <w:r>
        <w:rPr>
          <w:rFonts w:ascii="Times New Roman" w:hAnsi="Times New Roman"/>
          <w:sz w:val="24"/>
          <w:u w:val="none"/>
        </w:rPr>
        <w:t>3.1.1.</w:t>
      </w:r>
      <w:r w:rsidRPr="00F66592">
        <w:rPr>
          <w:u w:val="none"/>
        </w:rPr>
        <w:tab/>
      </w:r>
      <w:r>
        <w:rPr>
          <w:rFonts w:ascii="Times New Roman" w:hAnsi="Times New Roman"/>
          <w:sz w:val="24"/>
        </w:rPr>
        <w:t>Helyettesítési hatással járó hitelkockázat-mérséklési technikák</w:t>
      </w:r>
      <w:bookmarkEnd w:id="157"/>
      <w:bookmarkEnd w:id="158"/>
      <w:bookmarkEnd w:id="159"/>
      <w:bookmarkEnd w:id="160"/>
      <w:bookmarkEnd w:id="161"/>
      <w:bookmarkEnd w:id="162"/>
      <w:bookmarkEnd w:id="163"/>
    </w:p>
    <w:p w:rsidR="00464F34" w:rsidRPr="00392FFD" w:rsidRDefault="00125707" w:rsidP="00C37B29">
      <w:pPr>
        <w:pStyle w:val="InstructionsText2"/>
        <w:numPr>
          <w:ilvl w:val="0"/>
          <w:numId w:val="0"/>
        </w:numPr>
        <w:ind w:left="993"/>
      </w:pPr>
      <w:r>
        <w:t>39.</w:t>
      </w:r>
      <w:r>
        <w:tab/>
        <w:t>A CRR 235. cikke az előre nem rendelkezésre bocsátott hitelkockázati fedeze</w:t>
      </w:r>
      <w:r>
        <w:t>t</w:t>
      </w:r>
      <w:r>
        <w:t>tel teljes mértékben fedezett kitettség számítási módját mutatja be.</w:t>
      </w:r>
    </w:p>
    <w:p w:rsidR="00464F34" w:rsidRPr="00392FFD" w:rsidRDefault="00125707" w:rsidP="00C37B29">
      <w:pPr>
        <w:pStyle w:val="InstructionsText2"/>
        <w:numPr>
          <w:ilvl w:val="0"/>
          <w:numId w:val="0"/>
        </w:numPr>
        <w:ind w:left="993"/>
      </w:pPr>
      <w:r>
        <w:lastRenderedPageBreak/>
        <w:t>40.</w:t>
      </w:r>
      <w:r>
        <w:tab/>
        <w:t>A CRR 236. cikke az előre nem rendelkezésre bocsátott hitelkockázati fedeze</w:t>
      </w:r>
      <w:r>
        <w:t>t</w:t>
      </w:r>
      <w:r>
        <w:t>tel teljes mértékben / részlegesen fedezett kitettség számítási módját mutatja be (a veszteségviselési rangsorban azonos hely).</w:t>
      </w:r>
    </w:p>
    <w:p w:rsidR="00464F34" w:rsidRPr="00392FFD" w:rsidRDefault="00125707" w:rsidP="00C37B29">
      <w:pPr>
        <w:pStyle w:val="InstructionsText2"/>
        <w:numPr>
          <w:ilvl w:val="0"/>
          <w:numId w:val="0"/>
        </w:numPr>
        <w:ind w:left="993"/>
      </w:pPr>
      <w:r>
        <w:t>41.</w:t>
      </w:r>
      <w:r>
        <w:tab/>
        <w:t>A CRR 196., 197. és 200. cikke az előre rendelkezésre bocsátott hitelkockázati fedezetet szabályozza.</w:t>
      </w:r>
    </w:p>
    <w:p w:rsidR="00464F34" w:rsidRPr="00392FFD" w:rsidRDefault="00125707" w:rsidP="00C37B29">
      <w:pPr>
        <w:pStyle w:val="InstructionsText2"/>
        <w:numPr>
          <w:ilvl w:val="0"/>
          <w:numId w:val="0"/>
        </w:numPr>
        <w:ind w:left="993"/>
      </w:pPr>
      <w:r>
        <w:t>42.</w:t>
      </w:r>
      <w:r>
        <w:tab/>
        <w:t>Az azonos kitettségi osztályba tartozó kötelezettekkel (közvetlen partnerekkel) és fedezetnyújtókkal szembeni kitettségek adatszolgáltatásának tartalmaznia kell az adott kitettségi osztályt érintő be- és kiáramlásokat egyaránt.</w:t>
      </w:r>
    </w:p>
    <w:p w:rsidR="00464F34" w:rsidRPr="00392FFD" w:rsidRDefault="00125707" w:rsidP="00C37B29">
      <w:pPr>
        <w:pStyle w:val="InstructionsText2"/>
        <w:numPr>
          <w:ilvl w:val="0"/>
          <w:numId w:val="0"/>
        </w:numPr>
        <w:ind w:left="993"/>
      </w:pPr>
      <w:r>
        <w:t>43.</w:t>
      </w:r>
      <w:r>
        <w:tab/>
        <w:t>Az előre nem rendelkezésre bocsátott hitelkockázati fedezet miatt a kitettség típusa nem változik.</w:t>
      </w:r>
    </w:p>
    <w:p w:rsidR="00464F34" w:rsidRPr="00392FFD" w:rsidRDefault="00125707" w:rsidP="00C37B29">
      <w:pPr>
        <w:pStyle w:val="InstructionsText2"/>
        <w:numPr>
          <w:ilvl w:val="0"/>
          <w:numId w:val="0"/>
        </w:numPr>
        <w:ind w:left="993"/>
      </w:pPr>
      <w:r>
        <w:t>44.</w:t>
      </w:r>
      <w:r>
        <w:tab/>
        <w:t>Az előre nem rendelkezésre bocsátott hitelkockázati fedezettel rendelkező k</w:t>
      </w:r>
      <w:r>
        <w:t>i</w:t>
      </w:r>
      <w:r>
        <w:t>tettség esetében a fedezett részt kiáramlásként kell figyelembe venni pl. a kötelezett kitettségi osztályában, és beáramlásként a fedezetnyújtó kitettségi osztályában. A kitettség típusa azonban a kitettségi osztály változása következtében nem módosul.</w:t>
      </w:r>
    </w:p>
    <w:p w:rsidR="00464F34" w:rsidRPr="00392FFD" w:rsidRDefault="00125707" w:rsidP="00C37B29">
      <w:pPr>
        <w:pStyle w:val="InstructionsText2"/>
        <w:numPr>
          <w:ilvl w:val="0"/>
          <w:numId w:val="0"/>
        </w:numPr>
        <w:ind w:left="993"/>
      </w:pPr>
      <w:r>
        <w:t>45.</w:t>
      </w:r>
      <w:r>
        <w:tab/>
        <w:t>A COREP adatszolgáltatási rendszerben megjelenő helyettesítési hatás a kitet</w:t>
      </w:r>
      <w:r>
        <w:t>t</w:t>
      </w:r>
      <w:r>
        <w:t>ség fedezett részére ténylegesen alkalmazandó kockázati súlyozást tükrözi. Így a k</w:t>
      </w:r>
      <w:r>
        <w:t>i</w:t>
      </w:r>
      <w:r>
        <w:t>tettségek fedezett részének kockázati súlyozása a sztenderd módszer szerint tört</w:t>
      </w:r>
      <w:r>
        <w:t>é</w:t>
      </w:r>
      <w:r>
        <w:t xml:space="preserve">nik, és arról a CR SA táblán kell adatot szolgáltatni.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64" w:name="_Toc262568024"/>
      <w:bookmarkStart w:id="165" w:name="_Toc295829850"/>
      <w:bookmarkStart w:id="166" w:name="_Toc310415016"/>
      <w:bookmarkStart w:id="167" w:name="_Toc360188347"/>
      <w:bookmarkStart w:id="168" w:name="_Toc516210631"/>
      <w:bookmarkStart w:id="169" w:name="_Toc473560896"/>
      <w:bookmarkStart w:id="170" w:name="_Toc524014690"/>
      <w:r>
        <w:rPr>
          <w:rFonts w:ascii="Times New Roman" w:hAnsi="Times New Roman"/>
          <w:sz w:val="24"/>
          <w:u w:val="none"/>
        </w:rPr>
        <w:t>3.1.2.</w:t>
      </w:r>
      <w:r w:rsidRPr="00F66592">
        <w:rPr>
          <w:u w:val="none"/>
        </w:rPr>
        <w:tab/>
      </w:r>
      <w:r>
        <w:rPr>
          <w:rFonts w:ascii="Times New Roman" w:hAnsi="Times New Roman"/>
          <w:sz w:val="24"/>
        </w:rPr>
        <w:t>A partnerkockázattal kapcsolatos adatszolgáltatás</w:t>
      </w:r>
      <w:bookmarkEnd w:id="164"/>
      <w:bookmarkEnd w:id="165"/>
      <w:bookmarkEnd w:id="166"/>
      <w:bookmarkEnd w:id="167"/>
      <w:bookmarkEnd w:id="168"/>
      <w:bookmarkEnd w:id="169"/>
      <w:bookmarkEnd w:id="170"/>
    </w:p>
    <w:p w:rsidR="00464F34" w:rsidRPr="00392FFD" w:rsidRDefault="00125707" w:rsidP="00C37B29">
      <w:pPr>
        <w:pStyle w:val="InstructionsText2"/>
        <w:numPr>
          <w:ilvl w:val="0"/>
          <w:numId w:val="0"/>
        </w:numPr>
        <w:ind w:left="993"/>
      </w:pPr>
      <w:r>
        <w:t>46.</w:t>
      </w:r>
      <w:r>
        <w:tab/>
        <w:t>A partnerkockázati pozíciókból eredő kitettségeket a CR SA vagy CR IRB tá</w:t>
      </w:r>
      <w:r>
        <w:t>b</w:t>
      </w:r>
      <w:r>
        <w:t>lákon kell feltüntetni attól függetlenül, hogy azokat a banki könyvben vagy a kere</w:t>
      </w:r>
      <w:r>
        <w:t>s</w:t>
      </w:r>
      <w:r>
        <w:t xml:space="preserve">kedési könyvben tartják nyilván.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1" w:name="_Toc292456202"/>
      <w:bookmarkStart w:id="172" w:name="_Toc295829851"/>
      <w:bookmarkStart w:id="173" w:name="_Toc310415017"/>
      <w:bookmarkStart w:id="174" w:name="_Toc360188348"/>
      <w:bookmarkStart w:id="175" w:name="_Toc516210632"/>
      <w:bookmarkStart w:id="176" w:name="_Toc473560897"/>
      <w:bookmarkStart w:id="177" w:name="_Toc524014691"/>
      <w:r>
        <w:rPr>
          <w:rFonts w:ascii="Times New Roman" w:hAnsi="Times New Roman"/>
          <w:sz w:val="24"/>
          <w:u w:val="none"/>
        </w:rPr>
        <w:t>3.2.</w:t>
      </w:r>
      <w:r w:rsidRPr="00F66592">
        <w:rPr>
          <w:u w:val="none"/>
        </w:rPr>
        <w:tab/>
      </w:r>
      <w:r>
        <w:rPr>
          <w:rFonts w:ascii="Times New Roman" w:hAnsi="Times New Roman"/>
          <w:sz w:val="24"/>
        </w:rPr>
        <w:t xml:space="preserve">C 07.00 – Hitelkockázat, partnerkockázat és nyitva szállítások: a sztenderd módszer szerinti tőkekövetelmény </w:t>
      </w:r>
      <w:bookmarkEnd w:id="171"/>
      <w:bookmarkEnd w:id="172"/>
      <w:bookmarkEnd w:id="173"/>
      <w:bookmarkEnd w:id="174"/>
      <w:r>
        <w:rPr>
          <w:rFonts w:ascii="Times New Roman" w:hAnsi="Times New Roman"/>
          <w:sz w:val="24"/>
        </w:rPr>
        <w:t>(CR SA)</w:t>
      </w:r>
      <w:bookmarkEnd w:id="175"/>
      <w:bookmarkEnd w:id="176"/>
      <w:bookmarkEnd w:id="177"/>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8" w:name="_Toc262568026"/>
      <w:bookmarkStart w:id="179" w:name="_Toc264038424"/>
      <w:bookmarkStart w:id="180" w:name="_Toc292456203"/>
      <w:bookmarkStart w:id="181" w:name="_Toc295829852"/>
      <w:bookmarkStart w:id="182" w:name="_Toc310415018"/>
      <w:bookmarkStart w:id="183" w:name="_Toc360188349"/>
      <w:bookmarkStart w:id="184" w:name="_Toc516210633"/>
      <w:bookmarkStart w:id="185" w:name="_Toc473560898"/>
      <w:bookmarkStart w:id="186" w:name="_Toc524014692"/>
      <w:r>
        <w:rPr>
          <w:rFonts w:ascii="Times New Roman" w:hAnsi="Times New Roman"/>
          <w:sz w:val="24"/>
          <w:u w:val="none"/>
        </w:rPr>
        <w:t>3.2.1.</w:t>
      </w:r>
      <w:r w:rsidRPr="00F66592">
        <w:rPr>
          <w:u w:val="none"/>
        </w:rPr>
        <w:tab/>
      </w:r>
      <w:r>
        <w:rPr>
          <w:rFonts w:ascii="Times New Roman" w:hAnsi="Times New Roman"/>
          <w:sz w:val="24"/>
        </w:rPr>
        <w:t>Általános megjegyzések</w:t>
      </w:r>
      <w:bookmarkEnd w:id="178"/>
      <w:bookmarkEnd w:id="179"/>
      <w:bookmarkEnd w:id="180"/>
      <w:bookmarkEnd w:id="181"/>
      <w:bookmarkEnd w:id="182"/>
      <w:bookmarkEnd w:id="183"/>
      <w:bookmarkEnd w:id="184"/>
      <w:bookmarkEnd w:id="185"/>
      <w:bookmarkEnd w:id="186"/>
    </w:p>
    <w:p w:rsidR="00464F34" w:rsidRPr="00392FFD" w:rsidRDefault="00125707" w:rsidP="00C37B29">
      <w:pPr>
        <w:pStyle w:val="InstructionsText2"/>
        <w:numPr>
          <w:ilvl w:val="0"/>
          <w:numId w:val="0"/>
        </w:numPr>
        <w:ind w:left="993"/>
      </w:pPr>
      <w:r>
        <w:t>47.</w:t>
      </w:r>
      <w:r>
        <w:tab/>
        <w:t>A CR SA táblák a hitelkockázat szavatolótőke-követelményének sztenderd módszer szerinti kiszámításához szükséges információkat tartalmazzák. Különösen az alábbiakról tartalmaznak részletes információkat:</w:t>
      </w:r>
    </w:p>
    <w:p w:rsidR="00464F34" w:rsidRPr="00392FFD" w:rsidRDefault="00125707" w:rsidP="00C37B29">
      <w:pPr>
        <w:pStyle w:val="InstructionsText2"/>
        <w:numPr>
          <w:ilvl w:val="0"/>
          <w:numId w:val="0"/>
        </w:numPr>
        <w:ind w:left="993"/>
      </w:pPr>
      <w:proofErr w:type="gramStart"/>
      <w:r>
        <w:t>a</w:t>
      </w:r>
      <w:proofErr w:type="gramEnd"/>
      <w:r>
        <w:t>)</w:t>
      </w:r>
      <w:r>
        <w:tab/>
        <w:t>a kitettségértékek különböző kitettségtípusok, kockázati súlyok és kitettségi osztályok szerinti megoszlása;</w:t>
      </w:r>
    </w:p>
    <w:p w:rsidR="00464F34" w:rsidRPr="00392FFD" w:rsidRDefault="00125707" w:rsidP="00C37B29">
      <w:pPr>
        <w:pStyle w:val="InstructionsText2"/>
        <w:numPr>
          <w:ilvl w:val="0"/>
          <w:numId w:val="0"/>
        </w:numPr>
        <w:ind w:left="993"/>
      </w:pPr>
      <w:r>
        <w:t>b)</w:t>
      </w:r>
      <w:r>
        <w:tab/>
        <w:t xml:space="preserve">a kockázatok mérséklésére alkalmazott hitelkockázat-mérséklési technikák mértéke és típusa.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87" w:name="_Toc262568027"/>
      <w:bookmarkStart w:id="188" w:name="_Toc264038425"/>
      <w:bookmarkStart w:id="189" w:name="_Toc292456204"/>
      <w:bookmarkStart w:id="190" w:name="_Toc295829853"/>
      <w:bookmarkStart w:id="191" w:name="_Toc310415019"/>
      <w:bookmarkStart w:id="192" w:name="_Toc360188350"/>
      <w:bookmarkStart w:id="193" w:name="_Toc516210634"/>
      <w:bookmarkStart w:id="194" w:name="_Toc473560899"/>
      <w:bookmarkStart w:id="195" w:name="_Toc524014693"/>
      <w:r>
        <w:rPr>
          <w:rFonts w:ascii="Times New Roman" w:hAnsi="Times New Roman"/>
          <w:sz w:val="24"/>
          <w:u w:val="none"/>
        </w:rPr>
        <w:t>3.2.2.</w:t>
      </w:r>
      <w:r w:rsidRPr="00F66592">
        <w:rPr>
          <w:u w:val="none"/>
        </w:rPr>
        <w:tab/>
      </w:r>
      <w:r>
        <w:rPr>
          <w:rFonts w:ascii="Times New Roman" w:hAnsi="Times New Roman"/>
          <w:sz w:val="24"/>
        </w:rPr>
        <w:t>A CR SA tábla alkalmazási köre</w:t>
      </w:r>
      <w:bookmarkEnd w:id="187"/>
      <w:bookmarkEnd w:id="188"/>
      <w:bookmarkEnd w:id="189"/>
      <w:bookmarkEnd w:id="190"/>
      <w:bookmarkEnd w:id="191"/>
      <w:bookmarkEnd w:id="192"/>
      <w:bookmarkEnd w:id="193"/>
      <w:bookmarkEnd w:id="194"/>
      <w:bookmarkEnd w:id="195"/>
    </w:p>
    <w:p w:rsidR="00464F34" w:rsidRPr="00392FFD" w:rsidRDefault="00125707" w:rsidP="00C37B29">
      <w:pPr>
        <w:pStyle w:val="InstructionsText2"/>
        <w:numPr>
          <w:ilvl w:val="0"/>
          <w:numId w:val="0"/>
        </w:numPr>
        <w:ind w:left="993"/>
      </w:pPr>
      <w:r>
        <w:t>48.</w:t>
      </w:r>
      <w:r>
        <w:tab/>
        <w:t>A CRR 112. cikke szerint minden SA kitettséget a 16 SA kitettségi osztály v</w:t>
      </w:r>
      <w:r>
        <w:t>a</w:t>
      </w:r>
      <w:r>
        <w:t>lamelyikébe kell sorolni a szavatolótőke-követelmény kiszámításához.</w:t>
      </w:r>
    </w:p>
    <w:p w:rsidR="00464F34" w:rsidRPr="00392FFD" w:rsidRDefault="00125707" w:rsidP="00C37B29">
      <w:pPr>
        <w:pStyle w:val="InstructionsText2"/>
        <w:numPr>
          <w:ilvl w:val="0"/>
          <w:numId w:val="0"/>
        </w:numPr>
        <w:ind w:left="993"/>
      </w:pPr>
      <w:r>
        <w:t>49.</w:t>
      </w:r>
      <w:r>
        <w:tab/>
        <w:t>A CR SA táblán feltüntetett adatokra a kitettségi osztályok összegzésében, v</w:t>
      </w:r>
      <w:r>
        <w:t>a</w:t>
      </w:r>
      <w:r>
        <w:t xml:space="preserve">lamint a sztenderd módszer szerint meghatározott egyes kitettségi osztályokban van </w:t>
      </w:r>
      <w:r>
        <w:lastRenderedPageBreak/>
        <w:t>szükség. Az összesített adatokat és az egyes kitettségi osztályokban szereplő info</w:t>
      </w:r>
      <w:r>
        <w:t>r</w:t>
      </w:r>
      <w:r>
        <w:t xml:space="preserve">mációkat külön dimenzióban kell megadni. </w:t>
      </w:r>
    </w:p>
    <w:p w:rsidR="00464F34" w:rsidRPr="00392FFD" w:rsidRDefault="00125707" w:rsidP="00C37B29">
      <w:pPr>
        <w:pStyle w:val="InstructionsText2"/>
        <w:numPr>
          <w:ilvl w:val="0"/>
          <w:numId w:val="0"/>
        </w:numPr>
        <w:ind w:left="993"/>
      </w:pPr>
      <w:r>
        <w:t>50.</w:t>
      </w:r>
      <w:r>
        <w:tab/>
        <w:t>Az alábbi pozíciók azonban nem tartoznak a CR SA alkalmazási körébe:</w:t>
      </w:r>
    </w:p>
    <w:p w:rsidR="00464F34" w:rsidRPr="00392FFD" w:rsidRDefault="00125707" w:rsidP="00C37B29">
      <w:pPr>
        <w:pStyle w:val="InstructionsText2"/>
        <w:numPr>
          <w:ilvl w:val="0"/>
          <w:numId w:val="0"/>
        </w:numPr>
        <w:ind w:left="993"/>
      </w:pPr>
      <w:proofErr w:type="gramStart"/>
      <w:r>
        <w:t>a</w:t>
      </w:r>
      <w:proofErr w:type="gramEnd"/>
      <w:r>
        <w:t>)</w:t>
      </w:r>
      <w:r>
        <w:tab/>
        <w:t>a CRR 112. cikkének m) pontja szerinti „értékpapírosítási pozíciókat megtest</w:t>
      </w:r>
      <w:r>
        <w:t>e</w:t>
      </w:r>
      <w:r>
        <w:t>sítő tételek” kitettségi osztályba sorolt kitettségek, amelyekről a CR SEC táblákon kell adatot szolgáltatni;</w:t>
      </w:r>
    </w:p>
    <w:p w:rsidR="00464F34" w:rsidRPr="00392FFD" w:rsidRDefault="00125707" w:rsidP="00C37B29">
      <w:pPr>
        <w:pStyle w:val="InstructionsText2"/>
        <w:numPr>
          <w:ilvl w:val="0"/>
          <w:numId w:val="0"/>
        </w:numPr>
        <w:ind w:left="993"/>
      </w:pPr>
      <w:r>
        <w:t>b)</w:t>
      </w:r>
      <w:r>
        <w:tab/>
        <w:t>a szavatoló tőkéből levont kitettségek.</w:t>
      </w:r>
    </w:p>
    <w:p w:rsidR="00464F34" w:rsidRPr="00392FFD" w:rsidRDefault="00125707" w:rsidP="00C37B29">
      <w:pPr>
        <w:pStyle w:val="InstructionsText2"/>
        <w:numPr>
          <w:ilvl w:val="0"/>
          <w:numId w:val="0"/>
        </w:numPr>
        <w:ind w:left="993"/>
      </w:pPr>
      <w:r>
        <w:t>51.</w:t>
      </w:r>
      <w:r>
        <w:tab/>
        <w:t>A CR SA tábla alkalmazási köre az alábbi szavatolótőke-követelményekre te</w:t>
      </w:r>
      <w:r>
        <w:t>r</w:t>
      </w:r>
      <w:r>
        <w:t>jed ki:</w:t>
      </w:r>
    </w:p>
    <w:p w:rsidR="00464F34" w:rsidRPr="00392FFD" w:rsidRDefault="00125707" w:rsidP="00C37B29">
      <w:pPr>
        <w:pStyle w:val="InstructionsText2"/>
        <w:numPr>
          <w:ilvl w:val="0"/>
          <w:numId w:val="0"/>
        </w:numPr>
        <w:ind w:left="993"/>
      </w:pPr>
      <w:proofErr w:type="gramStart"/>
      <w:r>
        <w:t>a</w:t>
      </w:r>
      <w:proofErr w:type="gramEnd"/>
      <w:r>
        <w:t>)</w:t>
      </w:r>
      <w:r>
        <w:tab/>
        <w:t>a banki könyvben nyilvántartott, a CRR harmadik része II. címének 2. fejezete (Sztenderd módszer) szerinti hitelkockázat, ezen belül a banki könyvben nyilvánta</w:t>
      </w:r>
      <w:r>
        <w:t>r</w:t>
      </w:r>
      <w:r>
        <w:t>tott, a CRR harmadik része II. címének 6. fejezete (Partnerkockázat) szerinti par</w:t>
      </w:r>
      <w:r>
        <w:t>t</w:t>
      </w:r>
      <w:r>
        <w:t>nerkockázat;</w:t>
      </w:r>
    </w:p>
    <w:p w:rsidR="00464F34" w:rsidRPr="00392FFD" w:rsidRDefault="00125707" w:rsidP="00C37B29">
      <w:pPr>
        <w:pStyle w:val="InstructionsText2"/>
        <w:numPr>
          <w:ilvl w:val="0"/>
          <w:numId w:val="0"/>
        </w:numPr>
        <w:ind w:left="993"/>
      </w:pPr>
      <w:r>
        <w:t>b)</w:t>
      </w:r>
      <w:r>
        <w:tab/>
        <w:t>a kereskedési könyvben nyilvántartott, a CRR harmadik része II. címének 6. f</w:t>
      </w:r>
      <w:r>
        <w:t>e</w:t>
      </w:r>
      <w:r>
        <w:t>jezete (Partnerkockázat) szerinti partnerkockázat;</w:t>
      </w:r>
    </w:p>
    <w:p w:rsidR="00464F34" w:rsidRPr="00392FFD" w:rsidRDefault="00125707" w:rsidP="00C37B29">
      <w:pPr>
        <w:pStyle w:val="InstructionsText2"/>
        <w:numPr>
          <w:ilvl w:val="0"/>
          <w:numId w:val="0"/>
        </w:numPr>
        <w:ind w:left="993"/>
      </w:pPr>
      <w:r>
        <w:t>c)</w:t>
      </w:r>
      <w:r>
        <w:tab/>
        <w:t>a CRR 379. cikke szerinti nyitva szállításokból eredő elszámolási kockázat az üzleti tevékenységek teljes körére vonatkozóan.</w:t>
      </w:r>
    </w:p>
    <w:p w:rsidR="00464F34" w:rsidRPr="00392FFD" w:rsidRDefault="00125707" w:rsidP="00C37B29">
      <w:pPr>
        <w:pStyle w:val="InstructionsText2"/>
        <w:numPr>
          <w:ilvl w:val="0"/>
          <w:numId w:val="0"/>
        </w:numPr>
        <w:ind w:left="993"/>
      </w:pPr>
      <w:r>
        <w:t>52.</w:t>
      </w:r>
      <w:r>
        <w:tab/>
        <w:t>A tábla alkalmazási köre minden olyan kitettségre kiterjed, amelynek szavatolótőke-követelményét a CRR harmadik része II. címének 2</w:t>
      </w:r>
      <w:proofErr w:type="gramStart"/>
      <w:r>
        <w:t>.,</w:t>
      </w:r>
      <w:proofErr w:type="gramEnd"/>
      <w:r>
        <w:t xml:space="preserve"> valamint 4. és 6. fejezete szerint kell kiszámítani. A CRR 94. cikkének (1) bekezdését alkalmazó intézményeknek ezen a táblán kell adatot szolgáltatniuk a kereskedési könyvi poz</w:t>
      </w:r>
      <w:r>
        <w:t>í</w:t>
      </w:r>
      <w:r>
        <w:t>cióikról is akkor, ha az azokra vonatkozó szavatolótőke-követelményeket a CRR harmadik része II. címének 2. fejezete (a CRR harmadik része II. címének 2. és 6. fejezete és V. címe) alapján számítják ki. Ebből adódóan a tábla nem csupán a k</w:t>
      </w:r>
      <w:r>
        <w:t>i</w:t>
      </w:r>
      <w:r>
        <w:t>tettség típusáról nyújt részletes tájékoztatást (pl. mérlegtételek/mérlegen kívüli tét</w:t>
      </w:r>
      <w:r>
        <w:t>e</w:t>
      </w:r>
      <w:r>
        <w:t>lek), hanem a kockázati súlyoknak az adott kitettségi osztályon belüli eloszlásáról is.</w:t>
      </w:r>
    </w:p>
    <w:p w:rsidR="00464F34" w:rsidRPr="00392FFD" w:rsidRDefault="00125707" w:rsidP="00C37B29">
      <w:pPr>
        <w:pStyle w:val="InstructionsText2"/>
        <w:numPr>
          <w:ilvl w:val="0"/>
          <w:numId w:val="0"/>
        </w:numPr>
        <w:ind w:left="993"/>
      </w:pPr>
      <w:bookmarkStart w:id="196" w:name="_Toc264033212"/>
      <w:bookmarkStart w:id="197" w:name="_Toc294166813"/>
      <w:bookmarkStart w:id="198" w:name="_Toc294256386"/>
      <w:bookmarkStart w:id="199" w:name="_Toc294256487"/>
      <w:bookmarkStart w:id="200" w:name="_Toc294267371"/>
      <w:bookmarkStart w:id="201" w:name="_Toc294267476"/>
      <w:bookmarkStart w:id="202" w:name="_Toc294267607"/>
      <w:bookmarkStart w:id="203" w:name="_Toc294267709"/>
      <w:bookmarkStart w:id="204" w:name="_Toc294274817"/>
      <w:bookmarkStart w:id="205" w:name="_Toc294280261"/>
      <w:bookmarkStart w:id="206" w:name="_Toc294281586"/>
      <w:bookmarkStart w:id="207" w:name="_Toc294281806"/>
      <w:bookmarkStart w:id="208" w:name="_Toc294282020"/>
      <w:bookmarkStart w:id="209" w:name="_Toc294282223"/>
      <w:bookmarkStart w:id="210" w:name="_Toc294714158"/>
      <w:bookmarkStart w:id="211" w:name="_Toc295314184"/>
      <w:bookmarkStart w:id="212" w:name="_Toc295829573"/>
      <w:bookmarkStart w:id="213" w:name="_Toc295829856"/>
      <w:bookmarkStart w:id="214" w:name="_Toc301772744"/>
      <w:bookmarkStart w:id="215" w:name="_Toc301772822"/>
      <w:bookmarkStart w:id="216" w:name="_Toc302657761"/>
      <w:bookmarkStart w:id="217" w:name="_Toc302657880"/>
      <w:bookmarkStart w:id="218" w:name="_Toc307582992"/>
      <w:bookmarkStart w:id="219" w:name="_Toc307583014"/>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t>53.</w:t>
      </w:r>
      <w:r>
        <w:tab/>
      </w:r>
      <w:proofErr w:type="gramStart"/>
      <w:r>
        <w:t>Ezenkívül</w:t>
      </w:r>
      <w:proofErr w:type="gramEnd"/>
      <w:r>
        <w:t xml:space="preserve"> a CR SA a 290–320. sorok további tájékoztató adatokat tartalma</w:t>
      </w:r>
      <w:r>
        <w:t>z</w:t>
      </w:r>
      <w:r>
        <w:t>nak az ingatlanra bejegyzett zálogjoggal fedezett kitettségekről, valamint</w:t>
      </w:r>
      <w:r w:rsidR="00F66592">
        <w:t xml:space="preserve"> a nemteljesítő kitettségekről.</w:t>
      </w:r>
    </w:p>
    <w:p w:rsidR="00464F34" w:rsidRPr="00392FFD" w:rsidRDefault="00125707" w:rsidP="00C37B29">
      <w:pPr>
        <w:pStyle w:val="InstructionsText2"/>
        <w:numPr>
          <w:ilvl w:val="0"/>
          <w:numId w:val="0"/>
        </w:numPr>
        <w:ind w:left="993"/>
      </w:pPr>
      <w:r>
        <w:t>54.</w:t>
      </w:r>
      <w:r>
        <w:tab/>
        <w:t>Ezeket a tájékoztató adatokat kizárólag az alábbi kitettségi osztályokra vona</w:t>
      </w:r>
      <w:r>
        <w:t>t</w:t>
      </w:r>
      <w:r w:rsidR="00F66592">
        <w:t>kozóan kell megadni:</w:t>
      </w:r>
    </w:p>
    <w:p w:rsidR="00464F34" w:rsidRPr="00392FFD" w:rsidRDefault="00125707" w:rsidP="00C37B29">
      <w:pPr>
        <w:pStyle w:val="InstructionsText2"/>
        <w:numPr>
          <w:ilvl w:val="0"/>
          <w:numId w:val="0"/>
        </w:numPr>
        <w:ind w:left="993"/>
      </w:pPr>
      <w:proofErr w:type="gramStart"/>
      <w:r>
        <w:t>a</w:t>
      </w:r>
      <w:proofErr w:type="gramEnd"/>
      <w:r>
        <w:t>)</w:t>
      </w:r>
      <w:r>
        <w:tab/>
        <w:t>központi kormányzatok vagy központi bankok (a CRR 112. cikkének a) pon</w:t>
      </w:r>
      <w:r>
        <w:t>t</w:t>
      </w:r>
      <w:r>
        <w:t>ja);</w:t>
      </w:r>
    </w:p>
    <w:p w:rsidR="00464F34" w:rsidRPr="00392FFD" w:rsidRDefault="00125707" w:rsidP="00C37B29">
      <w:pPr>
        <w:pStyle w:val="InstructionsText2"/>
        <w:numPr>
          <w:ilvl w:val="0"/>
          <w:numId w:val="0"/>
        </w:numPr>
        <w:ind w:left="993"/>
      </w:pPr>
      <w:r>
        <w:t>b)</w:t>
      </w:r>
      <w:r>
        <w:tab/>
        <w:t>regionális kormányzatok vagy helyi hatóságok (a CRR 112. cikkének b) pon</w:t>
      </w:r>
      <w:r>
        <w:t>t</w:t>
      </w:r>
      <w:r>
        <w:t>ja);</w:t>
      </w:r>
    </w:p>
    <w:p w:rsidR="00464F34" w:rsidRPr="00392FFD" w:rsidRDefault="00125707" w:rsidP="00C37B29">
      <w:pPr>
        <w:pStyle w:val="InstructionsText2"/>
        <w:numPr>
          <w:ilvl w:val="0"/>
          <w:numId w:val="0"/>
        </w:numPr>
        <w:ind w:left="993"/>
      </w:pPr>
      <w:r>
        <w:t>c)</w:t>
      </w:r>
      <w:r>
        <w:tab/>
        <w:t>közszektorbeli intézmények (a CRR 112. cikkének c) pontja);</w:t>
      </w:r>
    </w:p>
    <w:p w:rsidR="00464F34" w:rsidRPr="00392FFD" w:rsidRDefault="00125707" w:rsidP="00C37B29">
      <w:pPr>
        <w:pStyle w:val="InstructionsText2"/>
        <w:numPr>
          <w:ilvl w:val="0"/>
          <w:numId w:val="0"/>
        </w:numPr>
        <w:ind w:left="993"/>
      </w:pPr>
      <w:r>
        <w:t>d)</w:t>
      </w:r>
      <w:r>
        <w:tab/>
        <w:t>intézmények (a CRR 112. cikkének f) pontja);</w:t>
      </w:r>
    </w:p>
    <w:p w:rsidR="00464F34" w:rsidRPr="00392FFD" w:rsidRDefault="00125707" w:rsidP="00C37B29">
      <w:pPr>
        <w:pStyle w:val="InstructionsText2"/>
        <w:numPr>
          <w:ilvl w:val="0"/>
          <w:numId w:val="0"/>
        </w:numPr>
        <w:ind w:left="993"/>
      </w:pPr>
      <w:proofErr w:type="gramStart"/>
      <w:r>
        <w:lastRenderedPageBreak/>
        <w:t>e</w:t>
      </w:r>
      <w:proofErr w:type="gramEnd"/>
      <w:r>
        <w:t>)</w:t>
      </w:r>
      <w:r>
        <w:tab/>
        <w:t>vállalkozások (a CRR 112. cikkének g) pontja);</w:t>
      </w:r>
    </w:p>
    <w:p w:rsidR="00464F34" w:rsidRPr="00392FFD" w:rsidRDefault="00125707" w:rsidP="00C37B29">
      <w:pPr>
        <w:pStyle w:val="InstructionsText2"/>
        <w:numPr>
          <w:ilvl w:val="0"/>
          <w:numId w:val="0"/>
        </w:numPr>
        <w:ind w:left="993"/>
      </w:pPr>
      <w:proofErr w:type="gramStart"/>
      <w:r>
        <w:t>f</w:t>
      </w:r>
      <w:proofErr w:type="gramEnd"/>
      <w:r>
        <w:t>)</w:t>
      </w:r>
      <w:r>
        <w:tab/>
        <w:t>lakosság (a CRR 112. cikkének h) pontja).</w:t>
      </w:r>
    </w:p>
    <w:p w:rsidR="00464F34" w:rsidRPr="00392FFD" w:rsidRDefault="00125707" w:rsidP="00C37B29">
      <w:pPr>
        <w:pStyle w:val="InstructionsText2"/>
        <w:numPr>
          <w:ilvl w:val="0"/>
          <w:numId w:val="0"/>
        </w:numPr>
        <w:ind w:left="993"/>
      </w:pPr>
      <w:r>
        <w:t>55.</w:t>
      </w:r>
      <w:r>
        <w:tab/>
        <w:t xml:space="preserve">A tájékoztató adatok megadása sem a CRR 112. cikkének a)–c) és f)–h) pontja szerinti kitettségi osztályok, sem pedig a CR SA táblán feltüntetett, a CRR 112. cikkének i) és j) pontja szerinti kitettségi osztályok kockázattal súlyozott kitettségértékének kiszámítását nem érinti. </w:t>
      </w:r>
    </w:p>
    <w:p w:rsidR="00464F34" w:rsidRPr="00392FFD" w:rsidRDefault="00125707" w:rsidP="00C37B29">
      <w:pPr>
        <w:pStyle w:val="InstructionsText2"/>
        <w:numPr>
          <w:ilvl w:val="0"/>
          <w:numId w:val="0"/>
        </w:numPr>
        <w:ind w:left="993"/>
      </w:pPr>
      <w:r>
        <w:t>56.</w:t>
      </w:r>
      <w:r>
        <w:tab/>
        <w:t>A tájékoztató sorok kiegészítő információkat nyújtanak a „nemteljesítő” és „ingatlanra bejegyzett zálogjoggal fedezett” kitettségi osztályok kötelezetti strukt</w:t>
      </w:r>
      <w:r>
        <w:t>ú</w:t>
      </w:r>
      <w:r>
        <w:t>rájáról. E sorokban azokat a kitettségeket kell megadni, amelyeknél a kötelezetteket a CR SA tábla „központi kormányzatok vagy központi bankok”, „regionális ko</w:t>
      </w:r>
      <w:r>
        <w:t>r</w:t>
      </w:r>
      <w:r>
        <w:t>mányzatok vagy helyi hatóságok”, „közszektorbeli intézmények”, „intézmények”, „vállalkozások” és „lakosság” kitettségi osztályaiba kellene sorolni akkor, ha a k</w:t>
      </w:r>
      <w:r>
        <w:t>i</w:t>
      </w:r>
      <w:r>
        <w:t>tettségek nem a „nemteljesítő” vagy „ingatlanra bejegyzett zálogjoggal fedezett” kitettségi osztályba tartoznának. Mindazonáltal a megadott számadatoknak meg kell egyezniük a „nemteljesítő” és „ingatlanra bejegyzett zálogjoggal fedezett” kitettségi osztályok kockázattal súlyozott kitettségértékeinek számításához használt adatokkal.</w:t>
      </w:r>
    </w:p>
    <w:p w:rsidR="00464F34" w:rsidRPr="00392FFD" w:rsidRDefault="00125707" w:rsidP="00C37B29">
      <w:pPr>
        <w:pStyle w:val="InstructionsText2"/>
        <w:numPr>
          <w:ilvl w:val="0"/>
          <w:numId w:val="0"/>
        </w:numPr>
        <w:ind w:left="993"/>
      </w:pPr>
      <w:r>
        <w:t>57.</w:t>
      </w:r>
      <w:r>
        <w:tab/>
        <w:t>Pl. egy olyan kitettség esetében, amelynek kitettségértékeit a CRR 127. cikke alapján számítják ki 20 % alatti értékelési korrekció mellett, ezt az információt a CR SA 320. sorában az összesített adatok között, valamint a „nemteljesítő” kitettségi osztályban kell feltüntetni. Ha ugyanez a kitettség a nemteljesítést me</w:t>
      </w:r>
      <w:r>
        <w:t>g</w:t>
      </w:r>
      <w:r>
        <w:t>előzően intézménnyel szembeni kitettség volt, akkor az információt az „intézm</w:t>
      </w:r>
      <w:r>
        <w:t>é</w:t>
      </w:r>
      <w:r>
        <w:t>nyek” kitettségi osztály 320. sorában is fel kell tüntetni.</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20" w:name="_Toc262568030"/>
      <w:bookmarkStart w:id="221" w:name="_Toc264038428"/>
      <w:bookmarkStart w:id="222" w:name="_Toc292456207"/>
      <w:bookmarkStart w:id="223" w:name="_Toc295829858"/>
      <w:bookmarkStart w:id="224" w:name="_Toc516210635"/>
      <w:bookmarkStart w:id="225" w:name="_Toc524014694"/>
      <w:r>
        <w:rPr>
          <w:rFonts w:ascii="Times New Roman" w:hAnsi="Times New Roman"/>
          <w:sz w:val="24"/>
          <w:u w:val="none"/>
        </w:rPr>
        <w:t>3.2.3.</w:t>
      </w:r>
      <w:r w:rsidRPr="00F66592">
        <w:rPr>
          <w:u w:val="none"/>
        </w:rPr>
        <w:tab/>
      </w:r>
      <w:bookmarkStart w:id="226" w:name="_Toc310415022"/>
      <w:bookmarkStart w:id="227" w:name="_Toc360188351"/>
      <w:bookmarkStart w:id="228" w:name="_Toc473560900"/>
      <w:r>
        <w:rPr>
          <w:rFonts w:ascii="Times New Roman" w:hAnsi="Times New Roman"/>
          <w:sz w:val="24"/>
        </w:rPr>
        <w:t>A kitettségek kitettségi osztályba sorolása a sztenderd módszerrel</w:t>
      </w:r>
      <w:bookmarkEnd w:id="220"/>
      <w:bookmarkEnd w:id="221"/>
      <w:bookmarkEnd w:id="222"/>
      <w:bookmarkEnd w:id="223"/>
      <w:bookmarkEnd w:id="224"/>
      <w:bookmarkEnd w:id="225"/>
      <w:bookmarkEnd w:id="226"/>
      <w:bookmarkEnd w:id="227"/>
      <w:bookmarkEnd w:id="228"/>
    </w:p>
    <w:p w:rsidR="00464F34" w:rsidRPr="00392FFD" w:rsidRDefault="00125707" w:rsidP="00C37B29">
      <w:pPr>
        <w:pStyle w:val="InstructionsText2"/>
        <w:numPr>
          <w:ilvl w:val="0"/>
          <w:numId w:val="0"/>
        </w:numPr>
        <w:ind w:left="993"/>
      </w:pPr>
      <w:r>
        <w:t>58.</w:t>
      </w:r>
      <w:r>
        <w:tab/>
        <w:t>A kitettségeknek a CRR 112. cikkében meghatározott különböző kitettségi os</w:t>
      </w:r>
      <w:r>
        <w:t>z</w:t>
      </w:r>
      <w:r>
        <w:t xml:space="preserve">tályokba történő következetes besorolása érdekében az alábbi lépcsőzetes módszert kell alkalmazni: </w:t>
      </w:r>
    </w:p>
    <w:p w:rsidR="00464F34" w:rsidRPr="00392FFD" w:rsidRDefault="00125707" w:rsidP="00C37B29">
      <w:pPr>
        <w:pStyle w:val="InstructionsText2"/>
        <w:numPr>
          <w:ilvl w:val="0"/>
          <w:numId w:val="0"/>
        </w:numPr>
        <w:ind w:left="993"/>
      </w:pPr>
      <w:proofErr w:type="gramStart"/>
      <w:r>
        <w:t>a</w:t>
      </w:r>
      <w:proofErr w:type="gramEnd"/>
      <w:r>
        <w:t>)</w:t>
      </w:r>
      <w:r>
        <w:tab/>
        <w:t>az első lépésben a hitel-egyenértékesítési tényezők előtti eredeti kitettséget a CRR 112. cikkében említettek közül a megfelelő (eredeti) kitettségi osztályba kell sorolni attól függetlenül, hogy az egyes kitettségek a besorolásuk szerinti kitettségi osztályban milyen kockázati súlyt kapnak;</w:t>
      </w:r>
    </w:p>
    <w:p w:rsidR="00464F34" w:rsidRPr="00392FFD" w:rsidRDefault="00125707" w:rsidP="00C37B29">
      <w:pPr>
        <w:pStyle w:val="InstructionsText2"/>
        <w:numPr>
          <w:ilvl w:val="0"/>
          <w:numId w:val="0"/>
        </w:numPr>
        <w:ind w:left="993"/>
      </w:pPr>
      <w:r>
        <w:t>b)</w:t>
      </w:r>
      <w:r>
        <w:tab/>
        <w:t>a második lépésben a kitettségek a rájuk helyettesítési hatást kifejtő hitelkock</w:t>
      </w:r>
      <w:r>
        <w:t>á</w:t>
      </w:r>
      <w:r>
        <w:t>zat-mérséklési (CRM) technikák (garanciák, hitelderivatívák, a pénzügyi biztosít</w:t>
      </w:r>
      <w:r>
        <w:t>é</w:t>
      </w:r>
      <w:r>
        <w:t>kok egyszerű módszere) be- és kiáramlás formájában történő alkalmazásából er</w:t>
      </w:r>
      <w:r>
        <w:t>e</w:t>
      </w:r>
      <w:r>
        <w:t>dően átsorolhatók más kitettségi osztályokba.</w:t>
      </w:r>
    </w:p>
    <w:p w:rsidR="00464F34" w:rsidRPr="00392FFD" w:rsidRDefault="00125707" w:rsidP="00C37B29">
      <w:pPr>
        <w:pStyle w:val="InstructionsText2"/>
        <w:numPr>
          <w:ilvl w:val="0"/>
          <w:numId w:val="0"/>
        </w:numPr>
        <w:ind w:left="993"/>
      </w:pPr>
      <w:r>
        <w:t>59.</w:t>
      </w:r>
      <w:r>
        <w:tab/>
        <w:t>A hitel-egyenértékesítési tényezők előtti eredeti kitettségnek a különböző kitettségi osztályokba sorolására (első lépés) – függetlenül a kitettségre helyettes</w:t>
      </w:r>
      <w:r>
        <w:t>í</w:t>
      </w:r>
      <w:r>
        <w:t>tési hatással járó hitelkockázat-mérséklési technikák alkalmazása miatti későbbi á</w:t>
      </w:r>
      <w:r>
        <w:t>t</w:t>
      </w:r>
      <w:r>
        <w:t>sorolástól, valamint attól, hogy az egyes kitettségek a besorolásuk szerinti kitettségi osztályban milyen kockázati súlyt kapnak – az alábbi kritériumok vonatkoznak.</w:t>
      </w:r>
    </w:p>
    <w:p w:rsidR="00464F34" w:rsidRPr="00392FFD" w:rsidRDefault="00125707" w:rsidP="00C37B29">
      <w:pPr>
        <w:pStyle w:val="InstructionsText2"/>
        <w:numPr>
          <w:ilvl w:val="0"/>
          <w:numId w:val="0"/>
        </w:numPr>
        <w:ind w:left="993"/>
      </w:pPr>
      <w:r>
        <w:lastRenderedPageBreak/>
        <w:t>60.</w:t>
      </w:r>
      <w:r>
        <w:tab/>
        <w:t>A hitel-egyenértékesítési tényezők előtti eredeti kitettségnek az első lépésben történő besorolása céljából a kitettséghez kapcsolódó hitelkockázat-mérséklési technikák nem vehetők figyelembe (részletes vizsgálatukra a második lépésben k</w:t>
      </w:r>
      <w:r>
        <w:t>e</w:t>
      </w:r>
      <w:r>
        <w:t>rül sor), kivéve akkor, ha a fedezeti hatást a kitettségi osztály meghatározása mag</w:t>
      </w:r>
      <w:r>
        <w:t>á</w:t>
      </w:r>
      <w:r>
        <w:t>ban foglalja, mint a CRR 112. cikkének i) pontjában említett kitettségi osztály es</w:t>
      </w:r>
      <w:r>
        <w:t>e</w:t>
      </w:r>
      <w:r>
        <w:t>tében (ingatlanra bejegyzett zálogjoggal fedezett kitettségek).</w:t>
      </w:r>
    </w:p>
    <w:p w:rsidR="00464F34" w:rsidRPr="00392FFD" w:rsidRDefault="00125707" w:rsidP="00C37B29">
      <w:pPr>
        <w:pStyle w:val="InstructionsText2"/>
        <w:numPr>
          <w:ilvl w:val="0"/>
          <w:numId w:val="0"/>
        </w:numPr>
        <w:ind w:left="993"/>
      </w:pPr>
      <w:r>
        <w:t>61.</w:t>
      </w:r>
      <w:r>
        <w:tab/>
        <w:t>A CRR 112. cikke nem rögzíti a kitettségi osztályok különválasztásának krit</w:t>
      </w:r>
      <w:r>
        <w:t>é</w:t>
      </w:r>
      <w:r>
        <w:t>riumait. Ez azt jelentheti, hogy egy adott kitettség különböző kitettségi osztályokba lenne esetleg sorolható akkor, ha a besorolásra vonatkozó értékelési kritériumokat nem rangsorolják. Ennek legnyilvánvalóbb esete a rövid távú hitelminősítéssel re</w:t>
      </w:r>
      <w:r>
        <w:t>n</w:t>
      </w:r>
      <w:r>
        <w:t>delkező intézményekkel és vállalkozásokkal szembeni kitettségek (a CRR 112. ci</w:t>
      </w:r>
      <w:r>
        <w:t>k</w:t>
      </w:r>
      <w:r>
        <w:t>kének n) pontja), illetve az intézményekkel szembeni kitettségek (a CRR 112. ci</w:t>
      </w:r>
      <w:r>
        <w:t>k</w:t>
      </w:r>
      <w:r>
        <w:t>kének f) pontja) vagy vállalkozásokkal szembeni kitettségek (a CRR 112. cikkének g) pontja) besorolása. Ebben az esetben egyértelmű, hogy a CRR burkoltan rangs</w:t>
      </w:r>
      <w:r>
        <w:t>o</w:t>
      </w:r>
      <w:r>
        <w:t>rol, mivel először annak értékelésére kerül sor, hogy egy bizonyos kitettség az i</w:t>
      </w:r>
      <w:r>
        <w:t>n</w:t>
      </w:r>
      <w:r>
        <w:t xml:space="preserve">tézményekkel és vállalkozásokkal szembeni rövid távú kitettségek közé sorolható-e, és csak </w:t>
      </w:r>
      <w:proofErr w:type="gramStart"/>
      <w:r>
        <w:t>ezután</w:t>
      </w:r>
      <w:proofErr w:type="gramEnd"/>
      <w:r>
        <w:t xml:space="preserve"> értékelhető, hogy a kitettség intézményekkel vagy vállalkozáso</w:t>
      </w:r>
      <w:r>
        <w:t>k</w:t>
      </w:r>
      <w:r>
        <w:t>kal szemben áll-e fenn. Magától értetődik, hogy egyébként a CRR 112. cikkének n) pontjában említett kitettségi osztályba egyetlen esetben sem lenne sorolható kitet</w:t>
      </w:r>
      <w:r>
        <w:t>t</w:t>
      </w:r>
      <w:r>
        <w:t>ség. A példa a legnyilvánvalóbbak közé tartozik, de nem az egyetlen. Érdemes megjegyezni, hogy a sztenderd módszer keretében a kitettségi osztályok meghat</w:t>
      </w:r>
      <w:r>
        <w:t>á</w:t>
      </w:r>
      <w:r>
        <w:t>rozása különböző kritériumok mentén történik (intézményi besorolás, a kitettség időtartama, késedelmes státusz stb.), ezért a besoroláskor alkalmazott csoportok nem különállóak (nem diszjunkt halmazok).</w:t>
      </w:r>
    </w:p>
    <w:p w:rsidR="00464F34" w:rsidRPr="00392FFD" w:rsidRDefault="00125707" w:rsidP="00C37B29">
      <w:pPr>
        <w:pStyle w:val="InstructionsText2"/>
        <w:numPr>
          <w:ilvl w:val="0"/>
          <w:numId w:val="0"/>
        </w:numPr>
        <w:ind w:left="993"/>
      </w:pPr>
      <w:r>
        <w:t>62.</w:t>
      </w:r>
      <w:r>
        <w:tab/>
        <w:t>A homogén és összehasonlítható adatszolgáltatáshoz rangsorolási célú érték</w:t>
      </w:r>
      <w:r>
        <w:t>e</w:t>
      </w:r>
      <w:r>
        <w:t>lési kritériumok meghatározása szükséges annak érdekében, hogy a hitel-egyenértékesítési tényezők előtti eredeti kitettséget kitettségi osztályba lehessen s</w:t>
      </w:r>
      <w:r>
        <w:t>o</w:t>
      </w:r>
      <w:r>
        <w:t>rolni attól függetlenül, hogy az egyes kitettségek a besorolásuk szerinti kitettségi osztályban milyen kockázati súlyt kapnak. Az alábbiakban bemutatott, döntési fába rendezett rangsorolási kritériumok azon feltételek értékelésére épülnek, amelyeket a CRR egyértelműen rögzít arra vonatkozóan, hogy egy adott kitettség besorolható-e egy bizonyos kitettségi osztályba, és ha igen, akkor az adatot szolgáltató inté</w:t>
      </w:r>
      <w:r>
        <w:t>z</w:t>
      </w:r>
      <w:r>
        <w:t>ménynek vagy a felügyeleti hatóságnak milyen döntéseket kell hoznia az egyes kitettségi osztályok alkalmazhatóságával kapcsolatban. Így a kitettségek adatszo</w:t>
      </w:r>
      <w:r>
        <w:t>l</w:t>
      </w:r>
      <w:r>
        <w:t>gáltatási célú besorolási folyamatának eredménye megfelel a CRR rendelkezése</w:t>
      </w:r>
      <w:r>
        <w:t>i</w:t>
      </w:r>
      <w:r>
        <w:t>nek. Ez nem zárja ki, hogy az intézmények egyéb olyan belső besorolási eljárásokat alkalmazzanak, amelyek szintén megfelelnek a CRR valamennyi vonatkozó rende</w:t>
      </w:r>
      <w:r>
        <w:t>l</w:t>
      </w:r>
      <w:r>
        <w:t>kezésének, valamint a CRR megfelelő fórumokon közzétett értelmezéseinek.</w:t>
      </w:r>
    </w:p>
    <w:p w:rsidR="00464F34" w:rsidRPr="00392FFD" w:rsidRDefault="00125707" w:rsidP="00C37B29">
      <w:pPr>
        <w:pStyle w:val="InstructionsText2"/>
        <w:numPr>
          <w:ilvl w:val="0"/>
          <w:numId w:val="0"/>
        </w:numPr>
        <w:ind w:left="993"/>
      </w:pPr>
      <w:r>
        <w:t>63.</w:t>
      </w:r>
      <w:r>
        <w:tab/>
        <w:t>Egy kitettségi osztály a döntési fán belüli értékelési rangsorban elsőbbséget é</w:t>
      </w:r>
      <w:r>
        <w:t>l</w:t>
      </w:r>
      <w:r>
        <w:t>vez (tehát először annak értékelésére kerül sor, hogy egy adott kitettség abba az osztályba sorolható-e, függetlenül az értékelés eredményétől), ha egyébként abba az osztályba nem lehetne kitettséget sorolni. Ez lenne a helyzet akkor, ha rangsorolási kritériumok hiányában egy kitettségi osztály egy másiknak a részhalmaza lenne. Ekkor az alábbi döntési fán grafikusan ábrázolt kritériumok lépcsőzetes folyamatot alkotnának.</w:t>
      </w:r>
    </w:p>
    <w:p w:rsidR="00464F34" w:rsidRPr="00392FFD" w:rsidRDefault="00125707" w:rsidP="00C37B29">
      <w:pPr>
        <w:pStyle w:val="InstructionsText2"/>
        <w:numPr>
          <w:ilvl w:val="0"/>
          <w:numId w:val="0"/>
        </w:numPr>
        <w:ind w:left="993"/>
      </w:pPr>
      <w:r>
        <w:t>64.</w:t>
      </w:r>
      <w:r>
        <w:tab/>
        <w:t>Ennek alapján a döntési fán belüli értékelési rangsorolás az alábbi sorrendet követné:</w:t>
      </w:r>
    </w:p>
    <w:p w:rsidR="00464F34" w:rsidRPr="00392FFD" w:rsidRDefault="00464F34" w:rsidP="00FD239F">
      <w:pPr>
        <w:pStyle w:val="InstructionsText"/>
      </w:pPr>
      <w:r>
        <w:lastRenderedPageBreak/>
        <w:t>1. értékpapírosítási pozíciók;</w:t>
      </w:r>
    </w:p>
    <w:p w:rsidR="00464F34" w:rsidRPr="00392FFD" w:rsidRDefault="00464F34" w:rsidP="00FD239F">
      <w:pPr>
        <w:pStyle w:val="InstructionsText"/>
      </w:pPr>
      <w:r>
        <w:t>2. kiemelkedően magas kockázatú kitettségek;</w:t>
      </w:r>
    </w:p>
    <w:p w:rsidR="00464F34" w:rsidRPr="00392FFD" w:rsidRDefault="00464F34" w:rsidP="00FD239F">
      <w:pPr>
        <w:pStyle w:val="InstructionsText"/>
      </w:pPr>
      <w:r>
        <w:t>3. részvényjellegű kitettségek;</w:t>
      </w:r>
    </w:p>
    <w:p w:rsidR="00464F34" w:rsidRPr="00392FFD" w:rsidRDefault="00464F34" w:rsidP="00FD239F">
      <w:pPr>
        <w:pStyle w:val="InstructionsText"/>
      </w:pPr>
      <w:r>
        <w:t>4. nemteljesítő kitettségek;</w:t>
      </w:r>
    </w:p>
    <w:p w:rsidR="00464F34" w:rsidRPr="00392FFD" w:rsidRDefault="00464F34" w:rsidP="00FD239F">
      <w:pPr>
        <w:pStyle w:val="InstructionsText"/>
      </w:pPr>
      <w:r>
        <w:t>5. kollektív befektetési formák (KBF-ek) befektetési jegyeinek vagy részvényeinek formáj</w:t>
      </w:r>
      <w:r>
        <w:t>á</w:t>
      </w:r>
      <w:r>
        <w:t>ban fennálló kitettségek/fedezett kötvények formájában fennálló kitettségek (diszjunkt kitettségi osztályok);</w:t>
      </w:r>
    </w:p>
    <w:p w:rsidR="00464F34" w:rsidRPr="00392FFD" w:rsidRDefault="00464F34" w:rsidP="00FD239F">
      <w:pPr>
        <w:pStyle w:val="InstructionsText"/>
      </w:pPr>
      <w:r>
        <w:t>6. ingatlanra bejegyzett zálogjoggal fedezett kitettségek;</w:t>
      </w:r>
    </w:p>
    <w:p w:rsidR="00464F34" w:rsidRPr="00392FFD" w:rsidRDefault="00464F34" w:rsidP="00FD239F">
      <w:pPr>
        <w:pStyle w:val="InstructionsText"/>
      </w:pPr>
      <w:r>
        <w:t>7. egyéb tételek;</w:t>
      </w:r>
    </w:p>
    <w:p w:rsidR="00464F34" w:rsidRPr="00392FFD" w:rsidRDefault="00464F34" w:rsidP="00FD239F">
      <w:pPr>
        <w:pStyle w:val="InstructionsText"/>
      </w:pPr>
      <w:r>
        <w:t>8. rövid távú hitelminősítéssel rendelkező intézményekkel és vállalkozásokkal szembeni k</w:t>
      </w:r>
      <w:r>
        <w:t>i</w:t>
      </w:r>
      <w:r>
        <w:t>tettségek;</w:t>
      </w:r>
    </w:p>
    <w:p w:rsidR="00464F34" w:rsidRPr="00392FFD" w:rsidRDefault="00464F34" w:rsidP="00FD239F">
      <w:pPr>
        <w:pStyle w:val="InstructionsText"/>
      </w:pPr>
      <w:r>
        <w:t>9. valamennyi egyéb kitettségi osztály (diszjunkt kitettségi osztályok): központi kormányza</w:t>
      </w:r>
      <w:r>
        <w:t>t</w:t>
      </w:r>
      <w:r>
        <w:t>tal vagy központi bankkal szembeni kitettségek; regionális kormányzatokkal vagy helyi hat</w:t>
      </w:r>
      <w:r>
        <w:t>ó</w:t>
      </w:r>
      <w:r>
        <w:t>ságokkal szembeni kitettségek; közszektorbeli intézményekkel szembeni kitettségek; multil</w:t>
      </w:r>
      <w:r>
        <w:t>a</w:t>
      </w:r>
      <w:r>
        <w:t>terális fejlesztési bankokkal szembeni kitettségek; nemzetközi szervezetekkel szembeni kitet</w:t>
      </w:r>
      <w:r>
        <w:t>t</w:t>
      </w:r>
      <w:r>
        <w:t>ségek; intézményekkel szembeni kitettségek; vállalkozásokkal és lakossággal szembeni kitet</w:t>
      </w:r>
      <w:r>
        <w:t>t</w:t>
      </w:r>
      <w:r>
        <w:t>ségek.</w:t>
      </w:r>
    </w:p>
    <w:p w:rsidR="00464F34" w:rsidRPr="00392FFD" w:rsidRDefault="00125707" w:rsidP="00C37B29">
      <w:pPr>
        <w:pStyle w:val="InstructionsText2"/>
        <w:numPr>
          <w:ilvl w:val="0"/>
          <w:numId w:val="0"/>
        </w:numPr>
        <w:ind w:left="993"/>
      </w:pPr>
      <w:r>
        <w:t>65.</w:t>
      </w:r>
      <w:r>
        <w:tab/>
        <w:t>A kollektív befektetési formák befektetési jegyeinek vagy részvényeinek fo</w:t>
      </w:r>
      <w:r>
        <w:t>r</w:t>
      </w:r>
      <w:r>
        <w:t>májában fennálló kitettségek esetében, valamint az alapul szolgáló eszközök viz</w:t>
      </w:r>
      <w:r>
        <w:t>s</w:t>
      </w:r>
      <w:r>
        <w:t>gálata esetén (a CRR 132. cikkének (3)–(5) bekezdése) figyelembe kell venni az alapul szolgáló egyedi kitettségeket, majd azokhoz a kezelésüknek megfelelő ko</w:t>
      </w:r>
      <w:r>
        <w:t>c</w:t>
      </w:r>
      <w:r>
        <w:t>kázati súlyt kell rendelni, azonban valamennyi egyedi kitettséget a kollektív befe</w:t>
      </w:r>
      <w:r>
        <w:t>k</w:t>
      </w:r>
      <w:r>
        <w:t>tetési formák (KBF-ek) befektetési jegyeinek vagy részvényeinek formájában fen</w:t>
      </w:r>
      <w:r>
        <w:t>n</w:t>
      </w:r>
      <w:r>
        <w:t>álló kitettségek osztályába kell besorolni.</w:t>
      </w:r>
    </w:p>
    <w:p w:rsidR="00464F34" w:rsidRPr="00392FFD" w:rsidRDefault="00125707" w:rsidP="00C37B29">
      <w:pPr>
        <w:pStyle w:val="InstructionsText2"/>
        <w:numPr>
          <w:ilvl w:val="0"/>
          <w:numId w:val="0"/>
        </w:numPr>
        <w:ind w:left="993"/>
      </w:pPr>
      <w:r>
        <w:t>66.</w:t>
      </w:r>
      <w:r>
        <w:tab/>
        <w:t>A CRR 134. cikkének (6) bekezdésében meghatározott, n-edik nemteljesítéskor lehívható hitelderivatívákat minősítésük esetén közvetlenül az értékpapírosítási p</w:t>
      </w:r>
      <w:r>
        <w:t>o</w:t>
      </w:r>
      <w:r>
        <w:t>zíciók közé kell sorolni. Minősítés hiányában az „egyéb tételek” kitettségi osztál</w:t>
      </w:r>
      <w:r>
        <w:t>y</w:t>
      </w:r>
      <w:r>
        <w:t xml:space="preserve">ban kell figyelembe venni ezeket. Ez utóbbi esetben a szerződés névértékét hitel-egyenértékesítési tényezők előtti eredeti kitettségként kell feltüntetni az „egyéb kockázati súlyok” sorban (az alkalmazott kockázati súly a CRR 134. cikkének (6) bekezdésében megadott összeg). </w:t>
      </w:r>
    </w:p>
    <w:p w:rsidR="00464F34" w:rsidRPr="00392FFD" w:rsidRDefault="00125707" w:rsidP="00C37B29">
      <w:pPr>
        <w:pStyle w:val="InstructionsText2"/>
        <w:numPr>
          <w:ilvl w:val="0"/>
          <w:numId w:val="0"/>
        </w:numPr>
        <w:ind w:left="993"/>
      </w:pPr>
      <w:r>
        <w:t>67.</w:t>
      </w:r>
      <w:r>
        <w:tab/>
        <w:t>A második lépésben a helyettesítési hatással járó hitelkockázat-mérséklési technikák következtében a kitettségeket a fedezetnyújtó kitettségi osztályába kell átsorolni.</w:t>
      </w:r>
    </w:p>
    <w:p w:rsidR="00464F34" w:rsidRPr="00392FFD" w:rsidRDefault="00464F34" w:rsidP="00FD239F">
      <w:pPr>
        <w:pStyle w:val="InstructionsText"/>
      </w:pPr>
      <w:r>
        <w:br w:type="page"/>
      </w:r>
      <w:r>
        <w:lastRenderedPageBreak/>
        <w:t xml:space="preserve">DÖNTÉSI FA </w:t>
      </w:r>
      <w:proofErr w:type="gramStart"/>
      <w:r>
        <w:t>A</w:t>
      </w:r>
      <w:proofErr w:type="gramEnd"/>
      <w:r>
        <w:t xml:space="preserve"> HITEL-EGYENÉRTÉKESÍTÉSI TÉNYEZŐK ELŐTTI EREDETI K</w:t>
      </w:r>
      <w:r>
        <w:t>I</w:t>
      </w:r>
      <w:r>
        <w:t>TETTSÉGNEK A CRR SZERINTI SZTENDERD MÓDSZER KITETTSÉGI OSZTÁLY</w:t>
      </w:r>
      <w:r>
        <w:t>A</w:t>
      </w:r>
      <w:r w:rsidR="00071330">
        <w:t>IBA SOROLÁSÁHOZ</w:t>
      </w:r>
    </w:p>
    <w:p w:rsidR="00464F34" w:rsidRPr="00392FFD"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E10726" w:rsidTr="00672D2A">
        <w:tc>
          <w:tcPr>
            <w:tcW w:w="3761" w:type="dxa"/>
            <w:shd w:val="clear" w:color="auto" w:fill="auto"/>
          </w:tcPr>
          <w:p w:rsidR="003A1B96" w:rsidRPr="0023700C" w:rsidRDefault="003A1B96" w:rsidP="00334093">
            <w:pPr>
              <w:spacing w:before="0" w:after="0"/>
              <w:jc w:val="left"/>
              <w:rPr>
                <w:sz w:val="24"/>
              </w:rPr>
            </w:pPr>
            <w:r>
              <w:rPr>
                <w:rFonts w:ascii="Times New Roman" w:hAnsi="Times New Roman"/>
                <w:sz w:val="24"/>
              </w:rPr>
              <w:t>Hitel-egyenértékesítési tényezők előtti eredeti kitettség</w:t>
            </w:r>
          </w:p>
        </w:tc>
        <w:tc>
          <w:tcPr>
            <w:tcW w:w="1417" w:type="dxa"/>
            <w:shd w:val="clear" w:color="auto" w:fill="auto"/>
          </w:tcPr>
          <w:p w:rsidR="003A1B96" w:rsidRPr="0023700C" w:rsidRDefault="003A1B96" w:rsidP="00FD239F">
            <w:pPr>
              <w:pStyle w:val="InstructionsText"/>
            </w:pPr>
          </w:p>
        </w:tc>
        <w:tc>
          <w:tcPr>
            <w:tcW w:w="4077" w:type="dxa"/>
            <w:shd w:val="clear" w:color="auto" w:fill="auto"/>
          </w:tcPr>
          <w:p w:rsidR="003A1B96" w:rsidRPr="0023700C"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A 112. cikk m) pontja szerinti kitettségi osztályba sorolható?</w:t>
            </w:r>
          </w:p>
        </w:tc>
        <w:tc>
          <w:tcPr>
            <w:tcW w:w="1417" w:type="dxa"/>
            <w:shd w:val="clear" w:color="auto" w:fill="auto"/>
          </w:tcPr>
          <w:p w:rsidR="00BD52C3" w:rsidRPr="00392FFD" w:rsidRDefault="00BD52C3" w:rsidP="00FD239F">
            <w:pPr>
              <w:pStyle w:val="InstructionsText"/>
            </w:pPr>
            <w:r>
              <w:t xml:space="preserve">IGEN </w:t>
            </w:r>
            <w:r>
              <w:rPr>
                <w:noProof/>
                <w:lang w:val="en-GB" w:eastAsia="en-GB" w:bidi="ar-SA"/>
              </w:rPr>
              <w:drawing>
                <wp:inline distT="0" distB="0" distL="0" distR="0" wp14:anchorId="375BAF11" wp14:editId="5357FE69">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Értékpapírosítási pozíciók</w:t>
            </w:r>
          </w:p>
        </w:tc>
      </w:tr>
      <w:tr w:rsidR="005B3B7C" w:rsidRPr="00392FFD" w:rsidTr="00672D2A">
        <w:tc>
          <w:tcPr>
            <w:tcW w:w="3761" w:type="dxa"/>
            <w:shd w:val="clear" w:color="auto" w:fill="auto"/>
          </w:tcPr>
          <w:p w:rsidR="00581FA5" w:rsidRPr="00392FFD" w:rsidRDefault="00581FA5" w:rsidP="00FD239F">
            <w:pPr>
              <w:pStyle w:val="InstructionsText"/>
            </w:pPr>
            <w:r>
              <w:t xml:space="preserve">NEM </w:t>
            </w:r>
            <w:r>
              <w:rPr>
                <w:noProof/>
                <w:lang w:val="en-GB" w:eastAsia="en-GB" w:bidi="ar-SA"/>
              </w:rPr>
              <w:drawing>
                <wp:inline distT="0" distB="0" distL="0" distR="0" wp14:anchorId="71C7D6D0" wp14:editId="1A88CD25">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392FFD" w:rsidRDefault="005B3B7C" w:rsidP="00FD239F">
            <w:pPr>
              <w:pStyle w:val="InstructionsText"/>
            </w:pPr>
          </w:p>
        </w:tc>
        <w:tc>
          <w:tcPr>
            <w:tcW w:w="1417" w:type="dxa"/>
            <w:shd w:val="clear" w:color="auto" w:fill="auto"/>
          </w:tcPr>
          <w:p w:rsidR="005B3B7C" w:rsidRPr="00392FFD" w:rsidRDefault="005B3B7C" w:rsidP="00FD239F">
            <w:pPr>
              <w:pStyle w:val="InstructionsText"/>
            </w:pPr>
          </w:p>
        </w:tc>
        <w:tc>
          <w:tcPr>
            <w:tcW w:w="4077" w:type="dxa"/>
            <w:shd w:val="clear" w:color="auto" w:fill="auto"/>
          </w:tcPr>
          <w:p w:rsidR="005B3B7C" w:rsidRPr="00392FFD" w:rsidRDefault="005B3B7C"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A 112. cikk k) pontja szerinti kitettségi osztályba sorolható?</w:t>
            </w:r>
          </w:p>
        </w:tc>
        <w:tc>
          <w:tcPr>
            <w:tcW w:w="1417" w:type="dxa"/>
            <w:shd w:val="clear" w:color="auto" w:fill="auto"/>
          </w:tcPr>
          <w:p w:rsidR="00AC3054" w:rsidRPr="00392FFD" w:rsidRDefault="00974E3F" w:rsidP="00FD239F">
            <w:pPr>
              <w:pStyle w:val="InstructionsText"/>
            </w:pPr>
            <w:r>
              <w:t xml:space="preserve">IGEN </w:t>
            </w:r>
            <w:r>
              <w:rPr>
                <w:noProof/>
                <w:lang w:val="en-GB" w:eastAsia="en-GB" w:bidi="ar-SA"/>
              </w:rPr>
              <w:drawing>
                <wp:inline distT="0" distB="0" distL="0" distR="0" wp14:anchorId="0D32C75B" wp14:editId="7016A966">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392FFD" w:rsidRDefault="00BD52C3" w:rsidP="00FD239F">
            <w:pPr>
              <w:pStyle w:val="InstructionsText"/>
            </w:pP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Kiemelkedően magas kockázatú kitet</w:t>
            </w:r>
            <w:r>
              <w:t>t</w:t>
            </w:r>
            <w:r>
              <w:t>ségek (lásd még a 128. cikket)</w:t>
            </w:r>
          </w:p>
        </w:tc>
      </w:tr>
      <w:tr w:rsidR="003A1B96" w:rsidRPr="00392FFD" w:rsidTr="00672D2A">
        <w:tc>
          <w:tcPr>
            <w:tcW w:w="3761" w:type="dxa"/>
            <w:shd w:val="clear" w:color="auto" w:fill="auto"/>
          </w:tcPr>
          <w:p w:rsidR="007241D3" w:rsidRPr="00392FFD" w:rsidRDefault="007241D3" w:rsidP="00FD239F">
            <w:pPr>
              <w:pStyle w:val="InstructionsText"/>
            </w:pPr>
            <w:r>
              <w:t xml:space="preserve">NEM </w:t>
            </w:r>
            <w:r>
              <w:rPr>
                <w:noProof/>
                <w:lang w:val="en-GB" w:eastAsia="en-GB" w:bidi="ar-SA"/>
              </w:rPr>
              <w:drawing>
                <wp:inline distT="0" distB="0" distL="0" distR="0" wp14:anchorId="306DA8DD" wp14:editId="79F3F508">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A 112. cikk p) pontja szerinti kitettségi osztályba sorolható?</w:t>
            </w:r>
          </w:p>
        </w:tc>
        <w:tc>
          <w:tcPr>
            <w:tcW w:w="1417" w:type="dxa"/>
            <w:shd w:val="clear" w:color="auto" w:fill="auto"/>
          </w:tcPr>
          <w:p w:rsidR="00BD52C3" w:rsidRPr="00392FFD" w:rsidRDefault="00BD52C3" w:rsidP="00FD239F">
            <w:pPr>
              <w:pStyle w:val="InstructionsText"/>
            </w:pPr>
            <w:r>
              <w:t xml:space="preserve">IGEN </w:t>
            </w:r>
            <w:r>
              <w:rPr>
                <w:noProof/>
                <w:lang w:val="en-GB" w:eastAsia="en-GB" w:bidi="ar-SA"/>
              </w:rPr>
              <w:drawing>
                <wp:inline distT="0" distB="0" distL="0" distR="0" wp14:anchorId="1F0C3070" wp14:editId="31AB0E55">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Részvényjellegű kitettségek (lásd még a 133. cikket)</w:t>
            </w:r>
          </w:p>
        </w:tc>
      </w:tr>
      <w:tr w:rsidR="003A1B96" w:rsidRPr="00392FFD" w:rsidTr="00672D2A">
        <w:tc>
          <w:tcPr>
            <w:tcW w:w="3761" w:type="dxa"/>
            <w:shd w:val="clear" w:color="auto" w:fill="auto"/>
          </w:tcPr>
          <w:p w:rsidR="007241D3" w:rsidRPr="00392FFD" w:rsidRDefault="007241D3" w:rsidP="00FD239F">
            <w:pPr>
              <w:pStyle w:val="InstructionsText"/>
            </w:pPr>
            <w:r>
              <w:t xml:space="preserve">NEM </w:t>
            </w:r>
            <w:r>
              <w:rPr>
                <w:noProof/>
                <w:lang w:val="en-GB" w:eastAsia="en-GB" w:bidi="ar-SA"/>
              </w:rPr>
              <w:drawing>
                <wp:inline distT="0" distB="0" distL="0" distR="0" wp14:anchorId="0A519DF6" wp14:editId="782599FD">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A 112. cikk j) pontja szerinti kitettségi osztályba sorolható?</w:t>
            </w:r>
          </w:p>
        </w:tc>
        <w:tc>
          <w:tcPr>
            <w:tcW w:w="1417" w:type="dxa"/>
            <w:shd w:val="clear" w:color="auto" w:fill="auto"/>
          </w:tcPr>
          <w:p w:rsidR="00BD52C3" w:rsidRPr="00392FFD" w:rsidRDefault="00BD52C3" w:rsidP="00FD239F">
            <w:pPr>
              <w:pStyle w:val="InstructionsText"/>
            </w:pPr>
            <w:r>
              <w:t xml:space="preserve">IGEN </w:t>
            </w:r>
            <w:r>
              <w:rPr>
                <w:noProof/>
                <w:lang w:val="en-GB" w:eastAsia="en-GB" w:bidi="ar-SA"/>
              </w:rPr>
              <w:drawing>
                <wp:inline distT="0" distB="0" distL="0" distR="0" wp14:anchorId="559184E2" wp14:editId="4AA3A34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Nemteljesítő kitettségek</w:t>
            </w:r>
          </w:p>
        </w:tc>
      </w:tr>
      <w:tr w:rsidR="00581FA5" w:rsidRPr="00392FFD" w:rsidTr="00672D2A">
        <w:tc>
          <w:tcPr>
            <w:tcW w:w="3761" w:type="dxa"/>
            <w:shd w:val="clear" w:color="auto" w:fill="auto"/>
          </w:tcPr>
          <w:p w:rsidR="007241D3" w:rsidRPr="00392FFD" w:rsidRDefault="007241D3" w:rsidP="00FD239F">
            <w:pPr>
              <w:pStyle w:val="InstructionsText"/>
            </w:pPr>
            <w:r>
              <w:t xml:space="preserve">NEM </w:t>
            </w:r>
            <w:r>
              <w:rPr>
                <w:noProof/>
                <w:lang w:val="en-GB" w:eastAsia="en-GB" w:bidi="ar-SA"/>
              </w:rPr>
              <w:drawing>
                <wp:inline distT="0" distB="0" distL="0" distR="0" wp14:anchorId="02BA9D3A" wp14:editId="4C2E7EC7">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A 112. cikk l) és o) pontja szerinti kitettségi osztályba sorolható?</w:t>
            </w:r>
          </w:p>
        </w:tc>
        <w:tc>
          <w:tcPr>
            <w:tcW w:w="1417" w:type="dxa"/>
            <w:shd w:val="clear" w:color="auto" w:fill="auto"/>
          </w:tcPr>
          <w:p w:rsidR="00BD52C3" w:rsidRPr="00392FFD" w:rsidRDefault="00BD52C3" w:rsidP="00FD239F">
            <w:pPr>
              <w:pStyle w:val="InstructionsText"/>
            </w:pPr>
            <w:r>
              <w:t xml:space="preserve">IGEN </w:t>
            </w:r>
            <w:r>
              <w:rPr>
                <w:noProof/>
                <w:lang w:val="en-GB" w:eastAsia="en-GB" w:bidi="ar-SA"/>
              </w:rPr>
              <w:drawing>
                <wp:inline distT="0" distB="0" distL="0" distR="0" wp14:anchorId="2EC287CA" wp14:editId="77E025A6">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Kollektív befektetési formák (KBF-ek) befektetési jegyeinek vagy részvénye</w:t>
            </w:r>
            <w:r>
              <w:t>i</w:t>
            </w:r>
            <w:r>
              <w:t>nek formájában fennálló kitettségek</w:t>
            </w:r>
          </w:p>
          <w:p w:rsidR="00581FA5" w:rsidRPr="00392FFD" w:rsidRDefault="00581FA5" w:rsidP="00FD239F">
            <w:pPr>
              <w:pStyle w:val="InstructionsText"/>
            </w:pPr>
            <w:r>
              <w:t>Fedezett kötvények formájában fenná</w:t>
            </w:r>
            <w:r>
              <w:t>l</w:t>
            </w:r>
            <w:r>
              <w:t>ló kitettségek (lásd még a 129. cikket)</w:t>
            </w:r>
          </w:p>
          <w:p w:rsidR="00581FA5" w:rsidRPr="00392FFD" w:rsidRDefault="00581FA5" w:rsidP="00FD239F">
            <w:pPr>
              <w:pStyle w:val="InstructionsText"/>
            </w:pPr>
            <w:r>
              <w:t xml:space="preserve">E két kitettségi osztály diszjunkt (lásd a </w:t>
            </w:r>
            <w:r>
              <w:lastRenderedPageBreak/>
              <w:t>fenti válaszban az alapul szolgáló es</w:t>
            </w:r>
            <w:r>
              <w:t>z</w:t>
            </w:r>
            <w:r>
              <w:t>közök vizsgálatának módszerével ka</w:t>
            </w:r>
            <w:r>
              <w:t>p</w:t>
            </w:r>
            <w:r>
              <w:t xml:space="preserve">csolatos megjegyzéseket). </w:t>
            </w:r>
            <w:proofErr w:type="gramStart"/>
            <w:r>
              <w:t>Ennélfogva</w:t>
            </w:r>
            <w:proofErr w:type="gramEnd"/>
            <w:r>
              <w:t xml:space="preserve"> a kitettség egyértelműen besorolható az egyik osztályba.</w:t>
            </w:r>
          </w:p>
        </w:tc>
      </w:tr>
      <w:tr w:rsidR="00581FA5" w:rsidRPr="00392FFD" w:rsidTr="00672D2A">
        <w:tc>
          <w:tcPr>
            <w:tcW w:w="3761" w:type="dxa"/>
            <w:shd w:val="clear" w:color="auto" w:fill="auto"/>
          </w:tcPr>
          <w:p w:rsidR="007241D3" w:rsidRPr="00392FFD" w:rsidRDefault="007241D3" w:rsidP="00FD239F">
            <w:pPr>
              <w:pStyle w:val="InstructionsText"/>
            </w:pPr>
            <w:r>
              <w:lastRenderedPageBreak/>
              <w:t xml:space="preserve">NEM </w:t>
            </w:r>
            <w:r>
              <w:rPr>
                <w:noProof/>
                <w:lang w:val="en-GB" w:eastAsia="en-GB" w:bidi="ar-SA"/>
              </w:rPr>
              <w:drawing>
                <wp:inline distT="0" distB="0" distL="0" distR="0" wp14:anchorId="6D114644" wp14:editId="4AC18D5F">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A 112. cikk i) pontja szerinti kitettségi osztályba sorolható?</w:t>
            </w:r>
          </w:p>
        </w:tc>
        <w:tc>
          <w:tcPr>
            <w:tcW w:w="1417" w:type="dxa"/>
            <w:shd w:val="clear" w:color="auto" w:fill="auto"/>
          </w:tcPr>
          <w:p w:rsidR="00BD52C3" w:rsidRPr="00392FFD" w:rsidRDefault="00BD52C3" w:rsidP="00FD239F">
            <w:pPr>
              <w:pStyle w:val="InstructionsText"/>
            </w:pPr>
            <w:r>
              <w:t xml:space="preserve">IGEN </w:t>
            </w:r>
            <w:r>
              <w:rPr>
                <w:noProof/>
                <w:lang w:val="en-GB" w:eastAsia="en-GB" w:bidi="ar-SA"/>
              </w:rPr>
              <w:drawing>
                <wp:inline distT="0" distB="0" distL="0" distR="0" wp14:anchorId="7E595A49" wp14:editId="44E9AE7C">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Ingatlanra bejegyzett zálogjoggal fed</w:t>
            </w:r>
            <w:r>
              <w:t>e</w:t>
            </w:r>
            <w:r>
              <w:t>zett kitettségek (lásd még a 124. cikket)</w:t>
            </w:r>
          </w:p>
        </w:tc>
      </w:tr>
      <w:tr w:rsidR="00581FA5" w:rsidRPr="00392FFD" w:rsidTr="00672D2A">
        <w:tc>
          <w:tcPr>
            <w:tcW w:w="3761" w:type="dxa"/>
            <w:shd w:val="clear" w:color="auto" w:fill="auto"/>
          </w:tcPr>
          <w:p w:rsidR="007241D3" w:rsidRPr="00392FFD" w:rsidRDefault="007241D3" w:rsidP="00FD239F">
            <w:pPr>
              <w:pStyle w:val="InstructionsText"/>
            </w:pPr>
            <w:r>
              <w:t xml:space="preserve">NEM </w:t>
            </w:r>
            <w:r>
              <w:rPr>
                <w:noProof/>
                <w:lang w:val="en-GB" w:eastAsia="en-GB" w:bidi="ar-SA"/>
              </w:rPr>
              <w:drawing>
                <wp:inline distT="0" distB="0" distL="0" distR="0" wp14:anchorId="53D7B093" wp14:editId="149DD5F7">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A 112. cikk q) pontja szerinti kitettségi osztályba sorolható?</w:t>
            </w:r>
          </w:p>
        </w:tc>
        <w:tc>
          <w:tcPr>
            <w:tcW w:w="1417" w:type="dxa"/>
            <w:shd w:val="clear" w:color="auto" w:fill="auto"/>
          </w:tcPr>
          <w:p w:rsidR="00BD52C3" w:rsidRPr="00392FFD" w:rsidRDefault="00BD52C3" w:rsidP="00FD239F">
            <w:pPr>
              <w:pStyle w:val="InstructionsText"/>
            </w:pPr>
            <w:r>
              <w:t xml:space="preserve">IGEN </w:t>
            </w:r>
            <w:r>
              <w:rPr>
                <w:noProof/>
                <w:lang w:val="en-GB" w:eastAsia="en-GB" w:bidi="ar-SA"/>
              </w:rPr>
              <w:drawing>
                <wp:inline distT="0" distB="0" distL="0" distR="0" wp14:anchorId="0626210D" wp14:editId="7FCEABA9">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Egyéb tételek</w:t>
            </w:r>
          </w:p>
        </w:tc>
      </w:tr>
      <w:tr w:rsidR="00581FA5" w:rsidRPr="00392FFD" w:rsidTr="00672D2A">
        <w:tc>
          <w:tcPr>
            <w:tcW w:w="3761" w:type="dxa"/>
            <w:shd w:val="clear" w:color="auto" w:fill="auto"/>
          </w:tcPr>
          <w:p w:rsidR="007241D3" w:rsidRPr="00392FFD" w:rsidRDefault="007241D3" w:rsidP="00FD239F">
            <w:pPr>
              <w:pStyle w:val="InstructionsText"/>
            </w:pPr>
            <w:r>
              <w:t xml:space="preserve">NEM </w:t>
            </w:r>
            <w:r>
              <w:rPr>
                <w:noProof/>
                <w:lang w:val="en-GB" w:eastAsia="en-GB" w:bidi="ar-SA"/>
              </w:rPr>
              <w:drawing>
                <wp:inline distT="0" distB="0" distL="0" distR="0" wp14:anchorId="369C7E96" wp14:editId="2CB114A3">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A 112. cikk n) pontja szerinti kitettségi osztályba sorolható?</w:t>
            </w:r>
          </w:p>
        </w:tc>
        <w:tc>
          <w:tcPr>
            <w:tcW w:w="1417" w:type="dxa"/>
            <w:shd w:val="clear" w:color="auto" w:fill="auto"/>
          </w:tcPr>
          <w:p w:rsidR="0063493E" w:rsidRPr="00392FFD" w:rsidRDefault="0063493E" w:rsidP="00FD239F">
            <w:pPr>
              <w:pStyle w:val="InstructionsText"/>
            </w:pPr>
            <w:r>
              <w:t xml:space="preserve">IGEN </w:t>
            </w:r>
            <w:r>
              <w:rPr>
                <w:noProof/>
                <w:lang w:val="en-GB" w:eastAsia="en-GB" w:bidi="ar-SA"/>
              </w:rPr>
              <w:drawing>
                <wp:inline distT="0" distB="0" distL="0" distR="0" wp14:anchorId="20718A62" wp14:editId="3ED68AE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Rövid távú hitelminősítéssel rendelkező intézményekkel és vállalkozásokkal szembeni kitettségek</w:t>
            </w:r>
          </w:p>
        </w:tc>
      </w:tr>
      <w:tr w:rsidR="00581FA5" w:rsidRPr="00392FFD" w:rsidTr="00672D2A">
        <w:tc>
          <w:tcPr>
            <w:tcW w:w="3761" w:type="dxa"/>
            <w:shd w:val="clear" w:color="auto" w:fill="auto"/>
          </w:tcPr>
          <w:p w:rsidR="007241D3" w:rsidRPr="00392FFD" w:rsidRDefault="007241D3" w:rsidP="00FD239F">
            <w:pPr>
              <w:pStyle w:val="InstructionsText"/>
            </w:pPr>
            <w:r>
              <w:t xml:space="preserve">NEM </w:t>
            </w:r>
            <w:r>
              <w:rPr>
                <w:noProof/>
                <w:lang w:val="en-GB" w:eastAsia="en-GB" w:bidi="ar-SA"/>
              </w:rPr>
              <w:drawing>
                <wp:inline distT="0" distB="0" distL="0" distR="0" wp14:anchorId="479C57DA" wp14:editId="53E3110C">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9255" w:type="dxa"/>
            <w:gridSpan w:val="3"/>
            <w:shd w:val="clear" w:color="auto" w:fill="auto"/>
          </w:tcPr>
          <w:p w:rsidR="00581FA5" w:rsidRPr="00392FFD" w:rsidRDefault="00581FA5" w:rsidP="00FD239F">
            <w:pPr>
              <w:pStyle w:val="InstructionsText"/>
            </w:pPr>
            <w:r>
              <w:t xml:space="preserve">Az alábbi kitettségi osztályok diszjunktak. </w:t>
            </w:r>
            <w:proofErr w:type="gramStart"/>
            <w:r>
              <w:t>Ennélfogva</w:t>
            </w:r>
            <w:proofErr w:type="gramEnd"/>
            <w:r>
              <w:t xml:space="preserve"> a kitettség egyértelműen besorolható az egyik osztályba.</w:t>
            </w:r>
          </w:p>
          <w:p w:rsidR="00581FA5" w:rsidRPr="00392FFD" w:rsidRDefault="00581FA5" w:rsidP="00FD239F">
            <w:pPr>
              <w:pStyle w:val="InstructionsText"/>
            </w:pPr>
            <w:r>
              <w:t>Központi kormányzatokkal vagy központi bankokkal szembeni kitettségek</w:t>
            </w:r>
          </w:p>
          <w:p w:rsidR="00581FA5" w:rsidRPr="00392FFD" w:rsidRDefault="00581FA5" w:rsidP="00FD239F">
            <w:pPr>
              <w:pStyle w:val="InstructionsText"/>
            </w:pPr>
            <w:r>
              <w:t>Regionális kormányzatokkal vagy helyi hatóságokkal szembeni kitettségek</w:t>
            </w:r>
          </w:p>
          <w:p w:rsidR="00581FA5" w:rsidRPr="00392FFD" w:rsidRDefault="00581FA5" w:rsidP="00FD239F">
            <w:pPr>
              <w:pStyle w:val="InstructionsText"/>
            </w:pPr>
            <w:r>
              <w:t>Közszektorbeli intézményekkel szembeni kitettségek</w:t>
            </w:r>
          </w:p>
          <w:p w:rsidR="00581FA5" w:rsidRPr="00392FFD" w:rsidRDefault="00581FA5" w:rsidP="00FD239F">
            <w:pPr>
              <w:pStyle w:val="InstructionsText"/>
            </w:pPr>
            <w:r>
              <w:t>Multilaterális fejlesztési bankokkal szembeni kitettségek</w:t>
            </w:r>
          </w:p>
          <w:p w:rsidR="00581FA5" w:rsidRPr="00392FFD" w:rsidRDefault="00581FA5" w:rsidP="00FD239F">
            <w:pPr>
              <w:pStyle w:val="InstructionsText"/>
            </w:pPr>
            <w:r>
              <w:t>Nemzetközi szervezetekkel szembeni kitettségek</w:t>
            </w:r>
          </w:p>
          <w:p w:rsidR="00581FA5" w:rsidRPr="00392FFD" w:rsidRDefault="00581FA5" w:rsidP="00FD239F">
            <w:pPr>
              <w:pStyle w:val="InstructionsText"/>
            </w:pPr>
            <w:r>
              <w:t>Intézményekkel szembeni kitettségek</w:t>
            </w:r>
          </w:p>
          <w:p w:rsidR="00581FA5" w:rsidRPr="00392FFD" w:rsidRDefault="00581FA5" w:rsidP="00FD239F">
            <w:pPr>
              <w:pStyle w:val="InstructionsText"/>
            </w:pPr>
            <w:r>
              <w:t>Vállalkozásokkal szembeni kitettségek</w:t>
            </w:r>
          </w:p>
          <w:p w:rsidR="00581FA5" w:rsidRPr="00392FFD" w:rsidRDefault="00581FA5" w:rsidP="00FD239F">
            <w:pPr>
              <w:pStyle w:val="InstructionsText"/>
            </w:pPr>
            <w:r>
              <w:t>Lakossággal szembeni kitettségek</w:t>
            </w:r>
          </w:p>
        </w:tc>
      </w:tr>
    </w:tbl>
    <w:p w:rsidR="00464F34" w:rsidRPr="00392FFD" w:rsidRDefault="00464F34" w:rsidP="00FD239F">
      <w:pPr>
        <w:pStyle w:val="InstructionsText"/>
      </w:pPr>
    </w:p>
    <w:p w:rsidR="00464F34" w:rsidRPr="00392FFD" w:rsidRDefault="00464F34" w:rsidP="00FD239F">
      <w:pPr>
        <w:pStyle w:val="InstructionsText"/>
      </w:pPr>
    </w:p>
    <w:p w:rsidR="0073242B" w:rsidRPr="00392FFD" w:rsidRDefault="0073242B">
      <w:pPr>
        <w:spacing w:before="0" w:after="0"/>
        <w:jc w:val="left"/>
        <w:rPr>
          <w:rFonts w:ascii="Times New Roman" w:hAnsi="Times New Roman"/>
          <w:bCs/>
          <w:sz w:val="24"/>
        </w:rPr>
      </w:pPr>
      <w:r>
        <w:br w:type="page"/>
      </w:r>
    </w:p>
    <w:p w:rsidR="00464F34" w:rsidRPr="00392FFD" w:rsidRDefault="00464F34" w:rsidP="00FD239F">
      <w:pPr>
        <w:pStyle w:val="InstructionsText"/>
      </w:pP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29" w:name="_Toc262568031"/>
      <w:bookmarkStart w:id="230" w:name="_Toc264038429"/>
      <w:bookmarkStart w:id="231" w:name="_Toc292456208"/>
      <w:bookmarkStart w:id="232" w:name="_Toc295829859"/>
      <w:bookmarkStart w:id="233" w:name="_Toc310415023"/>
      <w:bookmarkStart w:id="234" w:name="_Toc360188352"/>
      <w:bookmarkStart w:id="235" w:name="_Toc516210636"/>
      <w:bookmarkStart w:id="236" w:name="_Toc473560901"/>
      <w:bookmarkStart w:id="237" w:name="_Toc524014695"/>
      <w:r>
        <w:rPr>
          <w:rFonts w:ascii="Times New Roman" w:hAnsi="Times New Roman"/>
          <w:sz w:val="24"/>
          <w:u w:val="none"/>
        </w:rPr>
        <w:t>3.2.4.</w:t>
      </w:r>
      <w:r w:rsidRPr="00071330">
        <w:rPr>
          <w:u w:val="none"/>
        </w:rPr>
        <w:tab/>
      </w:r>
      <w:r>
        <w:rPr>
          <w:rFonts w:ascii="Times New Roman" w:hAnsi="Times New Roman"/>
          <w:sz w:val="24"/>
        </w:rPr>
        <w:t>A CRR 112. cikkében említett egyes kitettségi osztályok terjedelmének magyarázata</w:t>
      </w:r>
      <w:bookmarkEnd w:id="229"/>
      <w:bookmarkEnd w:id="230"/>
      <w:bookmarkEnd w:id="231"/>
      <w:bookmarkEnd w:id="232"/>
      <w:bookmarkEnd w:id="233"/>
      <w:bookmarkEnd w:id="234"/>
      <w:bookmarkEnd w:id="235"/>
      <w:bookmarkEnd w:id="236"/>
      <w:bookmarkEnd w:id="237"/>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38" w:name="_Toc360188353"/>
      <w:bookmarkStart w:id="239" w:name="_Toc516210637"/>
      <w:bookmarkStart w:id="240" w:name="_Toc473560902"/>
      <w:bookmarkStart w:id="241" w:name="_Toc524014696"/>
      <w:r>
        <w:rPr>
          <w:rFonts w:ascii="Times New Roman" w:hAnsi="Times New Roman"/>
          <w:sz w:val="24"/>
          <w:u w:val="none"/>
        </w:rPr>
        <w:t>3.2.4.1.</w:t>
      </w:r>
      <w:r w:rsidRPr="00071330">
        <w:rPr>
          <w:u w:val="none"/>
        </w:rPr>
        <w:tab/>
      </w:r>
      <w:r>
        <w:rPr>
          <w:rFonts w:ascii="Times New Roman" w:hAnsi="Times New Roman"/>
          <w:sz w:val="24"/>
        </w:rPr>
        <w:t>Az „intézmények” kitettségi osztály</w:t>
      </w:r>
      <w:bookmarkEnd w:id="238"/>
      <w:bookmarkEnd w:id="239"/>
      <w:bookmarkEnd w:id="240"/>
      <w:bookmarkEnd w:id="241"/>
    </w:p>
    <w:p w:rsidR="00464F34" w:rsidRPr="00392FFD" w:rsidRDefault="00125707" w:rsidP="00C37B29">
      <w:pPr>
        <w:pStyle w:val="InstructionsText2"/>
        <w:numPr>
          <w:ilvl w:val="0"/>
          <w:numId w:val="0"/>
        </w:numPr>
        <w:ind w:left="993"/>
      </w:pPr>
      <w:r>
        <w:t>68.</w:t>
      </w:r>
      <w:r>
        <w:tab/>
        <w:t>A CRR 113. cikkének (6)–(7) bekezdése szerinti, csoporton belüli kitettségekre vonatkozó adatszolgáltatás módja:</w:t>
      </w:r>
    </w:p>
    <w:p w:rsidR="00464F34" w:rsidRPr="00392FFD" w:rsidRDefault="00125707" w:rsidP="00C37B29">
      <w:pPr>
        <w:pStyle w:val="InstructionsText2"/>
        <w:numPr>
          <w:ilvl w:val="0"/>
          <w:numId w:val="0"/>
        </w:numPr>
        <w:ind w:left="993"/>
      </w:pPr>
      <w:r>
        <w:t>69.</w:t>
      </w:r>
      <w:r>
        <w:tab/>
        <w:t>A CRR 113. cikkének (7) bekezdésében rögzített követelményeket teljesítő k</w:t>
      </w:r>
      <w:r>
        <w:t>i</w:t>
      </w:r>
      <w:r>
        <w:t>tettségeket azokba a kitettségi osztályokba kell besorolni, amelyekbe akkor tarto</w:t>
      </w:r>
      <w:r>
        <w:t>z</w:t>
      </w:r>
      <w:r>
        <w:t>nának, ha nem minősülnének csoporton belüli kitettségnek.</w:t>
      </w:r>
    </w:p>
    <w:p w:rsidR="00464F34" w:rsidRPr="00392FFD" w:rsidRDefault="00125707" w:rsidP="00C37B29">
      <w:pPr>
        <w:pStyle w:val="InstructionsText2"/>
        <w:numPr>
          <w:ilvl w:val="0"/>
          <w:numId w:val="0"/>
        </w:numPr>
        <w:ind w:left="993"/>
      </w:pPr>
      <w:r>
        <w:t>70.</w:t>
      </w:r>
      <w:r>
        <w:tab/>
      </w:r>
      <w:proofErr w:type="gramStart"/>
      <w:r>
        <w:t>A CRR 113. cikkének (6) és (7) bekezdése szerint „az intézmények az illetékes hatóságok általi előzetes engedélyezés függvényében dönthetnek úgy, hogy nem a</w:t>
      </w:r>
      <w:r>
        <w:t>l</w:t>
      </w:r>
      <w:r>
        <w:t>kalmazzák e cikk (1) bekezdésének követelményeit az adott intézmény olyan par</w:t>
      </w:r>
      <w:r>
        <w:t>t</w:t>
      </w:r>
      <w:r>
        <w:t>nerrel szembeni kitettségeire, amely az anyavállalata, leányvállalata, anyavállalat</w:t>
      </w:r>
      <w:r>
        <w:t>á</w:t>
      </w:r>
      <w:r>
        <w:t>nak leányvállalata vagy olyan vállalat, amely vele a 83/349/EGK irányelv 12. cikkének (1) bekezdése szerinti kapcsolatban áll.”</w:t>
      </w:r>
      <w:proofErr w:type="gramEnd"/>
      <w:r>
        <w:t xml:space="preserve"> Ez azt jelenti, hogy a csopo</w:t>
      </w:r>
      <w:r>
        <w:t>r</w:t>
      </w:r>
      <w:r>
        <w:t>ton belüli partnerek nem feltétlenül intézmények, hanem lehetnek egyéb kitettségi osztályba sorolt vállalkozások, pl. kiegészítő szolgáltatásokat nyújtó vállalkozások vagy a 83/349/EGK irányelv 12. cikkének (1) bekezdésében meghatározott válla</w:t>
      </w:r>
      <w:r>
        <w:t>l</w:t>
      </w:r>
      <w:r>
        <w:t>kozások is. A csoporton belüli kitettségekről ezért a megfelelő kitettségi osztályban kell adatot szolgáltatni.</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2" w:name="_Toc360188354"/>
      <w:bookmarkStart w:id="243" w:name="_Toc516210638"/>
      <w:bookmarkStart w:id="244" w:name="_Toc473560903"/>
      <w:bookmarkStart w:id="245" w:name="_Toc524014697"/>
      <w:r>
        <w:rPr>
          <w:rFonts w:ascii="Times New Roman" w:hAnsi="Times New Roman"/>
          <w:sz w:val="24"/>
          <w:u w:val="none"/>
        </w:rPr>
        <w:t>3.2.4.2.</w:t>
      </w:r>
      <w:r w:rsidRPr="00071330">
        <w:rPr>
          <w:u w:val="none"/>
        </w:rPr>
        <w:tab/>
      </w:r>
      <w:r>
        <w:rPr>
          <w:rFonts w:ascii="Times New Roman" w:hAnsi="Times New Roman"/>
          <w:sz w:val="24"/>
        </w:rPr>
        <w:t>A „fedezett kötvények” kitettségi osztály</w:t>
      </w:r>
      <w:bookmarkEnd w:id="242"/>
      <w:bookmarkEnd w:id="243"/>
      <w:bookmarkEnd w:id="244"/>
      <w:bookmarkEnd w:id="245"/>
    </w:p>
    <w:p w:rsidR="00464F34" w:rsidRPr="00392FFD" w:rsidRDefault="00125707" w:rsidP="00C37B29">
      <w:pPr>
        <w:pStyle w:val="InstructionsText2"/>
        <w:numPr>
          <w:ilvl w:val="0"/>
          <w:numId w:val="0"/>
        </w:numPr>
        <w:ind w:left="993"/>
      </w:pPr>
      <w:r>
        <w:t>71.</w:t>
      </w:r>
      <w:r>
        <w:tab/>
        <w:t>Az SA-kitettségek az alábbiak szerint sorolhatók a „fedezett kötvények” kitettségi osztályba:</w:t>
      </w:r>
    </w:p>
    <w:p w:rsidR="00464F34" w:rsidRPr="00392FFD" w:rsidRDefault="00125707" w:rsidP="00C37B29">
      <w:pPr>
        <w:pStyle w:val="InstructionsText2"/>
        <w:numPr>
          <w:ilvl w:val="0"/>
          <w:numId w:val="0"/>
        </w:numPr>
        <w:ind w:left="993"/>
      </w:pPr>
      <w:r>
        <w:t>72.</w:t>
      </w:r>
      <w:r>
        <w:tab/>
        <w:t>A 2009/65/EK irányelv 52. cikkének (4) bekezdésében meghatározott kötv</w:t>
      </w:r>
      <w:r>
        <w:t>é</w:t>
      </w:r>
      <w:r>
        <w:t>nyeknek a „fedezett kötvények” kitettségi osztályba történő besoroláshoz teljesít</w:t>
      </w:r>
      <w:r>
        <w:t>e</w:t>
      </w:r>
      <w:r>
        <w:t>niük kell a CRR 129. cikkének (1)–(2) bekezdésében előírt követelményeket. A k</w:t>
      </w:r>
      <w:r>
        <w:t>ö</w:t>
      </w:r>
      <w:r>
        <w:t>vetelmények teljesülését minden esetben ellenőrizni kell. Ettől függetlenül a 2009/65/EK irányelv 52. cikkének (4) bekezdése szerinti, 2007. december 31. előtt kibocsátott kötvények a CRR 129. cikkének (6) bekezdése alapján is a „fedezett kötvények” kitettségi osztályba sorolandók.</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6" w:name="_Toc360188355"/>
      <w:bookmarkStart w:id="247" w:name="_Toc516210639"/>
      <w:bookmarkStart w:id="248" w:name="_Toc473560904"/>
      <w:bookmarkStart w:id="249" w:name="_Toc524014698"/>
      <w:r>
        <w:rPr>
          <w:rFonts w:ascii="Times New Roman" w:hAnsi="Times New Roman"/>
          <w:sz w:val="24"/>
          <w:u w:val="none"/>
        </w:rPr>
        <w:t>3.2.4.3.</w:t>
      </w:r>
      <w:r w:rsidRPr="00071330">
        <w:rPr>
          <w:u w:val="none"/>
        </w:rPr>
        <w:tab/>
      </w:r>
      <w:r>
        <w:rPr>
          <w:rFonts w:ascii="Times New Roman" w:hAnsi="Times New Roman"/>
          <w:sz w:val="24"/>
        </w:rPr>
        <w:t>A „kollektív befektetési formák” kitettségi osztály</w:t>
      </w:r>
      <w:bookmarkEnd w:id="246"/>
      <w:bookmarkEnd w:id="247"/>
      <w:bookmarkEnd w:id="248"/>
      <w:bookmarkEnd w:id="249"/>
    </w:p>
    <w:p w:rsidR="00464F34" w:rsidRPr="00392FFD" w:rsidRDefault="00125707" w:rsidP="00C37B29">
      <w:pPr>
        <w:pStyle w:val="InstructionsText2"/>
        <w:numPr>
          <w:ilvl w:val="0"/>
          <w:numId w:val="0"/>
        </w:numPr>
        <w:ind w:left="993"/>
      </w:pPr>
      <w:r>
        <w:t>73.</w:t>
      </w:r>
      <w:r>
        <w:tab/>
        <w:t>A CRR 132. cikkének (5) bekezdésében említett lehetőség kihasználásakor a kollektív befektetési formák befektetési jegyeinek vagy részvényeinek formájában fennálló kitettségeket a CRR 111. cikke (1) bekezdésének első mondatával öss</w:t>
      </w:r>
      <w:r>
        <w:t>z</w:t>
      </w:r>
      <w:r>
        <w:t xml:space="preserve">hangban mérlegtételként kell feltüntetni.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50" w:name="_Toc262568032"/>
      <w:bookmarkStart w:id="251" w:name="_Toc264038430"/>
      <w:bookmarkStart w:id="252" w:name="_Toc292456209"/>
      <w:bookmarkStart w:id="253" w:name="_Toc295829860"/>
      <w:bookmarkStart w:id="254" w:name="_Toc310415024"/>
      <w:bookmarkStart w:id="255" w:name="_Toc360188356"/>
      <w:bookmarkStart w:id="256" w:name="_Toc516210640"/>
      <w:bookmarkStart w:id="257" w:name="_Toc473560905"/>
      <w:bookmarkStart w:id="258" w:name="_Toc524014699"/>
      <w:r>
        <w:rPr>
          <w:rFonts w:ascii="Times New Roman" w:hAnsi="Times New Roman"/>
          <w:sz w:val="24"/>
          <w:u w:val="none"/>
        </w:rPr>
        <w:t>3.2.5.</w:t>
      </w:r>
      <w:r w:rsidRPr="00071330">
        <w:rPr>
          <w:u w:val="none"/>
        </w:rPr>
        <w:tab/>
      </w:r>
      <w:r>
        <w:rPr>
          <w:rFonts w:ascii="Times New Roman" w:hAnsi="Times New Roman"/>
          <w:sz w:val="24"/>
        </w:rPr>
        <w:t>A tábla egyes részeire vonatkozó útmutató</w:t>
      </w:r>
      <w:bookmarkEnd w:id="250"/>
      <w:bookmarkEnd w:id="251"/>
      <w:bookmarkEnd w:id="252"/>
      <w:bookmarkEnd w:id="253"/>
      <w:bookmarkEnd w:id="254"/>
      <w:bookmarkEnd w:id="255"/>
      <w:bookmarkEnd w:id="256"/>
      <w:bookmarkEnd w:id="257"/>
      <w:bookmarkEnd w:id="25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rPr>
          <w:trHeight w:val="581"/>
        </w:trPr>
        <w:tc>
          <w:tcPr>
            <w:tcW w:w="9828" w:type="dxa"/>
            <w:gridSpan w:val="2"/>
            <w:shd w:val="clear" w:color="auto" w:fill="CCCCCC"/>
          </w:tcPr>
          <w:p w:rsidR="00464F34" w:rsidRPr="00392FFD" w:rsidRDefault="00464F34" w:rsidP="00FD239F">
            <w:pPr>
              <w:pStyle w:val="InstructionsText"/>
            </w:pPr>
            <w:r>
              <w:t>Oszlopok</w:t>
            </w:r>
          </w:p>
        </w:tc>
      </w:tr>
      <w:tr w:rsidR="00464F34" w:rsidRPr="00392FFD" w:rsidTr="00672D2A">
        <w:tc>
          <w:tcPr>
            <w:tcW w:w="1188" w:type="dxa"/>
          </w:tcPr>
          <w:p w:rsidR="00464F34" w:rsidRPr="00392FFD" w:rsidRDefault="00464F34" w:rsidP="00FD239F">
            <w:pPr>
              <w:pStyle w:val="InstructionsText"/>
            </w:pPr>
            <w:r>
              <w:t>010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HITEL-EGYENÉRTÉKESÍTÉSI TÉNYEZŐK ELŐTTI EREDETI KITET</w:t>
            </w:r>
            <w:r>
              <w:rPr>
                <w:rStyle w:val="InstructionsTabelleberschrift"/>
                <w:rFonts w:ascii="Times New Roman" w:hAnsi="Times New Roman"/>
                <w:sz w:val="24"/>
              </w:rPr>
              <w:t>T</w:t>
            </w:r>
            <w:r>
              <w:rPr>
                <w:rStyle w:val="InstructionsTabelleberschrift"/>
                <w:rFonts w:ascii="Times New Roman" w:hAnsi="Times New Roman"/>
                <w:sz w:val="24"/>
              </w:rPr>
              <w:t>SÉG</w:t>
            </w:r>
          </w:p>
          <w:p w:rsidR="00464F34" w:rsidRPr="00392FFD" w:rsidRDefault="00464F34" w:rsidP="00FD239F">
            <w:pPr>
              <w:pStyle w:val="InstructionsText"/>
            </w:pPr>
            <w:r>
              <w:lastRenderedPageBreak/>
              <w:t>Az értékelési korrekció, a céltartalékok, a hitel-egyenértékesítési tényezők és a hite</w:t>
            </w:r>
            <w:r>
              <w:t>l</w:t>
            </w:r>
            <w:r>
              <w:t>kockázat-mérséklési technikák hatásának figyelembevétele nélküli, a CRR 111. cikke szerinti kitettségérték, a CRR 111. cikkének (2) bekezdésén alapuló alábbi rendelkez</w:t>
            </w:r>
            <w:r>
              <w:t>é</w:t>
            </w:r>
            <w:r>
              <w:t>seknek megfelelően:</w:t>
            </w:r>
          </w:p>
          <w:p w:rsidR="00464F34" w:rsidRPr="00392FFD" w:rsidRDefault="00464F34" w:rsidP="00FD239F">
            <w:pPr>
              <w:pStyle w:val="InstructionsText"/>
            </w:pPr>
            <w:r>
              <w:t>A CRR harmadik része II. címének 6. fejezete, vagy a CRR 92. cikke (3) bekezdésének f) pontja szerinti származtatott ügyletek, repoügyletek, értékpapír- és áru-kölcsönbeadási, illetve -kölcsönvételi ügyletek, hosszú teljesítési idejű ügyletek és é</w:t>
            </w:r>
            <w:r>
              <w:t>r</w:t>
            </w:r>
            <w:r>
              <w:t>tékpapírügylethez kapcsolódó hitelek eredeti kitettségértéke a CRR harmadik része II. címének 6. fejezetében rögzített módszer szerint számított partnerkockázati kitettség.</w:t>
            </w:r>
          </w:p>
          <w:p w:rsidR="00464F34" w:rsidRPr="00392FFD" w:rsidRDefault="00464F34" w:rsidP="00FD239F">
            <w:pPr>
              <w:pStyle w:val="InstructionsText"/>
            </w:pPr>
            <w:r>
              <w:t xml:space="preserve">A lízing kitettségértékét a CRR 134. cikkének (7) bekezdése szabályozza. </w:t>
            </w:r>
          </w:p>
          <w:p w:rsidR="00464F34" w:rsidRPr="00392FFD" w:rsidRDefault="00464F34" w:rsidP="00FD239F">
            <w:pPr>
              <w:pStyle w:val="InstructionsText"/>
            </w:pPr>
          </w:p>
          <w:p w:rsidR="00464F34" w:rsidRPr="00392FFD" w:rsidRDefault="00464F34" w:rsidP="00FD239F">
            <w:pPr>
              <w:pStyle w:val="InstructionsText"/>
            </w:pPr>
            <w:r>
              <w:t>A CRR 219. cikke szerinti mérlegen belüli nettósítás esetében a kitettségértékeket a kapott készpénzbiztosítéknak megfelelően kell feltüntetni.</w:t>
            </w:r>
          </w:p>
          <w:p w:rsidR="00464F34" w:rsidRPr="00392FFD" w:rsidRDefault="00464F34" w:rsidP="00FD239F">
            <w:pPr>
              <w:pStyle w:val="InstructionsText"/>
            </w:pPr>
          </w:p>
          <w:p w:rsidR="00464F34" w:rsidRPr="00392FFD" w:rsidRDefault="00464F34" w:rsidP="00FD239F">
            <w:pPr>
              <w:pStyle w:val="InstructionsText"/>
            </w:pPr>
            <w:r>
              <w:t xml:space="preserve">A CRR harmadik része II. címének 6. fejezete szerinti repoügyletekre, értékpapír és/vagy </w:t>
            </w:r>
            <w:proofErr w:type="gramStart"/>
            <w:r>
              <w:t>áru kölcsönbe</w:t>
            </w:r>
            <w:proofErr w:type="gramEnd"/>
            <w:r>
              <w:t xml:space="preserve"> adására vagy kölcsönbe vételére, illetve egyéb tőkepiac-vezérelt ügyletekre kiterjedő nettósítási keretmegállapodások esetében a CRR 220. cikkének (4) bekezdése szerinti nettósítási keretmegállapodás formájában megjelenő, előre rende</w:t>
            </w:r>
            <w:r>
              <w:t>l</w:t>
            </w:r>
            <w:r>
              <w:t>kezésre bocsátott hitelkockázati fedezet hatását a 010. oszlopban kell feltüntetni. Em</w:t>
            </w:r>
            <w:r>
              <w:t>i</w:t>
            </w:r>
            <w:r>
              <w:t>att a CRR harmadik része II. címének 6. fejezete szerinti, repoügyletre vonatkozó nettósítási keretmegállapodások esetében a CRR 220. és 221. cikke szerint számított E* értékét a CR SA tábla 010-es oszlopában kell feltüntetni.</w:t>
            </w:r>
          </w:p>
        </w:tc>
      </w:tr>
      <w:tr w:rsidR="00464F34" w:rsidRPr="00392FFD" w:rsidTr="00672D2A">
        <w:tc>
          <w:tcPr>
            <w:tcW w:w="1188" w:type="dxa"/>
          </w:tcPr>
          <w:p w:rsidR="00464F34" w:rsidRPr="00392FFD" w:rsidRDefault="00464F34" w:rsidP="00FD239F">
            <w:pPr>
              <w:pStyle w:val="InstructionsText"/>
            </w:pPr>
            <w:r>
              <w:lastRenderedPageBreak/>
              <w:t>030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Az eredeti kitettséggel összefüggő értékelési korrekciók és céltartalékok</w:t>
            </w:r>
          </w:p>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 CRR 24. és 111. cikke</w:t>
            </w:r>
          </w:p>
          <w:p w:rsidR="00464F34" w:rsidRPr="00392FFD" w:rsidRDefault="00464F34" w:rsidP="00FD239F">
            <w:pPr>
              <w:pStyle w:val="InstructionsText"/>
            </w:pPr>
          </w:p>
          <w:p w:rsidR="00464F34" w:rsidRPr="00392FFD" w:rsidRDefault="00464F34" w:rsidP="00FD239F">
            <w:pPr>
              <w:pStyle w:val="InstructionsText"/>
            </w:pPr>
            <w:r>
              <w:t>Az adatszolgáltató intézményre alkalmazandó számviteli szabályozásnak megfelelő é</w:t>
            </w:r>
            <w:r>
              <w:t>r</w:t>
            </w:r>
            <w:r>
              <w:t xml:space="preserve">tékelési korrekciók és hitelveszteségre képzett céltartalékok. </w:t>
            </w:r>
          </w:p>
        </w:tc>
      </w:tr>
      <w:tr w:rsidR="00464F34" w:rsidRPr="00392FFD" w:rsidTr="00672D2A">
        <w:tc>
          <w:tcPr>
            <w:tcW w:w="1188" w:type="dxa"/>
          </w:tcPr>
          <w:p w:rsidR="00464F34" w:rsidRPr="00392FFD" w:rsidRDefault="00464F34" w:rsidP="00FD239F">
            <w:pPr>
              <w:pStyle w:val="InstructionsText"/>
            </w:pPr>
            <w:r>
              <w:t>040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Értékelési korrekciókkal és céltartalékokkal csökkentett kitettség</w:t>
            </w:r>
          </w:p>
          <w:p w:rsidR="00464F34" w:rsidRPr="00392FFD" w:rsidRDefault="00464F34" w:rsidP="00FD239F">
            <w:pPr>
              <w:pStyle w:val="InstructionsText"/>
            </w:pPr>
            <w:r>
              <w:t>A 010-es és 030-as oszlop összege.</w:t>
            </w:r>
          </w:p>
        </w:tc>
      </w:tr>
      <w:tr w:rsidR="00464F34" w:rsidRPr="00392FFD" w:rsidTr="00672D2A">
        <w:tc>
          <w:tcPr>
            <w:tcW w:w="1188" w:type="dxa"/>
          </w:tcPr>
          <w:p w:rsidR="00464F34" w:rsidRPr="00392FFD" w:rsidRDefault="00464F34" w:rsidP="00FD239F">
            <w:pPr>
              <w:pStyle w:val="InstructionsText"/>
            </w:pPr>
            <w:r>
              <w:t>050 – 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 KITETTSÉGRE HELYETTESÍTÉSI HATÁSSAL JÁRÓ HITELKOCK</w:t>
            </w:r>
            <w:r>
              <w:rPr>
                <w:rStyle w:val="InstructionsTabelleberschrift"/>
                <w:rFonts w:ascii="Times New Roman" w:hAnsi="Times New Roman"/>
                <w:sz w:val="24"/>
              </w:rPr>
              <w:t>Á</w:t>
            </w:r>
            <w:r>
              <w:rPr>
                <w:rStyle w:val="InstructionsTabelleberschrift"/>
                <w:rFonts w:ascii="Times New Roman" w:hAnsi="Times New Roman"/>
                <w:sz w:val="24"/>
              </w:rPr>
              <w:t>ZAT-MÉRSÉKLÉSI (CRM) TECHNIKÁK</w:t>
            </w:r>
          </w:p>
          <w:p w:rsidR="00464F34" w:rsidRPr="00392FFD" w:rsidRDefault="00464F34" w:rsidP="00FD239F">
            <w:pPr>
              <w:pStyle w:val="InstructionsText"/>
            </w:pPr>
            <w:r>
              <w:t>A CRR 4. cikke (1) bekezdésének 57. pontjában meghatározott hitelkockázat-mérséklési technikák, amelyek egy vagy több kitettség hitelkockázatát csökkentik a k</w:t>
            </w:r>
            <w:r>
              <w:t>i</w:t>
            </w:r>
            <w:r>
              <w:t>tettségeknek az alább „</w:t>
            </w:r>
            <w:proofErr w:type="gramStart"/>
            <w:r>
              <w:t>A</w:t>
            </w:r>
            <w:proofErr w:type="gramEnd"/>
            <w:r>
              <w:t xml:space="preserve"> kitettség hitelkockázat-mérséklés miatti helyettesítése” rés</w:t>
            </w:r>
            <w:r>
              <w:t>z</w:t>
            </w:r>
            <w:r>
              <w:t>ben meghatározott helyettesítésével.</w:t>
            </w:r>
          </w:p>
          <w:p w:rsidR="00464F34" w:rsidRPr="00392FFD" w:rsidRDefault="00464F34" w:rsidP="00FD239F">
            <w:pPr>
              <w:pStyle w:val="InstructionsText"/>
            </w:pPr>
            <w:r>
              <w:t>Ha a kitettségértéket biztosíték befolyásolja (pl. ha azt a kitettségre helyettesítési hatá</w:t>
            </w:r>
            <w:r>
              <w:t>s</w:t>
            </w:r>
            <w:r>
              <w:t>sal járó hitelkockázat-mérséklési technikákhoz használják fel), akkor annak értéke le</w:t>
            </w:r>
            <w:r>
              <w:t>g</w:t>
            </w:r>
            <w:r>
              <w:t>feljebb a kitettségérték lehet.</w:t>
            </w:r>
          </w:p>
          <w:p w:rsidR="00464F34" w:rsidRPr="00392FFD" w:rsidRDefault="00464F34" w:rsidP="00FD239F">
            <w:pPr>
              <w:pStyle w:val="InstructionsText"/>
            </w:pPr>
            <w:r>
              <w:t>Itt az alábbi tételeket kell feltüntetni:</w:t>
            </w:r>
          </w:p>
          <w:p w:rsidR="00464F34" w:rsidRPr="00392FFD" w:rsidRDefault="00125707" w:rsidP="00FD239F">
            <w:pPr>
              <w:pStyle w:val="InstructionsText"/>
            </w:pPr>
            <w:r>
              <w:rPr>
                <w:rFonts w:ascii="Arial" w:hAnsi="Arial"/>
              </w:rPr>
              <w:t>–</w:t>
            </w:r>
            <w:r>
              <w:tab/>
              <w:t>a pénzügyi biztosítékok egyszerű módszerével képzett biztosíték;</w:t>
            </w:r>
          </w:p>
          <w:p w:rsidR="00464F34" w:rsidRPr="00392FFD" w:rsidRDefault="00125707" w:rsidP="00FD239F">
            <w:pPr>
              <w:pStyle w:val="InstructionsText"/>
            </w:pPr>
            <w:r>
              <w:rPr>
                <w:rFonts w:ascii="Arial" w:hAnsi="Arial"/>
              </w:rPr>
              <w:t>–</w:t>
            </w:r>
            <w:r>
              <w:tab/>
              <w:t>figyelembe vehető, előre nem rendelkezésre bocsátott hitelkockázati fedezet.</w:t>
            </w:r>
          </w:p>
          <w:p w:rsidR="00464F34" w:rsidRPr="00392FFD" w:rsidRDefault="00464F34" w:rsidP="00FD239F">
            <w:pPr>
              <w:pStyle w:val="InstructionsText"/>
            </w:pPr>
            <w:r>
              <w:lastRenderedPageBreak/>
              <w:t xml:space="preserve">Lásd még a 4.1.1. pontban található útmutatót. </w:t>
            </w:r>
          </w:p>
        </w:tc>
      </w:tr>
      <w:tr w:rsidR="00464F34" w:rsidRPr="00392FFD" w:rsidTr="00672D2A">
        <w:tc>
          <w:tcPr>
            <w:tcW w:w="1188" w:type="dxa"/>
          </w:tcPr>
          <w:p w:rsidR="00464F34" w:rsidRPr="00392FFD" w:rsidRDefault="00464F34" w:rsidP="00FD239F">
            <w:pPr>
              <w:pStyle w:val="InstructionsText"/>
            </w:pPr>
            <w:r>
              <w:lastRenderedPageBreak/>
              <w:t>050 – 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Előre nem rendelkezésre bocsátott hitelkockázati fedezet: korrigált értékek (Ga)</w:t>
            </w:r>
          </w:p>
          <w:p w:rsidR="00464F34" w:rsidRPr="00392FFD" w:rsidRDefault="00464F34" w:rsidP="00FD239F">
            <w:pPr>
              <w:pStyle w:val="InstructionsText"/>
            </w:pPr>
            <w:r>
              <w:t>A CRR 235. cikke</w:t>
            </w:r>
          </w:p>
          <w:p w:rsidR="00464F34" w:rsidRPr="00392FFD" w:rsidRDefault="00464F34" w:rsidP="00FD239F">
            <w:pPr>
              <w:pStyle w:val="InstructionsText"/>
            </w:pPr>
            <w:r>
              <w:t>A CRR 239. cikkének (3) bekezdése a Ga korrigált értéket határozza meg előre nem rendelkezésre bocsátott hitelkockázati fedezet esetén.</w:t>
            </w:r>
          </w:p>
        </w:tc>
      </w:tr>
      <w:tr w:rsidR="00464F34" w:rsidRPr="00392FFD" w:rsidTr="00672D2A">
        <w:tc>
          <w:tcPr>
            <w:tcW w:w="1188" w:type="dxa"/>
          </w:tcPr>
          <w:p w:rsidR="00464F34" w:rsidRPr="00392FFD" w:rsidRDefault="00464F34" w:rsidP="00FD239F">
            <w:pPr>
              <w:pStyle w:val="InstructionsText"/>
            </w:pPr>
            <w:r>
              <w:t>050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Garanciák</w:t>
            </w:r>
          </w:p>
          <w:p w:rsidR="00464F34" w:rsidRPr="00392FFD" w:rsidRDefault="00464F34" w:rsidP="00FD239F">
            <w:pPr>
              <w:pStyle w:val="InstructionsText"/>
            </w:pPr>
            <w:r>
              <w:t>A CRR 203. cikke</w:t>
            </w:r>
          </w:p>
          <w:p w:rsidR="00464F34" w:rsidRPr="00392FFD" w:rsidRDefault="00464F34" w:rsidP="00FD239F">
            <w:pPr>
              <w:pStyle w:val="InstructionsText"/>
              <w:rPr>
                <w:b/>
                <w:u w:val="single"/>
              </w:rPr>
            </w:pPr>
            <w:r>
              <w:t>A CRR 4. cikke (1) bekezdésének 59. pontjában meghatározott, a hitelderivatíváktól e</w:t>
            </w:r>
            <w:r>
              <w:t>l</w:t>
            </w:r>
            <w:r>
              <w:t>térő előre nem rendelkezésre bocsátott hitelkockázati fedezet.</w:t>
            </w:r>
          </w:p>
        </w:tc>
      </w:tr>
      <w:tr w:rsidR="00464F34" w:rsidRPr="00392FFD" w:rsidTr="00672D2A">
        <w:tc>
          <w:tcPr>
            <w:tcW w:w="1188" w:type="dxa"/>
          </w:tcPr>
          <w:p w:rsidR="00464F34" w:rsidRPr="00392FFD" w:rsidRDefault="00464F34" w:rsidP="00FD239F">
            <w:pPr>
              <w:pStyle w:val="InstructionsText"/>
            </w:pPr>
            <w:r>
              <w:t>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Hitelderivatívák</w:t>
            </w:r>
          </w:p>
          <w:p w:rsidR="00464F34" w:rsidRPr="00392FFD" w:rsidRDefault="00464F34" w:rsidP="00FD239F">
            <w:pPr>
              <w:pStyle w:val="InstructionsText"/>
              <w:rPr>
                <w:b/>
                <w:u w:val="single"/>
              </w:rPr>
            </w:pPr>
            <w:r>
              <w:t>A CRR 204. cikke.</w:t>
            </w:r>
          </w:p>
        </w:tc>
      </w:tr>
      <w:tr w:rsidR="00464F34" w:rsidRPr="00392FFD" w:rsidTr="00672D2A">
        <w:tc>
          <w:tcPr>
            <w:tcW w:w="1188" w:type="dxa"/>
          </w:tcPr>
          <w:p w:rsidR="00464F34" w:rsidRPr="00392FFD" w:rsidRDefault="00464F34" w:rsidP="00FD239F">
            <w:pPr>
              <w:pStyle w:val="InstructionsText"/>
            </w:pPr>
            <w:r>
              <w:t>070 – 080</w:t>
            </w:r>
          </w:p>
          <w:p w:rsidR="00464F34" w:rsidRPr="00392FFD" w:rsidRDefault="00464F34" w:rsidP="00FD239F">
            <w:pPr>
              <w:pStyle w:val="InstructionsText"/>
            </w:pP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Előre rendelkezésre bocsátott hitelkockázati fedezet</w:t>
            </w:r>
          </w:p>
          <w:p w:rsidR="00464F34" w:rsidRPr="00392FFD" w:rsidRDefault="009C44E7" w:rsidP="00FD239F">
            <w:pPr>
              <w:pStyle w:val="InstructionsText"/>
            </w:pPr>
            <w:r>
              <w:t>Ezek az oszlopok a CRR 4. cikke (1) bekezdésének 58. pontja, valamint 196., 197. és 200. cikke szerint előre rendelkezésre bocsátott hitelkockázati fedezetre vonatkoznak. Az összegek nem foglalják magukban a nettósítási keretmegállapodásokat, mivel azok értékét a hitel-egyenértékesítési tényezők előtti ere</w:t>
            </w:r>
            <w:r w:rsidR="00071330">
              <w:t>deti kitettség már tartalmazza.</w:t>
            </w:r>
          </w:p>
          <w:p w:rsidR="00464F34" w:rsidRPr="00392FFD" w:rsidRDefault="00464F34" w:rsidP="00FD239F">
            <w:pPr>
              <w:pStyle w:val="InstructionsText"/>
            </w:pPr>
            <w:r>
              <w:t>A CRR 218., illetve 219. cikkében szabályozott hitelkockázati eseményhez kapcsolt é</w:t>
            </w:r>
            <w:r>
              <w:t>r</w:t>
            </w:r>
            <w:r>
              <w:t>tékpapírokat és figyelembe vehető mérlegen belüli nettósítási megállapodásokból eredő mérlegen belüli nettósítási pozíciókat készpénzbiztosítékként kell kezelni.</w:t>
            </w:r>
          </w:p>
        </w:tc>
      </w:tr>
      <w:tr w:rsidR="00464F34" w:rsidRPr="00392FFD" w:rsidTr="00672D2A">
        <w:tc>
          <w:tcPr>
            <w:tcW w:w="1188" w:type="dxa"/>
          </w:tcPr>
          <w:p w:rsidR="00464F34" w:rsidRPr="00392FFD" w:rsidRDefault="00464F34" w:rsidP="00FD239F">
            <w:pPr>
              <w:pStyle w:val="InstructionsText"/>
            </w:pPr>
            <w:r>
              <w:t>070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Pénzügyi biztosítékok egyszerű módszere</w:t>
            </w:r>
          </w:p>
          <w:p w:rsidR="00464F34" w:rsidRPr="00392FFD" w:rsidRDefault="00464F34" w:rsidP="00FD239F">
            <w:pPr>
              <w:pStyle w:val="InstructionsText"/>
            </w:pPr>
            <w:r>
              <w:t>A CRR 222. cikkének (1)–(2) bekezdése</w:t>
            </w:r>
          </w:p>
        </w:tc>
      </w:tr>
      <w:tr w:rsidR="00464F34" w:rsidRPr="00392FFD" w:rsidTr="00672D2A">
        <w:tc>
          <w:tcPr>
            <w:tcW w:w="1188" w:type="dxa"/>
          </w:tcPr>
          <w:p w:rsidR="00464F34" w:rsidRPr="00392FFD" w:rsidRDefault="00464F34" w:rsidP="00FD239F">
            <w:pPr>
              <w:pStyle w:val="InstructionsText"/>
            </w:pPr>
            <w:r>
              <w:t>080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előre rendelkezésre bocsátott hitelkockázati fedezet</w:t>
            </w:r>
          </w:p>
          <w:p w:rsidR="00464F34" w:rsidRPr="00392FFD" w:rsidRDefault="00464F34" w:rsidP="00FD239F">
            <w:pPr>
              <w:pStyle w:val="InstructionsText"/>
            </w:pPr>
            <w:r>
              <w:t>A CRR 232. cikke.</w:t>
            </w:r>
          </w:p>
        </w:tc>
      </w:tr>
      <w:tr w:rsidR="00464F34" w:rsidRPr="00392FFD" w:rsidTr="00672D2A">
        <w:tc>
          <w:tcPr>
            <w:tcW w:w="1188" w:type="dxa"/>
          </w:tcPr>
          <w:p w:rsidR="00464F34" w:rsidRPr="00392FFD" w:rsidRDefault="00464F34" w:rsidP="00FD239F">
            <w:pPr>
              <w:pStyle w:val="InstructionsText"/>
            </w:pPr>
            <w:r>
              <w:t>090 – 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 KITETTSÉG HITELKOCKÁZAT-MÉRSÉKLÉS MIATTI HELYETTES</w:t>
            </w:r>
            <w:r>
              <w:rPr>
                <w:rStyle w:val="InstructionsTabelleberschrift"/>
                <w:rFonts w:ascii="Times New Roman" w:hAnsi="Times New Roman"/>
                <w:sz w:val="24"/>
              </w:rPr>
              <w:t>Í</w:t>
            </w:r>
            <w:r>
              <w:rPr>
                <w:rStyle w:val="InstructionsTabelleberschrift"/>
                <w:rFonts w:ascii="Times New Roman" w:hAnsi="Times New Roman"/>
                <w:sz w:val="24"/>
              </w:rPr>
              <w:t>TÉSE</w:t>
            </w:r>
          </w:p>
          <w:p w:rsidR="00464F34" w:rsidRPr="00392FFD" w:rsidRDefault="00464F34" w:rsidP="00FD239F">
            <w:pPr>
              <w:pStyle w:val="InstructionsText"/>
            </w:pPr>
            <w:r>
              <w:t>A CRR 222. cikkének (3) bekezdése, 235. cikkének (1)–(2) bekezdése, valamint 236. cikke</w:t>
            </w:r>
          </w:p>
          <w:p w:rsidR="00464F34" w:rsidRPr="00392FFD" w:rsidRDefault="00464F34" w:rsidP="00FD239F">
            <w:pPr>
              <w:pStyle w:val="InstructionsText"/>
            </w:pPr>
            <w:r>
              <w:t>A kiáramlások értéke megegyezik a hitel-egyenértékesítési tényezők előtti eredeti k</w:t>
            </w:r>
            <w:r>
              <w:t>i</w:t>
            </w:r>
            <w:r>
              <w:t>tettség fedezett részével, amelyet a kötelezett kitettségi osztályából való levonást köv</w:t>
            </w:r>
            <w:r>
              <w:t>e</w:t>
            </w:r>
            <w:r>
              <w:t>tően a fedezetnyújtó kitettségi osztályába kell sorolni. Ezt az összeget a fedezetnyújtó kitettségi osztályába irányuló beáramlásnak kell tekintetni.</w:t>
            </w:r>
          </w:p>
          <w:p w:rsidR="00464F34" w:rsidRPr="00392FFD" w:rsidRDefault="00464F34" w:rsidP="00FD239F">
            <w:pPr>
              <w:pStyle w:val="InstructionsText"/>
              <w:rPr>
                <w:b/>
              </w:rPr>
            </w:pPr>
            <w:r>
              <w:t>Az azonos kitettségi osztályba tartozó be- és kiáramlásokat szintén fel kell tüntetni.</w:t>
            </w:r>
          </w:p>
          <w:p w:rsidR="00464F34" w:rsidRPr="00392FFD" w:rsidRDefault="00464F34" w:rsidP="00FD239F">
            <w:pPr>
              <w:pStyle w:val="InstructionsText"/>
            </w:pPr>
            <w:r>
              <w:t>Figyelembe kell venni az egyéb táblákhoz kapcsolódó esetleges ki- és beáramlásokból eredő kitettségeket is.</w:t>
            </w:r>
          </w:p>
        </w:tc>
      </w:tr>
      <w:tr w:rsidR="00464F34" w:rsidRPr="00392FFD" w:rsidTr="00672D2A">
        <w:tc>
          <w:tcPr>
            <w:tcW w:w="1188" w:type="dxa"/>
          </w:tcPr>
          <w:p w:rsidR="00464F34" w:rsidRPr="00392FFD" w:rsidRDefault="00464F34" w:rsidP="00FD239F">
            <w:pPr>
              <w:pStyle w:val="InstructionsText"/>
            </w:pPr>
            <w:r>
              <w:t>110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HELYETTESÍTÉSI HATÁSSAL JÁRÓ CRM-TECHNIKÁK UTÁNI, HITEL-EGYENÉRTÉKESÍTÉSI TÉNYEZŐK ELŐTTI NETTÓ KITETTSÉG</w:t>
            </w:r>
          </w:p>
          <w:p w:rsidR="00464F34" w:rsidRPr="00392FFD" w:rsidRDefault="00464F34" w:rsidP="00FD239F">
            <w:pPr>
              <w:pStyle w:val="InstructionsText"/>
            </w:pPr>
            <w:r>
              <w:t xml:space="preserve">Az értékelési korrekció nélküli kitettségérték </w:t>
            </w:r>
            <w:proofErr w:type="gramStart"/>
            <w:r>
              <w:t>A</w:t>
            </w:r>
            <w:proofErr w:type="gramEnd"/>
            <w:r>
              <w:t xml:space="preserve"> KITETTSÉGRE HELYETTESÍTÉSI HATÁSSAL JÁRÓ HITELKOCKÁZAT-MÉRSÉKLÉSI TECHNIKÁK miatti ki- és beáramlások figyelembevétele után</w:t>
            </w:r>
          </w:p>
        </w:tc>
      </w:tr>
      <w:tr w:rsidR="00464F34" w:rsidRPr="00392FFD" w:rsidTr="00672D2A">
        <w:tc>
          <w:tcPr>
            <w:tcW w:w="1188" w:type="dxa"/>
          </w:tcPr>
          <w:p w:rsidR="00464F34" w:rsidRPr="00392FFD" w:rsidRDefault="00464F34" w:rsidP="00FD239F">
            <w:pPr>
              <w:pStyle w:val="InstructionsText"/>
            </w:pPr>
            <w:r>
              <w:lastRenderedPageBreak/>
              <w:t>120-140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A KITETTSÉGÉRTÉKET ÉRINTŐ HITELKOCKÁZAT-MÉRSÉKLÉSI TECHNIKÁK. ELŐRE RENDELKEZÉSRE BOCSÁTOTT HITELKOCKÁZ</w:t>
            </w:r>
            <w:r>
              <w:rPr>
                <w:rStyle w:val="InstructionsTabelleberschrift"/>
                <w:rFonts w:ascii="Times New Roman" w:hAnsi="Times New Roman"/>
                <w:sz w:val="24"/>
              </w:rPr>
              <w:t>A</w:t>
            </w:r>
            <w:r>
              <w:rPr>
                <w:rStyle w:val="InstructionsTabelleberschrift"/>
                <w:rFonts w:ascii="Times New Roman" w:hAnsi="Times New Roman"/>
                <w:sz w:val="24"/>
              </w:rPr>
              <w:t xml:space="preserve">TI FEDEZET, </w:t>
            </w:r>
            <w:proofErr w:type="gramStart"/>
            <w:r>
              <w:rPr>
                <w:rStyle w:val="InstructionsTabelleberschrift"/>
                <w:rFonts w:ascii="Times New Roman" w:hAnsi="Times New Roman"/>
                <w:sz w:val="24"/>
              </w:rPr>
              <w:t>A</w:t>
            </w:r>
            <w:proofErr w:type="gramEnd"/>
            <w:r>
              <w:rPr>
                <w:rStyle w:val="InstructionsTabelleberschrift"/>
                <w:rFonts w:ascii="Times New Roman" w:hAnsi="Times New Roman"/>
                <w:sz w:val="24"/>
              </w:rPr>
              <w:t xml:space="preserve"> PÉNZÜGYI BIZTOSÍTÉKOK ÖSSZETETT MÓDSZERE</w:t>
            </w:r>
          </w:p>
          <w:p w:rsidR="00464F34" w:rsidRPr="00392FFD" w:rsidRDefault="00464F34" w:rsidP="00FD239F">
            <w:pPr>
              <w:pStyle w:val="InstructionsText"/>
            </w:pPr>
            <w:r>
              <w:t>A CRR 223., 224., 225., 226., 227. és 228. cikke. Magában foglalja a CRR 218. cikke szerinti hitelkockázati eseményhez kapcsolt értékpapírokat is.</w:t>
            </w:r>
          </w:p>
          <w:p w:rsidR="00464F34" w:rsidRPr="00392FFD" w:rsidRDefault="00464F34" w:rsidP="00FD239F">
            <w:pPr>
              <w:pStyle w:val="InstructionsText"/>
            </w:pPr>
            <w:r>
              <w:t>A CRR 218., illetve 219. cikkében szabályozott hitelkockázati eseményhez kapcsolt é</w:t>
            </w:r>
            <w:r>
              <w:t>r</w:t>
            </w:r>
            <w:r>
              <w:t>tékpapírokat és figyelembe vehető mérlegen belüli nettósítási megállapodásokból eredő mérlegen belüli nettósítási pozíciókat készpénzbiztosítékként kell kezelni.</w:t>
            </w:r>
          </w:p>
          <w:p w:rsidR="00464F34" w:rsidRPr="00392FFD" w:rsidRDefault="00464F34" w:rsidP="00FD239F">
            <w:pPr>
              <w:pStyle w:val="InstructionsText"/>
            </w:pPr>
            <w:r>
              <w:t>Ha a pénzügyi biztosítékok összetett módszerét egy figyelembe vehető pénzügyi bizt</w:t>
            </w:r>
            <w:r>
              <w:t>o</w:t>
            </w:r>
            <w:r>
              <w:t>sítékkal fedezett kitettségre alkalmazzák, akkor az e módszer szerinti fedezettség hat</w:t>
            </w:r>
            <w:r>
              <w:t>á</w:t>
            </w:r>
            <w:r>
              <w:t xml:space="preserve">sát a CRR 223., 224., 225., 226., 227. és 228. cikkének megfelelően kell kiszámítani. </w:t>
            </w:r>
          </w:p>
        </w:tc>
      </w:tr>
      <w:tr w:rsidR="00464F34" w:rsidRPr="00392FFD" w:rsidTr="00672D2A">
        <w:tc>
          <w:tcPr>
            <w:tcW w:w="1188" w:type="dxa"/>
          </w:tcPr>
          <w:p w:rsidR="00464F34" w:rsidRPr="00392FFD" w:rsidRDefault="00464F34" w:rsidP="00FD239F">
            <w:pPr>
              <w:pStyle w:val="InstructionsText"/>
            </w:pPr>
            <w:r>
              <w:t>120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 kitettség volatilitási korrekciós tényezője</w:t>
            </w:r>
          </w:p>
          <w:p w:rsidR="00464F34" w:rsidRPr="00392FFD" w:rsidRDefault="00464F34" w:rsidP="00FD239F">
            <w:pPr>
              <w:pStyle w:val="InstructionsText"/>
            </w:pPr>
            <w:r>
              <w:t xml:space="preserve">A CRR </w:t>
            </w:r>
            <w:r w:rsidR="00071330">
              <w:t>223. cikkének (2)–(3) bekezdése</w:t>
            </w:r>
          </w:p>
          <w:p w:rsidR="00464F34" w:rsidRPr="00392FFD" w:rsidRDefault="00464F34" w:rsidP="00FD239F">
            <w:pPr>
              <w:pStyle w:val="InstructionsText"/>
            </w:pPr>
            <w:r>
              <w:t>A feltüntetendő értéket a kitettség volatilitási korrekciós tényezőjének hatása adja meg: (Eva–E) = E*</w:t>
            </w:r>
            <w:proofErr w:type="gramStart"/>
            <w:r>
              <w:t>He</w:t>
            </w:r>
            <w:proofErr w:type="gramEnd"/>
            <w:r>
              <w:t>.</w:t>
            </w:r>
          </w:p>
        </w:tc>
      </w:tr>
      <w:tr w:rsidR="00464F34" w:rsidRPr="00392FFD" w:rsidTr="00672D2A">
        <w:tc>
          <w:tcPr>
            <w:tcW w:w="1188" w:type="dxa"/>
          </w:tcPr>
          <w:p w:rsidR="00464F34" w:rsidRPr="00392FFD" w:rsidRDefault="00464F34" w:rsidP="00FD239F">
            <w:pPr>
              <w:pStyle w:val="InstructionsText"/>
            </w:pPr>
            <w:r>
              <w:t>130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Pénzügyi biztosíték korrigált értéke (Cvam)</w:t>
            </w:r>
          </w:p>
          <w:p w:rsidR="00464F34" w:rsidRPr="00392FFD" w:rsidRDefault="00464F34" w:rsidP="00FD239F">
            <w:pPr>
              <w:pStyle w:val="InstructionsText"/>
            </w:pPr>
            <w:r>
              <w:t>A CRR 239. cikke (1) bekezdésének 2. pontja</w:t>
            </w:r>
          </w:p>
          <w:p w:rsidR="00464F34" w:rsidRPr="00392FFD" w:rsidRDefault="00464F34" w:rsidP="00FD239F">
            <w:pPr>
              <w:pStyle w:val="InstructionsText"/>
            </w:pPr>
            <w:r>
              <w:t>Kereskedési könyvben nyilvántartott műveletek esetében a tétel magában foglalja a CRR 299. cikke (2) bekezdésének c)–f) pontja alapján a kereskedési könyvi kitetts</w:t>
            </w:r>
            <w:r>
              <w:t>é</w:t>
            </w:r>
            <w:r>
              <w:t xml:space="preserve">gekre vonatkozóan figyelembe vehető pénzügyi biztosítékokat és árukat. </w:t>
            </w:r>
          </w:p>
          <w:p w:rsidR="00464F34" w:rsidRPr="00392FFD" w:rsidRDefault="00464F34" w:rsidP="00FD239F">
            <w:pPr>
              <w:pStyle w:val="InstructionsText"/>
            </w:pPr>
            <w:r>
              <w:t>A feltüntetendő érték kiszámítása: Cvam = C*(1–Hc–Hfx)*(t–t*)/(T–t*). A C, Hc, Hfx, t, T és t* értékek meghatározását a CRR harmadik része II. címe 4. fejezetének 4. és 5. szakasza tartalmazza.</w:t>
            </w:r>
          </w:p>
        </w:tc>
      </w:tr>
      <w:tr w:rsidR="00464F34" w:rsidRPr="00392FFD" w:rsidTr="00672D2A">
        <w:tc>
          <w:tcPr>
            <w:tcW w:w="1188" w:type="dxa"/>
          </w:tcPr>
          <w:p w:rsidR="00464F34" w:rsidRPr="00392FFD" w:rsidRDefault="00464F34" w:rsidP="00FD239F">
            <w:pPr>
              <w:pStyle w:val="InstructionsText"/>
            </w:pPr>
            <w:r>
              <w:t>140</w:t>
            </w:r>
          </w:p>
        </w:tc>
        <w:tc>
          <w:tcPr>
            <w:tcW w:w="8640" w:type="dxa"/>
          </w:tcPr>
          <w:p w:rsidR="00464F34" w:rsidRPr="00392FFD" w:rsidRDefault="008932B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Ebből: volatilitási és lejárati korrekció</w:t>
            </w:r>
          </w:p>
          <w:p w:rsidR="00464F34" w:rsidRPr="00392FFD" w:rsidRDefault="00464F34" w:rsidP="00FD239F">
            <w:pPr>
              <w:pStyle w:val="InstructionsText"/>
            </w:pPr>
            <w:r>
              <w:t xml:space="preserve">A CRR 223. cikkének (1) bekezdése és 239. cikkének (2) bekezdése </w:t>
            </w:r>
          </w:p>
          <w:p w:rsidR="00464F34" w:rsidRPr="00392FFD" w:rsidRDefault="00464F34" w:rsidP="00FD239F">
            <w:pPr>
              <w:pStyle w:val="InstructionsText"/>
            </w:pPr>
            <w:proofErr w:type="gramStart"/>
            <w:r>
              <w:t>A feltüntetendő érték a volatilitási és lejárati korrekció együttes hatása: (Cvam–C) = C*[(1–Hc–Hfx)*(t–t*)/(T–t*)–1], ahol a volatilitási korrekció hatása (Cva–C) = C*[(1–Hc–Hfx)–1], a lejárati korrekció hatása pedig (Cvam–Cva) = C*(1–Hc–Hfx)*[(t–t*)/(T–t*)–1].</w:t>
            </w:r>
            <w:proofErr w:type="gramEnd"/>
          </w:p>
        </w:tc>
      </w:tr>
      <w:tr w:rsidR="00464F34" w:rsidRPr="00392FFD" w:rsidTr="00672D2A">
        <w:tc>
          <w:tcPr>
            <w:tcW w:w="1188" w:type="dxa"/>
          </w:tcPr>
          <w:p w:rsidR="00464F34" w:rsidRPr="00392FFD" w:rsidRDefault="00464F34" w:rsidP="00FD239F">
            <w:pPr>
              <w:pStyle w:val="InstructionsText"/>
            </w:pPr>
            <w:r>
              <w:t>150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Teljes mértékben korrigált kitettségérték (E*)</w:t>
            </w:r>
          </w:p>
          <w:p w:rsidR="00464F34" w:rsidRPr="00392FFD" w:rsidRDefault="00464F34" w:rsidP="00FD239F">
            <w:pPr>
              <w:pStyle w:val="InstructionsText"/>
              <w:rPr>
                <w:b/>
                <w:u w:val="single"/>
              </w:rPr>
            </w:pPr>
            <w:r>
              <w:t>A CRR 220. cikkének (4) bekezdése, 223. cikkének (2)–(5) bekezdése, valamint 228. cikkének (1) bekezdése.</w:t>
            </w:r>
          </w:p>
        </w:tc>
      </w:tr>
      <w:tr w:rsidR="00464F34" w:rsidRPr="00392FFD" w:rsidTr="00672D2A">
        <w:tc>
          <w:tcPr>
            <w:tcW w:w="1188" w:type="dxa"/>
          </w:tcPr>
          <w:p w:rsidR="00464F34" w:rsidRPr="00392FFD" w:rsidRDefault="00464F34" w:rsidP="00FD239F">
            <w:pPr>
              <w:pStyle w:val="InstructionsText"/>
            </w:pPr>
            <w:r>
              <w:t>160 – 190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 mérlegen kívüli tételek teljes mértékben korrigált kitettségértéke hitel-egyenértékesítési tényezők szerinti bontásban</w:t>
            </w:r>
          </w:p>
          <w:p w:rsidR="00464F34" w:rsidRPr="00392FFD" w:rsidRDefault="00464F34" w:rsidP="00FD239F">
            <w:pPr>
              <w:pStyle w:val="InstructionsText"/>
            </w:pPr>
            <w:r>
              <w:t xml:space="preserve">A CRR 111. cikkének (1) bekezdése és 4. cikkének (56) bekezdése </w:t>
            </w:r>
            <w:proofErr w:type="gramStart"/>
            <w:r>
              <w:t>A</w:t>
            </w:r>
            <w:proofErr w:type="gramEnd"/>
            <w:r>
              <w:t xml:space="preserve"> CRR 222. cikk</w:t>
            </w:r>
            <w:r>
              <w:t>é</w:t>
            </w:r>
            <w:r>
              <w:t>nek (3) bekezdése és 228. cikkének (1) bekezdése</w:t>
            </w:r>
          </w:p>
          <w:p w:rsidR="000A4C10" w:rsidRPr="00392FFD" w:rsidRDefault="000A4C10" w:rsidP="00FD239F">
            <w:pPr>
              <w:pStyle w:val="InstructionsText"/>
              <w:rPr>
                <w:b/>
                <w:u w:val="single"/>
              </w:rPr>
            </w:pPr>
            <w:r>
              <w:t>A feltüntetett adatoknak a hitel-egyenértékesítési tényező alkalmazása előtti, teljes mértékben korrigált kitettségértékeknek kell lenniük.</w:t>
            </w:r>
          </w:p>
        </w:tc>
      </w:tr>
      <w:tr w:rsidR="00464F34" w:rsidRPr="00392FFD" w:rsidTr="00672D2A">
        <w:tc>
          <w:tcPr>
            <w:tcW w:w="1188" w:type="dxa"/>
          </w:tcPr>
          <w:p w:rsidR="00464F34" w:rsidRPr="00392FFD" w:rsidRDefault="00464F34" w:rsidP="00FD239F">
            <w:pPr>
              <w:pStyle w:val="InstructionsText"/>
            </w:pPr>
            <w:r>
              <w:t>200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Kitettségérték</w:t>
            </w:r>
          </w:p>
          <w:p w:rsidR="00464F34" w:rsidRPr="00392FFD" w:rsidRDefault="00531FC9" w:rsidP="00FD239F">
            <w:pPr>
              <w:pStyle w:val="InstructionsText"/>
            </w:pPr>
            <w:r>
              <w:t>A CRR harmadik része II. címe 4. fejezete 4. szakaszának 111. cikke.</w:t>
            </w:r>
          </w:p>
          <w:p w:rsidR="00464F34" w:rsidRPr="00392FFD" w:rsidRDefault="00464F34" w:rsidP="00FD239F">
            <w:pPr>
              <w:pStyle w:val="InstructionsText"/>
            </w:pPr>
            <w:r>
              <w:t>Az értékelési korrekciók, valamint az összes hitelkockázat-mérséklő eszköz és hitel-</w:t>
            </w:r>
            <w:r>
              <w:lastRenderedPageBreak/>
              <w:t>egyenértékesítési tényező figyelembevétele utáni kitettségérték, amelyhez a CRR 113. cikke, valamint harmadik része II. címe 2. fejezetének 2. szakaszával összhangban kockázati súlyt kell rendelni.</w:t>
            </w:r>
          </w:p>
        </w:tc>
      </w:tr>
      <w:tr w:rsidR="00464F34" w:rsidRPr="00392FFD" w:rsidTr="00672D2A">
        <w:tc>
          <w:tcPr>
            <w:tcW w:w="1188" w:type="dxa"/>
          </w:tcPr>
          <w:p w:rsidR="00464F34" w:rsidRPr="00392FFD" w:rsidRDefault="00464F34" w:rsidP="00FD239F">
            <w:pPr>
              <w:pStyle w:val="InstructionsText"/>
            </w:pPr>
            <w:r>
              <w:lastRenderedPageBreak/>
              <w:t>210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Partnerkockázatból származó</w:t>
            </w:r>
          </w:p>
          <w:p w:rsidR="00464F34" w:rsidRPr="00392FFD" w:rsidRDefault="00464F34" w:rsidP="00FD239F">
            <w:pPr>
              <w:pStyle w:val="InstructionsText"/>
              <w:rPr>
                <w:b/>
                <w:u w:val="single"/>
              </w:rPr>
            </w:pPr>
            <w:r>
              <w:t>A CRR harmadik része II. címének 6. fejezete szerinti származtatott ügyletek, repoügyletek, értékpapír- és áru-kölcsönbeadási, illetve -kölcsönvételi ügyletek, hosszú teljesítési idejű ügyletek és értékpapírügylethez kapcsolódó hitelek esetében a CRR harmadik része II. címe 6. fejezetének 2</w:t>
            </w:r>
            <w:proofErr w:type="gramStart"/>
            <w:r>
              <w:t>.,</w:t>
            </w:r>
            <w:proofErr w:type="gramEnd"/>
            <w:r>
              <w:t xml:space="preserve"> 3., 4. és 5. szakaszában rögzített módszer sz</w:t>
            </w:r>
            <w:r>
              <w:t>e</w:t>
            </w:r>
            <w:r>
              <w:t>rint számított partnerkockázati kitettségérték.</w:t>
            </w:r>
          </w:p>
        </w:tc>
      </w:tr>
      <w:tr w:rsidR="00464F34" w:rsidRPr="00392FFD" w:rsidTr="00672D2A">
        <w:tc>
          <w:tcPr>
            <w:tcW w:w="1188" w:type="dxa"/>
          </w:tcPr>
          <w:p w:rsidR="00464F34" w:rsidRPr="00392FFD" w:rsidRDefault="00464F34" w:rsidP="00FD239F">
            <w:pPr>
              <w:pStyle w:val="InstructionsText"/>
            </w:pPr>
            <w:r>
              <w:t>215</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 kkv-szorzó előtti, kockázattal súlyozott kitettségérték</w:t>
            </w:r>
          </w:p>
          <w:p w:rsidR="00464F34" w:rsidRPr="00392FFD" w:rsidRDefault="00464F34" w:rsidP="00FD239F">
            <w:pPr>
              <w:pStyle w:val="InstructionsText"/>
              <w:rPr>
                <w:b/>
                <w:u w:val="single"/>
              </w:rPr>
            </w:pPr>
            <w:r>
              <w:t>A CRR 113. cikkének (1)–(5) bekezdése, a CRR 501. cikke szerinti kkv-szorzó figy</w:t>
            </w:r>
            <w:r>
              <w:t>e</w:t>
            </w:r>
            <w:r>
              <w:t>lembevétele nélkül.</w:t>
            </w:r>
          </w:p>
        </w:tc>
      </w:tr>
      <w:tr w:rsidR="00464F34" w:rsidRPr="00392FFD" w:rsidTr="00672D2A">
        <w:tc>
          <w:tcPr>
            <w:tcW w:w="1188" w:type="dxa"/>
          </w:tcPr>
          <w:p w:rsidR="00464F34" w:rsidRPr="00392FFD" w:rsidRDefault="00464F34" w:rsidP="00FD239F">
            <w:pPr>
              <w:pStyle w:val="InstructionsText"/>
            </w:pPr>
            <w:r>
              <w:t>220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 kkv-szorzó utáni, kockázattal súlyozott kitettségérték</w:t>
            </w:r>
          </w:p>
          <w:p w:rsidR="00464F34" w:rsidRPr="00392FFD" w:rsidRDefault="00464F34" w:rsidP="00FD239F">
            <w:pPr>
              <w:pStyle w:val="InstructionsText"/>
              <w:rPr>
                <w:b/>
                <w:u w:val="single"/>
              </w:rPr>
            </w:pPr>
            <w:r>
              <w:t>A CRR 113. cikkének (1)–(5) bekezdése, a CRR 500. cikke szerinti kkv-szorzó figy</w:t>
            </w:r>
            <w:r>
              <w:t>e</w:t>
            </w:r>
            <w:r>
              <w:t>lembevételével.</w:t>
            </w:r>
          </w:p>
        </w:tc>
      </w:tr>
      <w:tr w:rsidR="00464F34" w:rsidRPr="00392FFD" w:rsidTr="00672D2A">
        <w:tc>
          <w:tcPr>
            <w:tcW w:w="1188" w:type="dxa"/>
            <w:shd w:val="clear" w:color="auto" w:fill="auto"/>
          </w:tcPr>
          <w:p w:rsidR="00464F34" w:rsidRPr="00392FFD" w:rsidRDefault="00464F34" w:rsidP="00FD239F">
            <w:pPr>
              <w:pStyle w:val="InstructionsText"/>
            </w:pPr>
            <w:r>
              <w:t>230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kijelölt khmi által készített hitelminősítéssel</w:t>
            </w:r>
          </w:p>
          <w:p w:rsidR="003812AC" w:rsidRPr="00392FFD" w:rsidRDefault="003812AC" w:rsidP="00FD239F">
            <w:pPr>
              <w:pStyle w:val="InstructionsText"/>
            </w:pPr>
            <w:r>
              <w:t>A CRR 112. cikkének a)–d), f), g), l), n), o) és q) pontja</w:t>
            </w:r>
          </w:p>
        </w:tc>
      </w:tr>
      <w:tr w:rsidR="00464F34" w:rsidRPr="00392FFD" w:rsidTr="00672D2A">
        <w:tc>
          <w:tcPr>
            <w:tcW w:w="1188" w:type="dxa"/>
            <w:shd w:val="clear" w:color="auto" w:fill="auto"/>
          </w:tcPr>
          <w:p w:rsidR="00464F34" w:rsidRPr="00392FFD" w:rsidRDefault="00464F34" w:rsidP="00FD239F">
            <w:pPr>
              <w:pStyle w:val="InstructionsText"/>
            </w:pPr>
            <w:r>
              <w:t>240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központi kormányzattal megegyező hitelminősítéssel</w:t>
            </w:r>
          </w:p>
          <w:p w:rsidR="003812AC" w:rsidRPr="00392FFD" w:rsidRDefault="003812AC" w:rsidP="00FD239F">
            <w:pPr>
              <w:pStyle w:val="InstructionsText"/>
            </w:pPr>
            <w:r>
              <w:t>A CRR 112. cikkének b)–d), f), g), l), és o) pontja</w:t>
            </w:r>
          </w:p>
        </w:tc>
      </w:tr>
    </w:tbl>
    <w:p w:rsidR="00464F34" w:rsidRPr="00392FFD"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rsidTr="00672D2A">
        <w:tc>
          <w:tcPr>
            <w:tcW w:w="1188" w:type="dxa"/>
            <w:shd w:val="clear" w:color="auto" w:fill="CCCCCC"/>
          </w:tcPr>
          <w:p w:rsidR="00464F34" w:rsidRPr="00392FFD" w:rsidRDefault="007106FB" w:rsidP="00FD239F">
            <w:pPr>
              <w:pStyle w:val="InstructionsText"/>
            </w:pPr>
            <w:r>
              <w:t>Sorok</w:t>
            </w:r>
          </w:p>
        </w:tc>
        <w:tc>
          <w:tcPr>
            <w:tcW w:w="8701" w:type="dxa"/>
            <w:shd w:val="clear" w:color="auto" w:fill="CCCCCC"/>
          </w:tcPr>
          <w:p w:rsidR="00464F34" w:rsidRPr="00392FFD" w:rsidRDefault="00464F34" w:rsidP="00FD239F">
            <w:pPr>
              <w:pStyle w:val="InstructionsText"/>
            </w:pPr>
            <w:r>
              <w:t>Útmutató</w:t>
            </w:r>
          </w:p>
        </w:tc>
      </w:tr>
      <w:tr w:rsidR="00464F34" w:rsidRPr="00392FFD" w:rsidTr="00672D2A">
        <w:tc>
          <w:tcPr>
            <w:tcW w:w="1188" w:type="dxa"/>
          </w:tcPr>
          <w:p w:rsidR="00464F34" w:rsidRPr="00392FFD" w:rsidRDefault="00464F34" w:rsidP="00FD239F">
            <w:pPr>
              <w:pStyle w:val="InstructionsText"/>
            </w:pPr>
            <w:r>
              <w:t>010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Teljes kitettség</w:t>
            </w:r>
          </w:p>
        </w:tc>
      </w:tr>
      <w:tr w:rsidR="00610B56" w:rsidRPr="00392FFD" w:rsidTr="00672D2A">
        <w:tc>
          <w:tcPr>
            <w:tcW w:w="1188" w:type="dxa"/>
          </w:tcPr>
          <w:p w:rsidR="00610B56" w:rsidRPr="00392FFD" w:rsidRDefault="00610B56" w:rsidP="00FD239F">
            <w:pPr>
              <w:pStyle w:val="InstructionsText"/>
            </w:pPr>
            <w:r>
              <w:t>015</w:t>
            </w:r>
          </w:p>
        </w:tc>
        <w:tc>
          <w:tcPr>
            <w:tcW w:w="8701" w:type="dxa"/>
          </w:tcPr>
          <w:p w:rsidR="00610B56" w:rsidRPr="00392FFD" w:rsidRDefault="00610B5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Nemteljesítő kitettségek</w:t>
            </w:r>
          </w:p>
          <w:p w:rsidR="00610B56" w:rsidRPr="00392FFD" w:rsidRDefault="00610B56" w:rsidP="00FD239F">
            <w:pPr>
              <w:pStyle w:val="InstructionsText"/>
            </w:pPr>
            <w:r>
              <w:t>A CRR 127. cikke</w:t>
            </w:r>
          </w:p>
          <w:p w:rsidR="00610B56" w:rsidRPr="00392FFD" w:rsidRDefault="00610B56" w:rsidP="00FD239F">
            <w:pPr>
              <w:pStyle w:val="InstructionsText"/>
            </w:pPr>
            <w:r>
              <w:t>Ezt a sort csak a „Kiemelkedően magas kockázatú kitettségek” és a „Részvényjellegű kitettségek” kitettségi osztályokban kell jelenteni.</w:t>
            </w:r>
          </w:p>
          <w:p w:rsidR="00761891" w:rsidRPr="00392FFD" w:rsidRDefault="00761891" w:rsidP="00A04CFA">
            <w:pPr>
              <w:pStyle w:val="InstructionsText"/>
            </w:pPr>
            <w:r>
              <w:t>Ha egy kitettség a CRR 128. cikkének (2) bekezdésében felsorolt, vagy teljesíti a CRR 128. cikkének (3) bekezdésében vagy 133. cikkében meghatározott kritériumokat, a „Kiemelkedően magas kockázatú kitettségek” vagy a „Részvényjellegű kitettségek” kitettségi osztályba kell sorolni. Következésképpen más besorolás nem lehetséges, még akkor sem, ha a CRR 127. cikke szerinti nemteljesítő kitettségről van szó.</w:t>
            </w:r>
          </w:p>
        </w:tc>
      </w:tr>
      <w:tr w:rsidR="00464F34" w:rsidRPr="00392FFD" w:rsidTr="00672D2A">
        <w:tc>
          <w:tcPr>
            <w:tcW w:w="1188" w:type="dxa"/>
            <w:shd w:val="clear" w:color="auto" w:fill="auto"/>
          </w:tcPr>
          <w:p w:rsidR="00464F34" w:rsidRPr="00392FFD" w:rsidRDefault="00462BAB" w:rsidP="00FD239F">
            <w:pPr>
              <w:pStyle w:val="InstructionsText"/>
            </w:pPr>
            <w:r>
              <w:t>020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KKV</w:t>
            </w:r>
          </w:p>
          <w:p w:rsidR="00464F34" w:rsidRPr="00392FFD" w:rsidRDefault="00464F34" w:rsidP="00FD239F">
            <w:pPr>
              <w:pStyle w:val="InstructionsText"/>
            </w:pPr>
            <w:r>
              <w:t xml:space="preserve">Itt a kkv-kal szembeni összes kitettséget fel kell tüntetni. </w:t>
            </w:r>
          </w:p>
        </w:tc>
      </w:tr>
      <w:tr w:rsidR="00464F34" w:rsidRPr="00392FFD" w:rsidTr="00672D2A">
        <w:tc>
          <w:tcPr>
            <w:tcW w:w="1188" w:type="dxa"/>
            <w:shd w:val="clear" w:color="auto" w:fill="auto"/>
          </w:tcPr>
          <w:p w:rsidR="00464F34" w:rsidRPr="00392FFD" w:rsidRDefault="00462BAB" w:rsidP="00FD239F">
            <w:pPr>
              <w:pStyle w:val="InstructionsText"/>
            </w:pPr>
            <w:r>
              <w:t>030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Kitettség a kkv-szorzó alkalmazásával</w:t>
            </w:r>
          </w:p>
          <w:p w:rsidR="00464F34" w:rsidRPr="00392FFD" w:rsidRDefault="00464F34" w:rsidP="00FD239F">
            <w:pPr>
              <w:pStyle w:val="InstructionsText"/>
            </w:pPr>
            <w:r>
              <w:t xml:space="preserve">Itt csak azokat a kkv-kal szembeni kitettségeket kell feltüntetni, amelyek teljesítik a CRR 501. cikkében előírt követelményeket. </w:t>
            </w:r>
          </w:p>
        </w:tc>
      </w:tr>
      <w:tr w:rsidR="00464F34" w:rsidRPr="00392FFD" w:rsidTr="00672D2A">
        <w:tc>
          <w:tcPr>
            <w:tcW w:w="1188" w:type="dxa"/>
            <w:shd w:val="clear" w:color="auto" w:fill="auto"/>
          </w:tcPr>
          <w:p w:rsidR="00464F34" w:rsidRPr="00392FFD" w:rsidRDefault="00462BAB" w:rsidP="00FD239F">
            <w:pPr>
              <w:pStyle w:val="InstructionsText"/>
            </w:pPr>
            <w:r>
              <w:t>040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Ingatlanra bejegyzett zálogjoggal fedezett – lakóingatlan</w:t>
            </w:r>
          </w:p>
          <w:p w:rsidR="00464F34" w:rsidRPr="00392FFD" w:rsidRDefault="00464F34" w:rsidP="00FD239F">
            <w:pPr>
              <w:pStyle w:val="InstructionsText"/>
            </w:pPr>
            <w:r>
              <w:t>A CRR 125. cikke.</w:t>
            </w:r>
          </w:p>
          <w:p w:rsidR="00464F34" w:rsidRPr="00392FFD" w:rsidRDefault="00464F34" w:rsidP="00FD239F">
            <w:pPr>
              <w:pStyle w:val="InstructionsText"/>
              <w:rPr>
                <w:b/>
                <w:u w:val="single"/>
              </w:rPr>
            </w:pPr>
            <w:r>
              <w:t>Csak az „ingatlanra bejegyzett zálogjoggal fedezett” kitettségi osztályban kell jelenteni.</w:t>
            </w:r>
          </w:p>
        </w:tc>
      </w:tr>
      <w:tr w:rsidR="00464F34" w:rsidRPr="00392FFD" w:rsidTr="00672D2A">
        <w:tc>
          <w:tcPr>
            <w:tcW w:w="1188" w:type="dxa"/>
            <w:shd w:val="clear" w:color="auto" w:fill="auto"/>
          </w:tcPr>
          <w:p w:rsidR="00464F34" w:rsidRPr="00392FFD" w:rsidRDefault="00462BAB" w:rsidP="00FD239F">
            <w:pPr>
              <w:pStyle w:val="InstructionsText"/>
            </w:pPr>
            <w:r>
              <w:lastRenderedPageBreak/>
              <w:t>050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Ebből: Tartós </w:t>
            </w:r>
            <w:proofErr w:type="gramStart"/>
            <w:r>
              <w:rPr>
                <w:rStyle w:val="InstructionsTabelleberschrift"/>
                <w:rFonts w:ascii="Times New Roman" w:hAnsi="Times New Roman"/>
                <w:sz w:val="24"/>
              </w:rPr>
              <w:t>mentesítés</w:t>
            </w:r>
            <w:proofErr w:type="gramEnd"/>
            <w:r>
              <w:rPr>
                <w:rStyle w:val="InstructionsTabelleberschrift"/>
                <w:rFonts w:ascii="Times New Roman" w:hAnsi="Times New Roman"/>
                <w:sz w:val="24"/>
              </w:rPr>
              <w:t xml:space="preserve"> alapján a sztenderd módszerrel kezelt kitettségek</w:t>
            </w:r>
          </w:p>
          <w:p w:rsidR="00464F34" w:rsidRPr="00392FFD" w:rsidRDefault="00464F34" w:rsidP="00255BA9">
            <w:pPr>
              <w:pStyle w:val="InstructionsText"/>
            </w:pPr>
            <w:r>
              <w:t>A CRR 150. cikkének (1) bekezdése szerint kezelt kitettségek.</w:t>
            </w:r>
          </w:p>
        </w:tc>
      </w:tr>
      <w:tr w:rsidR="00464F34" w:rsidRPr="00392FFD" w:rsidTr="00672D2A">
        <w:tc>
          <w:tcPr>
            <w:tcW w:w="1188" w:type="dxa"/>
            <w:shd w:val="clear" w:color="auto" w:fill="auto"/>
          </w:tcPr>
          <w:p w:rsidR="00464F34" w:rsidRPr="00392FFD" w:rsidRDefault="00462BAB" w:rsidP="00FD239F">
            <w:pPr>
              <w:pStyle w:val="InstructionsText"/>
            </w:pPr>
            <w:r>
              <w:t>060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Az IRB-módszer fokozatos bevezetésére vonatkozó előzetes felügyeleti e</w:t>
            </w:r>
            <w:r>
              <w:rPr>
                <w:rStyle w:val="InstructionsTabelleberschrift"/>
                <w:rFonts w:ascii="Times New Roman" w:hAnsi="Times New Roman"/>
                <w:sz w:val="24"/>
              </w:rPr>
              <w:t>n</w:t>
            </w:r>
            <w:r>
              <w:rPr>
                <w:rStyle w:val="InstructionsTabelleberschrift"/>
                <w:rFonts w:ascii="Times New Roman" w:hAnsi="Times New Roman"/>
                <w:sz w:val="24"/>
              </w:rPr>
              <w:t>gedély alapján sztenderd módszerrel kezelt kitettségek</w:t>
            </w:r>
          </w:p>
          <w:p w:rsidR="00464F34" w:rsidRPr="00392FFD" w:rsidRDefault="00464F34" w:rsidP="00255BA9">
            <w:pPr>
              <w:pStyle w:val="InstructionsText"/>
            </w:pPr>
            <w:r>
              <w:t>A CRR 148. cikkének (1) bekezdése szerint kezelt kitettségek.</w:t>
            </w:r>
          </w:p>
        </w:tc>
      </w:tr>
      <w:tr w:rsidR="00464F34" w:rsidRPr="00392FFD" w:rsidTr="00672D2A">
        <w:tc>
          <w:tcPr>
            <w:tcW w:w="1188" w:type="dxa"/>
          </w:tcPr>
          <w:p w:rsidR="00464F34" w:rsidRPr="00392FFD" w:rsidRDefault="00462BAB" w:rsidP="00FD239F">
            <w:pPr>
              <w:pStyle w:val="InstructionsText"/>
            </w:pPr>
            <w:r>
              <w:t>070-130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 TELJES KITETTSÉG KITETTSÉGTÍPUS SZERINTI BONTÁSA</w:t>
            </w:r>
          </w:p>
          <w:p w:rsidR="00464F34" w:rsidRPr="00392FFD" w:rsidRDefault="00464F34" w:rsidP="00FD239F">
            <w:pPr>
              <w:pStyle w:val="InstructionsText"/>
            </w:pPr>
            <w:r>
              <w:t>Az adatot szolgáltató intézmény banki könyvben nyilvántartott pozícióit az alábbiakban megadott kritériumok szerint hitelkockázattal érintett mérlegen belüli kitettségekre, h</w:t>
            </w:r>
            <w:r>
              <w:t>i</w:t>
            </w:r>
            <w:r>
              <w:t>telkockázattal érintett mérlegen kívüli kitettségekre, valamint partnerkockázattal érint</w:t>
            </w:r>
            <w:r w:rsidR="00071330">
              <w:t>ett kitettségekre kell bontani.</w:t>
            </w:r>
          </w:p>
          <w:p w:rsidR="00464F34" w:rsidRPr="00392FFD" w:rsidRDefault="00464F34" w:rsidP="00FD239F">
            <w:pPr>
              <w:pStyle w:val="InstructionsText"/>
            </w:pPr>
            <w:r>
              <w:t xml:space="preserve">Az adatot szolgáltató </w:t>
            </w:r>
            <w:proofErr w:type="gramStart"/>
            <w:r>
              <w:t>intézmény kereskedési</w:t>
            </w:r>
            <w:proofErr w:type="gramEnd"/>
            <w:r>
              <w:t xml:space="preserve"> könyvben nyilvántartott, a CRR 92. cikke (3) bekezdésének f) pontja, valamint 299. cikkének (2) bekezdése szerinti partnerko</w:t>
            </w:r>
            <w:r>
              <w:t>c</w:t>
            </w:r>
            <w:r>
              <w:t xml:space="preserve">kázati pozícióit a partnerkockázattal érintett kitettségek közé kell sorolni. A CRR 94. cikkének (1) bekezdését alkalmazó intézményeknek </w:t>
            </w:r>
            <w:proofErr w:type="gramStart"/>
            <w:r>
              <w:t>ezenkívül</w:t>
            </w:r>
            <w:proofErr w:type="gramEnd"/>
            <w:r>
              <w:t xml:space="preserve"> a kereskedési könyvi p</w:t>
            </w:r>
            <w:r>
              <w:t>o</w:t>
            </w:r>
            <w:r>
              <w:t>zícióikat az alábbiakban megadott kritériumok szerint hitelkockázattal érintett mérlegen belüli kitettségekre, hitelkockázattal érintett mérlegen kívüli kitettségekre, valamint partnerkockázattal érintett kitettségekre kell bontaniuk.</w:t>
            </w:r>
          </w:p>
        </w:tc>
      </w:tr>
      <w:tr w:rsidR="00464F34" w:rsidRPr="00392FFD" w:rsidTr="00672D2A">
        <w:tc>
          <w:tcPr>
            <w:tcW w:w="1188" w:type="dxa"/>
          </w:tcPr>
          <w:p w:rsidR="00464F34" w:rsidRPr="00392FFD" w:rsidRDefault="00462BAB" w:rsidP="00FD239F">
            <w:pPr>
              <w:pStyle w:val="InstructionsText"/>
            </w:pPr>
            <w:r>
              <w:t>070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Hitelkockázattal érint</w:t>
            </w:r>
            <w:r w:rsidR="00071330">
              <w:rPr>
                <w:rStyle w:val="InstructionsTabelleberschrift"/>
                <w:rFonts w:ascii="Times New Roman" w:hAnsi="Times New Roman"/>
                <w:sz w:val="24"/>
              </w:rPr>
              <w:t>ett mérlegen belüli kitettségek</w:t>
            </w:r>
          </w:p>
          <w:p w:rsidR="00464F34" w:rsidRPr="00392FFD" w:rsidRDefault="00464F34" w:rsidP="00FD239F">
            <w:pPr>
              <w:pStyle w:val="InstructionsText"/>
            </w:pPr>
            <w:r>
              <w:t>A CRR 24. cikkében említett, más kategóriába nem sorolt eszközök.</w:t>
            </w:r>
          </w:p>
          <w:p w:rsidR="00464F34" w:rsidRPr="00392FFD" w:rsidRDefault="00464F34" w:rsidP="00FD239F">
            <w:pPr>
              <w:pStyle w:val="InstructionsText"/>
            </w:pPr>
            <w:r>
              <w:t>Azokat a mérlegtételnek minősülő kitettségeket, amelyeket értékpapír-finanszírozási ügyletként vagy származtatott ügyletként, illetve hosszú teljesítési idejű ügyletként számítanak be, vagy eltérő termékkategóriák közötti nettósításról szóló szerződéses megállapodásból erednek, a 090., 110. és 130. sorban kell feltüntetni, így ebben a so</w:t>
            </w:r>
            <w:r>
              <w:t>r</w:t>
            </w:r>
            <w:r>
              <w:t>ban nem szerepeltethetők.</w:t>
            </w:r>
          </w:p>
          <w:p w:rsidR="00464F34" w:rsidRPr="00392FFD" w:rsidRDefault="00464F34" w:rsidP="00FD239F">
            <w:pPr>
              <w:pStyle w:val="InstructionsText"/>
            </w:pPr>
            <w:r>
              <w:t>A CRR 379. cikkének (1) bekezdése szerinti, le nem vont nyitva szállítások nem min</w:t>
            </w:r>
            <w:r>
              <w:t>ő</w:t>
            </w:r>
            <w:r>
              <w:t>sülnek mérlegtételnek, azonban azokat ebben a sorban fel kell tüntetni.</w:t>
            </w:r>
          </w:p>
          <w:p w:rsidR="00464F34" w:rsidRPr="00392FFD" w:rsidRDefault="00464F34" w:rsidP="00FD239F">
            <w:pPr>
              <w:pStyle w:val="InstructionsText"/>
              <w:rPr>
                <w:b/>
                <w:u w:val="single"/>
              </w:rPr>
            </w:pPr>
            <w:r>
              <w:t xml:space="preserve">A CRR 4. cikke (1) bekezdésének 90. pontja értelmében a központi szerződő félre könyvelt eszközből eredő kitettségeket, valamint a CRR 4. cikke (1) bekezdésének 89. pontja szerinti garanciaalappal szembeni kitettségeket be kell számítani akkor, ha azok a 030. sorban nem szerepelnek. </w:t>
            </w:r>
          </w:p>
        </w:tc>
      </w:tr>
      <w:tr w:rsidR="00464F34" w:rsidRPr="00392FFD" w:rsidTr="00672D2A">
        <w:tc>
          <w:tcPr>
            <w:tcW w:w="1188" w:type="dxa"/>
          </w:tcPr>
          <w:p w:rsidR="00464F34" w:rsidRPr="00392FFD" w:rsidRDefault="00462BAB" w:rsidP="00FD239F">
            <w:pPr>
              <w:pStyle w:val="InstructionsText"/>
            </w:pPr>
            <w:r>
              <w:t>080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Hitelkockázattal érintett mérlegen kívüli kitettségek</w:t>
            </w:r>
          </w:p>
          <w:p w:rsidR="00464F34" w:rsidRPr="00392FFD" w:rsidRDefault="00464F34" w:rsidP="00FD239F">
            <w:pPr>
              <w:pStyle w:val="InstructionsText"/>
            </w:pPr>
            <w:r>
              <w:t>A mérlegen kívüli pozíciók közé a CRR I. mellékletében felsorolt tételek tartoznak.</w:t>
            </w:r>
          </w:p>
          <w:p w:rsidR="00464F34" w:rsidRPr="00392FFD" w:rsidRDefault="00464F34" w:rsidP="00FD239F">
            <w:pPr>
              <w:pStyle w:val="InstructionsText"/>
            </w:pPr>
            <w:r>
              <w:t>Azokat a mérlegen kívüli tételnek minősülő kitettségeket, amelyeket értékpapír-finanszírozási ügyletként vagy származtatott ügyletként, illetve hosszú teljesítési idejű ügyletként számítanak be, vagy eltérő termékkategóriák közötti nettósításról szóló sze</w:t>
            </w:r>
            <w:r>
              <w:t>r</w:t>
            </w:r>
            <w:r>
              <w:t>ződéses megállapodásból erednek, a 040. és 060. sorban kell feltüntetni, így ebben a sorban nem szerepeltethetők.</w:t>
            </w:r>
          </w:p>
          <w:p w:rsidR="00464F34" w:rsidRPr="00392FFD" w:rsidRDefault="00464F34" w:rsidP="00FD239F">
            <w:pPr>
              <w:pStyle w:val="InstructionsText"/>
              <w:rPr>
                <w:b/>
                <w:u w:val="single"/>
              </w:rPr>
            </w:pPr>
            <w:r>
              <w:t>A CRR 4. cikke (1) bekezdésének 90. pontja értelmében a központi szerződő félre könyvelt eszközből eredő kitettségeket, valamint a CRR 4. cikke (1) bekezdésének 89. pontja szerinti garanciaalappal szembeni kitettségeket be kell számítani akkor, ha azok mérlegen kívüli tételnek minősülnek.</w:t>
            </w:r>
          </w:p>
        </w:tc>
      </w:tr>
      <w:tr w:rsidR="003C3168" w:rsidRPr="00392FFD" w:rsidTr="00672D2A">
        <w:tc>
          <w:tcPr>
            <w:tcW w:w="1188"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t>090-130</w:t>
            </w:r>
          </w:p>
        </w:tc>
        <w:tc>
          <w:tcPr>
            <w:tcW w:w="8701"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rPr>
                <w:rStyle w:val="InstructionsTabelleberschrift"/>
                <w:rFonts w:ascii="Times New Roman" w:hAnsi="Times New Roman"/>
                <w:sz w:val="24"/>
              </w:rPr>
              <w:t>Partnerkockázattal érintett kitettségek/ügyletek</w:t>
            </w:r>
          </w:p>
        </w:tc>
      </w:tr>
      <w:tr w:rsidR="00464F34" w:rsidRPr="00392FFD" w:rsidTr="00672D2A">
        <w:tc>
          <w:tcPr>
            <w:tcW w:w="1188" w:type="dxa"/>
          </w:tcPr>
          <w:p w:rsidR="00464F34" w:rsidRPr="00392FFD" w:rsidRDefault="00462BAB" w:rsidP="00FD239F">
            <w:pPr>
              <w:pStyle w:val="InstructionsText"/>
            </w:pPr>
            <w:r>
              <w:lastRenderedPageBreak/>
              <w:t>090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Ért</w:t>
            </w:r>
            <w:r w:rsidR="00071330">
              <w:rPr>
                <w:rStyle w:val="InstructionsTabelleberschrift"/>
                <w:rFonts w:ascii="Times New Roman" w:hAnsi="Times New Roman"/>
                <w:sz w:val="24"/>
              </w:rPr>
              <w:t>ékpapír-finanszírozási ügyletek</w:t>
            </w:r>
          </w:p>
          <w:p w:rsidR="00464F34" w:rsidRPr="00392FFD" w:rsidRDefault="00464F34" w:rsidP="00FD239F">
            <w:pPr>
              <w:pStyle w:val="InstructionsText"/>
            </w:pPr>
            <w:r>
              <w:t>A Bázeli Bankfelügyeleti Bizottság „</w:t>
            </w:r>
            <w:proofErr w:type="gramStart"/>
            <w:r>
              <w:t>A</w:t>
            </w:r>
            <w:proofErr w:type="gramEnd"/>
            <w:r>
              <w:t xml:space="preserve"> Bázel II alkalmazása a kereskedési tevékenys</w:t>
            </w:r>
            <w:r>
              <w:t>é</w:t>
            </w:r>
            <w:r>
              <w:t>gek és az együttes nemteljesítés kezelése terén” c. dokumentumának 17. bekezdésében meghatározott értékpapír-finanszírozási ügyletek (SFT) magukban foglalják: i. a CRR 4. cikke (1) bekezdésének 82. pontjában meghatározott repo- és fordított repomegállapodásokat, valamint az értékpapír- és áru-kölcsönbeadási, illetve -kölcsönvételi ügyleteket; ii. a CRR 272. cikkének (3) bekezdésében meghatározott é</w:t>
            </w:r>
            <w:r>
              <w:t>r</w:t>
            </w:r>
            <w:r>
              <w:t>tékpapírügylethez kapcsolódó hiteleket.</w:t>
            </w:r>
          </w:p>
        </w:tc>
      </w:tr>
      <w:tr w:rsidR="00464F34" w:rsidRPr="00392FFD" w:rsidTr="00672D2A">
        <w:tc>
          <w:tcPr>
            <w:tcW w:w="1188" w:type="dxa"/>
          </w:tcPr>
          <w:p w:rsidR="00464F34" w:rsidRPr="00392FFD" w:rsidRDefault="00462BAB" w:rsidP="00FD239F">
            <w:pPr>
              <w:pStyle w:val="InstructionsText"/>
            </w:pPr>
            <w:r>
              <w:t>100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minősített központi szerződő félen keresztül központilag elszámolt</w:t>
            </w:r>
          </w:p>
          <w:p w:rsidR="00464F34" w:rsidRPr="00392FFD" w:rsidRDefault="00464F34" w:rsidP="00FD239F">
            <w:pPr>
              <w:pStyle w:val="InstructionsText"/>
            </w:pPr>
            <w:r>
              <w:t>A CRR 306. cikke a 4. cikk (1) bekezdésének 88. pontja szerinti minősített központi szerződő felek esetében, a CRR 301. cikkének (2) bekezdésével együttesen.</w:t>
            </w:r>
          </w:p>
          <w:p w:rsidR="00464F34" w:rsidRPr="00392FFD" w:rsidRDefault="00D02E89" w:rsidP="00FD239F">
            <w:pPr>
              <w:pStyle w:val="InstructionsText"/>
            </w:pPr>
            <w:r>
              <w:t>A CRR 4. cikke (1) bekezdésének 91. pontja szerinti, központi szerződő féllel szembeni kereskedési kitettségek.</w:t>
            </w:r>
          </w:p>
        </w:tc>
      </w:tr>
      <w:tr w:rsidR="00464F34" w:rsidRPr="00392FFD" w:rsidTr="00672D2A">
        <w:tc>
          <w:tcPr>
            <w:tcW w:w="1188" w:type="dxa"/>
          </w:tcPr>
          <w:p w:rsidR="00464F34" w:rsidRPr="00392FFD" w:rsidRDefault="00462BAB" w:rsidP="00FD239F">
            <w:pPr>
              <w:pStyle w:val="InstructionsText"/>
            </w:pPr>
            <w:r>
              <w:t>110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Származtatott és ho</w:t>
            </w:r>
            <w:r w:rsidR="00071330">
              <w:rPr>
                <w:rStyle w:val="InstructionsTabelleberschrift"/>
                <w:rFonts w:ascii="Times New Roman" w:hAnsi="Times New Roman"/>
                <w:sz w:val="24"/>
              </w:rPr>
              <w:t>sszú teljesítési idejű ügyletek</w:t>
            </w:r>
          </w:p>
          <w:p w:rsidR="00464F34" w:rsidRPr="00392FFD" w:rsidRDefault="00464F34" w:rsidP="00FD239F">
            <w:pPr>
              <w:pStyle w:val="InstructionsText"/>
            </w:pPr>
            <w:r>
              <w:t>A származtatott ügyletek a CRR II. mellékletében felsorolt szerződéseket foglalják m</w:t>
            </w:r>
            <w:r>
              <w:t>a</w:t>
            </w:r>
            <w:r>
              <w:t>gukban.</w:t>
            </w:r>
          </w:p>
          <w:p w:rsidR="00464F34" w:rsidRPr="00392FFD" w:rsidRDefault="00464F34" w:rsidP="00FD239F">
            <w:pPr>
              <w:pStyle w:val="InstructionsText"/>
            </w:pPr>
            <w:r>
              <w:t>A hosszú teljesítési idejű ügyleteket a CRR 272. cikkének (2) bekezdése határozza meg.</w:t>
            </w:r>
          </w:p>
          <w:p w:rsidR="00464F34" w:rsidRPr="00392FFD" w:rsidRDefault="00464F34" w:rsidP="00FD239F">
            <w:pPr>
              <w:pStyle w:val="InstructionsText"/>
            </w:pPr>
            <w:r>
              <w:t>Azok a származtatott ügyletek és hosszú teljesítési idejű ügyletek</w:t>
            </w:r>
            <w:proofErr w:type="gramStart"/>
            <w:r>
              <w:t>,</w:t>
            </w:r>
            <w:proofErr w:type="gramEnd"/>
            <w:r>
              <w:t xml:space="preserve"> amelyek termékkat</w:t>
            </w:r>
            <w:r>
              <w:t>e</w:t>
            </w:r>
            <w:r>
              <w:t>góriák közötti nettósítás részét képezik, és ennélfogva a 130. sorban szerepelnek, ebben a sorban nem tüntethetők fel.</w:t>
            </w:r>
          </w:p>
        </w:tc>
      </w:tr>
      <w:tr w:rsidR="00464F34" w:rsidRPr="00392FFD" w:rsidTr="00672D2A">
        <w:tc>
          <w:tcPr>
            <w:tcW w:w="1188" w:type="dxa"/>
          </w:tcPr>
          <w:p w:rsidR="00464F34" w:rsidRPr="00392FFD" w:rsidRDefault="00462BAB" w:rsidP="00FD239F">
            <w:pPr>
              <w:pStyle w:val="InstructionsText"/>
            </w:pPr>
            <w:r>
              <w:t>120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Ebből: minősített központi szerződő félen keresztül központilag elszámolt</w:t>
            </w:r>
          </w:p>
          <w:p w:rsidR="00464F34" w:rsidRPr="00392FFD" w:rsidRDefault="00464F34" w:rsidP="00FD239F">
            <w:pPr>
              <w:pStyle w:val="InstructionsText"/>
            </w:pPr>
            <w:r>
              <w:t>A CRR 306. cikke a 4. cikk (1) bekezdésének 88. pontja szerinti minősített központi szerződő felek esetében, a CRR 301. cikkének (2) bekezdésével együttesen.</w:t>
            </w:r>
          </w:p>
          <w:p w:rsidR="00464F34" w:rsidRPr="00392FFD" w:rsidRDefault="00770830" w:rsidP="00FD239F">
            <w:pPr>
              <w:pStyle w:val="InstructionsText"/>
              <w:rPr>
                <w:b/>
                <w:u w:val="single"/>
              </w:rPr>
            </w:pPr>
            <w:r>
              <w:t>A CRR 4. cikke (1) bekezdésének 91. pontja szerinti, központi szerződő féllel szembeni kereskedési kitettségek.</w:t>
            </w:r>
          </w:p>
        </w:tc>
      </w:tr>
      <w:tr w:rsidR="00464F34" w:rsidRPr="00392FFD" w:rsidTr="00672D2A">
        <w:tc>
          <w:tcPr>
            <w:tcW w:w="1188" w:type="dxa"/>
          </w:tcPr>
          <w:p w:rsidR="00464F34" w:rsidRPr="00392FFD" w:rsidRDefault="00462BAB" w:rsidP="00FD239F">
            <w:pPr>
              <w:pStyle w:val="InstructionsText"/>
            </w:pPr>
            <w:r>
              <w:t>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Eltérő termékkategóriák közötti nettósításról szóló szerződéses megállapodásból</w:t>
            </w:r>
          </w:p>
          <w:p w:rsidR="00464F34" w:rsidRPr="00392FFD" w:rsidRDefault="00464F34" w:rsidP="00FD239F">
            <w:pPr>
              <w:pStyle w:val="InstructionsText"/>
            </w:pPr>
            <w:r>
              <w:t>Ebben a sorban kell feltüntetni azokat a kitettségeket, amelyek a CRR 272. cikkének 11. pontjában meghatározott eltérő termékkategóriák közötti nettósításról szóló szerződéses megállapodás megléte miatt nem sorolhatók sem a származtatott ügyletek és hosszú te</w:t>
            </w:r>
            <w:r>
              <w:t>l</w:t>
            </w:r>
            <w:r>
              <w:t>jesítési idejű ügyletek, sem az értékpapír-finanszírozási ügyletek közé.</w:t>
            </w:r>
          </w:p>
        </w:tc>
      </w:tr>
      <w:tr w:rsidR="00464F34" w:rsidRPr="00392FFD" w:rsidTr="00672D2A">
        <w:tc>
          <w:tcPr>
            <w:tcW w:w="1188" w:type="dxa"/>
          </w:tcPr>
          <w:p w:rsidR="00464F34" w:rsidRPr="00392FFD" w:rsidRDefault="00462BAB" w:rsidP="00FD239F">
            <w:pPr>
              <w:pStyle w:val="InstructionsText"/>
            </w:pPr>
            <w:r>
              <w:t>140-280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KITETTSÉGEK KOCKÁZATI SÚLY SZERINTI BONTÁSA</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464F34" w:rsidRPr="00392FFD" w:rsidRDefault="00464F34" w:rsidP="00FD239F">
            <w:pPr>
              <w:pStyle w:val="InstructionsText"/>
              <w:rPr>
                <w:b/>
              </w:rPr>
            </w:pPr>
            <w:r>
              <w:t>A CRR 306. cikkének (1) bekezdése</w:t>
            </w:r>
          </w:p>
        </w:tc>
      </w:tr>
      <w:tr w:rsidR="00462BAB" w:rsidRPr="00392FFD" w:rsidTr="00672D2A">
        <w:tc>
          <w:tcPr>
            <w:tcW w:w="1188" w:type="dxa"/>
            <w:shd w:val="clear" w:color="auto" w:fill="auto"/>
          </w:tcPr>
          <w:p w:rsidR="00462BAB" w:rsidRPr="00392FFD" w:rsidRDefault="00462BAB" w:rsidP="00FD239F">
            <w:pPr>
              <w:pStyle w:val="InstructionsText"/>
            </w:pPr>
            <w:r>
              <w:t>160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462BAB" w:rsidRPr="00392FFD" w:rsidRDefault="00462BAB" w:rsidP="00FD239F">
            <w:pPr>
              <w:pStyle w:val="InstructionsText"/>
              <w:rPr>
                <w:b/>
                <w:u w:val="single"/>
              </w:rPr>
            </w:pPr>
            <w:r>
              <w:t>A CRR 305. cikkének (3) bekezdése</w:t>
            </w:r>
          </w:p>
        </w:tc>
      </w:tr>
      <w:tr w:rsidR="00462BAB" w:rsidRPr="00392FFD" w:rsidTr="00672D2A">
        <w:tc>
          <w:tcPr>
            <w:tcW w:w="1188" w:type="dxa"/>
            <w:shd w:val="clear" w:color="auto" w:fill="auto"/>
          </w:tcPr>
          <w:p w:rsidR="00462BAB" w:rsidRPr="00392FFD" w:rsidRDefault="00462BAB" w:rsidP="00FD239F">
            <w:pPr>
              <w:pStyle w:val="InstructionsText"/>
            </w:pPr>
            <w:r>
              <w:t>170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lastRenderedPageBreak/>
              <w:t>180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190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462BAB" w:rsidRPr="00392FFD" w:rsidRDefault="00462BAB" w:rsidP="00FD239F">
            <w:pPr>
              <w:pStyle w:val="InstructionsText"/>
            </w:pPr>
            <w:r>
              <w:t>A CRR 232. cikke (3) bekezdésének c) pontja</w:t>
            </w:r>
          </w:p>
        </w:tc>
      </w:tr>
      <w:tr w:rsidR="00462BAB" w:rsidRPr="00392FFD" w:rsidTr="00672D2A">
        <w:tc>
          <w:tcPr>
            <w:tcW w:w="1188" w:type="dxa"/>
            <w:shd w:val="clear" w:color="auto" w:fill="auto"/>
          </w:tcPr>
          <w:p w:rsidR="00462BAB" w:rsidRPr="00392FFD" w:rsidRDefault="00462BAB" w:rsidP="00FD239F">
            <w:pPr>
              <w:pStyle w:val="InstructionsText"/>
            </w:pPr>
            <w:r>
              <w:t>220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230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240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250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462BAB" w:rsidRPr="00392FFD" w:rsidRDefault="00462BAB" w:rsidP="00FD239F">
            <w:pPr>
              <w:pStyle w:val="InstructionsText"/>
            </w:pPr>
            <w:r>
              <w:t>A CRR 133. cikkének (2) bekezdése, valamint 48. cikkének (4) bekezdése</w:t>
            </w:r>
          </w:p>
        </w:tc>
      </w:tr>
      <w:tr w:rsidR="00462BAB" w:rsidRPr="00392FFD" w:rsidTr="00672D2A">
        <w:tc>
          <w:tcPr>
            <w:tcW w:w="1188" w:type="dxa"/>
            <w:shd w:val="clear" w:color="auto" w:fill="auto"/>
          </w:tcPr>
          <w:p w:rsidR="00462BAB" w:rsidRPr="00392FFD" w:rsidRDefault="00462BAB" w:rsidP="00FD239F">
            <w:pPr>
              <w:pStyle w:val="InstructionsText"/>
            </w:pPr>
            <w:r>
              <w:t>260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462BAB" w:rsidRPr="00392FFD" w:rsidRDefault="00462BAB" w:rsidP="00FD239F">
            <w:pPr>
              <w:pStyle w:val="InstructionsText"/>
              <w:rPr>
                <w:b/>
                <w:u w:val="single"/>
              </w:rPr>
            </w:pPr>
            <w:r>
              <w:t>A CRR 471. cikke</w:t>
            </w:r>
          </w:p>
        </w:tc>
      </w:tr>
      <w:tr w:rsidR="00462BAB" w:rsidRPr="00392FFD" w:rsidTr="00672D2A">
        <w:tc>
          <w:tcPr>
            <w:tcW w:w="1188" w:type="dxa"/>
            <w:shd w:val="clear" w:color="auto" w:fill="auto"/>
          </w:tcPr>
          <w:p w:rsidR="00462BAB" w:rsidRPr="00392FFD" w:rsidRDefault="00462BAB" w:rsidP="00FD239F">
            <w:pPr>
              <w:pStyle w:val="InstructionsText"/>
            </w:pPr>
            <w:r>
              <w:t>270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rsidR="00462BAB" w:rsidRPr="00392FFD" w:rsidRDefault="00462BAB" w:rsidP="00FD239F">
            <w:pPr>
              <w:pStyle w:val="InstructionsText"/>
              <w:rPr>
                <w:b/>
                <w:u w:val="single"/>
              </w:rPr>
            </w:pPr>
            <w:r>
              <w:t>A CRR 133. cikkének (2) bekezdése, 379. cikke</w:t>
            </w:r>
          </w:p>
        </w:tc>
      </w:tr>
      <w:tr w:rsidR="00462BAB" w:rsidRPr="00392FFD" w:rsidTr="00672D2A">
        <w:tc>
          <w:tcPr>
            <w:tcW w:w="1188" w:type="dxa"/>
            <w:shd w:val="clear" w:color="auto" w:fill="auto"/>
          </w:tcPr>
          <w:p w:rsidR="00462BAB" w:rsidRPr="00392FFD" w:rsidRDefault="00462BAB" w:rsidP="00FD239F">
            <w:pPr>
              <w:pStyle w:val="InstructionsText"/>
            </w:pPr>
            <w:r>
              <w:t>280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kockázati súlyok</w:t>
            </w:r>
          </w:p>
          <w:p w:rsidR="00462BAB" w:rsidRPr="00392FFD" w:rsidRDefault="00462BAB" w:rsidP="00FD239F">
            <w:pPr>
              <w:pStyle w:val="InstructionsText"/>
            </w:pPr>
            <w:r>
              <w:t>Ez a sor a „kormányzat”, „vállalkozások”, „intézmények” és „lakosság” kitettségi os</w:t>
            </w:r>
            <w:r>
              <w:t>z</w:t>
            </w:r>
            <w:r>
              <w:t>tályok esetében nem tölthető ki.</w:t>
            </w:r>
          </w:p>
          <w:p w:rsidR="00462BAB" w:rsidRPr="00392FFD" w:rsidRDefault="00462BAB" w:rsidP="00FD239F">
            <w:pPr>
              <w:pStyle w:val="InstructionsText"/>
            </w:pPr>
          </w:p>
          <w:p w:rsidR="00462BAB" w:rsidRPr="00392FFD" w:rsidRDefault="00462BAB" w:rsidP="00FD239F">
            <w:pPr>
              <w:pStyle w:val="InstructionsText"/>
            </w:pPr>
            <w:r>
              <w:t>Itt olyan kitettségek adhatók meg, amelyekre nem vonatkoznak a táblán felsorolt ko</w:t>
            </w:r>
            <w:r>
              <w:t>c</w:t>
            </w:r>
            <w:r>
              <w:t>kázati súlyok.</w:t>
            </w:r>
          </w:p>
          <w:p w:rsidR="00462BAB" w:rsidRPr="00392FFD" w:rsidRDefault="00462BAB" w:rsidP="00FD239F">
            <w:pPr>
              <w:pStyle w:val="InstructionsText"/>
            </w:pPr>
            <w:r>
              <w:t xml:space="preserve">A CRR </w:t>
            </w:r>
            <w:r w:rsidR="00071330">
              <w:t>113. cikkének (1)–(5) bekezdése</w:t>
            </w:r>
          </w:p>
          <w:p w:rsidR="00462BAB" w:rsidRPr="00392FFD" w:rsidRDefault="00462BAB" w:rsidP="00FD239F">
            <w:pPr>
              <w:pStyle w:val="InstructionsText"/>
            </w:pPr>
          </w:p>
          <w:p w:rsidR="00462BAB" w:rsidRPr="00392FFD" w:rsidRDefault="00462BAB" w:rsidP="00FD239F">
            <w:pPr>
              <w:pStyle w:val="InstructionsText"/>
            </w:pPr>
            <w:r>
              <w:t>A nem minősített, a sztenderd módszer szerinti n-edik nemteljesítéskor lehívható hitelderivatívákat (a CRR 134. cikkének (6) bekezdése) ebben a sorban az „egyéb tét</w:t>
            </w:r>
            <w:r>
              <w:t>e</w:t>
            </w:r>
            <w:r>
              <w:t>lek” kitettségi osztályban kell feltüntetni.</w:t>
            </w:r>
          </w:p>
          <w:p w:rsidR="00462BAB" w:rsidRPr="00392FFD" w:rsidRDefault="00462BAB" w:rsidP="00FD239F">
            <w:pPr>
              <w:pStyle w:val="InstructionsText"/>
            </w:pPr>
            <w:r>
              <w:t xml:space="preserve">Lásd még a CRR 124. cikkének (2) bekezdését, valamint 152. cikke (2) bekezdésének b) pontját. </w:t>
            </w:r>
          </w:p>
        </w:tc>
      </w:tr>
      <w:tr w:rsidR="00462BAB" w:rsidRPr="00392FFD" w:rsidTr="00672D2A">
        <w:tc>
          <w:tcPr>
            <w:tcW w:w="1188" w:type="dxa"/>
            <w:shd w:val="clear" w:color="auto" w:fill="auto"/>
          </w:tcPr>
          <w:p w:rsidR="00462BAB" w:rsidRPr="00392FFD" w:rsidRDefault="00462BAB" w:rsidP="00FD239F">
            <w:pPr>
              <w:pStyle w:val="InstructionsText"/>
            </w:pPr>
            <w:r>
              <w:t>290-320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Tájékoztató adatok</w:t>
            </w:r>
          </w:p>
          <w:p w:rsidR="00462BAB" w:rsidRPr="00392FFD" w:rsidRDefault="00462BAB" w:rsidP="00FD239F">
            <w:pPr>
              <w:pStyle w:val="InstructionsText"/>
              <w:rPr>
                <w:b/>
                <w:u w:val="single"/>
              </w:rPr>
            </w:pPr>
            <w:r>
              <w:t>Lásd még a tájékoztató adatok céljának ismertetését a CR SA általános szakaszában.</w:t>
            </w:r>
          </w:p>
        </w:tc>
      </w:tr>
      <w:tr w:rsidR="00462BAB" w:rsidRPr="00392FFD" w:rsidTr="00672D2A">
        <w:tc>
          <w:tcPr>
            <w:tcW w:w="1188" w:type="dxa"/>
            <w:shd w:val="clear" w:color="auto" w:fill="auto"/>
          </w:tcPr>
          <w:p w:rsidR="00462BAB" w:rsidRPr="00392FFD" w:rsidRDefault="00462BAB" w:rsidP="00FD239F">
            <w:pPr>
              <w:pStyle w:val="InstructionsText"/>
            </w:pPr>
            <w:r>
              <w:lastRenderedPageBreak/>
              <w:t>290</w:t>
            </w:r>
          </w:p>
          <w:p w:rsidR="00462BAB" w:rsidRPr="00392FFD" w:rsidRDefault="00462BAB" w:rsidP="00FD239F">
            <w:pPr>
              <w:pStyle w:val="InstructionsText"/>
            </w:pP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Kereskedelmi ingatlanra bejegyzett zálogjoggal fedezett kitettségek</w:t>
            </w:r>
          </w:p>
          <w:p w:rsidR="00462BAB" w:rsidRPr="00392FFD" w:rsidRDefault="00462BAB" w:rsidP="00FD239F">
            <w:pPr>
              <w:pStyle w:val="InstructionsText"/>
            </w:pPr>
            <w:r>
              <w:t>A CRR 112. cikkének i) pontja</w:t>
            </w:r>
          </w:p>
          <w:p w:rsidR="00462BAB" w:rsidRPr="00392FFD" w:rsidRDefault="00462BAB" w:rsidP="00FD239F">
            <w:pPr>
              <w:pStyle w:val="InstructionsText"/>
            </w:pPr>
            <w:r>
              <w:t>Kizárólag tájékoztató adat. A CRR 124. és 126. cikkének megfelelően kereskedelmi i</w:t>
            </w:r>
            <w:r>
              <w:t>n</w:t>
            </w:r>
            <w:r>
              <w:t>gatlannal fedezett kitettséghez kapcsolódó kockázati kitettségértékek számításától fü</w:t>
            </w:r>
            <w:r>
              <w:t>g</w:t>
            </w:r>
            <w:r>
              <w:t>getlenül a kitettségeket ebben a sorban azon kritérium szerint kell megbontani és feltü</w:t>
            </w:r>
            <w:r>
              <w:t>n</w:t>
            </w:r>
            <w:r>
              <w:t>tetni, hogy azokra kereskedelmi ingatlan nyújt-e fedezetet.</w:t>
            </w:r>
          </w:p>
        </w:tc>
      </w:tr>
      <w:tr w:rsidR="00462BAB" w:rsidRPr="00392FFD" w:rsidTr="00672D2A">
        <w:tc>
          <w:tcPr>
            <w:tcW w:w="1188" w:type="dxa"/>
            <w:shd w:val="clear" w:color="auto" w:fill="auto"/>
          </w:tcPr>
          <w:p w:rsidR="00462BAB" w:rsidRPr="00392FFD" w:rsidRDefault="00462BAB" w:rsidP="00FD239F">
            <w:pPr>
              <w:pStyle w:val="InstructionsText"/>
            </w:pPr>
            <w:r>
              <w:t>300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100 %-os kockázati súlyú nemteljesítő kitettségek</w:t>
            </w:r>
          </w:p>
          <w:p w:rsidR="00462BAB" w:rsidRPr="00392FFD" w:rsidRDefault="00462BAB" w:rsidP="00FD239F">
            <w:pPr>
              <w:pStyle w:val="InstructionsText"/>
            </w:pPr>
            <w:r>
              <w:t>A CRR 112. cikkének j) pontja</w:t>
            </w:r>
          </w:p>
          <w:p w:rsidR="00462BAB" w:rsidRPr="00392FFD" w:rsidRDefault="00462BAB" w:rsidP="00FD239F">
            <w:pPr>
              <w:pStyle w:val="InstructionsText"/>
            </w:pPr>
            <w:r>
              <w:t>A „nemteljesítő kitettségek” kitettségi osztályba sorolt kitettségek, amelyeket teljesít</w:t>
            </w:r>
            <w:r>
              <w:t>é</w:t>
            </w:r>
            <w:r>
              <w:t>sük esetén ebbe a kitettségi osztályba kellene sorolni.</w:t>
            </w:r>
          </w:p>
        </w:tc>
      </w:tr>
      <w:tr w:rsidR="00462BAB" w:rsidRPr="00392FFD" w:rsidTr="00672D2A">
        <w:tc>
          <w:tcPr>
            <w:tcW w:w="1188" w:type="dxa"/>
            <w:shd w:val="clear" w:color="auto" w:fill="auto"/>
          </w:tcPr>
          <w:p w:rsidR="00462BAB" w:rsidRPr="00392FFD" w:rsidRDefault="00462BAB" w:rsidP="00FD239F">
            <w:pPr>
              <w:pStyle w:val="InstructionsText"/>
            </w:pPr>
            <w:r>
              <w:t>310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Lakóingatlanra bejegyzett j</w:t>
            </w:r>
            <w:r w:rsidR="00071330">
              <w:rPr>
                <w:rStyle w:val="InstructionsTabelleberschrift"/>
                <w:rFonts w:ascii="Times New Roman" w:hAnsi="Times New Roman"/>
                <w:sz w:val="24"/>
              </w:rPr>
              <w:t>elzáloggal fedezett kitettségek</w:t>
            </w:r>
          </w:p>
          <w:p w:rsidR="00462BAB" w:rsidRPr="00392FFD" w:rsidRDefault="00462BAB" w:rsidP="00FD239F">
            <w:pPr>
              <w:pStyle w:val="InstructionsText"/>
            </w:pPr>
            <w:r>
              <w:t>A CRR 112. cikkének i) pontja</w:t>
            </w:r>
          </w:p>
          <w:p w:rsidR="00462BAB" w:rsidRPr="00392FFD" w:rsidRDefault="00462BAB" w:rsidP="00FD239F">
            <w:pPr>
              <w:pStyle w:val="InstructionsText"/>
              <w:rPr>
                <w:b/>
                <w:u w:val="single"/>
              </w:rPr>
            </w:pPr>
            <w:r>
              <w:t>Kizárólag tájékoztató adat. A CRR 124. és 125. cikkének megfelelően lakóingatlannal fedezett kitettséghez kapcsolódó kockázati kitettségértékek számításától függetlenül a kitettségeket ebben a sorban azon kritérium szerint kell megbontani és feltüntetni, hogy azokra ingatlan nyújt-e fedezetet.</w:t>
            </w:r>
          </w:p>
        </w:tc>
      </w:tr>
      <w:tr w:rsidR="00462BAB" w:rsidRPr="00392FFD" w:rsidTr="00672D2A">
        <w:tc>
          <w:tcPr>
            <w:tcW w:w="1188" w:type="dxa"/>
            <w:shd w:val="clear" w:color="auto" w:fill="auto"/>
          </w:tcPr>
          <w:p w:rsidR="00462BAB" w:rsidRPr="00392FFD" w:rsidRDefault="00462BAB" w:rsidP="00FD239F">
            <w:pPr>
              <w:pStyle w:val="InstructionsText"/>
            </w:pPr>
            <w:r>
              <w:t>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150 %-os kockázati</w:t>
            </w:r>
            <w:r w:rsidR="00071330">
              <w:rPr>
                <w:rStyle w:val="InstructionsTabelleberschrift"/>
                <w:rFonts w:ascii="Times New Roman" w:hAnsi="Times New Roman"/>
                <w:sz w:val="24"/>
              </w:rPr>
              <w:t xml:space="preserve"> súlyú nemteljesítő kitettségek</w:t>
            </w:r>
          </w:p>
          <w:p w:rsidR="00462BAB" w:rsidRPr="00392FFD" w:rsidRDefault="00462BAB" w:rsidP="00FD239F">
            <w:pPr>
              <w:pStyle w:val="InstructionsText"/>
            </w:pPr>
            <w:r>
              <w:t>A CRR 112. cikkének j) pontja</w:t>
            </w:r>
          </w:p>
          <w:p w:rsidR="00462BAB" w:rsidRPr="00392FFD" w:rsidRDefault="00462BAB" w:rsidP="00FD239F">
            <w:pPr>
              <w:pStyle w:val="InstructionsText"/>
            </w:pPr>
            <w:r>
              <w:t>A „nemteljesítő kitettségek” kitettségi osztályba sorolt kitettségek, amelyeket teljesít</w:t>
            </w:r>
            <w:r>
              <w:t>é</w:t>
            </w:r>
            <w:r>
              <w:t>sük esetén ebbe a kitettségi osztályba kellene sorolni.</w:t>
            </w:r>
          </w:p>
        </w:tc>
      </w:tr>
    </w:tbl>
    <w:p w:rsidR="001C7AB7" w:rsidRPr="00392FFD" w:rsidRDefault="001C7AB7">
      <w:pPr>
        <w:spacing w:before="0" w:after="0"/>
        <w:jc w:val="left"/>
        <w:rPr>
          <w:rFonts w:ascii="Times New Roman" w:hAnsi="Times New Roman"/>
          <w:bCs/>
          <w:sz w:val="24"/>
        </w:rPr>
      </w:pP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59" w:name="_Toc360188357"/>
      <w:bookmarkStart w:id="260" w:name="_Toc516210641"/>
      <w:bookmarkStart w:id="261" w:name="_Toc473560906"/>
      <w:bookmarkStart w:id="262" w:name="_Toc524014700"/>
      <w:r>
        <w:rPr>
          <w:rFonts w:ascii="Times New Roman" w:hAnsi="Times New Roman"/>
          <w:sz w:val="24"/>
          <w:u w:val="none"/>
        </w:rPr>
        <w:t>3.3.</w:t>
      </w:r>
      <w:r w:rsidRPr="00071330">
        <w:rPr>
          <w:u w:val="none"/>
        </w:rPr>
        <w:tab/>
      </w:r>
      <w:r>
        <w:rPr>
          <w:rFonts w:ascii="Times New Roman" w:hAnsi="Times New Roman"/>
          <w:sz w:val="24"/>
        </w:rPr>
        <w:t>Hitelkockázat, partnerkockázat és nyitva szállítások: az IRB-módszer szerinti szavatolótőke-követelmény</w:t>
      </w:r>
      <w:bookmarkEnd w:id="259"/>
      <w:r>
        <w:rPr>
          <w:rFonts w:ascii="Times New Roman" w:hAnsi="Times New Roman"/>
          <w:sz w:val="24"/>
        </w:rPr>
        <w:t xml:space="preserve"> (CR IRB)</w:t>
      </w:r>
      <w:bookmarkEnd w:id="260"/>
      <w:bookmarkEnd w:id="261"/>
      <w:bookmarkEnd w:id="262"/>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3" w:name="_Toc360188358"/>
      <w:bookmarkStart w:id="264" w:name="_Toc516210642"/>
      <w:bookmarkStart w:id="265" w:name="_Toc473560907"/>
      <w:bookmarkStart w:id="266" w:name="_Toc524014701"/>
      <w:r>
        <w:rPr>
          <w:rFonts w:ascii="Times New Roman" w:hAnsi="Times New Roman"/>
          <w:sz w:val="24"/>
          <w:u w:val="none"/>
        </w:rPr>
        <w:t>3.3.1.</w:t>
      </w:r>
      <w:r w:rsidRPr="00071330">
        <w:rPr>
          <w:u w:val="none"/>
        </w:rPr>
        <w:tab/>
      </w:r>
      <w:r>
        <w:rPr>
          <w:rFonts w:ascii="Times New Roman" w:hAnsi="Times New Roman"/>
          <w:sz w:val="24"/>
        </w:rPr>
        <w:t>A CR IRB tábla alkalmazási köre</w:t>
      </w:r>
      <w:bookmarkEnd w:id="263"/>
      <w:bookmarkEnd w:id="264"/>
      <w:bookmarkEnd w:id="265"/>
      <w:bookmarkEnd w:id="266"/>
    </w:p>
    <w:p w:rsidR="001C7AB7" w:rsidRPr="00392FFD" w:rsidRDefault="00125707" w:rsidP="00C37B29">
      <w:pPr>
        <w:pStyle w:val="InstructionsText2"/>
        <w:numPr>
          <w:ilvl w:val="0"/>
          <w:numId w:val="0"/>
        </w:numPr>
        <w:ind w:left="993"/>
      </w:pPr>
      <w:r>
        <w:t>74.</w:t>
      </w:r>
      <w:r>
        <w:tab/>
        <w:t>A CR IRB tábla alkalmazási köre az alábbiakra vonatkozó szavatolótőke-követelményekre terjed ki:</w:t>
      </w:r>
    </w:p>
    <w:p w:rsidR="001C7AB7" w:rsidRPr="00392FFD" w:rsidRDefault="00125707" w:rsidP="00C37B29">
      <w:pPr>
        <w:pStyle w:val="InstructionsText2"/>
        <w:numPr>
          <w:ilvl w:val="0"/>
          <w:numId w:val="0"/>
        </w:numPr>
        <w:ind w:left="993"/>
      </w:pPr>
      <w:proofErr w:type="gramStart"/>
      <w:r>
        <w:t>i.</w:t>
      </w:r>
      <w:proofErr w:type="gramEnd"/>
      <w:r>
        <w:tab/>
        <w:t>banki könyvben nyilvántartott hitelkockázat, ezen belül:</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proofErr w:type="gramStart"/>
      <w:r>
        <w:rPr>
          <w:rFonts w:ascii="Times New Roman" w:hAnsi="Times New Roman"/>
          <w:sz w:val="24"/>
        </w:rPr>
        <w:t>banki</w:t>
      </w:r>
      <w:proofErr w:type="gramEnd"/>
      <w:r>
        <w:rPr>
          <w:rFonts w:ascii="Times New Roman" w:hAnsi="Times New Roman"/>
          <w:sz w:val="24"/>
        </w:rPr>
        <w:t xml:space="preserve"> könyvben nyilvántartott partnerkockázat;</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proofErr w:type="gramStart"/>
      <w:r>
        <w:rPr>
          <w:rFonts w:ascii="Times New Roman" w:hAnsi="Times New Roman"/>
          <w:sz w:val="24"/>
        </w:rPr>
        <w:t>vásárolt</w:t>
      </w:r>
      <w:proofErr w:type="gramEnd"/>
      <w:r>
        <w:rPr>
          <w:rFonts w:ascii="Times New Roman" w:hAnsi="Times New Roman"/>
          <w:sz w:val="24"/>
        </w:rPr>
        <w:t xml:space="preserve"> követelések felhígulási kockázata;</w:t>
      </w:r>
    </w:p>
    <w:p w:rsidR="001C7AB7" w:rsidRPr="00392FFD" w:rsidRDefault="00125707" w:rsidP="00C37B29">
      <w:pPr>
        <w:pStyle w:val="InstructionsText2"/>
        <w:numPr>
          <w:ilvl w:val="0"/>
          <w:numId w:val="0"/>
        </w:numPr>
        <w:ind w:left="993"/>
      </w:pPr>
      <w:r>
        <w:t>ii.</w:t>
      </w:r>
      <w:r>
        <w:tab/>
        <w:t>kereskedési könyvben nyilvántartott partnerkockázat;</w:t>
      </w:r>
    </w:p>
    <w:p w:rsidR="001C7AB7" w:rsidRPr="00392FFD" w:rsidRDefault="00125707" w:rsidP="00C37B29">
      <w:pPr>
        <w:pStyle w:val="InstructionsText2"/>
        <w:numPr>
          <w:ilvl w:val="0"/>
          <w:numId w:val="0"/>
        </w:numPr>
        <w:ind w:left="993"/>
      </w:pPr>
      <w:r>
        <w:t>iii.</w:t>
      </w:r>
      <w:r>
        <w:tab/>
        <w:t>az összes üzleti tevékenységből származó nyitva szállítások.</w:t>
      </w:r>
    </w:p>
    <w:p w:rsidR="001C7AB7" w:rsidRPr="00392FFD" w:rsidRDefault="00125707" w:rsidP="00C37B29">
      <w:pPr>
        <w:pStyle w:val="InstructionsText2"/>
        <w:numPr>
          <w:ilvl w:val="0"/>
          <w:numId w:val="0"/>
        </w:numPr>
        <w:ind w:left="993"/>
      </w:pPr>
      <w:r>
        <w:t>75.</w:t>
      </w:r>
      <w:r>
        <w:tab/>
        <w:t>A tábla alkalmazási köre azokra a kitettségekre terjed ki, amelyeknek kock</w:t>
      </w:r>
      <w:r>
        <w:t>á</w:t>
      </w:r>
      <w:r>
        <w:t>zattal súlyozott kitettségértékét a CRR harmadik része II. címe 3. fejezetének 151–157. cikke alapján</w:t>
      </w:r>
      <w:r w:rsidR="00071330">
        <w:t xml:space="preserve"> (IRB-módszerrel) számítják ki.</w:t>
      </w:r>
    </w:p>
    <w:p w:rsidR="001C7AB7" w:rsidRPr="00392FFD" w:rsidRDefault="00125707" w:rsidP="00C37B29">
      <w:pPr>
        <w:pStyle w:val="InstructionsText2"/>
        <w:numPr>
          <w:ilvl w:val="0"/>
          <w:numId w:val="0"/>
        </w:numPr>
        <w:ind w:left="993"/>
      </w:pPr>
      <w:r>
        <w:t>76.</w:t>
      </w:r>
      <w:r>
        <w:tab/>
        <w:t xml:space="preserve">A CR IRB tábla alkalmazási köre nem </w:t>
      </w:r>
      <w:r w:rsidR="00071330">
        <w:t>terjed ki a következő adatokra:</w:t>
      </w:r>
    </w:p>
    <w:p w:rsidR="001C7AB7" w:rsidRPr="00392FFD" w:rsidRDefault="00125707" w:rsidP="00C37B29">
      <w:pPr>
        <w:pStyle w:val="InstructionsText2"/>
        <w:numPr>
          <w:ilvl w:val="0"/>
          <w:numId w:val="0"/>
        </w:numPr>
        <w:ind w:left="993"/>
      </w:pPr>
      <w:proofErr w:type="gramStart"/>
      <w:r>
        <w:lastRenderedPageBreak/>
        <w:t>i.</w:t>
      </w:r>
      <w:proofErr w:type="gramEnd"/>
      <w:r>
        <w:tab/>
        <w:t>a CR EQU IRB táblán feltüntetett részvényjellegű kitett</w:t>
      </w:r>
      <w:r w:rsidR="00071330">
        <w:t>ségek;</w:t>
      </w:r>
    </w:p>
    <w:p w:rsidR="001C7AB7" w:rsidRPr="00392FFD" w:rsidRDefault="00125707" w:rsidP="00C37B29">
      <w:pPr>
        <w:pStyle w:val="InstructionsText2"/>
        <w:numPr>
          <w:ilvl w:val="0"/>
          <w:numId w:val="0"/>
        </w:numPr>
        <w:ind w:left="993"/>
      </w:pPr>
      <w:r>
        <w:t>ii.</w:t>
      </w:r>
      <w:r>
        <w:tab/>
        <w:t>a CR SEC SA, CR SEC IRB és/vagy CR SEC Details táblán feltüntetett értékpapírosítási pozíciókra;</w:t>
      </w:r>
    </w:p>
    <w:p w:rsidR="001C7AB7" w:rsidRPr="00392FFD" w:rsidRDefault="00125707" w:rsidP="00C37B29">
      <w:pPr>
        <w:pStyle w:val="InstructionsText2"/>
        <w:numPr>
          <w:ilvl w:val="0"/>
          <w:numId w:val="0"/>
        </w:numPr>
        <w:ind w:left="993"/>
      </w:pPr>
      <w:r>
        <w:t>iii.</w:t>
      </w:r>
      <w:r>
        <w:tab/>
        <w:t xml:space="preserve"> a CRR 147. cikke (2) bekezdésének g) pontja szerinti egyéb, nem hitelkötel</w:t>
      </w:r>
      <w:r>
        <w:t>e</w:t>
      </w:r>
      <w:r>
        <w:t>zettséget megtestesítő eszközökre. E kitettségi osztály kockázati súlya minden ese</w:t>
      </w:r>
      <w:r>
        <w:t>t</w:t>
      </w:r>
      <w:r>
        <w:t>ben 100 %, kivéve a készpénz-állományt és az azzal egyenértékű készpénztételeket, valamint a lízingelt eszközök maradványértékét a CRR 156. cikke szerint. Az ehhez a kitettségi osztályhoz tartozó, kockázattal súlyozott kitettségértékeket közvetlenül a CA táblán kell feltüntetni;</w:t>
      </w:r>
    </w:p>
    <w:p w:rsidR="001C7AB7" w:rsidRPr="00392FFD" w:rsidRDefault="00125707" w:rsidP="00C37B29">
      <w:pPr>
        <w:pStyle w:val="InstructionsText2"/>
        <w:numPr>
          <w:ilvl w:val="0"/>
          <w:numId w:val="0"/>
        </w:numPr>
        <w:ind w:left="993"/>
      </w:pPr>
      <w:r>
        <w:t>iv.</w:t>
      </w:r>
      <w:r>
        <w:tab/>
        <w:t>a CVA-kockázat tábláján feltüntetett hitelértékelési korrekciós kockázatra;</w:t>
      </w:r>
    </w:p>
    <w:p w:rsidR="001C7AB7" w:rsidRPr="00392FFD" w:rsidRDefault="001C7AB7" w:rsidP="001C7AB7">
      <w:pPr>
        <w:autoSpaceDE w:val="0"/>
        <w:autoSpaceDN w:val="0"/>
        <w:adjustRightInd w:val="0"/>
        <w:spacing w:before="0" w:after="240"/>
        <w:ind w:left="1440"/>
        <w:jc w:val="left"/>
        <w:rPr>
          <w:rFonts w:ascii="Times New Roman" w:hAnsi="Times New Roman"/>
          <w:sz w:val="24"/>
        </w:rPr>
      </w:pPr>
      <w:r>
        <w:rPr>
          <w:rFonts w:ascii="Times New Roman" w:hAnsi="Times New Roman"/>
          <w:sz w:val="24"/>
        </w:rPr>
        <w:t>A CR IRB táblán nem szükséges az IRB kitettségeket a partner székhelye sz</w:t>
      </w:r>
      <w:r>
        <w:rPr>
          <w:rFonts w:ascii="Times New Roman" w:hAnsi="Times New Roman"/>
          <w:sz w:val="24"/>
        </w:rPr>
        <w:t>e</w:t>
      </w:r>
      <w:r>
        <w:rPr>
          <w:rFonts w:ascii="Times New Roman" w:hAnsi="Times New Roman"/>
          <w:sz w:val="24"/>
        </w:rPr>
        <w:t>rinti földrajzi bontásban megadni. Az így csoportosított adat</w:t>
      </w:r>
      <w:r w:rsidR="00071330">
        <w:rPr>
          <w:rFonts w:ascii="Times New Roman" w:hAnsi="Times New Roman"/>
          <w:sz w:val="24"/>
        </w:rPr>
        <w:t>ok a CR GB táblán szerepelnek.</w:t>
      </w:r>
    </w:p>
    <w:p w:rsidR="001C7AB7" w:rsidRPr="00392FFD" w:rsidRDefault="00125707" w:rsidP="00C37B29">
      <w:pPr>
        <w:pStyle w:val="InstructionsText2"/>
        <w:numPr>
          <w:ilvl w:val="0"/>
          <w:numId w:val="0"/>
        </w:numPr>
        <w:ind w:left="993"/>
      </w:pPr>
      <w:r>
        <w:t>77.</w:t>
      </w:r>
      <w:r>
        <w:tab/>
        <w:t>Annak egyértelművé tétele érdekében, hogy az intézmény az LGD és/vagy a hitel-egyenértékesítési tényezők értékét saját becsléssel állapítja-e meg, az ada</w:t>
      </w:r>
      <w:r>
        <w:t>t</w:t>
      </w:r>
      <w:r>
        <w:t>szolgáltatásban szereplő minden kitettségi osztályra vonatkozóan meg kell adni az alábbi információkat:</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NEM = az LGD és a hitel-egyenértékesítési tényezők felügyeleti becslése esetén (IRB alapmódszer);</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IGEN = az LGD és a hitel-egyenértékesítési tényezők saját becslése esetén (fejlett IRB- módszer). </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A lakossági portfóliókra vonatkozó adatszolgáltatáshoz minden esetben az IGEN ért</w:t>
      </w:r>
      <w:r>
        <w:rPr>
          <w:rFonts w:ascii="Times New Roman" w:hAnsi="Times New Roman"/>
          <w:sz w:val="24"/>
        </w:rPr>
        <w:t>é</w:t>
      </w:r>
      <w:r>
        <w:rPr>
          <w:rFonts w:ascii="Times New Roman" w:hAnsi="Times New Roman"/>
          <w:sz w:val="24"/>
        </w:rPr>
        <w:t>ket kell megadni.</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Ha egy intézmény az IRB kitettségek egy részére vonatkozó </w:t>
      </w:r>
      <w:r>
        <w:rPr>
          <w:rStyle w:val="InstructionsTabelleText"/>
          <w:rFonts w:ascii="Times New Roman" w:hAnsi="Times New Roman"/>
          <w:sz w:val="24"/>
        </w:rPr>
        <w:t>kockázattal súlyozott kitettségértékeket</w:t>
      </w:r>
      <w:r>
        <w:rPr>
          <w:rFonts w:ascii="Times New Roman" w:hAnsi="Times New Roman"/>
          <w:sz w:val="24"/>
        </w:rPr>
        <w:t xml:space="preserve"> saját LGD-értékek alapján, az IRB kitettségek fennmaradó részére vonatkozó </w:t>
      </w:r>
      <w:r>
        <w:rPr>
          <w:rStyle w:val="InstructionsTabelleText"/>
          <w:rFonts w:ascii="Times New Roman" w:hAnsi="Times New Roman"/>
          <w:sz w:val="24"/>
        </w:rPr>
        <w:t>kockázattal súlyozott kitettségértékeket</w:t>
      </w:r>
      <w:r>
        <w:rPr>
          <w:rFonts w:ascii="Times New Roman" w:hAnsi="Times New Roman"/>
          <w:sz w:val="24"/>
        </w:rPr>
        <w:t xml:space="preserve"> pedig felügyeleti LGD-értékek alapján számítja ki, akkor egy CR IRB Összesen táblát kell jelenteni az F-IRB pozíc</w:t>
      </w:r>
      <w:r>
        <w:rPr>
          <w:rFonts w:ascii="Times New Roman" w:hAnsi="Times New Roman"/>
          <w:sz w:val="24"/>
        </w:rPr>
        <w:t>i</w:t>
      </w:r>
      <w:r>
        <w:rPr>
          <w:rFonts w:ascii="Times New Roman" w:hAnsi="Times New Roman"/>
          <w:sz w:val="24"/>
        </w:rPr>
        <w:t>ókra és egy külön CR IRB Összesen táblát az A-IRB pozíciókra vonatkozóan.</w:t>
      </w: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7" w:name="_Toc262568037"/>
      <w:bookmarkStart w:id="268" w:name="_Toc264038435"/>
      <w:bookmarkStart w:id="269" w:name="_Toc295829865"/>
      <w:bookmarkStart w:id="270" w:name="_Toc308155142"/>
      <w:bookmarkStart w:id="271" w:name="_Toc310415028"/>
      <w:bookmarkStart w:id="272" w:name="_Toc360188359"/>
      <w:bookmarkStart w:id="273" w:name="_Toc516210643"/>
      <w:bookmarkStart w:id="274" w:name="_Toc473560908"/>
      <w:bookmarkStart w:id="275" w:name="_Toc524014702"/>
      <w:r>
        <w:rPr>
          <w:rFonts w:ascii="Times New Roman" w:hAnsi="Times New Roman"/>
          <w:sz w:val="24"/>
          <w:u w:val="none"/>
        </w:rPr>
        <w:t>3.3.2.</w:t>
      </w:r>
      <w:r w:rsidRPr="00071330">
        <w:rPr>
          <w:u w:val="none"/>
        </w:rPr>
        <w:tab/>
      </w:r>
      <w:r>
        <w:rPr>
          <w:rFonts w:ascii="Times New Roman" w:hAnsi="Times New Roman"/>
          <w:sz w:val="24"/>
        </w:rPr>
        <w:t>A CR IRB táblacsoport felosztása</w:t>
      </w:r>
      <w:bookmarkEnd w:id="267"/>
      <w:bookmarkEnd w:id="268"/>
      <w:bookmarkEnd w:id="269"/>
      <w:bookmarkEnd w:id="270"/>
      <w:bookmarkEnd w:id="271"/>
      <w:bookmarkEnd w:id="272"/>
      <w:bookmarkEnd w:id="273"/>
      <w:bookmarkEnd w:id="274"/>
      <w:bookmarkEnd w:id="275"/>
    </w:p>
    <w:p w:rsidR="001C7AB7" w:rsidRPr="00392FFD" w:rsidRDefault="00125707" w:rsidP="00C37B29">
      <w:pPr>
        <w:pStyle w:val="InstructionsText2"/>
        <w:numPr>
          <w:ilvl w:val="0"/>
          <w:numId w:val="0"/>
        </w:numPr>
        <w:ind w:left="993"/>
      </w:pPr>
      <w:r>
        <w:t>78.</w:t>
      </w:r>
      <w:r>
        <w:tab/>
        <w:t>A CR IRB táblacsoport két táblából áll. A CR IRB 1 általános áttekintést nyújt az IRB kitettségekről és a teljes kockázati kitettségértékek különböző számítási módszereiről, továbbá kitettségtípusok szerint csoportosítja a teljes kitettségállományt. A CR IRB 2 a teljes kitettségállományt ügyfél-kategóriák vagy -halmazok (pool) szerinti bontásban mutatja be. Az alábbi kitettségi osztályokra és alosztályokra vonatkozóan a CR IRB 1 és CR IRB 2 táblán külön kell adatot szo</w:t>
      </w:r>
      <w:r>
        <w:t>l</w:t>
      </w:r>
      <w:r>
        <w:t>gáltatni:</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Összesen</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(Az Összesen táblát külön ki kell tölteni az IRB alapmódszer és a fejlett IRB-módszer szerint is)</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Központi kormányzatok és központi bankok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(A CRR 147. cikke (2) bekezdésének a) pontja)</w:t>
      </w:r>
    </w:p>
    <w:p w:rsidR="001C7AB7" w:rsidRPr="0023700C"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Intézmények</w:t>
      </w:r>
    </w:p>
    <w:p w:rsidR="001C7AB7" w:rsidRPr="0023700C"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(A CRR 147. cikke (2) bekezdésének b) pontja)</w:t>
      </w:r>
    </w:p>
    <w:p w:rsidR="001C7AB7" w:rsidRPr="001C5CA8"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Vállalkozások – kkv</w:t>
      </w:r>
    </w:p>
    <w:p w:rsidR="001C7AB7" w:rsidRPr="001C5CA8"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 CRR 147. cikke (2) bekezdésének c) pontja)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Vállalkozások – speciális hitelezés</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 CRR 147. cikkének (8) bekezdése)</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Vállalkozások – egyéb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 147. cikk (2) bekezdésének c) pontja szerinti, a 4.1. és 4.2. pontban nem </w:t>
      </w:r>
      <w:proofErr w:type="gramStart"/>
      <w:r>
        <w:rPr>
          <w:rFonts w:ascii="Times New Roman" w:hAnsi="Times New Roman"/>
          <w:sz w:val="24"/>
        </w:rPr>
        <w:t>szereplő vállalkozások</w:t>
      </w:r>
      <w:proofErr w:type="gramEnd"/>
      <w:r>
        <w:rPr>
          <w:rFonts w:ascii="Times New Roman" w:hAnsi="Times New Roman"/>
          <w:sz w:val="24"/>
        </w:rPr>
        <w:t>)</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Lakosság – ingatlannal fedezett (kkv)</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(Ingatlannal fedezett kitettségek a CRR 147. cikke (2) bekezdésének d) pontja és a 154. cikk (3) bekezdése együttes alkalmazásával)</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Lakosság – ingatlannal fedezett (nem kkv)</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(Ingatlannal fedezett, az 5.1. pontban nem szereplő kitettségek a CRR 147. cikke (2) bekezdésének d) pontja alkalmazásával)</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Lakosság – a rulírozó állományba beszámítható</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 CRR 147. cikke (2) bekezdésének d) pontja a 154. cikk (4) bekezdésével együttesen)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Lakosság – egyéb kkv</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 147. cikk (2) bekezdésének d) pontja szerinti, az 5.1. és 5.3. pontban nem szereplő tételek)</w:t>
      </w:r>
    </w:p>
    <w:p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Lakosság – egyéb nem kkv</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 CRR 147. cikke (2) bekezdésének d) pontja szerinti, az 5.2. és 5.3. pontban nem szereplő tételek)</w:t>
      </w:r>
    </w:p>
    <w:p w:rsidR="001C7AB7" w:rsidRPr="00392FFD" w:rsidRDefault="001C7AB7" w:rsidP="001C7AB7">
      <w:pPr>
        <w:autoSpaceDE w:val="0"/>
        <w:autoSpaceDN w:val="0"/>
        <w:adjustRightInd w:val="0"/>
        <w:spacing w:before="0" w:after="240"/>
        <w:jc w:val="left"/>
        <w:rPr>
          <w:rFonts w:ascii="Times New Roman" w:hAnsi="Times New Roman"/>
          <w:sz w:val="24"/>
        </w:rPr>
      </w:pPr>
    </w:p>
    <w:p w:rsidR="00206687" w:rsidRPr="00392FFD" w:rsidRDefault="00125707" w:rsidP="0023700C">
      <w:pPr>
        <w:pStyle w:val="Instructionsberschrift2"/>
        <w:numPr>
          <w:ilvl w:val="0"/>
          <w:numId w:val="0"/>
        </w:numPr>
        <w:ind w:left="357" w:hanging="357"/>
        <w:rPr>
          <w:rFonts w:ascii="Times New Roman" w:hAnsi="Times New Roman" w:cs="Times New Roman"/>
          <w:sz w:val="24"/>
        </w:rPr>
      </w:pPr>
      <w:bookmarkStart w:id="276" w:name="_Toc516210644"/>
      <w:bookmarkStart w:id="277" w:name="_Toc473560909"/>
      <w:bookmarkStart w:id="278" w:name="_Toc524014703"/>
      <w:bookmarkStart w:id="279" w:name="_Toc239157380"/>
      <w:bookmarkStart w:id="280" w:name="_Toc262568038"/>
      <w:bookmarkStart w:id="281" w:name="_Toc264038436"/>
      <w:bookmarkStart w:id="282" w:name="_Toc295829866"/>
      <w:bookmarkStart w:id="283" w:name="_Toc308155143"/>
      <w:bookmarkStart w:id="284" w:name="_Toc310415030"/>
      <w:bookmarkStart w:id="285" w:name="_Toc360188360"/>
      <w:r>
        <w:rPr>
          <w:rFonts w:ascii="Times New Roman" w:hAnsi="Times New Roman"/>
          <w:sz w:val="24"/>
          <w:u w:val="none"/>
        </w:rPr>
        <w:t>3.3.3.</w:t>
      </w:r>
      <w:r w:rsidRPr="00071330">
        <w:rPr>
          <w:u w:val="none"/>
        </w:rPr>
        <w:tab/>
      </w:r>
      <w:r>
        <w:rPr>
          <w:rFonts w:ascii="Times New Roman" w:hAnsi="Times New Roman"/>
          <w:sz w:val="24"/>
        </w:rPr>
        <w:t>C 08.00 – Hitelkockázat, partnerkockázat és nyitva szállítások: az IRB-módszer sz</w:t>
      </w:r>
      <w:r>
        <w:rPr>
          <w:rFonts w:ascii="Times New Roman" w:hAnsi="Times New Roman"/>
          <w:sz w:val="24"/>
        </w:rPr>
        <w:t>e</w:t>
      </w:r>
      <w:r>
        <w:rPr>
          <w:rFonts w:ascii="Times New Roman" w:hAnsi="Times New Roman"/>
          <w:sz w:val="24"/>
        </w:rPr>
        <w:t>rinti tőkekövetelmény (CR IRB 1)</w:t>
      </w:r>
      <w:bookmarkEnd w:id="276"/>
      <w:bookmarkEnd w:id="277"/>
      <w:bookmarkEnd w:id="278"/>
    </w:p>
    <w:p w:rsidR="001C7AB7" w:rsidRPr="00392FFD" w:rsidRDefault="00125707" w:rsidP="0023700C">
      <w:pPr>
        <w:pStyle w:val="Instructionsberschrift2"/>
        <w:numPr>
          <w:ilvl w:val="0"/>
          <w:numId w:val="0"/>
        </w:numPr>
        <w:ind w:left="709" w:hanging="720"/>
        <w:rPr>
          <w:rFonts w:ascii="Times New Roman" w:hAnsi="Times New Roman" w:cs="Times New Roman"/>
          <w:sz w:val="24"/>
        </w:rPr>
      </w:pPr>
      <w:bookmarkStart w:id="286" w:name="_Toc516210645"/>
      <w:bookmarkStart w:id="287" w:name="_Toc473560910"/>
      <w:bookmarkStart w:id="288" w:name="_Toc524014704"/>
      <w:r>
        <w:rPr>
          <w:rFonts w:ascii="Times New Roman" w:hAnsi="Times New Roman"/>
          <w:sz w:val="24"/>
          <w:u w:val="none"/>
        </w:rPr>
        <w:t>3.3.3.1.</w:t>
      </w:r>
      <w:r w:rsidRPr="00071330">
        <w:rPr>
          <w:u w:val="none"/>
        </w:rPr>
        <w:tab/>
      </w:r>
      <w:r>
        <w:rPr>
          <w:rFonts w:ascii="Times New Roman" w:hAnsi="Times New Roman"/>
          <w:sz w:val="24"/>
        </w:rPr>
        <w:t>A tábla egyes részeire vonatkozó útmutató</w:t>
      </w:r>
      <w:bookmarkEnd w:id="279"/>
      <w:bookmarkEnd w:id="280"/>
      <w:bookmarkEnd w:id="281"/>
      <w:bookmarkEnd w:id="282"/>
      <w:bookmarkEnd w:id="283"/>
      <w:bookmarkEnd w:id="284"/>
      <w:bookmarkEnd w:id="285"/>
      <w:bookmarkEnd w:id="286"/>
      <w:bookmarkEnd w:id="287"/>
      <w:bookmarkEnd w:id="28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rsidTr="00672D2A">
        <w:tc>
          <w:tcPr>
            <w:tcW w:w="1188"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Oszlopok</w:t>
            </w:r>
          </w:p>
        </w:tc>
        <w:tc>
          <w:tcPr>
            <w:tcW w:w="8843"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Útmutató</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BELSŐ MINŐSÍTÉSI RENDSZER/AZ ÜGYFÉL-KATEGÓRIÁHOZ VAGY -HALMAZHOZ (POOLHOZ) RENDELT NEMTELJESÍTÉSI VALÓSZÍNŰSÉG (PD, %)</w:t>
            </w:r>
          </w:p>
          <w:p w:rsidR="001C7AB7" w:rsidRPr="00392FFD" w:rsidRDefault="001C7AB7" w:rsidP="001C7AB7">
            <w:pPr>
              <w:rPr>
                <w:rFonts w:ascii="Times New Roman" w:hAnsi="Times New Roman"/>
                <w:sz w:val="24"/>
              </w:rPr>
            </w:pPr>
            <w:r>
              <w:rPr>
                <w:rStyle w:val="InstructionsTabelleText"/>
                <w:rFonts w:ascii="Times New Roman" w:hAnsi="Times New Roman"/>
                <w:sz w:val="24"/>
              </w:rPr>
              <w:t>Az ügyfél-kategóriához vagy -halmazhoz rendelt, feltüntetendő PD-értéket a CRR 180. cikkében foglalt rendelkezések alapján kell megállapítani. Az egyes ügyfél-kategóriákhoz vagy -halmazokhoz rendelt PD-értéket kell feltüntetni. Az ügyfélkategóriák vagy -halmazok összesítő adataira (pl. a teljes kitettségre) vonatkozóan az összesítésbe beszámított ügyfél-kategóriákhoz vagy -halmazokhoz rendelt PD-értékek kitettséggel súlyozott átlagát kell feltüntetni. A kitettségérték (110-es oszlop) alapján kell kiszámítani a kitettséggel súlyozott átlagos PD értéket</w:t>
            </w:r>
            <w:r>
              <w:rPr>
                <w:rFonts w:ascii="Times New Roman" w:hAnsi="Times New Roman"/>
                <w:sz w:val="24"/>
              </w:rPr>
              <w: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Az egyes ügyfél-kategóriákhoz vagy -halmazokhoz rendelt PD-értéket kell feltüntetni. A feltüntetett kockázati paramétereket az adott illetékes hatóság által jóváhagyott belső m</w:t>
            </w:r>
            <w:r>
              <w:rPr>
                <w:rStyle w:val="InstructionsTabelleText"/>
                <w:rFonts w:ascii="Times New Roman" w:hAnsi="Times New Roman"/>
                <w:sz w:val="24"/>
              </w:rPr>
              <w:t>i</w:t>
            </w:r>
            <w:r>
              <w:rPr>
                <w:rStyle w:val="InstructionsTabelleText"/>
                <w:rFonts w:ascii="Times New Roman" w:hAnsi="Times New Roman"/>
                <w:sz w:val="24"/>
              </w:rPr>
              <w:t>nősítési rendszerben alkalmazott kockázati paraméterekből kell származtatni.</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Irányadó felügyeleti skála alkalmazása nem előírás, és nem is szükséges. Ha az adatot szolgáltató intézmény egyedi minősítési rendszert alkalmaz, vagy az adatszolgáltatást </w:t>
            </w:r>
            <w:r>
              <w:rPr>
                <w:rStyle w:val="InstructionsTabelleText"/>
                <w:rFonts w:ascii="Times New Roman" w:hAnsi="Times New Roman"/>
                <w:sz w:val="24"/>
              </w:rPr>
              <w:lastRenderedPageBreak/>
              <w:t>irányadó belső skála alapján tudja teljesíteni, akko</w:t>
            </w:r>
            <w:r w:rsidR="00071330">
              <w:rPr>
                <w:rStyle w:val="InstructionsTabelleText"/>
                <w:rFonts w:ascii="Times New Roman" w:hAnsi="Times New Roman"/>
                <w:sz w:val="24"/>
              </w:rPr>
              <w:t>r azt a skálát kell alkalmazni.</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Egyébként a különböző minősítési rendszereket a következő kritériumok alapján kell ö</w:t>
            </w:r>
            <w:r>
              <w:rPr>
                <w:rStyle w:val="InstructionsTabelleText"/>
                <w:rFonts w:ascii="Times New Roman" w:hAnsi="Times New Roman"/>
                <w:sz w:val="24"/>
              </w:rPr>
              <w:t>s</w:t>
            </w:r>
            <w:r>
              <w:rPr>
                <w:rStyle w:val="InstructionsTabelleText"/>
                <w:rFonts w:ascii="Times New Roman" w:hAnsi="Times New Roman"/>
                <w:sz w:val="24"/>
              </w:rPr>
              <w:t>szevonni és rangsorolni: a különböző minősítési rendszerek ügyfél-kategóriáit össze kell vonni, majd az egyes ügyfél-kategóriákhoz rendelt PD-érték alapján növekvő sorrendbe kell állítani. Ha az intézmény nagyszámú ügyfél-kategóriát vagy -halmazt alkalmaz, a</w:t>
            </w:r>
            <w:r>
              <w:rPr>
                <w:rStyle w:val="InstructionsTabelleText"/>
                <w:rFonts w:ascii="Times New Roman" w:hAnsi="Times New Roman"/>
                <w:sz w:val="24"/>
              </w:rPr>
              <w:t>k</w:t>
            </w:r>
            <w:r>
              <w:rPr>
                <w:rStyle w:val="InstructionsTabelleText"/>
                <w:rFonts w:ascii="Times New Roman" w:hAnsi="Times New Roman"/>
                <w:sz w:val="24"/>
              </w:rPr>
              <w:t>kor adatszolgáltatási célból a kategóriák vagy -halmazok csökkentett számáról állapodhat meg az illetékes hatóságokkal.</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Az intézményeknek előzetesen meg kell keresniük az illetékes hatóságot akkor, ha a be</w:t>
            </w:r>
            <w:r>
              <w:rPr>
                <w:rStyle w:val="InstructionsTabelleText"/>
                <w:rFonts w:ascii="Times New Roman" w:hAnsi="Times New Roman"/>
                <w:sz w:val="24"/>
              </w:rPr>
              <w:t>l</w:t>
            </w:r>
            <w:r>
              <w:rPr>
                <w:rStyle w:val="InstructionsTabelleText"/>
                <w:rFonts w:ascii="Times New Roman" w:hAnsi="Times New Roman"/>
                <w:sz w:val="24"/>
              </w:rPr>
              <w:t>ső kategóriák számától eltérő számú kategóriában kívánnak adatot szolgáltatni.</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Az átlagos PD-értéket a 110-es oszlopban feltüntetett kitettségértékkel kell súlyozni. A kitettséggel súlyozott átlagos PD (pl. teljes kitettség) kiszámításakor valamennyi kitetts</w:t>
            </w:r>
            <w:r>
              <w:rPr>
                <w:rStyle w:val="InstructionsTabelleText"/>
                <w:rFonts w:ascii="Times New Roman" w:hAnsi="Times New Roman"/>
                <w:sz w:val="24"/>
              </w:rPr>
              <w:t>é</w:t>
            </w:r>
            <w:r>
              <w:rPr>
                <w:rStyle w:val="InstructionsTabelleText"/>
                <w:rFonts w:ascii="Times New Roman" w:hAnsi="Times New Roman"/>
                <w:sz w:val="24"/>
              </w:rPr>
              <w:t>get figyelembe kell venni, ideértve a nemteljesítő kitettségeket is. A nemteljesítő kitet</w:t>
            </w:r>
            <w:r>
              <w:rPr>
                <w:rStyle w:val="InstructionsTabelleText"/>
                <w:rFonts w:ascii="Times New Roman" w:hAnsi="Times New Roman"/>
                <w:sz w:val="24"/>
              </w:rPr>
              <w:t>t</w:t>
            </w:r>
            <w:r>
              <w:rPr>
                <w:rStyle w:val="InstructionsTabelleText"/>
                <w:rFonts w:ascii="Times New Roman" w:hAnsi="Times New Roman"/>
                <w:sz w:val="24"/>
              </w:rPr>
              <w:t xml:space="preserve">ségek az utolsó minősítési </w:t>
            </w:r>
            <w:proofErr w:type="gramStart"/>
            <w:r>
              <w:rPr>
                <w:rStyle w:val="InstructionsTabelleText"/>
                <w:rFonts w:ascii="Times New Roman" w:hAnsi="Times New Roman"/>
                <w:sz w:val="24"/>
              </w:rPr>
              <w:t>kategóriá(</w:t>
            </w:r>
            <w:proofErr w:type="gramEnd"/>
            <w:r>
              <w:rPr>
                <w:rStyle w:val="InstructionsTabelleText"/>
                <w:rFonts w:ascii="Times New Roman" w:hAnsi="Times New Roman"/>
                <w:sz w:val="24"/>
              </w:rPr>
              <w:t>k)ba sorolt, 100 %-os PD-értékű kitettségek.</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HITEL-EGYENÉRTÉKESÍTÉSI TÉNYEZŐK ELŐTTI EREDETI KITETTSÉG</w:t>
            </w:r>
          </w:p>
          <w:p w:rsidR="001C7AB7" w:rsidRPr="00392FFD" w:rsidRDefault="001C7AB7" w:rsidP="001C7AB7">
            <w:pPr>
              <w:rPr>
                <w:rFonts w:ascii="Times New Roman" w:hAnsi="Times New Roman"/>
                <w:sz w:val="24"/>
              </w:rPr>
            </w:pPr>
            <w:r>
              <w:rPr>
                <w:rFonts w:ascii="Times New Roman" w:hAnsi="Times New Roman"/>
                <w:sz w:val="24"/>
              </w:rPr>
              <w:t>Az intézményeknek az értékelési korrekciók, céltartalékok, hitelkockázat-mérséklési technikákból eredő hatások és hitel-egyenértékesítési tényezők figyelembevétele előtti kitett</w:t>
            </w:r>
            <w:r w:rsidR="00071330">
              <w:rPr>
                <w:rFonts w:ascii="Times New Roman" w:hAnsi="Times New Roman"/>
                <w:sz w:val="24"/>
              </w:rPr>
              <w:t>ségértéket kell feltüntetniük.</w:t>
            </w:r>
          </w:p>
          <w:p w:rsidR="001C7AB7" w:rsidRPr="00392FFD" w:rsidRDefault="001C7AB7" w:rsidP="001C7AB7">
            <w:pPr>
              <w:rPr>
                <w:rFonts w:ascii="Times New Roman" w:hAnsi="Times New Roman"/>
                <w:sz w:val="24"/>
              </w:rPr>
            </w:pPr>
            <w:r>
              <w:rPr>
                <w:rFonts w:ascii="Times New Roman" w:hAnsi="Times New Roman"/>
                <w:sz w:val="24"/>
              </w:rPr>
              <w:t>Az eredeti kitettségértéket a CRR 24. cikkével, valamint 166. cikkének (1), (2) és (4)–(7) bekezdésével összhangban kell megadni.</w:t>
            </w:r>
          </w:p>
          <w:p w:rsidR="001C7AB7" w:rsidRPr="00392FFD" w:rsidRDefault="001C7AB7" w:rsidP="001C7AB7">
            <w:pPr>
              <w:rPr>
                <w:rFonts w:ascii="Times New Roman" w:hAnsi="Times New Roman"/>
                <w:sz w:val="24"/>
              </w:rPr>
            </w:pPr>
            <w:r>
              <w:rPr>
                <w:rFonts w:ascii="Times New Roman" w:hAnsi="Times New Roman"/>
                <w:sz w:val="24"/>
              </w:rPr>
              <w:t>A CRR 166. cikkének (3) bekezdéséből eredő hatást (mérlegen belüli nettósítás alá eső kölcsönök és betétek hatása) előre rendelkezésre bocsátott hitelkockázati fedezetként k</w:t>
            </w:r>
            <w:r>
              <w:rPr>
                <w:rFonts w:ascii="Times New Roman" w:hAnsi="Times New Roman"/>
                <w:sz w:val="24"/>
              </w:rPr>
              <w:t>ü</w:t>
            </w:r>
            <w:r>
              <w:rPr>
                <w:rFonts w:ascii="Times New Roman" w:hAnsi="Times New Roman"/>
                <w:sz w:val="24"/>
              </w:rPr>
              <w:t>lön kell feltüntetni, így az az ere</w:t>
            </w:r>
            <w:r w:rsidR="00071330">
              <w:rPr>
                <w:rFonts w:ascii="Times New Roman" w:hAnsi="Times New Roman"/>
                <w:sz w:val="24"/>
              </w:rPr>
              <w:t>deti kitettséget nem csökkenti.</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EBBŐL: NAGY MÉRETŰ PÉNZÜGYI ÁGAZATBELI SZERVEZETEK </w:t>
            </w:r>
            <w:proofErr w:type="gramStart"/>
            <w:r>
              <w:rPr>
                <w:rFonts w:ascii="Times New Roman" w:hAnsi="Times New Roman"/>
                <w:b/>
                <w:sz w:val="24"/>
                <w:u w:val="single"/>
              </w:rPr>
              <w:t>ÉS</w:t>
            </w:r>
            <w:proofErr w:type="gramEnd"/>
            <w:r>
              <w:rPr>
                <w:rFonts w:ascii="Times New Roman" w:hAnsi="Times New Roman"/>
                <w:b/>
                <w:sz w:val="24"/>
                <w:u w:val="single"/>
              </w:rPr>
              <w:t xml:space="preserve"> NEM SZABÁLYOZOTT PÉNZÜGYI VÁLLALATOK</w:t>
            </w:r>
          </w:p>
          <w:p w:rsidR="001C7AB7" w:rsidRPr="00392FFD" w:rsidRDefault="001C7AB7" w:rsidP="001C7AB7">
            <w:pPr>
              <w:rPr>
                <w:rFonts w:ascii="Times New Roman" w:hAnsi="Times New Roman"/>
                <w:b/>
                <w:sz w:val="24"/>
                <w:u w:val="single"/>
              </w:rPr>
            </w:pPr>
            <w:r>
              <w:rPr>
                <w:rFonts w:ascii="Times New Roman" w:hAnsi="Times New Roman"/>
                <w:sz w:val="24"/>
              </w:rPr>
              <w:t>A hitel-egyenértékesítési tényezők előtti eredeti kitettség felosztása a CRR 142. cikkének (4) és (5) bekezdése alapján meghatározott összes kitettségre a CRR 153. cikkének (2) bekezdése szerinti magasabb korrelációs együttható alkalmazásával.</w:t>
            </w: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A KITETTSÉGRE HELYETTESÍTÉSI HATÁSSAL JÁRÓ HITELKOCKÁZAT-MÉRSÉKLÉSI (CRM) TECHNIKÁK</w:t>
            </w:r>
          </w:p>
          <w:p w:rsidR="001C7AB7" w:rsidRPr="00392FFD" w:rsidRDefault="001C7AB7" w:rsidP="001C7AB7">
            <w:pPr>
              <w:rPr>
                <w:rFonts w:ascii="Times New Roman" w:hAnsi="Times New Roman"/>
                <w:sz w:val="24"/>
              </w:rPr>
            </w:pPr>
            <w:r>
              <w:rPr>
                <w:rFonts w:ascii="Times New Roman" w:hAnsi="Times New Roman"/>
                <w:sz w:val="24"/>
              </w:rPr>
              <w:t>A CRR 4. cikke (1) bekezdésének 57. pontjában meghatározott hitelkockázat-mérséklési technikák, amelyek egy vagy több kitettség hitelkockázatát csökkentik a kitettségeknek az alább „</w:t>
            </w:r>
            <w:proofErr w:type="gramStart"/>
            <w:r>
              <w:rPr>
                <w:rFonts w:ascii="Times New Roman" w:hAnsi="Times New Roman"/>
                <w:sz w:val="24"/>
              </w:rPr>
              <w:t>A</w:t>
            </w:r>
            <w:proofErr w:type="gramEnd"/>
            <w:r>
              <w:rPr>
                <w:rFonts w:ascii="Times New Roman" w:hAnsi="Times New Roman"/>
                <w:sz w:val="24"/>
              </w:rPr>
              <w:t xml:space="preserve"> kitettség hitelkockázat-mérséklés miatti helyettesítése” részben meghatár</w:t>
            </w:r>
            <w:r>
              <w:rPr>
                <w:rFonts w:ascii="Times New Roman" w:hAnsi="Times New Roman"/>
                <w:sz w:val="24"/>
              </w:rPr>
              <w:t>o</w:t>
            </w:r>
            <w:r>
              <w:rPr>
                <w:rFonts w:ascii="Times New Roman" w:hAnsi="Times New Roman"/>
                <w:sz w:val="24"/>
              </w:rPr>
              <w:t>zott helyettesítésével.</w:t>
            </w:r>
          </w:p>
          <w:p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ELŐRE NEM RENDELKEZÉSRE BOCSÁTOTT HITELKOCKÁZATI FED</w:t>
            </w:r>
            <w:r>
              <w:rPr>
                <w:rFonts w:ascii="Times New Roman" w:hAnsi="Times New Roman"/>
                <w:b/>
                <w:sz w:val="24"/>
                <w:u w:val="single"/>
              </w:rPr>
              <w:t>E</w:t>
            </w:r>
            <w:r>
              <w:rPr>
                <w:rFonts w:ascii="Times New Roman" w:hAnsi="Times New Roman"/>
                <w:b/>
                <w:sz w:val="24"/>
                <w:u w:val="single"/>
              </w:rPr>
              <w:t>ZET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Előre nem rendelkezésre bocsátott hitelkockázati fedezet: A CRR 4. cikke (1) bekezdésének 59. pontjában meghatározott értékek.</w:t>
            </w:r>
          </w:p>
          <w:p w:rsidR="001C7AB7" w:rsidRPr="00392FFD" w:rsidRDefault="001C7AB7" w:rsidP="001C7AB7">
            <w:pPr>
              <w:rPr>
                <w:rFonts w:ascii="Times New Roman" w:hAnsi="Times New Roman"/>
                <w:sz w:val="24"/>
              </w:rPr>
            </w:pPr>
            <w:r>
              <w:rPr>
                <w:rFonts w:ascii="Times New Roman" w:hAnsi="Times New Roman"/>
                <w:sz w:val="24"/>
              </w:rPr>
              <w:t xml:space="preserve">Ha a kitettséget biztosíték befolyásolja (pl. ha azt a kitettségre helyettesítési hatással járó </w:t>
            </w:r>
            <w:r>
              <w:rPr>
                <w:rFonts w:ascii="Times New Roman" w:hAnsi="Times New Roman"/>
                <w:sz w:val="24"/>
              </w:rPr>
              <w:lastRenderedPageBreak/>
              <w:t>hitelkockázat-mérséklési technikákhoz használják fel), akkor annak értéke legfeljebb a kitettségérték lehet.</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040</w:t>
            </w:r>
          </w:p>
        </w:tc>
        <w:tc>
          <w:tcPr>
            <w:tcW w:w="8843" w:type="dxa"/>
          </w:tcPr>
          <w:p w:rsidR="001C7AB7" w:rsidRPr="00392FFD"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GARANCIÁK:</w:t>
            </w:r>
          </w:p>
          <w:p w:rsidR="001C7AB7" w:rsidRPr="00392FFD" w:rsidRDefault="001C7AB7" w:rsidP="001C7AB7">
            <w:pPr>
              <w:jc w:val="left"/>
              <w:rPr>
                <w:rFonts w:ascii="Times New Roman" w:hAnsi="Times New Roman"/>
                <w:sz w:val="24"/>
              </w:rPr>
            </w:pPr>
            <w:r>
              <w:rPr>
                <w:rFonts w:ascii="Times New Roman" w:hAnsi="Times New Roman"/>
                <w:sz w:val="24"/>
              </w:rPr>
              <w:t>Ha az intézmény nem alkalmaz saját LGD-becslést: a CRR 236. cikkében meghatározott korrigált értéket (Ga) kell megadni.</w:t>
            </w:r>
          </w:p>
          <w:p w:rsidR="001C7AB7" w:rsidRPr="00392FFD" w:rsidRDefault="001C7AB7" w:rsidP="001C7AB7">
            <w:pPr>
              <w:jc w:val="left"/>
              <w:rPr>
                <w:rFonts w:ascii="Times New Roman" w:hAnsi="Times New Roman"/>
                <w:sz w:val="24"/>
              </w:rPr>
            </w:pPr>
            <w:r>
              <w:rPr>
                <w:rFonts w:ascii="Times New Roman" w:hAnsi="Times New Roman"/>
                <w:sz w:val="24"/>
              </w:rPr>
              <w:t xml:space="preserve">Ha az intézmény saját LGD-becslést alkalmaz (a CRR 183. cikke szerint, a (3) bekezdés kivételével), akkor a belső modellben használt releváns értéket kell feltüntetni. </w:t>
            </w:r>
          </w:p>
          <w:p w:rsidR="001C7AB7" w:rsidRPr="00392FFD" w:rsidRDefault="001C7AB7" w:rsidP="001C7AB7">
            <w:pPr>
              <w:jc w:val="left"/>
              <w:rPr>
                <w:rFonts w:ascii="Times New Roman" w:hAnsi="Times New Roman"/>
                <w:sz w:val="24"/>
              </w:rPr>
            </w:pPr>
            <w:r>
              <w:rPr>
                <w:rFonts w:ascii="Times New Roman" w:hAnsi="Times New Roman"/>
                <w:sz w:val="24"/>
              </w:rPr>
              <w:t>A garanciákat a 040-es oszlopban kell feltüntetni akkor, ha a kiigazítás nem az LGD é</w:t>
            </w:r>
            <w:r>
              <w:rPr>
                <w:rFonts w:ascii="Times New Roman" w:hAnsi="Times New Roman"/>
                <w:sz w:val="24"/>
              </w:rPr>
              <w:t>r</w:t>
            </w:r>
            <w:r>
              <w:rPr>
                <w:rFonts w:ascii="Times New Roman" w:hAnsi="Times New Roman"/>
                <w:sz w:val="24"/>
              </w:rPr>
              <w:t>tékében történik. Ha a kiigazítás az LGD értékében történik, akkor a garancia összegét a 150-es oszlopban kell feltüntetni.</w:t>
            </w:r>
          </w:p>
          <w:p w:rsidR="00785F3E" w:rsidRPr="00392FFD" w:rsidRDefault="00785F3E" w:rsidP="001C7AB7">
            <w:pPr>
              <w:jc w:val="left"/>
              <w:rPr>
                <w:rFonts w:ascii="Times New Roman" w:hAnsi="Times New Roman"/>
                <w:sz w:val="24"/>
              </w:rPr>
            </w:pPr>
            <w:r>
              <w:rPr>
                <w:rFonts w:ascii="Times New Roman" w:hAnsi="Times New Roman"/>
                <w:sz w:val="24"/>
              </w:rPr>
              <w:t>Az együttes nemteljesítés hatásának kezelésében érintett kitettségekre vonatkozóan az előre nem rendelkezésre bocsátott hitelkockázati fedezet értékét a 220-as oszlopban kell megadni.</w:t>
            </w:r>
          </w:p>
          <w:p w:rsidR="001C7AB7" w:rsidRPr="00392FFD" w:rsidRDefault="001C7AB7" w:rsidP="001C7AB7">
            <w:pPr>
              <w:jc w:val="left"/>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HITELDERIVATÍVÁK:</w:t>
            </w:r>
          </w:p>
          <w:p w:rsidR="001C7AB7" w:rsidRPr="00392FFD" w:rsidRDefault="001C7AB7" w:rsidP="001C7AB7">
            <w:pPr>
              <w:rPr>
                <w:rFonts w:ascii="Times New Roman" w:hAnsi="Times New Roman"/>
                <w:sz w:val="24"/>
              </w:rPr>
            </w:pPr>
            <w:r>
              <w:rPr>
                <w:rFonts w:ascii="Times New Roman" w:hAnsi="Times New Roman"/>
                <w:sz w:val="24"/>
              </w:rPr>
              <w:t>Ha az intézmény nem alkalmaz saját LGD-becslést: a CRR 216. cikkében meghatározott korrigált értéket (Ga) kell megadni.</w:t>
            </w:r>
          </w:p>
          <w:p w:rsidR="00785F3E" w:rsidRPr="00392FFD" w:rsidRDefault="00785F3E" w:rsidP="001C7AB7">
            <w:pPr>
              <w:rPr>
                <w:rFonts w:ascii="Times New Roman" w:hAnsi="Times New Roman"/>
                <w:sz w:val="24"/>
              </w:rPr>
            </w:pPr>
            <w:r>
              <w:rPr>
                <w:rFonts w:ascii="Times New Roman" w:hAnsi="Times New Roman"/>
                <w:sz w:val="24"/>
              </w:rPr>
              <w:t>Ha az intézmény saját LGD-becslést alkalmaz (a CRR 183. cikke szerint), akkor a belső modellben használt releváns értéket kell feltüntetni.</w:t>
            </w:r>
          </w:p>
          <w:p w:rsidR="001C7AB7" w:rsidRPr="00392FFD" w:rsidRDefault="001C7AB7" w:rsidP="001C7AB7">
            <w:pPr>
              <w:rPr>
                <w:rFonts w:ascii="Times New Roman" w:hAnsi="Times New Roman"/>
                <w:sz w:val="24"/>
              </w:rPr>
            </w:pPr>
            <w:r>
              <w:rPr>
                <w:rFonts w:ascii="Times New Roman" w:hAnsi="Times New Roman"/>
                <w:sz w:val="24"/>
              </w:rPr>
              <w:t>Ha az LGD értékében kiigazítás történik, akkor a hitelderivatívák összegét a 160-as os</w:t>
            </w:r>
            <w:r>
              <w:rPr>
                <w:rFonts w:ascii="Times New Roman" w:hAnsi="Times New Roman"/>
                <w:sz w:val="24"/>
              </w:rPr>
              <w:t>z</w:t>
            </w:r>
            <w:r>
              <w:rPr>
                <w:rFonts w:ascii="Times New Roman" w:hAnsi="Times New Roman"/>
                <w:sz w:val="24"/>
              </w:rPr>
              <w:t>lopban kell feltüntetni.</w:t>
            </w:r>
          </w:p>
          <w:p w:rsidR="001C7AB7" w:rsidRPr="00392FFD" w:rsidRDefault="001C7AB7" w:rsidP="00785F3E">
            <w:pPr>
              <w:jc w:val="left"/>
              <w:rPr>
                <w:rFonts w:ascii="Times New Roman" w:hAnsi="Times New Roman"/>
                <w:sz w:val="24"/>
              </w:rPr>
            </w:pPr>
            <w:r>
              <w:rPr>
                <w:rFonts w:ascii="Times New Roman" w:hAnsi="Times New Roman"/>
                <w:sz w:val="24"/>
              </w:rPr>
              <w:t>Az együttes nemteljesítés hatásának kezelésében érintett kitettségekre vonatkozóan az előre nem rendelkezésre bocsátott hitelkockázati fedezet értékét a 220-as oszlopban kell megadni.</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EGYÉB ELŐRE RENDELKEZÉSRE BOCSÁTOTT HITELKOCKÁZATI F</w:t>
            </w:r>
            <w:r>
              <w:rPr>
                <w:rFonts w:ascii="Times New Roman" w:hAnsi="Times New Roman"/>
                <w:b/>
                <w:sz w:val="24"/>
                <w:u w:val="single"/>
              </w:rPr>
              <w:t>E</w:t>
            </w:r>
            <w:r>
              <w:rPr>
                <w:rFonts w:ascii="Times New Roman" w:hAnsi="Times New Roman"/>
                <w:b/>
                <w:sz w:val="24"/>
                <w:u w:val="single"/>
              </w:rPr>
              <w:t>DEZET</w:t>
            </w:r>
          </w:p>
          <w:p w:rsidR="00785F3E" w:rsidRPr="00392FFD" w:rsidRDefault="00785F3E" w:rsidP="001C7AB7">
            <w:pPr>
              <w:rPr>
                <w:rStyle w:val="InstructionsTabelleText"/>
                <w:rFonts w:ascii="Times New Roman" w:hAnsi="Times New Roman"/>
                <w:sz w:val="24"/>
              </w:rPr>
            </w:pPr>
            <w:r>
              <w:rPr>
                <w:rStyle w:val="InstructionsTabelleText"/>
                <w:rFonts w:ascii="Times New Roman" w:hAnsi="Times New Roman"/>
                <w:sz w:val="24"/>
              </w:rPr>
              <w:t>Ha a kitettséget biztosíték befolyásolja (pl. ha azt a kitettségre helyettesítési hatással járó hitelkockázat-mérséklési technikákhoz használják fel), akkor annak értéke legfeljebb a kitettségérték lehet.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Ha az intézmény nem alkalmaz saját LGD-becslést, akkor a CRR 232. cikke alkalmaza</w:t>
            </w:r>
            <w:r>
              <w:rPr>
                <w:rStyle w:val="InstructionsTabelleText"/>
                <w:rFonts w:ascii="Times New Roman" w:hAnsi="Times New Roman"/>
                <w:sz w:val="24"/>
              </w:rPr>
              <w:t>n</w:t>
            </w:r>
            <w:r>
              <w:rPr>
                <w:rStyle w:val="InstructionsTabelleText"/>
                <w:rFonts w:ascii="Times New Roman" w:hAnsi="Times New Roman"/>
                <w:sz w:val="24"/>
              </w:rPr>
              <w:t>dó.</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Ha az intézmény saját LGD-becslést alkalmaz, akkor a CRR 212. cikkében megadott kr</w:t>
            </w:r>
            <w:r>
              <w:rPr>
                <w:rStyle w:val="InstructionsTabelleText"/>
                <w:rFonts w:ascii="Times New Roman" w:hAnsi="Times New Roman"/>
                <w:sz w:val="24"/>
              </w:rPr>
              <w:t>i</w:t>
            </w:r>
            <w:r>
              <w:rPr>
                <w:rStyle w:val="InstructionsTabelleText"/>
                <w:rFonts w:ascii="Times New Roman" w:hAnsi="Times New Roman"/>
                <w:sz w:val="24"/>
              </w:rPr>
              <w:t>tériumokat teljesítő hitelkockázat-mérséklő eszközöket kell megadni. A belső modellben használt releváns értéket kell feltüntetni.</w:t>
            </w:r>
          </w:p>
          <w:p w:rsidR="001C7AB7" w:rsidRPr="00392FFD" w:rsidRDefault="001C7AB7" w:rsidP="001C7AB7">
            <w:pPr>
              <w:rPr>
                <w:rFonts w:ascii="Times New Roman" w:hAnsi="Times New Roman"/>
                <w:sz w:val="24"/>
              </w:rPr>
            </w:pPr>
            <w:r>
              <w:rPr>
                <w:rStyle w:val="InstructionsTabelleText"/>
                <w:rFonts w:ascii="Times New Roman" w:hAnsi="Times New Roman"/>
                <w:sz w:val="24"/>
              </w:rPr>
              <w:t>A 060-as oszlopban kell feltüntetni akkor, ha az LGD értékében nem történik kiigazítás. Ha az LGD értékében kiigazítás történik, akkor az összeget a 170-es oszlopban kell fe</w:t>
            </w:r>
            <w:r>
              <w:rPr>
                <w:rStyle w:val="InstructionsTabelleText"/>
                <w:rFonts w:ascii="Times New Roman" w:hAnsi="Times New Roman"/>
                <w:sz w:val="24"/>
              </w:rPr>
              <w:t>l</w:t>
            </w:r>
            <w:r>
              <w:rPr>
                <w:rStyle w:val="InstructionsTabelleText"/>
                <w:rFonts w:ascii="Times New Roman" w:hAnsi="Times New Roman"/>
                <w:sz w:val="24"/>
              </w:rPr>
              <w:t>tüntetni.</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070-080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A KITETTSÉG HITELKOCKÁZAT-MÉRSÉKLÉS MIATTI HELYETTESÍTÉSE</w:t>
            </w:r>
          </w:p>
          <w:p w:rsidR="001C7AB7" w:rsidRPr="00392FFD" w:rsidRDefault="001C7AB7" w:rsidP="001C7AB7">
            <w:pPr>
              <w:rPr>
                <w:rFonts w:ascii="Times New Roman" w:hAnsi="Times New Roman"/>
                <w:sz w:val="24"/>
              </w:rPr>
            </w:pPr>
            <w:r>
              <w:rPr>
                <w:rFonts w:ascii="Times New Roman" w:hAnsi="Times New Roman"/>
                <w:sz w:val="24"/>
              </w:rPr>
              <w:t>A kiáramlások értéke megegyezik a hitel-egyenértékesítési tényezők előtti eredeti kitet</w:t>
            </w:r>
            <w:r>
              <w:rPr>
                <w:rFonts w:ascii="Times New Roman" w:hAnsi="Times New Roman"/>
                <w:sz w:val="24"/>
              </w:rPr>
              <w:t>t</w:t>
            </w:r>
            <w:r>
              <w:rPr>
                <w:rFonts w:ascii="Times New Roman" w:hAnsi="Times New Roman"/>
                <w:sz w:val="24"/>
              </w:rPr>
              <w:t xml:space="preserve">ség fedezett részével, amelyet a kötelezett kitettségi osztályából, illetve adott esetben </w:t>
            </w:r>
            <w:r>
              <w:rPr>
                <w:rFonts w:ascii="Times New Roman" w:hAnsi="Times New Roman"/>
                <w:sz w:val="24"/>
              </w:rPr>
              <w:lastRenderedPageBreak/>
              <w:t>ügyfél-kategóriájából vagy -halmazából való levonást követően a fedezetnyújtó kitettségi osztályába, illetve adott esetben ügyfél-kategóriájába vagy -halmazába kell sorolni. Ezt az összeget a fedezetnyújtó kitettségi osztályába, illetve adott esetben ügyfél-kategóriájába vagy -halmazába irányuló beáramlásnak kell tekintetni.</w:t>
            </w:r>
          </w:p>
          <w:p w:rsidR="001C7AB7" w:rsidRPr="00392FFD" w:rsidRDefault="001C7AB7" w:rsidP="001C7AB7">
            <w:pPr>
              <w:rPr>
                <w:rFonts w:ascii="Times New Roman" w:hAnsi="Times New Roman"/>
                <w:b/>
                <w:sz w:val="24"/>
              </w:rPr>
            </w:pPr>
            <w:r>
              <w:rPr>
                <w:rFonts w:ascii="Times New Roman" w:hAnsi="Times New Roman"/>
                <w:sz w:val="24"/>
              </w:rPr>
              <w:t>Az azonos kitettségi osztályba, illetve adott esetben ügyfél-kategóriába vagy -halmazba tartozó be- és kiáramlásokat szintén figyelembe kell venni.</w:t>
            </w:r>
          </w:p>
          <w:p w:rsidR="001C7AB7" w:rsidRPr="00392FFD" w:rsidRDefault="001C7AB7" w:rsidP="001C7AB7">
            <w:pPr>
              <w:rPr>
                <w:rFonts w:ascii="Times New Roman" w:hAnsi="Times New Roman"/>
                <w:sz w:val="24"/>
              </w:rPr>
            </w:pPr>
            <w:r>
              <w:rPr>
                <w:rFonts w:ascii="Times New Roman" w:hAnsi="Times New Roman"/>
                <w:sz w:val="24"/>
              </w:rPr>
              <w:t>Figyelembe kell venni az egyéb táblákhoz kapcsolódó esetleges ki- és beáramlásokból eredő kitettségeket is.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HELYETTESÍTÉSI HATÁSSAL JÁRÓ CRM-TECHNIKÁK UTÁNI, </w:t>
            </w:r>
            <w:proofErr w:type="gramStart"/>
            <w:r>
              <w:rPr>
                <w:rFonts w:ascii="Times New Roman" w:hAnsi="Times New Roman"/>
                <w:b/>
                <w:sz w:val="24"/>
                <w:u w:val="single"/>
              </w:rPr>
              <w:t>A</w:t>
            </w:r>
            <w:proofErr w:type="gramEnd"/>
            <w:r>
              <w:rPr>
                <w:rFonts w:ascii="Times New Roman" w:hAnsi="Times New Roman"/>
                <w:b/>
                <w:sz w:val="24"/>
                <w:u w:val="single"/>
              </w:rPr>
              <w:t xml:space="preserve"> HITEL-EGYENÉRTÉKESÍTÉSI TÉNYEZŐK ELŐTTI KITETTSÉG</w:t>
            </w:r>
          </w:p>
          <w:p w:rsidR="001C7AB7" w:rsidRPr="00392FFD" w:rsidRDefault="001C7AB7" w:rsidP="001C7AB7">
            <w:pPr>
              <w:rPr>
                <w:rFonts w:ascii="Times New Roman" w:hAnsi="Times New Roman"/>
                <w:sz w:val="24"/>
              </w:rPr>
            </w:pPr>
            <w:r>
              <w:rPr>
                <w:rFonts w:ascii="Times New Roman" w:hAnsi="Times New Roman"/>
                <w:sz w:val="24"/>
              </w:rPr>
              <w:t>A megfelelő ügyfél-kategóriába vagy -halmazba, illetve kitettségi osztályba sorolt kitettségérték a kitettségre helyettesítési hatással járó hitelkockázat-mérséklési technikák miatti ki- és beáramlások figyelembevétele után.</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100, 120</w:t>
            </w:r>
          </w:p>
        </w:tc>
        <w:tc>
          <w:tcPr>
            <w:tcW w:w="8843" w:type="dxa"/>
          </w:tcPr>
          <w:p w:rsidR="001C7AB7" w:rsidRPr="00392FFD" w:rsidRDefault="002B6A20" w:rsidP="001C7AB7">
            <w:pPr>
              <w:rPr>
                <w:rStyle w:val="InstructionsTabelleberschrift"/>
                <w:rFonts w:ascii="Times New Roman" w:hAnsi="Times New Roman"/>
                <w:sz w:val="24"/>
              </w:rPr>
            </w:pPr>
            <w:r>
              <w:rPr>
                <w:rStyle w:val="InstructionsTabelleberschrift"/>
                <w:rFonts w:ascii="Times New Roman" w:hAnsi="Times New Roman"/>
                <w:sz w:val="24"/>
              </w:rPr>
              <w:t>Ebből: Mérlegen kívüli tételek</w:t>
            </w:r>
          </w:p>
          <w:p w:rsidR="001C7AB7" w:rsidRPr="00392FFD" w:rsidRDefault="001C7AB7" w:rsidP="001C7AB7">
            <w:pPr>
              <w:rPr>
                <w:rFonts w:ascii="Times New Roman" w:hAnsi="Times New Roman"/>
                <w:sz w:val="24"/>
              </w:rPr>
            </w:pPr>
            <w:r>
              <w:rPr>
                <w:rFonts w:ascii="Times New Roman" w:hAnsi="Times New Roman"/>
                <w:sz w:val="24"/>
              </w:rPr>
              <w:t>Lásd a CR SA táblához tartozó útmutatót.</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KITETTSÉGÉRTÉK</w:t>
            </w:r>
          </w:p>
          <w:p w:rsidR="001C7AB7" w:rsidRPr="00392FFD" w:rsidRDefault="001C7AB7" w:rsidP="001C7AB7">
            <w:pPr>
              <w:rPr>
                <w:rFonts w:ascii="Times New Roman" w:hAnsi="Times New Roman"/>
                <w:sz w:val="24"/>
              </w:rPr>
            </w:pPr>
            <w:r>
              <w:rPr>
                <w:rFonts w:ascii="Times New Roman" w:hAnsi="Times New Roman"/>
                <w:sz w:val="24"/>
              </w:rPr>
              <w:t>A CRR 166. cikke, valamint 230. cikke (1) bekezdésének második mondata szerinti ért</w:t>
            </w:r>
            <w:r>
              <w:rPr>
                <w:rFonts w:ascii="Times New Roman" w:hAnsi="Times New Roman"/>
                <w:sz w:val="24"/>
              </w:rPr>
              <w:t>é</w:t>
            </w:r>
            <w:r>
              <w:rPr>
                <w:rFonts w:ascii="Times New Roman" w:hAnsi="Times New Roman"/>
                <w:sz w:val="24"/>
              </w:rPr>
              <w:t>ket kell feltüntetni.</w:t>
            </w:r>
          </w:p>
          <w:p w:rsidR="001C7AB7" w:rsidRPr="00392FFD" w:rsidRDefault="001C7AB7" w:rsidP="001C7AB7">
            <w:pPr>
              <w:rPr>
                <w:rFonts w:ascii="Times New Roman" w:hAnsi="Times New Roman"/>
                <w:sz w:val="24"/>
              </w:rPr>
            </w:pPr>
            <w:r>
              <w:rPr>
                <w:rFonts w:ascii="Times New Roman" w:hAnsi="Times New Roman"/>
                <w:sz w:val="24"/>
              </w:rPr>
              <w:t>Az I. mellékletben meghatározott instrumentumok esetében a CRR 166. cikkének (8)–(10) bekezdése szerinti hitel-egyenértékesítési tényezőket az intézmény által választott módszert</w:t>
            </w:r>
            <w:r w:rsidR="002B6A20">
              <w:rPr>
                <w:rFonts w:ascii="Times New Roman" w:hAnsi="Times New Roman"/>
                <w:sz w:val="24"/>
              </w:rPr>
              <w:t>ől függetlenül alkalmazni kell.</w:t>
            </w:r>
          </w:p>
          <w:p w:rsidR="001C7AB7" w:rsidRPr="00392FFD" w:rsidRDefault="001C7AB7" w:rsidP="001C7AB7">
            <w:pPr>
              <w:rPr>
                <w:rFonts w:ascii="Times New Roman" w:hAnsi="Times New Roman"/>
                <w:sz w:val="24"/>
              </w:rPr>
            </w:pPr>
            <w:r>
              <w:rPr>
                <w:rStyle w:val="InstructionsTabelleText"/>
                <w:rFonts w:ascii="Times New Roman" w:hAnsi="Times New Roman"/>
                <w:sz w:val="24"/>
              </w:rPr>
              <w:t>A CRR harmadik része II. címe 6. fejezetének alkalmazásakor a 040–060. sorban (érté</w:t>
            </w:r>
            <w:r>
              <w:rPr>
                <w:rStyle w:val="InstructionsTabelleText"/>
                <w:rFonts w:ascii="Times New Roman" w:hAnsi="Times New Roman"/>
                <w:sz w:val="24"/>
              </w:rPr>
              <w:t>k</w:t>
            </w:r>
            <w:r>
              <w:rPr>
                <w:rStyle w:val="InstructionsTabelleText"/>
                <w:rFonts w:ascii="Times New Roman" w:hAnsi="Times New Roman"/>
                <w:sz w:val="24"/>
              </w:rPr>
              <w:t>papír-finanszírozási ügyletek, származtatott ügyletek és hosszú teljesítési idejű ügyletek, eltérő termékkategóriák közötti nettósításról szóló szerződéses megállapodásból eredő k</w:t>
            </w:r>
            <w:r>
              <w:rPr>
                <w:rStyle w:val="InstructionsTabelleText"/>
                <w:rFonts w:ascii="Times New Roman" w:hAnsi="Times New Roman"/>
                <w:sz w:val="24"/>
              </w:rPr>
              <w:t>i</w:t>
            </w:r>
            <w:r>
              <w:rPr>
                <w:rStyle w:val="InstructionsTabelleText"/>
                <w:rFonts w:ascii="Times New Roman" w:hAnsi="Times New Roman"/>
                <w:sz w:val="24"/>
              </w:rPr>
              <w:t>tettségek) a kitettségérték megegyezik a CRR harmadik része II. címe 6. fejezetének 3</w:t>
            </w:r>
            <w:proofErr w:type="gramStart"/>
            <w:r>
              <w:rPr>
                <w:rStyle w:val="InstructionsTabelleText"/>
                <w:rFonts w:ascii="Times New Roman" w:hAnsi="Times New Roman"/>
                <w:sz w:val="24"/>
              </w:rPr>
              <w:t>.,</w:t>
            </w:r>
            <w:proofErr w:type="gramEnd"/>
            <w:r>
              <w:rPr>
                <w:rStyle w:val="InstructionsTabelleText"/>
                <w:rFonts w:ascii="Times New Roman" w:hAnsi="Times New Roman"/>
                <w:sz w:val="24"/>
              </w:rPr>
              <w:t xml:space="preserve"> 4., 5., 6. és 7. szakaszában rögzített módszer szerint számított partnerkockázati kitettsé</w:t>
            </w:r>
            <w:r>
              <w:rPr>
                <w:rStyle w:val="InstructionsTabelleText"/>
                <w:rFonts w:ascii="Times New Roman" w:hAnsi="Times New Roman"/>
                <w:sz w:val="24"/>
              </w:rPr>
              <w:t>g</w:t>
            </w:r>
            <w:r>
              <w:rPr>
                <w:rStyle w:val="InstructionsTabelleText"/>
                <w:rFonts w:ascii="Times New Roman" w:hAnsi="Times New Roman"/>
                <w:sz w:val="24"/>
              </w:rPr>
              <w:t>gel. Ezeket az értékeket ebben az oszlopban, és nem a 130-as oszlopban („Ebből: par</w:t>
            </w:r>
            <w:r>
              <w:rPr>
                <w:rStyle w:val="InstructionsTabelleText"/>
                <w:rFonts w:ascii="Times New Roman" w:hAnsi="Times New Roman"/>
                <w:sz w:val="24"/>
              </w:rPr>
              <w:t>t</w:t>
            </w:r>
            <w:r>
              <w:rPr>
                <w:rStyle w:val="InstructionsTabelleText"/>
                <w:rFonts w:ascii="Times New Roman" w:hAnsi="Times New Roman"/>
                <w:sz w:val="24"/>
              </w:rPr>
              <w:t>nerkockázatból származó”) kell feltüntetni.</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130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Ebb</w:t>
            </w:r>
            <w:r w:rsidR="002B6A20">
              <w:rPr>
                <w:rStyle w:val="InstructionsTabelleberschrift"/>
                <w:rFonts w:ascii="Times New Roman" w:hAnsi="Times New Roman"/>
                <w:sz w:val="24"/>
              </w:rPr>
              <w:t>ől: Partnerkockázatból származó</w:t>
            </w:r>
          </w:p>
          <w:p w:rsidR="001C7AB7" w:rsidRPr="00392FFD" w:rsidRDefault="001C7AB7" w:rsidP="00FD6CCB">
            <w:pPr>
              <w:rPr>
                <w:rFonts w:ascii="Times New Roman" w:hAnsi="Times New Roman"/>
                <w:sz w:val="24"/>
              </w:rPr>
            </w:pPr>
            <w:r>
              <w:rPr>
                <w:rFonts w:ascii="Times New Roman" w:hAnsi="Times New Roman"/>
                <w:sz w:val="24"/>
              </w:rPr>
              <w:t>Lásd a CR SA táblához tartozó útmutatót.</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EBBŐL: NAGY MÉRETŰ PÉNZÜGYI ÁGAZATBELI SZERVEZETEK </w:t>
            </w:r>
            <w:proofErr w:type="gramStart"/>
            <w:r>
              <w:rPr>
                <w:rFonts w:ascii="Times New Roman" w:hAnsi="Times New Roman"/>
                <w:b/>
                <w:sz w:val="24"/>
                <w:u w:val="single"/>
              </w:rPr>
              <w:t>ÉS</w:t>
            </w:r>
            <w:proofErr w:type="gramEnd"/>
            <w:r>
              <w:rPr>
                <w:rFonts w:ascii="Times New Roman" w:hAnsi="Times New Roman"/>
                <w:b/>
                <w:sz w:val="24"/>
                <w:u w:val="single"/>
              </w:rPr>
              <w:t xml:space="preserve"> NEM SZABÁLYOZOTT PÉNZÜGYI VÁLLALATOK</w:t>
            </w:r>
          </w:p>
          <w:p w:rsidR="001C7AB7" w:rsidRPr="00392FFD" w:rsidRDefault="001C7AB7" w:rsidP="001C7AB7">
            <w:pPr>
              <w:rPr>
                <w:rFonts w:ascii="Times New Roman" w:hAnsi="Times New Roman"/>
                <w:b/>
                <w:sz w:val="24"/>
                <w:u w:val="single"/>
              </w:rPr>
            </w:pPr>
            <w:r>
              <w:rPr>
                <w:rFonts w:ascii="Times New Roman" w:hAnsi="Times New Roman"/>
                <w:sz w:val="24"/>
              </w:rPr>
              <w:t>A kitettségérték felosztása a CRR 142. cikkének (4) és (5) bekezdése alapján meghatár</w:t>
            </w:r>
            <w:r>
              <w:rPr>
                <w:rFonts w:ascii="Times New Roman" w:hAnsi="Times New Roman"/>
                <w:sz w:val="24"/>
              </w:rPr>
              <w:t>o</w:t>
            </w:r>
            <w:r>
              <w:rPr>
                <w:rFonts w:ascii="Times New Roman" w:hAnsi="Times New Roman"/>
                <w:sz w:val="24"/>
              </w:rPr>
              <w:t>zott összes kitettségre a CRR 153. cikkének (2) bekezdése szerinti magasabb korrelációs együttható alkalmazásával.</w:t>
            </w:r>
          </w:p>
        </w:tc>
      </w:tr>
      <w:tr w:rsidR="001C7AB7" w:rsidRPr="00392FFD" w:rsidTr="00672D2A">
        <w:trPr>
          <w:trHeight w:val="2109"/>
        </w:trPr>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lastRenderedPageBreak/>
              <w:t>150-210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AZ LGD-BECSLÉSEK SORÁN FIGYELEMBE VETT HITELKOCKÁZAT-MÉRSÉKLÉSI TECHNIKÁK, KIVÉVE AZ EGYÜTTES NEMTELJESÍTÉSRE VONATKOZÓ ELJÁRÁST</w:t>
            </w:r>
          </w:p>
          <w:p w:rsidR="001C7AB7" w:rsidRPr="00392FFD" w:rsidRDefault="001C7AB7" w:rsidP="001C7AB7">
            <w:pPr>
              <w:rPr>
                <w:rFonts w:ascii="Times New Roman" w:hAnsi="Times New Roman"/>
                <w:sz w:val="24"/>
              </w:rPr>
            </w:pPr>
            <w:r>
              <w:rPr>
                <w:rFonts w:ascii="Times New Roman" w:hAnsi="Times New Roman"/>
                <w:sz w:val="24"/>
              </w:rPr>
              <w:t xml:space="preserve">Ezekben az oszlopokban nem tüntethetők fel azok a hitelkockázat-mérséklési technikák, amelyek e technikák helyettesítési hatásának alkalmazásából adódóan </w:t>
            </w:r>
            <w:r w:rsidR="002B6A20">
              <w:rPr>
                <w:rFonts w:ascii="Times New Roman" w:hAnsi="Times New Roman"/>
                <w:sz w:val="24"/>
              </w:rPr>
              <w:t>befolyásolják az LGD-értékeket.</w:t>
            </w:r>
          </w:p>
          <w:p w:rsidR="001C7AB7" w:rsidRPr="00392FFD" w:rsidRDefault="00C61FF5" w:rsidP="001C7AB7">
            <w:pPr>
              <w:rPr>
                <w:rFonts w:ascii="Times New Roman" w:hAnsi="Times New Roman"/>
                <w:sz w:val="24"/>
              </w:rPr>
            </w:pPr>
            <w:r>
              <w:rPr>
                <w:rFonts w:ascii="Times New Roman" w:hAnsi="Times New Roman"/>
                <w:sz w:val="24"/>
              </w:rPr>
              <w:t>Ha az intézmény nem alkalmaz saját LGD-becslést: a CRR 228. cikkének (2) bekezdése, 230. cikkének (1) és (2) bekezdése, valamint 231. cikke szerint.</w:t>
            </w:r>
          </w:p>
          <w:p w:rsidR="001C7AB7" w:rsidRPr="00392FFD" w:rsidRDefault="00C61FF5" w:rsidP="001C7AB7">
            <w:pPr>
              <w:rPr>
                <w:rFonts w:ascii="Times New Roman" w:hAnsi="Times New Roman"/>
                <w:sz w:val="24"/>
              </w:rPr>
            </w:pPr>
            <w:r>
              <w:rPr>
                <w:rFonts w:ascii="Times New Roman" w:hAnsi="Times New Roman"/>
                <w:sz w:val="24"/>
              </w:rPr>
              <w:t>Ha az intézmény saj</w:t>
            </w:r>
            <w:r w:rsidR="002B6A20">
              <w:rPr>
                <w:rFonts w:ascii="Times New Roman" w:hAnsi="Times New Roman"/>
                <w:sz w:val="24"/>
              </w:rPr>
              <w:t>át LGD-becslést alkalmaz:</w:t>
            </w:r>
          </w:p>
          <w:p w:rsidR="001C7AB7" w:rsidRPr="00392FFD" w:rsidRDefault="001C7AB7" w:rsidP="001C7AB7">
            <w:pPr>
              <w:rPr>
                <w:rFonts w:ascii="Times New Roman" w:hAnsi="Times New Roman"/>
                <w:sz w:val="24"/>
              </w:rPr>
            </w:pPr>
            <w:r>
              <w:rPr>
                <w:rFonts w:ascii="Times New Roman" w:hAnsi="Times New Roman"/>
                <w:sz w:val="24"/>
              </w:rPr>
              <w:t>– Az előre nem rendelkezésre bocsátott hitelkockázati fedezetet illetően a központi ko</w:t>
            </w:r>
            <w:r>
              <w:rPr>
                <w:rFonts w:ascii="Times New Roman" w:hAnsi="Times New Roman"/>
                <w:sz w:val="24"/>
              </w:rPr>
              <w:t>r</w:t>
            </w:r>
            <w:r>
              <w:rPr>
                <w:rFonts w:ascii="Times New Roman" w:hAnsi="Times New Roman"/>
                <w:sz w:val="24"/>
              </w:rPr>
              <w:t>mányzattal vagy központi bankkal, intézményekkel és vállalkozásokkal szembeni kitet</w:t>
            </w:r>
            <w:r>
              <w:rPr>
                <w:rFonts w:ascii="Times New Roman" w:hAnsi="Times New Roman"/>
                <w:sz w:val="24"/>
              </w:rPr>
              <w:t>t</w:t>
            </w:r>
            <w:r>
              <w:rPr>
                <w:rFonts w:ascii="Times New Roman" w:hAnsi="Times New Roman"/>
                <w:sz w:val="24"/>
              </w:rPr>
              <w:t>ségek esetében: a CRR 161. cikkének (3) bekezdése szerint. Lakossággal szembeni k</w:t>
            </w:r>
            <w:r>
              <w:rPr>
                <w:rFonts w:ascii="Times New Roman" w:hAnsi="Times New Roman"/>
                <w:sz w:val="24"/>
              </w:rPr>
              <w:t>i</w:t>
            </w:r>
            <w:r>
              <w:rPr>
                <w:rFonts w:ascii="Times New Roman" w:hAnsi="Times New Roman"/>
                <w:sz w:val="24"/>
              </w:rPr>
              <w:t>tettségek: a C</w:t>
            </w:r>
            <w:r w:rsidR="002B6A20">
              <w:rPr>
                <w:rFonts w:ascii="Times New Roman" w:hAnsi="Times New Roman"/>
                <w:sz w:val="24"/>
              </w:rPr>
              <w:t>RR 164. cikkének (2) bekezdése.</w:t>
            </w:r>
          </w:p>
          <w:p w:rsidR="001C7AB7" w:rsidRPr="00392FFD" w:rsidRDefault="001C7AB7" w:rsidP="00255BA9">
            <w:pPr>
              <w:rPr>
                <w:rFonts w:ascii="Times New Roman" w:hAnsi="Times New Roman"/>
                <w:b/>
                <w:sz w:val="24"/>
                <w:u w:val="single"/>
              </w:rPr>
            </w:pPr>
            <w:r>
              <w:rPr>
                <w:rFonts w:ascii="Times New Roman" w:hAnsi="Times New Roman"/>
                <w:sz w:val="24"/>
              </w:rPr>
              <w:t>– Az LGD-becslés során a CRR 181. cikke (1) bekezdésének e) és f) pontja szerint figy</w:t>
            </w:r>
            <w:r>
              <w:rPr>
                <w:rFonts w:ascii="Times New Roman" w:hAnsi="Times New Roman"/>
                <w:sz w:val="24"/>
              </w:rPr>
              <w:t>e</w:t>
            </w:r>
            <w:r>
              <w:rPr>
                <w:rFonts w:ascii="Times New Roman" w:hAnsi="Times New Roman"/>
                <w:sz w:val="24"/>
              </w:rPr>
              <w:t>lembe vett, előre rendelkezésre bocsátott hitelkockázati fedezetet illetően.</w:t>
            </w:r>
          </w:p>
        </w:tc>
      </w:tr>
      <w:tr w:rsidR="001C7AB7" w:rsidRPr="00392FFD" w:rsidTr="00672D2A">
        <w:trPr>
          <w:trHeight w:val="957"/>
        </w:trPr>
        <w:tc>
          <w:tcPr>
            <w:tcW w:w="1188" w:type="dxa"/>
          </w:tcPr>
          <w:p w:rsidR="001C7AB7" w:rsidRPr="00392FFD" w:rsidRDefault="001C7AB7" w:rsidP="001C7AB7">
            <w:pPr>
              <w:rPr>
                <w:rFonts w:ascii="Times New Roman" w:hAnsi="Times New Roman"/>
                <w:sz w:val="24"/>
              </w:rPr>
            </w:pPr>
            <w:r>
              <w:rPr>
                <w:rFonts w:ascii="Times New Roman" w:hAnsi="Times New Roman"/>
                <w:sz w:val="24"/>
              </w:rPr>
              <w:t>150</w:t>
            </w:r>
          </w:p>
        </w:tc>
        <w:tc>
          <w:tcPr>
            <w:tcW w:w="8843" w:type="dxa"/>
          </w:tcPr>
          <w:p w:rsidR="001C7AB7" w:rsidRPr="00392FFD" w:rsidRDefault="002B6A20" w:rsidP="001C7AB7">
            <w:pPr>
              <w:rPr>
                <w:rFonts w:ascii="Times New Roman" w:hAnsi="Times New Roman"/>
                <w:b/>
                <w:sz w:val="24"/>
                <w:u w:val="single"/>
              </w:rPr>
            </w:pPr>
            <w:r>
              <w:rPr>
                <w:rFonts w:ascii="Times New Roman" w:hAnsi="Times New Roman"/>
                <w:b/>
                <w:sz w:val="24"/>
                <w:u w:val="single"/>
              </w:rPr>
              <w:t>GARANCIÁK</w:t>
            </w:r>
          </w:p>
          <w:p w:rsidR="001C7AB7" w:rsidRPr="00392FFD" w:rsidRDefault="001C7AB7" w:rsidP="001C7AB7">
            <w:pPr>
              <w:jc w:val="left"/>
              <w:rPr>
                <w:rFonts w:ascii="Times New Roman" w:hAnsi="Times New Roman"/>
                <w:b/>
                <w:sz w:val="24"/>
                <w:u w:val="single"/>
              </w:rPr>
            </w:pPr>
            <w:r>
              <w:rPr>
                <w:rFonts w:ascii="Times New Roman" w:hAnsi="Times New Roman"/>
                <w:sz w:val="24"/>
              </w:rPr>
              <w:t>Lásd a 040-es oszlopra vonatkozó útmutatót.</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843" w:type="dxa"/>
          </w:tcPr>
          <w:p w:rsidR="001C7AB7" w:rsidRPr="00392FFD" w:rsidRDefault="002B6A20" w:rsidP="001C7AB7">
            <w:pPr>
              <w:rPr>
                <w:rFonts w:ascii="Times New Roman" w:hAnsi="Times New Roman"/>
                <w:b/>
                <w:sz w:val="24"/>
                <w:u w:val="single"/>
              </w:rPr>
            </w:pPr>
            <w:r>
              <w:rPr>
                <w:rFonts w:ascii="Times New Roman" w:hAnsi="Times New Roman"/>
                <w:b/>
                <w:sz w:val="24"/>
                <w:u w:val="single"/>
              </w:rPr>
              <w:t>HITELDERIVATÍVÁK</w:t>
            </w:r>
          </w:p>
          <w:p w:rsidR="001C7AB7" w:rsidRPr="00392FFD" w:rsidRDefault="001C7AB7" w:rsidP="001C7AB7">
            <w:pPr>
              <w:rPr>
                <w:rFonts w:ascii="Times New Roman" w:hAnsi="Times New Roman"/>
                <w:sz w:val="24"/>
              </w:rPr>
            </w:pPr>
            <w:r>
              <w:rPr>
                <w:rFonts w:ascii="Times New Roman" w:hAnsi="Times New Roman"/>
                <w:sz w:val="24"/>
              </w:rPr>
              <w:t>Lásd a 050-es oszlopra vonatkozó útmutatót.</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SAJÁT LGD-BECSLÉS ALKALMAZÁSA: EGYÉB ELŐRE RENDELKEZÉSRE B</w:t>
            </w:r>
            <w:r w:rsidR="002B6A20">
              <w:rPr>
                <w:rFonts w:ascii="Times New Roman" w:hAnsi="Times New Roman"/>
                <w:b/>
                <w:sz w:val="24"/>
                <w:u w:val="single"/>
              </w:rPr>
              <w:t>OCSÁTOTT HITELKOCKÁZATI FEDEZET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Az intézmény belső modelljében alkalmazott vonatkozó érték.</w:t>
            </w:r>
          </w:p>
          <w:p w:rsidR="001C7AB7" w:rsidRPr="00392FFD" w:rsidRDefault="001C7AB7" w:rsidP="00255BA9">
            <w:pPr>
              <w:rPr>
                <w:rFonts w:ascii="Times New Roman" w:hAnsi="Times New Roman"/>
                <w:sz w:val="24"/>
              </w:rPr>
            </w:pPr>
            <w:r>
              <w:rPr>
                <w:rFonts w:ascii="Times New Roman" w:hAnsi="Times New Roman"/>
                <w:sz w:val="24"/>
              </w:rPr>
              <w:t xml:space="preserve">A CRR 212. cikkében megadott kritériumokat teljesítő hitelkockázat-mérséklő eszközök.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ELISMERT PÉNZÜGYI BIZTOSÍTÉKOK</w:t>
            </w:r>
          </w:p>
          <w:p w:rsidR="001C7AB7" w:rsidRPr="00392FFD" w:rsidRDefault="001C7AB7" w:rsidP="001C7AB7">
            <w:pPr>
              <w:rPr>
                <w:rFonts w:ascii="Times New Roman" w:hAnsi="Times New Roman"/>
                <w:sz w:val="24"/>
              </w:rPr>
            </w:pPr>
            <w:r>
              <w:rPr>
                <w:rFonts w:ascii="Times New Roman" w:hAnsi="Times New Roman"/>
                <w:sz w:val="24"/>
              </w:rPr>
              <w:t>Kereskedési könyvben nyilvántartott műveletek esetében a tétel a CRR 299. cikke (2) bekezdésének c)–f) pontja alapján a kereskedési könyvi kitettségekre vonatkozóan eli</w:t>
            </w:r>
            <w:r>
              <w:rPr>
                <w:rFonts w:ascii="Times New Roman" w:hAnsi="Times New Roman"/>
                <w:sz w:val="24"/>
              </w:rPr>
              <w:t>s</w:t>
            </w:r>
            <w:r>
              <w:rPr>
                <w:rFonts w:ascii="Times New Roman" w:hAnsi="Times New Roman"/>
                <w:sz w:val="24"/>
              </w:rPr>
              <w:t>mert pénzügyi instrumentumokat és árukat foglalja magában. A CRR harmadik része II. címe 4. fejezetének 4. szakaszában szabályozott hitelkockázati eseményhez kapcsolt é</w:t>
            </w:r>
            <w:r>
              <w:rPr>
                <w:rFonts w:ascii="Times New Roman" w:hAnsi="Times New Roman"/>
                <w:sz w:val="24"/>
              </w:rPr>
              <w:t>r</w:t>
            </w:r>
            <w:r>
              <w:rPr>
                <w:rFonts w:ascii="Times New Roman" w:hAnsi="Times New Roman"/>
                <w:sz w:val="24"/>
              </w:rPr>
              <w:t>tékpapírokat és mérlegen belüli nettósítást készpénzbiztosítékként kell kezelni.</w:t>
            </w:r>
          </w:p>
          <w:p w:rsidR="001C7AB7" w:rsidRPr="00392FFD" w:rsidRDefault="001C7AB7" w:rsidP="001C7AB7">
            <w:pPr>
              <w:rPr>
                <w:rFonts w:ascii="Times New Roman" w:hAnsi="Times New Roman"/>
                <w:sz w:val="24"/>
              </w:rPr>
            </w:pPr>
            <w:r>
              <w:rPr>
                <w:rFonts w:ascii="Times New Roman" w:hAnsi="Times New Roman"/>
                <w:sz w:val="24"/>
              </w:rPr>
              <w:t>Ha az intézmény nem alkalmaz saját LGD-becslést: a CRR 193. cikkének (1)–(4) beke</w:t>
            </w:r>
            <w:r>
              <w:rPr>
                <w:rFonts w:ascii="Times New Roman" w:hAnsi="Times New Roman"/>
                <w:sz w:val="24"/>
              </w:rPr>
              <w:t>z</w:t>
            </w:r>
            <w:r>
              <w:rPr>
                <w:rFonts w:ascii="Times New Roman" w:hAnsi="Times New Roman"/>
                <w:sz w:val="24"/>
              </w:rPr>
              <w:t>dése, valamint 194. cikkének (1) bekezdése szerinti értékek. A CRR 223. cikkének (2) bekezdése szerinti korrigált értéket (Cvam) kell feltüntetni.</w:t>
            </w:r>
          </w:p>
          <w:p w:rsidR="001C7AB7" w:rsidRPr="00392FFD" w:rsidRDefault="001C7AB7" w:rsidP="00902EFC">
            <w:pPr>
              <w:rPr>
                <w:rFonts w:ascii="Times New Roman" w:hAnsi="Times New Roman"/>
                <w:b/>
                <w:sz w:val="24"/>
                <w:u w:val="single"/>
              </w:rPr>
            </w:pPr>
            <w:r>
              <w:rPr>
                <w:rFonts w:ascii="Times New Roman" w:hAnsi="Times New Roman"/>
                <w:sz w:val="24"/>
              </w:rPr>
              <w:t>Ha az intézmény saját LGD-becslést alkalmaz: az LGD-becslés során a CRR 181. cikke (1) bekezdésének e) és f) pontja szerint figyelembe vett pénzügyi biztosíték. A feltünt</w:t>
            </w:r>
            <w:r>
              <w:rPr>
                <w:rFonts w:ascii="Times New Roman" w:hAnsi="Times New Roman"/>
                <w:sz w:val="24"/>
              </w:rPr>
              <w:t>e</w:t>
            </w:r>
            <w:r>
              <w:rPr>
                <w:rFonts w:ascii="Times New Roman" w:hAnsi="Times New Roman"/>
                <w:sz w:val="24"/>
              </w:rPr>
              <w:t>tendő érték a biztosíték becsült piaci értéke.</w:t>
            </w:r>
          </w:p>
        </w:tc>
      </w:tr>
      <w:tr w:rsidR="001C7AB7" w:rsidRPr="00392FFD" w:rsidTr="00672D2A">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t>190-210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EGYÉB ELISMERT BIZTOSÍTÉK</w:t>
            </w:r>
          </w:p>
          <w:p w:rsidR="001C7AB7" w:rsidRPr="00392FFD" w:rsidRDefault="00C61FF5" w:rsidP="001C7AB7">
            <w:pPr>
              <w:rPr>
                <w:rFonts w:ascii="Times New Roman" w:hAnsi="Times New Roman"/>
                <w:sz w:val="24"/>
              </w:rPr>
            </w:pPr>
            <w:r>
              <w:rPr>
                <w:rFonts w:ascii="Times New Roman" w:hAnsi="Times New Roman"/>
                <w:sz w:val="24"/>
              </w:rPr>
              <w:t>Ha az intézmény nem alkalmaz saját LGD-becslést: a CRR 199. cikkének (1)–(8) beke</w:t>
            </w:r>
            <w:r>
              <w:rPr>
                <w:rFonts w:ascii="Times New Roman" w:hAnsi="Times New Roman"/>
                <w:sz w:val="24"/>
              </w:rPr>
              <w:t>z</w:t>
            </w:r>
            <w:r>
              <w:rPr>
                <w:rFonts w:ascii="Times New Roman" w:hAnsi="Times New Roman"/>
                <w:sz w:val="24"/>
              </w:rPr>
              <w:t>dése, valamint 229. cikke szerint.</w:t>
            </w:r>
          </w:p>
          <w:p w:rsidR="001C7AB7" w:rsidRPr="00392FFD" w:rsidRDefault="00C61FF5" w:rsidP="00C61FF5">
            <w:pPr>
              <w:rPr>
                <w:rFonts w:ascii="Times New Roman" w:hAnsi="Times New Roman"/>
                <w:b/>
                <w:sz w:val="24"/>
                <w:u w:val="single"/>
              </w:rPr>
            </w:pPr>
            <w:r>
              <w:rPr>
                <w:rFonts w:ascii="Times New Roman" w:hAnsi="Times New Roman"/>
                <w:sz w:val="24"/>
              </w:rPr>
              <w:t xml:space="preserve">Ha az intézmény saját LGD-becslést alkalmaz: az LGD-becslés során a CRR 181. cikke </w:t>
            </w:r>
            <w:r>
              <w:rPr>
                <w:rFonts w:ascii="Times New Roman" w:hAnsi="Times New Roman"/>
                <w:sz w:val="24"/>
              </w:rPr>
              <w:lastRenderedPageBreak/>
              <w:t>(1) bekezdésének e) és f) pontja szerint figyelembe vett egyéb biztosíték.</w:t>
            </w:r>
          </w:p>
        </w:tc>
      </w:tr>
      <w:tr w:rsidR="001C7AB7" w:rsidRPr="00392FFD" w:rsidTr="00672D2A">
        <w:tc>
          <w:tcPr>
            <w:tcW w:w="1188" w:type="dxa"/>
          </w:tcPr>
          <w:p w:rsidR="001C7AB7" w:rsidRPr="00392FFD" w:rsidRDefault="001C7AB7" w:rsidP="00C61FF5">
            <w:pPr>
              <w:spacing w:line="240" w:lineRule="exact"/>
              <w:rPr>
                <w:rFonts w:ascii="Times New Roman" w:hAnsi="Times New Roman"/>
                <w:sz w:val="24"/>
              </w:rPr>
            </w:pPr>
            <w:r>
              <w:rPr>
                <w:rFonts w:ascii="Times New Roman" w:hAnsi="Times New Roman"/>
                <w:sz w:val="24"/>
              </w:rPr>
              <w:lastRenderedPageBreak/>
              <w:t>190</w:t>
            </w:r>
          </w:p>
        </w:tc>
        <w:tc>
          <w:tcPr>
            <w:tcW w:w="8843" w:type="dxa"/>
          </w:tcPr>
          <w:p w:rsidR="001C7AB7" w:rsidRPr="00392FFD" w:rsidRDefault="001C7AB7" w:rsidP="00C61FF5">
            <w:pPr>
              <w:spacing w:line="240" w:lineRule="exact"/>
              <w:rPr>
                <w:rFonts w:ascii="Times New Roman" w:hAnsi="Times New Roman"/>
                <w:sz w:val="24"/>
              </w:rPr>
            </w:pPr>
            <w:r>
              <w:rPr>
                <w:rFonts w:ascii="Times New Roman" w:hAnsi="Times New Roman"/>
                <w:b/>
                <w:sz w:val="24"/>
                <w:u w:val="single"/>
              </w:rPr>
              <w:t>INGATLAN</w:t>
            </w:r>
          </w:p>
          <w:p w:rsidR="001C7AB7" w:rsidRPr="00392FFD" w:rsidRDefault="00C61FF5" w:rsidP="00C61FF5">
            <w:pPr>
              <w:spacing w:line="240" w:lineRule="exact"/>
              <w:rPr>
                <w:rFonts w:ascii="Times New Roman" w:hAnsi="Times New Roman"/>
                <w:sz w:val="24"/>
              </w:rPr>
            </w:pPr>
            <w:r>
              <w:rPr>
                <w:rFonts w:ascii="Times New Roman" w:hAnsi="Times New Roman"/>
                <w:sz w:val="24"/>
              </w:rPr>
              <w:t>Ha az intézmény nem alkalmaz saját LGD-becslést, akkor a CRR 199. cikkének (2)–(4) bekezdése szerinti értékeket kell feltüntetni. Be kell számítani az ingatlan lízingbe adását is (lásd a CRR 199. cikkének (7) bekezdését). Lásd még a CRR 229. cikkét.</w:t>
            </w:r>
          </w:p>
          <w:p w:rsidR="001C7AB7" w:rsidRPr="00392FFD" w:rsidRDefault="001C7AB7" w:rsidP="00C61FF5">
            <w:pPr>
              <w:spacing w:line="240" w:lineRule="exact"/>
              <w:rPr>
                <w:rFonts w:ascii="Times New Roman" w:hAnsi="Times New Roman"/>
                <w:sz w:val="24"/>
              </w:rPr>
            </w:pPr>
            <w:r>
              <w:rPr>
                <w:rFonts w:ascii="Times New Roman" w:hAnsi="Times New Roman"/>
                <w:sz w:val="24"/>
              </w:rPr>
              <w:t>Ha az intézmény saját LGD-becslést alkalmaz, akkor a feltüntetendő érték a becsült piaci érték.</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200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EGYÉB DOLOGI BIZTOSÍTÉKOK</w:t>
            </w:r>
          </w:p>
          <w:p w:rsidR="001C7AB7" w:rsidRPr="00392FFD" w:rsidRDefault="00C61FF5" w:rsidP="001C7AB7">
            <w:pPr>
              <w:rPr>
                <w:rFonts w:ascii="Times New Roman" w:hAnsi="Times New Roman"/>
                <w:sz w:val="24"/>
              </w:rPr>
            </w:pPr>
            <w:r>
              <w:rPr>
                <w:rFonts w:ascii="Times New Roman" w:hAnsi="Times New Roman"/>
                <w:sz w:val="24"/>
              </w:rPr>
              <w:t>Ha az intézmény nem alkalmaz saját LGD-becslést, akkor a CRR 199. cikkének (6) és (8) bekezdése szerinti értékeket kell feltüntetni. Be kell számítani az ingatlanon kívüli v</w:t>
            </w:r>
            <w:r>
              <w:rPr>
                <w:rFonts w:ascii="Times New Roman" w:hAnsi="Times New Roman"/>
                <w:sz w:val="24"/>
              </w:rPr>
              <w:t>a</w:t>
            </w:r>
            <w:r>
              <w:rPr>
                <w:rFonts w:ascii="Times New Roman" w:hAnsi="Times New Roman"/>
                <w:sz w:val="24"/>
              </w:rPr>
              <w:t>gyontárgyak lízingbe adását is (lásd a CRR 199. cikkének (7) bekezdését). Lásd még a CR</w:t>
            </w:r>
            <w:r w:rsidR="002B6A20">
              <w:rPr>
                <w:rFonts w:ascii="Times New Roman" w:hAnsi="Times New Roman"/>
                <w:sz w:val="24"/>
              </w:rPr>
              <w:t>R 229. cikkének (3) bekezdését.</w:t>
            </w:r>
          </w:p>
          <w:p w:rsidR="001C7AB7" w:rsidRPr="00392FFD" w:rsidRDefault="00C61FF5" w:rsidP="00C61FF5">
            <w:pPr>
              <w:rPr>
                <w:rFonts w:ascii="Times New Roman" w:hAnsi="Times New Roman"/>
                <w:b/>
                <w:sz w:val="24"/>
                <w:u w:val="single"/>
              </w:rPr>
            </w:pPr>
            <w:r>
              <w:rPr>
                <w:rFonts w:ascii="Times New Roman" w:hAnsi="Times New Roman"/>
                <w:sz w:val="24"/>
              </w:rPr>
              <w:t>Ha az intézmény saját LGD-becslést alkalmaz, akkor a feltüntetendő érték a biztosíték becsült piaci értéke.</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KÖVETELÉSEK</w:t>
            </w:r>
          </w:p>
          <w:p w:rsidR="001C7AB7" w:rsidRPr="00392FFD" w:rsidRDefault="001C7AB7" w:rsidP="001C7AB7">
            <w:pPr>
              <w:rPr>
                <w:rFonts w:ascii="Times New Roman" w:hAnsi="Times New Roman"/>
                <w:sz w:val="24"/>
              </w:rPr>
            </w:pPr>
            <w:r>
              <w:rPr>
                <w:rFonts w:ascii="Times New Roman" w:hAnsi="Times New Roman"/>
                <w:sz w:val="24"/>
              </w:rPr>
              <w:t>Ha az intézmény nem alkalmaz saját LGD-becslést, akkor a CRR 199. cikkének (5) b</w:t>
            </w:r>
            <w:r>
              <w:rPr>
                <w:rFonts w:ascii="Times New Roman" w:hAnsi="Times New Roman"/>
                <w:sz w:val="24"/>
              </w:rPr>
              <w:t>e</w:t>
            </w:r>
            <w:r>
              <w:rPr>
                <w:rFonts w:ascii="Times New Roman" w:hAnsi="Times New Roman"/>
                <w:sz w:val="24"/>
              </w:rPr>
              <w:t>kezdése, valamint 229. cikkének (2) bekezdése szerinti értékeket kell feltüntetni.</w:t>
            </w:r>
          </w:p>
          <w:p w:rsidR="001C7AB7" w:rsidRPr="00392FFD" w:rsidRDefault="001C7AB7" w:rsidP="001C7AB7">
            <w:pPr>
              <w:rPr>
                <w:rFonts w:ascii="Times New Roman" w:hAnsi="Times New Roman"/>
                <w:b/>
                <w:sz w:val="24"/>
                <w:u w:val="single"/>
              </w:rPr>
            </w:pPr>
            <w:r>
              <w:rPr>
                <w:rFonts w:ascii="Times New Roman" w:hAnsi="Times New Roman"/>
                <w:sz w:val="24"/>
              </w:rPr>
              <w:t>Ha az intézmény saját LGD-becslést alkalmaz, akkor a feltüntetendő érték a biztosíték becsült piaci értéke.</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EGYÜTTES NEMTELJESÍTÉSRE VONATKOZÓ ELJÁRÁS: ELŐRE NEM RENDELKEZÉSRE BOCSÁTOTT HITELKOCKÁZATI FEDEZET</w:t>
            </w:r>
          </w:p>
          <w:p w:rsidR="001C7AB7" w:rsidRPr="00392FFD" w:rsidRDefault="001C7AB7" w:rsidP="00902EFC">
            <w:pPr>
              <w:rPr>
                <w:rFonts w:ascii="Times New Roman" w:hAnsi="Times New Roman"/>
                <w:b/>
                <w:sz w:val="24"/>
                <w:u w:val="single"/>
              </w:rPr>
            </w:pPr>
            <w:r>
              <w:rPr>
                <w:rFonts w:ascii="Times New Roman" w:hAnsi="Times New Roman"/>
                <w:sz w:val="24"/>
              </w:rPr>
              <w:t xml:space="preserve">Az együttes nemteljesítésre vonatkozó eljárással érintett kitettségeket fedező garanciák és hitelderivatívák a CRR 202. cikke és 217. cikkének (1) bekezdése alapján. Lásd még a 040. „Garanciák” és a 050. „Hitelderivatívák” oszlopot.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KITETTSÉGGEL SÚLYOZOTT ÁTLAGOS LGD (%)</w:t>
            </w:r>
          </w:p>
          <w:p w:rsidR="001C7AB7" w:rsidRPr="00392FFD" w:rsidRDefault="001C7AB7" w:rsidP="001C7AB7">
            <w:pPr>
              <w:rPr>
                <w:rFonts w:ascii="Times New Roman" w:hAnsi="Times New Roman"/>
                <w:sz w:val="24"/>
              </w:rPr>
            </w:pPr>
            <w:r>
              <w:rPr>
                <w:rFonts w:ascii="Times New Roman" w:hAnsi="Times New Roman"/>
                <w:sz w:val="24"/>
              </w:rPr>
              <w:t>Figyelembe kell venni a hitelkockázat-mérséklési technikáknak az LGD-értékekre gyak</w:t>
            </w:r>
            <w:r>
              <w:rPr>
                <w:rFonts w:ascii="Times New Roman" w:hAnsi="Times New Roman"/>
                <w:sz w:val="24"/>
              </w:rPr>
              <w:t>o</w:t>
            </w:r>
            <w:r>
              <w:rPr>
                <w:rFonts w:ascii="Times New Roman" w:hAnsi="Times New Roman"/>
                <w:sz w:val="24"/>
              </w:rPr>
              <w:t>rolt, a CRR harmadik része II. címe 3. és 4. fejezetében meghatározott teljes hatását. Az együttes nemteljesítésre vonatkozó eljárással érintett kitettségek esetében a feltüntetendő LGD a CRR 161. cikkének (4) bekezdése alapján kiválasztott értéknek felel meg.</w:t>
            </w:r>
          </w:p>
          <w:p w:rsidR="001C7AB7" w:rsidRPr="00392FFD" w:rsidRDefault="001C7AB7" w:rsidP="001C7AB7">
            <w:pPr>
              <w:rPr>
                <w:rFonts w:ascii="Times New Roman" w:hAnsi="Times New Roman"/>
                <w:sz w:val="24"/>
              </w:rPr>
            </w:pPr>
            <w:r>
              <w:rPr>
                <w:rFonts w:ascii="Times New Roman" w:hAnsi="Times New Roman"/>
                <w:sz w:val="24"/>
              </w:rPr>
              <w:t>A nemteljesítő kitettségek esetében figyelembe kell venni a CRR 181. cikke (1) bekezd</w:t>
            </w:r>
            <w:r>
              <w:rPr>
                <w:rFonts w:ascii="Times New Roman" w:hAnsi="Times New Roman"/>
                <w:sz w:val="24"/>
              </w:rPr>
              <w:t>é</w:t>
            </w:r>
            <w:r>
              <w:rPr>
                <w:rFonts w:ascii="Times New Roman" w:hAnsi="Times New Roman"/>
                <w:sz w:val="24"/>
              </w:rPr>
              <w:t>sének h) pontjában foglalt rendelkezéseket.</w:t>
            </w:r>
          </w:p>
          <w:p w:rsidR="001C7AB7" w:rsidRPr="00392FFD" w:rsidRDefault="001C7AB7" w:rsidP="001C7AB7">
            <w:pPr>
              <w:rPr>
                <w:rFonts w:ascii="Times New Roman" w:hAnsi="Times New Roman"/>
                <w:sz w:val="24"/>
              </w:rPr>
            </w:pPr>
            <w:r>
              <w:rPr>
                <w:rFonts w:ascii="Times New Roman" w:hAnsi="Times New Roman"/>
                <w:sz w:val="24"/>
              </w:rPr>
              <w:t>A kitettséggel súlyozott átlagokat a 110. oszlopban meghatározott kitettségérték alapján kell kiszámítani.</w:t>
            </w:r>
          </w:p>
          <w:p w:rsidR="001C7AB7" w:rsidRPr="00392FFD" w:rsidRDefault="001C7AB7" w:rsidP="001C7AB7">
            <w:pPr>
              <w:rPr>
                <w:rFonts w:ascii="Times New Roman" w:hAnsi="Times New Roman"/>
                <w:sz w:val="24"/>
              </w:rPr>
            </w:pPr>
            <w:r>
              <w:rPr>
                <w:rFonts w:ascii="Times New Roman" w:hAnsi="Times New Roman"/>
                <w:sz w:val="24"/>
              </w:rPr>
              <w:t>Valamennyi hatást figyelembe kell venni, így az adatszolgáltatás kiterjed a jelzálogra a</w:t>
            </w:r>
            <w:r>
              <w:rPr>
                <w:rFonts w:ascii="Times New Roman" w:hAnsi="Times New Roman"/>
                <w:sz w:val="24"/>
              </w:rPr>
              <w:t>l</w:t>
            </w:r>
            <w:r>
              <w:rPr>
                <w:rFonts w:ascii="Times New Roman" w:hAnsi="Times New Roman"/>
                <w:sz w:val="24"/>
              </w:rPr>
              <w:t>kalmazandó alsó határértékre is.</w:t>
            </w:r>
          </w:p>
          <w:p w:rsidR="001C7AB7" w:rsidRPr="00392FFD" w:rsidRDefault="001C7AB7" w:rsidP="001C7AB7">
            <w:pPr>
              <w:rPr>
                <w:rFonts w:ascii="Times New Roman" w:hAnsi="Times New Roman"/>
                <w:sz w:val="24"/>
              </w:rPr>
            </w:pPr>
            <w:r>
              <w:rPr>
                <w:rFonts w:ascii="Times New Roman" w:hAnsi="Times New Roman"/>
                <w:sz w:val="24"/>
              </w:rPr>
              <w:t>Az IRB-módszert alkalmazó, de saját LGD-becslést nem használó intézményeknél a pénzügyi biztosítékok kockázatmérséklő hatásait a kitettség teljes mértékben korrigált é</w:t>
            </w:r>
            <w:r>
              <w:rPr>
                <w:rFonts w:ascii="Times New Roman" w:hAnsi="Times New Roman"/>
                <w:sz w:val="24"/>
              </w:rPr>
              <w:t>r</w:t>
            </w:r>
            <w:r>
              <w:rPr>
                <w:rFonts w:ascii="Times New Roman" w:hAnsi="Times New Roman"/>
                <w:sz w:val="24"/>
              </w:rPr>
              <w:t>téke (E*) tükrözi, majd azok a CRR 228. cikkének (2) bekezdése szerinti LGD*-értékben is megjelennek.</w:t>
            </w:r>
          </w:p>
          <w:p w:rsidR="001C7AB7" w:rsidRPr="00392FFD" w:rsidRDefault="001C7AB7" w:rsidP="001C7AB7">
            <w:pPr>
              <w:rPr>
                <w:rFonts w:ascii="Times New Roman" w:hAnsi="Times New Roman"/>
                <w:sz w:val="24"/>
              </w:rPr>
            </w:pPr>
            <w:r>
              <w:rPr>
                <w:rFonts w:ascii="Times New Roman" w:hAnsi="Times New Roman"/>
                <w:sz w:val="24"/>
              </w:rPr>
              <w:t>Az egyes PD-ügyfélkategóriákhoz vagy -halmazokhoz tartozó, kitettséggel súlyozott á</w:t>
            </w:r>
            <w:r>
              <w:rPr>
                <w:rFonts w:ascii="Times New Roman" w:hAnsi="Times New Roman"/>
                <w:sz w:val="24"/>
              </w:rPr>
              <w:t>t</w:t>
            </w:r>
            <w:r>
              <w:rPr>
                <w:rFonts w:ascii="Times New Roman" w:hAnsi="Times New Roman"/>
                <w:sz w:val="24"/>
              </w:rPr>
              <w:t>lagos LGD az adott PD-kategóriához vagy -halmazhoz kapcsolt prudenciális LGD-</w:t>
            </w:r>
            <w:r>
              <w:rPr>
                <w:rFonts w:ascii="Times New Roman" w:hAnsi="Times New Roman"/>
                <w:sz w:val="24"/>
              </w:rPr>
              <w:lastRenderedPageBreak/>
              <w:t>értékeknek a 110. </w:t>
            </w:r>
            <w:proofErr w:type="gramStart"/>
            <w:r>
              <w:rPr>
                <w:rFonts w:ascii="Times New Roman" w:hAnsi="Times New Roman"/>
                <w:sz w:val="24"/>
              </w:rPr>
              <w:t>oszlop vonatkozó</w:t>
            </w:r>
            <w:proofErr w:type="gramEnd"/>
            <w:r>
              <w:rPr>
                <w:rFonts w:ascii="Times New Roman" w:hAnsi="Times New Roman"/>
                <w:sz w:val="24"/>
              </w:rPr>
              <w:t xml:space="preserve"> kitettségértékével súlyozott átlaga.</w:t>
            </w:r>
          </w:p>
          <w:p w:rsidR="001C7AB7" w:rsidRPr="00392FFD" w:rsidRDefault="001C7AB7" w:rsidP="001C7AB7">
            <w:pPr>
              <w:rPr>
                <w:rFonts w:ascii="Times New Roman" w:hAnsi="Times New Roman"/>
                <w:sz w:val="24"/>
              </w:rPr>
            </w:pPr>
            <w:r>
              <w:rPr>
                <w:rFonts w:ascii="Times New Roman" w:hAnsi="Times New Roman"/>
                <w:sz w:val="24"/>
              </w:rPr>
              <w:t>Ha az intézmény saját LGD-becslést alkalmaz, akkor figyelembe kell venni a CRR 175. cikkét, valamint 181. cikkének (1) és (2) bekezdését.</w:t>
            </w:r>
          </w:p>
          <w:p w:rsidR="001C7AB7" w:rsidRPr="00392FFD" w:rsidRDefault="001C7AB7" w:rsidP="001C7AB7">
            <w:pPr>
              <w:rPr>
                <w:rFonts w:ascii="Times New Roman" w:hAnsi="Times New Roman"/>
                <w:sz w:val="24"/>
              </w:rPr>
            </w:pPr>
            <w:r>
              <w:rPr>
                <w:rFonts w:ascii="Times New Roman" w:hAnsi="Times New Roman"/>
                <w:sz w:val="24"/>
              </w:rPr>
              <w:t>Az együttes nemteljesítésre vonatkozó eljárással érintett kitettségek esetében a feltünt</w:t>
            </w:r>
            <w:r>
              <w:rPr>
                <w:rFonts w:ascii="Times New Roman" w:hAnsi="Times New Roman"/>
                <w:sz w:val="24"/>
              </w:rPr>
              <w:t>e</w:t>
            </w:r>
            <w:r>
              <w:rPr>
                <w:rFonts w:ascii="Times New Roman" w:hAnsi="Times New Roman"/>
                <w:sz w:val="24"/>
              </w:rPr>
              <w:t>tendő LGD a CRR 161. cikkének (4) bekezdése alapján kiválasztott értéknek felel meg.</w:t>
            </w:r>
          </w:p>
          <w:p w:rsidR="001C7AB7" w:rsidRPr="00392FFD" w:rsidRDefault="001C7AB7" w:rsidP="001C7AB7">
            <w:pPr>
              <w:rPr>
                <w:rFonts w:ascii="Times New Roman" w:hAnsi="Times New Roman"/>
                <w:sz w:val="24"/>
              </w:rPr>
            </w:pPr>
            <w:r>
              <w:rPr>
                <w:rFonts w:ascii="Times New Roman" w:hAnsi="Times New Roman"/>
                <w:sz w:val="24"/>
              </w:rPr>
              <w:t>A kitettséggel súlyozott átlagos LGD-értéket az adott illetékes hatóság által jóváhagyott belső minősítési rendszerben ténylegesen alkalmazott kockázati paraméterekből kell származtatni.</w:t>
            </w:r>
          </w:p>
          <w:p w:rsidR="001C7AB7" w:rsidRPr="00392FFD" w:rsidRDefault="00224FE5" w:rsidP="001C7AB7">
            <w:pPr>
              <w:rPr>
                <w:rFonts w:ascii="Times New Roman" w:hAnsi="Times New Roman"/>
                <w:sz w:val="24"/>
              </w:rPr>
            </w:pPr>
            <w:r>
              <w:rPr>
                <w:rFonts w:ascii="Times New Roman" w:hAnsi="Times New Roman"/>
                <w:sz w:val="24"/>
              </w:rPr>
              <w:t>Az adatszolgáltatás nem terjed ki a 153. cikk (5) bekezdésében említett speciális hitelez</w:t>
            </w:r>
            <w:r>
              <w:rPr>
                <w:rFonts w:ascii="Times New Roman" w:hAnsi="Times New Roman"/>
                <w:sz w:val="24"/>
              </w:rPr>
              <w:t>é</w:t>
            </w:r>
            <w:r>
              <w:rPr>
                <w:rFonts w:ascii="Times New Roman" w:hAnsi="Times New Roman"/>
                <w:sz w:val="24"/>
              </w:rPr>
              <w:t>si kitettségekre.</w:t>
            </w:r>
          </w:p>
          <w:p w:rsidR="001C7AB7" w:rsidRPr="00392FFD" w:rsidRDefault="001C7AB7" w:rsidP="001C7AB7">
            <w:pPr>
              <w:rPr>
                <w:rFonts w:ascii="Times New Roman" w:hAnsi="Times New Roman"/>
                <w:sz w:val="24"/>
              </w:rPr>
            </w:pPr>
            <w:r>
              <w:rPr>
                <w:rFonts w:ascii="Times New Roman" w:hAnsi="Times New Roman"/>
                <w:sz w:val="24"/>
              </w:rPr>
              <w:t xml:space="preserve">A 230. oszlop számításakor nem vehetők figyelembe a </w:t>
            </w:r>
            <w:proofErr w:type="gramStart"/>
            <w:r>
              <w:rPr>
                <w:rFonts w:ascii="Times New Roman" w:hAnsi="Times New Roman"/>
                <w:sz w:val="24"/>
              </w:rPr>
              <w:t>nagy méretű</w:t>
            </w:r>
            <w:proofErr w:type="gramEnd"/>
            <w:r>
              <w:rPr>
                <w:rFonts w:ascii="Times New Roman" w:hAnsi="Times New Roman"/>
                <w:sz w:val="24"/>
              </w:rPr>
              <w:t xml:space="preserve"> szabályozott pén</w:t>
            </w:r>
            <w:r>
              <w:rPr>
                <w:rFonts w:ascii="Times New Roman" w:hAnsi="Times New Roman"/>
                <w:sz w:val="24"/>
              </w:rPr>
              <w:t>z</w:t>
            </w:r>
            <w:r>
              <w:rPr>
                <w:rFonts w:ascii="Times New Roman" w:hAnsi="Times New Roman"/>
                <w:sz w:val="24"/>
              </w:rPr>
              <w:t>ügyi ágazatbeli szervezetek, valamint a nem szabályozott pénzügyi vállalatok kitettségei és az azokhoz kapcsolódó LGD-értékek, ezek kizárólag a 240. oszlop kiszámításánál v</w:t>
            </w:r>
            <w:r>
              <w:rPr>
                <w:rFonts w:ascii="Times New Roman" w:hAnsi="Times New Roman"/>
                <w:sz w:val="24"/>
              </w:rPr>
              <w:t>e</w:t>
            </w:r>
            <w:r>
              <w:rPr>
                <w:rFonts w:ascii="Times New Roman" w:hAnsi="Times New Roman"/>
                <w:sz w:val="24"/>
              </w:rPr>
              <w:t xml:space="preserve">hetők figyelembe.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NAGY MÉRETŰ PÉNZÜGYI ÁGAZATBELI SZERVEZETEK </w:t>
            </w:r>
            <w:proofErr w:type="gramStart"/>
            <w:r>
              <w:rPr>
                <w:rFonts w:ascii="Times New Roman" w:hAnsi="Times New Roman"/>
                <w:b/>
                <w:sz w:val="24"/>
                <w:u w:val="single"/>
              </w:rPr>
              <w:t>ÉS</w:t>
            </w:r>
            <w:proofErr w:type="gramEnd"/>
            <w:r>
              <w:rPr>
                <w:rFonts w:ascii="Times New Roman" w:hAnsi="Times New Roman"/>
                <w:b/>
                <w:sz w:val="24"/>
                <w:u w:val="single"/>
              </w:rPr>
              <w:t xml:space="preserve"> NEM SZ</w:t>
            </w:r>
            <w:r>
              <w:rPr>
                <w:rFonts w:ascii="Times New Roman" w:hAnsi="Times New Roman"/>
                <w:b/>
                <w:sz w:val="24"/>
                <w:u w:val="single"/>
              </w:rPr>
              <w:t>A</w:t>
            </w:r>
            <w:r>
              <w:rPr>
                <w:rFonts w:ascii="Times New Roman" w:hAnsi="Times New Roman"/>
                <w:b/>
                <w:sz w:val="24"/>
                <w:u w:val="single"/>
              </w:rPr>
              <w:t>BÁLYOZOTT PÉNZÜGYI VÁLLALATOK KITETTSÉGGEL SÚLYOZOTT ÁTLAGOS LGD-ÉRTÉKE (%)</w:t>
            </w:r>
          </w:p>
          <w:p w:rsidR="001C7AB7" w:rsidRPr="00392FFD" w:rsidRDefault="001C7AB7" w:rsidP="001C7AB7">
            <w:pPr>
              <w:rPr>
                <w:rFonts w:ascii="Times New Roman" w:hAnsi="Times New Roman"/>
                <w:sz w:val="24"/>
              </w:rPr>
            </w:pPr>
            <w:r>
              <w:rPr>
                <w:rFonts w:ascii="Times New Roman" w:hAnsi="Times New Roman"/>
                <w:sz w:val="24"/>
              </w:rPr>
              <w:t>Kitettséggel súlyozott átlagos LGD (%) a CRR 142. cikkének (4) és (5) bekezdése ala</w:t>
            </w:r>
            <w:r>
              <w:rPr>
                <w:rFonts w:ascii="Times New Roman" w:hAnsi="Times New Roman"/>
                <w:sz w:val="24"/>
              </w:rPr>
              <w:t>p</w:t>
            </w:r>
            <w:r>
              <w:rPr>
                <w:rFonts w:ascii="Times New Roman" w:hAnsi="Times New Roman"/>
                <w:sz w:val="24"/>
              </w:rPr>
              <w:t>ján meghatározott összes kitettségre a CRR 153. cikkének (2) bekezdése szerinti mag</w:t>
            </w:r>
            <w:r>
              <w:rPr>
                <w:rFonts w:ascii="Times New Roman" w:hAnsi="Times New Roman"/>
                <w:sz w:val="24"/>
              </w:rPr>
              <w:t>a</w:t>
            </w:r>
            <w:r>
              <w:rPr>
                <w:rFonts w:ascii="Times New Roman" w:hAnsi="Times New Roman"/>
                <w:sz w:val="24"/>
              </w:rPr>
              <w:t>sabb korrelációs együttható alkalmazásával.</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KITETTSÉGGEL SÚLYOZOTT ÁTLAGOS LEJÁRATI ÉRTÉK (NAP)</w:t>
            </w:r>
          </w:p>
          <w:p w:rsidR="001C7AB7" w:rsidRPr="00392FFD" w:rsidRDefault="001C7AB7" w:rsidP="001C7AB7">
            <w:pPr>
              <w:rPr>
                <w:rFonts w:ascii="Times New Roman" w:hAnsi="Times New Roman"/>
                <w:sz w:val="24"/>
              </w:rPr>
            </w:pPr>
            <w:r>
              <w:rPr>
                <w:rFonts w:ascii="Times New Roman" w:hAnsi="Times New Roman"/>
                <w:sz w:val="24"/>
              </w:rPr>
              <w:t>A feltüntetett érték a CRR 162. cikkének felel meg. A kitettségérték (110-es oszlop) ala</w:t>
            </w:r>
            <w:r>
              <w:rPr>
                <w:rFonts w:ascii="Times New Roman" w:hAnsi="Times New Roman"/>
                <w:sz w:val="24"/>
              </w:rPr>
              <w:t>p</w:t>
            </w:r>
            <w:r>
              <w:rPr>
                <w:rFonts w:ascii="Times New Roman" w:hAnsi="Times New Roman"/>
                <w:sz w:val="24"/>
              </w:rPr>
              <w:t>ján kell kiszámítani a kitettséggel súlyozott átlagokat. Az átlagos lejáratot napban kell megadni.</w:t>
            </w:r>
          </w:p>
          <w:p w:rsidR="001C7AB7" w:rsidRPr="00392FFD" w:rsidRDefault="001C7AB7" w:rsidP="00FD6CCB">
            <w:pPr>
              <w:rPr>
                <w:rFonts w:ascii="Times New Roman" w:hAnsi="Times New Roman"/>
                <w:sz w:val="24"/>
              </w:rPr>
            </w:pPr>
            <w:r>
              <w:rPr>
                <w:rFonts w:ascii="Times New Roman" w:hAnsi="Times New Roman"/>
                <w:sz w:val="24"/>
              </w:rPr>
              <w:t xml:space="preserve">Ez az adat nem adható meg olyan kitettségérték esetén, amelynél a lejáratot nem veszik figyelembe a </w:t>
            </w:r>
            <w:r>
              <w:rPr>
                <w:rStyle w:val="InstructionsTabelleText"/>
                <w:rFonts w:ascii="Times New Roman" w:hAnsi="Times New Roman"/>
                <w:sz w:val="24"/>
              </w:rPr>
              <w:t>kockázattal súlyozott kitettségérték</w:t>
            </w:r>
            <w:r>
              <w:rPr>
                <w:rFonts w:ascii="Times New Roman" w:hAnsi="Times New Roman"/>
                <w:sz w:val="24"/>
              </w:rPr>
              <w:t xml:space="preserve"> kiszámításakor. Ez azt jelenti, hogy az oszlop a „lakosság” kitettségi osztályra vonatkozóan nem tölthető ki.</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255</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A KKV-SZORZÓ ELŐTTI, KOCKÁZATTAL SÚLYOZOTT KITETTSÉGÉRTÉK</w:t>
            </w:r>
          </w:p>
          <w:p w:rsidR="001C7AB7" w:rsidRPr="00392FFD" w:rsidRDefault="001C7AB7" w:rsidP="001C7AB7">
            <w:pPr>
              <w:rPr>
                <w:rFonts w:ascii="Times New Roman" w:hAnsi="Times New Roman"/>
                <w:sz w:val="24"/>
              </w:rPr>
            </w:pPr>
            <w:r>
              <w:rPr>
                <w:rFonts w:ascii="Times New Roman" w:hAnsi="Times New Roman"/>
                <w:sz w:val="24"/>
              </w:rPr>
              <w:t>A Központi kormányzatok és központi bankok, a Vállalkozások és az Intézmények kitettségi osztályra vonatkozóan lásd a CRR 153. cikkének (1) és (3) bekezdését. A L</w:t>
            </w:r>
            <w:r>
              <w:rPr>
                <w:rFonts w:ascii="Times New Roman" w:hAnsi="Times New Roman"/>
                <w:sz w:val="24"/>
              </w:rPr>
              <w:t>a</w:t>
            </w:r>
            <w:r>
              <w:rPr>
                <w:rFonts w:ascii="Times New Roman" w:hAnsi="Times New Roman"/>
                <w:sz w:val="24"/>
              </w:rPr>
              <w:t xml:space="preserve">kosság kitettségi osztályra vonatkozóan lásd a CRR 154. cikkének (1) bekezdését. </w:t>
            </w:r>
          </w:p>
          <w:p w:rsidR="001C7AB7" w:rsidRPr="00392FFD" w:rsidRDefault="001C7AB7" w:rsidP="00FD6CCB">
            <w:pPr>
              <w:rPr>
                <w:rFonts w:ascii="Times New Roman" w:hAnsi="Times New Roman"/>
                <w:b/>
                <w:sz w:val="24"/>
                <w:u w:val="single"/>
              </w:rPr>
            </w:pPr>
            <w:r>
              <w:rPr>
                <w:rFonts w:ascii="Times New Roman" w:hAnsi="Times New Roman"/>
                <w:sz w:val="24"/>
              </w:rPr>
              <w:t>A Lakosság kitettségi osztályra vonatkozóan lásd a CRR 154. cikkének (1) bekezdését. A CRR 501. cikke szerinti kkv-szorzó nem vehető figyelembe.</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260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A KKV-SZORZÓ UTÁNI, KOCKÁZATTAL SÚLYOZOTT KITETTSÉGÉRTÉK</w:t>
            </w:r>
          </w:p>
          <w:p w:rsidR="001C7AB7" w:rsidRPr="00392FFD" w:rsidRDefault="001C7AB7" w:rsidP="001C7AB7">
            <w:pPr>
              <w:rPr>
                <w:rFonts w:ascii="Times New Roman" w:hAnsi="Times New Roman"/>
                <w:sz w:val="24"/>
              </w:rPr>
            </w:pPr>
            <w:r>
              <w:rPr>
                <w:rFonts w:ascii="Times New Roman" w:hAnsi="Times New Roman"/>
                <w:sz w:val="24"/>
              </w:rPr>
              <w:t>A Központi kormányzatok és központi bankok, a Vállalkozások és az Intézmények kitettségi osztályra vonatkozóan lásd a CRR 153. cikkének (1) és (3) bekezdését. A L</w:t>
            </w:r>
            <w:r>
              <w:rPr>
                <w:rFonts w:ascii="Times New Roman" w:hAnsi="Times New Roman"/>
                <w:sz w:val="24"/>
              </w:rPr>
              <w:t>a</w:t>
            </w:r>
            <w:r>
              <w:rPr>
                <w:rFonts w:ascii="Times New Roman" w:hAnsi="Times New Roman"/>
                <w:sz w:val="24"/>
              </w:rPr>
              <w:t>kosság kitettségi osztályra vonatkozóan lásd a CRR 154. cikkének (1) bekezdését.</w:t>
            </w:r>
          </w:p>
          <w:p w:rsidR="001C7AB7" w:rsidRPr="00392FFD" w:rsidRDefault="001C7AB7" w:rsidP="00FD6CCB">
            <w:pPr>
              <w:rPr>
                <w:rFonts w:ascii="Times New Roman" w:hAnsi="Times New Roman"/>
                <w:b/>
                <w:sz w:val="24"/>
                <w:u w:val="single"/>
              </w:rPr>
            </w:pPr>
            <w:r>
              <w:rPr>
                <w:rFonts w:ascii="Times New Roman" w:hAnsi="Times New Roman"/>
                <w:sz w:val="24"/>
              </w:rPr>
              <w:t>A CRR 501. cikke szerinti kkv-szorzót figyelembe kell venni.</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270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EBBŐL: NAGY MÉRETŰ PÉNZÜGYI ÁGAZATBELI SZERVEZETEK </w:t>
            </w:r>
            <w:proofErr w:type="gramStart"/>
            <w:r>
              <w:rPr>
                <w:rFonts w:ascii="Times New Roman" w:hAnsi="Times New Roman"/>
                <w:b/>
                <w:sz w:val="24"/>
                <w:u w:val="single"/>
              </w:rPr>
              <w:t>ÉS</w:t>
            </w:r>
            <w:proofErr w:type="gramEnd"/>
            <w:r>
              <w:rPr>
                <w:rFonts w:ascii="Times New Roman" w:hAnsi="Times New Roman"/>
                <w:b/>
                <w:sz w:val="24"/>
                <w:u w:val="single"/>
              </w:rPr>
              <w:t xml:space="preserve"> NEM </w:t>
            </w:r>
            <w:r>
              <w:rPr>
                <w:rFonts w:ascii="Times New Roman" w:hAnsi="Times New Roman"/>
                <w:b/>
                <w:sz w:val="24"/>
                <w:u w:val="single"/>
              </w:rPr>
              <w:lastRenderedPageBreak/>
              <w:t>SZABÁLYOZOTT PÉNZÜGYI VÁLLALATOK</w:t>
            </w:r>
          </w:p>
          <w:p w:rsidR="001C7AB7" w:rsidRPr="00392FFD" w:rsidDel="005A2363" w:rsidRDefault="001C7AB7" w:rsidP="00FD6CCB">
            <w:pPr>
              <w:rPr>
                <w:rFonts w:ascii="Times New Roman" w:hAnsi="Times New Roman"/>
                <w:sz w:val="24"/>
              </w:rPr>
            </w:pPr>
            <w:r>
              <w:rPr>
                <w:rFonts w:ascii="Times New Roman" w:hAnsi="Times New Roman"/>
                <w:sz w:val="24"/>
              </w:rPr>
              <w:t>A kkv-szorzó utáni, kockázattal súlyozott kitettségérték részletezése a CRR 142. cikke (1) bekezdésének 4. és 5. pontja alapján meghatározott összes kitettségre a CRR 153. cikkének (2) bekezdése szerinti magasabb korrelációs együttható alkalmazásával.</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VÁRHATÓ VESZTESÉGÉRTÉK</w:t>
            </w:r>
          </w:p>
          <w:p w:rsidR="001C7AB7" w:rsidRPr="00392FFD" w:rsidRDefault="001C7AB7" w:rsidP="00FD6CCB">
            <w:pPr>
              <w:jc w:val="left"/>
              <w:rPr>
                <w:rFonts w:ascii="Times New Roman" w:hAnsi="Times New Roman"/>
                <w:sz w:val="24"/>
              </w:rPr>
            </w:pPr>
            <w:r>
              <w:rPr>
                <w:rFonts w:ascii="Times New Roman" w:hAnsi="Times New Roman"/>
                <w:sz w:val="24"/>
              </w:rPr>
              <w:t>A várható veszteség meghatározását a CRR 5. cikkének (3) bekezdése, kiszámítását a CRR 158. cikke tartalmazza. A várható veszteség feltüntetendő értékét az adott illetékes hatóság által jóváhagyott belső minősítési rendszerben ténylegesen alkalmazott kockázati paraméterek alapján kell kiszámítani.</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 ÉRTÉKELÉSI KORREKCIÓK </w:t>
            </w:r>
            <w:proofErr w:type="gramStart"/>
            <w:r>
              <w:rPr>
                <w:rFonts w:ascii="Times New Roman" w:hAnsi="Times New Roman"/>
                <w:b/>
                <w:sz w:val="24"/>
                <w:u w:val="single"/>
              </w:rPr>
              <w:t>ÉS</w:t>
            </w:r>
            <w:proofErr w:type="gramEnd"/>
            <w:r>
              <w:rPr>
                <w:rFonts w:ascii="Times New Roman" w:hAnsi="Times New Roman"/>
                <w:b/>
                <w:sz w:val="24"/>
                <w:u w:val="single"/>
              </w:rPr>
              <w:t xml:space="preserve"> CÉLTARTALÉKOK</w:t>
            </w:r>
          </w:p>
          <w:p w:rsidR="001C7AB7" w:rsidRPr="00392FFD" w:rsidRDefault="001C7AB7" w:rsidP="00FD6CCB">
            <w:pPr>
              <w:rPr>
                <w:rFonts w:ascii="Times New Roman" w:hAnsi="Times New Roman"/>
                <w:sz w:val="24"/>
              </w:rPr>
            </w:pPr>
            <w:r>
              <w:rPr>
                <w:rFonts w:ascii="Times New Roman" w:hAnsi="Times New Roman"/>
                <w:sz w:val="24"/>
              </w:rPr>
              <w:t>Az értékelési korrekciót, valamint a CRR 159. cikke szerinti egyedi és általános céltart</w:t>
            </w:r>
            <w:r>
              <w:rPr>
                <w:rFonts w:ascii="Times New Roman" w:hAnsi="Times New Roman"/>
                <w:sz w:val="24"/>
              </w:rPr>
              <w:t>a</w:t>
            </w:r>
            <w:r>
              <w:rPr>
                <w:rFonts w:ascii="Times New Roman" w:hAnsi="Times New Roman"/>
                <w:sz w:val="24"/>
              </w:rPr>
              <w:t>lékokat kell feltüntetni. Az általános céltartalékokat az egyes ügyfél-kategóriák várható vesztesége alapján arányosítva kell megadni.</w:t>
            </w:r>
          </w:p>
        </w:tc>
      </w:tr>
      <w:tr w:rsidR="001C7AB7" w:rsidRPr="00392FFD" w:rsidTr="00672D2A">
        <w:tc>
          <w:tcPr>
            <w:tcW w:w="1188" w:type="dxa"/>
          </w:tcPr>
          <w:p w:rsidR="001C7AB7" w:rsidRPr="00392FFD" w:rsidRDefault="001C7AB7" w:rsidP="001C7AB7">
            <w:pPr>
              <w:ind w:right="-288"/>
              <w:rPr>
                <w:rFonts w:ascii="Times New Roman" w:hAnsi="Times New Roman"/>
                <w:sz w:val="24"/>
              </w:rPr>
            </w:pPr>
            <w:r>
              <w:rPr>
                <w:rFonts w:ascii="Times New Roman" w:hAnsi="Times New Roman"/>
                <w:sz w:val="24"/>
              </w:rPr>
              <w:t>300</w:t>
            </w:r>
          </w:p>
        </w:tc>
        <w:tc>
          <w:tcPr>
            <w:tcW w:w="8843" w:type="dxa"/>
          </w:tcPr>
          <w:p w:rsidR="001C7AB7" w:rsidRPr="00392FFD" w:rsidRDefault="001C7AB7" w:rsidP="001C7AB7">
            <w:pPr>
              <w:ind w:right="-288"/>
              <w:rPr>
                <w:rFonts w:ascii="Times New Roman" w:hAnsi="Times New Roman"/>
                <w:b/>
                <w:sz w:val="24"/>
                <w:u w:val="single"/>
              </w:rPr>
            </w:pPr>
            <w:r>
              <w:rPr>
                <w:rFonts w:ascii="Times New Roman" w:hAnsi="Times New Roman"/>
                <w:b/>
                <w:sz w:val="24"/>
                <w:u w:val="single"/>
              </w:rPr>
              <w:t>A KÖTELEZETTEK SZÁMA</w:t>
            </w:r>
          </w:p>
          <w:p w:rsidR="001C7AB7" w:rsidRPr="00392FFD" w:rsidRDefault="001C7AB7" w:rsidP="001C7AB7">
            <w:pPr>
              <w:rPr>
                <w:rFonts w:ascii="Times New Roman" w:hAnsi="Times New Roman"/>
                <w:sz w:val="24"/>
              </w:rPr>
            </w:pPr>
            <w:r>
              <w:rPr>
                <w:rFonts w:ascii="Times New Roman" w:hAnsi="Times New Roman"/>
                <w:sz w:val="24"/>
              </w:rPr>
              <w:t>A CRR 172. cikkének (1) és (2) bekezdése.</w:t>
            </w:r>
          </w:p>
          <w:p w:rsidR="001C7AB7" w:rsidRPr="00392FFD" w:rsidRDefault="001C7AB7" w:rsidP="001C7AB7">
            <w:pPr>
              <w:rPr>
                <w:rFonts w:ascii="Times New Roman" w:hAnsi="Times New Roman"/>
                <w:sz w:val="24"/>
              </w:rPr>
            </w:pPr>
            <w:r>
              <w:rPr>
                <w:rFonts w:ascii="Times New Roman" w:hAnsi="Times New Roman"/>
                <w:sz w:val="24"/>
              </w:rPr>
              <w:t>A lakossági kitettségi osztály, valamint a CRR 172. cikke (1) bekezdése e) pontjának m</w:t>
            </w:r>
            <w:r>
              <w:rPr>
                <w:rFonts w:ascii="Times New Roman" w:hAnsi="Times New Roman"/>
                <w:sz w:val="24"/>
              </w:rPr>
              <w:t>á</w:t>
            </w:r>
            <w:r>
              <w:rPr>
                <w:rFonts w:ascii="Times New Roman" w:hAnsi="Times New Roman"/>
                <w:sz w:val="24"/>
              </w:rPr>
              <w:t>sodik mondatában említett esetek kivételével az intézmény valamennyi kitettségi osztál</w:t>
            </w:r>
            <w:r>
              <w:rPr>
                <w:rFonts w:ascii="Times New Roman" w:hAnsi="Times New Roman"/>
                <w:sz w:val="24"/>
              </w:rPr>
              <w:t>y</w:t>
            </w:r>
            <w:r>
              <w:rPr>
                <w:rFonts w:ascii="Times New Roman" w:hAnsi="Times New Roman"/>
                <w:sz w:val="24"/>
              </w:rPr>
              <w:t>ra vonatkozóan a külön minősített jogi személyek/kötelezettek számát adja meg a külö</w:t>
            </w:r>
            <w:r>
              <w:rPr>
                <w:rFonts w:ascii="Times New Roman" w:hAnsi="Times New Roman"/>
                <w:sz w:val="24"/>
              </w:rPr>
              <w:t>n</w:t>
            </w:r>
            <w:r>
              <w:rPr>
                <w:rFonts w:ascii="Times New Roman" w:hAnsi="Times New Roman"/>
                <w:sz w:val="24"/>
              </w:rPr>
              <w:t>böző fennálló hitelek vagy ki</w:t>
            </w:r>
            <w:r w:rsidR="002B6A20">
              <w:rPr>
                <w:rFonts w:ascii="Times New Roman" w:hAnsi="Times New Roman"/>
                <w:sz w:val="24"/>
              </w:rPr>
              <w:t>tettségek számától függetlenül.</w:t>
            </w:r>
          </w:p>
          <w:p w:rsidR="001C7AB7" w:rsidRPr="00392FFD" w:rsidRDefault="001C7AB7" w:rsidP="001C7AB7">
            <w:pPr>
              <w:rPr>
                <w:rFonts w:ascii="Times New Roman" w:hAnsi="Times New Roman"/>
                <w:sz w:val="24"/>
              </w:rPr>
            </w:pPr>
            <w:r>
              <w:rPr>
                <w:rFonts w:ascii="Times New Roman" w:hAnsi="Times New Roman"/>
                <w:sz w:val="24"/>
              </w:rPr>
              <w:t>A lakossági kitettségi osztályon belül, vagy ha más kitettségi osztályokban ugyanazon kötelezettel szembeni külön kitettségeket különböző ügyfél-kategóriákhoz rendelnek a CRR 172. cikke (1) bekezdése e) pontjának második mondatával összhangban, az inté</w:t>
            </w:r>
            <w:r>
              <w:rPr>
                <w:rFonts w:ascii="Times New Roman" w:hAnsi="Times New Roman"/>
                <w:sz w:val="24"/>
              </w:rPr>
              <w:t>z</w:t>
            </w:r>
            <w:r>
              <w:rPr>
                <w:rFonts w:ascii="Times New Roman" w:hAnsi="Times New Roman"/>
                <w:sz w:val="24"/>
              </w:rPr>
              <w:t>mény azon kitettségek számát adja meg, amelyeket külön soroltak be egy bizonyos min</w:t>
            </w:r>
            <w:r>
              <w:rPr>
                <w:rFonts w:ascii="Times New Roman" w:hAnsi="Times New Roman"/>
                <w:sz w:val="24"/>
              </w:rPr>
              <w:t>ő</w:t>
            </w:r>
            <w:r>
              <w:rPr>
                <w:rFonts w:ascii="Times New Roman" w:hAnsi="Times New Roman"/>
                <w:sz w:val="24"/>
              </w:rPr>
              <w:t>sítési kategóriába vagy -halmazba. A CRR 172. cikkének (2) bekezdésének alkalmazás</w:t>
            </w:r>
            <w:r>
              <w:rPr>
                <w:rFonts w:ascii="Times New Roman" w:hAnsi="Times New Roman"/>
                <w:sz w:val="24"/>
              </w:rPr>
              <w:t>a</w:t>
            </w:r>
            <w:r>
              <w:rPr>
                <w:rFonts w:ascii="Times New Roman" w:hAnsi="Times New Roman"/>
                <w:sz w:val="24"/>
              </w:rPr>
              <w:t>kor egy kötelezett egynél több kat</w:t>
            </w:r>
            <w:r w:rsidR="002B6A20">
              <w:rPr>
                <w:rFonts w:ascii="Times New Roman" w:hAnsi="Times New Roman"/>
                <w:sz w:val="24"/>
              </w:rPr>
              <w:t>egóriában is figyelembe vehető.</w:t>
            </w:r>
          </w:p>
          <w:p w:rsidR="001C7AB7" w:rsidRPr="00392FFD" w:rsidRDefault="001C7AB7" w:rsidP="00241845">
            <w:pPr>
              <w:rPr>
                <w:rFonts w:ascii="Times New Roman" w:hAnsi="Times New Roman"/>
                <w:sz w:val="24"/>
              </w:rPr>
            </w:pPr>
            <w:r>
              <w:rPr>
                <w:rStyle w:val="InstructionsTabelleText"/>
                <w:rFonts w:ascii="Times New Roman" w:hAnsi="Times New Roman"/>
                <w:sz w:val="24"/>
              </w:rPr>
              <w:t>Mivel ez az oszlop a minősítési rendszerek egyik szerkezeti elemét érinti, az egyes üg</w:t>
            </w:r>
            <w:r>
              <w:rPr>
                <w:rStyle w:val="InstructionsTabelleText"/>
                <w:rFonts w:ascii="Times New Roman" w:hAnsi="Times New Roman"/>
                <w:sz w:val="24"/>
              </w:rPr>
              <w:t>y</w:t>
            </w:r>
            <w:r>
              <w:rPr>
                <w:rStyle w:val="InstructionsTabelleText"/>
                <w:rFonts w:ascii="Times New Roman" w:hAnsi="Times New Roman"/>
                <w:sz w:val="24"/>
              </w:rPr>
              <w:t>fél-kategóriákba vagy -halmazokba sorolt hitel-egyenértékesítési tényezők előtti eredeti kitettséghez kapcsolódik, a hitelkockázat-mérséklési technikák hatásainak (különösen a redisztribúciós hatás) figyelembevétele nélkül.</w:t>
            </w:r>
          </w:p>
        </w:tc>
      </w:tr>
    </w:tbl>
    <w:p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rsidTr="00672D2A">
        <w:tc>
          <w:tcPr>
            <w:tcW w:w="1242"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Sorok</w:t>
            </w:r>
          </w:p>
        </w:tc>
        <w:tc>
          <w:tcPr>
            <w:tcW w:w="8789" w:type="dxa"/>
            <w:shd w:val="clear" w:color="auto" w:fill="CCCCCC"/>
          </w:tcPr>
          <w:p w:rsidR="001C7AB7" w:rsidRPr="00392FFD" w:rsidRDefault="001C7AB7" w:rsidP="001C7AB7">
            <w:pPr>
              <w:ind w:left="72"/>
              <w:rPr>
                <w:rFonts w:ascii="Times New Roman" w:hAnsi="Times New Roman"/>
                <w:sz w:val="24"/>
              </w:rPr>
            </w:pPr>
            <w:r>
              <w:rPr>
                <w:rFonts w:ascii="Times New Roman" w:hAnsi="Times New Roman"/>
                <w:sz w:val="24"/>
              </w:rPr>
              <w:t>Útmutató</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789" w:type="dxa"/>
          </w:tcPr>
          <w:p w:rsidR="001C7AB7" w:rsidRPr="00392FFD" w:rsidRDefault="001C7AB7" w:rsidP="00FD6CCB">
            <w:pPr>
              <w:rPr>
                <w:rFonts w:ascii="Times New Roman" w:hAnsi="Times New Roman"/>
                <w:sz w:val="24"/>
              </w:rPr>
            </w:pPr>
            <w:r>
              <w:rPr>
                <w:rFonts w:ascii="Times New Roman" w:hAnsi="Times New Roman"/>
                <w:b/>
                <w:sz w:val="24"/>
                <w:u w:val="single"/>
              </w:rPr>
              <w:t>TELJES KITETTSÉG</w:t>
            </w:r>
          </w:p>
        </w:tc>
      </w:tr>
      <w:tr w:rsidR="00785F3E" w:rsidRPr="00392FFD" w:rsidTr="00672D2A">
        <w:tc>
          <w:tcPr>
            <w:tcW w:w="1242" w:type="dxa"/>
          </w:tcPr>
          <w:p w:rsidR="00785F3E" w:rsidRPr="00392FFD" w:rsidRDefault="003C3168" w:rsidP="001C7AB7">
            <w:pPr>
              <w:rPr>
                <w:rFonts w:ascii="Times New Roman" w:hAnsi="Times New Roman"/>
                <w:sz w:val="24"/>
              </w:rPr>
            </w:pPr>
            <w:r>
              <w:rPr>
                <w:rFonts w:ascii="Times New Roman" w:hAnsi="Times New Roman"/>
                <w:sz w:val="24"/>
              </w:rPr>
              <w:t>015</w:t>
            </w:r>
          </w:p>
        </w:tc>
        <w:tc>
          <w:tcPr>
            <w:tcW w:w="8789" w:type="dxa"/>
          </w:tcPr>
          <w:p w:rsidR="00785F3E" w:rsidRPr="00392FFD" w:rsidRDefault="00785F3E" w:rsidP="00785F3E">
            <w:pPr>
              <w:rPr>
                <w:rFonts w:ascii="Times New Roman" w:hAnsi="Times New Roman"/>
                <w:b/>
                <w:sz w:val="24"/>
                <w:u w:val="single"/>
              </w:rPr>
            </w:pPr>
            <w:r>
              <w:rPr>
                <w:rFonts w:ascii="Times New Roman" w:hAnsi="Times New Roman"/>
                <w:b/>
                <w:sz w:val="24"/>
                <w:u w:val="single"/>
              </w:rPr>
              <w:t>Ebből: Kitettség a kkv-szorzó alkalmazásával</w:t>
            </w:r>
          </w:p>
          <w:p w:rsidR="00785F3E" w:rsidRPr="00392FFD" w:rsidRDefault="00785F3E" w:rsidP="00785F3E">
            <w:pPr>
              <w:rPr>
                <w:rFonts w:ascii="Times New Roman" w:hAnsi="Times New Roman"/>
                <w:sz w:val="24"/>
              </w:rPr>
            </w:pPr>
            <w:r>
              <w:rPr>
                <w:rFonts w:ascii="Times New Roman" w:hAnsi="Times New Roman"/>
                <w:sz w:val="24"/>
              </w:rPr>
              <w:t>Itt csak azokat a kkv-kal szembeni kitettségeket kell feltüntetni, amelyek teljesítik a CRR 501. cikkében előírt követelményeket.</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020-060</w:t>
            </w:r>
          </w:p>
        </w:tc>
        <w:tc>
          <w:tcPr>
            <w:tcW w:w="8789" w:type="dxa"/>
          </w:tcPr>
          <w:p w:rsidR="001C7AB7" w:rsidRPr="00392FFD" w:rsidRDefault="001C7AB7" w:rsidP="001C7AB7">
            <w:pPr>
              <w:rPr>
                <w:rFonts w:ascii="Times New Roman" w:hAnsi="Times New Roman"/>
                <w:sz w:val="24"/>
              </w:rPr>
            </w:pPr>
            <w:r>
              <w:rPr>
                <w:rFonts w:ascii="Times New Roman" w:hAnsi="Times New Roman"/>
                <w:sz w:val="24"/>
              </w:rPr>
              <w:t>A TELJES KITETTSÉG KITETTSÉGTÍPUS SZERINTI BONTÁSA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Hitelkockázattal érintett mérlegtételek </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A CRR 24. cikkében említett, más kategóriába nem sorolt eszközök.</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lastRenderedPageBreak/>
              <w:t>Azokat a mérlegtételnek minősülő kitettségeket, amelyeket értékpapír-finanszírozási ügyletként vagy származtatott ügyletként, illetve hosszú teljesítési idejű ügyletként sz</w:t>
            </w:r>
            <w:r>
              <w:rPr>
                <w:rStyle w:val="InstructionsTabelleText"/>
                <w:rFonts w:ascii="Times New Roman" w:hAnsi="Times New Roman"/>
                <w:sz w:val="24"/>
              </w:rPr>
              <w:t>á</w:t>
            </w:r>
            <w:r>
              <w:rPr>
                <w:rStyle w:val="InstructionsTabelleText"/>
                <w:rFonts w:ascii="Times New Roman" w:hAnsi="Times New Roman"/>
                <w:sz w:val="24"/>
              </w:rPr>
              <w:t>mítanak be, vagy eltérő termékkategóriák közötti nettósításról szóló szerződéses megá</w:t>
            </w:r>
            <w:r>
              <w:rPr>
                <w:rStyle w:val="InstructionsTabelleText"/>
                <w:rFonts w:ascii="Times New Roman" w:hAnsi="Times New Roman"/>
                <w:sz w:val="24"/>
              </w:rPr>
              <w:t>l</w:t>
            </w:r>
            <w:r>
              <w:rPr>
                <w:rStyle w:val="InstructionsTabelleText"/>
                <w:rFonts w:ascii="Times New Roman" w:hAnsi="Times New Roman"/>
                <w:sz w:val="24"/>
              </w:rPr>
              <w:t>lapodásból erednek, a 040–060. sorban kell feltüntetni, így ebben a sorban nem szerepe</w:t>
            </w:r>
            <w:r>
              <w:rPr>
                <w:rStyle w:val="InstructionsTabelleText"/>
                <w:rFonts w:ascii="Times New Roman" w:hAnsi="Times New Roman"/>
                <w:sz w:val="24"/>
              </w:rPr>
              <w:t>l</w:t>
            </w:r>
            <w:r>
              <w:rPr>
                <w:rStyle w:val="InstructionsTabelleText"/>
                <w:rFonts w:ascii="Times New Roman" w:hAnsi="Times New Roman"/>
                <w:sz w:val="24"/>
              </w:rPr>
              <w:t>tethetők.</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A CRR 379. cikkének (1) bekezdése szerinti, le nem vont nyitva szállítások nem min</w:t>
            </w:r>
            <w:r>
              <w:rPr>
                <w:rStyle w:val="InstructionsTabelleText"/>
                <w:rFonts w:ascii="Times New Roman" w:hAnsi="Times New Roman"/>
                <w:sz w:val="24"/>
              </w:rPr>
              <w:t>ő</w:t>
            </w:r>
            <w:r>
              <w:rPr>
                <w:rStyle w:val="InstructionsTabelleText"/>
                <w:rFonts w:ascii="Times New Roman" w:hAnsi="Times New Roman"/>
                <w:sz w:val="24"/>
              </w:rPr>
              <w:t>sülnek mérlegtételnek, azonban azokat ebben a sorban fel kell tüntetni.</w:t>
            </w:r>
          </w:p>
          <w:p w:rsidR="001C7AB7" w:rsidRPr="00392FFD" w:rsidRDefault="001C7AB7" w:rsidP="001C7AB7">
            <w:pPr>
              <w:rPr>
                <w:rFonts w:ascii="Times New Roman" w:hAnsi="Times New Roman"/>
                <w:sz w:val="24"/>
              </w:rPr>
            </w:pPr>
            <w:r>
              <w:rPr>
                <w:rStyle w:val="InstructionsTabelleText"/>
                <w:rFonts w:ascii="Times New Roman" w:hAnsi="Times New Roman"/>
                <w:sz w:val="24"/>
              </w:rPr>
              <w:t>A CRR 4. cikke (1) bekezdésének 91. pontja értelmében a központi szerződő félre kön</w:t>
            </w:r>
            <w:r>
              <w:rPr>
                <w:rStyle w:val="InstructionsTabelleText"/>
                <w:rFonts w:ascii="Times New Roman" w:hAnsi="Times New Roman"/>
                <w:sz w:val="24"/>
              </w:rPr>
              <w:t>y</w:t>
            </w:r>
            <w:r>
              <w:rPr>
                <w:rStyle w:val="InstructionsTabelleText"/>
                <w:rFonts w:ascii="Times New Roman" w:hAnsi="Times New Roman"/>
                <w:sz w:val="24"/>
              </w:rPr>
              <w:t xml:space="preserve">velt eszközből eredő kitettségeket, valamint a CRR 4. cikke (1) bekezdésének 89. pontja szerinti garanciaalappal szembeni kitettségeket be kell számítani akkor, ha azok a 030. sorban nem szerepelnek.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030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Hitelkockázattal érintett mérlegen kívüli tételek</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A mérlegen kívüli pozíciók közé a CRR I. mellékletében felsorolt tételek tartoznak.</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Azokat a mérlegen kívüli tételnek minősülő kitettségeket, amelyeket értékpapír-finanszírozási ügyletek vagy származtatott ügyletek, illetve hosszú teljesítési idejű üg</w:t>
            </w:r>
            <w:r>
              <w:rPr>
                <w:rStyle w:val="InstructionsTabelleText"/>
                <w:rFonts w:ascii="Times New Roman" w:hAnsi="Times New Roman"/>
                <w:sz w:val="24"/>
              </w:rPr>
              <w:t>y</w:t>
            </w:r>
            <w:r>
              <w:rPr>
                <w:rStyle w:val="InstructionsTabelleText"/>
                <w:rFonts w:ascii="Times New Roman" w:hAnsi="Times New Roman"/>
                <w:sz w:val="24"/>
              </w:rPr>
              <w:t>letek, vagy eltérő termékkategóriák közötti nettósításról szóló szerződéses megállap</w:t>
            </w:r>
            <w:r>
              <w:rPr>
                <w:rStyle w:val="InstructionsTabelleText"/>
                <w:rFonts w:ascii="Times New Roman" w:hAnsi="Times New Roman"/>
                <w:sz w:val="24"/>
              </w:rPr>
              <w:t>o</w:t>
            </w:r>
            <w:r>
              <w:rPr>
                <w:rStyle w:val="InstructionsTabelleText"/>
                <w:rFonts w:ascii="Times New Roman" w:hAnsi="Times New Roman"/>
                <w:sz w:val="24"/>
              </w:rPr>
              <w:t>dásból erednek, a 040–060. sorban kell feltüntetni, így ebben a sorban nem szerepelte</w:t>
            </w:r>
            <w:r>
              <w:rPr>
                <w:rStyle w:val="InstructionsTabelleText"/>
                <w:rFonts w:ascii="Times New Roman" w:hAnsi="Times New Roman"/>
                <w:sz w:val="24"/>
              </w:rPr>
              <w:t>t</w:t>
            </w:r>
            <w:r>
              <w:rPr>
                <w:rStyle w:val="InstructionsTabelleText"/>
                <w:rFonts w:ascii="Times New Roman" w:hAnsi="Times New Roman"/>
                <w:sz w:val="24"/>
              </w:rPr>
              <w:t>hetők.</w:t>
            </w:r>
          </w:p>
          <w:p w:rsidR="001C7AB7" w:rsidRPr="00392FFD" w:rsidRDefault="001C7AB7" w:rsidP="001C7AB7">
            <w:pPr>
              <w:rPr>
                <w:rFonts w:ascii="Times New Roman" w:hAnsi="Times New Roman"/>
                <w:sz w:val="24"/>
              </w:rPr>
            </w:pPr>
            <w:r>
              <w:rPr>
                <w:rStyle w:val="InstructionsTabelleText"/>
                <w:rFonts w:ascii="Times New Roman" w:hAnsi="Times New Roman"/>
                <w:sz w:val="24"/>
              </w:rPr>
              <w:t>A CRR 4. cikke (1) bekezdésének 91. pontja értelmében a központi szerződő félre kön</w:t>
            </w:r>
            <w:r>
              <w:rPr>
                <w:rStyle w:val="InstructionsTabelleText"/>
                <w:rFonts w:ascii="Times New Roman" w:hAnsi="Times New Roman"/>
                <w:sz w:val="24"/>
              </w:rPr>
              <w:t>y</w:t>
            </w:r>
            <w:r>
              <w:rPr>
                <w:rStyle w:val="InstructionsTabelleText"/>
                <w:rFonts w:ascii="Times New Roman" w:hAnsi="Times New Roman"/>
                <w:sz w:val="24"/>
              </w:rPr>
              <w:t>velt eszközből eredő kitettségeket, valamint a CRR 4. cikke (1) bekezdésének 89. pontja szerinti garanciaalappal szembeni kitettségeket be kell számítani akkor, ha azok mérl</w:t>
            </w:r>
            <w:r>
              <w:rPr>
                <w:rStyle w:val="InstructionsTabelleText"/>
                <w:rFonts w:ascii="Times New Roman" w:hAnsi="Times New Roman"/>
                <w:sz w:val="24"/>
              </w:rPr>
              <w:t>e</w:t>
            </w:r>
            <w:r>
              <w:rPr>
                <w:rStyle w:val="InstructionsTabelleText"/>
                <w:rFonts w:ascii="Times New Roman" w:hAnsi="Times New Roman"/>
                <w:sz w:val="24"/>
              </w:rPr>
              <w:t xml:space="preserve">gen kívüli tételnek minősülnek. </w:t>
            </w:r>
          </w:p>
        </w:tc>
      </w:tr>
      <w:tr w:rsidR="001C7AB7" w:rsidRPr="00392FFD" w:rsidTr="00672D2A">
        <w:tc>
          <w:tcPr>
            <w:tcW w:w="1242" w:type="dxa"/>
          </w:tcPr>
          <w:p w:rsidR="001C7AB7" w:rsidRPr="00392FFD" w:rsidRDefault="001C7AB7" w:rsidP="001C7AB7">
            <w:pPr>
              <w:rPr>
                <w:rFonts w:ascii="Times New Roman" w:hAnsi="Times New Roman"/>
                <w:sz w:val="24"/>
              </w:rPr>
            </w:pPr>
            <w:r>
              <w:rPr>
                <w:rStyle w:val="InstructionsTabelleText"/>
                <w:rFonts w:ascii="Times New Roman" w:hAnsi="Times New Roman"/>
                <w:sz w:val="24"/>
              </w:rPr>
              <w:t>040-060</w:t>
            </w:r>
          </w:p>
        </w:tc>
        <w:tc>
          <w:tcPr>
            <w:tcW w:w="8789" w:type="dxa"/>
          </w:tcPr>
          <w:p w:rsidR="001C7AB7" w:rsidRPr="00392FFD" w:rsidRDefault="001C7AB7" w:rsidP="001C7AB7">
            <w:pPr>
              <w:rPr>
                <w:rFonts w:ascii="Times New Roman" w:hAnsi="Times New Roman"/>
                <w:b/>
                <w:sz w:val="24"/>
                <w:u w:val="single"/>
              </w:rPr>
            </w:pPr>
            <w:r>
              <w:rPr>
                <w:rStyle w:val="InstructionsTabelleberschrift"/>
                <w:rFonts w:ascii="Times New Roman" w:hAnsi="Times New Roman"/>
                <w:sz w:val="24"/>
              </w:rPr>
              <w:t>Partnerkockázattal érintett kitettségek/ügyletek</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789" w:type="dxa"/>
          </w:tcPr>
          <w:p w:rsidR="001C7AB7" w:rsidRPr="00392FFD" w:rsidRDefault="001C7AB7" w:rsidP="001C7AB7">
            <w:pPr>
              <w:ind w:left="72"/>
              <w:rPr>
                <w:rStyle w:val="InstructionsTabelleberschrift"/>
                <w:rFonts w:ascii="Times New Roman" w:hAnsi="Times New Roman"/>
                <w:sz w:val="24"/>
              </w:rPr>
            </w:pPr>
            <w:r>
              <w:rPr>
                <w:rStyle w:val="InstructionsTabelleberschrift"/>
                <w:rFonts w:ascii="Times New Roman" w:hAnsi="Times New Roman"/>
                <w:sz w:val="24"/>
              </w:rPr>
              <w:t xml:space="preserve">Értékpapír-finanszírozási ügyletek </w:t>
            </w:r>
          </w:p>
          <w:p w:rsidR="001C7AB7" w:rsidRPr="00392FFD" w:rsidRDefault="001C7AB7" w:rsidP="001C7AB7">
            <w:pPr>
              <w:ind w:left="72"/>
              <w:rPr>
                <w:rStyle w:val="InstructionsTabelleText"/>
                <w:rFonts w:ascii="Times New Roman" w:hAnsi="Times New Roman"/>
                <w:sz w:val="24"/>
              </w:rPr>
            </w:pPr>
            <w:r>
              <w:rPr>
                <w:rStyle w:val="InstructionsTabelleText"/>
                <w:rFonts w:ascii="Times New Roman" w:hAnsi="Times New Roman"/>
                <w:sz w:val="24"/>
              </w:rPr>
              <w:t>A Bázeli Bankfelügyeleti Bizottság „</w:t>
            </w:r>
            <w:proofErr w:type="gramStart"/>
            <w:r>
              <w:rPr>
                <w:rStyle w:val="InstructionsTabelleText"/>
                <w:rFonts w:ascii="Times New Roman" w:hAnsi="Times New Roman"/>
                <w:sz w:val="24"/>
              </w:rPr>
              <w:t>A</w:t>
            </w:r>
            <w:proofErr w:type="gramEnd"/>
            <w:r>
              <w:rPr>
                <w:rStyle w:val="InstructionsTabelleText"/>
                <w:rFonts w:ascii="Times New Roman" w:hAnsi="Times New Roman"/>
                <w:sz w:val="24"/>
              </w:rPr>
              <w:t xml:space="preserve"> Bázel II alkalmazása a kereskedési tevékenys</w:t>
            </w:r>
            <w:r>
              <w:rPr>
                <w:rStyle w:val="InstructionsTabelleText"/>
                <w:rFonts w:ascii="Times New Roman" w:hAnsi="Times New Roman"/>
                <w:sz w:val="24"/>
              </w:rPr>
              <w:t>é</w:t>
            </w:r>
            <w:r>
              <w:rPr>
                <w:rStyle w:val="InstructionsTabelleText"/>
                <w:rFonts w:ascii="Times New Roman" w:hAnsi="Times New Roman"/>
                <w:sz w:val="24"/>
              </w:rPr>
              <w:t>gek és az együttes nemteljesítés kezelése terén” c. dokumentumának 17. bekezdésében meghatározott értékpapír-finanszírozási ügyletek (SFT) magukban foglalják: i. a CRR 4. cikke (1) bekezdésének 82. pontjában meghatározott repo- és fordított repomegállapodásokat, valamint az értékpapír- és áru-kölcsönbeadási, illetve -kölcsönvételi ügyleteket és ii. a CRR 272. cikkének (3) bekezdésében meghatározott é</w:t>
            </w:r>
            <w:r>
              <w:rPr>
                <w:rStyle w:val="InstructionsTabelleText"/>
                <w:rFonts w:ascii="Times New Roman" w:hAnsi="Times New Roman"/>
                <w:sz w:val="24"/>
              </w:rPr>
              <w:t>r</w:t>
            </w:r>
            <w:r>
              <w:rPr>
                <w:rStyle w:val="InstructionsTabelleText"/>
                <w:rFonts w:ascii="Times New Roman" w:hAnsi="Times New Roman"/>
                <w:sz w:val="24"/>
              </w:rPr>
              <w:t>tékpapírügylethez kapcsolódó hiteleket.</w:t>
            </w:r>
          </w:p>
          <w:p w:rsidR="001C7AB7" w:rsidRPr="00392FFD" w:rsidRDefault="001C7AB7" w:rsidP="00FD6CCB">
            <w:pPr>
              <w:rPr>
                <w:rFonts w:ascii="Times New Roman" w:hAnsi="Times New Roman"/>
                <w:sz w:val="24"/>
              </w:rPr>
            </w:pPr>
            <w:r>
              <w:rPr>
                <w:rStyle w:val="InstructionsTabelleText"/>
                <w:rFonts w:ascii="Times New Roman" w:hAnsi="Times New Roman"/>
                <w:sz w:val="24"/>
              </w:rPr>
              <w:t>Azok az értékpapír-finanszírozási ügyletek</w:t>
            </w:r>
            <w:proofErr w:type="gramStart"/>
            <w:r>
              <w:rPr>
                <w:rStyle w:val="InstructionsTabelleText"/>
                <w:rFonts w:ascii="Times New Roman" w:hAnsi="Times New Roman"/>
                <w:sz w:val="24"/>
              </w:rPr>
              <w:t>,</w:t>
            </w:r>
            <w:proofErr w:type="gramEnd"/>
            <w:r>
              <w:rPr>
                <w:rStyle w:val="InstructionsTabelleText"/>
                <w:rFonts w:ascii="Times New Roman" w:hAnsi="Times New Roman"/>
                <w:sz w:val="24"/>
              </w:rPr>
              <w:t xml:space="preserve"> amelyek termékkategóriák közötti nettósítás részét képezik és ennélfogva a 060. sorban szerepelnek, ebben a sorban nem tüntethetők fel.</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Származtatott</w:t>
            </w:r>
            <w:r>
              <w:rPr>
                <w:rStyle w:val="InstructionsTabelleberschrift"/>
                <w:rFonts w:ascii="Times New Roman" w:hAnsi="Times New Roman"/>
                <w:sz w:val="24"/>
              </w:rPr>
              <w:t xml:space="preserve"> és hosszú teljesítési idejű ügyletek</w:t>
            </w:r>
          </w:p>
          <w:p w:rsidR="001C7AB7" w:rsidRPr="00392FFD" w:rsidRDefault="001C7AB7" w:rsidP="00FD6CCB">
            <w:pPr>
              <w:ind w:left="72"/>
              <w:rPr>
                <w:rFonts w:ascii="Times New Roman" w:hAnsi="Times New Roman"/>
                <w:sz w:val="24"/>
              </w:rPr>
            </w:pPr>
            <w:r>
              <w:rPr>
                <w:rStyle w:val="InstructionsTabelleText"/>
                <w:rFonts w:ascii="Times New Roman" w:hAnsi="Times New Roman"/>
                <w:sz w:val="24"/>
              </w:rPr>
              <w:t>A származtatott ügyletek a CRR II. mellékletében felsorolt szerződéseket foglalják m</w:t>
            </w:r>
            <w:r>
              <w:rPr>
                <w:rStyle w:val="InstructionsTabelleText"/>
                <w:rFonts w:ascii="Times New Roman" w:hAnsi="Times New Roman"/>
                <w:sz w:val="24"/>
              </w:rPr>
              <w:t>a</w:t>
            </w:r>
            <w:r>
              <w:rPr>
                <w:rStyle w:val="InstructionsTabelleText"/>
                <w:rFonts w:ascii="Times New Roman" w:hAnsi="Times New Roman"/>
                <w:sz w:val="24"/>
              </w:rPr>
              <w:t>gukban. Azok a származtatott ügyletek és hosszú teljesítési idejű ügyletek</w:t>
            </w:r>
            <w:proofErr w:type="gramStart"/>
            <w:r>
              <w:rPr>
                <w:rStyle w:val="InstructionsTabelleText"/>
                <w:rFonts w:ascii="Times New Roman" w:hAnsi="Times New Roman"/>
                <w:sz w:val="24"/>
              </w:rPr>
              <w:t>,</w:t>
            </w:r>
            <w:proofErr w:type="gramEnd"/>
            <w:r>
              <w:rPr>
                <w:rStyle w:val="InstructionsTabelleText"/>
                <w:rFonts w:ascii="Times New Roman" w:hAnsi="Times New Roman"/>
                <w:sz w:val="24"/>
              </w:rPr>
              <w:t xml:space="preserve"> amelyek termékkategóriák közötti nettósítás részét képezik, és ennélfogva a 060-as sorban szer</w:t>
            </w:r>
            <w:r>
              <w:rPr>
                <w:rStyle w:val="InstructionsTabelleText"/>
                <w:rFonts w:ascii="Times New Roman" w:hAnsi="Times New Roman"/>
                <w:sz w:val="24"/>
              </w:rPr>
              <w:t>e</w:t>
            </w:r>
            <w:r>
              <w:rPr>
                <w:rStyle w:val="InstructionsTabelleText"/>
                <w:rFonts w:ascii="Times New Roman" w:hAnsi="Times New Roman"/>
                <w:sz w:val="24"/>
              </w:rPr>
              <w:t>pelnek, ebben a sorban nem tüntethetők fel.</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Eltérő termékkategóriák közötti nettósításról szóló szerződéses megállapodásból</w:t>
            </w:r>
          </w:p>
          <w:p w:rsidR="001C7AB7" w:rsidRPr="00392FFD" w:rsidRDefault="00FD6CCB" w:rsidP="001C7AB7">
            <w:pPr>
              <w:rPr>
                <w:rFonts w:ascii="Times New Roman" w:hAnsi="Times New Roman"/>
                <w:sz w:val="24"/>
              </w:rPr>
            </w:pPr>
            <w:r>
              <w:rPr>
                <w:rFonts w:ascii="Times New Roman" w:hAnsi="Times New Roman"/>
                <w:sz w:val="24"/>
              </w:rPr>
              <w:t>Lásd a CR SA táblához tartozó útmutatót.</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070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ÜGYFÉL-KATEGÓRIÁKBA VAGY –HALMAZOKBA (POOLOKBA) SOROLT KITETTSÉGEK: ÖSSZESEN</w:t>
            </w:r>
          </w:p>
          <w:p w:rsidR="001C7AB7" w:rsidRPr="00392FFD" w:rsidRDefault="001C7AB7" w:rsidP="001C7AB7">
            <w:pPr>
              <w:rPr>
                <w:rFonts w:ascii="Times New Roman" w:hAnsi="Times New Roman"/>
                <w:sz w:val="24"/>
              </w:rPr>
            </w:pPr>
            <w:r>
              <w:rPr>
                <w:rFonts w:ascii="Times New Roman" w:hAnsi="Times New Roman"/>
                <w:sz w:val="24"/>
              </w:rPr>
              <w:t>Vállalkozásokkal, intézményekkel és központi kormányzatokkal, valamint központi bankokkal szembeni kitettségekkel kapcsolatban lásd a CRR 142. cikke (1) bekezdés</w:t>
            </w:r>
            <w:r>
              <w:rPr>
                <w:rFonts w:ascii="Times New Roman" w:hAnsi="Times New Roman"/>
                <w:sz w:val="24"/>
              </w:rPr>
              <w:t>é</w:t>
            </w:r>
            <w:r>
              <w:rPr>
                <w:rFonts w:ascii="Times New Roman" w:hAnsi="Times New Roman"/>
                <w:sz w:val="24"/>
              </w:rPr>
              <w:t>nek 6. pontját, valamint 170. cik</w:t>
            </w:r>
            <w:r w:rsidR="002B6A20">
              <w:rPr>
                <w:rFonts w:ascii="Times New Roman" w:hAnsi="Times New Roman"/>
                <w:sz w:val="24"/>
              </w:rPr>
              <w:t>ke (1) bekezdésének c) pontját.</w:t>
            </w:r>
          </w:p>
          <w:p w:rsidR="001C7AB7" w:rsidRPr="00392FFD" w:rsidRDefault="001C7AB7" w:rsidP="001C7AB7">
            <w:pPr>
              <w:rPr>
                <w:rFonts w:ascii="Times New Roman" w:hAnsi="Times New Roman"/>
                <w:sz w:val="24"/>
              </w:rPr>
            </w:pPr>
            <w:r>
              <w:rPr>
                <w:rFonts w:ascii="Times New Roman" w:hAnsi="Times New Roman"/>
                <w:sz w:val="24"/>
              </w:rPr>
              <w:t>A lakossággal szembeni kitettségekkel kapcsolatban lásd a CRR 170. cikke (3) bekezdésének b) pontját. A vásárolt követelésekből eredő kitettségekkel kapcsolatban lásd a CR</w:t>
            </w:r>
            <w:r w:rsidR="002B6A20">
              <w:rPr>
                <w:rFonts w:ascii="Times New Roman" w:hAnsi="Times New Roman"/>
                <w:sz w:val="24"/>
              </w:rPr>
              <w:t>R 166. cikkének (6) bekezdését.</w:t>
            </w:r>
          </w:p>
          <w:p w:rsidR="001C7AB7" w:rsidRPr="00392FFD" w:rsidRDefault="001C7AB7" w:rsidP="001C7AB7">
            <w:pPr>
              <w:rPr>
                <w:rFonts w:ascii="Times New Roman" w:hAnsi="Times New Roman"/>
                <w:sz w:val="24"/>
              </w:rPr>
            </w:pPr>
            <w:r>
              <w:rPr>
                <w:rFonts w:ascii="Times New Roman" w:hAnsi="Times New Roman"/>
                <w:sz w:val="24"/>
              </w:rPr>
              <w:t>A vásárolt követelések felhígulási kockázatával összefüggő kitettségeket nem kell üg</w:t>
            </w:r>
            <w:r>
              <w:rPr>
                <w:rFonts w:ascii="Times New Roman" w:hAnsi="Times New Roman"/>
                <w:sz w:val="24"/>
              </w:rPr>
              <w:t>y</w:t>
            </w:r>
            <w:r>
              <w:rPr>
                <w:rFonts w:ascii="Times New Roman" w:hAnsi="Times New Roman"/>
                <w:sz w:val="24"/>
              </w:rPr>
              <w:t>fél-kategóriák és -halmazok szerint jelenteni, így az ilyen kitettségeket a 180. sorban kell feltüntetni.</w:t>
            </w:r>
          </w:p>
          <w:p w:rsidR="001C7AB7" w:rsidRPr="00392FFD" w:rsidRDefault="001C7AB7" w:rsidP="001C7AB7">
            <w:pPr>
              <w:rPr>
                <w:rFonts w:ascii="Times New Roman" w:hAnsi="Times New Roman"/>
                <w:sz w:val="24"/>
              </w:rPr>
            </w:pPr>
            <w:r>
              <w:rPr>
                <w:rFonts w:ascii="Times New Roman" w:hAnsi="Times New Roman"/>
                <w:sz w:val="24"/>
              </w:rPr>
              <w:t>Ha az intézmény nagyszámú ügyfél-kategóriát vagy -halmazt alkalmaz, akkor adatszo</w:t>
            </w:r>
            <w:r>
              <w:rPr>
                <w:rFonts w:ascii="Times New Roman" w:hAnsi="Times New Roman"/>
                <w:sz w:val="24"/>
              </w:rPr>
              <w:t>l</w:t>
            </w:r>
            <w:r>
              <w:rPr>
                <w:rFonts w:ascii="Times New Roman" w:hAnsi="Times New Roman"/>
                <w:sz w:val="24"/>
              </w:rPr>
              <w:t>gáltatási célból a kategóriák vagy -halmazok csökkentett számáról állapodhat meg az i</w:t>
            </w:r>
            <w:r>
              <w:rPr>
                <w:rFonts w:ascii="Times New Roman" w:hAnsi="Times New Roman"/>
                <w:sz w:val="24"/>
              </w:rPr>
              <w:t>l</w:t>
            </w:r>
            <w:r w:rsidR="002B6A20">
              <w:rPr>
                <w:rFonts w:ascii="Times New Roman" w:hAnsi="Times New Roman"/>
                <w:sz w:val="24"/>
              </w:rPr>
              <w:t>letékes hatóságokkal.</w:t>
            </w:r>
          </w:p>
          <w:p w:rsidR="001C7AB7" w:rsidRPr="00392FFD" w:rsidRDefault="00C93697" w:rsidP="00FD6CCB">
            <w:pPr>
              <w:rPr>
                <w:rFonts w:ascii="Times New Roman" w:hAnsi="Times New Roman"/>
                <w:sz w:val="24"/>
              </w:rPr>
            </w:pPr>
            <w:r>
              <w:rPr>
                <w:rFonts w:ascii="Times New Roman" w:hAnsi="Times New Roman"/>
                <w:sz w:val="24"/>
              </w:rPr>
              <w:t>Nincs irányadó skála. Ehelyett az intézmények az alkalmazni kívánt ská</w:t>
            </w:r>
            <w:r w:rsidR="002B6A20">
              <w:rPr>
                <w:rFonts w:ascii="Times New Roman" w:hAnsi="Times New Roman"/>
                <w:sz w:val="24"/>
              </w:rPr>
              <w:t>lát saját maguk határozzák meg.</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080</w:t>
            </w:r>
          </w:p>
        </w:tc>
        <w:tc>
          <w:tcPr>
            <w:tcW w:w="8789" w:type="dxa"/>
          </w:tcPr>
          <w:p w:rsidR="001C7AB7" w:rsidRPr="00392FFD" w:rsidRDefault="001C7AB7" w:rsidP="001C7AB7">
            <w:pPr>
              <w:rPr>
                <w:rFonts w:ascii="Times New Roman" w:hAnsi="Times New Roman"/>
                <w:sz w:val="24"/>
              </w:rPr>
            </w:pPr>
            <w:r>
              <w:rPr>
                <w:rFonts w:ascii="Times New Roman" w:hAnsi="Times New Roman"/>
                <w:b/>
                <w:sz w:val="24"/>
                <w:u w:val="single"/>
              </w:rPr>
              <w:t>SLOTTING MÓDSZER ALÁ TARTOZÓ SPECIÁLIS HITELEZÉSI KITET</w:t>
            </w:r>
            <w:r>
              <w:rPr>
                <w:rFonts w:ascii="Times New Roman" w:hAnsi="Times New Roman"/>
                <w:b/>
                <w:sz w:val="24"/>
                <w:u w:val="single"/>
              </w:rPr>
              <w:t>T</w:t>
            </w:r>
            <w:r>
              <w:rPr>
                <w:rFonts w:ascii="Times New Roman" w:hAnsi="Times New Roman"/>
                <w:b/>
                <w:sz w:val="24"/>
                <w:u w:val="single"/>
              </w:rPr>
              <w:t>SÉGEK: ÖSSZESEN</w:t>
            </w:r>
          </w:p>
          <w:p w:rsidR="001C7AB7" w:rsidRPr="00392FFD" w:rsidRDefault="001C7AB7" w:rsidP="00FD6CCB">
            <w:pPr>
              <w:rPr>
                <w:rFonts w:ascii="Times New Roman" w:hAnsi="Times New Roman"/>
                <w:sz w:val="24"/>
              </w:rPr>
            </w:pPr>
            <w:r>
              <w:rPr>
                <w:rFonts w:ascii="Times New Roman" w:hAnsi="Times New Roman"/>
                <w:sz w:val="24"/>
              </w:rPr>
              <w:t>A CRR 153. cikkének (5) bekezdése Kizárólag a vállalatokkal, intézményekkel és kö</w:t>
            </w:r>
            <w:r>
              <w:rPr>
                <w:rFonts w:ascii="Times New Roman" w:hAnsi="Times New Roman"/>
                <w:sz w:val="24"/>
              </w:rPr>
              <w:t>z</w:t>
            </w:r>
            <w:r>
              <w:rPr>
                <w:rFonts w:ascii="Times New Roman" w:hAnsi="Times New Roman"/>
                <w:sz w:val="24"/>
              </w:rPr>
              <w:t xml:space="preserve">ponti kormányzatokkal, valamint központi bankokkal szembeni kitettségek osztályaira vonatkozik. </w:t>
            </w:r>
          </w:p>
        </w:tc>
      </w:tr>
      <w:tr w:rsidR="001C7AB7" w:rsidRPr="00392FFD" w:rsidTr="00672D2A">
        <w:tc>
          <w:tcPr>
            <w:tcW w:w="1242" w:type="dxa"/>
          </w:tcPr>
          <w:p w:rsidR="001C7AB7" w:rsidRPr="00392FFD" w:rsidRDefault="001C7AB7" w:rsidP="004F2B30">
            <w:pPr>
              <w:rPr>
                <w:rFonts w:ascii="Times New Roman" w:hAnsi="Times New Roman"/>
                <w:sz w:val="24"/>
              </w:rPr>
            </w:pPr>
            <w:r>
              <w:rPr>
                <w:rFonts w:ascii="Times New Roman" w:hAnsi="Times New Roman"/>
                <w:sz w:val="24"/>
              </w:rPr>
              <w:t>090-150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A SLOTTING MÓDSZER ALÁ TARTOZÓ TELJES SPECIÁLIS HITELEZÉSI KITETTSÉG KOCKÁZATI SÚLY SZERINTI BONTÁSA: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120</w:t>
            </w:r>
          </w:p>
        </w:tc>
        <w:tc>
          <w:tcPr>
            <w:tcW w:w="8789" w:type="dxa"/>
          </w:tcPr>
          <w:p w:rsidR="001C7AB7" w:rsidRPr="00392FFD" w:rsidRDefault="002B6A20" w:rsidP="001C7AB7">
            <w:pPr>
              <w:rPr>
                <w:rStyle w:val="InstructionsTabelleberschrift"/>
                <w:rFonts w:ascii="Times New Roman" w:hAnsi="Times New Roman"/>
                <w:sz w:val="24"/>
              </w:rPr>
            </w:pPr>
            <w:r>
              <w:rPr>
                <w:rStyle w:val="InstructionsTabelleberschrift"/>
                <w:rFonts w:ascii="Times New Roman" w:hAnsi="Times New Roman"/>
                <w:sz w:val="24"/>
              </w:rPr>
              <w:t>Ebből: az 1. kategóriában</w:t>
            </w:r>
          </w:p>
          <w:p w:rsidR="001C7AB7" w:rsidRPr="00392FFD" w:rsidRDefault="001C7AB7" w:rsidP="001C7AB7">
            <w:pPr>
              <w:rPr>
                <w:rFonts w:ascii="Times New Roman" w:hAnsi="Times New Roman"/>
                <w:sz w:val="24"/>
              </w:rPr>
            </w:pPr>
            <w:r>
              <w:rPr>
                <w:rFonts w:ascii="Times New Roman" w:hAnsi="Times New Roman"/>
                <w:sz w:val="24"/>
              </w:rPr>
              <w:t>A CRR 153. cikkének (5) bekezdése, 1. táblázat.</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ALTERNATÍV KEZELÉS: INGATLANNAL FEDEZETT</w:t>
            </w:r>
          </w:p>
          <w:p w:rsidR="001C7AB7" w:rsidRPr="00392FFD" w:rsidRDefault="001C7AB7" w:rsidP="001C7AB7">
            <w:pPr>
              <w:rPr>
                <w:rFonts w:ascii="Times New Roman" w:hAnsi="Times New Roman"/>
                <w:sz w:val="24"/>
              </w:rPr>
            </w:pPr>
            <w:r>
              <w:rPr>
                <w:rFonts w:ascii="Times New Roman" w:hAnsi="Times New Roman"/>
                <w:sz w:val="24"/>
              </w:rPr>
              <w:t>A CRR 193. cikkének (1) és (2) bekezdése, 194. cikkének (1)–(7) bekezdése, valamint 230. cikkének (3) bekezdése.</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NYITVA SZÁLLÍTÁSBÓL EREDŐ, ALTERNATÍV KEZELÉS ALAPJÁN MEGÁLLAPÍTOTT VAGY 100 %-OS KOCKÁZATI SÚLYÚ KITETTSÉGEK, VALAMINT EGYÉB, KOCKÁZATI SÚLYOZÁS ALÁ TARTOZÓ KITETTS</w:t>
            </w:r>
            <w:r>
              <w:rPr>
                <w:rStyle w:val="InstructionsTabelleberschrift"/>
                <w:rFonts w:ascii="Times New Roman" w:hAnsi="Times New Roman"/>
                <w:sz w:val="24"/>
              </w:rPr>
              <w:t>É</w:t>
            </w:r>
            <w:r>
              <w:rPr>
                <w:rStyle w:val="InstructionsTabelleberschrift"/>
                <w:rFonts w:ascii="Times New Roman" w:hAnsi="Times New Roman"/>
                <w:sz w:val="24"/>
              </w:rPr>
              <w:t>GEK</w:t>
            </w:r>
          </w:p>
          <w:p w:rsidR="001C7AB7" w:rsidRPr="00392FFD" w:rsidRDefault="001C7AB7" w:rsidP="00417984">
            <w:pPr>
              <w:rPr>
                <w:rFonts w:ascii="Times New Roman" w:hAnsi="Times New Roman"/>
                <w:sz w:val="24"/>
              </w:rPr>
            </w:pPr>
            <w:r>
              <w:rPr>
                <w:rFonts w:ascii="Times New Roman" w:hAnsi="Times New Roman"/>
                <w:sz w:val="24"/>
              </w:rPr>
              <w:t>Olyan nyitva szállításokból eredő kitettségek, amelyek a CRR 379. cikke (2) bekezdése első albekezdésének utolsó mondatában említett alternatív kezelés körébe tartoznak, vagy amelyek a CRR 379. cikke (2) bekezdése utolsó albekezdése alapján 100 %-os kockázati súlyt kapnak. A nem minősített, a CRR 153. cikkének (8) bekezdése szerinti n-edik nemteljesítéskor lehívható hitelderivatívákat, valamint a máshová nem sorolt, ko</w:t>
            </w:r>
            <w:r>
              <w:rPr>
                <w:rFonts w:ascii="Times New Roman" w:hAnsi="Times New Roman"/>
                <w:sz w:val="24"/>
              </w:rPr>
              <w:t>c</w:t>
            </w:r>
            <w:r>
              <w:rPr>
                <w:rFonts w:ascii="Times New Roman" w:hAnsi="Times New Roman"/>
                <w:sz w:val="24"/>
              </w:rPr>
              <w:t>kázati súlyozás alá tartozó egyéb kitettségeket ebben a sorban kell feltüntetni.</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FELHÍGULÁSI KOCKÁZAT: VÁSÁROLT KÖVETELÉSEK ÖSSZESEN</w:t>
            </w:r>
          </w:p>
          <w:p w:rsidR="001C7AB7" w:rsidRPr="00392FFD" w:rsidRDefault="001C7AB7" w:rsidP="001C7AB7">
            <w:pPr>
              <w:rPr>
                <w:rFonts w:ascii="Times New Roman" w:hAnsi="Times New Roman"/>
                <w:sz w:val="24"/>
              </w:rPr>
            </w:pPr>
            <w:r>
              <w:rPr>
                <w:rFonts w:ascii="Times New Roman" w:hAnsi="Times New Roman"/>
                <w:sz w:val="24"/>
              </w:rPr>
              <w:t>A felhígulási kockázat meghatározását a CRR 4. cikke (1) bekezdésének 53. pontja ta</w:t>
            </w:r>
            <w:r>
              <w:rPr>
                <w:rFonts w:ascii="Times New Roman" w:hAnsi="Times New Roman"/>
                <w:sz w:val="24"/>
              </w:rPr>
              <w:t>r</w:t>
            </w:r>
            <w:r>
              <w:rPr>
                <w:rFonts w:ascii="Times New Roman" w:hAnsi="Times New Roman"/>
                <w:sz w:val="24"/>
              </w:rPr>
              <w:lastRenderedPageBreak/>
              <w:t>talmazza. A felhígulási kockázatra vonatkozó kockázati súly kiszámításával kapcsola</w:t>
            </w:r>
            <w:r>
              <w:rPr>
                <w:rFonts w:ascii="Times New Roman" w:hAnsi="Times New Roman"/>
                <w:sz w:val="24"/>
              </w:rPr>
              <w:t>t</w:t>
            </w:r>
            <w:r>
              <w:rPr>
                <w:rFonts w:ascii="Times New Roman" w:hAnsi="Times New Roman"/>
                <w:sz w:val="24"/>
              </w:rPr>
              <w:t>ban lásd a CRR 157. cikkének (1) bekezdését.</w:t>
            </w:r>
          </w:p>
          <w:p w:rsidR="001C7AB7" w:rsidRPr="00392FFD" w:rsidRDefault="001C7AB7" w:rsidP="00FD6CCB">
            <w:pPr>
              <w:rPr>
                <w:rFonts w:ascii="Times New Roman" w:hAnsi="Times New Roman"/>
                <w:sz w:val="24"/>
              </w:rPr>
            </w:pPr>
            <w:r>
              <w:rPr>
                <w:rFonts w:ascii="Times New Roman" w:hAnsi="Times New Roman"/>
                <w:sz w:val="24"/>
              </w:rPr>
              <w:t>A CRR 166. cikkének (6) bekezdése szerint a vásárolt követelések kitettségértéke a kin</w:t>
            </w:r>
            <w:r>
              <w:rPr>
                <w:rFonts w:ascii="Times New Roman" w:hAnsi="Times New Roman"/>
                <w:sz w:val="24"/>
              </w:rPr>
              <w:t>t</w:t>
            </w:r>
            <w:r>
              <w:rPr>
                <w:rFonts w:ascii="Times New Roman" w:hAnsi="Times New Roman"/>
                <w:sz w:val="24"/>
              </w:rPr>
              <w:t xml:space="preserve">lévőség összege a felhígulási kockázatra vonatkozó, </w:t>
            </w:r>
            <w:r>
              <w:rPr>
                <w:rStyle w:val="InstructionsTabelleText"/>
                <w:rFonts w:ascii="Times New Roman" w:hAnsi="Times New Roman"/>
                <w:sz w:val="24"/>
              </w:rPr>
              <w:t>kockázattal súlyozott</w:t>
            </w:r>
            <w:r>
              <w:rPr>
                <w:rFonts w:ascii="Times New Roman" w:hAnsi="Times New Roman"/>
                <w:sz w:val="24"/>
              </w:rPr>
              <w:t>, hitelkockázat-mérséklés előtti kitettségértékekkel csökkentve.</w:t>
            </w:r>
          </w:p>
        </w:tc>
      </w:tr>
    </w:tbl>
    <w:p w:rsidR="004357B9" w:rsidRPr="00392FFD" w:rsidRDefault="004357B9" w:rsidP="004357B9">
      <w:pPr>
        <w:autoSpaceDE w:val="0"/>
        <w:autoSpaceDN w:val="0"/>
        <w:adjustRightInd w:val="0"/>
        <w:spacing w:before="0" w:after="0"/>
        <w:ind w:left="284"/>
        <w:jc w:val="left"/>
        <w:rPr>
          <w:rFonts w:ascii="Times New Roman" w:hAnsi="Times New Roman"/>
          <w:sz w:val="24"/>
        </w:rPr>
      </w:pPr>
      <w:bookmarkStart w:id="289" w:name="_Toc120327823"/>
      <w:bookmarkStart w:id="290" w:name="_Toc120072325"/>
      <w:bookmarkStart w:id="291" w:name="_Toc294280272"/>
      <w:bookmarkStart w:id="292" w:name="_Toc294281597"/>
      <w:bookmarkStart w:id="293" w:name="_Toc294281817"/>
      <w:bookmarkStart w:id="294" w:name="_Toc294282031"/>
      <w:bookmarkStart w:id="295" w:name="_Toc294282234"/>
      <w:bookmarkStart w:id="296" w:name="_Toc294714169"/>
      <w:bookmarkStart w:id="297" w:name="_Toc295314195"/>
      <w:bookmarkStart w:id="298" w:name="_Toc295829584"/>
      <w:bookmarkStart w:id="299" w:name="_Toc295829867"/>
      <w:bookmarkStart w:id="300" w:name="_Toc301772755"/>
      <w:bookmarkStart w:id="301" w:name="_Toc301772833"/>
      <w:bookmarkStart w:id="302" w:name="_Toc302657772"/>
      <w:bookmarkStart w:id="303" w:name="_Toc302657891"/>
      <w:bookmarkStart w:id="304" w:name="_Toc294280294"/>
      <w:bookmarkStart w:id="305" w:name="_Toc294281619"/>
      <w:bookmarkStart w:id="306" w:name="_Toc294281839"/>
      <w:bookmarkStart w:id="307" w:name="_Toc294282053"/>
      <w:bookmarkStart w:id="308" w:name="_Toc294282256"/>
      <w:bookmarkStart w:id="309" w:name="_Toc294714191"/>
      <w:bookmarkStart w:id="310" w:name="_Toc295314217"/>
      <w:bookmarkStart w:id="311" w:name="_Toc295829606"/>
      <w:bookmarkStart w:id="312" w:name="_Toc295829889"/>
      <w:bookmarkStart w:id="313" w:name="_Toc301772777"/>
      <w:bookmarkStart w:id="314" w:name="_Toc301772855"/>
      <w:bookmarkStart w:id="315" w:name="_Toc302657794"/>
      <w:bookmarkStart w:id="316" w:name="_Toc302657913"/>
      <w:bookmarkStart w:id="317" w:name="_Toc294280312"/>
      <w:bookmarkStart w:id="318" w:name="_Toc294281637"/>
      <w:bookmarkStart w:id="319" w:name="_Toc294281857"/>
      <w:bookmarkStart w:id="320" w:name="_Toc294282071"/>
      <w:bookmarkStart w:id="321" w:name="_Toc294282274"/>
      <w:bookmarkStart w:id="322" w:name="_Toc294714209"/>
      <w:bookmarkStart w:id="323" w:name="_Toc295314235"/>
      <w:bookmarkStart w:id="324" w:name="_Toc295829624"/>
      <w:bookmarkStart w:id="325" w:name="_Toc295829907"/>
      <w:bookmarkStart w:id="326" w:name="_Toc301772795"/>
      <w:bookmarkStart w:id="327" w:name="_Toc301772873"/>
      <w:bookmarkStart w:id="328" w:name="_Toc302657812"/>
      <w:bookmarkStart w:id="329" w:name="_Toc302657931"/>
      <w:bookmarkStart w:id="330" w:name="_Toc294280316"/>
      <w:bookmarkStart w:id="331" w:name="_Toc294281641"/>
      <w:bookmarkStart w:id="332" w:name="_Toc294281861"/>
      <w:bookmarkStart w:id="333" w:name="_Toc294282075"/>
      <w:bookmarkStart w:id="334" w:name="_Toc294282278"/>
      <w:bookmarkStart w:id="335" w:name="_Toc294714213"/>
      <w:bookmarkStart w:id="336" w:name="_Toc295314239"/>
      <w:bookmarkStart w:id="337" w:name="_Toc295829628"/>
      <w:bookmarkStart w:id="338" w:name="_Toc295829911"/>
      <w:bookmarkStart w:id="339" w:name="_Toc301772799"/>
      <w:bookmarkStart w:id="340" w:name="_Toc301772877"/>
      <w:bookmarkStart w:id="341" w:name="_Toc302657816"/>
      <w:bookmarkStart w:id="342" w:name="_Toc302657935"/>
      <w:bookmarkStart w:id="343" w:name="_Toc294280319"/>
      <w:bookmarkStart w:id="344" w:name="_Toc294281644"/>
      <w:bookmarkStart w:id="345" w:name="_Toc294281864"/>
      <w:bookmarkStart w:id="346" w:name="_Toc294282078"/>
      <w:bookmarkStart w:id="347" w:name="_Toc294282281"/>
      <w:bookmarkStart w:id="348" w:name="_Toc294714216"/>
      <w:bookmarkStart w:id="349" w:name="_Toc295314242"/>
      <w:bookmarkStart w:id="350" w:name="_Toc295829631"/>
      <w:bookmarkStart w:id="351" w:name="_Toc295829914"/>
      <w:bookmarkStart w:id="352" w:name="_Toc301772802"/>
      <w:bookmarkStart w:id="353" w:name="_Toc301772880"/>
      <w:bookmarkStart w:id="354" w:name="_Toc302657819"/>
      <w:bookmarkStart w:id="355" w:name="_Toc302657938"/>
      <w:bookmarkStart w:id="356" w:name="_Toc294280322"/>
      <w:bookmarkStart w:id="357" w:name="_Toc294281647"/>
      <w:bookmarkStart w:id="358" w:name="_Toc294281867"/>
      <w:bookmarkStart w:id="359" w:name="_Toc294282081"/>
      <w:bookmarkStart w:id="360" w:name="_Toc294282284"/>
      <w:bookmarkStart w:id="361" w:name="_Toc294714219"/>
      <w:bookmarkStart w:id="362" w:name="_Toc295314245"/>
      <w:bookmarkStart w:id="363" w:name="_Toc295829634"/>
      <w:bookmarkStart w:id="364" w:name="_Toc295829917"/>
      <w:bookmarkStart w:id="365" w:name="_Toc301772805"/>
      <w:bookmarkStart w:id="366" w:name="_Toc301772883"/>
      <w:bookmarkStart w:id="367" w:name="_Toc302657822"/>
      <w:bookmarkStart w:id="368" w:name="_Toc302657941"/>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369" w:name="_Toc516210646"/>
      <w:bookmarkStart w:id="370" w:name="_Toc473560911"/>
      <w:bookmarkStart w:id="371" w:name="_Toc524014705"/>
      <w:r>
        <w:rPr>
          <w:rFonts w:ascii="Times New Roman" w:hAnsi="Times New Roman"/>
          <w:sz w:val="24"/>
          <w:u w:val="none"/>
        </w:rPr>
        <w:t>3.3.4.</w:t>
      </w:r>
      <w:r w:rsidRPr="002B6A20">
        <w:rPr>
          <w:u w:val="none"/>
        </w:rPr>
        <w:tab/>
      </w:r>
      <w:r>
        <w:rPr>
          <w:rFonts w:ascii="Times New Roman" w:hAnsi="Times New Roman"/>
          <w:sz w:val="24"/>
        </w:rPr>
        <w:t>C 08.02 – Hitelkockázat, partnerkockázat és nyitva szállítások: az IRB-módszer sz</w:t>
      </w:r>
      <w:r>
        <w:rPr>
          <w:rFonts w:ascii="Times New Roman" w:hAnsi="Times New Roman"/>
          <w:sz w:val="24"/>
        </w:rPr>
        <w:t>e</w:t>
      </w:r>
      <w:r>
        <w:rPr>
          <w:rFonts w:ascii="Times New Roman" w:hAnsi="Times New Roman"/>
          <w:sz w:val="24"/>
        </w:rPr>
        <w:t>rinti tőkekövetelmény (ügyfél-kategória vagy -halmaz [pool] szerint) (CR IRB 2 tábla)</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Oszlop</w:t>
            </w:r>
          </w:p>
        </w:tc>
        <w:tc>
          <w:tcPr>
            <w:tcW w:w="780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Útmutató</w:t>
            </w:r>
          </w:p>
        </w:tc>
      </w:tr>
      <w:tr w:rsidR="00E97CD2" w:rsidRPr="00392FFD" w:rsidTr="00672D2A">
        <w:tc>
          <w:tcPr>
            <w:tcW w:w="2024" w:type="dxa"/>
          </w:tcPr>
          <w:p w:rsidR="00E97CD2" w:rsidRPr="00392FFD" w:rsidRDefault="00E97CD2" w:rsidP="001C7AB7">
            <w:pPr>
              <w:rPr>
                <w:rFonts w:ascii="Times New Roman" w:hAnsi="Times New Roman"/>
                <w:sz w:val="24"/>
              </w:rPr>
            </w:pPr>
            <w:r>
              <w:rPr>
                <w:rFonts w:ascii="Times New Roman" w:hAnsi="Times New Roman"/>
                <w:sz w:val="24"/>
              </w:rPr>
              <w:t>005</w:t>
            </w:r>
          </w:p>
        </w:tc>
        <w:tc>
          <w:tcPr>
            <w:tcW w:w="7804" w:type="dxa"/>
          </w:tcPr>
          <w:p w:rsidR="00E97CD2" w:rsidRPr="00392FFD" w:rsidRDefault="00E97CD2" w:rsidP="001C7AB7">
            <w:pPr>
              <w:rPr>
                <w:rFonts w:ascii="Times New Roman" w:hAnsi="Times New Roman"/>
                <w:b/>
                <w:sz w:val="24"/>
                <w:u w:val="single"/>
              </w:rPr>
            </w:pPr>
            <w:r>
              <w:rPr>
                <w:rFonts w:ascii="Times New Roman" w:hAnsi="Times New Roman"/>
                <w:b/>
                <w:sz w:val="24"/>
                <w:u w:val="single"/>
              </w:rPr>
              <w:t>Ügyfél-kategória (sorazonosító)</w:t>
            </w:r>
          </w:p>
          <w:p w:rsidR="00E97CD2" w:rsidRPr="00392FFD" w:rsidRDefault="00E97CD2" w:rsidP="003F05A0">
            <w:pPr>
              <w:rPr>
                <w:rFonts w:ascii="Times New Roman" w:hAnsi="Times New Roman"/>
                <w:sz w:val="24"/>
              </w:rPr>
            </w:pPr>
            <w:r>
              <w:rPr>
                <w:rFonts w:ascii="Times New Roman" w:hAnsi="Times New Roman"/>
                <w:sz w:val="24"/>
              </w:rPr>
              <w:t>Ez egy sorazonosító, amely a tábla egyes lapjainak minden sorát egyedileg azonosítja. Sorrendje: 1, 2, 3 stb.</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010-300</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Az itt található oszlopokra vonatkozó útmutató azonos a CR IRB 1 tábla me</w:t>
            </w:r>
            <w:r>
              <w:rPr>
                <w:rFonts w:ascii="Times New Roman" w:hAnsi="Times New Roman"/>
                <w:sz w:val="24"/>
              </w:rPr>
              <w:t>g</w:t>
            </w:r>
            <w:r>
              <w:rPr>
                <w:rFonts w:ascii="Times New Roman" w:hAnsi="Times New Roman"/>
                <w:sz w:val="24"/>
              </w:rPr>
              <w:t>felelő számú oszlopaira vonatkozó útmutatóval.</w:t>
            </w:r>
          </w:p>
        </w:tc>
      </w:tr>
    </w:tbl>
    <w:p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Sor</w:t>
            </w:r>
          </w:p>
        </w:tc>
        <w:tc>
          <w:tcPr>
            <w:tcW w:w="780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Útmutató</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010–001 – 010–NNN</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Az e sorokban feltüntetett értékeket az adott ügyfél-kategóriához vagy -halmazhoz tartozó PD-érték szerint növekvő sorrendben kell megadni. A nem teljesítő ügyfelekhez tartozó PD-érték 100 %. Az ingatlanbiztosíték alternatív kezelési körébe vont kitettségek (ez kizárólag akkor lehetséges, ha az inté</w:t>
            </w:r>
            <w:r>
              <w:rPr>
                <w:rFonts w:ascii="Times New Roman" w:hAnsi="Times New Roman"/>
                <w:sz w:val="24"/>
              </w:rPr>
              <w:t>z</w:t>
            </w:r>
            <w:r>
              <w:rPr>
                <w:rFonts w:ascii="Times New Roman" w:hAnsi="Times New Roman"/>
                <w:sz w:val="24"/>
              </w:rPr>
              <w:t>mény nem alkalmaz saját LGD-becslést) nem sorolhatók be a kötelezett PD-értéke alapján, így ezek adatait e tábla nem tartalmazza.</w:t>
            </w:r>
          </w:p>
        </w:tc>
      </w:tr>
    </w:tbl>
    <w:p w:rsidR="004357B9" w:rsidRPr="00392FFD" w:rsidRDefault="004357B9" w:rsidP="00FD239F">
      <w:pPr>
        <w:pStyle w:val="InstructionsText"/>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1"/>
      <w:bookmarkStart w:id="373" w:name="_Toc516210647"/>
      <w:bookmarkStart w:id="374" w:name="_Toc473560912"/>
      <w:bookmarkStart w:id="375" w:name="_Toc524014706"/>
      <w:r>
        <w:rPr>
          <w:rFonts w:ascii="Times New Roman" w:hAnsi="Times New Roman"/>
          <w:sz w:val="24"/>
          <w:u w:val="none"/>
        </w:rPr>
        <w:t>3.4.</w:t>
      </w:r>
      <w:r w:rsidRPr="002B6A20">
        <w:rPr>
          <w:u w:val="none"/>
        </w:rPr>
        <w:tab/>
      </w:r>
      <w:r>
        <w:rPr>
          <w:rFonts w:ascii="Times New Roman" w:hAnsi="Times New Roman"/>
          <w:sz w:val="24"/>
        </w:rPr>
        <w:t>Hitelkockázat, partnerkockázat és nyitva szállítások: földrajzi megoszlás</w:t>
      </w:r>
      <w:bookmarkEnd w:id="372"/>
      <w:bookmarkEnd w:id="373"/>
      <w:bookmarkEnd w:id="374"/>
      <w:bookmarkEnd w:id="375"/>
    </w:p>
    <w:p w:rsidR="004357B9" w:rsidRPr="00392FFD" w:rsidRDefault="00125707" w:rsidP="00C37B29">
      <w:pPr>
        <w:pStyle w:val="InstructionsText2"/>
        <w:numPr>
          <w:ilvl w:val="0"/>
          <w:numId w:val="0"/>
        </w:numPr>
        <w:ind w:left="993"/>
      </w:pPr>
      <w:r>
        <w:t>79.</w:t>
      </w:r>
      <w:r>
        <w:tab/>
        <w:t>Minden intézménynek összesített szinten aggregált információkat kell benyú</w:t>
      </w:r>
      <w:r>
        <w:t>j</w:t>
      </w:r>
      <w:r>
        <w:t>tania. Emellett az e rendelet 5. cikke a) pontjának 4. alpontjában rögzített küszöbé</w:t>
      </w:r>
      <w:r>
        <w:t>r</w:t>
      </w:r>
      <w:r>
        <w:t>téket elérő intézményeknek belföldre és külföldre vonatkozóan egyaránt, országo</w:t>
      </w:r>
      <w:r>
        <w:t>n</w:t>
      </w:r>
      <w:r>
        <w:t>kénti bontásban adatot kell szolgáltatniuk. A küszöbérték kizárólag az 1. és 2. tábl</w:t>
      </w:r>
      <w:r>
        <w:t>á</w:t>
      </w:r>
      <w:r>
        <w:t>ra vonatkozik. A szupranacionális szervezetekkel szembeni kitettségeket az „Egyéb országok” földrajzi területhez kell sorolni.</w:t>
      </w:r>
    </w:p>
    <w:p w:rsidR="004357B9" w:rsidRPr="00392FFD" w:rsidRDefault="00125707" w:rsidP="00C37B29">
      <w:pPr>
        <w:pStyle w:val="InstructionsText2"/>
        <w:numPr>
          <w:ilvl w:val="0"/>
          <w:numId w:val="0"/>
        </w:numPr>
        <w:ind w:left="993"/>
      </w:pPr>
      <w:r>
        <w:t>80.</w:t>
      </w:r>
      <w:r>
        <w:tab/>
        <w:t>A kötelezett székhelye a kötelezett bejegyzése szerinti országot jelenti. A fog</w:t>
      </w:r>
      <w:r>
        <w:t>a</w:t>
      </w:r>
      <w:r>
        <w:t>lom a közvetlen kötelezett és a végső kockázatviselő alapján is alkalmazható. A h</w:t>
      </w:r>
      <w:r>
        <w:t>e</w:t>
      </w:r>
      <w:r>
        <w:t>lyettesítési hatással járó hitelkockázat-mérséklési technikákkal módosítható egy k</w:t>
      </w:r>
      <w:r>
        <w:t>i</w:t>
      </w:r>
      <w:r>
        <w:t>tettség ország szerinti besorolása. A szupranacionális szervezetekkel szembeni k</w:t>
      </w:r>
      <w:r>
        <w:t>i</w:t>
      </w:r>
      <w:r>
        <w:t>tettségeket nem az intézmény székhelye szerinti országhoz, hanem az „Egyéb o</w:t>
      </w:r>
      <w:r>
        <w:t>r</w:t>
      </w:r>
      <w:r>
        <w:t>szágok” földrajzi területhez kell sorolni, a szupranacionális szervezettel szembeni kitettség kitettségosztályától függetlenül.</w:t>
      </w:r>
    </w:p>
    <w:p w:rsidR="0096378F" w:rsidRPr="00392FFD" w:rsidRDefault="00125707" w:rsidP="00C37B29">
      <w:pPr>
        <w:pStyle w:val="InstructionsText2"/>
        <w:numPr>
          <w:ilvl w:val="0"/>
          <w:numId w:val="0"/>
        </w:numPr>
        <w:ind w:left="993"/>
      </w:pPr>
      <w:r>
        <w:lastRenderedPageBreak/>
        <w:t>81.</w:t>
      </w:r>
      <w:r>
        <w:tab/>
        <w:t>A hitel-egyenértékesítési tényezők előtti eredeti kitettségre vonatkozó adatokat a közvetlen kötelezett székhelye szerint kell feltüntetni. A kitettségértékre és ko</w:t>
      </w:r>
      <w:r>
        <w:t>c</w:t>
      </w:r>
      <w:r>
        <w:t>kázattal súlyozott kitettségértékre vonatkozó adatokat a végső kötelezett székhelye szerint kell feltüntetni.</w:t>
      </w: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2"/>
      <w:bookmarkStart w:id="377" w:name="_Toc516210648"/>
      <w:bookmarkStart w:id="378" w:name="_Toc473560913"/>
      <w:bookmarkStart w:id="379" w:name="_Toc524014707"/>
      <w:r>
        <w:rPr>
          <w:rFonts w:ascii="Times New Roman" w:hAnsi="Times New Roman"/>
          <w:sz w:val="24"/>
          <w:u w:val="none"/>
        </w:rPr>
        <w:t>3.4.1.</w:t>
      </w:r>
      <w:r w:rsidRPr="002B6A20">
        <w:rPr>
          <w:u w:val="none"/>
        </w:rPr>
        <w:tab/>
      </w:r>
      <w:r>
        <w:rPr>
          <w:rFonts w:ascii="Times New Roman" w:hAnsi="Times New Roman"/>
          <w:sz w:val="24"/>
        </w:rPr>
        <w:t>C 09.01 – Kitettségek földrajzi bontása a kötelezett illetősége szerint: SA kitettségek (CR GB 1)</w:t>
      </w:r>
      <w:bookmarkEnd w:id="376"/>
      <w:bookmarkEnd w:id="377"/>
      <w:bookmarkEnd w:id="378"/>
      <w:bookmarkEnd w:id="379"/>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3"/>
      <w:bookmarkStart w:id="381" w:name="_Toc516210649"/>
      <w:bookmarkStart w:id="382" w:name="_Toc473560914"/>
      <w:bookmarkStart w:id="383" w:name="_Toc524014708"/>
      <w:r>
        <w:rPr>
          <w:rFonts w:ascii="Times New Roman" w:hAnsi="Times New Roman"/>
          <w:sz w:val="24"/>
          <w:u w:val="none"/>
        </w:rPr>
        <w:t>3.4.1.1.</w:t>
      </w:r>
      <w:r w:rsidRPr="002B6A20">
        <w:rPr>
          <w:u w:val="none"/>
        </w:rPr>
        <w:tab/>
      </w:r>
      <w:r>
        <w:rPr>
          <w:rFonts w:ascii="Times New Roman" w:hAnsi="Times New Roman"/>
          <w:sz w:val="24"/>
        </w:rPr>
        <w:t>A tábla egyes részeire vonatkozó útmutató</w:t>
      </w:r>
      <w:bookmarkEnd w:id="380"/>
      <w:bookmarkEnd w:id="381"/>
      <w:bookmarkEnd w:id="382"/>
      <w:bookmarkEnd w:id="38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rsidTr="00672D2A">
        <w:trPr>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Oszlopok</w:t>
            </w: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HITEL-EGYENÉRTÉKESÍTÉSI TÉNYEZŐK ELŐTTI EREDETI KITET</w:t>
            </w:r>
            <w:r>
              <w:rPr>
                <w:rFonts w:ascii="Times New Roman" w:hAnsi="Times New Roman"/>
                <w:b/>
                <w:sz w:val="24"/>
                <w:u w:val="single"/>
              </w:rPr>
              <w:t>T</w:t>
            </w:r>
            <w:r>
              <w:rPr>
                <w:rFonts w:ascii="Times New Roman" w:hAnsi="Times New Roman"/>
                <w:b/>
                <w:sz w:val="24"/>
                <w:u w:val="single"/>
              </w:rPr>
              <w:t>SÉG</w:t>
            </w:r>
          </w:p>
          <w:p w:rsidR="004357B9" w:rsidRPr="00392FFD" w:rsidRDefault="004357B9" w:rsidP="004357B9">
            <w:pPr>
              <w:rPr>
                <w:rFonts w:ascii="Times New Roman" w:hAnsi="Times New Roman"/>
                <w:sz w:val="24"/>
              </w:rPr>
            </w:pPr>
            <w:r>
              <w:rPr>
                <w:rFonts w:ascii="Times New Roman" w:hAnsi="Times New Roman"/>
                <w:sz w:val="24"/>
              </w:rPr>
              <w:t>A CR SA tábla 010. oszlopával azonos meghatározás.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392FFD" w:rsidRDefault="00771E97" w:rsidP="004357B9">
            <w:pPr>
              <w:rPr>
                <w:rFonts w:ascii="Times New Roman" w:hAnsi="Times New Roman"/>
                <w:b/>
                <w:sz w:val="24"/>
                <w:u w:val="single"/>
              </w:rPr>
            </w:pPr>
            <w:r>
              <w:rPr>
                <w:rFonts w:ascii="Times New Roman" w:hAnsi="Times New Roman"/>
                <w:b/>
                <w:sz w:val="24"/>
                <w:u w:val="single"/>
              </w:rPr>
              <w:t>Nemteljesítő kitettségek</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A nemteljesítő kitettségként besorolt kitettségek, valamint a „kiemelkedően magas kockázatú kitettségek” vagy a „részvényjellegű kitettségek” kitettségi osztályba sorolt nemteljesítő kitettségek hitel-egyenértékesítési tényezők előtti eredeti kitettsége.</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Ez a </w:t>
            </w:r>
            <w:proofErr w:type="gramStart"/>
            <w:r>
              <w:rPr>
                <w:rStyle w:val="InstructionsTabelleText"/>
                <w:rFonts w:ascii="Times New Roman" w:hAnsi="Times New Roman"/>
                <w:sz w:val="24"/>
              </w:rPr>
              <w:t>tájékoztató adat</w:t>
            </w:r>
            <w:proofErr w:type="gramEnd"/>
            <w:r>
              <w:rPr>
                <w:rStyle w:val="InstructionsTabelleText"/>
                <w:rFonts w:ascii="Times New Roman" w:hAnsi="Times New Roman"/>
                <w:sz w:val="24"/>
              </w:rPr>
              <w:t xml:space="preserve"> kiegészítő információt nyújt a nemteljesítő kitettségek kötelezetti struktúrájáról. A CRR 112. cikkének j) pontja szerinti „nemteljesítő kitettségekhez” s</w:t>
            </w:r>
            <w:r>
              <w:rPr>
                <w:rStyle w:val="InstructionsTabelleText"/>
                <w:rFonts w:ascii="Times New Roman" w:hAnsi="Times New Roman"/>
                <w:sz w:val="24"/>
              </w:rPr>
              <w:t>o</w:t>
            </w:r>
            <w:r>
              <w:rPr>
                <w:rStyle w:val="InstructionsTabelleText"/>
                <w:rFonts w:ascii="Times New Roman" w:hAnsi="Times New Roman"/>
                <w:sz w:val="24"/>
              </w:rPr>
              <w:t>rolt kitettségeket kell megadni, amelyeknél a kötelezettekről adatot kellett volna szo</w:t>
            </w:r>
            <w:r>
              <w:rPr>
                <w:rStyle w:val="InstructionsTabelleText"/>
                <w:rFonts w:ascii="Times New Roman" w:hAnsi="Times New Roman"/>
                <w:sz w:val="24"/>
              </w:rPr>
              <w:t>l</w:t>
            </w:r>
            <w:r>
              <w:rPr>
                <w:rStyle w:val="InstructionsTabelleText"/>
                <w:rFonts w:ascii="Times New Roman" w:hAnsi="Times New Roman"/>
                <w:sz w:val="24"/>
              </w:rPr>
              <w:t>gáltatni, ha a kitettségek nem a „nemteljesítő kitettségek” kitettségi osztályba tartozn</w:t>
            </w:r>
            <w:r>
              <w:rPr>
                <w:rStyle w:val="InstructionsTabelleText"/>
                <w:rFonts w:ascii="Times New Roman" w:hAnsi="Times New Roman"/>
                <w:sz w:val="24"/>
              </w:rPr>
              <w:t>á</w:t>
            </w:r>
            <w:r w:rsidR="002B6A20">
              <w:rPr>
                <w:rStyle w:val="InstructionsTabelleText"/>
                <w:rFonts w:ascii="Times New Roman" w:hAnsi="Times New Roman"/>
                <w:sz w:val="24"/>
              </w:rPr>
              <w:t>nak.</w:t>
            </w:r>
          </w:p>
          <w:p w:rsidR="004357B9" w:rsidRPr="00392FFD" w:rsidRDefault="004357B9" w:rsidP="004357B9">
            <w:pPr>
              <w:rPr>
                <w:rFonts w:ascii="Times New Roman" w:hAnsi="Times New Roman"/>
                <w:sz w:val="24"/>
              </w:rPr>
            </w:pPr>
            <w:r>
              <w:rPr>
                <w:rStyle w:val="InstructionsTabelleText"/>
                <w:rFonts w:ascii="Times New Roman" w:hAnsi="Times New Roman"/>
                <w:sz w:val="24"/>
              </w:rPr>
              <w:t>A megadott érték tájékoztató adat, így nem érinti a CRR 112. cikkének j), k), illetve p) pontja szerinti „nemteljesítő kitettségek”, „kiemelkedően magas kockázatú kitettségek” vagy „részvényjellegű kitettségek” kitettségi osztályba sorolt, kockázattal súlyozott kitettségértékek kiszámítását.</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Az időszakban megállapított új nemteljesítések</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A legutóbbi adatszolgáltatási vonatkozási időpont óta eltelt 3 hónap során a „nemteljesítő kitettségek” kitettségi osztályba átsorolt eredeti kitettségek összegét a</w:t>
            </w:r>
            <w:r>
              <w:rPr>
                <w:rStyle w:val="InstructionsTabelleText"/>
                <w:rFonts w:ascii="Times New Roman" w:hAnsi="Times New Roman"/>
                <w:sz w:val="24"/>
              </w:rPr>
              <w:t>b</w:t>
            </w:r>
            <w:r>
              <w:rPr>
                <w:rStyle w:val="InstructionsTabelleText"/>
                <w:rFonts w:ascii="Times New Roman" w:hAnsi="Times New Roman"/>
                <w:sz w:val="24"/>
              </w:rPr>
              <w:t>ban a kitettségi osztályban kell feltüntetni, amelybe a kötelezett eredetileg tartozott.</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Általános hitelkockázati kiigazítások</w:t>
            </w:r>
          </w:p>
          <w:p w:rsidR="004357B9" w:rsidRDefault="004357B9" w:rsidP="004357B9">
            <w:pPr>
              <w:rPr>
                <w:rFonts w:ascii="Times New Roman" w:hAnsi="Times New Roman"/>
                <w:sz w:val="24"/>
              </w:rPr>
            </w:pPr>
            <w:r>
              <w:rPr>
                <w:rFonts w:ascii="Times New Roman" w:hAnsi="Times New Roman"/>
                <w:sz w:val="24"/>
              </w:rPr>
              <w:t xml:space="preserve">A CRR 110. cikke szerinti hitelkockázati kiigazítások. </w:t>
            </w:r>
          </w:p>
          <w:p w:rsidR="00D95045" w:rsidRPr="00AE7CD3" w:rsidRDefault="00D95045" w:rsidP="00D95045">
            <w:pPr>
              <w:rPr>
                <w:rFonts w:ascii="Times New Roman" w:hAnsi="Times New Roman"/>
                <w:sz w:val="24"/>
              </w:rPr>
            </w:pPr>
            <w:r>
              <w:rPr>
                <w:rFonts w:ascii="Times New Roman" w:hAnsi="Times New Roman"/>
                <w:sz w:val="24"/>
              </w:rPr>
              <w:t>A tétel azokat az általános hitelkockázati kiigazításokat foglalja magában, amelyek b</w:t>
            </w:r>
            <w:r>
              <w:rPr>
                <w:rFonts w:ascii="Times New Roman" w:hAnsi="Times New Roman"/>
                <w:sz w:val="24"/>
              </w:rPr>
              <w:t>e</w:t>
            </w:r>
            <w:r>
              <w:rPr>
                <w:rFonts w:ascii="Times New Roman" w:hAnsi="Times New Roman"/>
                <w:sz w:val="24"/>
              </w:rPr>
              <w:t>számíthatók a T2 tőkébe, a CRR 62. cikkének c) pontjában említett felső határ alka</w:t>
            </w:r>
            <w:r>
              <w:rPr>
                <w:rFonts w:ascii="Times New Roman" w:hAnsi="Times New Roman"/>
                <w:sz w:val="24"/>
              </w:rPr>
              <w:t>l</w:t>
            </w:r>
            <w:r>
              <w:rPr>
                <w:rFonts w:ascii="Times New Roman" w:hAnsi="Times New Roman"/>
                <w:sz w:val="24"/>
              </w:rPr>
              <w:t>mazása előtt.</w:t>
            </w:r>
          </w:p>
          <w:p w:rsidR="00D95045" w:rsidRPr="00392FFD" w:rsidRDefault="00D95045" w:rsidP="00D95045">
            <w:pPr>
              <w:rPr>
                <w:rFonts w:ascii="Times New Roman" w:hAnsi="Times New Roman"/>
                <w:b/>
                <w:sz w:val="24"/>
                <w:u w:val="single"/>
              </w:rPr>
            </w:pPr>
            <w:r>
              <w:rPr>
                <w:rFonts w:ascii="Times New Roman" w:hAnsi="Times New Roman"/>
                <w:sz w:val="24"/>
              </w:rPr>
              <w:t>A feltüntetendő értéknek tartalmaznia kell az adóhatásokat is.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Egyedi hitelkockázati kiigazítások</w:t>
            </w:r>
          </w:p>
          <w:p w:rsidR="004357B9" w:rsidRPr="00392FFD" w:rsidRDefault="004357B9" w:rsidP="004357B9">
            <w:pPr>
              <w:rPr>
                <w:rFonts w:ascii="Times New Roman" w:hAnsi="Times New Roman"/>
                <w:b/>
                <w:sz w:val="24"/>
                <w:u w:val="single"/>
              </w:rPr>
            </w:pPr>
            <w:r>
              <w:rPr>
                <w:rFonts w:ascii="Times New Roman" w:hAnsi="Times New Roman"/>
                <w:sz w:val="24"/>
              </w:rPr>
              <w:t>A CRR 110. cikke szerinti hitelkockázati kiigazítások.</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Leírások</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lastRenderedPageBreak/>
              <w:t>A leírások magukban foglalják a közvetlenül az eredményben elszámolt értékvesztett pénzügyi eszközök könyv szerinti értékének csökkentését [IFRS 7</w:t>
            </w:r>
            <w:proofErr w:type="gramStart"/>
            <w:r>
              <w:rPr>
                <w:rStyle w:val="InstructionsTabelleText"/>
                <w:rFonts w:ascii="Times New Roman" w:hAnsi="Times New Roman"/>
                <w:sz w:val="24"/>
              </w:rPr>
              <w:t>.B5</w:t>
            </w:r>
            <w:proofErr w:type="gramEnd"/>
            <w:r>
              <w:rPr>
                <w:rStyle w:val="InstructionsTabelleText"/>
                <w:rFonts w:ascii="Times New Roman" w:hAnsi="Times New Roman"/>
                <w:sz w:val="24"/>
              </w:rPr>
              <w:t>.(d).(i)], valamint az értékvesztett pénzügyi eszközökkel szembeállított értékvesztési számlák összegének csökkentését [IFRS 7.B5.(d).(ii)].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 megállapított új nemteljesítések utáni hitelkockázati kiigazítások/leírások</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A legutóbbi adatszolgáltatás óta eltelt 3 hónap során a „nemteljesítő kitettségek” közé sorolt kitettségek utáni hitelkockázati kiigazítások és leírások összege.</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Kitettségérték</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A CR SA tábla 200. oszlopával azonos meghatározás.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 KKV-SZORZÓ ELŐTTI, KOCKÁZATTAL SÚLYOZOTT KITETTSÉGÉRTÉK</w:t>
            </w:r>
          </w:p>
          <w:p w:rsidR="004357B9" w:rsidRPr="00392FFD" w:rsidRDefault="004357B9" w:rsidP="004357B9">
            <w:pPr>
              <w:rPr>
                <w:rFonts w:ascii="Times New Roman" w:hAnsi="Times New Roman"/>
                <w:b/>
                <w:sz w:val="24"/>
                <w:u w:val="single"/>
              </w:rPr>
            </w:pPr>
            <w:r>
              <w:rPr>
                <w:rFonts w:ascii="Times New Roman" w:hAnsi="Times New Roman"/>
                <w:sz w:val="24"/>
              </w:rPr>
              <w:t>A CR SA tábla 215. oszlopával azonos meghatározás.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 KKV-SZORZÓ UTÁNI, KOCKÁZATTAL SÚLYOZOTT KITETTSÉGÉRTÉK</w:t>
            </w:r>
          </w:p>
          <w:p w:rsidR="004357B9" w:rsidRPr="00392FFD" w:rsidRDefault="004357B9" w:rsidP="004357B9">
            <w:pPr>
              <w:rPr>
                <w:rFonts w:ascii="Times New Roman" w:hAnsi="Times New Roman"/>
                <w:b/>
                <w:sz w:val="24"/>
                <w:u w:val="single"/>
              </w:rPr>
            </w:pPr>
            <w:r>
              <w:rPr>
                <w:rFonts w:ascii="Times New Roman" w:hAnsi="Times New Roman"/>
                <w:sz w:val="24"/>
              </w:rPr>
              <w:t>A CR SA tábla 220. oszlopával azonos meghatározás.</w:t>
            </w:r>
          </w:p>
        </w:tc>
      </w:tr>
    </w:tbl>
    <w:p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rsidTr="00672D2A">
        <w:trPr>
          <w:gridAfter w:val="1"/>
          <w:wAfter w:w="61" w:type="dxa"/>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Sorok</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010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Központi kormányzatok vagy központi bankok</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A CRR 112. cikkének a) pontja.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020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Regionális kormányzatok vagy helyi hatóságok</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 CRR 112. cikkének b) pontja.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030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Közszektorbeli intézmények</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 CRR 112. cikkének c) pontja.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040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Multilaterális fejlesztési bankok</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 CRR</w:t>
            </w:r>
            <w:r>
              <w:rPr>
                <w:rStyle w:val="InstructionsTabelleText"/>
                <w:rFonts w:ascii="Times New Roman" w:hAnsi="Times New Roman"/>
                <w:sz w:val="24"/>
              </w:rPr>
              <w:t xml:space="preserve"> 112. cikkének d) pontja.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Nemzetközi szervezetek</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 CRR 112. cikkének e) pontja.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Intézmények</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 CRR 112. cikkének f) pontja.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Vállalkozások</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 CRR 112. cikkének g) pontja.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Ebből: KKV</w:t>
            </w:r>
          </w:p>
          <w:p w:rsidR="004357B9" w:rsidRPr="00392FFD"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 CR SA tábla 020-as sorával azonos meghatározás.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lastRenderedPageBreak/>
              <w:t>080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Lakosság</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 CRR 112. cikkének h) pontja.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Ebből: KKV</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 SA tábla 020-as sorával azonos meghatározás.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Ingatlanra bejegyzett zálogjoggal fedezett kitettségek</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A CRR 112. cikkének i) pontja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Ebből: KKV</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 SA tábla 020-as sorával azonos meghatározás.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100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Nemteljesítő kitettségek</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 CRR 112. cikkének j) pontja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110</w:t>
            </w:r>
          </w:p>
        </w:tc>
        <w:tc>
          <w:tcPr>
            <w:tcW w:w="8701" w:type="dxa"/>
            <w:gridSpan w:val="2"/>
            <w:shd w:val="clear" w:color="auto" w:fill="FFFFFF"/>
          </w:tcPr>
          <w:p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Kiemelkedően magas kockázatú tételek</w:t>
            </w:r>
          </w:p>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A CRR 112. cikkének k) pontja.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120</w:t>
            </w:r>
          </w:p>
        </w:tc>
        <w:tc>
          <w:tcPr>
            <w:tcW w:w="8701" w:type="dxa"/>
            <w:gridSpan w:val="2"/>
            <w:shd w:val="clear" w:color="auto" w:fill="FFFFFF"/>
          </w:tcPr>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Fedezett kötvények</w:t>
            </w:r>
          </w:p>
          <w:p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u w:val="single"/>
              </w:rPr>
              <w:t>A CRR 112. cikkének l) pontja.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130</w:t>
            </w:r>
          </w:p>
          <w:p w:rsidR="004357B9" w:rsidRPr="00392FFD" w:rsidRDefault="004357B9" w:rsidP="004357B9">
            <w:pPr>
              <w:rPr>
                <w:rFonts w:ascii="Times New Roman" w:hAnsi="Times New Roman"/>
                <w:sz w:val="24"/>
              </w:rPr>
            </w:pP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Rövid távú hitelminősítéssel rendelkező intézményekkel és vállalkozásokkal szembeni követelések</w:t>
            </w:r>
          </w:p>
          <w:p w:rsidR="004357B9" w:rsidRPr="00392FFD" w:rsidRDefault="004357B9" w:rsidP="004357B9">
            <w:pPr>
              <w:ind w:left="72"/>
              <w:rPr>
                <w:rFonts w:ascii="Times New Roman" w:hAnsi="Times New Roman"/>
                <w:sz w:val="24"/>
              </w:rPr>
            </w:pPr>
            <w:r>
              <w:rPr>
                <w:rFonts w:ascii="Times New Roman" w:hAnsi="Times New Roman"/>
                <w:sz w:val="24"/>
              </w:rPr>
              <w:t>A CRR 112. cikkének n) pontja.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140</w:t>
            </w:r>
          </w:p>
        </w:tc>
        <w:tc>
          <w:tcPr>
            <w:tcW w:w="8701" w:type="dxa"/>
            <w:gridSpan w:val="2"/>
            <w:shd w:val="clear" w:color="auto" w:fill="FFFFFF"/>
          </w:tcPr>
          <w:p w:rsidR="00D82B60" w:rsidRPr="00392FFD"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Kollektív befektetési formák (KBF)</w:t>
            </w:r>
          </w:p>
          <w:p w:rsidR="004357B9" w:rsidRPr="00392FFD" w:rsidRDefault="004357B9" w:rsidP="004357B9">
            <w:pPr>
              <w:ind w:left="72"/>
              <w:rPr>
                <w:rStyle w:val="InstructionsTabelleberschrift"/>
                <w:rFonts w:ascii="Times New Roman" w:hAnsi="Times New Roman"/>
                <w:b w:val="0"/>
                <w:bCs w:val="0"/>
                <w:sz w:val="24"/>
                <w:u w:val="none"/>
              </w:rPr>
            </w:pPr>
            <w:r>
              <w:rPr>
                <w:rFonts w:ascii="Times New Roman" w:hAnsi="Times New Roman"/>
                <w:sz w:val="24"/>
              </w:rPr>
              <w:t>A CRR 112. cikkének o) pontja.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Részvényjellegű kitettségek</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 CRR 112. cikkének p) pontja.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Egyéb kitettségek</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 CRR 112. cikkének q) pontja.</w:t>
            </w:r>
          </w:p>
        </w:tc>
      </w:tr>
      <w:tr w:rsidR="007A49AC" w:rsidRPr="00392FFD" w:rsidTr="00672D2A">
        <w:tc>
          <w:tcPr>
            <w:tcW w:w="1188" w:type="dxa"/>
            <w:shd w:val="clear" w:color="auto" w:fill="FFFFFF"/>
          </w:tcPr>
          <w:p w:rsidR="007A49AC" w:rsidRPr="00392FFD" w:rsidRDefault="007A49AC" w:rsidP="004357B9">
            <w:pPr>
              <w:rPr>
                <w:rFonts w:ascii="Times New Roman" w:hAnsi="Times New Roman"/>
                <w:sz w:val="24"/>
              </w:rPr>
            </w:pPr>
            <w:r>
              <w:rPr>
                <w:rFonts w:ascii="Times New Roman" w:hAnsi="Times New Roman"/>
                <w:sz w:val="24"/>
              </w:rPr>
              <w:t>170</w:t>
            </w:r>
          </w:p>
        </w:tc>
        <w:tc>
          <w:tcPr>
            <w:tcW w:w="8701" w:type="dxa"/>
            <w:gridSpan w:val="2"/>
            <w:shd w:val="clear" w:color="auto" w:fill="FFFFFF"/>
          </w:tcPr>
          <w:p w:rsidR="007A49AC" w:rsidRPr="00392FFD"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Teljes kitettség</w:t>
            </w:r>
          </w:p>
        </w:tc>
      </w:tr>
    </w:tbl>
    <w:p w:rsidR="004357B9" w:rsidRPr="00392FFD" w:rsidRDefault="004357B9" w:rsidP="004357B9">
      <w:pPr>
        <w:spacing w:before="0" w:after="200" w:line="312" w:lineRule="auto"/>
        <w:jc w:val="left"/>
        <w:rPr>
          <w:rFonts w:ascii="Times New Roman" w:hAnsi="Times New Roman"/>
          <w:sz w:val="24"/>
        </w:rPr>
      </w:pPr>
      <w:bookmarkStart w:id="384" w:name="_Toc292456210"/>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5" w:name="_Toc360188364"/>
      <w:bookmarkStart w:id="386" w:name="_Toc516210650"/>
      <w:bookmarkStart w:id="387" w:name="_Toc473560915"/>
      <w:bookmarkStart w:id="388" w:name="_Toc524014709"/>
      <w:r>
        <w:rPr>
          <w:rFonts w:ascii="Times New Roman" w:hAnsi="Times New Roman"/>
          <w:sz w:val="24"/>
          <w:u w:val="none"/>
        </w:rPr>
        <w:t>3.4.2</w:t>
      </w:r>
      <w:r w:rsidRPr="002B6A20">
        <w:rPr>
          <w:rFonts w:ascii="Times New Roman" w:hAnsi="Times New Roman"/>
          <w:sz w:val="24"/>
        </w:rPr>
        <w:t>.</w:t>
      </w:r>
      <w:r w:rsidRPr="002B6A20">
        <w:tab/>
      </w:r>
      <w:r>
        <w:rPr>
          <w:rFonts w:ascii="Times New Roman" w:hAnsi="Times New Roman"/>
          <w:sz w:val="24"/>
        </w:rPr>
        <w:t>C 09.02 – Kitettségek földrajzi bontása a kötelezett illetősége szerint: IRB kitettségek</w:t>
      </w:r>
      <w:bookmarkEnd w:id="385"/>
      <w:r>
        <w:rPr>
          <w:rFonts w:ascii="Times New Roman" w:hAnsi="Times New Roman"/>
          <w:sz w:val="24"/>
        </w:rPr>
        <w:t xml:space="preserve"> (CR GB 2)</w:t>
      </w:r>
      <w:bookmarkEnd w:id="386"/>
      <w:bookmarkEnd w:id="387"/>
      <w:bookmarkEnd w:id="388"/>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9" w:name="_Toc360188365"/>
      <w:bookmarkStart w:id="390" w:name="_Toc516210651"/>
      <w:bookmarkStart w:id="391" w:name="_Toc473560916"/>
      <w:bookmarkStart w:id="392" w:name="_Toc524014710"/>
      <w:r>
        <w:rPr>
          <w:rFonts w:ascii="Times New Roman" w:hAnsi="Times New Roman"/>
          <w:sz w:val="24"/>
          <w:u w:val="none"/>
        </w:rPr>
        <w:t>3.4.2.1.</w:t>
      </w:r>
      <w:r w:rsidRPr="002B6A20">
        <w:rPr>
          <w:u w:val="none"/>
        </w:rPr>
        <w:tab/>
      </w:r>
      <w:r>
        <w:rPr>
          <w:rFonts w:ascii="Times New Roman" w:hAnsi="Times New Roman"/>
          <w:sz w:val="24"/>
        </w:rPr>
        <w:t>A tábla egyes részeire vonatkozó útmutató</w:t>
      </w:r>
      <w:bookmarkEnd w:id="389"/>
      <w:bookmarkEnd w:id="390"/>
      <w:bookmarkEnd w:id="391"/>
      <w:bookmarkEnd w:id="39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Oszlopok</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lastRenderedPageBreak/>
              <w:t>010</w:t>
            </w:r>
          </w:p>
        </w:tc>
        <w:tc>
          <w:tcPr>
            <w:tcW w:w="8640" w:type="dxa"/>
          </w:tcPr>
          <w:p w:rsidR="004357B9" w:rsidRPr="00392FFD"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HITEL-EGYENÉRTÉKESÍTÉSI TÉNYEZŐK ELŐTTI EREDETI KITET</w:t>
            </w:r>
            <w:r>
              <w:rPr>
                <w:rStyle w:val="InstructionsTabelleberschrift"/>
                <w:rFonts w:ascii="Times New Roman" w:hAnsi="Times New Roman"/>
                <w:sz w:val="24"/>
              </w:rPr>
              <w:t>T</w:t>
            </w:r>
            <w:r>
              <w:rPr>
                <w:rStyle w:val="InstructionsTabelleberschrift"/>
                <w:rFonts w:ascii="Times New Roman" w:hAnsi="Times New Roman"/>
                <w:sz w:val="24"/>
              </w:rPr>
              <w:t>SÉG</w:t>
            </w:r>
          </w:p>
          <w:p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A CR IRB tábla 020-as oszlopával azonos meghatározás.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Ebből: nemteljesítő</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A CRR 178. cikke szerint nemteljesítő kitettségként besorolt kitettségek eredeti kitettségértéke.</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Az időszakban megállapított új nemteljesítések</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A legutóbbi adatszolgáltatási vonatkozási időpont óta eltelt 3 hónap során a „nemteljesítő kitettségek” kitettségi osztályba átsorolt eredeti kitettségek összegét a</w:t>
            </w:r>
            <w:r>
              <w:rPr>
                <w:rStyle w:val="InstructionsTabelleText"/>
                <w:rFonts w:ascii="Times New Roman" w:hAnsi="Times New Roman"/>
                <w:sz w:val="24"/>
              </w:rPr>
              <w:t>b</w:t>
            </w:r>
            <w:r>
              <w:rPr>
                <w:rStyle w:val="InstructionsTabelleText"/>
                <w:rFonts w:ascii="Times New Roman" w:hAnsi="Times New Roman"/>
                <w:sz w:val="24"/>
              </w:rPr>
              <w:t>ban a kitettségi osztályban kell feltüntetni, amelybe a kötelezett eredetileg tartozott.</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Általános hitelkockázati kiigazítások</w:t>
            </w:r>
          </w:p>
          <w:p w:rsidR="004357B9" w:rsidRPr="00392FFD" w:rsidRDefault="004357B9" w:rsidP="00D82B60">
            <w:pPr>
              <w:rPr>
                <w:rFonts w:ascii="Times New Roman" w:hAnsi="Times New Roman"/>
                <w:b/>
                <w:sz w:val="24"/>
                <w:u w:val="single"/>
              </w:rPr>
            </w:pPr>
            <w:r>
              <w:rPr>
                <w:rFonts w:ascii="Times New Roman" w:hAnsi="Times New Roman"/>
                <w:sz w:val="24"/>
              </w:rPr>
              <w:t xml:space="preserve">A CRR 110. cikke szerinti hitelkockázati kiigazítások.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Egyedi hitelkockázati kiigazítások</w:t>
            </w:r>
          </w:p>
          <w:p w:rsidR="004357B9" w:rsidRPr="00392FFD" w:rsidRDefault="004357B9" w:rsidP="004357B9">
            <w:pPr>
              <w:rPr>
                <w:rFonts w:ascii="Times New Roman" w:hAnsi="Times New Roman"/>
                <w:b/>
                <w:sz w:val="24"/>
                <w:u w:val="single"/>
              </w:rPr>
            </w:pPr>
            <w:r>
              <w:rPr>
                <w:rFonts w:ascii="Times New Roman" w:hAnsi="Times New Roman"/>
                <w:sz w:val="24"/>
              </w:rPr>
              <w:t>A CRR 110. cikke szerinti hitelkockázati kiigazítások.</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Leírások</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A leírások magukban foglalják a közvetlenül az eredményben elszámolt értékvesztett pénzügyi eszközök könyv szerinti értékének csökkentését [IFRS 7</w:t>
            </w:r>
            <w:proofErr w:type="gramStart"/>
            <w:r>
              <w:rPr>
                <w:rStyle w:val="InstructionsTabelleText"/>
                <w:rFonts w:ascii="Times New Roman" w:hAnsi="Times New Roman"/>
                <w:sz w:val="24"/>
              </w:rPr>
              <w:t>.B5</w:t>
            </w:r>
            <w:proofErr w:type="gramEnd"/>
            <w:r>
              <w:rPr>
                <w:rStyle w:val="InstructionsTabelleText"/>
                <w:rFonts w:ascii="Times New Roman" w:hAnsi="Times New Roman"/>
                <w:sz w:val="24"/>
              </w:rPr>
              <w:t>.(d).(i)], valamint az értékvesztett pénzügyi eszközökkel szembeállított értékvesztési számlák összegének csökkentését [IFRS 7.B5.(d).(ii)].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 megállapított új nemteljesítések utáni hitelkockázati kiigazítások/leírások</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A legutóbbi adatszolgáltatás óta eltelt 3 hónap során a „nemteljesítő kitettségek” közé sorolt kitettségek utáni hitelkockázati kiigazítások és leírások összege.</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BELSŐ MINŐSÍTÉSI RENDSZER/AZ ÜGYFÉL-KATEGÓRIÁHOZ VAGY -HALMAZHOZ (POOLHOZ) RENDELT NEMTELJESÍTÉSI VALÓSZÍNŰSÉG (%)</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A CR IRB tábla 010-as oszlopával azonos meghatározás.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KITETTSÉGGEL SÚLYOZOTT ÁTLAGOS LGD (%)</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A CR IRB tábla 230. és 240. oszlopával azonos meghatározás: a kitettséggel súlyozott átlagos LGD-érték (%) minden kitettségre utal, beleértve a </w:t>
            </w:r>
            <w:proofErr w:type="gramStart"/>
            <w:r>
              <w:rPr>
                <w:rStyle w:val="InstructionsTabelleText"/>
                <w:rFonts w:ascii="Times New Roman" w:hAnsi="Times New Roman"/>
                <w:sz w:val="24"/>
              </w:rPr>
              <w:t>nagy méretű</w:t>
            </w:r>
            <w:proofErr w:type="gramEnd"/>
            <w:r>
              <w:rPr>
                <w:rStyle w:val="InstructionsTabelleText"/>
                <w:rFonts w:ascii="Times New Roman" w:hAnsi="Times New Roman"/>
                <w:sz w:val="24"/>
              </w:rPr>
              <w:t xml:space="preserve"> pénzügyi ág</w:t>
            </w:r>
            <w:r>
              <w:rPr>
                <w:rStyle w:val="InstructionsTabelleText"/>
                <w:rFonts w:ascii="Times New Roman" w:hAnsi="Times New Roman"/>
                <w:sz w:val="24"/>
              </w:rPr>
              <w:t>a</w:t>
            </w:r>
            <w:r>
              <w:rPr>
                <w:rStyle w:val="InstructionsTabelleText"/>
                <w:rFonts w:ascii="Times New Roman" w:hAnsi="Times New Roman"/>
                <w:sz w:val="24"/>
              </w:rPr>
              <w:t>zatbeli szervezetekkel és a nem szabályozott pénzügyi vállalatokkal szembeni kitetts</w:t>
            </w:r>
            <w:r>
              <w:rPr>
                <w:rStyle w:val="InstructionsTabelleText"/>
                <w:rFonts w:ascii="Times New Roman" w:hAnsi="Times New Roman"/>
                <w:sz w:val="24"/>
              </w:rPr>
              <w:t>é</w:t>
            </w:r>
            <w:r>
              <w:rPr>
                <w:rStyle w:val="InstructionsTabelleText"/>
                <w:rFonts w:ascii="Times New Roman" w:hAnsi="Times New Roman"/>
                <w:sz w:val="24"/>
              </w:rPr>
              <w:t>geket. A CRR 181. cikke (1) bekezdésének h) pontjában foglalt rendelkezéseket kell alkalmazni.</w:t>
            </w:r>
          </w:p>
          <w:p w:rsidR="0042766A" w:rsidRPr="00392FFD" w:rsidRDefault="0042766A" w:rsidP="0042766A">
            <w:pPr>
              <w:rPr>
                <w:rFonts w:ascii="Times New Roman" w:hAnsi="Times New Roman"/>
                <w:b/>
                <w:sz w:val="24"/>
                <w:u w:val="single"/>
              </w:rPr>
            </w:pPr>
            <w:r>
              <w:rPr>
                <w:rFonts w:ascii="Times New Roman" w:hAnsi="Times New Roman"/>
                <w:sz w:val="24"/>
              </w:rPr>
              <w:t>Az adatszolgáltatás nem terjed ki a 153. cikk (5) bekezdésében említett speciális hitel</w:t>
            </w:r>
            <w:r>
              <w:rPr>
                <w:rFonts w:ascii="Times New Roman" w:hAnsi="Times New Roman"/>
                <w:sz w:val="24"/>
              </w:rPr>
              <w:t>e</w:t>
            </w:r>
            <w:r>
              <w:rPr>
                <w:rFonts w:ascii="Times New Roman" w:hAnsi="Times New Roman"/>
                <w:sz w:val="24"/>
              </w:rPr>
              <w:t>zési kitettségekre.</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Ebből: nemteljesítő</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A CRR 178. cikke szerint nemteljesítő kitettségként besorolt kitettségek kitettséggel súlyozott LGD-értéke.</w:t>
            </w:r>
          </w:p>
        </w:tc>
      </w:tr>
      <w:tr w:rsidR="004357B9" w:rsidRPr="00392FFD" w:rsidTr="00672D2A">
        <w:tc>
          <w:tcPr>
            <w:tcW w:w="1188" w:type="dxa"/>
          </w:tcPr>
          <w:p w:rsidR="004357B9" w:rsidRPr="00392FFD" w:rsidRDefault="00F45359" w:rsidP="004357B9">
            <w:pPr>
              <w:rPr>
                <w:rFonts w:ascii="Times New Roman" w:hAnsi="Times New Roman"/>
                <w:sz w:val="24"/>
              </w:rPr>
            </w:pPr>
            <w:r>
              <w:rPr>
                <w:rFonts w:ascii="Times New Roman" w:hAnsi="Times New Roman"/>
                <w:sz w:val="24"/>
              </w:rPr>
              <w:lastRenderedPageBreak/>
              <w:t>105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Kitettségérték</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A CR IRB tábla 110. oszlopával azonos meghatározás.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 KKV-SZORZÓ ELŐTTI, KOCKÁZATTAL SÚLYOZOTT KITETTSÉGÉRTÉK</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A CR IRB tábla 255-as oszlopával azonos meghatározás.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Ebből: nemteljesítő</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A CRR 178. cikke szerint nemteljesítő kitettségként besorolt kitettségek kockázattal súlyozott kitettségértéke.</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 KKV-SZORZÓ UTÁNI, KOCKÁZATTAL SÚLYOZOTT KITETTSÉGÉRTÉK</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A CR IRB tábla 260-as oszlopával azonos meghatározás.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VÁRHATÓ VESZTESÉGÉRTÉK</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A CR IRB tábla 280-as oszlopával azonos meghatározás.</w:t>
            </w:r>
            <w:r>
              <w:rPr>
                <w:rFonts w:ascii="Times New Roman" w:hAnsi="Times New Roman"/>
                <w:b/>
                <w:sz w:val="24"/>
                <w:u w:val="single"/>
              </w:rPr>
              <w:t xml:space="preserve"> </w:t>
            </w:r>
          </w:p>
        </w:tc>
      </w:tr>
    </w:tbl>
    <w:p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Sorok</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Központi kormányzatok és központi bankok </w:t>
            </w:r>
          </w:p>
          <w:p w:rsidR="004357B9" w:rsidRPr="00392FFD" w:rsidRDefault="004357B9" w:rsidP="004357B9">
            <w:pPr>
              <w:rPr>
                <w:rFonts w:ascii="Times New Roman" w:hAnsi="Times New Roman"/>
                <w:sz w:val="24"/>
              </w:rPr>
            </w:pPr>
            <w:r>
              <w:rPr>
                <w:rFonts w:ascii="Times New Roman" w:hAnsi="Times New Roman"/>
                <w:sz w:val="24"/>
              </w:rPr>
              <w:t>(A CRR 147. cikke (2) bekezdésének a) pontja)</w:t>
            </w:r>
          </w:p>
        </w:tc>
      </w:tr>
      <w:tr w:rsidR="004357B9" w:rsidRPr="00FE6995"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23700C" w:rsidRDefault="004357B9" w:rsidP="004357B9">
            <w:pPr>
              <w:rPr>
                <w:rFonts w:ascii="Times New Roman" w:hAnsi="Times New Roman"/>
                <w:b/>
                <w:sz w:val="24"/>
                <w:u w:val="single"/>
              </w:rPr>
            </w:pPr>
            <w:r>
              <w:rPr>
                <w:rFonts w:ascii="Times New Roman" w:hAnsi="Times New Roman"/>
                <w:b/>
                <w:sz w:val="24"/>
                <w:u w:val="single"/>
              </w:rPr>
              <w:t>Intézmények</w:t>
            </w:r>
          </w:p>
          <w:p w:rsidR="004357B9" w:rsidRPr="0023700C" w:rsidRDefault="004357B9" w:rsidP="004357B9">
            <w:pPr>
              <w:rPr>
                <w:rFonts w:ascii="Times New Roman" w:hAnsi="Times New Roman"/>
                <w:sz w:val="24"/>
              </w:rPr>
            </w:pPr>
            <w:r>
              <w:rPr>
                <w:rFonts w:ascii="Times New Roman" w:hAnsi="Times New Roman"/>
                <w:sz w:val="24"/>
              </w:rPr>
              <w:t>(A CRR 147. cikke (2) bekezdésének b) pontja)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Vállalkozások </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(A 147. cikk (2) bekezdésének c) pontja szerinti vállalkozások)</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042</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Ebből: speciális hitelezés (kivéve a slotting módszer alá tartozó speciális hitelezés)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(A CRR 147. cikke (8) bekezdésének a) pontja)</w:t>
            </w:r>
          </w:p>
          <w:p w:rsidR="0042766A" w:rsidRPr="00392FFD" w:rsidRDefault="0042766A" w:rsidP="004357B9">
            <w:pPr>
              <w:pStyle w:val="ListParagraph"/>
              <w:ind w:left="0"/>
              <w:rPr>
                <w:rFonts w:ascii="Times New Roman" w:hAnsi="Times New Roman"/>
                <w:sz w:val="24"/>
              </w:rPr>
            </w:pPr>
            <w:r>
              <w:rPr>
                <w:rFonts w:ascii="Times New Roman" w:hAnsi="Times New Roman"/>
                <w:sz w:val="24"/>
              </w:rPr>
              <w:t>Az adatszolgáltatás nem terjed ki a 153. cikk (5) bekezdésében említett speciális hitel</w:t>
            </w:r>
            <w:r>
              <w:rPr>
                <w:rFonts w:ascii="Times New Roman" w:hAnsi="Times New Roman"/>
                <w:sz w:val="24"/>
              </w:rPr>
              <w:t>e</w:t>
            </w:r>
            <w:r>
              <w:rPr>
                <w:rFonts w:ascii="Times New Roman" w:hAnsi="Times New Roman"/>
                <w:sz w:val="24"/>
              </w:rPr>
              <w:t>zési kitettségekre.</w:t>
            </w:r>
          </w:p>
        </w:tc>
      </w:tr>
      <w:tr w:rsidR="000E093A" w:rsidRPr="00392FFD" w:rsidTr="00672D2A">
        <w:tc>
          <w:tcPr>
            <w:tcW w:w="1188" w:type="dxa"/>
          </w:tcPr>
          <w:p w:rsidR="000E093A" w:rsidRPr="00392FFD" w:rsidRDefault="000E093A" w:rsidP="004357B9">
            <w:pPr>
              <w:rPr>
                <w:rFonts w:ascii="Times New Roman" w:hAnsi="Times New Roman"/>
                <w:sz w:val="24"/>
              </w:rPr>
            </w:pPr>
            <w:r>
              <w:rPr>
                <w:rFonts w:ascii="Times New Roman" w:hAnsi="Times New Roman"/>
                <w:sz w:val="24"/>
              </w:rPr>
              <w:t>045</w:t>
            </w:r>
          </w:p>
        </w:tc>
        <w:tc>
          <w:tcPr>
            <w:tcW w:w="8640" w:type="dxa"/>
          </w:tcPr>
          <w:p w:rsidR="000E093A" w:rsidRPr="00392FFD" w:rsidRDefault="000E093A" w:rsidP="004357B9">
            <w:pPr>
              <w:rPr>
                <w:rFonts w:ascii="Times New Roman" w:hAnsi="Times New Roman"/>
                <w:b/>
                <w:sz w:val="24"/>
                <w:u w:val="single"/>
              </w:rPr>
            </w:pPr>
            <w:r>
              <w:rPr>
                <w:rFonts w:ascii="Times New Roman" w:hAnsi="Times New Roman"/>
                <w:b/>
                <w:sz w:val="24"/>
                <w:u w:val="single"/>
              </w:rPr>
              <w:t>Ebből: slotting módszer alá tartozó speciális hitelezés</w:t>
            </w:r>
          </w:p>
          <w:p w:rsidR="000E093A" w:rsidRPr="00392FFD" w:rsidRDefault="000E093A" w:rsidP="00FD54FC">
            <w:pPr>
              <w:rPr>
                <w:rFonts w:ascii="Times New Roman" w:hAnsi="Times New Roman"/>
                <w:b/>
                <w:sz w:val="24"/>
                <w:u w:val="single"/>
              </w:rPr>
            </w:pPr>
            <w:r>
              <w:rPr>
                <w:rFonts w:ascii="Times New Roman" w:hAnsi="Times New Roman"/>
                <w:sz w:val="24"/>
              </w:rPr>
              <w:t>A CRR 147. cikke (8) bekezdésének a) pontja, valamint 153. cikkének (5) bekezdése</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Ebből: KKV</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(A CRR 147. cikke (2) bekezdésének c) pontja)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Lakosság</w:t>
            </w:r>
          </w:p>
          <w:p w:rsidR="004357B9" w:rsidRPr="00392FFD" w:rsidRDefault="004357B9" w:rsidP="004357B9">
            <w:pPr>
              <w:rPr>
                <w:rFonts w:ascii="Times New Roman" w:hAnsi="Times New Roman"/>
                <w:sz w:val="24"/>
              </w:rPr>
            </w:pPr>
            <w:r>
              <w:rPr>
                <w:rFonts w:ascii="Times New Roman" w:hAnsi="Times New Roman"/>
                <w:sz w:val="24"/>
              </w:rPr>
              <w:t>A 147. cikk (2) bekezdésének d) pontja szerinti lakossággal szembeni kitettségek</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Lakosság – ingatlannal fedezett</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Ingatlannal fedezett kitettségek a CRR 147. cikke (2) bekezdésének d) pontja alkalm</w:t>
            </w:r>
            <w:r>
              <w:rPr>
                <w:rFonts w:ascii="Times New Roman" w:hAnsi="Times New Roman"/>
                <w:sz w:val="24"/>
              </w:rPr>
              <w:t>a</w:t>
            </w:r>
            <w:r>
              <w:rPr>
                <w:rFonts w:ascii="Times New Roman" w:hAnsi="Times New Roman"/>
                <w:sz w:val="24"/>
              </w:rPr>
              <w:t>zásával.</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KKV</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Ingatlannal fedezett, lakossággal szembeni kitettségek a CRR 147. cikke (2) bekezdésének d) pontja és a 153. cikk (3) bekezdése együttes alkalmazásával.</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Nem kkv</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Ingatlannal fedezett, lakossággal szembeni kitettségek a CRR 147. cikke (2) bekezdésének d) pontja alkalmazásával.</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Lakosság – a rulírozó állományba beszámítható</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(A CRR 147. cikke (2) bekezdésének d) pontja a 154. cikk (4) bekezdésével együtt</w:t>
            </w:r>
            <w:r>
              <w:rPr>
                <w:rFonts w:ascii="Times New Roman" w:hAnsi="Times New Roman"/>
                <w:sz w:val="24"/>
              </w:rPr>
              <w:t>e</w:t>
            </w:r>
            <w:r>
              <w:rPr>
                <w:rFonts w:ascii="Times New Roman" w:hAnsi="Times New Roman"/>
                <w:sz w:val="24"/>
              </w:rPr>
              <w:t xml:space="preserve">sen)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Egyéb lakosság</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A 147. cikk (2) bekezdésének d) pontja szerinti, a 070–100. sorban nem szereplő, egyéb lakossággal szembeni kitettségek.</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KKV</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Egyéb lakossággal szembeni kitettségek a CRR 147. cikke (2) bekezdésének d) pontja és a 153. cikk (3) bekezdésének együttes alkalmazásával.</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Nem kkv</w:t>
            </w:r>
          </w:p>
          <w:p w:rsidR="004357B9" w:rsidRPr="00392FFD" w:rsidRDefault="004357B9" w:rsidP="004357B9">
            <w:pPr>
              <w:rPr>
                <w:rFonts w:ascii="Times New Roman" w:hAnsi="Times New Roman"/>
                <w:sz w:val="24"/>
              </w:rPr>
            </w:pPr>
            <w:r>
              <w:rPr>
                <w:rFonts w:ascii="Times New Roman" w:hAnsi="Times New Roman"/>
                <w:sz w:val="24"/>
              </w:rPr>
              <w:t>Egyéb lakossággal szembeni kitettségek a CRR 147. cikke (2) bekezdésének d) pontja alkalmazásával.</w:t>
            </w:r>
          </w:p>
        </w:tc>
      </w:tr>
      <w:bookmarkEnd w:id="384"/>
      <w:tr w:rsidR="004357B9" w:rsidRPr="00392FFD" w:rsidTr="00672D2A">
        <w:tc>
          <w:tcPr>
            <w:tcW w:w="1188"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sz w:val="24"/>
              </w:rPr>
            </w:pPr>
            <w:r>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b/>
                <w:sz w:val="24"/>
                <w:u w:val="single"/>
              </w:rPr>
            </w:pPr>
            <w:r>
              <w:rPr>
                <w:rFonts w:ascii="Times New Roman" w:hAnsi="Times New Roman"/>
                <w:b/>
                <w:sz w:val="24"/>
                <w:u w:val="single"/>
              </w:rPr>
              <w:t>Részvényjellegű kitettségek</w:t>
            </w:r>
          </w:p>
          <w:p w:rsidR="004357B9" w:rsidRPr="00392FFD" w:rsidRDefault="004357B9" w:rsidP="004357B9">
            <w:pPr>
              <w:rPr>
                <w:rFonts w:ascii="Times New Roman" w:hAnsi="Times New Roman"/>
                <w:b/>
                <w:sz w:val="24"/>
                <w:u w:val="single"/>
              </w:rPr>
            </w:pPr>
            <w:r>
              <w:rPr>
                <w:rFonts w:ascii="Times New Roman" w:hAnsi="Times New Roman"/>
                <w:sz w:val="24"/>
              </w:rPr>
              <w:t>Részvényjellegű kitettségek a CRR 147. cikke (2) bekezdésének e) pontja alkalmaz</w:t>
            </w:r>
            <w:r>
              <w:rPr>
                <w:rFonts w:ascii="Times New Roman" w:hAnsi="Times New Roman"/>
                <w:sz w:val="24"/>
              </w:rPr>
              <w:t>á</w:t>
            </w:r>
            <w:r>
              <w:rPr>
                <w:rFonts w:ascii="Times New Roman" w:hAnsi="Times New Roman"/>
                <w:sz w:val="24"/>
              </w:rPr>
              <w:t>sával.</w:t>
            </w:r>
          </w:p>
        </w:tc>
      </w:tr>
      <w:tr w:rsidR="007A49AC" w:rsidRPr="00392FFD" w:rsidTr="00672D2A">
        <w:tc>
          <w:tcPr>
            <w:tcW w:w="1188" w:type="dxa"/>
            <w:tcBorders>
              <w:top w:val="single" w:sz="4" w:space="0" w:color="auto"/>
              <w:left w:val="single" w:sz="4" w:space="0" w:color="auto"/>
              <w:bottom w:val="single" w:sz="4" w:space="0" w:color="auto"/>
              <w:right w:val="single" w:sz="4" w:space="0" w:color="auto"/>
            </w:tcBorders>
          </w:tcPr>
          <w:p w:rsidR="007A49AC" w:rsidRPr="00392FFD" w:rsidRDefault="007A49AC" w:rsidP="004357B9">
            <w:pPr>
              <w:rPr>
                <w:rFonts w:ascii="Times New Roman" w:hAnsi="Times New Roman"/>
                <w:sz w:val="24"/>
              </w:rPr>
            </w:pPr>
            <w:r>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392FFD" w:rsidRDefault="007A49AC" w:rsidP="007A49AC">
            <w:pPr>
              <w:rPr>
                <w:rFonts w:ascii="Times New Roman" w:hAnsi="Times New Roman"/>
                <w:b/>
                <w:sz w:val="24"/>
                <w:u w:val="single"/>
              </w:rPr>
            </w:pPr>
            <w:r>
              <w:rPr>
                <w:rFonts w:ascii="Times New Roman" w:hAnsi="Times New Roman"/>
                <w:b/>
                <w:sz w:val="24"/>
                <w:u w:val="single"/>
              </w:rPr>
              <w:t>Teljes kitettség</w:t>
            </w:r>
          </w:p>
          <w:p w:rsidR="007A49AC" w:rsidRPr="00392FFD" w:rsidRDefault="007A49AC" w:rsidP="004357B9">
            <w:pPr>
              <w:rPr>
                <w:rFonts w:ascii="Times New Roman" w:hAnsi="Times New Roman"/>
                <w:b/>
                <w:sz w:val="24"/>
                <w:u w:val="single"/>
              </w:rPr>
            </w:pPr>
          </w:p>
        </w:tc>
      </w:tr>
    </w:tbl>
    <w:p w:rsidR="004357B9" w:rsidRPr="00392FFD" w:rsidRDefault="004357B9" w:rsidP="004357B9">
      <w:pPr>
        <w:spacing w:before="0" w:after="200" w:line="312" w:lineRule="auto"/>
        <w:jc w:val="left"/>
        <w:rPr>
          <w:rFonts w:ascii="Times New Roman" w:hAnsi="Times New Roman"/>
          <w:sz w:val="24"/>
        </w:rPr>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93" w:name="_Toc360188366"/>
      <w:bookmarkStart w:id="394" w:name="_Toc516210652"/>
      <w:bookmarkStart w:id="395" w:name="_Toc473560917"/>
      <w:bookmarkStart w:id="396" w:name="_Toc524014711"/>
      <w:r>
        <w:rPr>
          <w:rFonts w:ascii="Times New Roman" w:hAnsi="Times New Roman"/>
          <w:sz w:val="24"/>
          <w:u w:val="none"/>
        </w:rPr>
        <w:t>3.4.3.</w:t>
      </w:r>
      <w:r w:rsidRPr="00031ED1">
        <w:rPr>
          <w:u w:val="none"/>
        </w:rPr>
        <w:tab/>
      </w:r>
      <w:r>
        <w:rPr>
          <w:rFonts w:ascii="Times New Roman" w:hAnsi="Times New Roman"/>
          <w:sz w:val="24"/>
        </w:rPr>
        <w:t xml:space="preserve">C 09.04 – </w:t>
      </w:r>
      <w:proofErr w:type="gramStart"/>
      <w:r>
        <w:rPr>
          <w:rFonts w:ascii="Times New Roman" w:hAnsi="Times New Roman"/>
          <w:sz w:val="24"/>
        </w:rPr>
        <w:t>A</w:t>
      </w:r>
      <w:proofErr w:type="gramEnd"/>
      <w:r>
        <w:rPr>
          <w:rFonts w:ascii="Times New Roman" w:hAnsi="Times New Roman"/>
          <w:sz w:val="24"/>
        </w:rPr>
        <w:t xml:space="preserve"> lényeges hitelkockázati kitettségek országonkénti bontása az anticiklikus tőkepuffer és az intézményspecifikus anticiklikus tőkepuffer kiszámításához</w:t>
      </w:r>
      <w:bookmarkEnd w:id="393"/>
      <w:r>
        <w:rPr>
          <w:rFonts w:ascii="Times New Roman" w:hAnsi="Times New Roman"/>
          <w:sz w:val="24"/>
        </w:rPr>
        <w:t xml:space="preserve"> (CCB)</w:t>
      </w:r>
      <w:bookmarkEnd w:id="394"/>
      <w:bookmarkEnd w:id="395"/>
      <w:bookmarkEnd w:id="396"/>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97" w:name="_Toc360188367"/>
      <w:bookmarkStart w:id="398" w:name="_Toc516210653"/>
      <w:bookmarkStart w:id="399" w:name="_Toc473560918"/>
      <w:bookmarkStart w:id="400" w:name="_Toc524014712"/>
      <w:r>
        <w:rPr>
          <w:rFonts w:ascii="Times New Roman" w:hAnsi="Times New Roman"/>
          <w:sz w:val="24"/>
          <w:u w:val="none"/>
        </w:rPr>
        <w:t>3.4.3.1.</w:t>
      </w:r>
      <w:r w:rsidRPr="00031ED1">
        <w:rPr>
          <w:u w:val="none"/>
        </w:rPr>
        <w:tab/>
      </w:r>
      <w:r>
        <w:rPr>
          <w:rFonts w:ascii="Times New Roman" w:hAnsi="Times New Roman"/>
          <w:sz w:val="24"/>
        </w:rPr>
        <w:t>Általános megjegyzések</w:t>
      </w:r>
      <w:bookmarkEnd w:id="397"/>
      <w:bookmarkEnd w:id="398"/>
      <w:bookmarkEnd w:id="399"/>
      <w:bookmarkEnd w:id="400"/>
    </w:p>
    <w:p w:rsidR="00430F6F" w:rsidRPr="00392FFD" w:rsidRDefault="00125707" w:rsidP="00C37B29">
      <w:pPr>
        <w:pStyle w:val="InstructionsText2"/>
        <w:numPr>
          <w:ilvl w:val="0"/>
          <w:numId w:val="0"/>
        </w:numPr>
        <w:ind w:left="993"/>
      </w:pPr>
      <w:r>
        <w:t>82.</w:t>
      </w:r>
      <w:r>
        <w:tab/>
        <w:t>A tábla célja bővebb információ gyűjtése az intézményspecifikus anticiklikus tőkepuffer elemeiről. A kért információ a CRR harmadik része II. és IV. címének megfelelően meghatározott szavatolótőke-követelményre, a hitelkockázati kitetts</w:t>
      </w:r>
      <w:r>
        <w:t>é</w:t>
      </w:r>
      <w:r>
        <w:t xml:space="preserve">gek földrajzi helyére, az intézményspecifikus anticiklikus tőkepuffer CRD 140. </w:t>
      </w:r>
      <w:r>
        <w:lastRenderedPageBreak/>
        <w:t>cikke szerinti (lényeges hitelkockázati kitettség) számításához releváns értékpapírosítási kitettségekre és kereskedési könyvi kit</w:t>
      </w:r>
      <w:r w:rsidR="00031ED1">
        <w:t>ettségekre vonatkozik.</w:t>
      </w:r>
    </w:p>
    <w:p w:rsidR="00430F6F" w:rsidRPr="00392FFD" w:rsidRDefault="00125707" w:rsidP="00C37B29">
      <w:pPr>
        <w:pStyle w:val="InstructionsText2"/>
        <w:numPr>
          <w:ilvl w:val="0"/>
          <w:numId w:val="0"/>
        </w:numPr>
        <w:ind w:left="993"/>
      </w:pPr>
      <w:r>
        <w:t>83.</w:t>
      </w:r>
      <w:r>
        <w:tab/>
        <w:t>A C 09.04. táblában meg kell adni a lényeges hitelkockázati kitettségekre v</w:t>
      </w:r>
      <w:r>
        <w:t>o</w:t>
      </w:r>
      <w:r>
        <w:t>natkozó összesített adatot a kitettségek helye szerinti valamennyi joghatóság teki</w:t>
      </w:r>
      <w:r>
        <w:t>n</w:t>
      </w:r>
      <w:r>
        <w:t>tetében, továbbá egyedileg az egyes olyan joghatóságokra vonatkozóan, ahol a l</w:t>
      </w:r>
      <w:r>
        <w:t>é</w:t>
      </w:r>
      <w:r>
        <w:t xml:space="preserve">nyeges hitelkockázati kitettségek elhelyezkednek. Az összesített adatokat és az egyes joghatóságokra vonatkozó információkat </w:t>
      </w:r>
      <w:r w:rsidR="00031ED1">
        <w:t>külön dimenzióban kell megadni.</w:t>
      </w:r>
    </w:p>
    <w:p w:rsidR="007463E2" w:rsidRPr="00392FFD" w:rsidRDefault="00125707" w:rsidP="00C37B29">
      <w:pPr>
        <w:pStyle w:val="InstructionsText2"/>
        <w:numPr>
          <w:ilvl w:val="0"/>
          <w:numId w:val="0"/>
        </w:numPr>
        <w:ind w:left="993"/>
      </w:pPr>
      <w:r>
        <w:t>84.</w:t>
      </w:r>
      <w:r>
        <w:tab/>
        <w:t>Az e rendelet 5. cikke a) pontjának 4. alpontjában rögzített küszöbérték az e megoszlás szerinti adatszolgáltatás szempontjából nem alkalmazandó.</w:t>
      </w:r>
    </w:p>
    <w:p w:rsidR="005A7CA9" w:rsidRPr="00392FFD" w:rsidRDefault="00125707" w:rsidP="00C37B29">
      <w:pPr>
        <w:pStyle w:val="InstructionsText2"/>
        <w:numPr>
          <w:ilvl w:val="0"/>
          <w:numId w:val="0"/>
        </w:numPr>
        <w:ind w:left="993"/>
      </w:pPr>
      <w:r>
        <w:t>85.</w:t>
      </w:r>
      <w:r>
        <w:tab/>
        <w:t>A földrajzi hely meghatározásához a kitettségek hozzárendelése az intézményspecifikus anticiklikustőkepuffer-ráta kiszámítása céljából a lényeges h</w:t>
      </w:r>
      <w:r>
        <w:t>i</w:t>
      </w:r>
      <w:r>
        <w:t>telkockázati kitettségek földrajzi helyének azonosítására irányuló szabályozástec</w:t>
      </w:r>
      <w:r>
        <w:t>h</w:t>
      </w:r>
      <w:r>
        <w:t>nikai standardokat meghatározó, 2014. június 4-i 1152/2014/EU felhatalmazáson alapuló bizottsági rendeletben előírtaknak megfelelően közvetlen kötelezetti alapon történik. Ezért a hitelkockázat-mérséklési technikák nem változtatják meg egy k</w:t>
      </w:r>
      <w:r>
        <w:t>i</w:t>
      </w:r>
      <w:r>
        <w:t>tettség földrajzi helyhez való hozzárendelését az e táblában meghatározott inform</w:t>
      </w:r>
      <w:r>
        <w:t>á</w:t>
      </w:r>
      <w:r>
        <w:t>ció megadása céljából.</w:t>
      </w:r>
    </w:p>
    <w:p w:rsidR="00154859" w:rsidRPr="00392FFD" w:rsidRDefault="00125707" w:rsidP="0023700C">
      <w:pPr>
        <w:pStyle w:val="Instructionsberschrift2"/>
        <w:numPr>
          <w:ilvl w:val="0"/>
          <w:numId w:val="0"/>
        </w:numPr>
        <w:ind w:left="357" w:hanging="357"/>
        <w:rPr>
          <w:rFonts w:ascii="Times New Roman" w:hAnsi="Times New Roman" w:cs="Times New Roman"/>
          <w:sz w:val="24"/>
        </w:rPr>
      </w:pPr>
      <w:bookmarkStart w:id="401" w:name="_Toc360188368"/>
      <w:bookmarkStart w:id="402" w:name="_Toc516210654"/>
      <w:bookmarkStart w:id="403" w:name="_Toc473560919"/>
      <w:bookmarkStart w:id="404" w:name="_Toc524014713"/>
      <w:r>
        <w:rPr>
          <w:rFonts w:ascii="Times New Roman" w:hAnsi="Times New Roman"/>
          <w:sz w:val="24"/>
          <w:u w:val="none"/>
        </w:rPr>
        <w:t>3.4.3.2.</w:t>
      </w:r>
      <w:r w:rsidRPr="00031ED1">
        <w:rPr>
          <w:u w:val="none"/>
        </w:rPr>
        <w:tab/>
      </w:r>
      <w:r>
        <w:rPr>
          <w:rFonts w:ascii="Times New Roman" w:hAnsi="Times New Roman"/>
          <w:sz w:val="24"/>
        </w:rPr>
        <w:t>A tábla egyes részeire vonatkozó útmutató</w:t>
      </w:r>
      <w:bookmarkEnd w:id="401"/>
      <w:bookmarkEnd w:id="402"/>
      <w:bookmarkEnd w:id="403"/>
      <w:bookmarkEnd w:id="40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rsidTr="00672D2A">
        <w:tc>
          <w:tcPr>
            <w:tcW w:w="1697" w:type="dxa"/>
            <w:shd w:val="clear" w:color="auto" w:fill="CCCCCC"/>
          </w:tcPr>
          <w:p w:rsidR="00154859" w:rsidRPr="00392FFD" w:rsidRDefault="00154859" w:rsidP="004357B9">
            <w:pPr>
              <w:rPr>
                <w:rFonts w:ascii="Times New Roman" w:hAnsi="Times New Roman"/>
                <w:b/>
                <w:sz w:val="24"/>
              </w:rPr>
            </w:pPr>
            <w:r>
              <w:rPr>
                <w:rFonts w:ascii="Times New Roman" w:hAnsi="Times New Roman"/>
                <w:b/>
                <w:sz w:val="24"/>
              </w:rPr>
              <w:t>Oszlopok</w:t>
            </w:r>
          </w:p>
        </w:tc>
        <w:tc>
          <w:tcPr>
            <w:tcW w:w="8131" w:type="dxa"/>
            <w:shd w:val="clear" w:color="auto" w:fill="CCCCCC"/>
          </w:tcPr>
          <w:p w:rsidR="004357B9" w:rsidRPr="00392FFD" w:rsidRDefault="004357B9" w:rsidP="004357B9">
            <w:pPr>
              <w:ind w:left="72"/>
              <w:rPr>
                <w:rFonts w:ascii="Times New Roman" w:hAnsi="Times New Roman"/>
                <w:sz w:val="24"/>
              </w:rPr>
            </w:pPr>
          </w:p>
        </w:tc>
      </w:tr>
      <w:tr w:rsidR="00154859" w:rsidRPr="00392FFD" w:rsidTr="00672D2A">
        <w:tc>
          <w:tcPr>
            <w:tcW w:w="1697" w:type="dxa"/>
          </w:tcPr>
          <w:p w:rsidR="00154859" w:rsidRPr="00392FFD" w:rsidRDefault="00154859" w:rsidP="004357B9">
            <w:pPr>
              <w:rPr>
                <w:rStyle w:val="InstructionsTabelleText"/>
                <w:rFonts w:ascii="Times New Roman" w:hAnsi="Times New Roman"/>
                <w:sz w:val="24"/>
              </w:rPr>
            </w:pPr>
            <w:r>
              <w:rPr>
                <w:rFonts w:ascii="Times New Roman" w:hAnsi="Times New Roman"/>
                <w:sz w:val="24"/>
              </w:rPr>
              <w:t>010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Összeg</w:t>
            </w:r>
          </w:p>
          <w:p w:rsidR="00154859" w:rsidRPr="00392FFD" w:rsidRDefault="006E3440" w:rsidP="00535A98">
            <w:pPr>
              <w:rPr>
                <w:rFonts w:ascii="Times New Roman" w:hAnsi="Times New Roman"/>
                <w:b/>
                <w:sz w:val="24"/>
                <w:u w:val="single"/>
              </w:rPr>
            </w:pPr>
            <w:r>
              <w:rPr>
                <w:rFonts w:ascii="Times New Roman" w:hAnsi="Times New Roman"/>
                <w:sz w:val="24"/>
              </w:rPr>
              <w:t>A lényeges hitelkockázati kitettségek értéke és a kapcsolódó szavatolótőke-követelmények az adott sorra vonatkozó útmutatónak megfelelően meghatározva.</w:t>
            </w:r>
          </w:p>
        </w:tc>
      </w:tr>
      <w:tr w:rsidR="00154859" w:rsidRPr="00392FFD" w:rsidTr="00672D2A">
        <w:tc>
          <w:tcPr>
            <w:tcW w:w="1697" w:type="dxa"/>
          </w:tcPr>
          <w:p w:rsidR="00154859" w:rsidRPr="00392FFD" w:rsidRDefault="00154859" w:rsidP="004357B9">
            <w:pPr>
              <w:rPr>
                <w:sz w:val="24"/>
              </w:rPr>
            </w:pPr>
            <w:r>
              <w:rPr>
                <w:rFonts w:ascii="Times New Roman" w:hAnsi="Times New Roman"/>
                <w:sz w:val="24"/>
              </w:rPr>
              <w:t>020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Százalék</w:t>
            </w:r>
          </w:p>
          <w:p w:rsidR="00154859" w:rsidRPr="00392FFD" w:rsidRDefault="00154859" w:rsidP="00133107">
            <w:pPr>
              <w:rPr>
                <w:rFonts w:ascii="Times New Roman" w:hAnsi="Times New Roman"/>
                <w:b/>
                <w:bCs/>
                <w:sz w:val="24"/>
                <w:u w:val="single"/>
              </w:rPr>
            </w:pPr>
          </w:p>
        </w:tc>
      </w:tr>
      <w:tr w:rsidR="00154859" w:rsidRPr="00392FFD" w:rsidTr="00672D2A">
        <w:tc>
          <w:tcPr>
            <w:tcW w:w="1697" w:type="dxa"/>
          </w:tcPr>
          <w:p w:rsidR="00154859" w:rsidRPr="00392FFD" w:rsidRDefault="00154859" w:rsidP="004357B9">
            <w:pPr>
              <w:rPr>
                <w:rFonts w:ascii="Times New Roman" w:hAnsi="Times New Roman"/>
                <w:sz w:val="24"/>
              </w:rPr>
            </w:pPr>
            <w:r>
              <w:rPr>
                <w:rFonts w:ascii="Times New Roman" w:hAnsi="Times New Roman"/>
                <w:sz w:val="24"/>
              </w:rPr>
              <w:t>030</w:t>
            </w:r>
          </w:p>
        </w:tc>
        <w:tc>
          <w:tcPr>
            <w:tcW w:w="8131" w:type="dxa"/>
          </w:tcPr>
          <w:p w:rsidR="00154859" w:rsidRPr="00392FFD"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Kvalitatív információk</w:t>
            </w:r>
          </w:p>
          <w:p w:rsidR="00514783" w:rsidRPr="00392FFD" w:rsidRDefault="00CA270D" w:rsidP="00234E7D">
            <w:pPr>
              <w:autoSpaceDE w:val="0"/>
              <w:autoSpaceDN w:val="0"/>
              <w:adjustRightInd w:val="0"/>
              <w:rPr>
                <w:rFonts w:ascii="Times New Roman" w:hAnsi="Times New Roman"/>
                <w:sz w:val="24"/>
              </w:rPr>
            </w:pPr>
            <w:r>
              <w:rPr>
                <w:rFonts w:ascii="Times New Roman" w:hAnsi="Times New Roman"/>
                <w:sz w:val="24"/>
              </w:rPr>
              <w:t>Ezt az információt csak az intézmény székhelye szerinti országra vonatkozóan kell megadni (az intézmény székhelye szerinti tagállamnak megfelelő joghat</w:t>
            </w:r>
            <w:r>
              <w:rPr>
                <w:rFonts w:ascii="Times New Roman" w:hAnsi="Times New Roman"/>
                <w:sz w:val="24"/>
              </w:rPr>
              <w:t>ó</w:t>
            </w:r>
            <w:r>
              <w:rPr>
                <w:rFonts w:ascii="Times New Roman" w:hAnsi="Times New Roman"/>
                <w:sz w:val="24"/>
              </w:rPr>
              <w:t xml:space="preserve">ság), és meg kell adni az „Összesen” adatot az összes országra vonatkozóan. </w:t>
            </w:r>
          </w:p>
          <w:p w:rsidR="00EF3F40" w:rsidRPr="00392FFD"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Az intézménynek {y} vagy {n} adatot kell megadnia a megfelelő sorra vonatkozó útmutatóval összhangban.</w:t>
            </w:r>
          </w:p>
        </w:tc>
      </w:tr>
    </w:tbl>
    <w:p w:rsidR="00464F34" w:rsidRPr="00392FFD"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rsidTr="00672D2A">
        <w:tc>
          <w:tcPr>
            <w:tcW w:w="1697" w:type="dxa"/>
            <w:shd w:val="clear" w:color="auto" w:fill="CCCCCC"/>
          </w:tcPr>
          <w:p w:rsidR="00BD5485" w:rsidRPr="00392FFD" w:rsidRDefault="00BD5485" w:rsidP="00133107">
            <w:pPr>
              <w:rPr>
                <w:rFonts w:ascii="Times New Roman" w:hAnsi="Times New Roman"/>
                <w:b/>
                <w:sz w:val="24"/>
              </w:rPr>
            </w:pPr>
            <w:r>
              <w:rPr>
                <w:rFonts w:ascii="Times New Roman" w:hAnsi="Times New Roman"/>
                <w:b/>
                <w:sz w:val="24"/>
              </w:rPr>
              <w:t>Sorok</w:t>
            </w:r>
          </w:p>
        </w:tc>
        <w:tc>
          <w:tcPr>
            <w:tcW w:w="8131" w:type="dxa"/>
            <w:shd w:val="clear" w:color="auto" w:fill="CCCCCC"/>
          </w:tcPr>
          <w:p w:rsidR="00BD5485" w:rsidRPr="00392FFD" w:rsidRDefault="00BD5485" w:rsidP="00133107">
            <w:pPr>
              <w:ind w:left="72"/>
              <w:rPr>
                <w:rFonts w:ascii="Times New Roman" w:hAnsi="Times New Roman"/>
                <w:sz w:val="24"/>
              </w:rPr>
            </w:pPr>
          </w:p>
        </w:tc>
      </w:tr>
      <w:tr w:rsidR="00BD5485" w:rsidRPr="00392FFD" w:rsidTr="00672D2A">
        <w:tc>
          <w:tcPr>
            <w:tcW w:w="1697" w:type="dxa"/>
          </w:tcPr>
          <w:p w:rsidR="00BD5485" w:rsidRPr="00392FFD" w:rsidRDefault="00BD5485" w:rsidP="00133107">
            <w:pPr>
              <w:rPr>
                <w:rStyle w:val="InstructionsTabelleText"/>
                <w:rFonts w:ascii="Times New Roman" w:hAnsi="Times New Roman"/>
                <w:sz w:val="24"/>
              </w:rPr>
            </w:pPr>
            <w:r>
              <w:rPr>
                <w:rFonts w:ascii="Times New Roman" w:hAnsi="Times New Roman"/>
                <w:sz w:val="24"/>
              </w:rPr>
              <w:t>010–020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Lényeges hitelkockázati kitettségek – hitelkockázat</w:t>
            </w:r>
          </w:p>
          <w:p w:rsidR="00BD5485" w:rsidRPr="00392FFD" w:rsidRDefault="00BD5485" w:rsidP="00BD5485">
            <w:pPr>
              <w:rPr>
                <w:rFonts w:ascii="Times New Roman" w:hAnsi="Times New Roman"/>
                <w:b/>
                <w:sz w:val="24"/>
                <w:u w:val="single"/>
              </w:rPr>
            </w:pPr>
            <w:r>
              <w:rPr>
                <w:rFonts w:ascii="Times New Roman" w:hAnsi="Times New Roman"/>
                <w:sz w:val="24"/>
              </w:rPr>
              <w:t>A CRD 140. cikke (4) bekezdése a) pontjának megfelelően meghatározott lény</w:t>
            </w:r>
            <w:r>
              <w:rPr>
                <w:rFonts w:ascii="Times New Roman" w:hAnsi="Times New Roman"/>
                <w:sz w:val="24"/>
              </w:rPr>
              <w:t>e</w:t>
            </w:r>
            <w:r>
              <w:rPr>
                <w:rFonts w:ascii="Times New Roman" w:hAnsi="Times New Roman"/>
                <w:sz w:val="24"/>
              </w:rPr>
              <w:t>ges hitelkockázati kitettség.</w:t>
            </w:r>
          </w:p>
        </w:tc>
      </w:tr>
      <w:tr w:rsidR="00BD5485" w:rsidRPr="00392FFD" w:rsidTr="00672D2A">
        <w:tc>
          <w:tcPr>
            <w:tcW w:w="1697" w:type="dxa"/>
          </w:tcPr>
          <w:p w:rsidR="00BD5485" w:rsidRPr="00392FFD" w:rsidRDefault="00BD5485" w:rsidP="00133107">
            <w:pPr>
              <w:rPr>
                <w:sz w:val="24"/>
              </w:rPr>
            </w:pPr>
            <w:r>
              <w:rPr>
                <w:rFonts w:ascii="Times New Roman" w:hAnsi="Times New Roman"/>
                <w:sz w:val="24"/>
              </w:rPr>
              <w:t>010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Kitettségérték a sztenderd módszer szerint</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A CRD 140. cikke (4) bekezdése a) pontjának megfelelően meghatározott lény</w:t>
            </w:r>
            <w:r>
              <w:rPr>
                <w:rFonts w:ascii="Times New Roman" w:hAnsi="Times New Roman"/>
                <w:sz w:val="24"/>
              </w:rPr>
              <w:t>e</w:t>
            </w:r>
            <w:r>
              <w:rPr>
                <w:rFonts w:ascii="Times New Roman" w:hAnsi="Times New Roman"/>
                <w:sz w:val="24"/>
              </w:rPr>
              <w:lastRenderedPageBreak/>
              <w:t>ges hitelkockázati kitettségekre vonatkozó, a CRR 111.</w:t>
            </w:r>
            <w:r w:rsidR="00031ED1">
              <w:rPr>
                <w:rFonts w:ascii="Times New Roman" w:hAnsi="Times New Roman"/>
                <w:sz w:val="24"/>
              </w:rPr>
              <w:t xml:space="preserve"> cikke szerinti kitettségérték.</w:t>
            </w:r>
          </w:p>
          <w:p w:rsidR="00BD5485" w:rsidRPr="00392FFD" w:rsidRDefault="00BD5485" w:rsidP="005A7CA9">
            <w:pPr>
              <w:autoSpaceDE w:val="0"/>
              <w:autoSpaceDN w:val="0"/>
              <w:adjustRightInd w:val="0"/>
              <w:rPr>
                <w:rFonts w:ascii="Times New Roman" w:hAnsi="Times New Roman"/>
                <w:b/>
                <w:bCs/>
                <w:sz w:val="24"/>
                <w:u w:val="single"/>
              </w:rPr>
            </w:pPr>
            <w:r>
              <w:rPr>
                <w:rFonts w:ascii="Times New Roman" w:hAnsi="Times New Roman"/>
                <w:sz w:val="24"/>
              </w:rPr>
              <w:t>A banki könyvi értékpapírosítási pozíciók sztenderd módszer szerinti kitettségértékét ebben a sorban nem kell megadni, hanem a 050-es sorban kell j</w:t>
            </w:r>
            <w:r>
              <w:rPr>
                <w:rFonts w:ascii="Times New Roman" w:hAnsi="Times New Roman"/>
                <w:sz w:val="24"/>
              </w:rPr>
              <w:t>e</w:t>
            </w:r>
            <w:r>
              <w:rPr>
                <w:rFonts w:ascii="Times New Roman" w:hAnsi="Times New Roman"/>
                <w:sz w:val="24"/>
              </w:rPr>
              <w:t>lenteni.</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Kitettségérték az IRB-módszer szerint</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A CRD 140. cikke (4) bekezdése a) pontjának megfelelően meghatározott lény</w:t>
            </w:r>
            <w:r>
              <w:rPr>
                <w:rFonts w:ascii="Times New Roman" w:hAnsi="Times New Roman"/>
                <w:sz w:val="24"/>
              </w:rPr>
              <w:t>e</w:t>
            </w:r>
            <w:r>
              <w:rPr>
                <w:rFonts w:ascii="Times New Roman" w:hAnsi="Times New Roman"/>
                <w:sz w:val="24"/>
              </w:rPr>
              <w:t>ges hitelkockázati kitettségekre vonatkozó, a CRR 166.</w:t>
            </w:r>
            <w:r w:rsidR="00031ED1">
              <w:rPr>
                <w:rFonts w:ascii="Times New Roman" w:hAnsi="Times New Roman"/>
                <w:sz w:val="24"/>
              </w:rPr>
              <w:t xml:space="preserve"> cikke szerinti kitettségérték.</w:t>
            </w:r>
          </w:p>
          <w:p w:rsidR="00BD5485" w:rsidRPr="00392FFD" w:rsidRDefault="00BD5485" w:rsidP="00BD5485">
            <w:pPr>
              <w:rPr>
                <w:rFonts w:ascii="Times New Roman" w:hAnsi="Times New Roman"/>
                <w:b/>
                <w:bCs/>
                <w:sz w:val="24"/>
                <w:u w:val="single"/>
              </w:rPr>
            </w:pPr>
            <w:r>
              <w:rPr>
                <w:rFonts w:ascii="Times New Roman" w:hAnsi="Times New Roman"/>
                <w:sz w:val="24"/>
              </w:rPr>
              <w:t>A banki könyvi értékpapírosítási pozíciók IRB módszer szerinti kitettségértékét ebben a sorban nem kell megadni, hanem a 060-as sorban kell jelenteni.</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030–040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Lényeges hitelkockázati kitettségek – piaci kockázat</w:t>
            </w:r>
          </w:p>
          <w:p w:rsidR="00BD5485" w:rsidRPr="00392FFD" w:rsidRDefault="00BD5485" w:rsidP="00BD5485">
            <w:pPr>
              <w:rPr>
                <w:rFonts w:ascii="Times New Roman" w:hAnsi="Times New Roman"/>
                <w:b/>
                <w:bCs/>
                <w:sz w:val="24"/>
                <w:u w:val="single"/>
              </w:rPr>
            </w:pPr>
            <w:r>
              <w:rPr>
                <w:rFonts w:ascii="Times New Roman" w:hAnsi="Times New Roman"/>
                <w:sz w:val="24"/>
              </w:rPr>
              <w:t>A CRD 140. cikke (4) bekezdése b) pontjának megfelelően meghatározott lény</w:t>
            </w:r>
            <w:r>
              <w:rPr>
                <w:rFonts w:ascii="Times New Roman" w:hAnsi="Times New Roman"/>
                <w:sz w:val="24"/>
              </w:rPr>
              <w:t>e</w:t>
            </w:r>
            <w:r>
              <w:rPr>
                <w:rFonts w:ascii="Times New Roman" w:hAnsi="Times New Roman"/>
                <w:sz w:val="24"/>
              </w:rPr>
              <w:t>ges hitelkockázati kitettségek.</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030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Kereskedési könyvi kitettségek hosszú és rövid pozícióinak összege a szte</w:t>
            </w:r>
            <w:r>
              <w:rPr>
                <w:rFonts w:ascii="Times New Roman" w:hAnsi="Times New Roman"/>
                <w:b/>
                <w:sz w:val="24"/>
                <w:u w:val="single"/>
              </w:rPr>
              <w:t>n</w:t>
            </w:r>
            <w:r>
              <w:rPr>
                <w:rFonts w:ascii="Times New Roman" w:hAnsi="Times New Roman"/>
                <w:b/>
                <w:sz w:val="24"/>
                <w:u w:val="single"/>
              </w:rPr>
              <w:t>derd módszerek szerint</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A CRD 140. cikke (4) bekezdésének b) pontja szerinti lényeges hitelkockázati k</w:t>
            </w:r>
            <w:r>
              <w:rPr>
                <w:rFonts w:ascii="Times New Roman" w:hAnsi="Times New Roman"/>
                <w:sz w:val="24"/>
              </w:rPr>
              <w:t>i</w:t>
            </w:r>
            <w:r>
              <w:rPr>
                <w:rFonts w:ascii="Times New Roman" w:hAnsi="Times New Roman"/>
                <w:sz w:val="24"/>
              </w:rPr>
              <w:t xml:space="preserve">tettségek hosszú és rövid pozícióinak összege a CRR 327. cikkének megfelelően a CRR harmadik része IV. címe 2. fejezetének értelmében: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hitelviszonyt megtestesítő instrumentumokkal szembeni, értékpapírosítástól eltérő kitettségek,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kereskedési könyvi értékpapírosítási pozíciókkal szembeni kitettségek,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korrelációkereskedési portfóliókkal szembeni kitettségek,</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tulajdonviszonyt megtestesítő instrumentumokkal szembeni kitettségek, t</w:t>
            </w:r>
            <w:r>
              <w:rPr>
                <w:rFonts w:ascii="Times New Roman" w:hAnsi="Times New Roman"/>
                <w:sz w:val="24"/>
              </w:rPr>
              <w:t>o</w:t>
            </w:r>
            <w:r>
              <w:rPr>
                <w:rFonts w:ascii="Times New Roman" w:hAnsi="Times New Roman"/>
                <w:sz w:val="24"/>
              </w:rPr>
              <w:t>vábbá</w:t>
            </w:r>
          </w:p>
          <w:p w:rsidR="0079771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kollektív befektetési formákkal szembeni kitettségek, ha a tőkekövetelmény kiszámítása a CRR 348. cikke szerint történik.</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Kereskedési könyvi kitettségek értéke a belső modellek szerint</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A CRD 140. cikke (4) bekezdésének b) pontjának megfelelően meghatározott l</w:t>
            </w:r>
            <w:r>
              <w:rPr>
                <w:rFonts w:ascii="Times New Roman" w:hAnsi="Times New Roman"/>
                <w:sz w:val="24"/>
              </w:rPr>
              <w:t>é</w:t>
            </w:r>
            <w:r>
              <w:rPr>
                <w:rFonts w:ascii="Times New Roman" w:hAnsi="Times New Roman"/>
                <w:sz w:val="24"/>
              </w:rPr>
              <w:t>nyeges hitelkockázati kitettségek esetében a CRR harmadik része IV. címe 2. és 5. fejezetének értelmében a következők összegét kell jelenteni:</w:t>
            </w:r>
          </w:p>
          <w:p w:rsidR="00BD5485" w:rsidRPr="00125707"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olyan nem származtatott pozíciók CRR 104. cikkével összhangban meghat</w:t>
            </w:r>
            <w:r>
              <w:rPr>
                <w:rFonts w:ascii="Times New Roman" w:hAnsi="Times New Roman"/>
                <w:sz w:val="24"/>
              </w:rPr>
              <w:t>á</w:t>
            </w:r>
            <w:r>
              <w:rPr>
                <w:rFonts w:ascii="Times New Roman" w:hAnsi="Times New Roman"/>
                <w:sz w:val="24"/>
              </w:rPr>
              <w:t>rozott valós értéke, amelyek a CRD 140. cikke (4) bekezdésének b) pontja szerinti lényeges hitelkockázati kitettségeket jelentenek,</w:t>
            </w:r>
          </w:p>
          <w:p w:rsidR="00BD548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olyan származtatott ügyletek névleges értéke, amelyek a CRD 140. cikke (4) bekezdése b) pontjának megfelelően meghatározott lényeges hitelkockáz</w:t>
            </w:r>
            <w:r>
              <w:rPr>
                <w:rFonts w:ascii="Times New Roman" w:hAnsi="Times New Roman"/>
                <w:sz w:val="24"/>
              </w:rPr>
              <w:t>a</w:t>
            </w:r>
            <w:r>
              <w:rPr>
                <w:rFonts w:ascii="Times New Roman" w:hAnsi="Times New Roman"/>
                <w:sz w:val="24"/>
              </w:rPr>
              <w:t>ti kitettségeket jelentenek.</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Lényeges hitelkockázati kitettségek – banki könyvi értékpapírosítási pozíciók</w:t>
            </w:r>
          </w:p>
          <w:p w:rsidR="00BD5485" w:rsidRPr="00392FFD" w:rsidRDefault="00BD5485" w:rsidP="00BD5485">
            <w:pPr>
              <w:rPr>
                <w:rFonts w:ascii="Times New Roman" w:hAnsi="Times New Roman"/>
                <w:b/>
                <w:bCs/>
                <w:sz w:val="24"/>
                <w:u w:val="single"/>
              </w:rPr>
            </w:pPr>
            <w:r>
              <w:rPr>
                <w:rFonts w:ascii="Times New Roman" w:hAnsi="Times New Roman"/>
                <w:sz w:val="24"/>
              </w:rPr>
              <w:t>A CRD 140. cikke (4) bekezdése c) pontjának megfelelően meghatározott lény</w:t>
            </w:r>
            <w:r>
              <w:rPr>
                <w:rFonts w:ascii="Times New Roman" w:hAnsi="Times New Roman"/>
                <w:sz w:val="24"/>
              </w:rPr>
              <w:t>e</w:t>
            </w:r>
            <w:r>
              <w:rPr>
                <w:rFonts w:ascii="Times New Roman" w:hAnsi="Times New Roman"/>
                <w:sz w:val="24"/>
              </w:rPr>
              <w:t>ges hitelkockázati kitettségek.</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 xml:space="preserve">Banki könyvi értékpapírosítási pozíciók kitettségértéke a sztenderd módszer </w:t>
            </w:r>
            <w:r>
              <w:rPr>
                <w:rFonts w:ascii="Times New Roman" w:hAnsi="Times New Roman"/>
                <w:b/>
                <w:sz w:val="24"/>
                <w:u w:val="single"/>
              </w:rPr>
              <w:lastRenderedPageBreak/>
              <w:t>szerint</w:t>
            </w:r>
          </w:p>
          <w:p w:rsidR="00BD5485" w:rsidRPr="00392FFD" w:rsidRDefault="00BD5485" w:rsidP="00BD5485">
            <w:pPr>
              <w:rPr>
                <w:rFonts w:ascii="Times New Roman" w:hAnsi="Times New Roman"/>
                <w:b/>
                <w:bCs/>
                <w:sz w:val="24"/>
                <w:u w:val="single"/>
              </w:rPr>
            </w:pPr>
            <w:r>
              <w:rPr>
                <w:rFonts w:ascii="Times New Roman" w:hAnsi="Times New Roman"/>
                <w:sz w:val="24"/>
              </w:rPr>
              <w:t>A CRD 140. cikke (4) bekezdése c) pontjának megfelelően meghatározott lény</w:t>
            </w:r>
            <w:r>
              <w:rPr>
                <w:rFonts w:ascii="Times New Roman" w:hAnsi="Times New Roman"/>
                <w:sz w:val="24"/>
              </w:rPr>
              <w:t>e</w:t>
            </w:r>
            <w:r>
              <w:rPr>
                <w:rFonts w:ascii="Times New Roman" w:hAnsi="Times New Roman"/>
                <w:sz w:val="24"/>
              </w:rPr>
              <w:t xml:space="preserve">ges hitelkockázati kitettségekre vonatkozó, a CRR 246. cikke szerinti kitettségérték.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Banki könyvi értékpapírosítási pozíciók kitettségértéke az IRB-módszer sz</w:t>
            </w:r>
            <w:r>
              <w:rPr>
                <w:rFonts w:ascii="Times New Roman" w:hAnsi="Times New Roman"/>
                <w:b/>
                <w:sz w:val="24"/>
                <w:u w:val="single"/>
              </w:rPr>
              <w:t>e</w:t>
            </w:r>
            <w:r>
              <w:rPr>
                <w:rFonts w:ascii="Times New Roman" w:hAnsi="Times New Roman"/>
                <w:b/>
                <w:sz w:val="24"/>
                <w:u w:val="single"/>
              </w:rPr>
              <w:t>rint</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A CRD 140. cikke (4) bekezdése c) pontjának megfelelően meghatározott lény</w:t>
            </w:r>
            <w:r>
              <w:rPr>
                <w:rFonts w:ascii="Times New Roman" w:hAnsi="Times New Roman"/>
                <w:sz w:val="24"/>
              </w:rPr>
              <w:t>e</w:t>
            </w:r>
            <w:r>
              <w:rPr>
                <w:rFonts w:ascii="Times New Roman" w:hAnsi="Times New Roman"/>
                <w:sz w:val="24"/>
              </w:rPr>
              <w:t xml:space="preserve">ges hitelkockázati kitettségekre vonatkozó, a CRR 246. cikke szerinti kitettségérték.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070-110</w:t>
            </w:r>
          </w:p>
        </w:tc>
        <w:tc>
          <w:tcPr>
            <w:tcW w:w="8131" w:type="dxa"/>
          </w:tcPr>
          <w:p w:rsidR="00BD5485" w:rsidRPr="00392FFD" w:rsidRDefault="00BD5485" w:rsidP="00133107">
            <w:pPr>
              <w:rPr>
                <w:rFonts w:ascii="Times New Roman" w:hAnsi="Times New Roman"/>
                <w:b/>
                <w:bCs/>
                <w:sz w:val="24"/>
                <w:u w:val="single"/>
              </w:rPr>
            </w:pPr>
            <w:r>
              <w:rPr>
                <w:rFonts w:ascii="Times New Roman" w:hAnsi="Times New Roman"/>
                <w:b/>
                <w:sz w:val="24"/>
                <w:u w:val="single"/>
              </w:rPr>
              <w:t>Szavatolótőke-követelmények és súlyok</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Az anticiklikus tőkepufferre vonatkozó teljes szavatolótőke-követelmény</w:t>
            </w:r>
          </w:p>
          <w:p w:rsidR="00BD5485" w:rsidRPr="00392FFD" w:rsidRDefault="00BD5485" w:rsidP="00BD5485">
            <w:pPr>
              <w:rPr>
                <w:rFonts w:ascii="Times New Roman" w:hAnsi="Times New Roman"/>
                <w:b/>
                <w:bCs/>
                <w:sz w:val="24"/>
                <w:u w:val="single"/>
              </w:rPr>
            </w:pPr>
            <w:r>
              <w:rPr>
                <w:rFonts w:ascii="Times New Roman" w:hAnsi="Times New Roman"/>
                <w:sz w:val="24"/>
              </w:rPr>
              <w:t>A 080-as, 090-es és 100-as sorok összege.</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080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A</w:t>
            </w:r>
            <w:r>
              <w:rPr>
                <w:rFonts w:ascii="Times New Roman" w:hAnsi="Times New Roman"/>
                <w:b/>
                <w:sz w:val="24"/>
                <w:u w:val="single"/>
              </w:rPr>
              <w:t xml:space="preserve"> lényeges hitelkockázati kitettségekre vonatkozó</w:t>
            </w:r>
            <w:r>
              <w:rPr>
                <w:rFonts w:ascii="Times New Roman" w:hAnsi="Times New Roman"/>
                <w:b/>
                <w:sz w:val="24"/>
              </w:rPr>
              <w:t xml:space="preserve"> szavatolótőke-követelmény – </w:t>
            </w:r>
            <w:r w:rsidR="00031ED1">
              <w:rPr>
                <w:rFonts w:ascii="Times New Roman" w:hAnsi="Times New Roman"/>
                <w:b/>
                <w:sz w:val="24"/>
                <w:u w:val="single"/>
              </w:rPr>
              <w:t>hitelkockázat</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A CRD 140. cikke (4) bekezdése a) pontjának megfelelően meghatározott lény</w:t>
            </w:r>
            <w:r>
              <w:rPr>
                <w:rFonts w:ascii="Times New Roman" w:hAnsi="Times New Roman"/>
                <w:sz w:val="24"/>
              </w:rPr>
              <w:t>e</w:t>
            </w:r>
            <w:r>
              <w:rPr>
                <w:rFonts w:ascii="Times New Roman" w:hAnsi="Times New Roman"/>
                <w:sz w:val="24"/>
              </w:rPr>
              <w:t>ges hitelkockázati kitettségekre vonatkozó, a CRR harmadik része II. címe 1–4. és 6. fejezete szerint megállapított szavatolótőke-követelmények a szóban forgó o</w:t>
            </w:r>
            <w:r>
              <w:rPr>
                <w:rFonts w:ascii="Times New Roman" w:hAnsi="Times New Roman"/>
                <w:sz w:val="24"/>
              </w:rPr>
              <w:t>r</w:t>
            </w:r>
            <w:r>
              <w:rPr>
                <w:rFonts w:ascii="Times New Roman" w:hAnsi="Times New Roman"/>
                <w:sz w:val="24"/>
              </w:rPr>
              <w:t xml:space="preserve">szágban.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A banki könyvi értékpapírosítási pozíciókra vonatkozó szavatolótőke-követelményeket ebben a sorban nem kell megadni, hanem a 100-as sorban kell jelenteni.</w:t>
            </w:r>
          </w:p>
          <w:p w:rsidR="00BD5485" w:rsidRPr="00392FFD" w:rsidRDefault="00BD5485" w:rsidP="00255BA9">
            <w:pPr>
              <w:rPr>
                <w:rFonts w:ascii="Times New Roman" w:hAnsi="Times New Roman"/>
                <w:b/>
                <w:bCs/>
                <w:sz w:val="24"/>
                <w:u w:val="single"/>
              </w:rPr>
            </w:pPr>
            <w:r>
              <w:rPr>
                <w:rFonts w:ascii="Times New Roman" w:hAnsi="Times New Roman"/>
                <w:sz w:val="24"/>
              </w:rPr>
              <w:t>A szavatolótőke-követelmény a CRR harmadik része II. címe 1–4. és 6. fejezet</w:t>
            </w:r>
            <w:r>
              <w:rPr>
                <w:rFonts w:ascii="Times New Roman" w:hAnsi="Times New Roman"/>
                <w:sz w:val="24"/>
              </w:rPr>
              <w:t>é</w:t>
            </w:r>
            <w:r>
              <w:rPr>
                <w:rFonts w:ascii="Times New Roman" w:hAnsi="Times New Roman"/>
                <w:sz w:val="24"/>
              </w:rPr>
              <w:t>ben előírt rendelkezéseknek megfelelően meghatározott kockázattal súlyozott kitettségérték 8 %-</w:t>
            </w:r>
            <w:proofErr w:type="gramStart"/>
            <w:r>
              <w:rPr>
                <w:rFonts w:ascii="Times New Roman" w:hAnsi="Times New Roman"/>
                <w:sz w:val="24"/>
              </w:rPr>
              <w:t>a.</w:t>
            </w:r>
            <w:proofErr w:type="gramEnd"/>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090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A </w:t>
            </w:r>
            <w:r>
              <w:rPr>
                <w:rFonts w:ascii="Times New Roman" w:hAnsi="Times New Roman"/>
                <w:b/>
                <w:sz w:val="24"/>
                <w:u w:val="single"/>
              </w:rPr>
              <w:t>lényeges hitelkockázati kitettségekre vonatkozó</w:t>
            </w:r>
            <w:r>
              <w:rPr>
                <w:rFonts w:ascii="Times New Roman" w:hAnsi="Times New Roman"/>
                <w:b/>
                <w:sz w:val="24"/>
              </w:rPr>
              <w:t xml:space="preserve"> szavatolótőke-követelmény – </w:t>
            </w:r>
            <w:r w:rsidR="00031ED1">
              <w:rPr>
                <w:rFonts w:ascii="Times New Roman" w:hAnsi="Times New Roman"/>
                <w:b/>
                <w:sz w:val="24"/>
                <w:u w:val="single"/>
              </w:rPr>
              <w:t>piaci kockázat</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A CRD 140. cikke (4) bekezdése b) pontjának megfelelően meghatározott lény</w:t>
            </w:r>
            <w:r>
              <w:rPr>
                <w:rFonts w:ascii="Times New Roman" w:hAnsi="Times New Roman"/>
                <w:sz w:val="24"/>
              </w:rPr>
              <w:t>e</w:t>
            </w:r>
            <w:r>
              <w:rPr>
                <w:rFonts w:ascii="Times New Roman" w:hAnsi="Times New Roman"/>
                <w:sz w:val="24"/>
              </w:rPr>
              <w:t>ges hitelkockázati kitettségekre vonatkozó, az egyedi kockázat esetében a CRR harmadik része IV. címe 2. fejezete szerint megállapított szavatolótőke-követelmény, vagy a járulékos nemteljesítési és átminősítési kockázat esetében a CRR harmadik része IV. címe 5. fejezete szerint megállapított szavatolótőke-követe</w:t>
            </w:r>
            <w:r w:rsidR="00031ED1">
              <w:rPr>
                <w:rFonts w:ascii="Times New Roman" w:hAnsi="Times New Roman"/>
                <w:sz w:val="24"/>
              </w:rPr>
              <w:t>lmény a szóban forgó országban.</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A lényeges hitelkockázati kitettségekre vonatkozó szavatolótőke-követelmények a piaci kockázati szabályok értelmében többek között magukban foglalják az értékpapírosítási pozíciókra vonatkozó szavatolótőke-követelményeket a CRR harmadik része IV. címe 2. fejezetének értelmében, továbbá a kollektív befektet</w:t>
            </w:r>
            <w:r>
              <w:rPr>
                <w:rFonts w:ascii="Times New Roman" w:hAnsi="Times New Roman"/>
                <w:sz w:val="24"/>
              </w:rPr>
              <w:t>é</w:t>
            </w:r>
            <w:r>
              <w:rPr>
                <w:rFonts w:ascii="Times New Roman" w:hAnsi="Times New Roman"/>
                <w:sz w:val="24"/>
              </w:rPr>
              <w:t>si formákkal szembeni kitettségekre vonatkozó, a CRR 348. cikkének megfelel</w:t>
            </w:r>
            <w:r>
              <w:rPr>
                <w:rFonts w:ascii="Times New Roman" w:hAnsi="Times New Roman"/>
                <w:sz w:val="24"/>
              </w:rPr>
              <w:t>ő</w:t>
            </w:r>
            <w:r>
              <w:rPr>
                <w:rFonts w:ascii="Times New Roman" w:hAnsi="Times New Roman"/>
                <w:sz w:val="24"/>
              </w:rPr>
              <w:t>en meghatározott szavatolótőke-követelményeket.</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100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A </w:t>
            </w:r>
            <w:r>
              <w:rPr>
                <w:rFonts w:ascii="Times New Roman" w:hAnsi="Times New Roman"/>
                <w:b/>
                <w:sz w:val="24"/>
                <w:u w:val="single"/>
              </w:rPr>
              <w:t>lényeges hitelkockázati kitettségekre vonatkozó</w:t>
            </w:r>
            <w:r>
              <w:rPr>
                <w:rFonts w:ascii="Times New Roman" w:hAnsi="Times New Roman"/>
                <w:b/>
                <w:sz w:val="24"/>
              </w:rPr>
              <w:t xml:space="preserve"> szavatolótőke-követelmény – </w:t>
            </w:r>
            <w:r>
              <w:rPr>
                <w:rFonts w:ascii="Times New Roman" w:hAnsi="Times New Roman"/>
                <w:b/>
                <w:sz w:val="24"/>
                <w:u w:val="single"/>
              </w:rPr>
              <w:t>banki könyvi értékpapírosítási pozíciók</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A CRD 140. cikke (4) bekezdése c) pontjának megfelelően meghatározott lény</w:t>
            </w:r>
            <w:r>
              <w:rPr>
                <w:rFonts w:ascii="Times New Roman" w:hAnsi="Times New Roman"/>
                <w:sz w:val="24"/>
              </w:rPr>
              <w:t>e</w:t>
            </w:r>
            <w:r>
              <w:rPr>
                <w:rFonts w:ascii="Times New Roman" w:hAnsi="Times New Roman"/>
                <w:sz w:val="24"/>
              </w:rPr>
              <w:lastRenderedPageBreak/>
              <w:t>ges hitelkockázati kitettségekre vonatkozó, a CRR harmadik része II. címe 5. f</w:t>
            </w:r>
            <w:r>
              <w:rPr>
                <w:rFonts w:ascii="Times New Roman" w:hAnsi="Times New Roman"/>
                <w:sz w:val="24"/>
              </w:rPr>
              <w:t>e</w:t>
            </w:r>
            <w:r>
              <w:rPr>
                <w:rFonts w:ascii="Times New Roman" w:hAnsi="Times New Roman"/>
                <w:sz w:val="24"/>
              </w:rPr>
              <w:t>jezete szerint megállapított szavatolótőke-követelmények a szóban forgó orszá</w:t>
            </w:r>
            <w:r>
              <w:rPr>
                <w:rFonts w:ascii="Times New Roman" w:hAnsi="Times New Roman"/>
                <w:sz w:val="24"/>
              </w:rPr>
              <w:t>g</w:t>
            </w:r>
            <w:r>
              <w:rPr>
                <w:rFonts w:ascii="Times New Roman" w:hAnsi="Times New Roman"/>
                <w:sz w:val="24"/>
              </w:rPr>
              <w:t>ban.</w:t>
            </w:r>
          </w:p>
          <w:p w:rsidR="00BD5485" w:rsidRPr="00392FFD" w:rsidRDefault="00BD5485" w:rsidP="00BD5485">
            <w:pPr>
              <w:rPr>
                <w:rFonts w:ascii="Times New Roman" w:hAnsi="Times New Roman"/>
                <w:b/>
                <w:bCs/>
                <w:sz w:val="24"/>
                <w:u w:val="single"/>
              </w:rPr>
            </w:pPr>
            <w:r>
              <w:rPr>
                <w:rFonts w:ascii="Times New Roman" w:hAnsi="Times New Roman"/>
                <w:sz w:val="24"/>
              </w:rPr>
              <w:t>A szavatolótőke-követelmény a CRR harmadik része II. címe 5. fejezetében előírt rendelkezéseknek megfelelően meghatározott kockázattal súlyozott kitettségérték 8 %-</w:t>
            </w:r>
            <w:proofErr w:type="gramStart"/>
            <w:r>
              <w:rPr>
                <w:rFonts w:ascii="Times New Roman" w:hAnsi="Times New Roman"/>
                <w:sz w:val="24"/>
              </w:rPr>
              <w:t>a.</w:t>
            </w:r>
            <w:proofErr w:type="gramEnd"/>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110</w:t>
            </w:r>
          </w:p>
        </w:tc>
        <w:tc>
          <w:tcPr>
            <w:tcW w:w="8131" w:type="dxa"/>
          </w:tcPr>
          <w:p w:rsidR="00966663" w:rsidRPr="00392FFD" w:rsidRDefault="00966663" w:rsidP="00966663">
            <w:pPr>
              <w:rPr>
                <w:rFonts w:ascii="Times New Roman" w:hAnsi="Times New Roman"/>
                <w:b/>
                <w:bCs/>
                <w:sz w:val="24"/>
                <w:u w:val="single"/>
              </w:rPr>
            </w:pPr>
            <w:r>
              <w:rPr>
                <w:rFonts w:ascii="Times New Roman" w:hAnsi="Times New Roman"/>
                <w:b/>
                <w:sz w:val="24"/>
                <w:u w:val="single"/>
              </w:rPr>
              <w:t>Szavatolótőke-követelmények súlyai</w:t>
            </w:r>
          </w:p>
          <w:p w:rsidR="00966663" w:rsidRPr="00392FFD" w:rsidRDefault="00966663" w:rsidP="00966663">
            <w:pPr>
              <w:rPr>
                <w:rFonts w:ascii="Times New Roman" w:hAnsi="Times New Roman"/>
                <w:sz w:val="24"/>
              </w:rPr>
            </w:pPr>
            <w:r>
              <w:rPr>
                <w:rFonts w:ascii="Times New Roman" w:hAnsi="Times New Roman"/>
                <w:sz w:val="24"/>
              </w:rPr>
              <w:t>Az egyes országokban az anticiklikustőkepuffer-rátára alkalmazott súly a köve</w:t>
            </w:r>
            <w:r>
              <w:rPr>
                <w:rFonts w:ascii="Times New Roman" w:hAnsi="Times New Roman"/>
                <w:sz w:val="24"/>
              </w:rPr>
              <w:t>t</w:t>
            </w:r>
            <w:r>
              <w:rPr>
                <w:rFonts w:ascii="Times New Roman" w:hAnsi="Times New Roman"/>
                <w:sz w:val="24"/>
              </w:rPr>
              <w:t>kezőképpen meghatározott szavatolótőke-követelmény arányában kerül kiszám</w:t>
            </w:r>
            <w:r>
              <w:rPr>
                <w:rFonts w:ascii="Times New Roman" w:hAnsi="Times New Roman"/>
                <w:sz w:val="24"/>
              </w:rPr>
              <w:t>í</w:t>
            </w:r>
            <w:r>
              <w:rPr>
                <w:rFonts w:ascii="Times New Roman" w:hAnsi="Times New Roman"/>
                <w:sz w:val="24"/>
              </w:rPr>
              <w:t>tásra:</w:t>
            </w:r>
          </w:p>
          <w:p w:rsidR="00966663" w:rsidRPr="00392FFD"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Számláló: A szóban forgó országban a lényeges hitelkockázati kitetts</w:t>
            </w:r>
            <w:r>
              <w:rPr>
                <w:rFonts w:ascii="Times New Roman" w:hAnsi="Times New Roman"/>
                <w:sz w:val="24"/>
              </w:rPr>
              <w:t>é</w:t>
            </w:r>
            <w:r>
              <w:rPr>
                <w:rFonts w:ascii="Times New Roman" w:hAnsi="Times New Roman"/>
                <w:sz w:val="24"/>
              </w:rPr>
              <w:t xml:space="preserve">gekhez kapcsolódó teljes szavatolótőke-követelmény [r070; c010; országadatlap], </w:t>
            </w:r>
          </w:p>
          <w:p w:rsidR="00BD5485" w:rsidRPr="00392FFD"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Nevező: A CRD 140. cikkének (4) bekezdése szerinti anticiklikus puffer kiszámításához releváns valamennyi hitelkockázati kitettséghez kapcsolódó teljes szavatolótőke-követelmény [r070; c010; Összesen].</w:t>
            </w:r>
          </w:p>
          <w:p w:rsidR="003B00F4" w:rsidRPr="00392FFD" w:rsidRDefault="003B00F4" w:rsidP="003B00F4">
            <w:pPr>
              <w:rPr>
                <w:rFonts w:ascii="Times New Roman" w:hAnsi="Times New Roman"/>
                <w:b/>
                <w:bCs/>
                <w:sz w:val="24"/>
                <w:u w:val="single"/>
              </w:rPr>
            </w:pPr>
            <w:r>
              <w:rPr>
                <w:rFonts w:ascii="Times New Roman" w:hAnsi="Times New Roman"/>
                <w:sz w:val="24"/>
              </w:rPr>
              <w:t>A szavatolótőke-követelményekhez tartozó súlyokra vonatkozó adatokat nem kell megadni az összes országra vonatkozó összesített adatban.</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Anticiklikustőkepuffer-ráták</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A kijelölt hatóság által meghatározott anticiklikustőkepuffer-ráta</w:t>
            </w:r>
          </w:p>
          <w:p w:rsidR="00966663" w:rsidRPr="00392FFD" w:rsidRDefault="00966663" w:rsidP="00133107">
            <w:pPr>
              <w:autoSpaceDE w:val="0"/>
              <w:autoSpaceDN w:val="0"/>
              <w:adjustRightInd w:val="0"/>
              <w:rPr>
                <w:rFonts w:ascii="Times New Roman" w:hAnsi="Times New Roman"/>
                <w:sz w:val="24"/>
              </w:rPr>
            </w:pPr>
            <w:r>
              <w:rPr>
                <w:rFonts w:ascii="Times New Roman" w:hAnsi="Times New Roman"/>
                <w:sz w:val="24"/>
              </w:rPr>
              <w:t>A szóban forgó országra vonatkozóan az adott ország kijelölt hatósága által me</w:t>
            </w:r>
            <w:r>
              <w:rPr>
                <w:rFonts w:ascii="Times New Roman" w:hAnsi="Times New Roman"/>
                <w:sz w:val="24"/>
              </w:rPr>
              <w:t>g</w:t>
            </w:r>
            <w:r>
              <w:rPr>
                <w:rFonts w:ascii="Times New Roman" w:hAnsi="Times New Roman"/>
                <w:sz w:val="24"/>
              </w:rPr>
              <w:t>állapított anticiklikustőkepuffer-ráta a CRD 136., 137., 138. és 139. cikkének megfelelően.</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Ezt a sort üresen kell hagyni, amennyiben a kijelölt hatóság nem állapított meg anticiklikustőkepuffer-rátát a szóban forgó országra vonatkozóan.</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A kijelölt hatóság által megállapított, de az adatszolgáltatás vonatkozási időpon</w:t>
            </w:r>
            <w:r>
              <w:rPr>
                <w:rFonts w:ascii="Times New Roman" w:hAnsi="Times New Roman"/>
                <w:sz w:val="24"/>
              </w:rPr>
              <w:t>t</w:t>
            </w:r>
            <w:r>
              <w:rPr>
                <w:rFonts w:ascii="Times New Roman" w:hAnsi="Times New Roman"/>
                <w:sz w:val="24"/>
              </w:rPr>
              <w:t>jában a szóban forgó országban még nem alkalmazandó anticiklikustőkepuffer-rátát nem kell jelenteni.</w:t>
            </w:r>
          </w:p>
          <w:p w:rsidR="00966663" w:rsidRPr="00392FFD" w:rsidRDefault="00966663" w:rsidP="000E6835">
            <w:pPr>
              <w:rPr>
                <w:rFonts w:ascii="Times New Roman" w:hAnsi="Times New Roman"/>
                <w:b/>
                <w:bCs/>
                <w:sz w:val="24"/>
                <w:u w:val="single"/>
              </w:rPr>
            </w:pPr>
            <w:r>
              <w:rPr>
                <w:rFonts w:ascii="Times New Roman" w:hAnsi="Times New Roman"/>
                <w:sz w:val="24"/>
              </w:rPr>
              <w:t>A kijelölt hatóság által megállapított anticiklikustőkepuffer-rátára vonatkozó ad</w:t>
            </w:r>
            <w:r>
              <w:rPr>
                <w:rFonts w:ascii="Times New Roman" w:hAnsi="Times New Roman"/>
                <w:sz w:val="24"/>
              </w:rPr>
              <w:t>a</w:t>
            </w:r>
            <w:r>
              <w:rPr>
                <w:rFonts w:ascii="Times New Roman" w:hAnsi="Times New Roman"/>
                <w:sz w:val="24"/>
              </w:rPr>
              <w:t xml:space="preserve">tot nem kell jelenteni az összes országra vonatkozó összesített adatban. </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130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Az intézmény helye szerinti országban alkalmazandó anticiklikustőkepuffer-ráta</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A szóban forgó országban alkalmazandó anticiklikustőkepuffer-ráta, amelyet az intézmény székhelye szerinti ország kijelölt hatósága állapított meg a CRD 137., 138., 139. cikke, valamint 140. cikke (1), (2) és (3) bekezdésének megfelelően. Az adatszolgáltatás vonatkozási időpontjában még nem alkalmazandó anticiklikustőkepuffer-rátákat nem kell jelenteni.</w:t>
            </w:r>
          </w:p>
          <w:p w:rsidR="00966663" w:rsidRPr="00392FFD" w:rsidRDefault="00966663" w:rsidP="00133107">
            <w:pPr>
              <w:rPr>
                <w:rFonts w:ascii="Times New Roman" w:hAnsi="Times New Roman"/>
                <w:b/>
                <w:bCs/>
                <w:sz w:val="24"/>
                <w:u w:val="single"/>
              </w:rPr>
            </w:pPr>
            <w:r>
              <w:rPr>
                <w:rFonts w:ascii="Times New Roman" w:hAnsi="Times New Roman"/>
                <w:sz w:val="24"/>
              </w:rPr>
              <w:t>Az intézmény országában alkalmazandó anticiklikustőkepuffer-rátára vonatkozó adatot nem kell jelenteni az összes országra vonatkozó összesített adatban.</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 xml:space="preserve">Intézményspecifikus anticiklikustőkepuffer-ráta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A CRD 140. cikke (1) bekezdésének megfelelően meghatározott </w:t>
            </w:r>
            <w:r>
              <w:rPr>
                <w:rFonts w:ascii="Times New Roman" w:hAnsi="Times New Roman"/>
                <w:sz w:val="24"/>
              </w:rPr>
              <w:lastRenderedPageBreak/>
              <w:t xml:space="preserve">intézményspecifikus anticiklikustőkepuffer-ráta.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Az intézményspecifikus anticiklikustőkepuffer-ráta az azon joghatóságokban a</w:t>
            </w:r>
            <w:r>
              <w:rPr>
                <w:rFonts w:ascii="Times New Roman" w:hAnsi="Times New Roman"/>
                <w:sz w:val="24"/>
              </w:rPr>
              <w:t>l</w:t>
            </w:r>
            <w:r>
              <w:rPr>
                <w:rFonts w:ascii="Times New Roman" w:hAnsi="Times New Roman"/>
                <w:sz w:val="24"/>
              </w:rPr>
              <w:t>kalmazandó anticiklikustőkepuffer-ráták súlyozott átlaga, amelyekben az inté</w:t>
            </w:r>
            <w:r>
              <w:rPr>
                <w:rFonts w:ascii="Times New Roman" w:hAnsi="Times New Roman"/>
                <w:sz w:val="24"/>
              </w:rPr>
              <w:t>z</w:t>
            </w:r>
            <w:r>
              <w:rPr>
                <w:rFonts w:ascii="Times New Roman" w:hAnsi="Times New Roman"/>
                <w:sz w:val="24"/>
              </w:rPr>
              <w:t xml:space="preserve">mény lényeges hitelkockázati kitettségei </w:t>
            </w:r>
            <w:proofErr w:type="gramStart"/>
            <w:r>
              <w:rPr>
                <w:rFonts w:ascii="Times New Roman" w:hAnsi="Times New Roman"/>
                <w:sz w:val="24"/>
              </w:rPr>
              <w:t>elhelyezkednek</w:t>
            </w:r>
            <w:proofErr w:type="gramEnd"/>
            <w:r>
              <w:rPr>
                <w:rFonts w:ascii="Times New Roman" w:hAnsi="Times New Roman"/>
                <w:sz w:val="24"/>
              </w:rPr>
              <w:t xml:space="preserve"> vagy amelyek a 140. cikk céljából alkalmazottak a CRD 139. cikkének (2) vagy (3) bekezdése érte</w:t>
            </w:r>
            <w:r>
              <w:rPr>
                <w:rFonts w:ascii="Times New Roman" w:hAnsi="Times New Roman"/>
                <w:sz w:val="24"/>
              </w:rPr>
              <w:t>l</w:t>
            </w:r>
            <w:r>
              <w:rPr>
                <w:rFonts w:ascii="Times New Roman" w:hAnsi="Times New Roman"/>
                <w:sz w:val="24"/>
              </w:rPr>
              <w:t>mében. A releváns anticiklikustőkepuffer-rátát az [r120; c020; országadatlap] m</w:t>
            </w:r>
            <w:r>
              <w:rPr>
                <w:rFonts w:ascii="Times New Roman" w:hAnsi="Times New Roman"/>
                <w:sz w:val="24"/>
              </w:rPr>
              <w:t>e</w:t>
            </w:r>
            <w:r>
              <w:rPr>
                <w:rFonts w:ascii="Times New Roman" w:hAnsi="Times New Roman"/>
                <w:sz w:val="24"/>
              </w:rPr>
              <w:t>zőben vagy adott esetben az [r130; c020; országadatlap] mezőben kell megadni.</w:t>
            </w:r>
          </w:p>
          <w:p w:rsidR="00C4425F" w:rsidRPr="00392FFD" w:rsidRDefault="00966663" w:rsidP="00133107">
            <w:pPr>
              <w:autoSpaceDE w:val="0"/>
              <w:autoSpaceDN w:val="0"/>
              <w:adjustRightInd w:val="0"/>
              <w:rPr>
                <w:rFonts w:ascii="Times New Roman" w:hAnsi="Times New Roman"/>
                <w:b/>
                <w:strike/>
                <w:sz w:val="24"/>
              </w:rPr>
            </w:pPr>
            <w:r>
              <w:rPr>
                <w:rFonts w:ascii="Times New Roman" w:hAnsi="Times New Roman"/>
                <w:sz w:val="24"/>
              </w:rPr>
              <w:t>Az anticiklikustőkepuffer-rátára vonatkozóan az egyes országokban alkalmaza</w:t>
            </w:r>
            <w:r>
              <w:rPr>
                <w:rFonts w:ascii="Times New Roman" w:hAnsi="Times New Roman"/>
                <w:sz w:val="24"/>
              </w:rPr>
              <w:t>n</w:t>
            </w:r>
            <w:r>
              <w:rPr>
                <w:rFonts w:ascii="Times New Roman" w:hAnsi="Times New Roman"/>
                <w:sz w:val="24"/>
              </w:rPr>
              <w:t xml:space="preserve">dó súly a szavatolótőke-követelménynek a teljes szavatolótőke-követelményhez viszonyított aránya, és az [r110; c020; országadatlap] mezőben kell megadni. </w:t>
            </w:r>
          </w:p>
          <w:p w:rsidR="00966663" w:rsidRPr="00392FFD" w:rsidRDefault="00966663" w:rsidP="00B816A3">
            <w:pPr>
              <w:rPr>
                <w:rFonts w:ascii="Times New Roman" w:hAnsi="Times New Roman"/>
                <w:b/>
                <w:bCs/>
                <w:sz w:val="24"/>
                <w:u w:val="single"/>
              </w:rPr>
            </w:pPr>
            <w:r>
              <w:rPr>
                <w:rFonts w:ascii="Times New Roman" w:hAnsi="Times New Roman"/>
                <w:sz w:val="24"/>
              </w:rPr>
              <w:t>Az intézményspecifikus anticiklikustőkepuffer-rátára vonatkozó adatot csak az összes országra vonatkozó összesített adatban kell jelenteni, az egyes országokra vonatkozóan nem.</w:t>
            </w:r>
          </w:p>
        </w:tc>
      </w:tr>
      <w:tr w:rsidR="006B1A77" w:rsidRPr="00392FFD" w:rsidTr="00672D2A">
        <w:tc>
          <w:tcPr>
            <w:tcW w:w="1697" w:type="dxa"/>
          </w:tcPr>
          <w:p w:rsidR="006B1A77" w:rsidRPr="00392FFD" w:rsidRDefault="006B1A77" w:rsidP="00FC0B81">
            <w:pPr>
              <w:rPr>
                <w:rFonts w:ascii="Times New Roman" w:hAnsi="Times New Roman"/>
                <w:sz w:val="24"/>
              </w:rPr>
            </w:pPr>
            <w:r>
              <w:rPr>
                <w:rFonts w:ascii="Times New Roman" w:hAnsi="Times New Roman"/>
                <w:sz w:val="24"/>
              </w:rPr>
              <w:lastRenderedPageBreak/>
              <w:t>150–160</w:t>
            </w:r>
          </w:p>
        </w:tc>
        <w:tc>
          <w:tcPr>
            <w:tcW w:w="8131" w:type="dxa"/>
          </w:tcPr>
          <w:p w:rsidR="006B1A77" w:rsidRPr="00392FFD" w:rsidRDefault="006B1A77" w:rsidP="00133107">
            <w:pPr>
              <w:rPr>
                <w:rFonts w:ascii="Times New Roman" w:hAnsi="Times New Roman"/>
                <w:b/>
                <w:bCs/>
                <w:sz w:val="24"/>
                <w:u w:val="single"/>
              </w:rPr>
            </w:pPr>
            <w:r>
              <w:rPr>
                <w:rFonts w:ascii="Times New Roman" w:hAnsi="Times New Roman"/>
                <w:b/>
                <w:sz w:val="24"/>
                <w:u w:val="single"/>
              </w:rPr>
              <w:t>2 %-os küszöbérték alkalmazása</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150</w:t>
            </w:r>
          </w:p>
        </w:tc>
        <w:tc>
          <w:tcPr>
            <w:tcW w:w="8131" w:type="dxa"/>
          </w:tcPr>
          <w:p w:rsidR="006A3A82"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2 %-os küszöbérték alkalmazása az általános hitelkockázati kitettségekre</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Az 1152/2014/EU felhatalmazáson alapuló bizottsági rendelet 2. cikke (5) beke</w:t>
            </w:r>
            <w:r>
              <w:rPr>
                <w:rFonts w:ascii="Times New Roman" w:hAnsi="Times New Roman"/>
                <w:sz w:val="24"/>
              </w:rPr>
              <w:t>z</w:t>
            </w:r>
            <w:r>
              <w:rPr>
                <w:rFonts w:ascii="Times New Roman" w:hAnsi="Times New Roman"/>
                <w:sz w:val="24"/>
              </w:rPr>
              <w:t>dése b) pontjának megfelelően azok a külföldi általános hitelkockázati kitetts</w:t>
            </w:r>
            <w:r>
              <w:rPr>
                <w:rFonts w:ascii="Times New Roman" w:hAnsi="Times New Roman"/>
                <w:sz w:val="24"/>
              </w:rPr>
              <w:t>é</w:t>
            </w:r>
            <w:r>
              <w:rPr>
                <w:rFonts w:ascii="Times New Roman" w:hAnsi="Times New Roman"/>
                <w:sz w:val="24"/>
              </w:rPr>
              <w:t>gek, amelyek együttesen nem haladják meg az adott intézmény összesített által</w:t>
            </w:r>
            <w:r>
              <w:rPr>
                <w:rFonts w:ascii="Times New Roman" w:hAnsi="Times New Roman"/>
                <w:sz w:val="24"/>
              </w:rPr>
              <w:t>á</w:t>
            </w:r>
            <w:r>
              <w:rPr>
                <w:rFonts w:ascii="Times New Roman" w:hAnsi="Times New Roman"/>
                <w:sz w:val="24"/>
              </w:rPr>
              <w:t>nos hitelkockázati, kereskedési könyvi és értékpapírosítási kitettségének 2 %-át, hozzárendelhetők az intézmény székhelye szerinti tagállamhoz. Az összesített á</w:t>
            </w:r>
            <w:r>
              <w:rPr>
                <w:rFonts w:ascii="Times New Roman" w:hAnsi="Times New Roman"/>
                <w:sz w:val="24"/>
              </w:rPr>
              <w:t>l</w:t>
            </w:r>
            <w:r>
              <w:rPr>
                <w:rFonts w:ascii="Times New Roman" w:hAnsi="Times New Roman"/>
                <w:sz w:val="24"/>
              </w:rPr>
              <w:t>talános hitelkockázati, kereskedési könyvi és értékpapírosítási kitettségeket az 1152/2014/EU felhatalmazáson alapuló bizottsági rendelet 2. cikke (5) bekezdése a) pontjának és 2. cikke (4) bekezdésének megfelelően lokalizált általános hite</w:t>
            </w:r>
            <w:r>
              <w:rPr>
                <w:rFonts w:ascii="Times New Roman" w:hAnsi="Times New Roman"/>
                <w:sz w:val="24"/>
              </w:rPr>
              <w:t>l</w:t>
            </w:r>
            <w:r>
              <w:rPr>
                <w:rFonts w:ascii="Times New Roman" w:hAnsi="Times New Roman"/>
                <w:sz w:val="24"/>
              </w:rPr>
              <w:t>kockázati kitettség kizárásával kell kiszámítani.</w:t>
            </w:r>
          </w:p>
          <w:p w:rsidR="00966663" w:rsidRPr="00392FFD" w:rsidRDefault="006A3A82" w:rsidP="006A3A82">
            <w:pPr>
              <w:autoSpaceDE w:val="0"/>
              <w:autoSpaceDN w:val="0"/>
              <w:adjustRightInd w:val="0"/>
              <w:rPr>
                <w:rFonts w:ascii="Times New Roman" w:hAnsi="Times New Roman"/>
                <w:sz w:val="24"/>
              </w:rPr>
            </w:pPr>
            <w:r>
              <w:rPr>
                <w:rFonts w:ascii="Times New Roman" w:hAnsi="Times New Roman"/>
                <w:sz w:val="24"/>
              </w:rPr>
              <w:t>Ha egy intézmény alkalmazza ezt az eltérést, a táblázatban a székhelye szerinti tagállamnak megfelelő joghatóság és az összes országra vonatkozó összesített adat tekintetében y-t kell megadnia.</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Ha egy intézmény nem alkalmazza ezt az eltérést, a megfelelő cellában n-t kell megadnia.</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160</w:t>
            </w:r>
          </w:p>
        </w:tc>
        <w:tc>
          <w:tcPr>
            <w:tcW w:w="8131" w:type="dxa"/>
          </w:tcPr>
          <w:p w:rsidR="00535A98"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2 %-os küszöbérték alkalmazása a kereskedési könyvi kitettségekre</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Az 1152/2014/EU felhatalmazáson alapuló bizottsági rendelet 3. cikke (3) beke</w:t>
            </w:r>
            <w:r>
              <w:rPr>
                <w:rFonts w:ascii="Times New Roman" w:hAnsi="Times New Roman"/>
                <w:sz w:val="24"/>
              </w:rPr>
              <w:t>z</w:t>
            </w:r>
            <w:r>
              <w:rPr>
                <w:rFonts w:ascii="Times New Roman" w:hAnsi="Times New Roman"/>
                <w:sz w:val="24"/>
              </w:rPr>
              <w:t>désének megfelelően az intézmények a székhelyük szerinti tagállamhoz rendelh</w:t>
            </w:r>
            <w:r>
              <w:rPr>
                <w:rFonts w:ascii="Times New Roman" w:hAnsi="Times New Roman"/>
                <w:sz w:val="24"/>
              </w:rPr>
              <w:t>e</w:t>
            </w:r>
            <w:r>
              <w:rPr>
                <w:rFonts w:ascii="Times New Roman" w:hAnsi="Times New Roman"/>
                <w:sz w:val="24"/>
              </w:rPr>
              <w:t>tik a kereskedési könyvi kitettségeket, amennyiben a teljes kereskedési könyvi k</w:t>
            </w:r>
            <w:r>
              <w:rPr>
                <w:rFonts w:ascii="Times New Roman" w:hAnsi="Times New Roman"/>
                <w:sz w:val="24"/>
              </w:rPr>
              <w:t>i</w:t>
            </w:r>
            <w:r>
              <w:rPr>
                <w:rFonts w:ascii="Times New Roman" w:hAnsi="Times New Roman"/>
                <w:sz w:val="24"/>
              </w:rPr>
              <w:t>tettség nem haladja meg teljes általános hitelkockázati, kereskedési könyvi és értékpapírosítási kitettségük 2 %-át.</w:t>
            </w:r>
          </w:p>
          <w:p w:rsidR="006A3A82" w:rsidRPr="00392FFD" w:rsidRDefault="006A3A82" w:rsidP="006A3A82">
            <w:pPr>
              <w:rPr>
                <w:rFonts w:ascii="Times New Roman" w:hAnsi="Times New Roman"/>
                <w:sz w:val="24"/>
              </w:rPr>
            </w:pPr>
            <w:r>
              <w:rPr>
                <w:rFonts w:ascii="Times New Roman" w:hAnsi="Times New Roman"/>
                <w:sz w:val="24"/>
              </w:rPr>
              <w:t>Ha egy intézmény alkalmazza ezt az eltérést, a táblázatban a székhelye szerinti tagállamnak megfelelő joghatóság és az összes országra vonatkozó összesített adat tekintetében y-t kell megadnia.</w:t>
            </w:r>
          </w:p>
          <w:p w:rsidR="00966663" w:rsidRPr="00392FFD" w:rsidRDefault="006A3A82" w:rsidP="006A3A82">
            <w:pPr>
              <w:rPr>
                <w:rFonts w:ascii="Times New Roman" w:hAnsi="Times New Roman"/>
                <w:b/>
                <w:bCs/>
                <w:sz w:val="24"/>
                <w:u w:val="single"/>
              </w:rPr>
            </w:pPr>
            <w:r>
              <w:rPr>
                <w:rFonts w:ascii="Times New Roman" w:hAnsi="Times New Roman"/>
                <w:sz w:val="24"/>
              </w:rPr>
              <w:t>Ha egy intézmény nem alkalmazza ezt az eltérést, a megfelelő cellában n-t kell megadnia.</w:t>
            </w:r>
          </w:p>
        </w:tc>
      </w:tr>
    </w:tbl>
    <w:p w:rsidR="004357B9" w:rsidRPr="00392FFD" w:rsidRDefault="004357B9">
      <w:pPr>
        <w:spacing w:before="0" w:after="0"/>
        <w:jc w:val="left"/>
        <w:rPr>
          <w:rFonts w:ascii="Times New Roman" w:hAnsi="Times New Roman"/>
          <w:bCs/>
          <w:sz w:val="24"/>
        </w:rPr>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05" w:name="_Toc295829919"/>
      <w:bookmarkStart w:id="406" w:name="_Toc310415031"/>
      <w:bookmarkStart w:id="407" w:name="_Toc360188369"/>
      <w:bookmarkStart w:id="408" w:name="_Toc516210655"/>
      <w:bookmarkStart w:id="409" w:name="_Toc473560920"/>
      <w:bookmarkStart w:id="410" w:name="_Toc524014714"/>
      <w:r>
        <w:rPr>
          <w:rFonts w:ascii="Times New Roman" w:hAnsi="Times New Roman"/>
          <w:sz w:val="24"/>
          <w:u w:val="none"/>
        </w:rPr>
        <w:lastRenderedPageBreak/>
        <w:t>3.5.</w:t>
      </w:r>
      <w:r w:rsidRPr="003E3876">
        <w:rPr>
          <w:u w:val="none"/>
        </w:rPr>
        <w:tab/>
      </w:r>
      <w:r>
        <w:rPr>
          <w:rFonts w:ascii="Times New Roman" w:hAnsi="Times New Roman"/>
          <w:sz w:val="24"/>
        </w:rPr>
        <w:t xml:space="preserve">C 10.01 és C 10.02 – </w:t>
      </w:r>
      <w:proofErr w:type="gramStart"/>
      <w:r>
        <w:rPr>
          <w:rFonts w:ascii="Times New Roman" w:hAnsi="Times New Roman"/>
          <w:sz w:val="24"/>
        </w:rPr>
        <w:t>A</w:t>
      </w:r>
      <w:proofErr w:type="gramEnd"/>
      <w:r>
        <w:rPr>
          <w:rFonts w:ascii="Times New Roman" w:hAnsi="Times New Roman"/>
          <w:sz w:val="24"/>
        </w:rPr>
        <w:t xml:space="preserve"> belső minősítésen alapuló módszer szerinti részvényjellegű k</w:t>
      </w:r>
      <w:r>
        <w:rPr>
          <w:rFonts w:ascii="Times New Roman" w:hAnsi="Times New Roman"/>
          <w:sz w:val="24"/>
        </w:rPr>
        <w:t>i</w:t>
      </w:r>
      <w:r>
        <w:rPr>
          <w:rFonts w:ascii="Times New Roman" w:hAnsi="Times New Roman"/>
          <w:sz w:val="24"/>
        </w:rPr>
        <w:t>tettségek</w:t>
      </w:r>
      <w:bookmarkEnd w:id="405"/>
      <w:bookmarkEnd w:id="406"/>
      <w:bookmarkEnd w:id="407"/>
      <w:r>
        <w:rPr>
          <w:rFonts w:ascii="Times New Roman" w:hAnsi="Times New Roman"/>
          <w:sz w:val="24"/>
        </w:rPr>
        <w:t xml:space="preserve"> (CR EQU IRB 1 és CR EQU IRB 2)</w:t>
      </w:r>
      <w:bookmarkEnd w:id="408"/>
      <w:bookmarkEnd w:id="409"/>
      <w:bookmarkEnd w:id="410"/>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11" w:name="_Toc239157382"/>
      <w:bookmarkStart w:id="412" w:name="_Toc295829920"/>
      <w:bookmarkStart w:id="413" w:name="_Toc310415032"/>
      <w:bookmarkStart w:id="414" w:name="_Toc360188370"/>
      <w:bookmarkStart w:id="415" w:name="_Toc516210656"/>
      <w:bookmarkStart w:id="416" w:name="_Toc473560921"/>
      <w:bookmarkStart w:id="417" w:name="_Toc524014715"/>
      <w:r>
        <w:rPr>
          <w:rFonts w:ascii="Times New Roman" w:hAnsi="Times New Roman"/>
          <w:sz w:val="24"/>
          <w:u w:val="none"/>
        </w:rPr>
        <w:t>3.5.1.</w:t>
      </w:r>
      <w:r w:rsidRPr="003E3876">
        <w:rPr>
          <w:u w:val="none"/>
        </w:rPr>
        <w:tab/>
      </w:r>
      <w:r>
        <w:rPr>
          <w:rFonts w:ascii="Times New Roman" w:hAnsi="Times New Roman"/>
          <w:sz w:val="24"/>
        </w:rPr>
        <w:t>Általános megjegyzések</w:t>
      </w:r>
      <w:bookmarkEnd w:id="411"/>
      <w:bookmarkEnd w:id="412"/>
      <w:bookmarkEnd w:id="413"/>
      <w:bookmarkEnd w:id="414"/>
      <w:bookmarkEnd w:id="415"/>
      <w:bookmarkEnd w:id="416"/>
      <w:bookmarkEnd w:id="417"/>
    </w:p>
    <w:p w:rsidR="00C61FF5" w:rsidRPr="00392FFD" w:rsidRDefault="00125707" w:rsidP="00C37B29">
      <w:pPr>
        <w:pStyle w:val="InstructionsText2"/>
        <w:numPr>
          <w:ilvl w:val="0"/>
          <w:numId w:val="0"/>
        </w:numPr>
        <w:ind w:left="993"/>
      </w:pPr>
      <w:r>
        <w:t>86.</w:t>
      </w:r>
      <w:r>
        <w:tab/>
        <w:t>A CR EQU IRB két táblából áll: A CR EQU IRB 1 általános áttekintést nyújt a részvényjellegű kitettségi osztályba sorolt IRB kitettségekről, valamint a teljes ko</w:t>
      </w:r>
      <w:r>
        <w:t>c</w:t>
      </w:r>
      <w:r>
        <w:t>kázati kitettségértékek különböző számítási módszereiről. A CR EQU IRB 2 a te</w:t>
      </w:r>
      <w:r>
        <w:t>l</w:t>
      </w:r>
      <w:r>
        <w:t>jes kitettségállományt ügyfél-kategóriák szerinti bontásban mutatja be a PD/LGD-módszerrel összefüggésben. Az alábbi útmutatóban a CR EQU IRB megjelölés a CR EQU IRB 1 és CR EQU IRB 2 táblára egyaránt vonatkozik a helyzettől függ</w:t>
      </w:r>
      <w:r>
        <w:t>ő</w:t>
      </w:r>
      <w:r>
        <w:t>en.</w:t>
      </w:r>
    </w:p>
    <w:p w:rsidR="00C61FF5" w:rsidRPr="00392FFD" w:rsidRDefault="00125707" w:rsidP="00C37B29">
      <w:pPr>
        <w:pStyle w:val="InstructionsText2"/>
        <w:numPr>
          <w:ilvl w:val="0"/>
          <w:numId w:val="0"/>
        </w:numPr>
        <w:ind w:left="993"/>
      </w:pPr>
      <w:r>
        <w:t>87.</w:t>
      </w:r>
      <w:r>
        <w:tab/>
        <w:t>A CR EQU IRB tábla a kockázattal súlyozott hitelkockázati kitettségértékeknek (a CRR 92. cikke (3) bekezdésének a) pontja) az IRB-módszer (a CRR harmadik része II. címének 3. fejezete) szerinti kiszámításával kapcsolatos információkat nyújt a CRR 147. cikke (2) bekezdésének e) pontjában említett rés</w:t>
      </w:r>
      <w:r>
        <w:t>z</w:t>
      </w:r>
      <w:r>
        <w:t>vényjellegű kitettségekre vonatkozóan.</w:t>
      </w:r>
    </w:p>
    <w:p w:rsidR="00C61FF5" w:rsidRPr="00392FFD" w:rsidRDefault="00125707" w:rsidP="00C37B29">
      <w:pPr>
        <w:pStyle w:val="InstructionsText2"/>
        <w:numPr>
          <w:ilvl w:val="0"/>
          <w:numId w:val="0"/>
        </w:numPr>
        <w:ind w:left="993"/>
      </w:pPr>
      <w:r>
        <w:t>88.</w:t>
      </w:r>
      <w:r>
        <w:tab/>
        <w:t>A CRR 147. cikkének (6) bekezdése szerint a következő kitettségeket a rés</w:t>
      </w:r>
      <w:r>
        <w:t>z</w:t>
      </w:r>
      <w:r>
        <w:t>vényjellegű kitettségi osztályba kell sorolni:</w:t>
      </w:r>
    </w:p>
    <w:p w:rsidR="00C61FF5" w:rsidRPr="00392FFD" w:rsidRDefault="00125707" w:rsidP="00C37B29">
      <w:pPr>
        <w:pStyle w:val="InstructionsText2"/>
        <w:numPr>
          <w:ilvl w:val="0"/>
          <w:numId w:val="0"/>
        </w:numPr>
        <w:ind w:left="993"/>
      </w:pPr>
      <w:proofErr w:type="gramStart"/>
      <w:r>
        <w:t>a</w:t>
      </w:r>
      <w:proofErr w:type="gramEnd"/>
      <w:r>
        <w:t>)</w:t>
      </w:r>
      <w:r>
        <w:tab/>
        <w:t>nem hitelviszonyt megtestesítő kitettségek, amelyek a kibocsátó eszközeivel vagy jövedelmével szembeni hátrasorolt maradványkövetelést testesítenek meg; vagy</w:t>
      </w:r>
    </w:p>
    <w:p w:rsidR="00C61FF5" w:rsidRPr="00392FFD" w:rsidRDefault="00125707" w:rsidP="00C37B29">
      <w:pPr>
        <w:pStyle w:val="InstructionsText2"/>
        <w:numPr>
          <w:ilvl w:val="0"/>
          <w:numId w:val="0"/>
        </w:numPr>
        <w:ind w:left="993"/>
      </w:pPr>
      <w:r>
        <w:t>b)</w:t>
      </w:r>
      <w:r>
        <w:tab/>
        <w:t>hitelviszonyt megtestesítő kitettségek és egyéb értékpapírok, partnerségek, származtatott ügyletek és egyéb eszközök, amelyek gazdasági tartalma hasonló az a) pontban ismertetett kitettségekhez.</w:t>
      </w:r>
    </w:p>
    <w:p w:rsidR="00C61FF5" w:rsidRPr="00392FFD" w:rsidRDefault="00125707" w:rsidP="00C37B29">
      <w:pPr>
        <w:pStyle w:val="InstructionsText2"/>
        <w:numPr>
          <w:ilvl w:val="0"/>
          <w:numId w:val="0"/>
        </w:numPr>
        <w:ind w:left="993"/>
      </w:pPr>
      <w:r>
        <w:t>89.</w:t>
      </w:r>
      <w:r>
        <w:tab/>
        <w:t>A CR EQU IRB táblán kell feltüntetni továbbá a CRR 152. cikkében említett egyszerű kockázati súlyozási módszerrel kezelt kollektív befektetési formákat is.</w:t>
      </w:r>
    </w:p>
    <w:p w:rsidR="00C61FF5" w:rsidRPr="00392FFD" w:rsidRDefault="00125707" w:rsidP="00C37B29">
      <w:pPr>
        <w:pStyle w:val="InstructionsText2"/>
        <w:numPr>
          <w:ilvl w:val="0"/>
          <w:numId w:val="0"/>
        </w:numPr>
        <w:ind w:left="993"/>
      </w:pPr>
      <w:r>
        <w:t>90.</w:t>
      </w:r>
      <w:r>
        <w:tab/>
        <w:t>A CRR 151. cikkének (1) bekezdése szerint az intézményeknek ki kell tölten</w:t>
      </w:r>
      <w:r>
        <w:t>i</w:t>
      </w:r>
      <w:r>
        <w:t xml:space="preserve">ük a CR EQU IRB táblát akkor, ha a CRR 155. cikkében említett három módszer valamelyikét alkalmazzák: </w:t>
      </w:r>
    </w:p>
    <w:p w:rsidR="00C61FF5" w:rsidRPr="00392FFD" w:rsidRDefault="00C61FF5" w:rsidP="00FD239F">
      <w:pPr>
        <w:pStyle w:val="InstructionsText"/>
      </w:pPr>
      <w:r>
        <w:t>– egysze</w:t>
      </w:r>
      <w:r w:rsidR="003E3876">
        <w:t>rű kockázati súlyozási módszer;</w:t>
      </w:r>
    </w:p>
    <w:p w:rsidR="00C61FF5" w:rsidRPr="00392FFD" w:rsidRDefault="003E3876" w:rsidP="00FD239F">
      <w:pPr>
        <w:pStyle w:val="InstructionsText"/>
      </w:pPr>
      <w:r>
        <w:t>– PD/LGD-módszer;</w:t>
      </w:r>
    </w:p>
    <w:p w:rsidR="00C61FF5" w:rsidRPr="00392FFD" w:rsidRDefault="00C61FF5" w:rsidP="00FD239F">
      <w:pPr>
        <w:pStyle w:val="InstructionsText"/>
      </w:pPr>
      <w:r>
        <w:t>– belső modellen alapuló módszer.</w:t>
      </w:r>
    </w:p>
    <w:p w:rsidR="00C61FF5" w:rsidRPr="00392FFD" w:rsidRDefault="00C61FF5" w:rsidP="00FD239F">
      <w:pPr>
        <w:pStyle w:val="InstructionsText"/>
      </w:pPr>
      <w:proofErr w:type="gramStart"/>
      <w:r>
        <w:t>Ezenfelül az IRB-módszert alkalmazó intézményeknek a CR EQU IRB táblán adatot kell szolgáltatniuk az olyan részvényjellegű kitettségekre vonatkozó kockázattal súlyozott kitettségértékekről is, amelyekre fix kockázati súly vonatkozik (azonban az egyszerű kockáz</w:t>
      </w:r>
      <w:r>
        <w:t>a</w:t>
      </w:r>
      <w:r>
        <w:t>ti súlyozási módszer kifejezett alkalmazása, vagy a hitelkockázati sztenderd módszer átmeneti vagy tartós mentesítés alapján történő alkalmazása nélkül; például a CRR 48. cikkének (4) bekezdése szerint 250 %-os, a CRR 471. cikkének (2) bekezdése szerint 370 %-os kockázati súllyal kezelt részvényjellegű kitettségek esetében).</w:t>
      </w:r>
      <w:proofErr w:type="gramEnd"/>
    </w:p>
    <w:p w:rsidR="00C61FF5" w:rsidRPr="00392FFD" w:rsidRDefault="00125707" w:rsidP="00C37B29">
      <w:pPr>
        <w:pStyle w:val="InstructionsText2"/>
        <w:numPr>
          <w:ilvl w:val="0"/>
          <w:numId w:val="0"/>
        </w:numPr>
        <w:ind w:left="993"/>
      </w:pPr>
      <w:r>
        <w:t>91.</w:t>
      </w:r>
      <w:r>
        <w:tab/>
        <w:t>A CR EQU IRB táblán nem tüntethetők fel az alábbi részvényjellegű követel</w:t>
      </w:r>
      <w:r>
        <w:t>é</w:t>
      </w:r>
      <w:r>
        <w:t>sek:</w:t>
      </w:r>
    </w:p>
    <w:p w:rsidR="00C61FF5" w:rsidRPr="00392FFD" w:rsidRDefault="00C61FF5" w:rsidP="00FD239F">
      <w:pPr>
        <w:pStyle w:val="InstructionsText"/>
      </w:pPr>
      <w:r>
        <w:lastRenderedPageBreak/>
        <w:t>– a kereskedési könyvben nyilvántartott részvényjellegű kitettségek (akkor, ha az intézm</w:t>
      </w:r>
      <w:r>
        <w:t>é</w:t>
      </w:r>
      <w:r>
        <w:t xml:space="preserve">nyek a CRR 94. cikke alapján nem mentesülnek a kereskedési könyvi pozíciókra vonatkozó szavatolótőke-követelmények kiszámítása alól); </w:t>
      </w:r>
    </w:p>
    <w:p w:rsidR="00C61FF5" w:rsidRPr="00392FFD" w:rsidRDefault="00C61FF5" w:rsidP="00FD239F">
      <w:pPr>
        <w:pStyle w:val="InstructionsText"/>
      </w:pPr>
      <w:r>
        <w:t xml:space="preserve">– a </w:t>
      </w:r>
      <w:proofErr w:type="gramStart"/>
      <w:r>
        <w:t>mentesítés</w:t>
      </w:r>
      <w:proofErr w:type="gramEnd"/>
      <w:r>
        <w:t xml:space="preserve"> alapján a sztenderd módszerrel kezelt részvényjellegű kitettségek (a CRR. 150. cikke), ezen belül:</w:t>
      </w:r>
    </w:p>
    <w:p w:rsidR="00C61FF5" w:rsidRPr="00392FFD" w:rsidRDefault="00C61FF5" w:rsidP="00FD239F">
      <w:pPr>
        <w:pStyle w:val="InstructionsText"/>
      </w:pPr>
      <w:r>
        <w:t>– a CRR 495. cikkének (1) bekezdése szerint a szerzett jogok alapján figyelembe vett rés</w:t>
      </w:r>
      <w:r>
        <w:t>z</w:t>
      </w:r>
      <w:r>
        <w:t>vényjellegű kitettségek;</w:t>
      </w:r>
    </w:p>
    <w:p w:rsidR="00C61FF5" w:rsidRPr="00392FFD" w:rsidRDefault="00C61FF5" w:rsidP="00FD239F">
      <w:pPr>
        <w:pStyle w:val="InstructionsText"/>
      </w:pPr>
      <w:r>
        <w:t>– az olyan szervezetekkel szembeni részvényjellegű kitettségek, amelyek hitelkötelezettségei a sztenderd módszer alapján 0 %-os kockázati súlyt kapnak, ideértve azokat a köztámogatá</w:t>
      </w:r>
      <w:r>
        <w:t>s</w:t>
      </w:r>
      <w:r>
        <w:t>ban részesülő szervezeteket is, amelyeknél alkalmazható a 0 %-os kockázati súly (a CRR 150. cikke (1) bekezdésének g) pontja);</w:t>
      </w:r>
    </w:p>
    <w:p w:rsidR="00C61FF5" w:rsidRPr="00392FFD" w:rsidRDefault="00C61FF5" w:rsidP="00FD239F">
      <w:pPr>
        <w:pStyle w:val="InstructionsText"/>
      </w:pPr>
      <w:r>
        <w:t>– a gazdaság meghatározott ágazatainak előmozdítására irányuló olyan állami programok k</w:t>
      </w:r>
      <w:r>
        <w:t>e</w:t>
      </w:r>
      <w:r>
        <w:t xml:space="preserve">retében felmerült részvényjellegű kitettségek, amelyek esetében az </w:t>
      </w:r>
      <w:proofErr w:type="gramStart"/>
      <w:r>
        <w:t>intézmény jelentős</w:t>
      </w:r>
      <w:proofErr w:type="gramEnd"/>
      <w:r>
        <w:t xml:space="preserve"> tám</w:t>
      </w:r>
      <w:r>
        <w:t>o</w:t>
      </w:r>
      <w:r>
        <w:t>gatást kap a befektetésre, és amelyekre a kormányzati felvigyázás bizonyos formája és a tők</w:t>
      </w:r>
      <w:r>
        <w:t>e</w:t>
      </w:r>
      <w:r>
        <w:t>részesedés-befektetések korlátozása vonatkozik (a CRR 150. cikke (1) bekezdésének h) pon</w:t>
      </w:r>
      <w:r>
        <w:t>t</w:t>
      </w:r>
      <w:r>
        <w:t>ja);</w:t>
      </w:r>
    </w:p>
    <w:p w:rsidR="00C61FF5" w:rsidRPr="00392FFD" w:rsidRDefault="00C61FF5" w:rsidP="00FD239F">
      <w:pPr>
        <w:pStyle w:val="InstructionsText"/>
      </w:pPr>
      <w:r>
        <w:t>– az olyan járulékos vállalkozásokkal szembeni részvényjellegű kitettségek, amelyek kock</w:t>
      </w:r>
      <w:r>
        <w:t>á</w:t>
      </w:r>
      <w:r>
        <w:t>zattal súlyozott kitettségértéke az egyéb, nem hitelkötelezettséget megtestesítő eszközök kez</w:t>
      </w:r>
      <w:r>
        <w:t>e</w:t>
      </w:r>
      <w:r>
        <w:t xml:space="preserve">lésével azonos módon számítható ki (a CRR 155. cikkének (1) bekezdése szerint); </w:t>
      </w:r>
    </w:p>
    <w:p w:rsidR="00C61FF5" w:rsidRPr="00392FFD" w:rsidRDefault="00C61FF5" w:rsidP="00FD239F">
      <w:pPr>
        <w:pStyle w:val="InstructionsText"/>
      </w:pPr>
      <w:r>
        <w:t>– a szavatoló tőkéből a CRR 46. és 48. cikkével összhangban levont részvényjellegű követel</w:t>
      </w:r>
      <w:r>
        <w:t>é</w:t>
      </w:r>
      <w:r>
        <w:t>sek.</w:t>
      </w:r>
    </w:p>
    <w:p w:rsidR="00C61FF5" w:rsidRPr="00392FFD" w:rsidRDefault="00C61FF5" w:rsidP="00FD239F">
      <w:pPr>
        <w:pStyle w:val="InstructionsText"/>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18" w:name="_Toc295829921"/>
      <w:bookmarkStart w:id="419" w:name="_Toc310415033"/>
      <w:bookmarkStart w:id="420" w:name="_Toc360188371"/>
      <w:bookmarkStart w:id="421" w:name="_Toc516210657"/>
      <w:bookmarkStart w:id="422" w:name="_Toc473560922"/>
      <w:bookmarkStart w:id="423" w:name="_Toc524014716"/>
      <w:r>
        <w:rPr>
          <w:rFonts w:ascii="Times New Roman" w:hAnsi="Times New Roman"/>
          <w:sz w:val="24"/>
          <w:u w:val="none"/>
        </w:rPr>
        <w:t>3.5.2.</w:t>
      </w:r>
      <w:r w:rsidRPr="00316D74">
        <w:rPr>
          <w:u w:val="none"/>
        </w:rPr>
        <w:tab/>
      </w:r>
      <w:r>
        <w:rPr>
          <w:rFonts w:ascii="Times New Roman" w:hAnsi="Times New Roman"/>
          <w:sz w:val="24"/>
        </w:rPr>
        <w:t>A tábla egyes részeire vonatkozó útmutató</w:t>
      </w:r>
      <w:bookmarkEnd w:id="418"/>
      <w:bookmarkEnd w:id="419"/>
      <w:r>
        <w:rPr>
          <w:rFonts w:ascii="Times New Roman" w:hAnsi="Times New Roman"/>
          <w:sz w:val="24"/>
        </w:rPr>
        <w:t xml:space="preserve"> (mind a CR EQU IRB 1, mind a CR EQU IRB 2 táblára alkalmazandó)</w:t>
      </w:r>
      <w:bookmarkEnd w:id="420"/>
      <w:bookmarkEnd w:id="421"/>
      <w:bookmarkEnd w:id="422"/>
      <w:bookmarkEnd w:id="423"/>
    </w:p>
    <w:tbl>
      <w:tblPr>
        <w:tblW w:w="0" w:type="auto"/>
        <w:tblLook w:val="01E0" w:firstRow="1" w:lastRow="1" w:firstColumn="1" w:lastColumn="1" w:noHBand="0" w:noVBand="0"/>
      </w:tblPr>
      <w:tblGrid>
        <w:gridCol w:w="852"/>
        <w:gridCol w:w="8004"/>
      </w:tblGrid>
      <w:tr w:rsidR="00C61FF5" w:rsidRPr="00392FFD"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Oszlopok</w:t>
            </w:r>
          </w:p>
        </w:tc>
      </w:tr>
      <w:tr w:rsidR="003F05A0"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392FFD"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w:t>
            </w:r>
          </w:p>
        </w:tc>
        <w:tc>
          <w:tcPr>
            <w:tcW w:w="8004" w:type="dxa"/>
          </w:tcPr>
          <w:p w:rsidR="003F05A0" w:rsidRPr="00392FFD"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ÜGYFÉL-KATEGÓRIA (SORAZONOSÍTÓ)</w:t>
            </w:r>
          </w:p>
          <w:p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ügyfél-kategória egy sorazonosító, amely a tábla egyes lapjainak minden s</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rát egyedileg azonosítja. </w:t>
            </w:r>
            <w:r>
              <w:rPr>
                <w:rFonts w:ascii="Times New Roman" w:hAnsi="Times New Roman"/>
                <w:sz w:val="24"/>
              </w:rPr>
              <w:t>Sorrendje: 1, 2, 3 stb.</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010</w:t>
            </w:r>
          </w:p>
        </w:tc>
        <w:tc>
          <w:tcPr>
            <w:tcW w:w="8004" w:type="dxa"/>
          </w:tcPr>
          <w:p w:rsidR="00745369" w:rsidRPr="00392FFD" w:rsidRDefault="00316D74"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BELSŐ MINŐSÍTÉSI RENDSZER</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ÜGYFÉL-KATEGÓRIÁHOZ RENDELT NEMTELJESÍTÉSI VAL</w:t>
            </w:r>
            <w:r>
              <w:rPr>
                <w:rStyle w:val="InstructionsTabelleberschrift"/>
                <w:rFonts w:ascii="Times New Roman" w:hAnsi="Times New Roman"/>
                <w:sz w:val="24"/>
              </w:rPr>
              <w:t>Ó</w:t>
            </w:r>
            <w:r>
              <w:rPr>
                <w:rStyle w:val="InstructionsTabelleberschrift"/>
                <w:rFonts w:ascii="Times New Roman" w:hAnsi="Times New Roman"/>
                <w:sz w:val="24"/>
              </w:rPr>
              <w:t>SZÍNŰSÉG (PD,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 PD/LGD-módszert alkalmazó intézmények a 010. oszlopban a CRR 165. ci</w:t>
            </w:r>
            <w:r>
              <w:rPr>
                <w:rStyle w:val="InstructionsTabelleText"/>
                <w:rFonts w:ascii="Times New Roman" w:hAnsi="Times New Roman"/>
                <w:sz w:val="24"/>
              </w:rPr>
              <w:t>k</w:t>
            </w:r>
            <w:r>
              <w:rPr>
                <w:rStyle w:val="InstructionsTabelleText"/>
                <w:rFonts w:ascii="Times New Roman" w:hAnsi="Times New Roman"/>
                <w:sz w:val="24"/>
              </w:rPr>
              <w:t>kének (1) bekezdésében említett rendelkezések alapján kiszámított nemteljesítési valószínűséget (PD) tüntetik fel.</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Az ügyfél-kategóriához vagy -halmazhoz rendelt, feltüntetendő PD-értéket a CRR harmadik része II. címe 3. fejezetének 6. szakaszában foglalt minimumk</w:t>
            </w:r>
            <w:r>
              <w:rPr>
                <w:rStyle w:val="InstructionsTabelleText"/>
                <w:rFonts w:ascii="Times New Roman" w:hAnsi="Times New Roman"/>
                <w:sz w:val="24"/>
              </w:rPr>
              <w:t>ö</w:t>
            </w:r>
            <w:r>
              <w:rPr>
                <w:rStyle w:val="InstructionsTabelleText"/>
                <w:rFonts w:ascii="Times New Roman" w:hAnsi="Times New Roman"/>
                <w:sz w:val="24"/>
              </w:rPr>
              <w:t>vetelményeknek megfelelően kell megállapítani. Az egyes ügyfél-kategóriákhoz vagy -halmazokhoz rendelt PD-értéket kell feltüntetni. A feltüntetett kockázati paramétereket az adott illetékes hatóság által jóváhagyott belső minősítési ren</w:t>
            </w:r>
            <w:r>
              <w:rPr>
                <w:rStyle w:val="InstructionsTabelleText"/>
                <w:rFonts w:ascii="Times New Roman" w:hAnsi="Times New Roman"/>
                <w:sz w:val="24"/>
              </w:rPr>
              <w:t>d</w:t>
            </w:r>
            <w:r>
              <w:rPr>
                <w:rStyle w:val="InstructionsTabelleText"/>
                <w:rFonts w:ascii="Times New Roman" w:hAnsi="Times New Roman"/>
                <w:sz w:val="24"/>
              </w:rPr>
              <w:t>szerben alkalmazott kockázati paraméterekből kell származtatni.</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Az ügyfélkategóriák vagy -halmazok összesítő adataira (pl. a teljes kitettségre) vonatkozóan az összesítésbe beszámított ügyfél-kategóriákhoz vagy -halmazokhoz rendelt PD-értékek kitettséggel súlyozott átlagát kell feltüntetni. A kitettséggel súlyozott átlagos PD kiszámításakor valamennyi kitettséget figy</w:t>
            </w:r>
            <w:r>
              <w:rPr>
                <w:rStyle w:val="InstructionsTabelleText"/>
                <w:rFonts w:ascii="Times New Roman" w:hAnsi="Times New Roman"/>
                <w:sz w:val="24"/>
              </w:rPr>
              <w:t>e</w:t>
            </w:r>
            <w:r>
              <w:rPr>
                <w:rStyle w:val="InstructionsTabelleText"/>
                <w:rFonts w:ascii="Times New Roman" w:hAnsi="Times New Roman"/>
                <w:sz w:val="24"/>
              </w:rPr>
              <w:t>lembe kell venni, ideértve a nemteljesítő kitettségeket is. A kitettséggel súlyozott átlagos PD érték kiszámításánál a súlyozást az előre nem rendelkezésre bocsátott hitelkockázati fedezet (060-as oszlop) figyelembevételével megállapított kitet</w:t>
            </w:r>
            <w:r w:rsidR="00316D74">
              <w:rPr>
                <w:rStyle w:val="InstructionsTabelleText"/>
                <w:rFonts w:ascii="Times New Roman" w:hAnsi="Times New Roman"/>
                <w:sz w:val="24"/>
              </w:rPr>
              <w:t>tségérték alapján kell végezni.</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020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HITEL-EGYENÉRTÉKESÍTÉSI TÉNYEZŐK ELŐTTI EREDETI K</w:t>
            </w:r>
            <w:r>
              <w:rPr>
                <w:rStyle w:val="InstructionsTabelleberschrift"/>
                <w:rFonts w:ascii="Times New Roman" w:hAnsi="Times New Roman"/>
                <w:sz w:val="24"/>
              </w:rPr>
              <w:t>I</w:t>
            </w:r>
            <w:r>
              <w:rPr>
                <w:rStyle w:val="InstructionsTabelleberschrift"/>
                <w:rFonts w:ascii="Times New Roman" w:hAnsi="Times New Roman"/>
                <w:sz w:val="24"/>
              </w:rPr>
              <w:t>TETTSÉG</w:t>
            </w:r>
          </w:p>
          <w:p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Az intézmények a 020-as sorban a hitel-egyenértékesítési tényezők előtti eredeti kitettségértéket tüntetik fel. A CRR 167. cikkében foglalt rendelkezések szerint a részvényjellegű kitettségekhez tartozó kitettségérték az egyedi hitelkockázati k</w:t>
            </w:r>
            <w:r>
              <w:rPr>
                <w:rStyle w:val="InstructionsTabelleText"/>
                <w:rFonts w:ascii="Times New Roman" w:hAnsi="Times New Roman"/>
                <w:sz w:val="24"/>
              </w:rPr>
              <w:t>i</w:t>
            </w:r>
            <w:r>
              <w:rPr>
                <w:rStyle w:val="InstructionsTabelleText"/>
                <w:rFonts w:ascii="Times New Roman" w:hAnsi="Times New Roman"/>
                <w:sz w:val="24"/>
              </w:rPr>
              <w:t>igazítások alkalmazását követően fennmaradó könyv szerinti értéknek felel meg. A</w:t>
            </w:r>
            <w:r>
              <w:rPr>
                <w:rFonts w:ascii="Times New Roman" w:hAnsi="Times New Roman"/>
                <w:sz w:val="24"/>
              </w:rPr>
              <w:t xml:space="preserve"> mérlegen kívüli részvényjellegű kitettségekhez tartozó kitettségérték az egy</w:t>
            </w:r>
            <w:r>
              <w:rPr>
                <w:rFonts w:ascii="Times New Roman" w:hAnsi="Times New Roman"/>
                <w:sz w:val="24"/>
              </w:rPr>
              <w:t>e</w:t>
            </w:r>
            <w:r>
              <w:rPr>
                <w:rFonts w:ascii="Times New Roman" w:hAnsi="Times New Roman"/>
                <w:sz w:val="24"/>
              </w:rPr>
              <w:t>di hitelkockázati kiigazításokkal csökkentett névérték.</w:t>
            </w:r>
          </w:p>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Az intézmények </w:t>
            </w:r>
            <w:proofErr w:type="gramStart"/>
            <w:r>
              <w:rPr>
                <w:rStyle w:val="InstructionsTabelleText"/>
                <w:rFonts w:ascii="Times New Roman" w:hAnsi="Times New Roman"/>
                <w:sz w:val="24"/>
              </w:rPr>
              <w:t>ezenkívül</w:t>
            </w:r>
            <w:proofErr w:type="gramEnd"/>
            <w:r>
              <w:rPr>
                <w:rStyle w:val="InstructionsTabelleText"/>
                <w:rFonts w:ascii="Times New Roman" w:hAnsi="Times New Roman"/>
                <w:sz w:val="24"/>
              </w:rPr>
              <w:t xml:space="preserve"> a 020-as oszlopban tüntetik fel a CRR I. melléklet</w:t>
            </w:r>
            <w:r>
              <w:rPr>
                <w:rStyle w:val="InstructionsTabelleText"/>
                <w:rFonts w:ascii="Times New Roman" w:hAnsi="Times New Roman"/>
                <w:sz w:val="24"/>
              </w:rPr>
              <w:t>é</w:t>
            </w:r>
            <w:r>
              <w:rPr>
                <w:rStyle w:val="InstructionsTabelleText"/>
                <w:rFonts w:ascii="Times New Roman" w:hAnsi="Times New Roman"/>
                <w:sz w:val="24"/>
              </w:rPr>
              <w:t>ben említett, a részvényjellegű kitettségi osztályba sorolt mérlegen kívüli tétel</w:t>
            </w:r>
            <w:r>
              <w:rPr>
                <w:rStyle w:val="InstructionsTabelleText"/>
                <w:rFonts w:ascii="Times New Roman" w:hAnsi="Times New Roman"/>
                <w:sz w:val="24"/>
              </w:rPr>
              <w:t>e</w:t>
            </w:r>
            <w:r>
              <w:rPr>
                <w:rStyle w:val="InstructionsTabelleText"/>
                <w:rFonts w:ascii="Times New Roman" w:hAnsi="Times New Roman"/>
                <w:sz w:val="24"/>
              </w:rPr>
              <w:t>ket (pl. a részben kifizetett részvények és értékpapírok kifizetetlen részét).</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Az egyszerű kockázati súlyozási módszert vagy a CRR 165. cikkének (1) beke</w:t>
            </w:r>
            <w:r>
              <w:rPr>
                <w:rStyle w:val="InstructionsTabelleText"/>
                <w:rFonts w:ascii="Times New Roman" w:hAnsi="Times New Roman"/>
                <w:sz w:val="24"/>
              </w:rPr>
              <w:t>z</w:t>
            </w:r>
            <w:r>
              <w:rPr>
                <w:rStyle w:val="InstructionsTabelleText"/>
                <w:rFonts w:ascii="Times New Roman" w:hAnsi="Times New Roman"/>
                <w:sz w:val="24"/>
              </w:rPr>
              <w:t>désében említett PD/LGD-módszert alkalmazó intézményeknek figyelembe kell venniük a CRR 155. cikke (2) bekezdésében említett beszámításra (offset) v</w:t>
            </w:r>
            <w:r>
              <w:rPr>
                <w:rStyle w:val="InstructionsTabelleText"/>
                <w:rFonts w:ascii="Times New Roman" w:hAnsi="Times New Roman"/>
                <w:sz w:val="24"/>
              </w:rPr>
              <w:t>o</w:t>
            </w:r>
            <w:r w:rsidR="00316D74">
              <w:rPr>
                <w:rStyle w:val="InstructionsTabelleText"/>
                <w:rFonts w:ascii="Times New Roman" w:hAnsi="Times New Roman"/>
                <w:sz w:val="24"/>
              </w:rPr>
              <w:t>natkozó rendelkezéseket is.</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030–040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KITETTSÉGRE HELYETTESÍTÉSI HATÁSSAL JÁRÓ HITELKO</w:t>
            </w:r>
            <w:r>
              <w:rPr>
                <w:rStyle w:val="InstructionsTabelleberschrift"/>
                <w:rFonts w:ascii="Times New Roman" w:hAnsi="Times New Roman"/>
                <w:sz w:val="24"/>
              </w:rPr>
              <w:t>C</w:t>
            </w:r>
            <w:r>
              <w:rPr>
                <w:rStyle w:val="InstructionsTabelleberschrift"/>
                <w:rFonts w:ascii="Times New Roman" w:hAnsi="Times New Roman"/>
                <w:sz w:val="24"/>
              </w:rPr>
              <w:t>KÁZAT-MÉRSÉKLÉSI (CRM) TECHNIKÁK</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ELŐRE NEM RENDELKEZÉSRE BOCSÁTOTT HITELKOCKÁZATI FEDEZET</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GARANCIÁK</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HITELDERIVATÍVÁK</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 részvényjellegű kitettségekre vonatkozó kockázattal súlyozott kitettségértékek kiszámításához alkalmazott módszertől függetlenül az intézmények a részvén</w:t>
            </w:r>
            <w:r>
              <w:rPr>
                <w:rStyle w:val="InstructionsTabelleText"/>
                <w:rFonts w:ascii="Times New Roman" w:hAnsi="Times New Roman"/>
                <w:sz w:val="24"/>
              </w:rPr>
              <w:t>y</w:t>
            </w:r>
            <w:r>
              <w:rPr>
                <w:rStyle w:val="InstructionsTabelleText"/>
                <w:rFonts w:ascii="Times New Roman" w:hAnsi="Times New Roman"/>
                <w:sz w:val="24"/>
              </w:rPr>
              <w:t>jellegű kitettségek előre nem rendelkezésre bocsátott hitelkockázati fedezetét is elismerhetik (a CRR 155. cikkének (2), (3) és (4) bekezdése). Az egyszerű ko</w:t>
            </w:r>
            <w:r>
              <w:rPr>
                <w:rStyle w:val="InstructionsTabelleText"/>
                <w:rFonts w:ascii="Times New Roman" w:hAnsi="Times New Roman"/>
                <w:sz w:val="24"/>
              </w:rPr>
              <w:t>c</w:t>
            </w:r>
            <w:r>
              <w:rPr>
                <w:rStyle w:val="InstructionsTabelleText"/>
                <w:rFonts w:ascii="Times New Roman" w:hAnsi="Times New Roman"/>
                <w:sz w:val="24"/>
              </w:rPr>
              <w:t>kázati súlyozási módszert vagy a PD/LGD-módszert alkalmazó intézmények a 030-as és 040-es oszlopban a CRR harmadik része II. címének 4. fejezetében foglalt módszerek szerint elismert, előre nem rendelkezésre bocsátott hitelko</w:t>
            </w:r>
            <w:r>
              <w:rPr>
                <w:rStyle w:val="InstructionsTabelleText"/>
                <w:rFonts w:ascii="Times New Roman" w:hAnsi="Times New Roman"/>
                <w:sz w:val="24"/>
              </w:rPr>
              <w:t>c</w:t>
            </w:r>
            <w:r>
              <w:rPr>
                <w:rStyle w:val="InstructionsTabelleText"/>
                <w:rFonts w:ascii="Times New Roman" w:hAnsi="Times New Roman"/>
                <w:sz w:val="24"/>
              </w:rPr>
              <w:t>kázati fedezet összegét garanciák (030-as oszlop) vagy hitelderivatívák (040-es oszlop) formájában tüntetik fel.</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050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KITETTSÉGRE HELYETTESÍTÉSI HATÁSSAL JÁRÓ HITELKO</w:t>
            </w:r>
            <w:r>
              <w:rPr>
                <w:rStyle w:val="InstructionsTabelleberschrift"/>
                <w:rFonts w:ascii="Times New Roman" w:hAnsi="Times New Roman"/>
                <w:sz w:val="24"/>
              </w:rPr>
              <w:t>C</w:t>
            </w:r>
            <w:r>
              <w:rPr>
                <w:rStyle w:val="InstructionsTabelleberschrift"/>
                <w:rFonts w:ascii="Times New Roman" w:hAnsi="Times New Roman"/>
                <w:sz w:val="24"/>
              </w:rPr>
              <w:t>KÁZAT-MÉRSÉKLÉSI (CRM) TECHNIKÁK</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KITETTSÉG HITELKOCKÁZAT-MÉRSÉKLÉS MIATTI HELYE</w:t>
            </w:r>
            <w:r>
              <w:rPr>
                <w:rStyle w:val="InstructionsTabelleberschrift"/>
                <w:rFonts w:ascii="Times New Roman" w:hAnsi="Times New Roman"/>
                <w:sz w:val="24"/>
              </w:rPr>
              <w:t>T</w:t>
            </w:r>
            <w:r>
              <w:rPr>
                <w:rStyle w:val="InstructionsTabelleberschrift"/>
                <w:rFonts w:ascii="Times New Roman" w:hAnsi="Times New Roman"/>
                <w:sz w:val="24"/>
              </w:rPr>
              <w:t>TESÍTÉSE</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 KIÁRAMLÁSOK ÖSSZESEN</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Az intézmények az 050-es oszlopban tüntetik fel a hitel-egyenértékesítési tény</w:t>
            </w:r>
            <w:r>
              <w:rPr>
                <w:rStyle w:val="InstructionsTabelleText"/>
                <w:rFonts w:ascii="Times New Roman" w:hAnsi="Times New Roman"/>
                <w:sz w:val="24"/>
              </w:rPr>
              <w:t>e</w:t>
            </w:r>
            <w:r>
              <w:rPr>
                <w:rStyle w:val="InstructionsTabelleText"/>
                <w:rFonts w:ascii="Times New Roman" w:hAnsi="Times New Roman"/>
                <w:sz w:val="24"/>
              </w:rPr>
              <w:t>zők előtti eredeti kitettségnek azt a részét, amely a CRR harmadik része II. c</w:t>
            </w:r>
            <w:r>
              <w:rPr>
                <w:rStyle w:val="InstructionsTabelleText"/>
                <w:rFonts w:ascii="Times New Roman" w:hAnsi="Times New Roman"/>
                <w:sz w:val="24"/>
              </w:rPr>
              <w:t>í</w:t>
            </w:r>
            <w:r>
              <w:rPr>
                <w:rStyle w:val="InstructionsTabelleText"/>
                <w:rFonts w:ascii="Times New Roman" w:hAnsi="Times New Roman"/>
                <w:sz w:val="24"/>
              </w:rPr>
              <w:t>mének 4. fejezetében foglalt módszerek szerint megjelenített, előre nem rende</w:t>
            </w:r>
            <w:r>
              <w:rPr>
                <w:rStyle w:val="InstructionsTabelleText"/>
                <w:rFonts w:ascii="Times New Roman" w:hAnsi="Times New Roman"/>
                <w:sz w:val="24"/>
              </w:rPr>
              <w:t>l</w:t>
            </w:r>
            <w:r>
              <w:rPr>
                <w:rStyle w:val="InstructionsTabelleText"/>
                <w:rFonts w:ascii="Times New Roman" w:hAnsi="Times New Roman"/>
                <w:sz w:val="24"/>
              </w:rPr>
              <w:t>kezésre bocsátott hitelkockázati fedezettel rendelkezik.</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060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KITETTSÉGÉRTÉK</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Az egyszerű kockázati súlyozási módszert vagy a PD/LGD-módszert alkalmazó intézmények a 060. oszlopban a kitettségértéket tüntetik fel az előre nem rende</w:t>
            </w:r>
            <w:r>
              <w:rPr>
                <w:rStyle w:val="InstructionsTabelleText"/>
                <w:rFonts w:ascii="Times New Roman" w:hAnsi="Times New Roman"/>
                <w:sz w:val="24"/>
              </w:rPr>
              <w:t>l</w:t>
            </w:r>
            <w:r>
              <w:rPr>
                <w:rStyle w:val="InstructionsTabelleText"/>
                <w:rFonts w:ascii="Times New Roman" w:hAnsi="Times New Roman"/>
                <w:sz w:val="24"/>
              </w:rPr>
              <w:t>kezésre bocsátott hitelkockázati fedezetből eredő helyettesítési hatások figy</w:t>
            </w:r>
            <w:r>
              <w:rPr>
                <w:rStyle w:val="InstructionsTabelleText"/>
                <w:rFonts w:ascii="Times New Roman" w:hAnsi="Times New Roman"/>
                <w:sz w:val="24"/>
              </w:rPr>
              <w:t>e</w:t>
            </w:r>
            <w:r>
              <w:rPr>
                <w:rStyle w:val="InstructionsTabelleText"/>
                <w:rFonts w:ascii="Times New Roman" w:hAnsi="Times New Roman"/>
                <w:sz w:val="24"/>
              </w:rPr>
              <w:t>lembevételével (a CRR 155. cikkének (2) és (3) bekezdése, valamint 167. ci</w:t>
            </w:r>
            <w:r>
              <w:rPr>
                <w:rStyle w:val="InstructionsTabelleText"/>
                <w:rFonts w:ascii="Times New Roman" w:hAnsi="Times New Roman"/>
                <w:sz w:val="24"/>
              </w:rPr>
              <w:t>k</w:t>
            </w:r>
            <w:r w:rsidR="00316D74">
              <w:rPr>
                <w:rStyle w:val="InstructionsTabelleText"/>
                <w:rFonts w:ascii="Times New Roman" w:hAnsi="Times New Roman"/>
                <w:sz w:val="24"/>
              </w:rPr>
              <w:t>ke).</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Emlékeztetésképpen a mérlegen kívüli részvényjellegű kitettségek esetében a kitettségérték az egyedi hitelkockázati kiigazításokkal csökkentett névérték (a CRR 167. cikke).</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070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KITETTSÉGGEL SÚLYOZOTT ÁTLAGOS LGD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 PD/LGD-módszert alkalmazó intézmények a CR EQU IRB 2 tábla 070. os</w:t>
            </w:r>
            <w:r>
              <w:rPr>
                <w:rStyle w:val="InstructionsTabelleText"/>
                <w:rFonts w:ascii="Times New Roman" w:hAnsi="Times New Roman"/>
                <w:sz w:val="24"/>
              </w:rPr>
              <w:t>z</w:t>
            </w:r>
            <w:r>
              <w:rPr>
                <w:rStyle w:val="InstructionsTabelleText"/>
                <w:rFonts w:ascii="Times New Roman" w:hAnsi="Times New Roman"/>
                <w:sz w:val="24"/>
              </w:rPr>
              <w:t>lopában az összesítésben szereplő ügyfél-kategóriákba vagy -halmazokba sorolt LGD-értékek kitettséggel súlyozott átlagát tüntetik fel; ugyanez vonatkozik a CR EQU IRB tábla 020-as sorára is. Az előre nem rendelkezésre bocsátott hite</w:t>
            </w:r>
            <w:r>
              <w:rPr>
                <w:rStyle w:val="InstructionsTabelleText"/>
                <w:rFonts w:ascii="Times New Roman" w:hAnsi="Times New Roman"/>
                <w:sz w:val="24"/>
              </w:rPr>
              <w:t>l</w:t>
            </w:r>
            <w:r>
              <w:rPr>
                <w:rStyle w:val="InstructionsTabelleText"/>
                <w:rFonts w:ascii="Times New Roman" w:hAnsi="Times New Roman"/>
                <w:sz w:val="24"/>
              </w:rPr>
              <w:t>kockázati fedezet figyelembevételével meghatározott kitettségérték (060-as os</w:t>
            </w:r>
            <w:r>
              <w:rPr>
                <w:rStyle w:val="InstructionsTabelleText"/>
                <w:rFonts w:ascii="Times New Roman" w:hAnsi="Times New Roman"/>
                <w:sz w:val="24"/>
              </w:rPr>
              <w:t>z</w:t>
            </w:r>
            <w:r>
              <w:rPr>
                <w:rStyle w:val="InstructionsTabelleText"/>
                <w:rFonts w:ascii="Times New Roman" w:hAnsi="Times New Roman"/>
                <w:sz w:val="24"/>
              </w:rPr>
              <w:t>lop) alapján kell kiszámítani a kitettséggel súlyozott átlagos LGD-értéket. Az i</w:t>
            </w:r>
            <w:r>
              <w:rPr>
                <w:rStyle w:val="InstructionsTabelleText"/>
                <w:rFonts w:ascii="Times New Roman" w:hAnsi="Times New Roman"/>
                <w:sz w:val="24"/>
              </w:rPr>
              <w:t>n</w:t>
            </w:r>
            <w:r>
              <w:rPr>
                <w:rStyle w:val="InstructionsTabelleText"/>
                <w:rFonts w:ascii="Times New Roman" w:hAnsi="Times New Roman"/>
                <w:sz w:val="24"/>
              </w:rPr>
              <w:t>tézményeknek figyelembe kell venniük a CRR 165. cikkének (2) bekezdésében foglalt rendelkezéseket.</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080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KOCKÁZATTAL SÚLYOZOTT KITETTSÉGÉRTÉK</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Az intézmények a 080-as oszlopban tüntetik fel a részvényjellegű kitettségekre vonatkozó kockázattal súlyozott kitettségértékeket, amelyeket a CRR 155. ci</w:t>
            </w:r>
            <w:r>
              <w:rPr>
                <w:rStyle w:val="InstructionsTabelleText"/>
                <w:rFonts w:ascii="Times New Roman" w:hAnsi="Times New Roman"/>
                <w:sz w:val="24"/>
              </w:rPr>
              <w:t>k</w:t>
            </w:r>
            <w:r>
              <w:rPr>
                <w:rStyle w:val="InstructionsTabelleText"/>
                <w:rFonts w:ascii="Times New Roman" w:hAnsi="Times New Roman"/>
                <w:sz w:val="24"/>
              </w:rPr>
              <w:t>kében foglalt rendelkezések szerint kell kiszámítani.</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Ha a PD/LGD-módszert alkalmazó intézmények nem rendelkeznek elegendő i</w:t>
            </w:r>
            <w:r>
              <w:rPr>
                <w:rStyle w:val="InstructionsTabelleText"/>
                <w:rFonts w:ascii="Times New Roman" w:hAnsi="Times New Roman"/>
                <w:sz w:val="24"/>
              </w:rPr>
              <w:t>n</w:t>
            </w:r>
            <w:r>
              <w:rPr>
                <w:rStyle w:val="InstructionsTabelleText"/>
                <w:rFonts w:ascii="Times New Roman" w:hAnsi="Times New Roman"/>
                <w:sz w:val="24"/>
              </w:rPr>
              <w:t>formációval a nemteljesítésnek a CRR 178. cikkében meghatározott fogalmának használatához, akkor a kockázattal súlyozott kitettségértékek kiszámításakor a kockázati súlyokra 1,5-es szorzót kell alkalmazni (a CRR 155. cikkének (3) b</w:t>
            </w:r>
            <w:r>
              <w:rPr>
                <w:rStyle w:val="InstructionsTabelleText"/>
                <w:rFonts w:ascii="Times New Roman" w:hAnsi="Times New Roman"/>
                <w:sz w:val="24"/>
              </w:rPr>
              <w:t>e</w:t>
            </w:r>
            <w:r w:rsidR="00316D74">
              <w:rPr>
                <w:rStyle w:val="InstructionsTabelleText"/>
                <w:rFonts w:ascii="Times New Roman" w:hAnsi="Times New Roman"/>
                <w:sz w:val="24"/>
              </w:rPr>
              <w:t>kezdése).</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 kockázatisúly-függvény M (lejárat) bemenő paramétere tekintetében a rés</w:t>
            </w:r>
            <w:r>
              <w:rPr>
                <w:rStyle w:val="InstructionsTabelleText"/>
                <w:rFonts w:ascii="Times New Roman" w:hAnsi="Times New Roman"/>
                <w:sz w:val="24"/>
              </w:rPr>
              <w:t>z</w:t>
            </w:r>
            <w:r>
              <w:rPr>
                <w:rStyle w:val="InstructionsTabelleText"/>
                <w:rFonts w:ascii="Times New Roman" w:hAnsi="Times New Roman"/>
                <w:sz w:val="24"/>
              </w:rPr>
              <w:t>vényjellegű kitettségekhez rendelt lejárat 5 év (a CRR 165. cikkének (3) beke</w:t>
            </w:r>
            <w:r>
              <w:rPr>
                <w:rStyle w:val="InstructionsTabelleText"/>
                <w:rFonts w:ascii="Times New Roman" w:hAnsi="Times New Roman"/>
                <w:sz w:val="24"/>
              </w:rPr>
              <w:t>z</w:t>
            </w:r>
            <w:r>
              <w:rPr>
                <w:rStyle w:val="InstructionsTabelleText"/>
                <w:rFonts w:ascii="Times New Roman" w:hAnsi="Times New Roman"/>
                <w:sz w:val="24"/>
              </w:rPr>
              <w:t>dése).</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090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TÁJÉKOZTATÓ ADAT: VÁRHATÓ VESZTESÉGÉRTÉK</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Az intézmények a 090-es oszlopban tüntetik fel a részvényjellegű kitettségekre vonatkozó várható veszteségértéket, amelyeket a CRR 158. cikkének (4), (7), (8) és (9) bekezdése szerint kell kiszámítani. </w:t>
            </w:r>
          </w:p>
        </w:tc>
      </w:tr>
    </w:tbl>
    <w:p w:rsidR="00745369" w:rsidRPr="00392FFD" w:rsidRDefault="00745369" w:rsidP="00FD239F">
      <w:pPr>
        <w:pStyle w:val="InstructionsText"/>
      </w:pPr>
    </w:p>
    <w:p w:rsidR="00C61FF5" w:rsidRPr="00392FFD" w:rsidRDefault="00125707" w:rsidP="00C37B29">
      <w:pPr>
        <w:pStyle w:val="InstructionsText2"/>
        <w:numPr>
          <w:ilvl w:val="0"/>
          <w:numId w:val="0"/>
        </w:numPr>
        <w:ind w:left="993"/>
      </w:pPr>
      <w:r>
        <w:lastRenderedPageBreak/>
        <w:t>92.</w:t>
      </w:r>
      <w:r>
        <w:tab/>
        <w:t>A CRR 155. cikke szerint az intézmények a különböző portfóliók esetében k</w:t>
      </w:r>
      <w:r>
        <w:t>ü</w:t>
      </w:r>
      <w:r>
        <w:t>lönböző módszereket (egyszerű kockázati súlyozási módszere, PD/LGD-módszer, belső modellen alapuló módszer) alkalmazhatnak akkor, ha ezeket szervezeten b</w:t>
      </w:r>
      <w:r>
        <w:t>e</w:t>
      </w:r>
      <w:r>
        <w:t>lül alkalmazzák. Az intézményeknek a CR EQU IRB 1 táblán adatot kell szolgá</w:t>
      </w:r>
      <w:r>
        <w:t>l</w:t>
      </w:r>
      <w:r>
        <w:t>tatniuk az olyan részvényjellegű kitettségekre vonatkozó kockázattal súlyozott kitettségértékekről is, amelyekre fix kockázati súly vonatkozik (azonban az egysz</w:t>
      </w:r>
      <w:r>
        <w:t>e</w:t>
      </w:r>
      <w:r>
        <w:t>rű kockázati súlyozási módszer kifejezett alkalmazása, vagy a hitelkockázati szte</w:t>
      </w:r>
      <w:r>
        <w:t>n</w:t>
      </w:r>
      <w:r>
        <w:t xml:space="preserve">derd módszer átmeneti vagy tartós </w:t>
      </w:r>
      <w:proofErr w:type="gramStart"/>
      <w:r>
        <w:t>mentesítés</w:t>
      </w:r>
      <w:proofErr w:type="gramEnd"/>
      <w:r>
        <w:t xml:space="preserve"> alapján </w:t>
      </w:r>
      <w:r w:rsidR="00316D74">
        <w:t>történő alkalmazása nélkül).</w:t>
      </w:r>
    </w:p>
    <w:tbl>
      <w:tblPr>
        <w:tblW w:w="9524" w:type="dxa"/>
        <w:tblLook w:val="01E0" w:firstRow="1" w:lastRow="1" w:firstColumn="1" w:lastColumn="1" w:noHBand="0" w:noVBand="0"/>
      </w:tblPr>
      <w:tblGrid>
        <w:gridCol w:w="1608"/>
        <w:gridCol w:w="7916"/>
      </w:tblGrid>
      <w:tr w:rsidR="00C61FF5" w:rsidRPr="00392FFD"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Sorok</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020. sor</w:t>
            </w:r>
          </w:p>
          <w:p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316D74"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PD/LGD-MÓDSZER: ÖSSZESEN</w:t>
            </w:r>
          </w:p>
          <w:p w:rsidR="00745369" w:rsidRPr="00392FFD"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 PD/LGD-módszert alkalmazó intézmények (a CRR 155. cikkének (3) pontja) a kért információkat a CR EQU IRB 1 tábla 020. sorában tüntetik fel.</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050–090. sor</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EGYSZERŰ KOCKÁZATI SÚLYOZÁSI MÓDSZER: ÖSSZESEN</w:t>
            </w:r>
          </w:p>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A TELJES KITETTSÉG KOCKÁZATI SÚLY SZERINTI BONTÁSA AZ EGYSZERŰ KOCKÁZATI SÚLYOZÁSI MÓDSZER ALAPJÁN:</w:t>
            </w:r>
          </w:p>
          <w:p w:rsidR="00745369" w:rsidRPr="00392FFD"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Az egyszerű kockázati súlyozási módszert alkalmazó intézmények (a CRR 155. cikkének (2) bekezdése) a kért információkat az alapul szolgáló kitettségek je</w:t>
            </w:r>
            <w:r>
              <w:rPr>
                <w:rStyle w:val="InstructionsTabelleText"/>
                <w:rFonts w:ascii="Times New Roman" w:hAnsi="Times New Roman"/>
                <w:sz w:val="24"/>
              </w:rPr>
              <w:t>l</w:t>
            </w:r>
            <w:r>
              <w:rPr>
                <w:rStyle w:val="InstructionsTabelleText"/>
                <w:rFonts w:ascii="Times New Roman" w:hAnsi="Times New Roman"/>
                <w:sz w:val="24"/>
              </w:rPr>
              <w:t>lemzőinek megfelelően az 050–090. sorban adják meg.</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100. sor</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BELSŐ MODELLEN ALAPULÓ MÓDSZER</w:t>
            </w:r>
          </w:p>
          <w:p w:rsidR="00C61FF5" w:rsidRPr="00392FFD" w:rsidRDefault="00C61FF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 belső modellen alapuló módszert alkalmazó intézmények (a CRR 155. cikk</w:t>
            </w:r>
            <w:r>
              <w:rPr>
                <w:rStyle w:val="FormatvorlageInstructionsTabelleText"/>
                <w:rFonts w:ascii="Times New Roman" w:hAnsi="Times New Roman"/>
                <w:sz w:val="24"/>
              </w:rPr>
              <w:t>é</w:t>
            </w:r>
            <w:r>
              <w:rPr>
                <w:rStyle w:val="FormatvorlageInstructionsTabelleText"/>
                <w:rFonts w:ascii="Times New Roman" w:hAnsi="Times New Roman"/>
                <w:sz w:val="24"/>
              </w:rPr>
              <w:t>nek (4) bekezdése) a kért információkat a 100. sorban tüntetik fel.</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110. sor</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KOCKÁZATI SÚLYOZÁS ALÁ TARTOZÓ RÉSZVÉNYJELLEGŰ K</w:t>
            </w:r>
            <w:r>
              <w:rPr>
                <w:rStyle w:val="InstructionsTabelleberschrift"/>
                <w:rFonts w:ascii="Times New Roman" w:hAnsi="Times New Roman"/>
                <w:sz w:val="24"/>
              </w:rPr>
              <w:t>I</w:t>
            </w:r>
            <w:r>
              <w:rPr>
                <w:rStyle w:val="InstructionsTabelleberschrift"/>
                <w:rFonts w:ascii="Times New Roman" w:hAnsi="Times New Roman"/>
                <w:sz w:val="24"/>
              </w:rPr>
              <w:t>TETTSÉGEK</w:t>
            </w:r>
          </w:p>
          <w:p w:rsidR="00C61FF5" w:rsidRPr="00392FFD" w:rsidRDefault="00C61FF5" w:rsidP="00C61FF5">
            <w:pPr>
              <w:rPr>
                <w:rFonts w:ascii="Times New Roman" w:hAnsi="Times New Roman"/>
                <w:sz w:val="24"/>
              </w:rPr>
            </w:pPr>
            <w:r>
              <w:rPr>
                <w:rFonts w:ascii="Times New Roman" w:hAnsi="Times New Roman"/>
                <w:sz w:val="24"/>
              </w:rPr>
              <w:t>Az IRB-módszert alkalmazó intézményeknek adatot kell szolgáltatniuk az olyan részvényjellegű kitettségekre vonatkozó kockázattal súlyozott kitettségértékekről, amelyekre fix kockázati súly alkalmazandó (azonban az egyszerű kockázati súlyozási módszer kifejezett alkalmazása, vagy a hitelko</w:t>
            </w:r>
            <w:r>
              <w:rPr>
                <w:rFonts w:ascii="Times New Roman" w:hAnsi="Times New Roman"/>
                <w:sz w:val="24"/>
              </w:rPr>
              <w:t>c</w:t>
            </w:r>
            <w:r>
              <w:rPr>
                <w:rFonts w:ascii="Times New Roman" w:hAnsi="Times New Roman"/>
                <w:sz w:val="24"/>
              </w:rPr>
              <w:t xml:space="preserve">kázati sztenderd módszer átmeneti vagy tartós </w:t>
            </w:r>
            <w:proofErr w:type="gramStart"/>
            <w:r>
              <w:rPr>
                <w:rFonts w:ascii="Times New Roman" w:hAnsi="Times New Roman"/>
                <w:sz w:val="24"/>
              </w:rPr>
              <w:t>mentesítés</w:t>
            </w:r>
            <w:proofErr w:type="gramEnd"/>
            <w:r>
              <w:rPr>
                <w:rFonts w:ascii="Times New Roman" w:hAnsi="Times New Roman"/>
                <w:sz w:val="24"/>
              </w:rPr>
              <w:t xml:space="preserve"> alapján történő a</w:t>
            </w:r>
            <w:r>
              <w:rPr>
                <w:rFonts w:ascii="Times New Roman" w:hAnsi="Times New Roman"/>
                <w:sz w:val="24"/>
              </w:rPr>
              <w:t>l</w:t>
            </w:r>
            <w:r w:rsidR="00F870AC">
              <w:rPr>
                <w:rFonts w:ascii="Times New Roman" w:hAnsi="Times New Roman"/>
                <w:sz w:val="24"/>
              </w:rPr>
              <w:t>kalmazása nélkül). Például:</w:t>
            </w:r>
          </w:p>
          <w:p w:rsidR="00C61FF5" w:rsidRPr="00392FFD" w:rsidRDefault="00C61FF5" w:rsidP="00C61FF5">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a pénzügyi ágazatbeli szervezetekkel szemben fennálló, a CRR 48. cikkének (4) bekezdése szerint kezelt részvényjellegű pozíciók kockázattal súlyozott </w:t>
            </w:r>
            <w:r w:rsidR="00F870AC">
              <w:rPr>
                <w:rStyle w:val="FormatvorlageInstructionsTabelleText"/>
                <w:rFonts w:ascii="Times New Roman" w:hAnsi="Times New Roman"/>
                <w:sz w:val="24"/>
              </w:rPr>
              <w:t>kitettségértékét, valamint</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a CRR 471. cikkének (2) bekezdése szerint 370 %-os kockázati súlyú rés</w:t>
            </w:r>
            <w:r>
              <w:rPr>
                <w:rStyle w:val="FormatvorlageInstructionsTabelleText"/>
                <w:rFonts w:ascii="Times New Roman" w:hAnsi="Times New Roman"/>
                <w:sz w:val="24"/>
              </w:rPr>
              <w:t>z</w:t>
            </w:r>
            <w:r w:rsidR="00F870AC">
              <w:rPr>
                <w:rStyle w:val="FormatvorlageInstructionsTabelleText"/>
                <w:rFonts w:ascii="Times New Roman" w:hAnsi="Times New Roman"/>
                <w:sz w:val="24"/>
              </w:rPr>
              <w:t>vényjellegű pozíciókat</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a 110. sorban kell feltüntetni.</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 TELJES KITETTSÉG ÜGYFÉL-KATEGÓRIA SZERINTI BONTÁSA </w:t>
            </w:r>
            <w:proofErr w:type="gramStart"/>
            <w:r>
              <w:rPr>
                <w:rStyle w:val="InstructionsTabelleberschrift"/>
                <w:rFonts w:ascii="Times New Roman" w:hAnsi="Times New Roman"/>
                <w:sz w:val="24"/>
              </w:rPr>
              <w:t>A</w:t>
            </w:r>
            <w:proofErr w:type="gramEnd"/>
            <w:r>
              <w:rPr>
                <w:rStyle w:val="InstructionsTabelleberschrift"/>
                <w:rFonts w:ascii="Times New Roman" w:hAnsi="Times New Roman"/>
                <w:sz w:val="24"/>
              </w:rPr>
              <w:t xml:space="preserve"> PD/LGD-MÓDSZER ALAPJÁN</w:t>
            </w:r>
          </w:p>
          <w:p w:rsidR="00745369" w:rsidRPr="00392FFD"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 PD/LGD-módszert alkalmazó intézmények (a CRR 155. cikkének (3) beke</w:t>
            </w:r>
            <w:r>
              <w:rPr>
                <w:rStyle w:val="InstructionsTabelleText"/>
                <w:rFonts w:ascii="Times New Roman" w:hAnsi="Times New Roman"/>
                <w:sz w:val="24"/>
              </w:rPr>
              <w:t>z</w:t>
            </w:r>
            <w:r>
              <w:rPr>
                <w:rStyle w:val="InstructionsTabelleText"/>
                <w:rFonts w:ascii="Times New Roman" w:hAnsi="Times New Roman"/>
                <w:sz w:val="24"/>
              </w:rPr>
              <w:t>dése) a kért információkat a CR EQU IRB 2 táblán tüntetik fel.</w:t>
            </w:r>
          </w:p>
          <w:p w:rsidR="00C61FF5" w:rsidRPr="00392FFD" w:rsidRDefault="00C61FF5"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lastRenderedPageBreak/>
              <w:t>Ha a PD/LGD-módszert alkalmazó intézmény egyedi minősítési rendszert a</w:t>
            </w:r>
            <w:r>
              <w:rPr>
                <w:rStyle w:val="InstructionsTabelleText"/>
                <w:rFonts w:ascii="Times New Roman" w:hAnsi="Times New Roman"/>
                <w:sz w:val="24"/>
              </w:rPr>
              <w:t>l</w:t>
            </w:r>
            <w:r>
              <w:rPr>
                <w:rStyle w:val="InstructionsTabelleText"/>
                <w:rFonts w:ascii="Times New Roman" w:hAnsi="Times New Roman"/>
                <w:sz w:val="24"/>
              </w:rPr>
              <w:t>kalmaz, vagy az adatszolgáltatást irányadó belső skála alapján tudja teljesíteni, akkor a CR EQU IRB 2 táblán az e skála szerinti minősítési kategóriákat vagy halmazokat kell megadnia. Minden más esetben a különböző minősítési ren</w:t>
            </w:r>
            <w:r>
              <w:rPr>
                <w:rStyle w:val="InstructionsTabelleText"/>
                <w:rFonts w:ascii="Times New Roman" w:hAnsi="Times New Roman"/>
                <w:sz w:val="24"/>
              </w:rPr>
              <w:t>d</w:t>
            </w:r>
            <w:r>
              <w:rPr>
                <w:rStyle w:val="InstructionsTabelleText"/>
                <w:rFonts w:ascii="Times New Roman" w:hAnsi="Times New Roman"/>
                <w:sz w:val="24"/>
              </w:rPr>
              <w:t>szereket a következő kritériumok alapján kell összevonni és rangsorolni: a k</w:t>
            </w:r>
            <w:r>
              <w:rPr>
                <w:rStyle w:val="InstructionsTabelleText"/>
                <w:rFonts w:ascii="Times New Roman" w:hAnsi="Times New Roman"/>
                <w:sz w:val="24"/>
              </w:rPr>
              <w:t>ü</w:t>
            </w:r>
            <w:r>
              <w:rPr>
                <w:rStyle w:val="InstructionsTabelleText"/>
                <w:rFonts w:ascii="Times New Roman" w:hAnsi="Times New Roman"/>
                <w:sz w:val="24"/>
              </w:rPr>
              <w:t>lönböző minősítési rendszerek ügyfél-kategóriáit vagy -halmazait össze kell vonni, majd az egyes ügyfél-kategóriákhoz vagy -halmazokhoz rendelt PD-érték alapján növekvő sorrendbe kell állítani.</w:t>
            </w:r>
          </w:p>
        </w:tc>
      </w:tr>
    </w:tbl>
    <w:p w:rsidR="00633DEB" w:rsidRPr="00392FFD" w:rsidRDefault="00633DEB">
      <w:pPr>
        <w:spacing w:before="0" w:after="0"/>
        <w:jc w:val="left"/>
        <w:rPr>
          <w:rStyle w:val="InstructionsTabelleText"/>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4" w:name="_Toc310415035"/>
      <w:bookmarkStart w:id="425" w:name="_Toc360188372"/>
      <w:bookmarkStart w:id="426" w:name="_Toc516210658"/>
      <w:bookmarkStart w:id="427" w:name="_Toc473560923"/>
      <w:bookmarkStart w:id="428" w:name="_Toc524014717"/>
      <w:r>
        <w:rPr>
          <w:rFonts w:ascii="Times New Roman" w:hAnsi="Times New Roman"/>
          <w:sz w:val="24"/>
          <w:u w:val="none"/>
        </w:rPr>
        <w:t>3.6.</w:t>
      </w:r>
      <w:r w:rsidRPr="00F870AC">
        <w:rPr>
          <w:u w:val="none"/>
        </w:rPr>
        <w:tab/>
      </w:r>
      <w:r>
        <w:rPr>
          <w:rFonts w:ascii="Times New Roman" w:hAnsi="Times New Roman"/>
          <w:sz w:val="24"/>
        </w:rPr>
        <w:t>C 11.00 – Elszámolási/teljesítési kockázat</w:t>
      </w:r>
      <w:bookmarkEnd w:id="424"/>
      <w:bookmarkEnd w:id="425"/>
      <w:r>
        <w:rPr>
          <w:rFonts w:ascii="Times New Roman" w:hAnsi="Times New Roman"/>
          <w:sz w:val="24"/>
        </w:rPr>
        <w:t xml:space="preserve"> (CR SETT)</w:t>
      </w:r>
      <w:bookmarkEnd w:id="426"/>
      <w:bookmarkEnd w:id="427"/>
      <w:bookmarkEnd w:id="428"/>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9" w:name="_Toc262568045"/>
      <w:bookmarkStart w:id="430" w:name="_Toc295829924"/>
      <w:bookmarkStart w:id="431" w:name="_Toc310415036"/>
      <w:bookmarkStart w:id="432" w:name="_Toc360188373"/>
      <w:bookmarkStart w:id="433" w:name="_Toc516210659"/>
      <w:bookmarkStart w:id="434" w:name="_Toc473560924"/>
      <w:bookmarkStart w:id="435" w:name="_Toc524014718"/>
      <w:r>
        <w:rPr>
          <w:rFonts w:ascii="Times New Roman" w:hAnsi="Times New Roman"/>
          <w:sz w:val="24"/>
          <w:u w:val="none"/>
        </w:rPr>
        <w:t>3.6.1.</w:t>
      </w:r>
      <w:r w:rsidRPr="00F870AC">
        <w:rPr>
          <w:u w:val="none"/>
        </w:rPr>
        <w:tab/>
      </w:r>
      <w:r>
        <w:rPr>
          <w:rFonts w:ascii="Times New Roman" w:hAnsi="Times New Roman"/>
          <w:sz w:val="24"/>
        </w:rPr>
        <w:t>Általános megjegyzések</w:t>
      </w:r>
      <w:bookmarkEnd w:id="429"/>
      <w:bookmarkEnd w:id="430"/>
      <w:bookmarkEnd w:id="431"/>
      <w:bookmarkEnd w:id="432"/>
      <w:bookmarkEnd w:id="433"/>
      <w:bookmarkEnd w:id="434"/>
      <w:bookmarkEnd w:id="435"/>
    </w:p>
    <w:p w:rsidR="00612780" w:rsidRPr="00392FFD" w:rsidRDefault="00125707" w:rsidP="00C37B29">
      <w:pPr>
        <w:pStyle w:val="InstructionsText2"/>
        <w:numPr>
          <w:ilvl w:val="0"/>
          <w:numId w:val="0"/>
        </w:numPr>
        <w:ind w:left="993"/>
      </w:pPr>
      <w:r>
        <w:t>93.</w:t>
      </w:r>
      <w:r>
        <w:tab/>
        <w:t>A tábla a kereskedési könyvben és a nem kereskedési könyvben nyilvántartott olyan ügyletekről kér információt, amelyek kiegyenlítése a teljesítési határidejükig nem történt meg, továbbá az elszámolási kockázat kapcsolódó szavatolótőke-követelményéről a CRR 92. cikke (3) bekezdése c) pontjának ii. alpontj</w:t>
      </w:r>
      <w:r w:rsidR="00F870AC">
        <w:t>a, valamint 378. cikke szerint.</w:t>
      </w:r>
    </w:p>
    <w:p w:rsidR="00612780" w:rsidRPr="00392FFD" w:rsidRDefault="00125707" w:rsidP="00C37B29">
      <w:pPr>
        <w:pStyle w:val="InstructionsText2"/>
        <w:numPr>
          <w:ilvl w:val="0"/>
          <w:numId w:val="0"/>
        </w:numPr>
        <w:ind w:left="993"/>
      </w:pPr>
      <w:r>
        <w:t>94.</w:t>
      </w:r>
      <w:r>
        <w:tab/>
        <w:t>Az intézmények a CR SETT táblán az elszámolási/teljesítési kockázattal ka</w:t>
      </w:r>
      <w:r>
        <w:t>p</w:t>
      </w:r>
      <w:r>
        <w:t>csolatos információkat adnak meg a kereskedési könyvben és a nem kereskedési könyvben nyilvántartott hitelviszonyt megtestesítő értékpapírokra, részvényekre, külföldi pén</w:t>
      </w:r>
      <w:r w:rsidR="00F870AC">
        <w:t>znemekre és árukra vonatkozóan.</w:t>
      </w:r>
    </w:p>
    <w:p w:rsidR="00612780" w:rsidRPr="00392FFD" w:rsidRDefault="00125707" w:rsidP="00C37B29">
      <w:pPr>
        <w:pStyle w:val="InstructionsText2"/>
        <w:numPr>
          <w:ilvl w:val="0"/>
          <w:numId w:val="0"/>
        </w:numPr>
        <w:ind w:left="993"/>
      </w:pPr>
      <w:r>
        <w:t>95.</w:t>
      </w:r>
      <w:r>
        <w:tab/>
        <w:t>A CRR 378. cikke szerint az elszámolási/teljesítési kockázat nem érinti a repoügyleteket, valamint a hitelviszonyt megtestesítő értékpapírokkal, részvénye</w:t>
      </w:r>
      <w:r>
        <w:t>k</w:t>
      </w:r>
      <w:r>
        <w:t>kel, külföldi pénznemekkel vagy áruval kapcsolatos értékpapír- és áru-kölcsönbeadási, illetve -kölcsönvételi ügyleteket. Ügyelni kell azonban arra, hogy a teljesítési határidőig ki nem egyenlített származtatott ügyletek és hosszú teljesítési idejű ügyletek ettől függetlenül a CRR 378. cikke szerint meghatározott, az elsz</w:t>
      </w:r>
      <w:r>
        <w:t>á</w:t>
      </w:r>
      <w:r>
        <w:t>molási/teljesítési kockázatra vonatkozó szavatolótőke-követelmény hatálya alá e</w:t>
      </w:r>
      <w:r>
        <w:t>s</w:t>
      </w:r>
      <w:r>
        <w:t>nek.</w:t>
      </w:r>
    </w:p>
    <w:p w:rsidR="00612780" w:rsidRPr="00392FFD" w:rsidRDefault="00125707" w:rsidP="00C37B29">
      <w:pPr>
        <w:pStyle w:val="InstructionsText2"/>
        <w:numPr>
          <w:ilvl w:val="0"/>
          <w:numId w:val="0"/>
        </w:numPr>
        <w:ind w:left="993"/>
      </w:pPr>
      <w:r>
        <w:t>96.</w:t>
      </w:r>
      <w:r>
        <w:tab/>
        <w:t>A teljesítési határidőig ki nem egyenlített ügyletek esetében az intézmények k</w:t>
      </w:r>
      <w:r>
        <w:t>i</w:t>
      </w:r>
      <w:r>
        <w:t>számítják a felmerült árkülönbözetet. Ez az adott hitelviszonyt megtestesítő érté</w:t>
      </w:r>
      <w:r>
        <w:t>k</w:t>
      </w:r>
      <w:r>
        <w:t xml:space="preserve">papír, részvény, külföldi pénznem vagy áru kikötött teljesítési ára és aktuális piaci értéke közötti különbözet, ahol a különbözet veszteséget is jelenthet az </w:t>
      </w:r>
      <w:r w:rsidR="00F870AC">
        <w:t>intézmény számára.</w:t>
      </w:r>
    </w:p>
    <w:p w:rsidR="00612780" w:rsidRPr="00392FFD" w:rsidRDefault="00125707" w:rsidP="00C37B29">
      <w:pPr>
        <w:pStyle w:val="InstructionsText2"/>
        <w:numPr>
          <w:ilvl w:val="0"/>
          <w:numId w:val="0"/>
        </w:numPr>
        <w:ind w:left="993"/>
      </w:pPr>
      <w:r>
        <w:t>97.</w:t>
      </w:r>
      <w:r>
        <w:tab/>
        <w:t>Az intézmények a különbözetet a CRR 378. cikkében található 1. táblázat me</w:t>
      </w:r>
      <w:r>
        <w:t>g</w:t>
      </w:r>
      <w:r>
        <w:t>felelő szorzójával megszorozva határozzák meg a vonatkozó szavatolótőke-követelményt.</w:t>
      </w:r>
    </w:p>
    <w:p w:rsidR="00612780" w:rsidRPr="00392FFD" w:rsidRDefault="00125707" w:rsidP="00C37B29">
      <w:pPr>
        <w:pStyle w:val="InstructionsText2"/>
        <w:numPr>
          <w:ilvl w:val="0"/>
          <w:numId w:val="0"/>
        </w:numPr>
        <w:ind w:left="993"/>
      </w:pPr>
      <w:r>
        <w:t>98.</w:t>
      </w:r>
      <w:r>
        <w:tab/>
        <w:t>A 92. cikk (4) bekezdésének b) pontja szerint a kockázati kitettség összegének kiszámításához az elszámolási/teljesítési kockázatra vonatkozó szavatolótőke-követelményt 12,5-del kell megszorozni.</w:t>
      </w:r>
    </w:p>
    <w:p w:rsidR="00612780" w:rsidRPr="00392FFD" w:rsidRDefault="00125707" w:rsidP="00C37B29">
      <w:pPr>
        <w:pStyle w:val="InstructionsText2"/>
        <w:numPr>
          <w:ilvl w:val="0"/>
          <w:numId w:val="0"/>
        </w:numPr>
        <w:ind w:left="993"/>
      </w:pPr>
      <w:r>
        <w:t>99.</w:t>
      </w:r>
      <w:r>
        <w:tab/>
        <w:t>Ügyelni kell arra, hogy a CR SETT tábla alkalmazási köre nem terjed ki a nyitva szállításokra vonatkozó, a CRR 379. cikkében rögzített szavatolótőke-</w:t>
      </w:r>
      <w:r>
        <w:lastRenderedPageBreak/>
        <w:t>követelményre; azt a hitelkockázati táblacsoporton (CR SA, CR IRB) kell feltü</w:t>
      </w:r>
      <w:r>
        <w:t>n</w:t>
      </w:r>
      <w:r>
        <w:t>tetni.</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36" w:name="_Toc310415037"/>
      <w:bookmarkStart w:id="437" w:name="_Toc360188374"/>
      <w:bookmarkStart w:id="438" w:name="_Toc516210660"/>
      <w:bookmarkStart w:id="439" w:name="_Toc473560925"/>
      <w:bookmarkStart w:id="440" w:name="_Toc524014719"/>
      <w:r>
        <w:rPr>
          <w:rFonts w:ascii="Times New Roman" w:hAnsi="Times New Roman"/>
          <w:sz w:val="24"/>
          <w:u w:val="none"/>
        </w:rPr>
        <w:t>3.6.2.</w:t>
      </w:r>
      <w:r w:rsidRPr="00F870AC">
        <w:rPr>
          <w:u w:val="none"/>
        </w:rPr>
        <w:tab/>
      </w:r>
      <w:r>
        <w:rPr>
          <w:rFonts w:ascii="Times New Roman" w:hAnsi="Times New Roman"/>
          <w:sz w:val="24"/>
        </w:rPr>
        <w:t>A tábla egyes részeire vonatkozó útmutató</w:t>
      </w:r>
      <w:bookmarkEnd w:id="436"/>
      <w:bookmarkEnd w:id="437"/>
      <w:bookmarkEnd w:id="438"/>
      <w:bookmarkEnd w:id="439"/>
      <w:bookmarkEnd w:id="4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rsidTr="00672D2A">
        <w:tc>
          <w:tcPr>
            <w:tcW w:w="8856"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Oszlopok</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KI NEM EGYENLÍTETT ÜGYLETEK TELJESÍTÉSI ÁRA</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A CRR 378. cikkével összhangban az intézmények a 010. oszlopban a teljesítési határidőig ki nem egyenlített ügyleteket azok elfogadott teljesítési árán tüntetik fel.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 010-es oszlopban minden ki nem egyenlített ügyletet fel kell tüntetni attól függetlenül, hogy a teljesítési határidőt követően nyereséget vagy veszteséget mutatnak.</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020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KI NEM EGYENLÍTETT ÜGYLETEKBŐL EREDŐ ÁRKÜLÖNB</w:t>
            </w:r>
            <w:r>
              <w:rPr>
                <w:rStyle w:val="InstructionsTabelleberschrift"/>
                <w:rFonts w:ascii="Times New Roman" w:hAnsi="Times New Roman"/>
                <w:sz w:val="24"/>
              </w:rPr>
              <w:t>Ö</w:t>
            </w:r>
            <w:r>
              <w:rPr>
                <w:rStyle w:val="InstructionsTabelleberschrift"/>
                <w:rFonts w:ascii="Times New Roman" w:hAnsi="Times New Roman"/>
                <w:sz w:val="24"/>
              </w:rPr>
              <w:t>ZETI KITETTSÉG</w:t>
            </w:r>
          </w:p>
          <w:p w:rsidR="00745369" w:rsidRPr="00C37B29" w:rsidRDefault="00612780" w:rsidP="00450A2E">
            <w:pPr>
              <w:spacing w:beforeLines="60" w:before="144" w:afterLines="60" w:after="144"/>
              <w:rPr>
                <w:rFonts w:ascii="Times New Roman" w:hAnsi="Times New Roman"/>
                <w:sz w:val="24"/>
              </w:rPr>
            </w:pPr>
            <w:r>
              <w:rPr>
                <w:rFonts w:ascii="Times New Roman" w:hAnsi="Times New Roman"/>
                <w:sz w:val="24"/>
              </w:rPr>
              <w:t>A CRR 378. cikkének megfelelően az intézmények a 020-as oszlopban feltünt</w:t>
            </w:r>
            <w:r>
              <w:rPr>
                <w:rFonts w:ascii="Times New Roman" w:hAnsi="Times New Roman"/>
                <w:sz w:val="24"/>
              </w:rPr>
              <w:t>e</w:t>
            </w:r>
            <w:r>
              <w:rPr>
                <w:rFonts w:ascii="Times New Roman" w:hAnsi="Times New Roman"/>
                <w:sz w:val="24"/>
              </w:rPr>
              <w:t xml:space="preserve">tik az adott hitelviszonyt megtestesítő értékpapír, részvény, külföldi pénznem vagy áru kikötött teljesítési ára és aktuális piaci értéke közötti különbözet, ahol a különbözet veszteséget is </w:t>
            </w:r>
            <w:r w:rsidR="00F870AC">
              <w:rPr>
                <w:rFonts w:ascii="Times New Roman" w:hAnsi="Times New Roman"/>
                <w:sz w:val="24"/>
              </w:rPr>
              <w:t>jelenthet az intézmény számára.</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 020-as oszlopban kizárólag azokat a ki nem egyenlített ügyleteket kell feltü</w:t>
            </w:r>
            <w:r>
              <w:rPr>
                <w:rFonts w:ascii="Times New Roman" w:hAnsi="Times New Roman"/>
                <w:sz w:val="24"/>
              </w:rPr>
              <w:t>n</w:t>
            </w:r>
            <w:r>
              <w:rPr>
                <w:rFonts w:ascii="Times New Roman" w:hAnsi="Times New Roman"/>
                <w:sz w:val="24"/>
              </w:rPr>
              <w:t>tetni, amelyek a teljesítési határidőt követően veszteséget mutatnak.</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030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SZAVATOLÓTŐKE-KÖVETELMÉNY</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Az intézmények a 030-as oszlopban tüntetik fel a CRR 378. cikke szerint kisz</w:t>
            </w:r>
            <w:r>
              <w:rPr>
                <w:rFonts w:ascii="Times New Roman" w:hAnsi="Times New Roman"/>
                <w:sz w:val="24"/>
              </w:rPr>
              <w:t>á</w:t>
            </w:r>
            <w:r>
              <w:rPr>
                <w:rFonts w:ascii="Times New Roman" w:hAnsi="Times New Roman"/>
                <w:sz w:val="24"/>
              </w:rPr>
              <w:t>mított szavatolótőke-követelményt.</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040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ELSZÁMOLÁSI KOCKÁZAT TELJES KOCKÁZATI KITETTSÉGÉRTÉKE</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 CRR 92. cikke (4) bekezdésének b) pontja szerint az intézmények az elszám</w:t>
            </w:r>
            <w:r>
              <w:rPr>
                <w:rFonts w:ascii="Times New Roman" w:hAnsi="Times New Roman"/>
                <w:sz w:val="24"/>
              </w:rPr>
              <w:t>o</w:t>
            </w:r>
            <w:r>
              <w:rPr>
                <w:rFonts w:ascii="Times New Roman" w:hAnsi="Times New Roman"/>
                <w:sz w:val="24"/>
              </w:rPr>
              <w:t>lási kockázati kitettség összegének kiszámításához a 030-as oszlopban feltünt</w:t>
            </w:r>
            <w:r>
              <w:rPr>
                <w:rFonts w:ascii="Times New Roman" w:hAnsi="Times New Roman"/>
                <w:sz w:val="24"/>
              </w:rPr>
              <w:t>e</w:t>
            </w:r>
            <w:r>
              <w:rPr>
                <w:rFonts w:ascii="Times New Roman" w:hAnsi="Times New Roman"/>
                <w:sz w:val="24"/>
              </w:rPr>
              <w:t>tett szavatolótőke-követelményt 12,5-del szorozzák meg.</w:t>
            </w:r>
          </w:p>
        </w:tc>
      </w:tr>
    </w:tbl>
    <w:p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rsidTr="00672D2A">
        <w:tc>
          <w:tcPr>
            <w:tcW w:w="8862"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Sorok</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nem kereskedési könyvi ki nem egyenlített ügyletek összesen</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Az intézmények a 010-es sorban összesített információkat közölnek a nem k</w:t>
            </w:r>
            <w:r>
              <w:rPr>
                <w:rFonts w:ascii="Times New Roman" w:hAnsi="Times New Roman"/>
                <w:sz w:val="24"/>
              </w:rPr>
              <w:t>e</w:t>
            </w:r>
            <w:r>
              <w:rPr>
                <w:rFonts w:ascii="Times New Roman" w:hAnsi="Times New Roman"/>
                <w:sz w:val="24"/>
              </w:rPr>
              <w:t>reskedési könyvi pozíciók elszámolási/teljesítési kockázatával kapcsolatban (a CRR 92. cikke (3) bekezdése c) pontjának ii. alpontja, valamint 378. cikke sz</w:t>
            </w:r>
            <w:r>
              <w:rPr>
                <w:rFonts w:ascii="Times New Roman" w:hAnsi="Times New Roman"/>
                <w:sz w:val="24"/>
              </w:rPr>
              <w:t>e</w:t>
            </w:r>
            <w:r>
              <w:rPr>
                <w:rFonts w:ascii="Times New Roman" w:hAnsi="Times New Roman"/>
                <w:sz w:val="24"/>
              </w:rPr>
              <w:t>rint).</w:t>
            </w:r>
          </w:p>
          <w:p w:rsidR="00745369" w:rsidRPr="00392FFD" w:rsidRDefault="00612780" w:rsidP="00450A2E">
            <w:pPr>
              <w:spacing w:beforeLines="60" w:before="144"/>
              <w:rPr>
                <w:rFonts w:ascii="Times New Roman" w:hAnsi="Times New Roman"/>
                <w:sz w:val="24"/>
              </w:rPr>
            </w:pPr>
            <w:r>
              <w:rPr>
                <w:rFonts w:ascii="Times New Roman" w:hAnsi="Times New Roman"/>
                <w:sz w:val="24"/>
              </w:rPr>
              <w:t>Az intézmények a 010/010. cellában a teljesítési határidőig ki nem egyenlített ügyletek összesített értékét tüntetik fel azok elfogadott teljesítési árfolyamán.</w:t>
            </w:r>
          </w:p>
          <w:p w:rsidR="00745369" w:rsidRPr="00392FFD" w:rsidRDefault="00612780" w:rsidP="00450A2E">
            <w:pPr>
              <w:spacing w:beforeLines="60" w:before="144"/>
              <w:rPr>
                <w:rFonts w:ascii="Times New Roman" w:hAnsi="Times New Roman"/>
                <w:sz w:val="24"/>
              </w:rPr>
            </w:pPr>
            <w:r>
              <w:rPr>
                <w:rFonts w:ascii="Times New Roman" w:hAnsi="Times New Roman"/>
                <w:sz w:val="24"/>
              </w:rPr>
              <w:lastRenderedPageBreak/>
              <w:t>Az intézmények a 010/020. cellában a nem teljesített, veszteséges ügyletekből eredő árkülönbözeti kitettségre vonatkozó összesített információkat tüntetik fel.</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Az intézmények a 010/030. cellában az összesített szavatolótőke-követelményt tüntetik fel, amely a teljesítési határidő után eltelt munkanapok száma szerinti szorzó és a 020. oszlopban megadott árkülönbözet szorzatából adódó, a ki nem egyenlített ügyletekre vonatkozó szavatolótőke-követelmény (a CRR 378. ci</w:t>
            </w:r>
            <w:r>
              <w:rPr>
                <w:rFonts w:ascii="Times New Roman" w:hAnsi="Times New Roman"/>
                <w:sz w:val="24"/>
              </w:rPr>
              <w:t>k</w:t>
            </w:r>
            <w:r>
              <w:rPr>
                <w:rFonts w:ascii="Times New Roman" w:hAnsi="Times New Roman"/>
                <w:sz w:val="24"/>
              </w:rPr>
              <w:t>kében található 1. táblázatban említett kategóriáknak megfelelően).</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020–060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Legfeljebb 4 napig ki nem egyenlített ügyletek (0 %-os szorzó)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5–15 napig ki nem egyenlített ügyletek (8 %-os szorzó)</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16–30 napig ki nem egyenlített ügyletek (50 %-os szorzó)</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31–45 napig ki nem egyenlített ügyletek (75 %-os szorzó)</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Legalább 46 napig ki nem egyenlített ügyletek (100 %-os szorzó)</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Az intézmények a 020–060. sorban a nem kereskedési könyvi pozíciókra vona</w:t>
            </w:r>
            <w:r>
              <w:rPr>
                <w:rFonts w:ascii="Times New Roman" w:hAnsi="Times New Roman"/>
                <w:sz w:val="24"/>
              </w:rPr>
              <w:t>t</w:t>
            </w:r>
            <w:r>
              <w:rPr>
                <w:rFonts w:ascii="Times New Roman" w:hAnsi="Times New Roman"/>
                <w:sz w:val="24"/>
              </w:rPr>
              <w:t xml:space="preserve">kozó elszámolási/teljesítési kockázattal kapcsolatos információkat a CRR 378. cikkében található 1. táblázatban említett kategóriák szerint tüntetik fel.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 teljesítési határidőt követően 5 munkanapnál rövidebb ideig ki nem egyenlített ügyletek esetében az elszámolási/teljesítési kockázatra nem vonatkozik szavatolótőke-követelmény.</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070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kereskedési könyvi ki nem egyenlített ügyletek összesen</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Az intézmények a 070-es sorban összesített információkat közölnek a keresk</w:t>
            </w:r>
            <w:r>
              <w:rPr>
                <w:rFonts w:ascii="Times New Roman" w:hAnsi="Times New Roman"/>
                <w:sz w:val="24"/>
              </w:rPr>
              <w:t>e</w:t>
            </w:r>
            <w:r>
              <w:rPr>
                <w:rFonts w:ascii="Times New Roman" w:hAnsi="Times New Roman"/>
                <w:sz w:val="24"/>
              </w:rPr>
              <w:t>dési könyvi pozíciók elszámolási/teljesítési kockázatával kapcsolatban (a CRR 92. cikke (3) bekezdése c) pontjának ii. alpontja, valamint 378. cikke szerint).</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Az intézmények a 070/010. cellában a teljesítési határidőig ki nem egyenlített ügyletek összesített értékét tüntetik fel azok elfogadott teljesítési árfolyamán.</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Az intézmények a 070/020. cellában a nem teljesített, veszteséges ügyletekből eredő árkülönbözeti kitettségre vonatkozó összesített információkat tüntetik fel.</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Az intézmények a 070/030. cellában az összesített szavatolótőke-követelményt tüntetik fel, amely a teljesítési határidő után eltelt munkanapok száma szerinti szorzó és a 020. oszlopban megadott árkülönbözet szorzatából adódó, a ki nem egyenlített ügyletekre vonatkozó szavatolótőke-követelmény (a CRR 378. ci</w:t>
            </w:r>
            <w:r>
              <w:rPr>
                <w:rFonts w:ascii="Times New Roman" w:hAnsi="Times New Roman"/>
                <w:sz w:val="24"/>
              </w:rPr>
              <w:t>k</w:t>
            </w:r>
            <w:r>
              <w:rPr>
                <w:rFonts w:ascii="Times New Roman" w:hAnsi="Times New Roman"/>
                <w:sz w:val="24"/>
              </w:rPr>
              <w:t>kében található 1. táblázatban említett kategóriáknak megfelelően).</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080–120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Legfeljebb 4 napig ki nem egyenlített ügyletek (0 %-os szorzó)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5–15 napig ki nem egyenlített ügyletek (8 %-os szorzó)</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16–30 napig ki nem egyenlített ügyletek (50 %-os szorzó)</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31–45 napig ki nem egyenlített ügyletek (75 %-os szorzó)</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Legalább 46 napig ki nem egyenlített ügyletek (100 %-os szorzó)</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Az intézmények a 080–120. sorban a kereskedési könyvi pozíciókra vonatkozó elszámolási/teljesítési kockázattal kapcsolatos információkat a CRR 378. cikk</w:t>
            </w:r>
            <w:r>
              <w:rPr>
                <w:rFonts w:ascii="Times New Roman" w:hAnsi="Times New Roman"/>
                <w:sz w:val="24"/>
              </w:rPr>
              <w:t>é</w:t>
            </w:r>
            <w:r>
              <w:rPr>
                <w:rFonts w:ascii="Times New Roman" w:hAnsi="Times New Roman"/>
                <w:sz w:val="24"/>
              </w:rPr>
              <w:lastRenderedPageBreak/>
              <w:t xml:space="preserve">ben található 1. táblázatban említett kategóriák szerint tüntetik fel. </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A teljesítési határidőt követően 5 munkanapnál rövidebb ideig ki nem egyenlített ügyletek esetében az elszámolási/teljesítési kockázatra nem vonatkozik szavatolótőke-követelmény.</w:t>
            </w:r>
          </w:p>
        </w:tc>
      </w:tr>
    </w:tbl>
    <w:p w:rsidR="00612780" w:rsidRPr="00392FFD" w:rsidRDefault="00612780" w:rsidP="00612780">
      <w:pPr>
        <w:spacing w:after="0"/>
        <w:rPr>
          <w:rFonts w:ascii="Times New Roman" w:hAnsi="Times New Roman"/>
          <w:sz w:val="24"/>
        </w:rPr>
      </w:pPr>
    </w:p>
    <w:p w:rsidR="00612780" w:rsidRPr="00392FFD" w:rsidRDefault="00612780">
      <w:pPr>
        <w:spacing w:before="0" w:after="0"/>
        <w:jc w:val="left"/>
        <w:rPr>
          <w:rStyle w:val="InstructionsTabelleText"/>
          <w:rFonts w:ascii="Times New Roman" w:hAnsi="Times New Roman"/>
          <w:sz w:val="24"/>
        </w:rPr>
      </w:pPr>
      <w:r>
        <w:br w:type="page"/>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1" w:name="_Toc310415038"/>
      <w:bookmarkStart w:id="442" w:name="_Toc360188375"/>
      <w:bookmarkStart w:id="443" w:name="_Toc516210661"/>
      <w:bookmarkStart w:id="444" w:name="_Toc473560926"/>
      <w:bookmarkStart w:id="445" w:name="_Toc524014720"/>
      <w:r>
        <w:rPr>
          <w:rFonts w:ascii="Times New Roman" w:hAnsi="Times New Roman"/>
          <w:sz w:val="24"/>
          <w:u w:val="none"/>
        </w:rPr>
        <w:lastRenderedPageBreak/>
        <w:t>3.7.</w:t>
      </w:r>
      <w:r w:rsidRPr="00F870AC">
        <w:rPr>
          <w:u w:val="none"/>
        </w:rPr>
        <w:tab/>
      </w:r>
      <w:r>
        <w:rPr>
          <w:rFonts w:ascii="Times New Roman" w:hAnsi="Times New Roman"/>
          <w:sz w:val="24"/>
        </w:rPr>
        <w:t>C 12.00 – Hitelkockázat: értékpapírosítás – a sztenderd módszer szerinti szavatolótőke-követelmény</w:t>
      </w:r>
      <w:bookmarkEnd w:id="441"/>
      <w:bookmarkEnd w:id="442"/>
      <w:r>
        <w:rPr>
          <w:rFonts w:ascii="Times New Roman" w:hAnsi="Times New Roman"/>
          <w:sz w:val="24"/>
        </w:rPr>
        <w:t xml:space="preserve"> (CR SEC SA)</w:t>
      </w:r>
      <w:bookmarkEnd w:id="443"/>
      <w:bookmarkEnd w:id="444"/>
      <w:bookmarkEnd w:id="445"/>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6" w:name="_Toc239157385"/>
      <w:bookmarkStart w:id="447" w:name="_Toc310415039"/>
      <w:bookmarkStart w:id="448" w:name="_Toc360188376"/>
      <w:bookmarkStart w:id="449" w:name="_Toc516210662"/>
      <w:bookmarkStart w:id="450" w:name="_Toc473560927"/>
      <w:bookmarkStart w:id="451" w:name="_Toc524014721"/>
      <w:r>
        <w:rPr>
          <w:rFonts w:ascii="Times New Roman" w:hAnsi="Times New Roman"/>
          <w:sz w:val="24"/>
          <w:u w:val="none"/>
        </w:rPr>
        <w:t>3.7.1.</w:t>
      </w:r>
      <w:r w:rsidRPr="00F870AC">
        <w:rPr>
          <w:u w:val="none"/>
        </w:rPr>
        <w:tab/>
      </w:r>
      <w:r>
        <w:rPr>
          <w:rFonts w:ascii="Times New Roman" w:hAnsi="Times New Roman"/>
          <w:sz w:val="24"/>
        </w:rPr>
        <w:t>Általános megjegyzések</w:t>
      </w:r>
      <w:bookmarkEnd w:id="446"/>
      <w:bookmarkEnd w:id="447"/>
      <w:bookmarkEnd w:id="448"/>
      <w:bookmarkEnd w:id="449"/>
      <w:bookmarkEnd w:id="450"/>
      <w:bookmarkEnd w:id="451"/>
    </w:p>
    <w:p w:rsidR="00C67004" w:rsidRDefault="00125707" w:rsidP="00C37B29">
      <w:pPr>
        <w:pStyle w:val="InstructionsText2"/>
        <w:numPr>
          <w:ilvl w:val="0"/>
          <w:numId w:val="0"/>
        </w:numPr>
        <w:ind w:left="993"/>
      </w:pPr>
      <w:r>
        <w:t>100.</w:t>
      </w:r>
      <w:r>
        <w:tab/>
        <w:t>Az e táblán szereplő információk megadása minden olyan értékpapírosításra vonatkozóan szükséges, amely jelentős kockázatátruházás elismerésével jár, és amelynél az adatszolgáltató intézmény a sztenderd módszer szerint kezelt értékp</w:t>
      </w:r>
      <w:r>
        <w:t>a</w:t>
      </w:r>
      <w:r>
        <w:t>pírosításban érintett. A 2019. január 1. utáni adatszolgáltatási időpontokban azokat az értékpapírosításokat, amelyeknek kockázattal súlyozott kitettségértéke a felü</w:t>
      </w:r>
      <w:r>
        <w:t>l</w:t>
      </w:r>
      <w:r>
        <w:t>vizsgált értékpapírosítási keret alapján került meghatározásra, ebben a táblában nem, csak a C 02.00 táblában kell feltüntetni. Ugyanígy a 2019. január 1. utáni adatszolgáltatási időpontokban azokat az értékpapírosítási pozíciókat, amelyekre a felülvizsgált értékpapírosítási keret szerint 1 250 %-os kockázati súly alkalmaza</w:t>
      </w:r>
      <w:r>
        <w:t>n</w:t>
      </w:r>
      <w:r>
        <w:t>dó, és amelyek a CRR 36. cikke (1) bekezdése k) pontjának ii. alpontja alapján l</w:t>
      </w:r>
      <w:r>
        <w:t>e</w:t>
      </w:r>
      <w:r>
        <w:t>vonásra kerülnek a CET1 tőkéből, ebben a táblában nem, csak a C 01.00 táblában kell feltüntetni.</w:t>
      </w:r>
    </w:p>
    <w:p w:rsidR="00C67004" w:rsidRDefault="00C67004" w:rsidP="00C37B29">
      <w:pPr>
        <w:pStyle w:val="InstructionsText2"/>
        <w:numPr>
          <w:ilvl w:val="0"/>
          <w:numId w:val="0"/>
        </w:numPr>
        <w:ind w:left="993"/>
      </w:pPr>
      <w:r>
        <w:t>100a. E tábla alkalmazásában a CRR harmadik része, II. címe 5. fejezetének cikke</w:t>
      </w:r>
      <w:r>
        <w:t>i</w:t>
      </w:r>
      <w:r>
        <w:t>re való hivatkozások a CRR 2018. december 31-én alkalmazandó változatára való hivatkozásként értendők.</w:t>
      </w:r>
    </w:p>
    <w:p w:rsidR="00612780" w:rsidRPr="00392FFD" w:rsidRDefault="00C67004" w:rsidP="00C37B29">
      <w:pPr>
        <w:pStyle w:val="InstructionsText2"/>
        <w:numPr>
          <w:ilvl w:val="0"/>
          <w:numId w:val="0"/>
        </w:numPr>
        <w:ind w:left="993"/>
      </w:pPr>
      <w:r>
        <w:t>100b. A feltüntetendő információk az intézménynek az értékpapírosításban betöltött szerepétől függnek. Így külön adatszolgáltatási tételek vonatkoznak az értékpapír</w:t>
      </w:r>
      <w:r>
        <w:t>o</w:t>
      </w:r>
      <w:r>
        <w:t>sítást kezdeményezőkre, a szponzorokra és a befektetőkre.</w:t>
      </w:r>
    </w:p>
    <w:p w:rsidR="00612780" w:rsidRPr="00392FFD" w:rsidRDefault="00125707" w:rsidP="00C37B29">
      <w:pPr>
        <w:pStyle w:val="InstructionsText2"/>
        <w:numPr>
          <w:ilvl w:val="0"/>
          <w:numId w:val="0"/>
        </w:numPr>
        <w:ind w:left="993"/>
      </w:pPr>
      <w:r>
        <w:t>101.</w:t>
      </w:r>
      <w:r>
        <w:tab/>
        <w:t>A CR SEC SA tábla összesített információkat gyűjt a banki könyvben nyilvá</w:t>
      </w:r>
      <w:r>
        <w:t>n</w:t>
      </w:r>
      <w:r>
        <w:t>tartott, a CRR 242. cikkének 10. és 11. pontjában meghatározott hagyományos és szintetikus értékpapírosításokról.</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2" w:name="_Toc239157386"/>
      <w:bookmarkStart w:id="453" w:name="_Toc310415040"/>
      <w:bookmarkStart w:id="454" w:name="_Toc360188377"/>
      <w:bookmarkStart w:id="455" w:name="_Toc516210663"/>
      <w:bookmarkStart w:id="456" w:name="_Toc473560928"/>
      <w:bookmarkStart w:id="457" w:name="_Toc524014722"/>
      <w:r>
        <w:rPr>
          <w:rFonts w:ascii="Times New Roman" w:hAnsi="Times New Roman"/>
          <w:sz w:val="24"/>
          <w:u w:val="none"/>
        </w:rPr>
        <w:t>3.7.2.</w:t>
      </w:r>
      <w:r w:rsidRPr="00F870AC">
        <w:rPr>
          <w:u w:val="none"/>
        </w:rPr>
        <w:tab/>
      </w:r>
      <w:r>
        <w:rPr>
          <w:rFonts w:ascii="Times New Roman" w:hAnsi="Times New Roman"/>
          <w:sz w:val="24"/>
        </w:rPr>
        <w:t>A tábla egyes részeire vonatkozó útmutató</w:t>
      </w:r>
      <w:bookmarkEnd w:id="452"/>
      <w:bookmarkEnd w:id="453"/>
      <w:bookmarkEnd w:id="454"/>
      <w:bookmarkEnd w:id="455"/>
      <w:bookmarkEnd w:id="456"/>
      <w:bookmarkEnd w:id="457"/>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rsidTr="00672D2A">
        <w:tc>
          <w:tcPr>
            <w:tcW w:w="8957"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Oszlopok</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856" w:type="dxa"/>
          </w:tcPr>
          <w:p w:rsidR="00612780" w:rsidRPr="00392FFD" w:rsidRDefault="00612780" w:rsidP="00612780">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ÉRTÉKPAPÍROSÍTÁSRA KERÜLŐ KITETTSÉGEK ÖSSZÉRTÉKE</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értékpapírosítást kezdeményező intézményeknek a pozíciót tartó személy</w:t>
            </w:r>
            <w:r>
              <w:rPr>
                <w:rFonts w:ascii="Times New Roman" w:hAnsi="Times New Roman"/>
                <w:sz w:val="24"/>
              </w:rPr>
              <w:t>é</w:t>
            </w:r>
            <w:r>
              <w:rPr>
                <w:rFonts w:ascii="Times New Roman" w:hAnsi="Times New Roman"/>
                <w:sz w:val="24"/>
              </w:rPr>
              <w:t>től függetlenül az értékpapírosítási ügyletből eredő valamennyi aktuális értékpapírosítási kitettségre vonatkozóan jelenteniük kell az adatszolgáltatás időpontjában fennálló összeget. Így fel kell tüntetni az értékpapírosításból er</w:t>
            </w:r>
            <w:r>
              <w:rPr>
                <w:rFonts w:ascii="Times New Roman" w:hAnsi="Times New Roman"/>
                <w:sz w:val="24"/>
              </w:rPr>
              <w:t>e</w:t>
            </w:r>
            <w:r>
              <w:rPr>
                <w:rFonts w:ascii="Times New Roman" w:hAnsi="Times New Roman"/>
                <w:sz w:val="24"/>
              </w:rPr>
              <w:t>dő mérlegen belüli értékpapírosítási kitettségeket (pl. kötvényeket, alárendelt kölcsönöket), valamint a mérlegen kívüli kitettségeket és származtatott ügyl</w:t>
            </w:r>
            <w:r>
              <w:rPr>
                <w:rFonts w:ascii="Times New Roman" w:hAnsi="Times New Roman"/>
                <w:sz w:val="24"/>
              </w:rPr>
              <w:t>e</w:t>
            </w:r>
            <w:r>
              <w:rPr>
                <w:rFonts w:ascii="Times New Roman" w:hAnsi="Times New Roman"/>
                <w:sz w:val="24"/>
              </w:rPr>
              <w:t>teket (pl. alárendelt hitelkereteket, likviditási hitelkereteket, kamatcsereügyleteket, hitel-nemte</w:t>
            </w:r>
            <w:r w:rsidR="00F870AC">
              <w:rPr>
                <w:rFonts w:ascii="Times New Roman" w:hAnsi="Times New Roman"/>
                <w:sz w:val="24"/>
              </w:rPr>
              <w:t>ljesítési csereügyleteket stb.)</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Azoknál a hagyományos értékpapírosításoknál, amelyeknél az értékpapírosítást kezdeményező nem rendelkezik pozícióval, az értékpapírosítást kezdeményező az értékpapírosítást nem veheti figyelembe a CR SEC SA vagy CR SEC IRB táblán történő adatszolgáltatás során. E tekintetben az értékpapírosítást kezd</w:t>
            </w:r>
            <w:r>
              <w:rPr>
                <w:rFonts w:ascii="Times New Roman" w:hAnsi="Times New Roman"/>
                <w:sz w:val="24"/>
              </w:rPr>
              <w:t>e</w:t>
            </w:r>
            <w:r>
              <w:rPr>
                <w:rFonts w:ascii="Times New Roman" w:hAnsi="Times New Roman"/>
                <w:sz w:val="24"/>
              </w:rPr>
              <w:t>ményező értékpapírosítási pozíciói a CRR 242. cikkének 12. pontjában megh</w:t>
            </w:r>
            <w:r>
              <w:rPr>
                <w:rFonts w:ascii="Times New Roman" w:hAnsi="Times New Roman"/>
                <w:sz w:val="24"/>
              </w:rPr>
              <w:t>a</w:t>
            </w:r>
            <w:r>
              <w:rPr>
                <w:rFonts w:ascii="Times New Roman" w:hAnsi="Times New Roman"/>
                <w:sz w:val="24"/>
              </w:rPr>
              <w:lastRenderedPageBreak/>
              <w:t>tározott rulírozó kitettség értékpapírosítására vonatkozó gyorsított visszafiz</w:t>
            </w:r>
            <w:r>
              <w:rPr>
                <w:rFonts w:ascii="Times New Roman" w:hAnsi="Times New Roman"/>
                <w:sz w:val="24"/>
              </w:rPr>
              <w:t>e</w:t>
            </w:r>
            <w:r>
              <w:rPr>
                <w:rFonts w:ascii="Times New Roman" w:hAnsi="Times New Roman"/>
                <w:sz w:val="24"/>
              </w:rPr>
              <w:t>tést biztosító rendelkezéseket foglalják magukban.</w:t>
            </w:r>
          </w:p>
          <w:p w:rsidR="00612780" w:rsidRPr="00392FFD" w:rsidRDefault="00612780" w:rsidP="009E5DCC">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SZINTETIKUS ÉRTÉKPAPÍROSÍTÁS: ÉRTÉKPAPÍROSÍTOTT K</w:t>
            </w:r>
            <w:r>
              <w:rPr>
                <w:rFonts w:ascii="Times New Roman" w:hAnsi="Times New Roman"/>
                <w:b/>
                <w:sz w:val="24"/>
                <w:u w:val="single"/>
              </w:rPr>
              <w:t>I</w:t>
            </w:r>
            <w:r>
              <w:rPr>
                <w:rFonts w:ascii="Times New Roman" w:hAnsi="Times New Roman"/>
                <w:b/>
                <w:sz w:val="24"/>
                <w:u w:val="single"/>
              </w:rPr>
              <w:t>TETTSÉGEK HITELKOCKÁZATI FEDEZETE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CRR 249. és 250. cikkének rendelkezései alapján az értékpapírosított kitet</w:t>
            </w:r>
            <w:r>
              <w:rPr>
                <w:rFonts w:ascii="Times New Roman" w:hAnsi="Times New Roman"/>
                <w:sz w:val="24"/>
              </w:rPr>
              <w:t>t</w:t>
            </w:r>
            <w:r>
              <w:rPr>
                <w:rFonts w:ascii="Times New Roman" w:hAnsi="Times New Roman"/>
                <w:sz w:val="24"/>
              </w:rPr>
              <w:t>ségek hitelkockázati fedezetét úgy kell megállapítani, mintha lejárati eltérés nem állna fenn.</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56"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ELŐRE RENDELKEZÉSRE BOCSÁTOTT HITELKOCKÁZATI FEDEZET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biztosítéknak az ebben az oszlopban feltüntetendő volatilitással korrigált é</w:t>
            </w:r>
            <w:r>
              <w:rPr>
                <w:rFonts w:ascii="Times New Roman" w:hAnsi="Times New Roman"/>
                <w:sz w:val="24"/>
              </w:rPr>
              <w:t>r</w:t>
            </w:r>
            <w:r>
              <w:rPr>
                <w:rFonts w:ascii="Times New Roman" w:hAnsi="Times New Roman"/>
                <w:sz w:val="24"/>
              </w:rPr>
              <w:t>tékére (C</w:t>
            </w:r>
            <w:r>
              <w:rPr>
                <w:rFonts w:ascii="Times New Roman" w:hAnsi="Times New Roman"/>
                <w:sz w:val="24"/>
                <w:vertAlign w:val="subscript"/>
              </w:rPr>
              <w:t>VA</w:t>
            </w:r>
            <w:r>
              <w:rPr>
                <w:rFonts w:ascii="Times New Roman" w:hAnsi="Times New Roman"/>
                <w:sz w:val="24"/>
              </w:rPr>
              <w:t>) vonatkozó részletes számítási eljárást a CRR 223. cikkének (2) bekezdése rögzíti.</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KIÁRAMLÁSOK ÖSSZESEN: ELŐRE NEM RENDELKEZÉSRE BOCSÁTOTT HITELKOCKÁZATI FEDEZET: KORRIGÁLT ÉRT</w:t>
            </w:r>
            <w:r>
              <w:rPr>
                <w:rFonts w:ascii="Times New Roman" w:hAnsi="Times New Roman"/>
                <w:b/>
                <w:sz w:val="24"/>
                <w:u w:val="single"/>
              </w:rPr>
              <w:t>É</w:t>
            </w:r>
            <w:r>
              <w:rPr>
                <w:rFonts w:ascii="Times New Roman" w:hAnsi="Times New Roman"/>
                <w:b/>
                <w:sz w:val="24"/>
                <w:u w:val="single"/>
              </w:rPr>
              <w:t xml:space="preserve">KEK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be- és kiáramlások általános szabálya szerint az ebben az oszlopban feltünt</w:t>
            </w:r>
            <w:r>
              <w:rPr>
                <w:rFonts w:ascii="Times New Roman" w:hAnsi="Times New Roman"/>
                <w:sz w:val="24"/>
              </w:rPr>
              <w:t>e</w:t>
            </w:r>
            <w:r>
              <w:rPr>
                <w:rFonts w:ascii="Times New Roman" w:hAnsi="Times New Roman"/>
                <w:sz w:val="24"/>
              </w:rPr>
              <w:t>tett összegek a megfelelő hitelkockázati táblán (CR SA vagy CR IRB), val</w:t>
            </w:r>
            <w:r>
              <w:rPr>
                <w:rFonts w:ascii="Times New Roman" w:hAnsi="Times New Roman"/>
                <w:sz w:val="24"/>
              </w:rPr>
              <w:t>a</w:t>
            </w:r>
            <w:r>
              <w:rPr>
                <w:rFonts w:ascii="Times New Roman" w:hAnsi="Times New Roman"/>
                <w:sz w:val="24"/>
              </w:rPr>
              <w:t>mint a fedezetnyújtóhoz (vagyis ahhoz a harmadik félhez, amelynek az ügyletrészsorozatot az előre nem rendelkezésre bocsátott hitelkockázati fedezet útján átadják) tartozó kitettségi osztályban beáramlásként jelennek meg.</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hitelkockázati fedezet devizaárfolyam-kockázattal korrigált értékére (G*) vonatkozó részletes számítási eljárást a CRR 233. cikkének (3) bekezdése rö</w:t>
            </w:r>
            <w:r>
              <w:rPr>
                <w:rFonts w:ascii="Times New Roman" w:hAnsi="Times New Roman"/>
                <w:sz w:val="24"/>
              </w:rPr>
              <w:t>g</w:t>
            </w:r>
            <w:r>
              <w:rPr>
                <w:rFonts w:ascii="Times New Roman" w:hAnsi="Times New Roman"/>
                <w:sz w:val="24"/>
              </w:rPr>
              <w:t>zíti.</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 VISSZATARTOTT VAGY VISSZAVÁSÁROLT HITELKOCKÁZATI FEDEZET NÉVLEGES ÖSSZEGE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Valamennyi visszatartott vagy visszavásárolt ügyletrészsorozatot, pl. a vissz</w:t>
            </w:r>
            <w:r>
              <w:rPr>
                <w:rFonts w:ascii="Times New Roman" w:hAnsi="Times New Roman"/>
                <w:sz w:val="24"/>
              </w:rPr>
              <w:t>a</w:t>
            </w:r>
            <w:r>
              <w:rPr>
                <w:rFonts w:ascii="Times New Roman" w:hAnsi="Times New Roman"/>
                <w:sz w:val="24"/>
              </w:rPr>
              <w:t>tartott, első veszteségviselő kategóriába tartozó pozíciókat névleges összegen kell feltüntetni.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hitelkockázati fedezet visszatartott vagy visszavásárolt összegének kiszám</w:t>
            </w:r>
            <w:r>
              <w:rPr>
                <w:rFonts w:ascii="Times New Roman" w:hAnsi="Times New Roman"/>
                <w:sz w:val="24"/>
              </w:rPr>
              <w:t>í</w:t>
            </w:r>
            <w:r>
              <w:rPr>
                <w:rFonts w:ascii="Times New Roman" w:hAnsi="Times New Roman"/>
                <w:sz w:val="24"/>
              </w:rPr>
              <w:t>tásakor nem vehető figyelembe a hitelkockázati fedezetben végrehajtott fel</w:t>
            </w:r>
            <w:r>
              <w:rPr>
                <w:rFonts w:ascii="Times New Roman" w:hAnsi="Times New Roman"/>
                <w:sz w:val="24"/>
              </w:rPr>
              <w:t>ü</w:t>
            </w:r>
            <w:r>
              <w:rPr>
                <w:rFonts w:ascii="Times New Roman" w:hAnsi="Times New Roman"/>
                <w:sz w:val="24"/>
              </w:rPr>
              <w:t>gyeleti korrekció hatása.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856" w:type="dxa"/>
          </w:tcPr>
          <w:p w:rsidR="00612780" w:rsidRPr="00672D2A" w:rsidRDefault="00612780" w:rsidP="00612780">
            <w:pPr>
              <w:spacing w:before="0" w:after="0"/>
              <w:jc w:val="left"/>
              <w:rPr>
                <w:rFonts w:ascii="Times New Roman" w:hAnsi="Times New Roman"/>
                <w:b/>
                <w:sz w:val="24"/>
                <w:u w:val="single"/>
              </w:rPr>
            </w:pPr>
            <w:r>
              <w:rPr>
                <w:rFonts w:ascii="Times New Roman" w:hAnsi="Times New Roman"/>
                <w:b/>
                <w:sz w:val="24"/>
                <w:u w:val="single"/>
              </w:rPr>
              <w:t>ÉRTÉKPAPÍROSÍTÁSI POZÍCIÓK: HITEL-EGYENÉRTÉKESÍTÉSI TÉNYEZŐK ELŐTTI EREDETI KITETTSÉG</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adatszolgáltató intézmény által tartott, a CRR 246. cikke (1) bekezdésének a), c) és e) pontja és (2) bekezdése alapján számított értékpapírosítási pozíciók a hitel-egyenértékesítési tényezők alkalmazása, valamint a hitelkockázati k</w:t>
            </w:r>
            <w:r>
              <w:rPr>
                <w:rFonts w:ascii="Times New Roman" w:hAnsi="Times New Roman"/>
                <w:sz w:val="24"/>
              </w:rPr>
              <w:t>i</w:t>
            </w:r>
            <w:r>
              <w:rPr>
                <w:rFonts w:ascii="Times New Roman" w:hAnsi="Times New Roman"/>
                <w:sz w:val="24"/>
              </w:rPr>
              <w:t>igazítások és a céltartalékok levonása nélkül. Nettósítás kizárólag akkor alka</w:t>
            </w:r>
            <w:r>
              <w:rPr>
                <w:rFonts w:ascii="Times New Roman" w:hAnsi="Times New Roman"/>
                <w:sz w:val="24"/>
              </w:rPr>
              <w:t>l</w:t>
            </w:r>
            <w:r>
              <w:rPr>
                <w:rFonts w:ascii="Times New Roman" w:hAnsi="Times New Roman"/>
                <w:sz w:val="24"/>
              </w:rPr>
              <w:lastRenderedPageBreak/>
              <w:t>mazható, ha egy különleges célú gazdasági egységnek (SSPE) egy elismert nettósítási megállapodás keretében több származtatott ügylete áll fenn.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ebben az oszlopban feltüntetendő értékelési korrekciók és céltartalékok k</w:t>
            </w:r>
            <w:r>
              <w:rPr>
                <w:rFonts w:ascii="Times New Roman" w:hAnsi="Times New Roman"/>
                <w:sz w:val="24"/>
              </w:rPr>
              <w:t>i</w:t>
            </w:r>
            <w:r>
              <w:rPr>
                <w:rFonts w:ascii="Times New Roman" w:hAnsi="Times New Roman"/>
                <w:sz w:val="24"/>
              </w:rPr>
              <w:t>zárólag az értékpapírosítási pozíciókra vonatkoznak. Az értékpapírosított poz</w:t>
            </w:r>
            <w:r>
              <w:rPr>
                <w:rFonts w:ascii="Times New Roman" w:hAnsi="Times New Roman"/>
                <w:sz w:val="24"/>
              </w:rPr>
              <w:t>í</w:t>
            </w:r>
            <w:r>
              <w:rPr>
                <w:rFonts w:ascii="Times New Roman" w:hAnsi="Times New Roman"/>
                <w:sz w:val="24"/>
              </w:rPr>
              <w:t>ciók értékelési korrekciója nem vehető figyelembe.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gyorsított visszafizetést biztosító rendelkezések esetében az intézményeknek meg kell adniuk a CRR 256. cikkének (2) bekezdése szerint az értékpapíros</w:t>
            </w:r>
            <w:r>
              <w:rPr>
                <w:rFonts w:ascii="Times New Roman" w:hAnsi="Times New Roman"/>
                <w:sz w:val="24"/>
              </w:rPr>
              <w:t>í</w:t>
            </w:r>
            <w:r>
              <w:rPr>
                <w:rFonts w:ascii="Times New Roman" w:hAnsi="Times New Roman"/>
                <w:sz w:val="24"/>
              </w:rPr>
              <w:t xml:space="preserve">tást kezdeményezőre jutó rész összegét.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szintetikus értékpapírosításoknál az értékpapírosítást kezdeményező által mérlegtételek és/vagy befektetői érdekeltség (gyorsított visszafizetés) formáj</w:t>
            </w:r>
            <w:r>
              <w:rPr>
                <w:rFonts w:ascii="Times New Roman" w:hAnsi="Times New Roman"/>
                <w:sz w:val="24"/>
              </w:rPr>
              <w:t>á</w:t>
            </w:r>
            <w:r>
              <w:rPr>
                <w:rFonts w:ascii="Times New Roman" w:hAnsi="Times New Roman"/>
                <w:sz w:val="24"/>
              </w:rPr>
              <w:t>ban tartott pozíciók értéke a 010–040. oszlopok összesítéséből adódik.</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ÉRTÉKELÉSI KORREKCIÓK </w:t>
            </w:r>
            <w:proofErr w:type="gramStart"/>
            <w:r>
              <w:rPr>
                <w:rFonts w:ascii="Times New Roman" w:hAnsi="Times New Roman"/>
                <w:b/>
                <w:sz w:val="24"/>
                <w:u w:val="single"/>
              </w:rPr>
              <w:t>ÉS</w:t>
            </w:r>
            <w:proofErr w:type="gramEnd"/>
            <w:r>
              <w:rPr>
                <w:rFonts w:ascii="Times New Roman" w:hAnsi="Times New Roman"/>
                <w:b/>
                <w:sz w:val="24"/>
                <w:u w:val="single"/>
              </w:rPr>
              <w:t xml:space="preserve"> CÉLTARTALÉKOK </w:t>
            </w:r>
          </w:p>
          <w:p w:rsidR="00612780" w:rsidRPr="00392FFD" w:rsidRDefault="00612780" w:rsidP="00612780">
            <w:pPr>
              <w:pStyle w:val="ListParagraph"/>
              <w:spacing w:before="0" w:after="0"/>
              <w:ind w:left="284" w:hanging="284"/>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adatszolgáltató intézményre alkalmazandó számviteli szabályozásnak me</w:t>
            </w:r>
            <w:r>
              <w:rPr>
                <w:rFonts w:ascii="Times New Roman" w:hAnsi="Times New Roman"/>
                <w:sz w:val="24"/>
              </w:rPr>
              <w:t>g</w:t>
            </w:r>
            <w:r>
              <w:rPr>
                <w:rFonts w:ascii="Times New Roman" w:hAnsi="Times New Roman"/>
                <w:sz w:val="24"/>
              </w:rPr>
              <w:t>felelő értékelési korrekciók és hitelveszteségre képzett céltartalékok (a CRR 159. cikke). Az értékelési korrekciók magukban foglalják a pénzügyi eszköz</w:t>
            </w:r>
            <w:r>
              <w:rPr>
                <w:rFonts w:ascii="Times New Roman" w:hAnsi="Times New Roman"/>
                <w:sz w:val="24"/>
              </w:rPr>
              <w:t>ö</w:t>
            </w:r>
            <w:r>
              <w:rPr>
                <w:rFonts w:ascii="Times New Roman" w:hAnsi="Times New Roman"/>
                <w:sz w:val="24"/>
              </w:rPr>
              <w:t>kön a mérlegben történő kezdeti megjelenítésük óta keletkezett hitelvesztesé</w:t>
            </w:r>
            <w:r>
              <w:rPr>
                <w:rFonts w:ascii="Times New Roman" w:hAnsi="Times New Roman"/>
                <w:sz w:val="24"/>
              </w:rPr>
              <w:t>g</w:t>
            </w:r>
            <w:r>
              <w:rPr>
                <w:rFonts w:ascii="Times New Roman" w:hAnsi="Times New Roman"/>
                <w:sz w:val="24"/>
              </w:rPr>
              <w:t>nek az eredményben elszámolt összegét (ideértve a valós értéken értékelt pénzügyi eszközök hitelkockázatából eredő, a kitettségértékből nem levonható veszteségeket), valamint a CRR 166. cikkének (1) bekezdése szerint nemteljesítőként megvásárolt kitettségekre kapott kedvezményeket. A céltart</w:t>
            </w:r>
            <w:r>
              <w:rPr>
                <w:rFonts w:ascii="Times New Roman" w:hAnsi="Times New Roman"/>
                <w:sz w:val="24"/>
              </w:rPr>
              <w:t>a</w:t>
            </w:r>
            <w:r>
              <w:rPr>
                <w:rFonts w:ascii="Times New Roman" w:hAnsi="Times New Roman"/>
                <w:sz w:val="24"/>
              </w:rPr>
              <w:t>lékok a mérlegen kívüli tételeken keletkezett hitelveszteségek halmozott ö</w:t>
            </w:r>
            <w:r>
              <w:rPr>
                <w:rFonts w:ascii="Times New Roman" w:hAnsi="Times New Roman"/>
                <w:sz w:val="24"/>
              </w:rPr>
              <w:t>s</w:t>
            </w:r>
            <w:r>
              <w:rPr>
                <w:rFonts w:ascii="Times New Roman" w:hAnsi="Times New Roman"/>
                <w:sz w:val="24"/>
              </w:rPr>
              <w:t>szegét foglalják magukban.</w:t>
            </w:r>
          </w:p>
          <w:p w:rsidR="00612780" w:rsidRPr="00392FFD" w:rsidRDefault="00612780" w:rsidP="00612780">
            <w:pPr>
              <w:pStyle w:val="ListParagraph"/>
              <w:spacing w:before="0" w:after="0"/>
              <w:ind w:left="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ÉRTÉKELÉSI KORREKCIÓKKAL </w:t>
            </w:r>
            <w:proofErr w:type="gramStart"/>
            <w:r>
              <w:rPr>
                <w:rFonts w:ascii="Times New Roman" w:hAnsi="Times New Roman"/>
                <w:b/>
                <w:sz w:val="24"/>
                <w:u w:val="single"/>
              </w:rPr>
              <w:t>ÉS</w:t>
            </w:r>
            <w:proofErr w:type="gramEnd"/>
            <w:r>
              <w:rPr>
                <w:rFonts w:ascii="Times New Roman" w:hAnsi="Times New Roman"/>
                <w:b/>
                <w:sz w:val="24"/>
                <w:u w:val="single"/>
              </w:rPr>
              <w:t xml:space="preserve"> CÉLTARTALÉKOKKAL CSÖKKENTETT KITETTSÉG</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CRR 246. cikkének (1) és (2) bekezdése alapján számított értékpapírosítási pozíciók a hitel-egyenértékesítési tényezők figyelembevétele nélkül.</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Ez az információ a CR SA Total tábla 040-es oszlopához kapcsolódik.</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080-110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 KITETTSÉGRE HELYETTESÍTÉSI HATÁSSAL JÁRÓ HITE</w:t>
            </w:r>
            <w:r>
              <w:rPr>
                <w:rFonts w:ascii="Times New Roman" w:hAnsi="Times New Roman"/>
                <w:b/>
                <w:sz w:val="24"/>
                <w:u w:val="single"/>
              </w:rPr>
              <w:t>L</w:t>
            </w:r>
            <w:r>
              <w:rPr>
                <w:rFonts w:ascii="Times New Roman" w:hAnsi="Times New Roman"/>
                <w:b/>
                <w:sz w:val="24"/>
                <w:u w:val="single"/>
              </w:rPr>
              <w:t>KOCKÁZAT-MÉRSÉKLÉSI (CRM) TECHNIKÁK</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A CRR 4. cikke (1) bekezdésének 57. pontja, valamint harmadik része II. c</w:t>
            </w:r>
            <w:r>
              <w:rPr>
                <w:rFonts w:ascii="Times New Roman" w:hAnsi="Times New Roman"/>
                <w:sz w:val="24"/>
              </w:rPr>
              <w:t>í</w:t>
            </w:r>
            <w:r>
              <w:rPr>
                <w:rFonts w:ascii="Times New Roman" w:hAnsi="Times New Roman"/>
                <w:sz w:val="24"/>
              </w:rPr>
              <w:t>mének 4. fejezete.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Ez az oszlopcsoport az olyan hitelkockázat-mérséklési technikákról gyűjt i</w:t>
            </w:r>
            <w:r>
              <w:rPr>
                <w:rFonts w:ascii="Times New Roman" w:hAnsi="Times New Roman"/>
                <w:sz w:val="24"/>
              </w:rPr>
              <w:t>n</w:t>
            </w:r>
            <w:r>
              <w:rPr>
                <w:rFonts w:ascii="Times New Roman" w:hAnsi="Times New Roman"/>
                <w:sz w:val="24"/>
              </w:rPr>
              <w:t>formációkat, amelyek egy vagy több kitettség hitelkockázatát csökkentik a k</w:t>
            </w:r>
            <w:r>
              <w:rPr>
                <w:rFonts w:ascii="Times New Roman" w:hAnsi="Times New Roman"/>
                <w:sz w:val="24"/>
              </w:rPr>
              <w:t>i</w:t>
            </w:r>
            <w:r>
              <w:rPr>
                <w:rFonts w:ascii="Times New Roman" w:hAnsi="Times New Roman"/>
                <w:sz w:val="24"/>
              </w:rPr>
              <w:t>tettségeknek az alább a be- és kiáramlásokra vonatkozóan meghatározott h</w:t>
            </w:r>
            <w:r>
              <w:rPr>
                <w:rFonts w:ascii="Times New Roman" w:hAnsi="Times New Roman"/>
                <w:sz w:val="24"/>
              </w:rPr>
              <w:t>e</w:t>
            </w:r>
            <w:r>
              <w:rPr>
                <w:rFonts w:ascii="Times New Roman" w:hAnsi="Times New Roman"/>
                <w:sz w:val="24"/>
              </w:rPr>
              <w:t>lyettesítésével.</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bookmarkStart w:id="458" w:name="_Toc262228334"/>
            <w:r>
              <w:rPr>
                <w:rFonts w:ascii="Times New Roman" w:hAnsi="Times New Roman"/>
                <w:sz w:val="24"/>
              </w:rPr>
              <w:t>Lásd a CR SA táblához tartozó útmutatót (a helyettesítési hatással járó CRM-technikákkal kapcsolatos adatszolgáltatás</w:t>
            </w:r>
            <w:bookmarkEnd w:id="458"/>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080</w:t>
            </w:r>
          </w:p>
        </w:tc>
        <w:tc>
          <w:tcPr>
            <w:tcW w:w="7856" w:type="dxa"/>
          </w:tcPr>
          <w:p w:rsidR="00612780" w:rsidRPr="00392FFD" w:rsidRDefault="003300FF" w:rsidP="00612780">
            <w:pPr>
              <w:spacing w:before="0" w:after="0"/>
              <w:jc w:val="left"/>
              <w:rPr>
                <w:rFonts w:ascii="Times New Roman" w:hAnsi="Times New Roman"/>
                <w:b/>
                <w:sz w:val="24"/>
                <w:u w:val="single"/>
              </w:rPr>
            </w:pPr>
            <w:r>
              <w:rPr>
                <w:rFonts w:ascii="Times New Roman" w:hAnsi="Times New Roman"/>
                <w:b/>
                <w:sz w:val="24"/>
                <w:u w:val="single"/>
              </w:rPr>
              <w:t>(–) ELŐRE NEM RENDELKEZÉSRE BOCSÁTOTT HITELKOCK</w:t>
            </w:r>
            <w:r>
              <w:rPr>
                <w:rFonts w:ascii="Times New Roman" w:hAnsi="Times New Roman"/>
                <w:b/>
                <w:sz w:val="24"/>
                <w:u w:val="single"/>
              </w:rPr>
              <w:t>Á</w:t>
            </w:r>
            <w:r>
              <w:rPr>
                <w:rFonts w:ascii="Times New Roman" w:hAnsi="Times New Roman"/>
                <w:b/>
                <w:sz w:val="24"/>
                <w:u w:val="single"/>
              </w:rPr>
              <w:t>ZATI FEDEZET: KORRIGÁLT ÉRTÉKEK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előre nem rendelkezésre bocsátott hitelkockázati fedezet meghatározása a CRR 4. cikke (1) bekezdésének 59. pontjában, szabályozása a CRR 235. ci</w:t>
            </w:r>
            <w:r>
              <w:rPr>
                <w:rFonts w:ascii="Times New Roman" w:hAnsi="Times New Roman"/>
                <w:sz w:val="24"/>
              </w:rPr>
              <w:t>k</w:t>
            </w:r>
            <w:r>
              <w:rPr>
                <w:rFonts w:ascii="Times New Roman" w:hAnsi="Times New Roman"/>
                <w:sz w:val="24"/>
              </w:rPr>
              <w:t>kében található.</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Lásd a CR SA táblához tartozó útmutatót (a helyettesítési hatással járó CRM-technikákkal kapcsolatos adatszolgáltatás).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56" w:type="dxa"/>
          </w:tcPr>
          <w:p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rPr>
            </w:pPr>
            <w:r>
              <w:rPr>
                <w:rFonts w:ascii="Times New Roman" w:hAnsi="Times New Roman"/>
                <w:b/>
                <w:sz w:val="24"/>
                <w:u w:val="single"/>
              </w:rPr>
              <w:t>(–) ELŐRE RENDELKEZÉSRE BOCSÁTOTT HITELKOCKÁZATI FEDEZET</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előre rendelkezésre bocsátott hitelkockázati fedezet meghatározása a CRR 4. cikke (1) bekezdésének 58. pontjában, szabályozása a CRR 195., 197. és 200. cikkében található.</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CRR 218–236. cikkében szabályozott hitelkockázati eseményhez kapcsolt értékpapírokat és mérlegen belüli nettósítási pozíciókat készpénzbiztosítékként kell kezelni.</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Lásd a CR SA táblához tartozó útmutatót (a helyettesítési hatással járó CRM-technikákkal kapcsolatos adatszolgáltatás).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b/>
                <w:sz w:val="24"/>
                <w:u w:val="single"/>
              </w:rPr>
              <w:t>A KITETTSÉG HITELKOCKÁZAT-MÉRSÉKLÉS MIATTI HELYE</w:t>
            </w:r>
            <w:r>
              <w:rPr>
                <w:rFonts w:ascii="Times New Roman" w:hAnsi="Times New Roman"/>
                <w:b/>
                <w:sz w:val="24"/>
                <w:u w:val="single"/>
              </w:rPr>
              <w:t>T</w:t>
            </w:r>
            <w:r>
              <w:rPr>
                <w:rFonts w:ascii="Times New Roman" w:hAnsi="Times New Roman"/>
                <w:b/>
                <w:sz w:val="24"/>
                <w:u w:val="single"/>
              </w:rPr>
              <w:t xml:space="preserve">TESÍTÉSE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Az azonos kitettségi osztályba, illetve adott esetben kockázatisúly- vagy üg</w:t>
            </w:r>
            <w:r>
              <w:rPr>
                <w:rFonts w:ascii="Times New Roman" w:hAnsi="Times New Roman"/>
                <w:sz w:val="24"/>
              </w:rPr>
              <w:t>y</w:t>
            </w:r>
            <w:r>
              <w:rPr>
                <w:rFonts w:ascii="Times New Roman" w:hAnsi="Times New Roman"/>
                <w:sz w:val="24"/>
              </w:rPr>
              <w:t>fél-kategóriába tartozó be- és kiáramlásokat szintén fel kell tüntetni.</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KIÁRAMLÁSOK ÖSSZESEN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222. cikk (3) bekezdés, és 235. cikk (1) és (2) bekezdés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kiáramlások értéke megegyezik az értékelési korrekciókkal és céltartaléko</w:t>
            </w:r>
            <w:r>
              <w:rPr>
                <w:rFonts w:ascii="Times New Roman" w:hAnsi="Times New Roman"/>
                <w:sz w:val="24"/>
              </w:rPr>
              <w:t>k</w:t>
            </w:r>
            <w:r>
              <w:rPr>
                <w:rFonts w:ascii="Times New Roman" w:hAnsi="Times New Roman"/>
                <w:sz w:val="24"/>
              </w:rPr>
              <w:t>kal csökkentett kitettség fedezett részével, amelyet a kötelezett kitettségi oszt</w:t>
            </w:r>
            <w:r>
              <w:rPr>
                <w:rFonts w:ascii="Times New Roman" w:hAnsi="Times New Roman"/>
                <w:sz w:val="24"/>
              </w:rPr>
              <w:t>á</w:t>
            </w:r>
            <w:r>
              <w:rPr>
                <w:rFonts w:ascii="Times New Roman" w:hAnsi="Times New Roman"/>
                <w:sz w:val="24"/>
              </w:rPr>
              <w:t>lyából, illetve adott esetben kockázatisúly- vagy ügyfél-kategóriájából való l</w:t>
            </w:r>
            <w:r>
              <w:rPr>
                <w:rFonts w:ascii="Times New Roman" w:hAnsi="Times New Roman"/>
                <w:sz w:val="24"/>
              </w:rPr>
              <w:t>e</w:t>
            </w:r>
            <w:r>
              <w:rPr>
                <w:rFonts w:ascii="Times New Roman" w:hAnsi="Times New Roman"/>
                <w:sz w:val="24"/>
              </w:rPr>
              <w:t xml:space="preserve">vonást követően a fedezetnyújtó kitettségi osztályába, illetve adott esetben kockázatisúly- vagy ügyfél-kategóriájába kell sorolni.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Ezt az összeget a fedezetnyújtó kitettségi osztályába, illetve adott esetben kockázatisúly- vagy ügyfél-kategóriájába irányuló beáramlásnak kell tekinte</w:t>
            </w:r>
            <w:r>
              <w:rPr>
                <w:rFonts w:ascii="Times New Roman" w:hAnsi="Times New Roman"/>
                <w:sz w:val="24"/>
              </w:rPr>
              <w:t>t</w:t>
            </w:r>
            <w:r>
              <w:rPr>
                <w:rFonts w:ascii="Times New Roman" w:hAnsi="Times New Roman"/>
                <w:sz w:val="24"/>
              </w:rPr>
              <w:t>ni.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 az információ a CR SA Total tábla 090. [(–) Kiáramlások összesen] oszl</w:t>
            </w:r>
            <w:r>
              <w:rPr>
                <w:rFonts w:ascii="Times New Roman" w:hAnsi="Times New Roman"/>
                <w:sz w:val="24"/>
              </w:rPr>
              <w:t>o</w:t>
            </w:r>
            <w:r>
              <w:rPr>
                <w:rFonts w:ascii="Times New Roman" w:hAnsi="Times New Roman"/>
                <w:sz w:val="24"/>
              </w:rPr>
              <w:t>pához kapcsolódik.</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BEÁRAMLÁSOK ÖSSZESEN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Az olyan értékpapírosítási pozíciókat, amelyek hitelviszonyt megtestesítő é</w:t>
            </w:r>
            <w:r>
              <w:rPr>
                <w:rFonts w:ascii="Times New Roman" w:hAnsi="Times New Roman"/>
                <w:sz w:val="24"/>
              </w:rPr>
              <w:t>r</w:t>
            </w:r>
            <w:r>
              <w:rPr>
                <w:rFonts w:ascii="Times New Roman" w:hAnsi="Times New Roman"/>
                <w:sz w:val="24"/>
              </w:rPr>
              <w:t xml:space="preserve">tékpapírnak és a CRR 197. cikkének (1) bekezdése szerint elismert pénzügyi </w:t>
            </w:r>
            <w:r>
              <w:rPr>
                <w:rFonts w:ascii="Times New Roman" w:hAnsi="Times New Roman"/>
                <w:sz w:val="24"/>
              </w:rPr>
              <w:lastRenderedPageBreak/>
              <w:t>biztosítéknak minősülnek, továbbá amelyekre a pénzügyi biztosítékok egysz</w:t>
            </w:r>
            <w:r>
              <w:rPr>
                <w:rFonts w:ascii="Times New Roman" w:hAnsi="Times New Roman"/>
                <w:sz w:val="24"/>
              </w:rPr>
              <w:t>e</w:t>
            </w:r>
            <w:r>
              <w:rPr>
                <w:rFonts w:ascii="Times New Roman" w:hAnsi="Times New Roman"/>
                <w:sz w:val="24"/>
              </w:rPr>
              <w:t>rű módszerét alkalmazzák, ebben az oszlopban beáramlásként kell feltüntetni.</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Ez az információ a CR SA Total tábla 100. (Beáramlások összesen) oszlopához kapcsolódik.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HELYETTESÍTÉSI HATÁSSAL JÁRÓ CRM-TECHNIKÁK UTÁNI, HITEL-EGYENÉRTÉKESÍTÉSI TÉNYEZŐK ELŐTTI NETTÓ K</w:t>
            </w:r>
            <w:r>
              <w:rPr>
                <w:rFonts w:ascii="Times New Roman" w:hAnsi="Times New Roman"/>
                <w:b/>
                <w:sz w:val="24"/>
                <w:u w:val="single"/>
              </w:rPr>
              <w:t>I</w:t>
            </w:r>
            <w:r>
              <w:rPr>
                <w:rFonts w:ascii="Times New Roman" w:hAnsi="Times New Roman"/>
                <w:b/>
                <w:sz w:val="24"/>
                <w:u w:val="single"/>
              </w:rPr>
              <w:t>TETTSÉG</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 megfelelő kockázatisúly-kategóriába, illetve kitettségi osztályba sorolt kitettségérték a kitettségre helyettesítési hatással járó hitelkockázat-mérséklési (CRM) technikák miatti ki- és beáramlások figyelembevétele után.</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 az információ a CR SA Total tábla 110-es oszlopához kapcsolódik.</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A KITETTSÉGÉRTÉKET ÉRINTŐ HITELKOCKÁZAT-MÉRSÉKLÉSI TECHNIKÁK: ELŐRE RENDELKEZÉSRE BOCS</w:t>
            </w:r>
            <w:r>
              <w:rPr>
                <w:rFonts w:ascii="Times New Roman" w:hAnsi="Times New Roman"/>
                <w:b/>
                <w:sz w:val="24"/>
                <w:u w:val="single"/>
              </w:rPr>
              <w:t>Á</w:t>
            </w:r>
            <w:r>
              <w:rPr>
                <w:rFonts w:ascii="Times New Roman" w:hAnsi="Times New Roman"/>
                <w:b/>
                <w:sz w:val="24"/>
                <w:u w:val="single"/>
              </w:rPr>
              <w:t xml:space="preserve">TOTT HITELKOCKÁZATI FEDEZET, </w:t>
            </w:r>
            <w:proofErr w:type="gramStart"/>
            <w:r>
              <w:rPr>
                <w:rFonts w:ascii="Times New Roman" w:hAnsi="Times New Roman"/>
                <w:b/>
                <w:sz w:val="24"/>
                <w:u w:val="single"/>
              </w:rPr>
              <w:t>A</w:t>
            </w:r>
            <w:proofErr w:type="gramEnd"/>
            <w:r>
              <w:rPr>
                <w:rFonts w:ascii="Times New Roman" w:hAnsi="Times New Roman"/>
                <w:b/>
                <w:sz w:val="24"/>
                <w:u w:val="single"/>
              </w:rPr>
              <w:t xml:space="preserve"> PÉNZÜGYI BIZTOSÍT</w:t>
            </w:r>
            <w:r>
              <w:rPr>
                <w:rFonts w:ascii="Times New Roman" w:hAnsi="Times New Roman"/>
                <w:b/>
                <w:sz w:val="24"/>
                <w:u w:val="single"/>
              </w:rPr>
              <w:t>É</w:t>
            </w:r>
            <w:r>
              <w:rPr>
                <w:rFonts w:ascii="Times New Roman" w:hAnsi="Times New Roman"/>
                <w:b/>
                <w:sz w:val="24"/>
                <w:u w:val="single"/>
              </w:rPr>
              <w:t>KOK ÖSSZETETT MÓDSZERE, KORRIGÁLT ÉRTÉK (C</w:t>
            </w:r>
            <w:r>
              <w:rPr>
                <w:rFonts w:ascii="Times New Roman" w:hAnsi="Times New Roman"/>
                <w:b/>
                <w:sz w:val="24"/>
                <w:u w:val="single"/>
                <w:vertAlign w:val="subscript"/>
              </w:rPr>
              <w:t>VAM</w:t>
            </w:r>
            <w:r>
              <w:rPr>
                <w:rFonts w:ascii="Times New Roman" w:hAnsi="Times New Roman"/>
                <w:b/>
                <w:sz w:val="24"/>
                <w:u w:val="single"/>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 a tétel a CRR 218. cikke szerinti hitelkockázati eseményhez kapcsolt érté</w:t>
            </w:r>
            <w:r>
              <w:rPr>
                <w:rFonts w:ascii="Times New Roman" w:hAnsi="Times New Roman"/>
                <w:sz w:val="24"/>
              </w:rPr>
              <w:t>k</w:t>
            </w:r>
            <w:r>
              <w:rPr>
                <w:rFonts w:ascii="Times New Roman" w:hAnsi="Times New Roman"/>
                <w:sz w:val="24"/>
              </w:rPr>
              <w:t>papírokat is magában foglalja.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 az információ a CR SA Total tábla 120-as és 130-as oszlopához kapcsol</w:t>
            </w:r>
            <w:r>
              <w:rPr>
                <w:rFonts w:ascii="Times New Roman" w:hAnsi="Times New Roman"/>
                <w:sz w:val="24"/>
              </w:rPr>
              <w:t>ó</w:t>
            </w:r>
            <w:r>
              <w:rPr>
                <w:rFonts w:ascii="Times New Roman" w:hAnsi="Times New Roman"/>
                <w:sz w:val="24"/>
              </w:rPr>
              <w:t xml:space="preserve">dik.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TELJES MÉRTÉKBEN KORRIGÁLT KITETTSÉGÉRTÉK (E*)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CRR 246. cikke szerinti értékpapírosítási pozíciók, amelyekre a CRR 246. cikke (1) bekezdésének c) pontjában rögzített hitel-egyenértékesítési tényezők nem alkalmazhatók.</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Ez az információ a CR SA Total tábla 150-es oszlopához kapcsolódik. </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 MÉRLEGEN KÍVÜLI TÉTELEK TELJES MÉRTÉKBEN KORR</w:t>
            </w:r>
            <w:r>
              <w:rPr>
                <w:rFonts w:ascii="Times New Roman" w:hAnsi="Times New Roman"/>
                <w:b/>
                <w:sz w:val="24"/>
                <w:u w:val="single"/>
              </w:rPr>
              <w:t>I</w:t>
            </w:r>
            <w:r>
              <w:rPr>
                <w:rFonts w:ascii="Times New Roman" w:hAnsi="Times New Roman"/>
                <w:b/>
                <w:sz w:val="24"/>
                <w:u w:val="single"/>
              </w:rPr>
              <w:t>GÁLT KITETTSÉGÉRTÉKE (E*) HITEL-EGYENÉRTÉKESÍTÉSI TÉNYEZŐ SZERINT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CRR 246. cikke (1) bekezdésének c) pontja szerint a mérlegen kívüli értékpapírosítási pozícióhoz tartozó kitettség értéke annak névértéke egy hitel-egyenértékesítési tényezővel megszorozva. A CRR eltérő rendelkezése hiány</w:t>
            </w:r>
            <w:r>
              <w:rPr>
                <w:rFonts w:ascii="Times New Roman" w:hAnsi="Times New Roman"/>
                <w:sz w:val="24"/>
              </w:rPr>
              <w:t>á</w:t>
            </w:r>
            <w:r>
              <w:rPr>
                <w:rFonts w:ascii="Times New Roman" w:hAnsi="Times New Roman"/>
                <w:sz w:val="24"/>
              </w:rPr>
              <w:t>ban ez a hitel-egyenértékesítési tényező 100 %.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Lásd a CR SA Total tábla 160–190. oszlopát.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adatszolgáltatás során a teljes mértékben korrigált kitettségértéket (E*) a h</w:t>
            </w:r>
            <w:r>
              <w:rPr>
                <w:rFonts w:ascii="Times New Roman" w:hAnsi="Times New Roman"/>
                <w:sz w:val="24"/>
              </w:rPr>
              <w:t>i</w:t>
            </w:r>
            <w:r>
              <w:rPr>
                <w:rFonts w:ascii="Times New Roman" w:hAnsi="Times New Roman"/>
                <w:sz w:val="24"/>
              </w:rPr>
              <w:t>tel-egyenértékesítési tényezők alábbi négy, egymást kölcsönösen kizáró tart</w:t>
            </w:r>
            <w:r>
              <w:rPr>
                <w:rFonts w:ascii="Times New Roman" w:hAnsi="Times New Roman"/>
                <w:sz w:val="24"/>
              </w:rPr>
              <w:t>o</w:t>
            </w:r>
            <w:r>
              <w:rPr>
                <w:rFonts w:ascii="Times New Roman" w:hAnsi="Times New Roman"/>
                <w:sz w:val="24"/>
              </w:rPr>
              <w:t>mánya szerint kell megadni: 0 %,</w:t>
            </w:r>
            <w:proofErr w:type="gramStart"/>
            <w:r>
              <w:rPr>
                <w:rFonts w:ascii="Times New Roman" w:hAnsi="Times New Roman"/>
                <w:sz w:val="24"/>
              </w:rPr>
              <w:t>]0</w:t>
            </w:r>
            <w:proofErr w:type="gramEnd"/>
            <w:r>
              <w:rPr>
                <w:rFonts w:ascii="Times New Roman" w:hAnsi="Times New Roman"/>
                <w:sz w:val="24"/>
              </w:rPr>
              <w:t xml:space="preserve"> %, 20 %],]20 %, 50 %] és]50 %, 100 %].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190</w:t>
            </w:r>
          </w:p>
        </w:tc>
        <w:tc>
          <w:tcPr>
            <w:tcW w:w="7856" w:type="dxa"/>
          </w:tcPr>
          <w:p w:rsidR="00612780" w:rsidRPr="00392FFD" w:rsidRDefault="00F870AC" w:rsidP="00612780">
            <w:pPr>
              <w:spacing w:before="0" w:after="0"/>
              <w:jc w:val="left"/>
              <w:rPr>
                <w:rFonts w:ascii="Times New Roman" w:hAnsi="Times New Roman"/>
                <w:b/>
                <w:sz w:val="24"/>
                <w:u w:val="single"/>
              </w:rPr>
            </w:pPr>
            <w:r>
              <w:rPr>
                <w:rFonts w:ascii="Times New Roman" w:hAnsi="Times New Roman"/>
                <w:b/>
                <w:sz w:val="24"/>
                <w:u w:val="single"/>
              </w:rPr>
              <w:t>KITETTSÉGÉRTÉK</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CRR 246. cikke szerinti értékpapírosítási pozíciók.</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 az információ a CR SA Total táb</w:t>
            </w:r>
            <w:r w:rsidR="00F870AC">
              <w:rPr>
                <w:rFonts w:ascii="Times New Roman" w:hAnsi="Times New Roman"/>
                <w:sz w:val="24"/>
              </w:rPr>
              <w:t>la 200. oszlopához kapcsolódik.</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A SZAVATOLÓ TŐKÉBŐL LEVONT KITETTSÉGÉRTÉK</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CRR 258. cikke szerint az intézmények az olyan értékpapírosítási pozíciók esetében, amelyekre 1250 %-os kockázati súly vonatkozik, a pozícióknak a kockázattal súlyozott kitettségérték kiszámításánál történő figyelembevétele helyett a pozíciók kitettségértékét levonhatják szavatoló tőkéjükből.</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KOCKÁZATI SÚLYOZÁS ALÁ TARTOZÓ KITETTSÉGÉRTÉK</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 szavatoló tőkéből levont kitettségértékkel csökkentett kitettségérték.</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KOCKÁZATI SÚLYOZÁS ALÁ TARTOZÓ KITETTSÉGÉRTÉK KOCKÁZATI SÚLY SZERINTI BONTÁSA</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220-260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MINŐSÍTETT</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A minősített pozíció fogalmát a CRR 242. cikkének 8. pontja határozza meg.</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kockázati súlyozás alá tartozó kitettségértékeket az SA módszerre vonatk</w:t>
            </w:r>
            <w:r>
              <w:rPr>
                <w:rFonts w:ascii="Times New Roman" w:hAnsi="Times New Roman"/>
                <w:sz w:val="24"/>
              </w:rPr>
              <w:t>o</w:t>
            </w:r>
            <w:r>
              <w:rPr>
                <w:rFonts w:ascii="Times New Roman" w:hAnsi="Times New Roman"/>
                <w:sz w:val="24"/>
              </w:rPr>
              <w:t>zóan a CRR 251. cikkében (1. táblázat) megadott hitelminőségi besorolások (CQS) szerint kell csoportosítani.</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270</w:t>
            </w:r>
          </w:p>
        </w:tc>
        <w:tc>
          <w:tcPr>
            <w:tcW w:w="7856" w:type="dxa"/>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1 250 % (NEM MINŐSÍTETT)</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nem minősített pozíció fogalmát a CRR 242. cikkének 7. pontja határozza meg.</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AZ ALAPUL SZOLGÁLÓ ESZKÖZÖK VIZSGÁLATA (ÁTTEKINTÉS ELVE)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CRR 253. és 254. cikke, valam</w:t>
            </w:r>
            <w:r w:rsidR="00F870AC">
              <w:rPr>
                <w:rFonts w:ascii="Times New Roman" w:hAnsi="Times New Roman"/>
                <w:sz w:val="24"/>
              </w:rPr>
              <w:t>int 256. cikkének (5) bekezdése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alapul szolgáló eszközök vizsgálatára vonatkozó oszlopok a nem minősített kitettségek valamennyi olyan esetét magukban foglalják, amelyeknél a kock</w:t>
            </w:r>
            <w:r>
              <w:rPr>
                <w:rFonts w:ascii="Times New Roman" w:hAnsi="Times New Roman"/>
                <w:sz w:val="24"/>
              </w:rPr>
              <w:t>á</w:t>
            </w:r>
            <w:r>
              <w:rPr>
                <w:rFonts w:ascii="Times New Roman" w:hAnsi="Times New Roman"/>
                <w:sz w:val="24"/>
              </w:rPr>
              <w:t>zati súlyt az alapul szolgáló kitettségportfólió (a halmaz átlagos kockázati s</w:t>
            </w:r>
            <w:r>
              <w:rPr>
                <w:rFonts w:ascii="Times New Roman" w:hAnsi="Times New Roman"/>
                <w:sz w:val="24"/>
              </w:rPr>
              <w:t>ú</w:t>
            </w:r>
            <w:r>
              <w:rPr>
                <w:rFonts w:ascii="Times New Roman" w:hAnsi="Times New Roman"/>
                <w:sz w:val="24"/>
              </w:rPr>
              <w:t>lya, a halmaz legmagasabb kockázati súlya, vagy koncentrációs ráta alkalm</w:t>
            </w:r>
            <w:r>
              <w:rPr>
                <w:rFonts w:ascii="Times New Roman" w:hAnsi="Times New Roman"/>
                <w:sz w:val="24"/>
              </w:rPr>
              <w:t>a</w:t>
            </w:r>
            <w:r>
              <w:rPr>
                <w:rFonts w:ascii="Times New Roman" w:hAnsi="Times New Roman"/>
                <w:sz w:val="24"/>
              </w:rPr>
              <w:t>zása) alapján állapítják meg.</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AZ ALAPUL SZOLGÁLÓ ESZKÖZÖK VIZSGÁLATA – EBBŐL: ABCP-PROGRAM MÁSODIK VESZTESÉGVISELŐ KATEGÓRIÁJA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ABCP-program második vagy jobb veszteségviselő kategóriájú ügyletrészsorozatába tartozó értékpapírosítási pozícióként kezelt kitettségértéket a CRR 254. cikke rögzíti.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Az eszközfedezetű kereskedelmi értékpapír (ABCP) kibocsátás meghatározását a CRR 242. cikkének 9. pontja tartalmazza.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spacing w:before="0" w:after="0"/>
              <w:jc w:val="left"/>
              <w:rPr>
                <w:rFonts w:ascii="Times New Roman" w:hAnsi="Times New Roman"/>
                <w:sz w:val="24"/>
              </w:rPr>
            </w:pPr>
            <w:r>
              <w:rPr>
                <w:rFonts w:ascii="Times New Roman" w:hAnsi="Times New Roman"/>
                <w:sz w:val="24"/>
              </w:rPr>
              <w:lastRenderedPageBreak/>
              <w:t>300</w:t>
            </w:r>
          </w:p>
          <w:p w:rsidR="00612780" w:rsidRPr="00392FFD"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AZ ALAPUL SZOLGÁLÓ ESZKÖZÖK VIZSGÁLATA – EBBŐL: Á</w:t>
            </w:r>
            <w:r>
              <w:rPr>
                <w:rFonts w:ascii="Times New Roman" w:hAnsi="Times New Roman"/>
                <w:b/>
                <w:sz w:val="24"/>
                <w:u w:val="single"/>
              </w:rPr>
              <w:t>T</w:t>
            </w:r>
            <w:r>
              <w:rPr>
                <w:rFonts w:ascii="Times New Roman" w:hAnsi="Times New Roman"/>
                <w:b/>
                <w:sz w:val="24"/>
                <w:u w:val="single"/>
              </w:rPr>
              <w:t>LAGOS KOCKÁZATI SÚLY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Itt a kitettségértékkel súlyozott átlagos kockázati súlyt kell megadni.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BELSŐ ÉRTÉKELÉSI MÓDSZER (IAA)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A CRR 109. cikkének (1) bekezdése, valamint 259. cikkének (3) bekezdése. Az értékpapírosítási </w:t>
            </w:r>
            <w:r>
              <w:rPr>
                <w:rFonts w:ascii="Times New Roman" w:hAnsi="Times New Roman"/>
                <w:sz w:val="24"/>
                <w:u w:val="single"/>
              </w:rPr>
              <w:t>pozíciók belső értékelési módszer szerinti kitettségértéke.</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IAA: ÁTLAGOS KOCKÁZATI SÚLY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Itt a kitettségértékkel súlyozott átlagos kockázati súlyt kell megadni.</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KOCKÁZATTAL SÚLYOZOTT KITETTSÉGÉRTÉK</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Teljes kockázattal súlyozott kitettségérték a CRR harmadik része II. címe 5. f</w:t>
            </w:r>
            <w:r>
              <w:rPr>
                <w:rFonts w:ascii="Times New Roman" w:hAnsi="Times New Roman"/>
                <w:sz w:val="24"/>
              </w:rPr>
              <w:t>e</w:t>
            </w:r>
            <w:r>
              <w:rPr>
                <w:rFonts w:ascii="Times New Roman" w:hAnsi="Times New Roman"/>
                <w:sz w:val="24"/>
              </w:rPr>
              <w:t>jezetének 3. szakasza szerinti számítás alapján, a lejárati eltérések vagy az el</w:t>
            </w:r>
            <w:r>
              <w:rPr>
                <w:rFonts w:ascii="Times New Roman" w:hAnsi="Times New Roman"/>
                <w:sz w:val="24"/>
              </w:rPr>
              <w:t>ő</w:t>
            </w:r>
            <w:r>
              <w:rPr>
                <w:rFonts w:ascii="Times New Roman" w:hAnsi="Times New Roman"/>
                <w:sz w:val="24"/>
              </w:rPr>
              <w:t>zetes vizsgálatra vonatkozó rendelkezések megsértése miatti kiigazítások előtt, a más táblára irányuló kiáramlás útján átcsoportosított kitettségeknek megfel</w:t>
            </w:r>
            <w:r>
              <w:rPr>
                <w:rFonts w:ascii="Times New Roman" w:hAnsi="Times New Roman"/>
                <w:sz w:val="24"/>
              </w:rPr>
              <w:t>e</w:t>
            </w:r>
            <w:r>
              <w:rPr>
                <w:rFonts w:ascii="Times New Roman" w:hAnsi="Times New Roman"/>
                <w:sz w:val="24"/>
              </w:rPr>
              <w:t xml:space="preserve">lő, kockázattal súlyozott kitettségértékek nélkül.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EBBŐL: SZINTETIKUS ÉRTÉKPAPÍROSÍTÁS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 szintetikus értékpapírosításokra vonatkozóan az ebben az oszlopban feltünt</w:t>
            </w:r>
            <w:r>
              <w:rPr>
                <w:rFonts w:ascii="Times New Roman" w:hAnsi="Times New Roman"/>
                <w:sz w:val="24"/>
              </w:rPr>
              <w:t>e</w:t>
            </w:r>
            <w:r>
              <w:rPr>
                <w:rFonts w:ascii="Times New Roman" w:hAnsi="Times New Roman"/>
                <w:sz w:val="24"/>
              </w:rPr>
              <w:t>tendő érték nem foglalja magában a lejárati eltéréseket.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AZ ELŐZETES VIZSGÁLATRA VONATKOZÓ RENDELKEZÉSEK MEGSÉRTÉSE MIATTI ÁLTALÁNOS HATÁS (KORREKCIÓ)</w:t>
            </w:r>
          </w:p>
          <w:p w:rsidR="00612780" w:rsidRPr="00392FFD" w:rsidRDefault="00612780" w:rsidP="00612780">
            <w:pPr>
              <w:spacing w:before="0" w:after="0"/>
              <w:jc w:val="left"/>
              <w:rPr>
                <w:rFonts w:ascii="Times New Roman" w:hAnsi="Times New Roman"/>
                <w:sz w:val="24"/>
              </w:rPr>
            </w:pPr>
          </w:p>
          <w:p w:rsidR="00612780" w:rsidRPr="00392FFD" w:rsidRDefault="00612780" w:rsidP="00551271">
            <w:pPr>
              <w:spacing w:before="0" w:after="0"/>
              <w:rPr>
                <w:rStyle w:val="InstructionsTabelleText"/>
                <w:rFonts w:ascii="Times New Roman" w:hAnsi="Times New Roman"/>
                <w:sz w:val="24"/>
              </w:rPr>
            </w:pPr>
            <w:proofErr w:type="gramStart"/>
            <w:r>
              <w:rPr>
                <w:rStyle w:val="InstructionsTabelleText"/>
                <w:rFonts w:ascii="Times New Roman" w:hAnsi="Times New Roman"/>
                <w:sz w:val="24"/>
              </w:rPr>
              <w:t>A CRR 14. cikkének (2) bekezdése, 406. cikkének (2) bekezdése, valamint 407. cikke előírja, hogy amikor az intézmény a CRR 405., 406. vagy 409. ci</w:t>
            </w:r>
            <w:r>
              <w:rPr>
                <w:rStyle w:val="InstructionsTabelleText"/>
                <w:rFonts w:ascii="Times New Roman" w:hAnsi="Times New Roman"/>
                <w:sz w:val="24"/>
              </w:rPr>
              <w:t>k</w:t>
            </w:r>
            <w:r>
              <w:rPr>
                <w:rStyle w:val="InstructionsTabelleText"/>
                <w:rFonts w:ascii="Times New Roman" w:hAnsi="Times New Roman"/>
                <w:sz w:val="24"/>
              </w:rPr>
              <w:t>ke bizonyos követelményeinek nem tesz eleget, akkor a tagállamoknak biztos</w:t>
            </w:r>
            <w:r>
              <w:rPr>
                <w:rStyle w:val="InstructionsTabelleText"/>
                <w:rFonts w:ascii="Times New Roman" w:hAnsi="Times New Roman"/>
                <w:sz w:val="24"/>
              </w:rPr>
              <w:t>í</w:t>
            </w:r>
            <w:r>
              <w:rPr>
                <w:rStyle w:val="InstructionsTabelleText"/>
                <w:rFonts w:ascii="Times New Roman" w:hAnsi="Times New Roman"/>
                <w:sz w:val="24"/>
              </w:rPr>
              <w:t>taniuk kell azt, hogy az illetékes hatóságok arányos kiegészítő kockázati súlyt szabnak ki, amely annak a kockázati súlynak legalább 250 %-a (de legfeljebb 1 250 %-a), amely a CRR harmadik része II. címe 5. fejezetének 3. szakasz</w:t>
            </w:r>
            <w:r>
              <w:rPr>
                <w:rStyle w:val="InstructionsTabelleText"/>
                <w:rFonts w:ascii="Times New Roman" w:hAnsi="Times New Roman"/>
                <w:sz w:val="24"/>
              </w:rPr>
              <w:t>á</w:t>
            </w:r>
            <w:r>
              <w:rPr>
                <w:rStyle w:val="InstructionsTabelleText"/>
                <w:rFonts w:ascii="Times New Roman" w:hAnsi="Times New Roman"/>
                <w:sz w:val="24"/>
              </w:rPr>
              <w:t>ban meghatározott módon alkalmazandó az érintett értékpapírosított pozíció</w:t>
            </w:r>
            <w:r>
              <w:rPr>
                <w:rStyle w:val="InstructionsTabelleText"/>
                <w:rFonts w:ascii="Times New Roman" w:hAnsi="Times New Roman"/>
                <w:sz w:val="24"/>
              </w:rPr>
              <w:t>k</w:t>
            </w:r>
            <w:r>
              <w:rPr>
                <w:rStyle w:val="InstructionsTabelleText"/>
                <w:rFonts w:ascii="Times New Roman" w:hAnsi="Times New Roman"/>
                <w:sz w:val="24"/>
              </w:rPr>
              <w:t>ra.</w:t>
            </w:r>
            <w:proofErr w:type="gramEnd"/>
            <w:r>
              <w:rPr>
                <w:rStyle w:val="InstructionsTabelleText"/>
                <w:rFonts w:ascii="Times New Roman" w:hAnsi="Times New Roman"/>
                <w:sz w:val="24"/>
              </w:rPr>
              <w:t xml:space="preserve"> E kiegészítő kockázati súly nemcsak a befektető intézményekre, hanem az értékpapírosítást kezdeményezőkre, a szponzorokra és az eredeti hitelezőkre is alkalmazható.</w:t>
            </w:r>
          </w:p>
          <w:p w:rsidR="00551271" w:rsidRPr="00392FFD" w:rsidRDefault="00551271" w:rsidP="00551271">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 KOCKÁZATTAL SÚLYOZOTT KITETTSÉGÉRTÉK LEJÁRATI ELTÉRÉS MIATTI KORREKCIÓJA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Style w:val="InstructionsTabelleText"/>
                <w:rFonts w:ascii="Times New Roman" w:hAnsi="Times New Roman"/>
                <w:sz w:val="24"/>
              </w:rPr>
            </w:pPr>
            <w:r>
              <w:rPr>
                <w:rStyle w:val="InstructionsTabelleText"/>
                <w:rFonts w:ascii="Times New Roman" w:hAnsi="Times New Roman"/>
                <w:sz w:val="24"/>
              </w:rPr>
              <w:t>A szintetikus értékpapírosításokban megjelenő, a CRR 250. cikke szerinti RW*–</w:t>
            </w:r>
            <w:proofErr w:type="gramStart"/>
            <w:r>
              <w:rPr>
                <w:rStyle w:val="InstructionsTabelleText"/>
                <w:rFonts w:ascii="Times New Roman" w:hAnsi="Times New Roman"/>
                <w:sz w:val="24"/>
              </w:rPr>
              <w:t>RW(</w:t>
            </w:r>
            <w:proofErr w:type="gramEnd"/>
            <w:r>
              <w:rPr>
                <w:rStyle w:val="InstructionsTabelleText"/>
                <w:rFonts w:ascii="Times New Roman" w:hAnsi="Times New Roman"/>
                <w:sz w:val="24"/>
              </w:rPr>
              <w:t xml:space="preserve">SP) lejárati eltéréseket be kell számítani, kivéve az 1 250 %-os </w:t>
            </w:r>
            <w:r>
              <w:rPr>
                <w:rStyle w:val="InstructionsTabelleText"/>
                <w:rFonts w:ascii="Times New Roman" w:hAnsi="Times New Roman"/>
                <w:sz w:val="24"/>
              </w:rPr>
              <w:lastRenderedPageBreak/>
              <w:t xml:space="preserve">kockázati súlyú ügyletrészsorozatokat, amelyeknél a feltüntetendő érték nulla. Ügyelni kell arra, hogy az </w:t>
            </w:r>
            <w:proofErr w:type="gramStart"/>
            <w:r>
              <w:rPr>
                <w:rStyle w:val="InstructionsTabelleText"/>
                <w:rFonts w:ascii="Times New Roman" w:hAnsi="Times New Roman"/>
                <w:sz w:val="24"/>
              </w:rPr>
              <w:t>RW(</w:t>
            </w:r>
            <w:proofErr w:type="gramEnd"/>
            <w:r>
              <w:rPr>
                <w:rStyle w:val="InstructionsTabelleText"/>
                <w:rFonts w:ascii="Times New Roman" w:hAnsi="Times New Roman"/>
                <w:sz w:val="24"/>
              </w:rPr>
              <w:t>SP) nemcsak a 330-as oszlopban feltüntetett kockázattal súlyozott kitettségértékeket foglalja magában, hanem a más táblára irányuló kiáramlás útján átcsoportosított kitettségeknek megfelelő, kockázattal súlyozott kitettségértékeket is.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F5392E"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370-380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KOCKÁZATTAL SÚLYOZOTT TELJES KITETTSÉGÉRTÉK: A FELSŐ KORLÁT FIGYELEMBEVÉTELE ELŐTT/UTÁN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A CRR harmadik része II. címe 5. fejezetének 3. szakasza szerint számított te</w:t>
            </w:r>
            <w:r>
              <w:rPr>
                <w:rFonts w:ascii="Times New Roman" w:hAnsi="Times New Roman"/>
                <w:sz w:val="24"/>
              </w:rPr>
              <w:t>l</w:t>
            </w:r>
            <w:r>
              <w:rPr>
                <w:rFonts w:ascii="Times New Roman" w:hAnsi="Times New Roman"/>
                <w:sz w:val="24"/>
              </w:rPr>
              <w:t>jes kockázattal súlyozott kitettségérték a CRR 252. cikkében – az aktuálisan nemteljesítő tételek, valamint kiemelkedően magas kockázatúnak minősített k</w:t>
            </w:r>
            <w:r>
              <w:rPr>
                <w:rFonts w:ascii="Times New Roman" w:hAnsi="Times New Roman"/>
                <w:sz w:val="24"/>
              </w:rPr>
              <w:t>i</w:t>
            </w:r>
            <w:r>
              <w:rPr>
                <w:rFonts w:ascii="Times New Roman" w:hAnsi="Times New Roman"/>
                <w:sz w:val="24"/>
              </w:rPr>
              <w:t>tettségek értékpapírosítása –, valamint 256. cikkének (4) bekezdésében – rulírozó kitettségek gyorsított visszafizetést biztosító rendelkezést kikötő é</w:t>
            </w:r>
            <w:r>
              <w:rPr>
                <w:rFonts w:ascii="Times New Roman" w:hAnsi="Times New Roman"/>
                <w:sz w:val="24"/>
              </w:rPr>
              <w:t>r</w:t>
            </w:r>
            <w:r>
              <w:rPr>
                <w:rFonts w:ascii="Times New Roman" w:hAnsi="Times New Roman"/>
                <w:sz w:val="24"/>
              </w:rPr>
              <w:t>tékpapírosítására vonatkozó pótlólagos szavatolótőke-követelmény – meghat</w:t>
            </w:r>
            <w:r>
              <w:rPr>
                <w:rFonts w:ascii="Times New Roman" w:hAnsi="Times New Roman"/>
                <w:sz w:val="24"/>
              </w:rPr>
              <w:t>á</w:t>
            </w:r>
            <w:r>
              <w:rPr>
                <w:rFonts w:ascii="Times New Roman" w:hAnsi="Times New Roman"/>
                <w:sz w:val="24"/>
              </w:rPr>
              <w:t>rozott határértékek alkalmazása előtt (370. oszlop)/után (380. oszlop).</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TÁJÉKOZTATÓ ADAT: AZ SA ÉRTÉKPAPÍROSÍTÁSBÓL MÁS KITETTSÉGI OSZTÁLYOKBA IRÁNYULÓ KIÁRAMLÁSNAK MEGFELELŐ KOCKÁZATTAL SÚLYOZOTT KITETTSÉGÉRTÉK</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hitelkockázat-mérséklő eszközök nyújtójához átcsoportosított, így a megf</w:t>
            </w:r>
            <w:r>
              <w:rPr>
                <w:rFonts w:ascii="Times New Roman" w:hAnsi="Times New Roman"/>
                <w:sz w:val="24"/>
              </w:rPr>
              <w:t>e</w:t>
            </w:r>
            <w:r>
              <w:rPr>
                <w:rFonts w:ascii="Times New Roman" w:hAnsi="Times New Roman"/>
                <w:sz w:val="24"/>
              </w:rPr>
              <w:t>lelő táblán számított, az értékpapírosítási pozíciók felső határának kiszámítás</w:t>
            </w:r>
            <w:r>
              <w:rPr>
                <w:rFonts w:ascii="Times New Roman" w:hAnsi="Times New Roman"/>
                <w:sz w:val="24"/>
              </w:rPr>
              <w:t>á</w:t>
            </w:r>
            <w:r>
              <w:rPr>
                <w:rFonts w:ascii="Times New Roman" w:hAnsi="Times New Roman"/>
                <w:sz w:val="24"/>
              </w:rPr>
              <w:t>nál figyelembe vett kitettségekből eredő, kockázattal súlyozott kitettségérték.</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jc w:val="left"/>
        <w:rPr>
          <w:rFonts w:ascii="Times New Roman" w:hAnsi="Times New Roman"/>
          <w:sz w:val="24"/>
        </w:rPr>
      </w:pPr>
    </w:p>
    <w:p w:rsidR="00612780" w:rsidRPr="00392FFD" w:rsidRDefault="00125707" w:rsidP="00C37B29">
      <w:pPr>
        <w:pStyle w:val="InstructionsText2"/>
        <w:numPr>
          <w:ilvl w:val="0"/>
          <w:numId w:val="0"/>
        </w:numPr>
        <w:ind w:left="993"/>
      </w:pPr>
      <w:r>
        <w:t>102.</w:t>
      </w:r>
      <w:r>
        <w:tab/>
        <w:t>A CR SEC SA tábla három fő sorcsoportból áll, amelyek a kezdeményezett, szponzorált, illetve visszatartott vagy visszavásárolt kitettségekről gyűjtenek adat</w:t>
      </w:r>
      <w:r>
        <w:t>o</w:t>
      </w:r>
      <w:r>
        <w:t>kat értékpapírosítást kezdeményező, befektető és szponzor szerint. Ezek mindegy</w:t>
      </w:r>
      <w:r>
        <w:t>i</w:t>
      </w:r>
      <w:r>
        <w:t xml:space="preserve">kére vonatkozóan az adatok mérlegtételek, mérlegen kívüli tételek és származtatott ügyletek, </w:t>
      </w:r>
      <w:proofErr w:type="gramStart"/>
      <w:r>
        <w:t>ezenkívül</w:t>
      </w:r>
      <w:proofErr w:type="gramEnd"/>
      <w:r>
        <w:t xml:space="preserve"> értékpapírosítás és újra-értékpa</w:t>
      </w:r>
      <w:r w:rsidR="00F870AC">
        <w:t>pírosítás szerint oszlanak meg.</w:t>
      </w:r>
    </w:p>
    <w:p w:rsidR="00612780" w:rsidRPr="00392FFD" w:rsidRDefault="00125707" w:rsidP="00C37B29">
      <w:pPr>
        <w:pStyle w:val="InstructionsText2"/>
        <w:numPr>
          <w:ilvl w:val="0"/>
          <w:numId w:val="0"/>
        </w:numPr>
        <w:ind w:left="993"/>
      </w:pPr>
      <w:r>
        <w:t>103.</w:t>
      </w:r>
      <w:r>
        <w:tab/>
        <w:t>A minősítésen alapuló módszer szerint kezelt pozíciókat és a nem minősített pozíciókat (az adatszolgáltatás időpontjában fennálló kitettség) a kezdeti hitelmin</w:t>
      </w:r>
      <w:r>
        <w:t>ő</w:t>
      </w:r>
      <w:r>
        <w:t>ségi besorolás szerinti bontásban is fel kell tüntetni (az utolsó sorcsoport). Ezeket az információkat az értékpapírosítást kezdeményezőknek, a szponzoroknak és a b</w:t>
      </w:r>
      <w:r>
        <w:t>e</w:t>
      </w:r>
      <w:r>
        <w:t>fektetőknek is meg kell adniuk.</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F71DF2">
            <w:pPr>
              <w:autoSpaceDE w:val="0"/>
              <w:autoSpaceDN w:val="0"/>
              <w:adjustRightInd w:val="0"/>
              <w:spacing w:before="0" w:after="0"/>
              <w:jc w:val="left"/>
              <w:rPr>
                <w:rFonts w:ascii="Times New Roman" w:hAnsi="Times New Roman"/>
                <w:bCs/>
                <w:sz w:val="24"/>
              </w:rPr>
            </w:pPr>
            <w:r>
              <w:rPr>
                <w:rFonts w:ascii="Times New Roman" w:hAnsi="Times New Roman"/>
                <w:b/>
                <w:sz w:val="24"/>
              </w:rPr>
              <w:t>Sorok</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TELJES KITETTSÉG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teljes kitettség a fennálló értékpapírosítások teljes összegét jelenti. Ez a sor összesíti a későbbi sorokban az értékpapírosítást kezdeményezők, a szponzorok és a befektetők által megadott valamennyi információt.</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EBBŐL: ÚJRA-ÉRTÉKPAPÍROSÍTÁS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A CRR 4. cikke (1) bekezdésének 63. és 64. pontjában foglalt meghatározások szerinti újra-értékpapírosítások összértéke.</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ÉRTÉKPAPÍROSÍTÁST KEZDEMÉNYEZŐ: TELJES KITETTSÉG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 a sor összefoglalja az olyan értékpapírosítási pozíciókkal kapcsolatos mé</w:t>
            </w:r>
            <w:r>
              <w:rPr>
                <w:rFonts w:ascii="Times New Roman" w:hAnsi="Times New Roman"/>
                <w:sz w:val="24"/>
              </w:rPr>
              <w:t>r</w:t>
            </w:r>
            <w:r>
              <w:rPr>
                <w:rFonts w:ascii="Times New Roman" w:hAnsi="Times New Roman"/>
                <w:sz w:val="24"/>
              </w:rPr>
              <w:t>legtételekre, mérlegen kívüli tételekre, származtatott ügyletekre és gyorsított visszafizetésekre vonatkozó információkat, amelyeknél az intézmény a CRR 4. cikke (1) bekezdésének 13. pontja szerinti értékpapírosítást kezdeményező sz</w:t>
            </w:r>
            <w:r>
              <w:rPr>
                <w:rFonts w:ascii="Times New Roman" w:hAnsi="Times New Roman"/>
                <w:sz w:val="24"/>
              </w:rPr>
              <w:t>e</w:t>
            </w:r>
            <w:r>
              <w:rPr>
                <w:rFonts w:ascii="Times New Roman" w:hAnsi="Times New Roman"/>
                <w:sz w:val="24"/>
              </w:rPr>
              <w:t>repét tölti be.</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MÉRLEGTÉTELEK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CRR 246. cikke (1) bekezdésének a) pontja kimondja, hogy ha az intézmény a kockázattal súlyozott kitettségértéket a sztenderd módszer szerint számítja ki, akkor a mérlegen belüli értékpapírosítási pozíció kitettségértéke az egyedi h</w:t>
            </w:r>
            <w:r>
              <w:rPr>
                <w:rFonts w:ascii="Times New Roman" w:hAnsi="Times New Roman"/>
                <w:sz w:val="24"/>
              </w:rPr>
              <w:t>i</w:t>
            </w:r>
            <w:r>
              <w:rPr>
                <w:rFonts w:ascii="Times New Roman" w:hAnsi="Times New Roman"/>
                <w:sz w:val="24"/>
              </w:rPr>
              <w:t>telkockázati kiigazítások alkalmazását követően fennmaradó könyv szerinti é</w:t>
            </w:r>
            <w:r>
              <w:rPr>
                <w:rFonts w:ascii="Times New Roman" w:hAnsi="Times New Roman"/>
                <w:sz w:val="24"/>
              </w:rPr>
              <w:t>r</w:t>
            </w:r>
            <w:r>
              <w:rPr>
                <w:rFonts w:ascii="Times New Roman" w:hAnsi="Times New Roman"/>
                <w:sz w:val="24"/>
              </w:rPr>
              <w:t>ték.</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mérlegtételeket értékpapírosítás (050-es sor) és újra-értékpapírosítás (060-as sor) szerint kell megbontani.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MÉRLEGEN KÍVÜLI TÉTELEK </w:t>
            </w:r>
            <w:proofErr w:type="gramStart"/>
            <w:r>
              <w:rPr>
                <w:rFonts w:ascii="Times New Roman" w:hAnsi="Times New Roman"/>
                <w:b/>
                <w:sz w:val="24"/>
                <w:u w:val="single"/>
              </w:rPr>
              <w:t>ÉS</w:t>
            </w:r>
            <w:proofErr w:type="gramEnd"/>
            <w:r>
              <w:rPr>
                <w:rFonts w:ascii="Times New Roman" w:hAnsi="Times New Roman"/>
                <w:b/>
                <w:sz w:val="24"/>
                <w:u w:val="single"/>
              </w:rPr>
              <w:t xml:space="preserve"> SZÁRMAZTATOTT ÜGYLETEK</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Ezek a sorok az olyan mérlegen kívüli tételnek és származtatott ügyletnek m</w:t>
            </w:r>
            <w:r>
              <w:rPr>
                <w:rFonts w:ascii="Times New Roman" w:hAnsi="Times New Roman"/>
                <w:sz w:val="24"/>
              </w:rPr>
              <w:t>i</w:t>
            </w:r>
            <w:r>
              <w:rPr>
                <w:rFonts w:ascii="Times New Roman" w:hAnsi="Times New Roman"/>
                <w:sz w:val="24"/>
              </w:rPr>
              <w:t>nősülő értékpapírosítási pozíciókkal kapcsolatos információkat gyűjtenek, am</w:t>
            </w:r>
            <w:r>
              <w:rPr>
                <w:rFonts w:ascii="Times New Roman" w:hAnsi="Times New Roman"/>
                <w:sz w:val="24"/>
              </w:rPr>
              <w:t>e</w:t>
            </w:r>
            <w:r>
              <w:rPr>
                <w:rFonts w:ascii="Times New Roman" w:hAnsi="Times New Roman"/>
                <w:sz w:val="24"/>
              </w:rPr>
              <w:t>lyekre az értékpapírosítás keretében hitel-egyenértékesítési tényezőt kell alka</w:t>
            </w:r>
            <w:r>
              <w:rPr>
                <w:rFonts w:ascii="Times New Roman" w:hAnsi="Times New Roman"/>
                <w:sz w:val="24"/>
              </w:rPr>
              <w:t>l</w:t>
            </w:r>
            <w:r>
              <w:rPr>
                <w:rFonts w:ascii="Times New Roman" w:hAnsi="Times New Roman"/>
                <w:sz w:val="24"/>
              </w:rPr>
              <w:t>mazni. A mérlegen kívüli értékpapírosítási pozíció kitettségértéke az adott értékpapírosítási pozíciónak az esetleges egyedi hitelkockázati kiigazítások l</w:t>
            </w:r>
            <w:r>
              <w:rPr>
                <w:rFonts w:ascii="Times New Roman" w:hAnsi="Times New Roman"/>
                <w:sz w:val="24"/>
              </w:rPr>
              <w:t>e</w:t>
            </w:r>
            <w:r>
              <w:rPr>
                <w:rFonts w:ascii="Times New Roman" w:hAnsi="Times New Roman"/>
                <w:sz w:val="24"/>
              </w:rPr>
              <w:t>vonásával számított névértéke, egyéb rendelkezés hiányában 100 %-os hitel-egyenértékesítési tényezővel megszorozva.</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CRR II. mellékletében felsorolt származtatott ügyletek partnerkockázatához kapcsolódó kitettségértéket a CRR harmadik része II. címének 6. fejezete ala</w:t>
            </w:r>
            <w:r>
              <w:rPr>
                <w:rFonts w:ascii="Times New Roman" w:hAnsi="Times New Roman"/>
                <w:sz w:val="24"/>
              </w:rPr>
              <w:t>p</w:t>
            </w:r>
            <w:r>
              <w:rPr>
                <w:rFonts w:ascii="Times New Roman" w:hAnsi="Times New Roman"/>
                <w:sz w:val="24"/>
              </w:rPr>
              <w:t xml:space="preserve">ján kell megállapítani.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likviditási hitelkeretek, hitelkeretek és hitelkezeléssel kapcsolatos szolgált</w:t>
            </w:r>
            <w:r>
              <w:rPr>
                <w:rFonts w:ascii="Times New Roman" w:hAnsi="Times New Roman"/>
                <w:sz w:val="24"/>
              </w:rPr>
              <w:t>a</w:t>
            </w:r>
            <w:r>
              <w:rPr>
                <w:rFonts w:ascii="Times New Roman" w:hAnsi="Times New Roman"/>
                <w:sz w:val="24"/>
              </w:rPr>
              <w:t xml:space="preserve">tásnyújtók által biztosított készpénzelőlegek esetében az intézményeknek a le nem </w:t>
            </w:r>
            <w:r w:rsidR="00F870AC">
              <w:rPr>
                <w:rFonts w:ascii="Times New Roman" w:hAnsi="Times New Roman"/>
                <w:sz w:val="24"/>
              </w:rPr>
              <w:t>hívott összeget kell megadniuk.</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Kamatcsereügyletek és deviza-csereügyletek esetében a CR SA Total táblán megadott kitettségértéket kell feltüntetniük a CRR 246. cikkének (1) bekezdése szerint.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mérlegen kívüli tételeket és származtatott ügyleteket értékpapírosítás (080. sor) és újra-értékpapírosítás (090. sor) szerint kell megbontani a CRR 251. ci</w:t>
            </w:r>
            <w:r>
              <w:rPr>
                <w:rFonts w:ascii="Times New Roman" w:hAnsi="Times New Roman"/>
                <w:sz w:val="24"/>
              </w:rPr>
              <w:t>k</w:t>
            </w:r>
            <w:r>
              <w:rPr>
                <w:rFonts w:ascii="Times New Roman" w:hAnsi="Times New Roman"/>
                <w:sz w:val="24"/>
              </w:rPr>
              <w:t>kében található 1. táblázatnak megfelelően.</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GYORSÍTOTT VISSZAFIZETÉS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 a sor csak a CRR 242. cikkének 13. és 14. pontja szerinti gyorsított visszaf</w:t>
            </w:r>
            <w:r>
              <w:rPr>
                <w:rFonts w:ascii="Times New Roman" w:hAnsi="Times New Roman"/>
                <w:sz w:val="24"/>
              </w:rPr>
              <w:t>i</w:t>
            </w:r>
            <w:r>
              <w:rPr>
                <w:rFonts w:ascii="Times New Roman" w:hAnsi="Times New Roman"/>
                <w:sz w:val="24"/>
              </w:rPr>
              <w:t>zetést biztosító rendelkezést tartalmazó rulírozó kitettségre vonatkozó értékp</w:t>
            </w:r>
            <w:r>
              <w:rPr>
                <w:rFonts w:ascii="Times New Roman" w:hAnsi="Times New Roman"/>
                <w:sz w:val="24"/>
              </w:rPr>
              <w:t>a</w:t>
            </w:r>
            <w:r>
              <w:rPr>
                <w:rFonts w:ascii="Times New Roman" w:hAnsi="Times New Roman"/>
                <w:sz w:val="24"/>
              </w:rPr>
              <w:t>pírosítást kezdeményezőkre vonatkozik.</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Borders>
              <w:bottom w:val="single" w:sz="4" w:space="0" w:color="auto"/>
            </w:tcBorders>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110</w:t>
            </w:r>
          </w:p>
        </w:tc>
        <w:tc>
          <w:tcPr>
            <w:tcW w:w="7903" w:type="dxa"/>
            <w:tcBorders>
              <w:bottom w:val="single" w:sz="4" w:space="0" w:color="auto"/>
            </w:tcBorders>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BEFEKTETŐ: TELJES KITETTSÉG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 a sor összefoglalja az olyan értékpapírosítási pozíciókkal kapcsolatos mé</w:t>
            </w:r>
            <w:r>
              <w:rPr>
                <w:rFonts w:ascii="Times New Roman" w:hAnsi="Times New Roman"/>
                <w:sz w:val="24"/>
              </w:rPr>
              <w:t>r</w:t>
            </w:r>
            <w:r>
              <w:rPr>
                <w:rFonts w:ascii="Times New Roman" w:hAnsi="Times New Roman"/>
                <w:sz w:val="24"/>
              </w:rPr>
              <w:t>legtételekre, mérlegen kívüli tételekre és származtatott ügyletekre vonatkozó információkat, amelyeknél az intézmény befektető</w:t>
            </w:r>
            <w:r w:rsidR="00F870AC">
              <w:rPr>
                <w:rFonts w:ascii="Times New Roman" w:hAnsi="Times New Roman"/>
                <w:sz w:val="24"/>
              </w:rPr>
              <w:t xml:space="preserve"> szerepét tölti be.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CRR nem határozza meg kifejezetten a befektető fogalmát. Így ebben az ö</w:t>
            </w:r>
            <w:r>
              <w:rPr>
                <w:rFonts w:ascii="Times New Roman" w:hAnsi="Times New Roman"/>
                <w:sz w:val="24"/>
              </w:rPr>
              <w:t>s</w:t>
            </w:r>
            <w:r>
              <w:rPr>
                <w:rFonts w:ascii="Times New Roman" w:hAnsi="Times New Roman"/>
                <w:sz w:val="24"/>
              </w:rPr>
              <w:t>szefüggésben a befektető olyan intézmény, amely értékpapírosítási pozícióval rendelkezik egy olyan értékpapírosítási ügyletben, amelyben sem az értékpap</w:t>
            </w:r>
            <w:r>
              <w:rPr>
                <w:rFonts w:ascii="Times New Roman" w:hAnsi="Times New Roman"/>
                <w:sz w:val="24"/>
              </w:rPr>
              <w:t>í</w:t>
            </w:r>
            <w:r>
              <w:rPr>
                <w:rFonts w:ascii="Times New Roman" w:hAnsi="Times New Roman"/>
                <w:sz w:val="24"/>
              </w:rPr>
              <w:t>rosítást kezdeményező, sem a szponzor szerepét nem tölti be.</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120-140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MÉRLEGTÉTELEK</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Itt is ugyanazokat a besorolási kritériumokat kell alkalmazni, amelyek alapján az értékpapírosítást kezdeményezők mérlegtételei oszthatók fel értékpapírosítás és </w:t>
            </w:r>
            <w:proofErr w:type="gramStart"/>
            <w:r>
              <w:rPr>
                <w:rFonts w:ascii="Times New Roman" w:hAnsi="Times New Roman"/>
                <w:sz w:val="24"/>
              </w:rPr>
              <w:t>újra-értékpapírosítás szerint</w:t>
            </w:r>
            <w:proofErr w:type="gramEnd"/>
            <w:r>
              <w:rPr>
                <w:rFonts w:ascii="Times New Roman" w:hAnsi="Times New Roman"/>
                <w:sz w:val="24"/>
              </w:rPr>
              <w:t>.</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MÉRLEGEN KÍVÜLI TÉTELEK </w:t>
            </w:r>
            <w:proofErr w:type="gramStart"/>
            <w:r>
              <w:rPr>
                <w:rFonts w:ascii="Times New Roman" w:hAnsi="Times New Roman"/>
                <w:b/>
                <w:sz w:val="24"/>
                <w:u w:val="single"/>
              </w:rPr>
              <w:t>ÉS</w:t>
            </w:r>
            <w:proofErr w:type="gramEnd"/>
            <w:r>
              <w:rPr>
                <w:rFonts w:ascii="Times New Roman" w:hAnsi="Times New Roman"/>
                <w:b/>
                <w:sz w:val="24"/>
                <w:u w:val="single"/>
              </w:rPr>
              <w:t xml:space="preserve"> SZÁRMAZTATOTT ÜGYLETEK</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Itt is ugyanazokat a besorolási kritériumokat kell alkalmazni, amelyek alapján az értékpapírosítást kezdeményezők mérlegen kívüli tételei és származtatott ügyletei oszthatók fel értékpapírosítás és </w:t>
            </w:r>
            <w:proofErr w:type="gramStart"/>
            <w:r>
              <w:rPr>
                <w:rFonts w:ascii="Times New Roman" w:hAnsi="Times New Roman"/>
                <w:sz w:val="24"/>
              </w:rPr>
              <w:t>újra-értékpapírosítás szerint</w:t>
            </w:r>
            <w:proofErr w:type="gramEnd"/>
            <w:r>
              <w:rPr>
                <w:rFonts w:ascii="Times New Roman" w:hAnsi="Times New Roman"/>
                <w:sz w:val="24"/>
              </w:rPr>
              <w:t>.</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SZPONZOR: TELJES KITETTSÉG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pacing w:val="-6"/>
                <w:sz w:val="24"/>
              </w:rPr>
            </w:pPr>
            <w:r>
              <w:rPr>
                <w:rFonts w:ascii="Times New Roman" w:hAnsi="Times New Roman"/>
                <w:sz w:val="24"/>
              </w:rPr>
              <w:t>Ez a sor összefoglalja az olyan értékpapírosítási pozíciókkal kapcsolatos mé</w:t>
            </w:r>
            <w:r>
              <w:rPr>
                <w:rFonts w:ascii="Times New Roman" w:hAnsi="Times New Roman"/>
                <w:sz w:val="24"/>
              </w:rPr>
              <w:t>r</w:t>
            </w:r>
            <w:r>
              <w:rPr>
                <w:rFonts w:ascii="Times New Roman" w:hAnsi="Times New Roman"/>
                <w:sz w:val="24"/>
              </w:rPr>
              <w:t>legtételekre, mérlegen kívüli tételekre és származtatott ügyletekre vonatkozó információkat, amelyeknél az intézmény a CRR 4. cikke (1) bekezdésének 14. pontja szerinti szponzor szerepét tölti be. Ha egy szponzor saját eszközt is é</w:t>
            </w:r>
            <w:r>
              <w:rPr>
                <w:rFonts w:ascii="Times New Roman" w:hAnsi="Times New Roman"/>
                <w:sz w:val="24"/>
              </w:rPr>
              <w:t>r</w:t>
            </w:r>
            <w:r>
              <w:rPr>
                <w:rFonts w:ascii="Times New Roman" w:hAnsi="Times New Roman"/>
                <w:sz w:val="24"/>
              </w:rPr>
              <w:t>tékpapírosít, akkor a saját értékpapírosított eszközökkel kapcsolatos informác</w:t>
            </w:r>
            <w:r>
              <w:rPr>
                <w:rFonts w:ascii="Times New Roman" w:hAnsi="Times New Roman"/>
                <w:sz w:val="24"/>
              </w:rPr>
              <w:t>i</w:t>
            </w:r>
            <w:r>
              <w:rPr>
                <w:rFonts w:ascii="Times New Roman" w:hAnsi="Times New Roman"/>
                <w:sz w:val="24"/>
              </w:rPr>
              <w:t>ókat az értékpapírosítást kezdeményezőre vonatkozó sorokban kell megadnia.</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190-210</w:t>
            </w:r>
          </w:p>
        </w:tc>
        <w:tc>
          <w:tcPr>
            <w:tcW w:w="7903" w:type="dxa"/>
            <w:shd w:val="clear" w:color="auto" w:fill="auto"/>
          </w:tcPr>
          <w:p w:rsidR="00612780" w:rsidRPr="00392FFD" w:rsidRDefault="00F870AC"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MÉRLEGTÉTELEK</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Itt is ugyanazokat a besorolási kritériumokat kell alkalmazni, amelyek alapján az értékpapírosítást kezdeményezők mérlegtételei oszthatók fel értékpapírosítás és </w:t>
            </w:r>
            <w:proofErr w:type="gramStart"/>
            <w:r>
              <w:rPr>
                <w:rFonts w:ascii="Times New Roman" w:hAnsi="Times New Roman"/>
                <w:sz w:val="24"/>
              </w:rPr>
              <w:t>újra-értékpapírosítás szerint</w:t>
            </w:r>
            <w:proofErr w:type="gramEnd"/>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220-240</w:t>
            </w:r>
          </w:p>
        </w:tc>
        <w:tc>
          <w:tcPr>
            <w:tcW w:w="7903" w:type="dxa"/>
            <w:shd w:val="clear" w:color="auto" w:fill="auto"/>
          </w:tcPr>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MÉRLEGEN KÍVÜLI TÉTELEK </w:t>
            </w:r>
            <w:proofErr w:type="gramStart"/>
            <w:r>
              <w:rPr>
                <w:rFonts w:ascii="Times New Roman" w:hAnsi="Times New Roman"/>
                <w:b/>
                <w:sz w:val="24"/>
                <w:u w:val="single"/>
              </w:rPr>
              <w:t>ÉS</w:t>
            </w:r>
            <w:proofErr w:type="gramEnd"/>
            <w:r>
              <w:rPr>
                <w:rFonts w:ascii="Times New Roman" w:hAnsi="Times New Roman"/>
                <w:b/>
                <w:sz w:val="24"/>
                <w:u w:val="single"/>
              </w:rPr>
              <w:t xml:space="preserve"> SZÁRMAZTATOTT ÜGYLETEK</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Itt is ugyanazokat a besorolási kritériumokat kell alkalmazni, amelyek alapján az értékpapírosítást kezdeményezők mérlegen kívüli tételei és származtatott ügyletei oszthatók fel értékpapírosítás és </w:t>
            </w:r>
            <w:proofErr w:type="gramStart"/>
            <w:r>
              <w:rPr>
                <w:rFonts w:ascii="Times New Roman" w:hAnsi="Times New Roman"/>
                <w:sz w:val="24"/>
              </w:rPr>
              <w:t>újra-értékpapírosítás szerint</w:t>
            </w:r>
            <w:proofErr w:type="gramEnd"/>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250-290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 FENNÁLLÓ POZÍCIÓK KEZDETI HITELMINŐSÉGI BESOROLÁS SZERINTI BONTÁSA</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Ezek a sorok az adatszolgáltatás időpontjában fennálló, minősítésen alapuló módszer szerint kezelt és nem minősített pozíciókkal kapcsolatos információkat </w:t>
            </w:r>
            <w:r>
              <w:rPr>
                <w:rFonts w:ascii="Times New Roman" w:hAnsi="Times New Roman"/>
                <w:sz w:val="24"/>
              </w:rPr>
              <w:lastRenderedPageBreak/>
              <w:t>gyűjtenek az SA módszerre vonatkozóan a CRR 251. cikkében (1. táblázat) megadott, a kezdeményezésük (keletkezésük) időpontjában alkalmazott hite</w:t>
            </w:r>
            <w:r>
              <w:rPr>
                <w:rFonts w:ascii="Times New Roman" w:hAnsi="Times New Roman"/>
                <w:sz w:val="24"/>
              </w:rPr>
              <w:t>l</w:t>
            </w:r>
            <w:r>
              <w:rPr>
                <w:rFonts w:ascii="Times New Roman" w:hAnsi="Times New Roman"/>
                <w:sz w:val="24"/>
              </w:rPr>
              <w:t>minőségi besorolások szerint. Ezen adatok hiányában a hitelminőségi besor</w:t>
            </w:r>
            <w:r>
              <w:rPr>
                <w:rFonts w:ascii="Times New Roman" w:hAnsi="Times New Roman"/>
                <w:sz w:val="24"/>
              </w:rPr>
              <w:t>o</w:t>
            </w:r>
            <w:r>
              <w:rPr>
                <w:rFonts w:ascii="Times New Roman" w:hAnsi="Times New Roman"/>
                <w:sz w:val="24"/>
              </w:rPr>
              <w:t>lásnak megfelelő, rendelkezésre álló adatok közül a legkorábbiakat kell mega</w:t>
            </w:r>
            <w:r>
              <w:rPr>
                <w:rFonts w:ascii="Times New Roman" w:hAnsi="Times New Roman"/>
                <w:sz w:val="24"/>
              </w:rPr>
              <w:t>d</w:t>
            </w:r>
            <w:r>
              <w:rPr>
                <w:rFonts w:ascii="Times New Roman" w:hAnsi="Times New Roman"/>
                <w:sz w:val="24"/>
              </w:rPr>
              <w:t>ni.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sorokat kizárólag a 190., 210–270. és 330–340. oszlopban kell kitölteni.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9" w:name="_Toc239157387"/>
      <w:bookmarkStart w:id="460" w:name="_Toc310415042"/>
      <w:bookmarkStart w:id="461" w:name="_Toc360188378"/>
      <w:bookmarkStart w:id="462" w:name="_Toc516210664"/>
      <w:bookmarkStart w:id="463" w:name="_Toc473560929"/>
      <w:bookmarkStart w:id="464" w:name="_Toc524014723"/>
      <w:r>
        <w:rPr>
          <w:rFonts w:ascii="Times New Roman" w:hAnsi="Times New Roman"/>
          <w:sz w:val="24"/>
          <w:u w:val="none"/>
        </w:rPr>
        <w:t>3.8.</w:t>
      </w:r>
      <w:r w:rsidRPr="00F870AC">
        <w:rPr>
          <w:u w:val="none"/>
        </w:rPr>
        <w:tab/>
      </w:r>
      <w:r>
        <w:rPr>
          <w:rFonts w:ascii="Times New Roman" w:hAnsi="Times New Roman"/>
          <w:sz w:val="24"/>
        </w:rPr>
        <w:t>C 13.00 – Hitelkockázat: Értékpapírosítás – Az IRB-módszer szerinti szavatolótőke-követelmény</w:t>
      </w:r>
      <w:bookmarkEnd w:id="459"/>
      <w:bookmarkEnd w:id="460"/>
      <w:bookmarkEnd w:id="461"/>
      <w:r>
        <w:rPr>
          <w:rFonts w:ascii="Times New Roman" w:hAnsi="Times New Roman"/>
          <w:sz w:val="24"/>
        </w:rPr>
        <w:t xml:space="preserve"> (CR SEC IRB)</w:t>
      </w:r>
      <w:bookmarkEnd w:id="462"/>
      <w:bookmarkEnd w:id="463"/>
      <w:bookmarkEnd w:id="464"/>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65" w:name="_Toc239157388"/>
      <w:bookmarkStart w:id="466" w:name="_Toc310415043"/>
      <w:bookmarkStart w:id="467" w:name="_Toc360188379"/>
      <w:bookmarkStart w:id="468" w:name="_Toc516210665"/>
      <w:bookmarkStart w:id="469" w:name="_Toc473560930"/>
      <w:bookmarkStart w:id="470" w:name="_Toc524014724"/>
      <w:r>
        <w:rPr>
          <w:rFonts w:ascii="Times New Roman" w:hAnsi="Times New Roman"/>
          <w:sz w:val="24"/>
          <w:u w:val="none"/>
        </w:rPr>
        <w:t>3.8.1.</w:t>
      </w:r>
      <w:r w:rsidRPr="00F870AC">
        <w:rPr>
          <w:u w:val="none"/>
        </w:rPr>
        <w:tab/>
      </w:r>
      <w:r>
        <w:rPr>
          <w:rFonts w:ascii="Times New Roman" w:hAnsi="Times New Roman"/>
          <w:sz w:val="24"/>
        </w:rPr>
        <w:t>Általános megjegyzések</w:t>
      </w:r>
      <w:bookmarkEnd w:id="465"/>
      <w:bookmarkEnd w:id="466"/>
      <w:bookmarkEnd w:id="467"/>
      <w:bookmarkEnd w:id="468"/>
      <w:bookmarkEnd w:id="469"/>
      <w:bookmarkEnd w:id="470"/>
    </w:p>
    <w:p w:rsidR="00612780" w:rsidRDefault="00125707" w:rsidP="00C37B29">
      <w:pPr>
        <w:pStyle w:val="InstructionsText2"/>
        <w:numPr>
          <w:ilvl w:val="0"/>
          <w:numId w:val="0"/>
        </w:numPr>
        <w:ind w:left="993"/>
      </w:pPr>
      <w:r>
        <w:t>104.</w:t>
      </w:r>
      <w:r>
        <w:tab/>
        <w:t>Az e táblán szereplő információk megadása minden olyan értékpapírosításra vonatkozóan szükséges, amely jelentős kockázatátruházás elismerésével jár, és amelynél az adatszolgáltató intézmény az IRB-módszer szerint kezelt értékpapíros</w:t>
      </w:r>
      <w:r>
        <w:t>í</w:t>
      </w:r>
      <w:r>
        <w:t>tásban érintett. A 2019. január 1. utáni adatszolgáltatási időpontokban azokat az é</w:t>
      </w:r>
      <w:r>
        <w:t>r</w:t>
      </w:r>
      <w:r>
        <w:t>tékpapírosításokat, amelyeknek kockázattal súlyozott kitettségértékei a felülvizsgált értékpapírosítási keret alapján kerültek meghatározásra, ebben a táblában nem, csak a C 02.00 táblában kell feltüntetni. Ugyanígy a 2019. január 1. utáni adatszolgált</w:t>
      </w:r>
      <w:r>
        <w:t>a</w:t>
      </w:r>
      <w:r>
        <w:t>tási időpontokban azokat az értékpapírosítási pozíciókat, amelyekre a felülvizsgált értékpapírosítási keret szerint 1 250 %-os kockázati súly alkalmazandó, és amelyek a CRR 36. cikke (1) bekezdése k) pontjának ii. alpontja alapján levonásra kerülnek a CET1 tőkéből, ebben a táblában nem, csak a C 01.00 táblában kell feltüntetni.</w:t>
      </w:r>
    </w:p>
    <w:p w:rsidR="001D5403" w:rsidRDefault="00C67004" w:rsidP="00C37B29">
      <w:pPr>
        <w:pStyle w:val="InstructionsText2"/>
        <w:numPr>
          <w:ilvl w:val="0"/>
          <w:numId w:val="0"/>
        </w:numPr>
        <w:ind w:left="993"/>
      </w:pPr>
      <w:r>
        <w:t>104a. E tábla alkalmazásában a CRR harmadik része, II. címe 5. fejezetének cikke</w:t>
      </w:r>
      <w:r>
        <w:t>i</w:t>
      </w:r>
      <w:r>
        <w:t>re való hivatkozások a CRR 2018. december 31-én alkalmazandó változatára való hivatkozásként értendők.</w:t>
      </w:r>
    </w:p>
    <w:p w:rsidR="00612780" w:rsidRPr="00392FFD" w:rsidRDefault="00125707" w:rsidP="00C37B29">
      <w:pPr>
        <w:pStyle w:val="InstructionsText2"/>
        <w:numPr>
          <w:ilvl w:val="0"/>
          <w:numId w:val="0"/>
        </w:numPr>
        <w:ind w:left="993"/>
      </w:pPr>
      <w:r>
        <w:t>105.</w:t>
      </w:r>
      <w:r>
        <w:tab/>
        <w:t>A feltüntetendő információk az intézménynek az értékpapírosításban betöltött szerepétől függnek. Így külön adatszolgáltatási tételek vonatkoznak az értékpapír</w:t>
      </w:r>
      <w:r>
        <w:t>o</w:t>
      </w:r>
      <w:r>
        <w:t>sítást kezdeményezőkre, a szponzorokra és a befektetőkre.</w:t>
      </w:r>
    </w:p>
    <w:p w:rsidR="00612780" w:rsidRPr="00392FFD" w:rsidRDefault="00125707" w:rsidP="00C37B29">
      <w:pPr>
        <w:pStyle w:val="InstructionsText2"/>
        <w:numPr>
          <w:ilvl w:val="0"/>
          <w:numId w:val="0"/>
        </w:numPr>
        <w:ind w:left="993"/>
      </w:pPr>
      <w:r>
        <w:t>106.</w:t>
      </w:r>
      <w:r>
        <w:tab/>
        <w:t xml:space="preserve">A CR SEC IRB tábla alkalmazási köre megegyezik a CR SEC SA tábláéval: összesített információkat gyűjt a banki könyvben nyilvántartott hagyományos és szintetikus értékpapírosításokról. </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1" w:name="_Toc239157389"/>
      <w:bookmarkStart w:id="472" w:name="_Toc310415044"/>
      <w:bookmarkStart w:id="473" w:name="_Toc360188380"/>
      <w:bookmarkStart w:id="474" w:name="_Toc516210666"/>
      <w:bookmarkStart w:id="475" w:name="_Toc473560931"/>
      <w:bookmarkStart w:id="476" w:name="_Toc524014725"/>
      <w:r>
        <w:rPr>
          <w:rFonts w:ascii="Times New Roman" w:hAnsi="Times New Roman"/>
          <w:sz w:val="24"/>
          <w:u w:val="none"/>
        </w:rPr>
        <w:t>3.8.2.</w:t>
      </w:r>
      <w:r w:rsidRPr="00F870AC">
        <w:rPr>
          <w:u w:val="none"/>
        </w:rPr>
        <w:tab/>
      </w:r>
      <w:r>
        <w:rPr>
          <w:rFonts w:ascii="Times New Roman" w:hAnsi="Times New Roman"/>
          <w:sz w:val="24"/>
        </w:rPr>
        <w:t>A tábla egyes részeire vonatkozó útmutató</w:t>
      </w:r>
      <w:bookmarkEnd w:id="471"/>
      <w:bookmarkEnd w:id="472"/>
      <w:bookmarkEnd w:id="473"/>
      <w:bookmarkEnd w:id="474"/>
      <w:bookmarkEnd w:id="475"/>
      <w:bookmarkEnd w:id="47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ind w:left="426"/>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Oszlopok</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ÉRTÉKPAPÍROSÍTÁSRA KERÜLŐ KITETTSÉGEK ÖSSZÉRTÉKE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 mérlegtételek összértékét tartalmazó </w:t>
            </w:r>
            <w:proofErr w:type="gramStart"/>
            <w:r>
              <w:rPr>
                <w:rFonts w:ascii="Times New Roman" w:hAnsi="Times New Roman"/>
                <w:sz w:val="24"/>
              </w:rPr>
              <w:t>sorban</w:t>
            </w:r>
            <w:proofErr w:type="gramEnd"/>
            <w:r>
              <w:rPr>
                <w:rFonts w:ascii="Times New Roman" w:hAnsi="Times New Roman"/>
                <w:sz w:val="24"/>
              </w:rPr>
              <w:t xml:space="preserve"> az ebben az oszlopban feltünt</w:t>
            </w:r>
            <w:r>
              <w:rPr>
                <w:rFonts w:ascii="Times New Roman" w:hAnsi="Times New Roman"/>
                <w:sz w:val="24"/>
              </w:rPr>
              <w:t>e</w:t>
            </w:r>
            <w:r>
              <w:rPr>
                <w:rFonts w:ascii="Times New Roman" w:hAnsi="Times New Roman"/>
                <w:sz w:val="24"/>
              </w:rPr>
              <w:t>tett összeg az adatszolgáltatás időpontjában fennálló értékpapírosított kitetts</w:t>
            </w:r>
            <w:r>
              <w:rPr>
                <w:rFonts w:ascii="Times New Roman" w:hAnsi="Times New Roman"/>
                <w:sz w:val="24"/>
              </w:rPr>
              <w:t>é</w:t>
            </w:r>
            <w:r>
              <w:rPr>
                <w:rFonts w:ascii="Times New Roman" w:hAnsi="Times New Roman"/>
                <w:sz w:val="24"/>
              </w:rPr>
              <w:t>gek összegének felel meg.</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Lásd a CR SEC SA tábla 010-es oszlopát.</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SZINTETIKUS ÉRTÉKPAPÍROSÍTÁS: ÉRTÉKPAPÍROSÍTOTT K</w:t>
            </w:r>
            <w:r>
              <w:rPr>
                <w:rFonts w:ascii="Times New Roman" w:hAnsi="Times New Roman"/>
                <w:b/>
                <w:sz w:val="24"/>
                <w:u w:val="single"/>
              </w:rPr>
              <w:t>I</w:t>
            </w:r>
            <w:r>
              <w:rPr>
                <w:rFonts w:ascii="Times New Roman" w:hAnsi="Times New Roman"/>
                <w:b/>
                <w:sz w:val="24"/>
                <w:u w:val="single"/>
              </w:rPr>
              <w:t>TETTSÉGEK HITELKOCKÁZATI FEDEZETE</w:t>
            </w:r>
          </w:p>
          <w:p w:rsidR="00612780" w:rsidRPr="00392FFD" w:rsidRDefault="00612780" w:rsidP="00612780">
            <w:pPr>
              <w:spacing w:before="0" w:after="0"/>
              <w:jc w:val="left"/>
              <w:rPr>
                <w:rFonts w:ascii="Times New Roman" w:hAnsi="Times New Roman"/>
                <w:sz w:val="24"/>
              </w:rPr>
            </w:pPr>
          </w:p>
          <w:p w:rsidR="00612780" w:rsidRPr="00392FFD" w:rsidRDefault="00F870AC" w:rsidP="00612780">
            <w:pPr>
              <w:spacing w:before="0" w:after="0"/>
              <w:rPr>
                <w:rFonts w:ascii="Times New Roman" w:hAnsi="Times New Roman"/>
                <w:sz w:val="24"/>
              </w:rPr>
            </w:pPr>
            <w:r>
              <w:rPr>
                <w:rFonts w:ascii="Times New Roman" w:hAnsi="Times New Roman"/>
                <w:sz w:val="24"/>
              </w:rPr>
              <w:t>A CRR 249. és 250. cikke.</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bCs/>
                <w:sz w:val="24"/>
              </w:rPr>
            </w:pPr>
            <w:r>
              <w:rPr>
                <w:rFonts w:ascii="Times New Roman" w:hAnsi="Times New Roman"/>
                <w:sz w:val="24"/>
              </w:rPr>
              <w:t xml:space="preserve">Az értékpapírosítási struktúrában foglalt hitelkockázat-mérséklési technikák korrigált értékében a lejárati eltérések nem vehetők figyelembe.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ELŐRE RENDELKEZÉSRE BOCSÁTOTT HITELKOCKÁZATI FEDEZET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biztosítéknak az ebben az oszlopban feltüntetendő volatilitással korrigált é</w:t>
            </w:r>
            <w:r>
              <w:rPr>
                <w:rFonts w:ascii="Times New Roman" w:hAnsi="Times New Roman"/>
                <w:sz w:val="24"/>
              </w:rPr>
              <w:t>r</w:t>
            </w:r>
            <w:r>
              <w:rPr>
                <w:rFonts w:ascii="Times New Roman" w:hAnsi="Times New Roman"/>
                <w:sz w:val="24"/>
              </w:rPr>
              <w:t>tékére (C</w:t>
            </w:r>
            <w:r>
              <w:rPr>
                <w:rFonts w:ascii="Times New Roman" w:hAnsi="Times New Roman"/>
                <w:sz w:val="24"/>
                <w:vertAlign w:val="subscript"/>
              </w:rPr>
              <w:t>VA</w:t>
            </w:r>
            <w:r>
              <w:rPr>
                <w:rFonts w:ascii="Times New Roman" w:hAnsi="Times New Roman"/>
                <w:sz w:val="24"/>
              </w:rPr>
              <w:t>) vonatkozó részletes számítási eljárást a CRR 223. cikkének (2) bekezdése rögzíti.</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KIÁRAMLÁSOK ÖSSZESEN: ELŐRE NEM RENDELKEZÉSRE BOCSÁTOTT HITELKOCKÁZATI FEDEZET: KORRIGÁLT ÉRT</w:t>
            </w:r>
            <w:r>
              <w:rPr>
                <w:rFonts w:ascii="Times New Roman" w:hAnsi="Times New Roman"/>
                <w:b/>
                <w:sz w:val="24"/>
                <w:u w:val="single"/>
              </w:rPr>
              <w:t>É</w:t>
            </w:r>
            <w:r>
              <w:rPr>
                <w:rFonts w:ascii="Times New Roman" w:hAnsi="Times New Roman"/>
                <w:b/>
                <w:sz w:val="24"/>
                <w:u w:val="single"/>
              </w:rPr>
              <w:t xml:space="preserve">KEK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A be- és kiáramlások általános szabálya szerint a CR SEC IRB tábla 030-as oszlopban feltüntetett összegek a megfelelő hitelkockázati táblán (CR SA vagy CR IRB), valamint a fedezetnyújtóhoz (vagyis ahhoz a harmadik félhez, amelynek az ügyletrészsorozatot az előre nem rendelkezésre bocsátott hitelko</w:t>
            </w:r>
            <w:r>
              <w:rPr>
                <w:rFonts w:ascii="Times New Roman" w:hAnsi="Times New Roman"/>
                <w:sz w:val="24"/>
              </w:rPr>
              <w:t>c</w:t>
            </w:r>
            <w:r>
              <w:rPr>
                <w:rFonts w:ascii="Times New Roman" w:hAnsi="Times New Roman"/>
                <w:sz w:val="24"/>
              </w:rPr>
              <w:t>kázati fedezet útján átadják) tartozó kitettségi osztályban beáramlásként jele</w:t>
            </w:r>
            <w:r>
              <w:rPr>
                <w:rFonts w:ascii="Times New Roman" w:hAnsi="Times New Roman"/>
                <w:sz w:val="24"/>
              </w:rPr>
              <w:t>n</w:t>
            </w:r>
            <w:r>
              <w:rPr>
                <w:rFonts w:ascii="Times New Roman" w:hAnsi="Times New Roman"/>
                <w:sz w:val="24"/>
              </w:rPr>
              <w:t>nek meg</w:t>
            </w:r>
            <w:r>
              <w:rPr>
                <w:rFonts w:ascii="Times New Roman" w:hAnsi="Times New Roman"/>
                <w:i/>
                <w:sz w:val="24"/>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hitelkockázati fedezet devizaárfolyam-kockázattal korrigált értékére (G*) vonatkozó részletes számítási eljárást a CRR 233. cikkének (3) bekezdése rö</w:t>
            </w:r>
            <w:r>
              <w:rPr>
                <w:rFonts w:ascii="Times New Roman" w:hAnsi="Times New Roman"/>
                <w:sz w:val="24"/>
              </w:rPr>
              <w:t>g</w:t>
            </w:r>
            <w:r>
              <w:rPr>
                <w:rFonts w:ascii="Times New Roman" w:hAnsi="Times New Roman"/>
                <w:sz w:val="24"/>
              </w:rPr>
              <w:t>zíti.</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 VISSZATARTOTT VAGY VISSZAVÁSÁROLT HITELKOCKÁZATI FEDEZET NÉVLEGES ÖSSZEGE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Valamennyi visszatartott vagy visszavásárolt ügyletrészsorozatot, pl. a vissz</w:t>
            </w:r>
            <w:r>
              <w:rPr>
                <w:rFonts w:ascii="Times New Roman" w:hAnsi="Times New Roman"/>
                <w:sz w:val="24"/>
              </w:rPr>
              <w:t>a</w:t>
            </w:r>
            <w:r>
              <w:rPr>
                <w:rFonts w:ascii="Times New Roman" w:hAnsi="Times New Roman"/>
                <w:sz w:val="24"/>
              </w:rPr>
              <w:t>tartott, első veszteségviselő kategóriába tartozó pozíciókat névleges összegen kell feltüntetni.</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hitelkockázati fedezet visszatartott vagy visszavásárolt összegének kiszám</w:t>
            </w:r>
            <w:r>
              <w:rPr>
                <w:rFonts w:ascii="Times New Roman" w:hAnsi="Times New Roman"/>
                <w:sz w:val="24"/>
              </w:rPr>
              <w:t>í</w:t>
            </w:r>
            <w:r>
              <w:rPr>
                <w:rFonts w:ascii="Times New Roman" w:hAnsi="Times New Roman"/>
                <w:sz w:val="24"/>
              </w:rPr>
              <w:t>tásakor nem vehető figyelembe a hitelkockázati fedezetben végrehajtott fel</w:t>
            </w:r>
            <w:r>
              <w:rPr>
                <w:rFonts w:ascii="Times New Roman" w:hAnsi="Times New Roman"/>
                <w:sz w:val="24"/>
              </w:rPr>
              <w:t>ü</w:t>
            </w:r>
            <w:r>
              <w:rPr>
                <w:rFonts w:ascii="Times New Roman" w:hAnsi="Times New Roman"/>
                <w:sz w:val="24"/>
              </w:rPr>
              <w:t>gyeleti korrekció hatása.</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903" w:type="dxa"/>
          </w:tcPr>
          <w:p w:rsidR="00612780" w:rsidRPr="00672D2A" w:rsidRDefault="00612780" w:rsidP="00612780">
            <w:pPr>
              <w:spacing w:before="0" w:after="0"/>
              <w:rPr>
                <w:rFonts w:ascii="Times New Roman" w:hAnsi="Times New Roman"/>
                <w:b/>
                <w:sz w:val="24"/>
                <w:u w:val="single"/>
              </w:rPr>
            </w:pPr>
            <w:r>
              <w:rPr>
                <w:rFonts w:ascii="Times New Roman" w:hAnsi="Times New Roman"/>
                <w:b/>
                <w:sz w:val="24"/>
                <w:u w:val="single"/>
              </w:rPr>
              <w:t xml:space="preserve">ÉRTÉKPAPÍROSÍTÁSI POZÍCIÓK: HITEL-EGYENÉRTÉKESÍTÉSI TÉNYEZŐK ELŐTTI EREDETI KITETTSÉG </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adatszolgáltató intézmény által tartott, a CRR 246. cikke (1) bekezdésének b), d) és e) pontja és (2) bekezdése alapján számított értékpapírosítási pozíciók a hitel-egyenértékesítési tényezők alkalmazása, valamint az értékelési korrekc</w:t>
            </w:r>
            <w:r>
              <w:rPr>
                <w:rFonts w:ascii="Times New Roman" w:hAnsi="Times New Roman"/>
                <w:sz w:val="24"/>
              </w:rPr>
              <w:t>i</w:t>
            </w:r>
            <w:r>
              <w:rPr>
                <w:rFonts w:ascii="Times New Roman" w:hAnsi="Times New Roman"/>
                <w:sz w:val="24"/>
              </w:rPr>
              <w:t xml:space="preserve">ók és a céltartalékok levonása nélkül. Nettósítás kizárólag akkor alkalmazható, ha egy különleges célú gazdasági egységnek (SSPE) egy elismert nettósítási megállapodás keretében több származtatott ügylete áll fenn.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ebben az oszlopban feltüntetendő értékelési korrekciók és céltartalékok k</w:t>
            </w:r>
            <w:r>
              <w:rPr>
                <w:rFonts w:ascii="Times New Roman" w:hAnsi="Times New Roman"/>
                <w:sz w:val="24"/>
              </w:rPr>
              <w:t>i</w:t>
            </w:r>
            <w:r>
              <w:rPr>
                <w:rFonts w:ascii="Times New Roman" w:hAnsi="Times New Roman"/>
                <w:sz w:val="24"/>
              </w:rPr>
              <w:t>zárólag az értékpapírosítási pozíciókra vonatkoznak. Az értékpapírosított poz</w:t>
            </w:r>
            <w:r>
              <w:rPr>
                <w:rFonts w:ascii="Times New Roman" w:hAnsi="Times New Roman"/>
                <w:sz w:val="24"/>
              </w:rPr>
              <w:t>í</w:t>
            </w:r>
            <w:r>
              <w:rPr>
                <w:rFonts w:ascii="Times New Roman" w:hAnsi="Times New Roman"/>
                <w:sz w:val="24"/>
              </w:rPr>
              <w:t>ciók értékelési korrekciója nem vehető figyelembe.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 gyorsított visszafizetést biztosító rendelkezések esetében az intézményeknek meg kell adniuk a CRR 256. cikkének (2) bekezdése szerint az értékpapírosítást kezdeményezőre jutó rész összegét.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szintetikus értékpapírosításoknál az értékpapírosítást kezdeményező által mérlegtételek és/vagy befektetői érdekeltség (gyorsított visszafizetés) formáj</w:t>
            </w:r>
            <w:r>
              <w:rPr>
                <w:rFonts w:ascii="Times New Roman" w:hAnsi="Times New Roman"/>
                <w:sz w:val="24"/>
              </w:rPr>
              <w:t>á</w:t>
            </w:r>
            <w:r>
              <w:rPr>
                <w:rFonts w:ascii="Times New Roman" w:hAnsi="Times New Roman"/>
                <w:sz w:val="24"/>
              </w:rPr>
              <w:t>ban tartott pozíciók értéke a 010–040. oszlopok összesítéséből adódik.</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 KITETTSÉGRE HELYETTESÍTÉSI HATÁSSAL JÁRÓ HITE</w:t>
            </w:r>
            <w:r>
              <w:rPr>
                <w:rFonts w:ascii="Times New Roman" w:hAnsi="Times New Roman"/>
                <w:b/>
                <w:sz w:val="24"/>
                <w:u w:val="single"/>
              </w:rPr>
              <w:t>L</w:t>
            </w:r>
            <w:r>
              <w:rPr>
                <w:rFonts w:ascii="Times New Roman" w:hAnsi="Times New Roman"/>
                <w:b/>
                <w:sz w:val="24"/>
                <w:u w:val="single"/>
              </w:rPr>
              <w:t>KOCKÁZAT-MÉRSÉKLÉSI (CRM) TECHNIKÁK</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Lásd a CRR 4. cikke (1) bekezdésének 57. pontját, valamint a CRR harmadik része II. címének 4. fejezetét.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Ez az oszlopcsoport az olyan hitelkockázat-mérséklési technikákról gyűjt i</w:t>
            </w:r>
            <w:r>
              <w:rPr>
                <w:rFonts w:ascii="Times New Roman" w:hAnsi="Times New Roman"/>
                <w:sz w:val="24"/>
              </w:rPr>
              <w:t>n</w:t>
            </w:r>
            <w:r>
              <w:rPr>
                <w:rFonts w:ascii="Times New Roman" w:hAnsi="Times New Roman"/>
                <w:sz w:val="24"/>
              </w:rPr>
              <w:t>formációkat, amelyek egy vagy több kitettség hitelkockázatát csökkentik a k</w:t>
            </w:r>
            <w:r>
              <w:rPr>
                <w:rFonts w:ascii="Times New Roman" w:hAnsi="Times New Roman"/>
                <w:sz w:val="24"/>
              </w:rPr>
              <w:t>i</w:t>
            </w:r>
            <w:r>
              <w:rPr>
                <w:rFonts w:ascii="Times New Roman" w:hAnsi="Times New Roman"/>
                <w:sz w:val="24"/>
              </w:rPr>
              <w:t>tettségeknek az alább a be- és kiáramlásokra vonatkozóan meghatározott h</w:t>
            </w:r>
            <w:r>
              <w:rPr>
                <w:rFonts w:ascii="Times New Roman" w:hAnsi="Times New Roman"/>
                <w:sz w:val="24"/>
              </w:rPr>
              <w:t>e</w:t>
            </w:r>
            <w:r>
              <w:rPr>
                <w:rFonts w:ascii="Times New Roman" w:hAnsi="Times New Roman"/>
                <w:sz w:val="24"/>
              </w:rPr>
              <w:t>lyettesítésével.</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w:t>
            </w:r>
          </w:p>
        </w:tc>
        <w:tc>
          <w:tcPr>
            <w:tcW w:w="7903" w:type="dxa"/>
          </w:tcPr>
          <w:p w:rsidR="00612780" w:rsidRPr="00392FFD" w:rsidRDefault="00C57F07" w:rsidP="00612780">
            <w:pPr>
              <w:spacing w:before="0" w:after="0"/>
              <w:jc w:val="left"/>
              <w:rPr>
                <w:rFonts w:ascii="Times New Roman" w:hAnsi="Times New Roman"/>
                <w:b/>
                <w:sz w:val="24"/>
                <w:u w:val="single"/>
              </w:rPr>
            </w:pPr>
            <w:r>
              <w:rPr>
                <w:rFonts w:ascii="Times New Roman" w:hAnsi="Times New Roman"/>
                <w:b/>
                <w:sz w:val="24"/>
                <w:u w:val="single"/>
              </w:rPr>
              <w:t>(–) ELŐRE NEM RENDELKEZÉSRE BOCSÁTOTT HITELKOCK</w:t>
            </w:r>
            <w:r>
              <w:rPr>
                <w:rFonts w:ascii="Times New Roman" w:hAnsi="Times New Roman"/>
                <w:b/>
                <w:sz w:val="24"/>
                <w:u w:val="single"/>
              </w:rPr>
              <w:t>Á</w:t>
            </w:r>
            <w:r>
              <w:rPr>
                <w:rFonts w:ascii="Times New Roman" w:hAnsi="Times New Roman"/>
                <w:b/>
                <w:sz w:val="24"/>
                <w:u w:val="single"/>
              </w:rPr>
              <w:t>ZATI FEDEZET: KORRIGÁLT ÉRTÉKEK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előre nem rendelkezésre bocsátott hitelkockázati fedezet meghatározása a CRR 4. cikke (1) bekezdésének 59. pontjában található.</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 CRR 236. cikke teljes/részleges fedezettség esetében mutatja be a G</w:t>
            </w:r>
            <w:r>
              <w:rPr>
                <w:rFonts w:ascii="Times New Roman" w:hAnsi="Times New Roman"/>
                <w:sz w:val="24"/>
                <w:vertAlign w:val="subscript"/>
              </w:rPr>
              <w:t>A</w:t>
            </w:r>
            <w:r>
              <w:rPr>
                <w:rFonts w:ascii="Times New Roman" w:hAnsi="Times New Roman"/>
                <w:sz w:val="24"/>
              </w:rPr>
              <w:t xml:space="preserve"> szám</w:t>
            </w:r>
            <w:r>
              <w:rPr>
                <w:rFonts w:ascii="Times New Roman" w:hAnsi="Times New Roman"/>
                <w:sz w:val="24"/>
              </w:rPr>
              <w:t>í</w:t>
            </w:r>
            <w:r>
              <w:rPr>
                <w:rFonts w:ascii="Times New Roman" w:hAnsi="Times New Roman"/>
                <w:sz w:val="24"/>
              </w:rPr>
              <w:t>tási módját (a veszteségviselési rangsorban azonos hely).</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sz w:val="24"/>
              </w:rPr>
              <w:t>Ez az információ a CR IRB tábla 040-es és 050-es oszlopához kapcsolódik.</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903" w:type="dxa"/>
          </w:tcPr>
          <w:p w:rsidR="00612780" w:rsidRPr="00392FFD" w:rsidRDefault="00C57F07" w:rsidP="00612780">
            <w:pPr>
              <w:spacing w:before="0" w:after="0"/>
              <w:rPr>
                <w:rFonts w:ascii="Times New Roman" w:hAnsi="Times New Roman"/>
                <w:b/>
                <w:sz w:val="24"/>
                <w:u w:val="single"/>
              </w:rPr>
            </w:pPr>
            <w:r>
              <w:rPr>
                <w:rFonts w:ascii="Times New Roman" w:hAnsi="Times New Roman"/>
                <w:b/>
                <w:sz w:val="24"/>
                <w:u w:val="single"/>
              </w:rPr>
              <w:t>(–) ELŐRE RENDELKEZÉSRE BOCSÁTOTT HITELKOCKÁZATI FEDEZET</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előre rendelkezésre bocsátott hitelkockázati fedezet meghatározása a CRR 4. cikke (1) bekezdésének 58. pontjában található.</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Mivel a pénzügyi biztosítékok egyszerű módszere nem alkalmazható, ebben az oszlopban kizárólag a CRR 200. cikke szerinti előre rendelkezésre bocsátott h</w:t>
            </w:r>
            <w:r>
              <w:rPr>
                <w:rFonts w:ascii="Times New Roman" w:hAnsi="Times New Roman"/>
                <w:sz w:val="24"/>
              </w:rPr>
              <w:t>i</w:t>
            </w:r>
            <w:r>
              <w:rPr>
                <w:rFonts w:ascii="Times New Roman" w:hAnsi="Times New Roman"/>
                <w:sz w:val="24"/>
              </w:rPr>
              <w:t>telkockázati fedezet tüntethető fel.</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 az információ a CR IRB tábla 060-as oszlopához kapcsolódik.</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 KITETTSÉG HITELKOCKÁZAT-MÉRSÉKLÉS MIATTI HELYE</w:t>
            </w:r>
            <w:r>
              <w:rPr>
                <w:rFonts w:ascii="Times New Roman" w:hAnsi="Times New Roman"/>
                <w:b/>
                <w:sz w:val="24"/>
                <w:u w:val="single"/>
              </w:rPr>
              <w:t>T</w:t>
            </w:r>
            <w:r>
              <w:rPr>
                <w:rFonts w:ascii="Times New Roman" w:hAnsi="Times New Roman"/>
                <w:b/>
                <w:sz w:val="24"/>
                <w:u w:val="single"/>
              </w:rPr>
              <w:t>TESÍTÉSE</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Az azonos kitettségi osztályba, illetve adott esetben kockázatisúly- vagy üg</w:t>
            </w:r>
            <w:r>
              <w:rPr>
                <w:rFonts w:ascii="Times New Roman" w:hAnsi="Times New Roman"/>
                <w:sz w:val="24"/>
              </w:rPr>
              <w:t>y</w:t>
            </w:r>
            <w:r>
              <w:rPr>
                <w:rFonts w:ascii="Times New Roman" w:hAnsi="Times New Roman"/>
                <w:sz w:val="24"/>
              </w:rPr>
              <w:t>fél-kategóriába tartozó be- és kiáramlásokat szintén fel kell tüntetni.</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KIÁRAMLÁSOK ÖSSZESEN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 CRR 236. cikke.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kiáramlások értéke megegyezik az értékelési korrekciókkal és céltartaléko</w:t>
            </w:r>
            <w:r>
              <w:rPr>
                <w:rFonts w:ascii="Times New Roman" w:hAnsi="Times New Roman"/>
                <w:sz w:val="24"/>
              </w:rPr>
              <w:t>k</w:t>
            </w:r>
            <w:r>
              <w:rPr>
                <w:rFonts w:ascii="Times New Roman" w:hAnsi="Times New Roman"/>
                <w:sz w:val="24"/>
              </w:rPr>
              <w:t>kal csökkentett kitettség fedezett részével, amelyet a kötelezett kitettségi oszt</w:t>
            </w:r>
            <w:r>
              <w:rPr>
                <w:rFonts w:ascii="Times New Roman" w:hAnsi="Times New Roman"/>
                <w:sz w:val="24"/>
              </w:rPr>
              <w:t>á</w:t>
            </w:r>
            <w:r>
              <w:rPr>
                <w:rFonts w:ascii="Times New Roman" w:hAnsi="Times New Roman"/>
                <w:sz w:val="24"/>
              </w:rPr>
              <w:t>lyából, illetve adott esetben kockázatisúly- vagy ügyfél-kategóriájából való l</w:t>
            </w:r>
            <w:r>
              <w:rPr>
                <w:rFonts w:ascii="Times New Roman" w:hAnsi="Times New Roman"/>
                <w:sz w:val="24"/>
              </w:rPr>
              <w:t>e</w:t>
            </w:r>
            <w:r>
              <w:rPr>
                <w:rFonts w:ascii="Times New Roman" w:hAnsi="Times New Roman"/>
                <w:sz w:val="24"/>
              </w:rPr>
              <w:t xml:space="preserve">vonást követően a fedezetnyújtó kitettségi osztályába, illetve adott esetben kockázatisúly- vagy ügyfél-kategóriájába kell sorolni.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Ezt az összeget a fedezetnyújtó kitettségi osztályába, illetve adott esetben kockázatisúly- vagy ügyfél-kategóriájába irányuló beáramlásnak kell tekintetni.</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 az információ a CR IRB tábla 070-as oszlopához kapcsolódik.</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BEÁRAMLÁSOK ÖSSZESEN</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Ez az információ a CR IRB tábla 080-as oszlopához kapcsolódik.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xml:space="preserve">HELYETTESÍTÉSI HATÁSSAL JÁRÓ CRM-TECHNIKÁK UTÁNI, </w:t>
            </w:r>
            <w:proofErr w:type="gramStart"/>
            <w:r>
              <w:rPr>
                <w:rStyle w:val="InstructionsTabelleberschrift"/>
                <w:rFonts w:ascii="Times New Roman" w:hAnsi="Times New Roman"/>
                <w:sz w:val="24"/>
              </w:rPr>
              <w:t>A</w:t>
            </w:r>
            <w:proofErr w:type="gramEnd"/>
            <w:r>
              <w:rPr>
                <w:rStyle w:val="InstructionsTabelleberschrift"/>
                <w:rFonts w:ascii="Times New Roman" w:hAnsi="Times New Roman"/>
                <w:sz w:val="24"/>
              </w:rPr>
              <w:t xml:space="preserve"> HITEL-EGYENÉRTÉKESÍTÉSI TÉNYEZŐK ELŐTTI KITETTSÉG</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A megfelelő kockázatisúly-kategóriába, illetve kitettségi osztályba sorolt kitettségérték a kitettségre helyettesítési hatással járó hitelkockázat-mérséklési (CRM) technikák miatti ki- és beáramlások figyelembevétele után.</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Ez az információ a CR IRB tábla 090-as oszlopához kapcsolódik.</w:t>
            </w: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A KITETTSÉGÉRTÉKET ÉRINTŐ HITELKOCKÁZAT-MÉRSÉKLÉSI TECHNIKÁK: ELŐRE RENDELKEZÉSRE BOCS</w:t>
            </w:r>
            <w:r>
              <w:rPr>
                <w:rStyle w:val="InstructionsTabelleberschrift"/>
                <w:rFonts w:ascii="Times New Roman" w:hAnsi="Times New Roman"/>
                <w:sz w:val="24"/>
              </w:rPr>
              <w:t>Á</w:t>
            </w:r>
            <w:r>
              <w:rPr>
                <w:rStyle w:val="InstructionsTabelleberschrift"/>
                <w:rFonts w:ascii="Times New Roman" w:hAnsi="Times New Roman"/>
                <w:sz w:val="24"/>
              </w:rPr>
              <w:t xml:space="preserve">TOTT HITELKOCKÁZATI FEDEZET, </w:t>
            </w:r>
            <w:proofErr w:type="gramStart"/>
            <w:r>
              <w:rPr>
                <w:rStyle w:val="InstructionsTabelleberschrift"/>
                <w:rFonts w:ascii="Times New Roman" w:hAnsi="Times New Roman"/>
                <w:sz w:val="24"/>
              </w:rPr>
              <w:t>A</w:t>
            </w:r>
            <w:proofErr w:type="gramEnd"/>
            <w:r>
              <w:rPr>
                <w:rStyle w:val="InstructionsTabelleberschrift"/>
                <w:rFonts w:ascii="Times New Roman" w:hAnsi="Times New Roman"/>
                <w:sz w:val="24"/>
              </w:rPr>
              <w:t xml:space="preserve"> PÉNZÜGYI BIZTOSÍT</w:t>
            </w:r>
            <w:r>
              <w:rPr>
                <w:rStyle w:val="InstructionsTabelleberschrift"/>
                <w:rFonts w:ascii="Times New Roman" w:hAnsi="Times New Roman"/>
                <w:sz w:val="24"/>
              </w:rPr>
              <w:t>É</w:t>
            </w:r>
            <w:r>
              <w:rPr>
                <w:rStyle w:val="InstructionsTabelleberschrift"/>
                <w:rFonts w:ascii="Times New Roman" w:hAnsi="Times New Roman"/>
                <w:sz w:val="24"/>
              </w:rPr>
              <w:t>KOK ÖSSZETETT MÓDSZERE, KORRIGÁLT ÉRTÉK (CVAM)</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FormatvorlageInstructionsTabelleText"/>
                <w:rFonts w:ascii="Times New Roman" w:hAnsi="Times New Roman"/>
                <w:sz w:val="24"/>
              </w:rPr>
              <w:t>A CRR 218–222. cikke. Ez a tétel a CRR 218. cikke szerinti hitelkockázati eseményhez kapcsolt értékpapírokat is magában foglalja.</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TELJES MÉRTÉKBEN KORRIGÁLT KITETTSÉGÉRTÉK (E*)</w:t>
            </w:r>
          </w:p>
          <w:p w:rsidR="00612780" w:rsidRPr="00392FFD" w:rsidRDefault="00612780" w:rsidP="00612780">
            <w:pPr>
              <w:pStyle w:val="Heading1"/>
              <w:rPr>
                <w:rFonts w:ascii="Times New Roman" w:eastAsia="Times New Roman" w:hAnsi="Times New Roman"/>
                <w:sz w:val="24"/>
                <w:szCs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CRR 246. cikke szerinti értékpapírosítási pozíciók, amelyekre a CRR 246. cikke (1) bekezdésének c) pontjában rögzített hitel-egyenértékesítési tényezők nem alkalmazhatók.</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130-160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A MÉRLEGEN KÍVÜLI TÉTELEK TELJES MÉRTÉKBEN KORR</w:t>
            </w:r>
            <w:r>
              <w:rPr>
                <w:rFonts w:ascii="Times New Roman" w:hAnsi="Times New Roman"/>
                <w:b/>
                <w:sz w:val="24"/>
                <w:u w:val="single"/>
              </w:rPr>
              <w:t>I</w:t>
            </w:r>
            <w:r>
              <w:rPr>
                <w:rFonts w:ascii="Times New Roman" w:hAnsi="Times New Roman"/>
                <w:b/>
                <w:sz w:val="24"/>
                <w:u w:val="single"/>
              </w:rPr>
              <w:t>GÁLT KITETTSÉGÉRTÉKE (E*) HITEL-EGYENÉRTÉKESÍTÉSI TÉNYEZŐ SZERINT</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CRR 246. cikke (1) bekezdésének c) pontja szerint a mérlegen kívüli értékpapírosítási pozícióhoz tartozó kitettség értéke annak névértéke egy hitel-egyenértékesítési tényezővel megszorozva. Eltérő rendelkezés hiányában ez a hitel-egyenértékesítési tényező 100 %.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Erre vonatkozóan a hitel-egyenértékesítési tényezőt a CRR 4. cikke (1) bekezdésének 56. pontja határozza meg.</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adatszolgáltatás során a teljes mértékben korrigált kitettségértéket (E*) a h</w:t>
            </w:r>
            <w:r>
              <w:rPr>
                <w:rFonts w:ascii="Times New Roman" w:hAnsi="Times New Roman"/>
                <w:sz w:val="24"/>
              </w:rPr>
              <w:t>i</w:t>
            </w:r>
            <w:r>
              <w:rPr>
                <w:rFonts w:ascii="Times New Roman" w:hAnsi="Times New Roman"/>
                <w:sz w:val="24"/>
              </w:rPr>
              <w:t>tel-egyenértékesítési tényezők alábbi négy, egymást kölcsönösen kizáró tart</w:t>
            </w:r>
            <w:r>
              <w:rPr>
                <w:rFonts w:ascii="Times New Roman" w:hAnsi="Times New Roman"/>
                <w:sz w:val="24"/>
              </w:rPr>
              <w:t>o</w:t>
            </w:r>
            <w:r>
              <w:rPr>
                <w:rFonts w:ascii="Times New Roman" w:hAnsi="Times New Roman"/>
                <w:sz w:val="24"/>
              </w:rPr>
              <w:t>mánya szerint kell megadni: 0 %, [0 %, 20 %], [20 %, 50 %] és [50 %, 100 %].</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KITETTSÉGÉRTÉK</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CRR 246. cikke szerinti értékpapírosítási pozíciók.</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Ez az információ a CR IRB tábla 110-as oszlopához kapcsolódik. </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A SZAVATOLÓ TŐKÉBŐL LEVONT KITETTSÉGÉRTÉK</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 CRR 266. cikkének (3) bekezdése szerint az intézmények az olyan értékpapírosítási pozíciók esetében, amelyekhez 1 250 %-os kockázati súlyt rendeltek, a pozícióknak a kockázattal súlyozott kitettségérték kiszámításánál történő figyelembevétele helyett a pozíciók kitettségértékét levonhatják szav</w:t>
            </w:r>
            <w:r>
              <w:rPr>
                <w:rFonts w:ascii="Times New Roman" w:hAnsi="Times New Roman"/>
                <w:sz w:val="24"/>
              </w:rPr>
              <w:t>a</w:t>
            </w:r>
            <w:r>
              <w:rPr>
                <w:rFonts w:ascii="Times New Roman" w:hAnsi="Times New Roman"/>
                <w:sz w:val="24"/>
              </w:rPr>
              <w:t>toló tőkéjükből.</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KOCKÁZATI SÚLYOZÁS ALÁ TARTOZÓ KITETTSÉGÉRTÉK</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200-320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MINŐSÍTÉSEN ALAPULÓ MÓDSZER (HITELMINŐSÉGI BESOR</w:t>
            </w:r>
            <w:r>
              <w:rPr>
                <w:rFonts w:ascii="Times New Roman" w:hAnsi="Times New Roman"/>
                <w:b/>
                <w:sz w:val="24"/>
                <w:u w:val="single"/>
              </w:rPr>
              <w:t>O</w:t>
            </w:r>
            <w:r>
              <w:rPr>
                <w:rFonts w:ascii="Times New Roman" w:hAnsi="Times New Roman"/>
                <w:b/>
                <w:sz w:val="24"/>
                <w:u w:val="single"/>
              </w:rPr>
              <w:t>LÁSOK)</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 CRR 261. cikke.</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 CRR 259. cikkének (2) bekezdése szerinti származtatott hitelminősítéssel rendelkező IRB értékpapírosítási pozíciókat minősített pozícióként kell feltü</w:t>
            </w:r>
            <w:r>
              <w:rPr>
                <w:rFonts w:ascii="Times New Roman" w:hAnsi="Times New Roman"/>
                <w:sz w:val="24"/>
              </w:rPr>
              <w:t>n</w:t>
            </w:r>
            <w:r>
              <w:rPr>
                <w:rFonts w:ascii="Times New Roman" w:hAnsi="Times New Roman"/>
                <w:sz w:val="24"/>
              </w:rPr>
              <w:t>tetni.</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kockázati súlyozás alá tartozó kitettségértékeket az IRB-módszerre vonatk</w:t>
            </w:r>
            <w:r>
              <w:rPr>
                <w:rFonts w:ascii="Times New Roman" w:hAnsi="Times New Roman"/>
                <w:sz w:val="24"/>
              </w:rPr>
              <w:t>o</w:t>
            </w:r>
            <w:r>
              <w:rPr>
                <w:rFonts w:ascii="Times New Roman" w:hAnsi="Times New Roman"/>
                <w:sz w:val="24"/>
              </w:rPr>
              <w:t>zóan a CRR 261. cikkének (1) bekezdésében (4. táblázat) megadott hitelmin</w:t>
            </w:r>
            <w:r>
              <w:rPr>
                <w:rFonts w:ascii="Times New Roman" w:hAnsi="Times New Roman"/>
                <w:sz w:val="24"/>
              </w:rPr>
              <w:t>ő</w:t>
            </w:r>
            <w:r>
              <w:rPr>
                <w:rFonts w:ascii="Times New Roman" w:hAnsi="Times New Roman"/>
                <w:sz w:val="24"/>
              </w:rPr>
              <w:t xml:space="preserve">ségi besorolások (CQS) szerint kell csoportosítani.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 FELÜGYELETI KÉPLET MÓDSZERE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 felügyeleti képlet módszerével kapcsolatban lásd a CRR 262. cikkét.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Egy értékpapírosítási pozíció kockázati súlya 7 % és a megadott képletek sz</w:t>
            </w:r>
            <w:r>
              <w:rPr>
                <w:rFonts w:ascii="Times New Roman" w:hAnsi="Times New Roman"/>
                <w:sz w:val="24"/>
              </w:rPr>
              <w:t>e</w:t>
            </w:r>
            <w:r>
              <w:rPr>
                <w:rFonts w:ascii="Times New Roman" w:hAnsi="Times New Roman"/>
                <w:sz w:val="24"/>
              </w:rPr>
              <w:t xml:space="preserve">rint alkalmazandó kockázati súly közül a nagyobb érték.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 FELÜGYELETI KÉPLET MÓDSZERE: ÁTLAGOS KOCKÁZATI SÚLY</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Az értékpapírosítási pozíciókhoz tartozó hitelkockázat-mérséklés a CRR 264. cikke szerint elismerhető. Ebben az esetben az intézmény a teljes fedezettségű pozíció tényleges kockázati súlyát tünteti fel a CRR 264. cikkének (2) bekezd</w:t>
            </w:r>
            <w:r>
              <w:rPr>
                <w:rFonts w:ascii="Times New Roman" w:hAnsi="Times New Roman"/>
                <w:sz w:val="24"/>
              </w:rPr>
              <w:t>é</w:t>
            </w:r>
            <w:r>
              <w:rPr>
                <w:rFonts w:ascii="Times New Roman" w:hAnsi="Times New Roman"/>
                <w:sz w:val="24"/>
              </w:rPr>
              <w:t>sében foglaltak szerint (a tényleges kockázati súly a pozíció kockázattal súly</w:t>
            </w:r>
            <w:r>
              <w:rPr>
                <w:rFonts w:ascii="Times New Roman" w:hAnsi="Times New Roman"/>
                <w:sz w:val="24"/>
              </w:rPr>
              <w:t>o</w:t>
            </w:r>
            <w:r>
              <w:rPr>
                <w:rFonts w:ascii="Times New Roman" w:hAnsi="Times New Roman"/>
                <w:sz w:val="24"/>
              </w:rPr>
              <w:lastRenderedPageBreak/>
              <w:t>zott kitettségértékét a pozíció kitettségértékével elosztva, majd 100-zal megsz</w:t>
            </w:r>
            <w:r>
              <w:rPr>
                <w:rFonts w:ascii="Times New Roman" w:hAnsi="Times New Roman"/>
                <w:sz w:val="24"/>
              </w:rPr>
              <w:t>o</w:t>
            </w:r>
            <w:r>
              <w:rPr>
                <w:rFonts w:ascii="Times New Roman" w:hAnsi="Times New Roman"/>
                <w:sz w:val="24"/>
              </w:rPr>
              <w:t>rozva számítható ki).</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Részleges fedezettségű pozíció esetében az intézménynek a felügyeleti képlet módszerét korrigált T-értékkel kell alkalmaznia a CRR 264. cikkének (3) b</w:t>
            </w:r>
            <w:r>
              <w:rPr>
                <w:rFonts w:ascii="Times New Roman" w:hAnsi="Times New Roman"/>
                <w:sz w:val="24"/>
              </w:rPr>
              <w:t>e</w:t>
            </w:r>
            <w:r>
              <w:rPr>
                <w:rFonts w:ascii="Times New Roman" w:hAnsi="Times New Roman"/>
                <w:sz w:val="24"/>
              </w:rPr>
              <w:t>kezdésében foglaltak szerint. Ebben az oszlopban a kockázati súlyok súlyozott átlagát kell megadni.</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Ebben az oszlopban a kockázati súlyok súlyozott átlagát kell megadni.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AZ ALAPUL SZOLGÁLÓ ESZKÖZÖK VIZSGÁLATA (ÁTTEKINTÉS ELVE)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Az alapul szolgáló eszközök vizsgálatára vonatkozó oszlopok a nem minősített kitettségek valamennyi olyan esetét magukban foglalják, amelyeknél a kock</w:t>
            </w:r>
            <w:r>
              <w:rPr>
                <w:rFonts w:ascii="Times New Roman" w:hAnsi="Times New Roman"/>
                <w:sz w:val="24"/>
              </w:rPr>
              <w:t>á</w:t>
            </w:r>
            <w:r>
              <w:rPr>
                <w:rFonts w:ascii="Times New Roman" w:hAnsi="Times New Roman"/>
                <w:sz w:val="24"/>
              </w:rPr>
              <w:t>zati súlyt az alapul szolgáló kitettségportfólió (a halmaz legmagasabb kockázati súlya) alapján állapítják meg.</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 CRR 263. cikkének (2) és (3) bekezdése olyan kivételes kezelési módot ír elő, amelynél a K</w:t>
            </w:r>
            <w:r>
              <w:rPr>
                <w:rFonts w:ascii="Times New Roman" w:hAnsi="Times New Roman"/>
                <w:sz w:val="24"/>
                <w:vertAlign w:val="subscript"/>
              </w:rPr>
              <w:t>irb</w:t>
            </w:r>
            <w:r>
              <w:rPr>
                <w:rFonts w:ascii="Times New Roman" w:hAnsi="Times New Roman"/>
                <w:sz w:val="24"/>
              </w:rPr>
              <w:t xml:space="preserve"> nem számítható ki.</w:t>
            </w:r>
          </w:p>
          <w:p w:rsidR="00612780" w:rsidRPr="00392FFD" w:rsidRDefault="00612780" w:rsidP="00612780">
            <w:pPr>
              <w:spacing w:before="0" w:after="0"/>
              <w:rPr>
                <w:rFonts w:ascii="Times New Roman" w:hAnsi="Times New Roman"/>
                <w:i/>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 likviditási hitelkeretek le nem hívott részét a mérlegen kívüli tételek és szá</w:t>
            </w:r>
            <w:r>
              <w:rPr>
                <w:rFonts w:ascii="Times New Roman" w:hAnsi="Times New Roman"/>
                <w:sz w:val="24"/>
              </w:rPr>
              <w:t>r</w:t>
            </w:r>
            <w:r>
              <w:rPr>
                <w:rFonts w:ascii="Times New Roman" w:hAnsi="Times New Roman"/>
                <w:sz w:val="24"/>
              </w:rPr>
              <w:t>maztatott ügyletek között kell feltüntetni.</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Amíg egy értékpapírosítást kezdeményező a kivételes kezelést alkalmazza, amelynek során a K</w:t>
            </w:r>
            <w:r>
              <w:rPr>
                <w:rFonts w:ascii="Times New Roman" w:hAnsi="Times New Roman"/>
                <w:sz w:val="24"/>
                <w:vertAlign w:val="subscript"/>
              </w:rPr>
              <w:t>irb</w:t>
            </w:r>
            <w:r>
              <w:rPr>
                <w:rFonts w:ascii="Times New Roman" w:hAnsi="Times New Roman"/>
                <w:sz w:val="24"/>
              </w:rPr>
              <w:t xml:space="preserve"> nem számítható ki, addig a 350. oszlopban célszerű fe</w:t>
            </w:r>
            <w:r>
              <w:rPr>
                <w:rFonts w:ascii="Times New Roman" w:hAnsi="Times New Roman"/>
                <w:sz w:val="24"/>
              </w:rPr>
              <w:t>l</w:t>
            </w:r>
            <w:r>
              <w:rPr>
                <w:rFonts w:ascii="Times New Roman" w:hAnsi="Times New Roman"/>
                <w:sz w:val="24"/>
              </w:rPr>
              <w:t>tüntetni a likviditási hitelkeret kitettségértékének a CRR 263. cikkében rögzített kezelésnek megfelelő kockázati súlyozását.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 gyorsított visszafizetéssel kapcsolatban lásd a CRR 256. cikkének (5) beke</w:t>
            </w:r>
            <w:r>
              <w:rPr>
                <w:rFonts w:ascii="Times New Roman" w:hAnsi="Times New Roman"/>
                <w:sz w:val="24"/>
              </w:rPr>
              <w:t>z</w:t>
            </w:r>
            <w:r>
              <w:rPr>
                <w:rFonts w:ascii="Times New Roman" w:hAnsi="Times New Roman"/>
                <w:sz w:val="24"/>
              </w:rPr>
              <w:t>dését és 265. cikkét.</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AZ ALAPUL SZOLGÁLÓ ESZKÖZÖK VIZSGÁLATA: ÁTLAGOS KOCKÁZATI SÚLY</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Itt a kitettségértékkel súlyozott átlagos kockázati súlyt kell megadni.</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BELSŐ ÉRTÉKELÉSI MÓDSZER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 CRR 259. cikkének (3) és (4) bekezdése az ABCP-programokon belüli poz</w:t>
            </w:r>
            <w:r>
              <w:rPr>
                <w:rFonts w:ascii="Times New Roman" w:hAnsi="Times New Roman"/>
                <w:sz w:val="24"/>
              </w:rPr>
              <w:t>í</w:t>
            </w:r>
            <w:r>
              <w:rPr>
                <w:rFonts w:ascii="Times New Roman" w:hAnsi="Times New Roman"/>
                <w:sz w:val="24"/>
              </w:rPr>
              <w:t>ciókra vonatkozó belső értékelési módszert (IAA) határozza meg.</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IAA: ÁTLAGOS KOCKÁZATI SÚLY</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Ebben az oszlopban a kockázati súlyok súlyozott átlagát kell megadni.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A KOCKÁZATTAL SÚLYOZOTT KITETTSÉGÉRTÉK ÉRTÉK</w:t>
            </w:r>
            <w:r>
              <w:rPr>
                <w:rFonts w:ascii="Times New Roman" w:hAnsi="Times New Roman"/>
                <w:b/>
                <w:sz w:val="24"/>
                <w:u w:val="single"/>
              </w:rPr>
              <w:t>E</w:t>
            </w:r>
            <w:r>
              <w:rPr>
                <w:rFonts w:ascii="Times New Roman" w:hAnsi="Times New Roman"/>
                <w:b/>
                <w:sz w:val="24"/>
                <w:u w:val="single"/>
              </w:rPr>
              <w:t xml:space="preserve">LÉSI KORREKCIÓK </w:t>
            </w:r>
            <w:proofErr w:type="gramStart"/>
            <w:r>
              <w:rPr>
                <w:rFonts w:ascii="Times New Roman" w:hAnsi="Times New Roman"/>
                <w:b/>
                <w:sz w:val="24"/>
                <w:u w:val="single"/>
              </w:rPr>
              <w:t>ÉS</w:t>
            </w:r>
            <w:proofErr w:type="gramEnd"/>
            <w:r>
              <w:rPr>
                <w:rFonts w:ascii="Times New Roman" w:hAnsi="Times New Roman"/>
                <w:b/>
                <w:sz w:val="24"/>
                <w:u w:val="single"/>
              </w:rPr>
              <w:t xml:space="preserve"> CÉLTARTALÉKOK MIATTI CSÖKKENT</w:t>
            </w:r>
            <w:r>
              <w:rPr>
                <w:rFonts w:ascii="Times New Roman" w:hAnsi="Times New Roman"/>
                <w:b/>
                <w:sz w:val="24"/>
                <w:u w:val="single"/>
              </w:rPr>
              <w:t>É</w:t>
            </w:r>
            <w:r>
              <w:rPr>
                <w:rFonts w:ascii="Times New Roman" w:hAnsi="Times New Roman"/>
                <w:b/>
                <w:sz w:val="24"/>
                <w:u w:val="single"/>
              </w:rPr>
              <w:t xml:space="preserve">SE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Az IRB-módszert alkalmazó intézményeknek a CRR 266. cikkének (1) beke</w:t>
            </w:r>
            <w:r>
              <w:rPr>
                <w:rFonts w:ascii="Times New Roman" w:hAnsi="Times New Roman"/>
                <w:sz w:val="24"/>
              </w:rPr>
              <w:t>z</w:t>
            </w:r>
            <w:r>
              <w:rPr>
                <w:rFonts w:ascii="Times New Roman" w:hAnsi="Times New Roman"/>
                <w:sz w:val="24"/>
              </w:rPr>
              <w:t>dése (kizárólag értékpapírosítást kezdeményezők esetében alkalmazható, ha a kitettséget nem vonták le a szavatoló tőkéből), valamint (2) bekezdése szerint kell eljárniuk.</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adatszolgáltató intézményre alkalmazandó számviteli szabályozásnak me</w:t>
            </w:r>
            <w:r>
              <w:rPr>
                <w:rFonts w:ascii="Times New Roman" w:hAnsi="Times New Roman"/>
                <w:sz w:val="24"/>
              </w:rPr>
              <w:t>g</w:t>
            </w:r>
            <w:r>
              <w:rPr>
                <w:rFonts w:ascii="Times New Roman" w:hAnsi="Times New Roman"/>
                <w:sz w:val="24"/>
              </w:rPr>
              <w:t>felelő értékelési korrekciók és hitelveszteségre képzett céltartalékok (a CRR 159. cikke). Az értékelési korrekciók magukban foglalják a pénzügyi eszköz</w:t>
            </w:r>
            <w:r>
              <w:rPr>
                <w:rFonts w:ascii="Times New Roman" w:hAnsi="Times New Roman"/>
                <w:sz w:val="24"/>
              </w:rPr>
              <w:t>ö</w:t>
            </w:r>
            <w:r>
              <w:rPr>
                <w:rFonts w:ascii="Times New Roman" w:hAnsi="Times New Roman"/>
                <w:sz w:val="24"/>
              </w:rPr>
              <w:t>kön a mérlegben történő kezdeti megjelenítésük óta keletkezett hitelvesztesé</w:t>
            </w:r>
            <w:r>
              <w:rPr>
                <w:rFonts w:ascii="Times New Roman" w:hAnsi="Times New Roman"/>
                <w:sz w:val="24"/>
              </w:rPr>
              <w:t>g</w:t>
            </w:r>
            <w:r>
              <w:rPr>
                <w:rFonts w:ascii="Times New Roman" w:hAnsi="Times New Roman"/>
                <w:sz w:val="24"/>
              </w:rPr>
              <w:t>nek az eredményben elszámolt összegét (ideértve a valós értéken értékelt pén</w:t>
            </w:r>
            <w:r>
              <w:rPr>
                <w:rFonts w:ascii="Times New Roman" w:hAnsi="Times New Roman"/>
                <w:sz w:val="24"/>
              </w:rPr>
              <w:t>z</w:t>
            </w:r>
            <w:r>
              <w:rPr>
                <w:rFonts w:ascii="Times New Roman" w:hAnsi="Times New Roman"/>
                <w:sz w:val="24"/>
              </w:rPr>
              <w:t>ügyi eszközök hitelkockázatából eredő, a kitettségértékből nem levonható ves</w:t>
            </w:r>
            <w:r>
              <w:rPr>
                <w:rFonts w:ascii="Times New Roman" w:hAnsi="Times New Roman"/>
                <w:sz w:val="24"/>
              </w:rPr>
              <w:t>z</w:t>
            </w:r>
            <w:r>
              <w:rPr>
                <w:rFonts w:ascii="Times New Roman" w:hAnsi="Times New Roman"/>
                <w:sz w:val="24"/>
              </w:rPr>
              <w:t>teségeket), valamint a CRR 166. cikkének (1) bekezdése szerint nemteljesítőként megvásárolt kitettségekre kapott kedvezményeket. A céltart</w:t>
            </w:r>
            <w:r>
              <w:rPr>
                <w:rFonts w:ascii="Times New Roman" w:hAnsi="Times New Roman"/>
                <w:sz w:val="24"/>
              </w:rPr>
              <w:t>a</w:t>
            </w:r>
            <w:r>
              <w:rPr>
                <w:rFonts w:ascii="Times New Roman" w:hAnsi="Times New Roman"/>
                <w:sz w:val="24"/>
              </w:rPr>
              <w:t>lékok a mérlegen kívüli tételeken keletkezett hitelveszteségek halmozott össz</w:t>
            </w:r>
            <w:r>
              <w:rPr>
                <w:rFonts w:ascii="Times New Roman" w:hAnsi="Times New Roman"/>
                <w:sz w:val="24"/>
              </w:rPr>
              <w:t>e</w:t>
            </w:r>
            <w:r>
              <w:rPr>
                <w:rFonts w:ascii="Times New Roman" w:hAnsi="Times New Roman"/>
                <w:sz w:val="24"/>
              </w:rPr>
              <w:t>gét foglalják magukban.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KOCKÁZATTAL SÚLYOZOTT KITETTSÉGÉRTÉK</w:t>
            </w:r>
          </w:p>
          <w:p w:rsidR="00612780" w:rsidRPr="00392FFD" w:rsidRDefault="00612780" w:rsidP="00612780">
            <w:pPr>
              <w:spacing w:before="0" w:after="0"/>
              <w:jc w:val="left"/>
              <w:rPr>
                <w:rFonts w:ascii="Times New Roman" w:hAnsi="Times New Roman"/>
                <w:sz w:val="24"/>
              </w:rPr>
            </w:pPr>
          </w:p>
          <w:p w:rsidR="00612780" w:rsidRPr="00392FFD" w:rsidRDefault="0036415F" w:rsidP="00612780">
            <w:pPr>
              <w:spacing w:before="0" w:after="0"/>
              <w:rPr>
                <w:rFonts w:ascii="Times New Roman" w:hAnsi="Times New Roman"/>
                <w:sz w:val="24"/>
              </w:rPr>
            </w:pPr>
            <w:r>
              <w:rPr>
                <w:rFonts w:ascii="Times New Roman" w:hAnsi="Times New Roman"/>
                <w:sz w:val="24"/>
              </w:rPr>
              <w:t>Teljes kockázati kitettségérték a CRR harmadik része II. címe 5. fejezetének 3. szakasza szerint, a lejárati eltérések vagy az előzetes vizsgálatra vonatkozó re</w:t>
            </w:r>
            <w:r>
              <w:rPr>
                <w:rFonts w:ascii="Times New Roman" w:hAnsi="Times New Roman"/>
                <w:sz w:val="24"/>
              </w:rPr>
              <w:t>n</w:t>
            </w:r>
            <w:r>
              <w:rPr>
                <w:rFonts w:ascii="Times New Roman" w:hAnsi="Times New Roman"/>
                <w:sz w:val="24"/>
              </w:rPr>
              <w:t>delkezések megsértése miatti kiigazítások előtt, a más táblára irányuló kiára</w:t>
            </w:r>
            <w:r>
              <w:rPr>
                <w:rFonts w:ascii="Times New Roman" w:hAnsi="Times New Roman"/>
                <w:sz w:val="24"/>
              </w:rPr>
              <w:t>m</w:t>
            </w:r>
            <w:r>
              <w:rPr>
                <w:rFonts w:ascii="Times New Roman" w:hAnsi="Times New Roman"/>
                <w:sz w:val="24"/>
              </w:rPr>
              <w:t>lás útján átcsoportosított kitettségeknek megfelelő, kockázattal súl</w:t>
            </w:r>
            <w:r w:rsidR="00F870AC">
              <w:rPr>
                <w:rFonts w:ascii="Times New Roman" w:hAnsi="Times New Roman"/>
                <w:sz w:val="24"/>
              </w:rPr>
              <w:t>yozott kitettségértékek nélkül.</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KOCKÁZATTAL SÚLYOZOTT KITETTSÉGÉRTÉK, EBBŐL: SZI</w:t>
            </w:r>
            <w:r>
              <w:rPr>
                <w:rFonts w:ascii="Times New Roman" w:hAnsi="Times New Roman"/>
                <w:b/>
                <w:sz w:val="24"/>
                <w:u w:val="single"/>
              </w:rPr>
              <w:t>N</w:t>
            </w:r>
            <w:r>
              <w:rPr>
                <w:rFonts w:ascii="Times New Roman" w:hAnsi="Times New Roman"/>
                <w:b/>
                <w:sz w:val="24"/>
                <w:u w:val="single"/>
              </w:rPr>
              <w:t>TETIKUS ÉRTÉKPAPÍROSÍTÁS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 lejárati eltéréssel rendelkező szintetikus értékpapírosításokra vonatkozóan az ebben az oszlopban feltüntetendő érték nem foglalja magában a lejárati eltér</w:t>
            </w:r>
            <w:r>
              <w:rPr>
                <w:rFonts w:ascii="Times New Roman" w:hAnsi="Times New Roman"/>
                <w:sz w:val="24"/>
              </w:rPr>
              <w:t>é</w:t>
            </w:r>
            <w:r>
              <w:rPr>
                <w:rFonts w:ascii="Times New Roman" w:hAnsi="Times New Roman"/>
                <w:sz w:val="24"/>
              </w:rPr>
              <w:t>seket.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AZ ELŐZETES VIZSGÁLATRA VONATKOZÓ RENDELKEZÉSEK MEGSÉRTÉSE MIATTI ÁLTALÁNOS HATÁS (KORREKCIÓ)</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proofErr w:type="gramStart"/>
            <w:r>
              <w:rPr>
                <w:rFonts w:ascii="Times New Roman" w:hAnsi="Times New Roman"/>
                <w:sz w:val="24"/>
              </w:rPr>
              <w:t>A CRR 14. cikkének (2) bekezdése, 406. cikkének (2) bekezdése, valamint 407. cikke előírja, hogy amikor az intézmény bizonyos követelményeknek nem tesz eleget, akkor a tagállamoknak biztosítaniuk kell azt, hogy az illetékes hatós</w:t>
            </w:r>
            <w:r>
              <w:rPr>
                <w:rFonts w:ascii="Times New Roman" w:hAnsi="Times New Roman"/>
                <w:sz w:val="24"/>
              </w:rPr>
              <w:t>á</w:t>
            </w:r>
            <w:r>
              <w:rPr>
                <w:rFonts w:ascii="Times New Roman" w:hAnsi="Times New Roman"/>
                <w:sz w:val="24"/>
              </w:rPr>
              <w:t>gok arányos kiegészítő kockázati súlyt szabnak ki, amely annak a kockázati súlynak legalább 250 %-a (de legfeljebb 1 250 %-a), amely a CRR harmadik része II. címe 5. fejezetének 3. szakaszában meghatározott módon alkalmaza</w:t>
            </w:r>
            <w:r>
              <w:rPr>
                <w:rFonts w:ascii="Times New Roman" w:hAnsi="Times New Roman"/>
                <w:sz w:val="24"/>
              </w:rPr>
              <w:t>n</w:t>
            </w:r>
            <w:r>
              <w:rPr>
                <w:rFonts w:ascii="Times New Roman" w:hAnsi="Times New Roman"/>
                <w:sz w:val="24"/>
              </w:rPr>
              <w:t>dó az érintett értékpapírosított pozíciókra.</w:t>
            </w:r>
            <w:proofErr w:type="gramEnd"/>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 KOCKÁZATTAL SÚLYOZOTT KITETTSÉGÉRTÉK LEJÁRATI ELTÉRÉS MIATTI KORREKCIÓJA</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A szintetikus értékpapírosításokban megjelenő, a CRR 250. cikke szerinti RW*–</w:t>
            </w:r>
            <w:proofErr w:type="gramStart"/>
            <w:r>
              <w:rPr>
                <w:rFonts w:ascii="Times New Roman" w:hAnsi="Times New Roman"/>
                <w:sz w:val="24"/>
              </w:rPr>
              <w:t>RW(</w:t>
            </w:r>
            <w:proofErr w:type="gramEnd"/>
            <w:r>
              <w:rPr>
                <w:rFonts w:ascii="Times New Roman" w:hAnsi="Times New Roman"/>
                <w:sz w:val="24"/>
              </w:rPr>
              <w:t>SP) lejárati eltéréseket be kell számítani, kivéve az 1 250 %-os ko</w:t>
            </w:r>
            <w:r>
              <w:rPr>
                <w:rFonts w:ascii="Times New Roman" w:hAnsi="Times New Roman"/>
                <w:sz w:val="24"/>
              </w:rPr>
              <w:t>c</w:t>
            </w:r>
            <w:r>
              <w:rPr>
                <w:rFonts w:ascii="Times New Roman" w:hAnsi="Times New Roman"/>
                <w:sz w:val="24"/>
              </w:rPr>
              <w:t xml:space="preserve">kázati súlyú ügyletrészsorozatokat, amelyeknél a feltüntetendő érték nulla. Ügyelni kell arra, hogy az </w:t>
            </w:r>
            <w:proofErr w:type="gramStart"/>
            <w:r>
              <w:rPr>
                <w:rFonts w:ascii="Times New Roman" w:hAnsi="Times New Roman"/>
                <w:sz w:val="24"/>
              </w:rPr>
              <w:t>RW(</w:t>
            </w:r>
            <w:proofErr w:type="gramEnd"/>
            <w:r>
              <w:rPr>
                <w:rFonts w:ascii="Times New Roman" w:hAnsi="Times New Roman"/>
                <w:sz w:val="24"/>
              </w:rPr>
              <w:t xml:space="preserve">SP) nemcsak a 400-as oszlopban feltüntetett kockázattal súlyozott kitettségértékeket foglalja magában, hanem a más táblára </w:t>
            </w:r>
            <w:r>
              <w:rPr>
                <w:rFonts w:ascii="Times New Roman" w:hAnsi="Times New Roman"/>
                <w:sz w:val="24"/>
              </w:rPr>
              <w:lastRenderedPageBreak/>
              <w:t>irányuló kiáramlás útján átcsoportosított kitettségeknek megfelelő, kockázattal súlyozott kitettségértékeket is.</w:t>
            </w:r>
          </w:p>
          <w:p w:rsidR="00612780" w:rsidRPr="00392FFD" w:rsidRDefault="00612780" w:rsidP="009068C9">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440-450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KOCKÁZATTAL SÚLYOZOTT TELJES KITETTSÉGÉRTÉK: A FE</w:t>
            </w:r>
            <w:r>
              <w:rPr>
                <w:rFonts w:ascii="Times New Roman" w:hAnsi="Times New Roman"/>
                <w:b/>
                <w:sz w:val="24"/>
                <w:u w:val="single"/>
              </w:rPr>
              <w:t>L</w:t>
            </w:r>
            <w:r>
              <w:rPr>
                <w:rFonts w:ascii="Times New Roman" w:hAnsi="Times New Roman"/>
                <w:b/>
                <w:sz w:val="24"/>
                <w:u w:val="single"/>
              </w:rPr>
              <w:t>SŐ KORLÁT FIGYELEMBEVÉTELE ELŐTT/UTÁN</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A CRR harmadik része II. címe 5. fejezetének 3. szakasza szerint számított te</w:t>
            </w:r>
            <w:r>
              <w:rPr>
                <w:rFonts w:ascii="Times New Roman" w:hAnsi="Times New Roman"/>
                <w:sz w:val="24"/>
              </w:rPr>
              <w:t>l</w:t>
            </w:r>
            <w:r>
              <w:rPr>
                <w:rFonts w:ascii="Times New Roman" w:hAnsi="Times New Roman"/>
                <w:sz w:val="24"/>
              </w:rPr>
              <w:t>jes kockázattal súlyozott kitettségérték a CRR 260. cikkében meghatározott h</w:t>
            </w:r>
            <w:r>
              <w:rPr>
                <w:rFonts w:ascii="Times New Roman" w:hAnsi="Times New Roman"/>
                <w:sz w:val="24"/>
              </w:rPr>
              <w:t>a</w:t>
            </w:r>
            <w:r>
              <w:rPr>
                <w:rFonts w:ascii="Times New Roman" w:hAnsi="Times New Roman"/>
                <w:sz w:val="24"/>
              </w:rPr>
              <w:t>tárértékek alkalmazása előtt (440-es oszlop)/után (450-es oszlop). Figyelembe kell venni továbbá a CRR 265. cikkét is (rulírozó kitettségek gyorsított vissz</w:t>
            </w:r>
            <w:r>
              <w:rPr>
                <w:rFonts w:ascii="Times New Roman" w:hAnsi="Times New Roman"/>
                <w:sz w:val="24"/>
              </w:rPr>
              <w:t>a</w:t>
            </w:r>
            <w:r>
              <w:rPr>
                <w:rFonts w:ascii="Times New Roman" w:hAnsi="Times New Roman"/>
                <w:sz w:val="24"/>
              </w:rPr>
              <w:t>fizetést biztosító rendelkezést kikötő értékpapírosítására vonatkozó pótlólagos szavatolótőke-követelmény).</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TÁJÉKOZTATÓ ADAT: AZ IRB ÉRTÉKPAPÍROSÍTÁSBÓL MÁS KITETTSÉGI OSZTÁLYOKBA IRÁNYULÓ KIÁRAMLÁSNAK ME</w:t>
            </w:r>
            <w:r>
              <w:rPr>
                <w:rFonts w:ascii="Times New Roman" w:hAnsi="Times New Roman"/>
                <w:b/>
                <w:sz w:val="24"/>
                <w:u w:val="single"/>
              </w:rPr>
              <w:t>G</w:t>
            </w:r>
            <w:r>
              <w:rPr>
                <w:rFonts w:ascii="Times New Roman" w:hAnsi="Times New Roman"/>
                <w:b/>
                <w:sz w:val="24"/>
                <w:u w:val="single"/>
              </w:rPr>
              <w:t>FELELŐ KOCKÁZATTAL SÚLYOZOTT KITETTSÉGÉRTÉK</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 hitelkockázat-mérséklő eszközök nyújtójához átcsoportosított, így a megfel</w:t>
            </w:r>
            <w:r>
              <w:rPr>
                <w:rFonts w:ascii="Times New Roman" w:hAnsi="Times New Roman"/>
                <w:sz w:val="24"/>
              </w:rPr>
              <w:t>e</w:t>
            </w:r>
            <w:r>
              <w:rPr>
                <w:rFonts w:ascii="Times New Roman" w:hAnsi="Times New Roman"/>
                <w:sz w:val="24"/>
              </w:rPr>
              <w:t>lő táblán számított, az értékpapírosítási pozíciók felső határának kiszámításánál figyelembe vett kitettségekből eredő, kockázattal súlyozott kitettségérték.</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
    <w:p w:rsidR="00612780" w:rsidRPr="00392FFD" w:rsidRDefault="00125707" w:rsidP="00C37B29">
      <w:pPr>
        <w:pStyle w:val="InstructionsText2"/>
        <w:numPr>
          <w:ilvl w:val="0"/>
          <w:numId w:val="0"/>
        </w:numPr>
        <w:ind w:left="993"/>
      </w:pPr>
      <w:r>
        <w:t>107.</w:t>
      </w:r>
      <w:r>
        <w:tab/>
        <w:t>A CR SEC IRB tábla három fő sorcsoportból áll, amelyek a kezdeményezett, szponzorált, illetve visszatartott vagy visszavásárolt kitettségekről gyűjtenek adat</w:t>
      </w:r>
      <w:r>
        <w:t>o</w:t>
      </w:r>
      <w:r>
        <w:t>kat értékpapírosítást kezdeményező, befektető és szponzor szerint. Ezek mindegy</w:t>
      </w:r>
      <w:r>
        <w:t>i</w:t>
      </w:r>
      <w:r>
        <w:t xml:space="preserve">kére vonatkozóan az adatok mérlegtételek, mérlegen kívüli tételek és származtatott ügyletek, </w:t>
      </w:r>
      <w:proofErr w:type="gramStart"/>
      <w:r>
        <w:t>ezenkívül</w:t>
      </w:r>
      <w:proofErr w:type="gramEnd"/>
      <w:r>
        <w:t xml:space="preserve"> az értékpapírosítások és újra-értékpapírosítások kockázati súl</w:t>
      </w:r>
      <w:r>
        <w:t>y</w:t>
      </w:r>
      <w:r>
        <w:t>c</w:t>
      </w:r>
      <w:r w:rsidR="00F870AC">
        <w:t>soportjai szerint oszlanak meg.</w:t>
      </w:r>
    </w:p>
    <w:p w:rsidR="00612780" w:rsidRPr="00392FFD" w:rsidRDefault="00125707" w:rsidP="00C37B29">
      <w:pPr>
        <w:pStyle w:val="InstructionsText2"/>
        <w:numPr>
          <w:ilvl w:val="0"/>
          <w:numId w:val="0"/>
        </w:numPr>
        <w:ind w:left="993"/>
      </w:pPr>
      <w:r>
        <w:t>108.</w:t>
      </w:r>
      <w:r>
        <w:tab/>
        <w:t>A minősítésen alapuló módszer szerint kezelt pozíciókat és a nem minősített pozíciókat (az adatszolgáltatás időpontjában fennálló kitettség) a kezdeti hitelmin</w:t>
      </w:r>
      <w:r>
        <w:t>ő</w:t>
      </w:r>
      <w:r>
        <w:t>ségi besorolás szerinti bontásban is fel kell tüntetni (az utolsó sorcsoport). Ezeket az információkat az értékpapírosítást kezdeményezőknek, a szponzoroknak és a b</w:t>
      </w:r>
      <w:r>
        <w:t>e</w:t>
      </w:r>
      <w:r>
        <w:t>fektetőknek is meg kell adniuk.</w:t>
      </w:r>
    </w:p>
    <w:p w:rsidR="00612780" w:rsidRPr="00392FFD" w:rsidRDefault="00612780" w:rsidP="0061278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rsidTr="00672D2A">
        <w:tc>
          <w:tcPr>
            <w:tcW w:w="9145"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Sorok</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TELJES KITETTSÉG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teljes kitettség a fennálló értékpapírosítások teljes összegét jelenti. Ez a sor összesíti a későbbi sorokban az értékpapírosítást kezdeményezők, a szponzorok és a befektetők által megadott valamennyi információt.</w:t>
            </w:r>
          </w:p>
          <w:p w:rsidR="00612780" w:rsidRPr="00392FFD" w:rsidRDefault="00612780" w:rsidP="00612780">
            <w:pPr>
              <w:autoSpaceDE w:val="0"/>
              <w:autoSpaceDN w:val="0"/>
              <w:adjustRightInd w:val="0"/>
              <w:spacing w:before="0" w:after="0"/>
              <w:rPr>
                <w:rFonts w:ascii="Times New Roman" w:hAnsi="Times New Roman"/>
                <w:b/>
                <w:bCs/>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EBBŐL: ÚJRA-ÉRTÉKPAPÍROSÍTÁS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A CRR 4. cikke (1) bekezdésének 63. és 64. pontjában foglalt meghatározások szerinti újra-értékpapírosítások összértéke.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ÉRTÉKPAPÍROSÍTÁST KEZDEMÉNYEZŐ: TELJES KITETTSÉG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 a sor összefoglalja az olyan értékpapírosítási pozíciókkal kapcsolatos mé</w:t>
            </w:r>
            <w:r>
              <w:rPr>
                <w:rFonts w:ascii="Times New Roman" w:hAnsi="Times New Roman"/>
                <w:sz w:val="24"/>
              </w:rPr>
              <w:t>r</w:t>
            </w:r>
            <w:r>
              <w:rPr>
                <w:rFonts w:ascii="Times New Roman" w:hAnsi="Times New Roman"/>
                <w:sz w:val="24"/>
              </w:rPr>
              <w:t>legtételekre, mérlegen kívüli tételekre, származtatott ügyletekre és gyorsított visszafizetésekre vonatkozó információkat, amelyeknél az intézmény a CRR 4. cikke (1) bekezdésének 13. pontja szerinti értékpapírosítást kezdeményező sz</w:t>
            </w:r>
            <w:r>
              <w:rPr>
                <w:rFonts w:ascii="Times New Roman" w:hAnsi="Times New Roman"/>
                <w:sz w:val="24"/>
              </w:rPr>
              <w:t>e</w:t>
            </w:r>
            <w:r>
              <w:rPr>
                <w:rFonts w:ascii="Times New Roman" w:hAnsi="Times New Roman"/>
                <w:sz w:val="24"/>
              </w:rPr>
              <w:t>repét tölti be.</w:t>
            </w: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040-090</w:t>
            </w:r>
          </w:p>
        </w:tc>
        <w:tc>
          <w:tcPr>
            <w:tcW w:w="7903" w:type="dxa"/>
          </w:tcPr>
          <w:p w:rsidR="00612780" w:rsidRPr="00392FFD" w:rsidRDefault="00F870AC"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MÉRLEGTÉTELEK</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CRR 246. cikke (1) bekezdésének b) pontja kimondja, hogy ha az intézmény a kockázattal súlyozott kitettségértéket az IRB-módszer szerint számítja ki, a</w:t>
            </w:r>
            <w:r>
              <w:rPr>
                <w:rFonts w:ascii="Times New Roman" w:hAnsi="Times New Roman"/>
                <w:sz w:val="24"/>
              </w:rPr>
              <w:t>k</w:t>
            </w:r>
            <w:r>
              <w:rPr>
                <w:rFonts w:ascii="Times New Roman" w:hAnsi="Times New Roman"/>
                <w:sz w:val="24"/>
              </w:rPr>
              <w:t>kor a mérlegen belüli értékpapírosítási pozíció kitettségértéke az egyedi hite</w:t>
            </w:r>
            <w:r>
              <w:rPr>
                <w:rFonts w:ascii="Times New Roman" w:hAnsi="Times New Roman"/>
                <w:sz w:val="24"/>
              </w:rPr>
              <w:t>l</w:t>
            </w:r>
            <w:r>
              <w:rPr>
                <w:rFonts w:ascii="Times New Roman" w:hAnsi="Times New Roman"/>
                <w:sz w:val="24"/>
              </w:rPr>
              <w:t>kockázati kiigazítások figyelembevétele nélküli könyv szerinti érték.</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mérlegtételek az 050–070. sorban az értékpapírosítások kockázati súlycs</w:t>
            </w:r>
            <w:r>
              <w:rPr>
                <w:rFonts w:ascii="Times New Roman" w:hAnsi="Times New Roman"/>
                <w:sz w:val="24"/>
              </w:rPr>
              <w:t>o</w:t>
            </w:r>
            <w:r>
              <w:rPr>
                <w:rFonts w:ascii="Times New Roman" w:hAnsi="Times New Roman"/>
                <w:sz w:val="24"/>
              </w:rPr>
              <w:t>portjai szerint (A-B-C), a 080–090. sorban pedig az újra-értékpapírosítások kockázati súlycsoportjai szerint (D-E) oszlanak meg a CRR 261. cikkének (1) bekezdésében találh</w:t>
            </w:r>
            <w:r w:rsidR="00F870AC">
              <w:rPr>
                <w:rFonts w:ascii="Times New Roman" w:hAnsi="Times New Roman"/>
                <w:sz w:val="24"/>
              </w:rPr>
              <w:t>ató 4. táblázatnak megfelelően.</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100-150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 xml:space="preserve">MÉRLEGEN KÍVÜLI TÉTELEK </w:t>
            </w:r>
            <w:proofErr w:type="gramStart"/>
            <w:r>
              <w:rPr>
                <w:rFonts w:ascii="Times New Roman" w:hAnsi="Times New Roman"/>
                <w:b/>
                <w:sz w:val="24"/>
                <w:u w:val="single"/>
              </w:rPr>
              <w:t>ÉS</w:t>
            </w:r>
            <w:proofErr w:type="gramEnd"/>
            <w:r>
              <w:rPr>
                <w:rFonts w:ascii="Times New Roman" w:hAnsi="Times New Roman"/>
                <w:b/>
                <w:sz w:val="24"/>
                <w:u w:val="single"/>
              </w:rPr>
              <w:t xml:space="preserve"> SZÁRMAZTATOTT ÜGYLETEK</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Ezek a sorok az olyan mérlegen kívüli tételnek és származtatott ügyletnek m</w:t>
            </w:r>
            <w:r>
              <w:rPr>
                <w:rFonts w:ascii="Times New Roman" w:hAnsi="Times New Roman"/>
                <w:sz w:val="24"/>
              </w:rPr>
              <w:t>i</w:t>
            </w:r>
            <w:r>
              <w:rPr>
                <w:rFonts w:ascii="Times New Roman" w:hAnsi="Times New Roman"/>
                <w:sz w:val="24"/>
              </w:rPr>
              <w:t>nősülő értékpapírosítási pozíciókkal kapcsolatos információkat gyűjtenek, am</w:t>
            </w:r>
            <w:r>
              <w:rPr>
                <w:rFonts w:ascii="Times New Roman" w:hAnsi="Times New Roman"/>
                <w:sz w:val="24"/>
              </w:rPr>
              <w:t>e</w:t>
            </w:r>
            <w:r>
              <w:rPr>
                <w:rFonts w:ascii="Times New Roman" w:hAnsi="Times New Roman"/>
                <w:sz w:val="24"/>
              </w:rPr>
              <w:t>lyekre az értékpapírosítás keretében hitel-egyenértékesítési tényezőt kell alka</w:t>
            </w:r>
            <w:r>
              <w:rPr>
                <w:rFonts w:ascii="Times New Roman" w:hAnsi="Times New Roman"/>
                <w:sz w:val="24"/>
              </w:rPr>
              <w:t>l</w:t>
            </w:r>
            <w:r>
              <w:rPr>
                <w:rFonts w:ascii="Times New Roman" w:hAnsi="Times New Roman"/>
                <w:sz w:val="24"/>
              </w:rPr>
              <w:t>mazni. A mérlegen kívüli értékpapírosítási pozíció kitettségértéke az adott értékpapírosítási pozíciónak az esetleges egyedi hitelkockázati kiigazítások l</w:t>
            </w:r>
            <w:r>
              <w:rPr>
                <w:rFonts w:ascii="Times New Roman" w:hAnsi="Times New Roman"/>
                <w:sz w:val="24"/>
              </w:rPr>
              <w:t>e</w:t>
            </w:r>
            <w:r>
              <w:rPr>
                <w:rFonts w:ascii="Times New Roman" w:hAnsi="Times New Roman"/>
                <w:sz w:val="24"/>
              </w:rPr>
              <w:t>vonásával számított névértéke, egyéb rendelkezés hiányában 100 %-os hitel-egyenértékesítési tényezővel megszorozva.</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CRR II. mellékletében felsorolt származtatott ügyletekből eredő mérlegen kívüli értékpapírosítási pozíciókat a CRR harmadik része II. címének 6. fejez</w:t>
            </w:r>
            <w:r>
              <w:rPr>
                <w:rFonts w:ascii="Times New Roman" w:hAnsi="Times New Roman"/>
                <w:sz w:val="24"/>
              </w:rPr>
              <w:t>e</w:t>
            </w:r>
            <w:r>
              <w:rPr>
                <w:rFonts w:ascii="Times New Roman" w:hAnsi="Times New Roman"/>
                <w:sz w:val="24"/>
              </w:rPr>
              <w:t>te alapján kell megállapítani. A CRR II. mellékletében felsorolt származtatott ügyletek partnerkockázatához kapcsolódó kitettségértéket a CRR harmadik r</w:t>
            </w:r>
            <w:r>
              <w:rPr>
                <w:rFonts w:ascii="Times New Roman" w:hAnsi="Times New Roman"/>
                <w:sz w:val="24"/>
              </w:rPr>
              <w:t>é</w:t>
            </w:r>
            <w:r>
              <w:rPr>
                <w:rFonts w:ascii="Times New Roman" w:hAnsi="Times New Roman"/>
                <w:sz w:val="24"/>
              </w:rPr>
              <w:t>sze II. címének 6. fejez</w:t>
            </w:r>
            <w:r w:rsidR="00F870AC">
              <w:rPr>
                <w:rFonts w:ascii="Times New Roman" w:hAnsi="Times New Roman"/>
                <w:sz w:val="24"/>
              </w:rPr>
              <w:t>ete alapján kell megállapítani.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likviditási hitelkeretek, hitelkeretek és hitelkezeléssel kapcsolatos szolgált</w:t>
            </w:r>
            <w:r>
              <w:rPr>
                <w:rFonts w:ascii="Times New Roman" w:hAnsi="Times New Roman"/>
                <w:sz w:val="24"/>
              </w:rPr>
              <w:t>a</w:t>
            </w:r>
            <w:r>
              <w:rPr>
                <w:rFonts w:ascii="Times New Roman" w:hAnsi="Times New Roman"/>
                <w:sz w:val="24"/>
              </w:rPr>
              <w:t xml:space="preserve">tásnyújtók által biztosított készpénzelőlegek esetében az intézményeknek a le nem </w:t>
            </w:r>
            <w:r w:rsidR="00F870AC">
              <w:rPr>
                <w:rFonts w:ascii="Times New Roman" w:hAnsi="Times New Roman"/>
                <w:sz w:val="24"/>
              </w:rPr>
              <w:t>hívott összeget kell megadniuk.</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Kamatcsereügyletek és deviza-csereügyletek esetében a CR SA Total táblán megadott kitettségértéket kell feltüntetniük a CRR 246. cikkének (1) bekezdése szerint.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mérlegen kívüli tételek a 110–130. sorban az értékpapírosítások kockázati súlycsoportjai szerint (A-B-C), a 140–150. sorban pedig az újra-értékpapírosítások kockázati súlycsoportjai szerint (D-E) oszlanak meg a CRR 261. cikkének (1) bekezdésében található 4. táblázatnak megfelelően.</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GYORSÍTOTT VISSZAFIZETÉS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 a sor csak a CRR 242. cikkének 13. és 14. pontja szerinti gyorsított visszaf</w:t>
            </w:r>
            <w:r>
              <w:rPr>
                <w:rFonts w:ascii="Times New Roman" w:hAnsi="Times New Roman"/>
                <w:sz w:val="24"/>
              </w:rPr>
              <w:t>i</w:t>
            </w:r>
            <w:r>
              <w:rPr>
                <w:rFonts w:ascii="Times New Roman" w:hAnsi="Times New Roman"/>
                <w:sz w:val="24"/>
              </w:rPr>
              <w:t>zetést biztosító rendelkezést tartalmazó rulírozó kitettségre vonatkozó értékp</w:t>
            </w:r>
            <w:r>
              <w:rPr>
                <w:rFonts w:ascii="Times New Roman" w:hAnsi="Times New Roman"/>
                <w:sz w:val="24"/>
              </w:rPr>
              <w:t>a</w:t>
            </w:r>
            <w:r>
              <w:rPr>
                <w:rFonts w:ascii="Times New Roman" w:hAnsi="Times New Roman"/>
                <w:sz w:val="24"/>
              </w:rPr>
              <w:t>pírosítást kezdeményezőkre vonatkozik.</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BEFEKTETŐ: TELJES KITETTSÉG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Ez a sor összefoglalja az olyan értékpapírosítási pozíciókkal kapcsolatos mé</w:t>
            </w:r>
            <w:r>
              <w:rPr>
                <w:rStyle w:val="FormatvorlageInstructionsTabelleText"/>
                <w:rFonts w:ascii="Times New Roman" w:hAnsi="Times New Roman"/>
                <w:sz w:val="24"/>
              </w:rPr>
              <w:t>r</w:t>
            </w:r>
            <w:r>
              <w:rPr>
                <w:rStyle w:val="FormatvorlageInstructionsTabelleText"/>
                <w:rFonts w:ascii="Times New Roman" w:hAnsi="Times New Roman"/>
                <w:sz w:val="24"/>
              </w:rPr>
              <w:t>legtételekre, mérlegen kívüli tételekre és származtatott ügyletekre vonatkozó információkat, amelyeknél az intézmé</w:t>
            </w:r>
            <w:r w:rsidR="00F870AC">
              <w:rPr>
                <w:rStyle w:val="FormatvorlageInstructionsTabelleText"/>
                <w:rFonts w:ascii="Times New Roman" w:hAnsi="Times New Roman"/>
                <w:sz w:val="24"/>
              </w:rPr>
              <w:t>ny befektető szerepét tölti be.</w:t>
            </w: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A CRR nem határozza meg kifejezetten a befektető fogalmát. Így ebben az ö</w:t>
            </w:r>
            <w:r>
              <w:rPr>
                <w:rStyle w:val="FormatvorlageInstructionsTabelleText"/>
                <w:rFonts w:ascii="Times New Roman" w:hAnsi="Times New Roman"/>
                <w:sz w:val="24"/>
              </w:rPr>
              <w:t>s</w:t>
            </w:r>
            <w:r>
              <w:rPr>
                <w:rStyle w:val="FormatvorlageInstructionsTabelleText"/>
                <w:rFonts w:ascii="Times New Roman" w:hAnsi="Times New Roman"/>
                <w:sz w:val="24"/>
              </w:rPr>
              <w:t>szefüggésben a befektető olyan intézmény, amely értékpapírosítási pozícióval rendelkezik egy olyan értékpapírosítási ügyletben, amelyben sem az értékpap</w:t>
            </w:r>
            <w:r>
              <w:rPr>
                <w:rStyle w:val="FormatvorlageInstructionsTabelleText"/>
                <w:rFonts w:ascii="Times New Roman" w:hAnsi="Times New Roman"/>
                <w:sz w:val="24"/>
              </w:rPr>
              <w:t>í</w:t>
            </w:r>
            <w:r>
              <w:rPr>
                <w:rStyle w:val="FormatvorlageInstructionsTabelleText"/>
                <w:rFonts w:ascii="Times New Roman" w:hAnsi="Times New Roman"/>
                <w:sz w:val="24"/>
              </w:rPr>
              <w:t>rosítást kezdeményező, sem a szponzor szerepét nem tölti be.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180-230</w:t>
            </w:r>
          </w:p>
        </w:tc>
        <w:tc>
          <w:tcPr>
            <w:tcW w:w="7903" w:type="dxa"/>
          </w:tcPr>
          <w:p w:rsidR="00612780" w:rsidRPr="00392FFD" w:rsidRDefault="00F870AC"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MÉRLEGTÉTELEK</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Itt is ugyanazokat a besorolási kritériumokat kell alkalmazni, amelyek alapján az értékpapírosítást kezdeményezők mérlegtételei oszthatók fel értékpapírosítás (A-B-C) és újra-értékpapírosítás (D-E) szerint.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240-290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 xml:space="preserve">MÉRLEGEN KÍVÜLI TÉTELEK </w:t>
            </w:r>
            <w:proofErr w:type="gramStart"/>
            <w:r>
              <w:rPr>
                <w:rFonts w:ascii="Times New Roman" w:hAnsi="Times New Roman"/>
                <w:b/>
                <w:sz w:val="24"/>
                <w:u w:val="single"/>
              </w:rPr>
              <w:t>ÉS</w:t>
            </w:r>
            <w:proofErr w:type="gramEnd"/>
            <w:r>
              <w:rPr>
                <w:rFonts w:ascii="Times New Roman" w:hAnsi="Times New Roman"/>
                <w:b/>
                <w:sz w:val="24"/>
                <w:u w:val="single"/>
              </w:rPr>
              <w:t xml:space="preserve"> SZÁRMAZTATOTT ÜGYLETEK</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Itt is ugyanazokat a besorolási kritériumokat kell alkalmazni, amelyek alapján az értékpapírosítást kezdeményezők mérlegen kívüli tételei és származtatott ügyletei oszthatók fel értékpapírosítás (A-B-C) és újra-értékpapírosítás (D-E) szerint.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SZPONZOR: TELJES KITETTSÉG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 a sor összefoglalja az olyan értékpapírosítási pozíciókkal kapcsolatos mé</w:t>
            </w:r>
            <w:r>
              <w:rPr>
                <w:rFonts w:ascii="Times New Roman" w:hAnsi="Times New Roman"/>
                <w:sz w:val="24"/>
              </w:rPr>
              <w:t>r</w:t>
            </w:r>
            <w:r>
              <w:rPr>
                <w:rFonts w:ascii="Times New Roman" w:hAnsi="Times New Roman"/>
                <w:sz w:val="24"/>
              </w:rPr>
              <w:t>legtételekre, mérlegen kívüli tételekre és származtatott ügyletekre vonatkozó információkat, amelyeknél az intézmény a CRR 4. cikke (1) bekezdésének 14. pontja szerinti szponzor szerepét tölti be. Ha egy szponzor saját eszközt is é</w:t>
            </w:r>
            <w:r>
              <w:rPr>
                <w:rFonts w:ascii="Times New Roman" w:hAnsi="Times New Roman"/>
                <w:sz w:val="24"/>
              </w:rPr>
              <w:t>r</w:t>
            </w:r>
            <w:r>
              <w:rPr>
                <w:rFonts w:ascii="Times New Roman" w:hAnsi="Times New Roman"/>
                <w:sz w:val="24"/>
              </w:rPr>
              <w:t>tékpapírosít, akkor a saját értékpapírosított eszközökkel kapcsolatos informác</w:t>
            </w:r>
            <w:r>
              <w:rPr>
                <w:rFonts w:ascii="Times New Roman" w:hAnsi="Times New Roman"/>
                <w:sz w:val="24"/>
              </w:rPr>
              <w:t>i</w:t>
            </w:r>
            <w:r>
              <w:rPr>
                <w:rFonts w:ascii="Times New Roman" w:hAnsi="Times New Roman"/>
                <w:sz w:val="24"/>
              </w:rPr>
              <w:t>ókat az értékpapírosítást kezdeményezőre vonatkozó sorokban kell megadnia.</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310-360</w:t>
            </w:r>
          </w:p>
        </w:tc>
        <w:tc>
          <w:tcPr>
            <w:tcW w:w="7903" w:type="dxa"/>
            <w:shd w:val="clear" w:color="auto" w:fill="auto"/>
          </w:tcPr>
          <w:p w:rsidR="00612780" w:rsidRPr="00392FFD" w:rsidRDefault="00F870AC"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MÉRLEGTÉTELEK</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Itt is ugyanazokat a besorolási kritériumokat kell alkalmazni, amelyek alapján az értékpapírosítást kezdeményezők mérlegtételei és származtatott ügyletei oszthatók fel értékpapírosítás (A-B-C) és újra-értékpapírosítás (D-E) szerint.</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370-420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MÉRLEGEN KÍVÜLI TÉTELEK </w:t>
            </w:r>
            <w:proofErr w:type="gramStart"/>
            <w:r>
              <w:rPr>
                <w:rFonts w:ascii="Times New Roman" w:hAnsi="Times New Roman"/>
                <w:b/>
                <w:sz w:val="24"/>
                <w:u w:val="single"/>
              </w:rPr>
              <w:t>ÉS</w:t>
            </w:r>
            <w:proofErr w:type="gramEnd"/>
            <w:r>
              <w:rPr>
                <w:rFonts w:ascii="Times New Roman" w:hAnsi="Times New Roman"/>
                <w:b/>
                <w:sz w:val="24"/>
                <w:u w:val="single"/>
              </w:rPr>
              <w:t xml:space="preserve"> SZÁRMAZTATOTT ÜGYLETEK</w:t>
            </w:r>
          </w:p>
          <w:p w:rsidR="00612780" w:rsidRPr="00392FFD" w:rsidRDefault="00612780" w:rsidP="00612780">
            <w:pPr>
              <w:autoSpaceDE w:val="0"/>
              <w:autoSpaceDN w:val="0"/>
              <w:adjustRightInd w:val="0"/>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Itt is ugyanazokat a besorolási kritériumokat kell alkalmazni, amelyek alapján az értékpapírosítást kezdeményezők mérlegen kívüli tételei és származtatott ügyletei oszthatók fel értékpapírosítás (A-B-C) és újra-értékpapírosítás (D-E) </w:t>
            </w:r>
            <w:r>
              <w:rPr>
                <w:rFonts w:ascii="Times New Roman" w:hAnsi="Times New Roman"/>
                <w:sz w:val="24"/>
              </w:rPr>
              <w:lastRenderedPageBreak/>
              <w:t>szerint.</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430-540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 FENNÁLLÓ POZÍCIÓK KEZDETI HITELMINŐSÉGI BESOROLÁS SZERINTI BONTÁSA</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Ezek a sorok az adatszolgáltatás időpontjában fennálló, minősítésen alapuló módszer szerint kezelt és nem minősített pozíciókkal kapcsolatos információkat gyűjtenek az SA módszerre vonatkozóan a CRR 261. cikkében (4. táblázat) megadott, a kezdeményezésük (keletkezésük) időpontjában alkalmazott hite</w:t>
            </w:r>
            <w:r>
              <w:rPr>
                <w:rFonts w:ascii="Times New Roman" w:hAnsi="Times New Roman"/>
                <w:sz w:val="24"/>
              </w:rPr>
              <w:t>l</w:t>
            </w:r>
            <w:r>
              <w:rPr>
                <w:rFonts w:ascii="Times New Roman" w:hAnsi="Times New Roman"/>
                <w:sz w:val="24"/>
              </w:rPr>
              <w:t>minőségi besorolások szerint. Ezen adatok hiányában a hitelminőségi besor</w:t>
            </w:r>
            <w:r>
              <w:rPr>
                <w:rFonts w:ascii="Times New Roman" w:hAnsi="Times New Roman"/>
                <w:sz w:val="24"/>
              </w:rPr>
              <w:t>o</w:t>
            </w:r>
            <w:r>
              <w:rPr>
                <w:rFonts w:ascii="Times New Roman" w:hAnsi="Times New Roman"/>
                <w:sz w:val="24"/>
              </w:rPr>
              <w:t>lásnak megfelelő, rendelkezésre álló adatok közül a legkorábbiakat kell mega</w:t>
            </w:r>
            <w:r>
              <w:rPr>
                <w:rFonts w:ascii="Times New Roman" w:hAnsi="Times New Roman"/>
                <w:sz w:val="24"/>
              </w:rPr>
              <w:t>d</w:t>
            </w:r>
            <w:r>
              <w:rPr>
                <w:rFonts w:ascii="Times New Roman" w:hAnsi="Times New Roman"/>
                <w:sz w:val="24"/>
              </w:rPr>
              <w:t>ni.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sorokat kizárólag a 170., 190–320. és 400–410. oszlopban kell kitölteni.</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7" w:name="_Toc239157390"/>
      <w:bookmarkStart w:id="478" w:name="_Toc310415046"/>
      <w:bookmarkStart w:id="479" w:name="_Toc360188381"/>
      <w:bookmarkStart w:id="480" w:name="_Toc516210667"/>
      <w:bookmarkStart w:id="481" w:name="_Toc473560932"/>
      <w:bookmarkStart w:id="482" w:name="_Toc524014726"/>
      <w:r>
        <w:rPr>
          <w:rFonts w:ascii="Times New Roman" w:hAnsi="Times New Roman"/>
          <w:sz w:val="24"/>
          <w:u w:val="none"/>
        </w:rPr>
        <w:t>3.9.</w:t>
      </w:r>
      <w:r w:rsidRPr="00F870AC">
        <w:rPr>
          <w:u w:val="none"/>
        </w:rPr>
        <w:tab/>
      </w:r>
      <w:r>
        <w:rPr>
          <w:rFonts w:ascii="Times New Roman" w:hAnsi="Times New Roman"/>
          <w:sz w:val="24"/>
        </w:rPr>
        <w:t xml:space="preserve">C 14.00 – </w:t>
      </w:r>
      <w:bookmarkEnd w:id="477"/>
      <w:r>
        <w:rPr>
          <w:rFonts w:ascii="Times New Roman" w:hAnsi="Times New Roman"/>
          <w:sz w:val="24"/>
        </w:rPr>
        <w:t>Az értékpapírosítással kapcsolatos részletes információk</w:t>
      </w:r>
      <w:bookmarkEnd w:id="478"/>
      <w:bookmarkEnd w:id="479"/>
      <w:r>
        <w:rPr>
          <w:rFonts w:ascii="Times New Roman" w:hAnsi="Times New Roman"/>
          <w:sz w:val="24"/>
        </w:rPr>
        <w:t xml:space="preserve"> (SEC DETAILS)</w:t>
      </w:r>
      <w:bookmarkEnd w:id="480"/>
      <w:bookmarkEnd w:id="481"/>
      <w:bookmarkEnd w:id="482"/>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3" w:name="_Toc310415047"/>
      <w:bookmarkStart w:id="484" w:name="_Toc360188382"/>
      <w:bookmarkStart w:id="485" w:name="_Toc516210668"/>
      <w:bookmarkStart w:id="486" w:name="_Toc473560933"/>
      <w:bookmarkStart w:id="487" w:name="_Toc524014727"/>
      <w:r>
        <w:rPr>
          <w:rFonts w:ascii="Times New Roman" w:hAnsi="Times New Roman"/>
          <w:sz w:val="24"/>
          <w:u w:val="none"/>
        </w:rPr>
        <w:t>3.9.1.</w:t>
      </w:r>
      <w:r w:rsidRPr="00F870AC">
        <w:rPr>
          <w:u w:val="none"/>
        </w:rPr>
        <w:tab/>
      </w:r>
      <w:r>
        <w:rPr>
          <w:rFonts w:ascii="Times New Roman" w:hAnsi="Times New Roman"/>
          <w:sz w:val="24"/>
        </w:rPr>
        <w:t>Általános megjegyzések</w:t>
      </w:r>
      <w:bookmarkEnd w:id="483"/>
      <w:bookmarkEnd w:id="484"/>
      <w:bookmarkEnd w:id="485"/>
      <w:bookmarkEnd w:id="486"/>
      <w:bookmarkEnd w:id="487"/>
    </w:p>
    <w:p w:rsidR="00612780" w:rsidRPr="00392FFD" w:rsidRDefault="00125707" w:rsidP="00C37B29">
      <w:pPr>
        <w:pStyle w:val="InstructionsText2"/>
        <w:numPr>
          <w:ilvl w:val="0"/>
          <w:numId w:val="0"/>
        </w:numPr>
        <w:ind w:left="993"/>
      </w:pPr>
      <w:r>
        <w:t>109.</w:t>
      </w:r>
      <w:r>
        <w:tab/>
        <w:t>Ez a tábla – a CR SEC SA, CR SEC IRB, MKR SA SEC, MKR SA CTP, CA1 és CA2 tábla összesített információival szemben – ügyletenkénti információkat gyűjt valamennyi olyan értékpapírosításról, amelyben az adatot szolgáltató inté</w:t>
      </w:r>
      <w:r>
        <w:t>z</w:t>
      </w:r>
      <w:r>
        <w:t>mény érintett. Meg kell adni az egyes értékpapírosítások főbb jellemzőit, például az alapul szolgáló halmazt é</w:t>
      </w:r>
      <w:r w:rsidR="00F870AC">
        <w:t>s a szavatolótőke-követelményt.</w:t>
      </w:r>
    </w:p>
    <w:p w:rsidR="00612780" w:rsidRPr="00392FFD" w:rsidRDefault="00125707" w:rsidP="00C37B29">
      <w:pPr>
        <w:pStyle w:val="InstructionsText2"/>
        <w:numPr>
          <w:ilvl w:val="0"/>
          <w:numId w:val="0"/>
        </w:numPr>
        <w:ind w:left="993"/>
      </w:pPr>
      <w:r>
        <w:t>110.</w:t>
      </w:r>
      <w:r>
        <w:tab/>
        <w:t>A táblát az alábbi esetekben kell kitölteni:</w:t>
      </w:r>
    </w:p>
    <w:p w:rsidR="00612780" w:rsidRPr="00392FFD" w:rsidRDefault="00125707" w:rsidP="00C37B29">
      <w:pPr>
        <w:pStyle w:val="InstructionsText2"/>
        <w:numPr>
          <w:ilvl w:val="0"/>
          <w:numId w:val="0"/>
        </w:numPr>
        <w:ind w:left="993"/>
      </w:pPr>
      <w:proofErr w:type="gramStart"/>
      <w:r>
        <w:t>a</w:t>
      </w:r>
      <w:proofErr w:type="gramEnd"/>
      <w:r>
        <w:t>)</w:t>
      </w:r>
      <w:r>
        <w:tab/>
        <w:t>Az adatszolgáltató intézmény által kezdeményezett vagy szponzorált értékpap</w:t>
      </w:r>
      <w:r>
        <w:t>í</w:t>
      </w:r>
      <w:r>
        <w:t>rosítások esetében akkor, ha legalább egy pozícióval rendelkezik az értékpapíros</w:t>
      </w:r>
      <w:r>
        <w:t>í</w:t>
      </w:r>
      <w:r>
        <w:t>tásban. Így attól függetlenül, hogy jelentős kockázat átruházására sor került-e vagy sem, az intézményeknek az általuk – akár a banki könyvben, akár a kereskedési könyvben – tartott valamennyi pozícióról adatot kell szolgáltatniuk. A tartott poz</w:t>
      </w:r>
      <w:r>
        <w:t>í</w:t>
      </w:r>
      <w:r>
        <w:t>ciók magukban foglalják a CRR 405. cikke szerint megtartott pozíciókat.</w:t>
      </w:r>
    </w:p>
    <w:p w:rsidR="00612780" w:rsidRPr="00392FFD" w:rsidRDefault="00125707" w:rsidP="00C37B29">
      <w:pPr>
        <w:pStyle w:val="InstructionsText2"/>
        <w:numPr>
          <w:ilvl w:val="0"/>
          <w:numId w:val="0"/>
        </w:numPr>
        <w:ind w:left="993"/>
      </w:pPr>
      <w:r>
        <w:t>b)</w:t>
      </w:r>
      <w:r>
        <w:tab/>
        <w:t>Az adatszolgáltató intézmény által az adatszolgáltatás évében</w:t>
      </w:r>
      <w:r>
        <w:rPr>
          <w:vertAlign w:val="superscript"/>
        </w:rPr>
        <w:footnoteReference w:id="2"/>
      </w:r>
      <w:r>
        <w:t xml:space="preserve"> kezdeményezett vagy szponzorált értékpapírosítások esetében akkor, ha nem rendelkezik pozícióval.</w:t>
      </w:r>
    </w:p>
    <w:p w:rsidR="00612780" w:rsidRPr="00125707" w:rsidRDefault="00125707" w:rsidP="00C37B29">
      <w:pPr>
        <w:pStyle w:val="InstructionsText2"/>
        <w:numPr>
          <w:ilvl w:val="0"/>
          <w:numId w:val="0"/>
        </w:numPr>
        <w:ind w:left="993"/>
      </w:pPr>
      <w:r>
        <w:t>c)</w:t>
      </w:r>
      <w:r>
        <w:tab/>
        <w:t>Olyan értékpapírosítások, amelyek végső alapeszköze eredetileg az adatszo</w:t>
      </w:r>
      <w:r>
        <w:t>l</w:t>
      </w:r>
      <w:r>
        <w:t>gáltató intézmény által kibocsátott és az értékpapírosítási eszköz által (részben) megszerzett pénzügyi kötelezettség. Ez az alapeszköz fedezett kötvény vagy más kötelezettség is lehet, amelyet ilyenként a 160. oszlopban fel kell tüntetni.</w:t>
      </w:r>
    </w:p>
    <w:p w:rsidR="00E50E79" w:rsidRPr="00392FFD" w:rsidRDefault="00125707" w:rsidP="00C37B29">
      <w:pPr>
        <w:pStyle w:val="InstructionsText2"/>
        <w:numPr>
          <w:ilvl w:val="0"/>
          <w:numId w:val="0"/>
        </w:numPr>
        <w:ind w:left="993"/>
      </w:pPr>
      <w:r>
        <w:t>d)</w:t>
      </w:r>
      <w:r>
        <w:tab/>
        <w:t>Az értékpapírosításokban meglévő olyan pozíciók, amelyeknél az adatszolgá</w:t>
      </w:r>
      <w:r>
        <w:t>l</w:t>
      </w:r>
      <w:r>
        <w:t>tató intézmény nem értékpapírosítást kezdeményező és nem szponzor (tehát befe</w:t>
      </w:r>
      <w:r>
        <w:t>k</w:t>
      </w:r>
      <w:r>
        <w:t>tetők és eredeti hitelezők esetében).</w:t>
      </w:r>
    </w:p>
    <w:p w:rsidR="00612780" w:rsidRPr="00392FFD" w:rsidRDefault="00125707" w:rsidP="00C37B29">
      <w:pPr>
        <w:pStyle w:val="InstructionsText2"/>
        <w:numPr>
          <w:ilvl w:val="0"/>
          <w:numId w:val="0"/>
        </w:numPr>
        <w:ind w:left="993"/>
      </w:pPr>
      <w:r>
        <w:lastRenderedPageBreak/>
        <w:t>111.</w:t>
      </w:r>
      <w:r>
        <w:tab/>
        <w:t>Ezt a táblát kizárólag az abban az országban található konszolidált csoportok és önálló intézmények</w:t>
      </w:r>
      <w:r>
        <w:rPr>
          <w:vertAlign w:val="superscript"/>
        </w:rPr>
        <w:footnoteReference w:id="3"/>
      </w:r>
      <w:r>
        <w:t xml:space="preserve"> alkalmazhatják, ahol szavatolótőke-követelmény hatálya alá esnek. Ha egy értékpapírosításban egy konszolidált csoporton belül több intézmény is részt vesz, akkor az adatokat intézményenkénti ré</w:t>
      </w:r>
      <w:r w:rsidR="00F870AC">
        <w:t>szletes bontásban kell megadni.</w:t>
      </w:r>
    </w:p>
    <w:p w:rsidR="00612780" w:rsidRPr="00392FFD" w:rsidRDefault="00125707" w:rsidP="00C37B29">
      <w:pPr>
        <w:pStyle w:val="InstructionsText2"/>
        <w:numPr>
          <w:ilvl w:val="0"/>
          <w:numId w:val="0"/>
        </w:numPr>
        <w:ind w:left="993"/>
      </w:pPr>
      <w:r>
        <w:t>112.</w:t>
      </w:r>
      <w:r>
        <w:tab/>
        <w:t>A CRR 406. cikkének (1) bekezdése alapján, amely szerint az értékpapírosítási pozíciókba fektető intézményeknek az ilyen pozíciókról nagy mennyiségű inform</w:t>
      </w:r>
      <w:r>
        <w:t>á</w:t>
      </w:r>
      <w:r>
        <w:t>ciót kell beszerezniük az előzetes vizsgálatra vonatkozó követelmények teljesítés</w:t>
      </w:r>
      <w:r>
        <w:t>é</w:t>
      </w:r>
      <w:r>
        <w:t>hez, a tábla alkalmazási köre bizonyos mértékig a befektetőkre is kiterjed. Így k</w:t>
      </w:r>
      <w:r>
        <w:t>ü</w:t>
      </w:r>
      <w:r>
        <w:t>lönösen a 010–040</w:t>
      </w:r>
      <w:proofErr w:type="gramStart"/>
      <w:r>
        <w:t>.,</w:t>
      </w:r>
      <w:proofErr w:type="gramEnd"/>
      <w:r>
        <w:t xml:space="preserve"> a 070–110., 160., 190., a 290–400. és a 420–470. oszlopot kell kitölteniük.</w:t>
      </w:r>
    </w:p>
    <w:p w:rsidR="00612780" w:rsidRPr="00392FFD" w:rsidRDefault="00125707" w:rsidP="00C37B29">
      <w:pPr>
        <w:pStyle w:val="InstructionsText2"/>
        <w:numPr>
          <w:ilvl w:val="0"/>
          <w:numId w:val="0"/>
        </w:numPr>
        <w:ind w:left="993"/>
      </w:pPr>
      <w:r>
        <w:t>113.</w:t>
      </w:r>
      <w:r>
        <w:tab/>
        <w:t>Az eredeti hitelező szerepét betöltő intézményeknek (amelyek ugyanabban az értékpapírosításban nem értékpapírosítást kezdeményezők vagy szponzorok) a tá</w:t>
      </w:r>
      <w:r>
        <w:t>b</w:t>
      </w:r>
      <w:r>
        <w:t>lát általában a befektetőkkel azonos terjedelemben kell kitölteniük.</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8" w:name="_Toc310415048"/>
      <w:bookmarkStart w:id="489" w:name="_Toc360188383"/>
      <w:bookmarkStart w:id="490" w:name="_Toc516210669"/>
      <w:bookmarkStart w:id="491" w:name="_Toc473560934"/>
      <w:bookmarkStart w:id="492" w:name="_Toc524014728"/>
      <w:r>
        <w:rPr>
          <w:rFonts w:ascii="Times New Roman" w:hAnsi="Times New Roman"/>
          <w:sz w:val="24"/>
          <w:u w:val="none"/>
        </w:rPr>
        <w:t>3.9.2.</w:t>
      </w:r>
      <w:r w:rsidRPr="00F870AC">
        <w:rPr>
          <w:u w:val="none"/>
        </w:rPr>
        <w:tab/>
      </w:r>
      <w:r>
        <w:rPr>
          <w:rFonts w:ascii="Times New Roman" w:hAnsi="Times New Roman"/>
          <w:sz w:val="24"/>
        </w:rPr>
        <w:t>A tábla egyes részeire vonatkozó útmutató</w:t>
      </w:r>
      <w:bookmarkEnd w:id="488"/>
      <w:bookmarkEnd w:id="489"/>
      <w:bookmarkEnd w:id="490"/>
      <w:bookmarkEnd w:id="491"/>
      <w:bookmarkEnd w:id="492"/>
    </w:p>
    <w:p w:rsidR="00612780" w:rsidRPr="00392FFD"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Oszlopok</w:t>
            </w:r>
          </w:p>
          <w:p w:rsidR="00612780" w:rsidRPr="00392FFD" w:rsidRDefault="00612780" w:rsidP="00612780">
            <w:pPr>
              <w:autoSpaceDE w:val="0"/>
              <w:autoSpaceDN w:val="0"/>
              <w:adjustRightInd w:val="0"/>
              <w:spacing w:before="0" w:after="0"/>
              <w:rPr>
                <w:rFonts w:ascii="Times New Roman" w:hAnsi="Times New Roman"/>
                <w:bCs/>
                <w:sz w:val="24"/>
              </w:rPr>
            </w:pPr>
          </w:p>
        </w:tc>
      </w:tr>
      <w:tr w:rsidR="007F7831" w:rsidRPr="00392FFD" w:rsidTr="00672D2A">
        <w:tc>
          <w:tcPr>
            <w:tcW w:w="1101" w:type="dxa"/>
          </w:tcPr>
          <w:p w:rsidR="007F7831" w:rsidRPr="00392FFD" w:rsidRDefault="007F7831" w:rsidP="00612780">
            <w:pPr>
              <w:autoSpaceDE w:val="0"/>
              <w:autoSpaceDN w:val="0"/>
              <w:adjustRightInd w:val="0"/>
              <w:spacing w:before="0" w:after="0"/>
              <w:rPr>
                <w:rFonts w:ascii="Times New Roman" w:hAnsi="Times New Roman"/>
                <w:bCs/>
                <w:sz w:val="24"/>
              </w:rPr>
            </w:pPr>
            <w:r>
              <w:rPr>
                <w:rFonts w:ascii="Times New Roman" w:hAnsi="Times New Roman"/>
                <w:sz w:val="24"/>
              </w:rPr>
              <w:t>005</w:t>
            </w:r>
          </w:p>
        </w:tc>
        <w:tc>
          <w:tcPr>
            <w:tcW w:w="7903" w:type="dxa"/>
          </w:tcPr>
          <w:p w:rsidR="007F7831" w:rsidRPr="00392FFD" w:rsidRDefault="007F7831" w:rsidP="00612780">
            <w:pPr>
              <w:spacing w:before="0" w:after="0"/>
              <w:jc w:val="left"/>
              <w:rPr>
                <w:rFonts w:ascii="Times New Roman" w:hAnsi="Times New Roman"/>
                <w:b/>
                <w:sz w:val="24"/>
                <w:u w:val="single"/>
              </w:rPr>
            </w:pPr>
            <w:r>
              <w:rPr>
                <w:rFonts w:ascii="Times New Roman" w:hAnsi="Times New Roman"/>
                <w:b/>
                <w:sz w:val="24"/>
                <w:u w:val="single"/>
              </w:rPr>
              <w:t>SOR SZÁMA</w:t>
            </w:r>
          </w:p>
          <w:p w:rsidR="007F7831" w:rsidRPr="00392FFD" w:rsidRDefault="007F7831" w:rsidP="00612780">
            <w:pPr>
              <w:spacing w:before="0" w:after="0"/>
              <w:jc w:val="left"/>
              <w:rPr>
                <w:rFonts w:ascii="Times New Roman" w:hAnsi="Times New Roman"/>
                <w:b/>
                <w:sz w:val="24"/>
                <w:u w:val="single"/>
              </w:rPr>
            </w:pPr>
          </w:p>
          <w:p w:rsidR="007F7831" w:rsidRPr="00392FFD" w:rsidRDefault="007F7831" w:rsidP="00FF2D0E">
            <w:pPr>
              <w:autoSpaceDE w:val="0"/>
              <w:autoSpaceDN w:val="0"/>
              <w:adjustRightInd w:val="0"/>
              <w:spacing w:before="0" w:after="0"/>
              <w:rPr>
                <w:rFonts w:ascii="Times New Roman" w:hAnsi="Times New Roman"/>
                <w:sz w:val="24"/>
              </w:rPr>
            </w:pPr>
            <w:r>
              <w:rPr>
                <w:rFonts w:ascii="Times New Roman" w:hAnsi="Times New Roman"/>
                <w:sz w:val="24"/>
              </w:rPr>
              <w:t>A sor száma egy sorazonosító, amely a tábla minden sorát egyedileg azonosítja. Sorrendje: 1, 2, 3 stb.</w:t>
            </w:r>
          </w:p>
          <w:p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BELSŐ KÓD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Belső (alfanumerikus) kód, amelyet az intézmény az értékpapírosítás azonosít</w:t>
            </w:r>
            <w:r>
              <w:rPr>
                <w:rFonts w:ascii="Times New Roman" w:hAnsi="Times New Roman"/>
                <w:sz w:val="24"/>
              </w:rPr>
              <w:t>á</w:t>
            </w:r>
            <w:r>
              <w:rPr>
                <w:rFonts w:ascii="Times New Roman" w:hAnsi="Times New Roman"/>
                <w:sz w:val="24"/>
              </w:rPr>
              <w:t>sára használ. A belső kódot az értékpapírosítás azonosítójához kell rendelni.</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AZ ÉRTÉKPAPÍROSÍTÁS AZONOSÍTÓJA</w:t>
            </w:r>
            <w:r>
              <w:rPr>
                <w:rFonts w:ascii="Times New Roman" w:hAnsi="Times New Roman"/>
                <w:b/>
                <w:sz w:val="24"/>
              </w:rPr>
              <w:t xml:space="preserve"> (kódja/neve)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értékpapírosítás jogszabályban előírt nyilvántartásba vételéhez használt kód, vagy ha ilyen nincs, akkor az a név, amelyen az értékpapírosítás a piacon i</w:t>
            </w:r>
            <w:r>
              <w:rPr>
                <w:rFonts w:ascii="Times New Roman" w:hAnsi="Times New Roman"/>
                <w:sz w:val="24"/>
              </w:rPr>
              <w:t>s</w:t>
            </w:r>
            <w:r>
              <w:rPr>
                <w:rFonts w:ascii="Times New Roman" w:hAnsi="Times New Roman"/>
                <w:sz w:val="24"/>
              </w:rPr>
              <w:t>mert. Ha van nemzetközi értékpapír-azonosító szám (ISIN) – nyilvános ügyle</w:t>
            </w:r>
            <w:r>
              <w:rPr>
                <w:rFonts w:ascii="Times New Roman" w:hAnsi="Times New Roman"/>
                <w:sz w:val="24"/>
              </w:rPr>
              <w:t>t</w:t>
            </w:r>
            <w:r>
              <w:rPr>
                <w:rFonts w:ascii="Times New Roman" w:hAnsi="Times New Roman"/>
                <w:sz w:val="24"/>
              </w:rPr>
              <w:t>nél –, akkor az oszlopban az értékpapírosítás valamennyi ügyletrészsorozatában közös karaktereket kell megadni.</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AZ ÉRTÉKPAPÍROSÍTÁST KEZDEMÉNYEZŐ AZONOSÍTÓJA</w:t>
            </w:r>
            <w:r>
              <w:rPr>
                <w:rFonts w:ascii="Times New Roman" w:hAnsi="Times New Roman"/>
                <w:b/>
                <w:sz w:val="24"/>
              </w:rPr>
              <w:t xml:space="preserve"> (kó</w:t>
            </w:r>
            <w:r>
              <w:rPr>
                <w:rFonts w:ascii="Times New Roman" w:hAnsi="Times New Roman"/>
                <w:b/>
                <w:sz w:val="24"/>
              </w:rPr>
              <w:t>d</w:t>
            </w:r>
            <w:r>
              <w:rPr>
                <w:rFonts w:ascii="Times New Roman" w:hAnsi="Times New Roman"/>
                <w:b/>
                <w:sz w:val="24"/>
              </w:rPr>
              <w:t>ja/neve)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oszlopban az értékpapírosítást kezdeményező részére a felügyelő hatóság által megállapított kódot, vagy ha ilyen nincs, akkor az intézmény nevét kell megadni.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Több eladó részvételével végrehajtott értékpapírosítás esetén az adatszolgáltató intézménynek meg kell adnia a konszolidált csoportján belüli valamennyi olyan intézmény azonosítóját, amely az ügyletben (mint kezdeményező, szponzor vagy eredeti hitelező) részt vesz. Ha kód nem áll rendelkezésre, vagy azt az adatszolgáltató intézmény nem ismeri, akkor az intézmény nevét kell megadni.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ÉRTÉKPAPÍROSÍTÁS TÍPUSA: (HAGYOMÁNYOS / SZINTETIKUS)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A következő rövidítéseket kell megadni:</w:t>
            </w:r>
            <w:r>
              <w:rPr>
                <w:rFonts w:ascii="Times New Roman" w:hAnsi="Times New Roman"/>
                <w:sz w:val="24"/>
              </w:rPr>
              <w:br/>
              <w:t>– „T”: hagyományos;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szintetikus.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hagyományos értékpapírosítás és a szintetikus értékpapírosítás meghatároz</w:t>
            </w:r>
            <w:r>
              <w:rPr>
                <w:rFonts w:ascii="Times New Roman" w:hAnsi="Times New Roman"/>
                <w:sz w:val="24"/>
              </w:rPr>
              <w:t>á</w:t>
            </w:r>
            <w:r>
              <w:rPr>
                <w:rFonts w:ascii="Times New Roman" w:hAnsi="Times New Roman"/>
                <w:sz w:val="24"/>
              </w:rPr>
              <w:t>sát a CRR 242. cikkének 10. és 11. pontja tartalmazza.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ELSZÁMOLÁSI MÓD: AZ ÉRTÉKPAPÍROSÍTOTT KITETTSÉGEK </w:t>
            </w:r>
            <w:proofErr w:type="gramStart"/>
            <w:r>
              <w:rPr>
                <w:rFonts w:ascii="Times New Roman" w:hAnsi="Times New Roman"/>
                <w:b/>
                <w:sz w:val="24"/>
                <w:u w:val="single"/>
              </w:rPr>
              <w:t>A</w:t>
            </w:r>
            <w:proofErr w:type="gramEnd"/>
            <w:r>
              <w:rPr>
                <w:rFonts w:ascii="Times New Roman" w:hAnsi="Times New Roman"/>
                <w:b/>
                <w:sz w:val="24"/>
                <w:u w:val="single"/>
              </w:rPr>
              <w:t xml:space="preserve"> MÉRLEGBEN MARADNAK, VAGY KIVEZETÉSRE KERÜLNEK?</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706D25" w:rsidP="00612780">
            <w:pPr>
              <w:autoSpaceDE w:val="0"/>
              <w:autoSpaceDN w:val="0"/>
              <w:adjustRightInd w:val="0"/>
              <w:spacing w:before="0" w:after="0"/>
              <w:jc w:val="left"/>
              <w:rPr>
                <w:rFonts w:ascii="Times New Roman" w:hAnsi="Times New Roman"/>
                <w:sz w:val="24"/>
              </w:rPr>
            </w:pPr>
            <w:r>
              <w:rPr>
                <w:rFonts w:ascii="Times New Roman" w:hAnsi="Times New Roman"/>
                <w:sz w:val="24"/>
              </w:rPr>
              <w:t>A kezdeményezők, szponzorok és eredeti hitelezők a következő rövidítések egyikét kötelesek feltüntetni:</w:t>
            </w:r>
          </w:p>
          <w:p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teljes megjelenítés;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„P”: részleges kivezetés;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teljes kivezetés;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nem alkalmazható.</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oszlop az ügylet els</w:t>
            </w:r>
            <w:r w:rsidR="00F870AC">
              <w:rPr>
                <w:rFonts w:ascii="Times New Roman" w:hAnsi="Times New Roman"/>
                <w:sz w:val="24"/>
              </w:rPr>
              <w:t>zámolási módját foglalja össze.</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szintetikus értékpapírosítások esetében az értékpapírosítást kezdeményez</w:t>
            </w:r>
            <w:r>
              <w:rPr>
                <w:rFonts w:ascii="Times New Roman" w:hAnsi="Times New Roman"/>
                <w:sz w:val="24"/>
              </w:rPr>
              <w:t>ő</w:t>
            </w:r>
            <w:r>
              <w:rPr>
                <w:rFonts w:ascii="Times New Roman" w:hAnsi="Times New Roman"/>
                <w:sz w:val="24"/>
              </w:rPr>
              <w:t>nek az értékpapírosított kitettségeket a mérlegből kivezetettként kell feltünte</w:t>
            </w:r>
            <w:r>
              <w:rPr>
                <w:rFonts w:ascii="Times New Roman" w:hAnsi="Times New Roman"/>
                <w:sz w:val="24"/>
              </w:rPr>
              <w:t>t</w:t>
            </w:r>
            <w:r>
              <w:rPr>
                <w:rFonts w:ascii="Times New Roman" w:hAnsi="Times New Roman"/>
                <w:sz w:val="24"/>
              </w:rPr>
              <w:t>nie.</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Kötelezettségek értékpapírosítása esetében az értékpapírosítást kezdeményezők az oszlopot nem töltik ki.</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„P” (részleges kivezetés) értéket kell megadni akkor, ha az értékpapírosított eszközöket a mérlegben az adatszolgáltató intézménynek az IFRS 9 3.2.16–3.2.21. bekezdése szerinti folytatódó rész</w:t>
            </w:r>
            <w:r w:rsidR="00F870AC">
              <w:rPr>
                <w:rFonts w:ascii="Times New Roman" w:hAnsi="Times New Roman"/>
                <w:sz w:val="24"/>
              </w:rPr>
              <w:t>vétele mértékéig jelenítik meg.</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 FIZETŐKÉPESSÉG KEZELÉSE: AZ ÉRTÉKPAPÍROSÍTÁSI POZ</w:t>
            </w:r>
            <w:r>
              <w:rPr>
                <w:rFonts w:ascii="Times New Roman" w:hAnsi="Times New Roman"/>
                <w:b/>
                <w:sz w:val="24"/>
                <w:u w:val="single"/>
              </w:rPr>
              <w:t>Í</w:t>
            </w:r>
            <w:r>
              <w:rPr>
                <w:rFonts w:ascii="Times New Roman" w:hAnsi="Times New Roman"/>
                <w:b/>
                <w:sz w:val="24"/>
                <w:u w:val="single"/>
              </w:rPr>
              <w:t>CIÓKRA SZAVATOLÓTŐKE-KÖVETELMÉNY VONATKOZIK?</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Kizárólag az értékpapírosítást kezdeményezőknek a következő rövidítéseket kell megadniuk: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nincs vonatkozó szavatolótőke-követelmény;</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„B”: banki könyv;</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„T”: kereskedési könyv;</w:t>
            </w:r>
          </w:p>
          <w:p w:rsidR="00612780" w:rsidRPr="00392FFD" w:rsidRDefault="00F870AC" w:rsidP="00612780">
            <w:pPr>
              <w:autoSpaceDE w:val="0"/>
              <w:autoSpaceDN w:val="0"/>
              <w:adjustRightInd w:val="0"/>
              <w:spacing w:before="0" w:after="0"/>
              <w:jc w:val="left"/>
              <w:rPr>
                <w:rFonts w:ascii="Times New Roman" w:hAnsi="Times New Roman"/>
                <w:sz w:val="24"/>
              </w:rPr>
            </w:pPr>
            <w:r>
              <w:rPr>
                <w:rFonts w:ascii="Times New Roman" w:hAnsi="Times New Roman"/>
                <w:sz w:val="24"/>
              </w:rPr>
              <w:t>– „A”: részben mindkét könyv.</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CRR 109., 243. és 244. cikke.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oszlop azt foglalja össze, hogy az értékpapírosítási programot az értékpap</w:t>
            </w:r>
            <w:r>
              <w:rPr>
                <w:rFonts w:ascii="Times New Roman" w:hAnsi="Times New Roman"/>
                <w:sz w:val="24"/>
              </w:rPr>
              <w:t>í</w:t>
            </w:r>
            <w:r>
              <w:rPr>
                <w:rFonts w:ascii="Times New Roman" w:hAnsi="Times New Roman"/>
                <w:sz w:val="24"/>
              </w:rPr>
              <w:t>rosítást kezdeményező hogyan kezeli a fizetőképesség szempontjából. Azt m</w:t>
            </w:r>
            <w:r>
              <w:rPr>
                <w:rFonts w:ascii="Times New Roman" w:hAnsi="Times New Roman"/>
                <w:sz w:val="24"/>
              </w:rPr>
              <w:t>u</w:t>
            </w:r>
            <w:r>
              <w:rPr>
                <w:rFonts w:ascii="Times New Roman" w:hAnsi="Times New Roman"/>
                <w:sz w:val="24"/>
              </w:rPr>
              <w:t>tatja, hogy a szavatolótőke-követelmény számítása az értékpapírosított kitetts</w:t>
            </w:r>
            <w:r>
              <w:rPr>
                <w:rFonts w:ascii="Times New Roman" w:hAnsi="Times New Roman"/>
                <w:sz w:val="24"/>
              </w:rPr>
              <w:t>é</w:t>
            </w:r>
            <w:r>
              <w:rPr>
                <w:rFonts w:ascii="Times New Roman" w:hAnsi="Times New Roman"/>
                <w:sz w:val="24"/>
              </w:rPr>
              <w:lastRenderedPageBreak/>
              <w:t>gek vagy az értékpapírosítási pozíciók alapján történik (</w:t>
            </w:r>
            <w:r w:rsidR="00F870AC">
              <w:rPr>
                <w:rFonts w:ascii="Times New Roman" w:hAnsi="Times New Roman"/>
                <w:sz w:val="24"/>
              </w:rPr>
              <w:t>banki könyv/kereskedési könyv).</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Ha a szavatolótőke-követelmény alapját az </w:t>
            </w:r>
            <w:r>
              <w:rPr>
                <w:rFonts w:ascii="Times New Roman" w:hAnsi="Times New Roman"/>
                <w:i/>
                <w:sz w:val="24"/>
              </w:rPr>
              <w:t>értékpapírosított kitettségek</w:t>
            </w:r>
            <w:r>
              <w:rPr>
                <w:rFonts w:ascii="Times New Roman" w:hAnsi="Times New Roman"/>
                <w:sz w:val="24"/>
              </w:rPr>
              <w:t xml:space="preserve"> képezik (jelentős kockázat átruházására nem kerül sor), akkor a hitelkockázat szavatolótőke-követelményének kiszámítását az intézmény a sztenderd mó</w:t>
            </w:r>
            <w:r>
              <w:rPr>
                <w:rFonts w:ascii="Times New Roman" w:hAnsi="Times New Roman"/>
                <w:sz w:val="24"/>
              </w:rPr>
              <w:t>d</w:t>
            </w:r>
            <w:r>
              <w:rPr>
                <w:rFonts w:ascii="Times New Roman" w:hAnsi="Times New Roman"/>
                <w:sz w:val="24"/>
              </w:rPr>
              <w:t>szer alkalmazása esetén a CR SA táblán, a belső minősítésen alapuló módszer alkalmazása esetén a CR IRB táblán tünteti fel.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Ugyanakkor, ha a szavatolótőke-követelmény alapját a </w:t>
            </w:r>
            <w:r>
              <w:rPr>
                <w:rFonts w:ascii="Times New Roman" w:hAnsi="Times New Roman"/>
                <w:i/>
                <w:sz w:val="24"/>
              </w:rPr>
              <w:t>banki könyvben nyilvá</w:t>
            </w:r>
            <w:r>
              <w:rPr>
                <w:rFonts w:ascii="Times New Roman" w:hAnsi="Times New Roman"/>
                <w:i/>
                <w:sz w:val="24"/>
              </w:rPr>
              <w:t>n</w:t>
            </w:r>
            <w:r>
              <w:rPr>
                <w:rFonts w:ascii="Times New Roman" w:hAnsi="Times New Roman"/>
                <w:i/>
                <w:sz w:val="24"/>
              </w:rPr>
              <w:t>tartott értékpapírosítási pozíciók</w:t>
            </w:r>
            <w:r>
              <w:rPr>
                <w:rFonts w:ascii="Times New Roman" w:hAnsi="Times New Roman"/>
                <w:sz w:val="24"/>
              </w:rPr>
              <w:t xml:space="preserve"> képezik (jelentős kockázat átruházására kerül sor), akkor a hitelkockázat szavatolótőke-követelményének kiszámítását az i</w:t>
            </w:r>
            <w:r>
              <w:rPr>
                <w:rFonts w:ascii="Times New Roman" w:hAnsi="Times New Roman"/>
                <w:sz w:val="24"/>
              </w:rPr>
              <w:t>n</w:t>
            </w:r>
            <w:r>
              <w:rPr>
                <w:rFonts w:ascii="Times New Roman" w:hAnsi="Times New Roman"/>
                <w:sz w:val="24"/>
              </w:rPr>
              <w:t xml:space="preserve">tézmény a sztenderd módszer alkalmazása esetén a CR SEC SA táblán, a belső minősítésen alapuló módszer alkalmazása esetén a CR SEC IRB táblán tünteti fel. A </w:t>
            </w:r>
            <w:r>
              <w:rPr>
                <w:rFonts w:ascii="Times New Roman" w:hAnsi="Times New Roman"/>
                <w:i/>
                <w:sz w:val="24"/>
              </w:rPr>
              <w:t>kereskedési könyvben nyilvántartott értékpapírosítási pozíciók</w:t>
            </w:r>
            <w:r>
              <w:rPr>
                <w:rFonts w:ascii="Times New Roman" w:hAnsi="Times New Roman"/>
                <w:sz w:val="24"/>
              </w:rPr>
              <w:t xml:space="preserve"> esetében a piaci kockázat szavatolótőke-követelményének kiszámítását az MKR SA TDI (sztenderd módszer szerinti általános pozíciókockázat), az MKR SA SEC vagy MKR SA CTP (sztenderd módszer szerinti egyedi pozíciókockázat), vagy az MKR IM (belső modellek) táblán kell feltüntetni.</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Kötelezettségek értékpapírosítása esetében az értékpapírosítást kezdeményezők az oszlopot nem töltik ki.</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070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ÉRTÉKPAPÍROSÍTÁS VAGY ÚJRA-ÉRTÉKPAPÍROSÍTÁS?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Az értékpapírosítás és az újra-értékpapírosítás fogalmának a CRR 4. cikke (1) bekezdésének 61. és 62–64. pontjában foglalt meghatározása szerint az alábbi rövidítésekkel meg kell adni az alapul szolgáló értékpapírok típusát:</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értékpapírosítás;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újra-értékpapírosítás.</w:t>
            </w:r>
          </w:p>
          <w:p w:rsidR="00612780" w:rsidRPr="00392FFD" w:rsidRDefault="00612780" w:rsidP="00612780">
            <w:pPr>
              <w:spacing w:before="0" w:after="0"/>
              <w:jc w:val="left"/>
              <w:rPr>
                <w:rFonts w:ascii="Times New Roman" w:hAnsi="Times New Roman"/>
                <w:b/>
                <w:sz w:val="24"/>
                <w:u w:val="single"/>
              </w:rPr>
            </w:pPr>
          </w:p>
        </w:tc>
      </w:tr>
      <w:tr w:rsidR="00CE4C49" w:rsidRPr="00392FFD" w:rsidTr="00672D2A">
        <w:tc>
          <w:tcPr>
            <w:tcW w:w="1101" w:type="dxa"/>
          </w:tcPr>
          <w:p w:rsidR="00CE4C49" w:rsidRPr="00392FFD" w:rsidRDefault="00CE4C49" w:rsidP="00612780">
            <w:pPr>
              <w:autoSpaceDE w:val="0"/>
              <w:autoSpaceDN w:val="0"/>
              <w:adjustRightInd w:val="0"/>
              <w:spacing w:before="0" w:after="0"/>
              <w:rPr>
                <w:rFonts w:ascii="Times New Roman" w:hAnsi="Times New Roman"/>
                <w:sz w:val="24"/>
              </w:rPr>
            </w:pPr>
            <w:r>
              <w:rPr>
                <w:rFonts w:ascii="Times New Roman" w:hAnsi="Times New Roman"/>
                <w:sz w:val="24"/>
              </w:rPr>
              <w:t>075</w:t>
            </w:r>
          </w:p>
        </w:tc>
        <w:tc>
          <w:tcPr>
            <w:tcW w:w="7903" w:type="dxa"/>
          </w:tcPr>
          <w:p w:rsidR="00CE4C49" w:rsidRDefault="00CE4C49" w:rsidP="00CE4C49">
            <w:pPr>
              <w:tabs>
                <w:tab w:val="left" w:pos="3274"/>
              </w:tabs>
              <w:spacing w:before="0" w:after="0"/>
              <w:jc w:val="left"/>
              <w:rPr>
                <w:rFonts w:ascii="Times New Roman" w:hAnsi="Times New Roman"/>
                <w:b/>
                <w:sz w:val="24"/>
                <w:u w:val="single"/>
              </w:rPr>
            </w:pPr>
            <w:r>
              <w:rPr>
                <w:rFonts w:ascii="Times New Roman" w:hAnsi="Times New Roman"/>
                <w:b/>
                <w:sz w:val="24"/>
                <w:u w:val="single"/>
              </w:rPr>
              <w:t>STS ÉRTÉKPAPÍROSÍTÁS</w:t>
            </w:r>
          </w:p>
          <w:p w:rsidR="006B4AC8" w:rsidRDefault="006B4AC8" w:rsidP="00CE4C49">
            <w:pPr>
              <w:spacing w:before="0" w:after="0"/>
              <w:jc w:val="left"/>
              <w:rPr>
                <w:rFonts w:ascii="Times New Roman" w:hAnsi="Times New Roman"/>
                <w:sz w:val="24"/>
              </w:rPr>
            </w:pPr>
          </w:p>
          <w:p w:rsidR="00CE4C49" w:rsidRDefault="006B4AC8" w:rsidP="00CE4C49">
            <w:pPr>
              <w:spacing w:before="0" w:after="0"/>
              <w:jc w:val="left"/>
              <w:rPr>
                <w:rFonts w:ascii="Times New Roman" w:hAnsi="Times New Roman"/>
                <w:sz w:val="24"/>
              </w:rPr>
            </w:pPr>
            <w:r>
              <w:rPr>
                <w:rFonts w:ascii="Times New Roman" w:hAnsi="Times New Roman"/>
                <w:sz w:val="24"/>
              </w:rPr>
              <w:t>Az (EU) 2017/2402 rendelet 18. cikke</w:t>
            </w:r>
          </w:p>
          <w:p w:rsidR="006B4AC8" w:rsidRDefault="006B4AC8" w:rsidP="00CE4C49">
            <w:pPr>
              <w:spacing w:before="0" w:after="0"/>
              <w:jc w:val="left"/>
              <w:rPr>
                <w:rFonts w:ascii="Times New Roman" w:hAnsi="Times New Roman"/>
                <w:sz w:val="24"/>
              </w:rPr>
            </w:pPr>
          </w:p>
          <w:p w:rsidR="00CE4C49" w:rsidRDefault="00CE4C49" w:rsidP="00CE4C49">
            <w:pPr>
              <w:spacing w:before="0" w:after="0"/>
              <w:jc w:val="left"/>
              <w:rPr>
                <w:rFonts w:ascii="Times New Roman" w:hAnsi="Times New Roman"/>
                <w:sz w:val="24"/>
              </w:rPr>
            </w:pPr>
            <w:r>
              <w:rPr>
                <w:rFonts w:ascii="Times New Roman" w:hAnsi="Times New Roman"/>
                <w:sz w:val="24"/>
              </w:rPr>
              <w:t>A következő rövidítések egyikét kell megadni:</w:t>
            </w:r>
          </w:p>
          <w:p w:rsidR="006B4AC8" w:rsidRDefault="006B4AC8" w:rsidP="00CE4C49">
            <w:pPr>
              <w:spacing w:before="0" w:after="0"/>
              <w:jc w:val="left"/>
              <w:rPr>
                <w:rFonts w:ascii="Times New Roman" w:hAnsi="Times New Roman"/>
                <w:sz w:val="24"/>
              </w:rPr>
            </w:pPr>
            <w:r>
              <w:rPr>
                <w:rFonts w:ascii="Times New Roman" w:hAnsi="Times New Roman"/>
                <w:sz w:val="24"/>
              </w:rPr>
              <w:t>Y – igen</w:t>
            </w:r>
          </w:p>
          <w:p w:rsidR="006B4AC8" w:rsidRDefault="006B4AC8" w:rsidP="00CE4C49">
            <w:pPr>
              <w:spacing w:before="0" w:after="0"/>
              <w:jc w:val="left"/>
              <w:rPr>
                <w:rFonts w:ascii="Times New Roman" w:hAnsi="Times New Roman"/>
                <w:sz w:val="24"/>
              </w:rPr>
            </w:pPr>
            <w:r>
              <w:rPr>
                <w:rFonts w:ascii="Times New Roman" w:hAnsi="Times New Roman"/>
                <w:sz w:val="24"/>
              </w:rPr>
              <w:t>N – nem.</w:t>
            </w:r>
          </w:p>
          <w:p w:rsidR="00CE4C49" w:rsidRPr="00392FFD" w:rsidRDefault="00CE4C49" w:rsidP="006B4AC8">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080-100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MEGTARTOTT ÉRDEKELTSÉGEK</w:t>
            </w:r>
          </w:p>
          <w:p w:rsidR="00612780" w:rsidRPr="00392FFD" w:rsidRDefault="00612780" w:rsidP="00612780">
            <w:pPr>
              <w:spacing w:before="0" w:after="0"/>
              <w:jc w:val="left"/>
              <w:rPr>
                <w:rFonts w:ascii="Times New Roman" w:hAnsi="Times New Roman"/>
                <w:sz w:val="24"/>
              </w:rPr>
            </w:pPr>
            <w:r>
              <w:rPr>
                <w:rFonts w:ascii="Times New Roman" w:hAnsi="Times New Roman"/>
                <w:sz w:val="24"/>
              </w:rPr>
              <w:t>A CRR 404–410. cikke.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AZ ÉRDEKELTSÉG MEGTARTÁSÁNAK MÓDJA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Minden egyes kezdeményezett értékpapírosítási programnál fel kell tüntetni a nettó gazdasági érdekeltség megtartásának módját a CRR 405. cikke alapján:</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 – Függőleges szelet (értékpapírosítási pozíciók): </w:t>
            </w:r>
            <w:r>
              <w:rPr>
                <w:rFonts w:ascii="Times New Roman" w:hAnsi="Times New Roman"/>
                <w:i/>
                <w:sz w:val="24"/>
              </w:rPr>
              <w:t>„a befektetőknek eladott vagy a befektetőkre átruházott minden egyes ügyletrészsorozat névértéke leg</w:t>
            </w:r>
            <w:r>
              <w:rPr>
                <w:rFonts w:ascii="Times New Roman" w:hAnsi="Times New Roman"/>
                <w:i/>
                <w:sz w:val="24"/>
              </w:rPr>
              <w:t>a</w:t>
            </w:r>
            <w:r w:rsidR="00F870AC">
              <w:rPr>
                <w:rFonts w:ascii="Times New Roman" w:hAnsi="Times New Roman"/>
                <w:i/>
                <w:sz w:val="24"/>
              </w:rPr>
              <w:t>lább 5 %-ának megtartása.”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V – Függőleges szelet (értékpapírosított kitettségek): legalább 5 % megtartása az egyes értékpapírosított kitettségek hitelkockázatából akkor, ha az értékpap</w:t>
            </w:r>
            <w:r>
              <w:rPr>
                <w:rFonts w:ascii="Times New Roman" w:hAnsi="Times New Roman"/>
                <w:sz w:val="24"/>
              </w:rPr>
              <w:t>í</w:t>
            </w:r>
            <w:r>
              <w:rPr>
                <w:rFonts w:ascii="Times New Roman" w:hAnsi="Times New Roman"/>
                <w:sz w:val="24"/>
              </w:rPr>
              <w:t>rosított kitettségek így megtartott hitelkockázatának besorolása minden esetben megegyezik (</w:t>
            </w:r>
            <w:r>
              <w:rPr>
                <w:rFonts w:ascii="Times New Roman" w:hAnsi="Times New Roman"/>
                <w:i/>
                <w:sz w:val="24"/>
              </w:rPr>
              <w:t>pari passu</w:t>
            </w:r>
            <w:r>
              <w:rPr>
                <w:rFonts w:ascii="Times New Roman" w:hAnsi="Times New Roman"/>
                <w:sz w:val="24"/>
              </w:rPr>
              <w:t>) az ugyanazon kitettségekre vonatkozóan értékpapír</w:t>
            </w:r>
            <w:r>
              <w:rPr>
                <w:rFonts w:ascii="Times New Roman" w:hAnsi="Times New Roman"/>
                <w:sz w:val="24"/>
              </w:rPr>
              <w:t>o</w:t>
            </w:r>
            <w:r>
              <w:rPr>
                <w:rFonts w:ascii="Times New Roman" w:hAnsi="Times New Roman"/>
                <w:sz w:val="24"/>
              </w:rPr>
              <w:t>sított hitelkockázatéval, vagy annál alacsonyabb besorolású.</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B – Rulírozó kitettségek: </w:t>
            </w:r>
            <w:r>
              <w:rPr>
                <w:rFonts w:ascii="Times New Roman" w:hAnsi="Times New Roman"/>
                <w:i/>
                <w:sz w:val="24"/>
              </w:rPr>
              <w:t>„rulírozó kitettségek értékpapírosítása esetén az é</w:t>
            </w:r>
            <w:r>
              <w:rPr>
                <w:rFonts w:ascii="Times New Roman" w:hAnsi="Times New Roman"/>
                <w:i/>
                <w:sz w:val="24"/>
              </w:rPr>
              <w:t>r</w:t>
            </w:r>
            <w:r>
              <w:rPr>
                <w:rFonts w:ascii="Times New Roman" w:hAnsi="Times New Roman"/>
                <w:i/>
                <w:sz w:val="24"/>
              </w:rPr>
              <w:t>tékpapírosított kitettségek névértékének legalább 5 %-a mértékéig az értékpap</w:t>
            </w:r>
            <w:r>
              <w:rPr>
                <w:rFonts w:ascii="Times New Roman" w:hAnsi="Times New Roman"/>
                <w:i/>
                <w:sz w:val="24"/>
              </w:rPr>
              <w:t>í</w:t>
            </w:r>
            <w:r>
              <w:rPr>
                <w:rFonts w:ascii="Times New Roman" w:hAnsi="Times New Roman"/>
                <w:i/>
                <w:sz w:val="24"/>
              </w:rPr>
              <w:t>rosítást kezdeményező érdekeltségének megtartása”</w:t>
            </w:r>
            <w:r w:rsidR="00F870AC">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C – Mérlegen belüli: „</w:t>
            </w:r>
            <w:r>
              <w:rPr>
                <w:rFonts w:ascii="Times New Roman" w:hAnsi="Times New Roman"/>
                <w:i/>
                <w:sz w:val="24"/>
              </w:rPr>
              <w:t>véletlenszerűen kiválasztott – legalább az értékpapíros</w:t>
            </w:r>
            <w:r>
              <w:rPr>
                <w:rFonts w:ascii="Times New Roman" w:hAnsi="Times New Roman"/>
                <w:i/>
                <w:sz w:val="24"/>
              </w:rPr>
              <w:t>í</w:t>
            </w:r>
            <w:r>
              <w:rPr>
                <w:rFonts w:ascii="Times New Roman" w:hAnsi="Times New Roman"/>
                <w:i/>
                <w:sz w:val="24"/>
              </w:rPr>
              <w:t>tott kitettségek névértékének 5 %-ával egyenértékű – kitettségek megtartása, amennyiben ezeket az értékpapírosítás során egyébként értékpapírosították vo</w:t>
            </w:r>
            <w:r>
              <w:rPr>
                <w:rFonts w:ascii="Times New Roman" w:hAnsi="Times New Roman"/>
                <w:i/>
                <w:sz w:val="24"/>
              </w:rPr>
              <w:t>l</w:t>
            </w:r>
            <w:r>
              <w:rPr>
                <w:rFonts w:ascii="Times New Roman" w:hAnsi="Times New Roman"/>
                <w:i/>
                <w:sz w:val="24"/>
              </w:rPr>
              <w:t>na, feltéve, hogy a potenciálisan értékpapírosítandó kitettségek száma az érté</w:t>
            </w:r>
            <w:r>
              <w:rPr>
                <w:rFonts w:ascii="Times New Roman" w:hAnsi="Times New Roman"/>
                <w:i/>
                <w:sz w:val="24"/>
              </w:rPr>
              <w:t>k</w:t>
            </w:r>
            <w:r>
              <w:rPr>
                <w:rFonts w:ascii="Times New Roman" w:hAnsi="Times New Roman"/>
                <w:i/>
                <w:sz w:val="24"/>
              </w:rPr>
              <w:t>papírosítás kezdeményezésekor legalább 100</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 – Első veszteségviselő: „</w:t>
            </w:r>
            <w:r>
              <w:rPr>
                <w:rFonts w:ascii="Times New Roman" w:hAnsi="Times New Roman"/>
                <w:i/>
                <w:sz w:val="24"/>
              </w:rPr>
              <w:t>az első veszteségviselő ügyletrészsorozat és szükség esetén a befektetőkre átruházott vagy a befektetőknek eladott ügyletrészsorozatokkal azonos vagy magasabb kockázati profilú, és a befekt</w:t>
            </w:r>
            <w:r>
              <w:rPr>
                <w:rFonts w:ascii="Times New Roman" w:hAnsi="Times New Roman"/>
                <w:i/>
                <w:sz w:val="24"/>
              </w:rPr>
              <w:t>e</w:t>
            </w:r>
            <w:r>
              <w:rPr>
                <w:rFonts w:ascii="Times New Roman" w:hAnsi="Times New Roman"/>
                <w:i/>
                <w:sz w:val="24"/>
              </w:rPr>
              <w:t>tőkre átruházott vagy a befektetőknek eladott ügyletrészsorozatoknál nem k</w:t>
            </w:r>
            <w:r>
              <w:rPr>
                <w:rFonts w:ascii="Times New Roman" w:hAnsi="Times New Roman"/>
                <w:i/>
                <w:sz w:val="24"/>
              </w:rPr>
              <w:t>o</w:t>
            </w:r>
            <w:r>
              <w:rPr>
                <w:rFonts w:ascii="Times New Roman" w:hAnsi="Times New Roman"/>
                <w:i/>
                <w:sz w:val="24"/>
              </w:rPr>
              <w:t>rábbi lejáratú ügyletrészsorozatok megtartása úgy, hogy a megtartott rész ö</w:t>
            </w:r>
            <w:r>
              <w:rPr>
                <w:rFonts w:ascii="Times New Roman" w:hAnsi="Times New Roman"/>
                <w:i/>
                <w:sz w:val="24"/>
              </w:rPr>
              <w:t>s</w:t>
            </w:r>
            <w:r>
              <w:rPr>
                <w:rFonts w:ascii="Times New Roman" w:hAnsi="Times New Roman"/>
                <w:i/>
                <w:sz w:val="24"/>
              </w:rPr>
              <w:t>szesen legalább az értékpapírosított kitettségek névértékének 5 %-ával egye</w:t>
            </w:r>
            <w:r>
              <w:rPr>
                <w:rFonts w:ascii="Times New Roman" w:hAnsi="Times New Roman"/>
                <w:i/>
                <w:sz w:val="24"/>
              </w:rPr>
              <w:t>n</w:t>
            </w:r>
            <w:r>
              <w:rPr>
                <w:rFonts w:ascii="Times New Roman" w:hAnsi="Times New Roman"/>
                <w:i/>
                <w:sz w:val="24"/>
              </w:rPr>
              <w:t>lő</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 – Mentesül. Ezt a kódot a CRR 405. cikkének (3) bekezdésében foglalt re</w:t>
            </w:r>
            <w:r>
              <w:rPr>
                <w:rFonts w:ascii="Times New Roman" w:hAnsi="Times New Roman"/>
                <w:sz w:val="24"/>
              </w:rPr>
              <w:t>n</w:t>
            </w:r>
            <w:r>
              <w:rPr>
                <w:rFonts w:ascii="Times New Roman" w:hAnsi="Times New Roman"/>
                <w:sz w:val="24"/>
              </w:rPr>
              <w:t>delkezésekkel érintett értékpapírosításoknál kell megadni.</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 – Nem alkalmazható. Ezt a kódot a CRR 404. cikkében foglalt rendelkez</w:t>
            </w:r>
            <w:r>
              <w:rPr>
                <w:rFonts w:ascii="Times New Roman" w:hAnsi="Times New Roman"/>
                <w:sz w:val="24"/>
              </w:rPr>
              <w:t>é</w:t>
            </w:r>
            <w:r>
              <w:rPr>
                <w:rFonts w:ascii="Times New Roman" w:hAnsi="Times New Roman"/>
                <w:sz w:val="24"/>
              </w:rPr>
              <w:t>sekkel érintett értékpapírosításoknál kell megadni.</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U – Nem megfelelő vagy ismeretlen. Ezt a kódot akkor kell megadni, ha az adatszolgáltató intézmény nem tudja biztosan, hogy a megtartás melyik módját alkalmazzák, vagy az nem felel meg a szabályoknak.</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 MEGTARTOTT ÉRDEKELTSÉGEK ARÁNYA AZ ADATSZO</w:t>
            </w:r>
            <w:r>
              <w:rPr>
                <w:rFonts w:ascii="Times New Roman" w:hAnsi="Times New Roman"/>
                <w:b/>
                <w:sz w:val="24"/>
                <w:u w:val="single"/>
              </w:rPr>
              <w:t>L</w:t>
            </w:r>
            <w:r>
              <w:rPr>
                <w:rFonts w:ascii="Times New Roman" w:hAnsi="Times New Roman"/>
                <w:b/>
                <w:sz w:val="24"/>
                <w:u w:val="single"/>
              </w:rPr>
              <w:t>GÁLTATÁS IDŐPONTJÁBAN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 xml:space="preserve">Az értékpapírosítást </w:t>
            </w:r>
            <w:r>
              <w:rPr>
                <w:rFonts w:ascii="Times New Roman" w:hAnsi="Times New Roman"/>
                <w:i/>
                <w:sz w:val="24"/>
              </w:rPr>
              <w:t>kezdeményező, a szponzor vagy az eredeti hitelező által megtartott jelentős mértékű nettó gazdasági érdekeltség</w:t>
            </w:r>
            <w:r>
              <w:rPr>
                <w:rFonts w:ascii="Times New Roman" w:hAnsi="Times New Roman"/>
                <w:sz w:val="24"/>
              </w:rPr>
              <w:t xml:space="preserve"> aránya a kezdemény</w:t>
            </w:r>
            <w:r>
              <w:rPr>
                <w:rFonts w:ascii="Times New Roman" w:hAnsi="Times New Roman"/>
                <w:sz w:val="24"/>
              </w:rPr>
              <w:t>e</w:t>
            </w:r>
            <w:r>
              <w:rPr>
                <w:rFonts w:ascii="Times New Roman" w:hAnsi="Times New Roman"/>
                <w:sz w:val="24"/>
              </w:rPr>
              <w:t>zés időpontjában legalább 5 %.</w:t>
            </w:r>
          </w:p>
          <w:p w:rsidR="00612780" w:rsidRPr="00392FFD" w:rsidRDefault="00612780" w:rsidP="00612780">
            <w:pPr>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CRR 405. cikkének (1) bekezdésétől függetlenül a kezdeményezéskor me</w:t>
            </w:r>
            <w:r>
              <w:rPr>
                <w:rFonts w:ascii="Times New Roman" w:hAnsi="Times New Roman"/>
                <w:sz w:val="24"/>
              </w:rPr>
              <w:t>g</w:t>
            </w:r>
            <w:r>
              <w:rPr>
                <w:rFonts w:ascii="Times New Roman" w:hAnsi="Times New Roman"/>
                <w:sz w:val="24"/>
              </w:rPr>
              <w:t>tartott érdekeltségek értékelése jellemzően úgy értelmezhető, hogy az a kitet</w:t>
            </w:r>
            <w:r>
              <w:rPr>
                <w:rFonts w:ascii="Times New Roman" w:hAnsi="Times New Roman"/>
                <w:sz w:val="24"/>
              </w:rPr>
              <w:t>t</w:t>
            </w:r>
            <w:r>
              <w:rPr>
                <w:rFonts w:ascii="Times New Roman" w:hAnsi="Times New Roman"/>
                <w:sz w:val="24"/>
              </w:rPr>
              <w:t>ségek első értékpapírosításának időpontjára, és nem a kitettségek keletkezés</w:t>
            </w:r>
            <w:r>
              <w:rPr>
                <w:rFonts w:ascii="Times New Roman" w:hAnsi="Times New Roman"/>
                <w:sz w:val="24"/>
              </w:rPr>
              <w:t>é</w:t>
            </w:r>
            <w:r>
              <w:rPr>
                <w:rFonts w:ascii="Times New Roman" w:hAnsi="Times New Roman"/>
                <w:sz w:val="24"/>
              </w:rPr>
              <w:t>nek időpontjára vonatkozik (például nem arra az időpontra, amikor az alapul szolgáló hiteleket először nyújtották). A kezdeményezéskor megtartott érd</w:t>
            </w:r>
            <w:r>
              <w:rPr>
                <w:rFonts w:ascii="Times New Roman" w:hAnsi="Times New Roman"/>
                <w:sz w:val="24"/>
              </w:rPr>
              <w:t>e</w:t>
            </w:r>
            <w:r>
              <w:rPr>
                <w:rFonts w:ascii="Times New Roman" w:hAnsi="Times New Roman"/>
                <w:sz w:val="24"/>
              </w:rPr>
              <w:t>keltségek értékelése azt jelenti, hogy a megtartás mértékének értékelésekor és a követelmény teljesítésekor (például a kitettségek első értékpapírosításának id</w:t>
            </w:r>
            <w:r>
              <w:rPr>
                <w:rFonts w:ascii="Times New Roman" w:hAnsi="Times New Roman"/>
                <w:sz w:val="24"/>
              </w:rPr>
              <w:t>ő</w:t>
            </w:r>
            <w:r>
              <w:rPr>
                <w:rFonts w:ascii="Times New Roman" w:hAnsi="Times New Roman"/>
                <w:sz w:val="24"/>
              </w:rPr>
              <w:t>pontjában) elvárt arány 5 %; a megtartott érdekeltségi arány dinamikus újraé</w:t>
            </w:r>
            <w:r>
              <w:rPr>
                <w:rFonts w:ascii="Times New Roman" w:hAnsi="Times New Roman"/>
                <w:sz w:val="24"/>
              </w:rPr>
              <w:t>r</w:t>
            </w:r>
            <w:r>
              <w:rPr>
                <w:rFonts w:ascii="Times New Roman" w:hAnsi="Times New Roman"/>
                <w:sz w:val="24"/>
              </w:rPr>
              <w:t xml:space="preserve">tékelésének és kiigazításának az ügylet teljes élettartamára vonatkozó előírása </w:t>
            </w:r>
            <w:r>
              <w:rPr>
                <w:rFonts w:ascii="Times New Roman" w:hAnsi="Times New Roman"/>
                <w:sz w:val="24"/>
              </w:rPr>
              <w:lastRenderedPageBreak/>
              <w:t>nem szükséges.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Az oszlop nem töltendő ki akkor, ha a 080-as oszlopban (Az érdekeltség me</w:t>
            </w:r>
            <w:r>
              <w:rPr>
                <w:rFonts w:ascii="Times New Roman" w:hAnsi="Times New Roman"/>
                <w:sz w:val="24"/>
              </w:rPr>
              <w:t>g</w:t>
            </w:r>
            <w:r>
              <w:rPr>
                <w:rFonts w:ascii="Times New Roman" w:hAnsi="Times New Roman"/>
                <w:sz w:val="24"/>
              </w:rPr>
              <w:t>tartásának módja) az „E” (Mentesül) vagy „N” (Nem alkalmazható) kód szer</w:t>
            </w:r>
            <w:r>
              <w:rPr>
                <w:rFonts w:ascii="Times New Roman" w:hAnsi="Times New Roman"/>
                <w:sz w:val="24"/>
              </w:rPr>
              <w:t>e</w:t>
            </w:r>
            <w:r>
              <w:rPr>
                <w:rFonts w:ascii="Times New Roman" w:hAnsi="Times New Roman"/>
                <w:sz w:val="24"/>
              </w:rPr>
              <w:t>pel.</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 MEGTARTÁSI KÖVETELMÉNY TELJESÜL?</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A CRR 405. cikkének (1) bekezdése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A következő rövidítéseket kell megadni:</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igen;</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nem.</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Az oszlop nem töltendő ki akkor, ha a 080-as oszlopban (Az érdekeltség me</w:t>
            </w:r>
            <w:r>
              <w:rPr>
                <w:rFonts w:ascii="Times New Roman" w:hAnsi="Times New Roman"/>
                <w:sz w:val="24"/>
              </w:rPr>
              <w:t>g</w:t>
            </w:r>
            <w:r>
              <w:rPr>
                <w:rFonts w:ascii="Times New Roman" w:hAnsi="Times New Roman"/>
                <w:sz w:val="24"/>
              </w:rPr>
              <w:t>tartásának módja) az „E” (Mentesül) vagy „N” (Nem alkalmazható) kód szer</w:t>
            </w:r>
            <w:r>
              <w:rPr>
                <w:rFonts w:ascii="Times New Roman" w:hAnsi="Times New Roman"/>
                <w:sz w:val="24"/>
              </w:rPr>
              <w:t>e</w:t>
            </w:r>
            <w:r>
              <w:rPr>
                <w:rFonts w:ascii="Times New Roman" w:hAnsi="Times New Roman"/>
                <w:sz w:val="24"/>
              </w:rPr>
              <w:t>pel.</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AZ INTÉZMÉNY SZEREPE: (ÉRTÉKPAPÍROSÍTÁST KEZDEM</w:t>
            </w:r>
            <w:r>
              <w:rPr>
                <w:rFonts w:ascii="Times New Roman" w:hAnsi="Times New Roman"/>
                <w:b/>
                <w:sz w:val="24"/>
                <w:u w:val="single"/>
              </w:rPr>
              <w:t>É</w:t>
            </w:r>
            <w:r>
              <w:rPr>
                <w:rFonts w:ascii="Times New Roman" w:hAnsi="Times New Roman"/>
                <w:b/>
                <w:sz w:val="24"/>
                <w:u w:val="single"/>
              </w:rPr>
              <w:t>NYEZŐ / SZPONZOR / EREDETI HITELEZŐ / BEFEKTETŐ)</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A következő rövidítéseket kell megadni: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„O”: értékpapírosítást kezdeményező;</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szponzor;</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„L”: eredeti hitelező;</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befektető.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Az értékpapírosítást kezdeményező fogalmát a CRR 4. cikke (1) bekezdésének 13. pontja, a szponzor fogalmát a 14. pontja határozza meg. Befektetőnek olyan intézmények tekinthetők, amelyekre a CRR 406. és 407. cikke alkalmazható.</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120-130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rPr>
            </w:pPr>
            <w:r>
              <w:rPr>
                <w:rFonts w:ascii="Times New Roman" w:hAnsi="Times New Roman"/>
                <w:b/>
                <w:sz w:val="24"/>
              </w:rPr>
              <w:t>NEM ABCP-PROGRAMOK</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Azon speciális jellegükből adódóan, hogy több egyedi értékpapírosítási pozíciót foglalnak magukban, a CRR 242. cikkének 9. pontjában meghatározott ABCP-programokról a 120-as és 130-as oszlopban nem kell adatot szolgáltatni.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jc w:val="left"/>
              <w:rPr>
                <w:rFonts w:ascii="Times New Roman" w:hAnsi="Times New Roman"/>
                <w:b/>
                <w:sz w:val="24"/>
              </w:rPr>
            </w:pPr>
            <w:r>
              <w:rPr>
                <w:rFonts w:ascii="Times New Roman" w:hAnsi="Times New Roman"/>
                <w:b/>
                <w:sz w:val="24"/>
              </w:rPr>
              <w:t>KEZDEMÉNYEZÉS IDŐPONTJA (hh/éééé)</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értékpapírosítás kezdeményezésének időpontjában (a halmazra [poolra] v</w:t>
            </w:r>
            <w:r>
              <w:rPr>
                <w:rFonts w:ascii="Times New Roman" w:hAnsi="Times New Roman"/>
                <w:sz w:val="24"/>
              </w:rPr>
              <w:t>o</w:t>
            </w:r>
            <w:r>
              <w:rPr>
                <w:rFonts w:ascii="Times New Roman" w:hAnsi="Times New Roman"/>
                <w:sz w:val="24"/>
              </w:rPr>
              <w:t>natkozó határidőben vagy záró dátumban) a hónapot és az évet a „hh/éééé” formában kell megadni.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egyes értékpapírosítási programok kezdeményezésének időpontja az ada</w:t>
            </w:r>
            <w:r>
              <w:rPr>
                <w:rFonts w:ascii="Times New Roman" w:hAnsi="Times New Roman"/>
                <w:sz w:val="24"/>
              </w:rPr>
              <w:t>t</w:t>
            </w:r>
            <w:r>
              <w:rPr>
                <w:rFonts w:ascii="Times New Roman" w:hAnsi="Times New Roman"/>
                <w:sz w:val="24"/>
              </w:rPr>
              <w:t xml:space="preserve">szolgáltatás időpontjai között nem változhat. A nyitott halmazokkal fedezett értékpapírosítási programok esetében a kezdeményezés napja az értékpapírok első </w:t>
            </w:r>
            <w:proofErr w:type="gramStart"/>
            <w:r>
              <w:rPr>
                <w:rFonts w:ascii="Times New Roman" w:hAnsi="Times New Roman"/>
                <w:sz w:val="24"/>
              </w:rPr>
              <w:t>kibocsátásának napja</w:t>
            </w:r>
            <w:proofErr w:type="gramEnd"/>
            <w:r>
              <w:rPr>
                <w:rFonts w:ascii="Times New Roman" w:hAnsi="Times New Roman"/>
                <w:sz w:val="24"/>
              </w:rPr>
              <w:t xml:space="preserv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Ezt az információt akkor is fel kell tüntetni, ha az adatszolgáltató intézmény nem rendelkezik pozícióval az értékpapírosításban.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AZ ÉRTÉKPAPÍROSÍTOTT KITETTSÉGEK ÖSSZÉRTÉKE </w:t>
            </w:r>
            <w:proofErr w:type="gramStart"/>
            <w:r>
              <w:rPr>
                <w:rFonts w:ascii="Times New Roman" w:hAnsi="Times New Roman"/>
                <w:b/>
                <w:sz w:val="24"/>
                <w:u w:val="single"/>
              </w:rPr>
              <w:t>A</w:t>
            </w:r>
            <w:proofErr w:type="gramEnd"/>
            <w:r>
              <w:rPr>
                <w:rFonts w:ascii="Times New Roman" w:hAnsi="Times New Roman"/>
                <w:b/>
                <w:sz w:val="24"/>
                <w:u w:val="single"/>
              </w:rPr>
              <w:t xml:space="preserve"> KE</w:t>
            </w:r>
            <w:r>
              <w:rPr>
                <w:rFonts w:ascii="Times New Roman" w:hAnsi="Times New Roman"/>
                <w:b/>
                <w:sz w:val="24"/>
                <w:u w:val="single"/>
              </w:rPr>
              <w:t>Z</w:t>
            </w:r>
            <w:r>
              <w:rPr>
                <w:rFonts w:ascii="Times New Roman" w:hAnsi="Times New Roman"/>
                <w:b/>
                <w:sz w:val="24"/>
                <w:u w:val="single"/>
              </w:rPr>
              <w:t>DEMÉNYEZÉS IDŐPONTJÁBAN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 az oszlop az értékpapírosított portfóliónak a kezdeményezés időpontjában érvényes (a hitel-egyenértékesítési tényezők előtti eredeti kitettségnek megfel</w:t>
            </w:r>
            <w:r>
              <w:rPr>
                <w:rFonts w:ascii="Times New Roman" w:hAnsi="Times New Roman"/>
                <w:sz w:val="24"/>
              </w:rPr>
              <w:t>e</w:t>
            </w:r>
            <w:r>
              <w:rPr>
                <w:rFonts w:ascii="Times New Roman" w:hAnsi="Times New Roman"/>
                <w:sz w:val="24"/>
              </w:rPr>
              <w:t xml:space="preserve">lő) értékét összesíti.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nyitott halmazokkal fedezett értékpapírosítási programok esetében az érté</w:t>
            </w:r>
            <w:r>
              <w:rPr>
                <w:rFonts w:ascii="Times New Roman" w:hAnsi="Times New Roman"/>
                <w:sz w:val="24"/>
              </w:rPr>
              <w:t>k</w:t>
            </w:r>
            <w:r>
              <w:rPr>
                <w:rFonts w:ascii="Times New Roman" w:hAnsi="Times New Roman"/>
                <w:sz w:val="24"/>
              </w:rPr>
              <w:t>papírok első kibocsátásának napjára vonatkozó értéket kell megadni. A hagy</w:t>
            </w:r>
            <w:r>
              <w:rPr>
                <w:rFonts w:ascii="Times New Roman" w:hAnsi="Times New Roman"/>
                <w:sz w:val="24"/>
              </w:rPr>
              <w:t>o</w:t>
            </w:r>
            <w:r>
              <w:rPr>
                <w:rFonts w:ascii="Times New Roman" w:hAnsi="Times New Roman"/>
                <w:sz w:val="24"/>
              </w:rPr>
              <w:t>mányos értékpapírosítások esetében az értékpapírosítási halmaz más eszközei nem számíthatók be. A több eladó (azaz egynél több értékpapírosítást kezd</w:t>
            </w:r>
            <w:r>
              <w:rPr>
                <w:rFonts w:ascii="Times New Roman" w:hAnsi="Times New Roman"/>
                <w:sz w:val="24"/>
              </w:rPr>
              <w:t>e</w:t>
            </w:r>
            <w:r>
              <w:rPr>
                <w:rFonts w:ascii="Times New Roman" w:hAnsi="Times New Roman"/>
                <w:sz w:val="24"/>
              </w:rPr>
              <w:t>ményező) részvételével működő értékpapírosítási programoknál kizárólag az adatszolgáltató intézménynek az értékpapírosított portfólióhoz való hozzájár</w:t>
            </w:r>
            <w:r>
              <w:rPr>
                <w:rFonts w:ascii="Times New Roman" w:hAnsi="Times New Roman"/>
                <w:sz w:val="24"/>
              </w:rPr>
              <w:t>u</w:t>
            </w:r>
            <w:r>
              <w:rPr>
                <w:rFonts w:ascii="Times New Roman" w:hAnsi="Times New Roman"/>
                <w:sz w:val="24"/>
              </w:rPr>
              <w:t>lásának megfelelő összeget kell feltüntetni. Kötelezettségek értékpapírosítása esetében kizárólag az adatszolgáltató intézmény által kibocsátott összeget kell megadni.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Ezt az információt akkor is fel kell tüntetni, ha az adatszolgáltató intézmény nem rendelkezik pozícióval az értékpapírosításban.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140-220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ÉRTÉKPAPÍROSÍTOTT KITETTSÉGEK</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140–220. oszlopban az adatszolgáltató intézménynek az értékpapírosított portfólió több jellemzőjére vonatkozó információkat kell feltüntetnie.</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ÖSSZÉRTÉK</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intézményeknek az értékpapírosított portfóliónak az adatszolgáltatás id</w:t>
            </w:r>
            <w:r>
              <w:rPr>
                <w:rFonts w:ascii="Times New Roman" w:hAnsi="Times New Roman"/>
                <w:sz w:val="24"/>
              </w:rPr>
              <w:t>ő</w:t>
            </w:r>
            <w:r>
              <w:rPr>
                <w:rFonts w:ascii="Times New Roman" w:hAnsi="Times New Roman"/>
                <w:sz w:val="24"/>
              </w:rPr>
              <w:t>pontjában érvényes értékét, vagyis a fennálló értékpapírosított kitettségek ö</w:t>
            </w:r>
            <w:r>
              <w:rPr>
                <w:rFonts w:ascii="Times New Roman" w:hAnsi="Times New Roman"/>
                <w:sz w:val="24"/>
              </w:rPr>
              <w:t>s</w:t>
            </w:r>
            <w:r>
              <w:rPr>
                <w:rFonts w:ascii="Times New Roman" w:hAnsi="Times New Roman"/>
                <w:sz w:val="24"/>
              </w:rPr>
              <w:t>szegét kell megadniuk. A hagyományos értékpapírosítások esetében az értékpapírosítási halmaz más eszközei nem számíthatók be. A több eladó (azaz egynél több értékpapírosítást kezdeményező) részvételével működő értékpapírosítási programoknál kizárólag az adatszolgáltató intézménynek az értékpapírosított portfólióhoz való hozzájárulásának megfelelő összeget kell feltüntetni. A zárt halmazzal fedezett értékpapírosítási programoknál (vagyis ahol az értékpapírosított eszközportfólió a kezdeményezés napját követően nem bővíthető) az értéket fokozatosan csökkenteni kell.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Ezt az információt akkor is fel kell tüntetni, ha az adatszolgáltató intézmény nem rendelkezik pozícióval az értékpapírosításban.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AZ INTÉZMÉNY RÉSZESEDÉSE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Az intézménynek az értékpapírosított portfólióban az adatszolgáltatás időpon</w:t>
            </w:r>
            <w:r>
              <w:rPr>
                <w:rFonts w:ascii="Times New Roman" w:hAnsi="Times New Roman"/>
                <w:sz w:val="24"/>
              </w:rPr>
              <w:t>t</w:t>
            </w:r>
            <w:r>
              <w:rPr>
                <w:rFonts w:ascii="Times New Roman" w:hAnsi="Times New Roman"/>
                <w:sz w:val="24"/>
              </w:rPr>
              <w:t>jában meglévő részesedését kell megadni (százalékban, két tizedesjegy ponto</w:t>
            </w:r>
            <w:r>
              <w:rPr>
                <w:rFonts w:ascii="Times New Roman" w:hAnsi="Times New Roman"/>
                <w:sz w:val="24"/>
              </w:rPr>
              <w:t>s</w:t>
            </w:r>
            <w:r>
              <w:rPr>
                <w:rFonts w:ascii="Times New Roman" w:hAnsi="Times New Roman"/>
                <w:sz w:val="24"/>
              </w:rPr>
              <w:t>sággal). Az ebben az oszlopban feltüntetendő érték alapértelmezés szerint 100 %, kivéve a több eladó részvételével működő értékpapírosítási program</w:t>
            </w:r>
            <w:r>
              <w:rPr>
                <w:rFonts w:ascii="Times New Roman" w:hAnsi="Times New Roman"/>
                <w:sz w:val="24"/>
              </w:rPr>
              <w:t>o</w:t>
            </w:r>
            <w:r>
              <w:rPr>
                <w:rFonts w:ascii="Times New Roman" w:hAnsi="Times New Roman"/>
                <w:sz w:val="24"/>
              </w:rPr>
              <w:t xml:space="preserve">kat. Az utóbbi esetben az adatszolgáltató intézménynek az értékpapírosított portfólióban meglévő aktuális hozzájárulását kell megadnia (arányát tekintve a </w:t>
            </w:r>
            <w:r>
              <w:rPr>
                <w:rFonts w:ascii="Times New Roman" w:hAnsi="Times New Roman"/>
                <w:sz w:val="24"/>
              </w:rPr>
              <w:lastRenderedPageBreak/>
              <w:t>140-es oszlopnak felel meg).</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Ezt az információt akkor is fel kell tüntetni, ha az adatszolgáltató intézmény nem rendelkezik pozícióval az értékpapírosításban.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TÍPUS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 az oszlop az értékpapírosított portfólióban lévő eszközökről (1–8) és kötel</w:t>
            </w:r>
            <w:r>
              <w:rPr>
                <w:rFonts w:ascii="Times New Roman" w:hAnsi="Times New Roman"/>
                <w:sz w:val="24"/>
              </w:rPr>
              <w:t>e</w:t>
            </w:r>
            <w:r>
              <w:rPr>
                <w:rFonts w:ascii="Times New Roman" w:hAnsi="Times New Roman"/>
                <w:sz w:val="24"/>
              </w:rPr>
              <w:t>zettségekről (9 és 10) gyűjt információkat. Az intézménynek az alábbi számk</w:t>
            </w:r>
            <w:r>
              <w:rPr>
                <w:rFonts w:ascii="Times New Roman" w:hAnsi="Times New Roman"/>
                <w:sz w:val="24"/>
              </w:rPr>
              <w:t>ó</w:t>
            </w:r>
            <w:r>
              <w:rPr>
                <w:rFonts w:ascii="Times New Roman" w:hAnsi="Times New Roman"/>
                <w:sz w:val="24"/>
              </w:rPr>
              <w:t>dok valamelyikét kell feltüntetnie:</w:t>
            </w:r>
          </w:p>
          <w:p w:rsidR="00BB7E19" w:rsidRPr="00392FFD" w:rsidRDefault="00BB7E19"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1 – lakóingatlant terhelő jelzálog;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2 – kereskede</w:t>
            </w:r>
            <w:r w:rsidR="00F870AC">
              <w:rPr>
                <w:rFonts w:ascii="Times New Roman" w:hAnsi="Times New Roman"/>
                <w:sz w:val="24"/>
              </w:rPr>
              <w:t>lmi ingatlant terhelő jelzálog;</w:t>
            </w:r>
          </w:p>
          <w:p w:rsidR="00612780" w:rsidRPr="00392FFD" w:rsidRDefault="00F870AC" w:rsidP="00612780">
            <w:pPr>
              <w:autoSpaceDE w:val="0"/>
              <w:autoSpaceDN w:val="0"/>
              <w:adjustRightInd w:val="0"/>
              <w:spacing w:before="0" w:after="0"/>
              <w:jc w:val="left"/>
              <w:rPr>
                <w:rFonts w:ascii="Times New Roman" w:hAnsi="Times New Roman"/>
                <w:sz w:val="24"/>
              </w:rPr>
            </w:pPr>
            <w:r>
              <w:rPr>
                <w:rFonts w:ascii="Times New Roman" w:hAnsi="Times New Roman"/>
                <w:sz w:val="24"/>
              </w:rPr>
              <w:t>3 – hitelkártya-követelés;</w:t>
            </w:r>
          </w:p>
          <w:p w:rsidR="00612780" w:rsidRPr="00392FFD" w:rsidRDefault="00F870AC" w:rsidP="00612780">
            <w:pPr>
              <w:autoSpaceDE w:val="0"/>
              <w:autoSpaceDN w:val="0"/>
              <w:adjustRightInd w:val="0"/>
              <w:spacing w:before="0" w:after="0"/>
              <w:jc w:val="left"/>
              <w:rPr>
                <w:rFonts w:ascii="Times New Roman" w:hAnsi="Times New Roman"/>
                <w:sz w:val="24"/>
              </w:rPr>
            </w:pPr>
            <w:r>
              <w:rPr>
                <w:rFonts w:ascii="Times New Roman" w:hAnsi="Times New Roman"/>
                <w:sz w:val="24"/>
              </w:rPr>
              <w:t>4 – lízing;</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5 – vállalatoknak és vállalatként kezelt kkv</w:t>
            </w:r>
            <w:r w:rsidR="00F870AC">
              <w:rPr>
                <w:rFonts w:ascii="Times New Roman" w:hAnsi="Times New Roman"/>
                <w:sz w:val="24"/>
              </w:rPr>
              <w:t>-knak nyújtott hitel;</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6 – fogyasztási hitel;</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7 – vevőkövetelés;</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8 – egyéb eszköz;</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9 – fedezett kötvény;</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10 – egyéb kötelezettség.</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Ha az értékpapírosított kitettségek halmaza a fenti típusokat vegyesen tarta</w:t>
            </w:r>
            <w:r>
              <w:rPr>
                <w:rFonts w:ascii="Times New Roman" w:hAnsi="Times New Roman"/>
                <w:sz w:val="24"/>
              </w:rPr>
              <w:t>l</w:t>
            </w:r>
            <w:r>
              <w:rPr>
                <w:rFonts w:ascii="Times New Roman" w:hAnsi="Times New Roman"/>
                <w:sz w:val="24"/>
              </w:rPr>
              <w:t>mazza, akkor az intézménynek a legfontosabb típust kell feltüntetnie. Újra-értékpapírosítás esetén az intézménynek a végső alapul szolgáló eszközhalmazt kell megjelölnie. A 10. típus (egyéb kötelezettség) az államkötvényeket és a h</w:t>
            </w:r>
            <w:r>
              <w:rPr>
                <w:rFonts w:ascii="Times New Roman" w:hAnsi="Times New Roman"/>
                <w:sz w:val="24"/>
              </w:rPr>
              <w:t>i</w:t>
            </w:r>
            <w:r>
              <w:rPr>
                <w:rFonts w:ascii="Times New Roman" w:hAnsi="Times New Roman"/>
                <w:sz w:val="24"/>
              </w:rPr>
              <w:t>telkockázati eseményhez kapcsolt értékpapírokat foglalja magában.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zárt halmazzal fedezett értékpapírosítási programoknál a típus az adatszolgá</w:t>
            </w:r>
            <w:r>
              <w:rPr>
                <w:rFonts w:ascii="Times New Roman" w:hAnsi="Times New Roman"/>
                <w:sz w:val="24"/>
              </w:rPr>
              <w:t>l</w:t>
            </w:r>
            <w:r>
              <w:rPr>
                <w:rFonts w:ascii="Times New Roman" w:hAnsi="Times New Roman"/>
                <w:sz w:val="24"/>
              </w:rPr>
              <w:t>tatás időpontjai között nem változhat.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ALKALMAZOTT MÓDSZER (SA/IRB/VEGYES)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 az oszlop arról a módszerről gyűjt információkat, amelyet az intézmény az adatszolgáltatás időpontjában alkalmazna az értékpapírosított kitettségekre.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A következő rövidítéseket kell megadni:</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sztenderd módszer;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„I”: belső minősítésen alapuló módszer;</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„M”: a két módszer (SA/IRB) kombinációja.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Ha a sztenderd módszer alkalmazásakor az 050-es oszlopban a „P” érték szer</w:t>
            </w:r>
            <w:r>
              <w:rPr>
                <w:rFonts w:ascii="Times New Roman" w:hAnsi="Times New Roman"/>
                <w:sz w:val="24"/>
              </w:rPr>
              <w:t>e</w:t>
            </w:r>
            <w:r>
              <w:rPr>
                <w:rFonts w:ascii="Times New Roman" w:hAnsi="Times New Roman"/>
                <w:sz w:val="24"/>
              </w:rPr>
              <w:t>pel, akkor a szavatolótőke-követelmény kiszámítását a CR SEC SA táblán kell megadni.</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Ha az IRB-módszer alkalmazásakor az 050-es oszlopban a „P” érték szerepel, akkor a szavatolótőke-követelmény kiszámítását a CR SEC IRB táblán kell megadni.</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Ha a sztenderd módszer és az IRB-módszer együttes alkalmazásakor az 050-es oszlopban a „P” érték szerepel, akkor a szavatolótőke-követelmény kiszámít</w:t>
            </w:r>
            <w:r>
              <w:rPr>
                <w:rFonts w:ascii="Times New Roman" w:hAnsi="Times New Roman"/>
                <w:sz w:val="24"/>
              </w:rPr>
              <w:t>á</w:t>
            </w:r>
            <w:r>
              <w:rPr>
                <w:rFonts w:ascii="Times New Roman" w:hAnsi="Times New Roman"/>
                <w:sz w:val="24"/>
              </w:rPr>
              <w:t>sát a CR SEC SA és a CR SEC IRB táblán is meg kell adni.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Ezt az információt akkor is fel kell tüntetni, ha az adatszolgáltató intézmény nem rendelkezik pozícióval az értékpapírosításban. Ettől függetlenül az oszlop nem vonatkozik a kötelezettségek értékpapírosítására. A szponzorok az oszl</w:t>
            </w:r>
            <w:r>
              <w:rPr>
                <w:rFonts w:ascii="Times New Roman" w:hAnsi="Times New Roman"/>
                <w:sz w:val="24"/>
              </w:rPr>
              <w:t>o</w:t>
            </w:r>
            <w:r>
              <w:rPr>
                <w:rFonts w:ascii="Times New Roman" w:hAnsi="Times New Roman"/>
                <w:sz w:val="24"/>
              </w:rPr>
              <w:t>pot nem töltik ki.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180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 KITETTSÉGEK SZÁMA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A CRR 261. cikkének (1) bekezdése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Az oszlopot kizárólag azoknak az intézményeknek kötelező kitölteniük, am</w:t>
            </w:r>
            <w:r>
              <w:rPr>
                <w:rFonts w:ascii="Times New Roman" w:hAnsi="Times New Roman"/>
                <w:sz w:val="24"/>
              </w:rPr>
              <w:t>e</w:t>
            </w:r>
            <w:r>
              <w:rPr>
                <w:rFonts w:ascii="Times New Roman" w:hAnsi="Times New Roman"/>
                <w:sz w:val="24"/>
              </w:rPr>
              <w:t>lyek az értékpapírosítási pozíciókra az IRB-módszert alkalmazzák (és ennek megfelelően a 170-es oszlopban az „I” értéket adják meg). Az intézmény a k</w:t>
            </w:r>
            <w:r>
              <w:rPr>
                <w:rFonts w:ascii="Times New Roman" w:hAnsi="Times New Roman"/>
                <w:sz w:val="24"/>
              </w:rPr>
              <w:t>i</w:t>
            </w:r>
            <w:r>
              <w:rPr>
                <w:rFonts w:ascii="Times New Roman" w:hAnsi="Times New Roman"/>
                <w:sz w:val="24"/>
              </w:rPr>
              <w:t xml:space="preserve">tettségek tényleges számáról szolgáltat adatot.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oszlop nem töltendő ki kötelezettségek értékpapírosítása esetén, valamint akkor, ha a szavatolótőke-követelmény az értékpapírosított kitettségeken alapul (eszközök értékpapírosítása esetén). Az oszlop nem töltendő ki, ha az adatszo</w:t>
            </w:r>
            <w:r>
              <w:rPr>
                <w:rFonts w:ascii="Times New Roman" w:hAnsi="Times New Roman"/>
                <w:sz w:val="24"/>
              </w:rPr>
              <w:t>l</w:t>
            </w:r>
            <w:r>
              <w:rPr>
                <w:rFonts w:ascii="Times New Roman" w:hAnsi="Times New Roman"/>
                <w:sz w:val="24"/>
              </w:rPr>
              <w:t>gáltató intézmény nem rendelkezik pozícióval az értékpapírosításban. Az os</w:t>
            </w:r>
            <w:r>
              <w:rPr>
                <w:rFonts w:ascii="Times New Roman" w:hAnsi="Times New Roman"/>
                <w:sz w:val="24"/>
              </w:rPr>
              <w:t>z</w:t>
            </w:r>
            <w:r>
              <w:rPr>
                <w:rFonts w:ascii="Times New Roman" w:hAnsi="Times New Roman"/>
                <w:sz w:val="24"/>
              </w:rPr>
              <w:t>lopot a befektetők nem töltik ki.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A749EA"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ORSZÁG</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Az ISO 3166-1 alpha-2 szabvány szerinti kód alapján az ügylet végső alapul szolgáló eszközeinek származási országát kell megadni, vagyis az eredeti é</w:t>
            </w:r>
            <w:r>
              <w:rPr>
                <w:rFonts w:ascii="Times New Roman" w:hAnsi="Times New Roman"/>
                <w:sz w:val="24"/>
              </w:rPr>
              <w:t>r</w:t>
            </w:r>
            <w:r>
              <w:rPr>
                <w:rFonts w:ascii="Times New Roman" w:hAnsi="Times New Roman"/>
                <w:sz w:val="24"/>
              </w:rPr>
              <w:t>tékpapírosított kitettségek közvetlen kötelezettjének az országát (alapul szolg</w:t>
            </w:r>
            <w:r>
              <w:rPr>
                <w:rFonts w:ascii="Times New Roman" w:hAnsi="Times New Roman"/>
                <w:sz w:val="24"/>
              </w:rPr>
              <w:t>á</w:t>
            </w:r>
            <w:r>
              <w:rPr>
                <w:rFonts w:ascii="Times New Roman" w:hAnsi="Times New Roman"/>
                <w:sz w:val="24"/>
              </w:rPr>
              <w:t>ló eszközök vizsgálata). Ha az értékpapírosítás halmaza több országot tarta</w:t>
            </w:r>
            <w:r>
              <w:rPr>
                <w:rFonts w:ascii="Times New Roman" w:hAnsi="Times New Roman"/>
                <w:sz w:val="24"/>
              </w:rPr>
              <w:t>l</w:t>
            </w:r>
            <w:r>
              <w:rPr>
                <w:rFonts w:ascii="Times New Roman" w:hAnsi="Times New Roman"/>
                <w:sz w:val="24"/>
              </w:rPr>
              <w:t>maz, akkor az intézménynek a legfontosabb országot kell feltüntetnie. Ha az eszközök és kötelezettségek összege alapján számított 20 %-os küszöböt egyik ország sem lépi túl, akkor az „egyéb országok” értéket kell feltüntetni.</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ELGD (%)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kitettséggel súlyozott átlagos LGD (ELGD) értékét csak azok az intézm</w:t>
            </w:r>
            <w:r>
              <w:rPr>
                <w:rFonts w:ascii="Times New Roman" w:hAnsi="Times New Roman"/>
                <w:sz w:val="24"/>
              </w:rPr>
              <w:t>é</w:t>
            </w:r>
            <w:r>
              <w:rPr>
                <w:rFonts w:ascii="Times New Roman" w:hAnsi="Times New Roman"/>
                <w:sz w:val="24"/>
              </w:rPr>
              <w:t>nyek adják meg, amelyek a felügyeleti képlet módszerét alkalmazzák (és ennek megfelelően a 170-es oszlopban az „I” értéket tüntetik fel). Az ELGD értékét a CRR 262. cikkének (1) beke</w:t>
            </w:r>
            <w:r w:rsidR="00F870AC">
              <w:rPr>
                <w:rFonts w:ascii="Times New Roman" w:hAnsi="Times New Roman"/>
                <w:sz w:val="24"/>
              </w:rPr>
              <w:t>zdése alapján kell kiszámítani.</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oszlop nem töltendő ki kötelezettségek értékpapírosítása esetén, valamint akkor, ha a szavatolótőke-követelmény az értékpapírosított kitettségeken alapul (eszközök értékpapírosítása esetén). Az oszlop nem töltendő ki továbbá, ha az adatszolgáltató intézmény nem rendelkezik pozícióval az értékpapírosításban. A szponzorok az oszlopot nem töltik ki.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ÉRTÉKELÉSI KORREKCIÓK </w:t>
            </w:r>
            <w:proofErr w:type="gramStart"/>
            <w:r>
              <w:rPr>
                <w:rFonts w:ascii="Times New Roman" w:hAnsi="Times New Roman"/>
                <w:b/>
                <w:sz w:val="24"/>
                <w:u w:val="single"/>
              </w:rPr>
              <w:t>ÉS</w:t>
            </w:r>
            <w:proofErr w:type="gramEnd"/>
            <w:r>
              <w:rPr>
                <w:rFonts w:ascii="Times New Roman" w:hAnsi="Times New Roman"/>
                <w:b/>
                <w:sz w:val="24"/>
                <w:u w:val="single"/>
              </w:rPr>
              <w:t xml:space="preserve"> CÉLTARTALÉKOK</w:t>
            </w:r>
          </w:p>
          <w:p w:rsidR="00612780" w:rsidRPr="00392FFD" w:rsidRDefault="00612780" w:rsidP="00612780">
            <w:pPr>
              <w:spacing w:before="0" w:after="0"/>
              <w:jc w:val="left"/>
              <w:rPr>
                <w:rFonts w:ascii="Times New Roman" w:hAnsi="Times New Roman"/>
                <w:sz w:val="24"/>
              </w:rPr>
            </w:pPr>
          </w:p>
          <w:p w:rsidR="00706D25" w:rsidRPr="00392FFD" w:rsidRDefault="00706D25" w:rsidP="00706D25">
            <w:pPr>
              <w:autoSpaceDE w:val="0"/>
              <w:autoSpaceDN w:val="0"/>
              <w:adjustRightInd w:val="0"/>
              <w:spacing w:before="0" w:after="0"/>
              <w:jc w:val="left"/>
              <w:rPr>
                <w:rFonts w:ascii="Times New Roman" w:hAnsi="Times New Roman"/>
                <w:sz w:val="24"/>
              </w:rPr>
            </w:pPr>
            <w:r>
              <w:rPr>
                <w:rFonts w:ascii="Times New Roman" w:hAnsi="Times New Roman"/>
                <w:sz w:val="24"/>
              </w:rPr>
              <w:t>Az adatszolgáltató intézményre alkalmazandó számviteli szabályozásnak me</w:t>
            </w:r>
            <w:r>
              <w:rPr>
                <w:rFonts w:ascii="Times New Roman" w:hAnsi="Times New Roman"/>
                <w:sz w:val="24"/>
              </w:rPr>
              <w:t>g</w:t>
            </w:r>
            <w:r>
              <w:rPr>
                <w:rFonts w:ascii="Times New Roman" w:hAnsi="Times New Roman"/>
                <w:sz w:val="24"/>
              </w:rPr>
              <w:t>felelő értékelési korrekciók és hitelveszteségre képzett céltartalékok (a CRR 159. cikke). Az értékelési korrekciók magukban foglalják a pénzügyi eszköz</w:t>
            </w:r>
            <w:r>
              <w:rPr>
                <w:rFonts w:ascii="Times New Roman" w:hAnsi="Times New Roman"/>
                <w:sz w:val="24"/>
              </w:rPr>
              <w:t>ö</w:t>
            </w:r>
            <w:r>
              <w:rPr>
                <w:rFonts w:ascii="Times New Roman" w:hAnsi="Times New Roman"/>
                <w:sz w:val="24"/>
              </w:rPr>
              <w:t>kön a mérlegben történő kezdeti megjelenítésük óta keletkezett hitelvesztesé</w:t>
            </w:r>
            <w:r>
              <w:rPr>
                <w:rFonts w:ascii="Times New Roman" w:hAnsi="Times New Roman"/>
                <w:sz w:val="24"/>
              </w:rPr>
              <w:t>g</w:t>
            </w:r>
            <w:r>
              <w:rPr>
                <w:rFonts w:ascii="Times New Roman" w:hAnsi="Times New Roman"/>
                <w:sz w:val="24"/>
              </w:rPr>
              <w:t>nek az eredményben elszámolt összegét (ideértve a valós értéken értékelt pén</w:t>
            </w:r>
            <w:r>
              <w:rPr>
                <w:rFonts w:ascii="Times New Roman" w:hAnsi="Times New Roman"/>
                <w:sz w:val="24"/>
              </w:rPr>
              <w:t>z</w:t>
            </w:r>
            <w:r>
              <w:rPr>
                <w:rFonts w:ascii="Times New Roman" w:hAnsi="Times New Roman"/>
                <w:sz w:val="24"/>
              </w:rPr>
              <w:t>ügyi eszközök hitelkockázatából eredő, a kitettségértékből nem levonható ves</w:t>
            </w:r>
            <w:r>
              <w:rPr>
                <w:rFonts w:ascii="Times New Roman" w:hAnsi="Times New Roman"/>
                <w:sz w:val="24"/>
              </w:rPr>
              <w:t>z</w:t>
            </w:r>
            <w:r>
              <w:rPr>
                <w:rFonts w:ascii="Times New Roman" w:hAnsi="Times New Roman"/>
                <w:sz w:val="24"/>
              </w:rPr>
              <w:lastRenderedPageBreak/>
              <w:t>teségeket), valamint a CRR 166. cikkének (1) bekezdése szerint nemteljesítőként megvásárolt kitettségekre kapott kedvezményeket. A céltart</w:t>
            </w:r>
            <w:r>
              <w:rPr>
                <w:rFonts w:ascii="Times New Roman" w:hAnsi="Times New Roman"/>
                <w:sz w:val="24"/>
              </w:rPr>
              <w:t>a</w:t>
            </w:r>
            <w:r>
              <w:rPr>
                <w:rFonts w:ascii="Times New Roman" w:hAnsi="Times New Roman"/>
                <w:sz w:val="24"/>
              </w:rPr>
              <w:t>lékok a mérlegen kívüli tételeken keletkezett hitelveszteségek halmozott össz</w:t>
            </w:r>
            <w:r>
              <w:rPr>
                <w:rFonts w:ascii="Times New Roman" w:hAnsi="Times New Roman"/>
                <w:sz w:val="24"/>
              </w:rPr>
              <w:t>e</w:t>
            </w:r>
            <w:r>
              <w:rPr>
                <w:rFonts w:ascii="Times New Roman" w:hAnsi="Times New Roman"/>
                <w:sz w:val="24"/>
              </w:rPr>
              <w:t>gét foglalják magukban.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 az oszlop az értékpapírosított kitettségekre alkalmazott értékelési korrekc</w:t>
            </w:r>
            <w:r>
              <w:rPr>
                <w:rFonts w:ascii="Times New Roman" w:hAnsi="Times New Roman"/>
                <w:sz w:val="24"/>
              </w:rPr>
              <w:t>i</w:t>
            </w:r>
            <w:r>
              <w:rPr>
                <w:rFonts w:ascii="Times New Roman" w:hAnsi="Times New Roman"/>
                <w:sz w:val="24"/>
              </w:rPr>
              <w:t>ókról és céltartalékokról gyűjt információkat. Az oszlop nem töltendő ki köt</w:t>
            </w:r>
            <w:r>
              <w:rPr>
                <w:rFonts w:ascii="Times New Roman" w:hAnsi="Times New Roman"/>
                <w:sz w:val="24"/>
              </w:rPr>
              <w:t>e</w:t>
            </w:r>
            <w:r>
              <w:rPr>
                <w:rFonts w:ascii="Times New Roman" w:hAnsi="Times New Roman"/>
                <w:sz w:val="24"/>
              </w:rPr>
              <w:t>lezettségek értékpapírosítása esetén.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Ezt az információt akkor is fel kell tüntetni, ha az adatszolgáltató intézmény nem rendelkezik poz</w:t>
            </w:r>
            <w:r w:rsidR="003E7498">
              <w:rPr>
                <w:rFonts w:ascii="Times New Roman" w:hAnsi="Times New Roman"/>
                <w:sz w:val="24"/>
              </w:rPr>
              <w:t>ícióval az értékpapírosításban.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szponzorok az oszlopot nem töltik ki.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220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ÉRTÉKPAPÍROSÍTÁS ELŐTTI SZAVATOLÓTŐKE-KÖVETELMÉNY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 az oszlop az értékpapírosított portfólió szavatolótőke-követelményéről gyűjt információkat az értékpapírosítás nélküli állapotot feltételezve, valamint az e</w:t>
            </w:r>
            <w:r>
              <w:rPr>
                <w:rFonts w:ascii="Times New Roman" w:hAnsi="Times New Roman"/>
                <w:sz w:val="24"/>
              </w:rPr>
              <w:t>b</w:t>
            </w:r>
            <w:r>
              <w:rPr>
                <w:rFonts w:ascii="Times New Roman" w:hAnsi="Times New Roman"/>
                <w:sz w:val="24"/>
              </w:rPr>
              <w:t>ben rejlő kockázatokkal kapcsolatos várható veszteségről (K</w:t>
            </w:r>
            <w:r>
              <w:rPr>
                <w:rFonts w:ascii="Times New Roman" w:hAnsi="Times New Roman"/>
                <w:sz w:val="24"/>
                <w:vertAlign w:val="subscript"/>
              </w:rPr>
              <w:t>irb</w:t>
            </w:r>
            <w:r>
              <w:rPr>
                <w:rFonts w:ascii="Times New Roman" w:hAnsi="Times New Roman"/>
                <w:sz w:val="24"/>
              </w:rPr>
              <w:t>), amelyet az é</w:t>
            </w:r>
            <w:r>
              <w:rPr>
                <w:rFonts w:ascii="Times New Roman" w:hAnsi="Times New Roman"/>
                <w:sz w:val="24"/>
              </w:rPr>
              <w:t>r</w:t>
            </w:r>
            <w:r>
              <w:rPr>
                <w:rFonts w:ascii="Times New Roman" w:hAnsi="Times New Roman"/>
                <w:sz w:val="24"/>
              </w:rPr>
              <w:t>tékpapírosított kitettségeknek a kezdeményezés időpontjában érvényes összé</w:t>
            </w:r>
            <w:r>
              <w:rPr>
                <w:rFonts w:ascii="Times New Roman" w:hAnsi="Times New Roman"/>
                <w:sz w:val="24"/>
              </w:rPr>
              <w:t>r</w:t>
            </w:r>
            <w:r>
              <w:rPr>
                <w:rFonts w:ascii="Times New Roman" w:hAnsi="Times New Roman"/>
                <w:sz w:val="24"/>
              </w:rPr>
              <w:t>tékének százalékos arányában, két tizedesjegy pontossággal kell megadni. A K</w:t>
            </w:r>
            <w:r>
              <w:rPr>
                <w:rFonts w:ascii="Times New Roman" w:hAnsi="Times New Roman"/>
                <w:sz w:val="24"/>
                <w:vertAlign w:val="subscript"/>
              </w:rPr>
              <w:t>irb</w:t>
            </w:r>
            <w:r>
              <w:rPr>
                <w:rFonts w:ascii="Times New Roman" w:hAnsi="Times New Roman"/>
                <w:sz w:val="24"/>
              </w:rPr>
              <w:t xml:space="preserve"> meghatározását a CRR 242. cikk</w:t>
            </w:r>
            <w:r w:rsidR="003E7498">
              <w:rPr>
                <w:rFonts w:ascii="Times New Roman" w:hAnsi="Times New Roman"/>
                <w:sz w:val="24"/>
              </w:rPr>
              <w:t>ének (4) bekezdése tartalmazza.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Az oszlop nem töltendő ki kötelezettségek értékpapírosítása esetén. Eszközök értékpapírosítása esetén ezt az információt akkor is fel kell tüntetni, ha az ada</w:t>
            </w:r>
            <w:r>
              <w:rPr>
                <w:rFonts w:ascii="Times New Roman" w:hAnsi="Times New Roman"/>
                <w:sz w:val="24"/>
              </w:rPr>
              <w:t>t</w:t>
            </w:r>
            <w:r>
              <w:rPr>
                <w:rFonts w:ascii="Times New Roman" w:hAnsi="Times New Roman"/>
                <w:sz w:val="24"/>
              </w:rPr>
              <w:t>szolgáltató intézmény nem rendelkezik poz</w:t>
            </w:r>
            <w:r w:rsidR="003E7498">
              <w:rPr>
                <w:rFonts w:ascii="Times New Roman" w:hAnsi="Times New Roman"/>
                <w:sz w:val="24"/>
              </w:rPr>
              <w:t>ícióval az értékpapírosításban.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szponzorok az oszlopot nem töltik ki.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230-300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ÉRTÉKPAPÍROSÍTÁSI STRUKTÚRA</w:t>
            </w:r>
          </w:p>
          <w:p w:rsidR="00612780" w:rsidRPr="00392FFD" w:rsidRDefault="00612780" w:rsidP="00612780">
            <w:pPr>
              <w:autoSpaceDE w:val="0"/>
              <w:autoSpaceDN w:val="0"/>
              <w:adjustRightInd w:val="0"/>
              <w:spacing w:before="0" w:after="0"/>
              <w:jc w:val="left"/>
              <w:rPr>
                <w:rFonts w:ascii="Times New Roman" w:hAnsi="Times New Roman"/>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hat oszlopból álló csoport az értékpapírosítás struktúrájáról gyűjt adatokat mérlegen belüli/kívüli pozíciók, ügyletrészsorozatok (előre sorolt, köztes, első veszteségvis</w:t>
            </w:r>
            <w:r w:rsidR="003E7498">
              <w:rPr>
                <w:rFonts w:ascii="Times New Roman" w:hAnsi="Times New Roman"/>
                <w:sz w:val="24"/>
              </w:rPr>
              <w:t>elő), valamint lejárat szerint.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 több eladó részvételével működő értékpapírosítási programoknál az első veszteségviselő ügyletrészsorozatra vonatkozóan kizárólag az adatot szolgáltató intézménynek megfelelő, vagy annak tulajdonított összeget kell feltüntetni.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230-250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MÉRLEGTÉTELEK</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Ez az oszlopcsoport a mérlegtételekről gyűjt információkat ügyletrészsorozatok szerinti bontásban (előre sorolt, köztes, első veszteségviselő).</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ELŐRE SOROLT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A 2019. január 1. utáni adatszolgáltatási időpontokban azon értékpapírosítási pozíciók esetében, amelyek kitettségértékei a CRR szerint kerülnek kiszámítá</w:t>
            </w:r>
            <w:r>
              <w:rPr>
                <w:rFonts w:ascii="Times New Roman" w:hAnsi="Times New Roman"/>
                <w:sz w:val="24"/>
              </w:rPr>
              <w:t>s</w:t>
            </w:r>
            <w:r>
              <w:rPr>
                <w:rFonts w:ascii="Times New Roman" w:hAnsi="Times New Roman"/>
                <w:sz w:val="24"/>
              </w:rPr>
              <w:t xml:space="preserve">ra: a CRR 242. cikkének 6. pontjában meghatározottak szerinti értékpapírosítási </w:t>
            </w:r>
            <w:r>
              <w:rPr>
                <w:rFonts w:ascii="Times New Roman" w:hAnsi="Times New Roman"/>
                <w:sz w:val="24"/>
              </w:rPr>
              <w:lastRenderedPageBreak/>
              <w:t>pozíció.</w:t>
            </w:r>
          </w:p>
          <w:p w:rsidR="00A369B8" w:rsidRDefault="00A369B8" w:rsidP="00612780">
            <w:pPr>
              <w:autoSpaceDE w:val="0"/>
              <w:autoSpaceDN w:val="0"/>
              <w:adjustRightInd w:val="0"/>
              <w:spacing w:before="0" w:after="0"/>
              <w:jc w:val="left"/>
              <w:rPr>
                <w:rFonts w:ascii="Times New Roman" w:hAnsi="Times New Roman"/>
                <w:sz w:val="24"/>
              </w:rPr>
            </w:pPr>
          </w:p>
          <w:p w:rsidR="00A369B8"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Minden más értékpapírosítási pozíció esetében: Ebbe a kategóriába kell sorolni minden olyan ügyletrészsorozatot, amely nem minősül köztes vagy első veszt</w:t>
            </w:r>
            <w:r>
              <w:rPr>
                <w:rFonts w:ascii="Times New Roman" w:hAnsi="Times New Roman"/>
                <w:sz w:val="24"/>
              </w:rPr>
              <w:t>e</w:t>
            </w:r>
            <w:r>
              <w:rPr>
                <w:rFonts w:ascii="Times New Roman" w:hAnsi="Times New Roman"/>
                <w:sz w:val="24"/>
              </w:rPr>
              <w:t>ségviselő ügyletrészsorozatnak a CRR 2018. december 31-én alkalmazandó változata szerint.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240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KÖZTES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A 2019. január 1. utáni adatszolgáltatási időpontokban azon értékpapírosítási pozíciók esetében, amelyek kitettségértékei a CRR szerint kerülnek kiszámítá</w:t>
            </w:r>
            <w:r>
              <w:rPr>
                <w:rFonts w:ascii="Times New Roman" w:hAnsi="Times New Roman"/>
                <w:sz w:val="24"/>
              </w:rPr>
              <w:t>s</w:t>
            </w:r>
            <w:r>
              <w:rPr>
                <w:rFonts w:ascii="Times New Roman" w:hAnsi="Times New Roman"/>
                <w:sz w:val="24"/>
              </w:rPr>
              <w:t>ra:</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a CRR 242. cikkének 18. pontja szerinti összes pozíció;</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a CRR 242. cikkének 6. vagy 17. pontja alá nem tartozó összes pozíció.</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Minden más értékpapírosítási pozíció esetében: lásd a CRR 243. cikkének (3) bekezdését (hagyományos értékpapírosítás) és 244. cikkének (3) bekezdését (szintetikus értékpapírosítás), a CRR 2018. december 31-én alkalmazandó vá</w:t>
            </w:r>
            <w:r>
              <w:rPr>
                <w:rFonts w:ascii="Times New Roman" w:hAnsi="Times New Roman"/>
                <w:sz w:val="24"/>
              </w:rPr>
              <w:t>l</w:t>
            </w:r>
            <w:r>
              <w:rPr>
                <w:rFonts w:ascii="Times New Roman" w:hAnsi="Times New Roman"/>
                <w:sz w:val="24"/>
              </w:rPr>
              <w:t>tozatában.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ELSŐ VESZTESÉGVISELŐ</w:t>
            </w:r>
          </w:p>
          <w:p w:rsidR="00612780"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A 2019. január 1. utáni adatszolgáltatási időpontokban azon értékpapírosítási pozíciók esetében, amelyek kitettségértékei a CRR szerint kerülnek kiszámítá</w:t>
            </w:r>
            <w:r>
              <w:rPr>
                <w:rFonts w:ascii="Times New Roman" w:hAnsi="Times New Roman"/>
                <w:sz w:val="24"/>
              </w:rPr>
              <w:t>s</w:t>
            </w:r>
            <w:r>
              <w:rPr>
                <w:rFonts w:ascii="Times New Roman" w:hAnsi="Times New Roman"/>
                <w:sz w:val="24"/>
              </w:rPr>
              <w:t>ra: a CRR 242. cikkének 17. pontja szerinti értékpapírosítási pozíció.</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9068C9">
            <w:pPr>
              <w:autoSpaceDE w:val="0"/>
              <w:autoSpaceDN w:val="0"/>
              <w:adjustRightInd w:val="0"/>
              <w:spacing w:before="0" w:after="0"/>
              <w:jc w:val="left"/>
              <w:rPr>
                <w:rFonts w:ascii="Times New Roman" w:hAnsi="Times New Roman"/>
                <w:sz w:val="24"/>
              </w:rPr>
            </w:pPr>
            <w:r>
              <w:rPr>
                <w:rFonts w:ascii="Times New Roman" w:hAnsi="Times New Roman"/>
                <w:sz w:val="24"/>
              </w:rPr>
              <w:t>Minden más értékpapírosítási pozíció esetében: az első veszteségviselő ügyletrészsorozat meghatározását a CRR 242. cikkének 15. pontja tartalmazza, a CRR 2018. december 31-én alkalmazandó változatában.</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260-280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MÉRLEGEN KÍVÜLI TÉTELEK </w:t>
            </w:r>
            <w:proofErr w:type="gramStart"/>
            <w:r>
              <w:rPr>
                <w:rFonts w:ascii="Times New Roman" w:hAnsi="Times New Roman"/>
                <w:b/>
                <w:sz w:val="24"/>
                <w:u w:val="single"/>
              </w:rPr>
              <w:t>ÉS</w:t>
            </w:r>
            <w:proofErr w:type="gramEnd"/>
            <w:r>
              <w:rPr>
                <w:rFonts w:ascii="Times New Roman" w:hAnsi="Times New Roman"/>
                <w:b/>
                <w:sz w:val="24"/>
                <w:u w:val="single"/>
              </w:rPr>
              <w:t xml:space="preserve"> SZÁRMAZTATOTT ÜGYLETEK</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Ez az oszlopcsoport a mérlegen kívüli tételekről és származtatott ügyletekről gyűjt információkat ügyletrészsorozatok szerinti bontásban (előre sorolt, kö</w:t>
            </w:r>
            <w:r>
              <w:rPr>
                <w:rFonts w:ascii="Times New Roman" w:hAnsi="Times New Roman"/>
                <w:sz w:val="24"/>
              </w:rPr>
              <w:t>z</w:t>
            </w:r>
            <w:r>
              <w:rPr>
                <w:rFonts w:ascii="Times New Roman" w:hAnsi="Times New Roman"/>
                <w:sz w:val="24"/>
              </w:rPr>
              <w:t>tes, első veszteségviselő).</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Itt is ugyanazokat a besorolási kritériumokat kell alkalmazni, amelyek alapján a mérlegtételek oszthatók fel ügyletrészsorozatok szerint.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 FELMONDÁS VÁRHATÓ LEGKORÁBBI IDŐPONTJA</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A teljes értékpapírosítás felmondásának valószínű időpontja a szerződési felt</w:t>
            </w:r>
            <w:r>
              <w:rPr>
                <w:rFonts w:ascii="Times New Roman" w:hAnsi="Times New Roman"/>
                <w:sz w:val="24"/>
              </w:rPr>
              <w:t>é</w:t>
            </w:r>
            <w:r>
              <w:rPr>
                <w:rFonts w:ascii="Times New Roman" w:hAnsi="Times New Roman"/>
                <w:sz w:val="24"/>
              </w:rPr>
              <w:t xml:space="preserve">telek és a jelenleg várható pénzügyi feltételek alapján. Általában az alábbiak közül a legkorábbi időpont: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az a nap, amelyen a CRR 242. cikkének 2. pontjában meghatározott m</w:t>
            </w:r>
            <w:r>
              <w:rPr>
                <w:rFonts w:ascii="Times New Roman" w:hAnsi="Times New Roman"/>
                <w:sz w:val="24"/>
              </w:rPr>
              <w:t>a</w:t>
            </w:r>
            <w:r>
              <w:rPr>
                <w:rFonts w:ascii="Times New Roman" w:hAnsi="Times New Roman"/>
                <w:sz w:val="24"/>
              </w:rPr>
              <w:t>radék pozíciókra vonatkozó visszavásárlási jog az alapul szolgáló kitettségek lejáratát, valamint azok előtörlesztési rátáit és esetleges újratárgyalását figy</w:t>
            </w:r>
            <w:r>
              <w:rPr>
                <w:rFonts w:ascii="Times New Roman" w:hAnsi="Times New Roman"/>
                <w:sz w:val="24"/>
              </w:rPr>
              <w:t>e</w:t>
            </w:r>
            <w:r>
              <w:rPr>
                <w:rFonts w:ascii="Times New Roman" w:hAnsi="Times New Roman"/>
                <w:sz w:val="24"/>
              </w:rPr>
              <w:t xml:space="preserve">lembe véve először gyakorolható;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az a nap, amelyen az értékpapírosítást kezdeményező először érvény</w:t>
            </w:r>
            <w:r>
              <w:rPr>
                <w:rFonts w:ascii="Times New Roman" w:hAnsi="Times New Roman"/>
                <w:sz w:val="24"/>
              </w:rPr>
              <w:t>e</w:t>
            </w:r>
            <w:r>
              <w:rPr>
                <w:rFonts w:ascii="Times New Roman" w:hAnsi="Times New Roman"/>
                <w:sz w:val="24"/>
              </w:rPr>
              <w:lastRenderedPageBreak/>
              <w:t>síthet az értékpapírosítás szerződési feltételeiben foglalt olyan egyéb lehívási opciót, amely az értékpapírosítás teljes visszaváltását eredményezi.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felmondás várható legkorábbi időpontja tekintetében a napot, a hónapot és az évet kell megadni.</w:t>
            </w:r>
            <w:r>
              <w:rPr>
                <w:rFonts w:ascii="Times New Roman" w:hAnsi="Times New Roman"/>
              </w:rPr>
              <w:t xml:space="preserve"> </w:t>
            </w:r>
            <w:r>
              <w:rPr>
                <w:rFonts w:ascii="Times New Roman" w:hAnsi="Times New Roman"/>
                <w:sz w:val="24"/>
              </w:rPr>
              <w:t>Amennyiben ismert, a pontos napot kell feltüntetni, egyéb esetben a hónap első napját.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300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JOGSZERŰ VÉGSŐ LEJÁRATI IDŐPONT</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Az a nap, amelyen az értékpapírosítás teljes tőke- és kamatrészét jogszerűen vissza kell fizetni (az ügylet dokumentációja alapján).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jogszerű végső lejárati időpont tekintetében a napot, a hónapot és az évet kell megadni.</w:t>
            </w:r>
            <w:r>
              <w:rPr>
                <w:rFonts w:ascii="Times New Roman" w:hAnsi="Times New Roman"/>
              </w:rPr>
              <w:t xml:space="preserve"> </w:t>
            </w:r>
            <w:r>
              <w:rPr>
                <w:rFonts w:ascii="Times New Roman" w:hAnsi="Times New Roman"/>
                <w:sz w:val="24"/>
              </w:rPr>
              <w:t>Amennyiben ismert, a pontos napot kell feltüntetni, egyéb esetben a hónap első napját.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310–400</w:t>
            </w:r>
          </w:p>
        </w:tc>
        <w:tc>
          <w:tcPr>
            <w:tcW w:w="7903" w:type="dxa"/>
          </w:tcPr>
          <w:p w:rsidR="00612780" w:rsidRPr="001C5CA8" w:rsidRDefault="00612780" w:rsidP="00612780">
            <w:pPr>
              <w:spacing w:before="0" w:after="0"/>
              <w:jc w:val="left"/>
              <w:rPr>
                <w:rFonts w:ascii="Times New Roman" w:hAnsi="Times New Roman"/>
                <w:b/>
                <w:sz w:val="24"/>
                <w:u w:val="single"/>
              </w:rPr>
            </w:pPr>
            <w:r>
              <w:rPr>
                <w:rFonts w:ascii="Times New Roman" w:hAnsi="Times New Roman"/>
                <w:b/>
                <w:sz w:val="24"/>
                <w:u w:val="single"/>
              </w:rPr>
              <w:t>ÉRTÉKPAPÍROSÍTÁSI POZÍCIÓK: HITEL-EGYENÉRTÉKESÍTÉSI TÉNYEZŐK ELŐTTI EREDETI KITETTSÉG</w:t>
            </w:r>
          </w:p>
          <w:p w:rsidR="00612780" w:rsidRPr="001C5CA8"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Az oszlopcsoport az értékpapírosítási pozíciókról gyűjt adatokat az adatszolgá</w:t>
            </w:r>
            <w:r>
              <w:rPr>
                <w:rFonts w:ascii="Times New Roman" w:hAnsi="Times New Roman"/>
                <w:sz w:val="24"/>
              </w:rPr>
              <w:t>l</w:t>
            </w:r>
            <w:r>
              <w:rPr>
                <w:rFonts w:ascii="Times New Roman" w:hAnsi="Times New Roman"/>
                <w:sz w:val="24"/>
              </w:rPr>
              <w:t>tatás időpontjában fennálló mérlegen belüli/kívüli pozíciók, valamint ügyletrészsorozatok (előre sorolt, köztes, első veszteségviselő) szerinti bontá</w:t>
            </w:r>
            <w:r>
              <w:rPr>
                <w:rFonts w:ascii="Times New Roman" w:hAnsi="Times New Roman"/>
                <w:sz w:val="24"/>
              </w:rPr>
              <w:t>s</w:t>
            </w:r>
            <w:r>
              <w:rPr>
                <w:rFonts w:ascii="Times New Roman" w:hAnsi="Times New Roman"/>
                <w:sz w:val="24"/>
              </w:rPr>
              <w:t xml:space="preserve">ban.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MÉRLEGTÉTELEK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Itt is ugyanazokat az ügyletrészsorozatok szerinti besorolási kritériumokat kell alkalmazni, mint a 230–250. oszlop esetében.</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MÉRLEGEN KÍVÜLI TÉTELEK </w:t>
            </w:r>
            <w:proofErr w:type="gramStart"/>
            <w:r>
              <w:rPr>
                <w:rFonts w:ascii="Times New Roman" w:hAnsi="Times New Roman"/>
                <w:b/>
                <w:sz w:val="24"/>
                <w:u w:val="single"/>
              </w:rPr>
              <w:t>ÉS</w:t>
            </w:r>
            <w:proofErr w:type="gramEnd"/>
            <w:r>
              <w:rPr>
                <w:rFonts w:ascii="Times New Roman" w:hAnsi="Times New Roman"/>
                <w:b/>
                <w:sz w:val="24"/>
                <w:u w:val="single"/>
              </w:rPr>
              <w:t xml:space="preserve"> SZÁRMAZTATOTT ÜGYLETEK</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Itt is ugyanazokat az ügyletrészsorozatok szerinti besorolási kritériumokat kell alkalmazni, mint a 260–280. oszlop esetében.</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370–400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TÁJÉKOZTATÓ ADATOK MÉRLEGEN KÍVÜLI TÉTELEK </w:t>
            </w:r>
            <w:proofErr w:type="gramStart"/>
            <w:r>
              <w:rPr>
                <w:rFonts w:ascii="Times New Roman" w:hAnsi="Times New Roman"/>
                <w:b/>
                <w:sz w:val="24"/>
                <w:u w:val="single"/>
              </w:rPr>
              <w:t>ÉS</w:t>
            </w:r>
            <w:proofErr w:type="gramEnd"/>
            <w:r>
              <w:rPr>
                <w:rFonts w:ascii="Times New Roman" w:hAnsi="Times New Roman"/>
                <w:b/>
                <w:sz w:val="24"/>
                <w:u w:val="single"/>
              </w:rPr>
              <w:t xml:space="preserve"> SZÁRMAZTATOTT ÜGYLETEK</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Ez az oszlopcsoport a 340–360. oszlopban más bontásban már megadott mérl</w:t>
            </w:r>
            <w:r>
              <w:rPr>
                <w:rFonts w:ascii="Times New Roman" w:hAnsi="Times New Roman"/>
                <w:sz w:val="24"/>
              </w:rPr>
              <w:t>e</w:t>
            </w:r>
            <w:r>
              <w:rPr>
                <w:rFonts w:ascii="Times New Roman" w:hAnsi="Times New Roman"/>
                <w:sz w:val="24"/>
              </w:rPr>
              <w:t>gen kívüli tételekről és származtatott ügyletekről gyűjt kiegészítő informáci</w:t>
            </w:r>
            <w:r>
              <w:rPr>
                <w:rFonts w:ascii="Times New Roman" w:hAnsi="Times New Roman"/>
                <w:sz w:val="24"/>
              </w:rPr>
              <w:t>ó</w:t>
            </w:r>
            <w:r>
              <w:rPr>
                <w:rFonts w:ascii="Times New Roman" w:hAnsi="Times New Roman"/>
                <w:sz w:val="24"/>
              </w:rPr>
              <w:t>kat.</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KÖZVETLEN HITELHELYETTESÍTŐK (DCS)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Ez az oszlop az értékpapírosítást kezdeményező által tartott és közvetlen hite</w:t>
            </w:r>
            <w:r>
              <w:rPr>
                <w:rFonts w:ascii="Times New Roman" w:hAnsi="Times New Roman"/>
                <w:sz w:val="24"/>
              </w:rPr>
              <w:t>l</w:t>
            </w:r>
            <w:r>
              <w:rPr>
                <w:rFonts w:ascii="Times New Roman" w:hAnsi="Times New Roman"/>
                <w:sz w:val="24"/>
              </w:rPr>
              <w:t>helyettesítőkkel garantált értékpapírosítási pozíciókra vonatkozik.</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 CRR I. melléklete szerint közvetlen hitelhelyettesítőnek az alábbi teljes ko</w:t>
            </w:r>
            <w:r>
              <w:rPr>
                <w:rFonts w:ascii="Times New Roman" w:hAnsi="Times New Roman"/>
                <w:sz w:val="24"/>
              </w:rPr>
              <w:t>c</w:t>
            </w:r>
            <w:r>
              <w:rPr>
                <w:rFonts w:ascii="Times New Roman" w:hAnsi="Times New Roman"/>
                <w:sz w:val="24"/>
              </w:rPr>
              <w:t>kázatú mérlegen kívüli tételek minősülnek:</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i/>
                <w:sz w:val="24"/>
              </w:rPr>
              <w:t>– a hitelhelyettesítő jellegű garanciák;</w:t>
            </w:r>
          </w:p>
          <w:p w:rsidR="00612780" w:rsidRPr="00392FFD" w:rsidRDefault="00612780" w:rsidP="00612780">
            <w:pPr>
              <w:spacing w:before="0" w:after="0"/>
              <w:rPr>
                <w:rFonts w:ascii="Times New Roman" w:hAnsi="Times New Roman"/>
                <w:i/>
                <w:sz w:val="24"/>
              </w:rPr>
            </w:pPr>
            <w:r>
              <w:rPr>
                <w:rFonts w:ascii="Times New Roman" w:hAnsi="Times New Roman"/>
                <w:i/>
                <w:sz w:val="24"/>
              </w:rPr>
              <w:lastRenderedPageBreak/>
              <w:t>– a hitelhelyettesítő jellegű visszavonhatatlan készenléti hitellevelek.</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IRS / CRS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Az IRS a kamatcsereügyletek, a CRS a deviza-csereügyletek rövidítése. Ezeket a származtatott ügyleteket a CRR II. melléklete sorolja fel.</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ELISMERT LIKVIDITÁSI HITELKERETEK</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 CRR 242. cikkének 3. pontjában meghatározott likviditási hitelkeretek akkor elismerhetők, ha </w:t>
            </w:r>
            <w:proofErr w:type="gramStart"/>
            <w:r>
              <w:rPr>
                <w:rFonts w:ascii="Times New Roman" w:hAnsi="Times New Roman"/>
                <w:sz w:val="24"/>
              </w:rPr>
              <w:t>teljesítik</w:t>
            </w:r>
            <w:proofErr w:type="gramEnd"/>
            <w:r>
              <w:rPr>
                <w:rFonts w:ascii="Times New Roman" w:hAnsi="Times New Roman"/>
                <w:sz w:val="24"/>
              </w:rPr>
              <w:t xml:space="preserve"> kell a CRR 255. cikkének (1) bekezdésében felsorolt hat feltételt attól függetlenül, hogy az intézmény a sztenderd és az IRB-módszer közül melyiket alkalmazza.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EGYÉB (AZ EL NEM ISMERT LIKVIDITÁSI HITELKERETEKKEL EGYÜTT)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Ebben az oszlopban kell feltüntetni a fennmaradó mérlegen kívüli tételeket, ezen belül az el nem ismert likviditási hitelkereteket (vagyis azokat, amelyek nem teljesítik a CRR 255. cikkének (1) bekezdésében felsorolt feltételeket).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GYORSÍTOTT VISSZAFIZETÉS: ALKALMAZOTT HITEL-EGYENÉRTÉKESÍTÉSI TÉNYEZŐ</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A CRR 242. cikkének 12. pontja és 256. cikkének (5) bekezdése (SA), valamint 265. cikkének (1) bekezdése (IRB) meghatározza azokat a hitel-egyenértékesítési tényezőket, amelyeket a befektetőkre jutó rész összegére kell alkalmazni a kockázattal súlyozott kitettségérték megállapításához.</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Ez az oszlop a gyorsított visszafizetést biztosító rendelkezést tartalmazó értékpapírosítási programokra (rulírozó értékpapírosításokra) vonatkozik.</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A CRR 256. cikkének (6) bekezdése szerint az alkalmazandó hitel-egyenértékesítési tényezőt az értékpapírosítási felár tényleges háromhavi átlaga határozza meg.</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Az oszlop nem töltendő ki kötelezettségek értékpapírosítása esetén. Ez az i</w:t>
            </w:r>
            <w:r>
              <w:rPr>
                <w:rFonts w:ascii="Times New Roman" w:hAnsi="Times New Roman"/>
                <w:sz w:val="24"/>
              </w:rPr>
              <w:t>n</w:t>
            </w:r>
            <w:r>
              <w:rPr>
                <w:rFonts w:ascii="Times New Roman" w:hAnsi="Times New Roman"/>
                <w:sz w:val="24"/>
              </w:rPr>
              <w:t>formáció CR SEC SA tábla 100-as oszlopához, valamint a CR SEC IRB 160-as oszlopához kapcsolódik.</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A SZAVATOLÓ TŐKÉBŐL LEVONT KITETTSÉGÉRTÉK</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Ez az információ szorosan kapcsolódik a CR SEC SA tábla 200-as oszlopához, valamint a CR SEC IRB 180-as oszlopához.</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Ebben az oszlopban negatív értéket kell megadni.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304CB1"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KOCKÁZATTAL SÚLYOZOTT TELJES KITETTSÉGÉRTÉK </w:t>
            </w:r>
            <w:proofErr w:type="gramStart"/>
            <w:r>
              <w:rPr>
                <w:rFonts w:ascii="Times New Roman" w:hAnsi="Times New Roman"/>
                <w:b/>
                <w:sz w:val="24"/>
                <w:u w:val="single"/>
              </w:rPr>
              <w:t>A</w:t>
            </w:r>
            <w:proofErr w:type="gramEnd"/>
            <w:r>
              <w:rPr>
                <w:rFonts w:ascii="Times New Roman" w:hAnsi="Times New Roman"/>
                <w:b/>
                <w:sz w:val="24"/>
                <w:u w:val="single"/>
              </w:rPr>
              <w:t xml:space="preserve"> FE</w:t>
            </w:r>
            <w:r>
              <w:rPr>
                <w:rFonts w:ascii="Times New Roman" w:hAnsi="Times New Roman"/>
                <w:b/>
                <w:sz w:val="24"/>
                <w:u w:val="single"/>
              </w:rPr>
              <w:t>L</w:t>
            </w:r>
            <w:r>
              <w:rPr>
                <w:rFonts w:ascii="Times New Roman" w:hAnsi="Times New Roman"/>
                <w:b/>
                <w:sz w:val="24"/>
                <w:u w:val="single"/>
              </w:rPr>
              <w:t>SŐ KORLÁT FIGYELEMBEVÉTELE ELŐTT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Ez az oszlop a kockázattal súlyozott kitettségértéknek az értékpapírosítási poz</w:t>
            </w:r>
            <w:r>
              <w:rPr>
                <w:rFonts w:ascii="Times New Roman" w:hAnsi="Times New Roman"/>
                <w:sz w:val="24"/>
              </w:rPr>
              <w:t>í</w:t>
            </w:r>
            <w:r>
              <w:rPr>
                <w:rFonts w:ascii="Times New Roman" w:hAnsi="Times New Roman"/>
                <w:sz w:val="24"/>
              </w:rPr>
              <w:t>ciókra vonatkozó felső határ alkalmazása előtti értékéről gyűjt információkat (jelentős kockázat átruházásával járó értékpapírosítási programok esetében). A jelentős kockázat átruházásával nem járó értékpapírosítási programok esetében (ahol a kockázattal súlyozott kitettségérték számítása az értékpapírosított kitet</w:t>
            </w:r>
            <w:r>
              <w:rPr>
                <w:rFonts w:ascii="Times New Roman" w:hAnsi="Times New Roman"/>
                <w:sz w:val="24"/>
              </w:rPr>
              <w:t>t</w:t>
            </w:r>
            <w:r>
              <w:rPr>
                <w:rFonts w:ascii="Times New Roman" w:hAnsi="Times New Roman"/>
                <w:sz w:val="24"/>
              </w:rPr>
              <w:t>ségek alapján történik) az oszlop nem tartalmaz adatot.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b/>
                <w:sz w:val="24"/>
                <w:u w:val="single"/>
              </w:rPr>
            </w:pPr>
            <w:r>
              <w:rPr>
                <w:rFonts w:ascii="Times New Roman" w:hAnsi="Times New Roman"/>
                <w:sz w:val="24"/>
              </w:rPr>
              <w:t xml:space="preserve">Az oszlop nem töltendő ki kötelezettségek értékpapírosítása esetén.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KOCKÁZATTAL SÚLYOZOTT TELJES KITETTSÉGÉRTÉK </w:t>
            </w:r>
            <w:proofErr w:type="gramStart"/>
            <w:r>
              <w:rPr>
                <w:rFonts w:ascii="Times New Roman" w:hAnsi="Times New Roman"/>
                <w:b/>
                <w:sz w:val="24"/>
                <w:u w:val="single"/>
              </w:rPr>
              <w:t>A</w:t>
            </w:r>
            <w:proofErr w:type="gramEnd"/>
            <w:r>
              <w:rPr>
                <w:rFonts w:ascii="Times New Roman" w:hAnsi="Times New Roman"/>
                <w:b/>
                <w:sz w:val="24"/>
                <w:u w:val="single"/>
              </w:rPr>
              <w:t xml:space="preserve"> FE</w:t>
            </w:r>
            <w:r>
              <w:rPr>
                <w:rFonts w:ascii="Times New Roman" w:hAnsi="Times New Roman"/>
                <w:b/>
                <w:sz w:val="24"/>
                <w:u w:val="single"/>
              </w:rPr>
              <w:t>L</w:t>
            </w:r>
            <w:r>
              <w:rPr>
                <w:rFonts w:ascii="Times New Roman" w:hAnsi="Times New Roman"/>
                <w:b/>
                <w:sz w:val="24"/>
                <w:u w:val="single"/>
              </w:rPr>
              <w:t>SŐ KORLÁT FIGYELEMBEVÉTELE UTÁN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Ez az oszlop a kockázattal súlyozott kitettségértéknek az értékpapírosítási poz</w:t>
            </w:r>
            <w:r>
              <w:rPr>
                <w:rFonts w:ascii="Times New Roman" w:hAnsi="Times New Roman"/>
                <w:sz w:val="24"/>
              </w:rPr>
              <w:t>í</w:t>
            </w:r>
            <w:r>
              <w:rPr>
                <w:rFonts w:ascii="Times New Roman" w:hAnsi="Times New Roman"/>
                <w:sz w:val="24"/>
              </w:rPr>
              <w:t>ciókra vonatkozó felső határ alkalmazása utáni értékéről gyűjt információkat (jelentős kockázat átruházásával járó értékpapírosítási programok esetében). A jelentős kockázat átruházásával nem járó értékpapírosítási programok esetében (ahol a szavatolótőke-követelmény számítása az értékpapírosított kitettségek alapján történik) az oszlop nem tartalmaz adatot.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Az oszlop nem töltendő ki kötelezettségek értékpapírosítása esetén. </w:t>
            </w:r>
          </w:p>
          <w:p w:rsidR="00612780" w:rsidRPr="00392FFD" w:rsidRDefault="00612780" w:rsidP="00612780">
            <w:pPr>
              <w:spacing w:before="0" w:after="0"/>
              <w:jc w:val="left"/>
              <w:rPr>
                <w:rFonts w:ascii="Times New Roman" w:hAnsi="Times New Roman"/>
                <w:sz w:val="24"/>
              </w:rPr>
            </w:pPr>
          </w:p>
        </w:tc>
      </w:tr>
      <w:tr w:rsidR="008726CA" w:rsidRPr="00392FFD" w:rsidTr="00672D2A">
        <w:tc>
          <w:tcPr>
            <w:tcW w:w="1101" w:type="dxa"/>
          </w:tcPr>
          <w:p w:rsidR="008726CA" w:rsidRPr="00392FFD" w:rsidRDefault="008726CA" w:rsidP="00612780">
            <w:pPr>
              <w:autoSpaceDE w:val="0"/>
              <w:autoSpaceDN w:val="0"/>
              <w:adjustRightInd w:val="0"/>
              <w:spacing w:before="0" w:after="0"/>
              <w:rPr>
                <w:rFonts w:ascii="Times New Roman" w:hAnsi="Times New Roman"/>
                <w:sz w:val="24"/>
              </w:rPr>
            </w:pPr>
            <w:r>
              <w:rPr>
                <w:rFonts w:ascii="Times New Roman" w:hAnsi="Times New Roman"/>
                <w:sz w:val="24"/>
              </w:rPr>
              <w:t>445</w:t>
            </w:r>
          </w:p>
        </w:tc>
        <w:tc>
          <w:tcPr>
            <w:tcW w:w="7903" w:type="dxa"/>
          </w:tcPr>
          <w:p w:rsidR="008726CA" w:rsidRDefault="003E7498" w:rsidP="00612780">
            <w:pPr>
              <w:spacing w:before="0" w:after="0"/>
              <w:jc w:val="left"/>
              <w:rPr>
                <w:rFonts w:ascii="Times New Roman" w:hAnsi="Times New Roman"/>
                <w:b/>
                <w:sz w:val="24"/>
                <w:u w:val="single"/>
              </w:rPr>
            </w:pPr>
            <w:r>
              <w:rPr>
                <w:rFonts w:ascii="Times New Roman" w:hAnsi="Times New Roman"/>
                <w:b/>
                <w:sz w:val="24"/>
                <w:u w:val="single"/>
              </w:rPr>
              <w:t>MÓDSZER</w:t>
            </w:r>
          </w:p>
          <w:p w:rsidR="008726CA" w:rsidRDefault="008726CA" w:rsidP="00612780">
            <w:pPr>
              <w:spacing w:before="0" w:after="0"/>
              <w:jc w:val="left"/>
              <w:rPr>
                <w:rFonts w:ascii="Times New Roman" w:hAnsi="Times New Roman"/>
                <w:sz w:val="24"/>
              </w:rPr>
            </w:pPr>
          </w:p>
          <w:p w:rsidR="00CE4C49" w:rsidRDefault="00CE4C49" w:rsidP="00612780">
            <w:pPr>
              <w:spacing w:before="0" w:after="0"/>
              <w:jc w:val="left"/>
              <w:rPr>
                <w:rFonts w:ascii="Times New Roman" w:hAnsi="Times New Roman"/>
                <w:sz w:val="24"/>
              </w:rPr>
            </w:pPr>
            <w:r>
              <w:rPr>
                <w:rFonts w:ascii="Times New Roman" w:hAnsi="Times New Roman"/>
                <w:sz w:val="24"/>
              </w:rPr>
              <w:t>Ebben az oszlopban a 440. oszlopban feltüntetetteknek megfelelően a teljes kockázati kitettségérték meghatározásának módszerét kell megadni.</w:t>
            </w:r>
          </w:p>
          <w:p w:rsidR="00CE4C49" w:rsidRDefault="00CE4C49" w:rsidP="00612780">
            <w:pPr>
              <w:spacing w:before="0" w:after="0"/>
              <w:jc w:val="left"/>
              <w:rPr>
                <w:rFonts w:ascii="Times New Roman" w:hAnsi="Times New Roman"/>
                <w:sz w:val="24"/>
              </w:rPr>
            </w:pPr>
          </w:p>
          <w:p w:rsidR="008726CA" w:rsidRDefault="00CE4C49" w:rsidP="00612780">
            <w:pPr>
              <w:spacing w:before="0" w:after="0"/>
              <w:jc w:val="left"/>
              <w:rPr>
                <w:rFonts w:ascii="Times New Roman" w:hAnsi="Times New Roman"/>
                <w:sz w:val="24"/>
              </w:rPr>
            </w:pPr>
            <w:r>
              <w:rPr>
                <w:rFonts w:ascii="Times New Roman" w:hAnsi="Times New Roman"/>
                <w:sz w:val="24"/>
              </w:rPr>
              <w:t>A módszer a következők egyike:</w:t>
            </w:r>
          </w:p>
          <w:p w:rsidR="008726CA" w:rsidRPr="006B4AC8" w:rsidRDefault="008726CA" w:rsidP="00612780">
            <w:pPr>
              <w:spacing w:before="0" w:after="0"/>
              <w:jc w:val="left"/>
              <w:rPr>
                <w:rFonts w:ascii="Times New Roman" w:hAnsi="Times New Roman"/>
                <w:sz w:val="24"/>
              </w:rPr>
            </w:pPr>
          </w:p>
          <w:p w:rsidR="008726CA" w:rsidRPr="006B4AC8" w:rsidRDefault="008726CA" w:rsidP="00612780">
            <w:pPr>
              <w:spacing w:before="0" w:after="0"/>
              <w:jc w:val="left"/>
              <w:rPr>
                <w:rFonts w:ascii="Times New Roman" w:hAnsi="Times New Roman"/>
                <w:i/>
                <w:sz w:val="24"/>
              </w:rPr>
            </w:pPr>
            <w:r>
              <w:rPr>
                <w:rFonts w:ascii="Times New Roman" w:hAnsi="Times New Roman"/>
                <w:i/>
                <w:sz w:val="24"/>
              </w:rPr>
              <w:t>Azon értékpapírosítási pozíciók esetében, amelyek kockázattal súlyozott kitettségértéke a CRR 2018. december 31-én alkalmazandó változatának megf</w:t>
            </w:r>
            <w:r>
              <w:rPr>
                <w:rFonts w:ascii="Times New Roman" w:hAnsi="Times New Roman"/>
                <w:i/>
                <w:sz w:val="24"/>
              </w:rPr>
              <w:t>e</w:t>
            </w:r>
            <w:r>
              <w:rPr>
                <w:rFonts w:ascii="Times New Roman" w:hAnsi="Times New Roman"/>
                <w:i/>
                <w:sz w:val="24"/>
              </w:rPr>
              <w:t>lelően kerül kiszámításra</w:t>
            </w:r>
          </w:p>
          <w:p w:rsidR="008726CA" w:rsidRPr="006B4AC8" w:rsidRDefault="00936395" w:rsidP="006B4AC8">
            <w:pPr>
              <w:pStyle w:val="ListParagraph"/>
              <w:numPr>
                <w:ilvl w:val="0"/>
                <w:numId w:val="38"/>
              </w:numPr>
              <w:spacing w:before="0" w:after="0"/>
              <w:jc w:val="left"/>
              <w:rPr>
                <w:rFonts w:ascii="Times New Roman" w:hAnsi="Times New Roman"/>
                <w:b/>
                <w:sz w:val="24"/>
                <w:u w:val="single"/>
              </w:rPr>
            </w:pPr>
            <w:r>
              <w:rPr>
                <w:rFonts w:ascii="Times New Roman" w:hAnsi="Times New Roman"/>
                <w:sz w:val="24"/>
              </w:rPr>
              <w:t>Egyéb (eredeti értékpapírosítási keret)</w:t>
            </w:r>
          </w:p>
          <w:p w:rsidR="008726CA" w:rsidRPr="006B4AC8" w:rsidRDefault="008726CA" w:rsidP="008726CA">
            <w:pPr>
              <w:spacing w:before="0" w:after="0"/>
              <w:jc w:val="left"/>
              <w:rPr>
                <w:rFonts w:ascii="Times New Roman" w:hAnsi="Times New Roman"/>
                <w:b/>
                <w:sz w:val="24"/>
                <w:u w:val="single"/>
              </w:rPr>
            </w:pPr>
          </w:p>
          <w:p w:rsidR="008726CA" w:rsidRPr="006B4AC8" w:rsidRDefault="002F1163" w:rsidP="008726CA">
            <w:pPr>
              <w:autoSpaceDE w:val="0"/>
              <w:autoSpaceDN w:val="0"/>
              <w:adjustRightInd w:val="0"/>
              <w:spacing w:before="0" w:after="0"/>
              <w:jc w:val="left"/>
              <w:rPr>
                <w:rFonts w:ascii="Times New Roman" w:hAnsi="Times New Roman"/>
                <w:i/>
                <w:sz w:val="24"/>
              </w:rPr>
            </w:pPr>
            <w:r>
              <w:rPr>
                <w:rFonts w:ascii="Times New Roman" w:hAnsi="Times New Roman"/>
                <w:i/>
                <w:sz w:val="24"/>
              </w:rPr>
              <w:t>A 2019. január 1. utáni adatszolgáltatási időpontokban azon értékpapírosítási pozíciók esetében, amelyek kitettségértéke a CRR szerint kerül kiszámításra: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SEC-IRBA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SEC-SA</w:t>
            </w:r>
          </w:p>
          <w:p w:rsidR="00B36EAA" w:rsidRPr="009068C9"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SEC-ERBA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IAA</w:t>
            </w:r>
          </w:p>
          <w:p w:rsidR="00C64027"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1 250 % az egyik módszer alá sem tartozó pozíciók esetében (a CRR 254. cikkének (7) bekezdése)</w:t>
            </w:r>
          </w:p>
          <w:p w:rsidR="006B4AC8"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Többféle módszer</w:t>
            </w:r>
          </w:p>
          <w:p w:rsidR="008726CA" w:rsidRDefault="008726CA" w:rsidP="006B4AC8">
            <w:pPr>
              <w:autoSpaceDE w:val="0"/>
              <w:autoSpaceDN w:val="0"/>
              <w:adjustRightInd w:val="0"/>
              <w:spacing w:before="0" w:after="0"/>
              <w:jc w:val="left"/>
              <w:rPr>
                <w:rFonts w:ascii="Times New Roman" w:hAnsi="Times New Roman"/>
                <w:sz w:val="24"/>
              </w:rPr>
            </w:pPr>
            <w:r>
              <w:rPr>
                <w:rFonts w:ascii="Times New Roman" w:hAnsi="Times New Roman"/>
                <w:sz w:val="24"/>
              </w:rPr>
              <w:t>A kockázati súlyoknak a CRR 337. cikke szerinti meghatározásával összhan</w:t>
            </w:r>
            <w:r>
              <w:rPr>
                <w:rFonts w:ascii="Times New Roman" w:hAnsi="Times New Roman"/>
                <w:sz w:val="24"/>
              </w:rPr>
              <w:t>g</w:t>
            </w:r>
            <w:r>
              <w:rPr>
                <w:rFonts w:ascii="Times New Roman" w:hAnsi="Times New Roman"/>
                <w:sz w:val="24"/>
              </w:rPr>
              <w:t>ban a kereskedési könyvben lévő, értékpapírosítási pozíciót jelentő eszközökre vonatkozóan a módszert azon módszerként kell meghatározni, amelyet az i</w:t>
            </w:r>
            <w:r>
              <w:rPr>
                <w:rFonts w:ascii="Times New Roman" w:hAnsi="Times New Roman"/>
                <w:sz w:val="24"/>
              </w:rPr>
              <w:t>n</w:t>
            </w:r>
            <w:r>
              <w:rPr>
                <w:rFonts w:ascii="Times New Roman" w:hAnsi="Times New Roman"/>
                <w:sz w:val="24"/>
              </w:rPr>
              <w:t>tézmény a nem kereskedési könyvi pozíciójára alkalmazna.</w:t>
            </w:r>
          </w:p>
          <w:p w:rsidR="006B4AC8" w:rsidRPr="00140F6E" w:rsidRDefault="006B4AC8" w:rsidP="006B4AC8">
            <w:pPr>
              <w:autoSpaceDE w:val="0"/>
              <w:autoSpaceDN w:val="0"/>
              <w:adjustRightInd w:val="0"/>
              <w:spacing w:before="0" w:after="0"/>
              <w:jc w:val="left"/>
              <w:rPr>
                <w:rFonts w:ascii="Times New Roman" w:hAnsi="Times New Roman"/>
                <w:sz w:val="24"/>
              </w:rPr>
            </w:pPr>
            <w:r>
              <w:rPr>
                <w:rFonts w:ascii="Times New Roman" w:hAnsi="Times New Roman"/>
                <w:sz w:val="24"/>
              </w:rPr>
              <w:t>A „többféle módszer” akkor alkalmazandó, ha az intézmény többféle módon vesz részt egy értékpapírosítási ügyletben vagy van kitéve annak, és különböző módszereket alkalmaz a szavatolótőke-követelmény kiszámítására a különböző szerepeinek vagy különböző kitettségeinek megfelelően.</w:t>
            </w:r>
          </w:p>
          <w:p w:rsidR="008726CA" w:rsidRPr="00392FFD" w:rsidRDefault="008726CA" w:rsidP="00612780">
            <w:pPr>
              <w:spacing w:before="0" w:after="0"/>
              <w:jc w:val="left"/>
              <w:rPr>
                <w:rFonts w:ascii="Times New Roman" w:hAnsi="Times New Roman"/>
                <w:b/>
                <w:sz w:val="24"/>
                <w:u w:val="single"/>
              </w:rPr>
            </w:pPr>
          </w:p>
        </w:tc>
      </w:tr>
      <w:tr w:rsidR="006B4AC8" w:rsidRPr="00392FFD" w:rsidTr="00672D2A">
        <w:tc>
          <w:tcPr>
            <w:tcW w:w="1101" w:type="dxa"/>
          </w:tcPr>
          <w:p w:rsidR="006B4AC8" w:rsidRDefault="006B4AC8"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446</w:t>
            </w:r>
          </w:p>
        </w:tc>
        <w:tc>
          <w:tcPr>
            <w:tcW w:w="7903" w:type="dxa"/>
          </w:tcPr>
          <w:p w:rsidR="006B4AC8" w:rsidRDefault="006B4AC8" w:rsidP="009A1A9B">
            <w:pPr>
              <w:spacing w:before="0" w:after="0"/>
              <w:jc w:val="left"/>
              <w:rPr>
                <w:rFonts w:ascii="Times New Roman" w:hAnsi="Times New Roman"/>
                <w:b/>
                <w:sz w:val="24"/>
                <w:u w:val="single"/>
              </w:rPr>
            </w:pPr>
            <w:r>
              <w:rPr>
                <w:rFonts w:ascii="Times New Roman" w:hAnsi="Times New Roman"/>
                <w:b/>
                <w:sz w:val="24"/>
                <w:u w:val="single"/>
              </w:rPr>
              <w:t>DIFFERENCIÁLT TŐKEKÖVETELMÉNY-MEGÁLLAPÍTÁSRA J</w:t>
            </w:r>
            <w:r>
              <w:rPr>
                <w:rFonts w:ascii="Times New Roman" w:hAnsi="Times New Roman"/>
                <w:b/>
                <w:sz w:val="24"/>
                <w:u w:val="single"/>
              </w:rPr>
              <w:t>O</w:t>
            </w:r>
            <w:r>
              <w:rPr>
                <w:rFonts w:ascii="Times New Roman" w:hAnsi="Times New Roman"/>
                <w:b/>
                <w:sz w:val="24"/>
                <w:u w:val="single"/>
              </w:rPr>
              <w:t>GOSULT ÉRTÉKPAPÍROSÍTÁS</w:t>
            </w:r>
          </w:p>
          <w:p w:rsidR="006B4AC8" w:rsidRDefault="006B4AC8" w:rsidP="009A1A9B">
            <w:pPr>
              <w:spacing w:before="0" w:after="0"/>
              <w:jc w:val="left"/>
              <w:rPr>
                <w:rFonts w:ascii="Times New Roman" w:hAnsi="Times New Roman"/>
                <w:sz w:val="24"/>
              </w:rPr>
            </w:pPr>
          </w:p>
          <w:p w:rsidR="006B4AC8" w:rsidRDefault="004D2753" w:rsidP="009A1A9B">
            <w:pPr>
              <w:spacing w:before="0" w:after="0"/>
              <w:jc w:val="left"/>
              <w:rPr>
                <w:rFonts w:ascii="Times New Roman" w:hAnsi="Times New Roman"/>
                <w:sz w:val="24"/>
              </w:rPr>
            </w:pPr>
            <w:r>
              <w:rPr>
                <w:rFonts w:ascii="Times New Roman" w:hAnsi="Times New Roman"/>
                <w:sz w:val="24"/>
              </w:rPr>
              <w:t>A 2019. január 1. utáni adatszolgáltatási időpontokban, a CRR 243. és 270. cikke</w:t>
            </w:r>
          </w:p>
          <w:p w:rsidR="006B4AC8" w:rsidRDefault="006B4AC8" w:rsidP="009A1A9B">
            <w:pPr>
              <w:spacing w:before="0" w:after="0"/>
              <w:jc w:val="left"/>
              <w:rPr>
                <w:rFonts w:ascii="Times New Roman" w:hAnsi="Times New Roman"/>
                <w:sz w:val="24"/>
              </w:rPr>
            </w:pPr>
          </w:p>
          <w:p w:rsidR="006B4AC8" w:rsidRPr="00140F6E" w:rsidRDefault="006B4AC8" w:rsidP="009A1A9B">
            <w:pPr>
              <w:spacing w:before="0" w:after="0"/>
              <w:jc w:val="left"/>
              <w:rPr>
                <w:rFonts w:ascii="Times New Roman" w:hAnsi="Times New Roman"/>
                <w:sz w:val="24"/>
              </w:rPr>
            </w:pPr>
            <w:r>
              <w:rPr>
                <w:rFonts w:ascii="Times New Roman" w:hAnsi="Times New Roman"/>
                <w:sz w:val="24"/>
              </w:rPr>
              <w:t>A következő rövidítések egyikét kell megadni:</w:t>
            </w:r>
          </w:p>
          <w:p w:rsidR="00261B63" w:rsidRPr="00140F6E" w:rsidRDefault="006B4AC8" w:rsidP="009A1A9B">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igen</w:t>
            </w:r>
          </w:p>
          <w:p w:rsidR="006B4AC8" w:rsidRDefault="006B4AC8" w:rsidP="009A1A9B">
            <w:pPr>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nem</w:t>
            </w:r>
          </w:p>
          <w:p w:rsidR="00640475" w:rsidRDefault="00640475" w:rsidP="009A1A9B">
            <w:pPr>
              <w:spacing w:before="0" w:after="0"/>
              <w:jc w:val="left"/>
              <w:rPr>
                <w:rFonts w:ascii="Times New Roman" w:hAnsi="Times New Roman"/>
                <w:b/>
                <w:sz w:val="24"/>
                <w:u w:val="single"/>
              </w:rPr>
            </w:pPr>
          </w:p>
          <w:p w:rsidR="00261B63" w:rsidRDefault="00261B63" w:rsidP="002B5F2D">
            <w:pPr>
              <w:spacing w:before="0" w:after="0"/>
              <w:jc w:val="left"/>
              <w:rPr>
                <w:rFonts w:ascii="Times New Roman" w:hAnsi="Times New Roman"/>
                <w:b/>
                <w:sz w:val="24"/>
                <w:u w:val="single"/>
              </w:rPr>
            </w:pPr>
            <w:r>
              <w:rPr>
                <w:rFonts w:ascii="Times New Roman" w:hAnsi="Times New Roman"/>
                <w:sz w:val="24"/>
              </w:rPr>
              <w:t>„igen” értéket kell feltüntetni mind a CRR 243. cikke szerint differenciált tők</w:t>
            </w:r>
            <w:r>
              <w:rPr>
                <w:rFonts w:ascii="Times New Roman" w:hAnsi="Times New Roman"/>
                <w:sz w:val="24"/>
              </w:rPr>
              <w:t>e</w:t>
            </w:r>
            <w:r>
              <w:rPr>
                <w:rFonts w:ascii="Times New Roman" w:hAnsi="Times New Roman"/>
                <w:sz w:val="24"/>
              </w:rPr>
              <w:t>követelmény-megállapításra jogosult STS értékpapírosítások, mind a CRR 270. cikke szerint differenciált tőkekövetelmény-megállapításra jogosult (nem STS) kkv-értékpapírosításokban lévő előresorolt pozíciók esetében.</w:t>
            </w: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450-510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ÉRTÉKPAPÍROSÍTÁSI POZÍCIÓK – KERESKEDÉSI KÖNYV</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CTP/NEM CTP</w:t>
            </w:r>
          </w:p>
          <w:p w:rsidR="00612780" w:rsidRPr="00392FFD" w:rsidRDefault="00612780" w:rsidP="00612780">
            <w:pPr>
              <w:spacing w:before="0" w:after="0"/>
              <w:jc w:val="left"/>
              <w:rPr>
                <w:rStyle w:val="InstructionsTabelleText"/>
                <w:rFonts w:ascii="Times New Roman" w:hAnsi="Times New Roman"/>
                <w:sz w:val="24"/>
              </w:rPr>
            </w:pP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A következő rövidítéseket kell megadni:</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C – korrelációkereskedési portfólió (CTP);</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N – nem CTP.</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NETTÓ POZÍCIÓK – HOSSZÚ/RÖVID</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Lásd az MKR SA SEC, illetve MKR SA CTP 050. és 060. oszlopát. </w:t>
            </w: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TELJES SZAVATOLÓTŐKE-KÖVETELMÉNY (SA) – EGYEDI KO</w:t>
            </w:r>
            <w:r>
              <w:rPr>
                <w:rStyle w:val="InstructionsTabelleberschrift"/>
                <w:rFonts w:ascii="Times New Roman" w:hAnsi="Times New Roman"/>
                <w:sz w:val="24"/>
              </w:rPr>
              <w:t>C</w:t>
            </w:r>
            <w:r>
              <w:rPr>
                <w:rStyle w:val="InstructionsTabelleberschrift"/>
                <w:rFonts w:ascii="Times New Roman" w:hAnsi="Times New Roman"/>
                <w:sz w:val="24"/>
              </w:rPr>
              <w:t>KÁZAT</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Lásd az MKR SA SEC 610-es, illetve az MKR SA CTP 450-es oszlopát. </w:t>
            </w:r>
          </w:p>
        </w:tc>
      </w:tr>
    </w:tbl>
    <w:p w:rsidR="00612780" w:rsidRPr="00392FFD" w:rsidRDefault="00612780">
      <w:pPr>
        <w:spacing w:before="0" w:after="0"/>
        <w:jc w:val="left"/>
        <w:rPr>
          <w:rStyle w:val="InstructionsTabelleText"/>
          <w:rFonts w:ascii="Times New Roman" w:hAnsi="Times New Roman"/>
          <w:sz w:val="24"/>
        </w:rPr>
      </w:pPr>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493" w:name="_Toc260157222"/>
      <w:bookmarkStart w:id="494" w:name="_Toc262566416"/>
      <w:bookmarkStart w:id="495" w:name="_Toc295829987"/>
      <w:bookmarkStart w:id="496" w:name="_Toc310415049"/>
      <w:bookmarkStart w:id="497" w:name="_Toc360188384"/>
      <w:bookmarkStart w:id="498" w:name="_Toc516210670"/>
      <w:bookmarkStart w:id="499" w:name="_Toc473560935"/>
      <w:bookmarkStart w:id="500" w:name="_Toc524014729"/>
      <w:bookmarkStart w:id="501" w:name="_Toc260157223"/>
      <w:bookmarkStart w:id="502" w:name="_Toc262566417"/>
      <w:bookmarkStart w:id="503" w:name="_Toc264038462"/>
      <w:bookmarkStart w:id="504" w:name="_Toc295829988"/>
      <w:bookmarkStart w:id="505" w:name="_Toc310415050"/>
      <w:r>
        <w:rPr>
          <w:rFonts w:ascii="Times New Roman" w:hAnsi="Times New Roman"/>
          <w:sz w:val="24"/>
        </w:rPr>
        <w:t>4.</w:t>
      </w:r>
      <w:r>
        <w:tab/>
      </w:r>
      <w:r>
        <w:rPr>
          <w:rFonts w:ascii="Times New Roman" w:hAnsi="Times New Roman"/>
          <w:sz w:val="24"/>
        </w:rPr>
        <w:t>Működési kockázati táblacsoport</w:t>
      </w:r>
      <w:bookmarkEnd w:id="493"/>
      <w:bookmarkEnd w:id="494"/>
      <w:bookmarkEnd w:id="495"/>
      <w:bookmarkEnd w:id="496"/>
      <w:bookmarkEnd w:id="497"/>
      <w:bookmarkEnd w:id="498"/>
      <w:bookmarkEnd w:id="499"/>
      <w:bookmarkEnd w:id="500"/>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506" w:name="_Toc360188385"/>
      <w:bookmarkStart w:id="507" w:name="_Toc516210671"/>
      <w:bookmarkStart w:id="508" w:name="_Toc473560936"/>
      <w:bookmarkStart w:id="509" w:name="_Toc524014730"/>
      <w:r>
        <w:rPr>
          <w:rFonts w:ascii="Times New Roman" w:hAnsi="Times New Roman"/>
          <w:sz w:val="24"/>
        </w:rPr>
        <w:t>4.1.</w:t>
      </w:r>
      <w:r>
        <w:tab/>
      </w:r>
      <w:r>
        <w:tab/>
      </w:r>
      <w:r>
        <w:rPr>
          <w:rFonts w:ascii="Times New Roman" w:hAnsi="Times New Roman"/>
          <w:sz w:val="24"/>
        </w:rPr>
        <w:t>C 16.00 – Működési kockázat</w:t>
      </w:r>
      <w:bookmarkEnd w:id="501"/>
      <w:bookmarkEnd w:id="502"/>
      <w:bookmarkEnd w:id="503"/>
      <w:bookmarkEnd w:id="504"/>
      <w:bookmarkEnd w:id="505"/>
      <w:bookmarkEnd w:id="506"/>
      <w:r>
        <w:rPr>
          <w:rFonts w:ascii="Times New Roman" w:hAnsi="Times New Roman"/>
          <w:sz w:val="24"/>
        </w:rPr>
        <w:t xml:space="preserve"> (OPR)</w:t>
      </w:r>
      <w:bookmarkEnd w:id="507"/>
      <w:bookmarkEnd w:id="508"/>
      <w:bookmarkEnd w:id="509"/>
    </w:p>
    <w:p w:rsidR="00AC6255" w:rsidRPr="009068C9" w:rsidRDefault="00CE4C49" w:rsidP="0023700C">
      <w:pPr>
        <w:pStyle w:val="Instructionsberschrift2"/>
        <w:numPr>
          <w:ilvl w:val="0"/>
          <w:numId w:val="0"/>
        </w:numPr>
        <w:ind w:left="357" w:hanging="357"/>
        <w:rPr>
          <w:rFonts w:ascii="Times New Roman" w:hAnsi="Times New Roman" w:cs="Times New Roman"/>
          <w:sz w:val="24"/>
          <w:u w:val="none"/>
        </w:rPr>
      </w:pPr>
      <w:bookmarkStart w:id="510" w:name="_Toc260157224"/>
      <w:bookmarkStart w:id="511" w:name="_Toc262566418"/>
      <w:bookmarkStart w:id="512" w:name="_Toc264038463"/>
      <w:bookmarkStart w:id="513" w:name="_Toc295829989"/>
      <w:bookmarkStart w:id="514" w:name="_Toc310415051"/>
      <w:bookmarkStart w:id="515" w:name="_Toc360188386"/>
      <w:bookmarkStart w:id="516" w:name="_Toc516210672"/>
      <w:bookmarkStart w:id="517" w:name="_Toc473560937"/>
      <w:bookmarkStart w:id="518" w:name="_Toc524014731"/>
      <w:r>
        <w:rPr>
          <w:rFonts w:ascii="Times New Roman" w:hAnsi="Times New Roman"/>
          <w:sz w:val="24"/>
          <w:u w:val="none"/>
        </w:rPr>
        <w:t>4.1.1.</w:t>
      </w:r>
      <w:r w:rsidRPr="003E7498">
        <w:rPr>
          <w:u w:val="none"/>
        </w:rPr>
        <w:tab/>
      </w:r>
      <w:r>
        <w:rPr>
          <w:rFonts w:ascii="Times New Roman" w:hAnsi="Times New Roman"/>
          <w:sz w:val="24"/>
          <w:u w:val="none"/>
        </w:rPr>
        <w:t>Általános</w:t>
      </w:r>
      <w:bookmarkEnd w:id="510"/>
      <w:r>
        <w:rPr>
          <w:rFonts w:ascii="Times New Roman" w:hAnsi="Times New Roman"/>
          <w:sz w:val="24"/>
          <w:u w:val="none"/>
        </w:rPr>
        <w:t xml:space="preserve"> megjegyzések</w:t>
      </w:r>
      <w:bookmarkEnd w:id="511"/>
      <w:bookmarkEnd w:id="512"/>
      <w:bookmarkEnd w:id="513"/>
      <w:bookmarkEnd w:id="514"/>
      <w:bookmarkEnd w:id="515"/>
      <w:bookmarkEnd w:id="516"/>
      <w:bookmarkEnd w:id="517"/>
      <w:bookmarkEnd w:id="518"/>
    </w:p>
    <w:p w:rsidR="00AC6255" w:rsidRPr="00392FFD" w:rsidRDefault="006660B9" w:rsidP="00C37B29">
      <w:pPr>
        <w:pStyle w:val="InstructionsText2"/>
        <w:numPr>
          <w:ilvl w:val="0"/>
          <w:numId w:val="0"/>
        </w:numPr>
        <w:ind w:left="993"/>
      </w:pPr>
      <w:r>
        <w:t>114.</w:t>
      </w:r>
      <w:r>
        <w:tab/>
        <w:t>Ez a tábla a működési kockázat szavatolótőke-követelményének a CRR 312–324. cikke szerinti, az alapmutató módszere (BIA), a sztenderd módszer (TSA), az alternatív sztenderd módszer (ASA), valamint a fejlett mérési módszerek (AMA) alkalmazásával történő kiszámításával kapcsolatos információkat nyújt. Egy inté</w:t>
      </w:r>
      <w:r>
        <w:t>z</w:t>
      </w:r>
      <w:r>
        <w:t>mény egyedi alapon nem alkalmazhatja egyidejűleg a sztenderd módszert és az a</w:t>
      </w:r>
      <w:r>
        <w:t>l</w:t>
      </w:r>
      <w:r>
        <w:t>ternatív sztenderd módszert „lakossági banki tevékenység” és „kereskedelmi banki tevékenység” üzletágára.</w:t>
      </w:r>
    </w:p>
    <w:p w:rsidR="00AC6255" w:rsidRPr="00392FFD" w:rsidRDefault="00125707" w:rsidP="00C37B29">
      <w:pPr>
        <w:pStyle w:val="InstructionsText2"/>
        <w:numPr>
          <w:ilvl w:val="0"/>
          <w:numId w:val="0"/>
        </w:numPr>
        <w:ind w:left="993"/>
      </w:pPr>
      <w:r>
        <w:t>115.</w:t>
      </w:r>
      <w:r>
        <w:tab/>
        <w:t>Az alapmutató módszerét, a sztenderd módszert és/vagy alternatív sztenderd módszert alkalmazó intézmények a szavatolótőke-követelményt a pénzügyi év v</w:t>
      </w:r>
      <w:r>
        <w:t>é</w:t>
      </w:r>
      <w:r>
        <w:t>gén rendelkezésre álló információk alapján számítják ki. Ha auditált adatokat has</w:t>
      </w:r>
      <w:r>
        <w:t>z</w:t>
      </w:r>
      <w:r>
        <w:t>nálnak, akkor az intézményeknek a várhatóan változatlan auditált adatokat kell fe</w:t>
      </w:r>
      <w:r>
        <w:t>l</w:t>
      </w:r>
      <w:r>
        <w:t>tüntetniük. A változtatás nélküli adatszolgáltatás elvétől az intézmények eltérhetnek például akkor, ha az adott időszakban rendkívüli körülmények merülnek fel, péld</w:t>
      </w:r>
      <w:r>
        <w:t>á</w:t>
      </w:r>
      <w:r>
        <w:lastRenderedPageBreak/>
        <w:t xml:space="preserve">ul szervezetekben vagy tevékenységekben részesedésszerzés, </w:t>
      </w:r>
      <w:r w:rsidR="003E7498">
        <w:t>illetve -elidegenítés történik.</w:t>
      </w:r>
    </w:p>
    <w:p w:rsidR="00AC6255" w:rsidRPr="00392FFD" w:rsidRDefault="00125707" w:rsidP="00C37B29">
      <w:pPr>
        <w:pStyle w:val="InstructionsText2"/>
        <w:numPr>
          <w:ilvl w:val="0"/>
          <w:numId w:val="0"/>
        </w:numPr>
        <w:ind w:left="993"/>
      </w:pPr>
      <w:r>
        <w:t>116.</w:t>
      </w:r>
      <w:r>
        <w:tab/>
        <w:t>Amennyiben az intézmény bizonyítani tudja az illetékes hatóság számára, hogy – rendkívüli körülmény, például egyesülés vagy bizonyos egységek vagy tevéken</w:t>
      </w:r>
      <w:r>
        <w:t>y</w:t>
      </w:r>
      <w:r>
        <w:t>ségek megszűnése miatt – a hároméves átlagnak az irányadó mutató kiszámítása céljára való felhasználása a működési kockázathoz kapcsolódó szavatolótőke-követelmény torz becslését eredményezné, az illetékes hatóság engedélyezheti az intézmény számára a számítás olyan módon történő módosítását, amely figyelembe veszi az említett eseményeket. Az illetékes hatóság saját kezdeményezésre is előí</w:t>
      </w:r>
      <w:r>
        <w:t>r</w:t>
      </w:r>
      <w:r>
        <w:t>hatja az intézmény számára a számítás módosítását. Ha az intézmény három évnél rövidebb ideje működik, az irányadó mutató kiszámításához a jövőre vonatkozó ü</w:t>
      </w:r>
      <w:r>
        <w:t>z</w:t>
      </w:r>
      <w:r>
        <w:t>leti becsléseket is felhasználhat, feltéve, hogy amint a tényleges múltbeli adatok legkorábban rendelkezésre állnak, attól az időponttól azokra támaszkodik.</w:t>
      </w:r>
    </w:p>
    <w:p w:rsidR="00AC6255" w:rsidRPr="00392FFD" w:rsidRDefault="00125707" w:rsidP="00C37B29">
      <w:pPr>
        <w:pStyle w:val="InstructionsText2"/>
        <w:numPr>
          <w:ilvl w:val="0"/>
          <w:numId w:val="0"/>
        </w:numPr>
        <w:ind w:left="993"/>
      </w:pPr>
      <w:r>
        <w:t>117.</w:t>
      </w:r>
      <w:r>
        <w:tab/>
        <w:t>A tábla oszlopai a legutóbbi három évre vonatkozóan mutatják be a működési kockázattal érintett banki tevékenységek irányadó mutatójának értékével, valamint a kölcsönök és előlegek összegével kapcsolatos információkat (az utóbbi csak az a</w:t>
      </w:r>
      <w:r>
        <w:t>l</w:t>
      </w:r>
      <w:r>
        <w:t>ternatív sztenderd módszer esetében alkalmazható). Ezután kell feltüntetni a műk</w:t>
      </w:r>
      <w:r>
        <w:t>ö</w:t>
      </w:r>
      <w:r>
        <w:t>dési kockázathoz kapcsolódó szavatolótőke-követelmény értékével kapcsolatos i</w:t>
      </w:r>
      <w:r>
        <w:t>n</w:t>
      </w:r>
      <w:r>
        <w:t>formációkat. Adott esetben részletezni kell, hogy az összeg mely része származik allokációs eljárásból. A fejlett mérési módszerekkel kapcsolatban további tájékozt</w:t>
      </w:r>
      <w:r>
        <w:t>a</w:t>
      </w:r>
      <w:r>
        <w:t>tó adatok mutatják be a várható veszteségnek, a diverzifikációnak és a mérséklési technikáknak a működési kockázathoz kapcsolódó szavatolótőke-követelményre gyakorolt hatását.</w:t>
      </w:r>
    </w:p>
    <w:p w:rsidR="00AC6255" w:rsidRPr="00392FFD" w:rsidRDefault="00125707" w:rsidP="00C37B29">
      <w:pPr>
        <w:pStyle w:val="InstructionsText2"/>
        <w:numPr>
          <w:ilvl w:val="0"/>
          <w:numId w:val="0"/>
        </w:numPr>
        <w:ind w:left="993"/>
      </w:pPr>
      <w:r>
        <w:t>118.</w:t>
      </w:r>
      <w:r>
        <w:tab/>
        <w:t>Az egyes sorokban a működési kockázathoz kapcsolódó szavatolótőke-követelmény számítási módszerére vonatkozó információk találhatók, üzletága</w:t>
      </w:r>
      <w:r>
        <w:t>n</w:t>
      </w:r>
      <w:r>
        <w:t>ként a sztenderd módszer és alternatív sztenderd módszer szerinti részletezésben.</w:t>
      </w:r>
    </w:p>
    <w:p w:rsidR="00AC6255" w:rsidRPr="00392FFD" w:rsidRDefault="00125707" w:rsidP="00C37B29">
      <w:pPr>
        <w:pStyle w:val="InstructionsText2"/>
        <w:numPr>
          <w:ilvl w:val="0"/>
          <w:numId w:val="0"/>
        </w:numPr>
        <w:ind w:left="993"/>
      </w:pPr>
      <w:r>
        <w:t>119.</w:t>
      </w:r>
      <w:r>
        <w:tab/>
        <w:t>A táblát minden olyan intézménynek be kell nyújtania, amelyre a működési kockázathoz kapcsolódó szavatolótőke-követelmény vonatkozik.</w:t>
      </w:r>
    </w:p>
    <w:p w:rsidR="00AC6255" w:rsidRPr="00321A3B" w:rsidRDefault="00125707" w:rsidP="0023700C">
      <w:pPr>
        <w:pStyle w:val="Instructionsberschrift2"/>
        <w:numPr>
          <w:ilvl w:val="0"/>
          <w:numId w:val="0"/>
        </w:numPr>
        <w:ind w:left="357" w:hanging="357"/>
        <w:rPr>
          <w:rFonts w:ascii="Times New Roman" w:hAnsi="Times New Roman" w:cs="Times New Roman"/>
          <w:sz w:val="24"/>
        </w:rPr>
      </w:pPr>
      <w:bookmarkStart w:id="519" w:name="_Toc260157225"/>
      <w:bookmarkStart w:id="520" w:name="_Toc262566419"/>
      <w:bookmarkStart w:id="521" w:name="_Toc264038464"/>
      <w:bookmarkStart w:id="522" w:name="_Toc295829990"/>
      <w:bookmarkStart w:id="523" w:name="_Toc310415052"/>
      <w:bookmarkStart w:id="524" w:name="_Toc360188387"/>
      <w:bookmarkStart w:id="525" w:name="_Toc516210673"/>
      <w:bookmarkStart w:id="526" w:name="_Toc473560938"/>
      <w:bookmarkStart w:id="527" w:name="_Toc524014732"/>
      <w:r>
        <w:rPr>
          <w:rFonts w:ascii="Times New Roman" w:hAnsi="Times New Roman"/>
          <w:sz w:val="24"/>
          <w:u w:val="none"/>
        </w:rPr>
        <w:t>4.1.2.</w:t>
      </w:r>
      <w:r>
        <w:tab/>
      </w:r>
      <w:r>
        <w:rPr>
          <w:rFonts w:ascii="Times New Roman" w:hAnsi="Times New Roman"/>
          <w:sz w:val="24"/>
        </w:rPr>
        <w:t>A tábla egyes részeire vonatkozó útmutató</w:t>
      </w:r>
      <w:bookmarkEnd w:id="519"/>
      <w:bookmarkEnd w:id="520"/>
      <w:bookmarkEnd w:id="521"/>
      <w:bookmarkEnd w:id="522"/>
      <w:bookmarkEnd w:id="523"/>
      <w:bookmarkEnd w:id="524"/>
      <w:bookmarkEnd w:id="525"/>
      <w:bookmarkEnd w:id="526"/>
      <w:bookmarkEnd w:id="527"/>
    </w:p>
    <w:p w:rsidR="00AC6255" w:rsidRPr="00392FFD"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53"/>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Oszlopok</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010-030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IRÁNYADÓ MUTATÓ</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működési kockázathoz kapcsolódó szavatolótőke-követelményt az irányadó mutató segítségével (az alapmutató módszerével, a sztenderd módszerrel vagy az alternatív sztenderd módszerrel) számító intézmények a megfelelő évekre vonatkozó irányadó mutatót a 010–030. oszlopban tüntetik fel. </w:t>
            </w:r>
            <w:proofErr w:type="gramStart"/>
            <w:r>
              <w:rPr>
                <w:rFonts w:ascii="Times New Roman" w:hAnsi="Times New Roman"/>
                <w:sz w:val="24"/>
              </w:rPr>
              <w:t>Ezenkívül</w:t>
            </w:r>
            <w:proofErr w:type="gramEnd"/>
            <w:r>
              <w:rPr>
                <w:rFonts w:ascii="Times New Roman" w:hAnsi="Times New Roman"/>
                <w:sz w:val="24"/>
              </w:rPr>
              <w:t xml:space="preserve"> a k</w:t>
            </w:r>
            <w:r>
              <w:rPr>
                <w:rFonts w:ascii="Times New Roman" w:hAnsi="Times New Roman"/>
                <w:sz w:val="24"/>
              </w:rPr>
              <w:t>ü</w:t>
            </w:r>
            <w:r>
              <w:rPr>
                <w:rFonts w:ascii="Times New Roman" w:hAnsi="Times New Roman"/>
                <w:sz w:val="24"/>
              </w:rPr>
              <w:t>lönböző módszerek együttes, a CRR 314. cikkében említett alkalmazása esetén az intézmények tájékoztató jelleggel megadják a fejlett mérési módszerek a</w:t>
            </w:r>
            <w:r>
              <w:rPr>
                <w:rFonts w:ascii="Times New Roman" w:hAnsi="Times New Roman"/>
                <w:sz w:val="24"/>
              </w:rPr>
              <w:t>l</w:t>
            </w:r>
            <w:r>
              <w:rPr>
                <w:rFonts w:ascii="Times New Roman" w:hAnsi="Times New Roman"/>
                <w:sz w:val="24"/>
              </w:rPr>
              <w:t>kalmazási körébe tartozó tevékenységekre vonatkozó irányadó mutatót is. Ugyanígy kell eljárni a fejlett mérési módszereket alkalmazó egyéb bankokkal is.</w:t>
            </w:r>
          </w:p>
          <w:p w:rsidR="00AC6255" w:rsidRPr="00392FFD" w:rsidRDefault="00AC6255" w:rsidP="000B0B09">
            <w:pPr>
              <w:autoSpaceDE w:val="0"/>
              <w:autoSpaceDN w:val="0"/>
              <w:adjustRightInd w:val="0"/>
              <w:spacing w:before="0" w:after="0"/>
              <w:rPr>
                <w:rFonts w:ascii="Times New Roman" w:hAnsi="Times New Roman"/>
                <w:bCs/>
                <w:strike/>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A továbbiakban az irányadó mutató a CRR 316. cikkének (1) bekezdésében t</w:t>
            </w:r>
            <w:r>
              <w:rPr>
                <w:rFonts w:ascii="Times New Roman" w:hAnsi="Times New Roman"/>
                <w:sz w:val="24"/>
              </w:rPr>
              <w:t>a</w:t>
            </w:r>
            <w:r>
              <w:rPr>
                <w:rFonts w:ascii="Times New Roman" w:hAnsi="Times New Roman"/>
                <w:sz w:val="24"/>
              </w:rPr>
              <w:lastRenderedPageBreak/>
              <w:t xml:space="preserve">lálható 1. táblázatban felsorolt elemek pénzügyi év végén mért értékének az összege.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Ha az intézmény az irányadó mutatóról 3 évnél rövidebb időszakra vonatkoz</w:t>
            </w:r>
            <w:r>
              <w:rPr>
                <w:rFonts w:ascii="Times New Roman" w:hAnsi="Times New Roman"/>
                <w:sz w:val="24"/>
              </w:rPr>
              <w:t>ó</w:t>
            </w:r>
            <w:r>
              <w:rPr>
                <w:rFonts w:ascii="Times New Roman" w:hAnsi="Times New Roman"/>
                <w:sz w:val="24"/>
              </w:rPr>
              <w:t>an rendelkezik adatokkal, akkor a rendelkezésre álló historikus (auditált) ad</w:t>
            </w:r>
            <w:r>
              <w:rPr>
                <w:rFonts w:ascii="Times New Roman" w:hAnsi="Times New Roman"/>
                <w:sz w:val="24"/>
              </w:rPr>
              <w:t>a</w:t>
            </w:r>
            <w:r>
              <w:rPr>
                <w:rFonts w:ascii="Times New Roman" w:hAnsi="Times New Roman"/>
                <w:sz w:val="24"/>
              </w:rPr>
              <w:t>tokat kell a táblázat megfelelő oszlopaiban szerepeltetni. Ha például korábbi adatok csak egy évről állnak rendelkezésre, akkor azokat a 030-as oszlopban kell feltüntetni. Indokolt esetben a jövőre vonatkozó becsléseket a 020-as os</w:t>
            </w:r>
            <w:r>
              <w:rPr>
                <w:rFonts w:ascii="Times New Roman" w:hAnsi="Times New Roman"/>
                <w:sz w:val="24"/>
              </w:rPr>
              <w:t>z</w:t>
            </w:r>
            <w:r>
              <w:rPr>
                <w:rFonts w:ascii="Times New Roman" w:hAnsi="Times New Roman"/>
                <w:sz w:val="24"/>
              </w:rPr>
              <w:t>lopban (a t+1 évre vonatkozó becslés), valamint a 010-es oszlopban (a t+2 évre vonatkozó becslés) kell feltüntetni.</w:t>
            </w:r>
          </w:p>
          <w:p w:rsidR="00AC6255" w:rsidRPr="00392FFD" w:rsidRDefault="00AC6255" w:rsidP="000B0B09">
            <w:pPr>
              <w:autoSpaceDE w:val="0"/>
              <w:autoSpaceDN w:val="0"/>
              <w:adjustRightInd w:val="0"/>
              <w:spacing w:before="0" w:after="0"/>
              <w:rPr>
                <w:rFonts w:ascii="Times New Roman" w:hAnsi="Times New Roman"/>
                <w:i/>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Ha az irányadó mutatóra vonatkozóan korábbi adatok nem állnak rendelkezé</w:t>
            </w:r>
            <w:r>
              <w:rPr>
                <w:rFonts w:ascii="Times New Roman" w:hAnsi="Times New Roman"/>
                <w:sz w:val="24"/>
              </w:rPr>
              <w:t>s</w:t>
            </w:r>
            <w:r>
              <w:rPr>
                <w:rFonts w:ascii="Times New Roman" w:hAnsi="Times New Roman"/>
                <w:sz w:val="24"/>
              </w:rPr>
              <w:t>re, akkor az intézmény a jövőre vonatkozó üzleti becslést is alkalmazhat.</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040-060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xml:space="preserve">KÖLCSÖNÖK </w:t>
            </w:r>
            <w:proofErr w:type="gramStart"/>
            <w:r>
              <w:rPr>
                <w:rStyle w:val="InstructionsTabelleberschrift"/>
                <w:rFonts w:ascii="Times New Roman" w:hAnsi="Times New Roman"/>
                <w:sz w:val="24"/>
              </w:rPr>
              <w:t>ÉS</w:t>
            </w:r>
            <w:proofErr w:type="gramEnd"/>
            <w:r>
              <w:rPr>
                <w:rStyle w:val="InstructionsTabelleberschrift"/>
                <w:rFonts w:ascii="Times New Roman" w:hAnsi="Times New Roman"/>
                <w:sz w:val="24"/>
              </w:rPr>
              <w:t xml:space="preserve"> ELŐLEGEK (AZ ALTERNATÍV SZTENDERD MÓDSZER ALKALMAZÁSA ESETÉN)</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Ezekben az oszlopokban a CRR 319. cikke (1) bekezdésének b) pontjában e</w:t>
            </w:r>
            <w:r>
              <w:rPr>
                <w:rFonts w:ascii="Times New Roman" w:hAnsi="Times New Roman"/>
                <w:sz w:val="24"/>
              </w:rPr>
              <w:t>m</w:t>
            </w:r>
            <w:r>
              <w:rPr>
                <w:rFonts w:ascii="Times New Roman" w:hAnsi="Times New Roman"/>
                <w:sz w:val="24"/>
              </w:rPr>
              <w:t>lített „kereskedelmi banki tevékenység” és „lakossági banki tevékenység” ü</w:t>
            </w:r>
            <w:r>
              <w:rPr>
                <w:rFonts w:ascii="Times New Roman" w:hAnsi="Times New Roman"/>
                <w:sz w:val="24"/>
              </w:rPr>
              <w:t>z</w:t>
            </w:r>
            <w:r>
              <w:rPr>
                <w:rFonts w:ascii="Times New Roman" w:hAnsi="Times New Roman"/>
                <w:sz w:val="24"/>
              </w:rPr>
              <w:t>letágban nyújtott kölcsönök és előlegek állományát kell feltüntetni. Ezen áll</w:t>
            </w:r>
            <w:r>
              <w:rPr>
                <w:rFonts w:ascii="Times New Roman" w:hAnsi="Times New Roman"/>
                <w:sz w:val="24"/>
              </w:rPr>
              <w:t>o</w:t>
            </w:r>
            <w:r>
              <w:rPr>
                <w:rFonts w:ascii="Times New Roman" w:hAnsi="Times New Roman"/>
                <w:sz w:val="24"/>
              </w:rPr>
              <w:t>mányok alapján számítható ki az alternatív irányadó mutató, amelyből megá</w:t>
            </w:r>
            <w:r>
              <w:rPr>
                <w:rFonts w:ascii="Times New Roman" w:hAnsi="Times New Roman"/>
                <w:sz w:val="24"/>
              </w:rPr>
              <w:t>l</w:t>
            </w:r>
            <w:r>
              <w:rPr>
                <w:rFonts w:ascii="Times New Roman" w:hAnsi="Times New Roman"/>
                <w:sz w:val="24"/>
              </w:rPr>
              <w:t>lapítható az alternatív sztenderd módszer alkalmazási körébe tartozó tevéken</w:t>
            </w:r>
            <w:r>
              <w:rPr>
                <w:rFonts w:ascii="Times New Roman" w:hAnsi="Times New Roman"/>
                <w:sz w:val="24"/>
              </w:rPr>
              <w:t>y</w:t>
            </w:r>
            <w:r>
              <w:rPr>
                <w:rFonts w:ascii="Times New Roman" w:hAnsi="Times New Roman"/>
                <w:sz w:val="24"/>
              </w:rPr>
              <w:t xml:space="preserve">ségek szavatolótőke-követelménye (a CRR 319. cikke (1) bekezdésének a) pontja).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A „kereskedelmi banki tevékenység” üzletág esetében a nem kereskedési könyvben szereplő értékpapírokat is meg kell adni.</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SZAVATOLÓTŐKE-KÖVETEMÉNY</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E86638">
            <w:pPr>
              <w:autoSpaceDE w:val="0"/>
              <w:autoSpaceDN w:val="0"/>
              <w:adjustRightInd w:val="0"/>
              <w:spacing w:before="0" w:after="0"/>
              <w:jc w:val="left"/>
              <w:rPr>
                <w:rFonts w:ascii="Times New Roman" w:hAnsi="Times New Roman"/>
                <w:bCs/>
                <w:sz w:val="24"/>
              </w:rPr>
            </w:pPr>
            <w:r>
              <w:rPr>
                <w:rFonts w:ascii="Times New Roman" w:hAnsi="Times New Roman"/>
                <w:sz w:val="24"/>
              </w:rPr>
              <w:t>A tőkekövetelményt az alkalmazott módszerrel, a CRR 312–324. cikkének megfelelően kell kiszámítani. Az eredményül kapott összeget a 070-es oszlo</w:t>
            </w:r>
            <w:r>
              <w:rPr>
                <w:rFonts w:ascii="Times New Roman" w:hAnsi="Times New Roman"/>
                <w:sz w:val="24"/>
              </w:rPr>
              <w:t>p</w:t>
            </w:r>
            <w:r>
              <w:rPr>
                <w:rFonts w:ascii="Times New Roman" w:hAnsi="Times New Roman"/>
                <w:sz w:val="24"/>
              </w:rPr>
              <w:t>ban kell feltüntetni.</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071</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TELJES MŰKÖDÉSI KOCKÁZATI KITETTSÉGÉRTÉK</w:t>
            </w:r>
          </w:p>
          <w:p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Pr>
                <w:rStyle w:val="InstructionsTabelleberschrift"/>
                <w:rFonts w:ascii="Times New Roman" w:hAnsi="Times New Roman"/>
                <w:sz w:val="24"/>
              </w:rPr>
              <w:t xml:space="preserve">A CRR 92. cikkének (4) bekezdése </w:t>
            </w:r>
            <w:proofErr w:type="gramStart"/>
            <w:r>
              <w:rPr>
                <w:rStyle w:val="InstructionsTabelleberschrift"/>
                <w:rFonts w:ascii="Times New Roman" w:hAnsi="Times New Roman"/>
                <w:sz w:val="24"/>
              </w:rPr>
              <w:t>A</w:t>
            </w:r>
            <w:proofErr w:type="gramEnd"/>
            <w:r>
              <w:rPr>
                <w:rStyle w:val="InstructionsTabelleberschrift"/>
                <w:rFonts w:ascii="Times New Roman" w:hAnsi="Times New Roman"/>
                <w:sz w:val="24"/>
              </w:rPr>
              <w:t xml:space="preserve"> 070. oszlopban megadott szavatolótőke-követelmény szorozva 12,5-del.</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EBBŐL: ALLOKÁCIÓS ELJÁRÁSBÓL SZÁRMAZÓ</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jc w:val="left"/>
              <w:rPr>
                <w:rFonts w:ascii="Times New Roman" w:hAnsi="Times New Roman"/>
                <w:bCs/>
                <w:sz w:val="24"/>
              </w:rPr>
            </w:pPr>
            <w:r>
              <w:rPr>
                <w:rFonts w:ascii="Times New Roman" w:hAnsi="Times New Roman"/>
                <w:sz w:val="24"/>
              </w:rPr>
              <w:t>A 312. cikk (2) bekezdésében említett kérelemben szerepeltetni kell a működ</w:t>
            </w:r>
            <w:r>
              <w:rPr>
                <w:rFonts w:ascii="Times New Roman" w:hAnsi="Times New Roman"/>
                <w:sz w:val="24"/>
              </w:rPr>
              <w:t>é</w:t>
            </w:r>
            <w:r>
              <w:rPr>
                <w:rFonts w:ascii="Times New Roman" w:hAnsi="Times New Roman"/>
                <w:sz w:val="24"/>
              </w:rPr>
              <w:t xml:space="preserve">si kockázati tőkének a </w:t>
            </w:r>
            <w:proofErr w:type="gramStart"/>
            <w:r>
              <w:rPr>
                <w:rFonts w:ascii="Times New Roman" w:hAnsi="Times New Roman"/>
                <w:sz w:val="24"/>
              </w:rPr>
              <w:t>csoport különböző</w:t>
            </w:r>
            <w:proofErr w:type="gramEnd"/>
            <w:r>
              <w:rPr>
                <w:rFonts w:ascii="Times New Roman" w:hAnsi="Times New Roman"/>
                <w:sz w:val="24"/>
              </w:rPr>
              <w:t xml:space="preserve"> tagjai közti allokálásához használt módszer leírását. A kérelemben fel kell tüntetni, hogy a diverzifikációs hatás</w:t>
            </w:r>
            <w:r>
              <w:rPr>
                <w:rFonts w:ascii="Times New Roman" w:hAnsi="Times New Roman"/>
                <w:sz w:val="24"/>
              </w:rPr>
              <w:t>o</w:t>
            </w:r>
            <w:r>
              <w:rPr>
                <w:rFonts w:ascii="Times New Roman" w:hAnsi="Times New Roman"/>
                <w:sz w:val="24"/>
              </w:rPr>
              <w:t>kat figyelembe kívánják-e venni, és ha igen, akkor milyen módon abban a ko</w:t>
            </w:r>
            <w:r>
              <w:rPr>
                <w:rFonts w:ascii="Times New Roman" w:hAnsi="Times New Roman"/>
                <w:sz w:val="24"/>
              </w:rPr>
              <w:t>c</w:t>
            </w:r>
            <w:r>
              <w:rPr>
                <w:rFonts w:ascii="Times New Roman" w:hAnsi="Times New Roman"/>
                <w:sz w:val="24"/>
              </w:rPr>
              <w:t>kázatmérési rendszerben, amelyet egy EU-szintű hitelintézeti anyavállalat és leányvállalatai, vagy egy EU-szintű pénzügyi holdingtársaság anyavállalat vagy egy EU-szintű vegyes pénzügyi holdingtársaság anyavállalat leányvállal</w:t>
            </w:r>
            <w:r>
              <w:rPr>
                <w:rFonts w:ascii="Times New Roman" w:hAnsi="Times New Roman"/>
                <w:sz w:val="24"/>
              </w:rPr>
              <w:t>a</w:t>
            </w:r>
            <w:r>
              <w:rPr>
                <w:rFonts w:ascii="Times New Roman" w:hAnsi="Times New Roman"/>
                <w:sz w:val="24"/>
              </w:rPr>
              <w:t>tai együttesen kívánnak alkalmazni (lásd a CRR 18. cikkének (1) bekezdését).</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090-120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xml:space="preserve">TÁJÉKOZTATÓ ADATOK </w:t>
            </w:r>
            <w:proofErr w:type="gramStart"/>
            <w:r>
              <w:rPr>
                <w:rStyle w:val="InstructionsTabelleberschrift"/>
                <w:rFonts w:ascii="Times New Roman" w:hAnsi="Times New Roman"/>
                <w:sz w:val="24"/>
              </w:rPr>
              <w:t>A</w:t>
            </w:r>
            <w:proofErr w:type="gramEnd"/>
            <w:r>
              <w:rPr>
                <w:rStyle w:val="InstructionsTabelleberschrift"/>
                <w:rFonts w:ascii="Times New Roman" w:hAnsi="Times New Roman"/>
                <w:sz w:val="24"/>
              </w:rPr>
              <w:t xml:space="preserve"> FEJLETT MÉRÉSI MÓDSZEREK A</w:t>
            </w:r>
            <w:r>
              <w:rPr>
                <w:rStyle w:val="InstructionsTabelleberschrift"/>
                <w:rFonts w:ascii="Times New Roman" w:hAnsi="Times New Roman"/>
                <w:sz w:val="24"/>
              </w:rPr>
              <w:t>L</w:t>
            </w:r>
            <w:r>
              <w:rPr>
                <w:rStyle w:val="InstructionsTabelleberschrift"/>
                <w:rFonts w:ascii="Times New Roman" w:hAnsi="Times New Roman"/>
                <w:sz w:val="24"/>
              </w:rPr>
              <w:t>KALMAZÁSÁRÓL, ADOTT ESETBEN SZOLGÁLTATANDÓ</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xml:space="preserve">SZAVATOLÓTŐKE-KÖVETELMÉNY </w:t>
            </w:r>
            <w:proofErr w:type="gramStart"/>
            <w:r>
              <w:rPr>
                <w:rStyle w:val="InstructionsTabelleberschrift"/>
                <w:rFonts w:ascii="Times New Roman" w:hAnsi="Times New Roman"/>
                <w:sz w:val="24"/>
              </w:rPr>
              <w:t>A</w:t>
            </w:r>
            <w:proofErr w:type="gramEnd"/>
            <w:r>
              <w:rPr>
                <w:rStyle w:val="InstructionsTabelleberschrift"/>
                <w:rFonts w:ascii="Times New Roman" w:hAnsi="Times New Roman"/>
                <w:sz w:val="24"/>
              </w:rPr>
              <w:t xml:space="preserve"> VÁRHATÓ VESZTESÉG, A </w:t>
            </w:r>
            <w:r>
              <w:rPr>
                <w:rStyle w:val="InstructionsTabelleberschrift"/>
                <w:rFonts w:ascii="Times New Roman" w:hAnsi="Times New Roman"/>
                <w:sz w:val="24"/>
              </w:rPr>
              <w:lastRenderedPageBreak/>
              <w:t>DIVERZIFIKÁCIÓ ÉS A KOCKÁZATMÉRSÉKLÉSI TECHNIKÁK MIATTI MÉRSÉKLÉS ELŐTT</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A 090-es oszlopban feltüntetett szavatolótőke-követelmény megegyezik a 070-es oszlopban szereplő adatnak a várható veszteség, a diverzifikáció és a kock</w:t>
            </w:r>
            <w:r>
              <w:rPr>
                <w:rFonts w:ascii="Times New Roman" w:hAnsi="Times New Roman"/>
                <w:sz w:val="24"/>
              </w:rPr>
              <w:t>á</w:t>
            </w:r>
            <w:r>
              <w:rPr>
                <w:rFonts w:ascii="Times New Roman" w:hAnsi="Times New Roman"/>
                <w:sz w:val="24"/>
              </w:rPr>
              <w:t>zatmérséklési technikák miatti mérséklő hatás figyelembevétele előtt számított értékével (lásd lejjebb).</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100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xml:space="preserve">(–) A SZAVATOLÓTŐKE-KÖVETELMÉNY MÉRSÉKLÉSE </w:t>
            </w:r>
            <w:proofErr w:type="gramStart"/>
            <w:r>
              <w:rPr>
                <w:rStyle w:val="InstructionsTabelleberschrift"/>
                <w:rFonts w:ascii="Times New Roman" w:hAnsi="Times New Roman"/>
                <w:sz w:val="24"/>
              </w:rPr>
              <w:t>A</w:t>
            </w:r>
            <w:proofErr w:type="gramEnd"/>
            <w:r>
              <w:rPr>
                <w:rStyle w:val="InstructionsTabelleberschrift"/>
                <w:rFonts w:ascii="Times New Roman" w:hAnsi="Times New Roman"/>
                <w:sz w:val="24"/>
              </w:rPr>
              <w:t xml:space="preserve"> BELSŐ ÜZLETVITELI GYAKORLATBAN FIGYELEMBE VETT VÁRHATÓ VESZTESÉG MIATT</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A 100-as oszlopban a szavatolótőke-követelménynek a belső üzletviteli gy</w:t>
            </w:r>
            <w:r>
              <w:rPr>
                <w:rFonts w:ascii="Times New Roman" w:hAnsi="Times New Roman"/>
                <w:sz w:val="24"/>
              </w:rPr>
              <w:t>a</w:t>
            </w:r>
            <w:r>
              <w:rPr>
                <w:rFonts w:ascii="Times New Roman" w:hAnsi="Times New Roman"/>
                <w:sz w:val="24"/>
              </w:rPr>
              <w:t>korlatban figyelembe vett várható veszteség miatti mérséklését kell megadni a CRR 322 cikke (2) bekezdésének a) alapján.</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A SZAVATOLÓTŐKE-KÖVETELMÉNY MÉRSÉKLÉSE DIVE</w:t>
            </w:r>
            <w:r>
              <w:rPr>
                <w:rStyle w:val="InstructionsTabelleberschrift"/>
                <w:rFonts w:ascii="Times New Roman" w:hAnsi="Times New Roman"/>
                <w:sz w:val="24"/>
              </w:rPr>
              <w:t>R</w:t>
            </w:r>
            <w:r>
              <w:rPr>
                <w:rStyle w:val="InstructionsTabelleberschrift"/>
                <w:rFonts w:ascii="Times New Roman" w:hAnsi="Times New Roman"/>
                <w:sz w:val="24"/>
              </w:rPr>
              <w:t>ZIFIKÁCIÓ MIATT</w:t>
            </w:r>
          </w:p>
          <w:p w:rsidR="00AC6255" w:rsidRPr="00392FFD" w:rsidRDefault="00AC6255" w:rsidP="000B0B09">
            <w:pPr>
              <w:rPr>
                <w:rFonts w:ascii="Times New Roman" w:hAnsi="Times New Roman"/>
                <w:sz w:val="24"/>
              </w:rPr>
            </w:pPr>
            <w:r>
              <w:rPr>
                <w:rFonts w:ascii="Times New Roman" w:hAnsi="Times New Roman"/>
                <w:sz w:val="24"/>
              </w:rPr>
              <w:t>A 110-es oszlopban szereplő diverzifikációs hatás az egyes működésikockázat-osztályokra vonatkozóan külön számított szavatolótőke-követelmények össz</w:t>
            </w:r>
            <w:r>
              <w:rPr>
                <w:rFonts w:ascii="Times New Roman" w:hAnsi="Times New Roman"/>
                <w:sz w:val="24"/>
              </w:rPr>
              <w:t>e</w:t>
            </w:r>
            <w:r>
              <w:rPr>
                <w:rFonts w:ascii="Times New Roman" w:hAnsi="Times New Roman"/>
                <w:sz w:val="24"/>
              </w:rPr>
              <w:t>gének (tökéletes függőségi helyzet), valamint a függőségi és korrelációs hat</w:t>
            </w:r>
            <w:r>
              <w:rPr>
                <w:rFonts w:ascii="Times New Roman" w:hAnsi="Times New Roman"/>
                <w:sz w:val="24"/>
              </w:rPr>
              <w:t>á</w:t>
            </w:r>
            <w:r>
              <w:rPr>
                <w:rFonts w:ascii="Times New Roman" w:hAnsi="Times New Roman"/>
                <w:sz w:val="24"/>
              </w:rPr>
              <w:t>sok figyelembevételével számított diverzifikált szavatolótőke-követelménynek (a kockázati osztályok között feltételezett nem tökéletes függőségi helyzet) a különbsége. Tökéletes függőségi helyzet az alapesetben áll fenn, vagyis amikor az intézmény nem alkalmaz kifejezetten a kockázati osztályok közötti korrel</w:t>
            </w:r>
            <w:r>
              <w:rPr>
                <w:rFonts w:ascii="Times New Roman" w:hAnsi="Times New Roman"/>
                <w:sz w:val="24"/>
              </w:rPr>
              <w:t>á</w:t>
            </w:r>
            <w:r>
              <w:rPr>
                <w:rFonts w:ascii="Times New Roman" w:hAnsi="Times New Roman"/>
                <w:sz w:val="24"/>
              </w:rPr>
              <w:t>ciót mérő struktúrát, így a fejlett mérési módszerrel megállapított tőke a válas</w:t>
            </w:r>
            <w:r>
              <w:rPr>
                <w:rFonts w:ascii="Times New Roman" w:hAnsi="Times New Roman"/>
                <w:sz w:val="24"/>
              </w:rPr>
              <w:t>z</w:t>
            </w:r>
            <w:r>
              <w:rPr>
                <w:rFonts w:ascii="Times New Roman" w:hAnsi="Times New Roman"/>
                <w:sz w:val="24"/>
              </w:rPr>
              <w:t>tott kockázati osztályok egyedi működési kockázati mérőszámainak az össz</w:t>
            </w:r>
            <w:r>
              <w:rPr>
                <w:rFonts w:ascii="Times New Roman" w:hAnsi="Times New Roman"/>
                <w:sz w:val="24"/>
              </w:rPr>
              <w:t>e</w:t>
            </w:r>
            <w:r>
              <w:rPr>
                <w:rFonts w:ascii="Times New Roman" w:hAnsi="Times New Roman"/>
                <w:sz w:val="24"/>
              </w:rPr>
              <w:t>geként számítható ki. Ilyenkor a kockázati osztályok között 100 %-os korrel</w:t>
            </w:r>
            <w:r>
              <w:rPr>
                <w:rFonts w:ascii="Times New Roman" w:hAnsi="Times New Roman"/>
                <w:sz w:val="24"/>
              </w:rPr>
              <w:t>á</w:t>
            </w:r>
            <w:r>
              <w:rPr>
                <w:rFonts w:ascii="Times New Roman" w:hAnsi="Times New Roman"/>
                <w:sz w:val="24"/>
              </w:rPr>
              <w:t>ciót kell feltételezni, és az oszlopban a nulla értéket kell megadni. Ezzel sze</w:t>
            </w:r>
            <w:r>
              <w:rPr>
                <w:rFonts w:ascii="Times New Roman" w:hAnsi="Times New Roman"/>
                <w:sz w:val="24"/>
              </w:rPr>
              <w:t>m</w:t>
            </w:r>
            <w:r>
              <w:rPr>
                <w:rFonts w:ascii="Times New Roman" w:hAnsi="Times New Roman"/>
                <w:sz w:val="24"/>
              </w:rPr>
              <w:t>ben akkor, ha az intézmény kifejezetten a kockázati osztályok közötti korrel</w:t>
            </w:r>
            <w:r>
              <w:rPr>
                <w:rFonts w:ascii="Times New Roman" w:hAnsi="Times New Roman"/>
                <w:sz w:val="24"/>
              </w:rPr>
              <w:t>á</w:t>
            </w:r>
            <w:r>
              <w:rPr>
                <w:rFonts w:ascii="Times New Roman" w:hAnsi="Times New Roman"/>
                <w:sz w:val="24"/>
              </w:rPr>
              <w:t>ciót mérő struktúrát alkalmaz, akkor ebben az oszlopban az alapesetből eredő, fejlett mérési módszerrel megállapított tőke és a kockázati osztályok közötti korrelációt mérő struktúra alkalmazása után kapott érték különbözetét kell fe</w:t>
            </w:r>
            <w:r>
              <w:rPr>
                <w:rFonts w:ascii="Times New Roman" w:hAnsi="Times New Roman"/>
                <w:sz w:val="24"/>
              </w:rPr>
              <w:t>l</w:t>
            </w:r>
            <w:r>
              <w:rPr>
                <w:rFonts w:ascii="Times New Roman" w:hAnsi="Times New Roman"/>
                <w:sz w:val="24"/>
              </w:rPr>
              <w:t>tüntetnie. Ez az érték a fejlett mérési módszerre épülő modell diverzifikációs kapacitását mutatja, vagyis a modell azon képességét, hogy a működési kock</w:t>
            </w:r>
            <w:r>
              <w:rPr>
                <w:rFonts w:ascii="Times New Roman" w:hAnsi="Times New Roman"/>
                <w:sz w:val="24"/>
              </w:rPr>
              <w:t>á</w:t>
            </w:r>
            <w:r>
              <w:rPr>
                <w:rFonts w:ascii="Times New Roman" w:hAnsi="Times New Roman"/>
                <w:sz w:val="24"/>
              </w:rPr>
              <w:t>zatból eredő súlyos veszteséget okozó, nem egyidejű események előfordulását figyelembe vegye. A 110-es oszlopban azt az összeget kell feltüntetni, amellyel a feltételezett korrelációs struktúra a fejlett mérési módszerrel megállapított t</w:t>
            </w:r>
            <w:r>
              <w:rPr>
                <w:rFonts w:ascii="Times New Roman" w:hAnsi="Times New Roman"/>
                <w:sz w:val="24"/>
              </w:rPr>
              <w:t>ő</w:t>
            </w:r>
            <w:r>
              <w:rPr>
                <w:rFonts w:ascii="Times New Roman" w:hAnsi="Times New Roman"/>
                <w:sz w:val="24"/>
              </w:rPr>
              <w:t>két csökkenti a 100 %-os feltételezéshez képest.</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877" w:type="dxa"/>
          </w:tcPr>
          <w:p w:rsidR="00AC6255" w:rsidRPr="00392FFD"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A SZAVATOLÓTŐKE-KÖVETELMÉNY MÉRSÉKLÉSE KOCK</w:t>
            </w:r>
            <w:r>
              <w:rPr>
                <w:rStyle w:val="InstructionsTabelleberschrift"/>
                <w:rFonts w:ascii="Times New Roman" w:hAnsi="Times New Roman"/>
                <w:sz w:val="24"/>
              </w:rPr>
              <w:t>Á</w:t>
            </w:r>
            <w:r>
              <w:rPr>
                <w:rStyle w:val="InstructionsTabelleberschrift"/>
                <w:rFonts w:ascii="Times New Roman" w:hAnsi="Times New Roman"/>
                <w:sz w:val="24"/>
              </w:rPr>
              <w:t xml:space="preserve">ZATMÉRSÉKLÉSI TECHNIKÁK (BIZTOSÍTÁS </w:t>
            </w:r>
            <w:proofErr w:type="gramStart"/>
            <w:r>
              <w:rPr>
                <w:rStyle w:val="InstructionsTabelleberschrift"/>
                <w:rFonts w:ascii="Times New Roman" w:hAnsi="Times New Roman"/>
                <w:sz w:val="24"/>
              </w:rPr>
              <w:t>ÉS</w:t>
            </w:r>
            <w:proofErr w:type="gramEnd"/>
            <w:r>
              <w:rPr>
                <w:rStyle w:val="InstructionsTabelleberschrift"/>
                <w:rFonts w:ascii="Times New Roman" w:hAnsi="Times New Roman"/>
                <w:sz w:val="24"/>
              </w:rPr>
              <w:t xml:space="preserve"> EGYÉB KOCK</w:t>
            </w:r>
            <w:r>
              <w:rPr>
                <w:rStyle w:val="InstructionsTabelleberschrift"/>
                <w:rFonts w:ascii="Times New Roman" w:hAnsi="Times New Roman"/>
                <w:sz w:val="24"/>
              </w:rPr>
              <w:t>Á</w:t>
            </w:r>
            <w:r>
              <w:rPr>
                <w:rStyle w:val="InstructionsTabelleberschrift"/>
                <w:rFonts w:ascii="Times New Roman" w:hAnsi="Times New Roman"/>
                <w:sz w:val="24"/>
              </w:rPr>
              <w:t>ZAT-ÁTRUHÁZÁSI MECHANIZMUSOK) MIATT</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0B0B09">
            <w:pPr>
              <w:autoSpaceDE w:val="0"/>
              <w:autoSpaceDN w:val="0"/>
              <w:adjustRightInd w:val="0"/>
              <w:spacing w:before="0" w:after="0"/>
              <w:jc w:val="left"/>
              <w:rPr>
                <w:rFonts w:ascii="Times New Roman" w:hAnsi="Times New Roman"/>
                <w:sz w:val="24"/>
              </w:rPr>
            </w:pPr>
            <w:r>
              <w:rPr>
                <w:rFonts w:ascii="Times New Roman" w:hAnsi="Times New Roman"/>
                <w:sz w:val="24"/>
              </w:rPr>
              <w:t>A 120-as oszlopban a CRR 323. cikkének (1)–(5) bekezdése szerinti biztosítás és más kockázat-átruházási mechanizmusok hatását kell feltüntetni.</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bl>
    <w:p w:rsidR="00AC6255" w:rsidRPr="00392FFD" w:rsidRDefault="00AC6255" w:rsidP="00AC6255">
      <w:pPr>
        <w:autoSpaceDE w:val="0"/>
        <w:autoSpaceDN w:val="0"/>
        <w:adjustRightInd w:val="0"/>
        <w:spacing w:before="0" w:after="0"/>
        <w:rPr>
          <w:rFonts w:ascii="Times New Roman" w:hAnsi="Times New Roman"/>
          <w:sz w:val="24"/>
        </w:rPr>
      </w:pPr>
    </w:p>
    <w:p w:rsidR="00AC6255" w:rsidRPr="00392FFD" w:rsidRDefault="00AC6255" w:rsidP="00AC6255">
      <w:pPr>
        <w:autoSpaceDE w:val="0"/>
        <w:autoSpaceDN w:val="0"/>
        <w:adjustRightInd w:val="0"/>
        <w:spacing w:before="0" w:after="0"/>
        <w:rPr>
          <w:rFonts w:ascii="Times New Roman" w:hAnsi="Times New Roman"/>
          <w:sz w:val="24"/>
        </w:rPr>
      </w:pPr>
    </w:p>
    <w:p w:rsidR="00AC6255" w:rsidRPr="00321A3B"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18"/>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Sorok</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010 </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AZ ALAPMUTATÓ-MÓDSZER (BIA) SZERINTI BANKI TEV</w:t>
            </w:r>
            <w:r>
              <w:rPr>
                <w:rStyle w:val="InstructionsTabelleberschrift"/>
                <w:rFonts w:ascii="Times New Roman" w:hAnsi="Times New Roman"/>
                <w:sz w:val="24"/>
              </w:rPr>
              <w:t>É</w:t>
            </w:r>
            <w:r>
              <w:rPr>
                <w:rStyle w:val="InstructionsTabelleberschrift"/>
                <w:rFonts w:ascii="Times New Roman" w:hAnsi="Times New Roman"/>
                <w:sz w:val="24"/>
              </w:rPr>
              <w:t>KENYSÉGEK</w:t>
            </w:r>
          </w:p>
          <w:p w:rsidR="00AC6255" w:rsidRPr="00392FFD" w:rsidRDefault="00AC6255" w:rsidP="000B0B09">
            <w:pPr>
              <w:pStyle w:val="PlainText"/>
              <w:jc w:val="both"/>
              <w:rPr>
                <w:rFonts w:ascii="Times New Roman" w:eastAsia="Times New Roman" w:hAnsi="Times New Roman"/>
                <w:sz w:val="24"/>
                <w:szCs w:val="24"/>
              </w:rPr>
            </w:pPr>
          </w:p>
          <w:p w:rsidR="00AC6255" w:rsidRPr="00392FFD" w:rsidRDefault="00AC6255" w:rsidP="000B0B09">
            <w:pPr>
              <w:pStyle w:val="PlainText"/>
              <w:jc w:val="both"/>
              <w:rPr>
                <w:rFonts w:ascii="Times New Roman" w:eastAsia="Times New Roman" w:hAnsi="Times New Roman"/>
                <w:sz w:val="24"/>
                <w:szCs w:val="24"/>
              </w:rPr>
            </w:pPr>
            <w:r>
              <w:rPr>
                <w:rFonts w:ascii="Times New Roman" w:hAnsi="Times New Roman"/>
                <w:sz w:val="24"/>
              </w:rPr>
              <w:t>Ez a sor az alapmutató módszerének alkalmazási körébe tartozó banki tev</w:t>
            </w:r>
            <w:r>
              <w:rPr>
                <w:rFonts w:ascii="Times New Roman" w:hAnsi="Times New Roman"/>
                <w:sz w:val="24"/>
              </w:rPr>
              <w:t>é</w:t>
            </w:r>
            <w:r>
              <w:rPr>
                <w:rFonts w:ascii="Times New Roman" w:hAnsi="Times New Roman"/>
                <w:sz w:val="24"/>
              </w:rPr>
              <w:t>kenységekre vonatkozó összegeket mutatja be a működési kockázathoz kapcs</w:t>
            </w:r>
            <w:r>
              <w:rPr>
                <w:rFonts w:ascii="Times New Roman" w:hAnsi="Times New Roman"/>
                <w:sz w:val="24"/>
              </w:rPr>
              <w:t>o</w:t>
            </w:r>
            <w:r>
              <w:rPr>
                <w:rFonts w:ascii="Times New Roman" w:hAnsi="Times New Roman"/>
                <w:sz w:val="24"/>
              </w:rPr>
              <w:t>lódó szavatolótőke-követelmény kiszámítása céljából (a CRR 315. és 316. ci</w:t>
            </w:r>
            <w:r>
              <w:rPr>
                <w:rFonts w:ascii="Times New Roman" w:hAnsi="Times New Roman"/>
                <w:sz w:val="24"/>
              </w:rPr>
              <w:t>k</w:t>
            </w:r>
            <w:r>
              <w:rPr>
                <w:rFonts w:ascii="Times New Roman" w:hAnsi="Times New Roman"/>
                <w:sz w:val="24"/>
              </w:rPr>
              <w:t>ke).</w:t>
            </w:r>
          </w:p>
          <w:p w:rsidR="00AC6255" w:rsidRPr="00392FFD" w:rsidRDefault="00AC6255" w:rsidP="000B0B09">
            <w:pPr>
              <w:pStyle w:val="PlainText"/>
              <w:jc w:val="both"/>
              <w:rPr>
                <w:rFonts w:ascii="Times New Roman" w:eastAsia="Times New Roman" w:hAnsi="Times New Roman"/>
                <w:bCs/>
                <w:sz w:val="24"/>
                <w:szCs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 SZTENDERD (TSA)/ALTERNATÍV SZTENDERD MÓDSZER (ASA) SZERINTI BANKI TEVÉKENYSÉGEK</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A sztenderd módszerrel és alternatív sztenderd módszerrel (a CRR 317–319. cikke alapján) kiszámított szavatolótőke-követelményt kell feltüntetni.</w:t>
            </w:r>
          </w:p>
          <w:p w:rsidR="00AC6255" w:rsidRPr="00392FFD" w:rsidRDefault="00AC6255" w:rsidP="000B0B09">
            <w:pPr>
              <w:autoSpaceDE w:val="0"/>
              <w:autoSpaceDN w:val="0"/>
              <w:adjustRightInd w:val="0"/>
              <w:spacing w:before="0" w:after="0"/>
              <w:rPr>
                <w:rFonts w:ascii="Times New Roman" w:hAnsi="Times New Roman"/>
                <w:bCs/>
                <w:sz w:val="24"/>
              </w:rPr>
            </w:pPr>
          </w:p>
        </w:tc>
      </w:tr>
      <w:tr w:rsidR="00AC6255" w:rsidRPr="00392FFD" w:rsidTr="00672D2A">
        <w:trPr>
          <w:trHeight w:val="1705"/>
        </w:trPr>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030-100</w:t>
            </w:r>
          </w:p>
        </w:tc>
        <w:tc>
          <w:tcPr>
            <w:tcW w:w="7877" w:type="dxa"/>
          </w:tcPr>
          <w:p w:rsidR="00AC6255" w:rsidRPr="00392FFD"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A SZTENDERD MÓDSZER SZERINT</w:t>
            </w:r>
          </w:p>
          <w:p w:rsidR="00AC6255" w:rsidRPr="00392FFD" w:rsidRDefault="00AC6255" w:rsidP="00A95FD0">
            <w:pPr>
              <w:autoSpaceDE w:val="0"/>
              <w:autoSpaceDN w:val="0"/>
              <w:adjustRightInd w:val="0"/>
              <w:spacing w:before="0" w:after="0"/>
              <w:jc w:val="left"/>
              <w:rPr>
                <w:rFonts w:ascii="Times New Roman" w:hAnsi="Times New Roman"/>
                <w:bCs/>
                <w:sz w:val="24"/>
              </w:rPr>
            </w:pPr>
            <w:r>
              <w:rPr>
                <w:rFonts w:ascii="Times New Roman" w:hAnsi="Times New Roman"/>
                <w:sz w:val="24"/>
              </w:rPr>
              <w:t>A sztenderd módszer alkalmazása esetén az adott évekre vonatkozó irányadó mutatót a 030–100. sorban a CRR 317. cikkében található 2. táblázatban me</w:t>
            </w:r>
            <w:r>
              <w:rPr>
                <w:rFonts w:ascii="Times New Roman" w:hAnsi="Times New Roman"/>
                <w:sz w:val="24"/>
              </w:rPr>
              <w:t>g</w:t>
            </w:r>
            <w:r>
              <w:rPr>
                <w:rFonts w:ascii="Times New Roman" w:hAnsi="Times New Roman"/>
                <w:sz w:val="24"/>
              </w:rPr>
              <w:t>határozott üzletágak között kell felosztani. A tevékenységek üzletág szerinti besorolásakor a CRR 318. cikkében foglalt elveket kell követni.</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110-120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AZ ALTERNATÍV SZTENDERD MÓDSZER SZERINT</w:t>
            </w:r>
          </w:p>
          <w:p w:rsidR="00AC6255" w:rsidRPr="00392FFD" w:rsidRDefault="00AC6255" w:rsidP="000B0B09">
            <w:pPr>
              <w:rPr>
                <w:rFonts w:ascii="Times New Roman" w:hAnsi="Times New Roman"/>
                <w:sz w:val="24"/>
              </w:rPr>
            </w:pPr>
            <w:r>
              <w:rPr>
                <w:rFonts w:ascii="Times New Roman" w:hAnsi="Times New Roman"/>
                <w:sz w:val="24"/>
              </w:rPr>
              <w:t>A CRR 319. cikke szerinti alternatív sztenderd módszert alkalmazó intézm</w:t>
            </w:r>
            <w:r>
              <w:rPr>
                <w:rFonts w:ascii="Times New Roman" w:hAnsi="Times New Roman"/>
                <w:sz w:val="24"/>
              </w:rPr>
              <w:t>é</w:t>
            </w:r>
            <w:r>
              <w:rPr>
                <w:rFonts w:ascii="Times New Roman" w:hAnsi="Times New Roman"/>
                <w:sz w:val="24"/>
              </w:rPr>
              <w:t>nyeknek a vonatkozó évekre az irányadó mutatót üzletáganként elkülönítve kell megadniuk a 030–050. és 080–100. sorban, valamint a „kereskedelmi banki t</w:t>
            </w:r>
            <w:r>
              <w:rPr>
                <w:rFonts w:ascii="Times New Roman" w:hAnsi="Times New Roman"/>
                <w:sz w:val="24"/>
              </w:rPr>
              <w:t>e</w:t>
            </w:r>
            <w:r>
              <w:rPr>
                <w:rFonts w:ascii="Times New Roman" w:hAnsi="Times New Roman"/>
                <w:sz w:val="24"/>
              </w:rPr>
              <w:t>vékenység” és „lakossági banki tevékenység” üzletágra vonatko</w:t>
            </w:r>
            <w:r w:rsidR="003E7498">
              <w:rPr>
                <w:rFonts w:ascii="Times New Roman" w:hAnsi="Times New Roman"/>
                <w:sz w:val="24"/>
              </w:rPr>
              <w:t>zóan a 110-es és 120-as sorban.</w:t>
            </w:r>
          </w:p>
          <w:p w:rsidR="00AC6255" w:rsidRPr="00392FFD" w:rsidRDefault="00AC6255" w:rsidP="000B0B09">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A 110-es és 120-as sor</w:t>
            </w:r>
            <w:r>
              <w:rPr>
                <w:rFonts w:ascii="Times New Roman" w:hAnsi="Times New Roman"/>
                <w:sz w:val="24"/>
              </w:rPr>
              <w:t xml:space="preserve"> az alternatív sztenderd </w:t>
            </w:r>
            <w:r>
              <w:rPr>
                <w:rStyle w:val="InstructionsTabelleText"/>
                <w:rFonts w:ascii="Times New Roman" w:hAnsi="Times New Roman"/>
                <w:sz w:val="24"/>
              </w:rPr>
              <w:t>módszer alkalmazási körébe ta</w:t>
            </w:r>
            <w:r>
              <w:rPr>
                <w:rStyle w:val="InstructionsTabelleText"/>
                <w:rFonts w:ascii="Times New Roman" w:hAnsi="Times New Roman"/>
                <w:sz w:val="24"/>
              </w:rPr>
              <w:t>r</w:t>
            </w:r>
            <w:r>
              <w:rPr>
                <w:rStyle w:val="InstructionsTabelleText"/>
                <w:rFonts w:ascii="Times New Roman" w:hAnsi="Times New Roman"/>
                <w:sz w:val="24"/>
              </w:rPr>
              <w:t>tozó tevékenységekre vonatkozóan mutatja az irányadó mutató értékét, megk</w:t>
            </w:r>
            <w:r>
              <w:rPr>
                <w:rStyle w:val="InstructionsTabelleText"/>
                <w:rFonts w:ascii="Times New Roman" w:hAnsi="Times New Roman"/>
                <w:sz w:val="24"/>
              </w:rPr>
              <w:t>ü</w:t>
            </w:r>
            <w:r>
              <w:rPr>
                <w:rStyle w:val="InstructionsTabelleText"/>
                <w:rFonts w:ascii="Times New Roman" w:hAnsi="Times New Roman"/>
                <w:sz w:val="24"/>
              </w:rPr>
              <w:t>lönböztetve a „kereskedelmi banki tevékenység” üzletágba és a „lakossági banki tevékenység</w:t>
            </w:r>
            <w:proofErr w:type="gramStart"/>
            <w:r>
              <w:rPr>
                <w:rStyle w:val="InstructionsTabelleText"/>
                <w:rFonts w:ascii="Times New Roman" w:hAnsi="Times New Roman"/>
                <w:sz w:val="24"/>
              </w:rPr>
              <w:t>” üzletágba</w:t>
            </w:r>
            <w:proofErr w:type="gramEnd"/>
            <w:r>
              <w:rPr>
                <w:rStyle w:val="InstructionsTabelleText"/>
                <w:rFonts w:ascii="Times New Roman" w:hAnsi="Times New Roman"/>
                <w:sz w:val="24"/>
              </w:rPr>
              <w:t xml:space="preserve"> tartozó tevékenységeket (a</w:t>
            </w:r>
            <w:r>
              <w:rPr>
                <w:rFonts w:ascii="Times New Roman" w:hAnsi="Times New Roman"/>
                <w:sz w:val="24"/>
              </w:rPr>
              <w:t xml:space="preserve"> CRR 319. cikke</w:t>
            </w:r>
            <w:r>
              <w:rPr>
                <w:rStyle w:val="InstructionsTabelleText"/>
                <w:rFonts w:ascii="Times New Roman" w:hAnsi="Times New Roman"/>
                <w:sz w:val="24"/>
              </w:rPr>
              <w:t>). Egyszerre szerepelhet érték a „kereskedelmi banki tevékenység” és „lakossági banki tevékenység” üzletágaknak a sztenderd módszer szerinti 060. és 070. s</w:t>
            </w:r>
            <w:r>
              <w:rPr>
                <w:rStyle w:val="InstructionsTabelleText"/>
                <w:rFonts w:ascii="Times New Roman" w:hAnsi="Times New Roman"/>
                <w:sz w:val="24"/>
              </w:rPr>
              <w:t>o</w:t>
            </w:r>
            <w:r>
              <w:rPr>
                <w:rStyle w:val="InstructionsTabelleText"/>
                <w:rFonts w:ascii="Times New Roman" w:hAnsi="Times New Roman"/>
                <w:sz w:val="24"/>
              </w:rPr>
              <w:t>rában és az alternatív sztenderd módszer szerinti 110. és 120. sorában, pl. ha egy leányvállalat a sztenderd módszer, míg anyavállalata az alternatív szte</w:t>
            </w:r>
            <w:r>
              <w:rPr>
                <w:rStyle w:val="InstructionsTabelleText"/>
                <w:rFonts w:ascii="Times New Roman" w:hAnsi="Times New Roman"/>
                <w:sz w:val="24"/>
              </w:rPr>
              <w:t>n</w:t>
            </w:r>
            <w:r>
              <w:rPr>
                <w:rStyle w:val="InstructionsTabelleText"/>
                <w:rFonts w:ascii="Times New Roman" w:hAnsi="Times New Roman"/>
                <w:sz w:val="24"/>
              </w:rPr>
              <w:t>derd módszer alkalmazási körébe tartozik.</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 FEJLETT MÉRÉSI MÓDSZEREK (AMA) SZERINTI BANKI T</w:t>
            </w:r>
            <w:r>
              <w:rPr>
                <w:rStyle w:val="InstructionsTabelleberschrift"/>
                <w:rFonts w:ascii="Times New Roman" w:hAnsi="Times New Roman"/>
                <w:sz w:val="24"/>
              </w:rPr>
              <w:t>E</w:t>
            </w:r>
            <w:r>
              <w:rPr>
                <w:rStyle w:val="InstructionsTabelleberschrift"/>
                <w:rFonts w:ascii="Times New Roman" w:hAnsi="Times New Roman"/>
                <w:sz w:val="24"/>
              </w:rPr>
              <w:t>VÉKENYSÉGEK</w:t>
            </w:r>
          </w:p>
          <w:p w:rsidR="00AC6255" w:rsidRPr="00392FFD" w:rsidRDefault="00AC6255" w:rsidP="000B0B09">
            <w:pPr>
              <w:autoSpaceDE w:val="0"/>
              <w:autoSpaceDN w:val="0"/>
              <w:adjustRightInd w:val="0"/>
              <w:spacing w:before="0" w:after="0"/>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Ebben a sorban a CRR 312. cikkének (2) bekezdése, valamint 321–323. cikke szerint a fejlett mérési módszerek alkalmazási körébe tartozó intézmények v</w:t>
            </w:r>
            <w:r>
              <w:rPr>
                <w:rFonts w:ascii="Times New Roman" w:hAnsi="Times New Roman"/>
                <w:sz w:val="24"/>
              </w:rPr>
              <w:t>o</w:t>
            </w:r>
            <w:r w:rsidR="003E7498">
              <w:rPr>
                <w:rFonts w:ascii="Times New Roman" w:hAnsi="Times New Roman"/>
                <w:sz w:val="24"/>
              </w:rPr>
              <w:t>natkozó adatait kell megadni.</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proofErr w:type="gramStart"/>
            <w:r>
              <w:rPr>
                <w:rFonts w:ascii="Times New Roman" w:hAnsi="Times New Roman"/>
                <w:sz w:val="24"/>
              </w:rPr>
              <w:t>Ezenkívül</w:t>
            </w:r>
            <w:proofErr w:type="gramEnd"/>
            <w:r>
              <w:rPr>
                <w:rFonts w:ascii="Times New Roman" w:hAnsi="Times New Roman"/>
                <w:sz w:val="24"/>
              </w:rPr>
              <w:t xml:space="preserve"> a különböző módszerek együttes (a CRR 314. cikkében említett) a</w:t>
            </w:r>
            <w:r>
              <w:rPr>
                <w:rFonts w:ascii="Times New Roman" w:hAnsi="Times New Roman"/>
                <w:sz w:val="24"/>
              </w:rPr>
              <w:t>l</w:t>
            </w:r>
            <w:r>
              <w:rPr>
                <w:rFonts w:ascii="Times New Roman" w:hAnsi="Times New Roman"/>
                <w:sz w:val="24"/>
              </w:rPr>
              <w:t>kalmazása esetén ebben a sorban kell megadni a fejlett mérési módszerek sz</w:t>
            </w:r>
            <w:r>
              <w:rPr>
                <w:rFonts w:ascii="Times New Roman" w:hAnsi="Times New Roman"/>
                <w:sz w:val="24"/>
              </w:rPr>
              <w:t>e</w:t>
            </w:r>
            <w:r>
              <w:rPr>
                <w:rFonts w:ascii="Times New Roman" w:hAnsi="Times New Roman"/>
                <w:sz w:val="24"/>
              </w:rPr>
              <w:t>rinti tevékenységek irányadó mutatójával kapcsolatos információkat. Ugyanígy kell eljárni a fejlett mérési módszereket alkalmazó egyéb bankokkal is.</w:t>
            </w:r>
          </w:p>
          <w:p w:rsidR="00AC6255" w:rsidRPr="00392FFD" w:rsidRDefault="00AC6255" w:rsidP="000B0B09">
            <w:pPr>
              <w:autoSpaceDE w:val="0"/>
              <w:autoSpaceDN w:val="0"/>
              <w:adjustRightInd w:val="0"/>
              <w:spacing w:before="0" w:after="0"/>
              <w:rPr>
                <w:rFonts w:ascii="Times New Roman" w:hAnsi="Times New Roman"/>
                <w:bCs/>
                <w:sz w:val="24"/>
              </w:rPr>
            </w:pPr>
          </w:p>
        </w:tc>
      </w:tr>
    </w:tbl>
    <w:p w:rsidR="00AC6255" w:rsidRPr="00321A3B" w:rsidRDefault="00AC6255" w:rsidP="00AC6255">
      <w:pPr>
        <w:pStyle w:val="PlainText"/>
        <w:jc w:val="both"/>
        <w:rPr>
          <w:rFonts w:ascii="Times New Roman" w:hAnsi="Times New Roman"/>
          <w:sz w:val="24"/>
          <w:szCs w:val="24"/>
        </w:rPr>
      </w:pPr>
    </w:p>
    <w:p w:rsidR="00AC6255" w:rsidRPr="00392FFD" w:rsidRDefault="00AC6255" w:rsidP="00AC6255">
      <w:pPr>
        <w:rPr>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28" w:name="_Toc473560939"/>
      <w:bookmarkStart w:id="529" w:name="_Toc473560940"/>
      <w:bookmarkStart w:id="530" w:name="_Toc473560941"/>
      <w:bookmarkStart w:id="531" w:name="_Toc473560942"/>
      <w:bookmarkStart w:id="532" w:name="_Toc473560943"/>
      <w:bookmarkStart w:id="533" w:name="_Toc473560944"/>
      <w:bookmarkStart w:id="534" w:name="_Toc473560945"/>
      <w:bookmarkStart w:id="535" w:name="_Toc473560946"/>
      <w:bookmarkStart w:id="536" w:name="_Toc473560947"/>
      <w:bookmarkStart w:id="537" w:name="_Toc473560948"/>
      <w:bookmarkStart w:id="538" w:name="_Toc473560949"/>
      <w:bookmarkStart w:id="539" w:name="_Toc473560950"/>
      <w:bookmarkStart w:id="540" w:name="_Toc473560951"/>
      <w:bookmarkStart w:id="541" w:name="_Toc473560952"/>
      <w:bookmarkStart w:id="542" w:name="_Toc473560953"/>
      <w:bookmarkStart w:id="543" w:name="_Toc473560954"/>
      <w:bookmarkStart w:id="544" w:name="_Toc473560955"/>
      <w:bookmarkStart w:id="545" w:name="_Toc473560956"/>
      <w:bookmarkStart w:id="546" w:name="_Toc473560957"/>
      <w:bookmarkStart w:id="547" w:name="_Toc473560958"/>
      <w:bookmarkStart w:id="548" w:name="_Toc473560959"/>
      <w:bookmarkStart w:id="549" w:name="_Toc473560960"/>
      <w:bookmarkStart w:id="550" w:name="_Toc473560961"/>
      <w:bookmarkStart w:id="551" w:name="_Toc473560962"/>
      <w:bookmarkStart w:id="552" w:name="_Toc473560963"/>
      <w:bookmarkStart w:id="553" w:name="_Toc473560964"/>
      <w:bookmarkStart w:id="554" w:name="_Toc473560965"/>
      <w:bookmarkStart w:id="555" w:name="_Toc473560966"/>
      <w:bookmarkStart w:id="556" w:name="_Toc473560967"/>
      <w:bookmarkStart w:id="557" w:name="_Toc473560968"/>
      <w:bookmarkStart w:id="558" w:name="_Toc473560969"/>
      <w:bookmarkStart w:id="559" w:name="_Toc473560970"/>
      <w:bookmarkStart w:id="560" w:name="_Toc473560989"/>
      <w:bookmarkStart w:id="561" w:name="_Toc473560990"/>
      <w:bookmarkStart w:id="562" w:name="_Toc473561022"/>
      <w:bookmarkStart w:id="563" w:name="_Toc516210674"/>
      <w:bookmarkStart w:id="564" w:name="_Toc473561023"/>
      <w:bookmarkStart w:id="565" w:name="_Toc524014733"/>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Pr>
          <w:rFonts w:ascii="Times New Roman" w:hAnsi="Times New Roman"/>
          <w:sz w:val="24"/>
          <w:u w:val="none"/>
        </w:rPr>
        <w:t>4.2.</w:t>
      </w:r>
      <w:r w:rsidRPr="003E7498">
        <w:rPr>
          <w:u w:val="none"/>
        </w:rPr>
        <w:tab/>
      </w:r>
      <w:r>
        <w:rPr>
          <w:rFonts w:ascii="Times New Roman" w:hAnsi="Times New Roman"/>
          <w:sz w:val="24"/>
        </w:rPr>
        <w:t>Működési kockázat: Az előző évi veszteségekre vonatkozó részletes információk (OPR DEATILS)</w:t>
      </w:r>
      <w:bookmarkEnd w:id="563"/>
      <w:bookmarkEnd w:id="564"/>
      <w:bookmarkEnd w:id="565"/>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6" w:name="_Toc516210675"/>
      <w:bookmarkStart w:id="567" w:name="_Toc473561024"/>
      <w:bookmarkStart w:id="568" w:name="_Toc524014734"/>
      <w:r>
        <w:rPr>
          <w:rFonts w:ascii="Times New Roman" w:hAnsi="Times New Roman"/>
          <w:sz w:val="24"/>
          <w:u w:val="none"/>
        </w:rPr>
        <w:t>4.2.1.</w:t>
      </w:r>
      <w:r w:rsidRPr="003E7498">
        <w:rPr>
          <w:u w:val="none"/>
        </w:rPr>
        <w:tab/>
      </w:r>
      <w:r>
        <w:rPr>
          <w:rFonts w:ascii="Times New Roman" w:hAnsi="Times New Roman"/>
          <w:sz w:val="24"/>
        </w:rPr>
        <w:t>Általános megjegyzések</w:t>
      </w:r>
      <w:bookmarkEnd w:id="566"/>
      <w:bookmarkEnd w:id="567"/>
      <w:bookmarkEnd w:id="568"/>
    </w:p>
    <w:p w:rsidR="00FD54FC" w:rsidRPr="00392FFD" w:rsidRDefault="00125707" w:rsidP="00C37B29">
      <w:pPr>
        <w:pStyle w:val="InstructionsText2"/>
        <w:numPr>
          <w:ilvl w:val="0"/>
          <w:numId w:val="0"/>
        </w:numPr>
        <w:ind w:left="993"/>
      </w:pPr>
      <w:r>
        <w:t>120.</w:t>
      </w:r>
      <w:r>
        <w:tab/>
        <w:t>A C 17.01 (OPR DETAILS 1) tábla az intézmény által az előző évben elkön</w:t>
      </w:r>
      <w:r>
        <w:t>y</w:t>
      </w:r>
      <w:r>
        <w:t>velt bruttó veszteséggel és megtérült veszteséggel kapcsolatos információkat össz</w:t>
      </w:r>
      <w:r>
        <w:t>e</w:t>
      </w:r>
      <w:r>
        <w:t>síti eseménytípusonként és üzletáganként. A C 17.02 (OPR DETAILS 2) tábla az előző évi legnagyobb veszteségesemények</w:t>
      </w:r>
      <w:r w:rsidR="003E7498">
        <w:t>ről ad részletes információkat.</w:t>
      </w:r>
    </w:p>
    <w:p w:rsidR="00FD54FC" w:rsidRPr="00392FFD" w:rsidRDefault="00125707" w:rsidP="00C37B29">
      <w:pPr>
        <w:pStyle w:val="InstructionsText2"/>
        <w:numPr>
          <w:ilvl w:val="0"/>
          <w:numId w:val="0"/>
        </w:numPr>
        <w:ind w:left="993"/>
      </w:pPr>
      <w:r>
        <w:t>121.</w:t>
      </w:r>
      <w:r>
        <w:tab/>
        <w:t>A hitelkockázathoz kapcsolódó és a hitelkockázatra vonatkozó szavatolótőke-követelmény hatálya alá tartozó működési kockázati veszteségeket (határhelyzetű hitelvonatkozású működési kockázati események) sem a C 17.01 sem a C 17.02 táblában nem kell figyelembe venni.</w:t>
      </w:r>
    </w:p>
    <w:p w:rsidR="00FD54FC" w:rsidRPr="00392FFD" w:rsidRDefault="00125707" w:rsidP="00C37B29">
      <w:pPr>
        <w:pStyle w:val="InstructionsText2"/>
        <w:numPr>
          <w:ilvl w:val="0"/>
          <w:numId w:val="0"/>
        </w:numPr>
        <w:ind w:left="993"/>
      </w:pPr>
      <w:r>
        <w:t>122.</w:t>
      </w:r>
      <w:r>
        <w:tab/>
        <w:t>Amennyiben a CRR 314. cikkének megfelelően a működési kockázat szavatólótőke-követelményének kiszámítása különböző módszerek együttes alka</w:t>
      </w:r>
      <w:r>
        <w:t>l</w:t>
      </w:r>
      <w:r>
        <w:t>mazásával történik, az intézmény által regisztrált veszteségeket és a megtérült ves</w:t>
      </w:r>
      <w:r>
        <w:t>z</w:t>
      </w:r>
      <w:r>
        <w:t>teségeket jelenteni kell a C 17.01 és C 17.02 táblában, tekintet nélkül a szavatólótőke-követelmény kiszámításához használt módszerre.</w:t>
      </w:r>
    </w:p>
    <w:p w:rsidR="00FD54FC" w:rsidRPr="00392FFD" w:rsidRDefault="00125707" w:rsidP="00C37B29">
      <w:pPr>
        <w:pStyle w:val="InstructionsText2"/>
        <w:numPr>
          <w:ilvl w:val="0"/>
          <w:numId w:val="0"/>
        </w:numPr>
        <w:ind w:left="993"/>
      </w:pPr>
      <w:r>
        <w:t>123.</w:t>
      </w:r>
      <w:r>
        <w:tab/>
        <w:t>A „bruttó veszteség” a CRR 322. cikke (3) bekezdésének b) pontjában említett működési kockázati eseményből vagy eseménytípusból eredő, az esetleges megt</w:t>
      </w:r>
      <w:r>
        <w:t>é</w:t>
      </w:r>
      <w:r>
        <w:t>rült veszteség előtti veszteség, az alább definiált „gyorsan megtérült veszteséges</w:t>
      </w:r>
      <w:r>
        <w:t>e</w:t>
      </w:r>
      <w:r>
        <w:t xml:space="preserve">mények” sérelme nélkül. </w:t>
      </w:r>
    </w:p>
    <w:p w:rsidR="00FD54FC" w:rsidRPr="00392FFD" w:rsidRDefault="00125707" w:rsidP="00C37B29">
      <w:pPr>
        <w:pStyle w:val="InstructionsText2"/>
        <w:numPr>
          <w:ilvl w:val="0"/>
          <w:numId w:val="0"/>
        </w:numPr>
        <w:ind w:left="993"/>
      </w:pPr>
      <w:r>
        <w:t>124.</w:t>
      </w:r>
      <w:r>
        <w:tab/>
        <w:t>A „megtérült veszteség” az eredeti működési kockázati veszteséggel összefü</w:t>
      </w:r>
      <w:r>
        <w:t>g</w:t>
      </w:r>
      <w:r>
        <w:t>gő, attól időben elkülönülő, független esemény, amelynek során az intézményhez első vagy harmadik felektől – például biztosítóktól vagy más felektől – pénz vagy gazdasági előny folyik be. A megtérült veszteségeket biztosításból és más kock</w:t>
      </w:r>
      <w:r>
        <w:t>á</w:t>
      </w:r>
      <w:r>
        <w:t>zat-átruházási mechanizmusokból származó megtérült veszteségekre és közvetlenül megtérült veszteségekre kell bontani.</w:t>
      </w:r>
    </w:p>
    <w:p w:rsidR="00FD54FC" w:rsidRPr="00392FFD" w:rsidRDefault="00125707" w:rsidP="00C37B29">
      <w:pPr>
        <w:pStyle w:val="InstructionsText2"/>
        <w:numPr>
          <w:ilvl w:val="0"/>
          <w:numId w:val="0"/>
        </w:numPr>
        <w:ind w:left="993"/>
      </w:pPr>
      <w:r>
        <w:t>125.</w:t>
      </w:r>
      <w:r>
        <w:tab/>
        <w:t>A „gyorsan megtérült veszteségesemény” olyan működési kockázati esemény, amelynek veszteségei részben vagy egészben öt munkanapon belül megtérülnek. Gyorsan megtérült veszteségesemény esetében a bruttó veszteségnek csak a mar</w:t>
      </w:r>
      <w:r>
        <w:t>a</w:t>
      </w:r>
      <w:r>
        <w:t>déktalanul meg nem térült veszteségrész (a gyorsan megtérült veszteségrész lev</w:t>
      </w:r>
      <w:r>
        <w:t>o</w:t>
      </w:r>
      <w:r>
        <w:t>násával képzett veszteség) képezi részét. Következésképpen sem a bruttó veszteség meghatározása, sem az OPR DETAILS adatszolgáltatás egyéb elemei nem tarta</w:t>
      </w:r>
      <w:r>
        <w:t>l</w:t>
      </w:r>
      <w:r>
        <w:t>mazzák az öt munkanapon belül teljes mértékben megtérült veszteségekhez vezető veszteségeseményeket.</w:t>
      </w:r>
    </w:p>
    <w:p w:rsidR="00FD54FC" w:rsidRPr="00392FFD" w:rsidRDefault="00125707" w:rsidP="00C37B29">
      <w:pPr>
        <w:pStyle w:val="InstructionsText2"/>
        <w:numPr>
          <w:ilvl w:val="0"/>
          <w:numId w:val="0"/>
        </w:numPr>
        <w:ind w:left="993"/>
      </w:pPr>
      <w:r>
        <w:t>126.</w:t>
      </w:r>
      <w:r>
        <w:tab/>
        <w:t>Az „elszámolás napja” az a nap, amikor a veszteség vagy tartalék/céltartalék először került megjelenítésre az eredménykimutatásban a működési kockázati ves</w:t>
      </w:r>
      <w:r>
        <w:t>z</w:t>
      </w:r>
      <w:r>
        <w:t xml:space="preserve">teséggel szemben. Logikus módon, ez a nap későbbi, mint az „esemény napja” (az a nap, amikor a működési kockázati esemény bekövetkezett vagy kezdetét vette) és a </w:t>
      </w:r>
      <w:r>
        <w:lastRenderedPageBreak/>
        <w:t xml:space="preserve">„felismerés napja” (az a nap, amikor a működési kockázati esemény az intézmény tudomására jutott). </w:t>
      </w:r>
    </w:p>
    <w:p w:rsidR="00FD54FC" w:rsidRPr="00392FFD" w:rsidRDefault="00125707" w:rsidP="00C37B29">
      <w:pPr>
        <w:pStyle w:val="InstructionsText2"/>
        <w:numPr>
          <w:ilvl w:val="0"/>
          <w:numId w:val="0"/>
        </w:numPr>
        <w:ind w:left="993"/>
      </w:pPr>
      <w:r>
        <w:t>127.</w:t>
      </w:r>
      <w:r>
        <w:tab/>
        <w:t>A közös működési kockázati esemény vagy eseményeket/veszteségeket gen</w:t>
      </w:r>
      <w:r>
        <w:t>e</w:t>
      </w:r>
      <w:r>
        <w:t>ráló egyetlen eredeti működési kockázati eseményhez („alapesemény”) kapcsolódó több esemény által okozott veszteségeket össze kell vonni. Az összevont esem</w:t>
      </w:r>
      <w:r>
        <w:t>é</w:t>
      </w:r>
      <w:r>
        <w:t>nyeket egy eseményként kell figyelembe venni és jelenteni, így a vonatkozó bruttó veszteségeket, illetve a veszteségkorrekciókat összegezni kell.</w:t>
      </w:r>
    </w:p>
    <w:p w:rsidR="00FD54FC" w:rsidRPr="00392FFD" w:rsidRDefault="00125707" w:rsidP="00C37B29">
      <w:pPr>
        <w:pStyle w:val="InstructionsText2"/>
        <w:numPr>
          <w:ilvl w:val="0"/>
          <w:numId w:val="0"/>
        </w:numPr>
        <w:ind w:left="993"/>
      </w:pPr>
      <w:r>
        <w:t>128.</w:t>
      </w:r>
      <w:r>
        <w:tab/>
        <w:t>Az adott év júniusában jelentett adatok köztes adatok; a végleges adatokat d</w:t>
      </w:r>
      <w:r>
        <w:t>e</w:t>
      </w:r>
      <w:r>
        <w:t>cemberben jelentik az intézmények. Így a júniusban jelentett adatok hat hónapos r</w:t>
      </w:r>
      <w:r>
        <w:t>e</w:t>
      </w:r>
      <w:r>
        <w:t>ferencia-időszakra vonatkoznak (január 1-től június 30-ig), míg a decemberben j</w:t>
      </w:r>
      <w:r>
        <w:t>e</w:t>
      </w:r>
      <w:r>
        <w:t>lentett adatok tizenkét hónapos referencia-időszakra vonatkoznak (január 1-től d</w:t>
      </w:r>
      <w:r>
        <w:t>e</w:t>
      </w:r>
      <w:r>
        <w:t>cember 31-ig). A „korábbi adatszolgáltatási referencia-időszakok” kifejezés mind a júniusban, mind a decemberben jelentett adatok esetében a megelőző naptári év v</w:t>
      </w:r>
      <w:r>
        <w:t>é</w:t>
      </w:r>
      <w:r>
        <w:t>géig lezárult összes adatszolgáltatási referencia-időszakot jelöli (beleértve tehát azt is, amely a megelőző naptári év végén zárul).</w:t>
      </w:r>
    </w:p>
    <w:p w:rsidR="00FD54FC" w:rsidRPr="00392FFD" w:rsidRDefault="00125707" w:rsidP="00C37B29">
      <w:pPr>
        <w:pStyle w:val="InstructionsText2"/>
        <w:numPr>
          <w:ilvl w:val="0"/>
          <w:numId w:val="0"/>
        </w:numPr>
        <w:ind w:left="993"/>
      </w:pPr>
      <w:r>
        <w:t>129.</w:t>
      </w:r>
      <w:r>
        <w:tab/>
        <w:t>Az e rendelet 5. cikke b) pontja (2) b) i. alpontjában meghatározott feltétele</w:t>
      </w:r>
      <w:r>
        <w:t>k</w:t>
      </w:r>
      <w:r>
        <w:t xml:space="preserve">nek való megfelelés ellenőrzése céljából az intézmények „az ugyanazon tagállamon belüli összes intézmény összesített mérlegfőösszegének” meghatározásához az EBH „Supervisory Disclosure” weboldalán </w:t>
      </w:r>
      <w:proofErr w:type="gramStart"/>
      <w:r>
        <w:t>megtalálható</w:t>
      </w:r>
      <w:proofErr w:type="gramEnd"/>
      <w:r>
        <w:t xml:space="preserve"> legfrissebb statisztikai adatokat kötelesek használni. Az 5. cikk b) pontja (2) b) iii. alpontjában meghatár</w:t>
      </w:r>
      <w:r>
        <w:t>o</w:t>
      </w:r>
      <w:r>
        <w:t>zott feltételeknek való megfelelés ellenőrzése céljából az 549/2013/EU európai pa</w:t>
      </w:r>
      <w:r>
        <w:t>r</w:t>
      </w:r>
      <w:r>
        <w:t xml:space="preserve">lamenti és tanácsi rendelet (ESA 2010) </w:t>
      </w:r>
      <w:proofErr w:type="gramStart"/>
      <w:r>
        <w:t>A</w:t>
      </w:r>
      <w:proofErr w:type="gramEnd"/>
      <w:r>
        <w:t xml:space="preserve">. </w:t>
      </w:r>
      <w:proofErr w:type="gramStart"/>
      <w:r>
        <w:t>mellékletének</w:t>
      </w:r>
      <w:proofErr w:type="gramEnd"/>
      <w:r>
        <w:t xml:space="preserve"> 8.89. pontjában meghat</w:t>
      </w:r>
      <w:r>
        <w:t>á</w:t>
      </w:r>
      <w:r>
        <w:t>rozott, az Eurostat által az előző naptári évre vonatkozóan közzétett, piaci áron számolt bruttó hazai terméket kell használni.</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9" w:name="_Toc516210676"/>
      <w:bookmarkStart w:id="570" w:name="_Toc473561025"/>
      <w:bookmarkStart w:id="571" w:name="_Toc524014735"/>
      <w:r>
        <w:rPr>
          <w:rFonts w:ascii="Times New Roman" w:hAnsi="Times New Roman"/>
          <w:sz w:val="24"/>
          <w:u w:val="none"/>
        </w:rPr>
        <w:t>4.2.2.</w:t>
      </w:r>
      <w:r w:rsidRPr="003E7498">
        <w:rPr>
          <w:u w:val="none"/>
        </w:rPr>
        <w:tab/>
      </w:r>
      <w:r>
        <w:rPr>
          <w:rFonts w:ascii="Times New Roman" w:hAnsi="Times New Roman"/>
          <w:sz w:val="24"/>
        </w:rPr>
        <w:t>C 17.01: Működési kockázat: Az előző évi veszteségek és megtérült veszteségek ü</w:t>
      </w:r>
      <w:r>
        <w:rPr>
          <w:rFonts w:ascii="Times New Roman" w:hAnsi="Times New Roman"/>
          <w:sz w:val="24"/>
        </w:rPr>
        <w:t>z</w:t>
      </w:r>
      <w:r>
        <w:rPr>
          <w:rFonts w:ascii="Times New Roman" w:hAnsi="Times New Roman"/>
          <w:sz w:val="24"/>
        </w:rPr>
        <w:t>letáganként és eseménytípusonként (OPR DETAILS 1)</w:t>
      </w:r>
      <w:bookmarkEnd w:id="569"/>
      <w:bookmarkEnd w:id="570"/>
      <w:bookmarkEnd w:id="571"/>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2" w:name="_Toc516210677"/>
      <w:bookmarkStart w:id="573" w:name="_Toc473561026"/>
      <w:bookmarkStart w:id="574" w:name="_Toc524014736"/>
      <w:r>
        <w:rPr>
          <w:rFonts w:ascii="Times New Roman" w:hAnsi="Times New Roman"/>
          <w:sz w:val="24"/>
          <w:u w:val="none"/>
        </w:rPr>
        <w:t>4.2.2.1.</w:t>
      </w:r>
      <w:r w:rsidRPr="003E7498">
        <w:rPr>
          <w:u w:val="none"/>
        </w:rPr>
        <w:tab/>
      </w:r>
      <w:r>
        <w:rPr>
          <w:rFonts w:ascii="Times New Roman" w:hAnsi="Times New Roman"/>
          <w:sz w:val="24"/>
        </w:rPr>
        <w:t>Általános megjegyzések</w:t>
      </w:r>
      <w:bookmarkEnd w:id="572"/>
      <w:bookmarkEnd w:id="573"/>
      <w:bookmarkEnd w:id="574"/>
    </w:p>
    <w:p w:rsidR="00FD54FC" w:rsidRPr="00392FFD" w:rsidRDefault="00125707" w:rsidP="00C37B29">
      <w:pPr>
        <w:pStyle w:val="InstructionsText2"/>
        <w:numPr>
          <w:ilvl w:val="0"/>
          <w:numId w:val="0"/>
        </w:numPr>
        <w:ind w:left="993"/>
      </w:pPr>
      <w:r>
        <w:t>130.</w:t>
      </w:r>
      <w:r>
        <w:tab/>
      </w:r>
      <w:proofErr w:type="gramStart"/>
      <w:r>
        <w:t>A C 17.01 táblában az információkat a belső küszöbértékeket meghaladó ves</w:t>
      </w:r>
      <w:r>
        <w:t>z</w:t>
      </w:r>
      <w:r>
        <w:t>teségek és megtérült veszteségek üzletágak (a CRR 317. cikkében található 2. tá</w:t>
      </w:r>
      <w:r>
        <w:t>b</w:t>
      </w:r>
      <w:r>
        <w:t>lázatban meghatározott üzletágak, valamint a CRR 322. cikke (3) bekezdésének b) pontjában említett „társasági szintű tételek” üzletág) és (a CRR 324. cikkében me</w:t>
      </w:r>
      <w:r>
        <w:t>g</w:t>
      </w:r>
      <w:r>
        <w:t>határozott) eseménytípusok közötti felosztásával kell bemutatni, így lehetséges, hogy egy adott eseményhez tartozó veszteségek több üzletág között kerülnek fe</w:t>
      </w:r>
      <w:r>
        <w:t>l</w:t>
      </w:r>
      <w:r>
        <w:t>osztásra.</w:t>
      </w:r>
      <w:proofErr w:type="gramEnd"/>
    </w:p>
    <w:p w:rsidR="00FD54FC" w:rsidRPr="00392FFD" w:rsidRDefault="00125707" w:rsidP="00C37B29">
      <w:pPr>
        <w:pStyle w:val="InstructionsText2"/>
        <w:numPr>
          <w:ilvl w:val="0"/>
          <w:numId w:val="0"/>
        </w:numPr>
        <w:ind w:left="993"/>
      </w:pPr>
      <w:r>
        <w:t>131.</w:t>
      </w:r>
      <w:r>
        <w:tab/>
        <w:t>Az oszlopok a különböző eseménytípusokat és az egyes üzletágakra vonatkozó összértéket jelenítik meg egy tájékoztató adattal együtt, amely a veszteségekre v</w:t>
      </w:r>
      <w:r>
        <w:t>o</w:t>
      </w:r>
      <w:r>
        <w:t>natkozó adatgyűjtés során alkalmazott legalacsonyabb belső küszöbértéket mutatja, amelyből egynél több küszöbérték esetén az egyes üzletágakon belül megállapíth</w:t>
      </w:r>
      <w:r>
        <w:t>a</w:t>
      </w:r>
      <w:r>
        <w:t>tó a legalacsonyabb és legmagasabb küszöbérték.</w:t>
      </w:r>
    </w:p>
    <w:p w:rsidR="00FD54FC" w:rsidRPr="00392FFD" w:rsidRDefault="00125707" w:rsidP="00C37B29">
      <w:pPr>
        <w:pStyle w:val="InstructionsText2"/>
        <w:numPr>
          <w:ilvl w:val="0"/>
          <w:numId w:val="0"/>
        </w:numPr>
        <w:ind w:left="993"/>
      </w:pPr>
      <w:r>
        <w:t>132.</w:t>
      </w:r>
      <w:r>
        <w:tab/>
        <w:t>A sorok az üzletágakat jelenítik meg, valamint az egyes üzletágakon belül az események számára (új események), a bruttó veszteségértékre (új események), a veszteségkorrekcióval érintett események számára, a korábbi adatszolgáltatási id</w:t>
      </w:r>
      <w:r>
        <w:t>ő</w:t>
      </w:r>
      <w:r>
        <w:t xml:space="preserve">szakokhoz kapcsolódó veszteségkorrekciókra, a legnagyobb egyedi veszteségre, az </w:t>
      </w:r>
      <w:r>
        <w:lastRenderedPageBreak/>
        <w:t>öt legnagyobb veszteség összegére és a teljes megtérült veszteségre (közvetlen megtérült veszteség és biztosításból és más kockázat-átruházási mechanizmusokból származó megtérülés) vonatkozó információkat tartalmaznak.</w:t>
      </w:r>
    </w:p>
    <w:p w:rsidR="00FD54FC" w:rsidRPr="00392FFD" w:rsidRDefault="00125707" w:rsidP="00C37B29">
      <w:pPr>
        <w:pStyle w:val="InstructionsText2"/>
        <w:numPr>
          <w:ilvl w:val="0"/>
          <w:numId w:val="0"/>
        </w:numPr>
        <w:ind w:left="993"/>
      </w:pPr>
      <w:r>
        <w:t>133.</w:t>
      </w:r>
      <w:r>
        <w:tab/>
        <w:t>Az „üzletágak összesen” sorokban az események számát és a bruttó vesztesé</w:t>
      </w:r>
      <w:r>
        <w:t>g</w:t>
      </w:r>
      <w:r>
        <w:t>értéket megadott küszöbértékek (10 000, 20 000, 100 000 és 1 000 000) szerint re</w:t>
      </w:r>
      <w:r>
        <w:t>n</w:t>
      </w:r>
      <w:r>
        <w:t>dezett tartományokba sorolva kell megadni. A küszöbértékek euróban vannak me</w:t>
      </w:r>
      <w:r>
        <w:t>g</w:t>
      </w:r>
      <w:r>
        <w:t>adva, és céljuk a megadott veszteségértékek intézmények közötti összehasonlíth</w:t>
      </w:r>
      <w:r>
        <w:t>a</w:t>
      </w:r>
      <w:r>
        <w:t>tóságának biztosítása – ezért nem szükségképpen felelnek meg a veszteségadatok belső gyűjtésekor használt, a tábla más szakaszában megadott alsó küszöbértéke</w:t>
      </w:r>
      <w:r>
        <w:t>k</w:t>
      </w:r>
      <w:r>
        <w:t>nek.</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5" w:name="_Toc516210678"/>
      <w:bookmarkStart w:id="576" w:name="_Toc473561027"/>
      <w:bookmarkStart w:id="577" w:name="_Toc524014737"/>
      <w:r>
        <w:rPr>
          <w:rFonts w:ascii="Times New Roman" w:hAnsi="Times New Roman"/>
          <w:sz w:val="24"/>
          <w:u w:val="none"/>
        </w:rPr>
        <w:t>4.2.2.2.</w:t>
      </w:r>
      <w:r w:rsidRPr="003E7498">
        <w:rPr>
          <w:u w:val="none"/>
        </w:rPr>
        <w:tab/>
      </w:r>
      <w:r>
        <w:rPr>
          <w:rFonts w:ascii="Times New Roman" w:hAnsi="Times New Roman"/>
          <w:sz w:val="24"/>
        </w:rPr>
        <w:t>A tábla egyes részeire vonatkozó útmutató</w:t>
      </w:r>
      <w:bookmarkEnd w:id="575"/>
      <w:bookmarkEnd w:id="576"/>
      <w:bookmarkEnd w:id="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392FFD" w:rsidTr="00672D2A">
        <w:trPr>
          <w:trHeight w:val="576"/>
        </w:trPr>
        <w:tc>
          <w:tcPr>
            <w:tcW w:w="9180" w:type="dxa"/>
            <w:gridSpan w:val="2"/>
            <w:shd w:val="clear" w:color="auto" w:fill="CCCCCC"/>
          </w:tcPr>
          <w:p w:rsidR="00FD54FC" w:rsidRPr="00392FFD"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Oszlopok</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ESEMÉNYTÍPUSOK</w:t>
            </w:r>
          </w:p>
          <w:p w:rsidR="00FD54FC" w:rsidRPr="00392FFD" w:rsidRDefault="00FD54FC" w:rsidP="00FD54FC">
            <w:pPr>
              <w:rPr>
                <w:rFonts w:ascii="Times New Roman" w:hAnsi="Times New Roman"/>
                <w:sz w:val="24"/>
              </w:rPr>
            </w:pPr>
            <w:r>
              <w:rPr>
                <w:rFonts w:ascii="Times New Roman" w:hAnsi="Times New Roman"/>
                <w:sz w:val="24"/>
              </w:rPr>
              <w:t>Az intézmények a veszteségeket a 010–070. oszlopban a CRR 324. cikkében me</w:t>
            </w:r>
            <w:r>
              <w:rPr>
                <w:rFonts w:ascii="Times New Roman" w:hAnsi="Times New Roman"/>
                <w:sz w:val="24"/>
              </w:rPr>
              <w:t>g</w:t>
            </w:r>
            <w:r>
              <w:rPr>
                <w:rFonts w:ascii="Times New Roman" w:hAnsi="Times New Roman"/>
                <w:sz w:val="24"/>
              </w:rPr>
              <w:t xml:space="preserve">határozott eseménytípusoknak megfelelően tüntetik fel. </w:t>
            </w:r>
          </w:p>
          <w:p w:rsidR="00FD54FC" w:rsidRPr="00392FFD" w:rsidRDefault="00FD54FC" w:rsidP="00871877">
            <w:pPr>
              <w:rPr>
                <w:rFonts w:ascii="Times New Roman" w:hAnsi="Times New Roman"/>
                <w:bCs/>
                <w:sz w:val="24"/>
              </w:rPr>
            </w:pPr>
            <w:r>
              <w:rPr>
                <w:rFonts w:ascii="Times New Roman" w:hAnsi="Times New Roman"/>
                <w:sz w:val="24"/>
              </w:rPr>
              <w:t>A szavatolótőke-követelményt az alapmutató módszere szerint számító intézm</w:t>
            </w:r>
            <w:r>
              <w:rPr>
                <w:rFonts w:ascii="Times New Roman" w:hAnsi="Times New Roman"/>
                <w:sz w:val="24"/>
              </w:rPr>
              <w:t>é</w:t>
            </w:r>
            <w:r>
              <w:rPr>
                <w:rFonts w:ascii="Times New Roman" w:hAnsi="Times New Roman"/>
                <w:sz w:val="24"/>
              </w:rPr>
              <w:t>nyek a felsorolt eseménytípusokba nem sorolható veszteségeket csak a 080-as os</w:t>
            </w:r>
            <w:r>
              <w:rPr>
                <w:rFonts w:ascii="Times New Roman" w:hAnsi="Times New Roman"/>
                <w:sz w:val="24"/>
              </w:rPr>
              <w:t>z</w:t>
            </w:r>
            <w:r>
              <w:rPr>
                <w:rFonts w:ascii="Times New Roman" w:hAnsi="Times New Roman"/>
                <w:sz w:val="24"/>
              </w:rPr>
              <w:t>lopban adhatják meg.</w:t>
            </w:r>
          </w:p>
        </w:tc>
      </w:tr>
      <w:tr w:rsidR="00FD54FC" w:rsidRPr="00392FFD" w:rsidTr="00672D2A">
        <w:tc>
          <w:tcPr>
            <w:tcW w:w="985" w:type="dxa"/>
          </w:tcPr>
          <w:p w:rsidR="00FD54FC" w:rsidRPr="00392FFD"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ESEMÉNYTÍPUSOK ÖSSZESEN</w:t>
            </w:r>
          </w:p>
          <w:p w:rsidR="008D30F0" w:rsidRDefault="00FD54FC" w:rsidP="00FD54FC">
            <w:pPr>
              <w:rPr>
                <w:rStyle w:val="InstructionsTabelleText"/>
                <w:rFonts w:ascii="Times New Roman" w:hAnsi="Times New Roman"/>
                <w:sz w:val="24"/>
              </w:rPr>
            </w:pPr>
            <w:proofErr w:type="gramStart"/>
            <w:r>
              <w:rPr>
                <w:rStyle w:val="InstructionsTabelleText"/>
                <w:rFonts w:ascii="Times New Roman" w:hAnsi="Times New Roman"/>
                <w:sz w:val="24"/>
              </w:rPr>
              <w:t>A 080-as oszlopban az egyes üzletágakra vonatkozóan az intézmények az esem</w:t>
            </w:r>
            <w:r>
              <w:rPr>
                <w:rStyle w:val="InstructionsTabelleText"/>
                <w:rFonts w:ascii="Times New Roman" w:hAnsi="Times New Roman"/>
                <w:sz w:val="24"/>
              </w:rPr>
              <w:t>é</w:t>
            </w:r>
            <w:r>
              <w:rPr>
                <w:rStyle w:val="InstructionsTabelleText"/>
                <w:rFonts w:ascii="Times New Roman" w:hAnsi="Times New Roman"/>
                <w:sz w:val="24"/>
              </w:rPr>
              <w:t>nyek száma (új események) sor összesenjét, a bruttó veszteségérték (új esem</w:t>
            </w:r>
            <w:r>
              <w:rPr>
                <w:rStyle w:val="InstructionsTabelleText"/>
                <w:rFonts w:ascii="Times New Roman" w:hAnsi="Times New Roman"/>
                <w:sz w:val="24"/>
              </w:rPr>
              <w:t>é</w:t>
            </w:r>
            <w:r>
              <w:rPr>
                <w:rStyle w:val="InstructionsTabelleText"/>
                <w:rFonts w:ascii="Times New Roman" w:hAnsi="Times New Roman"/>
                <w:sz w:val="24"/>
              </w:rPr>
              <w:t>nyek) sor összesenjét, a veszteségkorrekcióval érintett események száma sor összesenjét, a korábbi adatszolgáltatási időszakokhoz kapcsolódó veszteségko</w:t>
            </w:r>
            <w:r>
              <w:rPr>
                <w:rStyle w:val="InstructionsTabelleText"/>
                <w:rFonts w:ascii="Times New Roman" w:hAnsi="Times New Roman"/>
                <w:sz w:val="24"/>
              </w:rPr>
              <w:t>r</w:t>
            </w:r>
            <w:r>
              <w:rPr>
                <w:rStyle w:val="InstructionsTabelleText"/>
                <w:rFonts w:ascii="Times New Roman" w:hAnsi="Times New Roman"/>
                <w:sz w:val="24"/>
              </w:rPr>
              <w:t>rekciók sor összesenjét, a legnagyobb egyedi veszteséget, az öt legnagyobb ves</w:t>
            </w:r>
            <w:r>
              <w:rPr>
                <w:rStyle w:val="InstructionsTabelleText"/>
                <w:rFonts w:ascii="Times New Roman" w:hAnsi="Times New Roman"/>
                <w:sz w:val="24"/>
              </w:rPr>
              <w:t>z</w:t>
            </w:r>
            <w:r>
              <w:rPr>
                <w:rStyle w:val="InstructionsTabelleText"/>
                <w:rFonts w:ascii="Times New Roman" w:hAnsi="Times New Roman"/>
                <w:sz w:val="24"/>
              </w:rPr>
              <w:t>teség összegét, valamint a teljes közvetlen megtérült veszteség sor összesenjét és a biztosításból és más kockázat-átruházási mechanizmusokból származó teljes me</w:t>
            </w:r>
            <w:r>
              <w:rPr>
                <w:rStyle w:val="InstructionsTabelleText"/>
                <w:rFonts w:ascii="Times New Roman" w:hAnsi="Times New Roman"/>
                <w:sz w:val="24"/>
              </w:rPr>
              <w:t>g</w:t>
            </w:r>
            <w:r>
              <w:rPr>
                <w:rStyle w:val="InstructionsTabelleText"/>
                <w:rFonts w:ascii="Times New Roman" w:hAnsi="Times New Roman"/>
                <w:sz w:val="24"/>
              </w:rPr>
              <w:t>térülés sor összesenjét jelentik.</w:t>
            </w:r>
            <w:proofErr w:type="gramEnd"/>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Amennyiben az intézmény minden veszteség esetében azonosított eseménytípust, a 080-as oszlopban a 010–070. oszlopban megadott eseményszámok, teljes bruttó veszteségértékek, teljes megtérült veszteségek és korábbi adatszolgáltatási id</w:t>
            </w:r>
            <w:r>
              <w:rPr>
                <w:rStyle w:val="InstructionsTabelleText"/>
                <w:rFonts w:ascii="Times New Roman" w:hAnsi="Times New Roman"/>
                <w:sz w:val="24"/>
              </w:rPr>
              <w:t>ő</w:t>
            </w:r>
            <w:r>
              <w:rPr>
                <w:rStyle w:val="InstructionsTabelleText"/>
                <w:rFonts w:ascii="Times New Roman" w:hAnsi="Times New Roman"/>
                <w:sz w:val="24"/>
              </w:rPr>
              <w:t xml:space="preserve">szakokhoz kapcsolódó veszteségkorrekciók egyszerű összegét tüntetik fel. </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Amennyiben az intézmény minden veszteség esetében azonosított eseménytípust, a 080. oszlopban feltüntetendő legnagyobb egyedi veszteség a 010–070. oszlopo</w:t>
            </w:r>
            <w:r>
              <w:rPr>
                <w:rStyle w:val="InstructionsTabelleText"/>
                <w:rFonts w:ascii="Times New Roman" w:hAnsi="Times New Roman"/>
                <w:sz w:val="24"/>
              </w:rPr>
              <w:t>k</w:t>
            </w:r>
            <w:r>
              <w:rPr>
                <w:rStyle w:val="InstructionsTabelleText"/>
                <w:rFonts w:ascii="Times New Roman" w:hAnsi="Times New Roman"/>
                <w:sz w:val="24"/>
              </w:rPr>
              <w:t xml:space="preserve">ban feltüntetett legnagyobb egyedi veszteségek közül a legnagyobb. </w:t>
            </w:r>
          </w:p>
          <w:p w:rsidR="00FD54FC" w:rsidRPr="00392FFD" w:rsidRDefault="00FD54FC" w:rsidP="00FD54FC">
            <w:pPr>
              <w:rPr>
                <w:rFonts w:ascii="Times New Roman" w:hAnsi="Times New Roman"/>
                <w:bCs/>
                <w:sz w:val="24"/>
              </w:rPr>
            </w:pPr>
            <w:r>
              <w:rPr>
                <w:rStyle w:val="InstructionsTabelleText"/>
                <w:rFonts w:ascii="Times New Roman" w:hAnsi="Times New Roman"/>
                <w:sz w:val="24"/>
              </w:rPr>
              <w:t>Az öt legnagyobb veszteség összegénél a 080-as oszlopban az egy üzletágon belüli öt legnagyobb veszteség összegét kell megadni.</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rsidR="00FD54FC" w:rsidRPr="00392FFD"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TÁJÉKOZTATÓ ADAT: AZ ADATGYŰJTÉS SORÁN ALKALMAZOTT KÜSZÖBÉRTÉK</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 090-es és 100-as oszlopban az intézmények azokat az alsó küszöbértékeket tü</w:t>
            </w:r>
            <w:r>
              <w:rPr>
                <w:rStyle w:val="InstructionsTabelleText"/>
                <w:rFonts w:ascii="Times New Roman" w:hAnsi="Times New Roman"/>
                <w:sz w:val="24"/>
              </w:rPr>
              <w:t>n</w:t>
            </w:r>
            <w:r>
              <w:rPr>
                <w:rStyle w:val="InstructionsTabelleText"/>
                <w:rFonts w:ascii="Times New Roman" w:hAnsi="Times New Roman"/>
                <w:sz w:val="24"/>
              </w:rPr>
              <w:t xml:space="preserve">tetik fel, amelyeket a CRR 322. cikke (3) bekezdése c) pontjának utolsó mondata alapján a veszteségadatok belső gyűjtésekor alkalmaznak.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Ha az intézmény az egyes üzletágakon belül csak egy küszöbértéket alkalmaz, a</w:t>
            </w:r>
            <w:r>
              <w:rPr>
                <w:rStyle w:val="InstructionsTabelleText"/>
                <w:rFonts w:ascii="Times New Roman" w:hAnsi="Times New Roman"/>
                <w:sz w:val="24"/>
              </w:rPr>
              <w:t>k</w:t>
            </w:r>
            <w:r>
              <w:rPr>
                <w:rStyle w:val="InstructionsTabelleText"/>
                <w:rFonts w:ascii="Times New Roman" w:hAnsi="Times New Roman"/>
                <w:sz w:val="24"/>
              </w:rPr>
              <w:t xml:space="preserve">kor csak a 090-es oszlopot kell kitölteni.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lastRenderedPageBreak/>
              <w:t>Ha az intézmény azonos üzletágon belül több különböző küszöbértéket alkalmaz, akkor a legmagasabb alkalmazott küszöbértéket is meg kell adni (100-as oszlop).</w:t>
            </w:r>
          </w:p>
        </w:tc>
      </w:tr>
    </w:tbl>
    <w:p w:rsidR="00FD54FC" w:rsidRPr="00321A3B"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321A3B" w:rsidTr="00672D2A">
        <w:trPr>
          <w:trHeight w:val="504"/>
        </w:trPr>
        <w:tc>
          <w:tcPr>
            <w:tcW w:w="9180" w:type="dxa"/>
            <w:gridSpan w:val="2"/>
            <w:shd w:val="clear" w:color="auto" w:fill="CCCCCC"/>
          </w:tcPr>
          <w:p w:rsidR="00FD54FC" w:rsidRPr="00321A3B"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Sorok</w:t>
            </w:r>
          </w:p>
        </w:tc>
      </w:tr>
      <w:tr w:rsidR="00FD54FC" w:rsidRPr="00392FFD" w:rsidTr="00672D2A">
        <w:tc>
          <w:tcPr>
            <w:tcW w:w="1101" w:type="dxa"/>
          </w:tcPr>
          <w:p w:rsidR="00FD54FC" w:rsidRPr="00321A3B" w:rsidRDefault="00C93FC2" w:rsidP="000F70EC">
            <w:pPr>
              <w:rPr>
                <w:rFonts w:ascii="Times New Roman" w:hAnsi="Times New Roman"/>
                <w:bCs/>
                <w:sz w:val="24"/>
              </w:rPr>
            </w:pPr>
            <w:r>
              <w:rPr>
                <w:rFonts w:ascii="Times New Roman" w:hAnsi="Times New Roman"/>
                <w:sz w:val="24"/>
              </w:rPr>
              <w:t>0010-0880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ÜZLETÁGAK: VÁLLALATI PÉNZÜGYEK, KERESKEDÉS </w:t>
            </w:r>
            <w:proofErr w:type="gramStart"/>
            <w:r>
              <w:rPr>
                <w:rStyle w:val="InstructionsTabelleberschrift"/>
                <w:rFonts w:ascii="Times New Roman" w:hAnsi="Times New Roman"/>
                <w:sz w:val="24"/>
              </w:rPr>
              <w:t>ÉS</w:t>
            </w:r>
            <w:proofErr w:type="gramEnd"/>
            <w:r>
              <w:rPr>
                <w:rStyle w:val="InstructionsTabelleberschrift"/>
                <w:rFonts w:ascii="Times New Roman" w:hAnsi="Times New Roman"/>
                <w:sz w:val="24"/>
              </w:rPr>
              <w:t xml:space="preserve"> ÉRT</w:t>
            </w:r>
            <w:r>
              <w:rPr>
                <w:rStyle w:val="InstructionsTabelleberschrift"/>
                <w:rFonts w:ascii="Times New Roman" w:hAnsi="Times New Roman"/>
                <w:sz w:val="24"/>
              </w:rPr>
              <w:t>É</w:t>
            </w:r>
            <w:r>
              <w:rPr>
                <w:rStyle w:val="InstructionsTabelleberschrift"/>
                <w:rFonts w:ascii="Times New Roman" w:hAnsi="Times New Roman"/>
                <w:sz w:val="24"/>
              </w:rPr>
              <w:t>KESÍTÉS, LAKOSSÁGI KÖZVETÍTŐI TEVÉKENYSÉG, KERESK</w:t>
            </w:r>
            <w:r>
              <w:rPr>
                <w:rStyle w:val="InstructionsTabelleberschrift"/>
                <w:rFonts w:ascii="Times New Roman" w:hAnsi="Times New Roman"/>
                <w:sz w:val="24"/>
              </w:rPr>
              <w:t>E</w:t>
            </w:r>
            <w:r>
              <w:rPr>
                <w:rStyle w:val="InstructionsTabelleberschrift"/>
                <w:rFonts w:ascii="Times New Roman" w:hAnsi="Times New Roman"/>
                <w:sz w:val="24"/>
              </w:rPr>
              <w:t>DELMI BANKI TEVÉKENYSÉG, LAKOSSÁGI BANKI TEVÉKEN</w:t>
            </w:r>
            <w:r>
              <w:rPr>
                <w:rStyle w:val="InstructionsTabelleberschrift"/>
                <w:rFonts w:ascii="Times New Roman" w:hAnsi="Times New Roman"/>
                <w:sz w:val="24"/>
              </w:rPr>
              <w:t>Y</w:t>
            </w:r>
            <w:r>
              <w:rPr>
                <w:rStyle w:val="InstructionsTabelleberschrift"/>
                <w:rFonts w:ascii="Times New Roman" w:hAnsi="Times New Roman"/>
                <w:sz w:val="24"/>
              </w:rPr>
              <w:t>SÉG, FIZETÉSI ÉS ELSZÁMOLÁSI SZOLGÁLTATÁSOK, ÜGYNÖKI SZOLGÁLTATÁSOK, VAGYONKEZELÉS, TÁRSASÁGI SZINTŰ T</w:t>
            </w:r>
            <w:r>
              <w:rPr>
                <w:rStyle w:val="InstructionsTabelleberschrift"/>
                <w:rFonts w:ascii="Times New Roman" w:hAnsi="Times New Roman"/>
                <w:sz w:val="24"/>
              </w:rPr>
              <w:t>É</w:t>
            </w:r>
            <w:r>
              <w:rPr>
                <w:rStyle w:val="InstructionsTabelleberschrift"/>
                <w:rFonts w:ascii="Times New Roman" w:hAnsi="Times New Roman"/>
                <w:sz w:val="24"/>
              </w:rPr>
              <w:t>TELEK</w:t>
            </w:r>
          </w:p>
          <w:p w:rsidR="00FD54FC" w:rsidRPr="00321A3B" w:rsidRDefault="00FD54FC" w:rsidP="00FD54FC">
            <w:pPr>
              <w:pStyle w:val="PlainText"/>
              <w:jc w:val="both"/>
              <w:rPr>
                <w:rFonts w:ascii="Times New Roman" w:hAnsi="Times New Roman"/>
                <w:sz w:val="24"/>
                <w:szCs w:val="24"/>
              </w:rPr>
            </w:pPr>
            <w:proofErr w:type="gramStart"/>
            <w:r>
              <w:rPr>
                <w:rFonts w:ascii="Times New Roman" w:hAnsi="Times New Roman"/>
                <w:sz w:val="24"/>
              </w:rPr>
              <w:t>A CRR 317. cikkének (4) bekezdésében található 2. táblázatban meghatározott üzletágakra, a 322. cikk (3) bekezdésének b) pontjában említett „társasági szintű tételek” üzletágra, valamint az egyes eseménytípusokra vonatkozóan az inté</w:t>
            </w:r>
            <w:r>
              <w:rPr>
                <w:rFonts w:ascii="Times New Roman" w:hAnsi="Times New Roman"/>
                <w:sz w:val="24"/>
              </w:rPr>
              <w:t>z</w:t>
            </w:r>
            <w:r>
              <w:rPr>
                <w:rFonts w:ascii="Times New Roman" w:hAnsi="Times New Roman"/>
                <w:sz w:val="24"/>
              </w:rPr>
              <w:t>mény a belső küszöbértékeknek megfelelően a következő információkat tünteti fel: az események száma (új események), a bruttó veszteségérték (új események), a veszteségkorrekcióval érintett események száma, a korábbi adatszolgáltatási időszakokhoz kapcsolódó veszteségkorrekciók, a legnagyobb egyedi veszteség, az öt legnagyobb veszteség összege, a teljes közvetlen megtérült</w:t>
            </w:r>
            <w:proofErr w:type="gramEnd"/>
            <w:r>
              <w:rPr>
                <w:rFonts w:ascii="Times New Roman" w:hAnsi="Times New Roman"/>
                <w:sz w:val="24"/>
              </w:rPr>
              <w:t xml:space="preserve"> veszteség és a biztosításból és más kockázat-átruházási mechanizmusokból származó teljes megtérülés. </w:t>
            </w:r>
          </w:p>
          <w:p w:rsidR="00FD54FC" w:rsidRPr="00392FFD" w:rsidRDefault="00FD54FC" w:rsidP="00FD54FC">
            <w:pPr>
              <w:rPr>
                <w:rFonts w:ascii="Times New Roman" w:hAnsi="Times New Roman"/>
                <w:sz w:val="24"/>
              </w:rPr>
            </w:pPr>
            <w:r>
              <w:rPr>
                <w:rFonts w:ascii="Times New Roman" w:hAnsi="Times New Roman"/>
                <w:sz w:val="24"/>
              </w:rPr>
              <w:t>Az olyan veszteséget okozó eseménynél, amely több üzletágat érint, a bruttó veszteségértéket fel kell osztani az összes érintett üzletág között.</w:t>
            </w:r>
          </w:p>
          <w:p w:rsidR="00FD54FC" w:rsidRPr="00392FFD" w:rsidRDefault="00FD54FC" w:rsidP="00FD54FC">
            <w:pPr>
              <w:rPr>
                <w:rFonts w:ascii="Times New Roman" w:hAnsi="Times New Roman"/>
                <w:bCs/>
                <w:sz w:val="24"/>
              </w:rPr>
            </w:pPr>
            <w:r>
              <w:rPr>
                <w:rFonts w:ascii="Times New Roman" w:hAnsi="Times New Roman"/>
                <w:sz w:val="24"/>
              </w:rPr>
              <w:t>A szavatolótőke-követelményt az alapmutató módszere szerint számító intézm</w:t>
            </w:r>
            <w:r>
              <w:rPr>
                <w:rFonts w:ascii="Times New Roman" w:hAnsi="Times New Roman"/>
                <w:sz w:val="24"/>
              </w:rPr>
              <w:t>é</w:t>
            </w:r>
            <w:r>
              <w:rPr>
                <w:rFonts w:ascii="Times New Roman" w:hAnsi="Times New Roman"/>
                <w:sz w:val="24"/>
              </w:rPr>
              <w:t>nyek az üzletághoz nem sorolt veszteségeket csak a 910–980-as oszlopban veh</w:t>
            </w:r>
            <w:r>
              <w:rPr>
                <w:rFonts w:ascii="Times New Roman" w:hAnsi="Times New Roman"/>
                <w:sz w:val="24"/>
              </w:rPr>
              <w:t>e</w:t>
            </w:r>
            <w:r>
              <w:rPr>
                <w:rFonts w:ascii="Times New Roman" w:hAnsi="Times New Roman"/>
                <w:sz w:val="24"/>
              </w:rPr>
              <w:t>tik figyelembe.</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0010, 0110, 0210, 0310, 0410, 0510, 0610, 0710, 0810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Események száma (új események)</w:t>
            </w:r>
          </w:p>
          <w:p w:rsidR="00FD54FC" w:rsidRPr="00392FFD" w:rsidRDefault="00FD54FC" w:rsidP="00FD54FC">
            <w:pPr>
              <w:rPr>
                <w:rFonts w:ascii="Times New Roman" w:hAnsi="Times New Roman"/>
                <w:sz w:val="24"/>
              </w:rPr>
            </w:pPr>
            <w:r>
              <w:rPr>
                <w:rFonts w:ascii="Times New Roman" w:hAnsi="Times New Roman"/>
                <w:sz w:val="24"/>
              </w:rPr>
              <w:t>Az „események száma” azon működési kockázati események száma, amelyek vonatkozásában az aktuális adatszolgáltatási időszakban bruttó veszteség elsz</w:t>
            </w:r>
            <w:r>
              <w:rPr>
                <w:rFonts w:ascii="Times New Roman" w:hAnsi="Times New Roman"/>
                <w:sz w:val="24"/>
              </w:rPr>
              <w:t>á</w:t>
            </w:r>
            <w:r>
              <w:rPr>
                <w:rFonts w:ascii="Times New Roman" w:hAnsi="Times New Roman"/>
                <w:sz w:val="24"/>
              </w:rPr>
              <w:t>molására került sor.</w:t>
            </w:r>
          </w:p>
          <w:p w:rsidR="00FD54FC" w:rsidRPr="00392FFD" w:rsidRDefault="00FD54FC" w:rsidP="00FD54FC">
            <w:pPr>
              <w:rPr>
                <w:rFonts w:ascii="Times New Roman" w:hAnsi="Times New Roman"/>
                <w:sz w:val="24"/>
              </w:rPr>
            </w:pPr>
            <w:r>
              <w:rPr>
                <w:rFonts w:ascii="Times New Roman" w:hAnsi="Times New Roman"/>
                <w:sz w:val="24"/>
              </w:rPr>
              <w:t>Az itt megadott események „új események”, azaz olyan működési kockázati események, amelyeket</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először az adatszolgáltatási vonatkozási időszakban számoltak el, vagy</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először egy korábbi adatszolgáltatási vonatkozási időszakban számoltak el, amennyiben az eseményről korábbi felügyeleti jelentésben nem számolt be az intézmény, például azért, mert az eseményt csak a jelenlegi adatszolgált</w:t>
            </w:r>
            <w:r>
              <w:rPr>
                <w:rFonts w:ascii="Times New Roman" w:hAnsi="Times New Roman"/>
                <w:sz w:val="24"/>
              </w:rPr>
              <w:t>a</w:t>
            </w:r>
            <w:r>
              <w:rPr>
                <w:rFonts w:ascii="Times New Roman" w:hAnsi="Times New Roman"/>
                <w:sz w:val="24"/>
              </w:rPr>
              <w:t xml:space="preserve">tási vonatkozási időszakban minősítették működési kockázati eseménynek, </w:t>
            </w:r>
            <w:proofErr w:type="gramStart"/>
            <w:r>
              <w:rPr>
                <w:rFonts w:ascii="Times New Roman" w:hAnsi="Times New Roman"/>
                <w:sz w:val="24"/>
              </w:rPr>
              <w:t>vagy</w:t>
            </w:r>
            <w:proofErr w:type="gramEnd"/>
            <w:r>
              <w:rPr>
                <w:rFonts w:ascii="Times New Roman" w:hAnsi="Times New Roman"/>
                <w:sz w:val="24"/>
              </w:rPr>
              <w:t xml:space="preserve"> mert az adott eseménynek betudható kumulált veszteség (az eredeti veszteség +/– a korábbi adatszolgáltatási vonatkozási időszakokban eszk</w:t>
            </w:r>
            <w:r>
              <w:rPr>
                <w:rFonts w:ascii="Times New Roman" w:hAnsi="Times New Roman"/>
                <w:sz w:val="24"/>
              </w:rPr>
              <w:t>ö</w:t>
            </w:r>
            <w:r>
              <w:rPr>
                <w:rFonts w:ascii="Times New Roman" w:hAnsi="Times New Roman"/>
                <w:sz w:val="24"/>
              </w:rPr>
              <w:t>zölt veszteségkorrekciók eredője) csak az aktuális adatszolgáltatási vonatk</w:t>
            </w:r>
            <w:r>
              <w:rPr>
                <w:rFonts w:ascii="Times New Roman" w:hAnsi="Times New Roman"/>
                <w:sz w:val="24"/>
              </w:rPr>
              <w:t>o</w:t>
            </w:r>
            <w:r>
              <w:rPr>
                <w:rFonts w:ascii="Times New Roman" w:hAnsi="Times New Roman"/>
                <w:sz w:val="24"/>
              </w:rPr>
              <w:t>zási időszakban haladta meg a belső adatgyűjtési küszöbértéket.</w:t>
            </w:r>
          </w:p>
          <w:p w:rsidR="00FD54FC" w:rsidRPr="00321A3B" w:rsidRDefault="00FD54FC" w:rsidP="00FD54FC">
            <w:pPr>
              <w:rPr>
                <w:rStyle w:val="InstructionsTabelleberschrift"/>
                <w:rFonts w:ascii="Times New Roman" w:hAnsi="Times New Roman"/>
                <w:sz w:val="24"/>
              </w:rPr>
            </w:pPr>
            <w:r>
              <w:rPr>
                <w:rFonts w:ascii="Times New Roman" w:hAnsi="Times New Roman"/>
                <w:sz w:val="24"/>
              </w:rPr>
              <w:t>Az „új események” nem tartalmazzák az először egy korábbi adatszolgáltatási vonatkozási időszakban elszámolt azon működési kockázati eseményeket, am</w:t>
            </w:r>
            <w:r>
              <w:rPr>
                <w:rFonts w:ascii="Times New Roman" w:hAnsi="Times New Roman"/>
                <w:sz w:val="24"/>
              </w:rPr>
              <w:t>e</w:t>
            </w:r>
            <w:r>
              <w:rPr>
                <w:rFonts w:ascii="Times New Roman" w:hAnsi="Times New Roman"/>
                <w:sz w:val="24"/>
              </w:rPr>
              <w:t>lyekről korábbi felügyeleti jelentésekben már jelentett az intézmény.</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0020, 0120, 0220, 0320, 0420, 0520, 0620, 0720, 0820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Bruttó veszteségérték (új események)</w:t>
            </w:r>
          </w:p>
          <w:p w:rsidR="00FD54FC" w:rsidRPr="00392FFD" w:rsidRDefault="00FD54FC" w:rsidP="00FD54FC">
            <w:pPr>
              <w:rPr>
                <w:rFonts w:ascii="Times New Roman" w:hAnsi="Times New Roman"/>
                <w:sz w:val="24"/>
              </w:rPr>
            </w:pPr>
            <w:r>
              <w:rPr>
                <w:rFonts w:ascii="Times New Roman" w:hAnsi="Times New Roman"/>
                <w:sz w:val="24"/>
              </w:rPr>
              <w:t>A bruttó veszteségérték a működési kockázati eseményekkel összefüggő bruttó veszteség értéke (pl. közvetlen díjfizetések, céltartalékok, elszámolások). Az eseményhez kapcsolódó minden, az adatszolgáltatási vonatkozási időszakban e</w:t>
            </w:r>
            <w:r>
              <w:rPr>
                <w:rFonts w:ascii="Times New Roman" w:hAnsi="Times New Roman"/>
                <w:sz w:val="24"/>
              </w:rPr>
              <w:t>l</w:t>
            </w:r>
            <w:r>
              <w:rPr>
                <w:rFonts w:ascii="Times New Roman" w:hAnsi="Times New Roman"/>
                <w:sz w:val="24"/>
              </w:rPr>
              <w:t>számolt veszteséget össze kell adni, és ez képezi az adott adatszolgáltatási vona</w:t>
            </w:r>
            <w:r>
              <w:rPr>
                <w:rFonts w:ascii="Times New Roman" w:hAnsi="Times New Roman"/>
                <w:sz w:val="24"/>
              </w:rPr>
              <w:t>t</w:t>
            </w:r>
            <w:r>
              <w:rPr>
                <w:rFonts w:ascii="Times New Roman" w:hAnsi="Times New Roman"/>
                <w:sz w:val="24"/>
              </w:rPr>
              <w:t>kozási időszakban az adott eseményhez tartozó bruttó veszteséget.</w:t>
            </w:r>
          </w:p>
          <w:p w:rsidR="00FD54FC" w:rsidRPr="00392FFD" w:rsidRDefault="00FD54FC" w:rsidP="00FD54FC">
            <w:pPr>
              <w:rPr>
                <w:rFonts w:ascii="Times New Roman" w:hAnsi="Times New Roman"/>
                <w:sz w:val="24"/>
              </w:rPr>
            </w:pPr>
            <w:r>
              <w:rPr>
                <w:rFonts w:ascii="Times New Roman" w:hAnsi="Times New Roman"/>
                <w:sz w:val="24"/>
              </w:rPr>
              <w:t>A feltüntetett bruttó veszteségérték a fenti sorban meghatározott „új eseménye</w:t>
            </w:r>
            <w:r>
              <w:rPr>
                <w:rFonts w:ascii="Times New Roman" w:hAnsi="Times New Roman"/>
                <w:sz w:val="24"/>
              </w:rPr>
              <w:t>k</w:t>
            </w:r>
            <w:r>
              <w:rPr>
                <w:rFonts w:ascii="Times New Roman" w:hAnsi="Times New Roman"/>
                <w:sz w:val="24"/>
              </w:rPr>
              <w:t>re” vonatkozik. Az először egy korábbi adatszolgáltatási vonatkozási időszakban elszámolt azon események esetében, amelyekről korábbi felügyeleti jelentése</w:t>
            </w:r>
            <w:r>
              <w:rPr>
                <w:rFonts w:ascii="Times New Roman" w:hAnsi="Times New Roman"/>
                <w:sz w:val="24"/>
              </w:rPr>
              <w:t>k</w:t>
            </w:r>
            <w:r>
              <w:rPr>
                <w:rFonts w:ascii="Times New Roman" w:hAnsi="Times New Roman"/>
                <w:sz w:val="24"/>
              </w:rPr>
              <w:t>ben még nem jelentett az intézmény, az adatszolgáltatási vonatkozási időpontban bruttó veszteségként az adatszolgáltatási vonatkozási időpontig felhalmozott te</w:t>
            </w:r>
            <w:r>
              <w:rPr>
                <w:rFonts w:ascii="Times New Roman" w:hAnsi="Times New Roman"/>
                <w:sz w:val="24"/>
              </w:rPr>
              <w:t>l</w:t>
            </w:r>
            <w:r>
              <w:rPr>
                <w:rFonts w:ascii="Times New Roman" w:hAnsi="Times New Roman"/>
                <w:sz w:val="24"/>
              </w:rPr>
              <w:t xml:space="preserve">jes veszteségértéket kell feltüntetni (azaz az eredeti veszteséget +/– a korábbi adatszolgáltatási vonatkozási időszakokban </w:t>
            </w:r>
            <w:proofErr w:type="gramStart"/>
            <w:r>
              <w:rPr>
                <w:rFonts w:ascii="Times New Roman" w:hAnsi="Times New Roman"/>
                <w:sz w:val="24"/>
              </w:rPr>
              <w:t>eszközölt</w:t>
            </w:r>
            <w:proofErr w:type="gramEnd"/>
            <w:r>
              <w:rPr>
                <w:rFonts w:ascii="Times New Roman" w:hAnsi="Times New Roman"/>
                <w:sz w:val="24"/>
              </w:rPr>
              <w:t xml:space="preserve"> veszteségkorrekciók ered</w:t>
            </w:r>
            <w:r>
              <w:rPr>
                <w:rFonts w:ascii="Times New Roman" w:hAnsi="Times New Roman"/>
                <w:sz w:val="24"/>
              </w:rPr>
              <w:t>ő</w:t>
            </w:r>
            <w:r>
              <w:rPr>
                <w:rFonts w:ascii="Times New Roman" w:hAnsi="Times New Roman"/>
                <w:sz w:val="24"/>
              </w:rPr>
              <w:t>jét).</w:t>
            </w:r>
          </w:p>
          <w:p w:rsidR="00FD54FC" w:rsidRPr="00392FFD" w:rsidRDefault="00FD54FC" w:rsidP="00F52FC6">
            <w:pPr>
              <w:rPr>
                <w:rStyle w:val="InstructionsTabelleberschrift"/>
                <w:rFonts w:ascii="Times New Roman" w:hAnsi="Times New Roman"/>
                <w:sz w:val="24"/>
              </w:rPr>
            </w:pPr>
            <w:r>
              <w:rPr>
                <w:rFonts w:ascii="Times New Roman" w:hAnsi="Times New Roman"/>
                <w:sz w:val="24"/>
              </w:rPr>
              <w:t>A jelentett értékben nem vehető figyelembe a már megtérült veszteség.</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0030, 0130, 0230, 0330, 0430, 0530, 0630, 0730, 0830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Veszteségkorrekcióval érintett események száma</w:t>
            </w:r>
          </w:p>
          <w:p w:rsidR="00FD54FC" w:rsidRPr="00392FFD" w:rsidRDefault="00FD54FC" w:rsidP="00FD54FC">
            <w:pPr>
              <w:rPr>
                <w:rFonts w:ascii="Times New Roman" w:hAnsi="Times New Roman"/>
                <w:sz w:val="24"/>
              </w:rPr>
            </w:pPr>
            <w:r>
              <w:rPr>
                <w:rFonts w:ascii="Times New Roman" w:hAnsi="Times New Roman"/>
                <w:sz w:val="24"/>
              </w:rPr>
              <w:t>A veszteségkorrekcióval érintett események száma az először egy korábbi ada</w:t>
            </w:r>
            <w:r>
              <w:rPr>
                <w:rFonts w:ascii="Times New Roman" w:hAnsi="Times New Roman"/>
                <w:sz w:val="24"/>
              </w:rPr>
              <w:t>t</w:t>
            </w:r>
            <w:r>
              <w:rPr>
                <w:rFonts w:ascii="Times New Roman" w:hAnsi="Times New Roman"/>
                <w:sz w:val="24"/>
              </w:rPr>
              <w:t>szolgáltatási vonatkozási időszakban elszámolt és korábbi jelentésekben már j</w:t>
            </w:r>
            <w:r>
              <w:rPr>
                <w:rFonts w:ascii="Times New Roman" w:hAnsi="Times New Roman"/>
                <w:sz w:val="24"/>
              </w:rPr>
              <w:t>e</w:t>
            </w:r>
            <w:r>
              <w:rPr>
                <w:rFonts w:ascii="Times New Roman" w:hAnsi="Times New Roman"/>
                <w:sz w:val="24"/>
              </w:rPr>
              <w:t>lentett azon működési kockázati események száma, amelyek tekintetében az a</w:t>
            </w:r>
            <w:r>
              <w:rPr>
                <w:rFonts w:ascii="Times New Roman" w:hAnsi="Times New Roman"/>
                <w:sz w:val="24"/>
              </w:rPr>
              <w:t>k</w:t>
            </w:r>
            <w:r>
              <w:rPr>
                <w:rFonts w:ascii="Times New Roman" w:hAnsi="Times New Roman"/>
                <w:sz w:val="24"/>
              </w:rPr>
              <w:t xml:space="preserve">tuális adatszolgáltatási vonatkoztatási időszakban veszteségkorrekciót </w:t>
            </w:r>
            <w:proofErr w:type="gramStart"/>
            <w:r>
              <w:rPr>
                <w:rFonts w:ascii="Times New Roman" w:hAnsi="Times New Roman"/>
                <w:sz w:val="24"/>
              </w:rPr>
              <w:t>eszközö</w:t>
            </w:r>
            <w:r>
              <w:rPr>
                <w:rFonts w:ascii="Times New Roman" w:hAnsi="Times New Roman"/>
                <w:sz w:val="24"/>
              </w:rPr>
              <w:t>l</w:t>
            </w:r>
            <w:r>
              <w:rPr>
                <w:rFonts w:ascii="Times New Roman" w:hAnsi="Times New Roman"/>
                <w:sz w:val="24"/>
              </w:rPr>
              <w:t>tek</w:t>
            </w:r>
            <w:proofErr w:type="gramEnd"/>
            <w:r>
              <w:rPr>
                <w:rFonts w:ascii="Times New Roman" w:hAnsi="Times New Roman"/>
                <w:sz w:val="24"/>
              </w:rPr>
              <w:t xml:space="preserve">. </w:t>
            </w:r>
          </w:p>
          <w:p w:rsidR="00FD54FC" w:rsidRPr="00392FFD" w:rsidRDefault="00FD54FC" w:rsidP="00FD54FC">
            <w:pPr>
              <w:rPr>
                <w:b/>
                <w:sz w:val="24"/>
              </w:rPr>
            </w:pPr>
            <w:r>
              <w:rPr>
                <w:rFonts w:ascii="Times New Roman" w:hAnsi="Times New Roman"/>
                <w:sz w:val="24"/>
              </w:rPr>
              <w:t>Amennyiben az adatszolgáltatási vonatkozási időszakban egy eseményre vona</w:t>
            </w:r>
            <w:r>
              <w:rPr>
                <w:rFonts w:ascii="Times New Roman" w:hAnsi="Times New Roman"/>
                <w:sz w:val="24"/>
              </w:rPr>
              <w:t>t</w:t>
            </w:r>
            <w:r>
              <w:rPr>
                <w:rFonts w:ascii="Times New Roman" w:hAnsi="Times New Roman"/>
                <w:sz w:val="24"/>
              </w:rPr>
              <w:t>kozóan több veszteségkorrekció történt, ezek összegét egy korrekciónak kell t</w:t>
            </w:r>
            <w:r>
              <w:rPr>
                <w:rFonts w:ascii="Times New Roman" w:hAnsi="Times New Roman"/>
                <w:sz w:val="24"/>
              </w:rPr>
              <w:t>e</w:t>
            </w:r>
            <w:r>
              <w:rPr>
                <w:rFonts w:ascii="Times New Roman" w:hAnsi="Times New Roman"/>
                <w:sz w:val="24"/>
              </w:rPr>
              <w:t>kinteni az időszakban.</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Korábbi adatszolgáltatási időszakokhoz kapcsolódó veszteségkorrekciók</w:t>
            </w:r>
          </w:p>
          <w:p w:rsidR="00FD54FC" w:rsidRPr="00392FFD" w:rsidRDefault="00FD54FC" w:rsidP="00FD54FC">
            <w:pPr>
              <w:rPr>
                <w:rFonts w:ascii="Times New Roman" w:hAnsi="Times New Roman"/>
                <w:sz w:val="24"/>
              </w:rPr>
            </w:pPr>
            <w:r>
              <w:rPr>
                <w:rFonts w:ascii="Times New Roman" w:hAnsi="Times New Roman"/>
                <w:sz w:val="24"/>
              </w:rPr>
              <w:t>A korábbi adatszolgáltatási időszakokhoz kapcsolódó veszteségkorrekciókat a következő (pozitív vagy negatív) elemek összegeként kell kiszámolni:</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azon működési kockázati események aktuális adatszolgáltatási vonatkozási időszakban végrehajtott pozitív veszteségkorrekcióival (pl. céltartalék-emelés, kapcsolódó veszteségesemények, kiegészítő elszámolások) össz</w:t>
            </w:r>
            <w:r>
              <w:rPr>
                <w:rFonts w:ascii="Times New Roman" w:hAnsi="Times New Roman"/>
                <w:sz w:val="24"/>
              </w:rPr>
              <w:t>e</w:t>
            </w:r>
            <w:r>
              <w:rPr>
                <w:rFonts w:ascii="Times New Roman" w:hAnsi="Times New Roman"/>
                <w:sz w:val="24"/>
              </w:rPr>
              <w:t>függő bruttó veszteség, amelyeket korábbi adatszolgáltatási vonatkozási id</w:t>
            </w:r>
            <w:r>
              <w:rPr>
                <w:rFonts w:ascii="Times New Roman" w:hAnsi="Times New Roman"/>
                <w:sz w:val="24"/>
              </w:rPr>
              <w:t>ő</w:t>
            </w:r>
            <w:r>
              <w:rPr>
                <w:rFonts w:ascii="Times New Roman" w:hAnsi="Times New Roman"/>
                <w:sz w:val="24"/>
              </w:rPr>
              <w:t>szakban számolt el és jelentett először az intézmény;</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azon működési kockázati események aktuális adatszolgáltatási vonatkozási időszakban végrehajtott negatív veszteségkorrekcióival (pl. céltartalék-csökkentés) összefüggő bruttó veszteség, amelyeket korábbi adatszolgáltat</w:t>
            </w:r>
            <w:r>
              <w:rPr>
                <w:rFonts w:ascii="Times New Roman" w:hAnsi="Times New Roman"/>
                <w:sz w:val="24"/>
              </w:rPr>
              <w:t>á</w:t>
            </w:r>
            <w:r>
              <w:rPr>
                <w:rFonts w:ascii="Times New Roman" w:hAnsi="Times New Roman"/>
                <w:sz w:val="24"/>
              </w:rPr>
              <w:t xml:space="preserve">si vonatkozási időszakban számolt el és jelentett először az intézmény. </w:t>
            </w:r>
          </w:p>
          <w:p w:rsidR="00FD54FC" w:rsidRPr="00392FFD" w:rsidRDefault="00FD54FC" w:rsidP="00FD54FC">
            <w:pPr>
              <w:rPr>
                <w:rFonts w:ascii="Times New Roman" w:hAnsi="Times New Roman"/>
                <w:sz w:val="24"/>
              </w:rPr>
            </w:pPr>
            <w:r>
              <w:rPr>
                <w:rFonts w:ascii="Times New Roman" w:hAnsi="Times New Roman"/>
                <w:sz w:val="24"/>
              </w:rPr>
              <w:t>Amennyiben az adatszolgáltatási vonatkozási időszakban egy eseményre vona</w:t>
            </w:r>
            <w:r>
              <w:rPr>
                <w:rFonts w:ascii="Times New Roman" w:hAnsi="Times New Roman"/>
                <w:sz w:val="24"/>
              </w:rPr>
              <w:t>t</w:t>
            </w:r>
            <w:r>
              <w:rPr>
                <w:rFonts w:ascii="Times New Roman" w:hAnsi="Times New Roman"/>
                <w:sz w:val="24"/>
              </w:rPr>
              <w:t>kozóan több veszteségkorrekció történt, ezek értékét összegezni kell, figyelembe véve a korrekció előjelét (pozitív vagy negatív). Az adott esemény és adatszo</w:t>
            </w:r>
            <w:r>
              <w:rPr>
                <w:rFonts w:ascii="Times New Roman" w:hAnsi="Times New Roman"/>
                <w:sz w:val="24"/>
              </w:rPr>
              <w:t>l</w:t>
            </w:r>
            <w:r>
              <w:rPr>
                <w:rFonts w:ascii="Times New Roman" w:hAnsi="Times New Roman"/>
                <w:sz w:val="24"/>
              </w:rPr>
              <w:t>gáltatási vonatkozási időszak tekintetében ez az összeg tekintendő a vesztesé</w:t>
            </w:r>
            <w:r>
              <w:rPr>
                <w:rFonts w:ascii="Times New Roman" w:hAnsi="Times New Roman"/>
                <w:sz w:val="24"/>
              </w:rPr>
              <w:t>g</w:t>
            </w:r>
            <w:r>
              <w:rPr>
                <w:rFonts w:ascii="Times New Roman" w:hAnsi="Times New Roman"/>
                <w:sz w:val="24"/>
              </w:rPr>
              <w:t>korrekciónak.</w:t>
            </w:r>
          </w:p>
          <w:p w:rsidR="00FD54FC" w:rsidRPr="00392FFD" w:rsidRDefault="00FD54FC" w:rsidP="00FD54FC">
            <w:pPr>
              <w:rPr>
                <w:rFonts w:ascii="Times New Roman" w:hAnsi="Times New Roman"/>
                <w:sz w:val="24"/>
              </w:rPr>
            </w:pPr>
            <w:r>
              <w:rPr>
                <w:rFonts w:ascii="Times New Roman" w:hAnsi="Times New Roman"/>
                <w:sz w:val="24"/>
              </w:rPr>
              <w:t>Amennyiben negatív veszteségkorrekció miatt az eseménynek tulajdonítható k</w:t>
            </w:r>
            <w:r>
              <w:rPr>
                <w:rFonts w:ascii="Times New Roman" w:hAnsi="Times New Roman"/>
                <w:sz w:val="24"/>
              </w:rPr>
              <w:t>i</w:t>
            </w:r>
            <w:r>
              <w:rPr>
                <w:rFonts w:ascii="Times New Roman" w:hAnsi="Times New Roman"/>
                <w:sz w:val="24"/>
              </w:rPr>
              <w:t>igazított veszteségérték az intézmény belső adatgyűjtési küszöbértéke alá csö</w:t>
            </w:r>
            <w:r>
              <w:rPr>
                <w:rFonts w:ascii="Times New Roman" w:hAnsi="Times New Roman"/>
                <w:sz w:val="24"/>
              </w:rPr>
              <w:t>k</w:t>
            </w:r>
            <w:r>
              <w:rPr>
                <w:rFonts w:ascii="Times New Roman" w:hAnsi="Times New Roman"/>
                <w:sz w:val="24"/>
              </w:rPr>
              <w:lastRenderedPageBreak/>
              <w:t>ken, az intézménynek nem magát a negatív veszteségkorrekciót kell jelentenie, hanem negatív előjellel az eseményhez kapcsolódó, az esemény legutóbbi d</w:t>
            </w:r>
            <w:r>
              <w:rPr>
                <w:rFonts w:ascii="Times New Roman" w:hAnsi="Times New Roman"/>
                <w:sz w:val="24"/>
              </w:rPr>
              <w:t>e</w:t>
            </w:r>
            <w:r>
              <w:rPr>
                <w:rFonts w:ascii="Times New Roman" w:hAnsi="Times New Roman"/>
                <w:sz w:val="24"/>
              </w:rPr>
              <w:t>cemberi referencia-időponttal történő jelentéséig felhalmozott teljes veszteségé</w:t>
            </w:r>
            <w:r>
              <w:rPr>
                <w:rFonts w:ascii="Times New Roman" w:hAnsi="Times New Roman"/>
                <w:sz w:val="24"/>
              </w:rPr>
              <w:t>r</w:t>
            </w:r>
            <w:r>
              <w:rPr>
                <w:rFonts w:ascii="Times New Roman" w:hAnsi="Times New Roman"/>
                <w:sz w:val="24"/>
              </w:rPr>
              <w:t>téket (az eredeti veszteség +/– a korábbi adatszolgáltatási vonatkozási időszako</w:t>
            </w:r>
            <w:r>
              <w:rPr>
                <w:rFonts w:ascii="Times New Roman" w:hAnsi="Times New Roman"/>
                <w:sz w:val="24"/>
              </w:rPr>
              <w:t>k</w:t>
            </w:r>
            <w:r>
              <w:rPr>
                <w:rFonts w:ascii="Times New Roman" w:hAnsi="Times New Roman"/>
                <w:sz w:val="24"/>
              </w:rPr>
              <w:t xml:space="preserve">ban </w:t>
            </w:r>
            <w:proofErr w:type="gramStart"/>
            <w:r>
              <w:rPr>
                <w:rFonts w:ascii="Times New Roman" w:hAnsi="Times New Roman"/>
                <w:sz w:val="24"/>
              </w:rPr>
              <w:t>eszközölt</w:t>
            </w:r>
            <w:proofErr w:type="gramEnd"/>
            <w:r>
              <w:rPr>
                <w:rFonts w:ascii="Times New Roman" w:hAnsi="Times New Roman"/>
                <w:sz w:val="24"/>
              </w:rPr>
              <w:t xml:space="preserve"> veszteségkorrekciók eredője).</w:t>
            </w:r>
          </w:p>
          <w:p w:rsidR="00FD54FC" w:rsidRPr="00392FFD" w:rsidRDefault="00FD54FC" w:rsidP="00EB62C2">
            <w:pPr>
              <w:rPr>
                <w:b/>
                <w:sz w:val="24"/>
              </w:rPr>
            </w:pPr>
            <w:r>
              <w:rPr>
                <w:rFonts w:ascii="Times New Roman" w:hAnsi="Times New Roman"/>
                <w:sz w:val="24"/>
              </w:rPr>
              <w:t>A jelentett értékben nem vehető figyelembe a már megtérült veszteség.</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Legnagyobb egyedi veszteség</w:t>
            </w:r>
          </w:p>
          <w:p w:rsidR="00FD54FC" w:rsidRPr="00392FFD" w:rsidRDefault="00FD54FC" w:rsidP="00FD54FC">
            <w:pPr>
              <w:rPr>
                <w:rFonts w:ascii="Times New Roman" w:hAnsi="Times New Roman"/>
                <w:sz w:val="24"/>
              </w:rPr>
            </w:pPr>
            <w:r>
              <w:rPr>
                <w:rFonts w:ascii="Times New Roman" w:hAnsi="Times New Roman"/>
                <w:sz w:val="24"/>
              </w:rPr>
              <w:t>A legnagyobb egyedi veszteség</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az adatszolgáltatási vonatkozási időszakban először jelentett valamely es</w:t>
            </w:r>
            <w:r>
              <w:rPr>
                <w:rFonts w:ascii="Times New Roman" w:hAnsi="Times New Roman"/>
                <w:sz w:val="24"/>
              </w:rPr>
              <w:t>e</w:t>
            </w:r>
            <w:r>
              <w:rPr>
                <w:rFonts w:ascii="Times New Roman" w:hAnsi="Times New Roman"/>
                <w:sz w:val="24"/>
              </w:rPr>
              <w:t>ményhez kapcsolódó legnagyobb bruttó veszteségérték és</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egy korábbi adatszolgáltatási vonatkozási időszakban először jelentett val</w:t>
            </w:r>
            <w:r>
              <w:rPr>
                <w:rFonts w:ascii="Times New Roman" w:hAnsi="Times New Roman"/>
                <w:sz w:val="24"/>
              </w:rPr>
              <w:t>a</w:t>
            </w:r>
            <w:r>
              <w:rPr>
                <w:rFonts w:ascii="Times New Roman" w:hAnsi="Times New Roman"/>
                <w:sz w:val="24"/>
              </w:rPr>
              <w:t>mely eseményhez kapcsolódó legnagyobb (fent meghatározott) pozitív ves</w:t>
            </w:r>
            <w:r>
              <w:rPr>
                <w:rFonts w:ascii="Times New Roman" w:hAnsi="Times New Roman"/>
                <w:sz w:val="24"/>
              </w:rPr>
              <w:t>z</w:t>
            </w:r>
            <w:r>
              <w:rPr>
                <w:rFonts w:ascii="Times New Roman" w:hAnsi="Times New Roman"/>
                <w:sz w:val="24"/>
              </w:rPr>
              <w:t>teségkorrekció közül a nagyobbik.</w:t>
            </w:r>
          </w:p>
          <w:p w:rsidR="00FD54FC" w:rsidRPr="00392FFD" w:rsidRDefault="00FD54FC" w:rsidP="00F52FC6">
            <w:pPr>
              <w:rPr>
                <w:sz w:val="24"/>
              </w:rPr>
            </w:pPr>
            <w:r>
              <w:rPr>
                <w:rFonts w:ascii="Times New Roman" w:hAnsi="Times New Roman"/>
                <w:sz w:val="24"/>
              </w:rPr>
              <w:t>A jelentett értékben nem vehető figyelembe a már megtérült veszteség.</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Az öt legnagyobb veszteség összege</w:t>
            </w:r>
          </w:p>
          <w:p w:rsidR="00FD54FC" w:rsidRPr="00392FFD" w:rsidRDefault="00FD54FC" w:rsidP="00FD54FC">
            <w:pPr>
              <w:rPr>
                <w:rFonts w:ascii="Times New Roman" w:hAnsi="Times New Roman"/>
                <w:sz w:val="24"/>
              </w:rPr>
            </w:pPr>
            <w:r>
              <w:rPr>
                <w:rFonts w:ascii="Times New Roman" w:hAnsi="Times New Roman"/>
                <w:sz w:val="24"/>
              </w:rPr>
              <w:t>Az öt legnagyobb veszteség összege az alábbiak közüli öt legmagasabb érték ö</w:t>
            </w:r>
            <w:r>
              <w:rPr>
                <w:rFonts w:ascii="Times New Roman" w:hAnsi="Times New Roman"/>
                <w:sz w:val="24"/>
              </w:rPr>
              <w:t>s</w:t>
            </w:r>
            <w:r>
              <w:rPr>
                <w:rFonts w:ascii="Times New Roman" w:hAnsi="Times New Roman"/>
                <w:sz w:val="24"/>
              </w:rPr>
              <w:t>szege:</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az adatszolgáltatási vonatkozási időszakban először jelentett eseményekhez kapcsolódó bruttó veszteségértékek és</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egy korábbi adatszolgáltatási vonatkozási időszakban először jelentett es</w:t>
            </w:r>
            <w:r>
              <w:rPr>
                <w:rFonts w:ascii="Times New Roman" w:hAnsi="Times New Roman"/>
                <w:sz w:val="24"/>
              </w:rPr>
              <w:t>e</w:t>
            </w:r>
            <w:r>
              <w:rPr>
                <w:rFonts w:ascii="Times New Roman" w:hAnsi="Times New Roman"/>
                <w:sz w:val="24"/>
              </w:rPr>
              <w:t>ményekhez kapcsolódó (a fenti 040, 140</w:t>
            </w:r>
            <w:proofErr w:type="gramStart"/>
            <w:r>
              <w:rPr>
                <w:rFonts w:ascii="Times New Roman" w:hAnsi="Times New Roman"/>
                <w:sz w:val="24"/>
              </w:rPr>
              <w:t>, …</w:t>
            </w:r>
            <w:proofErr w:type="gramEnd"/>
            <w:r>
              <w:rPr>
                <w:rFonts w:ascii="Times New Roman" w:hAnsi="Times New Roman"/>
                <w:sz w:val="24"/>
              </w:rPr>
              <w:t>, 840 sorokban meghatározott) pozitív veszteségkorrekciók. Az öt legmagasabb összeg között csak maga a veszteségkorrekció összege vehető számításba, nem pedig az adott es</w:t>
            </w:r>
            <w:r>
              <w:rPr>
                <w:rFonts w:ascii="Times New Roman" w:hAnsi="Times New Roman"/>
                <w:sz w:val="24"/>
              </w:rPr>
              <w:t>e</w:t>
            </w:r>
            <w:r>
              <w:rPr>
                <w:rFonts w:ascii="Times New Roman" w:hAnsi="Times New Roman"/>
                <w:sz w:val="24"/>
              </w:rPr>
              <w:t>ményhez kapcsolódó, a korrekció előtti vagy utáni teljes veszteségérték.</w:t>
            </w:r>
          </w:p>
          <w:p w:rsidR="00FD54FC" w:rsidRPr="00392FFD" w:rsidRDefault="00FD54FC" w:rsidP="00F52FC6">
            <w:pPr>
              <w:rPr>
                <w:sz w:val="24"/>
              </w:rPr>
            </w:pPr>
            <w:r>
              <w:rPr>
                <w:rFonts w:ascii="Times New Roman" w:hAnsi="Times New Roman"/>
                <w:sz w:val="24"/>
              </w:rPr>
              <w:t>A jelentett értékben nem vehető figyelembe a már megtérült veszteség.</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rsidR="00FD54FC" w:rsidRPr="00392FFD" w:rsidRDefault="00B34B0B" w:rsidP="00FD54FC">
            <w:pPr>
              <w:rPr>
                <w:sz w:val="24"/>
              </w:rPr>
            </w:pPr>
            <w:r>
              <w:rPr>
                <w:rStyle w:val="InstructionsTabelleberschrift"/>
                <w:rFonts w:ascii="Times New Roman" w:hAnsi="Times New Roman"/>
                <w:sz w:val="24"/>
              </w:rPr>
              <w:t>Teljes közvetlen megtérült veszteség</w:t>
            </w:r>
          </w:p>
          <w:p w:rsidR="00FD54FC" w:rsidRPr="00392FFD" w:rsidRDefault="00FD54FC" w:rsidP="00FD54FC">
            <w:pPr>
              <w:rPr>
                <w:rFonts w:ascii="Times New Roman" w:hAnsi="Times New Roman"/>
                <w:sz w:val="24"/>
              </w:rPr>
            </w:pPr>
            <w:r>
              <w:rPr>
                <w:rFonts w:ascii="Times New Roman" w:hAnsi="Times New Roman"/>
                <w:sz w:val="24"/>
              </w:rPr>
              <w:t xml:space="preserve">A közvetlen megtérült veszteség valamennyi megtérült veszteség a CRR 323. cikkének hatálya alá tartozó, az alábbi sorban jelentett megtérülések kivételével. </w:t>
            </w:r>
          </w:p>
          <w:p w:rsidR="00FD54FC" w:rsidRPr="00392FFD" w:rsidRDefault="00FD54FC" w:rsidP="00FD54FC">
            <w:pPr>
              <w:rPr>
                <w:b/>
                <w:sz w:val="24"/>
              </w:rPr>
            </w:pPr>
            <w:r>
              <w:rPr>
                <w:rFonts w:ascii="Times New Roman" w:hAnsi="Times New Roman"/>
                <w:sz w:val="24"/>
              </w:rPr>
              <w:t>A teljes közvetlenül megtérült veszteség az aktuális vagy a korábbi adatszolgált</w:t>
            </w:r>
            <w:r>
              <w:rPr>
                <w:rFonts w:ascii="Times New Roman" w:hAnsi="Times New Roman"/>
                <w:sz w:val="24"/>
              </w:rPr>
              <w:t>a</w:t>
            </w:r>
            <w:r>
              <w:rPr>
                <w:rFonts w:ascii="Times New Roman" w:hAnsi="Times New Roman"/>
                <w:sz w:val="24"/>
              </w:rPr>
              <w:t>tási vonatkoztatási időszakban először elszámolt működési kockázati esem</w:t>
            </w:r>
            <w:r>
              <w:rPr>
                <w:rFonts w:ascii="Times New Roman" w:hAnsi="Times New Roman"/>
                <w:sz w:val="24"/>
              </w:rPr>
              <w:t>é</w:t>
            </w:r>
            <w:r>
              <w:rPr>
                <w:rFonts w:ascii="Times New Roman" w:hAnsi="Times New Roman"/>
                <w:sz w:val="24"/>
              </w:rPr>
              <w:t>nyekkel összefüggő, az aktuális adatszolgáltatási időszakban elszámolt közvetlen megtérült veszteségek és ezek korrekcióinak összege.</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 xml:space="preserve">0080, 0180, 0280, 0380, 0480, 0580, 0680, 0780, </w:t>
            </w:r>
            <w:r>
              <w:rPr>
                <w:rFonts w:ascii="Times New Roman" w:hAnsi="Times New Roman"/>
                <w:sz w:val="24"/>
              </w:rPr>
              <w:lastRenderedPageBreak/>
              <w:t>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Biztosításból és más kockázat-átruházási mechanizmusokból származó teljes megtérülés</w:t>
            </w:r>
          </w:p>
          <w:p w:rsidR="00FD54FC" w:rsidRPr="00392FFD" w:rsidRDefault="00FD54FC" w:rsidP="00FD54FC">
            <w:pPr>
              <w:rPr>
                <w:rFonts w:ascii="Times New Roman" w:hAnsi="Times New Roman"/>
                <w:sz w:val="24"/>
              </w:rPr>
            </w:pPr>
            <w:r>
              <w:rPr>
                <w:rFonts w:ascii="Times New Roman" w:hAnsi="Times New Roman"/>
                <w:sz w:val="24"/>
              </w:rPr>
              <w:t xml:space="preserve">A CRR 323. cikkének hatálya alá tartozó megtérülések tartoznak ide. </w:t>
            </w:r>
          </w:p>
          <w:p w:rsidR="00FD54FC" w:rsidRPr="00392FFD" w:rsidRDefault="00FD54FC" w:rsidP="00070AF9">
            <w:pPr>
              <w:rPr>
                <w:sz w:val="24"/>
              </w:rPr>
            </w:pPr>
            <w:r>
              <w:rPr>
                <w:rFonts w:ascii="Times New Roman" w:hAnsi="Times New Roman"/>
                <w:sz w:val="24"/>
              </w:rPr>
              <w:t xml:space="preserve">A biztosításból és más kockázat-átruházási mechanizmusokból származó teljes megtérülés az aktuális vagy a korábbi adatszolgáltatási vonatkoztatási időszakban először elszámolt működési kockázati eseményekkel összefüggő, az aktuális adatszolgáltatási időszakban elszámolt, biztosításból és más kockázat-átruházási </w:t>
            </w:r>
            <w:r>
              <w:rPr>
                <w:rFonts w:ascii="Times New Roman" w:hAnsi="Times New Roman"/>
                <w:sz w:val="24"/>
              </w:rPr>
              <w:lastRenderedPageBreak/>
              <w:t>mechanizmusokból származó megtérülések és ezek korrekcióinak összege.</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lastRenderedPageBreak/>
              <w:t>0910-0980</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ÜZLETÁGAK ÖSSZESEN</w:t>
            </w:r>
          </w:p>
          <w:p w:rsidR="00FD54FC" w:rsidRPr="00392FFD" w:rsidRDefault="00FD54FC" w:rsidP="00FD54FC">
            <w:pPr>
              <w:rPr>
                <w:rFonts w:ascii="Times New Roman" w:hAnsi="Times New Roman"/>
                <w:sz w:val="24"/>
              </w:rPr>
            </w:pPr>
            <w:r>
              <w:rPr>
                <w:rFonts w:ascii="Times New Roman" w:hAnsi="Times New Roman"/>
                <w:sz w:val="24"/>
              </w:rPr>
              <w:t>Az üzletágak összesen sorokon a CRR 322. cikke (3) bekezdése b), c) és e) pon</w:t>
            </w:r>
            <w:r>
              <w:rPr>
                <w:rFonts w:ascii="Times New Roman" w:hAnsi="Times New Roman"/>
                <w:sz w:val="24"/>
              </w:rPr>
              <w:t>t</w:t>
            </w:r>
            <w:r>
              <w:rPr>
                <w:rFonts w:ascii="Times New Roman" w:hAnsi="Times New Roman"/>
                <w:sz w:val="24"/>
              </w:rPr>
              <w:t>jának megfelelően az összesítő információkat kell feltüntetni az egyes esemén</w:t>
            </w:r>
            <w:r>
              <w:rPr>
                <w:rFonts w:ascii="Times New Roman" w:hAnsi="Times New Roman"/>
                <w:sz w:val="24"/>
              </w:rPr>
              <w:t>y</w:t>
            </w:r>
            <w:r>
              <w:rPr>
                <w:rFonts w:ascii="Times New Roman" w:hAnsi="Times New Roman"/>
                <w:sz w:val="24"/>
              </w:rPr>
              <w:t>típusok (010–080. oszlop) szerint.</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0910-0914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Események száma</w:t>
            </w:r>
          </w:p>
          <w:p w:rsidR="00FD54FC" w:rsidRPr="00392FFD" w:rsidRDefault="00FD54FC" w:rsidP="00FD54FC">
            <w:pPr>
              <w:rPr>
                <w:rFonts w:ascii="Times New Roman" w:hAnsi="Times New Roman"/>
                <w:sz w:val="24"/>
              </w:rPr>
            </w:pPr>
            <w:r>
              <w:rPr>
                <w:rFonts w:ascii="Times New Roman" w:hAnsi="Times New Roman"/>
                <w:sz w:val="24"/>
              </w:rPr>
              <w:t>A 910-es sorban feltüntetendő a belső küszöbértéket meghaladó események sz</w:t>
            </w:r>
            <w:r>
              <w:rPr>
                <w:rFonts w:ascii="Times New Roman" w:hAnsi="Times New Roman"/>
                <w:sz w:val="24"/>
              </w:rPr>
              <w:t>á</w:t>
            </w:r>
            <w:r>
              <w:rPr>
                <w:rFonts w:ascii="Times New Roman" w:hAnsi="Times New Roman"/>
                <w:sz w:val="24"/>
              </w:rPr>
              <w:t>ma eseménytípusonként az összes üzletágra összesítve. Lehetséges, hogy ez az érték alacsonyabb az üzletáganként összesített eseményszámnál, mivel a többsz</w:t>
            </w:r>
            <w:r>
              <w:rPr>
                <w:rFonts w:ascii="Times New Roman" w:hAnsi="Times New Roman"/>
                <w:sz w:val="24"/>
              </w:rPr>
              <w:t>ö</w:t>
            </w:r>
            <w:r>
              <w:rPr>
                <w:rFonts w:ascii="Times New Roman" w:hAnsi="Times New Roman"/>
                <w:sz w:val="24"/>
              </w:rPr>
              <w:t>rös hatású (több üzletágat érintő) események egy eseménynek minősülnek. Az é</w:t>
            </w:r>
            <w:r>
              <w:rPr>
                <w:rFonts w:ascii="Times New Roman" w:hAnsi="Times New Roman"/>
                <w:sz w:val="24"/>
              </w:rPr>
              <w:t>r</w:t>
            </w:r>
            <w:r>
              <w:rPr>
                <w:rFonts w:ascii="Times New Roman" w:hAnsi="Times New Roman"/>
                <w:sz w:val="24"/>
              </w:rPr>
              <w:t>ték ennél magasabb is lehet, ha a szavatolótőke-követelményt az alapmutató módszere szerint számító intézmény nem tudja miden esetben azonosítani a ves</w:t>
            </w:r>
            <w:r>
              <w:rPr>
                <w:rFonts w:ascii="Times New Roman" w:hAnsi="Times New Roman"/>
                <w:sz w:val="24"/>
              </w:rPr>
              <w:t>z</w:t>
            </w:r>
            <w:r>
              <w:rPr>
                <w:rFonts w:ascii="Times New Roman" w:hAnsi="Times New Roman"/>
                <w:sz w:val="24"/>
              </w:rPr>
              <w:t>teség által érintett üzletágat.</w:t>
            </w:r>
          </w:p>
          <w:p w:rsidR="00FD54FC" w:rsidRPr="00392FFD" w:rsidRDefault="00FD54FC" w:rsidP="00FD54FC">
            <w:pPr>
              <w:rPr>
                <w:rFonts w:ascii="Times New Roman" w:hAnsi="Times New Roman"/>
                <w:sz w:val="24"/>
              </w:rPr>
            </w:pPr>
            <w:r>
              <w:rPr>
                <w:rFonts w:ascii="Times New Roman" w:hAnsi="Times New Roman"/>
                <w:sz w:val="24"/>
              </w:rPr>
              <w:t>A 911–914. sorban azon események száma jelentendő, amelyek bruttó vesztesé</w:t>
            </w:r>
            <w:r>
              <w:rPr>
                <w:rFonts w:ascii="Times New Roman" w:hAnsi="Times New Roman"/>
                <w:sz w:val="24"/>
              </w:rPr>
              <w:t>g</w:t>
            </w:r>
            <w:r>
              <w:rPr>
                <w:rFonts w:ascii="Times New Roman" w:hAnsi="Times New Roman"/>
                <w:sz w:val="24"/>
              </w:rPr>
              <w:t>értéke a vonatkozó sorban megadott tartományba esik.</w:t>
            </w:r>
          </w:p>
          <w:p w:rsidR="00FD54FC" w:rsidRPr="00392FFD" w:rsidRDefault="00FD54FC" w:rsidP="00FD54FC">
            <w:pPr>
              <w:rPr>
                <w:rFonts w:ascii="Times New Roman" w:hAnsi="Times New Roman"/>
                <w:sz w:val="24"/>
              </w:rPr>
            </w:pPr>
            <w:r>
              <w:rPr>
                <w:rFonts w:ascii="Times New Roman" w:hAnsi="Times New Roman"/>
                <w:sz w:val="24"/>
              </w:rPr>
              <w:t>Feltéve, hogy az intézmény valamennyi veszteségét hozzárendelte a CRR 317. cikke (4) bekezdésében szereplő 2. táblázatban felsorolt üzletágak valamelyi</w:t>
            </w:r>
            <w:r>
              <w:rPr>
                <w:rFonts w:ascii="Times New Roman" w:hAnsi="Times New Roman"/>
                <w:sz w:val="24"/>
              </w:rPr>
              <w:t>k</w:t>
            </w:r>
            <w:r>
              <w:rPr>
                <w:rFonts w:ascii="Times New Roman" w:hAnsi="Times New Roman"/>
                <w:sz w:val="24"/>
              </w:rPr>
              <w:t>éhez vagy a CRR 322. cikke (3) bekezdésének b) pontjában említett „társasági szintű tételek” üzletághoz, illetve hogy minden veszteség esetében azonosította az eseménytípust, a 080-as oszlopra a következők vonatkoznak:</w:t>
            </w:r>
          </w:p>
          <w:p w:rsidR="00FD54FC" w:rsidRPr="00392FFD"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A 910–914. sorokban jelentett teljes eseményszám megegyezik a megfelelő sorban szereplő eseményszámok vízszintes összegével, mivel ezen adatok között a több üzletágat érintő eseményeket már egy eseményként számították be.</w:t>
            </w:r>
          </w:p>
          <w:p w:rsidR="00FD54FC" w:rsidRPr="00392FFD" w:rsidRDefault="00125707" w:rsidP="0023700C">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A 910-es sor 080-as oszlopban feltüntetett adata nem feltétlenül egyezik meg a 080-as oszlopban szereplő eseményszámok függőleges összegével, mivel egy esemény egyszerre több üzletágat is érinthet.</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0920-0924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Bruttó veszteségérték (új események)</w:t>
            </w:r>
          </w:p>
          <w:p w:rsidR="00FD54FC" w:rsidRPr="00392FFD" w:rsidRDefault="00FD54FC" w:rsidP="00FD54FC">
            <w:pPr>
              <w:rPr>
                <w:rFonts w:ascii="Times New Roman" w:hAnsi="Times New Roman"/>
                <w:sz w:val="24"/>
              </w:rPr>
            </w:pPr>
            <w:r>
              <w:rPr>
                <w:rFonts w:ascii="Times New Roman" w:hAnsi="Times New Roman"/>
                <w:sz w:val="24"/>
              </w:rPr>
              <w:t>Feltéve, hogy az intézmény valamennyi veszteségét hozzárendelte a CRR 317. cikke (4) bekezdésében szereplő 2. táblázatban felsorolt üzletágak valam</w:t>
            </w:r>
            <w:r>
              <w:rPr>
                <w:rFonts w:ascii="Times New Roman" w:hAnsi="Times New Roman"/>
                <w:sz w:val="24"/>
              </w:rPr>
              <w:t>e</w:t>
            </w:r>
            <w:r>
              <w:rPr>
                <w:rFonts w:ascii="Times New Roman" w:hAnsi="Times New Roman"/>
                <w:sz w:val="24"/>
              </w:rPr>
              <w:t>lyikéhez vagy a CRR 322. cikke (3) bekezdésének b) pontjában említett „társas</w:t>
            </w:r>
            <w:r>
              <w:rPr>
                <w:rFonts w:ascii="Times New Roman" w:hAnsi="Times New Roman"/>
                <w:sz w:val="24"/>
              </w:rPr>
              <w:t>á</w:t>
            </w:r>
            <w:r>
              <w:rPr>
                <w:rFonts w:ascii="Times New Roman" w:hAnsi="Times New Roman"/>
                <w:sz w:val="24"/>
              </w:rPr>
              <w:t xml:space="preserve">gi szintű tételek” üzletághoz, a 920-as sorban jelentett bruttó veszteségérték (új események) az új események egyes üzletágak szerinti bruttó veszteségértékeinek összege.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A 921–924. sorban azon események bruttó veszteségértéke jelentendő, amelyek bruttó veszteségértéke a vonatkozó sorban megadott tartományba esik.</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0930, 0935, 0936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Veszteségkorrekcióval érintett események száma</w:t>
            </w:r>
          </w:p>
          <w:p w:rsidR="00FD54FC" w:rsidRPr="00392FFD" w:rsidRDefault="00FD54FC" w:rsidP="00FD54FC">
            <w:pPr>
              <w:rPr>
                <w:rFonts w:ascii="Times New Roman" w:hAnsi="Times New Roman"/>
                <w:sz w:val="24"/>
              </w:rPr>
            </w:pPr>
            <w:r>
              <w:rPr>
                <w:rFonts w:ascii="Times New Roman" w:hAnsi="Times New Roman"/>
                <w:sz w:val="24"/>
              </w:rPr>
              <w:t>A 930-as sorban a 030, 130</w:t>
            </w:r>
            <w:proofErr w:type="gramStart"/>
            <w:r>
              <w:rPr>
                <w:rFonts w:ascii="Times New Roman" w:hAnsi="Times New Roman"/>
                <w:sz w:val="24"/>
              </w:rPr>
              <w:t>, …</w:t>
            </w:r>
            <w:proofErr w:type="gramEnd"/>
            <w:r>
              <w:rPr>
                <w:rFonts w:ascii="Times New Roman" w:hAnsi="Times New Roman"/>
                <w:sz w:val="24"/>
              </w:rPr>
              <w:t>, 830-as sorokban meghatározott, veszteségko</w:t>
            </w:r>
            <w:r>
              <w:rPr>
                <w:rFonts w:ascii="Times New Roman" w:hAnsi="Times New Roman"/>
                <w:sz w:val="24"/>
              </w:rPr>
              <w:t>r</w:t>
            </w:r>
            <w:r>
              <w:rPr>
                <w:rFonts w:ascii="Times New Roman" w:hAnsi="Times New Roman"/>
                <w:sz w:val="24"/>
              </w:rPr>
              <w:t>rekcióval érintett események teljes száma jelentendő. Lehetséges, hogy ez az é</w:t>
            </w:r>
            <w:r>
              <w:rPr>
                <w:rFonts w:ascii="Times New Roman" w:hAnsi="Times New Roman"/>
                <w:sz w:val="24"/>
              </w:rPr>
              <w:t>r</w:t>
            </w:r>
            <w:r>
              <w:rPr>
                <w:rFonts w:ascii="Times New Roman" w:hAnsi="Times New Roman"/>
                <w:sz w:val="24"/>
              </w:rPr>
              <w:t>ték alacsonyabb a veszteségkorrekcióval érintett, üzletáganként összesített es</w:t>
            </w:r>
            <w:r>
              <w:rPr>
                <w:rFonts w:ascii="Times New Roman" w:hAnsi="Times New Roman"/>
                <w:sz w:val="24"/>
              </w:rPr>
              <w:t>e</w:t>
            </w:r>
            <w:r>
              <w:rPr>
                <w:rFonts w:ascii="Times New Roman" w:hAnsi="Times New Roman"/>
                <w:sz w:val="24"/>
              </w:rPr>
              <w:t>ményszámnál, mivel a többszörös hatású (több üzletágat érintő) események egy eseménynek minősülnek. Az érték ennél magasabb is lehet, ha a szavatolótőke-</w:t>
            </w:r>
            <w:r>
              <w:rPr>
                <w:rFonts w:ascii="Times New Roman" w:hAnsi="Times New Roman"/>
                <w:sz w:val="24"/>
              </w:rPr>
              <w:lastRenderedPageBreak/>
              <w:t>követelményt az alapmutató módszere szerint számító intézmény nem tudja m</w:t>
            </w:r>
            <w:r>
              <w:rPr>
                <w:rFonts w:ascii="Times New Roman" w:hAnsi="Times New Roman"/>
                <w:sz w:val="24"/>
              </w:rPr>
              <w:t>i</w:t>
            </w:r>
            <w:r>
              <w:rPr>
                <w:rFonts w:ascii="Times New Roman" w:hAnsi="Times New Roman"/>
                <w:sz w:val="24"/>
              </w:rPr>
              <w:t>den esetben azonosítani a veszteség által érintett üzletágat.</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A veszteségkorrekcióval érintett események számát le kell bontani az adatszo</w:t>
            </w:r>
            <w:r>
              <w:rPr>
                <w:rFonts w:ascii="Times New Roman" w:hAnsi="Times New Roman"/>
                <w:sz w:val="24"/>
              </w:rPr>
              <w:t>l</w:t>
            </w:r>
            <w:r>
              <w:rPr>
                <w:rFonts w:ascii="Times New Roman" w:hAnsi="Times New Roman"/>
                <w:sz w:val="24"/>
              </w:rPr>
              <w:t>gáltatási időszakban pozitív veszteségkorrekcióval érintett események száma és az adatszolgáltatási időszakban negatív veszteségkorrekcióval érintett események száma szerint (mindkettőt pozitív előjellel kell feltüntetni).</w:t>
            </w:r>
          </w:p>
        </w:tc>
      </w:tr>
      <w:tr w:rsidR="00FD54FC" w:rsidRPr="00392FFD" w:rsidTr="00672D2A">
        <w:tc>
          <w:tcPr>
            <w:tcW w:w="1101" w:type="dxa"/>
          </w:tcPr>
          <w:p w:rsidR="00FD54FC" w:rsidRPr="00392FFD" w:rsidRDefault="00C93FC2" w:rsidP="00FD54FC">
            <w:pPr>
              <w:rPr>
                <w:rFonts w:ascii="Times New Roman" w:hAnsi="Times New Roman"/>
                <w:sz w:val="24"/>
              </w:rPr>
            </w:pPr>
            <w:r>
              <w:rPr>
                <w:rFonts w:ascii="Times New Roman" w:hAnsi="Times New Roman"/>
                <w:sz w:val="24"/>
              </w:rPr>
              <w:lastRenderedPageBreak/>
              <w:t>0940, 0945, 0946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Korábbi adatszolgáltatási időszakokhoz kapcsolódó veszteségkorrekciók</w:t>
            </w:r>
          </w:p>
          <w:p w:rsidR="00FD54FC" w:rsidRPr="00392FFD" w:rsidRDefault="00FD54FC" w:rsidP="00FD54FC">
            <w:pPr>
              <w:rPr>
                <w:rFonts w:ascii="Times New Roman" w:hAnsi="Times New Roman"/>
                <w:sz w:val="24"/>
              </w:rPr>
            </w:pPr>
            <w:r>
              <w:rPr>
                <w:rFonts w:ascii="Times New Roman" w:hAnsi="Times New Roman"/>
                <w:sz w:val="24"/>
              </w:rPr>
              <w:t>A 940-es sorban az üzletáganként a 040, 140</w:t>
            </w:r>
            <w:proofErr w:type="gramStart"/>
            <w:r>
              <w:rPr>
                <w:rFonts w:ascii="Times New Roman" w:hAnsi="Times New Roman"/>
                <w:sz w:val="24"/>
              </w:rPr>
              <w:t>, …</w:t>
            </w:r>
            <w:proofErr w:type="gramEnd"/>
            <w:r>
              <w:rPr>
                <w:rFonts w:ascii="Times New Roman" w:hAnsi="Times New Roman"/>
                <w:sz w:val="24"/>
              </w:rPr>
              <w:t>, 840-es sorokban meghatározott, korábbi adatszolgáltatási időszakokhoz kapcsolódó veszteségkorrekciók teljes összege jelentendő. Feltéve, hogy az intézmény valamennyi veszteségét hozz</w:t>
            </w:r>
            <w:r>
              <w:rPr>
                <w:rFonts w:ascii="Times New Roman" w:hAnsi="Times New Roman"/>
                <w:sz w:val="24"/>
              </w:rPr>
              <w:t>á</w:t>
            </w:r>
            <w:r>
              <w:rPr>
                <w:rFonts w:ascii="Times New Roman" w:hAnsi="Times New Roman"/>
                <w:sz w:val="24"/>
              </w:rPr>
              <w:t>rendelte a CRR 317. cikke (4) bekezdésében szereplő 2. táblázatban felsorolt ü</w:t>
            </w:r>
            <w:r>
              <w:rPr>
                <w:rFonts w:ascii="Times New Roman" w:hAnsi="Times New Roman"/>
                <w:sz w:val="24"/>
              </w:rPr>
              <w:t>z</w:t>
            </w:r>
            <w:r>
              <w:rPr>
                <w:rFonts w:ascii="Times New Roman" w:hAnsi="Times New Roman"/>
                <w:sz w:val="24"/>
              </w:rPr>
              <w:t>letágak valamelyikéhez vagy a CRR 322. cikke (3) bekezdésének b) pontjában említett „társasági szintű tételek” üzletághoz, a 940-es sorban jelentett összeg a korábbi adatszolgáltatási időszakokhoz kapcsolódó veszteségkorrekciók egyes üzletágak szerinti értékeinek összege.</w:t>
            </w:r>
          </w:p>
          <w:p w:rsidR="00FD54FC" w:rsidRPr="00392FFD" w:rsidRDefault="00FD54FC" w:rsidP="00070AF9">
            <w:pPr>
              <w:rPr>
                <w:sz w:val="24"/>
              </w:rPr>
            </w:pPr>
            <w:r>
              <w:rPr>
                <w:rFonts w:ascii="Times New Roman" w:hAnsi="Times New Roman"/>
                <w:sz w:val="24"/>
              </w:rPr>
              <w:t>A veszteségkorrekciók összegét le kell bontani az adatszolgáltatási időszakban pozitív veszteségkorrekcióval érintett eseményekhez kapcsolódó összeg (945-ös sor, pozitív előjellel) és az adatszolgáltatási időszakban negatív veszteségkorre</w:t>
            </w:r>
            <w:r>
              <w:rPr>
                <w:rFonts w:ascii="Times New Roman" w:hAnsi="Times New Roman"/>
                <w:sz w:val="24"/>
              </w:rPr>
              <w:t>k</w:t>
            </w:r>
            <w:r>
              <w:rPr>
                <w:rFonts w:ascii="Times New Roman" w:hAnsi="Times New Roman"/>
                <w:sz w:val="24"/>
              </w:rPr>
              <w:t>cióval érintett eseményekhez kapcsolódó összeg szerint (946-os sor, negatív el</w:t>
            </w:r>
            <w:r>
              <w:rPr>
                <w:rFonts w:ascii="Times New Roman" w:hAnsi="Times New Roman"/>
                <w:sz w:val="24"/>
              </w:rPr>
              <w:t>ő</w:t>
            </w:r>
            <w:r>
              <w:rPr>
                <w:rFonts w:ascii="Times New Roman" w:hAnsi="Times New Roman"/>
                <w:sz w:val="24"/>
              </w:rPr>
              <w:t>jellel). Amennyiben negatív veszteségkorrekció miatt az eseménynek tulajdoní</w:t>
            </w:r>
            <w:r>
              <w:rPr>
                <w:rFonts w:ascii="Times New Roman" w:hAnsi="Times New Roman"/>
                <w:sz w:val="24"/>
              </w:rPr>
              <w:t>t</w:t>
            </w:r>
            <w:r>
              <w:rPr>
                <w:rFonts w:ascii="Times New Roman" w:hAnsi="Times New Roman"/>
                <w:sz w:val="24"/>
              </w:rPr>
              <w:t>ható kiigazított veszteségérték az intézmény belső adatgyűjtési küszöbértéke alá csökken, az intézménynek nem magát a negatív veszteségkorrekciót kell jelent</w:t>
            </w:r>
            <w:r>
              <w:rPr>
                <w:rFonts w:ascii="Times New Roman" w:hAnsi="Times New Roman"/>
                <w:sz w:val="24"/>
              </w:rPr>
              <w:t>e</w:t>
            </w:r>
            <w:r>
              <w:rPr>
                <w:rFonts w:ascii="Times New Roman" w:hAnsi="Times New Roman"/>
                <w:sz w:val="24"/>
              </w:rPr>
              <w:t>nie, hanem a 946-os sorban negatív előjellel az eseményhez kapcsolódó, az es</w:t>
            </w:r>
            <w:r>
              <w:rPr>
                <w:rFonts w:ascii="Times New Roman" w:hAnsi="Times New Roman"/>
                <w:sz w:val="24"/>
              </w:rPr>
              <w:t>e</w:t>
            </w:r>
            <w:r>
              <w:rPr>
                <w:rFonts w:ascii="Times New Roman" w:hAnsi="Times New Roman"/>
                <w:sz w:val="24"/>
              </w:rPr>
              <w:t>mény legutóbbi decemberi referencia-időponttal történő jelentéséig felhalmozott teljes veszteségértéket (az eredeti veszteség +/– a korábbi adatszolgáltatási v</w:t>
            </w:r>
            <w:r>
              <w:rPr>
                <w:rFonts w:ascii="Times New Roman" w:hAnsi="Times New Roman"/>
                <w:sz w:val="24"/>
              </w:rPr>
              <w:t>o</w:t>
            </w:r>
            <w:r>
              <w:rPr>
                <w:rFonts w:ascii="Times New Roman" w:hAnsi="Times New Roman"/>
                <w:sz w:val="24"/>
              </w:rPr>
              <w:t xml:space="preserve">natkozási időszakokban </w:t>
            </w:r>
            <w:proofErr w:type="gramStart"/>
            <w:r>
              <w:rPr>
                <w:rFonts w:ascii="Times New Roman" w:hAnsi="Times New Roman"/>
                <w:sz w:val="24"/>
              </w:rPr>
              <w:t>eszközölt</w:t>
            </w:r>
            <w:proofErr w:type="gramEnd"/>
            <w:r>
              <w:rPr>
                <w:rFonts w:ascii="Times New Roman" w:hAnsi="Times New Roman"/>
                <w:sz w:val="24"/>
              </w:rPr>
              <w:t xml:space="preserve"> veszteségkorrekciók eredője).</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417984"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417984"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Legnagyobb egyedi veszteség</w:t>
            </w:r>
          </w:p>
          <w:p w:rsidR="00FD54FC" w:rsidRPr="00392FFD" w:rsidRDefault="00FD54FC" w:rsidP="00FD54FC">
            <w:pPr>
              <w:rPr>
                <w:rFonts w:ascii="Times New Roman" w:hAnsi="Times New Roman"/>
                <w:sz w:val="24"/>
              </w:rPr>
            </w:pPr>
            <w:r>
              <w:rPr>
                <w:rFonts w:ascii="Times New Roman" w:hAnsi="Times New Roman"/>
                <w:sz w:val="24"/>
              </w:rPr>
              <w:t>Feltéve, hogy az intézmény valamennyi veszteségét hozzárendelte a CRR 317. cikke (4) bekezdésében szereplő 2. táblázatban felsorolt üzletágak valam</w:t>
            </w:r>
            <w:r>
              <w:rPr>
                <w:rFonts w:ascii="Times New Roman" w:hAnsi="Times New Roman"/>
                <w:sz w:val="24"/>
              </w:rPr>
              <w:t>e</w:t>
            </w:r>
            <w:r>
              <w:rPr>
                <w:rFonts w:ascii="Times New Roman" w:hAnsi="Times New Roman"/>
                <w:sz w:val="24"/>
              </w:rPr>
              <w:t>lyikéhez vagy a CRR 322. cikke (3) bekezdésének b) pontjában említett „társas</w:t>
            </w:r>
            <w:r>
              <w:rPr>
                <w:rFonts w:ascii="Times New Roman" w:hAnsi="Times New Roman"/>
                <w:sz w:val="24"/>
              </w:rPr>
              <w:t>á</w:t>
            </w:r>
            <w:r>
              <w:rPr>
                <w:rFonts w:ascii="Times New Roman" w:hAnsi="Times New Roman"/>
                <w:sz w:val="24"/>
              </w:rPr>
              <w:t>gi szintű tételek” üzletághoz, a legnagyobb egyedi veszteség a belső küszöbért</w:t>
            </w:r>
            <w:r>
              <w:rPr>
                <w:rFonts w:ascii="Times New Roman" w:hAnsi="Times New Roman"/>
                <w:sz w:val="24"/>
              </w:rPr>
              <w:t>é</w:t>
            </w:r>
            <w:r>
              <w:rPr>
                <w:rFonts w:ascii="Times New Roman" w:hAnsi="Times New Roman"/>
                <w:sz w:val="24"/>
              </w:rPr>
              <w:t>ket meghaladó legnagyobb veszteség az egyes eseménytípusokon belül, minden üzletágra vonatkozóan. Abban az esetben, ha egy esemény több üzletágat is érint, ez az adat magasabb lehet, mint az egyes üzletágaknál rögzített legmagasabb egyedi veszteség értéke.</w:t>
            </w:r>
          </w:p>
          <w:p w:rsidR="00FD54FC" w:rsidRPr="00392FFD" w:rsidRDefault="00FD54FC" w:rsidP="00FD54FC">
            <w:pPr>
              <w:rPr>
                <w:rFonts w:ascii="Times New Roman" w:hAnsi="Times New Roman"/>
                <w:sz w:val="24"/>
              </w:rPr>
            </w:pPr>
            <w:r>
              <w:rPr>
                <w:rFonts w:ascii="Times New Roman" w:hAnsi="Times New Roman"/>
                <w:sz w:val="24"/>
              </w:rPr>
              <w:t>Feltéve, hogy az intézmény valamennyi veszteségét hozzárendelte a CRR 317. cikke (4) bekezdésében szereplő 2. táblázatban felsorolt üzletágak valamelyi</w:t>
            </w:r>
            <w:r>
              <w:rPr>
                <w:rFonts w:ascii="Times New Roman" w:hAnsi="Times New Roman"/>
                <w:sz w:val="24"/>
              </w:rPr>
              <w:t>k</w:t>
            </w:r>
            <w:r>
              <w:rPr>
                <w:rFonts w:ascii="Times New Roman" w:hAnsi="Times New Roman"/>
                <w:sz w:val="24"/>
              </w:rPr>
              <w:t>éhez vagy a CRR 322. cikke (3) bekezdésének b) pontjában említett „társasági szintű tételek” üzletághoz, illetve hogy minden veszteség esetében azonosította az eseménytípust, a 080-as oszlopra a következők vonatkoznak:</w:t>
            </w:r>
          </w:p>
          <w:p w:rsidR="00FD54FC" w:rsidRPr="00392FFD"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Az itt jelentett legnagyobb egyedi veszteség az e sor 010–070-es oszlopában jelentett értékek közül a legnagyobb.</w:t>
            </w:r>
          </w:p>
          <w:p w:rsidR="00FD54FC" w:rsidRPr="00392FFD"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Amennyiben vannak olyan események, amelyek több üzletágra is hatnak, a {r950, c080} mezőben jelentett összeg magasabb lehet, mint a 080-as oszlop más soraiban jelentett üzletágankénti legnagyobb egyedi veszteség. </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Az öt legnagyobb veszteség összege</w:t>
            </w:r>
          </w:p>
          <w:p w:rsidR="00FD54FC" w:rsidRPr="00392FFD" w:rsidRDefault="00FD54FC" w:rsidP="00FD54FC">
            <w:pPr>
              <w:rPr>
                <w:rFonts w:ascii="Times New Roman" w:hAnsi="Times New Roman"/>
                <w:sz w:val="24"/>
              </w:rPr>
            </w:pPr>
            <w:r>
              <w:rPr>
                <w:rFonts w:ascii="Times New Roman" w:hAnsi="Times New Roman"/>
                <w:sz w:val="24"/>
              </w:rPr>
              <w:t>Az egyes üzletágakon belüli öt legnagyobb bruttó veszteség összegét kell me</w:t>
            </w:r>
            <w:r>
              <w:rPr>
                <w:rFonts w:ascii="Times New Roman" w:hAnsi="Times New Roman"/>
                <w:sz w:val="24"/>
              </w:rPr>
              <w:t>g</w:t>
            </w:r>
            <w:r>
              <w:rPr>
                <w:rFonts w:ascii="Times New Roman" w:hAnsi="Times New Roman"/>
                <w:sz w:val="24"/>
              </w:rPr>
              <w:t>adni az egyes eseménytípusokra és minden üzletágra vonatkozóan. Lehetséges, hogy az összeg magasabb, mint az egyes üzletágaknál rögzített öt legnagyobb egyedi veszteség összege. Az összeget a veszteségek szám</w:t>
            </w:r>
            <w:r w:rsidR="003E7498">
              <w:rPr>
                <w:rFonts w:ascii="Times New Roman" w:hAnsi="Times New Roman"/>
                <w:sz w:val="24"/>
              </w:rPr>
              <w:t>ától függetlenül meg kell adni.</w:t>
            </w:r>
          </w:p>
          <w:p w:rsidR="00FD54FC" w:rsidRPr="00392FFD" w:rsidRDefault="00FD54FC" w:rsidP="00FD54FC">
            <w:pPr>
              <w:rPr>
                <w:rStyle w:val="InstructionsTabelleberschrift"/>
                <w:rFonts w:ascii="Times New Roman" w:hAnsi="Times New Roman"/>
                <w:sz w:val="24"/>
              </w:rPr>
            </w:pPr>
            <w:proofErr w:type="gramStart"/>
            <w:r>
              <w:rPr>
                <w:rFonts w:ascii="Times New Roman" w:hAnsi="Times New Roman"/>
                <w:sz w:val="24"/>
              </w:rPr>
              <w:t>Feltéve, hogy az intézmény valamennyi veszteségét hozzárendelte a CRR 317. cikke (4) bekezdésében szereplő 2. táblázatban felsorolt üzletágak valamelyi</w:t>
            </w:r>
            <w:r>
              <w:rPr>
                <w:rFonts w:ascii="Times New Roman" w:hAnsi="Times New Roman"/>
                <w:sz w:val="24"/>
              </w:rPr>
              <w:t>k</w:t>
            </w:r>
            <w:r>
              <w:rPr>
                <w:rFonts w:ascii="Times New Roman" w:hAnsi="Times New Roman"/>
                <w:sz w:val="24"/>
              </w:rPr>
              <w:t>éhez vagy a CRR 322. cikke (3) bekezdésének b) pontjában említett „társasági szintű tételek” üzletághoz, illetve hogy minden veszteség esetében azonosította az eseménytípust, a 080-as oszlopra vonatkozóan az öt legnagyobb veszteség összege a teljes mátrixban szereplő öt legnagyobb veszteség összege, ami azt j</w:t>
            </w:r>
            <w:r>
              <w:rPr>
                <w:rFonts w:ascii="Times New Roman" w:hAnsi="Times New Roman"/>
                <w:sz w:val="24"/>
              </w:rPr>
              <w:t>e</w:t>
            </w:r>
            <w:r>
              <w:rPr>
                <w:rFonts w:ascii="Times New Roman" w:hAnsi="Times New Roman"/>
                <w:sz w:val="24"/>
              </w:rPr>
              <w:t>lenti, hogy ez nem szükségképpen egyenlő sem a 960-as „Az öt legnagyobb ves</w:t>
            </w:r>
            <w:r>
              <w:rPr>
                <w:rFonts w:ascii="Times New Roman" w:hAnsi="Times New Roman"/>
                <w:sz w:val="24"/>
              </w:rPr>
              <w:t>z</w:t>
            </w:r>
            <w:r>
              <w:rPr>
                <w:rFonts w:ascii="Times New Roman" w:hAnsi="Times New Roman"/>
                <w:sz w:val="24"/>
              </w:rPr>
              <w:t>teség összege” sor maximális értékével, sem a 080-as oszlopban</w:t>
            </w:r>
            <w:proofErr w:type="gramEnd"/>
            <w:r>
              <w:rPr>
                <w:rFonts w:ascii="Times New Roman" w:hAnsi="Times New Roman"/>
                <w:sz w:val="24"/>
              </w:rPr>
              <w:t xml:space="preserve"> feltüntetett „öt legnagyobb veszteségösszegek” maximális értékével.</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Teljes közvetlen megtérült veszteség</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Feltéve, hogy az intézmény valamennyi veszteségét hozzárendelte a CRR 317. cikke (4) bekezdésében szereplő 2. táblázatban felsorolt üzletágak valamelyi</w:t>
            </w:r>
            <w:r>
              <w:rPr>
                <w:rFonts w:ascii="Times New Roman" w:hAnsi="Times New Roman"/>
                <w:sz w:val="24"/>
              </w:rPr>
              <w:t>k</w:t>
            </w:r>
            <w:r>
              <w:rPr>
                <w:rFonts w:ascii="Times New Roman" w:hAnsi="Times New Roman"/>
                <w:sz w:val="24"/>
              </w:rPr>
              <w:t>éhez vagy a CRR 322. cikke (3) bekezdésének b) pontjában említett „társasági szintű tételek” üzletághoz, a teljes közvetlen megtérült veszteség az üzletága</w:t>
            </w:r>
            <w:r>
              <w:rPr>
                <w:rFonts w:ascii="Times New Roman" w:hAnsi="Times New Roman"/>
                <w:sz w:val="24"/>
              </w:rPr>
              <w:t>n</w:t>
            </w:r>
            <w:r>
              <w:rPr>
                <w:rFonts w:ascii="Times New Roman" w:hAnsi="Times New Roman"/>
                <w:sz w:val="24"/>
              </w:rPr>
              <w:t>ként megadott teljes közvetlen megtérült veszteségek összege.</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Biztosításból és más kockázat-átruházási mechanizmusokból származó teljes megtérülés</w:t>
            </w:r>
          </w:p>
          <w:p w:rsidR="00FD54FC" w:rsidRPr="00392FFD" w:rsidRDefault="00FD54FC" w:rsidP="00FD54FC">
            <w:pPr>
              <w:rPr>
                <w:rFonts w:ascii="Times New Roman" w:hAnsi="Times New Roman"/>
                <w:b/>
                <w:bCs/>
                <w:sz w:val="24"/>
                <w:u w:val="single"/>
              </w:rPr>
            </w:pPr>
            <w:r>
              <w:rPr>
                <w:rFonts w:ascii="Times New Roman" w:hAnsi="Times New Roman"/>
                <w:sz w:val="24"/>
              </w:rPr>
              <w:t>Feltéve, hogy az intézmény valamennyi veszteségét hozzárendelte a CRR 317. cikke (4) bekezdésében szereplő 2. táblázatban felsorolt üzletágak valamelyi</w:t>
            </w:r>
            <w:r>
              <w:rPr>
                <w:rFonts w:ascii="Times New Roman" w:hAnsi="Times New Roman"/>
                <w:sz w:val="24"/>
              </w:rPr>
              <w:t>k</w:t>
            </w:r>
            <w:r>
              <w:rPr>
                <w:rFonts w:ascii="Times New Roman" w:hAnsi="Times New Roman"/>
                <w:sz w:val="24"/>
              </w:rPr>
              <w:t>éhez vagy a CRR 322. cikke (3) bekezdésének b) pontjában említett „társasági szintű tételek” üzletághoz, a biztosításból és más kockázat-átruházási mechani</w:t>
            </w:r>
            <w:r>
              <w:rPr>
                <w:rFonts w:ascii="Times New Roman" w:hAnsi="Times New Roman"/>
                <w:sz w:val="24"/>
              </w:rPr>
              <w:t>z</w:t>
            </w:r>
            <w:r>
              <w:rPr>
                <w:rFonts w:ascii="Times New Roman" w:hAnsi="Times New Roman"/>
                <w:sz w:val="24"/>
              </w:rPr>
              <w:t>musokból származó teljes megtérülés az üzletáganként megadott biztosításból és más kockázat-átruházási mechanizmusokból származó teljes megtérült vesztes</w:t>
            </w:r>
            <w:r>
              <w:rPr>
                <w:rFonts w:ascii="Times New Roman" w:hAnsi="Times New Roman"/>
                <w:sz w:val="24"/>
              </w:rPr>
              <w:t>é</w:t>
            </w:r>
            <w:r>
              <w:rPr>
                <w:rFonts w:ascii="Times New Roman" w:hAnsi="Times New Roman"/>
                <w:sz w:val="24"/>
              </w:rPr>
              <w:t>gek összege.</w:t>
            </w:r>
          </w:p>
        </w:tc>
      </w:tr>
    </w:tbl>
    <w:p w:rsidR="00FD54FC" w:rsidRPr="00392FFD" w:rsidRDefault="00FD54FC" w:rsidP="00FD54FC">
      <w:pPr>
        <w:spacing w:before="0" w:after="0"/>
        <w:jc w:val="left"/>
        <w:rPr>
          <w:rStyle w:val="InstructionsTabelleText"/>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8" w:name="_Toc516210679"/>
      <w:bookmarkStart w:id="579" w:name="_Toc473561028"/>
      <w:bookmarkStart w:id="580" w:name="_Toc524014738"/>
      <w:r>
        <w:rPr>
          <w:rFonts w:ascii="Times New Roman" w:hAnsi="Times New Roman"/>
          <w:sz w:val="24"/>
          <w:u w:val="none"/>
        </w:rPr>
        <w:t>4.2.3.</w:t>
      </w:r>
      <w:r w:rsidRPr="003E7498">
        <w:rPr>
          <w:u w:val="none"/>
        </w:rPr>
        <w:tab/>
      </w:r>
      <w:r>
        <w:rPr>
          <w:rFonts w:ascii="Times New Roman" w:hAnsi="Times New Roman"/>
          <w:sz w:val="24"/>
        </w:rPr>
        <w:t>C 17.02: Működési kockázat: Az utolsó évi nagy veszteségeseményekre vonatkozó részletes információk (OPR DETAILS 2)</w:t>
      </w:r>
      <w:bookmarkEnd w:id="578"/>
      <w:bookmarkEnd w:id="579"/>
      <w:bookmarkEnd w:id="580"/>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1" w:name="_Toc516210680"/>
      <w:bookmarkStart w:id="582" w:name="_Toc473561029"/>
      <w:bookmarkStart w:id="583" w:name="_Toc524014739"/>
      <w:r>
        <w:rPr>
          <w:rFonts w:ascii="Times New Roman" w:hAnsi="Times New Roman"/>
          <w:sz w:val="24"/>
          <w:u w:val="none"/>
        </w:rPr>
        <w:t>4.2.3.1.</w:t>
      </w:r>
      <w:r w:rsidRPr="003E7498">
        <w:rPr>
          <w:u w:val="none"/>
        </w:rPr>
        <w:tab/>
      </w:r>
      <w:r>
        <w:rPr>
          <w:rFonts w:ascii="Times New Roman" w:hAnsi="Times New Roman"/>
          <w:sz w:val="24"/>
        </w:rPr>
        <w:t>Általános megjegyzések</w:t>
      </w:r>
      <w:bookmarkEnd w:id="581"/>
      <w:bookmarkEnd w:id="582"/>
      <w:bookmarkEnd w:id="583"/>
    </w:p>
    <w:p w:rsidR="00FD54FC" w:rsidRPr="00392FFD" w:rsidRDefault="00125707" w:rsidP="00C37B29">
      <w:pPr>
        <w:pStyle w:val="InstructionsText2"/>
        <w:numPr>
          <w:ilvl w:val="0"/>
          <w:numId w:val="0"/>
        </w:numPr>
        <w:ind w:left="993"/>
      </w:pPr>
      <w:r>
        <w:t>134.</w:t>
      </w:r>
      <w:r>
        <w:tab/>
        <w:t>A C 17.02 táblában egyedi veszteségeseményekre vonatkozó információkat kell közölni (soronként egy esemény).</w:t>
      </w:r>
    </w:p>
    <w:p w:rsidR="00FD54FC" w:rsidRPr="00392FFD" w:rsidRDefault="00125707" w:rsidP="00C37B29">
      <w:pPr>
        <w:pStyle w:val="InstructionsText2"/>
        <w:numPr>
          <w:ilvl w:val="0"/>
          <w:numId w:val="0"/>
        </w:numPr>
        <w:ind w:left="993"/>
      </w:pPr>
      <w:r>
        <w:t>135.</w:t>
      </w:r>
      <w:r>
        <w:tab/>
        <w:t>Az ebben a táblában megadott információk „új eseményekre”, azaz olyan m</w:t>
      </w:r>
      <w:r>
        <w:t>ű</w:t>
      </w:r>
      <w:r>
        <w:t>ködési kockázati eseményekre vonatkoznak, amelyeket</w:t>
      </w:r>
      <w:r>
        <w:tab/>
      </w:r>
    </w:p>
    <w:p w:rsidR="00FD54FC" w:rsidRPr="00392FFD" w:rsidRDefault="00125707" w:rsidP="00C37B29">
      <w:pPr>
        <w:pStyle w:val="InstructionsText2"/>
        <w:numPr>
          <w:ilvl w:val="0"/>
          <w:numId w:val="0"/>
        </w:numPr>
        <w:ind w:left="993"/>
      </w:pPr>
      <w:proofErr w:type="gramStart"/>
      <w:r>
        <w:t>a</w:t>
      </w:r>
      <w:proofErr w:type="gramEnd"/>
      <w:r>
        <w:t>)</w:t>
      </w:r>
      <w:r>
        <w:tab/>
        <w:t>először az adatszolgáltatási vonatkozási időszakban számoltak el, vagy</w:t>
      </w:r>
    </w:p>
    <w:p w:rsidR="00FD54FC" w:rsidRPr="00392FFD" w:rsidRDefault="00125707" w:rsidP="00C37B29">
      <w:pPr>
        <w:pStyle w:val="InstructionsText2"/>
        <w:numPr>
          <w:ilvl w:val="0"/>
          <w:numId w:val="0"/>
        </w:numPr>
        <w:ind w:left="993"/>
      </w:pPr>
      <w:r>
        <w:lastRenderedPageBreak/>
        <w:t>b)</w:t>
      </w:r>
      <w:r>
        <w:tab/>
        <w:t>először egy korábbi adatszolgáltatási vonatkozási időszakban számoltak el, amennyiben az eseményről korábbi felügyeleti jelentésben nem számolt be az i</w:t>
      </w:r>
      <w:r>
        <w:t>n</w:t>
      </w:r>
      <w:r>
        <w:t>tézmény, például azért, mert az eseményt csak a jelenlegi adatszolgáltatási vona</w:t>
      </w:r>
      <w:r>
        <w:t>t</w:t>
      </w:r>
      <w:r>
        <w:t xml:space="preserve">kozási időszakban minősítették működési kockázati eseménynek, </w:t>
      </w:r>
      <w:proofErr w:type="gramStart"/>
      <w:r>
        <w:t>vagy</w:t>
      </w:r>
      <w:proofErr w:type="gramEnd"/>
      <w:r>
        <w:t xml:space="preserve"> mert az adott eseménynek betudható kumulált veszteség (az eredeti veszteség +/– a korábbi adatszolgáltatási vonatkozási időszakokban eszközölt veszteségkorrekciók eredője) csak az aktuális adatszolgáltatási vonatkozási időszakban haladta meg a belső ada</w:t>
      </w:r>
      <w:r>
        <w:t>t</w:t>
      </w:r>
      <w:r>
        <w:t>gyűjtési küszöbértéket.</w:t>
      </w:r>
    </w:p>
    <w:p w:rsidR="00FD54FC" w:rsidRPr="00392FFD" w:rsidRDefault="00125707" w:rsidP="00C37B29">
      <w:pPr>
        <w:pStyle w:val="InstructionsText2"/>
        <w:numPr>
          <w:ilvl w:val="0"/>
          <w:numId w:val="0"/>
        </w:numPr>
        <w:ind w:left="993"/>
      </w:pPr>
      <w:r>
        <w:t>136.</w:t>
      </w:r>
      <w:r>
        <w:tab/>
        <w:t>Csak a legalább 100 000 EUR bruttó veszteségértéket magukban foglaló es</w:t>
      </w:r>
      <w:r>
        <w:t>e</w:t>
      </w:r>
      <w:r>
        <w:t>ményeket kell itt jelenteni.</w:t>
      </w:r>
      <w:r>
        <w:br/>
      </w:r>
      <w:r>
        <w:tab/>
        <w:t>E küszöbérték sérelme nélkül:</w:t>
      </w:r>
    </w:p>
    <w:p w:rsidR="00FD54FC" w:rsidRPr="00392FFD" w:rsidRDefault="00125707" w:rsidP="00C37B29">
      <w:pPr>
        <w:pStyle w:val="InstructionsText2"/>
        <w:numPr>
          <w:ilvl w:val="0"/>
          <w:numId w:val="0"/>
        </w:numPr>
        <w:ind w:left="993"/>
      </w:pPr>
      <w:proofErr w:type="gramStart"/>
      <w:r>
        <w:t>a</w:t>
      </w:r>
      <w:proofErr w:type="gramEnd"/>
      <w:r>
        <w:t>)</w:t>
      </w:r>
      <w:r>
        <w:tab/>
        <w:t>A táblában fel kell tüntetni minden egyes eseménytípus legnagyobb vesztesé</w:t>
      </w:r>
      <w:r>
        <w:t>g</w:t>
      </w:r>
      <w:r>
        <w:t>eseményét, amennyiben az intézmény a veszteséget eseménytípushoz rendelte, v</w:t>
      </w:r>
      <w:r>
        <w:t>a</w:t>
      </w:r>
      <w:r>
        <w:t>lamint</w:t>
      </w:r>
    </w:p>
    <w:p w:rsidR="00FD54FC" w:rsidRPr="00392FFD" w:rsidRDefault="00125707" w:rsidP="00C37B29">
      <w:pPr>
        <w:pStyle w:val="InstructionsText2"/>
        <w:numPr>
          <w:ilvl w:val="0"/>
          <w:numId w:val="0"/>
        </w:numPr>
        <w:ind w:left="993"/>
      </w:pPr>
      <w:r>
        <w:t>b)</w:t>
      </w:r>
      <w:r>
        <w:tab/>
        <w:t>a fennmaradó veszteségesemények közül a tíz legnagyobb bruttó veszteséget okozó veszteségeseményt, függetlenül attól, hogy ezeket az intézmény eseményt</w:t>
      </w:r>
      <w:r>
        <w:t>í</w:t>
      </w:r>
      <w:r>
        <w:t xml:space="preserve">pushoz rendelte-e vagy sem. </w:t>
      </w:r>
    </w:p>
    <w:p w:rsidR="00FD54FC" w:rsidRPr="00392FFD" w:rsidRDefault="00125707" w:rsidP="00C37B29">
      <w:pPr>
        <w:pStyle w:val="InstructionsText2"/>
        <w:numPr>
          <w:ilvl w:val="0"/>
          <w:numId w:val="0"/>
        </w:numPr>
        <w:ind w:left="993"/>
      </w:pPr>
      <w:r>
        <w:t>c)</w:t>
      </w:r>
      <w:r>
        <w:tab/>
        <w:t xml:space="preserve">Az eseményeket a hozzájuk rendelt bruttó veszteség szerinti sorrendben kell feltüntetni. </w:t>
      </w:r>
    </w:p>
    <w:p w:rsidR="00FD54FC" w:rsidRPr="00392FFD" w:rsidRDefault="00125707" w:rsidP="00C37B29">
      <w:pPr>
        <w:pStyle w:val="InstructionsText2"/>
        <w:numPr>
          <w:ilvl w:val="0"/>
          <w:numId w:val="0"/>
        </w:numPr>
        <w:ind w:left="993"/>
      </w:pPr>
      <w:r>
        <w:t>d)</w:t>
      </w:r>
      <w:r>
        <w:tab/>
        <w:t>Egy esemény csak egyszer vehető figyelembe.</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4" w:name="_Toc516210681"/>
      <w:bookmarkStart w:id="585" w:name="_Toc473561030"/>
      <w:bookmarkStart w:id="586" w:name="_Toc524014740"/>
      <w:r>
        <w:rPr>
          <w:rFonts w:ascii="Times New Roman" w:hAnsi="Times New Roman"/>
          <w:sz w:val="24"/>
          <w:u w:val="none"/>
        </w:rPr>
        <w:t>4.2.3.2.</w:t>
      </w:r>
      <w:r w:rsidRPr="003E7498">
        <w:rPr>
          <w:u w:val="none"/>
        </w:rPr>
        <w:tab/>
      </w:r>
      <w:r>
        <w:rPr>
          <w:rFonts w:ascii="Times New Roman" w:hAnsi="Times New Roman"/>
          <w:sz w:val="24"/>
        </w:rPr>
        <w:t>A tábla egyes részeire vonatkozó útmutató</w:t>
      </w:r>
      <w:bookmarkEnd w:id="584"/>
      <w:bookmarkEnd w:id="585"/>
      <w:bookmarkEnd w:id="5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392FFD" w:rsidTr="00672D2A">
        <w:tc>
          <w:tcPr>
            <w:tcW w:w="9288" w:type="dxa"/>
            <w:gridSpan w:val="2"/>
            <w:shd w:val="clear" w:color="auto" w:fill="BFBFBF"/>
          </w:tcPr>
          <w:p w:rsidR="00FD54FC" w:rsidRPr="00392FFD" w:rsidRDefault="00FD54FC" w:rsidP="00FD54FC">
            <w:pPr>
              <w:rPr>
                <w:rFonts w:ascii="Times New Roman" w:hAnsi="Times New Roman"/>
                <w:sz w:val="24"/>
              </w:rPr>
            </w:pPr>
            <w:r>
              <w:rPr>
                <w:rFonts w:ascii="Times New Roman" w:hAnsi="Times New Roman"/>
                <w:b/>
                <w:sz w:val="24"/>
              </w:rPr>
              <w:t>Oszlopok</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0010</w:t>
            </w:r>
          </w:p>
        </w:tc>
        <w:tc>
          <w:tcPr>
            <w:tcW w:w="8329" w:type="dxa"/>
            <w:shd w:val="clear" w:color="auto" w:fill="auto"/>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Eseményazonosító</w:t>
            </w:r>
          </w:p>
          <w:p w:rsidR="00FD54FC" w:rsidRPr="00392FFD" w:rsidRDefault="00FD54FC" w:rsidP="00FD54FC">
            <w:pPr>
              <w:rPr>
                <w:rFonts w:ascii="Times New Roman" w:hAnsi="Times New Roman"/>
                <w:sz w:val="24"/>
              </w:rPr>
            </w:pPr>
            <w:r>
              <w:rPr>
                <w:rFonts w:ascii="Times New Roman" w:hAnsi="Times New Roman"/>
                <w:sz w:val="24"/>
              </w:rPr>
              <w:t>Az eseményazonosító egy sorazonosító, amely a tábla minden sorát egyedileg az</w:t>
            </w:r>
            <w:r>
              <w:rPr>
                <w:rFonts w:ascii="Times New Roman" w:hAnsi="Times New Roman"/>
                <w:sz w:val="24"/>
              </w:rPr>
              <w:t>o</w:t>
            </w:r>
            <w:r w:rsidR="003E7498">
              <w:rPr>
                <w:rFonts w:ascii="Times New Roman" w:hAnsi="Times New Roman"/>
                <w:sz w:val="24"/>
              </w:rPr>
              <w:t>nosítja.</w:t>
            </w:r>
          </w:p>
          <w:p w:rsidR="00FD54FC" w:rsidRPr="00392FFD" w:rsidRDefault="00FD54FC" w:rsidP="00FD54FC">
            <w:pPr>
              <w:rPr>
                <w:rFonts w:ascii="Times New Roman" w:hAnsi="Times New Roman"/>
                <w:sz w:val="24"/>
              </w:rPr>
            </w:pPr>
            <w:r>
              <w:rPr>
                <w:rFonts w:ascii="Times New Roman" w:hAnsi="Times New Roman"/>
                <w:sz w:val="24"/>
              </w:rPr>
              <w:t>Amennyiben létezik belső azonosító, az intézmények ezt adják meg. Másként a te</w:t>
            </w:r>
            <w:r>
              <w:rPr>
                <w:rFonts w:ascii="Times New Roman" w:hAnsi="Times New Roman"/>
                <w:sz w:val="24"/>
              </w:rPr>
              <w:t>r</w:t>
            </w:r>
            <w:r>
              <w:rPr>
                <w:rFonts w:ascii="Times New Roman" w:hAnsi="Times New Roman"/>
                <w:sz w:val="24"/>
              </w:rPr>
              <w:t>mészetes számok sorrendjét kell követni (1, 2, 3 stb.).</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0020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Elszámolás napja</w:t>
            </w:r>
          </w:p>
          <w:p w:rsidR="00FD54FC" w:rsidRPr="00392FFD" w:rsidRDefault="00FD54FC" w:rsidP="00FD54FC">
            <w:pPr>
              <w:rPr>
                <w:rFonts w:ascii="Times New Roman" w:hAnsi="Times New Roman"/>
                <w:sz w:val="24"/>
              </w:rPr>
            </w:pPr>
            <w:r>
              <w:rPr>
                <w:rFonts w:ascii="Times New Roman" w:hAnsi="Times New Roman"/>
                <w:sz w:val="24"/>
              </w:rPr>
              <w:t xml:space="preserve">Az elszámolás napja az a nap, amikor a veszteség vagy tartalék/céltartalék először került megjelenítésre az eredménykimutatásban a működési kockázati veszteséggel szemben. </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0030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Esemény napja</w:t>
            </w:r>
          </w:p>
          <w:p w:rsidR="00FD54FC" w:rsidRPr="00392FFD" w:rsidRDefault="00FD54FC" w:rsidP="00871877">
            <w:pPr>
              <w:rPr>
                <w:rFonts w:ascii="Times New Roman" w:hAnsi="Times New Roman"/>
                <w:sz w:val="24"/>
              </w:rPr>
            </w:pPr>
            <w:r>
              <w:rPr>
                <w:rFonts w:ascii="Times New Roman" w:hAnsi="Times New Roman"/>
                <w:sz w:val="24"/>
              </w:rPr>
              <w:t>Az esemény napja az a nap, amikor a működési kockázati esemény bekövetkezett vagy kezdetét vette.</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0040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Felismerés napja</w:t>
            </w:r>
          </w:p>
          <w:p w:rsidR="00FD54FC" w:rsidRPr="00392FFD" w:rsidRDefault="00FD54FC" w:rsidP="00FD54FC">
            <w:pPr>
              <w:rPr>
                <w:rFonts w:ascii="Times New Roman" w:hAnsi="Times New Roman"/>
                <w:sz w:val="24"/>
              </w:rPr>
            </w:pPr>
            <w:r>
              <w:rPr>
                <w:rFonts w:ascii="Times New Roman" w:hAnsi="Times New Roman"/>
                <w:sz w:val="24"/>
              </w:rPr>
              <w:t>A felismerés napja az a nap, amikor a működési kockázati esemény az intézmény tudomására jutott.</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lastRenderedPageBreak/>
              <w:t>0050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Eseménytípus</w:t>
            </w:r>
          </w:p>
          <w:p w:rsidR="00FD54FC" w:rsidRPr="00392FFD" w:rsidRDefault="00FD54FC" w:rsidP="00FD54FC">
            <w:pPr>
              <w:rPr>
                <w:rFonts w:ascii="Times New Roman" w:hAnsi="Times New Roman"/>
                <w:sz w:val="24"/>
              </w:rPr>
            </w:pPr>
            <w:r>
              <w:rPr>
                <w:rFonts w:ascii="Times New Roman" w:hAnsi="Times New Roman"/>
                <w:sz w:val="24"/>
              </w:rPr>
              <w:t>A CRR 324. cikkében meghatározott eseménytípus.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Bruttó veszteség</w:t>
            </w:r>
          </w:p>
          <w:p w:rsidR="00FD54FC" w:rsidRPr="00392FFD" w:rsidRDefault="00FD54FC" w:rsidP="00FD54FC">
            <w:pPr>
              <w:rPr>
                <w:rFonts w:ascii="Times New Roman" w:hAnsi="Times New Roman"/>
                <w:sz w:val="24"/>
              </w:rPr>
            </w:pPr>
            <w:r>
              <w:rPr>
                <w:rFonts w:ascii="Times New Roman" w:hAnsi="Times New Roman"/>
                <w:sz w:val="24"/>
              </w:rPr>
              <w:t>A 17.01 tábla 020, 120 stb. sorában meghatározott, az eseményhez kapcsolódó bru</w:t>
            </w:r>
            <w:r>
              <w:rPr>
                <w:rFonts w:ascii="Times New Roman" w:hAnsi="Times New Roman"/>
                <w:sz w:val="24"/>
              </w:rPr>
              <w:t>t</w:t>
            </w:r>
            <w:r>
              <w:rPr>
                <w:rFonts w:ascii="Times New Roman" w:hAnsi="Times New Roman"/>
                <w:sz w:val="24"/>
              </w:rPr>
              <w:t>tó veszteség.</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Bruttó veszteség a közvetlen megtérülések levonásával</w:t>
            </w:r>
          </w:p>
          <w:p w:rsidR="00FD54FC" w:rsidRPr="00392FFD" w:rsidRDefault="00FD54FC" w:rsidP="00FD54FC">
            <w:pPr>
              <w:rPr>
                <w:rFonts w:ascii="Times New Roman" w:hAnsi="Times New Roman"/>
                <w:sz w:val="24"/>
              </w:rPr>
            </w:pPr>
            <w:r>
              <w:rPr>
                <w:rFonts w:ascii="Times New Roman" w:hAnsi="Times New Roman"/>
                <w:sz w:val="24"/>
              </w:rPr>
              <w:t>A 17.01 tábla 020, 120 stb. sorában meghatározott, az eseményhez kapcsolódó bru</w:t>
            </w:r>
            <w:r>
              <w:rPr>
                <w:rFonts w:ascii="Times New Roman" w:hAnsi="Times New Roman"/>
                <w:sz w:val="24"/>
              </w:rPr>
              <w:t>t</w:t>
            </w:r>
            <w:r>
              <w:rPr>
                <w:rFonts w:ascii="Times New Roman" w:hAnsi="Times New Roman"/>
                <w:sz w:val="24"/>
              </w:rPr>
              <w:t>tó veszteség az adott veszteségeseményhez kapcsolódó közvetlen megtérülések l</w:t>
            </w:r>
            <w:r>
              <w:rPr>
                <w:rFonts w:ascii="Times New Roman" w:hAnsi="Times New Roman"/>
                <w:sz w:val="24"/>
              </w:rPr>
              <w:t>e</w:t>
            </w:r>
            <w:r>
              <w:rPr>
                <w:rFonts w:ascii="Times New Roman" w:hAnsi="Times New Roman"/>
                <w:sz w:val="24"/>
              </w:rPr>
              <w:t>vonásával.</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0080 – 0160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Bruttó veszteség üzletáganként</w:t>
            </w:r>
          </w:p>
          <w:p w:rsidR="00FD54FC" w:rsidRPr="00392FFD" w:rsidRDefault="00FD54FC" w:rsidP="00FD54FC">
            <w:pPr>
              <w:rPr>
                <w:rFonts w:ascii="Times New Roman" w:hAnsi="Times New Roman"/>
                <w:sz w:val="24"/>
              </w:rPr>
            </w:pPr>
            <w:r>
              <w:rPr>
                <w:rFonts w:ascii="Times New Roman" w:hAnsi="Times New Roman"/>
                <w:sz w:val="24"/>
              </w:rPr>
              <w:t>A 060-as oszlopban feltüntetett bruttó veszteséget a CRR 317. cikkében és 322. cikke (3) bekezdésének b) pontjában meghatározott megfelelő üzletágba kell soro</w:t>
            </w:r>
            <w:r>
              <w:rPr>
                <w:rFonts w:ascii="Times New Roman" w:hAnsi="Times New Roman"/>
                <w:sz w:val="24"/>
              </w:rPr>
              <w:t>l</w:t>
            </w:r>
            <w:r>
              <w:rPr>
                <w:rFonts w:ascii="Times New Roman" w:hAnsi="Times New Roman"/>
                <w:sz w:val="24"/>
              </w:rPr>
              <w:t>ni.</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Jogalany neve</w:t>
            </w:r>
          </w:p>
          <w:p w:rsidR="00FD54FC" w:rsidRPr="00392FFD" w:rsidRDefault="00FD54FC" w:rsidP="00FD54FC">
            <w:pPr>
              <w:rPr>
                <w:rFonts w:ascii="Times New Roman" w:hAnsi="Times New Roman"/>
                <w:sz w:val="24"/>
              </w:rPr>
            </w:pPr>
            <w:r>
              <w:rPr>
                <w:rFonts w:ascii="Times New Roman" w:hAnsi="Times New Roman"/>
                <w:sz w:val="24"/>
              </w:rPr>
              <w:t>Annak a jogalanynak a C 06.02 tábla 010-es oszlopában jelentett neve, amelynél a veszteség – vagy ha több jogalany is érintett volt, a veszteség legnagyobb része – felmerült.</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0180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Jogalany-azonosító</w:t>
            </w:r>
          </w:p>
          <w:p w:rsidR="00FD54FC" w:rsidRPr="00392FFD" w:rsidRDefault="00FD54FC" w:rsidP="00FD54FC">
            <w:pPr>
              <w:rPr>
                <w:rFonts w:ascii="Times New Roman" w:hAnsi="Times New Roman"/>
                <w:sz w:val="24"/>
              </w:rPr>
            </w:pPr>
            <w:r>
              <w:rPr>
                <w:rFonts w:ascii="Times New Roman" w:hAnsi="Times New Roman"/>
                <w:sz w:val="24"/>
              </w:rPr>
              <w:t>Annak a jogalanynak a C 06.02 tábla 025-ös oszlopában jelentett jogalany-azonosítója (LEI), amelynél a veszteség – vagy ha több jogalany is érintett volt, a veszteség legnagyobb része – felmerült.</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0190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Üzleti egység</w:t>
            </w:r>
          </w:p>
          <w:p w:rsidR="00FD54FC" w:rsidRPr="00392FFD" w:rsidRDefault="00FD54FC" w:rsidP="00FD54FC">
            <w:pPr>
              <w:rPr>
                <w:rFonts w:ascii="Times New Roman" w:hAnsi="Times New Roman"/>
                <w:sz w:val="24"/>
              </w:rPr>
            </w:pPr>
            <w:r>
              <w:rPr>
                <w:rFonts w:ascii="Times New Roman" w:hAnsi="Times New Roman"/>
                <w:sz w:val="24"/>
              </w:rPr>
              <w:t>Az intézmény azon üzleti egysége vagy vállalati divíziója, amelynél a veszteség – vagy ha több egység vagy divízió is érintett volt, a veszteség legnagyobb része – felmerült.</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0200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Leírás</w:t>
            </w:r>
          </w:p>
          <w:p w:rsidR="00FD54FC" w:rsidRPr="00392FFD" w:rsidRDefault="00FD54FC" w:rsidP="00FD239F">
            <w:pPr>
              <w:rPr>
                <w:rFonts w:ascii="Times New Roman" w:hAnsi="Times New Roman"/>
                <w:sz w:val="24"/>
              </w:rPr>
            </w:pPr>
            <w:r>
              <w:rPr>
                <w:rFonts w:ascii="Times New Roman" w:hAnsi="Times New Roman"/>
                <w:sz w:val="24"/>
              </w:rPr>
              <w:t>Az esemény szöveges ismertetése, szükség esetén általános vagy anonimizált m</w:t>
            </w:r>
            <w:r>
              <w:rPr>
                <w:rFonts w:ascii="Times New Roman" w:hAnsi="Times New Roman"/>
                <w:sz w:val="24"/>
              </w:rPr>
              <w:t>ó</w:t>
            </w:r>
            <w:r>
              <w:rPr>
                <w:rFonts w:ascii="Times New Roman" w:hAnsi="Times New Roman"/>
                <w:sz w:val="24"/>
              </w:rPr>
              <w:t>don, amelynek ki kell terjednie legalább magára az eseményre és – amennyiben i</w:t>
            </w:r>
            <w:r>
              <w:rPr>
                <w:rFonts w:ascii="Times New Roman" w:hAnsi="Times New Roman"/>
                <w:sz w:val="24"/>
              </w:rPr>
              <w:t>s</w:t>
            </w:r>
            <w:r>
              <w:rPr>
                <w:rFonts w:ascii="Times New Roman" w:hAnsi="Times New Roman"/>
                <w:sz w:val="24"/>
              </w:rPr>
              <w:t>mertek – az esemény okaira vonatkozó információkra.</w:t>
            </w:r>
          </w:p>
        </w:tc>
      </w:tr>
    </w:tbl>
    <w:p w:rsidR="00FD54FC" w:rsidRPr="00392FFD" w:rsidRDefault="00FD54FC" w:rsidP="00AC6255">
      <w:pPr>
        <w:spacing w:after="0"/>
        <w:rPr>
          <w:rFonts w:ascii="Times New Roman" w:hAnsi="Times New Roman"/>
          <w:sz w:val="24"/>
        </w:rPr>
      </w:pPr>
    </w:p>
    <w:p w:rsidR="00AC6255" w:rsidRPr="00392FFD" w:rsidRDefault="00AC6255">
      <w:pPr>
        <w:spacing w:before="0" w:after="0"/>
        <w:jc w:val="left"/>
        <w:rPr>
          <w:rStyle w:val="InstructionsTabelleText"/>
          <w:rFonts w:ascii="Times New Roman" w:hAnsi="Times New Roman"/>
          <w:sz w:val="24"/>
        </w:rPr>
      </w:pPr>
      <w:r>
        <w:br w:type="page"/>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87" w:name="_Toc295829995"/>
      <w:bookmarkStart w:id="588" w:name="_Toc262566425"/>
      <w:bookmarkStart w:id="589" w:name="_Toc308426671"/>
      <w:bookmarkStart w:id="590" w:name="_Toc310415056"/>
      <w:bookmarkStart w:id="591" w:name="_Toc360188391"/>
      <w:bookmarkStart w:id="592" w:name="_Toc516210682"/>
      <w:bookmarkStart w:id="593" w:name="_Toc473561031"/>
      <w:bookmarkStart w:id="594" w:name="_Toc524014741"/>
      <w:r>
        <w:rPr>
          <w:rFonts w:ascii="Times New Roman" w:hAnsi="Times New Roman"/>
          <w:sz w:val="24"/>
          <w:u w:val="none"/>
        </w:rPr>
        <w:lastRenderedPageBreak/>
        <w:t>5.</w:t>
      </w:r>
      <w:r w:rsidRPr="003E7498">
        <w:rPr>
          <w:u w:val="none"/>
        </w:rPr>
        <w:tab/>
      </w:r>
      <w:r>
        <w:rPr>
          <w:rFonts w:ascii="Times New Roman" w:hAnsi="Times New Roman"/>
          <w:sz w:val="24"/>
        </w:rPr>
        <w:t>Piaci kockázati táblacsoport</w:t>
      </w:r>
      <w:bookmarkEnd w:id="587"/>
      <w:bookmarkEnd w:id="588"/>
      <w:bookmarkEnd w:id="589"/>
      <w:bookmarkEnd w:id="590"/>
      <w:bookmarkEnd w:id="591"/>
      <w:bookmarkEnd w:id="592"/>
      <w:bookmarkEnd w:id="593"/>
      <w:bookmarkEnd w:id="594"/>
    </w:p>
    <w:p w:rsidR="000B0B09" w:rsidRPr="00392FFD" w:rsidRDefault="00125707" w:rsidP="00C37B29">
      <w:pPr>
        <w:pStyle w:val="InstructionsText2"/>
        <w:numPr>
          <w:ilvl w:val="0"/>
          <w:numId w:val="0"/>
        </w:numPr>
        <w:ind w:left="993"/>
      </w:pPr>
      <w:bookmarkStart w:id="595" w:name="_Toc308426672"/>
      <w:r>
        <w:t>137.</w:t>
      </w:r>
      <w:r>
        <w:tab/>
        <w:t>Az itt megadott útmutató a devizaárfolyam-kockázathoz (MKR SA FX), ár</w:t>
      </w:r>
      <w:r>
        <w:t>u</w:t>
      </w:r>
      <w:r>
        <w:t>kockázathoz (MKR SA COM), kamatlábkockázathoz (MKR SA TDI, MKR SA SEC, MKR SA CTP) és részvénypiaci kockázathoz (MKR SA EQU) kapcsolódó szavatolótőke-követelmény sztenderd módszer szerinti kiszámításáról történő ada</w:t>
      </w:r>
      <w:r>
        <w:t>t</w:t>
      </w:r>
      <w:r>
        <w:t>szolgáltatáshoz használt táblákra terjed ki. Ebben a részben útmutató található t</w:t>
      </w:r>
      <w:r>
        <w:t>o</w:t>
      </w:r>
      <w:r>
        <w:t>vábbá a szavatolótőke-követelmény belső modellen alapuló módszer szerinti k</w:t>
      </w:r>
      <w:r>
        <w:t>i</w:t>
      </w:r>
      <w:r>
        <w:t>számításáról történő adatszolgáltatáshoz használt t</w:t>
      </w:r>
      <w:r w:rsidR="003E7498">
        <w:t>áblára vonatkozóan (MKR IM) is.</w:t>
      </w:r>
    </w:p>
    <w:p w:rsidR="000B0B09" w:rsidRPr="00392FFD" w:rsidRDefault="00125707" w:rsidP="00C37B29">
      <w:pPr>
        <w:pStyle w:val="InstructionsText2"/>
        <w:numPr>
          <w:ilvl w:val="0"/>
          <w:numId w:val="0"/>
        </w:numPr>
        <w:ind w:left="993"/>
      </w:pPr>
      <w:r>
        <w:t>138.</w:t>
      </w:r>
      <w:r>
        <w:tab/>
        <w:t>A forgalmazott, hitelviszonyt megtestesítő értékpapírok vagy tulajdoni rész</w:t>
      </w:r>
      <w:r>
        <w:t>e</w:t>
      </w:r>
      <w:r>
        <w:t>sedést megtestesítő instrumentumok, illetve ezek származtatott eszközének poz</w:t>
      </w:r>
      <w:r>
        <w:t>í</w:t>
      </w:r>
      <w:r>
        <w:t>ciókockázatát tőkeszükségletük kiszámítása céljából két összetevőre kell bontani. Az első elem az egyedi kockázati összetevő – azaz az adott eszköz árváltozásának kockázata, ami a kibocsátójával, illetve, származtatott eszköz esetében, az alapul szolgáló eszköz kibocsátójával kapcsolatos tényezőkből adódik. A második elem az általános kockázatot foglalja magában: az eszköz árváltozásának azt a kockázatát, amely forgalmazott, hitelviszonyt megtestesítő értékpapírok vagy azok származt</w:t>
      </w:r>
      <w:r>
        <w:t>a</w:t>
      </w:r>
      <w:r>
        <w:t>tott eszköze esetében a kamatszintek változásából, tőkeinstrumentum vagy annak származtatott eszköze esetében az egyes értékpapírok sajátos tulajdonságaival ka</w:t>
      </w:r>
      <w:r>
        <w:t>p</w:t>
      </w:r>
      <w:r>
        <w:t xml:space="preserve">csolatban nem lévő, általános részvénypiaci mozgásokból adódik. </w:t>
      </w:r>
      <w:bookmarkEnd w:id="595"/>
      <w:r>
        <w:t>Az egyes instr</w:t>
      </w:r>
      <w:r>
        <w:t>u</w:t>
      </w:r>
      <w:r>
        <w:t>mentumok és nettósítási eljárások általános kezelését a CRR 326–333. cikke isme</w:t>
      </w:r>
      <w:r>
        <w:t>r</w:t>
      </w:r>
      <w:r>
        <w:t xml:space="preserve">teti.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96" w:name="_Toc239157393"/>
      <w:bookmarkStart w:id="597" w:name="_Toc262566426"/>
      <w:bookmarkStart w:id="598" w:name="_Toc295829996"/>
      <w:bookmarkStart w:id="599" w:name="_Toc308426673"/>
      <w:bookmarkStart w:id="600" w:name="_Toc310415057"/>
      <w:bookmarkStart w:id="601" w:name="_Toc360188392"/>
      <w:bookmarkStart w:id="602" w:name="_Toc516210683"/>
      <w:bookmarkStart w:id="603" w:name="_Toc473561032"/>
      <w:bookmarkStart w:id="604" w:name="_Toc524014742"/>
      <w:r>
        <w:rPr>
          <w:rFonts w:ascii="Times New Roman" w:hAnsi="Times New Roman"/>
          <w:sz w:val="24"/>
          <w:u w:val="none"/>
        </w:rPr>
        <w:t>5.1.</w:t>
      </w:r>
      <w:r w:rsidRPr="003E7498">
        <w:rPr>
          <w:u w:val="none"/>
        </w:rPr>
        <w:tab/>
      </w:r>
      <w:r>
        <w:rPr>
          <w:rFonts w:ascii="Times New Roman" w:hAnsi="Times New Roman"/>
          <w:sz w:val="24"/>
        </w:rPr>
        <w:t>C 18.00 – Piaci kockázat: A forgalmazott, hitelviszonyt megtestesítő értékpapírok p</w:t>
      </w:r>
      <w:r>
        <w:rPr>
          <w:rFonts w:ascii="Times New Roman" w:hAnsi="Times New Roman"/>
          <w:sz w:val="24"/>
        </w:rPr>
        <w:t>o</w:t>
      </w:r>
      <w:r>
        <w:rPr>
          <w:rFonts w:ascii="Times New Roman" w:hAnsi="Times New Roman"/>
          <w:sz w:val="24"/>
        </w:rPr>
        <w:t>zíciókockázatának sztenderd módszere</w:t>
      </w:r>
      <w:bookmarkEnd w:id="596"/>
      <w:bookmarkEnd w:id="597"/>
      <w:bookmarkEnd w:id="598"/>
      <w:bookmarkEnd w:id="599"/>
      <w:bookmarkEnd w:id="600"/>
      <w:bookmarkEnd w:id="601"/>
      <w:r>
        <w:rPr>
          <w:rFonts w:ascii="Times New Roman" w:hAnsi="Times New Roman"/>
          <w:sz w:val="24"/>
        </w:rPr>
        <w:t xml:space="preserve"> (MKR SA TDI)</w:t>
      </w:r>
      <w:bookmarkEnd w:id="602"/>
      <w:bookmarkEnd w:id="603"/>
      <w:bookmarkEnd w:id="604"/>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05" w:name="_Toc262566427"/>
      <w:bookmarkStart w:id="606" w:name="_Toc295829997"/>
      <w:bookmarkStart w:id="607" w:name="_Toc308426674"/>
      <w:bookmarkStart w:id="608" w:name="_Toc310415058"/>
      <w:bookmarkStart w:id="609" w:name="_Toc360188393"/>
      <w:bookmarkStart w:id="610" w:name="_Toc516210684"/>
      <w:bookmarkStart w:id="611" w:name="_Toc473561033"/>
      <w:bookmarkStart w:id="612" w:name="_Toc524014743"/>
      <w:r>
        <w:rPr>
          <w:rFonts w:ascii="Times New Roman" w:hAnsi="Times New Roman"/>
          <w:sz w:val="24"/>
          <w:u w:val="none"/>
        </w:rPr>
        <w:t>5.1.1.</w:t>
      </w:r>
      <w:r w:rsidRPr="003E7498">
        <w:rPr>
          <w:u w:val="none"/>
        </w:rPr>
        <w:tab/>
      </w:r>
      <w:r>
        <w:rPr>
          <w:rFonts w:ascii="Times New Roman" w:hAnsi="Times New Roman"/>
          <w:sz w:val="24"/>
        </w:rPr>
        <w:t>Általános megjegyzések</w:t>
      </w:r>
      <w:bookmarkEnd w:id="605"/>
      <w:bookmarkEnd w:id="606"/>
      <w:bookmarkEnd w:id="607"/>
      <w:bookmarkEnd w:id="608"/>
      <w:bookmarkEnd w:id="609"/>
      <w:bookmarkEnd w:id="610"/>
      <w:bookmarkEnd w:id="611"/>
      <w:bookmarkEnd w:id="612"/>
    </w:p>
    <w:p w:rsidR="000B0B09" w:rsidRPr="00392FFD" w:rsidRDefault="00125707" w:rsidP="00C37B29">
      <w:pPr>
        <w:pStyle w:val="InstructionsText2"/>
        <w:numPr>
          <w:ilvl w:val="0"/>
          <w:numId w:val="0"/>
        </w:numPr>
        <w:ind w:left="993"/>
      </w:pPr>
      <w:r>
        <w:t>139.</w:t>
      </w:r>
      <w:r>
        <w:tab/>
        <w:t>Ez a tábla a forgalmazott, hitelviszonyt megtestesítő értékpapírok sztenderd módszer szerinti pozíciókockázatát érintő pozíciókat és az azokhoz kapcsolódó szavatolótőke-követelményt rögzíti (a CRR 102. cikke, valamint 105. cikkének (1) bekezdése). A különböző kockázatok és a CRR alapján alkalmazható módszerek az egyes sorokban vehetők figyelembe. Az MKR SA SEC és MKR SA CTP táblán szereplő kitettségekkel összefüggő egyedi kockázatok kizárólag az MKR SA TDI Total táblán tüntethetők fel. Az említett táblákon feltüntetett szavatolótőke-követelményt át kell vinni a {325</w:t>
      </w:r>
      <w:proofErr w:type="gramStart"/>
      <w:r>
        <w:t>;060</w:t>
      </w:r>
      <w:proofErr w:type="gramEnd"/>
      <w:r>
        <w:t>} (értékpapírosítások), il</w:t>
      </w:r>
      <w:r w:rsidR="003E7498">
        <w:t>letve {330;060} (CTP) cellába.</w:t>
      </w:r>
    </w:p>
    <w:p w:rsidR="000B0B09" w:rsidRPr="00392FFD" w:rsidRDefault="00125707" w:rsidP="00C37B29">
      <w:pPr>
        <w:pStyle w:val="InstructionsText2"/>
        <w:numPr>
          <w:ilvl w:val="0"/>
          <w:numId w:val="0"/>
        </w:numPr>
        <w:ind w:left="993"/>
      </w:pPr>
      <w:r>
        <w:t>140.</w:t>
      </w:r>
      <w:r>
        <w:tab/>
        <w:t>A táblát külön ki kell tölteni összesítve, valamint az alábbi előre meghatározott felsorolásban szereplő pénznemekre vonatkozóan:</w:t>
      </w:r>
      <w:bookmarkStart w:id="613" w:name="OLE_LINK1"/>
      <w:r>
        <w:t xml:space="preserve"> EUR, ALL, BGN, CZK, DKK, EGP, GBP, HRK, HUF, ISK, JPY, MKD, NOK, PLN, RON, RUB, RSD, SEK, CHF, TRY, UAH, USD</w:t>
      </w:r>
      <w:bookmarkEnd w:id="613"/>
      <w:r>
        <w:t>, továbbá egy táblát mind</w:t>
      </w:r>
      <w:r w:rsidR="003E7498">
        <w:t>en egyéb pénznemre összevontan.</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14" w:name="_Toc262566428"/>
      <w:bookmarkStart w:id="615" w:name="_Toc295829998"/>
      <w:bookmarkStart w:id="616" w:name="_Toc308426675"/>
      <w:bookmarkStart w:id="617" w:name="_Toc310415059"/>
      <w:bookmarkStart w:id="618" w:name="_Toc360188394"/>
      <w:bookmarkStart w:id="619" w:name="_Toc516210685"/>
      <w:bookmarkStart w:id="620" w:name="_Toc473561034"/>
      <w:bookmarkStart w:id="621" w:name="_Toc524014744"/>
      <w:r>
        <w:rPr>
          <w:rFonts w:ascii="Times New Roman" w:hAnsi="Times New Roman"/>
          <w:sz w:val="24"/>
          <w:u w:val="none"/>
        </w:rPr>
        <w:t>5.1.2.</w:t>
      </w:r>
      <w:r w:rsidRPr="003E7498">
        <w:rPr>
          <w:u w:val="none"/>
        </w:rPr>
        <w:tab/>
      </w:r>
      <w:r>
        <w:rPr>
          <w:rFonts w:ascii="Times New Roman" w:hAnsi="Times New Roman"/>
          <w:sz w:val="24"/>
        </w:rPr>
        <w:t>A tábla egyes részeire vonatkozó útmutató</w:t>
      </w:r>
      <w:bookmarkEnd w:id="614"/>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69"/>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Oszlopok</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ÖSSZES POZÍCIÓ (HOSSZÚ </w:t>
            </w:r>
            <w:proofErr w:type="gramStart"/>
            <w:r>
              <w:rPr>
                <w:rFonts w:ascii="Times New Roman" w:hAnsi="Times New Roman"/>
                <w:b/>
                <w:sz w:val="24"/>
                <w:u w:val="single"/>
              </w:rPr>
              <w:t>ÉS</w:t>
            </w:r>
            <w:proofErr w:type="gramEnd"/>
            <w:r>
              <w:rPr>
                <w:rFonts w:ascii="Times New Roman" w:hAnsi="Times New Roman"/>
                <w:b/>
                <w:sz w:val="24"/>
                <w:u w:val="single"/>
              </w:rPr>
              <w:t xml:space="preserve"> RÖVID)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A CRR 102. cikke, valamint 105. cikkének (1) bekezdése Bruttó, instrument</w:t>
            </w:r>
            <w:r>
              <w:rPr>
                <w:rFonts w:ascii="Times New Roman" w:hAnsi="Times New Roman"/>
                <w:sz w:val="24"/>
              </w:rPr>
              <w:t>u</w:t>
            </w:r>
            <w:r>
              <w:rPr>
                <w:rFonts w:ascii="Times New Roman" w:hAnsi="Times New Roman"/>
                <w:sz w:val="24"/>
              </w:rPr>
              <w:t>monként nem nettósított pozíciók azon jegyzési pozíciók levonásával, amely</w:t>
            </w:r>
            <w:r>
              <w:rPr>
                <w:rFonts w:ascii="Times New Roman" w:hAnsi="Times New Roman"/>
                <w:sz w:val="24"/>
              </w:rPr>
              <w:t>e</w:t>
            </w:r>
            <w:r>
              <w:rPr>
                <w:rFonts w:ascii="Times New Roman" w:hAnsi="Times New Roman"/>
                <w:sz w:val="24"/>
              </w:rPr>
              <w:t>ket harmadik fél az intézménytől lejegyzett, vagy amelyekre jegyzési garanciát vállal (a CRR 345. cikkének második mondata). A hosszú és rövid pozícióknak az említett bruttó pozíciókra is alkalmazandó megkülönböztetésével kapcsola</w:t>
            </w:r>
            <w:r>
              <w:rPr>
                <w:rFonts w:ascii="Times New Roman" w:hAnsi="Times New Roman"/>
                <w:sz w:val="24"/>
              </w:rPr>
              <w:t>t</w:t>
            </w:r>
            <w:r>
              <w:rPr>
                <w:rFonts w:ascii="Times New Roman" w:hAnsi="Times New Roman"/>
                <w:sz w:val="24"/>
              </w:rPr>
              <w:t>ban lásd a CRR 328. cikkének (2) bekezdését.</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030-040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NETTÓ POZÍCIÓK (HOSSZÚ </w:t>
            </w:r>
            <w:proofErr w:type="gramStart"/>
            <w:r>
              <w:rPr>
                <w:rFonts w:ascii="Times New Roman" w:hAnsi="Times New Roman"/>
                <w:b/>
                <w:sz w:val="24"/>
                <w:u w:val="single"/>
              </w:rPr>
              <w:t>ÉS</w:t>
            </w:r>
            <w:proofErr w:type="gramEnd"/>
            <w:r>
              <w:rPr>
                <w:rFonts w:ascii="Times New Roman" w:hAnsi="Times New Roman"/>
                <w:b/>
                <w:sz w:val="24"/>
                <w:u w:val="single"/>
              </w:rPr>
              <w:t xml:space="preserve"> RÖVID)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327–329</w:t>
            </w:r>
            <w:proofErr w:type="gramStart"/>
            <w:r>
              <w:rPr>
                <w:rFonts w:ascii="Times New Roman" w:hAnsi="Times New Roman"/>
                <w:sz w:val="24"/>
              </w:rPr>
              <w:t>.,</w:t>
            </w:r>
            <w:proofErr w:type="gramEnd"/>
            <w:r>
              <w:rPr>
                <w:rFonts w:ascii="Times New Roman" w:hAnsi="Times New Roman"/>
                <w:sz w:val="24"/>
              </w:rPr>
              <w:t xml:space="preserve"> valamint 334. cikke. A hosszú és rövid pozíciók megkülö</w:t>
            </w:r>
            <w:r>
              <w:rPr>
                <w:rFonts w:ascii="Times New Roman" w:hAnsi="Times New Roman"/>
                <w:sz w:val="24"/>
              </w:rPr>
              <w:t>n</w:t>
            </w:r>
            <w:r>
              <w:rPr>
                <w:rFonts w:ascii="Times New Roman" w:hAnsi="Times New Roman"/>
                <w:sz w:val="24"/>
              </w:rPr>
              <w:t>böztetésével kapcsolatban lásd a CRR 328. cikkének (2) bekezdését.</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TŐKEKÖVETELMÉNNYEL ÉRINTETT POZÍCIÓK</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Azok a nettó pozíciók, amelyekre a CRR harmadik része IV. címének 2. fejez</w:t>
            </w:r>
            <w:r>
              <w:rPr>
                <w:rFonts w:ascii="Times New Roman" w:hAnsi="Times New Roman"/>
                <w:sz w:val="24"/>
              </w:rPr>
              <w:t>e</w:t>
            </w:r>
            <w:r>
              <w:rPr>
                <w:rFonts w:ascii="Times New Roman" w:hAnsi="Times New Roman"/>
                <w:sz w:val="24"/>
              </w:rPr>
              <w:t>tében foglalt különböző módszerek szerint tőkekövetelmény vonatkozik.</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SZAVATOLÓTŐKE-KÖVETELMÉNY</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A CRR harmadik része IV. címének 2. fejezete szerint releváns pozíciók tők</w:t>
            </w:r>
            <w:r>
              <w:rPr>
                <w:rFonts w:ascii="Times New Roman" w:hAnsi="Times New Roman"/>
                <w:sz w:val="24"/>
              </w:rPr>
              <w:t>e</w:t>
            </w:r>
            <w:r>
              <w:rPr>
                <w:rFonts w:ascii="Times New Roman" w:hAnsi="Times New Roman"/>
                <w:sz w:val="24"/>
              </w:rPr>
              <w:t>követelménye.</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KOCKÁZATI KITETTSÉGÉRTÉK</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 CRR 92. cikke (4) bekezdésének b) pontja. A szavatolótőke-követelmény 12,5-del való szorzásának az eredménye.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53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Sorok</w:t>
            </w:r>
          </w:p>
        </w:tc>
      </w:tr>
      <w:tr w:rsidR="000B0B09" w:rsidRPr="00392FFD" w:rsidTr="00672D2A">
        <w:trPr>
          <w:trHeight w:val="1168"/>
        </w:trPr>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010-350</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KERESKEDÉSI KÖNYVBEN NYILVÁNTARTOTT, FORGALM</w:t>
            </w:r>
            <w:r>
              <w:rPr>
                <w:rFonts w:ascii="Times New Roman" w:hAnsi="Times New Roman"/>
                <w:b/>
                <w:sz w:val="24"/>
                <w:u w:val="single"/>
              </w:rPr>
              <w:t>A</w:t>
            </w:r>
            <w:r>
              <w:rPr>
                <w:rFonts w:ascii="Times New Roman" w:hAnsi="Times New Roman"/>
                <w:b/>
                <w:sz w:val="24"/>
                <w:u w:val="single"/>
              </w:rPr>
              <w:t>ZOTT, HITELVISZONYT MEGTESTESÍTŐ ÉRTÉKPAPÍROK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forgalmazott, hitelviszonyt megtestesítő értékpapírokban meglévő, keresk</w:t>
            </w:r>
            <w:r>
              <w:rPr>
                <w:rFonts w:ascii="Times New Roman" w:hAnsi="Times New Roman"/>
                <w:sz w:val="24"/>
              </w:rPr>
              <w:t>e</w:t>
            </w:r>
            <w:r>
              <w:rPr>
                <w:rFonts w:ascii="Times New Roman" w:hAnsi="Times New Roman"/>
                <w:sz w:val="24"/>
              </w:rPr>
              <w:t>dési könyvben nyilvántartott pozíciókat és az azoknak megfelelő, a CRR 92. cikke (3) bekezdése b) pontjának i. alpontja, valamint a CRR harmadik része IV. címének 2. fejezete szerinti pozíciókockázathoz kapcsolódó szavatolótőke-követelményt a kockázati kategóriától, a lejárattól és az alkalmazott módszertől függően kell feltüntetni.</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011</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ÁLTALÁNOS KOCKÁZAT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012</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Származtatott ügyletek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A kereskedési könyvi pozíciók kamatlábkockázatának számítása során figy</w:t>
            </w:r>
            <w:r>
              <w:rPr>
                <w:rFonts w:ascii="Times New Roman" w:hAnsi="Times New Roman"/>
                <w:sz w:val="24"/>
              </w:rPr>
              <w:t>e</w:t>
            </w:r>
            <w:r>
              <w:rPr>
                <w:rFonts w:ascii="Times New Roman" w:hAnsi="Times New Roman"/>
                <w:sz w:val="24"/>
              </w:rPr>
              <w:t>lembe vett származtatott ügyletek, a 328–331. cikk figyelembevételével, ha e cikkek alkalmazhatók.</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013</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Egyéb eszközök és kötelezettségek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A kereskedési könyvi pozíciók kamatlábkockázatának számítása során figy</w:t>
            </w:r>
            <w:r>
              <w:rPr>
                <w:rFonts w:ascii="Times New Roman" w:hAnsi="Times New Roman"/>
                <w:sz w:val="24"/>
              </w:rPr>
              <w:t>e</w:t>
            </w:r>
            <w:r>
              <w:rPr>
                <w:rFonts w:ascii="Times New Roman" w:hAnsi="Times New Roman"/>
                <w:sz w:val="24"/>
              </w:rPr>
              <w:t xml:space="preserve">lembe vett származtatott ügyleteken kívüli instrumentumok.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020-200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LEJÁRATON ALAPULÓ MÓDSZER</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 forgalmazott, hitelviszonyt megtestesítő értékpapírokban meglévő pozíciók, </w:t>
            </w:r>
            <w:r>
              <w:rPr>
                <w:rFonts w:ascii="Times New Roman" w:hAnsi="Times New Roman"/>
                <w:sz w:val="24"/>
              </w:rPr>
              <w:lastRenderedPageBreak/>
              <w:t>amelyek a CRR 339. cikkének (1)–(8) bekezdése szerinti lejáraton alapuló módszer, valamint az annak megfelelő, a CRR 339. cikkének (9) bekezdésében rögzített szavatolótőke-követelmények alkalmazási körébe tartoznak. A pozíc</w:t>
            </w:r>
            <w:r>
              <w:rPr>
                <w:rFonts w:ascii="Times New Roman" w:hAnsi="Times New Roman"/>
                <w:sz w:val="24"/>
              </w:rPr>
              <w:t>i</w:t>
            </w:r>
            <w:r>
              <w:rPr>
                <w:rFonts w:ascii="Times New Roman" w:hAnsi="Times New Roman"/>
                <w:sz w:val="24"/>
              </w:rPr>
              <w:t>ót az 1</w:t>
            </w:r>
            <w:proofErr w:type="gramStart"/>
            <w:r>
              <w:rPr>
                <w:rFonts w:ascii="Times New Roman" w:hAnsi="Times New Roman"/>
                <w:sz w:val="24"/>
              </w:rPr>
              <w:t>.,</w:t>
            </w:r>
            <w:proofErr w:type="gramEnd"/>
            <w:r>
              <w:rPr>
                <w:rFonts w:ascii="Times New Roman" w:hAnsi="Times New Roman"/>
                <w:sz w:val="24"/>
              </w:rPr>
              <w:t xml:space="preserve"> 2. és 3. zónákra, ezeket pedig az instrumentumok lejárata szerint kell felosztani.</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210-240</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ÁLTALÁNOS KOCKÁZAT ÁTLAGOS HÁTRALÉVŐ FUTAMIDŐN ALAPULÓ MÓDSZER</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forgalmazott, hitelviszonyt megtestesítő értékpapírokban meglévő pozíciók, amelyek a CRR 340. cikkének (1)–(6) bekezdése szerinti hátralévő futamidőn alapuló módszer, valamint az annak megfelelő, a CRR 340. cikkének (7) b</w:t>
            </w:r>
            <w:r>
              <w:rPr>
                <w:rFonts w:ascii="Times New Roman" w:hAnsi="Times New Roman"/>
                <w:sz w:val="24"/>
              </w:rPr>
              <w:t>e</w:t>
            </w:r>
            <w:r>
              <w:rPr>
                <w:rFonts w:ascii="Times New Roman" w:hAnsi="Times New Roman"/>
                <w:sz w:val="24"/>
              </w:rPr>
              <w:t>kezdésében rögzített szavatolótőke-követelmények alkalmazási körébe tarto</w:t>
            </w:r>
            <w:r>
              <w:rPr>
                <w:rFonts w:ascii="Times New Roman" w:hAnsi="Times New Roman"/>
                <w:sz w:val="24"/>
              </w:rPr>
              <w:t>z</w:t>
            </w:r>
            <w:r>
              <w:rPr>
                <w:rFonts w:ascii="Times New Roman" w:hAnsi="Times New Roman"/>
                <w:sz w:val="24"/>
              </w:rPr>
              <w:t>nak. A pozíciót az 1</w:t>
            </w:r>
            <w:proofErr w:type="gramStart"/>
            <w:r>
              <w:rPr>
                <w:rFonts w:ascii="Times New Roman" w:hAnsi="Times New Roman"/>
                <w:sz w:val="24"/>
              </w:rPr>
              <w:t>.,</w:t>
            </w:r>
            <w:proofErr w:type="gramEnd"/>
            <w:r>
              <w:rPr>
                <w:rFonts w:ascii="Times New Roman" w:hAnsi="Times New Roman"/>
                <w:sz w:val="24"/>
              </w:rPr>
              <w:t xml:space="preserve"> 2. és 3. zónákra kell felosztani.</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EGYEDI KOCKÁZAT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251-es, 325-ös és 330-as sorban megadott értékek összege.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A forgalmazott, hitelviszonyt megtestesítő értékpapírokban meglévő pozíciók, amelyek az egyedi kockázathoz kapcsolódó tőkekövetelmény hatálya alá e</w:t>
            </w:r>
            <w:r>
              <w:rPr>
                <w:rFonts w:ascii="Times New Roman" w:hAnsi="Times New Roman"/>
                <w:sz w:val="24"/>
              </w:rPr>
              <w:t>s</w:t>
            </w:r>
            <w:r>
              <w:rPr>
                <w:rFonts w:ascii="Times New Roman" w:hAnsi="Times New Roman"/>
                <w:sz w:val="24"/>
              </w:rPr>
              <w:t>nek, valamint a rájuk vonatkozó tőkekövetelmények a CRR 92. cikke (3) b</w:t>
            </w:r>
            <w:r>
              <w:rPr>
                <w:rFonts w:ascii="Times New Roman" w:hAnsi="Times New Roman"/>
                <w:sz w:val="24"/>
              </w:rPr>
              <w:t>e</w:t>
            </w:r>
            <w:r>
              <w:rPr>
                <w:rFonts w:ascii="Times New Roman" w:hAnsi="Times New Roman"/>
                <w:sz w:val="24"/>
              </w:rPr>
              <w:t>kezdésének b) pontja, 335. cikke, 336. cikkének (1)–(3) bekezdése, valamint 337. és 338. cikke szerint. Figyelembe kell venni továbbá a CRR 327. cikkének (1) bekezdését.</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251-321</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nem értékpapírosítási pozíciót jelentő, hitelviszonyt megtestesítő érté</w:t>
            </w:r>
            <w:r>
              <w:rPr>
                <w:rFonts w:ascii="Times New Roman" w:hAnsi="Times New Roman"/>
                <w:b/>
                <w:sz w:val="24"/>
                <w:u w:val="single"/>
              </w:rPr>
              <w:t>k</w:t>
            </w:r>
            <w:r>
              <w:rPr>
                <w:rFonts w:ascii="Times New Roman" w:hAnsi="Times New Roman"/>
                <w:b/>
                <w:sz w:val="24"/>
                <w:u w:val="single"/>
              </w:rPr>
              <w:t>papírok szavatolótőke-követelménye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260–321. sorokban megadott értékek összege.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külső minősítéssel nem rendelkező, n-edik nemteljesítéskor lehívható hitelderivatívák szavatolótőke-követelményét az alaptermék-kibocsátók kock</w:t>
            </w:r>
            <w:r>
              <w:rPr>
                <w:rFonts w:ascii="Times New Roman" w:hAnsi="Times New Roman"/>
                <w:sz w:val="24"/>
              </w:rPr>
              <w:t>á</w:t>
            </w:r>
            <w:r>
              <w:rPr>
                <w:rFonts w:ascii="Times New Roman" w:hAnsi="Times New Roman"/>
                <w:sz w:val="24"/>
              </w:rPr>
              <w:t>zati súlyainak összeadásával kell kiszámítani (a CRR 332. cikke (1) bekezdése e) pontjának első és második bekezdése – az alapul szolgáló eszközök vizsgál</w:t>
            </w:r>
            <w:r>
              <w:rPr>
                <w:rFonts w:ascii="Times New Roman" w:hAnsi="Times New Roman"/>
                <w:sz w:val="24"/>
              </w:rPr>
              <w:t>a</w:t>
            </w:r>
            <w:r>
              <w:rPr>
                <w:rFonts w:ascii="Times New Roman" w:hAnsi="Times New Roman"/>
                <w:sz w:val="24"/>
              </w:rPr>
              <w:t>ta). A külső minősítéssel rendelkező, n-edik nemteljesítéskor lehívható hitelderivatívákat (a CRR 332. cikke (1) bekezdése e) pontjának harmadik b</w:t>
            </w:r>
            <w:r>
              <w:rPr>
                <w:rFonts w:ascii="Times New Roman" w:hAnsi="Times New Roman"/>
                <w:sz w:val="24"/>
              </w:rPr>
              <w:t>e</w:t>
            </w:r>
            <w:r>
              <w:rPr>
                <w:rFonts w:ascii="Times New Roman" w:hAnsi="Times New Roman"/>
                <w:sz w:val="24"/>
              </w:rPr>
              <w:t xml:space="preserve">kezdése) külön kell feltüntetni a 321. sorban.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u w:val="single"/>
              </w:rPr>
              <w:t>A CRR 336. cikkének (3) bekezdése szerinti pozíciókkal kapcsolatos adatszo</w:t>
            </w:r>
            <w:r>
              <w:rPr>
                <w:rFonts w:ascii="Times New Roman" w:hAnsi="Times New Roman"/>
                <w:sz w:val="24"/>
                <w:u w:val="single"/>
              </w:rPr>
              <w:t>l</w:t>
            </w:r>
            <w:r>
              <w:rPr>
                <w:rFonts w:ascii="Times New Roman" w:hAnsi="Times New Roman"/>
                <w:sz w:val="24"/>
                <w:u w:val="single"/>
              </w:rPr>
              <w:t>gáltatás</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129. cikkének (3) bekezdése szerint speciálisan kezelendők azok a kö</w:t>
            </w:r>
            <w:r>
              <w:rPr>
                <w:rFonts w:ascii="Times New Roman" w:hAnsi="Times New Roman"/>
                <w:sz w:val="24"/>
              </w:rPr>
              <w:t>t</w:t>
            </w:r>
            <w:r>
              <w:rPr>
                <w:rFonts w:ascii="Times New Roman" w:hAnsi="Times New Roman"/>
                <w:sz w:val="24"/>
              </w:rPr>
              <w:t>vények, amelyek a banki könyvben 10 %-ot elérő kockázati súlyt képviselnek (fedezett kötvények). Az egyedi szavatolótőke-követelmény a CRR 336. cikke 1. táblázatának második kategóriájában szereplő százalékos arány fele. Ezeket a pozíciókat a végső lejáratig hátralévő idő alapján kell a 280–300. sorokban feltüntetni.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Ha a kamatláb-pozíciók általános kockázatát hitelderivatíva fedezi, akkor a 346. és 347. cikket kell alkalmazni.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325</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Az értékpapírosított eszközök szavatolótőke-követelménye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MKR SA SEC tábla 610-es oszlopában feltüntetett teljes szavatolótőke-követelmény. Csak az MKR SA TDI összesítésében adható meg.</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330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korrelációkereskedési portfólió szavatolótőke-követelménye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MKR SA CTP tábla 450-es oszlopában feltüntetett teljes szavatolótőke-követelmény. Csak az MKR SA TDI összesítésében adható meg.</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350-390</w:t>
            </w:r>
          </w:p>
        </w:tc>
        <w:tc>
          <w:tcPr>
            <w:tcW w:w="7875"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OPCIÓKRA VONATKOZÓ TOVÁBBI KÖVET</w:t>
            </w:r>
            <w:r w:rsidR="003E7498">
              <w:rPr>
                <w:rStyle w:val="InstructionsTabelleberschrift"/>
                <w:rFonts w:ascii="Times New Roman" w:hAnsi="Times New Roman"/>
                <w:sz w:val="24"/>
              </w:rPr>
              <w:t>ELMÉNYEK (NEM DELTA KOCKÁZATOK)</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329. cikkének (3) bekezdése</w:t>
            </w:r>
          </w:p>
          <w:p w:rsidR="000B0B09" w:rsidRPr="00392FFD" w:rsidRDefault="000B0B09" w:rsidP="000B0B09">
            <w:pPr>
              <w:autoSpaceDE w:val="0"/>
              <w:autoSpaceDN w:val="0"/>
              <w:adjustRightInd w:val="0"/>
              <w:spacing w:before="0" w:after="0"/>
              <w:rPr>
                <w:rFonts w:ascii="Times New Roman" w:hAnsi="Times New Roman"/>
                <w:sz w:val="24"/>
              </w:rPr>
            </w:pPr>
          </w:p>
          <w:p w:rsidR="00D96E61"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nem delta kockázatokkal kapcsolatos, opciókra vonatkozó további követe</w:t>
            </w:r>
            <w:r>
              <w:rPr>
                <w:rFonts w:ascii="Times New Roman" w:hAnsi="Times New Roman"/>
                <w:sz w:val="24"/>
              </w:rPr>
              <w:t>l</w:t>
            </w:r>
            <w:r>
              <w:rPr>
                <w:rFonts w:ascii="Times New Roman" w:hAnsi="Times New Roman"/>
                <w:sz w:val="24"/>
              </w:rPr>
              <w:t>ményeket a számítási módszerben kell feltüntetni.</w:t>
            </w:r>
          </w:p>
          <w:p w:rsidR="000B0B09" w:rsidRPr="00392FFD" w:rsidRDefault="000B0B09" w:rsidP="00D96E61">
            <w:pPr>
              <w:autoSpaceDE w:val="0"/>
              <w:autoSpaceDN w:val="0"/>
              <w:adjustRightInd w:val="0"/>
              <w:spacing w:before="0" w:after="0"/>
              <w:rPr>
                <w:rFonts w:ascii="Times New Roman" w:hAnsi="Times New Roman"/>
                <w:bCs/>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516210686"/>
      <w:bookmarkStart w:id="628" w:name="_Toc473561035"/>
      <w:bookmarkStart w:id="629" w:name="_Toc524014745"/>
      <w:r>
        <w:rPr>
          <w:rFonts w:ascii="Times New Roman" w:hAnsi="Times New Roman"/>
          <w:sz w:val="24"/>
          <w:u w:val="none"/>
        </w:rPr>
        <w:t>5.2.</w:t>
      </w:r>
      <w:r w:rsidRPr="003E7498">
        <w:rPr>
          <w:u w:val="none"/>
        </w:rPr>
        <w:tab/>
      </w:r>
      <w:r>
        <w:rPr>
          <w:rFonts w:ascii="Times New Roman" w:hAnsi="Times New Roman"/>
          <w:sz w:val="24"/>
        </w:rPr>
        <w:t>C 19.00 – PIACI KOCKÁZAT: AZ ÉRTÉKPAPÍROSÍTÁSOK EGYEDI KOCK</w:t>
      </w:r>
      <w:r>
        <w:rPr>
          <w:rFonts w:ascii="Times New Roman" w:hAnsi="Times New Roman"/>
          <w:sz w:val="24"/>
        </w:rPr>
        <w:t>Á</w:t>
      </w:r>
      <w:r>
        <w:rPr>
          <w:rFonts w:ascii="Times New Roman" w:hAnsi="Times New Roman"/>
          <w:sz w:val="24"/>
        </w:rPr>
        <w:t>ZATÁNAK SZTENDERD MÓDSZERE (MKR SA SEC)</w:t>
      </w:r>
      <w:bookmarkEnd w:id="622"/>
      <w:bookmarkEnd w:id="623"/>
      <w:bookmarkEnd w:id="624"/>
      <w:bookmarkEnd w:id="625"/>
      <w:bookmarkEnd w:id="626"/>
      <w:bookmarkEnd w:id="627"/>
      <w:bookmarkEnd w:id="628"/>
      <w:bookmarkEnd w:id="62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516210687"/>
      <w:bookmarkStart w:id="636" w:name="_Toc473561036"/>
      <w:bookmarkStart w:id="637" w:name="_Toc524014746"/>
      <w:r>
        <w:rPr>
          <w:rFonts w:ascii="Times New Roman" w:hAnsi="Times New Roman"/>
          <w:sz w:val="24"/>
          <w:u w:val="none"/>
        </w:rPr>
        <w:t>5.2.1.</w:t>
      </w:r>
      <w:r w:rsidRPr="003E7498">
        <w:rPr>
          <w:u w:val="none"/>
        </w:rPr>
        <w:tab/>
      </w:r>
      <w:r>
        <w:rPr>
          <w:rFonts w:ascii="Times New Roman" w:hAnsi="Times New Roman"/>
          <w:sz w:val="24"/>
        </w:rPr>
        <w:t>Általános megjegyzések</w:t>
      </w:r>
      <w:bookmarkEnd w:id="630"/>
      <w:bookmarkEnd w:id="631"/>
      <w:bookmarkEnd w:id="632"/>
      <w:bookmarkEnd w:id="633"/>
      <w:bookmarkEnd w:id="634"/>
      <w:bookmarkEnd w:id="635"/>
      <w:bookmarkEnd w:id="636"/>
      <w:bookmarkEnd w:id="637"/>
    </w:p>
    <w:p w:rsidR="000B0B09" w:rsidRDefault="00125707" w:rsidP="00C37B29">
      <w:pPr>
        <w:pStyle w:val="InstructionsText2"/>
        <w:numPr>
          <w:ilvl w:val="0"/>
          <w:numId w:val="0"/>
        </w:numPr>
        <w:ind w:left="993"/>
      </w:pPr>
      <w:r>
        <w:t>141.</w:t>
      </w:r>
      <w:r>
        <w:tab/>
        <w:t>Ezen a táblán a sztenderd módszer alkalmazási körébe tartozó pozíciókról (ö</w:t>
      </w:r>
      <w:r>
        <w:t>s</w:t>
      </w:r>
      <w:r>
        <w:t>szes/nettó, hosszú/rövid), valamint az ezekhez kapcsolódóan a kereskedési köny</w:t>
      </w:r>
      <w:r>
        <w:t>v</w:t>
      </w:r>
      <w:r>
        <w:t>ben nyilvántartott (a korrelációkereskedési portfólióban figyelembe nem vehető) é</w:t>
      </w:r>
      <w:r>
        <w:t>r</w:t>
      </w:r>
      <w:r>
        <w:t>tékpapírosítások és újra-értékpapírosítások pozíciókockázatán belüli egyedi kock</w:t>
      </w:r>
      <w:r>
        <w:t>á</w:t>
      </w:r>
      <w:r>
        <w:t>zatra vonatkozó szavatolótőke-követelményről kell adatot szolgáltatni. A 2019. j</w:t>
      </w:r>
      <w:r>
        <w:t>a</w:t>
      </w:r>
      <w:r>
        <w:t>nuár 1. utáni adatszolgáltatási időpontokban a kereskedési könyvben nyilvántartott azon értékpapírosításokat, amelyeknek egyedi kockázatra vonatkozó szavatolótőke-követelménye a CRR alapján kerül meghatározásra, azaz ha a szavatolótőke-követelmény a felülvizsgált értékpapírosítási keret alapján kerül kiszámításra, e</w:t>
      </w:r>
      <w:r>
        <w:t>b</w:t>
      </w:r>
      <w:r>
        <w:t>ben a táblában nem, csak a C 02.00 táblában kell feltüntetni. Ugyanígy a 2019. j</w:t>
      </w:r>
      <w:r>
        <w:t>a</w:t>
      </w:r>
      <w:r>
        <w:t>nuár 1. utáni adatszolgáltatási időpontokban azokat az értékpapírosítási pozíciókat, amelyekre a CRR szerint 1 250 %-os kockázati súly alkalmazandó, és amelyek a CRR 36. cikke (1) bekezdése k) pontjának ii. alpontja alapján levonásra kerülnek a CET1 tőkéből, ebben a táblában nem, csak a C 01.00 táblában kell feltüntetni.</w:t>
      </w:r>
    </w:p>
    <w:p w:rsidR="00E50E79" w:rsidRPr="00392FFD" w:rsidRDefault="00FF1422" w:rsidP="00C37B29">
      <w:pPr>
        <w:pStyle w:val="InstructionsText2"/>
        <w:numPr>
          <w:ilvl w:val="0"/>
          <w:numId w:val="0"/>
        </w:numPr>
        <w:ind w:left="993"/>
      </w:pPr>
      <w:r>
        <w:t>141a. E tábla alkalmazásában a CRR harmadik része, II. címe 5. fejezetének cikke</w:t>
      </w:r>
      <w:r>
        <w:t>i</w:t>
      </w:r>
      <w:r>
        <w:t>re és a CRR 337. cikkére való hivatkozások a CRR 2018. december 31-én alkalm</w:t>
      </w:r>
      <w:r>
        <w:t>a</w:t>
      </w:r>
      <w:r>
        <w:t>zandó változatára való hivatkozásként értendők.</w:t>
      </w:r>
    </w:p>
    <w:p w:rsidR="000B0B09" w:rsidRPr="00392FFD" w:rsidRDefault="00125707" w:rsidP="00C37B29">
      <w:pPr>
        <w:pStyle w:val="InstructionsText2"/>
        <w:numPr>
          <w:ilvl w:val="0"/>
          <w:numId w:val="0"/>
        </w:numPr>
        <w:ind w:left="993"/>
      </w:pPr>
      <w:r>
        <w:t>142.</w:t>
      </w:r>
      <w:r>
        <w:tab/>
        <w:t>Az MKR SA SEC tábla kizárólag a CRR 335. cikke, valamint azzal összefü</w:t>
      </w:r>
      <w:r>
        <w:t>g</w:t>
      </w:r>
      <w:r>
        <w:t>gésben a CRR 337. cikke szerinti értékpapírosítási pozíciók egyedi kockázatához kapcsolódó szavatolótőke-követelményt határozza meg. Ha a kereskedési könyvben nyilvántartott értékpapírosítási pozíciókat hitelderivatívákkal fedezik, akkor a CRR 346. és 347. cikkét kell alkalmazni. Valamennyi kereskedési könyvi pozícióról egy táblán kell adatot szolgáltatni attól függetlenül, hogy az intézmény a sztenderd módszert vagy a belső minősítésen alapuló módszert alkalmazza a CRR harmadik része II. címének 5. fejezete szerinti egyes pozíciók kockázati súlyának meghatár</w:t>
      </w:r>
      <w:r>
        <w:t>o</w:t>
      </w:r>
      <w:r>
        <w:lastRenderedPageBreak/>
        <w:t>zásakor. Az e pozíciók általános kockázatához kapcsolódó szavatolótőke-követelményre vonatkozó adatszolgáltatás az MKR SA TDI vagy az MKR IM tá</w:t>
      </w:r>
      <w:r>
        <w:t>b</w:t>
      </w:r>
      <w:r>
        <w:t>lán történik.</w:t>
      </w:r>
    </w:p>
    <w:p w:rsidR="00606885" w:rsidRPr="00392FFD" w:rsidRDefault="00125707" w:rsidP="00C37B29">
      <w:pPr>
        <w:pStyle w:val="InstructionsText2"/>
        <w:numPr>
          <w:ilvl w:val="0"/>
          <w:numId w:val="0"/>
        </w:numPr>
        <w:ind w:left="993"/>
      </w:pPr>
      <w:r>
        <w:t>143.</w:t>
      </w:r>
      <w:r>
        <w:tab/>
        <w:t>Az 1 250 %-os kockázati súlyú pozíciók az elsődleges alapvető tőkéből (CET1) is levonhatók (lásd a CRR 243. cikke (1) bekezdésének b) pontját, 244. cikke (1) bekezdésének b) pontját és 258. cikkét). Ebben az esetben a pozícióról a CA1 tábla 460-as sorában kell adatot szolgáltatni.</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8" w:name="_Toc294172372"/>
      <w:bookmarkStart w:id="639" w:name="_Toc295830001"/>
      <w:bookmarkStart w:id="640" w:name="_Toc308426678"/>
      <w:bookmarkStart w:id="641" w:name="_Toc310415062"/>
      <w:bookmarkStart w:id="642" w:name="_Toc360188397"/>
      <w:bookmarkStart w:id="643" w:name="_Toc516210688"/>
      <w:bookmarkStart w:id="644" w:name="_Toc473561037"/>
      <w:bookmarkStart w:id="645" w:name="_Toc524014747"/>
      <w:r>
        <w:rPr>
          <w:rFonts w:ascii="Times New Roman" w:hAnsi="Times New Roman"/>
          <w:sz w:val="24"/>
          <w:u w:val="none"/>
        </w:rPr>
        <w:t>5.2.2.</w:t>
      </w:r>
      <w:r w:rsidRPr="003E7498">
        <w:rPr>
          <w:u w:val="none"/>
        </w:rPr>
        <w:tab/>
      </w:r>
      <w:r>
        <w:rPr>
          <w:rFonts w:ascii="Times New Roman" w:hAnsi="Times New Roman"/>
          <w:sz w:val="24"/>
        </w:rPr>
        <w:t>A tábla egyes részeire vonatkozó útmutató</w:t>
      </w:r>
      <w:bookmarkEnd w:id="638"/>
      <w:bookmarkEnd w:id="639"/>
      <w:bookmarkEnd w:id="640"/>
      <w:bookmarkEnd w:id="641"/>
      <w:bookmarkEnd w:id="642"/>
      <w:bookmarkEnd w:id="643"/>
      <w:bookmarkEnd w:id="644"/>
      <w:bookmarkEnd w:id="6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3"/>
        <w:gridCol w:w="7874"/>
      </w:tblGrid>
      <w:tr w:rsidR="000B0B09" w:rsidRPr="00392FFD" w:rsidTr="00672D2A">
        <w:trPr>
          <w:trHeight w:val="63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Oszlopok</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ÖSSZES POZÍCIÓ (HOSSZÚ </w:t>
            </w:r>
            <w:proofErr w:type="gramStart"/>
            <w:r>
              <w:rPr>
                <w:rFonts w:ascii="Times New Roman" w:hAnsi="Times New Roman"/>
                <w:b/>
                <w:sz w:val="24"/>
                <w:u w:val="single"/>
              </w:rPr>
              <w:t>ÉS</w:t>
            </w:r>
            <w:proofErr w:type="gramEnd"/>
            <w:r>
              <w:rPr>
                <w:rFonts w:ascii="Times New Roman" w:hAnsi="Times New Roman"/>
                <w:b/>
                <w:sz w:val="24"/>
                <w:u w:val="single"/>
              </w:rPr>
              <w:t xml:space="preserve"> RÖVID)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 CRR 102. cikke, valamint 105. cikkének (1) bekezdése a CRR 337. cikkével összefüggésben (értékpapírosítási pozíciók). A hosszú és rövid pozícióknak az említett bruttó pozíciókra is alkalmazandó megkülönböztetésével kapcsolatban lásd a CR</w:t>
            </w:r>
            <w:r w:rsidR="003E7498">
              <w:rPr>
                <w:rStyle w:val="InstructionsTabelleText"/>
                <w:rFonts w:ascii="Times New Roman" w:hAnsi="Times New Roman"/>
                <w:sz w:val="24"/>
              </w:rPr>
              <w:t>R 328. cikkének (2) bekezdését.</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SZAVATOLÓ TŐKÉBŐL LEVONT POZÍCIÓK</w:t>
            </w:r>
            <w:r>
              <w:rPr>
                <w:rFonts w:ascii="Times New Roman" w:hAnsi="Times New Roman"/>
                <w:b/>
                <w:sz w:val="24"/>
                <w:u w:val="single"/>
              </w:rPr>
              <w:t xml:space="preserve"> (HOSSZÚ </w:t>
            </w:r>
            <w:proofErr w:type="gramStart"/>
            <w:r>
              <w:rPr>
                <w:rFonts w:ascii="Times New Roman" w:hAnsi="Times New Roman"/>
                <w:b/>
                <w:sz w:val="24"/>
                <w:u w:val="single"/>
              </w:rPr>
              <w:t>ÉS</w:t>
            </w:r>
            <w:proofErr w:type="gramEnd"/>
            <w:r>
              <w:rPr>
                <w:rFonts w:ascii="Times New Roman" w:hAnsi="Times New Roman"/>
                <w:b/>
                <w:sz w:val="24"/>
                <w:u w:val="single"/>
              </w:rPr>
              <w:t xml:space="preserve"> R</w:t>
            </w:r>
            <w:r>
              <w:rPr>
                <w:rFonts w:ascii="Times New Roman" w:hAnsi="Times New Roman"/>
                <w:b/>
                <w:sz w:val="24"/>
                <w:u w:val="single"/>
              </w:rPr>
              <w:t>Ö</w:t>
            </w:r>
            <w:r>
              <w:rPr>
                <w:rFonts w:ascii="Times New Roman" w:hAnsi="Times New Roman"/>
                <w:b/>
                <w:sz w:val="24"/>
                <w:u w:val="single"/>
              </w:rPr>
              <w:t>VID)</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 CRR 258. cikke.</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NETTÓ POZÍCIÓK</w:t>
            </w:r>
            <w:r>
              <w:rPr>
                <w:rFonts w:ascii="Times New Roman" w:hAnsi="Times New Roman"/>
                <w:b/>
                <w:sz w:val="24"/>
                <w:u w:val="single"/>
              </w:rPr>
              <w:t xml:space="preserve"> (HOSSZÚ </w:t>
            </w:r>
            <w:proofErr w:type="gramStart"/>
            <w:r>
              <w:rPr>
                <w:rFonts w:ascii="Times New Roman" w:hAnsi="Times New Roman"/>
                <w:b/>
                <w:sz w:val="24"/>
                <w:u w:val="single"/>
              </w:rPr>
              <w:t>ÉS</w:t>
            </w:r>
            <w:proofErr w:type="gramEnd"/>
            <w:r>
              <w:rPr>
                <w:rFonts w:ascii="Times New Roman" w:hAnsi="Times New Roman"/>
                <w:b/>
                <w:sz w:val="24"/>
                <w:u w:val="single"/>
              </w:rPr>
              <w:t xml:space="preserve"> RÖVID)</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 CRR 327–329., valamint 334. cikke. A hosszú és rövid pozíciók megkülö</w:t>
            </w:r>
            <w:r>
              <w:rPr>
                <w:rStyle w:val="InstructionsTabelleText"/>
                <w:rFonts w:ascii="Times New Roman" w:hAnsi="Times New Roman"/>
                <w:sz w:val="24"/>
              </w:rPr>
              <w:t>n</w:t>
            </w:r>
            <w:r>
              <w:rPr>
                <w:rStyle w:val="InstructionsTabelleText"/>
                <w:rFonts w:ascii="Times New Roman" w:hAnsi="Times New Roman"/>
                <w:sz w:val="24"/>
              </w:rPr>
              <w:t>böztetésével kapcsolatban lásd a CRR 328. cikkének (2) bekezdését.</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NETTÓ POZÍCIÓK KOCKÁZATI SÚLY SZERINTI BONTÁSA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 CRR 251. cikke (1. táblázat), valamint 261. cikkének (1) bekezdése (4. tá</w:t>
            </w:r>
            <w:r>
              <w:rPr>
                <w:rStyle w:val="InstructionsTabelleText"/>
                <w:rFonts w:ascii="Times New Roman" w:hAnsi="Times New Roman"/>
                <w:sz w:val="24"/>
              </w:rPr>
              <w:t>b</w:t>
            </w:r>
            <w:r>
              <w:rPr>
                <w:rStyle w:val="InstructionsTabelleText"/>
                <w:rFonts w:ascii="Times New Roman" w:hAnsi="Times New Roman"/>
                <w:sz w:val="24"/>
              </w:rPr>
              <w:t>lázat). A hosszú és rövid pozíciókat külön kell csoportosítani.</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230–240 és 460–470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1 250 %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 CRR 251. cikke (1. táblázat), valamint 261. cikkének (1) bekezdése (4. tá</w:t>
            </w:r>
            <w:r>
              <w:rPr>
                <w:rStyle w:val="InstructionsTabelleText"/>
                <w:rFonts w:ascii="Times New Roman" w:hAnsi="Times New Roman"/>
                <w:sz w:val="24"/>
              </w:rPr>
              <w:t>b</w:t>
            </w:r>
            <w:r>
              <w:rPr>
                <w:rStyle w:val="InstructionsTabelleText"/>
                <w:rFonts w:ascii="Times New Roman" w:hAnsi="Times New Roman"/>
                <w:sz w:val="24"/>
              </w:rPr>
              <w:t>lázat).</w:t>
            </w:r>
          </w:p>
        </w:tc>
      </w:tr>
      <w:tr w:rsidR="000B0B09" w:rsidRPr="00392FFD" w:rsidTr="00672D2A">
        <w:trPr>
          <w:trHeight w:val="1706"/>
        </w:trPr>
        <w:tc>
          <w:tcPr>
            <w:tcW w:w="988" w:type="dxa"/>
          </w:tcPr>
          <w:p w:rsidR="000B0B09" w:rsidRPr="00392FFD" w:rsidRDefault="000B0B09" w:rsidP="000B0B09">
            <w:pPr>
              <w:rPr>
                <w:rFonts w:ascii="Times New Roman" w:hAnsi="Times New Roman"/>
                <w:sz w:val="24"/>
              </w:rPr>
            </w:pPr>
            <w:r>
              <w:rPr>
                <w:rFonts w:ascii="Times New Roman" w:hAnsi="Times New Roman"/>
                <w:sz w:val="24"/>
              </w:rPr>
              <w:t>250-260 és 480-490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 FELÜGYELETI KÉPLET MÓDSZERE</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 CRR 337. cikkének (2) bekezdése a CRR 262. cikkével összefüggésben. </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Ezeket az oszlopokat akkor kell kitölteni, ha az intézmények az alternatív fel</w:t>
            </w:r>
            <w:r>
              <w:rPr>
                <w:rStyle w:val="InstructionsTabelleText"/>
                <w:rFonts w:ascii="Times New Roman" w:hAnsi="Times New Roman"/>
                <w:sz w:val="24"/>
              </w:rPr>
              <w:t>ü</w:t>
            </w:r>
            <w:r>
              <w:rPr>
                <w:rStyle w:val="InstructionsTabelleText"/>
                <w:rFonts w:ascii="Times New Roman" w:hAnsi="Times New Roman"/>
                <w:sz w:val="24"/>
              </w:rPr>
              <w:t>gyeleti képlet módszerét (SFA) alkalmazzák, amely a szavatolótőke-követelményt a biztosítékhalmaz jellemzőinek és az ügyletrészsorozat szerz</w:t>
            </w:r>
            <w:r>
              <w:rPr>
                <w:rStyle w:val="InstructionsTabelleText"/>
                <w:rFonts w:ascii="Times New Roman" w:hAnsi="Times New Roman"/>
                <w:sz w:val="24"/>
              </w:rPr>
              <w:t>ő</w:t>
            </w:r>
            <w:r>
              <w:rPr>
                <w:rStyle w:val="InstructionsTabelleText"/>
                <w:rFonts w:ascii="Times New Roman" w:hAnsi="Times New Roman"/>
                <w:sz w:val="24"/>
              </w:rPr>
              <w:t xml:space="preserve">déses tulajdonságainak függvényében határozza meg. </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rPr>
          <w:trHeight w:val="2254"/>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270 és 500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AZ ALAPUL SZOLGÁLÓ ESZKÖZÖK VIZSGÁLATA (ÁTTEKINTÉS ELVE)</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SA: A CRR 253. és 254. cikke, valamint 256. cikkének (5) bekezdése Az al</w:t>
            </w:r>
            <w:r>
              <w:rPr>
                <w:rStyle w:val="InstructionsTabelleText"/>
                <w:rFonts w:ascii="Times New Roman" w:hAnsi="Times New Roman"/>
                <w:sz w:val="24"/>
              </w:rPr>
              <w:t>a</w:t>
            </w:r>
            <w:r>
              <w:rPr>
                <w:rStyle w:val="InstructionsTabelleText"/>
                <w:rFonts w:ascii="Times New Roman" w:hAnsi="Times New Roman"/>
                <w:sz w:val="24"/>
              </w:rPr>
              <w:t>pul szolgáló eszközök vizsgálatára vonatkozó oszlopok a nem minősített kitet</w:t>
            </w:r>
            <w:r>
              <w:rPr>
                <w:rStyle w:val="InstructionsTabelleText"/>
                <w:rFonts w:ascii="Times New Roman" w:hAnsi="Times New Roman"/>
                <w:sz w:val="24"/>
              </w:rPr>
              <w:t>t</w:t>
            </w:r>
            <w:r>
              <w:rPr>
                <w:rStyle w:val="InstructionsTabelleText"/>
                <w:rFonts w:ascii="Times New Roman" w:hAnsi="Times New Roman"/>
                <w:sz w:val="24"/>
              </w:rPr>
              <w:t>ségek valamennyi olyan esetét magukban foglalják, amelyeknél a kockázati súlyt az alapul szolgáló kitettségportfólió (a halmaz átlagos kockázati súlya, a halmaz legmagasabb kockázati súlya, vagy koncentrációs ráta alkalmazása) alapján állapítják meg.</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IRB: A CRR 263. cikkének (2) és (3) bekezdése. A gyorsított visszafizetéssel kapcsolatban lásd CRR 265. cikkének (1) bekezdését és 256. cikkének (5) b</w:t>
            </w:r>
            <w:r>
              <w:rPr>
                <w:rStyle w:val="InstructionsTabelleText"/>
                <w:rFonts w:ascii="Times New Roman" w:hAnsi="Times New Roman"/>
                <w:sz w:val="24"/>
              </w:rPr>
              <w:t>e</w:t>
            </w:r>
            <w:r>
              <w:rPr>
                <w:rStyle w:val="InstructionsTabelleText"/>
                <w:rFonts w:ascii="Times New Roman" w:hAnsi="Times New Roman"/>
                <w:sz w:val="24"/>
              </w:rPr>
              <w:t>kezdését.</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280–290/510–520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BELSŐ ÉRTÉKELÉSI MÓDSZER</w:t>
            </w:r>
          </w:p>
          <w:p w:rsidR="000B0B09" w:rsidRPr="00392FFD" w:rsidRDefault="000B0B09" w:rsidP="000B0B09">
            <w:pPr>
              <w:autoSpaceDE w:val="0"/>
              <w:autoSpaceDN w:val="0"/>
              <w:adjustRightInd w:val="0"/>
              <w:jc w:val="left"/>
              <w:rPr>
                <w:rStyle w:val="InstructionsTabelleText"/>
                <w:rFonts w:ascii="Times New Roman" w:hAnsi="Times New Roman"/>
                <w:sz w:val="24"/>
              </w:rPr>
            </w:pPr>
            <w:r>
              <w:rPr>
                <w:rStyle w:val="InstructionsTabelleText"/>
                <w:rFonts w:ascii="Times New Roman" w:hAnsi="Times New Roman"/>
                <w:sz w:val="24"/>
              </w:rPr>
              <w:t>A CRR 109. cikke (1) bekezdésének második mondata, valamint 259. cikkének (3) és (4) bekezdése.</w:t>
            </w:r>
          </w:p>
          <w:p w:rsidR="000B0B09" w:rsidRPr="00392FFD" w:rsidRDefault="000B0B09" w:rsidP="000B0B09">
            <w:pPr>
              <w:autoSpaceDE w:val="0"/>
              <w:autoSpaceDN w:val="0"/>
              <w:adjustRightInd w:val="0"/>
              <w:jc w:val="left"/>
              <w:rPr>
                <w:rFonts w:ascii="Times New Roman" w:hAnsi="Times New Roman"/>
                <w:bCs/>
                <w:sz w:val="24"/>
                <w:u w:val="single"/>
              </w:rPr>
            </w:pPr>
            <w:r>
              <w:rPr>
                <w:rStyle w:val="InstructionsTabelleText"/>
                <w:rFonts w:ascii="Times New Roman" w:hAnsi="Times New Roman"/>
                <w:sz w:val="24"/>
              </w:rPr>
              <w:t>Ezeket az oszlopokat akkor kell kitölteni, ha az intézmény a belső értékelési módszer alapján határozza meg a bankok által (ideértve a külső bankokat is) ABCP-program keretében nyújtott likviditási hitelkeretek és hitelminőség-javítási lehetőségek tőkekövetelményét. A külső hitelminősítő intézeti mó</w:t>
            </w:r>
            <w:r>
              <w:rPr>
                <w:rStyle w:val="InstructionsTabelleText"/>
                <w:rFonts w:ascii="Times New Roman" w:hAnsi="Times New Roman"/>
                <w:sz w:val="24"/>
              </w:rPr>
              <w:t>d</w:t>
            </w:r>
            <w:r>
              <w:rPr>
                <w:rStyle w:val="InstructionsTabelleText"/>
                <w:rFonts w:ascii="Times New Roman" w:hAnsi="Times New Roman"/>
                <w:sz w:val="24"/>
              </w:rPr>
              <w:t>szertanra épülő belső értékelési módszer (IAA) az ABCP-programmal szemben kizárólag olyan kitettségeknél alkalmazható, amelyek kezdeti belső hitelmin</w:t>
            </w:r>
            <w:r>
              <w:rPr>
                <w:rStyle w:val="InstructionsTabelleText"/>
                <w:rFonts w:ascii="Times New Roman" w:hAnsi="Times New Roman"/>
                <w:sz w:val="24"/>
              </w:rPr>
              <w:t>ő</w:t>
            </w:r>
            <w:r>
              <w:rPr>
                <w:rStyle w:val="InstructionsTabelleText"/>
                <w:rFonts w:ascii="Times New Roman" w:hAnsi="Times New Roman"/>
                <w:sz w:val="24"/>
              </w:rPr>
              <w:t>ségi besorolása a befektetési fokozattal egyenértékű.</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530-540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AZ ELŐZETES VIZSGÁLATRA VONATKOZÓ RENDELKEZÉSEK MEGSÉRTÉSE MIATTI ÁLTALÁNOS HATÁS (KORREKCIÓ)</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104A6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 CRR 337. cikkének (3) bekezdése a CRR 407. cikkével összefüggésben. A CRR 14. cikkének (2) bekezdése</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550-570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FELSŐ KORLÁT FIGYELEMBEVÉTELE ELŐTT – SÚLYOZOTT NETTÓ HOSSZÚ </w:t>
            </w:r>
            <w:proofErr w:type="gramStart"/>
            <w:r>
              <w:rPr>
                <w:rFonts w:ascii="Times New Roman" w:hAnsi="Times New Roman"/>
                <w:b/>
                <w:sz w:val="24"/>
                <w:u w:val="single"/>
              </w:rPr>
              <w:t>ÉS</w:t>
            </w:r>
            <w:proofErr w:type="gramEnd"/>
            <w:r>
              <w:rPr>
                <w:rFonts w:ascii="Times New Roman" w:hAnsi="Times New Roman"/>
                <w:b/>
                <w:sz w:val="24"/>
                <w:u w:val="single"/>
              </w:rPr>
              <w:t xml:space="preserve"> RÖVID POZÍCIÓK, A SÚLYOZOTT NETTÓ HOSSZÚ ÉS RÖVID POZÍCIÓK ÖSSZEGE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A CRR 337. cikke, figyelmen kívül hagyva a CRR 335. cikkében biztosított jogosultságot, amely alapján egy intézmény a nemteljesítési kockázathoz ka</w:t>
            </w:r>
            <w:r>
              <w:rPr>
                <w:rFonts w:ascii="Times New Roman" w:hAnsi="Times New Roman"/>
                <w:sz w:val="24"/>
              </w:rPr>
              <w:t>p</w:t>
            </w:r>
            <w:r>
              <w:rPr>
                <w:rFonts w:ascii="Times New Roman" w:hAnsi="Times New Roman"/>
                <w:sz w:val="24"/>
              </w:rPr>
              <w:t>csolódó veszteség lehetséges maximális összegében korlátozhatja a súly és a nettó pozíció szorzatát.</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580-600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FELSŐ KORLÁT FIGYELEMBEVÉTELE UTÁN – SÚLYOZOTT NETTÓ HOSSZÚ </w:t>
            </w:r>
            <w:proofErr w:type="gramStart"/>
            <w:r>
              <w:rPr>
                <w:rFonts w:ascii="Times New Roman" w:hAnsi="Times New Roman"/>
                <w:b/>
                <w:sz w:val="24"/>
                <w:u w:val="single"/>
              </w:rPr>
              <w:t>ÉS</w:t>
            </w:r>
            <w:proofErr w:type="gramEnd"/>
            <w:r>
              <w:rPr>
                <w:rFonts w:ascii="Times New Roman" w:hAnsi="Times New Roman"/>
                <w:b/>
                <w:sz w:val="24"/>
                <w:u w:val="single"/>
              </w:rPr>
              <w:t xml:space="preserve"> RÖVID POZÍCIÓK, A SÚLYOZOTT NETTÓ HOSSZÚ ÉS RÖVID POZÍCIÓK ÖSSZEGE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A CRR 337. cikke, a CRR 335. cikkében biztosított jogosultság figyelembev</w:t>
            </w:r>
            <w:r>
              <w:rPr>
                <w:rFonts w:ascii="Times New Roman" w:hAnsi="Times New Roman"/>
                <w:sz w:val="24"/>
              </w:rPr>
              <w:t>é</w:t>
            </w:r>
            <w:r>
              <w:rPr>
                <w:rFonts w:ascii="Times New Roman" w:hAnsi="Times New Roman"/>
                <w:sz w:val="24"/>
              </w:rPr>
              <w:t>telével.</w:t>
            </w:r>
          </w:p>
        </w:tc>
      </w:tr>
      <w:tr w:rsidR="000B0B09" w:rsidRPr="00392FFD" w:rsidTr="00672D2A">
        <w:trPr>
          <w:trHeight w:val="416"/>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610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SZAVATOLÓTŐKE-KÖVETELMÉNY</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A CRR 337. cikkének (4) bekezdése szerint a 2014. december 31-én záruló á</w:t>
            </w:r>
            <w:r>
              <w:rPr>
                <w:rFonts w:ascii="Times New Roman" w:hAnsi="Times New Roman"/>
                <w:sz w:val="24"/>
              </w:rPr>
              <w:t>t</w:t>
            </w:r>
            <w:r>
              <w:rPr>
                <w:rFonts w:ascii="Times New Roman" w:hAnsi="Times New Roman"/>
                <w:sz w:val="24"/>
              </w:rPr>
              <w:t>meneti időszakban az intézménynek külön kell összegeznie a súlyozott nettó hosszú pozícióit (580. oszlop) és a súlyozott nettó rövid pozícióit (590-es os</w:t>
            </w:r>
            <w:r>
              <w:rPr>
                <w:rFonts w:ascii="Times New Roman" w:hAnsi="Times New Roman"/>
                <w:sz w:val="24"/>
              </w:rPr>
              <w:t>z</w:t>
            </w:r>
            <w:r>
              <w:rPr>
                <w:rFonts w:ascii="Times New Roman" w:hAnsi="Times New Roman"/>
                <w:sz w:val="24"/>
              </w:rPr>
              <w:t>lop). A két összeg közül a nagyobb (felső korlát figyelembevételével számított) összeg képezi a szavatolótőke-követelményt. Ezzel együtt a CRR 337. cikk</w:t>
            </w:r>
            <w:r>
              <w:rPr>
                <w:rFonts w:ascii="Times New Roman" w:hAnsi="Times New Roman"/>
                <w:sz w:val="24"/>
              </w:rPr>
              <w:t>é</w:t>
            </w:r>
            <w:r>
              <w:rPr>
                <w:rFonts w:ascii="Times New Roman" w:hAnsi="Times New Roman"/>
                <w:sz w:val="24"/>
              </w:rPr>
              <w:t>nek (4) bekezdése szerint 2015-től kezdődően az intézmény a szavatolótőke-</w:t>
            </w:r>
            <w:r>
              <w:rPr>
                <w:rFonts w:ascii="Times New Roman" w:hAnsi="Times New Roman"/>
                <w:sz w:val="24"/>
              </w:rPr>
              <w:lastRenderedPageBreak/>
              <w:t>követelmény kiszámításához a 600-as oszlopban összegzi a súlyozott nettó p</w:t>
            </w:r>
            <w:r>
              <w:rPr>
                <w:rFonts w:ascii="Times New Roman" w:hAnsi="Times New Roman"/>
                <w:sz w:val="24"/>
              </w:rPr>
              <w:t>o</w:t>
            </w:r>
            <w:r>
              <w:rPr>
                <w:rFonts w:ascii="Times New Roman" w:hAnsi="Times New Roman"/>
                <w:sz w:val="24"/>
              </w:rPr>
              <w:t>zícióit (tekintet nélkül arra, hogy azok hosszúak vagy rövidek).</w:t>
            </w:r>
          </w:p>
        </w:tc>
      </w:tr>
    </w:tbl>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B0B09" w:rsidRPr="00392FFD" w:rsidTr="00672D2A">
        <w:trPr>
          <w:trHeight w:val="537"/>
        </w:trPr>
        <w:tc>
          <w:tcPr>
            <w:tcW w:w="8862" w:type="dxa"/>
            <w:gridSpan w:val="2"/>
            <w:shd w:val="clear" w:color="auto" w:fill="BFBFBF"/>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Sorok</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94" w:type="dxa"/>
          </w:tcPr>
          <w:p w:rsidR="000B0B09" w:rsidRPr="00392FFD" w:rsidRDefault="000B0B09" w:rsidP="000B0B09">
            <w:pPr>
              <w:rPr>
                <w:rFonts w:ascii="Times New Roman" w:hAnsi="Times New Roman"/>
                <w:sz w:val="24"/>
              </w:rPr>
            </w:pPr>
            <w:r>
              <w:rPr>
                <w:rStyle w:val="InstructionsTabelleberschrift"/>
                <w:rFonts w:ascii="Times New Roman" w:hAnsi="Times New Roman"/>
                <w:sz w:val="24"/>
              </w:rPr>
              <w:t>TELJES KITETTSÉG</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kereskedési könyvben nyilvántartott, fennálló értékpapírosítások összértéke az értékpapírosítást kezdeményező és/vagy befektető és/vagy szponzor szerepét betöltő intézmény adatszolgáltatása szerint.</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040,070 és</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ÉRTÉKPAPÍROSÍTÁS</w:t>
            </w:r>
          </w:p>
          <w:p w:rsidR="000B0B09" w:rsidRPr="00392FFD" w:rsidRDefault="000B0B09" w:rsidP="00BB73C8">
            <w:pPr>
              <w:autoSpaceDE w:val="0"/>
              <w:autoSpaceDN w:val="0"/>
              <w:adjustRightInd w:val="0"/>
              <w:spacing w:before="0" w:after="0"/>
              <w:rPr>
                <w:rFonts w:ascii="Times New Roman" w:hAnsi="Times New Roman"/>
                <w:bCs/>
                <w:sz w:val="24"/>
              </w:rPr>
            </w:pPr>
            <w:r>
              <w:rPr>
                <w:rFonts w:ascii="Times New Roman" w:hAnsi="Times New Roman"/>
                <w:sz w:val="24"/>
              </w:rPr>
              <w:t>A CRR 4. cikke (1) bekezdésének 61. és 62. pontja.</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020,050,</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 és 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ÚJRA-ÉRTÉKPAPÍROSÍTÁS</w:t>
            </w:r>
          </w:p>
          <w:p w:rsidR="000B0B09" w:rsidRPr="00392FFD" w:rsidRDefault="000B0B09" w:rsidP="00E871FE">
            <w:pPr>
              <w:autoSpaceDE w:val="0"/>
              <w:autoSpaceDN w:val="0"/>
              <w:adjustRightInd w:val="0"/>
              <w:spacing w:before="0" w:after="0"/>
              <w:rPr>
                <w:rFonts w:ascii="Times New Roman" w:hAnsi="Times New Roman"/>
                <w:bCs/>
                <w:sz w:val="24"/>
              </w:rPr>
            </w:pPr>
            <w:r>
              <w:rPr>
                <w:rFonts w:ascii="Times New Roman" w:hAnsi="Times New Roman"/>
                <w:sz w:val="24"/>
              </w:rPr>
              <w:t>A CRR 4. cikkének (63) bekezdése</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030-050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ÉRTÉKPAPÍROSÍTÁST KEZDEMÉNYEZŐ</w:t>
            </w:r>
          </w:p>
          <w:p w:rsidR="000B0B09" w:rsidRPr="00392FFD" w:rsidRDefault="000B0B09" w:rsidP="00104A65">
            <w:pPr>
              <w:autoSpaceDE w:val="0"/>
              <w:autoSpaceDN w:val="0"/>
              <w:adjustRightInd w:val="0"/>
              <w:spacing w:before="0" w:after="0"/>
              <w:rPr>
                <w:rFonts w:ascii="Times New Roman" w:hAnsi="Times New Roman"/>
                <w:bCs/>
                <w:sz w:val="24"/>
              </w:rPr>
            </w:pPr>
            <w:r>
              <w:rPr>
                <w:rFonts w:ascii="Times New Roman" w:hAnsi="Times New Roman"/>
                <w:sz w:val="24"/>
              </w:rPr>
              <w:t>A CRR 4. cikkének (13) bekezdése</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BEFEKTETŐ</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Olyan hitelintézet, amely értékpapírosítási pozícióval rendelkezik egy olyan értékpapírosítási ügyletben, amelyben sem az értékpapírosítást kezdeményező, sem a szponzor szerepét nem tölti be.</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SZPONZOR</w:t>
            </w:r>
          </w:p>
          <w:p w:rsidR="000B0B09" w:rsidRPr="00392FFD" w:rsidRDefault="000B0B09" w:rsidP="00E871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 CRR 4. cikkének (14) bekezdése Ha egy szponzor saját eszközt is értékpap</w:t>
            </w:r>
            <w:r>
              <w:rPr>
                <w:rStyle w:val="InstructionsTabelleText"/>
                <w:rFonts w:ascii="Times New Roman" w:hAnsi="Times New Roman"/>
                <w:sz w:val="24"/>
              </w:rPr>
              <w:t>í</w:t>
            </w:r>
            <w:r>
              <w:rPr>
                <w:rStyle w:val="InstructionsTabelleText"/>
                <w:rFonts w:ascii="Times New Roman" w:hAnsi="Times New Roman"/>
                <w:sz w:val="24"/>
              </w:rPr>
              <w:t>rosít, akkor a saját értékpapírosított eszközökkel kapcsolatos információkat az értékpapírosítást kezdeményezőre vonatkozó sorokban kell megadnia.</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120-210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xml:space="preserve">A SÚLYOZOTT NETTÓ HOSSZÚ </w:t>
            </w:r>
            <w:proofErr w:type="gramStart"/>
            <w:r>
              <w:rPr>
                <w:rStyle w:val="InstructionsTabelleberschrift"/>
                <w:rFonts w:ascii="Times New Roman" w:hAnsi="Times New Roman"/>
                <w:sz w:val="24"/>
              </w:rPr>
              <w:t>ÉS</w:t>
            </w:r>
            <w:proofErr w:type="gramEnd"/>
            <w:r>
              <w:rPr>
                <w:rStyle w:val="InstructionsTabelleberschrift"/>
                <w:rFonts w:ascii="Times New Roman" w:hAnsi="Times New Roman"/>
                <w:sz w:val="24"/>
              </w:rPr>
              <w:t xml:space="preserve"> RÖVID POZÍCIÓK ÖSSZÉ</w:t>
            </w:r>
            <w:r>
              <w:rPr>
                <w:rStyle w:val="InstructionsTabelleberschrift"/>
                <w:rFonts w:ascii="Times New Roman" w:hAnsi="Times New Roman"/>
                <w:sz w:val="24"/>
              </w:rPr>
              <w:t>R</w:t>
            </w:r>
            <w:r>
              <w:rPr>
                <w:rStyle w:val="InstructionsTabelleberschrift"/>
                <w:rFonts w:ascii="Times New Roman" w:hAnsi="Times New Roman"/>
                <w:sz w:val="24"/>
              </w:rPr>
              <w:t>TÉKÉNEK AZ ALAPUL SZOLGÁLÓ ESZKÖZÖK TÍPUSAI SZERI</w:t>
            </w:r>
            <w:r>
              <w:rPr>
                <w:rStyle w:val="InstructionsTabelleberschrift"/>
                <w:rFonts w:ascii="Times New Roman" w:hAnsi="Times New Roman"/>
                <w:sz w:val="24"/>
              </w:rPr>
              <w:t>N</w:t>
            </w:r>
            <w:r>
              <w:rPr>
                <w:rStyle w:val="InstructionsTabelleberschrift"/>
                <w:rFonts w:ascii="Times New Roman" w:hAnsi="Times New Roman"/>
                <w:sz w:val="24"/>
              </w:rPr>
              <w:t>TI BONTÁSA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 CRR 337. cikke (4) bekezdésének utolsó mondata.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Az alapul szolgáló eszközök megoszlása a SEC Details tábla „Típus” oszlop</w:t>
            </w:r>
            <w:r>
              <w:rPr>
                <w:rStyle w:val="InstructionsTabelleText"/>
                <w:rFonts w:ascii="Times New Roman" w:hAnsi="Times New Roman"/>
                <w:sz w:val="24"/>
              </w:rPr>
              <w:t>á</w:t>
            </w:r>
            <w:r>
              <w:rPr>
                <w:rStyle w:val="InstructionsTabelleText"/>
                <w:rFonts w:ascii="Times New Roman" w:hAnsi="Times New Roman"/>
                <w:sz w:val="24"/>
              </w:rPr>
              <w:t>ban alkalmazott osztályozást követi:</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1 – lakóingatlant terhelő jelzálog;</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2 – kereskedelmi ingatlant terhelő jelzálog;</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3 – hitelkártya-követelés;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4 – lízing;</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5 – vállalatoknak és vállalatként kezelt kkv-knak nyújtott hitel;</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6 – fogyasztási hitel;</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7 – vevőkövetelések;</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8 – egyéb eszközök;</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9 – fedezett kötvények;</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10 – egyéb kötelezettségek.</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Az egyes értékpapírosítások esetében, ha a halmaz több eszköztípust tartalmaz, akkor az intézménynek a legfontosabb típust kell feltüntetnie.</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46" w:name="_Toc294172373"/>
      <w:bookmarkStart w:id="647" w:name="_Toc295830002"/>
      <w:bookmarkStart w:id="648" w:name="_Toc308426679"/>
      <w:bookmarkStart w:id="649" w:name="_Toc310415063"/>
      <w:bookmarkStart w:id="650" w:name="_Toc360188398"/>
      <w:bookmarkStart w:id="651" w:name="_Toc516210689"/>
      <w:bookmarkStart w:id="652" w:name="_Toc473561038"/>
      <w:bookmarkStart w:id="653" w:name="_Toc524014748"/>
      <w:r>
        <w:rPr>
          <w:rFonts w:ascii="Times New Roman" w:hAnsi="Times New Roman"/>
          <w:sz w:val="24"/>
          <w:u w:val="none"/>
        </w:rPr>
        <w:t>5.3.</w:t>
      </w:r>
      <w:r w:rsidRPr="003E7498">
        <w:rPr>
          <w:u w:val="none"/>
        </w:rPr>
        <w:tab/>
      </w:r>
      <w:r>
        <w:rPr>
          <w:rFonts w:ascii="Times New Roman" w:hAnsi="Times New Roman"/>
          <w:sz w:val="24"/>
        </w:rPr>
        <w:t>C 20.00 – PIACI KOCKÁZAT: A KORRELÁCIÓKERESKEDÉSI PORTFÓLIÓBA SOROLT POZÍCIÓK EGYEDI KOCKÁZATÁNAK SZTENDERD MÓDSZERE</w:t>
      </w:r>
      <w:bookmarkEnd w:id="646"/>
      <w:bookmarkEnd w:id="647"/>
      <w:bookmarkEnd w:id="648"/>
      <w:bookmarkEnd w:id="649"/>
      <w:r>
        <w:rPr>
          <w:rFonts w:ascii="Times New Roman" w:hAnsi="Times New Roman"/>
          <w:sz w:val="24"/>
        </w:rPr>
        <w:t xml:space="preserve"> (MKR SA CTP)</w:t>
      </w:r>
      <w:bookmarkEnd w:id="650"/>
      <w:bookmarkEnd w:id="651"/>
      <w:bookmarkEnd w:id="652"/>
      <w:bookmarkEnd w:id="653"/>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54" w:name="_Toc294172374"/>
      <w:bookmarkStart w:id="655" w:name="_Toc295830003"/>
      <w:bookmarkStart w:id="656" w:name="_Toc308426680"/>
      <w:bookmarkStart w:id="657" w:name="_Toc310415064"/>
      <w:bookmarkStart w:id="658" w:name="_Toc360188399"/>
      <w:bookmarkStart w:id="659" w:name="_Toc516210690"/>
      <w:bookmarkStart w:id="660" w:name="_Toc473561039"/>
      <w:bookmarkStart w:id="661" w:name="_Toc524014749"/>
      <w:r>
        <w:rPr>
          <w:rFonts w:ascii="Times New Roman" w:hAnsi="Times New Roman"/>
          <w:sz w:val="24"/>
          <w:u w:val="none"/>
        </w:rPr>
        <w:t>5.3.1.</w:t>
      </w:r>
      <w:r w:rsidRPr="003E7498">
        <w:rPr>
          <w:u w:val="none"/>
        </w:rPr>
        <w:tab/>
      </w:r>
      <w:r>
        <w:rPr>
          <w:rFonts w:ascii="Times New Roman" w:hAnsi="Times New Roman"/>
          <w:sz w:val="24"/>
        </w:rPr>
        <w:t>Általános megjegyzések</w:t>
      </w:r>
      <w:bookmarkEnd w:id="654"/>
      <w:bookmarkEnd w:id="655"/>
      <w:bookmarkEnd w:id="656"/>
      <w:bookmarkEnd w:id="657"/>
      <w:bookmarkEnd w:id="658"/>
      <w:bookmarkEnd w:id="659"/>
      <w:bookmarkEnd w:id="660"/>
      <w:bookmarkEnd w:id="661"/>
    </w:p>
    <w:p w:rsidR="000B0B09" w:rsidRPr="00321A3B" w:rsidRDefault="00125707" w:rsidP="001A3980">
      <w:pPr>
        <w:pStyle w:val="InstructionsText2"/>
        <w:numPr>
          <w:ilvl w:val="0"/>
          <w:numId w:val="0"/>
        </w:numPr>
        <w:ind w:left="993"/>
      </w:pPr>
      <w:r>
        <w:t>144.</w:t>
      </w:r>
      <w:r>
        <w:tab/>
        <w:t>Ezen a táblán a sztenderd módszer alkalmazási körébe tartozó CTP-pozíciókról (értékpapírosításokról, n-edik nemteljesítéskor lehívható hitelderivatívákról és a CRR 338. cikkének (3) bekezdése alapján besorolt CTP-pozíciókról), valamint az ezekhez kapcsolódó szavatolótőke-követelményről kell adatot szolgáltatni.</w:t>
      </w:r>
    </w:p>
    <w:p w:rsidR="000B0B09" w:rsidRPr="00321A3B" w:rsidRDefault="00125707" w:rsidP="001A3980">
      <w:pPr>
        <w:pStyle w:val="InstructionsText2"/>
        <w:numPr>
          <w:ilvl w:val="0"/>
          <w:numId w:val="0"/>
        </w:numPr>
        <w:ind w:left="993"/>
      </w:pPr>
      <w:r>
        <w:t>145.</w:t>
      </w:r>
      <w:r>
        <w:tab/>
        <w:t>Az MKR SA CTP tábla kizárólag a CRR 335. cikke, valamint azzal összefü</w:t>
      </w:r>
      <w:r>
        <w:t>g</w:t>
      </w:r>
      <w:r>
        <w:t>gésben a CRR 338. cikkének (2) és (3) bekezdése szerint a korrelációkereskedési portfólióba sorolt pozíciók egyedi kockázatához kapcsolódó szavatolótőke-követelményt határozza meg. Ha a kereskedési könyvben nyilvántartott CTP-pozíciókat hitelderivatívákkal fedezik, akkor a CRR 346. és 347. cikkét kell alka</w:t>
      </w:r>
      <w:r>
        <w:t>l</w:t>
      </w:r>
      <w:r>
        <w:t>mazni. Valamennyi kereskedési könyvi CTP-pozícióról egy táblán kell adatot szo</w:t>
      </w:r>
      <w:r>
        <w:t>l</w:t>
      </w:r>
      <w:r>
        <w:t>gáltatni attól függetlenül, hogy az intézmény a sztenderd módszert vagy a belső m</w:t>
      </w:r>
      <w:r>
        <w:t>i</w:t>
      </w:r>
      <w:r>
        <w:t>nősítésen alapuló módszert alkalmazza-e a CRR harmadik része II. címének 5. fej</w:t>
      </w:r>
      <w:r>
        <w:t>e</w:t>
      </w:r>
      <w:r>
        <w:t>zete szerinti egyes pozíciók kockázati súlyának meghatározásakor. Az e pozíciók általános kockázatához kapcsolódó szavatolótőke-követelményre vonatkozó ada</w:t>
      </w:r>
      <w:r>
        <w:t>t</w:t>
      </w:r>
      <w:r>
        <w:t>szolgáltatás az MKR SA TDI vagy az MKR IM táblán történik.</w:t>
      </w:r>
    </w:p>
    <w:p w:rsidR="000B0B09" w:rsidRPr="00321A3B" w:rsidRDefault="00125707" w:rsidP="001A3980">
      <w:pPr>
        <w:pStyle w:val="InstructionsText2"/>
        <w:numPr>
          <w:ilvl w:val="0"/>
          <w:numId w:val="0"/>
        </w:numPr>
        <w:ind w:left="993"/>
      </w:pPr>
      <w:r>
        <w:t>146.</w:t>
      </w:r>
      <w:r>
        <w:tab/>
        <w:t>A tábla kialakítása elkülöníti az értékpapírosítási pozíciókat, az n-edik nemteljesítéskor lehívható hitelderivatívákat, valamint az egyéb CTP-pozíciókat. Az értékpapírosítási pozíciókat emiatt minden esetben a 030-as, 060-as vagy 090-es sorban kell feltüntetni az intézmény által az értékpapírosításban betöltött szereptől függően. Az n-edik nemteljesítéskor lehívható hitelderivatívákat minden esetben a 110-es sorban kell feltüntetni. Az „egyéb CTP-pozíciók” nem értékpapírosítási p</w:t>
      </w:r>
      <w:r>
        <w:t>o</w:t>
      </w:r>
      <w:r>
        <w:t>zíciók és nem az n-edik nemteljesítéskor lehívható hitelderivatívák (lásd a CRR 338. cikkének (3) bekezdésében található meghatározást), de a fedezési szándék miatt egyértelműen kapcsolódnak e két pozíció egyikéhez. Besorolásuk ezért tört</w:t>
      </w:r>
      <w:r>
        <w:t>é</w:t>
      </w:r>
      <w:r>
        <w:t>nik az „értékpapírosítás” vagy „n-edik nemteljesítéskor lehívható hitelderivatíva” alkategóriában.</w:t>
      </w:r>
    </w:p>
    <w:p w:rsidR="00606885" w:rsidRPr="00321A3B" w:rsidRDefault="00125707" w:rsidP="001A3980">
      <w:pPr>
        <w:pStyle w:val="InstructionsText2"/>
        <w:numPr>
          <w:ilvl w:val="0"/>
          <w:numId w:val="0"/>
        </w:numPr>
        <w:ind w:left="993"/>
      </w:pPr>
      <w:r>
        <w:t>147.</w:t>
      </w:r>
      <w:r>
        <w:tab/>
        <w:t>Az 1 250 %-os kockázati súlyú pozíciók az elsődleges alapvető tőkéből (CET1) is levonhatók (lásd a CRR 243. cikke (1) bekezdésének b) pontját, 244. cikke (1) bekezdésének b) pontját és 258. cikkét). Ebben az esetben a pozícióról a CA1 tábla 460-as sorában kell adatot szolgáltatni.</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62" w:name="_Toc294172375"/>
      <w:bookmarkStart w:id="663" w:name="_Toc295830004"/>
      <w:bookmarkStart w:id="664" w:name="_Toc308426681"/>
      <w:bookmarkStart w:id="665" w:name="_Toc310415065"/>
      <w:bookmarkStart w:id="666" w:name="_Toc360188400"/>
      <w:bookmarkStart w:id="667" w:name="_Toc516210691"/>
      <w:bookmarkStart w:id="668" w:name="_Toc473561040"/>
      <w:bookmarkStart w:id="669" w:name="_Toc524014750"/>
      <w:r>
        <w:rPr>
          <w:rFonts w:ascii="Times New Roman" w:hAnsi="Times New Roman"/>
          <w:sz w:val="24"/>
          <w:u w:val="none"/>
        </w:rPr>
        <w:t>5.3.2.</w:t>
      </w:r>
      <w:r w:rsidRPr="003E7498">
        <w:rPr>
          <w:u w:val="none"/>
        </w:rPr>
        <w:tab/>
      </w:r>
      <w:r>
        <w:rPr>
          <w:rFonts w:ascii="Times New Roman" w:hAnsi="Times New Roman"/>
          <w:sz w:val="24"/>
        </w:rPr>
        <w:t>A tábla egyes részeire vonatkozó útmutató</w:t>
      </w:r>
      <w:bookmarkEnd w:id="662"/>
      <w:bookmarkEnd w:id="663"/>
      <w:bookmarkEnd w:id="664"/>
      <w:bookmarkEnd w:id="665"/>
      <w:bookmarkEnd w:id="666"/>
      <w:bookmarkEnd w:id="667"/>
      <w:bookmarkEnd w:id="668"/>
      <w:bookmarkEnd w:id="6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02"/>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Oszlopok</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xml:space="preserve">ÖSSZES POZÍCIÓ (HOSSZÚ </w:t>
            </w:r>
            <w:proofErr w:type="gramStart"/>
            <w:r>
              <w:rPr>
                <w:rStyle w:val="InstructionsTabelleberschrift"/>
                <w:rFonts w:ascii="Times New Roman" w:hAnsi="Times New Roman"/>
                <w:sz w:val="24"/>
              </w:rPr>
              <w:t>ÉS</w:t>
            </w:r>
            <w:proofErr w:type="gramEnd"/>
            <w:r>
              <w:rPr>
                <w:rStyle w:val="InstructionsTabelleberschrift"/>
                <w:rFonts w:ascii="Times New Roman" w:hAnsi="Times New Roman"/>
                <w:sz w:val="24"/>
              </w:rPr>
              <w:t xml:space="preserve"> RÖVID)</w:t>
            </w:r>
          </w:p>
          <w:p w:rsidR="000B0B09" w:rsidRPr="00392FFD" w:rsidRDefault="000B0B09" w:rsidP="000B0B09">
            <w:pPr>
              <w:rPr>
                <w:rFonts w:ascii="Times New Roman" w:hAnsi="Times New Roman"/>
                <w:sz w:val="24"/>
              </w:rPr>
            </w:pPr>
            <w:r>
              <w:rPr>
                <w:rFonts w:ascii="Times New Roman" w:hAnsi="Times New Roman"/>
                <w:sz w:val="24"/>
              </w:rPr>
              <w:t>A CRR 102. cikke, valamint 105. cikkének (1) bekezdése a CRR 338. cikkének (2) és (3) bekezdése szerint a korrelációkereskedési portfólióba sorolt pozíc</w:t>
            </w:r>
            <w:r>
              <w:rPr>
                <w:rFonts w:ascii="Times New Roman" w:hAnsi="Times New Roman"/>
                <w:sz w:val="24"/>
              </w:rPr>
              <w:t>i</w:t>
            </w:r>
            <w:r>
              <w:rPr>
                <w:rFonts w:ascii="Times New Roman" w:hAnsi="Times New Roman"/>
                <w:sz w:val="24"/>
              </w:rPr>
              <w:t>ókkal összefüggésben. A hosszú és rövid pozícióknak az említett bruttó pozíc</w:t>
            </w:r>
            <w:r>
              <w:rPr>
                <w:rFonts w:ascii="Times New Roman" w:hAnsi="Times New Roman"/>
                <w:sz w:val="24"/>
              </w:rPr>
              <w:t>i</w:t>
            </w:r>
            <w:r>
              <w:rPr>
                <w:rFonts w:ascii="Times New Roman" w:hAnsi="Times New Roman"/>
                <w:sz w:val="24"/>
              </w:rPr>
              <w:lastRenderedPageBreak/>
              <w:t>ókra is alkalmazandó megkülönböztetésével kapcsolatban lásd a CRR 328. cikkének (2) bekezdését.</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xml:space="preserve">(–) SZAVATOLÓ TŐKÉBŐL LEVONT POZÍCIÓK (HOSSZÚ </w:t>
            </w:r>
            <w:proofErr w:type="gramStart"/>
            <w:r>
              <w:rPr>
                <w:rStyle w:val="InstructionsTabelleberschrift"/>
                <w:rFonts w:ascii="Times New Roman" w:hAnsi="Times New Roman"/>
                <w:sz w:val="24"/>
              </w:rPr>
              <w:t>ÉS</w:t>
            </w:r>
            <w:proofErr w:type="gramEnd"/>
            <w:r>
              <w:rPr>
                <w:rStyle w:val="InstructionsTabelleberschrift"/>
                <w:rFonts w:ascii="Times New Roman" w:hAnsi="Times New Roman"/>
                <w:sz w:val="24"/>
              </w:rPr>
              <w:t xml:space="preserve"> R</w:t>
            </w:r>
            <w:r>
              <w:rPr>
                <w:rStyle w:val="InstructionsTabelleberschrift"/>
                <w:rFonts w:ascii="Times New Roman" w:hAnsi="Times New Roman"/>
                <w:sz w:val="24"/>
              </w:rPr>
              <w:t>Ö</w:t>
            </w:r>
            <w:r>
              <w:rPr>
                <w:rStyle w:val="InstructionsTabelleberschrift"/>
                <w:rFonts w:ascii="Times New Roman" w:hAnsi="Times New Roman"/>
                <w:sz w:val="24"/>
              </w:rPr>
              <w:t>VID)</w:t>
            </w:r>
          </w:p>
          <w:p w:rsidR="000B0B09" w:rsidRPr="00392FFD" w:rsidRDefault="000B0B09" w:rsidP="000B0B09">
            <w:pPr>
              <w:rPr>
                <w:rFonts w:ascii="Times New Roman" w:hAnsi="Times New Roman"/>
                <w:sz w:val="24"/>
              </w:rPr>
            </w:pPr>
            <w:r>
              <w:rPr>
                <w:rFonts w:ascii="Times New Roman" w:hAnsi="Times New Roman"/>
                <w:sz w:val="24"/>
              </w:rPr>
              <w:t xml:space="preserve">A CRR 258. cikke. </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xml:space="preserve">NETTÓ POZÍCIÓK (HOSSZÚ </w:t>
            </w:r>
            <w:proofErr w:type="gramStart"/>
            <w:r>
              <w:rPr>
                <w:rStyle w:val="InstructionsTabelleberschrift"/>
                <w:rFonts w:ascii="Times New Roman" w:hAnsi="Times New Roman"/>
                <w:sz w:val="24"/>
              </w:rPr>
              <w:t>ÉS</w:t>
            </w:r>
            <w:proofErr w:type="gramEnd"/>
            <w:r>
              <w:rPr>
                <w:rStyle w:val="InstructionsTabelleberschrift"/>
                <w:rFonts w:ascii="Times New Roman" w:hAnsi="Times New Roman"/>
                <w:sz w:val="24"/>
              </w:rPr>
              <w:t xml:space="preserve"> RÖVID)</w:t>
            </w:r>
          </w:p>
          <w:p w:rsidR="000B0B09" w:rsidRPr="00392FFD" w:rsidRDefault="000B0B09" w:rsidP="000B0B09">
            <w:pPr>
              <w:rPr>
                <w:rFonts w:ascii="Times New Roman" w:hAnsi="Times New Roman"/>
                <w:sz w:val="24"/>
              </w:rPr>
            </w:pPr>
            <w:r>
              <w:rPr>
                <w:rFonts w:ascii="Times New Roman" w:hAnsi="Times New Roman"/>
                <w:sz w:val="24"/>
              </w:rPr>
              <w:t>A CRR 327–329., valamint 334. cikke. A hosszú és rövid pozíciók megkülö</w:t>
            </w:r>
            <w:r>
              <w:rPr>
                <w:rFonts w:ascii="Times New Roman" w:hAnsi="Times New Roman"/>
                <w:sz w:val="24"/>
              </w:rPr>
              <w:t>n</w:t>
            </w:r>
            <w:r>
              <w:rPr>
                <w:rFonts w:ascii="Times New Roman" w:hAnsi="Times New Roman"/>
                <w:sz w:val="24"/>
              </w:rPr>
              <w:t>böztetésével kapcsolatban lásd a CRR 328. cikkének (2) bekezdését.</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070–400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A NETTÓ POZÍCIÓK KOCKÁZATI SÚLY SZERINTI MEGOSZLÁSA (SA és IRB)</w:t>
            </w:r>
          </w:p>
          <w:p w:rsidR="000B0B09" w:rsidRPr="00392FFD" w:rsidRDefault="000B0B09" w:rsidP="000B0B09">
            <w:pPr>
              <w:rPr>
                <w:rFonts w:ascii="Times New Roman" w:hAnsi="Times New Roman"/>
                <w:sz w:val="24"/>
              </w:rPr>
            </w:pPr>
            <w:r>
              <w:rPr>
                <w:rFonts w:ascii="Times New Roman" w:hAnsi="Times New Roman"/>
                <w:sz w:val="24"/>
              </w:rPr>
              <w:t>A CRR 251. cikke (1. táblázat), valamint 261. cikkének (1) bekezdése (4. tá</w:t>
            </w:r>
            <w:r>
              <w:rPr>
                <w:rFonts w:ascii="Times New Roman" w:hAnsi="Times New Roman"/>
                <w:sz w:val="24"/>
              </w:rPr>
              <w:t>b</w:t>
            </w:r>
            <w:r>
              <w:rPr>
                <w:rFonts w:ascii="Times New Roman" w:hAnsi="Times New Roman"/>
                <w:sz w:val="24"/>
              </w:rPr>
              <w:t xml:space="preserve">lázat).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160 és 330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EGYÉB</w:t>
            </w:r>
          </w:p>
          <w:p w:rsidR="000B0B09" w:rsidRPr="00392FFD" w:rsidRDefault="000B0B09" w:rsidP="000B0B09">
            <w:pPr>
              <w:rPr>
                <w:rFonts w:ascii="Times New Roman" w:hAnsi="Times New Roman"/>
                <w:sz w:val="24"/>
              </w:rPr>
            </w:pPr>
            <w:r>
              <w:rPr>
                <w:rFonts w:ascii="Times New Roman" w:hAnsi="Times New Roman"/>
                <w:sz w:val="24"/>
              </w:rPr>
              <w:t>Az előző oszlopokban kifejezetten nem említett egyéb kockázati súlyok.</w:t>
            </w:r>
          </w:p>
          <w:p w:rsidR="000B0B09" w:rsidRPr="00392FFD" w:rsidRDefault="000B0B09" w:rsidP="000B0B09">
            <w:pPr>
              <w:rPr>
                <w:rFonts w:ascii="Times New Roman" w:hAnsi="Times New Roman"/>
                <w:sz w:val="24"/>
              </w:rPr>
            </w:pPr>
            <w:r>
              <w:rPr>
                <w:rFonts w:ascii="Times New Roman" w:hAnsi="Times New Roman"/>
                <w:sz w:val="24"/>
              </w:rPr>
              <w:t>Az n-edik nemteljesítéskor lehívható hitelderivatívák közül kizárólag azok, amelyek nem rendelkeznek külső minősítéssel. A külső minősítésű n-edik nemteljesítéskor lehívható hitelderivatívákat az MKR SA TDI táblán kell fe</w:t>
            </w:r>
            <w:r>
              <w:rPr>
                <w:rFonts w:ascii="Times New Roman" w:hAnsi="Times New Roman"/>
                <w:sz w:val="24"/>
              </w:rPr>
              <w:t>l</w:t>
            </w:r>
            <w:r>
              <w:rPr>
                <w:rFonts w:ascii="Times New Roman" w:hAnsi="Times New Roman"/>
                <w:sz w:val="24"/>
              </w:rPr>
              <w:t>tüntetni (321. sor), vagy – ha azok a CTP részét képezik – a megfelelő kock</w:t>
            </w:r>
            <w:r>
              <w:rPr>
                <w:rFonts w:ascii="Times New Roman" w:hAnsi="Times New Roman"/>
                <w:sz w:val="24"/>
              </w:rPr>
              <w:t>á</w:t>
            </w:r>
            <w:r>
              <w:rPr>
                <w:rFonts w:ascii="Times New Roman" w:hAnsi="Times New Roman"/>
                <w:sz w:val="24"/>
              </w:rPr>
              <w:t xml:space="preserve">zati súly oszlopába kell besorolni.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170-180 és 360-370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1 250 %</w:t>
            </w:r>
          </w:p>
          <w:p w:rsidR="000B0B09" w:rsidRPr="00392FFD" w:rsidRDefault="000B0B09" w:rsidP="000B0B09">
            <w:pPr>
              <w:rPr>
                <w:rFonts w:ascii="Times New Roman" w:hAnsi="Times New Roman"/>
                <w:sz w:val="24"/>
              </w:rPr>
            </w:pPr>
            <w:r>
              <w:rPr>
                <w:rFonts w:ascii="Times New Roman" w:hAnsi="Times New Roman"/>
                <w:sz w:val="24"/>
              </w:rPr>
              <w:t>A CRR 251. cikke (1. táblázat), valamint 261. cikkének (1) bekezdése (4. tá</w:t>
            </w:r>
            <w:r>
              <w:rPr>
                <w:rFonts w:ascii="Times New Roman" w:hAnsi="Times New Roman"/>
                <w:sz w:val="24"/>
              </w:rPr>
              <w:t>b</w:t>
            </w:r>
            <w:r>
              <w:rPr>
                <w:rFonts w:ascii="Times New Roman" w:hAnsi="Times New Roman"/>
                <w:sz w:val="24"/>
              </w:rPr>
              <w:t xml:space="preserve">lázat).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190-200 és 340-350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A FELÜGYELETI KÉPLET MÓDSZERE</w:t>
            </w:r>
          </w:p>
          <w:p w:rsidR="000B0B09" w:rsidRPr="00392FFD" w:rsidRDefault="000B0B09" w:rsidP="000B0B09">
            <w:pPr>
              <w:rPr>
                <w:rFonts w:ascii="Times New Roman" w:hAnsi="Times New Roman"/>
                <w:sz w:val="24"/>
              </w:rPr>
            </w:pPr>
            <w:r>
              <w:rPr>
                <w:rFonts w:ascii="Times New Roman" w:hAnsi="Times New Roman"/>
                <w:sz w:val="24"/>
              </w:rPr>
              <w:t xml:space="preserve">A CRR 337. cikkének (2) bekezdése a CRR 262. cikkével összefüggésben.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210 / 380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AZ ALAPUL SZOLGÁLÓ ESZKÖZÖK VIZSGÁLATA (ÁTTEKINTÉS ELVE)</w:t>
            </w:r>
          </w:p>
          <w:p w:rsidR="000B0B09" w:rsidRPr="00392FFD" w:rsidRDefault="000B0B09" w:rsidP="000B0B09">
            <w:pPr>
              <w:rPr>
                <w:rFonts w:ascii="Times New Roman" w:hAnsi="Times New Roman"/>
                <w:sz w:val="24"/>
              </w:rPr>
            </w:pPr>
            <w:r>
              <w:rPr>
                <w:rFonts w:ascii="Times New Roman" w:hAnsi="Times New Roman"/>
                <w:sz w:val="24"/>
              </w:rPr>
              <w:t>SA: A CRR 253. és 254. cikke, valamint 256. cikkének (5) bekezdése Az al</w:t>
            </w:r>
            <w:r>
              <w:rPr>
                <w:rFonts w:ascii="Times New Roman" w:hAnsi="Times New Roman"/>
                <w:sz w:val="24"/>
              </w:rPr>
              <w:t>a</w:t>
            </w:r>
            <w:r>
              <w:rPr>
                <w:rFonts w:ascii="Times New Roman" w:hAnsi="Times New Roman"/>
                <w:sz w:val="24"/>
              </w:rPr>
              <w:t>pul szolgáló eszközök vizsgálatára vonatkozó oszlopok a nem minősített kitet</w:t>
            </w:r>
            <w:r>
              <w:rPr>
                <w:rFonts w:ascii="Times New Roman" w:hAnsi="Times New Roman"/>
                <w:sz w:val="24"/>
              </w:rPr>
              <w:t>t</w:t>
            </w:r>
            <w:r>
              <w:rPr>
                <w:rFonts w:ascii="Times New Roman" w:hAnsi="Times New Roman"/>
                <w:sz w:val="24"/>
              </w:rPr>
              <w:t>ségek valamennyi olyan esetét magukban foglalják, amelyeknél a kockázati súlyt az alapul szolgáló kitettségportfólió (a halmaz átlagos kockázati súlya, a halmaz legmagasabb kockázati súlya, vagy koncentrációs ráta alkalmazása) alapján állapítják meg.</w:t>
            </w:r>
          </w:p>
          <w:p w:rsidR="000B0B09" w:rsidRPr="00392FFD" w:rsidRDefault="000B0B09" w:rsidP="000B0B09">
            <w:pPr>
              <w:rPr>
                <w:rFonts w:ascii="Times New Roman" w:hAnsi="Times New Roman"/>
                <w:sz w:val="24"/>
              </w:rPr>
            </w:pPr>
            <w:r>
              <w:rPr>
                <w:rFonts w:ascii="Times New Roman" w:hAnsi="Times New Roman"/>
                <w:sz w:val="24"/>
              </w:rPr>
              <w:t xml:space="preserve">IRB: A CRR 263. cikkének (2) és (3) bekezdése. A gyorsított visszafizetéssel </w:t>
            </w:r>
            <w:r>
              <w:rPr>
                <w:rFonts w:ascii="Times New Roman" w:hAnsi="Times New Roman"/>
                <w:sz w:val="24"/>
              </w:rPr>
              <w:lastRenderedPageBreak/>
              <w:t>kapcsolatban lásd CRR 265. cikkének (1) bekezdését és 256. cikkének (5) b</w:t>
            </w:r>
            <w:r>
              <w:rPr>
                <w:rFonts w:ascii="Times New Roman" w:hAnsi="Times New Roman"/>
                <w:sz w:val="24"/>
              </w:rPr>
              <w:t>e</w:t>
            </w:r>
            <w:r>
              <w:rPr>
                <w:rFonts w:ascii="Times New Roman" w:hAnsi="Times New Roman"/>
                <w:sz w:val="24"/>
              </w:rPr>
              <w:t>kezdését.</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lastRenderedPageBreak/>
              <w:t>220-230 és 390-400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BELSŐ ÉRTÉKELÉSI MÓDSZER</w:t>
            </w:r>
          </w:p>
          <w:p w:rsidR="000B0B09" w:rsidRPr="00392FFD" w:rsidRDefault="000B0B09" w:rsidP="000B0B09">
            <w:pPr>
              <w:rPr>
                <w:rFonts w:ascii="Times New Roman" w:hAnsi="Times New Roman"/>
                <w:sz w:val="24"/>
              </w:rPr>
            </w:pPr>
            <w:r>
              <w:rPr>
                <w:rFonts w:ascii="Times New Roman" w:hAnsi="Times New Roman"/>
                <w:sz w:val="24"/>
              </w:rPr>
              <w:t xml:space="preserve">A CRR 259. cikkének (3) és (4) bekezdése.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410-420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xml:space="preserve">FELSŐ KORLÁT FIGYELEMBEVÉTELE ELŐTT – SÚLYOZOTT NETTÓ HOSSZÚ </w:t>
            </w:r>
            <w:proofErr w:type="gramStart"/>
            <w:r>
              <w:rPr>
                <w:rStyle w:val="InstructionsTabelleberschrift"/>
                <w:rFonts w:ascii="Times New Roman" w:hAnsi="Times New Roman"/>
                <w:sz w:val="24"/>
              </w:rPr>
              <w:t>ÉS</w:t>
            </w:r>
            <w:proofErr w:type="gramEnd"/>
            <w:r>
              <w:rPr>
                <w:rStyle w:val="InstructionsTabelleberschrift"/>
                <w:rFonts w:ascii="Times New Roman" w:hAnsi="Times New Roman"/>
                <w:sz w:val="24"/>
              </w:rPr>
              <w:t xml:space="preserve"> RÖVID POZÍCIÓK</w:t>
            </w:r>
          </w:p>
          <w:p w:rsidR="000B0B09" w:rsidRPr="00392FFD" w:rsidRDefault="000B0B09" w:rsidP="000B0B09">
            <w:pPr>
              <w:rPr>
                <w:rFonts w:ascii="Times New Roman" w:hAnsi="Times New Roman"/>
                <w:sz w:val="24"/>
              </w:rPr>
            </w:pPr>
            <w:r>
              <w:rPr>
                <w:rFonts w:ascii="Times New Roman" w:hAnsi="Times New Roman"/>
                <w:sz w:val="24"/>
              </w:rPr>
              <w:t>A CRR 338. cikke, a CRR 335. cikkében biztosított jogosultság figyelmen k</w:t>
            </w:r>
            <w:r>
              <w:rPr>
                <w:rFonts w:ascii="Times New Roman" w:hAnsi="Times New Roman"/>
                <w:sz w:val="24"/>
              </w:rPr>
              <w:t>í</w:t>
            </w:r>
            <w:r>
              <w:rPr>
                <w:rFonts w:ascii="Times New Roman" w:hAnsi="Times New Roman"/>
                <w:sz w:val="24"/>
              </w:rPr>
              <w:t>vül hagyásával.</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430-440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xml:space="preserve">FELSŐ KORLÁT FIGYELEMBEVÉTELE UTÁN – SÚLYOZOTT NETTÓ HOSSZÚ </w:t>
            </w:r>
            <w:proofErr w:type="gramStart"/>
            <w:r>
              <w:rPr>
                <w:rStyle w:val="InstructionsTabelleberschrift"/>
                <w:rFonts w:ascii="Times New Roman" w:hAnsi="Times New Roman"/>
                <w:sz w:val="24"/>
              </w:rPr>
              <w:t>ÉS</w:t>
            </w:r>
            <w:proofErr w:type="gramEnd"/>
            <w:r>
              <w:rPr>
                <w:rStyle w:val="InstructionsTabelleberschrift"/>
                <w:rFonts w:ascii="Times New Roman" w:hAnsi="Times New Roman"/>
                <w:sz w:val="24"/>
              </w:rPr>
              <w:t xml:space="preserve"> RÖVID POZÍCIÓK</w:t>
            </w:r>
          </w:p>
          <w:p w:rsidR="000B0B09" w:rsidRPr="00392FFD" w:rsidRDefault="000B0B09" w:rsidP="000B0B09">
            <w:pPr>
              <w:rPr>
                <w:rFonts w:ascii="Times New Roman" w:hAnsi="Times New Roman"/>
                <w:sz w:val="24"/>
              </w:rPr>
            </w:pPr>
            <w:r>
              <w:rPr>
                <w:rFonts w:ascii="Times New Roman" w:hAnsi="Times New Roman"/>
                <w:sz w:val="24"/>
              </w:rPr>
              <w:t>A CRR 338. cikke, a CRR 335. cikkében biztosított jogosultság figyelembev</w:t>
            </w:r>
            <w:r>
              <w:rPr>
                <w:rFonts w:ascii="Times New Roman" w:hAnsi="Times New Roman"/>
                <w:sz w:val="24"/>
              </w:rPr>
              <w:t>é</w:t>
            </w:r>
            <w:r>
              <w:rPr>
                <w:rFonts w:ascii="Times New Roman" w:hAnsi="Times New Roman"/>
                <w:sz w:val="24"/>
              </w:rPr>
              <w:t xml:space="preserve">telével.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TELJES SZAVATOLÓTŐKE-KÖVETELMÉNY</w:t>
            </w:r>
          </w:p>
          <w:p w:rsidR="000B0B09" w:rsidRPr="00392FFD" w:rsidRDefault="000B0B09" w:rsidP="00E871FE">
            <w:pPr>
              <w:rPr>
                <w:rFonts w:ascii="Times New Roman" w:hAnsi="Times New Roman"/>
                <w:sz w:val="24"/>
              </w:rPr>
            </w:pPr>
            <w:r>
              <w:rPr>
                <w:rFonts w:ascii="Times New Roman" w:hAnsi="Times New Roman"/>
                <w:sz w:val="24"/>
              </w:rPr>
              <w:t>A szavatolótőke-követelmény az i. kizárólag a nettó hosszú pozíciók egyedi kockázatához kapcsolódó szavatolótőke-követelmény (430. oszlop), valamint ii. kizárólag a nettó rövid pozíciók egyedi kockázatához kapcsolódó szavatolótőke-követelmény (440. oszlop) közül a nagyobb érték.</w:t>
            </w:r>
          </w:p>
        </w:tc>
      </w:tr>
    </w:tbl>
    <w:p w:rsidR="000B0B09" w:rsidRPr="00392FFD" w:rsidRDefault="000B0B09" w:rsidP="00E70AB0">
      <w:pPr>
        <w:autoSpaceDE w:val="0"/>
        <w:autoSpaceDN w:val="0"/>
        <w:adjustRightInd w:val="0"/>
        <w:spacing w:before="0" w:after="0"/>
        <w:rPr>
          <w:rFonts w:ascii="Times New Roman" w:hAnsi="Times New Roman"/>
          <w:sz w:val="24"/>
        </w:rPr>
      </w:pPr>
    </w:p>
    <w:p w:rsidR="00DE48EF" w:rsidRPr="00392FFD"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4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Sorok</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TELJES KITETTSÉG</w:t>
            </w:r>
          </w:p>
          <w:p w:rsidR="000B0B09" w:rsidRPr="00392FFD" w:rsidRDefault="000B0B09" w:rsidP="000B0B09">
            <w:pPr>
              <w:rPr>
                <w:rFonts w:ascii="Times New Roman" w:hAnsi="Times New Roman"/>
                <w:sz w:val="24"/>
              </w:rPr>
            </w:pPr>
            <w:r>
              <w:rPr>
                <w:rFonts w:ascii="Times New Roman" w:hAnsi="Times New Roman"/>
                <w:sz w:val="24"/>
              </w:rPr>
              <w:t>A korrelációkereskedési portfólióban nyilvántartott, fennálló pozíciók összértéke az értékpapírosítást kezdeményező, befektető vagy szponzor szerepét betöltő i</w:t>
            </w:r>
            <w:r>
              <w:rPr>
                <w:rFonts w:ascii="Times New Roman" w:hAnsi="Times New Roman"/>
                <w:sz w:val="24"/>
              </w:rPr>
              <w:t>n</w:t>
            </w:r>
            <w:r>
              <w:rPr>
                <w:rFonts w:ascii="Times New Roman" w:hAnsi="Times New Roman"/>
                <w:sz w:val="24"/>
              </w:rPr>
              <w:t>tézmény adatszolgáltatása szerint.</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ÉRTÉKPAPÍROSÍTÁST KEZDEMÉNYEZŐ</w:t>
            </w:r>
          </w:p>
          <w:p w:rsidR="000B0B09" w:rsidRPr="00392FFD" w:rsidRDefault="000B0B09" w:rsidP="00104A65">
            <w:pPr>
              <w:rPr>
                <w:rFonts w:ascii="Times New Roman" w:hAnsi="Times New Roman"/>
                <w:sz w:val="24"/>
              </w:rPr>
            </w:pPr>
            <w:r>
              <w:rPr>
                <w:rFonts w:ascii="Times New Roman" w:hAnsi="Times New Roman"/>
                <w:sz w:val="24"/>
              </w:rPr>
              <w:t xml:space="preserve">A CRR 4. cikkének (13) bekezdése </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050-070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BEFEKTETŐ</w:t>
            </w:r>
          </w:p>
          <w:p w:rsidR="000B0B09" w:rsidRPr="00392FFD" w:rsidRDefault="000B0B09" w:rsidP="00DE48EF">
            <w:pPr>
              <w:rPr>
                <w:rFonts w:ascii="Times New Roman" w:hAnsi="Times New Roman"/>
                <w:sz w:val="24"/>
              </w:rPr>
            </w:pPr>
            <w:r>
              <w:rPr>
                <w:rFonts w:ascii="Times New Roman" w:hAnsi="Times New Roman"/>
                <w:sz w:val="24"/>
              </w:rPr>
              <w:t>Olyan hitelintézet, amely értékpapírosítási pozícióval rendelkezik egy olyan értékpapírosítási ügyletben, amelyben sem az értékpapírosítást kezdeményező, sem a szponzor szerepét nem tölti be.</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080-100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SZPONZOR</w:t>
            </w:r>
          </w:p>
          <w:p w:rsidR="000B0B09" w:rsidRPr="00392FFD" w:rsidRDefault="000B0B09" w:rsidP="00DA040A">
            <w:pPr>
              <w:rPr>
                <w:rFonts w:ascii="Times New Roman" w:hAnsi="Times New Roman"/>
                <w:sz w:val="24"/>
              </w:rPr>
            </w:pPr>
            <w:r>
              <w:rPr>
                <w:rFonts w:ascii="Times New Roman" w:hAnsi="Times New Roman"/>
                <w:sz w:val="24"/>
              </w:rPr>
              <w:t>A CRR 4. cikkének (14) bekezdése Ha egy szponzor saját eszközt is értékpapír</w:t>
            </w:r>
            <w:r>
              <w:rPr>
                <w:rFonts w:ascii="Times New Roman" w:hAnsi="Times New Roman"/>
                <w:sz w:val="24"/>
              </w:rPr>
              <w:t>o</w:t>
            </w:r>
            <w:r>
              <w:rPr>
                <w:rFonts w:ascii="Times New Roman" w:hAnsi="Times New Roman"/>
                <w:sz w:val="24"/>
              </w:rPr>
              <w:t>sít, akkor a saját értékpapírosított eszközökkel kapcsolatos információkat az érté</w:t>
            </w:r>
            <w:r>
              <w:rPr>
                <w:rFonts w:ascii="Times New Roman" w:hAnsi="Times New Roman"/>
                <w:sz w:val="24"/>
              </w:rPr>
              <w:t>k</w:t>
            </w:r>
            <w:r>
              <w:rPr>
                <w:rFonts w:ascii="Times New Roman" w:hAnsi="Times New Roman"/>
                <w:sz w:val="24"/>
              </w:rPr>
              <w:lastRenderedPageBreak/>
              <w:t xml:space="preserve">papírosítást kezdeményezőre vonatkozó sorokban kell megadnia.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030, 060 és 090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ÉRTÉKPAPÍROSÍTÁS</w:t>
            </w:r>
          </w:p>
          <w:p w:rsidR="000B0B09" w:rsidRPr="00392FFD" w:rsidRDefault="000B0B09" w:rsidP="000B0B09">
            <w:pPr>
              <w:rPr>
                <w:rFonts w:ascii="Times New Roman" w:hAnsi="Times New Roman"/>
                <w:sz w:val="24"/>
              </w:rPr>
            </w:pPr>
            <w:r>
              <w:rPr>
                <w:rFonts w:ascii="Times New Roman" w:hAnsi="Times New Roman"/>
                <w:sz w:val="24"/>
              </w:rPr>
              <w:t>A korrelációkereskedési portfólió értékpapírosításokat, n-edik nemteljesítéskor l</w:t>
            </w:r>
            <w:r>
              <w:rPr>
                <w:rFonts w:ascii="Times New Roman" w:hAnsi="Times New Roman"/>
                <w:sz w:val="24"/>
              </w:rPr>
              <w:t>e</w:t>
            </w:r>
            <w:r>
              <w:rPr>
                <w:rFonts w:ascii="Times New Roman" w:hAnsi="Times New Roman"/>
                <w:sz w:val="24"/>
              </w:rPr>
              <w:t>hívható hitelderivatívákat, valamint esetlegesen a CRR 338. cikkének (2) és (3) bekezdésében előírt kritériumokat teljesítő egyéb fedezeti pozíciókat foglal mag</w:t>
            </w:r>
            <w:r>
              <w:rPr>
                <w:rFonts w:ascii="Times New Roman" w:hAnsi="Times New Roman"/>
                <w:sz w:val="24"/>
              </w:rPr>
              <w:t>á</w:t>
            </w:r>
            <w:r>
              <w:rPr>
                <w:rFonts w:ascii="Times New Roman" w:hAnsi="Times New Roman"/>
                <w:sz w:val="24"/>
              </w:rPr>
              <w:t>ban.</w:t>
            </w:r>
          </w:p>
          <w:p w:rsidR="000B0B09" w:rsidRPr="00392FFD" w:rsidRDefault="000B0B09" w:rsidP="000B0B09">
            <w:pPr>
              <w:rPr>
                <w:rFonts w:ascii="Times New Roman" w:hAnsi="Times New Roman"/>
                <w:sz w:val="24"/>
              </w:rPr>
            </w:pPr>
          </w:p>
          <w:p w:rsidR="000B0B09" w:rsidRPr="00392FFD" w:rsidRDefault="000B0B09" w:rsidP="00DE48EF">
            <w:pPr>
              <w:rPr>
                <w:rFonts w:ascii="Times New Roman" w:hAnsi="Times New Roman"/>
                <w:sz w:val="24"/>
              </w:rPr>
            </w:pPr>
            <w:r>
              <w:rPr>
                <w:rFonts w:ascii="Times New Roman" w:hAnsi="Times New Roman"/>
                <w:sz w:val="24"/>
              </w:rPr>
              <w:t>Az értékpapírosítási kitettségek arányos részesedést biztosító származtatott ügyl</w:t>
            </w:r>
            <w:r>
              <w:rPr>
                <w:rFonts w:ascii="Times New Roman" w:hAnsi="Times New Roman"/>
                <w:sz w:val="24"/>
              </w:rPr>
              <w:t>e</w:t>
            </w:r>
            <w:r>
              <w:rPr>
                <w:rFonts w:ascii="Times New Roman" w:hAnsi="Times New Roman"/>
                <w:sz w:val="24"/>
              </w:rPr>
              <w:t>teit, valamint a CTP-pozíciókat fedező pozíciókat az „Egyéb CTP-pozíciók” so</w:t>
            </w:r>
            <w:r>
              <w:rPr>
                <w:rFonts w:ascii="Times New Roman" w:hAnsi="Times New Roman"/>
                <w:sz w:val="24"/>
              </w:rPr>
              <w:t>r</w:t>
            </w:r>
            <w:r>
              <w:rPr>
                <w:rFonts w:ascii="Times New Roman" w:hAnsi="Times New Roman"/>
                <w:sz w:val="24"/>
              </w:rPr>
              <w:t>ban kell feltüntetni.</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N-EDIK NEMTELJESÍTÉSKOR LEHÍVHATÓ HITELDERIVATÍVÁK</w:t>
            </w:r>
          </w:p>
          <w:p w:rsidR="000B0B09" w:rsidRPr="00392FFD" w:rsidRDefault="000B0B09" w:rsidP="000B0B09">
            <w:pPr>
              <w:rPr>
                <w:rFonts w:ascii="Times New Roman" w:hAnsi="Times New Roman"/>
                <w:sz w:val="24"/>
              </w:rPr>
            </w:pPr>
            <w:r>
              <w:rPr>
                <w:rFonts w:ascii="Times New Roman" w:hAnsi="Times New Roman"/>
                <w:sz w:val="24"/>
              </w:rPr>
              <w:t>Itt az n-edik nemteljesítéskor lehívható hitelderivatívákat, valamint az azokat a CRR 347. cikke szerint fedező n-edik nemteljesítéskor lehívható hitelderivatívákat kell megadni.</w:t>
            </w:r>
          </w:p>
          <w:p w:rsidR="000B0B09" w:rsidRPr="00392FFD" w:rsidRDefault="000B0B09" w:rsidP="00DE48EF">
            <w:pPr>
              <w:rPr>
                <w:rFonts w:ascii="Times New Roman" w:hAnsi="Times New Roman"/>
                <w:sz w:val="24"/>
              </w:rPr>
            </w:pPr>
            <w:r>
              <w:rPr>
                <w:rFonts w:ascii="Times New Roman" w:hAnsi="Times New Roman"/>
                <w:sz w:val="24"/>
              </w:rPr>
              <w:t>Az értékpapírosítást kezdeményező, a befektető és szponzor pozíciói az n-edik nemteljesítéskor lehívható hitelderivatívákkal nem egyeztethetők össze. Emiatt az értékpapírosítási pozícióknál alkalmazott megbontás az n-edik nemteljesítéskor l</w:t>
            </w:r>
            <w:r>
              <w:rPr>
                <w:rFonts w:ascii="Times New Roman" w:hAnsi="Times New Roman"/>
                <w:sz w:val="24"/>
              </w:rPr>
              <w:t>e</w:t>
            </w:r>
            <w:r>
              <w:rPr>
                <w:rFonts w:ascii="Times New Roman" w:hAnsi="Times New Roman"/>
                <w:sz w:val="24"/>
              </w:rPr>
              <w:t>hívható hitelderivatívák esetében nem alkalmazható.</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040, 070, 100 és 120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EGYÉB CTP-POZÍCIÓK</w:t>
            </w:r>
          </w:p>
          <w:p w:rsidR="000B0B09" w:rsidRPr="00392FFD" w:rsidRDefault="000B0B09" w:rsidP="000B0B09">
            <w:pPr>
              <w:rPr>
                <w:rFonts w:ascii="Times New Roman" w:hAnsi="Times New Roman"/>
                <w:sz w:val="24"/>
              </w:rPr>
            </w:pPr>
            <w:r>
              <w:rPr>
                <w:rFonts w:ascii="Times New Roman" w:hAnsi="Times New Roman"/>
                <w:sz w:val="24"/>
              </w:rPr>
              <w:t xml:space="preserve">Az alábbiakban lévő pozíciókat kell megadni: </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az értékpapírosítási kitettségek arányos részesedést biztosító származtatott ügyleteit, valamint a CTP-pozíciókat fedező pozíciókat;</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a CRR 346. cikke szerint hitelderivatívákkal fedezett CTP-pozíciók;</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a CRR 338. cikkének (3) bekezdése szerinti egyéb pozíciók.</w:t>
            </w:r>
          </w:p>
          <w:p w:rsidR="000B0B09" w:rsidRPr="00392FFD" w:rsidRDefault="000B0B09" w:rsidP="000B0B09">
            <w:pPr>
              <w:rPr>
                <w:rFonts w:ascii="Times New Roman" w:hAnsi="Times New Roman"/>
                <w:sz w:val="24"/>
              </w:rPr>
            </w:pPr>
            <w:r>
              <w:rPr>
                <w:rFonts w:ascii="Times New Roman" w:hAnsi="Times New Roman"/>
                <w:sz w:val="24"/>
              </w:rPr>
              <w:t>.</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70" w:name="_Toc262566429"/>
      <w:bookmarkStart w:id="671" w:name="_Toc295830005"/>
      <w:bookmarkStart w:id="672" w:name="_Toc308426682"/>
      <w:bookmarkStart w:id="673" w:name="_Toc310415066"/>
      <w:bookmarkStart w:id="674" w:name="_Toc360188401"/>
      <w:bookmarkStart w:id="675" w:name="_Toc516210692"/>
      <w:bookmarkStart w:id="676" w:name="_Toc473561041"/>
      <w:bookmarkStart w:id="677" w:name="_Toc524014751"/>
      <w:r>
        <w:rPr>
          <w:rFonts w:ascii="Times New Roman" w:hAnsi="Times New Roman"/>
          <w:sz w:val="24"/>
          <w:u w:val="none"/>
        </w:rPr>
        <w:t>5.4.</w:t>
      </w:r>
      <w:r w:rsidRPr="003E7498">
        <w:rPr>
          <w:u w:val="none"/>
        </w:rPr>
        <w:tab/>
      </w:r>
      <w:r>
        <w:rPr>
          <w:rFonts w:ascii="Times New Roman" w:hAnsi="Times New Roman"/>
          <w:sz w:val="24"/>
        </w:rPr>
        <w:t>C 21.00 – Piaci kockázat: Az értékpapírosítások egyedi kockázatának sztenderd mó</w:t>
      </w:r>
      <w:r>
        <w:rPr>
          <w:rFonts w:ascii="Times New Roman" w:hAnsi="Times New Roman"/>
          <w:sz w:val="24"/>
        </w:rPr>
        <w:t>d</w:t>
      </w:r>
      <w:r>
        <w:rPr>
          <w:rFonts w:ascii="Times New Roman" w:hAnsi="Times New Roman"/>
          <w:sz w:val="24"/>
        </w:rPr>
        <w:t>szere</w:t>
      </w:r>
      <w:bookmarkEnd w:id="670"/>
      <w:bookmarkEnd w:id="671"/>
      <w:bookmarkEnd w:id="672"/>
      <w:bookmarkEnd w:id="673"/>
      <w:bookmarkEnd w:id="674"/>
      <w:r>
        <w:rPr>
          <w:rFonts w:ascii="Times New Roman" w:hAnsi="Times New Roman"/>
          <w:sz w:val="24"/>
        </w:rPr>
        <w:t xml:space="preserve"> (MKR SA SEC)</w:t>
      </w:r>
      <w:bookmarkEnd w:id="675"/>
      <w:bookmarkEnd w:id="676"/>
      <w:bookmarkEnd w:id="677"/>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0"/>
      <w:bookmarkStart w:id="679" w:name="_Toc295830006"/>
      <w:bookmarkStart w:id="680" w:name="_Toc308426683"/>
      <w:bookmarkStart w:id="681" w:name="_Toc310415067"/>
      <w:bookmarkStart w:id="682" w:name="_Toc360188402"/>
      <w:bookmarkStart w:id="683" w:name="_Toc516210693"/>
      <w:bookmarkStart w:id="684" w:name="_Toc473561042"/>
      <w:bookmarkStart w:id="685" w:name="_Toc524014752"/>
      <w:r>
        <w:rPr>
          <w:rFonts w:ascii="Times New Roman" w:hAnsi="Times New Roman"/>
          <w:sz w:val="24"/>
          <w:u w:val="none"/>
        </w:rPr>
        <w:t>5.4.1.</w:t>
      </w:r>
      <w:r w:rsidRPr="003E7498">
        <w:rPr>
          <w:u w:val="none"/>
        </w:rPr>
        <w:tab/>
      </w:r>
      <w:r>
        <w:rPr>
          <w:rFonts w:ascii="Times New Roman" w:hAnsi="Times New Roman"/>
          <w:sz w:val="24"/>
        </w:rPr>
        <w:t>Általános megjegyzések</w:t>
      </w:r>
      <w:bookmarkEnd w:id="678"/>
      <w:bookmarkEnd w:id="679"/>
      <w:bookmarkEnd w:id="680"/>
      <w:bookmarkEnd w:id="681"/>
      <w:bookmarkEnd w:id="682"/>
      <w:bookmarkEnd w:id="683"/>
      <w:bookmarkEnd w:id="684"/>
      <w:bookmarkEnd w:id="685"/>
    </w:p>
    <w:p w:rsidR="000B0B09" w:rsidRPr="00392FFD" w:rsidRDefault="00125707" w:rsidP="001A3980">
      <w:pPr>
        <w:pStyle w:val="InstructionsText2"/>
        <w:numPr>
          <w:ilvl w:val="0"/>
          <w:numId w:val="0"/>
        </w:numPr>
        <w:ind w:left="993"/>
      </w:pPr>
      <w:r>
        <w:t>148.</w:t>
      </w:r>
      <w:r>
        <w:tab/>
        <w:t>Ezen a táblán a sztenderd módszer alkalmazási körébe tartozó pozíciókról, v</w:t>
      </w:r>
      <w:r>
        <w:t>a</w:t>
      </w:r>
      <w:r>
        <w:t>lamint az ezekhez kapcsolódóan a kereskedési könyvben nyilvántartott részvények pozíciókockázatára vonatkozó szavatolótőke-követelményről kell adatot szolgálta</w:t>
      </w:r>
      <w:r>
        <w:t>t</w:t>
      </w:r>
      <w:r>
        <w:t>ni.</w:t>
      </w:r>
    </w:p>
    <w:p w:rsidR="000B0B09" w:rsidRPr="00392FFD" w:rsidRDefault="00125707" w:rsidP="001A3980">
      <w:pPr>
        <w:pStyle w:val="InstructionsText2"/>
        <w:numPr>
          <w:ilvl w:val="0"/>
          <w:numId w:val="0"/>
        </w:numPr>
        <w:ind w:left="993"/>
      </w:pPr>
      <w:r>
        <w:t>149.</w:t>
      </w:r>
      <w:r>
        <w:tab/>
        <w:t>A táblát külön ki kell tölteni összesítve, valamint az alábbi előre meghatározott felsorolásban szereplő piacokra vonatkozóan: Albánia, Bulgária, Csehország, D</w:t>
      </w:r>
      <w:r>
        <w:t>á</w:t>
      </w:r>
      <w:r>
        <w:t>nia, Egyesült Államok, Egyesült Királyság, Egyiptom, Horvátország, Izland, Japán, Lengyelország, Liechtenstein, Macedónia, Magyarország, Norvégia, Oroszország, Románia, Svájc, Svédország, Szerbia, Törökország, Ukrajna, az euróövezet továbbá egy táblát az összes többi piacra összesítve. Ezen adatszolgáltatási kötelezettség a</w:t>
      </w:r>
      <w:r>
        <w:t>l</w:t>
      </w:r>
      <w:r>
        <w:lastRenderedPageBreak/>
        <w:t>kalmazásában piac alatt országot kell érteni (kivéve az euróövezethez tartozó o</w:t>
      </w:r>
      <w:r>
        <w:t>r</w:t>
      </w:r>
      <w:r>
        <w:t>szágokat, lásd az 525/2014/EU felhatalmazáson alapuló bizottsági rendeletet).</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1"/>
      <w:bookmarkStart w:id="687" w:name="_Toc295830007"/>
      <w:bookmarkStart w:id="688" w:name="_Toc308426684"/>
      <w:bookmarkStart w:id="689" w:name="_Toc310415068"/>
      <w:bookmarkStart w:id="690" w:name="_Toc360188403"/>
      <w:bookmarkStart w:id="691" w:name="_Toc516210694"/>
      <w:bookmarkStart w:id="692" w:name="_Toc473561043"/>
      <w:bookmarkStart w:id="693" w:name="_Toc524014753"/>
      <w:r>
        <w:rPr>
          <w:rFonts w:ascii="Times New Roman" w:hAnsi="Times New Roman"/>
          <w:sz w:val="24"/>
          <w:u w:val="none"/>
        </w:rPr>
        <w:t>5.4.2.</w:t>
      </w:r>
      <w:r w:rsidRPr="003E7498">
        <w:rPr>
          <w:u w:val="none"/>
        </w:rPr>
        <w:tab/>
      </w:r>
      <w:r>
        <w:rPr>
          <w:rFonts w:ascii="Times New Roman" w:hAnsi="Times New Roman"/>
          <w:sz w:val="24"/>
        </w:rPr>
        <w:t>A tábla egyes részeire vonatkozó útmutató</w:t>
      </w:r>
      <w:bookmarkEnd w:id="686"/>
      <w:bookmarkEnd w:id="687"/>
      <w:bookmarkEnd w:id="688"/>
      <w:bookmarkEnd w:id="689"/>
      <w:bookmarkEnd w:id="690"/>
      <w:bookmarkEnd w:id="691"/>
      <w:bookmarkEnd w:id="692"/>
      <w:bookmarkEnd w:id="6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26"/>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Oszlopok</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ÖSSZES POZÍCIÓ (HOSSZÚ </w:t>
            </w:r>
            <w:proofErr w:type="gramStart"/>
            <w:r>
              <w:rPr>
                <w:rFonts w:ascii="Times New Roman" w:hAnsi="Times New Roman"/>
                <w:b/>
                <w:sz w:val="24"/>
                <w:u w:val="single"/>
              </w:rPr>
              <w:t>ÉS</w:t>
            </w:r>
            <w:proofErr w:type="gramEnd"/>
            <w:r>
              <w:rPr>
                <w:rFonts w:ascii="Times New Roman" w:hAnsi="Times New Roman"/>
                <w:b/>
                <w:sz w:val="24"/>
                <w:u w:val="single"/>
              </w:rPr>
              <w:t xml:space="preserve"> RÖVID)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102. cikke, valamint 105. cikkének (1) bekezdése Bruttó, instrument</w:t>
            </w:r>
            <w:r>
              <w:rPr>
                <w:rFonts w:ascii="Times New Roman" w:hAnsi="Times New Roman"/>
                <w:sz w:val="24"/>
              </w:rPr>
              <w:t>u</w:t>
            </w:r>
            <w:r>
              <w:rPr>
                <w:rFonts w:ascii="Times New Roman" w:hAnsi="Times New Roman"/>
                <w:sz w:val="24"/>
              </w:rPr>
              <w:t>monként nem nettósított pozíciók azon jegyzési pozíciók levonásával, amely</w:t>
            </w:r>
            <w:r>
              <w:rPr>
                <w:rFonts w:ascii="Times New Roman" w:hAnsi="Times New Roman"/>
                <w:sz w:val="24"/>
              </w:rPr>
              <w:t>e</w:t>
            </w:r>
            <w:r>
              <w:rPr>
                <w:rFonts w:ascii="Times New Roman" w:hAnsi="Times New Roman"/>
                <w:sz w:val="24"/>
              </w:rPr>
              <w:t xml:space="preserve">ket harmadik fél az intézménytől lejegyzett, vagy amelyekre jegyzési garanciát vállal (a CRR 345. cikkének második mondata). </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NETTÓ POZÍCIÓK (HOSSZÚ </w:t>
            </w:r>
            <w:proofErr w:type="gramStart"/>
            <w:r>
              <w:rPr>
                <w:rFonts w:ascii="Times New Roman" w:hAnsi="Times New Roman"/>
                <w:b/>
                <w:sz w:val="24"/>
                <w:u w:val="single"/>
              </w:rPr>
              <w:t>ÉS</w:t>
            </w:r>
            <w:proofErr w:type="gramEnd"/>
            <w:r>
              <w:rPr>
                <w:rFonts w:ascii="Times New Roman" w:hAnsi="Times New Roman"/>
                <w:b/>
                <w:sz w:val="24"/>
                <w:u w:val="single"/>
              </w:rPr>
              <w:t xml:space="preserve"> RÖVID)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CRR 327., 329., 332., 341. és 345. cikke. </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TŐKEKÖVETELMÉNNYEL ÉRINTETT POZÍCIÓK</w:t>
            </w:r>
          </w:p>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Azok a nettó pozíciók, amelyekre a CRR harmadik része IV. címének 2. fejez</w:t>
            </w:r>
            <w:r>
              <w:rPr>
                <w:rFonts w:ascii="Times New Roman" w:hAnsi="Times New Roman"/>
                <w:sz w:val="24"/>
              </w:rPr>
              <w:t>e</w:t>
            </w:r>
            <w:r>
              <w:rPr>
                <w:rFonts w:ascii="Times New Roman" w:hAnsi="Times New Roman"/>
                <w:sz w:val="24"/>
              </w:rPr>
              <w:t>tében foglalt különböző módszerek szerint tőkekövetelmény vonatkozik. A t</w:t>
            </w:r>
            <w:r>
              <w:rPr>
                <w:rFonts w:ascii="Times New Roman" w:hAnsi="Times New Roman"/>
                <w:sz w:val="24"/>
              </w:rPr>
              <w:t>ő</w:t>
            </w:r>
            <w:r>
              <w:rPr>
                <w:rFonts w:ascii="Times New Roman" w:hAnsi="Times New Roman"/>
                <w:sz w:val="24"/>
              </w:rPr>
              <w:t>kekövetelményt az egyes nemzeti piacokra külön kell kiszámítani. A CRR 344. cikke (4) bekezdésének második mondata szerinti határidős részvényindex-ügyletekben levő pozíciókat nem kell feltüntetni ebben az oszlopban.</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SZAVATOLÓTŐKE-KÖVETELMÉNY</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harmadik része IV. címének 2. fejezete szerint releváns pozíciók tők</w:t>
            </w:r>
            <w:r>
              <w:rPr>
                <w:rFonts w:ascii="Times New Roman" w:hAnsi="Times New Roman"/>
                <w:sz w:val="24"/>
              </w:rPr>
              <w:t>e</w:t>
            </w:r>
            <w:r>
              <w:rPr>
                <w:rFonts w:ascii="Times New Roman" w:hAnsi="Times New Roman"/>
                <w:sz w:val="24"/>
              </w:rPr>
              <w:t>követelménye.</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KOCKÁZATI KITETTSÉGÉRTÉK</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 CRR 92. cikke (4) bekezdésének b) pontja. A szavatolótőke-követelmény 12,5-del való szorzásának az eredménye.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6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Sorok</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KERESKEDÉSI KÖNYVBEN NYILVÁNTARTOTT RÉSZVÉNYEK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92. cikke (3) bekezdése b) pontjának i. alpontja, valamint a CRR harmadik része IV. címe 2. fejezetének 3. szakasza szerinti pozíciókockázathoz kapcsolódó szavatolótőke-követelmény.</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ÁLTALÁNOS KOCKÁZAT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általános kockázattal érintett részvényekben lévő pozíciók (a CRR 343. cikke), valamint az azoknak megfelelő, a CRR harmadik része IV. címe 2. fejezetének 3. szakasza szerinti szavatolótőke-követelmény.</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Mindkét felosztás (021/022 és 030/040) valamennyi olyan pozícióhoz kapcsol</w:t>
            </w:r>
            <w:r>
              <w:rPr>
                <w:rFonts w:ascii="Times New Roman" w:hAnsi="Times New Roman"/>
                <w:sz w:val="24"/>
              </w:rPr>
              <w:t>ó</w:t>
            </w:r>
            <w:r>
              <w:rPr>
                <w:rFonts w:ascii="Times New Roman" w:hAnsi="Times New Roman"/>
                <w:sz w:val="24"/>
              </w:rPr>
              <w:lastRenderedPageBreak/>
              <w:t xml:space="preserve">dik, amelyet általános kockázat érint.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021-es és 022-es sorban az információkat eszközönkénti bontásban kell mega</w:t>
            </w:r>
            <w:r>
              <w:rPr>
                <w:rFonts w:ascii="Times New Roman" w:hAnsi="Times New Roman"/>
                <w:sz w:val="24"/>
              </w:rPr>
              <w:t>d</w:t>
            </w:r>
            <w:r>
              <w:rPr>
                <w:rFonts w:ascii="Times New Roman" w:hAnsi="Times New Roman"/>
                <w:sz w:val="24"/>
              </w:rPr>
              <w:t xml:space="preserve">ni. A szavatolótőke-követelmény számításakor kizárólag a 030-as és 040-es sorban csoportosított adatok vehetők figyelembe.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021</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Származtatott ügyletek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A kereskedési könyvi pozíciók részvénypiaci kockázatának számítása során figy</w:t>
            </w:r>
            <w:r>
              <w:rPr>
                <w:rFonts w:ascii="Times New Roman" w:hAnsi="Times New Roman"/>
                <w:sz w:val="24"/>
              </w:rPr>
              <w:t>e</w:t>
            </w:r>
            <w:r>
              <w:rPr>
                <w:rFonts w:ascii="Times New Roman" w:hAnsi="Times New Roman"/>
                <w:sz w:val="24"/>
              </w:rPr>
              <w:t>lembe vett származtatott ügyletek, a 329. cikk és a 332. cikk figyelembevételével, ha e cikkek alkalmazhatók.</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022</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Egyéb eszközök és kötelezettségek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kereskedési könyvi pozíciók részvénypiaci kockázatának számítása során figy</w:t>
            </w:r>
            <w:r>
              <w:rPr>
                <w:rFonts w:ascii="Times New Roman" w:hAnsi="Times New Roman"/>
                <w:sz w:val="24"/>
              </w:rPr>
              <w:t>e</w:t>
            </w:r>
            <w:r>
              <w:rPr>
                <w:rFonts w:ascii="Times New Roman" w:hAnsi="Times New Roman"/>
                <w:sz w:val="24"/>
              </w:rPr>
              <w:t xml:space="preserve">lembe vett származtatott ügyleteken kívüli instrumentumok.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Tőzsdei forgalomban szereplő, megfelelően diverzifikált, egyedi módszer a</w:t>
            </w:r>
            <w:r>
              <w:rPr>
                <w:rFonts w:ascii="Times New Roman" w:hAnsi="Times New Roman"/>
                <w:b/>
                <w:sz w:val="24"/>
                <w:u w:val="single"/>
              </w:rPr>
              <w:t>l</w:t>
            </w:r>
            <w:r>
              <w:rPr>
                <w:rFonts w:ascii="Times New Roman" w:hAnsi="Times New Roman"/>
                <w:b/>
                <w:sz w:val="24"/>
                <w:u w:val="single"/>
              </w:rPr>
              <w:t>kalmazási körébe tartozó határidős részvényindex-ügyletek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Tőzsdei forgalomban szereplő, széles körben diverzifikált, egyedi módszer alka</w:t>
            </w:r>
            <w:r>
              <w:rPr>
                <w:rFonts w:ascii="Times New Roman" w:hAnsi="Times New Roman"/>
                <w:sz w:val="24"/>
              </w:rPr>
              <w:t>l</w:t>
            </w:r>
            <w:r>
              <w:rPr>
                <w:rFonts w:ascii="Times New Roman" w:hAnsi="Times New Roman"/>
                <w:sz w:val="24"/>
              </w:rPr>
              <w:t xml:space="preserve">mazási körébe tartozó határidős részvényindex-ügyletek a CRR 344. cikkének (1) és (4) bekezdése szerint. Ezeknél a pozícióknál csak általános kockázat áll fenn, így azok </w:t>
            </w:r>
            <w:proofErr w:type="gramStart"/>
            <w:r>
              <w:rPr>
                <w:rFonts w:ascii="Times New Roman" w:hAnsi="Times New Roman"/>
                <w:sz w:val="24"/>
              </w:rPr>
              <w:t>az</w:t>
            </w:r>
            <w:proofErr w:type="gramEnd"/>
            <w:r>
              <w:rPr>
                <w:rFonts w:ascii="Times New Roman" w:hAnsi="Times New Roman"/>
                <w:sz w:val="24"/>
              </w:rPr>
              <w:t xml:space="preserve"> 050-es sorban nem tüntethetők fel.</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tőzsdei forgalomban szereplő, megfelelően diverzifikált határidős részvén</w:t>
            </w:r>
            <w:r>
              <w:rPr>
                <w:rFonts w:ascii="Times New Roman" w:hAnsi="Times New Roman"/>
                <w:b/>
                <w:sz w:val="24"/>
                <w:u w:val="single"/>
              </w:rPr>
              <w:t>y</w:t>
            </w:r>
            <w:r>
              <w:rPr>
                <w:rFonts w:ascii="Times New Roman" w:hAnsi="Times New Roman"/>
                <w:b/>
                <w:sz w:val="24"/>
                <w:u w:val="single"/>
              </w:rPr>
              <w:t>index-ügyleteken kívüli részvények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Egyedi kockázattal érintett egyéb részvénypozíciók, valamint az azoknak megfel</w:t>
            </w:r>
            <w:r>
              <w:rPr>
                <w:rFonts w:ascii="Times New Roman" w:hAnsi="Times New Roman"/>
                <w:sz w:val="24"/>
              </w:rPr>
              <w:t>e</w:t>
            </w:r>
            <w:r>
              <w:rPr>
                <w:rFonts w:ascii="Times New Roman" w:hAnsi="Times New Roman"/>
                <w:sz w:val="24"/>
              </w:rPr>
              <w:t xml:space="preserve">lő szavatolótőke-követelmény a CRR 343. cikke és 344. cikkének (3) bekezdése szerint.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050 </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EGYEDI KOCKÁZAT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Egyedi kockázattal érintett részvénypozíciók, valamint az azoknak megfelelő szavatolótőke-követelmény a CRR 342. cikke és 344. cikkének (4) bekezdése sz</w:t>
            </w:r>
            <w:r>
              <w:rPr>
                <w:rFonts w:ascii="Times New Roman" w:hAnsi="Times New Roman"/>
                <w:sz w:val="24"/>
              </w:rPr>
              <w:t>e</w:t>
            </w:r>
            <w:r w:rsidR="003E7498">
              <w:rPr>
                <w:rFonts w:ascii="Times New Roman" w:hAnsi="Times New Roman"/>
                <w:sz w:val="24"/>
              </w:rPr>
              <w:t>rint.</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090–130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OPCIÓKRA VONATKOZÓ TOVÁBBI KÖVETELMÉNYEK (NEM DE</w:t>
            </w:r>
            <w:r>
              <w:rPr>
                <w:rStyle w:val="InstructionsTabelleberschrift"/>
                <w:rFonts w:ascii="Times New Roman" w:hAnsi="Times New Roman"/>
                <w:sz w:val="24"/>
              </w:rPr>
              <w:t>L</w:t>
            </w:r>
            <w:r>
              <w:rPr>
                <w:rStyle w:val="InstructionsTabelleberschrift"/>
                <w:rFonts w:ascii="Times New Roman" w:hAnsi="Times New Roman"/>
                <w:sz w:val="24"/>
              </w:rPr>
              <w:t>TA KOCKÁZATOK)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329.</w:t>
            </w:r>
            <w:r w:rsidR="003E7498">
              <w:rPr>
                <w:rFonts w:ascii="Times New Roman" w:hAnsi="Times New Roman"/>
                <w:sz w:val="24"/>
              </w:rPr>
              <w:t xml:space="preserve"> cikkének (2) és (3) bekezdése.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nem delta kockázatokkal kapcsolatos, opciókra vonatkozó további követelm</w:t>
            </w:r>
            <w:r>
              <w:rPr>
                <w:rFonts w:ascii="Times New Roman" w:hAnsi="Times New Roman"/>
                <w:sz w:val="24"/>
              </w:rPr>
              <w:t>é</w:t>
            </w:r>
            <w:r>
              <w:rPr>
                <w:rFonts w:ascii="Times New Roman" w:hAnsi="Times New Roman"/>
                <w:sz w:val="24"/>
              </w:rPr>
              <w:t>nyeket a számítási módszerben kell feltüntetni.</w:t>
            </w: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94" w:name="_Toc262566432"/>
      <w:bookmarkStart w:id="695" w:name="_Toc295830008"/>
      <w:bookmarkStart w:id="696" w:name="_Toc308426685"/>
      <w:bookmarkStart w:id="697" w:name="_Toc310415069"/>
      <w:bookmarkStart w:id="698" w:name="_Toc360188404"/>
      <w:bookmarkStart w:id="699" w:name="_Toc516210695"/>
      <w:bookmarkStart w:id="700" w:name="_Toc473561044"/>
      <w:bookmarkStart w:id="701" w:name="_Toc524014754"/>
      <w:r>
        <w:rPr>
          <w:rFonts w:ascii="Times New Roman" w:hAnsi="Times New Roman"/>
          <w:sz w:val="24"/>
          <w:u w:val="none"/>
        </w:rPr>
        <w:lastRenderedPageBreak/>
        <w:t>5.5.</w:t>
      </w:r>
      <w:r w:rsidRPr="003E7498">
        <w:rPr>
          <w:u w:val="none"/>
        </w:rPr>
        <w:tab/>
      </w:r>
      <w:r>
        <w:rPr>
          <w:rFonts w:ascii="Times New Roman" w:hAnsi="Times New Roman"/>
          <w:sz w:val="24"/>
        </w:rPr>
        <w:t>C 22.00 – Piaci kockázat: A devizaárfolyam-kockázat sztenderd módszerei</w:t>
      </w:r>
      <w:bookmarkEnd w:id="694"/>
      <w:bookmarkEnd w:id="695"/>
      <w:bookmarkEnd w:id="696"/>
      <w:bookmarkEnd w:id="697"/>
      <w:bookmarkEnd w:id="698"/>
      <w:r>
        <w:rPr>
          <w:rFonts w:ascii="Times New Roman" w:hAnsi="Times New Roman"/>
          <w:sz w:val="24"/>
        </w:rPr>
        <w:t xml:space="preserve"> (MKR SA FX)</w:t>
      </w:r>
      <w:bookmarkEnd w:id="699"/>
      <w:bookmarkEnd w:id="700"/>
      <w:bookmarkEnd w:id="701"/>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02" w:name="_Toc262566433"/>
      <w:bookmarkStart w:id="703" w:name="_Toc295830009"/>
      <w:bookmarkStart w:id="704" w:name="_Toc308426686"/>
      <w:bookmarkStart w:id="705" w:name="_Toc310415070"/>
      <w:bookmarkStart w:id="706" w:name="_Toc360188405"/>
      <w:bookmarkStart w:id="707" w:name="_Toc516210696"/>
      <w:bookmarkStart w:id="708" w:name="_Toc473561045"/>
      <w:bookmarkStart w:id="709" w:name="_Toc524014755"/>
      <w:r>
        <w:rPr>
          <w:rFonts w:ascii="Times New Roman" w:hAnsi="Times New Roman"/>
          <w:sz w:val="24"/>
          <w:u w:val="none"/>
        </w:rPr>
        <w:t>5.5.1.</w:t>
      </w:r>
      <w:r w:rsidRPr="003E7498">
        <w:rPr>
          <w:u w:val="none"/>
        </w:rPr>
        <w:tab/>
      </w:r>
      <w:r>
        <w:rPr>
          <w:rFonts w:ascii="Times New Roman" w:hAnsi="Times New Roman"/>
          <w:sz w:val="24"/>
        </w:rPr>
        <w:t>Általános megjegyzések</w:t>
      </w:r>
      <w:bookmarkEnd w:id="702"/>
      <w:bookmarkEnd w:id="703"/>
      <w:bookmarkEnd w:id="704"/>
      <w:bookmarkEnd w:id="705"/>
      <w:bookmarkEnd w:id="706"/>
      <w:bookmarkEnd w:id="707"/>
      <w:bookmarkEnd w:id="708"/>
      <w:bookmarkEnd w:id="709"/>
    </w:p>
    <w:p w:rsidR="00F71DF2" w:rsidRPr="00392FFD" w:rsidRDefault="00125707" w:rsidP="001A3980">
      <w:pPr>
        <w:pStyle w:val="InstructionsText2"/>
        <w:numPr>
          <w:ilvl w:val="0"/>
          <w:numId w:val="0"/>
        </w:numPr>
        <w:ind w:left="993"/>
      </w:pPr>
      <w:r>
        <w:t>150.</w:t>
      </w:r>
      <w:r>
        <w:tab/>
        <w:t>Ezen a táblán az egyes devizákban lévő pozíciókról (ideértve a beszámoló pénznemét is), valamint ezekhez kapcsolódóan a devizaárfolyam-kockázatra vona</w:t>
      </w:r>
      <w:r>
        <w:t>t</w:t>
      </w:r>
      <w:r>
        <w:t>kozó, sztenderd módszer szerinti szavatolótőke-követelményről kell az intézm</w:t>
      </w:r>
      <w:r>
        <w:t>é</w:t>
      </w:r>
      <w:r>
        <w:t>nyeknek adatot szolgáltatniuk. A pozíciót az egyes pénznemekre (ideértve az eurót is), aranyra, valamint a kollektív befektetési</w:t>
      </w:r>
      <w:r w:rsidR="003E7498">
        <w:t xml:space="preserve"> formákra is ki kell számítani.</w:t>
      </w:r>
    </w:p>
    <w:p w:rsidR="000B0B09" w:rsidRPr="00392FFD" w:rsidRDefault="00125707" w:rsidP="001A3980">
      <w:pPr>
        <w:pStyle w:val="InstructionsText2"/>
        <w:numPr>
          <w:ilvl w:val="0"/>
          <w:numId w:val="0"/>
        </w:numPr>
        <w:ind w:left="993"/>
      </w:pPr>
      <w:r>
        <w:t>151.</w:t>
      </w:r>
      <w:r>
        <w:tab/>
        <w:t>A tábla 100–480. sorában akkor is adatot kell szolgáltatni, ha az intézmény nem köteles szavatolótőke-követelményt számolni a devizaárfolyam-kockázatra a CRR 351. cikke szerint. E tájékoztató adatok körében a beszámoló pénznemében lévő összes pozíciót is jelenteni kell, függetlenül attól, hogy ezeket milyen mérté</w:t>
      </w:r>
      <w:r>
        <w:t>k</w:t>
      </w:r>
      <w:r>
        <w:t xml:space="preserve">ben kell figyelembe venni a CRR 354. cikke alkalmazásában. A </w:t>
      </w:r>
      <w:proofErr w:type="gramStart"/>
      <w:r>
        <w:t>tábla tájékoztató</w:t>
      </w:r>
      <w:proofErr w:type="gramEnd"/>
      <w:r>
        <w:t xml:space="preserve"> adatainak 130–480-as sorát külön-külön ki kell tölteni az Unió tagállamaiban has</w:t>
      </w:r>
      <w:r>
        <w:t>z</w:t>
      </w:r>
      <w:r>
        <w:t>nált valamennyi pénznemre és a következő pénznemekre: USD, CHF, JPY, RUB, TRY, AUD, CAD, RSD, ALL, UAH, MKD, EGP, ARS, BRL, MXN, HKD, ICK, TWD, NZD, NOK, SGD, KRW, CNY, valamint összevontan minden egyéb pén</w:t>
      </w:r>
      <w:r>
        <w:t>z</w:t>
      </w:r>
      <w:r>
        <w:t>nemre.</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10" w:name="_Toc262566434"/>
      <w:bookmarkStart w:id="711" w:name="_Toc295830010"/>
      <w:bookmarkStart w:id="712" w:name="_Toc308426687"/>
      <w:bookmarkStart w:id="713" w:name="_Toc310415071"/>
      <w:bookmarkStart w:id="714" w:name="_Toc360188406"/>
      <w:bookmarkStart w:id="715" w:name="_Toc516210697"/>
      <w:bookmarkStart w:id="716" w:name="_Toc473561046"/>
      <w:bookmarkStart w:id="717" w:name="_Toc524014756"/>
      <w:r>
        <w:rPr>
          <w:rFonts w:ascii="Times New Roman" w:hAnsi="Times New Roman"/>
          <w:sz w:val="24"/>
          <w:u w:val="none"/>
        </w:rPr>
        <w:t>5.5.2.</w:t>
      </w:r>
      <w:r w:rsidRPr="003E7498">
        <w:rPr>
          <w:u w:val="none"/>
        </w:rPr>
        <w:tab/>
      </w:r>
      <w:r>
        <w:rPr>
          <w:rFonts w:ascii="Times New Roman" w:hAnsi="Times New Roman"/>
          <w:sz w:val="24"/>
        </w:rPr>
        <w:t>A tábla egyes részeire vonatkozó útmutató</w:t>
      </w:r>
      <w:bookmarkEnd w:id="710"/>
      <w:bookmarkEnd w:id="711"/>
      <w:bookmarkEnd w:id="712"/>
      <w:bookmarkEnd w:id="713"/>
      <w:bookmarkEnd w:id="714"/>
      <w:bookmarkEnd w:id="715"/>
      <w:bookmarkEnd w:id="716"/>
      <w:bookmarkEnd w:id="7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95"/>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Oszlopok</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ÖSSZES POZÍCIÓ (HOSSZÚ </w:t>
            </w:r>
            <w:proofErr w:type="gramStart"/>
            <w:r>
              <w:rPr>
                <w:rFonts w:ascii="Times New Roman" w:hAnsi="Times New Roman"/>
                <w:b/>
                <w:sz w:val="24"/>
                <w:u w:val="single"/>
              </w:rPr>
              <w:t>ÉS</w:t>
            </w:r>
            <w:proofErr w:type="gramEnd"/>
            <w:r>
              <w:rPr>
                <w:rFonts w:ascii="Times New Roman" w:hAnsi="Times New Roman"/>
                <w:b/>
                <w:sz w:val="24"/>
                <w:u w:val="single"/>
              </w:rPr>
              <w:t xml:space="preserve"> RÖVID)</w:t>
            </w:r>
          </w:p>
          <w:p w:rsidR="000B0B09" w:rsidRPr="00392FFD" w:rsidRDefault="000B0B09" w:rsidP="00283B5F">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Az eszközökből, a jövőben befolyó összegekből és a CRR 352. cikkének (1) bekezdésében említett egyéb tételekből eredő bruttó pozíciók. A 352. cikk (2) bekezdése alapján és az illetékes hatóságok engedélyének függvényében nem tüntetendők fel azok a pozíciók, amelyeket az intézmény kifejezetten azért vá</w:t>
            </w:r>
            <w:r>
              <w:rPr>
                <w:rFonts w:ascii="Times New Roman" w:hAnsi="Times New Roman"/>
                <w:sz w:val="24"/>
              </w:rPr>
              <w:t>l</w:t>
            </w:r>
            <w:r>
              <w:rPr>
                <w:rFonts w:ascii="Times New Roman" w:hAnsi="Times New Roman"/>
                <w:sz w:val="24"/>
              </w:rPr>
              <w:t>lal, hogy ezzel a devizaárfolyamnak a 92. cikk (1) bekezdése szerinti tőkemegfelelési mutatókra gyakorolt negatív hatását fedezze, és az olyan tét</w:t>
            </w:r>
            <w:r>
              <w:rPr>
                <w:rFonts w:ascii="Times New Roman" w:hAnsi="Times New Roman"/>
                <w:sz w:val="24"/>
              </w:rPr>
              <w:t>e</w:t>
            </w:r>
            <w:r>
              <w:rPr>
                <w:rFonts w:ascii="Times New Roman" w:hAnsi="Times New Roman"/>
                <w:sz w:val="24"/>
              </w:rPr>
              <w:t>lekhez kapcsolódó pozíciók sem, amelyeket a szavatolótőke-számítás során már levontak.</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040-050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NETTÓ POZÍCIÓK (HOSSZÚ </w:t>
            </w:r>
            <w:proofErr w:type="gramStart"/>
            <w:r>
              <w:rPr>
                <w:rFonts w:ascii="Times New Roman" w:hAnsi="Times New Roman"/>
                <w:b/>
                <w:sz w:val="24"/>
                <w:u w:val="single"/>
              </w:rPr>
              <w:t>ÉS</w:t>
            </w:r>
            <w:proofErr w:type="gramEnd"/>
            <w:r>
              <w:rPr>
                <w:rFonts w:ascii="Times New Roman" w:hAnsi="Times New Roman"/>
                <w:b/>
                <w:sz w:val="24"/>
                <w:u w:val="single"/>
              </w:rPr>
              <w:t xml:space="preserve"> RÖVID)</w:t>
            </w:r>
          </w:p>
          <w:p w:rsidR="000B0B09" w:rsidRPr="00392FFD" w:rsidRDefault="000B0B09" w:rsidP="000B0B09">
            <w:pPr>
              <w:autoSpaceDE w:val="0"/>
              <w:autoSpaceDN w:val="0"/>
              <w:adjustRightInd w:val="0"/>
              <w:spacing w:before="0" w:after="0"/>
              <w:rPr>
                <w:rFonts w:ascii="Times New Roman" w:hAnsi="Times New Roman"/>
                <w:sz w:val="24"/>
              </w:rPr>
            </w:pPr>
          </w:p>
          <w:p w:rsidR="00283B5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352. cikkének (3) bekezdése, (4) bekezdésének első és második mo</w:t>
            </w:r>
            <w:r>
              <w:rPr>
                <w:rFonts w:ascii="Times New Roman" w:hAnsi="Times New Roman"/>
                <w:sz w:val="24"/>
              </w:rPr>
              <w:t>n</w:t>
            </w:r>
            <w:r>
              <w:rPr>
                <w:rFonts w:ascii="Times New Roman" w:hAnsi="Times New Roman"/>
                <w:sz w:val="24"/>
              </w:rPr>
              <w:t>data, valamint 353. cikke.</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nettó pozíciókat pénznemenként kell kiszámítani, ennek megfelelően egyid</w:t>
            </w:r>
            <w:r>
              <w:rPr>
                <w:rFonts w:ascii="Times New Roman" w:hAnsi="Times New Roman"/>
                <w:sz w:val="24"/>
              </w:rPr>
              <w:t>e</w:t>
            </w:r>
            <w:r>
              <w:rPr>
                <w:rFonts w:ascii="Times New Roman" w:hAnsi="Times New Roman"/>
                <w:sz w:val="24"/>
              </w:rPr>
              <w:t xml:space="preserve">jűleg hosszú és rövid pozíciók is előfordulhatnak.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TŐKEKÖVETELMÉNNYEL ÉRINTETT POZÍCIÓK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CRR 352. cikke (4) bekezdésének harmadik mondata, valamint 353. és 354. cikke.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r>
              <w:rPr>
                <w:rFonts w:ascii="Times New Roman" w:hAnsi="Times New Roman"/>
                <w:sz w:val="24"/>
              </w:rPr>
              <w:lastRenderedPageBreak/>
              <w:t>070</w:t>
            </w:r>
          </w:p>
        </w:tc>
        <w:tc>
          <w:tcPr>
            <w:tcW w:w="787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lastRenderedPageBreak/>
              <w:t xml:space="preserve">TŐKEKÖVETELMÉNNYEL ÉRINTETT POZÍCIÓK (HOSSZÚ </w:t>
            </w:r>
            <w:proofErr w:type="gramStart"/>
            <w:r>
              <w:rPr>
                <w:rFonts w:ascii="Times New Roman" w:hAnsi="Times New Roman"/>
                <w:b/>
                <w:sz w:val="24"/>
                <w:u w:val="single"/>
              </w:rPr>
              <w:t>ÉS</w:t>
            </w:r>
            <w:proofErr w:type="gramEnd"/>
            <w:r>
              <w:rPr>
                <w:rFonts w:ascii="Times New Roman" w:hAnsi="Times New Roman"/>
                <w:b/>
                <w:sz w:val="24"/>
                <w:u w:val="single"/>
              </w:rPr>
              <w:t xml:space="preserve"> </w:t>
            </w:r>
            <w:r>
              <w:rPr>
                <w:rFonts w:ascii="Times New Roman" w:hAnsi="Times New Roman"/>
                <w:b/>
                <w:sz w:val="24"/>
                <w:u w:val="single"/>
              </w:rPr>
              <w:lastRenderedPageBreak/>
              <w:t>RÖVID)</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egyes pénznemekben lévő nettó hosszú és rövid pozíciókat a rövid pozíciók összegének a hosszú pozíciók összegéből való kivonásával kell kiszámítani.</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Egy pénznemben meglévő nettó hosszú pozíció az adott pénznemben végreha</w:t>
            </w:r>
            <w:r>
              <w:rPr>
                <w:rFonts w:ascii="Times New Roman" w:hAnsi="Times New Roman"/>
                <w:sz w:val="24"/>
              </w:rPr>
              <w:t>j</w:t>
            </w:r>
            <w:r>
              <w:rPr>
                <w:rFonts w:ascii="Times New Roman" w:hAnsi="Times New Roman"/>
                <w:sz w:val="24"/>
              </w:rPr>
              <w:t>tott műveletekhez tartozó nettó hosszú pozíciók összeadásával számítható ki.</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Egy pénznemben meglévő nettó rövid pozíció az adott pénznemben végreha</w:t>
            </w:r>
            <w:r>
              <w:rPr>
                <w:rFonts w:ascii="Times New Roman" w:hAnsi="Times New Roman"/>
                <w:sz w:val="24"/>
              </w:rPr>
              <w:t>j</w:t>
            </w:r>
            <w:r>
              <w:rPr>
                <w:rFonts w:ascii="Times New Roman" w:hAnsi="Times New Roman"/>
                <w:sz w:val="24"/>
              </w:rPr>
              <w:t>tott műveletekhez tartozó nettó rövid pozíciók összeadásával számítható ki.</w:t>
            </w:r>
          </w:p>
          <w:p w:rsidR="000B0B09" w:rsidRPr="00392FFD" w:rsidRDefault="000B0B09" w:rsidP="00283B5F">
            <w:pPr>
              <w:autoSpaceDE w:val="0"/>
              <w:autoSpaceDN w:val="0"/>
              <w:adjustRightInd w:val="0"/>
              <w:spacing w:before="0" w:after="0"/>
              <w:rPr>
                <w:rFonts w:ascii="Times New Roman" w:hAnsi="Times New Roman"/>
                <w:sz w:val="24"/>
              </w:rPr>
            </w:pPr>
            <w:r>
              <w:rPr>
                <w:rFonts w:ascii="Times New Roman" w:hAnsi="Times New Roman"/>
                <w:sz w:val="24"/>
              </w:rPr>
              <w:t>A beszámoló pénznemén kívüli pénznemben lévő kiegyenlítetlen pozíciókat az egyéb pénznemben lévő, tőkekövetelménnyel érintett pozíciókhoz (030-as sor) kell adni a 060-as vagy 070-es oszlopban attól függően, hogy a pozíciók röv</w:t>
            </w:r>
            <w:r>
              <w:rPr>
                <w:rFonts w:ascii="Times New Roman" w:hAnsi="Times New Roman"/>
                <w:sz w:val="24"/>
              </w:rPr>
              <w:t>i</w:t>
            </w:r>
            <w:r>
              <w:rPr>
                <w:rFonts w:ascii="Times New Roman" w:hAnsi="Times New Roman"/>
                <w:sz w:val="24"/>
              </w:rPr>
              <w:t>dek vagy hosszúak.</w:t>
            </w:r>
          </w:p>
          <w:p w:rsidR="00DE48EF" w:rsidRPr="00392FFD" w:rsidRDefault="00DE48EF" w:rsidP="00283B5F">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TŐKEKÖVETELMÉNNYEL ÉRINTETT POZÍCIÓK (KIEGYENL</w:t>
            </w:r>
            <w:r>
              <w:rPr>
                <w:rFonts w:ascii="Times New Roman" w:hAnsi="Times New Roman"/>
                <w:b/>
                <w:sz w:val="24"/>
                <w:u w:val="single"/>
              </w:rPr>
              <w:t>Í</w:t>
            </w:r>
            <w:r>
              <w:rPr>
                <w:rFonts w:ascii="Times New Roman" w:hAnsi="Times New Roman"/>
                <w:b/>
                <w:sz w:val="24"/>
                <w:u w:val="single"/>
              </w:rPr>
              <w:t>TETT)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Egymással </w:t>
            </w:r>
            <w:proofErr w:type="gramStart"/>
            <w:r>
              <w:rPr>
                <w:rFonts w:ascii="Times New Roman" w:hAnsi="Times New Roman"/>
                <w:sz w:val="24"/>
              </w:rPr>
              <w:t>nagy mértékben</w:t>
            </w:r>
            <w:proofErr w:type="gramEnd"/>
            <w:r>
              <w:rPr>
                <w:rFonts w:ascii="Times New Roman" w:hAnsi="Times New Roman"/>
                <w:sz w:val="24"/>
              </w:rPr>
              <w:t xml:space="preserve"> korreláló pénznemekben lévő kiegyenlített pozíc</w:t>
            </w:r>
            <w:r>
              <w:rPr>
                <w:rFonts w:ascii="Times New Roman" w:hAnsi="Times New Roman"/>
                <w:sz w:val="24"/>
              </w:rPr>
              <w:t>i</w:t>
            </w:r>
            <w:r>
              <w:rPr>
                <w:rFonts w:ascii="Times New Roman" w:hAnsi="Times New Roman"/>
                <w:sz w:val="24"/>
              </w:rPr>
              <w:t>ók.</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SZAVATOLÓTŐKE-KÖVETELMÉNY</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harmadik része IV. címének 3. fejezete szerint releváns pozíciók tők</w:t>
            </w:r>
            <w:r>
              <w:rPr>
                <w:rFonts w:ascii="Times New Roman" w:hAnsi="Times New Roman"/>
                <w:sz w:val="24"/>
              </w:rPr>
              <w:t>e</w:t>
            </w:r>
            <w:r>
              <w:rPr>
                <w:rFonts w:ascii="Times New Roman" w:hAnsi="Times New Roman"/>
                <w:sz w:val="24"/>
              </w:rPr>
              <w:t xml:space="preserve">követelménye.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KOCKÁZATI KITETTSÉGÉRTÉK</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A CRR 92. cikke (4) bekezdésének b) pontja. A szavatolótőke-követelmény 12,5-del való szorzásának az eredménye. </w:t>
            </w:r>
          </w:p>
          <w:p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rsidTr="00672D2A">
        <w:trPr>
          <w:trHeight w:val="497"/>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Sorok</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POZÍCIÓK ÖSSZESEN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A beszámoló pénznemén kívüli összes pozíció és a beszámoló pénznemében lévő azon pozíciók, amelyeket figyelembe vesznek a CRR 354. cikke alkalm</w:t>
            </w:r>
            <w:r>
              <w:rPr>
                <w:rFonts w:ascii="Times New Roman" w:hAnsi="Times New Roman"/>
                <w:sz w:val="24"/>
              </w:rPr>
              <w:t>a</w:t>
            </w:r>
            <w:r>
              <w:rPr>
                <w:rFonts w:ascii="Times New Roman" w:hAnsi="Times New Roman"/>
                <w:sz w:val="24"/>
              </w:rPr>
              <w:t>zásában, valamint az ezekre vonatkozó szavatolótőke-követelmény a CRR 92. cikke (3) bekezdése c) pontjának i. alpontja szerint, valamint a beszámoló pénznemére történő átváltás módja a CRR 352. cikkének (2) és (4) bekezdése szerint.</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EGYMÁSSAL NAGY MÉRTÉKBEN KORRELÁLÓ PÉNZNEMEK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354. cikkében említett pénznemekben lévő pozíciók, valamint az eze</w:t>
            </w:r>
            <w:r>
              <w:rPr>
                <w:rFonts w:ascii="Times New Roman" w:hAnsi="Times New Roman"/>
                <w:sz w:val="24"/>
              </w:rPr>
              <w:t>k</w:t>
            </w:r>
            <w:r>
              <w:rPr>
                <w:rFonts w:ascii="Times New Roman" w:hAnsi="Times New Roman"/>
                <w:sz w:val="24"/>
              </w:rPr>
              <w:t>hez kapcsolódó szavatolótőke-követelmény.</w:t>
            </w:r>
          </w:p>
          <w:p w:rsidR="000B0B09" w:rsidRPr="00392FFD" w:rsidRDefault="000B0B09" w:rsidP="000B0B09">
            <w:pPr>
              <w:autoSpaceDE w:val="0"/>
              <w:autoSpaceDN w:val="0"/>
              <w:adjustRightInd w:val="0"/>
              <w:spacing w:before="0" w:after="0"/>
              <w:rPr>
                <w:rFonts w:ascii="Times New Roman" w:hAnsi="Times New Roman"/>
                <w:sz w:val="24"/>
              </w:rPr>
            </w:pPr>
          </w:p>
        </w:tc>
      </w:tr>
      <w:tr w:rsidR="00491F4D" w:rsidRPr="00392FFD" w:rsidTr="00672D2A">
        <w:tc>
          <w:tcPr>
            <w:tcW w:w="991" w:type="dxa"/>
          </w:tcPr>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025</w:t>
            </w:r>
          </w:p>
        </w:tc>
        <w:tc>
          <w:tcPr>
            <w:tcW w:w="7871" w:type="dxa"/>
          </w:tcPr>
          <w:p w:rsidR="00491F4D" w:rsidRPr="00392FFD"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Egymással </w:t>
            </w:r>
            <w:proofErr w:type="gramStart"/>
            <w:r>
              <w:rPr>
                <w:rFonts w:ascii="Times New Roman" w:hAnsi="Times New Roman"/>
                <w:b/>
                <w:sz w:val="24"/>
                <w:u w:val="single"/>
              </w:rPr>
              <w:t>nagy mértékben</w:t>
            </w:r>
            <w:proofErr w:type="gramEnd"/>
            <w:r>
              <w:rPr>
                <w:rFonts w:ascii="Times New Roman" w:hAnsi="Times New Roman"/>
                <w:b/>
                <w:sz w:val="24"/>
                <w:u w:val="single"/>
              </w:rPr>
              <w:t xml:space="preserve"> korreláló pénznemek: </w:t>
            </w:r>
            <w:r>
              <w:rPr>
                <w:rFonts w:ascii="Times New Roman" w:hAnsi="Times New Roman"/>
                <w:b/>
                <w:i/>
                <w:sz w:val="24"/>
                <w:u w:val="single"/>
              </w:rPr>
              <w:t>Ebből</w:t>
            </w:r>
            <w:r>
              <w:rPr>
                <w:rFonts w:ascii="Times New Roman" w:hAnsi="Times New Roman"/>
                <w:b/>
                <w:sz w:val="24"/>
                <w:u w:val="single"/>
              </w:rPr>
              <w:t>: a beszámoló pénzneme</w:t>
            </w:r>
          </w:p>
          <w:p w:rsidR="00491F4D" w:rsidRPr="00392FFD" w:rsidRDefault="00491F4D" w:rsidP="000B0B09">
            <w:pPr>
              <w:autoSpaceDE w:val="0"/>
              <w:autoSpaceDN w:val="0"/>
              <w:adjustRightInd w:val="0"/>
              <w:spacing w:before="0" w:after="0"/>
              <w:rPr>
                <w:rFonts w:ascii="Times New Roman" w:hAnsi="Times New Roman"/>
                <w:sz w:val="24"/>
              </w:rPr>
            </w:pPr>
          </w:p>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beszámoló pénznemében lévő pozíciók, amelyeket figyelembe vesznek a </w:t>
            </w:r>
            <w:r>
              <w:rPr>
                <w:rFonts w:ascii="Times New Roman" w:hAnsi="Times New Roman"/>
                <w:sz w:val="24"/>
              </w:rPr>
              <w:lastRenderedPageBreak/>
              <w:t>szavatolótőke-követelmény CRR 354. cikke szerinti kiszámítása során.</w:t>
            </w:r>
          </w:p>
          <w:p w:rsidR="00491F4D" w:rsidRPr="00392FFD" w:rsidRDefault="00491F4D"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MINDEN EGYÉB PÉNZNEM (a kollektív befektetési formákat külön pénznemként kezelve)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351. cikkében, valamint 352. cikkének (2) és (4) bekezdésében említett általános eljárás alkalmazási körébe tartozó pénznemekben lévő pozíciók, v</w:t>
            </w:r>
            <w:r>
              <w:rPr>
                <w:rFonts w:ascii="Times New Roman" w:hAnsi="Times New Roman"/>
                <w:sz w:val="24"/>
              </w:rPr>
              <w:t>a</w:t>
            </w:r>
            <w:r>
              <w:rPr>
                <w:rFonts w:ascii="Times New Roman" w:hAnsi="Times New Roman"/>
                <w:sz w:val="24"/>
              </w:rPr>
              <w:t xml:space="preserve">lamint az ezekhez kapcsolódó szavatolótőke-követelmény.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A CRR 353. cikke szerint külön pénznemként kezelt kollektív befektetési fo</w:t>
            </w:r>
            <w:r>
              <w:rPr>
                <w:rFonts w:ascii="Times New Roman" w:hAnsi="Times New Roman"/>
                <w:sz w:val="24"/>
                <w:u w:val="single"/>
              </w:rPr>
              <w:t>r</w:t>
            </w:r>
            <w:r>
              <w:rPr>
                <w:rFonts w:ascii="Times New Roman" w:hAnsi="Times New Roman"/>
                <w:sz w:val="24"/>
                <w:u w:val="single"/>
              </w:rPr>
              <w:t>mákkal kapcsolatos adatszolgáltatás:</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A külön pénznemként kezelt kollektív befektetési formák tőkekövetelménye kétféle módszerrel számítható ki:</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a módosított aranymódszerrel, ha a KBF-ek befektetésének az iránya nem ismert (az ilyen KBF-eket az intézmény teljes nettó devizapozíci</w:t>
            </w:r>
            <w:r>
              <w:rPr>
                <w:rFonts w:ascii="Times New Roman" w:hAnsi="Times New Roman"/>
                <w:sz w:val="24"/>
              </w:rPr>
              <w:t>ó</w:t>
            </w:r>
            <w:r>
              <w:rPr>
                <w:rFonts w:ascii="Times New Roman" w:hAnsi="Times New Roman"/>
                <w:sz w:val="24"/>
              </w:rPr>
              <w:t>jához kell hozzáadni);</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ha a KBF-ek befektetésének az iránya ismert, akkor a KBF-eket a teljes nyitott devizapozícióhoz kell hozzáadni (hosszú vagy rövid, az egyes KBF-ek irányától függően).</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Az érintett KBF-ekről a tőkekövetelmény számításának megfelelően kell adatot szolgáltatni.</w:t>
            </w:r>
            <w:r>
              <w:rPr>
                <w:rFonts w:ascii="Times New Roman" w:hAnsi="Times New Roman"/>
                <w:sz w:val="24"/>
                <w:u w:val="single"/>
              </w:rPr>
              <w:t xml:space="preserve"> </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ARANY</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351. cikkében, valamint 352. cikkének (2) és (4) bekezdésében említett általános eljárás alkalmazási körébe tartozó pénznemekben lévő pozíciók, v</w:t>
            </w:r>
            <w:r>
              <w:rPr>
                <w:rFonts w:ascii="Times New Roman" w:hAnsi="Times New Roman"/>
                <w:sz w:val="24"/>
              </w:rPr>
              <w:t>a</w:t>
            </w:r>
            <w:r>
              <w:rPr>
                <w:rFonts w:ascii="Times New Roman" w:hAnsi="Times New Roman"/>
                <w:sz w:val="24"/>
              </w:rPr>
              <w:t xml:space="preserve">lamint az ezekhez kapcsolódó szavatolótőke-követelmény.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050–090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OPCIÓKRA VONATKOZÓ TOVÁBBI KÖVETELMÉNYEK (NEM DELTA KOCKÁZATOK)</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CRR 352. cikkének (5) és (6) bekezdése.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nem delta kockázatokkal kapcsolatos, opciókra vonatkozó további követe</w:t>
            </w:r>
            <w:r>
              <w:rPr>
                <w:rFonts w:ascii="Times New Roman" w:hAnsi="Times New Roman"/>
                <w:sz w:val="24"/>
              </w:rPr>
              <w:t>l</w:t>
            </w:r>
            <w:r>
              <w:rPr>
                <w:rFonts w:ascii="Times New Roman" w:hAnsi="Times New Roman"/>
                <w:sz w:val="24"/>
              </w:rPr>
              <w:t>ményeket a számítási módszerben kell feltüntetni.</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beszámoló pénznemével együtt számított összes pozíció kitettségtípus szerinti bontása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összes pozíciót származtatott ügyletek, egyéb eszközök és kötelezettségek, valamint mérlegen kívüli tételek szerint kell felosztani.</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Mérlegen kívüli tételnek és származtatott ügyletnek nem minősülő egyéb eszközök és kötelezettségek</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DE48E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A 110-es vagy 120-as sorban nem szerepeltetett pozíciókat itt kell megadni.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Mérlegen kívüli tételek</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352. cikkének hatályába tartozó tételek, tekintet nélkül a denomináció pénznemére, amely tételek a CRR I. mellékletében szerepelnek az értékpapír-</w:t>
            </w:r>
            <w:r>
              <w:rPr>
                <w:rFonts w:ascii="Times New Roman" w:hAnsi="Times New Roman"/>
                <w:sz w:val="24"/>
              </w:rPr>
              <w:lastRenderedPageBreak/>
              <w:t>finanszírozási ügyletként vagy hosszú teljesítési idejű ügyletként beszámított, vagy eltérő termékkategóriák közötti nettósításról szóló szerződéses megáll</w:t>
            </w:r>
            <w:r>
              <w:rPr>
                <w:rFonts w:ascii="Times New Roman" w:hAnsi="Times New Roman"/>
                <w:sz w:val="24"/>
              </w:rPr>
              <w:t>a</w:t>
            </w:r>
            <w:r>
              <w:rPr>
                <w:rFonts w:ascii="Times New Roman" w:hAnsi="Times New Roman"/>
                <w:sz w:val="24"/>
              </w:rPr>
              <w:t>podásból eredő tételek kivételével.</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120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Származtatott ügyletek</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352. cikkének megfelelően értékelt pozíciók.</w:t>
            </w:r>
          </w:p>
          <w:p w:rsidR="00902EFC" w:rsidRPr="00392FFD" w:rsidRDefault="00902EFC"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130–480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TÁJÉKOZTATÓ ADATOK: DEVIZAPOZÍCIÓK</w:t>
            </w:r>
          </w:p>
          <w:p w:rsidR="000B0B09" w:rsidRPr="00392FFD" w:rsidRDefault="000B0B09" w:rsidP="000B0B09">
            <w:pPr>
              <w:autoSpaceDE w:val="0"/>
              <w:autoSpaceDN w:val="0"/>
              <w:adjustRightInd w:val="0"/>
              <w:spacing w:before="0" w:after="0"/>
              <w:rPr>
                <w:rFonts w:ascii="Times New Roman" w:hAnsi="Times New Roman"/>
                <w:b/>
                <w:bCs/>
                <w:sz w:val="24"/>
              </w:rPr>
            </w:pPr>
          </w:p>
          <w:p w:rsidR="000B0B09" w:rsidRPr="00392FFD" w:rsidRDefault="000B0B09" w:rsidP="00944530">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A </w:t>
            </w:r>
            <w:proofErr w:type="gramStart"/>
            <w:r>
              <w:rPr>
                <w:rFonts w:ascii="Times New Roman" w:hAnsi="Times New Roman"/>
                <w:sz w:val="24"/>
              </w:rPr>
              <w:t>tábla tájékoztató</w:t>
            </w:r>
            <w:proofErr w:type="gramEnd"/>
            <w:r>
              <w:rPr>
                <w:rFonts w:ascii="Times New Roman" w:hAnsi="Times New Roman"/>
                <w:sz w:val="24"/>
              </w:rPr>
              <w:t xml:space="preserve"> adatait külön-külön meg kell adni az Unió tagállamaiban használt valamennyi pénznemre és a következő pénznemekre: USD, CHF, JPY, RUB, TRY, AUD, CAD, RSD, ALL, UAH, MKD, EGP, ARS, BRL, MXN, HKD, ICK, TWD, NZD, NOK, SGD, KRW, CNY, valamint összevo</w:t>
            </w:r>
            <w:r>
              <w:rPr>
                <w:rFonts w:ascii="Times New Roman" w:hAnsi="Times New Roman"/>
                <w:sz w:val="24"/>
              </w:rPr>
              <w:t>n</w:t>
            </w:r>
            <w:r>
              <w:rPr>
                <w:rFonts w:ascii="Times New Roman" w:hAnsi="Times New Roman"/>
                <w:sz w:val="24"/>
              </w:rPr>
              <w:t xml:space="preserve">tan minden egyéb pénznemre. </w:t>
            </w:r>
          </w:p>
        </w:tc>
      </w:tr>
    </w:tbl>
    <w:p w:rsidR="000B0B09" w:rsidRPr="00392FFD" w:rsidRDefault="000B0B09" w:rsidP="000B0B09">
      <w:pPr>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18" w:name="_Toc262566435"/>
      <w:bookmarkStart w:id="719" w:name="_Toc295830011"/>
      <w:bookmarkStart w:id="720" w:name="_Toc308426688"/>
      <w:bookmarkStart w:id="721" w:name="_Toc310415072"/>
      <w:bookmarkStart w:id="722" w:name="_Toc360188407"/>
      <w:bookmarkStart w:id="723" w:name="_Toc516210698"/>
      <w:bookmarkStart w:id="724" w:name="_Toc473561047"/>
      <w:bookmarkStart w:id="725" w:name="_Toc524014757"/>
      <w:r>
        <w:rPr>
          <w:rFonts w:ascii="Times New Roman" w:hAnsi="Times New Roman"/>
          <w:sz w:val="24"/>
          <w:u w:val="none"/>
        </w:rPr>
        <w:t>5.6.</w:t>
      </w:r>
      <w:r w:rsidRPr="003E7498">
        <w:rPr>
          <w:u w:val="none"/>
        </w:rPr>
        <w:tab/>
      </w:r>
      <w:r>
        <w:rPr>
          <w:rFonts w:ascii="Times New Roman" w:hAnsi="Times New Roman"/>
          <w:sz w:val="24"/>
        </w:rPr>
        <w:t>C 23.00 – Piaci kockázat: Az árupozíciók sztenderd módszerei</w:t>
      </w:r>
      <w:bookmarkEnd w:id="718"/>
      <w:bookmarkEnd w:id="719"/>
      <w:bookmarkEnd w:id="720"/>
      <w:bookmarkEnd w:id="721"/>
      <w:bookmarkEnd w:id="722"/>
      <w:r>
        <w:rPr>
          <w:rFonts w:ascii="Times New Roman" w:hAnsi="Times New Roman"/>
          <w:sz w:val="24"/>
        </w:rPr>
        <w:t xml:space="preserve"> (MKR SA COM)</w:t>
      </w:r>
      <w:bookmarkEnd w:id="723"/>
      <w:bookmarkEnd w:id="724"/>
      <w:bookmarkEnd w:id="725"/>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26" w:name="_Toc262566436"/>
      <w:bookmarkStart w:id="727" w:name="_Toc295830012"/>
      <w:bookmarkStart w:id="728" w:name="_Toc308426689"/>
      <w:bookmarkStart w:id="729" w:name="_Toc310415073"/>
      <w:bookmarkStart w:id="730" w:name="_Toc360188408"/>
      <w:bookmarkStart w:id="731" w:name="_Toc516210699"/>
      <w:bookmarkStart w:id="732" w:name="_Toc473561048"/>
      <w:bookmarkStart w:id="733" w:name="_Toc524014758"/>
      <w:r>
        <w:rPr>
          <w:rFonts w:ascii="Times New Roman" w:hAnsi="Times New Roman"/>
          <w:sz w:val="24"/>
          <w:u w:val="none"/>
        </w:rPr>
        <w:t>5.6.1.</w:t>
      </w:r>
      <w:r w:rsidRPr="003E7498">
        <w:rPr>
          <w:u w:val="none"/>
        </w:rPr>
        <w:tab/>
      </w:r>
      <w:r>
        <w:rPr>
          <w:rFonts w:ascii="Times New Roman" w:hAnsi="Times New Roman"/>
          <w:sz w:val="24"/>
        </w:rPr>
        <w:t>Általános megjegyzések</w:t>
      </w:r>
      <w:bookmarkEnd w:id="726"/>
      <w:bookmarkEnd w:id="727"/>
      <w:bookmarkEnd w:id="728"/>
      <w:bookmarkEnd w:id="729"/>
      <w:bookmarkEnd w:id="730"/>
      <w:bookmarkEnd w:id="731"/>
      <w:bookmarkEnd w:id="732"/>
      <w:bookmarkEnd w:id="733"/>
    </w:p>
    <w:p w:rsidR="000B0B09" w:rsidRPr="00392FFD" w:rsidRDefault="00125707" w:rsidP="001A3980">
      <w:pPr>
        <w:pStyle w:val="InstructionsText2"/>
        <w:numPr>
          <w:ilvl w:val="0"/>
          <w:numId w:val="0"/>
        </w:numPr>
        <w:ind w:left="993"/>
      </w:pPr>
      <w:r>
        <w:t>152.</w:t>
      </w:r>
      <w:r>
        <w:tab/>
        <w:t>Ezen a táblán a sztenderd módszer alkalmazási körébe tartozó árupozíciókról, valamint a rájuk vonatkozó szavatolótőke-követelményről kell adatot szolgáltatni.</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7"/>
      <w:bookmarkStart w:id="735" w:name="_Toc295830013"/>
      <w:bookmarkStart w:id="736" w:name="_Toc308426690"/>
      <w:bookmarkStart w:id="737" w:name="_Toc310415074"/>
      <w:bookmarkStart w:id="738" w:name="_Toc360188409"/>
      <w:bookmarkStart w:id="739" w:name="_Toc516210700"/>
      <w:bookmarkStart w:id="740" w:name="_Toc473561049"/>
      <w:bookmarkStart w:id="741" w:name="_Toc524014759"/>
      <w:r>
        <w:rPr>
          <w:rFonts w:ascii="Times New Roman" w:hAnsi="Times New Roman"/>
          <w:sz w:val="24"/>
          <w:u w:val="none"/>
        </w:rPr>
        <w:t>5.6.2.</w:t>
      </w:r>
      <w:r w:rsidRPr="003E7498">
        <w:rPr>
          <w:u w:val="none"/>
        </w:rPr>
        <w:tab/>
      </w:r>
      <w:r>
        <w:rPr>
          <w:rFonts w:ascii="Times New Roman" w:hAnsi="Times New Roman"/>
          <w:sz w:val="24"/>
        </w:rPr>
        <w:t>A tábla egyes részeire vonatkozó útmutató</w:t>
      </w:r>
      <w:bookmarkEnd w:id="734"/>
      <w:bookmarkEnd w:id="735"/>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rsidTr="00672D2A">
        <w:trPr>
          <w:trHeight w:val="59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Oszlopok</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ÖSSZES POZÍCIÓ (HOSSZÚ </w:t>
            </w:r>
            <w:proofErr w:type="gramStart"/>
            <w:r>
              <w:rPr>
                <w:rFonts w:ascii="Times New Roman" w:hAnsi="Times New Roman"/>
                <w:b/>
                <w:sz w:val="24"/>
                <w:u w:val="single"/>
              </w:rPr>
              <w:t>ÉS</w:t>
            </w:r>
            <w:proofErr w:type="gramEnd"/>
            <w:r>
              <w:rPr>
                <w:rFonts w:ascii="Times New Roman" w:hAnsi="Times New Roman"/>
                <w:b/>
                <w:sz w:val="24"/>
                <w:u w:val="single"/>
              </w:rPr>
              <w:t xml:space="preserve"> RÖVID)</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357. cikkének (1) és (4) bekezdése szerint azonos áruban lévő pozíc</w:t>
            </w:r>
            <w:r>
              <w:rPr>
                <w:rFonts w:ascii="Times New Roman" w:hAnsi="Times New Roman"/>
                <w:sz w:val="24"/>
              </w:rPr>
              <w:t>i</w:t>
            </w:r>
            <w:r>
              <w:rPr>
                <w:rFonts w:ascii="Times New Roman" w:hAnsi="Times New Roman"/>
                <w:sz w:val="24"/>
              </w:rPr>
              <w:t>óknak minősülő bruttó hosszú/rövid pozíciók (lásd még a CRR 359. cikkének (1) bekezdését).</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NETTÓ POZÍCIÓK (HOSSZÚ </w:t>
            </w:r>
            <w:proofErr w:type="gramStart"/>
            <w:r>
              <w:rPr>
                <w:rFonts w:ascii="Times New Roman" w:hAnsi="Times New Roman"/>
                <w:b/>
                <w:sz w:val="24"/>
                <w:u w:val="single"/>
              </w:rPr>
              <w:t>ÉS</w:t>
            </w:r>
            <w:proofErr w:type="gramEnd"/>
            <w:r>
              <w:rPr>
                <w:rFonts w:ascii="Times New Roman" w:hAnsi="Times New Roman"/>
                <w:b/>
                <w:sz w:val="24"/>
                <w:u w:val="single"/>
              </w:rPr>
              <w:t xml:space="preserve"> RÖVID)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A CRR 357. cikkének (3) bekezdésében található meghatározás szerint.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TŐKEKÖVETELMÉNNYEL ÉRINTETT POZÍCIÓK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Azok a nettó pozíciók, amelyekre a CRR harmadik része IV. címének 4. fejez</w:t>
            </w:r>
            <w:r>
              <w:rPr>
                <w:rFonts w:ascii="Times New Roman" w:hAnsi="Times New Roman"/>
                <w:sz w:val="24"/>
              </w:rPr>
              <w:t>e</w:t>
            </w:r>
            <w:r>
              <w:rPr>
                <w:rFonts w:ascii="Times New Roman" w:hAnsi="Times New Roman"/>
                <w:sz w:val="24"/>
              </w:rPr>
              <w:t>tében foglalt különböző módszerek szerint tőkekövetelmény vonatkozik.</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SZAVATOLÓTŐKE-KÖVETELMÉNY</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A CRR harmadik része IV. címének 4. fejezete szerint releváns pozíciók tők</w:t>
            </w:r>
            <w:r>
              <w:rPr>
                <w:rFonts w:ascii="Times New Roman" w:hAnsi="Times New Roman"/>
                <w:sz w:val="24"/>
              </w:rPr>
              <w:t>e</w:t>
            </w:r>
            <w:r>
              <w:rPr>
                <w:rFonts w:ascii="Times New Roman" w:hAnsi="Times New Roman"/>
                <w:sz w:val="24"/>
              </w:rPr>
              <w:t xml:space="preserve">követelménye.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6"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KOCKÁZATI KITETTSÉGÉRTÉK</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 CRR 92. cikke (4) bekezdésének b) pontja. A szavatolótőke-követelmény 12,5-del való szorzásának az eredménye.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48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Sorok</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ÁRUPOZÍCIÓK ÖSSZESEN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9E2BBD">
            <w:pPr>
              <w:autoSpaceDE w:val="0"/>
              <w:autoSpaceDN w:val="0"/>
              <w:adjustRightInd w:val="0"/>
              <w:spacing w:before="0" w:after="0"/>
              <w:rPr>
                <w:rFonts w:ascii="Times New Roman" w:hAnsi="Times New Roman"/>
                <w:sz w:val="24"/>
              </w:rPr>
            </w:pPr>
            <w:r>
              <w:rPr>
                <w:rFonts w:ascii="Times New Roman" w:hAnsi="Times New Roman"/>
                <w:sz w:val="24"/>
              </w:rPr>
              <w:t>Árupozíciók és a rájuk vonatkozó piaci kockázat szavatolótőke-követelménye a CRR 92. cikke (3) bekezdése c) pontjának iii. alpontja, valamint a CRR harm</w:t>
            </w:r>
            <w:r>
              <w:rPr>
                <w:rFonts w:ascii="Times New Roman" w:hAnsi="Times New Roman"/>
                <w:sz w:val="24"/>
              </w:rPr>
              <w:t>a</w:t>
            </w:r>
            <w:r>
              <w:rPr>
                <w:rFonts w:ascii="Times New Roman" w:hAnsi="Times New Roman"/>
                <w:sz w:val="24"/>
              </w:rPr>
              <w:t xml:space="preserve">dik része IV. címe 4. fejezete szerint. </w:t>
            </w:r>
          </w:p>
        </w:tc>
      </w:tr>
      <w:tr w:rsidR="000B0B09" w:rsidRPr="00392FFD" w:rsidTr="00672D2A">
        <w:tc>
          <w:tcPr>
            <w:tcW w:w="987"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020–060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POZÍCIÓK ÁRUKATEGÓRIA SZERINT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Adatszolgáltatás céljából az árukat a CRR 361. cikkében található 2. tábláza</w:t>
            </w:r>
            <w:r>
              <w:rPr>
                <w:rFonts w:ascii="Times New Roman" w:hAnsi="Times New Roman"/>
                <w:sz w:val="24"/>
              </w:rPr>
              <w:t>t</w:t>
            </w:r>
            <w:r>
              <w:rPr>
                <w:rFonts w:ascii="Times New Roman" w:hAnsi="Times New Roman"/>
                <w:sz w:val="24"/>
              </w:rPr>
              <w:t>ban említett négy fő árucsoportba kell sorolni.</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FUTAMIDŐTÁBLÁS MÓDSZER</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359. cikkében említett futamidőtáblás módszer alkalmazási körébe ta</w:t>
            </w:r>
            <w:r>
              <w:rPr>
                <w:rFonts w:ascii="Times New Roman" w:hAnsi="Times New Roman"/>
                <w:sz w:val="24"/>
              </w:rPr>
              <w:t>r</w:t>
            </w:r>
            <w:r>
              <w:rPr>
                <w:rFonts w:ascii="Times New Roman" w:hAnsi="Times New Roman"/>
                <w:sz w:val="24"/>
              </w:rPr>
              <w:t>tozó árupozíciók.</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KITERJESZTETT LEJÁRATI TÁBLÁS MÓDSZER</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361. cikkében említett kiterjesztett lejárati táblás módszer alkalmazási körébe tartozó árupozíciók.</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EGYSZERŰSÍTETT MÓDSZER</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360. cikkében említett egyszerűsített módszer alkalmazási körébe ta</w:t>
            </w:r>
            <w:r>
              <w:rPr>
                <w:rFonts w:ascii="Times New Roman" w:hAnsi="Times New Roman"/>
                <w:sz w:val="24"/>
              </w:rPr>
              <w:t>r</w:t>
            </w:r>
            <w:r>
              <w:rPr>
                <w:rFonts w:ascii="Times New Roman" w:hAnsi="Times New Roman"/>
                <w:sz w:val="24"/>
              </w:rPr>
              <w:t xml:space="preserve">tozó árupozíciók.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100–140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OPCIÓKRA VONATKOZÓ TOVÁBBI KÖVETELMÉNYEK (NEM DELTA KOCKÁZATOK)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CRR 358. cikkének (4) bekezdése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nem delta kockázatokkal kapcsolatos, opciókra vonatkozó további követe</w:t>
            </w:r>
            <w:r>
              <w:rPr>
                <w:rFonts w:ascii="Times New Roman" w:hAnsi="Times New Roman"/>
                <w:sz w:val="24"/>
              </w:rPr>
              <w:t>l</w:t>
            </w:r>
            <w:r>
              <w:rPr>
                <w:rFonts w:ascii="Times New Roman" w:hAnsi="Times New Roman"/>
                <w:sz w:val="24"/>
              </w:rPr>
              <w:t>ményeket a számítási módszerben kell feltüntetni.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rPr>
          <w:rFonts w:ascii="Times New Roman" w:hAnsi="Times New Roman"/>
          <w:sz w:val="24"/>
        </w:rPr>
      </w:pPr>
    </w:p>
    <w:p w:rsidR="000B0B09" w:rsidRPr="0023700C" w:rsidRDefault="00125707" w:rsidP="0023700C">
      <w:pPr>
        <w:pStyle w:val="Instructionsberschrift2"/>
        <w:numPr>
          <w:ilvl w:val="0"/>
          <w:numId w:val="0"/>
        </w:numPr>
        <w:ind w:left="357" w:hanging="357"/>
        <w:rPr>
          <w:rFonts w:ascii="Times New Roman" w:hAnsi="Times New Roman"/>
          <w:sz w:val="24"/>
        </w:rPr>
      </w:pPr>
      <w:bookmarkStart w:id="742" w:name="_Toc262566438"/>
      <w:bookmarkStart w:id="743" w:name="_Toc295830014"/>
      <w:bookmarkStart w:id="744" w:name="_Toc308426691"/>
      <w:bookmarkStart w:id="745" w:name="_Toc310415075"/>
      <w:bookmarkStart w:id="746" w:name="_Toc360188410"/>
      <w:bookmarkStart w:id="747" w:name="_Toc516210701"/>
      <w:bookmarkStart w:id="748" w:name="_Toc473561050"/>
      <w:bookmarkStart w:id="749" w:name="_Toc524014760"/>
      <w:r>
        <w:rPr>
          <w:rFonts w:ascii="Times New Roman" w:hAnsi="Times New Roman"/>
          <w:sz w:val="24"/>
          <w:u w:val="none"/>
        </w:rPr>
        <w:t>5.7.</w:t>
      </w:r>
      <w:r w:rsidRPr="003E7498">
        <w:rPr>
          <w:u w:val="none"/>
        </w:rPr>
        <w:tab/>
      </w:r>
      <w:r>
        <w:rPr>
          <w:rFonts w:ascii="Times New Roman" w:hAnsi="Times New Roman"/>
          <w:sz w:val="24"/>
        </w:rPr>
        <w:t>C 24.00 – Piaci kockázat: Belső modellek</w:t>
      </w:r>
      <w:bookmarkEnd w:id="742"/>
      <w:bookmarkEnd w:id="743"/>
      <w:bookmarkEnd w:id="744"/>
      <w:bookmarkEnd w:id="745"/>
      <w:bookmarkEnd w:id="746"/>
      <w:r>
        <w:rPr>
          <w:rFonts w:ascii="Times New Roman" w:hAnsi="Times New Roman"/>
          <w:sz w:val="24"/>
        </w:rPr>
        <w:t xml:space="preserve"> (MKR IM)</w:t>
      </w:r>
      <w:bookmarkEnd w:id="747"/>
      <w:bookmarkEnd w:id="748"/>
      <w:bookmarkEnd w:id="74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0" w:name="_Toc262566439"/>
      <w:bookmarkStart w:id="751" w:name="_Toc295830015"/>
      <w:bookmarkStart w:id="752" w:name="_Toc308426692"/>
      <w:bookmarkStart w:id="753" w:name="_Toc310415076"/>
      <w:bookmarkStart w:id="754" w:name="_Toc360188411"/>
      <w:bookmarkStart w:id="755" w:name="_Toc516210702"/>
      <w:bookmarkStart w:id="756" w:name="_Toc473561051"/>
      <w:bookmarkStart w:id="757" w:name="_Toc524014761"/>
      <w:r>
        <w:rPr>
          <w:rFonts w:ascii="Times New Roman" w:hAnsi="Times New Roman"/>
          <w:sz w:val="24"/>
          <w:u w:val="none"/>
        </w:rPr>
        <w:t>5.7.1.</w:t>
      </w:r>
      <w:r w:rsidRPr="003E7498">
        <w:rPr>
          <w:u w:val="none"/>
        </w:rPr>
        <w:tab/>
      </w:r>
      <w:r>
        <w:rPr>
          <w:rFonts w:ascii="Times New Roman" w:hAnsi="Times New Roman"/>
          <w:sz w:val="24"/>
        </w:rPr>
        <w:t>Általános megjegyzések</w:t>
      </w:r>
      <w:bookmarkEnd w:id="750"/>
      <w:bookmarkEnd w:id="751"/>
      <w:bookmarkEnd w:id="752"/>
      <w:bookmarkEnd w:id="753"/>
      <w:bookmarkEnd w:id="754"/>
      <w:bookmarkEnd w:id="755"/>
      <w:bookmarkEnd w:id="756"/>
      <w:bookmarkEnd w:id="757"/>
    </w:p>
    <w:p w:rsidR="000B0B09" w:rsidRPr="00392FFD" w:rsidRDefault="00125707" w:rsidP="001A3980">
      <w:pPr>
        <w:pStyle w:val="InstructionsText2"/>
        <w:numPr>
          <w:ilvl w:val="0"/>
          <w:numId w:val="0"/>
        </w:numPr>
        <w:ind w:left="993"/>
      </w:pPr>
      <w:r>
        <w:t>153.</w:t>
      </w:r>
      <w:r>
        <w:tab/>
        <w:t>Ez a tábla a kockáztatott érték (VaR) és a stresszhelyzeti kockáztatott érték (sVaR) adatait mutatja be különböző (adósságinstrumentumokkal, részvényekkel, külföldi pénznemekkel vagy áruval kapcsolatos) piaci kockázatok szerinti bontá</w:t>
      </w:r>
      <w:r>
        <w:t>s</w:t>
      </w:r>
      <w:r>
        <w:t>ban, továbbá a szavatolótőke-követelmény számítása szempontjából lényeges egyéb információkat.</w:t>
      </w:r>
    </w:p>
    <w:p w:rsidR="000B0B09" w:rsidRPr="00321A3B" w:rsidRDefault="00125707" w:rsidP="001A3980">
      <w:pPr>
        <w:pStyle w:val="InstructionsText2"/>
        <w:numPr>
          <w:ilvl w:val="0"/>
          <w:numId w:val="0"/>
        </w:numPr>
        <w:ind w:left="993"/>
      </w:pPr>
      <w:r>
        <w:lastRenderedPageBreak/>
        <w:t>154.</w:t>
      </w:r>
      <w:r>
        <w:tab/>
        <w:t>Általában az adatszolgáltatás az intézményi modell felépítésétől függ annak megfelelően, hogy az intézmény az általános és egyedi kockázatra vonatkozó ad</w:t>
      </w:r>
      <w:r>
        <w:t>a</w:t>
      </w:r>
      <w:r>
        <w:t>tokat elkülönítve vagy összevontan tünteti fel. Ugyanez vonatkozik a VaR/sVaR é</w:t>
      </w:r>
      <w:r>
        <w:t>r</w:t>
      </w:r>
      <w:r>
        <w:t>tékek kockázati kategóriák (kamatlábkockázat, részvénypiaci kockázat, árukock</w:t>
      </w:r>
      <w:r>
        <w:t>á</w:t>
      </w:r>
      <w:r>
        <w:t>zat, valamint devizaárfolyam-kockázat) szerinti bontására is. Az intézmény elt</w:t>
      </w:r>
      <w:r>
        <w:t>e</w:t>
      </w:r>
      <w:r>
        <w:t>kinthet a fenti bontásban történő adatszolgáltatástól, ha bizonyítani tudja, hogy az indokolatlan terhet je</w:t>
      </w:r>
      <w:r w:rsidR="003E7498">
        <w:t>lentene számára.</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8" w:name="_Toc262566440"/>
      <w:bookmarkStart w:id="759" w:name="_Toc295830016"/>
      <w:bookmarkStart w:id="760" w:name="_Toc308426693"/>
      <w:bookmarkStart w:id="761" w:name="_Toc310415077"/>
      <w:bookmarkStart w:id="762" w:name="_Toc360188412"/>
      <w:bookmarkStart w:id="763" w:name="_Toc516210703"/>
      <w:bookmarkStart w:id="764" w:name="_Toc473561052"/>
      <w:bookmarkStart w:id="765" w:name="_Toc524014762"/>
      <w:r>
        <w:rPr>
          <w:rFonts w:ascii="Times New Roman" w:hAnsi="Times New Roman"/>
          <w:sz w:val="24"/>
          <w:u w:val="none"/>
        </w:rPr>
        <w:t>5.7.2.</w:t>
      </w:r>
      <w:r w:rsidRPr="003E7498">
        <w:rPr>
          <w:u w:val="none"/>
        </w:rPr>
        <w:tab/>
      </w:r>
      <w:r>
        <w:rPr>
          <w:rFonts w:ascii="Times New Roman" w:hAnsi="Times New Roman"/>
          <w:sz w:val="24"/>
        </w:rPr>
        <w:t>A tábla egyes részeire vonatkozó útmutató</w:t>
      </w:r>
      <w:bookmarkEnd w:id="758"/>
      <w:bookmarkEnd w:id="759"/>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rsidTr="00672D2A">
        <w:tc>
          <w:tcPr>
            <w:tcW w:w="8862" w:type="dxa"/>
            <w:gridSpan w:val="2"/>
            <w:shd w:val="clear" w:color="auto" w:fill="BFBFBF"/>
          </w:tcPr>
          <w:p w:rsidR="000B0B09" w:rsidRPr="00392FFD"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Oszlopok</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69" w:type="dxa"/>
          </w:tcPr>
          <w:p w:rsidR="000B0B09" w:rsidRPr="00392FFD" w:rsidRDefault="003E7498"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KOCKÁZTATOTT ÉRTÉK</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Egy adott valószínűséggel, meghatározott időtávon bekövetkező árváltozásból származó veszteség maximális lehetséges mértéke.</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Szorzó (mc) x Előző 60 munkanap átalagos kockáztatott értéke (VaRavg)</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5F1095">
            <w:pPr>
              <w:autoSpaceDE w:val="0"/>
              <w:autoSpaceDN w:val="0"/>
              <w:adjustRightInd w:val="0"/>
              <w:spacing w:before="0" w:after="0"/>
              <w:rPr>
                <w:rFonts w:ascii="Times New Roman" w:hAnsi="Times New Roman"/>
                <w:sz w:val="24"/>
              </w:rPr>
            </w:pPr>
            <w:r>
              <w:rPr>
                <w:rFonts w:ascii="Times New Roman" w:hAnsi="Times New Roman"/>
                <w:sz w:val="24"/>
              </w:rPr>
              <w:t>A CRR 364. cikke (1) bekezdése a) pontjának ii. alpontja, valamint 365. cikk</w:t>
            </w:r>
            <w:r>
              <w:rPr>
                <w:rFonts w:ascii="Times New Roman" w:hAnsi="Times New Roman"/>
                <w:sz w:val="24"/>
              </w:rPr>
              <w:t>é</w:t>
            </w:r>
            <w:r w:rsidR="003E7498">
              <w:rPr>
                <w:rFonts w:ascii="Times New Roman" w:hAnsi="Times New Roman"/>
                <w:sz w:val="24"/>
              </w:rPr>
              <w:t>nek (1) bekezdése.</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Előző napi kockáztatott érték (VaRt–1)</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364. cikke (1) bekezdése a) pontjának i. alpontja, valamint 365. cikk</w:t>
            </w:r>
            <w:r>
              <w:rPr>
                <w:rFonts w:ascii="Times New Roman" w:hAnsi="Times New Roman"/>
                <w:sz w:val="24"/>
              </w:rPr>
              <w:t>é</w:t>
            </w:r>
            <w:r w:rsidR="003E7498">
              <w:rPr>
                <w:rFonts w:ascii="Times New Roman" w:hAnsi="Times New Roman"/>
                <w:sz w:val="24"/>
              </w:rPr>
              <w:t>nek (1) bekezdése.</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Stresszhelyzeti kockáztatott érték</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Egy adott valószínűséggel, meghatározott időtávon bekövetkező árváltozásból származó veszteség maximális lehetséges mértéke, amelynek kiszámításához a bemeneti adatokat az intézmény portfóliója szempontjából lényeges, számott</w:t>
            </w:r>
            <w:r>
              <w:rPr>
                <w:rFonts w:ascii="Times New Roman" w:hAnsi="Times New Roman"/>
                <w:sz w:val="24"/>
              </w:rPr>
              <w:t>e</w:t>
            </w:r>
            <w:r>
              <w:rPr>
                <w:rFonts w:ascii="Times New Roman" w:hAnsi="Times New Roman"/>
                <w:sz w:val="24"/>
              </w:rPr>
              <w:t>vő pénzügyi stresszhelyzetet jelentő, folyamatos 12 hónapos időszak történeti adatai alapján kell kalibrálni.</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Szorzó (ms) x Előző 60 munkanap átlaga (SVaRavg)</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 CRR 364. cikke (1) bekezdése b) pontjának ii. alpontja, valamint 365. cikk</w:t>
            </w:r>
            <w:r>
              <w:rPr>
                <w:rFonts w:ascii="Times New Roman" w:hAnsi="Times New Roman"/>
                <w:sz w:val="24"/>
              </w:rPr>
              <w:t>é</w:t>
            </w:r>
            <w:r>
              <w:rPr>
                <w:rFonts w:ascii="Times New Roman" w:hAnsi="Times New Roman"/>
                <w:sz w:val="24"/>
              </w:rPr>
              <w:t>nek (1) bekezdése.</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Legfrissebb (SVaRt–1)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364. cikke (1) bekezdése b) pontjának i. alpontja, valamint 365. cikk</w:t>
            </w:r>
            <w:r>
              <w:rPr>
                <w:rFonts w:ascii="Times New Roman" w:hAnsi="Times New Roman"/>
                <w:sz w:val="24"/>
              </w:rPr>
              <w:t>é</w:t>
            </w:r>
            <w:r w:rsidR="00406A85">
              <w:rPr>
                <w:rFonts w:ascii="Times New Roman" w:hAnsi="Times New Roman"/>
                <w:sz w:val="24"/>
              </w:rPr>
              <w:t>nek (1) bekezdése.</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 JÁRULÉKOS NEMTELJESÍTÉSI </w:t>
            </w:r>
            <w:proofErr w:type="gramStart"/>
            <w:r>
              <w:rPr>
                <w:rFonts w:ascii="Times New Roman" w:hAnsi="Times New Roman"/>
                <w:b/>
                <w:sz w:val="24"/>
                <w:u w:val="single"/>
              </w:rPr>
              <w:t>ÉS</w:t>
            </w:r>
            <w:proofErr w:type="gramEnd"/>
            <w:r>
              <w:rPr>
                <w:rFonts w:ascii="Times New Roman" w:hAnsi="Times New Roman"/>
                <w:b/>
                <w:sz w:val="24"/>
                <w:u w:val="single"/>
              </w:rPr>
              <w:t xml:space="preserve"> ÁTMINŐSÍTÉSI KOCK</w:t>
            </w:r>
            <w:r>
              <w:rPr>
                <w:rFonts w:ascii="Times New Roman" w:hAnsi="Times New Roman"/>
                <w:b/>
                <w:sz w:val="24"/>
                <w:u w:val="single"/>
              </w:rPr>
              <w:t>Á</w:t>
            </w:r>
            <w:r>
              <w:rPr>
                <w:rFonts w:ascii="Times New Roman" w:hAnsi="Times New Roman"/>
                <w:b/>
                <w:sz w:val="24"/>
                <w:u w:val="single"/>
              </w:rPr>
              <w:t>ZATRA VONATKOZÓ TŐKEKÖVETELMÉNY</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Egy nemteljesítési és átminősítési kockázatokkal összefüggésben bekövetkező árváltozásból származó veszteség maximális lehetséges mértéke, amelynek k</w:t>
            </w:r>
            <w:r>
              <w:rPr>
                <w:rFonts w:ascii="Times New Roman" w:hAnsi="Times New Roman"/>
                <w:sz w:val="24"/>
              </w:rPr>
              <w:t>i</w:t>
            </w:r>
            <w:r>
              <w:rPr>
                <w:rFonts w:ascii="Times New Roman" w:hAnsi="Times New Roman"/>
                <w:sz w:val="24"/>
              </w:rPr>
              <w:t>számítása a CRR harmadik része IV. címe 5. fejezetének 4. szakaszával össz</w:t>
            </w:r>
            <w:r>
              <w:rPr>
                <w:rFonts w:ascii="Times New Roman" w:hAnsi="Times New Roman"/>
                <w:sz w:val="24"/>
              </w:rPr>
              <w:t>e</w:t>
            </w:r>
            <w:r>
              <w:rPr>
                <w:rFonts w:ascii="Times New Roman" w:hAnsi="Times New Roman"/>
                <w:sz w:val="24"/>
              </w:rPr>
              <w:t>függésben a CRR 364. cikke (2) bekezdésé</w:t>
            </w:r>
            <w:r w:rsidR="00406A85">
              <w:rPr>
                <w:rFonts w:ascii="Times New Roman" w:hAnsi="Times New Roman"/>
                <w:sz w:val="24"/>
              </w:rPr>
              <w:t>nek a) pontja alapján történik.</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070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hetes átlagos mérőszám</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364. cikke (2) bekezdése b) pontjának ii. alpontja, a CRR harmadik r</w:t>
            </w:r>
            <w:r>
              <w:rPr>
                <w:rFonts w:ascii="Times New Roman" w:hAnsi="Times New Roman"/>
                <w:sz w:val="24"/>
              </w:rPr>
              <w:t>é</w:t>
            </w:r>
            <w:r>
              <w:rPr>
                <w:rFonts w:ascii="Times New Roman" w:hAnsi="Times New Roman"/>
                <w:sz w:val="24"/>
              </w:rPr>
              <w:t>sze IV. címe 5. fejezetének 4. szakaszával összefüggésben.</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Legfrissebb mérőszám</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364. cikke (2) bekezdése b) pontjának i. alpontja, a CRR harmadik r</w:t>
            </w:r>
            <w:r>
              <w:rPr>
                <w:rFonts w:ascii="Times New Roman" w:hAnsi="Times New Roman"/>
                <w:sz w:val="24"/>
              </w:rPr>
              <w:t>é</w:t>
            </w:r>
            <w:r>
              <w:rPr>
                <w:rFonts w:ascii="Times New Roman" w:hAnsi="Times New Roman"/>
                <w:sz w:val="24"/>
              </w:rPr>
              <w:t>sze IV. címe 5. fejezetének 4. szakaszával összefüggésben.</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TELJES ÁRKOCKÁZATI TŐKEKÖVETELMÉNY </w:t>
            </w:r>
            <w:proofErr w:type="gramStart"/>
            <w:r>
              <w:rPr>
                <w:rFonts w:ascii="Times New Roman" w:hAnsi="Times New Roman"/>
                <w:b/>
                <w:sz w:val="24"/>
                <w:u w:val="single"/>
              </w:rPr>
              <w:t>A</w:t>
            </w:r>
            <w:proofErr w:type="gramEnd"/>
            <w:r>
              <w:rPr>
                <w:rFonts w:ascii="Times New Roman" w:hAnsi="Times New Roman"/>
                <w:b/>
                <w:sz w:val="24"/>
                <w:u w:val="single"/>
              </w:rPr>
              <w:t xml:space="preserve"> CTP-RE V</w:t>
            </w:r>
            <w:r>
              <w:rPr>
                <w:rFonts w:ascii="Times New Roman" w:hAnsi="Times New Roman"/>
                <w:b/>
                <w:sz w:val="24"/>
                <w:u w:val="single"/>
              </w:rPr>
              <w:t>O</w:t>
            </w:r>
            <w:r>
              <w:rPr>
                <w:rFonts w:ascii="Times New Roman" w:hAnsi="Times New Roman"/>
                <w:b/>
                <w:sz w:val="24"/>
                <w:u w:val="single"/>
              </w:rPr>
              <w:t>NATKOZÓAN</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ALSÓ KORLÁT</w:t>
            </w:r>
          </w:p>
          <w:p w:rsidR="000B0B09" w:rsidRPr="00392FFD" w:rsidRDefault="000B0B09" w:rsidP="000B0B09">
            <w:pPr>
              <w:rPr>
                <w:rFonts w:ascii="Times New Roman" w:hAnsi="Times New Roman"/>
                <w:sz w:val="24"/>
              </w:rPr>
            </w:pPr>
            <w:r>
              <w:rPr>
                <w:rFonts w:ascii="Times New Roman" w:hAnsi="Times New Roman"/>
                <w:sz w:val="24"/>
              </w:rPr>
              <w:t>A CRR 364. cikke (3) bekezdésének c) pontja</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azon tőkekövetelmény 8 %-</w:t>
            </w:r>
            <w:proofErr w:type="gramStart"/>
            <w:r>
              <w:rPr>
                <w:rFonts w:ascii="Times New Roman" w:hAnsi="Times New Roman"/>
                <w:sz w:val="24"/>
              </w:rPr>
              <w:t>a</w:t>
            </w:r>
            <w:proofErr w:type="gramEnd"/>
            <w:r>
              <w:rPr>
                <w:rFonts w:ascii="Times New Roman" w:hAnsi="Times New Roman"/>
                <w:sz w:val="24"/>
              </w:rPr>
              <w:t>, amely a CRR 338. cikkének (1) bekezdése sz</w:t>
            </w:r>
            <w:r>
              <w:rPr>
                <w:rFonts w:ascii="Times New Roman" w:hAnsi="Times New Roman"/>
                <w:sz w:val="24"/>
              </w:rPr>
              <w:t>e</w:t>
            </w:r>
            <w:r>
              <w:rPr>
                <w:rFonts w:ascii="Times New Roman" w:hAnsi="Times New Roman"/>
                <w:sz w:val="24"/>
              </w:rPr>
              <w:t>rint került volna kiszámításra a teljes árkockázati tőkekövetelménnyel érintett valamennyi pozíció tekintetében.</w:t>
            </w:r>
            <w:r>
              <w:rPr>
                <w:rFonts w:ascii="Times New Roman" w:hAnsi="Times New Roman"/>
                <w:b/>
                <w:sz w:val="24"/>
                <w:u w:val="single"/>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12 HETES ÁTLAGOS MÉRŐSZÁM </w:t>
            </w:r>
            <w:proofErr w:type="gramStart"/>
            <w:r>
              <w:rPr>
                <w:rFonts w:ascii="Times New Roman" w:hAnsi="Times New Roman"/>
                <w:b/>
                <w:sz w:val="24"/>
                <w:u w:val="single"/>
              </w:rPr>
              <w:t>ÉS</w:t>
            </w:r>
            <w:proofErr w:type="gramEnd"/>
            <w:r>
              <w:rPr>
                <w:rFonts w:ascii="Times New Roman" w:hAnsi="Times New Roman"/>
                <w:b/>
                <w:sz w:val="24"/>
                <w:u w:val="single"/>
              </w:rPr>
              <w:t xml:space="preserve"> LEGFRISSEBB MÉRŐSZÁM</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A CRR 364. cikke (3) bekezdésének b) pontja.</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LEGFRISSEBB MÉRŐSZÁM</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A CRR 364. cikke (3) bekezdésének a) pontja.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SZAVATOLÓTŐKE-KÖVETELMÉNY</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364. cikkében említettek szerint az összes kockázati tényezőre vona</w:t>
            </w:r>
            <w:r>
              <w:rPr>
                <w:rFonts w:ascii="Times New Roman" w:hAnsi="Times New Roman"/>
                <w:sz w:val="24"/>
              </w:rPr>
              <w:t>t</w:t>
            </w:r>
            <w:r>
              <w:rPr>
                <w:rFonts w:ascii="Times New Roman" w:hAnsi="Times New Roman"/>
                <w:sz w:val="24"/>
              </w:rPr>
              <w:t>kozóan, adott esetben figyelembe véve a korrelációs hatásokat, valamint a jár</w:t>
            </w:r>
            <w:r>
              <w:rPr>
                <w:rFonts w:ascii="Times New Roman" w:hAnsi="Times New Roman"/>
                <w:sz w:val="24"/>
              </w:rPr>
              <w:t>u</w:t>
            </w:r>
            <w:r>
              <w:rPr>
                <w:rFonts w:ascii="Times New Roman" w:hAnsi="Times New Roman"/>
                <w:sz w:val="24"/>
              </w:rPr>
              <w:t>lékos nemteljesítési és átminősítési kockázatot és a CTP-ben árazott valame</w:t>
            </w:r>
            <w:r>
              <w:rPr>
                <w:rFonts w:ascii="Times New Roman" w:hAnsi="Times New Roman"/>
                <w:sz w:val="24"/>
              </w:rPr>
              <w:t>n</w:t>
            </w:r>
            <w:r>
              <w:rPr>
                <w:rFonts w:ascii="Times New Roman" w:hAnsi="Times New Roman"/>
                <w:sz w:val="24"/>
              </w:rPr>
              <w:t>nyi kockázatot, figyelmen kívül hagyva azonban a CRR 364. cikkének (2) b</w:t>
            </w:r>
            <w:r>
              <w:rPr>
                <w:rFonts w:ascii="Times New Roman" w:hAnsi="Times New Roman"/>
                <w:sz w:val="24"/>
              </w:rPr>
              <w:t>e</w:t>
            </w:r>
            <w:r>
              <w:rPr>
                <w:rFonts w:ascii="Times New Roman" w:hAnsi="Times New Roman"/>
                <w:sz w:val="24"/>
              </w:rPr>
              <w:t xml:space="preserve">kezdése szerinti, az értékpapírosításhoz és az n-edik nemteljesítéskor lehívható hitelderivatívákhoz kapcsolódó tőkekövetelményt.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KOCKÁZATI KITETTSÉGÉRTÉK</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92. cikke (4) bekezdésének b) pontja. A szavatolótőke-követelmény 12,5-del való szorzásának az eredménye.</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túllépések száma az előző 250 munkanap során</w:t>
            </w:r>
          </w:p>
          <w:p w:rsidR="000B0B09" w:rsidRPr="00392FFD" w:rsidRDefault="000B0B09" w:rsidP="000B0B09">
            <w:pPr>
              <w:autoSpaceDE w:val="0"/>
              <w:autoSpaceDN w:val="0"/>
              <w:adjustRightInd w:val="0"/>
              <w:spacing w:before="0" w:after="0"/>
              <w:rPr>
                <w:rFonts w:ascii="Times New Roman" w:hAnsi="Times New Roman"/>
                <w:sz w:val="24"/>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CRR 366. cikkében említettek szerint. </w:t>
            </w:r>
          </w:p>
          <w:p w:rsidR="00A92CFF" w:rsidRDefault="00A92CFF" w:rsidP="000B0B09">
            <w:pPr>
              <w:autoSpaceDE w:val="0"/>
              <w:autoSpaceDN w:val="0"/>
              <w:adjustRightInd w:val="0"/>
              <w:spacing w:before="0" w:after="0"/>
              <w:rPr>
                <w:rFonts w:ascii="Times New Roman" w:hAnsi="Times New Roman"/>
                <w:sz w:val="24"/>
              </w:rPr>
            </w:pPr>
          </w:p>
          <w:p w:rsidR="00A92CFF" w:rsidRPr="00392FFD" w:rsidRDefault="00A92CFF" w:rsidP="000B0B09">
            <w:pPr>
              <w:autoSpaceDE w:val="0"/>
              <w:autoSpaceDN w:val="0"/>
              <w:adjustRightInd w:val="0"/>
              <w:spacing w:before="0" w:after="0"/>
              <w:rPr>
                <w:rFonts w:ascii="Times New Roman" w:hAnsi="Times New Roman"/>
                <w:sz w:val="24"/>
              </w:rPr>
            </w:pPr>
            <w:r>
              <w:rPr>
                <w:rFonts w:ascii="Times New Roman" w:hAnsi="Times New Roman"/>
                <w:sz w:val="24"/>
              </w:rPr>
              <w:t>Azon túllépések számát kell feltüntetni, amelyek alapján a kiegészítő tétel meghatározásra kerül.</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150-160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szorzó (mc) és SVaR szorzó (ms)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lastRenderedPageBreak/>
              <w:t>A CRR 366. cikkében említettek szerint.</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170-180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 CTP-TŐKEKÖVETELMÉNY FELTÉTELEZETT ALSÓ KORLÁTJA – SÚLYOZOTT NETTÓ HOSSZÚ/RÖVID POZÍCIÓK </w:t>
            </w:r>
            <w:proofErr w:type="gramStart"/>
            <w:r>
              <w:rPr>
                <w:rFonts w:ascii="Times New Roman" w:hAnsi="Times New Roman"/>
                <w:b/>
                <w:sz w:val="24"/>
                <w:u w:val="single"/>
              </w:rPr>
              <w:t>A</w:t>
            </w:r>
            <w:proofErr w:type="gramEnd"/>
            <w:r>
              <w:rPr>
                <w:rFonts w:ascii="Times New Roman" w:hAnsi="Times New Roman"/>
                <w:b/>
                <w:sz w:val="24"/>
                <w:u w:val="single"/>
              </w:rPr>
              <w:t xml:space="preserve"> FELSŐ KO</w:t>
            </w:r>
            <w:r>
              <w:rPr>
                <w:rFonts w:ascii="Times New Roman" w:hAnsi="Times New Roman"/>
                <w:b/>
                <w:sz w:val="24"/>
                <w:u w:val="single"/>
              </w:rPr>
              <w:t>R</w:t>
            </w:r>
            <w:r>
              <w:rPr>
                <w:rFonts w:ascii="Times New Roman" w:hAnsi="Times New Roman"/>
                <w:b/>
                <w:sz w:val="24"/>
                <w:u w:val="single"/>
              </w:rPr>
              <w:t>LÁT FIGYELEMBEVÉTELÉVEL</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feltüntetett és a teljes árkockázati tőkekövetelménynek a CRR 364. cikke (3) bekezdésének c) pontja szerinti alsó határának kiszámításához felhasznált ö</w:t>
            </w:r>
            <w:r>
              <w:rPr>
                <w:rFonts w:ascii="Times New Roman" w:hAnsi="Times New Roman"/>
                <w:sz w:val="24"/>
              </w:rPr>
              <w:t>s</w:t>
            </w:r>
            <w:r>
              <w:rPr>
                <w:rFonts w:ascii="Times New Roman" w:hAnsi="Times New Roman"/>
                <w:sz w:val="24"/>
              </w:rPr>
              <w:t>szegek figyelembe veszik a CRR 335. cikkében biztosított jogosultságot, amely alapján egy intézmény a nemteljesítési kockázathoz kapcsolódó veszteség l</w:t>
            </w:r>
            <w:r>
              <w:rPr>
                <w:rFonts w:ascii="Times New Roman" w:hAnsi="Times New Roman"/>
                <w:sz w:val="24"/>
              </w:rPr>
              <w:t>e</w:t>
            </w:r>
            <w:r>
              <w:rPr>
                <w:rFonts w:ascii="Times New Roman" w:hAnsi="Times New Roman"/>
                <w:sz w:val="24"/>
              </w:rPr>
              <w:t>hetséges maximális összegében korlátozhatja a súly és a nettó pozíció szorz</w:t>
            </w:r>
            <w:r>
              <w:rPr>
                <w:rFonts w:ascii="Times New Roman" w:hAnsi="Times New Roman"/>
                <w:sz w:val="24"/>
              </w:rPr>
              <w:t>a</w:t>
            </w:r>
            <w:r>
              <w:rPr>
                <w:rFonts w:ascii="Times New Roman" w:hAnsi="Times New Roman"/>
                <w:sz w:val="24"/>
              </w:rPr>
              <w:t xml:space="preserve">tát. </w:t>
            </w:r>
          </w:p>
          <w:p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rsidTr="00672D2A">
        <w:trPr>
          <w:trHeight w:val="566"/>
        </w:trPr>
        <w:tc>
          <w:tcPr>
            <w:tcW w:w="8896"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Sorok</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POZÍCIÓK ÖSSZESEN</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363. cikkének (1) bekezdésében említett pozíció-, devizaárfolyam- és árukockázatnak az a része, amely a CRR 367. cikkének (2) bekezdésében me</w:t>
            </w:r>
            <w:r>
              <w:rPr>
                <w:rFonts w:ascii="Times New Roman" w:hAnsi="Times New Roman"/>
                <w:sz w:val="24"/>
              </w:rPr>
              <w:t>g</w:t>
            </w:r>
            <w:r>
              <w:rPr>
                <w:rFonts w:ascii="Times New Roman" w:hAnsi="Times New Roman"/>
                <w:sz w:val="24"/>
              </w:rPr>
              <w:t xml:space="preserve">határozott kockázati tényezőkhöz kapcsolódik.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030–060. oszlop VaR és sVaR értékeit illetően az összesítő sorban szereplő adatok nem egyeznek meg a vonatkozó kockázati elemek szerint lebontott VaR és sVaR értékekkel. A bontás emiatt tájékoztató adatokat tartalmaz.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FORGALMAZOTT, HITELVISZONYT MEGTESTESÍTŐ ÉRTÉKP</w:t>
            </w:r>
            <w:r>
              <w:rPr>
                <w:rFonts w:ascii="Times New Roman" w:hAnsi="Times New Roman"/>
                <w:b/>
                <w:sz w:val="24"/>
                <w:u w:val="single"/>
              </w:rPr>
              <w:t>A</w:t>
            </w:r>
            <w:r>
              <w:rPr>
                <w:rFonts w:ascii="Times New Roman" w:hAnsi="Times New Roman"/>
                <w:b/>
                <w:sz w:val="24"/>
                <w:u w:val="single"/>
              </w:rPr>
              <w:t>PÍROK</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CRR 363. cikkének (1) bekezdésében említett pozíciókockázatnak az a része, amely a CRR 367. cikkének (2) bekezdésében meghatározott kamatláb-kockázati tényezőkhöz kapcsolódik.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ÁLTALÁNOS KOCKÁZAT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CRR 362. cikkében meghatározott általános kockázat.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EGYEDI KOCKÁZAT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 CRR 362. cikkében meghatározott egyedi kockázat.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RÉSZVÉNYEK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CRR 363. cikkének (1) bekezdésében említett pozíciókockázatnak az a része, amely a CRR 367. cikkének (2) bekezdésében meghatározott részvénypiaci kockázati tényezőkhöz kapcsolódik.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RÉSZVÉNYEK – ÁLTALÁNOS KOCKÁZAT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A CRR 362. cikkében meghatározott általános kockázat.</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RÉSZVÉNYEK – EGYEDI KOCKÁZAT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 CRR 362. cikkében meghatározott egyedi kockázat.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080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DEVIZAÁRFOLYAM-KOCKÁZAT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A CRR 363. cikkének (1) bekezdése, valamint 367. cikkének (2) bekezdése.</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ÁRUKOCKÁZAT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 CRR 363. cikkének (1) bekezdése, valamint 367. cikkének (2) bekezdése.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ÁLTALÁNOS KOCKÁZAT ÖSSZESEN</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 forgalmazott, hitelviszonyt megtestesítő értékpapírok, részvények, külföldi pénznemek és áruk általános piaci mozgásaiból eredő piaci kockázat. Az összes kockázati tényező általános kockázatára vonatkozó VaR érték (az esetleges ko</w:t>
            </w:r>
            <w:r>
              <w:rPr>
                <w:rStyle w:val="InstructionsTabelleText"/>
                <w:rFonts w:ascii="Times New Roman" w:hAnsi="Times New Roman"/>
                <w:sz w:val="24"/>
              </w:rPr>
              <w:t>r</w:t>
            </w:r>
            <w:r>
              <w:rPr>
                <w:rStyle w:val="InstructionsTabelleText"/>
                <w:rFonts w:ascii="Times New Roman" w:hAnsi="Times New Roman"/>
                <w:sz w:val="24"/>
              </w:rPr>
              <w:t xml:space="preserve">relációs hatások figyelembevételével).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p w:rsidR="000B0B09" w:rsidRPr="00392FFD" w:rsidRDefault="000B0B09" w:rsidP="000B0B09">
            <w:pPr>
              <w:jc w:val="center"/>
              <w:rPr>
                <w:rFonts w:ascii="Times New Roman" w:hAnsi="Times New Roman"/>
                <w:sz w:val="24"/>
              </w:rPr>
            </w:pP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EGYEDI KOCKÁZAT ÖSSZESEN</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A forgalmazott, hitelviszonyt megtestesítő értékpapírok és részvények egyedi kockázati eleme. A kereskedési könyvben nyilvántartott, forgalmazott, hitelv</w:t>
            </w:r>
            <w:r>
              <w:rPr>
                <w:rStyle w:val="InstructionsTabelleText"/>
                <w:rFonts w:ascii="Times New Roman" w:hAnsi="Times New Roman"/>
                <w:sz w:val="24"/>
              </w:rPr>
              <w:t>i</w:t>
            </w:r>
            <w:r>
              <w:rPr>
                <w:rStyle w:val="InstructionsTabelleText"/>
                <w:rFonts w:ascii="Times New Roman" w:hAnsi="Times New Roman"/>
                <w:sz w:val="24"/>
              </w:rPr>
              <w:t>szonyt megtestesítő értékpapírok és részvények egyedi kockázatára vonatkozó VaR érték (az esetleges korrelációs hatások figyelembevételével).</w:t>
            </w:r>
          </w:p>
        </w:tc>
      </w:tr>
    </w:tbl>
    <w:p w:rsidR="000B0B09" w:rsidRPr="00392FFD" w:rsidRDefault="000B0B09">
      <w:pPr>
        <w:spacing w:before="0" w:after="0"/>
        <w:jc w:val="left"/>
        <w:rPr>
          <w:rStyle w:val="InstructionsTabelleText"/>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66" w:name="_Toc360188413"/>
      <w:bookmarkStart w:id="767" w:name="_Toc516210704"/>
      <w:bookmarkStart w:id="768" w:name="_Toc473561053"/>
      <w:bookmarkStart w:id="769" w:name="_Toc524014763"/>
      <w:r>
        <w:rPr>
          <w:rFonts w:ascii="Times New Roman" w:hAnsi="Times New Roman"/>
          <w:sz w:val="24"/>
          <w:u w:val="none"/>
        </w:rPr>
        <w:t>5.8.</w:t>
      </w:r>
      <w:r w:rsidRPr="00406A85">
        <w:rPr>
          <w:u w:val="none"/>
        </w:rPr>
        <w:tab/>
      </w:r>
      <w:r>
        <w:rPr>
          <w:rFonts w:ascii="Times New Roman" w:hAnsi="Times New Roman"/>
          <w:sz w:val="24"/>
        </w:rPr>
        <w:t>C 25.00 – HITELÉRTÉKELÉSI KORREKCIÓK KOCKÁZATA</w:t>
      </w:r>
      <w:bookmarkEnd w:id="766"/>
      <w:r>
        <w:rPr>
          <w:rFonts w:ascii="Times New Roman" w:hAnsi="Times New Roman"/>
          <w:sz w:val="24"/>
        </w:rPr>
        <w:t xml:space="preserve"> (CVA)</w:t>
      </w:r>
      <w:bookmarkEnd w:id="767"/>
      <w:bookmarkEnd w:id="768"/>
      <w:bookmarkEnd w:id="76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70" w:name="_Toc360188414"/>
      <w:bookmarkStart w:id="771" w:name="_Toc516210705"/>
      <w:bookmarkStart w:id="772" w:name="_Toc473561054"/>
      <w:bookmarkStart w:id="773" w:name="_Toc524014764"/>
      <w:bookmarkStart w:id="774" w:name="_Toc310008820"/>
      <w:r>
        <w:rPr>
          <w:rFonts w:ascii="Times New Roman" w:hAnsi="Times New Roman"/>
          <w:sz w:val="24"/>
          <w:u w:val="none"/>
        </w:rPr>
        <w:t>5.8.1.</w:t>
      </w:r>
      <w:r w:rsidRPr="00406A85">
        <w:rPr>
          <w:u w:val="none"/>
        </w:rPr>
        <w:tab/>
      </w:r>
      <w:r>
        <w:rPr>
          <w:rFonts w:ascii="Times New Roman" w:hAnsi="Times New Roman"/>
          <w:sz w:val="24"/>
        </w:rPr>
        <w:t>A tábla egyes részeire vonatkozó útmutató</w:t>
      </w:r>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Oszlopok</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406A85" w:rsidP="000B0B09">
            <w:pPr>
              <w:rPr>
                <w:rFonts w:ascii="Times New Roman" w:hAnsi="Times New Roman"/>
                <w:b/>
                <w:bCs/>
                <w:sz w:val="24"/>
                <w:u w:val="single"/>
              </w:rPr>
            </w:pPr>
            <w:r>
              <w:rPr>
                <w:rFonts w:ascii="Times New Roman" w:hAnsi="Times New Roman"/>
                <w:b/>
                <w:sz w:val="24"/>
                <w:u w:val="single"/>
              </w:rPr>
              <w:t>Kitettségérték</w:t>
            </w:r>
          </w:p>
          <w:p w:rsidR="000B0B09" w:rsidRPr="00392FFD" w:rsidRDefault="000B0B09" w:rsidP="000B0B09">
            <w:pPr>
              <w:rPr>
                <w:rFonts w:ascii="Times New Roman" w:hAnsi="Times New Roman"/>
                <w:sz w:val="24"/>
              </w:rPr>
            </w:pPr>
            <w:r>
              <w:rPr>
                <w:rFonts w:ascii="Times New Roman" w:hAnsi="Times New Roman"/>
                <w:sz w:val="24"/>
              </w:rPr>
              <w:t>A CRR 271. cikke a CRR 382. cikkével összhangban</w:t>
            </w:r>
          </w:p>
          <w:p w:rsidR="000B0B09" w:rsidRPr="00392FFD" w:rsidRDefault="000B0B09" w:rsidP="000B0B09">
            <w:pPr>
              <w:rPr>
                <w:rFonts w:ascii="Times New Roman" w:hAnsi="Times New Roman"/>
                <w:sz w:val="24"/>
              </w:rPr>
            </w:pPr>
            <w:r>
              <w:rPr>
                <w:rFonts w:ascii="Times New Roman" w:hAnsi="Times New Roman"/>
                <w:sz w:val="24"/>
              </w:rPr>
              <w:t xml:space="preserve">A CVA-tőkekövetelménnyel érintett összes ügyletből eredő teljes nemteljesítéskori kitettség (EAD)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020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Ebből: tőzsdé</w:t>
            </w:r>
            <w:r w:rsidR="00406A85">
              <w:rPr>
                <w:rFonts w:ascii="Times New Roman" w:hAnsi="Times New Roman"/>
                <w:b/>
                <w:sz w:val="24"/>
                <w:u w:val="single"/>
              </w:rPr>
              <w:t>n kívüli származtatott ügyletek</w:t>
            </w:r>
          </w:p>
          <w:p w:rsidR="000B0B09" w:rsidRPr="00392FFD" w:rsidRDefault="000B0B09" w:rsidP="000B0B09">
            <w:pPr>
              <w:rPr>
                <w:rFonts w:ascii="Times New Roman" w:hAnsi="Times New Roman"/>
                <w:sz w:val="24"/>
              </w:rPr>
            </w:pPr>
            <w:r>
              <w:rPr>
                <w:rFonts w:ascii="Times New Roman" w:hAnsi="Times New Roman"/>
                <w:sz w:val="24"/>
              </w:rPr>
              <w:t>A CRR 271. cikke a CRR 382. cikkének (1) bekezdésével összhangban</w:t>
            </w:r>
          </w:p>
          <w:p w:rsidR="000B0B09" w:rsidRPr="00392FFD" w:rsidRDefault="000B0B09" w:rsidP="000B0B09">
            <w:pPr>
              <w:rPr>
                <w:rFonts w:ascii="Times New Roman" w:hAnsi="Times New Roman"/>
                <w:sz w:val="24"/>
              </w:rPr>
            </w:pPr>
            <w:r>
              <w:rPr>
                <w:rFonts w:ascii="Times New Roman" w:hAnsi="Times New Roman"/>
                <w:sz w:val="24"/>
              </w:rPr>
              <w:t>A teljes partnerkockázati kitettségnek az a része, amely kizárólag tőzsdén kívüli származtatott ügyletből ered. Az információt nem kötelező megadniuk azoknak a belső modell módszerét alkalmazó intézményeknek, amelyek azonos nettósítási halmazban tőzsdén kívüli származtatott ügylettel és értékpapír-finanszírozási ügylettel is rendelkeznek.</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Ebből: é</w:t>
            </w:r>
            <w:r w:rsidR="00406A85">
              <w:rPr>
                <w:rFonts w:ascii="Times New Roman" w:hAnsi="Times New Roman"/>
                <w:b/>
                <w:sz w:val="24"/>
                <w:u w:val="single"/>
              </w:rPr>
              <w:t>rtékpapír-finanszírozási ügylet</w:t>
            </w:r>
          </w:p>
          <w:p w:rsidR="000B0B09" w:rsidRPr="00392FFD" w:rsidRDefault="000B0B09" w:rsidP="000B0B09">
            <w:pPr>
              <w:rPr>
                <w:rFonts w:ascii="Times New Roman" w:hAnsi="Times New Roman"/>
                <w:sz w:val="24"/>
              </w:rPr>
            </w:pPr>
            <w:r>
              <w:rPr>
                <w:rFonts w:ascii="Times New Roman" w:hAnsi="Times New Roman"/>
                <w:sz w:val="24"/>
              </w:rPr>
              <w:t>A CRR 271. cikke a CRR 382. cikkének (2) bekezdésével összhangban</w:t>
            </w:r>
          </w:p>
          <w:p w:rsidR="000B0B09" w:rsidRPr="00392FFD" w:rsidRDefault="000B0B09" w:rsidP="000B0B09">
            <w:pPr>
              <w:rPr>
                <w:rFonts w:ascii="Times New Roman" w:hAnsi="Times New Roman"/>
                <w:sz w:val="24"/>
              </w:rPr>
            </w:pPr>
            <w:r>
              <w:rPr>
                <w:rFonts w:ascii="Times New Roman" w:hAnsi="Times New Roman"/>
                <w:sz w:val="24"/>
              </w:rPr>
              <w:t>A teljes partnerkockázati kitettségnek az a része, amely kizárólag származtatott értékpapír-finanszírozási ügyletből ered. Az információt nem kötelező megadn</w:t>
            </w:r>
            <w:r>
              <w:rPr>
                <w:rFonts w:ascii="Times New Roman" w:hAnsi="Times New Roman"/>
                <w:sz w:val="24"/>
              </w:rPr>
              <w:t>i</w:t>
            </w:r>
            <w:r>
              <w:rPr>
                <w:rFonts w:ascii="Times New Roman" w:hAnsi="Times New Roman"/>
                <w:sz w:val="24"/>
              </w:rPr>
              <w:t>uk azoknak a belső modell módszerét alkalmazó intézményeknek, amelyek az</w:t>
            </w:r>
            <w:r>
              <w:rPr>
                <w:rFonts w:ascii="Times New Roman" w:hAnsi="Times New Roman"/>
                <w:sz w:val="24"/>
              </w:rPr>
              <w:t>o</w:t>
            </w:r>
            <w:r>
              <w:rPr>
                <w:rFonts w:ascii="Times New Roman" w:hAnsi="Times New Roman"/>
                <w:sz w:val="24"/>
              </w:rPr>
              <w:t>nos nettósítási halmazban tőzsdén kívüli származtatott ügylettel és értékpapír-finanszírozási ügylettel is rendelkeznek.</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040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SZORZÓ (mc) x ELŐZŐ 60 MUNKANAP ÁTALAGA (VaRavg)</w:t>
            </w:r>
          </w:p>
          <w:p w:rsidR="000B0B09" w:rsidRPr="00392FFD" w:rsidRDefault="000B0B09" w:rsidP="000B0B09">
            <w:pPr>
              <w:rPr>
                <w:rFonts w:ascii="Times New Roman" w:hAnsi="Times New Roman"/>
                <w:sz w:val="24"/>
              </w:rPr>
            </w:pPr>
            <w:r>
              <w:rPr>
                <w:rFonts w:ascii="Times New Roman" w:hAnsi="Times New Roman"/>
                <w:sz w:val="24"/>
              </w:rPr>
              <w:t>A CRR 383. cikke a CRR 363. cikke (1) bekezdésének d) pontjával összhangban</w:t>
            </w:r>
          </w:p>
          <w:p w:rsidR="000B0B09" w:rsidRPr="00392FFD" w:rsidRDefault="000B0B09" w:rsidP="000B0B09">
            <w:pPr>
              <w:rPr>
                <w:rFonts w:ascii="Times New Roman" w:hAnsi="Times New Roman"/>
                <w:sz w:val="24"/>
              </w:rPr>
            </w:pPr>
            <w:r>
              <w:rPr>
                <w:rFonts w:ascii="Times New Roman" w:hAnsi="Times New Roman"/>
                <w:sz w:val="24"/>
              </w:rPr>
              <w:t xml:space="preserve">A VaR kiszámítása a piaci kockázatra vonatkozó belső modell alapján.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050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ELŐZŐ NAPI (VARt-1)</w:t>
            </w:r>
          </w:p>
          <w:p w:rsidR="000B0B09" w:rsidRPr="00392FFD" w:rsidRDefault="000B0B09" w:rsidP="000B0B09">
            <w:pPr>
              <w:rPr>
                <w:rFonts w:ascii="Times New Roman" w:hAnsi="Times New Roman"/>
                <w:sz w:val="24"/>
              </w:rPr>
            </w:pPr>
            <w:r>
              <w:rPr>
                <w:rFonts w:ascii="Times New Roman" w:hAnsi="Times New Roman"/>
                <w:sz w:val="24"/>
              </w:rPr>
              <w:t>Lásd a 040-es oszlopra vonatkozó útmutatót.</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060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SZORZÓ (ms) X ELŐZŐ 60 MUNKANAP ÁTLAGA (SVaRavg)</w:t>
            </w:r>
          </w:p>
          <w:p w:rsidR="000B0B09" w:rsidRPr="00392FFD" w:rsidRDefault="000B0B09" w:rsidP="000B0B09">
            <w:pPr>
              <w:rPr>
                <w:rFonts w:ascii="Times New Roman" w:hAnsi="Times New Roman"/>
                <w:sz w:val="24"/>
              </w:rPr>
            </w:pPr>
            <w:r>
              <w:rPr>
                <w:rFonts w:ascii="Times New Roman" w:hAnsi="Times New Roman"/>
                <w:sz w:val="24"/>
              </w:rPr>
              <w:t>Lásd a 040-es oszlopra vonatkozó útmutatót.</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070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LEGFRISSEBB (SVaRt–1)</w:t>
            </w:r>
          </w:p>
          <w:p w:rsidR="000B0B09" w:rsidRPr="00392FFD" w:rsidRDefault="000B0B09" w:rsidP="000B0B09">
            <w:pPr>
              <w:rPr>
                <w:rFonts w:ascii="Times New Roman" w:hAnsi="Times New Roman"/>
                <w:b/>
                <w:sz w:val="24"/>
                <w:u w:val="single"/>
              </w:rPr>
            </w:pPr>
            <w:r>
              <w:rPr>
                <w:rFonts w:ascii="Times New Roman" w:hAnsi="Times New Roman"/>
                <w:sz w:val="24"/>
              </w:rPr>
              <w:t>Lásd a 040-es oszlopra vonatkozó útmutatót.</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080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SZAVATOLÓTŐKE-KÖVETELMÉNY</w:t>
            </w:r>
          </w:p>
          <w:p w:rsidR="000B0B09" w:rsidRPr="00392FFD" w:rsidRDefault="000B0B09" w:rsidP="000B0B09">
            <w:pPr>
              <w:rPr>
                <w:rFonts w:ascii="Times New Roman" w:hAnsi="Times New Roman"/>
                <w:sz w:val="24"/>
              </w:rPr>
            </w:pPr>
            <w:r>
              <w:rPr>
                <w:rFonts w:ascii="Times New Roman" w:hAnsi="Times New Roman"/>
                <w:sz w:val="24"/>
              </w:rPr>
              <w:t>A CRR 92. cikke (3) bekezdésének d) pontja</w:t>
            </w:r>
          </w:p>
          <w:p w:rsidR="000B0B09" w:rsidRPr="00392FFD" w:rsidRDefault="000B0B09" w:rsidP="000B0B09">
            <w:pPr>
              <w:rPr>
                <w:rFonts w:ascii="Times New Roman" w:hAnsi="Times New Roman"/>
                <w:sz w:val="24"/>
              </w:rPr>
            </w:pPr>
            <w:r>
              <w:rPr>
                <w:rFonts w:ascii="Times New Roman" w:hAnsi="Times New Roman"/>
                <w:sz w:val="24"/>
              </w:rPr>
              <w:t>A CVA-kockázathoz kapcsolódó szavatolótőke-követelmény kiszámítása a v</w:t>
            </w:r>
            <w:r>
              <w:rPr>
                <w:rFonts w:ascii="Times New Roman" w:hAnsi="Times New Roman"/>
                <w:sz w:val="24"/>
              </w:rPr>
              <w:t>á</w:t>
            </w:r>
            <w:r>
              <w:rPr>
                <w:rFonts w:ascii="Times New Roman" w:hAnsi="Times New Roman"/>
                <w:sz w:val="24"/>
              </w:rPr>
              <w:t xml:space="preserve">lasztott modell alapján.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090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TELJES KOCKÁZATI KITETTSÉGÉRTÉK</w:t>
            </w:r>
          </w:p>
          <w:p w:rsidR="000B0B09" w:rsidRPr="00392FFD" w:rsidRDefault="000B0B09" w:rsidP="000B0B09">
            <w:pPr>
              <w:rPr>
                <w:rFonts w:ascii="Times New Roman" w:hAnsi="Times New Roman"/>
                <w:sz w:val="24"/>
              </w:rPr>
            </w:pPr>
            <w:r>
              <w:rPr>
                <w:rFonts w:ascii="Times New Roman" w:hAnsi="Times New Roman"/>
                <w:sz w:val="24"/>
              </w:rPr>
              <w:t>A CRR 92. cikke (4) bekezdésének b) pontja</w:t>
            </w:r>
          </w:p>
          <w:p w:rsidR="000B0B09" w:rsidRPr="00392FFD" w:rsidRDefault="000B0B09" w:rsidP="000B0B09">
            <w:pPr>
              <w:rPr>
                <w:rFonts w:ascii="Times New Roman" w:hAnsi="Times New Roman"/>
                <w:sz w:val="24"/>
              </w:rPr>
            </w:pPr>
            <w:r>
              <w:rPr>
                <w:rFonts w:ascii="Times New Roman" w:hAnsi="Times New Roman"/>
                <w:sz w:val="24"/>
              </w:rPr>
              <w:t>A szavatolótőke-követelmény 12,5-del szorozva.</w:t>
            </w:r>
          </w:p>
        </w:tc>
      </w:tr>
      <w:tr w:rsidR="000B0B09" w:rsidRPr="00392FFD" w:rsidTr="00672D2A">
        <w:tc>
          <w:tcPr>
            <w:tcW w:w="852" w:type="dxa"/>
          </w:tcPr>
          <w:p w:rsidR="000B0B09" w:rsidRPr="00392FFD" w:rsidRDefault="000B0B09" w:rsidP="000B0B09">
            <w:pPr>
              <w:rPr>
                <w:rFonts w:ascii="Times New Roman" w:hAnsi="Times New Roman"/>
                <w:sz w:val="24"/>
              </w:rPr>
            </w:pP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Tájékoztató adatok</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100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Partnerek száma</w:t>
            </w:r>
          </w:p>
          <w:p w:rsidR="000B0B09" w:rsidRPr="00392FFD" w:rsidRDefault="000B0B09" w:rsidP="000B0B09">
            <w:pPr>
              <w:rPr>
                <w:rFonts w:ascii="Times New Roman" w:hAnsi="Times New Roman"/>
                <w:sz w:val="24"/>
              </w:rPr>
            </w:pPr>
            <w:r>
              <w:rPr>
                <w:rFonts w:ascii="Times New Roman" w:hAnsi="Times New Roman"/>
                <w:sz w:val="24"/>
              </w:rPr>
              <w:t>A CRR 382. cikke</w:t>
            </w:r>
          </w:p>
          <w:p w:rsidR="000B0B09" w:rsidRPr="00392FFD" w:rsidRDefault="000B0B09" w:rsidP="000B0B09">
            <w:pPr>
              <w:rPr>
                <w:rFonts w:ascii="Times New Roman" w:hAnsi="Times New Roman"/>
                <w:sz w:val="24"/>
              </w:rPr>
            </w:pPr>
            <w:r>
              <w:rPr>
                <w:rFonts w:ascii="Times New Roman" w:hAnsi="Times New Roman"/>
                <w:sz w:val="24"/>
              </w:rPr>
              <w:t>A CVA-kockázathoz kapcsolódó szavatoló tőke kiszámításánál figyelembe vett partnerek száma.</w:t>
            </w:r>
          </w:p>
          <w:p w:rsidR="000B0B09" w:rsidRPr="00392FFD" w:rsidRDefault="000B0B09" w:rsidP="000B0B09">
            <w:pPr>
              <w:rPr>
                <w:rFonts w:ascii="Times New Roman" w:hAnsi="Times New Roman"/>
                <w:sz w:val="24"/>
              </w:rPr>
            </w:pPr>
            <w:r>
              <w:rPr>
                <w:rFonts w:ascii="Times New Roman" w:hAnsi="Times New Roman"/>
                <w:sz w:val="24"/>
              </w:rPr>
              <w:t>A partnerek a kötelezettek részhalmazát képezik. Kizárólag származtatott ügyl</w:t>
            </w:r>
            <w:r>
              <w:rPr>
                <w:rFonts w:ascii="Times New Roman" w:hAnsi="Times New Roman"/>
                <w:sz w:val="24"/>
              </w:rPr>
              <w:t>e</w:t>
            </w:r>
            <w:r>
              <w:rPr>
                <w:rFonts w:ascii="Times New Roman" w:hAnsi="Times New Roman"/>
                <w:sz w:val="24"/>
              </w:rPr>
              <w:t xml:space="preserve">tek vagy értékpapír-finanszírozási ügyletek esetében léteznek, ahol egyszerűen a másik szerződő felet jelentik.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110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Ebből: közelítő érték alapján meghatározott hitelkockázati felár</w:t>
            </w:r>
          </w:p>
          <w:p w:rsidR="000B0B09" w:rsidRPr="00321A3B" w:rsidRDefault="000B0B09" w:rsidP="000B0B09">
            <w:pPr>
              <w:rPr>
                <w:rFonts w:ascii="Times New Roman" w:hAnsi="Times New Roman"/>
                <w:sz w:val="24"/>
              </w:rPr>
            </w:pPr>
            <w:r>
              <w:rPr>
                <w:rFonts w:ascii="Times New Roman" w:hAnsi="Times New Roman"/>
                <w:sz w:val="24"/>
              </w:rPr>
              <w:t>Az olyan partnerek száma, amelyeknél a hitelkockázati felárat a közvetlenül és</w:t>
            </w:r>
            <w:r>
              <w:rPr>
                <w:rFonts w:ascii="Times New Roman" w:hAnsi="Times New Roman"/>
                <w:sz w:val="24"/>
              </w:rPr>
              <w:t>z</w:t>
            </w:r>
            <w:r>
              <w:rPr>
                <w:rFonts w:ascii="Times New Roman" w:hAnsi="Times New Roman"/>
                <w:sz w:val="24"/>
              </w:rPr>
              <w:t>lelt piaci adatok helyett közelítő érték alapján határozták meg.</w:t>
            </w:r>
          </w:p>
          <w:p w:rsidR="000B0B09" w:rsidRPr="00321A3B" w:rsidRDefault="000B0B09" w:rsidP="000B0B09">
            <w:pPr>
              <w:rPr>
                <w:rFonts w:ascii="Times New Roman" w:hAnsi="Times New Roman"/>
                <w:b/>
                <w:sz w:val="24"/>
                <w:u w:val="single"/>
              </w:rPr>
            </w:pP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120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VISELT CVA-KOCKÁZAT</w:t>
            </w:r>
          </w:p>
          <w:p w:rsidR="000B0B09" w:rsidRPr="00392FFD" w:rsidRDefault="000B0B09" w:rsidP="000B0B09">
            <w:pPr>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A származtatott ügyletekben részes partnerek romló hitelképességére képzett számviteli céltartalék.</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130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EGY ALAPTERMÉKES CDS</w:t>
            </w:r>
          </w:p>
          <w:p w:rsidR="000B0B09" w:rsidRPr="00392FFD" w:rsidRDefault="000B0B09" w:rsidP="000B0B09">
            <w:pPr>
              <w:rPr>
                <w:rFonts w:ascii="Times New Roman" w:hAnsi="Times New Roman"/>
                <w:sz w:val="24"/>
              </w:rPr>
            </w:pPr>
            <w:r>
              <w:rPr>
                <w:rFonts w:ascii="Times New Roman" w:hAnsi="Times New Roman"/>
                <w:sz w:val="24"/>
              </w:rPr>
              <w:lastRenderedPageBreak/>
              <w:t xml:space="preserve">A CRR 386. cikke (1) bekezdésének a) pontja </w:t>
            </w:r>
          </w:p>
          <w:p w:rsidR="000B0B09" w:rsidRPr="00392FFD" w:rsidRDefault="000B0B09" w:rsidP="000B0B09">
            <w:pPr>
              <w:rPr>
                <w:rFonts w:ascii="Times New Roman" w:hAnsi="Times New Roman"/>
                <w:sz w:val="24"/>
              </w:rPr>
            </w:pPr>
            <w:r>
              <w:rPr>
                <w:rFonts w:ascii="Times New Roman" w:hAnsi="Times New Roman"/>
                <w:sz w:val="24"/>
              </w:rPr>
              <w:t>A CVA-kockázatot fedező egy alaptermékes hitel-nemteljesítési csereügylet te</w:t>
            </w:r>
            <w:r>
              <w:rPr>
                <w:rFonts w:ascii="Times New Roman" w:hAnsi="Times New Roman"/>
                <w:sz w:val="24"/>
              </w:rPr>
              <w:t>l</w:t>
            </w:r>
            <w:r>
              <w:rPr>
                <w:rFonts w:ascii="Times New Roman" w:hAnsi="Times New Roman"/>
                <w:sz w:val="24"/>
              </w:rPr>
              <w:t xml:space="preserve">jes névleges összege.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140</w:t>
            </w:r>
          </w:p>
        </w:tc>
        <w:tc>
          <w:tcPr>
            <w:tcW w:w="8004" w:type="dxa"/>
          </w:tcPr>
          <w:p w:rsidR="000B0B09" w:rsidRPr="00321A3B" w:rsidRDefault="000B0B09" w:rsidP="000B0B09">
            <w:pPr>
              <w:rPr>
                <w:rFonts w:ascii="Times New Roman" w:hAnsi="Times New Roman"/>
                <w:b/>
                <w:sz w:val="24"/>
                <w:u w:val="single"/>
              </w:rPr>
            </w:pPr>
            <w:r>
              <w:rPr>
                <w:rFonts w:ascii="Times New Roman" w:hAnsi="Times New Roman"/>
                <w:b/>
                <w:sz w:val="24"/>
                <w:u w:val="single"/>
              </w:rPr>
              <w:t>INDEX CDS</w:t>
            </w:r>
          </w:p>
          <w:p w:rsidR="000B0B09" w:rsidRPr="00321A3B" w:rsidRDefault="000B0B09" w:rsidP="000B0B09">
            <w:pPr>
              <w:rPr>
                <w:rFonts w:ascii="Times New Roman" w:hAnsi="Times New Roman"/>
                <w:sz w:val="24"/>
              </w:rPr>
            </w:pPr>
            <w:r>
              <w:rPr>
                <w:rFonts w:ascii="Times New Roman" w:hAnsi="Times New Roman"/>
                <w:sz w:val="24"/>
              </w:rPr>
              <w:t xml:space="preserve">A CRR 386. </w:t>
            </w:r>
            <w:proofErr w:type="gramStart"/>
            <w:r>
              <w:rPr>
                <w:rFonts w:ascii="Times New Roman" w:hAnsi="Times New Roman"/>
                <w:sz w:val="24"/>
              </w:rPr>
              <w:t>cikke(</w:t>
            </w:r>
            <w:proofErr w:type="gramEnd"/>
            <w:r>
              <w:rPr>
                <w:rFonts w:ascii="Times New Roman" w:hAnsi="Times New Roman"/>
                <w:sz w:val="24"/>
              </w:rPr>
              <w:t>1) bekezdésének b) pontja</w:t>
            </w:r>
          </w:p>
          <w:p w:rsidR="000B0B09" w:rsidRPr="00392FFD" w:rsidRDefault="000B0B09" w:rsidP="000B0B09">
            <w:pPr>
              <w:rPr>
                <w:rFonts w:ascii="Times New Roman" w:hAnsi="Times New Roman"/>
                <w:b/>
                <w:sz w:val="24"/>
                <w:u w:val="single"/>
              </w:rPr>
            </w:pPr>
            <w:r>
              <w:rPr>
                <w:rFonts w:ascii="Times New Roman" w:hAnsi="Times New Roman"/>
                <w:sz w:val="24"/>
              </w:rPr>
              <w:t xml:space="preserve">A CVA-kockázatot fedező index CDS teljes névleges összege.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Sorok</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CVA-kockázat összesen</w:t>
            </w:r>
          </w:p>
          <w:p w:rsidR="000B0B09" w:rsidRPr="00392FFD" w:rsidRDefault="000B0B09" w:rsidP="000B0B09">
            <w:pPr>
              <w:rPr>
                <w:rFonts w:ascii="Times New Roman" w:hAnsi="Times New Roman"/>
                <w:bCs/>
                <w:sz w:val="24"/>
              </w:rPr>
            </w:pPr>
            <w:r>
              <w:rPr>
                <w:rFonts w:ascii="Times New Roman" w:hAnsi="Times New Roman"/>
                <w:sz w:val="24"/>
              </w:rPr>
              <w:t>A 020–040. sor értelemszerű összege.</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 xml:space="preserve">020 </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Fejlett módszer szerint</w:t>
            </w:r>
          </w:p>
          <w:p w:rsidR="000B0B09" w:rsidRPr="00392FFD" w:rsidRDefault="000B0B09" w:rsidP="000B0B09">
            <w:pPr>
              <w:rPr>
                <w:rFonts w:ascii="Times New Roman" w:hAnsi="Times New Roman"/>
                <w:bCs/>
                <w:sz w:val="24"/>
              </w:rPr>
            </w:pPr>
            <w:r>
              <w:rPr>
                <w:rFonts w:ascii="Times New Roman" w:hAnsi="Times New Roman"/>
                <w:sz w:val="24"/>
              </w:rPr>
              <w:t xml:space="preserve">Fejlett CVA-kockázati módszer a CRR 383. cikkének előírásai szerint.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Sztenderd módszer szerint</w:t>
            </w:r>
          </w:p>
          <w:p w:rsidR="000B0B09" w:rsidRPr="00392FFD" w:rsidRDefault="000B0B09" w:rsidP="000B0B09">
            <w:pPr>
              <w:rPr>
                <w:rFonts w:ascii="Times New Roman" w:hAnsi="Times New Roman"/>
                <w:bCs/>
                <w:sz w:val="24"/>
              </w:rPr>
            </w:pPr>
            <w:r>
              <w:rPr>
                <w:rFonts w:ascii="Times New Roman" w:hAnsi="Times New Roman"/>
                <w:sz w:val="24"/>
              </w:rPr>
              <w:t xml:space="preserve">Sztenderd CVA-kockázati módszer a CRR 384. cikkének előírásai szerint.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Eredeti kitettség szerinti módszer (OEM) alapján</w:t>
            </w:r>
          </w:p>
          <w:p w:rsidR="000B0B09" w:rsidRPr="00392FFD" w:rsidRDefault="000B0B09" w:rsidP="00E871FE">
            <w:pPr>
              <w:rPr>
                <w:rFonts w:ascii="Times New Roman" w:hAnsi="Times New Roman"/>
                <w:bCs/>
                <w:sz w:val="24"/>
              </w:rPr>
            </w:pPr>
            <w:r>
              <w:rPr>
                <w:rFonts w:ascii="Times New Roman" w:hAnsi="Times New Roman"/>
                <w:sz w:val="24"/>
              </w:rPr>
              <w:t>A CRR 385. cikkének alkalmazási körébe tartozó összegek.</w:t>
            </w:r>
          </w:p>
        </w:tc>
      </w:tr>
      <w:bookmarkEnd w:id="774"/>
    </w:tbl>
    <w:p w:rsidR="00633DEB" w:rsidRDefault="00633DEB" w:rsidP="00C61FF5">
      <w:pPr>
        <w:rPr>
          <w:rStyle w:val="InstructionsTabelleText"/>
          <w:rFonts w:ascii="Times New Roman" w:hAnsi="Times New Roman"/>
          <w:sz w:val="24"/>
        </w:rPr>
      </w:pPr>
    </w:p>
    <w:p w:rsidR="00995A7F" w:rsidRDefault="00995A7F" w:rsidP="00995A7F">
      <w:pPr>
        <w:pStyle w:val="Instructionsberschrift2"/>
        <w:numPr>
          <w:ilvl w:val="0"/>
          <w:numId w:val="0"/>
        </w:numPr>
        <w:ind w:left="357" w:hanging="357"/>
        <w:rPr>
          <w:rFonts w:ascii="Times New Roman" w:hAnsi="Times New Roman" w:cs="Times New Roman"/>
          <w:sz w:val="24"/>
        </w:rPr>
      </w:pPr>
      <w:bookmarkStart w:id="775" w:name="_Toc516210706"/>
      <w:bookmarkStart w:id="776" w:name="_Toc524014765"/>
      <w:r>
        <w:rPr>
          <w:rFonts w:ascii="Times New Roman" w:hAnsi="Times New Roman"/>
          <w:sz w:val="24"/>
          <w:u w:val="none"/>
        </w:rPr>
        <w:t>6.</w:t>
      </w:r>
      <w:r w:rsidRPr="00406A85">
        <w:rPr>
          <w:u w:val="none"/>
        </w:rPr>
        <w:tab/>
      </w:r>
      <w:r>
        <w:rPr>
          <w:rFonts w:ascii="Times New Roman" w:hAnsi="Times New Roman"/>
          <w:sz w:val="24"/>
        </w:rPr>
        <w:t>Prudens értékelés (PruVal)</w:t>
      </w:r>
      <w:bookmarkEnd w:id="775"/>
      <w:bookmarkEnd w:id="776"/>
    </w:p>
    <w:p w:rsidR="00995A7F" w:rsidRPr="001924F4" w:rsidRDefault="00995A7F" w:rsidP="00995A7F">
      <w:pPr>
        <w:pStyle w:val="Instructionsberschrift2"/>
        <w:numPr>
          <w:ilvl w:val="0"/>
          <w:numId w:val="0"/>
        </w:numPr>
        <w:ind w:left="357" w:hanging="357"/>
        <w:rPr>
          <w:rFonts w:ascii="Times New Roman" w:hAnsi="Times New Roman" w:cs="Times New Roman"/>
          <w:sz w:val="24"/>
          <w:u w:val="none"/>
        </w:rPr>
      </w:pPr>
      <w:bookmarkStart w:id="777" w:name="_Toc516210707"/>
      <w:bookmarkStart w:id="778" w:name="_Toc524014766"/>
      <w:r>
        <w:rPr>
          <w:rFonts w:ascii="Times New Roman" w:hAnsi="Times New Roman"/>
          <w:sz w:val="24"/>
          <w:u w:val="none"/>
        </w:rPr>
        <w:t>6.1.</w:t>
      </w:r>
      <w:r w:rsidRPr="00406A85">
        <w:rPr>
          <w:u w:val="none"/>
        </w:rPr>
        <w:tab/>
      </w:r>
      <w:r>
        <w:rPr>
          <w:rFonts w:ascii="Times New Roman" w:hAnsi="Times New Roman"/>
          <w:sz w:val="24"/>
        </w:rPr>
        <w:t>C 32.01 – Prudens értékelés: Valós értéken értékelt eszközök és kötelezettségek (PruVal 1)</w:t>
      </w:r>
      <w:bookmarkEnd w:id="777"/>
      <w:bookmarkEnd w:id="778"/>
    </w:p>
    <w:p w:rsidR="00995A7F" w:rsidRPr="00EB6E04" w:rsidRDefault="00995A7F" w:rsidP="00995A7F">
      <w:pPr>
        <w:pStyle w:val="Instructionsberschrift2"/>
        <w:numPr>
          <w:ilvl w:val="0"/>
          <w:numId w:val="0"/>
        </w:numPr>
        <w:ind w:left="357" w:hanging="357"/>
        <w:rPr>
          <w:rFonts w:ascii="Times New Roman" w:hAnsi="Times New Roman" w:cs="Times New Roman"/>
          <w:sz w:val="24"/>
          <w:u w:val="none"/>
        </w:rPr>
      </w:pPr>
      <w:bookmarkStart w:id="779" w:name="_Toc516210708"/>
      <w:bookmarkStart w:id="780" w:name="_Toc524014767"/>
      <w:r>
        <w:rPr>
          <w:rFonts w:ascii="Times New Roman" w:hAnsi="Times New Roman"/>
          <w:sz w:val="24"/>
          <w:u w:val="none"/>
        </w:rPr>
        <w:t>6.1.1.</w:t>
      </w:r>
      <w:r w:rsidRPr="00406A85">
        <w:rPr>
          <w:u w:val="none"/>
        </w:rPr>
        <w:tab/>
      </w:r>
      <w:r>
        <w:rPr>
          <w:rFonts w:ascii="Times New Roman" w:hAnsi="Times New Roman"/>
          <w:sz w:val="24"/>
        </w:rPr>
        <w:t>Általános megjegyzések</w:t>
      </w:r>
      <w:bookmarkEnd w:id="779"/>
      <w:bookmarkEnd w:id="780"/>
    </w:p>
    <w:p w:rsidR="00B93FA1" w:rsidRDefault="00995A7F" w:rsidP="001A3980">
      <w:pPr>
        <w:pStyle w:val="InstructionsText2"/>
        <w:numPr>
          <w:ilvl w:val="0"/>
          <w:numId w:val="0"/>
        </w:numPr>
        <w:ind w:left="993"/>
      </w:pPr>
      <w:r>
        <w:t>154a. Ezt a táblát minden intézménynek ki kell töltenie függetlenül attól, hogy a k</w:t>
      </w:r>
      <w:r>
        <w:t>i</w:t>
      </w:r>
      <w:r>
        <w:t>egészítő értékelési korrekciók (AVA) meghatározásához az egyszerűsített módszert alkalmazza-e. Ebben a táblában a valós értéken értékelt eszközök és kötelezettségek abszolút értékét kell feltüntetni annak meghatározásához, hogy teljesülnek-e a prudens értékelésről szóló (EU) 2016/101 felhatalmazáson alapuló rendelet 4. ci</w:t>
      </w:r>
      <w:r>
        <w:t>k</w:t>
      </w:r>
      <w:r>
        <w:t>kében meghatározott azon feltételek, amelyek alapján a kiegészítő értékelési ko</w:t>
      </w:r>
      <w:r>
        <w:t>r</w:t>
      </w:r>
      <w:r>
        <w:t>rekciók meghatározásához az egyszerűsített módszer alkalmazható.</w:t>
      </w:r>
    </w:p>
    <w:p w:rsidR="00995A7F" w:rsidRDefault="00B93FA1" w:rsidP="001A3980">
      <w:pPr>
        <w:pStyle w:val="InstructionsText2"/>
        <w:numPr>
          <w:ilvl w:val="0"/>
          <w:numId w:val="0"/>
        </w:numPr>
        <w:ind w:left="993"/>
      </w:pPr>
      <w:r>
        <w:t>154b. Az egyszerűsített módszert alkalmazó intézmények tekintetében ebben a tá</w:t>
      </w:r>
      <w:r>
        <w:t>b</w:t>
      </w:r>
      <w:r>
        <w:t>lában a CRR 34. és 105. cikke szerint a szavatoló tőkéből levonandó kiegészítő é</w:t>
      </w:r>
      <w:r>
        <w:t>r</w:t>
      </w:r>
      <w:r>
        <w:t>tékelési korrekciók teljes összegét kell megadni, a prudens értékelésről szóló (EU) 2016/101 felhatalmazáson alapuló rendelet 5. cikkében meghatározottak szerint, és az adatot a C 01.00 tábla 290. sorában fel kell tüntetni.</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1" w:name="_Toc516210709"/>
      <w:bookmarkStart w:id="782" w:name="_Toc524014768"/>
      <w:r>
        <w:rPr>
          <w:rFonts w:ascii="Times New Roman" w:hAnsi="Times New Roman"/>
          <w:sz w:val="24"/>
          <w:u w:val="none"/>
        </w:rPr>
        <w:lastRenderedPageBreak/>
        <w:t>6.1.2.</w:t>
      </w:r>
      <w:r w:rsidRPr="00406A85">
        <w:rPr>
          <w:u w:val="none"/>
        </w:rPr>
        <w:tab/>
      </w:r>
      <w:r>
        <w:rPr>
          <w:rFonts w:ascii="Times New Roman" w:hAnsi="Times New Roman"/>
          <w:sz w:val="24"/>
        </w:rPr>
        <w:t>A tábla egyes részeire vonatkozó útmutató</w:t>
      </w:r>
      <w:bookmarkEnd w:id="781"/>
      <w:bookmarkEnd w:id="78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Oszlopok</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VALÓS ÉRTÉKEN ÉRTÉKELT ESZKÖZÖK </w:t>
            </w:r>
            <w:proofErr w:type="gramStart"/>
            <w:r>
              <w:rPr>
                <w:rFonts w:ascii="Times New Roman" w:hAnsi="Times New Roman"/>
                <w:b/>
                <w:caps/>
                <w:sz w:val="24"/>
                <w:u w:val="single"/>
              </w:rPr>
              <w:t>ÉS</w:t>
            </w:r>
            <w:proofErr w:type="gramEnd"/>
            <w:r>
              <w:rPr>
                <w:rFonts w:ascii="Times New Roman" w:hAnsi="Times New Roman"/>
                <w:b/>
                <w:caps/>
                <w:sz w:val="24"/>
                <w:u w:val="single"/>
              </w:rPr>
              <w:t xml:space="preserve"> KÖTELEZETTSÉGEK</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A valós értéken értékelt eszközök és kötelezettségek abszolút értéke, ahogy az az intézmény alkalmazandó számviteli keret szerint elkészített pénzügyi kimutatás</w:t>
            </w:r>
            <w:r>
              <w:rPr>
                <w:rFonts w:ascii="Times New Roman" w:hAnsi="Times New Roman"/>
                <w:sz w:val="24"/>
              </w:rPr>
              <w:t>á</w:t>
            </w:r>
            <w:r>
              <w:rPr>
                <w:rFonts w:ascii="Times New Roman" w:hAnsi="Times New Roman"/>
                <w:sz w:val="24"/>
              </w:rPr>
              <w:t>ban szerepel, a prudens értékelésről szóló (EU) 2016/101 felhatalmazáson alapuló rendelet 4. cikkének (1) bekezdésében említettek szerint, a 4. cikk (2) bekezdése szerinti levonások végrehajtása előtt.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EBBŐL: kereskedési könyv</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A valós értéken értékelt eszközök és kötelezettségek 010. oszlopban feltüntetett abszolút értéke, a kereskedési könyvben lévő pozícióknak megfelelően. </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A CET1 TŐKÉRE GYAKOROLT RÉSZLEGES HATÁS MIATT KIZÁRT, VALÓS ÉRTÉKEN ÉRTÉKELT ESZKÖZÖK </w:t>
            </w:r>
            <w:proofErr w:type="gramStart"/>
            <w:r>
              <w:rPr>
                <w:rFonts w:ascii="Times New Roman" w:hAnsi="Times New Roman"/>
                <w:b/>
                <w:caps/>
                <w:sz w:val="24"/>
                <w:u w:val="single"/>
              </w:rPr>
              <w:t>ÉS</w:t>
            </w:r>
            <w:proofErr w:type="gramEnd"/>
            <w:r>
              <w:rPr>
                <w:rFonts w:ascii="Times New Roman" w:hAnsi="Times New Roman"/>
                <w:b/>
                <w:caps/>
                <w:sz w:val="24"/>
                <w:u w:val="single"/>
              </w:rPr>
              <w:t xml:space="preserve"> KÖTELEZETTSÉGEK</w:t>
            </w:r>
          </w:p>
          <w:p w:rsidR="00B93FA1" w:rsidRPr="00EB6E04" w:rsidRDefault="00B93FA1" w:rsidP="00C11B8D">
            <w:pPr>
              <w:spacing w:beforeLines="60" w:before="144" w:afterLines="60" w:after="144"/>
              <w:rPr>
                <w:rFonts w:ascii="Times New Roman" w:hAnsi="Times New Roman"/>
                <w:b/>
                <w:caps/>
                <w:sz w:val="24"/>
                <w:u w:val="single"/>
              </w:rPr>
            </w:pPr>
            <w:r>
              <w:rPr>
                <w:rFonts w:ascii="Times New Roman" w:hAnsi="Times New Roman"/>
                <w:sz w:val="24"/>
              </w:rPr>
              <w:t>A prudens értékelésről szóló (EU) 2016/101 felhatalmazáson alapuló rendelet 4. cikkének (2) bekezdése szerint kizárt valós értéken értékelt eszközök és kötelezet</w:t>
            </w:r>
            <w:r>
              <w:rPr>
                <w:rFonts w:ascii="Times New Roman" w:hAnsi="Times New Roman"/>
                <w:sz w:val="24"/>
              </w:rPr>
              <w:t>t</w:t>
            </w:r>
            <w:r>
              <w:rPr>
                <w:rFonts w:ascii="Times New Roman" w:hAnsi="Times New Roman"/>
                <w:sz w:val="24"/>
              </w:rPr>
              <w:t>ségek abszolút értéke.</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Pontosan megegyező</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A prudens értékelésről szóló (EU) 2016/101 felhatalmazáson alapuló rendelet 4. cikkének (2) bekezdése szerint kizárt pontosan megegyező, valós értéken értékelt kiegyenlítő eszközök és kötelezettségek.</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Fedezeti elszámolások</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Az alkalmazandó számviteli keret szerint fedezeti elszámolás alá tartozó pozíciók esetében a prudens értékelésről szóló (EU) 2016/101 felhatalmazáson alapuló re</w:t>
            </w:r>
            <w:r>
              <w:rPr>
                <w:rFonts w:ascii="Times New Roman" w:hAnsi="Times New Roman"/>
                <w:sz w:val="24"/>
              </w:rPr>
              <w:t>n</w:t>
            </w:r>
            <w:r>
              <w:rPr>
                <w:rFonts w:ascii="Times New Roman" w:hAnsi="Times New Roman"/>
                <w:sz w:val="24"/>
              </w:rPr>
              <w:t>delet 4. cikke (2) bekezdésének megfelelően a CET1 tőkét befolyásoló értékvált</w:t>
            </w:r>
            <w:r>
              <w:rPr>
                <w:rFonts w:ascii="Times New Roman" w:hAnsi="Times New Roman"/>
                <w:sz w:val="24"/>
              </w:rPr>
              <w:t>o</w:t>
            </w:r>
            <w:r>
              <w:rPr>
                <w:rFonts w:ascii="Times New Roman" w:hAnsi="Times New Roman"/>
                <w:sz w:val="24"/>
              </w:rPr>
              <w:t>zás hatásának mértékéig kizárt valós értéken értékelt eszközök és kötelezettségek abszolút értéke.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EB6E04"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PRUDENCIÁLIS szűrők </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A prudens értékelésről szóló (EU) 2016/101 felhatalmazáson alapuló rendelet 4. cikke (2) bekezdésének megfelelően a CRR 467. és 468. cikkében említett átm</w:t>
            </w:r>
            <w:r>
              <w:rPr>
                <w:rFonts w:ascii="Times New Roman" w:hAnsi="Times New Roman"/>
                <w:sz w:val="24"/>
              </w:rPr>
              <w:t>e</w:t>
            </w:r>
            <w:r>
              <w:rPr>
                <w:rFonts w:ascii="Times New Roman" w:hAnsi="Times New Roman"/>
                <w:sz w:val="24"/>
              </w:rPr>
              <w:t>neti szűrők miatt kizárt valós értéken értékelt eszközök és kötelezettségek abszolút értéke.</w:t>
            </w:r>
          </w:p>
        </w:tc>
      </w:tr>
      <w:tr w:rsidR="00B93FA1" w:rsidRPr="00E60B53" w:rsidTr="00672D2A">
        <w:tc>
          <w:tcPr>
            <w:tcW w:w="1101" w:type="dxa"/>
          </w:tcPr>
          <w:p w:rsidR="00B93FA1" w:rsidRPr="00EB6E04"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Egyéb</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A prudens értékelésről szóló (EU) 2016/101 felhatalmazáson alapuló rendelet 4. cikke (2) bekezdésének megfelelően a számviteli értéküknek a CET1 tőkét csak részben befolyásoló kiigazítása miatt kizárt egyéb pozíciók.</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Ezt a sort azokban a ritka esetekben kell csak kitölteni, amikor a prudens érték</w:t>
            </w:r>
            <w:r>
              <w:rPr>
                <w:rFonts w:ascii="Times New Roman" w:hAnsi="Times New Roman"/>
                <w:sz w:val="24"/>
              </w:rPr>
              <w:t>e</w:t>
            </w:r>
            <w:r>
              <w:rPr>
                <w:rFonts w:ascii="Times New Roman" w:hAnsi="Times New Roman"/>
                <w:sz w:val="24"/>
              </w:rPr>
              <w:t>lésről szóló (EU) 2016/101 felhatalmazáson alapuló rendelet 4. cikke (2) bekezd</w:t>
            </w:r>
            <w:r>
              <w:rPr>
                <w:rFonts w:ascii="Times New Roman" w:hAnsi="Times New Roman"/>
                <w:sz w:val="24"/>
              </w:rPr>
              <w:t>é</w:t>
            </w:r>
            <w:r>
              <w:rPr>
                <w:rFonts w:ascii="Times New Roman" w:hAnsi="Times New Roman"/>
                <w:sz w:val="24"/>
              </w:rPr>
              <w:lastRenderedPageBreak/>
              <w:t>sének megfelelően kizárt elemek nem rendelhetők hozzá a tábla 0030., 0040. vagy 0050. oszlopához.</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Az „egyéb” tételre vonatkozó megjegyzések</w:t>
            </w:r>
            <w:r>
              <w:rPr>
                <w:rFonts w:ascii="Times New Roman" w:hAnsi="Times New Roman"/>
                <w:sz w:val="24"/>
              </w:rPr>
              <w:t xml:space="preserve"> </w:t>
            </w:r>
          </w:p>
          <w:p w:rsidR="00B93FA1" w:rsidRPr="00EB6E04"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Meg kell adni a 0060. oszlopban feltüntetett pozíciók kizárásának fő okait.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 4. CIKK (1) BEKEZDÉSE SZERINTI KÜSZÖBÉRTÉKBE BELETA</w:t>
            </w:r>
            <w:r>
              <w:rPr>
                <w:rFonts w:ascii="Times New Roman" w:hAnsi="Times New Roman"/>
                <w:b/>
                <w:caps/>
                <w:sz w:val="24"/>
                <w:u w:val="single"/>
              </w:rPr>
              <w:t>R</w:t>
            </w:r>
            <w:r>
              <w:rPr>
                <w:rFonts w:ascii="Times New Roman" w:hAnsi="Times New Roman"/>
                <w:b/>
                <w:caps/>
                <w:sz w:val="24"/>
                <w:u w:val="single"/>
              </w:rPr>
              <w:t xml:space="preserve">TOZÓ VALÓS ÉRTÉKEN ÉRTÉKELT ESZKÖZÖK </w:t>
            </w:r>
            <w:proofErr w:type="gramStart"/>
            <w:r>
              <w:rPr>
                <w:rFonts w:ascii="Times New Roman" w:hAnsi="Times New Roman"/>
                <w:b/>
                <w:caps/>
                <w:sz w:val="24"/>
                <w:u w:val="single"/>
              </w:rPr>
              <w:t>ÉS</w:t>
            </w:r>
            <w:proofErr w:type="gramEnd"/>
            <w:r>
              <w:rPr>
                <w:rFonts w:ascii="Times New Roman" w:hAnsi="Times New Roman"/>
                <w:b/>
                <w:caps/>
                <w:sz w:val="24"/>
                <w:u w:val="single"/>
              </w:rPr>
              <w:t xml:space="preserve"> KÖTELEZET</w:t>
            </w:r>
            <w:r>
              <w:rPr>
                <w:rFonts w:ascii="Times New Roman" w:hAnsi="Times New Roman"/>
                <w:b/>
                <w:caps/>
                <w:sz w:val="24"/>
                <w:u w:val="single"/>
              </w:rPr>
              <w:t>T</w:t>
            </w:r>
            <w:r>
              <w:rPr>
                <w:rFonts w:ascii="Times New Roman" w:hAnsi="Times New Roman"/>
                <w:b/>
                <w:caps/>
                <w:sz w:val="24"/>
                <w:u w:val="single"/>
              </w:rPr>
              <w:t>SÉGEK</w:t>
            </w:r>
          </w:p>
          <w:p w:rsidR="00B93FA1" w:rsidRPr="00EB6E04" w:rsidRDefault="00B93FA1" w:rsidP="00733B77">
            <w:pPr>
              <w:spacing w:beforeLines="60" w:before="144" w:afterLines="60" w:after="144"/>
              <w:rPr>
                <w:rFonts w:ascii="Times New Roman" w:hAnsi="Times New Roman"/>
                <w:b/>
                <w:caps/>
                <w:sz w:val="24"/>
                <w:u w:val="single"/>
              </w:rPr>
            </w:pPr>
            <w:r>
              <w:rPr>
                <w:rFonts w:ascii="Times New Roman" w:hAnsi="Times New Roman"/>
                <w:sz w:val="24"/>
              </w:rPr>
              <w:t>A prudens értékelésről szóló (EU) 2016/101 felhatalmazáson alapuló rendelet 4. cikke (1) bekezdésének megfelelően a küszöbérték számításába ténylegesen b</w:t>
            </w:r>
            <w:r>
              <w:rPr>
                <w:rFonts w:ascii="Times New Roman" w:hAnsi="Times New Roman"/>
                <w:sz w:val="24"/>
              </w:rPr>
              <w:t>e</w:t>
            </w:r>
            <w:r>
              <w:rPr>
                <w:rFonts w:ascii="Times New Roman" w:hAnsi="Times New Roman"/>
                <w:sz w:val="24"/>
              </w:rPr>
              <w:t>vont valós értéken értékelt eszközök és kötelezettségek abszolút értéke.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EBBŐL: kereskedési könyv</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A valós értéken értékelt eszközök és kötelezettségek 0080. oszlopban feltüntetett abszolút értéke, a kereskedési könyvben lévő pozícióknak megfelelően.</w:t>
            </w:r>
          </w:p>
        </w:tc>
      </w:tr>
    </w:tbl>
    <w:p w:rsidR="00E60B5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Sorok</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E kategóriák definícióinak illeszkedniük kell az 1.1. és 1.2. FINREP tábla megf</w:t>
            </w:r>
            <w:r>
              <w:rPr>
                <w:rFonts w:ascii="Times New Roman" w:hAnsi="Times New Roman"/>
                <w:sz w:val="24"/>
              </w:rPr>
              <w:t>e</w:t>
            </w:r>
            <w:r>
              <w:rPr>
                <w:rFonts w:ascii="Times New Roman" w:hAnsi="Times New Roman"/>
                <w:sz w:val="24"/>
              </w:rPr>
              <w:t xml:space="preserve">lelő sorainak definícióihoz.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VALÓS ÉRTÉKEN ÉRTÉKELT ESZKÖZÖK </w:t>
            </w:r>
            <w:proofErr w:type="gramStart"/>
            <w:r>
              <w:rPr>
                <w:rFonts w:ascii="Times New Roman" w:hAnsi="Times New Roman"/>
                <w:b/>
                <w:sz w:val="24"/>
                <w:u w:val="single"/>
              </w:rPr>
              <w:t>ÉS</w:t>
            </w:r>
            <w:proofErr w:type="gramEnd"/>
            <w:r>
              <w:rPr>
                <w:rFonts w:ascii="Times New Roman" w:hAnsi="Times New Roman"/>
                <w:b/>
                <w:sz w:val="24"/>
                <w:u w:val="single"/>
              </w:rPr>
              <w:t xml:space="preserve"> KÖTELEZETTS</w:t>
            </w:r>
            <w:r>
              <w:rPr>
                <w:rFonts w:ascii="Times New Roman" w:hAnsi="Times New Roman"/>
                <w:b/>
                <w:sz w:val="24"/>
                <w:u w:val="single"/>
              </w:rPr>
              <w:t>É</w:t>
            </w:r>
            <w:r>
              <w:rPr>
                <w:rFonts w:ascii="Times New Roman" w:hAnsi="Times New Roman"/>
                <w:b/>
                <w:sz w:val="24"/>
                <w:u w:val="single"/>
              </w:rPr>
              <w:t>GEK ÖSSZESEN</w:t>
            </w:r>
          </w:p>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sz w:val="24"/>
              </w:rPr>
              <w:t>A 20–210. sorban feltüntetett valós értéken értékelt eszközök és kötelezettségek teljes összege.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VALÓS ÉRTÉKEN ÉRTÉKELT ESZKÖZÖK ÖSSZESEN</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A 0030–0140. sorban feltüntetett valós értéken értékelt eszközök teljes összege. </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A 0030–0130. sorok releváns mezőit az e rendelet III. és IV: mellékletének FINREP F 01.01. táblájával összhangban kell kitölteni, az intézmény alkalmaza</w:t>
            </w:r>
            <w:r>
              <w:rPr>
                <w:rFonts w:ascii="Times New Roman" w:hAnsi="Times New Roman"/>
                <w:sz w:val="24"/>
              </w:rPr>
              <w:t>n</w:t>
            </w:r>
            <w:r>
              <w:rPr>
                <w:rFonts w:ascii="Times New Roman" w:hAnsi="Times New Roman"/>
                <w:sz w:val="24"/>
              </w:rPr>
              <w:t xml:space="preserve">dó standardjai függvényében: </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az 1606/2002/EU rendelet alkalmazásában az Unió által jóváhagyott IFRS („EU IFRS”)</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az EU IFRS standardokkal kompatibilis nemzeti számviteli standardok („IFRS-kompatibilis nemzeti GAAP”) vagy</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a 86/635/EK (BAD) irányelven alapuló nemzeti GAAP (FINREP „BAD ala</w:t>
            </w:r>
            <w:r>
              <w:rPr>
                <w:rFonts w:ascii="Times New Roman" w:hAnsi="Times New Roman"/>
                <w:sz w:val="24"/>
              </w:rPr>
              <w:t>p</w:t>
            </w:r>
            <w:r>
              <w:rPr>
                <w:rFonts w:ascii="Times New Roman" w:hAnsi="Times New Roman"/>
                <w:sz w:val="24"/>
              </w:rPr>
              <w:t>ján kidolgozott nemzeti GAAP”).</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KERESKEDÉSI CÉLLAL TARTOTT PÉNZÜGYI ESZKÖZÖK</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9 </w:t>
            </w:r>
            <w:proofErr w:type="gramStart"/>
            <w:r>
              <w:rPr>
                <w:rFonts w:ascii="Times New Roman" w:hAnsi="Times New Roman"/>
                <w:sz w:val="24"/>
              </w:rPr>
              <w:t>A</w:t>
            </w:r>
            <w:proofErr w:type="gramEnd"/>
            <w:r>
              <w:rPr>
                <w:rFonts w:ascii="Times New Roman" w:hAnsi="Times New Roman"/>
                <w:sz w:val="24"/>
              </w:rPr>
              <w:t>. függelék.</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Az ebben a sorban feltüntetett információ megfelel az e rendelet III. és IV. mellé</w:t>
            </w:r>
            <w:r>
              <w:rPr>
                <w:rFonts w:ascii="Times New Roman" w:hAnsi="Times New Roman"/>
                <w:sz w:val="24"/>
              </w:rPr>
              <w:t>k</w:t>
            </w:r>
            <w:r>
              <w:rPr>
                <w:rFonts w:ascii="Times New Roman" w:hAnsi="Times New Roman"/>
                <w:sz w:val="24"/>
              </w:rPr>
              <w:lastRenderedPageBreak/>
              <w:t>lete F 01.01. táblája 050. sorának.</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KERESKEDÉSI CÉLÚ PÉNZÜGYI ESZKÖZÖK</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BAD 32–33. cikke; V. melléklet 1. részének 17. pontja.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rendelet III. és IV. mellé</w:t>
            </w:r>
            <w:r>
              <w:rPr>
                <w:rFonts w:ascii="Times New Roman" w:hAnsi="Times New Roman"/>
                <w:sz w:val="24"/>
              </w:rPr>
              <w:t>k</w:t>
            </w:r>
            <w:r>
              <w:rPr>
                <w:rFonts w:ascii="Times New Roman" w:hAnsi="Times New Roman"/>
                <w:sz w:val="24"/>
              </w:rPr>
              <w:t>lete F 01.01. táblája 091. sorának.</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1.1.3. KÖTELEZŐEN AZ EREDMÉNNYEL SZEMBEN VALÓS ÉRT</w:t>
            </w:r>
            <w:r>
              <w:rPr>
                <w:rFonts w:ascii="Times New Roman" w:hAnsi="Times New Roman"/>
                <w:b/>
                <w:sz w:val="24"/>
                <w:u w:val="single"/>
              </w:rPr>
              <w:t>É</w:t>
            </w:r>
            <w:r>
              <w:rPr>
                <w:rFonts w:ascii="Times New Roman" w:hAnsi="Times New Roman"/>
                <w:b/>
                <w:sz w:val="24"/>
                <w:u w:val="single"/>
              </w:rPr>
              <w:t xml:space="preserve">KEN ÉRTÉKELT, NEM KERESKEDÉSI CÉLÚ PÉNZÜGYI ESZKÖZÖK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 8. bekezdésének a) ii. pontja; IFRS 9 4.1.4. bekezdése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rendelet III. és IV. mellé</w:t>
            </w:r>
            <w:r>
              <w:rPr>
                <w:rFonts w:ascii="Times New Roman" w:hAnsi="Times New Roman"/>
                <w:sz w:val="24"/>
              </w:rPr>
              <w:t>k</w:t>
            </w:r>
            <w:r>
              <w:rPr>
                <w:rFonts w:ascii="Times New Roman" w:hAnsi="Times New Roman"/>
                <w:sz w:val="24"/>
              </w:rPr>
              <w:t>lete F 01.01. táblája 096. sorának.</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AZ EREDMÉNNYEL SZEMBEN VALÓS ÉRTÉKEN ÉRTÉKEL</w:t>
            </w:r>
            <w:r>
              <w:rPr>
                <w:rFonts w:ascii="Times New Roman" w:hAnsi="Times New Roman"/>
                <w:b/>
                <w:sz w:val="24"/>
                <w:u w:val="single"/>
              </w:rPr>
              <w:t>T</w:t>
            </w:r>
            <w:r>
              <w:rPr>
                <w:rFonts w:ascii="Times New Roman" w:hAnsi="Times New Roman"/>
                <w:b/>
                <w:sz w:val="24"/>
                <w:u w:val="single"/>
              </w:rPr>
              <w:t>NEK MEGJELÖLT PÉNZÜGYI ESZKÖZÖK</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 8. bekezdésének a) i. pontja; IFRS 9 4.1.5. bekezdése a számviteli irányelv 8. cikke (1) bekezdésének a) pontja és (6) bekezdése.</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Az ebben a sorban feltüntetett információ megfelel az e rendelet III. és IV. mellé</w:t>
            </w:r>
            <w:r>
              <w:rPr>
                <w:rFonts w:ascii="Times New Roman" w:hAnsi="Times New Roman"/>
                <w:sz w:val="24"/>
              </w:rPr>
              <w:t>k</w:t>
            </w:r>
            <w:r>
              <w:rPr>
                <w:rFonts w:ascii="Times New Roman" w:hAnsi="Times New Roman"/>
                <w:sz w:val="24"/>
              </w:rPr>
              <w:t>lete F 01.01. táblája 100. sorának.</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AZ EGYÉB ÁTFOGÓ JÖVEDELEMMEL SZEMBEN VALÓS É</w:t>
            </w:r>
            <w:r>
              <w:rPr>
                <w:rFonts w:ascii="Times New Roman" w:hAnsi="Times New Roman"/>
                <w:b/>
                <w:sz w:val="24"/>
                <w:u w:val="single"/>
              </w:rPr>
              <w:t>R</w:t>
            </w:r>
            <w:r>
              <w:rPr>
                <w:rFonts w:ascii="Times New Roman" w:hAnsi="Times New Roman"/>
                <w:b/>
                <w:sz w:val="24"/>
                <w:u w:val="single"/>
              </w:rPr>
              <w:t>TÉKEN ÉRTÉKELT PÉNZÜGYI ESZKÖZÖK</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 8. bekezdésének h) pontja; IFRS 9 4.1.2A. bekezdése.</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Az ebben a sorban feltüntetett információ megfelel az e rendelet III. és IV. mellé</w:t>
            </w:r>
            <w:r>
              <w:rPr>
                <w:rFonts w:ascii="Times New Roman" w:hAnsi="Times New Roman"/>
                <w:sz w:val="24"/>
              </w:rPr>
              <w:t>k</w:t>
            </w:r>
            <w:r>
              <w:rPr>
                <w:rFonts w:ascii="Times New Roman" w:hAnsi="Times New Roman"/>
                <w:sz w:val="24"/>
              </w:rPr>
              <w:t>lete F 01.01. táblája 141. sorának.</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AZ EREDMÉNNYEL SZEMBEN VALÓS ÉRTÉKEN ÉRTÉKELT, NEM KERESKEDÉSI CÉLÚ, NEM SZÁRMAZTATOTT PÉNZÜGYI ESZKÖZÖK</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BAD 36. cikkének (2) bekezdése.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rendelet III. és IV. mellé</w:t>
            </w:r>
            <w:r>
              <w:rPr>
                <w:rFonts w:ascii="Times New Roman" w:hAnsi="Times New Roman"/>
                <w:sz w:val="24"/>
              </w:rPr>
              <w:t>k</w:t>
            </w:r>
            <w:r>
              <w:rPr>
                <w:rFonts w:ascii="Times New Roman" w:hAnsi="Times New Roman"/>
                <w:sz w:val="24"/>
              </w:rPr>
              <w:t>lete F 01.01. táblája 171. sorának.</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A SAJÁT TŐKÉVEL SZEMBEN VALÓS ÉRTÉKEN ÉRTÉKELT, NEM KERESKEDÉSI CÉLÚ, NEM SZÁRMAZTATOTT PÉNZÜGYI ESZKÖZÖK</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A számviteli irányelv 8. cikke (1) bekezdésének a) pontja és (8) bekezdése.</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rendelet III. és IV. mellé</w:t>
            </w:r>
            <w:r>
              <w:rPr>
                <w:rFonts w:ascii="Times New Roman" w:hAnsi="Times New Roman"/>
                <w:sz w:val="24"/>
              </w:rPr>
              <w:t>k</w:t>
            </w:r>
            <w:r>
              <w:rPr>
                <w:rFonts w:ascii="Times New Roman" w:hAnsi="Times New Roman"/>
                <w:sz w:val="24"/>
              </w:rPr>
              <w:t>lete F 01.01. táblája 175. sorának.</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EGYÉB NEM KERESKEDÉSI CÉLÚ, NEM SZÁRMAZTATOTT PÉNZÜGYI ESZKÖZÖK</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BAD 37. cikke; a számviteli irányelv 12. cikkének (7) bekezdése; V. melléklet 1. </w:t>
            </w:r>
            <w:r>
              <w:rPr>
                <w:rFonts w:ascii="Times New Roman" w:hAnsi="Times New Roman"/>
                <w:sz w:val="24"/>
              </w:rPr>
              <w:lastRenderedPageBreak/>
              <w:t>részének 20. pontja.</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rendelet III. és IV. mellé</w:t>
            </w:r>
            <w:r>
              <w:rPr>
                <w:rFonts w:ascii="Times New Roman" w:hAnsi="Times New Roman"/>
                <w:sz w:val="24"/>
              </w:rPr>
              <w:t>k</w:t>
            </w:r>
            <w:r>
              <w:rPr>
                <w:rFonts w:ascii="Times New Roman" w:hAnsi="Times New Roman"/>
                <w:sz w:val="24"/>
              </w:rPr>
              <w:t>lete F 01.01. táblája 234. sorának.</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SZÁRMAZTATOTT ÜGYLETEK – FEDEZETI ELSZÁMOLÁSOK</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9 6.2.1 bekezdése; V. melléklet 1. részének 22. pontja; a számviteli irányelv 8. cikke (1) bekezdésének a) pontja, (6) és (8) bekezdése; IAS 39 9. bekezdése; V. melléklet 1. részének 22. pontja.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Az ebben a sorban feltüntetett információ megfelel az e rendelet III. és IV. mellé</w:t>
            </w:r>
            <w:r>
              <w:rPr>
                <w:rFonts w:ascii="Times New Roman" w:hAnsi="Times New Roman"/>
                <w:sz w:val="24"/>
              </w:rPr>
              <w:t>k</w:t>
            </w:r>
            <w:r>
              <w:rPr>
                <w:rFonts w:ascii="Times New Roman" w:hAnsi="Times New Roman"/>
                <w:sz w:val="24"/>
              </w:rPr>
              <w:t>lete F 01.01. táblája 240. sorának.</w:t>
            </w:r>
          </w:p>
        </w:tc>
      </w:tr>
      <w:tr w:rsidR="00B93FA1" w:rsidRPr="00E60B53" w:rsidTr="00672D2A">
        <w:tc>
          <w:tcPr>
            <w:tcW w:w="1101" w:type="dxa"/>
          </w:tcPr>
          <w:p w:rsidR="00B93FA1" w:rsidRPr="00EB6E04"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KAMATLÁBKOCKÁZATRA VONATKOZÓ PORTFÓLIÓFEDEZETI ÜGYLET SORÁN FEDEZETT TÉTELEK V</w:t>
            </w:r>
            <w:r>
              <w:rPr>
                <w:rFonts w:ascii="Times New Roman" w:hAnsi="Times New Roman"/>
                <w:b/>
                <w:sz w:val="24"/>
                <w:u w:val="single"/>
              </w:rPr>
              <w:t>A</w:t>
            </w:r>
            <w:r>
              <w:rPr>
                <w:rFonts w:ascii="Times New Roman" w:hAnsi="Times New Roman"/>
                <w:b/>
                <w:sz w:val="24"/>
                <w:u w:val="single"/>
              </w:rPr>
              <w:t>LÓS ÉRTÉKÉNEK VÁLTOZÁSA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IAS 39 89A. bekezdésének a) pontja; IFRS 9 6.5.8. bekezdése; a számviteli irán</w:t>
            </w:r>
            <w:r>
              <w:rPr>
                <w:rFonts w:ascii="Times New Roman" w:hAnsi="Times New Roman"/>
                <w:sz w:val="24"/>
              </w:rPr>
              <w:t>y</w:t>
            </w:r>
            <w:r>
              <w:rPr>
                <w:rFonts w:ascii="Times New Roman" w:hAnsi="Times New Roman"/>
                <w:sz w:val="24"/>
              </w:rPr>
              <w:t>elv 8. cikke (5) bekezdése és (6) bekezdése.</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rendelet III. és IV. mellé</w:t>
            </w:r>
            <w:r>
              <w:rPr>
                <w:rFonts w:ascii="Times New Roman" w:hAnsi="Times New Roman"/>
                <w:sz w:val="24"/>
              </w:rPr>
              <w:t>k</w:t>
            </w:r>
            <w:r>
              <w:rPr>
                <w:rFonts w:ascii="Times New Roman" w:hAnsi="Times New Roman"/>
                <w:sz w:val="24"/>
              </w:rPr>
              <w:t>lete F 01.01. táblája 250. sorának.</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1.1.11. LEÁNYVÁLLALATOKBAN, KÖZÖS VÁLLALKOZÁSOKBAN </w:t>
            </w:r>
            <w:proofErr w:type="gramStart"/>
            <w:r>
              <w:rPr>
                <w:rFonts w:ascii="Times New Roman" w:hAnsi="Times New Roman"/>
                <w:b/>
                <w:sz w:val="24"/>
                <w:u w:val="single"/>
              </w:rPr>
              <w:t>ÉS</w:t>
            </w:r>
            <w:proofErr w:type="gramEnd"/>
            <w:r>
              <w:rPr>
                <w:rFonts w:ascii="Times New Roman" w:hAnsi="Times New Roman"/>
                <w:b/>
                <w:sz w:val="24"/>
                <w:u w:val="single"/>
              </w:rPr>
              <w:t xml:space="preserve"> TÁRSULT VÁLLALKOZÁSOKBAN LÉVŐ BEFEKTETÉSEK</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IAS 1 54. bekezdésének e) pontja; V. melléklet 1. részének 21. pontja, 2. részének 4. pontja; BAD 4. cikke Eszközök 7–8. pont; a számviteli irányelv 2. cikkének (2) bekezdése. </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rendelet III. és IV. mellé</w:t>
            </w:r>
            <w:r>
              <w:rPr>
                <w:rFonts w:ascii="Times New Roman" w:hAnsi="Times New Roman"/>
                <w:sz w:val="24"/>
              </w:rPr>
              <w:t>k</w:t>
            </w:r>
            <w:r>
              <w:rPr>
                <w:rFonts w:ascii="Times New Roman" w:hAnsi="Times New Roman"/>
                <w:sz w:val="24"/>
              </w:rPr>
              <w:t>lete F 01.01. táblája 260. sorának.</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VALÓS ÉRTÉKEN ÉRTÉKELT, KERESKEDÉSI CÉLÚ ES</w:t>
            </w:r>
            <w:r>
              <w:rPr>
                <w:rFonts w:ascii="Times New Roman" w:hAnsi="Times New Roman"/>
                <w:b/>
                <w:sz w:val="24"/>
                <w:u w:val="single"/>
              </w:rPr>
              <w:t>Z</w:t>
            </w:r>
            <w:r>
              <w:rPr>
                <w:rFonts w:ascii="Times New Roman" w:hAnsi="Times New Roman"/>
                <w:b/>
                <w:sz w:val="24"/>
                <w:u w:val="single"/>
              </w:rPr>
              <w:t>KÖZÖKRE VONATKOZÓ HAIRCUTOK</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V. melléklet 1. részének 29. pontja.</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rendelet III. és IV. mellé</w:t>
            </w:r>
            <w:r>
              <w:rPr>
                <w:rFonts w:ascii="Times New Roman" w:hAnsi="Times New Roman"/>
                <w:sz w:val="24"/>
              </w:rPr>
              <w:t>k</w:t>
            </w:r>
            <w:r>
              <w:rPr>
                <w:rFonts w:ascii="Times New Roman" w:hAnsi="Times New Roman"/>
                <w:sz w:val="24"/>
              </w:rPr>
              <w:t>lete F 01.01. táblája 375. sorának.</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 VALÓS ÉRTÉKEN ÉR</w:t>
            </w:r>
            <w:r w:rsidR="008D530A">
              <w:rPr>
                <w:rFonts w:ascii="Times New Roman" w:hAnsi="Times New Roman"/>
                <w:b/>
                <w:sz w:val="24"/>
                <w:u w:val="single"/>
              </w:rPr>
              <w:t>TÉKELT KÖTELEZETTSÉGEK ÖSSZESEN</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A 0160–0210. sorban feltüntetett valós értéken értékelt kötelezettségek teljes ö</w:t>
            </w:r>
            <w:r>
              <w:rPr>
                <w:rFonts w:ascii="Times New Roman" w:hAnsi="Times New Roman"/>
                <w:sz w:val="24"/>
              </w:rPr>
              <w:t>s</w:t>
            </w:r>
            <w:r>
              <w:rPr>
                <w:rFonts w:ascii="Times New Roman" w:hAnsi="Times New Roman"/>
                <w:sz w:val="24"/>
              </w:rPr>
              <w:t>szege.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A 0150–0190. sorok releváns mezőit az e rendelet III. és IV: mellékletének FINREP F 01.02. táblájával összhangban kell kitölteni, az intézmény alkalmaza</w:t>
            </w:r>
            <w:r>
              <w:rPr>
                <w:rFonts w:ascii="Times New Roman" w:hAnsi="Times New Roman"/>
                <w:sz w:val="24"/>
              </w:rPr>
              <w:t>n</w:t>
            </w:r>
            <w:r>
              <w:rPr>
                <w:rFonts w:ascii="Times New Roman" w:hAnsi="Times New Roman"/>
                <w:sz w:val="24"/>
              </w:rPr>
              <w:t xml:space="preserve">dó standardjai függvényében: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az 1606/2002/EU rendelet alkalmazásában az Unió által jóváhagyott IFRS („EU IFRS”)</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az EU IFRS standardokkal kompatibilis nemzeti számviteli standardok </w:t>
            </w:r>
            <w:r>
              <w:rPr>
                <w:rFonts w:ascii="Times New Roman" w:hAnsi="Times New Roman"/>
                <w:sz w:val="24"/>
              </w:rPr>
              <w:lastRenderedPageBreak/>
              <w:t xml:space="preserve">(„IFRS-kompatibilis nemzeti GAAP”)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vagy a 86/635/EK (BAD) irányelven alapuló nemzeti GAAP (FINREP „BAD alapján kidolgozott nemzeti GAAP”).</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KERESKEDÉSI CÉLLAL TARTOTT PÉNZÜGYI KÖTELEZET</w:t>
            </w:r>
            <w:r>
              <w:rPr>
                <w:rFonts w:ascii="Times New Roman" w:hAnsi="Times New Roman"/>
                <w:b/>
                <w:sz w:val="24"/>
                <w:u w:val="single"/>
              </w:rPr>
              <w:t>T</w:t>
            </w:r>
            <w:r>
              <w:rPr>
                <w:rFonts w:ascii="Times New Roman" w:hAnsi="Times New Roman"/>
                <w:b/>
                <w:sz w:val="24"/>
                <w:u w:val="single"/>
              </w:rPr>
              <w:t>SÉGEK</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 8. bekezdésének e) ii. pontja; IFRS 9 BA.6. bekezdése.</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Az ebben a sorban feltüntetett információ megfelel az e rendelet III. és IV. mellé</w:t>
            </w:r>
            <w:r>
              <w:rPr>
                <w:rFonts w:ascii="Times New Roman" w:hAnsi="Times New Roman"/>
                <w:sz w:val="24"/>
              </w:rPr>
              <w:t>k</w:t>
            </w:r>
            <w:r>
              <w:rPr>
                <w:rFonts w:ascii="Times New Roman" w:hAnsi="Times New Roman"/>
                <w:sz w:val="24"/>
              </w:rPr>
              <w:t>lete F 01.02. táblája 010. sorának.</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KERESKEDÉSI CÉLÚ PÉNZÜGYI KÖTELEZETTSÉGEK</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A számviteli irányelv 8. cikke (1) bekezdésének a) pontja, (3) és (6) bekezdése.</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rendelet III. és IV. mellé</w:t>
            </w:r>
            <w:r>
              <w:rPr>
                <w:rFonts w:ascii="Times New Roman" w:hAnsi="Times New Roman"/>
                <w:sz w:val="24"/>
              </w:rPr>
              <w:t>k</w:t>
            </w:r>
            <w:r>
              <w:rPr>
                <w:rFonts w:ascii="Times New Roman" w:hAnsi="Times New Roman"/>
                <w:sz w:val="24"/>
              </w:rPr>
              <w:t>lete F 01.02. táblája 061. sorának.</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AZ EREDMÉNNYEL SZEMBEN VALÓS ÉRTÉKEN ÉRTÉKEL</w:t>
            </w:r>
            <w:r>
              <w:rPr>
                <w:rFonts w:ascii="Times New Roman" w:hAnsi="Times New Roman"/>
                <w:b/>
                <w:sz w:val="24"/>
                <w:u w:val="single"/>
              </w:rPr>
              <w:t>T</w:t>
            </w:r>
            <w:r>
              <w:rPr>
                <w:rFonts w:ascii="Times New Roman" w:hAnsi="Times New Roman"/>
                <w:b/>
                <w:sz w:val="24"/>
                <w:u w:val="single"/>
              </w:rPr>
              <w:t>NEK MEGJELÖLT PÉNZÜGYI KÖTELEZETTSÉGEK</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 8. bekezdésének e) i. pontja IFRS 9 4.2.2. bekezdése;</w:t>
            </w:r>
            <w:r>
              <w:rPr>
                <w:sz w:val="24"/>
              </w:rPr>
              <w:t xml:space="preserve"> </w:t>
            </w:r>
            <w:proofErr w:type="gramStart"/>
            <w:r>
              <w:rPr>
                <w:rFonts w:ascii="Times New Roman" w:hAnsi="Times New Roman"/>
                <w:sz w:val="24"/>
              </w:rPr>
              <w:t>A</w:t>
            </w:r>
            <w:proofErr w:type="gramEnd"/>
            <w:r>
              <w:rPr>
                <w:rFonts w:ascii="Times New Roman" w:hAnsi="Times New Roman"/>
                <w:sz w:val="24"/>
              </w:rPr>
              <w:t xml:space="preserve"> számviteli irán</w:t>
            </w:r>
            <w:r>
              <w:rPr>
                <w:rFonts w:ascii="Times New Roman" w:hAnsi="Times New Roman"/>
                <w:sz w:val="24"/>
              </w:rPr>
              <w:t>y</w:t>
            </w:r>
            <w:r>
              <w:rPr>
                <w:rFonts w:ascii="Times New Roman" w:hAnsi="Times New Roman"/>
                <w:sz w:val="24"/>
              </w:rPr>
              <w:t xml:space="preserve">elv 8. cikke (1) bekezdésének a) pontja és (6) bekezdése; IAS 39 9. bekezdése.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Az ebben a sorban feltüntetett információ megfelel az e rendelet III. és IV. mellé</w:t>
            </w:r>
            <w:r>
              <w:rPr>
                <w:rFonts w:ascii="Times New Roman" w:hAnsi="Times New Roman"/>
                <w:sz w:val="24"/>
              </w:rPr>
              <w:t>k</w:t>
            </w:r>
            <w:r>
              <w:rPr>
                <w:rFonts w:ascii="Times New Roman" w:hAnsi="Times New Roman"/>
                <w:sz w:val="24"/>
              </w:rPr>
              <w:t>lete F 01.02. táblája 070. sorának.</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SZÁRMAZTATOTT ÜGYLETEK – FEDEZETI ELSZÁMOLÁSOK</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9 6.2.1. bekezdése; V. melléklet 1. részének 26. pontja; a számviteli irányelv 8. cikke (1) bekezdésének a) pontja, (6) bekezdése és (8) bekezdésének a) pontja.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Az ebben a sorban feltüntetett információ megfelel az e rendelet III. és IV. mellé</w:t>
            </w:r>
            <w:r>
              <w:rPr>
                <w:rFonts w:ascii="Times New Roman" w:hAnsi="Times New Roman"/>
                <w:sz w:val="24"/>
              </w:rPr>
              <w:t>k</w:t>
            </w:r>
            <w:r>
              <w:rPr>
                <w:rFonts w:ascii="Times New Roman" w:hAnsi="Times New Roman"/>
                <w:sz w:val="24"/>
              </w:rPr>
              <w:t>lete F 01.02. táblája 150. sorának.</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KAMATLÁBKOCKÁZATRA VONATKOZÓ PORTFÓLIÓFEDEZETI ÜGYLET SORÁN FEDEZETT TÉTELEK V</w:t>
            </w:r>
            <w:r>
              <w:rPr>
                <w:rFonts w:ascii="Times New Roman" w:hAnsi="Times New Roman"/>
                <w:b/>
                <w:sz w:val="24"/>
                <w:u w:val="single"/>
              </w:rPr>
              <w:t>A</w:t>
            </w:r>
            <w:r>
              <w:rPr>
                <w:rFonts w:ascii="Times New Roman" w:hAnsi="Times New Roman"/>
                <w:b/>
                <w:sz w:val="24"/>
                <w:u w:val="single"/>
              </w:rPr>
              <w:t>LÓS ÉRTÉKÉNEK VÁLTOZÁSA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IAS 39 89A. bekezdésének b) pontja, IFRS 9 6.5.8. bekezdése; a számviteli irán</w:t>
            </w:r>
            <w:r>
              <w:rPr>
                <w:rFonts w:ascii="Times New Roman" w:hAnsi="Times New Roman"/>
                <w:sz w:val="24"/>
              </w:rPr>
              <w:t>y</w:t>
            </w:r>
            <w:r>
              <w:rPr>
                <w:rFonts w:ascii="Times New Roman" w:hAnsi="Times New Roman"/>
                <w:sz w:val="24"/>
              </w:rPr>
              <w:t>elv 8. cikkének (5) bekezdése és (6) bekezdése; V. melléklet 2. részének 8. pontja.</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rendelet III. és IV. mellé</w:t>
            </w:r>
            <w:r>
              <w:rPr>
                <w:rFonts w:ascii="Times New Roman" w:hAnsi="Times New Roman"/>
                <w:sz w:val="24"/>
              </w:rPr>
              <w:t>k</w:t>
            </w:r>
            <w:r>
              <w:rPr>
                <w:rFonts w:ascii="Times New Roman" w:hAnsi="Times New Roman"/>
                <w:sz w:val="24"/>
              </w:rPr>
              <w:t>lete F 01.02. táblája 160. sorának.</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VALÓS ÉRTÉKEN ÉRTÉKELT, KERESKEDÉSI CÉLÚ KÖTEL</w:t>
            </w:r>
            <w:r>
              <w:rPr>
                <w:rFonts w:ascii="Times New Roman" w:hAnsi="Times New Roman"/>
                <w:b/>
                <w:sz w:val="24"/>
                <w:u w:val="single"/>
              </w:rPr>
              <w:t>E</w:t>
            </w:r>
            <w:r>
              <w:rPr>
                <w:rFonts w:ascii="Times New Roman" w:hAnsi="Times New Roman"/>
                <w:b/>
                <w:sz w:val="24"/>
                <w:u w:val="single"/>
              </w:rPr>
              <w:t>ZETTSÉGEKRE VONATKOZÓ HAIRCUTOK</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V. melléklet 1. részének 29. pontja.</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rendelet III. és IV. mellé</w:t>
            </w:r>
            <w:r>
              <w:rPr>
                <w:rFonts w:ascii="Times New Roman" w:hAnsi="Times New Roman"/>
                <w:sz w:val="24"/>
              </w:rPr>
              <w:t>k</w:t>
            </w:r>
            <w:r>
              <w:rPr>
                <w:rFonts w:ascii="Times New Roman" w:hAnsi="Times New Roman"/>
                <w:sz w:val="24"/>
              </w:rPr>
              <w:t>lete F 01.02. táblája 295. sorának.</w:t>
            </w:r>
          </w:p>
        </w:tc>
      </w:tr>
    </w:tbl>
    <w:p w:rsidR="00995A7F" w:rsidRDefault="00995A7F" w:rsidP="00C61FF5">
      <w:pPr>
        <w:rPr>
          <w:rStyle w:val="InstructionsTabelleText"/>
          <w:rFonts w:ascii="Times New Roman" w:hAnsi="Times New Roman"/>
          <w:sz w:val="24"/>
        </w:rPr>
      </w:pP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3" w:name="_Toc516210710"/>
      <w:bookmarkStart w:id="784" w:name="_Toc524014769"/>
      <w:r>
        <w:rPr>
          <w:rFonts w:ascii="Times New Roman" w:hAnsi="Times New Roman"/>
          <w:sz w:val="24"/>
          <w:u w:val="none"/>
        </w:rPr>
        <w:t>6.2.</w:t>
      </w:r>
      <w:r w:rsidRPr="00406A85">
        <w:rPr>
          <w:u w:val="none"/>
        </w:rPr>
        <w:tab/>
      </w:r>
      <w:r>
        <w:rPr>
          <w:rFonts w:ascii="Times New Roman" w:hAnsi="Times New Roman"/>
          <w:sz w:val="24"/>
        </w:rPr>
        <w:t>C 32.02 – Prudens értékelés: Alapvető módszer (PruVal 2)</w:t>
      </w:r>
      <w:bookmarkEnd w:id="783"/>
      <w:bookmarkEnd w:id="784"/>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85" w:name="_Toc516210711"/>
      <w:bookmarkStart w:id="786" w:name="_Toc524014770"/>
      <w:r>
        <w:rPr>
          <w:rFonts w:ascii="Times New Roman" w:hAnsi="Times New Roman"/>
          <w:sz w:val="24"/>
          <w:u w:val="none"/>
        </w:rPr>
        <w:t>6.2.1.</w:t>
      </w:r>
      <w:r w:rsidRPr="00406A85">
        <w:rPr>
          <w:u w:val="none"/>
        </w:rPr>
        <w:tab/>
      </w:r>
      <w:r>
        <w:rPr>
          <w:rFonts w:ascii="Times New Roman" w:hAnsi="Times New Roman"/>
          <w:sz w:val="24"/>
        </w:rPr>
        <w:t>Általános megjegyzések</w:t>
      </w:r>
      <w:bookmarkEnd w:id="785"/>
      <w:bookmarkEnd w:id="786"/>
    </w:p>
    <w:p w:rsidR="00B93FA1" w:rsidRPr="00B93FA1" w:rsidRDefault="00B93FA1" w:rsidP="001A3980">
      <w:pPr>
        <w:pStyle w:val="InstructionsText2"/>
        <w:numPr>
          <w:ilvl w:val="0"/>
          <w:numId w:val="0"/>
        </w:numPr>
        <w:ind w:left="993"/>
      </w:pPr>
      <w:r>
        <w:t>154c. E tábla célja a CRR 34. és 105. cikke szerint a szavatoló tőkéből levonandó kiegészítő értékelési korrekciók teljes összegének összetételére vonatkozó inform</w:t>
      </w:r>
      <w:r>
        <w:t>á</w:t>
      </w:r>
      <w:r>
        <w:t>ciót nyújtani, a kiegészítő értékelési korrekciók meghatározását indokolttá tevő p</w:t>
      </w:r>
      <w:r>
        <w:t>o</w:t>
      </w:r>
      <w:r>
        <w:t>zíciók számviteli értékelésére vonatkozó releváns információk mellett.</w:t>
      </w:r>
    </w:p>
    <w:p w:rsidR="00B93FA1" w:rsidRPr="00B93FA1" w:rsidRDefault="00B93FA1" w:rsidP="001A3980">
      <w:pPr>
        <w:pStyle w:val="InstructionsText2"/>
        <w:numPr>
          <w:ilvl w:val="0"/>
          <w:numId w:val="0"/>
        </w:numPr>
        <w:ind w:left="993"/>
      </w:pPr>
      <w:r>
        <w:t>154d. Ezt a táblát minden olyan intézm</w:t>
      </w:r>
      <w:r w:rsidR="00406A85">
        <w:t>énynek ki kell töltenie, amely:</w:t>
      </w:r>
    </w:p>
    <w:p w:rsidR="00B93FA1" w:rsidRPr="00B93FA1" w:rsidRDefault="00B93FA1" w:rsidP="001A3980">
      <w:pPr>
        <w:pStyle w:val="InstructionsText2"/>
        <w:numPr>
          <w:ilvl w:val="0"/>
          <w:numId w:val="0"/>
        </w:numPr>
        <w:ind w:left="993"/>
      </w:pPr>
      <w:proofErr w:type="gramStart"/>
      <w:r>
        <w:t>a</w:t>
      </w:r>
      <w:proofErr w:type="gramEnd"/>
      <w:r>
        <w:t>) az alapvető módszert köteles használni a prudens értékelésről szóló (EU) 2016/101 felhatalmazáson alapuló rendelet 4. cikkének (1) bekezdésében említett értékhatár akár egyedi, akár konszolidált alapon történő meghaladása miatt, a prudens értékelésről szóló (EU) 2016/101 felhatalmazáson alapuló rendelet 4. ci</w:t>
      </w:r>
      <w:r>
        <w:t>k</w:t>
      </w:r>
      <w:r>
        <w:t>kének (3) bekezdésében meghatározottak szerint, vagy</w:t>
      </w:r>
    </w:p>
    <w:p w:rsidR="00B93FA1" w:rsidRPr="00B93FA1" w:rsidRDefault="00973707" w:rsidP="001A3980">
      <w:pPr>
        <w:pStyle w:val="InstructionsText2"/>
        <w:numPr>
          <w:ilvl w:val="0"/>
          <w:numId w:val="0"/>
        </w:numPr>
        <w:ind w:left="993"/>
      </w:pPr>
      <w:r>
        <w:t>b) annak ellenére, hogy nem haladja meg az értékhatárt, az alapvető módszer a</w:t>
      </w:r>
      <w:r>
        <w:t>l</w:t>
      </w:r>
      <w:r w:rsidR="00406A85">
        <w:t>kalmazása mellett döntött.</w:t>
      </w:r>
    </w:p>
    <w:p w:rsidR="00973707" w:rsidRDefault="00973707" w:rsidP="001A3980">
      <w:pPr>
        <w:pStyle w:val="InstructionsText2"/>
        <w:numPr>
          <w:ilvl w:val="0"/>
          <w:numId w:val="0"/>
        </w:numPr>
        <w:ind w:left="993"/>
      </w:pPr>
      <w:r>
        <w:t>154e. E tábla alkalmazásában a „felső bizonytalansági érték” a következő: A prudens értékelésről szóló (EU) 2016/101 felhatalmazáson alapuló rendelet 8. cikke (2) bekezdésének meghatározása alapján a kiegészítő értékelési korrekciók kiszám</w:t>
      </w:r>
      <w:r>
        <w:t>í</w:t>
      </w:r>
      <w:r>
        <w:t>tása a valós érték és egy olyan 90 %-os konfidenciaszinten meghatározott prudens érték különbözeteként történik, miszerint az intézmények a valószerű értékek né</w:t>
      </w:r>
      <w:r>
        <w:t>v</w:t>
      </w:r>
      <w:r>
        <w:t>leges tartományán belül az adott ponton vagy annál jobban tudnak kilépni a kitet</w:t>
      </w:r>
      <w:r>
        <w:t>t</w:t>
      </w:r>
      <w:r>
        <w:t>ségből. A felső érték vagy „felső bizonytalansági érték” a valószerű értékek elos</w:t>
      </w:r>
      <w:r>
        <w:t>z</w:t>
      </w:r>
      <w:r>
        <w:t>lásában az ellentétes pont, amelynél az intézményeknek csak 10 %-os a konfide</w:t>
      </w:r>
      <w:r>
        <w:t>n</w:t>
      </w:r>
      <w:r>
        <w:t>ciaszintjük azt illetően, hogy az adott ponton vagy annál jobban tudnak kilépni a pozícióból. A felső bizonytalansági érték kiszámításának és aggregálásának alapja ugyanaz, mint a kiegészítő értékelési korrekció teljes összegéé, de a kiegészítő é</w:t>
      </w:r>
      <w:r>
        <w:t>r</w:t>
      </w:r>
      <w:r>
        <w:t>tékelési korrekció teljes összegének meghatározásakor használt 90 %-ot fel kell vá</w:t>
      </w:r>
      <w:r>
        <w:t>l</w:t>
      </w:r>
      <w:r>
        <w:t>tani egy 10 %-os bizonyossági szinttel.</w:t>
      </w:r>
    </w:p>
    <w:p w:rsidR="00B93FA1" w:rsidRPr="004502C8" w:rsidRDefault="00B93FA1" w:rsidP="00973707">
      <w:pPr>
        <w:pStyle w:val="Instructionsberschrift2"/>
        <w:numPr>
          <w:ilvl w:val="0"/>
          <w:numId w:val="0"/>
        </w:numPr>
        <w:ind w:left="357" w:hanging="357"/>
        <w:rPr>
          <w:rFonts w:ascii="Times New Roman" w:hAnsi="Times New Roman" w:cs="Times New Roman"/>
          <w:sz w:val="24"/>
          <w:u w:val="none"/>
        </w:rPr>
      </w:pPr>
      <w:bookmarkStart w:id="787" w:name="_Toc516210712"/>
      <w:bookmarkStart w:id="788" w:name="_Toc524014771"/>
      <w:r>
        <w:rPr>
          <w:rFonts w:ascii="Times New Roman" w:hAnsi="Times New Roman"/>
          <w:sz w:val="24"/>
          <w:u w:val="none"/>
        </w:rPr>
        <w:t>6.2.2.</w:t>
      </w:r>
      <w:r>
        <w:tab/>
      </w:r>
      <w:r>
        <w:rPr>
          <w:rFonts w:ascii="Times New Roman" w:hAnsi="Times New Roman"/>
          <w:sz w:val="24"/>
          <w:u w:val="none"/>
        </w:rPr>
        <w:t>A tábla egyes részeire vonatkozó útmutató</w:t>
      </w:r>
      <w:bookmarkEnd w:id="787"/>
      <w:bookmarkEnd w:id="78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rsidTr="00672D2A">
        <w:tc>
          <w:tcPr>
            <w:tcW w:w="9291" w:type="dxa"/>
            <w:gridSpan w:val="2"/>
            <w:shd w:val="clear" w:color="auto" w:fill="CCCCCC"/>
          </w:tcPr>
          <w:p w:rsidR="00973707" w:rsidRPr="00EB6E04" w:rsidRDefault="00973707" w:rsidP="00AF3D7A">
            <w:pPr>
              <w:spacing w:beforeLines="60" w:before="144" w:afterLines="60" w:after="144"/>
              <w:rPr>
                <w:rFonts w:ascii="Times New Roman" w:hAnsi="Times New Roman"/>
                <w:b/>
                <w:sz w:val="24"/>
              </w:rPr>
            </w:pPr>
            <w:r>
              <w:rPr>
                <w:rFonts w:ascii="Times New Roman" w:hAnsi="Times New Roman"/>
                <w:b/>
                <w:sz w:val="24"/>
              </w:rPr>
              <w:t>Oszlopok</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KATEGÓRIASZINTŰ KIEGÉSZÍTŐ ÉRTÉKELÉSI KORREKCIÓ</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 prudens értékelésről szóló (EU) 2016/101 felhatalmazáson alapuló rendelet 9–11. cikkében, illetve 14–17. cikkében leírtak szerint kell kiszámítani a piaci ár b</w:t>
            </w:r>
            <w:r>
              <w:rPr>
                <w:rFonts w:ascii="Times New Roman" w:hAnsi="Times New Roman"/>
                <w:sz w:val="24"/>
              </w:rPr>
              <w:t>i</w:t>
            </w:r>
            <w:r>
              <w:rPr>
                <w:rFonts w:ascii="Times New Roman" w:hAnsi="Times New Roman"/>
                <w:sz w:val="24"/>
              </w:rPr>
              <w:t>zonytalanságával, a pozíciózárási költségekkel, a modellkockázattal, a koncentrált pozíciókkal, a jövőbeli adminisztratív költségekkel, a lejárat előtti visszaváltással és a működési kockázattal kapcsolatos kategóriaszintű kiegészítő értékelési ko</w:t>
            </w:r>
            <w:r>
              <w:rPr>
                <w:rFonts w:ascii="Times New Roman" w:hAnsi="Times New Roman"/>
                <w:sz w:val="24"/>
              </w:rPr>
              <w:t>r</w:t>
            </w:r>
            <w:r>
              <w:rPr>
                <w:rFonts w:ascii="Times New Roman" w:hAnsi="Times New Roman"/>
                <w:sz w:val="24"/>
              </w:rPr>
              <w:t>rekciókat.</w:t>
            </w:r>
          </w:p>
          <w:p w:rsidR="00973707" w:rsidRPr="00DD41BE" w:rsidRDefault="00973707" w:rsidP="00AF3D7A">
            <w:pPr>
              <w:spacing w:beforeLines="60" w:before="144" w:afterLines="60" w:after="144"/>
              <w:rPr>
                <w:rFonts w:ascii="Times New Roman" w:hAnsi="Times New Roman"/>
                <w:sz w:val="24"/>
              </w:rPr>
            </w:pPr>
            <w:proofErr w:type="gramStart"/>
            <w:r>
              <w:rPr>
                <w:rFonts w:ascii="Times New Roman" w:hAnsi="Times New Roman"/>
                <w:sz w:val="24"/>
              </w:rPr>
              <w:t>A piaci ár bizonytalansága, a pozíciózárási költségek és a modellkockázat kateg</w:t>
            </w:r>
            <w:r>
              <w:rPr>
                <w:rFonts w:ascii="Times New Roman" w:hAnsi="Times New Roman"/>
                <w:sz w:val="24"/>
              </w:rPr>
              <w:t>ó</w:t>
            </w:r>
            <w:r>
              <w:rPr>
                <w:rFonts w:ascii="Times New Roman" w:hAnsi="Times New Roman"/>
                <w:sz w:val="24"/>
              </w:rPr>
              <w:t>riák esetében, amelyekre a prudens értékelésről szóló (EU) 2016/101 felhatalm</w:t>
            </w:r>
            <w:r>
              <w:rPr>
                <w:rFonts w:ascii="Times New Roman" w:hAnsi="Times New Roman"/>
                <w:sz w:val="24"/>
              </w:rPr>
              <w:t>a</w:t>
            </w:r>
            <w:r>
              <w:rPr>
                <w:rFonts w:ascii="Times New Roman" w:hAnsi="Times New Roman"/>
                <w:sz w:val="24"/>
              </w:rPr>
              <w:t>záson alapuló rendelet 9. cikkének (6) bekezdésében, 10. cikkének (7) bekezdés</w:t>
            </w:r>
            <w:r>
              <w:rPr>
                <w:rFonts w:ascii="Times New Roman" w:hAnsi="Times New Roman"/>
                <w:sz w:val="24"/>
              </w:rPr>
              <w:t>é</w:t>
            </w:r>
            <w:r>
              <w:rPr>
                <w:rFonts w:ascii="Times New Roman" w:hAnsi="Times New Roman"/>
                <w:sz w:val="24"/>
              </w:rPr>
              <w:lastRenderedPageBreak/>
              <w:t>ben illetve 11. cikkének (7) bekezdésében meghatározottak szerint diverzifikációs előny vonatkozik, a kategóriaszintű kiegészítő értékelési korrekciókat eltérő re</w:t>
            </w:r>
            <w:r>
              <w:rPr>
                <w:rFonts w:ascii="Times New Roman" w:hAnsi="Times New Roman"/>
                <w:sz w:val="24"/>
              </w:rPr>
              <w:t>n</w:t>
            </w:r>
            <w:r>
              <w:rPr>
                <w:rFonts w:ascii="Times New Roman" w:hAnsi="Times New Roman"/>
                <w:sz w:val="24"/>
              </w:rPr>
              <w:t>delkezés hiányában úgy kell feltüntetni, mint az egyedi kiegészítő értékelési ko</w:t>
            </w:r>
            <w:r>
              <w:rPr>
                <w:rFonts w:ascii="Times New Roman" w:hAnsi="Times New Roman"/>
                <w:sz w:val="24"/>
              </w:rPr>
              <w:t>r</w:t>
            </w:r>
            <w:r>
              <w:rPr>
                <w:rFonts w:ascii="Times New Roman" w:hAnsi="Times New Roman"/>
                <w:sz w:val="24"/>
              </w:rPr>
              <w:t>rekciók egyszerű összege a diverzifikációs előny előtt [mivel a prudens értékelé</w:t>
            </w:r>
            <w:r>
              <w:rPr>
                <w:rFonts w:ascii="Times New Roman" w:hAnsi="Times New Roman"/>
                <w:sz w:val="24"/>
              </w:rPr>
              <w:t>s</w:t>
            </w:r>
            <w:r>
              <w:rPr>
                <w:rFonts w:ascii="Times New Roman" w:hAnsi="Times New Roman"/>
                <w:sz w:val="24"/>
              </w:rPr>
              <w:t>ről szóló (EU) 2016/101 felhatalmazáson</w:t>
            </w:r>
            <w:proofErr w:type="gramEnd"/>
            <w:r>
              <w:rPr>
                <w:rFonts w:ascii="Times New Roman" w:hAnsi="Times New Roman"/>
                <w:sz w:val="24"/>
              </w:rPr>
              <w:t xml:space="preserve"> alapuló rendelet mellékletében szereplő 1. módszer vagy a 2. módszer használatával számított diverzifikációs nyereséget a tábla 1.1.2</w:t>
            </w:r>
            <w:proofErr w:type="gramStart"/>
            <w:r>
              <w:rPr>
                <w:rFonts w:ascii="Times New Roman" w:hAnsi="Times New Roman"/>
                <w:sz w:val="24"/>
              </w:rPr>
              <w:t>.,</w:t>
            </w:r>
            <w:proofErr w:type="gramEnd"/>
            <w:r>
              <w:rPr>
                <w:rFonts w:ascii="Times New Roman" w:hAnsi="Times New Roman"/>
                <w:sz w:val="24"/>
              </w:rPr>
              <w:t xml:space="preserve"> 1.1.2.1. és 1.1.2.</w:t>
            </w:r>
            <w:r w:rsidR="00406A85">
              <w:rPr>
                <w:rFonts w:ascii="Times New Roman" w:hAnsi="Times New Roman"/>
                <w:sz w:val="24"/>
              </w:rPr>
              <w:t>2. tételében kell feltüntetni].</w:t>
            </w:r>
          </w:p>
          <w:p w:rsidR="00973707" w:rsidRPr="00DD41BE" w:rsidRDefault="00973707" w:rsidP="00F811F8">
            <w:pPr>
              <w:spacing w:beforeLines="60" w:before="144" w:afterLines="60" w:after="144"/>
              <w:rPr>
                <w:rFonts w:ascii="Times New Roman" w:hAnsi="Times New Roman"/>
                <w:sz w:val="24"/>
              </w:rPr>
            </w:pPr>
            <w:r>
              <w:rPr>
                <w:rFonts w:ascii="Times New Roman" w:hAnsi="Times New Roman"/>
                <w:sz w:val="24"/>
              </w:rPr>
              <w:t>A piaci ár bizonytalansága, a pozíciózárási költségek és a modellkockázat kateg</w:t>
            </w:r>
            <w:r>
              <w:rPr>
                <w:rFonts w:ascii="Times New Roman" w:hAnsi="Times New Roman"/>
                <w:sz w:val="24"/>
              </w:rPr>
              <w:t>ó</w:t>
            </w:r>
            <w:r>
              <w:rPr>
                <w:rFonts w:ascii="Times New Roman" w:hAnsi="Times New Roman"/>
                <w:sz w:val="24"/>
              </w:rPr>
              <w:t>riák esetében a prudens értékelésről szóló (EU) 2016/101 felhatalmazáson alapuló rendelet 9. cikke (5) bekezdésének b) pontjában, 10. cikke (6) bekezdésének b) pontjában és 11. cikkének (4) bekezdésében meghatározottak szerint a szakértői módszerrel kiszámított összegeket elkülönítve, a 0020., 0040. és 0060. oszlopban kell feltüntetni.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PIACI ÁR BIZONYTALANSÁGA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 CRR 105. cikkének (10) bekezdése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 prudens értékelésről szóló (EU) 2016/101 felhatalmazáson alapuló rendelet 9. cikkének megfelelően számított, a piaci ár bizonytalanságához kapcsolódó kieg</w:t>
            </w:r>
            <w:r>
              <w:rPr>
                <w:rFonts w:ascii="Times New Roman" w:hAnsi="Times New Roman"/>
                <w:sz w:val="24"/>
              </w:rPr>
              <w:t>é</w:t>
            </w:r>
            <w:r>
              <w:rPr>
                <w:rFonts w:ascii="Times New Roman" w:hAnsi="Times New Roman"/>
                <w:sz w:val="24"/>
              </w:rPr>
              <w:t>szítő értékelési korrekciók.</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EBBŐL: A SZAKÉRTŐI MÓDSZERREL SZÁMÍTVA</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 prudens értékelésről szóló (EU) 2016/101 felhatalmazáson alapuló rendelet 9. cikke (5) bekezdése b) pontjának megfelelően számított, a piaci ár bizonytalans</w:t>
            </w:r>
            <w:r>
              <w:rPr>
                <w:rFonts w:ascii="Times New Roman" w:hAnsi="Times New Roman"/>
                <w:sz w:val="24"/>
              </w:rPr>
              <w:t>á</w:t>
            </w:r>
            <w:r>
              <w:rPr>
                <w:rFonts w:ascii="Times New Roman" w:hAnsi="Times New Roman"/>
                <w:sz w:val="24"/>
              </w:rPr>
              <w:t>gához kapcsolódó kiegészítő értékelési korrekciók.</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POZÍCIÓZÁRÁSI KÖLTSÉGEK</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 CRR 105. cikkének (10) bekezdése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 prudens értékelésről szóló (EU) 2016/101 felhatalmazáson alapuló rendelet 10. cikkének megfelelően számított, a pozíciózárási költségekhez kapcsolódó kieg</w:t>
            </w:r>
            <w:r>
              <w:rPr>
                <w:rFonts w:ascii="Times New Roman" w:hAnsi="Times New Roman"/>
                <w:sz w:val="24"/>
              </w:rPr>
              <w:t>é</w:t>
            </w:r>
            <w:r>
              <w:rPr>
                <w:rFonts w:ascii="Times New Roman" w:hAnsi="Times New Roman"/>
                <w:sz w:val="24"/>
              </w:rPr>
              <w:t xml:space="preserve">szítő értékelési korrekciók.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EBBŐL: A SZAKÉRTŐI MÓDSZERREL SZÁMÍTVA</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A prudens értékelésről szóló (EU) 2016/101 felhatalmazáson alapuló rendelet 10. cikke (6) bekezdése b) pontjának megfelelően számított, a pozíciózárási költs</w:t>
            </w:r>
            <w:r>
              <w:rPr>
                <w:rFonts w:ascii="Times New Roman" w:hAnsi="Times New Roman"/>
                <w:sz w:val="24"/>
              </w:rPr>
              <w:t>é</w:t>
            </w:r>
            <w:r>
              <w:rPr>
                <w:rFonts w:ascii="Times New Roman" w:hAnsi="Times New Roman"/>
                <w:sz w:val="24"/>
              </w:rPr>
              <w:t>gekhez kapcsolódó kiegészítő értékelési korrekciók.</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MODELLKOCKÁZAT</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 CRR 105. cikkének (10) bekezdése</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A prudens értékelésről szóló (EU) 2016/101 felhatalmazáson alapuló rendelet 11. cikkének megfelelően számított, a modellkockázathoz kapcsolódó kiegészítő ért</w:t>
            </w:r>
            <w:r>
              <w:rPr>
                <w:rFonts w:ascii="Times New Roman" w:hAnsi="Times New Roman"/>
                <w:sz w:val="24"/>
              </w:rPr>
              <w:t>é</w:t>
            </w:r>
            <w:r>
              <w:rPr>
                <w:rFonts w:ascii="Times New Roman" w:hAnsi="Times New Roman"/>
                <w:sz w:val="24"/>
              </w:rPr>
              <w:t xml:space="preserve">kelési korrekciók.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EBBŐL: A SZAKÉRTŐI MÓDSZERREL SZÁMÍTVA</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 prudens értékelésről szóló (EU) 2016/101 felhatalmazáson alapuló rendelet 11. </w:t>
            </w:r>
            <w:r>
              <w:rPr>
                <w:rFonts w:ascii="Times New Roman" w:hAnsi="Times New Roman"/>
                <w:sz w:val="24"/>
              </w:rPr>
              <w:lastRenderedPageBreak/>
              <w:t>cikke (4) bekezdésének megfelelően számított, a modellkockázathoz kapcsolódó kiegészítő értékelési korrekciók.</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KONCENTRÁLT POZÍCIÓK</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 CRR 105. cikkének (11) bekezdése</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 prudens értékelésről szóló (EU) 2016/101 felhatalmazáson alapuló rendelet 14. cikkének megfelelően számított, a koncentrált pozíciókhoz kapcsolódó kiegészítő értékelési korrekciók.</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JÖVŐBELI ADMINISZTRATÍV KÖLTSÉGEK</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 CRR 105. cikkének (10) bekezdése</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 prudens értékelésről szóló (EU) 2016/101 felhatalmazáson alapuló rendelet 15. cikkének megfelelően számított, a jövőbeli adminisztratív költségekhez kapcsol</w:t>
            </w:r>
            <w:r>
              <w:rPr>
                <w:rFonts w:ascii="Times New Roman" w:hAnsi="Times New Roman"/>
                <w:sz w:val="24"/>
              </w:rPr>
              <w:t>ó</w:t>
            </w:r>
            <w:r>
              <w:rPr>
                <w:rFonts w:ascii="Times New Roman" w:hAnsi="Times New Roman"/>
                <w:sz w:val="24"/>
              </w:rPr>
              <w:t>dó kiegészítő értékelési korrekciók.</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LEJÁRAT ELŐTTI VISSZAVÁLTÁS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 CRR 105. cikkének (10) bekezdése</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 prudens értékelésről szóló (EU) 2016/101 felhatalmazáson alapuló rendelet 16. cikkének megfelelően számított, a lejárat előtti visszaváltáshoz kapcsolódó kieg</w:t>
            </w:r>
            <w:r>
              <w:rPr>
                <w:rFonts w:ascii="Times New Roman" w:hAnsi="Times New Roman"/>
                <w:sz w:val="24"/>
              </w:rPr>
              <w:t>é</w:t>
            </w:r>
            <w:r>
              <w:rPr>
                <w:rFonts w:ascii="Times New Roman" w:hAnsi="Times New Roman"/>
                <w:sz w:val="24"/>
              </w:rPr>
              <w:t xml:space="preserve">szítő értékelési korrekciók.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MŰKÖDÉSI KOCKÁZAT</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 CRR 105. cikkének (10) bekezdése</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 prudens értékelésről szóló (EU) 2016/101 felhatalmazáson alapuló rendelet 17. cikkének megfelelően számított, a működési kockázathoz kapcsolódó kiegészítő értékelési korrekciók.</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KIEGÉSZÍTŐ ÉRTÉKELÉSI KORREKCIÓ ÖSSZESEN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 sor: a CRR 34. és 105. cikke szerint a szavatoló tőkéből levonandó kiegész</w:t>
            </w:r>
            <w:r>
              <w:rPr>
                <w:rStyle w:val="InstructionsTabelleberschrift"/>
                <w:rFonts w:ascii="Times New Roman" w:hAnsi="Times New Roman"/>
                <w:b w:val="0"/>
                <w:sz w:val="24"/>
                <w:u w:val="none"/>
              </w:rPr>
              <w:t>í</w:t>
            </w:r>
            <w:r>
              <w:rPr>
                <w:rStyle w:val="InstructionsTabelleberschrift"/>
                <w:rFonts w:ascii="Times New Roman" w:hAnsi="Times New Roman"/>
                <w:b w:val="0"/>
                <w:sz w:val="24"/>
                <w:u w:val="none"/>
              </w:rPr>
              <w:t xml:space="preserve">tő értékelési korrekciók teljes összege, amelyet megfelelően a C 01.00 tábla 290. sorában kell feltüntetni. A kiegészítő értékelési korrekciók teljes összege a 0030. és a 0180. sor összege.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 sor: A 0010. sorban feltüntetett kiegészítő értékelési korrekciók teljes össz</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gének a kereskedési könyvi pozíciókból eredő része (abszolút érték).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0030–0160. sor: A 0010., 0030., 0050. és a 0070–0100. sor összege.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0180–0210. sor: A tartalékmódszer (fall-back-approach) szerinti portfóliókból eredő kiegészítő értékelési korrekciók teljes összege. </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FELSŐ BIZONYTALANSÁGI ÉRTÉK</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 prudens értékelésről szóló (EU) 2016/101 felhatalmazáson alapuló rendelet</w:t>
            </w:r>
            <w:r>
              <w:t xml:space="preserve"> </w:t>
            </w:r>
            <w:r>
              <w:rPr>
                <w:rStyle w:val="InstructionsTabelleberschrift"/>
                <w:rFonts w:ascii="Times New Roman" w:hAnsi="Times New Roman"/>
                <w:b w:val="0"/>
                <w:sz w:val="24"/>
                <w:u w:val="none"/>
              </w:rPr>
              <w:t>8. cikkének (2) bekezdése.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 felső bizonytalansági érték kiszámításának és aggregálásának alapja ugyanaz, </w:t>
            </w:r>
            <w:r>
              <w:rPr>
                <w:rFonts w:ascii="Times New Roman" w:hAnsi="Times New Roman"/>
                <w:sz w:val="24"/>
              </w:rPr>
              <w:lastRenderedPageBreak/>
              <w:t>mint a kiegészítő értékelési korrekció 0110. oszlopban számított teljes összegéé, de a kiegészítő értékelési korrekció teljes összegének meghatározásakor használt 90 %-ot fel kell váltani egy 10 %-os bizonyossági szinttel.</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0130-0140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VALÓS ÉRTÉKEN ÉRTÉKELT ESZKÖZÖK </w:t>
            </w:r>
            <w:proofErr w:type="gramStart"/>
            <w:r>
              <w:rPr>
                <w:rStyle w:val="InstructionsTabelleberschrift"/>
                <w:rFonts w:ascii="Times New Roman" w:hAnsi="Times New Roman"/>
                <w:sz w:val="24"/>
              </w:rPr>
              <w:t>ÉS</w:t>
            </w:r>
            <w:proofErr w:type="gramEnd"/>
            <w:r>
              <w:rPr>
                <w:rStyle w:val="InstructionsTabelleberschrift"/>
                <w:rFonts w:ascii="Times New Roman" w:hAnsi="Times New Roman"/>
                <w:sz w:val="24"/>
              </w:rPr>
              <w:t xml:space="preserve"> KÖTELEZETTSÉGEK</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A valós értéken értékelt eszközöknek és kötelezettségeknek a kiegészítő értékelési korrekciók 0010–0130. és 0180. sorban feltüntetett értékeinek megfelelő abszolút értéke. Néhány sor, különösen a 0090–0130. sor esetében előfordulhat, hogy ez</w:t>
            </w:r>
            <w:r>
              <w:rPr>
                <w:rFonts w:ascii="Times New Roman" w:hAnsi="Times New Roman"/>
                <w:sz w:val="24"/>
              </w:rPr>
              <w:t>e</w:t>
            </w:r>
            <w:r>
              <w:rPr>
                <w:rFonts w:ascii="Times New Roman" w:hAnsi="Times New Roman"/>
                <w:sz w:val="24"/>
              </w:rPr>
              <w:t xml:space="preserve">ket az összegeket szakértői megítélés alapján közelíteni vagy allokálni kell.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0010. sor: A prudens értékelésről szóló (EU) 2016/101 felhatalmazáson alapuló rendelet 4. cikkének (1) bekezdése szerinti küszöbérték-számításba bevont valós értéken értékelt eszközök és kötelezettségek teljes abszolút értéke. Ez magában foglalja azon valós értéken értékelt eszközök és kötelezettségek abszolút értékét, amelyek esetében a prudens értékelésről szóló (EU) 2016/101 felhatalmazáson alapuló rendelet 9. cikkének (2) bekezdése, 10. cikkének (2) bekezdése vagy 10. cikkének (3) bekezdése szerint nulla értékkel értékeltek a kiegészítő értékelési ko</w:t>
            </w:r>
            <w:r>
              <w:rPr>
                <w:rFonts w:ascii="Times New Roman" w:hAnsi="Times New Roman"/>
                <w:sz w:val="24"/>
              </w:rPr>
              <w:t>r</w:t>
            </w:r>
            <w:r>
              <w:rPr>
                <w:rFonts w:ascii="Times New Roman" w:hAnsi="Times New Roman"/>
                <w:sz w:val="24"/>
              </w:rPr>
              <w:t xml:space="preserve">rekciók, amelyeket elkülönítve kell feltüntetni a 0070. és 0080. sorban. </w:t>
            </w:r>
            <w:r>
              <w:rPr>
                <w:rFonts w:ascii="Times New Roman" w:hAnsi="Times New Roman"/>
                <w:sz w:val="24"/>
              </w:rPr>
              <w:br/>
              <w:t xml:space="preserve">A 0010. sor a 0030. és a 0180. sor összege.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0020. sor: A 0010. sorban feltüntetett valós értéken értékelt eszközök és kötel</w:t>
            </w:r>
            <w:r>
              <w:rPr>
                <w:rFonts w:ascii="Times New Roman" w:hAnsi="Times New Roman"/>
                <w:sz w:val="24"/>
              </w:rPr>
              <w:t>e</w:t>
            </w:r>
            <w:r>
              <w:rPr>
                <w:rFonts w:ascii="Times New Roman" w:hAnsi="Times New Roman"/>
                <w:sz w:val="24"/>
              </w:rPr>
              <w:t xml:space="preserve">zettségek teljes abszolút értékének a kereskedési könyvi pozíciókból eredő része (abszolút érték).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0030. sor: A prudens értékelésről szóló (EU) 2016/101 felhatalmazáson alapuló rendelet 9–17. cikke szerinti portfólióknak megfelelő, valós értéken értékelt es</w:t>
            </w:r>
            <w:r>
              <w:rPr>
                <w:rFonts w:ascii="Times New Roman" w:hAnsi="Times New Roman"/>
                <w:sz w:val="24"/>
              </w:rPr>
              <w:t>z</w:t>
            </w:r>
            <w:r>
              <w:rPr>
                <w:rFonts w:ascii="Times New Roman" w:hAnsi="Times New Roman"/>
                <w:sz w:val="24"/>
              </w:rPr>
              <w:t>közök és kötelezettségek abszolút értéke. Ez magában foglalja azon valós értéken értékelt eszközök és kötelezettségek abszolút értékét, amelyek esetében a prudens értékelésről szóló (EU) 2016/101 felhatalmazáson alapuló rendelet 9. cikkének (2) bekezdése, 10. cikkének (2) bekezdése vagy 10. cikkének (3) bekezdése szerint nulla értékkel értékeltek a kiegészítő értékelési korrekciók, amelyeket elkülönítve kell feltüntetni a 0070. és 0080. sorban. A 0030. sor a 0090–0130. sor összege.</w:t>
            </w:r>
          </w:p>
          <w:p w:rsidR="00973707" w:rsidRPr="00AB63E5" w:rsidRDefault="00973707" w:rsidP="00AF3D7A">
            <w:pPr>
              <w:spacing w:beforeLines="60" w:before="144" w:afterLines="60" w:after="144"/>
              <w:rPr>
                <w:rFonts w:ascii="Times New Roman" w:hAnsi="Times New Roman"/>
                <w:sz w:val="24"/>
              </w:rPr>
            </w:pPr>
            <w:r>
              <w:rPr>
                <w:rFonts w:ascii="Times New Roman" w:hAnsi="Times New Roman"/>
                <w:sz w:val="24"/>
              </w:rPr>
              <w:t>0050. sor: Nem realizált hitelkockázati felárral kapcsolatos kiegészítő értékelési korrekció számításába bevont, valós értéken értékelt eszközök és kötelezettségek abszolút értéke. Ennek a kiegészítő értékelési korrekciónak a kiszámítása céljából a prudens értékelésről szóló (EU) 2016/101 felhatalmazáson alapuló rendelet 4. cikkének (2) bekezdése szerint az értékhatár-számításból kizárt pontosan me</w:t>
            </w:r>
            <w:r>
              <w:rPr>
                <w:rFonts w:ascii="Times New Roman" w:hAnsi="Times New Roman"/>
                <w:sz w:val="24"/>
              </w:rPr>
              <w:t>g</w:t>
            </w:r>
            <w:r>
              <w:rPr>
                <w:rFonts w:ascii="Times New Roman" w:hAnsi="Times New Roman"/>
                <w:sz w:val="24"/>
              </w:rPr>
              <w:t>egyező, valós értéken értékelt kiegyenlítő eszközök és kötelezettségek nem tekin</w:t>
            </w:r>
            <w:r>
              <w:rPr>
                <w:rFonts w:ascii="Times New Roman" w:hAnsi="Times New Roman"/>
                <w:sz w:val="24"/>
              </w:rPr>
              <w:t>t</w:t>
            </w:r>
            <w:r>
              <w:rPr>
                <w:rFonts w:ascii="Times New Roman" w:hAnsi="Times New Roman"/>
                <w:sz w:val="24"/>
              </w:rPr>
              <w:t xml:space="preserve">hetők többé pontosan megegyezőnek, kiegyenlítőnek.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0060. sor: Befektetési és finanszírozási költségekkel kapcsolatos kiegészítő érték</w:t>
            </w:r>
            <w:r>
              <w:rPr>
                <w:rFonts w:ascii="Times New Roman" w:hAnsi="Times New Roman"/>
                <w:sz w:val="24"/>
              </w:rPr>
              <w:t>e</w:t>
            </w:r>
            <w:r>
              <w:rPr>
                <w:rFonts w:ascii="Times New Roman" w:hAnsi="Times New Roman"/>
                <w:sz w:val="24"/>
              </w:rPr>
              <w:t>lési korrekció számításába bevont, valós értéken értékelt eszközök és kötelezetts</w:t>
            </w:r>
            <w:r>
              <w:rPr>
                <w:rFonts w:ascii="Times New Roman" w:hAnsi="Times New Roman"/>
                <w:sz w:val="24"/>
              </w:rPr>
              <w:t>é</w:t>
            </w:r>
            <w:r>
              <w:rPr>
                <w:rFonts w:ascii="Times New Roman" w:hAnsi="Times New Roman"/>
                <w:sz w:val="24"/>
              </w:rPr>
              <w:t>gek abszolút értéke. Ennek a kiegészítő értékelési korrekciónak a kiszámítása cé</w:t>
            </w:r>
            <w:r>
              <w:rPr>
                <w:rFonts w:ascii="Times New Roman" w:hAnsi="Times New Roman"/>
                <w:sz w:val="24"/>
              </w:rPr>
              <w:t>l</w:t>
            </w:r>
            <w:r>
              <w:rPr>
                <w:rFonts w:ascii="Times New Roman" w:hAnsi="Times New Roman"/>
                <w:sz w:val="24"/>
              </w:rPr>
              <w:t>jából a prudens értékelésről szóló (EU) 2016/101 felhatalmazáson alapuló rendelet 4. cikkének (2) bekezdése szerint az értékhatár-számításból kizárt pontosan me</w:t>
            </w:r>
            <w:r>
              <w:rPr>
                <w:rFonts w:ascii="Times New Roman" w:hAnsi="Times New Roman"/>
                <w:sz w:val="24"/>
              </w:rPr>
              <w:t>g</w:t>
            </w:r>
            <w:r>
              <w:rPr>
                <w:rFonts w:ascii="Times New Roman" w:hAnsi="Times New Roman"/>
                <w:sz w:val="24"/>
              </w:rPr>
              <w:t>egyező, valós értéken értékelt kiegyenlítő eszközök és kötelezettségek nem tekin</w:t>
            </w:r>
            <w:r>
              <w:rPr>
                <w:rFonts w:ascii="Times New Roman" w:hAnsi="Times New Roman"/>
                <w:sz w:val="24"/>
              </w:rPr>
              <w:t>t</w:t>
            </w:r>
            <w:r>
              <w:rPr>
                <w:rFonts w:ascii="Times New Roman" w:hAnsi="Times New Roman"/>
                <w:sz w:val="24"/>
              </w:rPr>
              <w:t xml:space="preserve">hetők többé pontosan megegyezőnek, kiegyenlítőnek.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0070. sor: A prudens értékelésről szóló (EU) 2016/101 felhatalmazáson alapuló rendelet 9. cikkének (2) bekezdése szerint nulla kiegészítő értékelési korrekcióval rendelkezőnek értékelt értékelési kitettségnek megfelelő, valós értéken értékelt </w:t>
            </w:r>
            <w:r>
              <w:rPr>
                <w:rFonts w:ascii="Times New Roman" w:hAnsi="Times New Roman"/>
                <w:sz w:val="24"/>
              </w:rPr>
              <w:lastRenderedPageBreak/>
              <w:t xml:space="preserve">eszközök és kötelezettségek abszolút értéke.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0080. sor: A prudens értékelésről szóló (EU) 2016/101 felhatalmazáson alapuló rendelet 10. cikkének (2) bekezdése vagy 10. cikkének (3) bekezdése szerint nulla kiegészítő értékelési korrekcióval rendelkezőnek értékelt értékelési kitettségnek megfelelő, valós értéken értékelt eszközök és kötelezettségek abszolút értéke.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0090–0130. sor: Az alábbiakban meghatározottak szerint (lásd a kapcsolódó s</w:t>
            </w:r>
            <w:r>
              <w:rPr>
                <w:rFonts w:ascii="Times New Roman" w:hAnsi="Times New Roman"/>
                <w:sz w:val="24"/>
              </w:rPr>
              <w:t>o</w:t>
            </w:r>
            <w:r>
              <w:rPr>
                <w:rFonts w:ascii="Times New Roman" w:hAnsi="Times New Roman"/>
                <w:sz w:val="24"/>
              </w:rPr>
              <w:t>rokhoz tartozó útmutatót) allokált valós értéken értékelt eszközök és kötelezetts</w:t>
            </w:r>
            <w:r>
              <w:rPr>
                <w:rFonts w:ascii="Times New Roman" w:hAnsi="Times New Roman"/>
                <w:sz w:val="24"/>
              </w:rPr>
              <w:t>é</w:t>
            </w:r>
            <w:r>
              <w:rPr>
                <w:rFonts w:ascii="Times New Roman" w:hAnsi="Times New Roman"/>
                <w:sz w:val="24"/>
              </w:rPr>
              <w:t>gek abszolút értéke a következő kockázati kategóriáknak megfelelően: kamatláb, devizaárfolyam, hitel, részvény, áru. Ez magában foglalja azon valós értéken ért</w:t>
            </w:r>
            <w:r>
              <w:rPr>
                <w:rFonts w:ascii="Times New Roman" w:hAnsi="Times New Roman"/>
                <w:sz w:val="24"/>
              </w:rPr>
              <w:t>é</w:t>
            </w:r>
            <w:r>
              <w:rPr>
                <w:rFonts w:ascii="Times New Roman" w:hAnsi="Times New Roman"/>
                <w:sz w:val="24"/>
              </w:rPr>
              <w:t>kelt eszközök és kötelezettségek abszolút értékét, amelyek esetében a prudens é</w:t>
            </w:r>
            <w:r>
              <w:rPr>
                <w:rFonts w:ascii="Times New Roman" w:hAnsi="Times New Roman"/>
                <w:sz w:val="24"/>
              </w:rPr>
              <w:t>r</w:t>
            </w:r>
            <w:r>
              <w:rPr>
                <w:rFonts w:ascii="Times New Roman" w:hAnsi="Times New Roman"/>
                <w:sz w:val="24"/>
              </w:rPr>
              <w:t>tékelésről szóló (EU) 2016/101 felhatalmazáson alapuló rendelet 9. cikkének (2) bekezdése, 10. cikkének (2) bekezdése vagy 10. cikkének (3) bekezdése szerint nulla értékkel értékeltek a kiegészítő értékelési korrekciók, amelyeket elkülönítve kell feltüntetni a 0070. és 0080. sorban.</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0180. sor: A tartalékmódszer (fall-back approach) szerinti portfólióknak megfelelő valós értéken értékelt eszközök és kötelezettségek abszolút értéke.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 ÉRTÉKEN ÉRTÉKELT ESZKÖZÖK</w:t>
            </w:r>
          </w:p>
          <w:p w:rsidR="00973707" w:rsidRPr="00EB6E04" w:rsidRDefault="00973707" w:rsidP="00AF3D7A">
            <w:pPr>
              <w:spacing w:beforeLines="60" w:before="144" w:afterLines="60" w:after="144"/>
              <w:rPr>
                <w:rStyle w:val="InstructionsTabelleberschrift"/>
                <w:rFonts w:ascii="Times New Roman" w:hAnsi="Times New Roman"/>
                <w:sz w:val="24"/>
                <w:u w:val="none"/>
              </w:rPr>
            </w:pPr>
            <w:r>
              <w:rPr>
                <w:rStyle w:val="InstructionsTabelleberschrift"/>
                <w:rFonts w:ascii="Times New Roman" w:hAnsi="Times New Roman"/>
                <w:b w:val="0"/>
                <w:sz w:val="24"/>
                <w:u w:val="none"/>
              </w:rPr>
              <w:t>A 0130–0140. oszlopra vonatkozó fenti útmutatóban kifejtettek szerint a különb</w:t>
            </w:r>
            <w:r>
              <w:rPr>
                <w:rStyle w:val="InstructionsTabelleberschrift"/>
                <w:rFonts w:ascii="Times New Roman" w:hAnsi="Times New Roman"/>
                <w:b w:val="0"/>
                <w:sz w:val="24"/>
                <w:u w:val="none"/>
              </w:rPr>
              <w:t>ö</w:t>
            </w:r>
            <w:r>
              <w:rPr>
                <w:rStyle w:val="InstructionsTabelleberschrift"/>
                <w:rFonts w:ascii="Times New Roman" w:hAnsi="Times New Roman"/>
                <w:b w:val="0"/>
                <w:sz w:val="24"/>
                <w:u w:val="none"/>
              </w:rPr>
              <w:t>ző soroknak megfelelő valós értéken értékelt eszközök</w:t>
            </w:r>
            <w:r>
              <w:rPr>
                <w:rFonts w:ascii="Times New Roman" w:hAnsi="Times New Roman"/>
                <w:sz w:val="24"/>
              </w:rPr>
              <w:t xml:space="preserve"> abszolút értéke.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EB6E04"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 ÉRTÉKEN ÉRTÉKELT KÖTELEZETTSÉGEK</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 0130–0140. oszlopra vonatkozó fenti útmutatóban kifejtettek szerint a különb</w:t>
            </w:r>
            <w:r>
              <w:rPr>
                <w:rStyle w:val="InstructionsTabelleberschrift"/>
                <w:rFonts w:ascii="Times New Roman" w:hAnsi="Times New Roman"/>
                <w:b w:val="0"/>
                <w:sz w:val="24"/>
                <w:u w:val="none"/>
              </w:rPr>
              <w:t>ö</w:t>
            </w:r>
            <w:r>
              <w:rPr>
                <w:rStyle w:val="InstructionsTabelleberschrift"/>
                <w:rFonts w:ascii="Times New Roman" w:hAnsi="Times New Roman"/>
                <w:b w:val="0"/>
                <w:sz w:val="24"/>
                <w:u w:val="none"/>
              </w:rPr>
              <w:t>ző soroknak megfelelő valós értéken értékelt kötelezettségek</w:t>
            </w:r>
            <w:r>
              <w:rPr>
                <w:rFonts w:ascii="Times New Roman" w:hAnsi="Times New Roman"/>
                <w:sz w:val="24"/>
              </w:rPr>
              <w:t xml:space="preserve"> abszolút értéke.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QTD BEVÉTEL</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A 0130–0140. oszlopra vonatkozó fenti útmutatóban kifejtettek szerint a különb</w:t>
            </w:r>
            <w:r>
              <w:rPr>
                <w:rFonts w:ascii="Times New Roman" w:hAnsi="Times New Roman"/>
                <w:sz w:val="24"/>
              </w:rPr>
              <w:t>ö</w:t>
            </w:r>
            <w:r>
              <w:rPr>
                <w:rFonts w:ascii="Times New Roman" w:hAnsi="Times New Roman"/>
                <w:sz w:val="24"/>
              </w:rPr>
              <w:t xml:space="preserve">ző soroknak </w:t>
            </w:r>
            <w:r>
              <w:rPr>
                <w:rStyle w:val="InstructionsTabelleberschrift"/>
                <w:rFonts w:ascii="Times New Roman" w:hAnsi="Times New Roman"/>
                <w:b w:val="0"/>
                <w:sz w:val="24"/>
                <w:u w:val="none"/>
              </w:rPr>
              <w:t>megfelelő valós értéken értékelt eszközökhöz és kötelezettségekhez rendelt, az utolsó adatszolgáltatási időpont óta keletkezett, aktuális negyedévi b</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vételek (QTD bevétel), adott esetben szakértői megítélés alapján allokálva vagy közelítve</w:t>
            </w:r>
            <w:r>
              <w:rPr>
                <w:rFonts w:ascii="Times New Roman" w:hAnsi="Times New Roman"/>
                <w:sz w:val="24"/>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 KÜLÖNBÖZET</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105. cikke (8) bekezdésének megfelelően végrehajtott független árfelü</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 xml:space="preserve">vizsgálat keretében az adatszolgáltatási időponthoz legközelebb eső hónap végén kiszámított ki nem igazított különbözetek („IPV különbözet”) összes pozíciójának és kockázati tényezőjének összege, a releváns pozícióra vagy kockázati tényezőre vonatkozóan elérhető legjobb független adatok figyelembevételével. </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ki nem igazított különbözetek a kereskedési rendszerek által generált értékel</w:t>
            </w:r>
            <w:r>
              <w:rPr>
                <w:rStyle w:val="InstructionsTabelleberschrift"/>
                <w:rFonts w:ascii="Times New Roman" w:hAnsi="Times New Roman"/>
                <w:b w:val="0"/>
                <w:sz w:val="24"/>
                <w:u w:val="none"/>
              </w:rPr>
              <w:t>é</w:t>
            </w:r>
            <w:r>
              <w:rPr>
                <w:rStyle w:val="InstructionsTabelleberschrift"/>
                <w:rFonts w:ascii="Times New Roman" w:hAnsi="Times New Roman"/>
                <w:b w:val="0"/>
                <w:sz w:val="24"/>
                <w:u w:val="none"/>
              </w:rPr>
              <w:t>sek és a havi IPV folyamat során értékelt értékelések közötti ki nem igazított k</w:t>
            </w:r>
            <w:r>
              <w:rPr>
                <w:rStyle w:val="InstructionsTabelleberschrift"/>
                <w:rFonts w:ascii="Times New Roman" w:hAnsi="Times New Roman"/>
                <w:b w:val="0"/>
                <w:sz w:val="24"/>
                <w:u w:val="none"/>
              </w:rPr>
              <w:t>ü</w:t>
            </w:r>
            <w:r>
              <w:rPr>
                <w:rStyle w:val="InstructionsTabelleberschrift"/>
                <w:rFonts w:ascii="Times New Roman" w:hAnsi="Times New Roman"/>
                <w:b w:val="0"/>
                <w:sz w:val="24"/>
                <w:u w:val="none"/>
              </w:rPr>
              <w:t xml:space="preserve">lönbözeteket jelentik. </w:t>
            </w:r>
          </w:p>
          <w:p w:rsidR="00973707" w:rsidRPr="00EB6E04"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Nem vonhatók be az IPV különbözet számításába a releváns hónap végi dátumra vonatkozóan az intézmény könyveiben és nyilvántartásaiban szereplő kiigazított különbözetek.</w:t>
            </w:r>
          </w:p>
        </w:tc>
      </w:tr>
      <w:tr w:rsidR="00973707" w:rsidRPr="00E60B53" w:rsidTr="00672D2A">
        <w:tc>
          <w:tcPr>
            <w:tcW w:w="1101" w:type="dxa"/>
          </w:tcPr>
          <w:p w:rsidR="00973707" w:rsidRPr="00EB6E04"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 – 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VALÓSÉRTÉK-KORREKCIÓK</w:t>
            </w:r>
          </w:p>
          <w:p w:rsidR="001B1531" w:rsidRPr="00EB6E04"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 számviteli valós értékében potenciálisan alkalmazott, néha „tartal</w:t>
            </w:r>
            <w:r>
              <w:rPr>
                <w:rStyle w:val="InstructionsTabelleberschrift"/>
                <w:rFonts w:ascii="Times New Roman" w:hAnsi="Times New Roman"/>
                <w:b w:val="0"/>
                <w:sz w:val="24"/>
                <w:u w:val="none"/>
              </w:rPr>
              <w:t>é</w:t>
            </w:r>
            <w:r>
              <w:rPr>
                <w:rStyle w:val="InstructionsTabelleberschrift"/>
                <w:rFonts w:ascii="Times New Roman" w:hAnsi="Times New Roman"/>
                <w:b w:val="0"/>
                <w:sz w:val="24"/>
                <w:u w:val="none"/>
              </w:rPr>
              <w:t>kok”-ként hivatkozott korrekciók, amelyekre a könyv szerinti értékek generálás</w:t>
            </w:r>
            <w:r>
              <w:rPr>
                <w:rStyle w:val="InstructionsTabelleberschrift"/>
                <w:rFonts w:ascii="Times New Roman" w:hAnsi="Times New Roman"/>
                <w:b w:val="0"/>
                <w:sz w:val="24"/>
                <w:u w:val="none"/>
              </w:rPr>
              <w:t>á</w:t>
            </w:r>
            <w:r>
              <w:rPr>
                <w:rStyle w:val="InstructionsTabelleberschrift"/>
                <w:rFonts w:ascii="Times New Roman" w:hAnsi="Times New Roman"/>
                <w:b w:val="0"/>
                <w:sz w:val="24"/>
                <w:u w:val="none"/>
              </w:rPr>
              <w:t>hoz használt értékelési modellen kívül kerül sor (kivéve az első napi nyereség és veszteség elhalasztását), és amely korrekciókról megállapítható, hogy ugyanarra az értékelési bizonytalansági forrásra vonatkozik, mint a releváns kiegészítő ért</w:t>
            </w:r>
            <w:r>
              <w:rPr>
                <w:rStyle w:val="InstructionsTabelleberschrift"/>
                <w:rFonts w:ascii="Times New Roman" w:hAnsi="Times New Roman"/>
                <w:b w:val="0"/>
                <w:sz w:val="24"/>
                <w:u w:val="none"/>
              </w:rPr>
              <w:t>é</w:t>
            </w:r>
            <w:r>
              <w:rPr>
                <w:rStyle w:val="InstructionsTabelleberschrift"/>
                <w:rFonts w:ascii="Times New Roman" w:hAnsi="Times New Roman"/>
                <w:b w:val="0"/>
                <w:sz w:val="24"/>
                <w:u w:val="none"/>
              </w:rPr>
              <w:t>kelési korrekció. Tükrözhetik az értékelési technikán belül figyelembe nem vett, kockázati prémium vagy kilépési költség formájában lévő kockázati tényezőket, és megfelelnek a valós érték definíciójának. Mindazonáltal a piaci szereplőknek az árképzéskor figyelembe kell venniük ezeket a korrekciókat. (IFRS 13 9. bekezdése és IFRS 13 88. bekezdése)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PIACI ÁR BIZONYTALANSÁGA</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 valós értékében abból a célból alkalmazott korrekció, hogy tükrözze egyenértékű eszközök, vagy – az értékelési modellhez való piaciparaméter-input tekintetében –az input kalibrálásához felhasznált eszközök megfigyelt ártartom</w:t>
            </w:r>
            <w:r>
              <w:rPr>
                <w:rStyle w:val="InstructionsTabelleberschrift"/>
                <w:rFonts w:ascii="Times New Roman" w:hAnsi="Times New Roman"/>
                <w:b w:val="0"/>
                <w:sz w:val="24"/>
                <w:u w:val="none"/>
              </w:rPr>
              <w:t>á</w:t>
            </w:r>
            <w:r>
              <w:rPr>
                <w:rStyle w:val="InstructionsTabelleberschrift"/>
                <w:rFonts w:ascii="Times New Roman" w:hAnsi="Times New Roman"/>
                <w:b w:val="0"/>
                <w:sz w:val="24"/>
                <w:u w:val="none"/>
              </w:rPr>
              <w:t>nyának meglétéből eredő kockázati prémiumot, és amely korrekcióról így megá</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 xml:space="preserve">lapítható, hogy ugyanarra az értékelési bizonytalansági forrásra vonatkozik, mint a piaci ár bizonytalanságával kapcsolatos kiegészítő értékelési korrekció.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POZÍCIÓZÁRÁSI KÖLTSÉGEK</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 valós értékében azon tény figyelembevétele érdekében alkalmazott korrekció, hogy a pozíciószintű értékelések nem tükrözik a pozícióra vagy portf</w:t>
            </w:r>
            <w:r>
              <w:rPr>
                <w:rStyle w:val="InstructionsTabelleberschrift"/>
                <w:rFonts w:ascii="Times New Roman" w:hAnsi="Times New Roman"/>
                <w:b w:val="0"/>
                <w:sz w:val="24"/>
                <w:u w:val="none"/>
              </w:rPr>
              <w:t>ó</w:t>
            </w:r>
            <w:r>
              <w:rPr>
                <w:rStyle w:val="InstructionsTabelleberschrift"/>
                <w:rFonts w:ascii="Times New Roman" w:hAnsi="Times New Roman"/>
                <w:b w:val="0"/>
                <w:sz w:val="24"/>
                <w:u w:val="none"/>
              </w:rPr>
              <w:t>lióra vonatkozó kilépési árat, különösen, ha az ilyen értékeléseket piaci középárf</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lyamra kalibrálják, és amely korrekcióról így megállapítható, hogy ugyanarra az értékelési bizonytalansági forrásra vonatkozik, mint a</w:t>
            </w:r>
            <w:r>
              <w:rPr>
                <w:rFonts w:ascii="Times New Roman" w:hAnsi="Times New Roman"/>
                <w:sz w:val="24"/>
              </w:rPr>
              <w:t xml:space="preserve"> pozíciózárási költségekkel kapcsolatos kiegészítő értékelési korrekció</w:t>
            </w:r>
            <w:r>
              <w:rPr>
                <w:rStyle w:val="InstructionsTabelleberschrift"/>
                <w:rFonts w:ascii="Times New Roman" w:hAnsi="Times New Roman"/>
                <w:b w:val="0"/>
                <w:sz w:val="24"/>
                <w:u w:val="none"/>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MODELLKOCKÁZAT</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 valós értékében abból a célból alkalmazott korrekció, hogy tükrö</w:t>
            </w:r>
            <w:r>
              <w:rPr>
                <w:rStyle w:val="InstructionsTabelleberschrift"/>
                <w:rFonts w:ascii="Times New Roman" w:hAnsi="Times New Roman"/>
                <w:b w:val="0"/>
                <w:sz w:val="24"/>
                <w:u w:val="none"/>
              </w:rPr>
              <w:t>z</w:t>
            </w:r>
            <w:r>
              <w:rPr>
                <w:rStyle w:val="InstructionsTabelleberschrift"/>
                <w:rFonts w:ascii="Times New Roman" w:hAnsi="Times New Roman"/>
                <w:b w:val="0"/>
                <w:sz w:val="24"/>
                <w:u w:val="none"/>
              </w:rPr>
              <w:t>zön olyan piaci vagy terméktényezőket, amelyeket a napi pozícióértékek és -kockázatok kiszámításához használt modell (értékelési modell) nem vesz figy</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lembe, </w:t>
            </w:r>
            <w:proofErr w:type="gramStart"/>
            <w:r>
              <w:rPr>
                <w:rStyle w:val="InstructionsTabelleberschrift"/>
                <w:rFonts w:ascii="Times New Roman" w:hAnsi="Times New Roman"/>
                <w:b w:val="0"/>
                <w:sz w:val="24"/>
                <w:u w:val="none"/>
              </w:rPr>
              <w:t>vagy</w:t>
            </w:r>
            <w:proofErr w:type="gramEnd"/>
            <w:r>
              <w:rPr>
                <w:rStyle w:val="InstructionsTabelleberschrift"/>
                <w:rFonts w:ascii="Times New Roman" w:hAnsi="Times New Roman"/>
                <w:b w:val="0"/>
                <w:sz w:val="24"/>
                <w:u w:val="none"/>
              </w:rPr>
              <w:t xml:space="preserve"> hogy megfelelő szintű óvatosságot tükrözzön, tekintettel különböző alternatív érvényes modellek és modellkalibrációk meglétéből eredő bizonytala</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ságra, és amely korrekcióról így megállapítható, hogy ugyanarra az értékelési b</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zonytalansági forrásra vonatkozik, mint a</w:t>
            </w:r>
            <w:r>
              <w:rPr>
                <w:rFonts w:ascii="Times New Roman" w:hAnsi="Times New Roman"/>
                <w:sz w:val="24"/>
              </w:rPr>
              <w:t xml:space="preserve"> modellkockázattal kapcsolatos kiegész</w:t>
            </w:r>
            <w:r>
              <w:rPr>
                <w:rFonts w:ascii="Times New Roman" w:hAnsi="Times New Roman"/>
                <w:sz w:val="24"/>
              </w:rPr>
              <w:t>í</w:t>
            </w:r>
            <w:r>
              <w:rPr>
                <w:rFonts w:ascii="Times New Roman" w:hAnsi="Times New Roman"/>
                <w:sz w:val="24"/>
              </w:rPr>
              <w:t>tő értékelési korrekció</w:t>
            </w:r>
            <w:r>
              <w:rPr>
                <w:rStyle w:val="InstructionsTabelleberschrift"/>
                <w:rFonts w:ascii="Times New Roman" w:hAnsi="Times New Roman"/>
                <w:b w:val="0"/>
                <w:sz w:val="24"/>
                <w:u w:val="none"/>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KONCENTRÁLT POZÍCIÓK</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 valós értékében azon tény tükrözése céljából alkalmazott korrekció, hogy az intézménynél lévő aggregált pozíció nagyobb, mint a normál kereskedett volumen, vagy nagyobb azon pozícióméreteknél, amelyeken az értékelési modell által használt árak vagy inputok kalibrálásához használt megfigyelhető árjegyz</w:t>
            </w:r>
            <w:r>
              <w:rPr>
                <w:rStyle w:val="InstructionsTabelleberschrift"/>
                <w:rFonts w:ascii="Times New Roman" w:hAnsi="Times New Roman"/>
                <w:b w:val="0"/>
                <w:sz w:val="24"/>
                <w:u w:val="none"/>
              </w:rPr>
              <w:t>é</w:t>
            </w:r>
            <w:r>
              <w:rPr>
                <w:rStyle w:val="InstructionsTabelleberschrift"/>
                <w:rFonts w:ascii="Times New Roman" w:hAnsi="Times New Roman"/>
                <w:b w:val="0"/>
                <w:sz w:val="24"/>
                <w:u w:val="none"/>
              </w:rPr>
              <w:t>sek vagy ügyletek alapulnak, és amely korrekcióról így megállapítható, hogy ugyanarra az értékelési bizonytalansági forrásra vonatkozik, mint a</w:t>
            </w:r>
            <w:r>
              <w:rPr>
                <w:rFonts w:ascii="Times New Roman" w:hAnsi="Times New Roman"/>
                <w:sz w:val="24"/>
              </w:rPr>
              <w:t xml:space="preserve"> koncentrált pozíciókkal kapcsolatos kiegészítő értékelési korrekció</w:t>
            </w:r>
            <w:r>
              <w:rPr>
                <w:rStyle w:val="InstructionsTabelleberschrift"/>
                <w:rFonts w:ascii="Times New Roman" w:hAnsi="Times New Roman"/>
                <w:b w:val="0"/>
                <w:sz w:val="24"/>
                <w:u w:val="none"/>
              </w:rPr>
              <w:t xml:space="preserv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NEM REALIZÁLT HITELKOCKÁZATI FELÁR</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Az intézmény valós értékében a származtatott pozíciók partner általi nemteljesítéséből fakadó várható veszteségek fedezése céljából alkalmazott ko</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rekció (azaz teljes hitelértékelési korrekció (CVA) intézményi szinten).</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BEFEKTETÉSI </w:t>
            </w:r>
            <w:proofErr w:type="gramStart"/>
            <w:r>
              <w:rPr>
                <w:rStyle w:val="InstructionsTabelleberschrift"/>
                <w:rFonts w:ascii="Times New Roman" w:hAnsi="Times New Roman"/>
                <w:sz w:val="24"/>
              </w:rPr>
              <w:t>ÉS</w:t>
            </w:r>
            <w:proofErr w:type="gramEnd"/>
            <w:r>
              <w:rPr>
                <w:rStyle w:val="InstructionsTabelleberschrift"/>
                <w:rFonts w:ascii="Times New Roman" w:hAnsi="Times New Roman"/>
                <w:sz w:val="24"/>
              </w:rPr>
              <w:t xml:space="preserve"> FINANSZÍROZÁSI KÖLTSÉGEK</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 valós értékében a kompenzálás érdekében alkalmazott korrekció, amennyiben az értékelési modellek nem tükrözik teljes mértékben a finanszírozási költséget, amelyet a piaci szereplők egy pozíció vagy portfólió kilépési árában f</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gyelembe vennének (azaz a finanszírozási értékelési korrekció intézményi szinten, ha az intézmény ilyen, vagy esetleg egyenértékű korrekciót számít).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JÖVŐBELI ADMINISZTRATÍV KÖLTSÉGEK</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 valós értékében azon adminisztratív költségek tükrözése céljából alkalmazott korrekció, amelyek a portfólió vagy pozíció kapcsán felmerülnek, de amelyeket nem vesz figyelembe az értékelési modell vagy a modell inputjainak kalibrálásához használt árak, és amely korrekcióról így megállapítható, hogy ugyanarra az értékelési bizonytalansági forrásra vonatkozik, mint a jövőbeli adm</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nisztratív költségekkel kapcsolatos kiegészítő értékelési korrekció.</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LEJÁRAT ELŐTTI VISSZAVÁLTÁS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 valós értékében azon szerződéses vagy nem szerződéses lejárat elő</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ti visszaváltásra vonatkozó várakozások tükrözése érdekben alkalmazott korre</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ció, amelyeket nem vesz figyelembe az értékelési modell, és amely korrekcióról így megállapítható, hogy ugyanarra az értékelési bizonytalansági forrásra vona</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kozik, mint a lejárat előtti visszaváltással kapcsolatos kiegészítő értékelési korre</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ció.</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MŰKÖDÉSI KOCKÁZAT</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Az intézmény valós értékében azon kockázati prémium tükrözése érdekében a</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kalmazott korrekció, amelyet a piaci szereplők felszámítanának a portfólióban l</w:t>
            </w:r>
            <w:r>
              <w:rPr>
                <w:rStyle w:val="InstructionsTabelleberschrift"/>
                <w:rFonts w:ascii="Times New Roman" w:hAnsi="Times New Roman"/>
                <w:b w:val="0"/>
                <w:sz w:val="24"/>
                <w:u w:val="none"/>
              </w:rPr>
              <w:t>é</w:t>
            </w:r>
            <w:r>
              <w:rPr>
                <w:rStyle w:val="InstructionsTabelleberschrift"/>
                <w:rFonts w:ascii="Times New Roman" w:hAnsi="Times New Roman"/>
                <w:b w:val="0"/>
                <w:sz w:val="24"/>
                <w:u w:val="none"/>
              </w:rPr>
              <w:t>vő szerződések fedezéséből, adminisztrációjából és elszámolásából eredő működ</w:t>
            </w:r>
            <w:r>
              <w:rPr>
                <w:rStyle w:val="InstructionsTabelleberschrift"/>
                <w:rFonts w:ascii="Times New Roman" w:hAnsi="Times New Roman"/>
                <w:b w:val="0"/>
                <w:sz w:val="24"/>
                <w:u w:val="none"/>
              </w:rPr>
              <w:t>é</w:t>
            </w:r>
            <w:r>
              <w:rPr>
                <w:rStyle w:val="InstructionsTabelleberschrift"/>
                <w:rFonts w:ascii="Times New Roman" w:hAnsi="Times New Roman"/>
                <w:b w:val="0"/>
                <w:sz w:val="24"/>
                <w:u w:val="none"/>
              </w:rPr>
              <w:t>si kockázatok kompenzációja céljából, és amely korrekcióról így megállapítható, hogy ugyanarra az értékelési bizonytalansági forrásra vonatkozik, mint a működési kockázattal kapcsolatos kiegészítő értékelési korrekció.</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1. NAPI EREDMÉNY</w:t>
            </w:r>
          </w:p>
          <w:p w:rsidR="001B1531"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Azon esetek tükrözése céljából alkalmazott korrekciók, amelyekben az értékelési modell plusz a pozícióra vagy portfólióra alkalmazandó összes többi releváns v</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lósérték-korrekció nem vette figyelembe az első napi megjelenítéskor fizetett vagy kapott árat, azaz az első napi nyereségek és veszteségek elhalasztását (IFRS 9 B5.1.2A. bekezdés).</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MAGYARÁZAT</w:t>
            </w:r>
          </w:p>
          <w:p w:rsidR="00973707" w:rsidRPr="00DD41BE" w:rsidRDefault="00973707" w:rsidP="00FD239F">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A prudens értékelésről szóló (EU) 2016/101 felhatalmazáson alapuló rendelet 7. </w:t>
            </w:r>
            <w:r>
              <w:rPr>
                <w:rFonts w:ascii="Times New Roman" w:hAnsi="Times New Roman"/>
                <w:sz w:val="24"/>
              </w:rPr>
              <w:lastRenderedPageBreak/>
              <w:t>cikke (2) bekezdésének b) pontja szerint kezelt pozíciók leírása, és annak magy</w:t>
            </w:r>
            <w:r>
              <w:rPr>
                <w:rFonts w:ascii="Times New Roman" w:hAnsi="Times New Roman"/>
                <w:sz w:val="24"/>
              </w:rPr>
              <w:t>a</w:t>
            </w:r>
            <w:r>
              <w:rPr>
                <w:rFonts w:ascii="Times New Roman" w:hAnsi="Times New Roman"/>
                <w:sz w:val="24"/>
              </w:rPr>
              <w:t>rázata, hogy miért nem volt lehetséges a rendelet 9–17. cikkének az alkalmazása.</w:t>
            </w:r>
          </w:p>
        </w:tc>
      </w:tr>
    </w:tbl>
    <w:p w:rsidR="00B93FA1" w:rsidRPr="00DD41B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DD41BE" w:rsidTr="00672D2A">
        <w:tc>
          <w:tcPr>
            <w:tcW w:w="9288" w:type="dxa"/>
            <w:gridSpan w:val="2"/>
            <w:shd w:val="clear" w:color="auto" w:fill="CCCCCC"/>
          </w:tcPr>
          <w:p w:rsidR="00973707" w:rsidRPr="00DD41BE" w:rsidRDefault="00973707" w:rsidP="00AF3D7A">
            <w:pPr>
              <w:spacing w:beforeLines="60" w:before="144" w:afterLines="60" w:after="144"/>
              <w:rPr>
                <w:rFonts w:ascii="Times New Roman" w:hAnsi="Times New Roman"/>
                <w:b/>
                <w:sz w:val="24"/>
              </w:rPr>
            </w:pPr>
            <w:r>
              <w:rPr>
                <w:rFonts w:ascii="Times New Roman" w:hAnsi="Times New Roman"/>
                <w:b/>
                <w:sz w:val="24"/>
              </w:rPr>
              <w:t>Sorok</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DD41BE" w:rsidRDefault="00406A85" w:rsidP="00AF3D7A">
            <w:pPr>
              <w:spacing w:beforeLines="60" w:before="144" w:afterLines="60" w:after="144"/>
              <w:rPr>
                <w:rFonts w:ascii="Times New Roman" w:hAnsi="Times New Roman"/>
                <w:b/>
                <w:sz w:val="24"/>
                <w:u w:val="single"/>
              </w:rPr>
            </w:pPr>
            <w:r>
              <w:rPr>
                <w:rFonts w:ascii="Times New Roman" w:hAnsi="Times New Roman"/>
                <w:b/>
                <w:sz w:val="24"/>
                <w:u w:val="single"/>
              </w:rPr>
              <w:t>1. ALAPVETŐ MÓDSZER ÖSSZESEN</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 prudens értékelésről szóló (EU) 2016/101 felhatalmazáson alapuló rendelet 7. cikkének (2) bekezdése.</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A 0010–0110. oszlopban említett kiegészítő értékelési korrekciók minden egyes releváns kategóriájára vonatkozóan a prudens értékelésről szóló (EU) 2016/101 felhatalmazáson alapuló rendelet 3. fejezetében meghatározott alapvető módszer szerint kiszámított kiegészítő értékelési korrekciók teljes összege a prudens érték</w:t>
            </w:r>
            <w:r>
              <w:rPr>
                <w:rFonts w:ascii="Times New Roman" w:hAnsi="Times New Roman"/>
                <w:sz w:val="24"/>
              </w:rPr>
              <w:t>e</w:t>
            </w:r>
            <w:r>
              <w:rPr>
                <w:rFonts w:ascii="Times New Roman" w:hAnsi="Times New Roman"/>
                <w:sz w:val="24"/>
              </w:rPr>
              <w:t>lésről szóló (EU) 2016/101 felhatalmazáson alapuló rendelet 4. cikkének (1) b</w:t>
            </w:r>
            <w:r>
              <w:rPr>
                <w:rFonts w:ascii="Times New Roman" w:hAnsi="Times New Roman"/>
                <w:sz w:val="24"/>
              </w:rPr>
              <w:t>e</w:t>
            </w:r>
            <w:r>
              <w:rPr>
                <w:rFonts w:ascii="Times New Roman" w:hAnsi="Times New Roman"/>
                <w:sz w:val="24"/>
              </w:rPr>
              <w:t xml:space="preserve">kezdése szerinti értékhatár-számításba bevont valós értéken értékelt eszközökre és kötelezettségekre vonatkozóan. Ez magában foglalja a prudens értékelésről szóló (EU) 2016/101 felhatalmazáson alapuló rendelet 9. cikkének (6) bekezdésével, 10. cikkének (7) bekezdésével és 11. cikkének (7) bekezdésével összhangban a 0140. sorban feltüntetett diverzifikációs nyereséget. </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DD41BE" w:rsidRDefault="00406A85" w:rsidP="00AF3D7A">
            <w:pPr>
              <w:spacing w:beforeLines="60" w:before="144" w:afterLines="60" w:after="144"/>
              <w:rPr>
                <w:rFonts w:ascii="Times New Roman" w:hAnsi="Times New Roman"/>
                <w:b/>
                <w:sz w:val="24"/>
                <w:u w:val="single"/>
              </w:rPr>
            </w:pPr>
            <w:r>
              <w:rPr>
                <w:rFonts w:ascii="Times New Roman" w:hAnsi="Times New Roman"/>
                <w:b/>
                <w:sz w:val="24"/>
                <w:u w:val="single"/>
              </w:rPr>
              <w:t>EBBŐL: KERESKEDÉSI KÖNYV</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 prudens értékelésről szóló (EU) 2016/101 felhatalmazáson alapuló rendelet 7. cikkének (2) bekezdése.</w:t>
            </w:r>
          </w:p>
          <w:p w:rsidR="00973707" w:rsidRPr="00DD41BE" w:rsidRDefault="00973707" w:rsidP="009A7A38">
            <w:pPr>
              <w:spacing w:beforeLines="60" w:before="144" w:afterLines="60" w:after="144"/>
              <w:rPr>
                <w:rFonts w:ascii="Times New Roman" w:hAnsi="Times New Roman"/>
                <w:b/>
                <w:sz w:val="24"/>
                <w:u w:val="single"/>
              </w:rPr>
            </w:pPr>
            <w:r>
              <w:rPr>
                <w:rFonts w:ascii="Times New Roman" w:hAnsi="Times New Roman"/>
                <w:sz w:val="24"/>
              </w:rPr>
              <w:t>A 0010–0110. oszlopban említett kiegészítő értékelési korrekciók minden egyes releváns kategóriájára vonatkozóan a 0010. sorban feltüntetett kiegészítő értékel</w:t>
            </w:r>
            <w:r>
              <w:rPr>
                <w:rFonts w:ascii="Times New Roman" w:hAnsi="Times New Roman"/>
                <w:sz w:val="24"/>
              </w:rPr>
              <w:t>é</w:t>
            </w:r>
            <w:r>
              <w:rPr>
                <w:rFonts w:ascii="Times New Roman" w:hAnsi="Times New Roman"/>
                <w:sz w:val="24"/>
              </w:rPr>
              <w:t>si korrekciók teljes összegének a kereskedési könyvi pozíciókból eredő része (a</w:t>
            </w:r>
            <w:r>
              <w:rPr>
                <w:rFonts w:ascii="Times New Roman" w:hAnsi="Times New Roman"/>
                <w:sz w:val="24"/>
              </w:rPr>
              <w:t>b</w:t>
            </w:r>
            <w:r>
              <w:rPr>
                <w:rFonts w:ascii="Times New Roman" w:hAnsi="Times New Roman"/>
                <w:sz w:val="24"/>
              </w:rPr>
              <w:t>szolút érték).</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A 9-17. CIKK SZERINTI PORTFÓLIÓK – KATEGÓRIASZINTŰ ÖSSZESÍTÉS DIVERZIFIKÁCIÓ UTÁN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 prudens értékelésről szóló (EU) 2016/101 felhatalmazáson alapuló rendelet 7. cikke (2) bekezdésének a) pontja.</w:t>
            </w:r>
          </w:p>
          <w:p w:rsidR="00973707" w:rsidRPr="00DD41BE" w:rsidRDefault="00973707" w:rsidP="00AF3D7A">
            <w:pPr>
              <w:spacing w:beforeLines="60" w:before="144" w:afterLines="60" w:after="144"/>
              <w:rPr>
                <w:rFonts w:ascii="Times New Roman" w:hAnsi="Times New Roman"/>
                <w:sz w:val="24"/>
              </w:rPr>
            </w:pPr>
            <w:proofErr w:type="gramStart"/>
            <w:r>
              <w:rPr>
                <w:rFonts w:ascii="Times New Roman" w:hAnsi="Times New Roman"/>
                <w:sz w:val="24"/>
              </w:rPr>
              <w:t>A 0010–0110. oszlopban említett kiegészítő értékelési korrekciók minden egyes releváns kategóriájára vonatkozóan a prudens értékelésről szóló (EU) 2016/101 felhatalmazáson alapuló rendelet 9–17. cikke szerint számított kiegészítő értékel</w:t>
            </w:r>
            <w:r>
              <w:rPr>
                <w:rFonts w:ascii="Times New Roman" w:hAnsi="Times New Roman"/>
                <w:sz w:val="24"/>
              </w:rPr>
              <w:t>é</w:t>
            </w:r>
            <w:r>
              <w:rPr>
                <w:rFonts w:ascii="Times New Roman" w:hAnsi="Times New Roman"/>
                <w:sz w:val="24"/>
              </w:rPr>
              <w:t>si korrekciók teljes összege a prudens értékelésről szóló (EU) 2016/101 felhata</w:t>
            </w:r>
            <w:r>
              <w:rPr>
                <w:rFonts w:ascii="Times New Roman" w:hAnsi="Times New Roman"/>
                <w:sz w:val="24"/>
              </w:rPr>
              <w:t>l</w:t>
            </w:r>
            <w:r>
              <w:rPr>
                <w:rFonts w:ascii="Times New Roman" w:hAnsi="Times New Roman"/>
                <w:sz w:val="24"/>
              </w:rPr>
              <w:t>mazáson alapuló rendelet 4. cikkének (1) bekezdése szerinti értékhatár-számításba bevont valós értéken értékelt eszközökre és kötelezettségekre vonatkozóan, kivéve a prudens értékelésről szóló (EU) 2016/101 felhatalmazáson alapuló rendelet 7. cikke (2) bekezdésének b) pontjában leírt</w:t>
            </w:r>
            <w:proofErr w:type="gramEnd"/>
            <w:r>
              <w:rPr>
                <w:rFonts w:ascii="Times New Roman" w:hAnsi="Times New Roman"/>
                <w:sz w:val="24"/>
              </w:rPr>
              <w:t xml:space="preserve"> kezelés alá tartozó valós értéken értékelt eszközöket és kötelezettségeket. </w:t>
            </w:r>
          </w:p>
          <w:p w:rsidR="00973707" w:rsidRPr="00DD41BE" w:rsidRDefault="00973707" w:rsidP="00AF3D7A">
            <w:pPr>
              <w:spacing w:beforeLines="60" w:before="144" w:afterLines="60" w:after="144"/>
              <w:rPr>
                <w:rFonts w:ascii="Times New Roman" w:hAnsi="Times New Roman"/>
                <w:sz w:val="24"/>
              </w:rPr>
            </w:pPr>
            <w:proofErr w:type="gramStart"/>
            <w:r>
              <w:rPr>
                <w:rFonts w:ascii="Times New Roman" w:hAnsi="Times New Roman"/>
                <w:sz w:val="24"/>
              </w:rPr>
              <w:t>Ez magában foglalja a prudens értékelésről szóló (EU) 2016/101 felhatalmazáson alapuló rendelet 12. és 13. cikke szerint számított, a 0050. és 0060. sorban feltü</w:t>
            </w:r>
            <w:r>
              <w:rPr>
                <w:rFonts w:ascii="Times New Roman" w:hAnsi="Times New Roman"/>
                <w:sz w:val="24"/>
              </w:rPr>
              <w:t>n</w:t>
            </w:r>
            <w:r>
              <w:rPr>
                <w:rFonts w:ascii="Times New Roman" w:hAnsi="Times New Roman"/>
                <w:sz w:val="24"/>
              </w:rPr>
              <w:t xml:space="preserve">tetett kiegészítő értékelési korrekciókat, amelyeket a prudens értékelésről szóló (EU) 2016/101 felhatalmazáson alapuló rendelet 12. cikkének (2) bekezdésében és </w:t>
            </w:r>
            <w:r>
              <w:rPr>
                <w:rFonts w:ascii="Times New Roman" w:hAnsi="Times New Roman"/>
                <w:sz w:val="24"/>
              </w:rPr>
              <w:lastRenderedPageBreak/>
              <w:t>13. cikkének (2) bekezdésében meghatározottak szerint tartalmaznak a piaci ár b</w:t>
            </w:r>
            <w:r>
              <w:rPr>
                <w:rFonts w:ascii="Times New Roman" w:hAnsi="Times New Roman"/>
                <w:sz w:val="24"/>
              </w:rPr>
              <w:t>i</w:t>
            </w:r>
            <w:r>
              <w:rPr>
                <w:rFonts w:ascii="Times New Roman" w:hAnsi="Times New Roman"/>
                <w:sz w:val="24"/>
              </w:rPr>
              <w:t>zonytalanságával kapcsolatos, a pozíciózárási költségekkel kapcsolatos, és a m</w:t>
            </w:r>
            <w:r>
              <w:rPr>
                <w:rFonts w:ascii="Times New Roman" w:hAnsi="Times New Roman"/>
                <w:sz w:val="24"/>
              </w:rPr>
              <w:t>o</w:t>
            </w:r>
            <w:r>
              <w:rPr>
                <w:rFonts w:ascii="Times New Roman" w:hAnsi="Times New Roman"/>
                <w:sz w:val="24"/>
              </w:rPr>
              <w:t>dellkockázattal kapcsolatos kiegészítő értékelési korrekciók.</w:t>
            </w:r>
            <w:proofErr w:type="gramEnd"/>
            <w:r>
              <w:rPr>
                <w:rFonts w:ascii="Times New Roman" w:hAnsi="Times New Roman"/>
                <w:sz w:val="24"/>
              </w:rPr>
              <w:t xml:space="preserv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Ez magában foglalja a prudens értékelésről szóló (EU) 2016/101 felhatalmazáson alapuló rendelet 9. cikkének (6) bekezdésével, 10. cikkének (7) bekezdésével és 11. cikkének (7) bekezdésével összhangban a 0140. sorban feltüntetett diverzifik</w:t>
            </w:r>
            <w:r>
              <w:rPr>
                <w:rFonts w:ascii="Times New Roman" w:hAnsi="Times New Roman"/>
                <w:sz w:val="24"/>
              </w:rPr>
              <w:t>á</w:t>
            </w:r>
            <w:r>
              <w:rPr>
                <w:rFonts w:ascii="Times New Roman" w:hAnsi="Times New Roman"/>
                <w:sz w:val="24"/>
              </w:rPr>
              <w:t xml:space="preserve">ciós nyereséget. </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 xml:space="preserve">A 0030. sornak ezért a 0040. és 0140. sor különbözetének kell lennie.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 – 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KATEGÓRIASZINTŰ ÖSSZESÍTÉS DIVERZIFIKÁCIÓ ELŐTT</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 0090–0130. sor esetében az intézményeknek a prudens értékelésről szóló (EU) 2016/101 felhatalmazáson alapuló rendelet 4. cikkének (1) bekezdése szerinti é</w:t>
            </w:r>
            <w:r>
              <w:rPr>
                <w:rFonts w:ascii="Times New Roman" w:hAnsi="Times New Roman"/>
                <w:sz w:val="24"/>
              </w:rPr>
              <w:t>r</w:t>
            </w:r>
            <w:r>
              <w:rPr>
                <w:rFonts w:ascii="Times New Roman" w:hAnsi="Times New Roman"/>
                <w:sz w:val="24"/>
              </w:rPr>
              <w:t xml:space="preserve">tékhatár-számításba bevont (kereskedési könyvi és nem kereskedési könyvi) valós értéken értékelt eszközeiket és kötelezettségeiket a következő kockázati kategóriák szerint kell allokálniuk: kamatláb, devizaárfolyam, hitel, részvény, áru.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Az intézmények e célból belső kockázatkezelési struktúrájukra támaszkodnak, és a szakértői megítélés alapján kidolgozott hozzárendelést követve üzletágaikat vagy kereskedési egységeiket a legmegfelelőbb kockázati kategóriához rendelik. Az a</w:t>
            </w:r>
            <w:r>
              <w:rPr>
                <w:rFonts w:ascii="Times New Roman" w:hAnsi="Times New Roman"/>
                <w:sz w:val="24"/>
              </w:rPr>
              <w:t>l</w:t>
            </w:r>
            <w:r>
              <w:rPr>
                <w:rFonts w:ascii="Times New Roman" w:hAnsi="Times New Roman"/>
                <w:sz w:val="24"/>
              </w:rPr>
              <w:t>lokált üzletágaknak vagy kereskedési egységeknek megfelelő kiegészítő értékelési korrekciókat, valósérték-korrekciókat és egyéb előírt információkat ugyanazon r</w:t>
            </w:r>
            <w:r>
              <w:rPr>
                <w:rFonts w:ascii="Times New Roman" w:hAnsi="Times New Roman"/>
                <w:sz w:val="24"/>
              </w:rPr>
              <w:t>e</w:t>
            </w:r>
            <w:r>
              <w:rPr>
                <w:rFonts w:ascii="Times New Roman" w:hAnsi="Times New Roman"/>
                <w:sz w:val="24"/>
              </w:rPr>
              <w:t>leváns kockázati kategóriába kell allokálni, hogy a sorok szintjén minden egyes kockázati kategória esetében biztosított legyen mind a prudenciális célból, mind a számviteli célból végrehajtott korrekciók következetes áttekintése, valamint az érintett pozíciók nagyságának megjelölése (a valós értéken értékelt eszközök és kötelezettségek szempontjából). Amennyiben a kiegészítő értékelési korrekciókat vagy egyéb korrekciókat eltérő aggregálási szinte számítják, mindenekelőtt a vá</w:t>
            </w:r>
            <w:r>
              <w:rPr>
                <w:rFonts w:ascii="Times New Roman" w:hAnsi="Times New Roman"/>
                <w:sz w:val="24"/>
              </w:rPr>
              <w:t>l</w:t>
            </w:r>
            <w:r>
              <w:rPr>
                <w:rFonts w:ascii="Times New Roman" w:hAnsi="Times New Roman"/>
                <w:sz w:val="24"/>
              </w:rPr>
              <w:t>lalkozás szintjén, az intézményeknek ki kell dolgozniuk egy allokációs módszert a kiegészítő értékelési korrekcióknak a releváns pozícióhalmazokhoz való rendel</w:t>
            </w:r>
            <w:r>
              <w:rPr>
                <w:rFonts w:ascii="Times New Roman" w:hAnsi="Times New Roman"/>
                <w:sz w:val="24"/>
              </w:rPr>
              <w:t>é</w:t>
            </w:r>
            <w:r>
              <w:rPr>
                <w:rFonts w:ascii="Times New Roman" w:hAnsi="Times New Roman"/>
                <w:sz w:val="24"/>
              </w:rPr>
              <w:t xml:space="preserve">séhez. Az allokációs módszernek azt kell eredményeznie, hogy a 0040. sor a 0050–0130. sorok összege legyen a 0010–0100. oszlop esetében.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Az alkalmazott módszertől függetlenül a feltüntetett információknak a lehető le</w:t>
            </w:r>
            <w:r>
              <w:rPr>
                <w:rFonts w:ascii="Times New Roman" w:hAnsi="Times New Roman"/>
                <w:sz w:val="24"/>
              </w:rPr>
              <w:t>g</w:t>
            </w:r>
            <w:r>
              <w:rPr>
                <w:rFonts w:ascii="Times New Roman" w:hAnsi="Times New Roman"/>
                <w:sz w:val="24"/>
              </w:rPr>
              <w:t>nagyobb mértékben következetesnek kell lenniük a sorok szintjén, mivel a me</w:t>
            </w:r>
            <w:r>
              <w:rPr>
                <w:rFonts w:ascii="Times New Roman" w:hAnsi="Times New Roman"/>
                <w:sz w:val="24"/>
              </w:rPr>
              <w:t>g</w:t>
            </w:r>
            <w:r>
              <w:rPr>
                <w:rFonts w:ascii="Times New Roman" w:hAnsi="Times New Roman"/>
                <w:sz w:val="24"/>
              </w:rPr>
              <w:t>adott információk ezen a szinten kerülnek összehasonlításra (kiegészítő értékelési korrekciók összegei, felső bizonytalansági érték, valósérték-összegek és potenci</w:t>
            </w:r>
            <w:r>
              <w:rPr>
                <w:rFonts w:ascii="Times New Roman" w:hAnsi="Times New Roman"/>
                <w:sz w:val="24"/>
              </w:rPr>
              <w:t>á</w:t>
            </w:r>
            <w:r>
              <w:rPr>
                <w:rFonts w:ascii="Times New Roman" w:hAnsi="Times New Roman"/>
                <w:sz w:val="24"/>
              </w:rPr>
              <w:t xml:space="preserve">lis valósérték-korrekciók). </w:t>
            </w:r>
          </w:p>
          <w:p w:rsidR="00973707" w:rsidRPr="00DD41BE" w:rsidRDefault="00973707" w:rsidP="00AF3D7A">
            <w:pPr>
              <w:spacing w:beforeLines="60" w:before="144" w:afterLines="60" w:after="144"/>
              <w:rPr>
                <w:rFonts w:ascii="Times New Roman" w:hAnsi="Times New Roman"/>
                <w:sz w:val="24"/>
              </w:rPr>
            </w:pPr>
            <w:proofErr w:type="gramStart"/>
            <w:r>
              <w:rPr>
                <w:rFonts w:ascii="Times New Roman" w:hAnsi="Times New Roman"/>
                <w:sz w:val="24"/>
              </w:rPr>
              <w:t>A 0090–0130. sor bontása nem foglalja magában a prudens értékelésről szóló (EU) 2016/101 felhatalmazáson alapuló rendelet 12. és 13. cikke szerint számított, a 0050. és 0060. sorban feltüntetett kiegészítő értékelési korrekciókat, amelyeket a prudens értékelésről szóló (EU) 2016/101 felhatalmazáson alapuló rendelet 12. cikkének (2) bekezdésében és 13. cikkének (2) bekezdésében meghatározottak szerint tartalmaznak a piaci ár bizonytalanságával kapcsolatos, a pozíciózárási költségekkel kapcsolatos, és a modellkockázattal kapcsolatos kiegészítő értékelési korrekciók.</w:t>
            </w:r>
            <w:proofErr w:type="gramEnd"/>
            <w:r>
              <w:rPr>
                <w:rFonts w:ascii="Times New Roman" w:hAnsi="Times New Roman"/>
                <w:sz w:val="24"/>
              </w:rPr>
              <w:t xml:space="preserv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 diverzifikációs nyereségek a prudens értékelésről szóló (EU) 2016/101 felh</w:t>
            </w:r>
            <w:r>
              <w:rPr>
                <w:rFonts w:ascii="Times New Roman" w:hAnsi="Times New Roman"/>
                <w:sz w:val="24"/>
              </w:rPr>
              <w:t>a</w:t>
            </w:r>
            <w:r>
              <w:rPr>
                <w:rFonts w:ascii="Times New Roman" w:hAnsi="Times New Roman"/>
                <w:sz w:val="24"/>
              </w:rPr>
              <w:t>talmazáson alapuló rendelet 9. cikkének (6) bekezdésével, 10. cikkének (7) beke</w:t>
            </w:r>
            <w:r>
              <w:rPr>
                <w:rFonts w:ascii="Times New Roman" w:hAnsi="Times New Roman"/>
                <w:sz w:val="24"/>
              </w:rPr>
              <w:t>z</w:t>
            </w:r>
            <w:r>
              <w:rPr>
                <w:rFonts w:ascii="Times New Roman" w:hAnsi="Times New Roman"/>
                <w:sz w:val="24"/>
              </w:rPr>
              <w:t>désével és 11. cikkének (7) bekezdésével összhangban a 0140. sorban vannak fe</w:t>
            </w:r>
            <w:r>
              <w:rPr>
                <w:rFonts w:ascii="Times New Roman" w:hAnsi="Times New Roman"/>
                <w:sz w:val="24"/>
              </w:rPr>
              <w:t>l</w:t>
            </w:r>
            <w:r>
              <w:rPr>
                <w:rFonts w:ascii="Times New Roman" w:hAnsi="Times New Roman"/>
                <w:sz w:val="24"/>
              </w:rPr>
              <w:lastRenderedPageBreak/>
              <w:t xml:space="preserve">tüntetve, ezért nem szerepelnek a 0040–0130. sorban.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EBBŐL: NEM REALIZÁLT HITELKOCKÁZATI FELÁR KIEGÉSZÍTŐ ÉRTÉKELÉSI KORREKCIÓJA</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A CRR 105. cikkének (10) bekezdése, a prudens értékelésről szóló (EU) 2016/101 felhatalmazáson alapuló rendelet 12. cikke.</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A nem realizált hitelkockázati felárra vonatkozóan kiszámított kiegészítő értékel</w:t>
            </w:r>
            <w:r>
              <w:rPr>
                <w:rFonts w:ascii="Times New Roman" w:hAnsi="Times New Roman"/>
                <w:sz w:val="24"/>
              </w:rPr>
              <w:t>é</w:t>
            </w:r>
            <w:r>
              <w:rPr>
                <w:rFonts w:ascii="Times New Roman" w:hAnsi="Times New Roman"/>
                <w:sz w:val="24"/>
              </w:rPr>
              <w:t>si korrekció teljes összege, és a prudens értékelésről szóló (EU) 2016/101 felh</w:t>
            </w:r>
            <w:r>
              <w:rPr>
                <w:rFonts w:ascii="Times New Roman" w:hAnsi="Times New Roman"/>
                <w:sz w:val="24"/>
              </w:rPr>
              <w:t>a</w:t>
            </w:r>
            <w:r>
              <w:rPr>
                <w:rFonts w:ascii="Times New Roman" w:hAnsi="Times New Roman"/>
                <w:sz w:val="24"/>
              </w:rPr>
              <w:t>talmazáson alapuló rendelet 12. cikk szerinti allokációja a piaci ár bizonytalans</w:t>
            </w:r>
            <w:r>
              <w:rPr>
                <w:rFonts w:ascii="Times New Roman" w:hAnsi="Times New Roman"/>
                <w:sz w:val="24"/>
              </w:rPr>
              <w:t>á</w:t>
            </w:r>
            <w:r>
              <w:rPr>
                <w:rFonts w:ascii="Times New Roman" w:hAnsi="Times New Roman"/>
                <w:sz w:val="24"/>
              </w:rPr>
              <w:t xml:space="preserve">gával, a pozíciózárási költségekkel és a modellkockázattal kapcsolatos kiegészítő értékelési korrekciók között.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0110. oszlop: A kiegészítő értékelési korrekciók teljes összege csak tájékoztatásul szerepel, mivel a piaci ár bizonytalanságával, a pozíciózárási költségekkel és a modellkockázattal kapcsolatos kiegészítő értékelési korrekciók közötti allokáci</w:t>
            </w:r>
            <w:r>
              <w:rPr>
                <w:rFonts w:ascii="Times New Roman" w:hAnsi="Times New Roman"/>
                <w:sz w:val="24"/>
              </w:rPr>
              <w:t>ó</w:t>
            </w:r>
            <w:r>
              <w:rPr>
                <w:rFonts w:ascii="Times New Roman" w:hAnsi="Times New Roman"/>
                <w:sz w:val="24"/>
              </w:rPr>
              <w:t xml:space="preserve">jának eredményeképp – a diverzifikációs nyereségek figyelembevétele után – a vonatkozó kategóriaszintű kiegészítő értékelési korrekciók alá kerül.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0130. és 0140. oszlop: Nem realizált hitelkockázati felárral kapcsolatos kiegészítő értékelési korrekciók számításába bevont, valós értéken értékelt eszközök és köt</w:t>
            </w:r>
            <w:r>
              <w:rPr>
                <w:rFonts w:ascii="Times New Roman" w:hAnsi="Times New Roman"/>
                <w:sz w:val="24"/>
              </w:rPr>
              <w:t>e</w:t>
            </w:r>
            <w:r>
              <w:rPr>
                <w:rFonts w:ascii="Times New Roman" w:hAnsi="Times New Roman"/>
                <w:sz w:val="24"/>
              </w:rPr>
              <w:t>lezettségek abszolút értéke. Ennek a kiegészítő értékelési korrekciónak a kiszám</w:t>
            </w:r>
            <w:r>
              <w:rPr>
                <w:rFonts w:ascii="Times New Roman" w:hAnsi="Times New Roman"/>
                <w:sz w:val="24"/>
              </w:rPr>
              <w:t>í</w:t>
            </w:r>
            <w:r>
              <w:rPr>
                <w:rFonts w:ascii="Times New Roman" w:hAnsi="Times New Roman"/>
                <w:sz w:val="24"/>
              </w:rPr>
              <w:t>tása céljából a prudens értékelésről szóló (EU) 2016/101 felhatalmazáson alapuló rendelet 4. cikkének (2) bekezdése szerint az értékhatár-számításból kizárt pont</w:t>
            </w:r>
            <w:r>
              <w:rPr>
                <w:rFonts w:ascii="Times New Roman" w:hAnsi="Times New Roman"/>
                <w:sz w:val="24"/>
              </w:rPr>
              <w:t>o</w:t>
            </w:r>
            <w:r>
              <w:rPr>
                <w:rFonts w:ascii="Times New Roman" w:hAnsi="Times New Roman"/>
                <w:sz w:val="24"/>
              </w:rPr>
              <w:t>san megegyező, valós értéken értékelt kiegyenlítő eszközök és kötelezettségek nem tekinthetők többé pontosan megegyezőnek, kiegyenlítőnek.</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EBBŐL: BEFEKTETÉSI </w:t>
            </w:r>
            <w:proofErr w:type="gramStart"/>
            <w:r>
              <w:rPr>
                <w:rFonts w:ascii="Times New Roman" w:hAnsi="Times New Roman"/>
                <w:b/>
                <w:sz w:val="24"/>
                <w:u w:val="single"/>
              </w:rPr>
              <w:t>ÉS</w:t>
            </w:r>
            <w:proofErr w:type="gramEnd"/>
            <w:r>
              <w:rPr>
                <w:rFonts w:ascii="Times New Roman" w:hAnsi="Times New Roman"/>
                <w:b/>
                <w:sz w:val="24"/>
                <w:u w:val="single"/>
              </w:rPr>
              <w:t xml:space="preserve"> FINANSZÍROZÁSI KÖLTSÉGEK KIEG</w:t>
            </w:r>
            <w:r>
              <w:rPr>
                <w:rFonts w:ascii="Times New Roman" w:hAnsi="Times New Roman"/>
                <w:b/>
                <w:sz w:val="24"/>
                <w:u w:val="single"/>
              </w:rPr>
              <w:t>É</w:t>
            </w:r>
            <w:r>
              <w:rPr>
                <w:rFonts w:ascii="Times New Roman" w:hAnsi="Times New Roman"/>
                <w:b/>
                <w:sz w:val="24"/>
                <w:u w:val="single"/>
              </w:rPr>
              <w:t xml:space="preserve">SZÍTŐ ÉRTÉKELÉSI KORREKCIÓJA </w:t>
            </w:r>
          </w:p>
          <w:p w:rsidR="00973707" w:rsidRPr="00584165" w:rsidRDefault="00973707" w:rsidP="00AF3D7A">
            <w:pPr>
              <w:spacing w:beforeLines="60" w:before="144" w:afterLines="60" w:after="144"/>
              <w:rPr>
                <w:rFonts w:ascii="Times New Roman" w:hAnsi="Times New Roman"/>
                <w:caps/>
                <w:sz w:val="24"/>
                <w:u w:val="single"/>
              </w:rPr>
            </w:pPr>
            <w:r>
              <w:rPr>
                <w:rFonts w:ascii="Times New Roman" w:hAnsi="Times New Roman"/>
                <w:sz w:val="24"/>
              </w:rPr>
              <w:t>A CRR 105. cikkének (10) bekezdése, a prudens értékelésről szóló (EU) 2016/101 felhatalmazáson alapuló rendelet 17. cikke.</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A befektetési és finanszírozási költségekre vonatkozóan kiszámított kiegészítő é</w:t>
            </w:r>
            <w:r>
              <w:rPr>
                <w:rFonts w:ascii="Times New Roman" w:hAnsi="Times New Roman"/>
                <w:sz w:val="24"/>
              </w:rPr>
              <w:t>r</w:t>
            </w:r>
            <w:r>
              <w:rPr>
                <w:rFonts w:ascii="Times New Roman" w:hAnsi="Times New Roman"/>
                <w:sz w:val="24"/>
              </w:rPr>
              <w:t>tékelési korrekció teljes összege, és a prudens értékelésről szóló (EU) 2016/101 felhatalmazáson alapuló rendelet 13. cikk szerinti allokációja a piaci ár bizonyt</w:t>
            </w:r>
            <w:r>
              <w:rPr>
                <w:rFonts w:ascii="Times New Roman" w:hAnsi="Times New Roman"/>
                <w:sz w:val="24"/>
              </w:rPr>
              <w:t>a</w:t>
            </w:r>
            <w:r>
              <w:rPr>
                <w:rFonts w:ascii="Times New Roman" w:hAnsi="Times New Roman"/>
                <w:sz w:val="24"/>
              </w:rPr>
              <w:t>lanságával, a pozíciózárási költségekkel és a modellkockázattal kapcsolatos kieg</w:t>
            </w:r>
            <w:r>
              <w:rPr>
                <w:rFonts w:ascii="Times New Roman" w:hAnsi="Times New Roman"/>
                <w:sz w:val="24"/>
              </w:rPr>
              <w:t>é</w:t>
            </w:r>
            <w:r>
              <w:rPr>
                <w:rFonts w:ascii="Times New Roman" w:hAnsi="Times New Roman"/>
                <w:sz w:val="24"/>
              </w:rPr>
              <w:t xml:space="preserve">szítő értékelési korrekciók között.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0110. oszlop: A kiegészítő értékelési korrekciók teljes összege csak tájékoztatásul szerepel, mivel a piaci ár bizonytalanságával, a pozíciózárási költségekkel és a modellkockázattal kapcsolatos kiegészítő értékelési korrekciók közötti allokáci</w:t>
            </w:r>
            <w:r>
              <w:rPr>
                <w:rFonts w:ascii="Times New Roman" w:hAnsi="Times New Roman"/>
                <w:sz w:val="24"/>
              </w:rPr>
              <w:t>ó</w:t>
            </w:r>
            <w:r>
              <w:rPr>
                <w:rFonts w:ascii="Times New Roman" w:hAnsi="Times New Roman"/>
                <w:sz w:val="24"/>
              </w:rPr>
              <w:t xml:space="preserve">jának eredményeképp – a diverzifikációs nyereségek figyelembevétele után – a vonatkozó kategóriaszintű kiegészítő értékelési korrekciók alá kerül.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0130. és 0140. oszlop: Befektetési és finanszírozási költségekkel kapcsolatos k</w:t>
            </w:r>
            <w:r>
              <w:rPr>
                <w:rFonts w:ascii="Times New Roman" w:hAnsi="Times New Roman"/>
                <w:sz w:val="24"/>
              </w:rPr>
              <w:t>i</w:t>
            </w:r>
            <w:r>
              <w:rPr>
                <w:rFonts w:ascii="Times New Roman" w:hAnsi="Times New Roman"/>
                <w:sz w:val="24"/>
              </w:rPr>
              <w:t>egészítő értékelési korrekció számításába bevont, valós értéken értékelt eszközök és kötelezettségek abszolút értéke. Ennek a kiegészítő értékelési korrekciónak a kiszámítása céljából a prudens értékelésről szóló (EU) 2016/101 felhatalmazáson alapuló rendelet 4. cikkének (2) bekezdése szerint az értékhatár-számításból kizárt pontosan megegyező, valós értéken értékelt kiegyenlítő eszközök és kötelezetts</w:t>
            </w:r>
            <w:r>
              <w:rPr>
                <w:rFonts w:ascii="Times New Roman" w:hAnsi="Times New Roman"/>
                <w:sz w:val="24"/>
              </w:rPr>
              <w:t>é</w:t>
            </w:r>
            <w:r>
              <w:rPr>
                <w:rFonts w:ascii="Times New Roman" w:hAnsi="Times New Roman"/>
                <w:sz w:val="24"/>
              </w:rPr>
              <w:t>gek nem tekinthetők többé pontosan megegyezőnek, kiegyenlítőnek.</w:t>
            </w:r>
          </w:p>
        </w:tc>
      </w:tr>
      <w:tr w:rsidR="00973707" w:rsidRPr="009A7A38" w:rsidTr="00672D2A">
        <w:tc>
          <w:tcPr>
            <w:tcW w:w="1101" w:type="dxa"/>
          </w:tcPr>
          <w:p w:rsidR="00973707" w:rsidRPr="00995B12"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EBBŐL: A 9. CIKK (2) BEKEZDÉSE SZERINT NULLA ÉRTÉKKEL É</w:t>
            </w:r>
            <w:r>
              <w:rPr>
                <w:rFonts w:ascii="Times New Roman" w:hAnsi="Times New Roman"/>
                <w:b/>
                <w:sz w:val="24"/>
                <w:u w:val="single"/>
              </w:rPr>
              <w:t>R</w:t>
            </w:r>
            <w:r>
              <w:rPr>
                <w:rFonts w:ascii="Times New Roman" w:hAnsi="Times New Roman"/>
                <w:b/>
                <w:sz w:val="24"/>
                <w:u w:val="single"/>
              </w:rPr>
              <w:t xml:space="preserve">TÉKELT KIEGÉSZÍTŐ ÉRTÉKELÉSI KORREKCIÓ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 prudens értékelésről szóló (EU) 2016/101 felhatalmazáson alapuló rendelet 9. cikkének (2) bekezdése szerint nulla kiegészítő értékelési korrekcióval rendelk</w:t>
            </w:r>
            <w:r>
              <w:rPr>
                <w:rFonts w:ascii="Times New Roman" w:hAnsi="Times New Roman"/>
                <w:sz w:val="24"/>
              </w:rPr>
              <w:t>e</w:t>
            </w:r>
            <w:r>
              <w:rPr>
                <w:rFonts w:ascii="Times New Roman" w:hAnsi="Times New Roman"/>
                <w:sz w:val="24"/>
              </w:rPr>
              <w:t xml:space="preserve">zőnek értékelt értékelési kitettségnek megfelelő, valós értéken értékelt eszközök és kötelezettségek abszolút értéke.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EBBŐL: A 10. CIKK (2) </w:t>
            </w:r>
            <w:proofErr w:type="gramStart"/>
            <w:r>
              <w:rPr>
                <w:rFonts w:ascii="Times New Roman" w:hAnsi="Times New Roman"/>
                <w:b/>
                <w:sz w:val="24"/>
                <w:u w:val="single"/>
              </w:rPr>
              <w:t>ÉS</w:t>
            </w:r>
            <w:proofErr w:type="gramEnd"/>
            <w:r>
              <w:rPr>
                <w:rFonts w:ascii="Times New Roman" w:hAnsi="Times New Roman"/>
                <w:b/>
                <w:sz w:val="24"/>
                <w:u w:val="single"/>
              </w:rPr>
              <w:t xml:space="preserve"> (3) BEKEZDÉSE SZERINT NULLA ÉRTÉ</w:t>
            </w:r>
            <w:r>
              <w:rPr>
                <w:rFonts w:ascii="Times New Roman" w:hAnsi="Times New Roman"/>
                <w:b/>
                <w:sz w:val="24"/>
                <w:u w:val="single"/>
              </w:rPr>
              <w:t>K</w:t>
            </w:r>
            <w:r>
              <w:rPr>
                <w:rFonts w:ascii="Times New Roman" w:hAnsi="Times New Roman"/>
                <w:b/>
                <w:sz w:val="24"/>
                <w:u w:val="single"/>
              </w:rPr>
              <w:t xml:space="preserve">KEL ÉRTÉKELT KIEGÉSZÍTŐ ÉRTÉKELÉSI KORREKCIÓ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 prudens értékelésről szóló (EU) 2016/101 felhatalmazáson alapuló rendelet 10. cikkének (2) bekezdése vagy 10. cikkének (3) bekezdése szerint nulla kiegészítő értékelési korrekcióval rendelkezőnek értékelt értékelési kitettségnek megfelelő, valós értéken értékelt eszközök és kötelezettségek abszolút értéke.</w:t>
            </w:r>
          </w:p>
        </w:tc>
      </w:tr>
      <w:tr w:rsidR="00973707" w:rsidRPr="009A7A38" w:rsidTr="00672D2A">
        <w:tc>
          <w:tcPr>
            <w:tcW w:w="1101" w:type="dxa"/>
          </w:tcPr>
          <w:p w:rsidR="00973707" w:rsidRPr="005D591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KAMATOK</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DEVIZA</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HITEL</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RÉSZVÉNYEK</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ÁRUK</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5D5914"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Diverzifikációs nyereség</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 diverzifikációs nyereség teljes összege. A 0150. és 0160. sor összege.</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Az 1. módszerrel számított diverzifikációs nyereség</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A prudens értékelésről szóló (EU) 2016/101 felhatalmazáson alapuló rendelet 9. cikkének (6) bekezdésével, 10. cikkének (7) bekezdésével és 11. cikkének (6) b</w:t>
            </w:r>
            <w:r>
              <w:rPr>
                <w:rFonts w:ascii="Times New Roman" w:hAnsi="Times New Roman"/>
                <w:sz w:val="24"/>
              </w:rPr>
              <w:t>e</w:t>
            </w:r>
            <w:r>
              <w:rPr>
                <w:rFonts w:ascii="Times New Roman" w:hAnsi="Times New Roman"/>
                <w:sz w:val="24"/>
              </w:rPr>
              <w:t>kezdésével összhangban a kiegészítő értékelési korrekciók 1. módszer szerint ö</w:t>
            </w:r>
            <w:r>
              <w:rPr>
                <w:rFonts w:ascii="Times New Roman" w:hAnsi="Times New Roman"/>
                <w:sz w:val="24"/>
              </w:rPr>
              <w:t>s</w:t>
            </w:r>
            <w:r>
              <w:rPr>
                <w:rFonts w:ascii="Times New Roman" w:hAnsi="Times New Roman"/>
                <w:sz w:val="24"/>
              </w:rPr>
              <w:t>szesített kategóriái esetében az egyedi kiegészítő értékelési korrekciók összege és a teljes kategóriaszintű kiegészítő értékelési korrekció – az összesítés céljából végzett korrekciót követő – összege közötti különbség.</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A 2. módszerrel számított diverzifikációs ny</w:t>
            </w:r>
            <w:r>
              <w:rPr>
                <w:rFonts w:ascii="Times New Roman" w:hAnsi="Times New Roman"/>
                <w:b/>
                <w:caps/>
                <w:sz w:val="24"/>
                <w:u w:val="single"/>
              </w:rPr>
              <w:t>e</w:t>
            </w:r>
            <w:r>
              <w:rPr>
                <w:rFonts w:ascii="Times New Roman" w:hAnsi="Times New Roman"/>
                <w:b/>
                <w:caps/>
                <w:sz w:val="24"/>
                <w:u w:val="single"/>
              </w:rPr>
              <w:t>reség</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A prudens értékelésről szóló (EU) 2016/101 felhatalmazáson alapuló rendelet 9. cikkének (6) bekezdésével, 10. cikkének (7) bekezdésével és 11. cikkének (6) b</w:t>
            </w:r>
            <w:r>
              <w:rPr>
                <w:rFonts w:ascii="Times New Roman" w:hAnsi="Times New Roman"/>
                <w:sz w:val="24"/>
              </w:rPr>
              <w:t>e</w:t>
            </w:r>
            <w:r>
              <w:rPr>
                <w:rFonts w:ascii="Times New Roman" w:hAnsi="Times New Roman"/>
                <w:sz w:val="24"/>
              </w:rPr>
              <w:t>kezdésével összhangban a kiegészítő értékelési korrekciók 2. módszer szerint ö</w:t>
            </w:r>
            <w:r>
              <w:rPr>
                <w:rFonts w:ascii="Times New Roman" w:hAnsi="Times New Roman"/>
                <w:sz w:val="24"/>
              </w:rPr>
              <w:t>s</w:t>
            </w:r>
            <w:r>
              <w:rPr>
                <w:rFonts w:ascii="Times New Roman" w:hAnsi="Times New Roman"/>
                <w:sz w:val="24"/>
              </w:rPr>
              <w:t>szesített kategóriái esetében az egyedi kiegészítő értékelési korrekciók összege és a teljes kategóriaszintű kiegészítő értékelési korrekció – az összesítés céljából végzett korrekciót követő – összege közötti különbség.</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Tájékoztató adat: Diverzifikáció előtti kieg</w:t>
            </w:r>
            <w:r>
              <w:rPr>
                <w:rFonts w:ascii="Times New Roman" w:hAnsi="Times New Roman"/>
                <w:b/>
                <w:caps/>
                <w:sz w:val="24"/>
                <w:u w:val="single"/>
              </w:rPr>
              <w:t>é</w:t>
            </w:r>
            <w:r>
              <w:rPr>
                <w:rFonts w:ascii="Times New Roman" w:hAnsi="Times New Roman"/>
                <w:b/>
                <w:caps/>
                <w:sz w:val="24"/>
                <w:u w:val="single"/>
              </w:rPr>
              <w:lastRenderedPageBreak/>
              <w:t>szítő értékelési korrekciók, amelyek 90 %-ot megh</w:t>
            </w:r>
            <w:r>
              <w:rPr>
                <w:rFonts w:ascii="Times New Roman" w:hAnsi="Times New Roman"/>
                <w:b/>
                <w:caps/>
                <w:sz w:val="24"/>
                <w:u w:val="single"/>
              </w:rPr>
              <w:t>a</w:t>
            </w:r>
            <w:r>
              <w:rPr>
                <w:rFonts w:ascii="Times New Roman" w:hAnsi="Times New Roman"/>
                <w:b/>
                <w:caps/>
                <w:sz w:val="24"/>
                <w:u w:val="single"/>
              </w:rPr>
              <w:t xml:space="preserve">ladó mértékben csökkennek </w:t>
            </w:r>
            <w:proofErr w:type="gramStart"/>
            <w:r>
              <w:rPr>
                <w:rFonts w:ascii="Times New Roman" w:hAnsi="Times New Roman"/>
                <w:b/>
                <w:caps/>
                <w:sz w:val="24"/>
                <w:u w:val="single"/>
              </w:rPr>
              <w:t>a</w:t>
            </w:r>
            <w:proofErr w:type="gramEnd"/>
            <w:r>
              <w:rPr>
                <w:rFonts w:ascii="Times New Roman" w:hAnsi="Times New Roman"/>
                <w:b/>
                <w:caps/>
                <w:sz w:val="24"/>
                <w:u w:val="single"/>
              </w:rPr>
              <w:t xml:space="preserve"> 2. módszer szerinti d</w:t>
            </w:r>
            <w:r>
              <w:rPr>
                <w:rFonts w:ascii="Times New Roman" w:hAnsi="Times New Roman"/>
                <w:b/>
                <w:caps/>
                <w:sz w:val="24"/>
                <w:u w:val="single"/>
              </w:rPr>
              <w:t>i</w:t>
            </w:r>
            <w:r>
              <w:rPr>
                <w:rFonts w:ascii="Times New Roman" w:hAnsi="Times New Roman"/>
                <w:b/>
                <w:caps/>
                <w:sz w:val="24"/>
                <w:u w:val="single"/>
              </w:rPr>
              <w:t>verzifikációval</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 xml:space="preserve">A 2. módszer terminológiájában a FV – PV összege minden értékelési kitettség esetében, amelyeknél APVA </w:t>
            </w:r>
            <w:proofErr w:type="gramStart"/>
            <w:r>
              <w:rPr>
                <w:rFonts w:ascii="Times New Roman" w:hAnsi="Times New Roman"/>
                <w:sz w:val="24"/>
              </w:rPr>
              <w:t>&lt; 10</w:t>
            </w:r>
            <w:proofErr w:type="gramEnd"/>
            <w:r>
              <w:rPr>
                <w:rFonts w:ascii="Times New Roman" w:hAnsi="Times New Roman"/>
                <w:sz w:val="24"/>
              </w:rPr>
              <w:t> % (FV – PV).</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A tartalékmódszer (fall-back approach) szerinti portfóliók</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 prudens értékelésről szóló (EU) 2016/101 felhatalmazáson alapuló rendelet 7. cikke (2) bekezdésének b) pontja.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 prudens értékelésről szóló (EU) 2016/101 felhatalmazáson alapuló rendelet 7. cikke (2) bekezdésének b) pontja szerinti tartalékmódszer alá tartozó portfóliók esetében a teljes kiegészítő értékelési korrekciót a 0190., 0200. és a 0210. sor ö</w:t>
            </w:r>
            <w:r>
              <w:rPr>
                <w:rFonts w:ascii="Times New Roman" w:hAnsi="Times New Roman"/>
                <w:sz w:val="24"/>
              </w:rPr>
              <w:t>s</w:t>
            </w:r>
            <w:r>
              <w:rPr>
                <w:rFonts w:ascii="Times New Roman" w:hAnsi="Times New Roman"/>
                <w:sz w:val="24"/>
              </w:rPr>
              <w:t xml:space="preserve">szegeként kell kiszámítani.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 vonatkozó mérleg- és egyéb háttérinformációkat a 0130–0260. oszlopban kell megadni. A pozíciók leírását és annak magyarázatát, hogy miért nem volt lehets</w:t>
            </w:r>
            <w:r>
              <w:rPr>
                <w:rFonts w:ascii="Times New Roman" w:hAnsi="Times New Roman"/>
                <w:sz w:val="24"/>
              </w:rPr>
              <w:t>é</w:t>
            </w:r>
            <w:r>
              <w:rPr>
                <w:rFonts w:ascii="Times New Roman" w:hAnsi="Times New Roman"/>
                <w:sz w:val="24"/>
              </w:rPr>
              <w:t xml:space="preserve">ges a prudens értékelésről szóló (EU) 2016/101 felhatalmazáson alapuló rendelet 9–17. cikkének alkalmazása, a 0270. oszlopban kell megadni.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Tartalékmódszer; 100 % nem realizált nyereség</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A prudens értékelésről szóló (EU) 2016/101 felhatalmazáson alapuló rendelet 7. cikke (2) bekezdése b) pontjának i. alpontja.</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Tartalékmódszer; 10 % névleges érték</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A prudens értékelésről szóló (EU) 2016/101 felhatalmazáson alapuló rendelet 7. cikke (2) bekezdése b) pontjának ii. alpontja.</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Tartalékmódszer; 25 % kezdeti érték</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A prudens értékelésről szóló (EU) 2016/101 felhatalmazáson alapuló rendelet 7. cikke (2) bekezdése b) pontjának iii. alpontja.</w:t>
            </w:r>
          </w:p>
        </w:tc>
      </w:tr>
    </w:tbl>
    <w:p w:rsidR="00973707" w:rsidRDefault="00973707" w:rsidP="00C61FF5">
      <w:pPr>
        <w:rPr>
          <w:rStyle w:val="InstructionsTabelleText"/>
          <w:rFonts w:ascii="Times New Roman" w:hAnsi="Times New Roman"/>
          <w:sz w:val="24"/>
        </w:rPr>
      </w:pPr>
    </w:p>
    <w:p w:rsidR="00B93FA1" w:rsidRPr="00672D2A" w:rsidRDefault="00AF3D7A" w:rsidP="00B93FA1">
      <w:pPr>
        <w:pStyle w:val="Instructionsberschrift2"/>
        <w:numPr>
          <w:ilvl w:val="0"/>
          <w:numId w:val="0"/>
        </w:numPr>
        <w:ind w:left="357" w:hanging="357"/>
        <w:rPr>
          <w:rFonts w:ascii="Times New Roman" w:hAnsi="Times New Roman"/>
          <w:sz w:val="24"/>
          <w:u w:val="none"/>
        </w:rPr>
      </w:pPr>
      <w:bookmarkStart w:id="789" w:name="_Toc516210713"/>
      <w:bookmarkStart w:id="790" w:name="_Toc524014772"/>
      <w:r>
        <w:rPr>
          <w:rFonts w:ascii="Times New Roman" w:hAnsi="Times New Roman"/>
          <w:sz w:val="24"/>
          <w:u w:val="none"/>
        </w:rPr>
        <w:t xml:space="preserve">6.3. </w:t>
      </w:r>
      <w:r>
        <w:rPr>
          <w:rFonts w:ascii="Times New Roman" w:hAnsi="Times New Roman"/>
          <w:sz w:val="24"/>
        </w:rPr>
        <w:t>C 32.03 – Prudens értékelés: Modellkockázat kiegészítő értékelési korrekciója (PruVal 3)</w:t>
      </w:r>
      <w:bookmarkEnd w:id="789"/>
      <w:bookmarkEnd w:id="790"/>
    </w:p>
    <w:p w:rsidR="00B93FA1" w:rsidRPr="00AF3D7A" w:rsidRDefault="00B93FA1" w:rsidP="00B93FA1">
      <w:pPr>
        <w:pStyle w:val="Instructionsberschrift2"/>
        <w:numPr>
          <w:ilvl w:val="0"/>
          <w:numId w:val="0"/>
        </w:numPr>
        <w:ind w:left="357" w:hanging="357"/>
        <w:rPr>
          <w:rFonts w:ascii="Times New Roman" w:hAnsi="Times New Roman" w:cs="Times New Roman"/>
          <w:sz w:val="24"/>
          <w:u w:val="none"/>
        </w:rPr>
      </w:pPr>
      <w:bookmarkStart w:id="791" w:name="_Toc516210714"/>
      <w:bookmarkStart w:id="792" w:name="_Toc524014773"/>
      <w:r>
        <w:rPr>
          <w:rFonts w:ascii="Times New Roman" w:hAnsi="Times New Roman"/>
          <w:sz w:val="24"/>
          <w:u w:val="none"/>
        </w:rPr>
        <w:t>6.3.1.</w:t>
      </w:r>
      <w:r w:rsidRPr="00406A85">
        <w:rPr>
          <w:u w:val="none"/>
        </w:rPr>
        <w:tab/>
      </w:r>
      <w:r>
        <w:rPr>
          <w:rFonts w:ascii="Times New Roman" w:hAnsi="Times New Roman"/>
          <w:sz w:val="24"/>
        </w:rPr>
        <w:t>Általános megjegyzések</w:t>
      </w:r>
      <w:bookmarkEnd w:id="791"/>
      <w:bookmarkEnd w:id="792"/>
    </w:p>
    <w:p w:rsidR="00AF3D7A" w:rsidRPr="00DD41BE" w:rsidRDefault="00AF3D7A" w:rsidP="001A3980">
      <w:pPr>
        <w:pStyle w:val="InstructionsText2"/>
        <w:numPr>
          <w:ilvl w:val="0"/>
          <w:numId w:val="0"/>
        </w:numPr>
        <w:ind w:left="993"/>
      </w:pPr>
      <w:r>
        <w:t>154f. Ezt a táblát kizárólag olyan intézményeknek kell kitölteniük, amelyek saját szintjükön meghaladják a prudens értékelésről szóló (EU) 2016/101 felhatalmaz</w:t>
      </w:r>
      <w:r>
        <w:t>á</w:t>
      </w:r>
      <w:r>
        <w:t>son alapuló rendelet 4. cikkének (1) bekezdésében említett értékhatárt. A valamely, az értékhatárt konszolidált szinten meghaladó csoport részét képező intézménye</w:t>
      </w:r>
      <w:r>
        <w:t>k</w:t>
      </w:r>
      <w:r>
        <w:t>nek csak akkor kell kitölteniük ezt a táblát, ha a saját szintjükön is meghaladják az értékhatárt.</w:t>
      </w:r>
    </w:p>
    <w:p w:rsidR="00AF3D7A" w:rsidRPr="00DD41BE" w:rsidRDefault="00AF3D7A" w:rsidP="001A3980">
      <w:pPr>
        <w:pStyle w:val="InstructionsText2"/>
        <w:numPr>
          <w:ilvl w:val="0"/>
          <w:numId w:val="0"/>
        </w:numPr>
        <w:ind w:left="993"/>
      </w:pPr>
      <w:r>
        <w:t>154g. Ebben a táblában a prudens értékelésről szóló (EU) 2016/101 felhatalmaz</w:t>
      </w:r>
      <w:r>
        <w:t>á</w:t>
      </w:r>
      <w:r>
        <w:t>son alapuló rendelet 11. cikkével összhangban kiszámított teljes kategóriaszintű, modellkockázattal kapcsolatos kiegészítő értékelési korrekcióhoz hozzájáruló, a k</w:t>
      </w:r>
      <w:r>
        <w:t>i</w:t>
      </w:r>
      <w:r>
        <w:lastRenderedPageBreak/>
        <w:t>egészítő értékelési korrekció összegét tekintve első 20 egyedi, modellkockázattal kapcsolatos kiegészítő értékelési korrekció részleteit kell feltüntetni. Ez az inform</w:t>
      </w:r>
      <w:r>
        <w:t>á</w:t>
      </w:r>
      <w:r>
        <w:t>ció megfelel a C 32.02. tábla 0050. oszlopában megadott információknak.</w:t>
      </w:r>
    </w:p>
    <w:p w:rsidR="00AF3D7A" w:rsidRPr="00DD41BE" w:rsidRDefault="00AF3D7A" w:rsidP="001A3980">
      <w:pPr>
        <w:pStyle w:val="InstructionsText2"/>
        <w:numPr>
          <w:ilvl w:val="0"/>
          <w:numId w:val="0"/>
        </w:numPr>
        <w:ind w:left="993"/>
      </w:pPr>
      <w:r>
        <w:t>154h. Az első 20 egyedi, modellkockázattal kapcsolatos kiegészítő értékelési ko</w:t>
      </w:r>
      <w:r>
        <w:t>r</w:t>
      </w:r>
      <w:r>
        <w:t xml:space="preserve">rekciót és a kapcsolódó termékinformációkat csökkenő sorrendben, a legnagyobb egyedi, modellkockázattal kapcsolatos kiegészítő értékelési korrekcióval kezdve kell feltüntetni. </w:t>
      </w:r>
    </w:p>
    <w:p w:rsidR="00AF3D7A" w:rsidRDefault="00AF3D7A" w:rsidP="001A3980">
      <w:pPr>
        <w:pStyle w:val="InstructionsText2"/>
        <w:numPr>
          <w:ilvl w:val="0"/>
          <w:numId w:val="0"/>
        </w:numPr>
        <w:ind w:left="993"/>
      </w:pPr>
      <w:r>
        <w:t xml:space="preserve">154i. Az </w:t>
      </w:r>
      <w:proofErr w:type="gramStart"/>
      <w:r>
        <w:t>ezen</w:t>
      </w:r>
      <w:proofErr w:type="gramEnd"/>
      <w:r>
        <w:t xml:space="preserve"> legnagyobb egyedi, modellkockázattal kapcsolatos kiegészítő érték</w:t>
      </w:r>
      <w:r>
        <w:t>e</w:t>
      </w:r>
      <w:r>
        <w:t xml:space="preserve">lési korrekcióknak megfelelő termékeket a prudens értékelésről szóló (EU) 2016/101 felhatalmazáson alapuló rendelet 19. cikke (3) bekezdésének a) pontjában előírt termékleltár használatával kell feltüntetni. </w:t>
      </w:r>
    </w:p>
    <w:p w:rsidR="00AF3D7A" w:rsidRPr="004502C8" w:rsidRDefault="00113E45" w:rsidP="001A3980">
      <w:pPr>
        <w:pStyle w:val="InstructionsText2"/>
        <w:numPr>
          <w:ilvl w:val="0"/>
          <w:numId w:val="0"/>
        </w:numPr>
        <w:ind w:left="993"/>
      </w:pPr>
      <w:r>
        <w:t>154j. Amennyiben a termékek az értékelési modell és a modellkockázattal kapcs</w:t>
      </w:r>
      <w:r>
        <w:t>o</w:t>
      </w:r>
      <w:r>
        <w:t>latos kiegészítő értékelési korrekció tekintetében kellően homogének, össze kell vonni és egyetlen soron kell bemutatni őket, hogy az intézmény teljes kategóri</w:t>
      </w:r>
      <w:r>
        <w:t>a</w:t>
      </w:r>
      <w:r>
        <w:t>szintű, modellkockázattal kapcsolatos kiegészítő értékelési korrekciójára vonatk</w:t>
      </w:r>
      <w:r>
        <w:t>o</w:t>
      </w:r>
      <w:r>
        <w:t>zóan maximalizálni lehessen e tábla lefedettségét.</w:t>
      </w:r>
    </w:p>
    <w:p w:rsidR="00B93FA1" w:rsidRDefault="00B93FA1" w:rsidP="00B93FA1">
      <w:pPr>
        <w:pStyle w:val="Instructionsberschrift2"/>
        <w:numPr>
          <w:ilvl w:val="0"/>
          <w:numId w:val="0"/>
        </w:numPr>
        <w:ind w:left="357" w:hanging="357"/>
        <w:rPr>
          <w:rFonts w:ascii="Times New Roman" w:hAnsi="Times New Roman" w:cs="Times New Roman"/>
          <w:sz w:val="24"/>
        </w:rPr>
      </w:pPr>
      <w:bookmarkStart w:id="793" w:name="_Toc516210715"/>
      <w:bookmarkStart w:id="794" w:name="_Toc524014774"/>
      <w:r>
        <w:rPr>
          <w:rFonts w:ascii="Times New Roman" w:hAnsi="Times New Roman"/>
          <w:sz w:val="24"/>
          <w:u w:val="none"/>
        </w:rPr>
        <w:t>6.3.2.</w:t>
      </w:r>
      <w:r w:rsidRPr="00406A85">
        <w:rPr>
          <w:u w:val="none"/>
        </w:rPr>
        <w:tab/>
      </w:r>
      <w:r>
        <w:rPr>
          <w:rFonts w:ascii="Times New Roman" w:hAnsi="Times New Roman"/>
          <w:sz w:val="24"/>
        </w:rPr>
        <w:t>A tábla egyes részeire vonatkozó útmutató</w:t>
      </w:r>
      <w:bookmarkEnd w:id="793"/>
      <w:bookmarkEnd w:id="79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rsidTr="00672D2A">
        <w:tc>
          <w:tcPr>
            <w:tcW w:w="9322"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Oszlopok</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BESOROLÁS</w:t>
            </w:r>
          </w:p>
          <w:p w:rsidR="00113E45" w:rsidRPr="005A2182" w:rsidRDefault="00113E45" w:rsidP="00113E45">
            <w:pPr>
              <w:spacing w:beforeLines="60" w:before="144" w:afterLines="60" w:after="144"/>
              <w:rPr>
                <w:rFonts w:ascii="Times New Roman" w:hAnsi="Times New Roman"/>
                <w:b/>
                <w:sz w:val="24"/>
                <w:u w:val="single"/>
              </w:rPr>
            </w:pPr>
            <w:r>
              <w:rPr>
                <w:rFonts w:ascii="Times New Roman" w:hAnsi="Times New Roman"/>
                <w:sz w:val="24"/>
              </w:rPr>
              <w:t>A besorolás egy sorazonosító, amely a tábla minden sorát egyedileg azonosítja. Sorrendje: 1, 2, 3 stb., ahol az 1-et a legnagyobb egyedi modellkockázattal kapcs</w:t>
            </w:r>
            <w:r>
              <w:rPr>
                <w:rFonts w:ascii="Times New Roman" w:hAnsi="Times New Roman"/>
                <w:sz w:val="24"/>
              </w:rPr>
              <w:t>o</w:t>
            </w:r>
            <w:r>
              <w:rPr>
                <w:rFonts w:ascii="Times New Roman" w:hAnsi="Times New Roman"/>
                <w:sz w:val="24"/>
              </w:rPr>
              <w:t>latos kiegészítő értékelési korrekcióhoz kell rendelni, a 2-t a második legnagyob</w:t>
            </w:r>
            <w:r>
              <w:rPr>
                <w:rFonts w:ascii="Times New Roman" w:hAnsi="Times New Roman"/>
                <w:sz w:val="24"/>
              </w:rPr>
              <w:t>b</w:t>
            </w:r>
            <w:r>
              <w:rPr>
                <w:rFonts w:ascii="Times New Roman" w:hAnsi="Times New Roman"/>
                <w:sz w:val="24"/>
              </w:rPr>
              <w:t>hoz, és így tovább.</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MODELL</w:t>
            </w:r>
          </w:p>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sz w:val="24"/>
              </w:rPr>
              <w:t>A modell belső neve (alfanumerikus), amelyet az intézmény a modell azonosítás</w:t>
            </w:r>
            <w:r>
              <w:rPr>
                <w:rFonts w:ascii="Times New Roman" w:hAnsi="Times New Roman"/>
                <w:sz w:val="24"/>
              </w:rPr>
              <w:t>á</w:t>
            </w:r>
            <w:r>
              <w:rPr>
                <w:rFonts w:ascii="Times New Roman" w:hAnsi="Times New Roman"/>
                <w:sz w:val="24"/>
              </w:rPr>
              <w:t>ra használ.</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KOCKÁZATI KATEGÓRIA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A modellkockázattal kapcsolatos értékelési korrekcióhoz vezető terméket vagy termékcsoportot leginkább jellemző kockázati kategória (kamat, devizaárfolyam, hitel, részvény, áru).</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Az intézményeknek a következő kódokat kell feltüntetniük:</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kamat</w:t>
            </w:r>
          </w:p>
          <w:p w:rsidR="00A74B40" w:rsidRPr="00DD41BE" w:rsidRDefault="00A74B40" w:rsidP="00E60B53">
            <w:pPr>
              <w:spacing w:beforeLines="60" w:before="144" w:afterLines="60" w:after="144"/>
              <w:rPr>
                <w:rFonts w:ascii="Times New Roman" w:hAnsi="Times New Roman"/>
                <w:sz w:val="24"/>
              </w:rPr>
            </w:pPr>
            <w:r>
              <w:rPr>
                <w:rFonts w:ascii="Times New Roman" w:hAnsi="Times New Roman"/>
                <w:sz w:val="24"/>
              </w:rPr>
              <w:t>FX – devizaárfolyam</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hitel</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részvény</w:t>
            </w:r>
          </w:p>
          <w:p w:rsidR="00113E45" w:rsidRPr="00DD41BE" w:rsidRDefault="00113E45" w:rsidP="00A74B40">
            <w:pPr>
              <w:spacing w:beforeLines="60" w:before="144" w:afterLines="60" w:after="144"/>
              <w:rPr>
                <w:rFonts w:ascii="Times New Roman" w:hAnsi="Times New Roman"/>
                <w:sz w:val="24"/>
              </w:rPr>
            </w:pPr>
            <w:r>
              <w:rPr>
                <w:rFonts w:ascii="Times New Roman" w:hAnsi="Times New Roman"/>
                <w:sz w:val="24"/>
              </w:rPr>
              <w:t>CO – áru</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0030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TERMÉK</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A modell használatával értékelt termék vagy termékcsoport belső neve (alfanum</w:t>
            </w:r>
            <w:r>
              <w:rPr>
                <w:rFonts w:ascii="Times New Roman" w:hAnsi="Times New Roman"/>
                <w:sz w:val="24"/>
              </w:rPr>
              <w:t>e</w:t>
            </w:r>
            <w:r>
              <w:rPr>
                <w:rFonts w:ascii="Times New Roman" w:hAnsi="Times New Roman"/>
                <w:sz w:val="24"/>
              </w:rPr>
              <w:t>rikus), a prudens értékelésről szóló (EU) 2016/101 felhatalmazáson alapuló rend</w:t>
            </w:r>
            <w:r>
              <w:rPr>
                <w:rFonts w:ascii="Times New Roman" w:hAnsi="Times New Roman"/>
                <w:sz w:val="24"/>
              </w:rPr>
              <w:t>e</w:t>
            </w:r>
            <w:r>
              <w:rPr>
                <w:rFonts w:ascii="Times New Roman" w:hAnsi="Times New Roman"/>
                <w:sz w:val="24"/>
              </w:rPr>
              <w:t>let 19. cikke (3) bekezdésének a) pontjában előírt termékleltárral összhangban.</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MEGFIGYELHETŐSÉG</w:t>
            </w:r>
          </w:p>
          <w:p w:rsidR="00113E45" w:rsidRPr="00DD41BE" w:rsidRDefault="00113E45" w:rsidP="00E60B53">
            <w:pPr>
              <w:pStyle w:val="CommentText"/>
              <w:rPr>
                <w:rFonts w:ascii="Times New Roman" w:hAnsi="Times New Roman"/>
                <w:sz w:val="24"/>
                <w:szCs w:val="24"/>
              </w:rPr>
            </w:pPr>
            <w:r>
              <w:rPr>
                <w:rFonts w:ascii="Times New Roman" w:hAnsi="Times New Roman"/>
                <w:sz w:val="24"/>
              </w:rPr>
              <w:t>A termékkel vagy termékcsoporttal kapcsolatos olyan ármegfigyelések száma az elmúlt tizenkét hónapban, amelyek teljesítik a következő kritériumok valamelyi</w:t>
            </w:r>
            <w:r>
              <w:rPr>
                <w:rFonts w:ascii="Times New Roman" w:hAnsi="Times New Roman"/>
                <w:sz w:val="24"/>
              </w:rPr>
              <w:t>k</w:t>
            </w:r>
            <w:r>
              <w:rPr>
                <w:rFonts w:ascii="Times New Roman" w:hAnsi="Times New Roman"/>
                <w:sz w:val="24"/>
              </w:rPr>
              <w:t>ét:</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Az ármegfigyelés olyan ár, amelyen az intézmény ügyletet hajtott végre</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Harmadik felek közötti tényleges ügylet ellenőrizhető ára</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 xml:space="preserve">Az </w:t>
            </w:r>
            <w:proofErr w:type="gramStart"/>
            <w:r>
              <w:rPr>
                <w:rFonts w:ascii="Times New Roman" w:hAnsi="Times New Roman"/>
                <w:sz w:val="24"/>
              </w:rPr>
              <w:t>ár kötelező</w:t>
            </w:r>
            <w:proofErr w:type="gramEnd"/>
            <w:r>
              <w:rPr>
                <w:rFonts w:ascii="Times New Roman" w:hAnsi="Times New Roman"/>
                <w:sz w:val="24"/>
              </w:rPr>
              <w:t xml:space="preserve"> érvényű jegyzésből származik.</w:t>
            </w:r>
          </w:p>
          <w:p w:rsidR="00113E45" w:rsidRPr="00DD41B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Az intézményeknek a következő értékek egyikét kell feltüntetniük: „nincs”, „1–6”, „6–24”, „24–100”, „100+”.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MODELLKOCKÁZAT KIEGÉSZÍTŐ ÉRTÉKELÉSI KORREKCIÓJA</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 prudens értékelésről szóló (EU) 2016/101 felhatalmazáson alapuló rendelet</w:t>
            </w:r>
            <w:r>
              <w:t xml:space="preserve"> </w:t>
            </w:r>
            <w:r>
              <w:rPr>
                <w:rStyle w:val="InstructionsTabelleberschrift"/>
                <w:rFonts w:ascii="Times New Roman" w:hAnsi="Times New Roman"/>
                <w:b w:val="0"/>
                <w:sz w:val="24"/>
                <w:u w:val="none"/>
              </w:rPr>
              <w:t xml:space="preserve">11. cikkének (1) bekezdése.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Egyedi modellkockázattal kapcsolatos kiegészítő értékelési korrekció a diverzif</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kációs nyereség előtt, de adott esetben a portfóliónettósítás után.</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EBBŐL: SZAKÉRTŐI MÓDSZER HASZNÁLATÁVAL</w:t>
            </w:r>
          </w:p>
          <w:p w:rsidR="00113E45" w:rsidRPr="00DD41BE" w:rsidRDefault="00113E45" w:rsidP="00E60B53">
            <w:pPr>
              <w:spacing w:beforeLines="60" w:before="144" w:afterLines="60" w:after="144"/>
              <w:rPr>
                <w:rStyle w:val="InstructionsTabelleberschrift"/>
                <w:rFonts w:ascii="Times New Roman" w:hAnsi="Times New Roman"/>
                <w:sz w:val="24"/>
                <w:u w:val="none"/>
              </w:rPr>
            </w:pPr>
            <w:r>
              <w:rPr>
                <w:rFonts w:ascii="Times New Roman" w:hAnsi="Times New Roman"/>
                <w:sz w:val="24"/>
              </w:rPr>
              <w:t>A prudens értékelésről szóló (EU) 2016/101 felhatalmazáson alapuló rendelet 11. cikke (4) bekezdésében meghatározott szakértői módszer szerint kiszámított, a 0050. oszlopban szereplő összegek.</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EBBŐL: A 2. MÓDSZER HASZNÁLATÁVAL ÖSSZESÍTVE</w:t>
            </w:r>
          </w:p>
          <w:p w:rsidR="00113E45" w:rsidRPr="00DD41BE" w:rsidRDefault="00113E45" w:rsidP="008136B4">
            <w:pPr>
              <w:spacing w:beforeLines="60" w:before="144" w:afterLines="60" w:after="144"/>
              <w:rPr>
                <w:rStyle w:val="InstructionsTabelleberschrift"/>
                <w:rFonts w:ascii="Times New Roman" w:hAnsi="Times New Roman"/>
                <w:sz w:val="24"/>
              </w:rPr>
            </w:pPr>
            <w:r>
              <w:rPr>
                <w:rFonts w:ascii="Times New Roman" w:hAnsi="Times New Roman"/>
                <w:sz w:val="24"/>
              </w:rPr>
              <w:t>A prudens értékelésről szóló (EU) 2016/101 felhatalmazáson alapuló rendelet me</w:t>
            </w:r>
            <w:r>
              <w:rPr>
                <w:rFonts w:ascii="Times New Roman" w:hAnsi="Times New Roman"/>
                <w:sz w:val="24"/>
              </w:rPr>
              <w:t>l</w:t>
            </w:r>
            <w:r>
              <w:rPr>
                <w:rFonts w:ascii="Times New Roman" w:hAnsi="Times New Roman"/>
                <w:sz w:val="24"/>
              </w:rPr>
              <w:t>lékletében található 2. módszer szerint összesített, a 0050. oszlopban szereplő ö</w:t>
            </w:r>
            <w:r>
              <w:rPr>
                <w:rFonts w:ascii="Times New Roman" w:hAnsi="Times New Roman"/>
                <w:sz w:val="24"/>
              </w:rPr>
              <w:t>s</w:t>
            </w:r>
            <w:r>
              <w:rPr>
                <w:rFonts w:ascii="Times New Roman" w:hAnsi="Times New Roman"/>
                <w:sz w:val="24"/>
              </w:rPr>
              <w:t xml:space="preserve">szegek. Ez a melléklet terminológiájában az FV – PV.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2. MÓDSZER SZERINT SZÁMÍTOTT ÖSSZESÍTETT KIEGÉSZÍTŐ ÉRTÉKELÉSI KORREKCIÓ</w:t>
            </w:r>
          </w:p>
          <w:p w:rsidR="00113E45" w:rsidRPr="00DD41BE" w:rsidRDefault="00113E45" w:rsidP="008136B4">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A prudens értékelésről szóló (EU) 2016/101 felhatalmazáson alapuló rendelet </w:t>
            </w:r>
            <w:r>
              <w:rPr>
                <w:rStyle w:val="InstructionsTabelleberschrift"/>
                <w:rFonts w:ascii="Times New Roman" w:hAnsi="Times New Roman"/>
                <w:b w:val="0"/>
                <w:sz w:val="24"/>
                <w:u w:val="none"/>
              </w:rPr>
              <w:t>me</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lékletében található 2. módszer használatával összesített egyedi, modellkockázattal kapcsolatos kiegészítő értékelési korrekcióknak</w:t>
            </w:r>
            <w:r>
              <w:rPr>
                <w:rFonts w:ascii="Times New Roman" w:hAnsi="Times New Roman"/>
                <w:sz w:val="24"/>
              </w:rPr>
              <w:t xml:space="preserve"> a prudens értékelésről szóló (EU) 2016/101 felhatalmazáson alapuló rendelet </w:t>
            </w:r>
            <w:r>
              <w:rPr>
                <w:rStyle w:val="InstructionsTabelleberschrift"/>
                <w:rFonts w:ascii="Times New Roman" w:hAnsi="Times New Roman"/>
                <w:b w:val="0"/>
                <w:sz w:val="24"/>
                <w:u w:val="none"/>
              </w:rPr>
              <w:t>11. cikkének (7) bekezdése szerint számított, modellkockázattal kapcsolatos, teljes kategóriaszintű kiegészítő érték</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lési korrekcióhoz való hozzájárulása. </w:t>
            </w:r>
            <w:r>
              <w:rPr>
                <w:rFonts w:ascii="Times New Roman" w:hAnsi="Times New Roman"/>
                <w:sz w:val="24"/>
              </w:rPr>
              <w:t>Ez a melléklet terminológiájában az APVA.</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VALÓS ÉRTÉKEN ÉRTÉKELT ESZKÖZÖK </w:t>
            </w:r>
            <w:proofErr w:type="gramStart"/>
            <w:r>
              <w:rPr>
                <w:rStyle w:val="InstructionsTabelleberschrift"/>
                <w:rFonts w:ascii="Times New Roman" w:hAnsi="Times New Roman"/>
                <w:sz w:val="24"/>
              </w:rPr>
              <w:t>ÉS</w:t>
            </w:r>
            <w:proofErr w:type="gramEnd"/>
            <w:r>
              <w:rPr>
                <w:rStyle w:val="InstructionsTabelleberschrift"/>
                <w:rFonts w:ascii="Times New Roman" w:hAnsi="Times New Roman"/>
                <w:sz w:val="24"/>
              </w:rPr>
              <w:t xml:space="preserve"> KÖTELEZETTSÉGEK</w:t>
            </w:r>
          </w:p>
          <w:p w:rsidR="00113E45" w:rsidRPr="00DD41B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 0010. oszlopban feltüntetett modell használatával értékelt valós értéken értékelt eszközök és kötelezettségek abszolút értéke, ahogy az az alkalmazandó számviteli </w:t>
            </w:r>
            <w:r>
              <w:rPr>
                <w:rFonts w:ascii="Times New Roman" w:hAnsi="Times New Roman"/>
                <w:sz w:val="24"/>
              </w:rPr>
              <w:lastRenderedPageBreak/>
              <w:t xml:space="preserve">keret szerint elkészített pénzügyi kimutatásban szerepel.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0090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 ÉRTÉKEN ÉRTÉKELT ESZKÖZÖK</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 0010. oszlopban feltüntetett modell használatával értékelt, valós értéken értékelt eszközök abszolút értéke, ahogy az az alkalmazandó számviteli keret szerint elk</w:t>
            </w:r>
            <w:r>
              <w:rPr>
                <w:rFonts w:ascii="Times New Roman" w:hAnsi="Times New Roman"/>
                <w:sz w:val="24"/>
              </w:rPr>
              <w:t>é</w:t>
            </w:r>
            <w:r>
              <w:rPr>
                <w:rFonts w:ascii="Times New Roman" w:hAnsi="Times New Roman"/>
                <w:sz w:val="24"/>
              </w:rPr>
              <w:t>szített pénzügyi kimutatásban szerepel</w:t>
            </w:r>
            <w:r>
              <w:rPr>
                <w:rStyle w:val="InstructionsTabelleberschrift"/>
                <w:rFonts w:ascii="Times New Roman" w:hAnsi="Times New Roman"/>
                <w:b w:val="0"/>
                <w:sz w:val="24"/>
                <w:u w:val="none"/>
              </w:rPr>
              <w: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 ÉRTÉKEN ÉRTÉKELT KÖTELEZETTSÉGEK</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 0010. oszlopban feltüntetett modell használatával értékelt, valós értéken értékelt kötelezettségek abszolút értéke, ahogy az az alkalmazandó számviteli keret szerint elkészített pénzügyi kimutatásban szerepel.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 KÜLÖNBÖZET (OUTPUT-TESZTELÉS)</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105. cikke (8) bekezdésének megfelelően végrehajtott független árfelü</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vizsgálat keretében az adatszolgáltatási időponthoz legközelebb eső hónap végén kiszámított ki nem igazított különbözetek („IPV különbözet”) összege, a kapcsol</w:t>
            </w:r>
            <w:r>
              <w:rPr>
                <w:rStyle w:val="InstructionsTabelleberschrift"/>
                <w:rFonts w:ascii="Times New Roman" w:hAnsi="Times New Roman"/>
                <w:b w:val="0"/>
                <w:sz w:val="24"/>
                <w:u w:val="none"/>
              </w:rPr>
              <w:t>ó</w:t>
            </w:r>
            <w:r>
              <w:rPr>
                <w:rStyle w:val="InstructionsTabelleberschrift"/>
                <w:rFonts w:ascii="Times New Roman" w:hAnsi="Times New Roman"/>
                <w:b w:val="0"/>
                <w:sz w:val="24"/>
                <w:u w:val="none"/>
              </w:rPr>
              <w:t xml:space="preserve">dó termékre vagy termékcsoportra vonatkozóan elérhető legjobb független adatok figyelembevételével.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ki nem igazított különbözetek a kereskedési rendszerek által generált értékelések és a havi IPV folyamat során értékelt értékelések közötti ki nem igazított különb</w:t>
            </w:r>
            <w:r>
              <w:rPr>
                <w:rStyle w:val="InstructionsTabelleberschrift"/>
                <w:rFonts w:ascii="Times New Roman" w:hAnsi="Times New Roman"/>
                <w:b w:val="0"/>
                <w:sz w:val="24"/>
                <w:u w:val="none"/>
              </w:rPr>
              <w:t>ö</w:t>
            </w:r>
            <w:r>
              <w:rPr>
                <w:rStyle w:val="InstructionsTabelleberschrift"/>
                <w:rFonts w:ascii="Times New Roman" w:hAnsi="Times New Roman"/>
                <w:b w:val="0"/>
                <w:sz w:val="24"/>
                <w:u w:val="none"/>
              </w:rPr>
              <w:t>zeteket jelentik.</w:t>
            </w:r>
          </w:p>
          <w:p w:rsidR="00113E45" w:rsidRPr="00DD41B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Nem vonhatók be az IPV különbözet számításába a releváns hónap végi dátumra vonatkozóan az intézmény könyveiben és nyilvántartásaiban szereplő kiigazított különbözetek.</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Csak azokat az eredményeket kell feltüntetni, amelyeket olyan eszközök árainak használatával kalibráltak, amelyeket ugyanazon termékhez rendelnének (</w:t>
            </w:r>
            <w:proofErr w:type="gramStart"/>
            <w:r>
              <w:rPr>
                <w:rStyle w:val="InstructionsTabelleberschrift"/>
                <w:rFonts w:ascii="Times New Roman" w:hAnsi="Times New Roman"/>
                <w:b w:val="0"/>
                <w:sz w:val="24"/>
                <w:u w:val="none"/>
              </w:rPr>
              <w:t>output tesztelés</w:t>
            </w:r>
            <w:proofErr w:type="gramEnd"/>
            <w:r>
              <w:rPr>
                <w:rStyle w:val="InstructionsTabelleberschrift"/>
                <w:rFonts w:ascii="Times New Roman" w:hAnsi="Times New Roman"/>
                <w:b w:val="0"/>
                <w:sz w:val="24"/>
                <w:u w:val="none"/>
              </w:rPr>
              <w:t xml:space="preserve">). Nem szabad feltüntetni az olyan piaci adatok inputjából származó </w:t>
            </w:r>
            <w:proofErr w:type="gramStart"/>
            <w:r>
              <w:rPr>
                <w:rStyle w:val="InstructionsTabelleberschrift"/>
                <w:rFonts w:ascii="Times New Roman" w:hAnsi="Times New Roman"/>
                <w:b w:val="0"/>
                <w:sz w:val="24"/>
                <w:u w:val="none"/>
              </w:rPr>
              <w:t>input tesztelési</w:t>
            </w:r>
            <w:proofErr w:type="gramEnd"/>
            <w:r>
              <w:rPr>
                <w:rStyle w:val="InstructionsTabelleberschrift"/>
                <w:rFonts w:ascii="Times New Roman" w:hAnsi="Times New Roman"/>
                <w:b w:val="0"/>
                <w:sz w:val="24"/>
                <w:u w:val="none"/>
              </w:rPr>
              <w:t xml:space="preserve"> eredményeket, amelyeket különböző termékekből kalibrált szintek ala</w:t>
            </w:r>
            <w:r>
              <w:rPr>
                <w:rStyle w:val="InstructionsTabelleberschrift"/>
                <w:rFonts w:ascii="Times New Roman" w:hAnsi="Times New Roman"/>
                <w:b w:val="0"/>
                <w:sz w:val="24"/>
                <w:u w:val="none"/>
              </w:rPr>
              <w:t>p</w:t>
            </w:r>
            <w:r>
              <w:rPr>
                <w:rStyle w:val="InstructionsTabelleberschrift"/>
                <w:rFonts w:ascii="Times New Roman" w:hAnsi="Times New Roman"/>
                <w:b w:val="0"/>
                <w:sz w:val="24"/>
                <w:u w:val="none"/>
              </w:rPr>
              <w:t>ján tesztelnek.</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DD41B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 FEDEZET (OUTPUT-TESZTELÉS)</w:t>
            </w:r>
          </w:p>
          <w:p w:rsidR="00113E45" w:rsidRPr="00DD41B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modellkockázattal kapcsolatos kiegészítő értékelési korrekcióval súlyozott, a modellhez rendelt pozíciók százalékos aránya, amelyet a 0110. oszlopban me</w:t>
            </w:r>
            <w:r>
              <w:rPr>
                <w:rStyle w:val="InstructionsTabelleberschrift"/>
                <w:rFonts w:ascii="Times New Roman" w:hAnsi="Times New Roman"/>
                <w:b w:val="0"/>
                <w:sz w:val="24"/>
                <w:u w:val="none"/>
              </w:rPr>
              <w:t>g</w:t>
            </w:r>
            <w:r>
              <w:rPr>
                <w:rStyle w:val="InstructionsTabelleberschrift"/>
                <w:rFonts w:ascii="Times New Roman" w:hAnsi="Times New Roman"/>
                <w:b w:val="0"/>
                <w:sz w:val="24"/>
                <w:u w:val="none"/>
              </w:rPr>
              <w:t xml:space="preserve">adott IPV </w:t>
            </w:r>
            <w:proofErr w:type="gramStart"/>
            <w:r>
              <w:rPr>
                <w:rStyle w:val="InstructionsTabelleberschrift"/>
                <w:rFonts w:ascii="Times New Roman" w:hAnsi="Times New Roman"/>
                <w:b w:val="0"/>
                <w:sz w:val="24"/>
                <w:u w:val="none"/>
              </w:rPr>
              <w:t>output tesztelési</w:t>
            </w:r>
            <w:proofErr w:type="gramEnd"/>
            <w:r>
              <w:rPr>
                <w:rStyle w:val="InstructionsTabelleberschrift"/>
                <w:rFonts w:ascii="Times New Roman" w:hAnsi="Times New Roman"/>
                <w:b w:val="0"/>
                <w:sz w:val="24"/>
                <w:u w:val="none"/>
              </w:rPr>
              <w:t xml:space="preserve"> eredmények fedeznek.</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VALÓSÉRTÉK-KORREKCIÓK</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 32.02. tábla 0190. és 0240. oszlopában meghatározott valósérték-korrekciók, amelyeket</w:t>
            </w:r>
            <w:r>
              <w:rPr>
                <w:rFonts w:ascii="Times New Roman" w:hAnsi="Times New Roman"/>
                <w:sz w:val="24"/>
              </w:rPr>
              <w:t xml:space="preserve"> a 0010. oszlopban megadott modellhez rendelt pozíciókra alkalmaznak</w:t>
            </w:r>
            <w:r>
              <w:rPr>
                <w:rStyle w:val="InstructionsTabelleberschrift"/>
                <w:rFonts w:ascii="Times New Roman" w:hAnsi="Times New Roman"/>
                <w:b w:val="0"/>
                <w:sz w:val="24"/>
                <w:u w:val="none"/>
              </w:rPr>
              <w:t>.</w:t>
            </w:r>
          </w:p>
        </w:tc>
      </w:tr>
      <w:tr w:rsidR="00113E45" w:rsidRPr="00310F96"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1. NAPI EREDMÉNY</w:t>
            </w:r>
          </w:p>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 C 32.02. tábla 0260. oszlopában meghatározott korrekciók, amelyeket</w:t>
            </w:r>
            <w:r>
              <w:rPr>
                <w:rFonts w:ascii="Times New Roman" w:hAnsi="Times New Roman"/>
                <w:sz w:val="24"/>
              </w:rPr>
              <w:t xml:space="preserve"> a 0010. oszlopban megadott modellhez rendelt pozíciókra alkalmaznak</w:t>
            </w:r>
            <w:r>
              <w:rPr>
                <w:rStyle w:val="InstructionsTabelleberschrift"/>
                <w:rFonts w:ascii="Times New Roman" w:hAnsi="Times New Roman"/>
                <w:b w:val="0"/>
                <w:sz w:val="24"/>
                <w:u w:val="none"/>
              </w:rPr>
              <w:t>.</w:t>
            </w:r>
          </w:p>
        </w:tc>
      </w:tr>
    </w:tbl>
    <w:p w:rsidR="00995A7F" w:rsidRDefault="00995A7F" w:rsidP="00C61FF5">
      <w:pPr>
        <w:rPr>
          <w:rStyle w:val="InstructionsTabelleText"/>
          <w:rFonts w:ascii="Times New Roman" w:hAnsi="Times New Roman"/>
          <w:sz w:val="24"/>
        </w:rPr>
      </w:pPr>
    </w:p>
    <w:p w:rsidR="00B93FA1" w:rsidRPr="000C5EA7" w:rsidRDefault="00113E45" w:rsidP="00B93FA1">
      <w:pPr>
        <w:pStyle w:val="Instructionsberschrift2"/>
        <w:numPr>
          <w:ilvl w:val="0"/>
          <w:numId w:val="0"/>
        </w:numPr>
        <w:ind w:left="357" w:hanging="357"/>
        <w:rPr>
          <w:rFonts w:ascii="Times New Roman" w:hAnsi="Times New Roman"/>
          <w:sz w:val="24"/>
          <w:u w:val="none"/>
        </w:rPr>
      </w:pPr>
      <w:bookmarkStart w:id="795" w:name="_Toc516210716"/>
      <w:bookmarkStart w:id="796" w:name="_Toc524014775"/>
      <w:r>
        <w:rPr>
          <w:rFonts w:ascii="Times New Roman" w:hAnsi="Times New Roman"/>
          <w:sz w:val="24"/>
          <w:u w:val="none"/>
        </w:rPr>
        <w:lastRenderedPageBreak/>
        <w:t>6.4.</w:t>
      </w:r>
      <w:r w:rsidRPr="00406A85">
        <w:rPr>
          <w:rFonts w:ascii="Times New Roman" w:hAnsi="Times New Roman"/>
          <w:sz w:val="24"/>
          <w:u w:val="none"/>
        </w:rPr>
        <w:t xml:space="preserve"> </w:t>
      </w:r>
      <w:r>
        <w:rPr>
          <w:rFonts w:ascii="Times New Roman" w:hAnsi="Times New Roman"/>
          <w:sz w:val="24"/>
        </w:rPr>
        <w:t>C 32.04 – Prudens értékelés: koncentrált pozíciók kiegészítő értékelési korrekciója (PruVal 4)</w:t>
      </w:r>
      <w:bookmarkEnd w:id="795"/>
      <w:bookmarkEnd w:id="796"/>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97" w:name="_Toc516210717"/>
      <w:bookmarkStart w:id="798" w:name="_Toc524014776"/>
      <w:r>
        <w:rPr>
          <w:rFonts w:ascii="Times New Roman" w:hAnsi="Times New Roman"/>
          <w:sz w:val="24"/>
          <w:u w:val="none"/>
        </w:rPr>
        <w:t>6.4.1.</w:t>
      </w:r>
      <w:r w:rsidRPr="00406A85">
        <w:rPr>
          <w:u w:val="none"/>
        </w:rPr>
        <w:tab/>
      </w:r>
      <w:r>
        <w:rPr>
          <w:rFonts w:ascii="Times New Roman" w:hAnsi="Times New Roman"/>
          <w:sz w:val="24"/>
        </w:rPr>
        <w:t>Általános megjegyzések</w:t>
      </w:r>
      <w:bookmarkEnd w:id="797"/>
      <w:bookmarkEnd w:id="798"/>
    </w:p>
    <w:p w:rsidR="00113E45" w:rsidRPr="00DD41BE" w:rsidRDefault="00113E45" w:rsidP="009068C9">
      <w:pPr>
        <w:pStyle w:val="InstructionsText2"/>
        <w:numPr>
          <w:ilvl w:val="0"/>
          <w:numId w:val="0"/>
        </w:numPr>
        <w:ind w:left="993"/>
      </w:pPr>
      <w:r>
        <w:t>154k. Ezt a táblát kizárólag olyan intézményeknek kell kitölteniük, amelyek saját szintjükön meghaladják a prudens értékelésről szóló (EU) 2016/101 felhatalmaz</w:t>
      </w:r>
      <w:r>
        <w:t>á</w:t>
      </w:r>
      <w:r>
        <w:t>son alapuló rendelet 4. cikkének (1) bekezdésében említett értékhatárt. A valamely, az értékhatárt konszolidált szinten meghaladó csoport részét képező intézménye</w:t>
      </w:r>
      <w:r>
        <w:t>k</w:t>
      </w:r>
      <w:r>
        <w:t>nek csak akkor kell kitölteniük ezt a táblát, ha a saját szintjükön is meghaladják az értékhatárt.</w:t>
      </w:r>
    </w:p>
    <w:p w:rsidR="00113E45" w:rsidRPr="00DD41BE" w:rsidRDefault="00113E45" w:rsidP="009068C9">
      <w:pPr>
        <w:pStyle w:val="InstructionsText2"/>
        <w:numPr>
          <w:ilvl w:val="0"/>
          <w:numId w:val="0"/>
        </w:numPr>
        <w:ind w:left="993"/>
      </w:pPr>
      <w:r>
        <w:t>154l. Ebben a táblában a prudens értékelésről szóló (EU) 2016/101 felhatalmazáson alapuló rendelet 14. cikkével összhangban kiszámított teljes kategóriaszintű, ko</w:t>
      </w:r>
      <w:r>
        <w:t>n</w:t>
      </w:r>
      <w:r>
        <w:t>centrált pozíciókkal kapcsolatos kiegészítő értékelési korrekcióhoz hozzájáruló, a kiegészítő értékelési korrekció összegét tekintve első 20 egyedi, koncentrált pozíc</w:t>
      </w:r>
      <w:r>
        <w:t>i</w:t>
      </w:r>
      <w:r>
        <w:t>ókkal kapcsolatos kiegészítő értékelési korrekció részleteit kell feltüntetni. Ez az i</w:t>
      </w:r>
      <w:r>
        <w:t>n</w:t>
      </w:r>
      <w:r>
        <w:t>formáció megfelel a C 32.02. tábla 0070. oszl</w:t>
      </w:r>
      <w:r w:rsidR="00406A85">
        <w:t>opában megadott információknak.</w:t>
      </w:r>
    </w:p>
    <w:p w:rsidR="00113E45" w:rsidRPr="00DD41BE" w:rsidRDefault="00113E45" w:rsidP="009068C9">
      <w:pPr>
        <w:pStyle w:val="InstructionsText2"/>
        <w:numPr>
          <w:ilvl w:val="0"/>
          <w:numId w:val="0"/>
        </w:numPr>
        <w:ind w:left="993"/>
      </w:pPr>
      <w:r>
        <w:t>154m. Az első 20 egyedi, koncentrált pozíciókkal kapcsolatos kiegészítő értékelési korrekciót és a kapcsolódó termékinformációkat csökkenő sorrendben, a legn</w:t>
      </w:r>
      <w:r>
        <w:t>a</w:t>
      </w:r>
      <w:r>
        <w:t>gyobb egyedi, koncentrált pozíciókkal kapcsolatos kiegészítő értékelési korrekci</w:t>
      </w:r>
      <w:r>
        <w:t>ó</w:t>
      </w:r>
      <w:r>
        <w:t>val kezdve kell feltüntetni.</w:t>
      </w:r>
    </w:p>
    <w:p w:rsidR="00113E45" w:rsidRPr="00DD41BE" w:rsidRDefault="00113E45" w:rsidP="009068C9">
      <w:pPr>
        <w:pStyle w:val="InstructionsText2"/>
        <w:numPr>
          <w:ilvl w:val="0"/>
          <w:numId w:val="0"/>
        </w:numPr>
        <w:ind w:left="993"/>
      </w:pPr>
      <w:r>
        <w:t xml:space="preserve">154n. Az </w:t>
      </w:r>
      <w:proofErr w:type="gramStart"/>
      <w:r>
        <w:t>ezen</w:t>
      </w:r>
      <w:proofErr w:type="gramEnd"/>
      <w:r>
        <w:t xml:space="preserve"> legnagyobb egyedi, koncentrált pozíciókkal kapcsolatos kiegészítő értékelési korrekcióknak megfelelő termékeket a prudens értékelésről szóló (EU) 2016/101 felhatalmazáson alapuló rendelet 19. cikke (3) bekezdésének a) pontjában előírt termékleltár használatával kell feltüntetni.</w:t>
      </w:r>
    </w:p>
    <w:p w:rsidR="00113E45" w:rsidRPr="004502C8" w:rsidRDefault="00113E45" w:rsidP="009068C9">
      <w:pPr>
        <w:pStyle w:val="InstructionsText2"/>
        <w:numPr>
          <w:ilvl w:val="0"/>
          <w:numId w:val="0"/>
        </w:numPr>
        <w:ind w:left="993"/>
      </w:pPr>
      <w:r>
        <w:t>154o. A kiegészítő értékelési korrekciók kiszámítási módszere szempontjából h</w:t>
      </w:r>
      <w:r>
        <w:t>o</w:t>
      </w:r>
      <w:r>
        <w:t>mogén pozíciókat lehetőség szerint összesíteni kell, e tábla lefedettségének max</w:t>
      </w:r>
      <w:r>
        <w:t>i</w:t>
      </w:r>
      <w:r>
        <w:t>malizálása céljából.</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99" w:name="_Toc516210718"/>
      <w:bookmarkStart w:id="800" w:name="_Toc524014777"/>
      <w:r>
        <w:rPr>
          <w:rFonts w:ascii="Times New Roman" w:hAnsi="Times New Roman"/>
          <w:sz w:val="24"/>
          <w:u w:val="none"/>
        </w:rPr>
        <w:t>6.4.2.</w:t>
      </w:r>
      <w:r w:rsidRPr="00406A85">
        <w:rPr>
          <w:u w:val="none"/>
        </w:rPr>
        <w:tab/>
      </w:r>
      <w:r>
        <w:rPr>
          <w:rFonts w:ascii="Times New Roman" w:hAnsi="Times New Roman"/>
          <w:sz w:val="24"/>
        </w:rPr>
        <w:t>A tábla egyes részeire vonatkozó útmutató</w:t>
      </w:r>
      <w:bookmarkEnd w:id="799"/>
      <w:bookmarkEnd w:id="8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rsidTr="00672D2A">
        <w:tc>
          <w:tcPr>
            <w:tcW w:w="8856"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Oszlopok</w:t>
            </w:r>
          </w:p>
        </w:tc>
      </w:tr>
      <w:tr w:rsidR="00113E45" w:rsidRPr="00DD41BE" w:rsidTr="00672D2A">
        <w:tc>
          <w:tcPr>
            <w:tcW w:w="852" w:type="dxa"/>
          </w:tcPr>
          <w:p w:rsidR="00113E45" w:rsidRPr="005A2182"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BESOROLÁS</w:t>
            </w:r>
          </w:p>
          <w:p w:rsidR="00113E45" w:rsidRPr="00DD41BE" w:rsidDel="003016B5" w:rsidRDefault="00113E45" w:rsidP="00E60B53">
            <w:pPr>
              <w:spacing w:beforeLines="60" w:before="144" w:afterLines="60" w:after="144"/>
              <w:rPr>
                <w:rFonts w:ascii="Times New Roman" w:hAnsi="Times New Roman"/>
                <w:b/>
                <w:sz w:val="24"/>
                <w:u w:val="single"/>
              </w:rPr>
            </w:pPr>
            <w:r>
              <w:rPr>
                <w:rFonts w:ascii="Times New Roman" w:hAnsi="Times New Roman"/>
                <w:sz w:val="24"/>
              </w:rPr>
              <w:t>A besorolás egy sorazonosító, amely a tábla minden sorát egyedileg azonosítja. Sorrendje: 1, 2, 3 stb., ahol az 1-et a legnagyobb egyedi koncentrált pozíciókkal kapcsolatos kiegészítő értékelési korrekcióhoz kell rendelni, a 2-t a második legnagyobbhoz, és így tovább.</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KOCKÁZATI KATEGÓRIA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A pozíciót leginkább jellemző kockázati kategória (kamat, devizaárfolyam, hitel, részvény, áru).</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Az intézményeknek a következő kódokat kell feltüntetniük:</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kamat</w:t>
            </w:r>
          </w:p>
          <w:p w:rsidR="0022597E"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FX – devizaárfolyam</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hitel</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részvény</w:t>
            </w:r>
          </w:p>
          <w:p w:rsidR="00113E45" w:rsidRPr="00DD41BE" w:rsidRDefault="00113E45" w:rsidP="0022597E">
            <w:pPr>
              <w:spacing w:beforeLines="60" w:before="144" w:afterLines="60" w:after="144"/>
              <w:rPr>
                <w:rFonts w:ascii="Times New Roman" w:hAnsi="Times New Roman"/>
                <w:sz w:val="24"/>
              </w:rPr>
            </w:pPr>
            <w:r>
              <w:rPr>
                <w:rFonts w:ascii="Times New Roman" w:hAnsi="Times New Roman"/>
                <w:sz w:val="24"/>
              </w:rPr>
              <w:t>CO – áru</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TERMÉK </w:t>
            </w:r>
          </w:p>
          <w:p w:rsidR="00113E45" w:rsidRPr="00DD41BE" w:rsidRDefault="00113E45" w:rsidP="00DC09EA">
            <w:pPr>
              <w:spacing w:beforeLines="60" w:before="144" w:afterLines="60" w:after="144"/>
              <w:rPr>
                <w:rFonts w:ascii="Times New Roman" w:hAnsi="Times New Roman"/>
                <w:sz w:val="24"/>
              </w:rPr>
            </w:pPr>
            <w:r>
              <w:rPr>
                <w:rFonts w:ascii="Times New Roman" w:hAnsi="Times New Roman"/>
                <w:sz w:val="24"/>
              </w:rPr>
              <w:t>A termék vagy termékcsoport belső neve, a prudens értékelésről szóló (EU) 2016/101 felhatalmazáson alapuló rendelet 19. cikke (3) bekezdésének a) pon</w:t>
            </w:r>
            <w:r>
              <w:rPr>
                <w:rFonts w:ascii="Times New Roman" w:hAnsi="Times New Roman"/>
                <w:sz w:val="24"/>
              </w:rPr>
              <w:t>t</w:t>
            </w:r>
            <w:r>
              <w:rPr>
                <w:rFonts w:ascii="Times New Roman" w:hAnsi="Times New Roman"/>
                <w:sz w:val="24"/>
              </w:rPr>
              <w:t>jában előírt termékleltárral összhangban.</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MÖGÖTTES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A mögöttes eszköz vagy eszközök belső neve származtatott ügyletek esetében, vagy az instrumentumok neve nem származtatott ügyletek esetében.</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KONCENTRÁLT POZÍCIÓK MÉRETE</w:t>
            </w:r>
          </w:p>
          <w:p w:rsidR="00113E45" w:rsidRPr="00DD41BE" w:rsidRDefault="00113E45" w:rsidP="00DC09E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 prudens értékelésről szóló (EU) 2016/101 felhatalmazáson alapuló rendelet 14. cikke (1) bekezdésének a) pontja szerint meghatározott egyedi koncentrált értékelési pozíció mérete, a 0050. oszlopban leírt egységben kifejezve.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MÉRTÉKEGYSÉG</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A 0040. oszlopban említett koncentrált pozícióméret kiszámítása céljából a ko</w:t>
            </w:r>
            <w:r>
              <w:rPr>
                <w:rFonts w:ascii="Times New Roman" w:hAnsi="Times New Roman"/>
                <w:sz w:val="24"/>
              </w:rPr>
              <w:t>n</w:t>
            </w:r>
            <w:r>
              <w:rPr>
                <w:rFonts w:ascii="Times New Roman" w:hAnsi="Times New Roman"/>
                <w:sz w:val="24"/>
              </w:rPr>
              <w:t>centrált értékelési pozíció meghatározása részeként belsőleg használt mérté</w:t>
            </w:r>
            <w:r>
              <w:rPr>
                <w:rFonts w:ascii="Times New Roman" w:hAnsi="Times New Roman"/>
                <w:sz w:val="24"/>
              </w:rPr>
              <w:t>k</w:t>
            </w:r>
            <w:r>
              <w:rPr>
                <w:rFonts w:ascii="Times New Roman" w:hAnsi="Times New Roman"/>
                <w:sz w:val="24"/>
              </w:rPr>
              <w:t xml:space="preserve">egység.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Kötvényekben vagy részvényekben lévő pozíciók esetében</w:t>
            </w:r>
            <w:r>
              <w:rPr>
                <w:rFonts w:ascii="Times New Roman" w:hAnsi="Times New Roman"/>
                <w:sz w:val="24"/>
              </w:rPr>
              <w:t xml:space="preserve"> a belső kockázatk</w:t>
            </w:r>
            <w:r>
              <w:rPr>
                <w:rFonts w:ascii="Times New Roman" w:hAnsi="Times New Roman"/>
                <w:sz w:val="24"/>
              </w:rPr>
              <w:t>e</w:t>
            </w:r>
            <w:r>
              <w:rPr>
                <w:rFonts w:ascii="Times New Roman" w:hAnsi="Times New Roman"/>
                <w:sz w:val="24"/>
              </w:rPr>
              <w:t xml:space="preserve">zeléshez használt mértékegységet kell megadni, </w:t>
            </w:r>
            <w:r>
              <w:rPr>
                <w:rStyle w:val="InstructionsTabelleberschrift"/>
                <w:rFonts w:ascii="Times New Roman" w:hAnsi="Times New Roman"/>
                <w:b w:val="0"/>
                <w:sz w:val="24"/>
                <w:u w:val="none"/>
              </w:rPr>
              <w:t xml:space="preserve">például „kötvények száma”, részvények száma” vagy „piaci érték”.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Származtatott ügyletekben lévő pozíciók esetében a belső kockázatkezeléshez használt mértékegységet kell megadni, például „PV01; EUR/1 bázispontos pá</w:t>
            </w:r>
            <w:r>
              <w:rPr>
                <w:rFonts w:ascii="Times New Roman" w:hAnsi="Times New Roman"/>
                <w:sz w:val="24"/>
              </w:rPr>
              <w:t>r</w:t>
            </w:r>
            <w:r>
              <w:rPr>
                <w:rFonts w:ascii="Times New Roman" w:hAnsi="Times New Roman"/>
                <w:sz w:val="24"/>
              </w:rPr>
              <w:t xml:space="preserve">huzamos hozamgörbe eltolódás”.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PIACI ÉRTÉK</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pozíció piaci értéke.</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PRUDENS KILÉPÉSI IDŐSZAK</w:t>
            </w:r>
          </w:p>
          <w:p w:rsidR="00113E45" w:rsidRPr="00DD41BE" w:rsidRDefault="00113E45" w:rsidP="00DC09E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prudens értékelésről szóló (EU) 2016/101 felhatalmazáson alapuló rendelet</w:t>
            </w:r>
            <w:r>
              <w:rPr>
                <w:rFonts w:ascii="Times New Roman" w:hAnsi="Times New Roman"/>
                <w:sz w:val="24"/>
              </w:rPr>
              <w:t xml:space="preserve"> 14. cikke (1) bekezdésének b) pontja szerint becsült napok számában megadott prudens kilépési időszak</w:t>
            </w:r>
            <w:r>
              <w:rPr>
                <w:rStyle w:val="InstructionsTabelleberschrift"/>
                <w:rFonts w:ascii="Times New Roman" w:hAnsi="Times New Roman"/>
                <w:b w:val="0"/>
                <w:sz w:val="24"/>
                <w:u w:val="none"/>
              </w:rPr>
              <w:t>.</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KONCENTRÁLT POZÍCIÓK KIEGÉSZÍTŐ ÉRTÉKELÉSI KORRE</w:t>
            </w:r>
            <w:r>
              <w:rPr>
                <w:rStyle w:val="InstructionsTabelleberschrift"/>
                <w:rFonts w:ascii="Times New Roman" w:hAnsi="Times New Roman"/>
                <w:sz w:val="24"/>
              </w:rPr>
              <w:t>K</w:t>
            </w:r>
            <w:r>
              <w:rPr>
                <w:rStyle w:val="InstructionsTabelleberschrift"/>
                <w:rFonts w:ascii="Times New Roman" w:hAnsi="Times New Roman"/>
                <w:sz w:val="24"/>
              </w:rPr>
              <w:t>CIÓJA</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érintett egyedi koncentrált értékelési pozíciókra vonatkozóan</w:t>
            </w:r>
            <w:r>
              <w:rPr>
                <w:rFonts w:ascii="Times New Roman" w:hAnsi="Times New Roman"/>
                <w:sz w:val="24"/>
              </w:rPr>
              <w:t xml:space="preserve"> a prudens ért</w:t>
            </w:r>
            <w:r>
              <w:rPr>
                <w:rFonts w:ascii="Times New Roman" w:hAnsi="Times New Roman"/>
                <w:sz w:val="24"/>
              </w:rPr>
              <w:t>é</w:t>
            </w:r>
            <w:r>
              <w:rPr>
                <w:rFonts w:ascii="Times New Roman" w:hAnsi="Times New Roman"/>
                <w:sz w:val="24"/>
              </w:rPr>
              <w:t>kelésről szóló (EU) 2016/101 felhatalmazáson alapuló rendelet</w:t>
            </w:r>
            <w:r>
              <w:rPr>
                <w:rStyle w:val="InstructionsTabelleberschrift"/>
                <w:rFonts w:ascii="Times New Roman" w:hAnsi="Times New Roman"/>
                <w:b w:val="0"/>
                <w:sz w:val="24"/>
                <w:u w:val="none"/>
              </w:rPr>
              <w:t xml:space="preserve"> 14. cikkének (1) bekezdésével összhangban kiszámított koncentrált pozíciókkal kapcsolatos k</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lastRenderedPageBreak/>
              <w:t>egészítő értékelési korrekció.</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0090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KONCENTRÁLT POZÍCIÓK VALÓSÉRTÉK-KORREKCIÓJA</w:t>
            </w:r>
          </w:p>
          <w:p w:rsidR="00955AA6" w:rsidRPr="00DD41B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Azon tény tükrözése céljából alkalmazott valósérték-korrekciók összege, hogy az intézménynél lévő aggregált pozíció nagyobb, mint a normál kereskedett v</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lumen, vagy nagyobb a pozícióméreteknél, és amelyeken az értékelési modell á</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tal használt árak vagy inputok kalibrálásához alkalmazott árjegyzések vagy üg</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letek alapulnak.</w:t>
            </w:r>
          </w:p>
          <w:p w:rsidR="00113E45" w:rsidRPr="00DD41B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feltüntetett összegnek meg kell egyeznie az érintett egyedi koncentrált érték</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lési pozícióra alkalmazott összeggel.</w:t>
            </w:r>
          </w:p>
        </w:tc>
      </w:tr>
      <w:tr w:rsidR="00113E45" w:rsidRPr="0022597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 KÜLÖNBÖZET</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105. cikke (8) bekezdésének megfelelően végrehajtott független árfelü</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vizsgálat keretében az adatszolgáltatási időponthoz legközelebb eső hónap végén kiszámított ki nem igazított különbözetek („IPV különbözet”) összege, az éri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tett egyedi koncentrált értékelési pozícióra vonatkozóan elérhető legjobb függe</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 xml:space="preserve">len adatok figyelembevételével.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ki nem igazított különbözetek a kereskedési rendszerek által generált értékel</w:t>
            </w:r>
            <w:r>
              <w:rPr>
                <w:rStyle w:val="InstructionsTabelleberschrift"/>
                <w:rFonts w:ascii="Times New Roman" w:hAnsi="Times New Roman"/>
                <w:b w:val="0"/>
                <w:sz w:val="24"/>
                <w:u w:val="none"/>
              </w:rPr>
              <w:t>é</w:t>
            </w:r>
            <w:r>
              <w:rPr>
                <w:rStyle w:val="InstructionsTabelleberschrift"/>
                <w:rFonts w:ascii="Times New Roman" w:hAnsi="Times New Roman"/>
                <w:b w:val="0"/>
                <w:sz w:val="24"/>
                <w:u w:val="none"/>
              </w:rPr>
              <w:t>sek és a havi IPV folyamat során értékelt értékelések közötti ki nem igazított k</w:t>
            </w:r>
            <w:r>
              <w:rPr>
                <w:rStyle w:val="InstructionsTabelleberschrift"/>
                <w:rFonts w:ascii="Times New Roman" w:hAnsi="Times New Roman"/>
                <w:b w:val="0"/>
                <w:sz w:val="24"/>
                <w:u w:val="none"/>
              </w:rPr>
              <w:t>ü</w:t>
            </w:r>
            <w:r>
              <w:rPr>
                <w:rStyle w:val="InstructionsTabelleberschrift"/>
                <w:rFonts w:ascii="Times New Roman" w:hAnsi="Times New Roman"/>
                <w:b w:val="0"/>
                <w:sz w:val="24"/>
                <w:u w:val="none"/>
              </w:rPr>
              <w:t>lönbözeteket jelentik.</w:t>
            </w:r>
          </w:p>
          <w:p w:rsidR="00113E45" w:rsidRPr="00DD41B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Nem vonhatók be az IPV különbözet számításába a releváns hónap végi dátumra vonatkozóan az intézmény könyveiben és nyilvántartásaiban szereplő kiigazított különbözetek.</w:t>
            </w:r>
          </w:p>
        </w:tc>
      </w:tr>
    </w:tbl>
    <w:p w:rsidR="00995A7F" w:rsidRPr="00392FFD" w:rsidRDefault="00995A7F" w:rsidP="00C61FF5">
      <w:pPr>
        <w:rPr>
          <w:rStyle w:val="InstructionsTabelleText"/>
          <w:rFonts w:ascii="Times New Roman" w:hAnsi="Times New Roman"/>
          <w:sz w:val="24"/>
        </w:rPr>
      </w:pP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1" w:name="_Toc516210719"/>
      <w:bookmarkStart w:id="802" w:name="_Toc473561055"/>
      <w:bookmarkStart w:id="803" w:name="_Toc524014778"/>
      <w:r>
        <w:rPr>
          <w:rFonts w:ascii="Times New Roman" w:hAnsi="Times New Roman"/>
          <w:sz w:val="24"/>
          <w:u w:val="none"/>
        </w:rPr>
        <w:t>7.</w:t>
      </w:r>
      <w:r w:rsidRPr="00406A85">
        <w:rPr>
          <w:u w:val="none"/>
        </w:rPr>
        <w:tab/>
      </w:r>
      <w:r>
        <w:rPr>
          <w:rFonts w:ascii="Times New Roman" w:hAnsi="Times New Roman"/>
          <w:sz w:val="24"/>
        </w:rPr>
        <w:t>C 33.00 – Államháztartásokkal szembeni kitettségek (GOV)</w:t>
      </w:r>
      <w:bookmarkEnd w:id="801"/>
      <w:bookmarkEnd w:id="802"/>
      <w:bookmarkEnd w:id="803"/>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4" w:name="_Toc367202008"/>
      <w:bookmarkStart w:id="805" w:name="_Toc516210720"/>
      <w:bookmarkStart w:id="806" w:name="_Toc473561056"/>
      <w:bookmarkStart w:id="807" w:name="_Toc524014779"/>
      <w:r>
        <w:rPr>
          <w:rFonts w:ascii="Times New Roman" w:hAnsi="Times New Roman"/>
          <w:sz w:val="24"/>
          <w:u w:val="none"/>
        </w:rPr>
        <w:t>7.1.</w:t>
      </w:r>
      <w:r w:rsidRPr="00406A85">
        <w:rPr>
          <w:u w:val="none"/>
        </w:rPr>
        <w:tab/>
      </w:r>
      <w:r>
        <w:rPr>
          <w:rFonts w:ascii="Times New Roman" w:hAnsi="Times New Roman"/>
          <w:sz w:val="24"/>
        </w:rPr>
        <w:t>Általános megjegyzések</w:t>
      </w:r>
      <w:bookmarkEnd w:id="804"/>
      <w:bookmarkEnd w:id="805"/>
      <w:bookmarkEnd w:id="806"/>
      <w:bookmarkEnd w:id="807"/>
    </w:p>
    <w:p w:rsidR="00FD54FC" w:rsidRPr="00392FFD" w:rsidRDefault="00125707" w:rsidP="009068C9">
      <w:pPr>
        <w:pStyle w:val="InstructionsText2"/>
        <w:numPr>
          <w:ilvl w:val="0"/>
          <w:numId w:val="0"/>
        </w:numPr>
        <w:ind w:left="993"/>
      </w:pPr>
      <w:r>
        <w:t>155.</w:t>
      </w:r>
      <w:r>
        <w:tab/>
        <w:t>A C 33.00 táblában az V. melléklet 42. b) pontjában meghatározott „államhá</w:t>
      </w:r>
      <w:r>
        <w:t>z</w:t>
      </w:r>
      <w:r>
        <w:t>tartásokkal” szembeni kitettségeket kell jelenteni.</w:t>
      </w:r>
    </w:p>
    <w:p w:rsidR="00FD54FC" w:rsidRPr="00392FFD" w:rsidRDefault="00125707" w:rsidP="009068C9">
      <w:pPr>
        <w:pStyle w:val="InstructionsText2"/>
        <w:numPr>
          <w:ilvl w:val="0"/>
          <w:numId w:val="0"/>
        </w:numPr>
        <w:ind w:left="993"/>
      </w:pPr>
      <w:r>
        <w:t>156.</w:t>
      </w:r>
      <w:r>
        <w:tab/>
        <w:t xml:space="preserve">Az államháztartásokkal szembeni kitettségek különböző kitettségi osztályokba tartoznak a CRR 112. cikkének és 147. cikkének megfelelően, a C 07.00, C 08.01 és a C 08.02 táblához tartozó kitöltési útmutatóban meghatározottak szerint. </w:t>
      </w:r>
    </w:p>
    <w:p w:rsidR="00FD54FC" w:rsidRPr="00392FFD" w:rsidRDefault="00125707" w:rsidP="009068C9">
      <w:pPr>
        <w:pStyle w:val="InstructionsText2"/>
        <w:numPr>
          <w:ilvl w:val="0"/>
          <w:numId w:val="0"/>
        </w:numPr>
        <w:ind w:left="993"/>
      </w:pPr>
      <w:r>
        <w:t>157.</w:t>
      </w:r>
      <w:r>
        <w:tab/>
        <w:t>A CRR szerinti tőkekövetelmények kiszámításához használt kitettségi oszt</w:t>
      </w:r>
      <w:r>
        <w:t>á</w:t>
      </w:r>
      <w:r>
        <w:t xml:space="preserve">lyok „államháztartások” ügyfélszektorhoz való hozzárendelésekor az V. melléklet 3. részében található 2. táblázatot („Sztenderd módszer”) és a 3. táblázatot („Belső minősítésen alapuló módszer”) kell figyelembe venni. </w:t>
      </w:r>
    </w:p>
    <w:p w:rsidR="00FD54FC" w:rsidRPr="00392FFD" w:rsidRDefault="00125707" w:rsidP="009068C9">
      <w:pPr>
        <w:pStyle w:val="InstructionsText2"/>
        <w:numPr>
          <w:ilvl w:val="0"/>
          <w:numId w:val="0"/>
        </w:numPr>
        <w:ind w:left="993"/>
      </w:pPr>
      <w:r>
        <w:t>158.</w:t>
      </w:r>
      <w:r>
        <w:tab/>
        <w:t>Az adatokat a teljes aggregált kitettségre (azaz valamennyi olyan ország összesenjére, ahol a banknak kormányzatokkal szembeni kitettsége van) és a par</w:t>
      </w:r>
      <w:r>
        <w:t>t</w:t>
      </w:r>
      <w:r>
        <w:t>ner székhelye szerint országonként kell jelenteni, a közvetlen hitelfelvevővel sze</w:t>
      </w:r>
      <w:r>
        <w:t>m</w:t>
      </w:r>
      <w:r>
        <w:t xml:space="preserve">beni kitettségek alapján. </w:t>
      </w:r>
    </w:p>
    <w:p w:rsidR="00FD54FC" w:rsidRPr="00392FFD" w:rsidRDefault="00125707" w:rsidP="009068C9">
      <w:pPr>
        <w:pStyle w:val="InstructionsText2"/>
        <w:numPr>
          <w:ilvl w:val="0"/>
          <w:numId w:val="0"/>
        </w:numPr>
        <w:ind w:left="993"/>
      </w:pPr>
      <w:r>
        <w:lastRenderedPageBreak/>
        <w:t>159.</w:t>
      </w:r>
      <w:r>
        <w:tab/>
        <w:t>A kitettségek kitettségi osztályokba vagy joghatóságokba sorolása során nem kell figyelembe venni sem a hitelkockázat-mérséklési módszereket, sem különösen a helyettesítési hatásokat. Ugyanakkor az egyes kitettségi osztályokba és joghat</w:t>
      </w:r>
      <w:r>
        <w:t>ó</w:t>
      </w:r>
      <w:r>
        <w:t>ságokba sorolt kitettségértékek és kockázattal súlyozott kitettségértékek kiszámít</w:t>
      </w:r>
      <w:r>
        <w:t>á</w:t>
      </w:r>
      <w:r>
        <w:t xml:space="preserve">sa során figyelembe kell venni a hitelkockázat-mérséklési módszerek előfordulását és a helyettesítési hatásokat. </w:t>
      </w:r>
    </w:p>
    <w:p w:rsidR="00FD54FC" w:rsidRPr="00392FFD" w:rsidRDefault="00125707" w:rsidP="009068C9">
      <w:pPr>
        <w:pStyle w:val="InstructionsText2"/>
        <w:numPr>
          <w:ilvl w:val="0"/>
          <w:numId w:val="0"/>
        </w:numPr>
        <w:ind w:left="993"/>
      </w:pPr>
      <w:r>
        <w:t>160.</w:t>
      </w:r>
      <w:r>
        <w:tab/>
        <w:t>Az államháztartásokkal szembeni kitettségekre vonatkozó információkat a közvetlen partner székhelye szerinti minden olyan joghatóság esetében, amely nem az adatszolgáltató intézmény belföldi joghatósága, csak az e rendelet 5. cikke b) pontjának 3. alpontjában meghatározott küszöbértékek meghaladása esetén kell j</w:t>
      </w:r>
      <w:r>
        <w:t>e</w:t>
      </w:r>
      <w:r>
        <w:t>lenteni.</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8" w:name="_Toc367202009"/>
      <w:bookmarkStart w:id="809" w:name="_Toc516210721"/>
      <w:bookmarkStart w:id="810" w:name="_Toc473561057"/>
      <w:bookmarkStart w:id="811" w:name="_Toc524014780"/>
      <w:r>
        <w:rPr>
          <w:rFonts w:ascii="Times New Roman" w:hAnsi="Times New Roman"/>
          <w:sz w:val="24"/>
          <w:u w:val="none"/>
        </w:rPr>
        <w:t>7.2.</w:t>
      </w:r>
      <w:r w:rsidRPr="00406A85">
        <w:rPr>
          <w:u w:val="none"/>
        </w:rPr>
        <w:tab/>
      </w:r>
      <w:r>
        <w:rPr>
          <w:rFonts w:ascii="Times New Roman" w:hAnsi="Times New Roman"/>
          <w:sz w:val="24"/>
        </w:rPr>
        <w:t>Az államháztartásokkal szembeni kitettségek tábla alkalmazási köre</w:t>
      </w:r>
      <w:bookmarkEnd w:id="808"/>
      <w:bookmarkEnd w:id="809"/>
      <w:bookmarkEnd w:id="810"/>
      <w:bookmarkEnd w:id="811"/>
    </w:p>
    <w:p w:rsidR="00FD54FC" w:rsidRPr="00392FFD" w:rsidRDefault="00125707" w:rsidP="009068C9">
      <w:pPr>
        <w:pStyle w:val="InstructionsText2"/>
        <w:numPr>
          <w:ilvl w:val="0"/>
          <w:numId w:val="0"/>
        </w:numPr>
        <w:ind w:left="993"/>
      </w:pPr>
      <w:r>
        <w:t>161.</w:t>
      </w:r>
      <w:r>
        <w:tab/>
        <w:t>A GOV táblában egyaránt fel kell tüntetni a banki és a kereskedési könyvben szereplő, államháztartásokkal szembeni mérlegen belüli, mérlegen kívüli és szá</w:t>
      </w:r>
      <w:r>
        <w:t>r</w:t>
      </w:r>
      <w:r>
        <w:t>maztatott közvetlen kitettségeket. Tájékoztató adatként jelenteni kell továbbá az á</w:t>
      </w:r>
      <w:r>
        <w:t>l</w:t>
      </w:r>
      <w:r>
        <w:t>lamháztartásokkal szembeni kitettségekre eladott hitelderivatívák formáját öltő közvetett kitettségeket.</w:t>
      </w:r>
    </w:p>
    <w:p w:rsidR="00FD54FC" w:rsidRPr="00392FFD" w:rsidRDefault="00125707" w:rsidP="009068C9">
      <w:pPr>
        <w:pStyle w:val="InstructionsText2"/>
        <w:numPr>
          <w:ilvl w:val="0"/>
          <w:numId w:val="0"/>
        </w:numPr>
        <w:ind w:left="993"/>
      </w:pPr>
      <w:r>
        <w:t>162.</w:t>
      </w:r>
      <w:r>
        <w:tab/>
        <w:t xml:space="preserve">Valamely kitettség akkor tekintendő közvetlen kitettségnek, ha a közvetlen partner az „államháztartások” fogalommeghatározása alá tartozik. </w:t>
      </w:r>
    </w:p>
    <w:p w:rsidR="00FD54FC" w:rsidRPr="00392FFD" w:rsidRDefault="00125707" w:rsidP="009068C9">
      <w:pPr>
        <w:pStyle w:val="InstructionsText2"/>
        <w:numPr>
          <w:ilvl w:val="0"/>
          <w:numId w:val="0"/>
        </w:numPr>
        <w:ind w:left="993"/>
      </w:pPr>
      <w:r>
        <w:t>163.</w:t>
      </w:r>
      <w:r>
        <w:tab/>
        <w:t>A tábla két részre oszlik. Az első részben a kitettségeket kockázat, szabályozási módszerek és kitettségi osztály szerinti bontásban kell bemutatni; a második rés</w:t>
      </w:r>
      <w:r>
        <w:t>z</w:t>
      </w:r>
      <w:r>
        <w:t>ben a kitettségeket hátralévő futamidő szerinti bontásban kell feltüntetni.</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12" w:name="_Toc516210722"/>
      <w:bookmarkStart w:id="813" w:name="_Toc473561058"/>
      <w:bookmarkStart w:id="814" w:name="_Toc524014781"/>
      <w:r>
        <w:rPr>
          <w:rFonts w:ascii="Times New Roman" w:hAnsi="Times New Roman"/>
          <w:sz w:val="24"/>
          <w:u w:val="none"/>
        </w:rPr>
        <w:t>7.3.</w:t>
      </w:r>
      <w:r w:rsidRPr="00406A85">
        <w:rPr>
          <w:u w:val="none"/>
        </w:rPr>
        <w:tab/>
      </w:r>
      <w:r>
        <w:rPr>
          <w:rFonts w:ascii="Times New Roman" w:hAnsi="Times New Roman"/>
          <w:sz w:val="24"/>
        </w:rPr>
        <w:t>A tábla egyes részeire vonatkozó útmutató</w:t>
      </w:r>
      <w:bookmarkEnd w:id="812"/>
      <w:bookmarkEnd w:id="813"/>
      <w:bookmarkEnd w:id="8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rsidTr="00672D2A">
        <w:tc>
          <w:tcPr>
            <w:tcW w:w="1188"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Oszlopok</w:t>
            </w:r>
          </w:p>
          <w:p w:rsidR="00FD54FC" w:rsidRPr="00392FFD" w:rsidRDefault="00FD54FC" w:rsidP="00FD54FC">
            <w:pPr>
              <w:spacing w:before="0" w:after="0"/>
              <w:ind w:left="33"/>
              <w:rPr>
                <w:rFonts w:ascii="Times New Roman" w:hAnsi="Times New Roman"/>
                <w:bCs/>
                <w:sz w:val="24"/>
              </w:rPr>
            </w:pPr>
          </w:p>
        </w:tc>
        <w:tc>
          <w:tcPr>
            <w:tcW w:w="8640"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Útmutató</w:t>
            </w:r>
          </w:p>
        </w:tc>
      </w:tr>
      <w:tr w:rsidR="00FD54FC" w:rsidRPr="00392FFD" w:rsidTr="00672D2A">
        <w:tc>
          <w:tcPr>
            <w:tcW w:w="1188" w:type="dxa"/>
            <w:tcBorders>
              <w:bottom w:val="single" w:sz="4" w:space="0" w:color="auto"/>
            </w:tcBorders>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010-260</w:t>
            </w:r>
          </w:p>
        </w:tc>
        <w:tc>
          <w:tcPr>
            <w:tcW w:w="8640" w:type="dxa"/>
            <w:tcBorders>
              <w:bottom w:val="single" w:sz="4" w:space="0" w:color="auto"/>
            </w:tcBorders>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KÖZVETLEN KITETTSÉGEK </w:t>
            </w: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MÉRLEGEN BELÜLI KITETTSÉGEK</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Nem származtatott pénzügyi eszközök bruttó könyv szerinti értéke összesen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államháztartásokkal szembeni kitettségnek minősülő nem származtatott pénzügyi eszközök az V. melléklet 1. részének 34. pontja szerint meghatározott bruttó könyv szerinti értékének aggregált értéke valamennyi IFRS szerinti és a 86/635/EGK iránye</w:t>
            </w:r>
            <w:r>
              <w:rPr>
                <w:rFonts w:ascii="Times New Roman" w:hAnsi="Times New Roman"/>
                <w:sz w:val="24"/>
              </w:rPr>
              <w:t>l</w:t>
            </w:r>
            <w:r>
              <w:rPr>
                <w:rFonts w:ascii="Times New Roman" w:hAnsi="Times New Roman"/>
                <w:sz w:val="24"/>
              </w:rPr>
              <w:t>ven (BAD) alapuló nemzeti GAAP szerinti, az V. melléklet 1. részének 15–22. pontj</w:t>
            </w:r>
            <w:r>
              <w:rPr>
                <w:rFonts w:ascii="Times New Roman" w:hAnsi="Times New Roman"/>
                <w:sz w:val="24"/>
              </w:rPr>
              <w:t>á</w:t>
            </w:r>
            <w:r>
              <w:rPr>
                <w:rFonts w:ascii="Times New Roman" w:hAnsi="Times New Roman"/>
                <w:sz w:val="24"/>
              </w:rPr>
              <w:t xml:space="preserve">ban meghatározott, a 030–120-as oszlopban felsorolt számviteli portfólió esetében.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 prudens értékelési korrekciók nem csökkenthetik a valós értéken értékelt keresked</w:t>
            </w:r>
            <w:r>
              <w:rPr>
                <w:rFonts w:ascii="Times New Roman" w:hAnsi="Times New Roman"/>
                <w:sz w:val="24"/>
              </w:rPr>
              <w:t>é</w:t>
            </w:r>
            <w:r>
              <w:rPr>
                <w:rFonts w:ascii="Times New Roman" w:hAnsi="Times New Roman"/>
                <w:sz w:val="24"/>
              </w:rPr>
              <w:t>si és nem kereskedési célú kitettségek bruttó könyv szerinti értékét.</w:t>
            </w:r>
          </w:p>
          <w:p w:rsidR="00FD54FC" w:rsidRPr="00392FFD" w:rsidRDefault="00FD54FC" w:rsidP="00FD54FC">
            <w:pPr>
              <w:spacing w:before="0" w:after="0"/>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Nem származtatott pénzügyi eszközök könyv szerinti értéke összesen (a rövid p</w:t>
            </w:r>
            <w:r>
              <w:rPr>
                <w:rFonts w:ascii="Times New Roman" w:hAnsi="Times New Roman"/>
                <w:b/>
                <w:sz w:val="24"/>
                <w:u w:val="single"/>
              </w:rPr>
              <w:t>o</w:t>
            </w:r>
            <w:r>
              <w:rPr>
                <w:rFonts w:ascii="Times New Roman" w:hAnsi="Times New Roman"/>
                <w:b/>
                <w:sz w:val="24"/>
                <w:u w:val="single"/>
              </w:rPr>
              <w:t>zíciók levonásával)</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Az államháztartásokkal szembeni kitettségnek minősülő nem származtatott pénzügyi eszközök az V. melléklet 1. részének 27. pontja szerinti könyv szerinti értékének aggregált értéke valamennyi IFRS szerinti és a BAD alapján kidolgozott nemzeti </w:t>
            </w:r>
            <w:r>
              <w:rPr>
                <w:rFonts w:ascii="Times New Roman" w:hAnsi="Times New Roman"/>
                <w:sz w:val="24"/>
              </w:rPr>
              <w:lastRenderedPageBreak/>
              <w:t>GAAP szerinti, az V. melléklet 1. részének 15–22. pontjában meghatározott, a 030–120-as oszlopban felsorolt számviteli portfólió esetében.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Amennyiben az intézmény ugyanazon hátralévő futamidőre és ugyanazon közvetlen partner vonatkozásában, ugyanazon pénznemben denominált rövid pozícióval rende</w:t>
            </w:r>
            <w:r>
              <w:rPr>
                <w:rFonts w:ascii="Times New Roman" w:hAnsi="Times New Roman"/>
                <w:sz w:val="24"/>
              </w:rPr>
              <w:t>l</w:t>
            </w:r>
            <w:r>
              <w:rPr>
                <w:rFonts w:ascii="Times New Roman" w:hAnsi="Times New Roman"/>
                <w:sz w:val="24"/>
              </w:rPr>
              <w:t>kezik, a rövid pozíció könyv szerinti értékét és a közvetlen pozíció könyv szerinti ért</w:t>
            </w:r>
            <w:r>
              <w:rPr>
                <w:rFonts w:ascii="Times New Roman" w:hAnsi="Times New Roman"/>
                <w:sz w:val="24"/>
              </w:rPr>
              <w:t>é</w:t>
            </w:r>
            <w:r>
              <w:rPr>
                <w:rFonts w:ascii="Times New Roman" w:hAnsi="Times New Roman"/>
                <w:sz w:val="24"/>
              </w:rPr>
              <w:t>két nettósítani kell. Amennyiben az így kapott érték negatív, a nettó értéket nullának kell tekinteni.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 030–120-as oszlopok összegének a 130-as oszlop értékével csökkentett értékét kell megadni.</w:t>
            </w:r>
            <w:r>
              <w:rPr>
                <w:sz w:val="24"/>
              </w:rPr>
              <w:t xml:space="preserve"> </w:t>
            </w:r>
            <w:r>
              <w:rPr>
                <w:rFonts w:ascii="Times New Roman" w:hAnsi="Times New Roman"/>
                <w:sz w:val="24"/>
              </w:rPr>
              <w:t>Amennyiben az így kapott érték negatív, nulla értéket kell jelenteni.</w:t>
            </w:r>
          </w:p>
          <w:p w:rsidR="00FD54FC" w:rsidRPr="00392FFD" w:rsidDel="00FB1EBF"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030-120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Nem származtatott pénzügyi eszközök számviteli portfóliók szerint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államháztartásokkal szembeni kitettségnek minősülő nem származtatott pénzügyi eszközök a fentiek szerint meghatározott könyv szerinti értékének aggregált értéke az alkalmazandó számviteli szabályozásnak megfelelő számviteli portfóliók szerint.</w:t>
            </w:r>
          </w:p>
          <w:p w:rsidR="00FD54FC" w:rsidRPr="00392FFD"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640" w:type="dxa"/>
          </w:tcPr>
          <w:p w:rsidR="00FD54FC" w:rsidRPr="00321A3B" w:rsidRDefault="00FD54FC" w:rsidP="00FD54FC">
            <w:pPr>
              <w:spacing w:before="0" w:after="0"/>
              <w:ind w:left="33"/>
              <w:rPr>
                <w:rFonts w:ascii="Times New Roman" w:hAnsi="Times New Roman"/>
                <w:bCs/>
                <w:sz w:val="24"/>
              </w:rPr>
            </w:pPr>
            <w:r>
              <w:rPr>
                <w:rFonts w:ascii="Times New Roman" w:hAnsi="Times New Roman"/>
                <w:b/>
                <w:sz w:val="24"/>
                <w:u w:val="single"/>
              </w:rPr>
              <w:t>Kereskedési céllal tartott pénzügyi eszközök</w:t>
            </w:r>
          </w:p>
          <w:p w:rsidR="00FD54FC" w:rsidRPr="00321A3B" w:rsidRDefault="00FD54FC" w:rsidP="00FD54FC">
            <w:pPr>
              <w:spacing w:before="0" w:after="0"/>
              <w:ind w:left="33"/>
              <w:rPr>
                <w:rFonts w:ascii="Times New Roman" w:hAnsi="Times New Roman"/>
                <w:bCs/>
                <w:sz w:val="24"/>
              </w:rPr>
            </w:pPr>
          </w:p>
          <w:p w:rsidR="00FD54FC" w:rsidRPr="00321A3B" w:rsidRDefault="001C79CB" w:rsidP="00FD54FC">
            <w:pPr>
              <w:spacing w:before="0" w:after="0"/>
              <w:ind w:left="33"/>
              <w:rPr>
                <w:rFonts w:ascii="Times New Roman" w:hAnsi="Times New Roman"/>
                <w:bCs/>
                <w:sz w:val="24"/>
              </w:rPr>
            </w:pPr>
            <w:r>
              <w:rPr>
                <w:rFonts w:ascii="Times New Roman" w:hAnsi="Times New Roman"/>
                <w:sz w:val="24"/>
              </w:rPr>
              <w:t xml:space="preserve">IFRS 7 8. bekezdésének a) ii. pontja; IFRS 9 </w:t>
            </w:r>
            <w:proofErr w:type="gramStart"/>
            <w:r>
              <w:rPr>
                <w:rFonts w:ascii="Times New Roman" w:hAnsi="Times New Roman"/>
                <w:sz w:val="24"/>
              </w:rPr>
              <w:t>A</w:t>
            </w:r>
            <w:proofErr w:type="gramEnd"/>
            <w:r>
              <w:rPr>
                <w:rFonts w:ascii="Times New Roman" w:hAnsi="Times New Roman"/>
                <w:sz w:val="24"/>
              </w:rPr>
              <w:t>. függelék</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Kereskedési célú pénzügyi eszközök</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 32–33. cikke; V. melléklet 1. részének 16. pontja; a számviteli irányelv 8. cikke (1) bekezdésének a) pontja</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Csak az általánosan elfogadott nemzeti számviteli elvek</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(GAAP) hatálya alá tartozó intézmények által jelentendő.</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Kötelezően az eredménnyel szemben valós értéken értékelt, nem kereskedési célú pénzügyi eszközök</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 7 8. bekezdésének a) ii. pontja; IFRS 9 4.1.4. bekezdése</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Az eredménnyel szemben valós értéken értékeltnek megjelölt pénzügyi eszközök</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 7 8. bekezdésének a) i. pontja; IFRS 9 4.1.5. bekezdése és a számviteli irányelv 8. cikke (1) bekezdésének a) pontja és (6) bekezdése</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070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Eredménnyel szemben valós értéken értékelt, nem kereskedési célú, nem szá</w:t>
            </w:r>
            <w:r>
              <w:rPr>
                <w:rFonts w:ascii="Times New Roman" w:hAnsi="Times New Roman"/>
                <w:b/>
                <w:sz w:val="24"/>
                <w:u w:val="single"/>
              </w:rPr>
              <w:t>r</w:t>
            </w:r>
            <w:r>
              <w:rPr>
                <w:rFonts w:ascii="Times New Roman" w:hAnsi="Times New Roman"/>
                <w:b/>
                <w:sz w:val="24"/>
                <w:u w:val="single"/>
              </w:rPr>
              <w:t>maztatott pénzügyi eszközök</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 36. cikkének (2) bekezdése; a számviteli irányelv 8. cikke (1) bekezdésének a) pontja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Csak az általánosan elfogadott nemzeti számviteli elvek</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(GAAP) hatálya alá tartozó intézmények által jelentendő.</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080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Az egyéb átfogó jövedelemmel szemben valós értéken értékelt pénzügyi eszközök</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IFRS 7 8. bekezdésének d) pontja; IFRS 9 4.1.2A. bekezdése.</w:t>
            </w:r>
          </w:p>
          <w:p w:rsidR="00FD54FC" w:rsidRPr="00321A3B" w:rsidRDefault="00FD54FC" w:rsidP="00FD54FC">
            <w:pPr>
              <w:spacing w:before="0" w:after="0"/>
              <w:ind w:left="33"/>
              <w:rPr>
                <w:rFonts w:ascii="Times New Roman" w:hAnsi="Times New Roman"/>
                <w:b/>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090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 saját tőkével szemben valós értéken értékelt, nem kereskedési célú, nem szá</w:t>
            </w:r>
            <w:r>
              <w:rPr>
                <w:rFonts w:ascii="Times New Roman" w:hAnsi="Times New Roman"/>
                <w:b/>
                <w:sz w:val="24"/>
                <w:u w:val="single"/>
              </w:rPr>
              <w:t>r</w:t>
            </w:r>
            <w:r>
              <w:rPr>
                <w:rFonts w:ascii="Times New Roman" w:hAnsi="Times New Roman"/>
                <w:b/>
                <w:sz w:val="24"/>
                <w:u w:val="single"/>
              </w:rPr>
              <w:t>maztatott pénzügyi eszközök</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 számviteli irányelv 8. cikke (1) bekezdésének a) pontja és (8) bekezdése</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Csak az általánosan elfogadott nemzeti számviteli elvek</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(GAAP) hatálya alá tartozó intézmények által jelentendő.</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Amortizált bekerülési értéken értékelt pénzügyi eszközök</w:t>
            </w:r>
          </w:p>
          <w:p w:rsidR="00FD54FC" w:rsidRPr="00321A3B" w:rsidRDefault="00FD54FC" w:rsidP="00FD54FC">
            <w:pPr>
              <w:spacing w:before="0" w:after="0"/>
              <w:ind w:left="33"/>
              <w:rPr>
                <w:rFonts w:ascii="Times New Roman" w:hAnsi="Times New Roman"/>
                <w:bCs/>
                <w:sz w:val="24"/>
              </w:rPr>
            </w:pPr>
          </w:p>
          <w:p w:rsidR="00FD54FC" w:rsidRPr="00321A3B"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IFRS 7 8. bekezdésének f) pontja; IFRS 9 4.1.2. bekezdése; V. melléklet 1. részének 15. pontja </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Bekerülésiérték-módszerrel értékelt nem kereskedési célú, nem származtatott pénzügyi eszközök</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 35. cikke; a számviteli irányelv 6. cikke (1) bekezdésének i) pontja és 8. cikk</w:t>
            </w:r>
            <w:r>
              <w:rPr>
                <w:rFonts w:ascii="Times New Roman" w:hAnsi="Times New Roman"/>
                <w:sz w:val="24"/>
              </w:rPr>
              <w:t>é</w:t>
            </w:r>
            <w:r>
              <w:rPr>
                <w:rFonts w:ascii="Times New Roman" w:hAnsi="Times New Roman"/>
                <w:sz w:val="24"/>
              </w:rPr>
              <w:t>nek (2) bekezdése; V. melléklet 1. részének 16. pontja;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Csak az általánosan elfogadott nemzeti számviteli elvek</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(GAAP) hatálya alá tartozó intézmények által jelentendő.</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Egyéb nem kereskedési célú, nem származtatott pénzügyi eszközök</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 37. cikke; a számviteli irányelv 12. cikkének (7) bekezdése; V. melléklet 1. r</w:t>
            </w:r>
            <w:r>
              <w:rPr>
                <w:rFonts w:ascii="Times New Roman" w:hAnsi="Times New Roman"/>
                <w:sz w:val="24"/>
              </w:rPr>
              <w:t>é</w:t>
            </w:r>
            <w:r>
              <w:rPr>
                <w:rFonts w:ascii="Times New Roman" w:hAnsi="Times New Roman"/>
                <w:sz w:val="24"/>
              </w:rPr>
              <w:t>szének 16. pontja.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Csak az általánosan elfogadott nemzeti számviteli elvek</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(GAAP) hatálya alá tartozó intézmények által jelentendő.</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Rövid pozíciók</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Az IFRS 9 BA.7 bekezdése b) pontjában meghatározott azon rövid pozíciók könyv szerinti értéke, ahol a közvetlen partner az 1. pont szerinti államháztartás.</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Rövid pozíció akkor keletkezik, ha az intézmény fordított visszavásárlási hitelek ker</w:t>
            </w:r>
            <w:r>
              <w:rPr>
                <w:rFonts w:ascii="Times New Roman" w:hAnsi="Times New Roman"/>
                <w:sz w:val="24"/>
              </w:rPr>
              <w:t>e</w:t>
            </w:r>
            <w:r>
              <w:rPr>
                <w:rFonts w:ascii="Times New Roman" w:hAnsi="Times New Roman"/>
                <w:sz w:val="24"/>
              </w:rPr>
              <w:t>tében szerzett vagy értékpapírkölcsön-ügylet keretében kölcsönvett értékpapírokat ad el, és közvetlen partnere államháztartás.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 könyv szerinti érték a rövid pozíció valós értéke.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 rövid pozíciókat a 170–230-as sorban meghatározott hátralévő futamidő szerinti, v</w:t>
            </w:r>
            <w:r>
              <w:rPr>
                <w:rFonts w:ascii="Times New Roman" w:hAnsi="Times New Roman"/>
                <w:sz w:val="24"/>
              </w:rPr>
              <w:t>a</w:t>
            </w:r>
            <w:r>
              <w:rPr>
                <w:rFonts w:ascii="Times New Roman" w:hAnsi="Times New Roman"/>
                <w:sz w:val="24"/>
              </w:rPr>
              <w:t>lamint közvetlen partner szerinti bontásban kell jelenteni. A rövid pozíciókkal ezt k</w:t>
            </w:r>
            <w:r>
              <w:rPr>
                <w:rFonts w:ascii="Times New Roman" w:hAnsi="Times New Roman"/>
                <w:sz w:val="24"/>
              </w:rPr>
              <w:t>ö</w:t>
            </w:r>
            <w:r>
              <w:rPr>
                <w:rFonts w:ascii="Times New Roman" w:hAnsi="Times New Roman"/>
                <w:sz w:val="24"/>
              </w:rPr>
              <w:t>vetően a 030–120-as oszlopok kiszámításához nettósítani kell az azonos hátralévő f</w:t>
            </w:r>
            <w:r>
              <w:rPr>
                <w:rFonts w:ascii="Times New Roman" w:hAnsi="Times New Roman"/>
                <w:sz w:val="24"/>
              </w:rPr>
              <w:t>u</w:t>
            </w:r>
            <w:r>
              <w:rPr>
                <w:rFonts w:ascii="Times New Roman" w:hAnsi="Times New Roman"/>
                <w:sz w:val="24"/>
              </w:rPr>
              <w:t>tamidőre és közvetlen partnerrel fennálló pozíciókat.</w:t>
            </w:r>
          </w:p>
        </w:tc>
      </w:tr>
      <w:tr w:rsidR="00FD54FC" w:rsidRPr="00392FFD" w:rsidTr="00672D2A">
        <w:tc>
          <w:tcPr>
            <w:tcW w:w="1188" w:type="dxa"/>
          </w:tcPr>
          <w:p w:rsidR="00FD54FC" w:rsidRPr="00392FFD" w:rsidDel="00E97A51" w:rsidRDefault="00FD54FC" w:rsidP="00FD54FC">
            <w:pPr>
              <w:spacing w:before="0" w:after="0"/>
              <w:ind w:left="33"/>
              <w:rPr>
                <w:rFonts w:ascii="Times New Roman" w:hAnsi="Times New Roman"/>
                <w:bCs/>
                <w:sz w:val="24"/>
              </w:rPr>
            </w:pPr>
            <w:r>
              <w:rPr>
                <w:rFonts w:ascii="Times New Roman" w:hAnsi="Times New Roman"/>
                <w:sz w:val="24"/>
              </w:rPr>
              <w:t>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Ebből: kereskedési céllal tartott vagy kereskedési célú pénzügyi eszközként bes</w:t>
            </w:r>
            <w:r>
              <w:rPr>
                <w:rFonts w:ascii="Times New Roman" w:hAnsi="Times New Roman"/>
                <w:b/>
                <w:sz w:val="24"/>
                <w:u w:val="single"/>
              </w:rPr>
              <w:t>o</w:t>
            </w:r>
            <w:r>
              <w:rPr>
                <w:rFonts w:ascii="Times New Roman" w:hAnsi="Times New Roman"/>
                <w:b/>
                <w:sz w:val="24"/>
                <w:u w:val="single"/>
              </w:rPr>
              <w:t>rolt, fordított visszavásárlási hitelekből származó rövid pozíciók</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Az IFRS 9 BA.7 bekezdése b) pontjában meghatározott azon kereskedési céllal tartott vagy kereskedési célú pénzügyi eszközök számviteli portfóliójába (030-as és 040-es oszlop) besorolt rövid pozíciók könyv szerinti értéke, amelyek visszavásárlási hitelek keretében szerzett értékpapírok intézmény általi eladásával keletkeztek, ahol az inté</w:t>
            </w:r>
            <w:r>
              <w:rPr>
                <w:rFonts w:ascii="Times New Roman" w:hAnsi="Times New Roman"/>
                <w:sz w:val="24"/>
              </w:rPr>
              <w:t>z</w:t>
            </w:r>
            <w:r>
              <w:rPr>
                <w:rFonts w:ascii="Times New Roman" w:hAnsi="Times New Roman"/>
                <w:sz w:val="24"/>
              </w:rPr>
              <w:t>mény közvetlen partnere államháztartás.</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Az értékpapírkölcsön-ügylet keretében kölcsönvett értékpapírok eladásával keletkező rövid pozíciók nem szerepelhetnek ebben az oszlopban. </w:t>
            </w:r>
          </w:p>
          <w:p w:rsidR="00FD54FC" w:rsidRPr="00392FFD" w:rsidDel="00E97A51" w:rsidRDefault="00FD54FC" w:rsidP="00FD54FC">
            <w:pPr>
              <w:spacing w:before="0" w:after="0"/>
              <w:ind w:left="33"/>
              <w:rPr>
                <w:rFonts w:ascii="Times New Roman" w:hAnsi="Times New Roman"/>
                <w:b/>
                <w:bCs/>
                <w:sz w:val="24"/>
                <w:u w:val="single"/>
              </w:rPr>
            </w:pPr>
          </w:p>
        </w:tc>
      </w:tr>
      <w:tr w:rsidR="00FD54FC" w:rsidRPr="00321A3B" w:rsidDel="004A25FD" w:rsidTr="00672D2A">
        <w:tc>
          <w:tcPr>
            <w:tcW w:w="1188" w:type="dxa"/>
          </w:tcPr>
          <w:p w:rsidR="00FD54FC" w:rsidRPr="00321A3B" w:rsidDel="004A25FD" w:rsidRDefault="00FD54FC" w:rsidP="00FD54FC">
            <w:pPr>
              <w:spacing w:before="0" w:after="0"/>
              <w:ind w:left="33"/>
              <w:rPr>
                <w:rFonts w:ascii="Times New Roman" w:hAnsi="Times New Roman"/>
                <w:bCs/>
                <w:sz w:val="24"/>
              </w:rPr>
            </w:pPr>
            <w:r>
              <w:rPr>
                <w:rFonts w:ascii="Times New Roman" w:hAnsi="Times New Roman"/>
                <w:sz w:val="24"/>
              </w:rPr>
              <w:lastRenderedPageBreak/>
              <w:t>150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Halmozott értékvesztés</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 080–120-as oszlopban jelentett nem származtatott pénzügyi eszközökkel kapcsol</w:t>
            </w:r>
            <w:r>
              <w:rPr>
                <w:rFonts w:ascii="Times New Roman" w:hAnsi="Times New Roman"/>
                <w:sz w:val="24"/>
              </w:rPr>
              <w:t>a</w:t>
            </w:r>
            <w:r>
              <w:rPr>
                <w:rFonts w:ascii="Times New Roman" w:hAnsi="Times New Roman"/>
                <w:sz w:val="24"/>
              </w:rPr>
              <w:t>tos összes halmozott értékvesztés. [V. melléklet 2. részének 70. és 71. pontja]</w:t>
            </w:r>
          </w:p>
          <w:p w:rsidR="00FD54FC" w:rsidRPr="00321A3B" w:rsidDel="004A25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Halmozott értékvesztés – ebből: egyéb átfogó jövedelemmel szemben valós ért</w:t>
            </w:r>
            <w:r>
              <w:rPr>
                <w:rFonts w:ascii="Times New Roman" w:hAnsi="Times New Roman"/>
                <w:b/>
                <w:sz w:val="24"/>
                <w:u w:val="single"/>
              </w:rPr>
              <w:t>é</w:t>
            </w:r>
            <w:r>
              <w:rPr>
                <w:rFonts w:ascii="Times New Roman" w:hAnsi="Times New Roman"/>
                <w:b/>
                <w:sz w:val="24"/>
                <w:u w:val="single"/>
              </w:rPr>
              <w:t>ken értékelt pénzügyi eszközökből vagy saját tőkével szemben valós értéken ért</w:t>
            </w:r>
            <w:r>
              <w:rPr>
                <w:rFonts w:ascii="Times New Roman" w:hAnsi="Times New Roman"/>
                <w:b/>
                <w:sz w:val="24"/>
                <w:u w:val="single"/>
              </w:rPr>
              <w:t>é</w:t>
            </w:r>
            <w:r>
              <w:rPr>
                <w:rFonts w:ascii="Times New Roman" w:hAnsi="Times New Roman"/>
                <w:b/>
                <w:sz w:val="24"/>
                <w:u w:val="single"/>
              </w:rPr>
              <w:t>kelt, nem kereskedési célú, nem származtatott pénzügyi eszközökből</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 080––090-es oszlopban jelentett nem származtatott pénzügyi eszközökkel kapcsol</w:t>
            </w:r>
            <w:r>
              <w:rPr>
                <w:rFonts w:ascii="Times New Roman" w:hAnsi="Times New Roman"/>
                <w:sz w:val="24"/>
              </w:rPr>
              <w:t>a</w:t>
            </w:r>
            <w:r>
              <w:rPr>
                <w:rFonts w:ascii="Times New Roman" w:hAnsi="Times New Roman"/>
                <w:sz w:val="24"/>
              </w:rPr>
              <w:t xml:space="preserve">tos összes halmozott értékvesztés. </w:t>
            </w:r>
          </w:p>
          <w:p w:rsidR="00FD54FC" w:rsidRPr="00392FFD" w:rsidRDefault="00FD54FC" w:rsidP="00FD54FC">
            <w:pPr>
              <w:spacing w:before="0" w:after="0"/>
              <w:ind w:left="33"/>
              <w:rPr>
                <w:rFonts w:ascii="Times New Roman" w:hAnsi="Times New Roman"/>
                <w:b/>
                <w:bCs/>
                <w:sz w:val="24"/>
                <w:u w:val="single"/>
              </w:rPr>
            </w:pPr>
          </w:p>
        </w:tc>
      </w:tr>
      <w:tr w:rsidR="00FD54FC" w:rsidRPr="00392FFD" w:rsidDel="004A25FD" w:rsidTr="00672D2A">
        <w:tc>
          <w:tcPr>
            <w:tcW w:w="1188" w:type="dxa"/>
          </w:tcPr>
          <w:p w:rsidR="00FD54FC" w:rsidRPr="00392FFD" w:rsidDel="004A25FD" w:rsidRDefault="00FD54FC" w:rsidP="00FD54FC">
            <w:pPr>
              <w:spacing w:before="0" w:after="0"/>
              <w:ind w:left="33"/>
              <w:rPr>
                <w:rFonts w:ascii="Times New Roman" w:hAnsi="Times New Roman"/>
                <w:bCs/>
                <w:sz w:val="24"/>
              </w:rPr>
            </w:pPr>
            <w:r>
              <w:rPr>
                <w:rFonts w:ascii="Times New Roman" w:hAnsi="Times New Roman"/>
                <w:sz w:val="24"/>
              </w:rPr>
              <w:t>170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 hitelkockázat változásából származó negatív valósérték-változás halmozott ö</w:t>
            </w:r>
            <w:r>
              <w:rPr>
                <w:rFonts w:ascii="Times New Roman" w:hAnsi="Times New Roman"/>
                <w:b/>
                <w:sz w:val="24"/>
                <w:u w:val="single"/>
              </w:rPr>
              <w:t>s</w:t>
            </w:r>
            <w:r>
              <w:rPr>
                <w:rFonts w:ascii="Times New Roman" w:hAnsi="Times New Roman"/>
                <w:b/>
                <w:sz w:val="24"/>
                <w:u w:val="single"/>
              </w:rPr>
              <w:t xml:space="preserve">szege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E863C1">
            <w:pPr>
              <w:spacing w:before="0" w:after="0"/>
              <w:ind w:left="33"/>
              <w:rPr>
                <w:rFonts w:ascii="Times New Roman" w:hAnsi="Times New Roman"/>
                <w:bCs/>
                <w:sz w:val="24"/>
              </w:rPr>
            </w:pPr>
            <w:r>
              <w:rPr>
                <w:rFonts w:ascii="Times New Roman" w:hAnsi="Times New Roman"/>
                <w:sz w:val="24"/>
              </w:rPr>
              <w:t>Az 050–090-es oszlopban jelentett pozíciókhoz kapcsolódó, hitelkockázat-változásból származó negatív valósérték-változás halmozott összege. [V. melléklet 2. részének 69. pontja]</w:t>
            </w:r>
          </w:p>
          <w:p w:rsidR="00FD54FC" w:rsidRPr="00392FFD" w:rsidDel="004A25FD" w:rsidRDefault="00FD54FC" w:rsidP="00BE47D8">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180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 hitelkockázat változásából származó negatív valósérték-változás halmozott ö</w:t>
            </w:r>
            <w:r>
              <w:rPr>
                <w:rFonts w:ascii="Times New Roman" w:hAnsi="Times New Roman"/>
                <w:b/>
                <w:sz w:val="24"/>
                <w:u w:val="single"/>
              </w:rPr>
              <w:t>s</w:t>
            </w:r>
            <w:r>
              <w:rPr>
                <w:rFonts w:ascii="Times New Roman" w:hAnsi="Times New Roman"/>
                <w:b/>
                <w:sz w:val="24"/>
                <w:u w:val="single"/>
              </w:rPr>
              <w:t>szege – ebből: kötelezően az eredménnyel szemben valós értéken értékelt, nem k</w:t>
            </w:r>
            <w:r>
              <w:rPr>
                <w:rFonts w:ascii="Times New Roman" w:hAnsi="Times New Roman"/>
                <w:b/>
                <w:sz w:val="24"/>
                <w:u w:val="single"/>
              </w:rPr>
              <w:t>e</w:t>
            </w:r>
            <w:r>
              <w:rPr>
                <w:rFonts w:ascii="Times New Roman" w:hAnsi="Times New Roman"/>
                <w:b/>
                <w:sz w:val="24"/>
                <w:u w:val="single"/>
              </w:rPr>
              <w:t>reskedési célú pénzügyi eszközökből, az eredménnyel szemben valós értéken ért</w:t>
            </w:r>
            <w:r>
              <w:rPr>
                <w:rFonts w:ascii="Times New Roman" w:hAnsi="Times New Roman"/>
                <w:b/>
                <w:sz w:val="24"/>
                <w:u w:val="single"/>
              </w:rPr>
              <w:t>é</w:t>
            </w:r>
            <w:r>
              <w:rPr>
                <w:rFonts w:ascii="Times New Roman" w:hAnsi="Times New Roman"/>
                <w:b/>
                <w:sz w:val="24"/>
                <w:u w:val="single"/>
              </w:rPr>
              <w:t>keltnek megjelölt pénzügyi eszközökből vagy eredménnyel szemben valós értéken értékelt nem kereskedési célú pénzügyi eszközökből</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050–070-es oszlopban jelentett pozíciókhoz kapcsolódó, hitelkockázat-változásból származó negatív valósérték-változás halmozott összege.</w:t>
            </w:r>
          </w:p>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190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 hitelkockázat változásából származó negatív valósérték-változás halmozott ö</w:t>
            </w:r>
            <w:r>
              <w:rPr>
                <w:rFonts w:ascii="Times New Roman" w:hAnsi="Times New Roman"/>
                <w:b/>
                <w:sz w:val="24"/>
                <w:u w:val="single"/>
              </w:rPr>
              <w:t>s</w:t>
            </w:r>
            <w:r>
              <w:rPr>
                <w:rFonts w:ascii="Times New Roman" w:hAnsi="Times New Roman"/>
                <w:b/>
                <w:sz w:val="24"/>
                <w:u w:val="single"/>
              </w:rPr>
              <w:t>szege – ebből: egyéb átfogó jövedelemmel szemben valós értéken értékelt pén</w:t>
            </w:r>
            <w:r>
              <w:rPr>
                <w:rFonts w:ascii="Times New Roman" w:hAnsi="Times New Roman"/>
                <w:b/>
                <w:sz w:val="24"/>
                <w:u w:val="single"/>
              </w:rPr>
              <w:t>z</w:t>
            </w:r>
            <w:r>
              <w:rPr>
                <w:rFonts w:ascii="Times New Roman" w:hAnsi="Times New Roman"/>
                <w:b/>
                <w:sz w:val="24"/>
                <w:u w:val="single"/>
              </w:rPr>
              <w:t>ügyi eszközökből vagy saját tőkével szemben valós értéken értékelt, nem keresk</w:t>
            </w:r>
            <w:r>
              <w:rPr>
                <w:rFonts w:ascii="Times New Roman" w:hAnsi="Times New Roman"/>
                <w:b/>
                <w:sz w:val="24"/>
                <w:u w:val="single"/>
              </w:rPr>
              <w:t>e</w:t>
            </w:r>
            <w:r>
              <w:rPr>
                <w:rFonts w:ascii="Times New Roman" w:hAnsi="Times New Roman"/>
                <w:b/>
                <w:sz w:val="24"/>
                <w:u w:val="single"/>
              </w:rPr>
              <w:t>dési célú, nem származtatott pénzügyi eszközökből</w:t>
            </w:r>
          </w:p>
          <w:p w:rsidR="00FD54FC" w:rsidRPr="00392FFD" w:rsidRDefault="00FD54FC" w:rsidP="00FD54FC">
            <w:pPr>
              <w:spacing w:before="0" w:after="0"/>
              <w:ind w:left="33"/>
              <w:rPr>
                <w:rFonts w:ascii="Times New Roman" w:hAnsi="Times New Roman"/>
                <w:bCs/>
                <w:sz w:val="24"/>
              </w:rPr>
            </w:pPr>
          </w:p>
          <w:p w:rsidR="00FD54FC" w:rsidRDefault="00FD54FC" w:rsidP="00FD54FC">
            <w:pPr>
              <w:spacing w:before="0" w:after="0"/>
              <w:ind w:left="33"/>
              <w:rPr>
                <w:rFonts w:ascii="Times New Roman" w:hAnsi="Times New Roman"/>
                <w:bCs/>
                <w:sz w:val="24"/>
              </w:rPr>
            </w:pPr>
            <w:r>
              <w:rPr>
                <w:rFonts w:ascii="Times New Roman" w:hAnsi="Times New Roman"/>
                <w:sz w:val="24"/>
              </w:rPr>
              <w:t>A 080–090-es oszlopban jelentett pozíciókhoz kapcsolódó, hitelkockázat-változásból származó negatív valósérték-változás halmozott összege.</w:t>
            </w:r>
          </w:p>
          <w:p w:rsidR="00E863C1" w:rsidRPr="00392FFD" w:rsidRDefault="00E863C1"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SZÁRMAZTATOTT ÜGYLETEK</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 közvetlen származtatott pozíciókat a 200–230-as oszlopban kell jelenteni.</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Azon származtatott ügyletekkel kapcsolatban, amelyekre partnerkockázati és piaci </w:t>
            </w:r>
            <w:r>
              <w:rPr>
                <w:rFonts w:ascii="Times New Roman" w:hAnsi="Times New Roman"/>
                <w:sz w:val="24"/>
              </w:rPr>
              <w:lastRenderedPageBreak/>
              <w:t>kockázati tőkekövetelmény egyaránt vonatkozik, lásd a sorokra vonatkozó útmutatót.</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200-210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Származtatott ügyletek pozitív valós értékkel</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proofErr w:type="gramStart"/>
            <w:r>
              <w:rPr>
                <w:rFonts w:ascii="Times New Roman" w:hAnsi="Times New Roman"/>
                <w:sz w:val="24"/>
              </w:rPr>
              <w:t>Államháztartással</w:t>
            </w:r>
            <w:proofErr w:type="gramEnd"/>
            <w:r>
              <w:rPr>
                <w:rFonts w:ascii="Times New Roman" w:hAnsi="Times New Roman"/>
                <w:sz w:val="24"/>
              </w:rPr>
              <w:t xml:space="preserve"> mint partnerrel szembeni, az adatszolgáltatás időpontjában az inté</w:t>
            </w:r>
            <w:r>
              <w:rPr>
                <w:rFonts w:ascii="Times New Roman" w:hAnsi="Times New Roman"/>
                <w:sz w:val="24"/>
              </w:rPr>
              <w:t>z</w:t>
            </w:r>
            <w:r>
              <w:rPr>
                <w:rFonts w:ascii="Times New Roman" w:hAnsi="Times New Roman"/>
                <w:sz w:val="24"/>
              </w:rPr>
              <w:t>mény számára pozitív valós értékkel rendelkező származtatott eszközök, függetlenül attól, hogy azokat minősített fedezeti kapcsolatban használják, vagy a kereskedési cé</w:t>
            </w:r>
            <w:r>
              <w:rPr>
                <w:rFonts w:ascii="Times New Roman" w:hAnsi="Times New Roman"/>
                <w:sz w:val="24"/>
              </w:rPr>
              <w:t>l</w:t>
            </w:r>
            <w:r>
              <w:rPr>
                <w:rFonts w:ascii="Times New Roman" w:hAnsi="Times New Roman"/>
                <w:sz w:val="24"/>
              </w:rPr>
              <w:t>lal tartott vagy kereskedési célú eszközök portfóliójába sorolják az IFRS, illetve a BAD alapján ki</w:t>
            </w:r>
            <w:r w:rsidR="00290BF4">
              <w:rPr>
                <w:rFonts w:ascii="Times New Roman" w:hAnsi="Times New Roman"/>
                <w:sz w:val="24"/>
              </w:rPr>
              <w:t>dolgozott nemzeti GAAP szerint.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 gazdasági fedezeti ügyletekhez használt származtatott eszközöket akkor kell itt j</w:t>
            </w:r>
            <w:r>
              <w:rPr>
                <w:rFonts w:ascii="Times New Roman" w:hAnsi="Times New Roman"/>
                <w:sz w:val="24"/>
              </w:rPr>
              <w:t>e</w:t>
            </w:r>
            <w:r>
              <w:rPr>
                <w:rFonts w:ascii="Times New Roman" w:hAnsi="Times New Roman"/>
                <w:sz w:val="24"/>
              </w:rPr>
              <w:t>lenteni, ha azokat a kereskedési célú vagy a kereskedési céllal tartott eszközök számv</w:t>
            </w:r>
            <w:r>
              <w:rPr>
                <w:rFonts w:ascii="Times New Roman" w:hAnsi="Times New Roman"/>
                <w:sz w:val="24"/>
              </w:rPr>
              <w:t>i</w:t>
            </w:r>
            <w:r>
              <w:rPr>
                <w:rFonts w:ascii="Times New Roman" w:hAnsi="Times New Roman"/>
                <w:sz w:val="24"/>
              </w:rPr>
              <w:t>teli portfóliójába sorolták (az V. melléklet 2. részének 120., 124., 125. és 137–140. pontja).</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200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Származtatott ügyletek pozitív valós értékkel: Könyv szerinti érték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 pénzügyi eszközként elszámolt származtatott ügyletek könyv szerinti értéke az ada</w:t>
            </w:r>
            <w:r>
              <w:rPr>
                <w:rFonts w:ascii="Times New Roman" w:hAnsi="Times New Roman"/>
                <w:sz w:val="24"/>
              </w:rPr>
              <w:t>t</w:t>
            </w:r>
            <w:r>
              <w:rPr>
                <w:rFonts w:ascii="Times New Roman" w:hAnsi="Times New Roman"/>
                <w:sz w:val="24"/>
              </w:rPr>
              <w:t>szolgá</w:t>
            </w:r>
            <w:r w:rsidR="00290BF4">
              <w:rPr>
                <w:rFonts w:ascii="Times New Roman" w:hAnsi="Times New Roman"/>
                <w:sz w:val="24"/>
              </w:rPr>
              <w:t>ltatási vonatkozási időpontban.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 BAD alapján kidolgozott nemzeti GAAP szerinti elszámolás esetén az ezekben az oszlopokban jelentendő származtatott ügyletek közé a bekerülési értéken vagy a bek</w:t>
            </w:r>
            <w:r>
              <w:rPr>
                <w:rFonts w:ascii="Times New Roman" w:hAnsi="Times New Roman"/>
                <w:sz w:val="24"/>
              </w:rPr>
              <w:t>e</w:t>
            </w:r>
            <w:r>
              <w:rPr>
                <w:rFonts w:ascii="Times New Roman" w:hAnsi="Times New Roman"/>
                <w:sz w:val="24"/>
              </w:rPr>
              <w:t>rülési vagy piaci ár közül az alacsonyabb értéken értékelt, a kereskedési portfólióba tartozó vagy a fedezeti instrumentumként megjelölt származtatott eszközöket kell s</w:t>
            </w:r>
            <w:r>
              <w:rPr>
                <w:rFonts w:ascii="Times New Roman" w:hAnsi="Times New Roman"/>
                <w:sz w:val="24"/>
              </w:rPr>
              <w:t>o</w:t>
            </w:r>
            <w:r w:rsidR="00290BF4">
              <w:rPr>
                <w:rFonts w:ascii="Times New Roman" w:hAnsi="Times New Roman"/>
                <w:sz w:val="24"/>
              </w:rPr>
              <w:t>rolni.</w:t>
            </w:r>
          </w:p>
          <w:p w:rsidR="00FD54FC" w:rsidRPr="00392FFD" w:rsidRDefault="00FD54FC" w:rsidP="00FD54FC">
            <w:pPr>
              <w:spacing w:before="0" w:after="0"/>
              <w:ind w:left="33"/>
              <w:rPr>
                <w:rFonts w:ascii="Times New Roman" w:hAnsi="Times New Roman"/>
                <w:b/>
                <w:bCs/>
                <w:sz w:val="24"/>
                <w:u w:val="single"/>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Származtatott ügyletek pozitív valós értékkel: Névleges összeg</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Az IFRS szerinti és a BAD alapján kidolgozott nemzeti GAAP szerinti elszámolás es</w:t>
            </w:r>
            <w:r>
              <w:rPr>
                <w:rFonts w:ascii="Times New Roman" w:hAnsi="Times New Roman"/>
                <w:sz w:val="24"/>
              </w:rPr>
              <w:t>e</w:t>
            </w:r>
            <w:r>
              <w:rPr>
                <w:rFonts w:ascii="Times New Roman" w:hAnsi="Times New Roman"/>
                <w:sz w:val="24"/>
              </w:rPr>
              <w:t>tén a megkötött, de az adatszolgáltatási vonatkozási időpontban még nem elszámolt azon származtatott ügyletek az V. melléklet 2. részének 133–135. pontja szerinti né</w:t>
            </w:r>
            <w:r>
              <w:rPr>
                <w:rFonts w:ascii="Times New Roman" w:hAnsi="Times New Roman"/>
                <w:sz w:val="24"/>
              </w:rPr>
              <w:t>v</w:t>
            </w:r>
            <w:r>
              <w:rPr>
                <w:rFonts w:ascii="Times New Roman" w:hAnsi="Times New Roman"/>
                <w:sz w:val="24"/>
              </w:rPr>
              <w:t>leges összege, amelyek esetében a partner a fenti 1. pont szerinti államháztartás, amennyiben az ügylet valós értéke az adatszolgáltatási vonatkozási időpontban az i</w:t>
            </w:r>
            <w:r>
              <w:rPr>
                <w:rFonts w:ascii="Times New Roman" w:hAnsi="Times New Roman"/>
                <w:sz w:val="24"/>
              </w:rPr>
              <w:t>n</w:t>
            </w:r>
            <w:r>
              <w:rPr>
                <w:rFonts w:ascii="Times New Roman" w:hAnsi="Times New Roman"/>
                <w:sz w:val="24"/>
              </w:rPr>
              <w:t>tézmény számára pozitív.</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220-230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Származtatott ügyletek negatív valós értékkel</w:t>
            </w:r>
          </w:p>
          <w:p w:rsidR="00FD54FC" w:rsidRPr="00321A3B" w:rsidDel="00501397"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proofErr w:type="gramStart"/>
            <w:r>
              <w:rPr>
                <w:rFonts w:ascii="Times New Roman" w:hAnsi="Times New Roman"/>
                <w:sz w:val="24"/>
              </w:rPr>
              <w:t>Államháztartással</w:t>
            </w:r>
            <w:proofErr w:type="gramEnd"/>
            <w:r>
              <w:rPr>
                <w:rFonts w:ascii="Times New Roman" w:hAnsi="Times New Roman"/>
                <w:sz w:val="24"/>
              </w:rPr>
              <w:t xml:space="preserve"> mint partnerrel szembeni, az adatszolgáltatás időpontjában az inté</w:t>
            </w:r>
            <w:r>
              <w:rPr>
                <w:rFonts w:ascii="Times New Roman" w:hAnsi="Times New Roman"/>
                <w:sz w:val="24"/>
              </w:rPr>
              <w:t>z</w:t>
            </w:r>
            <w:r>
              <w:rPr>
                <w:rFonts w:ascii="Times New Roman" w:hAnsi="Times New Roman"/>
                <w:sz w:val="24"/>
              </w:rPr>
              <w:t>mény számára negatív valós értékkel rendelkező származtatott eszközök, függetlenül attól, hogy azokat minősített fedezeti kapcsolatban használják, vagy a kereskedési cé</w:t>
            </w:r>
            <w:r>
              <w:rPr>
                <w:rFonts w:ascii="Times New Roman" w:hAnsi="Times New Roman"/>
                <w:sz w:val="24"/>
              </w:rPr>
              <w:t>l</w:t>
            </w:r>
            <w:r>
              <w:rPr>
                <w:rFonts w:ascii="Times New Roman" w:hAnsi="Times New Roman"/>
                <w:sz w:val="24"/>
              </w:rPr>
              <w:t>lal tartott vagy kereskedési célú eszközök portfóliójába sorolják az IFRS szerint, illetve a BAD alapján ki</w:t>
            </w:r>
            <w:r w:rsidR="00290BF4">
              <w:rPr>
                <w:rFonts w:ascii="Times New Roman" w:hAnsi="Times New Roman"/>
                <w:sz w:val="24"/>
              </w:rPr>
              <w:t>dolgozott nemzeti GAAP szerint.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 gazdasági fedezeti ügyletekhez használt származtatott eszközöket akkor kell itt j</w:t>
            </w:r>
            <w:r>
              <w:rPr>
                <w:rFonts w:ascii="Times New Roman" w:hAnsi="Times New Roman"/>
                <w:sz w:val="24"/>
              </w:rPr>
              <w:t>e</w:t>
            </w:r>
            <w:r>
              <w:rPr>
                <w:rFonts w:ascii="Times New Roman" w:hAnsi="Times New Roman"/>
                <w:sz w:val="24"/>
              </w:rPr>
              <w:t>lenteni, ha azokat a kereskedési célú vagy a kereskedési céllal tartott eszközök számv</w:t>
            </w:r>
            <w:r>
              <w:rPr>
                <w:rFonts w:ascii="Times New Roman" w:hAnsi="Times New Roman"/>
                <w:sz w:val="24"/>
              </w:rPr>
              <w:t>i</w:t>
            </w:r>
            <w:r>
              <w:rPr>
                <w:rFonts w:ascii="Times New Roman" w:hAnsi="Times New Roman"/>
                <w:sz w:val="24"/>
              </w:rPr>
              <w:t>teli portfóliójába sorolták (az V. melléklet 2. részének 120., 124., 125. és 137–140. pontja).</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Származtatott ügyletek negatív valós értékkel: Könyv szerinti érték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 xml:space="preserve">A pénzügyi kötelezettségként elszámolt származtatott ügyletek könyv szerinti értéke az adatszolgáltatási vonatkozási időpontban.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 BAD alapján kidolgozott nemzeti GAAP szerinti elszámolás esetén az ezekben az oszlopokban jelentendő származtatott ügyletek közé a bekerülési értéken vagy a bek</w:t>
            </w:r>
            <w:r>
              <w:rPr>
                <w:rFonts w:ascii="Times New Roman" w:hAnsi="Times New Roman"/>
                <w:sz w:val="24"/>
              </w:rPr>
              <w:t>e</w:t>
            </w:r>
            <w:r>
              <w:rPr>
                <w:rFonts w:ascii="Times New Roman" w:hAnsi="Times New Roman"/>
                <w:sz w:val="24"/>
              </w:rPr>
              <w:t>rülési vagy piaci ár közül az alacsonyabb értéken értékelt, a kereskedési portfólióba tartozó vagy a fedezeti instrumentumként megjelölt származtatott eszközöket kell s</w:t>
            </w:r>
            <w:r>
              <w:rPr>
                <w:rFonts w:ascii="Times New Roman" w:hAnsi="Times New Roman"/>
                <w:sz w:val="24"/>
              </w:rPr>
              <w:t>o</w:t>
            </w:r>
            <w:r>
              <w:rPr>
                <w:rFonts w:ascii="Times New Roman" w:hAnsi="Times New Roman"/>
                <w:sz w:val="24"/>
              </w:rPr>
              <w:t xml:space="preserve">rolni.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230</w:t>
            </w:r>
          </w:p>
        </w:tc>
        <w:tc>
          <w:tcPr>
            <w:tcW w:w="8640" w:type="dxa"/>
          </w:tcPr>
          <w:p w:rsidR="00FD54FC" w:rsidRPr="00392FFD" w:rsidRDefault="00FD54FC" w:rsidP="00FD54FC">
            <w:pPr>
              <w:spacing w:before="0" w:after="0"/>
              <w:rPr>
                <w:rFonts w:ascii="Times New Roman" w:hAnsi="Times New Roman"/>
                <w:b/>
                <w:bCs/>
                <w:sz w:val="24"/>
                <w:u w:val="single"/>
              </w:rPr>
            </w:pPr>
            <w:r>
              <w:rPr>
                <w:rFonts w:ascii="Times New Roman" w:hAnsi="Times New Roman"/>
                <w:b/>
                <w:sz w:val="24"/>
                <w:u w:val="single"/>
              </w:rPr>
              <w:t>Származtatott ügyletek negatív valós értékkel: Névleges összeg</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IFRS szerinti és a BAD alapján kidolgozott nemzeti GAAP szerinti elszámolás es</w:t>
            </w:r>
            <w:r>
              <w:rPr>
                <w:rFonts w:ascii="Times New Roman" w:hAnsi="Times New Roman"/>
                <w:sz w:val="24"/>
              </w:rPr>
              <w:t>e</w:t>
            </w:r>
            <w:r>
              <w:rPr>
                <w:rFonts w:ascii="Times New Roman" w:hAnsi="Times New Roman"/>
                <w:sz w:val="24"/>
              </w:rPr>
              <w:t>tén a megkötött, de a vonatkozási időpontban még nem elszámolt azon származtatott ügyletek az V. melléklet 2. részének 133–135. pontja szerinti névleges összege, am</w:t>
            </w:r>
            <w:r>
              <w:rPr>
                <w:rFonts w:ascii="Times New Roman" w:hAnsi="Times New Roman"/>
                <w:sz w:val="24"/>
              </w:rPr>
              <w:t>e</w:t>
            </w:r>
            <w:r>
              <w:rPr>
                <w:rFonts w:ascii="Times New Roman" w:hAnsi="Times New Roman"/>
                <w:sz w:val="24"/>
              </w:rPr>
              <w:t>lyek esetében a partner a fenti 1. pont szerinti államháztartás, amennyiben az ügylet valós értéke az intézmény számára negatív.</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240-260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MÉRLEGEN KÍVÜLI KITETTSÉGEK</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Névérték</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Amennyiben a mérlegen kívüli tétel esetében a közvetlen partner a fenti 1. pont szeri</w:t>
            </w:r>
            <w:r>
              <w:rPr>
                <w:rFonts w:ascii="Times New Roman" w:hAnsi="Times New Roman"/>
                <w:sz w:val="24"/>
              </w:rPr>
              <w:t>n</w:t>
            </w:r>
            <w:r>
              <w:rPr>
                <w:rFonts w:ascii="Times New Roman" w:hAnsi="Times New Roman"/>
                <w:sz w:val="24"/>
              </w:rPr>
              <w:t>ti államháztartás, az IFRS szerint és a BAD alapján kidolgozott nemzeti GAAP szerint nem származtatott ügyletnek minősülő elkötelezettségek és pénzügyi garanciák névl</w:t>
            </w:r>
            <w:r>
              <w:rPr>
                <w:rFonts w:ascii="Times New Roman" w:hAnsi="Times New Roman"/>
                <w:sz w:val="24"/>
              </w:rPr>
              <w:t>e</w:t>
            </w:r>
            <w:r>
              <w:rPr>
                <w:rFonts w:ascii="Times New Roman" w:hAnsi="Times New Roman"/>
                <w:sz w:val="24"/>
              </w:rPr>
              <w:t>ges összege (az V. melléklet 2. részének 102–119. pontja).</w:t>
            </w:r>
          </w:p>
          <w:p w:rsidR="00FD54FC" w:rsidRPr="00392FFD" w:rsidRDefault="00FD54FC" w:rsidP="00FD54FC">
            <w:pPr>
              <w:spacing w:before="0" w:after="0"/>
              <w:ind w:left="33"/>
              <w:rPr>
                <w:rFonts w:ascii="Times New Roman" w:hAnsi="Times New Roman"/>
                <w:bCs/>
                <w:sz w:val="24"/>
              </w:rPr>
            </w:pPr>
          </w:p>
          <w:p w:rsidR="00FD54FC" w:rsidRPr="00392FFD" w:rsidDel="00501397" w:rsidRDefault="00FD54FC" w:rsidP="00FD54FC">
            <w:pPr>
              <w:spacing w:before="0" w:after="0"/>
              <w:ind w:left="33"/>
              <w:rPr>
                <w:rFonts w:ascii="Times New Roman" w:hAnsi="Times New Roman"/>
                <w:b/>
                <w:bCs/>
                <w:sz w:val="24"/>
                <w:u w:val="single"/>
              </w:rPr>
            </w:pPr>
            <w:r>
              <w:rPr>
                <w:rFonts w:ascii="Times New Roman" w:hAnsi="Times New Roman"/>
                <w:sz w:val="24"/>
              </w:rPr>
              <w:t>Az V. melléklet 1. részének 43–44. pontja értelmében az államháztartás közvetlen partner: a) adott pénzügyi garancia vonatkozásában akkor, ha a garantált hitelviszonyt megtestesítő instrumentum közvetlen partnere; és b) adott hitelnyújtási elkötelezetts</w:t>
            </w:r>
            <w:r>
              <w:rPr>
                <w:rFonts w:ascii="Times New Roman" w:hAnsi="Times New Roman"/>
                <w:sz w:val="24"/>
              </w:rPr>
              <w:t>é</w:t>
            </w:r>
            <w:r>
              <w:rPr>
                <w:rFonts w:ascii="Times New Roman" w:hAnsi="Times New Roman"/>
                <w:sz w:val="24"/>
              </w:rPr>
              <w:t>gek és az egyéb adott elkötelezettségek vonatkozásában akkor, ha az a fél, amelynek a hitelkockázatát az ad</w:t>
            </w:r>
            <w:r w:rsidR="00290BF4">
              <w:rPr>
                <w:rFonts w:ascii="Times New Roman" w:hAnsi="Times New Roman"/>
                <w:sz w:val="24"/>
              </w:rPr>
              <w:t>atszolgáltató intézmény viseli.</w:t>
            </w:r>
          </w:p>
          <w:p w:rsidR="00FD54FC" w:rsidRPr="00392FFD"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Céltartalékok</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proofErr w:type="gramStart"/>
            <w:r>
              <w:rPr>
                <w:rFonts w:ascii="Times New Roman" w:hAnsi="Times New Roman"/>
                <w:sz w:val="24"/>
              </w:rPr>
              <w:t>BAD 4. cikke, Források 6.c) pontja, Mérlegen kívüli tételek, 27. cikkének (11) beke</w:t>
            </w:r>
            <w:r>
              <w:rPr>
                <w:rFonts w:ascii="Times New Roman" w:hAnsi="Times New Roman"/>
                <w:sz w:val="24"/>
              </w:rPr>
              <w:t>z</w:t>
            </w:r>
            <w:r>
              <w:rPr>
                <w:rFonts w:ascii="Times New Roman" w:hAnsi="Times New Roman"/>
                <w:sz w:val="24"/>
              </w:rPr>
              <w:t>dése, 28. cikkének (8) bekezdése, 33. cikke; IFRS 9 4.2.1. bekezdése c) ii. pontja, d) ii. pontja, 5.5.20. bekezdése; IAS 37, IFRS 4, V. melléklet 2. részének 11. pontja</w:t>
            </w:r>
            <w:proofErr w:type="gramEnd"/>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Az értékelés módjától függetlenül valamennyi mérlegen kívüli kitettségre képzett cé</w:t>
            </w:r>
            <w:r>
              <w:rPr>
                <w:rFonts w:ascii="Times New Roman" w:hAnsi="Times New Roman"/>
                <w:sz w:val="24"/>
              </w:rPr>
              <w:t>l</w:t>
            </w:r>
            <w:r>
              <w:rPr>
                <w:rFonts w:ascii="Times New Roman" w:hAnsi="Times New Roman"/>
                <w:sz w:val="24"/>
              </w:rPr>
              <w:t>tartalék, kivéve az IFRS 9 szerint az eredménnyel szemben valós értéken értékelt k</w:t>
            </w:r>
            <w:r>
              <w:rPr>
                <w:rFonts w:ascii="Times New Roman" w:hAnsi="Times New Roman"/>
                <w:sz w:val="24"/>
              </w:rPr>
              <w:t>i</w:t>
            </w:r>
            <w:r>
              <w:rPr>
                <w:rFonts w:ascii="Times New Roman" w:hAnsi="Times New Roman"/>
                <w:sz w:val="24"/>
              </w:rPr>
              <w:t>tettségekre képzett céltartalékokat.</w:t>
            </w:r>
          </w:p>
          <w:p w:rsidR="00FD54FC" w:rsidRPr="00321A3B" w:rsidRDefault="00730040" w:rsidP="00FD54FC">
            <w:pPr>
              <w:spacing w:before="0" w:after="0"/>
              <w:ind w:left="33"/>
              <w:rPr>
                <w:rFonts w:ascii="Times New Roman" w:hAnsi="Times New Roman"/>
                <w:bCs/>
                <w:sz w:val="24"/>
              </w:rPr>
            </w:pPr>
            <w:r>
              <w:rPr>
                <w:rFonts w:ascii="Times New Roman" w:hAnsi="Times New Roman"/>
                <w:sz w:val="24"/>
              </w:rPr>
              <w:t xml:space="preserve"> </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Az IFRS szerinti elszámolás esetén az adott hitelnyújtási elkötelezettségekre elszámolt értékvesztést a 150-es oszlopban kell jelenteni, ha az intézmény nem képes külön az</w:t>
            </w:r>
            <w:r>
              <w:rPr>
                <w:rFonts w:ascii="Times New Roman" w:hAnsi="Times New Roman"/>
                <w:sz w:val="24"/>
              </w:rPr>
              <w:t>o</w:t>
            </w:r>
            <w:r>
              <w:rPr>
                <w:rFonts w:ascii="Times New Roman" w:hAnsi="Times New Roman"/>
                <w:sz w:val="24"/>
              </w:rPr>
              <w:t>nosítani a hitelviszonyt megtestesítő instrumentum lehívott és le nem hívott összeg</w:t>
            </w:r>
            <w:r>
              <w:rPr>
                <w:rFonts w:ascii="Times New Roman" w:hAnsi="Times New Roman"/>
                <w:sz w:val="24"/>
              </w:rPr>
              <w:t>é</w:t>
            </w:r>
            <w:r>
              <w:rPr>
                <w:rFonts w:ascii="Times New Roman" w:hAnsi="Times New Roman"/>
                <w:sz w:val="24"/>
              </w:rPr>
              <w:t>hez kapcsolódó várható hitelezési veszteséget. Amennyiben az adott pénzügyi eszkö</w:t>
            </w:r>
            <w:r>
              <w:rPr>
                <w:rFonts w:ascii="Times New Roman" w:hAnsi="Times New Roman"/>
                <w:sz w:val="24"/>
              </w:rPr>
              <w:t>z</w:t>
            </w:r>
            <w:r>
              <w:rPr>
                <w:rFonts w:ascii="Times New Roman" w:hAnsi="Times New Roman"/>
                <w:sz w:val="24"/>
              </w:rPr>
              <w:t>re vonatkozó várható együttes hitelezési veszteség meghaladja az eszköz hitelkomp</w:t>
            </w:r>
            <w:r>
              <w:rPr>
                <w:rFonts w:ascii="Times New Roman" w:hAnsi="Times New Roman"/>
                <w:sz w:val="24"/>
              </w:rPr>
              <w:t>o</w:t>
            </w:r>
            <w:r>
              <w:rPr>
                <w:rFonts w:ascii="Times New Roman" w:hAnsi="Times New Roman"/>
                <w:sz w:val="24"/>
              </w:rPr>
              <w:t>nensének bruttó könyv szerinti értékét, a várható hitelezési veszteség fennmaradó egyenlegét a 250-es oszlopban kell jelenteni céltartalékként.</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 hitelkockázat változásából származó negatív valósérték-változás halmozott ö</w:t>
            </w:r>
            <w:r>
              <w:rPr>
                <w:rFonts w:ascii="Times New Roman" w:hAnsi="Times New Roman"/>
                <w:b/>
                <w:sz w:val="24"/>
                <w:u w:val="single"/>
              </w:rPr>
              <w:t>s</w:t>
            </w:r>
            <w:r w:rsidR="00290BF4">
              <w:rPr>
                <w:rFonts w:ascii="Times New Roman" w:hAnsi="Times New Roman"/>
                <w:b/>
                <w:sz w:val="24"/>
                <w:u w:val="single"/>
              </w:rPr>
              <w:lastRenderedPageBreak/>
              <w:t>szege</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IFRS 9 szerint az eredménnyel szemben valós értéken értékelt mérlegen kívüli tét</w:t>
            </w:r>
            <w:r>
              <w:rPr>
                <w:rFonts w:ascii="Times New Roman" w:hAnsi="Times New Roman"/>
                <w:sz w:val="24"/>
              </w:rPr>
              <w:t>e</w:t>
            </w:r>
            <w:r>
              <w:rPr>
                <w:rFonts w:ascii="Times New Roman" w:hAnsi="Times New Roman"/>
                <w:sz w:val="24"/>
              </w:rPr>
              <w:t>lek esetében a hitelkockázat változásából származó negatív valósérték-változás halm</w:t>
            </w:r>
            <w:r>
              <w:rPr>
                <w:rFonts w:ascii="Times New Roman" w:hAnsi="Times New Roman"/>
                <w:sz w:val="24"/>
              </w:rPr>
              <w:t>o</w:t>
            </w:r>
            <w:r>
              <w:rPr>
                <w:rFonts w:ascii="Times New Roman" w:hAnsi="Times New Roman"/>
                <w:sz w:val="24"/>
              </w:rPr>
              <w:t>zott összege (V. melléklet 2. részének 110. pontja).</w:t>
            </w:r>
          </w:p>
          <w:p w:rsidR="00FD54FC" w:rsidRPr="00392FFD"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B74792">
            <w:pPr>
              <w:spacing w:before="0" w:after="0"/>
              <w:ind w:left="33"/>
              <w:rPr>
                <w:rFonts w:ascii="Times New Roman" w:hAnsi="Times New Roman"/>
                <w:bCs/>
                <w:sz w:val="24"/>
              </w:rPr>
            </w:pPr>
            <w:r>
              <w:rPr>
                <w:rFonts w:ascii="Times New Roman" w:hAnsi="Times New Roman"/>
                <w:sz w:val="24"/>
              </w:rPr>
              <w:lastRenderedPageBreak/>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Tájékoztató adat: államháztartásokkal szembeni kitettségekre értékesített hitelderivatívák</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Itt azokat a pénzügyi garanciák fogalmába nem sorolható hitelderivatívákat kell jele</w:t>
            </w:r>
            <w:r>
              <w:rPr>
                <w:rFonts w:ascii="Times New Roman" w:hAnsi="Times New Roman"/>
                <w:sz w:val="24"/>
              </w:rPr>
              <w:t>n</w:t>
            </w:r>
            <w:r>
              <w:rPr>
                <w:rFonts w:ascii="Times New Roman" w:hAnsi="Times New Roman"/>
                <w:sz w:val="24"/>
              </w:rPr>
              <w:t>teni, amelyeket az intézmény nem államháztartási partnerekkel kötött, és amelyek ref</w:t>
            </w:r>
            <w:r>
              <w:rPr>
                <w:rFonts w:ascii="Times New Roman" w:hAnsi="Times New Roman"/>
                <w:sz w:val="24"/>
              </w:rPr>
              <w:t>e</w:t>
            </w:r>
            <w:r>
              <w:rPr>
                <w:rFonts w:ascii="Times New Roman" w:hAnsi="Times New Roman"/>
                <w:sz w:val="24"/>
              </w:rPr>
              <w:t>renciakitettsége államháztartás.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Ezeket az oszlopokat nem kell jelenteni kockázat, szabályozási módszer és kitettségi osztály szerinti bontásban (020–160).</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itt jelentett kitettségek nem vehetők figyelembe a kitettségérték és a kockázattal s</w:t>
            </w:r>
            <w:r>
              <w:rPr>
                <w:rFonts w:ascii="Times New Roman" w:hAnsi="Times New Roman"/>
                <w:sz w:val="24"/>
              </w:rPr>
              <w:t>ú</w:t>
            </w:r>
            <w:r>
              <w:rPr>
                <w:rFonts w:ascii="Times New Roman" w:hAnsi="Times New Roman"/>
                <w:sz w:val="24"/>
              </w:rPr>
              <w:t>lyozott kitettségérték (290-es és 300-as oszlop) kiszámításakor, melyek kizárólag a köz</w:t>
            </w:r>
            <w:r w:rsidR="00290BF4">
              <w:rPr>
                <w:rFonts w:ascii="Times New Roman" w:hAnsi="Times New Roman"/>
                <w:sz w:val="24"/>
              </w:rPr>
              <w:t>vetlen kitettségeken alapulnak.</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Származtatott ügyletek pozitív valós értékkel – könyv szerinti érték</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államháztartásokkal szembeni kitettségekre értékesített, az adatszolgáltatási vona</w:t>
            </w:r>
            <w:r>
              <w:rPr>
                <w:rFonts w:ascii="Times New Roman" w:hAnsi="Times New Roman"/>
                <w:sz w:val="24"/>
              </w:rPr>
              <w:t>t</w:t>
            </w:r>
            <w:r>
              <w:rPr>
                <w:rFonts w:ascii="Times New Roman" w:hAnsi="Times New Roman"/>
                <w:sz w:val="24"/>
              </w:rPr>
              <w:t>kozási időpontban az intézmény számára pozitív valós értékkel rendelkező hitelderivatívák összesített könyv szerinti értéke prudens értékelési korrekciók nélkül.</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IFRS szerint elszámolt származtatott ügyletek esetében az ezen oszlopban jelente</w:t>
            </w:r>
            <w:r>
              <w:rPr>
                <w:rFonts w:ascii="Times New Roman" w:hAnsi="Times New Roman"/>
                <w:sz w:val="24"/>
              </w:rPr>
              <w:t>n</w:t>
            </w:r>
            <w:r>
              <w:rPr>
                <w:rFonts w:ascii="Times New Roman" w:hAnsi="Times New Roman"/>
                <w:sz w:val="24"/>
              </w:rPr>
              <w:t>dő érték a pénzügyi eszközök közé sorolt derivatívák könyv szerinti értéke az ada</w:t>
            </w:r>
            <w:r>
              <w:rPr>
                <w:rFonts w:ascii="Times New Roman" w:hAnsi="Times New Roman"/>
                <w:sz w:val="24"/>
              </w:rPr>
              <w:t>t</w:t>
            </w:r>
            <w:r>
              <w:rPr>
                <w:rFonts w:ascii="Times New Roman" w:hAnsi="Times New Roman"/>
                <w:sz w:val="24"/>
              </w:rPr>
              <w:t>szolgáltatás időpontjában.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 BAD alapján kidolgozott nemzeti GAAP szerint elszámolt származtatott ügyletek esetében az ezen oszlopban jelentendő érték a pozitív valós értékkel rendelkező derivatívák valós értéke az adatszolgáltatási vonatkozási időpontban, az elszámolás módjától függetlenül.</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Származtatott ügyletek negatív valós értékkel – könyv szerinti érték</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államháztartásokkal szembeni kitettségekre értékesített, az adatszolgáltatási vona</w:t>
            </w:r>
            <w:r>
              <w:rPr>
                <w:rFonts w:ascii="Times New Roman" w:hAnsi="Times New Roman"/>
                <w:sz w:val="24"/>
              </w:rPr>
              <w:t>t</w:t>
            </w:r>
            <w:r>
              <w:rPr>
                <w:rFonts w:ascii="Times New Roman" w:hAnsi="Times New Roman"/>
                <w:sz w:val="24"/>
              </w:rPr>
              <w:t>kozási időpontban az intézmény számára negatív valós értékkel rendelkező hitelderivatívák összesített könyv szerinti értéke prudens értékelési korrekciók nélkül.</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IFRS szerint elszámolt származtatott ügyletek esetében az ezen oszlopban jelente</w:t>
            </w:r>
            <w:r>
              <w:rPr>
                <w:rFonts w:ascii="Times New Roman" w:hAnsi="Times New Roman"/>
                <w:sz w:val="24"/>
              </w:rPr>
              <w:t>n</w:t>
            </w:r>
            <w:r>
              <w:rPr>
                <w:rFonts w:ascii="Times New Roman" w:hAnsi="Times New Roman"/>
                <w:sz w:val="24"/>
              </w:rPr>
              <w:t>dő érték a pénzügyi kötelezettségek közé sorolt derivatívák könyv szerinti értéke az</w:t>
            </w:r>
            <w:r w:rsidR="00290BF4">
              <w:rPr>
                <w:rFonts w:ascii="Times New Roman" w:hAnsi="Times New Roman"/>
                <w:sz w:val="24"/>
              </w:rPr>
              <w:t xml:space="preserve"> adatszolgáltatás időpontjában.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sz w:val="24"/>
              </w:rPr>
              <w:t>A BAD alapján kidolgozott nemzeti GAAP szerint elszámolt származtatott ügyletek esetében az ezen oszlopban jelentendő érték a negatív valós értékkel rendelkező derivatívák valós értéke az adatszolgáltatási vonatkozási időpontban, az elszámolás módjától függetlenül.</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lastRenderedPageBreak/>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Kitettségérték</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 hitelkockázati módszerek alapján értékelt kitettségek kitettségértéke.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 sztenderd módszer szerint értékelt kitettségek esetében lásd a CRR 111. cikkét. Az IRB-módszer szerint értékelt kitettségek esetében lásd a CRR 166. cikkét és 230. cikke (1) bekezdésének második mondatát.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Azon származtatott ügyletekkel kapcsolatban, amelyekre partnerkockázati és piaci kockázati tőkekövetelmény egyaránt vonatkozik, lásd a sorokra vonatkozó útmutatót.</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Kocká</w:t>
            </w:r>
            <w:r w:rsidR="00290BF4">
              <w:rPr>
                <w:rFonts w:ascii="Times New Roman" w:hAnsi="Times New Roman"/>
                <w:b/>
                <w:sz w:val="24"/>
                <w:u w:val="single"/>
              </w:rPr>
              <w:t>zattal súlyozott kitettségérték</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 hitelkockázati módszerek alapján értékelt kitettségek kockázattal súlyozott kitetts</w:t>
            </w:r>
            <w:r w:rsidR="00290BF4">
              <w:rPr>
                <w:rFonts w:ascii="Times New Roman" w:hAnsi="Times New Roman"/>
                <w:sz w:val="24"/>
              </w:rPr>
              <w:t>égértéke.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 sztenderd módszer szerint értékelt kitettségek esetében lásd a CRR 113. cikkének (1)–(5) bekezdését. A belső minősítésen alapuló módszer szerint értékelt kitettségek esetében lásd a CRR 153. cikkének (1) és (3) bekezdését.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 CRR 271. cikkének hatálya alá tartozó azon közvetlen kitettségek adatszolgáltatás</w:t>
            </w:r>
            <w:r>
              <w:rPr>
                <w:rFonts w:ascii="Times New Roman" w:hAnsi="Times New Roman"/>
                <w:sz w:val="24"/>
              </w:rPr>
              <w:t>á</w:t>
            </w:r>
            <w:r>
              <w:rPr>
                <w:rFonts w:ascii="Times New Roman" w:hAnsi="Times New Roman"/>
                <w:sz w:val="24"/>
              </w:rPr>
              <w:t>val kapcsolatban, amelyekre partnerkockázati és piaci kockázati szavatolótőke-követelmény egyaránt vonatkozik, lásd a sorokra vonatkozó útmutatót.</w:t>
            </w:r>
          </w:p>
          <w:p w:rsidR="00FD54FC" w:rsidRPr="00392FFD" w:rsidRDefault="00FD54FC" w:rsidP="00FD54FC">
            <w:pPr>
              <w:spacing w:before="0" w:after="0"/>
              <w:ind w:left="33"/>
              <w:rPr>
                <w:rFonts w:ascii="Times New Roman" w:hAnsi="Times New Roman"/>
                <w:b/>
                <w:bCs/>
                <w:sz w:val="24"/>
                <w:u w:val="single"/>
              </w:rPr>
            </w:pPr>
          </w:p>
        </w:tc>
      </w:tr>
    </w:tbl>
    <w:p w:rsidR="00FD54FC" w:rsidRPr="00392FFD"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rsidTr="00672D2A">
        <w:tc>
          <w:tcPr>
            <w:tcW w:w="1188"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Sorok</w:t>
            </w:r>
          </w:p>
        </w:tc>
        <w:tc>
          <w:tcPr>
            <w:tcW w:w="8701"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Útmutató</w:t>
            </w:r>
          </w:p>
        </w:tc>
      </w:tr>
      <w:tr w:rsidR="00FD54FC" w:rsidRPr="00392FFD" w:rsidTr="00672D2A">
        <w:tc>
          <w:tcPr>
            <w:tcW w:w="9889" w:type="dxa"/>
            <w:gridSpan w:val="2"/>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KITETTSÉGEK SZABÁLYOZÁSI MÓDSZER SZERINTI BONTÁSA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701" w:type="dxa"/>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Teljes kitettség</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1. pontban meghatározott államháztartásokkal szembeni összes kitettség.</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A85E91">
            <w:pPr>
              <w:spacing w:before="0" w:after="0"/>
              <w:ind w:left="33"/>
              <w:rPr>
                <w:rFonts w:ascii="Times New Roman" w:hAnsi="Times New Roman"/>
                <w:bCs/>
                <w:sz w:val="24"/>
              </w:rPr>
            </w:pPr>
            <w:r>
              <w:rPr>
                <w:rFonts w:ascii="Times New Roman" w:hAnsi="Times New Roman"/>
                <w:sz w:val="24"/>
              </w:rPr>
              <w:t>020-155</w:t>
            </w:r>
          </w:p>
        </w:tc>
        <w:tc>
          <w:tcPr>
            <w:tcW w:w="8701" w:type="dxa"/>
          </w:tcPr>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Kitettségek a hitelkockázati módszerek alapján</w:t>
            </w:r>
          </w:p>
          <w:p w:rsidR="00FD54FC" w:rsidRPr="00392FFD" w:rsidRDefault="00FD54FC" w:rsidP="00542EAE">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Az államháztartásokkal szembeni, a CRR harmadik részének II. címe szerint kockáza</w:t>
            </w:r>
            <w:r>
              <w:rPr>
                <w:rFonts w:ascii="Times New Roman" w:hAnsi="Times New Roman"/>
                <w:sz w:val="24"/>
              </w:rPr>
              <w:t>t</w:t>
            </w:r>
            <w:r>
              <w:rPr>
                <w:rFonts w:ascii="Times New Roman" w:hAnsi="Times New Roman"/>
                <w:sz w:val="24"/>
              </w:rPr>
              <w:t xml:space="preserve">tal súlyozott összes kitettség. A hitelkockázati módszerek alapján értékelt kitettségek közé tartoznak a partnerkockázati tőkekövetelmények hatálya alá tartozó kereskedési könyvi és nem </w:t>
            </w:r>
            <w:r w:rsidR="00290BF4">
              <w:rPr>
                <w:rFonts w:ascii="Times New Roman" w:hAnsi="Times New Roman"/>
                <w:sz w:val="24"/>
              </w:rPr>
              <w:t>kereskedési könyvi kitettségek.</w:t>
            </w:r>
          </w:p>
          <w:p w:rsidR="00FD54FC" w:rsidRPr="00D95045" w:rsidRDefault="00FD54FC" w:rsidP="009068C9">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A CRR 271. cikkének hatálya alá tartozó azon közvetlen kitettségeket, amelyekre par</w:t>
            </w:r>
            <w:r>
              <w:rPr>
                <w:rFonts w:ascii="Times New Roman" w:hAnsi="Times New Roman"/>
                <w:sz w:val="24"/>
              </w:rPr>
              <w:t>t</w:t>
            </w:r>
            <w:r>
              <w:rPr>
                <w:rFonts w:ascii="Times New Roman" w:hAnsi="Times New Roman"/>
                <w:sz w:val="24"/>
              </w:rPr>
              <w:t>nerkockázati és piaci kockázati szavatolótőke-követelmény egyaránt vonatkozik, a h</w:t>
            </w:r>
            <w:r>
              <w:rPr>
                <w:rFonts w:ascii="Times New Roman" w:hAnsi="Times New Roman"/>
                <w:sz w:val="24"/>
              </w:rPr>
              <w:t>i</w:t>
            </w:r>
            <w:r>
              <w:rPr>
                <w:rFonts w:ascii="Times New Roman" w:hAnsi="Times New Roman"/>
                <w:sz w:val="24"/>
              </w:rPr>
              <w:t>telkockázati sorokban (020–155) és a piaci kockázati sorban (160) egyaránt meg kell adni: a partnerkockázatból származó kitettségértéket a hitelkockázati sorokban, míg a piaci kockázatból származó kitettségértéket a piaci kockázati sorban kell jelenteni.</w:t>
            </w:r>
          </w:p>
          <w:p w:rsidR="00542EAE" w:rsidRPr="00392FFD" w:rsidRDefault="00542EAE" w:rsidP="009068C9">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Sztenderd módszer</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 CRR harmadik része II. címének 2. fejezete szerint kockázattal súlyozott államhá</w:t>
            </w:r>
            <w:r>
              <w:rPr>
                <w:rFonts w:ascii="Times New Roman" w:hAnsi="Times New Roman"/>
                <w:sz w:val="24"/>
              </w:rPr>
              <w:t>z</w:t>
            </w:r>
            <w:r>
              <w:rPr>
                <w:rFonts w:ascii="Times New Roman" w:hAnsi="Times New Roman"/>
                <w:sz w:val="24"/>
              </w:rPr>
              <w:t>tartási kitettségek, ideértve azokat a nem kereskedési könyvi kitettségeket is, amelyek említett fejezet szerinti kockázati súlyozása a partnerkockázattal is számol.</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040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Központi kormányzatok</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államháztartások központi kormányzati alrendszereivel szembeni kitettségek. Ez</w:t>
            </w:r>
            <w:r>
              <w:rPr>
                <w:rFonts w:ascii="Times New Roman" w:hAnsi="Times New Roman"/>
                <w:sz w:val="24"/>
              </w:rPr>
              <w:t>e</w:t>
            </w:r>
            <w:r>
              <w:rPr>
                <w:rFonts w:ascii="Times New Roman" w:hAnsi="Times New Roman"/>
                <w:sz w:val="24"/>
              </w:rPr>
              <w:t>ket a kitettségeket a C 07.00 tábla útmutatójának értelmében a CRR 112. és 114. cikk</w:t>
            </w:r>
            <w:r>
              <w:rPr>
                <w:rFonts w:ascii="Times New Roman" w:hAnsi="Times New Roman"/>
                <w:sz w:val="24"/>
              </w:rPr>
              <w:t>é</w:t>
            </w:r>
            <w:r>
              <w:rPr>
                <w:rFonts w:ascii="Times New Roman" w:hAnsi="Times New Roman"/>
                <w:sz w:val="24"/>
              </w:rPr>
              <w:t>nek megfelelően a „központi kormányzatok és központi bankok” kitettségi osztályba kell sorolni. Nem alkalmazandók ugyanakkor azok az előírások, amelyek az államhá</w:t>
            </w:r>
            <w:r>
              <w:rPr>
                <w:rFonts w:ascii="Times New Roman" w:hAnsi="Times New Roman"/>
                <w:sz w:val="24"/>
              </w:rPr>
              <w:t>z</w:t>
            </w:r>
            <w:r>
              <w:rPr>
                <w:rFonts w:ascii="Times New Roman" w:hAnsi="Times New Roman"/>
                <w:sz w:val="24"/>
              </w:rPr>
              <w:t>tartási kitettségek más kitettségi osztályokban történő, helyettesítési hatásokkal járó h</w:t>
            </w:r>
            <w:r>
              <w:rPr>
                <w:rFonts w:ascii="Times New Roman" w:hAnsi="Times New Roman"/>
                <w:sz w:val="24"/>
              </w:rPr>
              <w:t>i</w:t>
            </w:r>
            <w:r>
              <w:rPr>
                <w:rFonts w:ascii="Times New Roman" w:hAnsi="Times New Roman"/>
                <w:sz w:val="24"/>
              </w:rPr>
              <w:t>telkockázat-mérséklési technikáknak a kitettségre való alkalmazása miatti átsorolására vonatkoznak.</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050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Regionális kormányzatok vagy helyi hatóságok</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államháztartások regionális kormányzati vagy helyi hatósági alrendszereivel sze</w:t>
            </w:r>
            <w:r>
              <w:rPr>
                <w:rFonts w:ascii="Times New Roman" w:hAnsi="Times New Roman"/>
                <w:sz w:val="24"/>
              </w:rPr>
              <w:t>m</w:t>
            </w:r>
            <w:r>
              <w:rPr>
                <w:rFonts w:ascii="Times New Roman" w:hAnsi="Times New Roman"/>
                <w:sz w:val="24"/>
              </w:rPr>
              <w:t>beni kitettségek. Ezeket a kitettségeket a C 07.00 tábla útmutatójának értelmében a CRR 112. és 115. cikkének megfelelően a „regionális kormányzatok vagy helyi hatós</w:t>
            </w:r>
            <w:r>
              <w:rPr>
                <w:rFonts w:ascii="Times New Roman" w:hAnsi="Times New Roman"/>
                <w:sz w:val="24"/>
              </w:rPr>
              <w:t>á</w:t>
            </w:r>
            <w:r>
              <w:rPr>
                <w:rFonts w:ascii="Times New Roman" w:hAnsi="Times New Roman"/>
                <w:sz w:val="24"/>
              </w:rPr>
              <w:t>gok” kitettségi osztályba kell sorolni. Nem alkalmazandók ugyanakkor azok az előír</w:t>
            </w:r>
            <w:r>
              <w:rPr>
                <w:rFonts w:ascii="Times New Roman" w:hAnsi="Times New Roman"/>
                <w:sz w:val="24"/>
              </w:rPr>
              <w:t>á</w:t>
            </w:r>
            <w:r>
              <w:rPr>
                <w:rFonts w:ascii="Times New Roman" w:hAnsi="Times New Roman"/>
                <w:sz w:val="24"/>
              </w:rPr>
              <w:t>sok, amelyek az államháztartási kitettségek más kitettségi osztályokban történő, helye</w:t>
            </w:r>
            <w:r>
              <w:rPr>
                <w:rFonts w:ascii="Times New Roman" w:hAnsi="Times New Roman"/>
                <w:sz w:val="24"/>
              </w:rPr>
              <w:t>t</w:t>
            </w:r>
            <w:r>
              <w:rPr>
                <w:rFonts w:ascii="Times New Roman" w:hAnsi="Times New Roman"/>
                <w:sz w:val="24"/>
              </w:rPr>
              <w:t>tesítési hatásokkal járó hitelkockázat-mérséklési technikáknak a kitettségre való alka</w:t>
            </w:r>
            <w:r>
              <w:rPr>
                <w:rFonts w:ascii="Times New Roman" w:hAnsi="Times New Roman"/>
                <w:sz w:val="24"/>
              </w:rPr>
              <w:t>l</w:t>
            </w:r>
            <w:r>
              <w:rPr>
                <w:rFonts w:ascii="Times New Roman" w:hAnsi="Times New Roman"/>
                <w:sz w:val="24"/>
              </w:rPr>
              <w:t>mazása miatti átsorolására vonatkoznak.</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Közszektorbeli intézmények</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államháztartások közszektorbeli intézményi alrendszerével szembeni kitettségek. Ezeket a kitettségeket a C 07.00 tábla útmutatójának értelmében a CRR 112. és 116. cikkének megfelelően a „közszektorbeli intézmények” kitettségi osztályba kell sorolni. Nem alkalmazandók ugyanakkor azok az előírások, amelyek az államháztartási kitet</w:t>
            </w:r>
            <w:r>
              <w:rPr>
                <w:rFonts w:ascii="Times New Roman" w:hAnsi="Times New Roman"/>
                <w:sz w:val="24"/>
              </w:rPr>
              <w:t>t</w:t>
            </w:r>
            <w:r>
              <w:rPr>
                <w:rFonts w:ascii="Times New Roman" w:hAnsi="Times New Roman"/>
                <w:sz w:val="24"/>
              </w:rPr>
              <w:t>ségek más kitettségi osztályokban történő, helyettesítési hatásokkal járó hitelkockázat-mérséklési technikáknak a kitettségre való alkalmazása miatti átsorolására vonatko</w:t>
            </w:r>
            <w:r>
              <w:rPr>
                <w:rFonts w:ascii="Times New Roman" w:hAnsi="Times New Roman"/>
                <w:sz w:val="24"/>
              </w:rPr>
              <w:t>z</w:t>
            </w:r>
            <w:r>
              <w:rPr>
                <w:rFonts w:ascii="Times New Roman" w:hAnsi="Times New Roman"/>
                <w:sz w:val="24"/>
              </w:rPr>
              <w:t>nak.</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070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Nemzetközi szervezetek</w:t>
            </w:r>
          </w:p>
          <w:p w:rsidR="00FD54FC" w:rsidRPr="00392FFD" w:rsidRDefault="00FD54FC" w:rsidP="00FD54FC">
            <w:pPr>
              <w:spacing w:before="0" w:after="0"/>
              <w:ind w:left="33"/>
              <w:rPr>
                <w:rFonts w:ascii="Times New Roman" w:hAnsi="Times New Roman"/>
                <w:bCs/>
                <w:sz w:val="24"/>
              </w:rPr>
            </w:pPr>
          </w:p>
          <w:p w:rsidR="00FD54FC" w:rsidRPr="00392FFD" w:rsidRDefault="00530BA1" w:rsidP="00FD54FC">
            <w:pPr>
              <w:spacing w:before="0" w:after="0"/>
              <w:ind w:left="33"/>
              <w:rPr>
                <w:rFonts w:ascii="Times New Roman" w:hAnsi="Times New Roman"/>
                <w:bCs/>
                <w:sz w:val="24"/>
              </w:rPr>
            </w:pPr>
            <w:r>
              <w:rPr>
                <w:rFonts w:ascii="Times New Roman" w:hAnsi="Times New Roman"/>
                <w:sz w:val="24"/>
              </w:rPr>
              <w:t>Az államháztartásokhoz sorolt nemzetközi szervezetekkel szembeni kitettségek. Ezeket a kitettségeket a C 07.00 tábla útmutatójának értelmében a CRR 112. és 118. cikkének megfelelően a „nemzetközi szervezetek” kitettségi osztályokba kell sorolni. Nem a</w:t>
            </w:r>
            <w:r>
              <w:rPr>
                <w:rFonts w:ascii="Times New Roman" w:hAnsi="Times New Roman"/>
                <w:sz w:val="24"/>
              </w:rPr>
              <w:t>l</w:t>
            </w:r>
            <w:r>
              <w:rPr>
                <w:rFonts w:ascii="Times New Roman" w:hAnsi="Times New Roman"/>
                <w:sz w:val="24"/>
              </w:rPr>
              <w:t>kalmazandók ugyanakkor azok az előírások, amelyek az államháztartási kitettségek más kitettségi osztályokban történő, helyettesítési hatásokkal járó hitelkockázat-mérséklési technikáknak a kitettségre való alkalmazása miatti átsorolására vonatko</w:t>
            </w:r>
            <w:r>
              <w:rPr>
                <w:rFonts w:ascii="Times New Roman" w:hAnsi="Times New Roman"/>
                <w:sz w:val="24"/>
              </w:rPr>
              <w:t>z</w:t>
            </w:r>
            <w:r>
              <w:rPr>
                <w:rFonts w:ascii="Times New Roman" w:hAnsi="Times New Roman"/>
                <w:sz w:val="24"/>
              </w:rPr>
              <w:t>nak.</w:t>
            </w:r>
          </w:p>
          <w:p w:rsidR="00FD54FC" w:rsidRPr="00392FFD" w:rsidRDefault="00FD54FC" w:rsidP="00FD54FC">
            <w:pPr>
              <w:spacing w:before="0" w:after="0"/>
              <w:ind w:left="33"/>
              <w:rPr>
                <w:rFonts w:ascii="Times New Roman" w:hAnsi="Times New Roman"/>
                <w:b/>
                <w:bCs/>
                <w:sz w:val="24"/>
                <w:u w:val="single"/>
              </w:rPr>
            </w:pPr>
          </w:p>
        </w:tc>
      </w:tr>
      <w:tr w:rsidR="00CE47AF" w:rsidRPr="00392FFD" w:rsidTr="00672D2A">
        <w:tc>
          <w:tcPr>
            <w:tcW w:w="1188" w:type="dxa"/>
          </w:tcPr>
          <w:p w:rsidR="00CE47AF" w:rsidRPr="00392FFD" w:rsidRDefault="00CE47AF" w:rsidP="00FD54FC">
            <w:pPr>
              <w:spacing w:before="0" w:after="0"/>
              <w:ind w:left="33"/>
              <w:rPr>
                <w:rFonts w:ascii="Times New Roman" w:hAnsi="Times New Roman"/>
                <w:bCs/>
                <w:sz w:val="24"/>
              </w:rPr>
            </w:pPr>
            <w:r>
              <w:rPr>
                <w:rFonts w:ascii="Times New Roman" w:hAnsi="Times New Roman"/>
                <w:sz w:val="24"/>
              </w:rPr>
              <w:t>075</w:t>
            </w:r>
          </w:p>
        </w:tc>
        <w:tc>
          <w:tcPr>
            <w:tcW w:w="8701" w:type="dxa"/>
          </w:tcPr>
          <w:p w:rsidR="00CE47AF" w:rsidRDefault="00CE47AF" w:rsidP="00FD54FC">
            <w:pPr>
              <w:spacing w:before="0" w:after="0"/>
              <w:ind w:left="33"/>
              <w:rPr>
                <w:rFonts w:ascii="Times New Roman" w:hAnsi="Times New Roman"/>
                <w:b/>
                <w:bCs/>
                <w:sz w:val="24"/>
                <w:u w:val="single"/>
              </w:rPr>
            </w:pPr>
            <w:r>
              <w:rPr>
                <w:rFonts w:ascii="Times New Roman" w:hAnsi="Times New Roman"/>
                <w:b/>
                <w:sz w:val="24"/>
                <w:u w:val="single"/>
              </w:rPr>
              <w:t>Egyéb államháztartási kitettségek a sztenderd módszer szerint</w:t>
            </w:r>
          </w:p>
          <w:p w:rsidR="00CE47AF" w:rsidRPr="00392FFD" w:rsidRDefault="00CE47AF" w:rsidP="00CE47AF">
            <w:pPr>
              <w:spacing w:before="0" w:after="0"/>
              <w:ind w:left="33"/>
              <w:rPr>
                <w:rFonts w:ascii="Times New Roman" w:hAnsi="Times New Roman"/>
                <w:bCs/>
                <w:sz w:val="24"/>
              </w:rPr>
            </w:pPr>
          </w:p>
          <w:p w:rsidR="00CE47AF" w:rsidRDefault="00530BA1" w:rsidP="00FD54FC">
            <w:pPr>
              <w:spacing w:before="0" w:after="0"/>
              <w:ind w:left="33"/>
              <w:rPr>
                <w:rFonts w:ascii="Times New Roman" w:hAnsi="Times New Roman"/>
                <w:bCs/>
                <w:sz w:val="24"/>
              </w:rPr>
            </w:pPr>
            <w:r>
              <w:rPr>
                <w:rFonts w:ascii="Times New Roman" w:hAnsi="Times New Roman"/>
                <w:sz w:val="24"/>
              </w:rPr>
              <w:t>A fenti 040–070 sorban szereplőktől eltérő államháztartási kitettségek, amelyeket a CRR 112. cikkével összhangban a szavatolótőke-követelmény kiszámítása céljából az SA kitettségi osztályokba kell sorolni.</w:t>
            </w:r>
          </w:p>
          <w:p w:rsidR="00530BA1" w:rsidRPr="00392FFD" w:rsidRDefault="00530BA1" w:rsidP="00530BA1">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080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IRB-módszer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 CRR harmadik része II. címének 3. fejezete szerint kockázattal súlyozott államhá</w:t>
            </w:r>
            <w:r>
              <w:rPr>
                <w:rFonts w:ascii="Times New Roman" w:hAnsi="Times New Roman"/>
                <w:sz w:val="24"/>
              </w:rPr>
              <w:t>z</w:t>
            </w:r>
            <w:r>
              <w:rPr>
                <w:rFonts w:ascii="Times New Roman" w:hAnsi="Times New Roman"/>
                <w:sz w:val="24"/>
              </w:rPr>
              <w:lastRenderedPageBreak/>
              <w:t>tartási kitettségek, ideértve azokat a nem kereskedési könyvi kitettségeket is, amelyek említett fejezet szerinti kockázati súlyozása a partnerkockázattal is számol.</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090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Központi kormányzatok</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államháztartások központi kormányzati alrendszereivel szembeni azon kitettségek, amelyeket a C 08.01 és C 08.02 tábla útmutatójának értelmében a CRR 147. cikke (3) bekezdése a) pontjának megfelelően a „központi kormányzatok és központi ba</w:t>
            </w:r>
            <w:r>
              <w:rPr>
                <w:rFonts w:ascii="Times New Roman" w:hAnsi="Times New Roman"/>
                <w:sz w:val="24"/>
              </w:rPr>
              <w:t>n</w:t>
            </w:r>
            <w:r>
              <w:rPr>
                <w:rFonts w:ascii="Times New Roman" w:hAnsi="Times New Roman"/>
                <w:sz w:val="24"/>
              </w:rPr>
              <w:t>kok” kitettségi osztályba kell sorolni. Nem alkalmazandók ugyanakkor azok az előír</w:t>
            </w:r>
            <w:r>
              <w:rPr>
                <w:rFonts w:ascii="Times New Roman" w:hAnsi="Times New Roman"/>
                <w:sz w:val="24"/>
              </w:rPr>
              <w:t>á</w:t>
            </w:r>
            <w:r>
              <w:rPr>
                <w:rFonts w:ascii="Times New Roman" w:hAnsi="Times New Roman"/>
                <w:sz w:val="24"/>
              </w:rPr>
              <w:t>sok, amelyek az államháztartási kitettségek más kitettségi osztályokban történő, helye</w:t>
            </w:r>
            <w:r>
              <w:rPr>
                <w:rFonts w:ascii="Times New Roman" w:hAnsi="Times New Roman"/>
                <w:sz w:val="24"/>
              </w:rPr>
              <w:t>t</w:t>
            </w:r>
            <w:r>
              <w:rPr>
                <w:rFonts w:ascii="Times New Roman" w:hAnsi="Times New Roman"/>
                <w:sz w:val="24"/>
              </w:rPr>
              <w:t>tesítési hatásokkal járó hitelkockázat-mérséklési technikáknak a kitettségre való alka</w:t>
            </w:r>
            <w:r>
              <w:rPr>
                <w:rFonts w:ascii="Times New Roman" w:hAnsi="Times New Roman"/>
                <w:sz w:val="24"/>
              </w:rPr>
              <w:t>l</w:t>
            </w:r>
            <w:r>
              <w:rPr>
                <w:rFonts w:ascii="Times New Roman" w:hAnsi="Times New Roman"/>
                <w:sz w:val="24"/>
              </w:rPr>
              <w:t>mazása miatti átsorolására vonatkoznak.</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Regionális kormányzatok vagy helyi hatóságok [Központi kormányzatok és kö</w:t>
            </w:r>
            <w:r>
              <w:rPr>
                <w:rFonts w:ascii="Times New Roman" w:hAnsi="Times New Roman"/>
                <w:b/>
                <w:sz w:val="24"/>
                <w:u w:val="single"/>
              </w:rPr>
              <w:t>z</w:t>
            </w:r>
            <w:r>
              <w:rPr>
                <w:rFonts w:ascii="Times New Roman" w:hAnsi="Times New Roman"/>
                <w:b/>
                <w:sz w:val="24"/>
                <w:u w:val="single"/>
              </w:rPr>
              <w:t>ponti bankok]</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államháztartások regionális kormányzati vagy helyi hatósági alrendszereivel sze</w:t>
            </w:r>
            <w:r>
              <w:rPr>
                <w:rFonts w:ascii="Times New Roman" w:hAnsi="Times New Roman"/>
                <w:sz w:val="24"/>
              </w:rPr>
              <w:t>m</w:t>
            </w:r>
            <w:r>
              <w:rPr>
                <w:rFonts w:ascii="Times New Roman" w:hAnsi="Times New Roman"/>
                <w:sz w:val="24"/>
              </w:rPr>
              <w:t>beni azon kitettségek, amelyeket a C 08.01 és C 08.02 tábla útmutatójának értelmében a CRR 147. cikke (3) bekezdése a) pontjának megfelelően a „központi kormányzatok és központi bankok” kitettségi osztályba kell sorolni. Nem alkalmazandók ugyanakkor azok az előírások, amelyek az államháztartási kitettségek más kitettségi osztályokban történő, helyettesítési hatásokkal járó hitelkockázat-mérséklési technikáknak a kitet</w:t>
            </w:r>
            <w:r>
              <w:rPr>
                <w:rFonts w:ascii="Times New Roman" w:hAnsi="Times New Roman"/>
                <w:sz w:val="24"/>
              </w:rPr>
              <w:t>t</w:t>
            </w:r>
            <w:r>
              <w:rPr>
                <w:rFonts w:ascii="Times New Roman" w:hAnsi="Times New Roman"/>
                <w:sz w:val="24"/>
              </w:rPr>
              <w:t>ségre való alkalmazása miatti átsorolására vonatkoznak.</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110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Regionális kormányzatok vagy helyi hatóságok [Intézmények]</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államháztartások regionális kormányzati vagy helyi hatósági alrendszereivel sze</w:t>
            </w:r>
            <w:r>
              <w:rPr>
                <w:rFonts w:ascii="Times New Roman" w:hAnsi="Times New Roman"/>
                <w:sz w:val="24"/>
              </w:rPr>
              <w:t>m</w:t>
            </w:r>
            <w:r>
              <w:rPr>
                <w:rFonts w:ascii="Times New Roman" w:hAnsi="Times New Roman"/>
                <w:sz w:val="24"/>
              </w:rPr>
              <w:t>beni azon kitettségek, amelyeket a C 08.01 és C 08.02 tábla útmutatójának értelmében a CRR 147. cikke (4) bekezdése a) pontjának megfelelően az „intézmények” kitettségi osztályba kell sorolni. Nem alkalmazandók ugyanakkor azok az előírások, amelyek az államháztartási kitettségek más kitettségi osztályokban történő, helyettesítési hatáso</w:t>
            </w:r>
            <w:r>
              <w:rPr>
                <w:rFonts w:ascii="Times New Roman" w:hAnsi="Times New Roman"/>
                <w:sz w:val="24"/>
              </w:rPr>
              <w:t>k</w:t>
            </w:r>
            <w:r>
              <w:rPr>
                <w:rFonts w:ascii="Times New Roman" w:hAnsi="Times New Roman"/>
                <w:sz w:val="24"/>
              </w:rPr>
              <w:t>kal járó hitelkockázat-mérséklési technikáknak a kitettségre való alkalmazása miatti á</w:t>
            </w:r>
            <w:r>
              <w:rPr>
                <w:rFonts w:ascii="Times New Roman" w:hAnsi="Times New Roman"/>
                <w:sz w:val="24"/>
              </w:rPr>
              <w:t>t</w:t>
            </w:r>
            <w:r>
              <w:rPr>
                <w:rFonts w:ascii="Times New Roman" w:hAnsi="Times New Roman"/>
                <w:sz w:val="24"/>
              </w:rPr>
              <w:t>sorolására vonatkoznak.</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120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Közszektorbeli intézmények [Központi kormányzatok és központi bankok]</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államháztartások a CRR 4. cikke (1) bekezdésének 8. pontja szerinti közszektorbeli intézmények alrendszerével szembeni azon kitettségek, amelyeket a C 08.01 és C 08.02 tábla útmutatójának értelmében a CRR 147. cikke (3) bekezdése a) pontjának megfel</w:t>
            </w:r>
            <w:r>
              <w:rPr>
                <w:rFonts w:ascii="Times New Roman" w:hAnsi="Times New Roman"/>
                <w:sz w:val="24"/>
              </w:rPr>
              <w:t>e</w:t>
            </w:r>
            <w:r>
              <w:rPr>
                <w:rFonts w:ascii="Times New Roman" w:hAnsi="Times New Roman"/>
                <w:sz w:val="24"/>
              </w:rPr>
              <w:t>lően a „központi kormányzatok és központi bankok” kitettségi osztályba kell sorolni. Nem alkalmazandók ugyanakkor azok az előírások, amelyek az államháztartási kitet</w:t>
            </w:r>
            <w:r>
              <w:rPr>
                <w:rFonts w:ascii="Times New Roman" w:hAnsi="Times New Roman"/>
                <w:sz w:val="24"/>
              </w:rPr>
              <w:t>t</w:t>
            </w:r>
            <w:r>
              <w:rPr>
                <w:rFonts w:ascii="Times New Roman" w:hAnsi="Times New Roman"/>
                <w:sz w:val="24"/>
              </w:rPr>
              <w:t>ségek más kitettségi osztályokban történő, helyettesítési hatásokkal járó hitelkockázat-mérséklési technikáknak a kitettségre való alkalmazása miatti átsorolására vonatko</w:t>
            </w:r>
            <w:r>
              <w:rPr>
                <w:rFonts w:ascii="Times New Roman" w:hAnsi="Times New Roman"/>
                <w:sz w:val="24"/>
              </w:rPr>
              <w:t>z</w:t>
            </w:r>
            <w:r>
              <w:rPr>
                <w:rFonts w:ascii="Times New Roman" w:hAnsi="Times New Roman"/>
                <w:sz w:val="24"/>
              </w:rPr>
              <w:t>nak.</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130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Közszektorbeli intézmények [Intézmények]</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államháztartások a CRR 4. cikke (1) bekezdésének 8. pontja szerinti közszektorbeli intézmények alrendszerével szembeni azon kitettségek, amelyeket a C 08.01 és C 08.02 tábla útmutatójának értelmében a CRR 147. cikke (4) bekezdése b) pontjának megfel</w:t>
            </w:r>
            <w:r>
              <w:rPr>
                <w:rFonts w:ascii="Times New Roman" w:hAnsi="Times New Roman"/>
                <w:sz w:val="24"/>
              </w:rPr>
              <w:t>e</w:t>
            </w:r>
            <w:r>
              <w:rPr>
                <w:rFonts w:ascii="Times New Roman" w:hAnsi="Times New Roman"/>
                <w:sz w:val="24"/>
              </w:rPr>
              <w:lastRenderedPageBreak/>
              <w:t>lően az „intézmények” kitettségi osztályba kell sorolni. Nem alkalmazandók ugyana</w:t>
            </w:r>
            <w:r>
              <w:rPr>
                <w:rFonts w:ascii="Times New Roman" w:hAnsi="Times New Roman"/>
                <w:sz w:val="24"/>
              </w:rPr>
              <w:t>k</w:t>
            </w:r>
            <w:r>
              <w:rPr>
                <w:rFonts w:ascii="Times New Roman" w:hAnsi="Times New Roman"/>
                <w:sz w:val="24"/>
              </w:rPr>
              <w:t>kor azok az előírások, amelyek az államháztartási kitettségek más kitettségi osztályo</w:t>
            </w:r>
            <w:r>
              <w:rPr>
                <w:rFonts w:ascii="Times New Roman" w:hAnsi="Times New Roman"/>
                <w:sz w:val="24"/>
              </w:rPr>
              <w:t>k</w:t>
            </w:r>
            <w:r>
              <w:rPr>
                <w:rFonts w:ascii="Times New Roman" w:hAnsi="Times New Roman"/>
                <w:sz w:val="24"/>
              </w:rPr>
              <w:t>ban történő, helyettesítési hatásokkal járó hitelkockázat-mérséklési technikáknak a k</w:t>
            </w:r>
            <w:r>
              <w:rPr>
                <w:rFonts w:ascii="Times New Roman" w:hAnsi="Times New Roman"/>
                <w:sz w:val="24"/>
              </w:rPr>
              <w:t>i</w:t>
            </w:r>
            <w:r>
              <w:rPr>
                <w:rFonts w:ascii="Times New Roman" w:hAnsi="Times New Roman"/>
                <w:sz w:val="24"/>
              </w:rPr>
              <w:t>tettségre való alkalmazása miatti átsorolására vonatkoznak.</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Del="00C211CB" w:rsidRDefault="00FD54FC" w:rsidP="00FD54FC">
            <w:pPr>
              <w:spacing w:before="0" w:after="0"/>
              <w:ind w:left="33"/>
              <w:rPr>
                <w:rFonts w:ascii="Times New Roman" w:hAnsi="Times New Roman"/>
                <w:bCs/>
                <w:sz w:val="24"/>
              </w:rPr>
            </w:pPr>
            <w:r>
              <w:rPr>
                <w:rFonts w:ascii="Times New Roman" w:hAnsi="Times New Roman"/>
                <w:sz w:val="24"/>
              </w:rPr>
              <w:lastRenderedPageBreak/>
              <w:t>140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Nemzetközi szervezetek [Központi kormányzatok és központi bankok]</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államháztartásokhoz sorolt nemzetközi szervezetekkel szembeni azon kitettségek, amelyeket a C 08.01 és C 08.02 tábla útmutatójának értelmében a CRR 147. cikke (3) bekezdése c) pontjának megfelelően a „központi kormányzatok és központi bankok” kitettségi osztályba kell sorolni. Nem alkalmazandók ugyanakkor azok az előírások, amelyek az államháztartási kitettségek más kitettségi osztályokban történő, helyettes</w:t>
            </w:r>
            <w:r>
              <w:rPr>
                <w:rFonts w:ascii="Times New Roman" w:hAnsi="Times New Roman"/>
                <w:sz w:val="24"/>
              </w:rPr>
              <w:t>í</w:t>
            </w:r>
            <w:r>
              <w:rPr>
                <w:rFonts w:ascii="Times New Roman" w:hAnsi="Times New Roman"/>
                <w:sz w:val="24"/>
              </w:rPr>
              <w:t>tési hatásokkal járó hitelkockázat-mérséklési technikáknak a kitettségre való alkalm</w:t>
            </w:r>
            <w:r>
              <w:rPr>
                <w:rFonts w:ascii="Times New Roman" w:hAnsi="Times New Roman"/>
                <w:sz w:val="24"/>
              </w:rPr>
              <w:t>a</w:t>
            </w:r>
            <w:r>
              <w:rPr>
                <w:rFonts w:ascii="Times New Roman" w:hAnsi="Times New Roman"/>
                <w:sz w:val="24"/>
              </w:rPr>
              <w:t>zása miatti átsorolására vonatkoznak.</w:t>
            </w:r>
          </w:p>
          <w:p w:rsidR="00FD54FC" w:rsidRPr="00392FFD" w:rsidRDefault="00FD54FC" w:rsidP="00FD54FC">
            <w:pPr>
              <w:spacing w:before="0" w:after="0"/>
              <w:ind w:left="33"/>
              <w:rPr>
                <w:rFonts w:ascii="Times New Roman" w:hAnsi="Times New Roman"/>
                <w:b/>
                <w:bCs/>
                <w:sz w:val="24"/>
                <w:u w:val="single"/>
              </w:rPr>
            </w:pPr>
          </w:p>
        </w:tc>
      </w:tr>
      <w:tr w:rsidR="00530BA1" w:rsidRPr="00392FFD" w:rsidTr="00672D2A">
        <w:tc>
          <w:tcPr>
            <w:tcW w:w="1188" w:type="dxa"/>
          </w:tcPr>
          <w:p w:rsidR="00530BA1" w:rsidRPr="00392FFD" w:rsidRDefault="00530BA1" w:rsidP="00FD54FC">
            <w:pPr>
              <w:spacing w:before="0" w:after="0"/>
              <w:ind w:left="33"/>
              <w:rPr>
                <w:rFonts w:ascii="Times New Roman" w:hAnsi="Times New Roman"/>
                <w:bCs/>
                <w:sz w:val="24"/>
              </w:rPr>
            </w:pPr>
            <w:r>
              <w:rPr>
                <w:rFonts w:ascii="Times New Roman" w:hAnsi="Times New Roman"/>
                <w:sz w:val="24"/>
              </w:rPr>
              <w:t>155</w:t>
            </w:r>
          </w:p>
        </w:tc>
        <w:tc>
          <w:tcPr>
            <w:tcW w:w="8701" w:type="dxa"/>
          </w:tcPr>
          <w:p w:rsidR="00530BA1" w:rsidRPr="00392FFD" w:rsidRDefault="00530BA1" w:rsidP="00530BA1">
            <w:pPr>
              <w:spacing w:before="0" w:after="0"/>
              <w:ind w:left="33"/>
              <w:rPr>
                <w:rFonts w:ascii="Times New Roman" w:hAnsi="Times New Roman"/>
                <w:b/>
                <w:bCs/>
                <w:sz w:val="24"/>
                <w:u w:val="single"/>
              </w:rPr>
            </w:pPr>
            <w:r>
              <w:rPr>
                <w:rFonts w:ascii="Times New Roman" w:hAnsi="Times New Roman"/>
                <w:b/>
                <w:sz w:val="24"/>
                <w:u w:val="single"/>
              </w:rPr>
              <w:t>Egyéb államháztartási kitettségek az IRB módszer szerint</w:t>
            </w:r>
          </w:p>
          <w:p w:rsidR="00530BA1" w:rsidRPr="00392FFD" w:rsidRDefault="00530BA1" w:rsidP="00530BA1">
            <w:pPr>
              <w:spacing w:before="0" w:after="0"/>
              <w:ind w:left="33"/>
              <w:rPr>
                <w:rFonts w:ascii="Times New Roman" w:hAnsi="Times New Roman"/>
                <w:bCs/>
                <w:sz w:val="24"/>
              </w:rPr>
            </w:pPr>
          </w:p>
          <w:p w:rsidR="00530BA1" w:rsidRPr="00392FFD" w:rsidRDefault="00530BA1" w:rsidP="00530BA1">
            <w:pPr>
              <w:spacing w:before="0" w:after="0"/>
              <w:ind w:left="33"/>
              <w:rPr>
                <w:rFonts w:ascii="Times New Roman" w:hAnsi="Times New Roman"/>
                <w:bCs/>
                <w:sz w:val="24"/>
              </w:rPr>
            </w:pPr>
            <w:r>
              <w:rPr>
                <w:rFonts w:ascii="Times New Roman" w:hAnsi="Times New Roman"/>
                <w:sz w:val="24"/>
              </w:rPr>
              <w:t>A fenti 090–140 sorban szereplőktől eltérő államháztartási kitettségek, amelyeket a CRR 147. cikkével összhangban a szavatolótőke-követelmény kiszámítása céljából az IRB kitettségi osztályokba kell sorolni.</w:t>
            </w:r>
          </w:p>
          <w:p w:rsidR="00530BA1" w:rsidRPr="00392FFD" w:rsidRDefault="00530BA1"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Kitettségek a piaci kockázati módszer alapján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 piaci kockázati kitettségek olyan pozíciókra vonatkoznak, amelyek szavatolótőke-követelményét a CRR harmadik része IV. címének megfelelően számítják ki.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 CRR 271. cikkének hatálya alá tartozó azon közvetlen kitettségeket, amelyekre par</w:t>
            </w:r>
            <w:r>
              <w:rPr>
                <w:rFonts w:ascii="Times New Roman" w:hAnsi="Times New Roman"/>
                <w:sz w:val="24"/>
              </w:rPr>
              <w:t>t</w:t>
            </w:r>
            <w:r>
              <w:rPr>
                <w:rFonts w:ascii="Times New Roman" w:hAnsi="Times New Roman"/>
                <w:sz w:val="24"/>
              </w:rPr>
              <w:t>nerkockázati és piaci kockázati szavatolótőke-követelmény egyaránt vonatkozik, a h</w:t>
            </w:r>
            <w:r>
              <w:rPr>
                <w:rFonts w:ascii="Times New Roman" w:hAnsi="Times New Roman"/>
                <w:sz w:val="24"/>
              </w:rPr>
              <w:t>i</w:t>
            </w:r>
            <w:r>
              <w:rPr>
                <w:rFonts w:ascii="Times New Roman" w:hAnsi="Times New Roman"/>
                <w:sz w:val="24"/>
              </w:rPr>
              <w:t>telkockázati sorokban (020–155) és a piaci kockázati sorban (160) egyaránt meg kell adni: a partnerkockázatból származó kitettségértéket a hitelkockázati sorokban, míg a piaci kockázatból származó kitettségértéket a piaci kockázati sorban kell jelenteni.</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170-230</w:t>
            </w:r>
          </w:p>
        </w:tc>
        <w:tc>
          <w:tcPr>
            <w:tcW w:w="8701" w:type="dxa"/>
          </w:tcPr>
          <w:p w:rsidR="00FD54FC" w:rsidRPr="00392FFD" w:rsidRDefault="00FD54FC" w:rsidP="00FD54FC">
            <w:pPr>
              <w:spacing w:before="0" w:after="0"/>
              <w:ind w:left="33"/>
              <w:rPr>
                <w:rFonts w:ascii="Times New Roman" w:hAnsi="Times New Roman"/>
                <w:b/>
                <w:bCs/>
                <w:sz w:val="24"/>
              </w:rPr>
            </w:pPr>
            <w:r>
              <w:rPr>
                <w:rFonts w:ascii="Times New Roman" w:hAnsi="Times New Roman"/>
                <w:b/>
                <w:sz w:val="24"/>
              </w:rPr>
              <w:t>KITETTSÉGEK HÁTRALÉVŐ FUTAMIDŐ SZERINTI BONTÁSA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 hátralévő futamidő az összes pozíció esetében a szerződéses lejárati nap és az ada</w:t>
            </w:r>
            <w:r>
              <w:rPr>
                <w:rFonts w:ascii="Times New Roman" w:hAnsi="Times New Roman"/>
                <w:sz w:val="24"/>
              </w:rPr>
              <w:t>t</w:t>
            </w:r>
            <w:r>
              <w:rPr>
                <w:rFonts w:ascii="Times New Roman" w:hAnsi="Times New Roman"/>
                <w:sz w:val="24"/>
              </w:rPr>
              <w:t>szolgáltatási vonatkozási időpont közötti napok száma.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Az államháztartásokkal szembeni kitettségeket hátralévő futamidő szerinti bontásban a következő szegmensekbe kell sorolni:</w:t>
            </w:r>
          </w:p>
          <w:p w:rsidR="00FD54FC" w:rsidRPr="00392FFD" w:rsidRDefault="00FD54FC" w:rsidP="00FD54FC">
            <w:pPr>
              <w:spacing w:before="0" w:after="0"/>
              <w:ind w:left="33"/>
              <w:rPr>
                <w:rFonts w:ascii="Times New Roman" w:hAnsi="Times New Roman"/>
                <w:bCs/>
                <w:sz w:val="24"/>
              </w:rPr>
            </w:pP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[0 – 3HÓNAP [</w:t>
            </w:r>
            <w:r>
              <w:rPr>
                <w:rFonts w:ascii="Times New Roman" w:hAnsi="Times New Roman"/>
                <w:sz w:val="24"/>
              </w:rPr>
              <w:t>: 90 napnál kevesebb</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[ 3 HÓNAP – 1 ÉV [</w:t>
            </w:r>
            <w:r>
              <w:rPr>
                <w:rFonts w:ascii="Times New Roman" w:hAnsi="Times New Roman"/>
                <w:sz w:val="24"/>
              </w:rPr>
              <w:t>: 90 nap vagy több, de 365 napnál kevesebb</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[ 1 ÉV – 2 ÉV [</w:t>
            </w:r>
            <w:r>
              <w:rPr>
                <w:rFonts w:ascii="Times New Roman" w:hAnsi="Times New Roman"/>
                <w:sz w:val="24"/>
              </w:rPr>
              <w:t>: 365 nap vagy több, de 730 napnál kevesebb</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[ 2 ÉV – 3 ÉV [</w:t>
            </w:r>
            <w:r>
              <w:rPr>
                <w:rFonts w:ascii="Times New Roman" w:hAnsi="Times New Roman"/>
                <w:sz w:val="24"/>
              </w:rPr>
              <w:t>: 730 nap vagy több, de 1 095 napnál kevesebb</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[ 3 ÉV – 5 ÉV [</w:t>
            </w:r>
            <w:r>
              <w:rPr>
                <w:rFonts w:ascii="Times New Roman" w:hAnsi="Times New Roman"/>
                <w:sz w:val="24"/>
              </w:rPr>
              <w:t>: 1 095 nap vagy több, de 1 825 napnál kevesebb</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[ 5 ÉV – 10 ÉV [</w:t>
            </w:r>
            <w:r>
              <w:rPr>
                <w:rFonts w:ascii="Times New Roman" w:hAnsi="Times New Roman"/>
                <w:sz w:val="24"/>
              </w:rPr>
              <w:t>: 1 825 nap vagy több, de 3 650 napnál kevesebb</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[10 ÉV – hosszabb</w:t>
            </w:r>
            <w:r>
              <w:rPr>
                <w:rFonts w:ascii="Times New Roman" w:hAnsi="Times New Roman"/>
                <w:sz w:val="24"/>
              </w:rPr>
              <w:t>: 3</w:t>
            </w:r>
            <w:r w:rsidR="00F96D28">
              <w:rPr>
                <w:rFonts w:ascii="Times New Roman" w:hAnsi="Times New Roman"/>
                <w:sz w:val="24"/>
              </w:rPr>
              <w:t> 650 nap vagy több.</w:t>
            </w:r>
            <w:r>
              <w:rPr>
                <w:rFonts w:ascii="Times New Roman" w:hAnsi="Times New Roman"/>
                <w:sz w:val="24"/>
              </w:rPr>
              <w:t xml:space="preserve"> </w:t>
            </w:r>
          </w:p>
          <w:p w:rsidR="00FD54FC" w:rsidRPr="00392FFD" w:rsidRDefault="00FD54FC" w:rsidP="00FD54FC">
            <w:pPr>
              <w:spacing w:before="0" w:after="0"/>
              <w:ind w:left="33"/>
              <w:rPr>
                <w:rFonts w:ascii="Times New Roman" w:hAnsi="Times New Roman"/>
                <w:bCs/>
                <w:sz w:val="24"/>
              </w:rPr>
            </w:pPr>
          </w:p>
        </w:tc>
      </w:tr>
    </w:tbl>
    <w:p w:rsidR="00FD54FC" w:rsidRPr="00392FFD" w:rsidRDefault="00F96D28" w:rsidP="006452A4">
      <w:pPr>
        <w:spacing w:after="0"/>
        <w:rPr>
          <w:rStyle w:val="InstructionsTabelleText"/>
          <w:rFonts w:ascii="Times New Roman" w:hAnsi="Times New Roman"/>
          <w:sz w:val="24"/>
        </w:rPr>
      </w:pPr>
      <w:r>
        <w:rPr>
          <w:rStyle w:val="InstructionsTabelleText"/>
          <w:rFonts w:ascii="Times New Roman" w:hAnsi="Times New Roman"/>
          <w:sz w:val="24"/>
        </w:rPr>
        <w:t>"</w:t>
      </w:r>
    </w:p>
    <w:sectPr w:rsidR="00FD54FC" w:rsidRPr="00392FFD" w:rsidSect="00B51F42">
      <w:footerReference w:type="even" r:id="rId14"/>
      <w:footerReference w:type="default" r:id="rId15"/>
      <w:head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EB8" w:rsidRDefault="00602EB8" w:rsidP="00D946DB">
      <w:pPr>
        <w:spacing w:before="0" w:after="0"/>
      </w:pPr>
      <w:r>
        <w:separator/>
      </w:r>
    </w:p>
  </w:endnote>
  <w:endnote w:type="continuationSeparator" w:id="0">
    <w:p w:rsidR="00602EB8" w:rsidRDefault="00602EB8" w:rsidP="00D946DB">
      <w:pPr>
        <w:spacing w:before="0" w:after="0"/>
      </w:pPr>
      <w:r>
        <w:continuationSeparator/>
      </w:r>
    </w:p>
  </w:endnote>
  <w:endnote w:type="continuationNotice" w:id="1">
    <w:p w:rsidR="00602EB8" w:rsidRDefault="00602EB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498" w:rsidRPr="00ED1956" w:rsidRDefault="003E7498">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406A85">
      <w:rPr>
        <w:rFonts w:ascii="Times New Roman" w:hAnsi="Times New Roman"/>
        <w:noProof/>
        <w:sz w:val="22"/>
        <w:szCs w:val="22"/>
      </w:rPr>
      <w:t>7</w:t>
    </w:r>
    <w:r w:rsidRPr="00ED1956">
      <w:rPr>
        <w:rFonts w:ascii="Times New Roman" w:hAnsi="Times New Roman"/>
        <w:sz w:val="22"/>
        <w:szCs w:val="22"/>
      </w:rPr>
      <w:fldChar w:fldCharType="end"/>
    </w:r>
  </w:p>
  <w:p w:rsidR="003E7498" w:rsidRDefault="003E74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498" w:rsidRPr="00E85358" w:rsidRDefault="003E7498">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406A85">
      <w:rPr>
        <w:noProof/>
        <w:sz w:val="22"/>
        <w:szCs w:val="22"/>
      </w:rPr>
      <w:t>1</w:t>
    </w:r>
    <w:r w:rsidRPr="00E85358">
      <w:rPr>
        <w:noProof/>
        <w:sz w:val="22"/>
        <w:szCs w:val="22"/>
      </w:rPr>
      <w:fldChar w:fldCharType="end"/>
    </w:r>
  </w:p>
  <w:p w:rsidR="003E7498" w:rsidRDefault="003E749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498" w:rsidRDefault="003E7498">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3E7498" w:rsidRDefault="003E7498">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498" w:rsidRPr="00ED1956" w:rsidRDefault="003E7498">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D530A">
      <w:rPr>
        <w:rFonts w:ascii="Times New Roman" w:hAnsi="Times New Roman"/>
        <w:noProof/>
        <w:sz w:val="20"/>
        <w:szCs w:val="20"/>
      </w:rPr>
      <w:t>39</w:t>
    </w:r>
    <w:r w:rsidRPr="00ED1956">
      <w:rPr>
        <w:rFonts w:ascii="Times New Roman" w:hAnsi="Times New Roman"/>
        <w:sz w:val="20"/>
        <w:szCs w:val="20"/>
      </w:rPr>
      <w:fldChar w:fldCharType="end"/>
    </w:r>
  </w:p>
  <w:p w:rsidR="003E7498" w:rsidRPr="00A772B4" w:rsidRDefault="003E7498"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EB8" w:rsidRDefault="00602EB8" w:rsidP="00D946DB">
      <w:pPr>
        <w:spacing w:before="0" w:after="0"/>
      </w:pPr>
      <w:r>
        <w:separator/>
      </w:r>
    </w:p>
  </w:footnote>
  <w:footnote w:type="continuationSeparator" w:id="0">
    <w:p w:rsidR="00602EB8" w:rsidRDefault="00602EB8" w:rsidP="00D946DB">
      <w:pPr>
        <w:spacing w:before="0" w:after="0"/>
      </w:pPr>
      <w:r>
        <w:continuationSeparator/>
      </w:r>
    </w:p>
  </w:footnote>
  <w:footnote w:type="continuationNotice" w:id="1">
    <w:p w:rsidR="00602EB8" w:rsidRDefault="00602EB8">
      <w:pPr>
        <w:spacing w:before="0" w:after="0"/>
      </w:pPr>
    </w:p>
  </w:footnote>
  <w:footnote w:id="2">
    <w:p w:rsidR="003E7498" w:rsidRPr="0017440D" w:rsidRDefault="003E7498"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Az e táblán az intézményektől kért adatokat az adatszolgáltatás szerinti naptári évre vonatkozóan összesítve kell megadni (a folyó év január 1-jétől).</w:t>
      </w:r>
    </w:p>
  </w:footnote>
  <w:footnote w:id="3">
    <w:p w:rsidR="003E7498" w:rsidRPr="0017440D" w:rsidRDefault="003E7498"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Az önálló intézmények nem tartoznak csoporthoz, és nem tartoznak konszolidációs körbe abban az országban, ahol szavatolótőke-követelmény hatálya alá esnek.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498" w:rsidRDefault="003E74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498" w:rsidRDefault="003E7498">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2F7D7F02"/>
    <w:multiLevelType w:val="multilevel"/>
    <w:tmpl w:val="0407001D"/>
    <w:numStyleLink w:val="Formatvorlage3"/>
  </w:abstractNum>
  <w:abstractNum w:abstractNumId="9">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1ED1"/>
    <w:rsid w:val="000326C1"/>
    <w:rsid w:val="00033B7C"/>
    <w:rsid w:val="00033C55"/>
    <w:rsid w:val="00034834"/>
    <w:rsid w:val="000359E1"/>
    <w:rsid w:val="000364CE"/>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30"/>
    <w:rsid w:val="00071341"/>
    <w:rsid w:val="000716F4"/>
    <w:rsid w:val="000758FE"/>
    <w:rsid w:val="00076091"/>
    <w:rsid w:val="00076880"/>
    <w:rsid w:val="00077515"/>
    <w:rsid w:val="00077C5F"/>
    <w:rsid w:val="0008111C"/>
    <w:rsid w:val="00082265"/>
    <w:rsid w:val="000828C6"/>
    <w:rsid w:val="000843B3"/>
    <w:rsid w:val="00084A4D"/>
    <w:rsid w:val="000858A9"/>
    <w:rsid w:val="000873FA"/>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DF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BF4"/>
    <w:rsid w:val="00290CAD"/>
    <w:rsid w:val="002917CA"/>
    <w:rsid w:val="002920FF"/>
    <w:rsid w:val="00292409"/>
    <w:rsid w:val="00292A20"/>
    <w:rsid w:val="00295225"/>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B6A20"/>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16D74"/>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F3E"/>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3876"/>
    <w:rsid w:val="003E4EF2"/>
    <w:rsid w:val="003E5145"/>
    <w:rsid w:val="003E52DA"/>
    <w:rsid w:val="003E7498"/>
    <w:rsid w:val="003F05A0"/>
    <w:rsid w:val="003F1103"/>
    <w:rsid w:val="003F15BB"/>
    <w:rsid w:val="003F17BB"/>
    <w:rsid w:val="003F3523"/>
    <w:rsid w:val="00401111"/>
    <w:rsid w:val="0040521E"/>
    <w:rsid w:val="00405C0A"/>
    <w:rsid w:val="00406A85"/>
    <w:rsid w:val="00407110"/>
    <w:rsid w:val="00407936"/>
    <w:rsid w:val="00410796"/>
    <w:rsid w:val="004120DF"/>
    <w:rsid w:val="004129D0"/>
    <w:rsid w:val="00412D44"/>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EB8"/>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57AC4"/>
    <w:rsid w:val="0066173C"/>
    <w:rsid w:val="0066186C"/>
    <w:rsid w:val="00662545"/>
    <w:rsid w:val="006646B6"/>
    <w:rsid w:val="006660B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13DE"/>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5255"/>
    <w:rsid w:val="00807B7D"/>
    <w:rsid w:val="00810F87"/>
    <w:rsid w:val="0081176B"/>
    <w:rsid w:val="00812582"/>
    <w:rsid w:val="008136B4"/>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3CEF"/>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0A"/>
    <w:rsid w:val="008D53B8"/>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11E"/>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B3E"/>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75"/>
    <w:rsid w:val="00F620A2"/>
    <w:rsid w:val="00F63080"/>
    <w:rsid w:val="00F63BA7"/>
    <w:rsid w:val="00F65282"/>
    <w:rsid w:val="00F66294"/>
    <w:rsid w:val="00F66592"/>
    <w:rsid w:val="00F66830"/>
    <w:rsid w:val="00F67634"/>
    <w:rsid w:val="00F71DF2"/>
    <w:rsid w:val="00F73674"/>
    <w:rsid w:val="00F75FD2"/>
    <w:rsid w:val="00F777C7"/>
    <w:rsid w:val="00F800B6"/>
    <w:rsid w:val="00F8071F"/>
    <w:rsid w:val="00F811F8"/>
    <w:rsid w:val="00F84B2D"/>
    <w:rsid w:val="00F85D06"/>
    <w:rsid w:val="00F870AC"/>
    <w:rsid w:val="00F87E46"/>
    <w:rsid w:val="00F913DC"/>
    <w:rsid w:val="00F9145F"/>
    <w:rsid w:val="00F91E30"/>
    <w:rsid w:val="00F93400"/>
    <w:rsid w:val="00F93B5F"/>
    <w:rsid w:val="00F9591C"/>
    <w:rsid w:val="00F96D28"/>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CA1"/>
    <w:rsid w:val="00FE6995"/>
    <w:rsid w:val="00FE69AC"/>
    <w:rsid w:val="00FE6CFB"/>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hu-HU" w:eastAsia="hu-HU" w:bidi="hu-HU"/>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hu-HU"/>
    </w:rPr>
  </w:style>
  <w:style w:type="character" w:customStyle="1" w:styleId="Heading2Char">
    <w:name w:val="Heading 2 Char"/>
    <w:link w:val="Heading2"/>
    <w:uiPriority w:val="99"/>
    <w:locked/>
    <w:rsid w:val="00EC5046"/>
    <w:rPr>
      <w:rFonts w:ascii="Verdana" w:hAnsi="Verdana" w:cs="Times New Roman"/>
      <w:b/>
      <w:sz w:val="24"/>
      <w:szCs w:val="24"/>
      <w:u w:val="single"/>
      <w:lang w:val="hu-HU"/>
    </w:rPr>
  </w:style>
  <w:style w:type="character" w:customStyle="1" w:styleId="Heading3Char">
    <w:name w:val="Heading 3 Char"/>
    <w:uiPriority w:val="99"/>
    <w:locked/>
    <w:rsid w:val="00884FEB"/>
    <w:rPr>
      <w:rFonts w:cs="Times New Roman"/>
      <w:sz w:val="24"/>
      <w:szCs w:val="24"/>
      <w:lang w:val="hu-HU" w:eastAsia="hu-HU"/>
    </w:rPr>
  </w:style>
  <w:style w:type="character" w:customStyle="1" w:styleId="Heading4Char">
    <w:name w:val="Heading 4 Char"/>
    <w:link w:val="Heading4"/>
    <w:uiPriority w:val="99"/>
    <w:locked/>
    <w:rsid w:val="00DE0962"/>
    <w:rPr>
      <w:rFonts w:ascii="Verdana" w:eastAsia="Times New Roman" w:hAnsi="Verdana"/>
      <w:b/>
      <w:szCs w:val="24"/>
      <w:u w:val="single"/>
      <w:lang w:eastAsia="hu-HU" w:bidi="hu-HU"/>
    </w:rPr>
  </w:style>
  <w:style w:type="character" w:customStyle="1" w:styleId="Heading5Char">
    <w:name w:val="Heading 5 Char"/>
    <w:link w:val="Heading5"/>
    <w:uiPriority w:val="1"/>
    <w:locked/>
    <w:rsid w:val="001E5A75"/>
    <w:rPr>
      <w:rFonts w:ascii="Arial" w:hAnsi="Arial" w:cs="Times New Roman"/>
      <w:b/>
      <w:i/>
      <w:sz w:val="20"/>
      <w:szCs w:val="20"/>
      <w:lang w:eastAsia="hu-HU"/>
    </w:rPr>
  </w:style>
  <w:style w:type="character" w:customStyle="1" w:styleId="Heading6Char">
    <w:name w:val="Heading 6 Char"/>
    <w:link w:val="Heading6"/>
    <w:semiHidden/>
    <w:locked/>
    <w:rsid w:val="001E5A75"/>
    <w:rPr>
      <w:rFonts w:ascii="Times New Roman" w:hAnsi="Times New Roman" w:cs="Times New Roman"/>
      <w:b/>
      <w:bCs/>
      <w:lang w:eastAsia="hu-HU"/>
    </w:rPr>
  </w:style>
  <w:style w:type="character" w:customStyle="1" w:styleId="Heading7Char">
    <w:name w:val="Heading 7 Char"/>
    <w:link w:val="Heading7"/>
    <w:semiHidden/>
    <w:locked/>
    <w:rsid w:val="001E5A75"/>
    <w:rPr>
      <w:rFonts w:ascii="Times New Roman" w:hAnsi="Times New Roman" w:cs="Times New Roman"/>
      <w:sz w:val="20"/>
      <w:szCs w:val="20"/>
      <w:lang w:eastAsia="hu-HU"/>
    </w:rPr>
  </w:style>
  <w:style w:type="character" w:customStyle="1" w:styleId="Heading8Char">
    <w:name w:val="Heading 8 Char"/>
    <w:link w:val="Heading8"/>
    <w:semiHidden/>
    <w:locked/>
    <w:rsid w:val="001E5A75"/>
    <w:rPr>
      <w:rFonts w:ascii="Times New Roman" w:hAnsi="Times New Roman" w:cs="Times New Roman"/>
      <w:i/>
      <w:iCs/>
      <w:sz w:val="20"/>
      <w:szCs w:val="20"/>
      <w:lang w:eastAsia="hu-HU"/>
    </w:rPr>
  </w:style>
  <w:style w:type="character" w:customStyle="1" w:styleId="Heading9Char">
    <w:name w:val="Heading 9 Char"/>
    <w:link w:val="Heading9"/>
    <w:semiHidden/>
    <w:locked/>
    <w:rsid w:val="001E5A75"/>
    <w:rPr>
      <w:rFonts w:ascii="Arial" w:hAnsi="Arial" w:cs="Arial"/>
      <w:lang w:eastAsia="hu-HU"/>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hu-HU"/>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hu-HU"/>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hu-HU"/>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hu-HU"/>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hu-HU"/>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hu-HU"/>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hu-HU"/>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hu-HU"/>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u-HU"/>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hu-HU" w:bidi="hu-HU"/>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hu-HU" w:bidi="hu-HU"/>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hu-HU" w:bidi="hu-HU"/>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hu-HU" w:eastAsia="hu-HU"/>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hu-HU" w:bidi="hu-HU"/>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u-HU" w:eastAsia="hu-HU" w:bidi="hu-HU"/>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hu-HU"/>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hu-HU"/>
    </w:rPr>
  </w:style>
  <w:style w:type="character" w:customStyle="1" w:styleId="NumPar1Char">
    <w:name w:val="NumPar 1 Char"/>
    <w:link w:val="NumPar1"/>
    <w:uiPriority w:val="99"/>
    <w:locked/>
    <w:rsid w:val="00D34F75"/>
    <w:rPr>
      <w:rFonts w:cs="Times New Roman"/>
      <w:sz w:val="24"/>
      <w:szCs w:val="24"/>
      <w:lang w:val="hu-HU" w:eastAsia="hu-HU"/>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hu-HU" w:eastAsia="hu-HU"/>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u-HU" w:eastAsia="hu-HU"/>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hu-HU" w:eastAsia="hu-HU" w:bidi="hu-HU"/>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hu-HU"/>
    </w:rPr>
  </w:style>
  <w:style w:type="character" w:customStyle="1" w:styleId="Heading2Char">
    <w:name w:val="Heading 2 Char"/>
    <w:link w:val="Heading2"/>
    <w:uiPriority w:val="99"/>
    <w:locked/>
    <w:rsid w:val="00EC5046"/>
    <w:rPr>
      <w:rFonts w:ascii="Verdana" w:hAnsi="Verdana" w:cs="Times New Roman"/>
      <w:b/>
      <w:sz w:val="24"/>
      <w:szCs w:val="24"/>
      <w:u w:val="single"/>
      <w:lang w:val="hu-HU"/>
    </w:rPr>
  </w:style>
  <w:style w:type="character" w:customStyle="1" w:styleId="Heading3Char">
    <w:name w:val="Heading 3 Char"/>
    <w:uiPriority w:val="99"/>
    <w:locked/>
    <w:rsid w:val="00884FEB"/>
    <w:rPr>
      <w:rFonts w:cs="Times New Roman"/>
      <w:sz w:val="24"/>
      <w:szCs w:val="24"/>
      <w:lang w:val="hu-HU" w:eastAsia="hu-HU"/>
    </w:rPr>
  </w:style>
  <w:style w:type="character" w:customStyle="1" w:styleId="Heading4Char">
    <w:name w:val="Heading 4 Char"/>
    <w:link w:val="Heading4"/>
    <w:uiPriority w:val="99"/>
    <w:locked/>
    <w:rsid w:val="00DE0962"/>
    <w:rPr>
      <w:rFonts w:ascii="Verdana" w:eastAsia="Times New Roman" w:hAnsi="Verdana"/>
      <w:b/>
      <w:szCs w:val="24"/>
      <w:u w:val="single"/>
      <w:lang w:eastAsia="hu-HU" w:bidi="hu-HU"/>
    </w:rPr>
  </w:style>
  <w:style w:type="character" w:customStyle="1" w:styleId="Heading5Char">
    <w:name w:val="Heading 5 Char"/>
    <w:link w:val="Heading5"/>
    <w:uiPriority w:val="1"/>
    <w:locked/>
    <w:rsid w:val="001E5A75"/>
    <w:rPr>
      <w:rFonts w:ascii="Arial" w:hAnsi="Arial" w:cs="Times New Roman"/>
      <w:b/>
      <w:i/>
      <w:sz w:val="20"/>
      <w:szCs w:val="20"/>
      <w:lang w:eastAsia="hu-HU"/>
    </w:rPr>
  </w:style>
  <w:style w:type="character" w:customStyle="1" w:styleId="Heading6Char">
    <w:name w:val="Heading 6 Char"/>
    <w:link w:val="Heading6"/>
    <w:semiHidden/>
    <w:locked/>
    <w:rsid w:val="001E5A75"/>
    <w:rPr>
      <w:rFonts w:ascii="Times New Roman" w:hAnsi="Times New Roman" w:cs="Times New Roman"/>
      <w:b/>
      <w:bCs/>
      <w:lang w:eastAsia="hu-HU"/>
    </w:rPr>
  </w:style>
  <w:style w:type="character" w:customStyle="1" w:styleId="Heading7Char">
    <w:name w:val="Heading 7 Char"/>
    <w:link w:val="Heading7"/>
    <w:semiHidden/>
    <w:locked/>
    <w:rsid w:val="001E5A75"/>
    <w:rPr>
      <w:rFonts w:ascii="Times New Roman" w:hAnsi="Times New Roman" w:cs="Times New Roman"/>
      <w:sz w:val="20"/>
      <w:szCs w:val="20"/>
      <w:lang w:eastAsia="hu-HU"/>
    </w:rPr>
  </w:style>
  <w:style w:type="character" w:customStyle="1" w:styleId="Heading8Char">
    <w:name w:val="Heading 8 Char"/>
    <w:link w:val="Heading8"/>
    <w:semiHidden/>
    <w:locked/>
    <w:rsid w:val="001E5A75"/>
    <w:rPr>
      <w:rFonts w:ascii="Times New Roman" w:hAnsi="Times New Roman" w:cs="Times New Roman"/>
      <w:i/>
      <w:iCs/>
      <w:sz w:val="20"/>
      <w:szCs w:val="20"/>
      <w:lang w:eastAsia="hu-HU"/>
    </w:rPr>
  </w:style>
  <w:style w:type="character" w:customStyle="1" w:styleId="Heading9Char">
    <w:name w:val="Heading 9 Char"/>
    <w:link w:val="Heading9"/>
    <w:semiHidden/>
    <w:locked/>
    <w:rsid w:val="001E5A75"/>
    <w:rPr>
      <w:rFonts w:ascii="Arial" w:hAnsi="Arial" w:cs="Arial"/>
      <w:lang w:eastAsia="hu-HU"/>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hu-HU"/>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hu-HU"/>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hu-HU"/>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hu-HU"/>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hu-HU"/>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hu-HU"/>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hu-HU"/>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hu-HU"/>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u-HU"/>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hu-HU" w:bidi="hu-HU"/>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hu-HU" w:bidi="hu-HU"/>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hu-HU" w:bidi="hu-HU"/>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hu-HU" w:eastAsia="hu-HU"/>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hu-HU" w:bidi="hu-HU"/>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u-HU" w:eastAsia="hu-HU" w:bidi="hu-HU"/>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hu-HU"/>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hu-HU"/>
    </w:rPr>
  </w:style>
  <w:style w:type="character" w:customStyle="1" w:styleId="NumPar1Char">
    <w:name w:val="NumPar 1 Char"/>
    <w:link w:val="NumPar1"/>
    <w:uiPriority w:val="99"/>
    <w:locked/>
    <w:rsid w:val="00D34F75"/>
    <w:rPr>
      <w:rFonts w:cs="Times New Roman"/>
      <w:sz w:val="24"/>
      <w:szCs w:val="24"/>
      <w:lang w:val="hu-HU" w:eastAsia="hu-HU"/>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hu-HU" w:eastAsia="hu-HU"/>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u-HU" w:eastAsia="hu-HU"/>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9C1556-9745-49CF-944D-C893B3087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239</Pages>
  <Words>80733</Words>
  <Characters>460181</Characters>
  <Application>Microsoft Office Word</Application>
  <DocSecurity>0</DocSecurity>
  <Lines>3834</Lines>
  <Paragraphs>1079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539835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VAMOSI Krisztian (DGT)</cp:lastModifiedBy>
  <cp:revision>19</cp:revision>
  <cp:lastPrinted>2018-06-07T11:13:00Z</cp:lastPrinted>
  <dcterms:created xsi:type="dcterms:W3CDTF">2018-06-28T09:52:00Z</dcterms:created>
  <dcterms:modified xsi:type="dcterms:W3CDTF">2018-09-07T13:53:00Z</dcterms:modified>
</cp:coreProperties>
</file>