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E9" w:rsidRPr="00E83F90" w:rsidRDefault="009502E9"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BG</w:t>
      </w:r>
    </w:p>
    <w:p w:rsidR="00FF3ED5" w:rsidRDefault="00FF3ED5" w:rsidP="00A33695">
      <w:pPr>
        <w:jc w:val="center"/>
        <w:rPr>
          <w:rFonts w:ascii="Times New Roman" w:hAnsi="Times New Roman"/>
          <w:b/>
          <w:sz w:val="24"/>
        </w:rPr>
      </w:pPr>
      <w:r>
        <w:rPr>
          <w:rFonts w:ascii="Times New Roman" w:hAnsi="Times New Roman"/>
          <w:b/>
          <w:sz w:val="24"/>
        </w:rPr>
        <w:t>ПРИЛОЖЕНИЕ IV</w:t>
      </w:r>
    </w:p>
    <w:p w:rsidR="008F53AF" w:rsidRPr="00E83F90" w:rsidRDefault="008F53AF" w:rsidP="00A33695">
      <w:pPr>
        <w:jc w:val="center"/>
        <w:rPr>
          <w:rFonts w:ascii="Times New Roman" w:hAnsi="Times New Roman"/>
          <w:b/>
          <w:sz w:val="24"/>
        </w:rPr>
      </w:pPr>
    </w:p>
    <w:p w:rsidR="00C87CEE" w:rsidRPr="00C81874" w:rsidRDefault="00EE5824" w:rsidP="00A33695">
      <w:pPr>
        <w:jc w:val="center"/>
        <w:rPr>
          <w:rFonts w:ascii="Times New Roman" w:hAnsi="Times New Roman"/>
          <w:b/>
          <w:sz w:val="24"/>
          <w:u w:val="single"/>
        </w:rPr>
      </w:pPr>
      <w:r w:rsidRPr="00EE5824">
        <w:rPr>
          <w:rFonts w:ascii="Times New Roman" w:hAnsi="Times New Roman"/>
          <w:b/>
          <w:sz w:val="24"/>
          <w:u w:val="single"/>
        </w:rPr>
        <w:t>„</w:t>
      </w:r>
      <w:r w:rsidR="00530C90">
        <w:rPr>
          <w:rFonts w:ascii="Times New Roman" w:hAnsi="Times New Roman"/>
          <w:b/>
          <w:sz w:val="24"/>
          <w:u w:val="single"/>
        </w:rPr>
        <w:t>ПРИЛОЖЕНИЕ IX</w:t>
      </w:r>
    </w:p>
    <w:p w:rsidR="00DD58A5" w:rsidRDefault="00F41B3A" w:rsidP="00C87CEE">
      <w:pPr>
        <w:jc w:val="center"/>
        <w:rPr>
          <w:rFonts w:ascii="Times New Roman" w:hAnsi="Times New Roman"/>
          <w:b/>
          <w:sz w:val="24"/>
        </w:rPr>
      </w:pPr>
      <w:r>
        <w:rPr>
          <w:rFonts w:ascii="Times New Roman" w:hAnsi="Times New Roman"/>
          <w:b/>
          <w:sz w:val="24"/>
        </w:rPr>
        <w:t xml:space="preserve">УКАЗАНИЯ ЗА ДОКЛАДВАНЕ НА ГОЛЕМИТЕ ЕКСПОЗИЦИИ И </w:t>
      </w:r>
    </w:p>
    <w:p w:rsidR="00C87CEE" w:rsidRPr="00EF13C2" w:rsidRDefault="00F41B3A" w:rsidP="00C87CEE">
      <w:pPr>
        <w:jc w:val="center"/>
        <w:rPr>
          <w:rFonts w:ascii="Times New Roman" w:hAnsi="Times New Roman"/>
          <w:b/>
          <w:sz w:val="24"/>
        </w:rPr>
      </w:pPr>
      <w:r>
        <w:rPr>
          <w:rFonts w:ascii="Times New Roman" w:hAnsi="Times New Roman"/>
          <w:b/>
          <w:sz w:val="24"/>
        </w:rPr>
        <w:t>РИСКА ОТ КОНЦЕНТРАЦИЯ</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Съдържание</w:t>
      </w:r>
    </w:p>
    <w:p w:rsidR="00746247" w:rsidRDefault="00383220" w:rsidP="00AD7D63">
      <w:pPr>
        <w:pStyle w:val="TOC2"/>
        <w:rPr>
          <w:rFonts w:asciiTheme="minorHAnsi" w:eastAsiaTheme="minorEastAsia" w:hAnsiTheme="minorHAnsi" w:cstheme="minorBidi"/>
          <w:sz w:val="22"/>
          <w:lang w:val="en-GB" w:eastAsia="en-GB" w:bidi="ar-SA"/>
        </w:rPr>
      </w:pPr>
      <w:r w:rsidRPr="00384ADB">
        <w:rPr>
          <w:rFonts w:ascii="Times New Roman" w:hAnsi="Times New Roman"/>
          <w:noProof w:val="0"/>
          <w:sz w:val="24"/>
          <w:szCs w:val="24"/>
        </w:rPr>
        <w:fldChar w:fldCharType="begin"/>
      </w:r>
      <w:r w:rsidR="003105C6" w:rsidRPr="00384ADB">
        <w:rPr>
          <w:rFonts w:ascii="Times New Roman" w:hAnsi="Times New Roman"/>
          <w:noProof w:val="0"/>
          <w:sz w:val="24"/>
          <w:szCs w:val="24"/>
        </w:rPr>
        <w:instrText xml:space="preserve"> TOC \o "1-3" \h \z \u </w:instrText>
      </w:r>
      <w:r w:rsidRPr="00384ADB">
        <w:rPr>
          <w:rFonts w:ascii="Times New Roman" w:hAnsi="Times New Roman"/>
          <w:noProof w:val="0"/>
          <w:sz w:val="24"/>
          <w:szCs w:val="24"/>
        </w:rPr>
        <w:fldChar w:fldCharType="separate"/>
      </w:r>
      <w:hyperlink w:anchor="_Toc524032651" w:history="1">
        <w:r w:rsidR="00746247" w:rsidRPr="00CA07D1">
          <w:rPr>
            <w:rStyle w:val="Hyperlink"/>
            <w:rFonts w:ascii="Times New Roman" w:hAnsi="Times New Roman"/>
          </w:rPr>
          <w:t>ЧАСТ I: ОБЩИ УКАЗАНИЯ</w:t>
        </w:r>
        <w:r w:rsidR="00746247">
          <w:rPr>
            <w:webHidden/>
          </w:rPr>
          <w:tab/>
        </w:r>
        <w:r w:rsidR="00746247">
          <w:rPr>
            <w:webHidden/>
          </w:rPr>
          <w:fldChar w:fldCharType="begin"/>
        </w:r>
        <w:r w:rsidR="00746247">
          <w:rPr>
            <w:webHidden/>
          </w:rPr>
          <w:instrText xml:space="preserve"> PAGEREF _Toc524032651 \h </w:instrText>
        </w:r>
        <w:r w:rsidR="00746247">
          <w:rPr>
            <w:webHidden/>
          </w:rPr>
        </w:r>
        <w:r w:rsidR="00746247">
          <w:rPr>
            <w:webHidden/>
          </w:rPr>
          <w:fldChar w:fldCharType="separate"/>
        </w:r>
        <w:r w:rsidR="00AD7D63">
          <w:rPr>
            <w:webHidden/>
          </w:rPr>
          <w:t>2</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2" w:history="1">
        <w:r w:rsidR="00746247" w:rsidRPr="00CA07D1">
          <w:rPr>
            <w:rStyle w:val="Hyperlink"/>
            <w:rFonts w:ascii="Times New Roman" w:hAnsi="Times New Roman"/>
          </w:rPr>
          <w:t>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Структура и възприети практики</w:t>
        </w:r>
        <w:r w:rsidR="00746247">
          <w:rPr>
            <w:webHidden/>
          </w:rPr>
          <w:tab/>
        </w:r>
        <w:r w:rsidR="00746247">
          <w:rPr>
            <w:webHidden/>
          </w:rPr>
          <w:fldChar w:fldCharType="begin"/>
        </w:r>
        <w:r w:rsidR="00746247">
          <w:rPr>
            <w:webHidden/>
          </w:rPr>
          <w:instrText xml:space="preserve"> PAGEREF _Toc524032652 \h </w:instrText>
        </w:r>
        <w:r w:rsidR="00746247">
          <w:rPr>
            <w:webHidden/>
          </w:rPr>
        </w:r>
        <w:r w:rsidR="00746247">
          <w:rPr>
            <w:webHidden/>
          </w:rPr>
          <w:fldChar w:fldCharType="separate"/>
        </w:r>
        <w:r>
          <w:rPr>
            <w:webHidden/>
          </w:rPr>
          <w:t>2</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3" w:history="1">
        <w:r w:rsidR="00746247" w:rsidRPr="00CA07D1">
          <w:rPr>
            <w:rStyle w:val="Hyperlink"/>
          </w:rPr>
          <w:t>2.</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Съкращения</w:t>
        </w:r>
        <w:r w:rsidR="00746247">
          <w:rPr>
            <w:webHidden/>
          </w:rPr>
          <w:tab/>
        </w:r>
        <w:r w:rsidR="00746247">
          <w:rPr>
            <w:webHidden/>
          </w:rPr>
          <w:fldChar w:fldCharType="begin"/>
        </w:r>
        <w:r w:rsidR="00746247">
          <w:rPr>
            <w:webHidden/>
          </w:rPr>
          <w:instrText xml:space="preserve"> PAGEREF _Toc524032653 \h </w:instrText>
        </w:r>
        <w:r w:rsidR="00746247">
          <w:rPr>
            <w:webHidden/>
          </w:rPr>
        </w:r>
        <w:r w:rsidR="00746247">
          <w:rPr>
            <w:webHidden/>
          </w:rPr>
          <w:fldChar w:fldCharType="separate"/>
        </w:r>
        <w:r>
          <w:rPr>
            <w:webHidden/>
          </w:rPr>
          <w:t>2</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4" w:history="1">
        <w:r w:rsidR="00746247" w:rsidRPr="00CA07D1">
          <w:rPr>
            <w:rStyle w:val="Hyperlink"/>
            <w:rFonts w:ascii="Times New Roman" w:hAnsi="Times New Roman"/>
          </w:rPr>
          <w:t>ЧАСТ II: УКАЗАНИЯ ЗА ОБРАЗЦИТЕ</w:t>
        </w:r>
        <w:r w:rsidR="00746247">
          <w:rPr>
            <w:webHidden/>
          </w:rPr>
          <w:tab/>
        </w:r>
        <w:r w:rsidR="00746247">
          <w:rPr>
            <w:webHidden/>
          </w:rPr>
          <w:fldChar w:fldCharType="begin"/>
        </w:r>
        <w:r w:rsidR="00746247">
          <w:rPr>
            <w:webHidden/>
          </w:rPr>
          <w:instrText xml:space="preserve"> PAGEREF _Toc524032654 \h </w:instrText>
        </w:r>
        <w:r w:rsidR="00746247">
          <w:rPr>
            <w:webHidden/>
          </w:rPr>
        </w:r>
        <w:r w:rsidR="00746247">
          <w:rPr>
            <w:webHidden/>
          </w:rPr>
          <w:fldChar w:fldCharType="separate"/>
        </w:r>
        <w:r>
          <w:rPr>
            <w:webHidden/>
          </w:rPr>
          <w:t>3</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5" w:history="1">
        <w:r w:rsidR="00746247" w:rsidRPr="00CA07D1">
          <w:rPr>
            <w:rStyle w:val="Hyperlink"/>
            <w:rFonts w:ascii="Times New Roman" w:hAnsi="Times New Roman"/>
          </w:rPr>
          <w:t>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Обхват и степен на докладване на ГЕ</w:t>
        </w:r>
        <w:r w:rsidR="00746247">
          <w:rPr>
            <w:webHidden/>
          </w:rPr>
          <w:tab/>
        </w:r>
        <w:r w:rsidR="00746247">
          <w:rPr>
            <w:webHidden/>
          </w:rPr>
          <w:fldChar w:fldCharType="begin"/>
        </w:r>
        <w:r w:rsidR="00746247">
          <w:rPr>
            <w:webHidden/>
          </w:rPr>
          <w:instrText xml:space="preserve"> PAGEREF _Toc524032655 \h </w:instrText>
        </w:r>
        <w:r w:rsidR="00746247">
          <w:rPr>
            <w:webHidden/>
          </w:rPr>
        </w:r>
        <w:r w:rsidR="00746247">
          <w:rPr>
            <w:webHidden/>
          </w:rPr>
          <w:fldChar w:fldCharType="separate"/>
        </w:r>
        <w:r>
          <w:rPr>
            <w:webHidden/>
          </w:rPr>
          <w:t>3</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6" w:history="1">
        <w:r w:rsidR="00746247" w:rsidRPr="00CA07D1">
          <w:rPr>
            <w:rStyle w:val="Hyperlink"/>
            <w:rFonts w:ascii="Times New Roman" w:hAnsi="Times New Roman"/>
          </w:rPr>
          <w:t>2.</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Структура на образеца за ГЕ</w:t>
        </w:r>
        <w:r w:rsidR="00746247">
          <w:rPr>
            <w:webHidden/>
          </w:rPr>
          <w:tab/>
        </w:r>
        <w:r w:rsidR="00746247">
          <w:rPr>
            <w:webHidden/>
          </w:rPr>
          <w:fldChar w:fldCharType="begin"/>
        </w:r>
        <w:r w:rsidR="00746247">
          <w:rPr>
            <w:webHidden/>
          </w:rPr>
          <w:instrText xml:space="preserve"> PAGEREF _Toc524032656 \h </w:instrText>
        </w:r>
        <w:r w:rsidR="00746247">
          <w:rPr>
            <w:webHidden/>
          </w:rPr>
        </w:r>
        <w:r w:rsidR="00746247">
          <w:rPr>
            <w:webHidden/>
          </w:rPr>
          <w:fldChar w:fldCharType="separate"/>
        </w:r>
        <w:r>
          <w:rPr>
            <w:webHidden/>
          </w:rPr>
          <w:t>4</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7" w:history="1">
        <w:r w:rsidR="00746247" w:rsidRPr="00CA07D1">
          <w:rPr>
            <w:rStyle w:val="Hyperlink"/>
            <w:rFonts w:ascii="Times New Roman" w:eastAsia="Arial" w:hAnsi="Times New Roman"/>
          </w:rPr>
          <w:t>3.</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Определения и общи указания за целите на докладването на ГЕ</w:t>
        </w:r>
        <w:r w:rsidR="00746247">
          <w:rPr>
            <w:webHidden/>
          </w:rPr>
          <w:tab/>
        </w:r>
        <w:r w:rsidR="00746247">
          <w:rPr>
            <w:webHidden/>
          </w:rPr>
          <w:fldChar w:fldCharType="begin"/>
        </w:r>
        <w:r w:rsidR="00746247">
          <w:rPr>
            <w:webHidden/>
          </w:rPr>
          <w:instrText xml:space="preserve"> PAGEREF _Toc524032657 \h </w:instrText>
        </w:r>
        <w:r w:rsidR="00746247">
          <w:rPr>
            <w:webHidden/>
          </w:rPr>
        </w:r>
        <w:r w:rsidR="00746247">
          <w:rPr>
            <w:webHidden/>
          </w:rPr>
          <w:fldChar w:fldCharType="separate"/>
        </w:r>
        <w:r>
          <w:rPr>
            <w:webHidden/>
          </w:rPr>
          <w:t>4</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8" w:history="1">
        <w:r w:rsidR="00746247" w:rsidRPr="00CA07D1">
          <w:rPr>
            <w:rStyle w:val="Hyperlink"/>
            <w:rFonts w:ascii="Times New Roman" w:hAnsi="Times New Roman"/>
          </w:rPr>
          <w:t>4.</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26.00 - Образец за максималния размер на ГЕ</w:t>
        </w:r>
        <w:r w:rsidR="00746247">
          <w:rPr>
            <w:webHidden/>
          </w:rPr>
          <w:tab/>
        </w:r>
        <w:r w:rsidR="00746247">
          <w:rPr>
            <w:webHidden/>
          </w:rPr>
          <w:fldChar w:fldCharType="begin"/>
        </w:r>
        <w:r w:rsidR="00746247">
          <w:rPr>
            <w:webHidden/>
          </w:rPr>
          <w:instrText xml:space="preserve"> PAGEREF _Toc524032658 \h </w:instrText>
        </w:r>
        <w:r w:rsidR="00746247">
          <w:rPr>
            <w:webHidden/>
          </w:rPr>
        </w:r>
        <w:r w:rsidR="00746247">
          <w:rPr>
            <w:webHidden/>
          </w:rPr>
          <w:fldChar w:fldCharType="separate"/>
        </w:r>
        <w:r>
          <w:rPr>
            <w:webHidden/>
          </w:rPr>
          <w:t>5</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59" w:history="1">
        <w:r w:rsidR="00746247" w:rsidRPr="00CA07D1">
          <w:rPr>
            <w:rStyle w:val="Hyperlink"/>
            <w:rFonts w:ascii="Times New Roman" w:hAnsi="Times New Roman"/>
          </w:rPr>
          <w:t>4.1.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относно отделните редове</w:t>
        </w:r>
        <w:r w:rsidR="00746247">
          <w:rPr>
            <w:webHidden/>
          </w:rPr>
          <w:tab/>
        </w:r>
        <w:r w:rsidR="00746247">
          <w:rPr>
            <w:webHidden/>
          </w:rPr>
          <w:fldChar w:fldCharType="begin"/>
        </w:r>
        <w:r w:rsidR="00746247">
          <w:rPr>
            <w:webHidden/>
          </w:rPr>
          <w:instrText xml:space="preserve"> PAGEREF _Toc524032659 \h </w:instrText>
        </w:r>
        <w:r w:rsidR="00746247">
          <w:rPr>
            <w:webHidden/>
          </w:rPr>
        </w:r>
        <w:r w:rsidR="00746247">
          <w:rPr>
            <w:webHidden/>
          </w:rPr>
          <w:fldChar w:fldCharType="separate"/>
        </w:r>
        <w:r>
          <w:rPr>
            <w:webHidden/>
          </w:rPr>
          <w:t>5</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0" w:history="1">
        <w:r w:rsidR="00746247" w:rsidRPr="00CA07D1">
          <w:rPr>
            <w:rStyle w:val="Hyperlink"/>
            <w:rFonts w:ascii="Times New Roman" w:hAnsi="Times New Roman"/>
          </w:rPr>
          <w:t>5.</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27.00 - Идентификационни данни на контрагента (образец ГЕ1)</w:t>
        </w:r>
        <w:r w:rsidR="00746247">
          <w:rPr>
            <w:webHidden/>
          </w:rPr>
          <w:tab/>
        </w:r>
        <w:r w:rsidR="00746247">
          <w:rPr>
            <w:webHidden/>
          </w:rPr>
          <w:fldChar w:fldCharType="begin"/>
        </w:r>
        <w:r w:rsidR="00746247">
          <w:rPr>
            <w:webHidden/>
          </w:rPr>
          <w:instrText xml:space="preserve"> PAGEREF _Toc524032660 \h </w:instrText>
        </w:r>
        <w:r w:rsidR="00746247">
          <w:rPr>
            <w:webHidden/>
          </w:rPr>
        </w:r>
        <w:r w:rsidR="00746247">
          <w:rPr>
            <w:webHidden/>
          </w:rPr>
          <w:fldChar w:fldCharType="separate"/>
        </w:r>
        <w:r>
          <w:rPr>
            <w:webHidden/>
          </w:rPr>
          <w:t>6</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1" w:history="1">
        <w:r w:rsidR="00746247" w:rsidRPr="00CA07D1">
          <w:rPr>
            <w:rStyle w:val="Hyperlink"/>
            <w:rFonts w:ascii="Times New Roman" w:hAnsi="Times New Roman"/>
          </w:rPr>
          <w:t>5.1.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за специфични колони:</w:t>
        </w:r>
        <w:r w:rsidR="00746247">
          <w:rPr>
            <w:webHidden/>
          </w:rPr>
          <w:tab/>
        </w:r>
        <w:r w:rsidR="00746247">
          <w:rPr>
            <w:webHidden/>
          </w:rPr>
          <w:fldChar w:fldCharType="begin"/>
        </w:r>
        <w:r w:rsidR="00746247">
          <w:rPr>
            <w:webHidden/>
          </w:rPr>
          <w:instrText xml:space="preserve"> PAGEREF _Toc524032661 \h </w:instrText>
        </w:r>
        <w:r w:rsidR="00746247">
          <w:rPr>
            <w:webHidden/>
          </w:rPr>
        </w:r>
        <w:r w:rsidR="00746247">
          <w:rPr>
            <w:webHidden/>
          </w:rPr>
          <w:fldChar w:fldCharType="separate"/>
        </w:r>
        <w:r>
          <w:rPr>
            <w:webHidden/>
          </w:rPr>
          <w:t>6</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2" w:history="1">
        <w:r w:rsidR="00746247" w:rsidRPr="00CA07D1">
          <w:rPr>
            <w:rStyle w:val="Hyperlink"/>
            <w:rFonts w:ascii="Times New Roman" w:hAnsi="Times New Roman"/>
          </w:rPr>
          <w:t>6.</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28.00 - Експозиции в банковия и търговския портфейл (образец ГЕ2)</w:t>
        </w:r>
        <w:r w:rsidR="00746247">
          <w:rPr>
            <w:webHidden/>
          </w:rPr>
          <w:tab/>
        </w:r>
        <w:r w:rsidR="00746247">
          <w:rPr>
            <w:webHidden/>
          </w:rPr>
          <w:fldChar w:fldCharType="begin"/>
        </w:r>
        <w:r w:rsidR="00746247">
          <w:rPr>
            <w:webHidden/>
          </w:rPr>
          <w:instrText xml:space="preserve"> PAGEREF _Toc524032662 \h </w:instrText>
        </w:r>
        <w:r w:rsidR="00746247">
          <w:rPr>
            <w:webHidden/>
          </w:rPr>
        </w:r>
        <w:r w:rsidR="00746247">
          <w:rPr>
            <w:webHidden/>
          </w:rPr>
          <w:fldChar w:fldCharType="separate"/>
        </w:r>
        <w:r>
          <w:rPr>
            <w:webHidden/>
          </w:rPr>
          <w:t>9</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3" w:history="1">
        <w:r w:rsidR="00746247" w:rsidRPr="00CA07D1">
          <w:rPr>
            <w:rStyle w:val="Hyperlink"/>
            <w:rFonts w:ascii="Times New Roman" w:hAnsi="Times New Roman"/>
          </w:rPr>
          <w:t>6.1.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за специфични колони:</w:t>
        </w:r>
        <w:r w:rsidR="00746247">
          <w:rPr>
            <w:webHidden/>
          </w:rPr>
          <w:tab/>
        </w:r>
        <w:r w:rsidR="00746247">
          <w:rPr>
            <w:webHidden/>
          </w:rPr>
          <w:fldChar w:fldCharType="begin"/>
        </w:r>
        <w:r w:rsidR="00746247">
          <w:rPr>
            <w:webHidden/>
          </w:rPr>
          <w:instrText xml:space="preserve"> PAGEREF _Toc524032663 \h </w:instrText>
        </w:r>
        <w:r w:rsidR="00746247">
          <w:rPr>
            <w:webHidden/>
          </w:rPr>
        </w:r>
        <w:r w:rsidR="00746247">
          <w:rPr>
            <w:webHidden/>
          </w:rPr>
          <w:fldChar w:fldCharType="separate"/>
        </w:r>
        <w:r>
          <w:rPr>
            <w:webHidden/>
          </w:rPr>
          <w:t>9</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4" w:history="1">
        <w:r w:rsidR="00746247" w:rsidRPr="00CA07D1">
          <w:rPr>
            <w:rStyle w:val="Hyperlink"/>
            <w:rFonts w:ascii="Times New Roman" w:hAnsi="Times New Roman"/>
          </w:rPr>
          <w:t>7.</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29.00 - Данни относно експозициите към отделни клиенти в рамките на групи от свързани клиенти (ГЕ3)</w:t>
        </w:r>
        <w:r w:rsidR="00746247">
          <w:rPr>
            <w:webHidden/>
          </w:rPr>
          <w:tab/>
        </w:r>
        <w:r w:rsidR="00746247">
          <w:rPr>
            <w:webHidden/>
          </w:rPr>
          <w:fldChar w:fldCharType="begin"/>
        </w:r>
        <w:r w:rsidR="00746247">
          <w:rPr>
            <w:webHidden/>
          </w:rPr>
          <w:instrText xml:space="preserve"> PAGEREF _Toc524032664 \h </w:instrText>
        </w:r>
        <w:r w:rsidR="00746247">
          <w:rPr>
            <w:webHidden/>
          </w:rPr>
        </w:r>
        <w:r w:rsidR="00746247">
          <w:rPr>
            <w:webHidden/>
          </w:rPr>
          <w:fldChar w:fldCharType="separate"/>
        </w:r>
        <w:r>
          <w:rPr>
            <w:webHidden/>
          </w:rPr>
          <w:t>17</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5" w:history="1">
        <w:r w:rsidR="00746247" w:rsidRPr="00CA07D1">
          <w:rPr>
            <w:rStyle w:val="Hyperlink"/>
            <w:rFonts w:ascii="Times New Roman" w:hAnsi="Times New Roman"/>
          </w:rPr>
          <w:t>7.1.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за специфични колони:</w:t>
        </w:r>
        <w:r w:rsidR="00746247">
          <w:rPr>
            <w:webHidden/>
          </w:rPr>
          <w:tab/>
        </w:r>
        <w:r w:rsidR="00746247">
          <w:rPr>
            <w:webHidden/>
          </w:rPr>
          <w:fldChar w:fldCharType="begin"/>
        </w:r>
        <w:r w:rsidR="00746247">
          <w:rPr>
            <w:webHidden/>
          </w:rPr>
          <w:instrText xml:space="preserve"> PAGEREF _Toc524032665 \h </w:instrText>
        </w:r>
        <w:r w:rsidR="00746247">
          <w:rPr>
            <w:webHidden/>
          </w:rPr>
        </w:r>
        <w:r w:rsidR="00746247">
          <w:rPr>
            <w:webHidden/>
          </w:rPr>
          <w:fldChar w:fldCharType="separate"/>
        </w:r>
        <w:r>
          <w:rPr>
            <w:webHidden/>
          </w:rPr>
          <w:t>17</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6" w:history="1">
        <w:r w:rsidR="00746247" w:rsidRPr="00CA07D1">
          <w:rPr>
            <w:rStyle w:val="Hyperlink"/>
            <w:rFonts w:ascii="Times New Roman" w:hAnsi="Times New Roman"/>
          </w:rPr>
          <w:t>8.</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30.00 - Матуритетни съвкупности на десетте най-големи експозиции към институции и десетте най-големи експозиции към нерегулирани предприятия от финансовия сектор (образец ГЕ4)</w:t>
        </w:r>
        <w:r w:rsidR="00746247">
          <w:rPr>
            <w:webHidden/>
          </w:rPr>
          <w:tab/>
        </w:r>
        <w:r w:rsidR="00746247">
          <w:rPr>
            <w:webHidden/>
          </w:rPr>
          <w:fldChar w:fldCharType="begin"/>
        </w:r>
        <w:r w:rsidR="00746247">
          <w:rPr>
            <w:webHidden/>
          </w:rPr>
          <w:instrText xml:space="preserve"> PAGEREF _Toc524032666 \h </w:instrText>
        </w:r>
        <w:r w:rsidR="00746247">
          <w:rPr>
            <w:webHidden/>
          </w:rPr>
        </w:r>
        <w:r w:rsidR="00746247">
          <w:rPr>
            <w:webHidden/>
          </w:rPr>
          <w:fldChar w:fldCharType="separate"/>
        </w:r>
        <w:r>
          <w:rPr>
            <w:webHidden/>
          </w:rPr>
          <w:t>18</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7" w:history="1">
        <w:r w:rsidR="00746247" w:rsidRPr="00CA07D1">
          <w:rPr>
            <w:rStyle w:val="Hyperlink"/>
            <w:rFonts w:ascii="Times New Roman" w:hAnsi="Times New Roman"/>
          </w:rPr>
          <w:t>8.1.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за специфични колони:</w:t>
        </w:r>
        <w:r w:rsidR="00746247">
          <w:rPr>
            <w:webHidden/>
          </w:rPr>
          <w:tab/>
        </w:r>
        <w:r w:rsidR="00746247">
          <w:rPr>
            <w:webHidden/>
          </w:rPr>
          <w:fldChar w:fldCharType="begin"/>
        </w:r>
        <w:r w:rsidR="00746247">
          <w:rPr>
            <w:webHidden/>
          </w:rPr>
          <w:instrText xml:space="preserve"> PAGEREF _Toc524032667 \h </w:instrText>
        </w:r>
        <w:r w:rsidR="00746247">
          <w:rPr>
            <w:webHidden/>
          </w:rPr>
        </w:r>
        <w:r w:rsidR="00746247">
          <w:rPr>
            <w:webHidden/>
          </w:rPr>
          <w:fldChar w:fldCharType="separate"/>
        </w:r>
        <w:r>
          <w:rPr>
            <w:webHidden/>
          </w:rPr>
          <w:t>18</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8" w:history="1">
        <w:r w:rsidR="00746247" w:rsidRPr="00CA07D1">
          <w:rPr>
            <w:rStyle w:val="Hyperlink"/>
            <w:rFonts w:ascii="Times New Roman" w:hAnsi="Times New Roman"/>
          </w:rPr>
          <w:t>9.</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C 31.00 - Матуритетни съвкупности на десетте най-големи експозиции към институции и десетте най-големи експозиции към нерегулирани предприятия от финансовия сектор: данни за експозициите към отделни клиенти в рамките на групи от свързани клиенти (образец ГЕ5)</w:t>
        </w:r>
        <w:r w:rsidR="00746247">
          <w:rPr>
            <w:webHidden/>
          </w:rPr>
          <w:tab/>
        </w:r>
        <w:r w:rsidR="00746247">
          <w:rPr>
            <w:webHidden/>
          </w:rPr>
          <w:fldChar w:fldCharType="begin"/>
        </w:r>
        <w:r w:rsidR="00746247">
          <w:rPr>
            <w:webHidden/>
          </w:rPr>
          <w:instrText xml:space="preserve"> PAGEREF _Toc524032668 \h </w:instrText>
        </w:r>
        <w:r w:rsidR="00746247">
          <w:rPr>
            <w:webHidden/>
          </w:rPr>
        </w:r>
        <w:r w:rsidR="00746247">
          <w:rPr>
            <w:webHidden/>
          </w:rPr>
          <w:fldChar w:fldCharType="separate"/>
        </w:r>
        <w:r>
          <w:rPr>
            <w:webHidden/>
          </w:rPr>
          <w:t>19</w:t>
        </w:r>
        <w:r w:rsidR="00746247">
          <w:rPr>
            <w:webHidden/>
          </w:rPr>
          <w:fldChar w:fldCharType="end"/>
        </w:r>
      </w:hyperlink>
    </w:p>
    <w:p w:rsidR="00746247" w:rsidRDefault="00AD7D63" w:rsidP="00AD7D63">
      <w:pPr>
        <w:pStyle w:val="TOC2"/>
        <w:rPr>
          <w:rFonts w:asciiTheme="minorHAnsi" w:eastAsiaTheme="minorEastAsia" w:hAnsiTheme="minorHAnsi" w:cstheme="minorBidi"/>
          <w:sz w:val="22"/>
          <w:lang w:val="en-GB" w:eastAsia="en-GB" w:bidi="ar-SA"/>
        </w:rPr>
      </w:pPr>
      <w:hyperlink w:anchor="_Toc524032669" w:history="1">
        <w:r w:rsidR="00746247" w:rsidRPr="00CA07D1">
          <w:rPr>
            <w:rStyle w:val="Hyperlink"/>
            <w:rFonts w:ascii="Times New Roman" w:hAnsi="Times New Roman"/>
          </w:rPr>
          <w:t>9.1.</w:t>
        </w:r>
        <w:r w:rsidR="00746247">
          <w:rPr>
            <w:rFonts w:asciiTheme="minorHAnsi" w:eastAsiaTheme="minorEastAsia" w:hAnsiTheme="minorHAnsi" w:cstheme="minorBidi"/>
            <w:sz w:val="22"/>
            <w:lang w:val="en-GB" w:eastAsia="en-GB" w:bidi="ar-SA"/>
          </w:rPr>
          <w:tab/>
        </w:r>
        <w:r w:rsidR="00746247" w:rsidRPr="00CA07D1">
          <w:rPr>
            <w:rStyle w:val="Hyperlink"/>
            <w:rFonts w:ascii="Times New Roman" w:hAnsi="Times New Roman"/>
          </w:rPr>
          <w:t>Указания за специфични колони:</w:t>
        </w:r>
        <w:r w:rsidR="00746247">
          <w:rPr>
            <w:webHidden/>
          </w:rPr>
          <w:tab/>
        </w:r>
        <w:r w:rsidR="00746247">
          <w:rPr>
            <w:webHidden/>
          </w:rPr>
          <w:fldChar w:fldCharType="begin"/>
        </w:r>
        <w:r w:rsidR="00746247">
          <w:rPr>
            <w:webHidden/>
          </w:rPr>
          <w:instrText xml:space="preserve"> PAGEREF _Toc524032669 \h </w:instrText>
        </w:r>
        <w:r w:rsidR="00746247">
          <w:rPr>
            <w:webHidden/>
          </w:rPr>
        </w:r>
        <w:r w:rsidR="00746247">
          <w:rPr>
            <w:webHidden/>
          </w:rPr>
          <w:fldChar w:fldCharType="separate"/>
        </w:r>
        <w:r>
          <w:rPr>
            <w:webHidden/>
          </w:rPr>
          <w:t>19</w:t>
        </w:r>
        <w:r w:rsidR="00746247">
          <w:rPr>
            <w:webHidden/>
          </w:rPr>
          <w:fldChar w:fldCharType="end"/>
        </w:r>
      </w:hyperlink>
    </w:p>
    <w:p w:rsidR="00E65A97" w:rsidRDefault="00383220">
      <w:pPr>
        <w:rPr>
          <w:rFonts w:ascii="Times New Roman" w:eastAsia="SimSun" w:hAnsi="Times New Roman"/>
          <w:sz w:val="24"/>
        </w:rPr>
        <w:sectPr w:rsidR="00E65A97" w:rsidSect="00A772B4">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rsidR="009777FB" w:rsidRPr="009777FB" w:rsidRDefault="003105C6" w:rsidP="0093135A">
      <w:pPr>
        <w:pStyle w:val="Heading2"/>
        <w:rPr>
          <w:bCs/>
        </w:rPr>
      </w:pPr>
      <w:bookmarkStart w:id="3" w:name="_Toc264038394"/>
      <w:bookmarkStart w:id="4" w:name="_Toc393461951"/>
      <w:bookmarkStart w:id="5" w:name="_Toc524032651"/>
      <w:r>
        <w:rPr>
          <w:rFonts w:ascii="Times New Roman" w:hAnsi="Times New Roman"/>
        </w:rPr>
        <w:lastRenderedPageBreak/>
        <w:t>ЧАСТ I:</w:t>
      </w:r>
      <w:bookmarkEnd w:id="3"/>
      <w:r>
        <w:rPr>
          <w:rFonts w:ascii="Times New Roman" w:hAnsi="Times New Roman"/>
        </w:rPr>
        <w:t xml:space="preserve"> ОБЩИ УКАЗАНИЯ</w:t>
      </w:r>
      <w:bookmarkEnd w:id="4"/>
      <w:bookmarkEnd w:id="5"/>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6" w:name="_Toc393461952"/>
      <w:bookmarkStart w:id="7" w:name="_Toc524032652"/>
      <w:r>
        <w:rPr>
          <w:rFonts w:ascii="Times New Roman" w:hAnsi="Times New Roman"/>
          <w:b/>
          <w:sz w:val="24"/>
          <w:u w:val="none"/>
        </w:rPr>
        <w:t>Структура и възприети практики</w:t>
      </w:r>
      <w:bookmarkEnd w:id="6"/>
      <w:bookmarkEnd w:id="7"/>
    </w:p>
    <w:p w:rsidR="00393539" w:rsidRPr="0039317F" w:rsidRDefault="00D40975" w:rsidP="0039317F">
      <w:pPr>
        <w:pStyle w:val="InstructionsText2"/>
      </w:pPr>
      <w:bookmarkStart w:id="8" w:name="_Toc264038399"/>
      <w:bookmarkStart w:id="9" w:name="_Toc294018834"/>
      <w:r>
        <w:t>Рамката за докладването на големи експозиции („ГЕ“) се състои от шест образ</w:t>
      </w:r>
      <w:r>
        <w:t>е</w:t>
      </w:r>
      <w:r>
        <w:t>ца, които включват следната информация:</w:t>
      </w:r>
    </w:p>
    <w:p w:rsidR="00DA54E3" w:rsidRPr="0039317F" w:rsidRDefault="00CC2429" w:rsidP="0039317F">
      <w:pPr>
        <w:pStyle w:val="InstructionsText2"/>
        <w:numPr>
          <w:ilvl w:val="1"/>
          <w:numId w:val="15"/>
        </w:numPr>
        <w:rPr>
          <w:rFonts w:eastAsia="Arial"/>
        </w:rPr>
      </w:pPr>
      <w:r>
        <w:t>максимален размер на големите експозиции;</w:t>
      </w:r>
    </w:p>
    <w:p w:rsidR="00DA54E3" w:rsidRPr="0039317F" w:rsidRDefault="00CC2429" w:rsidP="0039317F">
      <w:pPr>
        <w:pStyle w:val="InstructionsText2"/>
        <w:numPr>
          <w:ilvl w:val="1"/>
          <w:numId w:val="15"/>
        </w:numPr>
        <w:rPr>
          <w:rFonts w:eastAsia="Arial"/>
        </w:rPr>
      </w:pPr>
      <w:r>
        <w:t>идентификационни данни на контрагента (образец ГЕ1);</w:t>
      </w:r>
    </w:p>
    <w:p w:rsidR="00393539" w:rsidRPr="0039317F" w:rsidRDefault="00CC2429" w:rsidP="0039317F">
      <w:pPr>
        <w:pStyle w:val="InstructionsText2"/>
        <w:numPr>
          <w:ilvl w:val="1"/>
          <w:numId w:val="15"/>
        </w:numPr>
        <w:rPr>
          <w:rFonts w:eastAsia="Arial"/>
        </w:rPr>
      </w:pPr>
      <w:r>
        <w:t xml:space="preserve">експозиции в банковия и търговския портфейл (образец ГЕ2); </w:t>
      </w:r>
    </w:p>
    <w:p w:rsidR="00393539" w:rsidRPr="0039317F" w:rsidRDefault="00CC2429" w:rsidP="0039317F">
      <w:pPr>
        <w:pStyle w:val="InstructionsText2"/>
        <w:numPr>
          <w:ilvl w:val="1"/>
          <w:numId w:val="15"/>
        </w:numPr>
        <w:rPr>
          <w:rFonts w:eastAsia="Arial"/>
        </w:rPr>
      </w:pPr>
      <w:r>
        <w:t>данни за експозициите към отделни клиенти в рамките на групи от свъ</w:t>
      </w:r>
      <w:r>
        <w:t>р</w:t>
      </w:r>
      <w:r>
        <w:t>зани клиенти (образец ГЕ3);</w:t>
      </w:r>
    </w:p>
    <w:p w:rsidR="00627430" w:rsidRPr="0039317F" w:rsidRDefault="00CC2429" w:rsidP="0039317F">
      <w:pPr>
        <w:pStyle w:val="InstructionsText2"/>
        <w:numPr>
          <w:ilvl w:val="1"/>
          <w:numId w:val="15"/>
        </w:numPr>
        <w:rPr>
          <w:rFonts w:eastAsia="Arial"/>
        </w:rPr>
      </w:pPr>
      <w:r>
        <w:t>матуритетни съвкупности на десетте най-големи експозиции към инст</w:t>
      </w:r>
      <w:r>
        <w:t>и</w:t>
      </w:r>
      <w:r>
        <w:t xml:space="preserve">туции и десетте най-големи експозиции към нерегулирани предприятия от финансовия сектор (образец ГЕ4); </w:t>
      </w:r>
    </w:p>
    <w:p w:rsidR="00DA54E3" w:rsidRPr="0039317F" w:rsidRDefault="00CC2429" w:rsidP="0039317F">
      <w:pPr>
        <w:pStyle w:val="InstructionsText2"/>
        <w:numPr>
          <w:ilvl w:val="1"/>
          <w:numId w:val="15"/>
        </w:numPr>
        <w:rPr>
          <w:rFonts w:eastAsia="Arial"/>
        </w:rPr>
      </w:pPr>
      <w:r>
        <w:t>матуритетни съвкупности на десетте най-големи експозиции към инст</w:t>
      </w:r>
      <w:r>
        <w:t>и</w:t>
      </w:r>
      <w:r>
        <w:t>туции и десетте най-големи експозиции към нерегулирани предприятия от финансовия сектор: данни за експозициите към отделни клиенти в рамките на групи от свързани клиенти (образец ГЕ5).</w:t>
      </w:r>
    </w:p>
    <w:p w:rsidR="003D56DE" w:rsidRPr="0039317F" w:rsidRDefault="00756759" w:rsidP="0039317F">
      <w:pPr>
        <w:pStyle w:val="InstructionsText2"/>
      </w:pPr>
      <w:r>
        <w:t>Указанията включват препратки към правни норми, както и подробна информ</w:t>
      </w:r>
      <w:r>
        <w:t>а</w:t>
      </w:r>
      <w:r>
        <w:t>ция за данните, които се докладват във всеки образец.</w:t>
      </w:r>
    </w:p>
    <w:p w:rsidR="00B0191A" w:rsidRPr="0039317F" w:rsidRDefault="003105C6" w:rsidP="0039317F">
      <w:pPr>
        <w:pStyle w:val="InstructionsText2"/>
      </w:pPr>
      <w:r>
        <w:t xml:space="preserve">Указанията и правилата за потвърждаване следват условното обозначаване на колоните, редовете и клетките в образците, установено в следващите параграфи. </w:t>
      </w:r>
    </w:p>
    <w:p w:rsidR="00B0191A" w:rsidRPr="0039317F" w:rsidRDefault="00F36707" w:rsidP="0039317F">
      <w:pPr>
        <w:pStyle w:val="InstructionsText2"/>
      </w:pPr>
      <w:r>
        <w:t>При указанията и правилата за потвърждаване се използва следното условно обозначаване: {Образец;Ред;Колона}. Използва се звездичка, за да се обозначи, че потвърждаването се извършва за всички редове, в които е докладвана инфо</w:t>
      </w:r>
      <w:r>
        <w:t>р</w:t>
      </w:r>
      <w:r>
        <w:t>мация.</w:t>
      </w:r>
    </w:p>
    <w:p w:rsidR="00B0191A" w:rsidRPr="0039317F" w:rsidRDefault="003105C6" w:rsidP="0039317F">
      <w:pPr>
        <w:pStyle w:val="InstructionsText2"/>
        <w:rPr>
          <w:rFonts w:eastAsia="Arial"/>
        </w:rPr>
      </w:pPr>
      <w:r>
        <w:t>При потвърждаване в рамките на образец, в който се използват само информ</w:t>
      </w:r>
      <w:r>
        <w:t>а</w:t>
      </w:r>
      <w:r>
        <w:t>ционни точки от него, в записа не се включва думата „образец“: {Ред;Колона}.</w:t>
      </w:r>
    </w:p>
    <w:p w:rsidR="00B0191A" w:rsidRDefault="006217F1" w:rsidP="0039317F">
      <w:pPr>
        <w:pStyle w:val="InstructionsText2"/>
      </w:pPr>
      <w:r>
        <w:t xml:space="preserve">ABS(Стойност): абсолютната стойност без знак. </w:t>
      </w:r>
      <w:bookmarkEnd w:id="8"/>
      <w:bookmarkEnd w:id="9"/>
      <w:r>
        <w:t>Всяка сума, която увеличава е</w:t>
      </w:r>
      <w:r>
        <w:t>к</w:t>
      </w:r>
      <w:r>
        <w:t>спозициите, се докладва като положително число. Обратно, всяка сума, която намалява експозициите, се докладва като отрицателно число. Когато пред обо</w:t>
      </w:r>
      <w:r>
        <w:t>з</w:t>
      </w:r>
      <w:r>
        <w:t>начението на позиция има отрицателен знак (-), за тази позиция не се докладва положително число.</w:t>
      </w:r>
    </w:p>
    <w:p w:rsidR="0093135A" w:rsidRPr="0078562D" w:rsidRDefault="0078562D" w:rsidP="0078562D">
      <w:pPr>
        <w:pStyle w:val="Instructionsberschrift2"/>
        <w:numPr>
          <w:ilvl w:val="0"/>
          <w:numId w:val="20"/>
        </w:numPr>
        <w:rPr>
          <w:b/>
        </w:rPr>
      </w:pPr>
      <w:bookmarkStart w:id="10" w:name="_Toc524032653"/>
      <w:r>
        <w:rPr>
          <w:rFonts w:ascii="Times New Roman" w:hAnsi="Times New Roman"/>
          <w:b/>
          <w:sz w:val="24"/>
          <w:u w:val="none"/>
        </w:rPr>
        <w:t>Съкращения</w:t>
      </w:r>
      <w:bookmarkEnd w:id="10"/>
    </w:p>
    <w:p w:rsidR="0093135A" w:rsidRDefault="0093135A" w:rsidP="0093135A">
      <w:pPr>
        <w:pStyle w:val="InstructionsText2"/>
      </w:pPr>
      <w:r>
        <w:t>За целите на настоящото приложение Регламент (ЕС) № 575/2013 се нарича „РКИ“.</w:t>
      </w:r>
    </w:p>
    <w:p w:rsidR="0093135A" w:rsidRPr="0039317F" w:rsidRDefault="0093135A" w:rsidP="0078562D">
      <w:pPr>
        <w:pStyle w:val="InstructionsText2"/>
        <w:numPr>
          <w:ilvl w:val="0"/>
          <w:numId w:val="0"/>
        </w:numPr>
        <w:ind w:left="720" w:hanging="360"/>
      </w:pPr>
    </w:p>
    <w:p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393461953"/>
      <w:bookmarkStart w:id="13" w:name="_Toc524032654"/>
      <w:r>
        <w:rPr>
          <w:rFonts w:ascii="Times New Roman" w:hAnsi="Times New Roman"/>
        </w:rPr>
        <w:lastRenderedPageBreak/>
        <w:t>ЧАСТ II: УКАЗАНИЯ ЗА ОБРАЗЦИТЕ</w:t>
      </w:r>
      <w:bookmarkEnd w:id="12"/>
      <w:bookmarkEnd w:id="13"/>
    </w:p>
    <w:p w:rsidR="00F41B3A" w:rsidRPr="00384ADB" w:rsidRDefault="00F41B3A" w:rsidP="00EA549E">
      <w:pPr>
        <w:rPr>
          <w:rFonts w:ascii="Times New Roman" w:hAnsi="Times New Roman"/>
          <w:sz w:val="24"/>
        </w:rPr>
      </w:pPr>
      <w:r>
        <w:rPr>
          <w:rFonts w:ascii="Times New Roman" w:hAnsi="Times New Roman"/>
          <w:sz w:val="24"/>
        </w:rPr>
        <w:t>Инструкциите за докладване на големи експозиции от настоящото приложение се отн</w:t>
      </w:r>
      <w:r>
        <w:rPr>
          <w:rFonts w:ascii="Times New Roman" w:hAnsi="Times New Roman"/>
          <w:sz w:val="24"/>
        </w:rPr>
        <w:t>а</w:t>
      </w:r>
      <w:r>
        <w:rPr>
          <w:rFonts w:ascii="Times New Roman" w:hAnsi="Times New Roman"/>
          <w:sz w:val="24"/>
        </w:rPr>
        <w:t>сят и за изискваното по силата на членове 9 и 11 докладване на значителни експозиции в съответствие с посочения в същите членове обхват.</w:t>
      </w:r>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393461954"/>
      <w:bookmarkStart w:id="15" w:name="_Toc524032655"/>
      <w:r>
        <w:rPr>
          <w:rFonts w:ascii="Times New Roman" w:hAnsi="Times New Roman"/>
          <w:b/>
          <w:sz w:val="24"/>
          <w:u w:val="none"/>
        </w:rPr>
        <w:t>Обхват и степен на докладване на ГЕ</w:t>
      </w:r>
      <w:bookmarkEnd w:id="14"/>
      <w:bookmarkEnd w:id="15"/>
    </w:p>
    <w:p w:rsidR="000F13EA" w:rsidRPr="0039317F" w:rsidRDefault="000F13EA" w:rsidP="0039317F">
      <w:pPr>
        <w:pStyle w:val="InstructionsText2"/>
        <w:numPr>
          <w:ilvl w:val="0"/>
          <w:numId w:val="27"/>
        </w:numPr>
        <w:rPr>
          <w:rFonts w:eastAsia="Arial"/>
        </w:rPr>
      </w:pPr>
      <w:r>
        <w:t>Институциите използват образците ГЕ1, ГЕ2 и ГЕ3, за да докладват на индив</w:t>
      </w:r>
      <w:r>
        <w:t>и</w:t>
      </w:r>
      <w:r>
        <w:t xml:space="preserve">дуална основа информация за големи експозиции към клиенти или групи от свързани клиенти съгласно член 394, параграф 1 от Регламент (ЕС) № 575/2013 (РКИ). </w:t>
      </w:r>
    </w:p>
    <w:p w:rsidR="00B0191A" w:rsidRPr="0039317F" w:rsidRDefault="000F13EA" w:rsidP="0039317F">
      <w:pPr>
        <w:pStyle w:val="InstructionsText2"/>
        <w:rPr>
          <w:rFonts w:eastAsia="Arial"/>
        </w:rPr>
      </w:pPr>
      <w:r>
        <w:t xml:space="preserve">Институциите майки в държава членка използват образците ГЕ1, ГЕ2 и ГЕ3, за да докладват на консолидирана основа информация за големи експозиции към клиенти или групи от свързани клиенти съгласно член 394, параграф 1 от РКИ. </w:t>
      </w:r>
    </w:p>
    <w:p w:rsidR="00B0191A" w:rsidRPr="0039317F" w:rsidRDefault="00A11FB0" w:rsidP="000F0ADE">
      <w:pPr>
        <w:pStyle w:val="InstructionsText2"/>
        <w:rPr>
          <w:rFonts w:eastAsia="Arial"/>
        </w:rPr>
      </w:pPr>
      <w:r>
        <w:t xml:space="preserve">Докладва се всяка голяма експозиция, определена съгласно член 392 от РКИ, включително големите експозиции, които не се вземат предвид при определяне на съответствието с максималния размер на големите експозиции, установен в член 395 от РКИ. </w:t>
      </w:r>
    </w:p>
    <w:p w:rsidR="00B0191A" w:rsidRPr="0039317F" w:rsidRDefault="001C7BF0" w:rsidP="000F0ADE">
      <w:pPr>
        <w:pStyle w:val="InstructionsText2"/>
        <w:rPr>
          <w:rFonts w:eastAsia="Arial"/>
        </w:rPr>
      </w:pPr>
      <w:r>
        <w:t>Институциите майки в държава членка, по отношение на които се прилага трета част, дял ІІ, глава 3 от РКИ, използват образци ГЕ1, ГЕ2 и ГЕ3, за да докладват на консолидирана основа информация за двадесетте най-големи експозиции към клиенти или групи от свързани клиенти съгласно последното изречение от член 394, параграф 1 от РКИ. Стойността на експозицията, която се получава като се извади сумата в колона 320 („Изключени суми“) на образец ГЕ2 от сумата в к</w:t>
      </w:r>
      <w:r>
        <w:t>о</w:t>
      </w:r>
      <w:r>
        <w:t>лона 210 („Общо“) на същия образец, е сумата, която се използва, за да се опр</w:t>
      </w:r>
      <w:r>
        <w:t>е</w:t>
      </w:r>
      <w:r>
        <w:t xml:space="preserve">делят 20-те най-големи експозиции. </w:t>
      </w:r>
    </w:p>
    <w:p w:rsidR="00B0191A" w:rsidRPr="0039317F" w:rsidRDefault="00C1644D">
      <w:pPr>
        <w:pStyle w:val="InstructionsText2"/>
        <w:rPr>
          <w:rFonts w:eastAsia="Arial"/>
        </w:rPr>
      </w:pPr>
      <w:r>
        <w:t>Институциите майки в държава членка използват образци ГЕ1, ГЕ2 и ГЕ3, за да докладват на консолидирана основа информация за десетте най-големи експоз</w:t>
      </w:r>
      <w:r>
        <w:t>и</w:t>
      </w:r>
      <w:r>
        <w:t>ции към нерегулирани предприятия от финансовия сектор съгласно член 394, параграф 2, букви а) — г) от РКИ. За да докладват падежната структура на тези експозиции съгласно член 394, параграф 2, буква д) от РКИ, институциите ма</w:t>
      </w:r>
      <w:r>
        <w:t>й</w:t>
      </w:r>
      <w:r>
        <w:t>ки в държава членка използват образци ГЕ4 и ГЕ5. Стойността на експозицията, изчислена в колона 210 („Общо“) на образец ГЕ2, е сумата, която се използва, за да се определят тези 20 най-големи експозиции.</w:t>
      </w:r>
    </w:p>
    <w:p w:rsidR="00B0191A" w:rsidRPr="0039317F" w:rsidRDefault="001E0F83">
      <w:pPr>
        <w:pStyle w:val="InstructionsText2"/>
        <w:rPr>
          <w:rFonts w:eastAsia="Arial"/>
        </w:rPr>
      </w:pPr>
      <w:r>
        <w:t>Данните за големите експозиции и съответните големи експозиции към групи от свързани клиенти и отделни клиенти, които не принадлежат към група от свъ</w:t>
      </w:r>
      <w:r>
        <w:t>р</w:t>
      </w:r>
      <w:r>
        <w:t>зани клиенти, се докладват в образец ГЕ2 (където дадена група от свързани кл</w:t>
      </w:r>
      <w:r>
        <w:t>и</w:t>
      </w:r>
      <w:r>
        <w:t xml:space="preserve">енти се докладва като една експозиция). </w:t>
      </w:r>
    </w:p>
    <w:p w:rsidR="00B0191A" w:rsidRPr="0039317F" w:rsidRDefault="008A4511">
      <w:pPr>
        <w:pStyle w:val="InstructionsText2"/>
        <w:rPr>
          <w:rFonts w:eastAsia="Arial"/>
        </w:rPr>
      </w:pPr>
      <w:r>
        <w:t>Институциите докладват в образец ГЕ3 данни за експозициите към отделни кл</w:t>
      </w:r>
      <w:r>
        <w:t>и</w:t>
      </w:r>
      <w:r>
        <w:t>енти, които принадлежат към групите от свързани клиенти, докладвани в обр</w:t>
      </w:r>
      <w:r>
        <w:t>а</w:t>
      </w:r>
      <w:r>
        <w:t xml:space="preserve">зец ГЕ2. Експозиция към отделен клиент, която е докладвана в образец ГЕ2, не се посочва отново в образец ГЕ3.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6" w:name="_Toc393461955"/>
      <w:bookmarkStart w:id="17" w:name="_Toc524032656"/>
      <w:r>
        <w:rPr>
          <w:rFonts w:ascii="Times New Roman" w:hAnsi="Times New Roman"/>
          <w:b/>
          <w:sz w:val="24"/>
          <w:u w:val="none"/>
        </w:rPr>
        <w:lastRenderedPageBreak/>
        <w:t>Структура на образеца за ГЕ</w:t>
      </w:r>
      <w:bookmarkEnd w:id="16"/>
      <w:bookmarkEnd w:id="17"/>
    </w:p>
    <w:p w:rsidR="00A11EC0" w:rsidRPr="0039317F" w:rsidRDefault="00B945FE" w:rsidP="0039317F">
      <w:pPr>
        <w:pStyle w:val="InstructionsText2"/>
        <w:rPr>
          <w:rFonts w:eastAsia="Arial"/>
        </w:rPr>
      </w:pPr>
      <w:r>
        <w:t>В колоните от образец ГЕ1 се представя информация във връзка с идентифик</w:t>
      </w:r>
      <w:r>
        <w:t>а</w:t>
      </w:r>
      <w:r>
        <w:t>ционните данни на отделни клиенти или групи от свързани клиенти, към които институцията има експозиция.</w:t>
      </w:r>
    </w:p>
    <w:p w:rsidR="00B0191A" w:rsidRPr="0039317F" w:rsidRDefault="009362E7" w:rsidP="0039317F">
      <w:pPr>
        <w:pStyle w:val="InstructionsText2"/>
        <w:rPr>
          <w:rFonts w:eastAsia="Arial"/>
        </w:rPr>
      </w:pPr>
      <w:r>
        <w:t xml:space="preserve">В колоните от образци ГЕ2 и ГЕ3 се представят следните съвкупности от данни:   </w:t>
      </w:r>
    </w:p>
    <w:p w:rsidR="00B0191A" w:rsidRPr="0039317F" w:rsidRDefault="001E0F83" w:rsidP="000F0ADE">
      <w:pPr>
        <w:pStyle w:val="InstructionsText2"/>
        <w:numPr>
          <w:ilvl w:val="1"/>
          <w:numId w:val="15"/>
        </w:numPr>
        <w:rPr>
          <w:rFonts w:eastAsia="Arial"/>
        </w:rPr>
      </w:pPr>
      <w:r>
        <w:t>стойността на експозицията преди прилагането на изключения и преди отчитане на ефекта от редуцирането на кредитния риск, включваща пр</w:t>
      </w:r>
      <w:r>
        <w:t>е</w:t>
      </w:r>
      <w:r>
        <w:t>ките, непреките и допълнителните експозиции, произтичащи от сделки, при които има експозиция към базови активи;</w:t>
      </w:r>
    </w:p>
    <w:p w:rsidR="00B0191A" w:rsidRPr="0039317F" w:rsidRDefault="001E0F83" w:rsidP="000F0ADE">
      <w:pPr>
        <w:pStyle w:val="InstructionsText2"/>
        <w:numPr>
          <w:ilvl w:val="1"/>
          <w:numId w:val="15"/>
        </w:numPr>
        <w:rPr>
          <w:rFonts w:eastAsia="Arial"/>
        </w:rPr>
      </w:pPr>
      <w:r>
        <w:t>ефектът от изключенията и техниките за редуциране на кредитния риск;</w:t>
      </w:r>
    </w:p>
    <w:p w:rsidR="00B0191A" w:rsidRPr="0039317F" w:rsidRDefault="001E0F83">
      <w:pPr>
        <w:pStyle w:val="InstructionsText2"/>
        <w:numPr>
          <w:ilvl w:val="1"/>
          <w:numId w:val="15"/>
        </w:numPr>
        <w:rPr>
          <w:rFonts w:eastAsia="Arial"/>
        </w:rPr>
      </w:pPr>
      <w:r>
        <w:t>стойността на експозицията след прилагането на изключения и след о</w:t>
      </w:r>
      <w:r>
        <w:t>т</w:t>
      </w:r>
      <w:r>
        <w:t xml:space="preserve">читане на ефекта от редуцирането на кредитния риск, изчислен съгласно член 395, параграф 1 от РКИ. </w:t>
      </w:r>
    </w:p>
    <w:p w:rsidR="00B0191A" w:rsidRPr="0039317F" w:rsidRDefault="00B4530A" w:rsidP="0039317F">
      <w:pPr>
        <w:pStyle w:val="InstructionsText2"/>
        <w:rPr>
          <w:rFonts w:eastAsia="Arial"/>
        </w:rPr>
      </w:pPr>
      <w:r>
        <w:t>В колоните на образци ГЕ4 и ГЕ5 се представя информация за падежната стру</w:t>
      </w:r>
      <w:r>
        <w:t>к</w:t>
      </w:r>
      <w:r>
        <w:t xml:space="preserve">тура, към която се разпределят </w:t>
      </w:r>
      <w:proofErr w:type="spellStart"/>
      <w:r>
        <w:t>падежиращите</w:t>
      </w:r>
      <w:proofErr w:type="spellEnd"/>
      <w:r>
        <w:t xml:space="preserve"> суми на десетте най-големи ек</w:t>
      </w:r>
      <w:r>
        <w:t>с</w:t>
      </w:r>
      <w:r>
        <w:t>позиции към институции, както и на десетте най-големи експозиции към нерег</w:t>
      </w:r>
      <w:r>
        <w:t>у</w:t>
      </w:r>
      <w:r>
        <w:t xml:space="preserve">лирани предприятия от финансовия сектор.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8" w:name="_Toc393461956"/>
      <w:bookmarkStart w:id="19" w:name="_Toc524032657"/>
      <w:r>
        <w:rPr>
          <w:rFonts w:ascii="Times New Roman" w:hAnsi="Times New Roman"/>
          <w:b/>
          <w:sz w:val="24"/>
          <w:u w:val="none"/>
        </w:rPr>
        <w:t>Определения и общи указания за целите на докладването на ГЕ</w:t>
      </w:r>
      <w:bookmarkEnd w:id="18"/>
      <w:bookmarkEnd w:id="19"/>
    </w:p>
    <w:p w:rsidR="001E0F83" w:rsidRPr="0039317F" w:rsidRDefault="00B945FE" w:rsidP="0039317F">
      <w:pPr>
        <w:pStyle w:val="InstructionsText2"/>
        <w:rPr>
          <w:rFonts w:eastAsia="Arial"/>
        </w:rPr>
      </w:pPr>
      <w:r>
        <w:t>Определение на понятието „група от свързани клиенти“ е дадено в член 4, п</w:t>
      </w:r>
      <w:r>
        <w:t>а</w:t>
      </w:r>
      <w:r>
        <w:t>раграф 1, точка 39 от РКИ.</w:t>
      </w:r>
    </w:p>
    <w:p w:rsidR="00B0191A" w:rsidRPr="0039317F" w:rsidRDefault="00915A9C" w:rsidP="0039317F">
      <w:pPr>
        <w:pStyle w:val="InstructionsText2"/>
        <w:rPr>
          <w:rFonts w:eastAsia="Arial"/>
        </w:rPr>
      </w:pPr>
      <w:r>
        <w:t xml:space="preserve">Определение на понятието „нерегулирани предприятия от финансовия сектор“ е дадено в член 142, параграф 1, точка 5 от РКИ.  </w:t>
      </w:r>
    </w:p>
    <w:p w:rsidR="00B0191A" w:rsidRPr="0039317F" w:rsidRDefault="00D441A7" w:rsidP="0039317F">
      <w:pPr>
        <w:pStyle w:val="InstructionsText2"/>
        <w:rPr>
          <w:rFonts w:eastAsia="Arial"/>
        </w:rPr>
      </w:pPr>
      <w:r>
        <w:t xml:space="preserve">Определение на понятието „институции“ е дадено в член 4, параграф 1, точка 3 от РКИ.  </w:t>
      </w:r>
    </w:p>
    <w:p w:rsidR="00B0191A" w:rsidRPr="0039317F" w:rsidRDefault="009B34D1" w:rsidP="0039317F">
      <w:pPr>
        <w:pStyle w:val="InstructionsText2"/>
        <w:rPr>
          <w:rFonts w:eastAsia="Arial"/>
        </w:rPr>
      </w:pPr>
      <w:r>
        <w:t>Експозициите към „граждански сдружения“ се докладват. Освен това инстит</w:t>
      </w:r>
      <w:r>
        <w:t>у</w:t>
      </w:r>
      <w:r>
        <w:t>циите добавят сумите на кредитите на гражданските сдружения към дълга на всеки партньор. Експозициите към граждански сдружения с квоти се разделят или разпределят към партньорите според съответните им квоти. Някои схеми (например сметки на името на няколко лица, общности на наследници, заеми, отпуснати на подставени лица), действащи фактически като граждански сдр</w:t>
      </w:r>
      <w:r>
        <w:t>у</w:t>
      </w:r>
      <w:r>
        <w:t xml:space="preserve">жения, следва да се докладват точно като такива. </w:t>
      </w:r>
    </w:p>
    <w:p w:rsidR="00910E26" w:rsidRPr="0039317F" w:rsidRDefault="00D441A7" w:rsidP="0039317F">
      <w:pPr>
        <w:pStyle w:val="InstructionsText2"/>
        <w:rPr>
          <w:rFonts w:eastAsia="Arial"/>
        </w:rPr>
      </w:pPr>
      <w:r>
        <w:t xml:space="preserve">Активите и </w:t>
      </w:r>
      <w:proofErr w:type="spellStart"/>
      <w:r>
        <w:t>задбалансовите</w:t>
      </w:r>
      <w:proofErr w:type="spellEnd"/>
      <w:r>
        <w:t xml:space="preserve"> позиции се използват без прилагане на рисковите тегла и степените на риск съгласно член 389 от РКИ. По-точно към </w:t>
      </w:r>
      <w:proofErr w:type="spellStart"/>
      <w:r>
        <w:t>задбаланс</w:t>
      </w:r>
      <w:r>
        <w:t>о</w:t>
      </w:r>
      <w:r>
        <w:t>вите</w:t>
      </w:r>
      <w:proofErr w:type="spellEnd"/>
      <w:r>
        <w:t xml:space="preserve"> позиции не се прилагат </w:t>
      </w:r>
      <w:proofErr w:type="spellStart"/>
      <w:r>
        <w:t>конверсионни</w:t>
      </w:r>
      <w:proofErr w:type="spellEnd"/>
      <w:r>
        <w:t xml:space="preserve"> коефициенти.</w:t>
      </w:r>
    </w:p>
    <w:p w:rsidR="00B0191A" w:rsidRPr="0039317F" w:rsidRDefault="0039317F" w:rsidP="0039317F">
      <w:pPr>
        <w:pStyle w:val="InstructionsText2"/>
        <w:rPr>
          <w:rFonts w:eastAsia="Arial"/>
        </w:rPr>
      </w:pPr>
      <w:r>
        <w:t xml:space="preserve"> Определение на понятието „експозиции“ е дадено в член 389 от РКИ: </w:t>
      </w:r>
    </w:p>
    <w:p w:rsidR="00B0191A" w:rsidRPr="0039317F" w:rsidRDefault="001243C8" w:rsidP="0039317F">
      <w:pPr>
        <w:pStyle w:val="InstructionsText2"/>
        <w:numPr>
          <w:ilvl w:val="1"/>
          <w:numId w:val="15"/>
        </w:numPr>
        <w:rPr>
          <w:rFonts w:eastAsia="Arial"/>
        </w:rPr>
      </w:pPr>
      <w:r>
        <w:t xml:space="preserve">всеки актив или </w:t>
      </w:r>
      <w:proofErr w:type="spellStart"/>
      <w:r>
        <w:t>задбалансова</w:t>
      </w:r>
      <w:proofErr w:type="spellEnd"/>
      <w:r>
        <w:t xml:space="preserve"> позиция в банковия и търговския портфейл, включително позициите по член 400 от РКИ, но без позициите, към които се прилага член 390, параграф 6, букви а) — г) от РКИ; </w:t>
      </w:r>
    </w:p>
    <w:p w:rsidR="00B0191A" w:rsidRPr="0039317F" w:rsidRDefault="00AB5AE4" w:rsidP="000F0ADE">
      <w:pPr>
        <w:pStyle w:val="InstructionsText2"/>
        <w:numPr>
          <w:ilvl w:val="1"/>
          <w:numId w:val="15"/>
        </w:numPr>
        <w:rPr>
          <w:rFonts w:eastAsia="Arial"/>
        </w:rPr>
      </w:pPr>
      <w:r>
        <w:lastRenderedPageBreak/>
        <w:t xml:space="preserve">„непреки експозиции“ са експозициите към гаранта или </w:t>
      </w:r>
      <w:proofErr w:type="spellStart"/>
      <w:r>
        <w:t>емитента</w:t>
      </w:r>
      <w:proofErr w:type="spellEnd"/>
      <w:r>
        <w:t xml:space="preserve"> на обезпечението, а не към прекия кредитополучател съгласно член 403 от РКИ. [</w:t>
      </w:r>
      <w:r>
        <w:rPr>
          <w:i/>
        </w:rPr>
        <w:t>Посочените тук определения не могат да се отличават по ник</w:t>
      </w:r>
      <w:r>
        <w:rPr>
          <w:i/>
        </w:rPr>
        <w:t>а</w:t>
      </w:r>
      <w:r>
        <w:rPr>
          <w:i/>
        </w:rPr>
        <w:t>къв начин от определенията, предвидени в основния акт.</w:t>
      </w:r>
      <w:r>
        <w:t>]</w:t>
      </w:r>
    </w:p>
    <w:p w:rsidR="00B0191A" w:rsidRPr="0039317F" w:rsidRDefault="00F40CD9" w:rsidP="0039317F">
      <w:pPr>
        <w:pStyle w:val="InstructionsText2"/>
        <w:rPr>
          <w:rFonts w:eastAsia="Arial"/>
        </w:rPr>
      </w:pPr>
      <w:r>
        <w:t>Експозициите към групи от свързани клиенти се изчисляват съгласно член 390, параграф 5.</w:t>
      </w:r>
    </w:p>
    <w:p w:rsidR="0008722B" w:rsidRPr="0039317F" w:rsidRDefault="008645CF" w:rsidP="0039317F">
      <w:pPr>
        <w:pStyle w:val="InstructionsText2"/>
        <w:rPr>
          <w:rFonts w:eastAsia="Arial"/>
        </w:rPr>
      </w:pPr>
      <w:r>
        <w:t xml:space="preserve">Разрешено е „споразуменията за </w:t>
      </w:r>
      <w:proofErr w:type="spellStart"/>
      <w:r>
        <w:t>нетиране</w:t>
      </w:r>
      <w:proofErr w:type="spellEnd"/>
      <w:r>
        <w:t>“ да бъдат взети предвид към ефектите от стойността на големи експозиции съгласно разпоредбите на член 390, пара</w:t>
      </w:r>
      <w:r>
        <w:t>г</w:t>
      </w:r>
      <w:r>
        <w:t xml:space="preserve">рафи 1, 2 и 3 от РКИ. Стойността на експозицията, произтичаща от </w:t>
      </w:r>
      <w:proofErr w:type="spellStart"/>
      <w:r>
        <w:t>дериватен</w:t>
      </w:r>
      <w:proofErr w:type="spellEnd"/>
      <w:r>
        <w:t xml:space="preserve"> инструмент, включен в приложение II към РКИ, се определя съгласно трета част, дял ІІ, глава 6 от РКИ, като в съответствие с нея за целите на тези методи се взима предвид ефектът от договори за </w:t>
      </w:r>
      <w:proofErr w:type="spellStart"/>
      <w:r>
        <w:t>новация</w:t>
      </w:r>
      <w:proofErr w:type="spellEnd"/>
      <w:r>
        <w:t xml:space="preserve"> и други споразумения за </w:t>
      </w:r>
      <w:proofErr w:type="spellStart"/>
      <w:r>
        <w:t>нетир</w:t>
      </w:r>
      <w:r>
        <w:t>а</w:t>
      </w:r>
      <w:r>
        <w:t>не</w:t>
      </w:r>
      <w:proofErr w:type="spellEnd"/>
      <w:r>
        <w:t xml:space="preserve">. Стойността на експозиция, произтичаща от </w:t>
      </w:r>
      <w:proofErr w:type="spellStart"/>
      <w:r>
        <w:t>репо</w:t>
      </w:r>
      <w:proofErr w:type="spellEnd"/>
      <w:r>
        <w:t xml:space="preserve"> сделка, сделки по получав</w:t>
      </w:r>
      <w:r>
        <w:t>а</w:t>
      </w:r>
      <w:r>
        <w:t xml:space="preserve">не или предоставяне в заем на ценни книжа или стоки, трансакции с удължен </w:t>
      </w:r>
      <w:proofErr w:type="spellStart"/>
      <w:r>
        <w:t>с</w:t>
      </w:r>
      <w:r>
        <w:t>е</w:t>
      </w:r>
      <w:r>
        <w:t>тълмент</w:t>
      </w:r>
      <w:proofErr w:type="spellEnd"/>
      <w:r>
        <w:t xml:space="preserve"> и </w:t>
      </w:r>
      <w:proofErr w:type="spellStart"/>
      <w:r>
        <w:t>маржин</w:t>
      </w:r>
      <w:proofErr w:type="spellEnd"/>
      <w:r>
        <w:t xml:space="preserve"> заемни сделки, може да се определи в съответствие с трета част, дял ІІ, глава 4 или 6 от РКИ. В съответствие с член 296 от РКИ, в образците за ГЕ експозицията на единично правно задължение, произтичащо от сключено с контрагент на докладващата институция споразумение за кръстосано </w:t>
      </w:r>
      <w:proofErr w:type="spellStart"/>
      <w:r>
        <w:t>нетиране</w:t>
      </w:r>
      <w:proofErr w:type="spellEnd"/>
      <w:r>
        <w:t xml:space="preserve"> на продукти, се докладва като „други задължения“.</w:t>
      </w:r>
    </w:p>
    <w:p w:rsidR="00AB28E2" w:rsidRPr="0039317F" w:rsidRDefault="001E0F83" w:rsidP="0039317F">
      <w:pPr>
        <w:pStyle w:val="InstructionsText2"/>
        <w:rPr>
          <w:rFonts w:eastAsia="Arial"/>
        </w:rPr>
      </w:pPr>
      <w:r>
        <w:t>„Стойността на експозиция“ се изчислява в съответствие с член 390 от РКИ.</w:t>
      </w:r>
    </w:p>
    <w:p w:rsidR="00B0191A" w:rsidRPr="0039317F" w:rsidRDefault="001E0F83" w:rsidP="0039317F">
      <w:pPr>
        <w:pStyle w:val="InstructionsText2"/>
        <w:rPr>
          <w:rFonts w:eastAsia="Arial"/>
        </w:rPr>
      </w:pPr>
      <w:r>
        <w:t>Ефектът от пълното или частичното прилагане на изключения и допустимите техники за редуциране на кредитния риск за целите на изчисляването на експ</w:t>
      </w:r>
      <w:r>
        <w:t>о</w:t>
      </w:r>
      <w:r>
        <w:t xml:space="preserve">зициите по смисъла на член 395, параграф 1 са описани в членове 399 — 403 от РКИ. </w:t>
      </w:r>
    </w:p>
    <w:p w:rsidR="00AB28E2" w:rsidRPr="0039317F" w:rsidRDefault="0017740A" w:rsidP="0039317F">
      <w:pPr>
        <w:pStyle w:val="InstructionsText2"/>
        <w:rPr>
          <w:rFonts w:eastAsia="Arial"/>
        </w:rPr>
      </w:pPr>
      <w:r>
        <w:t xml:space="preserve">Обратните </w:t>
      </w:r>
      <w:proofErr w:type="spellStart"/>
      <w:r>
        <w:t>репо</w:t>
      </w:r>
      <w:proofErr w:type="spellEnd"/>
      <w:r>
        <w:t xml:space="preserve"> споразумения, обхванати от докладването на големите експоз</w:t>
      </w:r>
      <w:r>
        <w:t>и</w:t>
      </w:r>
      <w:r>
        <w:t>ции, се докладват в съответствие с член 402, параграф 3 от РКИ. При условие че са изпълнени критериите по член 402, параграф 3 от РКИ, институцията докла</w:t>
      </w:r>
      <w:r>
        <w:t>д</w:t>
      </w:r>
      <w:r>
        <w:t>ва големите експозиции към всяка трета страна с размера на вземането, което контрагентът по сделката предявява към третата страна, а не с размера на експ</w:t>
      </w:r>
      <w:r>
        <w:t>о</w:t>
      </w:r>
      <w:r>
        <w:t>зицията към контрагента.</w:t>
      </w:r>
    </w:p>
    <w:p w:rsidR="00B0191A" w:rsidRPr="00384ADB" w:rsidRDefault="00B0191A" w:rsidP="00FD4656">
      <w:pPr>
        <w:rPr>
          <w:rFonts w:eastAsia="Arial"/>
        </w:rPr>
      </w:pP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0" w:name="_Toc393461957"/>
      <w:bookmarkStart w:id="21" w:name="_Toc524032658"/>
      <w:r>
        <w:rPr>
          <w:rFonts w:ascii="Times New Roman" w:hAnsi="Times New Roman"/>
          <w:b/>
          <w:sz w:val="24"/>
          <w:u w:val="none"/>
        </w:rPr>
        <w:t>C 26.00 - Образец за максималния размер на ГЕ</w:t>
      </w:r>
      <w:bookmarkEnd w:id="20"/>
      <w:bookmarkEnd w:id="21"/>
    </w:p>
    <w:p w:rsidR="00C83135" w:rsidRPr="00384ADB" w:rsidRDefault="00C83135" w:rsidP="00C52CE2">
      <w:pPr>
        <w:pStyle w:val="Instructionsberschrift2"/>
        <w:numPr>
          <w:ilvl w:val="1"/>
          <w:numId w:val="22"/>
        </w:numPr>
        <w:rPr>
          <w:rFonts w:ascii="Times New Roman" w:hAnsi="Times New Roman" w:cs="Times New Roman"/>
          <w:sz w:val="24"/>
        </w:rPr>
      </w:pPr>
      <w:bookmarkStart w:id="22" w:name="_Toc393461958"/>
      <w:bookmarkStart w:id="23" w:name="_Toc524032659"/>
      <w:r>
        <w:rPr>
          <w:rFonts w:ascii="Times New Roman" w:hAnsi="Times New Roman"/>
          <w:sz w:val="24"/>
        </w:rPr>
        <w:t>Указания относно отделните редове</w:t>
      </w:r>
      <w:bookmarkEnd w:id="22"/>
      <w:bookmarkEnd w:id="23"/>
    </w:p>
    <w:p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C83135">
        <w:tc>
          <w:tcPr>
            <w:tcW w:w="1418" w:type="dxa"/>
            <w:shd w:val="clear" w:color="auto" w:fill="D9D9D9"/>
          </w:tcPr>
          <w:p w:rsidR="00C83135" w:rsidRPr="00384ADB" w:rsidRDefault="00C8313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Редове</w:t>
            </w:r>
          </w:p>
        </w:tc>
        <w:tc>
          <w:tcPr>
            <w:tcW w:w="7620" w:type="dxa"/>
            <w:shd w:val="clear" w:color="auto" w:fill="D9D9D9"/>
          </w:tcPr>
          <w:p w:rsidR="00B0191A" w:rsidRPr="00384ADB" w:rsidRDefault="00C8313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Контрагенти, които не са институции</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2F103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702E1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максималния размер, приложим за контр</w:t>
            </w:r>
            <w:r>
              <w:rPr>
                <w:rStyle w:val="FormatvorlageInstructionsTabelleText"/>
                <w:rFonts w:ascii="Times New Roman" w:hAnsi="Times New Roman"/>
                <w:sz w:val="24"/>
              </w:rPr>
              <w:t>а</w:t>
            </w:r>
            <w:r>
              <w:rPr>
                <w:rStyle w:val="FormatvorlageInstructionsTabelleText"/>
                <w:rFonts w:ascii="Times New Roman" w:hAnsi="Times New Roman"/>
                <w:sz w:val="24"/>
              </w:rPr>
              <w:t>генти, които не са институции. Тази стойност възлиза на 25 % от д</w:t>
            </w:r>
            <w:r>
              <w:rPr>
                <w:rStyle w:val="FormatvorlageInstructionsTabelleText"/>
                <w:rFonts w:ascii="Times New Roman" w:hAnsi="Times New Roman"/>
                <w:sz w:val="24"/>
              </w:rPr>
              <w:t>о</w:t>
            </w:r>
            <w:r>
              <w:rPr>
                <w:rStyle w:val="FormatvorlageInstructionsTabelleText"/>
                <w:rFonts w:ascii="Times New Roman" w:hAnsi="Times New Roman"/>
                <w:sz w:val="24"/>
              </w:rPr>
              <w:lastRenderedPageBreak/>
              <w:t>пустимия капитал, които се докладват в ред 226 на образец 4 от прил</w:t>
            </w:r>
            <w:r>
              <w:rPr>
                <w:rStyle w:val="FormatvorlageInstructionsTabelleText"/>
                <w:rFonts w:ascii="Times New Roman" w:hAnsi="Times New Roman"/>
                <w:sz w:val="24"/>
              </w:rPr>
              <w:t>о</w:t>
            </w:r>
            <w:r>
              <w:rPr>
                <w:rStyle w:val="FormatvorlageInstructionsTabelleText"/>
                <w:rFonts w:ascii="Times New Roman" w:hAnsi="Times New Roman"/>
                <w:sz w:val="24"/>
              </w:rPr>
              <w:t xml:space="preserve">жение I, освен когато е приложим по-ограничителен процент поради прилагането на национални мерки в съответствие с член 458 от РКИ или делегираните актове, приети в съответствие с член 459, буква б) от РКИ. </w:t>
            </w:r>
          </w:p>
          <w:p w:rsidR="00B0191A" w:rsidRPr="00384ADB" w:rsidRDefault="002F4A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w:t>
            </w: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C83135"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Институции</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максималния размер, приложим за контр</w:t>
            </w:r>
            <w:r>
              <w:rPr>
                <w:rStyle w:val="FormatvorlageInstructionsTabelleText"/>
                <w:rFonts w:ascii="Times New Roman" w:hAnsi="Times New Roman"/>
                <w:sz w:val="24"/>
              </w:rPr>
              <w:t>а</w:t>
            </w:r>
            <w:r>
              <w:rPr>
                <w:rStyle w:val="FormatvorlageInstructionsTabelleText"/>
                <w:rFonts w:ascii="Times New Roman" w:hAnsi="Times New Roman"/>
                <w:sz w:val="24"/>
              </w:rPr>
              <w:t>генти, които са институции. Съгласно член 395, параграф 1 от РКИ, т</w:t>
            </w:r>
            <w:r>
              <w:rPr>
                <w:rStyle w:val="FormatvorlageInstructionsTabelleText"/>
                <w:rFonts w:ascii="Times New Roman" w:hAnsi="Times New Roman"/>
                <w:sz w:val="24"/>
              </w:rPr>
              <w:t>а</w:t>
            </w:r>
            <w:r>
              <w:rPr>
                <w:rStyle w:val="FormatvorlageInstructionsTabelleText"/>
                <w:rFonts w:ascii="Times New Roman" w:hAnsi="Times New Roman"/>
                <w:sz w:val="24"/>
              </w:rPr>
              <w:t>зи стойност е:</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ако двадесет и петте процента от допустимия капитал надвиш</w:t>
            </w:r>
            <w:r>
              <w:rPr>
                <w:rStyle w:val="FormatvorlageInstructionsTabelleText"/>
                <w:rFonts w:ascii="Times New Roman" w:hAnsi="Times New Roman"/>
                <w:sz w:val="24"/>
              </w:rPr>
              <w:t>а</w:t>
            </w:r>
            <w:r>
              <w:rPr>
                <w:rStyle w:val="FormatvorlageInstructionsTabelleText"/>
                <w:rFonts w:ascii="Times New Roman" w:hAnsi="Times New Roman"/>
                <w:sz w:val="24"/>
              </w:rPr>
              <w:t>ват 150 милиона евро (или по-нисък максимален размер, пос</w:t>
            </w:r>
            <w:r>
              <w:rPr>
                <w:rStyle w:val="FormatvorlageInstructionsTabelleText"/>
                <w:rFonts w:ascii="Times New Roman" w:hAnsi="Times New Roman"/>
                <w:sz w:val="24"/>
              </w:rPr>
              <w:t>о</w:t>
            </w:r>
            <w:r>
              <w:rPr>
                <w:rStyle w:val="FormatvorlageInstructionsTabelleText"/>
                <w:rFonts w:ascii="Times New Roman" w:hAnsi="Times New Roman"/>
                <w:sz w:val="24"/>
              </w:rPr>
              <w:t>чен от компетентния орган по силата на член 395, параграф 1, трета алинея от РКИ), се докладват 25 % от допустимия капитал;</w:t>
            </w:r>
          </w:p>
          <w:p w:rsidR="00704405" w:rsidRPr="00384ADB" w:rsidRDefault="00704405">
            <w:pPr>
              <w:pStyle w:val="InstructionsText"/>
              <w:rPr>
                <w:rStyle w:val="FormatvorlageInstructionsTabelleText"/>
                <w:rFonts w:ascii="Times New Roman" w:hAnsi="Times New Roman"/>
                <w:sz w:val="24"/>
              </w:rPr>
            </w:pPr>
          </w:p>
          <w:p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ако двадесет и петте процента от допустимия капитал на инст</w:t>
            </w:r>
            <w:r>
              <w:rPr>
                <w:rStyle w:val="FormatvorlageInstructionsTabelleText"/>
                <w:rFonts w:ascii="Times New Roman" w:hAnsi="Times New Roman"/>
                <w:sz w:val="24"/>
              </w:rPr>
              <w:t>и</w:t>
            </w:r>
            <w:r>
              <w:rPr>
                <w:rStyle w:val="FormatvorlageInstructionsTabelleText"/>
                <w:rFonts w:ascii="Times New Roman" w:hAnsi="Times New Roman"/>
                <w:sz w:val="24"/>
              </w:rPr>
              <w:t>туцията не надвишават 150 милиона евро (или по-нисък макс</w:t>
            </w:r>
            <w:r>
              <w:rPr>
                <w:rStyle w:val="FormatvorlageInstructionsTabelleText"/>
                <w:rFonts w:ascii="Times New Roman" w:hAnsi="Times New Roman"/>
                <w:sz w:val="24"/>
              </w:rPr>
              <w:t>и</w:t>
            </w:r>
            <w:r>
              <w:rPr>
                <w:rStyle w:val="FormatvorlageInstructionsTabelleText"/>
                <w:rFonts w:ascii="Times New Roman" w:hAnsi="Times New Roman"/>
                <w:sz w:val="24"/>
              </w:rPr>
              <w:t>мален размер, посочен от компетентния орган по силата на член 395, параграф 1, трета алинея от РКИ), се докладват 150 мили</w:t>
            </w:r>
            <w:r>
              <w:rPr>
                <w:rStyle w:val="FormatvorlageInstructionsTabelleText"/>
                <w:rFonts w:ascii="Times New Roman" w:hAnsi="Times New Roman"/>
                <w:sz w:val="24"/>
              </w:rPr>
              <w:t>о</w:t>
            </w:r>
            <w:r>
              <w:rPr>
                <w:rStyle w:val="FormatvorlageInstructionsTabelleText"/>
                <w:rFonts w:ascii="Times New Roman" w:hAnsi="Times New Roman"/>
                <w:sz w:val="24"/>
              </w:rPr>
              <w:t>на евро (или по-ниския максимален размер, посочен от комп</w:t>
            </w:r>
            <w:r>
              <w:rPr>
                <w:rStyle w:val="FormatvorlageInstructionsTabelleText"/>
                <w:rFonts w:ascii="Times New Roman" w:hAnsi="Times New Roman"/>
                <w:sz w:val="24"/>
              </w:rPr>
              <w:t>е</w:t>
            </w:r>
            <w:r>
              <w:rPr>
                <w:rStyle w:val="FormatvorlageInstructionsTabelleText"/>
                <w:rFonts w:ascii="Times New Roman" w:hAnsi="Times New Roman"/>
                <w:sz w:val="24"/>
              </w:rPr>
              <w:t>тентния орган). Ако институцията е определила по-нисък ма</w:t>
            </w:r>
            <w:r>
              <w:rPr>
                <w:rStyle w:val="FormatvorlageInstructionsTabelleText"/>
                <w:rFonts w:ascii="Times New Roman" w:hAnsi="Times New Roman"/>
                <w:sz w:val="24"/>
              </w:rPr>
              <w:t>к</w:t>
            </w:r>
            <w:r>
              <w:rPr>
                <w:rStyle w:val="FormatvorlageInstructionsTabelleText"/>
                <w:rFonts w:ascii="Times New Roman" w:hAnsi="Times New Roman"/>
                <w:sz w:val="24"/>
              </w:rPr>
              <w:t>симален размер по отношение на допустимия си капитал, изис</w:t>
            </w:r>
            <w:r>
              <w:rPr>
                <w:rStyle w:val="FormatvorlageInstructionsTabelleText"/>
                <w:rFonts w:ascii="Times New Roman" w:hAnsi="Times New Roman"/>
                <w:sz w:val="24"/>
              </w:rPr>
              <w:t>к</w:t>
            </w:r>
            <w:r>
              <w:rPr>
                <w:rStyle w:val="FormatvorlageInstructionsTabelleText"/>
                <w:rFonts w:ascii="Times New Roman" w:hAnsi="Times New Roman"/>
                <w:sz w:val="24"/>
              </w:rPr>
              <w:t>ван съгласно член 395, параграф 1, втора алинея от РКИ, се до</w:t>
            </w:r>
            <w:r>
              <w:rPr>
                <w:rStyle w:val="FormatvorlageInstructionsTabelleText"/>
                <w:rFonts w:ascii="Times New Roman" w:hAnsi="Times New Roman"/>
                <w:sz w:val="24"/>
              </w:rPr>
              <w:t>к</w:t>
            </w:r>
            <w:r>
              <w:rPr>
                <w:rStyle w:val="FormatvorlageInstructionsTabelleText"/>
                <w:rFonts w:ascii="Times New Roman" w:hAnsi="Times New Roman"/>
                <w:sz w:val="24"/>
              </w:rPr>
              <w:t xml:space="preserve">ладва този максимален размер. </w:t>
            </w:r>
          </w:p>
          <w:p w:rsidR="007F3F93" w:rsidRPr="00384ADB" w:rsidRDefault="007F3F93">
            <w:pPr>
              <w:pStyle w:val="InstructionsText"/>
              <w:rPr>
                <w:rStyle w:val="FormatvorlageInstructionsTabelleText"/>
                <w:rFonts w:ascii="Times New Roman" w:hAnsi="Times New Roman"/>
                <w:sz w:val="24"/>
              </w:rPr>
            </w:pPr>
          </w:p>
          <w:p w:rsidR="007F3F93"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395, параграф 6 от РКИ, член 458 от РКИ или дел</w:t>
            </w:r>
            <w:r>
              <w:rPr>
                <w:rStyle w:val="FormatvorlageInstructionsTabelleText"/>
                <w:rFonts w:ascii="Times New Roman" w:hAnsi="Times New Roman"/>
                <w:sz w:val="24"/>
              </w:rPr>
              <w:t>е</w:t>
            </w:r>
            <w:r>
              <w:rPr>
                <w:rStyle w:val="FormatvorlageInstructionsTabelleText"/>
                <w:rFonts w:ascii="Times New Roman" w:hAnsi="Times New Roman"/>
                <w:sz w:val="24"/>
              </w:rPr>
              <w:t>гиран акт, приет по силата на член 459, буква б) от РКИ, тези макс</w:t>
            </w:r>
            <w:r>
              <w:rPr>
                <w:rStyle w:val="FormatvorlageInstructionsTabelleText"/>
                <w:rFonts w:ascii="Times New Roman" w:hAnsi="Times New Roman"/>
                <w:sz w:val="24"/>
              </w:rPr>
              <w:t>и</w:t>
            </w:r>
            <w:r>
              <w:rPr>
                <w:rStyle w:val="FormatvorlageInstructionsTabelleText"/>
                <w:rFonts w:ascii="Times New Roman" w:hAnsi="Times New Roman"/>
                <w:sz w:val="24"/>
              </w:rPr>
              <w:t>мални размери могат да бъдат по-ниски, когато се прилагат национа</w:t>
            </w:r>
            <w:r>
              <w:rPr>
                <w:rStyle w:val="FormatvorlageInstructionsTabelleText"/>
                <w:rFonts w:ascii="Times New Roman" w:hAnsi="Times New Roman"/>
                <w:sz w:val="24"/>
              </w:rPr>
              <w:t>л</w:t>
            </w:r>
            <w:r>
              <w:rPr>
                <w:rStyle w:val="FormatvorlageInstructionsTabelleText"/>
                <w:rFonts w:ascii="Times New Roman" w:hAnsi="Times New Roman"/>
                <w:sz w:val="24"/>
              </w:rPr>
              <w:t>ни мерки.</w:t>
            </w:r>
          </w:p>
          <w:p w:rsidR="00B0191A" w:rsidRPr="00384ADB" w:rsidRDefault="00B0191A">
            <w:pPr>
              <w:pStyle w:val="InstructionsText"/>
              <w:rPr>
                <w:rStyle w:val="FormatvorlageInstructionsTabelleText"/>
                <w:rFonts w:ascii="Times New Roman" w:hAnsi="Times New Roman"/>
                <w:sz w:val="24"/>
              </w:rPr>
            </w:pPr>
          </w:p>
        </w:tc>
      </w:tr>
      <w:tr w:rsidR="00C83135" w:rsidRPr="00384ADB" w:rsidTr="00C83135">
        <w:tc>
          <w:tcPr>
            <w:tcW w:w="1418" w:type="dxa"/>
          </w:tcPr>
          <w:p w:rsidR="00C83135" w:rsidRPr="00384ADB" w:rsidRDefault="00C8313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702E1B" w:rsidRPr="00384ADB" w:rsidRDefault="001A4F5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Институции в %</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1A4F56"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и член 459, буква а) от РКИ</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586D8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абсолютният максимален размер (докладван в ред 020) изразен като процент от допустимия капитал.</w:t>
            </w:r>
          </w:p>
          <w:p w:rsidR="00B0191A" w:rsidRPr="00384ADB" w:rsidRDefault="00B0191A">
            <w:pPr>
              <w:pStyle w:val="InstructionsText"/>
              <w:rPr>
                <w:rStyle w:val="FormatvorlageInstructionsTabelleText"/>
                <w:rFonts w:ascii="Times New Roman" w:hAnsi="Times New Roman"/>
                <w:b/>
                <w:sz w:val="24"/>
              </w:rPr>
            </w:pPr>
          </w:p>
        </w:tc>
      </w:tr>
    </w:tbl>
    <w:p w:rsidR="00C83135" w:rsidRPr="00384ADB" w:rsidRDefault="00C83135" w:rsidP="0039317F">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4" w:name="_Toc393461959"/>
      <w:bookmarkStart w:id="25" w:name="_Toc524032660"/>
      <w:r>
        <w:rPr>
          <w:rFonts w:ascii="Times New Roman" w:hAnsi="Times New Roman"/>
          <w:b/>
          <w:sz w:val="24"/>
          <w:u w:val="none"/>
        </w:rPr>
        <w:t>C 27.00 - Идентификационни данни на контрагента (образец ГЕ1)</w:t>
      </w:r>
      <w:bookmarkEnd w:id="24"/>
      <w:bookmarkEnd w:id="25"/>
    </w:p>
    <w:p w:rsidR="00634B45" w:rsidRPr="00384ADB" w:rsidRDefault="00634B45" w:rsidP="00C52CE2">
      <w:pPr>
        <w:pStyle w:val="Instructionsberschrift2"/>
        <w:numPr>
          <w:ilvl w:val="1"/>
          <w:numId w:val="22"/>
        </w:numPr>
        <w:rPr>
          <w:rFonts w:ascii="Times New Roman" w:hAnsi="Times New Roman" w:cs="Times New Roman"/>
          <w:sz w:val="24"/>
        </w:rPr>
      </w:pPr>
      <w:bookmarkStart w:id="26" w:name="_Toc393461960"/>
      <w:bookmarkStart w:id="27" w:name="_Toc524032661"/>
      <w:r>
        <w:rPr>
          <w:rFonts w:ascii="Times New Roman" w:hAnsi="Times New Roman"/>
          <w:sz w:val="24"/>
        </w:rPr>
        <w:t>Указания за специфични колони:</w:t>
      </w:r>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634B45">
        <w:tc>
          <w:tcPr>
            <w:tcW w:w="1418" w:type="dxa"/>
            <w:shd w:val="clear" w:color="auto" w:fill="D9D9D9"/>
          </w:tcPr>
          <w:p w:rsidR="00634B45" w:rsidRPr="00384ADB" w:rsidRDefault="00634B45"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rsidR="00634B45" w:rsidRPr="00384ADB" w:rsidRDefault="00634B45"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634B45" w:rsidRPr="00384ADB" w:rsidTr="00634B45">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Идентификационни данни на контрагента:</w:t>
            </w:r>
          </w:p>
          <w:p w:rsidR="00B0191A" w:rsidRPr="0039317F" w:rsidRDefault="00B0191A" w:rsidP="0039317F">
            <w:pPr>
              <w:pStyle w:val="InstructionsText"/>
              <w:rPr>
                <w:rStyle w:val="FormatvorlageInstructionsTabelleText"/>
                <w:rFonts w:ascii="Times New Roman" w:hAnsi="Times New Roman"/>
                <w:b/>
                <w:sz w:val="24"/>
              </w:rPr>
            </w:pPr>
          </w:p>
          <w:p w:rsidR="00290EFB" w:rsidRPr="0039317F" w:rsidRDefault="0031054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Институциите предоставят идентификационните данни на всеки кон</w:t>
            </w:r>
            <w:r>
              <w:rPr>
                <w:rStyle w:val="FormatvorlageInstructionsTabelleText"/>
                <w:rFonts w:ascii="Times New Roman" w:hAnsi="Times New Roman"/>
                <w:sz w:val="24"/>
              </w:rPr>
              <w:t>т</w:t>
            </w:r>
            <w:r>
              <w:rPr>
                <w:rStyle w:val="FormatvorlageInstructionsTabelleText"/>
                <w:rFonts w:ascii="Times New Roman" w:hAnsi="Times New Roman"/>
                <w:sz w:val="24"/>
              </w:rPr>
              <w:t>рагент, за който е подадена информация в някой от образците C 28.00 — C 31.00. Идентификационните данни на групата от свързани клиенти се предоставят само ако в националната отчетна система за нея е пре</w:t>
            </w:r>
            <w:r>
              <w:rPr>
                <w:rStyle w:val="FormatvorlageInstructionsTabelleText"/>
                <w:rFonts w:ascii="Times New Roman" w:hAnsi="Times New Roman"/>
                <w:sz w:val="24"/>
              </w:rPr>
              <w:t>д</w:t>
            </w:r>
            <w:r>
              <w:rPr>
                <w:rStyle w:val="FormatvorlageInstructionsTabelleText"/>
                <w:rFonts w:ascii="Times New Roman" w:hAnsi="Times New Roman"/>
                <w:sz w:val="24"/>
              </w:rPr>
              <w:t>виден собствен код.</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394, параграф 1, буква а) от РКИ институциите с</w:t>
            </w:r>
            <w:r>
              <w:rPr>
                <w:rStyle w:val="FormatvorlageInstructionsTabelleText"/>
                <w:rFonts w:ascii="Times New Roman" w:hAnsi="Times New Roman"/>
                <w:sz w:val="24"/>
              </w:rPr>
              <w:t>ъ</w:t>
            </w:r>
            <w:r>
              <w:rPr>
                <w:rStyle w:val="FormatvorlageInstructionsTabelleText"/>
                <w:rFonts w:ascii="Times New Roman" w:hAnsi="Times New Roman"/>
                <w:sz w:val="24"/>
              </w:rPr>
              <w:t xml:space="preserve">общават идентификационните данни на контрагента, към който имат голяма експозиция, както е определена в член 392 от РКИ. </w:t>
            </w:r>
          </w:p>
          <w:p w:rsidR="00B0191A" w:rsidRPr="0039317F" w:rsidRDefault="00B0191A">
            <w:pPr>
              <w:pStyle w:val="InstructionsText"/>
              <w:rPr>
                <w:rStyle w:val="FormatvorlageInstructionsTabelleText"/>
                <w:rFonts w:ascii="Times New Roman" w:hAnsi="Times New Roman"/>
                <w:sz w:val="24"/>
              </w:rPr>
            </w:pPr>
          </w:p>
          <w:p w:rsidR="00B0191A" w:rsidRPr="0039317F"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394, параграф 2, буква а) от РКИ, институциите с</w:t>
            </w:r>
            <w:r>
              <w:rPr>
                <w:rStyle w:val="FormatvorlageInstructionsTabelleText"/>
                <w:rFonts w:ascii="Times New Roman" w:hAnsi="Times New Roman"/>
                <w:sz w:val="24"/>
              </w:rPr>
              <w:t>ъ</w:t>
            </w:r>
            <w:r>
              <w:rPr>
                <w:rStyle w:val="FormatvorlageInstructionsTabelleText"/>
                <w:rFonts w:ascii="Times New Roman" w:hAnsi="Times New Roman"/>
                <w:sz w:val="24"/>
              </w:rPr>
              <w:t>общават идентификационните данни за контрагента, към който имат най-големи експозиции (когато контрагентът е институция или нерег</w:t>
            </w:r>
            <w:r>
              <w:rPr>
                <w:rStyle w:val="FormatvorlageInstructionsTabelleText"/>
                <w:rFonts w:ascii="Times New Roman" w:hAnsi="Times New Roman"/>
                <w:sz w:val="24"/>
              </w:rPr>
              <w:t>у</w:t>
            </w:r>
            <w:r>
              <w:rPr>
                <w:rStyle w:val="FormatvorlageInstructionsTabelleText"/>
                <w:rFonts w:ascii="Times New Roman" w:hAnsi="Times New Roman"/>
                <w:sz w:val="24"/>
              </w:rPr>
              <w:t>лирано предприятие от финансовия сектор).</w:t>
            </w:r>
          </w:p>
          <w:p w:rsidR="00B0191A" w:rsidRPr="00384ADB" w:rsidRDefault="00B0191A">
            <w:pPr>
              <w:pStyle w:val="InstructionsText"/>
              <w:rPr>
                <w:rStyle w:val="InstructionsTabelleberschrift"/>
                <w:rFonts w:ascii="Times New Roman" w:hAnsi="Times New Roman"/>
                <w:b w:val="0"/>
                <w:sz w:val="24"/>
                <w:u w:val="none"/>
              </w:rPr>
            </w:pPr>
          </w:p>
        </w:tc>
      </w:tr>
      <w:tr w:rsidR="00CA42A9" w:rsidRPr="00384ADB" w:rsidTr="00186D4E">
        <w:trPr>
          <w:trHeight w:val="992"/>
        </w:trPr>
        <w:tc>
          <w:tcPr>
            <w:tcW w:w="1418" w:type="dxa"/>
          </w:tcPr>
          <w:p w:rsidR="00CA42A9"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rsidR="00CA42A9" w:rsidRPr="00384ADB" w:rsidRDefault="00CA42A9"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rsidR="00B0191A" w:rsidRPr="00384ADB" w:rsidRDefault="00B0191A" w:rsidP="0039317F">
            <w:pPr>
              <w:pStyle w:val="InstructionsText"/>
              <w:rPr>
                <w:rStyle w:val="FormatvorlageInstructionsTabelleText"/>
                <w:rFonts w:ascii="Times New Roman" w:hAnsi="Times New Roman"/>
                <w:sz w:val="24"/>
              </w:rPr>
            </w:pPr>
          </w:p>
          <w:p w:rsidR="00296D72" w:rsidRPr="00384ADB" w:rsidRDefault="00296D72"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Този код представлява идентификатор на реда и трябва да е различен за всеки ред от таблицата.</w:t>
            </w:r>
          </w:p>
          <w:p w:rsidR="00296D72" w:rsidRDefault="00296D72">
            <w:pPr>
              <w:pStyle w:val="InstructionsText"/>
              <w:rPr>
                <w:rStyle w:val="FormatvorlageInstructionsTabelleText"/>
                <w:rFonts w:ascii="Times New Roman" w:hAnsi="Times New Roman"/>
                <w:sz w:val="24"/>
              </w:rPr>
            </w:pPr>
          </w:p>
          <w:p w:rsidR="00290EFB" w:rsidRPr="00384ADB" w:rsidRDefault="00290EF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Кодът служи за идентифицирането на отделния контрагент. Предна</w:t>
            </w:r>
            <w:r>
              <w:rPr>
                <w:rStyle w:val="FormatvorlageInstructionsTabelleText"/>
                <w:rFonts w:ascii="Times New Roman" w:hAnsi="Times New Roman"/>
                <w:sz w:val="24"/>
              </w:rPr>
              <w:t>з</w:t>
            </w:r>
            <w:r>
              <w:rPr>
                <w:rStyle w:val="FormatvorlageInstructionsTabelleText"/>
                <w:rFonts w:ascii="Times New Roman" w:hAnsi="Times New Roman"/>
                <w:sz w:val="24"/>
              </w:rPr>
              <w:t>начението на тази колона обаче е да свърже данните за контрагента в C 27.00 с докладваните в C 28.00 — C 31.00 експозиции. Кодът на груп</w:t>
            </w:r>
            <w:r>
              <w:rPr>
                <w:rStyle w:val="FormatvorlageInstructionsTabelleText"/>
                <w:rFonts w:ascii="Times New Roman" w:hAnsi="Times New Roman"/>
                <w:sz w:val="24"/>
              </w:rPr>
              <w:t>а</w:t>
            </w:r>
            <w:r>
              <w:rPr>
                <w:rStyle w:val="FormatvorlageInstructionsTabelleText"/>
                <w:rFonts w:ascii="Times New Roman" w:hAnsi="Times New Roman"/>
                <w:sz w:val="24"/>
              </w:rPr>
              <w:t>та от свързани клиенти се предоставя само ако в националната отчетна система за нея е предвиден собствен код. Кодовете се използват по последователен начин във времето.</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CA42A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Съставът на кода зависи от националната отчетна система, освен ког</w:t>
            </w:r>
            <w:r>
              <w:rPr>
                <w:rStyle w:val="FormatvorlageInstructionsTabelleText"/>
                <w:rFonts w:ascii="Times New Roman" w:hAnsi="Times New Roman"/>
                <w:sz w:val="24"/>
              </w:rPr>
              <w:t>а</w:t>
            </w:r>
            <w:r>
              <w:rPr>
                <w:rStyle w:val="FormatvorlageInstructionsTabelleText"/>
                <w:rFonts w:ascii="Times New Roman" w:hAnsi="Times New Roman"/>
                <w:sz w:val="24"/>
              </w:rPr>
              <w:t>то е налице единна кодификация в Съюза.</w:t>
            </w:r>
          </w:p>
          <w:p w:rsidR="00264B52" w:rsidRPr="00384ADB" w:rsidRDefault="00264B52">
            <w:pPr>
              <w:pStyle w:val="InstructionsText"/>
              <w:rPr>
                <w:rStyle w:val="InstructionsTabelleberschrift"/>
                <w:rFonts w:ascii="Times New Roman" w:hAnsi="Times New Roman"/>
                <w:sz w:val="24"/>
              </w:rPr>
            </w:pPr>
          </w:p>
        </w:tc>
      </w:tr>
      <w:tr w:rsidR="00634B45" w:rsidRPr="00384ADB" w:rsidTr="0039317F">
        <w:trPr>
          <w:trHeight w:val="60"/>
        </w:trPr>
        <w:tc>
          <w:tcPr>
            <w:tcW w:w="1418" w:type="dxa"/>
          </w:tcPr>
          <w:p w:rsidR="00634B45" w:rsidRPr="00384ADB" w:rsidRDefault="00634B45"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634B45" w:rsidRPr="00384ADB" w:rsidRDefault="00634B45"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Наименование</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634B45"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Винаги когато се посочва група от свързани клиенти наименованието съответства на наименованието на групата. Във всички останали сл</w:t>
            </w:r>
            <w:r>
              <w:rPr>
                <w:rStyle w:val="FormatvorlageInstructionsTabelleText"/>
                <w:rFonts w:ascii="Times New Roman" w:hAnsi="Times New Roman"/>
                <w:sz w:val="24"/>
              </w:rPr>
              <w:t>у</w:t>
            </w:r>
            <w:r>
              <w:rPr>
                <w:rStyle w:val="FormatvorlageInstructionsTabelleText"/>
                <w:rFonts w:ascii="Times New Roman" w:hAnsi="Times New Roman"/>
                <w:sz w:val="24"/>
              </w:rPr>
              <w:t>чаи наименованието съответства на отделния контрагент.</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Наименованието, което се посочва за група от свързани клиенти, е н</w:t>
            </w:r>
            <w:r>
              <w:rPr>
                <w:rStyle w:val="FormatvorlageInstructionsTabelleText"/>
                <w:rFonts w:ascii="Times New Roman" w:hAnsi="Times New Roman"/>
                <w:sz w:val="24"/>
              </w:rPr>
              <w:t>а</w:t>
            </w:r>
            <w:r>
              <w:rPr>
                <w:rStyle w:val="FormatvorlageInstructionsTabelleText"/>
                <w:rFonts w:ascii="Times New Roman" w:hAnsi="Times New Roman"/>
                <w:sz w:val="24"/>
              </w:rPr>
              <w:t>именованието на дружеството майка, а когато групата от свързани кл</w:t>
            </w:r>
            <w:r>
              <w:rPr>
                <w:rStyle w:val="FormatvorlageInstructionsTabelleText"/>
                <w:rFonts w:ascii="Times New Roman" w:hAnsi="Times New Roman"/>
                <w:sz w:val="24"/>
              </w:rPr>
              <w:t>и</w:t>
            </w:r>
            <w:r>
              <w:rPr>
                <w:rStyle w:val="FormatvorlageInstructionsTabelleText"/>
                <w:rFonts w:ascii="Times New Roman" w:hAnsi="Times New Roman"/>
                <w:sz w:val="24"/>
              </w:rPr>
              <w:t>енти няма дружество майка, се посочва търговското наименование на групата.</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Идентификационен код на правен субект (ИКПС)</w:t>
            </w:r>
          </w:p>
          <w:p w:rsidR="00B0191A" w:rsidRPr="00384ADB" w:rsidRDefault="00B0191A" w:rsidP="0039317F">
            <w:pPr>
              <w:pStyle w:val="InstructionsText"/>
              <w:rPr>
                <w:rStyle w:val="InstructionsTabelleberschrif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Идентификационният код на правния субект на контрагента. </w:t>
            </w:r>
          </w:p>
          <w:p w:rsidR="00B0191A" w:rsidRPr="00384ADB" w:rsidRDefault="00B0191A">
            <w:pPr>
              <w:pStyle w:val="InstructionsText"/>
              <w:rPr>
                <w:rStyle w:val="InstructionsTabelleberschrift"/>
                <w:rFonts w:ascii="Times New Roman" w:hAnsi="Times New Roman"/>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Местопребиваване на контрагента</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8927C3"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Използва се код 3166-1-alpha-2 по ISO на държавата на учредяване на контрагента (включително </w:t>
            </w:r>
            <w:proofErr w:type="spellStart"/>
            <w:r>
              <w:rPr>
                <w:rStyle w:val="FormatvorlageInstructionsTabelleText"/>
                <w:rFonts w:ascii="Times New Roman" w:hAnsi="Times New Roman"/>
                <w:sz w:val="24"/>
              </w:rPr>
              <w:t>псевдокодовете</w:t>
            </w:r>
            <w:proofErr w:type="spellEnd"/>
            <w:r>
              <w:rPr>
                <w:rStyle w:val="FormatvorlageInstructionsTabelleText"/>
                <w:rFonts w:ascii="Times New Roman" w:hAnsi="Times New Roman"/>
                <w:sz w:val="24"/>
              </w:rPr>
              <w:t xml:space="preserve"> по ISO за международните </w:t>
            </w:r>
            <w:r>
              <w:rPr>
                <w:rStyle w:val="FormatvorlageInstructionsTabelleText"/>
                <w:rFonts w:ascii="Times New Roman" w:hAnsi="Times New Roman"/>
                <w:sz w:val="24"/>
              </w:rPr>
              <w:lastRenderedPageBreak/>
              <w:t xml:space="preserve">организации, които </w:t>
            </w:r>
            <w:proofErr w:type="spellStart"/>
            <w:r>
              <w:rPr>
                <w:rStyle w:val="FormatvorlageInstructionsTabelleText"/>
                <w:rFonts w:ascii="Times New Roman" w:hAnsi="Times New Roman"/>
                <w:sz w:val="24"/>
              </w:rPr>
              <w:t>псевдокодове</w:t>
            </w:r>
            <w:proofErr w:type="spellEnd"/>
            <w:r>
              <w:rPr>
                <w:rStyle w:val="FormatvorlageInstructionsTabelleText"/>
                <w:rFonts w:ascii="Times New Roman" w:hAnsi="Times New Roman"/>
                <w:sz w:val="24"/>
              </w:rPr>
              <w:t xml:space="preserve"> се намират в най-актуалното издание на наръчника на </w:t>
            </w:r>
            <w:proofErr w:type="spellStart"/>
            <w:r>
              <w:rPr>
                <w:rStyle w:val="FormatvorlageInstructionsTabelleText"/>
                <w:rFonts w:ascii="Times New Roman" w:hAnsi="Times New Roman"/>
                <w:sz w:val="24"/>
              </w:rPr>
              <w:t>Евростат</w:t>
            </w:r>
            <w:proofErr w:type="spellEnd"/>
            <w:r>
              <w:rPr>
                <w:rStyle w:val="FormatvorlageInstructionsTabelleText"/>
                <w:rFonts w:ascii="Times New Roman" w:hAnsi="Times New Roman"/>
                <w:sz w:val="24"/>
              </w:rPr>
              <w:t xml:space="preserve"> относно платежния баланс).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За групите от свързани клиенти местопребиваване не се посочва. </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Сектор на контрагента</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Всеки контрагент се причислява към даден икономически сектор, като се използва класификацията на икономическите сектори в образците за докладване на финансова информация („FINREP“):</w:t>
            </w:r>
          </w:p>
          <w:p w:rsidR="00B0191A" w:rsidRPr="00384ADB" w:rsidRDefault="00B0191A">
            <w:pPr>
              <w:pStyle w:val="InstructionsText"/>
              <w:rPr>
                <w:rStyle w:val="FormatvorlageInstructionsTabelleText"/>
                <w:rFonts w:ascii="Times New Roman" w:hAnsi="Times New Roman"/>
                <w:sz w:val="24"/>
              </w:rPr>
            </w:pP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централни банки;</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w:t>
            </w:r>
            <w:r>
              <w:tab/>
            </w:r>
            <w:r>
              <w:rPr>
                <w:rStyle w:val="FormatvorlageInstructionsTabelleText"/>
                <w:rFonts w:ascii="Times New Roman" w:hAnsi="Times New Roman"/>
                <w:sz w:val="24"/>
              </w:rPr>
              <w:t>сектори „Държавно управление“;</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w:t>
            </w:r>
            <w:r>
              <w:tab/>
            </w:r>
            <w:r>
              <w:rPr>
                <w:rStyle w:val="FormatvorlageInstructionsTabelleText"/>
                <w:rFonts w:ascii="Times New Roman" w:hAnsi="Times New Roman"/>
                <w:sz w:val="24"/>
              </w:rPr>
              <w:t>кредитни институции;</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 xml:space="preserve">инвестиционни </w:t>
            </w:r>
            <w:proofErr w:type="spellStart"/>
            <w:r>
              <w:rPr>
                <w:rStyle w:val="FormatvorlageInstructionsTabelleText"/>
                <w:rFonts w:ascii="Times New Roman" w:hAnsi="Times New Roman"/>
                <w:sz w:val="24"/>
              </w:rPr>
              <w:t>посредници</w:t>
            </w:r>
            <w:proofErr w:type="spellEnd"/>
            <w:r>
              <w:rPr>
                <w:rStyle w:val="FormatvorlageInstructionsTabelleText"/>
                <w:rFonts w:ascii="Times New Roman" w:hAnsi="Times New Roman"/>
                <w:sz w:val="24"/>
              </w:rPr>
              <w:t xml:space="preserve"> по смисъла на член 4, параграф 1, то</w:t>
            </w:r>
            <w:r>
              <w:rPr>
                <w:rStyle w:val="FormatvorlageInstructionsTabelleText"/>
                <w:rFonts w:ascii="Times New Roman" w:hAnsi="Times New Roman"/>
                <w:sz w:val="24"/>
              </w:rPr>
              <w:t>ч</w:t>
            </w:r>
            <w:r>
              <w:rPr>
                <w:rStyle w:val="FormatvorlageInstructionsTabelleText"/>
                <w:rFonts w:ascii="Times New Roman" w:hAnsi="Times New Roman"/>
                <w:sz w:val="24"/>
              </w:rPr>
              <w:t>ка 2 от РКИ;</w:t>
            </w:r>
          </w:p>
          <w:p w:rsidR="00470630" w:rsidRDefault="00470630"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 xml:space="preserve">„други финансови предприятия“ (без инвестиционни </w:t>
            </w:r>
            <w:proofErr w:type="spellStart"/>
            <w:r>
              <w:rPr>
                <w:rStyle w:val="FormatvorlageInstructionsTabelleText"/>
                <w:rFonts w:ascii="Times New Roman" w:hAnsi="Times New Roman"/>
                <w:sz w:val="24"/>
              </w:rPr>
              <w:t>посредници</w:t>
            </w:r>
            <w:proofErr w:type="spellEnd"/>
            <w:r>
              <w:rPr>
                <w:rStyle w:val="FormatvorlageInstructionsTabelleText"/>
                <w:rFonts w:ascii="Times New Roman" w:hAnsi="Times New Roman"/>
                <w:sz w:val="24"/>
              </w:rPr>
              <w:t>);</w:t>
            </w:r>
          </w:p>
          <w:p w:rsidR="00470630"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нефинансови предприятия;</w:t>
            </w:r>
          </w:p>
          <w:p w:rsidR="00B0191A" w:rsidRPr="00384ADB" w:rsidRDefault="00965DED"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домакинства. </w:t>
            </w:r>
          </w:p>
          <w:p w:rsidR="00B0191A"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За групите от свързани клиенти не се посочва сектор.</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 по NACE</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икономическия сектор се използват кодовете по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la</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Communauté</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Статистическа класификация на икономическите дейно</w:t>
            </w:r>
            <w:r>
              <w:rPr>
                <w:rStyle w:val="FormatvorlageInstructionsTabelleText"/>
                <w:rFonts w:ascii="Times New Roman" w:hAnsi="Times New Roman"/>
                <w:sz w:val="24"/>
              </w:rPr>
              <w:t>с</w:t>
            </w:r>
            <w:r>
              <w:rPr>
                <w:rStyle w:val="FormatvorlageInstructionsTabelleText"/>
                <w:rFonts w:ascii="Times New Roman" w:hAnsi="Times New Roman"/>
                <w:sz w:val="24"/>
              </w:rPr>
              <w:t xml:space="preserve">ти в ЕС).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Тази колона се прилага само за контрагенти, които са „други финанс</w:t>
            </w:r>
            <w:r>
              <w:rPr>
                <w:rStyle w:val="FormatvorlageInstructionsTabelleText"/>
                <w:rFonts w:ascii="Times New Roman" w:hAnsi="Times New Roman"/>
                <w:sz w:val="24"/>
              </w:rPr>
              <w:t>о</w:t>
            </w:r>
            <w:r>
              <w:rPr>
                <w:rStyle w:val="FormatvorlageInstructionsTabelleText"/>
                <w:rFonts w:ascii="Times New Roman" w:hAnsi="Times New Roman"/>
                <w:sz w:val="24"/>
              </w:rPr>
              <w:t>ви предприятия“ или „нефинансови предприятия“.  За „нефинансови предприятия“ кодовете по NACE се използват с едно ниво на детайл</w:t>
            </w:r>
            <w:r>
              <w:rPr>
                <w:rStyle w:val="FormatvorlageInstructionsTabelleText"/>
                <w:rFonts w:ascii="Times New Roman" w:hAnsi="Times New Roman"/>
                <w:sz w:val="24"/>
              </w:rPr>
              <w:t>и</w:t>
            </w:r>
            <w:r>
              <w:rPr>
                <w:rStyle w:val="FormatvorlageInstructionsTabelleText"/>
                <w:rFonts w:ascii="Times New Roman" w:hAnsi="Times New Roman"/>
                <w:sz w:val="24"/>
              </w:rPr>
              <w:t>зиране (например „F - строителство“), а за „други финансови предпр</w:t>
            </w:r>
            <w:r>
              <w:rPr>
                <w:rStyle w:val="FormatvorlageInstructionsTabelleText"/>
                <w:rFonts w:ascii="Times New Roman" w:hAnsi="Times New Roman"/>
                <w:sz w:val="24"/>
              </w:rPr>
              <w:t>и</w:t>
            </w:r>
            <w:r>
              <w:rPr>
                <w:rStyle w:val="FormatvorlageInstructionsTabelleText"/>
                <w:rFonts w:ascii="Times New Roman" w:hAnsi="Times New Roman"/>
                <w:sz w:val="24"/>
              </w:rPr>
              <w:t>ятия“ - с две нива на детайлизиране, като по този начин се предоставя отделна информация относно застрахователните дейности (например „K65 - Застраховане, презастраховане и допълнително пенсионно ос</w:t>
            </w:r>
            <w:r>
              <w:rPr>
                <w:rStyle w:val="FormatvorlageInstructionsTabelleText"/>
                <w:rFonts w:ascii="Times New Roman" w:hAnsi="Times New Roman"/>
                <w:sz w:val="24"/>
              </w:rPr>
              <w:t>и</w:t>
            </w:r>
            <w:r>
              <w:rPr>
                <w:rStyle w:val="FormatvorlageInstructionsTabelleText"/>
                <w:rFonts w:ascii="Times New Roman" w:hAnsi="Times New Roman"/>
                <w:sz w:val="24"/>
              </w:rPr>
              <w:t xml:space="preserve">гуряване“). "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Икономическите сектори „други финансови предприятия“ и „нефина</w:t>
            </w:r>
            <w:r>
              <w:rPr>
                <w:rStyle w:val="FormatvorlageInstructionsTabelleText"/>
                <w:rFonts w:ascii="Times New Roman" w:hAnsi="Times New Roman"/>
                <w:sz w:val="24"/>
              </w:rPr>
              <w:t>н</w:t>
            </w:r>
            <w:r>
              <w:rPr>
                <w:rStyle w:val="FormatvorlageInstructionsTabelleText"/>
                <w:rFonts w:ascii="Times New Roman" w:hAnsi="Times New Roman"/>
                <w:sz w:val="24"/>
              </w:rPr>
              <w:t>сови предприятия“ се класифицират въз основа на разбивката на кон</w:t>
            </w:r>
            <w:r>
              <w:rPr>
                <w:rStyle w:val="FormatvorlageInstructionsTabelleText"/>
                <w:rFonts w:ascii="Times New Roman" w:hAnsi="Times New Roman"/>
                <w:sz w:val="24"/>
              </w:rPr>
              <w:t>т</w:t>
            </w:r>
            <w:r>
              <w:rPr>
                <w:rStyle w:val="FormatvorlageInstructionsTabelleText"/>
                <w:rFonts w:ascii="Times New Roman" w:hAnsi="Times New Roman"/>
                <w:sz w:val="24"/>
              </w:rPr>
              <w:t>рагентите съгласно FINREP.</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групите от свързани клиенти кодове по NACE не се посочват.</w:t>
            </w:r>
          </w:p>
          <w:p w:rsidR="00B0191A" w:rsidRPr="00384ADB" w:rsidRDefault="00B0191A">
            <w:pPr>
              <w:pStyle w:val="InstructionsText"/>
              <w:rPr>
                <w:rStyle w:val="FormatvorlageInstructionsTabelleText"/>
                <w:rFonts w:ascii="Times New Roman" w:hAnsi="Times New Roman"/>
                <w:b/>
                <w:sz w:val="24"/>
              </w:rPr>
            </w:pPr>
          </w:p>
        </w:tc>
      </w:tr>
      <w:tr w:rsidR="00965DED" w:rsidRPr="00384ADB" w:rsidTr="00634B45">
        <w:tc>
          <w:tcPr>
            <w:tcW w:w="1418" w:type="dxa"/>
          </w:tcPr>
          <w:p w:rsidR="00965DED"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Вид контрагент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965DED" w:rsidP="000F0ADE">
            <w:pPr>
              <w:pStyle w:val="InstructionsText"/>
              <w:rPr>
                <w:rFonts w:eastAsia="Arial"/>
              </w:rPr>
            </w:pPr>
            <w:r>
              <w:t xml:space="preserve">Член 394, параграф 2 от РКИ </w:t>
            </w:r>
            <w:r>
              <w:rPr>
                <w:i/>
              </w:rPr>
              <w:t xml:space="preserve"> </w:t>
            </w:r>
          </w:p>
          <w:p w:rsidR="00B0191A" w:rsidRPr="00384ADB" w:rsidRDefault="00B0191A">
            <w:pPr>
              <w:pStyle w:val="InstructionsText"/>
              <w:rPr>
                <w:rFonts w:eastAsia="Arial"/>
              </w:rPr>
            </w:pP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Посочва се видът на контрагента, към който са десетте най-големи ек</w:t>
            </w:r>
            <w:r>
              <w:rPr>
                <w:rStyle w:val="FormatvorlageInstructionsTabelleText"/>
                <w:rFonts w:ascii="Times New Roman" w:hAnsi="Times New Roman"/>
                <w:sz w:val="24"/>
              </w:rPr>
              <w:t>с</w:t>
            </w:r>
            <w:r>
              <w:rPr>
                <w:rStyle w:val="FormatvorlageInstructionsTabelleText"/>
                <w:rFonts w:ascii="Times New Roman" w:hAnsi="Times New Roman"/>
                <w:sz w:val="24"/>
              </w:rPr>
              <w:t>позиции към институции и десетте най-големи експозиции към нерег</w:t>
            </w:r>
            <w:r>
              <w:rPr>
                <w:rStyle w:val="FormatvorlageInstructionsTabelleText"/>
                <w:rFonts w:ascii="Times New Roman" w:hAnsi="Times New Roman"/>
                <w:sz w:val="24"/>
              </w:rPr>
              <w:t>у</w:t>
            </w:r>
            <w:r>
              <w:rPr>
                <w:rStyle w:val="FormatvorlageInstructionsTabelleText"/>
                <w:rFonts w:ascii="Times New Roman" w:hAnsi="Times New Roman"/>
                <w:sz w:val="24"/>
              </w:rPr>
              <w:lastRenderedPageBreak/>
              <w:t>лирани предприятия от финансовия сектор, като се използва „I“ за ин</w:t>
            </w:r>
            <w:r>
              <w:rPr>
                <w:rStyle w:val="FormatvorlageInstructionsTabelleText"/>
                <w:rFonts w:ascii="Times New Roman" w:hAnsi="Times New Roman"/>
                <w:sz w:val="24"/>
              </w:rPr>
              <w:t>с</w:t>
            </w:r>
            <w:r>
              <w:rPr>
                <w:rStyle w:val="FormatvorlageInstructionsTabelleText"/>
                <w:rFonts w:ascii="Times New Roman" w:hAnsi="Times New Roman"/>
                <w:sz w:val="24"/>
              </w:rPr>
              <w:t xml:space="preserve">титуции и „U“ за нерегулирани предприятия от финансовия сектор. </w:t>
            </w:r>
          </w:p>
          <w:p w:rsidR="00B0191A" w:rsidRPr="00384ADB" w:rsidRDefault="00B0191A">
            <w:pPr>
              <w:pStyle w:val="InstructionsText"/>
              <w:rPr>
                <w:rStyle w:val="InstructionsTabelleberschrift"/>
                <w:rFonts w:ascii="Times New Roman" w:hAnsi="Times New Roman"/>
                <w:sz w:val="24"/>
              </w:rPr>
            </w:pP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28" w:name="_Toc393461961"/>
      <w:bookmarkStart w:id="29" w:name="_Toc524032662"/>
      <w:r>
        <w:rPr>
          <w:rFonts w:ascii="Times New Roman" w:hAnsi="Times New Roman"/>
          <w:b/>
          <w:sz w:val="24"/>
          <w:u w:val="none"/>
        </w:rPr>
        <w:t>C 28.00 - Експозиции в банковия и търговския портфейл (образец ГЕ2)</w:t>
      </w:r>
      <w:bookmarkEnd w:id="28"/>
      <w:bookmarkEnd w:id="29"/>
    </w:p>
    <w:p w:rsidR="003105C6" w:rsidRPr="00384ADB" w:rsidRDefault="003105C6" w:rsidP="00C52CE2">
      <w:pPr>
        <w:pStyle w:val="Instructionsberschrift2"/>
        <w:numPr>
          <w:ilvl w:val="1"/>
          <w:numId w:val="22"/>
        </w:numPr>
        <w:rPr>
          <w:rFonts w:ascii="Times New Roman" w:hAnsi="Times New Roman" w:cs="Times New Roman"/>
          <w:sz w:val="24"/>
        </w:rPr>
      </w:pPr>
      <w:bookmarkStart w:id="30" w:name="_Toc308175821"/>
      <w:bookmarkStart w:id="31" w:name="_Toc310414968"/>
      <w:bookmarkStart w:id="32" w:name="_Toc393461962"/>
      <w:bookmarkStart w:id="33" w:name="_Toc524032663"/>
      <w:r>
        <w:rPr>
          <w:rFonts w:ascii="Times New Roman" w:hAnsi="Times New Roman"/>
          <w:sz w:val="24"/>
        </w:rPr>
        <w:t xml:space="preserve">Указания за специфични </w:t>
      </w:r>
      <w:bookmarkEnd w:id="30"/>
      <w:bookmarkEnd w:id="31"/>
      <w:r>
        <w:rPr>
          <w:rFonts w:ascii="Times New Roman" w:hAnsi="Times New Roman"/>
          <w:sz w:val="24"/>
        </w:rPr>
        <w:t>колони:</w:t>
      </w:r>
      <w:bookmarkEnd w:id="32"/>
      <w:bookmarkEnd w:id="33"/>
    </w:p>
    <w:p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17043">
        <w:tc>
          <w:tcPr>
            <w:tcW w:w="1418" w:type="dxa"/>
            <w:shd w:val="clear" w:color="auto" w:fill="D9D9D9"/>
          </w:tcPr>
          <w:p w:rsidR="00D946DB" w:rsidRPr="00384ADB" w:rsidRDefault="005E7263"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rsidR="00B0191A" w:rsidRPr="00384ADB" w:rsidRDefault="003105C6"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D946DB" w:rsidRPr="00384ADB" w:rsidTr="00E17043">
        <w:tc>
          <w:tcPr>
            <w:tcW w:w="1418" w:type="dxa"/>
          </w:tcPr>
          <w:p w:rsidR="00D946DB"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rsidR="00B0191A" w:rsidRPr="00384ADB" w:rsidRDefault="00394753"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rsidR="00B0191A" w:rsidRPr="00384ADB" w:rsidRDefault="00B0191A" w:rsidP="000F0ADE">
            <w:pPr>
              <w:pStyle w:val="InstructionsText"/>
              <w:rPr>
                <w:rStyle w:val="FormatvorlageInstructionsTabelleText"/>
                <w:rFonts w:ascii="Times New Roman" w:hAnsi="Times New Roman"/>
                <w:b/>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на национално равнище е предвиден собствен код за група от свързани клиенти, той се посочва като кода на групата от свързани клиенти. Ако на национално равнище не е предвиден такъв собствен код, в C 27.00 се посочва кодът на дружеството майка.</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група от свързани клиенти няма дружество майка, кодът, който се посочва, е този на отделното дружество, което институцията счита за най-значимо в групата от свързани клиенти. Във всички останали сл</w:t>
            </w:r>
            <w:r>
              <w:rPr>
                <w:rStyle w:val="FormatvorlageInstructionsTabelleText"/>
                <w:rFonts w:ascii="Times New Roman" w:hAnsi="Times New Roman"/>
                <w:sz w:val="24"/>
              </w:rPr>
              <w:t>у</w:t>
            </w:r>
            <w:r>
              <w:rPr>
                <w:rStyle w:val="FormatvorlageInstructionsTabelleText"/>
                <w:rFonts w:ascii="Times New Roman" w:hAnsi="Times New Roman"/>
                <w:sz w:val="24"/>
              </w:rPr>
              <w:t>чаи кодът съответства на отделния контрагент.</w:t>
            </w:r>
          </w:p>
          <w:p w:rsidR="007449CB" w:rsidRPr="007449CB" w:rsidRDefault="007449CB">
            <w:pPr>
              <w:pStyle w:val="InstructionsText"/>
              <w:rPr>
                <w:rStyle w:val="FormatvorlageInstructionsTabelleText"/>
                <w:rFonts w:ascii="Times New Roman" w:hAnsi="Times New Roman"/>
                <w:sz w:val="24"/>
              </w:rPr>
            </w:pP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Кодовете се използват по последователен начин във времето. </w:t>
            </w:r>
          </w:p>
          <w:p w:rsidR="007449CB" w:rsidRPr="007449CB" w:rsidRDefault="007449CB">
            <w:pPr>
              <w:pStyle w:val="InstructionsText"/>
              <w:rPr>
                <w:rStyle w:val="FormatvorlageInstructionsTabelleText"/>
                <w:rFonts w:ascii="Times New Roman" w:hAnsi="Times New Roman"/>
                <w:sz w:val="24"/>
              </w:rPr>
            </w:pPr>
          </w:p>
          <w:p w:rsid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Съставът на кода зависи от националната отчетна система, освен ког</w:t>
            </w:r>
            <w:r>
              <w:rPr>
                <w:rStyle w:val="FormatvorlageInstructionsTabelleText"/>
                <w:rFonts w:ascii="Times New Roman" w:hAnsi="Times New Roman"/>
                <w:sz w:val="24"/>
              </w:rPr>
              <w:t>а</w:t>
            </w:r>
            <w:r>
              <w:rPr>
                <w:rStyle w:val="FormatvorlageInstructionsTabelleText"/>
                <w:rFonts w:ascii="Times New Roman" w:hAnsi="Times New Roman"/>
                <w:sz w:val="24"/>
              </w:rPr>
              <w:t>то в ЕС има единна кодификация.</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Група или отделен клиент</w:t>
            </w:r>
          </w:p>
          <w:p w:rsidR="00B0191A" w:rsidRPr="00384ADB" w:rsidRDefault="00B0191A" w:rsidP="0039317F">
            <w:pPr>
              <w:pStyle w:val="InstructionsText"/>
              <w:rPr>
                <w:rStyle w:val="FormatvorlageInstructionsTabelleText"/>
                <w:rFonts w:ascii="Times New Roman" w:hAnsi="Times New Roman"/>
                <w:b/>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Институцията посочва „1“ при докладването на експозиции към отде</w:t>
            </w:r>
            <w:r>
              <w:rPr>
                <w:rStyle w:val="FormatvorlageInstructionsTabelleText"/>
                <w:rFonts w:ascii="Times New Roman" w:hAnsi="Times New Roman"/>
                <w:sz w:val="24"/>
              </w:rPr>
              <w:t>л</w:t>
            </w:r>
            <w:r>
              <w:rPr>
                <w:rStyle w:val="FormatvorlageInstructionsTabelleText"/>
                <w:rFonts w:ascii="Times New Roman" w:hAnsi="Times New Roman"/>
                <w:sz w:val="24"/>
              </w:rPr>
              <w:t>ни клиенти или „2“ при докладването на експозиции към групи от свързани клиенти.</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Сделки, при които има експозиция към базови активи </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390, параграф 7 от РКИ</w:t>
            </w:r>
          </w:p>
          <w:p w:rsidR="00B0191A" w:rsidRPr="00384ADB" w:rsidRDefault="00B0191A" w:rsidP="000F0ADE">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допълнителните технически спецификации на националните компетентни органи, когато институцията има експозиции към посоч</w:t>
            </w:r>
            <w:r>
              <w:rPr>
                <w:rStyle w:val="FormatvorlageInstructionsTabelleText"/>
                <w:rFonts w:ascii="Times New Roman" w:hAnsi="Times New Roman"/>
                <w:sz w:val="24"/>
              </w:rPr>
              <w:t>е</w:t>
            </w:r>
            <w:r>
              <w:rPr>
                <w:rStyle w:val="FormatvorlageInstructionsTabelleText"/>
                <w:rFonts w:ascii="Times New Roman" w:hAnsi="Times New Roman"/>
                <w:sz w:val="24"/>
              </w:rPr>
              <w:t>ния контрагент чрез сделка, при която има експозиции към базови а</w:t>
            </w:r>
            <w:r>
              <w:rPr>
                <w:rStyle w:val="FormatvorlageInstructionsTabelleText"/>
                <w:rFonts w:ascii="Times New Roman" w:hAnsi="Times New Roman"/>
                <w:sz w:val="24"/>
              </w:rPr>
              <w:t>к</w:t>
            </w:r>
            <w:r>
              <w:rPr>
                <w:rStyle w:val="FormatvorlageInstructionsTabelleText"/>
                <w:rFonts w:ascii="Times New Roman" w:hAnsi="Times New Roman"/>
                <w:sz w:val="24"/>
              </w:rPr>
              <w:t xml:space="preserve">тиви, се посочва „да“, а в противен случай — „не“. </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Първоначални експозиции</w:t>
            </w:r>
          </w:p>
          <w:p w:rsidR="00B0191A" w:rsidRPr="00384ADB" w:rsidRDefault="00B0191A" w:rsidP="0039317F">
            <w:pPr>
              <w:pStyle w:val="InstructionsText"/>
              <w:rPr>
                <w:rStyle w:val="InstructionsTabelleberschrift"/>
                <w:rFonts w:ascii="Times New Roman" w:hAnsi="Times New Roman"/>
                <w:b w:val="0"/>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Членове 24, 389, 390 и 392 от </w:t>
            </w:r>
            <w:r>
              <w:rPr>
                <w:rStyle w:val="FormatvorlageInstructionsTabelleText"/>
                <w:rFonts w:ascii="Times New Roman" w:hAnsi="Times New Roman"/>
                <w:sz w:val="24"/>
              </w:rPr>
              <w:t>РКИ</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9317F" w:rsidRDefault="00C92E0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тази група колони институцията докладва първоначалните експоз</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ции по преки експозиции, непреки експозиции и допълнителни експ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зиции, произтичащи от сделки, при които има експозиция към базови </w:t>
            </w:r>
            <w:r>
              <w:rPr>
                <w:rStyle w:val="InstructionsTabelleberschrift"/>
                <w:rFonts w:ascii="Times New Roman" w:hAnsi="Times New Roman"/>
                <w:b w:val="0"/>
                <w:sz w:val="24"/>
                <w:u w:val="none"/>
              </w:rPr>
              <w:lastRenderedPageBreak/>
              <w:t>активи.</w:t>
            </w:r>
          </w:p>
          <w:p w:rsidR="00B0191A" w:rsidRPr="0039317F" w:rsidRDefault="00B0191A">
            <w:pPr>
              <w:pStyle w:val="InstructionsText"/>
              <w:rPr>
                <w:rStyle w:val="InstructionsTabelleberschrift"/>
                <w:rFonts w:ascii="Times New Roman" w:hAnsi="Times New Roman"/>
                <w:b w:val="0"/>
                <w:bCs w:val="0"/>
                <w:sz w:val="24"/>
                <w:u w:val="none"/>
              </w:rPr>
            </w:pPr>
          </w:p>
          <w:p w:rsidR="00B0191A" w:rsidRPr="0039317F" w:rsidRDefault="00BB3751" w:rsidP="0039317F">
            <w:pPr>
              <w:pStyle w:val="InstructionsText"/>
            </w:pPr>
            <w:r>
              <w:t xml:space="preserve">Съгласно член 389 от </w:t>
            </w:r>
            <w:r>
              <w:rPr>
                <w:rStyle w:val="FormatvorlageInstructionsTabelleText"/>
                <w:rFonts w:ascii="Times New Roman" w:hAnsi="Times New Roman"/>
                <w:sz w:val="24"/>
              </w:rPr>
              <w:t>РКИ</w:t>
            </w:r>
            <w:r>
              <w:t xml:space="preserve">, активите и </w:t>
            </w:r>
            <w:proofErr w:type="spellStart"/>
            <w:r>
              <w:t>задбалансовите</w:t>
            </w:r>
            <w:proofErr w:type="spellEnd"/>
            <w:r>
              <w:t xml:space="preserve"> позиции се и</w:t>
            </w:r>
            <w:r>
              <w:t>з</w:t>
            </w:r>
            <w:r>
              <w:t xml:space="preserve">ползват без прилагане на рисковите тегла или степените на риск. По-точно към </w:t>
            </w:r>
            <w:proofErr w:type="spellStart"/>
            <w:r>
              <w:t>задбалансовите</w:t>
            </w:r>
            <w:proofErr w:type="spellEnd"/>
            <w:r>
              <w:t xml:space="preserve"> позиции не се прилагат </w:t>
            </w:r>
            <w:proofErr w:type="spellStart"/>
            <w:r>
              <w:t>конверсионни</w:t>
            </w:r>
            <w:proofErr w:type="spellEnd"/>
            <w:r>
              <w:t xml:space="preserve"> ко</w:t>
            </w:r>
            <w:r>
              <w:t>е</w:t>
            </w:r>
            <w:r>
              <w:t xml:space="preserve">фициенти.  </w:t>
            </w:r>
          </w:p>
          <w:p w:rsidR="00B0191A" w:rsidRPr="0039317F" w:rsidRDefault="00B0191A" w:rsidP="0039317F">
            <w:pPr>
              <w:pStyle w:val="InstructionsText"/>
            </w:pPr>
          </w:p>
          <w:p w:rsidR="00B0191A" w:rsidRPr="0039317F" w:rsidRDefault="00BB3751" w:rsidP="0039317F">
            <w:pPr>
              <w:pStyle w:val="InstructionsText"/>
            </w:pPr>
            <w:r>
              <w:t>Тези колони съдържат първоначалната експозиция, т.е. стойността на експозицията, без да се вземат под внимание корекциите на стойността и провизиите, които се приспадат в колона 210.</w:t>
            </w:r>
          </w:p>
          <w:p w:rsidR="00B0191A" w:rsidRPr="0039317F" w:rsidRDefault="00B0191A" w:rsidP="0039317F">
            <w:pPr>
              <w:pStyle w:val="InstructionsText"/>
            </w:pPr>
          </w:p>
          <w:p w:rsidR="00B0191A" w:rsidRPr="0039317F" w:rsidRDefault="00C92E09" w:rsidP="0039317F">
            <w:pPr>
              <w:pStyle w:val="InstructionsText"/>
            </w:pPr>
            <w:r>
              <w:t>Определението за експозиция и начинът на изчисляването ѝ са пред</w:t>
            </w:r>
            <w:r>
              <w:t>с</w:t>
            </w:r>
            <w:r>
              <w:t xml:space="preserve">тавени в членове 389 и 390 от </w:t>
            </w:r>
            <w:r>
              <w:rPr>
                <w:rStyle w:val="FormatvorlageInstructionsTabelleText"/>
                <w:rFonts w:ascii="Times New Roman" w:hAnsi="Times New Roman"/>
                <w:sz w:val="24"/>
              </w:rPr>
              <w:t>РКИ</w:t>
            </w:r>
            <w:r>
              <w:t xml:space="preserve">. Оценката на активите и </w:t>
            </w:r>
            <w:proofErr w:type="spellStart"/>
            <w:r>
              <w:t>задбала</w:t>
            </w:r>
            <w:r>
              <w:t>н</w:t>
            </w:r>
            <w:r>
              <w:t>совите</w:t>
            </w:r>
            <w:proofErr w:type="spellEnd"/>
            <w:r>
              <w:t xml:space="preserve"> позиции се извършва в съответствие с приложимата за инстит</w:t>
            </w:r>
            <w:r>
              <w:t>у</w:t>
            </w:r>
            <w:r>
              <w:t xml:space="preserve">цията счетоводна рамка съгласно член 24 от </w:t>
            </w:r>
            <w:r>
              <w:rPr>
                <w:rStyle w:val="FormatvorlageInstructionsTabelleText"/>
                <w:rFonts w:ascii="Times New Roman" w:hAnsi="Times New Roman"/>
                <w:sz w:val="24"/>
              </w:rPr>
              <w:t>РКИ</w:t>
            </w:r>
            <w:r>
              <w:t>.</w:t>
            </w:r>
          </w:p>
          <w:p w:rsidR="00B0191A" w:rsidRPr="0039317F" w:rsidRDefault="00B0191A" w:rsidP="0039317F">
            <w:pPr>
              <w:pStyle w:val="InstructionsText"/>
            </w:pPr>
          </w:p>
          <w:p w:rsidR="00B0191A" w:rsidRPr="0039317F" w:rsidRDefault="00BB3751" w:rsidP="0039317F">
            <w:pPr>
              <w:pStyle w:val="InstructionsText"/>
            </w:pPr>
            <w:r>
              <w:t>В тези колони се включват приспаднатите от собствените средства ек</w:t>
            </w:r>
            <w:r>
              <w:t>с</w:t>
            </w:r>
            <w:r>
              <w:t>позиции, които не са експозиции по смисъла на член 390, параграф 6, буква д). Тези експозиции се приспадат в колона 200.</w:t>
            </w:r>
          </w:p>
          <w:p w:rsidR="00B0191A" w:rsidRPr="0039317F" w:rsidRDefault="00B0191A" w:rsidP="0039317F">
            <w:pPr>
              <w:pStyle w:val="InstructionsText"/>
            </w:pPr>
          </w:p>
          <w:p w:rsidR="00B0191A" w:rsidRPr="0039317F" w:rsidRDefault="00BB3751" w:rsidP="0039317F">
            <w:pPr>
              <w:pStyle w:val="InstructionsText"/>
            </w:pPr>
            <w:r>
              <w:t xml:space="preserve">Експозициите, посочени в член 390, параграф 6, букви а) — д) от </w:t>
            </w:r>
            <w:r>
              <w:rPr>
                <w:rStyle w:val="FormatvorlageInstructionsTabelleText"/>
                <w:rFonts w:ascii="Times New Roman" w:hAnsi="Times New Roman"/>
                <w:sz w:val="24"/>
              </w:rPr>
              <w:t>РКИ</w:t>
            </w:r>
            <w:r>
              <w:t xml:space="preserve">, не се включват в тези колони. </w:t>
            </w:r>
          </w:p>
          <w:p w:rsidR="00B0191A" w:rsidRPr="0039317F" w:rsidRDefault="00B0191A" w:rsidP="0039317F">
            <w:pPr>
              <w:pStyle w:val="InstructionsText"/>
            </w:pPr>
          </w:p>
          <w:p w:rsidR="00B0191A" w:rsidRPr="0039317F" w:rsidRDefault="00BB3751" w:rsidP="0039317F">
            <w:pPr>
              <w:pStyle w:val="InstructionsText"/>
              <w:rPr>
                <w:rFonts w:eastAsia="Arial"/>
              </w:rPr>
            </w:pPr>
            <w:r>
              <w:t xml:space="preserve">Първоначалните експозиции включват всички активи и </w:t>
            </w:r>
            <w:proofErr w:type="spellStart"/>
            <w:r>
              <w:t>задбалансови</w:t>
            </w:r>
            <w:proofErr w:type="spellEnd"/>
            <w:r>
              <w:t xml:space="preserve"> позиции съгласно член 400 от </w:t>
            </w:r>
            <w:r>
              <w:rPr>
                <w:rStyle w:val="FormatvorlageInstructionsTabelleText"/>
                <w:rFonts w:ascii="Times New Roman" w:hAnsi="Times New Roman"/>
                <w:sz w:val="24"/>
              </w:rPr>
              <w:t>РКИ</w:t>
            </w:r>
            <w:r>
              <w:t>. Изключенията се приспадат за ц</w:t>
            </w:r>
            <w:r>
              <w:t>е</w:t>
            </w:r>
            <w:r>
              <w:t xml:space="preserve">лите на член 395, параграф 1 от </w:t>
            </w:r>
            <w:r>
              <w:rPr>
                <w:rStyle w:val="FormatvorlageInstructionsTabelleText"/>
                <w:rFonts w:ascii="Times New Roman" w:hAnsi="Times New Roman"/>
                <w:sz w:val="24"/>
              </w:rPr>
              <w:t>РКИ</w:t>
            </w:r>
            <w:r>
              <w:t xml:space="preserve"> в колона 320.</w:t>
            </w:r>
          </w:p>
          <w:p w:rsidR="00B0191A" w:rsidRPr="00384ADB" w:rsidRDefault="00B0191A" w:rsidP="0039317F">
            <w:pPr>
              <w:pStyle w:val="InstructionsText"/>
              <w:rPr>
                <w:rFonts w:eastAsia="Arial"/>
              </w:rPr>
            </w:pPr>
          </w:p>
          <w:p w:rsidR="00B0191A" w:rsidRPr="00384ADB" w:rsidRDefault="00BB3751" w:rsidP="000F0AD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Включват се експозициите по банковия и по търговския портфейл.</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pPr>
            <w:r>
              <w:rPr>
                <w:rStyle w:val="InstructionsTabelleberschrift"/>
                <w:rFonts w:ascii="Times New Roman" w:hAnsi="Times New Roman"/>
                <w:b w:val="0"/>
                <w:sz w:val="24"/>
                <w:u w:val="none"/>
              </w:rPr>
              <w:t xml:space="preserve">При отнасянето на експозициите по финансови инструменти, когато различни експозиции, породени от споразуменията за </w:t>
            </w:r>
            <w:proofErr w:type="spellStart"/>
            <w:r>
              <w:rPr>
                <w:rStyle w:val="InstructionsTabelleberschrift"/>
                <w:rFonts w:ascii="Times New Roman" w:hAnsi="Times New Roman"/>
                <w:b w:val="0"/>
                <w:sz w:val="24"/>
                <w:u w:val="none"/>
              </w:rPr>
              <w:t>нетиране</w:t>
            </w:r>
            <w:proofErr w:type="spellEnd"/>
            <w:r>
              <w:rPr>
                <w:rStyle w:val="InstructionsTabelleberschrift"/>
                <w:rFonts w:ascii="Times New Roman" w:hAnsi="Times New Roman"/>
                <w:b w:val="0"/>
                <w:sz w:val="24"/>
                <w:u w:val="none"/>
              </w:rPr>
              <w:t>, пред</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тавляват една експозиция, тази експозиция се отнася към финансовия инструмент, съответстващ на основния актив, включен в споразумен</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ето за </w:t>
            </w:r>
            <w:proofErr w:type="spellStart"/>
            <w:r>
              <w:rPr>
                <w:rStyle w:val="InstructionsTabelleberschrift"/>
                <w:rFonts w:ascii="Times New Roman" w:hAnsi="Times New Roman"/>
                <w:b w:val="0"/>
                <w:sz w:val="24"/>
                <w:u w:val="none"/>
              </w:rPr>
              <w:t>нетиране</w:t>
            </w:r>
            <w:proofErr w:type="spellEnd"/>
            <w:r>
              <w:rPr>
                <w:rStyle w:val="InstructionsTabelleberschrift"/>
                <w:rFonts w:ascii="Times New Roman" w:hAnsi="Times New Roman"/>
                <w:b w:val="0"/>
                <w:sz w:val="24"/>
                <w:u w:val="none"/>
              </w:rPr>
              <w:t xml:space="preserve"> (вж. също уводния раздел).</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първоначална експозиция</w:t>
            </w:r>
          </w:p>
          <w:p w:rsidR="00B0191A" w:rsidRPr="00384ADB" w:rsidRDefault="00B0191A" w:rsidP="0039317F">
            <w:pPr>
              <w:pStyle w:val="InstructionsText"/>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Институцията докладва размера на преките, непреките и </w:t>
            </w:r>
            <w:r>
              <w:rPr>
                <w:rStyle w:val="FormatvorlageInstructionsTabelleText"/>
                <w:rFonts w:ascii="Times New Roman" w:hAnsi="Times New Roman"/>
                <w:sz w:val="24"/>
              </w:rPr>
              <w:t>допълните</w:t>
            </w:r>
            <w:r>
              <w:rPr>
                <w:rStyle w:val="FormatvorlageInstructionsTabelleText"/>
                <w:rFonts w:ascii="Times New Roman" w:hAnsi="Times New Roman"/>
                <w:sz w:val="24"/>
              </w:rPr>
              <w:t>л</w:t>
            </w:r>
            <w:r>
              <w:rPr>
                <w:rStyle w:val="FormatvorlageInstructionsTabelleText"/>
                <w:rFonts w:ascii="Times New Roman" w:hAnsi="Times New Roman"/>
                <w:sz w:val="24"/>
              </w:rPr>
              <w:t>ните експозиции, които произтичат от експозицията към сделки, при които има експозиция към базови активи</w:t>
            </w:r>
            <w:r>
              <w:rPr>
                <w:rStyle w:val="InstructionsTabelleberschrift"/>
                <w:rFonts w:ascii="Times New Roman" w:hAnsi="Times New Roman"/>
                <w:b w:val="0"/>
                <w:sz w:val="24"/>
                <w:u w:val="none"/>
              </w:rPr>
              <w:t>.</w:t>
            </w:r>
            <w:r>
              <w:t>.</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в неизпълнение</w:t>
            </w:r>
          </w:p>
          <w:p w:rsidR="00B0191A" w:rsidRPr="00384ADB" w:rsidRDefault="00B0191A" w:rsidP="0039317F">
            <w:pPr>
              <w:pStyle w:val="InstructionsText"/>
              <w:rPr>
                <w:rStyle w:val="FormatvorlageInstructionsTabelleText"/>
                <w:rFonts w:ascii="Times New Roman" w:hAnsi="Times New Roman"/>
                <w:sz w:val="24"/>
              </w:rPr>
            </w:pPr>
          </w:p>
          <w:p w:rsidR="00B0191A"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178 от РКИ</w:t>
            </w:r>
          </w:p>
          <w:p w:rsidR="00B0191A" w:rsidRPr="00384ADB" w:rsidRDefault="00B0191A">
            <w:pPr>
              <w:pStyle w:val="InstructionsText"/>
              <w:rPr>
                <w:rStyle w:val="FormatvorlageInstructionsTabelleText"/>
                <w:rFonts w:ascii="Times New Roman" w:hAnsi="Times New Roman"/>
                <w:b/>
                <w:sz w:val="24"/>
              </w:rPr>
            </w:pPr>
          </w:p>
          <w:p w:rsidR="00B0191A" w:rsidRPr="00384ADB" w:rsidRDefault="009B2EE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Институцията докладва</w:t>
            </w:r>
            <w:r>
              <w:rPr>
                <w:rStyle w:val="FormatvorlageInstructionsTabelleText"/>
                <w:rFonts w:ascii="Times New Roman" w:hAnsi="Times New Roman"/>
                <w:sz w:val="24"/>
              </w:rPr>
              <w:t xml:space="preserve"> частта от общата първоначална експозиция, съответстваща на експозициите в неизпълнение. </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Преки експозиции</w:t>
            </w:r>
          </w:p>
          <w:p w:rsidR="00B0191A" w:rsidRPr="00384ADB" w:rsidRDefault="00B0191A"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„Преки експозиции“ означава експозициите на база „пряк длъжник“.</w:t>
            </w:r>
          </w:p>
          <w:p w:rsidR="00B0191A" w:rsidRPr="00384ADB" w:rsidRDefault="00B0191A">
            <w:pPr>
              <w:pStyle w:val="InstructionsText"/>
              <w:rPr>
                <w:rStyle w:val="InstructionsTabelleberschrift"/>
                <w:rFonts w:ascii="Times New Roman" w:hAnsi="Times New Roman"/>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Дългови инструменти</w:t>
            </w:r>
          </w:p>
          <w:p w:rsidR="00B0191A" w:rsidRPr="00384ADB" w:rsidRDefault="00B0191A" w:rsidP="0039317F">
            <w:pPr>
              <w:pStyle w:val="InstructionsText"/>
            </w:pPr>
          </w:p>
          <w:p w:rsidR="00B0191A" w:rsidRPr="0039317F" w:rsidRDefault="00193DDC" w:rsidP="0039317F">
            <w:pPr>
              <w:pStyle w:val="InstructionsText"/>
            </w:pPr>
            <w:r>
              <w:t>Приложение II, част 2, таблица, категории 2 и 3 към Регламент (ЕО) № 1071/2013 (EЦБ/2013/33)</w:t>
            </w:r>
          </w:p>
          <w:p w:rsidR="00B0191A" w:rsidRPr="0039317F" w:rsidRDefault="00B0191A" w:rsidP="0039317F">
            <w:pPr>
              <w:pStyle w:val="InstructionsText"/>
            </w:pPr>
          </w:p>
          <w:p w:rsidR="00B0191A" w:rsidRPr="0039317F" w:rsidRDefault="00BB3751"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Дълговите инструменти включват дълговите ценни книжа, заемите и авансите. </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BB3751" w:rsidP="0039317F">
            <w:pPr>
              <w:pStyle w:val="InstructionsText"/>
            </w:pPr>
            <w:r>
              <w:rPr>
                <w:rStyle w:val="FormatvorlageInstructionsTabelleText"/>
                <w:rFonts w:ascii="Times New Roman" w:hAnsi="Times New Roman"/>
                <w:sz w:val="24"/>
              </w:rPr>
              <w:t>В тази колона се включват инструментите, класифицирани като</w:t>
            </w:r>
            <w:r>
              <w:t xml:space="preserve"> „заеми с първоначален </w:t>
            </w:r>
            <w:proofErr w:type="spellStart"/>
            <w:r>
              <w:t>матуритет</w:t>
            </w:r>
            <w:proofErr w:type="spellEnd"/>
            <w:r>
              <w:t xml:space="preserve"> до и включително една година/над една г</w:t>
            </w:r>
            <w:r>
              <w:t>о</w:t>
            </w:r>
            <w:r>
              <w:t>дина и до и включително пет години/над пет години</w:t>
            </w:r>
            <w:r>
              <w:rPr>
                <w:rStyle w:val="FormatvorlageInstructionsTabelleText"/>
                <w:rFonts w:ascii="Times New Roman" w:hAnsi="Times New Roman"/>
                <w:sz w:val="24"/>
              </w:rPr>
              <w:t>“ или като „ценни книжа, различни от акции</w:t>
            </w:r>
            <w:r>
              <w:t xml:space="preserve">“, </w:t>
            </w:r>
            <w:r>
              <w:rPr>
                <w:rStyle w:val="FormatvorlageInstructionsTabelleText"/>
                <w:rFonts w:ascii="Times New Roman" w:hAnsi="Times New Roman"/>
                <w:sz w:val="24"/>
              </w:rPr>
              <w:t xml:space="preserve">съгласно </w:t>
            </w:r>
            <w:r>
              <w:t>ЕЦБ/2013/33.</w:t>
            </w:r>
          </w:p>
          <w:p w:rsidR="00B0191A" w:rsidRPr="0039317F" w:rsidRDefault="00B0191A" w:rsidP="0039317F">
            <w:pPr>
              <w:pStyle w:val="InstructionsText"/>
              <w:rPr>
                <w:rStyle w:val="FormatvorlageInstructionsTabelleText"/>
                <w:rFonts w:ascii="Times New Roman" w:hAnsi="Times New Roman"/>
                <w:sz w:val="24"/>
              </w:rPr>
            </w:pPr>
          </w:p>
          <w:p w:rsidR="00B0191A" w:rsidRPr="0039317F" w:rsidRDefault="00D95A62" w:rsidP="0039317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w:t>
            </w:r>
            <w:r>
              <w:t xml:space="preserve"> тази колона се включват </w:t>
            </w:r>
            <w:proofErr w:type="spellStart"/>
            <w:r>
              <w:t>репо</w:t>
            </w:r>
            <w:proofErr w:type="spellEnd"/>
            <w:r>
              <w:t xml:space="preserve"> сделките, </w:t>
            </w:r>
            <w:proofErr w:type="spellStart"/>
            <w:r>
              <w:t>сделките</w:t>
            </w:r>
            <w:proofErr w:type="spellEnd"/>
            <w:r>
              <w:t xml:space="preserve"> по получаване или предоставяне в заем на ценни книжа или стоки (сделки, свързани с ф</w:t>
            </w:r>
            <w:r>
              <w:t>и</w:t>
            </w:r>
            <w:r>
              <w:t xml:space="preserve">нансирането на ценни книжа) и </w:t>
            </w:r>
            <w:proofErr w:type="spellStart"/>
            <w:r>
              <w:t>маржин</w:t>
            </w:r>
            <w:proofErr w:type="spellEnd"/>
            <w:r>
              <w:t xml:space="preserve"> заемните сделки.</w:t>
            </w:r>
          </w:p>
          <w:p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DF008D" w:rsidP="0039317F">
            <w:pPr>
              <w:pStyle w:val="InstructionsText"/>
            </w:pPr>
            <w:r>
              <w:t>Приложение II, част 2, таблица, категории 4 и 5 към EЦБ/2013/33.</w:t>
            </w:r>
          </w:p>
          <w:p w:rsidR="00B0191A" w:rsidRPr="0039317F" w:rsidRDefault="00B0191A" w:rsidP="0039317F">
            <w:pPr>
              <w:pStyle w:val="InstructionsText"/>
            </w:pPr>
          </w:p>
          <w:p w:rsidR="00B0191A" w:rsidRPr="0039317F" w:rsidRDefault="00BB3751" w:rsidP="0039317F">
            <w:pPr>
              <w:pStyle w:val="InstructionsText"/>
            </w:pPr>
            <w:r>
              <w:rPr>
                <w:rStyle w:val="FormatvorlageInstructionsTabelleText"/>
                <w:rFonts w:ascii="Times New Roman" w:hAnsi="Times New Roman"/>
                <w:sz w:val="24"/>
              </w:rPr>
              <w:t xml:space="preserve">В тази колона се включват инструментите, класифицирани като „акции и други капиталови инструменти“ или като „акции/дялове на ФПП“ съгласно </w:t>
            </w:r>
            <w:r>
              <w:t>ЕЦБ/2013/33.</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Деривати </w:t>
            </w:r>
          </w:p>
          <w:p w:rsidR="00B0191A" w:rsidRPr="0039317F" w:rsidRDefault="00B0191A" w:rsidP="0039317F">
            <w:pPr>
              <w:pStyle w:val="InstructionsText"/>
              <w:rPr>
                <w:rStyle w:val="FormatvorlageInstructionsTabelleText"/>
                <w:rFonts w:ascii="Times New Roman" w:hAnsi="Times New Roman"/>
                <w:b/>
                <w:sz w:val="24"/>
              </w:rPr>
            </w:pPr>
          </w:p>
          <w:p w:rsidR="00B0191A" w:rsidRPr="0039317F" w:rsidRDefault="00BB3751" w:rsidP="0039317F">
            <w:pPr>
              <w:pStyle w:val="InstructionsText"/>
              <w:rPr>
                <w:rStyle w:val="FormatvorlageInstructionsTabelleText"/>
                <w:rFonts w:ascii="Times New Roman" w:hAnsi="Times New Roman"/>
                <w:sz w:val="24"/>
              </w:rPr>
            </w:pPr>
            <w:r>
              <w:t xml:space="preserve">Член 272, параграф 2 и приложение II към </w:t>
            </w:r>
            <w:r>
              <w:rPr>
                <w:rStyle w:val="FormatvorlageInstructionsTabelleText"/>
                <w:rFonts w:ascii="Times New Roman" w:hAnsi="Times New Roman"/>
                <w:sz w:val="24"/>
              </w:rPr>
              <w:t>РКИ</w:t>
            </w:r>
          </w:p>
          <w:p w:rsidR="00B0191A" w:rsidRPr="0039317F" w:rsidRDefault="00B0191A" w:rsidP="000F0ADE">
            <w:pPr>
              <w:pStyle w:val="InstructionsText"/>
            </w:pPr>
          </w:p>
          <w:p w:rsidR="00B0191A" w:rsidRPr="0039317F" w:rsidRDefault="009E58B0">
            <w:pPr>
              <w:pStyle w:val="InstructionsText"/>
            </w:pPr>
            <w:r>
              <w:t>Инструментите, които се докладват в тази колона, включват дериват</w:t>
            </w:r>
            <w:r>
              <w:t>и</w:t>
            </w:r>
            <w:r>
              <w:t xml:space="preserve">те, изброени в приложение II към </w:t>
            </w:r>
            <w:r>
              <w:rPr>
                <w:rStyle w:val="FormatvorlageInstructionsTabelleText"/>
                <w:rFonts w:ascii="Times New Roman" w:hAnsi="Times New Roman"/>
                <w:sz w:val="24"/>
              </w:rPr>
              <w:t>РКИ</w:t>
            </w:r>
            <w:r>
              <w:t xml:space="preserve">, и сделките с удължен </w:t>
            </w:r>
            <w:proofErr w:type="spellStart"/>
            <w:r>
              <w:t>сетъ</w:t>
            </w:r>
            <w:r>
              <w:t>л</w:t>
            </w:r>
            <w:r>
              <w:t>мент</w:t>
            </w:r>
            <w:proofErr w:type="spellEnd"/>
            <w:r>
              <w:t xml:space="preserve"> съгласно определението в член 272, параграф 2 от </w:t>
            </w:r>
            <w:r>
              <w:rPr>
                <w:rStyle w:val="FormatvorlageInstructionsTabelleText"/>
                <w:rFonts w:ascii="Times New Roman" w:hAnsi="Times New Roman"/>
                <w:sz w:val="24"/>
              </w:rPr>
              <w:t>РКИ</w:t>
            </w:r>
            <w:r>
              <w:t xml:space="preserve">. </w:t>
            </w:r>
          </w:p>
          <w:p w:rsidR="00B0191A" w:rsidRPr="0039317F" w:rsidRDefault="00B0191A">
            <w:pPr>
              <w:pStyle w:val="InstructionsText"/>
            </w:pPr>
          </w:p>
          <w:p w:rsidR="00B0191A" w:rsidRPr="0039317F" w:rsidRDefault="00BB3751">
            <w:pPr>
              <w:pStyle w:val="InstructionsText"/>
            </w:pPr>
            <w:r>
              <w:t>В тази колона се включват кредитните деривати, към които се прилага кредитен риск от контрагента.</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позиции</w:t>
            </w:r>
          </w:p>
          <w:p w:rsidR="00BB3751" w:rsidRPr="00384ADB" w:rsidRDefault="00BB3751" w:rsidP="004675B7">
            <w:pPr>
              <w:spacing w:before="0" w:after="0"/>
              <w:rPr>
                <w:rFonts w:ascii="Times New Roman" w:hAnsi="Times New Roman"/>
                <w:b/>
                <w:bCs/>
                <w:sz w:val="24"/>
              </w:rPr>
            </w:pPr>
          </w:p>
          <w:p w:rsidR="00BB3751" w:rsidRPr="00384ADB" w:rsidRDefault="00BB3751" w:rsidP="004675B7">
            <w:pPr>
              <w:spacing w:before="0" w:after="0"/>
              <w:rPr>
                <w:rFonts w:ascii="Times New Roman" w:hAnsi="Times New Roman"/>
                <w:sz w:val="24"/>
              </w:rPr>
            </w:pPr>
            <w:r>
              <w:rPr>
                <w:rFonts w:ascii="Times New Roman" w:hAnsi="Times New Roman"/>
                <w:sz w:val="24"/>
              </w:rPr>
              <w:t xml:space="preserve">Приложение I към </w:t>
            </w:r>
            <w:r>
              <w:rPr>
                <w:rStyle w:val="FormatvorlageInstructionsTabelleText"/>
                <w:rFonts w:ascii="Times New Roman" w:hAnsi="Times New Roman"/>
                <w:sz w:val="24"/>
              </w:rPr>
              <w:t>РКИ</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Докладваната в тази колона стойност е номиналната стойност преди приспадането на корекциите за специфичен кредитен риск и без прил</w:t>
            </w:r>
            <w:r>
              <w:rPr>
                <w:rFonts w:ascii="Times New Roman" w:hAnsi="Times New Roman"/>
                <w:sz w:val="24"/>
              </w:rPr>
              <w:t>а</w:t>
            </w:r>
            <w:r>
              <w:rPr>
                <w:rFonts w:ascii="Times New Roman" w:hAnsi="Times New Roman"/>
                <w:sz w:val="24"/>
              </w:rPr>
              <w:t xml:space="preserve">гане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ангажименти</w:t>
            </w:r>
          </w:p>
          <w:p w:rsidR="00BB3751" w:rsidRPr="00384ADB" w:rsidRDefault="00BB3751" w:rsidP="0039317F">
            <w:pPr>
              <w:pStyle w:val="InstructionsText"/>
              <w:rPr>
                <w:rStyle w:val="FormatvorlageInstructionsTabelleText"/>
                <w:rFonts w:ascii="Times New Roman" w:hAnsi="Times New Roman"/>
                <w:b/>
                <w:sz w:val="24"/>
              </w:rPr>
            </w:pPr>
          </w:p>
          <w:p w:rsidR="009A7666" w:rsidRPr="0039317F" w:rsidRDefault="0045752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Приложение I, параграф 1, букви в) и з), параграф 2, буква б), подточка ii), параграф 3, буква б), подточка i) и параграф 4, буква а) от РКИ </w:t>
            </w:r>
          </w:p>
          <w:p w:rsidR="00B0191A" w:rsidRPr="0039317F" w:rsidRDefault="00B0191A">
            <w:pPr>
              <w:pStyle w:val="InstructionsText"/>
            </w:pPr>
          </w:p>
          <w:p w:rsidR="00B0191A" w:rsidRPr="0039317F" w:rsidRDefault="00BB3751">
            <w:pPr>
              <w:pStyle w:val="InstructionsText"/>
            </w:pPr>
            <w:r>
              <w:t xml:space="preserve">Кредитните ангажименти са твърди ангажименти за предоставяне на кредит при предварително определени условия, с изключение на онези, които са деривати, тъй като те могат да бъдат уредени нетно в брой или чрез предоставяне или емитиране на друг финансов инструмент. </w:t>
            </w:r>
          </w:p>
          <w:p w:rsidR="00B0191A" w:rsidRPr="00384ADB" w:rsidRDefault="00B0191A">
            <w:pPr>
              <w:pStyle w:val="InstructionsText"/>
              <w:rPr>
                <w:rStyle w:val="FormatvorlageInstructionsTabelleTex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Финансови гаранции</w:t>
            </w:r>
          </w:p>
          <w:p w:rsidR="009A7666" w:rsidRPr="00384ADB" w:rsidRDefault="009A7666" w:rsidP="0039317F">
            <w:pPr>
              <w:pStyle w:val="InstructionsText"/>
              <w:rPr>
                <w:rStyle w:val="FormatvorlageInstructionsTabelleText"/>
                <w:rFonts w:ascii="Times New Roman" w:hAnsi="Times New Roman"/>
                <w:b/>
                <w:sz w:val="24"/>
              </w:rPr>
            </w:pPr>
          </w:p>
          <w:p w:rsidR="00BB3751" w:rsidRPr="00384ADB" w:rsidRDefault="00965D5D"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Приложение I, параграф 1, букви а), б) и е) от РКИ. </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Финансовите гаранции са договори, съгласно които </w:t>
            </w:r>
            <w:proofErr w:type="spellStart"/>
            <w:r>
              <w:rPr>
                <w:rStyle w:val="FormatvorlageInstructionsTabelleText"/>
                <w:rFonts w:ascii="Times New Roman" w:hAnsi="Times New Roman"/>
                <w:sz w:val="24"/>
              </w:rPr>
              <w:t>емитентът</w:t>
            </w:r>
            <w:proofErr w:type="spellEnd"/>
            <w:r>
              <w:rPr>
                <w:rStyle w:val="FormatvorlageInstructionsTabelleText"/>
                <w:rFonts w:ascii="Times New Roman" w:hAnsi="Times New Roman"/>
                <w:sz w:val="24"/>
              </w:rPr>
              <w:t xml:space="preserve"> извър</w:t>
            </w:r>
            <w:r>
              <w:rPr>
                <w:rStyle w:val="FormatvorlageInstructionsTabelleText"/>
                <w:rFonts w:ascii="Times New Roman" w:hAnsi="Times New Roman"/>
                <w:sz w:val="24"/>
              </w:rPr>
              <w:t>ш</w:t>
            </w:r>
            <w:r>
              <w:rPr>
                <w:rStyle w:val="FormatvorlageInstructionsTabelleText"/>
                <w:rFonts w:ascii="Times New Roman" w:hAnsi="Times New Roman"/>
                <w:sz w:val="24"/>
              </w:rPr>
              <w:t>ва определени плащания, за да възстанови на титуляря загуба, която последният е понесъл поради това, че определен длъжник не е извъ</w:t>
            </w:r>
            <w:r>
              <w:rPr>
                <w:rStyle w:val="FormatvorlageInstructionsTabelleText"/>
                <w:rFonts w:ascii="Times New Roman" w:hAnsi="Times New Roman"/>
                <w:sz w:val="24"/>
              </w:rPr>
              <w:t>р</w:t>
            </w:r>
            <w:r>
              <w:rPr>
                <w:rStyle w:val="FormatvorlageInstructionsTabelleText"/>
                <w:rFonts w:ascii="Times New Roman" w:hAnsi="Times New Roman"/>
                <w:sz w:val="24"/>
              </w:rPr>
              <w:t>шил плащане, когато то е станало изискуемо съгласно първоначалните или изменени условия на дългов инструмент. В тази колона се докла</w:t>
            </w:r>
            <w:r>
              <w:rPr>
                <w:rStyle w:val="FormatvorlageInstructionsTabelleText"/>
                <w:rFonts w:ascii="Times New Roman" w:hAnsi="Times New Roman"/>
                <w:sz w:val="24"/>
              </w:rPr>
              <w:t>д</w:t>
            </w:r>
            <w:r>
              <w:rPr>
                <w:rStyle w:val="FormatvorlageInstructionsTabelleText"/>
                <w:rFonts w:ascii="Times New Roman" w:hAnsi="Times New Roman"/>
                <w:sz w:val="24"/>
              </w:rPr>
              <w:t>ват кредитните деривати, които не са включени в колоната „деривати“.</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ангажименти</w:t>
            </w:r>
          </w:p>
          <w:p w:rsidR="00B0191A" w:rsidRPr="00384ADB" w:rsidRDefault="00B0191A" w:rsidP="0039317F">
            <w:pPr>
              <w:pStyle w:val="InstructionsText"/>
              <w:rPr>
                <w:rStyle w:val="FormatvorlageInstructionsTabelleText"/>
                <w:rFonts w:ascii="Times New Roman" w:hAnsi="Times New Roman"/>
                <w:b/>
                <w:sz w:val="24"/>
              </w:rPr>
            </w:pPr>
          </w:p>
          <w:p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„Други ангажименти“ са позициите от приложение I към РКИ, които не са включени в предходните категории. В</w:t>
            </w:r>
            <w:r>
              <w:rPr>
                <w:rFonts w:ascii="Times New Roman" w:hAnsi="Times New Roman"/>
                <w:sz w:val="24"/>
              </w:rPr>
              <w:t xml:space="preserve"> тази колона се докладва ек</w:t>
            </w:r>
            <w:r>
              <w:rPr>
                <w:rFonts w:ascii="Times New Roman" w:hAnsi="Times New Roman"/>
                <w:sz w:val="24"/>
              </w:rPr>
              <w:t>с</w:t>
            </w:r>
            <w:r>
              <w:rPr>
                <w:rFonts w:ascii="Times New Roman" w:hAnsi="Times New Roman"/>
                <w:sz w:val="24"/>
              </w:rPr>
              <w:t xml:space="preserve">позицията на единично правно задължение, произтичащо от сключено с контрагент на институцията споразумение за кръстосано </w:t>
            </w:r>
            <w:proofErr w:type="spellStart"/>
            <w:r>
              <w:rPr>
                <w:rFonts w:ascii="Times New Roman" w:hAnsi="Times New Roman"/>
                <w:sz w:val="24"/>
              </w:rPr>
              <w:t>нетиране</w:t>
            </w:r>
            <w:proofErr w:type="spellEnd"/>
            <w:r>
              <w:rPr>
                <w:rFonts w:ascii="Times New Roman" w:hAnsi="Times New Roman"/>
                <w:sz w:val="24"/>
              </w:rPr>
              <w:t xml:space="preserve"> на продукти.</w:t>
            </w:r>
            <w:r>
              <w:rPr>
                <w:rStyle w:val="InstructionsTabelleberschrift"/>
                <w:rFonts w:ascii="Times New Roman" w:hAnsi="Times New Roman"/>
                <w:b w:val="0"/>
                <w:sz w:val="24"/>
                <w:u w:val="none"/>
              </w:rPr>
              <w:t xml:space="preserve">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Непреки експозиции</w:t>
            </w:r>
          </w:p>
          <w:p w:rsidR="00BB3751" w:rsidRPr="00384ADB" w:rsidRDefault="00BB3751" w:rsidP="0039317F">
            <w:pPr>
              <w:pStyle w:val="InstructionsText"/>
              <w:rPr>
                <w:rStyle w:val="InstructionsTabelleberschrift"/>
                <w:rFonts w:ascii="Times New Roman" w:hAnsi="Times New Roman"/>
                <w:sz w:val="24"/>
                <w:u w:val="none"/>
              </w:rPr>
            </w:pPr>
          </w:p>
          <w:p w:rsidR="00B0191A" w:rsidRPr="00384ADB" w:rsidRDefault="00BB3751" w:rsidP="000F0ADE">
            <w:pPr>
              <w:pStyle w:val="InstructionsText"/>
            </w:pPr>
            <w:r>
              <w:t xml:space="preserve">Член 403 от </w:t>
            </w:r>
            <w:r>
              <w:rPr>
                <w:rStyle w:val="FormatvorlageInstructionsTabelleText"/>
                <w:rFonts w:ascii="Times New Roman" w:hAnsi="Times New Roman"/>
                <w:sz w:val="24"/>
              </w:rPr>
              <w:t>РКИ</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По силата на член 403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 когато експозиция към даден клиент е гарантирана от трето лице или е обезпечена с издадено от трето лице обезпечение, кредитната институция може да използва подхода на з</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 xml:space="preserve">местването. </w:t>
            </w:r>
          </w:p>
          <w:p w:rsidR="00B0191A" w:rsidRPr="00384ADB" w:rsidRDefault="00B0191A">
            <w:pPr>
              <w:pStyle w:val="InstructionsText"/>
              <w:rPr>
                <w:rStyle w:val="InstructionsTabelleberschrift"/>
                <w:rFonts w:ascii="Times New Roman" w:hAnsi="Times New Roman"/>
                <w:b w:val="0"/>
                <w:bCs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тази група колони институцията докладва размера на преките експ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зиции, които са отнесени към гаранта или </w:t>
            </w:r>
            <w:proofErr w:type="spellStart"/>
            <w:r>
              <w:rPr>
                <w:rStyle w:val="InstructionsTabelleberschrift"/>
                <w:rFonts w:ascii="Times New Roman" w:hAnsi="Times New Roman"/>
                <w:b w:val="0"/>
                <w:sz w:val="24"/>
                <w:u w:val="none"/>
              </w:rPr>
              <w:t>емитента</w:t>
            </w:r>
            <w:proofErr w:type="spellEnd"/>
            <w:r>
              <w:rPr>
                <w:rStyle w:val="InstructionsTabelleberschrift"/>
                <w:rFonts w:ascii="Times New Roman" w:hAnsi="Times New Roman"/>
                <w:b w:val="0"/>
                <w:sz w:val="24"/>
                <w:u w:val="none"/>
              </w:rPr>
              <w:t xml:space="preserve"> на обезпечението, при положение че в съответствие с изискванията на трета част, дял II, глава 2 от РКИ им се определя еквивалентно или по-ниско рисково те</w:t>
            </w:r>
            <w:r>
              <w:rPr>
                <w:rStyle w:val="InstructionsTabelleberschrift"/>
                <w:rFonts w:ascii="Times New Roman" w:hAnsi="Times New Roman"/>
                <w:b w:val="0"/>
                <w:sz w:val="24"/>
                <w:u w:val="none"/>
              </w:rPr>
              <w:t>г</w:t>
            </w:r>
            <w:r>
              <w:rPr>
                <w:rStyle w:val="InstructionsTabelleberschrift"/>
                <w:rFonts w:ascii="Times New Roman" w:hAnsi="Times New Roman"/>
                <w:b w:val="0"/>
                <w:sz w:val="24"/>
                <w:u w:val="none"/>
              </w:rPr>
              <w:t>ло, отколкото на третата страна. Покритата референтна</w:t>
            </w:r>
            <w:r>
              <w:t xml:space="preserve"> </w:t>
            </w:r>
            <w:r>
              <w:rPr>
                <w:rStyle w:val="InstructionsTabelleberschrift"/>
                <w:rFonts w:ascii="Times New Roman" w:hAnsi="Times New Roman"/>
                <w:b w:val="0"/>
                <w:sz w:val="24"/>
                <w:u w:val="none"/>
              </w:rPr>
              <w:t>първоначална експозиция (пряка експозиция) се приспада от експозицията към пъ</w:t>
            </w:r>
            <w:r>
              <w:rPr>
                <w:rStyle w:val="InstructionsTabelleberschrift"/>
                <w:rFonts w:ascii="Times New Roman" w:hAnsi="Times New Roman"/>
                <w:b w:val="0"/>
                <w:sz w:val="24"/>
                <w:u w:val="none"/>
              </w:rPr>
              <w:t>р</w:t>
            </w:r>
            <w:r>
              <w:rPr>
                <w:rStyle w:val="InstructionsTabelleberschrift"/>
                <w:rFonts w:ascii="Times New Roman" w:hAnsi="Times New Roman"/>
                <w:b w:val="0"/>
                <w:sz w:val="24"/>
                <w:u w:val="none"/>
              </w:rPr>
              <w:t>воначалния длъжник в колоните „допустими техники за редуциране на кредитния риск“. Непряката експозиция увеличава експозицията към гаранта или към трето лице чрез ефекта на заместването. Това се отнася и за гаранциите, предоставени в рамките на група свързани клиенти.</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Институцията докладва първоначалния размер на непреките експоз</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ции в колоната, която отговаря на вида обезпечена с гаранция или обезпечение пряка експозиция: например когато обезпечената пряка експозиция е дългов инструмент, размерът на отнесената към гаранта „Непряка експозиция“ се докладва в колона „Дългови инструменти“.</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Експозициите, произтичащи от дългови ценни книжа, обвързани със заеми към едно или няколко лица, също се докладват в тази група к</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 xml:space="preserve">лони при спазване на разпоредбите на член 399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w:t>
            </w:r>
            <w:r>
              <w:t>.</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Дългови инструменти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060.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AE2F75">
        <w:tc>
          <w:tcPr>
            <w:tcW w:w="1418" w:type="dxa"/>
            <w:shd w:val="clear" w:color="auto" w:fill="FFFFFF"/>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колона 070.</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Деривати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позиции</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 xml:space="preserve">Докладваната в тези колони стойност е номиналната стойност преди приспадане на корекциите за специфичен кредитен риск и прилагане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w:t>
            </w:r>
          </w:p>
          <w:p w:rsidR="00BB3751" w:rsidRPr="00384ADB" w:rsidRDefault="00BB3751" w:rsidP="0039317F">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ангажименти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Финансови гаранции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ангажименти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Допълнителни експозиции, произтичащи от сделки, при които има експозиция към базови активи</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390, параграф 7 от РКИ</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Допълнителните експозиции, произтичащи от сделки, при които има експозиция към базови активи.</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Корекции на стойността и провизии</w:t>
            </w:r>
          </w:p>
          <w:p w:rsidR="00BB3751" w:rsidRPr="00384ADB" w:rsidRDefault="00BB3751" w:rsidP="004675B7">
            <w:pPr>
              <w:pStyle w:val="Default"/>
              <w:jc w:val="both"/>
              <w:rPr>
                <w:rStyle w:val="FormatvorlageInstructionsTabelleText"/>
                <w:rFonts w:ascii="Times New Roman" w:eastAsia="Times New Roman" w:hAnsi="Times New Roman"/>
                <w:b/>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Членове 34, 24, 110 и 111 от РКИ</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Корекциите на стойността и провизиите, включени в съответната сч</w:t>
            </w:r>
            <w:r>
              <w:rPr>
                <w:rStyle w:val="FormatvorlageInstructionsTabelleText"/>
                <w:rFonts w:ascii="Times New Roman" w:hAnsi="Times New Roman"/>
                <w:color w:val="auto"/>
                <w:sz w:val="24"/>
              </w:rPr>
              <w:t>е</w:t>
            </w:r>
            <w:r>
              <w:rPr>
                <w:rStyle w:val="FormatvorlageInstructionsTabelleText"/>
                <w:rFonts w:ascii="Times New Roman" w:hAnsi="Times New Roman"/>
                <w:color w:val="auto"/>
                <w:sz w:val="24"/>
              </w:rPr>
              <w:t>товодна рамка (Директива 86/635/ЕИО или Регламент 1606/2002), ко</w:t>
            </w:r>
            <w:r>
              <w:rPr>
                <w:rStyle w:val="FormatvorlageInstructionsTabelleText"/>
                <w:rFonts w:ascii="Times New Roman" w:hAnsi="Times New Roman"/>
                <w:color w:val="auto"/>
                <w:sz w:val="24"/>
              </w:rPr>
              <w:t>и</w:t>
            </w:r>
            <w:r>
              <w:rPr>
                <w:rStyle w:val="FormatvorlageInstructionsTabelleText"/>
                <w:rFonts w:ascii="Times New Roman" w:hAnsi="Times New Roman"/>
                <w:color w:val="auto"/>
                <w:sz w:val="24"/>
              </w:rPr>
              <w:lastRenderedPageBreak/>
              <w:t xml:space="preserve">то засягат оценката на експозициите съгласно член 24 и член 110 от </w:t>
            </w:r>
            <w:r>
              <w:rPr>
                <w:rStyle w:val="FormatvorlageInstructionsTabelleText"/>
                <w:rFonts w:ascii="Times New Roman" w:hAnsi="Times New Roman"/>
                <w:sz w:val="24"/>
              </w:rPr>
              <w:t>РКИ</w:t>
            </w:r>
            <w:r>
              <w:rPr>
                <w:rStyle w:val="FormatvorlageInstructionsTabelleText"/>
                <w:rFonts w:ascii="Times New Roman" w:hAnsi="Times New Roman"/>
                <w:color w:val="auto"/>
                <w:sz w:val="24"/>
              </w:rPr>
              <w:t>.</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В тази колона се докладват корекциите на стойността и провизиите </w:t>
            </w:r>
            <w:r>
              <w:rPr>
                <w:rStyle w:val="FormatvorlageInstructionsTabelleText"/>
                <w:rFonts w:ascii="Times New Roman" w:hAnsi="Times New Roman"/>
                <w:sz w:val="24"/>
              </w:rPr>
              <w:t xml:space="preserve">срещу брутната експозиция, посочени в колона 040. </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200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Експозиции, приспаднати от собствените средства</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Член 390, параграф 6, буква д) от </w:t>
            </w:r>
            <w:r>
              <w:rPr>
                <w:rStyle w:val="FormatvorlageInstructionsTabelleText"/>
                <w:rFonts w:ascii="Times New Roman" w:hAnsi="Times New Roman"/>
                <w:sz w:val="24"/>
              </w:rPr>
              <w:t xml:space="preserve">РКИ </w:t>
            </w:r>
          </w:p>
          <w:p w:rsidR="00B0191A" w:rsidRPr="00384ADB" w:rsidRDefault="00B0191A">
            <w:pPr>
              <w:pStyle w:val="InstructionsText"/>
              <w:rPr>
                <w:rStyle w:val="FormatvorlageInstructionsTabelleText"/>
                <w:rFonts w:ascii="Times New Roman" w:eastAsia="Calibri" w:hAnsi="Times New Roman"/>
                <w:color w:val="000000"/>
                <w:sz w:val="24"/>
              </w:rPr>
            </w:pPr>
          </w:p>
          <w:p w:rsidR="00B0191A" w:rsidRPr="00384ADB" w:rsidRDefault="00BB3751">
            <w:pPr>
              <w:pStyle w:val="InstructionsText"/>
              <w:rPr>
                <w:rStyle w:val="FormatvorlageInstructionsTabelleText"/>
                <w:rFonts w:ascii="Times New Roman" w:eastAsia="Calibri" w:hAnsi="Times New Roman"/>
                <w:color w:val="000000"/>
                <w:sz w:val="24"/>
              </w:rPr>
            </w:pPr>
            <w:r>
              <w:rPr>
                <w:rStyle w:val="FormatvorlageInstructionsTabelleText"/>
                <w:rFonts w:ascii="Times New Roman" w:hAnsi="Times New Roman"/>
                <w:sz w:val="24"/>
              </w:rPr>
              <w:t>Докладват се експозициите, приспаднати от собствените средства, ко</w:t>
            </w:r>
            <w:r>
              <w:rPr>
                <w:rStyle w:val="FormatvorlageInstructionsTabelleText"/>
                <w:rFonts w:ascii="Times New Roman" w:hAnsi="Times New Roman"/>
                <w:sz w:val="24"/>
              </w:rPr>
              <w:t>и</w:t>
            </w:r>
            <w:r>
              <w:rPr>
                <w:rStyle w:val="FormatvorlageInstructionsTabelleText"/>
                <w:rFonts w:ascii="Times New Roman" w:hAnsi="Times New Roman"/>
                <w:sz w:val="24"/>
              </w:rPr>
              <w:t>то се включват в различните колони на общата първоначална експоз</w:t>
            </w:r>
            <w:r>
              <w:rPr>
                <w:rStyle w:val="FormatvorlageInstructionsTabelleText"/>
                <w:rFonts w:ascii="Times New Roman" w:hAnsi="Times New Roman"/>
                <w:sz w:val="24"/>
              </w:rPr>
              <w:t>и</w:t>
            </w:r>
            <w:r>
              <w:rPr>
                <w:rStyle w:val="FormatvorlageInstructionsTabelleText"/>
                <w:rFonts w:ascii="Times New Roman" w:hAnsi="Times New Roman"/>
                <w:sz w:val="24"/>
              </w:rPr>
              <w:t xml:space="preserve">ция. </w:t>
            </w:r>
          </w:p>
          <w:p w:rsidR="00BB3751" w:rsidRPr="00F40CD9" w:rsidRDefault="00BB3751" w:rsidP="001E6FAF">
            <w:pPr>
              <w:pStyle w:val="Default"/>
              <w:jc w:val="both"/>
              <w:rPr>
                <w:rStyle w:val="FormatvorlageInstructionsTabelleText"/>
                <w:rFonts w:ascii="Times New Roman" w:hAnsi="Times New Roman"/>
                <w:b/>
                <w:sz w:val="24"/>
              </w:rPr>
            </w:pPr>
          </w:p>
        </w:tc>
      </w:tr>
      <w:tr w:rsidR="00BB3751" w:rsidRPr="00384ADB" w:rsidTr="00E17043">
        <w:tc>
          <w:tcPr>
            <w:tcW w:w="1418" w:type="dxa"/>
            <w:vAlign w:val="center"/>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 преди прилагането на изключения и р</w:t>
            </w:r>
            <w:r>
              <w:rPr>
                <w:rStyle w:val="InstructionsTabelleberschrift"/>
                <w:rFonts w:ascii="Times New Roman" w:hAnsi="Times New Roman"/>
                <w:sz w:val="24"/>
              </w:rPr>
              <w:t>е</w:t>
            </w:r>
            <w:r>
              <w:rPr>
                <w:rStyle w:val="InstructionsTabelleberschrift"/>
                <w:rFonts w:ascii="Times New Roman" w:hAnsi="Times New Roman"/>
                <w:sz w:val="24"/>
              </w:rPr>
              <w:t>дуциране на кредитния риск</w:t>
            </w:r>
          </w:p>
          <w:p w:rsidR="00BB3751" w:rsidRPr="00384ADB" w:rsidRDefault="00BB3751" w:rsidP="005149C1">
            <w:pPr>
              <w:pStyle w:val="Default"/>
              <w:rPr>
                <w:rFonts w:ascii="Times New Roman" w:hAnsi="Times New Roman" w:cs="Times New Roman"/>
                <w:b/>
              </w:rPr>
            </w:pPr>
          </w:p>
          <w:p w:rsidR="00BB3751" w:rsidRPr="00384ADB" w:rsidRDefault="00BB3751" w:rsidP="0039317F">
            <w:pPr>
              <w:pStyle w:val="InstructionsText"/>
            </w:pPr>
            <w:r>
              <w:t xml:space="preserve">Член 394, параграф 1, буква б) от </w:t>
            </w:r>
            <w:r>
              <w:rPr>
                <w:rStyle w:val="FormatvorlageInstructionsTabelleText"/>
                <w:rFonts w:ascii="Times New Roman" w:hAnsi="Times New Roman"/>
                <w:sz w:val="24"/>
              </w:rPr>
              <w:t>РКИ</w:t>
            </w:r>
          </w:p>
          <w:p w:rsidR="00BB3751" w:rsidRPr="00384ADB" w:rsidRDefault="00BB3751" w:rsidP="0039317F">
            <w:pPr>
              <w:pStyle w:val="InstructionsText"/>
            </w:pPr>
          </w:p>
          <w:p w:rsidR="00BB3751" w:rsidRPr="00384ADB" w:rsidRDefault="008A4511" w:rsidP="0039317F">
            <w:pPr>
              <w:pStyle w:val="InstructionsText"/>
            </w:pPr>
            <w:r>
              <w:t>Когато е приложимо, институциите докладват стойността на експоз</w:t>
            </w:r>
            <w:r>
              <w:t>и</w:t>
            </w:r>
            <w:r>
              <w:t>цията преди отчитането на ефекта от редуцирането на кредитния риск.</w:t>
            </w:r>
          </w:p>
          <w:p w:rsidR="00BB3751" w:rsidRPr="00384ADB" w:rsidRDefault="00BB3751"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w:t>
            </w:r>
          </w:p>
          <w:p w:rsidR="00BB3751" w:rsidRPr="0039317F" w:rsidRDefault="00BB3751" w:rsidP="0039317F">
            <w:pPr>
              <w:pStyle w:val="InstructionsText"/>
            </w:pPr>
          </w:p>
          <w:p w:rsidR="00BB3751" w:rsidRPr="0039317F" w:rsidRDefault="00BB3751" w:rsidP="0039317F">
            <w:pPr>
              <w:pStyle w:val="InstructionsText"/>
            </w:pPr>
            <w:r>
              <w:t>Стойността на експозицията, която се докладва в тази колона, е сто</w:t>
            </w:r>
            <w:r>
              <w:t>й</w:t>
            </w:r>
            <w:r>
              <w:t xml:space="preserve">ността, която се използва, за да се определи дали дадена експозиция е голяма по смисъла на член 392 от </w:t>
            </w:r>
            <w:r>
              <w:rPr>
                <w:rStyle w:val="FormatvorlageInstructionsTabelleText"/>
                <w:rFonts w:ascii="Times New Roman" w:hAnsi="Times New Roman"/>
                <w:sz w:val="24"/>
              </w:rPr>
              <w:t>РКИ</w:t>
            </w:r>
            <w:r>
              <w:t>.</w:t>
            </w:r>
          </w:p>
          <w:p w:rsidR="00B0191A" w:rsidRPr="0039317F" w:rsidRDefault="00B0191A" w:rsidP="000F0ADE">
            <w:pPr>
              <w:pStyle w:val="InstructionsText"/>
            </w:pPr>
          </w:p>
          <w:p w:rsidR="00B0191A" w:rsidRPr="0039317F" w:rsidRDefault="00BB3751">
            <w:pPr>
              <w:pStyle w:val="InstructionsText"/>
            </w:pPr>
            <w:r>
              <w:t>Това включва първоначалната експозиция след приспадане на коре</w:t>
            </w:r>
            <w:r>
              <w:t>к</w:t>
            </w:r>
            <w:r>
              <w:t>циите на стойността и провизиите, както и стойността на експозициите, приспаднати от собствените средства.</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банков портфейл</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банковия портфейл в общата експозиция преди изключ</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 xml:space="preserve">нията и редуцирането на кредитния риск. </w:t>
            </w:r>
          </w:p>
          <w:p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от допустимия капитал</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4, параграф 1, точка 71, буква б) и член 395 от </w:t>
            </w:r>
            <w:r>
              <w:rPr>
                <w:rStyle w:val="FormatvorlageInstructionsTabelleText"/>
                <w:rFonts w:ascii="Times New Roman" w:hAnsi="Times New Roman"/>
                <w:sz w:val="24"/>
              </w:rPr>
              <w:t>РКИ</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Докладваната стойност е процентът от стойността на експозицията преди прилагането на изключенията и редуцирането на кредитния риск, свързан с приемливия капитал на институцията, както този кап</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тал е определен в член 4, параграф 1, точка 71, буква б) от</w:t>
            </w:r>
            <w:r>
              <w:t xml:space="preserve"> </w:t>
            </w:r>
            <w:r>
              <w:rPr>
                <w:rStyle w:val="FormatvorlageInstructionsTabelleText"/>
                <w:rFonts w:ascii="Times New Roman" w:hAnsi="Times New Roman"/>
                <w:sz w:val="24"/>
              </w:rPr>
              <w:t>РКИ</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Допустими техники за редуциране на кредитния риск</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Членове 399 и 401—403 от </w:t>
            </w:r>
            <w:r>
              <w:rPr>
                <w:rStyle w:val="FormatvorlageInstructionsTabelleText"/>
                <w:rFonts w:ascii="Times New Roman" w:hAnsi="Times New Roman"/>
                <w:sz w:val="24"/>
              </w:rPr>
              <w:t>РКИ</w:t>
            </w:r>
          </w:p>
          <w:p w:rsidR="00BB3751" w:rsidRPr="00384ADB" w:rsidRDefault="00BB3751" w:rsidP="004675B7">
            <w:pPr>
              <w:spacing w:before="0" w:after="0"/>
              <w:rPr>
                <w:rStyle w:val="InstructionsTabelleberschrift"/>
                <w:rFonts w:ascii="Times New Roman" w:hAnsi="Times New Roman"/>
                <w:sz w:val="24"/>
                <w:u w:val="none"/>
              </w:rPr>
            </w:pPr>
          </w:p>
          <w:p w:rsidR="00BB3751" w:rsidRPr="00384ADB" w:rsidRDefault="00BB3751" w:rsidP="004675B7">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Техники за редуциране на кредитния риск по смисъла на член 4, пара</w:t>
            </w:r>
            <w:r>
              <w:rPr>
                <w:rStyle w:val="FormatvorlageInstructionsTabelleText"/>
                <w:rFonts w:ascii="Times New Roman" w:hAnsi="Times New Roman"/>
                <w:sz w:val="24"/>
              </w:rPr>
              <w:t>г</w:t>
            </w:r>
            <w:r>
              <w:rPr>
                <w:rStyle w:val="FormatvorlageInstructionsTabelleText"/>
                <w:rFonts w:ascii="Times New Roman" w:hAnsi="Times New Roman"/>
                <w:sz w:val="24"/>
              </w:rPr>
              <w:t>раф 1, точка 57 от РКИ.</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BB3751"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За целите на настоящото докладване се използват техниките за редуц</w:t>
            </w:r>
            <w:r>
              <w:rPr>
                <w:rStyle w:val="FormatvorlageInstructionsTabelleText"/>
                <w:rFonts w:ascii="Times New Roman" w:hAnsi="Times New Roman"/>
                <w:sz w:val="24"/>
              </w:rPr>
              <w:t>и</w:t>
            </w:r>
            <w:r>
              <w:rPr>
                <w:rStyle w:val="FormatvorlageInstructionsTabelleText"/>
                <w:rFonts w:ascii="Times New Roman" w:hAnsi="Times New Roman"/>
                <w:sz w:val="24"/>
              </w:rPr>
              <w:t xml:space="preserve">ране на кредитния риск, признати в трета част, дял II, глави 3 и 4, </w:t>
            </w:r>
            <w:r>
              <w:rPr>
                <w:rStyle w:val="InstructionsTabelleberschrift"/>
                <w:rFonts w:ascii="Times New Roman" w:hAnsi="Times New Roman"/>
                <w:b w:val="0"/>
                <w:sz w:val="24"/>
                <w:u w:val="none"/>
              </w:rPr>
              <w:t>в с</w:t>
            </w:r>
            <w:r>
              <w:rPr>
                <w:rStyle w:val="InstructionsTabelleberschrift"/>
                <w:rFonts w:ascii="Times New Roman" w:hAnsi="Times New Roman"/>
                <w:b w:val="0"/>
                <w:sz w:val="24"/>
                <w:u w:val="none"/>
              </w:rPr>
              <w:t>ъ</w:t>
            </w:r>
            <w:r>
              <w:rPr>
                <w:rStyle w:val="InstructionsTabelleberschrift"/>
                <w:rFonts w:ascii="Times New Roman" w:hAnsi="Times New Roman"/>
                <w:b w:val="0"/>
                <w:sz w:val="24"/>
                <w:u w:val="none"/>
              </w:rPr>
              <w:t xml:space="preserve">ответствие с членове 401—403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Техниките за редуциране на кредитния риск може да имат различни ефекти в режима за ГЕ: ефект на заместването; обезпечена кредитна защита, различна от ефекта на заместването; третиране като недвижим имот.</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Ефект на заместването на допустимите техники за редуциране на кредитния риск</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9317F"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403 от РКИ </w:t>
            </w:r>
            <w:proofErr w:type="spellStart"/>
            <w:r>
              <w:rPr>
                <w:rStyle w:val="FormatvorlageInstructionsTabelleText"/>
                <w:rFonts w:ascii="Times New Roman" w:hAnsi="Times New Roman"/>
                <w:sz w:val="24"/>
              </w:rPr>
              <w:t>РКИ</w:t>
            </w:r>
            <w:proofErr w:type="spellEnd"/>
          </w:p>
          <w:p w:rsidR="00B0191A" w:rsidRPr="0039317F" w:rsidRDefault="00B0191A" w:rsidP="000F0ADE">
            <w:pPr>
              <w:pStyle w:val="InstructionsText"/>
              <w:rPr>
                <w:rStyle w:val="InstructionsTabelleberschrift"/>
                <w:rFonts w:ascii="Times New Roman" w:hAnsi="Times New Roman"/>
                <w:b w:val="0"/>
                <w:sz w:val="24"/>
                <w:u w:val="none"/>
              </w:rPr>
            </w:pPr>
          </w:p>
          <w:p w:rsidR="00B0191A" w:rsidRPr="0039317F" w:rsidRDefault="00BB3751" w:rsidP="000F0ADE">
            <w:pPr>
              <w:pStyle w:val="InstructionsText"/>
            </w:pPr>
            <w:r>
              <w:rPr>
                <w:rStyle w:val="InstructionsTabelleberschrift"/>
                <w:rFonts w:ascii="Times New Roman" w:hAnsi="Times New Roman"/>
                <w:b w:val="0"/>
                <w:sz w:val="24"/>
                <w:u w:val="none"/>
              </w:rPr>
              <w:t>Докладваният в тези колони размер на обезпечената и необезпечената кредитна защита съответства на експозициите, гарантирани</w:t>
            </w:r>
            <w:r>
              <w:t xml:space="preserve"> от трето лице или обезпечени с обезпечение, емитирано от трето лице, когато институцията реши да третира експозицията като поета към гаранта или </w:t>
            </w:r>
            <w:proofErr w:type="spellStart"/>
            <w:r>
              <w:t>емитента</w:t>
            </w:r>
            <w:proofErr w:type="spellEnd"/>
            <w:r>
              <w:t xml:space="preserve"> на обезпечението.</w:t>
            </w:r>
          </w:p>
          <w:p w:rsidR="00B0191A" w:rsidRPr="00384ADB" w:rsidRDefault="00B0191A">
            <w:pPr>
              <w:pStyle w:val="InstructionsText"/>
              <w:rPr>
                <w:rStyle w:val="InstructionsTabelleberschrift"/>
                <w:rFonts w:ascii="Times New Roman" w:hAnsi="Times New Roman"/>
                <w:b w:val="0"/>
                <w:bCs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Дългови инструменти</w:t>
            </w:r>
          </w:p>
          <w:p w:rsidR="00BB3751" w:rsidRPr="00384ADB" w:rsidRDefault="00BB3751" w:rsidP="0039317F">
            <w:pPr>
              <w:pStyle w:val="InstructionsText"/>
              <w:rPr>
                <w:rStyle w:val="InstructionsTabelleberschrif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060.</w:t>
            </w:r>
          </w:p>
          <w:p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Инструменти на собствения капитал</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колона 070.</w:t>
            </w:r>
          </w:p>
          <w:p w:rsidR="00B0191A" w:rsidRPr="00384ADB" w:rsidRDefault="00B0191A" w:rsidP="000F0ADE">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Деривати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080.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rsidP="0039317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позиции</w:t>
            </w:r>
          </w:p>
          <w:p w:rsidR="00BB3751" w:rsidRPr="00384ADB" w:rsidRDefault="00BB3751" w:rsidP="0039317F">
            <w:pPr>
              <w:pStyle w:val="InstructionsText"/>
              <w:rPr>
                <w:rStyle w:val="InstructionsTabelleberschrift"/>
                <w:rFonts w:ascii="Times New Roman" w:hAnsi="Times New Roman"/>
                <w:b w:val="0"/>
                <w:sz w:val="24"/>
              </w:rPr>
            </w:pPr>
          </w:p>
          <w:p w:rsidR="00BB3751" w:rsidRPr="00384ADB" w:rsidRDefault="00BB3751" w:rsidP="00B9340F">
            <w:pPr>
              <w:spacing w:before="0" w:after="0"/>
              <w:rPr>
                <w:rFonts w:ascii="Times New Roman" w:hAnsi="Times New Roman"/>
                <w:bCs/>
                <w:sz w:val="24"/>
              </w:rPr>
            </w:pPr>
            <w:r>
              <w:rPr>
                <w:rFonts w:ascii="Times New Roman" w:hAnsi="Times New Roman"/>
                <w:sz w:val="24"/>
              </w:rPr>
              <w:t xml:space="preserve">Стойностите в тези колони са без прилагане на </w:t>
            </w:r>
            <w:proofErr w:type="spellStart"/>
            <w:r>
              <w:rPr>
                <w:rFonts w:ascii="Times New Roman" w:hAnsi="Times New Roman"/>
                <w:sz w:val="24"/>
              </w:rPr>
              <w:t>конверсионни</w:t>
            </w:r>
            <w:proofErr w:type="spellEnd"/>
            <w:r>
              <w:rPr>
                <w:rFonts w:ascii="Times New Roman" w:hAnsi="Times New Roman"/>
                <w:sz w:val="24"/>
              </w:rPr>
              <w:t xml:space="preserve"> коефиц</w:t>
            </w:r>
            <w:r>
              <w:rPr>
                <w:rFonts w:ascii="Times New Roman" w:hAnsi="Times New Roman"/>
                <w:sz w:val="24"/>
              </w:rPr>
              <w:t>и</w:t>
            </w:r>
            <w:r>
              <w:rPr>
                <w:rFonts w:ascii="Times New Roman" w:hAnsi="Times New Roman"/>
                <w:sz w:val="24"/>
              </w:rPr>
              <w:t>енти.</w:t>
            </w:r>
          </w:p>
          <w:p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Кредитни ангажименти</w:t>
            </w:r>
          </w:p>
          <w:p w:rsidR="00BB3751" w:rsidRPr="00384ADB" w:rsidRDefault="00BB3751" w:rsidP="0039317F">
            <w:pPr>
              <w:pStyle w:val="InstructionsText"/>
              <w:rPr>
                <w:rStyle w:val="FormatvorlageInstructionsTabelleText"/>
                <w:rFonts w:ascii="Times New Roman" w:hAnsi="Times New Roman"/>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090.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Финансови гаранции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100.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Други ангажименти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110.</w:t>
            </w:r>
          </w:p>
          <w:p w:rsidR="00B0191A" w:rsidRPr="00384ADB" w:rsidRDefault="00B0191A">
            <w:pPr>
              <w:pStyle w:val="InstructionsText"/>
              <w:rPr>
                <w:rStyle w:val="FormatvorlageInstructionsTabelleText"/>
                <w:rFonts w:ascii="Times New Roman" w:hAnsi="Times New Roman"/>
                <w:b/>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Обезпечена кредитна защита, различна от ефекта на заместването</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401 от РКИ </w:t>
            </w:r>
            <w:proofErr w:type="spellStart"/>
            <w:r>
              <w:rPr>
                <w:rStyle w:val="FormatvorlageInstructionsTabelleText"/>
                <w:rFonts w:ascii="Times New Roman" w:hAnsi="Times New Roman"/>
                <w:sz w:val="24"/>
              </w:rPr>
              <w:t>РКИ</w:t>
            </w:r>
            <w:proofErr w:type="spellEnd"/>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Институцията докладва размера на обезпечената кредитна защита, ка</w:t>
            </w:r>
            <w:r>
              <w:rPr>
                <w:rStyle w:val="InstructionsTabelleberschrift"/>
                <w:rFonts w:ascii="Times New Roman" w:hAnsi="Times New Roman"/>
                <w:b w:val="0"/>
                <w:sz w:val="24"/>
                <w:u w:val="none"/>
              </w:rPr>
              <w:t>к</w:t>
            </w:r>
            <w:r>
              <w:rPr>
                <w:rStyle w:val="InstructionsTabelleberschrift"/>
                <w:rFonts w:ascii="Times New Roman" w:hAnsi="Times New Roman"/>
                <w:b w:val="0"/>
                <w:sz w:val="24"/>
                <w:u w:val="none"/>
              </w:rPr>
              <w:t xml:space="preserve">то е определена в член 4, параграф 1, точка 58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 който е при</w:t>
            </w:r>
            <w:r>
              <w:rPr>
                <w:rStyle w:val="InstructionsTabelleberschrift"/>
                <w:rFonts w:ascii="Times New Roman" w:hAnsi="Times New Roman"/>
                <w:b w:val="0"/>
                <w:sz w:val="24"/>
                <w:u w:val="none"/>
              </w:rPr>
              <w:t>с</w:t>
            </w:r>
            <w:r>
              <w:rPr>
                <w:rStyle w:val="InstructionsTabelleberschrift"/>
                <w:rFonts w:ascii="Times New Roman" w:hAnsi="Times New Roman"/>
                <w:b w:val="0"/>
                <w:sz w:val="24"/>
                <w:u w:val="none"/>
              </w:rPr>
              <w:t xml:space="preserve">паднат от стойността на експозицията в резултат на прилагането на член 401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Недвижими имоти</w:t>
            </w:r>
          </w:p>
          <w:p w:rsidR="00BB3751" w:rsidRPr="00384ADB" w:rsidRDefault="00BB3751" w:rsidP="0039317F">
            <w:pPr>
              <w:pStyle w:val="InstructionsText"/>
              <w:rPr>
                <w:rStyle w:val="InstructionsTabelleberschrift"/>
                <w:rFonts w:ascii="Times New Roman" w:hAnsi="Times New Roman"/>
                <w:b w:val="0"/>
                <w:sz w:val="24"/>
                <w:u w:val="none"/>
              </w:rPr>
            </w:pPr>
          </w:p>
          <w:p w:rsidR="00BB3751" w:rsidRPr="00384ADB" w:rsidRDefault="00BB3751"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402 от РКИ </w:t>
            </w:r>
            <w:proofErr w:type="spellStart"/>
            <w:r>
              <w:rPr>
                <w:rStyle w:val="FormatvorlageInstructionsTabelleText"/>
                <w:rFonts w:ascii="Times New Roman" w:hAnsi="Times New Roman"/>
                <w:sz w:val="24"/>
              </w:rPr>
              <w:t>РКИ</w:t>
            </w:r>
            <w:proofErr w:type="spellEnd"/>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Институцията докладва стойностите, приспаднати от стойността на е</w:t>
            </w:r>
            <w:r>
              <w:rPr>
                <w:rStyle w:val="InstructionsTabelleberschrift"/>
                <w:rFonts w:ascii="Times New Roman" w:hAnsi="Times New Roman"/>
                <w:b w:val="0"/>
                <w:sz w:val="24"/>
                <w:u w:val="none"/>
              </w:rPr>
              <w:t>к</w:t>
            </w:r>
            <w:r>
              <w:rPr>
                <w:rStyle w:val="InstructionsTabelleberschrift"/>
                <w:rFonts w:ascii="Times New Roman" w:hAnsi="Times New Roman"/>
                <w:b w:val="0"/>
                <w:sz w:val="24"/>
                <w:u w:val="none"/>
              </w:rPr>
              <w:t xml:space="preserve">спозицията в резултат на прилагането на член 402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w:t>
            </w:r>
          </w:p>
          <w:p w:rsidR="00B0191A" w:rsidRPr="00384ADB" w:rsidRDefault="00B0191A">
            <w:pPr>
              <w:pStyle w:val="InstructionsText"/>
              <w:rPr>
                <w:rStyle w:val="InstructionsTabelleberschrift"/>
                <w:rFonts w:ascii="Times New Roman" w:hAnsi="Times New Roman"/>
                <w:b w:val="0"/>
                <w:sz w:val="24"/>
                <w:u w:val="none"/>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Изключени стойности</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 400 от РКИ </w:t>
            </w:r>
            <w:proofErr w:type="spellStart"/>
            <w:r>
              <w:rPr>
                <w:rStyle w:val="FormatvorlageInstructionsTabelleText"/>
                <w:rFonts w:ascii="Times New Roman" w:hAnsi="Times New Roman"/>
                <w:sz w:val="24"/>
              </w:rPr>
              <w:t>РКИ</w:t>
            </w:r>
            <w:proofErr w:type="spellEnd"/>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Институцията докладва стойностите,</w:t>
            </w:r>
            <w:r>
              <w:rPr>
                <w:rStyle w:val="FormatvorlageInstructionsTabelleText"/>
                <w:rFonts w:ascii="Times New Roman" w:hAnsi="Times New Roman"/>
                <w:sz w:val="24"/>
              </w:rPr>
              <w:t xml:space="preserve"> изключени от режима на ГЕ.</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 след прилагането на изключения и р</w:t>
            </w:r>
            <w:r>
              <w:rPr>
                <w:rStyle w:val="InstructionsTabelleberschrift"/>
                <w:rFonts w:ascii="Times New Roman" w:hAnsi="Times New Roman"/>
                <w:sz w:val="24"/>
              </w:rPr>
              <w:t>е</w:t>
            </w:r>
            <w:r>
              <w:rPr>
                <w:rStyle w:val="InstructionsTabelleberschrift"/>
                <w:rFonts w:ascii="Times New Roman" w:hAnsi="Times New Roman"/>
                <w:sz w:val="24"/>
              </w:rPr>
              <w:t>дуциране на кредитния риск</w:t>
            </w:r>
          </w:p>
          <w:p w:rsidR="00BB3751" w:rsidRPr="0039317F" w:rsidRDefault="00BB3751" w:rsidP="0039317F">
            <w:pPr>
              <w:pStyle w:val="InstructionsText"/>
            </w:pPr>
          </w:p>
          <w:p w:rsidR="00BB3751" w:rsidRPr="0039317F" w:rsidRDefault="00BB3751" w:rsidP="0039317F">
            <w:pPr>
              <w:pStyle w:val="InstructionsText"/>
            </w:pPr>
            <w:r>
              <w:t xml:space="preserve">Член 394, параграф 1, буква г) от </w:t>
            </w:r>
            <w:r>
              <w:rPr>
                <w:rStyle w:val="FormatvorlageInstructionsTabelleText"/>
                <w:rFonts w:ascii="Times New Roman" w:hAnsi="Times New Roman"/>
                <w:sz w:val="24"/>
              </w:rPr>
              <w:t>РКИ</w:t>
            </w:r>
          </w:p>
          <w:p w:rsidR="00B0191A" w:rsidRPr="0039317F" w:rsidRDefault="00B0191A" w:rsidP="000F0ADE">
            <w:pPr>
              <w:pStyle w:val="InstructionsText"/>
            </w:pPr>
          </w:p>
          <w:p w:rsidR="00B0191A" w:rsidRPr="0039317F" w:rsidRDefault="0054768B">
            <w:pPr>
              <w:pStyle w:val="InstructionsText"/>
            </w:pPr>
            <w:r>
              <w:t xml:space="preserve">Институцията докладва стойността на експозицията след отчитане на ефекта от изключенията и редуцирането на кредитния риск, изчислен за целите на член 395, параграф 1 от </w:t>
            </w:r>
            <w:r>
              <w:rPr>
                <w:rStyle w:val="FormatvorlageInstructionsTabelleText"/>
                <w:rFonts w:ascii="Times New Roman" w:hAnsi="Times New Roman"/>
                <w:sz w:val="24"/>
              </w:rPr>
              <w:t>РКИ</w:t>
            </w:r>
            <w:r>
              <w:t>.</w:t>
            </w:r>
          </w:p>
          <w:p w:rsidR="00B0191A" w:rsidRPr="00384ADB" w:rsidRDefault="00B0191A">
            <w:pPr>
              <w:pStyle w:val="InstructionsText"/>
              <w:rPr>
                <w:rStyle w:val="InstructionsTabelleberschrift"/>
                <w:rFonts w:ascii="Times New Roman" w:hAnsi="Times New Roman"/>
                <w:bCs w:val="0"/>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w:t>
            </w:r>
          </w:p>
          <w:p w:rsidR="00BB3751" w:rsidRPr="00384ADB" w:rsidRDefault="00BB3751" w:rsidP="0039317F">
            <w:pPr>
              <w:pStyle w:val="InstructionsText"/>
            </w:pPr>
          </w:p>
          <w:p w:rsidR="00BB3751" w:rsidRPr="0039317F" w:rsidRDefault="00BB3751" w:rsidP="000F0ADE">
            <w:pPr>
              <w:pStyle w:val="InstructionsText"/>
            </w:pPr>
            <w:r>
              <w:t>В тази колона се включва сумата, която се взема предвид, за да се спази максималният размер за големи експозиции, посочен в член 395 от РКИ.</w:t>
            </w:r>
          </w:p>
          <w:p w:rsidR="00B0191A" w:rsidRPr="00384ADB" w:rsidRDefault="00B0191A">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банков портфейл</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Институцията докладва общата експозиция след прилагането на из</w:t>
            </w:r>
            <w:r>
              <w:rPr>
                <w:rStyle w:val="FormatvorlageInstructionsTabelleText"/>
                <w:rFonts w:ascii="Times New Roman" w:hAnsi="Times New Roman"/>
                <w:sz w:val="24"/>
              </w:rPr>
              <w:t>к</w:t>
            </w:r>
            <w:r>
              <w:rPr>
                <w:rStyle w:val="FormatvorlageInstructionsTabelleText"/>
                <w:rFonts w:ascii="Times New Roman" w:hAnsi="Times New Roman"/>
                <w:sz w:val="24"/>
              </w:rPr>
              <w:t>люченията и след отчитане на ефекта от редуцирането на кредитния риск, свързан с банковия портфейл.</w:t>
            </w:r>
          </w:p>
          <w:p w:rsidR="00BB3751" w:rsidRPr="00384ADB" w:rsidRDefault="00BB3751">
            <w:pPr>
              <w:pStyle w:val="InstructionsText"/>
              <w:rPr>
                <w:rStyle w:val="InstructionsTabelleberschrift"/>
                <w:rFonts w:ascii="Times New Roman" w:hAnsi="Times New Roman"/>
                <w:sz w:val="24"/>
              </w:rPr>
            </w:pPr>
          </w:p>
        </w:tc>
      </w:tr>
      <w:tr w:rsidR="00BB3751" w:rsidRPr="00384ADB" w:rsidTr="00E17043">
        <w:tc>
          <w:tcPr>
            <w:tcW w:w="1418" w:type="dxa"/>
          </w:tcPr>
          <w:p w:rsidR="00BB3751" w:rsidRPr="00384ADB" w:rsidRDefault="00CA42A9"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от допустимия капитал</w:t>
            </w:r>
          </w:p>
          <w:p w:rsidR="00BB3751" w:rsidRPr="00384ADB" w:rsidRDefault="00BB3751" w:rsidP="0039317F">
            <w:pPr>
              <w:pStyle w:val="InstructionsText"/>
              <w:rPr>
                <w:rStyle w:val="FormatvorlageInstructionsTabelleText"/>
                <w:rFonts w:ascii="Times New Roman" w:hAnsi="Times New Roman"/>
                <w:b/>
                <w:sz w:val="24"/>
              </w:rPr>
            </w:pPr>
          </w:p>
          <w:p w:rsidR="00BB3751" w:rsidRPr="00384ADB" w:rsidRDefault="0054768B" w:rsidP="00BE2D91">
            <w:pPr>
              <w:spacing w:before="0" w:after="0"/>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Институцията </w:t>
            </w:r>
            <w:r>
              <w:t xml:space="preserve">докладва </w:t>
            </w:r>
            <w:r>
              <w:rPr>
                <w:rStyle w:val="InstructionsTabelleberschrift"/>
                <w:rFonts w:ascii="Times New Roman" w:hAnsi="Times New Roman"/>
                <w:b w:val="0"/>
                <w:sz w:val="24"/>
                <w:u w:val="none"/>
              </w:rPr>
              <w:t xml:space="preserve">процента от стойността на експозицията след </w:t>
            </w:r>
            <w:r>
              <w:rPr>
                <w:rStyle w:val="InstructionsTabelleberschrift"/>
                <w:rFonts w:ascii="Times New Roman" w:hAnsi="Times New Roman"/>
                <w:b w:val="0"/>
                <w:sz w:val="24"/>
                <w:u w:val="none"/>
              </w:rPr>
              <w:lastRenderedPageBreak/>
              <w:t>прилагането на изключенията и редуцирането на кредитния риск, свъ</w:t>
            </w:r>
            <w:r>
              <w:rPr>
                <w:rStyle w:val="InstructionsTabelleberschrift"/>
                <w:rFonts w:ascii="Times New Roman" w:hAnsi="Times New Roman"/>
                <w:b w:val="0"/>
                <w:sz w:val="24"/>
                <w:u w:val="none"/>
              </w:rPr>
              <w:t>р</w:t>
            </w:r>
            <w:r>
              <w:rPr>
                <w:rStyle w:val="InstructionsTabelleberschrift"/>
                <w:rFonts w:ascii="Times New Roman" w:hAnsi="Times New Roman"/>
                <w:b w:val="0"/>
                <w:sz w:val="24"/>
                <w:u w:val="none"/>
              </w:rPr>
              <w:t>зан с приемливия капитал на институцията, както този капитал е опр</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 xml:space="preserve">делен в член 4, параграф 1, точка 71, буква б) от </w:t>
            </w:r>
            <w:r>
              <w:rPr>
                <w:rStyle w:val="FormatvorlageInstructionsTabelleText"/>
                <w:rFonts w:ascii="Times New Roman" w:hAnsi="Times New Roman"/>
                <w:sz w:val="24"/>
              </w:rPr>
              <w:t>РКИ</w:t>
            </w:r>
            <w:r>
              <w:rPr>
                <w:rStyle w:val="InstructionsTabelleberschrift"/>
                <w:rFonts w:ascii="Times New Roman" w:hAnsi="Times New Roman"/>
                <w:b w:val="0"/>
                <w:sz w:val="24"/>
                <w:u w:val="none"/>
              </w:rPr>
              <w:t>.</w:t>
            </w:r>
          </w:p>
          <w:p w:rsidR="00BB3751" w:rsidRPr="00384ADB" w:rsidRDefault="00BB3751" w:rsidP="0039317F">
            <w:pPr>
              <w:pStyle w:val="InstructionsText"/>
              <w:rPr>
                <w:rStyle w:val="InstructionsTabelleberschrift"/>
                <w:rFonts w:ascii="Times New Roman" w:hAnsi="Times New Roman"/>
                <w:sz w:val="24"/>
              </w:rPr>
            </w:pP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4" w:name="_Toc358305157"/>
      <w:bookmarkStart w:id="35" w:name="_Toc393461963"/>
      <w:bookmarkStart w:id="36" w:name="_Toc524032664"/>
      <w:r>
        <w:rPr>
          <w:rFonts w:ascii="Times New Roman" w:hAnsi="Times New Roman"/>
          <w:b/>
          <w:sz w:val="24"/>
          <w:u w:val="none"/>
        </w:rPr>
        <w:lastRenderedPageBreak/>
        <w:t>C 29.00 - Данни относно експозициите към отделни клиенти в рамките на гр</w:t>
      </w:r>
      <w:r>
        <w:rPr>
          <w:rFonts w:ascii="Times New Roman" w:hAnsi="Times New Roman"/>
          <w:b/>
          <w:sz w:val="24"/>
          <w:u w:val="none"/>
        </w:rPr>
        <w:t>у</w:t>
      </w:r>
      <w:r>
        <w:rPr>
          <w:rFonts w:ascii="Times New Roman" w:hAnsi="Times New Roman"/>
          <w:b/>
          <w:sz w:val="24"/>
          <w:u w:val="none"/>
        </w:rPr>
        <w:t>пи от свързани клиенти</w:t>
      </w:r>
      <w:bookmarkEnd w:id="34"/>
      <w:r>
        <w:rPr>
          <w:rFonts w:ascii="Times New Roman" w:hAnsi="Times New Roman"/>
          <w:b/>
          <w:sz w:val="24"/>
          <w:u w:val="none"/>
        </w:rPr>
        <w:t xml:space="preserve"> (ГЕ3)</w:t>
      </w:r>
      <w:bookmarkEnd w:id="35"/>
      <w:bookmarkEnd w:id="36"/>
    </w:p>
    <w:p w:rsidR="003105C6" w:rsidRPr="00384ADB" w:rsidRDefault="003105C6" w:rsidP="00C52CE2">
      <w:pPr>
        <w:pStyle w:val="Instructionsberschrift2"/>
        <w:numPr>
          <w:ilvl w:val="1"/>
          <w:numId w:val="22"/>
        </w:numPr>
        <w:rPr>
          <w:rFonts w:ascii="Times New Roman" w:hAnsi="Times New Roman" w:cs="Times New Roman"/>
          <w:sz w:val="24"/>
        </w:rPr>
      </w:pPr>
      <w:bookmarkStart w:id="37" w:name="_Toc308175824"/>
      <w:bookmarkStart w:id="38" w:name="_Toc310414970"/>
      <w:bookmarkStart w:id="39" w:name="_Toc358305158"/>
      <w:bookmarkStart w:id="40" w:name="_Toc393461964"/>
      <w:bookmarkStart w:id="41" w:name="_Toc524032665"/>
      <w:r>
        <w:rPr>
          <w:rFonts w:ascii="Times New Roman" w:hAnsi="Times New Roman"/>
          <w:sz w:val="24"/>
        </w:rPr>
        <w:t xml:space="preserve">Указания за специфични </w:t>
      </w:r>
      <w:bookmarkEnd w:id="37"/>
      <w:bookmarkEnd w:id="38"/>
      <w:r>
        <w:rPr>
          <w:rFonts w:ascii="Times New Roman" w:hAnsi="Times New Roman"/>
          <w:sz w:val="24"/>
        </w:rPr>
        <w:t>колони:</w:t>
      </w:r>
      <w:bookmarkEnd w:id="39"/>
      <w:bookmarkEnd w:id="40"/>
      <w:bookmarkEnd w:id="4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E17043">
        <w:tc>
          <w:tcPr>
            <w:tcW w:w="1418" w:type="dxa"/>
            <w:shd w:val="clear" w:color="auto" w:fill="D9D9D9"/>
          </w:tcPr>
          <w:p w:rsidR="005514AF" w:rsidRPr="00384ADB" w:rsidRDefault="005514AF"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rsidR="005514AF" w:rsidRPr="00384ADB" w:rsidRDefault="005514AF"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704405" w:rsidRPr="00384ADB" w:rsidRDefault="00704405" w:rsidP="0039317F">
            <w:pPr>
              <w:pStyle w:val="InstructionsText"/>
            </w:pPr>
          </w:p>
          <w:p w:rsidR="005514AF" w:rsidRPr="00384ADB" w:rsidRDefault="00BA7374" w:rsidP="0039317F">
            <w:pPr>
              <w:pStyle w:val="InstructionsText"/>
              <w:rPr>
                <w:rStyle w:val="FormatvorlageInstructionsTabelleText"/>
                <w:rFonts w:ascii="Times New Roman" w:hAnsi="Times New Roman"/>
                <w:sz w:val="24"/>
              </w:rPr>
            </w:pPr>
            <w:r>
              <w:t>Институциите посочват в образец ГЕ3 данните на индивидуалните кл</w:t>
            </w:r>
            <w:r>
              <w:t>и</w:t>
            </w:r>
            <w:r>
              <w:t>енти, принадлежащи към група от свързани клиенти, включена в ред</w:t>
            </w:r>
            <w:r>
              <w:t>о</w:t>
            </w:r>
            <w:r>
              <w:t xml:space="preserve">вете на образец ГЕ2. </w:t>
            </w:r>
          </w:p>
          <w:p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rsidTr="00383747">
        <w:trPr>
          <w:trHeight w:val="1203"/>
        </w:trPr>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rsidR="006E7C46" w:rsidRPr="00384ADB" w:rsidRDefault="006E7C46" w:rsidP="0039317F">
            <w:pPr>
              <w:pStyle w:val="InstructionsText"/>
              <w:rPr>
                <w:rStyle w:val="InstructionsTabelleberschrift"/>
                <w:rFonts w:ascii="Times New Roman" w:hAnsi="Times New Roman"/>
                <w:b w:val="0"/>
                <w:sz w:val="24"/>
                <w:u w:val="none"/>
              </w:rPr>
            </w:pPr>
          </w:p>
          <w:p w:rsidR="00BD0674" w:rsidRPr="00384ADB"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rsidR="00C53963" w:rsidRPr="00384ADB"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Посочва се кодът на отделния контрагент, принадлежащ към групите от свързани клиенти.</w:t>
            </w:r>
          </w:p>
          <w:p w:rsidR="00C53963" w:rsidRPr="00384ADB" w:rsidRDefault="00C53963">
            <w:pPr>
              <w:pStyle w:val="InstructionsText"/>
              <w:rPr>
                <w:rStyle w:val="InstructionsTabelleberschrift"/>
                <w:rFonts w:ascii="Times New Roman" w:hAnsi="Times New Roman"/>
                <w:sz w:val="24"/>
              </w:rPr>
            </w:pPr>
          </w:p>
        </w:tc>
      </w:tr>
      <w:tr w:rsidR="00FC221F" w:rsidRPr="00384ADB" w:rsidTr="00383747">
        <w:trPr>
          <w:trHeight w:val="1203"/>
        </w:trPr>
        <w:tc>
          <w:tcPr>
            <w:tcW w:w="1418" w:type="dxa"/>
          </w:tcPr>
          <w:p w:rsidR="00FC221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 на група</w:t>
            </w:r>
          </w:p>
          <w:p w:rsidR="00FC221F" w:rsidRPr="00384ADB" w:rsidRDefault="00FC221F" w:rsidP="0039317F">
            <w:pPr>
              <w:pStyle w:val="InstructionsText"/>
              <w:rPr>
                <w:rStyle w:val="InstructionsTabelleberschrift"/>
                <w:rFonts w:ascii="Times New Roman" w:hAnsi="Times New Roman"/>
                <w:sz w:val="24"/>
              </w:rPr>
            </w:pPr>
          </w:p>
          <w:p w:rsidR="00BD0674" w:rsidRDefault="00BD0674"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на национално равнище е предвиден собствен код за група от свързани клиенти, се посочва този код. Ако на национално равнище т</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къв собствен код не е предвиден, кодът, който се посочва, е използв</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ният за докладването на експозициите към групата от свързани клиенти в C 28.00 (ГЕ2).</w:t>
            </w:r>
          </w:p>
          <w:p w:rsidR="00B0191A" w:rsidRPr="00384ADB" w:rsidRDefault="00D46F08">
            <w:pPr>
              <w:pStyle w:val="InstructionsText"/>
              <w:rPr>
                <w:rStyle w:val="InstructionsTabelleberschrift"/>
                <w:rFonts w:ascii="Times New Roman" w:hAnsi="Times New Roman"/>
                <w:b w:val="0"/>
                <w:sz w:val="24"/>
                <w:u w:val="none"/>
              </w:rPr>
            </w:pPr>
            <w:r>
              <w:t>Когато даден клиент принадлежи към няколко групи от свързани кл</w:t>
            </w:r>
            <w:r>
              <w:t>и</w:t>
            </w:r>
            <w:r>
              <w:t>енти, той се докладва като член на всички групи от свързани клиенти.</w:t>
            </w:r>
            <w:r>
              <w:rPr>
                <w:rStyle w:val="InstructionsTabelleberschrift"/>
                <w:rFonts w:ascii="Times New Roman" w:hAnsi="Times New Roman"/>
                <w:b w:val="0"/>
                <w:sz w:val="24"/>
                <w:u w:val="none"/>
              </w:rPr>
              <w:t xml:space="preserve"> </w:t>
            </w:r>
          </w:p>
          <w:p w:rsidR="00B0191A" w:rsidRPr="00384ADB" w:rsidRDefault="00B0191A">
            <w:pPr>
              <w:pStyle w:val="InstructionsText"/>
              <w:rPr>
                <w:rStyle w:val="InstructionsTabelleberschrift"/>
                <w:rFonts w:ascii="Times New Roman" w:hAnsi="Times New Roman"/>
                <w:sz w:val="24"/>
              </w:rPr>
            </w:pPr>
          </w:p>
        </w:tc>
      </w:tr>
      <w:tr w:rsidR="006E7C46" w:rsidRPr="00384ADB" w:rsidTr="00E17043">
        <w:tc>
          <w:tcPr>
            <w:tcW w:w="1418" w:type="dxa"/>
          </w:tcPr>
          <w:p w:rsidR="006E7C46"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6E7C46" w:rsidRPr="00384ADB" w:rsidRDefault="006E7C46"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Сделки, при които има експозиция към базови активи </w:t>
            </w:r>
          </w:p>
          <w:p w:rsidR="006E7C46" w:rsidRPr="00384ADB" w:rsidRDefault="006E7C46" w:rsidP="0039317F">
            <w:pPr>
              <w:pStyle w:val="InstructionsText"/>
              <w:rPr>
                <w:rStyle w:val="FormatvorlageInstructionsTabelleText"/>
                <w:rFonts w:ascii="Times New Roman" w:hAnsi="Times New Roman"/>
                <w:sz w:val="24"/>
              </w:rPr>
            </w:pPr>
          </w:p>
          <w:p w:rsidR="003D3140" w:rsidRPr="00384ADB" w:rsidRDefault="003D3140"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030 от образец ГЕ2.</w:t>
            </w:r>
          </w:p>
          <w:p w:rsidR="00B0191A" w:rsidRPr="00384ADB" w:rsidRDefault="00B0191A">
            <w:pPr>
              <w:pStyle w:val="InstructionsText"/>
              <w:rPr>
                <w:rStyle w:val="InstructionsTabelleberschrift"/>
                <w:rFonts w:ascii="Times New Roman" w:hAnsi="Times New Roman"/>
                <w:sz w:val="24"/>
              </w:rPr>
            </w:pPr>
          </w:p>
        </w:tc>
      </w:tr>
      <w:tr w:rsidR="005514AF" w:rsidRPr="00384ADB" w:rsidTr="00E17043">
        <w:tc>
          <w:tcPr>
            <w:tcW w:w="1418" w:type="dxa"/>
          </w:tcPr>
          <w:p w:rsidR="005514AF"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5514AF" w:rsidRPr="00384ADB" w:rsidRDefault="00FC221F"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връзка</w:t>
            </w:r>
          </w:p>
          <w:p w:rsidR="005514AF" w:rsidRPr="00384ADB" w:rsidRDefault="005514AF" w:rsidP="0039317F">
            <w:pPr>
              <w:pStyle w:val="InstructionsText"/>
              <w:rPr>
                <w:rStyle w:val="FormatvorlageInstructionsTabelleText"/>
                <w:rFonts w:ascii="Times New Roman" w:hAnsi="Times New Roman"/>
                <w:b/>
                <w:sz w:val="24"/>
              </w:rPr>
            </w:pPr>
          </w:p>
          <w:p w:rsidR="00B05254" w:rsidRPr="00384ADB" w:rsidRDefault="00D46F08"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Посочва се видът връзка между отделното дружество и групата от свързани клиенти, като се използва:</w:t>
            </w:r>
          </w:p>
          <w:p w:rsidR="00B0191A" w:rsidRPr="00384ADB" w:rsidRDefault="00B0191A">
            <w:pPr>
              <w:pStyle w:val="InstructionsText"/>
              <w:rPr>
                <w:rStyle w:val="FormatvorlageInstructionsTabelleText"/>
                <w:rFonts w:ascii="Times New Roman" w:hAnsi="Times New Roman"/>
                <w:sz w:val="24"/>
              </w:rPr>
            </w:pP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по смисъла на член 4, параграф 1, точка 39, буква а) от РКИ (кон</w:t>
            </w:r>
            <w:r>
              <w:rPr>
                <w:rStyle w:val="FormatvorlageInstructionsTabelleText"/>
                <w:rFonts w:ascii="Times New Roman" w:hAnsi="Times New Roman"/>
                <w:sz w:val="24"/>
              </w:rPr>
              <w:t>т</w:t>
            </w:r>
            <w:r>
              <w:rPr>
                <w:rStyle w:val="FormatvorlageInstructionsTabelleText"/>
                <w:rFonts w:ascii="Times New Roman" w:hAnsi="Times New Roman"/>
                <w:sz w:val="24"/>
              </w:rPr>
              <w:t>рол); или</w:t>
            </w:r>
          </w:p>
          <w:p w:rsidR="00B0191A" w:rsidRPr="00384ADB" w:rsidRDefault="00B052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по смисъла на член 4, параграф 1, точка 39, буква б) от РКИ (</w:t>
            </w:r>
            <w:proofErr w:type="spellStart"/>
            <w:r>
              <w:rPr>
                <w:rStyle w:val="FormatvorlageInstructionsTabelleText"/>
                <w:rFonts w:ascii="Times New Roman" w:hAnsi="Times New Roman"/>
                <w:sz w:val="24"/>
              </w:rPr>
              <w:t>вза</w:t>
            </w:r>
            <w:r>
              <w:rPr>
                <w:rStyle w:val="FormatvorlageInstructionsTabelleText"/>
                <w:rFonts w:ascii="Times New Roman" w:hAnsi="Times New Roman"/>
                <w:sz w:val="24"/>
              </w:rPr>
              <w:t>и</w:t>
            </w:r>
            <w:r>
              <w:rPr>
                <w:rStyle w:val="FormatvorlageInstructionsTabelleText"/>
                <w:rFonts w:ascii="Times New Roman" w:hAnsi="Times New Roman"/>
                <w:sz w:val="24"/>
              </w:rPr>
              <w:t>мосвързаност</w:t>
            </w:r>
            <w:proofErr w:type="spellEnd"/>
            <w:r>
              <w:rPr>
                <w:rStyle w:val="FormatvorlageInstructionsTabelleText"/>
                <w:rFonts w:ascii="Times New Roman" w:hAnsi="Times New Roman"/>
                <w:sz w:val="24"/>
              </w:rPr>
              <w:t>).</w:t>
            </w:r>
          </w:p>
          <w:p w:rsidR="00B0191A" w:rsidRPr="00384ADB" w:rsidRDefault="00B0191A">
            <w:pPr>
              <w:pStyle w:val="InstructionsText"/>
              <w:rPr>
                <w:rStyle w:val="FormatvorlageInstructionsTabelleText"/>
                <w:rFonts w:ascii="Times New Roman" w:hAnsi="Times New Roman"/>
                <w:b/>
                <w:sz w:val="24"/>
              </w:rPr>
            </w:pPr>
          </w:p>
        </w:tc>
      </w:tr>
      <w:tr w:rsidR="009F75EC" w:rsidRPr="00384ADB" w:rsidTr="009F75EC">
        <w:tc>
          <w:tcPr>
            <w:tcW w:w="1418" w:type="dxa"/>
          </w:tcPr>
          <w:p w:rsidR="009F75E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464111" w:rsidRPr="00384ADB" w:rsidRDefault="00464111" w:rsidP="0039317F">
            <w:pPr>
              <w:pStyle w:val="InstructionsText"/>
              <w:rPr>
                <w:rStyle w:val="InstructionsTabelleberschrift"/>
                <w:rFonts w:ascii="Times New Roman" w:hAnsi="Times New Roman"/>
                <w:b w:val="0"/>
                <w:sz w:val="24"/>
                <w:u w:val="none"/>
              </w:rPr>
            </w:pPr>
          </w:p>
          <w:p w:rsidR="00464111" w:rsidRPr="00384ADB" w:rsidRDefault="00464111"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Когато финансовите инструменти в образец ГЕ2 са предоставени на цялата група от свързани клиенти, в образец ГЕ3 те се разпределят към отделните контрагенти в съответствие с бизнес критериите на инстит</w:t>
            </w:r>
            <w:r>
              <w:rPr>
                <w:rStyle w:val="InstructionsTabelleberschrift"/>
                <w:rFonts w:ascii="Times New Roman" w:hAnsi="Times New Roman"/>
                <w:b w:val="0"/>
                <w:sz w:val="24"/>
                <w:u w:val="none"/>
              </w:rPr>
              <w:t>у</w:t>
            </w:r>
            <w:r>
              <w:rPr>
                <w:rStyle w:val="InstructionsTabelleberschrift"/>
                <w:rFonts w:ascii="Times New Roman" w:hAnsi="Times New Roman"/>
                <w:b w:val="0"/>
                <w:sz w:val="24"/>
                <w:u w:val="none"/>
              </w:rPr>
              <w:t xml:space="preserve">цията. </w:t>
            </w:r>
          </w:p>
          <w:p w:rsidR="00667F2D" w:rsidRPr="00384ADB" w:rsidRDefault="00667F2D" w:rsidP="000F0ADE">
            <w:pPr>
              <w:pStyle w:val="InstructionsText"/>
              <w:rPr>
                <w:rStyle w:val="InstructionsTabelleberschrift"/>
                <w:rFonts w:ascii="Times New Roman" w:hAnsi="Times New Roman"/>
                <w:sz w:val="24"/>
              </w:rPr>
            </w:pP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Останалите указания са същите, както за образец ГЕ2.</w:t>
            </w:r>
          </w:p>
          <w:p w:rsidR="00B0191A" w:rsidRPr="00384ADB" w:rsidRDefault="00B0191A">
            <w:pPr>
              <w:pStyle w:val="InstructionsText"/>
              <w:rPr>
                <w:rStyle w:val="InstructionsTabelleberschrift"/>
                <w:rFonts w:ascii="Times New Roman" w:hAnsi="Times New Roman"/>
                <w:sz w:val="24"/>
              </w:rPr>
            </w:pPr>
          </w:p>
        </w:tc>
      </w:tr>
    </w:tbl>
    <w:p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42" w:name="_Toc358305159"/>
      <w:bookmarkStart w:id="43" w:name="_Toc393461965"/>
      <w:bookmarkStart w:id="44" w:name="_Toc524032666"/>
      <w:bookmarkEnd w:id="0"/>
      <w:bookmarkEnd w:id="1"/>
      <w:r>
        <w:rPr>
          <w:rFonts w:ascii="Times New Roman" w:hAnsi="Times New Roman"/>
          <w:b/>
          <w:sz w:val="24"/>
          <w:u w:val="none"/>
        </w:rPr>
        <w:lastRenderedPageBreak/>
        <w:t>C 30.00 - Матуритетни съвкупности на десетте най-големи експозиции към и</w:t>
      </w:r>
      <w:r>
        <w:rPr>
          <w:rFonts w:ascii="Times New Roman" w:hAnsi="Times New Roman"/>
          <w:b/>
          <w:sz w:val="24"/>
          <w:u w:val="none"/>
        </w:rPr>
        <w:t>н</w:t>
      </w:r>
      <w:r>
        <w:rPr>
          <w:rFonts w:ascii="Times New Roman" w:hAnsi="Times New Roman"/>
          <w:b/>
          <w:sz w:val="24"/>
          <w:u w:val="none"/>
        </w:rPr>
        <w:t>ституции и десетте най-големи експозиции към нерегулирани предприятия от финансовия сектор</w:t>
      </w:r>
      <w:bookmarkEnd w:id="42"/>
      <w:r>
        <w:rPr>
          <w:rFonts w:ascii="Times New Roman" w:hAnsi="Times New Roman"/>
          <w:b/>
          <w:sz w:val="24"/>
          <w:u w:val="none"/>
        </w:rPr>
        <w:t xml:space="preserve"> (образец ГЕ4)</w:t>
      </w:r>
      <w:bookmarkEnd w:id="43"/>
      <w:bookmarkEnd w:id="44"/>
    </w:p>
    <w:p w:rsidR="00915A9C" w:rsidRPr="00384ADB" w:rsidRDefault="00915A9C" w:rsidP="00C52CE2">
      <w:pPr>
        <w:pStyle w:val="Instructionsberschrift2"/>
        <w:numPr>
          <w:ilvl w:val="1"/>
          <w:numId w:val="22"/>
        </w:numPr>
        <w:rPr>
          <w:rFonts w:ascii="Times New Roman" w:hAnsi="Times New Roman" w:cs="Times New Roman"/>
          <w:sz w:val="24"/>
        </w:rPr>
      </w:pPr>
      <w:bookmarkStart w:id="45" w:name="_Toc358305160"/>
      <w:bookmarkStart w:id="46" w:name="_Toc393461966"/>
      <w:bookmarkStart w:id="47" w:name="_Toc524032667"/>
      <w:r>
        <w:rPr>
          <w:rFonts w:ascii="Times New Roman" w:hAnsi="Times New Roman"/>
          <w:sz w:val="24"/>
        </w:rPr>
        <w:t>Указания за специфични колони:</w:t>
      </w:r>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Tr="00915A9C">
        <w:tc>
          <w:tcPr>
            <w:tcW w:w="1418" w:type="dxa"/>
            <w:shd w:val="clear" w:color="auto" w:fill="D9D9D9"/>
          </w:tcPr>
          <w:p w:rsidR="00915A9C" w:rsidRPr="00384ADB" w:rsidRDefault="00915A9C"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rsidR="00915A9C" w:rsidRPr="00384ADB" w:rsidRDefault="00915A9C"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rsidR="00915A9C" w:rsidRPr="00384ADB" w:rsidRDefault="00915A9C"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Този код представлява идентификатор на реда и трябва да е различен за всеки ред от таблицата.</w:t>
            </w:r>
          </w:p>
          <w:p w:rsidR="00B0191A" w:rsidRPr="00384ADB" w:rsidRDefault="00915A9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010 от образец ГЕ1.</w:t>
            </w:r>
          </w:p>
          <w:p w:rsidR="00B0191A" w:rsidRPr="00384ADB" w:rsidRDefault="00B0191A">
            <w:pPr>
              <w:pStyle w:val="InstructionsText"/>
              <w:rPr>
                <w:rStyle w:val="FormatvorlageInstructionsTabelleText"/>
                <w:rFonts w:ascii="Times New Roman" w:hAnsi="Times New Roman"/>
                <w:b/>
                <w:sz w:val="24"/>
              </w:rPr>
            </w:pPr>
          </w:p>
        </w:tc>
      </w:tr>
      <w:tr w:rsidR="00915A9C" w:rsidRPr="00384ADB" w:rsidTr="00915A9C">
        <w:tc>
          <w:tcPr>
            <w:tcW w:w="1418" w:type="dxa"/>
          </w:tcPr>
          <w:p w:rsidR="00915A9C"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020—250</w:t>
            </w:r>
          </w:p>
        </w:tc>
        <w:tc>
          <w:tcPr>
            <w:tcW w:w="7620" w:type="dxa"/>
          </w:tcPr>
          <w:p w:rsidR="00915A9C" w:rsidRPr="00384ADB" w:rsidRDefault="00915A9C"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Матуритетни съвкупности на експозицията</w:t>
            </w:r>
          </w:p>
          <w:p w:rsidR="00915A9C" w:rsidRPr="00384ADB" w:rsidRDefault="00915A9C" w:rsidP="0039317F">
            <w:pPr>
              <w:pStyle w:val="InstructionsText"/>
              <w:rPr>
                <w:rStyle w:val="InstructionsTabelleberschrift"/>
                <w:rFonts w:ascii="Times New Roman" w:hAnsi="Times New Roman"/>
                <w:sz w:val="24"/>
              </w:rPr>
            </w:pPr>
          </w:p>
          <w:p w:rsidR="00ED1EF3" w:rsidRPr="00384ADB" w:rsidRDefault="00915A9C"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394, параграф 2, буква д) от </w:t>
            </w:r>
            <w:r>
              <w:rPr>
                <w:rStyle w:val="FormatvorlageInstructionsTabelleText"/>
                <w:rFonts w:ascii="Times New Roman" w:hAnsi="Times New Roman"/>
                <w:sz w:val="24"/>
              </w:rPr>
              <w:t>РКИ</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E6A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Институцията посочва тази информация за десетте най-големи експ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зиции към институции и десетте най-големи експозиции към нерегул</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рани предприятия от финансовия сектор.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ED1EF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Падежната структура се определя с месечен интервал до една година, с тримесечен интервал от една до три години, а след това с по-големи интервали. </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всяка стойност на експозиция преди прилагането на изключенията и редуцирането на кредитния риск (колона 210 от образец ГЕ2) се посо</w:t>
            </w:r>
            <w:r>
              <w:rPr>
                <w:rStyle w:val="InstructionsTabelleberschrift"/>
                <w:rFonts w:ascii="Times New Roman" w:hAnsi="Times New Roman"/>
                <w:b w:val="0"/>
                <w:sz w:val="24"/>
                <w:u w:val="none"/>
              </w:rPr>
              <w:t>ч</w:t>
            </w:r>
            <w:r>
              <w:rPr>
                <w:rStyle w:val="InstructionsTabelleberschrift"/>
                <w:rFonts w:ascii="Times New Roman" w:hAnsi="Times New Roman"/>
                <w:b w:val="0"/>
                <w:sz w:val="24"/>
                <w:u w:val="none"/>
              </w:rPr>
              <w:t>ва пълната остатъчна сума в съответната матуритетна съвкупност на нейния очакван остатъчен падеж. При няколко отделни взаимоотнош</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ния, които съставляват експозиция към клиент, всяка от частите на тази експозиция се посочва с пълната остатъчна сума в съответната матур</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тетна съвкупност на своя очакван остатъчен падеж.  Инструменти, ко</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то нямат фиксиран падеж, например акции, се включват в колона „н</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определен падеж“.</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Очакваният падеж на експозицията се докладва както за преките, така и за непреките експозиции.</w:t>
            </w:r>
          </w:p>
          <w:p w:rsidR="00B0191A" w:rsidRPr="00384ADB" w:rsidRDefault="00B0191A">
            <w:pPr>
              <w:pStyle w:val="InstructionsText"/>
              <w:rPr>
                <w:rStyle w:val="InstructionsTabelleberschrift"/>
                <w:rFonts w:ascii="Times New Roman" w:hAnsi="Times New Roman"/>
                <w:b w:val="0"/>
                <w:sz w:val="24"/>
                <w:u w:val="none"/>
              </w:rPr>
            </w:pPr>
          </w:p>
          <w:p w:rsidR="00B0191A" w:rsidRPr="00384ADB" w:rsidRDefault="00915A9C" w:rsidP="0039317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преките експозиции, при разпределянето на очакваните суми на к</w:t>
            </w:r>
            <w:r>
              <w:rPr>
                <w:rStyle w:val="InstructionsTabelleberschrift"/>
                <w:rFonts w:ascii="Times New Roman" w:hAnsi="Times New Roman"/>
                <w:b w:val="0"/>
                <w:sz w:val="24"/>
                <w:u w:val="none"/>
              </w:rPr>
              <w:t>а</w:t>
            </w:r>
            <w:r>
              <w:rPr>
                <w:rStyle w:val="InstructionsTabelleberschrift"/>
                <w:rFonts w:ascii="Times New Roman" w:hAnsi="Times New Roman"/>
                <w:b w:val="0"/>
                <w:sz w:val="24"/>
                <w:u w:val="none"/>
              </w:rPr>
              <w:t>питаловите инструменти, дълговите инструменти и дериватите към различните матуритетни съвкупности в настоящия образец се изпол</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 xml:space="preserve">ват указанията на образеца за падежната стълбица от допълнителните </w:t>
            </w:r>
            <w:r>
              <w:rPr>
                <w:rStyle w:val="InstructionsTabelleberschrift"/>
                <w:rFonts w:ascii="Times New Roman" w:hAnsi="Times New Roman"/>
                <w:b w:val="0"/>
                <w:sz w:val="24"/>
                <w:u w:val="none"/>
              </w:rPr>
              <w:lastRenderedPageBreak/>
              <w:t>показатели за ликвидността (вж. консултативния документ CP18, пу</w:t>
            </w:r>
            <w:r>
              <w:rPr>
                <w:rStyle w:val="InstructionsTabelleberschrift"/>
                <w:rFonts w:ascii="Times New Roman" w:hAnsi="Times New Roman"/>
                <w:b w:val="0"/>
                <w:sz w:val="24"/>
                <w:u w:val="none"/>
              </w:rPr>
              <w:t>б</w:t>
            </w:r>
            <w:r>
              <w:rPr>
                <w:rStyle w:val="InstructionsTabelleberschrift"/>
                <w:rFonts w:ascii="Times New Roman" w:hAnsi="Times New Roman"/>
                <w:b w:val="0"/>
                <w:sz w:val="24"/>
                <w:u w:val="none"/>
              </w:rPr>
              <w:t xml:space="preserve">ликуван на 23.5.2013 г.). </w:t>
            </w:r>
          </w:p>
          <w:p w:rsidR="00B0191A" w:rsidRPr="00384ADB" w:rsidRDefault="00B0191A" w:rsidP="000F0ADE">
            <w:pPr>
              <w:pStyle w:val="InstructionsText"/>
              <w:rPr>
                <w:rStyle w:val="InstructionsTabelleberschrift"/>
                <w:rFonts w:ascii="Times New Roman" w:hAnsi="Times New Roman"/>
                <w:b w:val="0"/>
                <w:sz w:val="24"/>
                <w:u w:val="none"/>
              </w:rPr>
            </w:pPr>
          </w:p>
          <w:p w:rsidR="00B0191A" w:rsidRPr="00384ADB"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w:t>
            </w:r>
            <w:proofErr w:type="spellStart"/>
            <w:r>
              <w:rPr>
                <w:rStyle w:val="InstructionsTabelleberschrift"/>
                <w:rFonts w:ascii="Times New Roman" w:hAnsi="Times New Roman"/>
                <w:b w:val="0"/>
                <w:sz w:val="24"/>
                <w:u w:val="none"/>
              </w:rPr>
              <w:t>задбалансовите</w:t>
            </w:r>
            <w:proofErr w:type="spellEnd"/>
            <w:r>
              <w:rPr>
                <w:rStyle w:val="InstructionsTabelleberschrift"/>
                <w:rFonts w:ascii="Times New Roman" w:hAnsi="Times New Roman"/>
                <w:b w:val="0"/>
                <w:sz w:val="24"/>
                <w:u w:val="none"/>
              </w:rPr>
              <w:t xml:space="preserve"> позиции, при разпределянето на очакваните суми към матуритетни съвкупности се използва падежът на базисния риск. Конкретно, при </w:t>
            </w:r>
            <w:proofErr w:type="spellStart"/>
            <w:r>
              <w:rPr>
                <w:rStyle w:val="InstructionsTabelleberschrift"/>
                <w:rFonts w:ascii="Times New Roman" w:hAnsi="Times New Roman"/>
                <w:b w:val="0"/>
                <w:sz w:val="24"/>
                <w:u w:val="none"/>
              </w:rPr>
              <w:t>фордуърд</w:t>
            </w:r>
            <w:proofErr w:type="spellEnd"/>
            <w:r>
              <w:rPr>
                <w:rStyle w:val="InstructionsTabelleberschrift"/>
                <w:rFonts w:ascii="Times New Roman" w:hAnsi="Times New Roman"/>
                <w:b w:val="0"/>
                <w:sz w:val="24"/>
                <w:u w:val="none"/>
              </w:rPr>
              <w:t xml:space="preserve"> депозитите това е падежната структура на депозита; за финансовите гаранции — падежната структура на базовия финансов актив; за неусвоените линии по поети задължения за кред</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тиране — падежната структура на кредита; а за други ангажименти — падежната структура на ангажимента.</w:t>
            </w:r>
          </w:p>
          <w:p w:rsidR="00B0191A" w:rsidRPr="00384ADB" w:rsidRDefault="00B0191A">
            <w:pPr>
              <w:pStyle w:val="InstructionsText"/>
              <w:rPr>
                <w:rStyle w:val="InstructionsTabelleberschrift"/>
                <w:rFonts w:ascii="Times New Roman" w:hAnsi="Times New Roman"/>
                <w:b w:val="0"/>
                <w:sz w:val="24"/>
                <w:u w:val="none"/>
              </w:rPr>
            </w:pPr>
          </w:p>
          <w:p w:rsidR="00B0191A" w:rsidRDefault="00915A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непреките експозиции, разпределянето към падежната структура се извършва въз основа на падежа на гарантираните операции, които п</w:t>
            </w:r>
            <w:r>
              <w:rPr>
                <w:rStyle w:val="InstructionsTabelleberschrift"/>
                <w:rFonts w:ascii="Times New Roman" w:hAnsi="Times New Roman"/>
                <w:b w:val="0"/>
                <w:sz w:val="24"/>
                <w:u w:val="none"/>
              </w:rPr>
              <w:t>о</w:t>
            </w:r>
            <w:r>
              <w:rPr>
                <w:rStyle w:val="InstructionsTabelleberschrift"/>
                <w:rFonts w:ascii="Times New Roman" w:hAnsi="Times New Roman"/>
                <w:b w:val="0"/>
                <w:sz w:val="24"/>
                <w:u w:val="none"/>
              </w:rPr>
              <w:t>раждат пряката експозиция.</w:t>
            </w:r>
          </w:p>
          <w:p w:rsidR="001D319A" w:rsidRPr="000448EA" w:rsidRDefault="001D319A">
            <w:pPr>
              <w:pStyle w:val="InstructionsText"/>
              <w:rPr>
                <w:rStyle w:val="InstructionsTabelleberschrift"/>
                <w:rFonts w:ascii="Times New Roman" w:hAnsi="Times New Roman"/>
                <w:b w:val="0"/>
                <w:sz w:val="24"/>
                <w:u w:val="none"/>
              </w:rPr>
            </w:pPr>
          </w:p>
          <w:p w:rsidR="001D319A" w:rsidRPr="000448EA" w:rsidRDefault="001D3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експозиция или част от експозиция трябва да се счита, че е в неи</w:t>
            </w:r>
            <w:r>
              <w:rPr>
                <w:rStyle w:val="InstructionsTabelleberschrift"/>
                <w:rFonts w:ascii="Times New Roman" w:hAnsi="Times New Roman"/>
                <w:b w:val="0"/>
                <w:sz w:val="24"/>
                <w:u w:val="none"/>
              </w:rPr>
              <w:t>з</w:t>
            </w:r>
            <w:r>
              <w:rPr>
                <w:rStyle w:val="InstructionsTabelleberschrift"/>
                <w:rFonts w:ascii="Times New Roman" w:hAnsi="Times New Roman"/>
                <w:b w:val="0"/>
                <w:sz w:val="24"/>
                <w:u w:val="none"/>
              </w:rPr>
              <w:t>пълнение и е докладвана като такава в образец С 28.00 (ГЕ2, колона 050) и С 29.00 (ГЕ3, колона 060), очакваното погасяване на експозиц</w:t>
            </w:r>
            <w:r>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ята се отнася към съответните матуритетни съвкупности, както следва:</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въпреки неизпълнението докладващият субект има ясен график за очакваните възстановявания по експозицията, той ги отнася към съответните матуритетни съвкупности според този график;</w:t>
            </w:r>
          </w:p>
          <w:p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докладващият субект не разполага с мотивирана хипотеза кога сумите, които са в неизпълнение, ще бъдат възстановени (ако изобщо бъдат някога), той ги отнася към категорията „н</w:t>
            </w:r>
            <w:r>
              <w:rPr>
                <w:rStyle w:val="InstructionsTabelleberschrift"/>
                <w:rFonts w:ascii="Times New Roman" w:hAnsi="Times New Roman"/>
                <w:b w:val="0"/>
                <w:sz w:val="24"/>
                <w:u w:val="none"/>
              </w:rPr>
              <w:t>е</w:t>
            </w:r>
            <w:r>
              <w:rPr>
                <w:rStyle w:val="InstructionsTabelleberschrift"/>
                <w:rFonts w:ascii="Times New Roman" w:hAnsi="Times New Roman"/>
                <w:b w:val="0"/>
                <w:sz w:val="24"/>
                <w:u w:val="none"/>
              </w:rPr>
              <w:t>определен падеж“.</w:t>
            </w:r>
          </w:p>
          <w:p w:rsidR="00B0191A" w:rsidRPr="00384ADB" w:rsidRDefault="00B0191A" w:rsidP="000F0ADE">
            <w:pPr>
              <w:pStyle w:val="InstructionsText"/>
              <w:rPr>
                <w:rStyle w:val="InstructionsTabelleberschrift"/>
                <w:rFonts w:ascii="Times New Roman" w:hAnsi="Times New Roman"/>
                <w:sz w:val="24"/>
              </w:rPr>
            </w:pPr>
          </w:p>
        </w:tc>
      </w:tr>
    </w:tbl>
    <w:p w:rsidR="00915A9C" w:rsidRPr="00384ADB" w:rsidRDefault="00915A9C" w:rsidP="009A77CD">
      <w:pPr>
        <w:spacing w:after="0"/>
        <w:rPr>
          <w:rFonts w:ascii="Times New Roman" w:hAnsi="Times New Roman"/>
          <w:b/>
          <w:sz w:val="24"/>
        </w:rPr>
      </w:pPr>
    </w:p>
    <w:p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48" w:name="_Toc393461967"/>
      <w:bookmarkStart w:id="49" w:name="_Toc524032668"/>
      <w:r>
        <w:rPr>
          <w:rFonts w:ascii="Times New Roman" w:hAnsi="Times New Roman"/>
          <w:b/>
          <w:sz w:val="24"/>
          <w:u w:val="none"/>
        </w:rPr>
        <w:t>C 31.00 - Матуритетни съвкупности на десетте най-големи експозиции към и</w:t>
      </w:r>
      <w:r>
        <w:rPr>
          <w:rFonts w:ascii="Times New Roman" w:hAnsi="Times New Roman"/>
          <w:b/>
          <w:sz w:val="24"/>
          <w:u w:val="none"/>
        </w:rPr>
        <w:t>н</w:t>
      </w:r>
      <w:r>
        <w:rPr>
          <w:rFonts w:ascii="Times New Roman" w:hAnsi="Times New Roman"/>
          <w:b/>
          <w:sz w:val="24"/>
          <w:u w:val="none"/>
        </w:rPr>
        <w:t>ституции и десетте най-големи експозиции към нерегулирани предприятия от финансовия сектор: данни за експозициите към отделни клиенти в рамките на групи от свързани клиенти (образец ГЕ5)</w:t>
      </w:r>
      <w:bookmarkEnd w:id="48"/>
      <w:bookmarkEnd w:id="49"/>
    </w:p>
    <w:p w:rsidR="003D3140" w:rsidRPr="00384ADB" w:rsidRDefault="003D3140" w:rsidP="00C52CE2">
      <w:pPr>
        <w:pStyle w:val="Instructionsberschrift2"/>
        <w:numPr>
          <w:ilvl w:val="1"/>
          <w:numId w:val="22"/>
        </w:numPr>
        <w:rPr>
          <w:rFonts w:ascii="Times New Roman" w:hAnsi="Times New Roman" w:cs="Times New Roman"/>
          <w:sz w:val="24"/>
        </w:rPr>
      </w:pPr>
      <w:bookmarkStart w:id="50" w:name="_Toc393461968"/>
      <w:bookmarkStart w:id="51" w:name="_Toc524032669"/>
      <w:r>
        <w:rPr>
          <w:rFonts w:ascii="Times New Roman" w:hAnsi="Times New Roman"/>
          <w:sz w:val="24"/>
        </w:rPr>
        <w:t>Указания за специфични колони:</w:t>
      </w:r>
      <w:bookmarkEnd w:id="50"/>
      <w:bookmarkEnd w:id="51"/>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Tr="00AF0271">
        <w:tc>
          <w:tcPr>
            <w:tcW w:w="1418" w:type="dxa"/>
            <w:shd w:val="clear" w:color="auto" w:fill="D9D9D9"/>
          </w:tcPr>
          <w:p w:rsidR="003D3140" w:rsidRPr="00384ADB" w:rsidRDefault="003D3140" w:rsidP="0039317F">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rsidR="003D3140" w:rsidRPr="00384ADB" w:rsidRDefault="003D3140" w:rsidP="0039317F">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B80B0E" w:rsidRPr="00384ADB" w:rsidTr="00AF0271">
        <w:tc>
          <w:tcPr>
            <w:tcW w:w="1418" w:type="dxa"/>
          </w:tcPr>
          <w:p w:rsidR="00B80B0E"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010—260</w:t>
            </w:r>
          </w:p>
        </w:tc>
        <w:tc>
          <w:tcPr>
            <w:tcW w:w="7620" w:type="dxa"/>
          </w:tcPr>
          <w:p w:rsidR="00B80B0E" w:rsidRPr="00384ADB" w:rsidRDefault="00B80B0E" w:rsidP="0039317F">
            <w:pPr>
              <w:pStyle w:val="InstructionsText"/>
            </w:pPr>
          </w:p>
          <w:p w:rsidR="00B80B0E" w:rsidRPr="00384ADB" w:rsidRDefault="00186D4E" w:rsidP="0039317F">
            <w:pPr>
              <w:pStyle w:val="InstructionsText"/>
            </w:pPr>
            <w:r>
              <w:t>Институциите посочват в образец ГЕ5 данните на индивидуалните ко</w:t>
            </w:r>
            <w:r>
              <w:t>н</w:t>
            </w:r>
            <w:r>
              <w:t>трагенти, принадлежащи към група от свързани клиенти, включена в редовете на образец ГЕ4.</w:t>
            </w:r>
          </w:p>
          <w:p w:rsidR="00B80B0E" w:rsidRPr="00384ADB" w:rsidRDefault="00B80B0E" w:rsidP="000F0ADE">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rsidR="003D3140" w:rsidRPr="00384ADB" w:rsidRDefault="003D3140"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Колони 010 и 020 формират съставен идентификатор на реда и трябва заедно да са различни за всеки ред от таблицата.</w:t>
            </w:r>
          </w:p>
          <w:p w:rsidR="003D3140" w:rsidRPr="00384ADB" w:rsidRDefault="003D31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колона 010 от образец ГЕ3.</w:t>
            </w:r>
          </w:p>
          <w:p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rsidR="00B80B0E" w:rsidRPr="00384ADB" w:rsidRDefault="00B80B0E"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 на група</w:t>
            </w:r>
          </w:p>
          <w:p w:rsidR="00BD0674" w:rsidRPr="00384ADB" w:rsidRDefault="00BD0674" w:rsidP="0039317F">
            <w:pPr>
              <w:pStyle w:val="InstructionsText"/>
              <w:rPr>
                <w:rStyle w:val="FormatvorlageInstructionsTabelleText"/>
                <w:rFonts w:ascii="Times New Roman" w:hAnsi="Times New Roman"/>
                <w:sz w:val="24"/>
              </w:rPr>
            </w:pPr>
          </w:p>
          <w:p w:rsidR="00BD0674" w:rsidRPr="00384ADB" w:rsidRDefault="00BD0674" w:rsidP="000F0AD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Колони 010 и 020 формират съставен идентификатор на реда и трябва заедно да са различни за всеки ред от таблицата.</w:t>
            </w:r>
          </w:p>
          <w:p w:rsidR="00B80B0E" w:rsidRPr="00384ADB" w:rsidRDefault="00B80B0E" w:rsidP="000F0AD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колона 020 от образец ГЕ3.</w:t>
            </w:r>
          </w:p>
          <w:p w:rsidR="00B0191A" w:rsidRPr="00384ADB" w:rsidRDefault="00B0191A">
            <w:pPr>
              <w:pStyle w:val="InstructionsText"/>
              <w:rPr>
                <w:rStyle w:val="InstructionsTabelleberschrift"/>
                <w:rFonts w:ascii="Times New Roman" w:hAnsi="Times New Roman"/>
                <w:sz w:val="24"/>
              </w:rPr>
            </w:pPr>
          </w:p>
        </w:tc>
      </w:tr>
      <w:tr w:rsidR="003D3140" w:rsidRPr="00384ADB" w:rsidTr="00AF0271">
        <w:tc>
          <w:tcPr>
            <w:tcW w:w="1418" w:type="dxa"/>
          </w:tcPr>
          <w:p w:rsidR="003D3140" w:rsidRPr="00384ADB" w:rsidRDefault="008A4511" w:rsidP="0039317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030—260</w:t>
            </w:r>
          </w:p>
        </w:tc>
        <w:tc>
          <w:tcPr>
            <w:tcW w:w="7620" w:type="dxa"/>
          </w:tcPr>
          <w:p w:rsidR="003D3140" w:rsidRPr="00384ADB" w:rsidRDefault="003D3140" w:rsidP="0039317F">
            <w:pPr>
              <w:pStyle w:val="InstructionsText"/>
              <w:rPr>
                <w:rStyle w:val="InstructionsTabelleberschrift"/>
                <w:rFonts w:ascii="Times New Roman" w:hAnsi="Times New Roman"/>
                <w:sz w:val="24"/>
              </w:rPr>
            </w:pPr>
            <w:r>
              <w:rPr>
                <w:rStyle w:val="InstructionsTabelleberschrift"/>
                <w:rFonts w:ascii="Times New Roman" w:hAnsi="Times New Roman"/>
                <w:sz w:val="24"/>
              </w:rPr>
              <w:t>Матуритетни съвкупности на експозициите</w:t>
            </w:r>
          </w:p>
          <w:p w:rsidR="003D3140" w:rsidRPr="00384ADB" w:rsidRDefault="003D3140" w:rsidP="0039317F">
            <w:pPr>
              <w:pStyle w:val="InstructionsText"/>
              <w:rPr>
                <w:rStyle w:val="InstructionsTabelleberschrift"/>
                <w:rFonts w:ascii="Times New Roman" w:hAnsi="Times New Roman"/>
                <w:sz w:val="24"/>
              </w:rPr>
            </w:pPr>
          </w:p>
          <w:p w:rsidR="003D3140" w:rsidRPr="00384ADB" w:rsidRDefault="00B80B0E" w:rsidP="000F0AD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колони 020-250 от образец ГЕ4.</w:t>
            </w:r>
          </w:p>
          <w:p w:rsidR="00264B52" w:rsidRPr="00384ADB" w:rsidRDefault="00264B52" w:rsidP="000F0ADE">
            <w:pPr>
              <w:pStyle w:val="InstructionsText"/>
              <w:rPr>
                <w:rStyle w:val="InstructionsTabelleberschrift"/>
                <w:rFonts w:ascii="Times New Roman" w:hAnsi="Times New Roman"/>
                <w:sz w:val="24"/>
              </w:rPr>
            </w:pPr>
          </w:p>
        </w:tc>
      </w:tr>
    </w:tbl>
    <w:p w:rsidR="003D3140" w:rsidRPr="00E83F90" w:rsidRDefault="00EE5824" w:rsidP="0078562D">
      <w:pPr>
        <w:spacing w:after="0"/>
        <w:rPr>
          <w:rFonts w:ascii="Times New Roman" w:hAnsi="Times New Roman"/>
          <w:sz w:val="24"/>
        </w:rPr>
      </w:pPr>
      <w:r w:rsidRPr="00EE5824">
        <w:rPr>
          <w:rFonts w:ascii="Times New Roman" w:hAnsi="Times New Roman"/>
          <w:sz w:val="24"/>
        </w:rPr>
        <w:t>“</w:t>
      </w:r>
    </w:p>
    <w:sectPr w:rsidR="003D3140" w:rsidRPr="00E83F90"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20" w:rsidRDefault="00383220" w:rsidP="00D946DB">
      <w:pPr>
        <w:spacing w:before="0" w:after="0"/>
      </w:pPr>
      <w:r>
        <w:separator/>
      </w:r>
    </w:p>
  </w:endnote>
  <w:endnote w:type="continuationSeparator" w:id="0">
    <w:p w:rsidR="00383220" w:rsidRDefault="0038322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D7D63">
      <w:rPr>
        <w:rFonts w:ascii="Times New Roman" w:hAnsi="Times New Roman"/>
        <w:noProof/>
      </w:rPr>
      <w:t>2</w:t>
    </w:r>
    <w:r w:rsidRPr="00A772B4">
      <w:rPr>
        <w:rFonts w:ascii="Times New Roman" w:hAnsi="Times New Roman"/>
      </w:rPr>
      <w:fldChar w:fldCharType="end"/>
    </w:r>
  </w:p>
  <w:p w:rsidR="0039317F" w:rsidRDefault="00393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jc w:val="right"/>
    </w:pPr>
    <w:r>
      <w:fldChar w:fldCharType="begin"/>
    </w:r>
    <w:r>
      <w:instrText xml:space="preserve"> PAGE   \* MERGEFORMAT </w:instrText>
    </w:r>
    <w:r>
      <w:fldChar w:fldCharType="separate"/>
    </w:r>
    <w:r w:rsidR="00AD7D63">
      <w:rPr>
        <w:noProof/>
      </w:rPr>
      <w:t>1</w:t>
    </w:r>
    <w:r>
      <w:rPr>
        <w:noProof/>
      </w:rPr>
      <w:fldChar w:fldCharType="end"/>
    </w:r>
  </w:p>
  <w:p w:rsidR="0039317F" w:rsidRDefault="00393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17F" w:rsidRDefault="0039317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D7D63">
      <w:rPr>
        <w:rFonts w:ascii="Times New Roman" w:hAnsi="Times New Roman"/>
        <w:noProof/>
      </w:rPr>
      <w:t>20</w:t>
    </w:r>
    <w:r w:rsidRPr="00A772B4">
      <w:rPr>
        <w:rFonts w:ascii="Times New Roman" w:hAnsi="Times New Roman"/>
      </w:rPr>
      <w:fldChar w:fldCharType="end"/>
    </w:r>
  </w:p>
  <w:p w:rsidR="0039317F" w:rsidRPr="00A772B4" w:rsidRDefault="0039317F"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20" w:rsidRDefault="00383220" w:rsidP="00D946DB">
      <w:pPr>
        <w:spacing w:before="0" w:after="0"/>
      </w:pPr>
      <w:r>
        <w:separator/>
      </w:r>
    </w:p>
  </w:footnote>
  <w:footnote w:type="continuationSeparator" w:id="0">
    <w:p w:rsidR="00383220" w:rsidRDefault="0038322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7F" w:rsidRDefault="0039317F">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1468298A"/>
    <w:lvl w:ilvl="0" w:tplc="236EA62C">
      <w:start w:val="1"/>
      <w:numFmt w:val="decimal"/>
      <w:pStyle w:val="InstructionsText2"/>
      <w:lvlText w:val="%1."/>
      <w:lvlJc w:val="left"/>
      <w:pPr>
        <w:ind w:left="720" w:hanging="360"/>
      </w:pPr>
    </w:lvl>
    <w:lvl w:ilvl="1" w:tplc="D814EE44">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220"/>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4FB3"/>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0746"/>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26C8"/>
    <w:rsid w:val="00583AD3"/>
    <w:rsid w:val="00585466"/>
    <w:rsid w:val="00586D84"/>
    <w:rsid w:val="00590D39"/>
    <w:rsid w:val="005911AC"/>
    <w:rsid w:val="00593E1F"/>
    <w:rsid w:val="005A18FB"/>
    <w:rsid w:val="005A2363"/>
    <w:rsid w:val="005A2E40"/>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247"/>
    <w:rsid w:val="00746AE6"/>
    <w:rsid w:val="00747646"/>
    <w:rsid w:val="007503D4"/>
    <w:rsid w:val="00751BC8"/>
    <w:rsid w:val="007535D4"/>
    <w:rsid w:val="0075517F"/>
    <w:rsid w:val="00756759"/>
    <w:rsid w:val="00761234"/>
    <w:rsid w:val="00761BD9"/>
    <w:rsid w:val="0076257F"/>
    <w:rsid w:val="00763360"/>
    <w:rsid w:val="00763A4B"/>
    <w:rsid w:val="00764E61"/>
    <w:rsid w:val="00764E7F"/>
    <w:rsid w:val="00767423"/>
    <w:rsid w:val="0077061D"/>
    <w:rsid w:val="00775951"/>
    <w:rsid w:val="00775AA6"/>
    <w:rsid w:val="0078015D"/>
    <w:rsid w:val="00781160"/>
    <w:rsid w:val="007827A3"/>
    <w:rsid w:val="007846BD"/>
    <w:rsid w:val="0078562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3AF"/>
    <w:rsid w:val="008F5876"/>
    <w:rsid w:val="009007C6"/>
    <w:rsid w:val="00900C1D"/>
    <w:rsid w:val="00903390"/>
    <w:rsid w:val="00906D99"/>
    <w:rsid w:val="009079AD"/>
    <w:rsid w:val="00910E26"/>
    <w:rsid w:val="00915A15"/>
    <w:rsid w:val="00915A9C"/>
    <w:rsid w:val="00917FAE"/>
    <w:rsid w:val="00920EBF"/>
    <w:rsid w:val="00924EEF"/>
    <w:rsid w:val="0093135A"/>
    <w:rsid w:val="00931490"/>
    <w:rsid w:val="00934B81"/>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777FB"/>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D7D63"/>
    <w:rsid w:val="00AE1CD7"/>
    <w:rsid w:val="00AE2F75"/>
    <w:rsid w:val="00AE34DF"/>
    <w:rsid w:val="00AE5923"/>
    <w:rsid w:val="00AF0271"/>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2ABA"/>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874"/>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1328"/>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5A97"/>
    <w:rsid w:val="00E66040"/>
    <w:rsid w:val="00E669ED"/>
    <w:rsid w:val="00E70299"/>
    <w:rsid w:val="00E7112F"/>
    <w:rsid w:val="00E73B3F"/>
    <w:rsid w:val="00E748E2"/>
    <w:rsid w:val="00E75993"/>
    <w:rsid w:val="00E80172"/>
    <w:rsid w:val="00E802E3"/>
    <w:rsid w:val="00E804CC"/>
    <w:rsid w:val="00E83D25"/>
    <w:rsid w:val="00E83F90"/>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5298"/>
    <w:rsid w:val="00EC69A1"/>
    <w:rsid w:val="00ED1EF3"/>
    <w:rsid w:val="00ED55F7"/>
    <w:rsid w:val="00ED7234"/>
    <w:rsid w:val="00ED7C8E"/>
    <w:rsid w:val="00EE2205"/>
    <w:rsid w:val="00EE2934"/>
    <w:rsid w:val="00EE385F"/>
    <w:rsid w:val="00EE5824"/>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4AD1"/>
    <w:rsid w:val="00F276A6"/>
    <w:rsid w:val="00F30076"/>
    <w:rsid w:val="00F30757"/>
    <w:rsid w:val="00F325B9"/>
    <w:rsid w:val="00F33A0C"/>
    <w:rsid w:val="00F33AD3"/>
    <w:rsid w:val="00F356CE"/>
    <w:rsid w:val="00F35FFD"/>
    <w:rsid w:val="00F360BF"/>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966F4"/>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bg-BG" w:eastAsia="bg-BG" w:bidi="bg-BG"/>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bg-BG"/>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bg-BG"/>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bg-BG"/>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bg-BG"/>
    </w:rPr>
  </w:style>
  <w:style w:type="character" w:customStyle="1" w:styleId="Heading4Char">
    <w:name w:val="Heading 4 Char"/>
    <w:link w:val="Heading4"/>
    <w:uiPriority w:val="99"/>
    <w:rsid w:val="00DE0962"/>
    <w:rPr>
      <w:rFonts w:ascii="Verdana" w:eastAsia="Times New Roman" w:hAnsi="Verdana"/>
      <w:b/>
      <w:szCs w:val="24"/>
      <w:u w:val="single"/>
      <w:lang w:eastAsia="bg-BG"/>
    </w:rPr>
  </w:style>
  <w:style w:type="character" w:customStyle="1" w:styleId="Heading5Char">
    <w:name w:val="Heading 5 Char"/>
    <w:link w:val="Heading5"/>
    <w:uiPriority w:val="1"/>
    <w:rsid w:val="001E5A75"/>
    <w:rPr>
      <w:rFonts w:ascii="Arial" w:hAnsi="Arial"/>
      <w:b/>
      <w:i/>
      <w:szCs w:val="20"/>
      <w:lang w:eastAsia="bg-BG"/>
    </w:rPr>
  </w:style>
  <w:style w:type="character" w:customStyle="1" w:styleId="Heading6Char">
    <w:name w:val="Heading 6 Char"/>
    <w:link w:val="Heading6"/>
    <w:semiHidden/>
    <w:rsid w:val="001E5A75"/>
    <w:rPr>
      <w:rFonts w:ascii="Times New Roman" w:hAnsi="Times New Roman"/>
      <w:b/>
      <w:bCs/>
      <w:lang w:eastAsia="bg-BG"/>
    </w:rPr>
  </w:style>
  <w:style w:type="character" w:customStyle="1" w:styleId="Heading7Char">
    <w:name w:val="Heading 7 Char"/>
    <w:link w:val="Heading7"/>
    <w:semiHidden/>
    <w:rsid w:val="001E5A75"/>
    <w:rPr>
      <w:rFonts w:ascii="Times New Roman" w:hAnsi="Times New Roman"/>
      <w:sz w:val="24"/>
      <w:szCs w:val="20"/>
      <w:lang w:eastAsia="bg-BG"/>
    </w:rPr>
  </w:style>
  <w:style w:type="character" w:customStyle="1" w:styleId="Heading8Char">
    <w:name w:val="Heading 8 Char"/>
    <w:link w:val="Heading8"/>
    <w:semiHidden/>
    <w:rsid w:val="001E5A75"/>
    <w:rPr>
      <w:rFonts w:ascii="Times New Roman" w:hAnsi="Times New Roman"/>
      <w:i/>
      <w:iCs/>
      <w:sz w:val="24"/>
      <w:szCs w:val="20"/>
      <w:lang w:eastAsia="bg-BG"/>
    </w:rPr>
  </w:style>
  <w:style w:type="character" w:customStyle="1" w:styleId="Heading9Char">
    <w:name w:val="Heading 9 Char"/>
    <w:link w:val="Heading9"/>
    <w:semiHidden/>
    <w:rsid w:val="001E5A75"/>
    <w:rPr>
      <w:rFonts w:ascii="Arial" w:hAnsi="Arial" w:cs="Arial"/>
      <w:lang w:eastAsia="bg-BG"/>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D7D63"/>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bg-BG"/>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bg-BG"/>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bg-BG"/>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bg-BG"/>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bg-BG"/>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bg-BG"/>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bg-BG"/>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bg-BG"/>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bg-BG" w:eastAsia="bg-BG" w:bidi="bg-BG"/>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bg-BG" w:eastAsia="bg-BG" w:bidi="bg-BG"/>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bg-BG"/>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bg-BG"/>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bg-BG"/>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bg-BG"/>
    </w:rPr>
  </w:style>
  <w:style w:type="character" w:customStyle="1" w:styleId="Heading4Char">
    <w:name w:val="Heading 4 Char"/>
    <w:link w:val="Heading4"/>
    <w:uiPriority w:val="99"/>
    <w:rsid w:val="00DE0962"/>
    <w:rPr>
      <w:rFonts w:ascii="Verdana" w:eastAsia="Times New Roman" w:hAnsi="Verdana"/>
      <w:b/>
      <w:szCs w:val="24"/>
      <w:u w:val="single"/>
      <w:lang w:eastAsia="bg-BG"/>
    </w:rPr>
  </w:style>
  <w:style w:type="character" w:customStyle="1" w:styleId="Heading5Char">
    <w:name w:val="Heading 5 Char"/>
    <w:link w:val="Heading5"/>
    <w:uiPriority w:val="1"/>
    <w:rsid w:val="001E5A75"/>
    <w:rPr>
      <w:rFonts w:ascii="Arial" w:hAnsi="Arial"/>
      <w:b/>
      <w:i/>
      <w:szCs w:val="20"/>
      <w:lang w:eastAsia="bg-BG"/>
    </w:rPr>
  </w:style>
  <w:style w:type="character" w:customStyle="1" w:styleId="Heading6Char">
    <w:name w:val="Heading 6 Char"/>
    <w:link w:val="Heading6"/>
    <w:semiHidden/>
    <w:rsid w:val="001E5A75"/>
    <w:rPr>
      <w:rFonts w:ascii="Times New Roman" w:hAnsi="Times New Roman"/>
      <w:b/>
      <w:bCs/>
      <w:lang w:eastAsia="bg-BG"/>
    </w:rPr>
  </w:style>
  <w:style w:type="character" w:customStyle="1" w:styleId="Heading7Char">
    <w:name w:val="Heading 7 Char"/>
    <w:link w:val="Heading7"/>
    <w:semiHidden/>
    <w:rsid w:val="001E5A75"/>
    <w:rPr>
      <w:rFonts w:ascii="Times New Roman" w:hAnsi="Times New Roman"/>
      <w:sz w:val="24"/>
      <w:szCs w:val="20"/>
      <w:lang w:eastAsia="bg-BG"/>
    </w:rPr>
  </w:style>
  <w:style w:type="character" w:customStyle="1" w:styleId="Heading8Char">
    <w:name w:val="Heading 8 Char"/>
    <w:link w:val="Heading8"/>
    <w:semiHidden/>
    <w:rsid w:val="001E5A75"/>
    <w:rPr>
      <w:rFonts w:ascii="Times New Roman" w:hAnsi="Times New Roman"/>
      <w:i/>
      <w:iCs/>
      <w:sz w:val="24"/>
      <w:szCs w:val="20"/>
      <w:lang w:eastAsia="bg-BG"/>
    </w:rPr>
  </w:style>
  <w:style w:type="character" w:customStyle="1" w:styleId="Heading9Char">
    <w:name w:val="Heading 9 Char"/>
    <w:link w:val="Heading9"/>
    <w:semiHidden/>
    <w:rsid w:val="001E5A75"/>
    <w:rPr>
      <w:rFonts w:ascii="Arial" w:hAnsi="Arial" w:cs="Arial"/>
      <w:lang w:eastAsia="bg-BG"/>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D7D63"/>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bg-BG"/>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bg-BG"/>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bg-BG"/>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bg-BG"/>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bg-BG"/>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bg-BG"/>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bg-BG"/>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bg-BG"/>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bg-BG" w:eastAsia="bg-BG" w:bidi="bg-BG"/>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1361C-37C3-4CC9-BE7E-ECA5246478A2}">
  <ds:schemaRefs>
    <ds:schemaRef ds:uri="http://schemas.openxmlformats.org/officeDocument/2006/bibliography"/>
  </ds:schemaRefs>
</ds:datastoreItem>
</file>

<file path=customXml/itemProps2.xml><?xml version="1.0" encoding="utf-8"?>
<ds:datastoreItem xmlns:ds="http://schemas.openxmlformats.org/officeDocument/2006/customXml" ds:itemID="{64493E00-1C60-487E-A27F-A6E9B11C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5492</Words>
  <Characters>31031</Characters>
  <Application>Microsoft Office Word</Application>
  <DocSecurity>0</DocSecurity>
  <Lines>1034</Lines>
  <Paragraphs>468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36055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TOLCHEV Kaloyan (DGT)</cp:lastModifiedBy>
  <cp:revision>6</cp:revision>
  <dcterms:created xsi:type="dcterms:W3CDTF">2018-09-06T19:27:00Z</dcterms:created>
  <dcterms:modified xsi:type="dcterms:W3CDTF">2018-09-07T11:10:00Z</dcterms:modified>
</cp:coreProperties>
</file>