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0A0337" w:rsidRDefault="00B3344A" w:rsidP="00A56710">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5A0F02E3-E5A4-4D6B-A92D-8956A944C04D" style="width:450.65pt;height:382pt">
            <v:imagedata r:id="rId8" o:title=""/>
          </v:shape>
        </w:pict>
      </w:r>
    </w:p>
    <w:p w:rsidR="00075C77" w:rsidRPr="000A0337" w:rsidRDefault="00075C77">
      <w:pPr>
        <w:sectPr w:rsidR="00075C77" w:rsidRPr="000A0337" w:rsidSect="00AA584C">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075C77" w:rsidRPr="000A0337" w:rsidRDefault="00A56710" w:rsidP="00A56710">
      <w:pPr>
        <w:pStyle w:val="Typedudocument"/>
      </w:pPr>
      <w:r w:rsidRPr="00A56710">
        <w:t>KOMMISSIONENS GENOMFÖRANDEFÖRORDNING (EU) …/…</w:t>
      </w:r>
    </w:p>
    <w:p w:rsidR="00075C77" w:rsidRPr="000A0337" w:rsidRDefault="00A56710" w:rsidP="00A56710">
      <w:pPr>
        <w:pStyle w:val="Datedadoption"/>
      </w:pPr>
      <w:r w:rsidRPr="00A56710">
        <w:t xml:space="preserve">av den </w:t>
      </w:r>
      <w:r w:rsidRPr="00A56710">
        <w:rPr>
          <w:rStyle w:val="Marker2"/>
        </w:rPr>
        <w:t>XXX</w:t>
      </w:r>
    </w:p>
    <w:p w:rsidR="00075C77" w:rsidRDefault="00A56710" w:rsidP="00A56710">
      <w:pPr>
        <w:pStyle w:val="Titreobjet"/>
      </w:pPr>
      <w:r w:rsidRPr="00A56710">
        <w:t>om ändring av genomförandeförordning (EU) nr 680/2014 vad gäller försiktig värdering för tillsynsrapportering</w:t>
      </w:r>
    </w:p>
    <w:p w:rsidR="00A2464D" w:rsidRPr="00A2464D" w:rsidRDefault="00A56710" w:rsidP="00A56710">
      <w:pPr>
        <w:pStyle w:val="IntrtEEE"/>
      </w:pPr>
      <w:r w:rsidRPr="00A56710">
        <w:t>(Text av betydelse för EES)</w:t>
      </w:r>
    </w:p>
    <w:p w:rsidR="00075C77" w:rsidRPr="000A0337" w:rsidRDefault="000A0337" w:rsidP="004E1EF9">
      <w:pPr>
        <w:pStyle w:val="Institutionquiagit"/>
      </w:pPr>
      <w:r>
        <w:t>EUROPEISKA KOMMISSIONEN HAR ANTAGIT DENNA FÖRORDNING</w:t>
      </w:r>
    </w:p>
    <w:p w:rsidR="00075C77" w:rsidRPr="000A0337" w:rsidRDefault="00075C77" w:rsidP="004E1EF9">
      <w:r w:rsidRPr="000A0337">
        <w:t>med beaktande av fördraget om Europeiska unionens funktionssätt,</w:t>
      </w:r>
    </w:p>
    <w:p w:rsidR="00075C77" w:rsidRPr="000A0337" w:rsidRDefault="00075C77" w:rsidP="004E1EF9">
      <w:r w:rsidRPr="000A0337">
        <w:t>med beaktande av Europaparlamentets och rådets förordning (EU) nr 575/2013 av den 26 juni 2013 om tillsynskrav för kreditinstitut och värdepappersföretag och om ändring av förordning (EU) nr 648/2012</w:t>
      </w:r>
      <w:r w:rsidRPr="000A0337">
        <w:rPr>
          <w:rStyle w:val="FootnoteReference"/>
        </w:rPr>
        <w:footnoteReference w:id="2"/>
      </w:r>
      <w:r w:rsidRPr="000A0337">
        <w:t>, särskilt artikel 99.5 fjärde stycket, artikel 99.6 fjärde stycket, artikel 394.4 tredje stycket, artikel 415.3 fjärde stycket och artikel 430.2 tredje stycket, och</w:t>
      </w:r>
    </w:p>
    <w:p w:rsidR="00075C77" w:rsidRPr="000A0337" w:rsidRDefault="00075C77" w:rsidP="004E1EF9">
      <w:r w:rsidRPr="000A0337">
        <w:t>av följande skäl:</w:t>
      </w:r>
    </w:p>
    <w:p w:rsidR="00075C77" w:rsidRPr="000A0337" w:rsidRDefault="00075C77" w:rsidP="003C1FB8">
      <w:pPr>
        <w:pStyle w:val="Considrant"/>
        <w:numPr>
          <w:ilvl w:val="0"/>
          <w:numId w:val="1"/>
        </w:numPr>
        <w:rPr>
          <w:noProof/>
          <w:color w:val="000000"/>
        </w:rPr>
      </w:pPr>
      <w:r w:rsidRPr="000A0337">
        <w:rPr>
          <w:noProof/>
          <w:color w:val="000000"/>
        </w:rPr>
        <w:t>I kommissionens genomförandeförordning (EU) nr 680/2014</w:t>
      </w:r>
      <w:r w:rsidRPr="000A0337">
        <w:rPr>
          <w:rStyle w:val="FootnoteReference"/>
          <w:noProof/>
          <w:color w:val="000000"/>
        </w:rPr>
        <w:footnoteReference w:id="3"/>
      </w:r>
      <w:r w:rsidRPr="000A0337">
        <w:rPr>
          <w:noProof/>
          <w:color w:val="000000"/>
        </w:rPr>
        <w:t xml:space="preserve"> anges formerna för hur institut ska rapportera information som rör deras efterlevnad av förordning (EU) nr 575/2013. Det regelverk som inrättas genom förordning (EU) nr 575/2013 kompletteras och ändras löpande i sina icke väsentliga delar genom antagandet av nya tekniska tillsynsstandarder. Genomförandeförordning (EU) nr 680/2014 behöver uppdateras för att återspegla dessa ändringar.</w:t>
      </w:r>
    </w:p>
    <w:p w:rsidR="00075C77" w:rsidRPr="000A0337" w:rsidRDefault="00075C77" w:rsidP="00075C77">
      <w:pPr>
        <w:pStyle w:val="Considrant"/>
        <w:rPr>
          <w:color w:val="000000"/>
        </w:rPr>
      </w:pPr>
      <w:r w:rsidRPr="000A0337">
        <w:rPr>
          <w:color w:val="000000"/>
        </w:rPr>
        <w:t>Förordning (EU) nr 575/2013 har kompletterats genom antagandet av kommissionens delegerade förordning (EU) 2016/101</w:t>
      </w:r>
      <w:r w:rsidRPr="000A0337">
        <w:rPr>
          <w:rStyle w:val="FootnoteReference"/>
          <w:color w:val="000000"/>
        </w:rPr>
        <w:footnoteReference w:id="4"/>
      </w:r>
      <w:r w:rsidRPr="000A0337">
        <w:rPr>
          <w:color w:val="000000"/>
        </w:rPr>
        <w:t xml:space="preserve"> med avseende på försiktig värdering och genom Europaparlamentets och rådets förordning (EU) 2017/2401</w:t>
      </w:r>
      <w:r w:rsidRPr="000A0337">
        <w:rPr>
          <w:rStyle w:val="FootnoteReference"/>
          <w:color w:val="000000"/>
        </w:rPr>
        <w:footnoteReference w:id="5"/>
      </w:r>
      <w:r w:rsidRPr="000A0337">
        <w:rPr>
          <w:color w:val="000000"/>
        </w:rPr>
        <w:t xml:space="preserve"> med avseende på värdepapperisering. Genomförandeförordning (EU) nr 680/2014 bör uppdateras för att återspegla dessa ändringar och för att ytterligare precisera de instruktioner och definitioner som används för instituts tillsynsrapportering. Ett antal missvisande hänvisningar och formateringsinkonsekvenser har upptäckts vid tillämpningen av genomförandeförordning (EU) nr 680/2014 och bör också förtydligas.</w:t>
      </w:r>
    </w:p>
    <w:p w:rsidR="00075C77" w:rsidRPr="000A0337" w:rsidRDefault="00195568" w:rsidP="00075C77">
      <w:pPr>
        <w:pStyle w:val="Considrant"/>
        <w:rPr>
          <w:noProof/>
          <w:color w:val="000000"/>
        </w:rPr>
      </w:pPr>
      <w:r w:rsidRPr="000A0337">
        <w:rPr>
          <w:noProof/>
          <w:color w:val="000000"/>
        </w:rPr>
        <w:t>I kommissionens delegerade förordning (EU) 2016/101 fastställs krav med avseende på justeringar till följd av försiktig värdering av positioner värderade till verkligt värde. Den anger två metoder för tillämpning av kraven på försiktig värdering: en huvudmetod och en förenklad metod. För att övervaka om instituten uppfyller dessa krav och för att kunna bedöma effekterna av förordningen på värdejusteringar krävs ytterligare rapportering avseende kraven på försiktig värdering.</w:t>
      </w:r>
    </w:p>
    <w:p w:rsidR="00075C77" w:rsidRPr="000A0337" w:rsidRDefault="00075C77" w:rsidP="00075C77">
      <w:pPr>
        <w:pStyle w:val="Considrant"/>
        <w:rPr>
          <w:noProof/>
          <w:color w:val="000000"/>
        </w:rPr>
      </w:pPr>
      <w:r w:rsidRPr="000A0337">
        <w:rPr>
          <w:color w:val="000000"/>
        </w:rPr>
        <w:t>Genom förordning (EU) 2017/2401 ändras förordning (EU) nr 575/2013 så att kapitalkravsbehandlingen av värdepapperiseringar görs mer riskkänslig och så att egenskaperna hos enkla, transparenta och standardiserade värdepapperiseringar återspeglas korrekt. Genomförandeförordning (EU) nr 680/2014 måste ändras för att ta hänsyn till rapportering av värdepapperiseringspositioner som omfattas av dessa ändrade regler för värdepapperisering.</w:t>
      </w:r>
    </w:p>
    <w:p w:rsidR="00075C77" w:rsidRPr="000A0337" w:rsidRDefault="00075C77" w:rsidP="00075C77">
      <w:pPr>
        <w:pStyle w:val="Considrant"/>
        <w:rPr>
          <w:noProof/>
          <w:color w:val="000000"/>
        </w:rPr>
      </w:pPr>
      <w:r w:rsidRPr="000A0337">
        <w:rPr>
          <w:noProof/>
          <w:color w:val="000000"/>
        </w:rPr>
        <w:t>Genomförandeförordning (EU) nr 680/2014 måste också ändras för att göra det lättare för de behöriga myndigheterna att effektivt övervaka och bedöma institutens riskprofil och för att skaffa sig en uppfattning om riskerna för den finansiella sektorn, vilket förutsätter vissa smärre ändringar av rapporteringskraven avseende exponeringarnas geografiska spridning.</w:t>
      </w:r>
    </w:p>
    <w:p w:rsidR="00075C77" w:rsidRPr="000A0337" w:rsidRDefault="00075C77" w:rsidP="00075C77">
      <w:pPr>
        <w:pStyle w:val="Considrant"/>
        <w:rPr>
          <w:noProof/>
        </w:rPr>
      </w:pPr>
      <w:r w:rsidRPr="000A0337">
        <w:t xml:space="preserve">Denna förordning grundar sig på det förslag till tekniska genomförandestandarder som Europeiska bankmyndigheten (EBA) har lämnat till kommissionen. </w:t>
      </w:r>
    </w:p>
    <w:p w:rsidR="00075C77" w:rsidRPr="000A0337" w:rsidRDefault="00075C77" w:rsidP="00075C77">
      <w:pPr>
        <w:pStyle w:val="Considrant"/>
        <w:rPr>
          <w:noProof/>
        </w:rPr>
      </w:pPr>
      <w:r w:rsidRPr="000A0337">
        <w:t>EBA har anordnat öppna offentliga samråd om de förslag till tekniska genomförandestandarder som den här förordningen baseras på, vilka rör försiktig värdering och den totala geografiska uppdelningen, analyserat de möjliga relaterade kostnaderna och fördelarna samt begärt ett yttrande från den bankintressentgrupp som inrättats i enlighet med artikel 37 i Europaparlamentets och rådets förordning (EU) nr 1093/2010</w:t>
      </w:r>
      <w:r w:rsidRPr="000A0337">
        <w:rPr>
          <w:rStyle w:val="FootnoteReference"/>
          <w:noProof/>
        </w:rPr>
        <w:footnoteReference w:id="6"/>
      </w:r>
      <w:r w:rsidRPr="000A0337">
        <w:t xml:space="preserve"> angående dessa. I enlighet med artikel 15.1 andra stycket i den förordningen har EBA inte genomfört något öppet offentligt samråd med avseende på de delar av förslaget till tekniska genomförandestandarder som denna förordning grundar sig på som är av redaktionell art eller som endast inför ett begränsat antal poster i ramen för tillsynsrapportering, eftersom sådana samråd inte skulle stå i proportion till de aktuella tekniska genomförandestandardernas omfattning och konsekvenser.</w:t>
      </w:r>
    </w:p>
    <w:p w:rsidR="00075C77" w:rsidRPr="000A0337" w:rsidRDefault="00075C77" w:rsidP="00075C77">
      <w:pPr>
        <w:pStyle w:val="Considrant"/>
      </w:pPr>
      <w:r w:rsidRPr="000A0337">
        <w:t>Genomförandeförordning (EU) nr 680/2014 bör därför ändras i enlighet med detta.</w:t>
      </w:r>
    </w:p>
    <w:p w:rsidR="00075C77" w:rsidRPr="000A0337" w:rsidRDefault="00075C77" w:rsidP="004E1EF9">
      <w:pPr>
        <w:pStyle w:val="Formuledadoption"/>
      </w:pPr>
      <w:r w:rsidRPr="000A0337">
        <w:t>HÄRIGENOM FÖRESKRIVS FÖLJANDE.</w:t>
      </w:r>
    </w:p>
    <w:p w:rsidR="00075C77" w:rsidRPr="000A0337" w:rsidRDefault="00075C77" w:rsidP="004E1EF9">
      <w:pPr>
        <w:pStyle w:val="Titrearticle"/>
      </w:pPr>
      <w:r w:rsidRPr="000A0337">
        <w:t>Artikel 1</w:t>
      </w:r>
    </w:p>
    <w:p w:rsidR="00075C77" w:rsidRPr="000A0337" w:rsidRDefault="00075C77" w:rsidP="00075C77">
      <w:pPr>
        <w:rPr>
          <w:noProof/>
        </w:rPr>
      </w:pPr>
      <w:r w:rsidRPr="000A0337">
        <w:t>Genomförandeförordning (EU) nr 680/2014 ska ändras på följande sätt:</w:t>
      </w:r>
    </w:p>
    <w:p w:rsidR="00591517" w:rsidRPr="000A0337" w:rsidRDefault="00591517" w:rsidP="00591517">
      <w:pPr>
        <w:pStyle w:val="Point0number"/>
        <w:numPr>
          <w:ilvl w:val="0"/>
          <w:numId w:val="3"/>
        </w:numPr>
        <w:rPr>
          <w:noProof/>
        </w:rPr>
      </w:pPr>
      <w:r w:rsidRPr="000A0337">
        <w:t>Artikel 5 ska ändras på följande sätt:</w:t>
      </w:r>
    </w:p>
    <w:p w:rsidR="00591517" w:rsidRPr="000A0337" w:rsidRDefault="00591517" w:rsidP="00703993">
      <w:pPr>
        <w:pStyle w:val="Point1letter"/>
      </w:pPr>
      <w:r w:rsidRPr="000A0337">
        <w:t>Led a ska ändras på följande sätt:</w:t>
      </w:r>
    </w:p>
    <w:p w:rsidR="00075C77" w:rsidRPr="000A0337" w:rsidRDefault="008F3946" w:rsidP="00BC47EF">
      <w:pPr>
        <w:pStyle w:val="Point1"/>
      </w:pPr>
      <w:r w:rsidRPr="000A0337">
        <w:t xml:space="preserve">(i) </w:t>
      </w:r>
      <w:r w:rsidRPr="000A0337">
        <w:tab/>
        <w:t>Punkt 4 ska ersättas med följande:</w:t>
      </w:r>
    </w:p>
    <w:p w:rsidR="00075C77" w:rsidRPr="000A0337" w:rsidRDefault="00EA38CD" w:rsidP="00C34F30">
      <w:pPr>
        <w:pStyle w:val="Text2"/>
        <w:rPr>
          <w:noProof/>
        </w:rPr>
      </w:pPr>
      <w:r w:rsidRPr="000A0337">
        <w:t>”4.</w:t>
      </w:r>
      <w:r w:rsidRPr="000A0337">
        <w:tab/>
        <w:t>Information om den geografiska fördelningen av exponeringar per land, samt på aggregerad total nivå, enligt specifikationerna i mall 9 i bilaga I och instruktionerna i del II punkt 3.4 i bilaga II. Vad gäller de uppgifter som anges i mallarna 9.1 och 9.2 i synnerhet ska information om den geografiska fördelningen av exponeringar per land rapporteras om exponeringarna mot icke-inhemska ursprungliga åtaganden för samtliga ”icke-inhemska” länder i samtliga exponeringsklasser enligt rapporteringen i mall 4 rad 850 i bilaga I utgör minst 10 % av de sammanlagda inhemska och icke-inhemska ursprungliga åtaganden som rapporteras i mall 4 rad 860 i bilaga I. I det här fallet ska exponeringar anses vara inhemska, om de är exponeringar gentemot motparter som är etablerade i den medlemsstat där institutet är etablerat. Inträdes- och utträdeskriterierna i artikel 4 ska tillämpas.”</w:t>
      </w:r>
    </w:p>
    <w:p w:rsidR="00075C77" w:rsidRPr="000A0337" w:rsidRDefault="008F3946" w:rsidP="00BC47EF">
      <w:pPr>
        <w:pStyle w:val="Point1"/>
        <w:rPr>
          <w:noProof/>
        </w:rPr>
      </w:pPr>
      <w:r w:rsidRPr="000A0337">
        <w:t xml:space="preserve">(ii) </w:t>
      </w:r>
      <w:r w:rsidRPr="000A0337">
        <w:tab/>
        <w:t>Följande punkt ska läggas till som punkt 12:</w:t>
      </w:r>
    </w:p>
    <w:p w:rsidR="00075C77" w:rsidRPr="000A0337" w:rsidRDefault="00EA38CD" w:rsidP="00C34F30">
      <w:pPr>
        <w:pStyle w:val="Text2"/>
        <w:rPr>
          <w:noProof/>
        </w:rPr>
      </w:pPr>
      <w:r w:rsidRPr="000A0337">
        <w:t>”12.</w:t>
      </w:r>
      <w:r w:rsidRPr="000A0337">
        <w:tab/>
        <w:t>Information om försiktig värdering enligt specifikationerna i mall 32 i bilaga I och instruktionerna i del II punkt 6 i bilaga II enligt följande:</w:t>
      </w:r>
    </w:p>
    <w:p w:rsidR="00075C77" w:rsidRPr="000A0337" w:rsidRDefault="008D3748" w:rsidP="00BC47EF">
      <w:pPr>
        <w:pStyle w:val="Text4"/>
        <w:rPr>
          <w:noProof/>
        </w:rPr>
      </w:pPr>
      <w:r w:rsidRPr="000A0337">
        <w:t>i) Alla institut ska rapportera den information som specificeras i mall 32.1 i bilaga I enligt instruktionerna i del II punkt 6 i bilaga II.</w:t>
      </w:r>
    </w:p>
    <w:p w:rsidR="00075C77" w:rsidRPr="000A0337" w:rsidRDefault="008D3748" w:rsidP="00BC47EF">
      <w:pPr>
        <w:pStyle w:val="Text4"/>
        <w:rPr>
          <w:noProof/>
        </w:rPr>
      </w:pPr>
      <w:r w:rsidRPr="000A0337">
        <w:t>ii) Utöver den rapportering som anges i led i ska de institut som tillämpar huvudmetoden i enlighet med förordning (EU) 2016/101 också rapportera den information som specificeras i mall 32.2 i bilaga I enligt instruktionerna i del II punkt 6 i bilaga II.</w:t>
      </w:r>
    </w:p>
    <w:p w:rsidR="00075C77" w:rsidRPr="000A0337" w:rsidRDefault="008D3748" w:rsidP="00BC47EF">
      <w:pPr>
        <w:pStyle w:val="Text4"/>
        <w:rPr>
          <w:noProof/>
        </w:rPr>
      </w:pPr>
      <w:r w:rsidRPr="000A0337">
        <w:t>iii) Utöver de krav som avses i leden i och ii ska de institut som tillämpar huvudmetoden i enlighet med förordning (EU) 2016/101 och som överskrider det tröskelvärde som anges i artikel 4.1 i den förordningen för sina respektive rapporteringsnivåer även rapportera den information som specificeras i mallarna 32.3 och 32.4 i bilaga I enligt instruktionerna i del II punkt 6 i bilaga II.</w:t>
      </w:r>
    </w:p>
    <w:p w:rsidR="00075C77" w:rsidRPr="000A0337" w:rsidRDefault="00591517" w:rsidP="00703993">
      <w:pPr>
        <w:pStyle w:val="Text2"/>
        <w:rPr>
          <w:noProof/>
        </w:rPr>
      </w:pPr>
      <w:r w:rsidRPr="000A0337">
        <w:t>För tillämpningen av led a.12 ska inträdes- och utträdeskriterierna i artikel 4 inte tillämpas.”</w:t>
      </w:r>
    </w:p>
    <w:p w:rsidR="00591517" w:rsidRPr="000A0337" w:rsidRDefault="00591517" w:rsidP="00703993">
      <w:pPr>
        <w:pStyle w:val="Point1letter"/>
        <w:rPr>
          <w:noProof/>
        </w:rPr>
      </w:pPr>
      <w:r w:rsidRPr="000A0337">
        <w:t>Led b ska ändras på följande sätt:</w:t>
      </w:r>
    </w:p>
    <w:p w:rsidR="00075C77" w:rsidRPr="000A0337" w:rsidRDefault="00075C77" w:rsidP="00BC47EF">
      <w:pPr>
        <w:pStyle w:val="Text1"/>
        <w:rPr>
          <w:noProof/>
        </w:rPr>
      </w:pPr>
      <w:r w:rsidRPr="000A0337">
        <w:t>I punkt 3 a, b och c ska orden ”del II punkt 6 i bilaga II” ersättas med orden ”del II punkt 7 i bilaga II”.</w:t>
      </w:r>
    </w:p>
    <w:p w:rsidR="00075C77" w:rsidRPr="000A0337" w:rsidRDefault="00FA5963" w:rsidP="00075C77">
      <w:pPr>
        <w:pStyle w:val="Point0number"/>
        <w:rPr>
          <w:noProof/>
        </w:rPr>
      </w:pPr>
      <w:r w:rsidRPr="000A0337">
        <w:t>I artikel 9.2 ska led d ersättas med följande:</w:t>
      </w:r>
    </w:p>
    <w:p w:rsidR="00075C77" w:rsidRPr="000A0337" w:rsidRDefault="00EA38CD" w:rsidP="00C34F30">
      <w:pPr>
        <w:pStyle w:val="Text1"/>
        <w:rPr>
          <w:noProof/>
        </w:rPr>
      </w:pPr>
      <w:r w:rsidRPr="000A0337">
        <w:t>”d)</w:t>
      </w:r>
      <w:r w:rsidRPr="000A0337">
        <w:tab/>
        <w:t>Kvartalsvis för den information som specificeras i mall 20 i del 2 i bilaga III, om institutet överskrider det tröskelvärde som anges i artikel 5 a.4 andra meningen. Inträdes- och utträdeskriterierna i artikel 4 ska tillämpas.”</w:t>
      </w:r>
    </w:p>
    <w:p w:rsidR="00075C77" w:rsidRPr="000A0337" w:rsidRDefault="00075C77" w:rsidP="00075C77">
      <w:pPr>
        <w:pStyle w:val="Point0number"/>
        <w:rPr>
          <w:noProof/>
        </w:rPr>
      </w:pPr>
      <w:r w:rsidRPr="000A0337">
        <w:t xml:space="preserve">Bilaga I till genomförandeförordning (EU) nr 680/2014 ska ersättas med texten i bilaga I till den här förordningen. </w:t>
      </w:r>
    </w:p>
    <w:p w:rsidR="00075C77" w:rsidRPr="000A0337" w:rsidRDefault="00075C77" w:rsidP="00075C77">
      <w:pPr>
        <w:pStyle w:val="Point0number"/>
        <w:rPr>
          <w:noProof/>
        </w:rPr>
      </w:pPr>
      <w:r w:rsidRPr="000A0337">
        <w:t xml:space="preserve">Bilaga II till genomförandeförordning (EU) nr 680/2014 ska ersättas med texten i bilaga II till den här förordningen. </w:t>
      </w:r>
    </w:p>
    <w:p w:rsidR="00075C77" w:rsidRPr="000A0337" w:rsidRDefault="00075C77" w:rsidP="00075C77">
      <w:pPr>
        <w:pStyle w:val="Point0number"/>
        <w:rPr>
          <w:noProof/>
        </w:rPr>
      </w:pPr>
      <w:r w:rsidRPr="000A0337">
        <w:t>Bilaga V till genomförandeförordning (EU) nr 680/2014 ska ersättas med texten i bilaga III till den här förordningen.</w:t>
      </w:r>
    </w:p>
    <w:p w:rsidR="00075C77" w:rsidRPr="000A0337" w:rsidRDefault="00075C77" w:rsidP="00075C77">
      <w:pPr>
        <w:pStyle w:val="Point0number"/>
        <w:rPr>
          <w:noProof/>
        </w:rPr>
      </w:pPr>
      <w:r w:rsidRPr="000A0337">
        <w:t>Bilaga IX till genomförandeförordning (EU) nr 680/2014 ska ersättas med texten i bilaga IV till den här förordningen.</w:t>
      </w:r>
    </w:p>
    <w:p w:rsidR="00075C77" w:rsidRPr="000A0337" w:rsidRDefault="00075C77" w:rsidP="00075C77">
      <w:pPr>
        <w:pStyle w:val="Point0number"/>
        <w:rPr>
          <w:noProof/>
        </w:rPr>
      </w:pPr>
      <w:r w:rsidRPr="000A0337">
        <w:t>Bilaga XI till genomförandeförordning (EU) nr 680/2014 ska ersättas med texten i bilaga V till den här förordningen.</w:t>
      </w:r>
    </w:p>
    <w:p w:rsidR="00075C77" w:rsidRPr="000A0337" w:rsidRDefault="00075C77" w:rsidP="00075C77">
      <w:pPr>
        <w:pStyle w:val="Point0number"/>
        <w:rPr>
          <w:noProof/>
        </w:rPr>
      </w:pPr>
      <w:r w:rsidRPr="000A0337">
        <w:t>Bilaga XVI till genomförandeförordning (EU) nr 680/2014 ska ersättas med bilaga VI till den här förordningen.</w:t>
      </w:r>
    </w:p>
    <w:p w:rsidR="00075C77" w:rsidRPr="000A0337" w:rsidRDefault="00075C77" w:rsidP="00075C77">
      <w:pPr>
        <w:pStyle w:val="Point0number"/>
        <w:rPr>
          <w:noProof/>
        </w:rPr>
      </w:pPr>
      <w:r w:rsidRPr="000A0337">
        <w:t>Bilaga XIX till genomförandeförordning (EU) nr 680/2014 ska ersättas med texten i bilaga VII till den här förordningen.</w:t>
      </w:r>
    </w:p>
    <w:p w:rsidR="00075C77" w:rsidRPr="000A0337" w:rsidRDefault="00075C77" w:rsidP="00075C77">
      <w:pPr>
        <w:pStyle w:val="Point0number"/>
        <w:rPr>
          <w:noProof/>
        </w:rPr>
      </w:pPr>
      <w:r w:rsidRPr="000A0337">
        <w:t>Bilaga XXI till genomförandeförordning (EU) nr 680/2014 ska ersättas med texten i bilaga VIII till den här förordningen.</w:t>
      </w:r>
    </w:p>
    <w:p w:rsidR="00075C77" w:rsidRPr="000A0337" w:rsidRDefault="00075C77" w:rsidP="00075C77">
      <w:pPr>
        <w:pStyle w:val="Point0number"/>
        <w:rPr>
          <w:noProof/>
        </w:rPr>
      </w:pPr>
      <w:r w:rsidRPr="000A0337">
        <w:t>Bilaga XXII till genomförandeförordning (EU) nr 680/2014 ska ersättas med texten i bilaga IX till den här förordningen.</w:t>
      </w:r>
    </w:p>
    <w:p w:rsidR="00075C77" w:rsidRPr="000A0337" w:rsidRDefault="00075C77" w:rsidP="00075C77">
      <w:pPr>
        <w:pStyle w:val="Point0number"/>
      </w:pPr>
      <w:r w:rsidRPr="000A0337">
        <w:t>Bilaga XXIII till genomförandeförordning (EU) nr 680/2014 ska ersättas med texten i bilaga X till den här förordningen.</w:t>
      </w:r>
    </w:p>
    <w:p w:rsidR="00075C77" w:rsidRPr="000A0337" w:rsidRDefault="00075C77" w:rsidP="004E1EF9">
      <w:pPr>
        <w:pStyle w:val="Titrearticle"/>
      </w:pPr>
      <w:r w:rsidRPr="000A0337">
        <w:t>Artikel 2</w:t>
      </w:r>
    </w:p>
    <w:p w:rsidR="00075C77" w:rsidRPr="000A0337" w:rsidRDefault="00075C77" w:rsidP="004E1EF9">
      <w:r w:rsidRPr="000A0337">
        <w:t xml:space="preserve">Denna förordning träder i kraft den tjugonde dagen efter det att den har offentliggjorts i </w:t>
      </w:r>
      <w:r w:rsidRPr="000A0337">
        <w:rPr>
          <w:i/>
        </w:rPr>
        <w:t>Europeiska unionens officiella tidning</w:t>
      </w:r>
      <w:r w:rsidRPr="000A0337">
        <w:t>.</w:t>
      </w:r>
    </w:p>
    <w:p w:rsidR="00075C77" w:rsidRPr="000A0337" w:rsidRDefault="00075C77" w:rsidP="004E1EF9">
      <w:r w:rsidRPr="000A0337">
        <w:t>Den ska tillämpas från och med den 1 december 2018.</w:t>
      </w:r>
    </w:p>
    <w:p w:rsidR="00075C77" w:rsidRPr="000A0337" w:rsidRDefault="00075C77" w:rsidP="004E1EF9">
      <w:pPr>
        <w:pStyle w:val="Applicationdirecte"/>
      </w:pPr>
      <w:r w:rsidRPr="000A0337">
        <w:t>Denna förordning är till alla delar bindande och direkt tillämplig i alla medlemsstater.</w:t>
      </w:r>
    </w:p>
    <w:p w:rsidR="00075C77" w:rsidRPr="000A0337" w:rsidRDefault="00A56710" w:rsidP="00A56710">
      <w:pPr>
        <w:pStyle w:val="Fait"/>
      </w:pPr>
      <w:r w:rsidRPr="00A56710">
        <w:t>Utfärdad i Bryssel den</w:t>
      </w:r>
    </w:p>
    <w:p w:rsidR="00C52F7E" w:rsidRPr="000A0337" w:rsidRDefault="00075C77" w:rsidP="00C52F7E">
      <w:pPr>
        <w:pStyle w:val="Institutionquisigne"/>
      </w:pPr>
      <w:r w:rsidRPr="000A0337">
        <w:tab/>
        <w:t>På kommissionens vägnar</w:t>
      </w:r>
    </w:p>
    <w:p w:rsidR="00C52F7E" w:rsidRPr="000A0337" w:rsidRDefault="00C52F7E" w:rsidP="00B44BBC">
      <w:pPr>
        <w:pStyle w:val="Personnequisigne"/>
      </w:pPr>
      <w:r w:rsidRPr="000A0337">
        <w:tab/>
        <w:t>Ordförande</w:t>
      </w:r>
    </w:p>
    <w:p w:rsidR="00075C77" w:rsidRPr="000A0337" w:rsidRDefault="00C52F7E" w:rsidP="00B44BBC">
      <w:pPr>
        <w:pStyle w:val="Personnequisigne"/>
      </w:pPr>
      <w:r w:rsidRPr="000A0337">
        <w:tab/>
        <w:t>Jean-Claude JUNCKER</w:t>
      </w:r>
      <w:r w:rsidRPr="000A0337">
        <w:tab/>
      </w:r>
      <w:r w:rsidRPr="000A0337">
        <w:br/>
      </w:r>
      <w:r w:rsidRPr="000A0337">
        <w:tab/>
      </w:r>
      <w:r w:rsidRPr="000A0337">
        <w:br/>
      </w:r>
    </w:p>
    <w:sectPr w:rsidR="00075C77" w:rsidRPr="000A0337" w:rsidSect="00AA584C">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546" w:rsidRDefault="00C72546" w:rsidP="00075C77">
      <w:pPr>
        <w:spacing w:before="0" w:after="0"/>
      </w:pPr>
      <w:r>
        <w:separator/>
      </w:r>
    </w:p>
  </w:endnote>
  <w:endnote w:type="continuationSeparator" w:id="0">
    <w:p w:rsidR="00C72546" w:rsidRDefault="00C72546" w:rsidP="00075C77">
      <w:pPr>
        <w:spacing w:before="0" w:after="0"/>
      </w:pPr>
      <w:r>
        <w:continuationSeparator/>
      </w:r>
    </w:p>
  </w:endnote>
  <w:endnote w:type="continuationNotice" w:id="1">
    <w:p w:rsidR="00C72546" w:rsidRDefault="00C725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4C" w:rsidRPr="00AA584C" w:rsidRDefault="00AA584C" w:rsidP="00AA58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710" w:rsidRPr="00AA584C" w:rsidRDefault="00AA584C" w:rsidP="00AA584C">
    <w:pPr>
      <w:pStyle w:val="Footer"/>
      <w:rPr>
        <w:rFonts w:ascii="Arial" w:hAnsi="Arial" w:cs="Arial"/>
        <w:b/>
        <w:sz w:val="48"/>
      </w:rPr>
    </w:pPr>
    <w:r w:rsidRPr="00AA584C">
      <w:rPr>
        <w:rFonts w:ascii="Arial" w:hAnsi="Arial" w:cs="Arial"/>
        <w:b/>
        <w:sz w:val="48"/>
      </w:rPr>
      <w:t>SV</w:t>
    </w:r>
    <w:r w:rsidRPr="00AA584C">
      <w:rPr>
        <w:rFonts w:ascii="Arial" w:hAnsi="Arial" w:cs="Arial"/>
        <w:b/>
        <w:sz w:val="48"/>
      </w:rPr>
      <w:tab/>
    </w:r>
    <w:r w:rsidRPr="00AA584C">
      <w:rPr>
        <w:rFonts w:ascii="Arial" w:hAnsi="Arial" w:cs="Arial"/>
        <w:b/>
        <w:sz w:val="48"/>
      </w:rPr>
      <w:tab/>
    </w:r>
    <w:r w:rsidRPr="00AA584C">
      <w:tab/>
    </w:r>
    <w:r w:rsidRPr="00AA584C">
      <w:rPr>
        <w:rFonts w:ascii="Arial" w:hAnsi="Arial" w:cs="Arial"/>
        <w:b/>
        <w:sz w:val="48"/>
      </w:rPr>
      <w:t>SV</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4C" w:rsidRPr="00AA584C" w:rsidRDefault="00AA584C" w:rsidP="00AA584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4C" w:rsidRPr="00AA584C" w:rsidRDefault="00AA584C" w:rsidP="00AA584C">
    <w:pPr>
      <w:pStyle w:val="Footer"/>
      <w:rPr>
        <w:rFonts w:ascii="Arial" w:hAnsi="Arial" w:cs="Arial"/>
        <w:b/>
        <w:sz w:val="48"/>
      </w:rPr>
    </w:pPr>
    <w:r w:rsidRPr="00AA584C">
      <w:rPr>
        <w:rFonts w:ascii="Arial" w:hAnsi="Arial" w:cs="Arial"/>
        <w:b/>
        <w:sz w:val="48"/>
      </w:rPr>
      <w:t>SV</w:t>
    </w:r>
    <w:r w:rsidRPr="00AA584C">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AA584C">
      <w:tab/>
    </w:r>
    <w:r w:rsidRPr="00AA584C">
      <w:rPr>
        <w:rFonts w:ascii="Arial" w:hAnsi="Arial" w:cs="Arial"/>
        <w:b/>
        <w:sz w:val="48"/>
      </w:rPr>
      <w:t>SV</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4C" w:rsidRPr="00AA584C" w:rsidRDefault="00AA584C" w:rsidP="00AA58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546" w:rsidRDefault="00C72546" w:rsidP="00075C77">
      <w:pPr>
        <w:spacing w:before="0" w:after="0"/>
      </w:pPr>
      <w:r>
        <w:separator/>
      </w:r>
    </w:p>
  </w:footnote>
  <w:footnote w:type="continuationSeparator" w:id="0">
    <w:p w:rsidR="00C72546" w:rsidRDefault="00C72546" w:rsidP="00075C77">
      <w:pPr>
        <w:spacing w:before="0" w:after="0"/>
      </w:pPr>
      <w:r>
        <w:continuationSeparator/>
      </w:r>
    </w:p>
  </w:footnote>
  <w:footnote w:type="continuationNotice" w:id="1">
    <w:p w:rsidR="00C72546" w:rsidRDefault="00C72546">
      <w:pPr>
        <w:spacing w:before="0" w:after="0"/>
      </w:pPr>
    </w:p>
  </w:footnote>
  <w:footnote w:id="2">
    <w:p w:rsidR="00075C77" w:rsidRDefault="00075C77" w:rsidP="00075C77">
      <w:pPr>
        <w:pStyle w:val="FootnoteText"/>
      </w:pPr>
      <w:r>
        <w:rPr>
          <w:rStyle w:val="FootnoteReference"/>
        </w:rPr>
        <w:footnoteRef/>
      </w:r>
      <w:r>
        <w:tab/>
        <w:t>EUT L 176, 27.6.2013, s. 1.</w:t>
      </w:r>
    </w:p>
  </w:footnote>
  <w:footnote w:id="3">
    <w:p w:rsidR="00075C77" w:rsidRDefault="00075C77" w:rsidP="00075C77">
      <w:pPr>
        <w:pStyle w:val="FootnoteText"/>
      </w:pPr>
      <w:r>
        <w:rPr>
          <w:rStyle w:val="FootnoteReference"/>
        </w:rPr>
        <w:footnoteRef/>
      </w:r>
      <w:r>
        <w:tab/>
        <w:t>Kommissionens genomförandeförordning (EU) nr 680/2014 om tekniska standarder för genomförande av instituts tillsynsrapportering enligt förordning (EU) nr 575/2013 (EUT L 191, 28.6.2014, s. 1).</w:t>
      </w:r>
    </w:p>
  </w:footnote>
  <w:footnote w:id="4">
    <w:p w:rsidR="00075C77" w:rsidRDefault="00075C77" w:rsidP="00075C77">
      <w:pPr>
        <w:pStyle w:val="FootnoteText"/>
      </w:pPr>
      <w:r>
        <w:rPr>
          <w:rStyle w:val="FootnoteReference"/>
        </w:rPr>
        <w:footnoteRef/>
      </w:r>
      <w:r>
        <w:tab/>
        <w:t>Kommissionens delegerade förordning (EU) 2016/101 av den 26 oktober 2015 om komplettering av Europaparlamentets och rådets förordning (EU) nr 575/2013 med avseende på tekniska tillsynsstandarder för försiktig värdering enligt artikel 105.14 (EUT L 21 28.1.2016, s. 54).</w:t>
      </w:r>
    </w:p>
  </w:footnote>
  <w:footnote w:id="5">
    <w:p w:rsidR="00075C77" w:rsidRDefault="00075C77" w:rsidP="00075C77">
      <w:pPr>
        <w:pStyle w:val="FootnoteText"/>
      </w:pPr>
      <w:r>
        <w:rPr>
          <w:rStyle w:val="FootnoteReference"/>
        </w:rPr>
        <w:footnoteRef/>
      </w:r>
      <w:r>
        <w:tab/>
        <w:t>Europaparlamentets och rådets förordning (EU) 2017/2401 av den 12 december 2017 om ändring av förordning (EU) nr 575/2013 om tillsynskrav för kreditinstitut och värdepappersföretag (EUT L 347, 28.12.2017, s.1).</w:t>
      </w:r>
    </w:p>
  </w:footnote>
  <w:footnote w:id="6">
    <w:p w:rsidR="00075C77" w:rsidRDefault="00075C77" w:rsidP="00075C77">
      <w:pPr>
        <w:pStyle w:val="FootnoteText"/>
      </w:pPr>
      <w:r>
        <w:rPr>
          <w:rStyle w:val="FootnoteReference"/>
        </w:rPr>
        <w:footnoteRef/>
      </w:r>
      <w:r>
        <w:tab/>
        <w:t>Europaparlamentets och rådets förordning (EU) nr 1093/2010 av den 24 november 2010 om inrättande av en europeisk tillsynsmyndighet (Europeiska bankmyndigheten) och om ändring av beslut nr 716/2009/EG och om upphävande av kommissionens beslut 2009/78/EG (EUT L 331, 15.12.2020, s.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4C" w:rsidRPr="00AA584C" w:rsidRDefault="00AA584C" w:rsidP="00AA58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4C" w:rsidRPr="00AA584C" w:rsidRDefault="00AA584C" w:rsidP="00AA58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4C" w:rsidRPr="00AA584C" w:rsidRDefault="00AA584C" w:rsidP="00AA58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E3F24104"/>
    <w:lvl w:ilvl="0">
      <w:start w:val="1"/>
      <w:numFmt w:val="decimal"/>
      <w:pStyle w:val="ListNumber3"/>
      <w:lvlText w:val="%1."/>
      <w:lvlJc w:val="left"/>
      <w:pPr>
        <w:tabs>
          <w:tab w:val="num" w:pos="926"/>
        </w:tabs>
        <w:ind w:left="926" w:hanging="360"/>
      </w:pPr>
    </w:lvl>
  </w:abstractNum>
  <w:abstractNum w:abstractNumId="2">
    <w:nsid w:val="FFFFFF7F"/>
    <w:multiLevelType w:val="singleLevel"/>
    <w:tmpl w:val="02C6A416"/>
    <w:lvl w:ilvl="0">
      <w:start w:val="1"/>
      <w:numFmt w:val="decimal"/>
      <w:pStyle w:val="ListNumber2"/>
      <w:lvlText w:val="%1."/>
      <w:lvlJc w:val="left"/>
      <w:pPr>
        <w:tabs>
          <w:tab w:val="num" w:pos="643"/>
        </w:tabs>
        <w:ind w:left="643" w:hanging="360"/>
      </w:pPr>
    </w:lvl>
  </w:abstractNum>
  <w:abstractNum w:abstractNumId="3">
    <w:nsid w:val="FFFFFF81"/>
    <w:multiLevelType w:val="singleLevel"/>
    <w:tmpl w:val="723AA59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3356B93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D445FA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E1868426"/>
    <w:lvl w:ilvl="0">
      <w:start w:val="1"/>
      <w:numFmt w:val="decimal"/>
      <w:pStyle w:val="ListNumber"/>
      <w:lvlText w:val="%1."/>
      <w:lvlJc w:val="left"/>
      <w:pPr>
        <w:tabs>
          <w:tab w:val="num" w:pos="360"/>
        </w:tabs>
        <w:ind w:left="360" w:hanging="360"/>
      </w:pPr>
    </w:lvl>
  </w:abstractNum>
  <w:abstractNum w:abstractNumId="7">
    <w:nsid w:val="FFFFFF89"/>
    <w:multiLevelType w:val="singleLevel"/>
    <w:tmpl w:val="2C1EE99E"/>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4"/>
  </w:num>
  <w:num w:numId="7">
    <w:abstractNumId w:val="3"/>
  </w:num>
  <w:num w:numId="8">
    <w:abstractNumId w:val="6"/>
  </w:num>
  <w:num w:numId="9">
    <w:abstractNumId w:val="2"/>
  </w:num>
  <w:num w:numId="10">
    <w:abstractNumId w:val="1"/>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attachedTemplate r:id="rId1"/>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9-21 14:00:4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5A0F02E3-E5A4-4D6B-A92D-8956A944C04D"/>
    <w:docVar w:name="LW_COVERPAGE_TYPE" w:val="1"/>
    <w:docVar w:name="LW_CROSSREFERENCE" w:val="&lt;UNUSED&gt;"/>
    <w:docVar w:name="LW_DATE.ADOPT.CP" w:val="av den XXX"/>
    <w:docVar w:name="LW_DATE.ADOPT.CP_DATEFORMAT" w:val="av den %DATE%"/>
    <w:docVar w:name="LW_DATE.ADOPT.CP_ISODATE" w:val="&lt;EMPTY&gt;"/>
    <w:docVar w:name="LW_DocType" w:val="COM"/>
    <w:docVar w:name="LW_EMISSION" w:val="&lt;EMPTY&gt;"/>
    <w:docVar w:name="LW_EMISSION_ISODATE" w:val="&lt;EMPTY&gt;"/>
    <w:docVar w:name="LW_EMISSION_LOCATION" w:val="BRX"/>
    <w:docVar w:name="LW_EMISSION_PREFIX" w:val="Bryssel den "/>
    <w:docVar w:name="LW_EMISSION_SUFFIX" w:val="&lt;EMPTY&gt;"/>
    <w:docVar w:name="LW_ID_DOCMODEL" w:val="SJ-004"/>
    <w:docVar w:name="LW_ID_DOCSIGNATURE" w:val="SJ-004"/>
    <w:docVar w:name="LW_ID_DOCSTRUCTURE" w:val="COM/AA"/>
    <w:docVar w:name="LW_ID_DOCTYPE" w:val="SJ-004"/>
    <w:docVar w:name="LW_INTERETEEE.CP" w:val="(Text av betydelse för EES)"/>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om ändring av genomförandeförordning (EU) nr 680/2014 vad gäller försiktig värdering för tillsynsrapportering"/>
    <w:docVar w:name="LW_TYPE.DOC.CP" w:val="KOMMISSIONENS GENOMFÖRANDEFÖRORDNING (EU) \u8230?/\u8230?"/>
  </w:docVars>
  <w:rsids>
    <w:rsidRoot w:val="00075C77"/>
    <w:rsid w:val="000057D4"/>
    <w:rsid w:val="000059F6"/>
    <w:rsid w:val="00045213"/>
    <w:rsid w:val="00050818"/>
    <w:rsid w:val="00054D77"/>
    <w:rsid w:val="00075C77"/>
    <w:rsid w:val="000A0337"/>
    <w:rsid w:val="000B1896"/>
    <w:rsid w:val="000B6375"/>
    <w:rsid w:val="000D4A87"/>
    <w:rsid w:val="000E01B6"/>
    <w:rsid w:val="00114009"/>
    <w:rsid w:val="0011702C"/>
    <w:rsid w:val="00153178"/>
    <w:rsid w:val="00183733"/>
    <w:rsid w:val="00187556"/>
    <w:rsid w:val="00195568"/>
    <w:rsid w:val="001B4957"/>
    <w:rsid w:val="001B7B9B"/>
    <w:rsid w:val="001D5ED6"/>
    <w:rsid w:val="002368E9"/>
    <w:rsid w:val="00245E42"/>
    <w:rsid w:val="00254390"/>
    <w:rsid w:val="00270069"/>
    <w:rsid w:val="002B2B93"/>
    <w:rsid w:val="002B7A5C"/>
    <w:rsid w:val="002C0C3E"/>
    <w:rsid w:val="002E30FD"/>
    <w:rsid w:val="002E476B"/>
    <w:rsid w:val="002F2F88"/>
    <w:rsid w:val="00316051"/>
    <w:rsid w:val="00322268"/>
    <w:rsid w:val="00337032"/>
    <w:rsid w:val="00345BFD"/>
    <w:rsid w:val="00352527"/>
    <w:rsid w:val="003805E1"/>
    <w:rsid w:val="003C1FB8"/>
    <w:rsid w:val="003C4B9E"/>
    <w:rsid w:val="003D0541"/>
    <w:rsid w:val="003D2AE0"/>
    <w:rsid w:val="003E1023"/>
    <w:rsid w:val="00411AA8"/>
    <w:rsid w:val="004739C1"/>
    <w:rsid w:val="004A2CE3"/>
    <w:rsid w:val="004B24D6"/>
    <w:rsid w:val="004D6264"/>
    <w:rsid w:val="004D64A2"/>
    <w:rsid w:val="004D69DD"/>
    <w:rsid w:val="004F3418"/>
    <w:rsid w:val="004F6673"/>
    <w:rsid w:val="00550B8C"/>
    <w:rsid w:val="00556044"/>
    <w:rsid w:val="00573737"/>
    <w:rsid w:val="00591517"/>
    <w:rsid w:val="00605277"/>
    <w:rsid w:val="006063E0"/>
    <w:rsid w:val="00611636"/>
    <w:rsid w:val="00635D8A"/>
    <w:rsid w:val="00644EC4"/>
    <w:rsid w:val="006572EF"/>
    <w:rsid w:val="00683624"/>
    <w:rsid w:val="00686C9B"/>
    <w:rsid w:val="00693969"/>
    <w:rsid w:val="006B0779"/>
    <w:rsid w:val="006C1BB8"/>
    <w:rsid w:val="006C3766"/>
    <w:rsid w:val="006D4BD3"/>
    <w:rsid w:val="006E6DF9"/>
    <w:rsid w:val="00703993"/>
    <w:rsid w:val="007137E5"/>
    <w:rsid w:val="00726340"/>
    <w:rsid w:val="0079753D"/>
    <w:rsid w:val="007A5482"/>
    <w:rsid w:val="007D178B"/>
    <w:rsid w:val="007E3D3C"/>
    <w:rsid w:val="007F22F0"/>
    <w:rsid w:val="007F7024"/>
    <w:rsid w:val="00832BE2"/>
    <w:rsid w:val="008548F9"/>
    <w:rsid w:val="00856A5A"/>
    <w:rsid w:val="00861E33"/>
    <w:rsid w:val="00876EF2"/>
    <w:rsid w:val="00877878"/>
    <w:rsid w:val="008831F5"/>
    <w:rsid w:val="00886F23"/>
    <w:rsid w:val="00894D1D"/>
    <w:rsid w:val="00896C0C"/>
    <w:rsid w:val="008A4D11"/>
    <w:rsid w:val="008B38C4"/>
    <w:rsid w:val="008D3748"/>
    <w:rsid w:val="008F190E"/>
    <w:rsid w:val="008F3946"/>
    <w:rsid w:val="00907ADD"/>
    <w:rsid w:val="00926443"/>
    <w:rsid w:val="00930743"/>
    <w:rsid w:val="009743F5"/>
    <w:rsid w:val="009848BD"/>
    <w:rsid w:val="009856E0"/>
    <w:rsid w:val="009A0F50"/>
    <w:rsid w:val="009A41B1"/>
    <w:rsid w:val="009A5117"/>
    <w:rsid w:val="009D1315"/>
    <w:rsid w:val="009D2666"/>
    <w:rsid w:val="00A011C2"/>
    <w:rsid w:val="00A2464D"/>
    <w:rsid w:val="00A44BB4"/>
    <w:rsid w:val="00A56710"/>
    <w:rsid w:val="00A729A6"/>
    <w:rsid w:val="00A9549D"/>
    <w:rsid w:val="00AA584C"/>
    <w:rsid w:val="00AB57B6"/>
    <w:rsid w:val="00AB7C3D"/>
    <w:rsid w:val="00AE410E"/>
    <w:rsid w:val="00AF5D3B"/>
    <w:rsid w:val="00B3344A"/>
    <w:rsid w:val="00B356A6"/>
    <w:rsid w:val="00B37490"/>
    <w:rsid w:val="00B4358B"/>
    <w:rsid w:val="00B44BBC"/>
    <w:rsid w:val="00B6250D"/>
    <w:rsid w:val="00B8279F"/>
    <w:rsid w:val="00BB074E"/>
    <w:rsid w:val="00BC47EF"/>
    <w:rsid w:val="00BC5893"/>
    <w:rsid w:val="00BD6B06"/>
    <w:rsid w:val="00BD7EE1"/>
    <w:rsid w:val="00C34F30"/>
    <w:rsid w:val="00C3699D"/>
    <w:rsid w:val="00C36E0D"/>
    <w:rsid w:val="00C52F7E"/>
    <w:rsid w:val="00C72546"/>
    <w:rsid w:val="00C96B0B"/>
    <w:rsid w:val="00CC5469"/>
    <w:rsid w:val="00CE0EEF"/>
    <w:rsid w:val="00CE607F"/>
    <w:rsid w:val="00D0288C"/>
    <w:rsid w:val="00D067A0"/>
    <w:rsid w:val="00D07548"/>
    <w:rsid w:val="00D262BE"/>
    <w:rsid w:val="00D34F59"/>
    <w:rsid w:val="00D4733C"/>
    <w:rsid w:val="00D73215"/>
    <w:rsid w:val="00D826FC"/>
    <w:rsid w:val="00D87087"/>
    <w:rsid w:val="00DA1A91"/>
    <w:rsid w:val="00DA432F"/>
    <w:rsid w:val="00DB10A0"/>
    <w:rsid w:val="00DB10E3"/>
    <w:rsid w:val="00DD2DC1"/>
    <w:rsid w:val="00DE2170"/>
    <w:rsid w:val="00DF3CD5"/>
    <w:rsid w:val="00DF7E7B"/>
    <w:rsid w:val="00E16CC1"/>
    <w:rsid w:val="00E47203"/>
    <w:rsid w:val="00E85657"/>
    <w:rsid w:val="00EA38CD"/>
    <w:rsid w:val="00EA666D"/>
    <w:rsid w:val="00EC3C0C"/>
    <w:rsid w:val="00F1082F"/>
    <w:rsid w:val="00F17515"/>
    <w:rsid w:val="00F2304B"/>
    <w:rsid w:val="00F351E1"/>
    <w:rsid w:val="00F4523F"/>
    <w:rsid w:val="00F673EC"/>
    <w:rsid w:val="00F76AFA"/>
    <w:rsid w:val="00F847AC"/>
    <w:rsid w:val="00FA4EBB"/>
    <w:rsid w:val="00FA5963"/>
    <w:rsid w:val="00FB319D"/>
    <w:rsid w:val="00FC4E75"/>
    <w:rsid w:val="00FE50BF"/>
    <w:rsid w:val="00FE5C4A"/>
    <w:rsid w:val="00FE5CC0"/>
    <w:rsid w:val="00FF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rsid w:val="00877878"/>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sv-SE"/>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sv-SE"/>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sv-SE"/>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1"/>
      </w:numPr>
    </w:pPr>
  </w:style>
  <w:style w:type="paragraph" w:customStyle="1" w:styleId="Tiret1">
    <w:name w:val="Tiret 1"/>
    <w:basedOn w:val="Point1"/>
    <w:rsid w:val="00877878"/>
    <w:pPr>
      <w:numPr>
        <w:numId w:val="12"/>
      </w:numPr>
    </w:pPr>
  </w:style>
  <w:style w:type="paragraph" w:customStyle="1" w:styleId="Tiret2">
    <w:name w:val="Tiret 2"/>
    <w:basedOn w:val="Point2"/>
    <w:rsid w:val="00877878"/>
    <w:pPr>
      <w:numPr>
        <w:numId w:val="13"/>
      </w:numPr>
    </w:pPr>
  </w:style>
  <w:style w:type="paragraph" w:customStyle="1" w:styleId="Tiret3">
    <w:name w:val="Tiret 3"/>
    <w:basedOn w:val="Point3"/>
    <w:rsid w:val="00877878"/>
    <w:pPr>
      <w:numPr>
        <w:numId w:val="14"/>
      </w:numPr>
    </w:pPr>
  </w:style>
  <w:style w:type="paragraph" w:customStyle="1" w:styleId="Tiret4">
    <w:name w:val="Tiret 4"/>
    <w:basedOn w:val="Point4"/>
    <w:rsid w:val="00877878"/>
    <w:pPr>
      <w:numPr>
        <w:numId w:val="1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6"/>
      </w:numPr>
    </w:pPr>
  </w:style>
  <w:style w:type="paragraph" w:customStyle="1" w:styleId="NumPar2">
    <w:name w:val="NumPar 2"/>
    <w:basedOn w:val="Normal"/>
    <w:next w:val="Text1"/>
    <w:rsid w:val="00877878"/>
    <w:pPr>
      <w:numPr>
        <w:ilvl w:val="1"/>
        <w:numId w:val="16"/>
      </w:numPr>
    </w:pPr>
  </w:style>
  <w:style w:type="paragraph" w:customStyle="1" w:styleId="NumPar3">
    <w:name w:val="NumPar 3"/>
    <w:basedOn w:val="Normal"/>
    <w:next w:val="Text1"/>
    <w:rsid w:val="00877878"/>
    <w:pPr>
      <w:numPr>
        <w:ilvl w:val="2"/>
        <w:numId w:val="16"/>
      </w:numPr>
    </w:pPr>
  </w:style>
  <w:style w:type="paragraph" w:customStyle="1" w:styleId="NumPar4">
    <w:name w:val="NumPar 4"/>
    <w:basedOn w:val="Normal"/>
    <w:next w:val="Text1"/>
    <w:rsid w:val="00877878"/>
    <w:pPr>
      <w:numPr>
        <w:ilvl w:val="3"/>
        <w:numId w:val="1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8"/>
      </w:numPr>
    </w:pPr>
  </w:style>
  <w:style w:type="paragraph" w:customStyle="1" w:styleId="Point1number">
    <w:name w:val="Point 1 (number)"/>
    <w:basedOn w:val="Normal"/>
    <w:rsid w:val="00877878"/>
    <w:pPr>
      <w:numPr>
        <w:ilvl w:val="2"/>
        <w:numId w:val="18"/>
      </w:numPr>
    </w:pPr>
  </w:style>
  <w:style w:type="paragraph" w:customStyle="1" w:styleId="Point2number">
    <w:name w:val="Point 2 (number)"/>
    <w:basedOn w:val="Normal"/>
    <w:rsid w:val="00877878"/>
    <w:pPr>
      <w:numPr>
        <w:ilvl w:val="4"/>
        <w:numId w:val="18"/>
      </w:numPr>
    </w:pPr>
  </w:style>
  <w:style w:type="paragraph" w:customStyle="1" w:styleId="Point3number">
    <w:name w:val="Point 3 (number)"/>
    <w:basedOn w:val="Normal"/>
    <w:rsid w:val="00877878"/>
    <w:pPr>
      <w:numPr>
        <w:ilvl w:val="6"/>
        <w:numId w:val="18"/>
      </w:numPr>
    </w:pPr>
  </w:style>
  <w:style w:type="paragraph" w:customStyle="1" w:styleId="Point0letter">
    <w:name w:val="Point 0 (letter)"/>
    <w:basedOn w:val="Normal"/>
    <w:rsid w:val="00877878"/>
    <w:pPr>
      <w:numPr>
        <w:ilvl w:val="1"/>
        <w:numId w:val="18"/>
      </w:numPr>
    </w:pPr>
  </w:style>
  <w:style w:type="paragraph" w:customStyle="1" w:styleId="Point1letter">
    <w:name w:val="Point 1 (letter)"/>
    <w:basedOn w:val="Normal"/>
    <w:rsid w:val="00877878"/>
    <w:pPr>
      <w:numPr>
        <w:ilvl w:val="3"/>
        <w:numId w:val="18"/>
      </w:numPr>
    </w:pPr>
  </w:style>
  <w:style w:type="paragraph" w:customStyle="1" w:styleId="Point2letter">
    <w:name w:val="Point 2 (letter)"/>
    <w:basedOn w:val="Normal"/>
    <w:rsid w:val="00877878"/>
    <w:pPr>
      <w:numPr>
        <w:ilvl w:val="5"/>
        <w:numId w:val="18"/>
      </w:numPr>
    </w:pPr>
  </w:style>
  <w:style w:type="paragraph" w:customStyle="1" w:styleId="Point3letter">
    <w:name w:val="Point 3 (letter)"/>
    <w:basedOn w:val="Normal"/>
    <w:rsid w:val="00877878"/>
    <w:pPr>
      <w:numPr>
        <w:ilvl w:val="7"/>
        <w:numId w:val="18"/>
      </w:numPr>
    </w:pPr>
  </w:style>
  <w:style w:type="paragraph" w:customStyle="1" w:styleId="Point4letter">
    <w:name w:val="Point 4 (letter)"/>
    <w:basedOn w:val="Normal"/>
    <w:rsid w:val="00877878"/>
    <w:pPr>
      <w:numPr>
        <w:ilvl w:val="8"/>
        <w:numId w:val="18"/>
      </w:numPr>
    </w:pPr>
  </w:style>
  <w:style w:type="paragraph" w:customStyle="1" w:styleId="Bullet0">
    <w:name w:val="Bullet 0"/>
    <w:basedOn w:val="Normal"/>
    <w:rsid w:val="00877878"/>
    <w:pPr>
      <w:numPr>
        <w:numId w:val="19"/>
      </w:numPr>
    </w:pPr>
  </w:style>
  <w:style w:type="paragraph" w:customStyle="1" w:styleId="Bullet1">
    <w:name w:val="Bullet 1"/>
    <w:basedOn w:val="Normal"/>
    <w:rsid w:val="00877878"/>
    <w:pPr>
      <w:numPr>
        <w:numId w:val="20"/>
      </w:numPr>
    </w:pPr>
  </w:style>
  <w:style w:type="paragraph" w:customStyle="1" w:styleId="Bullet2">
    <w:name w:val="Bullet 2"/>
    <w:basedOn w:val="Normal"/>
    <w:rsid w:val="00877878"/>
    <w:pPr>
      <w:numPr>
        <w:numId w:val="21"/>
      </w:numPr>
    </w:pPr>
  </w:style>
  <w:style w:type="paragraph" w:customStyle="1" w:styleId="Bullet3">
    <w:name w:val="Bullet 3"/>
    <w:basedOn w:val="Normal"/>
    <w:rsid w:val="00877878"/>
    <w:pPr>
      <w:numPr>
        <w:numId w:val="22"/>
      </w:numPr>
    </w:pPr>
  </w:style>
  <w:style w:type="paragraph" w:customStyle="1" w:styleId="Bullet4">
    <w:name w:val="Bullet 4"/>
    <w:basedOn w:val="Normal"/>
    <w:rsid w:val="00877878"/>
    <w:pPr>
      <w:numPr>
        <w:numId w:val="2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rsid w:val="00877878"/>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sv-SE"/>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sv-SE"/>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sv-SE"/>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1"/>
      </w:numPr>
    </w:pPr>
  </w:style>
  <w:style w:type="paragraph" w:customStyle="1" w:styleId="Tiret1">
    <w:name w:val="Tiret 1"/>
    <w:basedOn w:val="Point1"/>
    <w:rsid w:val="00877878"/>
    <w:pPr>
      <w:numPr>
        <w:numId w:val="12"/>
      </w:numPr>
    </w:pPr>
  </w:style>
  <w:style w:type="paragraph" w:customStyle="1" w:styleId="Tiret2">
    <w:name w:val="Tiret 2"/>
    <w:basedOn w:val="Point2"/>
    <w:rsid w:val="00877878"/>
    <w:pPr>
      <w:numPr>
        <w:numId w:val="13"/>
      </w:numPr>
    </w:pPr>
  </w:style>
  <w:style w:type="paragraph" w:customStyle="1" w:styleId="Tiret3">
    <w:name w:val="Tiret 3"/>
    <w:basedOn w:val="Point3"/>
    <w:rsid w:val="00877878"/>
    <w:pPr>
      <w:numPr>
        <w:numId w:val="14"/>
      </w:numPr>
    </w:pPr>
  </w:style>
  <w:style w:type="paragraph" w:customStyle="1" w:styleId="Tiret4">
    <w:name w:val="Tiret 4"/>
    <w:basedOn w:val="Point4"/>
    <w:rsid w:val="00877878"/>
    <w:pPr>
      <w:numPr>
        <w:numId w:val="1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6"/>
      </w:numPr>
    </w:pPr>
  </w:style>
  <w:style w:type="paragraph" w:customStyle="1" w:styleId="NumPar2">
    <w:name w:val="NumPar 2"/>
    <w:basedOn w:val="Normal"/>
    <w:next w:val="Text1"/>
    <w:rsid w:val="00877878"/>
    <w:pPr>
      <w:numPr>
        <w:ilvl w:val="1"/>
        <w:numId w:val="16"/>
      </w:numPr>
    </w:pPr>
  </w:style>
  <w:style w:type="paragraph" w:customStyle="1" w:styleId="NumPar3">
    <w:name w:val="NumPar 3"/>
    <w:basedOn w:val="Normal"/>
    <w:next w:val="Text1"/>
    <w:rsid w:val="00877878"/>
    <w:pPr>
      <w:numPr>
        <w:ilvl w:val="2"/>
        <w:numId w:val="16"/>
      </w:numPr>
    </w:pPr>
  </w:style>
  <w:style w:type="paragraph" w:customStyle="1" w:styleId="NumPar4">
    <w:name w:val="NumPar 4"/>
    <w:basedOn w:val="Normal"/>
    <w:next w:val="Text1"/>
    <w:rsid w:val="00877878"/>
    <w:pPr>
      <w:numPr>
        <w:ilvl w:val="3"/>
        <w:numId w:val="1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8"/>
      </w:numPr>
    </w:pPr>
  </w:style>
  <w:style w:type="paragraph" w:customStyle="1" w:styleId="Point1number">
    <w:name w:val="Point 1 (number)"/>
    <w:basedOn w:val="Normal"/>
    <w:rsid w:val="00877878"/>
    <w:pPr>
      <w:numPr>
        <w:ilvl w:val="2"/>
        <w:numId w:val="18"/>
      </w:numPr>
    </w:pPr>
  </w:style>
  <w:style w:type="paragraph" w:customStyle="1" w:styleId="Point2number">
    <w:name w:val="Point 2 (number)"/>
    <w:basedOn w:val="Normal"/>
    <w:rsid w:val="00877878"/>
    <w:pPr>
      <w:numPr>
        <w:ilvl w:val="4"/>
        <w:numId w:val="18"/>
      </w:numPr>
    </w:pPr>
  </w:style>
  <w:style w:type="paragraph" w:customStyle="1" w:styleId="Point3number">
    <w:name w:val="Point 3 (number)"/>
    <w:basedOn w:val="Normal"/>
    <w:rsid w:val="00877878"/>
    <w:pPr>
      <w:numPr>
        <w:ilvl w:val="6"/>
        <w:numId w:val="18"/>
      </w:numPr>
    </w:pPr>
  </w:style>
  <w:style w:type="paragraph" w:customStyle="1" w:styleId="Point0letter">
    <w:name w:val="Point 0 (letter)"/>
    <w:basedOn w:val="Normal"/>
    <w:rsid w:val="00877878"/>
    <w:pPr>
      <w:numPr>
        <w:ilvl w:val="1"/>
        <w:numId w:val="18"/>
      </w:numPr>
    </w:pPr>
  </w:style>
  <w:style w:type="paragraph" w:customStyle="1" w:styleId="Point1letter">
    <w:name w:val="Point 1 (letter)"/>
    <w:basedOn w:val="Normal"/>
    <w:rsid w:val="00877878"/>
    <w:pPr>
      <w:numPr>
        <w:ilvl w:val="3"/>
        <w:numId w:val="18"/>
      </w:numPr>
    </w:pPr>
  </w:style>
  <w:style w:type="paragraph" w:customStyle="1" w:styleId="Point2letter">
    <w:name w:val="Point 2 (letter)"/>
    <w:basedOn w:val="Normal"/>
    <w:rsid w:val="00877878"/>
    <w:pPr>
      <w:numPr>
        <w:ilvl w:val="5"/>
        <w:numId w:val="18"/>
      </w:numPr>
    </w:pPr>
  </w:style>
  <w:style w:type="paragraph" w:customStyle="1" w:styleId="Point3letter">
    <w:name w:val="Point 3 (letter)"/>
    <w:basedOn w:val="Normal"/>
    <w:rsid w:val="00877878"/>
    <w:pPr>
      <w:numPr>
        <w:ilvl w:val="7"/>
        <w:numId w:val="18"/>
      </w:numPr>
    </w:pPr>
  </w:style>
  <w:style w:type="paragraph" w:customStyle="1" w:styleId="Point4letter">
    <w:name w:val="Point 4 (letter)"/>
    <w:basedOn w:val="Normal"/>
    <w:rsid w:val="00877878"/>
    <w:pPr>
      <w:numPr>
        <w:ilvl w:val="8"/>
        <w:numId w:val="18"/>
      </w:numPr>
    </w:pPr>
  </w:style>
  <w:style w:type="paragraph" w:customStyle="1" w:styleId="Bullet0">
    <w:name w:val="Bullet 0"/>
    <w:basedOn w:val="Normal"/>
    <w:rsid w:val="00877878"/>
    <w:pPr>
      <w:numPr>
        <w:numId w:val="19"/>
      </w:numPr>
    </w:pPr>
  </w:style>
  <w:style w:type="paragraph" w:customStyle="1" w:styleId="Bullet1">
    <w:name w:val="Bullet 1"/>
    <w:basedOn w:val="Normal"/>
    <w:rsid w:val="00877878"/>
    <w:pPr>
      <w:numPr>
        <w:numId w:val="20"/>
      </w:numPr>
    </w:pPr>
  </w:style>
  <w:style w:type="paragraph" w:customStyle="1" w:styleId="Bullet2">
    <w:name w:val="Bullet 2"/>
    <w:basedOn w:val="Normal"/>
    <w:rsid w:val="00877878"/>
    <w:pPr>
      <w:numPr>
        <w:numId w:val="21"/>
      </w:numPr>
    </w:pPr>
  </w:style>
  <w:style w:type="paragraph" w:customStyle="1" w:styleId="Bullet3">
    <w:name w:val="Bullet 3"/>
    <w:basedOn w:val="Normal"/>
    <w:rsid w:val="00877878"/>
    <w:pPr>
      <w:numPr>
        <w:numId w:val="22"/>
      </w:numPr>
    </w:pPr>
  </w:style>
  <w:style w:type="paragraph" w:customStyle="1" w:styleId="Bullet4">
    <w:name w:val="Bullet 4"/>
    <w:basedOn w:val="Normal"/>
    <w:rsid w:val="00877878"/>
    <w:pPr>
      <w:numPr>
        <w:numId w:val="2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Pages>
  <Words>1229</Words>
  <Characters>7194</Characters>
  <Application>Microsoft Office Word</Application>
  <DocSecurity>0</DocSecurity>
  <Lines>132</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GRIKSAS Gintaras (FISMA)</dc:creator>
  <cp:keywords/>
  <dc:description/>
  <cp:lastModifiedBy>LINDGREN Katja (DGT)</cp:lastModifiedBy>
  <cp:revision>3</cp:revision>
  <cp:lastPrinted>2018-06-12T12:37:00Z</cp:lastPrinted>
  <dcterms:created xsi:type="dcterms:W3CDTF">2018-09-21T12:00:00Z</dcterms:created>
  <dcterms:modified xsi:type="dcterms:W3CDTF">2018-09-21T12:00:00Z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6.0.1, Build 20180503</vt:lpwstr>
  </property>
  <property fmtid="{D5CDD505-2E9C-101B-9397-08002B2CF9AE}" pid="3" name="Category">
    <vt:lpwstr>COM/AA</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Version">
    <vt:lpwstr>6.0.1.0</vt:lpwstr>
  </property>
  <property fmtid="{D5CDD505-2E9C-101B-9397-08002B2CF9AE}" pid="9" name="Created using">
    <vt:lpwstr>LW 6.0, Build 20171009</vt:lpwstr>
  </property>
  <property fmtid="{D5CDD505-2E9C-101B-9397-08002B2CF9AE}" pid="10" name="DQCStatus">
    <vt:lpwstr>Green (DQC version 03)</vt:lpwstr>
  </property>
</Properties>
</file>